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3.xml" ContentType="application/vnd.openxmlformats-officedocument.wordprocessingml.foot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F204" w14:textId="77777777" w:rsidR="00DF1FC7" w:rsidRDefault="00DF1FC7" w:rsidP="00DF1FC7">
      <w:pPr>
        <w:rPr>
          <w:rtl/>
        </w:rPr>
      </w:pPr>
      <w:r>
        <w:rPr>
          <w:rFonts w:hint="cs"/>
          <w:rtl/>
        </w:rPr>
        <w:t>בס"ד</w:t>
      </w:r>
    </w:p>
    <w:p w14:paraId="1EC571D3" w14:textId="77777777" w:rsidR="00DF1FC7" w:rsidRDefault="00DF1FC7" w:rsidP="00DF1FC7">
      <w:pPr>
        <w:rPr>
          <w:b/>
          <w:bCs/>
          <w:sz w:val="36"/>
          <w:szCs w:val="36"/>
          <w:u w:val="single"/>
          <w:rtl/>
        </w:rPr>
      </w:pPr>
    </w:p>
    <w:p w14:paraId="17AC748F" w14:textId="5E09D47A" w:rsidR="00DF1FC7" w:rsidRPr="00497016" w:rsidRDefault="00DF1FC7" w:rsidP="00DF1FC7">
      <w:pPr>
        <w:jc w:val="center"/>
        <w:rPr>
          <w:b/>
          <w:bCs/>
          <w:color w:val="4F81BD" w:themeColor="accent1"/>
          <w:sz w:val="140"/>
          <w:szCs w:val="140"/>
          <w:rtl/>
        </w:rPr>
      </w:pPr>
      <w:r>
        <w:rPr>
          <w:rFonts w:hint="cs"/>
          <w:b/>
          <w:bCs/>
          <w:color w:val="4F81BD" w:themeColor="accent1"/>
          <w:sz w:val="140"/>
          <w:szCs w:val="140"/>
          <w:rtl/>
        </w:rPr>
        <w:t>אבן העזר</w:t>
      </w:r>
    </w:p>
    <w:p w14:paraId="4E0061AC" w14:textId="6AEBD1AA" w:rsidR="00DF1FC7" w:rsidRPr="00497016" w:rsidRDefault="00DF1FC7" w:rsidP="00DF1FC7">
      <w:pPr>
        <w:jc w:val="center"/>
        <w:rPr>
          <w:b/>
          <w:bCs/>
          <w:color w:val="4F81BD" w:themeColor="accent1"/>
          <w:sz w:val="40"/>
          <w:szCs w:val="40"/>
          <w:rtl/>
        </w:rPr>
      </w:pPr>
      <w:bookmarkStart w:id="0" w:name="_Toc24883509"/>
      <w:r w:rsidRPr="00497016">
        <w:rPr>
          <w:rFonts w:hint="cs"/>
          <w:b/>
          <w:bCs/>
          <w:color w:val="4F81BD" w:themeColor="accent1"/>
          <w:sz w:val="40"/>
          <w:szCs w:val="40"/>
          <w:rtl/>
        </w:rPr>
        <w:t xml:space="preserve">סימנים א - </w:t>
      </w:r>
      <w:bookmarkEnd w:id="0"/>
      <w:r>
        <w:rPr>
          <w:rFonts w:hint="cs"/>
          <w:b/>
          <w:bCs/>
          <w:color w:val="4F81BD" w:themeColor="accent1"/>
          <w:sz w:val="40"/>
          <w:szCs w:val="40"/>
          <w:rtl/>
        </w:rPr>
        <w:t>קעח</w:t>
      </w:r>
    </w:p>
    <w:p w14:paraId="7FAFE783" w14:textId="77777777" w:rsidR="00DF1FC7" w:rsidRPr="00497016" w:rsidRDefault="00DF1FC7" w:rsidP="00DF1FC7">
      <w:pPr>
        <w:jc w:val="center"/>
        <w:rPr>
          <w:b/>
          <w:bCs/>
          <w:color w:val="4F81BD" w:themeColor="accent1"/>
          <w:sz w:val="40"/>
          <w:szCs w:val="40"/>
          <w:rtl/>
        </w:rPr>
        <w:sectPr w:rsidR="00DF1FC7" w:rsidRPr="00497016" w:rsidSect="00B12B82">
          <w:pgSz w:w="11906" w:h="16838"/>
          <w:pgMar w:top="1440" w:right="1800" w:bottom="1440" w:left="1800" w:header="720" w:footer="720" w:gutter="0"/>
          <w:cols w:space="720"/>
          <w:bidi/>
          <w:rtlGutter/>
          <w:docGrid w:linePitch="360"/>
        </w:sectPr>
      </w:pPr>
    </w:p>
    <w:p w14:paraId="1A51793D" w14:textId="77777777" w:rsidR="00DF1FC7" w:rsidRPr="00497016" w:rsidRDefault="00DF1FC7" w:rsidP="00DF1FC7">
      <w:pPr>
        <w:rPr>
          <w:b/>
          <w:bCs/>
          <w:color w:val="4F81BD" w:themeColor="accent1"/>
          <w:sz w:val="32"/>
          <w:szCs w:val="32"/>
          <w:rtl/>
        </w:rPr>
      </w:pPr>
      <w:r w:rsidRPr="00497016">
        <w:rPr>
          <w:rFonts w:hint="cs"/>
          <w:b/>
          <w:bCs/>
          <w:color w:val="4F81BD" w:themeColor="accent1"/>
          <w:sz w:val="32"/>
          <w:szCs w:val="32"/>
          <w:rtl/>
        </w:rPr>
        <w:lastRenderedPageBreak/>
        <w:t>הסבר קצר על הסיכום</w:t>
      </w:r>
      <w:r>
        <w:rPr>
          <w:rFonts w:hint="cs"/>
          <w:b/>
          <w:bCs/>
          <w:color w:val="4F81BD" w:themeColor="accent1"/>
          <w:sz w:val="32"/>
          <w:szCs w:val="32"/>
          <w:rtl/>
        </w:rPr>
        <w:t>:</w:t>
      </w:r>
    </w:p>
    <w:p w14:paraId="42A4DB52" w14:textId="6D9391A8" w:rsidR="00DF1FC7" w:rsidRDefault="00DF1FC7" w:rsidP="00DF1FC7">
      <w:pPr>
        <w:rPr>
          <w:rtl/>
        </w:rPr>
      </w:pPr>
      <w:r>
        <w:rPr>
          <w:rFonts w:hint="cs"/>
          <w:rtl/>
        </w:rPr>
        <w:t xml:space="preserve">סיכום זה </w:t>
      </w:r>
      <w:r w:rsidRPr="004D32AD">
        <w:rPr>
          <w:rFonts w:hint="cs"/>
          <w:b/>
          <w:bCs/>
          <w:rtl/>
        </w:rPr>
        <w:t>אינ</w:t>
      </w:r>
      <w:r>
        <w:rPr>
          <w:rFonts w:hint="cs"/>
          <w:b/>
          <w:bCs/>
          <w:rtl/>
        </w:rPr>
        <w:t>ו</w:t>
      </w:r>
      <w:r w:rsidRPr="004D32AD">
        <w:rPr>
          <w:rFonts w:hint="cs"/>
          <w:b/>
          <w:bCs/>
          <w:rtl/>
        </w:rPr>
        <w:t xml:space="preserve"> סיכום תמציתי</w:t>
      </w:r>
      <w:r>
        <w:rPr>
          <w:rFonts w:hint="cs"/>
          <w:rtl/>
        </w:rPr>
        <w:t xml:space="preserve">. מטרת סיכום זה הוא - לימוד מסודר של הגמרות עם דברי הראשונים והאחרונים ע"י חלוקה לנושאים, ועוד. </w:t>
      </w:r>
    </w:p>
    <w:p w14:paraId="497EC18A" w14:textId="77777777" w:rsidR="00DF1FC7" w:rsidRDefault="00DF1FC7" w:rsidP="00DF1FC7">
      <w:pPr>
        <w:rPr>
          <w:rtl/>
        </w:rPr>
      </w:pPr>
      <w:r>
        <w:rPr>
          <w:rFonts w:hint="cs"/>
          <w:rtl/>
        </w:rPr>
        <w:t>פעמים רבות הבאתי גמרות שלא מובאות בב"י מכיון שהן נצרכות להבנת הסוגיא. את סוגיות הגמרא שהוספתי לקחתי מתוך דברי הראשונים מציוני הגר"א באר הגולה ושאר אחרונים.</w:t>
      </w:r>
    </w:p>
    <w:p w14:paraId="1ED3A26D" w14:textId="77777777" w:rsidR="00DF1FC7" w:rsidRDefault="00DF1FC7" w:rsidP="00DF1FC7">
      <w:pPr>
        <w:rPr>
          <w:rtl/>
        </w:rPr>
      </w:pPr>
      <w:r>
        <w:rPr>
          <w:rFonts w:hint="cs"/>
          <w:rtl/>
        </w:rPr>
        <w:t xml:space="preserve">דברי הראשונים מועתקים בדרך כלל מתוך ספריהם ולא מתוך מה שהעתיק הב"י, חוץ ממקומות שאין הבדל משמעותי. ישנם ראשונים שהעתקתי שלא מובאים בב"י או שמובאים במקומות אחרים בב"י. כשיש קבוצה של ראשונים שנוקטים באותה עמדה - העתקתי בדר"כ את לשונו של הראשון שמפרט די הצורך לאותו עניין. על פי רוב זו הלשון שהעתיק מהר"י קארו בשו"ע. במידה ויש מספר ראשונים שלומדים מהם דברים קטנים אחרים או שיש הבדל קטנים שאינם משנים לגבי הנושא המדובר </w:t>
      </w:r>
      <w:r>
        <w:rPr>
          <w:rtl/>
        </w:rPr>
        <w:t>–</w:t>
      </w:r>
      <w:r>
        <w:rPr>
          <w:rFonts w:hint="cs"/>
          <w:rtl/>
        </w:rPr>
        <w:t xml:space="preserve"> הבאתי את לשונם בהערה הצמודה לשמם. עיין בפנים לדוגמאות.</w:t>
      </w:r>
    </w:p>
    <w:p w14:paraId="380AFA87" w14:textId="77777777" w:rsidR="00DF1FC7" w:rsidRDefault="00DF1FC7" w:rsidP="00DF1FC7">
      <w:pPr>
        <w:rPr>
          <w:rtl/>
        </w:rPr>
      </w:pPr>
      <w:r>
        <w:rPr>
          <w:rFonts w:hint="cs"/>
          <w:rtl/>
        </w:rPr>
        <w:t xml:space="preserve">עשיתי סימנים כמעט לכל הגמרות שמובאות בסיכום. הסימן נמצא בהערה הצמודה לציון הדף בגמרא. בנוסף לזה ריכזתי את הסימנים בקובץ נפרד בטבלא גדולה לפי גמרות ובתוספת הציטוט העיקרי של הגמ', על מנת שיהיה קל בחזרות לחזור משם על הסימנים. מי שמעוניין בטבלא זו שישלח לי הודעה במייל ואשלח בלנ"ד. יש מספר סימנים שהוספתי אח"כ שאינם מובאים בסיכום זה אלא בטבלה שבקובץ הנפרד. </w:t>
      </w:r>
    </w:p>
    <w:p w14:paraId="100735AC" w14:textId="788929DC" w:rsidR="00031EFE" w:rsidRPr="00031EFE" w:rsidRDefault="00031EFE" w:rsidP="00031EFE">
      <w:pPr>
        <w:rPr>
          <w:b/>
          <w:bCs/>
          <w:rtl/>
        </w:rPr>
      </w:pPr>
      <w:r w:rsidRPr="00031EFE">
        <w:rPr>
          <w:rFonts w:hint="cs"/>
          <w:b/>
          <w:bCs/>
          <w:rtl/>
        </w:rPr>
        <w:t>הבהרה - הסיכום אינו גמור כלל (אין את כל הסימנים, ו</w:t>
      </w:r>
      <w:r>
        <w:rPr>
          <w:rFonts w:hint="cs"/>
          <w:b/>
          <w:bCs/>
          <w:rtl/>
        </w:rPr>
        <w:t xml:space="preserve">הסימנים שכן סוכמו </w:t>
      </w:r>
      <w:r>
        <w:rPr>
          <w:b/>
          <w:bCs/>
          <w:rtl/>
        </w:rPr>
        <w:t>–</w:t>
      </w:r>
      <w:r>
        <w:rPr>
          <w:rFonts w:hint="cs"/>
          <w:b/>
          <w:bCs/>
          <w:rtl/>
        </w:rPr>
        <w:t xml:space="preserve"> לא </w:t>
      </w:r>
      <w:r w:rsidRPr="00031EFE">
        <w:rPr>
          <w:rFonts w:hint="cs"/>
          <w:b/>
          <w:bCs/>
          <w:rtl/>
        </w:rPr>
        <w:t>חזרתי ותיקנתי מה שצריך). עם זאת העליתי אותו שיהיה לתועלת מי שיצטרך את הסימנים שכן סוכמו.</w:t>
      </w:r>
    </w:p>
    <w:p w14:paraId="7E4A5591" w14:textId="77777777" w:rsidR="00DF1FC7" w:rsidRDefault="00DF1FC7" w:rsidP="00DF1FC7">
      <w:pPr>
        <w:rPr>
          <w:rtl/>
        </w:rPr>
      </w:pPr>
      <w:r>
        <w:rPr>
          <w:rFonts w:hint="cs"/>
          <w:rtl/>
        </w:rPr>
        <w:t xml:space="preserve">נשארו מספר מקומות שנשארתי בצריך עיון </w:t>
      </w:r>
      <w:r>
        <w:rPr>
          <w:rtl/>
        </w:rPr>
        <w:t>–</w:t>
      </w:r>
      <w:r>
        <w:rPr>
          <w:rFonts w:hint="cs"/>
          <w:rtl/>
        </w:rPr>
        <w:t xml:space="preserve"> סימנתי אותם באדום. </w:t>
      </w:r>
    </w:p>
    <w:p w14:paraId="04C19271" w14:textId="08C5DC7C" w:rsidR="00DF1FC7" w:rsidRDefault="00DF1FC7" w:rsidP="00DF1FC7">
      <w:pPr>
        <w:rPr>
          <w:rtl/>
        </w:rPr>
      </w:pPr>
      <w:r>
        <w:rPr>
          <w:rFonts w:hint="cs"/>
          <w:rtl/>
        </w:rPr>
        <w:t>למי שלומד מהמחשב מומלץ לחלק את הסיכום לכמה חלקים (כדאי לפי נושאים) על מנת שהמחשב ירוץ ולא יתקע על כל שינוי בסיכום. מי שרוצה שיפנה אלי במייל ואשלח לו את הסיכום בקבצים מחולקים (כי להעלות לאתר של סמיכה אפשר רק כשזה בקובץ אחד).</w:t>
      </w:r>
    </w:p>
    <w:p w14:paraId="111BA8C9" w14:textId="77777777" w:rsidR="00DF1FC7" w:rsidRDefault="00DF1FC7" w:rsidP="00DF1FC7">
      <w:pPr>
        <w:rPr>
          <w:rtl/>
        </w:rPr>
      </w:pPr>
      <w:r>
        <w:rPr>
          <w:rFonts w:hint="cs"/>
          <w:rtl/>
        </w:rPr>
        <w:t xml:space="preserve">אין לעשות מסיכום זה ספר לצורך מכירה. </w:t>
      </w:r>
    </w:p>
    <w:p w14:paraId="6D26CF2E" w14:textId="77777777" w:rsidR="00DF1FC7" w:rsidRDefault="00DF1FC7" w:rsidP="00DF1FC7">
      <w:pPr>
        <w:rPr>
          <w:rtl/>
        </w:rPr>
      </w:pPr>
      <w:r>
        <w:rPr>
          <w:rFonts w:hint="cs"/>
          <w:rtl/>
        </w:rPr>
        <w:t xml:space="preserve">השארתי את הסיכום בקובץ וורד על מנת שכל אחד יוכל לתקן לשנות ולהוסיף כראות עיניו. </w:t>
      </w:r>
      <w:r w:rsidRPr="00374629">
        <w:rPr>
          <w:rFonts w:hint="cs"/>
          <w:b/>
          <w:bCs/>
          <w:rtl/>
        </w:rPr>
        <w:t>עם זאת אבקש אם אפשר למי שמצא טעות שישלח לי על מנת שאוכל לתקן אצלי</w:t>
      </w:r>
      <w:r>
        <w:rPr>
          <w:rFonts w:hint="cs"/>
          <w:rtl/>
        </w:rPr>
        <w:t xml:space="preserve">. </w:t>
      </w:r>
    </w:p>
    <w:p w14:paraId="04E6FF57" w14:textId="77777777" w:rsidR="00DF1FC7" w:rsidRDefault="00DF1FC7" w:rsidP="00DF1FC7">
      <w:pPr>
        <w:rPr>
          <w:rtl/>
        </w:rPr>
      </w:pPr>
      <w:r>
        <w:rPr>
          <w:rFonts w:hint="cs"/>
          <w:rtl/>
        </w:rPr>
        <w:t>יצחק ממן</w:t>
      </w:r>
    </w:p>
    <w:p w14:paraId="2CDE682D" w14:textId="77777777" w:rsidR="00DF1FC7" w:rsidRDefault="00DF1FC7" w:rsidP="00DF1FC7">
      <w:pPr>
        <w:rPr>
          <w:rtl/>
        </w:rPr>
      </w:pPr>
      <w:r>
        <w:rPr>
          <w:rFonts w:hint="cs"/>
          <w:rtl/>
        </w:rPr>
        <w:t xml:space="preserve">מייל </w:t>
      </w:r>
      <w:r>
        <w:rPr>
          <w:rtl/>
        </w:rPr>
        <w:t>–</w:t>
      </w:r>
      <w:r>
        <w:rPr>
          <w:rFonts w:hint="cs"/>
          <w:rtl/>
        </w:rPr>
        <w:t xml:space="preserve"> </w:t>
      </w:r>
      <w:hyperlink r:id="rId8" w:history="1">
        <w:r w:rsidRPr="0066196F">
          <w:rPr>
            <w:rStyle w:val="Hyperlink"/>
          </w:rPr>
          <w:t>itzakmaman@gmail.com</w:t>
        </w:r>
      </w:hyperlink>
      <w:r>
        <w:rPr>
          <w:rFonts w:hint="cs"/>
          <w:rtl/>
        </w:rPr>
        <w:t xml:space="preserve">         </w:t>
      </w:r>
    </w:p>
    <w:p w14:paraId="6B4F4955" w14:textId="77777777" w:rsidR="00DF1FC7" w:rsidRDefault="00DF1FC7" w:rsidP="00DF1FC7">
      <w:pPr>
        <w:rPr>
          <w:rtl/>
        </w:rPr>
      </w:pPr>
      <w:r>
        <w:rPr>
          <w:rFonts w:hint="cs"/>
          <w:rtl/>
        </w:rPr>
        <w:t xml:space="preserve">טלפון </w:t>
      </w:r>
      <w:r>
        <w:rPr>
          <w:rtl/>
        </w:rPr>
        <w:t>–</w:t>
      </w:r>
      <w:r>
        <w:rPr>
          <w:rFonts w:hint="cs"/>
          <w:rtl/>
        </w:rPr>
        <w:t xml:space="preserve"> 0545662712 </w:t>
      </w:r>
    </w:p>
    <w:p w14:paraId="5BBD2A8D" w14:textId="77777777" w:rsidR="00DF1FC7" w:rsidRDefault="00DF1FC7" w:rsidP="00DF1FC7">
      <w:pPr>
        <w:rPr>
          <w:rtl/>
        </w:rPr>
      </w:pPr>
      <w:r>
        <w:rPr>
          <w:rFonts w:hint="cs"/>
          <w:rtl/>
        </w:rPr>
        <w:t>בנוסף, אפשר להכנס לאתר 'ברית יצחק' (</w:t>
      </w:r>
      <w:r>
        <w:t>brit-itzak.com</w:t>
      </w:r>
      <w:r>
        <w:rPr>
          <w:rFonts w:hint="cs"/>
          <w:rtl/>
        </w:rPr>
        <w:t>), שם אני מעדכן מדי פעם את הסיכומים והטבלאות. וכן שם יש את הקבצים המחולקים.</w:t>
      </w:r>
    </w:p>
    <w:p w14:paraId="031659FD" w14:textId="77777777" w:rsidR="00DF1FC7" w:rsidRDefault="00DF1FC7" w:rsidP="00DF1FC7">
      <w:hyperlink r:id="rId9" w:history="1">
        <w:r w:rsidRPr="009F570C">
          <w:rPr>
            <w:rStyle w:val="Hyperlink"/>
            <w:rFonts w:hint="cs"/>
            <w:rtl/>
          </w:rPr>
          <w:t>לסכומי דיינות לחץ כאן</w:t>
        </w:r>
      </w:hyperlink>
      <w:r>
        <w:rPr>
          <w:rFonts w:hint="cs"/>
          <w:rtl/>
        </w:rPr>
        <w:t xml:space="preserve"> </w:t>
      </w:r>
    </w:p>
    <w:p w14:paraId="2D23ABD6" w14:textId="0B86EE91" w:rsidR="00D5515C" w:rsidRDefault="00DF1FC7" w:rsidP="00DF1FC7">
      <w:pPr>
        <w:rPr>
          <w:b/>
          <w:bCs/>
          <w:sz w:val="40"/>
          <w:szCs w:val="40"/>
          <w:u w:val="single"/>
          <w:rtl/>
        </w:rPr>
      </w:pPr>
      <w:hyperlink r:id="rId10" w:history="1">
        <w:r w:rsidRPr="009F570C">
          <w:rPr>
            <w:rStyle w:val="Hyperlink"/>
            <w:rFonts w:hint="cs"/>
            <w:rtl/>
          </w:rPr>
          <w:t>לסכומי רבנות לחץ כאן</w:t>
        </w:r>
      </w:hyperlink>
    </w:p>
    <w:p w14:paraId="056ADAE0" w14:textId="77777777" w:rsidR="00DF1FC7" w:rsidRDefault="00DF1FC7" w:rsidP="008E16D0">
      <w:pPr>
        <w:pStyle w:val="1"/>
        <w:rPr>
          <w:rFonts w:asciiTheme="minorBidi" w:hAnsiTheme="minorBidi"/>
          <w:rtl/>
        </w:rPr>
        <w:sectPr w:rsidR="00DF1FC7" w:rsidSect="00A347B3">
          <w:headerReference w:type="default" r:id="rId11"/>
          <w:footnotePr>
            <w:numRestart w:val="eachPage"/>
          </w:footnotePr>
          <w:pgSz w:w="11906" w:h="16838"/>
          <w:pgMar w:top="720" w:right="1134" w:bottom="720" w:left="1134" w:header="0" w:footer="0" w:gutter="0"/>
          <w:cols w:space="720"/>
          <w:bidi/>
          <w:rtlGutter/>
          <w:docGrid w:linePitch="360"/>
        </w:sectPr>
      </w:pPr>
    </w:p>
    <w:p w14:paraId="2DFE4F72" w14:textId="4F5B8785"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כו:</w:t>
      </w:r>
      <w:r w:rsidRPr="00351B7D">
        <w:rPr>
          <w:rFonts w:asciiTheme="minorBidi" w:hAnsiTheme="minorBidi"/>
        </w:rPr>
        <w:t xml:space="preserve"> </w:t>
      </w:r>
      <w:r w:rsidRPr="00351B7D">
        <w:rPr>
          <w:rFonts w:asciiTheme="minorBidi" w:hAnsiTheme="minorBidi"/>
          <w:rtl/>
        </w:rPr>
        <w:t xml:space="preserve">שלא לקדש בביאה, ואיסור ביאה על הפנויה אפילו אם יחדה, ובו ד' סעיפים. </w:t>
      </w:r>
    </w:p>
    <w:p w14:paraId="103A9392" w14:textId="77777777" w:rsidR="008E16D0" w:rsidRPr="00351B7D" w:rsidRDefault="008E16D0" w:rsidP="008E16D0">
      <w:pPr>
        <w:pStyle w:val="2"/>
        <w:rPr>
          <w:rFonts w:asciiTheme="minorBidi" w:hAnsiTheme="minorBidi"/>
          <w:rtl/>
        </w:rPr>
      </w:pPr>
      <w:r w:rsidRPr="00351B7D">
        <w:rPr>
          <w:rFonts w:asciiTheme="minorBidi" w:hAnsiTheme="minorBidi"/>
          <w:rtl/>
        </w:rPr>
        <w:t xml:space="preserve">סעיף א: אין אשה מתקדשת בבעילת זנות. </w:t>
      </w:r>
    </w:p>
    <w:p w14:paraId="323C02A2" w14:textId="77777777" w:rsidR="008E16D0" w:rsidRPr="00351B7D" w:rsidRDefault="008E16D0" w:rsidP="008E16D0">
      <w:pPr>
        <w:rPr>
          <w:rFonts w:asciiTheme="minorBidi" w:hAnsiTheme="minorBidi"/>
          <w:rtl/>
        </w:rPr>
      </w:pPr>
      <w:r w:rsidRPr="00351B7D">
        <w:rPr>
          <w:rFonts w:asciiTheme="minorBidi" w:hAnsiTheme="minorBidi"/>
          <w:b/>
          <w:bCs/>
          <w:rtl/>
        </w:rPr>
        <w:t>דברים פכ"ג פי"ח:</w:t>
      </w:r>
      <w:r w:rsidRPr="00351B7D">
        <w:rPr>
          <w:rFonts w:asciiTheme="minorBidi" w:hAnsiTheme="minorBidi"/>
          <w:rtl/>
        </w:rPr>
        <w:t xml:space="preserve"> לֹא־תִהְיֶ֥ה קְדֵשָׁ֖ה מִבְּנ֣וֹת יִשְׂרָאֵ֑ל וְלֹֽא־יִהְיֶ֥ה קָדֵ֖שׁ מִבְּנֵ֥י יִשְׂרָאֵֽל.</w:t>
      </w:r>
    </w:p>
    <w:p w14:paraId="433DDC57"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איזוהי "קדשה":</w:t>
      </w:r>
    </w:p>
    <w:p w14:paraId="373AC721" w14:textId="77777777" w:rsidR="008E16D0" w:rsidRPr="00351B7D" w:rsidRDefault="008E16D0" w:rsidP="00A8697F">
      <w:pPr>
        <w:pStyle w:val="ab"/>
        <w:numPr>
          <w:ilvl w:val="0"/>
          <w:numId w:val="3"/>
        </w:numPr>
        <w:rPr>
          <w:rFonts w:asciiTheme="minorBidi" w:hAnsiTheme="minorBidi"/>
        </w:rPr>
      </w:pPr>
      <w:r w:rsidRPr="00351B7D">
        <w:rPr>
          <w:rFonts w:asciiTheme="minorBidi" w:hAnsiTheme="minorBidi"/>
          <w:rtl/>
        </w:rPr>
        <w:t>אונקלוס- "לא תהי אתתא מבנת ישראל לגבר עבד ולא יסב גוברא מבני ישראל אתא אמא"</w:t>
      </w:r>
      <w:r w:rsidRPr="00351B7D">
        <w:rPr>
          <w:rStyle w:val="a7"/>
          <w:rFonts w:asciiTheme="minorBidi" w:hAnsiTheme="minorBidi"/>
          <w:rtl/>
        </w:rPr>
        <w:footnoteReference w:id="1"/>
      </w:r>
      <w:r w:rsidRPr="00351B7D">
        <w:rPr>
          <w:rFonts w:asciiTheme="minorBidi" w:hAnsiTheme="minorBidi"/>
          <w:rtl/>
        </w:rPr>
        <w:t>.</w:t>
      </w:r>
    </w:p>
    <w:p w14:paraId="64F60870" w14:textId="77777777" w:rsidR="008E16D0" w:rsidRPr="00351B7D" w:rsidRDefault="008E16D0" w:rsidP="00A8697F">
      <w:pPr>
        <w:pStyle w:val="ab"/>
        <w:numPr>
          <w:ilvl w:val="0"/>
          <w:numId w:val="3"/>
        </w:numPr>
        <w:rPr>
          <w:rFonts w:asciiTheme="minorBidi" w:hAnsiTheme="minorBidi"/>
        </w:rPr>
      </w:pPr>
      <w:r w:rsidRPr="00351B7D">
        <w:rPr>
          <w:rFonts w:asciiTheme="minorBidi" w:hAnsiTheme="minorBidi"/>
          <w:rtl/>
        </w:rPr>
        <w:t>רמב"ם</w:t>
      </w:r>
      <w:r w:rsidRPr="00351B7D">
        <w:rPr>
          <w:rStyle w:val="a7"/>
          <w:rFonts w:asciiTheme="minorBidi" w:hAnsiTheme="minorBidi"/>
          <w:rtl/>
        </w:rPr>
        <w:footnoteReference w:id="2"/>
      </w:r>
      <w:r w:rsidRPr="00351B7D">
        <w:rPr>
          <w:rFonts w:asciiTheme="minorBidi" w:hAnsiTheme="minorBidi"/>
          <w:rtl/>
        </w:rPr>
        <w:t xml:space="preserve"> וראב"ד</w:t>
      </w:r>
      <w:r w:rsidRPr="00351B7D">
        <w:rPr>
          <w:rStyle w:val="a7"/>
          <w:rFonts w:asciiTheme="minorBidi" w:hAnsiTheme="minorBidi"/>
          <w:rtl/>
        </w:rPr>
        <w:footnoteReference w:id="3"/>
      </w:r>
      <w:r w:rsidRPr="00351B7D">
        <w:rPr>
          <w:rFonts w:asciiTheme="minorBidi" w:hAnsiTheme="minorBidi"/>
          <w:rtl/>
        </w:rPr>
        <w:t xml:space="preserve">- אשה </w:t>
      </w:r>
      <w:r w:rsidRPr="00351B7D">
        <w:rPr>
          <w:rFonts w:asciiTheme="minorBidi" w:hAnsiTheme="minorBidi"/>
          <w:u w:val="single"/>
          <w:rtl/>
        </w:rPr>
        <w:t>שמופקרת</w:t>
      </w:r>
      <w:r w:rsidRPr="00351B7D">
        <w:rPr>
          <w:rFonts w:asciiTheme="minorBidi" w:hAnsiTheme="minorBidi"/>
          <w:rtl/>
        </w:rPr>
        <w:t xml:space="preserve"> לזנות בלא קדושין, ולוקה מן התורה.</w:t>
      </w:r>
      <w:r w:rsidRPr="00351B7D">
        <w:rPr>
          <w:rFonts w:asciiTheme="minorBidi" w:hAnsiTheme="minorBidi"/>
          <w:color w:val="E36C0A" w:themeColor="accent6" w:themeShade="BF"/>
          <w:rtl/>
        </w:rPr>
        <w:t xml:space="preserve"> (וכ"פ בשו"ע)</w:t>
      </w:r>
    </w:p>
    <w:p w14:paraId="4DAEAD84" w14:textId="77777777" w:rsidR="008E16D0" w:rsidRPr="00351B7D" w:rsidRDefault="008E16D0" w:rsidP="00A8697F">
      <w:pPr>
        <w:pStyle w:val="ab"/>
        <w:numPr>
          <w:ilvl w:val="0"/>
          <w:numId w:val="3"/>
        </w:numPr>
        <w:rPr>
          <w:rFonts w:asciiTheme="minorBidi" w:hAnsiTheme="minorBidi"/>
        </w:rPr>
      </w:pPr>
      <w:r w:rsidRPr="00351B7D">
        <w:rPr>
          <w:rFonts w:asciiTheme="minorBidi" w:hAnsiTheme="minorBidi"/>
          <w:rtl/>
        </w:rPr>
        <w:t>רמב"ן רא"ש וטור</w:t>
      </w:r>
      <w:r w:rsidRPr="00351B7D">
        <w:rPr>
          <w:rStyle w:val="a7"/>
          <w:rFonts w:asciiTheme="minorBidi" w:hAnsiTheme="minorBidi"/>
          <w:rtl/>
        </w:rPr>
        <w:footnoteReference w:id="4"/>
      </w:r>
      <w:r w:rsidRPr="00351B7D">
        <w:rPr>
          <w:rFonts w:asciiTheme="minorBidi" w:hAnsiTheme="minorBidi"/>
          <w:rtl/>
        </w:rPr>
        <w:t>- "אם בא עליה אדם בלא קידושין לשם זנות לוקה משום לא תהיה קדשה</w:t>
      </w:r>
      <w:r w:rsidRPr="00351B7D">
        <w:rPr>
          <w:rFonts w:asciiTheme="minorBidi" w:hAnsiTheme="minorBidi"/>
          <w:sz w:val="16"/>
          <w:szCs w:val="16"/>
          <w:rtl/>
        </w:rPr>
        <w:t xml:space="preserve"> (ל' הטור)</w:t>
      </w:r>
      <w:r w:rsidRPr="00351B7D">
        <w:rPr>
          <w:rFonts w:asciiTheme="minorBidi" w:hAnsiTheme="minorBidi"/>
          <w:rtl/>
        </w:rPr>
        <w:t>"</w:t>
      </w:r>
      <w:r w:rsidRPr="00351B7D">
        <w:rPr>
          <w:rStyle w:val="a7"/>
          <w:rFonts w:asciiTheme="minorBidi" w:hAnsiTheme="minorBidi"/>
          <w:rtl/>
        </w:rPr>
        <w:footnoteReference w:id="5"/>
      </w:r>
      <w:r w:rsidRPr="00351B7D">
        <w:rPr>
          <w:rFonts w:asciiTheme="minorBidi" w:hAnsiTheme="minorBidi"/>
          <w:rtl/>
        </w:rPr>
        <w:t xml:space="preserve">. </w:t>
      </w:r>
    </w:p>
    <w:p w14:paraId="41439252" w14:textId="77777777" w:rsidR="008E16D0" w:rsidRPr="00351B7D" w:rsidRDefault="008E16D0" w:rsidP="008E16D0">
      <w:pPr>
        <w:rPr>
          <w:rFonts w:asciiTheme="minorBidi" w:hAnsiTheme="minorBidi"/>
          <w:rtl/>
        </w:rPr>
      </w:pPr>
      <w:r w:rsidRPr="00351B7D">
        <w:rPr>
          <w:rFonts w:asciiTheme="minorBidi" w:hAnsiTheme="minorBidi"/>
          <w:b/>
          <w:bCs/>
          <w:rtl/>
        </w:rPr>
        <w:t xml:space="preserve">סנהדרין כא ע"א: </w:t>
      </w:r>
      <w:r w:rsidRPr="00351B7D">
        <w:rPr>
          <w:rFonts w:asciiTheme="minorBidi" w:hAnsiTheme="minorBidi"/>
          <w:rtl/>
        </w:rPr>
        <w:t xml:space="preserve">ויקח דוד עוד פלגשים ונשים בירושלים, למלויי שמונה עשר. מאי נשים ומאי פלגשים? </w:t>
      </w:r>
      <w:r w:rsidRPr="00351B7D">
        <w:rPr>
          <w:rFonts w:asciiTheme="minorBidi" w:hAnsiTheme="minorBidi"/>
          <w:u w:val="single"/>
          <w:rtl/>
        </w:rPr>
        <w:t>אמר רב יהודה אמר רב:</w:t>
      </w:r>
      <w:r w:rsidRPr="00351B7D">
        <w:rPr>
          <w:rFonts w:asciiTheme="minorBidi" w:hAnsiTheme="minorBidi"/>
          <w:rtl/>
        </w:rPr>
        <w:t xml:space="preserve"> נשים- בכתובה [ובקידושין], פלגשים - בלא כתובה </w:t>
      </w:r>
      <w:r w:rsidRPr="00351B7D">
        <w:rPr>
          <w:rStyle w:val="a7"/>
          <w:rFonts w:asciiTheme="minorBidi" w:hAnsiTheme="minorBidi"/>
          <w:rtl/>
        </w:rPr>
        <w:footnoteReference w:id="6"/>
      </w:r>
      <w:r w:rsidRPr="00351B7D">
        <w:rPr>
          <w:rFonts w:asciiTheme="minorBidi" w:hAnsiTheme="minorBidi"/>
          <w:rtl/>
        </w:rPr>
        <w:t>[ובלא קידושין].</w:t>
      </w:r>
    </w:p>
    <w:p w14:paraId="585126CF" w14:textId="77777777" w:rsidR="008E16D0" w:rsidRPr="00351B7D" w:rsidRDefault="008E16D0" w:rsidP="008E16D0">
      <w:pPr>
        <w:rPr>
          <w:rFonts w:asciiTheme="minorBidi" w:hAnsiTheme="minorBidi"/>
          <w:rtl/>
        </w:rPr>
      </w:pPr>
      <w:r w:rsidRPr="00351B7D">
        <w:rPr>
          <w:rFonts w:asciiTheme="minorBidi" w:hAnsiTheme="minorBidi"/>
          <w:b/>
          <w:bCs/>
          <w:rtl/>
        </w:rPr>
        <w:t xml:space="preserve">ירושלמי </w:t>
      </w:r>
      <w:r w:rsidRPr="00351B7D">
        <w:rPr>
          <w:rFonts w:asciiTheme="minorBidi" w:hAnsiTheme="minorBidi"/>
          <w:b/>
          <w:bCs/>
          <w:sz w:val="16"/>
          <w:szCs w:val="16"/>
          <w:rtl/>
        </w:rPr>
        <w:t>(וילנא)</w:t>
      </w:r>
      <w:r w:rsidRPr="00351B7D">
        <w:rPr>
          <w:rFonts w:asciiTheme="minorBidi" w:hAnsiTheme="minorBidi"/>
          <w:b/>
          <w:bCs/>
          <w:rtl/>
        </w:rPr>
        <w:t xml:space="preserve"> כתובות פ"ה ה"ב: </w:t>
      </w:r>
      <w:r w:rsidRPr="00351B7D">
        <w:rPr>
          <w:rFonts w:asciiTheme="minorBidi" w:hAnsiTheme="minorBidi"/>
          <w:rtl/>
        </w:rPr>
        <w:t xml:space="preserve">ואי זו היא אשה ואי זו היא פילגש? </w:t>
      </w:r>
      <w:r w:rsidRPr="00351B7D">
        <w:rPr>
          <w:rFonts w:asciiTheme="minorBidi" w:hAnsiTheme="minorBidi"/>
          <w:u w:val="single"/>
          <w:rtl/>
        </w:rPr>
        <w:t>ר' מאיר אומר</w:t>
      </w:r>
      <w:r w:rsidRPr="00351B7D">
        <w:rPr>
          <w:rFonts w:asciiTheme="minorBidi" w:hAnsiTheme="minorBidi"/>
          <w:rtl/>
        </w:rPr>
        <w:t xml:space="preserve">: אשה יש לה כתובה, פילגש אין לה כתובה, </w:t>
      </w:r>
      <w:r w:rsidRPr="00351B7D">
        <w:rPr>
          <w:rFonts w:asciiTheme="minorBidi" w:hAnsiTheme="minorBidi"/>
          <w:u w:val="single"/>
          <w:rtl/>
        </w:rPr>
        <w:t>רבי יודה אומר</w:t>
      </w:r>
      <w:r w:rsidRPr="00351B7D">
        <w:rPr>
          <w:rFonts w:asciiTheme="minorBidi" w:hAnsiTheme="minorBidi"/>
          <w:rtl/>
        </w:rPr>
        <w:t>: אחת זו ואחת זו יש לה כתובה, אשה יש לה כתובה ותנאי כתובה, פילגש יש לה כתובה ואין לה תנאי כתובה.</w:t>
      </w:r>
    </w:p>
    <w:p w14:paraId="3C4AB6EE"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איזוהי "פילגש":</w:t>
      </w:r>
      <w:r w:rsidRPr="00351B7D">
        <w:rPr>
          <w:rFonts w:asciiTheme="minorBidi" w:hAnsiTheme="minorBidi"/>
          <w:rtl/>
        </w:rPr>
        <w:t xml:space="preserve"> </w:t>
      </w:r>
      <w:r w:rsidRPr="00351B7D">
        <w:rPr>
          <w:rFonts w:asciiTheme="minorBidi" w:hAnsiTheme="minorBidi"/>
          <w:color w:val="000000"/>
          <w:sz w:val="16"/>
          <w:szCs w:val="16"/>
          <w:rtl/>
        </w:rPr>
        <w:t xml:space="preserve">  (כס"מ הל' מלכים פ"ד ה"ד)</w:t>
      </w:r>
    </w:p>
    <w:p w14:paraId="1958993C" w14:textId="77777777" w:rsidR="008E16D0" w:rsidRPr="00351B7D" w:rsidRDefault="008E16D0" w:rsidP="00A8697F">
      <w:pPr>
        <w:pStyle w:val="ab"/>
        <w:numPr>
          <w:ilvl w:val="0"/>
          <w:numId w:val="4"/>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(מלכים פ"ד ה"ד)</w:t>
      </w:r>
      <w:r w:rsidRPr="00351B7D">
        <w:rPr>
          <w:rFonts w:asciiTheme="minorBidi" w:hAnsiTheme="minorBidi"/>
          <w:rtl/>
        </w:rPr>
        <w:t xml:space="preserve"> ורמב"ן</w:t>
      </w:r>
      <w:r w:rsidRPr="00351B7D">
        <w:rPr>
          <w:rFonts w:asciiTheme="minorBidi" w:hAnsiTheme="minorBidi"/>
          <w:sz w:val="16"/>
          <w:szCs w:val="16"/>
          <w:rtl/>
        </w:rPr>
        <w:t xml:space="preserve"> (בראשית כה ו)</w:t>
      </w:r>
      <w:r w:rsidRPr="00351B7D">
        <w:rPr>
          <w:rFonts w:asciiTheme="minorBidi" w:hAnsiTheme="minorBidi"/>
          <w:rtl/>
        </w:rPr>
        <w:t xml:space="preserve">- אשה המיוחדת לו בלא קידושין ובלא כתובה </w:t>
      </w:r>
      <w:r w:rsidRPr="00351B7D">
        <w:rPr>
          <w:rFonts w:asciiTheme="minorBidi" w:hAnsiTheme="minorBidi"/>
          <w:sz w:val="16"/>
          <w:szCs w:val="16"/>
          <w:rtl/>
        </w:rPr>
        <w:t>(כגירסתנו בגמ')</w:t>
      </w:r>
      <w:r w:rsidRPr="00351B7D">
        <w:rPr>
          <w:rFonts w:asciiTheme="minorBidi" w:hAnsiTheme="minorBidi"/>
          <w:rtl/>
        </w:rPr>
        <w:t>.</w:t>
      </w:r>
    </w:p>
    <w:p w14:paraId="76FB654A" w14:textId="77777777" w:rsidR="008E16D0" w:rsidRPr="00351B7D" w:rsidRDefault="008E16D0" w:rsidP="00A8697F">
      <w:pPr>
        <w:pStyle w:val="ab"/>
        <w:numPr>
          <w:ilvl w:val="0"/>
          <w:numId w:val="4"/>
        </w:numPr>
        <w:rPr>
          <w:rFonts w:asciiTheme="minorBidi" w:hAnsiTheme="minorBidi"/>
          <w:rtl/>
        </w:rPr>
      </w:pPr>
      <w:r w:rsidRPr="00351B7D">
        <w:rPr>
          <w:rFonts w:asciiTheme="minorBidi" w:hAnsiTheme="minorBidi"/>
          <w:rtl/>
        </w:rPr>
        <mc:AlternateContent>
          <mc:Choice Requires="wps">
            <w:drawing>
              <wp:anchor distT="0" distB="0" distL="114300" distR="114300" simplePos="0" relativeHeight="251659264" behindDoc="0" locked="0" layoutInCell="1" allowOverlap="1" wp14:anchorId="3F225374" wp14:editId="22E8709E">
                <wp:simplePos x="0" y="0"/>
                <wp:positionH relativeFrom="column">
                  <wp:posOffset>4990696</wp:posOffset>
                </wp:positionH>
                <wp:positionV relativeFrom="paragraph">
                  <wp:posOffset>205740</wp:posOffset>
                </wp:positionV>
                <wp:extent cx="45719" cy="89065"/>
                <wp:effectExtent l="19050" t="0" r="31115" b="44450"/>
                <wp:wrapNone/>
                <wp:docPr id="1" name="Down Arrow 1"/>
                <wp:cNvGraphicFramePr/>
                <a:graphic xmlns:a="http://schemas.openxmlformats.org/drawingml/2006/main">
                  <a:graphicData uri="http://schemas.microsoft.com/office/word/2010/wordprocessingShape">
                    <wps:wsp>
                      <wps:cNvSpPr/>
                      <wps:spPr>
                        <a:xfrm>
                          <a:off x="0" y="0"/>
                          <a:ext cx="45719" cy="890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6C60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left:0;text-align:left;margin-left:392.95pt;margin-top:16.2pt;width:3.6pt;height: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" adj="16056" fillcolor="black [3200]" strokecolor="black [1600]" strokeweight="2pt"/>
            </w:pict>
          </mc:Fallback>
        </mc:AlternateContent>
      </w:r>
      <w:r w:rsidRPr="00351B7D">
        <w:rPr>
          <w:rFonts w:asciiTheme="minorBidi" w:hAnsiTheme="minorBidi"/>
          <w:rtl/>
        </w:rPr>
        <w:t>רש"י</w:t>
      </w:r>
      <w:r w:rsidRPr="00351B7D">
        <w:rPr>
          <w:rFonts w:asciiTheme="minorBidi" w:hAnsiTheme="minorBidi"/>
          <w:sz w:val="16"/>
          <w:szCs w:val="16"/>
          <w:rtl/>
        </w:rPr>
        <w:t xml:space="preserve"> (בראשית כה ו)</w:t>
      </w:r>
      <w:r w:rsidRPr="00351B7D">
        <w:rPr>
          <w:rFonts w:asciiTheme="minorBidi" w:hAnsiTheme="minorBidi"/>
          <w:rtl/>
        </w:rPr>
        <w:t xml:space="preserve"> (ורמב"ם</w:t>
      </w:r>
      <w:r w:rsidRPr="00351B7D">
        <w:rPr>
          <w:rFonts w:asciiTheme="minorBidi" w:hAnsiTheme="minorBidi"/>
          <w:sz w:val="16"/>
          <w:szCs w:val="16"/>
          <w:rtl/>
        </w:rPr>
        <w:t xml:space="preserve"> </w:t>
      </w:r>
      <w:r w:rsidRPr="00351B7D">
        <w:rPr>
          <w:rFonts w:asciiTheme="minorBidi" w:hAnsiTheme="minorBidi"/>
          <w:sz w:val="14"/>
          <w:szCs w:val="14"/>
          <w:rtl/>
        </w:rPr>
        <w:t xml:space="preserve">[אישות פ"א ה"ד] </w:t>
      </w:r>
      <w:r w:rsidRPr="00351B7D">
        <w:rPr>
          <w:rFonts w:asciiTheme="minorBidi" w:hAnsiTheme="minorBidi"/>
          <w:sz w:val="16"/>
          <w:szCs w:val="16"/>
          <w:rtl/>
        </w:rPr>
        <w:t>להב' הה"מ</w:t>
      </w:r>
      <w:r w:rsidRPr="00351B7D">
        <w:rPr>
          <w:rFonts w:asciiTheme="minorBidi" w:hAnsiTheme="minorBidi"/>
          <w:rtl/>
        </w:rPr>
        <w:t xml:space="preserve">)- אשה המיוחדת לו בקידושין ובלא כתובה </w:t>
      </w:r>
      <w:r w:rsidRPr="00351B7D">
        <w:rPr>
          <w:rFonts w:asciiTheme="minorBidi" w:hAnsiTheme="minorBidi"/>
          <w:sz w:val="16"/>
          <w:szCs w:val="16"/>
          <w:rtl/>
        </w:rPr>
        <w:t>(כר' מאיר בירושלמי)</w:t>
      </w:r>
      <w:r w:rsidRPr="00351B7D">
        <w:rPr>
          <w:rFonts w:asciiTheme="minorBidi" w:hAnsiTheme="minorBidi"/>
          <w:rtl/>
        </w:rPr>
        <w:t>.</w:t>
      </w:r>
    </w:p>
    <w:p w14:paraId="2569C790" w14:textId="77777777" w:rsidR="008E16D0" w:rsidRPr="00351B7D" w:rsidRDefault="008E16D0" w:rsidP="008E16D0">
      <w:pPr>
        <w:ind w:left="360"/>
        <w:rPr>
          <w:rFonts w:asciiTheme="minorBidi" w:hAnsiTheme="minorBidi"/>
          <w:color w:val="000000"/>
          <w:sz w:val="16"/>
          <w:szCs w:val="16"/>
          <w:rtl/>
        </w:rPr>
      </w:pPr>
      <w:r w:rsidRPr="00351B7D">
        <w:rPr>
          <w:rFonts w:asciiTheme="minorBidi" w:hAnsiTheme="minorBidi"/>
          <w:u w:val="dotted"/>
          <w:rtl/>
        </w:rPr>
        <w:t>מה דין הבא על פילגש:</w:t>
      </w:r>
      <w:r w:rsidRPr="00351B7D">
        <w:rPr>
          <w:rFonts w:asciiTheme="minorBidi" w:hAnsiTheme="minorBidi"/>
          <w:rtl/>
        </w:rPr>
        <w:t xml:space="preserve"> </w:t>
      </w:r>
      <w:r w:rsidRPr="00351B7D">
        <w:rPr>
          <w:rFonts w:asciiTheme="minorBidi" w:hAnsiTheme="minorBidi"/>
          <w:color w:val="000000"/>
          <w:sz w:val="16"/>
          <w:szCs w:val="16"/>
          <w:rtl/>
        </w:rPr>
        <w:t xml:space="preserve">  (רמב"ם הל' מלכים פ"ד ה"ד)</w:t>
      </w:r>
    </w:p>
    <w:p w14:paraId="6619A691" w14:textId="77777777" w:rsidR="008E16D0" w:rsidRPr="00351B7D" w:rsidRDefault="008E16D0" w:rsidP="00A8697F">
      <w:pPr>
        <w:pStyle w:val="ab"/>
        <w:numPr>
          <w:ilvl w:val="0"/>
          <w:numId w:val="4"/>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להב' כס"מ</w:t>
      </w:r>
      <w:r w:rsidRPr="00351B7D">
        <w:rPr>
          <w:rStyle w:val="a7"/>
          <w:rFonts w:asciiTheme="minorBidi" w:hAnsiTheme="minorBidi"/>
          <w:rtl/>
        </w:rPr>
        <w:footnoteReference w:id="7"/>
      </w:r>
      <w:r w:rsidRPr="00351B7D">
        <w:rPr>
          <w:rFonts w:asciiTheme="minorBidi" w:hAnsiTheme="minorBidi"/>
          <w:sz w:val="16"/>
          <w:szCs w:val="16"/>
          <w:rtl/>
        </w:rPr>
        <w:t xml:space="preserve"> ורמ"א</w:t>
      </w:r>
      <w:r w:rsidRPr="00351B7D">
        <w:rPr>
          <w:rFonts w:asciiTheme="minorBidi" w:hAnsiTheme="minorBidi"/>
          <w:rtl/>
        </w:rPr>
        <w:t xml:space="preserve">) (רא"ש וטור </w:t>
      </w:r>
      <w:r w:rsidRPr="00351B7D">
        <w:rPr>
          <w:rFonts w:asciiTheme="minorBidi" w:hAnsiTheme="minorBidi"/>
          <w:sz w:val="16"/>
          <w:szCs w:val="16"/>
          <w:rtl/>
        </w:rPr>
        <w:t>להב' רמ"א</w:t>
      </w:r>
      <w:r w:rsidRPr="00351B7D">
        <w:rPr>
          <w:rFonts w:asciiTheme="minorBidi" w:hAnsiTheme="minorBidi"/>
          <w:rtl/>
        </w:rPr>
        <w:t>)- "ההדיוט אסור בפילגש אלא באמה העבריה בלבד אחר ייעוד" ואינו מותר אלא למלך</w:t>
      </w:r>
      <w:r w:rsidRPr="00351B7D">
        <w:rPr>
          <w:rStyle w:val="a7"/>
          <w:rFonts w:asciiTheme="minorBidi" w:hAnsiTheme="minorBidi"/>
          <w:rtl/>
        </w:rPr>
        <w:footnoteReference w:id="8"/>
      </w:r>
      <w:r w:rsidRPr="00351B7D">
        <w:rPr>
          <w:rFonts w:asciiTheme="minorBidi" w:hAnsiTheme="minorBidi"/>
          <w:rtl/>
        </w:rPr>
        <w:t>, לכן הדיוט לוקה עליה כדין קדשה.</w:t>
      </w:r>
    </w:p>
    <w:p w14:paraId="0117FEEB" w14:textId="77777777" w:rsidR="008E16D0" w:rsidRPr="00351B7D" w:rsidRDefault="008E16D0" w:rsidP="00A8697F">
      <w:pPr>
        <w:pStyle w:val="ab"/>
        <w:numPr>
          <w:ilvl w:val="0"/>
          <w:numId w:val="4"/>
        </w:numPr>
        <w:rPr>
          <w:rFonts w:asciiTheme="minorBidi" w:hAnsiTheme="minorBidi"/>
        </w:rPr>
      </w:pPr>
      <w:r w:rsidRPr="00351B7D">
        <w:rPr>
          <w:rFonts w:asciiTheme="minorBidi" w:hAnsiTheme="minorBidi"/>
          <w:rtl/>
        </w:rPr>
        <w:lastRenderedPageBreak/>
        <w:t>(ראב"ד</w:t>
      </w:r>
      <w:r w:rsidRPr="00351B7D">
        <w:rPr>
          <w:rStyle w:val="a7"/>
          <w:rFonts w:asciiTheme="minorBidi" w:hAnsiTheme="minorBidi"/>
          <w:rtl/>
        </w:rPr>
        <w:footnoteReference w:id="9"/>
      </w:r>
      <w:r w:rsidRPr="00351B7D">
        <w:rPr>
          <w:rFonts w:asciiTheme="minorBidi" w:hAnsiTheme="minorBidi"/>
          <w:sz w:val="16"/>
          <w:szCs w:val="16"/>
          <w:rtl/>
        </w:rPr>
        <w:t xml:space="preserve"> להב' ח"מ</w:t>
      </w:r>
      <w:r w:rsidRPr="00351B7D">
        <w:rPr>
          <w:rFonts w:asciiTheme="minorBidi" w:hAnsiTheme="minorBidi"/>
          <w:sz w:val="10"/>
          <w:szCs w:val="10"/>
          <w:rtl/>
        </w:rPr>
        <w:t xml:space="preserve"> </w:t>
      </w:r>
      <w:r w:rsidRPr="00351B7D">
        <w:rPr>
          <w:rFonts w:asciiTheme="minorBidi" w:hAnsiTheme="minorBidi"/>
          <w:sz w:val="16"/>
          <w:szCs w:val="16"/>
          <w:rtl/>
        </w:rPr>
        <w:t>[סק"א]</w:t>
      </w:r>
      <w:r w:rsidRPr="00351B7D">
        <w:rPr>
          <w:rFonts w:asciiTheme="minorBidi" w:hAnsiTheme="minorBidi"/>
          <w:rtl/>
        </w:rPr>
        <w:t xml:space="preserve">) ותרוה"ד </w:t>
      </w:r>
      <w:r w:rsidRPr="00351B7D">
        <w:rPr>
          <w:rFonts w:asciiTheme="minorBidi" w:hAnsiTheme="minorBidi"/>
          <w:sz w:val="16"/>
          <w:szCs w:val="16"/>
          <w:rtl/>
        </w:rPr>
        <w:t>(סי' ר"ט)</w:t>
      </w:r>
      <w:r w:rsidRPr="00351B7D">
        <w:rPr>
          <w:rFonts w:asciiTheme="minorBidi" w:hAnsiTheme="minorBidi"/>
          <w:rtl/>
        </w:rPr>
        <w:t>- אסור מדרבנן</w:t>
      </w:r>
      <w:r w:rsidRPr="00351B7D">
        <w:rPr>
          <w:rStyle w:val="a7"/>
          <w:rFonts w:asciiTheme="minorBidi" w:hAnsiTheme="minorBidi"/>
          <w:rtl/>
        </w:rPr>
        <w:footnoteReference w:id="10"/>
      </w:r>
      <w:r w:rsidRPr="00351B7D">
        <w:rPr>
          <w:rFonts w:asciiTheme="minorBidi" w:hAnsiTheme="minorBidi"/>
          <w:rtl/>
        </w:rPr>
        <w:t>.</w:t>
      </w:r>
    </w:p>
    <w:p w14:paraId="109B229D" w14:textId="77777777" w:rsidR="008E16D0" w:rsidRPr="00351B7D" w:rsidRDefault="008E16D0" w:rsidP="00A8697F">
      <w:pPr>
        <w:pStyle w:val="ab"/>
        <w:numPr>
          <w:ilvl w:val="0"/>
          <w:numId w:val="4"/>
        </w:numPr>
        <w:rPr>
          <w:rFonts w:asciiTheme="minorBidi" w:hAnsiTheme="minorBidi"/>
          <w:rtl/>
        </w:rPr>
      </w:pPr>
      <w:r w:rsidRPr="00351B7D">
        <w:rPr>
          <w:rFonts w:asciiTheme="minorBidi" w:hAnsiTheme="minorBidi"/>
          <w:rtl/>
        </w:rPr>
        <w:t>(ראב"ד</w:t>
      </w:r>
      <w:r w:rsidRPr="00351B7D">
        <w:rPr>
          <w:rFonts w:asciiTheme="minorBidi" w:hAnsiTheme="minorBidi"/>
          <w:sz w:val="16"/>
          <w:szCs w:val="16"/>
          <w:rtl/>
        </w:rPr>
        <w:t xml:space="preserve"> להב'</w:t>
      </w:r>
      <w:r w:rsidRPr="00351B7D">
        <w:rPr>
          <w:rFonts w:asciiTheme="minorBidi" w:hAnsiTheme="minorBidi"/>
          <w:sz w:val="10"/>
          <w:szCs w:val="10"/>
          <w:rtl/>
        </w:rPr>
        <w:t xml:space="preserve"> </w:t>
      </w:r>
      <w:r w:rsidRPr="00351B7D">
        <w:rPr>
          <w:rFonts w:asciiTheme="minorBidi" w:hAnsiTheme="minorBidi"/>
          <w:sz w:val="16"/>
          <w:szCs w:val="16"/>
          <w:rtl/>
        </w:rPr>
        <w:t>המקנה</w:t>
      </w:r>
      <w:r w:rsidRPr="00351B7D">
        <w:rPr>
          <w:rFonts w:asciiTheme="minorBidi" w:hAnsiTheme="minorBidi"/>
          <w:sz w:val="10"/>
          <w:szCs w:val="10"/>
          <w:rtl/>
        </w:rPr>
        <w:t xml:space="preserve"> </w:t>
      </w:r>
      <w:r w:rsidRPr="00351B7D">
        <w:rPr>
          <w:rFonts w:asciiTheme="minorBidi" w:hAnsiTheme="minorBidi"/>
          <w:sz w:val="16"/>
          <w:szCs w:val="16"/>
          <w:rtl/>
        </w:rPr>
        <w:t>[קו"א ד"ה שם בהג"ה]</w:t>
      </w:r>
      <w:r w:rsidRPr="00351B7D">
        <w:rPr>
          <w:rFonts w:asciiTheme="minorBidi" w:hAnsiTheme="minorBidi"/>
          <w:rtl/>
        </w:rPr>
        <w:t>) רשב"א</w:t>
      </w:r>
      <w:r w:rsidRPr="00351B7D">
        <w:rPr>
          <w:rFonts w:asciiTheme="minorBidi" w:hAnsiTheme="minorBidi"/>
          <w:sz w:val="16"/>
          <w:szCs w:val="16"/>
          <w:rtl/>
        </w:rPr>
        <w:t xml:space="preserve"> (במיוחסות סי' רפד)</w:t>
      </w:r>
      <w:r w:rsidRPr="00351B7D">
        <w:rPr>
          <w:rFonts w:asciiTheme="minorBidi" w:hAnsiTheme="minorBidi"/>
          <w:rtl/>
        </w:rPr>
        <w:t xml:space="preserve"> (רא"ש וטור </w:t>
      </w:r>
      <w:r w:rsidRPr="00351B7D">
        <w:rPr>
          <w:rFonts w:asciiTheme="minorBidi" w:hAnsiTheme="minorBidi"/>
          <w:sz w:val="16"/>
          <w:szCs w:val="16"/>
          <w:rtl/>
        </w:rPr>
        <w:t>להב' ח"מ וב"ש</w:t>
      </w:r>
      <w:r w:rsidRPr="00351B7D">
        <w:rPr>
          <w:rFonts w:asciiTheme="minorBidi" w:hAnsiTheme="minorBidi"/>
          <w:rtl/>
        </w:rPr>
        <w:t>)- מותר</w:t>
      </w:r>
      <w:r w:rsidRPr="00351B7D">
        <w:rPr>
          <w:rStyle w:val="a7"/>
          <w:rFonts w:asciiTheme="minorBidi" w:hAnsiTheme="minorBidi"/>
          <w:rtl/>
        </w:rPr>
        <w:footnoteReference w:id="11"/>
      </w:r>
      <w:r w:rsidRPr="00351B7D">
        <w:rPr>
          <w:rFonts w:asciiTheme="minorBidi" w:hAnsiTheme="minorBidi"/>
          <w:rtl/>
        </w:rPr>
        <w:t>, רק דאיכא פגם והעדר כבוד משפחה</w:t>
      </w:r>
      <w:r w:rsidRPr="00351B7D">
        <w:rPr>
          <w:rFonts w:asciiTheme="minorBidi" w:hAnsiTheme="minorBidi"/>
          <w:sz w:val="16"/>
          <w:szCs w:val="16"/>
          <w:rtl/>
        </w:rPr>
        <w:t xml:space="preserve"> (דברי הח"מ)</w:t>
      </w:r>
      <w:r w:rsidRPr="00351B7D">
        <w:rPr>
          <w:rFonts w:asciiTheme="minorBidi" w:hAnsiTheme="minorBidi"/>
          <w:rtl/>
        </w:rPr>
        <w:t xml:space="preserve"> ואין להתיר לאינשי דעלמא</w:t>
      </w:r>
      <w:r w:rsidRPr="00351B7D">
        <w:rPr>
          <w:rStyle w:val="a7"/>
          <w:rFonts w:asciiTheme="minorBidi" w:hAnsiTheme="minorBidi"/>
          <w:rtl/>
        </w:rPr>
        <w:footnoteReference w:id="12"/>
      </w:r>
      <w:r w:rsidRPr="00351B7D">
        <w:rPr>
          <w:rFonts w:asciiTheme="minorBidi" w:hAnsiTheme="minorBidi"/>
          <w:rtl/>
        </w:rPr>
        <w:t>.</w:t>
      </w:r>
    </w:p>
    <w:p w14:paraId="2A8B9F14" w14:textId="77777777" w:rsidR="008E16D0" w:rsidRPr="00351B7D" w:rsidRDefault="008E16D0" w:rsidP="008E16D0">
      <w:pPr>
        <w:rPr>
          <w:rFonts w:asciiTheme="minorBidi" w:hAnsiTheme="minorBidi"/>
          <w:rtl/>
        </w:rPr>
      </w:pPr>
      <w:r w:rsidRPr="00351B7D">
        <w:rPr>
          <w:rFonts w:asciiTheme="minorBidi" w:hAnsiTheme="minorBidi"/>
          <w:b/>
          <w:bCs/>
          <w:rtl/>
        </w:rPr>
        <w:t xml:space="preserve">יבמות סא ע"ב: </w:t>
      </w:r>
      <w:r w:rsidRPr="00351B7D">
        <w:rPr>
          <w:rFonts w:asciiTheme="minorBidi" w:hAnsiTheme="minorBidi"/>
          <w:rtl/>
        </w:rPr>
        <w:t>זונה זונה כשמה</w:t>
      </w:r>
      <w:r w:rsidRPr="00351B7D">
        <w:rPr>
          <w:rStyle w:val="a7"/>
          <w:rFonts w:asciiTheme="minorBidi" w:hAnsiTheme="minorBidi"/>
          <w:rtl/>
        </w:rPr>
        <w:footnoteReference w:id="13"/>
      </w:r>
      <w:r w:rsidRPr="00351B7D">
        <w:rPr>
          <w:rFonts w:asciiTheme="minorBidi" w:hAnsiTheme="minorBidi"/>
          <w:rtl/>
        </w:rPr>
        <w:t xml:space="preserve">, </w:t>
      </w:r>
      <w:r w:rsidRPr="00351B7D">
        <w:rPr>
          <w:rFonts w:asciiTheme="minorBidi" w:hAnsiTheme="minorBidi"/>
          <w:u w:val="single"/>
          <w:rtl/>
        </w:rPr>
        <w:t>דברי רבי אליעזר</w:t>
      </w:r>
      <w:r w:rsidRPr="00351B7D">
        <w:rPr>
          <w:rFonts w:asciiTheme="minorBidi" w:hAnsiTheme="minorBidi"/>
          <w:rtl/>
        </w:rPr>
        <w:t xml:space="preserve">. </w:t>
      </w:r>
      <w:r w:rsidRPr="00351B7D">
        <w:rPr>
          <w:rFonts w:asciiTheme="minorBidi" w:hAnsiTheme="minorBidi"/>
          <w:u w:val="single"/>
          <w:rtl/>
        </w:rPr>
        <w:t>רבי עקיבא אומר</w:t>
      </w:r>
      <w:r w:rsidRPr="00351B7D">
        <w:rPr>
          <w:rFonts w:asciiTheme="minorBidi" w:hAnsiTheme="minorBidi"/>
          <w:rtl/>
        </w:rPr>
        <w:t>: זונה זו מופקרת</w:t>
      </w:r>
      <w:r w:rsidRPr="00351B7D">
        <w:rPr>
          <w:rStyle w:val="a7"/>
          <w:rFonts w:asciiTheme="minorBidi" w:hAnsiTheme="minorBidi"/>
          <w:rtl/>
        </w:rPr>
        <w:footnoteReference w:id="14"/>
      </w:r>
      <w:r w:rsidRPr="00351B7D">
        <w:rPr>
          <w:rFonts w:asciiTheme="minorBidi" w:hAnsiTheme="minorBidi"/>
          <w:rtl/>
        </w:rPr>
        <w:t xml:space="preserve">. </w:t>
      </w:r>
      <w:r w:rsidRPr="00351B7D">
        <w:rPr>
          <w:rFonts w:asciiTheme="minorBidi" w:hAnsiTheme="minorBidi"/>
          <w:u w:val="single"/>
          <w:rtl/>
        </w:rPr>
        <w:t>רבי מתיא בן חרש אומר</w:t>
      </w:r>
      <w:r w:rsidRPr="00351B7D">
        <w:rPr>
          <w:rFonts w:asciiTheme="minorBidi" w:hAnsiTheme="minorBidi"/>
          <w:rtl/>
        </w:rPr>
        <w:t>: אפי' הלך בעלה</w:t>
      </w:r>
      <w:r w:rsidRPr="00351B7D">
        <w:rPr>
          <w:rStyle w:val="a7"/>
          <w:rFonts w:asciiTheme="minorBidi" w:hAnsiTheme="minorBidi"/>
          <w:rtl/>
        </w:rPr>
        <w:footnoteReference w:id="15"/>
      </w:r>
      <w:r w:rsidRPr="00351B7D">
        <w:rPr>
          <w:rFonts w:asciiTheme="minorBidi" w:hAnsiTheme="minorBidi"/>
          <w:rtl/>
        </w:rPr>
        <w:t xml:space="preserve"> להשקותה ובא עליה בדרך עשאה זונה. </w:t>
      </w:r>
      <w:r w:rsidRPr="00351B7D">
        <w:rPr>
          <w:rFonts w:asciiTheme="minorBidi" w:hAnsiTheme="minorBidi"/>
          <w:u w:val="single"/>
          <w:rtl/>
        </w:rPr>
        <w:t>רבי יהודה אומר</w:t>
      </w:r>
      <w:r w:rsidRPr="00351B7D">
        <w:rPr>
          <w:rFonts w:asciiTheme="minorBidi" w:hAnsiTheme="minorBidi"/>
          <w:rtl/>
        </w:rPr>
        <w:t xml:space="preserve">: זונה זו אילונית. </w:t>
      </w:r>
      <w:r w:rsidRPr="00351B7D">
        <w:rPr>
          <w:rFonts w:asciiTheme="minorBidi" w:hAnsiTheme="minorBidi"/>
          <w:u w:val="single"/>
          <w:rtl/>
        </w:rPr>
        <w:t>וחכמים אומרים</w:t>
      </w:r>
      <w:r w:rsidRPr="00351B7D">
        <w:rPr>
          <w:rFonts w:asciiTheme="minorBidi" w:hAnsiTheme="minorBidi"/>
          <w:rtl/>
        </w:rPr>
        <w:t>: אין זונה אלא גיורת</w:t>
      </w:r>
      <w:r w:rsidRPr="00351B7D">
        <w:rPr>
          <w:rStyle w:val="a7"/>
          <w:rFonts w:asciiTheme="minorBidi" w:hAnsiTheme="minorBidi"/>
          <w:rtl/>
        </w:rPr>
        <w:footnoteReference w:id="16"/>
      </w:r>
      <w:r w:rsidRPr="00351B7D">
        <w:rPr>
          <w:rFonts w:asciiTheme="minorBidi" w:hAnsiTheme="minorBidi"/>
          <w:rtl/>
        </w:rPr>
        <w:t xml:space="preserve"> ומשוחררת ושנבעלה</w:t>
      </w:r>
      <w:r w:rsidRPr="00351B7D">
        <w:rPr>
          <w:rStyle w:val="a7"/>
          <w:rFonts w:asciiTheme="minorBidi" w:hAnsiTheme="minorBidi"/>
          <w:rtl/>
        </w:rPr>
        <w:footnoteReference w:id="17"/>
      </w:r>
      <w:r w:rsidRPr="00351B7D">
        <w:rPr>
          <w:rFonts w:asciiTheme="minorBidi" w:hAnsiTheme="minorBidi"/>
          <w:rtl/>
        </w:rPr>
        <w:t xml:space="preserve"> בעילת זנות. </w:t>
      </w:r>
      <w:r w:rsidRPr="00351B7D">
        <w:rPr>
          <w:rFonts w:asciiTheme="minorBidi" w:hAnsiTheme="minorBidi"/>
          <w:u w:val="single"/>
          <w:rtl/>
        </w:rPr>
        <w:t>ר' אליעזר אומר</w:t>
      </w:r>
      <w:r w:rsidRPr="00351B7D">
        <w:rPr>
          <w:rFonts w:asciiTheme="minorBidi" w:hAnsiTheme="minorBidi"/>
          <w:rtl/>
        </w:rPr>
        <w:t>: פנוי הבא על הפנויה שלא לשם אישות עשאה זונה.</w:t>
      </w:r>
    </w:p>
    <w:p w14:paraId="49629087"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איזוהי זונה האמורה בתורה:</w:t>
      </w:r>
    </w:p>
    <w:p w14:paraId="654F6D76" w14:textId="77777777" w:rsidR="008E16D0" w:rsidRPr="00351B7D" w:rsidRDefault="008E16D0" w:rsidP="00A8697F">
      <w:pPr>
        <w:pStyle w:val="ab"/>
        <w:numPr>
          <w:ilvl w:val="0"/>
          <w:numId w:val="1"/>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(הל' אי"ב פי"ח ה"א-ד)</w:t>
      </w:r>
      <w:r w:rsidRPr="00351B7D">
        <w:rPr>
          <w:rFonts w:asciiTheme="minorBidi" w:hAnsiTheme="minorBidi"/>
          <w:rtl/>
        </w:rPr>
        <w:t xml:space="preserve"> רא"ש </w:t>
      </w:r>
      <w:r w:rsidRPr="00351B7D">
        <w:rPr>
          <w:rFonts w:asciiTheme="minorBidi" w:hAnsiTheme="minorBidi"/>
          <w:sz w:val="16"/>
          <w:szCs w:val="16"/>
          <w:rtl/>
        </w:rPr>
        <w:t xml:space="preserve">(פ"ו סי' ו) </w:t>
      </w:r>
      <w:r w:rsidRPr="00351B7D">
        <w:rPr>
          <w:rFonts w:asciiTheme="minorBidi" w:hAnsiTheme="minorBidi"/>
          <w:rtl/>
        </w:rPr>
        <w:t xml:space="preserve">וטור </w:t>
      </w:r>
      <w:r w:rsidRPr="00351B7D">
        <w:rPr>
          <w:rFonts w:asciiTheme="minorBidi" w:hAnsiTheme="minorBidi"/>
          <w:sz w:val="16"/>
          <w:szCs w:val="16"/>
          <w:rtl/>
        </w:rPr>
        <w:t>(סי' ו)</w:t>
      </w:r>
      <w:r w:rsidRPr="00351B7D">
        <w:rPr>
          <w:rFonts w:asciiTheme="minorBidi" w:hAnsiTheme="minorBidi"/>
          <w:rtl/>
        </w:rPr>
        <w:t xml:space="preserve">- "כל שאינה בת ישראל, או בת ישראל שנבעלה לאדם שהיא אסורה להנשא לו איסור השוה לכל, או שנבעלה לחלל אע"פ שהיא מותרת להנשא לו </w:t>
      </w:r>
      <w:r w:rsidRPr="00351B7D">
        <w:rPr>
          <w:rFonts w:asciiTheme="minorBidi" w:hAnsiTheme="minorBidi"/>
          <w:sz w:val="16"/>
          <w:szCs w:val="16"/>
          <w:rtl/>
        </w:rPr>
        <w:t>(ל' הרמב"ם)</w:t>
      </w:r>
      <w:r w:rsidRPr="00351B7D">
        <w:rPr>
          <w:rStyle w:val="a7"/>
          <w:rFonts w:asciiTheme="minorBidi" w:hAnsiTheme="minorBidi"/>
          <w:rtl/>
        </w:rPr>
        <w:footnoteReference w:id="18"/>
      </w:r>
      <w:r w:rsidRPr="00351B7D">
        <w:rPr>
          <w:rFonts w:asciiTheme="minorBidi" w:hAnsiTheme="minorBidi"/>
          <w:rtl/>
        </w:rPr>
        <w:t xml:space="preserve">". </w:t>
      </w:r>
    </w:p>
    <w:p w14:paraId="332724EE" w14:textId="77777777" w:rsidR="008E16D0" w:rsidRPr="00351B7D" w:rsidRDefault="008E16D0" w:rsidP="00A8697F">
      <w:pPr>
        <w:pStyle w:val="ab"/>
        <w:numPr>
          <w:ilvl w:val="0"/>
          <w:numId w:val="1"/>
        </w:numPr>
        <w:rPr>
          <w:rFonts w:asciiTheme="minorBidi" w:hAnsiTheme="minorBidi"/>
        </w:rPr>
      </w:pPr>
      <w:r w:rsidRPr="00351B7D">
        <w:rPr>
          <w:rFonts w:asciiTheme="minorBidi" w:hAnsiTheme="minorBidi"/>
          <w:rtl/>
        </w:rPr>
        <w:t>ראב"ד</w:t>
      </w:r>
      <w:r w:rsidRPr="00351B7D">
        <w:rPr>
          <w:rFonts w:asciiTheme="minorBidi" w:hAnsiTheme="minorBidi"/>
          <w:sz w:val="16"/>
          <w:szCs w:val="16"/>
          <w:rtl/>
        </w:rPr>
        <w:t xml:space="preserve"> (בהשגות פי"ח ה"א-ד)</w:t>
      </w:r>
      <w:r w:rsidRPr="00351B7D">
        <w:rPr>
          <w:rFonts w:asciiTheme="minorBidi" w:hAnsiTheme="minorBidi"/>
          <w:rtl/>
        </w:rPr>
        <w:t xml:space="preserve">- "אין זונה אלא מחייבי כריתות או מעכו"ם ועבד שאין בהן קידושין, מיהו כל הפסולים לבא בקהל אם באו עליה פסלוה מן הכהונה ומן התרומה ואפילו חלל.... אבל ללקות עליה משום זונה לא". </w:t>
      </w:r>
    </w:p>
    <w:p w14:paraId="7FC088DC"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אירוסין שנעשו בנימוסי הגוים:</w:t>
      </w:r>
      <w:r w:rsidRPr="00351B7D">
        <w:rPr>
          <w:rFonts w:asciiTheme="minorBidi" w:hAnsiTheme="minorBidi"/>
          <w:color w:val="000000"/>
          <w:sz w:val="16"/>
          <w:szCs w:val="16"/>
          <w:rtl/>
        </w:rPr>
        <w:t xml:space="preserve">   (ב"י [סי' כז סע' ט] ודרכ"מ [סי' כז אות ט])</w:t>
      </w:r>
    </w:p>
    <w:p w14:paraId="184F6E4A" w14:textId="77777777" w:rsidR="008E16D0" w:rsidRPr="00351B7D" w:rsidRDefault="008E16D0" w:rsidP="00A8697F">
      <w:pPr>
        <w:pStyle w:val="ab"/>
        <w:numPr>
          <w:ilvl w:val="0"/>
          <w:numId w:val="18"/>
        </w:numPr>
        <w:rPr>
          <w:rFonts w:asciiTheme="minorBidi" w:hAnsiTheme="minorBidi"/>
        </w:rPr>
      </w:pPr>
      <w:r w:rsidRPr="00351B7D">
        <w:rPr>
          <w:rFonts w:asciiTheme="minorBidi" w:hAnsiTheme="minorBidi"/>
          <w:rtl/>
        </w:rPr>
        <w:t xml:space="preserve">ריב"ש </w:t>
      </w:r>
      <w:r w:rsidRPr="00351B7D">
        <w:rPr>
          <w:rFonts w:asciiTheme="minorBidi" w:hAnsiTheme="minorBidi"/>
          <w:sz w:val="16"/>
          <w:szCs w:val="16"/>
          <w:rtl/>
        </w:rPr>
        <w:t>(סי' ה-ו)</w:t>
      </w:r>
      <w:r w:rsidRPr="00351B7D">
        <w:rPr>
          <w:rFonts w:asciiTheme="minorBidi" w:hAnsiTheme="minorBidi"/>
          <w:rtl/>
        </w:rPr>
        <w:t>- "</w:t>
      </w:r>
      <w:r w:rsidRPr="00351B7D">
        <w:rPr>
          <w:rFonts w:asciiTheme="minorBidi" w:hAnsiTheme="minorBidi"/>
          <w:color w:val="000000"/>
          <w:rtl/>
        </w:rPr>
        <w:t xml:space="preserve">אין ספק כי הארוסין ההם או השדוכין תקראם כמו שתרצה שנעשו בנימוסי העמים אין בהם חשש קדושין אף אם היו בפני עדים כשרים שהרי לא נתקיים בהם נתן הוא ואמר הוא. ואף אם נאמר שאין אמירתו מעכבת כיון שנתקבצו יחד להתארס והוי כמדבר עמה על עסקי קדושיה ונתן לה ולא פירש דקיי"ל דיו כל שעוסקין באותו ענין מ"מ בכאן הרי לא נתן לה כלום רק שהכומר מברך אותם בקול גדול ונותן טבעת לכל א' </w:t>
      </w:r>
      <w:r w:rsidRPr="00351B7D">
        <w:rPr>
          <w:rFonts w:asciiTheme="minorBidi" w:hAnsiTheme="minorBidi"/>
          <w:sz w:val="16"/>
          <w:szCs w:val="16"/>
          <w:rtl/>
        </w:rPr>
        <w:t>(ל' הריב"ש)</w:t>
      </w:r>
      <w:r w:rsidRPr="00351B7D">
        <w:rPr>
          <w:rFonts w:asciiTheme="minorBidi" w:hAnsiTheme="minorBidi"/>
          <w:rtl/>
        </w:rPr>
        <w:t>".</w:t>
      </w:r>
      <w:r w:rsidRPr="00351B7D">
        <w:rPr>
          <w:rFonts w:asciiTheme="minorBidi" w:hAnsiTheme="minorBidi"/>
          <w:color w:val="00B0F0"/>
          <w:rtl/>
        </w:rPr>
        <w:t xml:space="preserve"> (וכ"פ הרמ"א</w:t>
      </w:r>
      <w:r w:rsidRPr="00351B7D">
        <w:rPr>
          <w:rStyle w:val="a7"/>
          <w:rFonts w:asciiTheme="minorBidi" w:hAnsiTheme="minorBidi"/>
          <w:rtl/>
        </w:rPr>
        <w:footnoteReference w:id="19"/>
      </w:r>
      <w:r w:rsidRPr="00351B7D">
        <w:rPr>
          <w:rFonts w:asciiTheme="minorBidi" w:hAnsiTheme="minorBidi"/>
          <w:color w:val="00B0F0"/>
          <w:rtl/>
        </w:rPr>
        <w:t>)</w:t>
      </w:r>
    </w:p>
    <w:p w14:paraId="3A46C4DB" w14:textId="77777777" w:rsidR="008E16D0" w:rsidRPr="00351B7D" w:rsidRDefault="008E16D0" w:rsidP="008E16D0">
      <w:pPr>
        <w:rPr>
          <w:rFonts w:asciiTheme="minorBidi" w:hAnsiTheme="minorBidi"/>
          <w:u w:val="single"/>
        </w:rPr>
      </w:pPr>
      <w:r w:rsidRPr="00351B7D">
        <w:rPr>
          <w:rFonts w:asciiTheme="minorBidi" w:hAnsiTheme="minorBidi"/>
          <w:u w:val="single"/>
          <w:rtl/>
        </w:rPr>
        <w:t>מומר שנשא מומרת:</w:t>
      </w:r>
      <w:r w:rsidRPr="00351B7D">
        <w:rPr>
          <w:rFonts w:asciiTheme="minorBidi" w:hAnsiTheme="minorBidi"/>
          <w:color w:val="000000"/>
          <w:sz w:val="16"/>
          <w:szCs w:val="16"/>
          <w:rtl/>
        </w:rPr>
        <w:t xml:space="preserve">   (דרכ"מ [סי' כז אות ט])</w:t>
      </w:r>
    </w:p>
    <w:p w14:paraId="47FAD356" w14:textId="77777777" w:rsidR="008E16D0" w:rsidRPr="00351B7D" w:rsidRDefault="008E16D0" w:rsidP="00A8697F">
      <w:pPr>
        <w:pStyle w:val="ab"/>
        <w:numPr>
          <w:ilvl w:val="0"/>
          <w:numId w:val="18"/>
        </w:numPr>
        <w:rPr>
          <w:rFonts w:asciiTheme="minorBidi" w:hAnsiTheme="minorBidi"/>
        </w:rPr>
      </w:pPr>
      <w:r w:rsidRPr="00351B7D">
        <w:rPr>
          <w:rFonts w:asciiTheme="minorBidi" w:hAnsiTheme="minorBidi"/>
          <w:rtl/>
        </w:rPr>
        <w:t xml:space="preserve">תרוה"ד </w:t>
      </w:r>
      <w:r w:rsidRPr="00351B7D">
        <w:rPr>
          <w:rFonts w:asciiTheme="minorBidi" w:hAnsiTheme="minorBidi"/>
          <w:sz w:val="16"/>
          <w:szCs w:val="16"/>
          <w:rtl/>
        </w:rPr>
        <w:t>(סי' רט)</w:t>
      </w:r>
      <w:r w:rsidRPr="00351B7D">
        <w:rPr>
          <w:rFonts w:asciiTheme="minorBidi" w:hAnsiTheme="minorBidi"/>
          <w:rtl/>
        </w:rPr>
        <w:t xml:space="preserve">- מומר שנשא מומרת וחזרו אח"כ לדת האמת מותרת בלא גט אע"ג דשהה עמה כמה שנים </w:t>
      </w:r>
      <w:r w:rsidRPr="00351B7D">
        <w:rPr>
          <w:rFonts w:asciiTheme="minorBidi" w:hAnsiTheme="minorBidi"/>
          <w:u w:val="single"/>
          <w:rtl/>
        </w:rPr>
        <w:t>בגיותו</w:t>
      </w:r>
      <w:r w:rsidRPr="00351B7D">
        <w:rPr>
          <w:rFonts w:asciiTheme="minorBidi" w:hAnsiTheme="minorBidi"/>
          <w:rtl/>
        </w:rPr>
        <w:t>.</w:t>
      </w:r>
      <w:r w:rsidRPr="00351B7D">
        <w:rPr>
          <w:rFonts w:asciiTheme="minorBidi" w:hAnsiTheme="minorBidi"/>
          <w:sz w:val="16"/>
          <w:szCs w:val="16"/>
          <w:rtl/>
        </w:rPr>
        <w:t xml:space="preserve"> </w:t>
      </w:r>
      <w:r w:rsidRPr="00351B7D">
        <w:rPr>
          <w:rFonts w:asciiTheme="minorBidi" w:hAnsiTheme="minorBidi"/>
          <w:color w:val="00B0F0"/>
          <w:rtl/>
        </w:rPr>
        <w:t>(וכ"פ הרמ"א)</w:t>
      </w:r>
      <w:r w:rsidRPr="00351B7D">
        <w:rPr>
          <w:rFonts w:asciiTheme="minorBidi" w:hAnsiTheme="minorBidi"/>
          <w:rtl/>
        </w:rPr>
        <w:t xml:space="preserve"> </w:t>
      </w:r>
    </w:p>
    <w:p w14:paraId="7C8A528B" w14:textId="77777777" w:rsidR="008E16D0" w:rsidRPr="00351B7D" w:rsidRDefault="008E16D0" w:rsidP="008E16D0">
      <w:pPr>
        <w:rPr>
          <w:rFonts w:asciiTheme="minorBidi" w:hAnsiTheme="minorBidi"/>
        </w:rPr>
      </w:pPr>
      <w:r w:rsidRPr="00351B7D">
        <w:rPr>
          <w:rFonts w:asciiTheme="minorBidi" w:hAnsiTheme="minorBidi"/>
          <w:u w:val="single"/>
          <w:rtl/>
        </w:rPr>
        <w:t>יהודי נשא גויה ונתגיירה עמו בלא קידושין וכתובה ואח"כ הלך והניחה:</w:t>
      </w:r>
      <w:r w:rsidRPr="00351B7D">
        <w:rPr>
          <w:rFonts w:asciiTheme="minorBidi" w:hAnsiTheme="minorBidi"/>
          <w:rtl/>
        </w:rPr>
        <w:t xml:space="preserve">  </w:t>
      </w:r>
      <w:r w:rsidRPr="00351B7D">
        <w:rPr>
          <w:rFonts w:asciiTheme="minorBidi" w:hAnsiTheme="minorBidi"/>
          <w:sz w:val="16"/>
          <w:szCs w:val="16"/>
          <w:rtl/>
        </w:rPr>
        <w:t xml:space="preserve">(ב"י </w:t>
      </w:r>
      <w:r w:rsidRPr="00351B7D">
        <w:rPr>
          <w:rFonts w:asciiTheme="minorBidi" w:hAnsiTheme="minorBidi"/>
          <w:color w:val="000000"/>
          <w:sz w:val="16"/>
          <w:szCs w:val="16"/>
          <w:rtl/>
        </w:rPr>
        <w:t>[סי' כז סע' ט]</w:t>
      </w:r>
      <w:r w:rsidRPr="00351B7D">
        <w:rPr>
          <w:rFonts w:asciiTheme="minorBidi" w:hAnsiTheme="minorBidi"/>
          <w:sz w:val="16"/>
          <w:szCs w:val="16"/>
          <w:rtl/>
        </w:rPr>
        <w:t>)</w:t>
      </w:r>
    </w:p>
    <w:p w14:paraId="618DA990" w14:textId="77777777" w:rsidR="008E16D0" w:rsidRPr="00351B7D" w:rsidRDefault="008E16D0" w:rsidP="00A8697F">
      <w:pPr>
        <w:pStyle w:val="ab"/>
        <w:numPr>
          <w:ilvl w:val="0"/>
          <w:numId w:val="18"/>
        </w:numPr>
        <w:rPr>
          <w:rFonts w:asciiTheme="minorBidi" w:hAnsiTheme="minorBidi"/>
        </w:rPr>
      </w:pPr>
      <w:r w:rsidRPr="00351B7D">
        <w:rPr>
          <w:rFonts w:asciiTheme="minorBidi" w:hAnsiTheme="minorBidi"/>
          <w:rtl/>
        </w:rPr>
        <w:t>רשב"ש</w:t>
      </w:r>
      <w:r w:rsidRPr="00351B7D">
        <w:rPr>
          <w:rFonts w:asciiTheme="minorBidi" w:hAnsiTheme="minorBidi"/>
          <w:sz w:val="16"/>
          <w:szCs w:val="16"/>
          <w:rtl/>
        </w:rPr>
        <w:t xml:space="preserve"> (הביאו הב"י)</w:t>
      </w:r>
      <w:r w:rsidRPr="00351B7D">
        <w:rPr>
          <w:rFonts w:asciiTheme="minorBidi" w:hAnsiTheme="minorBidi"/>
          <w:rtl/>
        </w:rPr>
        <w:t>- אינה צריכה גט, שאפילו יאמר שבא עליה לשם קידושין כיון שלא נתייחד עמה בעדים אינו כלום, ולא כתב ר"ח שצריכה גט מספק אלא אם הכניסה לחופה וכאן אין שום חופה</w:t>
      </w:r>
      <w:r w:rsidRPr="00351B7D">
        <w:rPr>
          <w:rStyle w:val="a7"/>
          <w:rFonts w:asciiTheme="minorBidi" w:hAnsiTheme="minorBidi"/>
          <w:rtl/>
        </w:rPr>
        <w:footnoteReference w:id="20"/>
      </w:r>
      <w:r w:rsidRPr="00351B7D">
        <w:rPr>
          <w:rFonts w:asciiTheme="minorBidi" w:hAnsiTheme="minorBidi"/>
          <w:rtl/>
        </w:rPr>
        <w:t xml:space="preserve">. </w:t>
      </w:r>
    </w:p>
    <w:p w14:paraId="12AED7F3"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9F4890" w14:textId="77777777" w:rsidR="008E16D0" w:rsidRPr="00351B7D" w:rsidRDefault="008E16D0" w:rsidP="008E16D0">
      <w:pPr>
        <w:rPr>
          <w:rFonts w:asciiTheme="minorBidi" w:hAnsiTheme="minorBidi"/>
          <w:color w:val="000000"/>
          <w:rtl/>
        </w:rPr>
      </w:pPr>
      <w:r w:rsidRPr="00351B7D">
        <w:rPr>
          <w:rFonts w:asciiTheme="minorBidi" w:hAnsiTheme="minorBidi"/>
          <w:rtl/>
        </w:rPr>
        <w:lastRenderedPageBreak/>
        <w:t>אין האשה נחשבת אשת איש אלא על ידי קדושין שנתקדשה כראוי, אבל אם בא עליה דרך זנות שלא לשם קדושין אינו כלום</w:t>
      </w:r>
      <w:r w:rsidRPr="00351B7D">
        <w:rPr>
          <w:rStyle w:val="a7"/>
          <w:rFonts w:asciiTheme="minorBidi" w:hAnsiTheme="minorBidi"/>
          <w:color w:val="000000"/>
          <w:rtl/>
        </w:rPr>
        <w:footnoteReference w:id="21"/>
      </w:r>
      <w:r w:rsidRPr="00351B7D">
        <w:rPr>
          <w:rFonts w:asciiTheme="minorBidi" w:hAnsiTheme="minorBidi"/>
          <w:rtl/>
        </w:rPr>
        <w:t>. ואפילו בא עליה לשם אישות בינו לבינה</w:t>
      </w:r>
      <w:r w:rsidRPr="00351B7D">
        <w:rPr>
          <w:rStyle w:val="a7"/>
          <w:rFonts w:asciiTheme="minorBidi" w:hAnsiTheme="minorBidi"/>
          <w:color w:val="000000"/>
          <w:rtl/>
        </w:rPr>
        <w:footnoteReference w:id="22"/>
      </w:r>
      <w:r w:rsidRPr="00351B7D">
        <w:rPr>
          <w:rFonts w:asciiTheme="minorBidi" w:hAnsiTheme="minorBidi"/>
          <w:rtl/>
        </w:rPr>
        <w:t xml:space="preserve"> אינה נחשבת כאשתו ואפילו אם ייחדה לו אלא אדרבא כופין אותו להוציאה מביתו.</w:t>
      </w:r>
      <w:r w:rsidRPr="00351B7D">
        <w:rPr>
          <w:rFonts w:asciiTheme="minorBidi" w:hAnsiTheme="minorBidi"/>
          <w:color w:val="000000"/>
          <w:sz w:val="18"/>
          <w:szCs w:val="18"/>
          <w:rtl/>
        </w:rPr>
        <w:t xml:space="preserve"> הגה: דבודאי בושה היא מלטבול ובא עליה בנדתה </w:t>
      </w:r>
      <w:r w:rsidRPr="00351B7D">
        <w:rPr>
          <w:rFonts w:asciiTheme="minorBidi" w:hAnsiTheme="minorBidi"/>
          <w:color w:val="000000"/>
          <w:sz w:val="16"/>
          <w:szCs w:val="16"/>
          <w:rtl/>
        </w:rPr>
        <w:t>(טור)</w:t>
      </w:r>
      <w:r w:rsidRPr="00351B7D">
        <w:rPr>
          <w:rFonts w:asciiTheme="minorBidi" w:hAnsiTheme="minorBidi"/>
          <w:color w:val="000000"/>
          <w:sz w:val="18"/>
          <w:szCs w:val="18"/>
          <w:rtl/>
        </w:rPr>
        <w:t xml:space="preserve">, אבל אם מייחד אליו אשה וטובלת אליו יש אומרים שמותר והוא פלגש האמורה בתורה </w:t>
      </w:r>
      <w:r w:rsidRPr="00351B7D">
        <w:rPr>
          <w:rFonts w:asciiTheme="minorBidi" w:hAnsiTheme="minorBidi"/>
          <w:color w:val="000000"/>
          <w:sz w:val="16"/>
          <w:szCs w:val="16"/>
          <w:rtl/>
        </w:rPr>
        <w:t>(הראב"ד וקצת מפרשים)</w:t>
      </w:r>
      <w:r w:rsidRPr="00351B7D">
        <w:rPr>
          <w:rFonts w:asciiTheme="minorBidi" w:hAnsiTheme="minorBidi"/>
          <w:color w:val="000000"/>
          <w:sz w:val="18"/>
          <w:szCs w:val="18"/>
          <w:rtl/>
        </w:rPr>
        <w:t xml:space="preserve">. וי"א שאסור ולוקין על זה משום לא תהיה קדשה </w:t>
      </w:r>
      <w:r w:rsidRPr="00351B7D">
        <w:rPr>
          <w:rFonts w:asciiTheme="minorBidi" w:hAnsiTheme="minorBidi"/>
          <w:color w:val="000000"/>
          <w:sz w:val="16"/>
          <w:szCs w:val="16"/>
          <w:rtl/>
        </w:rPr>
        <w:t>(רמב"ם</w:t>
      </w:r>
      <w:r w:rsidRPr="00351B7D">
        <w:rPr>
          <w:rStyle w:val="a7"/>
          <w:rFonts w:asciiTheme="minorBidi" w:hAnsiTheme="minorBidi"/>
          <w:color w:val="000000"/>
          <w:sz w:val="18"/>
          <w:szCs w:val="18"/>
          <w:rtl/>
        </w:rPr>
        <w:footnoteReference w:id="23"/>
      </w:r>
      <w:r w:rsidRPr="00351B7D">
        <w:rPr>
          <w:rFonts w:asciiTheme="minorBidi" w:hAnsiTheme="minorBidi"/>
          <w:color w:val="000000"/>
          <w:sz w:val="16"/>
          <w:szCs w:val="16"/>
          <w:rtl/>
        </w:rPr>
        <w:t xml:space="preserve"> רא"ש וטור)</w:t>
      </w:r>
      <w:r w:rsidRPr="00351B7D">
        <w:rPr>
          <w:rFonts w:asciiTheme="minorBidi" w:hAnsiTheme="minorBidi"/>
          <w:color w:val="000000"/>
          <w:sz w:val="18"/>
          <w:szCs w:val="18"/>
          <w:rtl/>
        </w:rPr>
        <w:t>. גוי שנשא גויה בנימוס הגוים וכן משומד שנשא משומדת בנימוסיהן</w:t>
      </w:r>
      <w:r w:rsidRPr="00351B7D">
        <w:rPr>
          <w:rStyle w:val="a7"/>
          <w:rFonts w:asciiTheme="minorBidi" w:hAnsiTheme="minorBidi"/>
          <w:color w:val="000000"/>
          <w:sz w:val="18"/>
          <w:szCs w:val="18"/>
          <w:rtl/>
        </w:rPr>
        <w:footnoteReference w:id="24"/>
      </w:r>
      <w:r w:rsidRPr="00351B7D">
        <w:rPr>
          <w:rFonts w:asciiTheme="minorBidi" w:hAnsiTheme="minorBidi"/>
          <w:color w:val="000000"/>
          <w:sz w:val="18"/>
          <w:szCs w:val="18"/>
          <w:rtl/>
        </w:rPr>
        <w:t>, ונתגיירו אח"כ, אין כאן חשש קידושין כלל</w:t>
      </w:r>
      <w:r w:rsidRPr="00351B7D">
        <w:rPr>
          <w:rStyle w:val="a7"/>
          <w:rFonts w:asciiTheme="minorBidi" w:hAnsiTheme="minorBidi"/>
          <w:color w:val="000000"/>
          <w:sz w:val="18"/>
          <w:szCs w:val="18"/>
          <w:rtl/>
        </w:rPr>
        <w:footnoteReference w:id="25"/>
      </w:r>
      <w:r w:rsidRPr="00351B7D">
        <w:rPr>
          <w:rFonts w:asciiTheme="minorBidi" w:hAnsiTheme="minorBidi"/>
          <w:color w:val="000000"/>
          <w:sz w:val="18"/>
          <w:szCs w:val="18"/>
          <w:rtl/>
        </w:rPr>
        <w:t xml:space="preserve"> ומותרת לצאת ממנו בלא גט אף על פי ששהה עמה כמה שנים</w:t>
      </w:r>
      <w:r w:rsidRPr="00351B7D">
        <w:rPr>
          <w:rStyle w:val="a7"/>
          <w:rFonts w:asciiTheme="minorBidi" w:hAnsiTheme="minorBidi"/>
          <w:color w:val="000000"/>
          <w:sz w:val="18"/>
          <w:szCs w:val="18"/>
          <w:rtl/>
        </w:rPr>
        <w:footnoteReference w:id="26"/>
      </w:r>
      <w:r w:rsidRPr="00351B7D">
        <w:rPr>
          <w:rFonts w:asciiTheme="minorBidi" w:hAnsiTheme="minorBidi"/>
          <w:color w:val="000000"/>
          <w:sz w:val="18"/>
          <w:szCs w:val="18"/>
          <w:rtl/>
        </w:rPr>
        <w:t xml:space="preserve"> אינו אלא כזנות בעלמא </w:t>
      </w:r>
      <w:r w:rsidRPr="00351B7D">
        <w:rPr>
          <w:rFonts w:asciiTheme="minorBidi" w:hAnsiTheme="minorBidi"/>
          <w:color w:val="000000"/>
          <w:sz w:val="16"/>
          <w:szCs w:val="16"/>
          <w:rtl/>
        </w:rPr>
        <w:t>(ריב"ש סי' ה-ו ובתרוה"ד סי' רט)</w:t>
      </w:r>
      <w:r w:rsidRPr="00351B7D">
        <w:rPr>
          <w:rFonts w:asciiTheme="minorBidi" w:hAnsiTheme="minorBidi"/>
          <w:color w:val="000000"/>
          <w:sz w:val="18"/>
          <w:szCs w:val="18"/>
          <w:rtl/>
        </w:rPr>
        <w:t xml:space="preserve"> וע"ל סימן קמ"ט סעיף ו'. </w:t>
      </w:r>
    </w:p>
    <w:p w14:paraId="71AF9A7F" w14:textId="77777777" w:rsidR="008E16D0" w:rsidRPr="00351B7D" w:rsidRDefault="008E16D0" w:rsidP="008E16D0">
      <w:pPr>
        <w:rPr>
          <w:rFonts w:asciiTheme="minorBidi" w:hAnsiTheme="minorBidi"/>
          <w:color w:val="000000"/>
          <w:rtl/>
        </w:rPr>
      </w:pPr>
    </w:p>
    <w:p w14:paraId="78C6E056" w14:textId="77777777" w:rsidR="008E16D0" w:rsidRPr="00351B7D" w:rsidRDefault="008E16D0" w:rsidP="008E16D0">
      <w:pPr>
        <w:pStyle w:val="2"/>
        <w:rPr>
          <w:rFonts w:asciiTheme="minorBidi" w:hAnsiTheme="minorBidi"/>
          <w:rtl/>
        </w:rPr>
      </w:pPr>
      <w:r w:rsidRPr="00351B7D">
        <w:rPr>
          <w:rFonts w:asciiTheme="minorBidi" w:hAnsiTheme="minorBidi"/>
          <w:rtl/>
        </w:rPr>
        <w:t>סעיף ב: קניה ע"י חופה.</w:t>
      </w:r>
    </w:p>
    <w:p w14:paraId="00993A28" w14:textId="77777777" w:rsidR="008E16D0" w:rsidRPr="00351B7D" w:rsidRDefault="008E16D0" w:rsidP="008E16D0">
      <w:pPr>
        <w:rPr>
          <w:rFonts w:asciiTheme="minorBidi" w:hAnsiTheme="minorBidi"/>
          <w:rtl/>
        </w:rPr>
      </w:pPr>
      <w:r w:rsidRPr="00351B7D">
        <w:rPr>
          <w:rFonts w:asciiTheme="minorBidi" w:hAnsiTheme="minorBidi"/>
          <w:b/>
          <w:bCs/>
          <w:rtl/>
        </w:rPr>
        <w:t xml:space="preserve">קידושין ה ע"א: </w:t>
      </w:r>
      <w:r w:rsidRPr="00351B7D">
        <w:rPr>
          <w:rFonts w:asciiTheme="minorBidi" w:hAnsiTheme="minorBidi"/>
          <w:u w:val="single"/>
          <w:rtl/>
        </w:rPr>
        <w:t>אמר רב הונא:</w:t>
      </w:r>
      <w:r w:rsidRPr="00351B7D">
        <w:rPr>
          <w:rFonts w:asciiTheme="minorBidi" w:hAnsiTheme="minorBidi"/>
          <w:rtl/>
        </w:rPr>
        <w:t xml:space="preserve"> חופה קונה מקל וחומר... ומה כסף שאינו גומר</w:t>
      </w:r>
      <w:r w:rsidRPr="00351B7D">
        <w:rPr>
          <w:rStyle w:val="a7"/>
          <w:rFonts w:asciiTheme="minorBidi" w:hAnsiTheme="minorBidi"/>
          <w:rtl/>
        </w:rPr>
        <w:footnoteReference w:id="27"/>
      </w:r>
      <w:r w:rsidRPr="00351B7D">
        <w:rPr>
          <w:rFonts w:asciiTheme="minorBidi" w:hAnsiTheme="minorBidi"/>
          <w:rtl/>
        </w:rPr>
        <w:t xml:space="preserve"> - קונה, חופה שגומרת - אינו דין שתקנה... </w:t>
      </w:r>
      <w:r w:rsidRPr="00351B7D">
        <w:rPr>
          <w:rFonts w:asciiTheme="minorBidi" w:hAnsiTheme="minorBidi"/>
          <w:u w:val="single"/>
          <w:rtl/>
        </w:rPr>
        <w:t>אמר רבא</w:t>
      </w:r>
      <w:r w:rsidRPr="00351B7D">
        <w:rPr>
          <w:rFonts w:asciiTheme="minorBidi" w:hAnsiTheme="minorBidi"/>
          <w:rtl/>
        </w:rPr>
        <w:t>: שתי תשובות בדבר</w:t>
      </w:r>
      <w:r w:rsidRPr="00351B7D">
        <w:rPr>
          <w:rStyle w:val="a7"/>
          <w:rFonts w:asciiTheme="minorBidi" w:hAnsiTheme="minorBidi"/>
          <w:rtl/>
        </w:rPr>
        <w:footnoteReference w:id="28"/>
      </w:r>
      <w:r w:rsidRPr="00351B7D">
        <w:rPr>
          <w:rFonts w:asciiTheme="minorBidi" w:hAnsiTheme="minorBidi"/>
          <w:rtl/>
        </w:rPr>
        <w:t>, חדא, דשלש תנן וד' לא תנן, ועוד כלום חופה גומרת</w:t>
      </w:r>
      <w:r w:rsidRPr="00351B7D">
        <w:rPr>
          <w:rStyle w:val="a7"/>
          <w:rFonts w:asciiTheme="minorBidi" w:hAnsiTheme="minorBidi"/>
          <w:rtl/>
        </w:rPr>
        <w:footnoteReference w:id="29"/>
      </w:r>
      <w:r w:rsidRPr="00351B7D">
        <w:rPr>
          <w:rFonts w:asciiTheme="minorBidi" w:hAnsiTheme="minorBidi"/>
          <w:rtl/>
        </w:rPr>
        <w:t xml:space="preserve"> אלא ע"י קידושין, וכי גמרי' חופה שלא ע"י קידושין מחופה שע"י קידושין? </w:t>
      </w:r>
      <w:r w:rsidRPr="00351B7D">
        <w:rPr>
          <w:rFonts w:asciiTheme="minorBidi" w:hAnsiTheme="minorBidi"/>
          <w:u w:val="single"/>
          <w:rtl/>
        </w:rPr>
        <w:t>א"ל אביי</w:t>
      </w:r>
      <w:r w:rsidRPr="00351B7D">
        <w:rPr>
          <w:rFonts w:asciiTheme="minorBidi" w:hAnsiTheme="minorBidi"/>
          <w:rtl/>
        </w:rPr>
        <w:t>: הא דקאמרת, ג' תנן וד' לא תנן, תנא מילתא דכתיבא בהדיא קתני, מילתא דלא כתיבא בהדיא לא קתני, ודקאמרת כלום חופה גומרת אלא ע"י קידושין, רב הונא נמי ה"ק: ומה כסף שאינו גומר אחר כסף- קונה, חופה שגומרת אחר כסף - אינו דין שתקנה</w:t>
      </w:r>
      <w:r w:rsidRPr="00351B7D">
        <w:rPr>
          <w:rStyle w:val="a7"/>
          <w:rFonts w:asciiTheme="minorBidi" w:hAnsiTheme="minorBidi"/>
          <w:rtl/>
        </w:rPr>
        <w:footnoteReference w:id="30"/>
      </w:r>
      <w:r w:rsidRPr="00351B7D">
        <w:rPr>
          <w:rFonts w:asciiTheme="minorBidi" w:hAnsiTheme="minorBidi"/>
          <w:rtl/>
        </w:rPr>
        <w:t>.</w:t>
      </w:r>
    </w:p>
    <w:p w14:paraId="1158CE33"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חופה קונה</w:t>
      </w:r>
      <w:r w:rsidRPr="00351B7D">
        <w:rPr>
          <w:rFonts w:asciiTheme="minorBidi" w:hAnsiTheme="minorBidi"/>
          <w:sz w:val="16"/>
          <w:szCs w:val="16"/>
          <w:u w:val="single"/>
          <w:rtl/>
        </w:rPr>
        <w:t xml:space="preserve"> </w:t>
      </w:r>
      <w:r w:rsidRPr="00351B7D">
        <w:rPr>
          <w:rFonts w:asciiTheme="minorBidi" w:hAnsiTheme="minorBidi"/>
          <w:sz w:val="14"/>
          <w:szCs w:val="14"/>
          <w:u w:val="single"/>
          <w:rtl/>
        </w:rPr>
        <w:t>(ז"א- מהווה קדושין)</w:t>
      </w:r>
      <w:r w:rsidRPr="00351B7D">
        <w:rPr>
          <w:rStyle w:val="a7"/>
          <w:rFonts w:asciiTheme="minorBidi" w:hAnsiTheme="minorBidi"/>
          <w:color w:val="000000"/>
          <w:u w:val="single"/>
          <w:rtl/>
        </w:rPr>
        <w:footnoteReference w:id="31"/>
      </w:r>
      <w:r w:rsidRPr="00351B7D">
        <w:rPr>
          <w:rFonts w:asciiTheme="minorBidi" w:hAnsiTheme="minorBidi"/>
          <w:u w:val="single"/>
          <w:rtl/>
        </w:rPr>
        <w:t>:</w:t>
      </w:r>
    </w:p>
    <w:p w14:paraId="16EB40D0" w14:textId="77777777" w:rsidR="008E16D0" w:rsidRPr="00351B7D" w:rsidRDefault="008E16D0" w:rsidP="00A8697F">
      <w:pPr>
        <w:pStyle w:val="ab"/>
        <w:numPr>
          <w:ilvl w:val="0"/>
          <w:numId w:val="3"/>
        </w:numPr>
        <w:rPr>
          <w:rFonts w:asciiTheme="minorBidi" w:hAnsiTheme="minorBidi"/>
        </w:rPr>
      </w:pPr>
      <w:r w:rsidRPr="00351B7D">
        <w:rPr>
          <w:rFonts w:asciiTheme="minorBidi" w:hAnsiTheme="minorBidi"/>
          <w:rtl/>
        </w:rPr>
        <w:t>הל"פ</w:t>
      </w:r>
      <w:r w:rsidRPr="00351B7D">
        <w:rPr>
          <w:rStyle w:val="a7"/>
          <w:rFonts w:asciiTheme="minorBidi" w:hAnsiTheme="minorBidi"/>
          <w:rtl/>
        </w:rPr>
        <w:footnoteReference w:id="32"/>
      </w:r>
      <w:r w:rsidRPr="00351B7D">
        <w:rPr>
          <w:rFonts w:asciiTheme="minorBidi" w:hAnsiTheme="minorBidi"/>
          <w:rtl/>
        </w:rPr>
        <w:t xml:space="preserve"> בה"ג</w:t>
      </w:r>
      <w:r w:rsidRPr="00351B7D">
        <w:rPr>
          <w:rStyle w:val="a7"/>
          <w:rFonts w:asciiTheme="minorBidi" w:hAnsiTheme="minorBidi"/>
          <w:rtl/>
        </w:rPr>
        <w:footnoteReference w:id="33"/>
      </w:r>
      <w:r w:rsidRPr="00351B7D">
        <w:rPr>
          <w:rFonts w:asciiTheme="minorBidi" w:hAnsiTheme="minorBidi"/>
          <w:rtl/>
        </w:rPr>
        <w:t xml:space="preserve"> (רי"ף</w:t>
      </w:r>
      <w:r w:rsidRPr="00351B7D">
        <w:rPr>
          <w:rFonts w:asciiTheme="minorBidi" w:hAnsiTheme="minorBidi"/>
          <w:sz w:val="16"/>
          <w:szCs w:val="16"/>
          <w:rtl/>
        </w:rPr>
        <w:t xml:space="preserve">  להב' ר"ן וב"י</w:t>
      </w:r>
      <w:r w:rsidRPr="00351B7D">
        <w:rPr>
          <w:rStyle w:val="a7"/>
          <w:rFonts w:asciiTheme="minorBidi" w:hAnsiTheme="minorBidi"/>
          <w:rtl/>
        </w:rPr>
        <w:footnoteReference w:id="34"/>
      </w:r>
      <w:r w:rsidRPr="00351B7D">
        <w:rPr>
          <w:rFonts w:asciiTheme="minorBidi" w:hAnsiTheme="minorBidi"/>
          <w:rtl/>
        </w:rPr>
        <w:t>) רמב"ם</w:t>
      </w:r>
      <w:r w:rsidRPr="00351B7D">
        <w:rPr>
          <w:rStyle w:val="a7"/>
          <w:rFonts w:asciiTheme="minorBidi" w:hAnsiTheme="minorBidi"/>
          <w:rtl/>
        </w:rPr>
        <w:footnoteReference w:id="35"/>
      </w:r>
      <w:r w:rsidRPr="00351B7D">
        <w:rPr>
          <w:rFonts w:asciiTheme="minorBidi" w:hAnsiTheme="minorBidi"/>
          <w:rtl/>
        </w:rPr>
        <w:t xml:space="preserve"> ר"י תוס' רמב"ן ורא"ש</w:t>
      </w:r>
      <w:r w:rsidRPr="00351B7D">
        <w:rPr>
          <w:rStyle w:val="a7"/>
          <w:rFonts w:asciiTheme="minorBidi" w:hAnsiTheme="minorBidi"/>
          <w:rtl/>
        </w:rPr>
        <w:footnoteReference w:id="36"/>
      </w:r>
      <w:r w:rsidRPr="00351B7D">
        <w:rPr>
          <w:rFonts w:asciiTheme="minorBidi" w:hAnsiTheme="minorBidi"/>
          <w:rtl/>
        </w:rPr>
        <w:t>- חופה אינה קונה, כרבא</w:t>
      </w:r>
      <w:r w:rsidRPr="00351B7D">
        <w:rPr>
          <w:rStyle w:val="a7"/>
          <w:rFonts w:asciiTheme="minorBidi" w:hAnsiTheme="minorBidi"/>
          <w:rtl/>
        </w:rPr>
        <w:footnoteReference w:id="37"/>
      </w:r>
      <w:r w:rsidRPr="00351B7D">
        <w:rPr>
          <w:rFonts w:asciiTheme="minorBidi" w:hAnsiTheme="minorBidi"/>
          <w:rtl/>
        </w:rPr>
        <w:t>.</w:t>
      </w:r>
    </w:p>
    <w:p w14:paraId="5A223913" w14:textId="77777777" w:rsidR="008E16D0" w:rsidRPr="00351B7D" w:rsidRDefault="008E16D0" w:rsidP="00A8697F">
      <w:pPr>
        <w:pStyle w:val="ab"/>
        <w:numPr>
          <w:ilvl w:val="0"/>
          <w:numId w:val="3"/>
        </w:numPr>
        <w:rPr>
          <w:rFonts w:asciiTheme="minorBidi" w:hAnsiTheme="minorBidi"/>
          <w:rtl/>
        </w:rPr>
      </w:pPr>
      <w:r w:rsidRPr="00351B7D">
        <w:rPr>
          <w:rFonts w:asciiTheme="minorBidi" w:hAnsiTheme="minorBidi"/>
          <w:rtl/>
        </w:rPr>
        <w:t>ר"ח (ורי"ף</w:t>
      </w:r>
      <w:r w:rsidRPr="00351B7D">
        <w:rPr>
          <w:rFonts w:asciiTheme="minorBidi" w:hAnsiTheme="minorBidi"/>
          <w:sz w:val="16"/>
          <w:szCs w:val="16"/>
          <w:rtl/>
        </w:rPr>
        <w:t xml:space="preserve"> להב' הרמב"ן</w:t>
      </w:r>
      <w:r w:rsidRPr="00351B7D">
        <w:rPr>
          <w:rFonts w:asciiTheme="minorBidi" w:hAnsiTheme="minorBidi"/>
          <w:rtl/>
        </w:rPr>
        <w:t>)- ספק אם חופה קונה או לא</w:t>
      </w:r>
      <w:r w:rsidRPr="00351B7D">
        <w:rPr>
          <w:rStyle w:val="a7"/>
          <w:rFonts w:asciiTheme="minorBidi" w:hAnsiTheme="minorBidi"/>
          <w:rtl/>
        </w:rPr>
        <w:footnoteReference w:id="38"/>
      </w:r>
      <w:r w:rsidRPr="00351B7D">
        <w:rPr>
          <w:rFonts w:asciiTheme="minorBidi" w:hAnsiTheme="minorBidi"/>
          <w:rtl/>
        </w:rPr>
        <w:t xml:space="preserve">. </w:t>
      </w:r>
    </w:p>
    <w:p w14:paraId="6DF4775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56940AB1" w14:textId="77777777" w:rsidR="008E16D0" w:rsidRPr="00351B7D" w:rsidRDefault="008E16D0" w:rsidP="008E16D0">
      <w:pPr>
        <w:rPr>
          <w:rFonts w:asciiTheme="minorBidi" w:hAnsiTheme="minorBidi"/>
          <w:color w:val="000000"/>
          <w:rtl/>
        </w:rPr>
      </w:pPr>
      <w:r w:rsidRPr="00351B7D">
        <w:rPr>
          <w:rFonts w:asciiTheme="minorBidi" w:hAnsiTheme="minorBidi"/>
          <w:rtl/>
        </w:rPr>
        <w:t>אם הכניס אשה לחופה אינה מתקדשת בכך, ויש אומרים שהוא ספק</w:t>
      </w:r>
      <w:r w:rsidRPr="00351B7D">
        <w:rPr>
          <w:rStyle w:val="a7"/>
          <w:rFonts w:asciiTheme="minorBidi" w:hAnsiTheme="minorBidi"/>
          <w:color w:val="000000"/>
          <w:rtl/>
        </w:rPr>
        <w:footnoteReference w:id="39"/>
      </w:r>
      <w:r w:rsidRPr="00351B7D">
        <w:rPr>
          <w:rFonts w:asciiTheme="minorBidi" w:hAnsiTheme="minorBidi"/>
          <w:color w:val="000000"/>
          <w:rtl/>
        </w:rPr>
        <w:t xml:space="preserve">. </w:t>
      </w:r>
    </w:p>
    <w:p w14:paraId="086B1553"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color w:val="000000"/>
          <w:u w:val="single"/>
          <w:rtl/>
        </w:rPr>
        <w:t xml:space="preserve">האם ההווה אמינא </w:t>
      </w:r>
      <w:r w:rsidRPr="00351B7D">
        <w:rPr>
          <w:rFonts w:asciiTheme="minorBidi" w:hAnsiTheme="minorBidi"/>
          <w:sz w:val="16"/>
          <w:szCs w:val="16"/>
          <w:u w:val="single"/>
          <w:rtl/>
        </w:rPr>
        <w:t>(שחופה תקנה)</w:t>
      </w:r>
      <w:r w:rsidRPr="00351B7D">
        <w:rPr>
          <w:rFonts w:asciiTheme="minorBidi" w:hAnsiTheme="minorBidi"/>
          <w:u w:val="single"/>
          <w:rtl/>
        </w:rPr>
        <w:t xml:space="preserve"> היא רק בבתולה או גם באלמנה:</w:t>
      </w:r>
      <w:r w:rsidRPr="00351B7D">
        <w:rPr>
          <w:rFonts w:asciiTheme="minorBidi" w:hAnsiTheme="minorBidi"/>
          <w:color w:val="000000"/>
          <w:sz w:val="16"/>
          <w:szCs w:val="16"/>
          <w:rtl/>
        </w:rPr>
        <w:t xml:space="preserve">   (גליון מהרש"א, ופת"ש סק"ג-ד)</w:t>
      </w:r>
    </w:p>
    <w:p w14:paraId="0F1DCFA5" w14:textId="77777777" w:rsidR="008E16D0" w:rsidRPr="00351B7D" w:rsidRDefault="008E16D0" w:rsidP="00A8697F">
      <w:pPr>
        <w:pStyle w:val="ab"/>
        <w:numPr>
          <w:ilvl w:val="0"/>
          <w:numId w:val="5"/>
        </w:numPr>
        <w:rPr>
          <w:rFonts w:asciiTheme="minorBidi" w:hAnsiTheme="minorBidi"/>
          <w:color w:val="000000"/>
        </w:rPr>
      </w:pPr>
      <w:r w:rsidRPr="00351B7D">
        <w:rPr>
          <w:rFonts w:asciiTheme="minorBidi" w:hAnsiTheme="minorBidi"/>
          <w:rtl/>
        </w:rPr>
        <w:t>דגמ"ר- דוקא בתולה</w:t>
      </w:r>
      <w:r w:rsidRPr="00351B7D">
        <w:rPr>
          <w:rStyle w:val="a7"/>
          <w:rFonts w:asciiTheme="minorBidi" w:hAnsiTheme="minorBidi"/>
          <w:rtl/>
        </w:rPr>
        <w:footnoteReference w:id="40"/>
      </w:r>
      <w:r w:rsidRPr="00351B7D">
        <w:rPr>
          <w:rFonts w:asciiTheme="minorBidi" w:hAnsiTheme="minorBidi"/>
          <w:rtl/>
        </w:rPr>
        <w:t xml:space="preserve">. </w:t>
      </w:r>
    </w:p>
    <w:p w14:paraId="05B3B327" w14:textId="77777777" w:rsidR="008E16D0" w:rsidRPr="00351B7D" w:rsidRDefault="008E16D0" w:rsidP="00A8697F">
      <w:pPr>
        <w:pStyle w:val="ab"/>
        <w:numPr>
          <w:ilvl w:val="0"/>
          <w:numId w:val="5"/>
        </w:numPr>
        <w:rPr>
          <w:rFonts w:asciiTheme="minorBidi" w:hAnsiTheme="minorBidi"/>
          <w:color w:val="000000"/>
          <w:rtl/>
        </w:rPr>
      </w:pPr>
      <w:r w:rsidRPr="00351B7D">
        <w:rPr>
          <w:rFonts w:asciiTheme="minorBidi" w:hAnsiTheme="minorBidi"/>
          <w:rtl/>
        </w:rPr>
        <w:t xml:space="preserve">שער המלך </w:t>
      </w:r>
      <w:r w:rsidRPr="00351B7D">
        <w:rPr>
          <w:rFonts w:asciiTheme="minorBidi" w:hAnsiTheme="minorBidi"/>
          <w:sz w:val="16"/>
          <w:szCs w:val="16"/>
          <w:rtl/>
        </w:rPr>
        <w:t>(הל' אישות פ"י בקונטרס חופת חתנים</w:t>
      </w:r>
      <w:r w:rsidRPr="00351B7D">
        <w:rPr>
          <w:rStyle w:val="a7"/>
          <w:rFonts w:asciiTheme="minorBidi" w:hAnsiTheme="minorBidi"/>
          <w:sz w:val="20"/>
          <w:szCs w:val="20"/>
          <w:rtl/>
        </w:rPr>
        <w:footnoteReference w:id="41"/>
      </w:r>
      <w:r w:rsidRPr="00351B7D">
        <w:rPr>
          <w:rFonts w:asciiTheme="minorBidi" w:hAnsiTheme="minorBidi"/>
          <w:sz w:val="16"/>
          <w:szCs w:val="16"/>
          <w:rtl/>
        </w:rPr>
        <w:t xml:space="preserve"> סע' ג)</w:t>
      </w:r>
      <w:r w:rsidRPr="00351B7D">
        <w:rPr>
          <w:rFonts w:asciiTheme="minorBidi" w:hAnsiTheme="minorBidi"/>
          <w:rtl/>
        </w:rPr>
        <w:t xml:space="preserve">- </w:t>
      </w:r>
      <w:r w:rsidRPr="00351B7D">
        <w:rPr>
          <w:rFonts w:asciiTheme="minorBidi" w:hAnsiTheme="minorBidi"/>
          <w:color w:val="000000"/>
          <w:rtl/>
        </w:rPr>
        <w:t>אפי' באלמנה יש לחוש לקדושין כסברת ר"ח</w:t>
      </w:r>
      <w:r w:rsidRPr="00351B7D">
        <w:rPr>
          <w:rFonts w:asciiTheme="minorBidi" w:hAnsiTheme="minorBidi"/>
          <w:rtl/>
        </w:rPr>
        <w:t>, וכ"ש אלמנה מן האירוסין שהיא כבתולה לעניין ספק זה</w:t>
      </w:r>
      <w:r w:rsidRPr="00351B7D">
        <w:rPr>
          <w:rFonts w:asciiTheme="minorBidi" w:hAnsiTheme="minorBidi"/>
          <w:color w:val="000000"/>
          <w:rtl/>
        </w:rPr>
        <w:t xml:space="preserve">. </w:t>
      </w:r>
    </w:p>
    <w:p w14:paraId="59EC9A36" w14:textId="77777777" w:rsidR="008E16D0" w:rsidRPr="00351B7D" w:rsidRDefault="008E16D0" w:rsidP="008E16D0">
      <w:pPr>
        <w:rPr>
          <w:rFonts w:asciiTheme="minorBidi" w:hAnsiTheme="minorBidi"/>
          <w:color w:val="000000"/>
          <w:rtl/>
        </w:rPr>
      </w:pPr>
    </w:p>
    <w:p w14:paraId="64E4E88D" w14:textId="77777777" w:rsidR="008E16D0" w:rsidRPr="00351B7D" w:rsidRDefault="008E16D0" w:rsidP="008E16D0">
      <w:pPr>
        <w:pStyle w:val="2"/>
        <w:rPr>
          <w:rFonts w:asciiTheme="minorBidi" w:hAnsiTheme="minorBidi"/>
          <w:rtl/>
        </w:rPr>
      </w:pPr>
      <w:r w:rsidRPr="00351B7D">
        <w:rPr>
          <w:rFonts w:asciiTheme="minorBidi" w:hAnsiTheme="minorBidi"/>
          <w:rtl/>
        </w:rPr>
        <w:t>סעיף ג: משנתקדשה נחשבת כאשת איש וצריכה גט להתירה.</w:t>
      </w:r>
    </w:p>
    <w:p w14:paraId="3CBA4862" w14:textId="77777777" w:rsidR="008E16D0" w:rsidRPr="00351B7D" w:rsidRDefault="008E16D0" w:rsidP="008E16D0">
      <w:pPr>
        <w:rPr>
          <w:rFonts w:asciiTheme="minorBidi" w:hAnsiTheme="minorBidi"/>
          <w:rtl/>
        </w:rPr>
      </w:pPr>
      <w:r w:rsidRPr="00351B7D">
        <w:rPr>
          <w:rFonts w:asciiTheme="minorBidi" w:hAnsiTheme="minorBidi"/>
          <w:b/>
          <w:bCs/>
          <w:rtl/>
        </w:rPr>
        <w:t xml:space="preserve">דברים פכ"ב: [כג] </w:t>
      </w:r>
      <w:r w:rsidRPr="00351B7D">
        <w:rPr>
          <w:rFonts w:asciiTheme="minorBidi" w:hAnsiTheme="minorBidi"/>
          <w:rtl/>
        </w:rPr>
        <w:t xml:space="preserve">כִּ֤י יִהְיֶה֙ נַעֲרָ֣ בְתוּלָ֔ה מְאֹרָשָׂ֖ה לְאִ֑ישׁ וּמְצָאָ֥הּ אִ֛ישׁ בָּעִ֖יר וְשָׁכַ֥ב עִמָּֽהּ: </w:t>
      </w:r>
      <w:r w:rsidRPr="00351B7D">
        <w:rPr>
          <w:rFonts w:asciiTheme="minorBidi" w:hAnsiTheme="minorBidi"/>
          <w:b/>
          <w:bCs/>
          <w:rtl/>
        </w:rPr>
        <w:t xml:space="preserve">[כד] </w:t>
      </w:r>
      <w:r w:rsidRPr="00351B7D">
        <w:rPr>
          <w:rFonts w:asciiTheme="minorBidi" w:hAnsiTheme="minorBidi"/>
          <w:rtl/>
        </w:rPr>
        <w:t>וְהוֹצֵאתֶ֨ם אֶת־שְׁנֵיהֶ֜ם אֶל־שַׁ֣עַר׀ הָעִ֣יר הַהִ֗וא וּסְקַלְתֶּ֨ם אֹתָ֥ם בָּאֲבָנִים֘ וָמֵתוּ֒ אֶת־הַֽנַּעֲרָ֗ עַל־דְּבַר֙ אֲשֶׁ֣ר לֹא־צָעֲקָ֣ה בָעִ֔יר וְאֶ֨ת־הָאִ֔ישׁ עַל־דְּבַ֥ר אֲשֶׁר־עִנָּ֖ה אֶת־אֵ֣שֶׁת רֵעֵ֑הוּ וּבִֽעַרְתָּ֥ הָרָ֖ע מִקִּרְבֶּֽךָ:</w:t>
      </w:r>
    </w:p>
    <w:p w14:paraId="5177A54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0D62AC" w14:textId="77777777" w:rsidR="008E16D0" w:rsidRPr="00351B7D" w:rsidRDefault="008E16D0" w:rsidP="008E16D0">
      <w:pPr>
        <w:rPr>
          <w:rFonts w:asciiTheme="minorBidi" w:hAnsiTheme="minorBidi"/>
          <w:color w:val="000000"/>
          <w:rtl/>
        </w:rPr>
      </w:pPr>
      <w:r w:rsidRPr="00351B7D">
        <w:rPr>
          <w:rFonts w:asciiTheme="minorBidi" w:hAnsiTheme="minorBidi"/>
          <w:rtl/>
        </w:rPr>
        <w:t>משנתקדשה נחשבת כאשת איש לחייב הבא עליה וצריכה גט להתירה לשוק</w:t>
      </w:r>
      <w:r w:rsidRPr="00351B7D">
        <w:rPr>
          <w:rStyle w:val="a7"/>
          <w:rFonts w:asciiTheme="minorBidi" w:hAnsiTheme="minorBidi"/>
          <w:color w:val="000000"/>
          <w:rtl/>
        </w:rPr>
        <w:footnoteReference w:id="42"/>
      </w:r>
      <w:r w:rsidRPr="00351B7D">
        <w:rPr>
          <w:rFonts w:asciiTheme="minorBidi" w:hAnsiTheme="minorBidi"/>
          <w:color w:val="000000"/>
          <w:rtl/>
        </w:rPr>
        <w:t xml:space="preserve">. </w:t>
      </w:r>
    </w:p>
    <w:p w14:paraId="7A8F494E" w14:textId="77777777" w:rsidR="008E16D0" w:rsidRPr="00351B7D" w:rsidRDefault="008E16D0" w:rsidP="008E16D0">
      <w:pPr>
        <w:rPr>
          <w:rFonts w:asciiTheme="minorBidi" w:hAnsiTheme="minorBidi"/>
          <w:color w:val="000000"/>
          <w:rtl/>
        </w:rPr>
      </w:pPr>
    </w:p>
    <w:p w14:paraId="65FC3A08" w14:textId="77777777" w:rsidR="008E16D0" w:rsidRPr="00351B7D" w:rsidRDefault="008E16D0" w:rsidP="008E16D0">
      <w:pPr>
        <w:pStyle w:val="2"/>
        <w:rPr>
          <w:rFonts w:asciiTheme="minorBidi" w:hAnsiTheme="minorBidi"/>
          <w:rtl/>
        </w:rPr>
      </w:pPr>
      <w:r w:rsidRPr="00351B7D">
        <w:rPr>
          <w:rFonts w:asciiTheme="minorBidi" w:hAnsiTheme="minorBidi"/>
          <w:rtl/>
        </w:rPr>
        <w:t>סעיף ד: במה אשה מתקדשת.</w:t>
      </w:r>
    </w:p>
    <w:p w14:paraId="184B391F" w14:textId="77777777" w:rsidR="008E16D0" w:rsidRPr="00351B7D" w:rsidRDefault="008E16D0" w:rsidP="008E16D0">
      <w:pPr>
        <w:rPr>
          <w:rFonts w:asciiTheme="minorBidi" w:hAnsiTheme="minorBidi"/>
          <w:rtl/>
        </w:rPr>
      </w:pPr>
      <w:r w:rsidRPr="00351B7D">
        <w:rPr>
          <w:rFonts w:asciiTheme="minorBidi" w:hAnsiTheme="minorBidi"/>
          <w:b/>
          <w:bCs/>
          <w:rtl/>
        </w:rPr>
        <w:t>קדושין 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האשה נקנית בשלש דרכים, וקונה את עצמה בשתי דרכים. נקנית בכסף, בשטר, ובביאה...</w:t>
      </w:r>
    </w:p>
    <w:p w14:paraId="18DB298A" w14:textId="77777777" w:rsidR="008E16D0" w:rsidRPr="00351B7D" w:rsidRDefault="008E16D0" w:rsidP="008E16D0">
      <w:pPr>
        <w:rPr>
          <w:rFonts w:asciiTheme="minorBidi" w:hAnsiTheme="minorBidi"/>
          <w:rtl/>
        </w:rPr>
      </w:pPr>
      <w:r w:rsidRPr="00351B7D">
        <w:rPr>
          <w:rFonts w:asciiTheme="minorBidi" w:hAnsiTheme="minorBidi"/>
          <w:b/>
          <w:bCs/>
          <w:rtl/>
        </w:rPr>
        <w:t>קדושין יב ע"ב:</w:t>
      </w:r>
      <w:r w:rsidRPr="00351B7D">
        <w:rPr>
          <w:rFonts w:asciiTheme="minorBidi" w:hAnsiTheme="minorBidi"/>
          <w:rtl/>
        </w:rPr>
        <w:t xml:space="preserve"> ההוא גברא דאקדיש בשוטיתא דאסא</w:t>
      </w:r>
      <w:r w:rsidRPr="00351B7D">
        <w:rPr>
          <w:rStyle w:val="a7"/>
          <w:rFonts w:asciiTheme="minorBidi" w:hAnsiTheme="minorBidi"/>
          <w:rtl/>
        </w:rPr>
        <w:footnoteReference w:id="43"/>
      </w:r>
      <w:r w:rsidRPr="00351B7D">
        <w:rPr>
          <w:rFonts w:asciiTheme="minorBidi" w:hAnsiTheme="minorBidi"/>
          <w:rtl/>
        </w:rPr>
        <w:t xml:space="preserve"> בשוקא, שלחה רב אחא בר הונא לקמיה דרב יוסף, כה"ג מאי? </w:t>
      </w:r>
      <w:r w:rsidRPr="00351B7D">
        <w:rPr>
          <w:rFonts w:asciiTheme="minorBidi" w:hAnsiTheme="minorBidi"/>
          <w:u w:val="single"/>
          <w:rtl/>
        </w:rPr>
        <w:t>שלח ליה</w:t>
      </w:r>
      <w:r w:rsidRPr="00351B7D">
        <w:rPr>
          <w:rFonts w:asciiTheme="minorBidi" w:hAnsiTheme="minorBidi"/>
          <w:rtl/>
        </w:rPr>
        <w:t>: נגדיה כרב</w:t>
      </w:r>
      <w:r w:rsidRPr="00351B7D">
        <w:rPr>
          <w:rStyle w:val="a7"/>
          <w:rFonts w:asciiTheme="minorBidi" w:hAnsiTheme="minorBidi"/>
          <w:rtl/>
        </w:rPr>
        <w:footnoteReference w:id="44"/>
      </w:r>
      <w:r w:rsidRPr="00351B7D">
        <w:rPr>
          <w:rFonts w:asciiTheme="minorBidi" w:hAnsiTheme="minorBidi"/>
          <w:rtl/>
        </w:rPr>
        <w:t>, ואצטריך גיטא</w:t>
      </w:r>
      <w:r w:rsidRPr="00351B7D">
        <w:rPr>
          <w:rStyle w:val="a7"/>
          <w:rFonts w:asciiTheme="minorBidi" w:hAnsiTheme="minorBidi"/>
          <w:rtl/>
        </w:rPr>
        <w:footnoteReference w:id="45"/>
      </w:r>
      <w:r w:rsidRPr="00351B7D">
        <w:rPr>
          <w:rFonts w:asciiTheme="minorBidi" w:hAnsiTheme="minorBidi"/>
          <w:rtl/>
        </w:rPr>
        <w:t xml:space="preserve"> כשמואל. דרב מנגיד</w:t>
      </w:r>
      <w:r w:rsidRPr="00351B7D">
        <w:rPr>
          <w:rStyle w:val="a7"/>
          <w:rFonts w:asciiTheme="minorBidi" w:hAnsiTheme="minorBidi"/>
          <w:rtl/>
        </w:rPr>
        <w:footnoteReference w:id="46"/>
      </w:r>
      <w:r w:rsidRPr="00351B7D">
        <w:rPr>
          <w:rFonts w:asciiTheme="minorBidi" w:hAnsiTheme="minorBidi"/>
          <w:rtl/>
        </w:rPr>
        <w:t xml:space="preserve"> על דמקדש בשוקא, ועל דמקדש בביאה, ועל דמקדש בלא שידוכי, ועל דמבטיל גיטא</w:t>
      </w:r>
      <w:r w:rsidRPr="00351B7D">
        <w:rPr>
          <w:rStyle w:val="a7"/>
          <w:rFonts w:asciiTheme="minorBidi" w:hAnsiTheme="minorBidi"/>
          <w:rtl/>
        </w:rPr>
        <w:footnoteReference w:id="47"/>
      </w:r>
      <w:r w:rsidRPr="00351B7D">
        <w:rPr>
          <w:rFonts w:asciiTheme="minorBidi" w:hAnsiTheme="minorBidi"/>
          <w:rtl/>
        </w:rPr>
        <w:t>, ועל דמסר מודעא אגיטא</w:t>
      </w:r>
      <w:r w:rsidRPr="00351B7D">
        <w:rPr>
          <w:rStyle w:val="a7"/>
          <w:rFonts w:asciiTheme="minorBidi" w:hAnsiTheme="minorBidi"/>
          <w:rtl/>
        </w:rPr>
        <w:footnoteReference w:id="48"/>
      </w:r>
      <w:r w:rsidRPr="00351B7D">
        <w:rPr>
          <w:rFonts w:asciiTheme="minorBidi" w:hAnsiTheme="minorBidi"/>
          <w:rtl/>
        </w:rPr>
        <w:t>, ועל דמצער שלוחא דרבנן</w:t>
      </w:r>
      <w:r w:rsidRPr="00351B7D">
        <w:rPr>
          <w:rStyle w:val="a7"/>
          <w:rFonts w:asciiTheme="minorBidi" w:hAnsiTheme="minorBidi"/>
          <w:rtl/>
        </w:rPr>
        <w:footnoteReference w:id="49"/>
      </w:r>
      <w:r w:rsidRPr="00351B7D">
        <w:rPr>
          <w:rFonts w:asciiTheme="minorBidi" w:hAnsiTheme="minorBidi"/>
          <w:rtl/>
        </w:rPr>
        <w:t>, ועל דחלה שמתא עילויה תלתין יומין, ועל חתנא דדייר בי חמוה</w:t>
      </w:r>
      <w:r w:rsidRPr="00351B7D">
        <w:rPr>
          <w:rStyle w:val="a7"/>
          <w:rFonts w:asciiTheme="minorBidi" w:hAnsiTheme="minorBidi"/>
          <w:rtl/>
        </w:rPr>
        <w:footnoteReference w:id="50"/>
      </w:r>
      <w:r w:rsidRPr="00351B7D">
        <w:rPr>
          <w:rFonts w:asciiTheme="minorBidi" w:hAnsiTheme="minorBidi"/>
          <w:rtl/>
        </w:rPr>
        <w:t xml:space="preserve">... </w:t>
      </w:r>
      <w:r w:rsidRPr="00351B7D">
        <w:rPr>
          <w:rFonts w:asciiTheme="minorBidi" w:hAnsiTheme="minorBidi"/>
          <w:u w:val="single"/>
          <w:rtl/>
        </w:rPr>
        <w:t>נהרדעי אמרי</w:t>
      </w:r>
      <w:r w:rsidRPr="00351B7D">
        <w:rPr>
          <w:rFonts w:asciiTheme="minorBidi" w:hAnsiTheme="minorBidi"/>
          <w:rtl/>
        </w:rPr>
        <w:t xml:space="preserve">: בכולהו לא מנגיד רב, אלא על דמקדש בביאה בלא שידוכי. </w:t>
      </w:r>
      <w:r w:rsidRPr="00351B7D">
        <w:rPr>
          <w:rFonts w:asciiTheme="minorBidi" w:hAnsiTheme="minorBidi"/>
          <w:u w:val="single"/>
          <w:rtl/>
        </w:rPr>
        <w:t>ואיכא דאמרי</w:t>
      </w:r>
      <w:r w:rsidRPr="00351B7D">
        <w:rPr>
          <w:rFonts w:asciiTheme="minorBidi" w:hAnsiTheme="minorBidi"/>
          <w:rtl/>
        </w:rPr>
        <w:t xml:space="preserve">: ואפילו בשידוכי נמי, משום פריצותא. </w:t>
      </w:r>
    </w:p>
    <w:p w14:paraId="2AD54D5B" w14:textId="77777777" w:rsidR="008E16D0" w:rsidRPr="00351B7D" w:rsidRDefault="008E16D0" w:rsidP="008E16D0">
      <w:pPr>
        <w:rPr>
          <w:rFonts w:asciiTheme="minorBidi" w:hAnsiTheme="minorBidi"/>
          <w:u w:val="single"/>
          <w:rtl/>
        </w:rPr>
      </w:pPr>
      <w:r w:rsidRPr="00351B7D">
        <w:rPr>
          <w:rFonts w:asciiTheme="minorBidi" w:hAnsiTheme="minorBidi"/>
          <w:u w:val="single"/>
          <w:rtl/>
        </w:rPr>
        <w:t>על מה מלקים משום פריצות:</w:t>
      </w:r>
    </w:p>
    <w:p w14:paraId="540554B4" w14:textId="77777777" w:rsidR="008E16D0" w:rsidRPr="00351B7D" w:rsidRDefault="008E16D0" w:rsidP="00A8697F">
      <w:pPr>
        <w:pStyle w:val="ab"/>
        <w:numPr>
          <w:ilvl w:val="0"/>
          <w:numId w:val="6"/>
        </w:numPr>
        <w:rPr>
          <w:rFonts w:asciiTheme="minorBidi" w:hAnsiTheme="minorBidi"/>
          <w:rtl/>
        </w:rPr>
      </w:pPr>
      <w:r w:rsidRPr="00351B7D">
        <w:rPr>
          <w:rFonts w:asciiTheme="minorBidi" w:hAnsiTheme="minorBidi"/>
          <w:rtl/>
        </w:rPr>
        <w:t>רמב"ם</w:t>
      </w:r>
      <w:r w:rsidRPr="00351B7D">
        <w:rPr>
          <w:rFonts w:asciiTheme="minorBidi" w:hAnsiTheme="minorBidi"/>
          <w:sz w:val="16"/>
          <w:szCs w:val="16"/>
          <w:rtl/>
        </w:rPr>
        <w:t xml:space="preserve"> (אישות פ"ג הכ"א-כב)</w:t>
      </w:r>
      <w:r w:rsidRPr="00351B7D">
        <w:rPr>
          <w:rFonts w:asciiTheme="minorBidi" w:hAnsiTheme="minorBidi"/>
          <w:rtl/>
        </w:rPr>
        <w:t xml:space="preserve"> ותשב"ץ</w:t>
      </w:r>
      <w:r w:rsidRPr="00351B7D">
        <w:rPr>
          <w:rFonts w:asciiTheme="minorBidi" w:hAnsiTheme="minorBidi"/>
          <w:sz w:val="16"/>
          <w:szCs w:val="16"/>
          <w:rtl/>
        </w:rPr>
        <w:t xml:space="preserve"> (ח"א סי' כג)</w:t>
      </w:r>
      <w:r w:rsidRPr="00351B7D">
        <w:rPr>
          <w:rFonts w:asciiTheme="minorBidi" w:hAnsiTheme="minorBidi"/>
          <w:rtl/>
        </w:rPr>
        <w:t>- על כל מה שמנתה הגמ', כלישנא קמא</w:t>
      </w:r>
      <w:r w:rsidRPr="00351B7D">
        <w:rPr>
          <w:rStyle w:val="a7"/>
          <w:rFonts w:asciiTheme="minorBidi" w:hAnsiTheme="minorBidi"/>
          <w:rtl/>
        </w:rPr>
        <w:footnoteReference w:id="51"/>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6B8F6384" w14:textId="77777777" w:rsidR="008E16D0" w:rsidRPr="00351B7D" w:rsidRDefault="008E16D0" w:rsidP="00A8697F">
      <w:pPr>
        <w:pStyle w:val="ab"/>
        <w:numPr>
          <w:ilvl w:val="0"/>
          <w:numId w:val="3"/>
        </w:numPr>
        <w:rPr>
          <w:rFonts w:asciiTheme="minorBidi" w:hAnsiTheme="minorBidi"/>
        </w:rPr>
      </w:pPr>
      <w:r w:rsidRPr="00351B7D">
        <w:rPr>
          <w:rFonts w:asciiTheme="minorBidi" w:hAnsiTheme="minorBidi"/>
          <w:rtl/>
        </w:rPr>
        <w:lastRenderedPageBreak/>
        <w:t>תוס'</w:t>
      </w:r>
      <w:r w:rsidRPr="00351B7D">
        <w:rPr>
          <w:rStyle w:val="a7"/>
          <w:rFonts w:asciiTheme="minorBidi" w:hAnsiTheme="minorBidi"/>
          <w:rtl/>
        </w:rPr>
        <w:footnoteReference w:id="52"/>
      </w:r>
      <w:r w:rsidRPr="00351B7D">
        <w:rPr>
          <w:rFonts w:asciiTheme="minorBidi" w:hAnsiTheme="minorBidi"/>
          <w:sz w:val="16"/>
          <w:szCs w:val="16"/>
          <w:rtl/>
        </w:rPr>
        <w:t xml:space="preserve"> </w:t>
      </w:r>
      <w:r w:rsidRPr="00351B7D">
        <w:rPr>
          <w:rFonts w:asciiTheme="minorBidi" w:hAnsiTheme="minorBidi"/>
          <w:rtl/>
        </w:rPr>
        <w:t>(ורא"ש</w:t>
      </w:r>
      <w:r w:rsidRPr="00351B7D">
        <w:rPr>
          <w:rFonts w:asciiTheme="minorBidi" w:hAnsiTheme="minorBidi"/>
          <w:sz w:val="16"/>
          <w:szCs w:val="16"/>
          <w:rtl/>
        </w:rPr>
        <w:t xml:space="preserve">  להב' הטור</w:t>
      </w:r>
      <w:r w:rsidRPr="00351B7D">
        <w:rPr>
          <w:rFonts w:asciiTheme="minorBidi" w:hAnsiTheme="minorBidi"/>
          <w:rtl/>
        </w:rPr>
        <w:t xml:space="preserve">)- "האידנא נהוג עלמא כנהרדעי ואע"ג דרב יוסף אית ליה כלישנא קמא דרב בפ"ק דקידושין </w:t>
      </w:r>
      <w:r w:rsidRPr="00351B7D">
        <w:rPr>
          <w:rFonts w:asciiTheme="minorBidi" w:hAnsiTheme="minorBidi"/>
          <w:sz w:val="16"/>
          <w:szCs w:val="16"/>
          <w:rtl/>
        </w:rPr>
        <w:t>(יב:)</w:t>
      </w:r>
      <w:r w:rsidRPr="00351B7D">
        <w:rPr>
          <w:rFonts w:asciiTheme="minorBidi" w:hAnsiTheme="minorBidi"/>
          <w:rtl/>
        </w:rPr>
        <w:t xml:space="preserve"> בשל סופרים הלך אחר המיקל</w:t>
      </w:r>
      <w:r w:rsidRPr="00351B7D">
        <w:rPr>
          <w:rStyle w:val="a7"/>
          <w:rFonts w:asciiTheme="minorBidi" w:hAnsiTheme="minorBidi"/>
          <w:rtl/>
        </w:rPr>
        <w:footnoteReference w:id="53"/>
      </w:r>
      <w:r w:rsidRPr="00351B7D">
        <w:rPr>
          <w:rFonts w:asciiTheme="minorBidi" w:hAnsiTheme="minorBidi"/>
          <w:rtl/>
        </w:rPr>
        <w:t xml:space="preserve">". </w:t>
      </w:r>
    </w:p>
    <w:p w14:paraId="76E9AEE5" w14:textId="77777777" w:rsidR="008E16D0" w:rsidRPr="00351B7D" w:rsidRDefault="008E16D0" w:rsidP="00A8697F">
      <w:pPr>
        <w:pStyle w:val="ab"/>
        <w:numPr>
          <w:ilvl w:val="0"/>
          <w:numId w:val="3"/>
        </w:numPr>
        <w:rPr>
          <w:rFonts w:asciiTheme="minorBidi" w:hAnsiTheme="minorBidi"/>
        </w:rPr>
      </w:pPr>
      <w:r w:rsidRPr="00351B7D">
        <w:rPr>
          <w:rFonts w:asciiTheme="minorBidi" w:hAnsiTheme="minorBidi"/>
          <w:rtl/>
        </w:rPr>
        <w:t>(טור</w:t>
      </w:r>
      <w:r w:rsidRPr="00351B7D">
        <w:rPr>
          <w:rFonts w:asciiTheme="minorBidi" w:hAnsiTheme="minorBidi"/>
          <w:sz w:val="16"/>
          <w:szCs w:val="16"/>
          <w:rtl/>
        </w:rPr>
        <w:t xml:space="preserve"> להב' הבאר שבע</w:t>
      </w:r>
      <w:r w:rsidRPr="00351B7D">
        <w:rPr>
          <w:rStyle w:val="a7"/>
          <w:rFonts w:asciiTheme="minorBidi" w:hAnsiTheme="minorBidi"/>
          <w:sz w:val="16"/>
          <w:szCs w:val="16"/>
          <w:rtl/>
        </w:rPr>
        <w:footnoteReference w:id="54"/>
      </w:r>
      <w:r w:rsidRPr="00351B7D">
        <w:rPr>
          <w:rFonts w:asciiTheme="minorBidi" w:hAnsiTheme="minorBidi"/>
          <w:sz w:val="16"/>
          <w:szCs w:val="16"/>
          <w:rtl/>
        </w:rPr>
        <w:t xml:space="preserve"> </w:t>
      </w:r>
      <w:r w:rsidRPr="00351B7D">
        <w:rPr>
          <w:rFonts w:asciiTheme="minorBidi" w:hAnsiTheme="minorBidi"/>
          <w:sz w:val="14"/>
          <w:szCs w:val="14"/>
          <w:rtl/>
        </w:rPr>
        <w:t xml:space="preserve">[סי' כו] </w:t>
      </w:r>
      <w:r w:rsidRPr="00351B7D">
        <w:rPr>
          <w:rFonts w:asciiTheme="minorBidi" w:hAnsiTheme="minorBidi"/>
          <w:sz w:val="16"/>
          <w:szCs w:val="16"/>
          <w:rtl/>
        </w:rPr>
        <w:t>והגר"א</w:t>
      </w:r>
      <w:r w:rsidRPr="00351B7D">
        <w:rPr>
          <w:rFonts w:asciiTheme="minorBidi" w:hAnsiTheme="minorBidi"/>
          <w:sz w:val="14"/>
          <w:szCs w:val="14"/>
          <w:rtl/>
        </w:rPr>
        <w:t xml:space="preserve"> [סקי"ד]</w:t>
      </w:r>
      <w:r w:rsidRPr="00351B7D">
        <w:rPr>
          <w:rFonts w:asciiTheme="minorBidi" w:hAnsiTheme="minorBidi"/>
          <w:rtl/>
        </w:rPr>
        <w:t xml:space="preserve">)- נהרדעי לא פליגי אלא בעניין קידושין, לכן בענייני קידושין אזלינן לקולא דבשל סופרים הלך אחר המיקל, ובשאר עניינים אזלינן כלש"ק. </w:t>
      </w:r>
      <w:r w:rsidRPr="00351B7D">
        <w:rPr>
          <w:rFonts w:asciiTheme="minorBidi" w:hAnsiTheme="minorBidi"/>
          <w:color w:val="00B0F0"/>
          <w:rtl/>
        </w:rPr>
        <w:t>(וכ"כ הרמ"א</w:t>
      </w:r>
      <w:r w:rsidRPr="00351B7D">
        <w:rPr>
          <w:rStyle w:val="a7"/>
          <w:rFonts w:asciiTheme="minorBidi" w:hAnsiTheme="minorBidi"/>
          <w:rtl/>
        </w:rPr>
        <w:footnoteReference w:id="55"/>
      </w:r>
      <w:r w:rsidRPr="00351B7D">
        <w:rPr>
          <w:rFonts w:asciiTheme="minorBidi" w:hAnsiTheme="minorBidi"/>
          <w:color w:val="00B0F0"/>
          <w:rtl/>
        </w:rPr>
        <w:t>)</w:t>
      </w:r>
    </w:p>
    <w:p w14:paraId="7DE76F6A" w14:textId="77777777" w:rsidR="008E16D0" w:rsidRPr="00351B7D" w:rsidRDefault="008E16D0" w:rsidP="008E16D0">
      <w:pPr>
        <w:rPr>
          <w:rFonts w:asciiTheme="minorBidi" w:hAnsiTheme="minorBidi"/>
          <w:u w:val="single"/>
        </w:rPr>
      </w:pPr>
      <w:r w:rsidRPr="00351B7D">
        <w:rPr>
          <w:rFonts w:asciiTheme="minorBidi" w:hAnsiTheme="minorBidi"/>
          <w:u w:val="single"/>
          <w:rtl/>
        </w:rPr>
        <w:t>מי ששדך אשה והיה יוצא ובא לבית חמיו ואח"כ נשאת לאחר וזה הראשון טוען שקדשה בביאה בלא עדים:</w:t>
      </w:r>
    </w:p>
    <w:p w14:paraId="32AA28D3" w14:textId="77777777" w:rsidR="008E16D0" w:rsidRPr="00351B7D" w:rsidRDefault="008E16D0" w:rsidP="00A8697F">
      <w:pPr>
        <w:pStyle w:val="ab"/>
        <w:numPr>
          <w:ilvl w:val="0"/>
          <w:numId w:val="6"/>
        </w:numPr>
        <w:rPr>
          <w:rFonts w:asciiTheme="minorBidi" w:hAnsiTheme="minorBidi"/>
          <w:rtl/>
        </w:rPr>
      </w:pPr>
      <w:r w:rsidRPr="00351B7D">
        <w:rPr>
          <w:rFonts w:asciiTheme="minorBidi" w:hAnsiTheme="minorBidi"/>
          <w:rtl/>
        </w:rPr>
        <w:t xml:space="preserve">תשב"ץ </w:t>
      </w:r>
      <w:r w:rsidRPr="00351B7D">
        <w:rPr>
          <w:rFonts w:asciiTheme="minorBidi" w:hAnsiTheme="minorBidi"/>
          <w:sz w:val="16"/>
          <w:szCs w:val="16"/>
          <w:rtl/>
        </w:rPr>
        <w:t>(ח"א סי' לז)</w:t>
      </w:r>
      <w:r w:rsidRPr="00351B7D">
        <w:rPr>
          <w:rFonts w:asciiTheme="minorBidi" w:hAnsiTheme="minorBidi"/>
          <w:rtl/>
        </w:rPr>
        <w:t>- "אין בדבריו ממש ואפילו היא מודה בדבר כיון שאין שם עדים ואפי' היה שם עד אחד... וראוי לגעור בזה שהעיז פניו לומר שקדשה בביאה דהא רב מינגד מאן דמקדש בביאה... וכ"ש שאם היא ביאה בלא עדים שהיא ביאה של הפקר שיש איסור בדבר, שהרי אסרו ייחוד דפנויה בב"ד של דוד".</w:t>
      </w:r>
    </w:p>
    <w:p w14:paraId="44ECEF1C"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9DD173" w14:textId="77777777" w:rsidR="008E16D0" w:rsidRPr="00351B7D" w:rsidRDefault="008E16D0" w:rsidP="008E16D0">
      <w:pPr>
        <w:rPr>
          <w:rFonts w:asciiTheme="minorBidi" w:hAnsiTheme="minorBidi"/>
          <w:color w:val="000000"/>
          <w:rtl/>
        </w:rPr>
      </w:pPr>
      <w:r w:rsidRPr="00351B7D">
        <w:rPr>
          <w:rFonts w:asciiTheme="minorBidi" w:hAnsiTheme="minorBidi"/>
          <w:rtl/>
        </w:rPr>
        <w:t>האשה מתקדשת בשלשה דרכים בכסף או בשטר או בביאה מן התורה</w:t>
      </w:r>
      <w:r w:rsidRPr="00351B7D">
        <w:rPr>
          <w:rStyle w:val="a7"/>
          <w:rFonts w:asciiTheme="minorBidi" w:hAnsiTheme="minorBidi"/>
          <w:color w:val="000000"/>
          <w:rtl/>
        </w:rPr>
        <w:footnoteReference w:id="56"/>
      </w:r>
      <w:r w:rsidRPr="00351B7D">
        <w:rPr>
          <w:rFonts w:asciiTheme="minorBidi" w:hAnsiTheme="minorBidi"/>
          <w:rtl/>
        </w:rPr>
        <w:t>, אבל חכמים אסרו לקדש בביאה משום פריצות</w:t>
      </w:r>
      <w:r w:rsidRPr="00351B7D">
        <w:rPr>
          <w:rStyle w:val="a7"/>
          <w:rFonts w:asciiTheme="minorBidi" w:hAnsiTheme="minorBidi"/>
          <w:color w:val="000000"/>
          <w:rtl/>
        </w:rPr>
        <w:footnoteReference w:id="57"/>
      </w:r>
      <w:r w:rsidRPr="00351B7D">
        <w:rPr>
          <w:rFonts w:asciiTheme="minorBidi" w:hAnsiTheme="minorBidi"/>
          <w:rtl/>
        </w:rPr>
        <w:t>, ואם עבר וקידש בביאה מכין אותו</w:t>
      </w:r>
      <w:r w:rsidRPr="00351B7D">
        <w:rPr>
          <w:rStyle w:val="a7"/>
          <w:rFonts w:asciiTheme="minorBidi" w:hAnsiTheme="minorBidi"/>
          <w:color w:val="000000"/>
          <w:rtl/>
        </w:rPr>
        <w:footnoteReference w:id="58"/>
      </w:r>
      <w:r w:rsidRPr="00351B7D">
        <w:rPr>
          <w:rFonts w:asciiTheme="minorBidi" w:hAnsiTheme="minorBidi"/>
          <w:rtl/>
        </w:rPr>
        <w:t xml:space="preserve"> מכת מרדות</w:t>
      </w:r>
      <w:r w:rsidRPr="00351B7D">
        <w:rPr>
          <w:rStyle w:val="a7"/>
          <w:rFonts w:asciiTheme="minorBidi" w:hAnsiTheme="minorBidi"/>
          <w:color w:val="000000"/>
          <w:rtl/>
        </w:rPr>
        <w:footnoteReference w:id="59"/>
      </w:r>
      <w:r w:rsidRPr="00351B7D">
        <w:rPr>
          <w:rFonts w:asciiTheme="minorBidi" w:hAnsiTheme="minorBidi"/>
          <w:rtl/>
        </w:rPr>
        <w:t xml:space="preserve"> והיא מקודשת, ואפילו קדשה בכסף או בשטר אם לא שידך תחלה או שקידש בשוק מכין אותו מכת מרדות והיא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שאין מכין אם קידש בכסף או בשטר אפילו בשוק ובלא שידוכין (טור בשם הרא"ש), ולא ראיתי מימי שהכו מי שקדש בלא שדוכין.</w:t>
      </w:r>
    </w:p>
    <w:p w14:paraId="5178FF2B"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color w:val="000000"/>
          <w:u w:val="single"/>
          <w:rtl/>
        </w:rPr>
        <w:t>קידושין בלילה:</w:t>
      </w:r>
      <w:r w:rsidRPr="00351B7D">
        <w:rPr>
          <w:rFonts w:asciiTheme="minorBidi" w:hAnsiTheme="minorBidi"/>
          <w:color w:val="000000"/>
          <w:sz w:val="16"/>
          <w:szCs w:val="16"/>
          <w:rtl/>
        </w:rPr>
        <w:t xml:space="preserve">  (פת"ש סק"ז)</w:t>
      </w:r>
    </w:p>
    <w:p w14:paraId="29E1FF05" w14:textId="77777777" w:rsidR="008E16D0" w:rsidRPr="00351B7D" w:rsidRDefault="008E16D0" w:rsidP="00A8697F">
      <w:pPr>
        <w:pStyle w:val="ab"/>
        <w:numPr>
          <w:ilvl w:val="0"/>
          <w:numId w:val="6"/>
        </w:numPr>
        <w:rPr>
          <w:rFonts w:asciiTheme="minorBidi" w:hAnsiTheme="minorBidi"/>
        </w:rPr>
      </w:pPr>
      <w:r w:rsidRPr="00351B7D">
        <w:rPr>
          <w:rFonts w:asciiTheme="minorBidi" w:hAnsiTheme="minorBidi"/>
          <w:rtl/>
        </w:rPr>
        <w:t>רי"ד (רא"ם מהר"י מינץ</w:t>
      </w:r>
      <w:r w:rsidRPr="00351B7D">
        <w:rPr>
          <w:rStyle w:val="a7"/>
          <w:rFonts w:asciiTheme="minorBidi" w:hAnsiTheme="minorBidi"/>
          <w:color w:val="000000"/>
          <w:rtl/>
        </w:rPr>
        <w:footnoteReference w:id="60"/>
      </w:r>
      <w:r w:rsidRPr="00351B7D">
        <w:rPr>
          <w:rFonts w:asciiTheme="minorBidi" w:hAnsiTheme="minorBidi"/>
          <w:rtl/>
        </w:rPr>
        <w:t xml:space="preserve"> </w:t>
      </w:r>
      <w:r w:rsidRPr="00351B7D">
        <w:rPr>
          <w:rFonts w:asciiTheme="minorBidi" w:hAnsiTheme="minorBidi"/>
          <w:color w:val="000000"/>
          <w:sz w:val="16"/>
          <w:szCs w:val="16"/>
          <w:rtl/>
        </w:rPr>
        <w:t>להב' הבאה"ט</w:t>
      </w:r>
      <w:r w:rsidRPr="00351B7D">
        <w:rPr>
          <w:rFonts w:asciiTheme="minorBidi" w:hAnsiTheme="minorBidi"/>
          <w:rtl/>
        </w:rPr>
        <w:t>) כנה"ג ובאה"ט</w:t>
      </w:r>
      <w:r w:rsidRPr="00351B7D">
        <w:rPr>
          <w:rStyle w:val="a7"/>
          <w:rFonts w:asciiTheme="minorBidi" w:hAnsiTheme="minorBidi"/>
          <w:color w:val="000000"/>
          <w:rtl/>
        </w:rPr>
        <w:footnoteReference w:id="61"/>
      </w:r>
      <w:r w:rsidRPr="00351B7D">
        <w:rPr>
          <w:rFonts w:asciiTheme="minorBidi" w:hAnsiTheme="minorBidi"/>
          <w:rtl/>
        </w:rPr>
        <w:t>- אשה שנתקדשה בלילה ספק אם הם קדושין</w:t>
      </w:r>
      <w:r w:rsidRPr="00351B7D">
        <w:rPr>
          <w:rStyle w:val="a7"/>
          <w:rFonts w:asciiTheme="minorBidi" w:hAnsiTheme="minorBidi"/>
          <w:color w:val="000000"/>
          <w:rtl/>
        </w:rPr>
        <w:footnoteReference w:id="62"/>
      </w:r>
      <w:r w:rsidRPr="00351B7D">
        <w:rPr>
          <w:rFonts w:asciiTheme="minorBidi" w:hAnsiTheme="minorBidi"/>
          <w:color w:val="000000"/>
          <w:rtl/>
        </w:rPr>
        <w:t>.</w:t>
      </w:r>
      <w:r w:rsidRPr="00351B7D">
        <w:rPr>
          <w:rFonts w:asciiTheme="minorBidi" w:hAnsiTheme="minorBidi"/>
          <w:rtl/>
        </w:rPr>
        <w:t xml:space="preserve"> </w:t>
      </w:r>
    </w:p>
    <w:p w14:paraId="5E0139F5" w14:textId="77777777" w:rsidR="008E16D0" w:rsidRPr="00351B7D" w:rsidRDefault="008E16D0" w:rsidP="00A8697F">
      <w:pPr>
        <w:pStyle w:val="ab"/>
        <w:numPr>
          <w:ilvl w:val="0"/>
          <w:numId w:val="6"/>
        </w:numPr>
        <w:rPr>
          <w:rFonts w:asciiTheme="minorBidi" w:hAnsiTheme="minorBidi"/>
          <w:rtl/>
        </w:rPr>
      </w:pPr>
      <w:r w:rsidRPr="00351B7D">
        <w:rPr>
          <w:rFonts w:asciiTheme="minorBidi" w:hAnsiTheme="minorBidi"/>
          <w:rtl/>
        </w:rPr>
        <w:lastRenderedPageBreak/>
        <w:t>כל הפוסקים</w:t>
      </w:r>
      <w:r w:rsidRPr="00351B7D">
        <w:rPr>
          <w:rStyle w:val="a7"/>
          <w:rFonts w:asciiTheme="minorBidi" w:hAnsiTheme="minorBidi"/>
          <w:color w:val="000000"/>
          <w:rtl/>
        </w:rPr>
        <w:footnoteReference w:id="63"/>
      </w:r>
      <w:r w:rsidRPr="00351B7D">
        <w:rPr>
          <w:rFonts w:asciiTheme="minorBidi" w:hAnsiTheme="minorBidi"/>
          <w:rtl/>
        </w:rPr>
        <w:t>- אין ספק בקידושין בלילה</w:t>
      </w:r>
      <w:r w:rsidRPr="00351B7D">
        <w:rPr>
          <w:rStyle w:val="a7"/>
          <w:rFonts w:asciiTheme="minorBidi" w:hAnsiTheme="minorBidi"/>
          <w:color w:val="000000"/>
          <w:rtl/>
        </w:rPr>
        <w:footnoteReference w:id="64"/>
      </w:r>
      <w:r w:rsidRPr="00351B7D">
        <w:rPr>
          <w:rFonts w:asciiTheme="minorBidi" w:hAnsiTheme="minorBidi"/>
          <w:color w:val="000000"/>
          <w:rtl/>
        </w:rPr>
        <w:t>.</w:t>
      </w:r>
    </w:p>
    <w:p w14:paraId="70194F5B" w14:textId="77777777" w:rsidR="008E16D0" w:rsidRPr="00351B7D" w:rsidRDefault="008E16D0" w:rsidP="008E16D0">
      <w:pPr>
        <w:rPr>
          <w:rFonts w:asciiTheme="minorBidi" w:hAnsiTheme="minorBidi"/>
          <w:rtl/>
        </w:rPr>
      </w:pPr>
    </w:p>
    <w:p w14:paraId="160650B8" w14:textId="77777777" w:rsidR="008E16D0" w:rsidRPr="00351B7D" w:rsidRDefault="008E16D0" w:rsidP="008E16D0">
      <w:pPr>
        <w:rPr>
          <w:rFonts w:asciiTheme="minorBidi" w:hAnsiTheme="minorBidi"/>
          <w:rtl/>
        </w:rPr>
      </w:pPr>
    </w:p>
    <w:p w14:paraId="0B5363A9" w14:textId="77777777" w:rsidR="008E16D0" w:rsidRPr="00351B7D" w:rsidRDefault="008E16D0" w:rsidP="008E16D0">
      <w:pPr>
        <w:rPr>
          <w:rFonts w:asciiTheme="minorBidi" w:hAnsiTheme="minorBidi"/>
          <w:rtl/>
        </w:rPr>
      </w:pPr>
    </w:p>
    <w:p w14:paraId="19230272" w14:textId="77777777" w:rsidR="008E16D0" w:rsidRPr="00351B7D" w:rsidRDefault="008E16D0" w:rsidP="008E16D0">
      <w:pPr>
        <w:rPr>
          <w:rFonts w:asciiTheme="minorBidi" w:hAnsiTheme="minorBidi"/>
          <w:b/>
          <w:bCs/>
          <w:rtl/>
        </w:rPr>
      </w:pPr>
    </w:p>
    <w:p w14:paraId="6F217DCB" w14:textId="77777777" w:rsidR="008E16D0" w:rsidRPr="00351B7D" w:rsidRDefault="008E16D0" w:rsidP="008E16D0">
      <w:pPr>
        <w:rPr>
          <w:rFonts w:asciiTheme="minorBidi" w:hAnsiTheme="minorBidi"/>
          <w:b/>
          <w:bCs/>
          <w:rtl/>
        </w:rPr>
      </w:pPr>
    </w:p>
    <w:p w14:paraId="204A8F46" w14:textId="77777777" w:rsidR="004B1524" w:rsidRDefault="004B1524" w:rsidP="008E16D0">
      <w:pPr>
        <w:pStyle w:val="1"/>
        <w:rPr>
          <w:rFonts w:asciiTheme="minorBidi" w:hAnsiTheme="minorBidi"/>
          <w:rtl/>
        </w:rPr>
        <w:sectPr w:rsidR="004B1524" w:rsidSect="00A347B3">
          <w:footnotePr>
            <w:numRestart w:val="eachPage"/>
          </w:footnotePr>
          <w:pgSz w:w="11906" w:h="16838"/>
          <w:pgMar w:top="720" w:right="1134" w:bottom="720" w:left="1134" w:header="0" w:footer="0" w:gutter="0"/>
          <w:cols w:space="720"/>
          <w:bidi/>
          <w:rtlGutter/>
          <w:docGrid w:linePitch="360"/>
        </w:sectPr>
      </w:pPr>
    </w:p>
    <w:p w14:paraId="72E3BF4B" w14:textId="6BE3E163"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 xml:space="preserve">סימן כז: כיצד לשון הקידושין ושיאמר הוא ויתן הוא, ובו י' סעיפים. </w:t>
      </w:r>
    </w:p>
    <w:p w14:paraId="262E857A" w14:textId="77777777" w:rsidR="008E16D0" w:rsidRPr="00351B7D" w:rsidRDefault="008E16D0" w:rsidP="008E16D0">
      <w:pPr>
        <w:pStyle w:val="2"/>
        <w:rPr>
          <w:rFonts w:asciiTheme="minorBidi" w:hAnsiTheme="minorBidi"/>
          <w:rtl/>
        </w:rPr>
      </w:pPr>
      <w:r w:rsidRPr="00351B7D">
        <w:rPr>
          <w:rFonts w:asciiTheme="minorBidi" w:hAnsiTheme="minorBidi"/>
          <w:rtl/>
        </w:rPr>
        <w:t>סעיף א: קידושין בכסף כיצד.</w:t>
      </w:r>
    </w:p>
    <w:p w14:paraId="61C35C14"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ג ע"ב: </w:t>
      </w:r>
      <w:r w:rsidRPr="00351B7D">
        <w:rPr>
          <w:rFonts w:asciiTheme="minorBidi" w:hAnsiTheme="minorBidi"/>
          <w:rtl/>
        </w:rPr>
        <w:t xml:space="preserve">בכסף מנ"ל?... </w:t>
      </w:r>
      <w:r w:rsidRPr="00351B7D">
        <w:rPr>
          <w:rFonts w:asciiTheme="minorBidi" w:hAnsiTheme="minorBidi"/>
          <w:sz w:val="18"/>
          <w:szCs w:val="18"/>
          <w:u w:val="double"/>
          <w:rtl/>
        </w:rPr>
        <w:t>(ד:):</w:t>
      </w:r>
      <w:r w:rsidRPr="00351B7D">
        <w:rPr>
          <w:rFonts w:asciiTheme="minorBidi" w:hAnsiTheme="minorBidi"/>
          <w:rtl/>
        </w:rPr>
        <w:t xml:space="preserve"> ותנא מייתי לה מהכא דתניא: כי יקח איש אשה ובעלה והיה אם לא תמצא חן בעיניו כי מצא בה וגו' - אין קיחה אלא בכסף, וכן הוא אומר: נתתי כסף השדה קח ממני.</w:t>
      </w:r>
    </w:p>
    <w:p w14:paraId="1EB06567"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rtl/>
        </w:rPr>
        <w:t>ת"ר: כיצד בכסף? נתן לה כסף או שוה כסף, ואמר לה הרי את מקודשת לי</w:t>
      </w:r>
      <w:r w:rsidRPr="00351B7D">
        <w:rPr>
          <w:rStyle w:val="a7"/>
          <w:rFonts w:asciiTheme="minorBidi" w:hAnsiTheme="minorBidi"/>
          <w:rtl/>
        </w:rPr>
        <w:footnoteReference w:id="65"/>
      </w:r>
      <w:r w:rsidRPr="00351B7D">
        <w:rPr>
          <w:rFonts w:asciiTheme="minorBidi" w:hAnsiTheme="minorBidi"/>
          <w:rtl/>
        </w:rPr>
        <w:t xml:space="preserve"> הרי את מאורסת לי הרי את לי לאינתו- הרי זו מקודשת...  </w:t>
      </w:r>
      <w:r w:rsidRPr="00351B7D">
        <w:rPr>
          <w:rFonts w:asciiTheme="minorBidi" w:hAnsiTheme="minorBidi"/>
          <w:sz w:val="18"/>
          <w:szCs w:val="18"/>
          <w:u w:val="double"/>
          <w:rtl/>
        </w:rPr>
        <w:t>(ו.):</w:t>
      </w:r>
      <w:r w:rsidRPr="00351B7D">
        <w:rPr>
          <w:rFonts w:asciiTheme="minorBidi" w:hAnsiTheme="minorBidi"/>
          <w:rtl/>
        </w:rPr>
        <w:t xml:space="preserve"> ת"ר: הרי את אשתי, הרי את ארוסתי הרי את קנויה לי- מקודשת. הרי את שלי, הרי את ברשותי, הרי את זקוקה לי- מקודשת. וליתנינהו כולהו כחדא</w:t>
      </w:r>
      <w:r w:rsidRPr="00351B7D">
        <w:rPr>
          <w:rStyle w:val="a7"/>
          <w:rFonts w:asciiTheme="minorBidi" w:hAnsiTheme="minorBidi"/>
          <w:rtl/>
        </w:rPr>
        <w:footnoteReference w:id="66"/>
      </w:r>
      <w:r w:rsidRPr="00351B7D">
        <w:rPr>
          <w:rFonts w:asciiTheme="minorBidi" w:hAnsiTheme="minorBidi"/>
          <w:rtl/>
        </w:rPr>
        <w:t>! תנא תלת תלת שמעינהו וגרסינהו...  האומר חרופה ביהודה- מקודשת, שכן ביהודה קורין לארוסה חרופה</w:t>
      </w:r>
      <w:r w:rsidRPr="00351B7D">
        <w:rPr>
          <w:rStyle w:val="a7"/>
          <w:rFonts w:asciiTheme="minorBidi" w:hAnsiTheme="minorBidi"/>
          <w:rtl/>
        </w:rPr>
        <w:footnoteReference w:id="67"/>
      </w:r>
      <w:r w:rsidRPr="00351B7D">
        <w:rPr>
          <w:rFonts w:asciiTheme="minorBidi" w:hAnsiTheme="minorBidi"/>
          <w:rtl/>
        </w:rPr>
        <w:t>. במאי עסקינן</w:t>
      </w:r>
      <w:r w:rsidRPr="00351B7D">
        <w:rPr>
          <w:rStyle w:val="a7"/>
          <w:rFonts w:asciiTheme="minorBidi" w:hAnsiTheme="minorBidi"/>
          <w:rtl/>
        </w:rPr>
        <w:footnoteReference w:id="68"/>
      </w:r>
      <w:r w:rsidRPr="00351B7D">
        <w:rPr>
          <w:rFonts w:asciiTheme="minorBidi" w:hAnsiTheme="minorBidi"/>
          <w:rtl/>
        </w:rPr>
        <w:t>? אילימא בשאין מדבר עמה על עסקי גיטה וקידושיה</w:t>
      </w:r>
      <w:r w:rsidRPr="00351B7D">
        <w:rPr>
          <w:rStyle w:val="a7"/>
          <w:rFonts w:asciiTheme="minorBidi" w:hAnsiTheme="minorBidi"/>
          <w:rtl/>
        </w:rPr>
        <w:footnoteReference w:id="69"/>
      </w:r>
      <w:r w:rsidRPr="00351B7D">
        <w:rPr>
          <w:rFonts w:asciiTheme="minorBidi" w:hAnsiTheme="minorBidi"/>
          <w:rtl/>
        </w:rPr>
        <w:t>, מנא ידעה מאי קאמר לה</w:t>
      </w:r>
      <w:r w:rsidRPr="00351B7D">
        <w:rPr>
          <w:rStyle w:val="a7"/>
          <w:rFonts w:asciiTheme="minorBidi" w:hAnsiTheme="minorBidi"/>
          <w:rtl/>
        </w:rPr>
        <w:footnoteReference w:id="70"/>
      </w:r>
      <w:r w:rsidRPr="00351B7D">
        <w:rPr>
          <w:rFonts w:asciiTheme="minorBidi" w:hAnsiTheme="minorBidi"/>
          <w:rtl/>
        </w:rPr>
        <w:t>? ואלא במדבר</w:t>
      </w:r>
      <w:r w:rsidRPr="00351B7D">
        <w:rPr>
          <w:rStyle w:val="a7"/>
          <w:rFonts w:asciiTheme="minorBidi" w:hAnsiTheme="minorBidi"/>
          <w:rtl/>
        </w:rPr>
        <w:footnoteReference w:id="71"/>
      </w:r>
      <w:r w:rsidRPr="00351B7D">
        <w:rPr>
          <w:rFonts w:asciiTheme="minorBidi" w:hAnsiTheme="minorBidi"/>
          <w:rtl/>
        </w:rPr>
        <w:t xml:space="preserve"> עמה על עסקי גיטה וקידושיה, אף על גב דלא אמר לה נמי! דתנן: היה מדבר עם האשה על עיסקי גיטה וקידושיה, ונתן לה גיטה וקידושיה ולא פירש, </w:t>
      </w:r>
      <w:r w:rsidRPr="00351B7D">
        <w:rPr>
          <w:rFonts w:asciiTheme="minorBidi" w:hAnsiTheme="minorBidi"/>
          <w:u w:val="single"/>
          <w:rtl/>
        </w:rPr>
        <w:t>רבי יוסי אומר</w:t>
      </w:r>
      <w:r w:rsidRPr="00351B7D">
        <w:rPr>
          <w:rFonts w:asciiTheme="minorBidi" w:hAnsiTheme="minorBidi"/>
          <w:rtl/>
        </w:rPr>
        <w:t xml:space="preserve">: דיו, </w:t>
      </w:r>
      <w:r w:rsidRPr="00351B7D">
        <w:rPr>
          <w:rFonts w:asciiTheme="minorBidi" w:hAnsiTheme="minorBidi"/>
          <w:u w:val="single"/>
          <w:rtl/>
        </w:rPr>
        <w:t>ר' יהודה אומר:</w:t>
      </w:r>
      <w:r w:rsidRPr="00351B7D">
        <w:rPr>
          <w:rFonts w:asciiTheme="minorBidi" w:hAnsiTheme="minorBidi"/>
          <w:rtl/>
        </w:rPr>
        <w:t xml:space="preserve"> צריך לפרש...  </w:t>
      </w:r>
      <w:r w:rsidRPr="00351B7D">
        <w:rPr>
          <w:rFonts w:asciiTheme="minorBidi" w:hAnsiTheme="minorBidi"/>
          <w:u w:val="single"/>
          <w:rtl/>
        </w:rPr>
        <w:t>אמר רב יהודה אמר שמואל</w:t>
      </w:r>
      <w:r w:rsidRPr="00351B7D">
        <w:rPr>
          <w:rFonts w:asciiTheme="minorBidi" w:hAnsiTheme="minorBidi"/>
          <w:rtl/>
        </w:rPr>
        <w:t>: והוא שעסוקין</w:t>
      </w:r>
      <w:r w:rsidRPr="00351B7D">
        <w:rPr>
          <w:rStyle w:val="a7"/>
          <w:rFonts w:asciiTheme="minorBidi" w:hAnsiTheme="minorBidi"/>
          <w:rtl/>
        </w:rPr>
        <w:footnoteReference w:id="72"/>
      </w:r>
      <w:r w:rsidRPr="00351B7D">
        <w:rPr>
          <w:rFonts w:asciiTheme="minorBidi" w:hAnsiTheme="minorBidi"/>
          <w:rtl/>
        </w:rPr>
        <w:t xml:space="preserve"> באותו ענין. </w:t>
      </w:r>
      <w:r w:rsidRPr="00351B7D">
        <w:rPr>
          <w:rFonts w:asciiTheme="minorBidi" w:hAnsiTheme="minorBidi"/>
          <w:u w:val="single"/>
          <w:rtl/>
        </w:rPr>
        <w:t>וכן אמר ר"א א"ר אושעיא</w:t>
      </w:r>
      <w:r w:rsidRPr="00351B7D">
        <w:rPr>
          <w:rFonts w:asciiTheme="minorBidi" w:hAnsiTheme="minorBidi"/>
          <w:rtl/>
        </w:rPr>
        <w:t xml:space="preserve">: והוא שעסוקין באותו ענין. כתנאי, </w:t>
      </w:r>
      <w:r w:rsidRPr="00351B7D">
        <w:rPr>
          <w:rFonts w:asciiTheme="minorBidi" w:hAnsiTheme="minorBidi"/>
          <w:u w:val="single"/>
          <w:rtl/>
        </w:rPr>
        <w:t>רבי אומר</w:t>
      </w:r>
      <w:r w:rsidRPr="00351B7D">
        <w:rPr>
          <w:rFonts w:asciiTheme="minorBidi" w:hAnsiTheme="minorBidi"/>
          <w:rtl/>
        </w:rPr>
        <w:t xml:space="preserve">: והוא שעסוקין באותו ענין, </w:t>
      </w:r>
      <w:r w:rsidRPr="00351B7D">
        <w:rPr>
          <w:rFonts w:asciiTheme="minorBidi" w:hAnsiTheme="minorBidi"/>
          <w:u w:val="single"/>
          <w:rtl/>
        </w:rPr>
        <w:t>ר' אלעזר בר ר"ש אומר</w:t>
      </w:r>
      <w:r w:rsidRPr="00351B7D">
        <w:rPr>
          <w:rFonts w:asciiTheme="minorBidi" w:hAnsiTheme="minorBidi"/>
          <w:rtl/>
        </w:rPr>
        <w:t>: אף על פי שאין עסוקין באותו ענין. ואי לאו דעסוקין באותו ענין מנא ידעה</w:t>
      </w:r>
      <w:r w:rsidRPr="00351B7D">
        <w:rPr>
          <w:rStyle w:val="a7"/>
          <w:rFonts w:asciiTheme="minorBidi" w:hAnsiTheme="minorBidi"/>
          <w:rtl/>
        </w:rPr>
        <w:footnoteReference w:id="73"/>
      </w:r>
      <w:r w:rsidRPr="00351B7D">
        <w:rPr>
          <w:rFonts w:asciiTheme="minorBidi" w:hAnsiTheme="minorBidi"/>
          <w:rtl/>
        </w:rPr>
        <w:t xml:space="preserve"> מאי קאמר לה? </w:t>
      </w:r>
      <w:r w:rsidRPr="00351B7D">
        <w:rPr>
          <w:rFonts w:asciiTheme="minorBidi" w:hAnsiTheme="minorBidi"/>
          <w:u w:val="single"/>
          <w:rtl/>
        </w:rPr>
        <w:t>אמר אביי</w:t>
      </w:r>
      <w:r w:rsidRPr="00351B7D">
        <w:rPr>
          <w:rFonts w:asciiTheme="minorBidi" w:hAnsiTheme="minorBidi"/>
          <w:rtl/>
        </w:rPr>
        <w:t>: מענין לענין</w:t>
      </w:r>
      <w:r w:rsidRPr="00351B7D">
        <w:rPr>
          <w:rStyle w:val="a7"/>
          <w:rFonts w:asciiTheme="minorBidi" w:hAnsiTheme="minorBidi"/>
          <w:rtl/>
        </w:rPr>
        <w:footnoteReference w:id="74"/>
      </w:r>
      <w:r w:rsidRPr="00351B7D">
        <w:rPr>
          <w:rFonts w:asciiTheme="minorBidi" w:hAnsiTheme="minorBidi"/>
          <w:rtl/>
        </w:rPr>
        <w:t xml:space="preserve"> באותו ענין. </w:t>
      </w:r>
      <w:r w:rsidRPr="00351B7D">
        <w:rPr>
          <w:rFonts w:asciiTheme="minorBidi" w:hAnsiTheme="minorBidi"/>
          <w:u w:val="single"/>
          <w:rtl/>
        </w:rPr>
        <w:t>אמר רב הונא אמר שמואל</w:t>
      </w:r>
      <w:r w:rsidRPr="00351B7D">
        <w:rPr>
          <w:rFonts w:asciiTheme="minorBidi" w:hAnsiTheme="minorBidi"/>
          <w:rtl/>
        </w:rPr>
        <w:t xml:space="preserve">: הלכה כר' יוסי.  </w:t>
      </w:r>
    </w:p>
    <w:p w14:paraId="702ED6BD" w14:textId="77777777" w:rsidR="008E16D0" w:rsidRPr="00351B7D" w:rsidRDefault="008E16D0" w:rsidP="008E16D0">
      <w:pPr>
        <w:rPr>
          <w:rFonts w:asciiTheme="minorBidi" w:hAnsiTheme="minorBidi"/>
          <w:u w:val="single"/>
        </w:rPr>
      </w:pPr>
      <w:r w:rsidRPr="00351B7D">
        <w:rPr>
          <w:rFonts w:asciiTheme="minorBidi" w:hAnsiTheme="minorBidi"/>
          <w:u w:val="single"/>
          <w:rtl/>
        </w:rPr>
        <w:t>אמר לה</w:t>
      </w:r>
      <w:r w:rsidRPr="00351B7D">
        <w:rPr>
          <w:rFonts w:asciiTheme="minorBidi" w:hAnsiTheme="minorBidi"/>
          <w:sz w:val="16"/>
          <w:szCs w:val="16"/>
          <w:u w:val="single"/>
          <w:rtl/>
        </w:rPr>
        <w:t xml:space="preserve"> (לשון מעליא)</w:t>
      </w:r>
      <w:r w:rsidRPr="00351B7D">
        <w:rPr>
          <w:rFonts w:asciiTheme="minorBidi" w:hAnsiTheme="minorBidi"/>
          <w:u w:val="single"/>
          <w:rtl/>
        </w:rPr>
        <w:t>: הרי את- אשתי/ארוסתי/קנויה לי/שלי/ברשותי/זקוקה לי/לקוחתי:</w:t>
      </w:r>
    </w:p>
    <w:p w14:paraId="4FF104F3"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ראב"ד רמב"ם רשב"א (טור</w:t>
      </w:r>
      <w:r w:rsidRPr="00351B7D">
        <w:rPr>
          <w:rFonts w:asciiTheme="minorBidi" w:hAnsiTheme="minorBidi"/>
          <w:sz w:val="16"/>
          <w:szCs w:val="16"/>
          <w:rtl/>
        </w:rPr>
        <w:t xml:space="preserve"> להב' הב"י</w:t>
      </w:r>
      <w:r w:rsidRPr="00351B7D">
        <w:rPr>
          <w:rStyle w:val="a7"/>
          <w:rFonts w:asciiTheme="minorBidi" w:hAnsiTheme="minorBidi"/>
          <w:rtl/>
        </w:rPr>
        <w:footnoteReference w:id="75"/>
      </w:r>
      <w:r w:rsidRPr="00351B7D">
        <w:rPr>
          <w:rFonts w:asciiTheme="minorBidi" w:hAnsiTheme="minorBidi"/>
          <w:rtl/>
        </w:rPr>
        <w:t>) ר"ן והה"מ</w:t>
      </w:r>
      <w:r w:rsidRPr="00351B7D">
        <w:rPr>
          <w:rStyle w:val="a7"/>
          <w:rFonts w:asciiTheme="minorBidi" w:hAnsiTheme="minorBidi"/>
          <w:rtl/>
        </w:rPr>
        <w:footnoteReference w:id="76"/>
      </w:r>
      <w:r w:rsidRPr="00351B7D">
        <w:rPr>
          <w:rFonts w:asciiTheme="minorBidi" w:hAnsiTheme="minorBidi"/>
          <w:rtl/>
        </w:rPr>
        <w:t>- מקודשת "דווקא במדבר עמה על עסקי קידושיה דידעה מאי קאמר לה, א"נ דאמרה לשם קידושין קבלתינהו</w:t>
      </w:r>
      <w:r w:rsidRPr="00351B7D">
        <w:rPr>
          <w:rFonts w:asciiTheme="minorBidi" w:hAnsiTheme="minorBidi"/>
          <w:sz w:val="16"/>
          <w:szCs w:val="16"/>
          <w:rtl/>
        </w:rPr>
        <w:t xml:space="preserve"> (היינו שהיא מכירה בלשונות אלו)</w:t>
      </w:r>
      <w:r w:rsidRPr="00351B7D">
        <w:rPr>
          <w:rFonts w:asciiTheme="minorBidi" w:hAnsiTheme="minorBidi"/>
          <w:rtl/>
        </w:rPr>
        <w:t>, הא לאו הכי לא</w:t>
      </w:r>
      <w:r w:rsidRPr="00351B7D">
        <w:rPr>
          <w:rStyle w:val="a7"/>
          <w:rFonts w:asciiTheme="minorBidi" w:hAnsiTheme="minorBidi"/>
          <w:rtl/>
        </w:rPr>
        <w:footnoteReference w:id="77"/>
      </w:r>
      <w:r w:rsidRPr="00351B7D">
        <w:rPr>
          <w:rFonts w:asciiTheme="minorBidi" w:hAnsiTheme="minorBidi"/>
          <w:rtl/>
        </w:rPr>
        <w:t>, שאין האשה מתקדשת אלא מדעתה</w:t>
      </w:r>
      <w:r w:rsidRPr="00351B7D">
        <w:rPr>
          <w:rFonts w:asciiTheme="minorBidi" w:hAnsiTheme="minorBidi"/>
          <w:sz w:val="16"/>
          <w:szCs w:val="16"/>
          <w:rtl/>
        </w:rPr>
        <w:t xml:space="preserve"> (ל' הר"ן)</w:t>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w:t>
      </w:r>
      <w:r w:rsidRPr="00351B7D">
        <w:rPr>
          <w:rFonts w:asciiTheme="minorBidi" w:hAnsiTheme="minorBidi"/>
          <w:color w:val="00B0F0"/>
          <w:rtl/>
        </w:rPr>
        <w:t>(וכ"פ הרמ"א</w:t>
      </w:r>
      <w:r w:rsidRPr="00351B7D">
        <w:rPr>
          <w:rFonts w:asciiTheme="minorBidi" w:hAnsiTheme="minorBidi"/>
          <w:sz w:val="16"/>
          <w:szCs w:val="16"/>
          <w:rtl/>
        </w:rPr>
        <w:t xml:space="preserve"> [בסע' ב]</w:t>
      </w:r>
      <w:r w:rsidRPr="00351B7D">
        <w:rPr>
          <w:rFonts w:asciiTheme="minorBidi" w:hAnsiTheme="minorBidi"/>
          <w:color w:val="00B0F0"/>
          <w:rtl/>
        </w:rPr>
        <w:t>)</w:t>
      </w:r>
    </w:p>
    <w:p w14:paraId="6C57B484"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(רא"ש</w:t>
      </w:r>
      <w:r w:rsidRPr="00351B7D">
        <w:rPr>
          <w:rStyle w:val="a7"/>
          <w:rFonts w:asciiTheme="minorBidi" w:hAnsiTheme="minorBidi"/>
          <w:rtl/>
        </w:rPr>
        <w:footnoteReference w:id="78"/>
      </w:r>
      <w:r w:rsidRPr="00351B7D">
        <w:rPr>
          <w:rFonts w:asciiTheme="minorBidi" w:hAnsiTheme="minorBidi"/>
          <w:sz w:val="14"/>
          <w:szCs w:val="14"/>
          <w:rtl/>
        </w:rPr>
        <w:t xml:space="preserve"> </w:t>
      </w:r>
      <w:r w:rsidRPr="00351B7D">
        <w:rPr>
          <w:rFonts w:asciiTheme="minorBidi" w:hAnsiTheme="minorBidi"/>
          <w:rtl/>
        </w:rPr>
        <w:t>וטור</w:t>
      </w:r>
      <w:r w:rsidRPr="00351B7D">
        <w:rPr>
          <w:rFonts w:asciiTheme="minorBidi" w:hAnsiTheme="minorBidi"/>
          <w:sz w:val="16"/>
          <w:szCs w:val="16"/>
          <w:rtl/>
        </w:rPr>
        <w:t xml:space="preserve"> להב' הגר"א </w:t>
      </w:r>
      <w:r w:rsidRPr="00351B7D">
        <w:rPr>
          <w:rFonts w:asciiTheme="minorBidi" w:hAnsiTheme="minorBidi"/>
          <w:sz w:val="12"/>
          <w:szCs w:val="12"/>
          <w:rtl/>
        </w:rPr>
        <w:t>[סק"ח]</w:t>
      </w:r>
      <w:r w:rsidRPr="00351B7D">
        <w:rPr>
          <w:rFonts w:asciiTheme="minorBidi" w:hAnsiTheme="minorBidi"/>
          <w:rtl/>
        </w:rPr>
        <w:t>)- "הני לישני דברירא לן דהוו לשון קידושין לאו כל כמיניה</w:t>
      </w:r>
      <w:r w:rsidRPr="00351B7D">
        <w:rPr>
          <w:rStyle w:val="a7"/>
          <w:rFonts w:asciiTheme="minorBidi" w:hAnsiTheme="minorBidi"/>
          <w:rtl/>
        </w:rPr>
        <w:footnoteReference w:id="79"/>
      </w:r>
      <w:r w:rsidRPr="00351B7D">
        <w:rPr>
          <w:rFonts w:asciiTheme="minorBidi" w:hAnsiTheme="minorBidi"/>
          <w:rtl/>
        </w:rPr>
        <w:t xml:space="preserve"> למימר לא הוה ידענא דהוו לשון קידושין</w:t>
      </w:r>
      <w:r w:rsidRPr="00351B7D">
        <w:rPr>
          <w:rStyle w:val="a7"/>
          <w:rFonts w:asciiTheme="minorBidi" w:hAnsiTheme="minorBidi"/>
          <w:rtl/>
        </w:rPr>
        <w:footnoteReference w:id="80"/>
      </w:r>
      <w:r w:rsidRPr="00351B7D">
        <w:rPr>
          <w:rFonts w:asciiTheme="minorBidi" w:hAnsiTheme="minorBidi"/>
          <w:sz w:val="16"/>
          <w:szCs w:val="16"/>
          <w:rtl/>
        </w:rPr>
        <w:t xml:space="preserve"> (ל' הרא"ש)</w:t>
      </w:r>
      <w:r w:rsidRPr="00351B7D">
        <w:rPr>
          <w:rFonts w:asciiTheme="minorBidi" w:hAnsiTheme="minorBidi"/>
          <w:rtl/>
        </w:rPr>
        <w:t>".</w:t>
      </w:r>
    </w:p>
    <w:p w14:paraId="7BB52EC6"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lastRenderedPageBreak/>
        <mc:AlternateContent>
          <mc:Choice Requires="wps">
            <w:drawing>
              <wp:anchor distT="0" distB="0" distL="114300" distR="114300" simplePos="0" relativeHeight="251661312" behindDoc="0" locked="0" layoutInCell="1" allowOverlap="1" wp14:anchorId="4A353151" wp14:editId="75B1DB0C">
                <wp:simplePos x="0" y="0"/>
                <wp:positionH relativeFrom="column">
                  <wp:posOffset>4892675</wp:posOffset>
                </wp:positionH>
                <wp:positionV relativeFrom="paragraph">
                  <wp:posOffset>385750</wp:posOffset>
                </wp:positionV>
                <wp:extent cx="45719" cy="106878"/>
                <wp:effectExtent l="19050" t="0" r="31115" b="45720"/>
                <wp:wrapNone/>
                <wp:docPr id="3" name="Down Arrow 3"/>
                <wp:cNvGraphicFramePr/>
                <a:graphic xmlns:a="http://schemas.openxmlformats.org/drawingml/2006/main">
                  <a:graphicData uri="http://schemas.microsoft.com/office/word/2010/wordprocessingShape">
                    <wps:wsp>
                      <wps:cNvSpPr/>
                      <wps:spPr>
                        <a:xfrm>
                          <a:off x="0" y="0"/>
                          <a:ext cx="45719" cy="10687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9DAB483" id="Down Arrow 3" o:spid="_x0000_s1026" type="#_x0000_t67" style="position:absolute;left:0;text-align:left;margin-left:385.25pt;margin-top:30.35pt;width:3.6pt;height: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" adj="16980" fillcolor="black [3200]" strokecolor="black [1600]" strokeweight="2pt"/>
            </w:pict>
          </mc:Fallback>
        </mc:AlternateContent>
      </w:r>
      <w:r w:rsidRPr="00351B7D">
        <w:rPr>
          <w:rFonts w:asciiTheme="minorBidi" w:hAnsiTheme="minorBidi"/>
          <w:rtl/>
        </w:rPr>
        <w:t xml:space="preserve">תוס' (רא"ש טור </w:t>
      </w:r>
      <w:r w:rsidRPr="00351B7D">
        <w:rPr>
          <w:rFonts w:asciiTheme="minorBidi" w:hAnsiTheme="minorBidi"/>
          <w:sz w:val="16"/>
          <w:szCs w:val="16"/>
          <w:rtl/>
        </w:rPr>
        <w:t>להב' הב"ש</w:t>
      </w:r>
      <w:r w:rsidRPr="00351B7D">
        <w:rPr>
          <w:rFonts w:asciiTheme="minorBidi" w:hAnsiTheme="minorBidi"/>
          <w:rtl/>
        </w:rPr>
        <w:t>) ורי"ו</w:t>
      </w:r>
      <w:r w:rsidRPr="00351B7D">
        <w:rPr>
          <w:rStyle w:val="a7"/>
          <w:rFonts w:asciiTheme="minorBidi" w:hAnsiTheme="minorBidi"/>
          <w:rtl/>
        </w:rPr>
        <w:footnoteReference w:id="81"/>
      </w:r>
      <w:r w:rsidRPr="00351B7D">
        <w:rPr>
          <w:rFonts w:asciiTheme="minorBidi" w:hAnsiTheme="minorBidi"/>
          <w:rtl/>
        </w:rPr>
        <w:t>- "לאו כל כמיניה לומר לא ידעתי שנתנה אותם אלי בתורת קדושין אפי' לא דבר עמה על עסקי קדושיה תחלה, ומ"מ אם אמרה שלא ידעה הוי ספק מקודשת</w:t>
      </w:r>
      <w:r w:rsidRPr="00351B7D">
        <w:rPr>
          <w:rFonts w:asciiTheme="minorBidi" w:hAnsiTheme="minorBidi"/>
          <w:sz w:val="16"/>
          <w:szCs w:val="16"/>
          <w:rtl/>
        </w:rPr>
        <w:t xml:space="preserve"> (ל' רי"ו)</w:t>
      </w:r>
      <w:r w:rsidRPr="00351B7D">
        <w:rPr>
          <w:rFonts w:asciiTheme="minorBidi" w:hAnsiTheme="minorBidi"/>
          <w:rtl/>
        </w:rPr>
        <w:t>". (וכ"פ הב"ש)</w:t>
      </w:r>
    </w:p>
    <w:p w14:paraId="70D067D3"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אמר לה "הרי את מקודשת לי" ולא דיבר עמה תחילה על עסקי קדושין:</w:t>
      </w:r>
    </w:p>
    <w:p w14:paraId="062BFA46"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(טור</w:t>
      </w:r>
      <w:r w:rsidRPr="00351B7D">
        <w:rPr>
          <w:rFonts w:asciiTheme="minorBidi" w:hAnsiTheme="minorBidi"/>
          <w:sz w:val="16"/>
          <w:szCs w:val="16"/>
          <w:rtl/>
        </w:rPr>
        <w:t xml:space="preserve"> להב' הב"י</w:t>
      </w:r>
      <w:r w:rsidRPr="00351B7D">
        <w:rPr>
          <w:rFonts w:asciiTheme="minorBidi" w:hAnsiTheme="minorBidi"/>
          <w:rtl/>
        </w:rPr>
        <w:t>) וב"י- מקודשת, ואי אמרה דלא ידעה דלשון קידושין הוא- לא מהימנא מכיון דכו"ע ידעי דלשון קידושין הן</w:t>
      </w:r>
      <w:r w:rsidRPr="00351B7D">
        <w:rPr>
          <w:rStyle w:val="a7"/>
          <w:rFonts w:asciiTheme="minorBidi" w:hAnsiTheme="minorBidi"/>
          <w:rtl/>
        </w:rPr>
        <w:footnoteReference w:id="82"/>
      </w:r>
      <w:r w:rsidRPr="00351B7D">
        <w:rPr>
          <w:rFonts w:asciiTheme="minorBidi" w:hAnsiTheme="minorBidi"/>
          <w:rtl/>
        </w:rPr>
        <w:t>. (וכ"פ הח"מ</w:t>
      </w:r>
      <w:r w:rsidRPr="00351B7D">
        <w:rPr>
          <w:rStyle w:val="a7"/>
          <w:rFonts w:asciiTheme="minorBidi" w:hAnsiTheme="minorBidi"/>
          <w:rtl/>
        </w:rPr>
        <w:footnoteReference w:id="83"/>
      </w:r>
      <w:r w:rsidRPr="00351B7D">
        <w:rPr>
          <w:rFonts w:asciiTheme="minorBidi" w:hAnsiTheme="minorBidi"/>
          <w:rtl/>
        </w:rPr>
        <w:t>)</w:t>
      </w:r>
    </w:p>
    <w:p w14:paraId="602D0334"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(רא"ש טור ר"ן הה"מ</w:t>
      </w:r>
      <w:r w:rsidRPr="00351B7D">
        <w:rPr>
          <w:rFonts w:asciiTheme="minorBidi" w:hAnsiTheme="minorBidi"/>
          <w:sz w:val="16"/>
          <w:szCs w:val="16"/>
          <w:rtl/>
        </w:rPr>
        <w:t xml:space="preserve"> להב' הב"ש</w:t>
      </w:r>
      <w:r w:rsidRPr="00351B7D">
        <w:rPr>
          <w:rFonts w:asciiTheme="minorBidi" w:hAnsiTheme="minorBidi"/>
          <w:rtl/>
        </w:rPr>
        <w:t>) וב"ח</w:t>
      </w:r>
      <w:r w:rsidRPr="00351B7D">
        <w:rPr>
          <w:rStyle w:val="a7"/>
          <w:rFonts w:asciiTheme="minorBidi" w:hAnsiTheme="minorBidi"/>
          <w:rtl/>
        </w:rPr>
        <w:footnoteReference w:id="84"/>
      </w:r>
      <w:r w:rsidRPr="00351B7D">
        <w:rPr>
          <w:rFonts w:asciiTheme="minorBidi" w:hAnsiTheme="minorBidi"/>
          <w:rtl/>
        </w:rPr>
        <w:t>- אם ידוע שהיא מבינה שהוא לשון קדושין אז אע"פ שהיא טוענת שאינה מבינה הוי מקודשת</w:t>
      </w:r>
      <w:r w:rsidRPr="00351B7D">
        <w:rPr>
          <w:rStyle w:val="a7"/>
          <w:rFonts w:asciiTheme="minorBidi" w:hAnsiTheme="minorBidi"/>
          <w:rtl/>
        </w:rPr>
        <w:footnoteReference w:id="85"/>
      </w:r>
      <w:r w:rsidRPr="00351B7D">
        <w:rPr>
          <w:rFonts w:asciiTheme="minorBidi" w:hAnsiTheme="minorBidi"/>
          <w:rtl/>
        </w:rPr>
        <w:t xml:space="preserve">. (וכ"פ הב"ש) </w:t>
      </w:r>
    </w:p>
    <w:p w14:paraId="39E0CF70"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(טור ר"ן והה"מ</w:t>
      </w:r>
      <w:r w:rsidRPr="00351B7D">
        <w:rPr>
          <w:rFonts w:asciiTheme="minorBidi" w:hAnsiTheme="minorBidi"/>
          <w:sz w:val="16"/>
          <w:szCs w:val="16"/>
          <w:rtl/>
        </w:rPr>
        <w:t xml:space="preserve"> להב' נח"צ</w:t>
      </w:r>
      <w:r w:rsidRPr="00351B7D">
        <w:rPr>
          <w:rFonts w:asciiTheme="minorBidi" w:hAnsiTheme="minorBidi"/>
          <w:sz w:val="14"/>
          <w:szCs w:val="14"/>
          <w:rtl/>
        </w:rPr>
        <w:t xml:space="preserve"> [סק"ד]</w:t>
      </w:r>
      <w:r w:rsidRPr="00351B7D">
        <w:rPr>
          <w:rFonts w:asciiTheme="minorBidi" w:hAnsiTheme="minorBidi"/>
          <w:rtl/>
        </w:rPr>
        <w:t xml:space="preserve">)- הוי כדין שאר לשונות הברורים. (וכ"פ הנח"צ) </w:t>
      </w:r>
    </w:p>
    <w:p w14:paraId="0082C499" w14:textId="77777777" w:rsidR="008E16D0" w:rsidRPr="00351B7D" w:rsidRDefault="008E16D0" w:rsidP="00A8697F">
      <w:pPr>
        <w:pStyle w:val="ab"/>
        <w:numPr>
          <w:ilvl w:val="0"/>
          <w:numId w:val="9"/>
        </w:numPr>
        <w:rPr>
          <w:rFonts w:asciiTheme="minorBidi" w:hAnsiTheme="minorBidi"/>
          <w:rtl/>
        </w:rPr>
      </w:pPr>
      <w:r w:rsidRPr="00351B7D">
        <w:rPr>
          <w:rFonts w:asciiTheme="minorBidi" w:hAnsiTheme="minorBidi"/>
          <w:rtl/>
        </w:rPr>
        <w:t xml:space="preserve">(רא"ש טור ר"ן והה"מ </w:t>
      </w:r>
      <w:r w:rsidRPr="00351B7D">
        <w:rPr>
          <w:rFonts w:asciiTheme="minorBidi" w:hAnsiTheme="minorBidi"/>
          <w:sz w:val="16"/>
          <w:szCs w:val="16"/>
          <w:rtl/>
        </w:rPr>
        <w:t>להב' הט"ז</w:t>
      </w:r>
      <w:r w:rsidRPr="00351B7D">
        <w:rPr>
          <w:rFonts w:asciiTheme="minorBidi" w:hAnsiTheme="minorBidi"/>
          <w:rtl/>
        </w:rPr>
        <w:t xml:space="preserve">)- כל שאמר מה שהוא פשוט אפי' בעיני הנשים כגון </w:t>
      </w:r>
      <w:r w:rsidRPr="00351B7D">
        <w:rPr>
          <w:rFonts w:asciiTheme="minorBidi" w:hAnsiTheme="minorBidi"/>
          <w:u w:val="single"/>
          <w:rtl/>
        </w:rPr>
        <w:t>מקודשת</w:t>
      </w:r>
      <w:r w:rsidRPr="00351B7D">
        <w:rPr>
          <w:rFonts w:asciiTheme="minorBidi" w:hAnsiTheme="minorBidi"/>
          <w:rtl/>
        </w:rPr>
        <w:t xml:space="preserve"> </w:t>
      </w:r>
      <w:r w:rsidRPr="00351B7D">
        <w:rPr>
          <w:rFonts w:asciiTheme="minorBidi" w:hAnsiTheme="minorBidi"/>
          <w:u w:val="single"/>
          <w:rtl/>
        </w:rPr>
        <w:t>מאורסת</w:t>
      </w:r>
      <w:r w:rsidRPr="00351B7D">
        <w:rPr>
          <w:rFonts w:asciiTheme="minorBidi" w:hAnsiTheme="minorBidi"/>
          <w:rtl/>
        </w:rPr>
        <w:t xml:space="preserve"> </w:t>
      </w:r>
      <w:r w:rsidRPr="00351B7D">
        <w:rPr>
          <w:rFonts w:asciiTheme="minorBidi" w:hAnsiTheme="minorBidi"/>
          <w:u w:val="single"/>
          <w:rtl/>
        </w:rPr>
        <w:t>הוי לי לאנתו</w:t>
      </w:r>
      <w:r w:rsidRPr="00351B7D">
        <w:rPr>
          <w:rFonts w:asciiTheme="minorBidi" w:hAnsiTheme="minorBidi"/>
          <w:rtl/>
        </w:rPr>
        <w:t xml:space="preserve"> אמרינן ומחזקנין בסתמא שהבינו הוא והיא ולא מהימני לומר שלא ידע ולעשות מזה ספק, אבל אם ידוע שבודאי לא הבינה- ודאי דלא מהני. (וכ"פ הט"ז) </w:t>
      </w:r>
    </w:p>
    <w:p w14:paraId="33BCCAF2" w14:textId="77777777" w:rsidR="008E16D0" w:rsidRPr="00351B7D" w:rsidRDefault="008E16D0" w:rsidP="008E16D0">
      <w:pPr>
        <w:rPr>
          <w:rFonts w:asciiTheme="minorBidi" w:hAnsiTheme="minorBidi"/>
          <w:u w:val="single"/>
        </w:rPr>
      </w:pPr>
      <w:r w:rsidRPr="00351B7D">
        <w:rPr>
          <w:rFonts w:asciiTheme="minorBidi" w:hAnsiTheme="minorBidi"/>
          <w:u w:val="single"/>
          <w:rtl/>
        </w:rPr>
        <w:t>היה מדבר עם האשה עע"ק ונתן לה קידושיה ולא פירש:</w:t>
      </w:r>
    </w:p>
    <w:p w14:paraId="6CC26394"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רי"ף</w:t>
      </w:r>
      <w:r w:rsidRPr="00351B7D">
        <w:rPr>
          <w:rFonts w:asciiTheme="minorBidi" w:hAnsiTheme="minorBidi"/>
          <w:sz w:val="16"/>
          <w:szCs w:val="16"/>
          <w:rtl/>
        </w:rPr>
        <w:t xml:space="preserve"> </w:t>
      </w:r>
      <w:r w:rsidRPr="00351B7D">
        <w:rPr>
          <w:rFonts w:asciiTheme="minorBidi" w:hAnsiTheme="minorBidi"/>
          <w:rtl/>
        </w:rPr>
        <w:t>בהעי"ט</w:t>
      </w:r>
      <w:r w:rsidRPr="00351B7D">
        <w:rPr>
          <w:rFonts w:asciiTheme="minorBidi" w:hAnsiTheme="minorBidi"/>
          <w:sz w:val="16"/>
          <w:szCs w:val="16"/>
          <w:rtl/>
        </w:rPr>
        <w:t xml:space="preserve"> </w:t>
      </w:r>
      <w:r w:rsidRPr="00351B7D">
        <w:rPr>
          <w:rFonts w:asciiTheme="minorBidi" w:hAnsiTheme="minorBidi"/>
          <w:rtl/>
        </w:rPr>
        <w:t>רמב"ם</w:t>
      </w:r>
      <w:r w:rsidRPr="00351B7D">
        <w:rPr>
          <w:rFonts w:asciiTheme="minorBidi" w:hAnsiTheme="minorBidi"/>
          <w:sz w:val="16"/>
          <w:szCs w:val="16"/>
          <w:rtl/>
        </w:rPr>
        <w:t xml:space="preserve"> </w:t>
      </w:r>
      <w:r w:rsidRPr="00351B7D">
        <w:rPr>
          <w:rFonts w:asciiTheme="minorBidi" w:hAnsiTheme="minorBidi"/>
          <w:rtl/>
        </w:rPr>
        <w:t>רא"ש</w:t>
      </w:r>
      <w:r w:rsidRPr="00351B7D">
        <w:rPr>
          <w:rFonts w:asciiTheme="minorBidi" w:hAnsiTheme="minorBidi"/>
          <w:sz w:val="16"/>
          <w:szCs w:val="16"/>
          <w:rtl/>
        </w:rPr>
        <w:t xml:space="preserve"> </w:t>
      </w:r>
      <w:r w:rsidRPr="00351B7D">
        <w:rPr>
          <w:rFonts w:asciiTheme="minorBidi" w:hAnsiTheme="minorBidi"/>
          <w:rtl/>
        </w:rPr>
        <w:t>טור ור"ן</w:t>
      </w:r>
      <w:r w:rsidRPr="00351B7D">
        <w:rPr>
          <w:rStyle w:val="a7"/>
          <w:rFonts w:asciiTheme="minorBidi" w:hAnsiTheme="minorBidi"/>
          <w:rtl/>
        </w:rPr>
        <w:footnoteReference w:id="86"/>
      </w:r>
      <w:r w:rsidRPr="00351B7D">
        <w:rPr>
          <w:rFonts w:asciiTheme="minorBidi" w:hAnsiTheme="minorBidi"/>
          <w:rtl/>
        </w:rPr>
        <w:t xml:space="preserve">- אם עסוקים באותו ענין מקודשת, כרבי </w:t>
      </w:r>
      <w:r w:rsidRPr="00351B7D">
        <w:rPr>
          <w:rFonts w:asciiTheme="minorBidi" w:hAnsiTheme="minorBidi"/>
          <w:sz w:val="16"/>
          <w:szCs w:val="16"/>
          <w:rtl/>
        </w:rPr>
        <w:t>(דהלכה כרבי מחבירו)</w:t>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78731CE9"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מהר"ם מרדכי ורשב"א</w:t>
      </w:r>
      <w:r w:rsidRPr="00351B7D">
        <w:rPr>
          <w:rStyle w:val="a7"/>
          <w:rFonts w:asciiTheme="minorBidi" w:hAnsiTheme="minorBidi"/>
          <w:rtl/>
        </w:rPr>
        <w:footnoteReference w:id="87"/>
      </w:r>
      <w:r w:rsidRPr="00351B7D">
        <w:rPr>
          <w:rFonts w:asciiTheme="minorBidi" w:hAnsiTheme="minorBidi"/>
          <w:rtl/>
        </w:rPr>
        <w:t>- מקודשת אפי' לא דיברו אלא מענין לענין באותו ענין, אבל אם לא היו עסוקין כלל בזה ונתן לה כסף סתם אינה מקודשת אע"פ שהוא אומר לקדשה נתכוונתי</w:t>
      </w:r>
      <w:r w:rsidRPr="00351B7D">
        <w:rPr>
          <w:rStyle w:val="a7"/>
          <w:rFonts w:asciiTheme="minorBidi" w:hAnsiTheme="minorBidi"/>
          <w:rtl/>
        </w:rPr>
        <w:footnoteReference w:id="88"/>
      </w:r>
      <w:r w:rsidRPr="00351B7D">
        <w:rPr>
          <w:rFonts w:asciiTheme="minorBidi" w:hAnsiTheme="minorBidi"/>
          <w:rtl/>
        </w:rPr>
        <w:t>, כשמואל</w:t>
      </w:r>
      <w:r w:rsidRPr="00351B7D">
        <w:rPr>
          <w:rStyle w:val="a7"/>
          <w:rFonts w:asciiTheme="minorBidi" w:hAnsiTheme="minorBidi"/>
          <w:rtl/>
        </w:rPr>
        <w:footnoteReference w:id="89"/>
      </w:r>
      <w:r w:rsidRPr="00351B7D">
        <w:rPr>
          <w:rFonts w:asciiTheme="minorBidi" w:hAnsiTheme="minorBidi"/>
          <w:rtl/>
        </w:rPr>
        <w:t xml:space="preserve">. </w:t>
      </w:r>
      <w:r w:rsidRPr="00351B7D">
        <w:rPr>
          <w:rFonts w:asciiTheme="minorBidi" w:hAnsiTheme="minorBidi"/>
          <w:color w:val="00B0F0"/>
          <w:rtl/>
        </w:rPr>
        <w:t>(וכ"כ הרמ"א)</w:t>
      </w:r>
    </w:p>
    <w:p w14:paraId="73290DB4"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FFA45C" w14:textId="77777777" w:rsidR="008E16D0" w:rsidRPr="00351B7D" w:rsidRDefault="008E16D0" w:rsidP="008E16D0">
      <w:pPr>
        <w:rPr>
          <w:rFonts w:asciiTheme="minorBidi" w:hAnsiTheme="minorBidi"/>
          <w:color w:val="000000"/>
          <w:rtl/>
        </w:rPr>
      </w:pPr>
      <w:r w:rsidRPr="00351B7D">
        <w:rPr>
          <w:rFonts w:asciiTheme="minorBidi" w:hAnsiTheme="minorBidi"/>
          <w:rtl/>
        </w:rPr>
        <w:t>בכסף כיצד, נותן לה בפני שנים פרוטה</w:t>
      </w:r>
      <w:r w:rsidRPr="00351B7D">
        <w:rPr>
          <w:rStyle w:val="a7"/>
          <w:rFonts w:asciiTheme="minorBidi" w:hAnsiTheme="minorBidi"/>
          <w:color w:val="000000"/>
          <w:rtl/>
        </w:rPr>
        <w:footnoteReference w:id="90"/>
      </w:r>
      <w:r w:rsidRPr="00351B7D">
        <w:rPr>
          <w:rFonts w:asciiTheme="minorBidi" w:hAnsiTheme="minorBidi"/>
          <w:rtl/>
        </w:rPr>
        <w:t xml:space="preserve"> או שוה פרוטה</w:t>
      </w:r>
      <w:r w:rsidRPr="00351B7D">
        <w:rPr>
          <w:rStyle w:val="a7"/>
          <w:rFonts w:asciiTheme="minorBidi" w:hAnsiTheme="minorBidi"/>
          <w:color w:val="000000"/>
          <w:rtl/>
        </w:rPr>
        <w:footnoteReference w:id="91"/>
      </w:r>
      <w:r w:rsidRPr="00351B7D">
        <w:rPr>
          <w:rFonts w:asciiTheme="minorBidi" w:hAnsiTheme="minorBidi"/>
          <w:rtl/>
        </w:rPr>
        <w:t xml:space="preserve"> ואומר לה הרי את מקודשת לי</w:t>
      </w:r>
      <w:r w:rsidRPr="00351B7D">
        <w:rPr>
          <w:rStyle w:val="a7"/>
          <w:rFonts w:asciiTheme="minorBidi" w:hAnsiTheme="minorBidi"/>
          <w:color w:val="000000"/>
          <w:rtl/>
        </w:rPr>
        <w:footnoteReference w:id="92"/>
      </w:r>
      <w:r w:rsidRPr="00351B7D">
        <w:rPr>
          <w:rFonts w:asciiTheme="minorBidi" w:hAnsiTheme="minorBidi"/>
          <w:color w:val="000000"/>
          <w:rtl/>
        </w:rPr>
        <w:t xml:space="preserve"> בזה.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שיש לומר לה כדת משה וישראל</w:t>
      </w:r>
      <w:r w:rsidRPr="00351B7D">
        <w:rPr>
          <w:rStyle w:val="a7"/>
          <w:rFonts w:asciiTheme="minorBidi" w:hAnsiTheme="minorBidi"/>
          <w:color w:val="000000"/>
          <w:sz w:val="18"/>
          <w:szCs w:val="18"/>
          <w:rtl/>
        </w:rPr>
        <w:footnoteReference w:id="93"/>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 xml:space="preserve">(כל בו) </w:t>
      </w:r>
      <w:r w:rsidRPr="00351B7D">
        <w:rPr>
          <w:rFonts w:asciiTheme="minorBidi" w:hAnsiTheme="minorBidi"/>
          <w:color w:val="000000"/>
          <w:sz w:val="18"/>
          <w:szCs w:val="18"/>
          <w:rtl/>
        </w:rPr>
        <w:t xml:space="preserve">וכן נוהגין לכתחילה, וכן נוהגין לקדש בטבעת ויש להם טעם בתיקוני הזוהר </w:t>
      </w:r>
      <w:r w:rsidRPr="00351B7D">
        <w:rPr>
          <w:rFonts w:asciiTheme="minorBidi" w:hAnsiTheme="minorBidi"/>
          <w:color w:val="000000"/>
          <w:sz w:val="16"/>
          <w:szCs w:val="16"/>
          <w:rtl/>
        </w:rPr>
        <w:t>(דברי הרב)</w:t>
      </w:r>
      <w:r w:rsidRPr="00351B7D">
        <w:rPr>
          <w:rFonts w:asciiTheme="minorBidi" w:hAnsiTheme="minorBidi"/>
          <w:color w:val="000000"/>
          <w:sz w:val="18"/>
          <w:szCs w:val="18"/>
          <w:rtl/>
        </w:rPr>
        <w:t>.</w:t>
      </w:r>
      <w:r w:rsidRPr="00351B7D">
        <w:rPr>
          <w:rFonts w:asciiTheme="minorBidi" w:hAnsiTheme="minorBidi"/>
          <w:rtl/>
        </w:rPr>
        <w:t xml:space="preserve"> וה"ה אם אמר לה הרי את מאורסת לי או הרי את לי לאשה וכן בכל לשון שמשמעותו לשון קדושין ודאי באותו מקום ובלבד שהיא תבין שהוא לשון קדושין. ואם היה מדבר עמה תחלה על עסקי קדושין ונתן לה אפילו בשתיקה הוי קדושין</w:t>
      </w:r>
      <w:r w:rsidRPr="00351B7D">
        <w:rPr>
          <w:rStyle w:val="a7"/>
          <w:rFonts w:asciiTheme="minorBidi" w:hAnsiTheme="minorBidi"/>
          <w:rtl/>
        </w:rPr>
        <w:footnoteReference w:id="94"/>
      </w:r>
      <w:r w:rsidRPr="00351B7D">
        <w:rPr>
          <w:rFonts w:asciiTheme="minorBidi" w:hAnsiTheme="minorBidi"/>
          <w:rtl/>
        </w:rPr>
        <w:t>, והוא שעדיין עסוקין באותו ענין, וכל שכן</w:t>
      </w:r>
      <w:r w:rsidRPr="00351B7D">
        <w:rPr>
          <w:rStyle w:val="a7"/>
          <w:rFonts w:asciiTheme="minorBidi" w:hAnsiTheme="minorBidi"/>
          <w:color w:val="000000"/>
          <w:rtl/>
        </w:rPr>
        <w:footnoteReference w:id="95"/>
      </w:r>
      <w:r w:rsidRPr="00351B7D">
        <w:rPr>
          <w:rFonts w:asciiTheme="minorBidi" w:hAnsiTheme="minorBidi"/>
          <w:rtl/>
        </w:rPr>
        <w:t xml:space="preserve"> אם אמר לשון קדושין ודאי אלא שאינה מבינה אותו דהוו קדושין.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י"א דלא בעינן מדברים באותו ענין ממש, אלא מדברים מענין לענין באותו ענין, דהיינו שאין מדברים בקידושין רק בצרכי זיווגם (מרדכי ורשב"א). וי"א דלא בעינן מדברים עמה אלא כל שמדברים לפניה סגי (מרדכי ריש קידושין</w:t>
      </w:r>
      <w:r w:rsidRPr="00351B7D">
        <w:rPr>
          <w:rStyle w:val="a7"/>
          <w:rFonts w:asciiTheme="minorBidi" w:hAnsiTheme="minorBidi"/>
          <w:color w:val="000000"/>
          <w:sz w:val="18"/>
          <w:szCs w:val="18"/>
          <w:rtl/>
        </w:rPr>
        <w:footnoteReference w:id="96"/>
      </w:r>
      <w:r w:rsidRPr="00351B7D">
        <w:rPr>
          <w:rFonts w:asciiTheme="minorBidi" w:hAnsiTheme="minorBidi"/>
          <w:color w:val="000000"/>
          <w:sz w:val="18"/>
          <w:szCs w:val="18"/>
          <w:rtl/>
        </w:rPr>
        <w:t>, וכן משמע לשון הטור).</w:t>
      </w:r>
      <w:r w:rsidRPr="00351B7D">
        <w:rPr>
          <w:rFonts w:asciiTheme="minorBidi" w:hAnsiTheme="minorBidi"/>
          <w:color w:val="000000"/>
          <w:sz w:val="16"/>
          <w:szCs w:val="16"/>
          <w:rtl/>
        </w:rPr>
        <w:t xml:space="preserve"> </w:t>
      </w:r>
    </w:p>
    <w:p w14:paraId="52511B89" w14:textId="77777777" w:rsidR="008E16D0" w:rsidRPr="00351B7D" w:rsidRDefault="008E16D0" w:rsidP="008E16D0">
      <w:pPr>
        <w:rPr>
          <w:rFonts w:asciiTheme="minorBidi" w:hAnsiTheme="minorBidi"/>
          <w:color w:val="000000"/>
          <w:u w:val="single"/>
          <w:rtl/>
        </w:rPr>
      </w:pPr>
      <w:r w:rsidRPr="00351B7D">
        <w:rPr>
          <w:rFonts w:asciiTheme="minorBidi" w:hAnsiTheme="minorBidi"/>
          <w:color w:val="000000"/>
          <w:u w:val="single"/>
          <w:rtl/>
        </w:rPr>
        <w:lastRenderedPageBreak/>
        <w:t>הוספות:</w:t>
      </w:r>
    </w:p>
    <w:p w14:paraId="0C9A46DE"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 xml:space="preserve">קורא לב' עדים ומראה להם טבעת קדושין אם היא שוה פרוטה ואומר להם הרב ראו זו טבעת שוה פרוטה ואומרים הן, דרשות מהרי"ל </w:t>
      </w:r>
      <w:r w:rsidRPr="00351B7D">
        <w:rPr>
          <w:rFonts w:asciiTheme="minorBidi" w:hAnsiTheme="minorBidi"/>
          <w:sz w:val="16"/>
          <w:szCs w:val="16"/>
          <w:rtl/>
        </w:rPr>
        <w:t>(הל' נישואין אות ה)</w:t>
      </w:r>
      <w:r w:rsidRPr="00351B7D">
        <w:rPr>
          <w:rFonts w:asciiTheme="minorBidi" w:hAnsiTheme="minorBidi"/>
          <w:rtl/>
        </w:rPr>
        <w:t>.</w:t>
      </w:r>
    </w:p>
    <w:p w14:paraId="159D5BF0"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 xml:space="preserve">ויזהירו לעדים שיראו נתנית הטבעת לאצבע הכלה, ויקדש בימין דידה וגם בימין דכלה, ובאצבע הסמוך לגודל שנקרא אצבע ישים הטבעת, מהר"מ מינץ </w:t>
      </w:r>
      <w:r w:rsidRPr="00351B7D">
        <w:rPr>
          <w:rFonts w:asciiTheme="minorBidi" w:hAnsiTheme="minorBidi"/>
          <w:sz w:val="16"/>
          <w:szCs w:val="16"/>
          <w:rtl/>
        </w:rPr>
        <w:t>(סי' קט)</w:t>
      </w:r>
      <w:r w:rsidRPr="00351B7D">
        <w:rPr>
          <w:rFonts w:asciiTheme="minorBidi" w:hAnsiTheme="minorBidi"/>
          <w:rtl/>
        </w:rPr>
        <w:t>.</w:t>
      </w:r>
    </w:p>
    <w:p w14:paraId="50DCBCE2"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 xml:space="preserve">יש להקפיד שלא תהא חציצה בין הטבעת לאצבע ולכן אם הכלה מלובשת בבתי ידים צריכה להסיר מיד ימינה, כרם שלמה </w:t>
      </w:r>
      <w:r w:rsidRPr="00351B7D">
        <w:rPr>
          <w:rFonts w:asciiTheme="minorBidi" w:hAnsiTheme="minorBidi"/>
          <w:sz w:val="16"/>
          <w:szCs w:val="16"/>
          <w:rtl/>
        </w:rPr>
        <w:t>(בשו"ת שבסוף הספר סי' פו)</w:t>
      </w:r>
      <w:r w:rsidRPr="00351B7D">
        <w:rPr>
          <w:rFonts w:asciiTheme="minorBidi" w:hAnsiTheme="minorBidi"/>
          <w:color w:val="000000"/>
          <w:rtl/>
        </w:rPr>
        <w:t>.</w:t>
      </w:r>
    </w:p>
    <w:p w14:paraId="3F471ADE"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color w:val="000000"/>
          <w:u w:val="single"/>
          <w:rtl/>
        </w:rPr>
        <w:t>אמר לה- "טלי קידושיך מעל גבי קרקע":</w:t>
      </w:r>
      <w:r w:rsidRPr="00351B7D">
        <w:rPr>
          <w:rFonts w:asciiTheme="minorBidi" w:hAnsiTheme="minorBidi"/>
          <w:color w:val="000000"/>
          <w:sz w:val="16"/>
          <w:szCs w:val="16"/>
          <w:rtl/>
        </w:rPr>
        <w:t xml:space="preserve">    (פת"ש סק"ג)</w:t>
      </w:r>
    </w:p>
    <w:p w14:paraId="25DE9EA7" w14:textId="77777777" w:rsidR="008E16D0" w:rsidRPr="00351B7D" w:rsidRDefault="008E16D0" w:rsidP="00A8697F">
      <w:pPr>
        <w:pStyle w:val="ab"/>
        <w:numPr>
          <w:ilvl w:val="0"/>
          <w:numId w:val="114"/>
        </w:numPr>
        <w:rPr>
          <w:rFonts w:asciiTheme="minorBidi" w:hAnsiTheme="minorBidi"/>
          <w:rtl/>
        </w:rPr>
      </w:pPr>
      <w:r w:rsidRPr="00351B7D">
        <w:rPr>
          <w:rFonts w:asciiTheme="minorBidi" w:hAnsiTheme="minorBidi"/>
          <w:rtl/>
        </w:rPr>
        <w:t xml:space="preserve">מהרי"ל </w:t>
      </w:r>
      <w:r w:rsidRPr="00351B7D">
        <w:rPr>
          <w:rFonts w:asciiTheme="minorBidi" w:hAnsiTheme="minorBidi"/>
          <w:sz w:val="16"/>
          <w:szCs w:val="16"/>
          <w:rtl/>
        </w:rPr>
        <w:t>(סי' ע"ד אות ב)</w:t>
      </w:r>
      <w:r w:rsidRPr="00351B7D">
        <w:rPr>
          <w:rFonts w:asciiTheme="minorBidi" w:hAnsiTheme="minorBidi"/>
          <w:rtl/>
        </w:rPr>
        <w:t xml:space="preserve"> וחת"ס</w:t>
      </w:r>
      <w:r w:rsidRPr="00351B7D">
        <w:rPr>
          <w:rFonts w:asciiTheme="minorBidi" w:hAnsiTheme="minorBidi"/>
          <w:sz w:val="16"/>
          <w:szCs w:val="16"/>
          <w:rtl/>
        </w:rPr>
        <w:t xml:space="preserve"> (ח"א סי' פב)</w:t>
      </w:r>
      <w:r w:rsidRPr="00351B7D">
        <w:rPr>
          <w:rFonts w:asciiTheme="minorBidi" w:hAnsiTheme="minorBidi"/>
          <w:rtl/>
        </w:rPr>
        <w:t>- "לאו כלום הוא, דתנינ' ונתן בידה הוא או שלוחו, ואפי' נוטלתו מידו אינה מגורשת, האי חצר דידיה לא עדיף מידו, וה"ה לקידושין</w:t>
      </w:r>
      <w:r w:rsidRPr="00351B7D">
        <w:rPr>
          <w:rFonts w:asciiTheme="minorBidi" w:hAnsiTheme="minorBidi"/>
          <w:sz w:val="16"/>
          <w:szCs w:val="16"/>
          <w:rtl/>
        </w:rPr>
        <w:t xml:space="preserve"> (ל' מהרי"ל)</w:t>
      </w:r>
      <w:r w:rsidRPr="00351B7D">
        <w:rPr>
          <w:rFonts w:asciiTheme="minorBidi" w:hAnsiTheme="minorBidi"/>
          <w:rtl/>
        </w:rPr>
        <w:t xml:space="preserve">". </w:t>
      </w:r>
    </w:p>
    <w:p w14:paraId="687924A3" w14:textId="77777777" w:rsidR="008E16D0" w:rsidRPr="00351B7D" w:rsidRDefault="008E16D0" w:rsidP="00A8697F">
      <w:pPr>
        <w:pStyle w:val="ab"/>
        <w:numPr>
          <w:ilvl w:val="0"/>
          <w:numId w:val="114"/>
        </w:numPr>
        <w:rPr>
          <w:rFonts w:asciiTheme="minorBidi" w:hAnsiTheme="minorBidi"/>
        </w:rPr>
      </w:pPr>
      <w:r w:rsidRPr="00351B7D">
        <w:rPr>
          <w:rFonts w:asciiTheme="minorBidi" w:hAnsiTheme="minorBidi"/>
          <w:rtl/>
        </w:rPr>
        <w:t>רש"ך</w:t>
      </w:r>
      <w:r w:rsidRPr="00351B7D">
        <w:rPr>
          <w:rFonts w:asciiTheme="minorBidi" w:hAnsiTheme="minorBidi"/>
          <w:sz w:val="16"/>
          <w:szCs w:val="16"/>
          <w:rtl/>
        </w:rPr>
        <w:t xml:space="preserve"> (ח"א סי' קנ"ב)</w:t>
      </w:r>
      <w:r w:rsidRPr="00351B7D">
        <w:rPr>
          <w:rFonts w:asciiTheme="minorBidi" w:hAnsiTheme="minorBidi"/>
          <w:rtl/>
        </w:rPr>
        <w:t xml:space="preserve"> וב"ש </w:t>
      </w:r>
      <w:r w:rsidRPr="00351B7D">
        <w:rPr>
          <w:rFonts w:asciiTheme="minorBidi" w:hAnsiTheme="minorBidi"/>
          <w:sz w:val="16"/>
          <w:szCs w:val="16"/>
          <w:rtl/>
        </w:rPr>
        <w:t>(סק"ג)</w:t>
      </w:r>
      <w:r w:rsidRPr="00351B7D">
        <w:rPr>
          <w:rFonts w:asciiTheme="minorBidi" w:hAnsiTheme="minorBidi"/>
          <w:rtl/>
        </w:rPr>
        <w:t>- הרי זה ספק קדושין.</w:t>
      </w:r>
    </w:p>
    <w:p w14:paraId="0A7F755B" w14:textId="77777777" w:rsidR="008E16D0" w:rsidRPr="00351B7D" w:rsidRDefault="008E16D0" w:rsidP="00A8697F">
      <w:pPr>
        <w:pStyle w:val="ab"/>
        <w:numPr>
          <w:ilvl w:val="0"/>
          <w:numId w:val="114"/>
        </w:numPr>
        <w:rPr>
          <w:rFonts w:asciiTheme="minorBidi" w:hAnsiTheme="minorBidi"/>
        </w:rPr>
      </w:pPr>
      <w:r w:rsidRPr="00351B7D">
        <w:rPr>
          <w:rFonts w:asciiTheme="minorBidi" w:hAnsiTheme="minorBidi"/>
          <w:rtl/>
        </w:rPr>
        <w:t xml:space="preserve">המקנה </w:t>
      </w:r>
      <w:r w:rsidRPr="00351B7D">
        <w:rPr>
          <w:rFonts w:asciiTheme="minorBidi" w:hAnsiTheme="minorBidi"/>
          <w:sz w:val="16"/>
          <w:szCs w:val="16"/>
          <w:rtl/>
        </w:rPr>
        <w:t>(קו"א סד"ה שם שוה פרוטה)</w:t>
      </w:r>
      <w:r w:rsidRPr="00351B7D">
        <w:rPr>
          <w:rFonts w:asciiTheme="minorBidi" w:hAnsiTheme="minorBidi"/>
          <w:rtl/>
        </w:rPr>
        <w:t xml:space="preserve">- הוי ודאי קדושין. </w:t>
      </w:r>
    </w:p>
    <w:p w14:paraId="56C5EC5D" w14:textId="77777777" w:rsidR="008E16D0" w:rsidRPr="00351B7D" w:rsidRDefault="008E16D0" w:rsidP="00A8697F">
      <w:pPr>
        <w:pStyle w:val="ab"/>
        <w:numPr>
          <w:ilvl w:val="0"/>
          <w:numId w:val="114"/>
        </w:numPr>
        <w:rPr>
          <w:rFonts w:asciiTheme="minorBidi" w:hAnsiTheme="minorBidi"/>
        </w:rPr>
      </w:pPr>
      <w:r w:rsidRPr="00351B7D">
        <w:rPr>
          <w:rFonts w:asciiTheme="minorBidi" w:hAnsiTheme="minorBidi"/>
          <w:rtl/>
        </w:rPr>
        <w:t xml:space="preserve">גט מקושר </w:t>
      </w:r>
      <w:r w:rsidRPr="00351B7D">
        <w:rPr>
          <w:rFonts w:asciiTheme="minorBidi" w:hAnsiTheme="minorBidi"/>
          <w:sz w:val="16"/>
          <w:szCs w:val="16"/>
          <w:rtl/>
        </w:rPr>
        <w:t>(קו"א אות י סי' ט)</w:t>
      </w:r>
      <w:r w:rsidRPr="00351B7D">
        <w:rPr>
          <w:rFonts w:asciiTheme="minorBidi" w:hAnsiTheme="minorBidi"/>
          <w:rtl/>
        </w:rPr>
        <w:t>- בקדושי כסף שפיר מיקדשא, אך בקידושי שטר יש להסתפק.</w:t>
      </w:r>
    </w:p>
    <w:p w14:paraId="0209907E" w14:textId="77777777" w:rsidR="008E16D0" w:rsidRPr="00351B7D" w:rsidRDefault="008E16D0" w:rsidP="008E16D0">
      <w:pPr>
        <w:rPr>
          <w:rFonts w:asciiTheme="minorBidi" w:hAnsiTheme="minorBidi"/>
          <w:u w:val="single"/>
          <w:rtl/>
        </w:rPr>
      </w:pPr>
      <w:r w:rsidRPr="00351B7D">
        <w:rPr>
          <w:rFonts w:asciiTheme="minorBidi" w:hAnsiTheme="minorBidi"/>
          <w:u w:val="single"/>
          <w:rtl/>
        </w:rPr>
        <w:t>קידש אשה ע"מ שיתן סך מסויים ונתן שוה כסף</w:t>
      </w:r>
      <w:r w:rsidRPr="00351B7D">
        <w:rPr>
          <w:rFonts w:asciiTheme="minorBidi" w:hAnsiTheme="minorBidi"/>
          <w:sz w:val="16"/>
          <w:szCs w:val="16"/>
          <w:u w:val="single"/>
          <w:rtl/>
        </w:rPr>
        <w:t xml:space="preserve"> (כסך שהתחייב ולא את הסכום עצמו)</w:t>
      </w:r>
      <w:r w:rsidRPr="00351B7D">
        <w:rPr>
          <w:rFonts w:asciiTheme="minorBidi" w:hAnsiTheme="minorBidi"/>
          <w:u w:val="single"/>
          <w:rtl/>
        </w:rPr>
        <w:t xml:space="preserve"> בעל כרחה:</w:t>
      </w:r>
    </w:p>
    <w:p w14:paraId="43F8EA0B" w14:textId="77777777" w:rsidR="008E16D0" w:rsidRPr="00351B7D" w:rsidRDefault="008E16D0" w:rsidP="00A8697F">
      <w:pPr>
        <w:pStyle w:val="ab"/>
        <w:numPr>
          <w:ilvl w:val="0"/>
          <w:numId w:val="10"/>
        </w:numPr>
        <w:rPr>
          <w:rFonts w:asciiTheme="minorBidi" w:hAnsiTheme="minorBidi"/>
        </w:rPr>
      </w:pPr>
      <w:r w:rsidRPr="00351B7D">
        <w:rPr>
          <w:rFonts w:asciiTheme="minorBidi" w:hAnsiTheme="minorBidi"/>
          <w:rtl/>
        </w:rPr>
        <w:t>מהרי"ט</w:t>
      </w:r>
      <w:r w:rsidRPr="00351B7D">
        <w:rPr>
          <w:rFonts w:asciiTheme="minorBidi" w:hAnsiTheme="minorBidi"/>
          <w:sz w:val="16"/>
          <w:szCs w:val="16"/>
          <w:rtl/>
        </w:rPr>
        <w:t xml:space="preserve"> (על הרי"ף ב. ד"ה נקנית)</w:t>
      </w:r>
      <w:r w:rsidRPr="00351B7D">
        <w:rPr>
          <w:rFonts w:asciiTheme="minorBidi" w:hAnsiTheme="minorBidi"/>
          <w:rtl/>
        </w:rPr>
        <w:t xml:space="preserve">- לא הוי נתינה הואיל שנתן שוה כסף ובעל כרחה. </w:t>
      </w:r>
    </w:p>
    <w:p w14:paraId="3F3791A6" w14:textId="77777777" w:rsidR="008E16D0" w:rsidRPr="00351B7D" w:rsidRDefault="008E16D0" w:rsidP="00A8697F">
      <w:pPr>
        <w:pStyle w:val="ab"/>
        <w:numPr>
          <w:ilvl w:val="0"/>
          <w:numId w:val="10"/>
        </w:numPr>
        <w:rPr>
          <w:rFonts w:asciiTheme="minorBidi" w:hAnsiTheme="minorBidi"/>
          <w:rtl/>
        </w:rPr>
      </w:pPr>
      <w:r w:rsidRPr="00351B7D">
        <w:rPr>
          <w:rFonts w:asciiTheme="minorBidi" w:hAnsiTheme="minorBidi"/>
          <w:rtl/>
        </w:rPr>
        <w:t>המקנה</w:t>
      </w:r>
      <w:r w:rsidRPr="00351B7D">
        <w:rPr>
          <w:rFonts w:asciiTheme="minorBidi" w:hAnsiTheme="minorBidi"/>
          <w:sz w:val="16"/>
          <w:szCs w:val="16"/>
          <w:rtl/>
        </w:rPr>
        <w:t xml:space="preserve"> (קו"א סי' כז ד"ה אך נראה)</w:t>
      </w:r>
      <w:r w:rsidRPr="00351B7D">
        <w:rPr>
          <w:rFonts w:asciiTheme="minorBidi" w:hAnsiTheme="minorBidi"/>
          <w:rtl/>
        </w:rPr>
        <w:t>- נראה דבכל ענין הוי ספק מקודשת.</w:t>
      </w:r>
    </w:p>
    <w:p w14:paraId="51DB5C21" w14:textId="77777777" w:rsidR="008E16D0" w:rsidRPr="00351B7D" w:rsidRDefault="008E16D0" w:rsidP="008E16D0">
      <w:pPr>
        <w:rPr>
          <w:rFonts w:asciiTheme="minorBidi" w:hAnsiTheme="minorBidi"/>
          <w:color w:val="000000"/>
          <w:u w:val="single"/>
          <w:rtl/>
        </w:rPr>
      </w:pPr>
      <w:r w:rsidRPr="00351B7D">
        <w:rPr>
          <w:rFonts w:asciiTheme="minorBidi" w:hAnsiTheme="minorBidi"/>
          <w:u w:val="single"/>
          <w:rtl/>
        </w:rPr>
        <w:t xml:space="preserve">האם המקדש צריך לומר תיבת </w:t>
      </w:r>
      <w:r w:rsidRPr="00351B7D">
        <w:rPr>
          <w:rFonts w:asciiTheme="minorBidi" w:hAnsiTheme="minorBidi"/>
          <w:color w:val="000000"/>
          <w:sz w:val="16"/>
          <w:szCs w:val="16"/>
          <w:u w:val="single"/>
          <w:rtl/>
        </w:rPr>
        <w:t>(הרי את מקודשת לי בטבעת-)</w:t>
      </w:r>
      <w:r w:rsidRPr="00351B7D">
        <w:rPr>
          <w:rFonts w:asciiTheme="minorBidi" w:hAnsiTheme="minorBidi"/>
          <w:color w:val="000000"/>
          <w:u w:val="single"/>
          <w:rtl/>
        </w:rPr>
        <w:t xml:space="preserve"> "זו":</w:t>
      </w:r>
      <w:r w:rsidRPr="00351B7D">
        <w:rPr>
          <w:rFonts w:asciiTheme="minorBidi" w:hAnsiTheme="minorBidi"/>
          <w:color w:val="000000"/>
          <w:sz w:val="16"/>
          <w:szCs w:val="16"/>
          <w:rtl/>
        </w:rPr>
        <w:t xml:space="preserve">     (פת"ש סק"ג)</w:t>
      </w:r>
    </w:p>
    <w:p w14:paraId="676A3B1F" w14:textId="77777777" w:rsidR="008E16D0" w:rsidRPr="00351B7D" w:rsidRDefault="008E16D0" w:rsidP="00A8697F">
      <w:pPr>
        <w:pStyle w:val="ab"/>
        <w:numPr>
          <w:ilvl w:val="0"/>
          <w:numId w:val="11"/>
        </w:numPr>
        <w:rPr>
          <w:rFonts w:asciiTheme="minorBidi" w:hAnsiTheme="minorBidi"/>
        </w:rPr>
      </w:pPr>
      <w:r w:rsidRPr="00351B7D">
        <w:rPr>
          <w:rFonts w:asciiTheme="minorBidi" w:hAnsiTheme="minorBidi"/>
          <w:rtl/>
        </w:rPr>
        <w:t>המבי"ט</w:t>
      </w:r>
      <w:r w:rsidRPr="00351B7D">
        <w:rPr>
          <w:rFonts w:asciiTheme="minorBidi" w:hAnsiTheme="minorBidi"/>
          <w:sz w:val="16"/>
          <w:szCs w:val="16"/>
          <w:rtl/>
        </w:rPr>
        <w:t xml:space="preserve"> </w:t>
      </w:r>
      <w:r w:rsidRPr="00351B7D">
        <w:rPr>
          <w:rFonts w:asciiTheme="minorBidi" w:hAnsiTheme="minorBidi"/>
          <w:rtl/>
        </w:rPr>
        <w:t>המקנה וחת"ס</w:t>
      </w:r>
      <w:r w:rsidRPr="00351B7D">
        <w:rPr>
          <w:rStyle w:val="a7"/>
          <w:rFonts w:asciiTheme="minorBidi" w:hAnsiTheme="minorBidi"/>
          <w:rtl/>
        </w:rPr>
        <w:footnoteReference w:id="97"/>
      </w:r>
      <w:r w:rsidRPr="00351B7D">
        <w:rPr>
          <w:rFonts w:asciiTheme="minorBidi" w:hAnsiTheme="minorBidi"/>
          <w:rtl/>
        </w:rPr>
        <w:t>- אצ"ל מקודשת לי בכסף זה, ומה שנוהגים לומר בטבעת זו הוא לרווחא דמלתא</w:t>
      </w:r>
      <w:r w:rsidRPr="00351B7D">
        <w:rPr>
          <w:rStyle w:val="a7"/>
          <w:rFonts w:asciiTheme="minorBidi" w:hAnsiTheme="minorBidi"/>
          <w:rtl/>
        </w:rPr>
        <w:footnoteReference w:id="98"/>
      </w:r>
      <w:r w:rsidRPr="00351B7D">
        <w:rPr>
          <w:rFonts w:asciiTheme="minorBidi" w:hAnsiTheme="minorBidi"/>
          <w:rtl/>
        </w:rPr>
        <w:t>.</w:t>
      </w:r>
    </w:p>
    <w:p w14:paraId="716B0BFF" w14:textId="77777777" w:rsidR="008E16D0" w:rsidRPr="00351B7D" w:rsidRDefault="008E16D0" w:rsidP="00A8697F">
      <w:pPr>
        <w:pStyle w:val="ab"/>
        <w:numPr>
          <w:ilvl w:val="0"/>
          <w:numId w:val="11"/>
        </w:numPr>
        <w:rPr>
          <w:rFonts w:asciiTheme="minorBidi" w:hAnsiTheme="minorBidi"/>
          <w:rtl/>
        </w:rPr>
      </w:pPr>
      <w:r w:rsidRPr="00351B7D">
        <w:rPr>
          <w:rFonts w:asciiTheme="minorBidi" w:hAnsiTheme="minorBidi"/>
          <w:rtl/>
        </w:rPr>
        <w:t>הגה' מרדכי</w:t>
      </w:r>
      <w:r w:rsidRPr="00351B7D">
        <w:rPr>
          <w:rFonts w:asciiTheme="minorBidi" w:hAnsiTheme="minorBidi"/>
          <w:sz w:val="16"/>
          <w:szCs w:val="16"/>
          <w:rtl/>
        </w:rPr>
        <w:t xml:space="preserve"> (גיטין סי' ת"ע) </w:t>
      </w:r>
      <w:r w:rsidRPr="00351B7D">
        <w:rPr>
          <w:rFonts w:asciiTheme="minorBidi" w:hAnsiTheme="minorBidi"/>
          <w:rtl/>
        </w:rPr>
        <w:t>-צ"ל בחפץ זה</w:t>
      </w:r>
      <w:r w:rsidRPr="00351B7D">
        <w:rPr>
          <w:rStyle w:val="a7"/>
          <w:rFonts w:asciiTheme="minorBidi" w:hAnsiTheme="minorBidi"/>
          <w:rtl/>
        </w:rPr>
        <w:footnoteReference w:id="99"/>
      </w:r>
      <w:r w:rsidRPr="00351B7D">
        <w:rPr>
          <w:rFonts w:asciiTheme="minorBidi" w:hAnsiTheme="minorBidi"/>
          <w:rtl/>
        </w:rPr>
        <w:t xml:space="preserve">. </w:t>
      </w:r>
    </w:p>
    <w:p w14:paraId="32B81984" w14:textId="77777777" w:rsidR="008E16D0" w:rsidRPr="00351B7D" w:rsidRDefault="008E16D0" w:rsidP="008E16D0">
      <w:pPr>
        <w:rPr>
          <w:rFonts w:asciiTheme="minorBidi" w:hAnsiTheme="minorBidi"/>
          <w:rtl/>
        </w:rPr>
      </w:pPr>
    </w:p>
    <w:p w14:paraId="5BB7BBBC" w14:textId="77777777" w:rsidR="008E16D0" w:rsidRPr="00351B7D" w:rsidRDefault="008E16D0" w:rsidP="008E16D0">
      <w:pPr>
        <w:pStyle w:val="2"/>
        <w:rPr>
          <w:rFonts w:asciiTheme="minorBidi" w:hAnsiTheme="minorBidi"/>
          <w:rtl/>
        </w:rPr>
      </w:pPr>
      <w:r w:rsidRPr="00351B7D">
        <w:rPr>
          <w:rFonts w:asciiTheme="minorBidi" w:hAnsiTheme="minorBidi"/>
          <w:rtl/>
        </w:rPr>
        <w:t>סעיף ב: לשון מעליא בקידושי כסף.</w:t>
      </w:r>
    </w:p>
    <w:p w14:paraId="32AA12E2"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ו ע"א: </w:t>
      </w:r>
      <w:r w:rsidRPr="00351B7D">
        <w:rPr>
          <w:rFonts w:asciiTheme="minorBidi" w:hAnsiTheme="minorBidi"/>
          <w:rtl/>
        </w:rPr>
        <w:t>ת"ר: הרי את אשתי, הרי את ארוסתי הרי את קנויה לי- מקודשת. הרי את שלי, הרי את ברשותי, הרי את זקוקה לי- מקודשת. וליתנינהו כולהו כחדא</w:t>
      </w:r>
      <w:r w:rsidRPr="00351B7D">
        <w:rPr>
          <w:rStyle w:val="a7"/>
          <w:rFonts w:asciiTheme="minorBidi" w:hAnsiTheme="minorBidi"/>
          <w:rtl/>
        </w:rPr>
        <w:footnoteReference w:id="100"/>
      </w:r>
      <w:r w:rsidRPr="00351B7D">
        <w:rPr>
          <w:rFonts w:asciiTheme="minorBidi" w:hAnsiTheme="minorBidi"/>
          <w:rtl/>
        </w:rPr>
        <w:t>! תנא תלת תלת שמעינהו וגרסינהו... לקוחתי מהו? פשוט מיהא חדא, דתניא: האומר לקוחתי - הרי זו מקודשת, משום שנאמר: כי יקח איש אשה....  במאי עסקינן</w:t>
      </w:r>
      <w:r w:rsidRPr="00351B7D">
        <w:rPr>
          <w:rStyle w:val="a7"/>
          <w:rFonts w:asciiTheme="minorBidi" w:hAnsiTheme="minorBidi"/>
          <w:rtl/>
        </w:rPr>
        <w:footnoteReference w:id="101"/>
      </w:r>
      <w:r w:rsidRPr="00351B7D">
        <w:rPr>
          <w:rFonts w:asciiTheme="minorBidi" w:hAnsiTheme="minorBidi"/>
          <w:rtl/>
        </w:rPr>
        <w:t>? אילימא בשאין מדבר עמה על עסקי גיטה וקידושיה</w:t>
      </w:r>
      <w:r w:rsidRPr="00351B7D">
        <w:rPr>
          <w:rStyle w:val="a7"/>
          <w:rFonts w:asciiTheme="minorBidi" w:hAnsiTheme="minorBidi"/>
          <w:rtl/>
        </w:rPr>
        <w:footnoteReference w:id="102"/>
      </w:r>
      <w:r w:rsidRPr="00351B7D">
        <w:rPr>
          <w:rFonts w:asciiTheme="minorBidi" w:hAnsiTheme="minorBidi"/>
          <w:rtl/>
        </w:rPr>
        <w:t>, מנא ידעה מאי קאמר לה</w:t>
      </w:r>
      <w:r w:rsidRPr="00351B7D">
        <w:rPr>
          <w:rStyle w:val="a7"/>
          <w:rFonts w:asciiTheme="minorBidi" w:hAnsiTheme="minorBidi"/>
          <w:rtl/>
        </w:rPr>
        <w:footnoteReference w:id="103"/>
      </w:r>
      <w:r w:rsidRPr="00351B7D">
        <w:rPr>
          <w:rFonts w:asciiTheme="minorBidi" w:hAnsiTheme="minorBidi"/>
          <w:rtl/>
        </w:rPr>
        <w:t>? ואלא במדבר</w:t>
      </w:r>
      <w:r w:rsidRPr="00351B7D">
        <w:rPr>
          <w:rStyle w:val="a7"/>
          <w:rFonts w:asciiTheme="minorBidi" w:hAnsiTheme="minorBidi"/>
          <w:rtl/>
        </w:rPr>
        <w:footnoteReference w:id="104"/>
      </w:r>
      <w:r w:rsidRPr="00351B7D">
        <w:rPr>
          <w:rFonts w:asciiTheme="minorBidi" w:hAnsiTheme="minorBidi"/>
          <w:rtl/>
        </w:rPr>
        <w:t xml:space="preserve"> עמה על עסקי גיטה וקידושיה. אף על גב דלא אמר לה נמי! דתנן: היה מדבר עם אשה על עסקי גיטה וקידושיה, ונתן לה גיטה וקידושיה ולא פירש, </w:t>
      </w:r>
      <w:r w:rsidRPr="00351B7D">
        <w:rPr>
          <w:rFonts w:asciiTheme="minorBidi" w:hAnsiTheme="minorBidi"/>
          <w:u w:val="single"/>
          <w:rtl/>
        </w:rPr>
        <w:t>ר' יוסי אומר</w:t>
      </w:r>
      <w:r w:rsidRPr="00351B7D">
        <w:rPr>
          <w:rFonts w:asciiTheme="minorBidi" w:hAnsiTheme="minorBidi"/>
          <w:rtl/>
        </w:rPr>
        <w:t xml:space="preserve">: דיו, </w:t>
      </w:r>
      <w:r w:rsidRPr="00351B7D">
        <w:rPr>
          <w:rFonts w:asciiTheme="minorBidi" w:hAnsiTheme="minorBidi"/>
          <w:u w:val="single"/>
          <w:rtl/>
        </w:rPr>
        <w:t>ר' יהודה אומר</w:t>
      </w:r>
      <w:r w:rsidRPr="00351B7D">
        <w:rPr>
          <w:rFonts w:asciiTheme="minorBidi" w:hAnsiTheme="minorBidi"/>
          <w:rtl/>
        </w:rPr>
        <w:t xml:space="preserve">: צריך לפרש, </w:t>
      </w:r>
      <w:r w:rsidRPr="00351B7D">
        <w:rPr>
          <w:rFonts w:asciiTheme="minorBidi" w:hAnsiTheme="minorBidi"/>
          <w:u w:val="single"/>
          <w:rtl/>
        </w:rPr>
        <w:t>ואמר רב הונא אמר שמואל:</w:t>
      </w:r>
      <w:r w:rsidRPr="00351B7D">
        <w:rPr>
          <w:rFonts w:asciiTheme="minorBidi" w:hAnsiTheme="minorBidi"/>
          <w:rtl/>
        </w:rPr>
        <w:t xml:space="preserve"> הלכה כר' יוסי! </w:t>
      </w:r>
      <w:r w:rsidRPr="00351B7D">
        <w:rPr>
          <w:rFonts w:asciiTheme="minorBidi" w:hAnsiTheme="minorBidi"/>
          <w:sz w:val="16"/>
          <w:szCs w:val="16"/>
          <w:rtl/>
        </w:rPr>
        <w:t>(וכ' הרא"ש (סו"ס ב) "הני לישני דברירא לן דהוו לשון קידושין לאו כל כמיניה למימר לא הוה ידענא דהוו לשון קידושין...", וכ' הב"י בפירושו השני לדברי הרא"ש הללו, וז"ל- "ואפשר דהרא"ש מודה לשאר מפרשים בענין האשה המתקדשת ואיהו לא איירי אלא בדין האיש המקדש דכיון שהוא הוציא מפיו לשונות הללו חזקה לשם קידושין הוציא אבל האשה שומעת דבריו וחזקה שאינה מכרת באותן לשונות שהם לשם קידושין ומשום הכי צריך שתאמר שהיא מכרת" ואע"פ ש</w:t>
      </w:r>
      <w:r w:rsidRPr="00351B7D">
        <w:rPr>
          <w:rFonts w:asciiTheme="minorBidi" w:hAnsiTheme="minorBidi"/>
          <w:color w:val="000000"/>
          <w:sz w:val="16"/>
          <w:szCs w:val="16"/>
          <w:rtl/>
        </w:rPr>
        <w:t xml:space="preserve">הט"ז </w:t>
      </w:r>
      <w:r w:rsidRPr="00351B7D">
        <w:rPr>
          <w:rFonts w:asciiTheme="minorBidi" w:hAnsiTheme="minorBidi"/>
          <w:color w:val="000000"/>
          <w:sz w:val="14"/>
          <w:szCs w:val="14"/>
          <w:rtl/>
        </w:rPr>
        <w:t xml:space="preserve">(סק"ד) </w:t>
      </w:r>
      <w:r w:rsidRPr="00351B7D">
        <w:rPr>
          <w:rFonts w:asciiTheme="minorBidi" w:hAnsiTheme="minorBidi"/>
          <w:color w:val="000000"/>
          <w:sz w:val="16"/>
          <w:szCs w:val="16"/>
          <w:rtl/>
        </w:rPr>
        <w:t xml:space="preserve">והגר"א </w:t>
      </w:r>
      <w:r w:rsidRPr="00351B7D">
        <w:rPr>
          <w:rFonts w:asciiTheme="minorBidi" w:hAnsiTheme="minorBidi"/>
          <w:color w:val="000000"/>
          <w:sz w:val="14"/>
          <w:szCs w:val="14"/>
          <w:rtl/>
        </w:rPr>
        <w:t xml:space="preserve">(סקט"ו) </w:t>
      </w:r>
      <w:r w:rsidRPr="00351B7D">
        <w:rPr>
          <w:rFonts w:asciiTheme="minorBidi" w:hAnsiTheme="minorBidi"/>
          <w:color w:val="000000"/>
          <w:sz w:val="16"/>
          <w:szCs w:val="16"/>
          <w:rtl/>
        </w:rPr>
        <w:t xml:space="preserve">ועוד הרבה אחרונים חלקו על הבנתו בדברי הרא"ש </w:t>
      </w:r>
      <w:r w:rsidRPr="00351B7D">
        <w:rPr>
          <w:rFonts w:asciiTheme="minorBidi" w:hAnsiTheme="minorBidi"/>
          <w:color w:val="000000"/>
          <w:sz w:val="14"/>
          <w:szCs w:val="14"/>
          <w:rtl/>
        </w:rPr>
        <w:t>[וכ' שעיקר כפירוש הראשון של הב"י לדברי הרא"ש]</w:t>
      </w:r>
      <w:r w:rsidRPr="00351B7D">
        <w:rPr>
          <w:rFonts w:asciiTheme="minorBidi" w:hAnsiTheme="minorBidi"/>
          <w:color w:val="000000"/>
          <w:sz w:val="16"/>
          <w:szCs w:val="16"/>
          <w:rtl/>
        </w:rPr>
        <w:t xml:space="preserve">, מ"מ הדין דין אמת והאיש אינו נאמן לומר שלא כיון לשם קדושין, </w:t>
      </w:r>
      <w:r w:rsidRPr="00351B7D">
        <w:rPr>
          <w:rFonts w:asciiTheme="minorBidi" w:hAnsiTheme="minorBidi"/>
          <w:color w:val="00B0F0"/>
          <w:sz w:val="16"/>
          <w:szCs w:val="16"/>
          <w:rtl/>
        </w:rPr>
        <w:t>וכ"פ הרמ"א</w:t>
      </w:r>
      <w:r w:rsidRPr="00351B7D">
        <w:rPr>
          <w:rFonts w:asciiTheme="minorBidi" w:hAnsiTheme="minorBidi"/>
          <w:sz w:val="16"/>
          <w:szCs w:val="16"/>
          <w:rtl/>
        </w:rPr>
        <w:t>)</w:t>
      </w:r>
    </w:p>
    <w:p w14:paraId="41A33E0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9012F3"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lastRenderedPageBreak/>
        <w:t>אמר לה: הרי את אשתי, הרי את זקוקתי, הרי את קנויה לי, הרי את ארוסתי, הרי את שלי, הרי את ברשותי, הרי את לקוחתי</w:t>
      </w:r>
      <w:r w:rsidRPr="00351B7D">
        <w:rPr>
          <w:rStyle w:val="a7"/>
          <w:rFonts w:asciiTheme="minorBidi" w:hAnsiTheme="minorBidi"/>
          <w:rtl/>
        </w:rPr>
        <w:footnoteReference w:id="105"/>
      </w:r>
      <w:r w:rsidRPr="00351B7D">
        <w:rPr>
          <w:rFonts w:asciiTheme="minorBidi" w:hAnsiTheme="minorBidi"/>
          <w:rtl/>
        </w:rPr>
        <w:t>,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אם הבינה דבריו</w:t>
      </w:r>
      <w:r w:rsidRPr="00351B7D">
        <w:rPr>
          <w:rStyle w:val="a7"/>
          <w:rFonts w:asciiTheme="minorBidi" w:hAnsiTheme="minorBidi"/>
          <w:color w:val="000000"/>
          <w:sz w:val="18"/>
          <w:szCs w:val="18"/>
          <w:rtl/>
        </w:rPr>
        <w:footnoteReference w:id="106"/>
      </w:r>
      <w:r w:rsidRPr="00351B7D">
        <w:rPr>
          <w:rFonts w:asciiTheme="minorBidi" w:hAnsiTheme="minorBidi"/>
          <w:color w:val="000000"/>
          <w:sz w:val="18"/>
          <w:szCs w:val="18"/>
          <w:rtl/>
        </w:rPr>
        <w:t xml:space="preserve"> או שדברו תחלה מעסקי קידושין (הר"ן והמ"מ). אבל האיש אינו נאמן לומר שלא כוון לשם קדושין</w:t>
      </w:r>
      <w:r w:rsidRPr="00351B7D">
        <w:rPr>
          <w:rStyle w:val="a7"/>
          <w:rFonts w:asciiTheme="minorBidi" w:hAnsiTheme="minorBidi"/>
          <w:color w:val="000000"/>
          <w:sz w:val="18"/>
          <w:szCs w:val="18"/>
          <w:rtl/>
        </w:rPr>
        <w:footnoteReference w:id="107"/>
      </w:r>
      <w:r w:rsidRPr="00351B7D">
        <w:rPr>
          <w:rFonts w:asciiTheme="minorBidi" w:hAnsiTheme="minorBidi"/>
          <w:color w:val="000000"/>
          <w:sz w:val="18"/>
          <w:szCs w:val="18"/>
          <w:rtl/>
        </w:rPr>
        <w:t xml:space="preserve"> (ב"י בשם הרא"ש). </w:t>
      </w:r>
    </w:p>
    <w:p w14:paraId="6833BDC8" w14:textId="77777777" w:rsidR="008E16D0" w:rsidRPr="00351B7D" w:rsidRDefault="008E16D0" w:rsidP="008E16D0">
      <w:pPr>
        <w:rPr>
          <w:rFonts w:asciiTheme="minorBidi" w:hAnsiTheme="minorBidi"/>
          <w:color w:val="000000"/>
          <w:rtl/>
        </w:rPr>
      </w:pPr>
    </w:p>
    <w:p w14:paraId="240482C4" w14:textId="77777777" w:rsidR="008E16D0" w:rsidRPr="00351B7D" w:rsidRDefault="008E16D0" w:rsidP="008E16D0">
      <w:pPr>
        <w:pStyle w:val="2"/>
        <w:rPr>
          <w:rFonts w:asciiTheme="minorBidi" w:hAnsiTheme="minorBidi"/>
          <w:rtl/>
        </w:rPr>
      </w:pPr>
      <w:r w:rsidRPr="00351B7D">
        <w:rPr>
          <w:rFonts w:asciiTheme="minorBidi" w:hAnsiTheme="minorBidi"/>
          <w:rtl/>
        </w:rPr>
        <w:t>סעיף ג: לשון ספק בקידושי כסף.</w:t>
      </w:r>
    </w:p>
    <w:p w14:paraId="5C195C43"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ו ע"א: </w:t>
      </w:r>
      <w:r w:rsidRPr="00351B7D">
        <w:rPr>
          <w:rFonts w:asciiTheme="minorBidi" w:hAnsiTheme="minorBidi"/>
          <w:rtl/>
        </w:rPr>
        <w:t>איבעיא להו: מיוחדת</w:t>
      </w:r>
      <w:r w:rsidRPr="00351B7D">
        <w:rPr>
          <w:rStyle w:val="a7"/>
          <w:rFonts w:asciiTheme="minorBidi" w:hAnsiTheme="minorBidi"/>
          <w:rtl/>
        </w:rPr>
        <w:footnoteReference w:id="108"/>
      </w:r>
      <w:r w:rsidRPr="00351B7D">
        <w:rPr>
          <w:rFonts w:asciiTheme="minorBidi" w:hAnsiTheme="minorBidi"/>
          <w:rtl/>
        </w:rPr>
        <w:t xml:space="preserve"> לי מהו, מיועדת</w:t>
      </w:r>
      <w:r w:rsidRPr="00351B7D">
        <w:rPr>
          <w:rStyle w:val="a7"/>
          <w:rFonts w:asciiTheme="minorBidi" w:hAnsiTheme="minorBidi"/>
          <w:rtl/>
        </w:rPr>
        <w:footnoteReference w:id="109"/>
      </w:r>
      <w:r w:rsidRPr="00351B7D">
        <w:rPr>
          <w:rFonts w:asciiTheme="minorBidi" w:hAnsiTheme="minorBidi"/>
          <w:rtl/>
        </w:rPr>
        <w:t xml:space="preserve"> לי מהו, עזרתי</w:t>
      </w:r>
      <w:r w:rsidRPr="00351B7D">
        <w:rPr>
          <w:rStyle w:val="a7"/>
          <w:rFonts w:asciiTheme="minorBidi" w:hAnsiTheme="minorBidi"/>
          <w:rtl/>
        </w:rPr>
        <w:footnoteReference w:id="110"/>
      </w:r>
      <w:r w:rsidRPr="00351B7D">
        <w:rPr>
          <w:rFonts w:asciiTheme="minorBidi" w:hAnsiTheme="minorBidi"/>
          <w:rtl/>
        </w:rPr>
        <w:t xml:space="preserve"> מהו, נגדתי מהו, עצורתי</w:t>
      </w:r>
      <w:r w:rsidRPr="00351B7D">
        <w:rPr>
          <w:rStyle w:val="a7"/>
          <w:rFonts w:asciiTheme="minorBidi" w:hAnsiTheme="minorBidi"/>
          <w:rtl/>
        </w:rPr>
        <w:footnoteReference w:id="111"/>
      </w:r>
      <w:r w:rsidRPr="00351B7D">
        <w:rPr>
          <w:rFonts w:asciiTheme="minorBidi" w:hAnsiTheme="minorBidi"/>
          <w:rtl/>
        </w:rPr>
        <w:t xml:space="preserve"> מהו, צלעתי מהו, סגורתי</w:t>
      </w:r>
      <w:r w:rsidRPr="00351B7D">
        <w:rPr>
          <w:rStyle w:val="a7"/>
          <w:rFonts w:asciiTheme="minorBidi" w:hAnsiTheme="minorBidi"/>
          <w:rtl/>
        </w:rPr>
        <w:footnoteReference w:id="112"/>
      </w:r>
      <w:r w:rsidRPr="00351B7D">
        <w:rPr>
          <w:rFonts w:asciiTheme="minorBidi" w:hAnsiTheme="minorBidi"/>
          <w:rtl/>
        </w:rPr>
        <w:t xml:space="preserve"> מהו, תחתי</w:t>
      </w:r>
      <w:r w:rsidRPr="00351B7D">
        <w:rPr>
          <w:rStyle w:val="a7"/>
          <w:rFonts w:asciiTheme="minorBidi" w:hAnsiTheme="minorBidi"/>
          <w:rtl/>
        </w:rPr>
        <w:footnoteReference w:id="113"/>
      </w:r>
      <w:r w:rsidRPr="00351B7D">
        <w:rPr>
          <w:rFonts w:asciiTheme="minorBidi" w:hAnsiTheme="minorBidi"/>
          <w:rtl/>
        </w:rPr>
        <w:t xml:space="preserve"> מהו, תפושתי מהו, לקוחתי מהו? פשוט מיהא חדא, דתניא: האומר לקוחתי- הרי זו מקודשת, משום שנאמר: כי יקח איש אשה</w:t>
      </w:r>
      <w:r w:rsidRPr="00351B7D">
        <w:rPr>
          <w:rStyle w:val="a7"/>
          <w:rFonts w:asciiTheme="minorBidi" w:hAnsiTheme="minorBidi"/>
          <w:rtl/>
        </w:rPr>
        <w:footnoteReference w:id="114"/>
      </w:r>
      <w:r w:rsidRPr="00351B7D">
        <w:rPr>
          <w:rFonts w:asciiTheme="minorBidi" w:hAnsiTheme="minorBidi"/>
          <w:rtl/>
        </w:rPr>
        <w:t>. איבעיא להו: חרופתי מהו? ת"ש דתניא: האומר חרופתי- מקודשת, שכן ביהודה קורין לארוסה חרופה. ויהודה הויא רובא דעלמא? ה"ק: האומר חרופתי מקודשת, שנאמר: והיא שפחה נחרפת לאיש, ועוד ביהודה קורין לארוסה חרופה. ויהודה ועוד לקרא</w:t>
      </w:r>
      <w:r w:rsidRPr="00351B7D">
        <w:rPr>
          <w:rStyle w:val="a7"/>
          <w:rFonts w:asciiTheme="minorBidi" w:hAnsiTheme="minorBidi"/>
          <w:rtl/>
        </w:rPr>
        <w:footnoteReference w:id="115"/>
      </w:r>
      <w:r w:rsidRPr="00351B7D">
        <w:rPr>
          <w:rFonts w:asciiTheme="minorBidi" w:hAnsiTheme="minorBidi"/>
          <w:rtl/>
        </w:rPr>
        <w:t>? אלא ה"ק: האומר חרופה ביהודה מקודשת שכן ביהודה קורין לארוסה חרופה</w:t>
      </w:r>
      <w:r w:rsidRPr="00351B7D">
        <w:rPr>
          <w:rStyle w:val="a7"/>
          <w:rFonts w:asciiTheme="minorBidi" w:hAnsiTheme="minorBidi"/>
          <w:rtl/>
        </w:rPr>
        <w:footnoteReference w:id="116"/>
      </w:r>
      <w:r w:rsidRPr="00351B7D">
        <w:rPr>
          <w:rFonts w:asciiTheme="minorBidi" w:hAnsiTheme="minorBidi"/>
          <w:rtl/>
        </w:rPr>
        <w:t>. במאי עסקינן</w:t>
      </w:r>
      <w:r w:rsidRPr="00351B7D">
        <w:rPr>
          <w:rStyle w:val="a7"/>
          <w:rFonts w:asciiTheme="minorBidi" w:hAnsiTheme="minorBidi"/>
          <w:rtl/>
        </w:rPr>
        <w:footnoteReference w:id="117"/>
      </w:r>
      <w:r w:rsidRPr="00351B7D">
        <w:rPr>
          <w:rFonts w:asciiTheme="minorBidi" w:hAnsiTheme="minorBidi"/>
          <w:rtl/>
        </w:rPr>
        <w:t>? אילימא בשאין מדבר עמה על עסקי גיטה וקידושיה</w:t>
      </w:r>
      <w:r w:rsidRPr="00351B7D">
        <w:rPr>
          <w:rStyle w:val="a7"/>
          <w:rFonts w:asciiTheme="minorBidi" w:hAnsiTheme="minorBidi"/>
          <w:rtl/>
        </w:rPr>
        <w:footnoteReference w:id="118"/>
      </w:r>
      <w:r w:rsidRPr="00351B7D">
        <w:rPr>
          <w:rFonts w:asciiTheme="minorBidi" w:hAnsiTheme="minorBidi"/>
          <w:rtl/>
        </w:rPr>
        <w:t>, מנא ידעה מאי קאמר לה</w:t>
      </w:r>
      <w:r w:rsidRPr="00351B7D">
        <w:rPr>
          <w:rStyle w:val="a7"/>
          <w:rFonts w:asciiTheme="minorBidi" w:hAnsiTheme="minorBidi"/>
          <w:rtl/>
        </w:rPr>
        <w:footnoteReference w:id="119"/>
      </w:r>
      <w:r w:rsidRPr="00351B7D">
        <w:rPr>
          <w:rFonts w:asciiTheme="minorBidi" w:hAnsiTheme="minorBidi"/>
          <w:rtl/>
        </w:rPr>
        <w:t>? ואלא במדבר</w:t>
      </w:r>
      <w:r w:rsidRPr="00351B7D">
        <w:rPr>
          <w:rStyle w:val="a7"/>
          <w:rFonts w:asciiTheme="minorBidi" w:hAnsiTheme="minorBidi"/>
          <w:rtl/>
        </w:rPr>
        <w:footnoteReference w:id="120"/>
      </w:r>
      <w:r w:rsidRPr="00351B7D">
        <w:rPr>
          <w:rFonts w:asciiTheme="minorBidi" w:hAnsiTheme="minorBidi"/>
          <w:rtl/>
        </w:rPr>
        <w:t xml:space="preserve"> עמה על עסקי גיטה וקידושיה. אף על גב דלא אמר לה נמי! דתנן: היה מדבר עם אשה על עסקי גיטה וקידושיה, ונתן לה גיטה וקידושיה ולא פירש, </w:t>
      </w:r>
      <w:r w:rsidRPr="00351B7D">
        <w:rPr>
          <w:rFonts w:asciiTheme="minorBidi" w:hAnsiTheme="minorBidi"/>
          <w:u w:val="single"/>
          <w:rtl/>
        </w:rPr>
        <w:t>ר' יוסי אומר</w:t>
      </w:r>
      <w:r w:rsidRPr="00351B7D">
        <w:rPr>
          <w:rFonts w:asciiTheme="minorBidi" w:hAnsiTheme="minorBidi"/>
          <w:rtl/>
        </w:rPr>
        <w:t xml:space="preserve">: דיו, </w:t>
      </w:r>
      <w:r w:rsidRPr="00351B7D">
        <w:rPr>
          <w:rFonts w:asciiTheme="minorBidi" w:hAnsiTheme="minorBidi"/>
          <w:u w:val="single"/>
          <w:rtl/>
        </w:rPr>
        <w:t>ר' יהודה אומר</w:t>
      </w:r>
      <w:r w:rsidRPr="00351B7D">
        <w:rPr>
          <w:rFonts w:asciiTheme="minorBidi" w:hAnsiTheme="minorBidi"/>
          <w:rtl/>
        </w:rPr>
        <w:t xml:space="preserve">: צריך לפרש, </w:t>
      </w:r>
      <w:r w:rsidRPr="00351B7D">
        <w:rPr>
          <w:rFonts w:asciiTheme="minorBidi" w:hAnsiTheme="minorBidi"/>
          <w:u w:val="single"/>
          <w:rtl/>
        </w:rPr>
        <w:t>ואמר רב הונא אמר שמואל:</w:t>
      </w:r>
      <w:r w:rsidRPr="00351B7D">
        <w:rPr>
          <w:rFonts w:asciiTheme="minorBidi" w:hAnsiTheme="minorBidi"/>
          <w:rtl/>
        </w:rPr>
        <w:t xml:space="preserve"> הלכה כר' יוסי! אמרי: לעולם במדבר עמה על עסקי גיטה וקידושיה ואי דיהיב לה ושתיק ה"נ</w:t>
      </w:r>
      <w:r w:rsidRPr="00351B7D">
        <w:rPr>
          <w:rStyle w:val="a7"/>
          <w:rFonts w:asciiTheme="minorBidi" w:hAnsiTheme="minorBidi"/>
          <w:rtl/>
        </w:rPr>
        <w:footnoteReference w:id="121"/>
      </w:r>
      <w:r w:rsidRPr="00351B7D">
        <w:rPr>
          <w:rFonts w:asciiTheme="minorBidi" w:hAnsiTheme="minorBidi"/>
          <w:rtl/>
        </w:rPr>
        <w:t xml:space="preserve">, הב"ע- דיהב לה ואמר לה בהני לישני והכי קא מיבעי ליה: הני לישני לקידושי קאמר לה, או דילמא למלאכה קאמר לה? תיקו. </w:t>
      </w:r>
    </w:p>
    <w:p w14:paraId="53F565FB"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 לה</w:t>
      </w:r>
      <w:r w:rsidRPr="00351B7D">
        <w:rPr>
          <w:rFonts w:asciiTheme="minorBidi" w:hAnsiTheme="minorBidi"/>
          <w:sz w:val="16"/>
          <w:szCs w:val="16"/>
          <w:u w:val="single"/>
          <w:rtl/>
        </w:rPr>
        <w:t xml:space="preserve"> (לשון ספק)</w:t>
      </w:r>
      <w:r w:rsidRPr="00351B7D">
        <w:rPr>
          <w:rFonts w:asciiTheme="minorBidi" w:hAnsiTheme="minorBidi"/>
          <w:u w:val="single"/>
          <w:rtl/>
        </w:rPr>
        <w:t>: הרי את מיוחדת לי/מיועדת לי/עזרתי/נגדתי/עצורתי/צלעתי/סגורתי/תחתי/תפושתי</w:t>
      </w:r>
      <w:r w:rsidRPr="00351B7D">
        <w:rPr>
          <w:rStyle w:val="a7"/>
          <w:rFonts w:asciiTheme="minorBidi" w:hAnsiTheme="minorBidi"/>
          <w:u w:val="single"/>
          <w:rtl/>
        </w:rPr>
        <w:footnoteReference w:id="122"/>
      </w:r>
      <w:r w:rsidRPr="00351B7D">
        <w:rPr>
          <w:rFonts w:asciiTheme="minorBidi" w:hAnsiTheme="minorBidi"/>
          <w:u w:val="single"/>
          <w:rtl/>
        </w:rPr>
        <w:t>:</w:t>
      </w:r>
    </w:p>
    <w:p w14:paraId="085640C1"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בהעי"ט רמב"ם רא"ש ורי"ו</w:t>
      </w:r>
      <w:r w:rsidRPr="00351B7D">
        <w:rPr>
          <w:rStyle w:val="a7"/>
          <w:rFonts w:asciiTheme="minorBidi" w:hAnsiTheme="minorBidi"/>
          <w:rtl/>
        </w:rPr>
        <w:footnoteReference w:id="123"/>
      </w:r>
      <w:r w:rsidRPr="00351B7D">
        <w:rPr>
          <w:rFonts w:asciiTheme="minorBidi" w:hAnsiTheme="minorBidi"/>
          <w:rtl/>
        </w:rPr>
        <w:t xml:space="preserve">- "הרי זו מקודשת בספק, והוא שיהיה מדבר עמה תחלה על עסקי קידושין, אבל אם אינו מדבר עמה תחלה על עסקי קידושין אין חוששין למלות אלו </w:t>
      </w:r>
      <w:r w:rsidRPr="00351B7D">
        <w:rPr>
          <w:rFonts w:asciiTheme="minorBidi" w:hAnsiTheme="minorBidi"/>
          <w:sz w:val="14"/>
          <w:szCs w:val="14"/>
          <w:rtl/>
        </w:rPr>
        <w:t>(ל' הרמב"ם)</w:t>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(וכ"פ מהרי"ט </w:t>
      </w:r>
      <w:r w:rsidRPr="00351B7D">
        <w:rPr>
          <w:rFonts w:asciiTheme="minorBidi" w:hAnsiTheme="minorBidi"/>
          <w:sz w:val="16"/>
          <w:szCs w:val="16"/>
          <w:rtl/>
        </w:rPr>
        <w:t xml:space="preserve">[ב. מדפה"ר ד"ה איבעיא] </w:t>
      </w:r>
      <w:r w:rsidRPr="00351B7D">
        <w:rPr>
          <w:rFonts w:asciiTheme="minorBidi" w:hAnsiTheme="minorBidi"/>
          <w:rtl/>
        </w:rPr>
        <w:t xml:space="preserve">וב"ש </w:t>
      </w:r>
      <w:r w:rsidRPr="00351B7D">
        <w:rPr>
          <w:rFonts w:asciiTheme="minorBidi" w:hAnsiTheme="minorBidi"/>
          <w:sz w:val="16"/>
          <w:szCs w:val="16"/>
          <w:rtl/>
        </w:rPr>
        <w:t>[סקי"א]</w:t>
      </w:r>
      <w:r w:rsidRPr="00351B7D">
        <w:rPr>
          <w:rFonts w:asciiTheme="minorBidi" w:hAnsiTheme="minorBidi"/>
          <w:rtl/>
        </w:rPr>
        <w:t xml:space="preserve">) </w:t>
      </w:r>
    </w:p>
    <w:p w14:paraId="6FFED52C" w14:textId="77777777" w:rsidR="008E16D0" w:rsidRPr="00351B7D" w:rsidRDefault="008E16D0" w:rsidP="00A8697F">
      <w:pPr>
        <w:pStyle w:val="ab"/>
        <w:numPr>
          <w:ilvl w:val="0"/>
          <w:numId w:val="9"/>
        </w:numPr>
        <w:rPr>
          <w:rFonts w:asciiTheme="minorBidi" w:hAnsiTheme="minorBidi"/>
          <w:rtl/>
        </w:rPr>
      </w:pPr>
      <w:r w:rsidRPr="00351B7D">
        <w:rPr>
          <w:rFonts w:asciiTheme="minorBidi" w:hAnsiTheme="minorBidi"/>
          <w:rtl/>
        </w:rPr>
        <w:lastRenderedPageBreak/>
        <w:t>ראב"ד רשב"א</w:t>
      </w:r>
      <w:r w:rsidRPr="00351B7D">
        <w:rPr>
          <w:rStyle w:val="a7"/>
          <w:rFonts w:asciiTheme="minorBidi" w:hAnsiTheme="minorBidi"/>
          <w:rtl/>
        </w:rPr>
        <w:footnoteReference w:id="124"/>
      </w:r>
      <w:r w:rsidRPr="00351B7D">
        <w:rPr>
          <w:rFonts w:asciiTheme="minorBidi" w:hAnsiTheme="minorBidi"/>
          <w:rtl/>
        </w:rPr>
        <w:t xml:space="preserve"> </w:t>
      </w:r>
      <w:r w:rsidRPr="00351B7D">
        <w:rPr>
          <w:rFonts w:asciiTheme="minorBidi" w:hAnsiTheme="minorBidi"/>
          <w:rtl/>
        </w:rPr>
        <mc:AlternateContent>
          <mc:Choice Requires="wps">
            <w:drawing>
              <wp:anchor distT="0" distB="0" distL="114300" distR="114300" simplePos="0" relativeHeight="251662336" behindDoc="0" locked="0" layoutInCell="1" allowOverlap="1" wp14:anchorId="432D4768" wp14:editId="3B1937EC">
                <wp:simplePos x="0" y="0"/>
                <wp:positionH relativeFrom="column">
                  <wp:posOffset>4730115</wp:posOffset>
                </wp:positionH>
                <wp:positionV relativeFrom="paragraph">
                  <wp:posOffset>584085</wp:posOffset>
                </wp:positionV>
                <wp:extent cx="45085" cy="88900"/>
                <wp:effectExtent l="19050" t="0" r="31115" b="44450"/>
                <wp:wrapNone/>
                <wp:docPr id="5" name="Down Arrow 5"/>
                <wp:cNvGraphicFramePr/>
                <a:graphic xmlns:a="http://schemas.openxmlformats.org/drawingml/2006/main">
                  <a:graphicData uri="http://schemas.microsoft.com/office/word/2010/wordprocessingShape">
                    <wps:wsp>
                      <wps:cNvSpPr/>
                      <wps:spPr>
                        <a:xfrm>
                          <a:off x="0" y="0"/>
                          <a:ext cx="45085" cy="88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A7DAD5" id="Down Arrow 5" o:spid="_x0000_s1026" type="#_x0000_t67" style="position:absolute;left:0;text-align:left;margin-left:372.45pt;margin-top:46pt;width:3.55pt;height: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" adj="16123" fillcolor="black [3200]" strokecolor="black [1600]" strokeweight="2pt"/>
            </w:pict>
          </mc:Fallback>
        </mc:AlternateContent>
      </w:r>
      <w:r w:rsidRPr="00351B7D">
        <w:rPr>
          <w:rFonts w:asciiTheme="minorBidi" w:hAnsiTheme="minorBidi"/>
          <w:rtl/>
        </w:rPr>
        <w:t>מהר"ם ור"ן</w:t>
      </w:r>
      <w:r w:rsidRPr="00351B7D">
        <w:rPr>
          <w:rStyle w:val="a7"/>
          <w:rFonts w:asciiTheme="minorBidi" w:hAnsiTheme="minorBidi"/>
          <w:rtl/>
        </w:rPr>
        <w:footnoteReference w:id="125"/>
      </w:r>
      <w:r w:rsidRPr="00351B7D">
        <w:rPr>
          <w:rFonts w:asciiTheme="minorBidi" w:hAnsiTheme="minorBidi"/>
          <w:rtl/>
        </w:rPr>
        <w:t xml:space="preserve">- "כל שלא היה מדבר עמה על עסקי גיטה וקידושיה ליכא למיחש לה כלל </w:t>
      </w:r>
      <w:r w:rsidRPr="00351B7D">
        <w:rPr>
          <w:rFonts w:asciiTheme="minorBidi" w:hAnsiTheme="minorBidi"/>
          <w:sz w:val="16"/>
          <w:szCs w:val="16"/>
          <w:rtl/>
        </w:rPr>
        <w:t>(דהא לא ידעה מאי קאמר לה)</w:t>
      </w:r>
      <w:r w:rsidRPr="00351B7D">
        <w:rPr>
          <w:rFonts w:asciiTheme="minorBidi" w:hAnsiTheme="minorBidi"/>
          <w:rtl/>
        </w:rPr>
        <w:t xml:space="preserve">, ואם היה מדבר עמה על עסקי גיטה וקידושיה </w:t>
      </w:r>
      <w:r w:rsidRPr="00351B7D">
        <w:rPr>
          <w:rFonts w:asciiTheme="minorBidi" w:hAnsiTheme="minorBidi"/>
          <w:u w:val="single"/>
          <w:rtl/>
        </w:rPr>
        <w:t>א"נ אמרה דידעה ולשם קידושין קבלתינהו</w:t>
      </w:r>
      <w:r w:rsidRPr="00351B7D">
        <w:rPr>
          <w:rStyle w:val="a7"/>
          <w:rFonts w:asciiTheme="minorBidi" w:hAnsiTheme="minorBidi"/>
          <w:rtl/>
        </w:rPr>
        <w:footnoteReference w:id="126"/>
      </w:r>
      <w:r w:rsidRPr="00351B7D">
        <w:rPr>
          <w:rFonts w:asciiTheme="minorBidi" w:hAnsiTheme="minorBidi"/>
          <w:rtl/>
        </w:rPr>
        <w:t xml:space="preserve"> ספיקא הוי</w:t>
      </w:r>
      <w:r w:rsidRPr="00351B7D">
        <w:rPr>
          <w:rStyle w:val="a7"/>
          <w:rFonts w:asciiTheme="minorBidi" w:hAnsiTheme="minorBidi"/>
          <w:rtl/>
        </w:rPr>
        <w:footnoteReference w:id="127"/>
      </w:r>
      <w:r w:rsidRPr="00351B7D">
        <w:rPr>
          <w:rFonts w:asciiTheme="minorBidi" w:hAnsiTheme="minorBidi"/>
          <w:rtl/>
        </w:rPr>
        <w:t xml:space="preserve">". </w:t>
      </w:r>
      <w:r w:rsidRPr="00351B7D">
        <w:rPr>
          <w:rFonts w:asciiTheme="minorBidi" w:hAnsiTheme="minorBidi"/>
          <w:color w:val="00B0F0"/>
          <w:rtl/>
        </w:rPr>
        <w:t>(וכ"כ הרמ"א)</w:t>
      </w:r>
      <w:r w:rsidRPr="00351B7D">
        <w:rPr>
          <w:rFonts w:asciiTheme="minorBidi" w:hAnsiTheme="minorBidi"/>
          <w:rtl/>
        </w:rPr>
        <w:t xml:space="preserve"> (וכ"כ ח"מ</w:t>
      </w:r>
      <w:r w:rsidRPr="00351B7D">
        <w:rPr>
          <w:rFonts w:asciiTheme="minorBidi" w:hAnsiTheme="minorBidi"/>
          <w:sz w:val="16"/>
          <w:szCs w:val="16"/>
          <w:rtl/>
        </w:rPr>
        <w:t xml:space="preserve"> [סק"ז]</w:t>
      </w:r>
      <w:r w:rsidRPr="00351B7D">
        <w:rPr>
          <w:rFonts w:asciiTheme="minorBidi" w:hAnsiTheme="minorBidi"/>
          <w:rtl/>
        </w:rPr>
        <w:t xml:space="preserve"> בית הלל באה"ט </w:t>
      </w:r>
      <w:r w:rsidRPr="00351B7D">
        <w:rPr>
          <w:rFonts w:asciiTheme="minorBidi" w:hAnsiTheme="minorBidi"/>
          <w:sz w:val="16"/>
          <w:szCs w:val="16"/>
          <w:rtl/>
        </w:rPr>
        <w:t xml:space="preserve">[סקי"א] </w:t>
      </w:r>
      <w:r w:rsidRPr="00351B7D">
        <w:rPr>
          <w:rFonts w:asciiTheme="minorBidi" w:hAnsiTheme="minorBidi"/>
          <w:rtl/>
        </w:rPr>
        <w:t>וערך לחם</w:t>
      </w:r>
      <w:r w:rsidRPr="00351B7D">
        <w:rPr>
          <w:rStyle w:val="a7"/>
          <w:rFonts w:asciiTheme="minorBidi" w:hAnsiTheme="minorBidi"/>
          <w:rtl/>
        </w:rPr>
        <w:footnoteReference w:id="128"/>
      </w:r>
      <w:r w:rsidRPr="00351B7D">
        <w:rPr>
          <w:rFonts w:asciiTheme="minorBidi" w:hAnsiTheme="minorBidi"/>
          <w:rtl/>
        </w:rPr>
        <w:t xml:space="preserve">) </w:t>
      </w:r>
    </w:p>
    <w:p w14:paraId="1E44E782"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האם "חרופתי" הוא בכלל לשונות אלו </w:t>
      </w:r>
      <w:r w:rsidRPr="00351B7D">
        <w:rPr>
          <w:rFonts w:asciiTheme="minorBidi" w:hAnsiTheme="minorBidi"/>
          <w:sz w:val="16"/>
          <w:szCs w:val="16"/>
          <w:u w:val="dotted"/>
          <w:rtl/>
        </w:rPr>
        <w:t>(במקום שאין משמעותו לשון קדושין)</w:t>
      </w:r>
      <w:r w:rsidRPr="00351B7D">
        <w:rPr>
          <w:rFonts w:asciiTheme="minorBidi" w:hAnsiTheme="minorBidi"/>
          <w:u w:val="dotted"/>
          <w:rtl/>
        </w:rPr>
        <w:t>:</w:t>
      </w:r>
    </w:p>
    <w:p w14:paraId="547216B4" w14:textId="77777777" w:rsidR="008E16D0" w:rsidRPr="00351B7D" w:rsidRDefault="008E16D0" w:rsidP="00A8697F">
      <w:pPr>
        <w:pStyle w:val="ab"/>
        <w:numPr>
          <w:ilvl w:val="0"/>
          <w:numId w:val="7"/>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w:t>
      </w:r>
      <w:r w:rsidRPr="00351B7D">
        <w:rPr>
          <w:rFonts w:asciiTheme="minorBidi" w:hAnsiTheme="minorBidi"/>
          <w:rtl/>
        </w:rPr>
        <w:t>ורשב"א</w:t>
      </w:r>
      <w:r w:rsidRPr="00351B7D">
        <w:rPr>
          <w:rStyle w:val="a7"/>
          <w:rFonts w:asciiTheme="minorBidi" w:hAnsiTheme="minorBidi"/>
          <w:rtl/>
        </w:rPr>
        <w:footnoteReference w:id="129"/>
      </w:r>
      <w:r w:rsidRPr="00351B7D">
        <w:rPr>
          <w:rFonts w:asciiTheme="minorBidi" w:hAnsiTheme="minorBidi"/>
          <w:rtl/>
        </w:rPr>
        <w:t>- "אמר לה או כתב לה הרי את אשתי... הרי את חרופתי וכל כיוצא בזה, הרי זו מקודשת</w:t>
      </w:r>
      <w:r w:rsidRPr="00351B7D">
        <w:rPr>
          <w:rStyle w:val="a7"/>
          <w:rFonts w:asciiTheme="minorBidi" w:hAnsiTheme="minorBidi"/>
          <w:rtl/>
        </w:rPr>
        <w:footnoteReference w:id="130"/>
      </w:r>
      <w:r w:rsidRPr="00351B7D">
        <w:rPr>
          <w:rFonts w:asciiTheme="minorBidi" w:hAnsiTheme="minorBidi"/>
          <w:rtl/>
        </w:rPr>
        <w:t>".</w:t>
      </w:r>
    </w:p>
    <w:p w14:paraId="37DDE53C" w14:textId="77777777" w:rsidR="008E16D0" w:rsidRPr="00351B7D" w:rsidRDefault="008E16D0" w:rsidP="00A8697F">
      <w:pPr>
        <w:pStyle w:val="ab"/>
        <w:numPr>
          <w:ilvl w:val="0"/>
          <w:numId w:val="7"/>
        </w:numPr>
        <w:rPr>
          <w:rFonts w:asciiTheme="minorBidi" w:hAnsiTheme="minorBidi"/>
          <w:rtl/>
        </w:rPr>
      </w:pPr>
      <w:r w:rsidRPr="00351B7D">
        <w:rPr>
          <w:rFonts w:asciiTheme="minorBidi" w:hAnsiTheme="minorBidi"/>
          <w:rtl/>
        </w:rPr>
        <w:t>מהר"ם ור"ן</w:t>
      </w:r>
      <w:r w:rsidRPr="00351B7D">
        <w:rPr>
          <w:rStyle w:val="a7"/>
          <w:rFonts w:asciiTheme="minorBidi" w:hAnsiTheme="minorBidi"/>
          <w:rtl/>
        </w:rPr>
        <w:footnoteReference w:id="131"/>
      </w:r>
      <w:r w:rsidRPr="00351B7D">
        <w:rPr>
          <w:rFonts w:asciiTheme="minorBidi" w:hAnsiTheme="minorBidi"/>
          <w:rtl/>
        </w:rPr>
        <w:t>- חרופתי הויא ספק מקודשת</w:t>
      </w:r>
      <w:r w:rsidRPr="00351B7D">
        <w:rPr>
          <w:rStyle w:val="a7"/>
          <w:rFonts w:asciiTheme="minorBidi" w:hAnsiTheme="minorBidi"/>
          <w:rtl/>
        </w:rPr>
        <w:footnoteReference w:id="132"/>
      </w:r>
      <w:r w:rsidRPr="00351B7D">
        <w:rPr>
          <w:rFonts w:asciiTheme="minorBidi" w:hAnsiTheme="minorBidi"/>
          <w:sz w:val="16"/>
          <w:szCs w:val="16"/>
          <w:rtl/>
        </w:rPr>
        <w:t>(כשדיבר עמה קודם עע"ק א"נ אמרה דידעה וכו', כדלעיל)</w:t>
      </w:r>
      <w:r w:rsidRPr="00351B7D">
        <w:rPr>
          <w:rFonts w:asciiTheme="minorBidi" w:hAnsiTheme="minorBidi"/>
          <w:rtl/>
        </w:rPr>
        <w:t xml:space="preserve">. </w:t>
      </w:r>
      <w:r w:rsidRPr="00351B7D">
        <w:rPr>
          <w:rFonts w:asciiTheme="minorBidi" w:hAnsiTheme="minorBidi"/>
          <w:color w:val="00B0F0"/>
          <w:rtl/>
        </w:rPr>
        <w:t>(וכ"פ הרמ"א)</w:t>
      </w:r>
    </w:p>
    <w:p w14:paraId="56B01393" w14:textId="77777777" w:rsidR="008E16D0" w:rsidRPr="00351B7D" w:rsidRDefault="008E16D0" w:rsidP="008E16D0">
      <w:pPr>
        <w:rPr>
          <w:rFonts w:asciiTheme="minorBidi" w:hAnsiTheme="minorBidi"/>
          <w:rtl/>
        </w:rPr>
      </w:pPr>
      <w:r w:rsidRPr="00351B7D">
        <w:rPr>
          <w:rFonts w:asciiTheme="minorBidi" w:hAnsiTheme="minorBidi"/>
          <w:u w:val="single"/>
          <w:rtl/>
        </w:rPr>
        <w:t>האומר "הרי את נשואתי":</w:t>
      </w:r>
    </w:p>
    <w:p w14:paraId="3BEBD401" w14:textId="77777777" w:rsidR="008E16D0" w:rsidRPr="00351B7D" w:rsidRDefault="008E16D0" w:rsidP="00A8697F">
      <w:pPr>
        <w:pStyle w:val="ab"/>
        <w:numPr>
          <w:ilvl w:val="0"/>
          <w:numId w:val="8"/>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60288" behindDoc="0" locked="0" layoutInCell="1" allowOverlap="1" wp14:anchorId="51833C17" wp14:editId="32A512A7">
                <wp:simplePos x="0" y="0"/>
                <wp:positionH relativeFrom="column">
                  <wp:posOffset>4732655</wp:posOffset>
                </wp:positionH>
                <wp:positionV relativeFrom="paragraph">
                  <wp:posOffset>403860</wp:posOffset>
                </wp:positionV>
                <wp:extent cx="45085" cy="88900"/>
                <wp:effectExtent l="19050" t="0" r="31115" b="44450"/>
                <wp:wrapNone/>
                <wp:docPr id="2" name="Down Arrow 2"/>
                <wp:cNvGraphicFramePr/>
                <a:graphic xmlns:a="http://schemas.openxmlformats.org/drawingml/2006/main">
                  <a:graphicData uri="http://schemas.microsoft.com/office/word/2010/wordprocessingShape">
                    <wps:wsp>
                      <wps:cNvSpPr/>
                      <wps:spPr>
                        <a:xfrm>
                          <a:off x="0" y="0"/>
                          <a:ext cx="45085" cy="88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7B218" id="Down Arrow 2" o:spid="_x0000_s1026" type="#_x0000_t67" style="position:absolute;left:0;text-align:left;margin-left:372.65pt;margin-top:31.8pt;width:3.55pt;height: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" adj="16123" fillcolor="black [3200]" strokecolor="black [1600]" strokeweight="2pt"/>
            </w:pict>
          </mc:Fallback>
        </mc:AlternateContent>
      </w:r>
      <w:r w:rsidRPr="00351B7D">
        <w:rPr>
          <w:rFonts w:asciiTheme="minorBidi" w:hAnsiTheme="minorBidi"/>
          <w:rtl/>
        </w:rPr>
        <w:t xml:space="preserve">רשב"א </w:t>
      </w:r>
      <w:r w:rsidRPr="00351B7D">
        <w:rPr>
          <w:rFonts w:asciiTheme="minorBidi" w:hAnsiTheme="minorBidi"/>
          <w:sz w:val="16"/>
          <w:szCs w:val="16"/>
          <w:rtl/>
        </w:rPr>
        <w:t>(בחדשות מכ"י סי' רט)</w:t>
      </w:r>
      <w:r w:rsidRPr="00351B7D">
        <w:rPr>
          <w:rFonts w:asciiTheme="minorBidi" w:hAnsiTheme="minorBidi"/>
          <w:rtl/>
        </w:rPr>
        <w:t>- "</w:t>
      </w:r>
      <w:r w:rsidRPr="00351B7D">
        <w:rPr>
          <w:rStyle w:val="a7"/>
          <w:rFonts w:asciiTheme="minorBidi" w:hAnsiTheme="minorBidi"/>
          <w:rtl/>
        </w:rPr>
        <w:footnoteReference w:id="133"/>
      </w:r>
      <w:r w:rsidRPr="00351B7D">
        <w:rPr>
          <w:rFonts w:asciiTheme="minorBidi" w:hAnsiTheme="minorBidi"/>
          <w:rtl/>
        </w:rPr>
        <w:t>ואין אשתי כנשואתי, שאלו האומר הרי את נשואתי לא שמענו שתהא מקודשת, דלא תקרא נשואה עד שתבעל או עד שתכנס לחופה"</w:t>
      </w:r>
      <w:r w:rsidRPr="00351B7D">
        <w:rPr>
          <w:rStyle w:val="a7"/>
          <w:rFonts w:asciiTheme="minorBidi" w:hAnsiTheme="minorBidi"/>
          <w:rtl/>
        </w:rPr>
        <w:footnoteReference w:id="134"/>
      </w:r>
      <w:r w:rsidRPr="00351B7D">
        <w:rPr>
          <w:rFonts w:asciiTheme="minorBidi" w:hAnsiTheme="minorBidi"/>
          <w:rtl/>
        </w:rPr>
        <w:t>.</w:t>
      </w:r>
    </w:p>
    <w:p w14:paraId="61310FE4"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נחלקו האחרונים מה דין האומר "הרי את נשואתי" לד' הרשב"א: </w:t>
      </w:r>
    </w:p>
    <w:p w14:paraId="323B7C64" w14:textId="77777777" w:rsidR="008E16D0" w:rsidRPr="00351B7D" w:rsidRDefault="008E16D0" w:rsidP="00A8697F">
      <w:pPr>
        <w:pStyle w:val="ab"/>
        <w:numPr>
          <w:ilvl w:val="0"/>
          <w:numId w:val="8"/>
        </w:numPr>
        <w:rPr>
          <w:rFonts w:asciiTheme="minorBidi" w:hAnsiTheme="minorBidi"/>
        </w:rPr>
      </w:pPr>
      <w:r w:rsidRPr="00351B7D">
        <w:rPr>
          <w:rFonts w:asciiTheme="minorBidi" w:hAnsiTheme="minorBidi"/>
          <w:rtl/>
        </w:rPr>
        <w:t>ב"י ומהרי"ט</w:t>
      </w:r>
      <w:r w:rsidRPr="00351B7D">
        <w:rPr>
          <w:rStyle w:val="a7"/>
          <w:rFonts w:asciiTheme="minorBidi" w:hAnsiTheme="minorBidi"/>
          <w:rtl/>
        </w:rPr>
        <w:footnoteReference w:id="135"/>
      </w:r>
      <w:r w:rsidRPr="00351B7D">
        <w:rPr>
          <w:rFonts w:asciiTheme="minorBidi" w:hAnsiTheme="minorBidi"/>
          <w:rtl/>
        </w:rPr>
        <w:t xml:space="preserve">- כשאר לשונות המסופקים </w:t>
      </w:r>
      <w:r w:rsidRPr="00351B7D">
        <w:rPr>
          <w:rFonts w:asciiTheme="minorBidi" w:hAnsiTheme="minorBidi"/>
          <w:sz w:val="16"/>
          <w:szCs w:val="16"/>
          <w:rtl/>
        </w:rPr>
        <w:t xml:space="preserve">(היינו דאם היה מדבר עמה עע"ק הוי </w:t>
      </w:r>
      <w:r w:rsidRPr="00351B7D">
        <w:rPr>
          <w:rFonts w:asciiTheme="minorBidi" w:hAnsiTheme="minorBidi"/>
          <w:sz w:val="16"/>
          <w:szCs w:val="16"/>
          <w:u w:val="single"/>
          <w:rtl/>
        </w:rPr>
        <w:t>ספק קדושין</w:t>
      </w:r>
      <w:r w:rsidRPr="00351B7D">
        <w:rPr>
          <w:rFonts w:asciiTheme="minorBidi" w:hAnsiTheme="minorBidi"/>
          <w:sz w:val="16"/>
          <w:szCs w:val="16"/>
          <w:rtl/>
        </w:rPr>
        <w:t>, הא לאו הכי לא הוי כלום</w:t>
      </w:r>
      <w:r w:rsidRPr="00351B7D">
        <w:rPr>
          <w:rStyle w:val="a7"/>
          <w:rFonts w:asciiTheme="minorBidi" w:hAnsiTheme="minorBidi"/>
          <w:rtl/>
        </w:rPr>
        <w:footnoteReference w:id="136"/>
      </w:r>
      <w:r w:rsidRPr="00351B7D">
        <w:rPr>
          <w:rFonts w:asciiTheme="minorBidi" w:hAnsiTheme="minorBidi"/>
          <w:sz w:val="16"/>
          <w:szCs w:val="16"/>
          <w:rtl/>
        </w:rPr>
        <w:t>)</w:t>
      </w:r>
      <w:r w:rsidRPr="00351B7D">
        <w:rPr>
          <w:rFonts w:asciiTheme="minorBidi" w:hAnsiTheme="minorBidi"/>
          <w:rtl/>
        </w:rPr>
        <w:t xml:space="preserve">. </w:t>
      </w:r>
    </w:p>
    <w:p w14:paraId="2F1FC4A6" w14:textId="77777777" w:rsidR="008E16D0" w:rsidRPr="00351B7D" w:rsidRDefault="008E16D0" w:rsidP="00A8697F">
      <w:pPr>
        <w:pStyle w:val="ab"/>
        <w:numPr>
          <w:ilvl w:val="0"/>
          <w:numId w:val="8"/>
        </w:numPr>
        <w:rPr>
          <w:rFonts w:asciiTheme="minorBidi" w:hAnsiTheme="minorBidi"/>
        </w:rPr>
      </w:pPr>
      <w:r w:rsidRPr="00351B7D">
        <w:rPr>
          <w:rFonts w:asciiTheme="minorBidi" w:hAnsiTheme="minorBidi"/>
          <w:rtl/>
        </w:rPr>
        <w:t>ח"מ ב"ש ובאה"ט</w:t>
      </w:r>
      <w:r w:rsidRPr="00351B7D">
        <w:rPr>
          <w:rStyle w:val="a7"/>
          <w:rFonts w:asciiTheme="minorBidi" w:hAnsiTheme="minorBidi"/>
          <w:rtl/>
        </w:rPr>
        <w:footnoteReference w:id="137"/>
      </w:r>
      <w:r w:rsidRPr="00351B7D">
        <w:rPr>
          <w:rFonts w:asciiTheme="minorBidi" w:hAnsiTheme="minorBidi"/>
          <w:rtl/>
        </w:rPr>
        <w:t xml:space="preserve">- כלישנא מעליא </w:t>
      </w:r>
      <w:r w:rsidRPr="00351B7D">
        <w:rPr>
          <w:rFonts w:asciiTheme="minorBidi" w:hAnsiTheme="minorBidi"/>
          <w:sz w:val="16"/>
          <w:szCs w:val="16"/>
          <w:rtl/>
        </w:rPr>
        <w:t xml:space="preserve">(דהיינו אם היה מדבר עמה עע"ק הוי </w:t>
      </w:r>
      <w:r w:rsidRPr="00351B7D">
        <w:rPr>
          <w:rFonts w:asciiTheme="minorBidi" w:hAnsiTheme="minorBidi"/>
          <w:sz w:val="16"/>
          <w:szCs w:val="16"/>
          <w:u w:val="single"/>
          <w:rtl/>
        </w:rPr>
        <w:t>קדושין</w:t>
      </w:r>
      <w:r w:rsidRPr="00351B7D">
        <w:rPr>
          <w:rFonts w:asciiTheme="minorBidi" w:hAnsiTheme="minorBidi"/>
          <w:sz w:val="16"/>
          <w:szCs w:val="16"/>
          <w:rtl/>
        </w:rPr>
        <w:t>, ואל"ה לא)</w:t>
      </w:r>
      <w:r w:rsidRPr="00351B7D">
        <w:rPr>
          <w:rFonts w:asciiTheme="minorBidi" w:hAnsiTheme="minorBidi"/>
          <w:rtl/>
        </w:rPr>
        <w:t xml:space="preserve">. </w:t>
      </w:r>
    </w:p>
    <w:p w14:paraId="70C7D03F" w14:textId="77777777" w:rsidR="008E16D0" w:rsidRPr="00351B7D" w:rsidRDefault="008E16D0" w:rsidP="00A8697F">
      <w:pPr>
        <w:pStyle w:val="ab"/>
        <w:numPr>
          <w:ilvl w:val="0"/>
          <w:numId w:val="8"/>
        </w:numPr>
        <w:rPr>
          <w:rFonts w:asciiTheme="minorBidi" w:hAnsiTheme="minorBidi"/>
        </w:rPr>
      </w:pPr>
      <w:r w:rsidRPr="00351B7D">
        <w:rPr>
          <w:rFonts w:asciiTheme="minorBidi" w:hAnsiTheme="minorBidi"/>
          <w:rtl/>
        </w:rPr>
        <w:t>רמ"א</w:t>
      </w:r>
      <w:r w:rsidRPr="00351B7D">
        <w:rPr>
          <w:rStyle w:val="a7"/>
          <w:rFonts w:asciiTheme="minorBidi" w:hAnsiTheme="minorBidi"/>
          <w:rtl/>
        </w:rPr>
        <w:footnoteReference w:id="138"/>
      </w:r>
      <w:r w:rsidRPr="00351B7D">
        <w:rPr>
          <w:rFonts w:asciiTheme="minorBidi" w:hAnsiTheme="minorBidi"/>
          <w:rtl/>
        </w:rPr>
        <w:t xml:space="preserve"> ונח"צ</w:t>
      </w:r>
      <w:r w:rsidRPr="00351B7D">
        <w:rPr>
          <w:rFonts w:asciiTheme="minorBidi" w:hAnsiTheme="minorBidi"/>
          <w:sz w:val="16"/>
          <w:szCs w:val="16"/>
          <w:rtl/>
        </w:rPr>
        <w:t xml:space="preserve"> (סק"ח)</w:t>
      </w:r>
      <w:r w:rsidRPr="00351B7D">
        <w:rPr>
          <w:rFonts w:asciiTheme="minorBidi" w:hAnsiTheme="minorBidi"/>
          <w:rtl/>
        </w:rPr>
        <w:t xml:space="preserve">- לשון זו גרע טפי מהלשונות המסופקים, לכן אפילו דיבר עמה עע"ק </w:t>
      </w:r>
      <w:r w:rsidRPr="00351B7D">
        <w:rPr>
          <w:rFonts w:asciiTheme="minorBidi" w:hAnsiTheme="minorBidi"/>
          <w:u w:val="single"/>
          <w:rtl/>
        </w:rPr>
        <w:t>לאו כלום הוא</w:t>
      </w:r>
      <w:r w:rsidRPr="00351B7D">
        <w:rPr>
          <w:rFonts w:asciiTheme="minorBidi" w:hAnsiTheme="minorBidi"/>
          <w:rtl/>
        </w:rPr>
        <w:t xml:space="preserve">.  </w:t>
      </w:r>
    </w:p>
    <w:p w14:paraId="3C8CE6B7"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נתן לה בשתיקה ולא דיבר עמה עע"ק, אך שניהם מודים שנתכוונו לשם קדושין:</w:t>
      </w:r>
      <w:r w:rsidRPr="00351B7D">
        <w:rPr>
          <w:rFonts w:asciiTheme="minorBidi" w:hAnsiTheme="minorBidi"/>
          <w:sz w:val="16"/>
          <w:szCs w:val="16"/>
          <w:rtl/>
        </w:rPr>
        <w:t xml:space="preserve"> </w:t>
      </w:r>
    </w:p>
    <w:p w14:paraId="047BCEA1"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lastRenderedPageBreak/>
        <w:t>(מהר"ם</w:t>
      </w:r>
      <w:r w:rsidRPr="00351B7D">
        <w:rPr>
          <w:rStyle w:val="a7"/>
          <w:rFonts w:asciiTheme="minorBidi" w:hAnsiTheme="minorBidi"/>
          <w:rtl/>
        </w:rPr>
        <w:footnoteReference w:id="139"/>
      </w:r>
      <w:r w:rsidRPr="00351B7D">
        <w:rPr>
          <w:rFonts w:asciiTheme="minorBidi" w:hAnsiTheme="minorBidi"/>
          <w:sz w:val="16"/>
          <w:szCs w:val="16"/>
          <w:rtl/>
        </w:rPr>
        <w:t xml:space="preserve"> להב' ט"ז</w:t>
      </w:r>
      <w:r w:rsidRPr="00351B7D">
        <w:rPr>
          <w:rFonts w:asciiTheme="minorBidi" w:hAnsiTheme="minorBidi"/>
          <w:sz w:val="14"/>
          <w:szCs w:val="14"/>
          <w:rtl/>
        </w:rPr>
        <w:t xml:space="preserve"> [סק"ו]</w:t>
      </w:r>
      <w:r w:rsidRPr="00351B7D">
        <w:rPr>
          <w:rFonts w:asciiTheme="minorBidi" w:hAnsiTheme="minorBidi"/>
          <w:sz w:val="16"/>
          <w:szCs w:val="16"/>
          <w:rtl/>
        </w:rPr>
        <w:t xml:space="preserve"> וח"מ </w:t>
      </w:r>
      <w:r w:rsidRPr="00351B7D">
        <w:rPr>
          <w:rFonts w:asciiTheme="minorBidi" w:hAnsiTheme="minorBidi"/>
          <w:sz w:val="14"/>
          <w:szCs w:val="14"/>
          <w:rtl/>
        </w:rPr>
        <w:t>[סק"ט]</w:t>
      </w:r>
      <w:r w:rsidRPr="00351B7D">
        <w:rPr>
          <w:rFonts w:asciiTheme="minorBidi" w:hAnsiTheme="minorBidi"/>
          <w:rtl/>
        </w:rPr>
        <w:t>)- צריכה גט מספק אע"פ שהם לבדם יודעים שנתרצו ולא העדים</w:t>
      </w:r>
      <w:r w:rsidRPr="00351B7D">
        <w:rPr>
          <w:rStyle w:val="a7"/>
          <w:rFonts w:asciiTheme="minorBidi" w:hAnsiTheme="minorBidi"/>
          <w:rtl/>
        </w:rPr>
        <w:footnoteReference w:id="140"/>
      </w:r>
      <w:r w:rsidRPr="00351B7D">
        <w:rPr>
          <w:rFonts w:asciiTheme="minorBidi" w:hAnsiTheme="minorBidi"/>
          <w:rtl/>
        </w:rPr>
        <w:t xml:space="preserve">, אבל אם נתן בשתיקה ולא אמר כלום מתחילה לא הוי קדושין כלל. (וכ"פ ט"ז ח"מ ב"ש </w:t>
      </w:r>
      <w:r w:rsidRPr="00351B7D">
        <w:rPr>
          <w:rFonts w:asciiTheme="minorBidi" w:hAnsiTheme="minorBidi"/>
          <w:sz w:val="16"/>
          <w:szCs w:val="16"/>
          <w:rtl/>
        </w:rPr>
        <w:t xml:space="preserve">[סקי"ב] </w:t>
      </w:r>
      <w:r w:rsidRPr="00351B7D">
        <w:rPr>
          <w:rFonts w:asciiTheme="minorBidi" w:hAnsiTheme="minorBidi"/>
          <w:rtl/>
        </w:rPr>
        <w:t>וגר"א</w:t>
      </w:r>
      <w:r w:rsidRPr="00351B7D">
        <w:rPr>
          <w:rFonts w:asciiTheme="minorBidi" w:hAnsiTheme="minorBidi"/>
          <w:sz w:val="16"/>
          <w:szCs w:val="16"/>
          <w:rtl/>
        </w:rPr>
        <w:t xml:space="preserve"> [סק"כ]</w:t>
      </w:r>
      <w:r w:rsidRPr="00351B7D">
        <w:rPr>
          <w:rFonts w:asciiTheme="minorBidi" w:hAnsiTheme="minorBidi"/>
          <w:rtl/>
        </w:rPr>
        <w:t xml:space="preserve">) </w:t>
      </w:r>
    </w:p>
    <w:p w14:paraId="1CB2A94B" w14:textId="77777777" w:rsidR="008E16D0" w:rsidRPr="00351B7D" w:rsidRDefault="008E16D0" w:rsidP="00A8697F">
      <w:pPr>
        <w:pStyle w:val="ab"/>
        <w:numPr>
          <w:ilvl w:val="0"/>
          <w:numId w:val="9"/>
        </w:numPr>
        <w:rPr>
          <w:rFonts w:asciiTheme="minorBidi" w:hAnsiTheme="minorBidi"/>
        </w:rPr>
      </w:pPr>
      <w:r w:rsidRPr="00351B7D">
        <w:rPr>
          <w:rFonts w:asciiTheme="minorBidi" w:hAnsiTheme="minorBidi"/>
          <w:rtl/>
        </w:rPr>
        <w:t>(מהר"ם</w:t>
      </w:r>
      <w:r w:rsidRPr="00351B7D">
        <w:rPr>
          <w:rFonts w:asciiTheme="minorBidi" w:hAnsiTheme="minorBidi"/>
          <w:sz w:val="16"/>
          <w:szCs w:val="16"/>
          <w:rtl/>
        </w:rPr>
        <w:t xml:space="preserve"> להב' הדרכ"מ </w:t>
      </w:r>
      <w:r w:rsidRPr="00351B7D">
        <w:rPr>
          <w:rFonts w:asciiTheme="minorBidi" w:hAnsiTheme="minorBidi"/>
          <w:sz w:val="14"/>
          <w:szCs w:val="14"/>
          <w:rtl/>
        </w:rPr>
        <w:t>[אות ג*]</w:t>
      </w:r>
      <w:r w:rsidRPr="00351B7D">
        <w:rPr>
          <w:rFonts w:asciiTheme="minorBidi" w:hAnsiTheme="minorBidi"/>
          <w:rtl/>
        </w:rPr>
        <w:t>)- "אפילו נתן לה בשתיקה ולא היה מדבר עמה תחלה כלום אפ"ה אם אמר הוא שבדעתו היה לשם קידושין וגם היא אומרת שקבלה לשם קידושין הוה מקודשת</w:t>
      </w:r>
      <w:r w:rsidRPr="00351B7D">
        <w:rPr>
          <w:rFonts w:asciiTheme="minorBidi" w:hAnsiTheme="minorBidi"/>
          <w:sz w:val="16"/>
          <w:szCs w:val="16"/>
          <w:rtl/>
        </w:rPr>
        <w:t xml:space="preserve"> (ל' הדרכ"מ)</w:t>
      </w:r>
      <w:r w:rsidRPr="00351B7D">
        <w:rPr>
          <w:rFonts w:asciiTheme="minorBidi" w:hAnsiTheme="minorBidi"/>
          <w:rtl/>
        </w:rPr>
        <w:t xml:space="preserve">". </w:t>
      </w:r>
      <w:r w:rsidRPr="00351B7D">
        <w:rPr>
          <w:rFonts w:asciiTheme="minorBidi" w:hAnsiTheme="minorBidi"/>
          <w:color w:val="00B0F0"/>
          <w:rtl/>
        </w:rPr>
        <w:t>(וכ"פ הרמ"א)</w:t>
      </w:r>
      <w:r w:rsidRPr="00351B7D">
        <w:rPr>
          <w:rFonts w:asciiTheme="minorBidi" w:hAnsiTheme="minorBidi"/>
          <w:rtl/>
        </w:rPr>
        <w:t xml:space="preserve"> </w:t>
      </w:r>
    </w:p>
    <w:p w14:paraId="0D155B92"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66A1CC" w14:textId="77777777" w:rsidR="008E16D0" w:rsidRPr="00351B7D" w:rsidRDefault="008E16D0" w:rsidP="008E16D0">
      <w:pPr>
        <w:rPr>
          <w:rFonts w:asciiTheme="minorBidi" w:hAnsiTheme="minorBidi"/>
          <w:rtl/>
        </w:rPr>
      </w:pPr>
      <w:r w:rsidRPr="00351B7D">
        <w:rPr>
          <w:rFonts w:asciiTheme="minorBidi" w:hAnsiTheme="minorBidi"/>
          <w:rtl/>
        </w:rPr>
        <w:t>אמר לה: הרי את מיועדת לי, מיוחדת לי, עזרתי, נגדי, צלעתי, סגורתי, תחתי, עצורתי, תפוסתי, הרי זו מקודשת בספק</w:t>
      </w:r>
      <w:r w:rsidRPr="00351B7D">
        <w:rPr>
          <w:rStyle w:val="a7"/>
          <w:rFonts w:asciiTheme="minorBidi" w:hAnsiTheme="minorBidi"/>
          <w:color w:val="000000"/>
          <w:rtl/>
        </w:rPr>
        <w:footnoteReference w:id="141"/>
      </w:r>
      <w:r w:rsidRPr="00351B7D">
        <w:rPr>
          <w:rFonts w:asciiTheme="minorBidi" w:hAnsiTheme="minorBidi"/>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וה"ה אם אמר: הרי את חרופתי. אבל אמר לה: הרי את נשואתי, י"א שאינו כלום</w:t>
      </w:r>
      <w:r w:rsidRPr="00351B7D">
        <w:rPr>
          <w:rStyle w:val="a7"/>
          <w:rFonts w:asciiTheme="minorBidi" w:hAnsiTheme="minorBidi"/>
          <w:color w:val="000000"/>
          <w:sz w:val="18"/>
          <w:szCs w:val="18"/>
          <w:rtl/>
        </w:rPr>
        <w:footnoteReference w:id="142"/>
      </w:r>
      <w:r w:rsidRPr="00351B7D">
        <w:rPr>
          <w:rFonts w:asciiTheme="minorBidi" w:hAnsiTheme="minorBidi"/>
          <w:color w:val="000000"/>
          <w:sz w:val="18"/>
          <w:szCs w:val="18"/>
          <w:rtl/>
        </w:rPr>
        <w:t>,</w:t>
      </w:r>
      <w:r w:rsidRPr="00351B7D">
        <w:rPr>
          <w:rFonts w:asciiTheme="minorBidi" w:hAnsiTheme="minorBidi"/>
          <w:rtl/>
        </w:rPr>
        <w:t xml:space="preserve"> והוא שיהיה מדבר עמה תחלה על עסקי קידושין</w:t>
      </w:r>
      <w:r w:rsidRPr="00351B7D">
        <w:rPr>
          <w:rStyle w:val="a7"/>
          <w:rFonts w:asciiTheme="minorBidi" w:hAnsiTheme="minorBidi"/>
          <w:color w:val="000000"/>
          <w:rtl/>
        </w:rPr>
        <w:footnoteReference w:id="143"/>
      </w:r>
      <w:r w:rsidRPr="00351B7D">
        <w:rPr>
          <w:rFonts w:asciiTheme="minorBidi" w:hAnsiTheme="minorBidi"/>
          <w:rtl/>
        </w:rPr>
        <w:t>, אבל אם אינו מדבר עמה תחלה על עסקי קדושין אין חוששין למלות אלו.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מי שאמר לאשה שנותן לה בשביל אהבה וחבה</w:t>
      </w:r>
      <w:r w:rsidRPr="00351B7D">
        <w:rPr>
          <w:rStyle w:val="a7"/>
          <w:rFonts w:asciiTheme="minorBidi" w:hAnsiTheme="minorBidi"/>
          <w:color w:val="000000"/>
          <w:sz w:val="18"/>
          <w:szCs w:val="18"/>
          <w:rtl/>
        </w:rPr>
        <w:footnoteReference w:id="144"/>
      </w:r>
      <w:r w:rsidRPr="00351B7D">
        <w:rPr>
          <w:rFonts w:asciiTheme="minorBidi" w:hAnsiTheme="minorBidi"/>
          <w:color w:val="000000"/>
          <w:sz w:val="18"/>
          <w:szCs w:val="18"/>
          <w:rtl/>
        </w:rPr>
        <w:t xml:space="preserve">, חוששין לקדושין, כי שמא אמר שנותן לה </w:t>
      </w:r>
      <w:r w:rsidRPr="00351B7D">
        <w:rPr>
          <w:rStyle w:val="a7"/>
          <w:rFonts w:asciiTheme="minorBidi" w:hAnsiTheme="minorBidi"/>
          <w:color w:val="000000"/>
          <w:sz w:val="18"/>
          <w:szCs w:val="18"/>
          <w:rtl/>
        </w:rPr>
        <w:footnoteReference w:id="145"/>
      </w:r>
      <w:r w:rsidRPr="00351B7D">
        <w:rPr>
          <w:rFonts w:asciiTheme="minorBidi" w:hAnsiTheme="minorBidi"/>
          <w:color w:val="000000"/>
          <w:sz w:val="18"/>
          <w:szCs w:val="18"/>
          <w:rtl/>
        </w:rPr>
        <w:t xml:space="preserve">שיהיה אהבה וחבה ביניהם והוי כאלו אמר לה: מיועדת לי או מיוחדת לי </w:t>
      </w:r>
      <w:r w:rsidRPr="00351B7D">
        <w:rPr>
          <w:rFonts w:asciiTheme="minorBidi" w:hAnsiTheme="minorBidi"/>
          <w:color w:val="000000"/>
          <w:sz w:val="16"/>
          <w:szCs w:val="16"/>
          <w:rtl/>
        </w:rPr>
        <w:t>(תשו' מיי' קידושין)</w:t>
      </w:r>
      <w:r w:rsidRPr="00351B7D">
        <w:rPr>
          <w:rFonts w:asciiTheme="minorBidi" w:hAnsiTheme="minorBidi"/>
          <w:color w:val="000000"/>
          <w:sz w:val="18"/>
          <w:szCs w:val="18"/>
          <w:rtl/>
        </w:rPr>
        <w:t xml:space="preserve">. יש אומרים דאע"ג דלשונות אלו לא מהני אם לא דבר עמה מעסקי קדושין מ"מ אם היא אומרת שקבלה לשם קדושין הוי ספק קדושין </w:t>
      </w:r>
      <w:r w:rsidRPr="00351B7D">
        <w:rPr>
          <w:rFonts w:asciiTheme="minorBidi" w:hAnsiTheme="minorBidi"/>
          <w:color w:val="000000"/>
          <w:sz w:val="16"/>
          <w:szCs w:val="16"/>
          <w:rtl/>
        </w:rPr>
        <w:t>(הר"ן)</w:t>
      </w:r>
      <w:r w:rsidRPr="00351B7D">
        <w:rPr>
          <w:rFonts w:asciiTheme="minorBidi" w:hAnsiTheme="minorBidi"/>
          <w:color w:val="000000"/>
          <w:sz w:val="18"/>
          <w:szCs w:val="18"/>
          <w:rtl/>
        </w:rPr>
        <w:t>. ואפילו נתן לה בשתיקה ולא דבר כלום והוא והיא אומרים שכוונו לשם קדושין הוי קדושין</w:t>
      </w:r>
      <w:r w:rsidRPr="00351B7D">
        <w:rPr>
          <w:rStyle w:val="a7"/>
          <w:rFonts w:asciiTheme="minorBidi" w:hAnsiTheme="minorBidi"/>
          <w:sz w:val="18"/>
          <w:szCs w:val="18"/>
          <w:rtl/>
        </w:rPr>
        <w:footnoteReference w:id="14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(מרדכי ותשובת מהר"ם)</w:t>
      </w:r>
      <w:r w:rsidRPr="00351B7D">
        <w:rPr>
          <w:rFonts w:asciiTheme="minorBidi" w:hAnsiTheme="minorBidi"/>
          <w:color w:val="000000"/>
          <w:sz w:val="18"/>
          <w:szCs w:val="18"/>
          <w:rtl/>
        </w:rPr>
        <w:t>. ובמקום דלא הוי קדושין אפילו אם חוזר אח"כ ואמר לה הרי את מקודשת לי, צריך ליטול הכסף ממנה וליתן לה בתורת קדושין</w:t>
      </w:r>
      <w:r w:rsidRPr="00351B7D">
        <w:rPr>
          <w:rStyle w:val="a7"/>
          <w:rFonts w:asciiTheme="minorBidi" w:hAnsiTheme="minorBidi"/>
          <w:color w:val="000000"/>
          <w:sz w:val="18"/>
          <w:szCs w:val="18"/>
          <w:rtl/>
        </w:rPr>
        <w:footnoteReference w:id="147"/>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(המ"מ בשם הרשב"א)</w:t>
      </w:r>
      <w:r w:rsidRPr="00351B7D">
        <w:rPr>
          <w:rFonts w:asciiTheme="minorBidi" w:hAnsiTheme="minorBidi"/>
          <w:color w:val="000000"/>
          <w:sz w:val="18"/>
          <w:szCs w:val="18"/>
          <w:rtl/>
        </w:rPr>
        <w:t xml:space="preserve">. </w:t>
      </w:r>
    </w:p>
    <w:p w14:paraId="0759B39A"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נתן לה בשתיקה, ותוך כדי דיבור אמר לה 'הרי את מקודשת לי':</w:t>
      </w:r>
      <w:r w:rsidRPr="00351B7D">
        <w:rPr>
          <w:rFonts w:asciiTheme="minorBidi" w:hAnsiTheme="minorBidi"/>
          <w:color w:val="000000"/>
          <w:sz w:val="16"/>
          <w:szCs w:val="16"/>
          <w:rtl/>
        </w:rPr>
        <w:t xml:space="preserve">  (פת"ש סקי"ב)</w:t>
      </w:r>
    </w:p>
    <w:p w14:paraId="174BE008" w14:textId="77777777" w:rsidR="008E16D0" w:rsidRPr="00351B7D" w:rsidRDefault="008E16D0" w:rsidP="00A8697F">
      <w:pPr>
        <w:pStyle w:val="ab"/>
        <w:numPr>
          <w:ilvl w:val="0"/>
          <w:numId w:val="6"/>
        </w:numPr>
        <w:rPr>
          <w:rFonts w:asciiTheme="minorBidi" w:hAnsiTheme="minorBidi"/>
          <w:rtl/>
        </w:rPr>
      </w:pPr>
      <w:r w:rsidRPr="00351B7D">
        <w:rPr>
          <w:rFonts w:asciiTheme="minorBidi" w:hAnsiTheme="minorBidi"/>
          <w:color w:val="000000"/>
          <w:rtl/>
        </w:rPr>
        <w:t>אבני מלואים</w:t>
      </w:r>
      <w:r w:rsidRPr="00351B7D">
        <w:rPr>
          <w:rFonts w:asciiTheme="minorBidi" w:hAnsiTheme="minorBidi"/>
          <w:color w:val="000000"/>
          <w:sz w:val="16"/>
          <w:szCs w:val="16"/>
          <w:rtl/>
        </w:rPr>
        <w:t xml:space="preserve"> (סק"ט) </w:t>
      </w:r>
      <w:r w:rsidRPr="00351B7D">
        <w:rPr>
          <w:rFonts w:asciiTheme="minorBidi" w:hAnsiTheme="minorBidi"/>
          <w:color w:val="000000"/>
          <w:rtl/>
        </w:rPr>
        <w:t xml:space="preserve">וטיב קידושין </w:t>
      </w:r>
      <w:r w:rsidRPr="00351B7D">
        <w:rPr>
          <w:rFonts w:asciiTheme="minorBidi" w:hAnsiTheme="minorBidi"/>
          <w:color w:val="000000"/>
          <w:sz w:val="16"/>
          <w:szCs w:val="16"/>
          <w:rtl/>
        </w:rPr>
        <w:t>(סקי"ח)</w:t>
      </w:r>
      <w:r w:rsidRPr="00351B7D">
        <w:rPr>
          <w:rFonts w:asciiTheme="minorBidi" w:hAnsiTheme="minorBidi"/>
          <w:rtl/>
        </w:rPr>
        <w:t>- "מקדש ומגרש... אפי' במשיכה וחזקה יכול לחזור תוך כדי דיבור".</w:t>
      </w:r>
    </w:p>
    <w:p w14:paraId="54DE5884" w14:textId="77777777" w:rsidR="008E16D0" w:rsidRPr="00351B7D" w:rsidRDefault="008E16D0" w:rsidP="00A8697F">
      <w:pPr>
        <w:pStyle w:val="ab"/>
        <w:numPr>
          <w:ilvl w:val="0"/>
          <w:numId w:val="6"/>
        </w:numPr>
        <w:rPr>
          <w:rFonts w:asciiTheme="minorBidi" w:hAnsiTheme="minorBidi"/>
        </w:rPr>
      </w:pPr>
      <w:r w:rsidRPr="00351B7D">
        <w:rPr>
          <w:rFonts w:asciiTheme="minorBidi" w:hAnsiTheme="minorBidi"/>
          <w:rtl/>
        </w:rPr>
        <w:t xml:space="preserve">מהרי"ט </w:t>
      </w:r>
      <w:r w:rsidRPr="00351B7D">
        <w:rPr>
          <w:rFonts w:asciiTheme="minorBidi" w:hAnsiTheme="minorBidi"/>
          <w:color w:val="000000"/>
          <w:sz w:val="16"/>
          <w:szCs w:val="16"/>
          <w:rtl/>
        </w:rPr>
        <w:t>(ח"ב סי' מג)</w:t>
      </w:r>
      <w:r w:rsidRPr="00351B7D">
        <w:rPr>
          <w:rFonts w:asciiTheme="minorBidi" w:hAnsiTheme="minorBidi"/>
          <w:rtl/>
        </w:rPr>
        <w:t xml:space="preserve"> והמקנה </w:t>
      </w:r>
      <w:r w:rsidRPr="00351B7D">
        <w:rPr>
          <w:rFonts w:asciiTheme="minorBidi" w:hAnsiTheme="minorBidi"/>
          <w:color w:val="000000"/>
          <w:sz w:val="16"/>
          <w:szCs w:val="16"/>
          <w:rtl/>
        </w:rPr>
        <w:t>(קו"א)</w:t>
      </w:r>
      <w:r w:rsidRPr="00351B7D">
        <w:rPr>
          <w:rFonts w:asciiTheme="minorBidi" w:hAnsiTheme="minorBidi"/>
          <w:rtl/>
        </w:rPr>
        <w:t>- לא הוי קדושין משום דלא אמרינן בזה תוך כדי דיבור כדיבור דמי, דלא מצינו בשום מקום במוכר או נותן לחבירו וקנה במשיכה או בקנין שיכול לחזור בו תכ"ד</w:t>
      </w:r>
      <w:r w:rsidRPr="00351B7D">
        <w:rPr>
          <w:rStyle w:val="a7"/>
          <w:rFonts w:asciiTheme="minorBidi" w:hAnsiTheme="minorBidi"/>
          <w:rtl/>
        </w:rPr>
        <w:footnoteReference w:id="148"/>
      </w:r>
      <w:r w:rsidRPr="00351B7D">
        <w:rPr>
          <w:rFonts w:asciiTheme="minorBidi" w:hAnsiTheme="minorBidi"/>
          <w:rtl/>
        </w:rPr>
        <w:t xml:space="preserve">. </w:t>
      </w:r>
    </w:p>
    <w:p w14:paraId="70F68FF9" w14:textId="77777777" w:rsidR="008E16D0" w:rsidRPr="00351B7D" w:rsidRDefault="008E16D0" w:rsidP="008E16D0">
      <w:pPr>
        <w:rPr>
          <w:rFonts w:asciiTheme="minorBidi" w:hAnsiTheme="minorBidi"/>
          <w:color w:val="000000"/>
          <w:rtl/>
        </w:rPr>
      </w:pPr>
    </w:p>
    <w:p w14:paraId="3DFE435C" w14:textId="77777777" w:rsidR="008E16D0" w:rsidRPr="00351B7D" w:rsidRDefault="008E16D0" w:rsidP="008E16D0">
      <w:pPr>
        <w:pStyle w:val="2"/>
        <w:rPr>
          <w:rFonts w:asciiTheme="minorBidi" w:hAnsiTheme="minorBidi"/>
          <w:rtl/>
        </w:rPr>
      </w:pPr>
      <w:r w:rsidRPr="00351B7D">
        <w:rPr>
          <w:rFonts w:asciiTheme="minorBidi" w:hAnsiTheme="minorBidi"/>
          <w:rtl/>
        </w:rPr>
        <w:t>סעיף ד: אמר 'הרי את מקודשת' ולא אמר 'לי'.</w:t>
      </w:r>
    </w:p>
    <w:p w14:paraId="5E6AFCA8"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u w:val="single"/>
          <w:rtl/>
        </w:rPr>
        <w:t>אמר שמואל</w:t>
      </w:r>
      <w:r w:rsidRPr="00351B7D">
        <w:rPr>
          <w:rFonts w:asciiTheme="minorBidi" w:hAnsiTheme="minorBidi"/>
          <w:rtl/>
        </w:rPr>
        <w:t>: בקידושין, נתן לה כסף ושוה כסף ואמר לה הרי את מקודשת</w:t>
      </w:r>
      <w:r w:rsidRPr="00351B7D">
        <w:rPr>
          <w:rStyle w:val="a7"/>
          <w:rFonts w:asciiTheme="minorBidi" w:hAnsiTheme="minorBidi"/>
          <w:rtl/>
        </w:rPr>
        <w:footnoteReference w:id="149"/>
      </w:r>
      <w:r w:rsidRPr="00351B7D">
        <w:rPr>
          <w:rFonts w:asciiTheme="minorBidi" w:hAnsiTheme="minorBidi"/>
          <w:rtl/>
        </w:rPr>
        <w:t xml:space="preserve">, הרי את מאורסת הרי את לאינתו- הרי זו מקודשת....  </w:t>
      </w:r>
      <w:r w:rsidRPr="00351B7D">
        <w:rPr>
          <w:rFonts w:asciiTheme="minorBidi" w:hAnsiTheme="minorBidi"/>
          <w:u w:val="single"/>
          <w:rtl/>
        </w:rPr>
        <w:t>אמר ליה רב פפא לאביי:</w:t>
      </w:r>
      <w:r w:rsidRPr="00351B7D">
        <w:rPr>
          <w:rFonts w:asciiTheme="minorBidi" w:hAnsiTheme="minorBidi"/>
          <w:rtl/>
        </w:rPr>
        <w:t xml:space="preserve"> למימרא דסבר שמואל ידים שאין מוכיחות</w:t>
      </w:r>
      <w:r w:rsidRPr="00351B7D">
        <w:rPr>
          <w:rStyle w:val="a7"/>
          <w:rFonts w:asciiTheme="minorBidi" w:hAnsiTheme="minorBidi"/>
          <w:rtl/>
        </w:rPr>
        <w:footnoteReference w:id="150"/>
      </w:r>
      <w:r w:rsidRPr="00351B7D">
        <w:rPr>
          <w:rFonts w:asciiTheme="minorBidi" w:hAnsiTheme="minorBidi"/>
          <w:rtl/>
        </w:rPr>
        <w:t xml:space="preserve"> הויין ידים</w:t>
      </w:r>
      <w:r w:rsidRPr="00351B7D">
        <w:rPr>
          <w:rStyle w:val="a7"/>
          <w:rFonts w:asciiTheme="minorBidi" w:hAnsiTheme="minorBidi"/>
          <w:rtl/>
        </w:rPr>
        <w:footnoteReference w:id="151"/>
      </w:r>
      <w:r w:rsidRPr="00351B7D">
        <w:rPr>
          <w:rFonts w:asciiTheme="minorBidi" w:hAnsiTheme="minorBidi"/>
          <w:rtl/>
        </w:rPr>
        <w:t xml:space="preserve">, </w:t>
      </w:r>
      <w:r w:rsidRPr="00351B7D">
        <w:rPr>
          <w:rFonts w:asciiTheme="minorBidi" w:hAnsiTheme="minorBidi"/>
          <w:rtl/>
        </w:rPr>
        <w:lastRenderedPageBreak/>
        <w:t>והתנן: האומר אהא</w:t>
      </w:r>
      <w:r w:rsidRPr="00351B7D">
        <w:rPr>
          <w:rStyle w:val="a7"/>
          <w:rFonts w:asciiTheme="minorBidi" w:hAnsiTheme="minorBidi"/>
          <w:rtl/>
        </w:rPr>
        <w:footnoteReference w:id="152"/>
      </w:r>
      <w:r w:rsidRPr="00351B7D">
        <w:rPr>
          <w:rFonts w:asciiTheme="minorBidi" w:hAnsiTheme="minorBidi"/>
          <w:rtl/>
        </w:rPr>
        <w:t xml:space="preserve">- הרי זה נזיר, והוינן בה, ודילמא אהא בתענית קאמר! </w:t>
      </w:r>
      <w:r w:rsidRPr="00351B7D">
        <w:rPr>
          <w:rFonts w:asciiTheme="minorBidi" w:hAnsiTheme="minorBidi"/>
          <w:u w:val="single"/>
          <w:rtl/>
        </w:rPr>
        <w:t>ואמר שמואל:</w:t>
      </w:r>
      <w:r w:rsidRPr="00351B7D">
        <w:rPr>
          <w:rFonts w:asciiTheme="minorBidi" w:hAnsiTheme="minorBidi"/>
          <w:rtl/>
        </w:rPr>
        <w:t xml:space="preserve"> והוא שהיה נזיר עובר לפניו</w:t>
      </w:r>
      <w:r w:rsidRPr="00351B7D">
        <w:rPr>
          <w:rStyle w:val="a7"/>
          <w:rFonts w:asciiTheme="minorBidi" w:hAnsiTheme="minorBidi"/>
          <w:rtl/>
        </w:rPr>
        <w:footnoteReference w:id="153"/>
      </w:r>
      <w:r w:rsidRPr="00351B7D">
        <w:rPr>
          <w:rFonts w:asciiTheme="minorBidi" w:hAnsiTheme="minorBidi"/>
          <w:rtl/>
        </w:rPr>
        <w:t>, טעמא דנזיר עובר לפניו הא לאו הכי לא! הכא במאי עסקינן- דאמר לי.</w:t>
      </w:r>
    </w:p>
    <w:p w14:paraId="496BA9DF"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 'הרי את מקודשת' ולא אמר 'לי':</w:t>
      </w:r>
    </w:p>
    <w:p w14:paraId="4260BEFB" w14:textId="77777777" w:rsidR="008E16D0" w:rsidRPr="00351B7D" w:rsidRDefault="008E16D0" w:rsidP="00A8697F">
      <w:pPr>
        <w:pStyle w:val="ab"/>
        <w:numPr>
          <w:ilvl w:val="0"/>
          <w:numId w:val="12"/>
        </w:numPr>
        <w:rPr>
          <w:rFonts w:asciiTheme="minorBidi" w:hAnsiTheme="minorBidi"/>
        </w:rPr>
      </w:pPr>
      <w:r w:rsidRPr="00351B7D">
        <w:rPr>
          <w:rFonts w:asciiTheme="minorBidi" w:hAnsiTheme="minorBidi"/>
          <w:rtl/>
        </w:rPr>
        <w:t>רי"ף רמב"ם</w:t>
      </w:r>
      <w:r w:rsidRPr="00351B7D">
        <w:rPr>
          <w:rStyle w:val="a7"/>
          <w:rFonts w:asciiTheme="minorBidi" w:hAnsiTheme="minorBidi"/>
          <w:rtl/>
        </w:rPr>
        <w:footnoteReference w:id="154"/>
      </w:r>
      <w:r w:rsidRPr="00351B7D">
        <w:rPr>
          <w:rFonts w:asciiTheme="minorBidi" w:hAnsiTheme="minorBidi"/>
          <w:sz w:val="16"/>
          <w:szCs w:val="16"/>
          <w:rtl/>
        </w:rPr>
        <w:t xml:space="preserve"> </w:t>
      </w:r>
      <w:r w:rsidRPr="00351B7D">
        <w:rPr>
          <w:rFonts w:asciiTheme="minorBidi" w:hAnsiTheme="minorBidi"/>
          <w:rtl/>
        </w:rPr>
        <w:t>רמב"ן</w:t>
      </w:r>
      <w:r w:rsidRPr="00351B7D">
        <w:rPr>
          <w:rFonts w:asciiTheme="minorBidi" w:hAnsiTheme="minorBidi"/>
          <w:sz w:val="16"/>
          <w:szCs w:val="16"/>
          <w:rtl/>
        </w:rPr>
        <w:t xml:space="preserve"> </w:t>
      </w:r>
      <w:r w:rsidRPr="00351B7D">
        <w:rPr>
          <w:rFonts w:asciiTheme="minorBidi" w:hAnsiTheme="minorBidi"/>
          <w:rtl/>
        </w:rPr>
        <w:t>רשב"א</w:t>
      </w:r>
      <w:r w:rsidRPr="00351B7D">
        <w:rPr>
          <w:rFonts w:asciiTheme="minorBidi" w:hAnsiTheme="minorBidi"/>
          <w:sz w:val="16"/>
          <w:szCs w:val="16"/>
          <w:rtl/>
        </w:rPr>
        <w:t xml:space="preserve"> </w:t>
      </w:r>
      <w:r w:rsidRPr="00351B7D">
        <w:rPr>
          <w:rFonts w:asciiTheme="minorBidi" w:hAnsiTheme="minorBidi"/>
          <w:rtl/>
        </w:rPr>
        <w:t>רא"ש</w:t>
      </w:r>
      <w:r w:rsidRPr="00351B7D">
        <w:rPr>
          <w:rFonts w:asciiTheme="minorBidi" w:hAnsiTheme="minorBidi"/>
          <w:sz w:val="16"/>
          <w:szCs w:val="16"/>
          <w:rtl/>
        </w:rPr>
        <w:t xml:space="preserve"> </w:t>
      </w:r>
      <w:r w:rsidRPr="00351B7D">
        <w:rPr>
          <w:rFonts w:asciiTheme="minorBidi" w:hAnsiTheme="minorBidi"/>
          <w:rtl/>
        </w:rPr>
        <w:t>רי"ו</w:t>
      </w:r>
      <w:r w:rsidRPr="00351B7D">
        <w:rPr>
          <w:rFonts w:asciiTheme="minorBidi" w:hAnsiTheme="minorBidi"/>
          <w:sz w:val="16"/>
          <w:szCs w:val="16"/>
          <w:rtl/>
        </w:rPr>
        <w:t xml:space="preserve"> </w:t>
      </w:r>
      <w:r w:rsidRPr="00351B7D">
        <w:rPr>
          <w:rFonts w:asciiTheme="minorBidi" w:hAnsiTheme="minorBidi"/>
          <w:rtl/>
        </w:rPr>
        <w:t>ר"ן הה"מ</w:t>
      </w:r>
      <w:r w:rsidRPr="00351B7D">
        <w:rPr>
          <w:rFonts w:asciiTheme="minorBidi" w:hAnsiTheme="minorBidi"/>
          <w:sz w:val="16"/>
          <w:szCs w:val="16"/>
          <w:rtl/>
        </w:rPr>
        <w:t xml:space="preserve"> </w:t>
      </w:r>
      <w:r w:rsidRPr="00351B7D">
        <w:rPr>
          <w:rFonts w:asciiTheme="minorBidi" w:hAnsiTheme="minorBidi"/>
          <w:rtl/>
        </w:rPr>
        <w:t>וריב"ש</w:t>
      </w:r>
      <w:r w:rsidRPr="00351B7D">
        <w:rPr>
          <w:rStyle w:val="a7"/>
          <w:rFonts w:asciiTheme="minorBidi" w:hAnsiTheme="minorBidi"/>
          <w:rtl/>
        </w:rPr>
        <w:footnoteReference w:id="155"/>
      </w:r>
      <w:r w:rsidRPr="00351B7D">
        <w:rPr>
          <w:rFonts w:asciiTheme="minorBidi" w:hAnsiTheme="minorBidi"/>
          <w:rtl/>
        </w:rPr>
        <w:t xml:space="preserve">- אינה מקודשת דלא הוו ידים כלל ואף גיטא לא בעיא. </w:t>
      </w:r>
      <w:r w:rsidRPr="00351B7D">
        <w:rPr>
          <w:rFonts w:asciiTheme="minorBidi" w:hAnsiTheme="minorBidi"/>
          <w:color w:val="E36C0A" w:themeColor="accent6" w:themeShade="BF"/>
          <w:rtl/>
        </w:rPr>
        <w:t>(וכ"פ בשו"ע)</w:t>
      </w:r>
    </w:p>
    <w:p w14:paraId="148B7D66" w14:textId="77777777" w:rsidR="008E16D0" w:rsidRPr="00351B7D" w:rsidRDefault="008E16D0" w:rsidP="00A8697F">
      <w:pPr>
        <w:pStyle w:val="ab"/>
        <w:numPr>
          <w:ilvl w:val="0"/>
          <w:numId w:val="12"/>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156"/>
      </w:r>
      <w:r w:rsidRPr="00351B7D">
        <w:rPr>
          <w:rFonts w:asciiTheme="minorBidi" w:hAnsiTheme="minorBidi"/>
          <w:rtl/>
        </w:rPr>
        <w:t xml:space="preserve"> והגהות מרדכי</w:t>
      </w:r>
      <w:r w:rsidRPr="00351B7D">
        <w:rPr>
          <w:rStyle w:val="a7"/>
          <w:rFonts w:asciiTheme="minorBidi" w:hAnsiTheme="minorBidi"/>
          <w:rtl/>
        </w:rPr>
        <w:footnoteReference w:id="157"/>
      </w:r>
      <w:r w:rsidRPr="00351B7D">
        <w:rPr>
          <w:rFonts w:asciiTheme="minorBidi" w:hAnsiTheme="minorBidi"/>
          <w:rtl/>
        </w:rPr>
        <w:t>- "לשמואל דאמר דבעינן ידים מוכיחות אין זו מקודשת... ומיהו יש לחוש להחמיר שמא בקדושין בכענין זה לא בעינן ידים מוכיחות וצריכה גט</w:t>
      </w:r>
      <w:r w:rsidRPr="00351B7D">
        <w:rPr>
          <w:rStyle w:val="a7"/>
          <w:rFonts w:asciiTheme="minorBidi" w:hAnsiTheme="minorBidi"/>
          <w:rtl/>
        </w:rPr>
        <w:footnoteReference w:id="158"/>
      </w:r>
      <w:r w:rsidRPr="00351B7D">
        <w:rPr>
          <w:rFonts w:asciiTheme="minorBidi" w:hAnsiTheme="minorBidi"/>
          <w:rtl/>
        </w:rPr>
        <w:t>". (וכ"פ ב"ח</w:t>
      </w:r>
      <w:r w:rsidRPr="00351B7D">
        <w:rPr>
          <w:rFonts w:asciiTheme="minorBidi" w:hAnsiTheme="minorBidi"/>
          <w:sz w:val="16"/>
          <w:szCs w:val="16"/>
          <w:rtl/>
        </w:rPr>
        <w:t xml:space="preserve"> [סע' ד]</w:t>
      </w:r>
      <w:r w:rsidRPr="00351B7D">
        <w:rPr>
          <w:rFonts w:asciiTheme="minorBidi" w:hAnsiTheme="minorBidi"/>
          <w:rtl/>
        </w:rPr>
        <w:t xml:space="preserve"> וט"ז</w:t>
      </w:r>
      <w:r w:rsidRPr="00351B7D">
        <w:rPr>
          <w:rFonts w:asciiTheme="minorBidi" w:hAnsiTheme="minorBidi"/>
          <w:sz w:val="16"/>
          <w:szCs w:val="16"/>
          <w:rtl/>
        </w:rPr>
        <w:t xml:space="preserve"> [סק"ח]</w:t>
      </w:r>
      <w:r w:rsidRPr="00351B7D">
        <w:rPr>
          <w:rFonts w:asciiTheme="minorBidi" w:hAnsiTheme="minorBidi"/>
          <w:rtl/>
        </w:rPr>
        <w:t>)</w:t>
      </w:r>
    </w:p>
    <w:p w14:paraId="46568034"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אמר </w:t>
      </w:r>
      <w:r w:rsidRPr="00351B7D">
        <w:rPr>
          <w:rFonts w:asciiTheme="minorBidi" w:hAnsiTheme="minorBidi"/>
          <w:b/>
          <w:bCs/>
          <w:u w:val="single"/>
          <w:rtl/>
        </w:rPr>
        <w:t>למשודכתו</w:t>
      </w:r>
      <w:r w:rsidRPr="00351B7D">
        <w:rPr>
          <w:rFonts w:asciiTheme="minorBidi" w:hAnsiTheme="minorBidi"/>
          <w:u w:val="single"/>
          <w:rtl/>
        </w:rPr>
        <w:t xml:space="preserve"> 'הרי את מקודשת' ולא אמר 'לי':</w:t>
      </w:r>
    </w:p>
    <w:p w14:paraId="7F813609" w14:textId="77777777" w:rsidR="008E16D0" w:rsidRPr="00351B7D" w:rsidRDefault="008E16D0" w:rsidP="00A8697F">
      <w:pPr>
        <w:pStyle w:val="ab"/>
        <w:numPr>
          <w:ilvl w:val="0"/>
          <w:numId w:val="13"/>
        </w:numPr>
        <w:rPr>
          <w:rFonts w:asciiTheme="minorBidi" w:hAnsiTheme="minorBidi"/>
        </w:rPr>
      </w:pPr>
      <w:r w:rsidRPr="00351B7D">
        <w:rPr>
          <w:rFonts w:asciiTheme="minorBidi" w:hAnsiTheme="minorBidi"/>
          <w:rtl/>
        </w:rPr>
        <w:t>תשב"ץ מהרי"ט מבי"ט רשד"ם ואבני מלואים</w:t>
      </w:r>
      <w:r w:rsidRPr="00351B7D">
        <w:rPr>
          <w:rStyle w:val="a7"/>
          <w:rFonts w:asciiTheme="minorBidi" w:hAnsiTheme="minorBidi"/>
          <w:rtl/>
        </w:rPr>
        <w:footnoteReference w:id="159"/>
      </w:r>
      <w:r w:rsidRPr="00351B7D">
        <w:rPr>
          <w:rFonts w:asciiTheme="minorBidi" w:hAnsiTheme="minorBidi"/>
          <w:rtl/>
        </w:rPr>
        <w:t>- אינה מקודשת</w:t>
      </w:r>
      <w:r w:rsidRPr="00351B7D">
        <w:rPr>
          <w:rStyle w:val="a7"/>
          <w:rFonts w:asciiTheme="minorBidi" w:hAnsiTheme="minorBidi"/>
          <w:rtl/>
        </w:rPr>
        <w:footnoteReference w:id="160"/>
      </w:r>
      <w:r w:rsidRPr="00351B7D">
        <w:rPr>
          <w:rFonts w:asciiTheme="minorBidi" w:hAnsiTheme="minorBidi"/>
          <w:rtl/>
        </w:rPr>
        <w:t>.</w:t>
      </w:r>
    </w:p>
    <w:p w14:paraId="1B02EDBC" w14:textId="77777777" w:rsidR="008E16D0" w:rsidRPr="00351B7D" w:rsidRDefault="008E16D0" w:rsidP="00A8697F">
      <w:pPr>
        <w:pStyle w:val="ab"/>
        <w:numPr>
          <w:ilvl w:val="0"/>
          <w:numId w:val="13"/>
        </w:numPr>
        <w:rPr>
          <w:rFonts w:asciiTheme="minorBidi" w:hAnsiTheme="minorBidi"/>
        </w:rPr>
      </w:pPr>
      <w:r w:rsidRPr="00351B7D">
        <w:rPr>
          <w:rFonts w:asciiTheme="minorBidi" w:hAnsiTheme="minorBidi"/>
          <w:rtl/>
        </w:rPr>
        <w:t>מהריב"ל</w:t>
      </w:r>
      <w:r w:rsidRPr="00351B7D">
        <w:rPr>
          <w:rFonts w:asciiTheme="minorBidi" w:hAnsiTheme="minorBidi"/>
          <w:sz w:val="16"/>
          <w:szCs w:val="16"/>
          <w:rtl/>
        </w:rPr>
        <w:t xml:space="preserve"> (ח"א סי' יח)</w:t>
      </w:r>
      <w:r w:rsidRPr="00351B7D">
        <w:rPr>
          <w:rFonts w:asciiTheme="minorBidi" w:hAnsiTheme="minorBidi"/>
          <w:rtl/>
        </w:rPr>
        <w:t xml:space="preserve">- צריכה גט מספק. </w:t>
      </w:r>
    </w:p>
    <w:p w14:paraId="5A66FF84"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 'הרי את מקודשת' ולא אמר 'לי' אך היא אמרה 'הן':</w:t>
      </w:r>
    </w:p>
    <w:p w14:paraId="3C6549F6" w14:textId="77777777" w:rsidR="008E16D0" w:rsidRPr="00351B7D" w:rsidRDefault="008E16D0" w:rsidP="00A8697F">
      <w:pPr>
        <w:pStyle w:val="ab"/>
        <w:numPr>
          <w:ilvl w:val="0"/>
          <w:numId w:val="14"/>
        </w:numPr>
        <w:rPr>
          <w:rFonts w:asciiTheme="minorBidi" w:hAnsiTheme="minorBidi"/>
        </w:rPr>
      </w:pPr>
      <w:r w:rsidRPr="00351B7D">
        <w:rPr>
          <w:rFonts w:asciiTheme="minorBidi" w:hAnsiTheme="minorBidi"/>
          <w:rtl/>
        </w:rPr>
        <w:t xml:space="preserve">מהר"ם אלשקר </w:t>
      </w:r>
      <w:r w:rsidRPr="00351B7D">
        <w:rPr>
          <w:rFonts w:asciiTheme="minorBidi" w:hAnsiTheme="minorBidi"/>
          <w:sz w:val="16"/>
          <w:szCs w:val="16"/>
          <w:rtl/>
        </w:rPr>
        <w:t xml:space="preserve">(הובא ברלב"ח) </w:t>
      </w:r>
      <w:r w:rsidRPr="00351B7D">
        <w:rPr>
          <w:rFonts w:asciiTheme="minorBidi" w:hAnsiTheme="minorBidi"/>
          <w:rtl/>
        </w:rPr>
        <w:t xml:space="preserve">ורלב"ח </w:t>
      </w:r>
      <w:r w:rsidRPr="00351B7D">
        <w:rPr>
          <w:rFonts w:asciiTheme="minorBidi" w:hAnsiTheme="minorBidi"/>
          <w:sz w:val="16"/>
          <w:szCs w:val="16"/>
          <w:rtl/>
        </w:rPr>
        <w:t>(סי' קלו)</w:t>
      </w:r>
      <w:r w:rsidRPr="00351B7D">
        <w:rPr>
          <w:rFonts w:asciiTheme="minorBidi" w:hAnsiTheme="minorBidi"/>
          <w:rtl/>
        </w:rPr>
        <w:t>- אינה מקודשת</w:t>
      </w:r>
      <w:r w:rsidRPr="00351B7D">
        <w:rPr>
          <w:rStyle w:val="a7"/>
          <w:rFonts w:asciiTheme="minorBidi" w:hAnsiTheme="minorBidi"/>
          <w:rtl/>
        </w:rPr>
        <w:footnoteReference w:id="161"/>
      </w:r>
      <w:r w:rsidRPr="00351B7D">
        <w:rPr>
          <w:rFonts w:asciiTheme="minorBidi" w:hAnsiTheme="minorBidi"/>
          <w:rtl/>
        </w:rPr>
        <w:t>.</w:t>
      </w:r>
    </w:p>
    <w:p w14:paraId="14D3487F" w14:textId="77777777" w:rsidR="008E16D0" w:rsidRPr="00351B7D" w:rsidRDefault="008E16D0" w:rsidP="00A8697F">
      <w:pPr>
        <w:pStyle w:val="ab"/>
        <w:numPr>
          <w:ilvl w:val="0"/>
          <w:numId w:val="14"/>
        </w:numPr>
        <w:rPr>
          <w:rFonts w:asciiTheme="minorBidi" w:hAnsiTheme="minorBidi"/>
        </w:rPr>
      </w:pPr>
      <w:r w:rsidRPr="00351B7D">
        <w:rPr>
          <w:rFonts w:asciiTheme="minorBidi" w:hAnsiTheme="minorBidi"/>
          <w:rtl/>
        </w:rPr>
        <w:t xml:space="preserve">רשד"ם </w:t>
      </w:r>
      <w:r w:rsidRPr="00351B7D">
        <w:rPr>
          <w:rFonts w:asciiTheme="minorBidi" w:hAnsiTheme="minorBidi"/>
          <w:sz w:val="16"/>
          <w:szCs w:val="16"/>
          <w:rtl/>
        </w:rPr>
        <w:t>(סי' לד)</w:t>
      </w:r>
      <w:r w:rsidRPr="00351B7D">
        <w:rPr>
          <w:rFonts w:asciiTheme="minorBidi" w:hAnsiTheme="minorBidi"/>
          <w:rtl/>
        </w:rPr>
        <w:t>- אינה מקודשת ודאי אבל קידושי ספק נינהו</w:t>
      </w:r>
      <w:r w:rsidRPr="00351B7D">
        <w:rPr>
          <w:rStyle w:val="a7"/>
          <w:rFonts w:asciiTheme="minorBidi" w:hAnsiTheme="minorBidi"/>
          <w:rtl/>
        </w:rPr>
        <w:footnoteReference w:id="162"/>
      </w:r>
      <w:r w:rsidRPr="00351B7D">
        <w:rPr>
          <w:rFonts w:asciiTheme="minorBidi" w:hAnsiTheme="minorBidi"/>
          <w:rtl/>
        </w:rPr>
        <w:t>.</w:t>
      </w:r>
    </w:p>
    <w:p w14:paraId="0890F9B8"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 'הרי את מקודשת' ולא אמר 'לי' אך שניהם מודים שהתכוונו לשם קדושין:</w:t>
      </w:r>
    </w:p>
    <w:p w14:paraId="3CC8C98E" w14:textId="77777777" w:rsidR="008E16D0" w:rsidRPr="00351B7D" w:rsidRDefault="008E16D0" w:rsidP="00A8697F">
      <w:pPr>
        <w:pStyle w:val="ab"/>
        <w:numPr>
          <w:ilvl w:val="0"/>
          <w:numId w:val="14"/>
        </w:numPr>
        <w:rPr>
          <w:rFonts w:asciiTheme="minorBidi" w:hAnsiTheme="minorBidi"/>
          <w:rtl/>
        </w:rPr>
      </w:pPr>
      <w:r w:rsidRPr="00351B7D">
        <w:rPr>
          <w:rFonts w:asciiTheme="minorBidi" w:hAnsiTheme="minorBidi"/>
          <w:rtl/>
        </w:rPr>
        <w:t>מרדכי רשב"א רלב"ח ורשד"ם</w:t>
      </w:r>
      <w:r w:rsidRPr="00351B7D">
        <w:rPr>
          <w:rStyle w:val="a7"/>
          <w:rFonts w:asciiTheme="minorBidi" w:hAnsiTheme="minorBidi"/>
          <w:rtl/>
        </w:rPr>
        <w:footnoteReference w:id="163"/>
      </w:r>
      <w:r w:rsidRPr="00351B7D">
        <w:rPr>
          <w:rFonts w:asciiTheme="minorBidi" w:hAnsiTheme="minorBidi"/>
          <w:rtl/>
        </w:rPr>
        <w:t>- קידושי ספק נינהו. (וכ"פ ב"ש</w:t>
      </w:r>
      <w:r w:rsidRPr="00351B7D">
        <w:rPr>
          <w:rFonts w:asciiTheme="minorBidi" w:hAnsiTheme="minorBidi"/>
          <w:sz w:val="16"/>
          <w:szCs w:val="16"/>
          <w:rtl/>
        </w:rPr>
        <w:t xml:space="preserve"> [סקי"ד]</w:t>
      </w:r>
      <w:r w:rsidRPr="00351B7D">
        <w:rPr>
          <w:rFonts w:asciiTheme="minorBidi" w:hAnsiTheme="minorBidi"/>
          <w:rtl/>
        </w:rPr>
        <w:t>)</w:t>
      </w:r>
    </w:p>
    <w:p w14:paraId="7DE931E3" w14:textId="77777777" w:rsidR="008E16D0" w:rsidRPr="00351B7D" w:rsidRDefault="008E16D0" w:rsidP="00A8697F">
      <w:pPr>
        <w:pStyle w:val="ab"/>
        <w:numPr>
          <w:ilvl w:val="0"/>
          <w:numId w:val="14"/>
        </w:numPr>
        <w:rPr>
          <w:rFonts w:asciiTheme="minorBidi" w:hAnsiTheme="minorBidi"/>
        </w:rPr>
      </w:pPr>
      <w:r w:rsidRPr="00351B7D">
        <w:rPr>
          <w:rFonts w:asciiTheme="minorBidi" w:hAnsiTheme="minorBidi"/>
          <w:rtl/>
        </w:rPr>
        <w:t>ח"מ</w:t>
      </w:r>
      <w:r w:rsidRPr="00351B7D">
        <w:rPr>
          <w:rFonts w:asciiTheme="minorBidi" w:hAnsiTheme="minorBidi"/>
          <w:sz w:val="16"/>
          <w:szCs w:val="16"/>
          <w:rtl/>
        </w:rPr>
        <w:t xml:space="preserve"> (סקי"א)</w:t>
      </w:r>
      <w:r w:rsidRPr="00351B7D">
        <w:rPr>
          <w:rFonts w:asciiTheme="minorBidi" w:hAnsiTheme="minorBidi"/>
          <w:rtl/>
        </w:rPr>
        <w:t xml:space="preserve">- אינה מקודשת, דלאו בכוונה תליא מילתא אלא צריך שיאמר לשון טוב שמורה שהוא קונה אותה לעצמו. </w:t>
      </w:r>
    </w:p>
    <w:p w14:paraId="762BC17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AA7ACE" w14:textId="77777777" w:rsidR="008E16D0" w:rsidRPr="00351B7D" w:rsidRDefault="008E16D0" w:rsidP="008E16D0">
      <w:pPr>
        <w:rPr>
          <w:rFonts w:asciiTheme="minorBidi" w:hAnsiTheme="minorBidi"/>
          <w:rtl/>
        </w:rPr>
      </w:pPr>
      <w:r w:rsidRPr="00351B7D">
        <w:rPr>
          <w:rFonts w:asciiTheme="minorBidi" w:hAnsiTheme="minorBidi"/>
          <w:rtl/>
        </w:rPr>
        <w:lastRenderedPageBreak/>
        <w:t>אמר לה הרי את מקודשת, ולא אמר: לי,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וכן עיקר </w:t>
      </w:r>
      <w:r w:rsidRPr="00351B7D">
        <w:rPr>
          <w:rFonts w:asciiTheme="minorBidi" w:hAnsiTheme="minorBidi"/>
          <w:color w:val="000000"/>
          <w:sz w:val="14"/>
          <w:szCs w:val="14"/>
          <w:rtl/>
        </w:rPr>
        <w:t>(תשו' הרא"ש)</w:t>
      </w:r>
      <w:r w:rsidRPr="00351B7D">
        <w:rPr>
          <w:rFonts w:asciiTheme="minorBidi" w:hAnsiTheme="minorBidi"/>
          <w:color w:val="000000"/>
          <w:sz w:val="18"/>
          <w:szCs w:val="18"/>
          <w:rtl/>
        </w:rPr>
        <w:t>, אבל יש מחמירין ואומרים דהוי קדושין</w:t>
      </w:r>
      <w:r w:rsidRPr="00351B7D">
        <w:rPr>
          <w:rStyle w:val="a7"/>
          <w:rFonts w:asciiTheme="minorBidi" w:hAnsiTheme="minorBidi"/>
          <w:color w:val="000000"/>
          <w:sz w:val="18"/>
          <w:szCs w:val="18"/>
          <w:rtl/>
        </w:rPr>
        <w:footnoteReference w:id="164"/>
      </w:r>
      <w:r w:rsidRPr="00351B7D">
        <w:rPr>
          <w:rFonts w:asciiTheme="minorBidi" w:hAnsiTheme="minorBidi"/>
          <w:color w:val="000000"/>
          <w:sz w:val="14"/>
          <w:szCs w:val="14"/>
          <w:rtl/>
        </w:rPr>
        <w:t xml:space="preserve"> (תמצאם בתשו' הרשב"א ורמב"ן והרא"ש כלל ל"ה)</w:t>
      </w:r>
      <w:r w:rsidRPr="00351B7D">
        <w:rPr>
          <w:rFonts w:asciiTheme="minorBidi" w:hAnsiTheme="minorBidi"/>
          <w:color w:val="000000"/>
          <w:sz w:val="18"/>
          <w:szCs w:val="18"/>
          <w:rtl/>
        </w:rPr>
        <w:t>).</w:t>
      </w:r>
      <w:r w:rsidRPr="00351B7D">
        <w:rPr>
          <w:rFonts w:asciiTheme="minorBidi" w:hAnsiTheme="minorBidi"/>
          <w:rtl/>
        </w:rPr>
        <w:t xml:space="preserve"> ואם היה מדבר עמה על עסקי קדושין</w:t>
      </w:r>
      <w:r w:rsidRPr="00351B7D">
        <w:rPr>
          <w:rStyle w:val="a7"/>
          <w:rFonts w:asciiTheme="minorBidi" w:hAnsiTheme="minorBidi"/>
          <w:color w:val="000000"/>
          <w:rtl/>
        </w:rPr>
        <w:footnoteReference w:id="165"/>
      </w:r>
      <w:r w:rsidRPr="00351B7D">
        <w:rPr>
          <w:rFonts w:asciiTheme="minorBidi" w:hAnsiTheme="minorBidi"/>
          <w:rtl/>
        </w:rPr>
        <w:t xml:space="preserve"> הרי זו מקודשת</w:t>
      </w:r>
      <w:r w:rsidRPr="00351B7D">
        <w:rPr>
          <w:rStyle w:val="a7"/>
          <w:rFonts w:asciiTheme="minorBidi" w:hAnsiTheme="minorBidi"/>
          <w:color w:val="000000"/>
          <w:rtl/>
        </w:rPr>
        <w:footnoteReference w:id="166"/>
      </w:r>
      <w:r w:rsidRPr="00351B7D">
        <w:rPr>
          <w:rFonts w:asciiTheme="minorBidi" w:hAnsiTheme="minorBidi"/>
          <w:rtl/>
        </w:rPr>
        <w:t>. ואם קידש תחלה אשה אחת קדושין גמורים ואמר לאחרת בפניה: תהא מקודשת, ולא אמר: לי, ידים מוכיחות</w:t>
      </w:r>
      <w:r w:rsidRPr="00351B7D">
        <w:rPr>
          <w:rStyle w:val="a7"/>
          <w:rFonts w:asciiTheme="minorBidi" w:hAnsiTheme="minorBidi"/>
          <w:color w:val="000000"/>
          <w:rtl/>
        </w:rPr>
        <w:footnoteReference w:id="167"/>
      </w:r>
      <w:r w:rsidRPr="00351B7D">
        <w:rPr>
          <w:rFonts w:asciiTheme="minorBidi" w:hAnsiTheme="minorBidi"/>
          <w:rtl/>
        </w:rPr>
        <w:t xml:space="preserve"> נינהו וחוששין לקדושין</w:t>
      </w:r>
      <w:r w:rsidRPr="00351B7D">
        <w:rPr>
          <w:rStyle w:val="a7"/>
          <w:rFonts w:asciiTheme="minorBidi" w:hAnsiTheme="minorBidi"/>
          <w:color w:val="000000"/>
          <w:rtl/>
        </w:rPr>
        <w:footnoteReference w:id="168"/>
      </w:r>
      <w:r w:rsidRPr="00351B7D">
        <w:rPr>
          <w:rFonts w:asciiTheme="minorBidi" w:hAnsiTheme="minorBidi"/>
          <w:rtl/>
        </w:rPr>
        <w:t xml:space="preserve">. </w:t>
      </w:r>
    </w:p>
    <w:p w14:paraId="3235F2B3" w14:textId="77777777" w:rsidR="008E16D0" w:rsidRPr="00351B7D" w:rsidRDefault="008E16D0" w:rsidP="008E16D0">
      <w:pPr>
        <w:rPr>
          <w:rFonts w:asciiTheme="minorBidi" w:hAnsiTheme="minorBidi"/>
          <w:rtl/>
        </w:rPr>
      </w:pPr>
    </w:p>
    <w:p w14:paraId="5AAC89E7" w14:textId="77777777" w:rsidR="008E16D0" w:rsidRPr="00351B7D" w:rsidRDefault="008E16D0" w:rsidP="008E16D0">
      <w:pPr>
        <w:pStyle w:val="2"/>
        <w:rPr>
          <w:rFonts w:asciiTheme="minorBidi" w:hAnsiTheme="minorBidi"/>
          <w:rtl/>
        </w:rPr>
      </w:pPr>
      <w:r w:rsidRPr="00351B7D">
        <w:rPr>
          <w:rFonts w:asciiTheme="minorBidi" w:hAnsiTheme="minorBidi"/>
          <w:rtl/>
        </w:rPr>
        <w:t>סעיף ה: אמר לה 'הריני נותנו לך בתורת קדושין'.</w:t>
      </w:r>
    </w:p>
    <w:p w14:paraId="28334AB2" w14:textId="77777777" w:rsidR="008E16D0" w:rsidRPr="00351B7D" w:rsidRDefault="008E16D0" w:rsidP="008E16D0">
      <w:pPr>
        <w:rPr>
          <w:rFonts w:asciiTheme="minorBidi" w:hAnsiTheme="minorBidi"/>
          <w:rtl/>
        </w:rPr>
      </w:pPr>
      <w:r w:rsidRPr="00351B7D">
        <w:rPr>
          <w:rFonts w:asciiTheme="minorBidi" w:hAnsiTheme="minorBidi"/>
          <w:b/>
          <w:bCs/>
          <w:rtl/>
        </w:rPr>
        <w:t xml:space="preserve">גיטין לב ע"ב: </w:t>
      </w:r>
      <w:r w:rsidRPr="00351B7D">
        <w:rPr>
          <w:rFonts w:asciiTheme="minorBidi" w:hAnsiTheme="minorBidi"/>
          <w:u w:val="single"/>
          <w:rtl/>
        </w:rPr>
        <w:t>אמר רב ששת</w:t>
      </w:r>
      <w:r w:rsidRPr="00351B7D">
        <w:rPr>
          <w:rFonts w:asciiTheme="minorBidi" w:hAnsiTheme="minorBidi"/>
          <w:rtl/>
        </w:rPr>
        <w:t>, ואמרי לה במתניתא תנא: גט זה לא יועיל, לא יתיר, לא יעזיב, לא ישלח, ולא יגרש, יהא חרס, יהא כחרס - דבריו קיימין; אינו מועיל, אינו מתיר, אינו מעזיב, אינו משלח, אינו מגרש, חרס הוא, כחרס הוא - לא אמר כלום</w:t>
      </w:r>
      <w:r w:rsidRPr="00351B7D">
        <w:rPr>
          <w:rStyle w:val="a7"/>
          <w:rFonts w:asciiTheme="minorBidi" w:hAnsiTheme="minorBidi"/>
          <w:rtl/>
        </w:rPr>
        <w:footnoteReference w:id="169"/>
      </w:r>
      <w:r w:rsidRPr="00351B7D">
        <w:rPr>
          <w:rFonts w:asciiTheme="minorBidi" w:hAnsiTheme="minorBidi"/>
          <w:rtl/>
        </w:rPr>
        <w:t>. איבעיא להו: הרי הוא חרס, מהו</w:t>
      </w:r>
      <w:r w:rsidRPr="00351B7D">
        <w:rPr>
          <w:rStyle w:val="a7"/>
          <w:rFonts w:asciiTheme="minorBidi" w:hAnsiTheme="minorBidi"/>
          <w:rtl/>
        </w:rPr>
        <w:footnoteReference w:id="170"/>
      </w:r>
      <w:r w:rsidRPr="00351B7D">
        <w:rPr>
          <w:rFonts w:asciiTheme="minorBidi" w:hAnsiTheme="minorBidi"/>
          <w:rtl/>
        </w:rPr>
        <w:t xml:space="preserve">? </w:t>
      </w:r>
      <w:r w:rsidRPr="00351B7D">
        <w:rPr>
          <w:rFonts w:asciiTheme="minorBidi" w:hAnsiTheme="minorBidi"/>
          <w:u w:val="single"/>
          <w:rtl/>
        </w:rPr>
        <w:t>א"ל רבינא לרב אחא בריה דרבא, ואמרי לה רב אחא בריה דרבא לרב אשי</w:t>
      </w:r>
      <w:r w:rsidRPr="00351B7D">
        <w:rPr>
          <w:rFonts w:asciiTheme="minorBidi" w:hAnsiTheme="minorBidi"/>
          <w:rtl/>
        </w:rPr>
        <w:t>: מאי שנא מהרי הוא הקדש</w:t>
      </w:r>
      <w:r w:rsidRPr="00351B7D">
        <w:rPr>
          <w:rStyle w:val="a7"/>
          <w:rFonts w:asciiTheme="minorBidi" w:hAnsiTheme="minorBidi"/>
          <w:rtl/>
        </w:rPr>
        <w:footnoteReference w:id="171"/>
      </w:r>
      <w:r w:rsidRPr="00351B7D">
        <w:rPr>
          <w:rFonts w:asciiTheme="minorBidi" w:hAnsiTheme="minorBidi"/>
          <w:rtl/>
        </w:rPr>
        <w:t>, הרי הוא הפקר.</w:t>
      </w:r>
      <w:r w:rsidRPr="00351B7D">
        <w:rPr>
          <w:rFonts w:asciiTheme="minorBidi" w:hAnsiTheme="minorBidi"/>
          <w:color w:val="000000"/>
          <w:sz w:val="16"/>
          <w:szCs w:val="16"/>
          <w:rtl/>
        </w:rPr>
        <w:t xml:space="preserve"> (וכ' התשב"ץ </w:t>
      </w:r>
      <w:r w:rsidRPr="00351B7D">
        <w:rPr>
          <w:rFonts w:asciiTheme="minorBidi" w:hAnsiTheme="minorBidi"/>
          <w:color w:val="000000"/>
          <w:sz w:val="14"/>
          <w:szCs w:val="14"/>
          <w:rtl/>
        </w:rPr>
        <w:t xml:space="preserve">[ח"א סי' כג, הביאו מהר"י בירב סי' מב, הביאם הב"י] </w:t>
      </w:r>
      <w:r w:rsidRPr="00351B7D">
        <w:rPr>
          <w:rFonts w:asciiTheme="minorBidi" w:hAnsiTheme="minorBidi"/>
          <w:color w:val="000000"/>
          <w:sz w:val="16"/>
          <w:szCs w:val="16"/>
          <w:rtl/>
        </w:rPr>
        <w:t xml:space="preserve">דה"ה לקדושין דבעינן שיאמר לשון שיוכיח להבא, לכן כשאמר 'קידושין הן', ולא אמר 'קידושין יהו' או 'הרי הן קידושין'- אינו כלום. </w:t>
      </w:r>
      <w:r w:rsidRPr="00351B7D">
        <w:rPr>
          <w:rFonts w:asciiTheme="minorBidi" w:hAnsiTheme="minorBidi"/>
          <w:color w:val="00B0F0"/>
          <w:sz w:val="16"/>
          <w:szCs w:val="16"/>
          <w:rtl/>
        </w:rPr>
        <w:t>וכ"כ הרמ"א</w:t>
      </w:r>
      <w:r w:rsidRPr="00351B7D">
        <w:rPr>
          <w:rStyle w:val="a7"/>
          <w:rFonts w:asciiTheme="minorBidi" w:hAnsiTheme="minorBidi"/>
          <w:color w:val="000000"/>
          <w:sz w:val="18"/>
          <w:szCs w:val="18"/>
          <w:rtl/>
        </w:rPr>
        <w:footnoteReference w:id="172"/>
      </w:r>
      <w:r w:rsidRPr="00351B7D">
        <w:rPr>
          <w:rFonts w:asciiTheme="minorBidi" w:hAnsiTheme="minorBidi"/>
          <w:color w:val="000000"/>
          <w:sz w:val="16"/>
          <w:szCs w:val="16"/>
          <w:rtl/>
        </w:rPr>
        <w:t>)</w:t>
      </w:r>
      <w:r w:rsidRPr="00351B7D">
        <w:rPr>
          <w:rFonts w:asciiTheme="minorBidi" w:hAnsiTheme="minorBidi"/>
          <w:rtl/>
        </w:rPr>
        <w:t xml:space="preserve"> </w:t>
      </w:r>
    </w:p>
    <w:p w14:paraId="52C55818"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אמר לה 'הריני נותנו לך בתורת קדושין': </w:t>
      </w:r>
    </w:p>
    <w:p w14:paraId="77D16ADB" w14:textId="77777777" w:rsidR="008E16D0" w:rsidRPr="00351B7D" w:rsidRDefault="008E16D0" w:rsidP="00A8697F">
      <w:pPr>
        <w:pStyle w:val="ab"/>
        <w:numPr>
          <w:ilvl w:val="0"/>
          <w:numId w:val="16"/>
        </w:numPr>
        <w:rPr>
          <w:rFonts w:asciiTheme="minorBidi" w:hAnsiTheme="minorBidi"/>
        </w:rPr>
      </w:pPr>
      <w:r w:rsidRPr="00351B7D">
        <w:rPr>
          <w:rFonts w:asciiTheme="minorBidi" w:hAnsiTheme="minorBidi"/>
          <w:rtl/>
        </w:rPr>
        <w:t xml:space="preserve">(ריב"ש </w:t>
      </w:r>
      <w:r w:rsidRPr="00351B7D">
        <w:rPr>
          <w:rFonts w:asciiTheme="minorBidi" w:hAnsiTheme="minorBidi"/>
          <w:sz w:val="16"/>
          <w:szCs w:val="16"/>
          <w:rtl/>
        </w:rPr>
        <w:t>להב' ב"י רשד"ם ואבנ"מ</w:t>
      </w:r>
      <w:r w:rsidRPr="00351B7D">
        <w:rPr>
          <w:rFonts w:asciiTheme="minorBidi" w:hAnsiTheme="minorBidi"/>
          <w:rtl/>
        </w:rPr>
        <w:t>)</w:t>
      </w:r>
      <w:r w:rsidRPr="00351B7D">
        <w:rPr>
          <w:rStyle w:val="a7"/>
          <w:rFonts w:asciiTheme="minorBidi" w:hAnsiTheme="minorBidi"/>
          <w:rtl/>
        </w:rPr>
        <w:footnoteReference w:id="173"/>
      </w:r>
      <w:r w:rsidRPr="00351B7D">
        <w:rPr>
          <w:rFonts w:asciiTheme="minorBidi" w:hAnsiTheme="minorBidi"/>
          <w:rtl/>
        </w:rPr>
        <w:t>- הוי כאומר 'לי'</w:t>
      </w:r>
      <w:r w:rsidRPr="00351B7D">
        <w:rPr>
          <w:rStyle w:val="a7"/>
          <w:rFonts w:asciiTheme="minorBidi" w:hAnsiTheme="minorBidi"/>
          <w:rtl/>
        </w:rPr>
        <w:footnoteReference w:id="174"/>
      </w:r>
      <w:r w:rsidRPr="00351B7D">
        <w:rPr>
          <w:rFonts w:asciiTheme="minorBidi" w:hAnsiTheme="minorBidi"/>
          <w:rtl/>
        </w:rPr>
        <w:t xml:space="preserve">. </w:t>
      </w:r>
      <w:r w:rsidRPr="00351B7D">
        <w:rPr>
          <w:rFonts w:asciiTheme="minorBidi" w:hAnsiTheme="minorBidi"/>
          <w:color w:val="E36C0A" w:themeColor="accent6" w:themeShade="BF"/>
          <w:rtl/>
        </w:rPr>
        <w:t>(וכן סתם בשו"ע)</w:t>
      </w:r>
    </w:p>
    <w:p w14:paraId="37FD411B" w14:textId="77777777" w:rsidR="008E16D0" w:rsidRPr="00351B7D" w:rsidRDefault="008E16D0" w:rsidP="00A8697F">
      <w:pPr>
        <w:pStyle w:val="ab"/>
        <w:numPr>
          <w:ilvl w:val="0"/>
          <w:numId w:val="16"/>
        </w:numPr>
        <w:rPr>
          <w:rFonts w:asciiTheme="minorBidi" w:hAnsiTheme="minorBidi"/>
        </w:rPr>
      </w:pPr>
      <w:r w:rsidRPr="00351B7D">
        <w:rPr>
          <w:rFonts w:asciiTheme="minorBidi" w:hAnsiTheme="minorBidi"/>
          <w:rtl/>
        </w:rPr>
        <w:t xml:space="preserve">(ריב"ש </w:t>
      </w:r>
      <w:r w:rsidRPr="00351B7D">
        <w:rPr>
          <w:rFonts w:asciiTheme="minorBidi" w:hAnsiTheme="minorBidi"/>
          <w:sz w:val="16"/>
          <w:szCs w:val="16"/>
          <w:rtl/>
        </w:rPr>
        <w:t>להב' ח"מ ב"ש גר"א ועוד</w:t>
      </w:r>
      <w:r w:rsidRPr="00351B7D">
        <w:rPr>
          <w:rFonts w:asciiTheme="minorBidi" w:hAnsiTheme="minorBidi"/>
          <w:rtl/>
        </w:rPr>
        <w:t>)</w:t>
      </w:r>
      <w:r w:rsidRPr="00351B7D">
        <w:rPr>
          <w:rStyle w:val="a7"/>
          <w:rFonts w:asciiTheme="minorBidi" w:hAnsiTheme="minorBidi"/>
          <w:rtl/>
        </w:rPr>
        <w:footnoteReference w:id="175"/>
      </w:r>
      <w:r w:rsidRPr="00351B7D">
        <w:rPr>
          <w:rFonts w:asciiTheme="minorBidi" w:hAnsiTheme="minorBidi"/>
          <w:rtl/>
        </w:rPr>
        <w:t>- הרי זו ספק מקודשת</w:t>
      </w:r>
      <w:r w:rsidRPr="00351B7D">
        <w:rPr>
          <w:rStyle w:val="a7"/>
          <w:rFonts w:asciiTheme="minorBidi" w:hAnsiTheme="minorBidi"/>
          <w:rtl/>
        </w:rPr>
        <w:footnoteReference w:id="176"/>
      </w:r>
      <w:r w:rsidRPr="00351B7D">
        <w:rPr>
          <w:rFonts w:asciiTheme="minorBidi" w:hAnsiTheme="minorBidi"/>
          <w:rtl/>
        </w:rPr>
        <w:t xml:space="preserve">. </w:t>
      </w:r>
      <w:r w:rsidRPr="00351B7D">
        <w:rPr>
          <w:rFonts w:asciiTheme="minorBidi" w:hAnsiTheme="minorBidi"/>
          <w:rtl/>
        </w:rPr>
        <w:tab/>
      </w:r>
    </w:p>
    <w:p w14:paraId="09B771DE"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אמר 'אני נותן לך לקדושין':</w:t>
      </w:r>
      <w:r w:rsidRPr="00351B7D">
        <w:rPr>
          <w:rFonts w:asciiTheme="minorBidi" w:hAnsiTheme="minorBidi"/>
          <w:rtl/>
        </w:rPr>
        <w:t xml:space="preserve"> </w:t>
      </w:r>
      <w:r w:rsidRPr="00351B7D">
        <w:rPr>
          <w:rFonts w:asciiTheme="minorBidi" w:hAnsiTheme="minorBidi"/>
          <w:sz w:val="16"/>
          <w:szCs w:val="16"/>
          <w:rtl/>
        </w:rPr>
        <w:t xml:space="preserve"> (ב"ש סקט"ז)</w:t>
      </w:r>
    </w:p>
    <w:p w14:paraId="5D9808F2" w14:textId="77777777" w:rsidR="008E16D0" w:rsidRPr="00351B7D" w:rsidRDefault="008E16D0" w:rsidP="00A8697F">
      <w:pPr>
        <w:pStyle w:val="ab"/>
        <w:numPr>
          <w:ilvl w:val="0"/>
          <w:numId w:val="15"/>
        </w:numPr>
        <w:rPr>
          <w:rFonts w:asciiTheme="minorBidi" w:hAnsiTheme="minorBidi"/>
        </w:rPr>
      </w:pPr>
      <w:r w:rsidRPr="00351B7D">
        <w:rPr>
          <w:rFonts w:asciiTheme="minorBidi" w:hAnsiTheme="minorBidi"/>
          <w:rtl/>
        </w:rPr>
        <w:t>מהרי"ט</w:t>
      </w:r>
      <w:r w:rsidRPr="00351B7D">
        <w:rPr>
          <w:rFonts w:asciiTheme="minorBidi" w:hAnsiTheme="minorBidi"/>
          <w:sz w:val="16"/>
          <w:szCs w:val="16"/>
          <w:rtl/>
        </w:rPr>
        <w:t xml:space="preserve"> (על הרי"ף קדושין ד"ה ועוד כלל)</w:t>
      </w:r>
      <w:r w:rsidRPr="00351B7D">
        <w:rPr>
          <w:rFonts w:asciiTheme="minorBidi" w:hAnsiTheme="minorBidi"/>
          <w:rtl/>
        </w:rPr>
        <w:t xml:space="preserve">- ליכא חשש קידושין די"ל לצורך קדושין הוא נותן ואין מקדש בו, ול"ד לאומר </w:t>
      </w:r>
      <w:r w:rsidRPr="00351B7D">
        <w:rPr>
          <w:rFonts w:asciiTheme="minorBidi" w:hAnsiTheme="minorBidi"/>
          <w:u w:val="single"/>
          <w:rtl/>
        </w:rPr>
        <w:t>בתורת</w:t>
      </w:r>
      <w:r w:rsidRPr="00351B7D">
        <w:rPr>
          <w:rFonts w:asciiTheme="minorBidi" w:hAnsiTheme="minorBidi"/>
          <w:rtl/>
        </w:rPr>
        <w:t xml:space="preserve"> קידושין דשם מגלה דעתו בנתינה זו שהיא מקודשת.</w:t>
      </w:r>
    </w:p>
    <w:p w14:paraId="2C9C07B4" w14:textId="77777777" w:rsidR="008E16D0" w:rsidRPr="00351B7D" w:rsidRDefault="008E16D0" w:rsidP="00A8697F">
      <w:pPr>
        <w:pStyle w:val="ab"/>
        <w:numPr>
          <w:ilvl w:val="0"/>
          <w:numId w:val="15"/>
        </w:numPr>
        <w:rPr>
          <w:rFonts w:asciiTheme="minorBidi" w:hAnsiTheme="minorBidi"/>
        </w:rPr>
      </w:pPr>
      <w:r w:rsidRPr="00351B7D">
        <w:rPr>
          <w:rFonts w:asciiTheme="minorBidi" w:hAnsiTheme="minorBidi"/>
          <w:rtl/>
        </w:rPr>
        <w:lastRenderedPageBreak/>
        <w:t>רשב"א</w:t>
      </w:r>
      <w:r w:rsidRPr="00351B7D">
        <w:rPr>
          <w:rStyle w:val="a7"/>
          <w:rFonts w:asciiTheme="minorBidi" w:hAnsiTheme="minorBidi"/>
          <w:rtl/>
        </w:rPr>
        <w:footnoteReference w:id="177"/>
      </w:r>
      <w:r w:rsidRPr="00351B7D">
        <w:rPr>
          <w:rFonts w:asciiTheme="minorBidi" w:hAnsiTheme="minorBidi"/>
          <w:rtl/>
        </w:rPr>
        <w:t xml:space="preserve">- </w:t>
      </w:r>
      <w:r w:rsidRPr="00351B7D">
        <w:rPr>
          <w:rFonts w:asciiTheme="minorBidi" w:hAnsiTheme="minorBidi"/>
          <w:color w:val="000000"/>
          <w:rtl/>
        </w:rPr>
        <w:t>"אין זו מקודשת ואפילו אמרו עדים דלקדש נתכוונו אינה מקודשת. דמ"מ בשעת נתינה לא היו שם ידים מוכיחות... ומיהו יש לחוש להחמיר שמא בקדושי' כבענין זה לא בעינן ידים מוכיחות דצריכה גט</w:t>
      </w:r>
      <w:r w:rsidRPr="00351B7D">
        <w:rPr>
          <w:rStyle w:val="a7"/>
          <w:rFonts w:asciiTheme="minorBidi" w:hAnsiTheme="minorBidi"/>
          <w:rtl/>
        </w:rPr>
        <w:footnoteReference w:id="178"/>
      </w:r>
      <w:r w:rsidRPr="00351B7D">
        <w:rPr>
          <w:rFonts w:asciiTheme="minorBidi" w:hAnsiTheme="minorBidi"/>
          <w:rtl/>
        </w:rPr>
        <w:t>".</w:t>
      </w:r>
    </w:p>
    <w:p w14:paraId="78E04B6B"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האומר לחברו 'קח טבעת זו קידושין על בתך': </w:t>
      </w:r>
    </w:p>
    <w:p w14:paraId="4FBA4F91" w14:textId="77777777" w:rsidR="008E16D0" w:rsidRPr="00351B7D" w:rsidRDefault="008E16D0" w:rsidP="00A8697F">
      <w:pPr>
        <w:pStyle w:val="ab"/>
        <w:numPr>
          <w:ilvl w:val="0"/>
          <w:numId w:val="15"/>
        </w:numPr>
        <w:rPr>
          <w:rFonts w:asciiTheme="minorBidi" w:hAnsiTheme="minorBidi"/>
          <w:rtl/>
        </w:rPr>
      </w:pPr>
      <w:r w:rsidRPr="00351B7D">
        <w:rPr>
          <w:rFonts w:asciiTheme="minorBidi" w:hAnsiTheme="minorBidi"/>
          <w:rtl/>
        </w:rPr>
        <w:t>תשב"ץ</w:t>
      </w:r>
      <w:r w:rsidRPr="00351B7D">
        <w:rPr>
          <w:rFonts w:asciiTheme="minorBidi" w:hAnsiTheme="minorBidi"/>
          <w:sz w:val="16"/>
          <w:szCs w:val="16"/>
          <w:rtl/>
        </w:rPr>
        <w:t xml:space="preserve"> (ח"א סי' כג, הביאו מהר"י בירב סי' מב, הביאם הב"י)</w:t>
      </w:r>
      <w:r w:rsidRPr="00351B7D">
        <w:rPr>
          <w:rFonts w:asciiTheme="minorBidi" w:hAnsiTheme="minorBidi"/>
          <w:rtl/>
        </w:rPr>
        <w:t>- אינו כלום שאינו מוכיח בדברים אלו שהאשה הוא מקדש</w:t>
      </w:r>
      <w:r w:rsidRPr="00351B7D">
        <w:rPr>
          <w:rStyle w:val="a7"/>
          <w:rFonts w:asciiTheme="minorBidi" w:hAnsiTheme="minorBidi"/>
          <w:rtl/>
        </w:rPr>
        <w:footnoteReference w:id="179"/>
      </w:r>
      <w:r w:rsidRPr="00351B7D">
        <w:rPr>
          <w:rFonts w:asciiTheme="minorBidi" w:hAnsiTheme="minorBidi"/>
          <w:rtl/>
        </w:rPr>
        <w:t>.</w:t>
      </w:r>
    </w:p>
    <w:p w14:paraId="398B45B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FE67BB"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יש מי שאומר שאם כשנתן לה הכסף אמר לה: הריני נותנו לך בתורת קדושין, הוי כאומר לי</w:t>
      </w:r>
      <w:r w:rsidRPr="00351B7D">
        <w:rPr>
          <w:rStyle w:val="a7"/>
          <w:rFonts w:asciiTheme="minorBidi" w:hAnsiTheme="minorBidi"/>
          <w:color w:val="000000"/>
          <w:rtl/>
        </w:rPr>
        <w:footnoteReference w:id="180"/>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וצריך שיאמר לה לשון המוכיח להבא כגון שאומר 'הרי הן קדושין' או 'קדושין יהיו', אבל אמר 'הן קדושין' לחוד אינו כלום (ב"י בשם תשובת הרב דוראן).</w:t>
      </w:r>
    </w:p>
    <w:p w14:paraId="70DE3A23" w14:textId="77777777" w:rsidR="008E16D0" w:rsidRPr="00351B7D" w:rsidRDefault="008E16D0" w:rsidP="008E16D0">
      <w:pPr>
        <w:rPr>
          <w:rFonts w:asciiTheme="minorBidi" w:hAnsiTheme="minorBidi"/>
          <w:color w:val="000000"/>
          <w:rtl/>
        </w:rPr>
      </w:pPr>
    </w:p>
    <w:p w14:paraId="18693C51" w14:textId="77777777" w:rsidR="008E16D0" w:rsidRPr="00351B7D" w:rsidRDefault="008E16D0" w:rsidP="008E16D0">
      <w:pPr>
        <w:pStyle w:val="2"/>
        <w:rPr>
          <w:rFonts w:asciiTheme="minorBidi" w:hAnsiTheme="minorBidi"/>
          <w:rtl/>
        </w:rPr>
      </w:pPr>
      <w:r w:rsidRPr="00351B7D">
        <w:rPr>
          <w:rFonts w:asciiTheme="minorBidi" w:hAnsiTheme="minorBidi"/>
          <w:rtl/>
        </w:rPr>
        <w:t>סעיף ו: אמר לה הריני אישך וכדו'.</w:t>
      </w:r>
    </w:p>
    <w:p w14:paraId="183B9C9C"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u w:val="single"/>
          <w:rtl/>
        </w:rPr>
        <w:t>אמר שמואל</w:t>
      </w:r>
      <w:r w:rsidRPr="00351B7D">
        <w:rPr>
          <w:rFonts w:asciiTheme="minorBidi" w:hAnsiTheme="minorBidi"/>
          <w:rtl/>
        </w:rPr>
        <w:t>: בקידושין, נתן לה כסף ושוה כסף ואמר לה... הריני אישך, הריני בעליך, הריני ארוסיך- אין כאן בית מיחוש</w:t>
      </w:r>
      <w:r w:rsidRPr="00351B7D">
        <w:rPr>
          <w:rStyle w:val="a7"/>
          <w:rFonts w:asciiTheme="minorBidi" w:hAnsiTheme="minorBidi"/>
          <w:rtl/>
        </w:rPr>
        <w:footnoteReference w:id="181"/>
      </w:r>
      <w:r w:rsidRPr="00351B7D">
        <w:rPr>
          <w:rFonts w:asciiTheme="minorBidi" w:hAnsiTheme="minorBidi"/>
          <w:rtl/>
        </w:rPr>
        <w:t xml:space="preserve">... הכא כתיב: כי יקח- ולא שיקח את עצמו... </w:t>
      </w:r>
    </w:p>
    <w:p w14:paraId="41F3D474"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היה מדבר עמה עע"ק ואמר לה 'הריני אישך' וכדו':</w:t>
      </w:r>
    </w:p>
    <w:p w14:paraId="422A406E" w14:textId="77777777" w:rsidR="008E16D0" w:rsidRPr="00351B7D" w:rsidRDefault="008E16D0" w:rsidP="00A8697F">
      <w:pPr>
        <w:pStyle w:val="ab"/>
        <w:numPr>
          <w:ilvl w:val="0"/>
          <w:numId w:val="17"/>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(סי' ב)</w:t>
      </w:r>
      <w:r w:rsidRPr="00351B7D">
        <w:rPr>
          <w:rFonts w:asciiTheme="minorBidi" w:hAnsiTheme="minorBidi"/>
          <w:rtl/>
        </w:rPr>
        <w:t xml:space="preserve">- אינה מקודשת כלל, משום דהני לישני גריעי מנתן לה בשתיקה. </w:t>
      </w:r>
      <w:r w:rsidRPr="00351B7D">
        <w:rPr>
          <w:rFonts w:asciiTheme="minorBidi" w:hAnsiTheme="minorBidi"/>
          <w:color w:val="E36C0A" w:themeColor="accent6" w:themeShade="BF"/>
          <w:rtl/>
        </w:rPr>
        <w:t>(וכ"פ בשו"ע)</w:t>
      </w:r>
    </w:p>
    <w:p w14:paraId="69F69114" w14:textId="77777777" w:rsidR="008E16D0" w:rsidRPr="00351B7D" w:rsidRDefault="008E16D0" w:rsidP="00A8697F">
      <w:pPr>
        <w:pStyle w:val="ab"/>
        <w:numPr>
          <w:ilvl w:val="0"/>
          <w:numId w:val="17"/>
        </w:numPr>
        <w:rPr>
          <w:rFonts w:asciiTheme="minorBidi" w:hAnsiTheme="minorBidi"/>
        </w:rPr>
      </w:pPr>
      <w:r w:rsidRPr="00351B7D">
        <w:rPr>
          <w:rFonts w:asciiTheme="minorBidi" w:hAnsiTheme="minorBidi"/>
          <w:rtl/>
        </w:rPr>
        <w:t>י"א</w:t>
      </w:r>
      <w:r w:rsidRPr="00351B7D">
        <w:rPr>
          <w:rFonts w:asciiTheme="minorBidi" w:hAnsiTheme="minorBidi"/>
          <w:sz w:val="16"/>
          <w:szCs w:val="16"/>
          <w:rtl/>
        </w:rPr>
        <w:t xml:space="preserve"> (הביאם רי"ו</w:t>
      </w:r>
      <w:r w:rsidRPr="00351B7D">
        <w:rPr>
          <w:rFonts w:asciiTheme="minorBidi" w:hAnsiTheme="minorBidi"/>
          <w:sz w:val="14"/>
          <w:szCs w:val="14"/>
          <w:rtl/>
        </w:rPr>
        <w:t xml:space="preserve"> [נכ"ב ח"א]</w:t>
      </w:r>
      <w:r w:rsidRPr="00351B7D">
        <w:rPr>
          <w:rFonts w:asciiTheme="minorBidi" w:hAnsiTheme="minorBidi"/>
          <w:sz w:val="16"/>
          <w:szCs w:val="16"/>
          <w:rtl/>
        </w:rPr>
        <w:t>)</w:t>
      </w:r>
      <w:r w:rsidRPr="00351B7D">
        <w:rPr>
          <w:rFonts w:asciiTheme="minorBidi" w:hAnsiTheme="minorBidi"/>
          <w:rtl/>
        </w:rPr>
        <w:t>- הוי ספק מקודשת</w:t>
      </w:r>
      <w:r w:rsidRPr="00351B7D">
        <w:rPr>
          <w:rStyle w:val="a7"/>
          <w:rFonts w:asciiTheme="minorBidi" w:hAnsiTheme="minorBidi"/>
          <w:rtl/>
        </w:rPr>
        <w:footnoteReference w:id="182"/>
      </w:r>
      <w:r w:rsidRPr="00351B7D">
        <w:rPr>
          <w:rFonts w:asciiTheme="minorBidi" w:hAnsiTheme="minorBidi"/>
          <w:rtl/>
        </w:rPr>
        <w:t xml:space="preserve">.  </w:t>
      </w:r>
    </w:p>
    <w:p w14:paraId="3328934B" w14:textId="77777777" w:rsidR="008E16D0" w:rsidRPr="00351B7D" w:rsidRDefault="008E16D0" w:rsidP="00A8697F">
      <w:pPr>
        <w:pStyle w:val="ab"/>
        <w:numPr>
          <w:ilvl w:val="0"/>
          <w:numId w:val="17"/>
        </w:numPr>
        <w:rPr>
          <w:rFonts w:asciiTheme="minorBidi" w:hAnsiTheme="minorBidi"/>
        </w:rPr>
      </w:pPr>
      <w:r w:rsidRPr="00351B7D">
        <w:rPr>
          <w:rFonts w:asciiTheme="minorBidi" w:hAnsiTheme="minorBidi"/>
          <w:rtl/>
        </w:rPr>
        <w:t>י"א</w:t>
      </w:r>
      <w:r w:rsidRPr="00351B7D">
        <w:rPr>
          <w:rFonts w:asciiTheme="minorBidi" w:hAnsiTheme="minorBidi"/>
          <w:sz w:val="16"/>
          <w:szCs w:val="16"/>
          <w:rtl/>
        </w:rPr>
        <w:t xml:space="preserve"> (הביאם רי"ו)</w:t>
      </w:r>
      <w:r w:rsidRPr="00351B7D">
        <w:rPr>
          <w:rFonts w:asciiTheme="minorBidi" w:hAnsiTheme="minorBidi"/>
          <w:rtl/>
        </w:rPr>
        <w:t xml:space="preserve">- מקודשת ודאי, דלא גרע מהיכא דנתן לה בשתיקה. </w:t>
      </w:r>
    </w:p>
    <w:p w14:paraId="36A774B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3593D4" w14:textId="77777777" w:rsidR="008E16D0" w:rsidRPr="00351B7D" w:rsidRDefault="008E16D0" w:rsidP="008E16D0">
      <w:pPr>
        <w:rPr>
          <w:rFonts w:asciiTheme="minorBidi" w:hAnsiTheme="minorBidi"/>
          <w:color w:val="000000"/>
          <w:rtl/>
        </w:rPr>
      </w:pPr>
      <w:r w:rsidRPr="00351B7D">
        <w:rPr>
          <w:rFonts w:asciiTheme="minorBidi" w:hAnsiTheme="minorBidi"/>
          <w:rtl/>
        </w:rPr>
        <w:t>אמר לה הריני אישיך הריני בעליך הריני ארוסיך אינו כלום</w:t>
      </w:r>
      <w:r w:rsidRPr="00351B7D">
        <w:rPr>
          <w:rStyle w:val="a7"/>
          <w:rFonts w:asciiTheme="minorBidi" w:hAnsiTheme="minorBidi"/>
          <w:color w:val="000000"/>
          <w:rtl/>
        </w:rPr>
        <w:footnoteReference w:id="183"/>
      </w:r>
      <w:r w:rsidRPr="00351B7D">
        <w:rPr>
          <w:rFonts w:asciiTheme="minorBidi" w:hAnsiTheme="minorBidi"/>
          <w:rtl/>
        </w:rPr>
        <w:t xml:space="preserve"> אפילו היה מדבר עמה תחלה על עסקי קדושין משום דכתיב כי יקח ולא שיקח את עצמו.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(נתן הכסף לאחד ואמר לו הרי את חמי ולא אמר בתך מקודשת לי אין בזה כלום</w:t>
      </w:r>
      <w:r w:rsidRPr="00351B7D">
        <w:rPr>
          <w:rStyle w:val="a7"/>
          <w:rFonts w:asciiTheme="minorBidi" w:hAnsiTheme="minorBidi"/>
          <w:color w:val="000000"/>
          <w:sz w:val="18"/>
          <w:szCs w:val="18"/>
          <w:rtl/>
        </w:rPr>
        <w:footnoteReference w:id="184"/>
      </w:r>
      <w:r w:rsidRPr="00351B7D">
        <w:rPr>
          <w:rFonts w:asciiTheme="minorBidi" w:hAnsiTheme="minorBidi"/>
          <w:color w:val="000000"/>
          <w:sz w:val="16"/>
          <w:szCs w:val="16"/>
          <w:rtl/>
        </w:rPr>
        <w:t xml:space="preserve"> </w:t>
      </w:r>
      <w:r w:rsidRPr="00351B7D">
        <w:rPr>
          <w:rFonts w:asciiTheme="minorBidi" w:hAnsiTheme="minorBidi"/>
          <w:color w:val="000000"/>
          <w:sz w:val="14"/>
          <w:szCs w:val="14"/>
          <w:rtl/>
        </w:rPr>
        <w:t>(שלט"ג פ"ק דקדושין)</w:t>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0F7515D1" w14:textId="77777777" w:rsidR="008E16D0" w:rsidRPr="00351B7D" w:rsidRDefault="008E16D0" w:rsidP="008E16D0">
      <w:pPr>
        <w:rPr>
          <w:rFonts w:asciiTheme="minorBidi" w:hAnsiTheme="minorBidi"/>
          <w:color w:val="000000"/>
          <w:rtl/>
        </w:rPr>
      </w:pPr>
    </w:p>
    <w:p w14:paraId="19D2B8B0" w14:textId="77777777" w:rsidR="008E16D0" w:rsidRPr="00351B7D" w:rsidRDefault="008E16D0" w:rsidP="008E16D0">
      <w:pPr>
        <w:pStyle w:val="2"/>
        <w:rPr>
          <w:rFonts w:asciiTheme="minorBidi" w:hAnsiTheme="minorBidi"/>
          <w:rtl/>
        </w:rPr>
      </w:pPr>
      <w:r w:rsidRPr="00351B7D">
        <w:rPr>
          <w:rFonts w:asciiTheme="minorBidi" w:hAnsiTheme="minorBidi"/>
          <w:rtl/>
        </w:rPr>
        <w:t>סעיף ז: נתנה היא ואמרה היא.</w:t>
      </w:r>
    </w:p>
    <w:p w14:paraId="4403EF89"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rtl/>
        </w:rPr>
        <w:t>ת"ר: כיצד בכסף.... נתנה היא ואמרה היא</w:t>
      </w:r>
      <w:r w:rsidRPr="00351B7D">
        <w:rPr>
          <w:rStyle w:val="a7"/>
          <w:rFonts w:asciiTheme="minorBidi" w:hAnsiTheme="minorBidi"/>
          <w:rtl/>
        </w:rPr>
        <w:footnoteReference w:id="185"/>
      </w:r>
      <w:r w:rsidRPr="00351B7D">
        <w:rPr>
          <w:rFonts w:asciiTheme="minorBidi" w:hAnsiTheme="minorBidi"/>
          <w:rtl/>
        </w:rPr>
        <w:t xml:space="preserve">- אינה מקודשת. </w:t>
      </w:r>
    </w:p>
    <w:p w14:paraId="66092C11"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08EC6517" w14:textId="77777777" w:rsidR="008E16D0" w:rsidRPr="00351B7D" w:rsidRDefault="008E16D0" w:rsidP="008E16D0">
      <w:pPr>
        <w:rPr>
          <w:rFonts w:asciiTheme="minorBidi" w:hAnsiTheme="minorBidi"/>
          <w:rtl/>
        </w:rPr>
      </w:pPr>
      <w:r w:rsidRPr="00351B7D">
        <w:rPr>
          <w:rFonts w:asciiTheme="minorBidi" w:hAnsiTheme="minorBidi"/>
          <w:rtl/>
        </w:rPr>
        <w:t xml:space="preserve">נתנה היא לו כסף ואמרה הריני מקודשת לך אינה מקודשת. </w:t>
      </w:r>
    </w:p>
    <w:p w14:paraId="6FEEDFD2" w14:textId="77777777" w:rsidR="008E16D0" w:rsidRPr="00351B7D" w:rsidRDefault="008E16D0" w:rsidP="008E16D0">
      <w:pPr>
        <w:rPr>
          <w:rFonts w:asciiTheme="minorBidi" w:hAnsiTheme="minorBidi"/>
          <w:color w:val="000000"/>
          <w:rtl/>
        </w:rPr>
      </w:pPr>
    </w:p>
    <w:p w14:paraId="3A0D6B88" w14:textId="77777777" w:rsidR="008E16D0" w:rsidRPr="00351B7D" w:rsidRDefault="008E16D0" w:rsidP="008E16D0">
      <w:pPr>
        <w:pStyle w:val="2"/>
        <w:rPr>
          <w:rFonts w:asciiTheme="minorBidi" w:hAnsiTheme="minorBidi"/>
          <w:rtl/>
        </w:rPr>
      </w:pPr>
      <w:r w:rsidRPr="00351B7D">
        <w:rPr>
          <w:rFonts w:asciiTheme="minorBidi" w:hAnsiTheme="minorBidi"/>
          <w:rtl/>
        </w:rPr>
        <w:t>סעיף ח: נתן הוא ואמרה היא.</w:t>
      </w:r>
    </w:p>
    <w:p w14:paraId="2FE31E25"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rtl/>
        </w:rPr>
        <w:t>ת"ר: כיצד בכסף.... נתן הוא</w:t>
      </w:r>
      <w:r w:rsidRPr="00351B7D">
        <w:rPr>
          <w:rStyle w:val="a7"/>
          <w:rFonts w:asciiTheme="minorBidi" w:hAnsiTheme="minorBidi"/>
          <w:rtl/>
        </w:rPr>
        <w:footnoteReference w:id="186"/>
      </w:r>
      <w:r w:rsidRPr="00351B7D">
        <w:rPr>
          <w:rFonts w:asciiTheme="minorBidi" w:hAnsiTheme="minorBidi"/>
          <w:rtl/>
        </w:rPr>
        <w:t xml:space="preserve"> ואמרה היא</w:t>
      </w:r>
      <w:r w:rsidRPr="00351B7D">
        <w:rPr>
          <w:rStyle w:val="a7"/>
          <w:rFonts w:asciiTheme="minorBidi" w:hAnsiTheme="minorBidi"/>
          <w:rtl/>
        </w:rPr>
        <w:footnoteReference w:id="187"/>
      </w:r>
      <w:r w:rsidRPr="00351B7D">
        <w:rPr>
          <w:rFonts w:asciiTheme="minorBidi" w:hAnsiTheme="minorBidi"/>
          <w:rtl/>
        </w:rPr>
        <w:t>- ספיקא היא</w:t>
      </w:r>
      <w:r w:rsidRPr="00351B7D">
        <w:rPr>
          <w:rStyle w:val="a7"/>
          <w:rFonts w:asciiTheme="minorBidi" w:hAnsiTheme="minorBidi"/>
          <w:rtl/>
        </w:rPr>
        <w:footnoteReference w:id="188"/>
      </w:r>
      <w:r w:rsidRPr="00351B7D">
        <w:rPr>
          <w:rFonts w:asciiTheme="minorBidi" w:hAnsiTheme="minorBidi"/>
          <w:rtl/>
        </w:rPr>
        <w:t xml:space="preserve"> וחיישינן מדרבנן</w:t>
      </w:r>
      <w:r w:rsidRPr="00351B7D">
        <w:rPr>
          <w:rStyle w:val="a7"/>
          <w:rFonts w:asciiTheme="minorBidi" w:hAnsiTheme="minorBidi"/>
          <w:rtl/>
        </w:rPr>
        <w:footnoteReference w:id="189"/>
      </w:r>
      <w:r w:rsidRPr="00351B7D">
        <w:rPr>
          <w:rFonts w:asciiTheme="minorBidi" w:hAnsiTheme="minorBidi"/>
          <w:rtl/>
        </w:rPr>
        <w:t xml:space="preserve">. </w:t>
      </w:r>
      <w:r w:rsidRPr="00351B7D">
        <w:rPr>
          <w:rFonts w:asciiTheme="minorBidi" w:hAnsiTheme="minorBidi"/>
          <w:color w:val="000000"/>
          <w:sz w:val="16"/>
          <w:szCs w:val="16"/>
          <w:rtl/>
        </w:rPr>
        <w:t>(וכ' הרא"ש (סי' ב) דמיירי שלא דיבר עמה תחלה על עסקי קידושיה, דאילו דיבר עמה תחלה אפילו נתן לה בשתיקה מקודשת ובשביל אמירתה לא גרע. וכן דעת הרמב"ם</w:t>
      </w:r>
      <w:r w:rsidRPr="00351B7D">
        <w:rPr>
          <w:rStyle w:val="a7"/>
          <w:rFonts w:asciiTheme="minorBidi" w:hAnsiTheme="minorBidi"/>
          <w:sz w:val="16"/>
          <w:szCs w:val="16"/>
          <w:rtl/>
        </w:rPr>
        <w:footnoteReference w:id="190"/>
      </w:r>
      <w:r w:rsidRPr="00351B7D">
        <w:rPr>
          <w:rFonts w:asciiTheme="minorBidi" w:hAnsiTheme="minorBidi"/>
          <w:color w:val="000000"/>
          <w:sz w:val="16"/>
          <w:szCs w:val="16"/>
          <w:rtl/>
        </w:rPr>
        <w:t>. וכ' הרמ"ה (הביאו הטור) דכ"ש אם ענה הבעל 'הן' בשעת נתינה דהוי ודאי קדושין אפי' אם אין עסוקים באותו ענין, וכ"כ רי"ו, וכ' הב"י דטעמא דמסתבר הוא)</w:t>
      </w:r>
      <w:r w:rsidRPr="00351B7D">
        <w:rPr>
          <w:rFonts w:asciiTheme="minorBidi" w:hAnsiTheme="minorBidi"/>
          <w:rtl/>
        </w:rPr>
        <w:t xml:space="preserve"> </w:t>
      </w:r>
    </w:p>
    <w:p w14:paraId="37082DD6"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D32DA7" w14:textId="77777777" w:rsidR="008E16D0" w:rsidRPr="00351B7D" w:rsidRDefault="008E16D0" w:rsidP="008E16D0">
      <w:pPr>
        <w:rPr>
          <w:rFonts w:asciiTheme="minorBidi" w:hAnsiTheme="minorBidi"/>
          <w:rtl/>
        </w:rPr>
      </w:pPr>
      <w:r w:rsidRPr="00351B7D">
        <w:rPr>
          <w:rFonts w:asciiTheme="minorBidi" w:hAnsiTheme="minorBidi"/>
          <w:rtl/>
        </w:rPr>
        <w:t>נתן הוא ואמרה היא אם היה מדבר עמה על עסקי קדושין הוי ודאי קדושין ואם לאו הוי ספק קדושין</w:t>
      </w:r>
      <w:r w:rsidRPr="00351B7D">
        <w:rPr>
          <w:rStyle w:val="a7"/>
          <w:rFonts w:asciiTheme="minorBidi" w:hAnsiTheme="minorBidi"/>
          <w:color w:val="000000"/>
          <w:rtl/>
        </w:rPr>
        <w:footnoteReference w:id="191"/>
      </w:r>
      <w:r w:rsidRPr="00351B7D">
        <w:rPr>
          <w:rFonts w:asciiTheme="minorBidi" w:hAnsiTheme="minorBidi"/>
          <w:rtl/>
        </w:rPr>
        <w:t>, ואם ענה הבעל הן בשעת נתינה הוי ודאי קדושין אפילו אין עוסקין באותו ענין</w:t>
      </w:r>
      <w:r w:rsidRPr="00351B7D">
        <w:rPr>
          <w:rStyle w:val="a7"/>
          <w:rFonts w:asciiTheme="minorBidi" w:hAnsiTheme="minorBidi"/>
          <w:rtl/>
        </w:rPr>
        <w:footnoteReference w:id="192"/>
      </w:r>
      <w:r w:rsidRPr="00351B7D">
        <w:rPr>
          <w:rFonts w:asciiTheme="minorBidi" w:hAnsiTheme="minorBidi"/>
          <w:rtl/>
        </w:rPr>
        <w:t xml:space="preserve">. </w:t>
      </w:r>
    </w:p>
    <w:p w14:paraId="738B415F" w14:textId="77777777" w:rsidR="008E16D0" w:rsidRPr="00351B7D" w:rsidRDefault="008E16D0" w:rsidP="008E16D0">
      <w:pPr>
        <w:rPr>
          <w:rFonts w:asciiTheme="minorBidi" w:hAnsiTheme="minorBidi"/>
          <w:rtl/>
        </w:rPr>
      </w:pPr>
    </w:p>
    <w:p w14:paraId="4057D452" w14:textId="77777777" w:rsidR="008E16D0" w:rsidRPr="00351B7D" w:rsidRDefault="008E16D0" w:rsidP="008E16D0">
      <w:pPr>
        <w:pStyle w:val="2"/>
        <w:rPr>
          <w:rFonts w:asciiTheme="minorBidi" w:hAnsiTheme="minorBidi"/>
          <w:rtl/>
        </w:rPr>
      </w:pPr>
      <w:r w:rsidRPr="00351B7D">
        <w:rPr>
          <w:rFonts w:asciiTheme="minorBidi" w:hAnsiTheme="minorBidi"/>
          <w:rtl/>
        </w:rPr>
        <w:t>סעיף ט: נתנה היא ואמר הוא.</w:t>
      </w:r>
    </w:p>
    <w:p w14:paraId="04791C8B"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rtl/>
        </w:rPr>
        <w:t>ת"ר: כיצד בכסף.... נתנה היא ואמרה היא</w:t>
      </w:r>
      <w:r w:rsidRPr="00351B7D">
        <w:rPr>
          <w:rStyle w:val="a7"/>
          <w:rFonts w:asciiTheme="minorBidi" w:hAnsiTheme="minorBidi"/>
          <w:rtl/>
        </w:rPr>
        <w:footnoteReference w:id="193"/>
      </w:r>
      <w:r w:rsidRPr="00351B7D">
        <w:rPr>
          <w:rFonts w:asciiTheme="minorBidi" w:hAnsiTheme="minorBidi"/>
          <w:rtl/>
        </w:rPr>
        <w:t>- אינה מקודשת.</w:t>
      </w:r>
    </w:p>
    <w:p w14:paraId="3548B04D"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b/>
          <w:bCs/>
          <w:rtl/>
        </w:rPr>
        <w:t xml:space="preserve">קדושין ז ע"א: </w:t>
      </w:r>
      <w:r w:rsidRPr="00351B7D">
        <w:rPr>
          <w:rFonts w:asciiTheme="minorBidi" w:hAnsiTheme="minorBidi"/>
          <w:u w:val="single"/>
          <w:rtl/>
        </w:rPr>
        <w:t>בעי רבא</w:t>
      </w:r>
      <w:r w:rsidRPr="00351B7D">
        <w:rPr>
          <w:rFonts w:asciiTheme="minorBidi" w:hAnsiTheme="minorBidi"/>
          <w:rtl/>
        </w:rPr>
        <w:t>: הילך מנה ואקדש אני לך</w:t>
      </w:r>
      <w:r w:rsidRPr="00351B7D">
        <w:rPr>
          <w:rStyle w:val="a7"/>
          <w:rFonts w:asciiTheme="minorBidi" w:hAnsiTheme="minorBidi"/>
          <w:rtl/>
        </w:rPr>
        <w:footnoteReference w:id="194"/>
      </w:r>
      <w:r w:rsidRPr="00351B7D">
        <w:rPr>
          <w:rFonts w:asciiTheme="minorBidi" w:hAnsiTheme="minorBidi"/>
          <w:rtl/>
        </w:rPr>
        <w:t xml:space="preserve">, מהו? </w:t>
      </w:r>
      <w:r w:rsidRPr="00351B7D">
        <w:rPr>
          <w:rFonts w:asciiTheme="minorBidi" w:hAnsiTheme="minorBidi"/>
          <w:u w:val="single"/>
          <w:rtl/>
        </w:rPr>
        <w:t>אמר מר זוטרא משמיה דרב פפא</w:t>
      </w:r>
      <w:r w:rsidRPr="00351B7D">
        <w:rPr>
          <w:rFonts w:asciiTheme="minorBidi" w:hAnsiTheme="minorBidi"/>
          <w:rtl/>
        </w:rPr>
        <w:t xml:space="preserve">: מקודשת. </w:t>
      </w:r>
      <w:r w:rsidRPr="00351B7D">
        <w:rPr>
          <w:rFonts w:asciiTheme="minorBidi" w:hAnsiTheme="minorBidi"/>
          <w:u w:val="single"/>
          <w:rtl/>
        </w:rPr>
        <w:t>אמר ליה רב אשי למר זוטרא</w:t>
      </w:r>
      <w:r w:rsidRPr="00351B7D">
        <w:rPr>
          <w:rFonts w:asciiTheme="minorBidi" w:hAnsiTheme="minorBidi"/>
          <w:rtl/>
        </w:rPr>
        <w:t>: אם כן, הוה ליה נכסים שיש להם אחריות</w:t>
      </w:r>
      <w:r w:rsidRPr="00351B7D">
        <w:rPr>
          <w:rStyle w:val="a7"/>
          <w:rFonts w:asciiTheme="minorBidi" w:hAnsiTheme="minorBidi"/>
          <w:rtl/>
        </w:rPr>
        <w:footnoteReference w:id="195"/>
      </w:r>
      <w:r w:rsidRPr="00351B7D">
        <w:rPr>
          <w:rFonts w:asciiTheme="minorBidi" w:hAnsiTheme="minorBidi"/>
          <w:rtl/>
        </w:rPr>
        <w:t xml:space="preserve"> נקנין עם נכסים שאין להם אחריות</w:t>
      </w:r>
      <w:r w:rsidRPr="00351B7D">
        <w:rPr>
          <w:rStyle w:val="a7"/>
          <w:rFonts w:asciiTheme="minorBidi" w:hAnsiTheme="minorBidi"/>
          <w:rtl/>
        </w:rPr>
        <w:footnoteReference w:id="196"/>
      </w:r>
      <w:r w:rsidRPr="00351B7D">
        <w:rPr>
          <w:rFonts w:asciiTheme="minorBidi" w:hAnsiTheme="minorBidi"/>
          <w:rtl/>
        </w:rPr>
        <w:t>, ואנן איפכא תנן</w:t>
      </w:r>
      <w:r w:rsidRPr="00351B7D">
        <w:rPr>
          <w:rStyle w:val="a7"/>
          <w:rFonts w:asciiTheme="minorBidi" w:hAnsiTheme="minorBidi"/>
          <w:rtl/>
        </w:rPr>
        <w:footnoteReference w:id="197"/>
      </w:r>
      <w:r w:rsidRPr="00351B7D">
        <w:rPr>
          <w:rFonts w:asciiTheme="minorBidi" w:hAnsiTheme="minorBidi"/>
          <w:rtl/>
        </w:rPr>
        <w:t xml:space="preserve">: נכסים שאין להם אחריות נקנין עם נכסים שיש להם אחריות - בכסף בשטר ובחזקה! </w:t>
      </w:r>
      <w:r w:rsidRPr="00351B7D">
        <w:rPr>
          <w:rFonts w:asciiTheme="minorBidi" w:hAnsiTheme="minorBidi"/>
          <w:u w:val="single"/>
          <w:rtl/>
        </w:rPr>
        <w:t>אמר ליה</w:t>
      </w:r>
      <w:r w:rsidRPr="00351B7D">
        <w:rPr>
          <w:rFonts w:asciiTheme="minorBidi" w:hAnsiTheme="minorBidi"/>
          <w:rtl/>
        </w:rPr>
        <w:t>: מי סברת דאמרה ליה אגב? הכא באדם חשוב עסקינן</w:t>
      </w:r>
      <w:r w:rsidRPr="00351B7D">
        <w:rPr>
          <w:rStyle w:val="a7"/>
          <w:rFonts w:asciiTheme="minorBidi" w:hAnsiTheme="minorBidi"/>
          <w:rtl/>
        </w:rPr>
        <w:footnoteReference w:id="198"/>
      </w:r>
      <w:r w:rsidRPr="00351B7D">
        <w:rPr>
          <w:rFonts w:asciiTheme="minorBidi" w:hAnsiTheme="minorBidi"/>
          <w:rtl/>
        </w:rPr>
        <w:t>, דבההיא הנאה דקא מקבל מתנה מינה</w:t>
      </w:r>
      <w:r w:rsidRPr="00351B7D">
        <w:rPr>
          <w:rStyle w:val="a7"/>
          <w:rFonts w:asciiTheme="minorBidi" w:hAnsiTheme="minorBidi"/>
          <w:rtl/>
        </w:rPr>
        <w:footnoteReference w:id="199"/>
      </w:r>
      <w:r w:rsidRPr="00351B7D">
        <w:rPr>
          <w:rFonts w:asciiTheme="minorBidi" w:hAnsiTheme="minorBidi"/>
          <w:rtl/>
        </w:rPr>
        <w:t xml:space="preserve"> - גמרה ומקניא ליה נפשה.</w:t>
      </w:r>
    </w:p>
    <w:p w14:paraId="40A04F77" w14:textId="77777777" w:rsidR="008E16D0" w:rsidRPr="00351B7D" w:rsidRDefault="008E16D0" w:rsidP="008E16D0">
      <w:pPr>
        <w:rPr>
          <w:rFonts w:asciiTheme="minorBidi" w:hAnsiTheme="minorBidi"/>
          <w:u w:val="single"/>
          <w:rtl/>
        </w:rPr>
      </w:pPr>
      <w:r w:rsidRPr="00351B7D">
        <w:rPr>
          <w:rFonts w:asciiTheme="minorBidi" w:hAnsiTheme="minorBidi"/>
          <w:u w:val="single"/>
          <w:rtl/>
        </w:rPr>
        <w:lastRenderedPageBreak/>
        <w:t>כדי שיהיו קדושין במקרה שנתנה היא ואמר הוא, צריך לכתחילה שיתקיימו ג' תנאים</w:t>
      </w:r>
      <w:r w:rsidRPr="00351B7D">
        <w:rPr>
          <w:rStyle w:val="a7"/>
          <w:rFonts w:asciiTheme="minorBidi" w:hAnsiTheme="minorBidi"/>
          <w:u w:val="single"/>
          <w:rtl/>
        </w:rPr>
        <w:footnoteReference w:id="200"/>
      </w:r>
      <w:r w:rsidRPr="00351B7D">
        <w:rPr>
          <w:rFonts w:asciiTheme="minorBidi" w:hAnsiTheme="minorBidi"/>
          <w:u w:val="single"/>
          <w:rtl/>
        </w:rPr>
        <w:t>, מה הדין אם חסר אחד מהם:</w:t>
      </w:r>
    </w:p>
    <w:p w14:paraId="61156BBC" w14:textId="77777777" w:rsidR="008E16D0" w:rsidRPr="00351B7D" w:rsidRDefault="008E16D0" w:rsidP="008E16D0">
      <w:pPr>
        <w:ind w:left="720"/>
        <w:rPr>
          <w:rFonts w:asciiTheme="minorBidi" w:hAnsiTheme="minorBidi"/>
          <w:u w:val="dotted"/>
          <w:rtl/>
        </w:rPr>
      </w:pPr>
      <w:r w:rsidRPr="00351B7D">
        <w:rPr>
          <w:rFonts w:asciiTheme="minorBidi" w:hAnsiTheme="minorBidi"/>
          <w:u w:val="dotted"/>
          <w:rtl/>
        </w:rPr>
        <w:t xml:space="preserve">מה הדין אם לא אמרה היא 'הילך מנה ואקדש אני לך': </w:t>
      </w:r>
    </w:p>
    <w:p w14:paraId="0DD2ED88" w14:textId="77777777" w:rsidR="008E16D0" w:rsidRPr="00351B7D" w:rsidRDefault="008E16D0" w:rsidP="00A8697F">
      <w:pPr>
        <w:pStyle w:val="ab"/>
        <w:numPr>
          <w:ilvl w:val="0"/>
          <w:numId w:val="21"/>
        </w:numPr>
        <w:rPr>
          <w:rFonts w:asciiTheme="minorBidi" w:hAnsiTheme="minorBidi"/>
        </w:rPr>
      </w:pPr>
      <w:r w:rsidRPr="00351B7D">
        <w:rPr>
          <w:rFonts w:asciiTheme="minorBidi" w:hAnsiTheme="minorBidi"/>
          <w:rtl/>
        </w:rPr>
        <w:t xml:space="preserve">רי"ף </w:t>
      </w:r>
      <w:r w:rsidRPr="00351B7D">
        <w:rPr>
          <w:rFonts w:asciiTheme="minorBidi" w:hAnsiTheme="minorBidi"/>
          <w:sz w:val="16"/>
          <w:szCs w:val="16"/>
          <w:rtl/>
        </w:rPr>
        <w:t xml:space="preserve">(כ"כ הרשב"א </w:t>
      </w:r>
      <w:r w:rsidRPr="00351B7D">
        <w:rPr>
          <w:rFonts w:asciiTheme="minorBidi" w:hAnsiTheme="minorBidi"/>
          <w:sz w:val="14"/>
          <w:szCs w:val="14"/>
          <w:rtl/>
        </w:rPr>
        <w:t>[סי' תריג]</w:t>
      </w:r>
      <w:r w:rsidRPr="00351B7D">
        <w:rPr>
          <w:rFonts w:asciiTheme="minorBidi" w:hAnsiTheme="minorBidi"/>
          <w:sz w:val="16"/>
          <w:szCs w:val="16"/>
          <w:rtl/>
        </w:rPr>
        <w:t xml:space="preserve"> בשמו) </w:t>
      </w:r>
      <w:r w:rsidRPr="00351B7D">
        <w:rPr>
          <w:rFonts w:asciiTheme="minorBidi" w:hAnsiTheme="minorBidi"/>
          <w:rtl/>
        </w:rPr>
        <w:t>ורשב"א</w:t>
      </w:r>
      <w:r w:rsidRPr="00351B7D">
        <w:rPr>
          <w:rFonts w:asciiTheme="minorBidi" w:hAnsiTheme="minorBidi"/>
          <w:sz w:val="16"/>
          <w:szCs w:val="16"/>
          <w:rtl/>
        </w:rPr>
        <w:t xml:space="preserve"> (בחידו' </w:t>
      </w:r>
      <w:r w:rsidRPr="00351B7D">
        <w:rPr>
          <w:rFonts w:asciiTheme="minorBidi" w:hAnsiTheme="minorBidi"/>
          <w:sz w:val="14"/>
          <w:szCs w:val="14"/>
          <w:rtl/>
        </w:rPr>
        <w:t>[ה: ד"ה אבל נתן]</w:t>
      </w:r>
      <w:r w:rsidRPr="00351B7D">
        <w:rPr>
          <w:rFonts w:asciiTheme="minorBidi" w:hAnsiTheme="minorBidi"/>
          <w:sz w:val="16"/>
          <w:szCs w:val="16"/>
          <w:rtl/>
        </w:rPr>
        <w:t>)</w:t>
      </w:r>
      <w:r w:rsidRPr="00351B7D">
        <w:rPr>
          <w:rFonts w:asciiTheme="minorBidi" w:hAnsiTheme="minorBidi"/>
          <w:rtl/>
        </w:rPr>
        <w:t>- לא הוי קדושין.</w:t>
      </w:r>
      <w:r w:rsidRPr="00351B7D">
        <w:rPr>
          <w:rFonts w:asciiTheme="minorBidi" w:hAnsiTheme="minorBidi"/>
          <w:color w:val="E36C0A" w:themeColor="accent6" w:themeShade="BF"/>
          <w:rtl/>
        </w:rPr>
        <w:t xml:space="preserve"> (וכן סתם בשו"ע)</w:t>
      </w:r>
      <w:r w:rsidRPr="00351B7D">
        <w:rPr>
          <w:rFonts w:asciiTheme="minorBidi" w:hAnsiTheme="minorBidi"/>
          <w:rtl/>
        </w:rPr>
        <w:t xml:space="preserve"> </w:t>
      </w:r>
    </w:p>
    <w:p w14:paraId="6FEF32E6" w14:textId="77777777" w:rsidR="008E16D0" w:rsidRPr="00351B7D" w:rsidRDefault="008E16D0" w:rsidP="00A8697F">
      <w:pPr>
        <w:pStyle w:val="ab"/>
        <w:numPr>
          <w:ilvl w:val="0"/>
          <w:numId w:val="21"/>
        </w:numPr>
        <w:rPr>
          <w:rFonts w:asciiTheme="minorBidi" w:hAnsiTheme="minorBidi"/>
        </w:rPr>
      </w:pPr>
      <w:r w:rsidRPr="00351B7D">
        <w:rPr>
          <w:rFonts w:asciiTheme="minorBidi" w:hAnsiTheme="minorBidi"/>
          <w:rtl/>
        </w:rPr>
        <w:t>(רשב"א</w:t>
      </w:r>
      <w:r w:rsidRPr="00351B7D">
        <w:rPr>
          <w:rFonts w:asciiTheme="minorBidi" w:hAnsiTheme="minorBidi"/>
          <w:sz w:val="16"/>
          <w:szCs w:val="16"/>
          <w:rtl/>
        </w:rPr>
        <w:t xml:space="preserve"> (</w:t>
      </w:r>
      <w:r w:rsidRPr="00351B7D">
        <w:rPr>
          <w:rFonts w:asciiTheme="minorBidi" w:hAnsiTheme="minorBidi"/>
          <w:sz w:val="14"/>
          <w:szCs w:val="14"/>
          <w:rtl/>
        </w:rPr>
        <w:t xml:space="preserve">[ח"א סי' תרי"ג] </w:t>
      </w:r>
      <w:r w:rsidRPr="00351B7D">
        <w:rPr>
          <w:rFonts w:asciiTheme="minorBidi" w:hAnsiTheme="minorBidi"/>
          <w:sz w:val="16"/>
          <w:szCs w:val="16"/>
          <w:rtl/>
        </w:rPr>
        <w:t>להב' הדרכ"מ</w:t>
      </w:r>
      <w:r w:rsidRPr="00351B7D">
        <w:rPr>
          <w:rStyle w:val="a7"/>
          <w:rFonts w:asciiTheme="minorBidi" w:hAnsiTheme="minorBidi"/>
          <w:rtl/>
        </w:rPr>
        <w:footnoteReference w:id="201"/>
      </w:r>
      <w:r w:rsidRPr="00351B7D">
        <w:rPr>
          <w:rFonts w:asciiTheme="minorBidi" w:hAnsiTheme="minorBidi"/>
          <w:rtl/>
        </w:rPr>
        <w:t xml:space="preserve">)- הוי ספק קדושין. </w:t>
      </w:r>
      <w:r w:rsidRPr="00351B7D">
        <w:rPr>
          <w:rFonts w:asciiTheme="minorBidi" w:hAnsiTheme="minorBidi"/>
          <w:color w:val="00B0F0"/>
          <w:rtl/>
        </w:rPr>
        <w:t>(וכ"פ הרמ"א)</w:t>
      </w:r>
      <w:r w:rsidRPr="00351B7D">
        <w:rPr>
          <w:rFonts w:asciiTheme="minorBidi" w:hAnsiTheme="minorBidi"/>
          <w:rtl/>
        </w:rPr>
        <w:t xml:space="preserve"> </w:t>
      </w:r>
    </w:p>
    <w:p w14:paraId="4680A01C" w14:textId="77777777" w:rsidR="008E16D0" w:rsidRPr="00351B7D" w:rsidRDefault="008E16D0" w:rsidP="00A8697F">
      <w:pPr>
        <w:pStyle w:val="ab"/>
        <w:numPr>
          <w:ilvl w:val="0"/>
          <w:numId w:val="21"/>
        </w:numPr>
        <w:rPr>
          <w:rFonts w:asciiTheme="minorBidi" w:hAnsiTheme="minorBidi"/>
        </w:rPr>
      </w:pPr>
      <w:r w:rsidRPr="00351B7D">
        <w:rPr>
          <w:rFonts w:asciiTheme="minorBidi" w:hAnsiTheme="minorBidi"/>
          <w:rtl/>
        </w:rPr>
        <w:t>רא"ש</w:t>
      </w:r>
      <w:r w:rsidRPr="00351B7D">
        <w:rPr>
          <w:rStyle w:val="a7"/>
          <w:rFonts w:asciiTheme="minorBidi" w:hAnsiTheme="minorBidi"/>
          <w:rtl/>
        </w:rPr>
        <w:footnoteReference w:id="202"/>
      </w:r>
      <w:r w:rsidRPr="00351B7D">
        <w:rPr>
          <w:rFonts w:asciiTheme="minorBidi" w:hAnsiTheme="minorBidi"/>
          <w:rtl/>
        </w:rPr>
        <w:t xml:space="preserve"> (ר"ן הה"מ</w:t>
      </w:r>
      <w:r w:rsidRPr="00351B7D">
        <w:rPr>
          <w:rFonts w:asciiTheme="minorBidi" w:hAnsiTheme="minorBidi"/>
          <w:sz w:val="16"/>
          <w:szCs w:val="16"/>
          <w:rtl/>
        </w:rPr>
        <w:t xml:space="preserve"> להב' הב"ש</w:t>
      </w:r>
      <w:r w:rsidRPr="00351B7D">
        <w:rPr>
          <w:rFonts w:asciiTheme="minorBidi" w:hAnsiTheme="minorBidi"/>
          <w:rtl/>
        </w:rPr>
        <w:t>) ורי"ו</w:t>
      </w:r>
      <w:r w:rsidRPr="00351B7D">
        <w:rPr>
          <w:rStyle w:val="a7"/>
          <w:rFonts w:asciiTheme="minorBidi" w:hAnsiTheme="minorBidi"/>
          <w:rtl/>
        </w:rPr>
        <w:footnoteReference w:id="203"/>
      </w:r>
      <w:r w:rsidRPr="00351B7D">
        <w:rPr>
          <w:rFonts w:asciiTheme="minorBidi" w:hAnsiTheme="minorBidi"/>
          <w:rtl/>
        </w:rPr>
        <w:t>- הוי קדושין</w:t>
      </w:r>
      <w:r w:rsidRPr="00351B7D">
        <w:rPr>
          <w:rStyle w:val="a7"/>
          <w:rFonts w:asciiTheme="minorBidi" w:hAnsiTheme="minorBidi"/>
          <w:rtl/>
        </w:rPr>
        <w:footnoteReference w:id="204"/>
      </w:r>
      <w:r w:rsidRPr="00351B7D">
        <w:rPr>
          <w:rFonts w:asciiTheme="minorBidi" w:hAnsiTheme="minorBidi"/>
          <w:rtl/>
        </w:rPr>
        <w:t xml:space="preserve">.  </w:t>
      </w:r>
    </w:p>
    <w:p w14:paraId="4F8B2411" w14:textId="77777777" w:rsidR="008E16D0" w:rsidRPr="00351B7D" w:rsidRDefault="008E16D0" w:rsidP="008E16D0">
      <w:pPr>
        <w:ind w:left="720"/>
        <w:rPr>
          <w:rFonts w:asciiTheme="minorBidi" w:hAnsiTheme="minorBidi"/>
          <w:u w:val="dotted"/>
          <w:rtl/>
        </w:rPr>
      </w:pPr>
      <w:r w:rsidRPr="00351B7D">
        <w:rPr>
          <w:rFonts w:asciiTheme="minorBidi" w:hAnsiTheme="minorBidi"/>
          <w:u w:val="dotted"/>
          <w:rtl/>
        </w:rPr>
        <w:t>מה הדין אם לא חזר ואמר הוא בשעת נתינתה 'הרי את מקודשת לי בהנאה זו שקבלתי ממך':</w:t>
      </w:r>
    </w:p>
    <w:p w14:paraId="27F38E79" w14:textId="77777777" w:rsidR="008E16D0" w:rsidRPr="00351B7D" w:rsidRDefault="008E16D0" w:rsidP="00A8697F">
      <w:pPr>
        <w:pStyle w:val="ab"/>
        <w:numPr>
          <w:ilvl w:val="0"/>
          <w:numId w:val="21"/>
        </w:numPr>
        <w:rPr>
          <w:rFonts w:asciiTheme="minorBidi" w:hAnsiTheme="minorBidi"/>
        </w:rPr>
      </w:pPr>
      <w:r w:rsidRPr="00351B7D">
        <w:rPr>
          <w:rFonts w:asciiTheme="minorBidi" w:hAnsiTheme="minorBidi"/>
          <w:rtl/>
        </w:rPr>
        <w:t>רי"ף</w:t>
      </w:r>
      <w:r w:rsidRPr="00351B7D">
        <w:rPr>
          <w:rFonts w:asciiTheme="minorBidi" w:hAnsiTheme="minorBidi"/>
          <w:sz w:val="16"/>
          <w:szCs w:val="16"/>
          <w:rtl/>
        </w:rPr>
        <w:t xml:space="preserve"> (להב' הרשב"א)</w:t>
      </w:r>
      <w:r w:rsidRPr="00351B7D">
        <w:rPr>
          <w:rFonts w:asciiTheme="minorBidi" w:hAnsiTheme="minorBidi"/>
          <w:rtl/>
        </w:rPr>
        <w:t xml:space="preserve"> רש"י רמב"ם רשב"א ורא"ש</w:t>
      </w:r>
      <w:r w:rsidRPr="00351B7D">
        <w:rPr>
          <w:rStyle w:val="a7"/>
          <w:rFonts w:asciiTheme="minorBidi" w:hAnsiTheme="minorBidi"/>
          <w:rtl/>
        </w:rPr>
        <w:footnoteReference w:id="205"/>
      </w:r>
      <w:r w:rsidRPr="00351B7D">
        <w:rPr>
          <w:rFonts w:asciiTheme="minorBidi" w:hAnsiTheme="minorBidi"/>
          <w:rtl/>
        </w:rPr>
        <w:t>- לא הוי קדושין</w:t>
      </w:r>
      <w:r w:rsidRPr="00351B7D">
        <w:rPr>
          <w:rStyle w:val="a7"/>
          <w:rFonts w:asciiTheme="minorBidi" w:hAnsiTheme="minorBidi"/>
          <w:rtl/>
        </w:rPr>
        <w:footnoteReference w:id="206"/>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45AD79D2" w14:textId="77777777" w:rsidR="008E16D0" w:rsidRPr="00351B7D" w:rsidRDefault="008E16D0" w:rsidP="008E16D0">
      <w:pPr>
        <w:ind w:left="720"/>
        <w:rPr>
          <w:rFonts w:asciiTheme="minorBidi" w:hAnsiTheme="minorBidi"/>
          <w:u w:val="dotted"/>
          <w:rtl/>
        </w:rPr>
      </w:pPr>
      <w:r w:rsidRPr="00351B7D">
        <w:rPr>
          <w:rFonts w:asciiTheme="minorBidi" w:hAnsiTheme="minorBidi"/>
          <w:u w:val="dotted"/>
          <w:rtl/>
        </w:rPr>
        <w:t>מה הדין אם הוא לא אדם חשוב:</w:t>
      </w:r>
    </w:p>
    <w:p w14:paraId="2B273A2B" w14:textId="77777777" w:rsidR="008E16D0" w:rsidRPr="00351B7D" w:rsidRDefault="008E16D0" w:rsidP="00A8697F">
      <w:pPr>
        <w:pStyle w:val="ab"/>
        <w:numPr>
          <w:ilvl w:val="0"/>
          <w:numId w:val="21"/>
        </w:numPr>
        <w:rPr>
          <w:rFonts w:asciiTheme="minorBidi" w:hAnsiTheme="minorBidi"/>
        </w:rPr>
      </w:pPr>
      <w:r w:rsidRPr="00351B7D">
        <w:rPr>
          <w:rFonts w:asciiTheme="minorBidi" w:hAnsiTheme="minorBidi"/>
          <w:rtl/>
        </w:rPr>
        <w:t>רי"ף ראב"ד רמב"ם רשב"א רא"ש ור"ן</w:t>
      </w:r>
      <w:r w:rsidRPr="00351B7D">
        <w:rPr>
          <w:rStyle w:val="a7"/>
          <w:rFonts w:asciiTheme="minorBidi" w:hAnsiTheme="minorBidi"/>
          <w:rtl/>
        </w:rPr>
        <w:footnoteReference w:id="207"/>
      </w:r>
      <w:r w:rsidRPr="00351B7D">
        <w:rPr>
          <w:rFonts w:asciiTheme="minorBidi" w:hAnsiTheme="minorBidi"/>
          <w:rtl/>
        </w:rPr>
        <w:t>- לא הוי קדושין</w:t>
      </w:r>
      <w:r w:rsidRPr="00351B7D">
        <w:rPr>
          <w:rStyle w:val="a7"/>
          <w:rFonts w:asciiTheme="minorBidi" w:hAnsiTheme="minorBidi"/>
          <w:rtl/>
        </w:rPr>
        <w:footnoteReference w:id="208"/>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1AEF4509" w14:textId="77777777" w:rsidR="008E16D0" w:rsidRPr="00351B7D" w:rsidRDefault="008E16D0" w:rsidP="00A8697F">
      <w:pPr>
        <w:pStyle w:val="ab"/>
        <w:numPr>
          <w:ilvl w:val="0"/>
          <w:numId w:val="21"/>
        </w:numPr>
        <w:rPr>
          <w:rFonts w:asciiTheme="minorBidi" w:hAnsiTheme="minorBidi"/>
          <w:rtl/>
        </w:rPr>
      </w:pPr>
      <w:r w:rsidRPr="00351B7D">
        <w:rPr>
          <w:rFonts w:asciiTheme="minorBidi" w:hAnsiTheme="minorBidi"/>
          <w:rtl/>
        </w:rPr>
        <w:t xml:space="preserve">בה"ג- </w:t>
      </w:r>
      <w:r w:rsidRPr="00351B7D">
        <w:rPr>
          <w:rFonts w:asciiTheme="minorBidi" w:hAnsiTheme="minorBidi"/>
          <w:color w:val="000000"/>
          <w:rtl/>
        </w:rPr>
        <w:t>"נתנה היא ואמר הוא מספקא ליה וחוששין מדרבנן</w:t>
      </w:r>
      <w:r w:rsidRPr="00351B7D">
        <w:rPr>
          <w:rStyle w:val="a7"/>
          <w:rFonts w:asciiTheme="minorBidi" w:hAnsiTheme="minorBidi"/>
          <w:rtl/>
        </w:rPr>
        <w:footnoteReference w:id="209"/>
      </w:r>
      <w:r w:rsidRPr="00351B7D">
        <w:rPr>
          <w:rFonts w:asciiTheme="minorBidi" w:hAnsiTheme="minorBidi"/>
          <w:rtl/>
        </w:rPr>
        <w:t>". (וכ"פ הב"ח</w:t>
      </w:r>
      <w:r w:rsidRPr="00351B7D">
        <w:rPr>
          <w:rStyle w:val="a7"/>
          <w:rFonts w:asciiTheme="minorBidi" w:hAnsiTheme="minorBidi"/>
          <w:rtl/>
        </w:rPr>
        <w:footnoteReference w:id="210"/>
      </w:r>
      <w:r w:rsidRPr="00351B7D">
        <w:rPr>
          <w:rFonts w:asciiTheme="minorBidi" w:hAnsiTheme="minorBidi"/>
          <w:rtl/>
        </w:rPr>
        <w:t>)</w:t>
      </w:r>
    </w:p>
    <w:p w14:paraId="683833B2"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24342A" w14:textId="77777777" w:rsidR="008E16D0" w:rsidRPr="00351B7D" w:rsidRDefault="008E16D0" w:rsidP="008E16D0">
      <w:pPr>
        <w:rPr>
          <w:rFonts w:asciiTheme="minorBidi" w:hAnsiTheme="minorBidi"/>
          <w:rtl/>
        </w:rPr>
      </w:pPr>
      <w:r w:rsidRPr="00351B7D">
        <w:rPr>
          <w:rFonts w:asciiTheme="minorBidi" w:hAnsiTheme="minorBidi"/>
          <w:rtl/>
        </w:rPr>
        <w:t>נתנה היא ואמרה לו הילך דינר</w:t>
      </w:r>
      <w:r w:rsidRPr="00351B7D">
        <w:rPr>
          <w:rStyle w:val="a7"/>
          <w:rFonts w:asciiTheme="minorBidi" w:hAnsiTheme="minorBidi"/>
          <w:rtl/>
        </w:rPr>
        <w:footnoteReference w:id="211"/>
      </w:r>
      <w:r w:rsidRPr="00351B7D">
        <w:rPr>
          <w:rFonts w:asciiTheme="minorBidi" w:hAnsiTheme="minorBidi"/>
          <w:rtl/>
        </w:rPr>
        <w:t xml:space="preserve"> זה מתנה ואתקדש לך, ולקחו ואמר לה</w:t>
      </w:r>
      <w:r w:rsidRPr="00351B7D">
        <w:rPr>
          <w:rStyle w:val="a7"/>
          <w:rFonts w:asciiTheme="minorBidi" w:hAnsiTheme="minorBidi"/>
          <w:color w:val="000000"/>
          <w:vertAlign w:val="baseline"/>
          <w:rtl/>
        </w:rPr>
        <w:t xml:space="preserve"> </w:t>
      </w:r>
      <w:r w:rsidRPr="00351B7D">
        <w:rPr>
          <w:rFonts w:asciiTheme="minorBidi" w:hAnsiTheme="minorBidi"/>
          <w:rtl/>
        </w:rPr>
        <w:t>הרי את מקודשת לי בהנאה זו שקבלתי ממך מתנה, אם אדם חשוב הוא הרי זו מקודשת שהנאה יש לה בהיותו נהנה ממנה ובהנאה זו הקנתה עצמה לו. וצריך חקירת חכם מי נקרא אדם שאינו חשוב</w:t>
      </w:r>
      <w:r w:rsidRPr="00351B7D">
        <w:rPr>
          <w:rStyle w:val="a7"/>
          <w:rFonts w:asciiTheme="minorBidi" w:hAnsiTheme="minorBidi"/>
          <w:color w:val="000000"/>
          <w:rtl/>
        </w:rPr>
        <w:footnoteReference w:id="212"/>
      </w:r>
      <w:r w:rsidRPr="00351B7D">
        <w:rPr>
          <w:rFonts w:asciiTheme="minorBidi" w:hAnsiTheme="minorBidi"/>
          <w:rtl/>
        </w:rPr>
        <w:t xml:space="preserve"> להתירה בלא גט.</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ויש מחמירין אפילו לא אמרה תחלה כשנתנה ואתקדש לך רק נתנה סתם ואמר לה התקדשי כו' ושתקה</w:t>
      </w:r>
      <w:r w:rsidRPr="00351B7D">
        <w:rPr>
          <w:rStyle w:val="a7"/>
          <w:rFonts w:asciiTheme="minorBidi" w:hAnsiTheme="minorBidi"/>
          <w:sz w:val="18"/>
          <w:szCs w:val="18"/>
          <w:rtl/>
        </w:rPr>
        <w:footnoteReference w:id="213"/>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(תשו' הרשב"א סי' תרי"ג)</w:t>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3AF21CCE"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מה הדין אם היו עסוקין מע"ק ואמרה היא ונתנה לאדם חשוב והוא לא ענה:</w:t>
      </w:r>
    </w:p>
    <w:p w14:paraId="7547D3BD" w14:textId="77777777" w:rsidR="008E16D0" w:rsidRPr="00351B7D" w:rsidRDefault="008E16D0" w:rsidP="00A8697F">
      <w:pPr>
        <w:pStyle w:val="ab"/>
        <w:numPr>
          <w:ilvl w:val="0"/>
          <w:numId w:val="19"/>
        </w:numPr>
        <w:rPr>
          <w:rFonts w:asciiTheme="minorBidi" w:hAnsiTheme="minorBidi"/>
        </w:rPr>
      </w:pPr>
      <w:r w:rsidRPr="00351B7D">
        <w:rPr>
          <w:rFonts w:asciiTheme="minorBidi" w:hAnsiTheme="minorBidi"/>
          <w:rtl/>
        </w:rPr>
        <w:t>ב"ש</w:t>
      </w:r>
      <w:r w:rsidRPr="00351B7D">
        <w:rPr>
          <w:rFonts w:asciiTheme="minorBidi" w:hAnsiTheme="minorBidi"/>
          <w:sz w:val="16"/>
          <w:szCs w:val="16"/>
          <w:rtl/>
        </w:rPr>
        <w:t xml:space="preserve"> (סקכ"א)</w:t>
      </w:r>
      <w:r w:rsidRPr="00351B7D">
        <w:rPr>
          <w:rFonts w:asciiTheme="minorBidi" w:hAnsiTheme="minorBidi"/>
          <w:rtl/>
        </w:rPr>
        <w:t xml:space="preserve"> וראש פינה</w:t>
      </w:r>
      <w:r w:rsidRPr="00351B7D">
        <w:rPr>
          <w:rFonts w:asciiTheme="minorBidi" w:hAnsiTheme="minorBidi"/>
          <w:sz w:val="16"/>
          <w:szCs w:val="16"/>
          <w:rtl/>
        </w:rPr>
        <w:t xml:space="preserve"> (עקבי הבית סקכ"א)</w:t>
      </w:r>
      <w:r w:rsidRPr="00351B7D">
        <w:rPr>
          <w:rFonts w:asciiTheme="minorBidi" w:hAnsiTheme="minorBidi"/>
          <w:rtl/>
        </w:rPr>
        <w:t>- אם היו עסוקים מע"ק הוי קידושין ודאי</w:t>
      </w:r>
      <w:r w:rsidRPr="00351B7D">
        <w:rPr>
          <w:rStyle w:val="a7"/>
          <w:rFonts w:asciiTheme="minorBidi" w:hAnsiTheme="minorBidi"/>
          <w:rtl/>
        </w:rPr>
        <w:footnoteReference w:id="214"/>
      </w:r>
      <w:r w:rsidRPr="00351B7D">
        <w:rPr>
          <w:rFonts w:asciiTheme="minorBidi" w:hAnsiTheme="minorBidi"/>
          <w:rtl/>
        </w:rPr>
        <w:t xml:space="preserve">. </w:t>
      </w:r>
    </w:p>
    <w:p w14:paraId="5F92EFBF" w14:textId="77777777" w:rsidR="008E16D0" w:rsidRPr="00351B7D" w:rsidRDefault="008E16D0" w:rsidP="00A8697F">
      <w:pPr>
        <w:pStyle w:val="ab"/>
        <w:numPr>
          <w:ilvl w:val="0"/>
          <w:numId w:val="19"/>
        </w:numPr>
        <w:rPr>
          <w:rFonts w:asciiTheme="minorBidi" w:hAnsiTheme="minorBidi"/>
        </w:rPr>
      </w:pPr>
      <w:r w:rsidRPr="00351B7D">
        <w:rPr>
          <w:rFonts w:asciiTheme="minorBidi" w:hAnsiTheme="minorBidi"/>
          <w:rtl/>
        </w:rPr>
        <w:lastRenderedPageBreak/>
        <w:t>עצמות יוסף</w:t>
      </w:r>
      <w:r w:rsidRPr="00351B7D">
        <w:rPr>
          <w:rStyle w:val="a7"/>
          <w:rFonts w:asciiTheme="minorBidi" w:hAnsiTheme="minorBidi"/>
          <w:rtl/>
        </w:rPr>
        <w:footnoteReference w:id="215"/>
      </w:r>
      <w:r w:rsidRPr="00351B7D">
        <w:rPr>
          <w:rFonts w:asciiTheme="minorBidi" w:hAnsiTheme="minorBidi"/>
          <w:rtl/>
        </w:rPr>
        <w:t xml:space="preserve"> </w:t>
      </w:r>
      <w:r w:rsidRPr="00351B7D">
        <w:rPr>
          <w:rFonts w:asciiTheme="minorBidi" w:hAnsiTheme="minorBidi"/>
          <w:sz w:val="16"/>
          <w:szCs w:val="16"/>
          <w:rtl/>
        </w:rPr>
        <w:t>(ה: ד"ה ונראה לי דלא)</w:t>
      </w:r>
      <w:r w:rsidRPr="00351B7D">
        <w:rPr>
          <w:rFonts w:asciiTheme="minorBidi" w:hAnsiTheme="minorBidi"/>
          <w:rtl/>
        </w:rPr>
        <w:t xml:space="preserve"> פרישה </w:t>
      </w:r>
      <w:r w:rsidRPr="00351B7D">
        <w:rPr>
          <w:rFonts w:asciiTheme="minorBidi" w:hAnsiTheme="minorBidi"/>
          <w:sz w:val="16"/>
          <w:szCs w:val="16"/>
          <w:rtl/>
        </w:rPr>
        <w:t xml:space="preserve">(סקט"ו) </w:t>
      </w:r>
      <w:r w:rsidRPr="00351B7D">
        <w:rPr>
          <w:rFonts w:asciiTheme="minorBidi" w:hAnsiTheme="minorBidi"/>
          <w:rtl/>
        </w:rPr>
        <w:t>ובאה"ט</w:t>
      </w:r>
      <w:r w:rsidRPr="00351B7D">
        <w:rPr>
          <w:rFonts w:asciiTheme="minorBidi" w:hAnsiTheme="minorBidi"/>
          <w:sz w:val="16"/>
          <w:szCs w:val="16"/>
          <w:rtl/>
        </w:rPr>
        <w:t xml:space="preserve"> (סקכ"ד)</w:t>
      </w:r>
      <w:r w:rsidRPr="00351B7D">
        <w:rPr>
          <w:rFonts w:asciiTheme="minorBidi" w:hAnsiTheme="minorBidi"/>
          <w:rtl/>
        </w:rPr>
        <w:t>- אינה מקודשת אפילו היה מדבר עמה תחלה בע"ק ואפי' היה אדם חשוב, דכי יקח איש אשה בעינן ולא חשבינן כנתן הוא ואמרה היא</w:t>
      </w:r>
      <w:r w:rsidRPr="00351B7D">
        <w:rPr>
          <w:rStyle w:val="a7"/>
          <w:rFonts w:asciiTheme="minorBidi" w:hAnsiTheme="minorBidi"/>
          <w:rtl/>
        </w:rPr>
        <w:footnoteReference w:id="216"/>
      </w:r>
      <w:r w:rsidRPr="00351B7D">
        <w:rPr>
          <w:rFonts w:asciiTheme="minorBidi" w:hAnsiTheme="minorBidi"/>
          <w:rtl/>
        </w:rPr>
        <w:t>.</w:t>
      </w:r>
    </w:p>
    <w:p w14:paraId="2304566B" w14:textId="77777777" w:rsidR="008E16D0" w:rsidRPr="00351B7D" w:rsidRDefault="008E16D0" w:rsidP="008E16D0">
      <w:pPr>
        <w:rPr>
          <w:rFonts w:asciiTheme="minorBidi" w:hAnsiTheme="minorBidi"/>
          <w:rtl/>
        </w:rPr>
      </w:pPr>
    </w:p>
    <w:p w14:paraId="78740D27" w14:textId="77777777" w:rsidR="008E16D0" w:rsidRPr="00351B7D" w:rsidRDefault="008E16D0" w:rsidP="008E16D0">
      <w:pPr>
        <w:pStyle w:val="2"/>
        <w:rPr>
          <w:rFonts w:asciiTheme="minorBidi" w:hAnsiTheme="minorBidi"/>
          <w:rtl/>
        </w:rPr>
      </w:pPr>
      <w:r w:rsidRPr="00351B7D">
        <w:rPr>
          <w:rFonts w:asciiTheme="minorBidi" w:hAnsiTheme="minorBidi"/>
          <w:rtl/>
        </w:rPr>
        <w:t xml:space="preserve">סעיף י: שיעור הכסף שמקדשין בו. </w:t>
      </w:r>
    </w:p>
    <w:p w14:paraId="1729798C"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ה ע"ב: </w:t>
      </w:r>
      <w:r w:rsidRPr="00351B7D">
        <w:rPr>
          <w:rFonts w:asciiTheme="minorBidi" w:hAnsiTheme="minorBidi"/>
          <w:rtl/>
        </w:rPr>
        <w:t>ת"ר: כיצד בכסף? נתן לה כסף</w:t>
      </w:r>
      <w:r w:rsidRPr="00351B7D">
        <w:rPr>
          <w:rStyle w:val="a7"/>
          <w:rFonts w:asciiTheme="minorBidi" w:hAnsiTheme="minorBidi"/>
          <w:rtl/>
        </w:rPr>
        <w:footnoteReference w:id="217"/>
      </w:r>
      <w:r w:rsidRPr="00351B7D">
        <w:rPr>
          <w:rFonts w:asciiTheme="minorBidi" w:hAnsiTheme="minorBidi"/>
          <w:rtl/>
        </w:rPr>
        <w:t xml:space="preserve"> או שוה כסף...</w:t>
      </w:r>
    </w:p>
    <w:p w14:paraId="2D28A463"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372A1B" w14:textId="77777777" w:rsidR="008E16D0" w:rsidRPr="00351B7D" w:rsidRDefault="008E16D0" w:rsidP="008E16D0">
      <w:pPr>
        <w:rPr>
          <w:rFonts w:asciiTheme="minorBidi" w:hAnsiTheme="minorBidi"/>
          <w:color w:val="000000"/>
          <w:rtl/>
        </w:rPr>
      </w:pPr>
      <w:r w:rsidRPr="00351B7D">
        <w:rPr>
          <w:rFonts w:asciiTheme="minorBidi" w:hAnsiTheme="minorBidi"/>
          <w:rtl/>
        </w:rPr>
        <w:t>שיעור הכסף שמקדשין בו משקל חצי שעורה</w:t>
      </w:r>
      <w:r w:rsidRPr="00351B7D">
        <w:rPr>
          <w:rStyle w:val="a7"/>
          <w:rFonts w:asciiTheme="minorBidi" w:hAnsiTheme="minorBidi"/>
          <w:color w:val="000000"/>
          <w:rtl/>
        </w:rPr>
        <w:footnoteReference w:id="218"/>
      </w:r>
      <w:r w:rsidRPr="00351B7D">
        <w:rPr>
          <w:rFonts w:asciiTheme="minorBidi" w:hAnsiTheme="minorBidi"/>
          <w:rtl/>
        </w:rPr>
        <w:t xml:space="preserve"> כסף צרוף.</w:t>
      </w:r>
      <w:r w:rsidRPr="00351B7D">
        <w:rPr>
          <w:rFonts w:asciiTheme="minorBidi" w:hAnsiTheme="minorBidi"/>
          <w:color w:val="000000"/>
          <w:sz w:val="16"/>
          <w:szCs w:val="16"/>
          <w:rtl/>
        </w:rPr>
        <w:t xml:space="preserve"> ( עיין ביו"ד סי' רצ"ד סעיף ו' שיעור שוה פרוטה).</w:t>
      </w:r>
    </w:p>
    <w:p w14:paraId="5E5713DD" w14:textId="77777777" w:rsidR="008E16D0" w:rsidRPr="00351B7D" w:rsidRDefault="008E16D0" w:rsidP="008E16D0">
      <w:pPr>
        <w:rPr>
          <w:rFonts w:asciiTheme="minorBidi" w:hAnsiTheme="minorBidi"/>
          <w:u w:val="single"/>
          <w:rtl/>
        </w:rPr>
      </w:pPr>
      <w:r w:rsidRPr="00351B7D">
        <w:rPr>
          <w:rFonts w:asciiTheme="minorBidi" w:hAnsiTheme="minorBidi"/>
          <w:u w:val="single"/>
          <w:rtl/>
        </w:rPr>
        <w:t>ומה הדין אם קידש בפחות מכן:</w:t>
      </w:r>
    </w:p>
    <w:p w14:paraId="4DA1FF1E" w14:textId="77777777" w:rsidR="008E16D0" w:rsidRPr="00351B7D" w:rsidRDefault="008E16D0" w:rsidP="00A8697F">
      <w:pPr>
        <w:pStyle w:val="ab"/>
        <w:numPr>
          <w:ilvl w:val="0"/>
          <w:numId w:val="18"/>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(סקכ"ג)</w:t>
      </w:r>
      <w:r w:rsidRPr="00351B7D">
        <w:rPr>
          <w:rFonts w:asciiTheme="minorBidi" w:hAnsiTheme="minorBidi"/>
          <w:rtl/>
        </w:rPr>
        <w:t>- אינה מקודשת</w:t>
      </w:r>
      <w:r w:rsidRPr="00351B7D">
        <w:rPr>
          <w:rStyle w:val="a7"/>
          <w:rFonts w:asciiTheme="minorBidi" w:hAnsiTheme="minorBidi"/>
          <w:rtl/>
        </w:rPr>
        <w:footnoteReference w:id="219"/>
      </w:r>
      <w:r w:rsidRPr="00351B7D">
        <w:rPr>
          <w:rFonts w:asciiTheme="minorBidi" w:hAnsiTheme="minorBidi"/>
          <w:rtl/>
        </w:rPr>
        <w:t>, אך אם "קידש באוכל או בכלי וכיוצא בו ששוה פחות משוה פרוטה הרי זו מקודשת מספק שמא דבר זה שוה פרוטה במקום אחר</w:t>
      </w:r>
      <w:r w:rsidRPr="00351B7D">
        <w:rPr>
          <w:rFonts w:asciiTheme="minorBidi" w:hAnsiTheme="minorBidi"/>
          <w:sz w:val="16"/>
          <w:szCs w:val="16"/>
          <w:rtl/>
        </w:rPr>
        <w:t xml:space="preserve"> (ל' השו"ע </w:t>
      </w:r>
      <w:r w:rsidRPr="00351B7D">
        <w:rPr>
          <w:rFonts w:asciiTheme="minorBidi" w:hAnsiTheme="minorBidi"/>
          <w:sz w:val="14"/>
          <w:szCs w:val="14"/>
          <w:rtl/>
        </w:rPr>
        <w:t>[סי' לא ס"ג]</w:t>
      </w:r>
      <w:r w:rsidRPr="00351B7D">
        <w:rPr>
          <w:rFonts w:asciiTheme="minorBidi" w:hAnsiTheme="minorBidi"/>
          <w:sz w:val="16"/>
          <w:szCs w:val="16"/>
          <w:rtl/>
        </w:rPr>
        <w:t>)</w:t>
      </w:r>
      <w:r w:rsidRPr="00351B7D">
        <w:rPr>
          <w:rFonts w:asciiTheme="minorBidi" w:hAnsiTheme="minorBidi"/>
          <w:rtl/>
        </w:rPr>
        <w:t>".</w:t>
      </w:r>
    </w:p>
    <w:p w14:paraId="5AC50913" w14:textId="77777777" w:rsidR="008E16D0" w:rsidRPr="00351B7D" w:rsidRDefault="008E16D0" w:rsidP="00A8697F">
      <w:pPr>
        <w:pStyle w:val="ab"/>
        <w:numPr>
          <w:ilvl w:val="0"/>
          <w:numId w:val="18"/>
        </w:numPr>
        <w:rPr>
          <w:rFonts w:asciiTheme="minorBidi" w:hAnsiTheme="minorBidi"/>
          <w:rtl/>
        </w:rPr>
      </w:pPr>
      <w:r w:rsidRPr="00351B7D">
        <w:rPr>
          <w:rFonts w:asciiTheme="minorBidi" w:hAnsiTheme="minorBidi"/>
          <w:rtl/>
        </w:rPr>
        <w:t xml:space="preserve">המקנה </w:t>
      </w:r>
      <w:r w:rsidRPr="00351B7D">
        <w:rPr>
          <w:rFonts w:asciiTheme="minorBidi" w:hAnsiTheme="minorBidi"/>
          <w:sz w:val="16"/>
          <w:szCs w:val="16"/>
          <w:rtl/>
        </w:rPr>
        <w:t>(קו"א)</w:t>
      </w:r>
      <w:r w:rsidRPr="00351B7D">
        <w:rPr>
          <w:rFonts w:asciiTheme="minorBidi" w:hAnsiTheme="minorBidi"/>
          <w:rtl/>
        </w:rPr>
        <w:t>- אינה מקודשת אפילו אם הוא שוה פרוטה כיוצא בזה במקום אחר, דאינה פרוטה דמשה, אבל אם היא של נחושת או שאר שוה כסף לעולם הוי ספק קדושין, דשמא במדי שוה פרוטה דמשה, דהיינו שמא דבר זה שקידש בו הוא שוה חצי שעורה של כסף במדי.</w:t>
      </w:r>
    </w:p>
    <w:p w14:paraId="53F9FC50" w14:textId="77777777" w:rsidR="008E16D0" w:rsidRPr="00351B7D" w:rsidRDefault="008E16D0" w:rsidP="008E16D0">
      <w:pPr>
        <w:rPr>
          <w:rFonts w:asciiTheme="minorBidi" w:hAnsiTheme="minorBidi"/>
          <w:rtl/>
        </w:rPr>
      </w:pPr>
    </w:p>
    <w:p w14:paraId="38515DCF" w14:textId="77777777" w:rsidR="008E16D0" w:rsidRPr="00351B7D" w:rsidRDefault="008E16D0" w:rsidP="008E16D0">
      <w:pPr>
        <w:rPr>
          <w:rFonts w:asciiTheme="minorBidi" w:hAnsiTheme="minorBidi"/>
          <w:rtl/>
        </w:rPr>
      </w:pPr>
    </w:p>
    <w:p w14:paraId="24889263" w14:textId="77777777" w:rsidR="008E16D0" w:rsidRPr="00351B7D" w:rsidRDefault="008E16D0" w:rsidP="008E16D0">
      <w:pPr>
        <w:rPr>
          <w:rFonts w:asciiTheme="minorBidi" w:hAnsiTheme="minorBidi"/>
          <w:rtl/>
        </w:rPr>
      </w:pPr>
    </w:p>
    <w:p w14:paraId="26649EAF" w14:textId="77777777" w:rsidR="008E16D0" w:rsidRPr="00351B7D" w:rsidRDefault="008E16D0" w:rsidP="008E16D0">
      <w:pPr>
        <w:rPr>
          <w:rFonts w:asciiTheme="minorBidi" w:hAnsiTheme="minorBidi"/>
          <w:rtl/>
        </w:rPr>
      </w:pPr>
    </w:p>
    <w:p w14:paraId="7D285452" w14:textId="77777777" w:rsidR="008E16D0" w:rsidRPr="00351B7D" w:rsidRDefault="008E16D0" w:rsidP="008E16D0">
      <w:pPr>
        <w:rPr>
          <w:rFonts w:asciiTheme="minorBidi" w:hAnsiTheme="minorBidi"/>
          <w:rtl/>
        </w:rPr>
      </w:pPr>
    </w:p>
    <w:p w14:paraId="7CD33630" w14:textId="77777777" w:rsidR="004B1524" w:rsidRDefault="004B1524" w:rsidP="008E16D0">
      <w:pPr>
        <w:pStyle w:val="1"/>
        <w:rPr>
          <w:rFonts w:asciiTheme="minorBidi" w:hAnsiTheme="minorBidi"/>
          <w:rtl/>
        </w:rPr>
        <w:sectPr w:rsidR="004B1524" w:rsidSect="00A347B3">
          <w:headerReference w:type="default" r:id="rId12"/>
          <w:footnotePr>
            <w:numRestart w:val="eachPage"/>
          </w:footnotePr>
          <w:pgSz w:w="11906" w:h="16838"/>
          <w:pgMar w:top="720" w:right="1134" w:bottom="720" w:left="1134" w:header="0" w:footer="0" w:gutter="0"/>
          <w:cols w:space="720"/>
          <w:bidi/>
          <w:rtlGutter/>
          <w:docGrid w:linePitch="360"/>
        </w:sectPr>
      </w:pPr>
    </w:p>
    <w:p w14:paraId="0F37C933" w14:textId="67673117"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כט</w:t>
      </w:r>
      <w:r w:rsidRPr="00351B7D">
        <w:rPr>
          <w:rFonts w:asciiTheme="minorBidi" w:hAnsiTheme="minorBidi"/>
        </w:rPr>
        <w:t xml:space="preserve"> </w:t>
      </w:r>
      <w:r w:rsidRPr="00351B7D">
        <w:rPr>
          <w:rFonts w:asciiTheme="minorBidi" w:hAnsiTheme="minorBidi"/>
          <w:rtl/>
        </w:rPr>
        <w:t xml:space="preserve">: שצריך ליתן הכסף במתנה שלימה, ודין המקדש במשכון או במנה ונמצא חסר או רע, ובו י' סעיפים. </w:t>
      </w:r>
    </w:p>
    <w:p w14:paraId="6A2E634B" w14:textId="77777777" w:rsidR="008E16D0" w:rsidRPr="00351B7D" w:rsidRDefault="008E16D0" w:rsidP="008E16D0">
      <w:pPr>
        <w:pStyle w:val="2"/>
        <w:rPr>
          <w:rFonts w:asciiTheme="minorBidi" w:hAnsiTheme="minorBidi"/>
          <w:rtl/>
        </w:rPr>
      </w:pPr>
      <w:r w:rsidRPr="00351B7D">
        <w:rPr>
          <w:rFonts w:asciiTheme="minorBidi" w:hAnsiTheme="minorBidi"/>
          <w:rtl/>
        </w:rPr>
        <w:t>סעיף א: הרי את מקודשת לי בדינר זה ע"מ שתחזיריהו לי.</w:t>
      </w:r>
    </w:p>
    <w:p w14:paraId="10A4362D"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ג ע"א: </w:t>
      </w:r>
      <w:r w:rsidRPr="00351B7D">
        <w:rPr>
          <w:rFonts w:asciiTheme="minorBidi" w:hAnsiTheme="minorBidi"/>
          <w:rtl/>
        </w:rPr>
        <w:t>חליפין איתנהו בפחות משוה פרוטה</w:t>
      </w:r>
      <w:r w:rsidRPr="00351B7D">
        <w:rPr>
          <w:rStyle w:val="a7"/>
          <w:rFonts w:asciiTheme="minorBidi" w:hAnsiTheme="minorBidi"/>
          <w:rtl/>
        </w:rPr>
        <w:footnoteReference w:id="220"/>
      </w:r>
      <w:r w:rsidRPr="00351B7D">
        <w:rPr>
          <w:rFonts w:asciiTheme="minorBidi" w:hAnsiTheme="minorBidi"/>
          <w:rtl/>
        </w:rPr>
        <w:t>, ואשה בפחות משוה פרוטה לא מקניא נפשה</w:t>
      </w:r>
      <w:r w:rsidRPr="00351B7D">
        <w:rPr>
          <w:rStyle w:val="a7"/>
          <w:rFonts w:asciiTheme="minorBidi" w:hAnsiTheme="minorBidi"/>
          <w:rtl/>
        </w:rPr>
        <w:footnoteReference w:id="221"/>
      </w:r>
      <w:r w:rsidRPr="00351B7D">
        <w:rPr>
          <w:rFonts w:asciiTheme="minorBidi" w:hAnsiTheme="minorBidi"/>
          <w:rtl/>
        </w:rPr>
        <w:t>.</w:t>
      </w:r>
    </w:p>
    <w:p w14:paraId="06BF0E7A"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b/>
          <w:bCs/>
          <w:rtl/>
        </w:rPr>
        <w:t xml:space="preserve">קדושין ו ע"ב: </w:t>
      </w:r>
      <w:r w:rsidRPr="00351B7D">
        <w:rPr>
          <w:rFonts w:asciiTheme="minorBidi" w:hAnsiTheme="minorBidi"/>
          <w:u w:val="single"/>
          <w:rtl/>
        </w:rPr>
        <w:t>אמר רבא:</w:t>
      </w:r>
      <w:r w:rsidRPr="00351B7D">
        <w:rPr>
          <w:rFonts w:asciiTheme="minorBidi" w:hAnsiTheme="minorBidi"/>
          <w:rtl/>
        </w:rPr>
        <w:t xml:space="preserve"> הילך מנה על מנת שתחזירהו לי, במכר - לא קנה, באשה - אינה מקודשת... מאי קסבר רבא?... </w:t>
      </w:r>
      <w:r w:rsidRPr="00351B7D">
        <w:rPr>
          <w:rFonts w:asciiTheme="minorBidi" w:hAnsiTheme="minorBidi"/>
          <w:u w:val="single"/>
          <w:rtl/>
        </w:rPr>
        <w:t>אמר רב אשי</w:t>
      </w:r>
      <w:r w:rsidRPr="00351B7D">
        <w:rPr>
          <w:rFonts w:asciiTheme="minorBidi" w:hAnsiTheme="minorBidi"/>
          <w:rtl/>
        </w:rPr>
        <w:t>: בכולהו קני לבר מאשה, לפי שאין אשה נקנית בחליפין</w:t>
      </w:r>
      <w:r w:rsidRPr="00351B7D">
        <w:rPr>
          <w:rStyle w:val="a7"/>
          <w:rFonts w:asciiTheme="minorBidi" w:hAnsiTheme="minorBidi"/>
          <w:rtl/>
        </w:rPr>
        <w:footnoteReference w:id="222"/>
      </w:r>
      <w:r w:rsidRPr="00351B7D">
        <w:rPr>
          <w:rFonts w:asciiTheme="minorBidi" w:hAnsiTheme="minorBidi"/>
          <w:rtl/>
        </w:rPr>
        <w:t xml:space="preserve">. </w:t>
      </w:r>
      <w:r w:rsidRPr="00351B7D">
        <w:rPr>
          <w:rFonts w:asciiTheme="minorBidi" w:hAnsiTheme="minorBidi"/>
          <w:u w:val="single"/>
          <w:rtl/>
        </w:rPr>
        <w:t>א"ל רב הונא מר בריה דרב נחמיה</w:t>
      </w:r>
      <w:r w:rsidRPr="00351B7D">
        <w:rPr>
          <w:rFonts w:asciiTheme="minorBidi" w:hAnsiTheme="minorBidi"/>
          <w:rtl/>
        </w:rPr>
        <w:t xml:space="preserve"> </w:t>
      </w:r>
      <w:r w:rsidRPr="00351B7D">
        <w:rPr>
          <w:rFonts w:asciiTheme="minorBidi" w:hAnsiTheme="minorBidi"/>
          <w:u w:val="single"/>
          <w:rtl/>
        </w:rPr>
        <w:t>לרב אשי</w:t>
      </w:r>
      <w:r w:rsidRPr="00351B7D">
        <w:rPr>
          <w:rFonts w:asciiTheme="minorBidi" w:hAnsiTheme="minorBidi"/>
          <w:rtl/>
        </w:rPr>
        <w:t>: הכי אמרינן משמיה דרבא כוותיך.</w:t>
      </w:r>
      <w:r w:rsidRPr="00351B7D">
        <w:rPr>
          <w:rFonts w:asciiTheme="minorBidi" w:hAnsiTheme="minorBidi"/>
          <w:color w:val="000000"/>
          <w:sz w:val="16"/>
          <w:szCs w:val="16"/>
          <w:rtl/>
        </w:rPr>
        <w:t xml:space="preserve"> </w:t>
      </w:r>
    </w:p>
    <w:p w14:paraId="6A9B25A6"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 xml:space="preserve">מה פירוש דברי רב אשי </w:t>
      </w:r>
      <w:r w:rsidRPr="00351B7D">
        <w:rPr>
          <w:rFonts w:asciiTheme="minorBidi" w:hAnsiTheme="minorBidi"/>
          <w:sz w:val="16"/>
          <w:szCs w:val="16"/>
          <w:u w:val="single"/>
          <w:rtl/>
        </w:rPr>
        <w:t>(דאין אשה מתקדשת במתנה ע"מ להחזיר)</w:t>
      </w:r>
      <w:r w:rsidRPr="00351B7D">
        <w:rPr>
          <w:rFonts w:asciiTheme="minorBidi" w:hAnsiTheme="minorBidi"/>
          <w:u w:val="single"/>
          <w:rtl/>
        </w:rPr>
        <w:t xml:space="preserve"> "לפי שאין אשה נקנית בחליפין":</w:t>
      </w:r>
      <w:r w:rsidRPr="00351B7D">
        <w:rPr>
          <w:rFonts w:asciiTheme="minorBidi" w:hAnsiTheme="minorBidi"/>
          <w:sz w:val="16"/>
          <w:szCs w:val="16"/>
          <w:rtl/>
        </w:rPr>
        <w:t xml:space="preserve">  (ב"י)</w:t>
      </w:r>
    </w:p>
    <w:p w14:paraId="5D004E82" w14:textId="77777777" w:rsidR="008E16D0" w:rsidRPr="00351B7D" w:rsidRDefault="008E16D0" w:rsidP="00A8697F">
      <w:pPr>
        <w:pStyle w:val="ab"/>
        <w:numPr>
          <w:ilvl w:val="0"/>
          <w:numId w:val="25"/>
        </w:numPr>
        <w:rPr>
          <w:rFonts w:asciiTheme="minorBidi" w:hAnsiTheme="minorBidi"/>
        </w:rPr>
      </w:pPr>
      <w:r w:rsidRPr="00351B7D">
        <w:rPr>
          <w:rFonts w:asciiTheme="minorBidi" w:hAnsiTheme="minorBidi"/>
          <w:rtl/>
        </w:rPr>
        <w:t>תוס' ריא"ז ורא"ש</w:t>
      </w:r>
      <w:r w:rsidRPr="00351B7D">
        <w:rPr>
          <w:rStyle w:val="a7"/>
          <w:rFonts w:asciiTheme="minorBidi" w:hAnsiTheme="minorBidi"/>
          <w:rtl/>
        </w:rPr>
        <w:footnoteReference w:id="223"/>
      </w:r>
      <w:r w:rsidRPr="00351B7D">
        <w:rPr>
          <w:rFonts w:asciiTheme="minorBidi" w:hAnsiTheme="minorBidi"/>
          <w:rtl/>
        </w:rPr>
        <w:t>- גזירה מדרבנן, לפי שדרך הוא להחזיר הסודר שמקנין בו הילכך אי אמרת דקני אתי למימר אשה נקנית בחליפין לפיכך אפקעו רבנן לקידושין אע"ג דמדאו' הויא מקודשת</w:t>
      </w:r>
      <w:r w:rsidRPr="00351B7D">
        <w:rPr>
          <w:rStyle w:val="a7"/>
          <w:rFonts w:asciiTheme="minorBidi" w:hAnsiTheme="minorBidi"/>
          <w:rtl/>
        </w:rPr>
        <w:footnoteReference w:id="224"/>
      </w:r>
      <w:r w:rsidRPr="00351B7D">
        <w:rPr>
          <w:rFonts w:asciiTheme="minorBidi" w:hAnsiTheme="minorBidi"/>
          <w:rtl/>
        </w:rPr>
        <w:t xml:space="preserve">. </w:t>
      </w:r>
    </w:p>
    <w:p w14:paraId="6FD0BF12" w14:textId="77777777" w:rsidR="008E16D0" w:rsidRPr="00351B7D" w:rsidRDefault="008E16D0" w:rsidP="00A8697F">
      <w:pPr>
        <w:pStyle w:val="ab"/>
        <w:numPr>
          <w:ilvl w:val="0"/>
          <w:numId w:val="25"/>
        </w:numPr>
        <w:rPr>
          <w:rFonts w:asciiTheme="minorBidi" w:hAnsiTheme="minorBidi"/>
          <w:rtl/>
        </w:rPr>
      </w:pPr>
      <w:r w:rsidRPr="00351B7D">
        <w:rPr>
          <w:rFonts w:asciiTheme="minorBidi" w:hAnsiTheme="minorBidi"/>
          <w:rtl/>
        </w:rPr>
        <mc:AlternateContent>
          <mc:Choice Requires="wps">
            <w:drawing>
              <wp:anchor distT="0" distB="0" distL="114300" distR="114300" simplePos="0" relativeHeight="251663360" behindDoc="0" locked="0" layoutInCell="1" allowOverlap="1" wp14:anchorId="01C95169" wp14:editId="2344DA3A">
                <wp:simplePos x="0" y="0"/>
                <wp:positionH relativeFrom="column">
                  <wp:posOffset>4887925</wp:posOffset>
                </wp:positionH>
                <wp:positionV relativeFrom="paragraph">
                  <wp:posOffset>208280</wp:posOffset>
                </wp:positionV>
                <wp:extent cx="45085" cy="106680"/>
                <wp:effectExtent l="19050" t="0" r="31115" b="45720"/>
                <wp:wrapNone/>
                <wp:docPr id="4" name="Down Arrow 4"/>
                <wp:cNvGraphicFramePr/>
                <a:graphic xmlns:a="http://schemas.openxmlformats.org/drawingml/2006/main">
                  <a:graphicData uri="http://schemas.microsoft.com/office/word/2010/wordprocessingShape">
                    <wps:wsp>
                      <wps:cNvSpPr/>
                      <wps:spPr>
                        <a:xfrm>
                          <a:off x="0" y="0"/>
                          <a:ext cx="45085" cy="1066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3D1591A" id="Down Arrow 4" o:spid="_x0000_s1026" type="#_x0000_t67" style="position:absolute;left:0;text-align:left;margin-left:384.9pt;margin-top:16.4pt;width:3.55pt;height: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" adj="17036" fillcolor="black [3200]" strokecolor="black [1600]" strokeweight="2pt"/>
            </w:pict>
          </mc:Fallback>
        </mc:AlternateContent>
      </w:r>
      <w:r w:rsidRPr="00351B7D">
        <w:rPr>
          <w:rFonts w:asciiTheme="minorBidi" w:hAnsiTheme="minorBidi"/>
          <w:rtl/>
        </w:rPr>
        <w:t>רמב"ם</w:t>
      </w:r>
      <w:r w:rsidRPr="00351B7D">
        <w:rPr>
          <w:rStyle w:val="a7"/>
          <w:rFonts w:asciiTheme="minorBidi" w:hAnsiTheme="minorBidi"/>
          <w:rtl/>
        </w:rPr>
        <w:footnoteReference w:id="225"/>
      </w:r>
      <w:r w:rsidRPr="00351B7D">
        <w:rPr>
          <w:rFonts w:asciiTheme="minorBidi" w:hAnsiTheme="minorBidi"/>
          <w:rtl/>
        </w:rPr>
        <w:t>- שאם לא החזירתו לא נתקיים התנאי, ואם החזירתו הרי לא נהנית ולא הגיע לידה כלום</w:t>
      </w:r>
      <w:r w:rsidRPr="00351B7D">
        <w:rPr>
          <w:rStyle w:val="a7"/>
          <w:rFonts w:asciiTheme="minorBidi" w:hAnsiTheme="minorBidi"/>
          <w:rtl/>
        </w:rPr>
        <w:footnoteReference w:id="226"/>
      </w:r>
      <w:r w:rsidRPr="00351B7D">
        <w:rPr>
          <w:rFonts w:asciiTheme="minorBidi" w:hAnsiTheme="minorBidi"/>
          <w:rtl/>
        </w:rPr>
        <w:t>.</w:t>
      </w:r>
    </w:p>
    <w:p w14:paraId="363EFA52"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נתן לה מתנה ע"מ להחזיר ואמר לה בהנאה זו שאת נהנית תוך הזמן הרי את מקודשת לי:</w:t>
      </w:r>
    </w:p>
    <w:p w14:paraId="2915DB1B" w14:textId="77777777" w:rsidR="008E16D0" w:rsidRPr="00351B7D" w:rsidRDefault="008E16D0" w:rsidP="00A8697F">
      <w:pPr>
        <w:pStyle w:val="ab"/>
        <w:numPr>
          <w:ilvl w:val="0"/>
          <w:numId w:val="24"/>
        </w:numPr>
        <w:rPr>
          <w:rFonts w:asciiTheme="minorBidi" w:hAnsiTheme="minorBidi"/>
          <w:rtl/>
        </w:rPr>
      </w:pPr>
      <w:r w:rsidRPr="00351B7D">
        <w:rPr>
          <w:rFonts w:asciiTheme="minorBidi" w:hAnsiTheme="minorBidi"/>
          <w:rtl/>
        </w:rPr>
        <w:t xml:space="preserve">(רמב"ם ר"ן </w:t>
      </w:r>
      <w:r w:rsidRPr="00351B7D">
        <w:rPr>
          <w:rFonts w:asciiTheme="minorBidi" w:hAnsiTheme="minorBidi"/>
          <w:sz w:val="16"/>
          <w:szCs w:val="16"/>
          <w:rtl/>
        </w:rPr>
        <w:t>להב' הב"ש</w:t>
      </w:r>
      <w:r w:rsidRPr="00351B7D">
        <w:rPr>
          <w:rStyle w:val="a7"/>
          <w:rFonts w:asciiTheme="minorBidi" w:hAnsiTheme="minorBidi"/>
          <w:rtl/>
        </w:rPr>
        <w:footnoteReference w:id="227"/>
      </w:r>
      <w:r w:rsidRPr="00351B7D">
        <w:rPr>
          <w:rFonts w:asciiTheme="minorBidi" w:hAnsiTheme="minorBidi"/>
          <w:sz w:val="16"/>
          <w:szCs w:val="16"/>
          <w:rtl/>
        </w:rPr>
        <w:t xml:space="preserve"> והגר"א </w:t>
      </w:r>
      <w:r w:rsidRPr="00351B7D">
        <w:rPr>
          <w:rFonts w:asciiTheme="minorBidi" w:hAnsiTheme="minorBidi"/>
          <w:sz w:val="14"/>
          <w:szCs w:val="14"/>
          <w:rtl/>
        </w:rPr>
        <w:t>[סק"ב]</w:t>
      </w:r>
      <w:r w:rsidRPr="00351B7D">
        <w:rPr>
          <w:rFonts w:asciiTheme="minorBidi" w:hAnsiTheme="minorBidi"/>
          <w:rtl/>
        </w:rPr>
        <w:t xml:space="preserve">) ורי"ו </w:t>
      </w:r>
      <w:r w:rsidRPr="00351B7D">
        <w:rPr>
          <w:rFonts w:asciiTheme="minorBidi" w:hAnsiTheme="minorBidi"/>
          <w:sz w:val="16"/>
          <w:szCs w:val="16"/>
          <w:rtl/>
        </w:rPr>
        <w:t>(נכ"ב ח"ד)</w:t>
      </w:r>
      <w:r w:rsidRPr="00351B7D">
        <w:rPr>
          <w:rFonts w:asciiTheme="minorBidi" w:hAnsiTheme="minorBidi"/>
          <w:rtl/>
        </w:rPr>
        <w:t>- מקודשת</w:t>
      </w:r>
      <w:r w:rsidRPr="00351B7D">
        <w:rPr>
          <w:rStyle w:val="a7"/>
          <w:rFonts w:asciiTheme="minorBidi" w:hAnsiTheme="minorBidi"/>
          <w:rtl/>
        </w:rPr>
        <w:footnoteReference w:id="228"/>
      </w:r>
      <w:r w:rsidRPr="00351B7D">
        <w:rPr>
          <w:rFonts w:asciiTheme="minorBidi" w:hAnsiTheme="minorBidi"/>
          <w:rtl/>
        </w:rPr>
        <w:t xml:space="preserve">. </w:t>
      </w:r>
      <w:r w:rsidRPr="00351B7D">
        <w:rPr>
          <w:rFonts w:asciiTheme="minorBidi" w:hAnsiTheme="minorBidi"/>
          <w:color w:val="00B0F0"/>
          <w:rtl/>
        </w:rPr>
        <w:t>(וכ"כ הרמ"א)</w:t>
      </w:r>
      <w:r w:rsidRPr="00351B7D">
        <w:rPr>
          <w:rFonts w:asciiTheme="minorBidi" w:hAnsiTheme="minorBidi"/>
          <w:rtl/>
        </w:rPr>
        <w:t xml:space="preserve"> </w:t>
      </w:r>
    </w:p>
    <w:p w14:paraId="468360F1" w14:textId="77777777" w:rsidR="008E16D0" w:rsidRPr="00351B7D" w:rsidRDefault="008E16D0" w:rsidP="00A8697F">
      <w:pPr>
        <w:pStyle w:val="ab"/>
        <w:numPr>
          <w:ilvl w:val="0"/>
          <w:numId w:val="24"/>
        </w:numPr>
        <w:rPr>
          <w:rFonts w:asciiTheme="minorBidi" w:hAnsiTheme="minorBidi"/>
        </w:rPr>
      </w:pPr>
      <w:r w:rsidRPr="00351B7D">
        <w:rPr>
          <w:rFonts w:asciiTheme="minorBidi" w:hAnsiTheme="minorBidi"/>
          <w:rtl/>
        </w:rPr>
        <w:t>(בעהי"ט</w:t>
      </w:r>
      <w:r w:rsidRPr="00351B7D">
        <w:rPr>
          <w:rFonts w:asciiTheme="minorBidi" w:hAnsiTheme="minorBidi"/>
          <w:sz w:val="16"/>
          <w:szCs w:val="16"/>
          <w:rtl/>
        </w:rPr>
        <w:t xml:space="preserve"> להב' הח"מ</w:t>
      </w:r>
      <w:r w:rsidRPr="00351B7D">
        <w:rPr>
          <w:rFonts w:asciiTheme="minorBidi" w:hAnsiTheme="minorBidi"/>
          <w:rtl/>
        </w:rPr>
        <w:t xml:space="preserve">) (רב האי תוס' רשב"א רא"ש </w:t>
      </w:r>
      <w:r w:rsidRPr="00351B7D">
        <w:rPr>
          <w:rFonts w:asciiTheme="minorBidi" w:hAnsiTheme="minorBidi"/>
          <w:sz w:val="16"/>
          <w:szCs w:val="16"/>
          <w:rtl/>
        </w:rPr>
        <w:t>להב' הגר"א</w:t>
      </w:r>
      <w:r w:rsidRPr="00351B7D">
        <w:rPr>
          <w:rStyle w:val="a7"/>
          <w:rFonts w:asciiTheme="minorBidi" w:hAnsiTheme="minorBidi"/>
          <w:sz w:val="16"/>
          <w:szCs w:val="16"/>
          <w:rtl/>
        </w:rPr>
        <w:footnoteReference w:id="229"/>
      </w:r>
      <w:r w:rsidRPr="00351B7D">
        <w:rPr>
          <w:rFonts w:asciiTheme="minorBidi" w:hAnsiTheme="minorBidi"/>
          <w:rtl/>
        </w:rPr>
        <w:t>) ויש מפרשים</w:t>
      </w:r>
      <w:r w:rsidRPr="00351B7D">
        <w:rPr>
          <w:rFonts w:asciiTheme="minorBidi" w:hAnsiTheme="minorBidi"/>
          <w:sz w:val="16"/>
          <w:szCs w:val="16"/>
          <w:rtl/>
        </w:rPr>
        <w:t xml:space="preserve"> (הביאם רי"ו)</w:t>
      </w:r>
      <w:r w:rsidRPr="00351B7D">
        <w:rPr>
          <w:rFonts w:asciiTheme="minorBidi" w:hAnsiTheme="minorBidi"/>
          <w:rtl/>
        </w:rPr>
        <w:t>- לא הוי קדושין.</w:t>
      </w:r>
    </w:p>
    <w:p w14:paraId="392AD7FD" w14:textId="77777777" w:rsidR="008E16D0" w:rsidRPr="00351B7D" w:rsidRDefault="008E16D0" w:rsidP="008E16D0">
      <w:pPr>
        <w:rPr>
          <w:rFonts w:asciiTheme="minorBidi" w:hAnsiTheme="minorBidi"/>
          <w:u w:val="single"/>
          <w:rtl/>
        </w:rPr>
      </w:pPr>
      <w:r w:rsidRPr="00351B7D">
        <w:rPr>
          <w:rFonts w:asciiTheme="minorBidi" w:hAnsiTheme="minorBidi"/>
          <w:u w:val="single"/>
          <w:rtl/>
        </w:rPr>
        <w:t>נתן לה סודר שוה פרוטה ע"מ שתקנה בו את המנה שהתחייב לה</w:t>
      </w:r>
      <w:r w:rsidRPr="00351B7D">
        <w:rPr>
          <w:rStyle w:val="a7"/>
          <w:rFonts w:asciiTheme="minorBidi" w:hAnsiTheme="minorBidi"/>
          <w:u w:val="single"/>
          <w:rtl/>
        </w:rPr>
        <w:footnoteReference w:id="230"/>
      </w:r>
      <w:r w:rsidRPr="00351B7D">
        <w:rPr>
          <w:rFonts w:asciiTheme="minorBidi" w:hAnsiTheme="minorBidi"/>
          <w:u w:val="single"/>
          <w:rtl/>
        </w:rPr>
        <w:t xml:space="preserve">, אך בדעתה להתקדש בקניית הסודר: </w:t>
      </w:r>
    </w:p>
    <w:p w14:paraId="3BACE7F7" w14:textId="77777777" w:rsidR="008E16D0" w:rsidRPr="00351B7D" w:rsidRDefault="008E16D0" w:rsidP="00A8697F">
      <w:pPr>
        <w:pStyle w:val="ab"/>
        <w:numPr>
          <w:ilvl w:val="0"/>
          <w:numId w:val="26"/>
        </w:numPr>
        <w:rPr>
          <w:rFonts w:asciiTheme="minorBidi" w:hAnsiTheme="minorBidi"/>
          <w:rtl/>
        </w:rPr>
      </w:pPr>
      <w:r w:rsidRPr="00351B7D">
        <w:rPr>
          <w:rFonts w:asciiTheme="minorBidi" w:hAnsiTheme="minorBidi"/>
          <w:rtl/>
        </w:rPr>
        <w:t>רז"ה</w:t>
      </w:r>
      <w:r w:rsidRPr="00351B7D">
        <w:rPr>
          <w:rFonts w:asciiTheme="minorBidi" w:hAnsiTheme="minorBidi"/>
          <w:sz w:val="16"/>
          <w:szCs w:val="16"/>
          <w:rtl/>
        </w:rPr>
        <w:t xml:space="preserve"> (הביאו ריא"ז שבשלט"ג)</w:t>
      </w:r>
      <w:r w:rsidRPr="00351B7D">
        <w:rPr>
          <w:rFonts w:asciiTheme="minorBidi" w:hAnsiTheme="minorBidi"/>
          <w:rtl/>
        </w:rPr>
        <w:t xml:space="preserve"> ראבי"ה</w:t>
      </w:r>
      <w:r w:rsidRPr="00351B7D">
        <w:rPr>
          <w:rFonts w:asciiTheme="minorBidi" w:hAnsiTheme="minorBidi"/>
          <w:sz w:val="16"/>
          <w:szCs w:val="16"/>
          <w:rtl/>
        </w:rPr>
        <w:t xml:space="preserve"> (הביאו המרדכי)</w:t>
      </w:r>
      <w:r w:rsidRPr="00351B7D">
        <w:rPr>
          <w:rFonts w:asciiTheme="minorBidi" w:hAnsiTheme="minorBidi"/>
          <w:rtl/>
        </w:rPr>
        <w:t xml:space="preserve"> ומרדכי</w:t>
      </w:r>
      <w:r w:rsidRPr="00351B7D">
        <w:rPr>
          <w:rFonts w:asciiTheme="minorBidi" w:hAnsiTheme="minorBidi"/>
          <w:sz w:val="16"/>
          <w:szCs w:val="16"/>
          <w:rtl/>
        </w:rPr>
        <w:t xml:space="preserve"> (סי' תעג)</w:t>
      </w:r>
      <w:r w:rsidRPr="00351B7D">
        <w:rPr>
          <w:rFonts w:asciiTheme="minorBidi" w:hAnsiTheme="minorBidi"/>
          <w:rtl/>
        </w:rPr>
        <w:t>- מקודשת, כיון שיכולה לעכבו בידה.</w:t>
      </w:r>
    </w:p>
    <w:p w14:paraId="734BCD83" w14:textId="77777777" w:rsidR="008E16D0" w:rsidRPr="00351B7D" w:rsidRDefault="008E16D0" w:rsidP="00A8697F">
      <w:pPr>
        <w:pStyle w:val="ab"/>
        <w:numPr>
          <w:ilvl w:val="0"/>
          <w:numId w:val="26"/>
        </w:numPr>
        <w:rPr>
          <w:rFonts w:asciiTheme="minorBidi" w:hAnsiTheme="minorBidi"/>
        </w:rPr>
      </w:pPr>
      <w:r w:rsidRPr="00351B7D">
        <w:rPr>
          <w:rFonts w:asciiTheme="minorBidi" w:hAnsiTheme="minorBidi"/>
          <w:rtl/>
        </w:rPr>
        <w:t>ריא"ז</w:t>
      </w:r>
      <w:r w:rsidRPr="00351B7D">
        <w:rPr>
          <w:rFonts w:asciiTheme="minorBidi" w:hAnsiTheme="minorBidi"/>
          <w:sz w:val="16"/>
          <w:szCs w:val="16"/>
          <w:rtl/>
        </w:rPr>
        <w:t xml:space="preserve"> (הביאו השלט"ג דף א. מדפה"ר אות ג)</w:t>
      </w:r>
      <w:r w:rsidRPr="00351B7D">
        <w:rPr>
          <w:rFonts w:asciiTheme="minorBidi" w:hAnsiTheme="minorBidi"/>
          <w:rtl/>
        </w:rPr>
        <w:t>- אינה מקודשת, כיון שהזכיר לשון חליפין.</w:t>
      </w:r>
    </w:p>
    <w:p w14:paraId="3E18122D" w14:textId="77777777" w:rsidR="008E16D0" w:rsidRPr="00351B7D" w:rsidRDefault="008E16D0" w:rsidP="008E16D0">
      <w:pPr>
        <w:rPr>
          <w:rFonts w:asciiTheme="minorBidi" w:hAnsiTheme="minorBidi"/>
          <w:color w:val="000000"/>
          <w:sz w:val="16"/>
          <w:szCs w:val="16"/>
          <w:u w:val="single"/>
          <w:rtl/>
        </w:rPr>
      </w:pPr>
      <w:r w:rsidRPr="00351B7D">
        <w:rPr>
          <w:rFonts w:asciiTheme="minorBidi" w:hAnsiTheme="minorBidi"/>
          <w:u w:val="single"/>
          <w:rtl/>
        </w:rPr>
        <w:t>אם מקנה לה טבעת שברשותו ע"י קדושי סודר</w:t>
      </w:r>
      <w:r w:rsidRPr="00351B7D">
        <w:rPr>
          <w:rFonts w:asciiTheme="minorBidi" w:hAnsiTheme="minorBidi"/>
          <w:sz w:val="16"/>
          <w:szCs w:val="16"/>
          <w:u w:val="single"/>
          <w:rtl/>
        </w:rPr>
        <w:t xml:space="preserve"> (היינו שהטבעת אינה לידו עתה)</w:t>
      </w:r>
      <w:r w:rsidRPr="00351B7D">
        <w:rPr>
          <w:rFonts w:asciiTheme="minorBidi" w:hAnsiTheme="minorBidi"/>
          <w:color w:val="000000"/>
          <w:u w:val="single"/>
          <w:rtl/>
        </w:rPr>
        <w:t xml:space="preserve"> ע"מ לקדשה בטבעת:</w:t>
      </w:r>
      <w:r w:rsidRPr="00351B7D">
        <w:rPr>
          <w:rFonts w:asciiTheme="minorBidi" w:hAnsiTheme="minorBidi"/>
          <w:color w:val="000000"/>
          <w:sz w:val="16"/>
          <w:szCs w:val="16"/>
          <w:rtl/>
        </w:rPr>
        <w:t xml:space="preserve">   (ב"ש [סק"ב וסק"י])</w:t>
      </w:r>
    </w:p>
    <w:p w14:paraId="3C7E1E4A" w14:textId="77777777" w:rsidR="008E16D0" w:rsidRPr="00351B7D" w:rsidRDefault="008E16D0" w:rsidP="00A8697F">
      <w:pPr>
        <w:pStyle w:val="ab"/>
        <w:numPr>
          <w:ilvl w:val="0"/>
          <w:numId w:val="26"/>
        </w:numPr>
        <w:rPr>
          <w:rFonts w:asciiTheme="minorBidi" w:hAnsiTheme="minorBidi"/>
        </w:rPr>
      </w:pPr>
      <w:r w:rsidRPr="00351B7D">
        <w:rPr>
          <w:rFonts w:asciiTheme="minorBidi" w:hAnsiTheme="minorBidi"/>
          <w:color w:val="000000"/>
          <w:rtl/>
        </w:rPr>
        <w:t xml:space="preserve">רש"ך </w:t>
      </w:r>
      <w:r w:rsidRPr="00351B7D">
        <w:rPr>
          <w:rFonts w:asciiTheme="minorBidi" w:hAnsiTheme="minorBidi"/>
          <w:color w:val="000000"/>
          <w:sz w:val="16"/>
          <w:szCs w:val="16"/>
          <w:rtl/>
        </w:rPr>
        <w:t>(ח"א סי' קנ"ב)</w:t>
      </w:r>
      <w:r w:rsidRPr="00351B7D">
        <w:rPr>
          <w:rFonts w:asciiTheme="minorBidi" w:hAnsiTheme="minorBidi"/>
          <w:rtl/>
        </w:rPr>
        <w:t>- הוי קדושין</w:t>
      </w:r>
      <w:r w:rsidRPr="00351B7D">
        <w:rPr>
          <w:rStyle w:val="a7"/>
          <w:rFonts w:asciiTheme="minorBidi" w:hAnsiTheme="minorBidi"/>
          <w:color w:val="000000"/>
          <w:rtl/>
        </w:rPr>
        <w:footnoteReference w:id="231"/>
      </w:r>
      <w:r w:rsidRPr="00351B7D">
        <w:rPr>
          <w:rFonts w:asciiTheme="minorBidi" w:hAnsiTheme="minorBidi"/>
          <w:color w:val="000000"/>
          <w:rtl/>
        </w:rPr>
        <w:t>.</w:t>
      </w:r>
    </w:p>
    <w:p w14:paraId="4D5CE3D5" w14:textId="77777777" w:rsidR="008E16D0" w:rsidRPr="00351B7D" w:rsidRDefault="008E16D0" w:rsidP="00A8697F">
      <w:pPr>
        <w:pStyle w:val="ab"/>
        <w:numPr>
          <w:ilvl w:val="0"/>
          <w:numId w:val="26"/>
        </w:numPr>
        <w:rPr>
          <w:rFonts w:asciiTheme="minorBidi" w:hAnsiTheme="minorBidi"/>
          <w:rtl/>
        </w:rPr>
      </w:pPr>
      <w:r w:rsidRPr="00351B7D">
        <w:rPr>
          <w:rFonts w:asciiTheme="minorBidi" w:hAnsiTheme="minorBidi"/>
          <w:color w:val="000000"/>
          <w:rtl/>
        </w:rPr>
        <w:t xml:space="preserve">שלט"ג </w:t>
      </w:r>
      <w:r w:rsidRPr="00351B7D">
        <w:rPr>
          <w:rFonts w:asciiTheme="minorBidi" w:hAnsiTheme="minorBidi"/>
          <w:color w:val="000000"/>
          <w:sz w:val="16"/>
          <w:szCs w:val="16"/>
          <w:rtl/>
        </w:rPr>
        <w:t>(א. מדפה"ר אות ג)</w:t>
      </w:r>
      <w:r w:rsidRPr="00351B7D">
        <w:rPr>
          <w:rFonts w:asciiTheme="minorBidi" w:hAnsiTheme="minorBidi"/>
          <w:rtl/>
        </w:rPr>
        <w:t>- לא הוי קדושין, דדמי לקנין חליפין.</w:t>
      </w:r>
    </w:p>
    <w:p w14:paraId="7F9D523E"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691BFE" w14:textId="77777777" w:rsidR="008E16D0" w:rsidRPr="00351B7D" w:rsidRDefault="008E16D0" w:rsidP="008E16D0">
      <w:pPr>
        <w:rPr>
          <w:rFonts w:asciiTheme="minorBidi" w:hAnsiTheme="minorBidi"/>
          <w:color w:val="000000"/>
          <w:rtl/>
        </w:rPr>
      </w:pPr>
      <w:r w:rsidRPr="00351B7D">
        <w:rPr>
          <w:rFonts w:asciiTheme="minorBidi" w:hAnsiTheme="minorBidi"/>
          <w:rtl/>
        </w:rPr>
        <w:lastRenderedPageBreak/>
        <w:t>האומר לאשה הרי את מקודשת לי בדינר זה על מנת שתחזיריהו לי אינה מקודשת</w:t>
      </w:r>
      <w:r w:rsidRPr="00351B7D">
        <w:rPr>
          <w:rStyle w:val="a7"/>
          <w:rFonts w:asciiTheme="minorBidi" w:hAnsiTheme="minorBidi"/>
          <w:color w:val="000000"/>
          <w:rtl/>
        </w:rPr>
        <w:footnoteReference w:id="232"/>
      </w:r>
      <w:r w:rsidRPr="00351B7D">
        <w:rPr>
          <w:rFonts w:asciiTheme="minorBidi" w:hAnsiTheme="minorBidi"/>
          <w:color w:val="000000"/>
          <w:rtl/>
        </w:rPr>
        <w:t>.</w:t>
      </w:r>
      <w:r w:rsidRPr="00351B7D">
        <w:rPr>
          <w:rFonts w:asciiTheme="minorBidi" w:hAnsiTheme="minorBidi"/>
          <w:color w:val="000000"/>
          <w:sz w:val="18"/>
          <w:szCs w:val="18"/>
          <w:rtl/>
        </w:rPr>
        <w:t xml:space="preserve"> הגה: אבל האשה שנתנה לאחד מתנה על מנת להחזיר לה לאחר שלשים יום </w:t>
      </w:r>
      <w:r w:rsidRPr="00351B7D">
        <w:rPr>
          <w:rStyle w:val="a7"/>
          <w:rFonts w:asciiTheme="minorBidi" w:hAnsiTheme="minorBidi"/>
          <w:color w:val="000000"/>
          <w:sz w:val="18"/>
          <w:szCs w:val="18"/>
          <w:rtl/>
        </w:rPr>
        <w:footnoteReference w:id="233"/>
      </w:r>
      <w:r w:rsidRPr="00351B7D">
        <w:rPr>
          <w:rFonts w:asciiTheme="minorBidi" w:hAnsiTheme="minorBidi"/>
          <w:color w:val="000000"/>
          <w:sz w:val="18"/>
          <w:szCs w:val="18"/>
          <w:rtl/>
        </w:rPr>
        <w:t>כדי לקדשה בה תוך שלשים, ונתן לה תוך שלשים לקדושין, הוי מקודשת</w:t>
      </w:r>
      <w:r w:rsidRPr="00351B7D">
        <w:rPr>
          <w:rFonts w:asciiTheme="minorBidi" w:hAnsiTheme="minorBidi"/>
          <w:color w:val="000000"/>
          <w:sz w:val="16"/>
          <w:szCs w:val="16"/>
          <w:rtl/>
        </w:rPr>
        <w:t xml:space="preserve"> (תשו' הרא"ש כלל לה)</w:t>
      </w:r>
      <w:r w:rsidRPr="00351B7D">
        <w:rPr>
          <w:rFonts w:asciiTheme="minorBidi" w:hAnsiTheme="minorBidi"/>
          <w:color w:val="000000"/>
          <w:sz w:val="18"/>
          <w:szCs w:val="18"/>
          <w:rtl/>
        </w:rPr>
        <w:t>. י"א דאם נתן לה מתנה על מנת להחזיר ואמר לה בהנאה זו שאת נהנית תוך הזמן הרי את מקודשת לי הוי קדושין</w:t>
      </w:r>
      <w:r w:rsidRPr="00351B7D">
        <w:rPr>
          <w:rStyle w:val="a7"/>
          <w:rFonts w:asciiTheme="minorBidi" w:hAnsiTheme="minorBidi"/>
          <w:color w:val="000000"/>
          <w:sz w:val="18"/>
          <w:szCs w:val="18"/>
          <w:rtl/>
        </w:rPr>
        <w:footnoteReference w:id="234"/>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(רי"ו)</w:t>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4863C8B3" w14:textId="77777777" w:rsidR="008E16D0" w:rsidRPr="00351B7D" w:rsidRDefault="008E16D0" w:rsidP="008E16D0">
      <w:pPr>
        <w:rPr>
          <w:rFonts w:asciiTheme="minorBidi" w:hAnsiTheme="minorBidi"/>
          <w:color w:val="000000"/>
          <w:u w:val="single"/>
          <w:rtl/>
        </w:rPr>
      </w:pPr>
      <w:r w:rsidRPr="00351B7D">
        <w:rPr>
          <w:rFonts w:asciiTheme="minorBidi" w:hAnsiTheme="minorBidi"/>
          <w:u w:val="single"/>
          <w:rtl/>
        </w:rPr>
        <w:t>האם מדובר שכפל את התנאי</w:t>
      </w:r>
      <w:r w:rsidRPr="00351B7D">
        <w:rPr>
          <w:rFonts w:asciiTheme="minorBidi" w:hAnsiTheme="minorBidi"/>
          <w:color w:val="000000"/>
          <w:sz w:val="16"/>
          <w:szCs w:val="16"/>
          <w:u w:val="single"/>
          <w:rtl/>
        </w:rPr>
        <w:t xml:space="preserve"> (הרי את מקודשת ע"מ שתחזיריהו לי)</w:t>
      </w:r>
      <w:r w:rsidRPr="00351B7D">
        <w:rPr>
          <w:rFonts w:asciiTheme="minorBidi" w:hAnsiTheme="minorBidi"/>
          <w:color w:val="000000"/>
          <w:u w:val="single"/>
          <w:rtl/>
        </w:rPr>
        <w:t>:</w:t>
      </w:r>
    </w:p>
    <w:p w14:paraId="3717444F" w14:textId="77777777" w:rsidR="008E16D0" w:rsidRPr="00351B7D" w:rsidRDefault="008E16D0" w:rsidP="00A8697F">
      <w:pPr>
        <w:pStyle w:val="ab"/>
        <w:numPr>
          <w:ilvl w:val="0"/>
          <w:numId w:val="6"/>
        </w:numPr>
        <w:rPr>
          <w:rFonts w:asciiTheme="minorBidi" w:hAnsiTheme="minorBidi"/>
        </w:rPr>
      </w:pPr>
      <w:r w:rsidRPr="00351B7D">
        <w:rPr>
          <w:rFonts w:asciiTheme="minorBidi" w:hAnsiTheme="minorBidi"/>
          <w:color w:val="000000"/>
          <w:rtl/>
        </w:rPr>
        <w:t xml:space="preserve">(רא"ש </w:t>
      </w:r>
      <w:r w:rsidRPr="00351B7D">
        <w:rPr>
          <w:rFonts w:asciiTheme="minorBidi" w:hAnsiTheme="minorBidi"/>
          <w:color w:val="000000"/>
          <w:sz w:val="16"/>
          <w:szCs w:val="16"/>
          <w:rtl/>
        </w:rPr>
        <w:t>להב' ב"ש</w:t>
      </w:r>
      <w:r w:rsidRPr="00351B7D">
        <w:rPr>
          <w:rFonts w:asciiTheme="minorBidi" w:hAnsiTheme="minorBidi"/>
          <w:rtl/>
        </w:rPr>
        <w:t>) ב"ח באה"ט ונח"צ</w:t>
      </w:r>
      <w:r w:rsidRPr="00351B7D">
        <w:rPr>
          <w:rStyle w:val="a7"/>
          <w:rFonts w:asciiTheme="minorBidi" w:hAnsiTheme="minorBidi"/>
          <w:color w:val="000000"/>
          <w:rtl/>
        </w:rPr>
        <w:footnoteReference w:id="235"/>
      </w:r>
      <w:r w:rsidRPr="00351B7D">
        <w:rPr>
          <w:rFonts w:asciiTheme="minorBidi" w:hAnsiTheme="minorBidi"/>
          <w:rtl/>
        </w:rPr>
        <w:t>- איירי בכפל התנאי דאל"כ התנאי בטל והמעשה קיים</w:t>
      </w:r>
      <w:r w:rsidRPr="00351B7D">
        <w:rPr>
          <w:rStyle w:val="a7"/>
          <w:rFonts w:asciiTheme="minorBidi" w:hAnsiTheme="minorBidi"/>
          <w:rtl/>
        </w:rPr>
        <w:footnoteReference w:id="236"/>
      </w:r>
      <w:r w:rsidRPr="00351B7D">
        <w:rPr>
          <w:rFonts w:asciiTheme="minorBidi" w:hAnsiTheme="minorBidi"/>
          <w:rtl/>
        </w:rPr>
        <w:t xml:space="preserve"> </w:t>
      </w:r>
      <w:r w:rsidRPr="00351B7D">
        <w:rPr>
          <w:rFonts w:asciiTheme="minorBidi" w:hAnsiTheme="minorBidi"/>
          <w:sz w:val="16"/>
          <w:szCs w:val="16"/>
          <w:rtl/>
        </w:rPr>
        <w:t>(והרי היא מקודשת)</w:t>
      </w:r>
      <w:r w:rsidRPr="00351B7D">
        <w:rPr>
          <w:rFonts w:asciiTheme="minorBidi" w:hAnsiTheme="minorBidi"/>
          <w:rtl/>
        </w:rPr>
        <w:t>.</w:t>
      </w:r>
    </w:p>
    <w:p w14:paraId="12A456E8" w14:textId="77777777" w:rsidR="008E16D0" w:rsidRPr="00351B7D" w:rsidRDefault="008E16D0" w:rsidP="00A8697F">
      <w:pPr>
        <w:pStyle w:val="ab"/>
        <w:numPr>
          <w:ilvl w:val="0"/>
          <w:numId w:val="6"/>
        </w:numPr>
        <w:rPr>
          <w:rFonts w:asciiTheme="minorBidi" w:hAnsiTheme="minorBidi"/>
        </w:rPr>
      </w:pPr>
      <w:r w:rsidRPr="00351B7D">
        <w:rPr>
          <w:rFonts w:asciiTheme="minorBidi" w:hAnsiTheme="minorBidi"/>
          <w:color w:val="000000"/>
          <w:rtl/>
        </w:rPr>
        <w:t xml:space="preserve">(תוס' </w:t>
      </w:r>
      <w:r w:rsidRPr="00351B7D">
        <w:rPr>
          <w:rFonts w:asciiTheme="minorBidi" w:hAnsiTheme="minorBidi"/>
          <w:color w:val="000000"/>
          <w:sz w:val="14"/>
          <w:szCs w:val="14"/>
          <w:rtl/>
        </w:rPr>
        <w:t xml:space="preserve">[קדושין ו: ד"ה לא] </w:t>
      </w:r>
      <w:r w:rsidRPr="00351B7D">
        <w:rPr>
          <w:rFonts w:asciiTheme="minorBidi" w:hAnsiTheme="minorBidi"/>
          <w:sz w:val="16"/>
          <w:szCs w:val="16"/>
          <w:rtl/>
        </w:rPr>
        <w:t>להב' ב"ש</w:t>
      </w:r>
      <w:r w:rsidRPr="00351B7D">
        <w:rPr>
          <w:rFonts w:asciiTheme="minorBidi" w:hAnsiTheme="minorBidi"/>
          <w:color w:val="000000"/>
          <w:sz w:val="14"/>
          <w:szCs w:val="14"/>
          <w:rtl/>
        </w:rPr>
        <w:t xml:space="preserve"> [סק"א]</w:t>
      </w:r>
      <w:r w:rsidRPr="00351B7D">
        <w:rPr>
          <w:rFonts w:asciiTheme="minorBidi" w:hAnsiTheme="minorBidi"/>
          <w:rtl/>
        </w:rPr>
        <w:t xml:space="preserve">) ובית הילל- מדובר שלא כפל, ואעפ"כ אינה מקודשת.  </w:t>
      </w:r>
    </w:p>
    <w:p w14:paraId="45A6AB58"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אשה שנתנה לאדם חשוב מתנה ע"מ להחזיר:</w:t>
      </w:r>
      <w:r w:rsidRPr="00351B7D">
        <w:rPr>
          <w:rFonts w:asciiTheme="minorBidi" w:hAnsiTheme="minorBidi"/>
          <w:color w:val="000000"/>
          <w:sz w:val="16"/>
          <w:szCs w:val="16"/>
          <w:rtl/>
        </w:rPr>
        <w:t xml:space="preserve">  (פת"ש סק"א)</w:t>
      </w:r>
    </w:p>
    <w:p w14:paraId="26081720" w14:textId="77777777" w:rsidR="008E16D0" w:rsidRPr="00351B7D" w:rsidRDefault="008E16D0" w:rsidP="00A8697F">
      <w:pPr>
        <w:pStyle w:val="ab"/>
        <w:numPr>
          <w:ilvl w:val="0"/>
          <w:numId w:val="22"/>
        </w:numPr>
        <w:rPr>
          <w:rFonts w:asciiTheme="minorBidi" w:hAnsiTheme="minorBidi"/>
        </w:rPr>
      </w:pPr>
      <w:r w:rsidRPr="00351B7D">
        <w:rPr>
          <w:rFonts w:asciiTheme="minorBidi" w:hAnsiTheme="minorBidi"/>
          <w:color w:val="000000"/>
          <w:rtl/>
        </w:rPr>
        <w:t xml:space="preserve">שעה"מ </w:t>
      </w:r>
      <w:r w:rsidRPr="00351B7D">
        <w:rPr>
          <w:rFonts w:asciiTheme="minorBidi" w:hAnsiTheme="minorBidi"/>
          <w:color w:val="000000"/>
          <w:sz w:val="16"/>
          <w:szCs w:val="16"/>
          <w:rtl/>
        </w:rPr>
        <w:t>(פ"ה מה"א דין כ"ד)</w:t>
      </w:r>
      <w:r w:rsidRPr="00351B7D">
        <w:rPr>
          <w:rFonts w:asciiTheme="minorBidi" w:hAnsiTheme="minorBidi"/>
          <w:rtl/>
        </w:rPr>
        <w:t>- מידי ספק לא נפיק</w:t>
      </w:r>
      <w:r w:rsidRPr="00351B7D">
        <w:rPr>
          <w:rStyle w:val="a7"/>
          <w:rFonts w:asciiTheme="minorBidi" w:hAnsiTheme="minorBidi"/>
          <w:color w:val="000000"/>
          <w:rtl/>
        </w:rPr>
        <w:footnoteReference w:id="237"/>
      </w:r>
      <w:r w:rsidRPr="00351B7D">
        <w:rPr>
          <w:rFonts w:asciiTheme="minorBidi" w:hAnsiTheme="minorBidi"/>
          <w:color w:val="000000"/>
          <w:rtl/>
        </w:rPr>
        <w:t>.</w:t>
      </w:r>
    </w:p>
    <w:p w14:paraId="1F6BFD65"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נתן לה ואמר ע"מ שתחזירי לאבי או לבני:</w:t>
      </w:r>
      <w:r w:rsidRPr="00351B7D">
        <w:rPr>
          <w:rFonts w:asciiTheme="minorBidi" w:hAnsiTheme="minorBidi"/>
          <w:color w:val="000000"/>
          <w:sz w:val="16"/>
          <w:szCs w:val="16"/>
          <w:rtl/>
        </w:rPr>
        <w:t xml:space="preserve">  (פת"ש סק"ב)</w:t>
      </w:r>
    </w:p>
    <w:p w14:paraId="0CE4CC35" w14:textId="77777777" w:rsidR="008E16D0" w:rsidRPr="00351B7D" w:rsidRDefault="008E16D0" w:rsidP="00A8697F">
      <w:pPr>
        <w:pStyle w:val="ab"/>
        <w:numPr>
          <w:ilvl w:val="0"/>
          <w:numId w:val="22"/>
        </w:numPr>
        <w:rPr>
          <w:rFonts w:asciiTheme="minorBidi" w:hAnsiTheme="minorBidi"/>
          <w:rtl/>
        </w:rPr>
      </w:pPr>
      <w:r w:rsidRPr="00351B7D">
        <w:rPr>
          <w:rFonts w:asciiTheme="minorBidi" w:hAnsiTheme="minorBidi"/>
          <w:rtl/>
        </w:rPr>
        <w:t xml:space="preserve">המקנה </w:t>
      </w:r>
      <w:r w:rsidRPr="00351B7D">
        <w:rPr>
          <w:rFonts w:asciiTheme="minorBidi" w:hAnsiTheme="minorBidi"/>
          <w:color w:val="000000"/>
          <w:sz w:val="16"/>
          <w:szCs w:val="16"/>
          <w:rtl/>
        </w:rPr>
        <w:t>(קו"א דיבור ראשון)</w:t>
      </w:r>
      <w:r w:rsidRPr="00351B7D">
        <w:rPr>
          <w:rFonts w:asciiTheme="minorBidi" w:hAnsiTheme="minorBidi"/>
          <w:rtl/>
        </w:rPr>
        <w:t xml:space="preserve">- ספק, הואיל ולא דמי לחליפין </w:t>
      </w:r>
      <w:r w:rsidRPr="00351B7D">
        <w:rPr>
          <w:rFonts w:asciiTheme="minorBidi" w:hAnsiTheme="minorBidi"/>
          <w:sz w:val="16"/>
          <w:szCs w:val="16"/>
          <w:rtl/>
        </w:rPr>
        <w:t>(דבחליפין הדר למרא קמא)</w:t>
      </w:r>
      <w:r w:rsidRPr="00351B7D">
        <w:rPr>
          <w:rFonts w:asciiTheme="minorBidi" w:hAnsiTheme="minorBidi"/>
          <w:color w:val="000000"/>
          <w:rtl/>
        </w:rPr>
        <w:t>.</w:t>
      </w:r>
    </w:p>
    <w:p w14:paraId="407ACFCA" w14:textId="77777777" w:rsidR="008E16D0" w:rsidRPr="00351B7D" w:rsidRDefault="008E16D0" w:rsidP="00A8697F">
      <w:pPr>
        <w:pStyle w:val="ab"/>
        <w:numPr>
          <w:ilvl w:val="0"/>
          <w:numId w:val="22"/>
        </w:numPr>
        <w:rPr>
          <w:rFonts w:asciiTheme="minorBidi" w:hAnsiTheme="minorBidi"/>
        </w:rPr>
      </w:pPr>
      <w:r w:rsidRPr="00351B7D">
        <w:rPr>
          <w:rFonts w:asciiTheme="minorBidi" w:hAnsiTheme="minorBidi"/>
          <w:rtl/>
        </w:rPr>
        <w:t xml:space="preserve">קהילות יעקב </w:t>
      </w:r>
      <w:r w:rsidRPr="00351B7D">
        <w:rPr>
          <w:rFonts w:asciiTheme="minorBidi" w:hAnsiTheme="minorBidi"/>
          <w:color w:val="000000"/>
          <w:sz w:val="16"/>
          <w:szCs w:val="16"/>
          <w:rtl/>
        </w:rPr>
        <w:t>(ד"ה על)</w:t>
      </w:r>
      <w:r w:rsidRPr="00351B7D">
        <w:rPr>
          <w:rFonts w:asciiTheme="minorBidi" w:hAnsiTheme="minorBidi"/>
          <w:rtl/>
        </w:rPr>
        <w:t>- גם כשמקנה לאשה ע"מ שיצא אח"כ מרשותה לאחר- לא הוי קדושין.</w:t>
      </w:r>
    </w:p>
    <w:p w14:paraId="42825D9C"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נתנה לו טבעת במתנה ע"מ שיחזור ויקדשנה בה:</w:t>
      </w:r>
      <w:r w:rsidRPr="00351B7D">
        <w:rPr>
          <w:rFonts w:asciiTheme="minorBidi" w:hAnsiTheme="minorBidi"/>
          <w:color w:val="000000"/>
          <w:rtl/>
        </w:rPr>
        <w:t xml:space="preserve"> </w:t>
      </w:r>
      <w:r w:rsidRPr="00351B7D">
        <w:rPr>
          <w:rFonts w:asciiTheme="minorBidi" w:hAnsiTheme="minorBidi"/>
          <w:color w:val="000000"/>
          <w:sz w:val="16"/>
          <w:szCs w:val="16"/>
          <w:rtl/>
        </w:rPr>
        <w:t>(פת"ש סק"ג)</w:t>
      </w:r>
      <w:r w:rsidRPr="00351B7D">
        <w:rPr>
          <w:rFonts w:asciiTheme="minorBidi" w:hAnsiTheme="minorBidi"/>
          <w:color w:val="000000"/>
          <w:rtl/>
        </w:rPr>
        <w:t xml:space="preserve"> </w:t>
      </w:r>
    </w:p>
    <w:p w14:paraId="1E4E12B9" w14:textId="77777777" w:rsidR="008E16D0" w:rsidRPr="00351B7D" w:rsidRDefault="008E16D0" w:rsidP="00A8697F">
      <w:pPr>
        <w:pStyle w:val="ab"/>
        <w:numPr>
          <w:ilvl w:val="0"/>
          <w:numId w:val="23"/>
        </w:numPr>
        <w:rPr>
          <w:rFonts w:asciiTheme="minorBidi" w:hAnsiTheme="minorBidi"/>
        </w:rPr>
      </w:pPr>
      <w:r w:rsidRPr="00351B7D">
        <w:rPr>
          <w:rFonts w:asciiTheme="minorBidi" w:hAnsiTheme="minorBidi"/>
          <w:rtl/>
        </w:rPr>
        <w:t xml:space="preserve">המקנה </w:t>
      </w:r>
      <w:r w:rsidRPr="00351B7D">
        <w:rPr>
          <w:rFonts w:asciiTheme="minorBidi" w:hAnsiTheme="minorBidi"/>
          <w:color w:val="000000"/>
          <w:sz w:val="16"/>
          <w:szCs w:val="16"/>
          <w:rtl/>
        </w:rPr>
        <w:t>(קו"א ד"ה והנה הט"ז)</w:t>
      </w:r>
      <w:r w:rsidRPr="00351B7D">
        <w:rPr>
          <w:rFonts w:asciiTheme="minorBidi" w:hAnsiTheme="minorBidi"/>
          <w:rtl/>
        </w:rPr>
        <w:t xml:space="preserve">- אינה מקודשת. </w:t>
      </w:r>
    </w:p>
    <w:p w14:paraId="34311002" w14:textId="77777777" w:rsidR="008E16D0" w:rsidRPr="00351B7D" w:rsidRDefault="008E16D0" w:rsidP="00A8697F">
      <w:pPr>
        <w:pStyle w:val="ab"/>
        <w:numPr>
          <w:ilvl w:val="0"/>
          <w:numId w:val="23"/>
        </w:numPr>
        <w:rPr>
          <w:rFonts w:asciiTheme="minorBidi" w:hAnsiTheme="minorBidi"/>
        </w:rPr>
      </w:pPr>
      <w:r w:rsidRPr="00351B7D">
        <w:rPr>
          <w:rFonts w:asciiTheme="minorBidi" w:hAnsiTheme="minorBidi"/>
          <w:rtl/>
        </w:rPr>
        <w:t xml:space="preserve">קהילות יעקב </w:t>
      </w:r>
      <w:r w:rsidRPr="00351B7D">
        <w:rPr>
          <w:rFonts w:asciiTheme="minorBidi" w:hAnsiTheme="minorBidi"/>
          <w:color w:val="000000"/>
          <w:sz w:val="16"/>
          <w:szCs w:val="16"/>
          <w:rtl/>
        </w:rPr>
        <w:t>(ד"ה כדי)</w:t>
      </w:r>
      <w:r w:rsidRPr="00351B7D">
        <w:rPr>
          <w:rFonts w:asciiTheme="minorBidi" w:hAnsiTheme="minorBidi"/>
          <w:rtl/>
        </w:rPr>
        <w:t>- מקודשת, דדמי לאומר 'הנני נותן לך חפץ זה במתנה ע"מ שתקנה ממני איזה חפץ אחר בחפץ זה שנתתי לך' דודאי מהני, כמו בגט שהאשה נותנת להבעל הנייר במתנה שיכתוב עליו הגט ויחזור ויתן לה ויהיה שלה שהאשה יודעת לאקנויי בכה"ג</w:t>
      </w:r>
      <w:r w:rsidRPr="00351B7D">
        <w:rPr>
          <w:rFonts w:asciiTheme="minorBidi" w:hAnsiTheme="minorBidi"/>
          <w:sz w:val="16"/>
          <w:szCs w:val="16"/>
          <w:rtl/>
        </w:rPr>
        <w:t xml:space="preserve"> (כמבואר בגיטין כ:)</w:t>
      </w:r>
      <w:r w:rsidRPr="00351B7D">
        <w:rPr>
          <w:rFonts w:asciiTheme="minorBidi" w:hAnsiTheme="minorBidi"/>
          <w:color w:val="000000"/>
          <w:rtl/>
        </w:rPr>
        <w:t>.</w:t>
      </w:r>
    </w:p>
    <w:p w14:paraId="593FFD88" w14:textId="77777777" w:rsidR="008E16D0" w:rsidRPr="00351B7D" w:rsidRDefault="008E16D0" w:rsidP="008E16D0">
      <w:pPr>
        <w:rPr>
          <w:rFonts w:asciiTheme="minorBidi" w:hAnsiTheme="minorBidi"/>
          <w:u w:val="single"/>
          <w:rtl/>
        </w:rPr>
      </w:pPr>
      <w:r w:rsidRPr="00351B7D">
        <w:rPr>
          <w:rFonts w:asciiTheme="minorBidi" w:hAnsiTheme="minorBidi"/>
          <w:u w:val="single"/>
          <w:rtl/>
        </w:rPr>
        <w:t>נתן לה לענוד תכשיט לזמן מה ואמר לה בשכר קישוט זה התקדשי לי:</w:t>
      </w:r>
      <w:r w:rsidRPr="00351B7D">
        <w:rPr>
          <w:rFonts w:asciiTheme="minorBidi" w:hAnsiTheme="minorBidi"/>
          <w:color w:val="000000"/>
          <w:sz w:val="16"/>
          <w:szCs w:val="16"/>
          <w:rtl/>
        </w:rPr>
        <w:t xml:space="preserve">   (פת"ש סק"ד)</w:t>
      </w:r>
    </w:p>
    <w:p w14:paraId="06EE3E53" w14:textId="77777777" w:rsidR="008E16D0" w:rsidRPr="00351B7D" w:rsidRDefault="008E16D0" w:rsidP="00A8697F">
      <w:pPr>
        <w:pStyle w:val="ab"/>
        <w:numPr>
          <w:ilvl w:val="0"/>
          <w:numId w:val="118"/>
        </w:numPr>
        <w:rPr>
          <w:rFonts w:asciiTheme="minorBidi" w:hAnsiTheme="minorBidi"/>
          <w:rtl/>
        </w:rPr>
      </w:pPr>
      <w:r w:rsidRPr="00351B7D">
        <w:rPr>
          <w:rFonts w:asciiTheme="minorBidi" w:hAnsiTheme="minorBidi"/>
          <w:rtl/>
        </w:rPr>
        <w:t xml:space="preserve">קהילות יעקב </w:t>
      </w:r>
      <w:r w:rsidRPr="00351B7D">
        <w:rPr>
          <w:rFonts w:asciiTheme="minorBidi" w:hAnsiTheme="minorBidi"/>
          <w:sz w:val="16"/>
          <w:szCs w:val="16"/>
          <w:rtl/>
        </w:rPr>
        <w:t>(ד"ה י"א)</w:t>
      </w:r>
      <w:r w:rsidRPr="00351B7D">
        <w:rPr>
          <w:rFonts w:asciiTheme="minorBidi" w:hAnsiTheme="minorBidi"/>
          <w:rtl/>
        </w:rPr>
        <w:t>- אם אמר "בשכר הקישוט" אינה מקודשת, כדכ' בס' המקנה, משום דבשכר שמוש משמעות לשונו הוא- בהשכר שיגיע לו לשלם אחר שתשמש, ובשכר זה שתתחייב לו תהא מקודשת, והשכר הוא מלוה. ומה שהצריך בס' המקנה שיאמר לה בהאי הנאה מה שהיתה צריכה לפייס לאחד וליתן לו פרוטה שיבקש ממנו שיתן לה תכשיט זה להתקשט בו זמן מה, לפע"ד נראה דכשאמר לה בהנאת קישוט ג"כ מקודשת</w:t>
      </w:r>
      <w:r w:rsidRPr="00351B7D">
        <w:rPr>
          <w:rStyle w:val="a7"/>
          <w:rFonts w:asciiTheme="minorBidi" w:hAnsiTheme="minorBidi"/>
          <w:rtl/>
        </w:rPr>
        <w:footnoteReference w:id="238"/>
      </w:r>
      <w:r w:rsidRPr="00351B7D">
        <w:rPr>
          <w:rFonts w:asciiTheme="minorBidi" w:hAnsiTheme="minorBidi"/>
          <w:rtl/>
        </w:rPr>
        <w:t>.</w:t>
      </w:r>
    </w:p>
    <w:p w14:paraId="7CD9A98D" w14:textId="77777777" w:rsidR="008E16D0" w:rsidRPr="00351B7D" w:rsidRDefault="008E16D0" w:rsidP="008E16D0">
      <w:pPr>
        <w:rPr>
          <w:rFonts w:asciiTheme="minorBidi" w:hAnsiTheme="minorBidi"/>
          <w:color w:val="000000"/>
          <w:rtl/>
        </w:rPr>
      </w:pPr>
    </w:p>
    <w:p w14:paraId="454A774A" w14:textId="77777777" w:rsidR="008E16D0" w:rsidRPr="00351B7D" w:rsidRDefault="008E16D0" w:rsidP="008E16D0">
      <w:pPr>
        <w:pStyle w:val="2"/>
        <w:rPr>
          <w:rFonts w:asciiTheme="minorBidi" w:hAnsiTheme="minorBidi"/>
          <w:rtl/>
        </w:rPr>
      </w:pPr>
      <w:r w:rsidRPr="00351B7D">
        <w:rPr>
          <w:rFonts w:asciiTheme="minorBidi" w:hAnsiTheme="minorBidi"/>
          <w:rtl/>
        </w:rPr>
        <w:t>סעיף ב: אמרה לו תן מנה לפלוני ואתקדש אני לך.</w:t>
      </w:r>
    </w:p>
    <w:p w14:paraId="54CF2F78"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ו ע"ב: </w:t>
      </w:r>
      <w:r w:rsidRPr="00351B7D">
        <w:rPr>
          <w:rFonts w:asciiTheme="minorBidi" w:hAnsiTheme="minorBidi"/>
          <w:u w:val="single"/>
          <w:rtl/>
        </w:rPr>
        <w:t>אמר רבא:</w:t>
      </w:r>
      <w:r w:rsidRPr="00351B7D">
        <w:rPr>
          <w:rFonts w:asciiTheme="minorBidi" w:hAnsiTheme="minorBidi"/>
          <w:rtl/>
        </w:rPr>
        <w:t xml:space="preserve"> תן מנה לפלוני ואקדש לך - מקודשת מדין ערב, ערב לאו אף ע"ג דלא מטי הנאה לידיה קא משעביד נפשיה, האי איתתא נמי אף על גב דלא מטי הנאה לידה קא משעבדא ומקניא נפשה.</w:t>
      </w:r>
    </w:p>
    <w:p w14:paraId="2B5CE36A" w14:textId="77777777" w:rsidR="008E16D0" w:rsidRPr="00351B7D" w:rsidRDefault="008E16D0" w:rsidP="008E16D0">
      <w:pPr>
        <w:rPr>
          <w:rFonts w:asciiTheme="minorBidi" w:hAnsiTheme="minorBidi"/>
          <w:rtl/>
        </w:rPr>
      </w:pPr>
      <w:r w:rsidRPr="00351B7D">
        <w:rPr>
          <w:rFonts w:asciiTheme="minorBidi" w:hAnsiTheme="minorBidi"/>
          <w:u w:val="single"/>
          <w:rtl/>
        </w:rPr>
        <w:lastRenderedPageBreak/>
        <w:t>נחלקו הראשונים ע"י מה הערב משתעבד למלוה</w:t>
      </w:r>
      <w:r w:rsidRPr="00351B7D">
        <w:rPr>
          <w:rFonts w:asciiTheme="minorBidi" w:hAnsiTheme="minorBidi"/>
          <w:sz w:val="16"/>
          <w:szCs w:val="16"/>
          <w:u w:val="single"/>
          <w:rtl/>
        </w:rPr>
        <w:t xml:space="preserve"> (וממחלוקת זו נלמד כיצד האשה מתקדשת מדין ערב)</w:t>
      </w:r>
      <w:r w:rsidRPr="00351B7D">
        <w:rPr>
          <w:rStyle w:val="a7"/>
          <w:rFonts w:asciiTheme="minorBidi" w:hAnsiTheme="minorBidi"/>
          <w:u w:val="single"/>
          <w:rtl/>
        </w:rPr>
        <w:footnoteReference w:id="239"/>
      </w:r>
      <w:r w:rsidRPr="00351B7D">
        <w:rPr>
          <w:rFonts w:asciiTheme="minorBidi" w:hAnsiTheme="minorBidi"/>
          <w:u w:val="single"/>
          <w:rtl/>
        </w:rPr>
        <w:t>:</w:t>
      </w:r>
      <w:r w:rsidRPr="00351B7D">
        <w:rPr>
          <w:rFonts w:asciiTheme="minorBidi" w:hAnsiTheme="minorBidi"/>
          <w:rtl/>
        </w:rPr>
        <w:t xml:space="preserve">  </w:t>
      </w:r>
    </w:p>
    <w:p w14:paraId="258D24AA" w14:textId="77777777" w:rsidR="008E16D0" w:rsidRPr="00351B7D" w:rsidRDefault="008E16D0" w:rsidP="00A8697F">
      <w:pPr>
        <w:pStyle w:val="ab"/>
        <w:numPr>
          <w:ilvl w:val="0"/>
          <w:numId w:val="34"/>
        </w:numPr>
        <w:rPr>
          <w:rFonts w:asciiTheme="minorBidi" w:hAnsiTheme="minorBidi"/>
        </w:rPr>
      </w:pPr>
      <w:r w:rsidRPr="00351B7D">
        <w:rPr>
          <w:rFonts w:asciiTheme="minorBidi" w:hAnsiTheme="minorBidi"/>
          <w:rtl/>
        </w:rPr>
        <w:t>ר"י רמב"ם רשב"א ריטב"א מאירי ור"ן</w:t>
      </w:r>
      <w:r w:rsidRPr="00351B7D">
        <w:rPr>
          <w:rStyle w:val="a7"/>
          <w:rFonts w:asciiTheme="minorBidi" w:hAnsiTheme="minorBidi"/>
          <w:rtl/>
        </w:rPr>
        <w:footnoteReference w:id="240"/>
      </w:r>
      <w:r w:rsidRPr="00351B7D">
        <w:rPr>
          <w:rFonts w:asciiTheme="minorBidi" w:hAnsiTheme="minorBidi"/>
          <w:rtl/>
        </w:rPr>
        <w:t>- הערב נהנה ממה שהמלוה סומך על נאמנותו, ועל סמך נאמנות זו הוא מלוה ללוה, ובאותה הנאה הוא גומר ומשעבד את עצמו, ולפיכך במקרה דידן צריך האיש לומר "הרי את מקודשת לי 'בהנאת' מתנה זו".</w:t>
      </w:r>
      <w:r w:rsidRPr="00351B7D">
        <w:rPr>
          <w:rFonts w:asciiTheme="minorBidi" w:hAnsiTheme="minorBidi"/>
          <w:color w:val="E36C0A" w:themeColor="accent6" w:themeShade="BF"/>
          <w:rtl/>
        </w:rPr>
        <w:t xml:space="preserve"> (וכ"פ בשו"ע)</w:t>
      </w:r>
    </w:p>
    <w:p w14:paraId="32C4485A" w14:textId="77777777" w:rsidR="008E16D0" w:rsidRPr="00351B7D" w:rsidRDefault="008E16D0" w:rsidP="00A8697F">
      <w:pPr>
        <w:pStyle w:val="ab"/>
        <w:numPr>
          <w:ilvl w:val="0"/>
          <w:numId w:val="34"/>
        </w:numPr>
        <w:rPr>
          <w:rFonts w:asciiTheme="minorBidi" w:hAnsiTheme="minorBidi"/>
        </w:rPr>
      </w:pPr>
      <w:r w:rsidRPr="00351B7D">
        <w:rPr>
          <w:rFonts w:asciiTheme="minorBidi" w:hAnsiTheme="minorBidi"/>
          <w:rtl/>
        </w:rPr>
        <w:t>ר"ח</w:t>
      </w:r>
      <w:r w:rsidRPr="00351B7D">
        <w:rPr>
          <w:rStyle w:val="a7"/>
          <w:rFonts w:asciiTheme="minorBidi" w:hAnsiTheme="minorBidi"/>
          <w:rtl/>
        </w:rPr>
        <w:footnoteReference w:id="241"/>
      </w:r>
      <w:r w:rsidRPr="00351B7D">
        <w:rPr>
          <w:rFonts w:asciiTheme="minorBidi" w:hAnsiTheme="minorBidi"/>
          <w:rtl/>
        </w:rPr>
        <w:t xml:space="preserve"> תוס'</w:t>
      </w:r>
      <w:r w:rsidRPr="00351B7D">
        <w:rPr>
          <w:rStyle w:val="a7"/>
          <w:rFonts w:asciiTheme="minorBidi" w:hAnsiTheme="minorBidi"/>
          <w:rtl/>
        </w:rPr>
        <w:footnoteReference w:id="242"/>
      </w:r>
      <w:r w:rsidRPr="00351B7D">
        <w:rPr>
          <w:rFonts w:asciiTheme="minorBidi" w:hAnsiTheme="minorBidi"/>
          <w:rtl/>
        </w:rPr>
        <w:t xml:space="preserve"> רא"ש וטור</w:t>
      </w:r>
      <w:r w:rsidRPr="00351B7D">
        <w:rPr>
          <w:rStyle w:val="a7"/>
          <w:rFonts w:asciiTheme="minorBidi" w:hAnsiTheme="minorBidi"/>
          <w:rtl/>
        </w:rPr>
        <w:footnoteReference w:id="243"/>
      </w:r>
      <w:r w:rsidRPr="00351B7D">
        <w:rPr>
          <w:rFonts w:asciiTheme="minorBidi" w:hAnsiTheme="minorBidi"/>
          <w:rtl/>
        </w:rPr>
        <w:t>- הואיל והמלוה נותן את מעותיו ללוה על פי דיבור הערב, הרי זה כאילו קיבל הערב את אותן מעות</w:t>
      </w:r>
      <w:r w:rsidRPr="00351B7D">
        <w:rPr>
          <w:rStyle w:val="a7"/>
          <w:rFonts w:asciiTheme="minorBidi" w:hAnsiTheme="minorBidi"/>
          <w:rtl/>
        </w:rPr>
        <w:footnoteReference w:id="244"/>
      </w:r>
      <w:r w:rsidRPr="00351B7D">
        <w:rPr>
          <w:rFonts w:asciiTheme="minorBidi" w:hAnsiTheme="minorBidi"/>
          <w:rtl/>
        </w:rPr>
        <w:t xml:space="preserve">, ולפיכך צריך האיש לומר "הרי את מקודשת </w:t>
      </w:r>
      <w:r w:rsidRPr="00351B7D">
        <w:rPr>
          <w:rFonts w:asciiTheme="minorBidi" w:hAnsiTheme="minorBidi"/>
          <w:u w:val="single"/>
          <w:rtl/>
        </w:rPr>
        <w:t>במנה</w:t>
      </w:r>
      <w:r w:rsidRPr="00351B7D">
        <w:rPr>
          <w:rFonts w:asciiTheme="minorBidi" w:hAnsiTheme="minorBidi"/>
          <w:rtl/>
        </w:rPr>
        <w:t xml:space="preserve"> שנתתי לפלוני" </w:t>
      </w:r>
      <w:r w:rsidRPr="00351B7D">
        <w:rPr>
          <w:rFonts w:asciiTheme="minorBidi" w:hAnsiTheme="minorBidi"/>
          <w:sz w:val="16"/>
          <w:szCs w:val="16"/>
          <w:rtl/>
        </w:rPr>
        <w:t>(ולא "בהנאה" שנתתי מנה)</w:t>
      </w:r>
      <w:r w:rsidRPr="00351B7D">
        <w:rPr>
          <w:rFonts w:asciiTheme="minorBidi" w:hAnsiTheme="minorBidi"/>
          <w:rtl/>
        </w:rPr>
        <w:t xml:space="preserve">. </w:t>
      </w:r>
    </w:p>
    <w:p w14:paraId="2F18802F" w14:textId="77777777" w:rsidR="008E16D0" w:rsidRPr="00351B7D" w:rsidRDefault="008E16D0" w:rsidP="00A8697F">
      <w:pPr>
        <w:pStyle w:val="ab"/>
        <w:numPr>
          <w:ilvl w:val="0"/>
          <w:numId w:val="34"/>
        </w:numPr>
        <w:rPr>
          <w:rFonts w:asciiTheme="minorBidi" w:hAnsiTheme="minorBidi"/>
        </w:rPr>
      </w:pPr>
      <w:r w:rsidRPr="00351B7D">
        <w:rPr>
          <w:rFonts w:asciiTheme="minorBidi" w:hAnsiTheme="minorBidi"/>
          <w:rtl/>
        </w:rPr>
        <w:t>רש"י- גזירת הכתוב</w:t>
      </w:r>
      <w:r w:rsidRPr="00351B7D">
        <w:rPr>
          <w:rStyle w:val="a7"/>
          <w:rFonts w:asciiTheme="minorBidi" w:hAnsiTheme="minorBidi"/>
          <w:rtl/>
        </w:rPr>
        <w:footnoteReference w:id="245"/>
      </w:r>
      <w:r w:rsidRPr="00351B7D">
        <w:rPr>
          <w:rFonts w:asciiTheme="minorBidi" w:hAnsiTheme="minorBidi"/>
          <w:rtl/>
        </w:rPr>
        <w:t xml:space="preserve">. </w:t>
      </w:r>
    </w:p>
    <w:p w14:paraId="59FA5C9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BF2508"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אמרה לו תן מנה לפלוני ואתקדש אני לך ונתן לו ואמר לה</w:t>
      </w:r>
      <w:r w:rsidRPr="00351B7D">
        <w:rPr>
          <w:rStyle w:val="a7"/>
          <w:rFonts w:asciiTheme="minorBidi" w:hAnsiTheme="minorBidi"/>
          <w:color w:val="000000"/>
          <w:rtl/>
        </w:rPr>
        <w:footnoteReference w:id="246"/>
      </w:r>
      <w:r w:rsidRPr="00351B7D">
        <w:rPr>
          <w:rFonts w:asciiTheme="minorBidi" w:hAnsiTheme="minorBidi"/>
          <w:rtl/>
        </w:rPr>
        <w:t xml:space="preserve"> הרי את מקודשת לי בהנאת מתנה זו שנתתי על פיך הרי זו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היו עסוקים באותו ענין אף על פי שנתן סתם בציוויה הרי זו מקודשת</w:t>
      </w:r>
      <w:r w:rsidRPr="00351B7D">
        <w:rPr>
          <w:rStyle w:val="a7"/>
          <w:rFonts w:asciiTheme="minorBidi" w:hAnsiTheme="minorBidi"/>
          <w:color w:val="000000"/>
          <w:sz w:val="18"/>
          <w:szCs w:val="18"/>
          <w:rtl/>
        </w:rPr>
        <w:footnoteReference w:id="247"/>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(ב"י בשם רי"ו</w:t>
      </w:r>
      <w:r w:rsidRPr="00351B7D">
        <w:rPr>
          <w:rStyle w:val="a7"/>
          <w:rFonts w:asciiTheme="minorBidi" w:hAnsiTheme="minorBidi"/>
          <w:color w:val="000000"/>
          <w:sz w:val="16"/>
          <w:szCs w:val="16"/>
          <w:rtl/>
        </w:rPr>
        <w:footnoteReference w:id="248"/>
      </w:r>
      <w:r w:rsidRPr="00351B7D">
        <w:rPr>
          <w:rFonts w:asciiTheme="minorBidi" w:hAnsiTheme="minorBidi"/>
          <w:color w:val="000000"/>
          <w:sz w:val="16"/>
          <w:szCs w:val="16"/>
          <w:rtl/>
        </w:rPr>
        <w:t>)</w:t>
      </w:r>
      <w:r w:rsidRPr="00351B7D">
        <w:rPr>
          <w:rFonts w:asciiTheme="minorBidi" w:hAnsiTheme="minorBidi"/>
          <w:color w:val="000000"/>
          <w:sz w:val="18"/>
          <w:szCs w:val="18"/>
          <w:rtl/>
        </w:rPr>
        <w:t>, וכל זה דוקא שהיא התחילה לומר תן מנה לפלוני, אבל אמר לה הוא תחלה והיא אומרת תן לפלוני עיין לקמן סי' ל סע' ח. אמרה לו הלוה מנה לפלוני ואתקדש אני לך והלוה לפלוני ואמר לה הרי את מקודשת בו הוי קדושין כמו במתנה, אבל אם הרויח זמן מלוה על פה וקדש בו אינה מקודשת</w:t>
      </w:r>
      <w:r w:rsidRPr="00351B7D">
        <w:rPr>
          <w:rStyle w:val="a7"/>
          <w:rFonts w:asciiTheme="minorBidi" w:hAnsiTheme="minorBidi"/>
          <w:color w:val="000000"/>
          <w:sz w:val="18"/>
          <w:szCs w:val="18"/>
          <w:rtl/>
        </w:rPr>
        <w:footnoteReference w:id="249"/>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(ב"י בשם הרשב"א)</w:t>
      </w:r>
      <w:r w:rsidRPr="00351B7D">
        <w:rPr>
          <w:rFonts w:asciiTheme="minorBidi" w:hAnsiTheme="minorBidi"/>
          <w:color w:val="000000"/>
          <w:sz w:val="18"/>
          <w:szCs w:val="18"/>
          <w:rtl/>
        </w:rPr>
        <w:t xml:space="preserve">. </w:t>
      </w:r>
    </w:p>
    <w:p w14:paraId="63FCA0BC"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אמרה לו "תן מנה לפלוני"</w:t>
      </w:r>
      <w:r w:rsidRPr="00351B7D">
        <w:rPr>
          <w:rFonts w:asciiTheme="minorBidi" w:hAnsiTheme="minorBidi"/>
          <w:sz w:val="16"/>
          <w:szCs w:val="16"/>
          <w:u w:val="single"/>
          <w:rtl/>
        </w:rPr>
        <w:t xml:space="preserve"> (ולא הוסיפה "ואקדש אני לך")</w:t>
      </w:r>
      <w:r w:rsidRPr="00351B7D">
        <w:rPr>
          <w:rFonts w:asciiTheme="minorBidi" w:hAnsiTheme="minorBidi"/>
          <w:u w:val="single"/>
          <w:rtl/>
        </w:rPr>
        <w:t xml:space="preserve"> ואח"כ אמר לה "התקדשי לי במנה זה וכו":</w:t>
      </w:r>
    </w:p>
    <w:p w14:paraId="6DAF3DD0" w14:textId="77777777" w:rsidR="008E16D0" w:rsidRPr="00351B7D" w:rsidRDefault="008E16D0" w:rsidP="00A8697F">
      <w:pPr>
        <w:pStyle w:val="ab"/>
        <w:numPr>
          <w:ilvl w:val="0"/>
          <w:numId w:val="28"/>
        </w:numPr>
        <w:rPr>
          <w:rFonts w:asciiTheme="minorBidi" w:hAnsiTheme="minorBidi"/>
          <w:rtl/>
        </w:rPr>
      </w:pPr>
      <w:r w:rsidRPr="00351B7D">
        <w:rPr>
          <w:rFonts w:asciiTheme="minorBidi" w:hAnsiTheme="minorBidi"/>
          <w:rtl/>
        </w:rPr>
        <w:t>מהרש"ל</w:t>
      </w:r>
      <w:r w:rsidRPr="00351B7D">
        <w:rPr>
          <w:rStyle w:val="a7"/>
          <w:rFonts w:asciiTheme="minorBidi" w:hAnsiTheme="minorBidi"/>
          <w:color w:val="000000"/>
          <w:rtl/>
        </w:rPr>
        <w:footnoteReference w:id="250"/>
      </w:r>
      <w:r w:rsidRPr="00351B7D">
        <w:rPr>
          <w:rFonts w:asciiTheme="minorBidi" w:hAnsiTheme="minorBidi"/>
          <w:rtl/>
        </w:rPr>
        <w:t xml:space="preserve">- אם אמרה 'הן' מקודשת. </w:t>
      </w:r>
    </w:p>
    <w:p w14:paraId="76E33584"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צריך שיאמר לה "הרי את מקודשת בהנאת מתנה זו שנתתי על פיך" תוך כדי דיבור מנתינת המעות או לא:</w:t>
      </w:r>
    </w:p>
    <w:p w14:paraId="05890AF5" w14:textId="77777777" w:rsidR="008E16D0" w:rsidRPr="00351B7D" w:rsidRDefault="008E16D0" w:rsidP="00A8697F">
      <w:pPr>
        <w:pStyle w:val="ab"/>
        <w:numPr>
          <w:ilvl w:val="0"/>
          <w:numId w:val="27"/>
        </w:numPr>
        <w:rPr>
          <w:rFonts w:asciiTheme="minorBidi" w:hAnsiTheme="minorBidi"/>
          <w:color w:val="000000"/>
          <w:rtl/>
        </w:rPr>
      </w:pPr>
      <w:r w:rsidRPr="00351B7D">
        <w:rPr>
          <w:rFonts w:asciiTheme="minorBidi" w:hAnsiTheme="minorBidi"/>
          <w:color w:val="000000"/>
          <w:rtl/>
        </w:rPr>
        <w:t>ב"ח</w:t>
      </w:r>
      <w:r w:rsidRPr="00351B7D">
        <w:rPr>
          <w:rFonts w:asciiTheme="minorBidi" w:hAnsiTheme="minorBidi"/>
          <w:color w:val="000000"/>
          <w:sz w:val="16"/>
          <w:szCs w:val="16"/>
          <w:rtl/>
        </w:rPr>
        <w:t xml:space="preserve"> (אות ב)</w:t>
      </w:r>
      <w:r w:rsidRPr="00351B7D">
        <w:rPr>
          <w:rFonts w:asciiTheme="minorBidi" w:hAnsiTheme="minorBidi"/>
          <w:rtl/>
        </w:rPr>
        <w:t xml:space="preserve"> ונח"צ- כן, דאם אמר לה לאחר כדי דבור ה"ל שתיקה דלאחר מתן מעות</w:t>
      </w:r>
      <w:r w:rsidRPr="00351B7D">
        <w:rPr>
          <w:rStyle w:val="a7"/>
          <w:rFonts w:asciiTheme="minorBidi" w:hAnsiTheme="minorBidi"/>
          <w:color w:val="000000"/>
          <w:rtl/>
        </w:rPr>
        <w:footnoteReference w:id="251"/>
      </w:r>
      <w:r w:rsidRPr="00351B7D">
        <w:rPr>
          <w:rFonts w:asciiTheme="minorBidi" w:hAnsiTheme="minorBidi"/>
          <w:color w:val="000000"/>
          <w:rtl/>
        </w:rPr>
        <w:t xml:space="preserve"> ואינה מקודשת</w:t>
      </w:r>
      <w:r w:rsidRPr="00351B7D">
        <w:rPr>
          <w:rStyle w:val="a7"/>
          <w:rFonts w:asciiTheme="minorBidi" w:hAnsiTheme="minorBidi"/>
          <w:color w:val="000000"/>
          <w:rtl/>
        </w:rPr>
        <w:footnoteReference w:id="252"/>
      </w:r>
      <w:r w:rsidRPr="00351B7D">
        <w:rPr>
          <w:rFonts w:asciiTheme="minorBidi" w:hAnsiTheme="minorBidi"/>
          <w:color w:val="000000"/>
          <w:rtl/>
        </w:rPr>
        <w:t xml:space="preserve">. </w:t>
      </w:r>
    </w:p>
    <w:p w14:paraId="7576122C" w14:textId="77777777" w:rsidR="008E16D0" w:rsidRPr="00351B7D" w:rsidRDefault="008E16D0" w:rsidP="00A8697F">
      <w:pPr>
        <w:pStyle w:val="ab"/>
        <w:numPr>
          <w:ilvl w:val="0"/>
          <w:numId w:val="27"/>
        </w:numPr>
        <w:rPr>
          <w:rFonts w:asciiTheme="minorBidi" w:hAnsiTheme="minorBidi"/>
        </w:rPr>
      </w:pPr>
      <w:r w:rsidRPr="00351B7D">
        <w:rPr>
          <w:rFonts w:asciiTheme="minorBidi" w:hAnsiTheme="minorBidi"/>
          <w:color w:val="000000"/>
          <w:rtl/>
        </w:rPr>
        <w:t>ט"ז ח"מ</w:t>
      </w:r>
      <w:r w:rsidRPr="00351B7D">
        <w:rPr>
          <w:rFonts w:asciiTheme="minorBidi" w:hAnsiTheme="minorBidi"/>
          <w:color w:val="000000"/>
          <w:sz w:val="16"/>
          <w:szCs w:val="16"/>
          <w:rtl/>
        </w:rPr>
        <w:t xml:space="preserve"> </w:t>
      </w:r>
      <w:r w:rsidRPr="00351B7D">
        <w:rPr>
          <w:rFonts w:asciiTheme="minorBidi" w:hAnsiTheme="minorBidi"/>
          <w:color w:val="000000"/>
          <w:rtl/>
        </w:rPr>
        <w:t>וב"ש</w:t>
      </w:r>
      <w:r w:rsidRPr="00351B7D">
        <w:rPr>
          <w:rStyle w:val="a7"/>
          <w:rFonts w:asciiTheme="minorBidi" w:hAnsiTheme="minorBidi"/>
          <w:rtl/>
        </w:rPr>
        <w:footnoteReference w:id="253"/>
      </w:r>
      <w:r w:rsidRPr="00351B7D">
        <w:rPr>
          <w:rFonts w:asciiTheme="minorBidi" w:hAnsiTheme="minorBidi"/>
          <w:rtl/>
        </w:rPr>
        <w:t>- אם אמר לה לאחר זמן 'הרי את מקודשת במנה זו שנתתי על פיך' הודעה זו הוי כמתן מעות, דבאותה שעה היא נהנית שנתקיים דיבורה, ואף אם נודע לה קודם שהודיעה מ"מ היא מקודשת</w:t>
      </w:r>
      <w:r w:rsidRPr="00351B7D">
        <w:rPr>
          <w:rStyle w:val="a7"/>
          <w:rFonts w:asciiTheme="minorBidi" w:hAnsiTheme="minorBidi"/>
          <w:color w:val="000000"/>
          <w:rtl/>
        </w:rPr>
        <w:footnoteReference w:id="254"/>
      </w:r>
      <w:r w:rsidRPr="00351B7D">
        <w:rPr>
          <w:rFonts w:asciiTheme="minorBidi" w:hAnsiTheme="minorBidi"/>
          <w:color w:val="000000"/>
          <w:rtl/>
        </w:rPr>
        <w:t>.</w:t>
      </w:r>
    </w:p>
    <w:p w14:paraId="4DA41287" w14:textId="77777777" w:rsidR="008E16D0" w:rsidRPr="00351B7D" w:rsidRDefault="008E16D0" w:rsidP="008E16D0">
      <w:pPr>
        <w:rPr>
          <w:rFonts w:asciiTheme="minorBidi" w:hAnsiTheme="minorBidi"/>
          <w:color w:val="000000"/>
          <w:rtl/>
        </w:rPr>
      </w:pPr>
    </w:p>
    <w:p w14:paraId="2A67984A" w14:textId="77777777" w:rsidR="008E16D0" w:rsidRPr="00351B7D" w:rsidRDefault="008E16D0" w:rsidP="008E16D0">
      <w:pPr>
        <w:pStyle w:val="2"/>
        <w:rPr>
          <w:rFonts w:asciiTheme="minorBidi" w:hAnsiTheme="minorBidi"/>
          <w:rtl/>
        </w:rPr>
      </w:pPr>
      <w:r w:rsidRPr="00351B7D">
        <w:rPr>
          <w:rFonts w:asciiTheme="minorBidi" w:hAnsiTheme="minorBidi"/>
          <w:rtl/>
        </w:rPr>
        <w:lastRenderedPageBreak/>
        <w:t>סעיף ג: אמרה לו תן מנה לפלוני ואתקדש אני לו.</w:t>
      </w:r>
    </w:p>
    <w:p w14:paraId="634A2127" w14:textId="77777777" w:rsidR="008E16D0" w:rsidRPr="00351B7D" w:rsidRDefault="008E16D0" w:rsidP="008E16D0">
      <w:pPr>
        <w:rPr>
          <w:rFonts w:asciiTheme="minorBidi" w:hAnsiTheme="minorBidi"/>
          <w:b/>
          <w:bCs/>
          <w:rtl/>
        </w:rPr>
      </w:pPr>
      <w:r w:rsidRPr="00351B7D">
        <w:rPr>
          <w:rFonts w:asciiTheme="minorBidi" w:hAnsiTheme="minorBidi"/>
          <w:b/>
          <w:bCs/>
          <w:rtl/>
        </w:rPr>
        <w:t xml:space="preserve">קדושין ז ע"א: </w:t>
      </w:r>
      <w:r w:rsidRPr="00351B7D">
        <w:rPr>
          <w:rFonts w:asciiTheme="minorBidi" w:hAnsiTheme="minorBidi"/>
          <w:rtl/>
        </w:rPr>
        <w:t>תן מנה לפלוני ואקדש אני לו</w:t>
      </w:r>
      <w:r w:rsidRPr="00351B7D">
        <w:rPr>
          <w:rStyle w:val="a7"/>
          <w:rFonts w:asciiTheme="minorBidi" w:hAnsiTheme="minorBidi"/>
          <w:rtl/>
        </w:rPr>
        <w:footnoteReference w:id="255"/>
      </w:r>
      <w:r w:rsidRPr="00351B7D">
        <w:rPr>
          <w:rFonts w:asciiTheme="minorBidi" w:hAnsiTheme="minorBidi"/>
          <w:rtl/>
        </w:rPr>
        <w:t xml:space="preserve"> - מקודשת מדין שניהם</w:t>
      </w:r>
      <w:r w:rsidRPr="00351B7D">
        <w:rPr>
          <w:rStyle w:val="a7"/>
          <w:rFonts w:asciiTheme="minorBidi" w:hAnsiTheme="minorBidi"/>
          <w:rtl/>
        </w:rPr>
        <w:footnoteReference w:id="256"/>
      </w:r>
      <w:r w:rsidRPr="00351B7D">
        <w:rPr>
          <w:rFonts w:asciiTheme="minorBidi" w:hAnsiTheme="minorBidi"/>
          <w:rtl/>
        </w:rPr>
        <w:t>, ערב לאו אף ע"ג דלא קא מטי הנאה לידיה קא משעבד נפשיה, האי איתתא נמי אף על גב דלא קא מטי הנאה לידה קא מקניה נפשה. מי דמי? ערב האי דקא קני ליה קא חסר ממונא</w:t>
      </w:r>
      <w:r w:rsidRPr="00351B7D">
        <w:rPr>
          <w:rStyle w:val="a7"/>
          <w:rFonts w:asciiTheme="minorBidi" w:hAnsiTheme="minorBidi"/>
          <w:rtl/>
        </w:rPr>
        <w:footnoteReference w:id="257"/>
      </w:r>
      <w:r w:rsidRPr="00351B7D">
        <w:rPr>
          <w:rFonts w:asciiTheme="minorBidi" w:hAnsiTheme="minorBidi"/>
          <w:rtl/>
        </w:rPr>
        <w:t>, האי גברא קא קני לה להאי איתתא ולא קא חסר ולא מידי! עבד כנעני יוכיח, דלא קא חסר ממונא וקא קני נפשיה</w:t>
      </w:r>
      <w:r w:rsidRPr="00351B7D">
        <w:rPr>
          <w:rStyle w:val="a7"/>
          <w:rFonts w:asciiTheme="minorBidi" w:hAnsiTheme="minorBidi"/>
          <w:rtl/>
        </w:rPr>
        <w:footnoteReference w:id="258"/>
      </w:r>
      <w:r w:rsidRPr="00351B7D">
        <w:rPr>
          <w:rFonts w:asciiTheme="minorBidi" w:hAnsiTheme="minorBidi"/>
          <w:rtl/>
        </w:rPr>
        <w:t>. מי דמי? התם הך דקא מקני</w:t>
      </w:r>
      <w:r w:rsidRPr="00351B7D">
        <w:rPr>
          <w:rStyle w:val="a7"/>
          <w:rFonts w:asciiTheme="minorBidi" w:hAnsiTheme="minorBidi"/>
          <w:rtl/>
        </w:rPr>
        <w:footnoteReference w:id="259"/>
      </w:r>
      <w:r w:rsidRPr="00351B7D">
        <w:rPr>
          <w:rFonts w:asciiTheme="minorBidi" w:hAnsiTheme="minorBidi"/>
          <w:rtl/>
        </w:rPr>
        <w:t xml:space="preserve"> קא קני, הכא האי איתתא קא מקניא נפשה ולא קא קניא ולא מידי! ערב יוכיח, אף על גב דלא קא מטי הנאה לידיה משעבד נפשיה. </w:t>
      </w:r>
    </w:p>
    <w:p w14:paraId="2DE6BFF1"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כיצד מתקדשת באומרה "תן מנה לפלוני ואקדש אני לו", והרי הוא לא אמר כלום </w:t>
      </w:r>
      <w:r w:rsidRPr="00351B7D">
        <w:rPr>
          <w:rFonts w:asciiTheme="minorBidi" w:hAnsiTheme="minorBidi"/>
          <w:sz w:val="16"/>
          <w:szCs w:val="16"/>
          <w:u w:val="single"/>
          <w:rtl/>
        </w:rPr>
        <w:t>(והרי זה כנתן הוא ואמרה היא שמקודשת מספק)</w:t>
      </w:r>
      <w:r w:rsidRPr="00351B7D">
        <w:rPr>
          <w:rFonts w:asciiTheme="minorBidi" w:hAnsiTheme="minorBidi"/>
          <w:u w:val="single"/>
          <w:rtl/>
        </w:rPr>
        <w:t>:</w:t>
      </w:r>
    </w:p>
    <w:p w14:paraId="085E542D" w14:textId="77777777" w:rsidR="008E16D0" w:rsidRPr="00351B7D" w:rsidRDefault="008E16D0" w:rsidP="00A8697F">
      <w:pPr>
        <w:pStyle w:val="ab"/>
        <w:numPr>
          <w:ilvl w:val="0"/>
          <w:numId w:val="29"/>
        </w:numPr>
        <w:rPr>
          <w:rFonts w:asciiTheme="minorBidi" w:hAnsiTheme="minorBidi"/>
        </w:rPr>
      </w:pPr>
      <w:r w:rsidRPr="00351B7D">
        <w:rPr>
          <w:rFonts w:asciiTheme="minorBidi" w:hAnsiTheme="minorBidi"/>
          <w:rtl/>
        </w:rPr>
        <w:t>רמב"ם</w:t>
      </w:r>
      <w:r w:rsidRPr="00351B7D">
        <w:rPr>
          <w:rStyle w:val="a7"/>
          <w:rFonts w:asciiTheme="minorBidi" w:hAnsiTheme="minorBidi"/>
          <w:rtl/>
        </w:rPr>
        <w:footnoteReference w:id="260"/>
      </w:r>
      <w:r w:rsidRPr="00351B7D">
        <w:rPr>
          <w:rFonts w:asciiTheme="minorBidi" w:hAnsiTheme="minorBidi"/>
          <w:rtl/>
        </w:rPr>
        <w:t>- מיירי באמר לה</w:t>
      </w:r>
      <w:r w:rsidRPr="00351B7D">
        <w:rPr>
          <w:rFonts w:asciiTheme="minorBidi" w:hAnsiTheme="minorBidi"/>
          <w:sz w:val="16"/>
          <w:szCs w:val="16"/>
          <w:rtl/>
        </w:rPr>
        <w:t xml:space="preserve"> (אותו פלוני לאחר שקיבל המנה)</w:t>
      </w:r>
      <w:r w:rsidRPr="00351B7D">
        <w:rPr>
          <w:rFonts w:asciiTheme="minorBidi" w:hAnsiTheme="minorBidi"/>
          <w:rtl/>
        </w:rPr>
        <w:t xml:space="preserve"> "האמ"ל בהנאת מתנה זו שקיבלתי ברצונך". </w:t>
      </w:r>
      <w:r w:rsidRPr="00351B7D">
        <w:rPr>
          <w:rFonts w:asciiTheme="minorBidi" w:hAnsiTheme="minorBidi"/>
          <w:color w:val="E36C0A" w:themeColor="accent6" w:themeShade="BF"/>
          <w:rtl/>
        </w:rPr>
        <w:t>(וכ"פ בשו"ע)</w:t>
      </w:r>
    </w:p>
    <w:p w14:paraId="25CFEABC" w14:textId="77777777" w:rsidR="008E16D0" w:rsidRPr="00351B7D" w:rsidRDefault="008E16D0" w:rsidP="00A8697F">
      <w:pPr>
        <w:pStyle w:val="ab"/>
        <w:numPr>
          <w:ilvl w:val="0"/>
          <w:numId w:val="29"/>
        </w:numPr>
        <w:rPr>
          <w:rFonts w:asciiTheme="minorBidi" w:hAnsiTheme="minorBidi"/>
        </w:rPr>
      </w:pPr>
      <w:r w:rsidRPr="00351B7D">
        <w:rPr>
          <w:rFonts w:asciiTheme="minorBidi" w:hAnsiTheme="minorBidi"/>
          <w:rtl/>
        </w:rPr>
        <w:t>רמ"ה</w:t>
      </w:r>
      <w:r w:rsidRPr="00351B7D">
        <w:rPr>
          <w:rFonts w:asciiTheme="minorBidi" w:hAnsiTheme="minorBidi"/>
          <w:sz w:val="16"/>
          <w:szCs w:val="16"/>
          <w:rtl/>
        </w:rPr>
        <w:t xml:space="preserve"> (הביאו הטור)</w:t>
      </w:r>
      <w:r w:rsidRPr="00351B7D">
        <w:rPr>
          <w:rFonts w:asciiTheme="minorBidi" w:hAnsiTheme="minorBidi"/>
          <w:rtl/>
        </w:rPr>
        <w:t xml:space="preserve"> וטור- מיירי באמר לה "הרי את מקודשת לי באותו מנה שקיבלתי מפלוני בשבילך"</w:t>
      </w:r>
      <w:r w:rsidRPr="00351B7D">
        <w:rPr>
          <w:rStyle w:val="a7"/>
          <w:rFonts w:asciiTheme="minorBidi" w:hAnsiTheme="minorBidi"/>
          <w:rtl/>
        </w:rPr>
        <w:footnoteReference w:id="261"/>
      </w:r>
      <w:r w:rsidRPr="00351B7D">
        <w:rPr>
          <w:rFonts w:asciiTheme="minorBidi" w:hAnsiTheme="minorBidi"/>
          <w:rtl/>
        </w:rPr>
        <w:t xml:space="preserve">, א"נ עשה לבעל המעות שליח לקדש לו אשה ואמרה לו האשה "תן מנה לפלוני ואקדש אני לו" וענה בתרה "הן", או שהיו עסוקין באותו ענין </w:t>
      </w:r>
      <w:r w:rsidRPr="00351B7D">
        <w:rPr>
          <w:rFonts w:asciiTheme="minorBidi" w:hAnsiTheme="minorBidi"/>
          <w:sz w:val="16"/>
          <w:szCs w:val="16"/>
          <w:rtl/>
        </w:rPr>
        <w:t>(האשה והשליח שלו)</w:t>
      </w:r>
      <w:r w:rsidRPr="00351B7D">
        <w:rPr>
          <w:rFonts w:asciiTheme="minorBidi" w:hAnsiTheme="minorBidi"/>
          <w:rtl/>
        </w:rPr>
        <w:t xml:space="preserve"> אפילו לא ענה הן מקודשת</w:t>
      </w:r>
      <w:r w:rsidRPr="00351B7D">
        <w:rPr>
          <w:rStyle w:val="a7"/>
          <w:rFonts w:asciiTheme="minorBidi" w:hAnsiTheme="minorBidi"/>
          <w:rtl/>
        </w:rPr>
        <w:footnoteReference w:id="262"/>
      </w:r>
      <w:r w:rsidRPr="00351B7D">
        <w:rPr>
          <w:rFonts w:asciiTheme="minorBidi" w:hAnsiTheme="minorBidi"/>
          <w:rtl/>
        </w:rPr>
        <w:t xml:space="preserve">. (וכ"כ הערך לחם) </w:t>
      </w:r>
    </w:p>
    <w:p w14:paraId="346D0477" w14:textId="77777777" w:rsidR="008E16D0" w:rsidRPr="00351B7D" w:rsidRDefault="008E16D0" w:rsidP="00A8697F">
      <w:pPr>
        <w:pStyle w:val="ab"/>
        <w:numPr>
          <w:ilvl w:val="0"/>
          <w:numId w:val="29"/>
        </w:numPr>
        <w:rPr>
          <w:rFonts w:asciiTheme="minorBidi" w:hAnsiTheme="minorBidi"/>
        </w:rPr>
      </w:pPr>
      <w:r w:rsidRPr="00351B7D">
        <w:rPr>
          <w:rFonts w:asciiTheme="minorBidi" w:hAnsiTheme="minorBidi"/>
          <w:rtl/>
        </w:rPr>
        <w:t>יש מפרשים</w:t>
      </w:r>
      <w:r w:rsidRPr="00351B7D">
        <w:rPr>
          <w:rFonts w:asciiTheme="minorBidi" w:hAnsiTheme="minorBidi"/>
          <w:sz w:val="16"/>
          <w:szCs w:val="16"/>
          <w:rtl/>
        </w:rPr>
        <w:t xml:space="preserve"> (הביאם הה"מ)</w:t>
      </w:r>
      <w:r w:rsidRPr="00351B7D">
        <w:rPr>
          <w:rFonts w:asciiTheme="minorBidi" w:hAnsiTheme="minorBidi"/>
          <w:rtl/>
        </w:rPr>
        <w:t>- מדובר בגמ' בשאותו פלוני מינה שליח את זה לקדש לו אשה, הא לאו הכי אפילו הודיעו לבסוף ונתרצה כיון שבשעת הקידושין לא היה יודע בהם אינה מקודשת</w:t>
      </w:r>
      <w:r w:rsidRPr="00351B7D">
        <w:rPr>
          <w:rStyle w:val="a7"/>
          <w:rFonts w:asciiTheme="minorBidi" w:hAnsiTheme="minorBidi"/>
          <w:rtl/>
        </w:rPr>
        <w:footnoteReference w:id="263"/>
      </w:r>
      <w:r w:rsidRPr="00351B7D">
        <w:rPr>
          <w:rFonts w:asciiTheme="minorBidi" w:hAnsiTheme="minorBidi"/>
          <w:rtl/>
        </w:rPr>
        <w:t>.</w:t>
      </w:r>
    </w:p>
    <w:p w14:paraId="55511EB9" w14:textId="77777777" w:rsidR="008E16D0" w:rsidRPr="00351B7D" w:rsidRDefault="008E16D0" w:rsidP="00A8697F">
      <w:pPr>
        <w:pStyle w:val="ab"/>
        <w:numPr>
          <w:ilvl w:val="0"/>
          <w:numId w:val="29"/>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(ז. ד"ה הילך מנה, הביאו הה"מ)</w:t>
      </w:r>
      <w:r w:rsidRPr="00351B7D">
        <w:rPr>
          <w:rFonts w:asciiTheme="minorBidi" w:hAnsiTheme="minorBidi"/>
          <w:rtl/>
        </w:rPr>
        <w:t xml:space="preserve">- </w:t>
      </w:r>
      <w:r w:rsidRPr="00351B7D">
        <w:rPr>
          <w:rStyle w:val="a7"/>
          <w:rFonts w:asciiTheme="minorBidi" w:hAnsiTheme="minorBidi"/>
          <w:rtl/>
        </w:rPr>
        <w:footnoteReference w:id="264"/>
      </w:r>
      <w:r w:rsidRPr="00351B7D">
        <w:rPr>
          <w:rFonts w:asciiTheme="minorBidi" w:hAnsiTheme="minorBidi"/>
          <w:rtl/>
        </w:rPr>
        <w:t>כל כה"ג קרוב הוא להיות כהילך מנה ואתקדש אני לך דאינה מקודשת אלא באדם חשוב בדוקא, וצ"ע</w:t>
      </w:r>
      <w:r w:rsidRPr="00351B7D">
        <w:rPr>
          <w:rStyle w:val="a7"/>
          <w:rFonts w:asciiTheme="minorBidi" w:hAnsiTheme="minorBidi"/>
          <w:rtl/>
        </w:rPr>
        <w:footnoteReference w:id="265"/>
      </w:r>
      <w:r w:rsidRPr="00351B7D">
        <w:rPr>
          <w:rFonts w:asciiTheme="minorBidi" w:hAnsiTheme="minorBidi"/>
          <w:rtl/>
        </w:rPr>
        <w:t>.</w:t>
      </w:r>
    </w:p>
    <w:p w14:paraId="241482B7"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E76259" w14:textId="77777777" w:rsidR="008E16D0" w:rsidRPr="00351B7D" w:rsidRDefault="008E16D0" w:rsidP="008E16D0">
      <w:pPr>
        <w:rPr>
          <w:rFonts w:asciiTheme="minorBidi" w:hAnsiTheme="minorBidi"/>
          <w:color w:val="000000"/>
          <w:rtl/>
        </w:rPr>
      </w:pPr>
      <w:r w:rsidRPr="00351B7D">
        <w:rPr>
          <w:rFonts w:asciiTheme="minorBidi" w:hAnsiTheme="minorBidi"/>
          <w:rtl/>
        </w:rPr>
        <w:t>אמרה לו תן דינר לפלוני ואתקדש אני לו, ונתן לו, וקדשה אותו פלוני ואמר לה</w:t>
      </w:r>
      <w:r w:rsidRPr="00351B7D">
        <w:rPr>
          <w:rStyle w:val="a7"/>
          <w:rFonts w:asciiTheme="minorBidi" w:hAnsiTheme="minorBidi"/>
          <w:color w:val="000000"/>
          <w:rtl/>
        </w:rPr>
        <w:footnoteReference w:id="266"/>
      </w:r>
      <w:r w:rsidRPr="00351B7D">
        <w:rPr>
          <w:rFonts w:asciiTheme="minorBidi" w:hAnsiTheme="minorBidi"/>
          <w:rtl/>
        </w:rPr>
        <w:t xml:space="preserve"> הרי את מקודשת לי בהנאת מתנה זו שקבלתי ברצונך</w:t>
      </w:r>
      <w:r w:rsidRPr="00351B7D">
        <w:rPr>
          <w:rStyle w:val="a7"/>
          <w:rFonts w:asciiTheme="minorBidi" w:hAnsiTheme="minorBidi"/>
          <w:color w:val="000000"/>
          <w:rtl/>
        </w:rPr>
        <w:footnoteReference w:id="267"/>
      </w:r>
      <w:r w:rsidRPr="00351B7D">
        <w:rPr>
          <w:rFonts w:asciiTheme="minorBidi" w:hAnsiTheme="minorBidi"/>
          <w:rtl/>
        </w:rPr>
        <w:t xml:space="preserve"> הרי זו מקודשת</w:t>
      </w:r>
      <w:r w:rsidRPr="00351B7D">
        <w:rPr>
          <w:rStyle w:val="a7"/>
          <w:rFonts w:asciiTheme="minorBidi" w:hAnsiTheme="minorBidi"/>
          <w:color w:val="000000"/>
          <w:rtl/>
        </w:rPr>
        <w:footnoteReference w:id="268"/>
      </w:r>
      <w:r w:rsidRPr="00351B7D">
        <w:rPr>
          <w:rFonts w:asciiTheme="minorBidi" w:hAnsiTheme="minorBidi"/>
          <w:color w:val="000000"/>
          <w:rtl/>
        </w:rPr>
        <w:t xml:space="preserve">. </w:t>
      </w:r>
    </w:p>
    <w:p w14:paraId="64B4CF30" w14:textId="77777777" w:rsidR="008E16D0" w:rsidRPr="00351B7D" w:rsidRDefault="008E16D0" w:rsidP="008E16D0">
      <w:pPr>
        <w:rPr>
          <w:rFonts w:asciiTheme="minorBidi" w:hAnsiTheme="minorBidi"/>
          <w:color w:val="000000"/>
          <w:rtl/>
        </w:rPr>
      </w:pPr>
    </w:p>
    <w:p w14:paraId="077D62FF" w14:textId="77777777" w:rsidR="008E16D0" w:rsidRPr="00351B7D" w:rsidRDefault="008E16D0" w:rsidP="008E16D0">
      <w:pPr>
        <w:pStyle w:val="2"/>
        <w:rPr>
          <w:rFonts w:asciiTheme="minorBidi" w:hAnsiTheme="minorBidi"/>
          <w:rtl/>
        </w:rPr>
      </w:pPr>
      <w:r w:rsidRPr="00351B7D">
        <w:rPr>
          <w:rFonts w:asciiTheme="minorBidi" w:hAnsiTheme="minorBidi"/>
          <w:rtl/>
        </w:rPr>
        <w:t>סעיף ד: אמרה לו הילך מנה ואתקדש אני לך.</w:t>
      </w:r>
    </w:p>
    <w:p w14:paraId="704B7C1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E48C0C" w14:textId="77777777" w:rsidR="008E16D0" w:rsidRPr="00351B7D" w:rsidRDefault="008E16D0" w:rsidP="008E16D0">
      <w:pPr>
        <w:rPr>
          <w:rFonts w:asciiTheme="minorBidi" w:hAnsiTheme="minorBidi"/>
          <w:color w:val="000000"/>
          <w:rtl/>
        </w:rPr>
      </w:pPr>
      <w:r w:rsidRPr="00351B7D">
        <w:rPr>
          <w:rFonts w:asciiTheme="minorBidi" w:hAnsiTheme="minorBidi"/>
          <w:rtl/>
        </w:rPr>
        <w:t>אמרה לו הילך מנה ואתקדש אני לך נתבאר בסימן כ"ז</w:t>
      </w:r>
      <w:r w:rsidRPr="00351B7D">
        <w:rPr>
          <w:rStyle w:val="a7"/>
          <w:rFonts w:asciiTheme="minorBidi" w:hAnsiTheme="minorBidi"/>
          <w:color w:val="000000"/>
          <w:rtl/>
        </w:rPr>
        <w:footnoteReference w:id="269"/>
      </w:r>
      <w:r w:rsidRPr="00351B7D">
        <w:rPr>
          <w:rFonts w:asciiTheme="minorBidi" w:hAnsiTheme="minorBidi"/>
          <w:color w:val="000000"/>
          <w:rtl/>
        </w:rPr>
        <w:t xml:space="preserve">. </w:t>
      </w:r>
    </w:p>
    <w:p w14:paraId="4CDD6E6B" w14:textId="77777777" w:rsidR="008E16D0" w:rsidRPr="00351B7D" w:rsidRDefault="008E16D0" w:rsidP="008E16D0">
      <w:pPr>
        <w:rPr>
          <w:rFonts w:asciiTheme="minorBidi" w:hAnsiTheme="minorBidi"/>
          <w:color w:val="000000"/>
          <w:rtl/>
        </w:rPr>
      </w:pPr>
    </w:p>
    <w:p w14:paraId="65E1D257" w14:textId="77777777" w:rsidR="008E16D0" w:rsidRPr="00351B7D" w:rsidRDefault="008E16D0" w:rsidP="008E16D0">
      <w:pPr>
        <w:pStyle w:val="2"/>
        <w:rPr>
          <w:rFonts w:asciiTheme="minorBidi" w:hAnsiTheme="minorBidi"/>
          <w:rtl/>
        </w:rPr>
      </w:pPr>
      <w:r w:rsidRPr="00351B7D">
        <w:rPr>
          <w:rFonts w:asciiTheme="minorBidi" w:hAnsiTheme="minorBidi"/>
          <w:rtl/>
        </w:rPr>
        <w:t>סעיף ה: אמר לה הילך מנה</w:t>
      </w:r>
      <w:r w:rsidRPr="00351B7D">
        <w:rPr>
          <w:rFonts w:asciiTheme="minorBidi" w:hAnsiTheme="minorBidi"/>
          <w:sz w:val="18"/>
          <w:szCs w:val="18"/>
          <w:rtl/>
        </w:rPr>
        <w:t xml:space="preserve"> </w:t>
      </w:r>
      <w:r w:rsidRPr="00351B7D">
        <w:rPr>
          <w:rFonts w:asciiTheme="minorBidi" w:hAnsiTheme="minorBidi"/>
          <w:rtl/>
        </w:rPr>
        <w:t>והתקדשי לפלוני.</w:t>
      </w:r>
    </w:p>
    <w:p w14:paraId="234F3AC9"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ז ע"א: </w:t>
      </w:r>
      <w:r w:rsidRPr="00351B7D">
        <w:rPr>
          <w:rFonts w:asciiTheme="minorBidi" w:hAnsiTheme="minorBidi"/>
          <w:rtl/>
        </w:rPr>
        <w:t>הילך מנה והתקדשי לפלוני</w:t>
      </w:r>
      <w:r w:rsidRPr="00351B7D">
        <w:rPr>
          <w:rStyle w:val="a7"/>
          <w:rFonts w:asciiTheme="minorBidi" w:hAnsiTheme="minorBidi"/>
          <w:rtl/>
        </w:rPr>
        <w:footnoteReference w:id="270"/>
      </w:r>
      <w:r w:rsidRPr="00351B7D">
        <w:rPr>
          <w:rFonts w:asciiTheme="minorBidi" w:hAnsiTheme="minorBidi"/>
          <w:rtl/>
        </w:rPr>
        <w:t xml:space="preserve"> - מקודשת</w:t>
      </w:r>
      <w:r w:rsidRPr="00351B7D">
        <w:rPr>
          <w:rStyle w:val="a7"/>
          <w:rFonts w:asciiTheme="minorBidi" w:hAnsiTheme="minorBidi"/>
          <w:rtl/>
        </w:rPr>
        <w:footnoteReference w:id="271"/>
      </w:r>
      <w:r w:rsidRPr="00351B7D">
        <w:rPr>
          <w:rFonts w:asciiTheme="minorBidi" w:hAnsiTheme="minorBidi"/>
          <w:rtl/>
        </w:rPr>
        <w:t xml:space="preserve"> מדין עבד כנעני</w:t>
      </w:r>
      <w:r w:rsidRPr="00351B7D">
        <w:rPr>
          <w:rStyle w:val="a7"/>
          <w:rFonts w:asciiTheme="minorBidi" w:hAnsiTheme="minorBidi"/>
          <w:rtl/>
        </w:rPr>
        <w:footnoteReference w:id="272"/>
      </w:r>
      <w:r w:rsidRPr="00351B7D">
        <w:rPr>
          <w:rFonts w:asciiTheme="minorBidi" w:hAnsiTheme="minorBidi"/>
          <w:rtl/>
        </w:rPr>
        <w:t xml:space="preserve">, עבד כנעני לאו אף ע"ג דלא קא חסר ולא מידי קא קני נפשיה, האי גברא נמי, אף על גב דלא קא חסר ולא מידי קא קני לה להאי איתתא.  </w:t>
      </w:r>
    </w:p>
    <w:p w14:paraId="318EE911" w14:textId="77777777" w:rsidR="008E16D0" w:rsidRPr="00351B7D" w:rsidRDefault="008E16D0" w:rsidP="008E16D0">
      <w:pPr>
        <w:rPr>
          <w:rFonts w:asciiTheme="minorBidi" w:hAnsiTheme="minorBidi"/>
          <w:u w:val="single"/>
          <w:rtl/>
        </w:rPr>
      </w:pPr>
      <w:r w:rsidRPr="00351B7D">
        <w:rPr>
          <w:rFonts w:asciiTheme="minorBidi" w:hAnsiTheme="minorBidi"/>
          <w:u w:val="single"/>
          <w:rtl/>
        </w:rPr>
        <w:t>כיצד מתקדשת באומרו "הילך מנה והתקדשי לפלוני", והרי פלוני לא אמר כלום</w:t>
      </w:r>
      <w:r w:rsidRPr="00351B7D">
        <w:rPr>
          <w:rStyle w:val="a7"/>
          <w:rFonts w:asciiTheme="minorBidi" w:hAnsiTheme="minorBidi"/>
          <w:u w:val="single"/>
          <w:rtl/>
        </w:rPr>
        <w:footnoteReference w:id="273"/>
      </w:r>
      <w:r w:rsidRPr="00351B7D">
        <w:rPr>
          <w:rFonts w:asciiTheme="minorBidi" w:hAnsiTheme="minorBidi"/>
          <w:u w:val="single"/>
          <w:rtl/>
        </w:rPr>
        <w:t>:</w:t>
      </w:r>
    </w:p>
    <w:p w14:paraId="529005EB" w14:textId="77777777" w:rsidR="008E16D0" w:rsidRPr="00351B7D" w:rsidRDefault="008E16D0" w:rsidP="00A8697F">
      <w:pPr>
        <w:pStyle w:val="ab"/>
        <w:numPr>
          <w:ilvl w:val="0"/>
          <w:numId w:val="30"/>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(פ"ה הכ"ב)</w:t>
      </w:r>
      <w:r w:rsidRPr="00351B7D">
        <w:rPr>
          <w:rFonts w:asciiTheme="minorBidi" w:hAnsiTheme="minorBidi"/>
          <w:rtl/>
        </w:rPr>
        <w:t xml:space="preserve">- מיירי באמר לה </w:t>
      </w:r>
      <w:r w:rsidRPr="00351B7D">
        <w:rPr>
          <w:rFonts w:asciiTheme="minorBidi" w:hAnsiTheme="minorBidi"/>
          <w:sz w:val="16"/>
          <w:szCs w:val="16"/>
          <w:rtl/>
        </w:rPr>
        <w:t>(אותו פלוני)</w:t>
      </w:r>
      <w:r w:rsidRPr="00351B7D">
        <w:rPr>
          <w:rFonts w:asciiTheme="minorBidi" w:hAnsiTheme="minorBidi"/>
          <w:rtl/>
        </w:rPr>
        <w:t xml:space="preserve"> 'הרי את מקודשת לי בהנאה זו הבאה ליך בגללי'</w:t>
      </w:r>
      <w:r w:rsidRPr="00351B7D">
        <w:rPr>
          <w:rStyle w:val="a7"/>
          <w:rFonts w:asciiTheme="minorBidi" w:hAnsiTheme="minorBidi"/>
          <w:rtl/>
        </w:rPr>
        <w:footnoteReference w:id="274"/>
      </w:r>
      <w:r w:rsidRPr="00351B7D">
        <w:rPr>
          <w:rFonts w:asciiTheme="minorBidi" w:hAnsiTheme="minorBidi"/>
          <w:rtl/>
        </w:rPr>
        <w:t xml:space="preserve">.  </w:t>
      </w:r>
    </w:p>
    <w:p w14:paraId="7A3FF2EA" w14:textId="77777777" w:rsidR="008E16D0" w:rsidRPr="00351B7D" w:rsidRDefault="008E16D0" w:rsidP="00A8697F">
      <w:pPr>
        <w:pStyle w:val="ab"/>
        <w:numPr>
          <w:ilvl w:val="0"/>
          <w:numId w:val="30"/>
        </w:numPr>
        <w:rPr>
          <w:rFonts w:asciiTheme="minorBidi" w:hAnsiTheme="minorBidi"/>
        </w:rPr>
      </w:pPr>
      <w:r w:rsidRPr="00351B7D">
        <w:rPr>
          <w:rFonts w:asciiTheme="minorBidi" w:hAnsiTheme="minorBidi"/>
          <w:rtl/>
        </w:rPr>
        <w:t>רש"י ויש מפרשים</w:t>
      </w:r>
      <w:r w:rsidRPr="00351B7D">
        <w:rPr>
          <w:rFonts w:asciiTheme="minorBidi" w:hAnsiTheme="minorBidi"/>
          <w:sz w:val="16"/>
          <w:szCs w:val="16"/>
          <w:rtl/>
        </w:rPr>
        <w:t xml:space="preserve"> (הביאם הה"מ)</w:t>
      </w:r>
      <w:r w:rsidRPr="00351B7D">
        <w:rPr>
          <w:rFonts w:asciiTheme="minorBidi" w:hAnsiTheme="minorBidi"/>
          <w:rtl/>
        </w:rPr>
        <w:t>- מיירי בגמ' שהמדבר הוא שליח של אותו פלוני</w:t>
      </w:r>
      <w:r w:rsidRPr="00351B7D">
        <w:rPr>
          <w:rStyle w:val="a7"/>
          <w:rFonts w:asciiTheme="minorBidi" w:hAnsiTheme="minorBidi"/>
          <w:rtl/>
        </w:rPr>
        <w:footnoteReference w:id="275"/>
      </w:r>
      <w:r w:rsidRPr="00351B7D">
        <w:rPr>
          <w:rFonts w:asciiTheme="minorBidi" w:hAnsiTheme="minorBidi"/>
          <w:rtl/>
        </w:rPr>
        <w:t xml:space="preserve">.  </w:t>
      </w:r>
    </w:p>
    <w:p w14:paraId="02570674" w14:textId="77777777" w:rsidR="008E16D0" w:rsidRPr="00351B7D" w:rsidRDefault="008E16D0" w:rsidP="00A8697F">
      <w:pPr>
        <w:pStyle w:val="ab"/>
        <w:numPr>
          <w:ilvl w:val="1"/>
          <w:numId w:val="30"/>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(סי' ו)</w:t>
      </w:r>
      <w:r w:rsidRPr="00351B7D">
        <w:rPr>
          <w:rFonts w:asciiTheme="minorBidi" w:hAnsiTheme="minorBidi"/>
          <w:rtl/>
        </w:rPr>
        <w:t xml:space="preserve">- הילך מנה והתקדשי לפלוני ועשאו פלוני שליח אלא שנותן </w:t>
      </w:r>
      <w:r w:rsidRPr="00351B7D">
        <w:rPr>
          <w:rFonts w:asciiTheme="minorBidi" w:hAnsiTheme="minorBidi"/>
          <w:sz w:val="16"/>
          <w:szCs w:val="16"/>
          <w:rtl/>
        </w:rPr>
        <w:t xml:space="preserve">(השליח) </w:t>
      </w:r>
      <w:r w:rsidRPr="00351B7D">
        <w:rPr>
          <w:rFonts w:asciiTheme="minorBidi" w:hAnsiTheme="minorBidi"/>
          <w:rtl/>
        </w:rPr>
        <w:t>המנה משלו, או כשלא עשאו שליח ואמר המקדש הרי את מקודשת לי במנה שנתן ליך פלוני מקודשת</w:t>
      </w:r>
      <w:r w:rsidRPr="00351B7D">
        <w:rPr>
          <w:rStyle w:val="a7"/>
          <w:rFonts w:asciiTheme="minorBidi" w:hAnsiTheme="minorBidi"/>
          <w:rtl/>
        </w:rPr>
        <w:footnoteReference w:id="276"/>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5F9F44F7"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2593BE" w14:textId="77777777" w:rsidR="008E16D0" w:rsidRPr="00351B7D" w:rsidRDefault="008E16D0" w:rsidP="008E16D0">
      <w:pPr>
        <w:rPr>
          <w:rFonts w:asciiTheme="minorBidi" w:hAnsiTheme="minorBidi"/>
          <w:color w:val="000000"/>
          <w:rtl/>
        </w:rPr>
      </w:pPr>
      <w:r w:rsidRPr="00351B7D">
        <w:rPr>
          <w:rFonts w:asciiTheme="minorBidi" w:hAnsiTheme="minorBidi"/>
          <w:rtl/>
        </w:rPr>
        <w:t>אמר לה הילך דינר משלי והתקדשי לפלוני ואותו פלוני עשאו שליח</w:t>
      </w:r>
      <w:r w:rsidRPr="00351B7D">
        <w:rPr>
          <w:rStyle w:val="a7"/>
          <w:rFonts w:asciiTheme="minorBidi" w:hAnsiTheme="minorBidi"/>
          <w:color w:val="000000"/>
          <w:rtl/>
        </w:rPr>
        <w:footnoteReference w:id="277"/>
      </w:r>
      <w:r w:rsidRPr="00351B7D">
        <w:rPr>
          <w:rFonts w:asciiTheme="minorBidi" w:hAnsiTheme="minorBidi"/>
          <w:rtl/>
        </w:rPr>
        <w:t>, או שלא עשאו שליח ואמר לה אותו פלוני התקדשי לי במנה שנתן ליך פלוני הרי זו מקודשת.</w:t>
      </w:r>
      <w:r w:rsidRPr="00351B7D">
        <w:rPr>
          <w:rFonts w:asciiTheme="minorBidi" w:hAnsiTheme="minorBidi"/>
          <w:color w:val="000000"/>
          <w:sz w:val="16"/>
          <w:szCs w:val="16"/>
          <w:rtl/>
        </w:rPr>
        <w:t xml:space="preserve"> </w:t>
      </w:r>
      <w:r w:rsidRPr="00351B7D">
        <w:rPr>
          <w:rFonts w:asciiTheme="minorBidi" w:hAnsiTheme="minorBidi"/>
          <w:color w:val="000000"/>
          <w:rtl/>
        </w:rPr>
        <w:t xml:space="preserve"> </w:t>
      </w:r>
    </w:p>
    <w:p w14:paraId="48A1D2F7" w14:textId="77777777" w:rsidR="008E16D0" w:rsidRPr="00351B7D" w:rsidRDefault="008E16D0" w:rsidP="008E16D0">
      <w:pPr>
        <w:rPr>
          <w:rFonts w:asciiTheme="minorBidi" w:hAnsiTheme="minorBidi"/>
          <w:color w:val="000000"/>
          <w:rtl/>
        </w:rPr>
      </w:pPr>
    </w:p>
    <w:p w14:paraId="032719C9" w14:textId="77777777" w:rsidR="008E16D0" w:rsidRPr="00351B7D" w:rsidRDefault="008E16D0" w:rsidP="008E16D0">
      <w:pPr>
        <w:pStyle w:val="2"/>
        <w:rPr>
          <w:rFonts w:asciiTheme="minorBidi" w:hAnsiTheme="minorBidi"/>
          <w:rtl/>
        </w:rPr>
      </w:pPr>
      <w:r w:rsidRPr="00351B7D">
        <w:rPr>
          <w:rFonts w:asciiTheme="minorBidi" w:hAnsiTheme="minorBidi"/>
          <w:rtl/>
        </w:rPr>
        <w:t>סעיף ו: אמר לה התקדשי לי בדינר ונתן לה משכון עד שיתן הדינר.</w:t>
      </w:r>
    </w:p>
    <w:p w14:paraId="0E14F583"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ח ע"א: </w:t>
      </w:r>
      <w:r w:rsidRPr="00351B7D">
        <w:rPr>
          <w:rFonts w:asciiTheme="minorBidi" w:hAnsiTheme="minorBidi"/>
          <w:u w:val="single"/>
          <w:rtl/>
        </w:rPr>
        <w:t>אמר רבא אמר רב נחמן</w:t>
      </w:r>
      <w:r w:rsidRPr="00351B7D">
        <w:rPr>
          <w:rFonts w:asciiTheme="minorBidi" w:hAnsiTheme="minorBidi"/>
          <w:rtl/>
        </w:rPr>
        <w:t xml:space="preserve">: אמר לה התקדשי לי במנה, והניח לה משכון עליה- אינה מקודשת, מנה אין כאן- משכון אין כאן. </w:t>
      </w:r>
    </w:p>
    <w:p w14:paraId="551B4CA0"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מדוע אין המנה מהווה את הקדושין זה מובן- משום שאינו כאן, אבל המשכון כאן ומדוע אינה מתקדשת בו:</w:t>
      </w:r>
    </w:p>
    <w:p w14:paraId="13578326" w14:textId="77777777" w:rsidR="008E16D0" w:rsidRPr="00351B7D" w:rsidRDefault="008E16D0" w:rsidP="00A8697F">
      <w:pPr>
        <w:pStyle w:val="ab"/>
        <w:numPr>
          <w:ilvl w:val="0"/>
          <w:numId w:val="32"/>
        </w:numPr>
        <w:rPr>
          <w:rFonts w:asciiTheme="minorBidi" w:hAnsiTheme="minorBidi"/>
        </w:rPr>
      </w:pPr>
      <w:r w:rsidRPr="00351B7D">
        <w:rPr>
          <w:rFonts w:asciiTheme="minorBidi" w:hAnsiTheme="minorBidi"/>
          <w:rtl/>
        </w:rPr>
        <w:t>רש"י תוס' רמב"ם רמב"ן רשב"א ומאירי</w:t>
      </w:r>
      <w:r w:rsidRPr="00351B7D">
        <w:rPr>
          <w:rStyle w:val="a7"/>
          <w:rFonts w:asciiTheme="minorBidi" w:hAnsiTheme="minorBidi"/>
          <w:rtl/>
        </w:rPr>
        <w:footnoteReference w:id="278"/>
      </w:r>
      <w:r w:rsidRPr="00351B7D">
        <w:rPr>
          <w:rFonts w:asciiTheme="minorBidi" w:hAnsiTheme="minorBidi"/>
          <w:rtl/>
        </w:rPr>
        <w:t>- "לפי שלא הגיע הדינר לידה ולא המשכון נתן להיות שלה אינה מקודשת</w:t>
      </w:r>
      <w:r w:rsidRPr="00351B7D">
        <w:rPr>
          <w:rStyle w:val="a7"/>
          <w:rFonts w:asciiTheme="minorBidi" w:hAnsiTheme="minorBidi"/>
          <w:rtl/>
        </w:rPr>
        <w:footnoteReference w:id="279"/>
      </w:r>
      <w:r w:rsidRPr="00351B7D">
        <w:rPr>
          <w:rFonts w:asciiTheme="minorBidi" w:hAnsiTheme="minorBidi"/>
          <w:sz w:val="16"/>
          <w:szCs w:val="16"/>
          <w:rtl/>
        </w:rPr>
        <w:t>(ל' הרמב"ם)</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1F4F074C" w14:textId="77777777" w:rsidR="008E16D0" w:rsidRPr="00351B7D" w:rsidRDefault="008E16D0" w:rsidP="00A8697F">
      <w:pPr>
        <w:pStyle w:val="ab"/>
        <w:numPr>
          <w:ilvl w:val="0"/>
          <w:numId w:val="32"/>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64384" behindDoc="0" locked="0" layoutInCell="1" allowOverlap="1" wp14:anchorId="23749594" wp14:editId="4A9B0337">
                <wp:simplePos x="0" y="0"/>
                <wp:positionH relativeFrom="column">
                  <wp:posOffset>5030470</wp:posOffset>
                </wp:positionH>
                <wp:positionV relativeFrom="paragraph">
                  <wp:posOffset>390525</wp:posOffset>
                </wp:positionV>
                <wp:extent cx="45085" cy="106680"/>
                <wp:effectExtent l="19050" t="0" r="31115" b="45720"/>
                <wp:wrapNone/>
                <wp:docPr id="7" name="Down Arrow 7"/>
                <wp:cNvGraphicFramePr/>
                <a:graphic xmlns:a="http://schemas.openxmlformats.org/drawingml/2006/main">
                  <a:graphicData uri="http://schemas.microsoft.com/office/word/2010/wordprocessingShape">
                    <wps:wsp>
                      <wps:cNvSpPr/>
                      <wps:spPr>
                        <a:xfrm>
                          <a:off x="0" y="0"/>
                          <a:ext cx="45085" cy="1066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BC74338" id="Down Arrow 7" o:spid="_x0000_s1026" type="#_x0000_t67" style="position:absolute;left:0;text-align:left;margin-left:396.1pt;margin-top:30.75pt;width:3.55pt;height: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" adj="17036" fillcolor="black [3200]" strokecolor="black [1600]" strokeweight="2pt"/>
            </w:pict>
          </mc:Fallback>
        </mc:AlternateContent>
      </w:r>
      <w:r w:rsidRPr="00351B7D">
        <w:rPr>
          <w:rFonts w:asciiTheme="minorBidi" w:hAnsiTheme="minorBidi"/>
          <w:rtl/>
        </w:rPr>
        <w:t>ר"י ראב"ד ורא"ש</w:t>
      </w:r>
      <w:r w:rsidRPr="00351B7D">
        <w:rPr>
          <w:rStyle w:val="a7"/>
          <w:rFonts w:asciiTheme="minorBidi" w:hAnsiTheme="minorBidi"/>
          <w:rtl/>
        </w:rPr>
        <w:footnoteReference w:id="280"/>
      </w:r>
      <w:r w:rsidRPr="00351B7D">
        <w:rPr>
          <w:rFonts w:asciiTheme="minorBidi" w:hAnsiTheme="minorBidi"/>
          <w:rtl/>
        </w:rPr>
        <w:t xml:space="preserve">-  מכיון שמנה אין כאן </w:t>
      </w:r>
      <w:r w:rsidRPr="00351B7D">
        <w:rPr>
          <w:rFonts w:asciiTheme="minorBidi" w:hAnsiTheme="minorBidi"/>
          <w:sz w:val="16"/>
          <w:szCs w:val="16"/>
          <w:rtl/>
        </w:rPr>
        <w:t>(שהרי לא נתחייב לה בו, דמילי בעלמא נינהו)</w:t>
      </w:r>
      <w:r w:rsidRPr="00351B7D">
        <w:rPr>
          <w:rFonts w:asciiTheme="minorBidi" w:hAnsiTheme="minorBidi"/>
        </w:rPr>
        <w:t xml:space="preserve"> </w:t>
      </w:r>
      <w:r w:rsidRPr="00351B7D">
        <w:rPr>
          <w:rFonts w:asciiTheme="minorBidi" w:hAnsiTheme="minorBidi"/>
          <w:rtl/>
        </w:rPr>
        <w:t>משכון נמי אין כאן דלא קניא ליה למשכון במידי, דמאי יהבה ליה דקניא לה משכון</w:t>
      </w:r>
      <w:r w:rsidRPr="00351B7D">
        <w:rPr>
          <w:rStyle w:val="a7"/>
          <w:rFonts w:asciiTheme="minorBidi" w:hAnsiTheme="minorBidi"/>
          <w:rtl/>
        </w:rPr>
        <w:footnoteReference w:id="281"/>
      </w:r>
      <w:r w:rsidRPr="00351B7D">
        <w:rPr>
          <w:rFonts w:asciiTheme="minorBidi" w:hAnsiTheme="minorBidi"/>
          <w:rtl/>
        </w:rPr>
        <w:t xml:space="preserve">. </w:t>
      </w:r>
    </w:p>
    <w:p w14:paraId="35D7B4D1"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ומה הדין אם </w:t>
      </w:r>
      <w:r w:rsidRPr="00351B7D">
        <w:rPr>
          <w:rFonts w:asciiTheme="minorBidi" w:hAnsiTheme="minorBidi"/>
          <w:b/>
          <w:bCs/>
          <w:u w:val="dotted"/>
          <w:rtl/>
        </w:rPr>
        <w:t>הקנה</w:t>
      </w:r>
      <w:r w:rsidRPr="00351B7D">
        <w:rPr>
          <w:rFonts w:asciiTheme="minorBidi" w:hAnsiTheme="minorBidi"/>
          <w:u w:val="dotted"/>
          <w:rtl/>
        </w:rPr>
        <w:t xml:space="preserve"> לה את המשכון</w:t>
      </w:r>
      <w:r w:rsidRPr="00351B7D">
        <w:rPr>
          <w:rFonts w:asciiTheme="minorBidi" w:hAnsiTheme="minorBidi"/>
          <w:sz w:val="16"/>
          <w:szCs w:val="16"/>
          <w:u w:val="dotted"/>
          <w:rtl/>
        </w:rPr>
        <w:t xml:space="preserve"> (שאמר לה 'קני במשכון זה שעבוד מנה והתקדשי לי בו')</w:t>
      </w:r>
      <w:r w:rsidRPr="00351B7D">
        <w:rPr>
          <w:rFonts w:asciiTheme="minorBidi" w:hAnsiTheme="minorBidi"/>
          <w:u w:val="dotted"/>
          <w:rtl/>
        </w:rPr>
        <w:t>, וקנתהו:</w:t>
      </w:r>
    </w:p>
    <w:p w14:paraId="2F409755" w14:textId="77777777" w:rsidR="008E16D0" w:rsidRPr="00351B7D" w:rsidRDefault="008E16D0" w:rsidP="00A8697F">
      <w:pPr>
        <w:pStyle w:val="ab"/>
        <w:numPr>
          <w:ilvl w:val="0"/>
          <w:numId w:val="33"/>
        </w:numPr>
        <w:rPr>
          <w:rFonts w:asciiTheme="minorBidi" w:hAnsiTheme="minorBidi"/>
        </w:rPr>
      </w:pPr>
      <w:r w:rsidRPr="00351B7D">
        <w:rPr>
          <w:rFonts w:asciiTheme="minorBidi" w:hAnsiTheme="minorBidi"/>
          <w:rtl/>
        </w:rPr>
        <w:lastRenderedPageBreak/>
        <w:t>רמב"ן ורשב"א</w:t>
      </w:r>
      <w:r w:rsidRPr="00351B7D">
        <w:rPr>
          <w:rStyle w:val="a7"/>
          <w:rFonts w:asciiTheme="minorBidi" w:hAnsiTheme="minorBidi"/>
          <w:rtl/>
        </w:rPr>
        <w:footnoteReference w:id="282"/>
      </w:r>
      <w:r w:rsidRPr="00351B7D">
        <w:rPr>
          <w:rFonts w:asciiTheme="minorBidi" w:hAnsiTheme="minorBidi"/>
          <w:rtl/>
        </w:rPr>
        <w:t>- אינה מקודשת, כיון שהוא אינו מקדשה בגופו של משכון- אין כאן משכון, כלומר שאינו קונה בו דהויא ליה כהלואה דליתא בעין הואיל ומנה אין כאן</w:t>
      </w:r>
      <w:r w:rsidRPr="00351B7D">
        <w:rPr>
          <w:rFonts w:asciiTheme="minorBidi" w:hAnsiTheme="minorBidi"/>
          <w:sz w:val="16"/>
          <w:szCs w:val="16"/>
          <w:rtl/>
        </w:rPr>
        <w:t xml:space="preserve"> (לפי שהמנה הזה כאינו בעולם)</w:t>
      </w:r>
      <w:r w:rsidRPr="00351B7D">
        <w:rPr>
          <w:rFonts w:asciiTheme="minorBidi" w:hAnsiTheme="minorBidi"/>
          <w:rtl/>
        </w:rPr>
        <w:t xml:space="preserve">. </w:t>
      </w:r>
    </w:p>
    <w:p w14:paraId="5BFA76D0" w14:textId="77777777" w:rsidR="008E16D0" w:rsidRPr="00351B7D" w:rsidRDefault="008E16D0" w:rsidP="00A8697F">
      <w:pPr>
        <w:pStyle w:val="ab"/>
        <w:numPr>
          <w:ilvl w:val="0"/>
          <w:numId w:val="33"/>
        </w:numPr>
        <w:rPr>
          <w:rFonts w:asciiTheme="minorBidi" w:hAnsiTheme="minorBidi"/>
          <w:rtl/>
        </w:rPr>
      </w:pPr>
      <w:r w:rsidRPr="00351B7D">
        <w:rPr>
          <w:rFonts w:asciiTheme="minorBidi" w:hAnsiTheme="minorBidi"/>
          <w:rtl/>
        </w:rPr>
        <mc:AlternateContent>
          <mc:Choice Requires="wps">
            <w:drawing>
              <wp:anchor distT="0" distB="0" distL="114300" distR="114300" simplePos="0" relativeHeight="251665408" behindDoc="0" locked="0" layoutInCell="1" allowOverlap="1" wp14:anchorId="37D73484" wp14:editId="56067622">
                <wp:simplePos x="0" y="0"/>
                <wp:positionH relativeFrom="column">
                  <wp:posOffset>5002085</wp:posOffset>
                </wp:positionH>
                <wp:positionV relativeFrom="paragraph">
                  <wp:posOffset>217285</wp:posOffset>
                </wp:positionV>
                <wp:extent cx="45085" cy="106680"/>
                <wp:effectExtent l="19050" t="0" r="31115" b="45720"/>
                <wp:wrapNone/>
                <wp:docPr id="8" name="Down Arrow 8"/>
                <wp:cNvGraphicFramePr/>
                <a:graphic xmlns:a="http://schemas.openxmlformats.org/drawingml/2006/main">
                  <a:graphicData uri="http://schemas.microsoft.com/office/word/2010/wordprocessingShape">
                    <wps:wsp>
                      <wps:cNvSpPr/>
                      <wps:spPr>
                        <a:xfrm>
                          <a:off x="0" y="0"/>
                          <a:ext cx="45085" cy="1066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6325029" id="Down Arrow 8" o:spid="_x0000_s1026" type="#_x0000_t67" style="position:absolute;left:0;text-align:left;margin-left:393.85pt;margin-top:17.1pt;width:3.55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" adj="17036" fillcolor="black [3200]" strokecolor="black [1600]" strokeweight="2pt"/>
            </w:pict>
          </mc:Fallback>
        </mc:AlternateContent>
      </w:r>
      <w:r w:rsidRPr="00351B7D">
        <w:rPr>
          <w:rFonts w:asciiTheme="minorBidi" w:hAnsiTheme="minorBidi"/>
          <w:rtl/>
        </w:rPr>
        <w:t>ר"י ראב"ד (רא"ש</w:t>
      </w:r>
      <w:r w:rsidRPr="00351B7D">
        <w:rPr>
          <w:rFonts w:asciiTheme="minorBidi" w:hAnsiTheme="minorBidi"/>
          <w:sz w:val="16"/>
          <w:szCs w:val="16"/>
          <w:rtl/>
        </w:rPr>
        <w:t xml:space="preserve"> להב' הגר"א </w:t>
      </w:r>
      <w:r w:rsidRPr="00351B7D">
        <w:rPr>
          <w:rFonts w:asciiTheme="minorBidi" w:hAnsiTheme="minorBidi"/>
          <w:sz w:val="14"/>
          <w:szCs w:val="14"/>
          <w:rtl/>
        </w:rPr>
        <w:t>[סקי"ד]</w:t>
      </w:r>
      <w:r w:rsidRPr="00351B7D">
        <w:rPr>
          <w:rFonts w:asciiTheme="minorBidi" w:hAnsiTheme="minorBidi"/>
          <w:rtl/>
        </w:rPr>
        <w:t xml:space="preserve">) ורי"ו </w:t>
      </w:r>
      <w:r w:rsidRPr="00351B7D">
        <w:rPr>
          <w:rFonts w:asciiTheme="minorBidi" w:hAnsiTheme="minorBidi"/>
          <w:sz w:val="16"/>
          <w:szCs w:val="16"/>
          <w:rtl/>
        </w:rPr>
        <w:t>(נכ"ב ח"א)</w:t>
      </w:r>
      <w:r w:rsidRPr="00351B7D">
        <w:rPr>
          <w:rFonts w:asciiTheme="minorBidi" w:hAnsiTheme="minorBidi"/>
          <w:rtl/>
        </w:rPr>
        <w:t xml:space="preserve">- </w:t>
      </w:r>
      <w:r w:rsidRPr="00351B7D">
        <w:rPr>
          <w:rFonts w:asciiTheme="minorBidi" w:hAnsiTheme="minorBidi"/>
          <w:color w:val="000000"/>
          <w:rtl/>
        </w:rPr>
        <w:t>מקודשת</w:t>
      </w:r>
      <w:r w:rsidRPr="00351B7D">
        <w:rPr>
          <w:rFonts w:asciiTheme="minorBidi" w:hAnsiTheme="minorBidi"/>
          <w:rtl/>
        </w:rPr>
        <w:t xml:space="preserve">. </w:t>
      </w:r>
      <w:r w:rsidRPr="00351B7D">
        <w:rPr>
          <w:rFonts w:asciiTheme="minorBidi" w:hAnsiTheme="minorBidi"/>
          <w:color w:val="00B0F0"/>
          <w:rtl/>
        </w:rPr>
        <w:t>(וכ"פ הרמ"א)</w:t>
      </w:r>
    </w:p>
    <w:p w14:paraId="32ACE8B9"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ומה הדין היכא דכתב לה שטר עליו</w:t>
      </w:r>
      <w:r w:rsidRPr="00351B7D">
        <w:rPr>
          <w:rFonts w:asciiTheme="minorBidi" w:hAnsiTheme="minorBidi"/>
          <w:sz w:val="16"/>
          <w:szCs w:val="16"/>
          <w:u w:val="dotted"/>
          <w:rtl/>
        </w:rPr>
        <w:t xml:space="preserve"> (היינו שכ' בו שהוא חייב לה מנה)</w:t>
      </w:r>
      <w:r w:rsidRPr="00351B7D">
        <w:rPr>
          <w:rFonts w:asciiTheme="minorBidi" w:hAnsiTheme="minorBidi"/>
          <w:u w:val="dotted"/>
          <w:rtl/>
        </w:rPr>
        <w:t xml:space="preserve">: </w:t>
      </w:r>
    </w:p>
    <w:p w14:paraId="2E68CEE9" w14:textId="77777777" w:rsidR="008E16D0" w:rsidRPr="00351B7D" w:rsidRDefault="008E16D0" w:rsidP="00A8697F">
      <w:pPr>
        <w:pStyle w:val="ab"/>
        <w:numPr>
          <w:ilvl w:val="0"/>
          <w:numId w:val="31"/>
        </w:numPr>
        <w:rPr>
          <w:rFonts w:asciiTheme="minorBidi" w:hAnsiTheme="minorBidi"/>
          <w:rtl/>
        </w:rPr>
      </w:pPr>
      <w:r w:rsidRPr="00351B7D">
        <w:rPr>
          <w:rFonts w:asciiTheme="minorBidi" w:hAnsiTheme="minorBidi"/>
          <w:rtl/>
        </w:rPr>
        <w:t>רמב"ן ורשב"א- אינה מקודשת, דכל כסף קדושין דאגיד גבי בעל</w:t>
      </w:r>
      <w:r w:rsidRPr="00351B7D">
        <w:rPr>
          <w:rFonts w:asciiTheme="minorBidi" w:hAnsiTheme="minorBidi"/>
          <w:sz w:val="16"/>
          <w:szCs w:val="16"/>
          <w:rtl/>
        </w:rPr>
        <w:t xml:space="preserve"> (היינו המנה שבביתו)</w:t>
      </w:r>
      <w:r w:rsidRPr="00351B7D">
        <w:rPr>
          <w:rFonts w:asciiTheme="minorBidi" w:hAnsiTheme="minorBidi"/>
          <w:rtl/>
        </w:rPr>
        <w:t xml:space="preserve"> לאו קדושין הן</w:t>
      </w:r>
      <w:r w:rsidRPr="00351B7D">
        <w:rPr>
          <w:rStyle w:val="a7"/>
          <w:rFonts w:asciiTheme="minorBidi" w:hAnsiTheme="minorBidi"/>
          <w:rtl/>
        </w:rPr>
        <w:footnoteReference w:id="283"/>
      </w:r>
      <w:r w:rsidRPr="00351B7D">
        <w:rPr>
          <w:rFonts w:asciiTheme="minorBidi" w:hAnsiTheme="minorBidi"/>
          <w:rtl/>
        </w:rPr>
        <w:t>.</w:t>
      </w:r>
      <w:r w:rsidRPr="00351B7D">
        <w:rPr>
          <w:rFonts w:asciiTheme="minorBidi" w:hAnsiTheme="minorBidi"/>
          <w:color w:val="00B0F0"/>
          <w:rtl/>
        </w:rPr>
        <w:t xml:space="preserve"> (וכ"פ הרמ"א)</w:t>
      </w:r>
    </w:p>
    <w:p w14:paraId="05D681FC" w14:textId="77777777" w:rsidR="008E16D0" w:rsidRPr="00351B7D" w:rsidRDefault="008E16D0" w:rsidP="00A8697F">
      <w:pPr>
        <w:pStyle w:val="ab"/>
        <w:numPr>
          <w:ilvl w:val="0"/>
          <w:numId w:val="31"/>
        </w:numPr>
        <w:rPr>
          <w:rFonts w:asciiTheme="minorBidi" w:hAnsiTheme="minorBidi"/>
          <w:rtl/>
        </w:rPr>
      </w:pPr>
      <w:r w:rsidRPr="00351B7D">
        <w:rPr>
          <w:rFonts w:asciiTheme="minorBidi" w:hAnsiTheme="minorBidi"/>
          <w:rtl/>
        </w:rPr>
        <w:t>(ראב"ד</w:t>
      </w:r>
      <w:r w:rsidRPr="00351B7D">
        <w:rPr>
          <w:rFonts w:asciiTheme="minorBidi" w:hAnsiTheme="minorBidi"/>
          <w:sz w:val="16"/>
          <w:szCs w:val="16"/>
          <w:rtl/>
        </w:rPr>
        <w:t xml:space="preserve"> להב' ח"מ וב"ש</w:t>
      </w:r>
      <w:r w:rsidRPr="00351B7D">
        <w:rPr>
          <w:rFonts w:asciiTheme="minorBidi" w:hAnsiTheme="minorBidi"/>
          <w:rtl/>
        </w:rPr>
        <w:t>) (רא"ש</w:t>
      </w:r>
      <w:r w:rsidRPr="00351B7D">
        <w:rPr>
          <w:rStyle w:val="a7"/>
          <w:rFonts w:asciiTheme="minorBidi" w:hAnsiTheme="minorBidi"/>
          <w:rtl/>
        </w:rPr>
        <w:footnoteReference w:id="284"/>
      </w:r>
      <w:r w:rsidRPr="00351B7D">
        <w:rPr>
          <w:rFonts w:asciiTheme="minorBidi" w:hAnsiTheme="minorBidi"/>
          <w:rtl/>
        </w:rPr>
        <w:t xml:space="preserve"> </w:t>
      </w:r>
      <w:r w:rsidRPr="00351B7D">
        <w:rPr>
          <w:rFonts w:asciiTheme="minorBidi" w:hAnsiTheme="minorBidi"/>
          <w:sz w:val="16"/>
          <w:szCs w:val="16"/>
          <w:rtl/>
        </w:rPr>
        <w:t>להב' הב"ש</w:t>
      </w:r>
      <w:r w:rsidRPr="00351B7D">
        <w:rPr>
          <w:rFonts w:asciiTheme="minorBidi" w:hAnsiTheme="minorBidi"/>
          <w:rtl/>
        </w:rPr>
        <w:t xml:space="preserve"> </w:t>
      </w:r>
      <w:r w:rsidRPr="00351B7D">
        <w:rPr>
          <w:rFonts w:asciiTheme="minorBidi" w:hAnsiTheme="minorBidi"/>
          <w:sz w:val="16"/>
          <w:szCs w:val="16"/>
          <w:rtl/>
        </w:rPr>
        <w:t>והגר"א</w:t>
      </w:r>
      <w:r w:rsidRPr="00351B7D">
        <w:rPr>
          <w:rFonts w:asciiTheme="minorBidi" w:hAnsiTheme="minorBidi"/>
          <w:rtl/>
        </w:rPr>
        <w:t>) ושלט"ג</w:t>
      </w:r>
      <w:r w:rsidRPr="00351B7D">
        <w:rPr>
          <w:rStyle w:val="a7"/>
          <w:rFonts w:asciiTheme="minorBidi" w:hAnsiTheme="minorBidi"/>
          <w:rtl/>
        </w:rPr>
        <w:footnoteReference w:id="285"/>
      </w:r>
      <w:r w:rsidRPr="00351B7D">
        <w:rPr>
          <w:rFonts w:asciiTheme="minorBidi" w:hAnsiTheme="minorBidi"/>
          <w:rtl/>
        </w:rPr>
        <w:t>- מקודשת, דלא גרע מחוב דאחרים</w:t>
      </w:r>
      <w:r w:rsidRPr="00351B7D">
        <w:rPr>
          <w:rStyle w:val="a7"/>
          <w:rFonts w:asciiTheme="minorBidi" w:hAnsiTheme="minorBidi"/>
          <w:rtl/>
        </w:rPr>
        <w:footnoteReference w:id="286"/>
      </w:r>
      <w:r w:rsidRPr="00351B7D">
        <w:rPr>
          <w:rFonts w:asciiTheme="minorBidi" w:hAnsiTheme="minorBidi"/>
          <w:sz w:val="16"/>
          <w:szCs w:val="16"/>
          <w:rtl/>
        </w:rPr>
        <w:t xml:space="preserve"> (ח"מ)</w:t>
      </w:r>
      <w:r w:rsidRPr="00351B7D">
        <w:rPr>
          <w:rFonts w:asciiTheme="minorBidi" w:hAnsiTheme="minorBidi"/>
          <w:rtl/>
        </w:rPr>
        <w:t>, ועוד שהרי יכולה לגבות ממנו בכח השטר</w:t>
      </w:r>
      <w:r w:rsidRPr="00351B7D">
        <w:rPr>
          <w:rStyle w:val="a7"/>
          <w:rFonts w:asciiTheme="minorBidi" w:hAnsiTheme="minorBidi"/>
          <w:rtl/>
        </w:rPr>
        <w:footnoteReference w:id="287"/>
      </w:r>
      <w:r w:rsidRPr="00351B7D">
        <w:rPr>
          <w:rFonts w:asciiTheme="minorBidi" w:hAnsiTheme="minorBidi"/>
          <w:sz w:val="16"/>
          <w:szCs w:val="16"/>
          <w:rtl/>
        </w:rPr>
        <w:t xml:space="preserve"> (שלט"ג)</w:t>
      </w:r>
      <w:r w:rsidRPr="00351B7D">
        <w:rPr>
          <w:rFonts w:asciiTheme="minorBidi" w:hAnsiTheme="minorBidi"/>
          <w:rtl/>
        </w:rPr>
        <w:t>.</w:t>
      </w:r>
    </w:p>
    <w:p w14:paraId="11456303"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F421FD"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אמר לה התקדשי בדינר ונתן לה משכון עד שיתן הדינר,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וכ"ש אם נתן לה שטר על הדינר דלא הוי קדושין</w:t>
      </w:r>
      <w:r w:rsidRPr="00351B7D">
        <w:rPr>
          <w:rStyle w:val="a7"/>
          <w:rFonts w:asciiTheme="minorBidi" w:hAnsiTheme="minorBidi"/>
          <w:color w:val="000000"/>
          <w:sz w:val="18"/>
          <w:szCs w:val="18"/>
          <w:rtl/>
        </w:rPr>
        <w:footnoteReference w:id="288"/>
      </w:r>
      <w:r w:rsidRPr="00351B7D">
        <w:rPr>
          <w:rFonts w:asciiTheme="minorBidi" w:hAnsiTheme="minorBidi"/>
          <w:color w:val="000000"/>
          <w:sz w:val="18"/>
          <w:szCs w:val="18"/>
          <w:rtl/>
        </w:rPr>
        <w:t xml:space="preserve"> (הה"מ בשם הרשב"א). אמר לה הרי את מקודשת לי בדינר ותזכה בו בגוף המשכון שאני נותן לך על זה הרי זו מקודשת</w:t>
      </w:r>
      <w:r w:rsidRPr="00351B7D">
        <w:rPr>
          <w:rStyle w:val="a7"/>
          <w:rFonts w:asciiTheme="minorBidi" w:hAnsiTheme="minorBidi"/>
          <w:color w:val="000000"/>
          <w:sz w:val="18"/>
          <w:szCs w:val="18"/>
          <w:rtl/>
        </w:rPr>
        <w:footnoteReference w:id="289"/>
      </w:r>
      <w:r w:rsidRPr="00351B7D">
        <w:rPr>
          <w:rFonts w:asciiTheme="minorBidi" w:hAnsiTheme="minorBidi"/>
          <w:color w:val="000000"/>
          <w:sz w:val="18"/>
          <w:szCs w:val="18"/>
          <w:rtl/>
        </w:rPr>
        <w:t xml:space="preserve"> (רי"ו נכ"ג). </w:t>
      </w:r>
    </w:p>
    <w:p w14:paraId="09C8ADB9" w14:textId="77777777" w:rsidR="008E16D0" w:rsidRPr="00351B7D" w:rsidRDefault="008E16D0" w:rsidP="008E16D0">
      <w:pPr>
        <w:rPr>
          <w:rFonts w:asciiTheme="minorBidi" w:hAnsiTheme="minorBidi"/>
          <w:color w:val="000000"/>
          <w:rtl/>
        </w:rPr>
      </w:pPr>
    </w:p>
    <w:p w14:paraId="72BD3845" w14:textId="77777777" w:rsidR="008E16D0" w:rsidRPr="00351B7D" w:rsidRDefault="008E16D0" w:rsidP="008E16D0">
      <w:pPr>
        <w:pStyle w:val="2"/>
        <w:rPr>
          <w:rFonts w:asciiTheme="minorBidi" w:hAnsiTheme="minorBidi"/>
          <w:rtl/>
        </w:rPr>
      </w:pPr>
      <w:r w:rsidRPr="00351B7D">
        <w:rPr>
          <w:rFonts w:asciiTheme="minorBidi" w:hAnsiTheme="minorBidi"/>
          <w:rtl/>
        </w:rPr>
        <w:t>סעיף ז: אמר לה 'הרי את מקודשת במנה/ מנה זה', והביא לה פחות מכן.</w:t>
      </w:r>
    </w:p>
    <w:p w14:paraId="60249365"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ח ע"א: </w:t>
      </w:r>
      <w:r w:rsidRPr="00351B7D">
        <w:rPr>
          <w:rFonts w:asciiTheme="minorBidi" w:hAnsiTheme="minorBidi"/>
          <w:u w:val="single"/>
          <w:rtl/>
        </w:rPr>
        <w:t>אמר רבי אלעזר:</w:t>
      </w:r>
      <w:r w:rsidRPr="00351B7D">
        <w:rPr>
          <w:rFonts w:asciiTheme="minorBidi" w:hAnsiTheme="minorBidi"/>
          <w:rtl/>
        </w:rPr>
        <w:t xml:space="preserve"> התקדשי לי במנה ונתן לה דינר</w:t>
      </w:r>
      <w:r w:rsidRPr="00351B7D">
        <w:rPr>
          <w:rStyle w:val="a7"/>
          <w:rFonts w:asciiTheme="minorBidi" w:hAnsiTheme="minorBidi"/>
          <w:rtl/>
        </w:rPr>
        <w:footnoteReference w:id="290"/>
      </w:r>
      <w:r w:rsidRPr="00351B7D">
        <w:rPr>
          <w:rFonts w:asciiTheme="minorBidi" w:hAnsiTheme="minorBidi"/>
          <w:rtl/>
        </w:rPr>
        <w:t xml:space="preserve"> - הרי זו מקודשת וישלים</w:t>
      </w:r>
      <w:r w:rsidRPr="00351B7D">
        <w:rPr>
          <w:rStyle w:val="a7"/>
          <w:rFonts w:asciiTheme="minorBidi" w:hAnsiTheme="minorBidi"/>
          <w:rtl/>
        </w:rPr>
        <w:footnoteReference w:id="291"/>
      </w:r>
      <w:r w:rsidRPr="00351B7D">
        <w:rPr>
          <w:rFonts w:asciiTheme="minorBidi" w:hAnsiTheme="minorBidi"/>
          <w:rtl/>
        </w:rPr>
        <w:t xml:space="preserve">, מאי טעמא? כיון דאמר לה מנה ויהב לה דינר כמאן דאמר לה על מנת דמי, </w:t>
      </w:r>
      <w:r w:rsidRPr="00351B7D">
        <w:rPr>
          <w:rFonts w:asciiTheme="minorBidi" w:hAnsiTheme="minorBidi"/>
          <w:u w:val="single"/>
          <w:rtl/>
        </w:rPr>
        <w:t>ואמר רב הונא אמר רב</w:t>
      </w:r>
      <w:r w:rsidRPr="00351B7D">
        <w:rPr>
          <w:rFonts w:asciiTheme="minorBidi" w:hAnsiTheme="minorBidi"/>
          <w:rtl/>
        </w:rPr>
        <w:t xml:space="preserve"> כל האומר ע"מ כאומר מעכשיו דמי. מיתיבי: התקדשי לי במנה והיה מונה והולך ורצה אחד מהן לחזור אפילו בדינר האחרון - הרשות בידו</w:t>
      </w:r>
      <w:r w:rsidRPr="00351B7D">
        <w:rPr>
          <w:rStyle w:val="a7"/>
          <w:rFonts w:asciiTheme="minorBidi" w:hAnsiTheme="minorBidi"/>
          <w:rtl/>
        </w:rPr>
        <w:footnoteReference w:id="292"/>
      </w:r>
      <w:r w:rsidRPr="00351B7D">
        <w:rPr>
          <w:rFonts w:asciiTheme="minorBidi" w:hAnsiTheme="minorBidi"/>
          <w:rtl/>
        </w:rPr>
        <w:t>! הכא במאי עסקינן - דאמר במנה זו</w:t>
      </w:r>
      <w:r w:rsidRPr="00351B7D">
        <w:rPr>
          <w:rStyle w:val="a7"/>
          <w:rFonts w:asciiTheme="minorBidi" w:hAnsiTheme="minorBidi"/>
          <w:rtl/>
        </w:rPr>
        <w:footnoteReference w:id="293"/>
      </w:r>
      <w:r w:rsidRPr="00351B7D">
        <w:rPr>
          <w:rFonts w:asciiTheme="minorBidi" w:hAnsiTheme="minorBidi"/>
          <w:rtl/>
        </w:rPr>
        <w:t>. הא מדסיפא במנה זו, רישא במנה סתם, דקא תני סיפא: אמר לה התקדשי לי במנה זו, ונמצא מנה חסר דינר או דינר של נחשת - אינה מקודשת, דינר רע - הרי זו מקודשת, ויחליף! לא, רישא וסיפא דאמר במנה זו, ופרושי קא מפרש: רצה אחד מהן לחזור אפי' בדינר האחרון - הרשות בידו, כיצד? כגון דאמר לה במנה זו. והכי נמי מסתברא, דאי ס"ד רישא במנה סתם, השתא במנה סתם</w:t>
      </w:r>
      <w:r w:rsidRPr="00351B7D">
        <w:rPr>
          <w:rStyle w:val="a7"/>
          <w:rFonts w:asciiTheme="minorBidi" w:hAnsiTheme="minorBidi"/>
          <w:rtl/>
        </w:rPr>
        <w:footnoteReference w:id="294"/>
      </w:r>
      <w:r w:rsidRPr="00351B7D">
        <w:rPr>
          <w:rFonts w:asciiTheme="minorBidi" w:hAnsiTheme="minorBidi"/>
          <w:rtl/>
        </w:rPr>
        <w:t xml:space="preserve"> לא הוו קידושי, במנה זו</w:t>
      </w:r>
      <w:r w:rsidRPr="00351B7D">
        <w:rPr>
          <w:rStyle w:val="a7"/>
          <w:rFonts w:asciiTheme="minorBidi" w:hAnsiTheme="minorBidi"/>
          <w:rtl/>
        </w:rPr>
        <w:footnoteReference w:id="295"/>
      </w:r>
      <w:r w:rsidRPr="00351B7D">
        <w:rPr>
          <w:rFonts w:asciiTheme="minorBidi" w:hAnsiTheme="minorBidi"/>
          <w:rtl/>
        </w:rPr>
        <w:t xml:space="preserve"> מיבעיא?. אי משום </w:t>
      </w:r>
      <w:r w:rsidRPr="00351B7D">
        <w:rPr>
          <w:rFonts w:asciiTheme="minorBidi" w:hAnsiTheme="minorBidi"/>
          <w:rtl/>
        </w:rPr>
        <w:lastRenderedPageBreak/>
        <w:t xml:space="preserve">הא לא איריא, תנא סיפא לגלוי רישא, שלא תאמר רישא במנה זו, אבל במנה סתם הוו קידושין, תנא סיפא במנה זו, מכלל דרישא במנה סתם, ואפילו הכי לא הוו קידושין. </w:t>
      </w:r>
      <w:r w:rsidRPr="00351B7D">
        <w:rPr>
          <w:rFonts w:asciiTheme="minorBidi" w:hAnsiTheme="minorBidi"/>
          <w:u w:val="single"/>
          <w:rtl/>
        </w:rPr>
        <w:t>רב אשי אמר:</w:t>
      </w:r>
      <w:r w:rsidRPr="00351B7D">
        <w:rPr>
          <w:rFonts w:asciiTheme="minorBidi" w:hAnsiTheme="minorBidi"/>
          <w:rtl/>
        </w:rPr>
        <w:t xml:space="preserve"> מונה והולך שאני</w:t>
      </w:r>
      <w:r w:rsidRPr="00351B7D">
        <w:rPr>
          <w:rStyle w:val="a7"/>
          <w:rFonts w:asciiTheme="minorBidi" w:hAnsiTheme="minorBidi"/>
          <w:rtl/>
        </w:rPr>
        <w:footnoteReference w:id="296"/>
      </w:r>
      <w:r w:rsidRPr="00351B7D">
        <w:rPr>
          <w:rFonts w:asciiTheme="minorBidi" w:hAnsiTheme="minorBidi"/>
          <w:rtl/>
        </w:rPr>
        <w:t>, דדעתה אכוליה. האי דינר של נחשת היכי דמי? אי דידעה ביה, הא סברה וקבלה! לא, צריכא, דיהביה ניהליה בליליא, אי נמי דאשתכח ליה ביני זוזי</w:t>
      </w:r>
      <w:r w:rsidRPr="00351B7D">
        <w:rPr>
          <w:rStyle w:val="a7"/>
          <w:rFonts w:asciiTheme="minorBidi" w:hAnsiTheme="minorBidi"/>
          <w:rtl/>
        </w:rPr>
        <w:footnoteReference w:id="297"/>
      </w:r>
      <w:r w:rsidRPr="00351B7D">
        <w:rPr>
          <w:rFonts w:asciiTheme="minorBidi" w:hAnsiTheme="minorBidi"/>
          <w:rtl/>
        </w:rPr>
        <w:t>. האי דינר רע היכי דמי? אי דלא נפיק, היינו דינר של נחשת</w:t>
      </w:r>
      <w:r w:rsidRPr="00351B7D">
        <w:rPr>
          <w:rStyle w:val="a7"/>
          <w:rFonts w:asciiTheme="minorBidi" w:hAnsiTheme="minorBidi"/>
          <w:rtl/>
        </w:rPr>
        <w:footnoteReference w:id="298"/>
      </w:r>
      <w:r w:rsidRPr="00351B7D">
        <w:rPr>
          <w:rFonts w:asciiTheme="minorBidi" w:hAnsiTheme="minorBidi"/>
          <w:rtl/>
        </w:rPr>
        <w:t xml:space="preserve">! </w:t>
      </w:r>
      <w:r w:rsidRPr="00351B7D">
        <w:rPr>
          <w:rFonts w:asciiTheme="minorBidi" w:hAnsiTheme="minorBidi"/>
          <w:u w:val="single"/>
          <w:rtl/>
        </w:rPr>
        <w:t>אמר רב פפא:</w:t>
      </w:r>
      <w:r w:rsidRPr="00351B7D">
        <w:rPr>
          <w:rFonts w:asciiTheme="minorBidi" w:hAnsiTheme="minorBidi"/>
          <w:rtl/>
        </w:rPr>
        <w:t xml:space="preserve"> כגון דנפיק על ידי הדחק</w:t>
      </w:r>
      <w:r w:rsidRPr="00351B7D">
        <w:rPr>
          <w:rStyle w:val="a7"/>
          <w:rFonts w:asciiTheme="minorBidi" w:hAnsiTheme="minorBidi"/>
          <w:rtl/>
        </w:rPr>
        <w:footnoteReference w:id="299"/>
      </w:r>
      <w:r w:rsidRPr="00351B7D">
        <w:rPr>
          <w:rFonts w:asciiTheme="minorBidi" w:hAnsiTheme="minorBidi"/>
          <w:rtl/>
        </w:rPr>
        <w:t>.</w:t>
      </w:r>
    </w:p>
    <w:p w14:paraId="76376BEB"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 לה 'התקדשי לי במנה' ונתן לה דינר:</w:t>
      </w:r>
    </w:p>
    <w:p w14:paraId="47341B98" w14:textId="77777777" w:rsidR="008E16D0" w:rsidRPr="00351B7D" w:rsidRDefault="008E16D0" w:rsidP="00A8697F">
      <w:pPr>
        <w:pStyle w:val="ab"/>
        <w:numPr>
          <w:ilvl w:val="0"/>
          <w:numId w:val="35"/>
        </w:numPr>
        <w:rPr>
          <w:rFonts w:asciiTheme="minorBidi" w:hAnsiTheme="minorBidi"/>
          <w:rtl/>
        </w:rPr>
      </w:pPr>
      <w:r w:rsidRPr="00351B7D">
        <w:rPr>
          <w:rFonts w:asciiTheme="minorBidi" w:hAnsiTheme="minorBidi"/>
          <w:rtl/>
        </w:rPr>
        <w:t xml:space="preserve">רי"ף </w:t>
      </w:r>
      <w:r w:rsidRPr="00351B7D">
        <w:rPr>
          <w:rFonts w:asciiTheme="minorBidi" w:hAnsiTheme="minorBidi"/>
          <w:sz w:val="16"/>
          <w:szCs w:val="16"/>
          <w:rtl/>
        </w:rPr>
        <w:t xml:space="preserve">(ד.) </w:t>
      </w:r>
      <w:r w:rsidRPr="00351B7D">
        <w:rPr>
          <w:rFonts w:asciiTheme="minorBidi" w:hAnsiTheme="minorBidi"/>
          <w:rtl/>
        </w:rPr>
        <w:t xml:space="preserve">ורמב"ם </w:t>
      </w:r>
      <w:r w:rsidRPr="00351B7D">
        <w:rPr>
          <w:rFonts w:asciiTheme="minorBidi" w:hAnsiTheme="minorBidi"/>
          <w:sz w:val="16"/>
          <w:szCs w:val="16"/>
          <w:rtl/>
        </w:rPr>
        <w:t>(פ"ז הי"ז)</w:t>
      </w:r>
      <w:r w:rsidRPr="00351B7D">
        <w:rPr>
          <w:rFonts w:asciiTheme="minorBidi" w:hAnsiTheme="minorBidi"/>
          <w:rtl/>
        </w:rPr>
        <w:t xml:space="preserve">- ה"ז מקודשת וישלים, כרבי אלעזר, וה"מ דא"ל מנה סתם אבל אם א"ל </w:t>
      </w:r>
      <w:r w:rsidRPr="00351B7D">
        <w:rPr>
          <w:rFonts w:asciiTheme="minorBidi" w:hAnsiTheme="minorBidi"/>
          <w:u w:val="single"/>
          <w:rtl/>
        </w:rPr>
        <w:t>מנה זו</w:t>
      </w:r>
      <w:r w:rsidRPr="00351B7D">
        <w:rPr>
          <w:rFonts w:asciiTheme="minorBidi" w:hAnsiTheme="minorBidi"/>
          <w:rtl/>
        </w:rPr>
        <w:t xml:space="preserve"> </w:t>
      </w:r>
      <w:r w:rsidRPr="00351B7D">
        <w:rPr>
          <w:rFonts w:asciiTheme="minorBidi" w:hAnsiTheme="minorBidi"/>
          <w:u w:val="single"/>
          <w:rtl/>
        </w:rPr>
        <w:t>והיה מונה והולך</w:t>
      </w:r>
      <w:r w:rsidRPr="00351B7D">
        <w:rPr>
          <w:rFonts w:asciiTheme="minorBidi" w:hAnsiTheme="minorBidi"/>
          <w:rtl/>
        </w:rPr>
        <w:t xml:space="preserve"> ורצה אחד מהן לחזור אפילו בדינר האחרון הרשות בידו</w:t>
      </w:r>
      <w:r w:rsidRPr="00351B7D">
        <w:rPr>
          <w:rStyle w:val="a7"/>
          <w:rFonts w:asciiTheme="minorBidi" w:hAnsiTheme="minorBidi"/>
          <w:rtl/>
        </w:rPr>
        <w:footnoteReference w:id="300"/>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35136E8F" w14:textId="77777777" w:rsidR="008E16D0" w:rsidRPr="00351B7D" w:rsidRDefault="008E16D0" w:rsidP="00A8697F">
      <w:pPr>
        <w:pStyle w:val="ab"/>
        <w:numPr>
          <w:ilvl w:val="0"/>
          <w:numId w:val="35"/>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(סי' ט)</w:t>
      </w:r>
      <w:r w:rsidRPr="00351B7D">
        <w:rPr>
          <w:rFonts w:asciiTheme="minorBidi" w:hAnsiTheme="minorBidi"/>
          <w:rtl/>
        </w:rPr>
        <w:t xml:space="preserve">- ה"ז מקודשת וישלים, כרבי אלעזר, וה"מ דא"ל מנה סתם אבל אם א"ל </w:t>
      </w:r>
      <w:r w:rsidRPr="00351B7D">
        <w:rPr>
          <w:rFonts w:asciiTheme="minorBidi" w:hAnsiTheme="minorBidi"/>
          <w:u w:val="single"/>
          <w:rtl/>
        </w:rPr>
        <w:t>מנה זו</w:t>
      </w:r>
      <w:r w:rsidRPr="00351B7D">
        <w:rPr>
          <w:rFonts w:asciiTheme="minorBidi" w:hAnsiTheme="minorBidi"/>
          <w:rtl/>
        </w:rPr>
        <w:t xml:space="preserve"> </w:t>
      </w:r>
      <w:r w:rsidRPr="00351B7D">
        <w:rPr>
          <w:rFonts w:asciiTheme="minorBidi" w:hAnsiTheme="minorBidi"/>
          <w:u w:val="double"/>
          <w:rtl/>
        </w:rPr>
        <w:t>או</w:t>
      </w:r>
      <w:r w:rsidRPr="00351B7D">
        <w:rPr>
          <w:rFonts w:asciiTheme="minorBidi" w:hAnsiTheme="minorBidi"/>
          <w:rtl/>
        </w:rPr>
        <w:t xml:space="preserve"> אפילו </w:t>
      </w:r>
      <w:r w:rsidRPr="00351B7D">
        <w:rPr>
          <w:rFonts w:asciiTheme="minorBidi" w:hAnsiTheme="minorBidi"/>
          <w:u w:val="single"/>
          <w:rtl/>
        </w:rPr>
        <w:t>מנה סתם</w:t>
      </w:r>
      <w:r w:rsidRPr="00351B7D">
        <w:rPr>
          <w:rFonts w:asciiTheme="minorBidi" w:hAnsiTheme="minorBidi"/>
          <w:rtl/>
        </w:rPr>
        <w:t xml:space="preserve"> </w:t>
      </w:r>
      <w:r w:rsidRPr="00351B7D">
        <w:rPr>
          <w:rFonts w:asciiTheme="minorBidi" w:hAnsiTheme="minorBidi"/>
          <w:u w:val="single"/>
          <w:rtl/>
        </w:rPr>
        <w:t>והיה מונה והולך</w:t>
      </w:r>
      <w:r w:rsidRPr="00351B7D">
        <w:rPr>
          <w:rFonts w:asciiTheme="minorBidi" w:hAnsiTheme="minorBidi"/>
          <w:rtl/>
        </w:rPr>
        <w:t xml:space="preserve"> ורצה אחד מהן לחזור אפילו בדינר האחרון הרשות בידו</w:t>
      </w:r>
      <w:r w:rsidRPr="00351B7D">
        <w:rPr>
          <w:rStyle w:val="a7"/>
          <w:rFonts w:asciiTheme="minorBidi" w:hAnsiTheme="minorBidi"/>
          <w:rtl/>
        </w:rPr>
        <w:footnoteReference w:id="301"/>
      </w:r>
      <w:r w:rsidRPr="00351B7D">
        <w:rPr>
          <w:rFonts w:asciiTheme="minorBidi" w:hAnsiTheme="minorBidi"/>
          <w:rtl/>
        </w:rPr>
        <w:t>.</w:t>
      </w:r>
      <w:r w:rsidRPr="00351B7D">
        <w:rPr>
          <w:rFonts w:asciiTheme="minorBidi" w:hAnsiTheme="minorBidi"/>
          <w:color w:val="00B0F0"/>
          <w:rtl/>
        </w:rPr>
        <w:t xml:space="preserve"> (וכ"כ הרמ"א)</w:t>
      </w:r>
    </w:p>
    <w:p w14:paraId="458543B5"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כשאמר לה 'התקדשי לי במנה </w:t>
      </w:r>
      <w:r w:rsidRPr="00351B7D">
        <w:rPr>
          <w:rFonts w:asciiTheme="minorBidi" w:hAnsiTheme="minorBidi"/>
          <w:b/>
          <w:bCs/>
          <w:u w:val="single"/>
          <w:rtl/>
        </w:rPr>
        <w:t>זו</w:t>
      </w:r>
      <w:r w:rsidRPr="00351B7D">
        <w:rPr>
          <w:rFonts w:asciiTheme="minorBidi" w:hAnsiTheme="minorBidi"/>
          <w:u w:val="single"/>
          <w:rtl/>
        </w:rPr>
        <w:t>' ונמצא חסר דינר, האם צריך שתחזור בה כדי שלא יהיו קדושין או שממילא בטלי:</w:t>
      </w:r>
    </w:p>
    <w:p w14:paraId="248355D7" w14:textId="77777777" w:rsidR="008E16D0" w:rsidRPr="00351B7D" w:rsidRDefault="008E16D0" w:rsidP="00A8697F">
      <w:pPr>
        <w:pStyle w:val="ab"/>
        <w:numPr>
          <w:ilvl w:val="0"/>
          <w:numId w:val="36"/>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(ח.)</w:t>
      </w:r>
      <w:r w:rsidRPr="00351B7D">
        <w:rPr>
          <w:rFonts w:asciiTheme="minorBidi" w:hAnsiTheme="minorBidi"/>
          <w:rtl/>
        </w:rPr>
        <w:t xml:space="preserve"> ור"ן</w:t>
      </w:r>
      <w:r w:rsidRPr="00351B7D">
        <w:rPr>
          <w:rFonts w:asciiTheme="minorBidi" w:hAnsiTheme="minorBidi"/>
          <w:sz w:val="16"/>
          <w:szCs w:val="16"/>
          <w:rtl/>
        </w:rPr>
        <w:t xml:space="preserve"> (ד. מדפה"ר)</w:t>
      </w:r>
      <w:r w:rsidRPr="00351B7D">
        <w:rPr>
          <w:rFonts w:asciiTheme="minorBidi" w:hAnsiTheme="minorBidi"/>
          <w:rtl/>
        </w:rPr>
        <w:t xml:space="preserve">- לא בעיא חזרה דממילא בטלי קידושין. </w:t>
      </w:r>
    </w:p>
    <w:p w14:paraId="5D80DFD6" w14:textId="77777777" w:rsidR="008E16D0" w:rsidRPr="00351B7D" w:rsidRDefault="008E16D0" w:rsidP="00A8697F">
      <w:pPr>
        <w:pStyle w:val="ab"/>
        <w:numPr>
          <w:ilvl w:val="0"/>
          <w:numId w:val="36"/>
        </w:numPr>
        <w:rPr>
          <w:rFonts w:asciiTheme="minorBidi" w:hAnsiTheme="minorBidi"/>
          <w:rtl/>
        </w:rPr>
      </w:pPr>
      <w:r w:rsidRPr="00351B7D">
        <w:rPr>
          <w:rFonts w:asciiTheme="minorBidi" w:hAnsiTheme="minorBidi"/>
          <w:rtl/>
        </w:rPr>
        <w:t xml:space="preserve">רש"י </w:t>
      </w:r>
      <w:r w:rsidRPr="00351B7D">
        <w:rPr>
          <w:rFonts w:asciiTheme="minorBidi" w:hAnsiTheme="minorBidi"/>
          <w:sz w:val="16"/>
          <w:szCs w:val="16"/>
          <w:rtl/>
        </w:rPr>
        <w:t>(</w:t>
      </w:r>
      <w:r w:rsidRPr="00351B7D">
        <w:rPr>
          <w:rFonts w:asciiTheme="minorBidi" w:hAnsiTheme="minorBidi"/>
          <w:sz w:val="14"/>
          <w:szCs w:val="14"/>
          <w:rtl/>
        </w:rPr>
        <w:t>[ד"ה השתא במנה סתם, וד"ה במנה זו]</w:t>
      </w:r>
      <w:r w:rsidRPr="00351B7D">
        <w:rPr>
          <w:rFonts w:asciiTheme="minorBidi" w:hAnsiTheme="minorBidi"/>
          <w:sz w:val="16"/>
          <w:szCs w:val="16"/>
          <w:rtl/>
        </w:rPr>
        <w:t xml:space="preserve"> להב' הר"ן)</w:t>
      </w:r>
      <w:r w:rsidRPr="00351B7D">
        <w:rPr>
          <w:rFonts w:asciiTheme="minorBidi" w:hAnsiTheme="minorBidi"/>
          <w:rtl/>
        </w:rPr>
        <w:t>- בעיא חזרה</w:t>
      </w:r>
      <w:r w:rsidRPr="00351B7D">
        <w:rPr>
          <w:rStyle w:val="a7"/>
          <w:rFonts w:asciiTheme="minorBidi" w:hAnsiTheme="minorBidi"/>
          <w:rtl/>
        </w:rPr>
        <w:footnoteReference w:id="302"/>
      </w:r>
      <w:r w:rsidRPr="00351B7D">
        <w:rPr>
          <w:rFonts w:asciiTheme="minorBidi" w:hAnsiTheme="minorBidi"/>
          <w:rtl/>
        </w:rPr>
        <w:t>.</w:t>
      </w:r>
    </w:p>
    <w:p w14:paraId="34180091" w14:textId="77777777" w:rsidR="008E16D0" w:rsidRPr="00351B7D" w:rsidRDefault="008E16D0" w:rsidP="008E16D0">
      <w:pPr>
        <w:rPr>
          <w:rFonts w:asciiTheme="minorBidi" w:hAnsiTheme="minorBidi"/>
          <w:b/>
          <w:bCs/>
          <w:rtl/>
        </w:rPr>
      </w:pPr>
      <w:r w:rsidRPr="00351B7D">
        <w:rPr>
          <w:rFonts w:asciiTheme="minorBidi" w:hAnsiTheme="minorBidi"/>
          <w:b/>
          <w:bCs/>
          <w:rtl/>
        </w:rPr>
        <w:t xml:space="preserve">קדושין מז ע"א: </w:t>
      </w:r>
      <w:r w:rsidRPr="00351B7D">
        <w:rPr>
          <w:rFonts w:asciiTheme="minorBidi" w:hAnsiTheme="minorBidi"/>
          <w:u w:val="single"/>
          <w:rtl/>
        </w:rPr>
        <w:t>אמר רב</w:t>
      </w:r>
      <w:r w:rsidRPr="00351B7D">
        <w:rPr>
          <w:rFonts w:asciiTheme="minorBidi" w:hAnsiTheme="minorBidi"/>
          <w:rtl/>
        </w:rPr>
        <w:t>: המקדש במלוה</w:t>
      </w:r>
      <w:r w:rsidRPr="00351B7D">
        <w:rPr>
          <w:rStyle w:val="a7"/>
          <w:rFonts w:asciiTheme="minorBidi" w:hAnsiTheme="minorBidi"/>
          <w:rtl/>
        </w:rPr>
        <w:footnoteReference w:id="303"/>
      </w:r>
      <w:r w:rsidRPr="00351B7D">
        <w:rPr>
          <w:rFonts w:asciiTheme="minorBidi" w:hAnsiTheme="minorBidi"/>
          <w:rtl/>
        </w:rPr>
        <w:t xml:space="preserve"> אינה מקודשת</w:t>
      </w:r>
      <w:r w:rsidRPr="00351B7D">
        <w:rPr>
          <w:rStyle w:val="a7"/>
          <w:rFonts w:asciiTheme="minorBidi" w:hAnsiTheme="minorBidi"/>
          <w:rtl/>
        </w:rPr>
        <w:footnoteReference w:id="304"/>
      </w:r>
      <w:r w:rsidRPr="00351B7D">
        <w:rPr>
          <w:rFonts w:asciiTheme="minorBidi" w:hAnsiTheme="minorBidi"/>
          <w:rtl/>
        </w:rPr>
        <w:t>, מלוה להוצאה ניתנה</w:t>
      </w:r>
      <w:r w:rsidRPr="00351B7D">
        <w:rPr>
          <w:rStyle w:val="a7"/>
          <w:rFonts w:asciiTheme="minorBidi" w:hAnsiTheme="minorBidi"/>
          <w:rtl/>
        </w:rPr>
        <w:footnoteReference w:id="305"/>
      </w:r>
      <w:r w:rsidRPr="00351B7D">
        <w:rPr>
          <w:rFonts w:asciiTheme="minorBidi" w:hAnsiTheme="minorBidi"/>
          <w:rtl/>
        </w:rPr>
        <w:t xml:space="preserve">. נימא כתנאי: המקדש במלוה - אינה מקודשת, ויש אומרים: מקודשת...  </w:t>
      </w:r>
      <w:r w:rsidRPr="00351B7D">
        <w:rPr>
          <w:rFonts w:asciiTheme="minorBidi" w:hAnsiTheme="minorBidi"/>
          <w:u w:val="single"/>
          <w:rtl/>
        </w:rPr>
        <w:t>אמר רב נחמן</w:t>
      </w:r>
      <w:r w:rsidRPr="00351B7D">
        <w:rPr>
          <w:rFonts w:asciiTheme="minorBidi" w:hAnsiTheme="minorBidi"/>
          <w:rtl/>
        </w:rPr>
        <w:t>: הונא חברין מוקים לה</w:t>
      </w:r>
      <w:r w:rsidRPr="00351B7D">
        <w:rPr>
          <w:rStyle w:val="a7"/>
          <w:rFonts w:asciiTheme="minorBidi" w:hAnsiTheme="minorBidi"/>
          <w:rtl/>
        </w:rPr>
        <w:footnoteReference w:id="306"/>
      </w:r>
      <w:r w:rsidRPr="00351B7D">
        <w:rPr>
          <w:rFonts w:asciiTheme="minorBidi" w:hAnsiTheme="minorBidi"/>
          <w:rtl/>
        </w:rPr>
        <w:t xml:space="preserve"> במילי אוחרי</w:t>
      </w:r>
      <w:r w:rsidRPr="00351B7D">
        <w:rPr>
          <w:rStyle w:val="a7"/>
          <w:rFonts w:asciiTheme="minorBidi" w:hAnsiTheme="minorBidi"/>
          <w:rtl/>
        </w:rPr>
        <w:footnoteReference w:id="307"/>
      </w:r>
      <w:r w:rsidRPr="00351B7D">
        <w:rPr>
          <w:rFonts w:asciiTheme="minorBidi" w:hAnsiTheme="minorBidi"/>
          <w:rtl/>
        </w:rPr>
        <w:t>, והכא במאי עסקינן - כגון שאמר לה התקדשי לי במנה ונמצא מנה חסר דינר, מר סבר: כסיפא לה מילתא</w:t>
      </w:r>
      <w:r w:rsidRPr="00351B7D">
        <w:rPr>
          <w:rStyle w:val="a7"/>
          <w:rFonts w:asciiTheme="minorBidi" w:hAnsiTheme="minorBidi"/>
          <w:rtl/>
        </w:rPr>
        <w:footnoteReference w:id="308"/>
      </w:r>
      <w:r w:rsidRPr="00351B7D">
        <w:rPr>
          <w:rFonts w:asciiTheme="minorBidi" w:hAnsiTheme="minorBidi"/>
          <w:rtl/>
        </w:rPr>
        <w:t xml:space="preserve"> למיתבעיה</w:t>
      </w:r>
      <w:r w:rsidRPr="00351B7D">
        <w:rPr>
          <w:rStyle w:val="a7"/>
          <w:rFonts w:asciiTheme="minorBidi" w:hAnsiTheme="minorBidi"/>
          <w:rtl/>
        </w:rPr>
        <w:footnoteReference w:id="309"/>
      </w:r>
      <w:r w:rsidRPr="00351B7D">
        <w:rPr>
          <w:rFonts w:asciiTheme="minorBidi" w:hAnsiTheme="minorBidi"/>
          <w:rtl/>
        </w:rPr>
        <w:t>, ומר סבר: לא כסיפא לה מילתא למיתבעיה. ואלא הא דאמר רבי אלעזר</w:t>
      </w:r>
      <w:r w:rsidRPr="00351B7D">
        <w:rPr>
          <w:rStyle w:val="a7"/>
          <w:rFonts w:asciiTheme="minorBidi" w:hAnsiTheme="minorBidi"/>
          <w:rtl/>
        </w:rPr>
        <w:footnoteReference w:id="310"/>
      </w:r>
      <w:r w:rsidRPr="00351B7D">
        <w:rPr>
          <w:rFonts w:asciiTheme="minorBidi" w:hAnsiTheme="minorBidi"/>
          <w:rtl/>
        </w:rPr>
        <w:t xml:space="preserve">: התקדשי לי במנה, ונתן לה דינר - הרי זו מקודשת וישלים, לימא, כתנאי אמרה לשמעתיה! אמרי: מנה חסר דינר - כסיפא לה מילתא למיתבעיה, מנה חסר תשעים ותשע - לא כסיפא לה מילתא למיתבעיה. </w:t>
      </w:r>
    </w:p>
    <w:p w14:paraId="17DA7CC4" w14:textId="77777777" w:rsidR="008E16D0" w:rsidRPr="00351B7D" w:rsidRDefault="008E16D0" w:rsidP="008E16D0">
      <w:pPr>
        <w:rPr>
          <w:rFonts w:asciiTheme="minorBidi" w:hAnsiTheme="minorBidi"/>
          <w:u w:val="single"/>
        </w:rPr>
      </w:pPr>
      <w:r w:rsidRPr="00351B7D">
        <w:rPr>
          <w:rFonts w:asciiTheme="minorBidi" w:hAnsiTheme="minorBidi"/>
          <w:u w:val="single"/>
          <w:rtl/>
        </w:rPr>
        <w:t>אמר לה 'התקדשי לי במנה' ונמצא חסר דינר:</w:t>
      </w:r>
    </w:p>
    <w:p w14:paraId="33F1269F" w14:textId="77777777" w:rsidR="008E16D0" w:rsidRPr="00351B7D" w:rsidRDefault="008E16D0" w:rsidP="00A8697F">
      <w:pPr>
        <w:pStyle w:val="ab"/>
        <w:numPr>
          <w:ilvl w:val="0"/>
          <w:numId w:val="36"/>
        </w:numPr>
        <w:rPr>
          <w:rFonts w:asciiTheme="minorBidi" w:hAnsiTheme="minorBidi"/>
        </w:rPr>
      </w:pPr>
      <w:r w:rsidRPr="00351B7D">
        <w:rPr>
          <w:rFonts w:asciiTheme="minorBidi" w:hAnsiTheme="minorBidi"/>
          <w:rtl/>
        </w:rPr>
        <w:t>רי"ף רמב"ם רמב"ן ורא"ש</w:t>
      </w:r>
      <w:r w:rsidRPr="00351B7D">
        <w:rPr>
          <w:rStyle w:val="a7"/>
          <w:rFonts w:asciiTheme="minorBidi" w:hAnsiTheme="minorBidi"/>
          <w:rtl/>
        </w:rPr>
        <w:footnoteReference w:id="311"/>
      </w:r>
      <w:r w:rsidRPr="00351B7D">
        <w:rPr>
          <w:rFonts w:asciiTheme="minorBidi" w:hAnsiTheme="minorBidi"/>
          <w:rtl/>
        </w:rPr>
        <w:t xml:space="preserve">- מקודשת, כי"א </w:t>
      </w:r>
      <w:r w:rsidRPr="00351B7D">
        <w:rPr>
          <w:rFonts w:asciiTheme="minorBidi" w:hAnsiTheme="minorBidi"/>
          <w:sz w:val="16"/>
          <w:szCs w:val="16"/>
          <w:rtl/>
        </w:rPr>
        <w:t>(בברייתא)</w:t>
      </w:r>
      <w:r w:rsidRPr="00351B7D">
        <w:rPr>
          <w:rFonts w:asciiTheme="minorBidi" w:hAnsiTheme="minorBidi"/>
          <w:rtl/>
        </w:rPr>
        <w:t xml:space="preserve">, מדתניא </w:t>
      </w:r>
      <w:r w:rsidRPr="00351B7D">
        <w:rPr>
          <w:rFonts w:asciiTheme="minorBidi" w:hAnsiTheme="minorBidi"/>
          <w:sz w:val="16"/>
          <w:szCs w:val="16"/>
          <w:rtl/>
        </w:rPr>
        <w:t xml:space="preserve">(ח.) </w:t>
      </w:r>
      <w:r w:rsidRPr="00351B7D">
        <w:rPr>
          <w:rFonts w:asciiTheme="minorBidi" w:hAnsiTheme="minorBidi"/>
          <w:rtl/>
        </w:rPr>
        <w:t xml:space="preserve">התקדשי לי במנה </w:t>
      </w:r>
      <w:r w:rsidRPr="00351B7D">
        <w:rPr>
          <w:rFonts w:asciiTheme="minorBidi" w:hAnsiTheme="minorBidi"/>
          <w:u w:val="single"/>
          <w:rtl/>
        </w:rPr>
        <w:t>זה</w:t>
      </w:r>
      <w:r w:rsidRPr="00351B7D">
        <w:rPr>
          <w:rFonts w:asciiTheme="minorBidi" w:hAnsiTheme="minorBidi"/>
          <w:rtl/>
        </w:rPr>
        <w:t xml:space="preserve"> ונמצא מנה חסר דינר אינה מקודשת, דאלמא במנה סתם מקודשת אע"פ שלא נשתייר הימנו אצלו אלא דינר ולא אמרינן כסיפא לה מילתא למתבעיה. </w:t>
      </w:r>
    </w:p>
    <w:p w14:paraId="45637D2D" w14:textId="77777777" w:rsidR="008E16D0" w:rsidRPr="00351B7D" w:rsidRDefault="008E16D0" w:rsidP="00A8697F">
      <w:pPr>
        <w:pStyle w:val="ab"/>
        <w:numPr>
          <w:ilvl w:val="0"/>
          <w:numId w:val="36"/>
        </w:numPr>
        <w:rPr>
          <w:rFonts w:asciiTheme="minorBidi" w:hAnsiTheme="minorBidi"/>
        </w:rPr>
      </w:pPr>
      <w:r w:rsidRPr="00351B7D">
        <w:rPr>
          <w:rFonts w:asciiTheme="minorBidi" w:hAnsiTheme="minorBidi"/>
          <w:rtl/>
        </w:rPr>
        <w:t xml:space="preserve">רש"י </w:t>
      </w:r>
      <w:r w:rsidRPr="00351B7D">
        <w:rPr>
          <w:rFonts w:asciiTheme="minorBidi" w:hAnsiTheme="minorBidi"/>
          <w:sz w:val="16"/>
          <w:szCs w:val="16"/>
          <w:rtl/>
        </w:rPr>
        <w:t>(ד"ה במילי)</w:t>
      </w:r>
      <w:r w:rsidRPr="00351B7D">
        <w:rPr>
          <w:rFonts w:asciiTheme="minorBidi" w:hAnsiTheme="minorBidi"/>
          <w:rtl/>
        </w:rPr>
        <w:t xml:space="preserve"> ור"ן </w:t>
      </w:r>
      <w:r w:rsidRPr="00351B7D">
        <w:rPr>
          <w:rFonts w:asciiTheme="minorBidi" w:hAnsiTheme="minorBidi"/>
          <w:sz w:val="16"/>
          <w:szCs w:val="16"/>
          <w:rtl/>
        </w:rPr>
        <w:t>(ד. מדפה"ר)</w:t>
      </w:r>
      <w:r w:rsidRPr="00351B7D">
        <w:rPr>
          <w:rFonts w:asciiTheme="minorBidi" w:hAnsiTheme="minorBidi"/>
          <w:rtl/>
        </w:rPr>
        <w:t>- מקודשת, כי"א</w:t>
      </w:r>
      <w:r w:rsidRPr="00351B7D">
        <w:rPr>
          <w:rFonts w:asciiTheme="minorBidi" w:hAnsiTheme="minorBidi"/>
          <w:sz w:val="16"/>
          <w:szCs w:val="16"/>
          <w:rtl/>
        </w:rPr>
        <w:t xml:space="preserve"> (בברייתא)</w:t>
      </w:r>
      <w:r w:rsidRPr="00351B7D">
        <w:rPr>
          <w:rFonts w:asciiTheme="minorBidi" w:hAnsiTheme="minorBidi"/>
          <w:rtl/>
        </w:rPr>
        <w:t>, בתנאי שקיבל עליו המקדש את הדינר החסר במלוה</w:t>
      </w:r>
      <w:r w:rsidRPr="00351B7D">
        <w:rPr>
          <w:rStyle w:val="a7"/>
          <w:rFonts w:asciiTheme="minorBidi" w:hAnsiTheme="minorBidi"/>
          <w:rtl/>
        </w:rPr>
        <w:footnoteReference w:id="312"/>
      </w:r>
      <w:r w:rsidRPr="00351B7D">
        <w:rPr>
          <w:rFonts w:asciiTheme="minorBidi" w:hAnsiTheme="minorBidi"/>
          <w:rtl/>
        </w:rPr>
        <w:t>.</w:t>
      </w:r>
    </w:p>
    <w:p w14:paraId="14C5F1E7" w14:textId="77777777" w:rsidR="008E16D0" w:rsidRPr="00351B7D" w:rsidRDefault="008E16D0" w:rsidP="00A8697F">
      <w:pPr>
        <w:pStyle w:val="ab"/>
        <w:numPr>
          <w:ilvl w:val="0"/>
          <w:numId w:val="36"/>
        </w:numPr>
        <w:rPr>
          <w:rFonts w:asciiTheme="minorBidi" w:hAnsiTheme="minorBidi"/>
        </w:rPr>
      </w:pPr>
      <w:r w:rsidRPr="00351B7D">
        <w:rPr>
          <w:rFonts w:asciiTheme="minorBidi" w:hAnsiTheme="minorBidi"/>
          <w:rtl/>
        </w:rPr>
        <w:lastRenderedPageBreak/>
        <w:t xml:space="preserve">רשב"א ויש מפרשים </w:t>
      </w:r>
      <w:r w:rsidRPr="00351B7D">
        <w:rPr>
          <w:rFonts w:asciiTheme="minorBidi" w:hAnsiTheme="minorBidi"/>
          <w:sz w:val="16"/>
          <w:szCs w:val="16"/>
          <w:rtl/>
        </w:rPr>
        <w:t>(הביאם רי"ו)</w:t>
      </w:r>
      <w:r w:rsidRPr="00351B7D">
        <w:rPr>
          <w:rStyle w:val="a7"/>
          <w:rFonts w:asciiTheme="minorBidi" w:hAnsiTheme="minorBidi"/>
          <w:rtl/>
        </w:rPr>
        <w:footnoteReference w:id="313"/>
      </w:r>
      <w:r w:rsidRPr="00351B7D">
        <w:rPr>
          <w:rFonts w:asciiTheme="minorBidi" w:hAnsiTheme="minorBidi"/>
          <w:rtl/>
        </w:rPr>
        <w:t>- אינה מקודשת, כת"ק</w:t>
      </w:r>
      <w:r w:rsidRPr="00351B7D">
        <w:rPr>
          <w:rFonts w:asciiTheme="minorBidi" w:hAnsiTheme="minorBidi"/>
          <w:sz w:val="16"/>
          <w:szCs w:val="16"/>
          <w:rtl/>
        </w:rPr>
        <w:t xml:space="preserve"> (בברייתא)</w:t>
      </w:r>
      <w:r w:rsidRPr="00351B7D">
        <w:rPr>
          <w:rFonts w:asciiTheme="minorBidi" w:hAnsiTheme="minorBidi"/>
          <w:rtl/>
        </w:rPr>
        <w:t>, ואפילו רצה המקדש לתת הדינר.</w:t>
      </w:r>
    </w:p>
    <w:p w14:paraId="08DDFA7F" w14:textId="77777777" w:rsidR="008E16D0" w:rsidRPr="00351B7D" w:rsidRDefault="008E16D0" w:rsidP="008E16D0">
      <w:pPr>
        <w:rPr>
          <w:rFonts w:asciiTheme="minorBidi" w:hAnsiTheme="minorBidi"/>
          <w:u w:val="single"/>
          <w:rtl/>
        </w:rPr>
      </w:pPr>
      <w:r w:rsidRPr="00351B7D">
        <w:rPr>
          <w:rStyle w:val="a7"/>
          <w:rFonts w:asciiTheme="minorBidi" w:hAnsiTheme="minorBidi"/>
          <w:u w:val="single"/>
          <w:rtl/>
        </w:rPr>
        <w:footnoteReference w:id="314"/>
      </w:r>
      <w:r w:rsidRPr="00351B7D">
        <w:rPr>
          <w:rFonts w:asciiTheme="minorBidi" w:hAnsiTheme="minorBidi"/>
          <w:u w:val="single"/>
          <w:rtl/>
        </w:rPr>
        <w:t>נמצא בו מטבע נחושת / מטבע רע</w:t>
      </w:r>
      <w:r w:rsidRPr="00351B7D">
        <w:rPr>
          <w:rFonts w:asciiTheme="minorBidi" w:hAnsiTheme="minorBidi"/>
          <w:sz w:val="14"/>
          <w:szCs w:val="14"/>
          <w:u w:val="single"/>
          <w:rtl/>
        </w:rPr>
        <w:t xml:space="preserve"> (</w:t>
      </w:r>
      <w:r w:rsidRPr="00351B7D">
        <w:rPr>
          <w:rFonts w:asciiTheme="minorBidi" w:hAnsiTheme="minorBidi"/>
          <w:b/>
          <w:bCs/>
          <w:sz w:val="14"/>
          <w:szCs w:val="14"/>
          <w:u w:val="single"/>
          <w:rtl/>
        </w:rPr>
        <w:t>שאינו</w:t>
      </w:r>
      <w:r w:rsidRPr="00351B7D">
        <w:rPr>
          <w:rFonts w:asciiTheme="minorBidi" w:hAnsiTheme="minorBidi"/>
          <w:sz w:val="14"/>
          <w:szCs w:val="14"/>
          <w:u w:val="single"/>
          <w:rtl/>
        </w:rPr>
        <w:t xml:space="preserve"> יוצא ע"י הדחק)</w:t>
      </w:r>
      <w:r w:rsidRPr="00351B7D">
        <w:rPr>
          <w:rFonts w:asciiTheme="minorBidi" w:hAnsiTheme="minorBidi"/>
          <w:u w:val="single"/>
          <w:rtl/>
        </w:rPr>
        <w:t xml:space="preserve">, </w:t>
      </w:r>
      <w:r w:rsidRPr="00351B7D">
        <w:rPr>
          <w:rFonts w:asciiTheme="minorBidi" w:hAnsiTheme="minorBidi"/>
          <w:b/>
          <w:bCs/>
          <w:u w:val="single"/>
          <w:rtl/>
        </w:rPr>
        <w:t>ולא</w:t>
      </w:r>
      <w:r w:rsidRPr="00351B7D">
        <w:rPr>
          <w:rFonts w:asciiTheme="minorBidi" w:hAnsiTheme="minorBidi"/>
          <w:u w:val="single"/>
          <w:rtl/>
        </w:rPr>
        <w:t xml:space="preserve"> הבחינה בו בתחילה, ואח"כ אמר לה 'התקדשי לי בו' ושתקה: </w:t>
      </w:r>
    </w:p>
    <w:p w14:paraId="46DF89DE" w14:textId="77777777" w:rsidR="008E16D0" w:rsidRPr="00351B7D" w:rsidRDefault="008E16D0" w:rsidP="00A8697F">
      <w:pPr>
        <w:pStyle w:val="ab"/>
        <w:numPr>
          <w:ilvl w:val="0"/>
          <w:numId w:val="38"/>
        </w:numPr>
        <w:rPr>
          <w:rFonts w:asciiTheme="minorBidi" w:hAnsiTheme="minorBidi"/>
          <w:rtl/>
        </w:rPr>
      </w:pPr>
      <w:r w:rsidRPr="00351B7D">
        <w:rPr>
          <w:rFonts w:asciiTheme="minorBidi" w:hAnsiTheme="minorBidi"/>
          <w:rtl/>
        </w:rPr>
        <w:t>רמ"ה</w:t>
      </w:r>
      <w:r w:rsidRPr="00351B7D">
        <w:rPr>
          <w:rFonts w:asciiTheme="minorBidi" w:hAnsiTheme="minorBidi"/>
          <w:sz w:val="16"/>
          <w:szCs w:val="16"/>
          <w:rtl/>
        </w:rPr>
        <w:t xml:space="preserve"> (הביאו הטור)</w:t>
      </w:r>
      <w:r w:rsidRPr="00351B7D">
        <w:rPr>
          <w:rFonts w:asciiTheme="minorBidi" w:hAnsiTheme="minorBidi"/>
          <w:rtl/>
        </w:rPr>
        <w:t>- הוי ספק קידושין</w:t>
      </w:r>
      <w:r w:rsidRPr="00351B7D">
        <w:rPr>
          <w:rStyle w:val="a7"/>
          <w:rFonts w:asciiTheme="minorBidi" w:hAnsiTheme="minorBidi"/>
          <w:rtl/>
        </w:rPr>
        <w:footnoteReference w:id="315"/>
      </w:r>
      <w:r w:rsidRPr="00351B7D">
        <w:rPr>
          <w:rFonts w:asciiTheme="minorBidi" w:hAnsiTheme="minorBidi"/>
          <w:rtl/>
        </w:rPr>
        <w:t xml:space="preserve">. </w:t>
      </w:r>
    </w:p>
    <w:p w14:paraId="08B8D82D"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אדם שלקח טורניש</w:t>
      </w:r>
      <w:r w:rsidRPr="00351B7D">
        <w:rPr>
          <w:rStyle w:val="a7"/>
          <w:rFonts w:asciiTheme="minorBidi" w:hAnsiTheme="minorBidi"/>
          <w:u w:val="single"/>
          <w:rtl/>
        </w:rPr>
        <w:footnoteReference w:id="316"/>
      </w:r>
      <w:r w:rsidRPr="00351B7D">
        <w:rPr>
          <w:rFonts w:asciiTheme="minorBidi" w:hAnsiTheme="minorBidi"/>
          <w:u w:val="single"/>
          <w:rtl/>
        </w:rPr>
        <w:t xml:space="preserve"> ונתן לאשה ואמר לה 'הרי את מקודשת לי במנה זו':</w:t>
      </w:r>
    </w:p>
    <w:p w14:paraId="3649F79C" w14:textId="77777777" w:rsidR="008E16D0" w:rsidRPr="00351B7D" w:rsidRDefault="008E16D0" w:rsidP="00A8697F">
      <w:pPr>
        <w:pStyle w:val="ab"/>
        <w:numPr>
          <w:ilvl w:val="0"/>
          <w:numId w:val="38"/>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(ח"א סי' תקסה)</w:t>
      </w:r>
      <w:r w:rsidRPr="00351B7D">
        <w:rPr>
          <w:rFonts w:asciiTheme="minorBidi" w:hAnsiTheme="minorBidi"/>
          <w:rtl/>
        </w:rPr>
        <w:t>- אינה מקודשת, וראיה מדאקשינן 'השתא במנה סתם לא הוו קידושין במנה זה לא כל שכן' ופירש רש"י במנה זה ונמצא חסר דינר</w:t>
      </w:r>
      <w:r w:rsidRPr="00351B7D">
        <w:rPr>
          <w:rStyle w:val="a7"/>
          <w:rFonts w:asciiTheme="minorBidi" w:hAnsiTheme="minorBidi"/>
          <w:rtl/>
        </w:rPr>
        <w:footnoteReference w:id="317"/>
      </w:r>
      <w:r w:rsidRPr="00351B7D">
        <w:rPr>
          <w:rFonts w:asciiTheme="minorBidi" w:hAnsiTheme="minorBidi"/>
          <w:rtl/>
        </w:rPr>
        <w:t>.</w:t>
      </w:r>
    </w:p>
    <w:p w14:paraId="4EACFD87"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נתן לה כלי ואמר לה הרי את מקודשת לי בטבעת זו:</w:t>
      </w:r>
      <w:r w:rsidRPr="00351B7D">
        <w:rPr>
          <w:rFonts w:asciiTheme="minorBidi" w:hAnsiTheme="minorBidi"/>
          <w:rtl/>
        </w:rPr>
        <w:t xml:space="preserve">  </w:t>
      </w:r>
      <w:r w:rsidRPr="00351B7D">
        <w:rPr>
          <w:rFonts w:asciiTheme="minorBidi" w:hAnsiTheme="minorBidi"/>
          <w:sz w:val="16"/>
          <w:szCs w:val="16"/>
          <w:rtl/>
        </w:rPr>
        <w:t xml:space="preserve">(ב"י [בבדה"ב]) </w:t>
      </w:r>
    </w:p>
    <w:p w14:paraId="5D87066C" w14:textId="77777777" w:rsidR="008E16D0" w:rsidRPr="00351B7D" w:rsidRDefault="008E16D0" w:rsidP="00A8697F">
      <w:pPr>
        <w:pStyle w:val="ab"/>
        <w:numPr>
          <w:ilvl w:val="0"/>
          <w:numId w:val="37"/>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(במיוחסות סי' קכו)</w:t>
      </w:r>
      <w:r w:rsidRPr="00351B7D">
        <w:rPr>
          <w:rFonts w:asciiTheme="minorBidi" w:hAnsiTheme="minorBidi"/>
          <w:rtl/>
        </w:rPr>
        <w:t>- אם היא לא ידעה בו כגון שפשטה ידה ופניה מכוסות וא"ל הרי את מקודשת לי בטבעת זו, שורת הדין שקדושי טעות הן ואינה מקודשת ואפי' הטעה לשבח... אבל אם ראתה היא במה מקדשה אע"פ שאמר בטבעת זו, מסתברא לי שהיא מקודשת, לפי שהרי ידעה היא שאין זה אלא כוס ואפ"ה פשטה ידה וסברה וקבלה לשם קדושין, מ"מ נכון הוא לחזור ולקדש כדי לצאת מכל ספק שמא תפשוט ידה ותקבל קדושין מאחר ויבא ב"ד אחר ויקלקלנה אחר שאין אתנו ראיה מכרחת שהיא מקודשת ודאית.</w:t>
      </w:r>
    </w:p>
    <w:p w14:paraId="200E4A0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3AE4DA" w14:textId="77777777" w:rsidR="008E16D0" w:rsidRPr="00351B7D" w:rsidRDefault="008E16D0" w:rsidP="008E16D0">
      <w:pPr>
        <w:rPr>
          <w:rFonts w:asciiTheme="minorBidi" w:hAnsiTheme="minorBidi"/>
          <w:color w:val="000000"/>
          <w:rtl/>
        </w:rPr>
      </w:pPr>
      <w:r w:rsidRPr="00351B7D">
        <w:rPr>
          <w:rFonts w:asciiTheme="minorBidi" w:hAnsiTheme="minorBidi"/>
          <w:rtl/>
        </w:rPr>
        <w:t>האומר לאשה הרי את מקודשת לי במאה דינרים ונתן לה אפילו דינר אחד הרי זו מקודשת משלקחה הדינר והוא ישלים לה השאר שזה כמי שאמר הרי את מקודשת לי בדינר זה על מנת שאתן לך מאתים זוז שהיא מקודשת לו מעכשיו.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(וה"ה אם חסר דינר אחד או שהוא </w:t>
      </w:r>
      <w:r w:rsidRPr="00351B7D">
        <w:rPr>
          <w:rStyle w:val="a7"/>
          <w:rFonts w:asciiTheme="minorBidi" w:hAnsiTheme="minorBidi"/>
          <w:color w:val="000000"/>
          <w:sz w:val="18"/>
          <w:szCs w:val="18"/>
          <w:rtl/>
        </w:rPr>
        <w:footnoteReference w:id="318"/>
      </w:r>
      <w:r w:rsidRPr="00351B7D">
        <w:rPr>
          <w:rFonts w:asciiTheme="minorBidi" w:hAnsiTheme="minorBidi"/>
          <w:color w:val="000000"/>
          <w:sz w:val="18"/>
          <w:szCs w:val="18"/>
          <w:rtl/>
        </w:rPr>
        <w:t>רע (הרא"ש והרמב"ן), ויש חולקין</w:t>
      </w:r>
      <w:r w:rsidRPr="00351B7D">
        <w:rPr>
          <w:rStyle w:val="a7"/>
          <w:rFonts w:asciiTheme="minorBidi" w:hAnsiTheme="minorBidi"/>
          <w:color w:val="000000"/>
          <w:sz w:val="18"/>
          <w:szCs w:val="18"/>
          <w:rtl/>
        </w:rPr>
        <w:footnoteReference w:id="319"/>
      </w:r>
      <w:r w:rsidRPr="00351B7D">
        <w:rPr>
          <w:rFonts w:asciiTheme="minorBidi" w:hAnsiTheme="minorBidi"/>
          <w:color w:val="000000"/>
          <w:sz w:val="18"/>
          <w:szCs w:val="18"/>
          <w:rtl/>
        </w:rPr>
        <w:t xml:space="preserve"> (הרשב"א)).</w:t>
      </w:r>
      <w:r w:rsidRPr="00351B7D">
        <w:rPr>
          <w:rFonts w:asciiTheme="minorBidi" w:hAnsiTheme="minorBidi"/>
          <w:rtl/>
        </w:rPr>
        <w:t xml:space="preserve"> במה דברים אמורים כשאמר לה במאה דינרין סתם אבל אם פירש ואמר לה הרי את מקודשת לי במאה דינרין אלו והתחיל למנות לתוך ידה</w:t>
      </w:r>
      <w:r w:rsidRPr="00351B7D">
        <w:rPr>
          <w:rStyle w:val="a7"/>
          <w:rFonts w:asciiTheme="minorBidi" w:hAnsiTheme="minorBidi"/>
          <w:color w:val="000000"/>
          <w:rtl/>
        </w:rPr>
        <w:footnoteReference w:id="320"/>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(וי"א דבחדא מינייהו כגון שאמר מאה דינרין אלו או שמתחיל למנות (הרא"ש והטור))</w:t>
      </w:r>
      <w:r w:rsidRPr="00351B7D">
        <w:rPr>
          <w:rFonts w:asciiTheme="minorBidi" w:hAnsiTheme="minorBidi"/>
          <w:rtl/>
        </w:rPr>
        <w:t xml:space="preserve"> אינה מקודשת עד שישלים לה, ואפילו בדינר האחרון שניהם יכולים לחזור זה בזה, </w:t>
      </w:r>
      <w:r w:rsidRPr="00351B7D">
        <w:rPr>
          <w:rStyle w:val="a7"/>
          <w:rFonts w:asciiTheme="minorBidi" w:hAnsiTheme="minorBidi"/>
          <w:color w:val="000000"/>
          <w:rtl/>
        </w:rPr>
        <w:footnoteReference w:id="321"/>
      </w:r>
      <w:r w:rsidRPr="00351B7D">
        <w:rPr>
          <w:rFonts w:asciiTheme="minorBidi" w:hAnsiTheme="minorBidi"/>
          <w:rtl/>
        </w:rPr>
        <w:t>אלא אם כן אמר לה דינר החסר יהא עלי במלוה ונתרצתה</w:t>
      </w:r>
      <w:r w:rsidRPr="00351B7D">
        <w:rPr>
          <w:rStyle w:val="a7"/>
          <w:rFonts w:asciiTheme="minorBidi" w:hAnsiTheme="minorBidi"/>
          <w:color w:val="000000"/>
          <w:rtl/>
        </w:rPr>
        <w:footnoteReference w:id="322"/>
      </w:r>
      <w:r w:rsidRPr="00351B7D">
        <w:rPr>
          <w:rFonts w:asciiTheme="minorBidi" w:hAnsiTheme="minorBidi"/>
          <w:rtl/>
        </w:rPr>
        <w:t xml:space="preserve">, וכן אם נמצא מנה חסר דינר או </w:t>
      </w:r>
      <w:r w:rsidRPr="00351B7D">
        <w:rPr>
          <w:rFonts w:asciiTheme="minorBidi" w:hAnsiTheme="minorBidi"/>
          <w:rtl/>
        </w:rPr>
        <w:lastRenderedPageBreak/>
        <w:t>נמצא מהם דינר נחושת ולא הכירה בו תחלה</w:t>
      </w:r>
      <w:r w:rsidRPr="00351B7D">
        <w:rPr>
          <w:rStyle w:val="a7"/>
          <w:rFonts w:asciiTheme="minorBidi" w:hAnsiTheme="minorBidi"/>
          <w:color w:val="000000"/>
          <w:rtl/>
        </w:rPr>
        <w:footnoteReference w:id="323"/>
      </w:r>
      <w:r w:rsidRPr="00351B7D">
        <w:rPr>
          <w:rFonts w:asciiTheme="minorBidi" w:hAnsiTheme="minorBidi"/>
          <w:rtl/>
        </w:rPr>
        <w:t xml:space="preserve">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(ויכולין לחזור בהן</w:t>
      </w:r>
      <w:r w:rsidRPr="00351B7D">
        <w:rPr>
          <w:rStyle w:val="a7"/>
          <w:rFonts w:asciiTheme="minorBidi" w:hAnsiTheme="minorBidi"/>
          <w:color w:val="000000"/>
          <w:sz w:val="18"/>
          <w:szCs w:val="18"/>
          <w:rtl/>
        </w:rPr>
        <w:footnoteReference w:id="324"/>
      </w:r>
      <w:r w:rsidRPr="00351B7D">
        <w:rPr>
          <w:rFonts w:asciiTheme="minorBidi" w:hAnsiTheme="minorBidi"/>
          <w:color w:val="000000"/>
          <w:sz w:val="18"/>
          <w:szCs w:val="18"/>
          <w:rtl/>
        </w:rPr>
        <w:t xml:space="preserve"> (דעת רש"י), וי"א דאפי' בלא חזרה אינה מקודשת (הר"ן) עד שיאמר לה אח"כ: התקדשי בזה ושתקה</w:t>
      </w:r>
      <w:r w:rsidRPr="00351B7D">
        <w:rPr>
          <w:rStyle w:val="a7"/>
          <w:rFonts w:asciiTheme="minorBidi" w:hAnsiTheme="minorBidi"/>
          <w:color w:val="000000"/>
          <w:sz w:val="18"/>
          <w:szCs w:val="18"/>
          <w:rtl/>
        </w:rPr>
        <w:footnoteReference w:id="325"/>
      </w:r>
      <w:r w:rsidRPr="00351B7D">
        <w:rPr>
          <w:rFonts w:asciiTheme="minorBidi" w:hAnsiTheme="minorBidi"/>
          <w:color w:val="000000"/>
          <w:sz w:val="18"/>
          <w:szCs w:val="18"/>
          <w:rtl/>
        </w:rPr>
        <w:t>)</w:t>
      </w:r>
      <w:r w:rsidRPr="00351B7D">
        <w:rPr>
          <w:rFonts w:asciiTheme="minorBidi" w:hAnsiTheme="minorBidi"/>
          <w:rtl/>
        </w:rPr>
        <w:t xml:space="preserve"> ואם יכולה להוציאו על ידי הדחק הרי זו מקודשת</w:t>
      </w:r>
      <w:r w:rsidRPr="00351B7D">
        <w:rPr>
          <w:rStyle w:val="a7"/>
          <w:rFonts w:asciiTheme="minorBidi" w:hAnsiTheme="minorBidi"/>
          <w:color w:val="000000"/>
          <w:rtl/>
        </w:rPr>
        <w:footnoteReference w:id="326"/>
      </w:r>
      <w:r w:rsidRPr="00351B7D">
        <w:rPr>
          <w:rFonts w:asciiTheme="minorBidi" w:hAnsiTheme="minorBidi"/>
          <w:color w:val="000000"/>
          <w:rtl/>
        </w:rPr>
        <w:t xml:space="preserve">. </w:t>
      </w:r>
    </w:p>
    <w:p w14:paraId="716A7820" w14:textId="77777777" w:rsidR="008E16D0" w:rsidRPr="00351B7D" w:rsidRDefault="008E16D0" w:rsidP="008E16D0">
      <w:pPr>
        <w:rPr>
          <w:rFonts w:asciiTheme="minorBidi" w:hAnsiTheme="minorBidi"/>
          <w:color w:val="000000"/>
          <w:rtl/>
        </w:rPr>
      </w:pPr>
    </w:p>
    <w:p w14:paraId="1C8F6A46" w14:textId="77777777" w:rsidR="008E16D0" w:rsidRPr="00351B7D" w:rsidRDefault="008E16D0" w:rsidP="008E16D0">
      <w:pPr>
        <w:pStyle w:val="2"/>
        <w:rPr>
          <w:rFonts w:asciiTheme="minorBidi" w:hAnsiTheme="minorBidi"/>
          <w:rtl/>
        </w:rPr>
      </w:pPr>
      <w:r w:rsidRPr="00351B7D">
        <w:rPr>
          <w:rFonts w:asciiTheme="minorBidi" w:hAnsiTheme="minorBidi"/>
          <w:rtl/>
        </w:rPr>
        <w:t>סעיף ח: האיש רוצה לקדש במנה והאשה רוצה מאתים.</w:t>
      </w:r>
    </w:p>
    <w:p w14:paraId="44ECC2A4" w14:textId="77777777" w:rsidR="008E16D0" w:rsidRPr="00351B7D" w:rsidRDefault="008E16D0" w:rsidP="008E16D0">
      <w:pPr>
        <w:rPr>
          <w:rFonts w:asciiTheme="minorBidi" w:hAnsiTheme="minorBidi"/>
          <w:rtl/>
        </w:rPr>
      </w:pPr>
      <w:r w:rsidRPr="00351B7D">
        <w:rPr>
          <w:rFonts w:asciiTheme="minorBidi" w:hAnsiTheme="minorBidi"/>
          <w:b/>
          <w:bCs/>
          <w:rtl/>
        </w:rPr>
        <w:t xml:space="preserve">תוספתא </w:t>
      </w:r>
      <w:r w:rsidRPr="00351B7D">
        <w:rPr>
          <w:rFonts w:asciiTheme="minorBidi" w:hAnsiTheme="minorBidi"/>
          <w:b/>
          <w:bCs/>
          <w:sz w:val="16"/>
          <w:szCs w:val="16"/>
          <w:rtl/>
        </w:rPr>
        <w:t>(ליברמן)</w:t>
      </w:r>
      <w:r w:rsidRPr="00351B7D">
        <w:rPr>
          <w:rFonts w:asciiTheme="minorBidi" w:hAnsiTheme="minorBidi"/>
          <w:b/>
          <w:bCs/>
          <w:rtl/>
        </w:rPr>
        <w:t xml:space="preserve"> קדושין פ"ב ה"ט: </w:t>
      </w:r>
      <w:r w:rsidRPr="00351B7D">
        <w:rPr>
          <w:rFonts w:asciiTheme="minorBidi" w:hAnsiTheme="minorBidi"/>
          <w:rtl/>
        </w:rPr>
        <w:t xml:space="preserve">היה מונה... זה או' במנה וזה או' במאתים, והלך זה לביתו וזה לביתו, ואחר כך תבעו זה את זה וקידשו, אם האיש תבע את האשה ייעשו דברי אשה ואם האשה תובעת את האיש ייעשו דברי האיש. </w:t>
      </w:r>
      <w:r w:rsidRPr="00351B7D">
        <w:rPr>
          <w:rFonts w:asciiTheme="minorBidi" w:hAnsiTheme="minorBidi"/>
          <w:color w:val="000000"/>
          <w:sz w:val="16"/>
          <w:szCs w:val="16"/>
          <w:rtl/>
        </w:rPr>
        <w:t>(כתבוה הרי"ף</w:t>
      </w:r>
      <w:r w:rsidRPr="00351B7D">
        <w:rPr>
          <w:rFonts w:asciiTheme="minorBidi" w:hAnsiTheme="minorBidi"/>
          <w:color w:val="000000"/>
          <w:sz w:val="14"/>
          <w:szCs w:val="14"/>
          <w:rtl/>
        </w:rPr>
        <w:t xml:space="preserve"> (ד.)</w:t>
      </w:r>
      <w:r w:rsidRPr="00351B7D">
        <w:rPr>
          <w:rFonts w:asciiTheme="minorBidi" w:hAnsiTheme="minorBidi"/>
          <w:color w:val="000000"/>
          <w:sz w:val="16"/>
          <w:szCs w:val="16"/>
          <w:rtl/>
        </w:rPr>
        <w:t xml:space="preserve"> והרא"ש </w:t>
      </w:r>
      <w:r w:rsidRPr="00351B7D">
        <w:rPr>
          <w:rFonts w:asciiTheme="minorBidi" w:hAnsiTheme="minorBidi"/>
          <w:color w:val="000000"/>
          <w:sz w:val="14"/>
          <w:szCs w:val="14"/>
          <w:rtl/>
        </w:rPr>
        <w:t>(בפ"ק דקידושין סי' ט)</w:t>
      </w:r>
      <w:r w:rsidRPr="00351B7D">
        <w:rPr>
          <w:rFonts w:asciiTheme="minorBidi" w:hAnsiTheme="minorBidi"/>
          <w:color w:val="000000"/>
          <w:sz w:val="16"/>
          <w:szCs w:val="16"/>
          <w:rtl/>
        </w:rPr>
        <w:t xml:space="preserve">, וכ"כ הרמב"ם בפ"ז </w:t>
      </w:r>
      <w:r w:rsidRPr="00351B7D">
        <w:rPr>
          <w:rFonts w:asciiTheme="minorBidi" w:hAnsiTheme="minorBidi"/>
          <w:color w:val="000000"/>
          <w:sz w:val="14"/>
          <w:szCs w:val="14"/>
          <w:rtl/>
        </w:rPr>
        <w:t>(הי"ט)</w:t>
      </w:r>
      <w:r w:rsidRPr="00351B7D">
        <w:rPr>
          <w:rFonts w:asciiTheme="minorBidi" w:hAnsiTheme="minorBidi"/>
          <w:color w:val="000000"/>
          <w:sz w:val="16"/>
          <w:szCs w:val="16"/>
          <w:rtl/>
        </w:rPr>
        <w:t xml:space="preserve">. ופירש הר"ן </w:t>
      </w:r>
      <w:r w:rsidRPr="00351B7D">
        <w:rPr>
          <w:rFonts w:asciiTheme="minorBidi" w:hAnsiTheme="minorBidi"/>
          <w:color w:val="000000"/>
          <w:sz w:val="14"/>
          <w:szCs w:val="14"/>
          <w:rtl/>
        </w:rPr>
        <w:t xml:space="preserve">(ד. ד"ה תוספתא) </w:t>
      </w:r>
      <w:r w:rsidRPr="00351B7D">
        <w:rPr>
          <w:rFonts w:asciiTheme="minorBidi" w:hAnsiTheme="minorBidi"/>
          <w:color w:val="000000"/>
          <w:sz w:val="16"/>
          <w:szCs w:val="16"/>
          <w:rtl/>
        </w:rPr>
        <w:t>זה אומר לאשה התקדשי לי בדינר זה על מנת שאשלים לך מנה והיא אומרת על מנת שתשלים לי מאתים והלך זה לביתו וזה לביתו ולא הסכימו ביניהם ואחר כך תבעו זה את זה וקידשו ונתן לה הדינר אם האיש תבע את האשה יעשו דברי האשה וישלים לה מאתים ואם האשה תבעה את האיש יעשו דברי האיש ולא ישלים אלא מנה)</w:t>
      </w:r>
    </w:p>
    <w:p w14:paraId="49F3E4C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9D2A12" w14:textId="77777777" w:rsidR="008E16D0" w:rsidRPr="00351B7D" w:rsidRDefault="008E16D0" w:rsidP="008E16D0">
      <w:pPr>
        <w:rPr>
          <w:rFonts w:asciiTheme="minorBidi" w:hAnsiTheme="minorBidi"/>
          <w:color w:val="000000"/>
          <w:rtl/>
        </w:rPr>
      </w:pPr>
      <w:r w:rsidRPr="00351B7D">
        <w:rPr>
          <w:rFonts w:asciiTheme="minorBidi" w:hAnsiTheme="minorBidi"/>
          <w:rtl/>
        </w:rPr>
        <w:t>האומר לאשה התקדשי לי בדינר זה על מנת שאשלים ליך מנה, והיא אומרת על מנת שתשלים לי מאתים, והלך זה לביתו וזה לביתו ולא הסכימו ביניהם, ואחר כך תבעו זה את זה וקידשו ונתן לה הדינר, אם האיש תבע את האשה יעשו דברי האשה וישלים לה מאתים</w:t>
      </w:r>
      <w:r w:rsidRPr="00351B7D">
        <w:rPr>
          <w:rStyle w:val="a7"/>
          <w:rFonts w:asciiTheme="minorBidi" w:hAnsiTheme="minorBidi"/>
          <w:color w:val="000000"/>
          <w:rtl/>
        </w:rPr>
        <w:footnoteReference w:id="327"/>
      </w:r>
      <w:r w:rsidRPr="00351B7D">
        <w:rPr>
          <w:rFonts w:asciiTheme="minorBidi" w:hAnsiTheme="minorBidi"/>
          <w:rtl/>
        </w:rPr>
        <w:t xml:space="preserve"> ואם האשה תבעה את האיש יעשו דברי האיש ולא ישלים אלא מנה</w:t>
      </w:r>
      <w:r w:rsidRPr="00351B7D">
        <w:rPr>
          <w:rStyle w:val="a7"/>
          <w:rFonts w:asciiTheme="minorBidi" w:hAnsiTheme="minorBidi"/>
          <w:color w:val="000000"/>
          <w:rtl/>
        </w:rPr>
        <w:footnoteReference w:id="328"/>
      </w:r>
      <w:r w:rsidRPr="00351B7D">
        <w:rPr>
          <w:rFonts w:asciiTheme="minorBidi" w:hAnsiTheme="minorBidi"/>
          <w:color w:val="000000"/>
          <w:rtl/>
        </w:rPr>
        <w:t xml:space="preserve">. </w:t>
      </w:r>
    </w:p>
    <w:p w14:paraId="2463C4B7" w14:textId="77777777" w:rsidR="008E16D0" w:rsidRPr="00351B7D" w:rsidRDefault="008E16D0" w:rsidP="008E16D0">
      <w:pPr>
        <w:rPr>
          <w:rFonts w:asciiTheme="minorBidi" w:hAnsiTheme="minorBidi"/>
          <w:color w:val="000000"/>
          <w:rtl/>
        </w:rPr>
      </w:pPr>
    </w:p>
    <w:p w14:paraId="227E6198" w14:textId="77777777" w:rsidR="008E16D0" w:rsidRPr="00351B7D" w:rsidRDefault="008E16D0" w:rsidP="008E16D0">
      <w:pPr>
        <w:pStyle w:val="2"/>
        <w:rPr>
          <w:rFonts w:asciiTheme="minorBidi" w:hAnsiTheme="minorBidi"/>
          <w:rtl/>
        </w:rPr>
      </w:pPr>
      <w:r w:rsidRPr="00351B7D">
        <w:rPr>
          <w:rFonts w:asciiTheme="minorBidi" w:hAnsiTheme="minorBidi"/>
          <w:rtl/>
        </w:rPr>
        <w:t>סעיף ט: אמר לה התקדשי לי בכוס זה והכוס מלא משקה.</w:t>
      </w:r>
    </w:p>
    <w:p w14:paraId="6572D823"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מח ע"ב: </w:t>
      </w:r>
      <w:r w:rsidRPr="00351B7D">
        <w:rPr>
          <w:rFonts w:asciiTheme="minorBidi" w:hAnsiTheme="minorBidi"/>
          <w:rtl/>
        </w:rPr>
        <w:t>ת"ר: התקדשי לי בכוס זה, תני חדא: בו ובמה שבתוכו, ותניא אידך: בו ולא במה שבתוכו, ותניא אידך: במה שבתוכו ולא בו. ולא קשיא: הא במיא, הא בחמרא, הא בציהרא.</w:t>
      </w:r>
    </w:p>
    <w:tbl>
      <w:tblPr>
        <w:tblStyle w:val="af3"/>
        <w:bidiVisual/>
        <w:tblW w:w="0" w:type="auto"/>
        <w:tblLook w:val="04A0" w:firstRow="1" w:lastRow="0" w:firstColumn="1" w:lastColumn="0" w:noHBand="0" w:noVBand="1"/>
      </w:tblPr>
      <w:tblGrid>
        <w:gridCol w:w="1365"/>
        <w:gridCol w:w="2765"/>
        <w:gridCol w:w="3176"/>
        <w:gridCol w:w="2322"/>
      </w:tblGrid>
      <w:tr w:rsidR="008E16D0" w:rsidRPr="00351B7D" w14:paraId="0CDC5F95" w14:textId="77777777" w:rsidTr="002E5BAD">
        <w:tc>
          <w:tcPr>
            <w:tcW w:w="1382" w:type="dxa"/>
          </w:tcPr>
          <w:p w14:paraId="01DAA158" w14:textId="77777777" w:rsidR="008E16D0" w:rsidRPr="00351B7D" w:rsidRDefault="008E16D0" w:rsidP="002E5BAD">
            <w:pPr>
              <w:spacing w:line="276" w:lineRule="auto"/>
              <w:rPr>
                <w:rFonts w:asciiTheme="minorBidi" w:hAnsiTheme="minorBidi"/>
                <w:b/>
                <w:bCs/>
                <w:rtl/>
              </w:rPr>
            </w:pPr>
          </w:p>
        </w:tc>
        <w:tc>
          <w:tcPr>
            <w:tcW w:w="2835" w:type="dxa"/>
          </w:tcPr>
          <w:p w14:paraId="3B6C4C4A" w14:textId="77777777" w:rsidR="008E16D0" w:rsidRPr="00351B7D" w:rsidRDefault="008E16D0" w:rsidP="002E5BAD">
            <w:pPr>
              <w:spacing w:line="276" w:lineRule="auto"/>
              <w:jc w:val="center"/>
              <w:rPr>
                <w:rFonts w:asciiTheme="minorBidi" w:hAnsiTheme="minorBidi"/>
                <w:b/>
                <w:bCs/>
                <w:rtl/>
              </w:rPr>
            </w:pPr>
            <w:r w:rsidRPr="00351B7D">
              <w:rPr>
                <w:rFonts w:asciiTheme="minorBidi" w:hAnsiTheme="minorBidi"/>
                <w:b/>
                <w:bCs/>
                <w:rtl/>
              </w:rPr>
              <w:t>בו ובמה שבתוכו</w:t>
            </w:r>
          </w:p>
        </w:tc>
        <w:tc>
          <w:tcPr>
            <w:tcW w:w="3261" w:type="dxa"/>
          </w:tcPr>
          <w:p w14:paraId="44B789E0" w14:textId="77777777" w:rsidR="008E16D0" w:rsidRPr="00351B7D" w:rsidRDefault="008E16D0" w:rsidP="002E5BAD">
            <w:pPr>
              <w:spacing w:line="276" w:lineRule="auto"/>
              <w:jc w:val="center"/>
              <w:rPr>
                <w:rFonts w:asciiTheme="minorBidi" w:hAnsiTheme="minorBidi"/>
                <w:b/>
                <w:bCs/>
                <w:rtl/>
              </w:rPr>
            </w:pPr>
            <w:r w:rsidRPr="00351B7D">
              <w:rPr>
                <w:rFonts w:asciiTheme="minorBidi" w:hAnsiTheme="minorBidi"/>
                <w:b/>
                <w:bCs/>
                <w:rtl/>
              </w:rPr>
              <w:t>בו ולא במה שבתוכו</w:t>
            </w:r>
          </w:p>
        </w:tc>
        <w:tc>
          <w:tcPr>
            <w:tcW w:w="2376" w:type="dxa"/>
          </w:tcPr>
          <w:p w14:paraId="503142CC" w14:textId="77777777" w:rsidR="008E16D0" w:rsidRPr="00351B7D" w:rsidRDefault="008E16D0" w:rsidP="002E5BAD">
            <w:pPr>
              <w:spacing w:line="276" w:lineRule="auto"/>
              <w:jc w:val="center"/>
              <w:rPr>
                <w:rFonts w:asciiTheme="minorBidi" w:hAnsiTheme="minorBidi"/>
                <w:b/>
                <w:bCs/>
                <w:rtl/>
              </w:rPr>
            </w:pPr>
            <w:r w:rsidRPr="00351B7D">
              <w:rPr>
                <w:rFonts w:asciiTheme="minorBidi" w:hAnsiTheme="minorBidi"/>
                <w:b/>
                <w:bCs/>
                <w:rtl/>
              </w:rPr>
              <w:t>במה שבתוכו ולא בו</w:t>
            </w:r>
            <w:r w:rsidRPr="00351B7D">
              <w:rPr>
                <w:rStyle w:val="a7"/>
                <w:rFonts w:asciiTheme="minorBidi" w:hAnsiTheme="minorBidi"/>
                <w:b/>
                <w:bCs/>
                <w:rtl/>
              </w:rPr>
              <w:footnoteReference w:id="329"/>
            </w:r>
          </w:p>
        </w:tc>
      </w:tr>
      <w:tr w:rsidR="008E16D0" w:rsidRPr="00351B7D" w14:paraId="3D899FD9" w14:textId="77777777" w:rsidTr="002E5BAD">
        <w:tc>
          <w:tcPr>
            <w:tcW w:w="1382" w:type="dxa"/>
          </w:tcPr>
          <w:p w14:paraId="7D4B97F0" w14:textId="77777777" w:rsidR="008E16D0" w:rsidRPr="00351B7D" w:rsidRDefault="008E16D0" w:rsidP="002E5BAD">
            <w:pPr>
              <w:rPr>
                <w:rFonts w:asciiTheme="minorBidi" w:hAnsiTheme="minorBidi"/>
                <w:b/>
                <w:bCs/>
                <w:sz w:val="16"/>
                <w:szCs w:val="16"/>
                <w:rtl/>
              </w:rPr>
            </w:pPr>
            <w:r w:rsidRPr="00351B7D">
              <w:rPr>
                <w:rFonts w:asciiTheme="minorBidi" w:hAnsiTheme="minorBidi"/>
                <w:b/>
                <w:bCs/>
                <w:rtl/>
              </w:rPr>
              <w:t>ר"ת ורמב"ם</w:t>
            </w:r>
          </w:p>
          <w:p w14:paraId="5810D6F6" w14:textId="77777777" w:rsidR="008E16D0" w:rsidRPr="00351B7D" w:rsidRDefault="008E16D0" w:rsidP="002E5BAD">
            <w:pPr>
              <w:rPr>
                <w:rFonts w:asciiTheme="minorBidi" w:hAnsiTheme="minorBidi"/>
                <w:b/>
                <w:bCs/>
                <w:color w:val="E36C0A" w:themeColor="accent6" w:themeShade="BF"/>
                <w:sz w:val="16"/>
                <w:szCs w:val="16"/>
                <w:rtl/>
              </w:rPr>
            </w:pPr>
            <w:r w:rsidRPr="00351B7D">
              <w:rPr>
                <w:rFonts w:asciiTheme="minorBidi" w:hAnsiTheme="minorBidi"/>
                <w:b/>
                <w:bCs/>
                <w:color w:val="E36C0A" w:themeColor="accent6" w:themeShade="BF"/>
                <w:sz w:val="16"/>
                <w:szCs w:val="16"/>
                <w:rtl/>
              </w:rPr>
              <w:t>(וכן סתם בשו"ע)</w:t>
            </w:r>
          </w:p>
        </w:tc>
        <w:tc>
          <w:tcPr>
            <w:tcW w:w="2835" w:type="dxa"/>
          </w:tcPr>
          <w:p w14:paraId="1913701D" w14:textId="77777777" w:rsidR="008E16D0" w:rsidRPr="00351B7D" w:rsidRDefault="008E16D0" w:rsidP="002E5BAD">
            <w:pPr>
              <w:rPr>
                <w:rFonts w:asciiTheme="minorBidi" w:hAnsiTheme="minorBidi"/>
                <w:rtl/>
              </w:rPr>
            </w:pPr>
            <w:r w:rsidRPr="00351B7D">
              <w:rPr>
                <w:rFonts w:asciiTheme="minorBidi" w:hAnsiTheme="minorBidi"/>
                <w:rtl/>
              </w:rPr>
              <w:t xml:space="preserve">במיא </w:t>
            </w:r>
            <w:r w:rsidRPr="00351B7D">
              <w:rPr>
                <w:rFonts w:asciiTheme="minorBidi" w:hAnsiTheme="minorBidi"/>
                <w:sz w:val="16"/>
                <w:szCs w:val="16"/>
                <w:rtl/>
              </w:rPr>
              <w:t>(שהמים בטלים לגבי הכוס)</w:t>
            </w:r>
          </w:p>
        </w:tc>
        <w:tc>
          <w:tcPr>
            <w:tcW w:w="3261" w:type="dxa"/>
          </w:tcPr>
          <w:p w14:paraId="19C0CCB9" w14:textId="77777777" w:rsidR="008E16D0" w:rsidRPr="00351B7D" w:rsidRDefault="008E16D0" w:rsidP="002E5BAD">
            <w:pPr>
              <w:rPr>
                <w:rFonts w:asciiTheme="minorBidi" w:hAnsiTheme="minorBidi"/>
                <w:rtl/>
              </w:rPr>
            </w:pPr>
            <w:r w:rsidRPr="00351B7D">
              <w:rPr>
                <w:rFonts w:asciiTheme="minorBidi" w:hAnsiTheme="minorBidi"/>
                <w:rtl/>
              </w:rPr>
              <w:t xml:space="preserve">בחמרא </w:t>
            </w:r>
            <w:r w:rsidRPr="00351B7D">
              <w:rPr>
                <w:rFonts w:asciiTheme="minorBidi" w:hAnsiTheme="minorBidi"/>
                <w:sz w:val="16"/>
                <w:szCs w:val="16"/>
                <w:rtl/>
              </w:rPr>
              <w:t>(שהיין חשוב ואינו בטל לגבי הכוס, ומ"מ אינו חשוב כ"כ שנאמר שדעתה תהא על היין)</w:t>
            </w:r>
          </w:p>
        </w:tc>
        <w:tc>
          <w:tcPr>
            <w:tcW w:w="2376" w:type="dxa"/>
          </w:tcPr>
          <w:p w14:paraId="147A93ED" w14:textId="77777777" w:rsidR="008E16D0" w:rsidRPr="00351B7D" w:rsidRDefault="008E16D0" w:rsidP="002E5BAD">
            <w:pPr>
              <w:rPr>
                <w:rFonts w:asciiTheme="minorBidi" w:hAnsiTheme="minorBidi"/>
                <w:rtl/>
              </w:rPr>
            </w:pPr>
            <w:r w:rsidRPr="00351B7D">
              <w:rPr>
                <w:rFonts w:asciiTheme="minorBidi" w:hAnsiTheme="minorBidi"/>
                <w:rtl/>
              </w:rPr>
              <w:t xml:space="preserve">בציהרא </w:t>
            </w:r>
            <w:r w:rsidRPr="00351B7D">
              <w:rPr>
                <w:rFonts w:asciiTheme="minorBidi" w:hAnsiTheme="minorBidi"/>
                <w:sz w:val="16"/>
                <w:szCs w:val="16"/>
                <w:rtl/>
              </w:rPr>
              <w:t>(דחשוב יותר מן הכוס, והכוס אינו בטל לגבי יצהר)</w:t>
            </w:r>
          </w:p>
        </w:tc>
      </w:tr>
      <w:tr w:rsidR="008E16D0" w:rsidRPr="00351B7D" w14:paraId="4FEC2881" w14:textId="77777777" w:rsidTr="002E5BAD">
        <w:tc>
          <w:tcPr>
            <w:tcW w:w="1382" w:type="dxa"/>
          </w:tcPr>
          <w:p w14:paraId="63C61CE0" w14:textId="77777777" w:rsidR="008E16D0" w:rsidRPr="00351B7D" w:rsidRDefault="008E16D0" w:rsidP="002E5BAD">
            <w:pPr>
              <w:rPr>
                <w:rFonts w:asciiTheme="minorBidi" w:hAnsiTheme="minorBidi"/>
                <w:b/>
                <w:bCs/>
                <w:rtl/>
              </w:rPr>
            </w:pPr>
            <w:r w:rsidRPr="00351B7D">
              <w:rPr>
                <w:rFonts w:asciiTheme="minorBidi" w:hAnsiTheme="minorBidi"/>
                <w:b/>
                <w:bCs/>
                <w:rtl/>
              </w:rPr>
              <w:t>ר"ח ורש"י</w:t>
            </w:r>
          </w:p>
        </w:tc>
        <w:tc>
          <w:tcPr>
            <w:tcW w:w="2835" w:type="dxa"/>
          </w:tcPr>
          <w:p w14:paraId="424E9D6F" w14:textId="77777777" w:rsidR="008E16D0" w:rsidRPr="00351B7D" w:rsidRDefault="008E16D0" w:rsidP="002E5BAD">
            <w:pPr>
              <w:rPr>
                <w:rFonts w:asciiTheme="minorBidi" w:hAnsiTheme="minorBidi"/>
                <w:rtl/>
              </w:rPr>
            </w:pPr>
            <w:r w:rsidRPr="00351B7D">
              <w:rPr>
                <w:rFonts w:asciiTheme="minorBidi" w:hAnsiTheme="minorBidi"/>
                <w:rtl/>
              </w:rPr>
              <w:t xml:space="preserve">בציהרא </w:t>
            </w:r>
            <w:r w:rsidRPr="00351B7D">
              <w:rPr>
                <w:rFonts w:asciiTheme="minorBidi" w:hAnsiTheme="minorBidi"/>
                <w:sz w:val="16"/>
                <w:szCs w:val="16"/>
                <w:rtl/>
              </w:rPr>
              <w:t>(ציר דגים</w:t>
            </w:r>
            <w:r w:rsidRPr="00351B7D">
              <w:rPr>
                <w:rFonts w:asciiTheme="minorBidi" w:hAnsiTheme="minorBidi"/>
                <w:sz w:val="14"/>
                <w:szCs w:val="14"/>
                <w:rtl/>
              </w:rPr>
              <w:t xml:space="preserve"> (וי"א שמן)</w:t>
            </w:r>
            <w:r w:rsidRPr="00351B7D">
              <w:rPr>
                <w:rFonts w:asciiTheme="minorBidi" w:hAnsiTheme="minorBidi"/>
                <w:sz w:val="16"/>
                <w:szCs w:val="16"/>
                <w:rtl/>
              </w:rPr>
              <w:t xml:space="preserve"> שעשוי לימים רבים לטבול בו והכוס צריך לשומרו)</w:t>
            </w:r>
          </w:p>
        </w:tc>
        <w:tc>
          <w:tcPr>
            <w:tcW w:w="3261" w:type="dxa"/>
          </w:tcPr>
          <w:p w14:paraId="5CFA7FEB" w14:textId="77777777" w:rsidR="008E16D0" w:rsidRPr="00351B7D" w:rsidRDefault="008E16D0" w:rsidP="002E5BAD">
            <w:pPr>
              <w:rPr>
                <w:rFonts w:asciiTheme="minorBidi" w:hAnsiTheme="minorBidi"/>
                <w:rtl/>
              </w:rPr>
            </w:pPr>
            <w:r w:rsidRPr="00351B7D">
              <w:rPr>
                <w:rFonts w:asciiTheme="minorBidi" w:hAnsiTheme="minorBidi"/>
                <w:rtl/>
              </w:rPr>
              <w:t xml:space="preserve">במיא </w:t>
            </w:r>
            <w:r w:rsidRPr="00351B7D">
              <w:rPr>
                <w:rFonts w:asciiTheme="minorBidi" w:hAnsiTheme="minorBidi"/>
                <w:sz w:val="16"/>
                <w:szCs w:val="16"/>
                <w:rtl/>
              </w:rPr>
              <w:t>(דלא חשיבא ולא היה דעתה אלא בכלי)</w:t>
            </w:r>
          </w:p>
        </w:tc>
        <w:tc>
          <w:tcPr>
            <w:tcW w:w="2376" w:type="dxa"/>
          </w:tcPr>
          <w:p w14:paraId="110A36FC" w14:textId="77777777" w:rsidR="008E16D0" w:rsidRPr="00351B7D" w:rsidRDefault="008E16D0" w:rsidP="002E5BAD">
            <w:pPr>
              <w:rPr>
                <w:rFonts w:asciiTheme="minorBidi" w:hAnsiTheme="minorBidi"/>
                <w:rtl/>
              </w:rPr>
            </w:pPr>
            <w:r w:rsidRPr="00351B7D">
              <w:rPr>
                <w:rFonts w:asciiTheme="minorBidi" w:hAnsiTheme="minorBidi"/>
                <w:rtl/>
              </w:rPr>
              <w:t xml:space="preserve">בחמרא </w:t>
            </w:r>
            <w:r w:rsidRPr="00351B7D">
              <w:rPr>
                <w:rFonts w:asciiTheme="minorBidi" w:hAnsiTheme="minorBidi"/>
                <w:sz w:val="16"/>
                <w:szCs w:val="16"/>
                <w:rtl/>
              </w:rPr>
              <w:t>(דעבידי למשתייה ומהדר כוס למאריה)</w:t>
            </w:r>
          </w:p>
        </w:tc>
      </w:tr>
    </w:tbl>
    <w:p w14:paraId="31DAB73A" w14:textId="77777777" w:rsidR="008E16D0" w:rsidRPr="00351B7D" w:rsidRDefault="008E16D0" w:rsidP="008E16D0">
      <w:pPr>
        <w:rPr>
          <w:rFonts w:asciiTheme="minorBidi" w:hAnsiTheme="minorBidi"/>
          <w:rtl/>
        </w:rPr>
      </w:pPr>
    </w:p>
    <w:p w14:paraId="2EB40829"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A9C970" w14:textId="77777777" w:rsidR="008E16D0" w:rsidRPr="00351B7D" w:rsidRDefault="008E16D0" w:rsidP="008E16D0">
      <w:pPr>
        <w:rPr>
          <w:rFonts w:asciiTheme="minorBidi" w:hAnsiTheme="minorBidi"/>
          <w:rtl/>
        </w:rPr>
      </w:pPr>
      <w:r w:rsidRPr="00351B7D">
        <w:rPr>
          <w:rFonts w:asciiTheme="minorBidi" w:hAnsiTheme="minorBidi"/>
          <w:rtl/>
        </w:rPr>
        <w:t>האומר לאשה התקדשי לי בכוס זה, אם היה מלא מים הרי זו מקודשת בו ובמה שבתוכו דמצטרפי לשוה פרוטה, ואם היה מלא יין הרי זו מקודשת בו ולא במה שבתוכו</w:t>
      </w:r>
      <w:r w:rsidRPr="00351B7D">
        <w:rPr>
          <w:rStyle w:val="a7"/>
          <w:rFonts w:asciiTheme="minorBidi" w:hAnsiTheme="minorBidi"/>
          <w:color w:val="000000"/>
          <w:rtl/>
        </w:rPr>
        <w:footnoteReference w:id="330"/>
      </w:r>
      <w:r w:rsidRPr="00351B7D">
        <w:rPr>
          <w:rFonts w:asciiTheme="minorBidi" w:hAnsiTheme="minorBidi"/>
          <w:rtl/>
        </w:rPr>
        <w:t>, ואם היה מלא שמן הרי זו מקודשת במה שבתוכו ולא בו, לפיכך אם לא היה בשמן שוה פרוטה הרי זו מקודשת בספק</w:t>
      </w:r>
      <w:r w:rsidRPr="00351B7D">
        <w:rPr>
          <w:rStyle w:val="a7"/>
          <w:rFonts w:asciiTheme="minorBidi" w:hAnsiTheme="minorBidi"/>
          <w:color w:val="000000"/>
          <w:rtl/>
        </w:rPr>
        <w:footnoteReference w:id="331"/>
      </w:r>
      <w:r w:rsidRPr="00351B7D">
        <w:rPr>
          <w:rFonts w:asciiTheme="minorBidi" w:hAnsiTheme="minorBidi"/>
          <w:rtl/>
        </w:rPr>
        <w:t xml:space="preserve">, ואם היה בשמן שוה פרוטה הרי זו מקודשת ודאי. ויש חולקים ואומרים במים בו ולא במה שבתוכו, וביין במה שבתוכו ולא בו, ובשמן או בציר דגים בו ובמה שבתוכו. </w:t>
      </w:r>
    </w:p>
    <w:p w14:paraId="4BA19E89"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כמה פרטי דינים:</w:t>
      </w:r>
      <w:r w:rsidRPr="00351B7D">
        <w:rPr>
          <w:rFonts w:asciiTheme="minorBidi" w:hAnsiTheme="minorBidi"/>
          <w:color w:val="000000"/>
          <w:sz w:val="16"/>
          <w:szCs w:val="16"/>
          <w:rtl/>
        </w:rPr>
        <w:t xml:space="preserve">  (באה"ט סקט"ו)</w:t>
      </w:r>
    </w:p>
    <w:p w14:paraId="124BC73D" w14:textId="77777777" w:rsidR="008E16D0" w:rsidRPr="00351B7D" w:rsidRDefault="008E16D0" w:rsidP="00A8697F">
      <w:pPr>
        <w:pStyle w:val="ab"/>
        <w:numPr>
          <w:ilvl w:val="0"/>
          <w:numId w:val="37"/>
        </w:numPr>
        <w:rPr>
          <w:rFonts w:asciiTheme="minorBidi" w:hAnsiTheme="minorBidi"/>
        </w:rPr>
      </w:pPr>
      <w:r w:rsidRPr="00351B7D">
        <w:rPr>
          <w:rFonts w:asciiTheme="minorBidi" w:hAnsiTheme="minorBidi"/>
          <w:rtl/>
        </w:rPr>
        <w:t xml:space="preserve">אם לא אמר לה בכוס זה אלא אמר לה התקדשי לי בזה, בכוליה אמר ולא בחלק ממנו, ואם יש חלק ממנו שאינו שלו אינה מקודשת, שו"ת בני שמואל </w:t>
      </w:r>
      <w:r w:rsidRPr="00351B7D">
        <w:rPr>
          <w:rFonts w:asciiTheme="minorBidi" w:hAnsiTheme="minorBidi"/>
          <w:sz w:val="16"/>
          <w:szCs w:val="16"/>
          <w:rtl/>
        </w:rPr>
        <w:t>(סי' נו)</w:t>
      </w:r>
      <w:r w:rsidRPr="00351B7D">
        <w:rPr>
          <w:rFonts w:asciiTheme="minorBidi" w:hAnsiTheme="minorBidi"/>
          <w:rtl/>
        </w:rPr>
        <w:t>.</w:t>
      </w:r>
    </w:p>
    <w:p w14:paraId="00271DFF" w14:textId="77777777" w:rsidR="008E16D0" w:rsidRPr="00351B7D" w:rsidRDefault="008E16D0" w:rsidP="00A8697F">
      <w:pPr>
        <w:pStyle w:val="ab"/>
        <w:numPr>
          <w:ilvl w:val="0"/>
          <w:numId w:val="37"/>
        </w:numPr>
        <w:rPr>
          <w:rFonts w:asciiTheme="minorBidi" w:hAnsiTheme="minorBidi"/>
        </w:rPr>
      </w:pPr>
      <w:r w:rsidRPr="00351B7D">
        <w:rPr>
          <w:rFonts w:asciiTheme="minorBidi" w:hAnsiTheme="minorBidi"/>
          <w:rtl/>
        </w:rPr>
        <w:lastRenderedPageBreak/>
        <w:t xml:space="preserve">הא דמחלקינן בין כוס זה סתם ובין כוס של יין היינו שלא היו אוכלין ושותין, אבל אם היו אוכלין ושותין לא זכתה אלא ביין אפילו אם אמר לה בכוס זה סתם, רשד"ם </w:t>
      </w:r>
      <w:r w:rsidRPr="00351B7D">
        <w:rPr>
          <w:rFonts w:asciiTheme="minorBidi" w:hAnsiTheme="minorBidi"/>
          <w:sz w:val="16"/>
          <w:szCs w:val="16"/>
          <w:rtl/>
        </w:rPr>
        <w:t xml:space="preserve">(אהע"ז סי' ה) </w:t>
      </w:r>
      <w:r w:rsidRPr="00351B7D">
        <w:rPr>
          <w:rFonts w:asciiTheme="minorBidi" w:hAnsiTheme="minorBidi"/>
          <w:rtl/>
        </w:rPr>
        <w:t xml:space="preserve">ובני שמואל </w:t>
      </w:r>
      <w:r w:rsidRPr="00351B7D">
        <w:rPr>
          <w:rFonts w:asciiTheme="minorBidi" w:hAnsiTheme="minorBidi"/>
          <w:sz w:val="16"/>
          <w:szCs w:val="16"/>
          <w:rtl/>
        </w:rPr>
        <w:t>(סי' נו)</w:t>
      </w:r>
      <w:r w:rsidRPr="00351B7D">
        <w:rPr>
          <w:rFonts w:asciiTheme="minorBidi" w:hAnsiTheme="minorBidi"/>
          <w:rtl/>
        </w:rPr>
        <w:t>.</w:t>
      </w:r>
    </w:p>
    <w:p w14:paraId="77B660E7" w14:textId="77777777" w:rsidR="008E16D0" w:rsidRPr="00351B7D" w:rsidRDefault="008E16D0" w:rsidP="00A8697F">
      <w:pPr>
        <w:pStyle w:val="ab"/>
        <w:numPr>
          <w:ilvl w:val="0"/>
          <w:numId w:val="37"/>
        </w:numPr>
        <w:rPr>
          <w:rFonts w:asciiTheme="minorBidi" w:hAnsiTheme="minorBidi"/>
        </w:rPr>
      </w:pPr>
      <w:r w:rsidRPr="00351B7D">
        <w:rPr>
          <w:rFonts w:asciiTheme="minorBidi" w:hAnsiTheme="minorBidi"/>
          <w:rtl/>
        </w:rPr>
        <w:t>אם היו אוכלין בבית ראובן וקידש את בתו, בהא ודאי ביין קידשה ולא בכוס</w:t>
      </w:r>
      <w:r w:rsidRPr="00351B7D">
        <w:rPr>
          <w:rStyle w:val="a7"/>
          <w:rFonts w:asciiTheme="minorBidi" w:hAnsiTheme="minorBidi"/>
          <w:color w:val="000000"/>
          <w:rtl/>
        </w:rPr>
        <w:footnoteReference w:id="332"/>
      </w:r>
      <w:r w:rsidRPr="00351B7D">
        <w:rPr>
          <w:rFonts w:asciiTheme="minorBidi" w:hAnsiTheme="minorBidi"/>
          <w:rtl/>
        </w:rPr>
        <w:t xml:space="preserve">, משפט צדק </w:t>
      </w:r>
      <w:r w:rsidRPr="00351B7D">
        <w:rPr>
          <w:rFonts w:asciiTheme="minorBidi" w:hAnsiTheme="minorBidi"/>
          <w:sz w:val="16"/>
          <w:szCs w:val="16"/>
          <w:rtl/>
        </w:rPr>
        <w:t>(סי' עד הראשון)</w:t>
      </w:r>
      <w:r w:rsidRPr="00351B7D">
        <w:rPr>
          <w:rFonts w:asciiTheme="minorBidi" w:hAnsiTheme="minorBidi"/>
          <w:rtl/>
        </w:rPr>
        <w:t>.</w:t>
      </w:r>
    </w:p>
    <w:p w14:paraId="2AB070A3" w14:textId="77777777" w:rsidR="008E16D0" w:rsidRPr="00351B7D" w:rsidRDefault="008E16D0" w:rsidP="00A8697F">
      <w:pPr>
        <w:pStyle w:val="ab"/>
        <w:numPr>
          <w:ilvl w:val="0"/>
          <w:numId w:val="37"/>
        </w:numPr>
        <w:rPr>
          <w:rFonts w:asciiTheme="minorBidi" w:hAnsiTheme="minorBidi"/>
          <w:rtl/>
        </w:rPr>
      </w:pPr>
      <w:r w:rsidRPr="00351B7D">
        <w:rPr>
          <w:rFonts w:asciiTheme="minorBidi" w:hAnsiTheme="minorBidi"/>
          <w:rtl/>
        </w:rPr>
        <w:t xml:space="preserve">לקח תרנגולת ושם בתוך כלי או בגד וקידשה, לכו"ע קידשה בו ובמה שבתוכו ואם אחד מהם הוא גזול או שאול הוי ספק קדושין, כנה"ג </w:t>
      </w:r>
      <w:r w:rsidRPr="00351B7D">
        <w:rPr>
          <w:rFonts w:asciiTheme="minorBidi" w:hAnsiTheme="minorBidi"/>
          <w:sz w:val="16"/>
          <w:szCs w:val="16"/>
          <w:rtl/>
        </w:rPr>
        <w:t>(הגה"ט אות יג)</w:t>
      </w:r>
      <w:r w:rsidRPr="00351B7D">
        <w:rPr>
          <w:rFonts w:asciiTheme="minorBidi" w:hAnsiTheme="minorBidi"/>
          <w:rtl/>
        </w:rPr>
        <w:t>.</w:t>
      </w:r>
    </w:p>
    <w:p w14:paraId="4DDDE2AC" w14:textId="77777777" w:rsidR="008E16D0" w:rsidRPr="00351B7D" w:rsidRDefault="008E16D0" w:rsidP="008E16D0">
      <w:pPr>
        <w:rPr>
          <w:rFonts w:asciiTheme="minorBidi" w:hAnsiTheme="minorBidi"/>
          <w:color w:val="000000"/>
          <w:rtl/>
        </w:rPr>
      </w:pPr>
    </w:p>
    <w:p w14:paraId="544DC8EF" w14:textId="77777777" w:rsidR="008E16D0" w:rsidRPr="00351B7D" w:rsidRDefault="008E16D0" w:rsidP="008E16D0">
      <w:pPr>
        <w:pStyle w:val="2"/>
        <w:rPr>
          <w:rFonts w:asciiTheme="minorBidi" w:hAnsiTheme="minorBidi"/>
          <w:rtl/>
        </w:rPr>
      </w:pPr>
      <w:r w:rsidRPr="00351B7D">
        <w:rPr>
          <w:rFonts w:asciiTheme="minorBidi" w:hAnsiTheme="minorBidi"/>
          <w:rtl/>
        </w:rPr>
        <w:t>סעיף י: רצתה האשה את אשר לו, ושאל אותה האם בתמורה תסכים להתקדש לו.</w:t>
      </w:r>
    </w:p>
    <w:p w14:paraId="47225A9B"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ח סוע"ב: </w:t>
      </w:r>
      <w:r w:rsidRPr="00351B7D">
        <w:rPr>
          <w:rFonts w:asciiTheme="minorBidi" w:hAnsiTheme="minorBidi"/>
          <w:rtl/>
        </w:rPr>
        <w:t>ההוא גברא דהוה קא מזבין חומרי פתכייתא</w:t>
      </w:r>
      <w:r w:rsidRPr="00351B7D">
        <w:rPr>
          <w:rStyle w:val="a7"/>
          <w:rFonts w:asciiTheme="minorBidi" w:hAnsiTheme="minorBidi"/>
          <w:rtl/>
        </w:rPr>
        <w:footnoteReference w:id="333"/>
      </w:r>
      <w:r w:rsidRPr="00351B7D">
        <w:rPr>
          <w:rFonts w:asciiTheme="minorBidi" w:hAnsiTheme="minorBidi"/>
          <w:rtl/>
        </w:rPr>
        <w:t>, אתאי ההיא איתתא, אמרה ליה: הב לי חד שוכא</w:t>
      </w:r>
      <w:r w:rsidRPr="00351B7D">
        <w:rPr>
          <w:rStyle w:val="a7"/>
          <w:rFonts w:asciiTheme="minorBidi" w:hAnsiTheme="minorBidi"/>
          <w:rtl/>
        </w:rPr>
        <w:footnoteReference w:id="334"/>
      </w:r>
      <w:r w:rsidRPr="00351B7D">
        <w:rPr>
          <w:rFonts w:asciiTheme="minorBidi" w:hAnsiTheme="minorBidi"/>
          <w:rtl/>
        </w:rPr>
        <w:t xml:space="preserve">, אמר לה: אי יהבינא ליך מיקדשת לי, אמרה ליה הבה מיהבה; </w:t>
      </w:r>
      <w:r w:rsidRPr="00351B7D">
        <w:rPr>
          <w:rFonts w:asciiTheme="minorBidi" w:hAnsiTheme="minorBidi"/>
          <w:u w:val="single"/>
          <w:rtl/>
        </w:rPr>
        <w:t>אמר רב חמא</w:t>
      </w:r>
      <w:r w:rsidRPr="00351B7D">
        <w:rPr>
          <w:rFonts w:asciiTheme="minorBidi" w:hAnsiTheme="minorBidi"/>
          <w:rtl/>
        </w:rPr>
        <w:t xml:space="preserve">: כל הבה מיהבה לאו כלום הוא. ההוא גברא דהוה קא שתי חמרא בחנותא, אתאי ההיא איתתא, אמרה ליה: הב לי חד כסא, אמר לה: אי יהבינא ליך מיקדשת לי? אמרה ליה: אשקויי אשקיין, </w:t>
      </w:r>
      <w:r w:rsidRPr="00351B7D">
        <w:rPr>
          <w:rFonts w:asciiTheme="minorBidi" w:hAnsiTheme="minorBidi"/>
          <w:u w:val="single"/>
          <w:rtl/>
        </w:rPr>
        <w:t>אמר רב חמא</w:t>
      </w:r>
      <w:r w:rsidRPr="00351B7D">
        <w:rPr>
          <w:rFonts w:asciiTheme="minorBidi" w:hAnsiTheme="minorBidi"/>
          <w:rtl/>
        </w:rPr>
        <w:t xml:space="preserve">: כל אשקויי אשקיין לאו כלום הוא. ההוא גברא דהוה קא שדי תמרי מדקלא, אתאי ההיא איתתא, א"ל: שדי לי תרתי, אמר לה: אי שדינא ליך מיקדשת לי? אמרה ליה: שדי מישדא; </w:t>
      </w:r>
      <w:r w:rsidRPr="00351B7D">
        <w:rPr>
          <w:rFonts w:asciiTheme="minorBidi" w:hAnsiTheme="minorBidi"/>
          <w:u w:val="single"/>
          <w:rtl/>
        </w:rPr>
        <w:t>אמר רב זביד</w:t>
      </w:r>
      <w:r w:rsidRPr="00351B7D">
        <w:rPr>
          <w:rFonts w:asciiTheme="minorBidi" w:hAnsiTheme="minorBidi"/>
          <w:rtl/>
        </w:rPr>
        <w:t>: כל שדי מישדא לאו כלום הוא</w:t>
      </w:r>
      <w:r w:rsidRPr="00351B7D">
        <w:rPr>
          <w:rStyle w:val="a7"/>
          <w:rFonts w:asciiTheme="minorBidi" w:hAnsiTheme="minorBidi"/>
          <w:rtl/>
        </w:rPr>
        <w:footnoteReference w:id="335"/>
      </w:r>
      <w:r w:rsidRPr="00351B7D">
        <w:rPr>
          <w:rFonts w:asciiTheme="minorBidi" w:hAnsiTheme="minorBidi"/>
          <w:rtl/>
        </w:rPr>
        <w:t>. איבעיא להו: הב אשקי ושדי</w:t>
      </w:r>
      <w:r w:rsidRPr="00351B7D">
        <w:rPr>
          <w:rStyle w:val="a7"/>
          <w:rFonts w:asciiTheme="minorBidi" w:hAnsiTheme="minorBidi"/>
          <w:rtl/>
        </w:rPr>
        <w:footnoteReference w:id="336"/>
      </w:r>
      <w:r w:rsidRPr="00351B7D">
        <w:rPr>
          <w:rFonts w:asciiTheme="minorBidi" w:hAnsiTheme="minorBidi"/>
          <w:rtl/>
        </w:rPr>
        <w:t xml:space="preserve">, מהו? </w:t>
      </w:r>
      <w:r w:rsidRPr="00351B7D">
        <w:rPr>
          <w:rFonts w:asciiTheme="minorBidi" w:hAnsiTheme="minorBidi"/>
          <w:u w:val="single"/>
          <w:rtl/>
        </w:rPr>
        <w:t>אמר רבינא</w:t>
      </w:r>
      <w:r w:rsidRPr="00351B7D">
        <w:rPr>
          <w:rFonts w:asciiTheme="minorBidi" w:hAnsiTheme="minorBidi"/>
          <w:rtl/>
        </w:rPr>
        <w:t xml:space="preserve">: מקודשת, </w:t>
      </w:r>
      <w:r w:rsidRPr="00351B7D">
        <w:rPr>
          <w:rFonts w:asciiTheme="minorBidi" w:hAnsiTheme="minorBidi"/>
          <w:u w:val="single"/>
          <w:rtl/>
        </w:rPr>
        <w:t>רב סמא בר רקתא אמר</w:t>
      </w:r>
      <w:r w:rsidRPr="00351B7D">
        <w:rPr>
          <w:rFonts w:asciiTheme="minorBidi" w:hAnsiTheme="minorBidi"/>
          <w:rtl/>
        </w:rPr>
        <w:t>: תגא דמלכא</w:t>
      </w:r>
      <w:r w:rsidRPr="00351B7D">
        <w:rPr>
          <w:rStyle w:val="a7"/>
          <w:rFonts w:asciiTheme="minorBidi" w:hAnsiTheme="minorBidi"/>
          <w:rtl/>
        </w:rPr>
        <w:footnoteReference w:id="337"/>
      </w:r>
      <w:r w:rsidRPr="00351B7D">
        <w:rPr>
          <w:rFonts w:asciiTheme="minorBidi" w:hAnsiTheme="minorBidi"/>
          <w:rtl/>
        </w:rPr>
        <w:t xml:space="preserve"> אינה מקודשת. והלכתא: אינה מקודשת.</w:t>
      </w:r>
    </w:p>
    <w:p w14:paraId="0BFAC7BA"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היו לו מיני כלים, ובאה אשה ואמרה לו תן לי מהם, ואמר לה 'אם אתן לך מהן התקדשי לי' ונתן לה ושתקה</w:t>
      </w:r>
      <w:r w:rsidRPr="00351B7D">
        <w:rPr>
          <w:rStyle w:val="a7"/>
          <w:rFonts w:asciiTheme="minorBidi" w:hAnsiTheme="minorBidi"/>
          <w:u w:val="single"/>
          <w:rtl/>
        </w:rPr>
        <w:footnoteReference w:id="338"/>
      </w:r>
      <w:r w:rsidRPr="00351B7D">
        <w:rPr>
          <w:rFonts w:asciiTheme="minorBidi" w:hAnsiTheme="minorBidi"/>
          <w:u w:val="single"/>
          <w:rtl/>
        </w:rPr>
        <w:t>:</w:t>
      </w:r>
    </w:p>
    <w:p w14:paraId="2ECCCEC3"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(ראב"ד</w:t>
      </w:r>
      <w:r w:rsidRPr="00351B7D">
        <w:rPr>
          <w:rStyle w:val="a7"/>
          <w:rFonts w:asciiTheme="minorBidi" w:hAnsiTheme="minorBidi"/>
          <w:rtl/>
        </w:rPr>
        <w:footnoteReference w:id="339"/>
      </w:r>
      <w:r w:rsidRPr="00351B7D">
        <w:rPr>
          <w:rFonts w:asciiTheme="minorBidi" w:hAnsiTheme="minorBidi"/>
          <w:sz w:val="16"/>
          <w:szCs w:val="16"/>
          <w:rtl/>
        </w:rPr>
        <w:t xml:space="preserve"> </w:t>
      </w:r>
      <w:r w:rsidRPr="00351B7D">
        <w:rPr>
          <w:rFonts w:asciiTheme="minorBidi" w:hAnsiTheme="minorBidi"/>
          <w:rtl/>
        </w:rPr>
        <w:t xml:space="preserve">רא"ש </w:t>
      </w:r>
      <w:r w:rsidRPr="00351B7D">
        <w:rPr>
          <w:rFonts w:asciiTheme="minorBidi" w:hAnsiTheme="minorBidi"/>
          <w:sz w:val="14"/>
          <w:szCs w:val="14"/>
          <w:rtl/>
        </w:rPr>
        <w:t>[סי' יד]</w:t>
      </w:r>
      <w:r w:rsidRPr="00351B7D">
        <w:rPr>
          <w:rFonts w:asciiTheme="minorBidi" w:hAnsiTheme="minorBidi"/>
          <w:sz w:val="16"/>
          <w:szCs w:val="16"/>
          <w:rtl/>
        </w:rPr>
        <w:t xml:space="preserve"> להב' הב"י</w:t>
      </w:r>
      <w:r w:rsidRPr="00351B7D">
        <w:rPr>
          <w:rFonts w:asciiTheme="minorBidi" w:hAnsiTheme="minorBidi"/>
          <w:rtl/>
        </w:rPr>
        <w:t>) רמב"ן</w:t>
      </w:r>
      <w:r w:rsidRPr="00351B7D">
        <w:rPr>
          <w:rStyle w:val="a7"/>
          <w:rFonts w:asciiTheme="minorBidi" w:hAnsiTheme="minorBidi"/>
          <w:rtl/>
        </w:rPr>
        <w:footnoteReference w:id="340"/>
      </w:r>
      <w:r w:rsidRPr="00351B7D">
        <w:rPr>
          <w:rFonts w:asciiTheme="minorBidi" w:hAnsiTheme="minorBidi"/>
          <w:rtl/>
        </w:rPr>
        <w:t xml:space="preserve"> ורשב"א</w:t>
      </w:r>
      <w:r w:rsidRPr="00351B7D">
        <w:rPr>
          <w:rFonts w:asciiTheme="minorBidi" w:hAnsiTheme="minorBidi"/>
          <w:sz w:val="16"/>
          <w:szCs w:val="16"/>
          <w:rtl/>
        </w:rPr>
        <w:t xml:space="preserve"> (ט. ד"ה תגא)</w:t>
      </w:r>
      <w:r w:rsidRPr="00351B7D">
        <w:rPr>
          <w:rFonts w:asciiTheme="minorBidi" w:hAnsiTheme="minorBidi"/>
          <w:rtl/>
        </w:rPr>
        <w:t>- מקודשת</w:t>
      </w:r>
      <w:r w:rsidRPr="00351B7D">
        <w:rPr>
          <w:rStyle w:val="a7"/>
          <w:rFonts w:asciiTheme="minorBidi" w:hAnsiTheme="minorBidi"/>
          <w:rtl/>
        </w:rPr>
        <w:footnoteReference w:id="341"/>
      </w:r>
      <w:r w:rsidRPr="00351B7D">
        <w:rPr>
          <w:rFonts w:asciiTheme="minorBidi" w:hAnsiTheme="minorBidi"/>
          <w:rtl/>
        </w:rPr>
        <w:t>. (וכ"פ בב"י</w:t>
      </w:r>
      <w:r w:rsidRPr="00351B7D">
        <w:rPr>
          <w:rStyle w:val="a7"/>
          <w:rFonts w:asciiTheme="minorBidi" w:hAnsiTheme="minorBidi"/>
          <w:rtl/>
        </w:rPr>
        <w:footnoteReference w:id="342"/>
      </w:r>
      <w:r w:rsidRPr="00351B7D">
        <w:rPr>
          <w:rFonts w:asciiTheme="minorBidi" w:hAnsiTheme="minorBidi"/>
          <w:rtl/>
        </w:rPr>
        <w:t>)</w:t>
      </w:r>
    </w:p>
    <w:p w14:paraId="0224DE6B" w14:textId="77777777" w:rsidR="008E16D0" w:rsidRPr="00351B7D" w:rsidRDefault="008E16D0" w:rsidP="00A8697F">
      <w:pPr>
        <w:pStyle w:val="ab"/>
        <w:numPr>
          <w:ilvl w:val="0"/>
          <w:numId w:val="41"/>
        </w:numPr>
        <w:rPr>
          <w:rFonts w:asciiTheme="minorBidi" w:hAnsiTheme="minorBidi"/>
          <w:rtl/>
        </w:rPr>
      </w:pPr>
      <w:r w:rsidRPr="00351B7D">
        <w:rPr>
          <w:rFonts w:asciiTheme="minorBidi" w:hAnsiTheme="minorBidi"/>
          <w:rtl/>
        </w:rPr>
        <mc:AlternateContent>
          <mc:Choice Requires="wps">
            <w:drawing>
              <wp:anchor distT="0" distB="0" distL="114300" distR="114300" simplePos="0" relativeHeight="251675648" behindDoc="0" locked="0" layoutInCell="1" allowOverlap="1" wp14:anchorId="50EEC972" wp14:editId="73B3051C">
                <wp:simplePos x="0" y="0"/>
                <wp:positionH relativeFrom="column">
                  <wp:posOffset>4730684</wp:posOffset>
                </wp:positionH>
                <wp:positionV relativeFrom="paragraph">
                  <wp:posOffset>224213</wp:posOffset>
                </wp:positionV>
                <wp:extent cx="45719" cy="83127"/>
                <wp:effectExtent l="19050" t="0" r="31115" b="31750"/>
                <wp:wrapNone/>
                <wp:docPr id="23" name="Down Arrow 23"/>
                <wp:cNvGraphicFramePr/>
                <a:graphic xmlns:a="http://schemas.openxmlformats.org/drawingml/2006/main">
                  <a:graphicData uri="http://schemas.microsoft.com/office/word/2010/wordprocessingShape">
                    <wps:wsp>
                      <wps:cNvSpPr/>
                      <wps:spPr>
                        <a:xfrm>
                          <a:off x="0" y="0"/>
                          <a:ext cx="45719" cy="8312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E2202A3" id="Down Arrow 23" o:spid="_x0000_s1026" type="#_x0000_t67" style="position:absolute;left:0;text-align:left;margin-left:372.5pt;margin-top:17.65pt;width:3.6pt;height:6.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" adj="15660" fillcolor="black [3200]" strokecolor="black [1600]" strokeweight="2pt"/>
            </w:pict>
          </mc:Fallback>
        </mc:AlternateContent>
      </w:r>
      <w:r w:rsidRPr="00351B7D">
        <w:rPr>
          <w:rFonts w:asciiTheme="minorBidi" w:hAnsiTheme="minorBidi"/>
          <w:rtl/>
        </w:rPr>
        <w:t xml:space="preserve">(ראב"ד רמב"ם רא"ש </w:t>
      </w:r>
      <w:r w:rsidRPr="00351B7D">
        <w:rPr>
          <w:rFonts w:asciiTheme="minorBidi" w:hAnsiTheme="minorBidi"/>
          <w:sz w:val="14"/>
          <w:szCs w:val="14"/>
          <w:rtl/>
        </w:rPr>
        <w:t>[סי' י"ד]</w:t>
      </w:r>
      <w:r w:rsidRPr="00351B7D">
        <w:rPr>
          <w:rFonts w:asciiTheme="minorBidi" w:hAnsiTheme="minorBidi"/>
          <w:sz w:val="16"/>
          <w:szCs w:val="16"/>
          <w:rtl/>
        </w:rPr>
        <w:t xml:space="preserve"> להב' הדרכ"מ</w:t>
      </w:r>
      <w:r w:rsidRPr="00351B7D">
        <w:rPr>
          <w:rStyle w:val="a7"/>
          <w:rFonts w:asciiTheme="minorBidi" w:hAnsiTheme="minorBidi"/>
          <w:rtl/>
        </w:rPr>
        <w:footnoteReference w:id="343"/>
      </w:r>
      <w:r w:rsidRPr="00351B7D">
        <w:rPr>
          <w:rFonts w:asciiTheme="minorBidi" w:hAnsiTheme="minorBidi"/>
          <w:rtl/>
        </w:rPr>
        <w:t>)</w:t>
      </w:r>
      <w:r w:rsidRPr="00351B7D">
        <w:rPr>
          <w:rStyle w:val="a7"/>
          <w:rFonts w:asciiTheme="minorBidi" w:hAnsiTheme="minorBidi"/>
          <w:rtl/>
        </w:rPr>
        <w:footnoteReference w:id="344"/>
      </w:r>
      <w:r w:rsidRPr="00351B7D">
        <w:rPr>
          <w:rFonts w:asciiTheme="minorBidi" w:hAnsiTheme="minorBidi"/>
          <w:rtl/>
        </w:rPr>
        <w:t>- אינה מקודשת.</w:t>
      </w:r>
      <w:r w:rsidRPr="00351B7D">
        <w:rPr>
          <w:rFonts w:asciiTheme="minorBidi" w:hAnsiTheme="minorBidi"/>
          <w:color w:val="00B0F0"/>
          <w:rtl/>
        </w:rPr>
        <w:t xml:space="preserve"> </w:t>
      </w:r>
      <w:r w:rsidRPr="00351B7D">
        <w:rPr>
          <w:rFonts w:asciiTheme="minorBidi" w:hAnsiTheme="minorBidi"/>
          <w:rtl/>
        </w:rPr>
        <w:t xml:space="preserve">(וכ"פ ח"מ </w:t>
      </w:r>
      <w:r w:rsidRPr="00351B7D">
        <w:rPr>
          <w:rFonts w:asciiTheme="minorBidi" w:hAnsiTheme="minorBidi"/>
          <w:sz w:val="14"/>
          <w:szCs w:val="14"/>
          <w:rtl/>
        </w:rPr>
        <w:t xml:space="preserve">[סקי"ט] </w:t>
      </w:r>
      <w:r w:rsidRPr="00351B7D">
        <w:rPr>
          <w:rFonts w:asciiTheme="minorBidi" w:hAnsiTheme="minorBidi"/>
          <w:rtl/>
        </w:rPr>
        <w:t>וב"ש</w:t>
      </w:r>
      <w:r w:rsidRPr="00351B7D">
        <w:rPr>
          <w:rFonts w:asciiTheme="minorBidi" w:hAnsiTheme="minorBidi"/>
          <w:sz w:val="14"/>
          <w:szCs w:val="14"/>
          <w:rtl/>
        </w:rPr>
        <w:t xml:space="preserve"> [סקכ"ג]</w:t>
      </w:r>
      <w:r w:rsidRPr="00351B7D">
        <w:rPr>
          <w:rFonts w:asciiTheme="minorBidi" w:hAnsiTheme="minorBidi"/>
          <w:rtl/>
        </w:rPr>
        <w:t>)</w:t>
      </w:r>
    </w:p>
    <w:p w14:paraId="5B755E99"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ומה הדין היכא דלא שתקה אלא ענתה לו 'הב' </w:t>
      </w:r>
      <w:r w:rsidRPr="00351B7D">
        <w:rPr>
          <w:rFonts w:asciiTheme="minorBidi" w:hAnsiTheme="minorBidi"/>
          <w:sz w:val="16"/>
          <w:szCs w:val="16"/>
          <w:u w:val="dotted"/>
          <w:rtl/>
        </w:rPr>
        <w:t>(או הבה מיהבה)</w:t>
      </w:r>
      <w:r w:rsidRPr="00351B7D">
        <w:rPr>
          <w:rFonts w:asciiTheme="minorBidi" w:hAnsiTheme="minorBidi"/>
          <w:u w:val="dotted"/>
          <w:rtl/>
        </w:rPr>
        <w:t xml:space="preserve">, ומ"מ חזר ואמר בשעת נתינה 'הרי את מקודשת לי': </w:t>
      </w:r>
    </w:p>
    <w:p w14:paraId="40BB0879" w14:textId="77777777" w:rsidR="008E16D0" w:rsidRPr="00351B7D" w:rsidRDefault="008E16D0" w:rsidP="008E16D0">
      <w:pPr>
        <w:ind w:left="360"/>
        <w:rPr>
          <w:rFonts w:asciiTheme="minorBidi" w:hAnsiTheme="minorBidi"/>
          <w:u w:val="double"/>
          <w:rtl/>
        </w:rPr>
      </w:pPr>
      <w:r w:rsidRPr="00351B7D">
        <w:rPr>
          <w:rFonts w:asciiTheme="minorBidi" w:hAnsiTheme="minorBidi"/>
          <w:u w:val="double"/>
          <w:rtl/>
        </w:rPr>
        <w:t xml:space="preserve">אם שוב לא ענתה אלא קיבלה בשתיקה: </w:t>
      </w:r>
    </w:p>
    <w:p w14:paraId="6240E239"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lastRenderedPageBreak/>
        <w:t>ראב"ד ורא"ש</w:t>
      </w:r>
      <w:r w:rsidRPr="00351B7D">
        <w:rPr>
          <w:rFonts w:asciiTheme="minorBidi" w:hAnsiTheme="minorBidi"/>
          <w:sz w:val="16"/>
          <w:szCs w:val="16"/>
          <w:rtl/>
        </w:rPr>
        <w:t xml:space="preserve"> (סי' יד)</w:t>
      </w:r>
      <w:r w:rsidRPr="00351B7D">
        <w:rPr>
          <w:rFonts w:asciiTheme="minorBidi" w:hAnsiTheme="minorBidi"/>
          <w:rtl/>
        </w:rPr>
        <w:t>- מקודשת.</w:t>
      </w:r>
      <w:r w:rsidRPr="00351B7D">
        <w:rPr>
          <w:rFonts w:asciiTheme="minorBidi" w:hAnsiTheme="minorBidi"/>
          <w:color w:val="E36C0A" w:themeColor="accent6" w:themeShade="BF"/>
          <w:rtl/>
        </w:rPr>
        <w:t xml:space="preserve"> (וכ"פ בשו"ע)</w:t>
      </w:r>
      <w:r w:rsidRPr="00351B7D">
        <w:rPr>
          <w:rFonts w:asciiTheme="minorBidi" w:hAnsiTheme="minorBidi"/>
          <w:color w:val="00B0F0"/>
          <w:rtl/>
        </w:rPr>
        <w:t xml:space="preserve"> (וכ"פ הרמ"א</w:t>
      </w:r>
      <w:r w:rsidRPr="00351B7D">
        <w:rPr>
          <w:rStyle w:val="a7"/>
          <w:rFonts w:asciiTheme="minorBidi" w:hAnsiTheme="minorBidi"/>
          <w:rtl/>
        </w:rPr>
        <w:footnoteReference w:id="345"/>
      </w:r>
      <w:r w:rsidRPr="00351B7D">
        <w:rPr>
          <w:rFonts w:asciiTheme="minorBidi" w:hAnsiTheme="minorBidi"/>
          <w:color w:val="00B0F0"/>
          <w:rtl/>
        </w:rPr>
        <w:t>)</w:t>
      </w:r>
    </w:p>
    <w:p w14:paraId="6E337D7F"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 xml:space="preserve">(הביאוהו הה"מ וב"י </w:t>
      </w:r>
      <w:r w:rsidRPr="00351B7D">
        <w:rPr>
          <w:rFonts w:asciiTheme="minorBidi" w:hAnsiTheme="minorBidi"/>
          <w:sz w:val="14"/>
          <w:szCs w:val="14"/>
          <w:rtl/>
        </w:rPr>
        <w:t>[בשו"ת]</w:t>
      </w:r>
      <w:r w:rsidRPr="00351B7D">
        <w:rPr>
          <w:rFonts w:asciiTheme="minorBidi" w:hAnsiTheme="minorBidi"/>
          <w:sz w:val="16"/>
          <w:szCs w:val="16"/>
          <w:rtl/>
        </w:rPr>
        <w:t xml:space="preserve">) </w:t>
      </w:r>
      <w:r w:rsidRPr="00351B7D">
        <w:rPr>
          <w:rFonts w:asciiTheme="minorBidi" w:hAnsiTheme="minorBidi"/>
          <w:rtl/>
        </w:rPr>
        <w:t>ורשב"א</w:t>
      </w:r>
      <w:r w:rsidRPr="00351B7D">
        <w:rPr>
          <w:rFonts w:asciiTheme="minorBidi" w:hAnsiTheme="minorBidi"/>
          <w:sz w:val="16"/>
          <w:szCs w:val="16"/>
          <w:rtl/>
        </w:rPr>
        <w:t xml:space="preserve"> (ט. ד"ה תגא)</w:t>
      </w:r>
      <w:r w:rsidRPr="00351B7D">
        <w:rPr>
          <w:rFonts w:asciiTheme="minorBidi" w:hAnsiTheme="minorBidi"/>
          <w:rtl/>
        </w:rPr>
        <w:t>- אינה מקודשת</w:t>
      </w:r>
      <w:r w:rsidRPr="00351B7D">
        <w:rPr>
          <w:rStyle w:val="a7"/>
          <w:rFonts w:asciiTheme="minorBidi" w:hAnsiTheme="minorBidi"/>
          <w:rtl/>
        </w:rPr>
        <w:footnoteReference w:id="346"/>
      </w:r>
      <w:r w:rsidRPr="00351B7D">
        <w:rPr>
          <w:rFonts w:asciiTheme="minorBidi" w:hAnsiTheme="minorBidi"/>
          <w:rtl/>
        </w:rPr>
        <w:t xml:space="preserve">.   </w:t>
      </w:r>
    </w:p>
    <w:p w14:paraId="48625457" w14:textId="77777777" w:rsidR="008E16D0" w:rsidRPr="00351B7D" w:rsidRDefault="008E16D0" w:rsidP="008E16D0">
      <w:pPr>
        <w:ind w:left="360"/>
        <w:rPr>
          <w:rFonts w:asciiTheme="minorBidi" w:hAnsiTheme="minorBidi"/>
          <w:u w:val="double"/>
          <w:rtl/>
        </w:rPr>
      </w:pPr>
      <w:r w:rsidRPr="00351B7D">
        <w:rPr>
          <w:rFonts w:asciiTheme="minorBidi" w:hAnsiTheme="minorBidi"/>
          <w:u w:val="double"/>
          <w:rtl/>
        </w:rPr>
        <w:t xml:space="preserve">אם ענתה שוב 'הב' </w:t>
      </w:r>
      <w:r w:rsidRPr="00351B7D">
        <w:rPr>
          <w:rFonts w:asciiTheme="minorBidi" w:hAnsiTheme="minorBidi"/>
          <w:sz w:val="16"/>
          <w:szCs w:val="16"/>
          <w:u w:val="double"/>
          <w:rtl/>
        </w:rPr>
        <w:t>(או הבה מיהבה)</w:t>
      </w:r>
      <w:r w:rsidRPr="00351B7D">
        <w:rPr>
          <w:rFonts w:asciiTheme="minorBidi" w:hAnsiTheme="minorBidi"/>
          <w:u w:val="double"/>
          <w:rtl/>
        </w:rPr>
        <w:t xml:space="preserve">: </w:t>
      </w:r>
    </w:p>
    <w:p w14:paraId="7F4A7A53"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 xml:space="preserve">ר"ן </w:t>
      </w:r>
      <w:r w:rsidRPr="00351B7D">
        <w:rPr>
          <w:rFonts w:asciiTheme="minorBidi" w:hAnsiTheme="minorBidi"/>
          <w:sz w:val="14"/>
          <w:szCs w:val="14"/>
          <w:rtl/>
        </w:rPr>
        <w:t>(ה. דיבור ראשון)</w:t>
      </w:r>
      <w:r w:rsidRPr="00351B7D">
        <w:rPr>
          <w:rFonts w:asciiTheme="minorBidi" w:hAnsiTheme="minorBidi"/>
          <w:rtl/>
        </w:rPr>
        <w:t xml:space="preserve"> בשם י"א דאפילו לא שתקה אלא אמרה איהי </w:t>
      </w:r>
      <w:r w:rsidRPr="00351B7D">
        <w:rPr>
          <w:rFonts w:asciiTheme="minorBidi" w:hAnsiTheme="minorBidi"/>
          <w:u w:val="single"/>
          <w:rtl/>
        </w:rPr>
        <w:t>לבסוף</w:t>
      </w:r>
      <w:r w:rsidRPr="00351B7D">
        <w:rPr>
          <w:rFonts w:asciiTheme="minorBidi" w:hAnsiTheme="minorBidi"/>
          <w:rtl/>
        </w:rPr>
        <w:t xml:space="preserve"> הב או הבה מיהבא מקודשת, דטעמא דאינה מקודשת</w:t>
      </w:r>
      <w:r w:rsidRPr="00351B7D">
        <w:rPr>
          <w:rFonts w:asciiTheme="minorBidi" w:hAnsiTheme="minorBidi"/>
          <w:sz w:val="16"/>
          <w:szCs w:val="16"/>
          <w:rtl/>
        </w:rPr>
        <w:t xml:space="preserve"> (במקרה של הגמ') </w:t>
      </w:r>
      <w:r w:rsidRPr="00351B7D">
        <w:rPr>
          <w:rFonts w:asciiTheme="minorBidi" w:hAnsiTheme="minorBidi"/>
          <w:rtl/>
        </w:rPr>
        <w:t>משום דאדיבורא קמא סמכא, דאמרה ליה מעיקרא הב שלא לשם קידושין, משא"כ הכא דחזר ואמר וקיבלה. (וכ"פ הב"י</w:t>
      </w:r>
      <w:r w:rsidRPr="00351B7D">
        <w:rPr>
          <w:rFonts w:asciiTheme="minorBidi" w:hAnsiTheme="minorBidi"/>
          <w:sz w:val="16"/>
          <w:szCs w:val="16"/>
          <w:rtl/>
        </w:rPr>
        <w:t xml:space="preserve"> [בשו"ת ב"י סי' ח ד"ה דבר פשוט]</w:t>
      </w:r>
      <w:r w:rsidRPr="00351B7D">
        <w:rPr>
          <w:rFonts w:asciiTheme="minorBidi" w:hAnsiTheme="minorBidi"/>
          <w:color w:val="E36C0A" w:themeColor="accent6" w:themeShade="BF"/>
          <w:rtl/>
        </w:rPr>
        <w:t xml:space="preserve"> וכן סתם בשו"ע</w:t>
      </w:r>
      <w:r w:rsidRPr="00351B7D">
        <w:rPr>
          <w:rFonts w:asciiTheme="minorBidi" w:hAnsiTheme="minorBidi"/>
          <w:rtl/>
        </w:rPr>
        <w:t>).</w:t>
      </w:r>
    </w:p>
    <w:p w14:paraId="6743B17E"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 xml:space="preserve">(ראב"ד ורא"ש </w:t>
      </w:r>
      <w:r w:rsidRPr="00351B7D">
        <w:rPr>
          <w:rFonts w:asciiTheme="minorBidi" w:hAnsiTheme="minorBidi"/>
          <w:sz w:val="16"/>
          <w:szCs w:val="16"/>
          <w:rtl/>
        </w:rPr>
        <w:t>להב' הרמ"א</w:t>
      </w:r>
      <w:r w:rsidRPr="00351B7D">
        <w:rPr>
          <w:rFonts w:asciiTheme="minorBidi" w:hAnsiTheme="minorBidi"/>
          <w:rtl/>
        </w:rPr>
        <w:t>)- אינה מקודשת.</w:t>
      </w:r>
      <w:r w:rsidRPr="00351B7D">
        <w:rPr>
          <w:rFonts w:asciiTheme="minorBidi" w:hAnsiTheme="minorBidi"/>
          <w:color w:val="00B0F0"/>
          <w:rtl/>
        </w:rPr>
        <w:t xml:space="preserve"> (וכ"פ הרמ"א)</w:t>
      </w:r>
    </w:p>
    <w:p w14:paraId="2AFD2BFB"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אמר לה בתחילה</w:t>
      </w:r>
      <w:r w:rsidRPr="00351B7D">
        <w:rPr>
          <w:rFonts w:asciiTheme="minorBidi" w:hAnsiTheme="minorBidi"/>
          <w:sz w:val="16"/>
          <w:szCs w:val="16"/>
          <w:u w:val="single"/>
          <w:rtl/>
        </w:rPr>
        <w:t xml:space="preserve"> (לפני שביקשה היא)</w:t>
      </w:r>
      <w:r w:rsidRPr="00351B7D">
        <w:rPr>
          <w:rFonts w:asciiTheme="minorBidi" w:hAnsiTheme="minorBidi"/>
          <w:u w:val="single"/>
          <w:rtl/>
        </w:rPr>
        <w:t xml:space="preserve"> 'אם אני מביא לך תתקדשי לי?', ואמרה לו הב או הבה מיהבא:</w:t>
      </w:r>
    </w:p>
    <w:p w14:paraId="4D8D03AA"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(ט. ד"ה הב)</w:t>
      </w:r>
      <w:r w:rsidRPr="00351B7D">
        <w:rPr>
          <w:rFonts w:asciiTheme="minorBidi" w:hAnsiTheme="minorBidi"/>
          <w:rtl/>
        </w:rPr>
        <w:t xml:space="preserve"> וי"א </w:t>
      </w:r>
      <w:r w:rsidRPr="00351B7D">
        <w:rPr>
          <w:rFonts w:asciiTheme="minorBidi" w:hAnsiTheme="minorBidi"/>
          <w:sz w:val="16"/>
          <w:szCs w:val="16"/>
          <w:rtl/>
        </w:rPr>
        <w:t xml:space="preserve">(הביאום הרשב"א </w:t>
      </w:r>
      <w:r w:rsidRPr="00351B7D">
        <w:rPr>
          <w:rFonts w:asciiTheme="minorBidi" w:hAnsiTheme="minorBidi"/>
          <w:sz w:val="14"/>
          <w:szCs w:val="14"/>
          <w:rtl/>
        </w:rPr>
        <w:t>[ט.]</w:t>
      </w:r>
      <w:r w:rsidRPr="00351B7D">
        <w:rPr>
          <w:rFonts w:asciiTheme="minorBidi" w:hAnsiTheme="minorBidi"/>
          <w:sz w:val="16"/>
          <w:szCs w:val="16"/>
          <w:rtl/>
        </w:rPr>
        <w:t xml:space="preserve"> והר"ן</w:t>
      </w:r>
      <w:r w:rsidRPr="00351B7D">
        <w:rPr>
          <w:rFonts w:asciiTheme="minorBidi" w:hAnsiTheme="minorBidi"/>
          <w:sz w:val="14"/>
          <w:szCs w:val="14"/>
          <w:rtl/>
        </w:rPr>
        <w:t xml:space="preserve"> [ה.]</w:t>
      </w:r>
      <w:r w:rsidRPr="00351B7D">
        <w:rPr>
          <w:rFonts w:asciiTheme="minorBidi" w:hAnsiTheme="minorBidi"/>
          <w:sz w:val="16"/>
          <w:szCs w:val="16"/>
          <w:rtl/>
        </w:rPr>
        <w:t>)</w:t>
      </w:r>
      <w:r w:rsidRPr="00351B7D">
        <w:rPr>
          <w:rFonts w:asciiTheme="minorBidi" w:hAnsiTheme="minorBidi"/>
          <w:rtl/>
        </w:rPr>
        <w:t>- טעמא דאינה מקודשת</w:t>
      </w:r>
      <w:r w:rsidRPr="00351B7D">
        <w:rPr>
          <w:rFonts w:asciiTheme="minorBidi" w:hAnsiTheme="minorBidi"/>
          <w:sz w:val="16"/>
          <w:szCs w:val="16"/>
          <w:rtl/>
        </w:rPr>
        <w:t xml:space="preserve"> (במקרה של הגמ') </w:t>
      </w:r>
      <w:r w:rsidRPr="00351B7D">
        <w:rPr>
          <w:rFonts w:asciiTheme="minorBidi" w:hAnsiTheme="minorBidi"/>
          <w:rtl/>
        </w:rPr>
        <w:t>משום דאדיבורא קמא סמכא, דאמרה ליה מעיקרא הב שלא לשם קידושין, אבל אי אמר לה איהו מעיקרא אי יהיבנא מיקדשת לי ואמרה הבה א"נ הבה מיהבא, כדקאמר איהו קאמרה, ומקודשת.</w:t>
      </w:r>
    </w:p>
    <w:p w14:paraId="35D2758A"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רשב"א</w:t>
      </w:r>
      <w:r w:rsidRPr="00351B7D">
        <w:rPr>
          <w:rFonts w:asciiTheme="minorBidi" w:hAnsiTheme="minorBidi"/>
          <w:sz w:val="16"/>
          <w:szCs w:val="16"/>
          <w:rtl/>
        </w:rPr>
        <w:t xml:space="preserve"> (ט. ד"ה תגא, הביאו הר"ן)</w:t>
      </w:r>
      <w:r w:rsidRPr="00351B7D">
        <w:rPr>
          <w:rFonts w:asciiTheme="minorBidi" w:hAnsiTheme="minorBidi"/>
          <w:rtl/>
        </w:rPr>
        <w:t>- אינה מקודשת אפילו לא אמרה איהי מעיקרא מידי, דעיקר טעמא דאינה מקודשת היינו משום דכיון דבלשון שאלה קאמר לה</w:t>
      </w:r>
      <w:r w:rsidRPr="00351B7D">
        <w:rPr>
          <w:rStyle w:val="a7"/>
          <w:rFonts w:asciiTheme="minorBidi" w:hAnsiTheme="minorBidi"/>
          <w:rtl/>
        </w:rPr>
        <w:footnoteReference w:id="347"/>
      </w:r>
      <w:r w:rsidRPr="00351B7D">
        <w:rPr>
          <w:rFonts w:asciiTheme="minorBidi" w:hAnsiTheme="minorBidi"/>
          <w:rtl/>
        </w:rPr>
        <w:t>.</w:t>
      </w:r>
    </w:p>
    <w:p w14:paraId="65F3EE5F" w14:textId="77777777" w:rsidR="008E16D0" w:rsidRPr="00351B7D" w:rsidRDefault="008E16D0" w:rsidP="00A8697F">
      <w:pPr>
        <w:pStyle w:val="ab"/>
        <w:numPr>
          <w:ilvl w:val="0"/>
          <w:numId w:val="41"/>
        </w:numPr>
        <w:rPr>
          <w:rFonts w:asciiTheme="minorBidi" w:hAnsiTheme="minorBidi"/>
        </w:rPr>
      </w:pPr>
      <w:r w:rsidRPr="00351B7D">
        <w:rPr>
          <w:rFonts w:asciiTheme="minorBidi" w:hAnsiTheme="minorBidi"/>
          <w:rtl/>
        </w:rPr>
        <w:t xml:space="preserve">מהר"ם </w:t>
      </w:r>
      <w:r w:rsidRPr="00351B7D">
        <w:rPr>
          <w:rFonts w:asciiTheme="minorBidi" w:hAnsiTheme="minorBidi"/>
          <w:sz w:val="16"/>
          <w:szCs w:val="16"/>
          <w:rtl/>
        </w:rPr>
        <w:t>(כ"כ המרדכי בשמו</w:t>
      </w:r>
      <w:r w:rsidRPr="00351B7D">
        <w:rPr>
          <w:rFonts w:asciiTheme="minorBidi" w:hAnsiTheme="minorBidi"/>
          <w:sz w:val="14"/>
          <w:szCs w:val="14"/>
          <w:rtl/>
        </w:rPr>
        <w:t xml:space="preserve"> [סי' תפז]</w:t>
      </w:r>
      <w:r w:rsidRPr="00351B7D">
        <w:rPr>
          <w:rFonts w:asciiTheme="minorBidi" w:hAnsiTheme="minorBidi"/>
          <w:sz w:val="16"/>
          <w:szCs w:val="16"/>
          <w:rtl/>
        </w:rPr>
        <w:t>)</w:t>
      </w:r>
      <w:r w:rsidRPr="00351B7D">
        <w:rPr>
          <w:rFonts w:asciiTheme="minorBidi" w:hAnsiTheme="minorBidi"/>
          <w:rtl/>
        </w:rPr>
        <w:t xml:space="preserve"> ור"ן</w:t>
      </w:r>
      <w:r w:rsidRPr="00351B7D">
        <w:rPr>
          <w:rFonts w:asciiTheme="minorBidi" w:hAnsiTheme="minorBidi"/>
          <w:sz w:val="16"/>
          <w:szCs w:val="16"/>
          <w:rtl/>
        </w:rPr>
        <w:t xml:space="preserve"> (ה. דיבור ראשון)</w:t>
      </w:r>
      <w:r w:rsidRPr="00351B7D">
        <w:rPr>
          <w:rFonts w:asciiTheme="minorBidi" w:hAnsiTheme="minorBidi"/>
          <w:rtl/>
        </w:rPr>
        <w:t>- ספק קדושין.</w:t>
      </w:r>
      <w:r w:rsidRPr="00351B7D">
        <w:rPr>
          <w:rFonts w:asciiTheme="minorBidi" w:hAnsiTheme="minorBidi"/>
          <w:color w:val="00B0F0"/>
          <w:rtl/>
        </w:rPr>
        <w:t xml:space="preserve"> (וכ"פ הרמ"א)</w:t>
      </w:r>
    </w:p>
    <w:p w14:paraId="5A0C980A"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סיכום הר"ן לסוגייתנו </w:t>
      </w:r>
      <w:r w:rsidRPr="00351B7D">
        <w:rPr>
          <w:rFonts w:asciiTheme="minorBidi" w:hAnsiTheme="minorBidi"/>
          <w:sz w:val="16"/>
          <w:szCs w:val="16"/>
          <w:u w:val="single"/>
          <w:rtl/>
        </w:rPr>
        <w:t>(העתיקו הב"י בסוף דבריו)</w:t>
      </w:r>
      <w:r w:rsidRPr="00351B7D">
        <w:rPr>
          <w:rFonts w:asciiTheme="minorBidi" w:hAnsiTheme="minorBidi"/>
          <w:u w:val="single"/>
          <w:rtl/>
        </w:rPr>
        <w:t>:</w:t>
      </w:r>
    </w:p>
    <w:p w14:paraId="30319632" w14:textId="77777777" w:rsidR="008E16D0" w:rsidRPr="00351B7D" w:rsidRDefault="008E16D0" w:rsidP="00A8697F">
      <w:pPr>
        <w:pStyle w:val="ab"/>
        <w:numPr>
          <w:ilvl w:val="0"/>
          <w:numId w:val="42"/>
        </w:numPr>
        <w:rPr>
          <w:rFonts w:asciiTheme="minorBidi" w:hAnsiTheme="minorBidi"/>
        </w:rPr>
      </w:pPr>
      <w:r w:rsidRPr="00351B7D">
        <w:rPr>
          <w:rFonts w:asciiTheme="minorBidi" w:hAnsiTheme="minorBidi"/>
          <w:rtl/>
        </w:rPr>
        <w:t>ר"ן</w:t>
      </w:r>
      <w:r w:rsidRPr="00351B7D">
        <w:rPr>
          <w:rFonts w:asciiTheme="minorBidi" w:hAnsiTheme="minorBidi"/>
          <w:sz w:val="16"/>
          <w:szCs w:val="16"/>
          <w:rtl/>
        </w:rPr>
        <w:t xml:space="preserve"> (ה. ד"ה תגא דמלכא)</w:t>
      </w:r>
      <w:r w:rsidRPr="00351B7D">
        <w:rPr>
          <w:rFonts w:asciiTheme="minorBidi" w:hAnsiTheme="minorBidi"/>
          <w:rtl/>
        </w:rPr>
        <w:t>- "</w:t>
      </w:r>
      <w:r w:rsidRPr="00351B7D">
        <w:rPr>
          <w:rFonts w:asciiTheme="minorBidi" w:hAnsiTheme="minorBidi"/>
          <w:color w:val="000000"/>
          <w:rtl/>
        </w:rPr>
        <w:t>ונראה לי כל שלא אמר לה בלשונות האמורים בגמרא איכא לספוקי בלשון קידושין וצריכה גט שכל כיוצא בזה אין לנו אלא מה שאמרו חכמים</w:t>
      </w:r>
      <w:r w:rsidRPr="00351B7D">
        <w:rPr>
          <w:rFonts w:asciiTheme="minorBidi" w:hAnsiTheme="minorBidi"/>
          <w:rtl/>
        </w:rPr>
        <w:t xml:space="preserve">". </w:t>
      </w:r>
    </w:p>
    <w:p w14:paraId="795BB87A"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C128FD" w14:textId="77777777" w:rsidR="008E16D0" w:rsidRPr="00351B7D" w:rsidRDefault="008E16D0" w:rsidP="008E16D0">
      <w:pPr>
        <w:rPr>
          <w:rFonts w:asciiTheme="minorBidi" w:hAnsiTheme="minorBidi"/>
          <w:rtl/>
        </w:rPr>
      </w:pPr>
      <w:r w:rsidRPr="00351B7D">
        <w:rPr>
          <w:rFonts w:asciiTheme="minorBidi" w:hAnsiTheme="minorBidi"/>
          <w:rtl/>
        </w:rPr>
        <w:t>היו לו מיני כלים או מיני מאכל או שאר כל דבר ואמרה לו תן לי מעט מאלו, ואמר לה אם אתן ליך תהיי מקודשת לי, אם אמרה הן ונתן לה הרי זו מקודשת, אבל אם אמרה לו תן לי מהן או השלך לי או דברים שענינם לא תשחק עמי בדברים אלו אלא תן לי בלבד ונתן לה אינה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אמר לה בשעה שהוא נותן לה הרי את מקודשת לי וקבלה מקודשת</w:t>
      </w:r>
      <w:r w:rsidRPr="00351B7D">
        <w:rPr>
          <w:rStyle w:val="a7"/>
          <w:rFonts w:asciiTheme="minorBidi" w:hAnsiTheme="minorBidi"/>
          <w:color w:val="000000"/>
          <w:sz w:val="18"/>
          <w:szCs w:val="18"/>
          <w:rtl/>
        </w:rPr>
        <w:footnoteReference w:id="348"/>
      </w:r>
      <w:r w:rsidRPr="00351B7D">
        <w:rPr>
          <w:rFonts w:asciiTheme="minorBidi" w:hAnsiTheme="minorBidi"/>
          <w:color w:val="000000"/>
          <w:sz w:val="18"/>
          <w:szCs w:val="18"/>
          <w:rtl/>
        </w:rPr>
        <w:t xml:space="preserve"> (טור בשם הרא"ש). </w:t>
      </w:r>
      <w:r w:rsidRPr="00351B7D">
        <w:rPr>
          <w:rStyle w:val="a7"/>
          <w:rFonts w:asciiTheme="minorBidi" w:hAnsiTheme="minorBidi"/>
          <w:color w:val="000000"/>
          <w:sz w:val="18"/>
          <w:szCs w:val="18"/>
          <w:rtl/>
        </w:rPr>
        <w:footnoteReference w:id="349"/>
      </w:r>
      <w:r w:rsidRPr="00351B7D">
        <w:rPr>
          <w:rFonts w:asciiTheme="minorBidi" w:hAnsiTheme="minorBidi"/>
          <w:color w:val="000000"/>
          <w:sz w:val="18"/>
          <w:szCs w:val="18"/>
          <w:rtl/>
        </w:rPr>
        <w:t>ואם קבלה בשתיקה רק חזרה ואמרה תן לי או השלך וכיוצא בזה אינה מקודשת (כ"מ מדברי הרא"ש). וכל זה בהתחילה היא לומר תן לי מעט אבל אם התחיל הוא לדבר אם אתן לך תתקדשי לי, ואמרה לו בלשון שחוק</w:t>
      </w:r>
      <w:r w:rsidRPr="00351B7D">
        <w:rPr>
          <w:rStyle w:val="a7"/>
          <w:rFonts w:asciiTheme="minorBidi" w:hAnsiTheme="minorBidi"/>
          <w:color w:val="000000"/>
          <w:sz w:val="18"/>
          <w:szCs w:val="18"/>
          <w:rtl/>
        </w:rPr>
        <w:footnoteReference w:id="350"/>
      </w:r>
      <w:r w:rsidRPr="00351B7D">
        <w:rPr>
          <w:rFonts w:asciiTheme="minorBidi" w:hAnsiTheme="minorBidi"/>
          <w:color w:val="000000"/>
          <w:sz w:val="18"/>
          <w:szCs w:val="18"/>
          <w:rtl/>
        </w:rPr>
        <w:t xml:space="preserve"> תן</w:t>
      </w:r>
      <w:r w:rsidRPr="00351B7D">
        <w:rPr>
          <w:rStyle w:val="a7"/>
          <w:rFonts w:asciiTheme="minorBidi" w:hAnsiTheme="minorBidi"/>
          <w:color w:val="000000"/>
          <w:sz w:val="18"/>
          <w:szCs w:val="18"/>
          <w:rtl/>
        </w:rPr>
        <w:footnoteReference w:id="351"/>
      </w:r>
      <w:r w:rsidRPr="00351B7D">
        <w:rPr>
          <w:rFonts w:asciiTheme="minorBidi" w:hAnsiTheme="minorBidi"/>
          <w:color w:val="000000"/>
          <w:sz w:val="18"/>
          <w:szCs w:val="18"/>
          <w:rtl/>
        </w:rPr>
        <w:t xml:space="preserve"> וקבלה ממנו, הוי ספק קידושין (ר"ן).</w:t>
      </w:r>
      <w:r w:rsidRPr="00351B7D">
        <w:rPr>
          <w:rFonts w:asciiTheme="minorBidi" w:hAnsiTheme="minorBidi"/>
          <w:rtl/>
        </w:rPr>
        <w:t xml:space="preserve"> וכן אם היה שותה יין ואמרה לו תן לי כוס אחד, ואמר לה אם אתן לך הרי את מקודשת לי בו, ואמרה השקני או תן השקה, אינה מקודשת שאין הדברים נראים אלא השקיני בלבד ולא תשחק עמי בדבר אחר, ואם אמר בשעה שנתנו לה הרי את מקודשת לי וקבלה, מקודשת</w:t>
      </w:r>
      <w:r w:rsidRPr="00351B7D">
        <w:rPr>
          <w:rStyle w:val="a7"/>
          <w:rFonts w:asciiTheme="minorBidi" w:hAnsiTheme="minorBidi"/>
          <w:color w:val="000000"/>
          <w:rtl/>
        </w:rPr>
        <w:footnoteReference w:id="352"/>
      </w:r>
      <w:r w:rsidRPr="00351B7D">
        <w:rPr>
          <w:rFonts w:asciiTheme="minorBidi" w:hAnsiTheme="minorBidi"/>
          <w:rtl/>
        </w:rPr>
        <w:t>.</w:t>
      </w:r>
    </w:p>
    <w:p w14:paraId="634E57BC" w14:textId="77777777" w:rsidR="008E16D0" w:rsidRPr="00351B7D" w:rsidRDefault="008E16D0" w:rsidP="008E16D0">
      <w:pPr>
        <w:rPr>
          <w:rFonts w:asciiTheme="minorBidi" w:hAnsiTheme="minorBidi"/>
          <w:rtl/>
        </w:rPr>
      </w:pPr>
    </w:p>
    <w:p w14:paraId="4F88C1BB" w14:textId="77777777" w:rsidR="008E16D0" w:rsidRPr="00351B7D" w:rsidRDefault="008E16D0" w:rsidP="008E16D0">
      <w:pPr>
        <w:rPr>
          <w:rFonts w:asciiTheme="minorBidi" w:hAnsiTheme="minorBidi"/>
          <w:rtl/>
        </w:rPr>
      </w:pPr>
    </w:p>
    <w:p w14:paraId="4C7CF521" w14:textId="77777777" w:rsidR="008E16D0" w:rsidRPr="00351B7D" w:rsidRDefault="008E16D0" w:rsidP="008E16D0">
      <w:pPr>
        <w:rPr>
          <w:rFonts w:asciiTheme="minorBidi" w:hAnsiTheme="minorBidi"/>
          <w:rtl/>
        </w:rPr>
      </w:pPr>
    </w:p>
    <w:p w14:paraId="70D4D6CA" w14:textId="77777777" w:rsidR="008E16D0" w:rsidRPr="00351B7D" w:rsidRDefault="008E16D0" w:rsidP="008E16D0">
      <w:pPr>
        <w:rPr>
          <w:rFonts w:asciiTheme="minorBidi" w:hAnsiTheme="minorBidi"/>
          <w:rtl/>
        </w:rPr>
      </w:pPr>
    </w:p>
    <w:p w14:paraId="3041017D" w14:textId="77777777" w:rsidR="008E16D0" w:rsidRPr="00351B7D" w:rsidRDefault="008E16D0" w:rsidP="008E16D0">
      <w:pPr>
        <w:rPr>
          <w:rFonts w:asciiTheme="minorBidi" w:hAnsiTheme="minorBidi"/>
          <w:rtl/>
        </w:rPr>
      </w:pPr>
    </w:p>
    <w:p w14:paraId="2BED52E5" w14:textId="77777777" w:rsidR="004B1524" w:rsidRDefault="004B1524" w:rsidP="008E16D0">
      <w:pPr>
        <w:pStyle w:val="1"/>
        <w:rPr>
          <w:rFonts w:asciiTheme="minorBidi" w:hAnsiTheme="minorBidi"/>
          <w:rtl/>
        </w:rPr>
        <w:sectPr w:rsidR="004B1524" w:rsidSect="00A347B3">
          <w:headerReference w:type="default" r:id="rId13"/>
          <w:footnotePr>
            <w:numRestart w:val="eachPage"/>
          </w:footnotePr>
          <w:pgSz w:w="11906" w:h="16838"/>
          <w:pgMar w:top="720" w:right="1134" w:bottom="720" w:left="1134" w:header="0" w:footer="0" w:gutter="0"/>
          <w:cols w:space="720"/>
          <w:bidi/>
          <w:rtlGutter/>
          <w:docGrid w:linePitch="360"/>
        </w:sectPr>
      </w:pPr>
    </w:p>
    <w:p w14:paraId="48E2E6DC" w14:textId="4DD2D2C9"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לד</w:t>
      </w:r>
      <w:r w:rsidRPr="00351B7D">
        <w:rPr>
          <w:rFonts w:asciiTheme="minorBidi" w:hAnsiTheme="minorBidi"/>
        </w:rPr>
        <w:t xml:space="preserve"> </w:t>
      </w:r>
      <w:r w:rsidRPr="00351B7D">
        <w:rPr>
          <w:rFonts w:asciiTheme="minorBidi" w:hAnsiTheme="minorBidi"/>
          <w:rtl/>
        </w:rPr>
        <w:t xml:space="preserve">:ברכת האירוסין, ואם צריך עשרה, ובו ד' סעיפים. </w:t>
      </w:r>
    </w:p>
    <w:p w14:paraId="43BF6694" w14:textId="77777777" w:rsidR="008E16D0" w:rsidRPr="00351B7D" w:rsidRDefault="008E16D0" w:rsidP="008E16D0">
      <w:pPr>
        <w:pStyle w:val="2"/>
        <w:rPr>
          <w:rFonts w:asciiTheme="minorBidi" w:hAnsiTheme="minorBidi"/>
          <w:rtl/>
        </w:rPr>
      </w:pPr>
      <w:r w:rsidRPr="00351B7D">
        <w:rPr>
          <w:rFonts w:asciiTheme="minorBidi" w:hAnsiTheme="minorBidi"/>
          <w:rtl/>
        </w:rPr>
        <w:t>סעיף א: מי מברך את ברכת האירוסין, מתי מברך, ונוסח הברכה.</w:t>
      </w:r>
    </w:p>
    <w:p w14:paraId="20CF21BF"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ז ע"ב: </w:t>
      </w:r>
      <w:r w:rsidRPr="00351B7D">
        <w:rPr>
          <w:rFonts w:asciiTheme="minorBidi" w:hAnsiTheme="minorBidi"/>
          <w:rtl/>
        </w:rPr>
        <w:t xml:space="preserve">תניא אידך: מברכין... וברכת אירוסין בבית האירוסין...  מאי מברך? </w:t>
      </w:r>
      <w:r w:rsidRPr="00351B7D">
        <w:rPr>
          <w:rFonts w:asciiTheme="minorBidi" w:hAnsiTheme="minorBidi"/>
          <w:u w:val="single"/>
          <w:rtl/>
        </w:rPr>
        <w:t>רבין בר רב אדא ורבה בר רב אדא, תרוייהו משמיה דרב יהודה אמרי</w:t>
      </w:r>
      <w:r w:rsidRPr="00351B7D">
        <w:rPr>
          <w:rFonts w:asciiTheme="minorBidi" w:hAnsiTheme="minorBidi"/>
          <w:rtl/>
        </w:rPr>
        <w:t>: בא"י אמ"ה אשר קדשנו במצותיו וצונו על העריות ואסר לנו את הארוסות</w:t>
      </w:r>
      <w:r w:rsidRPr="00351B7D">
        <w:rPr>
          <w:rStyle w:val="a7"/>
          <w:rFonts w:asciiTheme="minorBidi" w:hAnsiTheme="minorBidi"/>
          <w:rtl/>
        </w:rPr>
        <w:footnoteReference w:id="353"/>
      </w:r>
      <w:r w:rsidRPr="00351B7D">
        <w:rPr>
          <w:rFonts w:asciiTheme="minorBidi" w:hAnsiTheme="minorBidi"/>
          <w:rtl/>
        </w:rPr>
        <w:t xml:space="preserve"> והתיר לנו</w:t>
      </w:r>
      <w:r w:rsidRPr="00351B7D">
        <w:rPr>
          <w:rStyle w:val="a7"/>
          <w:rFonts w:asciiTheme="minorBidi" w:hAnsiTheme="minorBidi"/>
          <w:rtl/>
        </w:rPr>
        <w:footnoteReference w:id="354"/>
      </w:r>
      <w:r w:rsidRPr="00351B7D">
        <w:rPr>
          <w:rFonts w:asciiTheme="minorBidi" w:hAnsiTheme="minorBidi"/>
          <w:rtl/>
        </w:rPr>
        <w:t xml:space="preserve"> את הנשואות על ידי חופה וקדושין</w:t>
      </w:r>
      <w:r w:rsidRPr="00351B7D">
        <w:rPr>
          <w:rStyle w:val="a7"/>
          <w:rFonts w:asciiTheme="minorBidi" w:hAnsiTheme="minorBidi"/>
          <w:rtl/>
        </w:rPr>
        <w:footnoteReference w:id="355"/>
      </w:r>
      <w:r w:rsidRPr="00351B7D">
        <w:rPr>
          <w:rFonts w:asciiTheme="minorBidi" w:hAnsiTheme="minorBidi"/>
          <w:rtl/>
        </w:rPr>
        <w:t xml:space="preserve">. </w:t>
      </w:r>
      <w:r w:rsidRPr="00351B7D">
        <w:rPr>
          <w:rFonts w:asciiTheme="minorBidi" w:hAnsiTheme="minorBidi"/>
          <w:u w:val="single"/>
          <w:rtl/>
        </w:rPr>
        <w:t>רב אחא בריה דרבא מסיים בה משמיה דרב יהודה</w:t>
      </w:r>
      <w:r w:rsidRPr="00351B7D">
        <w:rPr>
          <w:rFonts w:asciiTheme="minorBidi" w:hAnsiTheme="minorBidi"/>
          <w:rtl/>
        </w:rPr>
        <w:t>: בא"י מקדש ישראל על ידי חופה וקדושין. מאן דלא חתים, מידי דהוה אברכת פירות</w:t>
      </w:r>
      <w:r w:rsidRPr="00351B7D">
        <w:rPr>
          <w:rStyle w:val="a7"/>
          <w:rFonts w:asciiTheme="minorBidi" w:hAnsiTheme="minorBidi"/>
          <w:rtl/>
        </w:rPr>
        <w:footnoteReference w:id="356"/>
      </w:r>
      <w:r w:rsidRPr="00351B7D">
        <w:rPr>
          <w:rFonts w:asciiTheme="minorBidi" w:hAnsiTheme="minorBidi"/>
          <w:rtl/>
        </w:rPr>
        <w:t xml:space="preserve"> ואברכת מצות</w:t>
      </w:r>
      <w:r w:rsidRPr="00351B7D">
        <w:rPr>
          <w:rStyle w:val="a7"/>
          <w:rFonts w:asciiTheme="minorBidi" w:hAnsiTheme="minorBidi"/>
          <w:rtl/>
        </w:rPr>
        <w:footnoteReference w:id="357"/>
      </w:r>
      <w:r w:rsidRPr="00351B7D">
        <w:rPr>
          <w:rFonts w:asciiTheme="minorBidi" w:hAnsiTheme="minorBidi"/>
          <w:rtl/>
        </w:rPr>
        <w:t>, ומאן דחתים, מידי דהוה אקידושא</w:t>
      </w:r>
      <w:r w:rsidRPr="00351B7D">
        <w:rPr>
          <w:rStyle w:val="a7"/>
          <w:rFonts w:asciiTheme="minorBidi" w:hAnsiTheme="minorBidi"/>
          <w:rtl/>
        </w:rPr>
        <w:footnoteReference w:id="358"/>
      </w:r>
      <w:r w:rsidRPr="00351B7D">
        <w:rPr>
          <w:rFonts w:asciiTheme="minorBidi" w:hAnsiTheme="minorBidi"/>
          <w:rtl/>
        </w:rPr>
        <w:t xml:space="preserve">. </w:t>
      </w:r>
    </w:p>
    <w:p w14:paraId="454E5808"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שינויים בנוסח ברכת האירוסין המובאת בגמ' </w:t>
      </w:r>
      <w:r w:rsidRPr="00351B7D">
        <w:rPr>
          <w:rFonts w:asciiTheme="minorBidi" w:hAnsiTheme="minorBidi"/>
          <w:sz w:val="16"/>
          <w:szCs w:val="16"/>
          <w:u w:val="single"/>
          <w:rtl/>
        </w:rPr>
        <w:t>("וצונו על העריות ואסר לנו את הארוסות והתיר לנו את הנשואות על ידי חופה וקדושין")</w:t>
      </w:r>
      <w:r w:rsidRPr="00351B7D">
        <w:rPr>
          <w:rFonts w:asciiTheme="minorBidi" w:hAnsiTheme="minorBidi"/>
          <w:u w:val="single"/>
          <w:rtl/>
        </w:rPr>
        <w:t>:</w:t>
      </w:r>
    </w:p>
    <w:p w14:paraId="6993F4DC" w14:textId="77777777" w:rsidR="008E16D0" w:rsidRPr="00351B7D" w:rsidRDefault="008E16D0" w:rsidP="00A8697F">
      <w:pPr>
        <w:pStyle w:val="ab"/>
        <w:numPr>
          <w:ilvl w:val="0"/>
          <w:numId w:val="43"/>
        </w:numPr>
        <w:rPr>
          <w:rFonts w:asciiTheme="minorBidi" w:hAnsiTheme="minorBidi"/>
        </w:rPr>
      </w:pPr>
      <w:r w:rsidRPr="00351B7D">
        <w:rPr>
          <w:rFonts w:asciiTheme="minorBidi" w:hAnsiTheme="minorBidi"/>
          <w:rtl/>
        </w:rPr>
        <w:t>בהעי"ט</w:t>
      </w:r>
      <w:r w:rsidRPr="00351B7D">
        <w:rPr>
          <w:rFonts w:asciiTheme="minorBidi" w:hAnsiTheme="minorBidi"/>
          <w:sz w:val="16"/>
          <w:szCs w:val="16"/>
          <w:rtl/>
        </w:rPr>
        <w:t xml:space="preserve"> (הל' ברכת חתנים סב ע"ד)</w:t>
      </w:r>
      <w:r w:rsidRPr="00351B7D">
        <w:rPr>
          <w:rFonts w:asciiTheme="minorBidi" w:hAnsiTheme="minorBidi"/>
          <w:rtl/>
        </w:rPr>
        <w:t>- עיקר הנוסחא היא- ע"י חופה 'בקידושין', בבי"ת</w:t>
      </w:r>
      <w:r w:rsidRPr="00351B7D">
        <w:rPr>
          <w:rStyle w:val="a7"/>
          <w:rFonts w:asciiTheme="minorBidi" w:hAnsiTheme="minorBidi"/>
          <w:rtl/>
        </w:rPr>
        <w:footnoteReference w:id="359"/>
      </w:r>
      <w:r w:rsidRPr="00351B7D">
        <w:rPr>
          <w:rFonts w:asciiTheme="minorBidi" w:hAnsiTheme="minorBidi"/>
          <w:rtl/>
        </w:rPr>
        <w:t>.</w:t>
      </w:r>
      <w:r w:rsidRPr="00351B7D">
        <w:rPr>
          <w:rFonts w:asciiTheme="minorBidi" w:hAnsiTheme="minorBidi"/>
          <w:color w:val="E36C0A" w:themeColor="accent6" w:themeShade="BF"/>
          <w:rtl/>
        </w:rPr>
        <w:t xml:space="preserve"> (וכ"כ בשו"ע)</w:t>
      </w:r>
    </w:p>
    <w:p w14:paraId="6C258079" w14:textId="77777777" w:rsidR="008E16D0" w:rsidRPr="00351B7D" w:rsidRDefault="008E16D0" w:rsidP="00A8697F">
      <w:pPr>
        <w:pStyle w:val="ab"/>
        <w:numPr>
          <w:ilvl w:val="0"/>
          <w:numId w:val="43"/>
        </w:numPr>
        <w:rPr>
          <w:rFonts w:asciiTheme="minorBidi" w:hAnsiTheme="minorBidi"/>
        </w:rPr>
      </w:pPr>
      <w:r w:rsidRPr="00351B7D">
        <w:rPr>
          <w:rFonts w:asciiTheme="minorBidi" w:hAnsiTheme="minorBidi"/>
          <w:rtl/>
        </w:rPr>
        <w:t xml:space="preserve">ר"ת </w:t>
      </w:r>
      <w:r w:rsidRPr="00351B7D">
        <w:rPr>
          <w:rFonts w:asciiTheme="minorBidi" w:hAnsiTheme="minorBidi"/>
          <w:sz w:val="16"/>
          <w:szCs w:val="16"/>
          <w:rtl/>
        </w:rPr>
        <w:t>(הביאו הר"ן כתובות ב: מדפה"ר)</w:t>
      </w:r>
      <w:r w:rsidRPr="00351B7D">
        <w:rPr>
          <w:rFonts w:asciiTheme="minorBidi" w:hAnsiTheme="minorBidi"/>
          <w:rtl/>
        </w:rPr>
        <w:t xml:space="preserve">- צריך להגיה בנוסח הברכה 'והתיר לנו את הנשואות </w:t>
      </w:r>
      <w:r w:rsidRPr="00351B7D">
        <w:rPr>
          <w:rFonts w:asciiTheme="minorBidi" w:hAnsiTheme="minorBidi"/>
          <w:u w:val="single"/>
          <w:rtl/>
        </w:rPr>
        <w:t>לנו</w:t>
      </w:r>
      <w:r w:rsidRPr="00351B7D">
        <w:rPr>
          <w:rFonts w:asciiTheme="minorBidi" w:hAnsiTheme="minorBidi"/>
          <w:rtl/>
        </w:rPr>
        <w:t xml:space="preserve">'. </w:t>
      </w:r>
      <w:r w:rsidRPr="00351B7D">
        <w:rPr>
          <w:rFonts w:asciiTheme="minorBidi" w:hAnsiTheme="minorBidi"/>
          <w:color w:val="E36C0A" w:themeColor="accent6" w:themeShade="BF"/>
          <w:rtl/>
        </w:rPr>
        <w:t>(וכ"כ בשו"ע</w:t>
      </w:r>
      <w:r w:rsidRPr="00351B7D">
        <w:rPr>
          <w:rStyle w:val="a7"/>
          <w:rFonts w:asciiTheme="minorBidi" w:hAnsiTheme="minorBidi"/>
          <w:rtl/>
        </w:rPr>
        <w:footnoteReference w:id="360"/>
      </w:r>
      <w:r w:rsidRPr="00351B7D">
        <w:rPr>
          <w:rFonts w:asciiTheme="minorBidi" w:hAnsiTheme="minorBidi"/>
          <w:color w:val="E36C0A" w:themeColor="accent6" w:themeShade="BF"/>
          <w:rtl/>
        </w:rPr>
        <w:t>)</w:t>
      </w:r>
    </w:p>
    <w:p w14:paraId="75BE9904" w14:textId="77777777" w:rsidR="008E16D0" w:rsidRPr="00351B7D" w:rsidRDefault="008E16D0" w:rsidP="00A8697F">
      <w:pPr>
        <w:pStyle w:val="ab"/>
        <w:numPr>
          <w:ilvl w:val="0"/>
          <w:numId w:val="43"/>
        </w:numPr>
        <w:rPr>
          <w:rFonts w:asciiTheme="minorBidi" w:hAnsiTheme="minorBidi"/>
        </w:rPr>
      </w:pPr>
      <w:r w:rsidRPr="00351B7D">
        <w:rPr>
          <w:rFonts w:asciiTheme="minorBidi" w:hAnsiTheme="minorBidi"/>
          <w:rtl/>
        </w:rPr>
        <w:t xml:space="preserve">רב האי גאון </w:t>
      </w:r>
      <w:r w:rsidRPr="00351B7D">
        <w:rPr>
          <w:rFonts w:asciiTheme="minorBidi" w:hAnsiTheme="minorBidi"/>
          <w:sz w:val="16"/>
          <w:szCs w:val="16"/>
          <w:rtl/>
        </w:rPr>
        <w:t>(הביאו הר"ן)</w:t>
      </w:r>
      <w:r w:rsidRPr="00351B7D">
        <w:rPr>
          <w:rFonts w:asciiTheme="minorBidi" w:hAnsiTheme="minorBidi"/>
          <w:rtl/>
        </w:rPr>
        <w:t>- 'והתיר לנו על ידי חופה וקידושין', ואין מנהג בישיבה לומר '</w:t>
      </w:r>
      <w:r w:rsidRPr="00351B7D">
        <w:rPr>
          <w:rFonts w:asciiTheme="minorBidi" w:hAnsiTheme="minorBidi"/>
          <w:u w:val="single"/>
          <w:rtl/>
        </w:rPr>
        <w:t>את הנשואות</w:t>
      </w:r>
      <w:r w:rsidRPr="00351B7D">
        <w:rPr>
          <w:rFonts w:asciiTheme="minorBidi" w:hAnsiTheme="minorBidi"/>
          <w:rtl/>
        </w:rPr>
        <w:t xml:space="preserve">'. </w:t>
      </w:r>
    </w:p>
    <w:p w14:paraId="2C01206C" w14:textId="77777777" w:rsidR="008E16D0" w:rsidRPr="00351B7D" w:rsidRDefault="008E16D0" w:rsidP="00A8697F">
      <w:pPr>
        <w:pStyle w:val="ab"/>
        <w:numPr>
          <w:ilvl w:val="0"/>
          <w:numId w:val="43"/>
        </w:numPr>
        <w:rPr>
          <w:rFonts w:asciiTheme="minorBidi" w:hAnsiTheme="minorBidi"/>
        </w:rPr>
      </w:pPr>
      <w:r w:rsidRPr="00351B7D">
        <w:rPr>
          <w:rFonts w:asciiTheme="minorBidi" w:hAnsiTheme="minorBidi"/>
          <w:rtl/>
        </w:rPr>
        <w:t xml:space="preserve">רמב"ם- בא"י אקב"ו </w:t>
      </w:r>
      <w:r w:rsidRPr="00351B7D">
        <w:rPr>
          <w:rFonts w:asciiTheme="minorBidi" w:hAnsiTheme="minorBidi"/>
          <w:u w:val="single"/>
          <w:rtl/>
        </w:rPr>
        <w:t>והבדילנו</w:t>
      </w:r>
      <w:r w:rsidRPr="00351B7D">
        <w:rPr>
          <w:rFonts w:asciiTheme="minorBidi" w:hAnsiTheme="minorBidi"/>
          <w:rtl/>
        </w:rPr>
        <w:t xml:space="preserve"> מן העריות</w:t>
      </w:r>
      <w:r w:rsidRPr="00351B7D">
        <w:rPr>
          <w:rStyle w:val="a7"/>
          <w:rFonts w:asciiTheme="minorBidi" w:hAnsiTheme="minorBidi"/>
          <w:rtl/>
        </w:rPr>
        <w:footnoteReference w:id="361"/>
      </w:r>
      <w:r w:rsidRPr="00351B7D">
        <w:rPr>
          <w:rFonts w:asciiTheme="minorBidi" w:hAnsiTheme="minorBidi"/>
          <w:rtl/>
        </w:rPr>
        <w:t xml:space="preserve">. </w:t>
      </w:r>
      <w:r w:rsidRPr="00351B7D">
        <w:rPr>
          <w:rFonts w:asciiTheme="minorBidi" w:hAnsiTheme="minorBidi"/>
        </w:rPr>
        <w:t xml:space="preserve"> </w:t>
      </w:r>
      <w:r w:rsidRPr="00351B7D">
        <w:rPr>
          <w:rFonts w:asciiTheme="minorBidi" w:hAnsiTheme="minorBidi"/>
          <w:rtl/>
        </w:rPr>
        <w:t xml:space="preserve">  </w:t>
      </w:r>
    </w:p>
    <w:p w14:paraId="42458D5A" w14:textId="77777777" w:rsidR="008E16D0" w:rsidRPr="00351B7D" w:rsidRDefault="008E16D0" w:rsidP="008E16D0">
      <w:pPr>
        <w:rPr>
          <w:rFonts w:asciiTheme="minorBidi" w:hAnsiTheme="minorBidi"/>
          <w:u w:val="single"/>
        </w:rPr>
      </w:pPr>
      <w:r w:rsidRPr="00351B7D">
        <w:rPr>
          <w:rFonts w:asciiTheme="minorBidi" w:hAnsiTheme="minorBidi"/>
          <w:u w:val="single"/>
          <w:rtl/>
        </w:rPr>
        <w:t>גירסאות בחתימת הברכה:</w:t>
      </w:r>
    </w:p>
    <w:p w14:paraId="014C7F6E" w14:textId="77777777" w:rsidR="008E16D0" w:rsidRPr="00351B7D" w:rsidRDefault="008E16D0" w:rsidP="00A8697F">
      <w:pPr>
        <w:pStyle w:val="ab"/>
        <w:numPr>
          <w:ilvl w:val="0"/>
          <w:numId w:val="43"/>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(סי' יב)</w:t>
      </w:r>
      <w:r w:rsidRPr="00351B7D">
        <w:rPr>
          <w:rFonts w:asciiTheme="minorBidi" w:hAnsiTheme="minorBidi"/>
          <w:rtl/>
        </w:rPr>
        <w:t xml:space="preserve">- נהגו לחתום 'מקדש ישראל </w:t>
      </w:r>
      <w:r w:rsidRPr="00351B7D">
        <w:rPr>
          <w:rFonts w:asciiTheme="minorBidi" w:hAnsiTheme="minorBidi"/>
          <w:u w:val="single"/>
          <w:rtl/>
        </w:rPr>
        <w:t>על ידי חופה וקידושין</w:t>
      </w:r>
      <w:r w:rsidRPr="00351B7D">
        <w:rPr>
          <w:rFonts w:asciiTheme="minorBidi" w:hAnsiTheme="minorBidi"/>
          <w:rtl/>
        </w:rPr>
        <w:t xml:space="preserve">'.  </w:t>
      </w:r>
      <w:r w:rsidRPr="00351B7D">
        <w:rPr>
          <w:rFonts w:asciiTheme="minorBidi" w:hAnsiTheme="minorBidi"/>
          <w:color w:val="00B0F0"/>
          <w:rtl/>
        </w:rPr>
        <w:t>(וכ"כ הרמ"א</w:t>
      </w:r>
      <w:r w:rsidRPr="00351B7D">
        <w:rPr>
          <w:rStyle w:val="a7"/>
          <w:rFonts w:asciiTheme="minorBidi" w:hAnsiTheme="minorBidi"/>
          <w:rtl/>
        </w:rPr>
        <w:footnoteReference w:id="362"/>
      </w:r>
      <w:r w:rsidRPr="00351B7D">
        <w:rPr>
          <w:rFonts w:asciiTheme="minorBidi" w:hAnsiTheme="minorBidi"/>
          <w:color w:val="00B0F0"/>
          <w:rtl/>
        </w:rPr>
        <w:t>)</w:t>
      </w:r>
    </w:p>
    <w:p w14:paraId="6EC1483E" w14:textId="77777777" w:rsidR="008E16D0" w:rsidRPr="00351B7D" w:rsidRDefault="008E16D0" w:rsidP="00A8697F">
      <w:pPr>
        <w:pStyle w:val="ab"/>
        <w:numPr>
          <w:ilvl w:val="0"/>
          <w:numId w:val="43"/>
        </w:numPr>
        <w:rPr>
          <w:rFonts w:asciiTheme="minorBidi" w:hAnsiTheme="minorBidi"/>
        </w:rPr>
      </w:pPr>
      <w:r w:rsidRPr="00351B7D">
        <w:rPr>
          <w:rFonts w:asciiTheme="minorBidi" w:hAnsiTheme="minorBidi"/>
          <w:rtl/>
        </w:rPr>
        <w:t>רב האי רמב"ם ורמב"ן</w:t>
      </w:r>
      <w:r w:rsidRPr="00351B7D">
        <w:rPr>
          <w:rStyle w:val="a7"/>
          <w:rFonts w:asciiTheme="minorBidi" w:hAnsiTheme="minorBidi"/>
          <w:rtl/>
        </w:rPr>
        <w:footnoteReference w:id="363"/>
      </w:r>
      <w:r w:rsidRPr="00351B7D">
        <w:rPr>
          <w:rFonts w:asciiTheme="minorBidi" w:hAnsiTheme="minorBidi"/>
          <w:rtl/>
        </w:rPr>
        <w:t>- חותמין 'מקדש ישראל' בלבד</w:t>
      </w:r>
      <w:r w:rsidRPr="00351B7D">
        <w:rPr>
          <w:rStyle w:val="a7"/>
          <w:rFonts w:asciiTheme="minorBidi" w:hAnsiTheme="minorBidi"/>
          <w:rtl/>
        </w:rPr>
        <w:footnoteReference w:id="364"/>
      </w:r>
      <w:r w:rsidRPr="00351B7D">
        <w:rPr>
          <w:rFonts w:asciiTheme="minorBidi" w:hAnsiTheme="minorBidi"/>
          <w:rtl/>
        </w:rPr>
        <w:t xml:space="preserve">. </w:t>
      </w:r>
      <w:r w:rsidRPr="00351B7D">
        <w:rPr>
          <w:rFonts w:asciiTheme="minorBidi" w:hAnsiTheme="minorBidi"/>
          <w:color w:val="E36C0A" w:themeColor="accent6" w:themeShade="BF"/>
          <w:rtl/>
        </w:rPr>
        <w:t xml:space="preserve"> (וכ"כ בשו"ע)</w:t>
      </w:r>
    </w:p>
    <w:p w14:paraId="07FD75F4"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מדוע ברכה זו שונה מכל ברכות המצות</w:t>
      </w:r>
      <w:r w:rsidRPr="00351B7D">
        <w:rPr>
          <w:rFonts w:asciiTheme="minorBidi" w:hAnsiTheme="minorBidi"/>
          <w:sz w:val="16"/>
          <w:szCs w:val="16"/>
          <w:u w:val="single"/>
          <w:rtl/>
        </w:rPr>
        <w:t xml:space="preserve"> (שהאיסור נזכר בברכה</w:t>
      </w:r>
      <w:r w:rsidRPr="00351B7D">
        <w:rPr>
          <w:rStyle w:val="a7"/>
          <w:rFonts w:asciiTheme="minorBidi" w:hAnsiTheme="minorBidi"/>
          <w:sz w:val="16"/>
          <w:szCs w:val="16"/>
          <w:u w:val="single"/>
          <w:rtl/>
        </w:rPr>
        <w:footnoteReference w:id="365"/>
      </w:r>
      <w:r w:rsidRPr="00351B7D">
        <w:rPr>
          <w:rFonts w:asciiTheme="minorBidi" w:hAnsiTheme="minorBidi"/>
          <w:sz w:val="16"/>
          <w:szCs w:val="16"/>
          <w:u w:val="single"/>
          <w:rtl/>
        </w:rPr>
        <w:t>, והלשון ארוכה</w:t>
      </w:r>
      <w:r w:rsidRPr="00351B7D">
        <w:rPr>
          <w:rStyle w:val="a7"/>
          <w:rFonts w:asciiTheme="minorBidi" w:hAnsiTheme="minorBidi"/>
          <w:sz w:val="16"/>
          <w:szCs w:val="16"/>
          <w:u w:val="single"/>
          <w:rtl/>
        </w:rPr>
        <w:footnoteReference w:id="366"/>
      </w:r>
      <w:r w:rsidRPr="00351B7D">
        <w:rPr>
          <w:rFonts w:asciiTheme="minorBidi" w:hAnsiTheme="minorBidi"/>
          <w:sz w:val="16"/>
          <w:szCs w:val="16"/>
          <w:u w:val="single"/>
          <w:rtl/>
        </w:rPr>
        <w:t>)</w:t>
      </w:r>
      <w:r w:rsidRPr="00351B7D">
        <w:rPr>
          <w:rFonts w:asciiTheme="minorBidi" w:hAnsiTheme="minorBidi"/>
          <w:u w:val="single"/>
          <w:rtl/>
        </w:rPr>
        <w:t>:</w:t>
      </w:r>
    </w:p>
    <w:p w14:paraId="21A2C139" w14:textId="77777777" w:rsidR="008E16D0" w:rsidRPr="00351B7D" w:rsidRDefault="008E16D0" w:rsidP="00A8697F">
      <w:pPr>
        <w:pStyle w:val="ab"/>
        <w:numPr>
          <w:ilvl w:val="0"/>
          <w:numId w:val="44"/>
        </w:numPr>
        <w:rPr>
          <w:rFonts w:asciiTheme="minorBidi" w:hAnsiTheme="minorBidi"/>
        </w:rPr>
      </w:pPr>
      <w:r w:rsidRPr="00351B7D">
        <w:rPr>
          <w:rFonts w:asciiTheme="minorBidi" w:hAnsiTheme="minorBidi"/>
          <w:rtl/>
        </w:rPr>
        <w:t>רא"ש</w:t>
      </w:r>
      <w:r w:rsidRPr="00351B7D">
        <w:rPr>
          <w:rFonts w:asciiTheme="minorBidi" w:hAnsiTheme="minorBidi"/>
          <w:sz w:val="16"/>
          <w:szCs w:val="16"/>
          <w:rtl/>
        </w:rPr>
        <w:t xml:space="preserve"> (כתובות סי' ב')</w:t>
      </w:r>
      <w:r w:rsidRPr="00351B7D">
        <w:rPr>
          <w:rFonts w:asciiTheme="minorBidi" w:hAnsiTheme="minorBidi"/>
          <w:rtl/>
        </w:rPr>
        <w:t xml:space="preserve"> ור"ן </w:t>
      </w:r>
      <w:r w:rsidRPr="00351B7D">
        <w:rPr>
          <w:rFonts w:asciiTheme="minorBidi" w:hAnsiTheme="minorBidi"/>
          <w:sz w:val="16"/>
          <w:szCs w:val="16"/>
          <w:rtl/>
        </w:rPr>
        <w:t>(ב. ד"ה ואסר)</w:t>
      </w:r>
      <w:r w:rsidRPr="00351B7D">
        <w:rPr>
          <w:rFonts w:asciiTheme="minorBidi" w:hAnsiTheme="minorBidi"/>
          <w:rtl/>
        </w:rPr>
        <w:t>-  משום שאין ברכה זו ברכת המצוה ממש</w:t>
      </w:r>
      <w:r w:rsidRPr="00351B7D">
        <w:rPr>
          <w:rStyle w:val="a7"/>
          <w:rFonts w:asciiTheme="minorBidi" w:hAnsiTheme="minorBidi"/>
          <w:rtl/>
        </w:rPr>
        <w:footnoteReference w:id="367"/>
      </w:r>
      <w:r w:rsidRPr="00351B7D">
        <w:rPr>
          <w:rFonts w:asciiTheme="minorBidi" w:hAnsiTheme="minorBidi"/>
          <w:rtl/>
        </w:rPr>
        <w:t xml:space="preserve">. </w:t>
      </w:r>
    </w:p>
    <w:p w14:paraId="7BDB684B" w14:textId="77777777" w:rsidR="008E16D0" w:rsidRPr="00351B7D" w:rsidRDefault="008E16D0" w:rsidP="00A8697F">
      <w:pPr>
        <w:pStyle w:val="ab"/>
        <w:numPr>
          <w:ilvl w:val="0"/>
          <w:numId w:val="44"/>
        </w:numPr>
        <w:rPr>
          <w:rFonts w:asciiTheme="minorBidi" w:hAnsiTheme="minorBidi"/>
        </w:rPr>
      </w:pPr>
      <w:r w:rsidRPr="00351B7D">
        <w:rPr>
          <w:rFonts w:asciiTheme="minorBidi" w:hAnsiTheme="minorBidi"/>
          <w:rtl/>
        </w:rPr>
        <w:lastRenderedPageBreak/>
        <w:t>ט"ז</w:t>
      </w:r>
      <w:r w:rsidRPr="00351B7D">
        <w:rPr>
          <w:rFonts w:asciiTheme="minorBidi" w:hAnsiTheme="minorBidi"/>
          <w:sz w:val="16"/>
          <w:szCs w:val="16"/>
          <w:rtl/>
        </w:rPr>
        <w:t xml:space="preserve"> (סק"ב)</w:t>
      </w:r>
      <w:r w:rsidRPr="00351B7D">
        <w:rPr>
          <w:rFonts w:asciiTheme="minorBidi" w:hAnsiTheme="minorBidi"/>
          <w:rtl/>
        </w:rPr>
        <w:t>- להורות שאנו שמחים ומודים לה' שמקדש אותנו ע"י שמבדילנו מדברים אלו</w:t>
      </w:r>
      <w:r w:rsidRPr="00351B7D">
        <w:rPr>
          <w:rStyle w:val="a7"/>
          <w:rFonts w:asciiTheme="minorBidi" w:hAnsiTheme="minorBidi"/>
          <w:rtl/>
        </w:rPr>
        <w:footnoteReference w:id="368"/>
      </w:r>
      <w:r w:rsidRPr="00351B7D">
        <w:rPr>
          <w:rFonts w:asciiTheme="minorBidi" w:hAnsiTheme="minorBidi"/>
          <w:rtl/>
        </w:rPr>
        <w:t xml:space="preserve">. </w:t>
      </w:r>
    </w:p>
    <w:p w14:paraId="2B3CF51E"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מי מברך בעת הקדושין:</w:t>
      </w:r>
    </w:p>
    <w:p w14:paraId="5C943AB7" w14:textId="77777777" w:rsidR="008E16D0" w:rsidRPr="00351B7D" w:rsidRDefault="008E16D0" w:rsidP="00A8697F">
      <w:pPr>
        <w:pStyle w:val="ab"/>
        <w:numPr>
          <w:ilvl w:val="0"/>
          <w:numId w:val="42"/>
        </w:numPr>
        <w:rPr>
          <w:rFonts w:asciiTheme="minorBidi" w:hAnsiTheme="minorBidi"/>
          <w:rtl/>
        </w:rPr>
      </w:pPr>
      <w:r w:rsidRPr="00351B7D">
        <w:rPr>
          <w:rFonts w:asciiTheme="minorBidi" w:hAnsiTheme="minorBidi"/>
          <w:rtl/>
        </w:rPr>
        <w:t>רמב"ם</w:t>
      </w:r>
      <w:r w:rsidRPr="00351B7D">
        <w:rPr>
          <w:rFonts w:asciiTheme="minorBidi" w:hAnsiTheme="minorBidi"/>
          <w:sz w:val="16"/>
          <w:szCs w:val="16"/>
          <w:rtl/>
        </w:rPr>
        <w:t xml:space="preserve"> (פ"ג הכ"ג)</w:t>
      </w:r>
      <w:r w:rsidRPr="00351B7D">
        <w:rPr>
          <w:rFonts w:asciiTheme="minorBidi" w:hAnsiTheme="minorBidi"/>
          <w:rtl/>
        </w:rPr>
        <w:t xml:space="preserve"> וטור- אם הוא מקדש אז הוא מברך, ואם מקדש ע"י שליח אז השליח מברך.</w:t>
      </w:r>
      <w:r w:rsidRPr="00351B7D">
        <w:rPr>
          <w:rFonts w:asciiTheme="minorBidi" w:hAnsiTheme="minorBidi"/>
          <w:color w:val="E36C0A" w:themeColor="accent6" w:themeShade="BF"/>
          <w:rtl/>
        </w:rPr>
        <w:t xml:space="preserve"> (וכ"פ בשו"ע)</w:t>
      </w:r>
    </w:p>
    <w:p w14:paraId="3D9D6EE0" w14:textId="77777777" w:rsidR="008E16D0" w:rsidRPr="00351B7D" w:rsidRDefault="008E16D0" w:rsidP="00A8697F">
      <w:pPr>
        <w:pStyle w:val="ab"/>
        <w:numPr>
          <w:ilvl w:val="0"/>
          <w:numId w:val="42"/>
        </w:numPr>
        <w:rPr>
          <w:rFonts w:asciiTheme="minorBidi" w:hAnsiTheme="minorBidi"/>
          <w:rtl/>
        </w:rPr>
      </w:pPr>
      <w:r w:rsidRPr="00351B7D">
        <w:rPr>
          <w:rFonts w:asciiTheme="minorBidi" w:hAnsiTheme="minorBidi"/>
          <w:rtl/>
        </w:rPr>
        <w:t xml:space="preserve">סמ"ג </w:t>
      </w:r>
      <w:r w:rsidRPr="00351B7D">
        <w:rPr>
          <w:rFonts w:asciiTheme="minorBidi" w:hAnsiTheme="minorBidi"/>
          <w:sz w:val="16"/>
          <w:szCs w:val="16"/>
          <w:rtl/>
        </w:rPr>
        <w:t xml:space="preserve">(עשין מח) </w:t>
      </w:r>
      <w:r w:rsidRPr="00351B7D">
        <w:rPr>
          <w:rFonts w:asciiTheme="minorBidi" w:hAnsiTheme="minorBidi"/>
          <w:rtl/>
        </w:rPr>
        <w:t xml:space="preserve">והגה"מ </w:t>
      </w:r>
      <w:r w:rsidRPr="00351B7D">
        <w:rPr>
          <w:rFonts w:asciiTheme="minorBidi" w:hAnsiTheme="minorBidi"/>
          <w:sz w:val="16"/>
          <w:szCs w:val="16"/>
          <w:rtl/>
        </w:rPr>
        <w:t>(אישות פ"ג אות ס)</w:t>
      </w:r>
      <w:r w:rsidRPr="00351B7D">
        <w:rPr>
          <w:rFonts w:asciiTheme="minorBidi" w:hAnsiTheme="minorBidi"/>
          <w:rtl/>
        </w:rPr>
        <w:t xml:space="preserve">- אדם אחר מברך. </w:t>
      </w:r>
      <w:r w:rsidRPr="00351B7D">
        <w:rPr>
          <w:rFonts w:asciiTheme="minorBidi" w:hAnsiTheme="minorBidi"/>
          <w:color w:val="00B0F0"/>
          <w:rtl/>
        </w:rPr>
        <w:t>(וכ"פ הרמ"א)</w:t>
      </w:r>
    </w:p>
    <w:p w14:paraId="5BB34C88"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מקדש</w:t>
      </w:r>
      <w:r w:rsidRPr="00351B7D">
        <w:rPr>
          <w:rFonts w:asciiTheme="minorBidi" w:hAnsiTheme="minorBidi"/>
          <w:sz w:val="16"/>
          <w:szCs w:val="16"/>
          <w:u w:val="single"/>
          <w:rtl/>
        </w:rPr>
        <w:t xml:space="preserve"> (את האשה)</w:t>
      </w:r>
      <w:r w:rsidRPr="00351B7D">
        <w:rPr>
          <w:rFonts w:asciiTheme="minorBidi" w:hAnsiTheme="minorBidi"/>
          <w:u w:val="single"/>
          <w:rtl/>
        </w:rPr>
        <w:t xml:space="preserve"> ואז מברך </w:t>
      </w:r>
      <w:r w:rsidRPr="00351B7D">
        <w:rPr>
          <w:rFonts w:asciiTheme="minorBidi" w:hAnsiTheme="minorBidi"/>
          <w:sz w:val="16"/>
          <w:szCs w:val="16"/>
          <w:u w:val="single"/>
          <w:rtl/>
        </w:rPr>
        <w:t>(ברכת האירוסין)</w:t>
      </w:r>
      <w:r w:rsidRPr="00351B7D">
        <w:rPr>
          <w:rFonts w:asciiTheme="minorBidi" w:hAnsiTheme="minorBidi"/>
          <w:u w:val="single"/>
          <w:rtl/>
        </w:rPr>
        <w:t>, או מברך ואז מקדש:</w:t>
      </w:r>
    </w:p>
    <w:p w14:paraId="088BF05A" w14:textId="77777777" w:rsidR="008E16D0" w:rsidRPr="00351B7D" w:rsidRDefault="008E16D0" w:rsidP="00A8697F">
      <w:pPr>
        <w:pStyle w:val="ab"/>
        <w:numPr>
          <w:ilvl w:val="0"/>
          <w:numId w:val="46"/>
        </w:numPr>
        <w:rPr>
          <w:rFonts w:asciiTheme="minorBidi" w:hAnsiTheme="minorBidi"/>
        </w:rPr>
      </w:pPr>
      <w:r w:rsidRPr="00351B7D">
        <w:rPr>
          <w:rFonts w:asciiTheme="minorBidi" w:hAnsiTheme="minorBidi"/>
          <w:rtl/>
        </w:rPr>
        <w:t>רי"ף רמב"ם ורא"ש</w:t>
      </w:r>
      <w:r w:rsidRPr="00351B7D">
        <w:rPr>
          <w:rStyle w:val="a7"/>
          <w:rFonts w:asciiTheme="minorBidi" w:hAnsiTheme="minorBidi"/>
          <w:rtl/>
        </w:rPr>
        <w:footnoteReference w:id="369"/>
      </w:r>
      <w:r w:rsidRPr="00351B7D">
        <w:rPr>
          <w:rFonts w:asciiTheme="minorBidi" w:hAnsiTheme="minorBidi"/>
          <w:rtl/>
        </w:rPr>
        <w:t>- "צריך לברך קודם הקידושין הוא או שלוחו ואחר כך מקדש, כדרך שמברכין קודם כל המצות, ואם קידש ולא בירך לא יברך אחר הקידושין שזו ברכה לבטלה</w:t>
      </w:r>
      <w:r w:rsidRPr="00351B7D">
        <w:rPr>
          <w:rFonts w:asciiTheme="minorBidi" w:hAnsiTheme="minorBidi"/>
          <w:sz w:val="16"/>
          <w:szCs w:val="16"/>
          <w:rtl/>
        </w:rPr>
        <w:t xml:space="preserve"> (ל' הרמב"ם)</w:t>
      </w:r>
      <w:r w:rsidRPr="00351B7D">
        <w:rPr>
          <w:rStyle w:val="a7"/>
          <w:rFonts w:asciiTheme="minorBidi" w:hAnsiTheme="minorBidi"/>
          <w:rtl/>
        </w:rPr>
        <w:footnoteReference w:id="370"/>
      </w:r>
      <w:r w:rsidRPr="00351B7D">
        <w:rPr>
          <w:rFonts w:asciiTheme="minorBidi" w:hAnsiTheme="minorBidi"/>
          <w:rtl/>
        </w:rPr>
        <w:t>".</w:t>
      </w:r>
      <w:r w:rsidRPr="00351B7D">
        <w:rPr>
          <w:rFonts w:asciiTheme="minorBidi" w:hAnsiTheme="minorBidi"/>
        </w:rPr>
        <w:t xml:space="preserve"> </w:t>
      </w:r>
      <w:r w:rsidRPr="00351B7D">
        <w:rPr>
          <w:rFonts w:asciiTheme="minorBidi" w:hAnsiTheme="minorBidi"/>
          <w:color w:val="E36C0A" w:themeColor="accent6" w:themeShade="BF"/>
          <w:rtl/>
        </w:rPr>
        <w:t>(וכ"פ בשו"ע)</w:t>
      </w:r>
    </w:p>
    <w:p w14:paraId="7B90523B" w14:textId="77777777" w:rsidR="008E16D0" w:rsidRPr="00351B7D" w:rsidRDefault="008E16D0" w:rsidP="00A8697F">
      <w:pPr>
        <w:pStyle w:val="ab"/>
        <w:numPr>
          <w:ilvl w:val="0"/>
          <w:numId w:val="46"/>
        </w:numPr>
        <w:rPr>
          <w:rFonts w:asciiTheme="minorBidi" w:hAnsiTheme="minorBidi"/>
          <w:rtl/>
        </w:rPr>
      </w:pPr>
      <w:r w:rsidRPr="00351B7D">
        <w:rPr>
          <w:rFonts w:asciiTheme="minorBidi" w:hAnsiTheme="minorBidi"/>
          <w:rtl/>
        </w:rPr>
        <w:t>ר"ת</w:t>
      </w:r>
      <w:r w:rsidRPr="00351B7D">
        <w:rPr>
          <w:rFonts w:asciiTheme="minorBidi" w:hAnsiTheme="minorBidi"/>
          <w:sz w:val="16"/>
          <w:szCs w:val="16"/>
          <w:rtl/>
        </w:rPr>
        <w:t xml:space="preserve"> </w:t>
      </w:r>
      <w:r w:rsidRPr="00351B7D">
        <w:rPr>
          <w:rFonts w:asciiTheme="minorBidi" w:hAnsiTheme="minorBidi"/>
          <w:rtl/>
        </w:rPr>
        <w:t>תוס' ראב"ד תשב"ץ קטן</w:t>
      </w:r>
      <w:r w:rsidRPr="00351B7D">
        <w:rPr>
          <w:rStyle w:val="a7"/>
          <w:rFonts w:asciiTheme="minorBidi" w:hAnsiTheme="minorBidi"/>
          <w:rtl/>
        </w:rPr>
        <w:footnoteReference w:id="371"/>
      </w:r>
      <w:r w:rsidRPr="00351B7D">
        <w:rPr>
          <w:rFonts w:asciiTheme="minorBidi" w:hAnsiTheme="minorBidi"/>
          <w:rtl/>
        </w:rPr>
        <w:t xml:space="preserve"> מרדכי הגה"מ וריב"ש</w:t>
      </w:r>
      <w:r w:rsidRPr="00351B7D">
        <w:rPr>
          <w:rStyle w:val="a7"/>
          <w:rFonts w:asciiTheme="minorBidi" w:hAnsiTheme="minorBidi"/>
          <w:rtl/>
        </w:rPr>
        <w:footnoteReference w:id="372"/>
      </w:r>
      <w:r w:rsidRPr="00351B7D">
        <w:rPr>
          <w:rFonts w:asciiTheme="minorBidi" w:hAnsiTheme="minorBidi"/>
          <w:rtl/>
        </w:rPr>
        <w:t>- "מקדש ואח"כ מברך, והטעם מפני שהדבר תלוי בדעת אחרים שאם תמשך האשה ולא תרצה לקבל הרי הברכה לבטלה</w:t>
      </w:r>
      <w:r w:rsidRPr="00351B7D">
        <w:rPr>
          <w:rFonts w:asciiTheme="minorBidi" w:hAnsiTheme="minorBidi"/>
          <w:sz w:val="16"/>
          <w:szCs w:val="16"/>
          <w:rtl/>
        </w:rPr>
        <w:t xml:space="preserve"> (ל' הראב"ד)</w:t>
      </w:r>
      <w:r w:rsidRPr="00351B7D">
        <w:rPr>
          <w:rFonts w:asciiTheme="minorBidi" w:hAnsiTheme="minorBidi"/>
          <w:rtl/>
        </w:rPr>
        <w:t>", "ועוד שכל המצות לפי שמזכירים עשיית המצוה מברך עליהן עובר לעשייתן אבל כאן אין מברכין אקב"ו לקדש אשה וכיון שאין המברך מזכיר עשיית המצוה אין צריך לברך עובר לעשייתן</w:t>
      </w:r>
      <w:r w:rsidRPr="00351B7D">
        <w:rPr>
          <w:rFonts w:asciiTheme="minorBidi" w:hAnsiTheme="minorBidi"/>
          <w:sz w:val="16"/>
          <w:szCs w:val="16"/>
          <w:rtl/>
        </w:rPr>
        <w:t xml:space="preserve"> (רא"ש בשם י"א)</w:t>
      </w:r>
      <w:r w:rsidRPr="00351B7D">
        <w:rPr>
          <w:rFonts w:asciiTheme="minorBidi" w:hAnsiTheme="minorBidi"/>
          <w:rtl/>
        </w:rPr>
        <w:t xml:space="preserve">". </w:t>
      </w:r>
      <w:r w:rsidRPr="00351B7D">
        <w:rPr>
          <w:rFonts w:asciiTheme="minorBidi" w:hAnsiTheme="minorBidi"/>
          <w:color w:val="00B0F0"/>
          <w:rtl/>
        </w:rPr>
        <w:t>(וכ"פ הרמ"א</w:t>
      </w:r>
      <w:r w:rsidRPr="00351B7D">
        <w:rPr>
          <w:rStyle w:val="a7"/>
          <w:rFonts w:asciiTheme="minorBidi" w:hAnsiTheme="minorBidi"/>
          <w:rtl/>
        </w:rPr>
        <w:footnoteReference w:id="373"/>
      </w:r>
      <w:r w:rsidRPr="00351B7D">
        <w:rPr>
          <w:rFonts w:asciiTheme="minorBidi" w:hAnsiTheme="minorBidi"/>
          <w:color w:val="00B0F0"/>
          <w:rtl/>
        </w:rPr>
        <w:t>)</w:t>
      </w:r>
      <w:r w:rsidRPr="00351B7D">
        <w:rPr>
          <w:rFonts w:asciiTheme="minorBidi" w:hAnsiTheme="minorBidi"/>
          <w:rtl/>
        </w:rPr>
        <w:t xml:space="preserve"> </w:t>
      </w:r>
    </w:p>
    <w:p w14:paraId="6AAFA1B5"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DB9BC1" w14:textId="77777777" w:rsidR="008E16D0" w:rsidRPr="00351B7D" w:rsidRDefault="008E16D0" w:rsidP="008E16D0">
      <w:pPr>
        <w:rPr>
          <w:rFonts w:asciiTheme="minorBidi" w:hAnsiTheme="minorBidi"/>
          <w:rtl/>
        </w:rPr>
      </w:pPr>
      <w:r w:rsidRPr="00351B7D">
        <w:rPr>
          <w:rFonts w:asciiTheme="minorBidi" w:hAnsiTheme="minorBidi"/>
          <w:rtl/>
        </w:rPr>
        <w:t>כל המקדש אשה בין על ידי עצמו בין על ידי שליח</w:t>
      </w:r>
      <w:r w:rsidRPr="00351B7D">
        <w:rPr>
          <w:rStyle w:val="a7"/>
          <w:rFonts w:asciiTheme="minorBidi" w:hAnsiTheme="minorBidi"/>
          <w:color w:val="000000"/>
          <w:rtl/>
        </w:rPr>
        <w:footnoteReference w:id="374"/>
      </w:r>
      <w:r w:rsidRPr="00351B7D">
        <w:rPr>
          <w:rFonts w:asciiTheme="minorBidi" w:hAnsiTheme="minorBidi"/>
          <w:rtl/>
        </w:rPr>
        <w:t xml:space="preserve"> מברך</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(הוא או השליח (טור) וי"א דאחר מברך</w:t>
      </w:r>
      <w:r w:rsidRPr="00351B7D">
        <w:rPr>
          <w:rStyle w:val="a7"/>
          <w:rFonts w:asciiTheme="minorBidi" w:hAnsiTheme="minorBidi"/>
          <w:color w:val="000000"/>
          <w:sz w:val="18"/>
          <w:szCs w:val="18"/>
          <w:rtl/>
        </w:rPr>
        <w:footnoteReference w:id="375"/>
      </w:r>
      <w:r w:rsidRPr="00351B7D">
        <w:rPr>
          <w:rFonts w:asciiTheme="minorBidi" w:hAnsiTheme="minorBidi"/>
          <w:color w:val="000000"/>
          <w:sz w:val="18"/>
          <w:szCs w:val="18"/>
          <w:rtl/>
        </w:rPr>
        <w:t xml:space="preserve"> (סמ"ג והגה"מ) וכן נוהגין)</w:t>
      </w:r>
      <w:r w:rsidRPr="00351B7D">
        <w:rPr>
          <w:rFonts w:asciiTheme="minorBidi" w:hAnsiTheme="minorBidi"/>
          <w:rtl/>
        </w:rPr>
        <w:t xml:space="preserve"> אשר קדשנו במצותיו וציונו על העריות ואסר לנו </w:t>
      </w:r>
      <w:r w:rsidRPr="00351B7D">
        <w:rPr>
          <w:rStyle w:val="a7"/>
          <w:rFonts w:asciiTheme="minorBidi" w:hAnsiTheme="minorBidi"/>
          <w:color w:val="000000"/>
          <w:rtl/>
        </w:rPr>
        <w:footnoteReference w:id="376"/>
      </w:r>
      <w:r w:rsidRPr="00351B7D">
        <w:rPr>
          <w:rFonts w:asciiTheme="minorBidi" w:hAnsiTheme="minorBidi"/>
          <w:rtl/>
        </w:rPr>
        <w:t>הארוסות והתיר לנו הנשואות [לנו</w:t>
      </w:r>
      <w:r w:rsidRPr="00351B7D">
        <w:rPr>
          <w:rStyle w:val="a7"/>
          <w:rFonts w:asciiTheme="minorBidi" w:hAnsiTheme="minorBidi"/>
          <w:color w:val="000000"/>
          <w:rtl/>
        </w:rPr>
        <w:footnoteReference w:id="377"/>
      </w:r>
      <w:r w:rsidRPr="00351B7D">
        <w:rPr>
          <w:rFonts w:asciiTheme="minorBidi" w:hAnsiTheme="minorBidi"/>
          <w:rtl/>
        </w:rPr>
        <w:t>] על ידי חופה בקידושין</w:t>
      </w:r>
      <w:r w:rsidRPr="00351B7D">
        <w:rPr>
          <w:rStyle w:val="a7"/>
          <w:rFonts w:asciiTheme="minorBidi" w:hAnsiTheme="minorBidi"/>
          <w:color w:val="000000"/>
          <w:rtl/>
        </w:rPr>
        <w:footnoteReference w:id="378"/>
      </w:r>
      <w:r w:rsidRPr="00351B7D">
        <w:rPr>
          <w:rFonts w:asciiTheme="minorBidi" w:hAnsiTheme="minorBidi"/>
          <w:rtl/>
        </w:rPr>
        <w:t xml:space="preserve"> ברוך אתה ה' מקדש ישראל.</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 (וי"א נוסח הברכה בלשון אחר כי אומרים והתיר לנו הנשואות ע"י חופה וקידושין</w:t>
      </w:r>
      <w:r w:rsidRPr="00351B7D">
        <w:rPr>
          <w:rStyle w:val="a7"/>
          <w:rFonts w:asciiTheme="minorBidi" w:hAnsiTheme="minorBidi"/>
          <w:color w:val="000000"/>
          <w:sz w:val="18"/>
          <w:szCs w:val="18"/>
          <w:rtl/>
        </w:rPr>
        <w:footnoteReference w:id="379"/>
      </w:r>
      <w:r w:rsidRPr="00351B7D">
        <w:rPr>
          <w:rFonts w:asciiTheme="minorBidi" w:hAnsiTheme="minorBidi"/>
          <w:color w:val="000000"/>
          <w:sz w:val="18"/>
          <w:szCs w:val="18"/>
          <w:rtl/>
        </w:rPr>
        <w:t xml:space="preserve"> (טור), וחותם בא"י מקדש עמו ישראל על ידי חופה וקידושין (כ"כ הרא"ש) וכן נוהגים במדינות אלו)</w:t>
      </w:r>
      <w:r w:rsidRPr="00351B7D">
        <w:rPr>
          <w:rFonts w:asciiTheme="minorBidi" w:hAnsiTheme="minorBidi"/>
          <w:rtl/>
        </w:rPr>
        <w:t xml:space="preserve"> ואחר שיגמור הברכה יקדש. </w:t>
      </w:r>
    </w:p>
    <w:p w14:paraId="79F336BE"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האם אנדוגינוס מברך ברכת האירוסין:</w:t>
      </w:r>
      <w:r w:rsidRPr="00351B7D">
        <w:rPr>
          <w:rFonts w:asciiTheme="minorBidi" w:hAnsiTheme="minorBidi"/>
          <w:color w:val="000000"/>
          <w:sz w:val="16"/>
          <w:szCs w:val="16"/>
          <w:rtl/>
        </w:rPr>
        <w:t xml:space="preserve">  (פת"ש סק"א)</w:t>
      </w:r>
    </w:p>
    <w:p w14:paraId="02880C24" w14:textId="77777777" w:rsidR="008E16D0" w:rsidRPr="00351B7D" w:rsidRDefault="008E16D0" w:rsidP="00A8697F">
      <w:pPr>
        <w:pStyle w:val="ab"/>
        <w:numPr>
          <w:ilvl w:val="0"/>
          <w:numId w:val="47"/>
        </w:numPr>
        <w:rPr>
          <w:rFonts w:asciiTheme="minorBidi" w:hAnsiTheme="minorBidi"/>
        </w:rPr>
      </w:pPr>
      <w:r w:rsidRPr="00351B7D">
        <w:rPr>
          <w:rFonts w:asciiTheme="minorBidi" w:hAnsiTheme="minorBidi"/>
          <w:rtl/>
        </w:rPr>
        <w:t>נו"ב</w:t>
      </w:r>
      <w:r w:rsidRPr="00351B7D">
        <w:rPr>
          <w:rFonts w:asciiTheme="minorBidi" w:hAnsiTheme="minorBidi"/>
          <w:sz w:val="16"/>
          <w:szCs w:val="16"/>
          <w:rtl/>
        </w:rPr>
        <w:t xml:space="preserve"> (תניינא סי' א')</w:t>
      </w:r>
      <w:r w:rsidRPr="00351B7D">
        <w:rPr>
          <w:rFonts w:asciiTheme="minorBidi" w:hAnsiTheme="minorBidi"/>
          <w:rtl/>
        </w:rPr>
        <w:t xml:space="preserve">- לאנדרוגינוס מותר לישא אשה </w:t>
      </w:r>
      <w:r w:rsidRPr="00351B7D">
        <w:rPr>
          <w:rFonts w:asciiTheme="minorBidi" w:hAnsiTheme="minorBidi"/>
          <w:sz w:val="16"/>
          <w:szCs w:val="16"/>
          <w:rtl/>
        </w:rPr>
        <w:t>(כ"פ הרמב"ם פ"א מהא"ב דין ט"ו)</w:t>
      </w:r>
      <w:r w:rsidRPr="00351B7D">
        <w:rPr>
          <w:rFonts w:asciiTheme="minorBidi" w:hAnsiTheme="minorBidi"/>
          <w:rtl/>
        </w:rPr>
        <w:t xml:space="preserve"> אמנם אינו מצווה לישא, רק מותר לישא, לכן לא יברכו הברכות, דכאן, שאי אפשר לברך אין הברכות מעכבות</w:t>
      </w:r>
      <w:r w:rsidRPr="00351B7D">
        <w:rPr>
          <w:rStyle w:val="a7"/>
          <w:rFonts w:asciiTheme="minorBidi" w:hAnsiTheme="minorBidi"/>
          <w:rtl/>
        </w:rPr>
        <w:footnoteReference w:id="380"/>
      </w:r>
      <w:r w:rsidRPr="00351B7D">
        <w:rPr>
          <w:rFonts w:asciiTheme="minorBidi" w:hAnsiTheme="minorBidi"/>
          <w:rtl/>
        </w:rPr>
        <w:t>, ומה טוב לכוין שתהא חופתה כאחד עם חתן אחר וכלה שלו, וישמע ברכות של החתן ההוא.</w:t>
      </w:r>
    </w:p>
    <w:p w14:paraId="384670F5" w14:textId="77777777" w:rsidR="008E16D0" w:rsidRPr="00351B7D" w:rsidRDefault="008E16D0" w:rsidP="008E16D0">
      <w:pPr>
        <w:rPr>
          <w:rFonts w:asciiTheme="minorBidi" w:hAnsiTheme="minorBidi"/>
          <w:color w:val="FF0000"/>
          <w:rtl/>
        </w:rPr>
      </w:pPr>
    </w:p>
    <w:p w14:paraId="01684379" w14:textId="77777777" w:rsidR="008E16D0" w:rsidRPr="00351B7D" w:rsidRDefault="008E16D0" w:rsidP="008E16D0">
      <w:pPr>
        <w:pStyle w:val="2"/>
        <w:rPr>
          <w:rFonts w:asciiTheme="minorBidi" w:hAnsiTheme="minorBidi"/>
          <w:rtl/>
        </w:rPr>
      </w:pPr>
      <w:r w:rsidRPr="00351B7D">
        <w:rPr>
          <w:rFonts w:asciiTheme="minorBidi" w:hAnsiTheme="minorBidi"/>
          <w:rtl/>
        </w:rPr>
        <w:t>סעיף ב: ברכה על הכוס בצמוד לברכת האירוסין.</w:t>
      </w:r>
    </w:p>
    <w:p w14:paraId="17F1229F" w14:textId="77777777" w:rsidR="008E16D0" w:rsidRPr="00351B7D" w:rsidRDefault="008E16D0" w:rsidP="008E16D0">
      <w:pPr>
        <w:rPr>
          <w:rFonts w:asciiTheme="minorBidi" w:hAnsiTheme="minorBidi"/>
          <w:u w:val="single"/>
          <w:rtl/>
        </w:rPr>
      </w:pPr>
      <w:r w:rsidRPr="00351B7D">
        <w:rPr>
          <w:rFonts w:asciiTheme="minorBidi" w:hAnsiTheme="minorBidi"/>
          <w:u w:val="single"/>
          <w:rtl/>
        </w:rPr>
        <w:t>ברכה על הכוס בברכת האירוסין</w:t>
      </w:r>
      <w:r w:rsidRPr="00351B7D">
        <w:rPr>
          <w:rStyle w:val="a7"/>
          <w:rFonts w:asciiTheme="minorBidi" w:hAnsiTheme="minorBidi"/>
          <w:u w:val="single"/>
          <w:rtl/>
        </w:rPr>
        <w:footnoteReference w:id="381"/>
      </w:r>
      <w:r w:rsidRPr="00351B7D">
        <w:rPr>
          <w:rFonts w:asciiTheme="minorBidi" w:hAnsiTheme="minorBidi"/>
          <w:u w:val="single"/>
          <w:rtl/>
        </w:rPr>
        <w:t>:</w:t>
      </w:r>
    </w:p>
    <w:p w14:paraId="18C9E0F1" w14:textId="77777777" w:rsidR="008E16D0" w:rsidRPr="00351B7D" w:rsidRDefault="008E16D0" w:rsidP="00A8697F">
      <w:pPr>
        <w:pStyle w:val="ab"/>
        <w:numPr>
          <w:ilvl w:val="0"/>
          <w:numId w:val="47"/>
        </w:numPr>
        <w:rPr>
          <w:rFonts w:asciiTheme="minorBidi" w:hAnsiTheme="minorBidi"/>
        </w:rPr>
      </w:pPr>
      <w:r w:rsidRPr="00351B7D">
        <w:rPr>
          <w:rFonts w:asciiTheme="minorBidi" w:hAnsiTheme="minorBidi"/>
          <w:rtl/>
        </w:rPr>
        <w:t xml:space="preserve">(רבנו ניסים </w:t>
      </w:r>
      <w:r w:rsidRPr="00351B7D">
        <w:rPr>
          <w:rFonts w:asciiTheme="minorBidi" w:hAnsiTheme="minorBidi"/>
          <w:sz w:val="16"/>
          <w:szCs w:val="16"/>
          <w:rtl/>
        </w:rPr>
        <w:t>לגי' הרא"ש</w:t>
      </w:r>
      <w:r w:rsidRPr="00351B7D">
        <w:rPr>
          <w:rFonts w:asciiTheme="minorBidi" w:hAnsiTheme="minorBidi"/>
          <w:rtl/>
        </w:rPr>
        <w:t>) רמב"ם ורא"ש</w:t>
      </w:r>
      <w:r w:rsidRPr="00351B7D">
        <w:rPr>
          <w:rStyle w:val="a7"/>
          <w:rFonts w:asciiTheme="minorBidi" w:hAnsiTheme="minorBidi"/>
          <w:rtl/>
        </w:rPr>
        <w:footnoteReference w:id="382"/>
      </w:r>
      <w:r w:rsidRPr="00351B7D">
        <w:rPr>
          <w:rFonts w:asciiTheme="minorBidi" w:hAnsiTheme="minorBidi"/>
          <w:rtl/>
        </w:rPr>
        <w:t>- "נהגו העם להסדיר ברכה זו על כוס של יין או של שכר, אם יש שם יין מברך על היין תחלה ואחר כך מברך ברכת אירוסין ואחר כך מקדש, ואם אין שם לא יין</w:t>
      </w:r>
      <w:r w:rsidRPr="00351B7D">
        <w:rPr>
          <w:rStyle w:val="a7"/>
          <w:rFonts w:asciiTheme="minorBidi" w:hAnsiTheme="minorBidi"/>
          <w:rtl/>
        </w:rPr>
        <w:footnoteReference w:id="383"/>
      </w:r>
      <w:r w:rsidRPr="00351B7D">
        <w:rPr>
          <w:rFonts w:asciiTheme="minorBidi" w:hAnsiTheme="minorBidi"/>
          <w:rtl/>
        </w:rPr>
        <w:t xml:space="preserve"> ולא שכר מברך אותה בפני עצמה</w:t>
      </w:r>
      <w:r w:rsidRPr="00351B7D">
        <w:rPr>
          <w:rFonts w:asciiTheme="minorBidi" w:hAnsiTheme="minorBidi"/>
          <w:sz w:val="16"/>
          <w:szCs w:val="16"/>
          <w:rtl/>
        </w:rPr>
        <w:t xml:space="preserve"> (ל' הרמב"ם)</w:t>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13C73EDB" w14:textId="77777777" w:rsidR="008E16D0" w:rsidRPr="00351B7D" w:rsidRDefault="008E16D0" w:rsidP="00A8697F">
      <w:pPr>
        <w:pStyle w:val="ab"/>
        <w:numPr>
          <w:ilvl w:val="0"/>
          <w:numId w:val="47"/>
        </w:numPr>
        <w:rPr>
          <w:rFonts w:asciiTheme="minorBidi" w:hAnsiTheme="minorBidi"/>
        </w:rPr>
      </w:pPr>
      <w:r w:rsidRPr="00351B7D">
        <w:rPr>
          <w:rFonts w:asciiTheme="minorBidi" w:hAnsiTheme="minorBidi"/>
          <w:rtl/>
        </w:rPr>
        <w:t>(רבנו ניסים</w:t>
      </w:r>
      <w:r w:rsidRPr="00351B7D">
        <w:rPr>
          <w:rFonts w:asciiTheme="minorBidi" w:hAnsiTheme="minorBidi"/>
          <w:sz w:val="16"/>
          <w:szCs w:val="16"/>
          <w:rtl/>
        </w:rPr>
        <w:t xml:space="preserve"> לגי' הטור</w:t>
      </w:r>
      <w:r w:rsidRPr="00351B7D">
        <w:rPr>
          <w:rStyle w:val="a7"/>
          <w:rFonts w:asciiTheme="minorBidi" w:hAnsiTheme="minorBidi"/>
          <w:sz w:val="16"/>
          <w:szCs w:val="16"/>
          <w:rtl/>
        </w:rPr>
        <w:footnoteReference w:id="384"/>
      </w:r>
      <w:r w:rsidRPr="00351B7D">
        <w:rPr>
          <w:rFonts w:asciiTheme="minorBidi" w:hAnsiTheme="minorBidi"/>
          <w:rtl/>
        </w:rPr>
        <w:t xml:space="preserve">) וטור- "אם לא ימצא יין ואפילו יש שם שכר מברך בלא כוס ברכת אירוסין דלאו מצוה מן המובחר הוא </w:t>
      </w:r>
      <w:r w:rsidRPr="00351B7D">
        <w:rPr>
          <w:rFonts w:asciiTheme="minorBidi" w:hAnsiTheme="minorBidi"/>
          <w:sz w:val="16"/>
          <w:szCs w:val="16"/>
          <w:rtl/>
        </w:rPr>
        <w:t xml:space="preserve">(ל' הטור </w:t>
      </w:r>
      <w:r w:rsidRPr="00351B7D">
        <w:rPr>
          <w:rFonts w:asciiTheme="minorBidi" w:hAnsiTheme="minorBidi"/>
          <w:sz w:val="14"/>
          <w:szCs w:val="14"/>
          <w:rtl/>
        </w:rPr>
        <w:t>[סי' ס"ב עמ' תסד]</w:t>
      </w:r>
      <w:r w:rsidRPr="00351B7D">
        <w:rPr>
          <w:rFonts w:asciiTheme="minorBidi" w:hAnsiTheme="minorBidi"/>
          <w:sz w:val="16"/>
          <w:szCs w:val="16"/>
          <w:rtl/>
        </w:rPr>
        <w:t>)</w:t>
      </w:r>
      <w:r w:rsidRPr="00351B7D">
        <w:rPr>
          <w:rFonts w:asciiTheme="minorBidi" w:hAnsiTheme="minorBidi"/>
          <w:rtl/>
        </w:rPr>
        <w:t>"</w:t>
      </w:r>
      <w:r w:rsidRPr="00351B7D">
        <w:rPr>
          <w:rStyle w:val="a7"/>
          <w:rFonts w:asciiTheme="minorBidi" w:hAnsiTheme="minorBidi"/>
          <w:rtl/>
        </w:rPr>
        <w:footnoteReference w:id="385"/>
      </w:r>
      <w:r w:rsidRPr="00351B7D">
        <w:rPr>
          <w:rFonts w:asciiTheme="minorBidi" w:hAnsiTheme="minorBidi"/>
          <w:rtl/>
        </w:rPr>
        <w:t xml:space="preserve">.  </w:t>
      </w:r>
    </w:p>
    <w:p w14:paraId="5DC3035A"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648733" w14:textId="77777777" w:rsidR="008E16D0" w:rsidRPr="00351B7D" w:rsidRDefault="008E16D0" w:rsidP="008E16D0">
      <w:pPr>
        <w:rPr>
          <w:rFonts w:asciiTheme="minorBidi" w:hAnsiTheme="minorBidi"/>
          <w:color w:val="000000"/>
          <w:rtl/>
        </w:rPr>
      </w:pPr>
      <w:r w:rsidRPr="00351B7D">
        <w:rPr>
          <w:rFonts w:asciiTheme="minorBidi" w:hAnsiTheme="minorBidi"/>
          <w:rtl/>
        </w:rPr>
        <w:t>נהגו להסדיר ברכה זו על כוס של יין ומברך</w:t>
      </w:r>
      <w:r w:rsidRPr="00351B7D">
        <w:rPr>
          <w:rStyle w:val="a7"/>
          <w:rFonts w:asciiTheme="minorBidi" w:hAnsiTheme="minorBidi"/>
          <w:color w:val="000000"/>
          <w:rtl/>
        </w:rPr>
        <w:footnoteReference w:id="386"/>
      </w:r>
      <w:r w:rsidRPr="00351B7D">
        <w:rPr>
          <w:rFonts w:asciiTheme="minorBidi" w:hAnsiTheme="minorBidi"/>
          <w:rtl/>
        </w:rPr>
        <w:t xml:space="preserve"> עליו תחלה ואחר כך מברך ברכה זו, ואם אין שם יין או שכר מברך אותה בפני עצמה</w:t>
      </w:r>
      <w:r w:rsidRPr="00351B7D">
        <w:rPr>
          <w:rStyle w:val="a7"/>
          <w:rFonts w:asciiTheme="minorBidi" w:hAnsiTheme="minorBidi"/>
          <w:color w:val="000000"/>
          <w:rtl/>
        </w:rPr>
        <w:footnoteReference w:id="387"/>
      </w:r>
      <w:r w:rsidRPr="00351B7D">
        <w:rPr>
          <w:rFonts w:asciiTheme="minorBidi" w:hAnsiTheme="minorBidi"/>
          <w:color w:val="000000"/>
          <w:rtl/>
        </w:rPr>
        <w:t xml:space="preserve">. </w:t>
      </w:r>
    </w:p>
    <w:p w14:paraId="34A3761C" w14:textId="77777777" w:rsidR="008E16D0" w:rsidRPr="00351B7D" w:rsidRDefault="008E16D0" w:rsidP="008E16D0">
      <w:pPr>
        <w:rPr>
          <w:rFonts w:asciiTheme="minorBidi" w:hAnsiTheme="minorBidi"/>
          <w:color w:val="000000"/>
          <w:rtl/>
        </w:rPr>
      </w:pPr>
    </w:p>
    <w:p w14:paraId="7DF6EE0E" w14:textId="77777777" w:rsidR="008E16D0" w:rsidRPr="00351B7D" w:rsidRDefault="008E16D0" w:rsidP="008E16D0">
      <w:pPr>
        <w:pStyle w:val="2"/>
        <w:rPr>
          <w:rFonts w:asciiTheme="minorBidi" w:hAnsiTheme="minorBidi"/>
          <w:rtl/>
        </w:rPr>
      </w:pPr>
      <w:r w:rsidRPr="00351B7D">
        <w:rPr>
          <w:rFonts w:asciiTheme="minorBidi" w:hAnsiTheme="minorBidi"/>
          <w:rtl/>
        </w:rPr>
        <w:t>סעיף ג: לא בירך ברכת אירוסין בשעה שקידש.</w:t>
      </w:r>
    </w:p>
    <w:p w14:paraId="05177FC8" w14:textId="77777777" w:rsidR="008E16D0" w:rsidRPr="00351B7D" w:rsidRDefault="008E16D0" w:rsidP="008E16D0">
      <w:pPr>
        <w:rPr>
          <w:rFonts w:asciiTheme="minorBidi" w:hAnsiTheme="minorBidi"/>
          <w:u w:val="single"/>
          <w:rtl/>
        </w:rPr>
      </w:pPr>
      <w:r w:rsidRPr="00351B7D">
        <w:rPr>
          <w:rFonts w:asciiTheme="minorBidi" w:hAnsiTheme="minorBidi"/>
          <w:u w:val="single"/>
          <w:rtl/>
        </w:rPr>
        <w:t>לא בירך את ברכת האירוסין בשעה שקידש- האם יברך בשעת הנישואין:</w:t>
      </w:r>
    </w:p>
    <w:p w14:paraId="718DD653" w14:textId="77777777" w:rsidR="008E16D0" w:rsidRPr="00351B7D" w:rsidRDefault="008E16D0" w:rsidP="00A8697F">
      <w:pPr>
        <w:pStyle w:val="ab"/>
        <w:numPr>
          <w:ilvl w:val="0"/>
          <w:numId w:val="47"/>
        </w:numPr>
        <w:rPr>
          <w:rFonts w:asciiTheme="minorBidi" w:hAnsiTheme="minorBidi"/>
          <w:rtl/>
        </w:rPr>
      </w:pPr>
      <w:r w:rsidRPr="00351B7D">
        <w:rPr>
          <w:rFonts w:asciiTheme="minorBidi" w:hAnsiTheme="minorBidi"/>
          <w:rtl/>
        </w:rPr>
        <w:t>רב שרירא רי"ף רמב"ם רשב"א (ורא"ש</w:t>
      </w:r>
      <w:r w:rsidRPr="00351B7D">
        <w:rPr>
          <w:rFonts w:asciiTheme="minorBidi" w:hAnsiTheme="minorBidi"/>
          <w:sz w:val="16"/>
          <w:szCs w:val="16"/>
          <w:rtl/>
        </w:rPr>
        <w:t xml:space="preserve"> להב' הב"י</w:t>
      </w:r>
      <w:r w:rsidRPr="00351B7D">
        <w:rPr>
          <w:rStyle w:val="a7"/>
          <w:rFonts w:asciiTheme="minorBidi" w:hAnsiTheme="minorBidi"/>
          <w:rtl/>
        </w:rPr>
        <w:footnoteReference w:id="388"/>
      </w:r>
      <w:r w:rsidRPr="00351B7D">
        <w:rPr>
          <w:rFonts w:asciiTheme="minorBidi" w:hAnsiTheme="minorBidi"/>
          <w:rtl/>
        </w:rPr>
        <w:t>)</w:t>
      </w:r>
      <w:r w:rsidRPr="00351B7D">
        <w:rPr>
          <w:rStyle w:val="a7"/>
          <w:rFonts w:asciiTheme="minorBidi" w:hAnsiTheme="minorBidi"/>
          <w:rtl/>
        </w:rPr>
        <w:footnoteReference w:id="389"/>
      </w:r>
      <w:r w:rsidRPr="00351B7D">
        <w:rPr>
          <w:rFonts w:asciiTheme="minorBidi" w:hAnsiTheme="minorBidi"/>
          <w:rtl/>
        </w:rPr>
        <w:t>- "חיסר את אירוסיו ברכה שהיא מצוה והמברך ברכת אירוסין בבית חתנים ברכה שאינה צריכה היא ועובר משום לא תשא</w:t>
      </w:r>
      <w:r w:rsidRPr="00351B7D">
        <w:rPr>
          <w:rFonts w:asciiTheme="minorBidi" w:hAnsiTheme="minorBidi"/>
          <w:sz w:val="14"/>
          <w:szCs w:val="14"/>
          <w:rtl/>
        </w:rPr>
        <w:t xml:space="preserve"> (ל' הטור בשם רב שרירא)</w:t>
      </w:r>
      <w:r w:rsidRPr="00351B7D">
        <w:rPr>
          <w:rFonts w:asciiTheme="minorBidi" w:hAnsiTheme="minorBidi"/>
          <w:rtl/>
        </w:rPr>
        <w:t>".</w:t>
      </w:r>
      <w:r w:rsidRPr="00351B7D">
        <w:rPr>
          <w:rFonts w:asciiTheme="minorBidi" w:hAnsiTheme="minorBidi"/>
          <w:color w:val="E36C0A" w:themeColor="accent6" w:themeShade="BF"/>
          <w:rtl/>
        </w:rPr>
        <w:t xml:space="preserve"> (וכ"פ בשו"ע)</w:t>
      </w:r>
      <w:r w:rsidRPr="00351B7D">
        <w:rPr>
          <w:rFonts w:asciiTheme="minorBidi" w:hAnsiTheme="minorBidi"/>
          <w:rtl/>
        </w:rPr>
        <w:t xml:space="preserve"> </w:t>
      </w:r>
    </w:p>
    <w:p w14:paraId="6964109B" w14:textId="77777777" w:rsidR="008E16D0" w:rsidRPr="00351B7D" w:rsidRDefault="008E16D0" w:rsidP="00A8697F">
      <w:pPr>
        <w:pStyle w:val="ab"/>
        <w:numPr>
          <w:ilvl w:val="0"/>
          <w:numId w:val="47"/>
        </w:numPr>
        <w:rPr>
          <w:rFonts w:asciiTheme="minorBidi" w:hAnsiTheme="minorBidi"/>
          <w:rtl/>
        </w:rPr>
      </w:pPr>
      <w:r w:rsidRPr="00351B7D">
        <w:rPr>
          <w:rFonts w:asciiTheme="minorBidi" w:hAnsiTheme="minorBidi"/>
          <w:rtl/>
        </w:rPr>
        <w:t>רבינו ניסים ה"ר יונה מרדכי (רא"ש</w:t>
      </w:r>
      <w:r w:rsidRPr="00351B7D">
        <w:rPr>
          <w:rFonts w:asciiTheme="minorBidi" w:hAnsiTheme="minorBidi"/>
          <w:sz w:val="16"/>
          <w:szCs w:val="16"/>
          <w:rtl/>
        </w:rPr>
        <w:t xml:space="preserve"> להב' הנח"צ</w:t>
      </w:r>
      <w:r w:rsidRPr="00351B7D">
        <w:rPr>
          <w:rFonts w:asciiTheme="minorBidi" w:hAnsiTheme="minorBidi"/>
          <w:rtl/>
        </w:rPr>
        <w:t>) וריב"ש</w:t>
      </w:r>
      <w:r w:rsidRPr="00351B7D">
        <w:rPr>
          <w:rStyle w:val="a7"/>
          <w:rFonts w:asciiTheme="minorBidi" w:hAnsiTheme="minorBidi"/>
          <w:rtl/>
        </w:rPr>
        <w:footnoteReference w:id="390"/>
      </w:r>
      <w:r w:rsidRPr="00351B7D">
        <w:rPr>
          <w:rFonts w:asciiTheme="minorBidi" w:hAnsiTheme="minorBidi"/>
          <w:rtl/>
        </w:rPr>
        <w:t>- יברך אותה עם ברכות של נישואין</w:t>
      </w:r>
      <w:r w:rsidRPr="00351B7D">
        <w:rPr>
          <w:rStyle w:val="a7"/>
          <w:rFonts w:asciiTheme="minorBidi" w:hAnsiTheme="minorBidi"/>
          <w:rtl/>
        </w:rPr>
        <w:footnoteReference w:id="391"/>
      </w:r>
      <w:r w:rsidRPr="00351B7D">
        <w:rPr>
          <w:rFonts w:asciiTheme="minorBidi" w:hAnsiTheme="minorBidi"/>
          <w:rtl/>
        </w:rPr>
        <w:t>.</w:t>
      </w:r>
      <w:r w:rsidRPr="00351B7D">
        <w:rPr>
          <w:rFonts w:asciiTheme="minorBidi" w:hAnsiTheme="minorBidi"/>
          <w:color w:val="00B0F0"/>
          <w:rtl/>
        </w:rPr>
        <w:t xml:space="preserve"> (וכ"פ הרמ"א)</w:t>
      </w:r>
      <w:r w:rsidRPr="00351B7D">
        <w:rPr>
          <w:rFonts w:asciiTheme="minorBidi" w:hAnsiTheme="minorBidi"/>
          <w:rtl/>
        </w:rPr>
        <w:t xml:space="preserve"> (וכ"פ ח"מ</w:t>
      </w:r>
      <w:r w:rsidRPr="00351B7D">
        <w:rPr>
          <w:rFonts w:asciiTheme="minorBidi" w:hAnsiTheme="minorBidi"/>
          <w:sz w:val="16"/>
          <w:szCs w:val="16"/>
          <w:rtl/>
        </w:rPr>
        <w:t xml:space="preserve"> [סק"ג] </w:t>
      </w:r>
      <w:r w:rsidRPr="00351B7D">
        <w:rPr>
          <w:rFonts w:asciiTheme="minorBidi" w:hAnsiTheme="minorBidi"/>
          <w:rtl/>
        </w:rPr>
        <w:t xml:space="preserve">וב"ש </w:t>
      </w:r>
      <w:r w:rsidRPr="00351B7D">
        <w:rPr>
          <w:rFonts w:asciiTheme="minorBidi" w:hAnsiTheme="minorBidi"/>
          <w:sz w:val="16"/>
          <w:szCs w:val="16"/>
          <w:rtl/>
        </w:rPr>
        <w:t>[סק"ד]</w:t>
      </w:r>
      <w:r w:rsidRPr="00351B7D">
        <w:rPr>
          <w:rFonts w:asciiTheme="minorBidi" w:hAnsiTheme="minorBidi"/>
          <w:rtl/>
        </w:rPr>
        <w:t>)</w:t>
      </w:r>
    </w:p>
    <w:p w14:paraId="3EDDFE39"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קידש ע"י שליח</w:t>
      </w:r>
      <w:r w:rsidRPr="00351B7D">
        <w:rPr>
          <w:rStyle w:val="a7"/>
          <w:rFonts w:asciiTheme="minorBidi" w:hAnsiTheme="minorBidi"/>
          <w:u w:val="single"/>
          <w:rtl/>
        </w:rPr>
        <w:footnoteReference w:id="392"/>
      </w:r>
      <w:r w:rsidRPr="00351B7D">
        <w:rPr>
          <w:rFonts w:asciiTheme="minorBidi" w:hAnsiTheme="minorBidi"/>
          <w:u w:val="single"/>
          <w:rtl/>
        </w:rPr>
        <w:t xml:space="preserve">, האם בעת הנישואין יחזור החתן </w:t>
      </w:r>
      <w:r w:rsidRPr="00351B7D">
        <w:rPr>
          <w:rFonts w:asciiTheme="minorBidi" w:hAnsiTheme="minorBidi"/>
          <w:b/>
          <w:bCs/>
          <w:u w:val="single"/>
          <w:rtl/>
        </w:rPr>
        <w:t>ויקדש</w:t>
      </w:r>
      <w:r w:rsidRPr="00351B7D">
        <w:rPr>
          <w:rFonts w:asciiTheme="minorBidi" w:hAnsiTheme="minorBidi"/>
          <w:u w:val="single"/>
          <w:rtl/>
        </w:rPr>
        <w:t xml:space="preserve"> </w:t>
      </w:r>
      <w:r w:rsidRPr="00351B7D">
        <w:rPr>
          <w:rFonts w:asciiTheme="minorBidi" w:hAnsiTheme="minorBidi"/>
          <w:b/>
          <w:bCs/>
          <w:u w:val="single"/>
          <w:rtl/>
        </w:rPr>
        <w:t>ויברך</w:t>
      </w:r>
      <w:r w:rsidRPr="00351B7D">
        <w:rPr>
          <w:rFonts w:asciiTheme="minorBidi" w:hAnsiTheme="minorBidi"/>
          <w:u w:val="single"/>
          <w:rtl/>
        </w:rPr>
        <w:t xml:space="preserve"> ברכת אירוסין שנית </w:t>
      </w:r>
      <w:r w:rsidRPr="00351B7D">
        <w:rPr>
          <w:rFonts w:asciiTheme="minorBidi" w:hAnsiTheme="minorBidi"/>
          <w:b/>
          <w:bCs/>
          <w:u w:val="single"/>
          <w:rtl/>
        </w:rPr>
        <w:t>בלא הזכרת השם</w:t>
      </w:r>
      <w:r w:rsidRPr="00351B7D">
        <w:rPr>
          <w:rFonts w:asciiTheme="minorBidi" w:hAnsiTheme="minorBidi"/>
          <w:u w:val="single"/>
          <w:rtl/>
        </w:rPr>
        <w:t>:</w:t>
      </w:r>
      <w:r w:rsidRPr="00351B7D">
        <w:rPr>
          <w:rFonts w:asciiTheme="minorBidi" w:hAnsiTheme="minorBidi"/>
          <w:color w:val="000000"/>
          <w:sz w:val="16"/>
          <w:szCs w:val="16"/>
          <w:rtl/>
        </w:rPr>
        <w:t xml:space="preserve"> (ב"י כאן ובס' לה)</w:t>
      </w:r>
    </w:p>
    <w:p w14:paraId="656EAA78" w14:textId="77777777" w:rsidR="008E16D0" w:rsidRPr="00351B7D" w:rsidRDefault="008E16D0" w:rsidP="00A8697F">
      <w:pPr>
        <w:pStyle w:val="ab"/>
        <w:numPr>
          <w:ilvl w:val="0"/>
          <w:numId w:val="48"/>
        </w:numPr>
        <w:rPr>
          <w:rFonts w:asciiTheme="minorBidi" w:hAnsiTheme="minorBidi"/>
        </w:rPr>
      </w:pPr>
      <w:r w:rsidRPr="00351B7D">
        <w:rPr>
          <w:rFonts w:asciiTheme="minorBidi" w:hAnsiTheme="minorBidi"/>
          <w:rtl/>
        </w:rPr>
        <w:lastRenderedPageBreak/>
        <w:t>יש נוהגים</w:t>
      </w:r>
      <w:r w:rsidRPr="00351B7D">
        <w:rPr>
          <w:rStyle w:val="a7"/>
          <w:rFonts w:asciiTheme="minorBidi" w:hAnsiTheme="minorBidi"/>
          <w:rtl/>
        </w:rPr>
        <w:footnoteReference w:id="393"/>
      </w:r>
      <w:r w:rsidRPr="00351B7D">
        <w:rPr>
          <w:rFonts w:asciiTheme="minorBidi" w:hAnsiTheme="minorBidi"/>
          <w:rtl/>
        </w:rPr>
        <w:t xml:space="preserve">- המקדש ע"י שליח חוזר </w:t>
      </w:r>
      <w:r w:rsidRPr="00351B7D">
        <w:rPr>
          <w:rFonts w:asciiTheme="minorBidi" w:hAnsiTheme="minorBidi"/>
          <w:u w:val="single"/>
          <w:rtl/>
        </w:rPr>
        <w:t>ומקדש</w:t>
      </w:r>
      <w:r w:rsidRPr="00351B7D">
        <w:rPr>
          <w:rFonts w:asciiTheme="minorBidi" w:hAnsiTheme="minorBidi"/>
          <w:rtl/>
        </w:rPr>
        <w:t xml:space="preserve"> הוא עצמו בשעת נישואין </w:t>
      </w:r>
      <w:r w:rsidRPr="00351B7D">
        <w:rPr>
          <w:rFonts w:asciiTheme="minorBidi" w:hAnsiTheme="minorBidi"/>
          <w:u w:val="single"/>
          <w:rtl/>
        </w:rPr>
        <w:t>ולא מזכיר ש"ש</w:t>
      </w:r>
      <w:r w:rsidRPr="00351B7D">
        <w:rPr>
          <w:rFonts w:asciiTheme="minorBidi" w:hAnsiTheme="minorBidi"/>
          <w:rtl/>
        </w:rPr>
        <w:t xml:space="preserve"> בברכת אירוסין שניים</w:t>
      </w:r>
      <w:r w:rsidRPr="00351B7D">
        <w:rPr>
          <w:rStyle w:val="a7"/>
          <w:rFonts w:asciiTheme="minorBidi" w:hAnsiTheme="minorBidi"/>
          <w:rtl/>
        </w:rPr>
        <w:footnoteReference w:id="394"/>
      </w:r>
      <w:r w:rsidRPr="00351B7D">
        <w:rPr>
          <w:rFonts w:asciiTheme="minorBidi" w:hAnsiTheme="minorBidi"/>
          <w:rtl/>
        </w:rPr>
        <w:t xml:space="preserve">, רק על היין שטועמים ממנו, ואומר ברוך אתה </w:t>
      </w:r>
      <w:r w:rsidRPr="00351B7D">
        <w:rPr>
          <w:rFonts w:asciiTheme="minorBidi" w:hAnsiTheme="minorBidi"/>
          <w:u w:val="single"/>
          <w:rtl/>
        </w:rPr>
        <w:t>השם</w:t>
      </w:r>
      <w:r w:rsidRPr="00351B7D">
        <w:rPr>
          <w:rFonts w:asciiTheme="minorBidi" w:hAnsiTheme="minorBidi"/>
          <w:rtl/>
        </w:rPr>
        <w:t xml:space="preserve"> אמ"ה אק"ב וצונו על העריות וכו'. </w:t>
      </w:r>
      <w:r w:rsidRPr="00351B7D">
        <w:rPr>
          <w:rFonts w:asciiTheme="minorBidi" w:hAnsiTheme="minorBidi"/>
          <w:color w:val="00B0F0"/>
          <w:rtl/>
        </w:rPr>
        <w:t>(וכ"פ הרמ"א)</w:t>
      </w:r>
    </w:p>
    <w:p w14:paraId="618EAEA9" w14:textId="77777777" w:rsidR="008E16D0" w:rsidRPr="00351B7D" w:rsidRDefault="008E16D0" w:rsidP="00A8697F">
      <w:pPr>
        <w:pStyle w:val="ab"/>
        <w:numPr>
          <w:ilvl w:val="0"/>
          <w:numId w:val="48"/>
        </w:numPr>
        <w:spacing w:before="240"/>
        <w:rPr>
          <w:rFonts w:asciiTheme="minorBidi" w:hAnsiTheme="minorBidi"/>
        </w:rPr>
      </w:pPr>
      <w:r w:rsidRPr="00351B7D">
        <w:rPr>
          <w:rFonts w:asciiTheme="minorBidi" w:hAnsiTheme="minorBidi"/>
          <w:rtl/>
        </w:rPr>
        <w:t>מהר"ם תשב"ץ קטן ומרדכי</w:t>
      </w:r>
      <w:r w:rsidRPr="00351B7D">
        <w:rPr>
          <w:rStyle w:val="a7"/>
          <w:rFonts w:asciiTheme="minorBidi" w:hAnsiTheme="minorBidi"/>
          <w:rtl/>
        </w:rPr>
        <w:footnoteReference w:id="395"/>
      </w:r>
      <w:r w:rsidRPr="00351B7D">
        <w:rPr>
          <w:rFonts w:asciiTheme="minorBidi" w:hAnsiTheme="minorBidi"/>
          <w:rtl/>
        </w:rPr>
        <w:t>- אין לו לקדשה אח"כ ע"י עצמו שלא להוציא לעז על קידושין ע"י שליח שיסברו העולם שאינם קידושין</w:t>
      </w:r>
      <w:r w:rsidRPr="00351B7D">
        <w:rPr>
          <w:rStyle w:val="a7"/>
          <w:rFonts w:asciiTheme="minorBidi" w:hAnsiTheme="minorBidi"/>
          <w:rtl/>
        </w:rPr>
        <w:footnoteReference w:id="396"/>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color w:val="E36C0A" w:themeColor="accent6" w:themeShade="BF"/>
          <w:sz w:val="16"/>
          <w:szCs w:val="16"/>
          <w:rtl/>
        </w:rPr>
        <w:t xml:space="preserve"> </w:t>
      </w:r>
      <w:r w:rsidRPr="00351B7D">
        <w:rPr>
          <w:rFonts w:asciiTheme="minorBidi" w:hAnsiTheme="minorBidi"/>
          <w:sz w:val="16"/>
          <w:szCs w:val="16"/>
          <w:rtl/>
        </w:rPr>
        <w:t>[סי' לו סע' ו]</w:t>
      </w:r>
      <w:r w:rsidRPr="00351B7D">
        <w:rPr>
          <w:rFonts w:asciiTheme="minorBidi" w:hAnsiTheme="minorBidi"/>
          <w:color w:val="E36C0A" w:themeColor="accent6" w:themeShade="BF"/>
          <w:rtl/>
        </w:rPr>
        <w:t>)</w:t>
      </w:r>
      <w:r w:rsidRPr="00351B7D">
        <w:rPr>
          <w:rFonts w:asciiTheme="minorBidi" w:hAnsiTheme="minorBidi"/>
          <w:rtl/>
        </w:rPr>
        <w:t xml:space="preserve"> </w:t>
      </w:r>
    </w:p>
    <w:p w14:paraId="39CF66E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ABA021"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אם לא בירך ברכת אירוסין בשעה שקידש לא יברך אותה בשעת נשואין.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וי"א דמברכין אותה בשעת הנשואין </w:t>
      </w:r>
      <w:r w:rsidRPr="00351B7D">
        <w:rPr>
          <w:rFonts w:asciiTheme="minorBidi" w:hAnsiTheme="minorBidi"/>
          <w:color w:val="000000"/>
          <w:sz w:val="16"/>
          <w:szCs w:val="16"/>
          <w:rtl/>
        </w:rPr>
        <w:t>(מרדכי)</w:t>
      </w:r>
      <w:r w:rsidRPr="00351B7D">
        <w:rPr>
          <w:rFonts w:asciiTheme="minorBidi" w:hAnsiTheme="minorBidi"/>
          <w:color w:val="000000"/>
          <w:sz w:val="18"/>
          <w:szCs w:val="18"/>
          <w:rtl/>
        </w:rPr>
        <w:t>, וכן נוהגין אפילו קדש אשה מזמן ארוך</w:t>
      </w:r>
      <w:r w:rsidRPr="00351B7D">
        <w:rPr>
          <w:rStyle w:val="a7"/>
          <w:rFonts w:asciiTheme="minorBidi" w:hAnsiTheme="minorBidi"/>
          <w:color w:val="000000"/>
          <w:sz w:val="18"/>
          <w:szCs w:val="18"/>
          <w:rtl/>
        </w:rPr>
        <w:footnoteReference w:id="397"/>
      </w:r>
      <w:r w:rsidRPr="00351B7D">
        <w:rPr>
          <w:rFonts w:asciiTheme="minorBidi" w:hAnsiTheme="minorBidi"/>
          <w:color w:val="000000"/>
          <w:sz w:val="18"/>
          <w:szCs w:val="18"/>
          <w:rtl/>
        </w:rPr>
        <w:t xml:space="preserve"> מברכין ברכת אירוסין תחת החופה</w:t>
      </w:r>
      <w:r w:rsidRPr="00351B7D">
        <w:rPr>
          <w:rStyle w:val="a7"/>
          <w:rFonts w:asciiTheme="minorBidi" w:hAnsiTheme="minorBidi"/>
          <w:color w:val="000000"/>
          <w:sz w:val="18"/>
          <w:szCs w:val="18"/>
          <w:rtl/>
        </w:rPr>
        <w:footnoteReference w:id="398"/>
      </w:r>
      <w:r w:rsidRPr="00351B7D">
        <w:rPr>
          <w:rFonts w:asciiTheme="minorBidi" w:hAnsiTheme="minorBidi"/>
          <w:color w:val="000000"/>
          <w:sz w:val="18"/>
          <w:szCs w:val="18"/>
          <w:rtl/>
        </w:rPr>
        <w:t xml:space="preserve">. וי"א דחוזר ומקדש אותה תחת החופה כדי שיהיו הקידושין סמוכין לברכה </w:t>
      </w:r>
      <w:r w:rsidRPr="00351B7D">
        <w:rPr>
          <w:rFonts w:asciiTheme="minorBidi" w:hAnsiTheme="minorBidi"/>
          <w:color w:val="000000"/>
          <w:sz w:val="16"/>
          <w:szCs w:val="16"/>
          <w:rtl/>
        </w:rPr>
        <w:t>(ריב"ש)</w:t>
      </w:r>
      <w:r w:rsidRPr="00351B7D">
        <w:rPr>
          <w:rFonts w:asciiTheme="minorBidi" w:hAnsiTheme="minorBidi"/>
          <w:color w:val="000000"/>
          <w:sz w:val="18"/>
          <w:szCs w:val="18"/>
          <w:rtl/>
        </w:rPr>
        <w:t>, ועיין לקמן סימן ל"ו. ואם בירך כבר ברכת ארוסין בשעת קידושין הראשונים י"א דחוזרים ומברכים תחת החופה בלא הזכרת שם</w:t>
      </w:r>
      <w:r w:rsidRPr="00351B7D">
        <w:rPr>
          <w:rStyle w:val="a7"/>
          <w:rFonts w:asciiTheme="minorBidi" w:hAnsiTheme="minorBidi"/>
          <w:color w:val="000000"/>
          <w:sz w:val="18"/>
          <w:szCs w:val="18"/>
          <w:rtl/>
        </w:rPr>
        <w:footnoteReference w:id="399"/>
      </w:r>
      <w:r w:rsidRPr="00351B7D">
        <w:rPr>
          <w:rFonts w:asciiTheme="minorBidi" w:hAnsiTheme="minorBidi"/>
          <w:color w:val="000000"/>
          <w:sz w:val="18"/>
          <w:szCs w:val="18"/>
          <w:rtl/>
        </w:rPr>
        <w:t xml:space="preserve"> משום הרואים</w:t>
      </w:r>
      <w:r w:rsidRPr="00351B7D">
        <w:rPr>
          <w:rStyle w:val="a7"/>
          <w:rFonts w:asciiTheme="minorBidi" w:hAnsiTheme="minorBidi"/>
          <w:color w:val="000000"/>
          <w:sz w:val="18"/>
          <w:szCs w:val="18"/>
          <w:rtl/>
        </w:rPr>
        <w:footnoteReference w:id="400"/>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(שם בריב"ש לענין המקדש ע"י שליח)</w:t>
      </w:r>
      <w:r w:rsidRPr="00351B7D">
        <w:rPr>
          <w:rFonts w:asciiTheme="minorBidi" w:hAnsiTheme="minorBidi"/>
          <w:color w:val="000000"/>
          <w:sz w:val="18"/>
          <w:szCs w:val="18"/>
          <w:rtl/>
        </w:rPr>
        <w:t xml:space="preserve">, וכן נ"ל. </w:t>
      </w:r>
    </w:p>
    <w:p w14:paraId="272B07A1" w14:textId="77777777" w:rsidR="008E16D0" w:rsidRPr="00351B7D" w:rsidRDefault="008E16D0" w:rsidP="008E16D0">
      <w:pPr>
        <w:rPr>
          <w:rFonts w:asciiTheme="minorBidi" w:hAnsiTheme="minorBidi"/>
          <w:color w:val="000000"/>
          <w:sz w:val="18"/>
          <w:szCs w:val="18"/>
          <w:rtl/>
        </w:rPr>
      </w:pPr>
    </w:p>
    <w:p w14:paraId="38D065B5" w14:textId="77777777" w:rsidR="008E16D0" w:rsidRPr="00351B7D" w:rsidRDefault="008E16D0" w:rsidP="008E16D0">
      <w:pPr>
        <w:pStyle w:val="2"/>
        <w:rPr>
          <w:rFonts w:asciiTheme="minorBidi" w:hAnsiTheme="minorBidi"/>
          <w:rtl/>
        </w:rPr>
      </w:pPr>
      <w:r w:rsidRPr="00351B7D">
        <w:rPr>
          <w:rFonts w:asciiTheme="minorBidi" w:hAnsiTheme="minorBidi"/>
          <w:rtl/>
        </w:rPr>
        <w:t>סעיף ד: ברכת אירוסין בעשרה.</w:t>
      </w:r>
    </w:p>
    <w:p w14:paraId="2DDAAFC4"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כדי לברך ברכת האירוסין צריך עשרה:</w:t>
      </w:r>
    </w:p>
    <w:p w14:paraId="3995B1F8" w14:textId="77777777" w:rsidR="008E16D0" w:rsidRPr="00351B7D" w:rsidRDefault="008E16D0" w:rsidP="00A8697F">
      <w:pPr>
        <w:pStyle w:val="ab"/>
        <w:numPr>
          <w:ilvl w:val="0"/>
          <w:numId w:val="49"/>
        </w:numPr>
        <w:rPr>
          <w:rFonts w:asciiTheme="minorBidi" w:hAnsiTheme="minorBidi"/>
          <w:rtl/>
        </w:rPr>
      </w:pPr>
      <w:r w:rsidRPr="00351B7D">
        <w:rPr>
          <w:rFonts w:asciiTheme="minorBidi" w:hAnsiTheme="minorBidi"/>
          <w:rtl/>
        </w:rPr>
        <w:t xml:space="preserve">שאילתות </w:t>
      </w:r>
      <w:r w:rsidRPr="00351B7D">
        <w:rPr>
          <w:rFonts w:asciiTheme="minorBidi" w:hAnsiTheme="minorBidi"/>
          <w:sz w:val="16"/>
          <w:szCs w:val="16"/>
          <w:rtl/>
        </w:rPr>
        <w:t xml:space="preserve">(חיי שרה סי' טז) </w:t>
      </w:r>
      <w:r w:rsidRPr="00351B7D">
        <w:rPr>
          <w:rFonts w:asciiTheme="minorBidi" w:hAnsiTheme="minorBidi"/>
          <w:rtl/>
        </w:rPr>
        <w:t>רב האי</w:t>
      </w:r>
      <w:r w:rsidRPr="00351B7D">
        <w:rPr>
          <w:rFonts w:asciiTheme="minorBidi" w:hAnsiTheme="minorBidi"/>
          <w:sz w:val="16"/>
          <w:szCs w:val="16"/>
          <w:rtl/>
        </w:rPr>
        <w:t xml:space="preserve"> (הביאו הטור)</w:t>
      </w:r>
      <w:r w:rsidRPr="00351B7D">
        <w:rPr>
          <w:rFonts w:asciiTheme="minorBidi" w:hAnsiTheme="minorBidi"/>
          <w:rtl/>
        </w:rPr>
        <w:t xml:space="preserve"> ורא"ש </w:t>
      </w:r>
      <w:r w:rsidRPr="00351B7D">
        <w:rPr>
          <w:rFonts w:asciiTheme="minorBidi" w:hAnsiTheme="minorBidi"/>
          <w:sz w:val="16"/>
          <w:szCs w:val="16"/>
          <w:rtl/>
        </w:rPr>
        <w:t>(כתובות פ"א סי' יב)</w:t>
      </w:r>
      <w:r w:rsidRPr="00351B7D">
        <w:rPr>
          <w:rFonts w:asciiTheme="minorBidi" w:hAnsiTheme="minorBidi"/>
          <w:rtl/>
        </w:rPr>
        <w:t>- ברכת אירוסין בעשרה</w:t>
      </w:r>
      <w:r w:rsidRPr="00351B7D">
        <w:rPr>
          <w:rStyle w:val="a7"/>
          <w:rFonts w:asciiTheme="minorBidi" w:hAnsiTheme="minorBidi"/>
          <w:rtl/>
        </w:rPr>
        <w:footnoteReference w:id="401"/>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3ED940AC" w14:textId="77777777" w:rsidR="008E16D0" w:rsidRPr="00351B7D" w:rsidRDefault="008E16D0" w:rsidP="00A8697F">
      <w:pPr>
        <w:pStyle w:val="ab"/>
        <w:numPr>
          <w:ilvl w:val="0"/>
          <w:numId w:val="49"/>
        </w:numPr>
        <w:rPr>
          <w:rFonts w:asciiTheme="minorBidi" w:hAnsiTheme="minorBidi"/>
        </w:rPr>
      </w:pPr>
      <w:r w:rsidRPr="00351B7D">
        <w:rPr>
          <w:rFonts w:asciiTheme="minorBidi" w:hAnsiTheme="minorBidi"/>
          <w:rtl/>
        </w:rPr>
        <w:t>ר' שמואל הנגיד</w:t>
      </w:r>
      <w:r w:rsidRPr="00351B7D">
        <w:rPr>
          <w:rFonts w:asciiTheme="minorBidi" w:hAnsiTheme="minorBidi"/>
          <w:sz w:val="16"/>
          <w:szCs w:val="16"/>
          <w:rtl/>
        </w:rPr>
        <w:t xml:space="preserve"> (הביאוהו הרא"ש </w:t>
      </w:r>
      <w:r w:rsidRPr="00351B7D">
        <w:rPr>
          <w:rFonts w:asciiTheme="minorBidi" w:hAnsiTheme="minorBidi"/>
          <w:sz w:val="14"/>
          <w:szCs w:val="14"/>
          <w:rtl/>
        </w:rPr>
        <w:t>[שם]</w:t>
      </w:r>
      <w:r w:rsidRPr="00351B7D">
        <w:rPr>
          <w:rFonts w:asciiTheme="minorBidi" w:hAnsiTheme="minorBidi"/>
          <w:sz w:val="16"/>
          <w:szCs w:val="16"/>
          <w:rtl/>
        </w:rPr>
        <w:t xml:space="preserve"> והטור)</w:t>
      </w:r>
      <w:r w:rsidRPr="00351B7D">
        <w:rPr>
          <w:rFonts w:asciiTheme="minorBidi" w:hAnsiTheme="minorBidi"/>
          <w:rtl/>
        </w:rPr>
        <w:t>- אין צריך עשרה</w:t>
      </w:r>
      <w:r w:rsidRPr="00351B7D">
        <w:rPr>
          <w:rStyle w:val="a7"/>
          <w:rFonts w:asciiTheme="minorBidi" w:hAnsiTheme="minorBidi"/>
          <w:rtl/>
        </w:rPr>
        <w:footnoteReference w:id="402"/>
      </w:r>
      <w:r w:rsidRPr="00351B7D">
        <w:rPr>
          <w:rFonts w:asciiTheme="minorBidi" w:hAnsiTheme="minorBidi"/>
          <w:rtl/>
        </w:rPr>
        <w:t>.</w:t>
      </w:r>
    </w:p>
    <w:p w14:paraId="2F92EE90"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D6C941" w14:textId="77777777" w:rsidR="008E16D0" w:rsidRPr="00351B7D" w:rsidRDefault="008E16D0" w:rsidP="008E16D0">
      <w:pPr>
        <w:rPr>
          <w:rFonts w:asciiTheme="minorBidi" w:hAnsiTheme="minorBidi"/>
          <w:rtl/>
        </w:rPr>
      </w:pPr>
      <w:r w:rsidRPr="00351B7D">
        <w:rPr>
          <w:rFonts w:asciiTheme="minorBidi" w:hAnsiTheme="minorBidi"/>
          <w:rtl/>
        </w:rPr>
        <w:t>ברכת ארוסין צריכים עשרה</w:t>
      </w:r>
      <w:r w:rsidRPr="00351B7D">
        <w:rPr>
          <w:rStyle w:val="a7"/>
          <w:rFonts w:asciiTheme="minorBidi" w:hAnsiTheme="minorBidi"/>
          <w:rtl/>
        </w:rPr>
        <w:footnoteReference w:id="403"/>
      </w:r>
      <w:r w:rsidRPr="00351B7D">
        <w:rPr>
          <w:rFonts w:asciiTheme="minorBidi" w:hAnsiTheme="minorBidi"/>
          <w:rtl/>
        </w:rPr>
        <w:t xml:space="preserve"> לכתחלה</w:t>
      </w:r>
      <w:r w:rsidRPr="00351B7D">
        <w:rPr>
          <w:rStyle w:val="a7"/>
          <w:rFonts w:asciiTheme="minorBidi" w:hAnsiTheme="minorBidi"/>
          <w:rtl/>
        </w:rPr>
        <w:footnoteReference w:id="404"/>
      </w:r>
      <w:r w:rsidRPr="00351B7D">
        <w:rPr>
          <w:rFonts w:asciiTheme="minorBidi" w:hAnsiTheme="minorBidi"/>
          <w:rtl/>
        </w:rPr>
        <w:t>.</w:t>
      </w:r>
    </w:p>
    <w:p w14:paraId="74F38C44" w14:textId="77777777" w:rsidR="008E16D0" w:rsidRPr="00351B7D" w:rsidRDefault="008E16D0" w:rsidP="008E16D0">
      <w:pPr>
        <w:rPr>
          <w:rFonts w:asciiTheme="minorBidi" w:hAnsiTheme="minorBidi"/>
          <w:rtl/>
        </w:rPr>
      </w:pPr>
    </w:p>
    <w:p w14:paraId="3E58FBBF" w14:textId="77777777" w:rsidR="008E16D0" w:rsidRPr="00351B7D" w:rsidRDefault="008E16D0" w:rsidP="008E16D0">
      <w:pPr>
        <w:rPr>
          <w:rFonts w:asciiTheme="minorBidi" w:hAnsiTheme="minorBidi"/>
          <w:rtl/>
        </w:rPr>
      </w:pPr>
    </w:p>
    <w:p w14:paraId="76BEAFB7" w14:textId="77777777" w:rsidR="008E16D0" w:rsidRPr="00351B7D" w:rsidRDefault="008E16D0" w:rsidP="008E16D0">
      <w:pPr>
        <w:rPr>
          <w:rFonts w:asciiTheme="minorBidi" w:hAnsiTheme="minorBidi"/>
          <w:rtl/>
        </w:rPr>
      </w:pPr>
    </w:p>
    <w:p w14:paraId="0C67FDD0" w14:textId="77777777" w:rsidR="008E16D0" w:rsidRPr="00351B7D" w:rsidRDefault="008E16D0" w:rsidP="008E16D0">
      <w:pPr>
        <w:rPr>
          <w:rFonts w:asciiTheme="minorBidi" w:hAnsiTheme="minorBidi"/>
          <w:rtl/>
        </w:rPr>
      </w:pPr>
    </w:p>
    <w:p w14:paraId="0C80D1A2" w14:textId="77777777" w:rsidR="008E16D0" w:rsidRPr="00351B7D" w:rsidRDefault="008E16D0" w:rsidP="008E16D0">
      <w:pPr>
        <w:rPr>
          <w:rFonts w:asciiTheme="minorBidi" w:hAnsiTheme="minorBidi"/>
          <w:rtl/>
        </w:rPr>
      </w:pPr>
    </w:p>
    <w:p w14:paraId="5A7AFC35" w14:textId="77777777" w:rsidR="004B1524" w:rsidRDefault="004B1524" w:rsidP="008E16D0">
      <w:pPr>
        <w:pStyle w:val="1"/>
        <w:rPr>
          <w:rFonts w:asciiTheme="minorBidi" w:hAnsiTheme="minorBidi"/>
          <w:rtl/>
        </w:rPr>
        <w:sectPr w:rsidR="004B1524" w:rsidSect="00A347B3">
          <w:headerReference w:type="default" r:id="rId14"/>
          <w:footnotePr>
            <w:numRestart w:val="eachPage"/>
          </w:footnotePr>
          <w:pgSz w:w="11906" w:h="16838"/>
          <w:pgMar w:top="720" w:right="1134" w:bottom="720" w:left="1134" w:header="0" w:footer="0" w:gutter="0"/>
          <w:cols w:space="720"/>
          <w:bidi/>
          <w:rtlGutter/>
          <w:docGrid w:linePitch="360"/>
        </w:sectPr>
      </w:pPr>
    </w:p>
    <w:p w14:paraId="44F6E8C0" w14:textId="4A91E7EB"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מב</w:t>
      </w:r>
      <w:r w:rsidRPr="00351B7D">
        <w:rPr>
          <w:rFonts w:asciiTheme="minorBidi" w:hAnsiTheme="minorBidi"/>
        </w:rPr>
        <w:t xml:space="preserve"> </w:t>
      </w:r>
      <w:r w:rsidRPr="00351B7D">
        <w:rPr>
          <w:rFonts w:asciiTheme="minorBidi" w:hAnsiTheme="minorBidi"/>
          <w:rtl/>
        </w:rPr>
        <w:t xml:space="preserve">: אין מקדשין אלא לרצון האשה ובפני שני עדים, ובו ה' סעיפים. </w:t>
      </w:r>
    </w:p>
    <w:p w14:paraId="4F4BF0BB" w14:textId="77777777" w:rsidR="008E16D0" w:rsidRPr="00351B7D" w:rsidRDefault="008E16D0" w:rsidP="008E16D0">
      <w:pPr>
        <w:pStyle w:val="2"/>
        <w:rPr>
          <w:rFonts w:asciiTheme="minorBidi" w:hAnsiTheme="minorBidi"/>
          <w:rtl/>
        </w:rPr>
      </w:pPr>
      <w:r w:rsidRPr="00351B7D">
        <w:rPr>
          <w:rFonts w:asciiTheme="minorBidi" w:hAnsiTheme="minorBidi"/>
          <w:rtl/>
        </w:rPr>
        <w:t>סעיף א: אשה שהתקדשה בעל כורחה ואיש שקידש בעל כורחו.</w:t>
      </w:r>
    </w:p>
    <w:p w14:paraId="2F5F0DC0"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ב ע"ב: </w:t>
      </w:r>
      <w:r w:rsidRPr="00351B7D">
        <w:rPr>
          <w:rFonts w:asciiTheme="minorBidi" w:hAnsiTheme="minorBidi"/>
          <w:rtl/>
        </w:rPr>
        <w:t xml:space="preserve">תנא האשה נקנית, דמדעתה אין, שלא מדעתה לא. </w:t>
      </w:r>
    </w:p>
    <w:p w14:paraId="6C9F5417" w14:textId="77777777" w:rsidR="008E16D0" w:rsidRPr="00351B7D" w:rsidRDefault="008E16D0" w:rsidP="008E16D0">
      <w:pPr>
        <w:rPr>
          <w:rFonts w:asciiTheme="minorBidi" w:hAnsiTheme="minorBidi"/>
          <w:rtl/>
        </w:rPr>
      </w:pPr>
      <w:r w:rsidRPr="00351B7D">
        <w:rPr>
          <w:rFonts w:asciiTheme="minorBidi" w:hAnsiTheme="minorBidi"/>
          <w:b/>
          <w:bCs/>
          <w:rtl/>
        </w:rPr>
        <w:t xml:space="preserve">בבא בתרא מח ע"ב: </w:t>
      </w:r>
      <w:r w:rsidRPr="00351B7D">
        <w:rPr>
          <w:rStyle w:val="a7"/>
          <w:rFonts w:asciiTheme="minorBidi" w:hAnsiTheme="minorBidi"/>
          <w:rtl/>
        </w:rPr>
        <w:footnoteReference w:id="405"/>
      </w:r>
      <w:r w:rsidRPr="00351B7D">
        <w:rPr>
          <w:rFonts w:asciiTheme="minorBidi" w:hAnsiTheme="minorBidi"/>
          <w:rtl/>
        </w:rPr>
        <w:t>והלכתא: בכולהו דהוו זביניה זביני</w:t>
      </w:r>
      <w:r w:rsidRPr="00351B7D">
        <w:rPr>
          <w:rStyle w:val="a7"/>
          <w:rFonts w:asciiTheme="minorBidi" w:hAnsiTheme="minorBidi"/>
          <w:rtl/>
        </w:rPr>
        <w:footnoteReference w:id="406"/>
      </w:r>
      <w:r w:rsidRPr="00351B7D">
        <w:rPr>
          <w:rFonts w:asciiTheme="minorBidi" w:hAnsiTheme="minorBidi"/>
          <w:rtl/>
        </w:rPr>
        <w:t xml:space="preserve"> ואפי' בשדה זו, דהא אשה</w:t>
      </w:r>
      <w:r w:rsidRPr="00351B7D">
        <w:rPr>
          <w:rStyle w:val="a7"/>
          <w:rFonts w:asciiTheme="minorBidi" w:hAnsiTheme="minorBidi"/>
          <w:rtl/>
        </w:rPr>
        <w:footnoteReference w:id="407"/>
      </w:r>
      <w:r w:rsidRPr="00351B7D">
        <w:rPr>
          <w:rFonts w:asciiTheme="minorBidi" w:hAnsiTheme="minorBidi"/>
          <w:rtl/>
        </w:rPr>
        <w:t xml:space="preserve"> כשדה זו דמיא</w:t>
      </w:r>
      <w:r w:rsidRPr="00351B7D">
        <w:rPr>
          <w:rStyle w:val="a7"/>
          <w:rFonts w:asciiTheme="minorBidi" w:hAnsiTheme="minorBidi"/>
          <w:rtl/>
        </w:rPr>
        <w:footnoteReference w:id="408"/>
      </w:r>
      <w:r w:rsidRPr="00351B7D">
        <w:rPr>
          <w:rFonts w:asciiTheme="minorBidi" w:hAnsiTheme="minorBidi"/>
          <w:rtl/>
        </w:rPr>
        <w:t xml:space="preserve"> </w:t>
      </w:r>
      <w:r w:rsidRPr="00351B7D">
        <w:rPr>
          <w:rFonts w:asciiTheme="minorBidi" w:hAnsiTheme="minorBidi"/>
          <w:u w:val="single"/>
          <w:rtl/>
        </w:rPr>
        <w:t>ואמר אמימר</w:t>
      </w:r>
      <w:r w:rsidRPr="00351B7D">
        <w:rPr>
          <w:rStyle w:val="a7"/>
          <w:rFonts w:asciiTheme="minorBidi" w:hAnsiTheme="minorBidi"/>
          <w:u w:val="single"/>
          <w:rtl/>
        </w:rPr>
        <w:footnoteReference w:id="409"/>
      </w:r>
      <w:r w:rsidRPr="00351B7D">
        <w:rPr>
          <w:rFonts w:asciiTheme="minorBidi" w:hAnsiTheme="minorBidi"/>
          <w:u w:val="single"/>
          <w:rtl/>
        </w:rPr>
        <w:t>:</w:t>
      </w:r>
      <w:r w:rsidRPr="00351B7D">
        <w:rPr>
          <w:rFonts w:asciiTheme="minorBidi" w:hAnsiTheme="minorBidi"/>
          <w:rtl/>
        </w:rPr>
        <w:t xml:space="preserve"> תליוה וקדיש</w:t>
      </w:r>
      <w:r w:rsidRPr="00351B7D">
        <w:rPr>
          <w:rStyle w:val="a7"/>
          <w:rFonts w:asciiTheme="minorBidi" w:hAnsiTheme="minorBidi"/>
          <w:rtl/>
        </w:rPr>
        <w:footnoteReference w:id="410"/>
      </w:r>
      <w:r w:rsidRPr="00351B7D">
        <w:rPr>
          <w:rFonts w:asciiTheme="minorBidi" w:hAnsiTheme="minorBidi"/>
          <w:rtl/>
        </w:rPr>
        <w:t xml:space="preserve">- קדושיו קדושין. </w:t>
      </w:r>
      <w:r w:rsidRPr="00351B7D">
        <w:rPr>
          <w:rFonts w:asciiTheme="minorBidi" w:hAnsiTheme="minorBidi"/>
          <w:u w:val="single"/>
          <w:rtl/>
        </w:rPr>
        <w:t>מר בר רב אשי אמר</w:t>
      </w:r>
      <w:r w:rsidRPr="00351B7D">
        <w:rPr>
          <w:rStyle w:val="a7"/>
          <w:rFonts w:asciiTheme="minorBidi" w:hAnsiTheme="minorBidi"/>
          <w:u w:val="single"/>
          <w:rtl/>
        </w:rPr>
        <w:footnoteReference w:id="411"/>
      </w:r>
      <w:r w:rsidRPr="00351B7D">
        <w:rPr>
          <w:rFonts w:asciiTheme="minorBidi" w:hAnsiTheme="minorBidi"/>
          <w:rtl/>
        </w:rPr>
        <w:t xml:space="preserve">: באשה ודאי קדושין לא הוו, הוא עשה שלא כהוגן לפיכך עשו עמו שלא כהוגן ואפקעינהו רבנן לקידושיה מיניה. </w:t>
      </w:r>
      <w:r w:rsidRPr="00351B7D">
        <w:rPr>
          <w:rFonts w:asciiTheme="minorBidi" w:hAnsiTheme="minorBidi"/>
          <w:color w:val="000000"/>
          <w:sz w:val="16"/>
          <w:szCs w:val="16"/>
          <w:rtl/>
        </w:rPr>
        <w:t xml:space="preserve">(ופסקו הרי"ף </w:t>
      </w:r>
      <w:r w:rsidRPr="00351B7D">
        <w:rPr>
          <w:rFonts w:asciiTheme="minorBidi" w:hAnsiTheme="minorBidi"/>
          <w:color w:val="000000"/>
          <w:sz w:val="14"/>
          <w:szCs w:val="14"/>
          <w:rtl/>
        </w:rPr>
        <w:t xml:space="preserve">(ב"ב כו:) </w:t>
      </w:r>
      <w:r w:rsidRPr="00351B7D">
        <w:rPr>
          <w:rFonts w:asciiTheme="minorBidi" w:hAnsiTheme="minorBidi"/>
          <w:color w:val="000000"/>
          <w:sz w:val="16"/>
          <w:szCs w:val="16"/>
          <w:rtl/>
        </w:rPr>
        <w:t xml:space="preserve">הרמב"ם </w:t>
      </w:r>
      <w:r w:rsidRPr="00351B7D">
        <w:rPr>
          <w:rFonts w:asciiTheme="minorBidi" w:hAnsiTheme="minorBidi"/>
          <w:color w:val="000000"/>
          <w:sz w:val="14"/>
          <w:szCs w:val="14"/>
          <w:rtl/>
        </w:rPr>
        <w:t xml:space="preserve">(אישות פ"ד ה"א) </w:t>
      </w:r>
      <w:r w:rsidRPr="00351B7D">
        <w:rPr>
          <w:rFonts w:asciiTheme="minorBidi" w:hAnsiTheme="minorBidi"/>
          <w:color w:val="000000"/>
          <w:sz w:val="16"/>
          <w:szCs w:val="16"/>
          <w:rtl/>
        </w:rPr>
        <w:t xml:space="preserve">והרא"ש </w:t>
      </w:r>
      <w:r w:rsidRPr="00351B7D">
        <w:rPr>
          <w:rFonts w:asciiTheme="minorBidi" w:hAnsiTheme="minorBidi"/>
          <w:color w:val="000000"/>
          <w:sz w:val="14"/>
          <w:szCs w:val="14"/>
          <w:rtl/>
        </w:rPr>
        <w:t xml:space="preserve">(שם פ' ח"ה סי' נא) </w:t>
      </w:r>
      <w:r w:rsidRPr="00351B7D">
        <w:rPr>
          <w:rFonts w:asciiTheme="minorBidi" w:hAnsiTheme="minorBidi"/>
          <w:color w:val="000000"/>
          <w:sz w:val="16"/>
          <w:szCs w:val="16"/>
          <w:rtl/>
        </w:rPr>
        <w:t>כמר בר רב אשי, וכ"פ ר"ח והגאונים)</w:t>
      </w:r>
    </w:p>
    <w:p w14:paraId="3769F24A" w14:textId="77777777" w:rsidR="008E16D0" w:rsidRPr="00351B7D" w:rsidRDefault="008E16D0" w:rsidP="008E16D0">
      <w:pPr>
        <w:rPr>
          <w:rFonts w:asciiTheme="minorBidi" w:hAnsiTheme="minorBidi"/>
          <w:rtl/>
        </w:rPr>
      </w:pPr>
      <w:r w:rsidRPr="00351B7D">
        <w:rPr>
          <w:rFonts w:asciiTheme="minorBidi" w:hAnsiTheme="minorBidi"/>
          <w:b/>
          <w:bCs/>
          <w:rtl/>
        </w:rPr>
        <w:t>יבמות צ ע"ב:</w:t>
      </w:r>
      <w:r w:rsidRPr="00351B7D">
        <w:rPr>
          <w:rFonts w:asciiTheme="minorBidi" w:hAnsiTheme="minorBidi"/>
          <w:rtl/>
        </w:rPr>
        <w:t xml:space="preserve"> מאן דמקדש - אדעתא דרבנן</w:t>
      </w:r>
      <w:r w:rsidRPr="00351B7D">
        <w:rPr>
          <w:rStyle w:val="a7"/>
          <w:rFonts w:asciiTheme="minorBidi" w:hAnsiTheme="minorBidi"/>
          <w:rtl/>
        </w:rPr>
        <w:footnoteReference w:id="412"/>
      </w:r>
      <w:r w:rsidRPr="00351B7D">
        <w:rPr>
          <w:rFonts w:asciiTheme="minorBidi" w:hAnsiTheme="minorBidi"/>
          <w:rtl/>
        </w:rPr>
        <w:t xml:space="preserve"> מקדש, ואפקעינהו רבנן לקידושין. </w:t>
      </w:r>
      <w:r w:rsidRPr="00351B7D">
        <w:rPr>
          <w:rFonts w:asciiTheme="minorBidi" w:hAnsiTheme="minorBidi"/>
          <w:u w:val="single"/>
          <w:rtl/>
        </w:rPr>
        <w:t>א"ל רבינא לרב אשי</w:t>
      </w:r>
      <w:r w:rsidRPr="00351B7D">
        <w:rPr>
          <w:rFonts w:asciiTheme="minorBidi" w:hAnsiTheme="minorBidi"/>
          <w:rtl/>
        </w:rPr>
        <w:t>: התינח דקדיש בכספא, קדיש בביאה מאי איכא למימר? שויוה רבנן לבעילתו בעילת זנות.</w:t>
      </w:r>
    </w:p>
    <w:p w14:paraId="7680C524"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מעשה באדם שקידש אשה בעל כורחה:</w:t>
      </w:r>
      <w:r w:rsidRPr="00351B7D">
        <w:rPr>
          <w:rFonts w:asciiTheme="minorBidi" w:hAnsiTheme="minorBidi"/>
          <w:sz w:val="16"/>
          <w:szCs w:val="16"/>
          <w:rtl/>
        </w:rPr>
        <w:t xml:space="preserve">  (ב"י)</w:t>
      </w:r>
    </w:p>
    <w:p w14:paraId="4517E220" w14:textId="77777777" w:rsidR="008E16D0" w:rsidRPr="00351B7D" w:rsidRDefault="008E16D0" w:rsidP="00A8697F">
      <w:pPr>
        <w:pStyle w:val="ab"/>
        <w:numPr>
          <w:ilvl w:val="0"/>
          <w:numId w:val="50"/>
        </w:numPr>
        <w:rPr>
          <w:rFonts w:asciiTheme="minorBidi" w:hAnsiTheme="minorBidi"/>
          <w:rtl/>
        </w:rPr>
      </w:pPr>
      <w:r w:rsidRPr="00351B7D">
        <w:rPr>
          <w:rFonts w:asciiTheme="minorBidi" w:hAnsiTheme="minorBidi"/>
          <w:rtl/>
        </w:rPr>
        <w:t>מהר"ם</w:t>
      </w:r>
      <w:r w:rsidRPr="00351B7D">
        <w:rPr>
          <w:rStyle w:val="a7"/>
          <w:rFonts w:asciiTheme="minorBidi" w:hAnsiTheme="minorBidi"/>
          <w:rtl/>
        </w:rPr>
        <w:footnoteReference w:id="413"/>
      </w:r>
      <w:r w:rsidRPr="00351B7D">
        <w:rPr>
          <w:rFonts w:asciiTheme="minorBidi" w:hAnsiTheme="minorBidi"/>
          <w:rtl/>
        </w:rPr>
        <w:t>- ראובן שקידש לאה וזרק לה קידושיה לתוך חיקה ונענעה בגדיה להשליך הקידושין ממנה תוך כדי דיבור, נראה ודאי כיון שחצר שקידש שם אינו שלה אפילו זרק לה הקידושין תוך ד' אמותיה אינה מקודשת, כדתנן בהזורק</w:t>
      </w:r>
      <w:r w:rsidRPr="00351B7D">
        <w:rPr>
          <w:rFonts w:asciiTheme="minorBidi" w:hAnsiTheme="minorBidi"/>
          <w:sz w:val="16"/>
          <w:szCs w:val="16"/>
          <w:rtl/>
        </w:rPr>
        <w:t xml:space="preserve"> (גיטין עז.)</w:t>
      </w:r>
      <w:r w:rsidRPr="00351B7D">
        <w:rPr>
          <w:rFonts w:asciiTheme="minorBidi" w:hAnsiTheme="minorBidi"/>
          <w:rtl/>
        </w:rPr>
        <w:t xml:space="preserve"> אבל אם זרקה לתוך חיקה או לתוך קלתה מגורשת, אע"פ שראו העדים שנענעה בגדיה להשליך הטבעת של קידושיה מעליה אין לדמותו להא דאמרינן בפ"ק דקידושין</w:t>
      </w:r>
      <w:r w:rsidRPr="00351B7D">
        <w:rPr>
          <w:rFonts w:asciiTheme="minorBidi" w:hAnsiTheme="minorBidi"/>
          <w:sz w:val="16"/>
          <w:szCs w:val="16"/>
          <w:rtl/>
        </w:rPr>
        <w:t xml:space="preserve"> (ח:) </w:t>
      </w:r>
      <w:r w:rsidRPr="00351B7D">
        <w:rPr>
          <w:rFonts w:asciiTheme="minorBidi" w:hAnsiTheme="minorBidi"/>
          <w:rtl/>
        </w:rPr>
        <w:t>התקדשי לי במנה נטלתו וזרקתו לים או לאור או לכל דבר האבד אינה מקודשת וכו' עד לא מיבעיא שדיתינהו קמיה דאינה מקודשת וכו', דשאני התם דאיהי לא אמרה מעולם מקודשני לך, אבל בנדון זה כיון דשמעו העדים דאיהי אמרה לו מעיקרא פלוני בוא וקדשני וגם שוב בשעת הקידושין כשאמר בפני כולם פלונית ביקשה ממני לקדשה וכן אעשה ושתקה, אע"ג דבתר דנפול לתוך חיקה שדיתינהו איכא למימר דמעיקרא קיבלה לשם קידושין וכי שדיתינהו בתר הכי מיהדר קא הדרה בה, ואע"ג דתוך כדי דיבור לקבלה שדיתינהו בקידושין משום חומרא דאשת איש קיי"ל תוך כדי דיבור לאו כדיבור דמי כדאיתא פרק יש נוחלין</w:t>
      </w:r>
      <w:r w:rsidRPr="00351B7D">
        <w:rPr>
          <w:rFonts w:asciiTheme="minorBidi" w:hAnsiTheme="minorBidi"/>
          <w:sz w:val="16"/>
          <w:szCs w:val="16"/>
          <w:rtl/>
        </w:rPr>
        <w:t xml:space="preserve"> (ב"ב קכט:) </w:t>
      </w:r>
      <w:r w:rsidRPr="00351B7D">
        <w:rPr>
          <w:rFonts w:asciiTheme="minorBidi" w:hAnsiTheme="minorBidi"/>
          <w:rtl/>
        </w:rPr>
        <w:t>ופרק בתרא דנדרים</w:t>
      </w:r>
      <w:r w:rsidRPr="00351B7D">
        <w:rPr>
          <w:rFonts w:asciiTheme="minorBidi" w:hAnsiTheme="minorBidi"/>
          <w:sz w:val="16"/>
          <w:szCs w:val="16"/>
          <w:rtl/>
        </w:rPr>
        <w:t xml:space="preserve"> (פז.)</w:t>
      </w:r>
      <w:r w:rsidRPr="00351B7D">
        <w:rPr>
          <w:rFonts w:asciiTheme="minorBidi" w:hAnsiTheme="minorBidi"/>
          <w:rtl/>
        </w:rPr>
        <w:t>, ואע"ג דאמרה בלבי לא היה אלא לשחוק ומעולם לא נתרציתי לו, דברים שבלב נינהו ואינם דברים, ואע"ג דאיכא למימר דאנן סהדי דלא נתכוונה אלא להתלוצץ, גבי קידושין משום חומרא דאשת איש לא נסמוך על אומדן דעתא לומר לא היה בלבה כך ודאי, וליכא אומדן דעתא דמוכח כיון דאיכא נמי למימר איתתא בכל דהו ניחא לה, אמנם דקדקתי בכתב העדויות וכתוב בו שהעדים לא ראו אם נפלה הטבעת של הקידושין בחיקה, לפי זה נראה לי דאינה צריכה גט ואפילו היא יודעת בטוב שנפלה לתוך חיקה בעינן דליהוו סהדי שהגיעו הקידושין לידה, והיכא דאיכא תרי סהדי ואחד אומר קרוב לו ואחד אומר קרוב לה הוו ספק קידושין, והיכא דליכא אפילו חד שראה שהגיעו הקידושין לידה אינה מקודשת אפילו מדרבנן אע"פ שהיא בעצמה מודה שנפלה הטבעת בחיקה, דומיא דאמרינן</w:t>
      </w:r>
      <w:r w:rsidRPr="00351B7D">
        <w:rPr>
          <w:rFonts w:asciiTheme="minorBidi" w:hAnsiTheme="minorBidi"/>
          <w:sz w:val="16"/>
          <w:szCs w:val="16"/>
          <w:rtl/>
        </w:rPr>
        <w:t xml:space="preserve"> (קידושין סה.) </w:t>
      </w:r>
      <w:r w:rsidRPr="00351B7D">
        <w:rPr>
          <w:rFonts w:asciiTheme="minorBidi" w:hAnsiTheme="minorBidi"/>
          <w:rtl/>
        </w:rPr>
        <w:t>המקדש בעד אחד אין חוששין לקידושיו ואפילו שניהם מודים.... וטוב בעיני שלא להחמיר להצריכה גט לחומרא פן יתן המקדש כתף סוררת כדי לעגנה או ירחיק נדוד ונמצאת זאת העלובה כל ימיה עגונה.</w:t>
      </w:r>
      <w:r w:rsidRPr="00351B7D">
        <w:rPr>
          <w:rFonts w:asciiTheme="minorBidi" w:hAnsiTheme="minorBidi"/>
          <w:color w:val="00B0F0"/>
          <w:rtl/>
        </w:rPr>
        <w:t xml:space="preserve"> (וכ"פ הרמ"א)</w:t>
      </w:r>
    </w:p>
    <w:p w14:paraId="404ABCC4" w14:textId="77777777" w:rsidR="008E16D0" w:rsidRPr="00351B7D" w:rsidRDefault="008E16D0" w:rsidP="008E16D0">
      <w:pPr>
        <w:rPr>
          <w:rFonts w:asciiTheme="minorBidi" w:hAnsiTheme="minorBidi"/>
          <w:rtl/>
        </w:rPr>
      </w:pPr>
      <w:r w:rsidRPr="00351B7D">
        <w:rPr>
          <w:rFonts w:asciiTheme="minorBidi" w:hAnsiTheme="minorBidi"/>
          <w:u w:val="single"/>
          <w:rtl/>
        </w:rPr>
        <w:t>מעשה באדם שקידש אשה בעל כורחה:</w:t>
      </w:r>
      <w:r w:rsidRPr="00351B7D">
        <w:rPr>
          <w:rFonts w:asciiTheme="minorBidi" w:hAnsiTheme="minorBidi"/>
          <w:rtl/>
        </w:rPr>
        <w:t xml:space="preserve"> </w:t>
      </w:r>
      <w:r w:rsidRPr="00351B7D">
        <w:rPr>
          <w:rFonts w:asciiTheme="minorBidi" w:hAnsiTheme="minorBidi"/>
          <w:color w:val="000000"/>
          <w:sz w:val="16"/>
          <w:szCs w:val="16"/>
          <w:rtl/>
        </w:rPr>
        <w:t>(ב"י סי' ל, סוף סע' א-ב)</w:t>
      </w:r>
      <w:r w:rsidRPr="00351B7D">
        <w:rPr>
          <w:rFonts w:asciiTheme="minorBidi" w:hAnsiTheme="minorBidi"/>
          <w:rtl/>
        </w:rPr>
        <w:t xml:space="preserve"> </w:t>
      </w:r>
    </w:p>
    <w:p w14:paraId="0E388E90" w14:textId="77777777" w:rsidR="008E16D0" w:rsidRPr="00351B7D" w:rsidRDefault="008E16D0" w:rsidP="00A8697F">
      <w:pPr>
        <w:pStyle w:val="ab"/>
        <w:numPr>
          <w:ilvl w:val="0"/>
          <w:numId w:val="50"/>
        </w:numPr>
        <w:rPr>
          <w:rFonts w:asciiTheme="minorBidi" w:hAnsiTheme="minorBidi"/>
        </w:rPr>
      </w:pPr>
      <w:r w:rsidRPr="00351B7D">
        <w:rPr>
          <w:rFonts w:asciiTheme="minorBidi" w:hAnsiTheme="minorBidi"/>
          <w:rtl/>
        </w:rPr>
        <w:t xml:space="preserve">הגה' מרדכי </w:t>
      </w:r>
      <w:r w:rsidRPr="00351B7D">
        <w:rPr>
          <w:rFonts w:asciiTheme="minorBidi" w:hAnsiTheme="minorBidi"/>
          <w:sz w:val="16"/>
          <w:szCs w:val="16"/>
          <w:rtl/>
        </w:rPr>
        <w:t xml:space="preserve">(גיטין סי' תעא) </w:t>
      </w:r>
      <w:r w:rsidRPr="00351B7D">
        <w:rPr>
          <w:rFonts w:asciiTheme="minorBidi" w:hAnsiTheme="minorBidi"/>
          <w:rtl/>
        </w:rPr>
        <w:t xml:space="preserve">בשם רבנו גרשון מאור הגולה- "מה שהעד אומר שראה שלקח ידה בע"כ ונתן הטבעת בידה, מאחר שלא זרקה צריכה גט, ואע"פ שיש עדים שלא דיבר עמה בשעת נתינה כיון שדיבר עמה תחלה הוו קידושין". </w:t>
      </w:r>
      <w:r w:rsidRPr="00351B7D">
        <w:rPr>
          <w:rFonts w:asciiTheme="minorBidi" w:hAnsiTheme="minorBidi"/>
          <w:color w:val="00B0F0"/>
          <w:rtl/>
        </w:rPr>
        <w:t>(וכ"פ הרמ"א)</w:t>
      </w:r>
    </w:p>
    <w:p w14:paraId="2AC1D83F"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lastRenderedPageBreak/>
        <w:t>מעשה באדם שקידש אשה בעל כורחה:</w:t>
      </w:r>
      <w:r w:rsidRPr="00351B7D">
        <w:rPr>
          <w:rFonts w:asciiTheme="minorBidi" w:hAnsiTheme="minorBidi"/>
          <w:sz w:val="16"/>
          <w:szCs w:val="16"/>
          <w:rtl/>
        </w:rPr>
        <w:t xml:space="preserve">  (טור וב"י)</w:t>
      </w:r>
    </w:p>
    <w:p w14:paraId="6991A99F" w14:textId="77777777" w:rsidR="008E16D0" w:rsidRPr="00351B7D" w:rsidRDefault="008E16D0" w:rsidP="00A8697F">
      <w:pPr>
        <w:pStyle w:val="ab"/>
        <w:numPr>
          <w:ilvl w:val="0"/>
          <w:numId w:val="50"/>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לה סי' יא)</w:t>
      </w:r>
      <w:r w:rsidRPr="00351B7D">
        <w:rPr>
          <w:rFonts w:asciiTheme="minorBidi" w:hAnsiTheme="minorBidi"/>
          <w:rtl/>
        </w:rPr>
        <w:t>- לאה שאמרה לראובן תן לי מנה שאתה חייב לי, ונתן לידה ג' פשיטים וכשנתנם לידה אמר לה הרי את מקודשת לי, וכששמעה השליכה המעות ואמרה 'איני רוצה לקדש' ועדים מעידים בזה- אין כאן בית מיחוש ואינה צריכה גט.</w:t>
      </w:r>
      <w:r w:rsidRPr="00351B7D">
        <w:rPr>
          <w:rFonts w:asciiTheme="minorBidi" w:hAnsiTheme="minorBidi"/>
          <w:color w:val="00B0F0"/>
          <w:rtl/>
        </w:rPr>
        <w:t xml:space="preserve"> (וכ"פ הרמ"א)</w:t>
      </w:r>
    </w:p>
    <w:p w14:paraId="14253692"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איש שאנסוהו לקדש אשה:</w:t>
      </w:r>
    </w:p>
    <w:p w14:paraId="72AB318A" w14:textId="77777777" w:rsidR="008E16D0" w:rsidRPr="00351B7D" w:rsidRDefault="008E16D0" w:rsidP="00A8697F">
      <w:pPr>
        <w:pStyle w:val="ab"/>
        <w:numPr>
          <w:ilvl w:val="0"/>
          <w:numId w:val="50"/>
        </w:numPr>
        <w:rPr>
          <w:rFonts w:asciiTheme="minorBidi" w:hAnsiTheme="minorBidi"/>
          <w:rtl/>
        </w:rPr>
      </w:pPr>
      <w:r w:rsidRPr="00351B7D">
        <w:rPr>
          <w:rFonts w:asciiTheme="minorBidi" w:hAnsiTheme="minorBidi"/>
          <w:rtl/>
        </w:rPr>
        <w:t>רמב"ם רשב"א והגה"מ</w:t>
      </w:r>
      <w:r w:rsidRPr="00351B7D">
        <w:rPr>
          <w:rStyle w:val="a7"/>
          <w:rFonts w:asciiTheme="minorBidi" w:hAnsiTheme="minorBidi"/>
          <w:rtl/>
        </w:rPr>
        <w:footnoteReference w:id="414"/>
      </w:r>
      <w:r w:rsidRPr="00351B7D">
        <w:rPr>
          <w:rFonts w:asciiTheme="minorBidi" w:hAnsiTheme="minorBidi"/>
          <w:rtl/>
        </w:rPr>
        <w:t>- האיש שאנסוהו וקידש קידושיו קידושין</w:t>
      </w:r>
      <w:r w:rsidRPr="00351B7D">
        <w:rPr>
          <w:rStyle w:val="a7"/>
          <w:rFonts w:asciiTheme="minorBidi" w:hAnsiTheme="minorBidi"/>
          <w:rtl/>
        </w:rPr>
        <w:footnoteReference w:id="415"/>
      </w:r>
      <w:r w:rsidRPr="00351B7D">
        <w:rPr>
          <w:rFonts w:asciiTheme="minorBidi" w:hAnsiTheme="minorBidi"/>
          <w:rtl/>
        </w:rPr>
        <w:t>.</w:t>
      </w:r>
      <w:r w:rsidRPr="00351B7D">
        <w:rPr>
          <w:rFonts w:asciiTheme="minorBidi" w:hAnsiTheme="minorBidi"/>
          <w:color w:val="E36C0A" w:themeColor="accent6" w:themeShade="BF"/>
          <w:rtl/>
        </w:rPr>
        <w:t xml:space="preserve"> </w:t>
      </w:r>
      <w:r w:rsidRPr="00351B7D">
        <w:rPr>
          <w:rFonts w:asciiTheme="minorBidi" w:hAnsiTheme="minorBidi"/>
          <w:rtl/>
        </w:rPr>
        <w:t>(וכ"פ הב"ח)</w:t>
      </w:r>
    </w:p>
    <w:p w14:paraId="2C98654F" w14:textId="77777777" w:rsidR="008E16D0" w:rsidRPr="00351B7D" w:rsidRDefault="008E16D0" w:rsidP="00A8697F">
      <w:pPr>
        <w:pStyle w:val="ab"/>
        <w:numPr>
          <w:ilvl w:val="0"/>
          <w:numId w:val="50"/>
        </w:numPr>
        <w:rPr>
          <w:rFonts w:asciiTheme="minorBidi" w:hAnsiTheme="minorBidi"/>
          <w:rtl/>
        </w:rPr>
      </w:pPr>
      <w:r w:rsidRPr="00351B7D">
        <w:rPr>
          <w:rFonts w:asciiTheme="minorBidi" w:hAnsiTheme="minorBidi"/>
          <w:rtl/>
        </w:rPr>
        <w:t xml:space="preserve">רי"ף </w:t>
      </w:r>
      <w:r w:rsidRPr="00351B7D">
        <w:rPr>
          <w:rFonts w:asciiTheme="minorBidi" w:hAnsiTheme="minorBidi"/>
          <w:sz w:val="16"/>
          <w:szCs w:val="16"/>
          <w:rtl/>
        </w:rPr>
        <w:t>(כ"כ הטור בשמו)</w:t>
      </w:r>
      <w:r w:rsidRPr="00351B7D">
        <w:rPr>
          <w:rFonts w:asciiTheme="minorBidi" w:hAnsiTheme="minorBidi"/>
          <w:rtl/>
        </w:rPr>
        <w:t xml:space="preserve"> וסמ"ג</w:t>
      </w:r>
      <w:r w:rsidRPr="00351B7D">
        <w:rPr>
          <w:rStyle w:val="a7"/>
          <w:rFonts w:asciiTheme="minorBidi" w:hAnsiTheme="minorBidi"/>
          <w:rtl/>
        </w:rPr>
        <w:footnoteReference w:id="416"/>
      </w:r>
      <w:r w:rsidRPr="00351B7D">
        <w:rPr>
          <w:rFonts w:asciiTheme="minorBidi" w:hAnsiTheme="minorBidi"/>
          <w:rtl/>
        </w:rPr>
        <w:t>- אין קידושיו קדושין</w:t>
      </w:r>
      <w:r w:rsidRPr="00351B7D">
        <w:rPr>
          <w:rStyle w:val="a7"/>
          <w:rFonts w:asciiTheme="minorBidi" w:hAnsiTheme="minorBidi"/>
          <w:rtl/>
        </w:rPr>
        <w:footnoteReference w:id="417"/>
      </w:r>
      <w:r w:rsidRPr="00351B7D">
        <w:rPr>
          <w:rFonts w:asciiTheme="minorBidi" w:hAnsiTheme="minorBidi"/>
          <w:rtl/>
        </w:rPr>
        <w:t>.</w:t>
      </w:r>
    </w:p>
    <w:p w14:paraId="6D734A02" w14:textId="77777777" w:rsidR="008E16D0" w:rsidRPr="00351B7D" w:rsidRDefault="008E16D0" w:rsidP="00A8697F">
      <w:pPr>
        <w:pStyle w:val="ab"/>
        <w:numPr>
          <w:ilvl w:val="0"/>
          <w:numId w:val="50"/>
        </w:numPr>
        <w:rPr>
          <w:rFonts w:asciiTheme="minorBidi" w:hAnsiTheme="minorBidi"/>
        </w:rPr>
      </w:pPr>
      <w:r w:rsidRPr="00351B7D">
        <w:rPr>
          <w:rFonts w:asciiTheme="minorBidi" w:hAnsiTheme="minorBidi"/>
          <w:rtl/>
        </w:rPr>
        <w:t>בהעי"ט</w:t>
      </w:r>
      <w:r w:rsidRPr="00351B7D">
        <w:rPr>
          <w:rFonts w:asciiTheme="minorBidi" w:hAnsiTheme="minorBidi"/>
          <w:sz w:val="16"/>
          <w:szCs w:val="16"/>
          <w:rtl/>
        </w:rPr>
        <w:t xml:space="preserve"> (אות מ מודעא דף מא)</w:t>
      </w:r>
      <w:r w:rsidRPr="00351B7D">
        <w:rPr>
          <w:rFonts w:asciiTheme="minorBidi" w:hAnsiTheme="minorBidi"/>
          <w:rtl/>
        </w:rPr>
        <w:t xml:space="preserve"> וראב"ד</w:t>
      </w:r>
      <w:r w:rsidRPr="00351B7D">
        <w:rPr>
          <w:rFonts w:asciiTheme="minorBidi" w:hAnsiTheme="minorBidi"/>
          <w:sz w:val="16"/>
          <w:szCs w:val="16"/>
          <w:rtl/>
        </w:rPr>
        <w:t xml:space="preserve"> (פ"ד ה"א)</w:t>
      </w:r>
      <w:r w:rsidRPr="00351B7D">
        <w:rPr>
          <w:rFonts w:asciiTheme="minorBidi" w:hAnsiTheme="minorBidi"/>
          <w:rtl/>
        </w:rPr>
        <w:t>- אם אמר רוצה אני- מקודשת</w:t>
      </w:r>
      <w:r w:rsidRPr="00351B7D">
        <w:rPr>
          <w:rStyle w:val="a7"/>
          <w:rFonts w:asciiTheme="minorBidi" w:hAnsiTheme="minorBidi"/>
          <w:rtl/>
        </w:rPr>
        <w:footnoteReference w:id="418"/>
      </w:r>
      <w:r w:rsidRPr="00351B7D">
        <w:rPr>
          <w:rFonts w:asciiTheme="minorBidi" w:hAnsiTheme="minorBidi"/>
          <w:rtl/>
        </w:rPr>
        <w:t>, אבל אם לא- אין קידושיו קדושין</w:t>
      </w:r>
      <w:r w:rsidRPr="00351B7D">
        <w:rPr>
          <w:rStyle w:val="a7"/>
          <w:rFonts w:asciiTheme="minorBidi" w:hAnsiTheme="minorBidi"/>
          <w:rtl/>
        </w:rPr>
        <w:footnoteReference w:id="419"/>
      </w:r>
      <w:r w:rsidRPr="00351B7D">
        <w:rPr>
          <w:rFonts w:asciiTheme="minorBidi" w:hAnsiTheme="minorBidi"/>
          <w:rtl/>
        </w:rPr>
        <w:t xml:space="preserve">. </w:t>
      </w:r>
    </w:p>
    <w:p w14:paraId="7AEB2569"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קידש אשה מתוך שינה:</w:t>
      </w:r>
      <w:r w:rsidRPr="00351B7D">
        <w:rPr>
          <w:rFonts w:asciiTheme="minorBidi" w:hAnsiTheme="minorBidi"/>
          <w:sz w:val="16"/>
          <w:szCs w:val="16"/>
          <w:rtl/>
        </w:rPr>
        <w:t xml:space="preserve">  (ב"י)</w:t>
      </w:r>
    </w:p>
    <w:p w14:paraId="2A07228F" w14:textId="77777777" w:rsidR="008E16D0" w:rsidRPr="00351B7D" w:rsidRDefault="008E16D0" w:rsidP="00A8697F">
      <w:pPr>
        <w:pStyle w:val="ab"/>
        <w:numPr>
          <w:ilvl w:val="0"/>
          <w:numId w:val="51"/>
        </w:numPr>
        <w:rPr>
          <w:rFonts w:asciiTheme="minorBidi" w:hAnsiTheme="minorBidi"/>
          <w:rtl/>
        </w:rPr>
      </w:pPr>
      <w:r w:rsidRPr="00351B7D">
        <w:rPr>
          <w:rFonts w:asciiTheme="minorBidi" w:hAnsiTheme="minorBidi"/>
          <w:rtl/>
        </w:rPr>
        <w:t>רשב"ש</w:t>
      </w:r>
      <w:r w:rsidRPr="00351B7D">
        <w:rPr>
          <w:rStyle w:val="a7"/>
          <w:rFonts w:asciiTheme="minorBidi" w:hAnsiTheme="minorBidi"/>
          <w:rtl/>
        </w:rPr>
        <w:footnoteReference w:id="420"/>
      </w:r>
      <w:r w:rsidRPr="00351B7D">
        <w:rPr>
          <w:rFonts w:asciiTheme="minorBidi" w:hAnsiTheme="minorBidi"/>
          <w:rtl/>
        </w:rPr>
        <w:t xml:space="preserve">- " </w:t>
      </w:r>
      <w:r w:rsidRPr="00351B7D">
        <w:rPr>
          <w:rFonts w:asciiTheme="minorBidi" w:hAnsiTheme="minorBidi"/>
          <w:color w:val="000000"/>
          <w:rtl/>
        </w:rPr>
        <w:t>ולענין אונס שינה אינו כלום שהישן אינו מדבר, ואי נים ולא נים תיר ולא תיר מעשיו קיימין</w:t>
      </w:r>
      <w:r w:rsidRPr="00351B7D">
        <w:rPr>
          <w:rFonts w:asciiTheme="minorBidi" w:hAnsiTheme="minorBidi"/>
          <w:rtl/>
        </w:rPr>
        <w:t>".</w:t>
      </w:r>
    </w:p>
    <w:p w14:paraId="6EC593B3"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C02C5F" w14:textId="77777777" w:rsidR="008E16D0" w:rsidRPr="00351B7D" w:rsidRDefault="008E16D0" w:rsidP="008E16D0">
      <w:pPr>
        <w:rPr>
          <w:rFonts w:asciiTheme="minorBidi" w:hAnsiTheme="minorBidi"/>
          <w:rtl/>
        </w:rPr>
      </w:pPr>
      <w:r w:rsidRPr="00351B7D">
        <w:rPr>
          <w:rFonts w:asciiTheme="minorBidi" w:hAnsiTheme="minorBidi"/>
          <w:rtl/>
        </w:rPr>
        <w:t>אין האשה מקודשת אלא לרצונה, והמקדש אשה בעל כרחה אינה מקודשת</w:t>
      </w:r>
      <w:r w:rsidRPr="00351B7D">
        <w:rPr>
          <w:rStyle w:val="a7"/>
          <w:rFonts w:asciiTheme="minorBidi" w:hAnsiTheme="minorBidi"/>
          <w:color w:val="000000"/>
          <w:rtl/>
        </w:rPr>
        <w:footnoteReference w:id="421"/>
      </w:r>
      <w:r w:rsidRPr="00351B7D">
        <w:rPr>
          <w:rFonts w:asciiTheme="minorBidi" w:hAnsiTheme="minorBidi"/>
          <w:rtl/>
        </w:rPr>
        <w:t>, אבל האיש שאנסוהו עד שקידש בעל כרחו הרי זו מקודשת</w:t>
      </w:r>
      <w:r w:rsidRPr="00351B7D">
        <w:rPr>
          <w:rStyle w:val="a7"/>
          <w:rFonts w:asciiTheme="minorBidi" w:hAnsiTheme="minorBidi"/>
          <w:color w:val="000000"/>
          <w:rtl/>
        </w:rPr>
        <w:footnoteReference w:id="422"/>
      </w:r>
      <w:r w:rsidRPr="00351B7D">
        <w:rPr>
          <w:rFonts w:asciiTheme="minorBidi" w:hAnsiTheme="minorBidi"/>
          <w:rtl/>
        </w:rPr>
        <w:t>, וי"א שאינה מקודשת, הילכך הוה ליה ספק</w:t>
      </w:r>
      <w:r w:rsidRPr="00351B7D">
        <w:rPr>
          <w:rStyle w:val="a7"/>
          <w:rFonts w:asciiTheme="minorBidi" w:hAnsiTheme="minorBidi"/>
          <w:color w:val="000000"/>
          <w:rtl/>
        </w:rPr>
        <w:footnoteReference w:id="423"/>
      </w:r>
      <w:r w:rsidRPr="00351B7D">
        <w:rPr>
          <w:rFonts w:asciiTheme="minorBidi" w:hAnsiTheme="minorBidi"/>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אמרה תחלה קדשני וזרק קדושין לתוך חיקה ואמר לה הרי את מקודשת לי וניערה בגדיה תוך כדי דיבור להשליך ממנה הקדושין ואומרת שלא כיוונה מתחלה רק לשחוק בעלמא אפילו הכי הוי מקודשת ואין הולכים בענין קידושין אחר אומדנות והוכחות המוכיחות שלא כיוונה לשם קדושין</w:t>
      </w:r>
      <w:r w:rsidRPr="00351B7D">
        <w:rPr>
          <w:rStyle w:val="a7"/>
          <w:rFonts w:asciiTheme="minorBidi" w:hAnsiTheme="minorBidi"/>
          <w:color w:val="000000"/>
          <w:sz w:val="18"/>
          <w:szCs w:val="18"/>
          <w:rtl/>
        </w:rPr>
        <w:footnoteReference w:id="424"/>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(מהר"ם)</w:t>
      </w:r>
      <w:r w:rsidRPr="00351B7D">
        <w:rPr>
          <w:rFonts w:asciiTheme="minorBidi" w:hAnsiTheme="minorBidi"/>
          <w:color w:val="000000"/>
          <w:sz w:val="18"/>
          <w:szCs w:val="18"/>
          <w:rtl/>
        </w:rPr>
        <w:t xml:space="preserve">. לקח יד האשה בחזקה שלא ברצונה </w:t>
      </w:r>
      <w:r w:rsidRPr="00351B7D">
        <w:rPr>
          <w:rFonts w:asciiTheme="minorBidi" w:hAnsiTheme="minorBidi"/>
          <w:color w:val="000000"/>
          <w:sz w:val="18"/>
          <w:szCs w:val="18"/>
          <w:rtl/>
        </w:rPr>
        <w:lastRenderedPageBreak/>
        <w:t>וקידש והיא לא זרקה הקדושין הוי מקודשת</w:t>
      </w:r>
      <w:r w:rsidRPr="00351B7D">
        <w:rPr>
          <w:rStyle w:val="a7"/>
          <w:rFonts w:asciiTheme="minorBidi" w:hAnsiTheme="minorBidi"/>
          <w:color w:val="000000"/>
          <w:sz w:val="18"/>
          <w:szCs w:val="18"/>
          <w:rtl/>
        </w:rPr>
        <w:footnoteReference w:id="425"/>
      </w:r>
      <w:r w:rsidRPr="00351B7D">
        <w:rPr>
          <w:rFonts w:asciiTheme="minorBidi" w:hAnsiTheme="minorBidi"/>
          <w:color w:val="000000"/>
          <w:sz w:val="18"/>
          <w:szCs w:val="18"/>
          <w:rtl/>
        </w:rPr>
        <w:t xml:space="preserve"> אע"פ שמתחלה באונס היה ונתן לה סתם ולא אמר לה כלום הואיל ובתחלה דבר עמה מקדושין</w:t>
      </w:r>
      <w:r w:rsidRPr="00351B7D">
        <w:rPr>
          <w:rStyle w:val="a7"/>
          <w:rFonts w:asciiTheme="minorBidi" w:hAnsiTheme="minorBidi"/>
          <w:color w:val="000000"/>
          <w:sz w:val="18"/>
          <w:szCs w:val="18"/>
          <w:rtl/>
        </w:rPr>
        <w:footnoteReference w:id="42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(הגמ"ר)</w:t>
      </w:r>
      <w:r w:rsidRPr="00351B7D">
        <w:rPr>
          <w:rFonts w:asciiTheme="minorBidi" w:hAnsiTheme="minorBidi"/>
          <w:color w:val="000000"/>
          <w:sz w:val="18"/>
          <w:szCs w:val="18"/>
          <w:rtl/>
        </w:rPr>
        <w:t>. היה חייב לה מעות ואמרה לו תן לי מעותי וכאשר התחיל ליתן</w:t>
      </w:r>
      <w:r w:rsidRPr="00351B7D">
        <w:rPr>
          <w:rStyle w:val="a7"/>
          <w:rFonts w:asciiTheme="minorBidi" w:hAnsiTheme="minorBidi"/>
          <w:color w:val="000000"/>
          <w:sz w:val="18"/>
          <w:szCs w:val="18"/>
          <w:rtl/>
        </w:rPr>
        <w:footnoteReference w:id="427"/>
      </w:r>
      <w:r w:rsidRPr="00351B7D">
        <w:rPr>
          <w:rFonts w:asciiTheme="minorBidi" w:hAnsiTheme="minorBidi"/>
          <w:color w:val="000000"/>
          <w:sz w:val="18"/>
          <w:szCs w:val="18"/>
          <w:rtl/>
        </w:rPr>
        <w:t xml:space="preserve"> אמר לה הרי את מקודשת לי וזרקה היא המעות מידה אינן קידושין</w:t>
      </w:r>
      <w:r w:rsidRPr="00351B7D">
        <w:rPr>
          <w:rStyle w:val="a7"/>
          <w:rFonts w:asciiTheme="minorBidi" w:hAnsiTheme="minorBidi"/>
          <w:color w:val="000000"/>
          <w:sz w:val="18"/>
          <w:szCs w:val="18"/>
          <w:rtl/>
        </w:rPr>
        <w:footnoteReference w:id="428"/>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(טור בשם תשו' הרא"ש)</w:t>
      </w:r>
      <w:r w:rsidRPr="00351B7D">
        <w:rPr>
          <w:rFonts w:asciiTheme="minorBidi" w:hAnsiTheme="minorBidi"/>
          <w:color w:val="000000"/>
          <w:sz w:val="18"/>
          <w:szCs w:val="18"/>
          <w:rtl/>
        </w:rPr>
        <w:t xml:space="preserve">. </w:t>
      </w:r>
    </w:p>
    <w:p w14:paraId="6372F32E"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אשה שנתקדשה ושנים אומרים שנתקדשה מרצונה ושנים אומרים שנתקדשה באונס פחד:</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סק"א) </w:t>
      </w:r>
    </w:p>
    <w:p w14:paraId="4BE80E2B" w14:textId="77777777" w:rsidR="008E16D0" w:rsidRPr="00351B7D" w:rsidRDefault="008E16D0" w:rsidP="00A8697F">
      <w:pPr>
        <w:pStyle w:val="ab"/>
        <w:numPr>
          <w:ilvl w:val="0"/>
          <w:numId w:val="51"/>
        </w:numPr>
        <w:rPr>
          <w:rFonts w:asciiTheme="minorBidi" w:hAnsiTheme="minorBidi"/>
        </w:rPr>
      </w:pPr>
      <w:r w:rsidRPr="00351B7D">
        <w:rPr>
          <w:rFonts w:asciiTheme="minorBidi" w:hAnsiTheme="minorBidi"/>
          <w:rtl/>
        </w:rPr>
        <w:t xml:space="preserve">כנה"ג </w:t>
      </w:r>
      <w:r w:rsidRPr="00351B7D">
        <w:rPr>
          <w:rFonts w:asciiTheme="minorBidi" w:hAnsiTheme="minorBidi"/>
          <w:sz w:val="16"/>
          <w:szCs w:val="16"/>
          <w:rtl/>
        </w:rPr>
        <w:t>(הגה"ט אות ג')</w:t>
      </w:r>
      <w:r w:rsidRPr="00351B7D">
        <w:rPr>
          <w:rFonts w:asciiTheme="minorBidi" w:hAnsiTheme="minorBidi"/>
          <w:rtl/>
        </w:rPr>
        <w:t>- אם נישאת תצא, זולת אם נתקדשה לאחד מעדיה.</w:t>
      </w:r>
    </w:p>
    <w:p w14:paraId="20745506" w14:textId="77777777" w:rsidR="008E16D0" w:rsidRPr="00351B7D" w:rsidRDefault="008E16D0" w:rsidP="00A8697F">
      <w:pPr>
        <w:pStyle w:val="ab"/>
        <w:numPr>
          <w:ilvl w:val="0"/>
          <w:numId w:val="51"/>
        </w:numPr>
        <w:rPr>
          <w:rFonts w:asciiTheme="minorBidi" w:hAnsiTheme="minorBidi"/>
        </w:rPr>
      </w:pPr>
      <w:r w:rsidRPr="00351B7D">
        <w:rPr>
          <w:rFonts w:asciiTheme="minorBidi" w:hAnsiTheme="minorBidi"/>
          <w:rtl/>
        </w:rPr>
        <w:t xml:space="preserve">רדב"ז </w:t>
      </w:r>
      <w:r w:rsidRPr="00351B7D">
        <w:rPr>
          <w:rFonts w:asciiTheme="minorBidi" w:hAnsiTheme="minorBidi"/>
          <w:sz w:val="16"/>
          <w:szCs w:val="16"/>
          <w:rtl/>
        </w:rPr>
        <w:t>(ח"ד סי' נ"ז)</w:t>
      </w:r>
      <w:r w:rsidRPr="00351B7D">
        <w:rPr>
          <w:rFonts w:asciiTheme="minorBidi" w:hAnsiTheme="minorBidi"/>
          <w:rtl/>
        </w:rPr>
        <w:t>- לא תצא, אפי' שלא נישאת לאחד מעדיה.</w:t>
      </w:r>
    </w:p>
    <w:p w14:paraId="29EE9302" w14:textId="77777777" w:rsidR="008E16D0" w:rsidRPr="00351B7D" w:rsidRDefault="008E16D0" w:rsidP="00A8697F">
      <w:pPr>
        <w:pStyle w:val="ab"/>
        <w:numPr>
          <w:ilvl w:val="0"/>
          <w:numId w:val="51"/>
        </w:numPr>
        <w:rPr>
          <w:rFonts w:asciiTheme="minorBidi" w:hAnsiTheme="minorBidi"/>
          <w:color w:val="000000"/>
          <w:rtl/>
        </w:rPr>
      </w:pPr>
      <w:r w:rsidRPr="00351B7D">
        <w:rPr>
          <w:rFonts w:asciiTheme="minorBidi" w:hAnsiTheme="minorBidi"/>
          <w:rtl/>
        </w:rPr>
        <w:t>מהרד"ב</w:t>
      </w:r>
      <w:r w:rsidRPr="00351B7D">
        <w:rPr>
          <w:rFonts w:asciiTheme="minorBidi" w:hAnsiTheme="minorBidi"/>
          <w:color w:val="000000"/>
          <w:sz w:val="16"/>
          <w:szCs w:val="16"/>
          <w:rtl/>
        </w:rPr>
        <w:t xml:space="preserve"> (לחם רב סי' יט)</w:t>
      </w:r>
      <w:r w:rsidRPr="00351B7D">
        <w:rPr>
          <w:rFonts w:asciiTheme="minorBidi" w:hAnsiTheme="minorBidi"/>
          <w:rtl/>
        </w:rPr>
        <w:t>- מקודשת ודאי, ולא תפסי קידושין מאחר, משום דאיכא ס"ס להחמיר, ספק אם האמת כדברי האומרים שנתקדשה לרצונה, וא"ת נתקדשה באונס ספק אי חשיב אונס או לא</w:t>
      </w:r>
      <w:r w:rsidRPr="00351B7D">
        <w:rPr>
          <w:rFonts w:asciiTheme="minorBidi" w:hAnsiTheme="minorBidi"/>
          <w:color w:val="000000"/>
          <w:sz w:val="16"/>
          <w:szCs w:val="16"/>
          <w:rtl/>
        </w:rPr>
        <w:t xml:space="preserve"> (ר"ל כדאיתא בחו"מ סי' רה ס"ז בהג"ה)</w:t>
      </w:r>
      <w:r w:rsidRPr="00351B7D">
        <w:rPr>
          <w:rFonts w:asciiTheme="minorBidi" w:hAnsiTheme="minorBidi"/>
          <w:rtl/>
        </w:rPr>
        <w:t>, וכל דאיכא ס"ס להחמיר הו"ל מקודשת ודאית</w:t>
      </w:r>
      <w:r w:rsidRPr="00351B7D">
        <w:rPr>
          <w:rStyle w:val="a7"/>
          <w:rFonts w:asciiTheme="minorBidi" w:hAnsiTheme="minorBidi"/>
          <w:color w:val="000000"/>
          <w:rtl/>
        </w:rPr>
        <w:footnoteReference w:id="429"/>
      </w:r>
      <w:r w:rsidRPr="00351B7D">
        <w:rPr>
          <w:rFonts w:asciiTheme="minorBidi" w:hAnsiTheme="minorBidi"/>
          <w:color w:val="000000"/>
          <w:rtl/>
        </w:rPr>
        <w:t>.</w:t>
      </w:r>
    </w:p>
    <w:p w14:paraId="408A86AC"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אדם שהתחייב בחרם וקנס לקדש אשה מסויימת ועתה אינו רוצה האם אפשר לכופו או דהוי כמקדש בע"כ:</w:t>
      </w:r>
      <w:r w:rsidRPr="00351B7D">
        <w:rPr>
          <w:rFonts w:asciiTheme="minorBidi" w:hAnsiTheme="minorBidi"/>
          <w:color w:val="000000"/>
          <w:rtl/>
        </w:rPr>
        <w:t xml:space="preserve"> </w:t>
      </w:r>
      <w:r w:rsidRPr="00351B7D">
        <w:rPr>
          <w:rFonts w:asciiTheme="minorBidi" w:hAnsiTheme="minorBidi"/>
          <w:color w:val="000000"/>
          <w:sz w:val="16"/>
          <w:szCs w:val="16"/>
          <w:rtl/>
        </w:rPr>
        <w:t>(פת"ש סק"ב)</w:t>
      </w:r>
      <w:r w:rsidRPr="00351B7D">
        <w:rPr>
          <w:rFonts w:asciiTheme="minorBidi" w:hAnsiTheme="minorBidi"/>
          <w:color w:val="000000"/>
          <w:rtl/>
        </w:rPr>
        <w:t xml:space="preserve"> </w:t>
      </w:r>
    </w:p>
    <w:p w14:paraId="1D5D513F" w14:textId="77777777" w:rsidR="008E16D0" w:rsidRPr="00351B7D" w:rsidRDefault="008E16D0" w:rsidP="00A8697F">
      <w:pPr>
        <w:pStyle w:val="ab"/>
        <w:numPr>
          <w:ilvl w:val="0"/>
          <w:numId w:val="53"/>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(ח"א סי' קי"ב)</w:t>
      </w:r>
      <w:r w:rsidRPr="00351B7D">
        <w:rPr>
          <w:rFonts w:asciiTheme="minorBidi" w:hAnsiTheme="minorBidi"/>
          <w:rtl/>
        </w:rPr>
        <w:t xml:space="preserve">- הרב השואל צידד להתיר הואיל שח"מ וב"ש השיגו על דברי הרמ"א בח"מ ס"ס ר"ה שכ' באנסוהו לקנות אינו קונה ולא נשאר כאן ספק רק משום שעושים שלא כהוגן והכא אדרבה הוא עושה שלא כהוגן והדר ה"ל כשאר קנין בע"כ דמהני דלא כהרמ"א הנ"ל. תשובה- להלכה גם אני מסכים עמו לכופו... ולא דמי לכפוהו ליקח, דהא מבואר בב"ב </w:t>
      </w:r>
      <w:r w:rsidRPr="00351B7D">
        <w:rPr>
          <w:rFonts w:asciiTheme="minorBidi" w:hAnsiTheme="minorBidi"/>
          <w:color w:val="000000"/>
          <w:sz w:val="16"/>
          <w:szCs w:val="16"/>
          <w:rtl/>
        </w:rPr>
        <w:t>(מח.)</w:t>
      </w:r>
      <w:r w:rsidRPr="00351B7D">
        <w:rPr>
          <w:rFonts w:asciiTheme="minorBidi" w:hAnsiTheme="minorBidi"/>
          <w:rtl/>
        </w:rPr>
        <w:t xml:space="preserve"> דגבי קרבן כופין אותו עד שיאמר רוצה אני משום דניחא ליה דליהוי ליה כפרה, וע"ש בתוס' </w:t>
      </w:r>
      <w:r w:rsidRPr="00351B7D">
        <w:rPr>
          <w:rFonts w:asciiTheme="minorBidi" w:hAnsiTheme="minorBidi"/>
          <w:color w:val="000000"/>
          <w:sz w:val="16"/>
          <w:szCs w:val="16"/>
          <w:rtl/>
        </w:rPr>
        <w:t xml:space="preserve">(ד"ה אילימא) </w:t>
      </w:r>
      <w:r w:rsidRPr="00351B7D">
        <w:rPr>
          <w:rFonts w:asciiTheme="minorBidi" w:hAnsiTheme="minorBidi"/>
          <w:rtl/>
        </w:rPr>
        <w:t>דכל כיוצא בזה דמחוייב לעשות הוי כמכר, מעתה על כרחך הא דנתחבטו בזה היינו בשכופין לקדש בעלמא דזה הוי כלוקח, אבל זה שהתחייב עצמו בחרם וקנס ואפילו אם שלם הקנס לא נפטר מהחרם, ומכ"ש בנ"ד שאין לו לשלם פשיטא דבעי כפרה והקידושין היינו כפרתו כו' וא"כ היה שפיר כמו קרבן וכופין אותו לכו"ע ואין על זה שום חולק, אלא דלפ"ז לא עדיף מקרבן עצמו שצריך שיאמר רוצה אני עכ"פ, אבל לפע"ד אין בזה שום קפידא כמ"ש הה"מ</w:t>
      </w:r>
      <w:r w:rsidRPr="00351B7D">
        <w:rPr>
          <w:rFonts w:asciiTheme="minorBidi" w:hAnsiTheme="minorBidi"/>
          <w:color w:val="000000"/>
          <w:sz w:val="16"/>
          <w:szCs w:val="16"/>
          <w:rtl/>
        </w:rPr>
        <w:t xml:space="preserve"> (רפ"ז מה"א)</w:t>
      </w:r>
      <w:r w:rsidRPr="00351B7D">
        <w:rPr>
          <w:rFonts w:asciiTheme="minorBidi" w:hAnsiTheme="minorBidi"/>
          <w:rtl/>
        </w:rPr>
        <w:t xml:space="preserve"> דכל זמן שהוא עושה הדבר קיים הוא, וכוונתו בזה דלאו דוקא צריך שיאמר רוצה אני אלא כל שהוא עושה המעשה ההוא אנו אומרים שמרצונו עשה כו', ולא באו חז"ל למעט אלא שאין ממשכנין על העולה כמו בחטאת ואשמים אבל יתן או יאמר רוצה אני ליתן כו', וה"נ גבי תלוה שיקדש אשה אין לך מעשה יותר מאמרו הרי את מקודשת ואנו תולין שאמר זה מרצונו... לכן גם ידי תיכון עמו כשרוצה לכוף א' לקידושין ואין כאן בית מיחוש. ומה שרמז דאפשר דנפיק מיניה חורבא אם כוונתו למ"ש רמ"א ביו"ד סי' שלד ס"א הדבר צריך מיתון כו' ואם כוונתו כפשוטו שלא יהיה שלום ביניהם פשיטא שהאמת אתו וכן אמרתי להמוסר כתב זה כי לדעתי טוב להפריד בין הדבקים.</w:t>
      </w:r>
    </w:p>
    <w:p w14:paraId="2002B2C8" w14:textId="77777777" w:rsidR="008E16D0" w:rsidRPr="00351B7D" w:rsidRDefault="008E16D0" w:rsidP="008E16D0">
      <w:pPr>
        <w:rPr>
          <w:rFonts w:asciiTheme="minorBidi" w:hAnsiTheme="minorBidi"/>
          <w:color w:val="000000"/>
          <w:rtl/>
        </w:rPr>
      </w:pPr>
    </w:p>
    <w:p w14:paraId="229174C8" w14:textId="77777777" w:rsidR="008E16D0" w:rsidRPr="00351B7D" w:rsidRDefault="008E16D0" w:rsidP="008E16D0">
      <w:pPr>
        <w:pStyle w:val="2"/>
        <w:rPr>
          <w:rFonts w:asciiTheme="minorBidi" w:hAnsiTheme="minorBidi"/>
          <w:rtl/>
        </w:rPr>
      </w:pPr>
      <w:r w:rsidRPr="00351B7D">
        <w:rPr>
          <w:rFonts w:asciiTheme="minorBidi" w:hAnsiTheme="minorBidi"/>
          <w:rtl/>
        </w:rPr>
        <w:lastRenderedPageBreak/>
        <w:t>סעיף ב: המקדש בעד אחד או בפני שנים אך לא כדין.</w:t>
      </w:r>
    </w:p>
    <w:p w14:paraId="4139D321"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סה ע"א: </w:t>
      </w:r>
      <w:r w:rsidRPr="00351B7D">
        <w:rPr>
          <w:rFonts w:asciiTheme="minorBidi" w:hAnsiTheme="minorBidi"/>
          <w:u w:val="single"/>
          <w:rtl/>
        </w:rPr>
        <w:t>אמר רב יהודה</w:t>
      </w:r>
      <w:r w:rsidRPr="00351B7D">
        <w:rPr>
          <w:rFonts w:asciiTheme="minorBidi" w:hAnsiTheme="minorBidi"/>
          <w:rtl/>
        </w:rPr>
        <w:t xml:space="preserve">: המקדש בעד אחד אין חוששין לקידושיו. </w:t>
      </w:r>
      <w:r w:rsidRPr="00351B7D">
        <w:rPr>
          <w:rFonts w:asciiTheme="minorBidi" w:hAnsiTheme="minorBidi"/>
          <w:u w:val="single"/>
          <w:rtl/>
        </w:rPr>
        <w:t>בעו מיניה מרב יהודה</w:t>
      </w:r>
      <w:r w:rsidRPr="00351B7D">
        <w:rPr>
          <w:rFonts w:asciiTheme="minorBidi" w:hAnsiTheme="minorBidi"/>
          <w:rtl/>
        </w:rPr>
        <w:t>: שניהם מודים</w:t>
      </w:r>
      <w:r w:rsidRPr="00351B7D">
        <w:rPr>
          <w:rStyle w:val="a7"/>
          <w:rFonts w:asciiTheme="minorBidi" w:hAnsiTheme="minorBidi"/>
          <w:rtl/>
        </w:rPr>
        <w:footnoteReference w:id="430"/>
      </w:r>
      <w:r w:rsidRPr="00351B7D">
        <w:rPr>
          <w:rFonts w:asciiTheme="minorBidi" w:hAnsiTheme="minorBidi"/>
          <w:rtl/>
        </w:rPr>
        <w:t>, מאי</w:t>
      </w:r>
      <w:r w:rsidRPr="00351B7D">
        <w:rPr>
          <w:rStyle w:val="a7"/>
          <w:rFonts w:asciiTheme="minorBidi" w:hAnsiTheme="minorBidi"/>
          <w:rtl/>
        </w:rPr>
        <w:footnoteReference w:id="431"/>
      </w:r>
      <w:r w:rsidRPr="00351B7D">
        <w:rPr>
          <w:rFonts w:asciiTheme="minorBidi" w:hAnsiTheme="minorBidi"/>
          <w:rtl/>
        </w:rPr>
        <w:t>? אין ולא</w:t>
      </w:r>
      <w:r w:rsidRPr="00351B7D">
        <w:rPr>
          <w:rStyle w:val="a7"/>
          <w:rFonts w:asciiTheme="minorBidi" w:hAnsiTheme="minorBidi"/>
          <w:rtl/>
        </w:rPr>
        <w:footnoteReference w:id="432"/>
      </w:r>
      <w:r w:rsidRPr="00351B7D">
        <w:rPr>
          <w:rFonts w:asciiTheme="minorBidi" w:hAnsiTheme="minorBidi"/>
          <w:rtl/>
        </w:rPr>
        <w:t xml:space="preserve"> ורפיא בידיה. איתמר, </w:t>
      </w:r>
      <w:r w:rsidRPr="00351B7D">
        <w:rPr>
          <w:rFonts w:asciiTheme="minorBidi" w:hAnsiTheme="minorBidi"/>
          <w:u w:val="single"/>
          <w:rtl/>
        </w:rPr>
        <w:t>אמר רב נחמן אמר שמואל</w:t>
      </w:r>
      <w:r w:rsidRPr="00351B7D">
        <w:rPr>
          <w:rFonts w:asciiTheme="minorBidi" w:hAnsiTheme="minorBidi"/>
          <w:rtl/>
        </w:rPr>
        <w:t xml:space="preserve">: המקדש בעד אחד אין חוששין לקידושיו ואפי' שניהם מודים.....  </w:t>
      </w:r>
      <w:r w:rsidRPr="00351B7D">
        <w:rPr>
          <w:rFonts w:asciiTheme="minorBidi" w:hAnsiTheme="minorBidi"/>
          <w:sz w:val="16"/>
          <w:szCs w:val="16"/>
          <w:u w:val="double"/>
          <w:rtl/>
        </w:rPr>
        <w:t>(סה:)</w:t>
      </w:r>
      <w:r w:rsidRPr="00351B7D">
        <w:rPr>
          <w:rFonts w:asciiTheme="minorBidi" w:hAnsiTheme="minorBidi"/>
          <w:sz w:val="16"/>
          <w:szCs w:val="16"/>
          <w:rtl/>
        </w:rPr>
        <w:t xml:space="preserve"> </w:t>
      </w:r>
      <w:r w:rsidRPr="00351B7D">
        <w:rPr>
          <w:rFonts w:asciiTheme="minorBidi" w:hAnsiTheme="minorBidi"/>
          <w:u w:val="single"/>
          <w:rtl/>
        </w:rPr>
        <w:t>אמר רב יצחק בר שמואל בר מרתא משמיה דרב</w:t>
      </w:r>
      <w:r w:rsidRPr="00351B7D">
        <w:rPr>
          <w:rFonts w:asciiTheme="minorBidi" w:hAnsiTheme="minorBidi"/>
          <w:rtl/>
        </w:rPr>
        <w:t>: המקדש בעד אחד אין חוששין לקידושיו ואפילו שניהם מודים.... מאי הוי עלה</w:t>
      </w:r>
      <w:r w:rsidRPr="00351B7D">
        <w:rPr>
          <w:rStyle w:val="a7"/>
          <w:rFonts w:asciiTheme="minorBidi" w:hAnsiTheme="minorBidi"/>
          <w:rtl/>
        </w:rPr>
        <w:footnoteReference w:id="433"/>
      </w:r>
      <w:r w:rsidRPr="00351B7D">
        <w:rPr>
          <w:rFonts w:asciiTheme="minorBidi" w:hAnsiTheme="minorBidi"/>
          <w:rtl/>
        </w:rPr>
        <w:t xml:space="preserve">? </w:t>
      </w:r>
      <w:r w:rsidRPr="00351B7D">
        <w:rPr>
          <w:rFonts w:asciiTheme="minorBidi" w:hAnsiTheme="minorBidi"/>
          <w:u w:val="single"/>
          <w:rtl/>
        </w:rPr>
        <w:t>רב כהנא אמר</w:t>
      </w:r>
      <w:r w:rsidRPr="00351B7D">
        <w:rPr>
          <w:rFonts w:asciiTheme="minorBidi" w:hAnsiTheme="minorBidi"/>
          <w:rtl/>
        </w:rPr>
        <w:t xml:space="preserve">: אין חוששין לקידושיו, </w:t>
      </w:r>
      <w:r w:rsidRPr="00351B7D">
        <w:rPr>
          <w:rFonts w:asciiTheme="minorBidi" w:hAnsiTheme="minorBidi"/>
          <w:u w:val="single"/>
          <w:rtl/>
        </w:rPr>
        <w:t>רב פפא אמר</w:t>
      </w:r>
      <w:r w:rsidRPr="00351B7D">
        <w:rPr>
          <w:rFonts w:asciiTheme="minorBidi" w:hAnsiTheme="minorBidi"/>
          <w:rtl/>
        </w:rPr>
        <w:t xml:space="preserve">: חוששין לקדושיו.  </w:t>
      </w:r>
    </w:p>
    <w:p w14:paraId="626574D9"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קידש אשה בעד אחד ושניהם מודים </w:t>
      </w:r>
      <w:r w:rsidRPr="00351B7D">
        <w:rPr>
          <w:rFonts w:asciiTheme="minorBidi" w:hAnsiTheme="minorBidi"/>
          <w:sz w:val="16"/>
          <w:szCs w:val="16"/>
          <w:u w:val="single"/>
          <w:rtl/>
        </w:rPr>
        <w:t>(לדברי העד)</w:t>
      </w:r>
      <w:r w:rsidRPr="00351B7D">
        <w:rPr>
          <w:rFonts w:asciiTheme="minorBidi" w:hAnsiTheme="minorBidi"/>
          <w:u w:val="single"/>
          <w:rtl/>
        </w:rPr>
        <w:t>:</w:t>
      </w:r>
    </w:p>
    <w:p w14:paraId="69409D32" w14:textId="77777777" w:rsidR="008E16D0" w:rsidRPr="00351B7D" w:rsidRDefault="008E16D0" w:rsidP="00A8697F">
      <w:pPr>
        <w:pStyle w:val="ab"/>
        <w:numPr>
          <w:ilvl w:val="0"/>
          <w:numId w:val="53"/>
        </w:numPr>
        <w:rPr>
          <w:rFonts w:asciiTheme="minorBidi" w:hAnsiTheme="minorBidi"/>
          <w:rtl/>
        </w:rPr>
      </w:pPr>
      <w:r w:rsidRPr="00351B7D">
        <w:rPr>
          <w:rFonts w:asciiTheme="minorBidi" w:hAnsiTheme="minorBidi"/>
          <w:rtl/>
        </w:rPr>
        <w:t>רי"ף רמב"ם רא"ש ועוד</w:t>
      </w:r>
      <w:r w:rsidRPr="00351B7D">
        <w:rPr>
          <w:rStyle w:val="a7"/>
          <w:rFonts w:asciiTheme="minorBidi" w:hAnsiTheme="minorBidi"/>
          <w:rtl/>
        </w:rPr>
        <w:footnoteReference w:id="434"/>
      </w:r>
      <w:r w:rsidRPr="00351B7D">
        <w:rPr>
          <w:rFonts w:asciiTheme="minorBidi" w:hAnsiTheme="minorBidi"/>
          <w:rtl/>
        </w:rPr>
        <w:t>- אין חוששין לקידושיו ואע"פ ששניהם מודין</w:t>
      </w:r>
      <w:r w:rsidRPr="00351B7D">
        <w:rPr>
          <w:rStyle w:val="a7"/>
          <w:rFonts w:asciiTheme="minorBidi" w:hAnsiTheme="minorBidi"/>
          <w:rtl/>
        </w:rPr>
        <w:footnoteReference w:id="435"/>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6EDB645F" w14:textId="77777777" w:rsidR="008E16D0" w:rsidRPr="00351B7D" w:rsidRDefault="008E16D0" w:rsidP="00A8697F">
      <w:pPr>
        <w:pStyle w:val="ab"/>
        <w:numPr>
          <w:ilvl w:val="0"/>
          <w:numId w:val="53"/>
        </w:numPr>
        <w:rPr>
          <w:rFonts w:asciiTheme="minorBidi" w:hAnsiTheme="minorBidi"/>
        </w:rPr>
      </w:pPr>
      <w:r w:rsidRPr="00351B7D">
        <w:rPr>
          <w:rFonts w:asciiTheme="minorBidi" w:hAnsiTheme="minorBidi"/>
          <w:rtl/>
        </w:rPr>
        <w:t>רא"ם סמ"ג מרדכי ותרוה"ד</w:t>
      </w:r>
      <w:r w:rsidRPr="00351B7D">
        <w:rPr>
          <w:rStyle w:val="a7"/>
          <w:rFonts w:asciiTheme="minorBidi" w:hAnsiTheme="minorBidi"/>
          <w:rtl/>
        </w:rPr>
        <w:footnoteReference w:id="436"/>
      </w:r>
      <w:r w:rsidRPr="00351B7D">
        <w:rPr>
          <w:rFonts w:asciiTheme="minorBidi" w:hAnsiTheme="minorBidi"/>
          <w:rtl/>
        </w:rPr>
        <w:t>- ראוי להחמיר הואיל ולא מבואר כמי נפסקה הלכה</w:t>
      </w:r>
      <w:r w:rsidRPr="00351B7D">
        <w:rPr>
          <w:rStyle w:val="a7"/>
          <w:rFonts w:asciiTheme="minorBidi" w:hAnsiTheme="minorBidi"/>
          <w:rtl/>
        </w:rPr>
        <w:footnoteReference w:id="437"/>
      </w:r>
      <w:r w:rsidRPr="00351B7D">
        <w:rPr>
          <w:rFonts w:asciiTheme="minorBidi" w:hAnsiTheme="minorBidi"/>
          <w:rtl/>
        </w:rPr>
        <w:t xml:space="preserve">.  </w:t>
      </w:r>
    </w:p>
    <w:p w14:paraId="71A68F36" w14:textId="77777777" w:rsidR="008E16D0" w:rsidRPr="00351B7D" w:rsidRDefault="008E16D0" w:rsidP="008E16D0">
      <w:pPr>
        <w:ind w:left="360"/>
        <w:rPr>
          <w:rFonts w:asciiTheme="minorBidi" w:hAnsiTheme="minorBidi"/>
          <w:u w:val="dotted"/>
        </w:rPr>
      </w:pPr>
      <w:r w:rsidRPr="00351B7D">
        <w:rPr>
          <w:rFonts w:asciiTheme="minorBidi" w:hAnsiTheme="minorBidi"/>
          <w:u w:val="dotted"/>
          <w:rtl/>
        </w:rPr>
        <mc:AlternateContent>
          <mc:Choice Requires="wps">
            <w:drawing>
              <wp:anchor distT="0" distB="0" distL="114300" distR="114300" simplePos="0" relativeHeight="251666432" behindDoc="0" locked="0" layoutInCell="1" allowOverlap="1" wp14:anchorId="35D7F630" wp14:editId="390C6262">
                <wp:simplePos x="0" y="0"/>
                <wp:positionH relativeFrom="column">
                  <wp:posOffset>5058566</wp:posOffset>
                </wp:positionH>
                <wp:positionV relativeFrom="paragraph">
                  <wp:posOffset>-112395</wp:posOffset>
                </wp:positionV>
                <wp:extent cx="45719" cy="95003"/>
                <wp:effectExtent l="19050" t="0" r="31115" b="38735"/>
                <wp:wrapNone/>
                <wp:docPr id="9" name="Down Arrow 9"/>
                <wp:cNvGraphicFramePr/>
                <a:graphic xmlns:a="http://schemas.openxmlformats.org/drawingml/2006/main">
                  <a:graphicData uri="http://schemas.microsoft.com/office/word/2010/wordprocessingShape">
                    <wps:wsp>
                      <wps:cNvSpPr/>
                      <wps:spPr>
                        <a:xfrm>
                          <a:off x="0" y="0"/>
                          <a:ext cx="45719" cy="9500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43B28CC" id="Down Arrow 9" o:spid="_x0000_s1026" type="#_x0000_t67" style="position:absolute;left:0;text-align:left;margin-left:398.3pt;margin-top:-8.85pt;width:3.6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" adj="16403" fillcolor="black [3200]" strokecolor="black [1600]" strokeweight="2pt"/>
            </w:pict>
          </mc:Fallback>
        </mc:AlternateContent>
      </w:r>
      <w:r w:rsidRPr="00351B7D">
        <w:rPr>
          <w:rFonts w:asciiTheme="minorBidi" w:hAnsiTheme="minorBidi"/>
          <w:u w:val="dotted"/>
          <w:rtl/>
        </w:rPr>
        <w:t>לסמ"ג וסיעתו, מה הדין כשאחד מכחיש את העד:</w:t>
      </w:r>
      <w:r w:rsidRPr="00351B7D">
        <w:rPr>
          <w:rFonts w:asciiTheme="minorBidi" w:hAnsiTheme="minorBidi"/>
          <w:color w:val="000000"/>
          <w:sz w:val="16"/>
          <w:szCs w:val="16"/>
          <w:rtl/>
        </w:rPr>
        <w:t xml:space="preserve">  (ב"י ודרכ"מ [אות ב])</w:t>
      </w:r>
    </w:p>
    <w:p w14:paraId="1DD110D1" w14:textId="77777777" w:rsidR="008E16D0" w:rsidRPr="00351B7D" w:rsidRDefault="008E16D0" w:rsidP="00A8697F">
      <w:pPr>
        <w:pStyle w:val="ab"/>
        <w:numPr>
          <w:ilvl w:val="0"/>
          <w:numId w:val="53"/>
        </w:numPr>
        <w:rPr>
          <w:rFonts w:asciiTheme="minorBidi" w:hAnsiTheme="minorBidi"/>
        </w:rPr>
      </w:pPr>
      <w:r w:rsidRPr="00351B7D">
        <w:rPr>
          <w:rFonts w:asciiTheme="minorBidi" w:hAnsiTheme="minorBidi"/>
          <w:u w:val="dotted"/>
          <w:rtl/>
        </w:rPr>
        <mc:AlternateContent>
          <mc:Choice Requires="wps">
            <w:drawing>
              <wp:anchor distT="0" distB="0" distL="114300" distR="114300" simplePos="0" relativeHeight="251667456" behindDoc="0" locked="0" layoutInCell="1" allowOverlap="1" wp14:anchorId="2B27265D" wp14:editId="17F792AF">
                <wp:simplePos x="0" y="0"/>
                <wp:positionH relativeFrom="column">
                  <wp:posOffset>5056505</wp:posOffset>
                </wp:positionH>
                <wp:positionV relativeFrom="paragraph">
                  <wp:posOffset>208915</wp:posOffset>
                </wp:positionV>
                <wp:extent cx="45085" cy="94615"/>
                <wp:effectExtent l="19050" t="0" r="31115" b="38735"/>
                <wp:wrapNone/>
                <wp:docPr id="10" name="Down Arrow 10"/>
                <wp:cNvGraphicFramePr/>
                <a:graphic xmlns:a="http://schemas.openxmlformats.org/drawingml/2006/main">
                  <a:graphicData uri="http://schemas.microsoft.com/office/word/2010/wordprocessingShape">
                    <wps:wsp>
                      <wps:cNvSpPr/>
                      <wps:spPr>
                        <a:xfrm>
                          <a:off x="0" y="0"/>
                          <a:ext cx="45085" cy="94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71A4C1C" id="Down Arrow 10" o:spid="_x0000_s1026" type="#_x0000_t67" style="position:absolute;left:0;text-align:left;margin-left:398.15pt;margin-top:16.45pt;width:3.55pt;height: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" adj="16454" fillcolor="black [3200]" strokecolor="black [1600]" strokeweight="2pt"/>
            </w:pict>
          </mc:Fallback>
        </mc:AlternateContent>
      </w:r>
      <w:r w:rsidRPr="00351B7D">
        <w:rPr>
          <w:rFonts w:asciiTheme="minorBidi" w:hAnsiTheme="minorBidi"/>
          <w:rtl/>
        </w:rPr>
        <w:t>רשב"א מהר"ם פדוואה ותשב"ץ</w:t>
      </w:r>
      <w:r w:rsidRPr="00351B7D">
        <w:rPr>
          <w:rStyle w:val="a7"/>
          <w:rFonts w:asciiTheme="minorBidi" w:hAnsiTheme="minorBidi"/>
          <w:rtl/>
        </w:rPr>
        <w:footnoteReference w:id="438"/>
      </w:r>
      <w:r w:rsidRPr="00351B7D">
        <w:rPr>
          <w:rFonts w:asciiTheme="minorBidi" w:hAnsiTheme="minorBidi"/>
          <w:rtl/>
        </w:rPr>
        <w:t>- אם אחד מכחיש העד אין הקדושין כלום.</w:t>
      </w:r>
      <w:r w:rsidRPr="00351B7D">
        <w:rPr>
          <w:rFonts w:asciiTheme="minorBidi" w:hAnsiTheme="minorBidi"/>
          <w:color w:val="00B0F0"/>
          <w:rtl/>
        </w:rPr>
        <w:t xml:space="preserve"> (וכ"פ הרמ"א)</w:t>
      </w:r>
    </w:p>
    <w:p w14:paraId="787EE1B0" w14:textId="77777777" w:rsidR="008E16D0" w:rsidRPr="00351B7D" w:rsidRDefault="008E16D0" w:rsidP="008E16D0">
      <w:pPr>
        <w:ind w:left="360"/>
        <w:rPr>
          <w:rFonts w:asciiTheme="minorBidi" w:hAnsiTheme="minorBidi"/>
          <w:color w:val="000000"/>
          <w:sz w:val="16"/>
          <w:szCs w:val="16"/>
        </w:rPr>
      </w:pPr>
      <w:r w:rsidRPr="00351B7D">
        <w:rPr>
          <w:rFonts w:asciiTheme="minorBidi" w:hAnsiTheme="minorBidi"/>
          <w:u w:val="dotted"/>
          <w:rtl/>
        </w:rPr>
        <w:t>לסמ"ג וסיעתו, מה הדין כשהיו שתי נשים שהעידו:</w:t>
      </w:r>
      <w:r w:rsidRPr="00351B7D">
        <w:rPr>
          <w:rFonts w:asciiTheme="minorBidi" w:hAnsiTheme="minorBidi"/>
          <w:rtl/>
        </w:rPr>
        <w:t xml:space="preserve"> </w:t>
      </w:r>
      <w:r w:rsidRPr="00351B7D">
        <w:rPr>
          <w:rFonts w:asciiTheme="minorBidi" w:hAnsiTheme="minorBidi"/>
          <w:color w:val="000000"/>
          <w:sz w:val="16"/>
          <w:szCs w:val="16"/>
          <w:rtl/>
        </w:rPr>
        <w:t xml:space="preserve">  (ב"י)</w:t>
      </w:r>
    </w:p>
    <w:p w14:paraId="36A50CE2" w14:textId="77777777" w:rsidR="008E16D0" w:rsidRPr="00351B7D" w:rsidRDefault="008E16D0" w:rsidP="00A8697F">
      <w:pPr>
        <w:pStyle w:val="ab"/>
        <w:numPr>
          <w:ilvl w:val="0"/>
          <w:numId w:val="53"/>
        </w:numPr>
        <w:rPr>
          <w:rFonts w:asciiTheme="minorBidi" w:hAnsiTheme="minorBidi"/>
        </w:rPr>
      </w:pPr>
      <w:r w:rsidRPr="00351B7D">
        <w:rPr>
          <w:rFonts w:asciiTheme="minorBidi" w:hAnsiTheme="minorBidi"/>
          <w:rtl/>
        </w:rPr>
        <w:t xml:space="preserve">תשב"ץ </w:t>
      </w:r>
      <w:r w:rsidRPr="00351B7D">
        <w:rPr>
          <w:rFonts w:asciiTheme="minorBidi" w:hAnsiTheme="minorBidi"/>
          <w:sz w:val="16"/>
          <w:szCs w:val="16"/>
          <w:rtl/>
        </w:rPr>
        <w:t>(ח"א סי' ע)</w:t>
      </w:r>
      <w:r w:rsidRPr="00351B7D">
        <w:rPr>
          <w:rFonts w:asciiTheme="minorBidi" w:hAnsiTheme="minorBidi"/>
          <w:rtl/>
        </w:rPr>
        <w:t>- "אפילו לדברי סמ"ג שחוששין לעד אחד לעדות נשים לא חייש כלל". (וכ"כ הב"ש</w:t>
      </w:r>
      <w:r w:rsidRPr="00351B7D">
        <w:rPr>
          <w:rFonts w:asciiTheme="minorBidi" w:hAnsiTheme="minorBidi"/>
          <w:sz w:val="16"/>
          <w:szCs w:val="16"/>
          <w:rtl/>
        </w:rPr>
        <w:t xml:space="preserve"> [סק"ה]</w:t>
      </w:r>
      <w:r w:rsidRPr="00351B7D">
        <w:rPr>
          <w:rFonts w:asciiTheme="minorBidi" w:hAnsiTheme="minorBidi"/>
          <w:rtl/>
        </w:rPr>
        <w:t>)</w:t>
      </w:r>
    </w:p>
    <w:p w14:paraId="74EBFBF6" w14:textId="77777777" w:rsidR="008E16D0" w:rsidRPr="00351B7D" w:rsidRDefault="008E16D0" w:rsidP="008E16D0">
      <w:pPr>
        <w:rPr>
          <w:rFonts w:asciiTheme="minorBidi" w:hAnsiTheme="minorBidi"/>
          <w:u w:val="single"/>
        </w:rPr>
      </w:pPr>
      <w:r w:rsidRPr="00351B7D">
        <w:rPr>
          <w:rFonts w:asciiTheme="minorBidi" w:hAnsiTheme="minorBidi"/>
          <w:u w:val="single"/>
          <w:rtl/>
        </w:rPr>
        <w:t>עד א' אומר שקידשה בפניו ובפני חבירו, וחברו מכחישו:</w:t>
      </w:r>
      <w:r w:rsidRPr="00351B7D">
        <w:rPr>
          <w:rFonts w:asciiTheme="minorBidi" w:hAnsiTheme="minorBidi"/>
          <w:color w:val="000000"/>
          <w:sz w:val="16"/>
          <w:szCs w:val="16"/>
          <w:rtl/>
        </w:rPr>
        <w:t xml:space="preserve">   (ב"י ודרכ"מ [אות ג])</w:t>
      </w:r>
    </w:p>
    <w:p w14:paraId="1C2DFF9C" w14:textId="77777777" w:rsidR="008E16D0" w:rsidRPr="00351B7D" w:rsidRDefault="008E16D0" w:rsidP="00A8697F">
      <w:pPr>
        <w:pStyle w:val="ab"/>
        <w:numPr>
          <w:ilvl w:val="0"/>
          <w:numId w:val="53"/>
        </w:numPr>
        <w:rPr>
          <w:rFonts w:asciiTheme="minorBidi" w:hAnsiTheme="minorBidi"/>
        </w:rPr>
      </w:pPr>
      <w:r w:rsidRPr="00351B7D">
        <w:rPr>
          <w:rFonts w:asciiTheme="minorBidi" w:hAnsiTheme="minorBidi"/>
          <w:rtl/>
        </w:rPr>
        <w:t>רשב"א ר"ן תרוה"ד ומהרי"ק</w:t>
      </w:r>
      <w:r w:rsidRPr="00351B7D">
        <w:rPr>
          <w:rStyle w:val="a7"/>
          <w:rFonts w:asciiTheme="minorBidi" w:hAnsiTheme="minorBidi"/>
          <w:rtl/>
        </w:rPr>
        <w:footnoteReference w:id="439"/>
      </w:r>
      <w:r w:rsidRPr="00351B7D">
        <w:rPr>
          <w:rFonts w:asciiTheme="minorBidi" w:hAnsiTheme="minorBidi"/>
          <w:rtl/>
        </w:rPr>
        <w:t xml:space="preserve">- אין חוששין כלל. </w:t>
      </w:r>
    </w:p>
    <w:p w14:paraId="2BB3C53C"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המקדש בפני שני עדים והאחד מהם קרוב:</w:t>
      </w:r>
    </w:p>
    <w:p w14:paraId="2AA2662A" w14:textId="77777777" w:rsidR="008E16D0" w:rsidRPr="00351B7D" w:rsidRDefault="008E16D0" w:rsidP="00A8697F">
      <w:pPr>
        <w:pStyle w:val="ab"/>
        <w:numPr>
          <w:ilvl w:val="0"/>
          <w:numId w:val="54"/>
        </w:numPr>
        <w:rPr>
          <w:rFonts w:asciiTheme="minorBidi" w:hAnsiTheme="minorBidi"/>
        </w:rPr>
      </w:pPr>
      <w:r w:rsidRPr="00351B7D">
        <w:rPr>
          <w:rFonts w:asciiTheme="minorBidi" w:hAnsiTheme="minorBidi"/>
          <w:rtl/>
        </w:rPr>
        <w:t xml:space="preserve">רי"ו </w:t>
      </w:r>
      <w:r w:rsidRPr="00351B7D">
        <w:rPr>
          <w:rFonts w:asciiTheme="minorBidi" w:hAnsiTheme="minorBidi"/>
          <w:sz w:val="16"/>
          <w:szCs w:val="16"/>
          <w:rtl/>
        </w:rPr>
        <w:t>(נכ"ב ח"ב קפד ע"ג)</w:t>
      </w:r>
      <w:r w:rsidRPr="00351B7D">
        <w:rPr>
          <w:rFonts w:asciiTheme="minorBidi" w:hAnsiTheme="minorBidi"/>
          <w:rtl/>
        </w:rPr>
        <w:t xml:space="preserve"> בשם מהר"ם- מתירים אותה לינשא לכתחלה בלא גט</w:t>
      </w:r>
      <w:r w:rsidRPr="00351B7D">
        <w:rPr>
          <w:rStyle w:val="a7"/>
          <w:rFonts w:asciiTheme="minorBidi" w:hAnsiTheme="minorBidi"/>
          <w:rtl/>
        </w:rPr>
        <w:footnoteReference w:id="440"/>
      </w:r>
      <w:r w:rsidRPr="00351B7D">
        <w:rPr>
          <w:rFonts w:asciiTheme="minorBidi" w:hAnsiTheme="minorBidi"/>
          <w:rtl/>
        </w:rPr>
        <w:t xml:space="preserve">. </w:t>
      </w:r>
      <w:r w:rsidRPr="00351B7D">
        <w:rPr>
          <w:rFonts w:asciiTheme="minorBidi" w:hAnsiTheme="minorBidi"/>
          <w:color w:val="00B0F0"/>
          <w:rtl/>
        </w:rPr>
        <w:t>(וכ"פ הרמ"א)</w:t>
      </w:r>
    </w:p>
    <w:p w14:paraId="33362B28"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האם עד ודיין</w:t>
      </w:r>
      <w:r w:rsidRPr="00351B7D">
        <w:rPr>
          <w:rStyle w:val="a7"/>
          <w:rFonts w:asciiTheme="minorBidi" w:hAnsiTheme="minorBidi"/>
          <w:u w:val="single"/>
          <w:rtl/>
        </w:rPr>
        <w:footnoteReference w:id="441"/>
      </w:r>
      <w:r w:rsidRPr="00351B7D">
        <w:rPr>
          <w:rFonts w:asciiTheme="minorBidi" w:hAnsiTheme="minorBidi"/>
          <w:u w:val="single"/>
          <w:rtl/>
        </w:rPr>
        <w:t xml:space="preserve"> יכולים להצטרף להעיד על הקדושין:</w:t>
      </w:r>
      <w:r w:rsidRPr="00351B7D">
        <w:rPr>
          <w:rFonts w:asciiTheme="minorBidi" w:hAnsiTheme="minorBidi"/>
          <w:color w:val="000000"/>
          <w:sz w:val="16"/>
          <w:szCs w:val="16"/>
          <w:rtl/>
        </w:rPr>
        <w:t xml:space="preserve">  (ב"י [סע' ג-ד])</w:t>
      </w:r>
    </w:p>
    <w:p w14:paraId="40226576" w14:textId="77777777" w:rsidR="008E16D0" w:rsidRPr="00351B7D" w:rsidRDefault="008E16D0" w:rsidP="00A8697F">
      <w:pPr>
        <w:pStyle w:val="ab"/>
        <w:numPr>
          <w:ilvl w:val="0"/>
          <w:numId w:val="61"/>
        </w:numPr>
        <w:rPr>
          <w:rFonts w:asciiTheme="minorBidi" w:hAnsiTheme="minorBidi"/>
        </w:rPr>
      </w:pPr>
      <w:r w:rsidRPr="00351B7D">
        <w:rPr>
          <w:rFonts w:asciiTheme="minorBidi" w:hAnsiTheme="minorBidi"/>
          <w:rtl/>
        </w:rPr>
        <w:t>רי"ף רמב"ם וריב"ש</w:t>
      </w:r>
      <w:r w:rsidRPr="00351B7D">
        <w:rPr>
          <w:rStyle w:val="a7"/>
          <w:rFonts w:asciiTheme="minorBidi" w:hAnsiTheme="minorBidi"/>
          <w:rtl/>
        </w:rPr>
        <w:footnoteReference w:id="442"/>
      </w:r>
      <w:r w:rsidRPr="00351B7D">
        <w:rPr>
          <w:rFonts w:asciiTheme="minorBidi" w:hAnsiTheme="minorBidi"/>
          <w:rtl/>
        </w:rPr>
        <w:t xml:space="preserve">- אין עד ודיין מצטרפין, </w:t>
      </w:r>
      <w:r w:rsidRPr="00351B7D">
        <w:rPr>
          <w:rFonts w:asciiTheme="minorBidi" w:hAnsiTheme="minorBidi"/>
          <w:color w:val="000000"/>
          <w:rtl/>
        </w:rPr>
        <w:t>דאמאי דקא מסהיד סהדא לא מסהיד דיינא</w:t>
      </w:r>
      <w:r w:rsidRPr="00351B7D">
        <w:rPr>
          <w:rFonts w:asciiTheme="minorBidi" w:hAnsiTheme="minorBidi"/>
          <w:rtl/>
        </w:rPr>
        <w:t>.</w:t>
      </w:r>
    </w:p>
    <w:p w14:paraId="029B4819"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1A298D99" w14:textId="77777777" w:rsidR="008E16D0" w:rsidRPr="00351B7D" w:rsidRDefault="008E16D0" w:rsidP="008E16D0">
      <w:pPr>
        <w:rPr>
          <w:rFonts w:asciiTheme="minorBidi" w:hAnsiTheme="minorBidi"/>
          <w:rtl/>
        </w:rPr>
      </w:pPr>
      <w:r w:rsidRPr="00351B7D">
        <w:rPr>
          <w:rFonts w:asciiTheme="minorBidi" w:hAnsiTheme="minorBidi"/>
          <w:rtl/>
        </w:rPr>
        <w:t>המקדש שלא בעדים ואפילו בעד אחד אינם קדושין ואפילו שניהם מודים בדבר</w:t>
      </w:r>
      <w:r w:rsidRPr="00351B7D">
        <w:rPr>
          <w:rStyle w:val="a7"/>
          <w:rFonts w:asciiTheme="minorBidi" w:hAnsiTheme="minorBidi"/>
          <w:rtl/>
        </w:rPr>
        <w:footnoteReference w:id="443"/>
      </w:r>
      <w:r w:rsidRPr="00351B7D">
        <w:rPr>
          <w:rFonts w:asciiTheme="minorBidi" w:hAnsiTheme="minorBidi"/>
          <w:rtl/>
        </w:rPr>
        <w:t>, ואפילו קדשה בפני עד אחד ואחר כך קידשה בפני עד אחר זה שלא בפני זה אינה מקודשת</w:t>
      </w:r>
      <w:r w:rsidRPr="00351B7D">
        <w:rPr>
          <w:rStyle w:val="a7"/>
          <w:rFonts w:asciiTheme="minorBidi" w:hAnsiTheme="minorBidi"/>
          <w:rtl/>
        </w:rPr>
        <w:footnoteReference w:id="444"/>
      </w:r>
      <w:r w:rsidRPr="00351B7D">
        <w:rPr>
          <w:rFonts w:asciiTheme="minorBidi" w:hAnsiTheme="minorBidi"/>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ויש מחמירים אם מקדש לפני עד אחד אם שניהם מודים </w:t>
      </w:r>
      <w:r w:rsidRPr="00351B7D">
        <w:rPr>
          <w:rFonts w:asciiTheme="minorBidi" w:hAnsiTheme="minorBidi"/>
          <w:color w:val="000000"/>
          <w:sz w:val="16"/>
          <w:szCs w:val="16"/>
          <w:rtl/>
        </w:rPr>
        <w:t>(סמ"ג)</w:t>
      </w:r>
      <w:r w:rsidRPr="00351B7D">
        <w:rPr>
          <w:rFonts w:asciiTheme="minorBidi" w:hAnsiTheme="minorBidi"/>
          <w:color w:val="000000"/>
          <w:sz w:val="18"/>
          <w:szCs w:val="18"/>
          <w:rtl/>
        </w:rPr>
        <w:t>, אבל אם אחד</w:t>
      </w:r>
      <w:r w:rsidRPr="00351B7D">
        <w:rPr>
          <w:rStyle w:val="a7"/>
          <w:rFonts w:asciiTheme="minorBidi" w:hAnsiTheme="minorBidi"/>
          <w:color w:val="000000"/>
          <w:sz w:val="18"/>
          <w:szCs w:val="18"/>
          <w:rtl/>
        </w:rPr>
        <w:footnoteReference w:id="445"/>
      </w:r>
      <w:r w:rsidRPr="00351B7D">
        <w:rPr>
          <w:rFonts w:asciiTheme="minorBidi" w:hAnsiTheme="minorBidi"/>
          <w:color w:val="000000"/>
          <w:sz w:val="18"/>
          <w:szCs w:val="18"/>
          <w:rtl/>
        </w:rPr>
        <w:t xml:space="preserve"> מכחיש העד אין לחוש</w:t>
      </w:r>
      <w:r w:rsidRPr="00351B7D">
        <w:rPr>
          <w:rStyle w:val="a7"/>
          <w:rFonts w:asciiTheme="minorBidi" w:hAnsiTheme="minorBidi"/>
          <w:color w:val="000000"/>
          <w:sz w:val="18"/>
          <w:szCs w:val="18"/>
          <w:rtl/>
        </w:rPr>
        <w:footnoteReference w:id="44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(רשב"ץ בהב' הסמ"ג)</w:t>
      </w:r>
      <w:r w:rsidRPr="00351B7D">
        <w:rPr>
          <w:rFonts w:asciiTheme="minorBidi" w:hAnsiTheme="minorBidi"/>
          <w:color w:val="000000"/>
          <w:sz w:val="18"/>
          <w:szCs w:val="18"/>
          <w:rtl/>
        </w:rPr>
        <w:t>, ובמקום עיגון ודחק יש לסמוך אדברי המקילין. ואין חילוק בין אומר העד שנתקדשה לפניו לבד או שאומר שנתקדשה לפני שנים והוא לבד ראה והאחרים אומרים שלא ראו</w:t>
      </w:r>
      <w:r w:rsidRPr="00351B7D">
        <w:rPr>
          <w:rStyle w:val="a7"/>
          <w:rFonts w:asciiTheme="minorBidi" w:hAnsiTheme="minorBidi"/>
          <w:color w:val="000000"/>
          <w:sz w:val="18"/>
          <w:szCs w:val="18"/>
          <w:rtl/>
        </w:rPr>
        <w:footnoteReference w:id="447"/>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(ב"י וכ"מ בתשו' הרשב"א)</w:t>
      </w:r>
      <w:r w:rsidRPr="00351B7D">
        <w:rPr>
          <w:rFonts w:asciiTheme="minorBidi" w:hAnsiTheme="minorBidi"/>
          <w:color w:val="000000"/>
          <w:sz w:val="18"/>
          <w:szCs w:val="18"/>
          <w:rtl/>
        </w:rPr>
        <w:t>. וכן אם קידש לפני שנים והאחד מהם קרוב</w:t>
      </w:r>
      <w:r w:rsidRPr="00351B7D">
        <w:rPr>
          <w:rStyle w:val="a7"/>
          <w:rFonts w:asciiTheme="minorBidi" w:hAnsiTheme="minorBidi"/>
          <w:color w:val="000000"/>
          <w:sz w:val="18"/>
          <w:szCs w:val="18"/>
          <w:rtl/>
        </w:rPr>
        <w:footnoteReference w:id="448"/>
      </w:r>
      <w:r w:rsidRPr="00351B7D">
        <w:rPr>
          <w:rFonts w:asciiTheme="minorBidi" w:hAnsiTheme="minorBidi"/>
          <w:color w:val="000000"/>
          <w:sz w:val="18"/>
          <w:szCs w:val="18"/>
          <w:rtl/>
        </w:rPr>
        <w:t xml:space="preserve"> הוי כמקדש לפני עד אחד</w:t>
      </w:r>
      <w:r w:rsidRPr="00351B7D">
        <w:rPr>
          <w:rStyle w:val="a7"/>
          <w:rFonts w:asciiTheme="minorBidi" w:hAnsiTheme="minorBidi"/>
          <w:color w:val="000000"/>
          <w:sz w:val="18"/>
          <w:szCs w:val="18"/>
          <w:rtl/>
        </w:rPr>
        <w:footnoteReference w:id="449"/>
      </w:r>
      <w:r w:rsidRPr="00351B7D">
        <w:rPr>
          <w:rFonts w:asciiTheme="minorBidi" w:hAnsiTheme="minorBidi"/>
          <w:color w:val="000000"/>
          <w:sz w:val="18"/>
          <w:szCs w:val="18"/>
          <w:rtl/>
        </w:rPr>
        <w:t xml:space="preserve">, ועיין לקמן סימן מ"ז סעיף ג'. </w:t>
      </w:r>
    </w:p>
    <w:p w14:paraId="4729E7FF"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היו בקדושין הרבה אנשים והלכו למדינת הים, עד א' אומר 'אני וחברי עדים', וחברו אומר שלא נגמרו הקדושין: </w:t>
      </w:r>
    </w:p>
    <w:p w14:paraId="2DB60212" w14:textId="77777777" w:rsidR="008E16D0" w:rsidRPr="00351B7D" w:rsidRDefault="008E16D0" w:rsidP="00A8697F">
      <w:pPr>
        <w:pStyle w:val="ab"/>
        <w:numPr>
          <w:ilvl w:val="0"/>
          <w:numId w:val="56"/>
        </w:numPr>
        <w:rPr>
          <w:rFonts w:asciiTheme="minorBidi" w:hAnsiTheme="minorBidi"/>
          <w:color w:val="000000"/>
        </w:rPr>
      </w:pPr>
      <w:r w:rsidRPr="00351B7D">
        <w:rPr>
          <w:rFonts w:asciiTheme="minorBidi" w:hAnsiTheme="minorBidi"/>
          <w:color w:val="000000"/>
          <w:rtl/>
        </w:rPr>
        <w:t xml:space="preserve">ח"מ </w:t>
      </w:r>
      <w:r w:rsidRPr="00351B7D">
        <w:rPr>
          <w:rFonts w:asciiTheme="minorBidi" w:hAnsiTheme="minorBidi"/>
          <w:color w:val="000000"/>
          <w:sz w:val="16"/>
          <w:szCs w:val="16"/>
          <w:rtl/>
        </w:rPr>
        <w:t>(סק"ה)</w:t>
      </w:r>
      <w:r w:rsidRPr="00351B7D">
        <w:rPr>
          <w:rFonts w:asciiTheme="minorBidi" w:hAnsiTheme="minorBidi"/>
          <w:rtl/>
        </w:rPr>
        <w:t>- יש לחוש לכתח' לקדושין</w:t>
      </w:r>
      <w:r w:rsidRPr="00351B7D">
        <w:rPr>
          <w:rStyle w:val="a7"/>
          <w:rFonts w:asciiTheme="minorBidi" w:hAnsiTheme="minorBidi"/>
          <w:color w:val="000000"/>
          <w:rtl/>
        </w:rPr>
        <w:footnoteReference w:id="450"/>
      </w:r>
      <w:r w:rsidRPr="00351B7D">
        <w:rPr>
          <w:rFonts w:asciiTheme="minorBidi" w:hAnsiTheme="minorBidi"/>
          <w:rtl/>
        </w:rPr>
        <w:t>, אבל היכא דלא היו מתחילה אלא ב' עדים מכיון שא' צריך לעדות חברו אין לחוש לקדושין, אבל אי איתרע חזקתה, דהיינו ששניהם מודים שנתאספו יחד לקדש וא' אומר נתקדשה בפני שנינו וא' אומר לא נתקדשה הרי זו לא תנשא לכתחילה</w:t>
      </w:r>
      <w:r w:rsidRPr="00351B7D">
        <w:rPr>
          <w:rStyle w:val="a7"/>
          <w:rFonts w:asciiTheme="minorBidi" w:hAnsiTheme="minorBidi"/>
          <w:rtl/>
        </w:rPr>
        <w:footnoteReference w:id="451"/>
      </w:r>
      <w:r w:rsidRPr="00351B7D">
        <w:rPr>
          <w:rFonts w:asciiTheme="minorBidi" w:hAnsiTheme="minorBidi"/>
          <w:color w:val="000000"/>
          <w:rtl/>
        </w:rPr>
        <w:t>.</w:t>
      </w:r>
    </w:p>
    <w:p w14:paraId="3A7A3D9D" w14:textId="77777777" w:rsidR="008E16D0" w:rsidRPr="00351B7D" w:rsidRDefault="008E16D0" w:rsidP="00A8697F">
      <w:pPr>
        <w:pStyle w:val="ab"/>
        <w:numPr>
          <w:ilvl w:val="0"/>
          <w:numId w:val="56"/>
        </w:numPr>
        <w:rPr>
          <w:rFonts w:asciiTheme="minorBidi" w:hAnsiTheme="minorBidi"/>
        </w:rPr>
      </w:pPr>
      <w:r w:rsidRPr="00351B7D">
        <w:rPr>
          <w:rFonts w:asciiTheme="minorBidi" w:hAnsiTheme="minorBidi"/>
          <w:color w:val="000000"/>
          <w:rtl/>
        </w:rPr>
        <w:t xml:space="preserve">ב"ש </w:t>
      </w:r>
      <w:r w:rsidRPr="00351B7D">
        <w:rPr>
          <w:rFonts w:asciiTheme="minorBidi" w:hAnsiTheme="minorBidi"/>
          <w:color w:val="000000"/>
          <w:sz w:val="16"/>
          <w:szCs w:val="16"/>
          <w:rtl/>
        </w:rPr>
        <w:t>(סק"ז)</w:t>
      </w:r>
      <w:r w:rsidRPr="00351B7D">
        <w:rPr>
          <w:rFonts w:asciiTheme="minorBidi" w:hAnsiTheme="minorBidi"/>
          <w:rtl/>
        </w:rPr>
        <w:t>- אינה מקודשת, משום שמעמידים את האשה על חזקתה.</w:t>
      </w:r>
    </w:p>
    <w:p w14:paraId="7E9A780A" w14:textId="77777777" w:rsidR="008E16D0" w:rsidRPr="00351B7D" w:rsidRDefault="008E16D0" w:rsidP="008E16D0">
      <w:pPr>
        <w:rPr>
          <w:rFonts w:asciiTheme="minorBidi" w:hAnsiTheme="minorBidi"/>
          <w:u w:val="single"/>
          <w:rtl/>
        </w:rPr>
      </w:pPr>
      <w:r w:rsidRPr="00351B7D">
        <w:rPr>
          <w:rFonts w:asciiTheme="minorBidi" w:hAnsiTheme="minorBidi"/>
          <w:u w:val="single"/>
          <w:rtl/>
        </w:rPr>
        <w:t>עד אחד אומר 'נתקדשה בפני ובפני חברי' וחברו לא נמצא כדי לשאול את פיו:</w:t>
      </w:r>
    </w:p>
    <w:p w14:paraId="06FC06D5" w14:textId="77777777" w:rsidR="008E16D0" w:rsidRPr="00351B7D" w:rsidRDefault="008E16D0" w:rsidP="00A8697F">
      <w:pPr>
        <w:pStyle w:val="ab"/>
        <w:numPr>
          <w:ilvl w:val="0"/>
          <w:numId w:val="57"/>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(סק"ז)</w:t>
      </w:r>
      <w:r w:rsidRPr="00351B7D">
        <w:rPr>
          <w:rFonts w:asciiTheme="minorBidi" w:hAnsiTheme="minorBidi"/>
          <w:rtl/>
        </w:rPr>
        <w:t>- צריך לחוש לדבריו, אך אם נישאת לא תצא כיון דליכא שני עדים.</w:t>
      </w:r>
    </w:p>
    <w:p w14:paraId="0D9EBBC6"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העד קרוב לאב ששמו ראובן, ורחוק לבתו המתקדשת</w:t>
      </w:r>
      <w:r w:rsidRPr="00351B7D">
        <w:rPr>
          <w:rFonts w:asciiTheme="minorBidi" w:hAnsiTheme="minorBidi"/>
          <w:sz w:val="16"/>
          <w:szCs w:val="16"/>
          <w:u w:val="single"/>
          <w:rtl/>
        </w:rPr>
        <w:t xml:space="preserve"> (שאינה בוגרת)</w:t>
      </w:r>
      <w:r w:rsidRPr="00351B7D">
        <w:rPr>
          <w:rFonts w:asciiTheme="minorBidi" w:hAnsiTheme="minorBidi"/>
          <w:u w:val="single"/>
          <w:rtl/>
        </w:rPr>
        <w:t>, אך אביה מקבל את הקדושין:</w:t>
      </w:r>
    </w:p>
    <w:p w14:paraId="1D965CB8" w14:textId="77777777" w:rsidR="008E16D0" w:rsidRPr="00351B7D" w:rsidRDefault="008E16D0" w:rsidP="00A8697F">
      <w:pPr>
        <w:pStyle w:val="ab"/>
        <w:numPr>
          <w:ilvl w:val="0"/>
          <w:numId w:val="57"/>
        </w:numPr>
        <w:rPr>
          <w:rFonts w:asciiTheme="minorBidi" w:hAnsiTheme="minorBidi"/>
          <w:color w:val="000000"/>
          <w:rtl/>
        </w:rPr>
      </w:pPr>
      <w:r w:rsidRPr="00351B7D">
        <w:rPr>
          <w:rFonts w:asciiTheme="minorBidi" w:hAnsiTheme="minorBidi"/>
          <w:rtl/>
        </w:rPr>
        <w:t>ב"ש</w:t>
      </w:r>
      <w:r w:rsidRPr="00351B7D">
        <w:rPr>
          <w:rFonts w:asciiTheme="minorBidi" w:hAnsiTheme="minorBidi"/>
          <w:sz w:val="16"/>
          <w:szCs w:val="16"/>
          <w:rtl/>
        </w:rPr>
        <w:t xml:space="preserve"> (סק"ח)</w:t>
      </w:r>
      <w:r w:rsidRPr="00351B7D">
        <w:rPr>
          <w:rFonts w:asciiTheme="minorBidi" w:hAnsiTheme="minorBidi"/>
          <w:rtl/>
        </w:rPr>
        <w:t xml:space="preserve">- העד שקרוב לראובן פסול לעדות כי האב הוא עיקר בעל הדבר, אע"ג לענין ממון צוואה יש מכשירים בכה"ג </w:t>
      </w:r>
      <w:r w:rsidRPr="00351B7D">
        <w:rPr>
          <w:rFonts w:asciiTheme="minorBidi" w:hAnsiTheme="minorBidi"/>
          <w:sz w:val="16"/>
          <w:szCs w:val="16"/>
          <w:rtl/>
        </w:rPr>
        <w:t>(כמ"ש בחו"מ סי' לג)</w:t>
      </w:r>
      <w:r w:rsidRPr="00351B7D">
        <w:rPr>
          <w:rFonts w:asciiTheme="minorBidi" w:hAnsiTheme="minorBidi"/>
          <w:rtl/>
        </w:rPr>
        <w:t>.</w:t>
      </w:r>
    </w:p>
    <w:p w14:paraId="2C6FC4C1"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מעשה בנער שנתן טבעת באצבעה של נערה:</w:t>
      </w:r>
      <w:r w:rsidRPr="00351B7D">
        <w:rPr>
          <w:rFonts w:asciiTheme="minorBidi" w:hAnsiTheme="minorBidi"/>
          <w:color w:val="000000"/>
          <w:rtl/>
        </w:rPr>
        <w:t xml:space="preserve">  </w:t>
      </w:r>
      <w:r w:rsidRPr="00351B7D">
        <w:rPr>
          <w:rFonts w:asciiTheme="minorBidi" w:hAnsiTheme="minorBidi"/>
          <w:color w:val="000000"/>
          <w:sz w:val="16"/>
          <w:szCs w:val="16"/>
          <w:rtl/>
        </w:rPr>
        <w:t>(פת"ש סק"ה)</w:t>
      </w:r>
      <w:r w:rsidRPr="00351B7D">
        <w:rPr>
          <w:rFonts w:asciiTheme="minorBidi" w:hAnsiTheme="minorBidi"/>
          <w:color w:val="000000"/>
          <w:rtl/>
        </w:rPr>
        <w:t xml:space="preserve"> </w:t>
      </w:r>
    </w:p>
    <w:p w14:paraId="56DBE5A5" w14:textId="77777777" w:rsidR="008E16D0" w:rsidRPr="00351B7D" w:rsidRDefault="008E16D0" w:rsidP="00A8697F">
      <w:pPr>
        <w:pStyle w:val="ab"/>
        <w:numPr>
          <w:ilvl w:val="0"/>
          <w:numId w:val="57"/>
        </w:numPr>
        <w:rPr>
          <w:rFonts w:asciiTheme="minorBidi" w:hAnsiTheme="minorBidi"/>
        </w:rPr>
      </w:pPr>
      <w:r w:rsidRPr="00351B7D">
        <w:rPr>
          <w:rFonts w:asciiTheme="minorBidi" w:hAnsiTheme="minorBidi"/>
          <w:color w:val="000000"/>
          <w:rtl/>
        </w:rPr>
        <w:t>חת"ס</w:t>
      </w:r>
      <w:r w:rsidRPr="00351B7D">
        <w:rPr>
          <w:rFonts w:asciiTheme="minorBidi" w:hAnsiTheme="minorBidi"/>
          <w:color w:val="000000"/>
          <w:sz w:val="16"/>
          <w:szCs w:val="16"/>
          <w:rtl/>
        </w:rPr>
        <w:t xml:space="preserve"> (ח"א סי' קד)</w:t>
      </w:r>
      <w:r w:rsidRPr="00351B7D">
        <w:rPr>
          <w:rFonts w:asciiTheme="minorBidi" w:hAnsiTheme="minorBidi"/>
          <w:rtl/>
        </w:rPr>
        <w:t xml:space="preserve">- עובדא דהוה בקיבוץ נערים יחד ביום שבת קודש, וא' מהם היה לו טבעת ולקח חבירו מאתו בתורת שאלה ואמר לריבה אחת שהיתה שמה אני רוצה לקדש אותך הושיטי לי אצבעך, ותושט לו אצבעה ואמר לה הרי את מקודשת לי, והחזיקה בטבעת לערך ה' מנוטין, וא' מן הנערים שהיה שם שמע וידע זה. כל זה הגיד הנער המקדש, אמנם הנערה מכחשת ואומרת שלא אמר לה רק תושיט אצבעך וחשבה שלשחוק והיתול עושה כן ותושט לו אצבעה ולא שמעה דבר כי אם שאמר 'לי' והוליך והביא הטבעת על אצבעה ולא שהא כלל על האצבע, והעד א' הנ"ל אמר שלא שמע שאמר קודם לכן 'אני רוצה לקדשך' אבל שמע אח"כ </w:t>
      </w:r>
      <w:r w:rsidRPr="00351B7D">
        <w:rPr>
          <w:rFonts w:asciiTheme="minorBidi" w:hAnsiTheme="minorBidi"/>
          <w:rtl/>
        </w:rPr>
        <w:lastRenderedPageBreak/>
        <w:t xml:space="preserve">שאמר הרי את מקודשת לי אך לא השהא כלל הטבעת על אצבעה כ"א הוליך והביא, ונשאל אם יש בזה חשש קדושין. </w:t>
      </w:r>
      <w:r w:rsidRPr="00351B7D">
        <w:rPr>
          <w:rFonts w:asciiTheme="minorBidi" w:hAnsiTheme="minorBidi"/>
          <w:color w:val="000000"/>
          <w:u w:val="single"/>
          <w:rtl/>
        </w:rPr>
        <w:t>וכתב</w:t>
      </w:r>
      <w:r w:rsidRPr="00351B7D">
        <w:rPr>
          <w:rFonts w:asciiTheme="minorBidi" w:hAnsiTheme="minorBidi"/>
          <w:rtl/>
        </w:rPr>
        <w:t xml:space="preserve"> הנה האשה שמכחשת הקדושין לגמרי מותרת לעלמא בלי ספק, דע"א בהכחשת הבע"ד לכו"ע לאו כלום הוא, אך הוא המודה בקידושין שקידש לפני ע"א יש להסתפק אי מותר בקרובותיה, ומה שהעד מעיד שלא ניתן הטבעת לידה ממש כ"א הוליך והביא והיה אגדו בידו אין לנו תועלת כיון שהוא מכחיש העד בזה ואומר שהעד ראה שהניח הטבעת בידה ממש הרי הוא נאמן על עצמו יותר ממאה עדים אע"פ שהעד מכחישו, והנה לענין אם צריך ליתן לה גט כדי שיוכל לישא אחרת משום חדר"ג, הא ודאי שהיא לא תקבל גט מרצונה כי עי"ז תפסל מכהונה כו' אלא דאם יזרוק לה גט בע"כ אז לא מיפסלא לכהונה דהיא נאמנת על עצמה שלא נתקדשה ונתגרשה מאיש שאינו אישה שאפילו ריח הגט אין בו, רק הוא נאסר בקרובותיה, אמנם נ"ל מסברא שהוא א"צ להמציא לה גט מפני חדר"ג דהרי לא גזר הגאון אלא משום דלא מצי מיקם בסיפוקייהו או משום קטטה והכא שהיא מותרת לעלמא ונישאת לאחר בפנינו לא שייך זה, ועיקר הספק בנ"ד אם מותר בקרובותיה או לא כיון שהוא מודה שקידשה בע"א ויש מחמירין במקדש בע"א, והנה לדעת הב"ח כיון שהיא אמרה כוונתה היה לשחוק גם הוא א"צ לחוש, אך הח"מ וב"ש תמהו דהא דברים שבלב אינם דברים, והנלע"ד להכריע לחלק בין אם המקדש טוען השטאה ובין אם האשה טוענות כו' </w:t>
      </w:r>
      <w:r w:rsidRPr="00351B7D">
        <w:rPr>
          <w:rFonts w:asciiTheme="minorBidi" w:hAnsiTheme="minorBidi"/>
          <w:color w:val="000000"/>
          <w:sz w:val="16"/>
          <w:szCs w:val="16"/>
          <w:rtl/>
        </w:rPr>
        <w:t xml:space="preserve">(כאמור לעיל) </w:t>
      </w:r>
      <w:r w:rsidRPr="00351B7D">
        <w:rPr>
          <w:rFonts w:asciiTheme="minorBidi" w:hAnsiTheme="minorBidi"/>
          <w:rtl/>
        </w:rPr>
        <w:t>וא"כ בנ"ד שהאשה היא שטענה לשחוק כוונתי גם הוא א"צ לחוש... ועוד בנ"ד איכא סברא להאמין טענת שחוק והיתול כיון שהיה המעשה בשבת קודש ואסור לקדש בשבת כו' וא"כ לא בעי מגו אפי' להח"מ וב"ש, ועוד נ"ל דהכא לכו"ע אין חוששין לקדושין אפי' לרב פפא דרש"י פי' דלהכי חוששין דהא הימניה</w:t>
      </w:r>
      <w:r w:rsidRPr="00351B7D">
        <w:rPr>
          <w:rFonts w:asciiTheme="minorBidi" w:hAnsiTheme="minorBidi"/>
          <w:color w:val="000000"/>
          <w:sz w:val="16"/>
          <w:szCs w:val="16"/>
          <w:rtl/>
        </w:rPr>
        <w:t xml:space="preserve"> (פי' הואיל והם קידשו לפניו הימנוהו כבי תרי)</w:t>
      </w:r>
      <w:r w:rsidRPr="00351B7D">
        <w:rPr>
          <w:rFonts w:asciiTheme="minorBidi" w:hAnsiTheme="minorBidi"/>
          <w:rtl/>
        </w:rPr>
        <w:t xml:space="preserve"> והנה זה שייך היכא דליכא אלא עד א' באותו מקום אבל הכא שהיו כמה נערים מאן לימא דהימנוהו כתרי, דילמא חשבו שישגיחו כולם, מה תאמר שמא בכיון הטמינו עצמם שלא יראה שום אדם כ"א אותו הנער, א"כ הרי ההיתול לפנינו שבכונה עשו לפני ע"א במקום שהיו עדים הרבה כדי שלא יהיה קדושין, ומצורף לזה מה שטענה שלא שמעה לא הקידושין ולא מה שאמר הריני רוצה לקדשך כו', מכל הני טעמי נ"ל להתירו בקרובותיה בפשיטות.</w:t>
      </w:r>
    </w:p>
    <w:p w14:paraId="4D05DA5C" w14:textId="77777777" w:rsidR="008E16D0" w:rsidRPr="00351B7D" w:rsidRDefault="008E16D0" w:rsidP="008E16D0">
      <w:pPr>
        <w:rPr>
          <w:rFonts w:asciiTheme="minorBidi" w:hAnsiTheme="minorBidi"/>
          <w:color w:val="000000"/>
        </w:rPr>
      </w:pPr>
      <w:r w:rsidRPr="00351B7D">
        <w:rPr>
          <w:rFonts w:asciiTheme="minorBidi" w:hAnsiTheme="minorBidi"/>
          <w:u w:val="single"/>
          <w:rtl/>
        </w:rPr>
        <w:t>מעשה בנער שנתן טבעת באצבעה של נערה:</w:t>
      </w:r>
      <w:r w:rsidRPr="00351B7D">
        <w:rPr>
          <w:rFonts w:asciiTheme="minorBidi" w:hAnsiTheme="minorBidi"/>
          <w:color w:val="000000"/>
          <w:rtl/>
        </w:rPr>
        <w:t xml:space="preserve">  </w:t>
      </w:r>
      <w:r w:rsidRPr="00351B7D">
        <w:rPr>
          <w:rFonts w:asciiTheme="minorBidi" w:hAnsiTheme="minorBidi"/>
          <w:color w:val="000000"/>
          <w:sz w:val="16"/>
          <w:szCs w:val="16"/>
          <w:rtl/>
        </w:rPr>
        <w:t>(פת"ש סק"ה)</w:t>
      </w:r>
      <w:r w:rsidRPr="00351B7D">
        <w:rPr>
          <w:rFonts w:asciiTheme="minorBidi" w:hAnsiTheme="minorBidi"/>
          <w:color w:val="000000"/>
          <w:rtl/>
        </w:rPr>
        <w:t xml:space="preserve"> </w:t>
      </w:r>
    </w:p>
    <w:p w14:paraId="7496D914" w14:textId="77777777" w:rsidR="008E16D0" w:rsidRPr="00351B7D" w:rsidRDefault="008E16D0" w:rsidP="00A8697F">
      <w:pPr>
        <w:pStyle w:val="ab"/>
        <w:numPr>
          <w:ilvl w:val="0"/>
          <w:numId w:val="57"/>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(ח"א סי' צט)</w:t>
      </w:r>
      <w:r w:rsidRPr="00351B7D">
        <w:rPr>
          <w:rFonts w:asciiTheme="minorBidi" w:hAnsiTheme="minorBidi"/>
          <w:rtl/>
        </w:rPr>
        <w:t xml:space="preserve">- על דבר עדות עד א' שנער פלוני לקח טבעת ונתנו לבתולה פלונית ואמר הרי את מקודשת אך תיבת 'לי' לא שמע, והבתולה אומרת שנתן לה טבעת באצבעה ואמר דבר אבל לא ידעה והבינה מה אמר, והנער מכחיש הכל, </w:t>
      </w:r>
      <w:r w:rsidRPr="00351B7D">
        <w:rPr>
          <w:rFonts w:asciiTheme="minorBidi" w:hAnsiTheme="minorBidi"/>
          <w:color w:val="000000"/>
          <w:u w:val="single"/>
          <w:rtl/>
        </w:rPr>
        <w:t>תשובה</w:t>
      </w:r>
      <w:r w:rsidRPr="00351B7D">
        <w:rPr>
          <w:rFonts w:asciiTheme="minorBidi" w:hAnsiTheme="minorBidi"/>
          <w:rtl/>
        </w:rPr>
        <w:t>- אין בזה שום חשש קדושין לכו"ע כיון דאיכא תרי רובי להתיר, רוב הפוסקים שפסקו דהמקדש בעד א' אין חוששין לקדושין, ורוב הפוסקים דס"ל ידים שאין מוכיחות לא הוי ידים, ומכ"ש די"ל בנ"ד כו"ע מודים כו', ע"כ לפע"ד בתולה זו שריא לעלמא.</w:t>
      </w:r>
    </w:p>
    <w:p w14:paraId="5A12D66A"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מעשה בקדושין בעד אחד</w:t>
      </w:r>
      <w:r w:rsidRPr="00351B7D">
        <w:rPr>
          <w:rFonts w:asciiTheme="minorBidi" w:hAnsiTheme="minorBidi"/>
          <w:sz w:val="16"/>
          <w:szCs w:val="16"/>
          <w:u w:val="single"/>
          <w:rtl/>
        </w:rPr>
        <w:t xml:space="preserve"> (גוף השאלה יתבאר מתוך התשו')</w:t>
      </w:r>
      <w:r w:rsidRPr="00351B7D">
        <w:rPr>
          <w:rFonts w:asciiTheme="minorBidi" w:hAnsiTheme="minorBidi"/>
          <w:color w:val="000000"/>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(פת"ש סק"ו)</w:t>
      </w:r>
      <w:r w:rsidRPr="00351B7D">
        <w:rPr>
          <w:rFonts w:asciiTheme="minorBidi" w:hAnsiTheme="minorBidi"/>
          <w:color w:val="000000"/>
          <w:rtl/>
        </w:rPr>
        <w:t xml:space="preserve"> </w:t>
      </w:r>
    </w:p>
    <w:p w14:paraId="1FB88DFB" w14:textId="77777777" w:rsidR="008E16D0" w:rsidRPr="00351B7D" w:rsidRDefault="008E16D0" w:rsidP="00A8697F">
      <w:pPr>
        <w:pStyle w:val="ab"/>
        <w:numPr>
          <w:ilvl w:val="0"/>
          <w:numId w:val="57"/>
        </w:numPr>
        <w:rPr>
          <w:rFonts w:asciiTheme="minorBidi" w:hAnsiTheme="minorBidi"/>
          <w:rtl/>
        </w:rPr>
      </w:pPr>
      <w:r w:rsidRPr="00351B7D">
        <w:rPr>
          <w:rFonts w:asciiTheme="minorBidi" w:hAnsiTheme="minorBidi"/>
          <w:color w:val="000000"/>
          <w:rtl/>
        </w:rPr>
        <w:t xml:space="preserve">נו"ב </w:t>
      </w:r>
      <w:r w:rsidRPr="00351B7D">
        <w:rPr>
          <w:rFonts w:asciiTheme="minorBidi" w:hAnsiTheme="minorBidi"/>
          <w:color w:val="000000"/>
          <w:sz w:val="16"/>
          <w:szCs w:val="16"/>
          <w:rtl/>
        </w:rPr>
        <w:t>(תניינא סי' ע"ה)</w:t>
      </w:r>
      <w:r w:rsidRPr="00351B7D">
        <w:rPr>
          <w:rFonts w:asciiTheme="minorBidi" w:hAnsiTheme="minorBidi"/>
          <w:rtl/>
        </w:rPr>
        <w:t xml:space="preserve">- יש להתיר את הבתולה מחמת שבעה היתרים. </w:t>
      </w:r>
      <w:r w:rsidRPr="00351B7D">
        <w:rPr>
          <w:rFonts w:asciiTheme="minorBidi" w:hAnsiTheme="minorBidi"/>
          <w:color w:val="000000"/>
          <w:u w:val="single"/>
          <w:rtl/>
        </w:rPr>
        <w:t>הא'</w:t>
      </w:r>
      <w:r w:rsidRPr="00351B7D">
        <w:rPr>
          <w:rFonts w:asciiTheme="minorBidi" w:hAnsiTheme="minorBidi"/>
          <w:rtl/>
        </w:rPr>
        <w:t xml:space="preserve">- שדעת רוב בנין ורוב מנין דאין חוששין לקדושין בעד א', וגם הרמ"א מיקל במקום עיגון ודחק, וכאן שהמקדש הלך לו לבית אביו רחוק ארבעים פרסאות הרי זה נחשב לדחק ועיגון ואין לומר שראוי לנסות מקודם לכתוב לשם אולי יתרצה בנקל לשלוח גט, ז"א, כי לא נכון לעשות כן שאם יכתבו הב"ד מכאן לשם שיגרש יתחזק הקול ביותר, ולכן נראה דע"כ לא קאמר הרמ"א להחמיר אלא כשהמקדש כאן לפנינו ויכולים לשאלו תיכף אם יגרש בנקל אבל כשהוא במקום רחוק לא החמיר. </w:t>
      </w:r>
      <w:r w:rsidRPr="00351B7D">
        <w:rPr>
          <w:rFonts w:asciiTheme="minorBidi" w:hAnsiTheme="minorBidi"/>
          <w:color w:val="000000"/>
          <w:u w:val="single"/>
          <w:rtl/>
        </w:rPr>
        <w:t>הב'</w:t>
      </w:r>
      <w:r w:rsidRPr="00351B7D">
        <w:rPr>
          <w:rFonts w:asciiTheme="minorBidi" w:hAnsiTheme="minorBidi"/>
          <w:rtl/>
        </w:rPr>
        <w:t xml:space="preserve">- כיון שזה העד המעיד על הקידושין הוא עצמו העד שקודם לזה אמר לו הבחור שלא יהיה כוונתו בשעת הקדושין כלל שיחולו רק לפנים שתסבור הבתולה שנתקדשה הרי מסר מודעא על הקדושין מידי דהוי אמוסר מודעא אגיטא עב"ש סי' קל"ד סק"ב ובפרט בנ"ד יש הוכחה שלא קידשה באמת כיון שכבר נתקשר מקודם עם אחרת מסתמא לא יעבור חרם התנאים ראשונים. </w:t>
      </w:r>
      <w:r w:rsidRPr="00351B7D">
        <w:rPr>
          <w:rFonts w:asciiTheme="minorBidi" w:hAnsiTheme="minorBidi"/>
          <w:color w:val="000000"/>
          <w:u w:val="single"/>
          <w:rtl/>
        </w:rPr>
        <w:t>הג'</w:t>
      </w:r>
      <w:r w:rsidRPr="00351B7D">
        <w:rPr>
          <w:rFonts w:asciiTheme="minorBidi" w:hAnsiTheme="minorBidi"/>
          <w:rtl/>
        </w:rPr>
        <w:t xml:space="preserve">- כיון שהעד מסופק אם אמר 'לי' וכאן לא היו מדברים עע"ק כלל ואפילו שדוכין גמורים לא היה ביניהם ובפרט כיון שהבחור כבר מקושר בעבותות התנאים איכא ידים מוכיחות להיפך שלא לעצמו קידשה. </w:t>
      </w:r>
      <w:r w:rsidRPr="00351B7D">
        <w:rPr>
          <w:rFonts w:asciiTheme="minorBidi" w:hAnsiTheme="minorBidi"/>
          <w:color w:val="000000"/>
          <w:u w:val="single"/>
          <w:rtl/>
        </w:rPr>
        <w:t>הד'</w:t>
      </w:r>
      <w:r w:rsidRPr="00351B7D">
        <w:rPr>
          <w:rFonts w:asciiTheme="minorBidi" w:hAnsiTheme="minorBidi"/>
          <w:rtl/>
        </w:rPr>
        <w:t xml:space="preserve">- אחר שהנערה אמרה שבודאי לא כוונה לשם קדושין ולא ידעה כלל פירוש הדברים מהו מקודשת ואף שכ' הב"ש בסי' כ"ז סק"ה שאפילו אמרה שלא הבינה הוי ס"ק שמא משקרת י"ל שזהו בקיד' בב' עדים אבל בעד א' נאמנת במגו דלהד"מ כמ"ש הב"ח דנאמן לומר להשטות במגו דלהד"מ ומה לי להשטות ומה לי טענת לא הבנתי, ואף שהב"ש בסי' זה סק"ו דחה דברי הב"ח דזה הוי כמו נסכא דר"א כבר הכרעתי בחבורי נו"ב סי' נ"ט דבאומרת לא הבנתי נאמנת אפילו בלא מגו כיון שעל תחילת הקידושין היא טוענת מסייע לה חזקת היתר, ואף שכתבתי שם לתרץ דעת הב"ש דמה שהוא לישנא ברירא ריעא טענתה לומר שלא הבינה מ"מ נ"ד גם השמיעה אינה יודעת אם שמעה הדברים כלל אנו אומרים שנאמנת שלא הבינה ובודאי לא שמעה. </w:t>
      </w:r>
      <w:r w:rsidRPr="00351B7D">
        <w:rPr>
          <w:rFonts w:asciiTheme="minorBidi" w:hAnsiTheme="minorBidi"/>
          <w:color w:val="000000"/>
          <w:u w:val="single"/>
          <w:rtl/>
        </w:rPr>
        <w:t>הה'</w:t>
      </w:r>
      <w:r w:rsidRPr="00351B7D">
        <w:rPr>
          <w:rFonts w:asciiTheme="minorBidi" w:hAnsiTheme="minorBidi"/>
          <w:rtl/>
        </w:rPr>
        <w:t xml:space="preserve">- שהעד עצמו מעיד שיותר קרוב לו שהנערה מרוב בהלה לא היה בה אז דעת וחוש אפילו לשמוע הדברים. </w:t>
      </w:r>
      <w:r w:rsidRPr="00351B7D">
        <w:rPr>
          <w:rFonts w:asciiTheme="minorBidi" w:hAnsiTheme="minorBidi"/>
          <w:color w:val="000000"/>
          <w:u w:val="single"/>
          <w:rtl/>
        </w:rPr>
        <w:t>הו'</w:t>
      </w:r>
      <w:r w:rsidRPr="00351B7D">
        <w:rPr>
          <w:rFonts w:asciiTheme="minorBidi" w:hAnsiTheme="minorBidi"/>
          <w:rtl/>
        </w:rPr>
        <w:t xml:space="preserve">- כיון שהעד לא ראה נתינת המטבע מידו לידה ממש ואף לדברי המרדכי שהביא הב"ש ס"ק י"ב היינו בחפץ שניכר לעדים אבל מטבע אין כאן דבר המוכיח שהרי אין סי' במטבע ואף שעתה היא מודית מ"מ כיון שלא היה ידוע להעד בשעת מעשה מקרי מקדש בלא עד. </w:t>
      </w:r>
      <w:r w:rsidRPr="00351B7D">
        <w:rPr>
          <w:rFonts w:asciiTheme="minorBidi" w:hAnsiTheme="minorBidi"/>
          <w:color w:val="000000"/>
          <w:u w:val="single"/>
          <w:rtl/>
        </w:rPr>
        <w:t>הז'</w:t>
      </w:r>
      <w:r w:rsidRPr="00351B7D">
        <w:rPr>
          <w:rFonts w:asciiTheme="minorBidi" w:hAnsiTheme="minorBidi"/>
          <w:rtl/>
        </w:rPr>
        <w:t xml:space="preserve">- דאפי' המחמירים במקדש בעד א' היינו במודים ולא באינו יודע </w:t>
      </w:r>
      <w:r w:rsidRPr="00351B7D">
        <w:rPr>
          <w:rFonts w:asciiTheme="minorBidi" w:hAnsiTheme="minorBidi"/>
          <w:rtl/>
        </w:rPr>
        <w:lastRenderedPageBreak/>
        <w:t>ובנ"ד הבתולה אומרת שאינה זוכרת כלל אם אמר הבחור איזה דבר או נתן איזה דבר א"כ אינה מודית ממש. וסיים דע"פ שבעה היתרים הנ"ל אפילו אם ימצא על איזה מהם איזה פקפוק מ"מ ע"פ הנשארים וק"ו בהצטרף כולם הבתולה זו מותרת לכל אדם.</w:t>
      </w:r>
    </w:p>
    <w:p w14:paraId="062B9820"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מעשה בקדושין בשני עדים שאחד מהם קרוב לאשה:</w:t>
      </w:r>
      <w:r w:rsidRPr="00351B7D">
        <w:rPr>
          <w:rFonts w:asciiTheme="minorBidi" w:hAnsiTheme="minorBidi"/>
          <w:color w:val="000000"/>
          <w:rtl/>
        </w:rPr>
        <w:t xml:space="preserve">  </w:t>
      </w:r>
      <w:r w:rsidRPr="00351B7D">
        <w:rPr>
          <w:rFonts w:asciiTheme="minorBidi" w:hAnsiTheme="minorBidi"/>
          <w:color w:val="000000"/>
          <w:sz w:val="16"/>
          <w:szCs w:val="16"/>
          <w:rtl/>
        </w:rPr>
        <w:t>(פת"ש סק"ט)</w:t>
      </w:r>
      <w:r w:rsidRPr="00351B7D">
        <w:rPr>
          <w:rFonts w:asciiTheme="minorBidi" w:hAnsiTheme="minorBidi"/>
          <w:color w:val="000000"/>
          <w:rtl/>
        </w:rPr>
        <w:t xml:space="preserve"> </w:t>
      </w:r>
    </w:p>
    <w:p w14:paraId="5177B11B" w14:textId="77777777" w:rsidR="008E16D0" w:rsidRPr="00351B7D" w:rsidRDefault="008E16D0" w:rsidP="00A8697F">
      <w:pPr>
        <w:pStyle w:val="ab"/>
        <w:numPr>
          <w:ilvl w:val="0"/>
          <w:numId w:val="57"/>
        </w:numPr>
        <w:spacing w:before="240"/>
        <w:rPr>
          <w:rFonts w:asciiTheme="minorBidi" w:hAnsiTheme="minorBidi"/>
          <w:rtl/>
        </w:rPr>
      </w:pPr>
      <w:r w:rsidRPr="00351B7D">
        <w:rPr>
          <w:rFonts w:asciiTheme="minorBidi" w:hAnsiTheme="minorBidi"/>
          <w:color w:val="000000"/>
          <w:rtl/>
        </w:rPr>
        <w:t>נו"ב</w:t>
      </w:r>
      <w:r w:rsidRPr="00351B7D">
        <w:rPr>
          <w:rFonts w:asciiTheme="minorBidi" w:hAnsiTheme="minorBidi"/>
          <w:color w:val="000000"/>
          <w:sz w:val="16"/>
          <w:szCs w:val="16"/>
          <w:rtl/>
        </w:rPr>
        <w:t xml:space="preserve"> (תניינא סי' עו)</w:t>
      </w:r>
      <w:r w:rsidRPr="00351B7D">
        <w:rPr>
          <w:rFonts w:asciiTheme="minorBidi" w:hAnsiTheme="minorBidi"/>
          <w:rtl/>
        </w:rPr>
        <w:t xml:space="preserve">- ראובן בן יעקב העיד ששמעון קידש את הבתולה דינה, ושמעון ודינה הודו לדברי העד גם הובא לפני הב"ד כתב הנכתב ונחתם מן ראובן הנזכר ומן עוד א' ששמו בנימין שבפני שניהם קידש שמעון הנ"ל את דינה הנ"ל, ואמנם אמה של דינה עם אשת בנימין המה אחיות מן האם ובנימין הוא בעל דודתה של דינה הנ"ל, וראובן אמר שהוא לא ידע מקורבתו של בנימין עם דינה. </w:t>
      </w:r>
      <w:r w:rsidRPr="00351B7D">
        <w:rPr>
          <w:rFonts w:asciiTheme="minorBidi" w:hAnsiTheme="minorBidi"/>
          <w:color w:val="000000"/>
          <w:u w:val="single"/>
          <w:rtl/>
        </w:rPr>
        <w:t>והשיב</w:t>
      </w:r>
      <w:r w:rsidRPr="00351B7D">
        <w:rPr>
          <w:rFonts w:asciiTheme="minorBidi" w:hAnsiTheme="minorBidi"/>
          <w:rtl/>
        </w:rPr>
        <w:t>- פשיטא דלדע' המחמיר בקידושין בעד א' אין לאשה זו שום קולא מחמת צירופו של הקרוב, לא מבעיא לדעת תוס' והרא"ש</w:t>
      </w:r>
      <w:r w:rsidRPr="00351B7D">
        <w:rPr>
          <w:rFonts w:asciiTheme="minorBidi" w:hAnsiTheme="minorBidi"/>
          <w:sz w:val="16"/>
          <w:szCs w:val="16"/>
          <w:rtl/>
        </w:rPr>
        <w:t xml:space="preserve"> (שהובא בח"מ סי' לו)</w:t>
      </w:r>
      <w:r w:rsidRPr="00351B7D">
        <w:rPr>
          <w:rFonts w:asciiTheme="minorBidi" w:hAnsiTheme="minorBidi"/>
          <w:rtl/>
        </w:rPr>
        <w:t xml:space="preserve"> דלפסול הכשר תרתי בעינן כיון לראות כדי להעיד ובא לב"ד והעיד והרי כאן לא העידו שניהם בב"ד </w:t>
      </w:r>
      <w:r w:rsidRPr="00351B7D">
        <w:rPr>
          <w:rFonts w:asciiTheme="minorBidi" w:hAnsiTheme="minorBidi"/>
          <w:sz w:val="16"/>
          <w:szCs w:val="16"/>
          <w:rtl/>
        </w:rPr>
        <w:t>(ומה שחתמו בשטר אחד לא מיחשב כאילו העידו יחד בב"ד כמ"ש הסמ"ע בסי' מ"ה סקל"ד. ואף שהש"ך שם חולק עליו וסובר דחשיב כאילו העידו דעדים החתומים בשטר כמי שנחקרה עדותן בב"ד וא"כ הו"ל ראיה והגדה, העיקר בזה כהסמ"ע ולא כהש"ך ובעד פסול החתום על השטר לא שייך לומר כמי שנחקרה עדותו בב"ד דמקרי מזוייף מתוכו. ואפילו לד' הש"ך מ"מ אינו נפסל אלא בשעת חתימה ולא בטלה עדותו בשעת הראיה ונמצא שהקידושין בשעת מעשה היה בפני עד כשר וכמ"ש הב"ש סק"ח וכיון ששניהם מודים הרי היא מקודשת למאן דחושש בקידושין בעד א')</w:t>
      </w:r>
      <w:r w:rsidRPr="00351B7D">
        <w:rPr>
          <w:rFonts w:asciiTheme="minorBidi" w:hAnsiTheme="minorBidi"/>
          <w:rtl/>
        </w:rPr>
        <w:t xml:space="preserve">. ואפילו לדעת הרמב"ם </w:t>
      </w:r>
      <w:r w:rsidRPr="00351B7D">
        <w:rPr>
          <w:rFonts w:asciiTheme="minorBidi" w:hAnsiTheme="minorBidi"/>
          <w:sz w:val="16"/>
          <w:szCs w:val="16"/>
          <w:rtl/>
        </w:rPr>
        <w:t>(שהובא בחו"מ שם)</w:t>
      </w:r>
      <w:r w:rsidRPr="00351B7D">
        <w:rPr>
          <w:rFonts w:asciiTheme="minorBidi" w:hAnsiTheme="minorBidi"/>
          <w:rtl/>
        </w:rPr>
        <w:t xml:space="preserve"> דבצירוף הראיה לחוד פוסל גם את הכשר, מ"מ מי יודע אם הקרוב כיון בשעת מעשה להיות עד. ועוד דבתשו' ב"י </w:t>
      </w:r>
      <w:r w:rsidRPr="00351B7D">
        <w:rPr>
          <w:rFonts w:asciiTheme="minorBidi" w:hAnsiTheme="minorBidi"/>
          <w:sz w:val="16"/>
          <w:szCs w:val="16"/>
          <w:rtl/>
        </w:rPr>
        <w:t>(בדיני קדושין סי' י)</w:t>
      </w:r>
      <w:r w:rsidRPr="00351B7D">
        <w:rPr>
          <w:rFonts w:asciiTheme="minorBidi" w:hAnsiTheme="minorBidi"/>
          <w:rtl/>
        </w:rPr>
        <w:t xml:space="preserve"> פסק שם גאון אחד והב"י הסכים עמו דהא דנמצא א' קרוב או פסול כו' הוא דוקא בפסול מה"ת אבל בפסול מדרבנן לא אלים פיסולו לפסול הכשר שעמו, ובנ"ד בנימין זה אינו פסול רק מדרבנן </w:t>
      </w:r>
      <w:r w:rsidRPr="00351B7D">
        <w:rPr>
          <w:rFonts w:asciiTheme="minorBidi" w:hAnsiTheme="minorBidi"/>
          <w:sz w:val="16"/>
          <w:szCs w:val="16"/>
          <w:rtl/>
        </w:rPr>
        <w:t>(כמו שיבואר להלן)</w:t>
      </w:r>
      <w:r w:rsidRPr="00351B7D">
        <w:rPr>
          <w:rFonts w:asciiTheme="minorBidi" w:hAnsiTheme="minorBidi"/>
          <w:rtl/>
        </w:rPr>
        <w:t xml:space="preserve">, ועוד דהא ד' הרי"ף </w:t>
      </w:r>
      <w:r w:rsidRPr="00351B7D">
        <w:rPr>
          <w:rFonts w:asciiTheme="minorBidi" w:hAnsiTheme="minorBidi"/>
          <w:sz w:val="16"/>
          <w:szCs w:val="16"/>
          <w:rtl/>
        </w:rPr>
        <w:t xml:space="preserve">(בתשו' סי' קסז, הובא בחו"מ שם ס"ב) </w:t>
      </w:r>
      <w:r w:rsidRPr="00351B7D">
        <w:rPr>
          <w:rFonts w:asciiTheme="minorBidi" w:hAnsiTheme="minorBidi"/>
          <w:rtl/>
        </w:rPr>
        <w:t xml:space="preserve">שאם אין הכשר יודע בקורבתו לא נתבטל, והרי כאן הכשר אומר שלא ידע בקורבתו של זה. ועוד דעל גוף דין זה דנמצא א' קרוב או פסול שעדות כולם בטילה יש לפקפק אם זה שייך בדיני קדושין כלל כו' </w:t>
      </w:r>
      <w:r w:rsidRPr="00351B7D">
        <w:rPr>
          <w:rFonts w:asciiTheme="minorBidi" w:hAnsiTheme="minorBidi"/>
          <w:sz w:val="16"/>
          <w:szCs w:val="16"/>
          <w:rtl/>
        </w:rPr>
        <w:t>(לכאורה אפ"ל דגם הריב"ש סי' רסו ס"ל כן לחלק בכך ויהיה מסולק מעליו תמיהת המל"מ פ"ד מה"א דין ו' ע"ש)</w:t>
      </w:r>
      <w:r w:rsidRPr="00351B7D">
        <w:rPr>
          <w:rFonts w:asciiTheme="minorBidi" w:hAnsiTheme="minorBidi"/>
          <w:rtl/>
        </w:rPr>
        <w:t xml:space="preserve">. מכל הלין טעמי פשוט דלהך שיטה דעד אחד בקדושין מהני אשה זו חלו בה קדושין. אמנם אף לד' הפוסקים דאין חוששין לקדושין בעד א' מ"מ בנ"ד יש כאן ב' עדים של תורה שהרי הקרוב הוא רק בעל אחות אמה של המקודשת מן האם, ולא מבעיא לד' הרמב"ם שקרובי האם המה רק מדרבנן </w:t>
      </w:r>
      <w:r w:rsidRPr="00351B7D">
        <w:rPr>
          <w:rFonts w:asciiTheme="minorBidi" w:hAnsiTheme="minorBidi"/>
          <w:sz w:val="16"/>
          <w:szCs w:val="16"/>
          <w:rtl/>
        </w:rPr>
        <w:t xml:space="preserve">(כמ"ש הרמ"ה בשמו בח"מ סי' לג ס"ב בהגה, ואף שהש"ך שם שיכל את ידיו לדחות דברי הרמ"א וכן הב"י בסי' זה לא פי' דברי הרמב"ם כן, העיקר בזה כהרמ"א ז"ל בכוונת הרמב"ם </w:t>
      </w:r>
      <w:r w:rsidRPr="00351B7D">
        <w:rPr>
          <w:rFonts w:asciiTheme="minorBidi" w:hAnsiTheme="minorBidi"/>
          <w:sz w:val="14"/>
          <w:szCs w:val="14"/>
          <w:rtl/>
        </w:rPr>
        <w:t>[ע' בת' בית שמואל אחרון חח"מ סי' י"ג שגם הוא ז"ל הכריח לדינא דלא כהש"ך. אך בתשו' ברית אברהם חח"מ ס"ס ד' השיג עליו ע"ש]</w:t>
      </w:r>
      <w:r w:rsidRPr="00351B7D">
        <w:rPr>
          <w:rFonts w:asciiTheme="minorBidi" w:hAnsiTheme="minorBidi"/>
          <w:sz w:val="16"/>
          <w:szCs w:val="16"/>
          <w:rtl/>
        </w:rPr>
        <w:t>)</w:t>
      </w:r>
      <w:r w:rsidRPr="00351B7D">
        <w:rPr>
          <w:rFonts w:asciiTheme="minorBidi" w:hAnsiTheme="minorBidi"/>
          <w:rtl/>
        </w:rPr>
        <w:t xml:space="preserve"> אלא אפילו לדעת הסוברים שקרובי האם ג"כ פסולים מה"ת מ"מ היינו דוקא בקרובי האם גופייהו אבל לומר בהו בעל כאשתו בודאי הוא מדרבנן לענין פסולי עדות,</w:t>
      </w:r>
      <w:r w:rsidRPr="00351B7D">
        <w:rPr>
          <w:rFonts w:asciiTheme="minorBidi" w:hAnsiTheme="minorBidi"/>
          <w:sz w:val="16"/>
          <w:szCs w:val="16"/>
          <w:rtl/>
        </w:rPr>
        <w:t xml:space="preserve"> (והאריך שם לקבוע בזה מסמרות וסיים-)</w:t>
      </w:r>
      <w:r w:rsidRPr="00351B7D">
        <w:rPr>
          <w:rFonts w:asciiTheme="minorBidi" w:hAnsiTheme="minorBidi"/>
          <w:rtl/>
        </w:rPr>
        <w:t xml:space="preserve"> בהא נחתי ובהא סלקי דכל הקרובים מדרך אישות והוא רק מקורבא דאֵם- ליכא שום הו"א לשום פוסק שיאמר שהוא מה"ת וכולם מודים שפסול רק מדרבנן. וקרובי אישות בקורבא מן האב וגם קרובי האם גופייהו להרמב"ם והראב"ד ג"כ אינם פסולים רק מדרבנן אבל בשא"פ יש דיעות חלוקות בזה. ומעתה בנ"ד כיון שבנימין זה הוא קרוב להמקודשת רק מצד אשתו וגם קורבא של אשתו הוא רק מצד אם א"כ בוודאי אינו פסול רק מדרבנן ויש כאן שני עדים של תורה שמעידין על הקדושין והרי היא מה"ת אשת איש ואין לנו שום מקום להקל, רק דעת הרי"ף בתשו'</w:t>
      </w:r>
      <w:r w:rsidRPr="00351B7D">
        <w:rPr>
          <w:rFonts w:asciiTheme="minorBidi" w:hAnsiTheme="minorBidi"/>
          <w:sz w:val="16"/>
          <w:szCs w:val="16"/>
          <w:rtl/>
        </w:rPr>
        <w:t xml:space="preserve"> (הובא בתשו' המיוחסות לרמב"ן סי' קכה (הובא בב"י ס"ס מ"ב ובב"ש סקי"ט))</w:t>
      </w:r>
      <w:r w:rsidRPr="00351B7D">
        <w:rPr>
          <w:rFonts w:asciiTheme="minorBidi" w:hAnsiTheme="minorBidi"/>
          <w:rtl/>
        </w:rPr>
        <w:t xml:space="preserve"> שאף המקדש בפסולי עדות דרבנן אין חוששין לקדושין, ויחיד הוא הרי"ף בדבר זה, והרמב"ן עצמו דחה דבריו, ובאשה זו יש ג"כ חששא אחרת מצד העד הכשר לחוד למ"ד חוששין לקדושין בע"א ולכן באשה זו אפילו במקום דחק ועיגון אין לה תקנה רק להנשא לזה שקידשה ויקדשנה מחדש בפני עדים כשרים, או תשתדל להשיג גט ממנו או תתעגן כל ימיה.</w:t>
      </w:r>
      <w:r w:rsidRPr="00351B7D">
        <w:rPr>
          <w:rFonts w:asciiTheme="minorBidi" w:hAnsiTheme="minorBidi"/>
          <w:sz w:val="16"/>
          <w:szCs w:val="16"/>
          <w:rtl/>
        </w:rPr>
        <w:t xml:space="preserve"> </w:t>
      </w:r>
      <w:r w:rsidRPr="00351B7D">
        <w:rPr>
          <w:rFonts w:asciiTheme="minorBidi" w:hAnsiTheme="minorBidi"/>
          <w:color w:val="FF0000"/>
          <w:sz w:val="16"/>
          <w:szCs w:val="16"/>
          <w:rtl/>
        </w:rPr>
        <w:t>(צל"ע מדוע לא כ' שכל המקדש אדעתה דרבנן מקדש ובטלי הקדושין מעיקרא)</w:t>
      </w:r>
    </w:p>
    <w:p w14:paraId="77D23C76"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אסופת מקרים:</w:t>
      </w:r>
      <w:r w:rsidRPr="00351B7D">
        <w:rPr>
          <w:rFonts w:asciiTheme="minorBidi" w:hAnsiTheme="minorBidi"/>
          <w:color w:val="000000"/>
          <w:rtl/>
        </w:rPr>
        <w:t xml:space="preserve">   </w:t>
      </w:r>
      <w:r w:rsidRPr="00351B7D">
        <w:rPr>
          <w:rFonts w:asciiTheme="minorBidi" w:hAnsiTheme="minorBidi"/>
          <w:color w:val="000000"/>
          <w:sz w:val="16"/>
          <w:szCs w:val="16"/>
          <w:rtl/>
        </w:rPr>
        <w:t>(באה"ט סק"ז)</w:t>
      </w:r>
    </w:p>
    <w:p w14:paraId="57666B09" w14:textId="77777777" w:rsidR="008E16D0" w:rsidRPr="00351B7D" w:rsidRDefault="008E16D0" w:rsidP="00A8697F">
      <w:pPr>
        <w:pStyle w:val="ab"/>
        <w:numPr>
          <w:ilvl w:val="0"/>
          <w:numId w:val="57"/>
        </w:numPr>
        <w:rPr>
          <w:rFonts w:asciiTheme="minorBidi" w:hAnsiTheme="minorBidi"/>
        </w:rPr>
      </w:pPr>
      <w:r w:rsidRPr="00351B7D">
        <w:rPr>
          <w:rFonts w:asciiTheme="minorBidi" w:hAnsiTheme="minorBidi"/>
          <w:rtl/>
        </w:rPr>
        <w:t>אם היו שלשה אצל המעשה וא' אומר נתקדשה ושנים אומרים לא נתקדשה, אפילו בדליכא חזקת פנויה תנשא לכתחילה</w:t>
      </w:r>
      <w:r w:rsidRPr="00351B7D">
        <w:rPr>
          <w:rStyle w:val="a7"/>
          <w:rFonts w:asciiTheme="minorBidi" w:hAnsiTheme="minorBidi"/>
          <w:color w:val="000000"/>
          <w:rtl/>
        </w:rPr>
        <w:footnoteReference w:id="452"/>
      </w:r>
      <w:r w:rsidRPr="00351B7D">
        <w:rPr>
          <w:rFonts w:asciiTheme="minorBidi" w:hAnsiTheme="minorBidi"/>
          <w:rtl/>
        </w:rPr>
        <w:t>, רא"ם</w:t>
      </w:r>
      <w:r w:rsidRPr="00351B7D">
        <w:rPr>
          <w:rFonts w:asciiTheme="minorBidi" w:hAnsiTheme="minorBidi"/>
          <w:sz w:val="16"/>
          <w:szCs w:val="16"/>
          <w:rtl/>
        </w:rPr>
        <w:t xml:space="preserve"> (מים עמוקים סי' לא)</w:t>
      </w:r>
      <w:r w:rsidRPr="00351B7D">
        <w:rPr>
          <w:rFonts w:asciiTheme="minorBidi" w:hAnsiTheme="minorBidi"/>
          <w:rtl/>
        </w:rPr>
        <w:t>.</w:t>
      </w:r>
    </w:p>
    <w:p w14:paraId="0F250EF7" w14:textId="77777777" w:rsidR="008E16D0" w:rsidRPr="00351B7D" w:rsidRDefault="008E16D0" w:rsidP="00A8697F">
      <w:pPr>
        <w:pStyle w:val="ab"/>
        <w:numPr>
          <w:ilvl w:val="0"/>
          <w:numId w:val="57"/>
        </w:numPr>
        <w:rPr>
          <w:rFonts w:asciiTheme="minorBidi" w:hAnsiTheme="minorBidi"/>
        </w:rPr>
      </w:pPr>
      <w:r w:rsidRPr="00351B7D">
        <w:rPr>
          <w:rFonts w:asciiTheme="minorBidi" w:hAnsiTheme="minorBidi"/>
          <w:rtl/>
        </w:rPr>
        <w:t>אמרה נתקדשתי בפני פלוני ופלוני, והעדים מכחישים אותה שוויה אנפשה חתיכה דאיסורא, ריב"ל</w:t>
      </w:r>
      <w:r w:rsidRPr="00351B7D">
        <w:rPr>
          <w:rFonts w:asciiTheme="minorBidi" w:hAnsiTheme="minorBidi"/>
          <w:sz w:val="16"/>
          <w:szCs w:val="16"/>
          <w:rtl/>
        </w:rPr>
        <w:t xml:space="preserve"> (ח"ג סי' פה)</w:t>
      </w:r>
      <w:r w:rsidRPr="00351B7D">
        <w:rPr>
          <w:rFonts w:asciiTheme="minorBidi" w:hAnsiTheme="minorBidi"/>
          <w:rtl/>
        </w:rPr>
        <w:t>.</w:t>
      </w:r>
    </w:p>
    <w:p w14:paraId="1BBBD347" w14:textId="77777777" w:rsidR="008E16D0" w:rsidRPr="00351B7D" w:rsidRDefault="008E16D0" w:rsidP="00A8697F">
      <w:pPr>
        <w:pStyle w:val="ab"/>
        <w:numPr>
          <w:ilvl w:val="0"/>
          <w:numId w:val="57"/>
        </w:numPr>
        <w:rPr>
          <w:rFonts w:asciiTheme="minorBidi" w:hAnsiTheme="minorBidi"/>
        </w:rPr>
      </w:pPr>
      <w:r w:rsidRPr="00351B7D">
        <w:rPr>
          <w:rFonts w:asciiTheme="minorBidi" w:hAnsiTheme="minorBidi"/>
          <w:rtl/>
        </w:rPr>
        <w:t>אמרה נתקדשתי לפלוני ולא היו עדים בדבר, ואחר קצת ימים אמרה שהיו עדים בדבר, נאמנת לשוויא אנפשה חתיכה דאיסורא, ריב"ל</w:t>
      </w:r>
      <w:r w:rsidRPr="00351B7D">
        <w:rPr>
          <w:rFonts w:asciiTheme="minorBidi" w:hAnsiTheme="minorBidi"/>
          <w:sz w:val="16"/>
          <w:szCs w:val="16"/>
          <w:rtl/>
        </w:rPr>
        <w:t xml:space="preserve"> (ח"ג סי' פ"ה)</w:t>
      </w:r>
      <w:r w:rsidRPr="00351B7D">
        <w:rPr>
          <w:rFonts w:asciiTheme="minorBidi" w:hAnsiTheme="minorBidi"/>
          <w:rtl/>
        </w:rPr>
        <w:t>.</w:t>
      </w:r>
    </w:p>
    <w:p w14:paraId="0FA51174" w14:textId="77777777" w:rsidR="008E16D0" w:rsidRPr="00351B7D" w:rsidRDefault="008E16D0" w:rsidP="00A8697F">
      <w:pPr>
        <w:pStyle w:val="ab"/>
        <w:numPr>
          <w:ilvl w:val="0"/>
          <w:numId w:val="57"/>
        </w:numPr>
        <w:rPr>
          <w:rFonts w:asciiTheme="minorBidi" w:hAnsiTheme="minorBidi"/>
        </w:rPr>
      </w:pPr>
      <w:r w:rsidRPr="00351B7D">
        <w:rPr>
          <w:rFonts w:asciiTheme="minorBidi" w:hAnsiTheme="minorBidi"/>
          <w:rtl/>
        </w:rPr>
        <w:t>אמרה מקודשת אני לפלוני, ואח"כ חזרה ואמרה מה שאמרתי מקודשת אני לפלוני לא לפני עדים נתקדשתי וסבורה הייתי דאפילו שלא בפני עדים הוי קדושין- נאמנת, ריב"ל</w:t>
      </w:r>
      <w:r w:rsidRPr="00351B7D">
        <w:rPr>
          <w:rFonts w:asciiTheme="minorBidi" w:hAnsiTheme="minorBidi"/>
          <w:sz w:val="16"/>
          <w:szCs w:val="16"/>
          <w:rtl/>
        </w:rPr>
        <w:t xml:space="preserve"> (ח"ג סי' פ"ה)</w:t>
      </w:r>
      <w:r w:rsidRPr="00351B7D">
        <w:rPr>
          <w:rFonts w:asciiTheme="minorBidi" w:hAnsiTheme="minorBidi"/>
          <w:rtl/>
        </w:rPr>
        <w:t>.</w:t>
      </w:r>
    </w:p>
    <w:p w14:paraId="4A9B4DA1" w14:textId="77777777" w:rsidR="008E16D0" w:rsidRPr="00351B7D" w:rsidRDefault="008E16D0" w:rsidP="00A8697F">
      <w:pPr>
        <w:pStyle w:val="ab"/>
        <w:numPr>
          <w:ilvl w:val="0"/>
          <w:numId w:val="57"/>
        </w:numPr>
        <w:rPr>
          <w:rFonts w:asciiTheme="minorBidi" w:hAnsiTheme="minorBidi"/>
          <w:color w:val="000000"/>
          <w:rtl/>
        </w:rPr>
      </w:pPr>
      <w:r w:rsidRPr="00351B7D">
        <w:rPr>
          <w:rFonts w:asciiTheme="minorBidi" w:hAnsiTheme="minorBidi"/>
          <w:rtl/>
        </w:rPr>
        <w:t>עד א' מעיד שראה את הקדושין, ועד א' מעיד ששמע מפי אחר שנתקדשה בפניו, מצטרפין והוי מקודשת, עי' כנה"ג</w:t>
      </w:r>
      <w:r w:rsidRPr="00351B7D">
        <w:rPr>
          <w:rFonts w:asciiTheme="minorBidi" w:hAnsiTheme="minorBidi"/>
          <w:sz w:val="16"/>
          <w:szCs w:val="16"/>
          <w:rtl/>
        </w:rPr>
        <w:t xml:space="preserve"> (הגה"ט אותיות- י', י"ב, י"ג, ט"ו)</w:t>
      </w:r>
      <w:r w:rsidRPr="00351B7D">
        <w:rPr>
          <w:rFonts w:asciiTheme="minorBidi" w:hAnsiTheme="minorBidi"/>
          <w:color w:val="000000"/>
          <w:rtl/>
        </w:rPr>
        <w:t>.</w:t>
      </w:r>
    </w:p>
    <w:p w14:paraId="42FE060F" w14:textId="77777777" w:rsidR="008E16D0" w:rsidRPr="00351B7D" w:rsidRDefault="008E16D0" w:rsidP="008E16D0">
      <w:pPr>
        <w:rPr>
          <w:rFonts w:asciiTheme="minorBidi" w:hAnsiTheme="minorBidi"/>
          <w:color w:val="000000"/>
          <w:rtl/>
        </w:rPr>
      </w:pPr>
    </w:p>
    <w:p w14:paraId="263B4EDC" w14:textId="77777777" w:rsidR="008E16D0" w:rsidRPr="00351B7D" w:rsidRDefault="008E16D0" w:rsidP="008E16D0">
      <w:pPr>
        <w:pStyle w:val="2"/>
        <w:rPr>
          <w:rFonts w:asciiTheme="minorBidi" w:hAnsiTheme="minorBidi"/>
          <w:rtl/>
        </w:rPr>
      </w:pPr>
      <w:r w:rsidRPr="00351B7D">
        <w:rPr>
          <w:rFonts w:asciiTheme="minorBidi" w:hAnsiTheme="minorBidi"/>
          <w:rtl/>
        </w:rPr>
        <w:t>סעיף ג: המקדש והמתקדשת צריכים לדעת שיש העדים.</w:t>
      </w:r>
    </w:p>
    <w:p w14:paraId="4C4D067E" w14:textId="77777777" w:rsidR="008E16D0" w:rsidRPr="00351B7D" w:rsidRDefault="008E16D0" w:rsidP="008E16D0">
      <w:pPr>
        <w:rPr>
          <w:rFonts w:asciiTheme="minorBidi" w:hAnsiTheme="minorBidi"/>
          <w:rtl/>
        </w:rPr>
      </w:pPr>
      <w:r w:rsidRPr="00351B7D">
        <w:rPr>
          <w:rFonts w:asciiTheme="minorBidi" w:hAnsiTheme="minorBidi"/>
          <w:b/>
          <w:bCs/>
          <w:rtl/>
        </w:rPr>
        <w:t>תוספתא</w:t>
      </w:r>
      <w:r w:rsidRPr="00351B7D">
        <w:rPr>
          <w:rFonts w:asciiTheme="minorBidi" w:hAnsiTheme="minorBidi"/>
          <w:b/>
          <w:bCs/>
          <w:sz w:val="16"/>
          <w:szCs w:val="16"/>
          <w:rtl/>
        </w:rPr>
        <w:t xml:space="preserve"> (ליברמן)</w:t>
      </w:r>
      <w:r w:rsidRPr="00351B7D">
        <w:rPr>
          <w:rFonts w:asciiTheme="minorBidi" w:hAnsiTheme="minorBidi"/>
          <w:b/>
          <w:bCs/>
          <w:rtl/>
        </w:rPr>
        <w:t xml:space="preserve"> גיטין פ"ה ה"ד:</w:t>
      </w:r>
      <w:r w:rsidRPr="00351B7D">
        <w:rPr>
          <w:rFonts w:asciiTheme="minorBidi" w:hAnsiTheme="minorBidi"/>
          <w:rtl/>
        </w:rPr>
        <w:t xml:space="preserve"> זה גיטיך מהיום אם מתי מחולי זה ימים שבנתים... וחכמי' אומ' מגורשת לכל דבר ובלבד שימות, לא תתיחד עמו... ראוה שנים שנתיחדה עמו צריכה הימנו גט שני, אחד אין צריכה הימנו גט שני, אחד בשחרית ואחד בין הערבים זה היה מעשה ובא ושאל ר' לעזר בן תדיי לחכמים ואמרו אחד הן, ואין צריכה הימנו גט שיני. </w:t>
      </w:r>
      <w:r w:rsidRPr="00351B7D">
        <w:rPr>
          <w:rFonts w:asciiTheme="minorBidi" w:hAnsiTheme="minorBidi"/>
          <w:sz w:val="16"/>
          <w:szCs w:val="16"/>
          <w:rtl/>
        </w:rPr>
        <w:t>(</w:t>
      </w:r>
      <w:r w:rsidRPr="00351B7D">
        <w:rPr>
          <w:rFonts w:asciiTheme="minorBidi" w:hAnsiTheme="minorBidi"/>
          <w:color w:val="000000"/>
          <w:sz w:val="16"/>
          <w:szCs w:val="16"/>
          <w:rtl/>
        </w:rPr>
        <w:t>כתבוה הרי"ף (גיטין לה:) הרשב"א (גיטין פא: ד"ה אלא) והרא"ש (גיטין סי' ד), וכן נראה מדברי הרמב"ם (פ"ח מהל' גירושין ה"ב, ובפרק י' הי"ח))</w:t>
      </w:r>
    </w:p>
    <w:p w14:paraId="41FEEEEF"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העדים ראו את מעשה הקדושין אך הבעל או האשה לא ידעו שהעדים רואים אותם:</w:t>
      </w:r>
    </w:p>
    <w:p w14:paraId="6C211486" w14:textId="77777777" w:rsidR="008E16D0" w:rsidRPr="00351B7D" w:rsidRDefault="008E16D0" w:rsidP="00A8697F">
      <w:pPr>
        <w:pStyle w:val="ab"/>
        <w:numPr>
          <w:ilvl w:val="0"/>
          <w:numId w:val="58"/>
        </w:numPr>
        <w:rPr>
          <w:rFonts w:asciiTheme="minorBidi" w:hAnsiTheme="minorBidi"/>
        </w:rPr>
      </w:pPr>
      <w:r w:rsidRPr="00351B7D">
        <w:rPr>
          <w:rFonts w:asciiTheme="minorBidi" w:hAnsiTheme="minorBidi"/>
          <w:u w:val="dotted"/>
          <w:rtl/>
        </w:rPr>
        <mc:AlternateContent>
          <mc:Choice Requires="wps">
            <w:drawing>
              <wp:anchor distT="0" distB="0" distL="114300" distR="114300" simplePos="0" relativeHeight="251669504" behindDoc="0" locked="0" layoutInCell="1" allowOverlap="1" wp14:anchorId="0FC2EF56" wp14:editId="44646CB7">
                <wp:simplePos x="0" y="0"/>
                <wp:positionH relativeFrom="column">
                  <wp:posOffset>4751070</wp:posOffset>
                </wp:positionH>
                <wp:positionV relativeFrom="paragraph">
                  <wp:posOffset>410845</wp:posOffset>
                </wp:positionV>
                <wp:extent cx="45085" cy="94615"/>
                <wp:effectExtent l="19050" t="0" r="31115" b="38735"/>
                <wp:wrapNone/>
                <wp:docPr id="12" name="Down Arrow 12"/>
                <wp:cNvGraphicFramePr/>
                <a:graphic xmlns:a="http://schemas.openxmlformats.org/drawingml/2006/main">
                  <a:graphicData uri="http://schemas.microsoft.com/office/word/2010/wordprocessingShape">
                    <wps:wsp>
                      <wps:cNvSpPr/>
                      <wps:spPr>
                        <a:xfrm>
                          <a:off x="0" y="0"/>
                          <a:ext cx="45085" cy="94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B37E011" id="Down Arrow 12" o:spid="_x0000_s1026" type="#_x0000_t67" style="position:absolute;left:0;text-align:left;margin-left:374.1pt;margin-top:32.35pt;width:3.55pt;height:7.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" adj="16454" fillcolor="black [3200]" strokecolor="black [1600]" strokeweight="2pt"/>
            </w:pict>
          </mc:Fallback>
        </mc:AlternateContent>
      </w:r>
      <w:r w:rsidRPr="00351B7D">
        <w:rPr>
          <w:rFonts w:asciiTheme="minorBidi" w:hAnsiTheme="minorBidi"/>
          <w:rtl/>
        </w:rPr>
        <w:t>רשב"א ר"ן הה"מ וריב"ש</w:t>
      </w:r>
      <w:r w:rsidRPr="00351B7D">
        <w:rPr>
          <w:rStyle w:val="a7"/>
          <w:rFonts w:asciiTheme="minorBidi" w:hAnsiTheme="minorBidi"/>
          <w:rtl/>
        </w:rPr>
        <w:footnoteReference w:id="453"/>
      </w:r>
      <w:r w:rsidRPr="00351B7D">
        <w:rPr>
          <w:rFonts w:asciiTheme="minorBidi" w:hAnsiTheme="minorBidi"/>
          <w:rtl/>
        </w:rPr>
        <w:t xml:space="preserve">- אם ראו אותם שנים מן החלון והם רואים ואינם נראים לו אינה צריכה ממנו גט לפי שאדם יודע שהמקדש בינו לבין עצמו שלא בפני עדים אע"פ ששניהם מודים אינה מקודשת. </w:t>
      </w:r>
    </w:p>
    <w:p w14:paraId="4C1D4061"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מה הדין אם האיש או האשה טוענים להד"מ/לשחק רציתי: </w:t>
      </w:r>
    </w:p>
    <w:p w14:paraId="193BB211" w14:textId="77777777" w:rsidR="008E16D0" w:rsidRPr="00351B7D" w:rsidRDefault="008E16D0" w:rsidP="00A8697F">
      <w:pPr>
        <w:pStyle w:val="ab"/>
        <w:numPr>
          <w:ilvl w:val="0"/>
          <w:numId w:val="61"/>
        </w:numPr>
        <w:rPr>
          <w:rFonts w:asciiTheme="minorBidi" w:hAnsiTheme="minorBidi"/>
        </w:rPr>
      </w:pPr>
      <w:r w:rsidRPr="00351B7D">
        <w:rPr>
          <w:rFonts w:asciiTheme="minorBidi" w:hAnsiTheme="minorBidi"/>
          <w:rtl/>
        </w:rPr>
        <w:t>מהר"ם פאדווה</w:t>
      </w:r>
      <w:r w:rsidRPr="00351B7D">
        <w:rPr>
          <w:rStyle w:val="a7"/>
          <w:rFonts w:asciiTheme="minorBidi" w:hAnsiTheme="minorBidi"/>
          <w:rtl/>
        </w:rPr>
        <w:footnoteReference w:id="454"/>
      </w:r>
      <w:r w:rsidRPr="00351B7D">
        <w:rPr>
          <w:rFonts w:asciiTheme="minorBidi" w:hAnsiTheme="minorBidi"/>
          <w:rtl/>
        </w:rPr>
        <w:t>- הא דאע"פ ששניהם מודים לא הוי קידושין אם הכמין עדים היינו דוקא דאמרה ששחקה בו אבל אי אמרה לא היו דברים מעולם הוו קידושין ושוב אינה נאמנת לומר ששחקה בו</w:t>
      </w:r>
      <w:r w:rsidRPr="00351B7D">
        <w:rPr>
          <w:rStyle w:val="a7"/>
          <w:rFonts w:asciiTheme="minorBidi" w:hAnsiTheme="minorBidi"/>
          <w:rtl/>
        </w:rPr>
        <w:footnoteReference w:id="455"/>
      </w:r>
      <w:r w:rsidRPr="00351B7D">
        <w:rPr>
          <w:rFonts w:asciiTheme="minorBidi" w:hAnsiTheme="minorBidi"/>
          <w:rtl/>
        </w:rPr>
        <w:t xml:space="preserve">. </w:t>
      </w:r>
      <w:r w:rsidRPr="00351B7D">
        <w:rPr>
          <w:rFonts w:asciiTheme="minorBidi" w:hAnsiTheme="minorBidi"/>
          <w:color w:val="00B0F0"/>
          <w:rtl/>
        </w:rPr>
        <w:t>(וכ"פ הרמ"א)</w:t>
      </w:r>
    </w:p>
    <w:p w14:paraId="222AEE13" w14:textId="77777777" w:rsidR="008E16D0" w:rsidRPr="00351B7D" w:rsidRDefault="008E16D0" w:rsidP="00A8697F">
      <w:pPr>
        <w:pStyle w:val="ab"/>
        <w:numPr>
          <w:ilvl w:val="0"/>
          <w:numId w:val="61"/>
        </w:numPr>
        <w:rPr>
          <w:rFonts w:asciiTheme="minorBidi" w:hAnsiTheme="minorBidi"/>
        </w:rPr>
      </w:pPr>
      <w:r w:rsidRPr="00351B7D">
        <w:rPr>
          <w:rFonts w:asciiTheme="minorBidi" w:hAnsiTheme="minorBidi"/>
          <w:u w:val="dotted"/>
          <w:rtl/>
        </w:rPr>
        <mc:AlternateContent>
          <mc:Choice Requires="wps">
            <w:drawing>
              <wp:anchor distT="0" distB="0" distL="114300" distR="114300" simplePos="0" relativeHeight="251674624" behindDoc="0" locked="0" layoutInCell="1" allowOverlap="1" wp14:anchorId="5BAB8457" wp14:editId="5E00F1F8">
                <wp:simplePos x="0" y="0"/>
                <wp:positionH relativeFrom="column">
                  <wp:posOffset>4748530</wp:posOffset>
                </wp:positionH>
                <wp:positionV relativeFrom="paragraph">
                  <wp:posOffset>209550</wp:posOffset>
                </wp:positionV>
                <wp:extent cx="45085" cy="94615"/>
                <wp:effectExtent l="19050" t="0" r="31115" b="38735"/>
                <wp:wrapNone/>
                <wp:docPr id="6" name="Down Arrow 6"/>
                <wp:cNvGraphicFramePr/>
                <a:graphic xmlns:a="http://schemas.openxmlformats.org/drawingml/2006/main">
                  <a:graphicData uri="http://schemas.microsoft.com/office/word/2010/wordprocessingShape">
                    <wps:wsp>
                      <wps:cNvSpPr/>
                      <wps:spPr>
                        <a:xfrm>
                          <a:off x="0" y="0"/>
                          <a:ext cx="45085" cy="94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8CAE0FA" id="Down Arrow 6" o:spid="_x0000_s1026" type="#_x0000_t67" style="position:absolute;left:0;text-align:left;margin-left:373.9pt;margin-top:16.5pt;width:3.55pt;height:7.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" adj="16454" fillcolor="black [3200]" strokecolor="black [1600]" strokeweight="2pt"/>
            </w:pict>
          </mc:Fallback>
        </mc:AlternateContent>
      </w:r>
      <w:r w:rsidRPr="00351B7D">
        <w:rPr>
          <w:rFonts w:asciiTheme="minorBidi" w:hAnsiTheme="minorBidi"/>
          <w:rtl/>
        </w:rPr>
        <w:t>מהרי"ט</w:t>
      </w:r>
      <w:r w:rsidRPr="00351B7D">
        <w:rPr>
          <w:rStyle w:val="a7"/>
          <w:rFonts w:asciiTheme="minorBidi" w:hAnsiTheme="minorBidi"/>
          <w:rtl/>
        </w:rPr>
        <w:footnoteReference w:id="456"/>
      </w:r>
      <w:r w:rsidRPr="00351B7D">
        <w:rPr>
          <w:rFonts w:asciiTheme="minorBidi" w:hAnsiTheme="minorBidi"/>
          <w:rtl/>
        </w:rPr>
        <w:t>- כל שלא ראתה העדים אינן קדושין בין טענה לשחק רציתי ובין טענה להד"מ. (וכ"פ ח"מ וב"ש</w:t>
      </w:r>
      <w:r w:rsidRPr="00351B7D">
        <w:rPr>
          <w:rStyle w:val="a7"/>
          <w:rFonts w:asciiTheme="minorBidi" w:hAnsiTheme="minorBidi"/>
          <w:rtl/>
        </w:rPr>
        <w:footnoteReference w:id="457"/>
      </w:r>
      <w:r w:rsidRPr="00351B7D">
        <w:rPr>
          <w:rFonts w:asciiTheme="minorBidi" w:hAnsiTheme="minorBidi"/>
          <w:rtl/>
        </w:rPr>
        <w:t>)</w:t>
      </w:r>
    </w:p>
    <w:p w14:paraId="63FC15B5"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מה הדין אם האיש והאשה אומרים שהתכוונו באמת לשם קדושין: </w:t>
      </w:r>
    </w:p>
    <w:p w14:paraId="58D9B38B" w14:textId="77777777" w:rsidR="008E16D0" w:rsidRPr="00351B7D" w:rsidRDefault="008E16D0" w:rsidP="00A8697F">
      <w:pPr>
        <w:pStyle w:val="ab"/>
        <w:numPr>
          <w:ilvl w:val="0"/>
          <w:numId w:val="61"/>
        </w:numPr>
        <w:rPr>
          <w:rFonts w:asciiTheme="minorBidi" w:hAnsiTheme="minorBidi"/>
        </w:rPr>
      </w:pPr>
      <w:r w:rsidRPr="00351B7D">
        <w:rPr>
          <w:rFonts w:asciiTheme="minorBidi" w:hAnsiTheme="minorBidi"/>
          <w:rtl/>
        </w:rPr>
        <w:t>מהרי"ט</w:t>
      </w:r>
      <w:r w:rsidRPr="00351B7D">
        <w:rPr>
          <w:rFonts w:asciiTheme="minorBidi" w:hAnsiTheme="minorBidi"/>
          <w:sz w:val="16"/>
          <w:szCs w:val="16"/>
          <w:rtl/>
        </w:rPr>
        <w:t xml:space="preserve"> (על הרי"ף קדושין מג.)</w:t>
      </w:r>
      <w:r w:rsidRPr="00351B7D">
        <w:rPr>
          <w:rFonts w:asciiTheme="minorBidi" w:hAnsiTheme="minorBidi"/>
          <w:rtl/>
        </w:rPr>
        <w:t xml:space="preserve">- אינן קדושין. (וכ"פ הב"ש </w:t>
      </w:r>
      <w:r w:rsidRPr="00351B7D">
        <w:rPr>
          <w:rFonts w:asciiTheme="minorBidi" w:hAnsiTheme="minorBidi"/>
          <w:sz w:val="16"/>
          <w:szCs w:val="16"/>
          <w:rtl/>
        </w:rPr>
        <w:t>[סק"י]</w:t>
      </w:r>
      <w:r w:rsidRPr="00351B7D">
        <w:rPr>
          <w:rFonts w:asciiTheme="minorBidi" w:hAnsiTheme="minorBidi"/>
          <w:rtl/>
        </w:rPr>
        <w:t>)</w:t>
      </w:r>
    </w:p>
    <w:p w14:paraId="32C9BFD4" w14:textId="77777777" w:rsidR="008E16D0" w:rsidRPr="00351B7D" w:rsidRDefault="008E16D0" w:rsidP="00A8697F">
      <w:pPr>
        <w:pStyle w:val="ab"/>
        <w:numPr>
          <w:ilvl w:val="0"/>
          <w:numId w:val="61"/>
        </w:numPr>
        <w:rPr>
          <w:rFonts w:asciiTheme="minorBidi" w:hAnsiTheme="minorBidi"/>
          <w:rtl/>
        </w:rPr>
      </w:pPr>
      <w:r w:rsidRPr="00351B7D">
        <w:rPr>
          <w:rFonts w:asciiTheme="minorBidi" w:hAnsiTheme="minorBidi"/>
          <w:color w:val="000000"/>
          <w:rtl/>
        </w:rPr>
        <w:t>(מהר"ם פדוואה</w:t>
      </w:r>
      <w:r w:rsidRPr="00351B7D">
        <w:rPr>
          <w:rFonts w:asciiTheme="minorBidi" w:hAnsiTheme="minorBidi"/>
          <w:color w:val="000000"/>
          <w:sz w:val="16"/>
          <w:szCs w:val="16"/>
          <w:rtl/>
        </w:rPr>
        <w:t xml:space="preserve"> להב' הב"ש </w:t>
      </w:r>
      <w:r w:rsidRPr="00351B7D">
        <w:rPr>
          <w:rFonts w:asciiTheme="minorBidi" w:hAnsiTheme="minorBidi"/>
          <w:sz w:val="14"/>
          <w:szCs w:val="14"/>
          <w:rtl/>
        </w:rPr>
        <w:t>[סק"י]</w:t>
      </w:r>
      <w:r w:rsidRPr="00351B7D">
        <w:rPr>
          <w:rFonts w:asciiTheme="minorBidi" w:hAnsiTheme="minorBidi"/>
          <w:color w:val="000000"/>
          <w:rtl/>
        </w:rPr>
        <w:t>)- מהני</w:t>
      </w:r>
      <w:r w:rsidRPr="00351B7D">
        <w:rPr>
          <w:rStyle w:val="a7"/>
          <w:rFonts w:asciiTheme="minorBidi" w:hAnsiTheme="minorBidi"/>
          <w:color w:val="000000"/>
          <w:rtl/>
        </w:rPr>
        <w:footnoteReference w:id="458"/>
      </w:r>
      <w:r w:rsidRPr="00351B7D">
        <w:rPr>
          <w:rFonts w:asciiTheme="minorBidi" w:hAnsiTheme="minorBidi"/>
          <w:color w:val="000000"/>
          <w:rtl/>
        </w:rPr>
        <w:t>.</w:t>
      </w:r>
    </w:p>
    <w:p w14:paraId="00D0E3D0"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C05417"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צריך שיראו המקדש והמתקדשת את העדים</w:t>
      </w:r>
      <w:r w:rsidRPr="00351B7D">
        <w:rPr>
          <w:rStyle w:val="a7"/>
          <w:rFonts w:asciiTheme="minorBidi" w:hAnsiTheme="minorBidi"/>
          <w:color w:val="000000"/>
          <w:rtl/>
        </w:rPr>
        <w:footnoteReference w:id="459"/>
      </w:r>
      <w:r w:rsidRPr="00351B7D">
        <w:rPr>
          <w:rFonts w:asciiTheme="minorBidi" w:hAnsiTheme="minorBidi"/>
          <w:rtl/>
        </w:rPr>
        <w:t>, אבל אם ראו אותם שנים מהחלון והם רואים ואינם נראים לו או לה אינה צריכה ממנו גט</w:t>
      </w:r>
      <w:r w:rsidRPr="00351B7D">
        <w:rPr>
          <w:rStyle w:val="a7"/>
          <w:rFonts w:asciiTheme="minorBidi" w:hAnsiTheme="minorBidi"/>
          <w:color w:val="000000"/>
          <w:rtl/>
        </w:rPr>
        <w:footnoteReference w:id="460"/>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ואפילו שמעו העדים שאמרה שמקבלת לקדושין יכולה לומר יודעת הייתי</w:t>
      </w:r>
      <w:r w:rsidRPr="00351B7D">
        <w:rPr>
          <w:rStyle w:val="a7"/>
          <w:rFonts w:asciiTheme="minorBidi" w:hAnsiTheme="minorBidi"/>
          <w:color w:val="000000"/>
          <w:sz w:val="18"/>
          <w:szCs w:val="18"/>
          <w:rtl/>
        </w:rPr>
        <w:footnoteReference w:id="461"/>
      </w:r>
      <w:r w:rsidRPr="00351B7D">
        <w:rPr>
          <w:rFonts w:asciiTheme="minorBidi" w:hAnsiTheme="minorBidi"/>
          <w:color w:val="000000"/>
          <w:sz w:val="18"/>
          <w:szCs w:val="18"/>
          <w:rtl/>
        </w:rPr>
        <w:t xml:space="preserve"> שאין קדושין בלא עדים וכוונתי לשחוק בו (ריב"ש סי' רסו). ודוקא שאומרת שכיונה לשחוק בעלמא אבל אם מכחשת שקבלה כלום והעדים מעידים שקבלה שוב אינה נאמנת לומר לשחוק כוונתי והוי קדושין (מהר"ם פאדווה סי' לב). </w:t>
      </w:r>
    </w:p>
    <w:p w14:paraId="3566D2AB" w14:textId="77777777" w:rsidR="008E16D0" w:rsidRPr="00351B7D" w:rsidRDefault="008E16D0" w:rsidP="008E16D0">
      <w:pPr>
        <w:rPr>
          <w:rFonts w:asciiTheme="minorBidi" w:hAnsiTheme="minorBidi"/>
          <w:color w:val="000000"/>
          <w:rtl/>
        </w:rPr>
      </w:pPr>
    </w:p>
    <w:p w14:paraId="44ACC708" w14:textId="77777777" w:rsidR="008E16D0" w:rsidRPr="00351B7D" w:rsidRDefault="008E16D0" w:rsidP="008E16D0">
      <w:pPr>
        <w:pStyle w:val="2"/>
        <w:rPr>
          <w:rFonts w:asciiTheme="minorBidi" w:hAnsiTheme="minorBidi"/>
          <w:rtl/>
        </w:rPr>
      </w:pPr>
      <w:r w:rsidRPr="00351B7D">
        <w:rPr>
          <w:rFonts w:asciiTheme="minorBidi" w:hAnsiTheme="minorBidi"/>
          <w:rtl/>
        </w:rPr>
        <w:t>סעיף ד: קידש אשה בפני עדים ולא אמר 'אתם עדים'.</w:t>
      </w:r>
    </w:p>
    <w:p w14:paraId="335C60BD" w14:textId="77777777" w:rsidR="008E16D0" w:rsidRPr="00351B7D" w:rsidRDefault="008E16D0" w:rsidP="008E16D0">
      <w:pPr>
        <w:rPr>
          <w:rFonts w:asciiTheme="minorBidi" w:hAnsiTheme="minorBidi"/>
          <w:rtl/>
        </w:rPr>
      </w:pPr>
      <w:r w:rsidRPr="00351B7D">
        <w:rPr>
          <w:rFonts w:asciiTheme="minorBidi" w:hAnsiTheme="minorBidi"/>
          <w:b/>
          <w:bCs/>
          <w:rtl/>
        </w:rPr>
        <w:t xml:space="preserve">קדושין מג ע"א: </w:t>
      </w:r>
      <w:r w:rsidRPr="00351B7D">
        <w:rPr>
          <w:rFonts w:asciiTheme="minorBidi" w:hAnsiTheme="minorBidi"/>
          <w:u w:val="single"/>
          <w:rtl/>
        </w:rPr>
        <w:t>רב אמר:</w:t>
      </w:r>
      <w:r w:rsidRPr="00351B7D">
        <w:rPr>
          <w:rFonts w:asciiTheme="minorBidi" w:hAnsiTheme="minorBidi"/>
          <w:rtl/>
        </w:rPr>
        <w:t xml:space="preserve"> שליח נעשה עד, </w:t>
      </w:r>
      <w:r w:rsidRPr="00351B7D">
        <w:rPr>
          <w:rFonts w:asciiTheme="minorBidi" w:hAnsiTheme="minorBidi"/>
          <w:u w:val="single"/>
          <w:rtl/>
        </w:rPr>
        <w:t>דבי רבי שילא אמרי:</w:t>
      </w:r>
      <w:r w:rsidRPr="00351B7D">
        <w:rPr>
          <w:rFonts w:asciiTheme="minorBidi" w:hAnsiTheme="minorBidi"/>
          <w:rtl/>
        </w:rPr>
        <w:t xml:space="preserve"> אין שליח נעשה עד. מ"ט דבי רבי שילא? אילימא משום דלא א"ל הוי לי עד, אלא מעתה, קידש אשה בפני שנים ולא אמר להם אתם עדיי, ה"נ דלא הוו קידושי</w:t>
      </w:r>
      <w:r w:rsidRPr="00351B7D">
        <w:rPr>
          <w:rStyle w:val="a7"/>
          <w:rFonts w:asciiTheme="minorBidi" w:hAnsiTheme="minorBidi"/>
          <w:rtl/>
        </w:rPr>
        <w:footnoteReference w:id="462"/>
      </w:r>
      <w:r w:rsidRPr="00351B7D">
        <w:rPr>
          <w:rFonts w:asciiTheme="minorBidi" w:hAnsiTheme="minorBidi"/>
          <w:rtl/>
        </w:rPr>
        <w:t xml:space="preserve">? אלא... </w:t>
      </w:r>
      <w:r w:rsidRPr="00351B7D">
        <w:rPr>
          <w:rFonts w:asciiTheme="minorBidi" w:hAnsiTheme="minorBidi"/>
          <w:color w:val="000000"/>
          <w:sz w:val="16"/>
          <w:szCs w:val="16"/>
          <w:rtl/>
        </w:rPr>
        <w:t xml:space="preserve">(משמע דאם קידש בפני עדים אפילו לא אמר להם אתם עדי שפיר דמי, כ"כ הטור והרמב"ם </w:t>
      </w:r>
      <w:r w:rsidRPr="00351B7D">
        <w:rPr>
          <w:rFonts w:asciiTheme="minorBidi" w:hAnsiTheme="minorBidi"/>
          <w:sz w:val="14"/>
          <w:szCs w:val="14"/>
          <w:rtl/>
        </w:rPr>
        <w:t>(פ"ג מה"א ה"ח)</w:t>
      </w:r>
      <w:r w:rsidRPr="00351B7D">
        <w:rPr>
          <w:rFonts w:asciiTheme="minorBidi" w:hAnsiTheme="minorBidi"/>
          <w:sz w:val="16"/>
          <w:szCs w:val="16"/>
          <w:rtl/>
        </w:rPr>
        <w:t xml:space="preserve"> </w:t>
      </w:r>
      <w:r w:rsidRPr="00351B7D">
        <w:rPr>
          <w:rFonts w:asciiTheme="minorBidi" w:hAnsiTheme="minorBidi"/>
          <w:color w:val="E36C0A" w:themeColor="accent6" w:themeShade="BF"/>
          <w:sz w:val="16"/>
          <w:szCs w:val="16"/>
          <w:rtl/>
        </w:rPr>
        <w:t>(וכ"פ בשו"ע)</w:t>
      </w:r>
      <w:r w:rsidRPr="00351B7D">
        <w:rPr>
          <w:rFonts w:asciiTheme="minorBidi" w:hAnsiTheme="minorBidi"/>
          <w:sz w:val="16"/>
          <w:szCs w:val="16"/>
          <w:rtl/>
        </w:rPr>
        <w:t xml:space="preserve">, וכ"כ הריב"ש </w:t>
      </w:r>
      <w:r w:rsidRPr="00351B7D">
        <w:rPr>
          <w:rFonts w:asciiTheme="minorBidi" w:hAnsiTheme="minorBidi"/>
          <w:sz w:val="14"/>
          <w:szCs w:val="14"/>
          <w:rtl/>
        </w:rPr>
        <w:t>(סי' תעט)</w:t>
      </w:r>
      <w:r w:rsidRPr="00351B7D">
        <w:rPr>
          <w:rFonts w:asciiTheme="minorBidi" w:hAnsiTheme="minorBidi"/>
          <w:color w:val="000000"/>
          <w:sz w:val="16"/>
          <w:szCs w:val="16"/>
          <w:rtl/>
        </w:rPr>
        <w:t xml:space="preserve">, </w:t>
      </w:r>
      <w:r w:rsidRPr="00351B7D">
        <w:rPr>
          <w:rFonts w:asciiTheme="minorBidi" w:hAnsiTheme="minorBidi"/>
          <w:color w:val="000000"/>
          <w:sz w:val="16"/>
          <w:szCs w:val="16"/>
          <w:rtl/>
        </w:rPr>
        <w:lastRenderedPageBreak/>
        <w:t>והוסיף דמכיון שכן אף כשהוזמנו שנים לעדות קידושין יכולים להעיד אותם שלא הוזמנו</w:t>
      </w:r>
      <w:r w:rsidRPr="00351B7D">
        <w:rPr>
          <w:rFonts w:asciiTheme="minorBidi" w:hAnsiTheme="minorBidi"/>
          <w:color w:val="00B0F0"/>
          <w:sz w:val="16"/>
          <w:szCs w:val="16"/>
          <w:rtl/>
        </w:rPr>
        <w:t xml:space="preserve"> (וכ"פ הרמ"א)</w:t>
      </w:r>
      <w:r w:rsidRPr="00351B7D">
        <w:rPr>
          <w:rFonts w:asciiTheme="minorBidi" w:hAnsiTheme="minorBidi"/>
          <w:color w:val="000000"/>
          <w:sz w:val="16"/>
          <w:szCs w:val="16"/>
          <w:rtl/>
        </w:rPr>
        <w:t xml:space="preserve">, וכ' עוד דאע"פ פי שיש הכחשה בין שתי הכתות מ"מ כיון שכולם שוים שהיא מקודשת הרי היא מקודשת) </w:t>
      </w:r>
    </w:p>
    <w:p w14:paraId="79F7FC89" w14:textId="77777777" w:rsidR="008E16D0" w:rsidRPr="00351B7D" w:rsidRDefault="008E16D0" w:rsidP="008E16D0">
      <w:pPr>
        <w:rPr>
          <w:rFonts w:asciiTheme="minorBidi" w:hAnsiTheme="minorBidi"/>
          <w:rtl/>
        </w:rPr>
      </w:pPr>
      <w:r w:rsidRPr="00351B7D">
        <w:rPr>
          <w:rFonts w:asciiTheme="minorBidi" w:hAnsiTheme="minorBidi"/>
          <w:b/>
          <w:bCs/>
          <w:rtl/>
        </w:rPr>
        <w:t xml:space="preserve">יבמות קכב ע"ב: </w:t>
      </w:r>
      <w:r w:rsidRPr="00351B7D">
        <w:rPr>
          <w:rFonts w:asciiTheme="minorBidi" w:hAnsiTheme="minorBidi"/>
          <w:rtl/>
        </w:rPr>
        <w:t>דתניא: אין בודקין עדי נשים בדרישה</w:t>
      </w:r>
      <w:r w:rsidRPr="00351B7D">
        <w:rPr>
          <w:rStyle w:val="a7"/>
          <w:rFonts w:asciiTheme="minorBidi" w:hAnsiTheme="minorBidi"/>
          <w:rtl/>
        </w:rPr>
        <w:footnoteReference w:id="463"/>
      </w:r>
      <w:r w:rsidRPr="00351B7D">
        <w:rPr>
          <w:rFonts w:asciiTheme="minorBidi" w:hAnsiTheme="minorBidi"/>
          <w:rtl/>
        </w:rPr>
        <w:t xml:space="preserve"> וחקירה</w:t>
      </w:r>
      <w:r w:rsidRPr="00351B7D">
        <w:rPr>
          <w:rStyle w:val="a7"/>
          <w:rFonts w:asciiTheme="minorBidi" w:hAnsiTheme="minorBidi"/>
          <w:rtl/>
        </w:rPr>
        <w:footnoteReference w:id="464"/>
      </w:r>
      <w:r w:rsidRPr="00351B7D">
        <w:rPr>
          <w:rFonts w:asciiTheme="minorBidi" w:hAnsiTheme="minorBidi"/>
          <w:rtl/>
        </w:rPr>
        <w:t xml:space="preserve">, </w:t>
      </w:r>
      <w:r w:rsidRPr="00351B7D">
        <w:rPr>
          <w:rFonts w:asciiTheme="minorBidi" w:hAnsiTheme="minorBidi"/>
          <w:u w:val="single"/>
          <w:rtl/>
        </w:rPr>
        <w:t>דברי ר"ע</w:t>
      </w:r>
      <w:r w:rsidRPr="00351B7D">
        <w:rPr>
          <w:rFonts w:asciiTheme="minorBidi" w:hAnsiTheme="minorBidi"/>
          <w:rtl/>
        </w:rPr>
        <w:t xml:space="preserve">, </w:t>
      </w:r>
      <w:r w:rsidRPr="00351B7D">
        <w:rPr>
          <w:rFonts w:asciiTheme="minorBidi" w:hAnsiTheme="minorBidi"/>
          <w:u w:val="single"/>
          <w:rtl/>
        </w:rPr>
        <w:t>רבי טרפון אומר</w:t>
      </w:r>
      <w:r w:rsidRPr="00351B7D">
        <w:rPr>
          <w:rFonts w:asciiTheme="minorBidi" w:hAnsiTheme="minorBidi"/>
          <w:rtl/>
        </w:rPr>
        <w:t>: בודקין. וקמיפלגי בדר' חנינא, דאמר רבי חנינא: דבר תורה, אחד דיני ממונות ואחד דיני נפשות בדרישה וחקירה, שנאמר: משפט אחד יהיה לכם</w:t>
      </w:r>
      <w:r w:rsidRPr="00351B7D">
        <w:rPr>
          <w:rStyle w:val="a7"/>
          <w:rFonts w:asciiTheme="minorBidi" w:hAnsiTheme="minorBidi"/>
          <w:rtl/>
        </w:rPr>
        <w:footnoteReference w:id="465"/>
      </w:r>
      <w:r w:rsidRPr="00351B7D">
        <w:rPr>
          <w:rFonts w:asciiTheme="minorBidi" w:hAnsiTheme="minorBidi"/>
          <w:rtl/>
        </w:rPr>
        <w:t>, ומה טעם אמרו דיני ממונות אין צריכין דרישה וחקירה? שלא תנעול דלת בפני לוין. ובמאי קמיפלגי? מר סבר: כיון דאיכא כתובה למשקל</w:t>
      </w:r>
      <w:r w:rsidRPr="00351B7D">
        <w:rPr>
          <w:rStyle w:val="a7"/>
          <w:rFonts w:asciiTheme="minorBidi" w:hAnsiTheme="minorBidi"/>
          <w:rtl/>
        </w:rPr>
        <w:footnoteReference w:id="466"/>
      </w:r>
      <w:r w:rsidRPr="00351B7D">
        <w:rPr>
          <w:rFonts w:asciiTheme="minorBidi" w:hAnsiTheme="minorBidi"/>
          <w:rtl/>
        </w:rPr>
        <w:t xml:space="preserve"> - כדיני ממונות דמי, ומר סבר: כיון דקא שרינן אשת איש לעלמא - כדיני נפשות דמי</w:t>
      </w:r>
      <w:r w:rsidRPr="00351B7D">
        <w:rPr>
          <w:rStyle w:val="a7"/>
          <w:rFonts w:asciiTheme="minorBidi" w:hAnsiTheme="minorBidi"/>
          <w:rtl/>
        </w:rPr>
        <w:footnoteReference w:id="467"/>
      </w:r>
      <w:r w:rsidRPr="00351B7D">
        <w:rPr>
          <w:rFonts w:asciiTheme="minorBidi" w:hAnsiTheme="minorBidi"/>
          <w:rtl/>
        </w:rPr>
        <w:t>.</w:t>
      </w:r>
    </w:p>
    <w:p w14:paraId="39A017B8"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b/>
          <w:bCs/>
          <w:rtl/>
        </w:rPr>
        <w:t>סנהדרין ב סע"ב:</w:t>
      </w:r>
      <w:r w:rsidRPr="00351B7D">
        <w:rPr>
          <w:rFonts w:asciiTheme="minorBidi" w:hAnsiTheme="minorBidi"/>
          <w:rtl/>
        </w:rPr>
        <w:t xml:space="preserve"> והאי דלא בעינן מומחין</w:t>
      </w:r>
      <w:r w:rsidRPr="00351B7D">
        <w:rPr>
          <w:rStyle w:val="a7"/>
          <w:rFonts w:asciiTheme="minorBidi" w:hAnsiTheme="minorBidi"/>
          <w:rtl/>
        </w:rPr>
        <w:footnoteReference w:id="468"/>
      </w:r>
      <w:r w:rsidRPr="00351B7D">
        <w:rPr>
          <w:rFonts w:asciiTheme="minorBidi" w:hAnsiTheme="minorBidi"/>
          <w:rtl/>
        </w:rPr>
        <w:t xml:space="preserve"> - משום דרבי חנינא</w:t>
      </w:r>
      <w:r w:rsidRPr="00351B7D">
        <w:rPr>
          <w:rStyle w:val="a7"/>
          <w:rFonts w:asciiTheme="minorBidi" w:hAnsiTheme="minorBidi"/>
          <w:rtl/>
        </w:rPr>
        <w:footnoteReference w:id="469"/>
      </w:r>
      <w:r w:rsidRPr="00351B7D">
        <w:rPr>
          <w:rFonts w:asciiTheme="minorBidi" w:hAnsiTheme="minorBidi"/>
          <w:rtl/>
        </w:rPr>
        <w:t>, דאמר רבי חנינא: דבר תורה אחד דיני ממונות ואחד דיני נפשות בדרישה ובחקירה שנאמר משפט אחד יהיה לכם</w:t>
      </w:r>
      <w:r w:rsidRPr="00351B7D">
        <w:rPr>
          <w:rStyle w:val="a7"/>
          <w:rFonts w:asciiTheme="minorBidi" w:hAnsiTheme="minorBidi"/>
          <w:rtl/>
        </w:rPr>
        <w:footnoteReference w:id="470"/>
      </w:r>
      <w:r w:rsidRPr="00351B7D">
        <w:rPr>
          <w:rFonts w:asciiTheme="minorBidi" w:hAnsiTheme="minorBidi"/>
          <w:rtl/>
        </w:rPr>
        <w:t>, ומה טעם אמרו דיני ממונות לא בעינן דרישה וחקירה - כדי שלא תנעול דלת</w:t>
      </w:r>
      <w:r w:rsidRPr="00351B7D">
        <w:rPr>
          <w:rStyle w:val="a7"/>
          <w:rFonts w:asciiTheme="minorBidi" w:hAnsiTheme="minorBidi"/>
          <w:rtl/>
        </w:rPr>
        <w:footnoteReference w:id="471"/>
      </w:r>
      <w:r w:rsidRPr="00351B7D">
        <w:rPr>
          <w:rFonts w:asciiTheme="minorBidi" w:hAnsiTheme="minorBidi"/>
          <w:rtl/>
        </w:rPr>
        <w:t xml:space="preserve"> בפני לווין.</w:t>
      </w:r>
      <w:r w:rsidRPr="00351B7D">
        <w:rPr>
          <w:rFonts w:asciiTheme="minorBidi" w:hAnsiTheme="minorBidi"/>
          <w:color w:val="000000"/>
          <w:sz w:val="16"/>
          <w:szCs w:val="16"/>
          <w:rtl/>
        </w:rPr>
        <w:t xml:space="preserve"> </w:t>
      </w:r>
    </w:p>
    <w:p w14:paraId="4DBAC2BD" w14:textId="77777777" w:rsidR="008E16D0" w:rsidRPr="00351B7D" w:rsidRDefault="008E16D0" w:rsidP="008E16D0">
      <w:pPr>
        <w:rPr>
          <w:rFonts w:asciiTheme="minorBidi" w:hAnsiTheme="minorBidi"/>
          <w:u w:val="single"/>
          <w:rtl/>
        </w:rPr>
      </w:pPr>
      <w:r w:rsidRPr="00351B7D">
        <w:rPr>
          <w:rFonts w:asciiTheme="minorBidi" w:hAnsiTheme="minorBidi"/>
          <w:b/>
          <w:bCs/>
          <w:rtl/>
        </w:rPr>
        <w:t xml:space="preserve">גיטין פח ע"ב: </w:t>
      </w:r>
      <w:r w:rsidRPr="00351B7D">
        <w:rPr>
          <w:rFonts w:asciiTheme="minorBidi" w:hAnsiTheme="minorBidi"/>
          <w:rtl/>
        </w:rPr>
        <w:t>אביי אשכחיה לרב יוסף דיתיב וקא מעשה אגיטי</w:t>
      </w:r>
      <w:r w:rsidRPr="00351B7D">
        <w:rPr>
          <w:rStyle w:val="a7"/>
          <w:rFonts w:asciiTheme="minorBidi" w:hAnsiTheme="minorBidi"/>
          <w:rtl/>
        </w:rPr>
        <w:footnoteReference w:id="472"/>
      </w:r>
      <w:r w:rsidRPr="00351B7D">
        <w:rPr>
          <w:rFonts w:asciiTheme="minorBidi" w:hAnsiTheme="minorBidi"/>
          <w:rtl/>
        </w:rPr>
        <w:t>, א"ל: והא אנן הדיוטות אנן</w:t>
      </w:r>
      <w:r w:rsidRPr="00351B7D">
        <w:rPr>
          <w:rStyle w:val="a7"/>
          <w:rFonts w:asciiTheme="minorBidi" w:hAnsiTheme="minorBidi"/>
          <w:rtl/>
        </w:rPr>
        <w:footnoteReference w:id="473"/>
      </w:r>
      <w:r w:rsidRPr="00351B7D">
        <w:rPr>
          <w:rFonts w:asciiTheme="minorBidi" w:hAnsiTheme="minorBidi"/>
          <w:rtl/>
        </w:rPr>
        <w:t>, ותניא, היה ר"ט אומר: כל מקום שאתה מוצא אגוריאות</w:t>
      </w:r>
      <w:r w:rsidRPr="00351B7D">
        <w:rPr>
          <w:rStyle w:val="a7"/>
          <w:rFonts w:asciiTheme="minorBidi" w:hAnsiTheme="minorBidi"/>
          <w:rtl/>
        </w:rPr>
        <w:footnoteReference w:id="474"/>
      </w:r>
      <w:r w:rsidRPr="00351B7D">
        <w:rPr>
          <w:rFonts w:asciiTheme="minorBidi" w:hAnsiTheme="minorBidi"/>
          <w:rtl/>
        </w:rPr>
        <w:t xml:space="preserve"> של עובדי כוכבים, אף על פי שדיניהם כדיני ישראל, אי אתה רשאי להיזקק להם, שנאמר: ואלה המשפטים אשר תשים לפניהם, לפניהם</w:t>
      </w:r>
      <w:r w:rsidRPr="00351B7D">
        <w:rPr>
          <w:rStyle w:val="a7"/>
          <w:rFonts w:asciiTheme="minorBidi" w:hAnsiTheme="minorBidi"/>
          <w:rtl/>
        </w:rPr>
        <w:footnoteReference w:id="475"/>
      </w:r>
      <w:r w:rsidRPr="00351B7D">
        <w:rPr>
          <w:rFonts w:asciiTheme="minorBidi" w:hAnsiTheme="minorBidi"/>
          <w:rtl/>
        </w:rPr>
        <w:t xml:space="preserve"> ולא לפני עובדי כוכבים, דבר אחר: לפניהם - ולא לפני הדיוטות! א"ל: אנן שליחותייהו</w:t>
      </w:r>
      <w:r w:rsidRPr="00351B7D">
        <w:rPr>
          <w:rStyle w:val="a7"/>
          <w:rFonts w:asciiTheme="minorBidi" w:hAnsiTheme="minorBidi"/>
          <w:rtl/>
        </w:rPr>
        <w:footnoteReference w:id="476"/>
      </w:r>
      <w:r w:rsidRPr="00351B7D">
        <w:rPr>
          <w:rFonts w:asciiTheme="minorBidi" w:hAnsiTheme="minorBidi"/>
          <w:rtl/>
        </w:rPr>
        <w:t xml:space="preserve"> קא עבדינן</w:t>
      </w:r>
      <w:r w:rsidRPr="00351B7D">
        <w:rPr>
          <w:rStyle w:val="a7"/>
          <w:rFonts w:asciiTheme="minorBidi" w:hAnsiTheme="minorBidi"/>
          <w:rtl/>
        </w:rPr>
        <w:footnoteReference w:id="477"/>
      </w:r>
      <w:r w:rsidRPr="00351B7D">
        <w:rPr>
          <w:rFonts w:asciiTheme="minorBidi" w:hAnsiTheme="minorBidi"/>
          <w:rtl/>
        </w:rPr>
        <w:t>, מידי דהוה אהודאות והלואות</w:t>
      </w:r>
      <w:r w:rsidRPr="00351B7D">
        <w:rPr>
          <w:rStyle w:val="a7"/>
          <w:rFonts w:asciiTheme="minorBidi" w:hAnsiTheme="minorBidi"/>
          <w:rtl/>
        </w:rPr>
        <w:footnoteReference w:id="478"/>
      </w:r>
      <w:r w:rsidRPr="00351B7D">
        <w:rPr>
          <w:rFonts w:asciiTheme="minorBidi" w:hAnsiTheme="minorBidi"/>
          <w:rtl/>
        </w:rPr>
        <w:t>. אי הכי, גזילות וחבלות נמי</w:t>
      </w:r>
      <w:r w:rsidRPr="00351B7D">
        <w:rPr>
          <w:rStyle w:val="a7"/>
          <w:rFonts w:asciiTheme="minorBidi" w:hAnsiTheme="minorBidi"/>
          <w:rtl/>
        </w:rPr>
        <w:footnoteReference w:id="479"/>
      </w:r>
      <w:r w:rsidRPr="00351B7D">
        <w:rPr>
          <w:rFonts w:asciiTheme="minorBidi" w:hAnsiTheme="minorBidi"/>
          <w:rtl/>
        </w:rPr>
        <w:t>! כי עבדינן שליחותייהו - במילתא דשכיחא</w:t>
      </w:r>
      <w:r w:rsidRPr="00351B7D">
        <w:rPr>
          <w:rStyle w:val="a7"/>
          <w:rFonts w:asciiTheme="minorBidi" w:hAnsiTheme="minorBidi"/>
          <w:rtl/>
        </w:rPr>
        <w:footnoteReference w:id="480"/>
      </w:r>
      <w:r w:rsidRPr="00351B7D">
        <w:rPr>
          <w:rFonts w:asciiTheme="minorBidi" w:hAnsiTheme="minorBidi"/>
          <w:rtl/>
        </w:rPr>
        <w:t xml:space="preserve">, במילתא דלא שכיחא - לא עבדינן שליחותייהו. </w:t>
      </w:r>
      <w:r w:rsidRPr="00351B7D">
        <w:rPr>
          <w:rFonts w:asciiTheme="minorBidi" w:hAnsiTheme="minorBidi"/>
          <w:color w:val="000000"/>
          <w:sz w:val="16"/>
          <w:szCs w:val="16"/>
          <w:rtl/>
        </w:rPr>
        <w:t xml:space="preserve">(וכ' הריב"ש </w:t>
      </w:r>
      <w:r w:rsidRPr="00351B7D">
        <w:rPr>
          <w:rFonts w:asciiTheme="minorBidi" w:hAnsiTheme="minorBidi"/>
          <w:color w:val="000000"/>
          <w:sz w:val="14"/>
          <w:szCs w:val="14"/>
          <w:rtl/>
        </w:rPr>
        <w:t>(סי' קצג סוף דיבור ראשון)</w:t>
      </w:r>
      <w:r w:rsidRPr="00351B7D">
        <w:rPr>
          <w:rFonts w:asciiTheme="minorBidi" w:hAnsiTheme="minorBidi"/>
          <w:color w:val="000000"/>
          <w:sz w:val="16"/>
          <w:szCs w:val="16"/>
          <w:rtl/>
        </w:rPr>
        <w:t xml:space="preserve"> דמהני סוגיות משמע דאין בודקין עידי נשים בדרישה וחקירה דלדיני ממונות מדמינן להו וה"ה לכל דיני קידושין וגירושין דהא טעמא דשלא תנעול דלת בפני לווין איתיה נמי בגיטין וקידושין)</w:t>
      </w:r>
    </w:p>
    <w:p w14:paraId="10CD9EC9" w14:textId="77777777" w:rsidR="008E16D0" w:rsidRPr="00351B7D" w:rsidRDefault="008E16D0" w:rsidP="008E16D0">
      <w:pPr>
        <w:rPr>
          <w:rFonts w:asciiTheme="minorBidi" w:hAnsiTheme="minorBidi"/>
          <w:u w:val="single"/>
          <w:rtl/>
        </w:rPr>
      </w:pPr>
      <w:r w:rsidRPr="00351B7D">
        <w:rPr>
          <w:rFonts w:asciiTheme="minorBidi" w:hAnsiTheme="minorBidi"/>
          <w:u w:val="single"/>
          <w:rtl/>
        </w:rPr>
        <w:t>דרישה וחקירה של עדי נשים:</w:t>
      </w:r>
    </w:p>
    <w:p w14:paraId="3B513B7E" w14:textId="77777777" w:rsidR="008E16D0" w:rsidRPr="00351B7D" w:rsidRDefault="008E16D0" w:rsidP="00A8697F">
      <w:pPr>
        <w:pStyle w:val="ab"/>
        <w:numPr>
          <w:ilvl w:val="0"/>
          <w:numId w:val="58"/>
        </w:numPr>
        <w:rPr>
          <w:rFonts w:asciiTheme="minorBidi" w:hAnsiTheme="minorBidi"/>
        </w:rPr>
      </w:pPr>
      <w:r w:rsidRPr="00351B7D">
        <w:rPr>
          <w:rFonts w:asciiTheme="minorBidi" w:hAnsiTheme="minorBidi"/>
          <w:u w:val="dotted"/>
          <w:rtl/>
        </w:rPr>
        <mc:AlternateContent>
          <mc:Choice Requires="wps">
            <w:drawing>
              <wp:anchor distT="0" distB="0" distL="114300" distR="114300" simplePos="0" relativeHeight="251668480" behindDoc="0" locked="0" layoutInCell="1" allowOverlap="1" wp14:anchorId="654F944D" wp14:editId="38F94CAD">
                <wp:simplePos x="0" y="0"/>
                <wp:positionH relativeFrom="column">
                  <wp:posOffset>4794885</wp:posOffset>
                </wp:positionH>
                <wp:positionV relativeFrom="paragraph">
                  <wp:posOffset>402449</wp:posOffset>
                </wp:positionV>
                <wp:extent cx="45085" cy="94615"/>
                <wp:effectExtent l="19050" t="0" r="31115" b="38735"/>
                <wp:wrapNone/>
                <wp:docPr id="11" name="Down Arrow 11"/>
                <wp:cNvGraphicFramePr/>
                <a:graphic xmlns:a="http://schemas.openxmlformats.org/drawingml/2006/main">
                  <a:graphicData uri="http://schemas.microsoft.com/office/word/2010/wordprocessingShape">
                    <wps:wsp>
                      <wps:cNvSpPr/>
                      <wps:spPr>
                        <a:xfrm>
                          <a:off x="0" y="0"/>
                          <a:ext cx="45085" cy="94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4A308E8" id="Down Arrow 11" o:spid="_x0000_s1026" type="#_x0000_t67" style="position:absolute;left:0;text-align:left;margin-left:377.55pt;margin-top:31.7pt;width:3.55pt;height:7.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" adj="16454" fillcolor="black [3200]" strokecolor="black [1600]" strokeweight="2pt"/>
            </w:pict>
          </mc:Fallback>
        </mc:AlternateContent>
      </w:r>
      <w:r w:rsidRPr="00351B7D">
        <w:rPr>
          <w:rFonts w:asciiTheme="minorBidi" w:hAnsiTheme="minorBidi"/>
          <w:rtl/>
        </w:rPr>
        <w:t>גאונים רמב"ם רמב"ן רשב"א ריב"ש ונמוק"י</w:t>
      </w:r>
      <w:r w:rsidRPr="00351B7D">
        <w:rPr>
          <w:rStyle w:val="a7"/>
          <w:rFonts w:asciiTheme="minorBidi" w:hAnsiTheme="minorBidi"/>
          <w:rtl/>
        </w:rPr>
        <w:footnoteReference w:id="481"/>
      </w:r>
      <w:r w:rsidRPr="00351B7D">
        <w:rPr>
          <w:rFonts w:asciiTheme="minorBidi" w:hAnsiTheme="minorBidi"/>
          <w:rtl/>
        </w:rPr>
        <w:t>- אין בודקין עידי נשים בדרישה וחקירה בין בגירושין בין בקידושין דקיי"ל כר' עקיבא</w:t>
      </w:r>
      <w:r w:rsidRPr="00351B7D">
        <w:rPr>
          <w:rStyle w:val="a7"/>
          <w:rFonts w:asciiTheme="minorBidi" w:hAnsiTheme="minorBidi"/>
          <w:rtl/>
        </w:rPr>
        <w:footnoteReference w:id="482"/>
      </w:r>
      <w:r w:rsidRPr="00351B7D">
        <w:rPr>
          <w:rFonts w:asciiTheme="minorBidi" w:hAnsiTheme="minorBidi"/>
          <w:rtl/>
        </w:rPr>
        <w:t xml:space="preserve">. </w:t>
      </w:r>
    </w:p>
    <w:p w14:paraId="36642CA3" w14:textId="77777777" w:rsidR="008E16D0" w:rsidRPr="00351B7D" w:rsidRDefault="008E16D0" w:rsidP="008E16D0">
      <w:pPr>
        <w:ind w:left="360"/>
        <w:rPr>
          <w:rFonts w:asciiTheme="minorBidi" w:hAnsiTheme="minorBidi"/>
          <w:u w:val="dotted"/>
        </w:rPr>
      </w:pPr>
      <w:r w:rsidRPr="00351B7D">
        <w:rPr>
          <w:rFonts w:asciiTheme="minorBidi" w:hAnsiTheme="minorBidi"/>
          <w:u w:val="dotted"/>
          <w:rtl/>
        </w:rPr>
        <w:t>מקרים יוצאי דופן שבהם כן צריך לעשות דרישה וחקירה לעידי נשים:</w:t>
      </w:r>
    </w:p>
    <w:p w14:paraId="3C113737" w14:textId="77777777" w:rsidR="008E16D0" w:rsidRPr="00351B7D" w:rsidRDefault="008E16D0" w:rsidP="00A8697F">
      <w:pPr>
        <w:pStyle w:val="ab"/>
        <w:numPr>
          <w:ilvl w:val="0"/>
          <w:numId w:val="58"/>
        </w:numPr>
        <w:rPr>
          <w:rFonts w:asciiTheme="minorBidi" w:hAnsiTheme="minorBidi"/>
        </w:rPr>
      </w:pPr>
      <w:r w:rsidRPr="00351B7D">
        <w:rPr>
          <w:rFonts w:asciiTheme="minorBidi" w:hAnsiTheme="minorBidi"/>
          <w:rtl/>
        </w:rPr>
        <w:t>מרדכי ורשב"א</w:t>
      </w:r>
      <w:r w:rsidRPr="00351B7D">
        <w:rPr>
          <w:rStyle w:val="a7"/>
          <w:rFonts w:asciiTheme="minorBidi" w:hAnsiTheme="minorBidi"/>
          <w:rtl/>
        </w:rPr>
        <w:footnoteReference w:id="483"/>
      </w:r>
      <w:r w:rsidRPr="00351B7D">
        <w:rPr>
          <w:rFonts w:asciiTheme="minorBidi" w:hAnsiTheme="minorBidi"/>
          <w:rtl/>
        </w:rPr>
        <w:t>- בדין מרומה</w:t>
      </w:r>
      <w:r w:rsidRPr="00351B7D">
        <w:rPr>
          <w:rStyle w:val="a7"/>
          <w:rFonts w:asciiTheme="minorBidi" w:hAnsiTheme="minorBidi"/>
          <w:rtl/>
        </w:rPr>
        <w:footnoteReference w:id="484"/>
      </w:r>
      <w:r w:rsidRPr="00351B7D">
        <w:rPr>
          <w:rFonts w:asciiTheme="minorBidi" w:hAnsiTheme="minorBidi"/>
          <w:rtl/>
        </w:rPr>
        <w:t xml:space="preserve"> בעי' דרישה וחקירה אף בקידושין וגירושין</w:t>
      </w:r>
      <w:r w:rsidRPr="00351B7D">
        <w:rPr>
          <w:rStyle w:val="a7"/>
          <w:rFonts w:asciiTheme="minorBidi" w:hAnsiTheme="minorBidi"/>
          <w:rtl/>
        </w:rPr>
        <w:footnoteReference w:id="485"/>
      </w:r>
      <w:r w:rsidRPr="00351B7D">
        <w:rPr>
          <w:rFonts w:asciiTheme="minorBidi" w:hAnsiTheme="minorBidi"/>
          <w:sz w:val="16"/>
          <w:szCs w:val="16"/>
          <w:rtl/>
        </w:rPr>
        <w:t xml:space="preserve"> (כר"ל </w:t>
      </w:r>
      <w:r w:rsidRPr="00351B7D">
        <w:rPr>
          <w:rFonts w:asciiTheme="minorBidi" w:hAnsiTheme="minorBidi"/>
          <w:sz w:val="14"/>
          <w:szCs w:val="14"/>
          <w:rtl/>
        </w:rPr>
        <w:t>[סנהדרין לב:]</w:t>
      </w:r>
      <w:r w:rsidRPr="00351B7D">
        <w:rPr>
          <w:rFonts w:asciiTheme="minorBidi" w:hAnsiTheme="minorBidi"/>
          <w:sz w:val="16"/>
          <w:szCs w:val="16"/>
          <w:rtl/>
        </w:rPr>
        <w:t>)</w:t>
      </w:r>
      <w:r w:rsidRPr="00351B7D">
        <w:rPr>
          <w:rFonts w:asciiTheme="minorBidi" w:hAnsiTheme="minorBidi"/>
          <w:rtl/>
        </w:rPr>
        <w:t>.</w:t>
      </w:r>
      <w:r w:rsidRPr="00351B7D">
        <w:rPr>
          <w:rFonts w:asciiTheme="minorBidi" w:hAnsiTheme="minorBidi"/>
          <w:color w:val="00B0F0"/>
          <w:rtl/>
        </w:rPr>
        <w:t xml:space="preserve"> (וכ"פ הרמ"א)</w:t>
      </w:r>
    </w:p>
    <w:p w14:paraId="7B801630" w14:textId="77777777" w:rsidR="008E16D0" w:rsidRPr="00351B7D" w:rsidRDefault="008E16D0" w:rsidP="00A8697F">
      <w:pPr>
        <w:pStyle w:val="ab"/>
        <w:numPr>
          <w:ilvl w:val="0"/>
          <w:numId w:val="58"/>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(סנהדרין סי' תשיא) </w:t>
      </w:r>
      <w:r w:rsidRPr="00351B7D">
        <w:rPr>
          <w:rFonts w:asciiTheme="minorBidi" w:hAnsiTheme="minorBidi"/>
          <w:rtl/>
        </w:rPr>
        <w:t>בשם ר"י- במקרה שהאשה מכחישה את העדים</w:t>
      </w:r>
      <w:r w:rsidRPr="00351B7D">
        <w:rPr>
          <w:rStyle w:val="a7"/>
          <w:rFonts w:asciiTheme="minorBidi" w:hAnsiTheme="minorBidi"/>
          <w:rtl/>
        </w:rPr>
        <w:footnoteReference w:id="486"/>
      </w:r>
      <w:r w:rsidRPr="00351B7D">
        <w:rPr>
          <w:rFonts w:asciiTheme="minorBidi" w:hAnsiTheme="minorBidi"/>
          <w:rtl/>
        </w:rPr>
        <w:t xml:space="preserve">. (וכ"כ הב"ש </w:t>
      </w:r>
      <w:r w:rsidRPr="00351B7D">
        <w:rPr>
          <w:rFonts w:asciiTheme="minorBidi" w:hAnsiTheme="minorBidi"/>
          <w:sz w:val="16"/>
          <w:szCs w:val="16"/>
          <w:rtl/>
        </w:rPr>
        <w:t>[סקי"ד]</w:t>
      </w:r>
      <w:r w:rsidRPr="00351B7D">
        <w:rPr>
          <w:rFonts w:asciiTheme="minorBidi" w:hAnsiTheme="minorBidi"/>
          <w:rtl/>
        </w:rPr>
        <w:t>)</w:t>
      </w:r>
    </w:p>
    <w:p w14:paraId="7BE02E23" w14:textId="77777777" w:rsidR="008E16D0" w:rsidRPr="00351B7D" w:rsidRDefault="008E16D0" w:rsidP="00A8697F">
      <w:pPr>
        <w:pStyle w:val="ab"/>
        <w:numPr>
          <w:ilvl w:val="0"/>
          <w:numId w:val="58"/>
        </w:numPr>
        <w:rPr>
          <w:rFonts w:asciiTheme="minorBidi" w:hAnsiTheme="minorBidi"/>
        </w:rPr>
      </w:pPr>
      <w:r w:rsidRPr="00351B7D">
        <w:rPr>
          <w:rFonts w:asciiTheme="minorBidi" w:hAnsiTheme="minorBidi"/>
          <w:rtl/>
        </w:rPr>
        <w:t xml:space="preserve">רדב"ז </w:t>
      </w:r>
      <w:r w:rsidRPr="00351B7D">
        <w:rPr>
          <w:rFonts w:asciiTheme="minorBidi" w:hAnsiTheme="minorBidi"/>
          <w:sz w:val="16"/>
          <w:szCs w:val="16"/>
          <w:rtl/>
        </w:rPr>
        <w:t>(ח"ד סי' נז)</w:t>
      </w:r>
      <w:r w:rsidRPr="00351B7D">
        <w:rPr>
          <w:rFonts w:asciiTheme="minorBidi" w:hAnsiTheme="minorBidi"/>
          <w:rtl/>
        </w:rPr>
        <w:t>- כדי לאסור אשה על בעלה.</w:t>
      </w:r>
    </w:p>
    <w:p w14:paraId="6256FAE9" w14:textId="77777777" w:rsidR="008E16D0" w:rsidRPr="00351B7D" w:rsidRDefault="008E16D0" w:rsidP="00A8697F">
      <w:pPr>
        <w:pStyle w:val="ab"/>
        <w:numPr>
          <w:ilvl w:val="0"/>
          <w:numId w:val="58"/>
        </w:numPr>
        <w:rPr>
          <w:rFonts w:asciiTheme="minorBidi" w:hAnsiTheme="minorBidi"/>
          <w:rtl/>
        </w:rPr>
      </w:pPr>
      <w:r w:rsidRPr="00351B7D">
        <w:rPr>
          <w:rFonts w:asciiTheme="minorBidi" w:hAnsiTheme="minorBidi"/>
          <w:rtl/>
        </w:rPr>
        <w:lastRenderedPageBreak/>
        <w:t>נו"ב</w:t>
      </w:r>
      <w:r w:rsidRPr="00351B7D">
        <w:rPr>
          <w:rStyle w:val="a7"/>
          <w:rFonts w:asciiTheme="minorBidi" w:hAnsiTheme="minorBidi"/>
          <w:color w:val="000000"/>
          <w:rtl/>
        </w:rPr>
        <w:footnoteReference w:id="487"/>
      </w:r>
      <w:r w:rsidRPr="00351B7D">
        <w:rPr>
          <w:rFonts w:asciiTheme="minorBidi" w:hAnsiTheme="minorBidi"/>
          <w:rtl/>
        </w:rPr>
        <w:t>- באשה שכבר נשאת ועדים מעידים עליה שזה זמן רב שנתקדשה לאחר דבזה דיני נפשות הוא</w:t>
      </w:r>
      <w:r w:rsidRPr="00351B7D">
        <w:rPr>
          <w:rStyle w:val="a7"/>
          <w:rFonts w:asciiTheme="minorBidi" w:hAnsiTheme="minorBidi"/>
          <w:color w:val="000000"/>
          <w:rtl/>
        </w:rPr>
        <w:footnoteReference w:id="488"/>
      </w:r>
      <w:r w:rsidRPr="00351B7D">
        <w:rPr>
          <w:rFonts w:asciiTheme="minorBidi" w:hAnsiTheme="minorBidi"/>
          <w:color w:val="000000"/>
          <w:rtl/>
        </w:rPr>
        <w:t>.</w:t>
      </w:r>
    </w:p>
    <w:p w14:paraId="3DE4A2C6"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שטר חתום בב' עדים שפלוני קידש אשה בפניהם והעדים/האיש/האשה מכחישים:</w:t>
      </w:r>
      <w:r w:rsidRPr="00351B7D">
        <w:rPr>
          <w:rFonts w:asciiTheme="minorBidi" w:hAnsiTheme="minorBidi"/>
          <w:sz w:val="16"/>
          <w:szCs w:val="16"/>
          <w:rtl/>
        </w:rPr>
        <w:t xml:space="preserve">   (ב"י ודרכ"מ [אות ז])</w:t>
      </w:r>
    </w:p>
    <w:p w14:paraId="07454F83" w14:textId="77777777" w:rsidR="008E16D0" w:rsidRPr="00351B7D" w:rsidRDefault="008E16D0" w:rsidP="00A8697F">
      <w:pPr>
        <w:pStyle w:val="ab"/>
        <w:numPr>
          <w:ilvl w:val="0"/>
          <w:numId w:val="59"/>
        </w:numPr>
        <w:rPr>
          <w:rFonts w:asciiTheme="minorBidi" w:hAnsiTheme="minorBidi"/>
        </w:rPr>
      </w:pPr>
      <w:r w:rsidRPr="00351B7D">
        <w:rPr>
          <w:rFonts w:asciiTheme="minorBidi" w:hAnsiTheme="minorBidi"/>
          <w:rtl/>
        </w:rPr>
        <w:t>הרב אביגדור הכהן</w:t>
      </w:r>
      <w:r w:rsidRPr="00351B7D">
        <w:rPr>
          <w:rFonts w:asciiTheme="minorBidi" w:hAnsiTheme="minorBidi"/>
          <w:sz w:val="16"/>
          <w:szCs w:val="16"/>
          <w:rtl/>
        </w:rPr>
        <w:t xml:space="preserve"> (כ"כ בשמו ההגמ"ר</w:t>
      </w:r>
      <w:r w:rsidRPr="00351B7D">
        <w:rPr>
          <w:rStyle w:val="a7"/>
          <w:rFonts w:asciiTheme="minorBidi" w:hAnsiTheme="minorBidi"/>
          <w:rtl/>
        </w:rPr>
        <w:footnoteReference w:id="489"/>
      </w:r>
      <w:r w:rsidRPr="00351B7D">
        <w:rPr>
          <w:rFonts w:asciiTheme="minorBidi" w:hAnsiTheme="minorBidi"/>
          <w:sz w:val="16"/>
          <w:szCs w:val="16"/>
          <w:rtl/>
        </w:rPr>
        <w:t>)</w:t>
      </w:r>
      <w:r w:rsidRPr="00351B7D">
        <w:rPr>
          <w:rFonts w:asciiTheme="minorBidi" w:hAnsiTheme="minorBidi"/>
          <w:rtl/>
        </w:rPr>
        <w:t xml:space="preserve">- </w:t>
      </w:r>
      <w:r w:rsidRPr="00351B7D">
        <w:rPr>
          <w:rFonts w:asciiTheme="minorBidi" w:hAnsiTheme="minorBidi"/>
          <w:color w:val="000000"/>
          <w:rtl/>
        </w:rPr>
        <w:t>אין צריך גט כל זמן שלא נתקיים השטר כתיקונו</w:t>
      </w:r>
      <w:r w:rsidRPr="00351B7D">
        <w:rPr>
          <w:rStyle w:val="a7"/>
          <w:rFonts w:asciiTheme="minorBidi" w:hAnsiTheme="minorBidi"/>
          <w:rtl/>
        </w:rPr>
        <w:footnoteReference w:id="490"/>
      </w:r>
      <w:r w:rsidRPr="00351B7D">
        <w:rPr>
          <w:rFonts w:asciiTheme="minorBidi" w:hAnsiTheme="minorBidi"/>
          <w:rtl/>
        </w:rPr>
        <w:t xml:space="preserve">. </w:t>
      </w:r>
      <w:r w:rsidRPr="00351B7D">
        <w:rPr>
          <w:rFonts w:asciiTheme="minorBidi" w:hAnsiTheme="minorBidi"/>
          <w:color w:val="00B0F0"/>
          <w:rtl/>
        </w:rPr>
        <w:t>(וכ"פ הרמ"א)</w:t>
      </w:r>
    </w:p>
    <w:p w14:paraId="0908164E" w14:textId="77777777" w:rsidR="008E16D0" w:rsidRPr="00351B7D" w:rsidRDefault="008E16D0" w:rsidP="00A8697F">
      <w:pPr>
        <w:pStyle w:val="ab"/>
        <w:numPr>
          <w:ilvl w:val="0"/>
          <w:numId w:val="59"/>
        </w:numPr>
        <w:rPr>
          <w:rFonts w:asciiTheme="minorBidi" w:hAnsiTheme="minorBidi"/>
          <w:rtl/>
        </w:rPr>
      </w:pPr>
      <w:r w:rsidRPr="00351B7D">
        <w:rPr>
          <w:rFonts w:asciiTheme="minorBidi" w:hAnsiTheme="minorBidi"/>
          <w:rtl/>
        </w:rPr>
        <w:t xml:space="preserve">רבנו שמחה </w:t>
      </w:r>
      <w:r w:rsidRPr="00351B7D">
        <w:rPr>
          <w:rFonts w:asciiTheme="minorBidi" w:hAnsiTheme="minorBidi"/>
          <w:sz w:val="16"/>
          <w:szCs w:val="16"/>
          <w:rtl/>
        </w:rPr>
        <w:t xml:space="preserve">(כ"כ בשמו ההגמ"ר </w:t>
      </w:r>
      <w:r w:rsidRPr="00351B7D">
        <w:rPr>
          <w:rFonts w:asciiTheme="minorBidi" w:hAnsiTheme="minorBidi"/>
          <w:sz w:val="14"/>
          <w:szCs w:val="14"/>
          <w:rtl/>
        </w:rPr>
        <w:t>[סי' תקע]</w:t>
      </w:r>
      <w:r w:rsidRPr="00351B7D">
        <w:rPr>
          <w:rFonts w:asciiTheme="minorBidi" w:hAnsiTheme="minorBidi"/>
          <w:sz w:val="16"/>
          <w:szCs w:val="16"/>
          <w:rtl/>
        </w:rPr>
        <w:t>)</w:t>
      </w:r>
      <w:r w:rsidRPr="00351B7D">
        <w:rPr>
          <w:rFonts w:asciiTheme="minorBidi" w:hAnsiTheme="minorBidi"/>
          <w:rtl/>
        </w:rPr>
        <w:t xml:space="preserve"> ורשב"א</w:t>
      </w:r>
      <w:r w:rsidRPr="00351B7D">
        <w:rPr>
          <w:rStyle w:val="a7"/>
          <w:rFonts w:asciiTheme="minorBidi" w:hAnsiTheme="minorBidi"/>
          <w:rtl/>
        </w:rPr>
        <w:footnoteReference w:id="491"/>
      </w:r>
      <w:r w:rsidRPr="00351B7D">
        <w:rPr>
          <w:rFonts w:asciiTheme="minorBidi" w:hAnsiTheme="minorBidi"/>
          <w:rtl/>
        </w:rPr>
        <w:t>- אפילו השטר מקויים אינו כלום</w:t>
      </w:r>
      <w:r w:rsidRPr="00351B7D">
        <w:rPr>
          <w:rStyle w:val="a7"/>
          <w:rFonts w:asciiTheme="minorBidi" w:hAnsiTheme="minorBidi"/>
          <w:rtl/>
        </w:rPr>
        <w:footnoteReference w:id="492"/>
      </w:r>
      <w:r w:rsidRPr="00351B7D">
        <w:rPr>
          <w:rFonts w:asciiTheme="minorBidi" w:hAnsiTheme="minorBidi"/>
          <w:rtl/>
        </w:rPr>
        <w:t xml:space="preserve">. </w:t>
      </w:r>
    </w:p>
    <w:p w14:paraId="164C6D47" w14:textId="77777777" w:rsidR="008E16D0" w:rsidRPr="00351B7D" w:rsidRDefault="008E16D0" w:rsidP="00A8697F">
      <w:pPr>
        <w:pStyle w:val="ab"/>
        <w:numPr>
          <w:ilvl w:val="0"/>
          <w:numId w:val="59"/>
        </w:numPr>
        <w:rPr>
          <w:rFonts w:asciiTheme="minorBidi" w:hAnsiTheme="minorBidi"/>
        </w:rPr>
      </w:pPr>
      <w:r w:rsidRPr="00351B7D">
        <w:rPr>
          <w:rFonts w:asciiTheme="minorBidi" w:hAnsiTheme="minorBidi"/>
          <w:u w:val="dotted"/>
          <w:rtl/>
        </w:rPr>
        <mc:AlternateContent>
          <mc:Choice Requires="wps">
            <w:drawing>
              <wp:anchor distT="0" distB="0" distL="114300" distR="114300" simplePos="0" relativeHeight="251670528" behindDoc="0" locked="0" layoutInCell="1" allowOverlap="1" wp14:anchorId="4EFF689B" wp14:editId="375CE165">
                <wp:simplePos x="0" y="0"/>
                <wp:positionH relativeFrom="column">
                  <wp:posOffset>5029835</wp:posOffset>
                </wp:positionH>
                <wp:positionV relativeFrom="paragraph">
                  <wp:posOffset>411851</wp:posOffset>
                </wp:positionV>
                <wp:extent cx="45085" cy="94615"/>
                <wp:effectExtent l="19050" t="0" r="31115" b="38735"/>
                <wp:wrapNone/>
                <wp:docPr id="13" name="Down Arrow 13"/>
                <wp:cNvGraphicFramePr/>
                <a:graphic xmlns:a="http://schemas.openxmlformats.org/drawingml/2006/main">
                  <a:graphicData uri="http://schemas.microsoft.com/office/word/2010/wordprocessingShape">
                    <wps:wsp>
                      <wps:cNvSpPr/>
                      <wps:spPr>
                        <a:xfrm>
                          <a:off x="0" y="0"/>
                          <a:ext cx="45085" cy="94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983C20A" id="Down Arrow 13" o:spid="_x0000_s1026" type="#_x0000_t67" style="position:absolute;left:0;text-align:left;margin-left:396.05pt;margin-top:32.45pt;width:3.55pt;height:7.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" adj="16454" fillcolor="black [3200]" strokecolor="black [1600]" strokeweight="2pt"/>
            </w:pict>
          </mc:Fallback>
        </mc:AlternateContent>
      </w:r>
      <w:r w:rsidRPr="00351B7D">
        <w:rPr>
          <w:rFonts w:asciiTheme="minorBidi" w:hAnsiTheme="minorBidi"/>
          <w:rtl/>
        </w:rPr>
        <w:t>מהרי"ק</w:t>
      </w:r>
      <w:r w:rsidRPr="00351B7D">
        <w:rPr>
          <w:rFonts w:asciiTheme="minorBidi" w:hAnsiTheme="minorBidi"/>
          <w:sz w:val="16"/>
          <w:szCs w:val="16"/>
          <w:rtl/>
        </w:rPr>
        <w:t xml:space="preserve"> (שורש ע"ד)</w:t>
      </w:r>
      <w:r w:rsidRPr="00351B7D">
        <w:rPr>
          <w:rFonts w:asciiTheme="minorBidi" w:hAnsiTheme="minorBidi"/>
          <w:rtl/>
        </w:rPr>
        <w:t>- המוציא שטר חתום בשני עדים שקידש אשה בפניהם ואח"כ חזר ואמר המקדש עצמו שהוא שקר והעדים אומרי' שאין זה כתב ידם ומעולם לא ראו שקידשה אפ"ה יש לחוש לקידושין וצריכה גט</w:t>
      </w:r>
      <w:r w:rsidRPr="00351B7D">
        <w:rPr>
          <w:rStyle w:val="a7"/>
          <w:rFonts w:asciiTheme="minorBidi" w:hAnsiTheme="minorBidi"/>
          <w:rtl/>
        </w:rPr>
        <w:footnoteReference w:id="493"/>
      </w:r>
      <w:r w:rsidRPr="00351B7D">
        <w:rPr>
          <w:rFonts w:asciiTheme="minorBidi" w:hAnsiTheme="minorBidi"/>
          <w:rtl/>
        </w:rPr>
        <w:t>.</w:t>
      </w:r>
    </w:p>
    <w:p w14:paraId="0D090673" w14:textId="77777777" w:rsidR="008E16D0" w:rsidRPr="00351B7D" w:rsidRDefault="008E16D0" w:rsidP="008E16D0">
      <w:pPr>
        <w:ind w:left="360"/>
        <w:rPr>
          <w:rFonts w:asciiTheme="minorBidi" w:hAnsiTheme="minorBidi"/>
          <w:u w:val="dotted"/>
        </w:rPr>
      </w:pPr>
      <w:r w:rsidRPr="00351B7D">
        <w:rPr>
          <w:rFonts w:asciiTheme="minorBidi" w:hAnsiTheme="minorBidi"/>
          <w:u w:val="dotted"/>
          <w:rtl/>
        </w:rPr>
        <w:t xml:space="preserve">ומה הדין היכא שכתוב בשטר שהוא נכתב מדעתם </w:t>
      </w:r>
      <w:r w:rsidRPr="00351B7D">
        <w:rPr>
          <w:rFonts w:asciiTheme="minorBidi" w:hAnsiTheme="minorBidi"/>
          <w:sz w:val="16"/>
          <w:szCs w:val="16"/>
          <w:u w:val="dotted"/>
          <w:rtl/>
        </w:rPr>
        <w:t>(כגון דציוותה האשה לעדים- כתבו וחתמו ותנו למקדש לראיה שקדשני)</w:t>
      </w:r>
      <w:r w:rsidRPr="00351B7D">
        <w:rPr>
          <w:rFonts w:asciiTheme="minorBidi" w:hAnsiTheme="minorBidi"/>
          <w:u w:val="dotted"/>
          <w:rtl/>
        </w:rPr>
        <w:t>:</w:t>
      </w:r>
    </w:p>
    <w:p w14:paraId="2E493276" w14:textId="77777777" w:rsidR="008E16D0" w:rsidRPr="00351B7D" w:rsidRDefault="008E16D0" w:rsidP="00A8697F">
      <w:pPr>
        <w:pStyle w:val="ab"/>
        <w:numPr>
          <w:ilvl w:val="0"/>
          <w:numId w:val="59"/>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494"/>
      </w:r>
      <w:r w:rsidRPr="00351B7D">
        <w:rPr>
          <w:rFonts w:asciiTheme="minorBidi" w:hAnsiTheme="minorBidi"/>
          <w:rtl/>
        </w:rPr>
        <w:t>- אם נכתב בכתב שנכתב מדעתם</w:t>
      </w:r>
      <w:r w:rsidRPr="00351B7D">
        <w:rPr>
          <w:rStyle w:val="a7"/>
          <w:rFonts w:asciiTheme="minorBidi" w:hAnsiTheme="minorBidi"/>
          <w:rtl/>
        </w:rPr>
        <w:footnoteReference w:id="495"/>
      </w:r>
      <w:r w:rsidRPr="00351B7D">
        <w:rPr>
          <w:rFonts w:asciiTheme="minorBidi" w:hAnsiTheme="minorBidi"/>
          <w:rtl/>
        </w:rPr>
        <w:t xml:space="preserve"> אז מקבלים עדותן כמו בשאר שטרות דקי"ל עדים החתומים כמי שנחקרה עדותן בב"ד. (וכ"פ הב"ש</w:t>
      </w:r>
      <w:r w:rsidRPr="00351B7D">
        <w:rPr>
          <w:rStyle w:val="a7"/>
          <w:rFonts w:asciiTheme="minorBidi" w:hAnsiTheme="minorBidi"/>
          <w:rtl/>
        </w:rPr>
        <w:footnoteReference w:id="496"/>
      </w:r>
      <w:r w:rsidRPr="00351B7D">
        <w:rPr>
          <w:rFonts w:asciiTheme="minorBidi" w:hAnsiTheme="minorBidi"/>
          <w:sz w:val="16"/>
          <w:szCs w:val="16"/>
          <w:rtl/>
        </w:rPr>
        <w:t xml:space="preserve"> [סקט"ו]</w:t>
      </w:r>
      <w:r w:rsidRPr="00351B7D">
        <w:rPr>
          <w:rFonts w:asciiTheme="minorBidi" w:hAnsiTheme="minorBidi"/>
          <w:rtl/>
        </w:rPr>
        <w:t xml:space="preserve"> והנו"ב </w:t>
      </w:r>
      <w:r w:rsidRPr="00351B7D">
        <w:rPr>
          <w:rFonts w:asciiTheme="minorBidi" w:hAnsiTheme="minorBidi"/>
          <w:color w:val="000000"/>
          <w:sz w:val="16"/>
          <w:szCs w:val="16"/>
          <w:rtl/>
        </w:rPr>
        <w:t>[סי' נ"ח]</w:t>
      </w:r>
      <w:r w:rsidRPr="00351B7D">
        <w:rPr>
          <w:rFonts w:asciiTheme="minorBidi" w:hAnsiTheme="minorBidi"/>
          <w:rtl/>
        </w:rPr>
        <w:t>)</w:t>
      </w:r>
    </w:p>
    <w:p w14:paraId="492193B0" w14:textId="77777777" w:rsidR="008E16D0" w:rsidRPr="00351B7D" w:rsidRDefault="008E16D0" w:rsidP="00A8697F">
      <w:pPr>
        <w:pStyle w:val="ab"/>
        <w:numPr>
          <w:ilvl w:val="0"/>
          <w:numId w:val="59"/>
        </w:numPr>
        <w:rPr>
          <w:rFonts w:asciiTheme="minorBidi" w:hAnsiTheme="minorBidi"/>
          <w:rtl/>
        </w:rPr>
      </w:pPr>
      <w:r w:rsidRPr="00351B7D">
        <w:rPr>
          <w:rFonts w:asciiTheme="minorBidi" w:hAnsiTheme="minorBidi"/>
          <w:rtl/>
        </w:rPr>
        <w:t xml:space="preserve">רבנו שמחה </w:t>
      </w:r>
      <w:r w:rsidRPr="00351B7D">
        <w:rPr>
          <w:rFonts w:asciiTheme="minorBidi" w:hAnsiTheme="minorBidi"/>
          <w:sz w:val="16"/>
          <w:szCs w:val="16"/>
          <w:rtl/>
        </w:rPr>
        <w:t xml:space="preserve">(כ"כ בשמו ההגמ"ר </w:t>
      </w:r>
      <w:r w:rsidRPr="00351B7D">
        <w:rPr>
          <w:rFonts w:asciiTheme="minorBidi" w:hAnsiTheme="minorBidi"/>
          <w:sz w:val="14"/>
          <w:szCs w:val="14"/>
          <w:rtl/>
        </w:rPr>
        <w:t>[סי' תקע]</w:t>
      </w:r>
      <w:r w:rsidRPr="00351B7D">
        <w:rPr>
          <w:rFonts w:asciiTheme="minorBidi" w:hAnsiTheme="minorBidi"/>
          <w:sz w:val="16"/>
          <w:szCs w:val="16"/>
          <w:rtl/>
        </w:rPr>
        <w:t>)</w:t>
      </w:r>
      <w:r w:rsidRPr="00351B7D">
        <w:rPr>
          <w:rFonts w:asciiTheme="minorBidi" w:hAnsiTheme="minorBidi"/>
          <w:rtl/>
        </w:rPr>
        <w:t>- אף דכתבו בידיעת האשה אינו כלום</w:t>
      </w:r>
      <w:r w:rsidRPr="00351B7D">
        <w:rPr>
          <w:rStyle w:val="a7"/>
          <w:rFonts w:asciiTheme="minorBidi" w:hAnsiTheme="minorBidi"/>
          <w:rtl/>
        </w:rPr>
        <w:footnoteReference w:id="497"/>
      </w:r>
      <w:r w:rsidRPr="00351B7D">
        <w:rPr>
          <w:rFonts w:asciiTheme="minorBidi" w:hAnsiTheme="minorBidi"/>
          <w:rtl/>
        </w:rPr>
        <w:t xml:space="preserve">. </w:t>
      </w:r>
    </w:p>
    <w:p w14:paraId="282B90F8"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מעשה באדם הטוען על קדושין ע"י שטר חתום בב' עדים:</w:t>
      </w:r>
      <w:r w:rsidRPr="00351B7D">
        <w:rPr>
          <w:rFonts w:asciiTheme="minorBidi" w:hAnsiTheme="minorBidi"/>
          <w:sz w:val="16"/>
          <w:szCs w:val="16"/>
          <w:rtl/>
        </w:rPr>
        <w:t xml:space="preserve">   (ב"י)</w:t>
      </w:r>
    </w:p>
    <w:p w14:paraId="2A653F41" w14:textId="77777777" w:rsidR="008E16D0" w:rsidRPr="00351B7D" w:rsidRDefault="008E16D0" w:rsidP="00A8697F">
      <w:pPr>
        <w:pStyle w:val="ab"/>
        <w:numPr>
          <w:ilvl w:val="0"/>
          <w:numId w:val="60"/>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(סי' אלף ר"י)</w:t>
      </w:r>
      <w:r w:rsidRPr="00351B7D">
        <w:rPr>
          <w:rFonts w:asciiTheme="minorBidi" w:hAnsiTheme="minorBidi"/>
          <w:rtl/>
        </w:rPr>
        <w:t xml:space="preserve">- ראובן שאמר קידשתי דינה והיא מכחישתו, וטען ראובן ששמעון ולוי היו עדים, ובאו ואמרו לא היו דברים מעולם, וחזר וטען שיהודה ובנימין היו עידיו והוציא חתימתן, ובאו גם יהודה ובנימין ואמרו שאין זה כתב ידן ושלא היו דברים מעולם שלא ראו הקידושין ולא חתמו, כבר השבתי על עדות החתימה שאין סומכין עליה דמפיהם בעינן </w:t>
      </w:r>
      <w:r w:rsidRPr="00351B7D">
        <w:rPr>
          <w:rFonts w:asciiTheme="minorBidi" w:hAnsiTheme="minorBidi"/>
          <w:sz w:val="16"/>
          <w:szCs w:val="16"/>
          <w:rtl/>
        </w:rPr>
        <w:t>(גיטין עא.)</w:t>
      </w:r>
      <w:r w:rsidRPr="00351B7D">
        <w:rPr>
          <w:rFonts w:asciiTheme="minorBidi" w:hAnsiTheme="minorBidi"/>
          <w:rtl/>
        </w:rPr>
        <w:t>, ועל מה שהוספת שהעדים הראשונים הכחישוהו שורת הדין בעלמא אלו הביא עדים אחרים והעידו כדבריו היו נאמנים אבל כאן יש לחוש הרבה שזה עשה שלא כהוגן לעשות בנות ישראל כזונות ורגלים לדבר שהוא ועדיו שקרנים, ודינה ששואלת מבית דין לכתוב מה שהיה בפניהם כדין אמרה וראוי לבית דין לכתוב אפילו מעצמן וליתן לה להסיר המכשולות ושלא ליתן מקום לפושעים לחבל ולנבל בנות ישראל ולהחניף הארץ</w:t>
      </w:r>
      <w:r w:rsidRPr="00351B7D">
        <w:rPr>
          <w:rStyle w:val="a7"/>
          <w:rFonts w:asciiTheme="minorBidi" w:hAnsiTheme="minorBidi"/>
          <w:rtl/>
        </w:rPr>
        <w:footnoteReference w:id="498"/>
      </w:r>
      <w:r w:rsidRPr="00351B7D">
        <w:rPr>
          <w:rFonts w:asciiTheme="minorBidi" w:hAnsiTheme="minorBidi"/>
          <w:rtl/>
        </w:rPr>
        <w:t xml:space="preserve">.  </w:t>
      </w:r>
    </w:p>
    <w:p w14:paraId="09386D32"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lastRenderedPageBreak/>
        <w:t>היכא דאחד מן העדים לא ראה הנתינה ממש</w:t>
      </w:r>
      <w:r w:rsidRPr="00351B7D">
        <w:rPr>
          <w:rFonts w:asciiTheme="minorBidi" w:hAnsiTheme="minorBidi"/>
          <w:rtl/>
        </w:rPr>
        <w:t xml:space="preserve">: </w:t>
      </w:r>
      <w:r w:rsidRPr="00351B7D">
        <w:rPr>
          <w:rFonts w:asciiTheme="minorBidi" w:hAnsiTheme="minorBidi"/>
          <w:sz w:val="16"/>
          <w:szCs w:val="16"/>
          <w:rtl/>
        </w:rPr>
        <w:t xml:space="preserve">(דרכ"מ [אות ד]) </w:t>
      </w:r>
    </w:p>
    <w:p w14:paraId="54C1BCB4" w14:textId="77777777" w:rsidR="008E16D0" w:rsidRPr="00351B7D" w:rsidRDefault="008E16D0" w:rsidP="00A8697F">
      <w:pPr>
        <w:pStyle w:val="ab"/>
        <w:numPr>
          <w:ilvl w:val="0"/>
          <w:numId w:val="60"/>
        </w:numPr>
        <w:rPr>
          <w:rFonts w:asciiTheme="minorBidi" w:hAnsiTheme="minorBidi"/>
        </w:rPr>
      </w:pPr>
      <w:r w:rsidRPr="00351B7D">
        <w:rPr>
          <w:rFonts w:asciiTheme="minorBidi" w:hAnsiTheme="minorBidi"/>
          <w:rtl/>
        </w:rPr>
        <w:t>רא"ם</w:t>
      </w:r>
      <w:r w:rsidRPr="00351B7D">
        <w:rPr>
          <w:rStyle w:val="a7"/>
          <w:rFonts w:asciiTheme="minorBidi" w:hAnsiTheme="minorBidi"/>
          <w:rtl/>
        </w:rPr>
        <w:footnoteReference w:id="499"/>
      </w:r>
      <w:r w:rsidRPr="00351B7D">
        <w:rPr>
          <w:rFonts w:asciiTheme="minorBidi" w:hAnsiTheme="minorBidi"/>
          <w:rtl/>
        </w:rPr>
        <w:t>- אין לבטל בכך הקידושין דאם עד רואה דבר מוכיח יכול להעיד כאילו ראה גוף המעשה, כמו שעדי ייחוד הן הן עדי ביאה אע"ג דאינם רואים ממש את הביאה</w:t>
      </w:r>
      <w:r w:rsidRPr="00351B7D">
        <w:rPr>
          <w:rStyle w:val="a7"/>
          <w:rFonts w:asciiTheme="minorBidi" w:hAnsiTheme="minorBidi"/>
          <w:rtl/>
        </w:rPr>
        <w:footnoteReference w:id="500"/>
      </w:r>
      <w:r w:rsidRPr="00351B7D">
        <w:rPr>
          <w:rFonts w:asciiTheme="minorBidi" w:hAnsiTheme="minorBidi"/>
          <w:rtl/>
        </w:rPr>
        <w:t xml:space="preserve">.  </w:t>
      </w:r>
    </w:p>
    <w:p w14:paraId="27711F4E" w14:textId="77777777" w:rsidR="008E16D0" w:rsidRPr="00351B7D" w:rsidRDefault="008E16D0" w:rsidP="00A8697F">
      <w:pPr>
        <w:pStyle w:val="ab"/>
        <w:numPr>
          <w:ilvl w:val="0"/>
          <w:numId w:val="60"/>
        </w:numPr>
        <w:rPr>
          <w:rFonts w:asciiTheme="minorBidi" w:hAnsiTheme="minorBidi"/>
          <w:rtl/>
        </w:rPr>
      </w:pPr>
      <w:r w:rsidRPr="00351B7D">
        <w:rPr>
          <w:rFonts w:asciiTheme="minorBidi" w:hAnsiTheme="minorBidi"/>
          <w:rtl/>
        </w:rPr>
        <w:t>מהר"ם ורשב"א</w:t>
      </w:r>
      <w:r w:rsidRPr="00351B7D">
        <w:rPr>
          <w:rStyle w:val="a7"/>
          <w:rFonts w:asciiTheme="minorBidi" w:hAnsiTheme="minorBidi"/>
          <w:rtl/>
        </w:rPr>
        <w:footnoteReference w:id="501"/>
      </w:r>
      <w:r w:rsidRPr="00351B7D">
        <w:rPr>
          <w:rFonts w:asciiTheme="minorBidi" w:hAnsiTheme="minorBidi"/>
          <w:rtl/>
        </w:rPr>
        <w:t>- אע"ג דאיכא הרבה אומדנות המוכיחות אין כאן כלום עד שיראו העדים הנתינה ממש, ודוקא בביאה אמרינן הן הן עדי יחוד הן הן עדי ביאה</w:t>
      </w:r>
      <w:r w:rsidRPr="00351B7D">
        <w:rPr>
          <w:rStyle w:val="a7"/>
          <w:rFonts w:asciiTheme="minorBidi" w:hAnsiTheme="minorBidi"/>
          <w:rtl/>
        </w:rPr>
        <w:footnoteReference w:id="502"/>
      </w:r>
      <w:r w:rsidRPr="00351B7D">
        <w:rPr>
          <w:rFonts w:asciiTheme="minorBidi" w:hAnsiTheme="minorBidi"/>
          <w:rtl/>
        </w:rPr>
        <w:t xml:space="preserve">. </w:t>
      </w:r>
      <w:r w:rsidRPr="00351B7D">
        <w:rPr>
          <w:rFonts w:asciiTheme="minorBidi" w:hAnsiTheme="minorBidi"/>
          <w:color w:val="00B0F0"/>
          <w:rtl/>
        </w:rPr>
        <w:t>(וכ"פ הרמ"א</w:t>
      </w:r>
      <w:r w:rsidRPr="00351B7D">
        <w:rPr>
          <w:rStyle w:val="a7"/>
          <w:rFonts w:asciiTheme="minorBidi" w:hAnsiTheme="minorBidi"/>
          <w:rtl/>
        </w:rPr>
        <w:footnoteReference w:id="503"/>
      </w:r>
      <w:r w:rsidRPr="00351B7D">
        <w:rPr>
          <w:rFonts w:asciiTheme="minorBidi" w:hAnsiTheme="minorBidi"/>
          <w:color w:val="00B0F0"/>
          <w:rtl/>
        </w:rPr>
        <w:t>)</w:t>
      </w:r>
    </w:p>
    <w:p w14:paraId="39CACBFA"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000B17"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אם קידש בפני עדים אפילו לא אמר 'אתם עדים' מקודשת.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ואפילו ייחד עדים יכולים אחרים שראו המעשה להעיד</w:t>
      </w:r>
      <w:r w:rsidRPr="00351B7D">
        <w:rPr>
          <w:rStyle w:val="a7"/>
          <w:rFonts w:asciiTheme="minorBidi" w:hAnsiTheme="minorBidi"/>
          <w:color w:val="000000"/>
          <w:sz w:val="18"/>
          <w:szCs w:val="18"/>
          <w:rtl/>
        </w:rPr>
        <w:footnoteReference w:id="504"/>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(ריב"ש סי' תעט)</w:t>
      </w:r>
      <w:r w:rsidRPr="00351B7D">
        <w:rPr>
          <w:rFonts w:asciiTheme="minorBidi" w:hAnsiTheme="minorBidi"/>
          <w:color w:val="000000"/>
          <w:sz w:val="18"/>
          <w:szCs w:val="18"/>
          <w:rtl/>
        </w:rPr>
        <w:t>, וצריכים העדים לראות הנתינה ממש לידה או לרשותה</w:t>
      </w:r>
      <w:r w:rsidRPr="00351B7D">
        <w:rPr>
          <w:rStyle w:val="a7"/>
          <w:rFonts w:asciiTheme="minorBidi" w:hAnsiTheme="minorBidi"/>
          <w:color w:val="000000"/>
          <w:sz w:val="18"/>
          <w:szCs w:val="18"/>
          <w:rtl/>
        </w:rPr>
        <w:footnoteReference w:id="505"/>
      </w:r>
      <w:r w:rsidRPr="00351B7D">
        <w:rPr>
          <w:rFonts w:asciiTheme="minorBidi" w:hAnsiTheme="minorBidi"/>
          <w:color w:val="000000"/>
          <w:sz w:val="18"/>
          <w:szCs w:val="18"/>
          <w:rtl/>
        </w:rPr>
        <w:t xml:space="preserve">, אבל אם לא ראו הנתינה ממש לידה אף על פי ששמעו שאמר התקדשי לי בחפץ פלוני ואחר כך יצא מתחת ידה אינן קידושין עד שיראו הנתינה ממש </w:t>
      </w:r>
      <w:r w:rsidRPr="00351B7D">
        <w:rPr>
          <w:rFonts w:asciiTheme="minorBidi" w:hAnsiTheme="minorBidi"/>
          <w:color w:val="000000"/>
          <w:sz w:val="16"/>
          <w:szCs w:val="16"/>
          <w:rtl/>
        </w:rPr>
        <w:t xml:space="preserve">(תשו' רשב"א סי' תשפ) </w:t>
      </w:r>
      <w:r w:rsidRPr="00351B7D">
        <w:rPr>
          <w:rFonts w:asciiTheme="minorBidi" w:hAnsiTheme="minorBidi"/>
          <w:color w:val="000000"/>
          <w:sz w:val="18"/>
          <w:szCs w:val="18"/>
          <w:rtl/>
        </w:rPr>
        <w:t>ואין הולכין בזה אחר אומדנות והוכחות. מי שקידש דרך חור שבכותל כגון שאחת פשטה ידה דרך חור ובא אחד ונתן לה קדושין והחור צר ואי אפשר לראות אותה בשעת קדושין והיא אומרת שלא שמעה שקדשה נאמנת במגו שיכולה לומר שלא היתה ידה רק יד אחרת</w:t>
      </w:r>
      <w:r w:rsidRPr="00351B7D">
        <w:rPr>
          <w:rStyle w:val="a7"/>
          <w:rFonts w:asciiTheme="minorBidi" w:hAnsiTheme="minorBidi"/>
          <w:color w:val="000000"/>
          <w:sz w:val="18"/>
          <w:szCs w:val="18"/>
          <w:rtl/>
        </w:rPr>
        <w:footnoteReference w:id="50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 xml:space="preserve">(רשב"א אלף קעט) </w:t>
      </w:r>
      <w:r w:rsidRPr="00351B7D">
        <w:rPr>
          <w:rFonts w:asciiTheme="minorBidi" w:hAnsiTheme="minorBidi"/>
          <w:color w:val="000000"/>
          <w:sz w:val="18"/>
          <w:szCs w:val="18"/>
          <w:rtl/>
        </w:rPr>
        <w:t>ובלבד שלא יהיו עדים המכחישים אותה. כל עדות שלא נחקרה</w:t>
      </w:r>
      <w:r w:rsidRPr="00351B7D">
        <w:rPr>
          <w:rStyle w:val="a7"/>
          <w:rFonts w:asciiTheme="minorBidi" w:hAnsiTheme="minorBidi"/>
          <w:color w:val="000000"/>
          <w:sz w:val="18"/>
          <w:szCs w:val="18"/>
          <w:rtl/>
        </w:rPr>
        <w:footnoteReference w:id="507"/>
      </w:r>
      <w:r w:rsidRPr="00351B7D">
        <w:rPr>
          <w:rFonts w:asciiTheme="minorBidi" w:hAnsiTheme="minorBidi"/>
          <w:color w:val="000000"/>
          <w:sz w:val="18"/>
          <w:szCs w:val="18"/>
          <w:rtl/>
        </w:rPr>
        <w:t xml:space="preserve"> בבית דין לא מקרי עדות לענין קדושין </w:t>
      </w:r>
      <w:r w:rsidRPr="00351B7D">
        <w:rPr>
          <w:rFonts w:asciiTheme="minorBidi" w:hAnsiTheme="minorBidi"/>
          <w:color w:val="000000"/>
          <w:sz w:val="16"/>
          <w:szCs w:val="16"/>
          <w:rtl/>
        </w:rPr>
        <w:t>(מרדכי סנהדרין סי' תשא, הביאו הדרכ"מ [אות ד*])</w:t>
      </w:r>
      <w:r w:rsidRPr="00351B7D">
        <w:rPr>
          <w:rFonts w:asciiTheme="minorBidi" w:hAnsiTheme="minorBidi"/>
          <w:color w:val="000000"/>
          <w:sz w:val="18"/>
          <w:szCs w:val="18"/>
          <w:rtl/>
        </w:rPr>
        <w:t xml:space="preserve">, ולכן אפילו אמרו עדים חוץ לבית דין </w:t>
      </w:r>
      <w:r w:rsidRPr="00351B7D">
        <w:rPr>
          <w:rFonts w:asciiTheme="minorBidi" w:hAnsiTheme="minorBidi"/>
          <w:color w:val="000000"/>
          <w:sz w:val="18"/>
          <w:szCs w:val="18"/>
          <w:rtl/>
        </w:rPr>
        <w:lastRenderedPageBreak/>
        <w:t>שנתקדשה יכולים לחזור בהם בבית דין לומר לא נתקדשה וכן להפך</w:t>
      </w:r>
      <w:r w:rsidRPr="00351B7D">
        <w:rPr>
          <w:rStyle w:val="a7"/>
          <w:rFonts w:asciiTheme="minorBidi" w:hAnsiTheme="minorBidi"/>
          <w:color w:val="000000"/>
          <w:sz w:val="18"/>
          <w:szCs w:val="18"/>
          <w:rtl/>
        </w:rPr>
        <w:footnoteReference w:id="508"/>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(תשו' הרשב"א</w:t>
      </w:r>
      <w:r w:rsidRPr="00351B7D">
        <w:rPr>
          <w:rStyle w:val="a7"/>
          <w:rFonts w:asciiTheme="minorBidi" w:hAnsiTheme="minorBidi"/>
          <w:color w:val="000000"/>
          <w:sz w:val="16"/>
          <w:szCs w:val="16"/>
          <w:rtl/>
        </w:rPr>
        <w:footnoteReference w:id="509"/>
      </w:r>
      <w:r w:rsidRPr="00351B7D">
        <w:rPr>
          <w:rFonts w:asciiTheme="minorBidi" w:hAnsiTheme="minorBidi"/>
          <w:color w:val="000000"/>
          <w:sz w:val="16"/>
          <w:szCs w:val="16"/>
          <w:rtl/>
        </w:rPr>
        <w:t>)</w:t>
      </w:r>
      <w:r w:rsidRPr="00351B7D">
        <w:rPr>
          <w:rFonts w:asciiTheme="minorBidi" w:hAnsiTheme="minorBidi"/>
          <w:color w:val="000000"/>
          <w:sz w:val="18"/>
          <w:szCs w:val="18"/>
          <w:rtl/>
        </w:rPr>
        <w:t xml:space="preserve">. עדי קדושין אינם צריכים דרישה וחקירה אם לא בדבר שנראה שיש בו רמאות </w:t>
      </w:r>
      <w:r w:rsidRPr="00351B7D">
        <w:rPr>
          <w:rFonts w:asciiTheme="minorBidi" w:hAnsiTheme="minorBidi"/>
          <w:color w:val="000000"/>
          <w:sz w:val="16"/>
          <w:szCs w:val="16"/>
          <w:rtl/>
        </w:rPr>
        <w:t>(רשב"א אלף רט)</w:t>
      </w:r>
      <w:r w:rsidRPr="00351B7D">
        <w:rPr>
          <w:rFonts w:asciiTheme="minorBidi" w:hAnsiTheme="minorBidi"/>
          <w:color w:val="000000"/>
          <w:sz w:val="18"/>
          <w:szCs w:val="18"/>
          <w:rtl/>
        </w:rPr>
        <w:t>. מצאו כתוב בשטר פלוני קידש פלונית ועדים חתומים בו, כל זמן שאין השטר מקויים</w:t>
      </w:r>
      <w:r w:rsidRPr="00351B7D">
        <w:rPr>
          <w:rStyle w:val="a7"/>
          <w:rFonts w:asciiTheme="minorBidi" w:hAnsiTheme="minorBidi"/>
          <w:color w:val="000000"/>
          <w:sz w:val="18"/>
          <w:szCs w:val="18"/>
          <w:rtl/>
        </w:rPr>
        <w:footnoteReference w:id="510"/>
      </w:r>
      <w:r w:rsidRPr="00351B7D">
        <w:rPr>
          <w:rFonts w:asciiTheme="minorBidi" w:hAnsiTheme="minorBidi"/>
          <w:color w:val="000000"/>
          <w:sz w:val="18"/>
          <w:szCs w:val="18"/>
          <w:rtl/>
        </w:rPr>
        <w:t xml:space="preserve"> אין לחוש לקדושין</w:t>
      </w:r>
      <w:r w:rsidRPr="00351B7D">
        <w:rPr>
          <w:rStyle w:val="a7"/>
          <w:rFonts w:asciiTheme="minorBidi" w:hAnsiTheme="minorBidi"/>
          <w:color w:val="000000"/>
          <w:sz w:val="18"/>
          <w:szCs w:val="18"/>
          <w:rtl/>
        </w:rPr>
        <w:footnoteReference w:id="511"/>
      </w:r>
      <w:r w:rsidRPr="00351B7D">
        <w:rPr>
          <w:rFonts w:asciiTheme="minorBidi" w:hAnsiTheme="minorBidi"/>
          <w:color w:val="000000"/>
          <w:sz w:val="18"/>
          <w:szCs w:val="18"/>
          <w:rtl/>
        </w:rPr>
        <w:t xml:space="preserve"> (הגה' מרדכי), ודלא כיש מי שמחמיר בדבר </w:t>
      </w:r>
      <w:r w:rsidRPr="00351B7D">
        <w:rPr>
          <w:rFonts w:asciiTheme="minorBidi" w:hAnsiTheme="minorBidi"/>
          <w:color w:val="000000"/>
          <w:sz w:val="16"/>
          <w:szCs w:val="16"/>
          <w:rtl/>
        </w:rPr>
        <w:t>(מהרי"ק שורש עד)</w:t>
      </w:r>
      <w:r w:rsidRPr="00351B7D">
        <w:rPr>
          <w:rFonts w:asciiTheme="minorBidi" w:hAnsiTheme="minorBidi"/>
          <w:color w:val="000000"/>
          <w:sz w:val="18"/>
          <w:szCs w:val="18"/>
          <w:rtl/>
        </w:rPr>
        <w:t xml:space="preserve">. </w:t>
      </w:r>
    </w:p>
    <w:p w14:paraId="00B63FF6"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עדים שאינם מכירים את הכלה ולא קיבלו עדות שזו היא</w:t>
      </w:r>
      <w:r w:rsidRPr="00351B7D">
        <w:rPr>
          <w:rFonts w:asciiTheme="minorBidi" w:hAnsiTheme="minorBidi"/>
          <w:sz w:val="16"/>
          <w:szCs w:val="16"/>
          <w:u w:val="single"/>
          <w:rtl/>
        </w:rPr>
        <w:t xml:space="preserve"> (דלכתחילה ודאי צריך להכיר</w:t>
      </w:r>
      <w:r w:rsidRPr="00351B7D">
        <w:rPr>
          <w:rStyle w:val="a7"/>
          <w:rFonts w:asciiTheme="minorBidi" w:hAnsiTheme="minorBidi"/>
          <w:color w:val="000000"/>
          <w:sz w:val="16"/>
          <w:szCs w:val="16"/>
          <w:u w:val="single"/>
          <w:rtl/>
        </w:rPr>
        <w:footnoteReference w:id="512"/>
      </w:r>
      <w:r w:rsidRPr="00351B7D">
        <w:rPr>
          <w:rFonts w:asciiTheme="minorBidi" w:hAnsiTheme="minorBidi"/>
          <w:sz w:val="16"/>
          <w:szCs w:val="16"/>
          <w:u w:val="single"/>
          <w:rtl/>
        </w:rPr>
        <w:t xml:space="preserve"> אותה)</w:t>
      </w:r>
      <w:r w:rsidRPr="00351B7D">
        <w:rPr>
          <w:rFonts w:asciiTheme="minorBidi" w:hAnsiTheme="minorBidi"/>
          <w:color w:val="000000"/>
          <w:u w:val="single"/>
          <w:rtl/>
        </w:rPr>
        <w:t>:</w:t>
      </w:r>
      <w:r w:rsidRPr="00351B7D">
        <w:rPr>
          <w:rFonts w:asciiTheme="minorBidi" w:hAnsiTheme="minorBidi"/>
          <w:color w:val="000000"/>
          <w:sz w:val="16"/>
          <w:szCs w:val="16"/>
          <w:rtl/>
        </w:rPr>
        <w:t xml:space="preserve">  (באה"ט </w:t>
      </w:r>
      <w:r w:rsidRPr="00351B7D">
        <w:rPr>
          <w:rFonts w:asciiTheme="minorBidi" w:hAnsiTheme="minorBidi"/>
          <w:color w:val="000000"/>
          <w:sz w:val="14"/>
          <w:szCs w:val="14"/>
          <w:rtl/>
        </w:rPr>
        <w:t xml:space="preserve">[סקי"ד] </w:t>
      </w:r>
      <w:r w:rsidRPr="00351B7D">
        <w:rPr>
          <w:rFonts w:asciiTheme="minorBidi" w:hAnsiTheme="minorBidi"/>
          <w:color w:val="000000"/>
          <w:sz w:val="16"/>
          <w:szCs w:val="16"/>
          <w:rtl/>
        </w:rPr>
        <w:t xml:space="preserve">ופת"ש </w:t>
      </w:r>
      <w:r w:rsidRPr="00351B7D">
        <w:rPr>
          <w:rFonts w:asciiTheme="minorBidi" w:hAnsiTheme="minorBidi"/>
          <w:color w:val="000000"/>
          <w:sz w:val="14"/>
          <w:szCs w:val="14"/>
          <w:rtl/>
        </w:rPr>
        <w:t>[סקי"ג]</w:t>
      </w:r>
      <w:r w:rsidRPr="00351B7D">
        <w:rPr>
          <w:rFonts w:asciiTheme="minorBidi" w:hAnsiTheme="minorBidi"/>
          <w:color w:val="000000"/>
          <w:sz w:val="16"/>
          <w:szCs w:val="16"/>
          <w:rtl/>
        </w:rPr>
        <w:t>)</w:t>
      </w:r>
    </w:p>
    <w:p w14:paraId="6AC0623C" w14:textId="77777777" w:rsidR="008E16D0" w:rsidRPr="00351B7D" w:rsidRDefault="008E16D0" w:rsidP="008E16D0">
      <w:pPr>
        <w:ind w:left="360"/>
        <w:rPr>
          <w:rFonts w:asciiTheme="minorBidi" w:hAnsiTheme="minorBidi"/>
          <w:u w:val="dotted"/>
        </w:rPr>
      </w:pPr>
      <w:r w:rsidRPr="00351B7D">
        <w:rPr>
          <w:rFonts w:asciiTheme="minorBidi" w:hAnsiTheme="minorBidi"/>
          <w:u w:val="dotted"/>
          <w:rtl/>
        </w:rPr>
        <w:t>אם היא מכחשת שנתקדשה:</w:t>
      </w:r>
    </w:p>
    <w:p w14:paraId="71857588" w14:textId="77777777" w:rsidR="008E16D0" w:rsidRPr="00351B7D" w:rsidRDefault="008E16D0" w:rsidP="00A8697F">
      <w:pPr>
        <w:pStyle w:val="ab"/>
        <w:numPr>
          <w:ilvl w:val="0"/>
          <w:numId w:val="119"/>
        </w:numPr>
        <w:rPr>
          <w:rFonts w:asciiTheme="minorBidi" w:hAnsiTheme="minorBidi"/>
        </w:rPr>
      </w:pPr>
      <w:r w:rsidRPr="00351B7D">
        <w:rPr>
          <w:rFonts w:asciiTheme="minorBidi" w:hAnsiTheme="minorBidi"/>
          <w:rtl/>
        </w:rPr>
        <w:t xml:space="preserve">מהריב"ל </w:t>
      </w:r>
      <w:r w:rsidRPr="00351B7D">
        <w:rPr>
          <w:rFonts w:asciiTheme="minorBidi" w:hAnsiTheme="minorBidi"/>
          <w:sz w:val="16"/>
          <w:szCs w:val="16"/>
          <w:rtl/>
        </w:rPr>
        <w:t>(ח"ג סי' קד)</w:t>
      </w:r>
      <w:r w:rsidRPr="00351B7D">
        <w:rPr>
          <w:rFonts w:asciiTheme="minorBidi" w:hAnsiTheme="minorBidi"/>
          <w:rtl/>
        </w:rPr>
        <w:t>- הוי ספק קדושין.</w:t>
      </w:r>
    </w:p>
    <w:p w14:paraId="27FAD0A1" w14:textId="77777777" w:rsidR="008E16D0" w:rsidRPr="00351B7D" w:rsidRDefault="008E16D0" w:rsidP="00A8697F">
      <w:pPr>
        <w:pStyle w:val="ab"/>
        <w:numPr>
          <w:ilvl w:val="0"/>
          <w:numId w:val="119"/>
        </w:numPr>
        <w:rPr>
          <w:rFonts w:asciiTheme="minorBidi" w:hAnsiTheme="minorBidi"/>
        </w:rPr>
      </w:pPr>
      <w:r w:rsidRPr="00351B7D">
        <w:rPr>
          <w:rFonts w:asciiTheme="minorBidi" w:hAnsiTheme="minorBidi"/>
          <w:rtl/>
        </w:rPr>
        <w:t xml:space="preserve">רש"ך </w:t>
      </w:r>
      <w:r w:rsidRPr="00351B7D">
        <w:rPr>
          <w:rFonts w:asciiTheme="minorBidi" w:hAnsiTheme="minorBidi"/>
          <w:sz w:val="16"/>
          <w:szCs w:val="16"/>
          <w:rtl/>
        </w:rPr>
        <w:t>(ח"ב סי' קלד)</w:t>
      </w:r>
      <w:r w:rsidRPr="00351B7D">
        <w:rPr>
          <w:rFonts w:asciiTheme="minorBidi" w:hAnsiTheme="minorBidi"/>
          <w:rtl/>
        </w:rPr>
        <w:t xml:space="preserve"> והמבי"ט </w:t>
      </w:r>
      <w:r w:rsidRPr="00351B7D">
        <w:rPr>
          <w:rFonts w:asciiTheme="minorBidi" w:hAnsiTheme="minorBidi"/>
          <w:sz w:val="16"/>
          <w:szCs w:val="16"/>
          <w:rtl/>
        </w:rPr>
        <w:t>(סי' רכו)</w:t>
      </w:r>
      <w:r w:rsidRPr="00351B7D">
        <w:rPr>
          <w:rFonts w:asciiTheme="minorBidi" w:hAnsiTheme="minorBidi"/>
          <w:rtl/>
        </w:rPr>
        <w:t>- אינה מקודשת כלל.</w:t>
      </w:r>
    </w:p>
    <w:p w14:paraId="5C226B75" w14:textId="77777777" w:rsidR="008E16D0" w:rsidRPr="00351B7D" w:rsidRDefault="008E16D0" w:rsidP="008E16D0">
      <w:pPr>
        <w:ind w:left="360"/>
        <w:rPr>
          <w:rFonts w:asciiTheme="minorBidi" w:hAnsiTheme="minorBidi"/>
          <w:u w:val="dotted"/>
        </w:rPr>
      </w:pPr>
      <w:r w:rsidRPr="00351B7D">
        <w:rPr>
          <w:rFonts w:asciiTheme="minorBidi" w:hAnsiTheme="minorBidi"/>
          <w:u w:val="dotted"/>
          <w:rtl/>
        </w:rPr>
        <w:t>אם היא מודה שנתקדשה:</w:t>
      </w:r>
    </w:p>
    <w:p w14:paraId="2F813F79" w14:textId="77777777" w:rsidR="008E16D0" w:rsidRPr="00351B7D" w:rsidRDefault="008E16D0" w:rsidP="00A8697F">
      <w:pPr>
        <w:pStyle w:val="ab"/>
        <w:numPr>
          <w:ilvl w:val="0"/>
          <w:numId w:val="120"/>
        </w:numPr>
        <w:rPr>
          <w:rFonts w:asciiTheme="minorBidi" w:hAnsiTheme="minorBidi"/>
        </w:rPr>
      </w:pPr>
      <w:r w:rsidRPr="00351B7D">
        <w:rPr>
          <w:rFonts w:asciiTheme="minorBidi" w:hAnsiTheme="minorBidi"/>
          <w:rtl/>
        </w:rPr>
        <w:t xml:space="preserve">מהריב"ל </w:t>
      </w:r>
      <w:r w:rsidRPr="00351B7D">
        <w:rPr>
          <w:rFonts w:asciiTheme="minorBidi" w:hAnsiTheme="minorBidi"/>
          <w:sz w:val="16"/>
          <w:szCs w:val="16"/>
          <w:rtl/>
        </w:rPr>
        <w:t>(ח"ג סי' ק"ד)</w:t>
      </w:r>
      <w:r w:rsidRPr="00351B7D">
        <w:rPr>
          <w:rFonts w:asciiTheme="minorBidi" w:hAnsiTheme="minorBidi"/>
          <w:rtl/>
        </w:rPr>
        <w:t xml:space="preserve"> וישועות יעקב </w:t>
      </w:r>
      <w:r w:rsidRPr="00351B7D">
        <w:rPr>
          <w:rFonts w:asciiTheme="minorBidi" w:hAnsiTheme="minorBidi"/>
          <w:sz w:val="16"/>
          <w:szCs w:val="16"/>
          <w:rtl/>
        </w:rPr>
        <w:t>(פירוש הקצר סק"ו)</w:t>
      </w:r>
      <w:r w:rsidRPr="00351B7D">
        <w:rPr>
          <w:rFonts w:asciiTheme="minorBidi" w:hAnsiTheme="minorBidi"/>
          <w:rtl/>
        </w:rPr>
        <w:t>- הוי קדושין גמורים.</w:t>
      </w:r>
    </w:p>
    <w:p w14:paraId="0C6CC1E1" w14:textId="77777777" w:rsidR="008E16D0" w:rsidRPr="00351B7D" w:rsidRDefault="008E16D0" w:rsidP="00A8697F">
      <w:pPr>
        <w:pStyle w:val="ab"/>
        <w:numPr>
          <w:ilvl w:val="0"/>
          <w:numId w:val="120"/>
        </w:numPr>
        <w:rPr>
          <w:rFonts w:asciiTheme="minorBidi" w:hAnsiTheme="minorBidi"/>
          <w:rtl/>
        </w:rPr>
      </w:pPr>
      <w:r w:rsidRPr="00351B7D">
        <w:rPr>
          <w:rFonts w:asciiTheme="minorBidi" w:hAnsiTheme="minorBidi"/>
          <w:rtl/>
        </w:rPr>
        <w:t xml:space="preserve">רדב"ז </w:t>
      </w:r>
      <w:r w:rsidRPr="00351B7D">
        <w:rPr>
          <w:rFonts w:asciiTheme="minorBidi" w:hAnsiTheme="minorBidi"/>
          <w:sz w:val="16"/>
          <w:szCs w:val="16"/>
          <w:rtl/>
        </w:rPr>
        <w:t>(ח"ד סי' קנו)</w:t>
      </w:r>
      <w:r w:rsidRPr="00351B7D">
        <w:rPr>
          <w:rFonts w:asciiTheme="minorBidi" w:hAnsiTheme="minorBidi"/>
          <w:rtl/>
        </w:rPr>
        <w:t xml:space="preserve">- כל שמכיר העד לאשה אח"כ הוי מקודשת גמורה. </w:t>
      </w:r>
    </w:p>
    <w:p w14:paraId="43567BB3" w14:textId="77777777" w:rsidR="008E16D0" w:rsidRPr="00351B7D" w:rsidRDefault="008E16D0" w:rsidP="00A8697F">
      <w:pPr>
        <w:pStyle w:val="ab"/>
        <w:numPr>
          <w:ilvl w:val="0"/>
          <w:numId w:val="120"/>
        </w:numPr>
        <w:rPr>
          <w:rFonts w:asciiTheme="minorBidi" w:hAnsiTheme="minorBidi"/>
        </w:rPr>
      </w:pPr>
      <w:r w:rsidRPr="00351B7D">
        <w:rPr>
          <w:rFonts w:asciiTheme="minorBidi" w:hAnsiTheme="minorBidi"/>
          <w:rtl/>
        </w:rPr>
        <w:t xml:space="preserve">המבי"ט </w:t>
      </w:r>
      <w:r w:rsidRPr="00351B7D">
        <w:rPr>
          <w:rFonts w:asciiTheme="minorBidi" w:hAnsiTheme="minorBidi"/>
          <w:sz w:val="16"/>
          <w:szCs w:val="16"/>
          <w:rtl/>
        </w:rPr>
        <w:t>(סי' רכו)</w:t>
      </w:r>
      <w:r w:rsidRPr="00351B7D">
        <w:rPr>
          <w:rFonts w:asciiTheme="minorBidi" w:hAnsiTheme="minorBidi"/>
          <w:rtl/>
        </w:rPr>
        <w:t>- אינה מקודשת כלל</w:t>
      </w:r>
      <w:r w:rsidRPr="00351B7D">
        <w:rPr>
          <w:rStyle w:val="a7"/>
          <w:rFonts w:asciiTheme="minorBidi" w:hAnsiTheme="minorBidi"/>
          <w:color w:val="000000"/>
          <w:rtl/>
        </w:rPr>
        <w:footnoteReference w:id="513"/>
      </w:r>
      <w:r w:rsidRPr="00351B7D">
        <w:rPr>
          <w:rFonts w:asciiTheme="minorBidi" w:hAnsiTheme="minorBidi"/>
          <w:rtl/>
        </w:rPr>
        <w:t>, ואפילו הכירוה אח"כ צריך שיהיו המעות קדושין בעין ויחזור ויאמר לה הרי את מקודשת לי ותאמר הן</w:t>
      </w:r>
      <w:r w:rsidRPr="00351B7D">
        <w:rPr>
          <w:rFonts w:asciiTheme="minorBidi" w:hAnsiTheme="minorBidi"/>
          <w:sz w:val="16"/>
          <w:szCs w:val="16"/>
          <w:rtl/>
        </w:rPr>
        <w:t xml:space="preserve"> (שלא תהא שתיקותא דלאחר מתן מעות)</w:t>
      </w:r>
      <w:r w:rsidRPr="00351B7D">
        <w:rPr>
          <w:rFonts w:asciiTheme="minorBidi" w:hAnsiTheme="minorBidi"/>
          <w:rtl/>
        </w:rPr>
        <w:t xml:space="preserve">. </w:t>
      </w:r>
    </w:p>
    <w:p w14:paraId="67D46D3F"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מעשה בקדושין שאחד מהעדים היה קרוב והחופה הייתה לפני עם רב:</w:t>
      </w:r>
      <w:r w:rsidRPr="00351B7D">
        <w:rPr>
          <w:rFonts w:asciiTheme="minorBidi" w:hAnsiTheme="minorBidi"/>
          <w:color w:val="000000"/>
          <w:rtl/>
        </w:rPr>
        <w:t xml:space="preserve">   </w:t>
      </w:r>
      <w:r w:rsidRPr="00351B7D">
        <w:rPr>
          <w:rFonts w:asciiTheme="minorBidi" w:hAnsiTheme="minorBidi"/>
          <w:color w:val="000000"/>
          <w:sz w:val="16"/>
          <w:szCs w:val="16"/>
          <w:rtl/>
        </w:rPr>
        <w:t>(פת"ש סקי"א)</w:t>
      </w:r>
    </w:p>
    <w:p w14:paraId="5B700751" w14:textId="77777777" w:rsidR="008E16D0" w:rsidRPr="00351B7D" w:rsidRDefault="008E16D0" w:rsidP="00A8697F">
      <w:pPr>
        <w:pStyle w:val="ab"/>
        <w:numPr>
          <w:ilvl w:val="0"/>
          <w:numId w:val="62"/>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ק)</w:t>
      </w:r>
      <w:r w:rsidRPr="00351B7D">
        <w:rPr>
          <w:rFonts w:asciiTheme="minorBidi" w:hAnsiTheme="minorBidi"/>
          <w:rtl/>
        </w:rPr>
        <w:t xml:space="preserve">- רב א' סידר קדושין וצירף עמו שמש א' להיות ב' עדים מיוחדים, והיו שם עוד רבנים ואנשים הרבה בחופה אבל לא השגיחו על הקדושין כנהוג, ואחר איזה שבועות נודע להרב שהשמש שצירף עמו הוא קרוב להכלה שני בשני בחד בעל, ונשאל אי צריכה להתקדש שנית בעדים כשרים, וכ' הרב השואל שקשה להצריך לקדש שנית משום זילותא דרבנים שהיו בעת החופה ולא הרגישו, וזולת המשפחה שכבר הוא איזה שבועות אחר החתונה. והוא ז"ל השיב מהיות טוב מה הפסד וזלזול יש אם בלט ובסתר בפני ב' עדים כשרים יקדש שנית, אך תורה היא כו', ומצד שלא היו כאן ב' עדים כשרים שראו מעשה הקדושין פשוט יותר מביעא בכותחא דא"צ לקדש שנית כיון שיש ידיעה גמורה וברורה כזו שנכנסה לחופה והיו שם רבנים מסדר קדושין ומברכין ויצאו מהחופה בחזקת נשואה ועדיין הוא כן בלי פקפוק וערעור פשיטא אנן סהדי וכולנו עדי מסירת הקדושין כדין, ופשוט דאשה זו וכיוצא בה מתקדשת ע"פ עדות כל העומדים שם במזמוטי חתן וכלה, אך מה שיש לפקפק הוא מצד שהרב ייחד את הפסול להעיד נמצא עדות כולן בטילה, אלא דהב"ש </w:t>
      </w:r>
      <w:r w:rsidRPr="00351B7D">
        <w:rPr>
          <w:rFonts w:asciiTheme="minorBidi" w:hAnsiTheme="minorBidi"/>
          <w:color w:val="000000"/>
          <w:sz w:val="16"/>
          <w:szCs w:val="16"/>
          <w:rtl/>
        </w:rPr>
        <w:t xml:space="preserve">(סק"ח) </w:t>
      </w:r>
      <w:r w:rsidRPr="00351B7D">
        <w:rPr>
          <w:rFonts w:asciiTheme="minorBidi" w:hAnsiTheme="minorBidi"/>
          <w:rtl/>
        </w:rPr>
        <w:t xml:space="preserve">כ' דלדעת הרא"ש כשרים הקדושין, ואם אח"כ באו לב"ד להעיד לא יופסלו למפרע כולי, אמנם אמת נכון הדבר מ"ש באבנ"מ </w:t>
      </w:r>
      <w:r w:rsidRPr="00351B7D">
        <w:rPr>
          <w:rFonts w:asciiTheme="minorBidi" w:hAnsiTheme="minorBidi"/>
          <w:color w:val="000000"/>
          <w:sz w:val="16"/>
          <w:szCs w:val="16"/>
          <w:rtl/>
        </w:rPr>
        <w:t xml:space="preserve">(סי' מ"ב) </w:t>
      </w:r>
      <w:r w:rsidRPr="00351B7D">
        <w:rPr>
          <w:rFonts w:asciiTheme="minorBidi" w:hAnsiTheme="minorBidi"/>
          <w:rtl/>
        </w:rPr>
        <w:t xml:space="preserve">ובקצה"ח </w:t>
      </w:r>
      <w:r w:rsidRPr="00351B7D">
        <w:rPr>
          <w:rFonts w:asciiTheme="minorBidi" w:hAnsiTheme="minorBidi"/>
          <w:color w:val="000000"/>
          <w:sz w:val="16"/>
          <w:szCs w:val="16"/>
          <w:rtl/>
        </w:rPr>
        <w:t xml:space="preserve">(סי' ל"ו סק"ו) </w:t>
      </w:r>
      <w:r w:rsidRPr="00351B7D">
        <w:rPr>
          <w:rFonts w:asciiTheme="minorBidi" w:hAnsiTheme="minorBidi"/>
          <w:rtl/>
        </w:rPr>
        <w:t xml:space="preserve">נהי דראוי ונכון לייחד עדים בקדושין וגיטין, מ"מ העיקר דלא נאמרו דברי רי"ף ורמב"ם אלא כגון עדות ממון ונפשות, אבל דברים שתחלת עשייתן צריכין עדים אע"פ שאין מייחדים עדים מ"מ דעת הבעלים אינם אלא על הכשרים ולאו כל כמינייהו דפסולים לבטל רצון הבעלים כו', וא"כ הכא אע"פ שהזמין הרב המסדר זה הפסול להצטרף לאו כל כמיניה להפסיד הקדושין שהחתן והכלה מיאנו בו ולא רצו שיהיו עליהם עדים זולת הכשרים כו' </w:t>
      </w:r>
      <w:r w:rsidRPr="00351B7D">
        <w:rPr>
          <w:rFonts w:asciiTheme="minorBidi" w:hAnsiTheme="minorBidi"/>
          <w:sz w:val="16"/>
          <w:szCs w:val="16"/>
          <w:rtl/>
        </w:rPr>
        <w:t>(והגם דהרא"ש שהקשה קושיא הנ"ל ע"כ דלית ליה הך סברא אך לדעת הרא"ש בלא"ה ניחא כמ"ש הב"ש סק"ח הנ"ל נמצא דממ"נ אין כאן חשש)</w:t>
      </w:r>
      <w:r w:rsidRPr="00351B7D">
        <w:rPr>
          <w:rFonts w:asciiTheme="minorBidi" w:hAnsiTheme="minorBidi"/>
          <w:rtl/>
        </w:rPr>
        <w:t xml:space="preserve">, ובלא"ה נ"ל כל עדות שהוא ע"י אנן סהדי א"צ דין עדות ולא יופסל ע"י צירוף פסולים וקרובים דהרי כל אנן סהדי פסולין וכשרים מצורפים, אלא כל אנן סהדי לא צריך כלל </w:t>
      </w:r>
      <w:r w:rsidRPr="00351B7D">
        <w:rPr>
          <w:rFonts w:asciiTheme="minorBidi" w:hAnsiTheme="minorBidi"/>
          <w:color w:val="000000"/>
          <w:sz w:val="16"/>
          <w:szCs w:val="16"/>
          <w:rtl/>
        </w:rPr>
        <w:t>(וכמ"ש רמב"ם סוף הל' גירושין)</w:t>
      </w:r>
      <w:r w:rsidRPr="00351B7D">
        <w:rPr>
          <w:rFonts w:asciiTheme="minorBidi" w:hAnsiTheme="minorBidi"/>
          <w:rtl/>
        </w:rPr>
        <w:t>, ע"כ אין כאן בית מיחוש מעיקר הדין להצריך לקדש שנית רק משום מהיות טוב</w:t>
      </w:r>
      <w:r w:rsidRPr="00351B7D">
        <w:rPr>
          <w:rStyle w:val="a7"/>
          <w:rFonts w:asciiTheme="minorBidi" w:hAnsiTheme="minorBidi"/>
          <w:rtl/>
        </w:rPr>
        <w:footnoteReference w:id="514"/>
      </w:r>
      <w:r w:rsidRPr="00351B7D">
        <w:rPr>
          <w:rFonts w:asciiTheme="minorBidi" w:hAnsiTheme="minorBidi"/>
          <w:rtl/>
        </w:rPr>
        <w:t xml:space="preserve">. </w:t>
      </w:r>
    </w:p>
    <w:p w14:paraId="73D58ACF"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lastRenderedPageBreak/>
        <w:t>מעשה בעדים שאמרו פע"א שהמקדש אמר 'הרי את מקודשת לי' ופעם שניה אמרו שלא אמר 'לי':</w:t>
      </w:r>
      <w:r w:rsidRPr="00351B7D">
        <w:rPr>
          <w:rFonts w:asciiTheme="minorBidi" w:hAnsiTheme="minorBidi"/>
          <w:color w:val="000000"/>
          <w:rtl/>
        </w:rPr>
        <w:t xml:space="preserve">   </w:t>
      </w:r>
      <w:r w:rsidRPr="00351B7D">
        <w:rPr>
          <w:rFonts w:asciiTheme="minorBidi" w:hAnsiTheme="minorBidi"/>
          <w:color w:val="000000"/>
          <w:sz w:val="16"/>
          <w:szCs w:val="16"/>
          <w:rtl/>
        </w:rPr>
        <w:t>(פת"ש סקי"ד)</w:t>
      </w:r>
    </w:p>
    <w:p w14:paraId="623B25FA" w14:textId="77777777" w:rsidR="008E16D0" w:rsidRPr="00351B7D" w:rsidRDefault="008E16D0" w:rsidP="00A8697F">
      <w:pPr>
        <w:pStyle w:val="ab"/>
        <w:numPr>
          <w:ilvl w:val="0"/>
          <w:numId w:val="62"/>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פ"ד)</w:t>
      </w:r>
      <w:r w:rsidRPr="00351B7D">
        <w:rPr>
          <w:rFonts w:asciiTheme="minorBidi" w:hAnsiTheme="minorBidi"/>
          <w:rtl/>
        </w:rPr>
        <w:t>- איברא לא ידענא מה היה לבד"ץ לקבל עדים פעם אחר פעם כיון שהגידו פ"א, מה לנו ולצרה הזאת לשמוע שנית, והרי קמן בפעם הראשונה העידו שניהם ששמעו ממנו הרי את מקודשת לי, ובפעם הב' חזרו שניהם ואמרו שלא אמר לי, ופשוט שאין בדבריהם האחרונים כלום כיון שהגידו בפעם הראשונה שאמר 'לי' שוב אינו חוזר ומגיד אפילו להפוסקים דעדות שנתקבל שלא בפני בע"ד אפי' בדיעבד אינו מועיל ויחזור ויגיד, הכא הרי העידו בפני האשה שהיא הנידונית ועליה אנו דנין מותרת לעלמא או אסורה, ואין לבעל עסק בכל הענין הזה, ופשוט שאפי' לכתחלה מקבלים עדות בפני האשה שלא בפני המקדש וא"כ בנ"ד פשוט דעדות הראשונה עדות קיימת בזה ששמעו שניהם 'מקודשת לי', גם מה שאמר העד הראשון שאינו ידוע אם אמר המקדש שהטבעת של אחיו, אין זה בגדר עד שאמר איני יודע כי מה צורך לו לידע של מי הוא חזקה מה שביד אדם הוא שלו כיון שקידש אשה בטבעת אם לא יבואו עדים שאינו שלו הרי הוא שלו.</w:t>
      </w:r>
    </w:p>
    <w:p w14:paraId="122CCE8D" w14:textId="77777777" w:rsidR="008E16D0" w:rsidRPr="00351B7D" w:rsidRDefault="008E16D0" w:rsidP="008E16D0">
      <w:pPr>
        <w:rPr>
          <w:rFonts w:asciiTheme="minorBidi" w:hAnsiTheme="minorBidi"/>
          <w:color w:val="000000"/>
        </w:rPr>
      </w:pPr>
      <w:r w:rsidRPr="00351B7D">
        <w:rPr>
          <w:rFonts w:asciiTheme="minorBidi" w:hAnsiTheme="minorBidi"/>
          <w:u w:val="single"/>
          <w:rtl/>
        </w:rPr>
        <w:t>מעשים בקדושין שנכתבו ונחתמו על שטר:</w:t>
      </w:r>
      <w:r w:rsidRPr="00351B7D">
        <w:rPr>
          <w:rFonts w:asciiTheme="minorBidi" w:hAnsiTheme="minorBidi"/>
          <w:color w:val="000000"/>
          <w:rtl/>
        </w:rPr>
        <w:t xml:space="preserve">   </w:t>
      </w:r>
      <w:r w:rsidRPr="00351B7D">
        <w:rPr>
          <w:rFonts w:asciiTheme="minorBidi" w:hAnsiTheme="minorBidi"/>
          <w:color w:val="000000"/>
          <w:sz w:val="16"/>
          <w:szCs w:val="16"/>
          <w:rtl/>
        </w:rPr>
        <w:t>(פת"ש סקי"ז)</w:t>
      </w:r>
    </w:p>
    <w:p w14:paraId="5BFCABD2" w14:textId="77777777" w:rsidR="008E16D0" w:rsidRPr="00351B7D" w:rsidRDefault="008E16D0" w:rsidP="00A8697F">
      <w:pPr>
        <w:pStyle w:val="ab"/>
        <w:numPr>
          <w:ilvl w:val="0"/>
          <w:numId w:val="62"/>
        </w:numPr>
        <w:rPr>
          <w:rFonts w:asciiTheme="minorBidi" w:hAnsiTheme="minorBidi"/>
        </w:rPr>
      </w:pPr>
      <w:r w:rsidRPr="00351B7D">
        <w:rPr>
          <w:rFonts w:asciiTheme="minorBidi" w:hAnsiTheme="minorBidi"/>
          <w:rtl/>
        </w:rPr>
        <w:t xml:space="preserve">רדב"ז </w:t>
      </w:r>
      <w:r w:rsidRPr="00351B7D">
        <w:rPr>
          <w:rFonts w:asciiTheme="minorBidi" w:hAnsiTheme="minorBidi"/>
          <w:sz w:val="16"/>
          <w:szCs w:val="16"/>
          <w:rtl/>
        </w:rPr>
        <w:t>(ח"ב סי' תשסה)</w:t>
      </w:r>
      <w:r w:rsidRPr="00351B7D">
        <w:rPr>
          <w:rFonts w:asciiTheme="minorBidi" w:hAnsiTheme="minorBidi"/>
          <w:rtl/>
        </w:rPr>
        <w:t xml:space="preserve">- על ענין שטר קדושין הבא לפנינו שפלוני קדש את פלונית ואין העדים מעידים בפנינו, הנה הרשב"א בתשו' אמר כי זה נקרא מפי כתבם ומחלק בין סופרים בקיאים ובין עדים דעלמא דלא ידעי וכתבו שלא מדעת האשה ולכן אין זה שטר אלא פנקס בעלמא, הילכך בנ"ד אם הם סופרי העיר חזקה דבקיאי ולא חתמו אלא מדעת האשה ואפילו שהיא מכחשת הקדושין לאו כל כמינה, ואם העדים אינם סופרי הקהל ולא בקיאין, אם כתבו בשטר 'פלונית נתקדשה בפנינו מדעתה </w:t>
      </w:r>
      <w:r w:rsidRPr="00351B7D">
        <w:rPr>
          <w:rFonts w:asciiTheme="minorBidi" w:hAnsiTheme="minorBidi"/>
          <w:u w:val="single"/>
          <w:rtl/>
        </w:rPr>
        <w:t>ואמרו לנו</w:t>
      </w:r>
      <w:r w:rsidRPr="00351B7D">
        <w:rPr>
          <w:rFonts w:asciiTheme="minorBidi" w:hAnsiTheme="minorBidi"/>
          <w:rtl/>
        </w:rPr>
        <w:t xml:space="preserve"> כתבו' הרי היא מקודשת גמורה שהרי שטר גמור הוא שנעשה לדעת שניהם, ואם היא מכחשת יתקיים השטר בחותמיו, ואם לא יתקיים צריכים העדים לבא להעיד בפיהם, ואם מתו נ"ל שצריכה ממנו גט דלא גרע מיצא עליה קול שהיא מקודשת, ואם אין כתוב בשטר רק בפנינו נתקדשה פלונית לפלוני, זהו שאמר הרב שאין לו דין שטר כלל ויבואו ויעידו בפיהם, ואם לא באו, אם כתב ידם יוצא ממקום אחר חוששין לה וצריכה גט דלא גרע מקול, ואם אין כתב ידם יוצא ממקום אחר אין חוששין דאיהו זייף וחתם. </w:t>
      </w:r>
    </w:p>
    <w:p w14:paraId="075884C3" w14:textId="77777777" w:rsidR="008E16D0" w:rsidRPr="00351B7D" w:rsidRDefault="008E16D0" w:rsidP="00A8697F">
      <w:pPr>
        <w:pStyle w:val="ab"/>
        <w:numPr>
          <w:ilvl w:val="0"/>
          <w:numId w:val="62"/>
        </w:numPr>
        <w:rPr>
          <w:rFonts w:asciiTheme="minorBidi" w:hAnsiTheme="minorBidi"/>
        </w:rPr>
      </w:pPr>
      <w:r w:rsidRPr="00351B7D">
        <w:rPr>
          <w:rFonts w:asciiTheme="minorBidi" w:hAnsiTheme="minorBidi"/>
          <w:rtl/>
        </w:rPr>
        <w:t>נו"ב</w:t>
      </w:r>
      <w:r w:rsidRPr="00351B7D">
        <w:rPr>
          <w:rFonts w:asciiTheme="minorBidi" w:hAnsiTheme="minorBidi"/>
          <w:sz w:val="16"/>
          <w:szCs w:val="16"/>
          <w:rtl/>
        </w:rPr>
        <w:t xml:space="preserve"> (סי' נח)</w:t>
      </w:r>
      <w:r w:rsidRPr="00351B7D">
        <w:rPr>
          <w:rFonts w:asciiTheme="minorBidi" w:hAnsiTheme="minorBidi"/>
          <w:rtl/>
        </w:rPr>
        <w:t>- אודות שטר שהוציאו קרובי המתקדשת וכתוב בו פלוני קידש פלונית כדת מו"י ושלשה עדים חתומים בו, ואח"כ העידו אותן העדים בעל פה שלא ראו כלל אם נתן טבעת לידה רק שמעו שאמר הרי את כו' ולא ראו שום נתינה, והמקדש אומר שכיון לשחוק. והאריך בזה ותורף דבריו דאין לפסול שטר הזה בגלל שאין מבואר בו זמן הקידושין</w:t>
      </w:r>
      <w:r w:rsidRPr="00351B7D">
        <w:rPr>
          <w:rFonts w:asciiTheme="minorBidi" w:hAnsiTheme="minorBidi"/>
          <w:sz w:val="16"/>
          <w:szCs w:val="16"/>
          <w:rtl/>
        </w:rPr>
        <w:t xml:space="preserve"> (דכבר הוכחתי בתשו' (בסי' ע"ב) דכאן לא בעי' עדות שאי אתה יכול להזימה, ואפילו אם העידו בע"פ ואמרו על הזמן אין אנו יודעים עדותן קיימת)</w:t>
      </w:r>
      <w:r w:rsidRPr="00351B7D">
        <w:rPr>
          <w:rFonts w:asciiTheme="minorBidi" w:hAnsiTheme="minorBidi"/>
          <w:rtl/>
        </w:rPr>
        <w:t xml:space="preserve">, אך לכאורה הדבר פשוט לפסול שטר הזה לפי שמבואר בו שנכתב בלי רצון המקדש כו' וא"כ לרוב הפוסקים החולקים על ר"ת </w:t>
      </w:r>
      <w:r w:rsidRPr="00351B7D">
        <w:rPr>
          <w:rFonts w:asciiTheme="minorBidi" w:hAnsiTheme="minorBidi"/>
          <w:sz w:val="16"/>
          <w:szCs w:val="16"/>
          <w:rtl/>
        </w:rPr>
        <w:t xml:space="preserve">(כמבואר בחו"מ סי' כח סי"א) </w:t>
      </w:r>
      <w:r w:rsidRPr="00351B7D">
        <w:rPr>
          <w:rFonts w:asciiTheme="minorBidi" w:hAnsiTheme="minorBidi"/>
          <w:rtl/>
        </w:rPr>
        <w:t xml:space="preserve">וסברי מפיהם ולא מפי כתבם מיירי בכל העדים אפילו אינם אלמים אין בשטר הזה ממש. אמנם באמת זה אינו דכאן שחתומים בו שלשה ושלשתן היו אצל הקדושין נעשים ב"ד ולא תהא שמיעה גדולה מראיה, וב"ד בודאי יכולים לכתוב בלי שאלת הבעלי דברים, דהא דאיתא בסנהדרין כ"ט אפילו כנפינהו איהו אין כותבין עד דאמר הוו עלי דיינים- כל זה בדבר שבממון שא"א להם להיות דיינים בע"כ שיוכלו לכתוב שטר, אבל במלתא דאיסורא תיכף שהיו שלשה נעשים דיינים ול"ש בזה ריצוי מבעלי דברים. ואף שמבואר בשטר דגוף מעשה הקדושין נעשו בלילה וא"כ ע"כ נעשו עדים ולא דיינים מ"מ עדיין יש לחוש לדברי הי"א שהביא הרמ"א </w:t>
      </w:r>
      <w:r w:rsidRPr="00351B7D">
        <w:rPr>
          <w:rFonts w:asciiTheme="minorBidi" w:hAnsiTheme="minorBidi"/>
          <w:sz w:val="16"/>
          <w:szCs w:val="16"/>
          <w:rtl/>
        </w:rPr>
        <w:t xml:space="preserve">(בחו"מ סי' ה ס"ב) </w:t>
      </w:r>
      <w:r w:rsidRPr="00351B7D">
        <w:rPr>
          <w:rFonts w:asciiTheme="minorBidi" w:hAnsiTheme="minorBidi"/>
          <w:rtl/>
        </w:rPr>
        <w:t xml:space="preserve">שבדיעבד גם בלילה דיניהם דין </w:t>
      </w:r>
      <w:r w:rsidRPr="00351B7D">
        <w:rPr>
          <w:rFonts w:asciiTheme="minorBidi" w:hAnsiTheme="minorBidi"/>
          <w:sz w:val="16"/>
          <w:szCs w:val="16"/>
          <w:rtl/>
        </w:rPr>
        <w:t>(והוא דעת הרשב"ם מהירושלמי הביאו הרא"ש ר"פ י"נ)</w:t>
      </w:r>
      <w:r w:rsidRPr="00351B7D">
        <w:rPr>
          <w:rFonts w:asciiTheme="minorBidi" w:hAnsiTheme="minorBidi"/>
          <w:rtl/>
        </w:rPr>
        <w:t>. וראיות הרמב"ן שהגמ' דילן חולקת אינן מוכרחות די"ל קידו' החודש וחליצה דאיתא בחזרה לא מקרי כ"כ דיעבד</w:t>
      </w:r>
      <w:r w:rsidRPr="00351B7D">
        <w:rPr>
          <w:rStyle w:val="a7"/>
          <w:rFonts w:asciiTheme="minorBidi" w:hAnsiTheme="minorBidi"/>
          <w:color w:val="000000"/>
          <w:rtl/>
        </w:rPr>
        <w:footnoteReference w:id="515"/>
      </w:r>
      <w:r w:rsidRPr="00351B7D">
        <w:rPr>
          <w:rFonts w:asciiTheme="minorBidi" w:hAnsiTheme="minorBidi"/>
          <w:rtl/>
        </w:rPr>
        <w:t xml:space="preserve">. ועוד יש מקום להחמיר בשטר הזה כי לפי הנראה אף שנכתב בלי ידיעת המקדש אבל נעשה ע"י בקשת קרובי המתקדשת ואולי ברצונה וידיעתה נכתב ונחתם, וא"כ לגבי דידה הוא שטר גמור והרי היא מאורסה ואסורה בלא גט. אמנם באמת אין זה חשש מאחר שלא נזכר בשטר שנעשה מרצון הבתולה וגם לא שמענו זאת מפי הבתולה עצמה, אף אם העדים עצמם אמרו כן בעת שכבר חזרו מדברים שבשטר לאו כלום הוא, א"כ אין לנו שום ראיה שנעשה מרצונה והרי מבואר בב"ש דדוקא מפורש בכתב שנכתב מדעתם. ואף שכ' הב"ש דדברי הגה זו סתומים ולא פי' דמיירי שמפורש בכתב. וא"כ אפ"ל דהגה זו שהיא ע"פ הגמ"ר מיירי אפילו לא נתפרש שנכתב מדעתה ואפ"ה נידוק דאם נתקיים חוששין. אך א"כ צריכין אנו לומר דס"ל דאמרי' חזקה שאין העדים חותמין שלא מדעת ולא ס"ל מ"ש הרשב"א שאין העדים בקיאין על זה וכל זה בסתם סהדי אבל עדים הללו אנחנו רואים שאין בקיאין בזה שהרי כתבו בלי ידיעת המקדש בודאי והרי גם בלי ידיעתו לא היה להם לכתוב חובתו שהרי באו לאסרו בקרובותיה ואפ"ה כתבו וחזינן שהם אינם בקיאין בדין זה א"כ ממילא אמרינן עכ"פ בהני סהדי שכתבו גם בלי רצונה וכסברת הרשב"א בסתם סהדי. אמנם גם בלא חשש זה כבר כתבתי שאין בידינו לדחות השטר הזה </w:t>
      </w:r>
      <w:r w:rsidRPr="00351B7D">
        <w:rPr>
          <w:rFonts w:asciiTheme="minorBidi" w:hAnsiTheme="minorBidi"/>
          <w:sz w:val="16"/>
          <w:szCs w:val="16"/>
          <w:rtl/>
        </w:rPr>
        <w:t>(ואפי' היינו יודעים בודאי שנכתב שלא מדעתה)</w:t>
      </w:r>
      <w:r w:rsidRPr="00351B7D">
        <w:rPr>
          <w:rFonts w:asciiTheme="minorBidi" w:hAnsiTheme="minorBidi"/>
          <w:rtl/>
        </w:rPr>
        <w:t xml:space="preserve"> כיון שהיו שלשה כו'. ובפרט כי בדברי הרב השואל נאמר שהבתולה מחזקת בדברים שבשטר וא"כ שויתה נפשה חד"א, דזה פשוט דשויא אנפשיה חד"א שייך אפי' ב' עדים מכחישים דבריו, ואף </w:t>
      </w:r>
      <w:r w:rsidRPr="00351B7D">
        <w:rPr>
          <w:rFonts w:asciiTheme="minorBidi" w:hAnsiTheme="minorBidi"/>
          <w:rtl/>
        </w:rPr>
        <w:lastRenderedPageBreak/>
        <w:t>שהיא לא אמרה בפי' שראו העדים הנתינה אכתי לפמ"ש הב"ש</w:t>
      </w:r>
      <w:r w:rsidRPr="00351B7D">
        <w:rPr>
          <w:rFonts w:asciiTheme="minorBidi" w:hAnsiTheme="minorBidi"/>
          <w:sz w:val="16"/>
          <w:szCs w:val="16"/>
          <w:rtl/>
        </w:rPr>
        <w:t xml:space="preserve"> (בסקי"ב)</w:t>
      </w:r>
      <w:r w:rsidRPr="00351B7D">
        <w:rPr>
          <w:rFonts w:asciiTheme="minorBidi" w:hAnsiTheme="minorBidi"/>
          <w:rtl/>
        </w:rPr>
        <w:t xml:space="preserve"> בשם המרדכי דבקדושין אפי' לא ראו הנתינה ממש אם ראו דבר המוכיח כו' ולכן סיומא דפיסקא שבתולה זו צריכה גט ובלא גט אסורה לעלמא. </w:t>
      </w:r>
    </w:p>
    <w:p w14:paraId="69E9EEC6" w14:textId="77777777" w:rsidR="008E16D0" w:rsidRPr="00351B7D" w:rsidRDefault="008E16D0" w:rsidP="00A8697F">
      <w:pPr>
        <w:pStyle w:val="ab"/>
        <w:numPr>
          <w:ilvl w:val="0"/>
          <w:numId w:val="62"/>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קג)</w:t>
      </w:r>
      <w:r w:rsidRPr="00351B7D">
        <w:rPr>
          <w:rFonts w:asciiTheme="minorBidi" w:hAnsiTheme="minorBidi"/>
          <w:rtl/>
        </w:rPr>
        <w:t xml:space="preserve">- אודות שהעידו עדים שבתולה פלונית נתקדשה לנער פלוני ונתנו עדותן ב' פעמים א' בכתב ליד המקדש ביום ז' שבט חתום בחתימת ידם ממש כאשר העידו בעצמם אח"כ על כתב ידם, ושם נאמר שקידשה בטבעת זהב ואמר לה ה"א מקודשת לי בטבעת זו כדמו"י ונאמר בפירוש כי היא מדעתה ורצונה הושיטה אצבעה לו, אך בשטר זה לא הוזכר זמן הקדושין אימת היה ושוב העידו אלו העדים עצמם בע"פ לפני ב"ד ביום ט' שבט זה המעשה קצת באופנים אחרים וקצת סתירה בין העדים, וכשהעידו כן לפני ב"ד עדיין לא נודע משטר הנ"ל רק אחר גביות עדותן בעת שהיו עוסקין בחקירות ודרישות נתגלה השטר הזה והבתולה מכחשת ואומרת שלקח ידה בחזקה וכשרצה לתת הטבעת על אצבעה שמטה את ידה ממנו ונפל הטבעת ארצה. וחקר שם אם נאמין לעדות השטר ואם דינו ככל שטר שמיום שניתן ליד בעלים הרי הוא כמי שנחקר עדותו בב"ד וממילא מה שאמרו אח"כ בע"פ אין בו ממש אם סותר למה שבשטר דלא אתי על פה ומרע לשטר וכיון שהגיד שוב אינו חוזר ומגיד וממילא אסורה לעלמא, או נימא אין כאן דין שטר אלא עדות בכתב ולא נחוש לו אלא מיום שהביאוהו העדים לב"ד שזה היה אחר שהגידו בע"פ ואין השטר חוזר ומגיד ממה שהגידו בע"פ, וגם הרמב"ם </w:t>
      </w:r>
      <w:r w:rsidRPr="00351B7D">
        <w:rPr>
          <w:rFonts w:asciiTheme="minorBidi" w:hAnsiTheme="minorBidi"/>
          <w:sz w:val="16"/>
          <w:szCs w:val="16"/>
          <w:rtl/>
        </w:rPr>
        <w:t>(פ"ג מה' עדות שהובא בש"ך חו"מ סי' כח סקי"ד)</w:t>
      </w:r>
      <w:r w:rsidRPr="00351B7D">
        <w:rPr>
          <w:rFonts w:asciiTheme="minorBidi" w:hAnsiTheme="minorBidi"/>
          <w:rtl/>
        </w:rPr>
        <w:t xml:space="preserve"> ס"ל החילוק שכ' התוס' </w:t>
      </w:r>
      <w:r w:rsidRPr="00351B7D">
        <w:rPr>
          <w:rFonts w:asciiTheme="minorBidi" w:hAnsiTheme="minorBidi"/>
          <w:sz w:val="16"/>
          <w:szCs w:val="16"/>
          <w:rtl/>
        </w:rPr>
        <w:t>(כתובות דף כ' ד"ה ור' יוחנן ובב"ב דף ל"ט ד"ה מחאה וע' בש"ך ח"מ סי' ט"ל סק"ט)</w:t>
      </w:r>
      <w:r w:rsidRPr="00351B7D">
        <w:rPr>
          <w:rFonts w:asciiTheme="minorBidi" w:hAnsiTheme="minorBidi"/>
          <w:rtl/>
        </w:rPr>
        <w:t xml:space="preserve"> דלא חשיב שטר אלא כשעשו מדעת המתחייב, ואין הטעם בזה משום הפסדו של המתחייב כמו שסבר הגאון בית מאיר אלא דאפי' לא יהיה שום היזק לו בהכתיבה כגון עדות ראיה על קדושין ג"כ לא חשיב שטר אם נעשה בלא דעתה, ודברי התוס' ר"פ אף על פי שהזכיר הב"מ הנ"ל אינו ענין לזה דהתם כבר נתן המתחייב רשות לכתוב רק עתה חוזר בו, בזה יש חילוק אם יש הפסד כו', וגם הראי' שהביא הב"מ דלא כהרשב"א ליתא, ונעלם ממנו תוס' כתובות ק"ב ע"ב ד"ה נתנו לכתוב כו', ומעתה בנ"ד שזה השטר נכתב שלא מדעת הבתולה אין לו דין שטר. אמנם מ"מ העלה הב"ש דיש לחוש כיון דעכ"פ נתברר לנו דאיכא עדים שידעו מזה המעשה ושמא יבואו העדים ויעידו ומ"מ נ"מ טובא דאי אתו העדים בפנינו והעידו היפך השטר לא הוי חוזרים ומגידים דעדות שבשטר זה לא הוי כמו שנחקר בב"ד, ונ"ל בזה גם ר"ת וסייעתו מודו כו', ועוד איכא תיוהא בהאי כתבא דלא נכתב בו זמן הקדושין וכיון שהיא מכחשת בעי דרישה וחקירה, וכיון שאין בו זמן הו"ל עדות שאי אי"ל ובטל השטר, ומ"ש בזה בנו"ב סי' נח </w:t>
      </w:r>
      <w:r w:rsidRPr="00351B7D">
        <w:rPr>
          <w:rFonts w:asciiTheme="minorBidi" w:hAnsiTheme="minorBidi"/>
          <w:color w:val="000000"/>
          <w:sz w:val="16"/>
          <w:szCs w:val="16"/>
          <w:rtl/>
        </w:rPr>
        <w:t xml:space="preserve">(הובא לעיל) </w:t>
      </w:r>
      <w:r w:rsidRPr="00351B7D">
        <w:rPr>
          <w:rFonts w:asciiTheme="minorBidi" w:hAnsiTheme="minorBidi"/>
          <w:rtl/>
        </w:rPr>
        <w:t xml:space="preserve">דעדי קדושין לא בעי יכול להזימן- זה אינו כו', נמצא דלכו"ע שטר זה דנ"ד אין לדון ע"פ עדותו מיום שנכתב ונמסר ליד הבע"ד כי היכא דתיהוי עדותן שעל פיהם כחוזר ומגיד זה ליתא. איברא נ"ל דעכ"פ משעה שהניחו השטר בב"ד בפני העדים ובע"ד ה"ל עדות מעליא כמבואר בריטב"א ספ"ק דמכות דאפי' לרש"י אם נותן עדותו בכתב לב"ד ואומר מה שכתוב כאן אני מעיד מפיהם קרינן בי' כו', וא"כ ה"נ בנ"ד היה כמה משמעות מהעדים שמה שכ' בשטר המה מעידים וה"ל עדות מעליא אפי' לרש"י ומכ"ש לר"ת וממילא אין כאן הפסד מה שלא כתוב בו זמן כיון שעדיין עסקו באותו ענין לפני ב"ד ושם אמרו בע"פ שהיה מעשה הקדושין ביום ה' שבט וסיימו דבריהם בכתב ואילו אמרו חצי עדות בע"פ וחציו בכתב שכתבו ואמרו מ"ש כאן אנו מעידים מי לא היה מועיל וגם יכולים להזימן עי"כ נמצא שעדות השטר האחרון הוא עדות מועיל שלא להתירה בלא גט. והגם שזה נעשה אחר עדותן ע"פ, ואם נמצא סתירה בכתב למה שאמרו בע"פ ה"ל חוזר ומגיד, מ"מ הא מבואר בהשאלה שזה השטר נתגלה בעת שהיו עוסקין בחקירות ודרישות א"כ הכל מיחשב כדבור א' וכתוך כדי דבור </w:t>
      </w:r>
      <w:r w:rsidRPr="00351B7D">
        <w:rPr>
          <w:rFonts w:asciiTheme="minorBidi" w:hAnsiTheme="minorBidi"/>
          <w:sz w:val="16"/>
          <w:szCs w:val="16"/>
          <w:rtl/>
        </w:rPr>
        <w:t>(כמ"ש סמ"ע סי' כט סק"ב)</w:t>
      </w:r>
      <w:r w:rsidRPr="00351B7D">
        <w:rPr>
          <w:rFonts w:asciiTheme="minorBidi" w:hAnsiTheme="minorBidi"/>
          <w:rtl/>
        </w:rPr>
        <w:t>, והבתולה הנ"ל אסורה לעלמא עד שתתגרש מהארוס הזה.</w:t>
      </w:r>
    </w:p>
    <w:p w14:paraId="4E7A1C23" w14:textId="77777777" w:rsidR="008E16D0" w:rsidRPr="00351B7D" w:rsidRDefault="008E16D0" w:rsidP="008E16D0">
      <w:pPr>
        <w:rPr>
          <w:rFonts w:asciiTheme="minorBidi" w:hAnsiTheme="minorBidi"/>
          <w:rtl/>
        </w:rPr>
      </w:pPr>
    </w:p>
    <w:p w14:paraId="3D964E5F" w14:textId="77777777" w:rsidR="008E16D0" w:rsidRPr="00351B7D" w:rsidRDefault="008E16D0" w:rsidP="008E16D0">
      <w:pPr>
        <w:pStyle w:val="2"/>
        <w:rPr>
          <w:rFonts w:asciiTheme="minorBidi" w:hAnsiTheme="minorBidi"/>
          <w:rtl/>
        </w:rPr>
      </w:pPr>
      <w:r w:rsidRPr="00351B7D">
        <w:rPr>
          <w:rFonts w:asciiTheme="minorBidi" w:hAnsiTheme="minorBidi"/>
          <w:rtl/>
        </w:rPr>
        <w:t>סעיף ה: המקדש בפסולי עדות דאורייתא/דרבנן.</w:t>
      </w:r>
    </w:p>
    <w:p w14:paraId="4A495C51" w14:textId="77777777" w:rsidR="008E16D0" w:rsidRPr="00351B7D" w:rsidRDefault="008E16D0" w:rsidP="008E16D0">
      <w:pPr>
        <w:rPr>
          <w:rFonts w:asciiTheme="minorBidi" w:hAnsiTheme="minorBidi"/>
          <w:rtl/>
        </w:rPr>
      </w:pPr>
      <w:r w:rsidRPr="00351B7D">
        <w:rPr>
          <w:rFonts w:asciiTheme="minorBidi" w:hAnsiTheme="minorBidi"/>
          <w:b/>
          <w:bCs/>
          <w:rtl/>
        </w:rPr>
        <w:t xml:space="preserve">סנהדרין כו ע"ב: </w:t>
      </w:r>
      <w:r w:rsidRPr="00351B7D">
        <w:rPr>
          <w:rFonts w:asciiTheme="minorBidi" w:hAnsiTheme="minorBidi"/>
          <w:u w:val="single"/>
          <w:rtl/>
        </w:rPr>
        <w:t>אמר רב נחמן</w:t>
      </w:r>
      <w:r w:rsidRPr="00351B7D">
        <w:rPr>
          <w:rFonts w:asciiTheme="minorBidi" w:hAnsiTheme="minorBidi"/>
          <w:rtl/>
        </w:rPr>
        <w:t>: החשוד על העריות כשר לעדות</w:t>
      </w:r>
      <w:r w:rsidRPr="00351B7D">
        <w:rPr>
          <w:rStyle w:val="a7"/>
          <w:rFonts w:asciiTheme="minorBidi" w:hAnsiTheme="minorBidi"/>
          <w:rtl/>
        </w:rPr>
        <w:footnoteReference w:id="516"/>
      </w:r>
      <w:r w:rsidRPr="00351B7D">
        <w:rPr>
          <w:rFonts w:asciiTheme="minorBidi" w:hAnsiTheme="minorBidi"/>
          <w:rtl/>
        </w:rPr>
        <w:t xml:space="preserve">. </w:t>
      </w:r>
      <w:r w:rsidRPr="00351B7D">
        <w:rPr>
          <w:rFonts w:asciiTheme="minorBidi" w:hAnsiTheme="minorBidi"/>
          <w:u w:val="single"/>
          <w:rtl/>
        </w:rPr>
        <w:t>אמר רב ששת</w:t>
      </w:r>
      <w:r w:rsidRPr="00351B7D">
        <w:rPr>
          <w:rFonts w:asciiTheme="minorBidi" w:hAnsiTheme="minorBidi"/>
          <w:rtl/>
        </w:rPr>
        <w:t>: עני מרי, ארבעין בכתפיה וכשר?</w:t>
      </w:r>
      <w:r w:rsidRPr="00351B7D">
        <w:rPr>
          <w:rStyle w:val="a7"/>
          <w:rFonts w:asciiTheme="minorBidi" w:hAnsiTheme="minorBidi"/>
          <w:rtl/>
        </w:rPr>
        <w:footnoteReference w:id="517"/>
      </w:r>
      <w:r w:rsidRPr="00351B7D">
        <w:rPr>
          <w:rFonts w:asciiTheme="minorBidi" w:hAnsiTheme="minorBidi"/>
          <w:rtl/>
        </w:rPr>
        <w:t xml:space="preserve"> </w:t>
      </w:r>
      <w:r w:rsidRPr="00351B7D">
        <w:rPr>
          <w:rFonts w:asciiTheme="minorBidi" w:hAnsiTheme="minorBidi"/>
          <w:u w:val="single"/>
          <w:rtl/>
        </w:rPr>
        <w:t>אמר רבא</w:t>
      </w:r>
      <w:r w:rsidRPr="00351B7D">
        <w:rPr>
          <w:rFonts w:asciiTheme="minorBidi" w:hAnsiTheme="minorBidi"/>
          <w:rtl/>
        </w:rPr>
        <w:t>: ומודה רב נחמן לענין עדות אשה שהוא פסול</w:t>
      </w:r>
      <w:r w:rsidRPr="00351B7D">
        <w:rPr>
          <w:rStyle w:val="a7"/>
          <w:rFonts w:asciiTheme="minorBidi" w:hAnsiTheme="minorBidi"/>
          <w:rtl/>
        </w:rPr>
        <w:footnoteReference w:id="518"/>
      </w:r>
      <w:r w:rsidRPr="00351B7D">
        <w:rPr>
          <w:rFonts w:asciiTheme="minorBidi" w:hAnsiTheme="minorBidi"/>
          <w:rtl/>
        </w:rPr>
        <w:t xml:space="preserve">. </w:t>
      </w:r>
      <w:r w:rsidRPr="00351B7D">
        <w:rPr>
          <w:rFonts w:asciiTheme="minorBidi" w:hAnsiTheme="minorBidi"/>
          <w:u w:val="single"/>
          <w:rtl/>
        </w:rPr>
        <w:t>אמר רבינא ואיתימא רב פפא</w:t>
      </w:r>
      <w:r w:rsidRPr="00351B7D">
        <w:rPr>
          <w:rFonts w:asciiTheme="minorBidi" w:hAnsiTheme="minorBidi"/>
          <w:rtl/>
        </w:rPr>
        <w:t>: לא אמרן אלא לאפוקה</w:t>
      </w:r>
      <w:r w:rsidRPr="00351B7D">
        <w:rPr>
          <w:rStyle w:val="a7"/>
          <w:rFonts w:asciiTheme="minorBidi" w:hAnsiTheme="minorBidi"/>
          <w:rtl/>
        </w:rPr>
        <w:footnoteReference w:id="519"/>
      </w:r>
      <w:r w:rsidRPr="00351B7D">
        <w:rPr>
          <w:rFonts w:asciiTheme="minorBidi" w:hAnsiTheme="minorBidi"/>
          <w:rtl/>
        </w:rPr>
        <w:t>, אבל לעיולה</w:t>
      </w:r>
      <w:r w:rsidRPr="00351B7D">
        <w:rPr>
          <w:rStyle w:val="a7"/>
          <w:rFonts w:asciiTheme="minorBidi" w:hAnsiTheme="minorBidi"/>
          <w:rtl/>
        </w:rPr>
        <w:footnoteReference w:id="520"/>
      </w:r>
      <w:r w:rsidRPr="00351B7D">
        <w:rPr>
          <w:rFonts w:asciiTheme="minorBidi" w:hAnsiTheme="minorBidi"/>
          <w:rtl/>
        </w:rPr>
        <w:t xml:space="preserve"> לית לן בה. פשיטא! מהו דתימא: הא עדיפא ליה</w:t>
      </w:r>
      <w:r w:rsidRPr="00351B7D">
        <w:rPr>
          <w:rStyle w:val="a7"/>
          <w:rFonts w:asciiTheme="minorBidi" w:hAnsiTheme="minorBidi"/>
          <w:rtl/>
        </w:rPr>
        <w:footnoteReference w:id="521"/>
      </w:r>
      <w:r w:rsidRPr="00351B7D">
        <w:rPr>
          <w:rFonts w:asciiTheme="minorBidi" w:hAnsiTheme="minorBidi"/>
          <w:rtl/>
        </w:rPr>
        <w:t>, דכתיב מים גנובים ימתקו וגו', קא משמע לן: דכמה דקיימא הכי- שכיחא ליה.</w:t>
      </w:r>
    </w:p>
    <w:p w14:paraId="7B67660A" w14:textId="77777777" w:rsidR="008E16D0" w:rsidRPr="00351B7D" w:rsidRDefault="008E16D0" w:rsidP="008E16D0">
      <w:pPr>
        <w:rPr>
          <w:rFonts w:asciiTheme="minorBidi" w:hAnsiTheme="minorBidi"/>
          <w:u w:val="single"/>
          <w:rtl/>
        </w:rPr>
      </w:pPr>
      <w:r w:rsidRPr="00351B7D">
        <w:rPr>
          <w:rFonts w:asciiTheme="minorBidi" w:hAnsiTheme="minorBidi"/>
          <w:u w:val="single"/>
          <w:rtl/>
        </w:rPr>
        <w:lastRenderedPageBreak/>
        <w:t>מה הכוונה "חשוד על העריות"</w:t>
      </w:r>
      <w:r w:rsidRPr="00351B7D">
        <w:rPr>
          <w:rStyle w:val="a7"/>
          <w:rFonts w:asciiTheme="minorBidi" w:hAnsiTheme="minorBidi"/>
          <w:u w:val="single"/>
          <w:rtl/>
        </w:rPr>
        <w:footnoteReference w:id="522"/>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color w:val="000000"/>
          <w:sz w:val="16"/>
          <w:szCs w:val="16"/>
          <w:rtl/>
        </w:rPr>
        <w:t>(ב"י חו"מ סי' לד סע' כה)</w:t>
      </w:r>
    </w:p>
    <w:p w14:paraId="48C28CF0" w14:textId="77777777" w:rsidR="008E16D0" w:rsidRPr="00351B7D" w:rsidRDefault="008E16D0" w:rsidP="00A8697F">
      <w:pPr>
        <w:pStyle w:val="ab"/>
        <w:numPr>
          <w:ilvl w:val="0"/>
          <w:numId w:val="63"/>
        </w:numPr>
        <w:rPr>
          <w:rFonts w:asciiTheme="minorBidi" w:hAnsiTheme="minorBidi"/>
        </w:rPr>
      </w:pPr>
      <w:r w:rsidRPr="00351B7D">
        <w:rPr>
          <w:rFonts w:asciiTheme="minorBidi" w:hAnsiTheme="minorBidi"/>
          <w:rtl/>
        </w:rPr>
        <w:t>רי"ף</w:t>
      </w:r>
      <w:r w:rsidRPr="00351B7D">
        <w:rPr>
          <w:rFonts w:asciiTheme="minorBidi" w:hAnsiTheme="minorBidi"/>
          <w:sz w:val="16"/>
          <w:szCs w:val="16"/>
          <w:rtl/>
        </w:rPr>
        <w:t xml:space="preserve"> </w:t>
      </w:r>
      <w:r w:rsidRPr="00351B7D">
        <w:rPr>
          <w:rFonts w:asciiTheme="minorBidi" w:hAnsiTheme="minorBidi"/>
          <w:rtl/>
        </w:rPr>
        <w:t>(רש"י</w:t>
      </w:r>
      <w:r w:rsidRPr="00351B7D">
        <w:rPr>
          <w:rFonts w:asciiTheme="minorBidi" w:hAnsiTheme="minorBidi"/>
          <w:sz w:val="16"/>
          <w:szCs w:val="16"/>
          <w:rtl/>
        </w:rPr>
        <w:t xml:space="preserve"> להב' הרא"ש והב"י</w:t>
      </w:r>
      <w:r w:rsidRPr="00351B7D">
        <w:rPr>
          <w:rFonts w:asciiTheme="minorBidi" w:hAnsiTheme="minorBidi"/>
          <w:rtl/>
        </w:rPr>
        <w:t xml:space="preserve">) ר"ת תוס' </w:t>
      </w:r>
      <w:r w:rsidRPr="00351B7D">
        <w:rPr>
          <w:rFonts w:asciiTheme="minorBidi" w:hAnsiTheme="minorBidi"/>
          <w:sz w:val="16"/>
          <w:szCs w:val="16"/>
          <w:rtl/>
        </w:rPr>
        <w:t xml:space="preserve">(תרוץ ב') </w:t>
      </w:r>
      <w:r w:rsidRPr="00351B7D">
        <w:rPr>
          <w:rFonts w:asciiTheme="minorBidi" w:hAnsiTheme="minorBidi"/>
          <w:rtl/>
        </w:rPr>
        <w:t>רמב"ם בעהי"ט ונמוק"י</w:t>
      </w:r>
      <w:r w:rsidRPr="00351B7D">
        <w:rPr>
          <w:rStyle w:val="a7"/>
          <w:rFonts w:asciiTheme="minorBidi" w:hAnsiTheme="minorBidi"/>
          <w:rtl/>
        </w:rPr>
        <w:footnoteReference w:id="523"/>
      </w:r>
      <w:r w:rsidRPr="00351B7D">
        <w:rPr>
          <w:rFonts w:asciiTheme="minorBidi" w:hAnsiTheme="minorBidi"/>
          <w:rtl/>
        </w:rPr>
        <w:t>- אדם שבא על הערוה ממש משום שיצרו תוקפו, ואינו רק חשד בעלמא</w:t>
      </w:r>
      <w:r w:rsidRPr="00351B7D">
        <w:rPr>
          <w:rStyle w:val="a7"/>
          <w:rFonts w:asciiTheme="minorBidi" w:hAnsiTheme="minorBidi"/>
          <w:rtl/>
        </w:rPr>
        <w:footnoteReference w:id="524"/>
      </w:r>
      <w:r w:rsidRPr="00351B7D">
        <w:rPr>
          <w:rFonts w:asciiTheme="minorBidi" w:hAnsiTheme="minorBidi"/>
          <w:rtl/>
        </w:rPr>
        <w:t>.</w:t>
      </w:r>
      <w:r w:rsidRPr="00351B7D">
        <w:rPr>
          <w:rFonts w:asciiTheme="minorBidi" w:hAnsiTheme="minorBidi"/>
          <w:color w:val="E36C0A" w:themeColor="accent6" w:themeShade="BF"/>
          <w:rtl/>
        </w:rPr>
        <w:t xml:space="preserve"> </w:t>
      </w:r>
    </w:p>
    <w:p w14:paraId="6AA59E0A" w14:textId="77777777" w:rsidR="008E16D0" w:rsidRPr="00351B7D" w:rsidRDefault="008E16D0" w:rsidP="00A8697F">
      <w:pPr>
        <w:pStyle w:val="ab"/>
        <w:numPr>
          <w:ilvl w:val="0"/>
          <w:numId w:val="63"/>
        </w:numPr>
        <w:rPr>
          <w:rFonts w:asciiTheme="minorBidi" w:hAnsiTheme="minorBidi"/>
          <w:rtl/>
        </w:rPr>
      </w:pPr>
      <w:r w:rsidRPr="00351B7D">
        <w:rPr>
          <w:rFonts w:asciiTheme="minorBidi" w:hAnsiTheme="minorBidi"/>
          <w:rtl/>
        </w:rPr>
        <w:t>(רש"י</w:t>
      </w:r>
      <w:r w:rsidRPr="00351B7D">
        <w:rPr>
          <w:rFonts w:asciiTheme="minorBidi" w:hAnsiTheme="minorBidi"/>
          <w:sz w:val="16"/>
          <w:szCs w:val="16"/>
          <w:rtl/>
        </w:rPr>
        <w:t xml:space="preserve"> להב' התוס'</w:t>
      </w:r>
      <w:r w:rsidRPr="00351B7D">
        <w:rPr>
          <w:rFonts w:asciiTheme="minorBidi" w:hAnsiTheme="minorBidi"/>
          <w:rtl/>
        </w:rPr>
        <w:t xml:space="preserve">) תוס' </w:t>
      </w:r>
      <w:r w:rsidRPr="00351B7D">
        <w:rPr>
          <w:rFonts w:asciiTheme="minorBidi" w:hAnsiTheme="minorBidi"/>
          <w:sz w:val="16"/>
          <w:szCs w:val="16"/>
          <w:rtl/>
        </w:rPr>
        <w:t xml:space="preserve">(תרוץ א') </w:t>
      </w:r>
      <w:r w:rsidRPr="00351B7D">
        <w:rPr>
          <w:rFonts w:asciiTheme="minorBidi" w:hAnsiTheme="minorBidi"/>
          <w:rtl/>
        </w:rPr>
        <w:t>רז"ה מרדכי ורא"ש</w:t>
      </w:r>
      <w:r w:rsidRPr="00351B7D">
        <w:rPr>
          <w:rStyle w:val="a7"/>
          <w:rFonts w:asciiTheme="minorBidi" w:hAnsiTheme="minorBidi"/>
          <w:rtl/>
        </w:rPr>
        <w:footnoteReference w:id="525"/>
      </w:r>
      <w:r w:rsidRPr="00351B7D">
        <w:rPr>
          <w:rFonts w:asciiTheme="minorBidi" w:hAnsiTheme="minorBidi"/>
          <w:rtl/>
        </w:rPr>
        <w:t>- אדם שרגיל וגס בעריות ומתייחד עמהם וסני שומעניה</w:t>
      </w:r>
      <w:r w:rsidRPr="00351B7D">
        <w:rPr>
          <w:rStyle w:val="a7"/>
          <w:rFonts w:asciiTheme="minorBidi" w:hAnsiTheme="minorBidi"/>
          <w:rtl/>
        </w:rPr>
        <w:footnoteReference w:id="526"/>
      </w:r>
      <w:r w:rsidRPr="00351B7D">
        <w:rPr>
          <w:rFonts w:asciiTheme="minorBidi" w:hAnsiTheme="minorBidi"/>
          <w:rtl/>
        </w:rPr>
        <w:t>.</w:t>
      </w:r>
      <w:r w:rsidRPr="00351B7D">
        <w:rPr>
          <w:rFonts w:asciiTheme="minorBidi" w:hAnsiTheme="minorBidi"/>
          <w:color w:val="00B0F0"/>
          <w:rtl/>
        </w:rPr>
        <w:t xml:space="preserve"> (וכ"פ הרמ"א)</w:t>
      </w:r>
      <w:r w:rsidRPr="00351B7D">
        <w:rPr>
          <w:rFonts w:asciiTheme="minorBidi" w:hAnsiTheme="minorBidi"/>
          <w:rtl/>
        </w:rPr>
        <w:t xml:space="preserve"> </w:t>
      </w:r>
    </w:p>
    <w:p w14:paraId="6EACD114"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האם חשוד על העריות פסול </w:t>
      </w:r>
      <w:r w:rsidRPr="00351B7D">
        <w:rPr>
          <w:rFonts w:asciiTheme="minorBidi" w:hAnsiTheme="minorBidi"/>
          <w:b/>
          <w:bCs/>
          <w:u w:val="single"/>
          <w:rtl/>
        </w:rPr>
        <w:t>לשאר</w:t>
      </w:r>
      <w:r w:rsidRPr="00351B7D">
        <w:rPr>
          <w:rFonts w:asciiTheme="minorBidi" w:hAnsiTheme="minorBidi"/>
          <w:u w:val="single"/>
          <w:rtl/>
        </w:rPr>
        <w:t xml:space="preserve"> עדויות </w:t>
      </w:r>
      <w:r w:rsidRPr="00351B7D">
        <w:rPr>
          <w:rFonts w:asciiTheme="minorBidi" w:hAnsiTheme="minorBidi"/>
          <w:sz w:val="16"/>
          <w:szCs w:val="16"/>
          <w:u w:val="single"/>
          <w:rtl/>
        </w:rPr>
        <w:t>(היינו לכל עדות חוץ מעדות אשה)</w:t>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color w:val="000000"/>
          <w:sz w:val="16"/>
          <w:szCs w:val="16"/>
          <w:rtl/>
        </w:rPr>
        <w:t>(ב"י חו"מ סי' לד סע' כה)</w:t>
      </w:r>
    </w:p>
    <w:p w14:paraId="76DDD83C" w14:textId="77777777" w:rsidR="008E16D0" w:rsidRPr="00351B7D" w:rsidRDefault="008E16D0" w:rsidP="00A8697F">
      <w:pPr>
        <w:pStyle w:val="ab"/>
        <w:numPr>
          <w:ilvl w:val="0"/>
          <w:numId w:val="63"/>
        </w:numPr>
        <w:rPr>
          <w:rFonts w:asciiTheme="minorBidi" w:hAnsiTheme="minorBidi"/>
        </w:rPr>
      </w:pPr>
      <w:r w:rsidRPr="00351B7D">
        <w:rPr>
          <w:rFonts w:asciiTheme="minorBidi" w:hAnsiTheme="minorBidi"/>
          <w:rtl/>
        </w:rPr>
        <w:t>רב האי גאון</w:t>
      </w:r>
      <w:r w:rsidRPr="00351B7D">
        <w:rPr>
          <w:rStyle w:val="a7"/>
          <w:rFonts w:asciiTheme="minorBidi" w:hAnsiTheme="minorBidi"/>
          <w:rtl/>
        </w:rPr>
        <w:footnoteReference w:id="527"/>
      </w:r>
      <w:r w:rsidRPr="00351B7D">
        <w:rPr>
          <w:rFonts w:asciiTheme="minorBidi" w:hAnsiTheme="minorBidi"/>
          <w:rtl/>
        </w:rPr>
        <w:t xml:space="preserve"> רי"ף רמב"ם ומרדכי- פסול, כרב ששת, דהלכתא כרב ששת באיסורי.</w:t>
      </w:r>
    </w:p>
    <w:p w14:paraId="37BD6C42" w14:textId="77777777" w:rsidR="008E16D0" w:rsidRPr="00351B7D" w:rsidRDefault="008E16D0" w:rsidP="00A8697F">
      <w:pPr>
        <w:pStyle w:val="ab"/>
        <w:numPr>
          <w:ilvl w:val="0"/>
          <w:numId w:val="63"/>
        </w:numPr>
        <w:rPr>
          <w:rFonts w:asciiTheme="minorBidi" w:hAnsiTheme="minorBidi"/>
          <w:rtl/>
        </w:rPr>
      </w:pPr>
      <w:r w:rsidRPr="00351B7D">
        <w:rPr>
          <w:rFonts w:asciiTheme="minorBidi" w:hAnsiTheme="minorBidi"/>
          <w:rtl/>
        </w:rPr>
        <w:t>רב נחשון גאון בהעי"ט ורא"ש- כשר</w:t>
      </w:r>
      <w:r w:rsidRPr="00351B7D">
        <w:rPr>
          <w:rStyle w:val="a7"/>
          <w:rFonts w:asciiTheme="minorBidi" w:hAnsiTheme="minorBidi"/>
          <w:rtl/>
        </w:rPr>
        <w:footnoteReference w:id="528"/>
      </w:r>
      <w:r w:rsidRPr="00351B7D">
        <w:rPr>
          <w:rFonts w:asciiTheme="minorBidi" w:hAnsiTheme="minorBidi"/>
          <w:rtl/>
        </w:rPr>
        <w:t xml:space="preserve">, כרב נחמן, </w:t>
      </w:r>
      <w:r w:rsidRPr="00351B7D">
        <w:rPr>
          <w:rFonts w:asciiTheme="minorBidi" w:hAnsiTheme="minorBidi"/>
          <w:u w:val="single"/>
          <w:rtl/>
        </w:rPr>
        <w:t>דלא</w:t>
      </w:r>
      <w:r w:rsidRPr="00351B7D">
        <w:rPr>
          <w:rFonts w:asciiTheme="minorBidi" w:hAnsiTheme="minorBidi"/>
          <w:rtl/>
        </w:rPr>
        <w:t xml:space="preserve"> נחלק רב ששת בהדיא אלא כמתמיה על דבריו</w:t>
      </w:r>
      <w:r w:rsidRPr="00351B7D">
        <w:rPr>
          <w:rStyle w:val="a7"/>
          <w:rFonts w:asciiTheme="minorBidi" w:hAnsiTheme="minorBidi"/>
          <w:rtl/>
        </w:rPr>
        <w:footnoteReference w:id="529"/>
      </w:r>
      <w:r w:rsidRPr="00351B7D">
        <w:rPr>
          <w:rFonts w:asciiTheme="minorBidi" w:hAnsiTheme="minorBidi"/>
          <w:rtl/>
        </w:rPr>
        <w:t xml:space="preserve">, </w:t>
      </w:r>
      <w:r w:rsidRPr="00351B7D">
        <w:rPr>
          <w:rFonts w:asciiTheme="minorBidi" w:hAnsiTheme="minorBidi"/>
          <w:u w:val="single"/>
          <w:rtl/>
        </w:rPr>
        <w:t>וגם</w:t>
      </w:r>
      <w:r w:rsidRPr="00351B7D">
        <w:rPr>
          <w:rFonts w:asciiTheme="minorBidi" w:hAnsiTheme="minorBidi"/>
          <w:rtl/>
        </w:rPr>
        <w:t xml:space="preserve"> מדשקלו וטרו רבא ורבינא ואיתימא רב פפא במילתיה דרב נחמן משמע דסברי כוותיה, </w:t>
      </w:r>
      <w:r w:rsidRPr="00351B7D">
        <w:rPr>
          <w:rFonts w:asciiTheme="minorBidi" w:hAnsiTheme="minorBidi"/>
          <w:u w:val="single"/>
          <w:rtl/>
        </w:rPr>
        <w:t>ועוד</w:t>
      </w:r>
      <w:r w:rsidRPr="00351B7D">
        <w:rPr>
          <w:rFonts w:asciiTheme="minorBidi" w:hAnsiTheme="minorBidi"/>
          <w:rtl/>
        </w:rPr>
        <w:t xml:space="preserve"> דפסול עדות טפי דמי לדינא מלאיסורא. </w:t>
      </w:r>
    </w:p>
    <w:p w14:paraId="78EF008E" w14:textId="77777777" w:rsidR="008E16D0" w:rsidRPr="00351B7D" w:rsidRDefault="008E16D0" w:rsidP="00A8697F">
      <w:pPr>
        <w:pStyle w:val="ab"/>
        <w:numPr>
          <w:ilvl w:val="1"/>
          <w:numId w:val="63"/>
        </w:numPr>
        <w:rPr>
          <w:rFonts w:asciiTheme="minorBidi" w:hAnsiTheme="minorBidi"/>
        </w:rPr>
      </w:pPr>
      <w:r w:rsidRPr="00351B7D">
        <w:rPr>
          <w:rFonts w:asciiTheme="minorBidi" w:hAnsiTheme="minorBidi"/>
          <w:rtl/>
        </w:rPr>
        <w:t xml:space="preserve">ב"י- לענין דינא כולם מסכימים ש- </w:t>
      </w:r>
    </w:p>
    <w:p w14:paraId="03F54CF6" w14:textId="77777777" w:rsidR="008E16D0" w:rsidRPr="00351B7D" w:rsidRDefault="008E16D0" w:rsidP="008E16D0">
      <w:pPr>
        <w:pStyle w:val="ab"/>
        <w:ind w:left="1440"/>
        <w:rPr>
          <w:rFonts w:asciiTheme="minorBidi" w:hAnsiTheme="minorBidi"/>
          <w:u w:val="single"/>
          <w:rtl/>
        </w:rPr>
      </w:pPr>
      <w:r w:rsidRPr="00351B7D">
        <w:rPr>
          <w:rFonts w:asciiTheme="minorBidi" w:hAnsiTheme="minorBidi"/>
          <w:u w:val="dotted"/>
          <w:rtl/>
        </w:rPr>
        <w:t>הבא על הערוה</w:t>
      </w:r>
      <w:r w:rsidRPr="00351B7D">
        <w:rPr>
          <w:rFonts w:asciiTheme="minorBidi" w:hAnsiTheme="minorBidi"/>
          <w:rtl/>
        </w:rPr>
        <w:t>- אע"פ שלא התרו בו פסול לכל עדות</w:t>
      </w:r>
      <w:r w:rsidRPr="00351B7D">
        <w:rPr>
          <w:rFonts w:asciiTheme="minorBidi" w:hAnsiTheme="minorBidi"/>
          <w:sz w:val="16"/>
          <w:szCs w:val="16"/>
          <w:rtl/>
        </w:rPr>
        <w:t xml:space="preserve"> (אם העידו עליו שני עדים)</w:t>
      </w:r>
      <w:r w:rsidRPr="00351B7D">
        <w:rPr>
          <w:rStyle w:val="a7"/>
          <w:rFonts w:asciiTheme="minorBidi" w:hAnsiTheme="minorBidi"/>
          <w:rtl/>
        </w:rPr>
        <w:footnoteReference w:id="530"/>
      </w:r>
      <w:r w:rsidRPr="00351B7D">
        <w:rPr>
          <w:rFonts w:asciiTheme="minorBidi" w:hAnsiTheme="minorBidi"/>
          <w:rtl/>
        </w:rPr>
        <w:t xml:space="preserve">. </w:t>
      </w:r>
      <w:r w:rsidRPr="00351B7D">
        <w:rPr>
          <w:rFonts w:asciiTheme="minorBidi" w:hAnsiTheme="minorBidi"/>
          <w:u w:val="single"/>
          <w:rtl/>
        </w:rPr>
        <w:t xml:space="preserve"> </w:t>
      </w:r>
    </w:p>
    <w:p w14:paraId="74963921" w14:textId="77777777" w:rsidR="008E16D0" w:rsidRPr="00351B7D" w:rsidRDefault="008E16D0" w:rsidP="008E16D0">
      <w:pPr>
        <w:pStyle w:val="ab"/>
        <w:ind w:left="1440"/>
        <w:rPr>
          <w:rFonts w:asciiTheme="minorBidi" w:hAnsiTheme="minorBidi"/>
          <w:rtl/>
        </w:rPr>
      </w:pPr>
      <w:r w:rsidRPr="00351B7D">
        <w:rPr>
          <w:rFonts w:asciiTheme="minorBidi" w:hAnsiTheme="minorBidi"/>
          <w:u w:val="dotted"/>
          <w:rtl/>
        </w:rPr>
        <w:t>הרגיל בעריות וקול יוצא עליו וכו'</w:t>
      </w:r>
      <w:r w:rsidRPr="00351B7D">
        <w:rPr>
          <w:rFonts w:asciiTheme="minorBidi" w:hAnsiTheme="minorBidi"/>
          <w:rtl/>
        </w:rPr>
        <w:t>- כשר לשאר עדויות</w:t>
      </w:r>
      <w:r w:rsidRPr="00351B7D">
        <w:rPr>
          <w:rStyle w:val="a7"/>
          <w:rFonts w:asciiTheme="minorBidi" w:hAnsiTheme="minorBidi"/>
          <w:rtl/>
        </w:rPr>
        <w:footnoteReference w:id="531"/>
      </w:r>
      <w:r w:rsidRPr="00351B7D">
        <w:rPr>
          <w:rFonts w:asciiTheme="minorBidi" w:hAnsiTheme="minorBidi"/>
          <w:rtl/>
        </w:rPr>
        <w:t>, אך פסול לעדות אשה</w:t>
      </w:r>
      <w:r w:rsidRPr="00351B7D">
        <w:rPr>
          <w:rStyle w:val="a7"/>
          <w:rFonts w:asciiTheme="minorBidi" w:hAnsiTheme="minorBidi"/>
          <w:rtl/>
        </w:rPr>
        <w:footnoteReference w:id="532"/>
      </w:r>
      <w:r w:rsidRPr="00351B7D">
        <w:rPr>
          <w:rFonts w:asciiTheme="minorBidi" w:hAnsiTheme="minorBidi"/>
          <w:rtl/>
        </w:rPr>
        <w:t xml:space="preserve">. </w:t>
      </w:r>
      <w:r w:rsidRPr="00351B7D">
        <w:rPr>
          <w:rFonts w:asciiTheme="minorBidi" w:hAnsiTheme="minorBidi"/>
          <w:color w:val="00B0F0"/>
          <w:rtl/>
        </w:rPr>
        <w:t>(וכ"פ הרמ"א</w:t>
      </w:r>
      <w:r w:rsidRPr="00351B7D">
        <w:rPr>
          <w:rStyle w:val="a7"/>
          <w:rFonts w:asciiTheme="minorBidi" w:hAnsiTheme="minorBidi"/>
          <w:rtl/>
        </w:rPr>
        <w:footnoteReference w:id="533"/>
      </w:r>
      <w:r w:rsidRPr="00351B7D">
        <w:rPr>
          <w:rFonts w:asciiTheme="minorBidi" w:hAnsiTheme="minorBidi"/>
          <w:color w:val="00B0F0"/>
          <w:rtl/>
        </w:rPr>
        <w:t>)</w:t>
      </w:r>
    </w:p>
    <w:p w14:paraId="421A96EE"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 xml:space="preserve">פסולי עדות מחמת קורבה הנלמדים מן המדרש </w:t>
      </w:r>
      <w:r w:rsidRPr="00351B7D">
        <w:rPr>
          <w:rFonts w:asciiTheme="minorBidi" w:hAnsiTheme="minorBidi"/>
          <w:sz w:val="16"/>
          <w:szCs w:val="16"/>
          <w:u w:val="single"/>
          <w:rtl/>
        </w:rPr>
        <w:t>(כגון קרובי האם)</w:t>
      </w:r>
      <w:r w:rsidRPr="00351B7D">
        <w:rPr>
          <w:rFonts w:asciiTheme="minorBidi" w:hAnsiTheme="minorBidi"/>
          <w:u w:val="single"/>
          <w:rtl/>
        </w:rPr>
        <w:t>:</w:t>
      </w:r>
      <w:r w:rsidRPr="00351B7D">
        <w:rPr>
          <w:rFonts w:asciiTheme="minorBidi" w:hAnsiTheme="minorBidi"/>
          <w:color w:val="000000"/>
          <w:sz w:val="16"/>
          <w:szCs w:val="16"/>
          <w:rtl/>
        </w:rPr>
        <w:t xml:space="preserve">   (הה"מ [פ"ד ה"ו])</w:t>
      </w:r>
    </w:p>
    <w:p w14:paraId="111D10B0" w14:textId="77777777" w:rsidR="008E16D0" w:rsidRPr="00351B7D" w:rsidRDefault="008E16D0" w:rsidP="00A8697F">
      <w:pPr>
        <w:pStyle w:val="ab"/>
        <w:numPr>
          <w:ilvl w:val="0"/>
          <w:numId w:val="64"/>
        </w:numPr>
        <w:rPr>
          <w:rFonts w:asciiTheme="minorBidi" w:hAnsiTheme="minorBidi"/>
          <w:rtl/>
        </w:rPr>
      </w:pPr>
      <w:r w:rsidRPr="00351B7D">
        <w:rPr>
          <w:rFonts w:asciiTheme="minorBidi" w:hAnsiTheme="minorBidi"/>
          <w:rtl/>
        </w:rPr>
        <w:t>רי"ף רמב"ן ורשב"א</w:t>
      </w:r>
      <w:r w:rsidRPr="00351B7D">
        <w:rPr>
          <w:rStyle w:val="a7"/>
          <w:rFonts w:asciiTheme="minorBidi" w:hAnsiTheme="minorBidi"/>
          <w:rtl/>
        </w:rPr>
        <w:footnoteReference w:id="534"/>
      </w:r>
      <w:r w:rsidRPr="00351B7D">
        <w:rPr>
          <w:rFonts w:asciiTheme="minorBidi" w:hAnsiTheme="minorBidi"/>
          <w:rtl/>
        </w:rPr>
        <w:t>- פסולים מן התורה, לכן אין חוששין לקדושין שנעשו בפניהם.</w:t>
      </w:r>
    </w:p>
    <w:p w14:paraId="2315FCD1" w14:textId="77777777" w:rsidR="008E16D0" w:rsidRPr="00351B7D" w:rsidRDefault="008E16D0" w:rsidP="00A8697F">
      <w:pPr>
        <w:pStyle w:val="ab"/>
        <w:numPr>
          <w:ilvl w:val="0"/>
          <w:numId w:val="64"/>
        </w:numPr>
        <w:rPr>
          <w:rFonts w:asciiTheme="minorBidi" w:hAnsiTheme="minorBidi"/>
        </w:rPr>
      </w:pPr>
      <w:r w:rsidRPr="00351B7D">
        <w:rPr>
          <w:rFonts w:asciiTheme="minorBidi" w:hAnsiTheme="minorBidi"/>
          <w:u w:val="dotted"/>
          <w:rtl/>
        </w:rPr>
        <mc:AlternateContent>
          <mc:Choice Requires="wps">
            <w:drawing>
              <wp:anchor distT="0" distB="0" distL="114300" distR="114300" simplePos="0" relativeHeight="251671552" behindDoc="0" locked="0" layoutInCell="1" allowOverlap="1" wp14:anchorId="013FA66E" wp14:editId="01E0690F">
                <wp:simplePos x="0" y="0"/>
                <wp:positionH relativeFrom="column">
                  <wp:posOffset>5092700</wp:posOffset>
                </wp:positionH>
                <wp:positionV relativeFrom="paragraph">
                  <wp:posOffset>206944</wp:posOffset>
                </wp:positionV>
                <wp:extent cx="45085" cy="94615"/>
                <wp:effectExtent l="19050" t="0" r="31115" b="38735"/>
                <wp:wrapNone/>
                <wp:docPr id="15" name="Down Arrow 15"/>
                <wp:cNvGraphicFramePr/>
                <a:graphic xmlns:a="http://schemas.openxmlformats.org/drawingml/2006/main">
                  <a:graphicData uri="http://schemas.microsoft.com/office/word/2010/wordprocessingShape">
                    <wps:wsp>
                      <wps:cNvSpPr/>
                      <wps:spPr>
                        <a:xfrm>
                          <a:off x="0" y="0"/>
                          <a:ext cx="45085" cy="946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BDDBE6" id="Down Arrow 15" o:spid="_x0000_s1026" type="#_x0000_t67" style="position:absolute;left:0;text-align:left;margin-left:401pt;margin-top:16.3pt;width:3.55pt;height:7.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" adj="16454" fillcolor="black [3200]" strokecolor="black [1600]" strokeweight="2pt"/>
            </w:pict>
          </mc:Fallback>
        </mc:AlternateContent>
      </w:r>
      <w:r w:rsidRPr="00351B7D">
        <w:rPr>
          <w:rFonts w:asciiTheme="minorBidi" w:hAnsiTheme="minorBidi"/>
          <w:rtl/>
        </w:rPr>
        <w:t>גאונים</w:t>
      </w:r>
      <w:r w:rsidRPr="00351B7D">
        <w:rPr>
          <w:rStyle w:val="a7"/>
          <w:rFonts w:asciiTheme="minorBidi" w:hAnsiTheme="minorBidi"/>
          <w:rtl/>
        </w:rPr>
        <w:footnoteReference w:id="535"/>
      </w:r>
      <w:r w:rsidRPr="00351B7D">
        <w:rPr>
          <w:rFonts w:asciiTheme="minorBidi" w:hAnsiTheme="minorBidi"/>
          <w:rtl/>
        </w:rPr>
        <w:t xml:space="preserve"> ורמב"ם</w:t>
      </w:r>
      <w:r w:rsidRPr="00351B7D">
        <w:rPr>
          <w:rFonts w:asciiTheme="minorBidi" w:hAnsiTheme="minorBidi"/>
          <w:sz w:val="16"/>
          <w:szCs w:val="16"/>
          <w:rtl/>
        </w:rPr>
        <w:t xml:space="preserve"> (הל' עדות פי"ג ה"א)</w:t>
      </w:r>
      <w:r w:rsidRPr="00351B7D">
        <w:rPr>
          <w:rFonts w:asciiTheme="minorBidi" w:hAnsiTheme="minorBidi"/>
          <w:rtl/>
        </w:rPr>
        <w:t xml:space="preserve">- פסולים מדברי סופרים. </w:t>
      </w:r>
    </w:p>
    <w:p w14:paraId="1D909F57"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 xml:space="preserve">מה הכוונה בדברי הרמב"ם "פסולים </w:t>
      </w:r>
      <w:r w:rsidRPr="00351B7D">
        <w:rPr>
          <w:rFonts w:asciiTheme="minorBidi" w:hAnsiTheme="minorBidi"/>
          <w:b/>
          <w:bCs/>
          <w:u w:val="dotted"/>
          <w:rtl/>
        </w:rPr>
        <w:t>מדברי סופרים</w:t>
      </w:r>
      <w:r w:rsidRPr="00351B7D">
        <w:rPr>
          <w:rFonts w:asciiTheme="minorBidi" w:hAnsiTheme="minorBidi"/>
          <w:u w:val="dotted"/>
          <w:rtl/>
        </w:rPr>
        <w:t>":</w:t>
      </w:r>
    </w:p>
    <w:p w14:paraId="503D9609" w14:textId="77777777" w:rsidR="008E16D0" w:rsidRPr="00351B7D" w:rsidRDefault="008E16D0" w:rsidP="00A8697F">
      <w:pPr>
        <w:pStyle w:val="ab"/>
        <w:numPr>
          <w:ilvl w:val="0"/>
          <w:numId w:val="70"/>
        </w:numPr>
        <w:rPr>
          <w:rFonts w:asciiTheme="minorBidi" w:hAnsiTheme="minorBidi"/>
        </w:rPr>
      </w:pPr>
      <w:r w:rsidRPr="00351B7D">
        <w:rPr>
          <w:rFonts w:asciiTheme="minorBidi" w:hAnsiTheme="minorBidi"/>
          <w:color w:val="000000"/>
          <w:rtl/>
        </w:rPr>
        <w:t xml:space="preserve">רשב"א </w:t>
      </w:r>
      <w:r w:rsidRPr="00351B7D">
        <w:rPr>
          <w:rFonts w:asciiTheme="minorBidi" w:hAnsiTheme="minorBidi"/>
          <w:rtl/>
        </w:rPr>
        <w:t xml:space="preserve">רשב"ץ הה"מ </w:t>
      </w:r>
      <w:r w:rsidRPr="00351B7D">
        <w:rPr>
          <w:rFonts w:asciiTheme="minorBidi" w:hAnsiTheme="minorBidi"/>
          <w:color w:val="000000"/>
          <w:rtl/>
        </w:rPr>
        <w:t xml:space="preserve">ריב"ש </w:t>
      </w:r>
      <w:r w:rsidRPr="00351B7D">
        <w:rPr>
          <w:rFonts w:asciiTheme="minorBidi" w:hAnsiTheme="minorBidi"/>
          <w:rtl/>
        </w:rPr>
        <w:t>וכס"מ</w:t>
      </w:r>
      <w:r w:rsidRPr="00351B7D">
        <w:rPr>
          <w:rStyle w:val="a7"/>
          <w:rFonts w:asciiTheme="minorBidi" w:hAnsiTheme="minorBidi"/>
          <w:rtl/>
        </w:rPr>
        <w:footnoteReference w:id="536"/>
      </w:r>
      <w:r w:rsidRPr="00351B7D">
        <w:rPr>
          <w:rFonts w:asciiTheme="minorBidi" w:hAnsiTheme="minorBidi"/>
          <w:rtl/>
        </w:rPr>
        <w:t>- הכוונה דפסול מדאו' אלא שאין נכלל בכלל מנין המצות אבל לכל מילי דינו כדאו'</w:t>
      </w:r>
      <w:r w:rsidRPr="00351B7D">
        <w:rPr>
          <w:rStyle w:val="a7"/>
          <w:rFonts w:asciiTheme="minorBidi" w:hAnsiTheme="minorBidi"/>
          <w:rtl/>
        </w:rPr>
        <w:footnoteReference w:id="537"/>
      </w:r>
      <w:r w:rsidRPr="00351B7D">
        <w:rPr>
          <w:rFonts w:asciiTheme="minorBidi" w:hAnsiTheme="minorBidi"/>
          <w:rtl/>
        </w:rPr>
        <w:t xml:space="preserve">.  </w:t>
      </w:r>
    </w:p>
    <w:p w14:paraId="65B1B168" w14:textId="77777777" w:rsidR="008E16D0" w:rsidRPr="00351B7D" w:rsidRDefault="008E16D0" w:rsidP="00A8697F">
      <w:pPr>
        <w:pStyle w:val="ab"/>
        <w:numPr>
          <w:ilvl w:val="0"/>
          <w:numId w:val="70"/>
        </w:numPr>
        <w:rPr>
          <w:rFonts w:asciiTheme="minorBidi" w:hAnsiTheme="minorBidi"/>
          <w:rtl/>
        </w:rPr>
      </w:pPr>
      <w:r w:rsidRPr="00351B7D">
        <w:rPr>
          <w:rFonts w:asciiTheme="minorBidi" w:hAnsiTheme="minorBidi"/>
          <w:rtl/>
        </w:rPr>
        <w:t>זכרון יהודה</w:t>
      </w:r>
      <w:r w:rsidRPr="00351B7D">
        <w:rPr>
          <w:rStyle w:val="a7"/>
          <w:rFonts w:asciiTheme="minorBidi" w:hAnsiTheme="minorBidi"/>
          <w:rtl/>
        </w:rPr>
        <w:footnoteReference w:id="538"/>
      </w:r>
      <w:r w:rsidRPr="00351B7D">
        <w:rPr>
          <w:rFonts w:asciiTheme="minorBidi" w:hAnsiTheme="minorBidi"/>
          <w:rtl/>
        </w:rPr>
        <w:t>- הכוונה שהם פסולים מדרבנן</w:t>
      </w:r>
      <w:r w:rsidRPr="00351B7D">
        <w:rPr>
          <w:rStyle w:val="a7"/>
          <w:rFonts w:asciiTheme="minorBidi" w:hAnsiTheme="minorBidi"/>
          <w:rtl/>
        </w:rPr>
        <w:footnoteReference w:id="539"/>
      </w:r>
      <w:r w:rsidRPr="00351B7D">
        <w:rPr>
          <w:rFonts w:asciiTheme="minorBidi" w:hAnsiTheme="minorBidi"/>
          <w:rtl/>
        </w:rPr>
        <w:t>.</w:t>
      </w:r>
    </w:p>
    <w:p w14:paraId="6CEFD053" w14:textId="77777777" w:rsidR="008E16D0" w:rsidRPr="00351B7D" w:rsidRDefault="008E16D0" w:rsidP="008E16D0">
      <w:pPr>
        <w:rPr>
          <w:rFonts w:asciiTheme="minorBidi" w:hAnsiTheme="minorBidi"/>
          <w:u w:val="single"/>
          <w:rtl/>
        </w:rPr>
      </w:pPr>
      <w:r w:rsidRPr="00351B7D">
        <w:rPr>
          <w:rFonts w:asciiTheme="minorBidi" w:hAnsiTheme="minorBidi"/>
          <w:u w:val="single"/>
          <w:rtl/>
        </w:rPr>
        <w:t>קדושין שנעשו בפני ב' עדים פסולי דרבנן</w:t>
      </w:r>
      <w:r w:rsidRPr="00351B7D">
        <w:rPr>
          <w:rStyle w:val="a7"/>
          <w:rFonts w:asciiTheme="minorBidi" w:hAnsiTheme="minorBidi"/>
          <w:u w:val="single"/>
          <w:rtl/>
        </w:rPr>
        <w:footnoteReference w:id="540"/>
      </w:r>
      <w:r w:rsidRPr="00351B7D">
        <w:rPr>
          <w:rFonts w:asciiTheme="minorBidi" w:hAnsiTheme="minorBidi"/>
          <w:sz w:val="16"/>
          <w:szCs w:val="16"/>
          <w:u w:val="single"/>
          <w:rtl/>
        </w:rPr>
        <w:t>(שהכריזו עליהם)</w:t>
      </w:r>
      <w:r w:rsidRPr="00351B7D">
        <w:rPr>
          <w:rFonts w:asciiTheme="minorBidi" w:hAnsiTheme="minorBidi"/>
          <w:u w:val="single"/>
          <w:rtl/>
        </w:rPr>
        <w:t>:</w:t>
      </w:r>
    </w:p>
    <w:p w14:paraId="4717EF6C" w14:textId="77777777" w:rsidR="008E16D0" w:rsidRPr="00351B7D" w:rsidRDefault="008E16D0" w:rsidP="00A8697F">
      <w:pPr>
        <w:pStyle w:val="ab"/>
        <w:numPr>
          <w:ilvl w:val="0"/>
          <w:numId w:val="65"/>
        </w:numPr>
        <w:rPr>
          <w:rFonts w:asciiTheme="minorBidi" w:hAnsiTheme="minorBidi"/>
          <w:rtl/>
        </w:rPr>
      </w:pPr>
      <w:r w:rsidRPr="00351B7D">
        <w:rPr>
          <w:rFonts w:asciiTheme="minorBidi" w:hAnsiTheme="minorBidi"/>
          <w:rtl/>
        </w:rPr>
        <w:lastRenderedPageBreak/>
        <w:t>רב אחא משבחא רב האי ר' שמואל בן חפני בה"ג רמב"ם ורשב"א</w:t>
      </w:r>
      <w:r w:rsidRPr="00351B7D">
        <w:rPr>
          <w:rStyle w:val="a7"/>
          <w:rFonts w:asciiTheme="minorBidi" w:hAnsiTheme="minorBidi"/>
          <w:rtl/>
        </w:rPr>
        <w:footnoteReference w:id="541"/>
      </w:r>
      <w:r w:rsidRPr="00351B7D">
        <w:rPr>
          <w:rFonts w:asciiTheme="minorBidi" w:hAnsiTheme="minorBidi"/>
          <w:rtl/>
        </w:rPr>
        <w:t>- צריך גט, ומסתברא דהדרי וקדשי קידושי תורה, ואי לא בעו יהבי גט מספק</w:t>
      </w:r>
      <w:r w:rsidRPr="00351B7D">
        <w:rPr>
          <w:rStyle w:val="a7"/>
          <w:rFonts w:asciiTheme="minorBidi" w:hAnsiTheme="minorBidi"/>
          <w:rtl/>
        </w:rPr>
        <w:footnoteReference w:id="542"/>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7C48D208" w14:textId="77777777" w:rsidR="008E16D0" w:rsidRPr="00351B7D" w:rsidRDefault="008E16D0" w:rsidP="00A8697F">
      <w:pPr>
        <w:pStyle w:val="ab"/>
        <w:numPr>
          <w:ilvl w:val="0"/>
          <w:numId w:val="65"/>
        </w:numPr>
        <w:rPr>
          <w:rFonts w:asciiTheme="minorBidi" w:hAnsiTheme="minorBidi"/>
          <w:rtl/>
        </w:rPr>
      </w:pPr>
      <w:r w:rsidRPr="00351B7D">
        <w:rPr>
          <w:rFonts w:asciiTheme="minorBidi" w:hAnsiTheme="minorBidi"/>
          <w:rtl/>
        </w:rPr>
        <w:t>גאון</w:t>
      </w:r>
      <w:r w:rsidRPr="00351B7D">
        <w:rPr>
          <w:rStyle w:val="a7"/>
          <w:rFonts w:asciiTheme="minorBidi" w:hAnsiTheme="minorBidi"/>
          <w:rtl/>
        </w:rPr>
        <w:footnoteReference w:id="543"/>
      </w:r>
      <w:r w:rsidRPr="00351B7D">
        <w:rPr>
          <w:rFonts w:asciiTheme="minorBidi" w:hAnsiTheme="minorBidi"/>
          <w:rtl/>
        </w:rPr>
        <w:t xml:space="preserve"> ורי"ף</w:t>
      </w:r>
      <w:r w:rsidRPr="00351B7D">
        <w:rPr>
          <w:rStyle w:val="a7"/>
          <w:rFonts w:asciiTheme="minorBidi" w:hAnsiTheme="minorBidi"/>
          <w:rtl/>
        </w:rPr>
        <w:footnoteReference w:id="544"/>
      </w:r>
      <w:r w:rsidRPr="00351B7D">
        <w:rPr>
          <w:rFonts w:asciiTheme="minorBidi" w:hAnsiTheme="minorBidi"/>
          <w:rtl/>
        </w:rPr>
        <w:t xml:space="preserve">- אפילו שניהם מודים לא תפסי קידושין כלל ואינה צריכה ממנו גט. </w:t>
      </w:r>
    </w:p>
    <w:p w14:paraId="10AE67E8" w14:textId="77777777" w:rsidR="008E16D0" w:rsidRPr="00351B7D" w:rsidRDefault="008E16D0" w:rsidP="008E16D0">
      <w:pPr>
        <w:rPr>
          <w:rFonts w:asciiTheme="minorBidi" w:hAnsiTheme="minorBidi"/>
          <w:u w:val="single"/>
          <w:rtl/>
        </w:rPr>
      </w:pPr>
      <w:r w:rsidRPr="00351B7D">
        <w:rPr>
          <w:rFonts w:asciiTheme="minorBidi" w:hAnsiTheme="minorBidi"/>
          <w:u w:val="single"/>
          <w:rtl/>
        </w:rPr>
        <w:t>איש שקידש בפני ב' עדים אנוסים:</w:t>
      </w:r>
    </w:p>
    <w:p w14:paraId="0DD4F172" w14:textId="77777777" w:rsidR="008E16D0" w:rsidRPr="00351B7D" w:rsidRDefault="008E16D0" w:rsidP="00A8697F">
      <w:pPr>
        <w:pStyle w:val="ab"/>
        <w:numPr>
          <w:ilvl w:val="0"/>
          <w:numId w:val="67"/>
        </w:numPr>
        <w:rPr>
          <w:rFonts w:asciiTheme="minorBidi" w:hAnsiTheme="minorBidi"/>
        </w:rPr>
      </w:pPr>
      <w:r w:rsidRPr="00351B7D">
        <w:rPr>
          <w:rFonts w:asciiTheme="minorBidi" w:hAnsiTheme="minorBidi"/>
          <w:rtl/>
        </w:rPr>
        <w:t>ר"י מינץ א"ח ומהרי"ק</w:t>
      </w:r>
      <w:r w:rsidRPr="00351B7D">
        <w:rPr>
          <w:rStyle w:val="a7"/>
          <w:rFonts w:asciiTheme="minorBidi" w:hAnsiTheme="minorBidi"/>
          <w:rtl/>
        </w:rPr>
        <w:footnoteReference w:id="545"/>
      </w:r>
      <w:r w:rsidRPr="00351B7D">
        <w:rPr>
          <w:rFonts w:asciiTheme="minorBidi" w:hAnsiTheme="minorBidi"/>
          <w:rtl/>
        </w:rPr>
        <w:t>- מעשה היה בפני רש"י באנוס שקידש בפני אנוסים חביריו וחזרו בתשובה ואמרו שקידושיו קידושין להצריכה גט דאע"פ שחטא ישראל הוא, ועוד שמא הרהרו תשובה בלבם והו"ל צדיקי</w:t>
      </w:r>
      <w:r w:rsidRPr="00351B7D">
        <w:rPr>
          <w:rStyle w:val="a7"/>
          <w:rFonts w:asciiTheme="minorBidi" w:hAnsiTheme="minorBidi"/>
          <w:rtl/>
        </w:rPr>
        <w:footnoteReference w:id="546"/>
      </w:r>
      <w:r w:rsidRPr="00351B7D">
        <w:rPr>
          <w:rFonts w:asciiTheme="minorBidi" w:hAnsiTheme="minorBidi"/>
          <w:rtl/>
        </w:rPr>
        <w:t xml:space="preserve">. </w:t>
      </w:r>
    </w:p>
    <w:p w14:paraId="3D3F64CD" w14:textId="77777777" w:rsidR="008E16D0" w:rsidRPr="00351B7D" w:rsidRDefault="008E16D0" w:rsidP="008E16D0">
      <w:pPr>
        <w:rPr>
          <w:rFonts w:asciiTheme="minorBidi" w:hAnsiTheme="minorBidi"/>
          <w:u w:val="single"/>
        </w:rPr>
      </w:pPr>
      <w:r w:rsidRPr="00351B7D">
        <w:rPr>
          <w:rFonts w:asciiTheme="minorBidi" w:hAnsiTheme="minorBidi"/>
          <w:u w:val="single"/>
          <w:rtl/>
        </w:rPr>
        <w:t>אנוסים שהמירו מכח יראה אך מקיימים מצות בצנעה:</w:t>
      </w:r>
    </w:p>
    <w:p w14:paraId="440AE3C4" w14:textId="77777777" w:rsidR="008E16D0" w:rsidRPr="00351B7D" w:rsidRDefault="008E16D0" w:rsidP="00A8697F">
      <w:pPr>
        <w:pStyle w:val="ab"/>
        <w:numPr>
          <w:ilvl w:val="0"/>
          <w:numId w:val="67"/>
        </w:numPr>
        <w:rPr>
          <w:rFonts w:asciiTheme="minorBidi" w:hAnsiTheme="minorBidi"/>
          <w:rtl/>
        </w:rPr>
      </w:pPr>
      <w:r w:rsidRPr="00351B7D">
        <w:rPr>
          <w:rFonts w:asciiTheme="minorBidi" w:hAnsiTheme="minorBidi"/>
          <w:rtl/>
        </w:rPr>
        <w:t>ריב"ש</w:t>
      </w:r>
      <w:r w:rsidRPr="00351B7D">
        <w:rPr>
          <w:rFonts w:asciiTheme="minorBidi" w:hAnsiTheme="minorBidi"/>
          <w:sz w:val="16"/>
          <w:szCs w:val="16"/>
          <w:rtl/>
        </w:rPr>
        <w:t xml:space="preserve"> (סי' יא)</w:t>
      </w:r>
      <w:r w:rsidRPr="00351B7D">
        <w:rPr>
          <w:rFonts w:asciiTheme="minorBidi" w:hAnsiTheme="minorBidi"/>
          <w:rtl/>
        </w:rPr>
        <w:t>- אנוסים שהוצרכו להמיר מכח יראה וא"א להם למלט על נפשם ובצנעה מקיימים המצוות הם כשרים לעדות.</w:t>
      </w:r>
      <w:r w:rsidRPr="00351B7D">
        <w:rPr>
          <w:rFonts w:asciiTheme="minorBidi" w:hAnsiTheme="minorBidi"/>
          <w:color w:val="00B0F0"/>
          <w:rtl/>
        </w:rPr>
        <w:t xml:space="preserve"> (וכ"פ הרמ"א)</w:t>
      </w:r>
    </w:p>
    <w:p w14:paraId="70D0A121"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מעשה באחד שקידש בפסולי עדות: </w:t>
      </w:r>
    </w:p>
    <w:p w14:paraId="0EC26168" w14:textId="77777777" w:rsidR="008E16D0" w:rsidRPr="00351B7D" w:rsidRDefault="008E16D0" w:rsidP="00A8697F">
      <w:pPr>
        <w:pStyle w:val="ab"/>
        <w:numPr>
          <w:ilvl w:val="0"/>
          <w:numId w:val="66"/>
        </w:numPr>
        <w:rPr>
          <w:rFonts w:asciiTheme="minorBidi" w:hAnsiTheme="minorBidi"/>
          <w:rtl/>
        </w:rPr>
      </w:pPr>
      <w:r w:rsidRPr="00351B7D">
        <w:rPr>
          <w:rFonts w:asciiTheme="minorBidi" w:hAnsiTheme="minorBidi"/>
          <w:rtl/>
        </w:rPr>
        <w:t xml:space="preserve">זכרון יהודה </w:t>
      </w:r>
      <w:r w:rsidRPr="00351B7D">
        <w:rPr>
          <w:rFonts w:asciiTheme="minorBidi" w:hAnsiTheme="minorBidi"/>
          <w:sz w:val="16"/>
          <w:szCs w:val="16"/>
          <w:rtl/>
        </w:rPr>
        <w:t>(סי' פב, הביאו הב"י בשם מצאתי כתוב)</w:t>
      </w:r>
      <w:r w:rsidRPr="00351B7D">
        <w:rPr>
          <w:rFonts w:asciiTheme="minorBidi" w:hAnsiTheme="minorBidi"/>
          <w:rtl/>
        </w:rPr>
        <w:t xml:space="preserve">- אחד קידש בפסולי עדות והתירה רבי חיים הארוך, וחלקו עליו חכמי טוליטולא וגזרו עליו נידוי שיחזור בו, מפני שמה שהעידו על אותן עדים שעברו על שבועתם אם היתה שבועת ביטוי בעניין שכשנשבעו לא יצתה שבועה מפיהם לשקר לדעת הרי"ף </w:t>
      </w:r>
      <w:r w:rsidRPr="00351B7D">
        <w:rPr>
          <w:rFonts w:asciiTheme="minorBidi" w:hAnsiTheme="minorBidi"/>
          <w:sz w:val="16"/>
          <w:szCs w:val="16"/>
          <w:rtl/>
        </w:rPr>
        <w:t xml:space="preserve">(שבועות כח:) </w:t>
      </w:r>
      <w:r w:rsidRPr="00351B7D">
        <w:rPr>
          <w:rFonts w:asciiTheme="minorBidi" w:hAnsiTheme="minorBidi"/>
          <w:rtl/>
        </w:rPr>
        <w:t xml:space="preserve">והרמב"ן </w:t>
      </w:r>
      <w:r w:rsidRPr="00351B7D">
        <w:rPr>
          <w:rFonts w:asciiTheme="minorBidi" w:hAnsiTheme="minorBidi"/>
          <w:sz w:val="16"/>
          <w:szCs w:val="16"/>
          <w:rtl/>
        </w:rPr>
        <w:t xml:space="preserve">(שם מו: ד"ה אבל) </w:t>
      </w:r>
      <w:r w:rsidRPr="00351B7D">
        <w:rPr>
          <w:rFonts w:asciiTheme="minorBidi" w:hAnsiTheme="minorBidi"/>
          <w:rtl/>
        </w:rPr>
        <w:t xml:space="preserve">והרמ"ה כשרים הם, ואפילו לר"ת </w:t>
      </w:r>
      <w:r w:rsidRPr="00351B7D">
        <w:rPr>
          <w:rFonts w:asciiTheme="minorBidi" w:hAnsiTheme="minorBidi"/>
          <w:sz w:val="16"/>
          <w:szCs w:val="16"/>
          <w:rtl/>
        </w:rPr>
        <w:t xml:space="preserve">(שם תוד"ה אבל) </w:t>
      </w:r>
      <w:r w:rsidRPr="00351B7D">
        <w:rPr>
          <w:rFonts w:asciiTheme="minorBidi" w:hAnsiTheme="minorBidi"/>
          <w:rtl/>
        </w:rPr>
        <w:t>שפוסל- גם בזו מודה הכא שצריכה גט, שאינו פסול מן התורה אלא מי שעבר עבירה דשייך בה מלקות ואע"פ שלא התרו בו, אבל שבועת ביטוי שנשבע לפרוע ולא פרע לא שייך בה מלקות דהתראת ספק היא שיכול לומר עדיין יש לי שהות לקיים שבועתי, וכ"כ הרמב"ם ז"ל</w:t>
      </w:r>
      <w:r w:rsidRPr="00351B7D">
        <w:rPr>
          <w:rFonts w:asciiTheme="minorBidi" w:hAnsiTheme="minorBidi"/>
          <w:sz w:val="16"/>
          <w:szCs w:val="16"/>
          <w:rtl/>
        </w:rPr>
        <w:t xml:space="preserve"> (הל' עדות פ"י ה"ב) </w:t>
      </w:r>
      <w:r w:rsidRPr="00351B7D">
        <w:rPr>
          <w:rFonts w:asciiTheme="minorBidi" w:hAnsiTheme="minorBidi"/>
          <w:rtl/>
        </w:rPr>
        <w:t xml:space="preserve">וסמ"ג </w:t>
      </w:r>
      <w:r w:rsidRPr="00351B7D">
        <w:rPr>
          <w:rFonts w:asciiTheme="minorBidi" w:hAnsiTheme="minorBidi"/>
          <w:sz w:val="16"/>
          <w:szCs w:val="16"/>
          <w:rtl/>
        </w:rPr>
        <w:t xml:space="preserve">(לאוין ריד סו.) </w:t>
      </w:r>
      <w:r w:rsidRPr="00351B7D">
        <w:rPr>
          <w:rFonts w:asciiTheme="minorBidi" w:hAnsiTheme="minorBidi"/>
          <w:rtl/>
        </w:rPr>
        <w:t xml:space="preserve">איזהו רשע כל שעבר עבירה שחייב עליה מלקות זהו פסול לעדות מן התורה וכו'. וגם על חילול שבת אם עבר על מוקצה או אפילו על הוצאה בזמן הזה אין פיסולן אלא מדבריהם וצריך הכרזה </w:t>
      </w:r>
      <w:r w:rsidRPr="00351B7D">
        <w:rPr>
          <w:rFonts w:asciiTheme="minorBidi" w:hAnsiTheme="minorBidi"/>
          <w:sz w:val="16"/>
          <w:szCs w:val="16"/>
          <w:rtl/>
        </w:rPr>
        <w:t xml:space="preserve">(סנהדרין כו:) </w:t>
      </w:r>
      <w:r w:rsidRPr="00351B7D">
        <w:rPr>
          <w:rFonts w:asciiTheme="minorBidi" w:hAnsiTheme="minorBidi"/>
          <w:rtl/>
        </w:rPr>
        <w:t xml:space="preserve">וכאן לא הכריזו עליו, ומספק אין לנו לפסלו כי שמא לא חילל שבת אלא בשל דבריהם, ואפילו הכריזו עליהם, המקדש בפסולי עדות של דבריהם מקודשת, ועוד אפילו היו פסולי עדות דאורייתא אם לא נתקבלה עדות פיסולם בפניהם- עדות הפוסלים בטלה, ומי שהורה להתירה אם ידע שלא נתקבלה עדות פיסולם בפניהם ראוי לנדותו ולהחרימו ולקללו ולהענישו אם לא יחזור בו מיד, שכיון שיצא קול שנתקבלו עדויות פיסולם שלא בפניהם היה צריך לחקור אחר הדבר. </w:t>
      </w:r>
    </w:p>
    <w:p w14:paraId="521F9458"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האומר לאשה קדשתיך בפני ב' עדים והיא אומרת לא קידשתני, והעדים אינן בנמצא: </w:t>
      </w:r>
    </w:p>
    <w:p w14:paraId="208ACB56" w14:textId="77777777" w:rsidR="008E16D0" w:rsidRPr="00351B7D" w:rsidRDefault="008E16D0" w:rsidP="00A8697F">
      <w:pPr>
        <w:pStyle w:val="ab"/>
        <w:numPr>
          <w:ilvl w:val="0"/>
          <w:numId w:val="68"/>
        </w:numPr>
        <w:rPr>
          <w:rFonts w:asciiTheme="minorBidi" w:hAnsiTheme="minorBidi"/>
        </w:rPr>
      </w:pPr>
      <w:r w:rsidRPr="00351B7D">
        <w:rPr>
          <w:rFonts w:asciiTheme="minorBidi" w:hAnsiTheme="minorBidi"/>
          <w:rtl/>
        </w:rPr>
        <w:t>רשב"א</w:t>
      </w:r>
      <w:r w:rsidRPr="00351B7D">
        <w:rPr>
          <w:rStyle w:val="a7"/>
          <w:rFonts w:asciiTheme="minorBidi" w:hAnsiTheme="minorBidi"/>
          <w:color w:val="000000"/>
          <w:rtl/>
        </w:rPr>
        <w:footnoteReference w:id="547"/>
      </w:r>
      <w:r w:rsidRPr="00351B7D">
        <w:rPr>
          <w:rFonts w:asciiTheme="minorBidi" w:hAnsiTheme="minorBidi"/>
          <w:rtl/>
        </w:rPr>
        <w:t xml:space="preserve">- שנינו בפרק האומר </w:t>
      </w:r>
      <w:r w:rsidRPr="00351B7D">
        <w:rPr>
          <w:rFonts w:asciiTheme="minorBidi" w:hAnsiTheme="minorBidi"/>
          <w:sz w:val="16"/>
          <w:szCs w:val="16"/>
          <w:rtl/>
        </w:rPr>
        <w:t xml:space="preserve">(קידושין סה.) </w:t>
      </w:r>
      <w:r w:rsidRPr="00351B7D">
        <w:rPr>
          <w:rFonts w:asciiTheme="minorBidi" w:hAnsiTheme="minorBidi"/>
          <w:rtl/>
        </w:rPr>
        <w:t>האומר לאשה קידשתיך בפני פלוני ופלוני והיא אומרת לא קידשתני, היא מותרת בקרוביו ואע"ג דמשוה לה חתיכה דאיסורא בקרוביו אין חוששין לו כלל לפי שהיא בחזקת היתר להם, ואפילו הוציא קול בעיר שהיא מקודשת לו אין חוששין לקול זה וכדאיתא בס"פ המגרש</w:t>
      </w:r>
      <w:r w:rsidRPr="00351B7D">
        <w:rPr>
          <w:rFonts w:asciiTheme="minorBidi" w:hAnsiTheme="minorBidi"/>
          <w:sz w:val="16"/>
          <w:szCs w:val="16"/>
          <w:rtl/>
        </w:rPr>
        <w:t xml:space="preserve"> (גיטין פט.)</w:t>
      </w:r>
      <w:r w:rsidRPr="00351B7D">
        <w:rPr>
          <w:rFonts w:asciiTheme="minorBidi" w:hAnsiTheme="minorBidi"/>
          <w:rtl/>
        </w:rPr>
        <w:t xml:space="preserve">, ואע"פ שאומר שיש לו עדים חתומים בשטר שהוא קידשה בפניהם אין חוששין ומתירין אותה מיד להנשא, כההיא דהאומר לאשה קידשתיך שמתירין אותה מיד ואין חוששין לזה שאומר שיש לו עדים אלא שהלכו למדינת הים, ואמרינן בפ"ב דכתובות </w:t>
      </w:r>
      <w:r w:rsidRPr="00351B7D">
        <w:rPr>
          <w:rFonts w:asciiTheme="minorBidi" w:hAnsiTheme="minorBidi"/>
          <w:sz w:val="16"/>
          <w:szCs w:val="16"/>
          <w:rtl/>
        </w:rPr>
        <w:t xml:space="preserve">(כג.) </w:t>
      </w:r>
      <w:r w:rsidRPr="00351B7D">
        <w:rPr>
          <w:rFonts w:asciiTheme="minorBidi" w:hAnsiTheme="minorBidi"/>
          <w:rtl/>
        </w:rPr>
        <w:t xml:space="preserve">והא איכא עדים במדינת הים, כלומר עידי טומאה, ואמרו, עדים בצד אסתן </w:t>
      </w:r>
      <w:r w:rsidRPr="00351B7D">
        <w:rPr>
          <w:rFonts w:asciiTheme="minorBidi" w:hAnsiTheme="minorBidi"/>
          <w:rtl/>
        </w:rPr>
        <w:lastRenderedPageBreak/>
        <w:t>ותיאסר?</w:t>
      </w:r>
      <w:r w:rsidRPr="00351B7D">
        <w:rPr>
          <w:rStyle w:val="a7"/>
          <w:rFonts w:asciiTheme="minorBidi" w:hAnsiTheme="minorBidi"/>
          <w:rtl/>
        </w:rPr>
        <w:footnoteReference w:id="548"/>
      </w:r>
      <w:r w:rsidRPr="00351B7D">
        <w:rPr>
          <w:rFonts w:asciiTheme="minorBidi" w:hAnsiTheme="minorBidi"/>
          <w:rtl/>
        </w:rPr>
        <w:t xml:space="preserve">, ואפילו יוציא זה שטר חתום בעדים ונתקיים השטר ע"פ שנים עדים דעלמא- מחזיקין אותו במזוייף כיון שבאו אותם שנים ואמרו שלהם אמר לזייף אותו, וכדגרסינן בפרק אלו נערות </w:t>
      </w:r>
      <w:r w:rsidRPr="00351B7D">
        <w:rPr>
          <w:rFonts w:asciiTheme="minorBidi" w:hAnsiTheme="minorBidi"/>
          <w:sz w:val="16"/>
          <w:szCs w:val="16"/>
          <w:rtl/>
        </w:rPr>
        <w:t xml:space="preserve">(כתובות לו:) </w:t>
      </w:r>
      <w:r w:rsidRPr="00351B7D">
        <w:rPr>
          <w:rFonts w:asciiTheme="minorBidi" w:hAnsiTheme="minorBidi"/>
          <w:rtl/>
        </w:rPr>
        <w:t xml:space="preserve">האי שטרא ריעא לא מגבינן ביה וכו' כיון דמהדר אזיופי- זיופי זייף וכתב, ואע"ג דהתם לא אמרינן אלא דלא מגבינן ביה דמשמע הא מיקרע לא קרעינן ודכוותיה הכא לא שריא לכתחלה- לא היא, דהכא בחזקת היתר לעלמא היא ואם אתה אוסרה לעלמא הרי אתה מוציאה מחזקתה ע"י שטר זה דריע וכאילו נגבה בו ותוציא ממון מחזקת בעליו, ועוד דכיון שנתיר אותה עכשיו קודם שיוציא השטר ונישאת- בבירור אומרים לא תצא, וכל שאין מוציאין אותה לאחר שנישאת אפילו לא נישאת לא תצא מהיתרה הראשון וכדאמרינן בפ"ב דכתובות </w:t>
      </w:r>
      <w:r w:rsidRPr="00351B7D">
        <w:rPr>
          <w:rFonts w:asciiTheme="minorBidi" w:hAnsiTheme="minorBidi"/>
          <w:sz w:val="16"/>
          <w:szCs w:val="16"/>
          <w:rtl/>
        </w:rPr>
        <w:t xml:space="preserve">(כג.) </w:t>
      </w:r>
      <w:r w:rsidRPr="00351B7D">
        <w:rPr>
          <w:rFonts w:asciiTheme="minorBidi" w:hAnsiTheme="minorBidi"/>
          <w:rtl/>
        </w:rPr>
        <w:t xml:space="preserve">ופרק האשה רבה </w:t>
      </w:r>
      <w:r w:rsidRPr="00351B7D">
        <w:rPr>
          <w:rFonts w:asciiTheme="minorBidi" w:hAnsiTheme="minorBidi"/>
          <w:sz w:val="16"/>
          <w:szCs w:val="16"/>
          <w:rtl/>
        </w:rPr>
        <w:t>(יבמות פח:)</w:t>
      </w:r>
      <w:r w:rsidRPr="00351B7D">
        <w:rPr>
          <w:rFonts w:asciiTheme="minorBidi" w:hAnsiTheme="minorBidi"/>
          <w:rtl/>
        </w:rPr>
        <w:t xml:space="preserve">, ועוד דכל שלא באו עידי השטר ממש נאמנת היא לומר שטר מזוייף הוא מגו דאי בעיא אמרה גירשתני ומותרת לינשא על פיה כאומרת לבעלה גירשתני וכדמשמע בשילהי נדרים </w:t>
      </w:r>
      <w:r w:rsidRPr="00351B7D">
        <w:rPr>
          <w:rFonts w:asciiTheme="minorBidi" w:hAnsiTheme="minorBidi"/>
          <w:sz w:val="16"/>
          <w:szCs w:val="16"/>
          <w:rtl/>
        </w:rPr>
        <w:t xml:space="preserve">(צא.) </w:t>
      </w:r>
      <w:r w:rsidRPr="00351B7D">
        <w:rPr>
          <w:rFonts w:asciiTheme="minorBidi" w:hAnsiTheme="minorBidi"/>
          <w:rtl/>
        </w:rPr>
        <w:t xml:space="preserve">ובפרק התקבל </w:t>
      </w:r>
      <w:r w:rsidRPr="00351B7D">
        <w:rPr>
          <w:rFonts w:asciiTheme="minorBidi" w:hAnsiTheme="minorBidi"/>
          <w:sz w:val="16"/>
          <w:szCs w:val="16"/>
          <w:rtl/>
        </w:rPr>
        <w:t>(גיטין סד:)</w:t>
      </w:r>
      <w:r w:rsidRPr="00351B7D">
        <w:rPr>
          <w:rFonts w:asciiTheme="minorBidi" w:hAnsiTheme="minorBidi"/>
          <w:rtl/>
        </w:rPr>
        <w:t xml:space="preserve">, ואע"ג דמגו במקום עדים לא אמרינן אי אתו עדים גופייהו דחתימי בשטר, אבל הכא ליכא עדים דאימור מזוייף הוא, ולענין גדלותו שאמר שחזר אחריו לזייף השטר מסתברא שהאב נאמן וכאותה ששנינו בפרק האומר </w:t>
      </w:r>
      <w:r w:rsidRPr="00351B7D">
        <w:rPr>
          <w:rFonts w:asciiTheme="minorBidi" w:hAnsiTheme="minorBidi"/>
          <w:sz w:val="16"/>
          <w:szCs w:val="16"/>
          <w:rtl/>
        </w:rPr>
        <w:t xml:space="preserve">(קידושין סג:) </w:t>
      </w:r>
      <w:r w:rsidRPr="00351B7D">
        <w:rPr>
          <w:rFonts w:asciiTheme="minorBidi" w:hAnsiTheme="minorBidi"/>
          <w:rtl/>
        </w:rPr>
        <w:t xml:space="preserve">בני זה בן י"ג שנה ויום אחד נאמן לנדרים ולערכין וכו' אבל לא למכות ולא לעונשין ועדות זו לא למכות ולא לעונשין היא. </w:t>
      </w:r>
    </w:p>
    <w:p w14:paraId="07A77424"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איש שהוציא קול שקידש אשה פלונית והיא מכחישתו: </w:t>
      </w:r>
    </w:p>
    <w:p w14:paraId="3E1F5102" w14:textId="77777777" w:rsidR="008E16D0" w:rsidRPr="00351B7D" w:rsidRDefault="008E16D0" w:rsidP="00A8697F">
      <w:pPr>
        <w:pStyle w:val="ab"/>
        <w:numPr>
          <w:ilvl w:val="0"/>
          <w:numId w:val="68"/>
        </w:numPr>
        <w:rPr>
          <w:rFonts w:asciiTheme="minorBidi" w:hAnsiTheme="minorBidi"/>
        </w:rPr>
      </w:pPr>
      <w:r w:rsidRPr="00351B7D">
        <w:rPr>
          <w:rFonts w:asciiTheme="minorBidi" w:hAnsiTheme="minorBidi"/>
          <w:rtl/>
        </w:rPr>
        <w:t xml:space="preserve">ריב"ש </w:t>
      </w:r>
      <w:r w:rsidRPr="00351B7D">
        <w:rPr>
          <w:rFonts w:asciiTheme="minorBidi" w:hAnsiTheme="minorBidi"/>
          <w:sz w:val="16"/>
          <w:szCs w:val="16"/>
          <w:rtl/>
        </w:rPr>
        <w:t>(סי' קכג)</w:t>
      </w:r>
      <w:r w:rsidRPr="00351B7D">
        <w:rPr>
          <w:rFonts w:asciiTheme="minorBidi" w:hAnsiTheme="minorBidi"/>
          <w:rtl/>
        </w:rPr>
        <w:t xml:space="preserve">- אשה שנאמר עליה שנתקדשה והוציאו קול עליה שיש עדים בדבר אלא שיצאו מהעיר לא הרחיקו יותר ממהלך שני ימים ועתידים הם לחזור, והיא מכחשת ואומרת שלא נתקדשה, והמקדש אומר יבואו עדים ויעידו, נראה שקול זה לא הוחזק בבית דין בשום אחד מהדרכים שנאמרו בו, אלא שהאיש ההוא אמר על האשה ההיא שהוא קידשה בפני עדים שהלכו להם והוא המוציא הקול והיא מכחשת אותו ולכן אין ממש בדבריו ואין מעכבין אותה מלינשא והיא תחוש לעצמה. </w:t>
      </w:r>
    </w:p>
    <w:p w14:paraId="5273A1F3" w14:textId="77777777" w:rsidR="008E16D0" w:rsidRPr="00351B7D" w:rsidRDefault="008E16D0" w:rsidP="00A8697F">
      <w:pPr>
        <w:pStyle w:val="ab"/>
        <w:numPr>
          <w:ilvl w:val="0"/>
          <w:numId w:val="68"/>
        </w:numPr>
        <w:rPr>
          <w:rFonts w:asciiTheme="minorBidi" w:hAnsiTheme="minorBidi"/>
        </w:rPr>
      </w:pPr>
      <w:r w:rsidRPr="00351B7D">
        <w:rPr>
          <w:rFonts w:asciiTheme="minorBidi" w:hAnsiTheme="minorBidi"/>
          <w:rtl/>
        </w:rPr>
        <w:t xml:space="preserve">תשב"ץ </w:t>
      </w:r>
      <w:r w:rsidRPr="00351B7D">
        <w:rPr>
          <w:rFonts w:asciiTheme="minorBidi" w:hAnsiTheme="minorBidi"/>
          <w:sz w:val="16"/>
          <w:szCs w:val="16"/>
          <w:rtl/>
        </w:rPr>
        <w:t>(ח"א סי' קלב)</w:t>
      </w:r>
      <w:r w:rsidRPr="00351B7D">
        <w:rPr>
          <w:rFonts w:asciiTheme="minorBidi" w:hAnsiTheme="minorBidi"/>
          <w:rtl/>
        </w:rPr>
        <w:t>- לא נתנו חכמים דבריהם לשיעורים בין מקום קרוב למקום רחוק, והיינו ממש ההיא דפ"ק דקידושין</w:t>
      </w:r>
      <w:r w:rsidRPr="00351B7D">
        <w:rPr>
          <w:rFonts w:asciiTheme="minorBidi" w:hAnsiTheme="minorBidi"/>
          <w:sz w:val="16"/>
          <w:szCs w:val="16"/>
          <w:rtl/>
        </w:rPr>
        <w:t xml:space="preserve"> (יב:) </w:t>
      </w:r>
      <w:r w:rsidRPr="00351B7D">
        <w:rPr>
          <w:rFonts w:asciiTheme="minorBidi" w:hAnsiTheme="minorBidi"/>
          <w:rtl/>
        </w:rPr>
        <w:t xml:space="preserve">והא איכא סהדי ואמרינן השתא מיהא ליתנהו קמן, ואפילו אביי ורבא דחיישי- דוקא התם שאינו עדות בקידושין אלא אי שוה פרוטה, מיהו למעשה הכל תלוי ומסור לדיינים יריאי שמים אם רואין שיש ממש בטענותיו ובין כך ובין כך יכולי ב"ד להחרים כל מי שטוען דבר שאינו, אי נמי יכולין לכוף אותו מיד לגרשה אם רואים שיש צורך בדבר זה. </w:t>
      </w:r>
    </w:p>
    <w:p w14:paraId="3918DA85" w14:textId="77777777" w:rsidR="008E16D0" w:rsidRPr="00351B7D" w:rsidRDefault="008E16D0" w:rsidP="00A8697F">
      <w:pPr>
        <w:pStyle w:val="ab"/>
        <w:numPr>
          <w:ilvl w:val="0"/>
          <w:numId w:val="68"/>
        </w:numPr>
        <w:rPr>
          <w:rFonts w:asciiTheme="minorBidi" w:hAnsiTheme="minorBidi"/>
        </w:rPr>
      </w:pPr>
      <w:r w:rsidRPr="00351B7D">
        <w:rPr>
          <w:rFonts w:asciiTheme="minorBidi" w:hAnsiTheme="minorBidi"/>
          <w:rtl/>
        </w:rPr>
        <w:t>רשב"א</w:t>
      </w:r>
      <w:r w:rsidRPr="00351B7D">
        <w:rPr>
          <w:rFonts w:asciiTheme="minorBidi" w:hAnsiTheme="minorBidi"/>
          <w:sz w:val="16"/>
          <w:szCs w:val="16"/>
          <w:rtl/>
        </w:rPr>
        <w:t xml:space="preserve"> (ח"ו סי' ג)</w:t>
      </w:r>
      <w:r w:rsidRPr="00351B7D">
        <w:rPr>
          <w:rFonts w:asciiTheme="minorBidi" w:hAnsiTheme="minorBidi"/>
          <w:rtl/>
        </w:rPr>
        <w:t xml:space="preserve">- </w:t>
      </w:r>
      <w:r w:rsidRPr="00351B7D">
        <w:rPr>
          <w:rFonts w:asciiTheme="minorBidi" w:hAnsiTheme="minorBidi"/>
          <w:color w:val="000000"/>
          <w:rtl/>
        </w:rPr>
        <w:t>יכולים ב"ד להחרים חרם גמור על מי שטוען דבר שאינו, ו</w:t>
      </w:r>
      <w:r w:rsidRPr="00351B7D">
        <w:rPr>
          <w:rFonts w:asciiTheme="minorBidi" w:hAnsiTheme="minorBidi"/>
          <w:rtl/>
        </w:rPr>
        <w:t>כופין אותו לברר טענתו או לגרש ומוכח לה מדאמרינן בפרק בתרא דכתובות</w:t>
      </w:r>
      <w:r w:rsidRPr="00351B7D">
        <w:rPr>
          <w:rFonts w:asciiTheme="minorBidi" w:hAnsiTheme="minorBidi"/>
          <w:sz w:val="16"/>
          <w:szCs w:val="16"/>
          <w:rtl/>
        </w:rPr>
        <w:t xml:space="preserve"> (קט.) </w:t>
      </w:r>
      <w:r w:rsidRPr="00351B7D">
        <w:rPr>
          <w:rFonts w:asciiTheme="minorBidi" w:hAnsiTheme="minorBidi"/>
          <w:rtl/>
        </w:rPr>
        <w:t xml:space="preserve">אבא פסק עלי או כנוס או פטור, ה"נ אומרת אני איני מודה בדבר אתה ברר או גרש, וכ"ש בענין זה שאין כאן קול כלל אלא טענתו בלבד ואחר שעומד בדיבורו וקיבל עליו החרם כופין אותו לברר טענתו תוך זמן קרוב או לפטור מיד, והכל מסור לב"ד יריאי שמים. </w:t>
      </w:r>
    </w:p>
    <w:p w14:paraId="0983E1BC" w14:textId="77777777" w:rsidR="008E16D0" w:rsidRPr="00351B7D" w:rsidRDefault="008E16D0" w:rsidP="00A8697F">
      <w:pPr>
        <w:pStyle w:val="ab"/>
        <w:numPr>
          <w:ilvl w:val="0"/>
          <w:numId w:val="68"/>
        </w:numPr>
        <w:rPr>
          <w:rFonts w:asciiTheme="minorBidi" w:hAnsiTheme="minorBidi"/>
          <w:rtl/>
        </w:rPr>
      </w:pPr>
      <w:r w:rsidRPr="00351B7D">
        <w:rPr>
          <w:rFonts w:asciiTheme="minorBidi" w:hAnsiTheme="minorBidi"/>
          <w:rtl/>
        </w:rPr>
        <w:t>תשב"ץ</w:t>
      </w:r>
      <w:r w:rsidRPr="00351B7D">
        <w:rPr>
          <w:rFonts w:asciiTheme="minorBidi" w:hAnsiTheme="minorBidi"/>
          <w:sz w:val="16"/>
          <w:szCs w:val="16"/>
          <w:rtl/>
        </w:rPr>
        <w:t xml:space="preserve"> (ח"א סי' קנד)</w:t>
      </w:r>
      <w:r w:rsidRPr="00351B7D">
        <w:rPr>
          <w:rFonts w:asciiTheme="minorBidi" w:hAnsiTheme="minorBidi"/>
          <w:rtl/>
        </w:rPr>
        <w:t>- אין לחוש כלל לדבריו ולא חיישינן בזה משום ממזרות, דהא אשה עצמה נאמנת לומר מת בעלי וכן לומר לבעלה גירשתני אע"פ שהיתה בחזקת אשת איש, ואין ראוי להחמיר בזה משום שלא יהו בנות החשובה מדרך כף רגל לבני פריצי עמנו, וכמש"כ הרשב"א בתשו' על תלמיד אחד שרצה להחמיר בכיוצא בזה וכעס עליו וכ' שהיה רעה חולה שיתעלל פריץ א' על א' מבנות החשובים כדי להוציא ממון מידה, ומה שכתבת שכך היה המנהג לעגנה ולהאמינו הוא מנהג בורות, ואם מפני חומרא- חומרא דאתיא לידי קולא היא לענין אם יקדשנה אחר או אם יקדש זה אחותה וכמש"כ הרשב"א באותה תשובה, ואין חוששין בזה לקול דלא חיישינן אלא כדאיתא בפ' המגרש</w:t>
      </w:r>
      <w:r w:rsidRPr="00351B7D">
        <w:rPr>
          <w:rFonts w:asciiTheme="minorBidi" w:hAnsiTheme="minorBidi"/>
          <w:sz w:val="16"/>
          <w:szCs w:val="16"/>
          <w:rtl/>
        </w:rPr>
        <w:t xml:space="preserve"> (פט.) </w:t>
      </w:r>
      <w:r w:rsidRPr="00351B7D">
        <w:rPr>
          <w:rFonts w:asciiTheme="minorBidi" w:hAnsiTheme="minorBidi"/>
          <w:rtl/>
        </w:rPr>
        <w:t>לא שישמעו קול הברה וכו' דבעינן קול יוצא מדברים שראוי לחוש להם כאותם הנזכרים בגמ' אבל כשיהיה הדיוט מוציא קול שקידש אשה ומדבריו יצא רינון בעיר אין זה קול כלל.</w:t>
      </w:r>
    </w:p>
    <w:p w14:paraId="23778C5E"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איש שקידש בת קטנה שלא בפני אביה והעדים קרובים זה לזה מצד האם: </w:t>
      </w:r>
    </w:p>
    <w:p w14:paraId="3C50A5ED" w14:textId="77777777" w:rsidR="008E16D0" w:rsidRPr="00351B7D" w:rsidRDefault="008E16D0" w:rsidP="00A8697F">
      <w:pPr>
        <w:pStyle w:val="ab"/>
        <w:numPr>
          <w:ilvl w:val="0"/>
          <w:numId w:val="68"/>
        </w:numPr>
        <w:rPr>
          <w:rFonts w:asciiTheme="minorBidi" w:hAnsiTheme="minorBidi"/>
          <w:rtl/>
        </w:rPr>
      </w:pPr>
      <w:r w:rsidRPr="00351B7D">
        <w:rPr>
          <w:rFonts w:asciiTheme="minorBidi" w:hAnsiTheme="minorBidi"/>
          <w:rtl/>
        </w:rPr>
        <w:t xml:space="preserve">תשב"ץ </w:t>
      </w:r>
      <w:r w:rsidRPr="00351B7D">
        <w:rPr>
          <w:rFonts w:asciiTheme="minorBidi" w:hAnsiTheme="minorBidi"/>
          <w:sz w:val="16"/>
          <w:szCs w:val="16"/>
          <w:rtl/>
        </w:rPr>
        <w:t>(ח"א סי' קנא)</w:t>
      </w:r>
      <w:r w:rsidRPr="00351B7D">
        <w:rPr>
          <w:rFonts w:asciiTheme="minorBidi" w:hAnsiTheme="minorBidi"/>
          <w:rtl/>
        </w:rPr>
        <w:t>- אפילו הרמב"ם שסובר שפיסול קורבת האם אינו אלא מדרבנן יודה שעדותן בטלה משני טעמים, האחד שאפילו יהיה פיסול זה כשאר פסולי עדות דרבנן ונאמר שחוששין לקידושיו הכא כיון שהיתה קטנה שלא לדעת אביה אין כאן חשש קידושי תורה, ואפילו לרש"י</w:t>
      </w:r>
      <w:r w:rsidRPr="00351B7D">
        <w:rPr>
          <w:rFonts w:asciiTheme="minorBidi" w:hAnsiTheme="minorBidi"/>
          <w:sz w:val="16"/>
          <w:szCs w:val="16"/>
          <w:rtl/>
        </w:rPr>
        <w:t xml:space="preserve"> (קידושין מה: ד"ה בפירוש) </w:t>
      </w:r>
      <w:r w:rsidRPr="00351B7D">
        <w:rPr>
          <w:rFonts w:asciiTheme="minorBidi" w:hAnsiTheme="minorBidi"/>
          <w:rtl/>
        </w:rPr>
        <w:t>שסובר שאם נתרצה בפירוש חוששין לקידושיו אפ"ה אין כאן חשש קידושי תורה שאנו צריכין לשמוע מפיו שנתרצה, וכיון שאין כאן קידושי תורה אפילו יודה רבינו לבה"ג</w:t>
      </w:r>
      <w:r w:rsidRPr="00351B7D">
        <w:rPr>
          <w:rFonts w:asciiTheme="minorBidi" w:hAnsiTheme="minorBidi"/>
          <w:sz w:val="16"/>
          <w:szCs w:val="16"/>
          <w:rtl/>
        </w:rPr>
        <w:t xml:space="preserve"> (סוף הל' קידושין) </w:t>
      </w:r>
      <w:r w:rsidRPr="00351B7D">
        <w:rPr>
          <w:rFonts w:asciiTheme="minorBidi" w:hAnsiTheme="minorBidi"/>
          <w:rtl/>
        </w:rPr>
        <w:t>דתקנו רבנן קידושין לקטנה אפ"ה יאמר כאן שאין זו מקודשת לפי שקידושין דרבנן בפסולי עדות דרבנן הם וליכא מאן דחייש להו, והטעם השני שמש"כ הרב דפסולי קרובים הבא מדרשה הוא מדרבנן הוא מפני שסובר בכל מדרש חכמים שאינם קרויים דאורייתא אינו שהם מדרבנן אלא שהם קרויים מדרבנן לענין שאינם נכללים בדברי רבי שמלאי לענין מנין המצות</w:t>
      </w:r>
      <w:r w:rsidRPr="00351B7D">
        <w:rPr>
          <w:rFonts w:asciiTheme="minorBidi" w:hAnsiTheme="minorBidi"/>
          <w:sz w:val="16"/>
          <w:szCs w:val="16"/>
          <w:rtl/>
        </w:rPr>
        <w:t xml:space="preserve"> (מכות כג:) </w:t>
      </w:r>
      <w:r w:rsidRPr="00351B7D">
        <w:rPr>
          <w:rFonts w:asciiTheme="minorBidi" w:hAnsiTheme="minorBidi"/>
          <w:rtl/>
        </w:rPr>
        <w:t xml:space="preserve">אבל מ"מ דין תורה הם וא"כ המקדש בפניהם אינה מקודשת. </w:t>
      </w:r>
      <w:r w:rsidRPr="00351B7D">
        <w:rPr>
          <w:rFonts w:asciiTheme="minorBidi" w:hAnsiTheme="minorBidi"/>
          <w:color w:val="00B0F0"/>
          <w:rtl/>
        </w:rPr>
        <w:t>(וכ"פ הרמ"א)</w:t>
      </w:r>
    </w:p>
    <w:p w14:paraId="7CFA3C47" w14:textId="77777777" w:rsidR="008E16D0" w:rsidRPr="00351B7D" w:rsidRDefault="008E16D0" w:rsidP="008E16D0">
      <w:pPr>
        <w:rPr>
          <w:rFonts w:asciiTheme="minorBidi" w:hAnsiTheme="minorBidi"/>
          <w:u w:val="single"/>
          <w:rtl/>
        </w:rPr>
      </w:pPr>
      <w:r w:rsidRPr="00351B7D">
        <w:rPr>
          <w:rFonts w:asciiTheme="minorBidi" w:hAnsiTheme="minorBidi"/>
          <w:u w:val="single"/>
          <w:rtl/>
        </w:rPr>
        <w:lastRenderedPageBreak/>
        <w:t xml:space="preserve">מעשה באחד שקידש בפסולי עדות: </w:t>
      </w:r>
    </w:p>
    <w:p w14:paraId="26E75F10" w14:textId="77777777" w:rsidR="008E16D0" w:rsidRPr="00351B7D" w:rsidRDefault="008E16D0" w:rsidP="00A8697F">
      <w:pPr>
        <w:pStyle w:val="ab"/>
        <w:numPr>
          <w:ilvl w:val="0"/>
          <w:numId w:val="68"/>
        </w:numPr>
        <w:rPr>
          <w:rFonts w:asciiTheme="minorBidi" w:hAnsiTheme="minorBidi"/>
          <w:rtl/>
        </w:rPr>
      </w:pPr>
      <w:r w:rsidRPr="00351B7D">
        <w:rPr>
          <w:rFonts w:asciiTheme="minorBidi" w:hAnsiTheme="minorBidi"/>
          <w:rtl/>
        </w:rPr>
        <w:t>ב"י</w:t>
      </w:r>
      <w:r w:rsidRPr="00351B7D">
        <w:rPr>
          <w:rStyle w:val="a7"/>
          <w:rFonts w:asciiTheme="minorBidi" w:hAnsiTheme="minorBidi"/>
          <w:rtl/>
        </w:rPr>
        <w:footnoteReference w:id="549"/>
      </w:r>
      <w:r w:rsidRPr="00351B7D">
        <w:rPr>
          <w:rFonts w:asciiTheme="minorBidi" w:hAnsiTheme="minorBidi"/>
          <w:rtl/>
        </w:rPr>
        <w:t xml:space="preserve">- </w:t>
      </w:r>
      <w:r w:rsidRPr="00351B7D">
        <w:rPr>
          <w:rFonts w:asciiTheme="minorBidi" w:hAnsiTheme="minorBidi"/>
          <w:color w:val="000000"/>
          <w:rtl/>
        </w:rPr>
        <w:t>"מצאתי כתוב על מעשה שהיה באשה שנתקדשה לראובן בפני עדים שהם קרובים, ואחר כך הלכה ונתקדשה לשמעון בפני עדים קרובים ופסקו החכמים שאלו ואלו אינם קידושין והתירוה לעלמא והלכה ונישאת לאחר, ואח"כ עמד אחד וערער על הוראת החכמים לפי שהקרובים היו ע"י אישות והם פסולי עדות דרבנן וצריכה גט והקידושין השניים ג"כ חלו אע"פ שהעדים היו קרובים כיון שהקידושין הראשונים לא היו בעדים כשרים, והחכמים דחו דבריו והסכים ה"ר יהודה בן הרא"ש על ידם מפני שרבים חולקים עליו וסוברים שקורבת אישות היא מן התורה, ועוד שהרי"ף כתב בתשובה שהמקדש בפסולי עדות דרבנן אין חוששין לקידושיו עכ"ל. ונראה לי לסמוך על זה היכא דכבר נישאת אבל אם לא נישאת עדיין הדין עם החולק להצריכה גט משניהם כדברי הרמב"ם ז"ל. וכתב עוד ה"ר יהודה בתשובה הנזכרת, אבי הנערה הטעה אתכם שלא הגיד לכם שבקידושין שניים נמצאו עדים כשרים עם הקרובים, ואם הייתם שולחין בעד המקדש כשקיבלתם העדויות והייתם שואלים אותו אם היה לו שום זכות לטעון בעדו היה אומר לכם שהיו שם עדים כשרים גם כן, ואם הייתם מסכימים להתירה הייתם כותבים הטעם במעשה ב"ד, ואם היה חולק בדבר הייתם סותרים דבריו קודם שתנשא ולא היה נשאר מקום להוציא לעז על הנישואין עכ"ל"</w:t>
      </w:r>
      <w:r w:rsidRPr="00351B7D">
        <w:rPr>
          <w:rFonts w:asciiTheme="minorBidi" w:hAnsiTheme="minorBidi"/>
          <w:rtl/>
        </w:rPr>
        <w:t>.</w:t>
      </w:r>
    </w:p>
    <w:p w14:paraId="1536B89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5523AB" w14:textId="77777777" w:rsidR="008E16D0" w:rsidRPr="00351B7D" w:rsidRDefault="008E16D0" w:rsidP="008E16D0">
      <w:pPr>
        <w:rPr>
          <w:rFonts w:asciiTheme="minorBidi" w:hAnsiTheme="minorBidi"/>
          <w:color w:val="000000"/>
          <w:rtl/>
        </w:rPr>
      </w:pPr>
      <w:r w:rsidRPr="00351B7D">
        <w:rPr>
          <w:rFonts w:asciiTheme="minorBidi" w:hAnsiTheme="minorBidi"/>
          <w:rtl/>
        </w:rPr>
        <w:t>המקדש בפסולי עדות דאורייתא אינן קדושין</w:t>
      </w:r>
      <w:r w:rsidRPr="00351B7D">
        <w:rPr>
          <w:rStyle w:val="a7"/>
          <w:rFonts w:asciiTheme="minorBidi" w:hAnsiTheme="minorBidi"/>
          <w:rtl/>
        </w:rPr>
        <w:footnoteReference w:id="550"/>
      </w:r>
      <w:r w:rsidRPr="00351B7D">
        <w:rPr>
          <w:rFonts w:asciiTheme="minorBidi" w:hAnsiTheme="minorBidi"/>
          <w:rtl/>
        </w:rPr>
        <w:t>, אבל בפסולי עדות דרבנן או בעדים שהם ספק פסולי תורה אם רוצה לכנוס חוזר ומקדש</w:t>
      </w:r>
      <w:r w:rsidRPr="00351B7D">
        <w:rPr>
          <w:rStyle w:val="a7"/>
          <w:rFonts w:asciiTheme="minorBidi" w:hAnsiTheme="minorBidi"/>
          <w:rtl/>
        </w:rPr>
        <w:footnoteReference w:id="551"/>
      </w:r>
      <w:r w:rsidRPr="00351B7D">
        <w:rPr>
          <w:rFonts w:asciiTheme="minorBidi" w:hAnsiTheme="minorBidi"/>
          <w:rtl/>
        </w:rPr>
        <w:t xml:space="preserve"> בעדים כשרים ואם לא רצה לכנוס צריכה גט מספק, ואפילו כפרה האשה ואמרה לא קדשתני כופין</w:t>
      </w:r>
      <w:r w:rsidRPr="00351B7D">
        <w:rPr>
          <w:rStyle w:val="a7"/>
          <w:rFonts w:asciiTheme="minorBidi" w:hAnsiTheme="minorBidi"/>
          <w:rtl/>
        </w:rPr>
        <w:footnoteReference w:id="552"/>
      </w:r>
      <w:r w:rsidRPr="00351B7D">
        <w:rPr>
          <w:rFonts w:asciiTheme="minorBidi" w:hAnsiTheme="minorBidi"/>
          <w:rtl/>
        </w:rPr>
        <w:t xml:space="preserve"> אותו ליתן גט</w:t>
      </w:r>
      <w:r w:rsidRPr="00351B7D">
        <w:rPr>
          <w:rStyle w:val="a7"/>
          <w:rFonts w:asciiTheme="minorBidi" w:hAnsiTheme="minorBidi"/>
          <w:color w:val="000000"/>
          <w:rtl/>
        </w:rPr>
        <w:footnoteReference w:id="553"/>
      </w:r>
      <w:r w:rsidRPr="00351B7D">
        <w:rPr>
          <w:rFonts w:asciiTheme="minorBidi" w:hAnsiTheme="minorBidi"/>
          <w:rtl/>
        </w:rPr>
        <w:t>, וכן דין כל קדושי ספק אם רצה לכנוס חוזר ומקדש ודאי ואם לא רצה לכנוס צריכה גט ממנו מספק</w:t>
      </w:r>
      <w:r w:rsidRPr="00351B7D">
        <w:rPr>
          <w:rStyle w:val="a7"/>
          <w:rFonts w:asciiTheme="minorBidi" w:hAnsiTheme="minorBidi"/>
          <w:color w:val="000000"/>
          <w:rtl/>
        </w:rPr>
        <w:footnoteReference w:id="554"/>
      </w:r>
      <w:r w:rsidRPr="00351B7D">
        <w:rPr>
          <w:rFonts w:asciiTheme="minorBidi" w:hAnsiTheme="minorBidi"/>
          <w:rtl/>
        </w:rPr>
        <w:t>. ואם עמד אחר וקידשה</w:t>
      </w:r>
      <w:r w:rsidRPr="00351B7D">
        <w:rPr>
          <w:rStyle w:val="a7"/>
          <w:rFonts w:asciiTheme="minorBidi" w:hAnsiTheme="minorBidi"/>
          <w:color w:val="000000"/>
          <w:rtl/>
        </w:rPr>
        <w:footnoteReference w:id="555"/>
      </w:r>
      <w:r w:rsidRPr="00351B7D">
        <w:rPr>
          <w:rFonts w:asciiTheme="minorBidi" w:hAnsiTheme="minorBidi"/>
          <w:rtl/>
        </w:rPr>
        <w:t xml:space="preserve"> הרי זו מקודשת לשני מספק וצריכה גט משניהם או מגרש ראשון ונושא שני, אבל לגרש שני ולכנוס ראשון לא</w:t>
      </w:r>
      <w:r w:rsidRPr="00351B7D">
        <w:rPr>
          <w:rStyle w:val="a7"/>
          <w:rFonts w:asciiTheme="minorBidi" w:hAnsiTheme="minorBidi"/>
          <w:color w:val="000000"/>
          <w:rtl/>
        </w:rPr>
        <w:footnoteReference w:id="556"/>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החשוד על העריות אף על פי שאין עדים שבא על הערוה רק שחשוד בעלמא </w:t>
      </w:r>
      <w:r w:rsidRPr="00351B7D">
        <w:rPr>
          <w:rFonts w:asciiTheme="minorBidi" w:hAnsiTheme="minorBidi"/>
          <w:color w:val="000000"/>
          <w:sz w:val="16"/>
          <w:szCs w:val="16"/>
          <w:rtl/>
        </w:rPr>
        <w:t xml:space="preserve">(תוס' ורא"ש) </w:t>
      </w:r>
      <w:r w:rsidRPr="00351B7D">
        <w:rPr>
          <w:rFonts w:asciiTheme="minorBidi" w:hAnsiTheme="minorBidi"/>
          <w:color w:val="000000"/>
          <w:sz w:val="18"/>
          <w:szCs w:val="18"/>
          <w:rtl/>
        </w:rPr>
        <w:t xml:space="preserve">פסול לעדות אשה בין לענין קדושין בין לענין גירושין </w:t>
      </w:r>
      <w:r w:rsidRPr="00351B7D">
        <w:rPr>
          <w:rFonts w:asciiTheme="minorBidi" w:hAnsiTheme="minorBidi"/>
          <w:color w:val="000000"/>
          <w:sz w:val="16"/>
          <w:szCs w:val="16"/>
          <w:rtl/>
        </w:rPr>
        <w:t>(רמב"ם)</w:t>
      </w:r>
      <w:r w:rsidRPr="00351B7D">
        <w:rPr>
          <w:rFonts w:asciiTheme="minorBidi" w:hAnsiTheme="minorBidi"/>
          <w:color w:val="000000"/>
          <w:sz w:val="18"/>
          <w:szCs w:val="18"/>
          <w:rtl/>
        </w:rPr>
        <w:t xml:space="preserve">. המקדש לפני פסולי עדות דאורייתא מכח רשעתן כגון לפני אנוסים או שאר רשעים י"א חיישינן לקדושין דלמא חזרו בתשובה </w:t>
      </w:r>
      <w:r w:rsidRPr="00351B7D">
        <w:rPr>
          <w:rFonts w:asciiTheme="minorBidi" w:hAnsiTheme="minorBidi"/>
          <w:color w:val="000000"/>
          <w:sz w:val="16"/>
          <w:szCs w:val="16"/>
          <w:rtl/>
        </w:rPr>
        <w:t>(ר"י מינץ סי' יא, וכ"כ באו"ח בשם רש"י)</w:t>
      </w:r>
      <w:r w:rsidRPr="00351B7D">
        <w:rPr>
          <w:rFonts w:asciiTheme="minorBidi" w:hAnsiTheme="minorBidi"/>
          <w:color w:val="000000"/>
          <w:sz w:val="18"/>
          <w:szCs w:val="18"/>
          <w:rtl/>
        </w:rPr>
        <w:t>, ויש מקילין</w:t>
      </w:r>
      <w:r w:rsidRPr="00351B7D">
        <w:rPr>
          <w:rStyle w:val="a7"/>
          <w:rFonts w:asciiTheme="minorBidi" w:hAnsiTheme="minorBidi"/>
          <w:color w:val="000000"/>
          <w:sz w:val="18"/>
          <w:szCs w:val="18"/>
          <w:rtl/>
        </w:rPr>
        <w:footnoteReference w:id="557"/>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(ב"י ומהר"ם פדוואה סי' לז)</w:t>
      </w:r>
      <w:r w:rsidRPr="00351B7D">
        <w:rPr>
          <w:rFonts w:asciiTheme="minorBidi" w:hAnsiTheme="minorBidi"/>
          <w:color w:val="000000"/>
          <w:sz w:val="18"/>
          <w:szCs w:val="18"/>
          <w:rtl/>
        </w:rPr>
        <w:t xml:space="preserve">, מיהו אלו האנוסים שהוצרכו להמיר מכח יראה וא"א להם למלט על נפשם ובצנעה מקיימים המצוות הם כשרים לעדות </w:t>
      </w:r>
      <w:r w:rsidRPr="00351B7D">
        <w:rPr>
          <w:rFonts w:asciiTheme="minorBidi" w:hAnsiTheme="minorBidi"/>
          <w:color w:val="000000"/>
          <w:sz w:val="16"/>
          <w:szCs w:val="16"/>
          <w:rtl/>
        </w:rPr>
        <w:t>(ריב"ש סי' יא)</w:t>
      </w:r>
      <w:r w:rsidRPr="00351B7D">
        <w:rPr>
          <w:rFonts w:asciiTheme="minorBidi" w:hAnsiTheme="minorBidi"/>
          <w:color w:val="000000"/>
          <w:sz w:val="18"/>
          <w:szCs w:val="18"/>
          <w:rtl/>
        </w:rPr>
        <w:t>. י"א הא דאמרינן המקדש בפסולי עדות דרבנן חוששין לקידושין היינו בקידושי דאורייתא אבל בקידושי דרבנן</w:t>
      </w:r>
      <w:r w:rsidRPr="00351B7D">
        <w:rPr>
          <w:rStyle w:val="a7"/>
          <w:rFonts w:asciiTheme="minorBidi" w:hAnsiTheme="minorBidi"/>
          <w:color w:val="000000"/>
          <w:sz w:val="18"/>
          <w:szCs w:val="18"/>
          <w:rtl/>
        </w:rPr>
        <w:footnoteReference w:id="558"/>
      </w:r>
      <w:r w:rsidRPr="00351B7D">
        <w:rPr>
          <w:rFonts w:asciiTheme="minorBidi" w:hAnsiTheme="minorBidi"/>
          <w:color w:val="000000"/>
          <w:sz w:val="18"/>
          <w:szCs w:val="18"/>
          <w:rtl/>
        </w:rPr>
        <w:t xml:space="preserve"> ועדים פסולים מדרבנן אין חוששין לקדושין כלל </w:t>
      </w:r>
      <w:r w:rsidRPr="00351B7D">
        <w:rPr>
          <w:rFonts w:asciiTheme="minorBidi" w:hAnsiTheme="minorBidi"/>
          <w:color w:val="000000"/>
          <w:sz w:val="16"/>
          <w:szCs w:val="16"/>
          <w:rtl/>
        </w:rPr>
        <w:t>(ב"י בשם רשב"ץ בתשו')</w:t>
      </w:r>
      <w:r w:rsidRPr="00351B7D">
        <w:rPr>
          <w:rFonts w:asciiTheme="minorBidi" w:hAnsiTheme="minorBidi"/>
          <w:color w:val="000000"/>
          <w:sz w:val="18"/>
          <w:szCs w:val="18"/>
          <w:rtl/>
        </w:rPr>
        <w:t>.</w:t>
      </w:r>
    </w:p>
    <w:p w14:paraId="30463FA6"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מעשים בעדים שקידשו בפניהם ולאחמ"כ באו עדים כשרים והעידו על הראשונים שהם פסולים:</w:t>
      </w:r>
      <w:r w:rsidRPr="00351B7D">
        <w:rPr>
          <w:rFonts w:asciiTheme="minorBidi" w:hAnsiTheme="minorBidi"/>
          <w:color w:val="000000"/>
          <w:sz w:val="16"/>
          <w:szCs w:val="16"/>
          <w:rtl/>
        </w:rPr>
        <w:t xml:space="preserve">  (פת"ש סקי"ח)</w:t>
      </w:r>
      <w:r w:rsidRPr="00351B7D">
        <w:rPr>
          <w:rFonts w:asciiTheme="minorBidi" w:hAnsiTheme="minorBidi"/>
          <w:color w:val="000000"/>
          <w:rtl/>
        </w:rPr>
        <w:t xml:space="preserve"> </w:t>
      </w:r>
    </w:p>
    <w:p w14:paraId="120485C5" w14:textId="77777777" w:rsidR="008E16D0" w:rsidRPr="00351B7D" w:rsidRDefault="008E16D0" w:rsidP="00A8697F">
      <w:pPr>
        <w:pStyle w:val="ab"/>
        <w:numPr>
          <w:ilvl w:val="0"/>
          <w:numId w:val="68"/>
        </w:numPr>
        <w:rPr>
          <w:rFonts w:asciiTheme="minorBidi" w:hAnsiTheme="minorBidi"/>
          <w:rtl/>
        </w:rPr>
      </w:pPr>
      <w:r w:rsidRPr="00351B7D">
        <w:rPr>
          <w:rFonts w:asciiTheme="minorBidi" w:hAnsiTheme="minorBidi"/>
          <w:rtl/>
        </w:rPr>
        <w:t>רעק"א</w:t>
      </w:r>
      <w:r w:rsidRPr="00351B7D">
        <w:rPr>
          <w:rFonts w:asciiTheme="minorBidi" w:hAnsiTheme="minorBidi"/>
          <w:sz w:val="16"/>
          <w:szCs w:val="16"/>
          <w:rtl/>
        </w:rPr>
        <w:t xml:space="preserve"> (סי' צו)</w:t>
      </w:r>
      <w:r w:rsidRPr="00351B7D">
        <w:rPr>
          <w:rFonts w:asciiTheme="minorBidi" w:hAnsiTheme="minorBidi"/>
          <w:rtl/>
        </w:rPr>
        <w:t>- עידי קדושין שאחד מהם נראה מגלח זקנו בתער ונגבתה עליו עדות. וכ' שאין להתיר בלא גט מאחר שאין עדות ברורה עליהם אשר התגלחו ע"י ישראל ושהגילוח היה על מקום האיסור ממש. ועוד נ"ל לדון בעיקר הדבר אחר דמבואר בחו"מ סי' ל"ד בראו קושר ומתיר בשבת ולא הודיעו לו תחילה שאסור תולין שלא ידע שהוא מלאכה, א"כ י"ל דהשחתה בתער דנתפשט בעו"ה אצל הרבה לא חשב שזהו איסור כ"כ, ואף דלא התנצל עצמו כן לפני הב"ד מ"מ זה אינו מזיק כמש"כ בתשו' מהרי"ט</w:t>
      </w:r>
      <w:r w:rsidRPr="00351B7D">
        <w:rPr>
          <w:rFonts w:asciiTheme="minorBidi" w:hAnsiTheme="minorBidi"/>
          <w:sz w:val="16"/>
          <w:szCs w:val="16"/>
          <w:rtl/>
        </w:rPr>
        <w:t xml:space="preserve"> (סי' מ"ג)</w:t>
      </w:r>
      <w:r w:rsidRPr="00351B7D">
        <w:rPr>
          <w:rFonts w:asciiTheme="minorBidi" w:hAnsiTheme="minorBidi"/>
          <w:rtl/>
        </w:rPr>
        <w:t xml:space="preserve"> דאפי' הודה אין אדם משים עצמו רשע כו', ובתשו' רמ"א </w:t>
      </w:r>
      <w:r w:rsidRPr="00351B7D">
        <w:rPr>
          <w:rFonts w:asciiTheme="minorBidi" w:hAnsiTheme="minorBidi"/>
          <w:sz w:val="16"/>
          <w:szCs w:val="16"/>
          <w:rtl/>
        </w:rPr>
        <w:t>(סי' יד)</w:t>
      </w:r>
      <w:r w:rsidRPr="00351B7D">
        <w:rPr>
          <w:rFonts w:asciiTheme="minorBidi" w:hAnsiTheme="minorBidi"/>
          <w:rtl/>
        </w:rPr>
        <w:t xml:space="preserve"> כתב שם הגאון מו"ה נפתלי ז"ל גם בענין פסול העד מכח מסירה והזכרת שם יש לצדד להכשירו שקלקול קצת ראשי העיר הם תקנתם כיון שקצת מוסרים נמנים להיות ראשי העיר </w:t>
      </w:r>
      <w:r w:rsidRPr="00351B7D">
        <w:rPr>
          <w:rFonts w:asciiTheme="minorBidi" w:hAnsiTheme="minorBidi"/>
          <w:rtl/>
        </w:rPr>
        <w:lastRenderedPageBreak/>
        <w:t>א"כ העד ראה ויתר למסור באומד דעתו דאין נקרא מסירה רק המוסר גוף ולא ממון ומורגלים בזה ע"ש, וה"נ נידון דידן דבהרבה מקומות חזינן כו', לזה אין בכחי להתיר בנ"ד וראוי לקבל גט.</w:t>
      </w:r>
    </w:p>
    <w:p w14:paraId="528C8E76" w14:textId="77777777" w:rsidR="008E16D0" w:rsidRPr="00351B7D" w:rsidRDefault="008E16D0" w:rsidP="00A8697F">
      <w:pPr>
        <w:pStyle w:val="ab"/>
        <w:numPr>
          <w:ilvl w:val="0"/>
          <w:numId w:val="68"/>
        </w:numPr>
        <w:rPr>
          <w:rFonts w:asciiTheme="minorBidi" w:hAnsiTheme="minorBidi"/>
          <w:rtl/>
        </w:rPr>
      </w:pPr>
      <w:r w:rsidRPr="00351B7D">
        <w:rPr>
          <w:rFonts w:asciiTheme="minorBidi" w:hAnsiTheme="minorBidi"/>
          <w:rtl/>
        </w:rPr>
        <w:t>פני אריה</w:t>
      </w:r>
      <w:r w:rsidRPr="00351B7D">
        <w:rPr>
          <w:rFonts w:asciiTheme="minorBidi" w:hAnsiTheme="minorBidi"/>
          <w:sz w:val="16"/>
          <w:szCs w:val="16"/>
          <w:rtl/>
        </w:rPr>
        <w:t xml:space="preserve"> (סי' כח)</w:t>
      </w:r>
      <w:r w:rsidRPr="00351B7D">
        <w:rPr>
          <w:rFonts w:asciiTheme="minorBidi" w:hAnsiTheme="minorBidi"/>
          <w:rtl/>
        </w:rPr>
        <w:t>- על דבר הבתולה שנתקדשה בפני עדים ריקים ופוחזים ואח"כ באו עדים כשרים ונאמנים והעידו לפני הרב על עדי הקדושין שהם פסולי עדות דאו' שעוברים בכל יום על נשג"ז</w:t>
      </w:r>
      <w:r w:rsidRPr="00351B7D">
        <w:rPr>
          <w:rFonts w:asciiTheme="minorBidi" w:hAnsiTheme="minorBidi"/>
          <w:sz w:val="16"/>
          <w:szCs w:val="16"/>
          <w:rtl/>
        </w:rPr>
        <w:t xml:space="preserve"> (נדה שפחה גויה זונה)</w:t>
      </w:r>
      <w:r w:rsidRPr="00351B7D">
        <w:rPr>
          <w:rFonts w:asciiTheme="minorBidi" w:hAnsiTheme="minorBidi"/>
          <w:rtl/>
        </w:rPr>
        <w:t xml:space="preserve"> ואוכלים טריפות והם פושעי ישראל בגופן אם יש לבטל הקדושין. וכ' שאין אותו העדות מספיק כלל לפסול עידי הקדושין, חדא שכפי הנראה נתקבל עדותן ביחידי ופשוט הוא בחו"מ סי' כח דצריך ג' מומחים ואפי' בדיעבד אם נתקבל בפחות מג' לאו כלום הוא, ואע"פ שכ' הב"י שם שאם רצו צבור לתקן ששני הסופרים יקבלו עדות תקנתן קיימת- היינו דוקא לענין ממון ולא לענין איסור כגון הכא. ועוד כיון שנתקבל שלא בפני עידי הקדושין לאו כלום הוא וכמבואר בב"י סי' זה בשם חכמי טוליטולא, ומדברי הרמ"א בתשו' סי' י"ב אין סתירה לזה ואדרבא ראי' לזה דדוקא בנדון דידיה כ' דמהני אף שלא בפניהם משום דא"ל אוקי תרי לבהדי תרי ואשה בחזקת היתר, אבל בנ"ד אי אמרינן אוקי תרי לבהדי תרי הו"ל כשנים אומרים נתקדשה ושנים אומרים לא נתקדשה לקמן סי' מז ס"ב. וגם אין לבטל עדי הקדושין מחמת דאף בלא עדות האלו הרי הם חשודים וניכרים לכל לפוחזים וריקים, דליתא, כיון שאינם חשודים להעיד שקר בשביל ממון אלא חשודים על שאר עבירות כל זמן שאין לפנינו שני עדים שמעידים שראו שעברו עבירה אלא שנתפרסם כך ע"י קלא כשרים הם לכל עדות שבתורה חוץ מלאותו דבר שהם חשודים עליו. ואע"ג דבנ"ד העדים חשודים גם על נשג"ז והו"ל חשוד על העריות, מ"מ לא מבעיא אלו שאינן חשודים אלא על נשג"ז שאין עיקר איסורו אלא מד"ס </w:t>
      </w:r>
      <w:r w:rsidRPr="00351B7D">
        <w:rPr>
          <w:rFonts w:asciiTheme="minorBidi" w:hAnsiTheme="minorBidi"/>
          <w:sz w:val="16"/>
          <w:szCs w:val="16"/>
          <w:rtl/>
        </w:rPr>
        <w:t xml:space="preserve">(כדלעיל סי' טז) </w:t>
      </w:r>
      <w:r w:rsidRPr="00351B7D">
        <w:rPr>
          <w:rFonts w:asciiTheme="minorBidi" w:hAnsiTheme="minorBidi"/>
          <w:rtl/>
        </w:rPr>
        <w:t>אלא אפילו היו חשודים על עריות דאו' כיון שאין כאן עדות ברורה שנתקבל בפניהם אלא חשודים בעלמא אינם פסולים אלא מדרבנן והא קיי"ל המקדש בפסולי עדות דרבנן חוששין לקידושין.</w:t>
      </w:r>
    </w:p>
    <w:p w14:paraId="75423209" w14:textId="77777777" w:rsidR="008E16D0" w:rsidRPr="00351B7D" w:rsidRDefault="008E16D0" w:rsidP="00A8697F">
      <w:pPr>
        <w:pStyle w:val="ab"/>
        <w:numPr>
          <w:ilvl w:val="0"/>
          <w:numId w:val="68"/>
        </w:numPr>
        <w:rPr>
          <w:rFonts w:asciiTheme="minorBidi" w:hAnsiTheme="minorBidi"/>
          <w:rtl/>
        </w:rPr>
      </w:pPr>
      <w:r w:rsidRPr="00351B7D">
        <w:rPr>
          <w:rFonts w:asciiTheme="minorBidi" w:hAnsiTheme="minorBidi"/>
          <w:rtl/>
        </w:rPr>
        <w:t>קהלת יעקב</w:t>
      </w:r>
      <w:r w:rsidRPr="00351B7D">
        <w:rPr>
          <w:rFonts w:asciiTheme="minorBidi" w:hAnsiTheme="minorBidi"/>
          <w:sz w:val="16"/>
          <w:szCs w:val="16"/>
          <w:rtl/>
        </w:rPr>
        <w:t xml:space="preserve"> (מהגאון מקרלין סי' יז)</w:t>
      </w:r>
      <w:r w:rsidRPr="00351B7D">
        <w:rPr>
          <w:rFonts w:asciiTheme="minorBidi" w:hAnsiTheme="minorBidi"/>
          <w:rtl/>
        </w:rPr>
        <w:t>- מה שנסתפק מעלתו בכהן שקידש גרושה והעדים ידעו מזה ואחד מהעדים היה סרסור ומסייע בדבר אם יש לפסול הקדושין מטעם שהעדים פסולים שעברו על אל תשת ידך עם רשע והוי קדושין בלא עדים ודחק לפרש הא דקיי"ל דקידושין תופסין בחייבי לאוין היינו שהעדים לא ידעו שהיא דבר עבירה אבל אם העדים ידעו מזה עלה על דעתו דלא הוי קידושין כלל ומדמי לה עוד לשטר מוקדם דלא גבי ביה אפילו מזמן שני מטעם זה שהעדים פסולין. אין דמיון זה עולה יפה כלל דהדבר פשוט מאד דבכל גווני הוי קדושין כו', ואי משום שהעדים שתקו ולא מיחו בו או שאחד מהם סייע בדבר לא מיפסלי לעדות בשביל זה דדברי הרב ודברי התלמיד כו', וקרא דאל תשת ידך לא מיירי בכה"ג אלא אל תשת רשע דחמס עד כדמפר' לה בש"ס, וראייתו משטר מוקדם אינו ראיה כלל דהתם עברו העדים בלאו גמור לא תענה כו' אבל עדים שראו אחד עבר עבירה ולא מיחו בו אין עוברין רק בהוכח תוכיח ולא מיקרו רשעים לענין זה למפסל עדותן והוא ברור. אך הכהן המקדש יש לכפות כאגמון ראשו עד ישלחנה בגט פטורין, גם העדים מהראוי לקנוס אותם למען ישמעו</w:t>
      </w:r>
      <w:r w:rsidRPr="00351B7D">
        <w:rPr>
          <w:rStyle w:val="a7"/>
          <w:rFonts w:asciiTheme="minorBidi" w:hAnsiTheme="minorBidi"/>
          <w:color w:val="000000"/>
          <w:rtl/>
        </w:rPr>
        <w:footnoteReference w:id="559"/>
      </w:r>
      <w:r w:rsidRPr="00351B7D">
        <w:rPr>
          <w:rFonts w:asciiTheme="minorBidi" w:hAnsiTheme="minorBidi"/>
          <w:rtl/>
        </w:rPr>
        <w:t xml:space="preserve">. </w:t>
      </w:r>
    </w:p>
    <w:p w14:paraId="07867610"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המקדש בפני גזלן:</w:t>
      </w:r>
      <w:r w:rsidRPr="00351B7D">
        <w:rPr>
          <w:rFonts w:asciiTheme="minorBidi" w:hAnsiTheme="minorBidi"/>
          <w:color w:val="000000"/>
          <w:sz w:val="16"/>
          <w:szCs w:val="16"/>
          <w:rtl/>
        </w:rPr>
        <w:t xml:space="preserve"> (פת"ש סקי"ט)</w:t>
      </w:r>
    </w:p>
    <w:p w14:paraId="4C6C01C7" w14:textId="77777777" w:rsidR="008E16D0" w:rsidRPr="00351B7D" w:rsidRDefault="008E16D0" w:rsidP="00A8697F">
      <w:pPr>
        <w:pStyle w:val="ab"/>
        <w:numPr>
          <w:ilvl w:val="0"/>
          <w:numId w:val="69"/>
        </w:numPr>
        <w:rPr>
          <w:rFonts w:asciiTheme="minorBidi" w:hAnsiTheme="minorBidi"/>
          <w:rtl/>
        </w:rPr>
      </w:pPr>
      <w:r w:rsidRPr="00351B7D">
        <w:rPr>
          <w:rFonts w:asciiTheme="minorBidi" w:hAnsiTheme="minorBidi"/>
          <w:rtl/>
        </w:rPr>
        <w:t xml:space="preserve">שלט"ג </w:t>
      </w:r>
      <w:r w:rsidRPr="00351B7D">
        <w:rPr>
          <w:rFonts w:asciiTheme="minorBidi" w:hAnsiTheme="minorBidi"/>
          <w:sz w:val="16"/>
          <w:szCs w:val="16"/>
          <w:rtl/>
        </w:rPr>
        <w:t>(סנהדרין ה: מדפה"ר, הביאוהו הב"ש [סקי"ט] והבאה"ט [סקי"ד])</w:t>
      </w:r>
      <w:r w:rsidRPr="00351B7D">
        <w:rPr>
          <w:rFonts w:asciiTheme="minorBidi" w:hAnsiTheme="minorBidi"/>
          <w:rtl/>
        </w:rPr>
        <w:t>- אפי' מי שהוא פסול לעדות מדאורייתא אינו פסול אלא לדבר שהוא חשוד בו לכן אם קידש לפני גזלנים חוששין לקדושין כי לענין קדושין אינם חשודים</w:t>
      </w:r>
      <w:r w:rsidRPr="00351B7D">
        <w:rPr>
          <w:rStyle w:val="a7"/>
          <w:rFonts w:asciiTheme="minorBidi" w:hAnsiTheme="minorBidi"/>
          <w:color w:val="000000"/>
          <w:rtl/>
        </w:rPr>
        <w:footnoteReference w:id="560"/>
      </w:r>
      <w:r w:rsidRPr="00351B7D">
        <w:rPr>
          <w:rFonts w:asciiTheme="minorBidi" w:hAnsiTheme="minorBidi"/>
          <w:rtl/>
        </w:rPr>
        <w:t>.</w:t>
      </w:r>
    </w:p>
    <w:p w14:paraId="668D1172"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קדושין שנעשו בפני ב' עדים ואחד מהם הוא שני בשני בחד בעל כאשתו עם החתן:</w:t>
      </w:r>
      <w:r w:rsidRPr="00351B7D">
        <w:rPr>
          <w:rFonts w:asciiTheme="minorBidi" w:hAnsiTheme="minorBidi"/>
          <w:color w:val="000000"/>
          <w:sz w:val="16"/>
          <w:szCs w:val="16"/>
          <w:rtl/>
        </w:rPr>
        <w:t xml:space="preserve">    (פת"ש סקכ"א)</w:t>
      </w:r>
    </w:p>
    <w:p w14:paraId="4CE340AB" w14:textId="77777777" w:rsidR="008E16D0" w:rsidRPr="00351B7D" w:rsidRDefault="008E16D0" w:rsidP="00A8697F">
      <w:pPr>
        <w:pStyle w:val="ab"/>
        <w:numPr>
          <w:ilvl w:val="0"/>
          <w:numId w:val="69"/>
        </w:numPr>
        <w:rPr>
          <w:rFonts w:asciiTheme="minorBidi" w:hAnsiTheme="minorBidi"/>
          <w:rtl/>
        </w:rPr>
      </w:pPr>
      <w:r w:rsidRPr="00351B7D">
        <w:rPr>
          <w:rFonts w:asciiTheme="minorBidi" w:hAnsiTheme="minorBidi"/>
          <w:rtl/>
        </w:rPr>
        <w:t>חות יאיר</w:t>
      </w:r>
      <w:r w:rsidRPr="00351B7D">
        <w:rPr>
          <w:rFonts w:asciiTheme="minorBidi" w:hAnsiTheme="minorBidi"/>
          <w:sz w:val="16"/>
          <w:szCs w:val="16"/>
          <w:rtl/>
        </w:rPr>
        <w:t xml:space="preserve"> (סי' יט)</w:t>
      </w:r>
      <w:r w:rsidRPr="00351B7D">
        <w:rPr>
          <w:rFonts w:asciiTheme="minorBidi" w:hAnsiTheme="minorBidi"/>
          <w:rtl/>
        </w:rPr>
        <w:t xml:space="preserve">- בעובדא שנתיחדו ב' עידי קדושין תחת החופה ונמצא אחד מהם שני בשני בחד בעל עם החתן ונשאל אם צריכין קדושין אחרים. והאריך קצת בזה והעלה דמידי ספיקא לא יצאנו דאם אין ב' עדים דהיינו המסדר קדושין ועוד א' ששמעו וראו צריכין קדושין שנית והכי דעת תורה ודעת נוטה שאם יש עוד א' עם המסדר קדושין ששמע וראה א"צ קדושין אחרים משא"כ באפס זולת המסדר או שבלא"ה המסדר א' מעדי קדושין ואין שנים אחרים ששמעו וראו יחזור החתן ויקדשנה שנית בפני עדים כשרים בלא עשרה ובלא ברכה ובאם הן הן עידי קדושין הן הן עידי כתובה וחתמו הכתובה ודאי הכתובה פסולה. </w:t>
      </w:r>
    </w:p>
    <w:p w14:paraId="4534BC6F" w14:textId="77777777" w:rsidR="008E16D0" w:rsidRPr="00351B7D" w:rsidRDefault="008E16D0" w:rsidP="008E16D0">
      <w:pPr>
        <w:rPr>
          <w:rFonts w:asciiTheme="minorBidi" w:hAnsiTheme="minorBidi"/>
          <w:color w:val="000000"/>
          <w:rtl/>
        </w:rPr>
      </w:pPr>
      <w:r w:rsidRPr="00351B7D">
        <w:rPr>
          <w:rFonts w:asciiTheme="minorBidi" w:hAnsiTheme="minorBidi"/>
          <w:color w:val="000000"/>
          <w:rtl/>
        </w:rPr>
        <w:lastRenderedPageBreak/>
        <w:t xml:space="preserve"> </w:t>
      </w:r>
      <w:r w:rsidRPr="00351B7D">
        <w:rPr>
          <w:rFonts w:asciiTheme="minorBidi" w:hAnsiTheme="minorBidi"/>
          <w:u w:val="single"/>
          <w:rtl/>
        </w:rPr>
        <w:t>המקדש בכסף והעדים קרובים מאם:</w:t>
      </w:r>
      <w:r w:rsidRPr="00351B7D">
        <w:rPr>
          <w:rFonts w:asciiTheme="minorBidi" w:hAnsiTheme="minorBidi"/>
          <w:color w:val="000000"/>
          <w:rtl/>
        </w:rPr>
        <w:t xml:space="preserve">   </w:t>
      </w:r>
      <w:r w:rsidRPr="00351B7D">
        <w:rPr>
          <w:rFonts w:asciiTheme="minorBidi" w:hAnsiTheme="minorBidi"/>
          <w:color w:val="000000"/>
          <w:sz w:val="16"/>
          <w:szCs w:val="16"/>
          <w:rtl/>
        </w:rPr>
        <w:t>(פת"ש סקכ"ה)</w:t>
      </w:r>
      <w:r w:rsidRPr="00351B7D">
        <w:rPr>
          <w:rFonts w:asciiTheme="minorBidi" w:hAnsiTheme="minorBidi"/>
          <w:color w:val="000000"/>
          <w:rtl/>
        </w:rPr>
        <w:t xml:space="preserve"> </w:t>
      </w:r>
    </w:p>
    <w:p w14:paraId="132DBFC6" w14:textId="77777777" w:rsidR="008E16D0" w:rsidRPr="00351B7D" w:rsidRDefault="008E16D0" w:rsidP="00A8697F">
      <w:pPr>
        <w:pStyle w:val="ab"/>
        <w:numPr>
          <w:ilvl w:val="0"/>
          <w:numId w:val="69"/>
        </w:numPr>
        <w:rPr>
          <w:rFonts w:asciiTheme="minorBidi" w:hAnsiTheme="minorBidi"/>
        </w:rPr>
      </w:pPr>
      <w:r w:rsidRPr="00351B7D">
        <w:rPr>
          <w:rFonts w:asciiTheme="minorBidi" w:hAnsiTheme="minorBidi"/>
          <w:rtl/>
        </w:rPr>
        <w:t xml:space="preserve">שב יעקב </w:t>
      </w:r>
      <w:r w:rsidRPr="00351B7D">
        <w:rPr>
          <w:rFonts w:asciiTheme="minorBidi" w:hAnsiTheme="minorBidi"/>
          <w:sz w:val="16"/>
          <w:szCs w:val="16"/>
          <w:rtl/>
        </w:rPr>
        <w:t>(סי' כא)</w:t>
      </w:r>
      <w:r w:rsidRPr="00351B7D">
        <w:rPr>
          <w:rFonts w:asciiTheme="minorBidi" w:hAnsiTheme="minorBidi"/>
          <w:rtl/>
        </w:rPr>
        <w:t xml:space="preserve">- יש כמה דעות בפוסקים אחרונים בזה אם דעת הרמב"ם דכל הנלמד בי"ג מדות כל דיניו כמצוה דרבנן או אם רק קוראין מדרבנן מחמת שאין חשובים בתרי"ג מצות אבל כל דיניו ממש כדאו', ובש"ך </w:t>
      </w:r>
      <w:r w:rsidRPr="00351B7D">
        <w:rPr>
          <w:rFonts w:asciiTheme="minorBidi" w:hAnsiTheme="minorBidi"/>
          <w:sz w:val="16"/>
          <w:szCs w:val="16"/>
          <w:rtl/>
        </w:rPr>
        <w:t xml:space="preserve">(חו"מ סי' לג סק"א) </w:t>
      </w:r>
      <w:r w:rsidRPr="00351B7D">
        <w:rPr>
          <w:rFonts w:asciiTheme="minorBidi" w:hAnsiTheme="minorBidi"/>
          <w:rtl/>
        </w:rPr>
        <w:t>האריך והוכיח דהוי כפסו"ע דאו', עכ"פ בזה א"צ גט ממ"נ, אי הוי כפסולי דאו' בודאי א"צ גט ואי הוי כפסולי דרבנן ומטעם הנ"ל דכל הנלמד בי"ג מדות הוי ממש כדרבנן א"כ גם קדושי כסף דנלמד בגז"ש דקיחה קיחה הוי דרבנן והוי כמקדש קדושי דרבנן בפסו"ע דרבנן דלא חיישינן לה כמ"ש הרמ"א</w:t>
      </w:r>
      <w:r w:rsidRPr="00351B7D">
        <w:rPr>
          <w:rFonts w:asciiTheme="minorBidi" w:hAnsiTheme="minorBidi"/>
          <w:sz w:val="16"/>
          <w:szCs w:val="16"/>
          <w:rtl/>
        </w:rPr>
        <w:t xml:space="preserve"> (בסע' זה)</w:t>
      </w:r>
      <w:r w:rsidRPr="00351B7D">
        <w:rPr>
          <w:rFonts w:asciiTheme="minorBidi" w:hAnsiTheme="minorBidi"/>
          <w:rtl/>
        </w:rPr>
        <w:t xml:space="preserve">. </w:t>
      </w:r>
    </w:p>
    <w:p w14:paraId="5D22D36A" w14:textId="77777777" w:rsidR="008E16D0" w:rsidRPr="00351B7D" w:rsidRDefault="008E16D0" w:rsidP="00A8697F">
      <w:pPr>
        <w:pStyle w:val="ab"/>
        <w:numPr>
          <w:ilvl w:val="0"/>
          <w:numId w:val="69"/>
        </w:numPr>
        <w:rPr>
          <w:rFonts w:asciiTheme="minorBidi" w:hAnsiTheme="minorBidi"/>
          <w:rtl/>
        </w:rPr>
      </w:pPr>
      <w:r w:rsidRPr="00351B7D">
        <w:rPr>
          <w:rFonts w:asciiTheme="minorBidi" w:hAnsiTheme="minorBidi"/>
          <w:rtl/>
        </w:rPr>
        <w:t xml:space="preserve">רעק"א </w:t>
      </w:r>
      <w:r w:rsidRPr="00351B7D">
        <w:rPr>
          <w:rFonts w:asciiTheme="minorBidi" w:hAnsiTheme="minorBidi"/>
          <w:sz w:val="16"/>
          <w:szCs w:val="16"/>
          <w:rtl/>
        </w:rPr>
        <w:t>(סי' צד)</w:t>
      </w:r>
      <w:r w:rsidRPr="00351B7D">
        <w:rPr>
          <w:rFonts w:asciiTheme="minorBidi" w:hAnsiTheme="minorBidi"/>
          <w:rtl/>
        </w:rPr>
        <w:t>- ודאי אינם במשקל אחד קדושי כסף לפסו"ע דקורבא מאם, דבקדושי כסף אין לספק כלל דודאי הוא כדין תורה והספק רק בקרובי אם</w:t>
      </w:r>
      <w:r w:rsidRPr="00351B7D">
        <w:rPr>
          <w:rStyle w:val="a7"/>
          <w:rFonts w:asciiTheme="minorBidi" w:hAnsiTheme="minorBidi"/>
          <w:color w:val="000000"/>
          <w:rtl/>
        </w:rPr>
        <w:footnoteReference w:id="561"/>
      </w:r>
      <w:r w:rsidRPr="00351B7D">
        <w:rPr>
          <w:rFonts w:asciiTheme="minorBidi" w:hAnsiTheme="minorBidi"/>
          <w:rtl/>
        </w:rPr>
        <w:t>, א"כ אזדא לה הממ"נ הנ"ל.</w:t>
      </w:r>
    </w:p>
    <w:p w14:paraId="1C156419" w14:textId="77777777" w:rsidR="008E16D0" w:rsidRPr="00351B7D" w:rsidRDefault="008E16D0" w:rsidP="008E16D0">
      <w:pPr>
        <w:rPr>
          <w:rFonts w:asciiTheme="minorBidi" w:hAnsiTheme="minorBidi"/>
          <w:rtl/>
        </w:rPr>
      </w:pPr>
    </w:p>
    <w:p w14:paraId="7BADDDB5" w14:textId="77777777" w:rsidR="008E16D0" w:rsidRPr="00351B7D" w:rsidRDefault="008E16D0" w:rsidP="008E16D0">
      <w:pPr>
        <w:rPr>
          <w:rFonts w:asciiTheme="minorBidi" w:hAnsiTheme="minorBidi"/>
          <w:rtl/>
        </w:rPr>
      </w:pPr>
    </w:p>
    <w:p w14:paraId="581F65A9" w14:textId="77777777" w:rsidR="008E16D0" w:rsidRPr="00351B7D" w:rsidRDefault="008E16D0" w:rsidP="008E16D0">
      <w:pPr>
        <w:rPr>
          <w:rFonts w:asciiTheme="minorBidi" w:hAnsiTheme="minorBidi"/>
          <w:rtl/>
        </w:rPr>
      </w:pPr>
    </w:p>
    <w:p w14:paraId="478BD671" w14:textId="77777777" w:rsidR="008E16D0" w:rsidRPr="00351B7D" w:rsidRDefault="008E16D0" w:rsidP="008E16D0">
      <w:pPr>
        <w:rPr>
          <w:rFonts w:asciiTheme="minorBidi" w:hAnsiTheme="minorBidi"/>
          <w:rtl/>
        </w:rPr>
      </w:pPr>
    </w:p>
    <w:p w14:paraId="5AAE82EB" w14:textId="77777777" w:rsidR="008E16D0" w:rsidRPr="00351B7D" w:rsidRDefault="008E16D0" w:rsidP="008E16D0">
      <w:pPr>
        <w:rPr>
          <w:rFonts w:asciiTheme="minorBidi" w:hAnsiTheme="minorBidi"/>
          <w:rtl/>
        </w:rPr>
      </w:pPr>
    </w:p>
    <w:p w14:paraId="73E1515A" w14:textId="77777777" w:rsidR="008E16D0" w:rsidRPr="00351B7D" w:rsidRDefault="008E16D0" w:rsidP="008E16D0">
      <w:pPr>
        <w:rPr>
          <w:rFonts w:asciiTheme="minorBidi" w:hAnsiTheme="minorBidi"/>
          <w:rtl/>
        </w:rPr>
      </w:pPr>
    </w:p>
    <w:p w14:paraId="66E27145" w14:textId="77777777" w:rsidR="004B1524" w:rsidRDefault="004B1524" w:rsidP="008E16D0">
      <w:pPr>
        <w:pStyle w:val="1"/>
        <w:rPr>
          <w:rFonts w:asciiTheme="minorBidi" w:hAnsiTheme="minorBidi"/>
          <w:rtl/>
        </w:rPr>
        <w:sectPr w:rsidR="004B1524" w:rsidSect="00A347B3">
          <w:headerReference w:type="default" r:id="rId15"/>
          <w:footnotePr>
            <w:numRestart w:val="eachPage"/>
          </w:footnotePr>
          <w:pgSz w:w="11906" w:h="16838"/>
          <w:pgMar w:top="720" w:right="1134" w:bottom="720" w:left="1134" w:header="0" w:footer="0" w:gutter="0"/>
          <w:cols w:space="720"/>
          <w:bidi/>
          <w:rtlGutter/>
          <w:docGrid w:linePitch="360"/>
        </w:sectPr>
      </w:pPr>
    </w:p>
    <w:p w14:paraId="25FADDB0" w14:textId="3B2A754A"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סא</w:t>
      </w:r>
      <w:r w:rsidRPr="00351B7D">
        <w:rPr>
          <w:rFonts w:asciiTheme="minorBidi" w:hAnsiTheme="minorBidi"/>
        </w:rPr>
        <w:t xml:space="preserve"> </w:t>
      </w:r>
      <w:r w:rsidRPr="00351B7D">
        <w:rPr>
          <w:rFonts w:asciiTheme="minorBidi" w:hAnsiTheme="minorBidi"/>
          <w:rtl/>
        </w:rPr>
        <w:t xml:space="preserve">: חופה לענין מה קונה, ובו ב' סעיפים. </w:t>
      </w:r>
    </w:p>
    <w:p w14:paraId="2417634F" w14:textId="77777777" w:rsidR="008E16D0" w:rsidRPr="00351B7D" w:rsidRDefault="008E16D0" w:rsidP="008E16D0">
      <w:pPr>
        <w:pStyle w:val="2"/>
        <w:rPr>
          <w:rFonts w:asciiTheme="minorBidi" w:hAnsiTheme="minorBidi"/>
          <w:rtl/>
        </w:rPr>
      </w:pPr>
      <w:r w:rsidRPr="00351B7D">
        <w:rPr>
          <w:rFonts w:asciiTheme="minorBidi" w:hAnsiTheme="minorBidi"/>
          <w:rtl/>
        </w:rPr>
        <w:t>סעיף א: מאי חופה.</w:t>
      </w:r>
    </w:p>
    <w:p w14:paraId="30499448" w14:textId="77777777" w:rsidR="008E16D0" w:rsidRPr="00351B7D" w:rsidRDefault="008E16D0" w:rsidP="008E16D0">
      <w:pPr>
        <w:rPr>
          <w:rFonts w:asciiTheme="minorBidi" w:hAnsiTheme="minorBidi"/>
          <w:rtl/>
        </w:rPr>
      </w:pPr>
      <w:r w:rsidRPr="00351B7D">
        <w:rPr>
          <w:rFonts w:asciiTheme="minorBidi" w:hAnsiTheme="minorBidi"/>
          <w:b/>
          <w:bCs/>
          <w:rtl/>
        </w:rPr>
        <w:t>כתובות מח סע"א: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לעולם היא ברשות האב - עד שתכנס לרשות הבעל לנשואין...  </w:t>
      </w:r>
      <w:r w:rsidRPr="00351B7D">
        <w:rPr>
          <w:rFonts w:asciiTheme="minorBidi" w:hAnsiTheme="minorBidi"/>
          <w:u w:val="double"/>
          <w:rtl/>
        </w:rPr>
        <w:t>גמ'</w:t>
      </w:r>
      <w:r w:rsidRPr="00351B7D">
        <w:rPr>
          <w:rFonts w:asciiTheme="minorBidi" w:hAnsiTheme="minorBidi"/>
          <w:sz w:val="16"/>
          <w:szCs w:val="16"/>
          <w:u w:val="double"/>
          <w:rtl/>
        </w:rPr>
        <w:t xml:space="preserve"> (מח:)</w:t>
      </w:r>
      <w:r w:rsidRPr="00351B7D">
        <w:rPr>
          <w:rFonts w:asciiTheme="minorBidi" w:hAnsiTheme="minorBidi"/>
          <w:u w:val="double"/>
          <w:rtl/>
        </w:rPr>
        <w:t>:</w:t>
      </w:r>
      <w:r w:rsidRPr="00351B7D">
        <w:rPr>
          <w:rFonts w:asciiTheme="minorBidi" w:hAnsiTheme="minorBidi"/>
          <w:rtl/>
        </w:rPr>
        <w:t xml:space="preserve"> לעולם היא ברשות האב עד שתכנס לחופה!</w:t>
      </w:r>
      <w:r w:rsidRPr="00351B7D">
        <w:rPr>
          <w:rFonts w:asciiTheme="minorBidi" w:hAnsiTheme="minorBidi"/>
          <w:color w:val="000000"/>
          <w:sz w:val="16"/>
          <w:szCs w:val="16"/>
          <w:rtl/>
        </w:rPr>
        <w:t xml:space="preserve"> (וכ' הב"י דבפ"ק דקידושין (ה:) אמרינן דחופה גומרת ופרש"י, גומרת- ליורשה ולהפר נדריה...)</w:t>
      </w:r>
    </w:p>
    <w:p w14:paraId="11CA6C0B" w14:textId="77777777" w:rsidR="008E16D0" w:rsidRPr="00351B7D" w:rsidRDefault="008E16D0" w:rsidP="008E16D0">
      <w:pPr>
        <w:rPr>
          <w:rFonts w:asciiTheme="minorBidi" w:hAnsiTheme="minorBidi"/>
          <w:color w:val="FF0000"/>
          <w:rtl/>
        </w:rPr>
      </w:pPr>
      <w:r w:rsidRPr="00351B7D">
        <w:rPr>
          <w:rFonts w:asciiTheme="minorBidi" w:hAnsiTheme="minorBidi"/>
          <w:u w:val="single"/>
          <w:rtl/>
        </w:rPr>
        <w:t xml:space="preserve">כיצד חופה </w:t>
      </w:r>
      <w:r w:rsidRPr="00351B7D">
        <w:rPr>
          <w:rFonts w:asciiTheme="minorBidi" w:hAnsiTheme="minorBidi"/>
          <w:b/>
          <w:bCs/>
          <w:u w:val="single"/>
          <w:rtl/>
        </w:rPr>
        <w:t>בתולה</w:t>
      </w:r>
      <w:r w:rsidRPr="00351B7D">
        <w:rPr>
          <w:rFonts w:asciiTheme="minorBidi" w:hAnsiTheme="minorBidi"/>
          <w:u w:val="single"/>
          <w:rtl/>
        </w:rPr>
        <w:t>:</w:t>
      </w:r>
    </w:p>
    <w:p w14:paraId="1D9FAC54" w14:textId="77777777" w:rsidR="008E16D0" w:rsidRPr="00351B7D" w:rsidRDefault="008E16D0" w:rsidP="00A8697F">
      <w:pPr>
        <w:pStyle w:val="ab"/>
        <w:numPr>
          <w:ilvl w:val="0"/>
          <w:numId w:val="71"/>
        </w:numPr>
        <w:rPr>
          <w:rFonts w:asciiTheme="minorBidi" w:hAnsiTheme="minorBidi"/>
        </w:rPr>
      </w:pPr>
      <w:r w:rsidRPr="00351B7D">
        <w:rPr>
          <w:rFonts w:asciiTheme="minorBidi" w:hAnsiTheme="minorBidi"/>
          <w:rtl/>
        </w:rPr>
        <w:t xml:space="preserve">טור וי"א </w:t>
      </w:r>
      <w:r w:rsidRPr="00351B7D">
        <w:rPr>
          <w:rFonts w:asciiTheme="minorBidi" w:hAnsiTheme="minorBidi"/>
          <w:sz w:val="16"/>
          <w:szCs w:val="16"/>
          <w:rtl/>
        </w:rPr>
        <w:t>(הביאם הר"ן כתובות א. ד"ה או)</w:t>
      </w:r>
      <w:r w:rsidRPr="00351B7D">
        <w:rPr>
          <w:rFonts w:asciiTheme="minorBidi" w:hAnsiTheme="minorBidi"/>
          <w:rtl/>
        </w:rPr>
        <w:t>- שתתייחד עמו</w:t>
      </w:r>
      <w:r w:rsidRPr="00351B7D">
        <w:rPr>
          <w:rStyle w:val="a7"/>
          <w:rFonts w:asciiTheme="minorBidi" w:hAnsiTheme="minorBidi"/>
          <w:rtl/>
        </w:rPr>
        <w:footnoteReference w:id="562"/>
      </w:r>
      <w:r w:rsidRPr="00351B7D">
        <w:rPr>
          <w:rFonts w:asciiTheme="minorBidi" w:hAnsiTheme="minorBidi"/>
          <w:color w:val="FF0000"/>
          <w:rtl/>
        </w:rPr>
        <w:t xml:space="preserve"> </w:t>
      </w:r>
      <w:r w:rsidRPr="00351B7D">
        <w:rPr>
          <w:rFonts w:asciiTheme="minorBidi" w:hAnsiTheme="minorBidi"/>
          <w:rtl/>
        </w:rPr>
        <w:t xml:space="preserve">לשם נישואין אפי' לא בא עליה. </w:t>
      </w:r>
    </w:p>
    <w:p w14:paraId="11A2CD30" w14:textId="77777777" w:rsidR="008E16D0" w:rsidRPr="00351B7D" w:rsidRDefault="008E16D0" w:rsidP="00A8697F">
      <w:pPr>
        <w:pStyle w:val="ab"/>
        <w:numPr>
          <w:ilvl w:val="0"/>
          <w:numId w:val="71"/>
        </w:numPr>
        <w:rPr>
          <w:rFonts w:asciiTheme="minorBidi" w:hAnsiTheme="minorBidi"/>
          <w:rtl/>
        </w:rPr>
      </w:pPr>
      <w:r w:rsidRPr="00351B7D">
        <w:rPr>
          <w:rFonts w:asciiTheme="minorBidi" w:hAnsiTheme="minorBidi"/>
          <w:rtl/>
        </w:rPr>
        <w:t xml:space="preserve">תוס' </w:t>
      </w:r>
      <w:r w:rsidRPr="00351B7D">
        <w:rPr>
          <w:rFonts w:asciiTheme="minorBidi" w:hAnsiTheme="minorBidi"/>
          <w:sz w:val="16"/>
          <w:szCs w:val="16"/>
          <w:rtl/>
        </w:rPr>
        <w:t xml:space="preserve">(סוכה כה: ד"ה אין) </w:t>
      </w:r>
      <w:r w:rsidRPr="00351B7D">
        <w:rPr>
          <w:rFonts w:asciiTheme="minorBidi" w:hAnsiTheme="minorBidi"/>
          <w:rtl/>
        </w:rPr>
        <w:t xml:space="preserve">מרדכי </w:t>
      </w:r>
      <w:r w:rsidRPr="00351B7D">
        <w:rPr>
          <w:rFonts w:asciiTheme="minorBidi" w:hAnsiTheme="minorBidi"/>
          <w:sz w:val="16"/>
          <w:szCs w:val="16"/>
          <w:rtl/>
        </w:rPr>
        <w:t>(סוכה סי' תשמד)</w:t>
      </w:r>
      <w:r w:rsidRPr="00351B7D">
        <w:rPr>
          <w:rFonts w:asciiTheme="minorBidi" w:hAnsiTheme="minorBidi"/>
          <w:rtl/>
        </w:rPr>
        <w:t xml:space="preserve"> ורא"ש</w:t>
      </w:r>
      <w:r w:rsidRPr="00351B7D">
        <w:rPr>
          <w:rFonts w:asciiTheme="minorBidi" w:hAnsiTheme="minorBidi"/>
          <w:sz w:val="16"/>
          <w:szCs w:val="16"/>
          <w:rtl/>
        </w:rPr>
        <w:t xml:space="preserve"> (סוכה פ"ב סי' ח)</w:t>
      </w:r>
      <w:r w:rsidRPr="00351B7D">
        <w:rPr>
          <w:rFonts w:asciiTheme="minorBidi" w:hAnsiTheme="minorBidi"/>
          <w:rtl/>
        </w:rPr>
        <w:t>- מקום עיקר ישיבת חתן והכלה קרי חופה ולא במקום העשוי לאקראי בעלמא... ונוהגין באשכנז שעושין אפריון למושב החתן והכלה והוא נקרא חופה.</w:t>
      </w:r>
    </w:p>
    <w:p w14:paraId="2DA66688" w14:textId="77777777" w:rsidR="008E16D0" w:rsidRPr="00351B7D" w:rsidRDefault="008E16D0" w:rsidP="00A8697F">
      <w:pPr>
        <w:pStyle w:val="ab"/>
        <w:numPr>
          <w:ilvl w:val="0"/>
          <w:numId w:val="71"/>
        </w:numPr>
        <w:rPr>
          <w:rFonts w:asciiTheme="minorBidi" w:hAnsiTheme="minorBidi"/>
          <w:rtl/>
        </w:rPr>
      </w:pPr>
      <w:r w:rsidRPr="00351B7D">
        <w:rPr>
          <w:rFonts w:asciiTheme="minorBidi" w:hAnsiTheme="minorBidi"/>
          <w:rtl/>
        </w:rPr>
        <w:t>רמב"ם (מרדכי ומהרי"ל</w:t>
      </w:r>
      <w:r w:rsidRPr="00351B7D">
        <w:rPr>
          <w:rFonts w:asciiTheme="minorBidi" w:hAnsiTheme="minorBidi"/>
          <w:sz w:val="16"/>
          <w:szCs w:val="16"/>
          <w:rtl/>
        </w:rPr>
        <w:t xml:space="preserve"> להב' הב"ש</w:t>
      </w:r>
      <w:r w:rsidRPr="00351B7D">
        <w:rPr>
          <w:rFonts w:asciiTheme="minorBidi" w:hAnsiTheme="minorBidi"/>
          <w:rtl/>
        </w:rPr>
        <w:t>)</w:t>
      </w:r>
      <w:r w:rsidRPr="00351B7D">
        <w:rPr>
          <w:rStyle w:val="a7"/>
          <w:rFonts w:asciiTheme="minorBidi" w:hAnsiTheme="minorBidi"/>
          <w:rtl/>
        </w:rPr>
        <w:footnoteReference w:id="563"/>
      </w:r>
      <w:r w:rsidRPr="00351B7D">
        <w:rPr>
          <w:rFonts w:asciiTheme="minorBidi" w:hAnsiTheme="minorBidi"/>
          <w:rtl/>
        </w:rPr>
        <w:t xml:space="preserve">- "שיביא אותה לתוך ביתו ויתיחד עמה ויפרישנה לו... ומשתכנס לחופה נקראת נשואה אע"פ שלא נבעלה והוא שתהיה ראויה לבעילה </w:t>
      </w:r>
      <w:r w:rsidRPr="00351B7D">
        <w:rPr>
          <w:rFonts w:asciiTheme="minorBidi" w:hAnsiTheme="minorBidi"/>
          <w:sz w:val="16"/>
          <w:szCs w:val="16"/>
          <w:rtl/>
        </w:rPr>
        <w:t>(ל' הרמב"ם)</w:t>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color w:val="E36C0A" w:themeColor="accent6" w:themeShade="BF"/>
          <w:sz w:val="16"/>
          <w:szCs w:val="16"/>
          <w:rtl/>
        </w:rPr>
        <w:t xml:space="preserve"> </w:t>
      </w:r>
      <w:r w:rsidRPr="00351B7D">
        <w:rPr>
          <w:rFonts w:asciiTheme="minorBidi" w:hAnsiTheme="minorBidi"/>
          <w:sz w:val="16"/>
          <w:szCs w:val="16"/>
          <w:rtl/>
        </w:rPr>
        <w:t>[בסי' נה סע' א]</w:t>
      </w:r>
      <w:r w:rsidRPr="00351B7D">
        <w:rPr>
          <w:rStyle w:val="a7"/>
          <w:rFonts w:asciiTheme="minorBidi" w:hAnsiTheme="minorBidi"/>
          <w:rtl/>
        </w:rPr>
        <w:footnoteReference w:id="564"/>
      </w:r>
      <w:r w:rsidRPr="00351B7D">
        <w:rPr>
          <w:rFonts w:asciiTheme="minorBidi" w:hAnsiTheme="minorBidi"/>
          <w:color w:val="E36C0A" w:themeColor="accent6" w:themeShade="BF"/>
          <w:rtl/>
        </w:rPr>
        <w:t>)</w:t>
      </w:r>
    </w:p>
    <w:p w14:paraId="63B83CCE" w14:textId="77777777" w:rsidR="008E16D0" w:rsidRPr="00351B7D" w:rsidRDefault="008E16D0" w:rsidP="00A8697F">
      <w:pPr>
        <w:pStyle w:val="ab"/>
        <w:numPr>
          <w:ilvl w:val="0"/>
          <w:numId w:val="71"/>
        </w:numPr>
        <w:rPr>
          <w:rFonts w:asciiTheme="minorBidi" w:hAnsiTheme="minorBidi"/>
        </w:rPr>
      </w:pPr>
      <w:r w:rsidRPr="00351B7D">
        <w:rPr>
          <w:rFonts w:asciiTheme="minorBidi" w:hAnsiTheme="minorBidi"/>
          <w:rtl/>
        </w:rPr>
        <w:t xml:space="preserve">רי"ו </w:t>
      </w:r>
      <w:r w:rsidRPr="00351B7D">
        <w:rPr>
          <w:rFonts w:asciiTheme="minorBidi" w:hAnsiTheme="minorBidi"/>
          <w:sz w:val="16"/>
          <w:szCs w:val="16"/>
          <w:rtl/>
        </w:rPr>
        <w:t>(חלק חוה נכ"ב ח"ב קפד ע"ב)</w:t>
      </w:r>
      <w:r w:rsidRPr="00351B7D">
        <w:rPr>
          <w:rFonts w:asciiTheme="minorBidi" w:hAnsiTheme="minorBidi"/>
          <w:rtl/>
        </w:rPr>
        <w:t xml:space="preserve"> ור"ן </w:t>
      </w:r>
      <w:r w:rsidRPr="00351B7D">
        <w:rPr>
          <w:rFonts w:asciiTheme="minorBidi" w:hAnsiTheme="minorBidi"/>
          <w:sz w:val="16"/>
          <w:szCs w:val="16"/>
          <w:rtl/>
        </w:rPr>
        <w:t>(כתובות א. ד"ה או)</w:t>
      </w:r>
      <w:r w:rsidRPr="00351B7D">
        <w:rPr>
          <w:rFonts w:asciiTheme="minorBidi" w:hAnsiTheme="minorBidi"/>
          <w:rtl/>
        </w:rPr>
        <w:t>- כל מקום שמכניסה לרשותו</w:t>
      </w:r>
      <w:r w:rsidRPr="00351B7D">
        <w:rPr>
          <w:rStyle w:val="a7"/>
          <w:rFonts w:asciiTheme="minorBidi" w:hAnsiTheme="minorBidi"/>
          <w:rtl/>
        </w:rPr>
        <w:footnoteReference w:id="565"/>
      </w:r>
      <w:r w:rsidRPr="00351B7D">
        <w:rPr>
          <w:rFonts w:asciiTheme="minorBidi" w:hAnsiTheme="minorBidi"/>
          <w:rtl/>
        </w:rPr>
        <w:t>.</w:t>
      </w:r>
    </w:p>
    <w:p w14:paraId="2E019D07" w14:textId="77777777" w:rsidR="008E16D0" w:rsidRPr="00351B7D" w:rsidRDefault="008E16D0" w:rsidP="00A8697F">
      <w:pPr>
        <w:pStyle w:val="ab"/>
        <w:numPr>
          <w:ilvl w:val="0"/>
          <w:numId w:val="71"/>
        </w:numPr>
        <w:rPr>
          <w:rFonts w:asciiTheme="minorBidi" w:hAnsiTheme="minorBidi"/>
        </w:rPr>
      </w:pPr>
      <w:r w:rsidRPr="00351B7D">
        <w:rPr>
          <w:rFonts w:asciiTheme="minorBidi" w:hAnsiTheme="minorBidi"/>
          <w:rtl/>
        </w:rPr>
        <w:t>תוס'</w:t>
      </w:r>
      <w:r w:rsidRPr="00351B7D">
        <w:rPr>
          <w:rFonts w:asciiTheme="minorBidi" w:hAnsiTheme="minorBidi"/>
          <w:sz w:val="16"/>
          <w:szCs w:val="16"/>
          <w:rtl/>
        </w:rPr>
        <w:t xml:space="preserve"> (יומא יג: ד"ה לחדא)</w:t>
      </w:r>
      <w:r w:rsidRPr="00351B7D">
        <w:rPr>
          <w:rFonts w:asciiTheme="minorBidi" w:hAnsiTheme="minorBidi"/>
          <w:rtl/>
        </w:rPr>
        <w:t>- משיוצאת בהינומא.</w:t>
      </w:r>
    </w:p>
    <w:p w14:paraId="0EF1E87E" w14:textId="77777777" w:rsidR="008E16D0" w:rsidRPr="00351B7D" w:rsidRDefault="008E16D0" w:rsidP="00A8697F">
      <w:pPr>
        <w:pStyle w:val="ab"/>
        <w:numPr>
          <w:ilvl w:val="0"/>
          <w:numId w:val="71"/>
        </w:numPr>
        <w:rPr>
          <w:rFonts w:asciiTheme="minorBidi" w:hAnsiTheme="minorBidi"/>
        </w:rPr>
      </w:pPr>
      <w:r w:rsidRPr="00351B7D">
        <w:rPr>
          <w:rFonts w:asciiTheme="minorBidi" w:hAnsiTheme="minorBidi"/>
          <w:rtl/>
        </w:rPr>
        <w:t>בהעי"ט וא"ח</w:t>
      </w:r>
      <w:r w:rsidRPr="00351B7D">
        <w:rPr>
          <w:rStyle w:val="a7"/>
          <w:rFonts w:asciiTheme="minorBidi" w:hAnsiTheme="minorBidi"/>
          <w:rtl/>
        </w:rPr>
        <w:footnoteReference w:id="566"/>
      </w:r>
      <w:r w:rsidRPr="00351B7D">
        <w:rPr>
          <w:rFonts w:asciiTheme="minorBidi" w:hAnsiTheme="minorBidi"/>
          <w:rtl/>
        </w:rPr>
        <w:t>- "חופה היא שמוסר האב ומכניסה לבעלה לבית שיש בה חידוש</w:t>
      </w:r>
      <w:r w:rsidRPr="00351B7D">
        <w:rPr>
          <w:rStyle w:val="a7"/>
          <w:rFonts w:asciiTheme="minorBidi" w:hAnsiTheme="minorBidi"/>
          <w:rtl/>
        </w:rPr>
        <w:footnoteReference w:id="567"/>
      </w:r>
      <w:r w:rsidRPr="00351B7D">
        <w:rPr>
          <w:rFonts w:asciiTheme="minorBidi" w:hAnsiTheme="minorBidi"/>
          <w:rtl/>
        </w:rPr>
        <w:t>... ומתיחדין בה שניהם</w:t>
      </w:r>
      <w:r w:rsidRPr="00351B7D">
        <w:rPr>
          <w:rStyle w:val="a7"/>
          <w:rFonts w:asciiTheme="minorBidi" w:hAnsiTheme="minorBidi"/>
          <w:rtl/>
        </w:rPr>
        <w:footnoteReference w:id="568"/>
      </w:r>
      <w:r w:rsidRPr="00351B7D">
        <w:rPr>
          <w:rFonts w:asciiTheme="minorBidi" w:hAnsiTheme="minorBidi"/>
          <w:rtl/>
        </w:rPr>
        <w:t>".</w:t>
      </w:r>
    </w:p>
    <w:p w14:paraId="7170E02B" w14:textId="77777777" w:rsidR="008E16D0" w:rsidRPr="00351B7D" w:rsidRDefault="008E16D0" w:rsidP="00A8697F">
      <w:pPr>
        <w:pStyle w:val="ab"/>
        <w:numPr>
          <w:ilvl w:val="0"/>
          <w:numId w:val="71"/>
        </w:numPr>
        <w:rPr>
          <w:rFonts w:asciiTheme="minorBidi" w:hAnsiTheme="minorBidi"/>
          <w:rtl/>
        </w:rPr>
      </w:pPr>
      <w:r w:rsidRPr="00351B7D">
        <w:rPr>
          <w:rFonts w:asciiTheme="minorBidi" w:hAnsiTheme="minorBidi"/>
          <w:rtl/>
        </w:rPr>
        <w:t xml:space="preserve">י"א </w:t>
      </w:r>
      <w:r w:rsidRPr="00351B7D">
        <w:rPr>
          <w:rFonts w:asciiTheme="minorBidi" w:hAnsiTheme="minorBidi"/>
          <w:sz w:val="16"/>
          <w:szCs w:val="16"/>
          <w:rtl/>
        </w:rPr>
        <w:t>(הביאו בעהי"ט)</w:t>
      </w:r>
      <w:r w:rsidRPr="00351B7D">
        <w:rPr>
          <w:rFonts w:asciiTheme="minorBidi" w:hAnsiTheme="minorBidi"/>
          <w:rtl/>
        </w:rPr>
        <w:t>- חופה היא שפורסין סודר על ראשם בשעת הברכה.</w:t>
      </w:r>
      <w:r w:rsidRPr="00351B7D">
        <w:rPr>
          <w:rFonts w:asciiTheme="minorBidi" w:hAnsiTheme="minorBidi"/>
          <w:sz w:val="16"/>
          <w:szCs w:val="16"/>
          <w:rtl/>
        </w:rPr>
        <w:t xml:space="preserve"> </w:t>
      </w:r>
      <w:r w:rsidRPr="00351B7D">
        <w:rPr>
          <w:rFonts w:asciiTheme="minorBidi" w:hAnsiTheme="minorBidi"/>
          <w:rtl/>
        </w:rPr>
        <w:t xml:space="preserve"> </w:t>
      </w:r>
    </w:p>
    <w:p w14:paraId="1254CCE2" w14:textId="77777777" w:rsidR="008E16D0" w:rsidRPr="00351B7D" w:rsidRDefault="008E16D0" w:rsidP="008E16D0">
      <w:pPr>
        <w:rPr>
          <w:rFonts w:asciiTheme="minorBidi" w:hAnsiTheme="minorBidi"/>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נתארמלה או נתגרשה בין מן הארוסין בין מן הנשואין - גובה את הכל, </w:t>
      </w:r>
      <w:r w:rsidRPr="00351B7D">
        <w:rPr>
          <w:rFonts w:asciiTheme="minorBidi" w:hAnsiTheme="minorBidi"/>
          <w:u w:val="single"/>
          <w:rtl/>
        </w:rPr>
        <w:t>רבי אלעזר בן עזריה אומר</w:t>
      </w:r>
      <w:r w:rsidRPr="00351B7D">
        <w:rPr>
          <w:rFonts w:asciiTheme="minorBidi" w:hAnsiTheme="minorBidi"/>
          <w:rtl/>
        </w:rPr>
        <w:t xml:space="preserve">: מן הנשואין- גובה את הכל, מן האירוסין- בתולה גובה מאתים ואלמנה מנה, שלא כתב לה אלא על מנת לכונסה...   </w:t>
      </w:r>
      <w:r w:rsidRPr="00351B7D">
        <w:rPr>
          <w:rFonts w:asciiTheme="minorBidi" w:hAnsiTheme="minorBidi"/>
          <w:u w:val="double"/>
          <w:rtl/>
        </w:rPr>
        <w:t>גמ'</w:t>
      </w:r>
      <w:r w:rsidRPr="00351B7D">
        <w:rPr>
          <w:rFonts w:asciiTheme="minorBidi" w:hAnsiTheme="minorBidi"/>
          <w:sz w:val="16"/>
          <w:szCs w:val="16"/>
          <w:u w:val="double"/>
          <w:rtl/>
        </w:rPr>
        <w:t xml:space="preserve"> (נו.)</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בעי רבין</w:t>
      </w:r>
      <w:r w:rsidRPr="00351B7D">
        <w:rPr>
          <w:rFonts w:asciiTheme="minorBidi" w:hAnsiTheme="minorBidi"/>
          <w:rtl/>
        </w:rPr>
        <w:t>: נכנסה לחופה ולא נבעלה מהו? חיבת חופה קונה, או חיבת ביאה קונה? תא שמע, דתני רב יוסף: שלא כתב לה אלא על חיבת לילה הראשון, אי אמרת בשלמא חיבת חופה קונה</w:t>
      </w:r>
      <w:r w:rsidRPr="00351B7D">
        <w:rPr>
          <w:rStyle w:val="a7"/>
          <w:rFonts w:asciiTheme="minorBidi" w:hAnsiTheme="minorBidi"/>
          <w:rtl/>
        </w:rPr>
        <w:footnoteReference w:id="569"/>
      </w:r>
      <w:r w:rsidRPr="00351B7D">
        <w:rPr>
          <w:rFonts w:asciiTheme="minorBidi" w:hAnsiTheme="minorBidi"/>
          <w:rtl/>
        </w:rPr>
        <w:t xml:space="preserve">... </w:t>
      </w:r>
      <w:r w:rsidRPr="00351B7D">
        <w:rPr>
          <w:rFonts w:asciiTheme="minorBidi" w:hAnsiTheme="minorBidi"/>
          <w:u w:val="single"/>
          <w:rtl/>
        </w:rPr>
        <w:t>בעי רב אשי</w:t>
      </w:r>
      <w:r w:rsidRPr="00351B7D">
        <w:rPr>
          <w:rFonts w:asciiTheme="minorBidi" w:hAnsiTheme="minorBidi"/>
          <w:rtl/>
        </w:rPr>
        <w:t>: נכנסה לחופה ופירסה נידה מהו? אם תימצי לומר חיבת חופה קונה- חופה דחזיא לביאה, אבל חופה דלא חזיא לביאה לא, או דלמא לא שנא? תיקו.</w:t>
      </w:r>
    </w:p>
    <w:p w14:paraId="5A44A5EF" w14:textId="77777777" w:rsidR="008E16D0" w:rsidRPr="00351B7D" w:rsidRDefault="008E16D0" w:rsidP="008E16D0">
      <w:pPr>
        <w:rPr>
          <w:rFonts w:asciiTheme="minorBidi" w:hAnsiTheme="minorBidi"/>
          <w:rtl/>
        </w:rPr>
      </w:pPr>
      <w:r w:rsidRPr="00351B7D">
        <w:rPr>
          <w:rStyle w:val="a7"/>
          <w:rFonts w:asciiTheme="minorBidi" w:hAnsiTheme="minorBidi"/>
          <w:u w:val="single"/>
          <w:rtl/>
        </w:rPr>
        <w:footnoteReference w:id="570"/>
      </w:r>
      <w:r w:rsidRPr="00351B7D">
        <w:rPr>
          <w:rFonts w:asciiTheme="minorBidi" w:hAnsiTheme="minorBidi"/>
          <w:u w:val="single"/>
          <w:rtl/>
        </w:rPr>
        <w:t>מה הדין אם "נכנסה לחופה ופירסה נידה</w:t>
      </w:r>
      <w:r w:rsidRPr="00351B7D">
        <w:rPr>
          <w:rStyle w:val="a7"/>
          <w:rFonts w:asciiTheme="minorBidi" w:hAnsiTheme="minorBidi"/>
          <w:u w:val="single"/>
          <w:rtl/>
        </w:rPr>
        <w:footnoteReference w:id="571"/>
      </w:r>
      <w:r w:rsidRPr="00351B7D">
        <w:rPr>
          <w:rFonts w:asciiTheme="minorBidi" w:hAnsiTheme="minorBidi"/>
          <w:u w:val="single"/>
          <w:rtl/>
        </w:rPr>
        <w:t>"</w:t>
      </w:r>
      <w:r w:rsidRPr="00351B7D">
        <w:rPr>
          <w:rFonts w:asciiTheme="minorBidi" w:hAnsiTheme="minorBidi"/>
          <w:sz w:val="16"/>
          <w:szCs w:val="16"/>
          <w:u w:val="single"/>
          <w:rtl/>
        </w:rPr>
        <w:t xml:space="preserve"> (דהיינו האם צריך שתיהיה חופה הראויה לביאה או לא)</w:t>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color w:val="000000"/>
          <w:sz w:val="16"/>
          <w:szCs w:val="16"/>
          <w:rtl/>
        </w:rPr>
        <w:t xml:space="preserve"> (ב"י ודרכ"מ [אות ב])</w:t>
      </w:r>
    </w:p>
    <w:p w14:paraId="169EA5A2" w14:textId="77777777" w:rsidR="008E16D0" w:rsidRPr="00351B7D" w:rsidRDefault="008E16D0" w:rsidP="00A8697F">
      <w:pPr>
        <w:pStyle w:val="ab"/>
        <w:numPr>
          <w:ilvl w:val="0"/>
          <w:numId w:val="72"/>
        </w:numPr>
        <w:rPr>
          <w:rFonts w:asciiTheme="minorBidi" w:hAnsiTheme="minorBidi"/>
        </w:rPr>
      </w:pPr>
      <w:r w:rsidRPr="00351B7D">
        <w:rPr>
          <w:rFonts w:asciiTheme="minorBidi" w:hAnsiTheme="minorBidi"/>
          <w:rtl/>
        </w:rPr>
        <w:lastRenderedPageBreak/>
        <w:t>מקצת גאונים רי"ף ר"י מיגא"ש ורמב"ם</w:t>
      </w:r>
      <w:r w:rsidRPr="00351B7D">
        <w:rPr>
          <w:rStyle w:val="a7"/>
          <w:rFonts w:asciiTheme="minorBidi" w:hAnsiTheme="minorBidi"/>
          <w:rtl/>
        </w:rPr>
        <w:footnoteReference w:id="572"/>
      </w:r>
      <w:r w:rsidRPr="00351B7D">
        <w:rPr>
          <w:rFonts w:asciiTheme="minorBidi" w:hAnsiTheme="minorBidi"/>
          <w:rtl/>
        </w:rPr>
        <w:t xml:space="preserve">- </w:t>
      </w:r>
      <w:r w:rsidRPr="00351B7D">
        <w:rPr>
          <w:rFonts w:asciiTheme="minorBidi" w:hAnsiTheme="minorBidi"/>
          <w:color w:val="000000"/>
          <w:rtl/>
        </w:rPr>
        <w:t>"ומשתכנס לחופה נקראת נשואה אע"פ שלא נבעלה, והוא שתהיה ראויה לבעילה, אבל אם היתה נדה אע"פ שנכנסה לחופה ונתיחד עמה לא גמרו הנישואין והרי היא כארוסה עדיין</w:t>
      </w:r>
      <w:r w:rsidRPr="00351B7D">
        <w:rPr>
          <w:rStyle w:val="a7"/>
          <w:rFonts w:asciiTheme="minorBidi" w:hAnsiTheme="minorBidi"/>
          <w:rtl/>
        </w:rPr>
        <w:footnoteReference w:id="573"/>
      </w:r>
      <w:r w:rsidRPr="00351B7D">
        <w:rPr>
          <w:rFonts w:asciiTheme="minorBidi" w:hAnsiTheme="minorBidi"/>
          <w:color w:val="000000"/>
          <w:sz w:val="16"/>
          <w:szCs w:val="16"/>
          <w:rtl/>
        </w:rPr>
        <w:t xml:space="preserve"> (ל' הרמב"ם)</w:t>
      </w:r>
      <w:r w:rsidRPr="00351B7D">
        <w:rPr>
          <w:rFonts w:asciiTheme="minorBidi" w:hAnsiTheme="minorBidi"/>
          <w:color w:val="000000"/>
          <w:rtl/>
        </w:rPr>
        <w:t>"</w:t>
      </w:r>
      <w:r w:rsidRPr="00351B7D">
        <w:rPr>
          <w:rFonts w:asciiTheme="minorBidi" w:hAnsiTheme="minorBidi"/>
          <w:rtl/>
        </w:rPr>
        <w:t>, כאת"ל</w:t>
      </w:r>
      <w:r w:rsidRPr="00351B7D">
        <w:rPr>
          <w:rStyle w:val="a7"/>
          <w:rFonts w:asciiTheme="minorBidi" w:hAnsiTheme="minorBidi"/>
          <w:rtl/>
        </w:rPr>
        <w:footnoteReference w:id="574"/>
      </w:r>
      <w:r w:rsidRPr="00351B7D">
        <w:rPr>
          <w:rFonts w:asciiTheme="minorBidi" w:hAnsiTheme="minorBidi"/>
          <w:rtl/>
        </w:rPr>
        <w:t>.</w:t>
      </w:r>
    </w:p>
    <w:p w14:paraId="5F44E93A" w14:textId="77777777" w:rsidR="008E16D0" w:rsidRPr="00351B7D" w:rsidRDefault="008E16D0" w:rsidP="00A8697F">
      <w:pPr>
        <w:pStyle w:val="ab"/>
        <w:numPr>
          <w:ilvl w:val="0"/>
          <w:numId w:val="72"/>
        </w:numPr>
        <w:rPr>
          <w:rFonts w:asciiTheme="minorBidi" w:hAnsiTheme="minorBidi"/>
          <w:rtl/>
        </w:rPr>
      </w:pPr>
      <w:r w:rsidRPr="00351B7D">
        <w:rPr>
          <w:rFonts w:asciiTheme="minorBidi" w:hAnsiTheme="minorBidi"/>
          <w:rtl/>
        </w:rPr>
        <w:t>רא"ש ר"ן ונמוק"י</w:t>
      </w:r>
      <w:r w:rsidRPr="00351B7D">
        <w:rPr>
          <w:rStyle w:val="a7"/>
          <w:rFonts w:asciiTheme="minorBidi" w:hAnsiTheme="minorBidi"/>
          <w:rtl/>
        </w:rPr>
        <w:footnoteReference w:id="575"/>
      </w:r>
      <w:r w:rsidRPr="00351B7D">
        <w:rPr>
          <w:rFonts w:asciiTheme="minorBidi" w:hAnsiTheme="minorBidi"/>
          <w:rtl/>
        </w:rPr>
        <w:t xml:space="preserve">- </w:t>
      </w:r>
      <w:r w:rsidRPr="00351B7D">
        <w:rPr>
          <w:rStyle w:val="a7"/>
          <w:rFonts w:asciiTheme="minorBidi" w:hAnsiTheme="minorBidi"/>
          <w:rtl/>
        </w:rPr>
        <w:footnoteReference w:id="576"/>
      </w:r>
      <w:r w:rsidRPr="00351B7D">
        <w:rPr>
          <w:rFonts w:asciiTheme="minorBidi" w:hAnsiTheme="minorBidi"/>
          <w:rtl/>
        </w:rPr>
        <w:t>נקראת חופה לכל דבר חוץ מזה שאינה גובה תוספת</w:t>
      </w:r>
      <w:r w:rsidRPr="00351B7D">
        <w:rPr>
          <w:rStyle w:val="a7"/>
          <w:rFonts w:asciiTheme="minorBidi" w:hAnsiTheme="minorBidi"/>
          <w:rtl/>
        </w:rPr>
        <w:footnoteReference w:id="577"/>
      </w:r>
      <w:r w:rsidRPr="00351B7D">
        <w:rPr>
          <w:rFonts w:asciiTheme="minorBidi" w:hAnsiTheme="minorBidi"/>
          <w:rtl/>
        </w:rPr>
        <w:t xml:space="preserve">. </w:t>
      </w:r>
    </w:p>
    <w:p w14:paraId="71B44ACE" w14:textId="77777777" w:rsidR="008E16D0" w:rsidRPr="00351B7D" w:rsidRDefault="008E16D0" w:rsidP="00A8697F">
      <w:pPr>
        <w:pStyle w:val="ab"/>
        <w:numPr>
          <w:ilvl w:val="0"/>
          <w:numId w:val="74"/>
        </w:numPr>
        <w:rPr>
          <w:rFonts w:asciiTheme="minorBidi" w:hAnsiTheme="minorBidi"/>
        </w:rPr>
      </w:pPr>
      <w:r w:rsidRPr="00351B7D">
        <w:rPr>
          <w:rFonts w:asciiTheme="minorBidi" w:hAnsiTheme="minorBidi"/>
          <w:rtl/>
        </w:rPr>
        <w:t>ר"י</w:t>
      </w:r>
      <w:r w:rsidRPr="00351B7D">
        <w:rPr>
          <w:rFonts w:asciiTheme="minorBidi" w:hAnsiTheme="minorBidi"/>
          <w:rtl/>
        </w:rPr>
        <w:softHyphen/>
      </w:r>
      <w:r w:rsidRPr="00351B7D">
        <w:rPr>
          <w:rFonts w:asciiTheme="minorBidi" w:hAnsiTheme="minorBidi"/>
          <w:rtl/>
        </w:rPr>
        <w:softHyphen/>
      </w:r>
      <w:r w:rsidRPr="00351B7D">
        <w:rPr>
          <w:rFonts w:asciiTheme="minorBidi" w:hAnsiTheme="minorBidi"/>
          <w:rtl/>
        </w:rPr>
        <w:softHyphen/>
        <w:t xml:space="preserve"> מרדכי כל בו</w:t>
      </w:r>
      <w:r w:rsidRPr="00351B7D">
        <w:rPr>
          <w:rFonts w:asciiTheme="minorBidi" w:hAnsiTheme="minorBidi"/>
          <w:sz w:val="16"/>
          <w:szCs w:val="16"/>
          <w:rtl/>
        </w:rPr>
        <w:t xml:space="preserve"> </w:t>
      </w:r>
      <w:r w:rsidRPr="00351B7D">
        <w:rPr>
          <w:rFonts w:asciiTheme="minorBidi" w:hAnsiTheme="minorBidi"/>
          <w:rtl/>
        </w:rPr>
        <w:t>והגה"א</w:t>
      </w:r>
      <w:r w:rsidRPr="00351B7D">
        <w:rPr>
          <w:rStyle w:val="a7"/>
          <w:rFonts w:asciiTheme="minorBidi" w:hAnsiTheme="minorBidi"/>
          <w:rtl/>
        </w:rPr>
        <w:footnoteReference w:id="578"/>
      </w:r>
      <w:r w:rsidRPr="00351B7D">
        <w:rPr>
          <w:rFonts w:asciiTheme="minorBidi" w:hAnsiTheme="minorBidi"/>
          <w:rtl/>
        </w:rPr>
        <w:t>- אם החתן היה סבור שהיא טהורה בשעת חופה ונמצאת נדה מספקא ליה לרב אשי אי קניא</w:t>
      </w:r>
      <w:r w:rsidRPr="00351B7D">
        <w:rPr>
          <w:rStyle w:val="a7"/>
          <w:rFonts w:asciiTheme="minorBidi" w:hAnsiTheme="minorBidi"/>
          <w:rtl/>
        </w:rPr>
        <w:footnoteReference w:id="579"/>
      </w:r>
      <w:r w:rsidRPr="00351B7D">
        <w:rPr>
          <w:rFonts w:asciiTheme="minorBidi" w:hAnsiTheme="minorBidi"/>
          <w:rtl/>
        </w:rPr>
        <w:t>, אבל אם מודיעין אותו שהיא נדה ואעפ"כ כונסה לחופה הא ודאי קנויה לו מיד</w:t>
      </w:r>
      <w:r w:rsidRPr="00351B7D">
        <w:rPr>
          <w:rStyle w:val="a7"/>
          <w:rFonts w:asciiTheme="minorBidi" w:hAnsiTheme="minorBidi"/>
          <w:rtl/>
        </w:rPr>
        <w:footnoteReference w:id="580"/>
      </w:r>
      <w:r w:rsidRPr="00351B7D">
        <w:rPr>
          <w:rFonts w:asciiTheme="minorBidi" w:hAnsiTheme="minorBidi"/>
          <w:rtl/>
        </w:rPr>
        <w:t xml:space="preserve"> דעושה חופה כדי לבעול כשתהיה טהורה, לכן יש להודיע לחתן כשכונס אם היא טהורה מיד אם לאו.</w:t>
      </w:r>
      <w:r w:rsidRPr="00351B7D">
        <w:rPr>
          <w:rFonts w:asciiTheme="minorBidi" w:hAnsiTheme="minorBidi"/>
          <w:color w:val="00B0F0"/>
          <w:rtl/>
        </w:rPr>
        <w:t xml:space="preserve"> (וכ"פ הרמ"א</w:t>
      </w:r>
      <w:r w:rsidRPr="00351B7D">
        <w:rPr>
          <w:rFonts w:asciiTheme="minorBidi" w:hAnsiTheme="minorBidi"/>
          <w:color w:val="00B0F0"/>
          <w:sz w:val="16"/>
          <w:szCs w:val="16"/>
          <w:rtl/>
        </w:rPr>
        <w:t xml:space="preserve"> </w:t>
      </w:r>
      <w:r w:rsidRPr="00351B7D">
        <w:rPr>
          <w:rFonts w:asciiTheme="minorBidi" w:hAnsiTheme="minorBidi"/>
          <w:sz w:val="14"/>
          <w:szCs w:val="14"/>
          <w:rtl/>
        </w:rPr>
        <w:t>[בסע' ב]</w:t>
      </w:r>
      <w:r w:rsidRPr="00351B7D">
        <w:rPr>
          <w:rStyle w:val="a7"/>
          <w:rFonts w:asciiTheme="minorBidi" w:hAnsiTheme="minorBidi"/>
          <w:rtl/>
        </w:rPr>
        <w:footnoteReference w:id="581"/>
      </w:r>
      <w:r w:rsidRPr="00351B7D">
        <w:rPr>
          <w:rFonts w:asciiTheme="minorBidi" w:hAnsiTheme="minorBidi"/>
          <w:color w:val="00B0F0"/>
          <w:rtl/>
        </w:rPr>
        <w:t>)</w:t>
      </w:r>
    </w:p>
    <w:p w14:paraId="2CA6C0E4" w14:textId="77777777" w:rsidR="008E16D0" w:rsidRPr="00351B7D" w:rsidRDefault="008E16D0" w:rsidP="00A8697F">
      <w:pPr>
        <w:pStyle w:val="ab"/>
        <w:numPr>
          <w:ilvl w:val="0"/>
          <w:numId w:val="74"/>
        </w:numPr>
        <w:rPr>
          <w:rFonts w:asciiTheme="minorBidi" w:hAnsiTheme="minorBidi"/>
        </w:rPr>
      </w:pPr>
      <w:r w:rsidRPr="00351B7D">
        <w:rPr>
          <w:rFonts w:asciiTheme="minorBidi" w:hAnsiTheme="minorBidi"/>
          <w:rtl/>
        </w:rPr>
        <w:t>ריטב"א- אשה שפירסה נדה לאחר שנכנסה לחופה</w:t>
      </w:r>
      <w:r w:rsidRPr="00351B7D">
        <w:rPr>
          <w:rStyle w:val="a7"/>
          <w:rFonts w:asciiTheme="minorBidi" w:hAnsiTheme="minorBidi"/>
          <w:rtl/>
        </w:rPr>
        <w:footnoteReference w:id="582"/>
      </w:r>
      <w:r w:rsidRPr="00351B7D">
        <w:rPr>
          <w:rFonts w:asciiTheme="minorBidi" w:hAnsiTheme="minorBidi"/>
          <w:rtl/>
        </w:rPr>
        <w:t xml:space="preserve"> נקראת חופה לכל דבר חוץ מזה שאינה גובה תוספת, אבל אם נעשתה נדה קודם החופה פשיטא שאינו קונה את התוספת, ובזה לא הסתפק רב אשי. </w:t>
      </w:r>
    </w:p>
    <w:p w14:paraId="1442AEA4" w14:textId="77777777" w:rsidR="008E16D0" w:rsidRPr="00351B7D" w:rsidRDefault="008E16D0" w:rsidP="008E16D0">
      <w:pPr>
        <w:rPr>
          <w:rFonts w:asciiTheme="minorBidi" w:hAnsiTheme="minorBidi"/>
          <w:u w:val="single"/>
          <w:rtl/>
        </w:rPr>
      </w:pPr>
      <w:r w:rsidRPr="00351B7D">
        <w:rPr>
          <w:rFonts w:asciiTheme="minorBidi" w:hAnsiTheme="minorBidi"/>
          <w:b/>
          <w:bCs/>
          <w:u w:val="single"/>
          <w:rtl/>
        </w:rPr>
        <w:t>המקדש</w:t>
      </w:r>
      <w:r w:rsidRPr="00351B7D">
        <w:rPr>
          <w:rFonts w:asciiTheme="minorBidi" w:hAnsiTheme="minorBidi"/>
          <w:u w:val="single"/>
          <w:rtl/>
        </w:rPr>
        <w:t xml:space="preserve"> את הנדה:</w:t>
      </w:r>
    </w:p>
    <w:p w14:paraId="5D328BD0" w14:textId="77777777" w:rsidR="008E16D0" w:rsidRPr="00351B7D" w:rsidRDefault="008E16D0" w:rsidP="00A8697F">
      <w:pPr>
        <w:pStyle w:val="ab"/>
        <w:numPr>
          <w:ilvl w:val="0"/>
          <w:numId w:val="76"/>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(פ"ד מה"א הי"ב)</w:t>
      </w:r>
      <w:r w:rsidRPr="00351B7D">
        <w:rPr>
          <w:rFonts w:asciiTheme="minorBidi" w:hAnsiTheme="minorBidi"/>
          <w:rtl/>
        </w:rPr>
        <w:t>- המקדש את הנדה הרי זו מקודשת קידושין גמורים ואין ראוי לעשות כן</w:t>
      </w:r>
      <w:r w:rsidRPr="00351B7D">
        <w:rPr>
          <w:rStyle w:val="a7"/>
          <w:rFonts w:asciiTheme="minorBidi" w:hAnsiTheme="minorBidi"/>
          <w:rtl/>
        </w:rPr>
        <w:footnoteReference w:id="583"/>
      </w:r>
      <w:r w:rsidRPr="00351B7D">
        <w:rPr>
          <w:rFonts w:asciiTheme="minorBidi" w:hAnsiTheme="minorBidi"/>
          <w:rtl/>
        </w:rPr>
        <w:t>.</w:t>
      </w:r>
    </w:p>
    <w:p w14:paraId="772A9A47"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מותר להכניס את הכלה לחופה קודם שכתב לה כתובה:</w:t>
      </w:r>
    </w:p>
    <w:p w14:paraId="386D8F54" w14:textId="77777777" w:rsidR="008E16D0" w:rsidRPr="00351B7D" w:rsidRDefault="008E16D0" w:rsidP="00A8697F">
      <w:pPr>
        <w:pStyle w:val="ab"/>
        <w:numPr>
          <w:ilvl w:val="0"/>
          <w:numId w:val="113"/>
        </w:numPr>
        <w:rPr>
          <w:rFonts w:asciiTheme="minorBidi" w:hAnsiTheme="minorBidi"/>
        </w:rPr>
      </w:pPr>
      <w:r w:rsidRPr="00351B7D">
        <w:rPr>
          <w:rFonts w:asciiTheme="minorBidi" w:hAnsiTheme="minorBidi"/>
          <w:rtl/>
        </w:rPr>
        <w:t>בעהי"ט רמב"ם</w:t>
      </w:r>
      <w:r w:rsidRPr="00351B7D">
        <w:rPr>
          <w:rStyle w:val="a7"/>
          <w:rFonts w:asciiTheme="minorBidi" w:hAnsiTheme="minorBidi"/>
          <w:rtl/>
        </w:rPr>
        <w:footnoteReference w:id="584"/>
      </w:r>
      <w:r w:rsidRPr="00351B7D">
        <w:rPr>
          <w:rFonts w:asciiTheme="minorBidi" w:hAnsiTheme="minorBidi"/>
          <w:rtl/>
        </w:rPr>
        <w:t xml:space="preserve"> וטור- אין מכניסים את הכלה לחופה קודם שכתב לה כתובה.</w:t>
      </w:r>
      <w:r w:rsidRPr="00351B7D">
        <w:rPr>
          <w:rFonts w:asciiTheme="minorBidi" w:hAnsiTheme="minorBidi"/>
          <w:color w:val="E36C0A" w:themeColor="accent6" w:themeShade="BF"/>
          <w:rtl/>
        </w:rPr>
        <w:t xml:space="preserve"> (וכ"פ בשו"ע</w:t>
      </w:r>
      <w:r w:rsidRPr="00351B7D">
        <w:rPr>
          <w:rFonts w:asciiTheme="minorBidi" w:hAnsiTheme="minorBidi"/>
          <w:color w:val="E36C0A" w:themeColor="accent6" w:themeShade="BF"/>
          <w:sz w:val="16"/>
          <w:szCs w:val="16"/>
          <w:rtl/>
        </w:rPr>
        <w:t xml:space="preserve"> </w:t>
      </w:r>
      <w:r w:rsidRPr="00351B7D">
        <w:rPr>
          <w:rFonts w:asciiTheme="minorBidi" w:hAnsiTheme="minorBidi"/>
          <w:sz w:val="16"/>
          <w:szCs w:val="16"/>
          <w:rtl/>
        </w:rPr>
        <w:t>[בסי' סו סע' א]</w:t>
      </w:r>
      <w:r w:rsidRPr="00351B7D">
        <w:rPr>
          <w:rFonts w:asciiTheme="minorBidi" w:hAnsiTheme="minorBidi"/>
          <w:color w:val="E36C0A" w:themeColor="accent6" w:themeShade="BF"/>
          <w:rtl/>
        </w:rPr>
        <w:t>)</w:t>
      </w:r>
    </w:p>
    <w:p w14:paraId="5E2054F8" w14:textId="77777777" w:rsidR="008E16D0" w:rsidRPr="00351B7D" w:rsidRDefault="008E16D0" w:rsidP="00A8697F">
      <w:pPr>
        <w:pStyle w:val="ab"/>
        <w:numPr>
          <w:ilvl w:val="0"/>
          <w:numId w:val="113"/>
        </w:numPr>
        <w:rPr>
          <w:rFonts w:asciiTheme="minorBidi" w:hAnsiTheme="minorBidi"/>
          <w:rtl/>
        </w:rPr>
      </w:pPr>
      <w:r w:rsidRPr="00351B7D">
        <w:rPr>
          <w:rFonts w:asciiTheme="minorBidi" w:hAnsiTheme="minorBidi"/>
          <w:rtl/>
        </w:rPr>
        <w:t>(רמב"ם</w:t>
      </w:r>
      <w:r w:rsidRPr="00351B7D">
        <w:rPr>
          <w:rFonts w:asciiTheme="minorBidi" w:hAnsiTheme="minorBidi"/>
          <w:sz w:val="16"/>
          <w:szCs w:val="16"/>
          <w:rtl/>
        </w:rPr>
        <w:t xml:space="preserve"> להב' הב"ח</w:t>
      </w:r>
      <w:r w:rsidRPr="00351B7D">
        <w:rPr>
          <w:rStyle w:val="a7"/>
          <w:rFonts w:asciiTheme="minorBidi" w:hAnsiTheme="minorBidi"/>
          <w:rtl/>
        </w:rPr>
        <w:footnoteReference w:id="585"/>
      </w:r>
      <w:r w:rsidRPr="00351B7D">
        <w:rPr>
          <w:rFonts w:asciiTheme="minorBidi" w:hAnsiTheme="minorBidi"/>
          <w:rtl/>
        </w:rPr>
        <w:t xml:space="preserve">) ור"ן </w:t>
      </w:r>
      <w:r w:rsidRPr="00351B7D">
        <w:rPr>
          <w:rFonts w:asciiTheme="minorBidi" w:hAnsiTheme="minorBidi"/>
          <w:sz w:val="16"/>
          <w:szCs w:val="16"/>
          <w:rtl/>
        </w:rPr>
        <w:t>(כתובות א. ד"ה או)</w:t>
      </w:r>
      <w:r w:rsidRPr="00351B7D">
        <w:rPr>
          <w:rFonts w:asciiTheme="minorBidi" w:hAnsiTheme="minorBidi"/>
          <w:rtl/>
        </w:rPr>
        <w:t>- אין איסור, והא</w:t>
      </w:r>
      <w:r w:rsidRPr="00351B7D">
        <w:rPr>
          <w:rStyle w:val="a7"/>
          <w:rFonts w:asciiTheme="minorBidi" w:hAnsiTheme="minorBidi"/>
          <w:rtl/>
        </w:rPr>
        <w:footnoteReference w:id="586"/>
      </w:r>
      <w:r w:rsidRPr="00351B7D">
        <w:rPr>
          <w:rFonts w:asciiTheme="minorBidi" w:hAnsiTheme="minorBidi"/>
          <w:rtl/>
        </w:rPr>
        <w:t xml:space="preserve"> ודאי לא נהירא, מדאמרינן לקמן</w:t>
      </w:r>
      <w:r w:rsidRPr="00351B7D">
        <w:rPr>
          <w:rFonts w:asciiTheme="minorBidi" w:hAnsiTheme="minorBidi"/>
          <w:sz w:val="16"/>
          <w:szCs w:val="16"/>
          <w:rtl/>
        </w:rPr>
        <w:t xml:space="preserve"> (ז.) </w:t>
      </w:r>
      <w:r w:rsidRPr="00351B7D">
        <w:rPr>
          <w:rFonts w:asciiTheme="minorBidi" w:hAnsiTheme="minorBidi"/>
          <w:rtl/>
        </w:rPr>
        <w:t xml:space="preserve">רבי אמי שרא למיבעל בתחלה בשבת וכו' אמר להו אתפסוה מטלטלי, ובודאי ביום רביעי כנסה דלא עבר אתקנתא דרבנן, אלמא שרי לכנסה בלא כתובה, וכן בדין שלא מצינו שתהא אסורה </w:t>
      </w:r>
      <w:r w:rsidRPr="00351B7D">
        <w:rPr>
          <w:rFonts w:asciiTheme="minorBidi" w:hAnsiTheme="minorBidi"/>
          <w:u w:val="single"/>
          <w:rtl/>
        </w:rPr>
        <w:t>להתייחד</w:t>
      </w:r>
      <w:r w:rsidRPr="00351B7D">
        <w:rPr>
          <w:rFonts w:asciiTheme="minorBidi" w:hAnsiTheme="minorBidi"/>
          <w:rtl/>
        </w:rPr>
        <w:t xml:space="preserve"> בלא כתובה- וטעמא דמילתא משום דאיסורא </w:t>
      </w:r>
      <w:r w:rsidRPr="00351B7D">
        <w:rPr>
          <w:rFonts w:asciiTheme="minorBidi" w:hAnsiTheme="minorBidi"/>
          <w:u w:val="single"/>
          <w:rtl/>
        </w:rPr>
        <w:t>דביאה</w:t>
      </w:r>
      <w:r w:rsidRPr="00351B7D">
        <w:rPr>
          <w:rFonts w:asciiTheme="minorBidi" w:hAnsiTheme="minorBidi"/>
          <w:rtl/>
        </w:rPr>
        <w:t xml:space="preserve"> בלא כתובה מדרבנן בעלמא הוא, ועוד מפני שהיא לא תשמע לו- מפני שהיא יודעת שהיא קלה בעיניו להוציאה, ועוד דלא מיתסרא אלא משום דלא סמכה דעתה שהרי מתנאי בית דין יש לה... </w:t>
      </w:r>
      <w:r w:rsidRPr="00351B7D">
        <w:rPr>
          <w:rFonts w:asciiTheme="minorBidi" w:hAnsiTheme="minorBidi"/>
          <w:color w:val="000000"/>
          <w:rtl/>
        </w:rPr>
        <w:t>הילכך אפילו אם תמצא לומר דחופה היינו יחוד כיון דלא מתסרא ביחוד בלא כתובה שרי לכנסה לחופה, אבל פירסה נדה כיון שאסורה להתיחד אי חופה היינו ייחוד לאו בת חופה היא ומיהו בדיע' מהניא</w:t>
      </w:r>
      <w:r w:rsidRPr="00351B7D">
        <w:rPr>
          <w:rStyle w:val="a7"/>
          <w:rFonts w:asciiTheme="minorBidi" w:hAnsiTheme="minorBidi"/>
          <w:rtl/>
        </w:rPr>
        <w:footnoteReference w:id="587"/>
      </w:r>
      <w:r w:rsidRPr="00351B7D">
        <w:rPr>
          <w:rFonts w:asciiTheme="minorBidi" w:hAnsiTheme="minorBidi"/>
          <w:rtl/>
        </w:rPr>
        <w:t xml:space="preserve">. </w:t>
      </w:r>
      <w:r w:rsidRPr="00351B7D">
        <w:rPr>
          <w:rFonts w:asciiTheme="minorBidi" w:hAnsiTheme="minorBidi"/>
          <w:color w:val="00B0F0"/>
          <w:rtl/>
        </w:rPr>
        <w:t>(וכ"כ הרמ"א)</w:t>
      </w:r>
    </w:p>
    <w:p w14:paraId="19688490" w14:textId="77777777" w:rsidR="008E16D0" w:rsidRPr="00351B7D" w:rsidRDefault="008E16D0" w:rsidP="008E16D0">
      <w:pPr>
        <w:rPr>
          <w:rFonts w:asciiTheme="minorBidi" w:hAnsiTheme="minorBidi"/>
          <w:u w:val="single"/>
        </w:rPr>
      </w:pPr>
      <w:r w:rsidRPr="00351B7D">
        <w:rPr>
          <w:rFonts w:asciiTheme="minorBidi" w:hAnsiTheme="minorBidi"/>
          <w:u w:val="single"/>
          <w:rtl/>
        </w:rPr>
        <w:t>מעשה בחופה שלא ראויה לביאה:</w:t>
      </w:r>
      <w:r w:rsidRPr="00351B7D">
        <w:rPr>
          <w:rFonts w:asciiTheme="minorBidi" w:hAnsiTheme="minorBidi"/>
          <w:color w:val="000000"/>
          <w:sz w:val="16"/>
          <w:szCs w:val="16"/>
          <w:rtl/>
        </w:rPr>
        <w:t xml:space="preserve">    (ב"י [ר"ס צ] ודרכ"מ [סי' ס"א אות ב])</w:t>
      </w:r>
    </w:p>
    <w:p w14:paraId="59B25351" w14:textId="77777777" w:rsidR="008E16D0" w:rsidRPr="00351B7D" w:rsidRDefault="008E16D0" w:rsidP="00A8697F">
      <w:pPr>
        <w:pStyle w:val="ab"/>
        <w:numPr>
          <w:ilvl w:val="0"/>
          <w:numId w:val="74"/>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(כלל נ"ד סי' ב)</w:t>
      </w:r>
      <w:r w:rsidRPr="00351B7D">
        <w:rPr>
          <w:rFonts w:asciiTheme="minorBidi" w:hAnsiTheme="minorBidi"/>
          <w:rtl/>
        </w:rPr>
        <w:t xml:space="preserve">- אחד שצוה קרקע לנדן בתו, והתנה שאם תמות קודם נישואין יהיה הקרקע הקדש, וחלתה חולי מות וכדי להפקיע מן ההקדש הלכו קרוביה והושיבוה במטה בחליה עם אחד מקרוביה והכניסוה לחופה וברכו ז' ברכות כדי שירשנה בעלה והשיב דלא הויא חופה הראויה לביאה ולא הויא חופה כלל. </w:t>
      </w:r>
      <w:r w:rsidRPr="00351B7D">
        <w:rPr>
          <w:rFonts w:asciiTheme="minorBidi" w:hAnsiTheme="minorBidi"/>
          <w:color w:val="00B0F0"/>
          <w:rtl/>
        </w:rPr>
        <w:t>(וכ"פ הרמ"א)</w:t>
      </w:r>
    </w:p>
    <w:p w14:paraId="29331D73" w14:textId="77777777" w:rsidR="008E16D0" w:rsidRPr="00351B7D" w:rsidRDefault="008E16D0" w:rsidP="008E16D0">
      <w:pPr>
        <w:rPr>
          <w:rFonts w:asciiTheme="minorBidi" w:hAnsiTheme="minorBidi"/>
          <w:rtl/>
        </w:rPr>
      </w:pPr>
      <w:r w:rsidRPr="00351B7D">
        <w:rPr>
          <w:rFonts w:asciiTheme="minorBidi" w:hAnsiTheme="minorBidi"/>
          <w:b/>
          <w:bCs/>
          <w:rtl/>
        </w:rPr>
        <w:lastRenderedPageBreak/>
        <w:t xml:space="preserve">כתובות ג ע"א: </w:t>
      </w:r>
      <w:r w:rsidRPr="00351B7D">
        <w:rPr>
          <w:rFonts w:asciiTheme="minorBidi" w:hAnsiTheme="minorBidi"/>
          <w:rtl/>
        </w:rPr>
        <w:t>הכי קאמר: אי איכא בתי דינין דקבועין האידנא כקודם תקנת עזרא</w:t>
      </w:r>
      <w:r w:rsidRPr="00351B7D">
        <w:rPr>
          <w:rStyle w:val="a7"/>
          <w:rFonts w:asciiTheme="minorBidi" w:hAnsiTheme="minorBidi"/>
          <w:rtl/>
        </w:rPr>
        <w:footnoteReference w:id="588"/>
      </w:r>
      <w:r w:rsidRPr="00351B7D">
        <w:rPr>
          <w:rFonts w:asciiTheme="minorBidi" w:hAnsiTheme="minorBidi"/>
          <w:rtl/>
        </w:rPr>
        <w:t>, אשה נשאת בכל יום.</w:t>
      </w:r>
    </w:p>
    <w:p w14:paraId="28FD8225" w14:textId="77777777" w:rsidR="008E16D0" w:rsidRPr="00351B7D" w:rsidRDefault="008E16D0" w:rsidP="008E16D0">
      <w:pPr>
        <w:rPr>
          <w:rFonts w:asciiTheme="minorBidi" w:hAnsiTheme="minorBidi"/>
          <w:rtl/>
        </w:rPr>
      </w:pPr>
      <w:r w:rsidRPr="00351B7D">
        <w:rPr>
          <w:rFonts w:asciiTheme="minorBidi" w:hAnsiTheme="minorBidi"/>
          <w:b/>
          <w:bCs/>
          <w:rtl/>
        </w:rPr>
        <w:t>ביצה לו ע"ב:</w:t>
      </w:r>
      <w:r w:rsidRPr="00351B7D">
        <w:rPr>
          <w:rFonts w:asciiTheme="minorBidi" w:hAnsiTheme="minorBidi"/>
          <w:rtl/>
        </w:rPr>
        <w:t xml:space="preserve"> </w:t>
      </w:r>
      <w:r w:rsidRPr="00351B7D">
        <w:rPr>
          <w:rFonts w:asciiTheme="minorBidi" w:hAnsiTheme="minorBidi"/>
          <w:u w:val="double"/>
          <w:rtl/>
        </w:rPr>
        <w:t>משנה</w:t>
      </w:r>
      <w:r w:rsidRPr="00351B7D">
        <w:rPr>
          <w:rFonts w:asciiTheme="minorBidi" w:hAnsiTheme="minorBidi"/>
          <w:rtl/>
        </w:rPr>
        <w:t xml:space="preserve">: כל שחייבין עליו משום שבות משום רשות משום מצוה בשבת - חייבין עליו ביום טוב... ואלו הן משום רשות: לא דנין, ולא מקדשין...     </w:t>
      </w:r>
      <w:r w:rsidRPr="00351B7D">
        <w:rPr>
          <w:rFonts w:asciiTheme="minorBidi" w:hAnsiTheme="minorBidi"/>
          <w:u w:val="double"/>
          <w:rtl/>
        </w:rPr>
        <w:t>גמ'</w:t>
      </w:r>
      <w:r w:rsidRPr="00351B7D">
        <w:rPr>
          <w:rFonts w:asciiTheme="minorBidi" w:hAnsiTheme="minorBidi"/>
          <w:rtl/>
        </w:rPr>
        <w:t>: ולא מקדשין- והא מצוה קעביד! לא, צריכא, דאית ליה אשה ובנים.</w:t>
      </w:r>
    </w:p>
    <w:p w14:paraId="20769637" w14:textId="77777777" w:rsidR="008E16D0" w:rsidRPr="00351B7D" w:rsidRDefault="008E16D0" w:rsidP="008E16D0">
      <w:pPr>
        <w:rPr>
          <w:rFonts w:asciiTheme="minorBidi" w:hAnsiTheme="minorBidi"/>
          <w:u w:val="single"/>
          <w:rtl/>
        </w:rPr>
      </w:pPr>
      <w:r w:rsidRPr="00351B7D">
        <w:rPr>
          <w:rFonts w:asciiTheme="minorBidi" w:hAnsiTheme="minorBidi"/>
          <w:u w:val="single"/>
          <w:rtl/>
        </w:rPr>
        <w:t>נישואין בשבת:</w:t>
      </w:r>
    </w:p>
    <w:p w14:paraId="006D8E7B" w14:textId="77777777" w:rsidR="008E16D0" w:rsidRPr="00351B7D" w:rsidRDefault="008E16D0" w:rsidP="00A8697F">
      <w:pPr>
        <w:pStyle w:val="ab"/>
        <w:numPr>
          <w:ilvl w:val="0"/>
          <w:numId w:val="73"/>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(ביצה לו: ד"ה והא)</w:t>
      </w:r>
      <w:r w:rsidRPr="00351B7D">
        <w:rPr>
          <w:rFonts w:asciiTheme="minorBidi" w:hAnsiTheme="minorBidi"/>
          <w:rtl/>
        </w:rPr>
        <w:t xml:space="preserve"> ורא"ש</w:t>
      </w:r>
      <w:r w:rsidRPr="00351B7D">
        <w:rPr>
          <w:rFonts w:asciiTheme="minorBidi" w:hAnsiTheme="minorBidi"/>
          <w:sz w:val="16"/>
          <w:szCs w:val="16"/>
          <w:rtl/>
        </w:rPr>
        <w:t xml:space="preserve"> (כתובות סי' ג)</w:t>
      </w:r>
      <w:r w:rsidRPr="00351B7D">
        <w:rPr>
          <w:rFonts w:asciiTheme="minorBidi" w:hAnsiTheme="minorBidi"/>
          <w:rtl/>
        </w:rPr>
        <w:t>- האי 'בכל יום' לאו דוקא, דביום שבת אינה נישאת דאמרינן בירושלמי</w:t>
      </w:r>
      <w:r w:rsidRPr="00351B7D">
        <w:rPr>
          <w:rFonts w:asciiTheme="minorBidi" w:hAnsiTheme="minorBidi"/>
          <w:sz w:val="16"/>
          <w:szCs w:val="16"/>
          <w:rtl/>
        </w:rPr>
        <w:t xml:space="preserve"> (כתובות פ"א ה"א) </w:t>
      </w:r>
      <w:r w:rsidRPr="00351B7D">
        <w:rPr>
          <w:rFonts w:asciiTheme="minorBidi" w:hAnsiTheme="minorBidi"/>
          <w:rtl/>
        </w:rPr>
        <w:t xml:space="preserve">אילין דכנסין ארמלין בער"ש צריכין למיכנס מבעו"י שלא יהא נראה כקונה קנין בשבת לפי שאלמנה אין לה חופה ובשעת ייחוד של ביאה הוא זוכה במציאתה ובמעשה ידיה הילכך צריך להתייחד עמה בער"ש מבעו"י, הילכך אין להכניס בתולה לחופה בשבת דע"י החופה הוא זוכה במציאתה ובמעשה ידיה וה"ל כקונה קנין בשבת. </w:t>
      </w:r>
      <w:r w:rsidRPr="00351B7D">
        <w:rPr>
          <w:rFonts w:asciiTheme="minorBidi" w:hAnsiTheme="minorBidi"/>
          <w:color w:val="E36C0A" w:themeColor="accent6" w:themeShade="BF"/>
          <w:rtl/>
        </w:rPr>
        <w:t xml:space="preserve">(וכ"פ בשו"ע </w:t>
      </w:r>
      <w:r w:rsidRPr="00351B7D">
        <w:rPr>
          <w:rFonts w:asciiTheme="minorBidi" w:hAnsiTheme="minorBidi"/>
          <w:sz w:val="16"/>
          <w:szCs w:val="16"/>
          <w:rtl/>
        </w:rPr>
        <w:t>[בסי' סד סע' ה, ובאו"ח סי' שלט סע' ד]</w:t>
      </w:r>
      <w:r w:rsidRPr="00351B7D">
        <w:rPr>
          <w:rFonts w:asciiTheme="minorBidi" w:hAnsiTheme="minorBidi"/>
          <w:color w:val="E36C0A" w:themeColor="accent6" w:themeShade="BF"/>
          <w:rtl/>
        </w:rPr>
        <w:t>)</w:t>
      </w:r>
      <w:r w:rsidRPr="00351B7D">
        <w:rPr>
          <w:rFonts w:asciiTheme="minorBidi" w:hAnsiTheme="minorBidi"/>
          <w:rtl/>
        </w:rPr>
        <w:t xml:space="preserve"> </w:t>
      </w:r>
    </w:p>
    <w:p w14:paraId="05FFB7A4" w14:textId="77777777" w:rsidR="008E16D0" w:rsidRPr="00351B7D" w:rsidRDefault="008E16D0" w:rsidP="00A8697F">
      <w:pPr>
        <w:pStyle w:val="ab"/>
        <w:numPr>
          <w:ilvl w:val="0"/>
          <w:numId w:val="73"/>
        </w:numPr>
        <w:rPr>
          <w:rFonts w:asciiTheme="minorBidi" w:hAnsiTheme="minorBidi"/>
        </w:rPr>
      </w:pPr>
      <w:r w:rsidRPr="00351B7D">
        <w:rPr>
          <w:rFonts w:asciiTheme="minorBidi" w:hAnsiTheme="minorBidi"/>
          <w:rtl/>
        </w:rPr>
        <w:t>ר"ת</w:t>
      </w:r>
      <w:r w:rsidRPr="00351B7D">
        <w:rPr>
          <w:rStyle w:val="a7"/>
          <w:rFonts w:asciiTheme="minorBidi" w:hAnsiTheme="minorBidi"/>
          <w:rtl/>
        </w:rPr>
        <w:footnoteReference w:id="589"/>
      </w:r>
      <w:r w:rsidRPr="00351B7D">
        <w:rPr>
          <w:rFonts w:asciiTheme="minorBidi" w:hAnsiTheme="minorBidi"/>
          <w:rtl/>
        </w:rPr>
        <w:t xml:space="preserve">- </w:t>
      </w:r>
      <w:r w:rsidRPr="00351B7D">
        <w:rPr>
          <w:rFonts w:asciiTheme="minorBidi" w:hAnsiTheme="minorBidi"/>
          <w:color w:val="000000"/>
          <w:rtl/>
        </w:rPr>
        <w:t>"</w:t>
      </w:r>
      <w:r w:rsidRPr="00351B7D">
        <w:rPr>
          <w:rFonts w:asciiTheme="minorBidi" w:hAnsiTheme="minorBidi"/>
          <w:u w:val="single"/>
          <w:rtl/>
        </w:rPr>
        <w:t>ולקדש</w:t>
      </w:r>
      <w:r w:rsidRPr="00351B7D">
        <w:rPr>
          <w:rFonts w:asciiTheme="minorBidi" w:hAnsiTheme="minorBidi"/>
          <w:color w:val="000000"/>
          <w:rtl/>
        </w:rPr>
        <w:t xml:space="preserve"> אשה בשבת למי שאין לו בנים בדיעבד התרתי, ואפילו לכתחילה אם היה צורך שעה</w:t>
      </w:r>
      <w:r w:rsidRPr="00351B7D">
        <w:rPr>
          <w:rStyle w:val="a7"/>
          <w:rFonts w:asciiTheme="minorBidi" w:hAnsiTheme="minorBidi"/>
          <w:rtl/>
        </w:rPr>
        <w:footnoteReference w:id="590"/>
      </w:r>
      <w:r w:rsidRPr="00351B7D">
        <w:rPr>
          <w:rFonts w:asciiTheme="minorBidi" w:hAnsiTheme="minorBidi"/>
          <w:rtl/>
        </w:rPr>
        <w:t>".</w:t>
      </w:r>
    </w:p>
    <w:p w14:paraId="3E34AF79" w14:textId="77777777" w:rsidR="008E16D0" w:rsidRPr="00351B7D" w:rsidRDefault="008E16D0" w:rsidP="008E16D0">
      <w:pPr>
        <w:rPr>
          <w:rFonts w:asciiTheme="minorBidi" w:hAnsiTheme="minorBidi"/>
        </w:rPr>
      </w:pPr>
      <w:r w:rsidRPr="00351B7D">
        <w:rPr>
          <w:rFonts w:asciiTheme="minorBidi" w:hAnsiTheme="minorBidi"/>
          <w:b/>
          <w:bCs/>
          <w:rtl/>
        </w:rPr>
        <w:t>מסכתות קטנות מסכת כלה פ"א ה"א:</w:t>
      </w:r>
      <w:r w:rsidRPr="00351B7D">
        <w:rPr>
          <w:rFonts w:asciiTheme="minorBidi" w:hAnsiTheme="minorBidi"/>
          <w:rtl/>
        </w:rPr>
        <w:t xml:space="preserve"> כלה בלא ברכה אסורה לבעלה כנדה, מה נדה שלא טבלה אסורה לבעלה, אף כלה בלא ברכה אסורה לבעלה.</w:t>
      </w:r>
    </w:p>
    <w:p w14:paraId="063C9055"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אירס ונכנסה לחופה ולא בירך </w:t>
      </w:r>
      <w:r w:rsidRPr="00351B7D">
        <w:rPr>
          <w:rFonts w:asciiTheme="minorBidi" w:hAnsiTheme="minorBidi"/>
          <w:b/>
          <w:bCs/>
          <w:u w:val="single"/>
          <w:rtl/>
        </w:rPr>
        <w:t>ברכת חתנים</w:t>
      </w:r>
      <w:r w:rsidRPr="00351B7D">
        <w:rPr>
          <w:rFonts w:asciiTheme="minorBidi" w:hAnsiTheme="minorBidi"/>
          <w:u w:val="single"/>
          <w:rtl/>
        </w:rPr>
        <w:t>:</w:t>
      </w:r>
      <w:r w:rsidRPr="00351B7D">
        <w:rPr>
          <w:rFonts w:asciiTheme="minorBidi" w:hAnsiTheme="minorBidi"/>
          <w:color w:val="000000"/>
          <w:sz w:val="16"/>
          <w:szCs w:val="16"/>
          <w:rtl/>
        </w:rPr>
        <w:t xml:space="preserve">   (ב"י סי' סא סע' א</w:t>
      </w:r>
      <w:r w:rsidRPr="00351B7D">
        <w:rPr>
          <w:rFonts w:asciiTheme="minorBidi" w:hAnsiTheme="minorBidi"/>
          <w:sz w:val="14"/>
          <w:szCs w:val="14"/>
          <w:rtl/>
        </w:rPr>
        <w:t>(ב)</w:t>
      </w:r>
      <w:r w:rsidRPr="00351B7D">
        <w:rPr>
          <w:rFonts w:asciiTheme="minorBidi" w:hAnsiTheme="minorBidi"/>
          <w:color w:val="000000"/>
          <w:sz w:val="16"/>
          <w:szCs w:val="16"/>
          <w:rtl/>
        </w:rPr>
        <w:t>, וסי' סב, דרכ"מ קצר [סי' סב אות ז] וארוך [אות ב], וב"ש [סק"ה])</w:t>
      </w:r>
    </w:p>
    <w:p w14:paraId="5C79B929" w14:textId="77777777" w:rsidR="008E16D0" w:rsidRPr="00351B7D" w:rsidRDefault="008E16D0" w:rsidP="00A8697F">
      <w:pPr>
        <w:pStyle w:val="ab"/>
        <w:numPr>
          <w:ilvl w:val="0"/>
          <w:numId w:val="73"/>
        </w:numPr>
        <w:rPr>
          <w:rFonts w:asciiTheme="minorBidi" w:hAnsiTheme="minorBidi"/>
        </w:rPr>
      </w:pPr>
      <w:r w:rsidRPr="00351B7D">
        <w:rPr>
          <w:rFonts w:asciiTheme="minorBidi" w:hAnsiTheme="minorBidi"/>
          <w:rtl/>
        </w:rPr>
        <w:t>רמב"ם רא"ש תרוה"ד והגה' מרדכי</w:t>
      </w:r>
      <w:r w:rsidRPr="00351B7D">
        <w:rPr>
          <w:rStyle w:val="a7"/>
          <w:rFonts w:asciiTheme="minorBidi" w:hAnsiTheme="minorBidi"/>
          <w:rtl/>
        </w:rPr>
        <w:footnoteReference w:id="591"/>
      </w:r>
      <w:r w:rsidRPr="00351B7D">
        <w:rPr>
          <w:rFonts w:asciiTheme="minorBidi" w:hAnsiTheme="minorBidi"/>
          <w:rtl/>
        </w:rPr>
        <w:t>- "</w:t>
      </w:r>
      <w:r w:rsidRPr="00351B7D">
        <w:rPr>
          <w:rFonts w:asciiTheme="minorBidi" w:hAnsiTheme="minorBidi"/>
          <w:color w:val="000000"/>
          <w:rtl/>
        </w:rPr>
        <w:t>אירס וכנס לחופה ולא ברך ברכת חתנים הרי זו נשואה גמורה וחוזר ומברך אפילו אחר כמה ימים</w:t>
      </w:r>
      <w:r w:rsidRPr="00351B7D">
        <w:rPr>
          <w:rFonts w:asciiTheme="minorBidi" w:hAnsiTheme="minorBidi"/>
          <w:color w:val="000000"/>
          <w:sz w:val="16"/>
          <w:szCs w:val="16"/>
          <w:rtl/>
        </w:rPr>
        <w:t xml:space="preserve"> (ל' הרמב"ם)</w:t>
      </w:r>
      <w:r w:rsidRPr="00351B7D">
        <w:rPr>
          <w:rStyle w:val="a7"/>
          <w:rFonts w:asciiTheme="minorBidi" w:hAnsiTheme="minorBidi"/>
          <w:rtl/>
        </w:rPr>
        <w:footnoteReference w:id="592"/>
      </w:r>
      <w:r w:rsidRPr="00351B7D">
        <w:rPr>
          <w:rFonts w:asciiTheme="minorBidi" w:hAnsiTheme="minorBidi"/>
          <w:color w:val="000000"/>
          <w:rtl/>
        </w:rPr>
        <w:t>"</w:t>
      </w:r>
      <w:r w:rsidRPr="00351B7D">
        <w:rPr>
          <w:rFonts w:asciiTheme="minorBidi" w:hAnsiTheme="minorBidi"/>
          <w:rtl/>
        </w:rPr>
        <w:t xml:space="preserve">. </w:t>
      </w:r>
      <w:r w:rsidRPr="00351B7D">
        <w:rPr>
          <w:rFonts w:asciiTheme="minorBidi" w:hAnsiTheme="minorBidi"/>
          <w:color w:val="E36C0A" w:themeColor="accent6" w:themeShade="BF"/>
          <w:rtl/>
        </w:rPr>
        <w:t xml:space="preserve">(וכ"פ בשו"ע </w:t>
      </w:r>
      <w:r w:rsidRPr="00351B7D">
        <w:rPr>
          <w:rFonts w:asciiTheme="minorBidi" w:hAnsiTheme="minorBidi"/>
          <w:sz w:val="16"/>
          <w:szCs w:val="16"/>
          <w:rtl/>
        </w:rPr>
        <w:t>[סי' נה סע' ג]</w:t>
      </w:r>
      <w:r w:rsidRPr="00351B7D">
        <w:rPr>
          <w:rFonts w:asciiTheme="minorBidi" w:hAnsiTheme="minorBidi"/>
          <w:color w:val="E36C0A" w:themeColor="accent6" w:themeShade="BF"/>
          <w:rtl/>
        </w:rPr>
        <w:t>)</w:t>
      </w:r>
      <w:r w:rsidRPr="00351B7D">
        <w:rPr>
          <w:rFonts w:asciiTheme="minorBidi" w:hAnsiTheme="minorBidi"/>
          <w:rtl/>
        </w:rPr>
        <w:t xml:space="preserve"> </w:t>
      </w:r>
      <w:r w:rsidRPr="00351B7D">
        <w:rPr>
          <w:rFonts w:asciiTheme="minorBidi" w:hAnsiTheme="minorBidi"/>
          <w:color w:val="00B0F0"/>
          <w:rtl/>
        </w:rPr>
        <w:t>(וכ"פ הרמ"א)</w:t>
      </w:r>
    </w:p>
    <w:p w14:paraId="44C14125" w14:textId="77777777" w:rsidR="008E16D0" w:rsidRPr="00351B7D" w:rsidRDefault="008E16D0" w:rsidP="00A8697F">
      <w:pPr>
        <w:pStyle w:val="ab"/>
        <w:numPr>
          <w:ilvl w:val="0"/>
          <w:numId w:val="73"/>
        </w:numPr>
        <w:rPr>
          <w:rFonts w:asciiTheme="minorBidi" w:hAnsiTheme="minorBidi"/>
          <w:rtl/>
        </w:rPr>
      </w:pPr>
      <w:r w:rsidRPr="00351B7D">
        <w:rPr>
          <w:rFonts w:asciiTheme="minorBidi" w:hAnsiTheme="minorBidi"/>
          <w:rtl/>
        </w:rPr>
        <w:t>רש"י תוס' רמב"ן ומרדכי</w:t>
      </w:r>
      <w:r w:rsidRPr="00351B7D">
        <w:rPr>
          <w:rStyle w:val="a7"/>
          <w:rFonts w:asciiTheme="minorBidi" w:hAnsiTheme="minorBidi"/>
          <w:rtl/>
        </w:rPr>
        <w:footnoteReference w:id="593"/>
      </w:r>
      <w:r w:rsidRPr="00351B7D">
        <w:rPr>
          <w:rFonts w:asciiTheme="minorBidi" w:hAnsiTheme="minorBidi"/>
          <w:rtl/>
        </w:rPr>
        <w:t>- אסורה לבעלה כנדה, כיון דהא דאמרו כלה בלא ברכה כו' ברכות ממש קאמר</w:t>
      </w:r>
      <w:r w:rsidRPr="00351B7D">
        <w:rPr>
          <w:rStyle w:val="a7"/>
          <w:rFonts w:asciiTheme="minorBidi" w:hAnsiTheme="minorBidi"/>
          <w:rtl/>
        </w:rPr>
        <w:footnoteReference w:id="594"/>
      </w:r>
      <w:r w:rsidRPr="00351B7D">
        <w:rPr>
          <w:rFonts w:asciiTheme="minorBidi" w:hAnsiTheme="minorBidi"/>
          <w:rtl/>
        </w:rPr>
        <w:t>.</w:t>
      </w:r>
    </w:p>
    <w:p w14:paraId="44ED0DD2"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3801E9"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כיון שהכניס האיש ארוסתו לחופה אף על גב שלא נבעלה הרי היא כאשתו לכל דבר וגובה עיקר כתובתה ותוספת אם תתאלמן או תתגרש, במה דברים אמורים בשראויה לביאה, אבל אם היתה נדה ואחר כך כנסה לחופה ונתייחד עמה</w:t>
      </w:r>
      <w:r w:rsidRPr="00351B7D">
        <w:rPr>
          <w:rStyle w:val="a7"/>
          <w:rFonts w:asciiTheme="minorBidi" w:hAnsiTheme="minorBidi"/>
          <w:color w:val="000000"/>
          <w:rtl/>
        </w:rPr>
        <w:footnoteReference w:id="595"/>
      </w:r>
      <w:r w:rsidRPr="00351B7D">
        <w:rPr>
          <w:rFonts w:asciiTheme="minorBidi" w:hAnsiTheme="minorBidi"/>
          <w:rtl/>
        </w:rPr>
        <w:t xml:space="preserve"> אינה כאשתו אלא לכל הדברים היא עדיין כארוסה</w:t>
      </w:r>
      <w:r w:rsidRPr="00351B7D">
        <w:rPr>
          <w:rStyle w:val="a7"/>
          <w:rFonts w:asciiTheme="minorBidi" w:hAnsiTheme="minorBidi"/>
          <w:color w:val="000000"/>
          <w:rtl/>
        </w:rPr>
        <w:footnoteReference w:id="596"/>
      </w:r>
      <w:r w:rsidRPr="00351B7D">
        <w:rPr>
          <w:rFonts w:asciiTheme="minorBidi" w:hAnsiTheme="minorBidi"/>
          <w:rtl/>
        </w:rPr>
        <w:t xml:space="preserve"> מאחר שהיתה נדה. ויש אומרים דדוקא לענין שלא תגבה התוספת היא עדיין כארוסה אבל לכל שאר דברים הרי היא כנשואה.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ועיין לעיל ריש סימן נ"ה מהו נקרא חופה. וצריכין לכתוב הכתובה קודם החופה כדי שתהא חופה הראויה לביאה </w:t>
      </w:r>
      <w:r w:rsidRPr="00351B7D">
        <w:rPr>
          <w:rFonts w:asciiTheme="minorBidi" w:hAnsiTheme="minorBidi"/>
          <w:color w:val="000000"/>
          <w:sz w:val="16"/>
          <w:szCs w:val="16"/>
          <w:rtl/>
        </w:rPr>
        <w:t>(רמב"ם פ"י דאישות)</w:t>
      </w:r>
      <w:r w:rsidRPr="00351B7D">
        <w:rPr>
          <w:rFonts w:asciiTheme="minorBidi" w:hAnsiTheme="minorBidi"/>
          <w:color w:val="000000"/>
          <w:sz w:val="18"/>
          <w:szCs w:val="18"/>
          <w:rtl/>
        </w:rPr>
        <w:t xml:space="preserve">. ולמ"ד דחופת נדה הוי חופה אף על פי שאינה ראויה לביאה הוא הדין אם לא </w:t>
      </w:r>
      <w:r w:rsidRPr="00351B7D">
        <w:rPr>
          <w:rFonts w:asciiTheme="minorBidi" w:hAnsiTheme="minorBidi"/>
          <w:color w:val="000000"/>
          <w:sz w:val="18"/>
          <w:szCs w:val="18"/>
          <w:rtl/>
        </w:rPr>
        <w:lastRenderedPageBreak/>
        <w:t>כתב כתובה</w:t>
      </w:r>
      <w:r w:rsidRPr="00351B7D">
        <w:rPr>
          <w:rStyle w:val="a7"/>
          <w:rFonts w:asciiTheme="minorBidi" w:hAnsiTheme="minorBidi"/>
          <w:color w:val="000000"/>
          <w:sz w:val="18"/>
          <w:szCs w:val="18"/>
          <w:rtl/>
        </w:rPr>
        <w:footnoteReference w:id="597"/>
      </w:r>
      <w:r w:rsidRPr="00351B7D">
        <w:rPr>
          <w:rFonts w:asciiTheme="minorBidi" w:hAnsiTheme="minorBidi"/>
          <w:color w:val="000000"/>
          <w:sz w:val="18"/>
          <w:szCs w:val="18"/>
          <w:rtl/>
        </w:rPr>
        <w:t>. מכל מקום נוהגים לכתחלה לכתבה קודם לכן. אשה חולנית חולת מות אף על פי שכונסה עם המטה תחת החופה כדי שיירשנה בעלה אינה חופה כלל מאחר שאינה ראויה כלל לביאה</w:t>
      </w:r>
      <w:r w:rsidRPr="00351B7D">
        <w:rPr>
          <w:rStyle w:val="a7"/>
          <w:rFonts w:asciiTheme="minorBidi" w:hAnsiTheme="minorBidi"/>
          <w:color w:val="000000"/>
          <w:sz w:val="18"/>
          <w:szCs w:val="18"/>
          <w:rtl/>
        </w:rPr>
        <w:footnoteReference w:id="598"/>
      </w:r>
      <w:r w:rsidRPr="00351B7D">
        <w:rPr>
          <w:rFonts w:asciiTheme="minorBidi" w:hAnsiTheme="minorBidi"/>
          <w:color w:val="000000"/>
          <w:sz w:val="18"/>
          <w:szCs w:val="18"/>
          <w:rtl/>
        </w:rPr>
        <w:t xml:space="preserve"> ואין בעלה יורשה </w:t>
      </w:r>
      <w:r w:rsidRPr="00351B7D">
        <w:rPr>
          <w:rFonts w:asciiTheme="minorBidi" w:hAnsiTheme="minorBidi"/>
          <w:color w:val="000000"/>
          <w:sz w:val="16"/>
          <w:szCs w:val="16"/>
          <w:rtl/>
        </w:rPr>
        <w:t>(תשו' הרא"ש כלל נד)</w:t>
      </w:r>
      <w:r w:rsidRPr="00351B7D">
        <w:rPr>
          <w:rFonts w:asciiTheme="minorBidi" w:hAnsiTheme="minorBidi"/>
          <w:color w:val="000000"/>
          <w:sz w:val="18"/>
          <w:szCs w:val="18"/>
          <w:rtl/>
        </w:rPr>
        <w:t>. כנסה לחופה ולא בירך ברכת חתנים הוי חופה גמורה דאין הברכות מעכבות ומברך אחר כמה ימים (טור סי' סב), ולכתחלה יברך אותם קודם שיתייחד עמה (כ"מ בתשו' הרא"ש). ועיין לעיל סי' נ"ה. ונהגו עכשיו לברך תחת החופה קודם שנתייחד עמו. ונהגו שהחתן והכלה מתענין ביום חופתן</w:t>
      </w:r>
      <w:r w:rsidRPr="00351B7D">
        <w:rPr>
          <w:rStyle w:val="a7"/>
          <w:rFonts w:asciiTheme="minorBidi" w:hAnsiTheme="minorBidi"/>
          <w:color w:val="000000"/>
          <w:sz w:val="18"/>
          <w:szCs w:val="18"/>
          <w:rtl/>
        </w:rPr>
        <w:footnoteReference w:id="599"/>
      </w:r>
      <w:r w:rsidRPr="00351B7D">
        <w:rPr>
          <w:rFonts w:asciiTheme="minorBidi" w:hAnsiTheme="minorBidi"/>
          <w:color w:val="000000"/>
          <w:sz w:val="18"/>
          <w:szCs w:val="18"/>
          <w:rtl/>
        </w:rPr>
        <w:t>, ועיין באו"ח סימן תקע"ג. אם קידש בטעות והיו לו נשואין עמה ואח"כ נודע שהקדושין היו בטעות אף על פי שחוזר ומקדש אין צריך לברך שנית שבעה ברכות</w:t>
      </w:r>
      <w:r w:rsidRPr="00351B7D">
        <w:rPr>
          <w:rStyle w:val="a7"/>
          <w:rFonts w:asciiTheme="minorBidi" w:hAnsiTheme="minorBidi"/>
          <w:color w:val="000000"/>
          <w:sz w:val="18"/>
          <w:szCs w:val="18"/>
          <w:rtl/>
        </w:rPr>
        <w:footnoteReference w:id="600"/>
      </w:r>
      <w:r w:rsidRPr="00351B7D">
        <w:rPr>
          <w:rFonts w:asciiTheme="minorBidi" w:hAnsiTheme="minorBidi"/>
          <w:color w:val="000000"/>
          <w:sz w:val="18"/>
          <w:szCs w:val="18"/>
          <w:rtl/>
        </w:rPr>
        <w:t xml:space="preserve"> וסגי ליה בברכות הראשונות</w:t>
      </w:r>
      <w:r w:rsidRPr="00351B7D">
        <w:rPr>
          <w:rStyle w:val="a7"/>
          <w:rFonts w:asciiTheme="minorBidi" w:hAnsiTheme="minorBidi"/>
          <w:color w:val="000000"/>
          <w:sz w:val="18"/>
          <w:szCs w:val="18"/>
          <w:rtl/>
        </w:rPr>
        <w:footnoteReference w:id="601"/>
      </w:r>
      <w:r w:rsidRPr="00351B7D">
        <w:rPr>
          <w:rFonts w:asciiTheme="minorBidi" w:hAnsiTheme="minorBidi"/>
          <w:color w:val="000000"/>
          <w:sz w:val="18"/>
          <w:szCs w:val="18"/>
          <w:rtl/>
        </w:rPr>
        <w:t xml:space="preserve">. יש אומרים לעשות החופה תחת השמים לסימן טוב שיהא זרעם ככוכבי השמים. </w:t>
      </w:r>
    </w:p>
    <w:p w14:paraId="60AE3291"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נכנסה לחופה כשהיא טהורה ופירסה נדה באמצע החופה</w:t>
      </w:r>
      <w:r w:rsidRPr="00351B7D">
        <w:rPr>
          <w:rFonts w:asciiTheme="minorBidi" w:hAnsiTheme="minorBidi"/>
          <w:sz w:val="16"/>
          <w:szCs w:val="16"/>
          <w:u w:val="single"/>
          <w:rtl/>
        </w:rPr>
        <w:t xml:space="preserve"> (לעניין תוספת כתובה)</w:t>
      </w:r>
      <w:r w:rsidRPr="00351B7D">
        <w:rPr>
          <w:rFonts w:asciiTheme="minorBidi" w:hAnsiTheme="minorBidi"/>
          <w:color w:val="000000"/>
          <w:u w:val="single"/>
          <w:rtl/>
        </w:rPr>
        <w:t>:</w:t>
      </w:r>
      <w:r w:rsidRPr="00351B7D">
        <w:rPr>
          <w:rFonts w:asciiTheme="minorBidi" w:hAnsiTheme="minorBidi"/>
          <w:color w:val="000000"/>
          <w:sz w:val="16"/>
          <w:szCs w:val="16"/>
          <w:rtl/>
        </w:rPr>
        <w:t xml:space="preserve">   (ח"מ סק"א)</w:t>
      </w:r>
    </w:p>
    <w:p w14:paraId="15D6C63C" w14:textId="77777777" w:rsidR="008E16D0" w:rsidRPr="00351B7D" w:rsidRDefault="008E16D0" w:rsidP="00A8697F">
      <w:pPr>
        <w:pStyle w:val="ab"/>
        <w:numPr>
          <w:ilvl w:val="0"/>
          <w:numId w:val="123"/>
        </w:numPr>
        <w:rPr>
          <w:rFonts w:asciiTheme="minorBidi" w:hAnsiTheme="minorBidi"/>
        </w:rPr>
      </w:pPr>
      <w:r w:rsidRPr="00351B7D">
        <w:rPr>
          <w:rFonts w:asciiTheme="minorBidi" w:hAnsiTheme="minorBidi"/>
          <w:rtl/>
        </w:rPr>
        <w:t xml:space="preserve">(רא"ש </w:t>
      </w:r>
      <w:r w:rsidRPr="00351B7D">
        <w:rPr>
          <w:rFonts w:asciiTheme="minorBidi" w:hAnsiTheme="minorBidi"/>
          <w:sz w:val="14"/>
          <w:szCs w:val="14"/>
          <w:rtl/>
        </w:rPr>
        <w:t>[פ"ה סי' ו]</w:t>
      </w:r>
      <w:r w:rsidRPr="00351B7D">
        <w:rPr>
          <w:rFonts w:asciiTheme="minorBidi" w:hAnsiTheme="minorBidi"/>
          <w:sz w:val="16"/>
          <w:szCs w:val="16"/>
          <w:rtl/>
        </w:rPr>
        <w:t xml:space="preserve"> להב' ח"מ</w:t>
      </w:r>
      <w:r w:rsidRPr="00351B7D">
        <w:rPr>
          <w:rFonts w:asciiTheme="minorBidi" w:hAnsiTheme="minorBidi"/>
          <w:rtl/>
        </w:rPr>
        <w:t xml:space="preserve">)- קנאה בתחילת חופה, דסוף חופה היא תחילת ביאה, נמצא דחופה קונה בתחילתה. </w:t>
      </w:r>
    </w:p>
    <w:p w14:paraId="6B7FB24D" w14:textId="77777777" w:rsidR="008E16D0" w:rsidRPr="00351B7D" w:rsidRDefault="008E16D0" w:rsidP="00A8697F">
      <w:pPr>
        <w:pStyle w:val="ab"/>
        <w:numPr>
          <w:ilvl w:val="0"/>
          <w:numId w:val="123"/>
        </w:numPr>
        <w:rPr>
          <w:rFonts w:asciiTheme="minorBidi" w:hAnsiTheme="minorBidi"/>
          <w:rtl/>
        </w:rPr>
      </w:pPr>
      <w:r w:rsidRPr="00351B7D">
        <w:rPr>
          <w:rFonts w:asciiTheme="minorBidi" w:hAnsiTheme="minorBidi"/>
          <w:rtl/>
        </w:rPr>
        <w:t>(מרדכי</w:t>
      </w:r>
      <w:r w:rsidRPr="00351B7D">
        <w:rPr>
          <w:rFonts w:asciiTheme="minorBidi" w:hAnsiTheme="minorBidi"/>
          <w:sz w:val="14"/>
          <w:szCs w:val="14"/>
          <w:rtl/>
        </w:rPr>
        <w:t xml:space="preserve"> [סי' קעח]</w:t>
      </w:r>
      <w:r w:rsidRPr="00351B7D">
        <w:rPr>
          <w:rFonts w:asciiTheme="minorBidi" w:hAnsiTheme="minorBidi"/>
          <w:sz w:val="16"/>
          <w:szCs w:val="16"/>
          <w:rtl/>
        </w:rPr>
        <w:t xml:space="preserve"> להב' ח"מ</w:t>
      </w:r>
      <w:r w:rsidRPr="00351B7D">
        <w:rPr>
          <w:rFonts w:asciiTheme="minorBidi" w:hAnsiTheme="minorBidi"/>
          <w:rtl/>
        </w:rPr>
        <w:t>)- פסקה לה חיבת ביאה</w:t>
      </w:r>
      <w:r w:rsidRPr="00351B7D">
        <w:rPr>
          <w:rStyle w:val="a7"/>
          <w:rFonts w:asciiTheme="minorBidi" w:hAnsiTheme="minorBidi"/>
          <w:color w:val="000000"/>
          <w:rtl/>
        </w:rPr>
        <w:footnoteReference w:id="602"/>
      </w:r>
      <w:r w:rsidRPr="00351B7D">
        <w:rPr>
          <w:rFonts w:asciiTheme="minorBidi" w:hAnsiTheme="minorBidi"/>
          <w:rtl/>
        </w:rPr>
        <w:t>.</w:t>
      </w:r>
    </w:p>
    <w:p w14:paraId="1CE83141" w14:textId="77777777" w:rsidR="008E16D0" w:rsidRPr="00351B7D" w:rsidRDefault="008E16D0" w:rsidP="008E16D0">
      <w:pPr>
        <w:rPr>
          <w:rFonts w:asciiTheme="minorBidi" w:hAnsiTheme="minorBidi"/>
          <w:color w:val="000000"/>
          <w:rtl/>
        </w:rPr>
      </w:pPr>
      <w:r w:rsidRPr="00351B7D">
        <w:rPr>
          <w:rFonts w:asciiTheme="minorBidi" w:hAnsiTheme="minorBidi"/>
          <w:color w:val="000000"/>
          <w:u w:val="single"/>
          <w:rtl/>
        </w:rPr>
        <w:t>האם חופה קונה אף שלא עשו עדיין קדושין</w:t>
      </w:r>
      <w:r w:rsidRPr="00351B7D">
        <w:rPr>
          <w:rFonts w:asciiTheme="minorBidi" w:hAnsiTheme="minorBidi"/>
          <w:sz w:val="16"/>
          <w:szCs w:val="16"/>
          <w:u w:val="single"/>
          <w:rtl/>
        </w:rPr>
        <w:t xml:space="preserve"> (לדידן דעבדי קדושין ונישואין תחת החופה)</w:t>
      </w:r>
      <w:r w:rsidRPr="00351B7D">
        <w:rPr>
          <w:rFonts w:asciiTheme="minorBidi" w:hAnsiTheme="minorBidi"/>
          <w:color w:val="000000"/>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(פת"ש סק"א)</w:t>
      </w:r>
    </w:p>
    <w:p w14:paraId="12B65911" w14:textId="77777777" w:rsidR="008E16D0" w:rsidRPr="00351B7D" w:rsidRDefault="008E16D0" w:rsidP="00A8697F">
      <w:pPr>
        <w:pStyle w:val="ab"/>
        <w:numPr>
          <w:ilvl w:val="0"/>
          <w:numId w:val="124"/>
        </w:numPr>
        <w:rPr>
          <w:rFonts w:asciiTheme="minorBidi" w:hAnsiTheme="minorBidi"/>
          <w:rtl/>
        </w:rPr>
      </w:pPr>
      <w:r w:rsidRPr="00351B7D">
        <w:rPr>
          <w:rFonts w:asciiTheme="minorBidi" w:hAnsiTheme="minorBidi"/>
          <w:rtl/>
        </w:rPr>
        <w:t>משא"ב שעה"מ והמקנה</w:t>
      </w:r>
      <w:r w:rsidRPr="00351B7D">
        <w:rPr>
          <w:rStyle w:val="a7"/>
          <w:rFonts w:asciiTheme="minorBidi" w:hAnsiTheme="minorBidi"/>
          <w:color w:val="000000"/>
          <w:rtl/>
        </w:rPr>
        <w:footnoteReference w:id="603"/>
      </w:r>
      <w:r w:rsidRPr="00351B7D">
        <w:rPr>
          <w:rFonts w:asciiTheme="minorBidi" w:hAnsiTheme="minorBidi"/>
          <w:rtl/>
        </w:rPr>
        <w:t xml:space="preserve">- לא מהני אלא היכא דבשעת הקידושין איתא לחופה בעין. </w:t>
      </w:r>
    </w:p>
    <w:p w14:paraId="78839B78" w14:textId="77777777" w:rsidR="008E16D0" w:rsidRPr="00351B7D" w:rsidRDefault="008E16D0" w:rsidP="00A8697F">
      <w:pPr>
        <w:pStyle w:val="ab"/>
        <w:numPr>
          <w:ilvl w:val="0"/>
          <w:numId w:val="124"/>
        </w:numPr>
        <w:rPr>
          <w:rFonts w:asciiTheme="minorBidi" w:hAnsiTheme="minorBidi"/>
        </w:rPr>
      </w:pPr>
      <w:r w:rsidRPr="00351B7D">
        <w:rPr>
          <w:rFonts w:asciiTheme="minorBidi" w:hAnsiTheme="minorBidi"/>
          <w:rtl/>
        </w:rPr>
        <w:t>מל"מ</w:t>
      </w:r>
      <w:r w:rsidRPr="00351B7D">
        <w:rPr>
          <w:rFonts w:asciiTheme="minorBidi" w:hAnsiTheme="minorBidi"/>
          <w:sz w:val="16"/>
          <w:szCs w:val="16"/>
          <w:rtl/>
        </w:rPr>
        <w:t xml:space="preserve"> (פ"י מה"א דין ב)</w:t>
      </w:r>
      <w:r w:rsidRPr="00351B7D">
        <w:rPr>
          <w:rFonts w:asciiTheme="minorBidi" w:hAnsiTheme="minorBidi"/>
          <w:rtl/>
        </w:rPr>
        <w:t xml:space="preserve">- מהני. </w:t>
      </w:r>
    </w:p>
    <w:p w14:paraId="6BF03092"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לרמב"ם וסיעתו, מה דין חופה כלה שהיא נדה מדרבנן:</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סק"ד) </w:t>
      </w:r>
    </w:p>
    <w:p w14:paraId="7884331E" w14:textId="77777777" w:rsidR="008E16D0" w:rsidRPr="00351B7D" w:rsidRDefault="008E16D0" w:rsidP="00A8697F">
      <w:pPr>
        <w:pStyle w:val="ab"/>
        <w:numPr>
          <w:ilvl w:val="0"/>
          <w:numId w:val="125"/>
        </w:numPr>
        <w:rPr>
          <w:rFonts w:asciiTheme="minorBidi" w:hAnsiTheme="minorBidi"/>
          <w:rtl/>
        </w:rPr>
      </w:pPr>
      <w:r w:rsidRPr="00351B7D">
        <w:rPr>
          <w:rFonts w:asciiTheme="minorBidi" w:hAnsiTheme="minorBidi"/>
          <w:rtl/>
        </w:rPr>
        <w:t>הה"מ</w:t>
      </w:r>
      <w:r w:rsidRPr="00351B7D">
        <w:rPr>
          <w:rStyle w:val="a7"/>
          <w:rFonts w:asciiTheme="minorBidi" w:hAnsiTheme="minorBidi"/>
          <w:color w:val="000000"/>
          <w:rtl/>
        </w:rPr>
        <w:footnoteReference w:id="604"/>
      </w:r>
      <w:r w:rsidRPr="00351B7D">
        <w:rPr>
          <w:rFonts w:asciiTheme="minorBidi" w:hAnsiTheme="minorBidi"/>
          <w:rtl/>
        </w:rPr>
        <w:t xml:space="preserve">- אם היה לה חופה תוך ז"נ שצריכה </w:t>
      </w:r>
      <w:r w:rsidRPr="00351B7D">
        <w:rPr>
          <w:rFonts w:asciiTheme="minorBidi" w:hAnsiTheme="minorBidi"/>
          <w:u w:val="single"/>
          <w:rtl/>
        </w:rPr>
        <w:t>כלה</w:t>
      </w:r>
      <w:r w:rsidRPr="00351B7D">
        <w:rPr>
          <w:rStyle w:val="a7"/>
          <w:rFonts w:asciiTheme="minorBidi" w:hAnsiTheme="minorBidi"/>
          <w:color w:val="000000"/>
          <w:rtl/>
        </w:rPr>
        <w:footnoteReference w:id="605"/>
      </w:r>
      <w:r w:rsidRPr="00351B7D">
        <w:rPr>
          <w:rFonts w:asciiTheme="minorBidi" w:hAnsiTheme="minorBidi"/>
          <w:rtl/>
        </w:rPr>
        <w:t xml:space="preserve"> לישב הוי חופה כיון דאינו אלא חשש שמא ראתה.</w:t>
      </w:r>
    </w:p>
    <w:p w14:paraId="02A9FD43" w14:textId="77777777" w:rsidR="008E16D0" w:rsidRPr="00351B7D" w:rsidRDefault="008E16D0" w:rsidP="00A8697F">
      <w:pPr>
        <w:pStyle w:val="ab"/>
        <w:numPr>
          <w:ilvl w:val="0"/>
          <w:numId w:val="125"/>
        </w:numPr>
        <w:rPr>
          <w:rFonts w:asciiTheme="minorBidi" w:hAnsiTheme="minorBidi"/>
          <w:rtl/>
        </w:rPr>
      </w:pPr>
      <w:r w:rsidRPr="00351B7D">
        <w:rPr>
          <w:rFonts w:asciiTheme="minorBidi" w:hAnsiTheme="minorBidi"/>
          <w:rtl/>
        </w:rPr>
        <w:t>שעה"מ</w:t>
      </w:r>
      <w:r w:rsidRPr="00351B7D">
        <w:rPr>
          <w:rFonts w:asciiTheme="minorBidi" w:hAnsiTheme="minorBidi"/>
          <w:sz w:val="16"/>
          <w:szCs w:val="16"/>
          <w:rtl/>
        </w:rPr>
        <w:t xml:space="preserve"> (פ"י מה"א בקונ' חופת חתנים סע' ו)</w:t>
      </w:r>
      <w:r w:rsidRPr="00351B7D">
        <w:rPr>
          <w:rFonts w:asciiTheme="minorBidi" w:hAnsiTheme="minorBidi"/>
          <w:rtl/>
        </w:rPr>
        <w:t>- אפי' בחופה דלא חזיא לביאה אלא מדרבנן דינה כארוסה</w:t>
      </w:r>
      <w:r w:rsidRPr="00351B7D">
        <w:rPr>
          <w:rStyle w:val="a7"/>
          <w:rFonts w:asciiTheme="minorBidi" w:hAnsiTheme="minorBidi"/>
          <w:color w:val="000000"/>
          <w:rtl/>
        </w:rPr>
        <w:footnoteReference w:id="606"/>
      </w:r>
      <w:r w:rsidRPr="00351B7D">
        <w:rPr>
          <w:rFonts w:asciiTheme="minorBidi" w:hAnsiTheme="minorBidi"/>
          <w:rtl/>
        </w:rPr>
        <w:t>.</w:t>
      </w:r>
    </w:p>
    <w:p w14:paraId="4E65B474"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ראובן נשא את פלונית ונכנסה לחופה ולא קרב אליה</w:t>
      </w:r>
      <w:r w:rsidRPr="00351B7D">
        <w:rPr>
          <w:rStyle w:val="a7"/>
          <w:rFonts w:asciiTheme="minorBidi" w:hAnsiTheme="minorBidi"/>
          <w:color w:val="000000"/>
          <w:u w:val="single"/>
          <w:rtl/>
        </w:rPr>
        <w:footnoteReference w:id="607"/>
      </w:r>
      <w:r w:rsidRPr="00351B7D">
        <w:rPr>
          <w:rFonts w:asciiTheme="minorBidi" w:hAnsiTheme="minorBidi"/>
          <w:u w:val="single"/>
          <w:rtl/>
        </w:rPr>
        <w:t xml:space="preserve"> וגם לא היה לו גבורת אנשים:</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סק"ז) </w:t>
      </w:r>
    </w:p>
    <w:p w14:paraId="2EC89A10" w14:textId="77777777" w:rsidR="008E16D0" w:rsidRPr="00351B7D" w:rsidRDefault="008E16D0" w:rsidP="00A8697F">
      <w:pPr>
        <w:pStyle w:val="ab"/>
        <w:numPr>
          <w:ilvl w:val="0"/>
          <w:numId w:val="75"/>
        </w:numPr>
        <w:rPr>
          <w:rFonts w:asciiTheme="minorBidi" w:hAnsiTheme="minorBidi"/>
          <w:color w:val="000000"/>
          <w:rtl/>
        </w:rPr>
      </w:pPr>
      <w:r w:rsidRPr="00351B7D">
        <w:rPr>
          <w:rFonts w:asciiTheme="minorBidi" w:hAnsiTheme="minorBidi"/>
          <w:rtl/>
        </w:rPr>
        <w:lastRenderedPageBreak/>
        <w:t xml:space="preserve">מהר"ש גאון </w:t>
      </w:r>
      <w:r w:rsidRPr="00351B7D">
        <w:rPr>
          <w:rFonts w:asciiTheme="minorBidi" w:hAnsiTheme="minorBidi"/>
          <w:sz w:val="16"/>
          <w:szCs w:val="16"/>
          <w:rtl/>
        </w:rPr>
        <w:t>(משפטים ישרים סי' לו, הביאו שעה"מ</w:t>
      </w:r>
      <w:r w:rsidRPr="00351B7D">
        <w:rPr>
          <w:rFonts w:asciiTheme="minorBidi" w:hAnsiTheme="minorBidi"/>
          <w:sz w:val="14"/>
          <w:szCs w:val="14"/>
          <w:rtl/>
        </w:rPr>
        <w:t xml:space="preserve"> [בקונ' חופת חתנים]</w:t>
      </w:r>
      <w:r w:rsidRPr="00351B7D">
        <w:rPr>
          <w:rFonts w:asciiTheme="minorBidi" w:hAnsiTheme="minorBidi"/>
          <w:color w:val="000000"/>
          <w:sz w:val="16"/>
          <w:szCs w:val="16"/>
          <w:rtl/>
        </w:rPr>
        <w:t>)</w:t>
      </w:r>
      <w:r w:rsidRPr="00351B7D">
        <w:rPr>
          <w:rFonts w:asciiTheme="minorBidi" w:hAnsiTheme="minorBidi"/>
          <w:rtl/>
        </w:rPr>
        <w:t>- לכו"ע אין הבעל יורשה דכיון דאין לו ג"א אין לזה זמן מוגבל מתי יתרפא ובהא ודאי לא חשיבא חופה כלל</w:t>
      </w:r>
      <w:r w:rsidRPr="00351B7D">
        <w:rPr>
          <w:rStyle w:val="a7"/>
          <w:rFonts w:asciiTheme="minorBidi" w:hAnsiTheme="minorBidi"/>
          <w:color w:val="000000"/>
          <w:rtl/>
        </w:rPr>
        <w:footnoteReference w:id="608"/>
      </w:r>
      <w:r w:rsidRPr="00351B7D">
        <w:rPr>
          <w:rFonts w:asciiTheme="minorBidi" w:hAnsiTheme="minorBidi"/>
          <w:color w:val="000000"/>
          <w:rtl/>
        </w:rPr>
        <w:t xml:space="preserve">. </w:t>
      </w:r>
    </w:p>
    <w:p w14:paraId="60CB3313"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 xml:space="preserve"> האם נכון לשנות מנהג קדמונים ולעשות חופה בביהכ"נ במקום חופה תחת כיפת השמים:</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סקי"ב) </w:t>
      </w:r>
    </w:p>
    <w:p w14:paraId="6E7342E1" w14:textId="77777777" w:rsidR="008E16D0" w:rsidRPr="00351B7D" w:rsidRDefault="008E16D0" w:rsidP="00A8697F">
      <w:pPr>
        <w:pStyle w:val="ab"/>
        <w:numPr>
          <w:ilvl w:val="0"/>
          <w:numId w:val="75"/>
        </w:numPr>
        <w:rPr>
          <w:rFonts w:asciiTheme="minorBidi" w:hAnsiTheme="minorBidi"/>
          <w:rtl/>
        </w:rPr>
      </w:pPr>
      <w:r w:rsidRPr="00351B7D">
        <w:rPr>
          <w:rFonts w:asciiTheme="minorBidi" w:hAnsiTheme="minorBidi"/>
          <w:color w:val="000000"/>
          <w:rtl/>
        </w:rPr>
        <w:t>חת"ס</w:t>
      </w:r>
      <w:r w:rsidRPr="00351B7D">
        <w:rPr>
          <w:rFonts w:asciiTheme="minorBidi" w:hAnsiTheme="minorBidi"/>
          <w:color w:val="000000"/>
          <w:sz w:val="16"/>
          <w:szCs w:val="16"/>
          <w:rtl/>
        </w:rPr>
        <w:t xml:space="preserve"> (סי' צח)</w:t>
      </w:r>
      <w:r w:rsidRPr="00351B7D">
        <w:rPr>
          <w:rFonts w:asciiTheme="minorBidi" w:hAnsiTheme="minorBidi"/>
          <w:rtl/>
        </w:rPr>
        <w:t>- מדברי מהר"ם מינץ</w:t>
      </w:r>
      <w:r w:rsidRPr="00351B7D">
        <w:rPr>
          <w:rFonts w:asciiTheme="minorBidi" w:hAnsiTheme="minorBidi"/>
          <w:color w:val="000000"/>
          <w:sz w:val="16"/>
          <w:szCs w:val="16"/>
          <w:rtl/>
        </w:rPr>
        <w:t xml:space="preserve"> (סי' קט)</w:t>
      </w:r>
      <w:r w:rsidRPr="00351B7D">
        <w:rPr>
          <w:rFonts w:asciiTheme="minorBidi" w:hAnsiTheme="minorBidi"/>
          <w:rtl/>
        </w:rPr>
        <w:t xml:space="preserve"> משמע שהיו רגילין לעשות החופה בבהכ"נ </w:t>
      </w:r>
      <w:r w:rsidRPr="00351B7D">
        <w:rPr>
          <w:rFonts w:asciiTheme="minorBidi" w:hAnsiTheme="minorBidi"/>
          <w:sz w:val="16"/>
          <w:szCs w:val="16"/>
          <w:rtl/>
        </w:rPr>
        <w:t>(וכ"מ ביו"ד סי' שצא ס"ג בהגה ועב"ש לעיל סי' ל' סק"ט)</w:t>
      </w:r>
      <w:r w:rsidRPr="00351B7D">
        <w:rPr>
          <w:rFonts w:asciiTheme="minorBidi" w:hAnsiTheme="minorBidi"/>
          <w:rtl/>
        </w:rPr>
        <w:t xml:space="preserve"> אך זה הוא לפי המנהג שהזכיר מהר"ם מינץ שם שעושין מקודם חופה אחת בשחרית בחצר בהכ"נ תחת השמים </w:t>
      </w:r>
      <w:r w:rsidRPr="00351B7D">
        <w:rPr>
          <w:rFonts w:asciiTheme="minorBidi" w:hAnsiTheme="minorBidi"/>
          <w:sz w:val="16"/>
          <w:szCs w:val="16"/>
          <w:rtl/>
        </w:rPr>
        <w:t xml:space="preserve">(הנקרא חופת מאיי"ן והוא נהוג גם עתה בפ"פ דמיין ובכל פרוודהא) </w:t>
      </w:r>
      <w:r w:rsidRPr="00351B7D">
        <w:rPr>
          <w:rFonts w:asciiTheme="minorBidi" w:hAnsiTheme="minorBidi"/>
          <w:rtl/>
        </w:rPr>
        <w:t>אבל במדינות אלו שלא נהגו מעולם בחופת מאיי"ן יש לעשות החופה של כלונסאות בחצר בהכ"נ תחת השמים לסימן ברכה, ובהא סלקינן כל ישראל יוצאים ביד רמ"א להעמיד החופה תחת השמים לסימנא טבא להתקיים ברכת אברהם, ואשר לא חפץ בברכה ונרחק ממנו מתכוון ללמוד מדרכי אומות כו' והמתאווים לברכת אבותם יהיו צאצאיהם כמותם.</w:t>
      </w:r>
    </w:p>
    <w:p w14:paraId="56D9AFEB" w14:textId="77777777" w:rsidR="008E16D0" w:rsidRPr="00351B7D" w:rsidRDefault="008E16D0" w:rsidP="008E16D0">
      <w:pPr>
        <w:rPr>
          <w:rFonts w:asciiTheme="minorBidi" w:hAnsiTheme="minorBidi"/>
          <w:color w:val="000000"/>
          <w:rtl/>
        </w:rPr>
      </w:pPr>
    </w:p>
    <w:p w14:paraId="783E9FB6" w14:textId="77777777" w:rsidR="008E16D0" w:rsidRPr="00351B7D" w:rsidRDefault="008E16D0" w:rsidP="008E16D0">
      <w:pPr>
        <w:pStyle w:val="2"/>
        <w:rPr>
          <w:rFonts w:asciiTheme="minorBidi" w:hAnsiTheme="minorBidi"/>
          <w:rtl/>
        </w:rPr>
      </w:pPr>
      <w:r w:rsidRPr="00351B7D">
        <w:rPr>
          <w:rFonts w:asciiTheme="minorBidi" w:hAnsiTheme="minorBidi"/>
          <w:rtl/>
        </w:rPr>
        <w:t>סעיף ב: חופת נדה בזמן הזה.</w:t>
      </w:r>
    </w:p>
    <w:p w14:paraId="1582050D" w14:textId="77777777" w:rsidR="008E16D0" w:rsidRPr="00351B7D" w:rsidRDefault="008E16D0" w:rsidP="008E16D0">
      <w:pPr>
        <w:rPr>
          <w:rFonts w:asciiTheme="minorBidi" w:hAnsiTheme="minorBidi"/>
          <w:u w:val="single"/>
          <w:rtl/>
        </w:rPr>
      </w:pPr>
      <w:r w:rsidRPr="00351B7D">
        <w:rPr>
          <w:rFonts w:asciiTheme="minorBidi" w:hAnsiTheme="minorBidi"/>
          <w:u w:val="single"/>
          <w:rtl/>
        </w:rPr>
        <w:t>ברכת חתנים לכלה נדה:</w:t>
      </w:r>
    </w:p>
    <w:p w14:paraId="380887FC" w14:textId="77777777" w:rsidR="008E16D0" w:rsidRPr="00351B7D" w:rsidRDefault="008E16D0" w:rsidP="00A8697F">
      <w:pPr>
        <w:pStyle w:val="ab"/>
        <w:numPr>
          <w:ilvl w:val="0"/>
          <w:numId w:val="75"/>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מהל' אישות ה"ו)</w:t>
      </w:r>
      <w:r w:rsidRPr="00351B7D">
        <w:rPr>
          <w:rFonts w:asciiTheme="minorBidi" w:hAnsiTheme="minorBidi"/>
          <w:rtl/>
        </w:rPr>
        <w:t>- "ולא תנשא נדה עד שתטהר</w:t>
      </w:r>
      <w:r w:rsidRPr="00351B7D">
        <w:rPr>
          <w:rStyle w:val="a7"/>
          <w:rFonts w:asciiTheme="minorBidi" w:hAnsiTheme="minorBidi"/>
          <w:rtl/>
        </w:rPr>
        <w:footnoteReference w:id="609"/>
      </w:r>
      <w:r w:rsidRPr="00351B7D">
        <w:rPr>
          <w:rFonts w:asciiTheme="minorBidi" w:hAnsiTheme="minorBidi"/>
          <w:rtl/>
        </w:rPr>
        <w:t>, ואין מברכין לה ברכת חתנים עד שתטהר, ואם עבר ונשא וברך אינו חוזר ומברך".</w:t>
      </w:r>
    </w:p>
    <w:p w14:paraId="3A55943B" w14:textId="77777777" w:rsidR="008E16D0" w:rsidRPr="00351B7D" w:rsidRDefault="008E16D0" w:rsidP="00A8697F">
      <w:pPr>
        <w:pStyle w:val="ab"/>
        <w:numPr>
          <w:ilvl w:val="0"/>
          <w:numId w:val="75"/>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(כתובות פ"ה ס"ו)</w:t>
      </w:r>
      <w:r w:rsidRPr="00351B7D">
        <w:rPr>
          <w:rFonts w:asciiTheme="minorBidi" w:hAnsiTheme="minorBidi"/>
          <w:rtl/>
        </w:rPr>
        <w:t>- המכניס נדה לחופה הרי זו חופה לכל דבר</w:t>
      </w:r>
      <w:r w:rsidRPr="00351B7D">
        <w:rPr>
          <w:rFonts w:asciiTheme="minorBidi" w:hAnsiTheme="minorBidi"/>
          <w:sz w:val="16"/>
          <w:szCs w:val="16"/>
          <w:rtl/>
        </w:rPr>
        <w:t xml:space="preserve"> (חוץ מתוספת כתובה)</w:t>
      </w:r>
      <w:r w:rsidRPr="00351B7D">
        <w:rPr>
          <w:rFonts w:asciiTheme="minorBidi" w:hAnsiTheme="minorBidi"/>
          <w:rtl/>
        </w:rPr>
        <w:t>,</w:t>
      </w:r>
      <w:r w:rsidRPr="00351B7D">
        <w:rPr>
          <w:rFonts w:asciiTheme="minorBidi" w:hAnsiTheme="minorBidi"/>
          <w:sz w:val="16"/>
          <w:szCs w:val="16"/>
          <w:rtl/>
        </w:rPr>
        <w:t xml:space="preserve"> </w:t>
      </w:r>
      <w:r w:rsidRPr="00351B7D">
        <w:rPr>
          <w:rFonts w:asciiTheme="minorBidi" w:hAnsiTheme="minorBidi"/>
          <w:rtl/>
        </w:rPr>
        <w:t xml:space="preserve">וכן ראיתי בכל המקומות שאינן חוששין לברך ברכת חתנים לכלה נדה אבל אינה נכנסת עמו לסתר אלא הוא ישן בין האנשים והיא ישנה בין הנשים. </w:t>
      </w:r>
      <w:r w:rsidRPr="00351B7D">
        <w:rPr>
          <w:rFonts w:asciiTheme="minorBidi" w:hAnsiTheme="minorBidi"/>
          <w:color w:val="00B0F0"/>
          <w:rtl/>
        </w:rPr>
        <w:t>(וכ"פ הרמ"א)</w:t>
      </w:r>
    </w:p>
    <w:p w14:paraId="0024726E" w14:textId="77777777" w:rsidR="008E16D0" w:rsidRPr="00351B7D" w:rsidRDefault="008E16D0" w:rsidP="008E16D0">
      <w:pPr>
        <w:rPr>
          <w:rFonts w:asciiTheme="minorBidi" w:hAnsiTheme="minorBidi"/>
          <w:u w:val="single"/>
        </w:rPr>
      </w:pPr>
      <w:r w:rsidRPr="00351B7D">
        <w:rPr>
          <w:rFonts w:asciiTheme="minorBidi" w:hAnsiTheme="minorBidi"/>
          <w:u w:val="single"/>
          <w:rtl/>
        </w:rPr>
        <w:t>האם מותר לכתחילה לעשות נישואין כשהכלה נדה:</w:t>
      </w:r>
    </w:p>
    <w:p w14:paraId="11469505" w14:textId="77777777" w:rsidR="008E16D0" w:rsidRPr="00351B7D" w:rsidRDefault="008E16D0" w:rsidP="00A8697F">
      <w:pPr>
        <w:pStyle w:val="ab"/>
        <w:numPr>
          <w:ilvl w:val="0"/>
          <w:numId w:val="75"/>
        </w:numPr>
        <w:rPr>
          <w:rFonts w:asciiTheme="minorBidi" w:hAnsiTheme="minorBidi"/>
          <w:u w:val="single"/>
        </w:rPr>
      </w:pPr>
      <w:r w:rsidRPr="00351B7D">
        <w:rPr>
          <w:rFonts w:asciiTheme="minorBidi" w:hAnsiTheme="minorBidi"/>
          <w:rtl/>
        </w:rPr>
        <w:t>הגה"מ</w:t>
      </w:r>
      <w:r w:rsidRPr="00351B7D">
        <w:rPr>
          <w:rFonts w:asciiTheme="minorBidi" w:hAnsiTheme="minorBidi"/>
          <w:sz w:val="16"/>
          <w:szCs w:val="16"/>
          <w:rtl/>
        </w:rPr>
        <w:t xml:space="preserve"> (פי"א מאי"ב ה"י) </w:t>
      </w:r>
      <w:r w:rsidRPr="00351B7D">
        <w:rPr>
          <w:rFonts w:asciiTheme="minorBidi" w:hAnsiTheme="minorBidi"/>
          <w:rtl/>
        </w:rPr>
        <w:t>בשם סמ"ק</w:t>
      </w:r>
      <w:r w:rsidRPr="00351B7D">
        <w:rPr>
          <w:rStyle w:val="a7"/>
          <w:rFonts w:asciiTheme="minorBidi" w:hAnsiTheme="minorBidi"/>
          <w:rtl/>
        </w:rPr>
        <w:footnoteReference w:id="610"/>
      </w:r>
      <w:r w:rsidRPr="00351B7D">
        <w:rPr>
          <w:rFonts w:asciiTheme="minorBidi" w:hAnsiTheme="minorBidi"/>
          <w:rtl/>
        </w:rPr>
        <w:t>- "עתה אנו מתירים לכנוס נדות רק שיודיעו לחתן מטעם שאנו עתה מתי מעט במקום אחד ויש לחוש שמא יקדמנו אחר</w:t>
      </w:r>
      <w:r w:rsidRPr="00351B7D">
        <w:rPr>
          <w:rStyle w:val="a7"/>
          <w:rFonts w:asciiTheme="minorBidi" w:hAnsiTheme="minorBidi"/>
          <w:rtl/>
        </w:rPr>
        <w:footnoteReference w:id="611"/>
      </w:r>
      <w:r w:rsidRPr="00351B7D">
        <w:rPr>
          <w:rFonts w:asciiTheme="minorBidi" w:hAnsiTheme="minorBidi"/>
          <w:rtl/>
        </w:rPr>
        <w:t>". (וכ"כ הח"מ</w:t>
      </w:r>
      <w:r w:rsidRPr="00351B7D">
        <w:rPr>
          <w:rFonts w:asciiTheme="minorBidi" w:hAnsiTheme="minorBidi"/>
          <w:sz w:val="16"/>
          <w:szCs w:val="16"/>
          <w:rtl/>
        </w:rPr>
        <w:t xml:space="preserve"> [סק"ז]</w:t>
      </w:r>
      <w:r w:rsidRPr="00351B7D">
        <w:rPr>
          <w:rFonts w:asciiTheme="minorBidi" w:hAnsiTheme="minorBidi"/>
          <w:rtl/>
        </w:rPr>
        <w:t>)</w:t>
      </w:r>
    </w:p>
    <w:p w14:paraId="5BCF96FD" w14:textId="77777777" w:rsidR="008E16D0" w:rsidRPr="00351B7D" w:rsidRDefault="008E16D0" w:rsidP="008E16D0">
      <w:pPr>
        <w:rPr>
          <w:rFonts w:asciiTheme="minorBidi" w:hAnsiTheme="minorBidi"/>
          <w:u w:val="single"/>
        </w:rPr>
      </w:pPr>
      <w:r w:rsidRPr="00351B7D">
        <w:rPr>
          <w:rFonts w:asciiTheme="minorBidi" w:hAnsiTheme="minorBidi"/>
          <w:u w:val="single"/>
          <w:rtl/>
        </w:rPr>
        <w:t>לפי מה שנוהגים בזמן הזה, לעשות חופה בלא ייחוד, האם אפשר להכניס כלה נדה לחופה:</w:t>
      </w:r>
    </w:p>
    <w:p w14:paraId="45E05CA1" w14:textId="77777777" w:rsidR="008E16D0" w:rsidRPr="00351B7D" w:rsidRDefault="008E16D0" w:rsidP="00A8697F">
      <w:pPr>
        <w:pStyle w:val="ab"/>
        <w:numPr>
          <w:ilvl w:val="0"/>
          <w:numId w:val="75"/>
        </w:numPr>
        <w:rPr>
          <w:rFonts w:asciiTheme="minorBidi" w:hAnsiTheme="minorBidi"/>
        </w:rPr>
      </w:pPr>
      <w:r w:rsidRPr="00351B7D">
        <w:rPr>
          <w:rFonts w:asciiTheme="minorBidi" w:hAnsiTheme="minorBidi"/>
          <w:rtl/>
        </w:rPr>
        <w:t xml:space="preserve">ר"ן </w:t>
      </w:r>
      <w:r w:rsidRPr="00351B7D">
        <w:rPr>
          <w:rFonts w:asciiTheme="minorBidi" w:hAnsiTheme="minorBidi"/>
          <w:sz w:val="16"/>
          <w:szCs w:val="16"/>
          <w:rtl/>
        </w:rPr>
        <w:t>(כתובות א. ד"ה או)</w:t>
      </w:r>
      <w:r w:rsidRPr="00351B7D">
        <w:rPr>
          <w:rFonts w:asciiTheme="minorBidi" w:hAnsiTheme="minorBidi"/>
          <w:rtl/>
        </w:rPr>
        <w:t>- לפי שאנו נוהגים עכשיו לעשות חופה בלא ייחוד אין אנו מקפידים אם היא נדה או לאו, ומ"מ כשר הדבר שלא תכנס לחופה עד שתטהר.</w:t>
      </w:r>
      <w:r w:rsidRPr="00351B7D">
        <w:rPr>
          <w:rFonts w:asciiTheme="minorBidi" w:hAnsiTheme="minorBidi"/>
          <w:color w:val="E36C0A" w:themeColor="accent6" w:themeShade="BF"/>
          <w:rtl/>
        </w:rPr>
        <w:t xml:space="preserve"> (וכ"פ בשו"ע)</w:t>
      </w:r>
    </w:p>
    <w:p w14:paraId="4B4E6E0B" w14:textId="77777777" w:rsidR="008E16D0" w:rsidRPr="00351B7D" w:rsidRDefault="008E16D0" w:rsidP="00A8697F">
      <w:pPr>
        <w:pStyle w:val="ab"/>
        <w:numPr>
          <w:ilvl w:val="1"/>
          <w:numId w:val="75"/>
        </w:numPr>
        <w:rPr>
          <w:rFonts w:asciiTheme="minorBidi" w:hAnsiTheme="minorBidi"/>
        </w:rPr>
      </w:pPr>
      <w:r w:rsidRPr="00351B7D">
        <w:rPr>
          <w:rFonts w:asciiTheme="minorBidi" w:hAnsiTheme="minorBidi"/>
          <w:rtl/>
        </w:rPr>
        <w:t xml:space="preserve">ערוך השולחן </w:t>
      </w:r>
      <w:r w:rsidRPr="00351B7D">
        <w:rPr>
          <w:rFonts w:asciiTheme="minorBidi" w:hAnsiTheme="minorBidi"/>
          <w:sz w:val="16"/>
          <w:szCs w:val="16"/>
          <w:rtl/>
        </w:rPr>
        <w:t>(סע' יא)</w:t>
      </w:r>
      <w:r w:rsidRPr="00351B7D">
        <w:rPr>
          <w:rFonts w:asciiTheme="minorBidi" w:hAnsiTheme="minorBidi"/>
          <w:rtl/>
        </w:rPr>
        <w:t>- "לענ"ד לא פליגי כלל הפוסקים עם הרמב"ם לפמ"ש בסי' נה</w:t>
      </w:r>
      <w:r w:rsidRPr="00351B7D">
        <w:rPr>
          <w:rStyle w:val="a7"/>
          <w:rFonts w:asciiTheme="minorBidi" w:hAnsiTheme="minorBidi"/>
          <w:rtl/>
        </w:rPr>
        <w:footnoteReference w:id="612"/>
      </w:r>
      <w:r w:rsidRPr="00351B7D">
        <w:rPr>
          <w:rFonts w:asciiTheme="minorBidi" w:hAnsiTheme="minorBidi"/>
          <w:rtl/>
        </w:rPr>
        <w:t>, דלהרמב"ם עיקר החופה הוא הביאה לשם נשואין או יחוד לשם נשואין, ובזה פשיטא שלא יחלוק שום אדם דיחוד לא מקרי אלא בראויה לביאה ועוד דכשהיא טמאה הרי הוא אסור להתייחד עמה, ולשארי הפוסקים דחופה הוא הבאה לביתו לשם נשואין או אפריון או כיסוי סודר על ראש הכלה או כחופות שלנו ולא בעינן כלל יחוד הראוי לביאה א"כ לא חיישינן מה שהיא טמאה, ולכן לפי מה שבארנו שם דגם הרמב"ם יודה לכל החופות לא פליגי כלל".</w:t>
      </w:r>
    </w:p>
    <w:p w14:paraId="1AE088DF"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EF8391" w14:textId="77777777" w:rsidR="008E16D0" w:rsidRPr="00351B7D" w:rsidRDefault="008E16D0" w:rsidP="008E16D0">
      <w:pPr>
        <w:rPr>
          <w:rFonts w:asciiTheme="minorBidi" w:hAnsiTheme="minorBidi"/>
          <w:rtl/>
        </w:rPr>
      </w:pPr>
      <w:r w:rsidRPr="00351B7D">
        <w:rPr>
          <w:rStyle w:val="a7"/>
          <w:rFonts w:asciiTheme="minorBidi" w:hAnsiTheme="minorBidi"/>
          <w:color w:val="000000"/>
          <w:rtl/>
        </w:rPr>
        <w:lastRenderedPageBreak/>
        <w:footnoteReference w:id="613"/>
      </w:r>
      <w:r w:rsidRPr="00351B7D">
        <w:rPr>
          <w:rFonts w:asciiTheme="minorBidi" w:hAnsiTheme="minorBidi"/>
          <w:rtl/>
        </w:rPr>
        <w:t>כשר הדבר שלא תנשא עד שתטהר.</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(ועכשיו המנהג שלא לדקדק ואין ממתינין, ומכל מקום טוב להודיע</w:t>
      </w:r>
      <w:r w:rsidRPr="00351B7D">
        <w:rPr>
          <w:rStyle w:val="a7"/>
          <w:rFonts w:asciiTheme="minorBidi" w:hAnsiTheme="minorBidi"/>
          <w:color w:val="000000"/>
          <w:sz w:val="18"/>
          <w:szCs w:val="18"/>
          <w:rtl/>
        </w:rPr>
        <w:footnoteReference w:id="614"/>
      </w:r>
      <w:r w:rsidRPr="00351B7D">
        <w:rPr>
          <w:rFonts w:asciiTheme="minorBidi" w:hAnsiTheme="minorBidi"/>
          <w:color w:val="000000"/>
          <w:sz w:val="18"/>
          <w:szCs w:val="18"/>
          <w:rtl/>
        </w:rPr>
        <w:t xml:space="preserve"> לחתן תחלה שהיא נדה</w:t>
      </w:r>
      <w:r w:rsidRPr="00351B7D">
        <w:rPr>
          <w:rStyle w:val="a7"/>
          <w:rFonts w:asciiTheme="minorBidi" w:hAnsiTheme="minorBidi"/>
          <w:color w:val="000000"/>
          <w:sz w:val="18"/>
          <w:szCs w:val="18"/>
          <w:rtl/>
        </w:rPr>
        <w:footnoteReference w:id="615"/>
      </w:r>
      <w:r w:rsidRPr="00351B7D">
        <w:rPr>
          <w:rFonts w:asciiTheme="minorBidi" w:hAnsiTheme="minorBidi"/>
          <w:color w:val="000000"/>
          <w:sz w:val="18"/>
          <w:szCs w:val="18"/>
          <w:rtl/>
        </w:rPr>
        <w:t xml:space="preserve"> (מרדכי בשם ר"י)).</w:t>
      </w:r>
    </w:p>
    <w:p w14:paraId="29972021" w14:textId="77777777" w:rsidR="008E16D0" w:rsidRPr="00351B7D" w:rsidRDefault="008E16D0" w:rsidP="008E16D0">
      <w:pPr>
        <w:rPr>
          <w:rFonts w:asciiTheme="minorBidi" w:hAnsiTheme="minorBidi"/>
          <w:rtl/>
        </w:rPr>
      </w:pPr>
    </w:p>
    <w:p w14:paraId="25B84C49" w14:textId="77777777" w:rsidR="008E16D0" w:rsidRPr="00351B7D" w:rsidRDefault="008E16D0" w:rsidP="008E16D0">
      <w:pPr>
        <w:rPr>
          <w:rFonts w:asciiTheme="minorBidi" w:hAnsiTheme="minorBidi"/>
          <w:rtl/>
        </w:rPr>
      </w:pPr>
    </w:p>
    <w:p w14:paraId="2A534C23" w14:textId="77777777" w:rsidR="008E16D0" w:rsidRPr="00351B7D" w:rsidRDefault="008E16D0" w:rsidP="008E16D0">
      <w:pPr>
        <w:rPr>
          <w:rFonts w:asciiTheme="minorBidi" w:hAnsiTheme="minorBidi"/>
          <w:rtl/>
        </w:rPr>
      </w:pPr>
    </w:p>
    <w:p w14:paraId="589C965B" w14:textId="77777777" w:rsidR="008E16D0" w:rsidRPr="00351B7D" w:rsidRDefault="008E16D0" w:rsidP="008E16D0">
      <w:pPr>
        <w:rPr>
          <w:rFonts w:asciiTheme="minorBidi" w:hAnsiTheme="minorBidi"/>
          <w:rtl/>
        </w:rPr>
      </w:pPr>
    </w:p>
    <w:p w14:paraId="0A411161" w14:textId="77777777" w:rsidR="008E16D0" w:rsidRPr="00351B7D" w:rsidRDefault="008E16D0" w:rsidP="008E16D0">
      <w:pPr>
        <w:rPr>
          <w:rFonts w:asciiTheme="minorBidi" w:hAnsiTheme="minorBidi"/>
          <w:rtl/>
        </w:rPr>
      </w:pPr>
    </w:p>
    <w:p w14:paraId="2BF5F0C9" w14:textId="77777777" w:rsidR="004B1524" w:rsidRDefault="004B1524" w:rsidP="008E16D0">
      <w:pPr>
        <w:pStyle w:val="1"/>
        <w:rPr>
          <w:rFonts w:asciiTheme="minorBidi" w:hAnsiTheme="minorBidi"/>
          <w:rtl/>
        </w:rPr>
        <w:sectPr w:rsidR="004B1524" w:rsidSect="00A347B3">
          <w:headerReference w:type="default" r:id="rId16"/>
          <w:footnotePr>
            <w:numRestart w:val="eachPage"/>
          </w:footnotePr>
          <w:pgSz w:w="11906" w:h="16838"/>
          <w:pgMar w:top="720" w:right="1134" w:bottom="720" w:left="1134" w:header="0" w:footer="0" w:gutter="0"/>
          <w:cols w:space="720"/>
          <w:bidi/>
          <w:rtlGutter/>
          <w:docGrid w:linePitch="360"/>
        </w:sectPr>
      </w:pPr>
    </w:p>
    <w:p w14:paraId="7D44746D" w14:textId="182058A8"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סב</w:t>
      </w:r>
      <w:r w:rsidRPr="00351B7D">
        <w:rPr>
          <w:rFonts w:asciiTheme="minorBidi" w:hAnsiTheme="minorBidi"/>
        </w:rPr>
        <w:t xml:space="preserve"> </w:t>
      </w:r>
      <w:r w:rsidRPr="00351B7D">
        <w:rPr>
          <w:rFonts w:asciiTheme="minorBidi" w:hAnsiTheme="minorBidi"/>
          <w:rtl/>
        </w:rPr>
        <w:t xml:space="preserve">: מתי מברכין ברכת חתנים, ואם אוכלין בהרבה בתים, ובו י"ג סעיפים. </w:t>
      </w:r>
    </w:p>
    <w:p w14:paraId="463370A9" w14:textId="77777777" w:rsidR="008E16D0" w:rsidRPr="00351B7D" w:rsidRDefault="008E16D0" w:rsidP="008E16D0">
      <w:pPr>
        <w:pStyle w:val="2"/>
        <w:rPr>
          <w:rFonts w:asciiTheme="minorBidi" w:hAnsiTheme="minorBidi"/>
          <w:rtl/>
        </w:rPr>
      </w:pPr>
      <w:r w:rsidRPr="00351B7D">
        <w:rPr>
          <w:rFonts w:asciiTheme="minorBidi" w:hAnsiTheme="minorBidi"/>
          <w:rtl/>
        </w:rPr>
        <w:t xml:space="preserve">סעיף א: ברכת חתנים </w:t>
      </w:r>
      <w:r w:rsidRPr="00351B7D">
        <w:rPr>
          <w:rFonts w:asciiTheme="minorBidi" w:hAnsiTheme="minorBidi"/>
          <w:sz w:val="20"/>
          <w:szCs w:val="20"/>
          <w:rtl/>
        </w:rPr>
        <w:t>(ברכת נישואין בלשוננו)</w:t>
      </w:r>
      <w:r w:rsidRPr="00351B7D">
        <w:rPr>
          <w:rFonts w:asciiTheme="minorBidi" w:hAnsiTheme="minorBidi"/>
          <w:rtl/>
        </w:rPr>
        <w:t xml:space="preserve"> וברכה על הכוס.</w:t>
      </w:r>
    </w:p>
    <w:p w14:paraId="3E75CEFF"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ז ע"ב: </w:t>
      </w:r>
      <w:r w:rsidRPr="00351B7D">
        <w:rPr>
          <w:rFonts w:asciiTheme="minorBidi" w:hAnsiTheme="minorBidi"/>
          <w:rtl/>
        </w:rPr>
        <w:t>תניא אידך: מברכין ברכת חתנים בבית חתנים</w:t>
      </w:r>
      <w:r w:rsidRPr="00351B7D">
        <w:rPr>
          <w:rStyle w:val="a7"/>
          <w:rFonts w:asciiTheme="minorBidi" w:hAnsiTheme="minorBidi"/>
          <w:rtl/>
        </w:rPr>
        <w:footnoteReference w:id="616"/>
      </w:r>
      <w:r w:rsidRPr="00351B7D">
        <w:rPr>
          <w:rFonts w:asciiTheme="minorBidi" w:hAnsiTheme="minorBidi"/>
          <w:rtl/>
        </w:rPr>
        <w:t xml:space="preserve">... מאי מברך? </w:t>
      </w:r>
      <w:r w:rsidRPr="00351B7D">
        <w:rPr>
          <w:rFonts w:asciiTheme="minorBidi" w:hAnsiTheme="minorBidi"/>
          <w:u w:val="single"/>
          <w:rtl/>
        </w:rPr>
        <w:t>אמר רב יהודה</w:t>
      </w:r>
      <w:r w:rsidRPr="00351B7D">
        <w:rPr>
          <w:rStyle w:val="a7"/>
          <w:rFonts w:asciiTheme="minorBidi" w:hAnsiTheme="minorBidi"/>
          <w:rtl/>
        </w:rPr>
        <w:footnoteReference w:id="617"/>
      </w:r>
      <w:r w:rsidRPr="00351B7D">
        <w:rPr>
          <w:rFonts w:asciiTheme="minorBidi" w:hAnsiTheme="minorBidi"/>
          <w:rtl/>
        </w:rPr>
        <w:t>: בא"י אמ"ה שהכל ברא לכבודו. ויוצר האדם. ואשר יצר את האדם בצלמו בצלם דמות תבניתו והתקין לו ממנו בנין עדי עד ברוך אתה ה' יוצר האדם. שוש תשיש ותגל העקרה בקבוץ בניה לתוכה בשמחה ברוך אתה ה' משמח ציון בבניה. שמח תשמח ריעים האהובים כשמחך יצירך בגן עדן מקדם ברוך אתה ה' משמח חתן וכלה. ברוך אתה ה' אמ"ה אשר ברא ששון ושמחה חתן וכלה גילה, רינה דיצה חדוה אהבה ואחוה ושלום וריעות, מהרה ה' אלהינו ישמע בערי יהודה ובחוצות ירושלים קול ששון וקול שמחה קול חתן וקול כלה קול מצהלות חתנים מחופתם ונערים ממשתה נגינתם בא"י משמח חתן עם הכלה.</w:t>
      </w:r>
    </w:p>
    <w:p w14:paraId="4892F10A"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מתי מברכים את ברכת החתנים- לפני החופה או בחופה עצמה:</w:t>
      </w:r>
    </w:p>
    <w:p w14:paraId="4835F5C2" w14:textId="77777777" w:rsidR="008E16D0" w:rsidRPr="00351B7D" w:rsidRDefault="008E16D0" w:rsidP="00A8697F">
      <w:pPr>
        <w:pStyle w:val="ab"/>
        <w:numPr>
          <w:ilvl w:val="0"/>
          <w:numId w:val="76"/>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 xml:space="preserve">(פ"י מה"א ה"ג) </w:t>
      </w:r>
      <w:r w:rsidRPr="00351B7D">
        <w:rPr>
          <w:rFonts w:asciiTheme="minorBidi" w:hAnsiTheme="minorBidi"/>
          <w:rtl/>
        </w:rPr>
        <w:t>רמב"ן</w:t>
      </w:r>
      <w:r w:rsidRPr="00351B7D">
        <w:rPr>
          <w:rFonts w:asciiTheme="minorBidi" w:hAnsiTheme="minorBidi"/>
          <w:sz w:val="16"/>
          <w:szCs w:val="16"/>
          <w:rtl/>
        </w:rPr>
        <w:t xml:space="preserve"> (פסחים ז: ד"ה והוי) </w:t>
      </w:r>
      <w:r w:rsidRPr="00351B7D">
        <w:rPr>
          <w:rFonts w:asciiTheme="minorBidi" w:hAnsiTheme="minorBidi"/>
          <w:rtl/>
        </w:rPr>
        <w:t>וטור- קודם כניסה לחופה</w:t>
      </w:r>
      <w:r w:rsidRPr="00351B7D">
        <w:rPr>
          <w:rStyle w:val="a7"/>
          <w:rFonts w:asciiTheme="minorBidi" w:hAnsiTheme="minorBidi"/>
          <w:rtl/>
        </w:rPr>
        <w:footnoteReference w:id="618"/>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5921E73F" w14:textId="77777777" w:rsidR="008E16D0" w:rsidRPr="00351B7D" w:rsidRDefault="008E16D0" w:rsidP="00A8697F">
      <w:pPr>
        <w:pStyle w:val="ab"/>
        <w:numPr>
          <w:ilvl w:val="0"/>
          <w:numId w:val="76"/>
        </w:numPr>
        <w:rPr>
          <w:rFonts w:asciiTheme="minorBidi" w:hAnsiTheme="minorBidi"/>
        </w:rPr>
      </w:pPr>
      <w:r w:rsidRPr="00351B7D">
        <w:rPr>
          <w:rFonts w:asciiTheme="minorBidi" w:hAnsiTheme="minorBidi"/>
          <w:rtl/>
        </w:rPr>
        <w:t>בה"ג ור"ן</w:t>
      </w:r>
      <w:r w:rsidRPr="00351B7D">
        <w:rPr>
          <w:rStyle w:val="a7"/>
          <w:rFonts w:asciiTheme="minorBidi" w:hAnsiTheme="minorBidi"/>
          <w:rtl/>
        </w:rPr>
        <w:footnoteReference w:id="619"/>
      </w:r>
      <w:r w:rsidRPr="00351B7D">
        <w:rPr>
          <w:rFonts w:asciiTheme="minorBidi" w:hAnsiTheme="minorBidi"/>
          <w:rtl/>
        </w:rPr>
        <w:t xml:space="preserve">- </w:t>
      </w:r>
      <w:r w:rsidRPr="00351B7D">
        <w:rPr>
          <w:rFonts w:asciiTheme="minorBidi" w:hAnsiTheme="minorBidi"/>
          <w:color w:val="000000"/>
          <w:rtl/>
        </w:rPr>
        <w:t>נהגו שאין מברכין אלא לאחר שתכנס לחופה לפי שאין ברכות הללו אלא ברכות תפלה ושבח, תדע, שהרי מברכין אותם כל ז'</w:t>
      </w:r>
      <w:r w:rsidRPr="00351B7D">
        <w:rPr>
          <w:rFonts w:asciiTheme="minorBidi" w:hAnsiTheme="minorBidi"/>
          <w:color w:val="000000"/>
          <w:sz w:val="16"/>
          <w:szCs w:val="16"/>
          <w:rtl/>
        </w:rPr>
        <w:t xml:space="preserve"> (ל' הר"ן)</w:t>
      </w:r>
      <w:r w:rsidRPr="00351B7D">
        <w:rPr>
          <w:rStyle w:val="a7"/>
          <w:rFonts w:asciiTheme="minorBidi" w:hAnsiTheme="minorBidi"/>
          <w:rtl/>
        </w:rPr>
        <w:footnoteReference w:id="620"/>
      </w:r>
      <w:r w:rsidRPr="00351B7D">
        <w:rPr>
          <w:rFonts w:asciiTheme="minorBidi" w:hAnsiTheme="minorBidi"/>
          <w:rtl/>
        </w:rPr>
        <w:t xml:space="preserve">. </w:t>
      </w:r>
    </w:p>
    <w:p w14:paraId="04B13894"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חיוב סידור ברכת חתנים על הכוס:</w:t>
      </w:r>
      <w:r w:rsidRPr="00351B7D">
        <w:rPr>
          <w:rFonts w:asciiTheme="minorBidi" w:hAnsiTheme="minorBidi"/>
          <w:color w:val="000000"/>
          <w:sz w:val="16"/>
          <w:szCs w:val="16"/>
          <w:rtl/>
        </w:rPr>
        <w:t xml:space="preserve">     </w:t>
      </w:r>
    </w:p>
    <w:p w14:paraId="1DD42D55" w14:textId="77777777" w:rsidR="008E16D0" w:rsidRPr="00351B7D" w:rsidRDefault="008E16D0" w:rsidP="00A8697F">
      <w:pPr>
        <w:pStyle w:val="ab"/>
        <w:numPr>
          <w:ilvl w:val="0"/>
          <w:numId w:val="47"/>
        </w:numPr>
        <w:rPr>
          <w:rFonts w:asciiTheme="minorBidi" w:hAnsiTheme="minorBidi"/>
        </w:rPr>
      </w:pPr>
      <w:r w:rsidRPr="00351B7D">
        <w:rPr>
          <w:rFonts w:asciiTheme="minorBidi" w:hAnsiTheme="minorBidi"/>
          <w:rtl/>
        </w:rPr>
        <w:t>רבנו ניסים</w:t>
      </w:r>
      <w:r w:rsidRPr="00351B7D">
        <w:rPr>
          <w:rFonts w:asciiTheme="minorBidi" w:hAnsiTheme="minorBidi"/>
          <w:sz w:val="16"/>
          <w:szCs w:val="16"/>
          <w:rtl/>
        </w:rPr>
        <w:t xml:space="preserve"> (הביאוהו הרא"ש (כתובות סי' טז)  והטור)</w:t>
      </w:r>
      <w:r w:rsidRPr="00351B7D">
        <w:rPr>
          <w:rFonts w:asciiTheme="minorBidi" w:hAnsiTheme="minorBidi"/>
          <w:rtl/>
        </w:rPr>
        <w:t>- "אם הוא במקום שאין שם יין מצוי יקח צימוקים וישרה אותם במים ויסחוט אותם ויברך עליו ואם לא ימצא צמוקים יברך על השכר שהכל דלא סגי בלא כסא</w:t>
      </w:r>
      <w:r w:rsidRPr="00351B7D">
        <w:rPr>
          <w:rStyle w:val="a7"/>
          <w:rFonts w:asciiTheme="minorBidi" w:hAnsiTheme="minorBidi"/>
          <w:rtl/>
        </w:rPr>
        <w:footnoteReference w:id="621"/>
      </w:r>
      <w:r w:rsidRPr="00351B7D">
        <w:rPr>
          <w:rFonts w:asciiTheme="minorBidi" w:hAnsiTheme="minorBidi"/>
          <w:rtl/>
        </w:rPr>
        <w:t xml:space="preserve">... ברכת חתנים </w:t>
      </w:r>
      <w:r w:rsidRPr="00351B7D">
        <w:rPr>
          <w:rFonts w:asciiTheme="minorBidi" w:hAnsiTheme="minorBidi"/>
          <w:sz w:val="16"/>
          <w:szCs w:val="16"/>
          <w:rtl/>
        </w:rPr>
        <w:t xml:space="preserve">(מכיון) </w:t>
      </w:r>
      <w:r w:rsidRPr="00351B7D">
        <w:rPr>
          <w:rFonts w:asciiTheme="minorBidi" w:hAnsiTheme="minorBidi"/>
          <w:rtl/>
        </w:rPr>
        <w:t>שהיא ז' ברכות חייב לברך על הכוס בפה"ג, או שהכל על השכר אם לא ימצא יין כל עיקר".</w:t>
      </w:r>
    </w:p>
    <w:p w14:paraId="6FDBC5C1" w14:textId="77777777" w:rsidR="008E16D0" w:rsidRPr="00351B7D" w:rsidRDefault="008E16D0" w:rsidP="00A8697F">
      <w:pPr>
        <w:pStyle w:val="ab"/>
        <w:numPr>
          <w:ilvl w:val="0"/>
          <w:numId w:val="47"/>
        </w:numPr>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(פ"י ה"ד)</w:t>
      </w:r>
      <w:r w:rsidRPr="00351B7D">
        <w:rPr>
          <w:rFonts w:asciiTheme="minorBidi" w:hAnsiTheme="minorBidi"/>
          <w:rtl/>
        </w:rPr>
        <w:t>- "ואם היה שם יין</w:t>
      </w:r>
      <w:r w:rsidRPr="00351B7D">
        <w:rPr>
          <w:rStyle w:val="a7"/>
          <w:rFonts w:asciiTheme="minorBidi" w:hAnsiTheme="minorBidi"/>
          <w:rtl/>
        </w:rPr>
        <w:footnoteReference w:id="622"/>
      </w:r>
      <w:r w:rsidRPr="00351B7D">
        <w:rPr>
          <w:rFonts w:asciiTheme="minorBidi" w:hAnsiTheme="minorBidi"/>
          <w:rtl/>
        </w:rPr>
        <w:t xml:space="preserve"> מביאין כוס של יין ומברך על היין תחלה". </w:t>
      </w:r>
    </w:p>
    <w:p w14:paraId="5D3E7FF0"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BEF9B9" w14:textId="77777777" w:rsidR="008E16D0" w:rsidRPr="00351B7D" w:rsidRDefault="008E16D0" w:rsidP="008E16D0">
      <w:pPr>
        <w:rPr>
          <w:rFonts w:asciiTheme="minorBidi" w:hAnsiTheme="minorBidi"/>
          <w:rtl/>
        </w:rPr>
      </w:pPr>
      <w:r w:rsidRPr="00351B7D">
        <w:rPr>
          <w:rFonts w:asciiTheme="minorBidi" w:hAnsiTheme="minorBidi"/>
          <w:rtl/>
        </w:rPr>
        <w:lastRenderedPageBreak/>
        <w:t>צריך לברך ברכת חתנים בבית החתן קודם נשואין</w:t>
      </w:r>
      <w:r w:rsidRPr="00351B7D">
        <w:rPr>
          <w:rStyle w:val="a7"/>
          <w:rFonts w:asciiTheme="minorBidi" w:hAnsiTheme="minorBidi"/>
          <w:color w:val="000000"/>
          <w:rtl/>
        </w:rPr>
        <w:footnoteReference w:id="623"/>
      </w:r>
      <w:r w:rsidRPr="00351B7D">
        <w:rPr>
          <w:rFonts w:asciiTheme="minorBidi" w:hAnsiTheme="minorBidi"/>
          <w:rtl/>
        </w:rPr>
        <w:t xml:space="preserve"> והן שש ברכות, ואם יש שם יין מביא כוס יין ומברך על היין תחלה</w:t>
      </w:r>
      <w:r w:rsidRPr="00351B7D">
        <w:rPr>
          <w:rStyle w:val="a7"/>
          <w:rFonts w:asciiTheme="minorBidi" w:hAnsiTheme="minorBidi"/>
          <w:color w:val="000000"/>
          <w:rtl/>
        </w:rPr>
        <w:footnoteReference w:id="624"/>
      </w:r>
      <w:r w:rsidRPr="00351B7D">
        <w:rPr>
          <w:rFonts w:asciiTheme="minorBidi" w:hAnsiTheme="minorBidi"/>
          <w:rtl/>
        </w:rPr>
        <w:t xml:space="preserve"> ומסדר את כולם על הכוס ונמצא מברך ז' ברכות ואם אין יין מצוי יברך על השכר. </w:t>
      </w:r>
    </w:p>
    <w:p w14:paraId="567EF863"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מתי מברכים על הכוס בז' ברכות שלאחר ברהמ"ז:</w:t>
      </w:r>
    </w:p>
    <w:p w14:paraId="600BC10F" w14:textId="77777777" w:rsidR="008E16D0" w:rsidRPr="00351B7D" w:rsidRDefault="008E16D0" w:rsidP="00A8697F">
      <w:pPr>
        <w:pStyle w:val="ab"/>
        <w:numPr>
          <w:ilvl w:val="0"/>
          <w:numId w:val="126"/>
        </w:numPr>
        <w:rPr>
          <w:rFonts w:asciiTheme="minorBidi" w:hAnsiTheme="minorBidi"/>
          <w:rtl/>
        </w:rPr>
      </w:pPr>
      <w:r w:rsidRPr="00351B7D">
        <w:rPr>
          <w:rFonts w:asciiTheme="minorBidi" w:hAnsiTheme="minorBidi"/>
          <w:rtl/>
        </w:rPr>
        <w:t>תוס' רא"ש דרכ"מ בית הילל ב"ש ובאה"ט</w:t>
      </w:r>
      <w:r w:rsidRPr="00351B7D">
        <w:rPr>
          <w:rStyle w:val="a7"/>
          <w:rFonts w:asciiTheme="minorBidi" w:hAnsiTheme="minorBidi"/>
          <w:rtl/>
        </w:rPr>
        <w:footnoteReference w:id="625"/>
      </w:r>
      <w:r w:rsidRPr="00351B7D">
        <w:rPr>
          <w:rFonts w:asciiTheme="minorBidi" w:hAnsiTheme="minorBidi"/>
          <w:rtl/>
        </w:rPr>
        <w:t>- מברכים שש ברכות ואח"כ בפה"ג</w:t>
      </w:r>
      <w:r w:rsidRPr="00351B7D">
        <w:rPr>
          <w:rStyle w:val="a7"/>
          <w:rFonts w:asciiTheme="minorBidi" w:hAnsiTheme="minorBidi"/>
          <w:color w:val="000000"/>
          <w:rtl/>
        </w:rPr>
        <w:footnoteReference w:id="626"/>
      </w:r>
      <w:r w:rsidRPr="00351B7D">
        <w:rPr>
          <w:rFonts w:asciiTheme="minorBidi" w:hAnsiTheme="minorBidi"/>
          <w:rtl/>
        </w:rPr>
        <w:t xml:space="preserve">. </w:t>
      </w:r>
    </w:p>
    <w:p w14:paraId="3DFA4726" w14:textId="77777777" w:rsidR="008E16D0" w:rsidRPr="00351B7D" w:rsidRDefault="008E16D0" w:rsidP="00A8697F">
      <w:pPr>
        <w:pStyle w:val="ab"/>
        <w:numPr>
          <w:ilvl w:val="0"/>
          <w:numId w:val="126"/>
        </w:numPr>
        <w:rPr>
          <w:rFonts w:asciiTheme="minorBidi" w:hAnsiTheme="minorBidi"/>
          <w:rtl/>
        </w:rPr>
      </w:pPr>
      <w:r w:rsidRPr="00351B7D">
        <w:rPr>
          <w:rFonts w:asciiTheme="minorBidi" w:hAnsiTheme="minorBidi"/>
          <w:rtl/>
        </w:rPr>
        <w:t>רמ"ע מפאנו</w:t>
      </w:r>
      <w:r w:rsidRPr="00351B7D">
        <w:rPr>
          <w:rFonts w:asciiTheme="minorBidi" w:hAnsiTheme="minorBidi"/>
          <w:sz w:val="16"/>
          <w:szCs w:val="16"/>
          <w:rtl/>
        </w:rPr>
        <w:t xml:space="preserve"> (סוף סי' מ)</w:t>
      </w:r>
      <w:r w:rsidRPr="00351B7D">
        <w:rPr>
          <w:rFonts w:asciiTheme="minorBidi" w:hAnsiTheme="minorBidi"/>
          <w:rtl/>
        </w:rPr>
        <w:t>- מברכים בפה"ג תחילה ואח"כ את שש הברכות.</w:t>
      </w:r>
    </w:p>
    <w:p w14:paraId="45884975" w14:textId="77777777" w:rsidR="008E16D0" w:rsidRPr="00351B7D" w:rsidRDefault="008E16D0" w:rsidP="008E16D0">
      <w:pPr>
        <w:rPr>
          <w:rFonts w:asciiTheme="minorBidi" w:hAnsiTheme="minorBidi"/>
          <w:color w:val="000000"/>
          <w:u w:val="single"/>
          <w:rtl/>
        </w:rPr>
      </w:pPr>
      <w:r w:rsidRPr="00351B7D">
        <w:rPr>
          <w:rFonts w:asciiTheme="minorBidi" w:hAnsiTheme="minorBidi"/>
          <w:color w:val="000000"/>
          <w:u w:val="single"/>
          <w:rtl/>
        </w:rPr>
        <w:t>אסופת דינים:</w:t>
      </w:r>
      <w:r w:rsidRPr="00351B7D">
        <w:rPr>
          <w:rFonts w:asciiTheme="minorBidi" w:hAnsiTheme="minorBidi"/>
          <w:color w:val="000000"/>
          <w:sz w:val="16"/>
          <w:szCs w:val="16"/>
          <w:rtl/>
        </w:rPr>
        <w:t xml:space="preserve">  (באה"ט [סק"א וסק"ג] וערך לחם)</w:t>
      </w:r>
    </w:p>
    <w:p w14:paraId="1876E061" w14:textId="77777777" w:rsidR="008E16D0" w:rsidRPr="00351B7D" w:rsidRDefault="008E16D0" w:rsidP="00A8697F">
      <w:pPr>
        <w:pStyle w:val="ab"/>
        <w:numPr>
          <w:ilvl w:val="0"/>
          <w:numId w:val="78"/>
        </w:numPr>
        <w:rPr>
          <w:rFonts w:asciiTheme="minorBidi" w:hAnsiTheme="minorBidi"/>
        </w:rPr>
      </w:pPr>
      <w:r w:rsidRPr="00351B7D">
        <w:rPr>
          <w:rFonts w:asciiTheme="minorBidi" w:hAnsiTheme="minorBidi"/>
          <w:rtl/>
        </w:rPr>
        <w:t xml:space="preserve">מברכים ז' ברכות מעומד, ואפ"ל דהטעם הוא משום הברכה השביעית היא ברכת אשר ברא שבברכה זו יש ברכה לכללות ישראל </w:t>
      </w:r>
      <w:r w:rsidRPr="00351B7D">
        <w:rPr>
          <w:rFonts w:asciiTheme="minorBidi" w:hAnsiTheme="minorBidi"/>
          <w:color w:val="000000"/>
          <w:sz w:val="16"/>
          <w:szCs w:val="16"/>
          <w:rtl/>
        </w:rPr>
        <w:t xml:space="preserve">(ישמע בערי יהודה וכו') </w:t>
      </w:r>
      <w:r w:rsidRPr="00351B7D">
        <w:rPr>
          <w:rFonts w:asciiTheme="minorBidi" w:hAnsiTheme="minorBidi"/>
          <w:rtl/>
        </w:rPr>
        <w:t xml:space="preserve">וכשמברכים את ישראל צריך שיהא בעמידה כמו שדרשו </w:t>
      </w:r>
      <w:r w:rsidRPr="00351B7D">
        <w:rPr>
          <w:rFonts w:asciiTheme="minorBidi" w:hAnsiTheme="minorBidi"/>
          <w:color w:val="000000"/>
          <w:sz w:val="16"/>
          <w:szCs w:val="16"/>
          <w:rtl/>
        </w:rPr>
        <w:t xml:space="preserve">(סוטה לח.) </w:t>
      </w:r>
      <w:r w:rsidRPr="00351B7D">
        <w:rPr>
          <w:rFonts w:asciiTheme="minorBidi" w:hAnsiTheme="minorBidi"/>
          <w:color w:val="000000"/>
          <w:rtl/>
        </w:rPr>
        <w:t xml:space="preserve">כה תברכו </w:t>
      </w:r>
      <w:r w:rsidRPr="00351B7D">
        <w:rPr>
          <w:rFonts w:asciiTheme="minorBidi" w:hAnsiTheme="minorBidi"/>
          <w:color w:val="000000"/>
          <w:sz w:val="16"/>
          <w:szCs w:val="16"/>
          <w:rtl/>
        </w:rPr>
        <w:t>(במדבר ו כג)</w:t>
      </w:r>
      <w:r w:rsidRPr="00351B7D">
        <w:rPr>
          <w:rFonts w:asciiTheme="minorBidi" w:hAnsiTheme="minorBidi"/>
          <w:rtl/>
        </w:rPr>
        <w:t>- בעמידה, וכתיב ואלה יעמדו לברך את העם, ודוקא פעם א' אבל בסעודה לא, ערך לחם.</w:t>
      </w:r>
    </w:p>
    <w:p w14:paraId="238A98AC" w14:textId="77777777" w:rsidR="008E16D0" w:rsidRPr="00351B7D" w:rsidRDefault="008E16D0" w:rsidP="00A8697F">
      <w:pPr>
        <w:pStyle w:val="ab"/>
        <w:numPr>
          <w:ilvl w:val="0"/>
          <w:numId w:val="78"/>
        </w:numPr>
        <w:rPr>
          <w:rFonts w:asciiTheme="minorBidi" w:hAnsiTheme="minorBidi"/>
        </w:rPr>
      </w:pPr>
      <w:r w:rsidRPr="00351B7D">
        <w:rPr>
          <w:rFonts w:asciiTheme="minorBidi" w:hAnsiTheme="minorBidi"/>
          <w:rtl/>
        </w:rPr>
        <w:t>ברכות חתנים אין להם סדר ומי שחיסר אחת מהנה מברך אותה כשזוכר, רמב"ם</w:t>
      </w:r>
      <w:r w:rsidRPr="00351B7D">
        <w:rPr>
          <w:rFonts w:asciiTheme="minorBidi" w:hAnsiTheme="minorBidi"/>
          <w:sz w:val="16"/>
          <w:szCs w:val="16"/>
          <w:rtl/>
        </w:rPr>
        <w:t xml:space="preserve"> (בתשו' מהדורת בלאו סי' רפ"ח)</w:t>
      </w:r>
      <w:r w:rsidRPr="00351B7D">
        <w:rPr>
          <w:rFonts w:asciiTheme="minorBidi" w:hAnsiTheme="minorBidi"/>
          <w:rtl/>
        </w:rPr>
        <w:t>.</w:t>
      </w:r>
    </w:p>
    <w:p w14:paraId="170FB124" w14:textId="77777777" w:rsidR="008E16D0" w:rsidRPr="00351B7D" w:rsidRDefault="008E16D0" w:rsidP="008E16D0">
      <w:pPr>
        <w:rPr>
          <w:rFonts w:asciiTheme="minorBidi" w:hAnsiTheme="minorBidi"/>
          <w:rtl/>
        </w:rPr>
      </w:pPr>
    </w:p>
    <w:p w14:paraId="500B5D76" w14:textId="77777777" w:rsidR="008E16D0" w:rsidRPr="00351B7D" w:rsidRDefault="008E16D0" w:rsidP="008E16D0">
      <w:pPr>
        <w:pStyle w:val="2"/>
        <w:rPr>
          <w:rFonts w:asciiTheme="minorBidi" w:hAnsiTheme="minorBidi"/>
          <w:rtl/>
        </w:rPr>
      </w:pPr>
      <w:r w:rsidRPr="00351B7D">
        <w:rPr>
          <w:rFonts w:asciiTheme="minorBidi" w:hAnsiTheme="minorBidi"/>
          <w:rtl/>
        </w:rPr>
        <w:t>סעיף ב: נישואין עם כמה נשים כאחת ביום אחד.</w:t>
      </w:r>
    </w:p>
    <w:p w14:paraId="5F0D5839"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ז ע"א: </w:t>
      </w:r>
      <w:r w:rsidRPr="00351B7D">
        <w:rPr>
          <w:rFonts w:asciiTheme="minorBidi" w:hAnsiTheme="minorBidi"/>
          <w:rtl/>
        </w:rPr>
        <w:t>אלא הא דתניא: שקדו חכמים על תקנת בנות ישראל שיהא שמח עמה ג' ימים. במאי? אי בבחור, האמרת שבעה</w:t>
      </w:r>
      <w:r w:rsidRPr="00351B7D">
        <w:rPr>
          <w:rStyle w:val="a7"/>
          <w:rFonts w:asciiTheme="minorBidi" w:hAnsiTheme="minorBidi"/>
          <w:rtl/>
        </w:rPr>
        <w:footnoteReference w:id="627"/>
      </w:r>
      <w:r w:rsidRPr="00351B7D">
        <w:rPr>
          <w:rFonts w:asciiTheme="minorBidi" w:hAnsiTheme="minorBidi"/>
          <w:rtl/>
        </w:rPr>
        <w:t xml:space="preserve">! אי באלמון, האמרת יום אחד! </w:t>
      </w:r>
      <w:r w:rsidRPr="00351B7D">
        <w:rPr>
          <w:rStyle w:val="a7"/>
          <w:rFonts w:asciiTheme="minorBidi" w:hAnsiTheme="minorBidi"/>
          <w:rtl/>
        </w:rPr>
        <w:footnoteReference w:id="628"/>
      </w:r>
      <w:r w:rsidRPr="00351B7D">
        <w:rPr>
          <w:rFonts w:asciiTheme="minorBidi" w:hAnsiTheme="minorBidi"/>
          <w:rtl/>
        </w:rPr>
        <w:t>איבעית אימא בבחור, ואיבעית אימא באלמון, איבעית אימא בבחור- שבעה לברכה ושלשה לשמחה, ואיבעית אימא באלמון- יום אחד לברכה וג' לשמחה.</w:t>
      </w:r>
    </w:p>
    <w:p w14:paraId="1DFE732D" w14:textId="77777777" w:rsidR="008E16D0" w:rsidRPr="00351B7D" w:rsidRDefault="008E16D0" w:rsidP="008E16D0">
      <w:pPr>
        <w:rPr>
          <w:rFonts w:asciiTheme="minorBidi" w:hAnsiTheme="minorBidi"/>
          <w:u w:val="single"/>
          <w:rtl/>
        </w:rPr>
      </w:pPr>
      <w:r w:rsidRPr="00351B7D">
        <w:rPr>
          <w:rFonts w:asciiTheme="minorBidi" w:hAnsiTheme="minorBidi"/>
          <w:u w:val="single"/>
          <w:rtl/>
        </w:rPr>
        <w:t>כמה הם ימי שמחה לבחור שנשא אלמנה:</w:t>
      </w:r>
    </w:p>
    <w:p w14:paraId="4595517A" w14:textId="77777777" w:rsidR="008E16D0" w:rsidRPr="00351B7D" w:rsidRDefault="008E16D0" w:rsidP="00A8697F">
      <w:pPr>
        <w:pStyle w:val="ab"/>
        <w:numPr>
          <w:ilvl w:val="0"/>
          <w:numId w:val="82"/>
        </w:numPr>
        <w:rPr>
          <w:rFonts w:asciiTheme="minorBidi" w:hAnsiTheme="minorBidi"/>
          <w:rtl/>
        </w:rPr>
      </w:pPr>
      <w:r w:rsidRPr="00351B7D">
        <w:rPr>
          <w:rFonts w:asciiTheme="minorBidi" w:hAnsiTheme="minorBidi"/>
          <w:rtl/>
        </w:rPr>
        <w:t xml:space="preserve">מקצת הגאונים </w:t>
      </w:r>
      <w:r w:rsidRPr="00351B7D">
        <w:rPr>
          <w:rFonts w:asciiTheme="minorBidi" w:hAnsiTheme="minorBidi"/>
          <w:sz w:val="16"/>
          <w:szCs w:val="16"/>
          <w:rtl/>
        </w:rPr>
        <w:t xml:space="preserve">(הביאם הה"מ) </w:t>
      </w:r>
      <w:r w:rsidRPr="00351B7D">
        <w:rPr>
          <w:rFonts w:asciiTheme="minorBidi" w:hAnsiTheme="minorBidi"/>
          <w:rtl/>
        </w:rPr>
        <w:t xml:space="preserve">רמב"ם </w:t>
      </w:r>
      <w:r w:rsidRPr="00351B7D">
        <w:rPr>
          <w:rFonts w:asciiTheme="minorBidi" w:hAnsiTheme="minorBidi"/>
          <w:sz w:val="16"/>
          <w:szCs w:val="16"/>
          <w:rtl/>
        </w:rPr>
        <w:t xml:space="preserve">(פ"י מה"א הי"ב) </w:t>
      </w:r>
      <w:r w:rsidRPr="00351B7D">
        <w:rPr>
          <w:rFonts w:asciiTheme="minorBidi" w:hAnsiTheme="minorBidi"/>
          <w:rtl/>
        </w:rPr>
        <w:t xml:space="preserve">רמב"ן </w:t>
      </w:r>
      <w:r w:rsidRPr="00351B7D">
        <w:rPr>
          <w:rFonts w:asciiTheme="minorBidi" w:hAnsiTheme="minorBidi"/>
          <w:sz w:val="16"/>
          <w:szCs w:val="16"/>
          <w:rtl/>
        </w:rPr>
        <w:t xml:space="preserve">(ז. ד"ה הא דאמרינן) </w:t>
      </w:r>
      <w:r w:rsidRPr="00351B7D">
        <w:rPr>
          <w:rFonts w:asciiTheme="minorBidi" w:hAnsiTheme="minorBidi"/>
          <w:rtl/>
        </w:rPr>
        <w:t>וטור</w:t>
      </w:r>
      <w:r w:rsidRPr="00351B7D">
        <w:rPr>
          <w:rStyle w:val="a7"/>
          <w:rFonts w:asciiTheme="minorBidi" w:hAnsiTheme="minorBidi"/>
          <w:rtl/>
        </w:rPr>
        <w:footnoteReference w:id="629"/>
      </w:r>
      <w:r w:rsidRPr="00351B7D">
        <w:rPr>
          <w:rFonts w:asciiTheme="minorBidi" w:hAnsiTheme="minorBidi"/>
          <w:rtl/>
        </w:rPr>
        <w:t>- הני תרי לישני</w:t>
      </w:r>
      <w:r w:rsidRPr="00351B7D">
        <w:rPr>
          <w:rFonts w:asciiTheme="minorBidi" w:hAnsiTheme="minorBidi"/>
          <w:sz w:val="16"/>
          <w:szCs w:val="16"/>
          <w:rtl/>
        </w:rPr>
        <w:t xml:space="preserve"> (אבע"א ואבע"א)</w:t>
      </w:r>
      <w:r w:rsidRPr="00351B7D">
        <w:rPr>
          <w:rFonts w:asciiTheme="minorBidi" w:hAnsiTheme="minorBidi"/>
          <w:rtl/>
        </w:rPr>
        <w:t xml:space="preserve"> לא פליגי אהדדי הילכך ליכא אלמנה דיתירה לשמחה מג' ואע"פ שנשאת לבחור</w:t>
      </w:r>
      <w:r w:rsidRPr="00351B7D">
        <w:rPr>
          <w:rStyle w:val="a7"/>
          <w:rFonts w:asciiTheme="minorBidi" w:hAnsiTheme="minorBidi"/>
          <w:rtl/>
        </w:rPr>
        <w:footnoteReference w:id="630"/>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sz w:val="16"/>
          <w:szCs w:val="16"/>
          <w:rtl/>
        </w:rPr>
        <w:t xml:space="preserve"> [בסי' סד סע' ב]</w:t>
      </w:r>
      <w:r w:rsidRPr="00351B7D">
        <w:rPr>
          <w:rFonts w:asciiTheme="minorBidi" w:hAnsiTheme="minorBidi"/>
          <w:color w:val="E36C0A" w:themeColor="accent6" w:themeShade="BF"/>
          <w:rtl/>
        </w:rPr>
        <w:t>)</w:t>
      </w:r>
    </w:p>
    <w:p w14:paraId="0C637DC8" w14:textId="77777777" w:rsidR="008E16D0" w:rsidRPr="00351B7D" w:rsidRDefault="008E16D0" w:rsidP="00A8697F">
      <w:pPr>
        <w:pStyle w:val="ab"/>
        <w:numPr>
          <w:ilvl w:val="0"/>
          <w:numId w:val="82"/>
        </w:numPr>
        <w:rPr>
          <w:rFonts w:asciiTheme="minorBidi" w:hAnsiTheme="minorBidi"/>
          <w:rtl/>
        </w:rPr>
      </w:pPr>
      <w:r w:rsidRPr="00351B7D">
        <w:rPr>
          <w:rFonts w:asciiTheme="minorBidi" w:hAnsiTheme="minorBidi"/>
          <w:rtl/>
        </w:rPr>
        <w:lastRenderedPageBreak/>
        <w:t xml:space="preserve">רשב"א </w:t>
      </w:r>
      <w:r w:rsidRPr="00351B7D">
        <w:rPr>
          <w:rFonts w:asciiTheme="minorBidi" w:hAnsiTheme="minorBidi"/>
          <w:sz w:val="16"/>
          <w:szCs w:val="16"/>
          <w:rtl/>
        </w:rPr>
        <w:t>(ז. ד"ה ויש)</w:t>
      </w:r>
      <w:r w:rsidRPr="00351B7D">
        <w:rPr>
          <w:rFonts w:asciiTheme="minorBidi" w:hAnsiTheme="minorBidi"/>
          <w:rtl/>
        </w:rPr>
        <w:t xml:space="preserve"> וי"א</w:t>
      </w:r>
      <w:r w:rsidRPr="00351B7D">
        <w:rPr>
          <w:rFonts w:asciiTheme="minorBidi" w:hAnsiTheme="minorBidi"/>
          <w:sz w:val="16"/>
          <w:szCs w:val="16"/>
          <w:rtl/>
        </w:rPr>
        <w:t xml:space="preserve"> (הביאם הר"ן</w:t>
      </w:r>
      <w:r w:rsidRPr="00351B7D">
        <w:rPr>
          <w:rFonts w:asciiTheme="minorBidi" w:hAnsiTheme="minorBidi"/>
          <w:sz w:val="14"/>
          <w:szCs w:val="14"/>
          <w:rtl/>
        </w:rPr>
        <w:t xml:space="preserve"> [ב. ד"ה אחת]</w:t>
      </w:r>
      <w:r w:rsidRPr="00351B7D">
        <w:rPr>
          <w:rFonts w:asciiTheme="minorBidi" w:hAnsiTheme="minorBidi"/>
          <w:sz w:val="16"/>
          <w:szCs w:val="16"/>
          <w:rtl/>
        </w:rPr>
        <w:t>)</w:t>
      </w:r>
      <w:r w:rsidRPr="00351B7D">
        <w:rPr>
          <w:rFonts w:asciiTheme="minorBidi" w:hAnsiTheme="minorBidi"/>
          <w:rtl/>
        </w:rPr>
        <w:t>- הני תרי לישני פליגי ונקטינן כלישנא בתרא דבאלמון שנשא אלמנה ג' לשמחה ויום אחד לברכה אבל בחור שנשא אלמנה ז' לברכה וז' לשמחה, ולא נפישי ימי ברכה מימי שמחה דאינו בדין שיהא משכים למלאכתו ומברכים לו ברכת חתנים אלא ודאי ז' נמי אית ליה לשמחה</w:t>
      </w:r>
      <w:r w:rsidRPr="00351B7D">
        <w:rPr>
          <w:rStyle w:val="a7"/>
          <w:rFonts w:asciiTheme="minorBidi" w:hAnsiTheme="minorBidi"/>
          <w:rtl/>
        </w:rPr>
        <w:footnoteReference w:id="631"/>
      </w:r>
      <w:r w:rsidRPr="00351B7D">
        <w:rPr>
          <w:rFonts w:asciiTheme="minorBidi" w:hAnsiTheme="minorBidi"/>
          <w:rtl/>
        </w:rPr>
        <w:t>.</w:t>
      </w:r>
    </w:p>
    <w:p w14:paraId="5FDD0791" w14:textId="77777777" w:rsidR="008E16D0" w:rsidRPr="00351B7D" w:rsidRDefault="008E16D0" w:rsidP="008E16D0">
      <w:pPr>
        <w:rPr>
          <w:rFonts w:asciiTheme="minorBidi" w:hAnsiTheme="minorBidi"/>
          <w:u w:val="single"/>
          <w:rtl/>
        </w:rPr>
      </w:pPr>
      <w:r w:rsidRPr="00351B7D">
        <w:rPr>
          <w:rFonts w:asciiTheme="minorBidi" w:hAnsiTheme="minorBidi"/>
          <w:u w:val="single"/>
          <w:rtl/>
        </w:rPr>
        <w:t>כמה הם ימי שמחה לבתולה שנשאת לאלמון:</w:t>
      </w:r>
    </w:p>
    <w:p w14:paraId="3D78426F"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 xml:space="preserve">ר"ן </w:t>
      </w:r>
      <w:r w:rsidRPr="00351B7D">
        <w:rPr>
          <w:rFonts w:asciiTheme="minorBidi" w:hAnsiTheme="minorBidi"/>
          <w:sz w:val="16"/>
          <w:szCs w:val="16"/>
          <w:rtl/>
        </w:rPr>
        <w:t>(ב. ד"ה אחת)</w:t>
      </w:r>
      <w:r w:rsidRPr="00351B7D">
        <w:rPr>
          <w:rFonts w:asciiTheme="minorBidi" w:hAnsiTheme="minorBidi"/>
          <w:rtl/>
        </w:rPr>
        <w:t>- בבתולה שנשאת לאלמון לא אשכחן ימי שמחה כמה אבל הר"י בן מיגא"ש ז"ל כ' דנראין הדברים דז' לשמחה אית לה, דאי בבחור</w:t>
      </w:r>
      <w:r w:rsidRPr="00351B7D">
        <w:rPr>
          <w:rFonts w:asciiTheme="minorBidi" w:hAnsiTheme="minorBidi"/>
          <w:sz w:val="16"/>
          <w:szCs w:val="16"/>
          <w:rtl/>
        </w:rPr>
        <w:t xml:space="preserve"> {שנשא בתולה}</w:t>
      </w:r>
      <w:r w:rsidRPr="00351B7D">
        <w:rPr>
          <w:rFonts w:asciiTheme="minorBidi" w:hAnsiTheme="minorBidi"/>
          <w:rtl/>
        </w:rPr>
        <w:t xml:space="preserve"> אמרו שיש לה ז' לשמחה כדתניא לעיל ברייתא דנוהג ז' ימי המשתה כ"ש באלמון שצריך לשמח אותה יותר, </w:t>
      </w:r>
      <w:r w:rsidRPr="00351B7D">
        <w:rPr>
          <w:rStyle w:val="a7"/>
          <w:rFonts w:asciiTheme="minorBidi" w:hAnsiTheme="minorBidi"/>
          <w:rtl/>
        </w:rPr>
        <w:footnoteReference w:id="632"/>
      </w:r>
      <w:r w:rsidRPr="00351B7D">
        <w:rPr>
          <w:rFonts w:asciiTheme="minorBidi" w:hAnsiTheme="minorBidi"/>
          <w:rtl/>
        </w:rPr>
        <w:t>וכ"כ הרא"ש.</w:t>
      </w:r>
    </w:p>
    <w:p w14:paraId="4999605C" w14:textId="77777777" w:rsidR="008E16D0" w:rsidRPr="00351B7D" w:rsidRDefault="008E16D0" w:rsidP="008E16D0">
      <w:pPr>
        <w:rPr>
          <w:rFonts w:asciiTheme="minorBidi" w:hAnsiTheme="minorBidi"/>
          <w:rtl/>
        </w:rPr>
      </w:pPr>
      <w:r w:rsidRPr="00351B7D">
        <w:rPr>
          <w:rFonts w:asciiTheme="minorBidi" w:hAnsiTheme="minorBidi"/>
          <w:b/>
          <w:bCs/>
          <w:rtl/>
        </w:rPr>
        <w:t xml:space="preserve">מועד קטן ח ע"ב: </w:t>
      </w:r>
      <w:r w:rsidRPr="00351B7D">
        <w:rPr>
          <w:rFonts w:asciiTheme="minorBidi" w:hAnsiTheme="minorBidi"/>
          <w:u w:val="double"/>
          <w:rtl/>
        </w:rPr>
        <w:t>משנה</w:t>
      </w:r>
      <w:r w:rsidRPr="00351B7D">
        <w:rPr>
          <w:rFonts w:asciiTheme="minorBidi" w:hAnsiTheme="minorBidi"/>
          <w:rtl/>
        </w:rPr>
        <w:t xml:space="preserve">: אין נושאין נשים במועד, לא בתולות ולא אלמנות, ולא מייבמין, מפני ששמחה היא לו, אבל מחזיר הוא את גרושתו...   </w:t>
      </w:r>
      <w:r w:rsidRPr="00351B7D">
        <w:rPr>
          <w:rFonts w:asciiTheme="minorBidi" w:hAnsiTheme="minorBidi"/>
          <w:u w:val="double"/>
          <w:rtl/>
        </w:rPr>
        <w:t>גמ':</w:t>
      </w:r>
      <w:r w:rsidRPr="00351B7D">
        <w:rPr>
          <w:rFonts w:asciiTheme="minorBidi" w:hAnsiTheme="minorBidi"/>
          <w:rtl/>
        </w:rPr>
        <w:t xml:space="preserve"> וכי שמחה היא לו מאי הוי? </w:t>
      </w:r>
      <w:r w:rsidRPr="00351B7D">
        <w:rPr>
          <w:rFonts w:asciiTheme="minorBidi" w:hAnsiTheme="minorBidi"/>
          <w:u w:val="single"/>
          <w:rtl/>
        </w:rPr>
        <w:t>אמר רב יהודה אמר שמואל</w:t>
      </w:r>
      <w:r w:rsidRPr="00351B7D">
        <w:rPr>
          <w:rFonts w:asciiTheme="minorBidi" w:hAnsiTheme="minorBidi"/>
          <w:rtl/>
        </w:rPr>
        <w:t xml:space="preserve">, וכן </w:t>
      </w:r>
      <w:r w:rsidRPr="00351B7D">
        <w:rPr>
          <w:rFonts w:asciiTheme="minorBidi" w:hAnsiTheme="minorBidi"/>
          <w:u w:val="single"/>
          <w:rtl/>
        </w:rPr>
        <w:t>אמר רבי אלעזר אמר רבי אושעיא</w:t>
      </w:r>
      <w:r w:rsidRPr="00351B7D">
        <w:rPr>
          <w:rFonts w:asciiTheme="minorBidi" w:hAnsiTheme="minorBidi"/>
          <w:rtl/>
        </w:rPr>
        <w:t xml:space="preserve">, ואמרי לה </w:t>
      </w:r>
      <w:r w:rsidRPr="00351B7D">
        <w:rPr>
          <w:rFonts w:asciiTheme="minorBidi" w:hAnsiTheme="minorBidi"/>
          <w:u w:val="single"/>
          <w:rtl/>
        </w:rPr>
        <w:t>אמר רבי אלעזר אמר רבי חנינא</w:t>
      </w:r>
      <w:r w:rsidRPr="00351B7D">
        <w:rPr>
          <w:rFonts w:asciiTheme="minorBidi" w:hAnsiTheme="minorBidi"/>
          <w:rtl/>
        </w:rPr>
        <w:t>: לפי שאין מערבין שמחה בשמחה...</w:t>
      </w:r>
    </w:p>
    <w:p w14:paraId="1C128091" w14:textId="77777777" w:rsidR="008E16D0" w:rsidRPr="00351B7D" w:rsidRDefault="008E16D0" w:rsidP="008E16D0">
      <w:pPr>
        <w:rPr>
          <w:rFonts w:asciiTheme="minorBidi" w:hAnsiTheme="minorBidi"/>
          <w:rtl/>
        </w:rPr>
      </w:pPr>
      <w:r w:rsidRPr="00351B7D">
        <w:rPr>
          <w:rFonts w:asciiTheme="minorBidi" w:hAnsiTheme="minorBidi"/>
          <w:b/>
          <w:bCs/>
          <w:rtl/>
        </w:rPr>
        <w:t>ירושלמי</w:t>
      </w:r>
      <w:r w:rsidRPr="00351B7D">
        <w:rPr>
          <w:rFonts w:asciiTheme="minorBidi" w:hAnsiTheme="minorBidi"/>
          <w:b/>
          <w:bCs/>
          <w:sz w:val="16"/>
          <w:szCs w:val="16"/>
          <w:rtl/>
        </w:rPr>
        <w:t xml:space="preserve"> (וילנא)</w:t>
      </w:r>
      <w:r w:rsidRPr="00351B7D">
        <w:rPr>
          <w:rFonts w:asciiTheme="minorBidi" w:hAnsiTheme="minorBidi"/>
          <w:b/>
          <w:bCs/>
          <w:rtl/>
        </w:rPr>
        <w:t xml:space="preserve"> מו"ק פ"א ה"ז:</w:t>
      </w:r>
      <w:r w:rsidRPr="00351B7D">
        <w:rPr>
          <w:rFonts w:asciiTheme="minorBidi" w:hAnsiTheme="minorBidi"/>
          <w:rtl/>
        </w:rPr>
        <w:t xml:space="preserve"> שאין מערבין שמחה בשמחה... ר' יעקב בר אחא שמע לה מן הדא מלא שבוע זאת.</w:t>
      </w:r>
    </w:p>
    <w:p w14:paraId="0CDAF7AC" w14:textId="77777777" w:rsidR="008E16D0" w:rsidRPr="00351B7D" w:rsidRDefault="008E16D0" w:rsidP="008E16D0">
      <w:pPr>
        <w:rPr>
          <w:rFonts w:asciiTheme="minorBidi" w:hAnsiTheme="minorBidi"/>
          <w:rtl/>
        </w:rPr>
      </w:pPr>
      <w:r w:rsidRPr="00351B7D">
        <w:rPr>
          <w:rFonts w:asciiTheme="minorBidi" w:hAnsiTheme="minorBidi"/>
          <w:b/>
          <w:bCs/>
          <w:rtl/>
        </w:rPr>
        <w:t>מסכתות קטנות מסכת שמחות פי"א ה"ה:</w:t>
      </w:r>
      <w:r w:rsidRPr="00351B7D">
        <w:rPr>
          <w:rFonts w:asciiTheme="minorBidi" w:hAnsiTheme="minorBidi"/>
          <w:rtl/>
        </w:rPr>
        <w:t xml:space="preserve"> אין עושין שני הספידין בעיר אחת אלא אם כן יש שם כדי לזה וכדי לזה. אין מקלסין שתי כלות בעיר אחת אלא אם כן יש שם כדי קילוס לזו וכדי קילוס לזו, </w:t>
      </w:r>
      <w:r w:rsidRPr="00351B7D">
        <w:rPr>
          <w:rFonts w:asciiTheme="minorBidi" w:hAnsiTheme="minorBidi"/>
          <w:u w:val="single"/>
          <w:rtl/>
        </w:rPr>
        <w:t>רבי שמעון אומר</w:t>
      </w:r>
      <w:r w:rsidRPr="00351B7D">
        <w:rPr>
          <w:rFonts w:asciiTheme="minorBidi" w:hAnsiTheme="minorBidi"/>
          <w:rtl/>
        </w:rPr>
        <w:t xml:space="preserve">: אף על פי כן אסור מפני איבה. </w:t>
      </w:r>
    </w:p>
    <w:p w14:paraId="475C2F6A" w14:textId="77777777" w:rsidR="008E16D0" w:rsidRPr="00351B7D" w:rsidRDefault="008E16D0" w:rsidP="008E16D0">
      <w:pPr>
        <w:rPr>
          <w:rFonts w:asciiTheme="minorBidi" w:hAnsiTheme="minorBidi"/>
          <w:u w:val="single"/>
        </w:rPr>
      </w:pPr>
      <w:r w:rsidRPr="00351B7D">
        <w:rPr>
          <w:rFonts w:asciiTheme="minorBidi" w:hAnsiTheme="minorBidi"/>
          <w:u w:val="single"/>
          <w:rtl/>
        </w:rPr>
        <w:t>האם ראוי לעשות ב' חופות כאחת:</w:t>
      </w:r>
    </w:p>
    <w:p w14:paraId="3693DC9C" w14:textId="77777777" w:rsidR="008E16D0" w:rsidRPr="00351B7D" w:rsidRDefault="008E16D0" w:rsidP="00A8697F">
      <w:pPr>
        <w:pStyle w:val="ab"/>
        <w:numPr>
          <w:ilvl w:val="0"/>
          <w:numId w:val="79"/>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(מו"ק סי' תתמג) </w:t>
      </w:r>
      <w:r w:rsidRPr="00351B7D">
        <w:rPr>
          <w:rFonts w:asciiTheme="minorBidi" w:hAnsiTheme="minorBidi"/>
          <w:rtl/>
        </w:rPr>
        <w:t xml:space="preserve">ואגודה </w:t>
      </w:r>
      <w:r w:rsidRPr="00351B7D">
        <w:rPr>
          <w:rFonts w:asciiTheme="minorBidi" w:hAnsiTheme="minorBidi"/>
          <w:sz w:val="16"/>
          <w:szCs w:val="16"/>
          <w:rtl/>
        </w:rPr>
        <w:t>(מו"ק סי' ו)</w:t>
      </w:r>
      <w:r w:rsidRPr="00351B7D">
        <w:rPr>
          <w:rFonts w:asciiTheme="minorBidi" w:hAnsiTheme="minorBidi"/>
          <w:rtl/>
        </w:rPr>
        <w:t>- "אין מערבין שמחה בשמחה, ובירושלמי יליף לה מדכתיב מלא שבוע זאת... ומ"ה נהגו הראשונים שלא לעשות נישואי שני בנות או שני אחים או אח ואחות ביחד, ואפי' בנכריות הראשונים היו נזהרים</w:t>
      </w:r>
      <w:r w:rsidRPr="00351B7D">
        <w:rPr>
          <w:rStyle w:val="a7"/>
          <w:rFonts w:asciiTheme="minorBidi" w:hAnsiTheme="minorBidi"/>
          <w:rtl/>
        </w:rPr>
        <w:footnoteReference w:id="633"/>
      </w:r>
      <w:r w:rsidRPr="00351B7D">
        <w:rPr>
          <w:rFonts w:asciiTheme="minorBidi" w:hAnsiTheme="minorBidi"/>
          <w:rtl/>
        </w:rPr>
        <w:t>, והכי תניא באבל רבתי אין מקלסין שתי כלות בבת אחת אא"כ יש בה כדי לזה וכדי לזה וא"ר שמואל ואפ"ה אסור מפני האיבה, פירוש, אם האחת יפה וחברתה אינה יפה יש איבה ביניהם וכן אם מכבדים האחת יותר מחברתה. ונראה לראב"י העזרי שמטעם זה הקפידו הראשונים בכך</w:t>
      </w:r>
      <w:r w:rsidRPr="00351B7D">
        <w:rPr>
          <w:rStyle w:val="a7"/>
          <w:rFonts w:asciiTheme="minorBidi" w:hAnsiTheme="minorBidi"/>
          <w:rtl/>
        </w:rPr>
        <w:footnoteReference w:id="634"/>
      </w:r>
      <w:r w:rsidRPr="00351B7D">
        <w:rPr>
          <w:rFonts w:asciiTheme="minorBidi" w:hAnsiTheme="minorBidi"/>
          <w:rtl/>
        </w:rPr>
        <w:t xml:space="preserve">". </w:t>
      </w:r>
    </w:p>
    <w:p w14:paraId="6183241D" w14:textId="77777777" w:rsidR="008E16D0" w:rsidRPr="00351B7D" w:rsidRDefault="008E16D0" w:rsidP="00A8697F">
      <w:pPr>
        <w:pStyle w:val="ab"/>
        <w:numPr>
          <w:ilvl w:val="0"/>
          <w:numId w:val="79"/>
        </w:numPr>
        <w:rPr>
          <w:rFonts w:asciiTheme="minorBidi" w:hAnsiTheme="minorBidi"/>
        </w:rPr>
      </w:pPr>
      <w:r w:rsidRPr="00351B7D">
        <w:rPr>
          <w:rFonts w:asciiTheme="minorBidi" w:hAnsiTheme="minorBidi"/>
          <w:rtl/>
        </w:rPr>
        <w:t>ריה"ח</w:t>
      </w:r>
      <w:r w:rsidRPr="00351B7D">
        <w:rPr>
          <w:rStyle w:val="a7"/>
          <w:rFonts w:asciiTheme="minorBidi" w:hAnsiTheme="minorBidi"/>
          <w:rtl/>
        </w:rPr>
        <w:footnoteReference w:id="635"/>
      </w:r>
      <w:r w:rsidRPr="00351B7D">
        <w:rPr>
          <w:rFonts w:asciiTheme="minorBidi" w:hAnsiTheme="minorBidi"/>
          <w:sz w:val="16"/>
          <w:szCs w:val="16"/>
          <w:rtl/>
        </w:rPr>
        <w:t xml:space="preserve"> (בצוואה אות ל-לא)</w:t>
      </w:r>
      <w:r w:rsidRPr="00351B7D">
        <w:rPr>
          <w:rFonts w:asciiTheme="minorBidi" w:hAnsiTheme="minorBidi"/>
          <w:rtl/>
        </w:rPr>
        <w:t>- לא יעשו נשואים לשני ילדים יחד כי לא יצליחו, שני חופות בשבת אחד</w:t>
      </w:r>
      <w:r w:rsidRPr="00351B7D">
        <w:rPr>
          <w:rFonts w:asciiTheme="minorBidi" w:hAnsiTheme="minorBidi"/>
          <w:sz w:val="16"/>
          <w:szCs w:val="16"/>
          <w:rtl/>
        </w:rPr>
        <w:t xml:space="preserve"> (היינו בשבוע אחד)</w:t>
      </w:r>
      <w:r w:rsidRPr="00351B7D">
        <w:rPr>
          <w:rFonts w:asciiTheme="minorBidi" w:hAnsiTheme="minorBidi"/>
          <w:rtl/>
        </w:rPr>
        <w:t xml:space="preserve"> אחד מהם יעני או ילך לגולה או ימות, וחופת שתי אחיות בשבת אחת אחד מהם יעני או ילך בגולה או ימות.</w:t>
      </w:r>
    </w:p>
    <w:p w14:paraId="7F0D4566" w14:textId="77777777" w:rsidR="008E16D0" w:rsidRPr="00351B7D" w:rsidRDefault="008E16D0" w:rsidP="00A8697F">
      <w:pPr>
        <w:pStyle w:val="ab"/>
        <w:numPr>
          <w:ilvl w:val="0"/>
          <w:numId w:val="79"/>
        </w:numPr>
        <w:rPr>
          <w:rFonts w:asciiTheme="minorBidi" w:hAnsiTheme="minorBidi"/>
          <w:rtl/>
        </w:rPr>
      </w:pPr>
      <w:r w:rsidRPr="00351B7D">
        <w:rPr>
          <w:rFonts w:asciiTheme="minorBidi" w:hAnsiTheme="minorBidi"/>
          <w:rtl/>
        </w:rPr>
        <w:t>רבנו פרץ</w:t>
      </w:r>
      <w:r w:rsidRPr="00351B7D">
        <w:rPr>
          <w:rStyle w:val="a7"/>
          <w:rFonts w:asciiTheme="minorBidi" w:hAnsiTheme="minorBidi"/>
          <w:rtl/>
        </w:rPr>
        <w:footnoteReference w:id="636"/>
      </w:r>
      <w:r w:rsidRPr="00351B7D">
        <w:rPr>
          <w:rFonts w:asciiTheme="minorBidi" w:hAnsiTheme="minorBidi"/>
          <w:rtl/>
        </w:rPr>
        <w:t xml:space="preserve"> והגה"מ</w:t>
      </w:r>
      <w:r w:rsidRPr="00351B7D">
        <w:rPr>
          <w:rFonts w:asciiTheme="minorBidi" w:hAnsiTheme="minorBidi"/>
          <w:sz w:val="16"/>
          <w:szCs w:val="16"/>
          <w:rtl/>
        </w:rPr>
        <w:t xml:space="preserve"> (דפוס קושטא פ"ז מיו"ט ד"ה שלא יערב להל' ט"ז)</w:t>
      </w:r>
      <w:r w:rsidRPr="00351B7D">
        <w:rPr>
          <w:rFonts w:asciiTheme="minorBidi" w:hAnsiTheme="minorBidi"/>
          <w:rtl/>
        </w:rPr>
        <w:t>- "בשתי חופות שעושין משתי נשים לשתי אנשים לא שייך הכא עירוב שמחה בשמחה, וכן היה נוהג מורי ר' יחיאל לעשות חופת יתום או יתומה עם חופו' אחד מבניו הכל ביום אחד, אך משתי אחיות פי' בספר חסידים דאין לעשות בשבוע אחד</w:t>
      </w:r>
      <w:r w:rsidRPr="00351B7D">
        <w:rPr>
          <w:rFonts w:asciiTheme="minorBidi" w:hAnsiTheme="minorBidi"/>
          <w:sz w:val="16"/>
          <w:szCs w:val="16"/>
          <w:rtl/>
        </w:rPr>
        <w:t xml:space="preserve"> (ל' ר"פ)</w:t>
      </w:r>
      <w:r w:rsidRPr="00351B7D">
        <w:rPr>
          <w:rFonts w:asciiTheme="minorBidi" w:hAnsiTheme="minorBidi"/>
          <w:rtl/>
        </w:rPr>
        <w:t>".</w:t>
      </w:r>
      <w:r w:rsidRPr="00351B7D">
        <w:rPr>
          <w:rFonts w:asciiTheme="minorBidi" w:hAnsiTheme="minorBidi"/>
          <w:color w:val="00B0F0"/>
          <w:rtl/>
        </w:rPr>
        <w:t xml:space="preserve"> (וכ"פ הרמ"א)</w:t>
      </w:r>
    </w:p>
    <w:p w14:paraId="3B2C443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424DBF" w14:textId="77777777" w:rsidR="008E16D0" w:rsidRPr="00351B7D" w:rsidRDefault="008E16D0" w:rsidP="008E16D0">
      <w:pPr>
        <w:rPr>
          <w:rFonts w:asciiTheme="minorBidi" w:hAnsiTheme="minorBidi"/>
          <w:color w:val="000000"/>
          <w:rtl/>
        </w:rPr>
      </w:pPr>
      <w:r w:rsidRPr="00351B7D">
        <w:rPr>
          <w:rFonts w:asciiTheme="minorBidi" w:hAnsiTheme="minorBidi"/>
          <w:rtl/>
        </w:rPr>
        <w:t>יש לאדם לישא נשים רבות כאחת ביום אחד ומברך ברכת חתנים לכלם כאחת, אבל לשמחה, צריך לשמוח עם כל אחת שמחה הראויה לה אם בתולה שבעת ימים ואם בעולה שלשה ימים ואין מערבין שמחה בשמחה</w:t>
      </w:r>
      <w:r w:rsidRPr="00351B7D">
        <w:rPr>
          <w:rStyle w:val="a7"/>
          <w:rFonts w:asciiTheme="minorBidi" w:hAnsiTheme="minorBidi"/>
          <w:color w:val="000000"/>
          <w:rtl/>
        </w:rPr>
        <w:footnoteReference w:id="637"/>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ואין לעשות חופת ב' אחיות ביחד </w:t>
      </w:r>
      <w:r w:rsidRPr="00351B7D">
        <w:rPr>
          <w:rFonts w:asciiTheme="minorBidi" w:hAnsiTheme="minorBidi"/>
          <w:color w:val="000000"/>
          <w:sz w:val="16"/>
          <w:szCs w:val="16"/>
          <w:rtl/>
        </w:rPr>
        <w:t>(הגה' סמ"ק בשם ספר חסידים)</w:t>
      </w:r>
      <w:r w:rsidRPr="00351B7D">
        <w:rPr>
          <w:rFonts w:asciiTheme="minorBidi" w:hAnsiTheme="minorBidi"/>
          <w:color w:val="000000"/>
          <w:sz w:val="18"/>
          <w:szCs w:val="18"/>
          <w:rtl/>
        </w:rPr>
        <w:t xml:space="preserve">. וי"א דאף בשתי נכריות יש ליזהר שלא לעשותן כאחת משום איבה שמא יכבדו אחת יותר מחבירתה </w:t>
      </w:r>
      <w:r w:rsidRPr="00351B7D">
        <w:rPr>
          <w:rFonts w:asciiTheme="minorBidi" w:hAnsiTheme="minorBidi"/>
          <w:color w:val="000000"/>
          <w:sz w:val="16"/>
          <w:szCs w:val="16"/>
          <w:rtl/>
        </w:rPr>
        <w:t>(מרדכי)</w:t>
      </w:r>
      <w:r w:rsidRPr="00351B7D">
        <w:rPr>
          <w:rFonts w:asciiTheme="minorBidi" w:hAnsiTheme="minorBidi"/>
          <w:color w:val="000000"/>
          <w:sz w:val="18"/>
          <w:szCs w:val="18"/>
          <w:rtl/>
        </w:rPr>
        <w:t xml:space="preserve">, ואין נזהרין מזה ואדרבא יש מכוונים לעשות חופות עניות עם חופות עשירות משום מצוה </w:t>
      </w:r>
      <w:r w:rsidRPr="00351B7D">
        <w:rPr>
          <w:rFonts w:asciiTheme="minorBidi" w:hAnsiTheme="minorBidi"/>
          <w:color w:val="000000"/>
          <w:sz w:val="16"/>
          <w:szCs w:val="16"/>
          <w:rtl/>
        </w:rPr>
        <w:t>(הגה"מ בשם ר"י מפריז)</w:t>
      </w:r>
      <w:r w:rsidRPr="00351B7D">
        <w:rPr>
          <w:rFonts w:asciiTheme="minorBidi" w:hAnsiTheme="minorBidi"/>
          <w:color w:val="000000"/>
          <w:sz w:val="18"/>
          <w:szCs w:val="18"/>
          <w:rtl/>
        </w:rPr>
        <w:t xml:space="preserve">. </w:t>
      </w:r>
    </w:p>
    <w:p w14:paraId="06AD68B7" w14:textId="77777777" w:rsidR="008E16D0" w:rsidRPr="00351B7D" w:rsidRDefault="008E16D0" w:rsidP="008E16D0">
      <w:pPr>
        <w:rPr>
          <w:rFonts w:asciiTheme="minorBidi" w:hAnsiTheme="minorBidi"/>
          <w:color w:val="000000"/>
          <w:rtl/>
        </w:rPr>
      </w:pPr>
    </w:p>
    <w:p w14:paraId="4596DD2B" w14:textId="77777777" w:rsidR="008E16D0" w:rsidRPr="00351B7D" w:rsidRDefault="008E16D0" w:rsidP="008E16D0">
      <w:pPr>
        <w:pStyle w:val="2"/>
        <w:rPr>
          <w:rFonts w:asciiTheme="minorBidi" w:hAnsiTheme="minorBidi"/>
          <w:rtl/>
        </w:rPr>
      </w:pPr>
      <w:r w:rsidRPr="00351B7D">
        <w:rPr>
          <w:rFonts w:asciiTheme="minorBidi" w:hAnsiTheme="minorBidi"/>
          <w:rtl/>
        </w:rPr>
        <w:lastRenderedPageBreak/>
        <w:t>סעיף ג: ברכת חתנים אחת לשני חתנים.</w:t>
      </w:r>
    </w:p>
    <w:p w14:paraId="47AF864C" w14:textId="77777777" w:rsidR="008E16D0" w:rsidRPr="00351B7D" w:rsidRDefault="008E16D0" w:rsidP="008E16D0">
      <w:pPr>
        <w:rPr>
          <w:rFonts w:asciiTheme="minorBidi" w:hAnsiTheme="minorBidi"/>
          <w:rtl/>
        </w:rPr>
      </w:pPr>
      <w:r w:rsidRPr="00351B7D">
        <w:rPr>
          <w:rFonts w:asciiTheme="minorBidi" w:hAnsiTheme="minorBidi"/>
          <w:b/>
          <w:bCs/>
          <w:rtl/>
        </w:rPr>
        <w:t xml:space="preserve">תוספתא </w:t>
      </w:r>
      <w:r w:rsidRPr="00351B7D">
        <w:rPr>
          <w:rFonts w:asciiTheme="minorBidi" w:hAnsiTheme="minorBidi"/>
          <w:b/>
          <w:bCs/>
          <w:sz w:val="16"/>
          <w:szCs w:val="16"/>
          <w:rtl/>
        </w:rPr>
        <w:t xml:space="preserve">(ליברמן) </w:t>
      </w:r>
      <w:r w:rsidRPr="00351B7D">
        <w:rPr>
          <w:rFonts w:asciiTheme="minorBidi" w:hAnsiTheme="minorBidi"/>
          <w:b/>
          <w:bCs/>
          <w:rtl/>
        </w:rPr>
        <w:t xml:space="preserve">ברכות פ"ו הט"ו: </w:t>
      </w:r>
      <w:r w:rsidRPr="00351B7D">
        <w:rPr>
          <w:rFonts w:asciiTheme="minorBidi" w:hAnsiTheme="minorBidi"/>
          <w:rtl/>
        </w:rPr>
        <w:t>עשרה שהיו עושין עשר מצות כל אחד ואחד מברך לעצמו היו עושין כולן מצוה אחת אחד מברך לכולן, יחיד שהיה עושה עשר מצות מברך על כל אחת ואחת...</w:t>
      </w:r>
    </w:p>
    <w:p w14:paraId="33BFFCFC"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שני חתנים שעושים חתונה בבית אחד- האם מברך על שניהם כאחד:</w:t>
      </w:r>
      <w:r w:rsidRPr="00351B7D">
        <w:rPr>
          <w:rFonts w:asciiTheme="minorBidi" w:hAnsiTheme="minorBidi"/>
          <w:color w:val="000000"/>
          <w:sz w:val="16"/>
          <w:szCs w:val="16"/>
          <w:rtl/>
        </w:rPr>
        <w:t xml:space="preserve">    (ב"י ודרכ"מ [אות ג-ד]) </w:t>
      </w:r>
    </w:p>
    <w:p w14:paraId="67590E2F" w14:textId="77777777" w:rsidR="008E16D0" w:rsidRPr="00351B7D" w:rsidRDefault="008E16D0" w:rsidP="00A8697F">
      <w:pPr>
        <w:pStyle w:val="ab"/>
        <w:numPr>
          <w:ilvl w:val="0"/>
          <w:numId w:val="79"/>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 xml:space="preserve">(פ"י מה"א הי"ג) </w:t>
      </w:r>
      <w:r w:rsidRPr="00351B7D">
        <w:rPr>
          <w:rFonts w:asciiTheme="minorBidi" w:hAnsiTheme="minorBidi"/>
          <w:rtl/>
        </w:rPr>
        <w:t xml:space="preserve">ורא"ש </w:t>
      </w:r>
      <w:r w:rsidRPr="00351B7D">
        <w:rPr>
          <w:rFonts w:asciiTheme="minorBidi" w:hAnsiTheme="minorBidi"/>
          <w:sz w:val="16"/>
          <w:szCs w:val="16"/>
          <w:rtl/>
        </w:rPr>
        <w:t>(כלל כ"ו סי' ד)</w:t>
      </w:r>
      <w:r w:rsidRPr="00351B7D">
        <w:rPr>
          <w:rFonts w:asciiTheme="minorBidi" w:hAnsiTheme="minorBidi"/>
          <w:rtl/>
        </w:rPr>
        <w:t>- מברך על שניהם כאחד</w:t>
      </w:r>
      <w:r w:rsidRPr="00351B7D">
        <w:rPr>
          <w:rStyle w:val="a7"/>
          <w:rFonts w:asciiTheme="minorBidi" w:hAnsiTheme="minorBidi"/>
          <w:rtl/>
        </w:rPr>
        <w:footnoteReference w:id="638"/>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5E821B95" w14:textId="77777777" w:rsidR="008E16D0" w:rsidRPr="00351B7D" w:rsidRDefault="008E16D0" w:rsidP="00A8697F">
      <w:pPr>
        <w:pStyle w:val="ab"/>
        <w:numPr>
          <w:ilvl w:val="0"/>
          <w:numId w:val="79"/>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(ח"ז סי' קכ"ז, וכעין זה כ' בח"א סי' תנ"א)</w:t>
      </w:r>
      <w:r w:rsidRPr="00351B7D">
        <w:rPr>
          <w:rFonts w:asciiTheme="minorBidi" w:hAnsiTheme="minorBidi"/>
          <w:rtl/>
        </w:rPr>
        <w:t xml:space="preserve">- </w:t>
      </w:r>
      <w:r w:rsidRPr="00351B7D">
        <w:rPr>
          <w:rFonts w:asciiTheme="minorBidi" w:hAnsiTheme="minorBidi"/>
          <w:color w:val="000000"/>
          <w:rtl/>
        </w:rPr>
        <w:t>"שני חתנים בבית אחת ברכת חתנים אחת לשניהם כשני חבורות שאוכלות זו לעצמה וזו לעצמה שאחד מברך ברכת המזון לשניהם כל שרואות זו את זו, ודעתי נוטה שכל כת וכת מן החתנים מכניסין לחדר אחד ומברכין לכל אחד לעצמו כדי שיהא ניכר שיש שם שתי חתונות ואין מברכים לזה בפני זה כדי להפריש בחתונתם וזהו בענין שבע ברכות ביום החופה וברכת אירוסין אבל לענין שמנה ברכות של סעודה שנוהגין אין צריך וכן ראוי לעשות"</w:t>
      </w:r>
      <w:r w:rsidRPr="00351B7D">
        <w:rPr>
          <w:rFonts w:asciiTheme="minorBidi" w:hAnsiTheme="minorBidi"/>
          <w:rtl/>
        </w:rPr>
        <w:t xml:space="preserve">. </w:t>
      </w:r>
      <w:r w:rsidRPr="00351B7D">
        <w:rPr>
          <w:rFonts w:asciiTheme="minorBidi" w:hAnsiTheme="minorBidi"/>
          <w:color w:val="00B0F0"/>
          <w:rtl/>
        </w:rPr>
        <w:t>(וכ"פ הרמ"א)</w:t>
      </w:r>
    </w:p>
    <w:p w14:paraId="4068FC4B" w14:textId="77777777" w:rsidR="008E16D0" w:rsidRPr="00351B7D" w:rsidRDefault="008E16D0" w:rsidP="00A8697F">
      <w:pPr>
        <w:pStyle w:val="ab"/>
        <w:numPr>
          <w:ilvl w:val="0"/>
          <w:numId w:val="79"/>
        </w:numPr>
        <w:rPr>
          <w:rFonts w:asciiTheme="minorBidi" w:hAnsiTheme="minorBidi"/>
          <w:rtl/>
        </w:rPr>
      </w:pPr>
      <w:r w:rsidRPr="00351B7D">
        <w:rPr>
          <w:rFonts w:asciiTheme="minorBidi" w:hAnsiTheme="minorBidi"/>
          <w:rtl/>
        </w:rPr>
        <w:t xml:space="preserve">הגה"מ </w:t>
      </w:r>
      <w:r w:rsidRPr="00351B7D">
        <w:rPr>
          <w:rFonts w:asciiTheme="minorBidi" w:hAnsiTheme="minorBidi"/>
          <w:sz w:val="16"/>
          <w:szCs w:val="16"/>
          <w:rtl/>
        </w:rPr>
        <w:t>(פ"י מה"א אות ג)</w:t>
      </w:r>
      <w:r w:rsidRPr="00351B7D">
        <w:rPr>
          <w:rFonts w:asciiTheme="minorBidi" w:hAnsiTheme="minorBidi"/>
          <w:rtl/>
        </w:rPr>
        <w:t xml:space="preserve"> בשם אביאסף- וראוי היה לשני חתנים להפטר בברכה אחת כמו שנפטרו בסעודה בחדא ברכת שבע ברכות לולא מפני עין הרע</w:t>
      </w:r>
      <w:r w:rsidRPr="00351B7D">
        <w:rPr>
          <w:rStyle w:val="a7"/>
          <w:rFonts w:asciiTheme="minorBidi" w:hAnsiTheme="minorBidi"/>
          <w:rtl/>
        </w:rPr>
        <w:footnoteReference w:id="639"/>
      </w:r>
      <w:r w:rsidRPr="00351B7D">
        <w:rPr>
          <w:rFonts w:asciiTheme="minorBidi" w:hAnsiTheme="minorBidi"/>
          <w:rtl/>
        </w:rPr>
        <w:t>.</w:t>
      </w:r>
      <w:r w:rsidRPr="00351B7D">
        <w:rPr>
          <w:rFonts w:asciiTheme="minorBidi" w:hAnsiTheme="minorBidi"/>
          <w:color w:val="00B0F0"/>
          <w:rtl/>
        </w:rPr>
        <w:t xml:space="preserve"> </w:t>
      </w:r>
    </w:p>
    <w:p w14:paraId="16A3A8EF"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948A94" w14:textId="77777777" w:rsidR="008E16D0" w:rsidRPr="00351B7D" w:rsidRDefault="008E16D0" w:rsidP="008E16D0">
      <w:pPr>
        <w:rPr>
          <w:rFonts w:asciiTheme="minorBidi" w:hAnsiTheme="minorBidi"/>
          <w:color w:val="000000"/>
          <w:rtl/>
        </w:rPr>
      </w:pPr>
      <w:r w:rsidRPr="00351B7D">
        <w:rPr>
          <w:rFonts w:asciiTheme="minorBidi" w:hAnsiTheme="minorBidi"/>
          <w:rtl/>
        </w:rPr>
        <w:t>אם יש שני חתנים יחד מברכים ברכת חתנים אחת לשניהם.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ואפילו לא היו החתנים ביחד אלא שהיה דעתו על שניהם</w:t>
      </w:r>
      <w:r w:rsidRPr="00351B7D">
        <w:rPr>
          <w:rStyle w:val="a7"/>
          <w:rFonts w:asciiTheme="minorBidi" w:hAnsiTheme="minorBidi"/>
          <w:color w:val="000000"/>
          <w:sz w:val="18"/>
          <w:szCs w:val="18"/>
          <w:rtl/>
        </w:rPr>
        <w:footnoteReference w:id="640"/>
      </w:r>
      <w:r w:rsidRPr="00351B7D">
        <w:rPr>
          <w:rFonts w:asciiTheme="minorBidi" w:hAnsiTheme="minorBidi"/>
          <w:color w:val="000000"/>
          <w:sz w:val="18"/>
          <w:szCs w:val="18"/>
          <w:rtl/>
        </w:rPr>
        <w:t xml:space="preserve"> כמו שנתבאר ביו"ד סימן רס"ה לענין מילה, וי"א דאין לברך לב' חתנים ביחד משום עין הרע (הגה"מ פ"י דאישות), וכן נוהגין לעשות לכל אחד חופה בפני עצמו ולברך לכל אחד, אבל לאחר הסעודה מברכין להרבה חתנים ביחד</w:t>
      </w:r>
      <w:r w:rsidRPr="00351B7D">
        <w:rPr>
          <w:rStyle w:val="a7"/>
          <w:rFonts w:asciiTheme="minorBidi" w:hAnsiTheme="minorBidi"/>
          <w:color w:val="000000"/>
          <w:sz w:val="18"/>
          <w:szCs w:val="18"/>
          <w:rtl/>
        </w:rPr>
        <w:footnoteReference w:id="641"/>
      </w:r>
      <w:r w:rsidRPr="00351B7D">
        <w:rPr>
          <w:rFonts w:asciiTheme="minorBidi" w:hAnsiTheme="minorBidi"/>
          <w:color w:val="000000"/>
          <w:sz w:val="18"/>
          <w:szCs w:val="18"/>
          <w:rtl/>
        </w:rPr>
        <w:t xml:space="preserve"> אם אכלו ביחד. </w:t>
      </w:r>
    </w:p>
    <w:p w14:paraId="20951A9F" w14:textId="77777777" w:rsidR="008E16D0" w:rsidRPr="00351B7D" w:rsidRDefault="008E16D0" w:rsidP="008E16D0">
      <w:pPr>
        <w:rPr>
          <w:rFonts w:asciiTheme="minorBidi" w:hAnsiTheme="minorBidi"/>
          <w:color w:val="000000"/>
          <w:rtl/>
        </w:rPr>
      </w:pPr>
    </w:p>
    <w:p w14:paraId="132B0AD9" w14:textId="77777777" w:rsidR="008E16D0" w:rsidRPr="00351B7D" w:rsidRDefault="008E16D0" w:rsidP="008E16D0">
      <w:pPr>
        <w:pStyle w:val="2"/>
        <w:rPr>
          <w:rFonts w:asciiTheme="minorBidi" w:hAnsiTheme="minorBidi"/>
          <w:rtl/>
        </w:rPr>
      </w:pPr>
      <w:r w:rsidRPr="00351B7D">
        <w:rPr>
          <w:rFonts w:asciiTheme="minorBidi" w:hAnsiTheme="minorBidi"/>
          <w:rtl/>
        </w:rPr>
        <w:t>סעיף ד: ברכת חתנים בעשרה.</w:t>
      </w:r>
    </w:p>
    <w:p w14:paraId="754BEC70" w14:textId="77777777" w:rsidR="008E16D0" w:rsidRPr="00351B7D" w:rsidRDefault="008E16D0" w:rsidP="008E16D0">
      <w:pPr>
        <w:rPr>
          <w:rFonts w:asciiTheme="minorBidi" w:hAnsiTheme="minorBidi"/>
          <w:sz w:val="16"/>
          <w:szCs w:val="16"/>
          <w:rtl/>
        </w:rPr>
      </w:pPr>
      <w:r w:rsidRPr="00351B7D">
        <w:rPr>
          <w:rFonts w:asciiTheme="minorBidi" w:hAnsiTheme="minorBidi"/>
          <w:b/>
          <w:bCs/>
          <w:rtl/>
        </w:rPr>
        <w:t xml:space="preserve">כתובות ז ע"א: </w:t>
      </w:r>
      <w:r w:rsidRPr="00351B7D">
        <w:rPr>
          <w:rFonts w:asciiTheme="minorBidi" w:hAnsiTheme="minorBidi"/>
          <w:u w:val="single"/>
          <w:rtl/>
        </w:rPr>
        <w:t>והאמר רב נחמן</w:t>
      </w:r>
      <w:r w:rsidRPr="00351B7D">
        <w:rPr>
          <w:rFonts w:asciiTheme="minorBidi" w:hAnsiTheme="minorBidi"/>
          <w:rtl/>
        </w:rPr>
        <w:t xml:space="preserve">: אמר לי הונא בר נתן, תנא: מנין לברכת חתנים בעשרה? שנאמר: ויקח עשרה אנשים מזקני העיר ויאמר שבו פה וישבו... </w:t>
      </w:r>
      <w:r w:rsidRPr="00351B7D">
        <w:rPr>
          <w:rFonts w:asciiTheme="minorBidi" w:hAnsiTheme="minorBidi"/>
          <w:sz w:val="16"/>
          <w:szCs w:val="16"/>
          <w:u w:val="double"/>
          <w:rtl/>
        </w:rPr>
        <w:t>(ח:)</w:t>
      </w:r>
      <w:r w:rsidRPr="00351B7D">
        <w:rPr>
          <w:rFonts w:asciiTheme="minorBidi" w:hAnsiTheme="minorBidi"/>
          <w:b/>
          <w:bCs/>
          <w:rtl/>
        </w:rPr>
        <w:t xml:space="preserve"> </w:t>
      </w:r>
      <w:r w:rsidRPr="00351B7D">
        <w:rPr>
          <w:rFonts w:asciiTheme="minorBidi" w:hAnsiTheme="minorBidi"/>
          <w:u w:val="single"/>
          <w:rtl/>
        </w:rPr>
        <w:t>אמר רבי יוחנן:</w:t>
      </w:r>
      <w:r w:rsidRPr="00351B7D">
        <w:rPr>
          <w:rFonts w:asciiTheme="minorBidi" w:hAnsiTheme="minorBidi"/>
          <w:rtl/>
        </w:rPr>
        <w:t xml:space="preserve"> מברכים ברכת חתנים בעשרה וחתנים מן המנין.</w:t>
      </w:r>
      <w:r w:rsidRPr="00351B7D">
        <w:rPr>
          <w:rFonts w:asciiTheme="minorBidi" w:hAnsiTheme="minorBidi"/>
          <w:color w:val="000000"/>
          <w:sz w:val="16"/>
          <w:szCs w:val="16"/>
          <w:rtl/>
        </w:rPr>
        <w:t xml:space="preserve"> (וכ' הרמב"ם (פ"י מה"א ה"ה, הביאו הטור) דבעי גדולים ובני חורין, וכ' הה"מ דהיינו לומר שאין עבד וקטן מצטרפין, וכן דעתו ז"ל בפ"ח מהל' תפילה (ה"ד) והוא הדין לכל דבר שצריך י' שאין מצטרפין)</w:t>
      </w:r>
      <w:r w:rsidRPr="00351B7D">
        <w:rPr>
          <w:rFonts w:asciiTheme="minorBidi" w:hAnsiTheme="minorBidi"/>
          <w:u w:val="single"/>
          <w:rtl/>
        </w:rPr>
        <w:t xml:space="preserve"> </w:t>
      </w:r>
    </w:p>
    <w:p w14:paraId="7CBA7B12" w14:textId="77777777" w:rsidR="008E16D0" w:rsidRPr="00351B7D" w:rsidRDefault="008E16D0" w:rsidP="008E16D0">
      <w:pPr>
        <w:rPr>
          <w:rFonts w:asciiTheme="minorBidi" w:hAnsiTheme="minorBidi"/>
          <w:u w:val="single"/>
          <w:rtl/>
        </w:rPr>
      </w:pPr>
      <w:r w:rsidRPr="00351B7D">
        <w:rPr>
          <w:rFonts w:asciiTheme="minorBidi" w:hAnsiTheme="minorBidi"/>
          <w:u w:val="single"/>
          <w:rtl/>
        </w:rPr>
        <w:t>כשאין עשרה</w:t>
      </w:r>
      <w:r w:rsidRPr="00351B7D">
        <w:rPr>
          <w:rFonts w:asciiTheme="minorBidi" w:hAnsiTheme="minorBidi"/>
          <w:sz w:val="16"/>
          <w:szCs w:val="16"/>
          <w:u w:val="single"/>
          <w:rtl/>
        </w:rPr>
        <w:t xml:space="preserve"> (שאז א"א לברך ברכת חתנים)</w:t>
      </w:r>
      <w:r w:rsidRPr="00351B7D">
        <w:rPr>
          <w:rFonts w:asciiTheme="minorBidi" w:hAnsiTheme="minorBidi"/>
          <w:u w:val="single"/>
          <w:rtl/>
        </w:rPr>
        <w:t>- האם יכולים להינשא בלא הברכות או שהברכות מעכבות:</w:t>
      </w:r>
    </w:p>
    <w:p w14:paraId="19106172" w14:textId="77777777" w:rsidR="008E16D0" w:rsidRPr="00351B7D" w:rsidRDefault="008E16D0" w:rsidP="00A8697F">
      <w:pPr>
        <w:pStyle w:val="ab"/>
        <w:numPr>
          <w:ilvl w:val="0"/>
          <w:numId w:val="81"/>
        </w:numPr>
        <w:rPr>
          <w:rFonts w:asciiTheme="minorBidi" w:hAnsiTheme="minorBidi"/>
        </w:rPr>
      </w:pPr>
      <w:r w:rsidRPr="00351B7D">
        <w:rPr>
          <w:rFonts w:asciiTheme="minorBidi" w:hAnsiTheme="minorBidi"/>
          <w:rtl/>
        </w:rPr>
        <w:t>ר"ש משנץ</w:t>
      </w:r>
      <w:r w:rsidRPr="00351B7D">
        <w:rPr>
          <w:rStyle w:val="a7"/>
          <w:rFonts w:asciiTheme="minorBidi" w:hAnsiTheme="minorBidi"/>
          <w:rtl/>
        </w:rPr>
        <w:footnoteReference w:id="642"/>
      </w:r>
      <w:r w:rsidRPr="00351B7D">
        <w:rPr>
          <w:rFonts w:asciiTheme="minorBidi" w:hAnsiTheme="minorBidi"/>
          <w:rtl/>
        </w:rPr>
        <w:t xml:space="preserve"> תרוה"ד </w:t>
      </w:r>
      <w:r w:rsidRPr="00351B7D">
        <w:rPr>
          <w:rFonts w:asciiTheme="minorBidi" w:hAnsiTheme="minorBidi"/>
          <w:sz w:val="16"/>
          <w:szCs w:val="16"/>
          <w:rtl/>
        </w:rPr>
        <w:t xml:space="preserve">(ח"ב סי' ק"מ) </w:t>
      </w:r>
      <w:r w:rsidRPr="00351B7D">
        <w:rPr>
          <w:rFonts w:asciiTheme="minorBidi" w:hAnsiTheme="minorBidi"/>
          <w:rtl/>
        </w:rPr>
        <w:t xml:space="preserve">והגמ"ר </w:t>
      </w:r>
      <w:r w:rsidRPr="00351B7D">
        <w:rPr>
          <w:rFonts w:asciiTheme="minorBidi" w:hAnsiTheme="minorBidi"/>
          <w:sz w:val="16"/>
          <w:szCs w:val="16"/>
          <w:rtl/>
        </w:rPr>
        <w:t>(קידושין סי' תקמה)</w:t>
      </w:r>
      <w:r w:rsidRPr="00351B7D">
        <w:rPr>
          <w:rFonts w:asciiTheme="minorBidi" w:hAnsiTheme="minorBidi"/>
          <w:rtl/>
        </w:rPr>
        <w:t>- "מסתבר דכלה בלא ברכה דאסורה היינו בלא חופה, אלא דנקט בלא ברכה לפי שעושין ברכה בשעת נישואין... ובשום מקום לא מצינו ברכות מעכבות את המצות, וכי ס"ד אם אין במדינה י' לא תנשא שום אשה משום דברכ' חתנים בעשרה, ועוד אמרינן בהניזקין</w:t>
      </w:r>
      <w:r w:rsidRPr="00351B7D">
        <w:rPr>
          <w:rFonts w:asciiTheme="minorBidi" w:hAnsiTheme="minorBidi"/>
          <w:sz w:val="16"/>
          <w:szCs w:val="16"/>
          <w:rtl/>
        </w:rPr>
        <w:t xml:space="preserve"> (גיטין נז.)</w:t>
      </w:r>
      <w:r w:rsidRPr="00351B7D">
        <w:rPr>
          <w:rFonts w:asciiTheme="minorBidi" w:hAnsiTheme="minorBidi"/>
          <w:rtl/>
        </w:rPr>
        <w:t xml:space="preserve"> </w:t>
      </w:r>
      <w:r w:rsidRPr="00351B7D">
        <w:rPr>
          <w:rFonts w:asciiTheme="minorBidi" w:hAnsiTheme="minorBidi"/>
          <w:rtl/>
        </w:rPr>
        <w:lastRenderedPageBreak/>
        <w:t>מעשה בארוס ובארוסתו שנשבו לבין הגוים והשיאום זה לזה אמרה לו לא תגע בי שאין לי כתובה ממך ולא נגע בה, אבל משום כלה בלא ברכה לא נמנע בה, ותו לא מידי</w:t>
      </w:r>
      <w:r w:rsidRPr="00351B7D">
        <w:rPr>
          <w:rStyle w:val="a7"/>
          <w:rFonts w:asciiTheme="minorBidi" w:hAnsiTheme="minorBidi"/>
          <w:rtl/>
        </w:rPr>
        <w:footnoteReference w:id="643"/>
      </w:r>
      <w:r w:rsidRPr="00351B7D">
        <w:rPr>
          <w:rFonts w:asciiTheme="minorBidi" w:hAnsiTheme="minorBidi"/>
          <w:rtl/>
        </w:rPr>
        <w:t>". (וכ"פ דרכ"מ ב"ח</w:t>
      </w:r>
      <w:r w:rsidRPr="00351B7D">
        <w:rPr>
          <w:rFonts w:asciiTheme="minorBidi" w:hAnsiTheme="minorBidi"/>
          <w:sz w:val="16"/>
          <w:szCs w:val="16"/>
          <w:rtl/>
        </w:rPr>
        <w:t xml:space="preserve"> [אות ה] </w:t>
      </w:r>
      <w:r w:rsidRPr="00351B7D">
        <w:rPr>
          <w:rFonts w:asciiTheme="minorBidi" w:hAnsiTheme="minorBidi"/>
          <w:rtl/>
        </w:rPr>
        <w:t>ח"מ</w:t>
      </w:r>
      <w:r w:rsidRPr="00351B7D">
        <w:rPr>
          <w:rStyle w:val="a7"/>
          <w:rFonts w:asciiTheme="minorBidi" w:hAnsiTheme="minorBidi"/>
          <w:rtl/>
        </w:rPr>
        <w:footnoteReference w:id="644"/>
      </w:r>
      <w:r w:rsidRPr="00351B7D">
        <w:rPr>
          <w:rFonts w:asciiTheme="minorBidi" w:hAnsiTheme="minorBidi"/>
          <w:rtl/>
        </w:rPr>
        <w:t xml:space="preserve"> וב"ש) </w:t>
      </w:r>
    </w:p>
    <w:p w14:paraId="2477084A" w14:textId="77777777" w:rsidR="008E16D0" w:rsidRPr="00351B7D" w:rsidRDefault="008E16D0" w:rsidP="00A8697F">
      <w:pPr>
        <w:pStyle w:val="ab"/>
        <w:numPr>
          <w:ilvl w:val="0"/>
          <w:numId w:val="81"/>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645"/>
      </w:r>
      <w:r w:rsidRPr="00351B7D">
        <w:rPr>
          <w:rFonts w:asciiTheme="minorBidi" w:hAnsiTheme="minorBidi"/>
          <w:sz w:val="16"/>
          <w:szCs w:val="16"/>
          <w:rtl/>
        </w:rPr>
        <w:t>(ח"א סי' אלף קס"ז)</w:t>
      </w:r>
      <w:r w:rsidRPr="00351B7D">
        <w:rPr>
          <w:rFonts w:asciiTheme="minorBidi" w:hAnsiTheme="minorBidi"/>
          <w:rtl/>
        </w:rPr>
        <w:t xml:space="preserve"> וב"י- "אם אין שם עשרה שלא תנשא אשה</w:t>
      </w:r>
      <w:r w:rsidRPr="00351B7D">
        <w:rPr>
          <w:rFonts w:asciiTheme="minorBidi" w:hAnsiTheme="minorBidi"/>
          <w:sz w:val="16"/>
          <w:szCs w:val="16"/>
          <w:rtl/>
        </w:rPr>
        <w:t xml:space="preserve"> (ל' הב"י)</w:t>
      </w:r>
      <w:r w:rsidRPr="00351B7D">
        <w:rPr>
          <w:rStyle w:val="a7"/>
          <w:rFonts w:asciiTheme="minorBidi" w:hAnsiTheme="minorBidi"/>
          <w:rtl/>
        </w:rPr>
        <w:footnoteReference w:id="646"/>
      </w:r>
      <w:r w:rsidRPr="00351B7D">
        <w:rPr>
          <w:rFonts w:asciiTheme="minorBidi" w:hAnsiTheme="minorBidi"/>
          <w:rtl/>
        </w:rPr>
        <w:t>".</w:t>
      </w:r>
    </w:p>
    <w:p w14:paraId="0585C95E"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צריך עשרה כדי לברך ברכת אשר ברא</w:t>
      </w:r>
      <w:r w:rsidRPr="00351B7D">
        <w:rPr>
          <w:rStyle w:val="a7"/>
          <w:rFonts w:asciiTheme="minorBidi" w:hAnsiTheme="minorBidi"/>
          <w:u w:val="single"/>
          <w:rtl/>
        </w:rPr>
        <w:footnoteReference w:id="647"/>
      </w:r>
      <w:r w:rsidRPr="00351B7D">
        <w:rPr>
          <w:rFonts w:asciiTheme="minorBidi" w:hAnsiTheme="minorBidi"/>
          <w:u w:val="single"/>
          <w:rtl/>
        </w:rPr>
        <w:t>:</w:t>
      </w:r>
    </w:p>
    <w:p w14:paraId="788ABD63" w14:textId="77777777" w:rsidR="008E16D0" w:rsidRPr="00351B7D" w:rsidRDefault="008E16D0" w:rsidP="00A8697F">
      <w:pPr>
        <w:pStyle w:val="ab"/>
        <w:numPr>
          <w:ilvl w:val="0"/>
          <w:numId w:val="91"/>
        </w:numPr>
        <w:rPr>
          <w:rFonts w:asciiTheme="minorBidi" w:hAnsiTheme="minorBidi"/>
          <w:rtl/>
        </w:rPr>
      </w:pPr>
      <w:r w:rsidRPr="00351B7D">
        <w:rPr>
          <w:rFonts w:asciiTheme="minorBidi" w:hAnsiTheme="minorBidi"/>
          <w:rtl/>
        </w:rPr>
        <w:t>רמב"ם רא"ש ור"ן</w:t>
      </w:r>
      <w:r w:rsidRPr="00351B7D">
        <w:rPr>
          <w:rStyle w:val="a7"/>
          <w:rFonts w:asciiTheme="minorBidi" w:hAnsiTheme="minorBidi"/>
          <w:rtl/>
        </w:rPr>
        <w:footnoteReference w:id="648"/>
      </w:r>
      <w:r w:rsidRPr="00351B7D">
        <w:rPr>
          <w:rFonts w:asciiTheme="minorBidi" w:hAnsiTheme="minorBidi"/>
          <w:rtl/>
        </w:rPr>
        <w:t xml:space="preserve">- לא בעי עשרה אלא כשמברכין כל ברכת הזיווג </w:t>
      </w:r>
      <w:r w:rsidRPr="00351B7D">
        <w:rPr>
          <w:rFonts w:asciiTheme="minorBidi" w:hAnsiTheme="minorBidi"/>
          <w:sz w:val="16"/>
          <w:szCs w:val="16"/>
          <w:rtl/>
        </w:rPr>
        <w:t xml:space="preserve">(היינו ו' הברכות) </w:t>
      </w:r>
      <w:r w:rsidRPr="00351B7D">
        <w:rPr>
          <w:rFonts w:asciiTheme="minorBidi" w:hAnsiTheme="minorBidi"/>
          <w:rtl/>
        </w:rPr>
        <w:t>דומיא דבועז</w:t>
      </w:r>
      <w:r w:rsidRPr="00351B7D">
        <w:rPr>
          <w:rStyle w:val="a7"/>
          <w:rFonts w:asciiTheme="minorBidi" w:hAnsiTheme="minorBidi"/>
          <w:rtl/>
        </w:rPr>
        <w:footnoteReference w:id="649"/>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7D907F8A" w14:textId="77777777" w:rsidR="008E16D0" w:rsidRPr="00351B7D" w:rsidRDefault="008E16D0" w:rsidP="00A8697F">
      <w:pPr>
        <w:pStyle w:val="ab"/>
        <w:numPr>
          <w:ilvl w:val="0"/>
          <w:numId w:val="91"/>
        </w:numPr>
        <w:rPr>
          <w:rFonts w:asciiTheme="minorBidi" w:hAnsiTheme="minorBidi"/>
          <w:rtl/>
        </w:rPr>
      </w:pPr>
      <w:r w:rsidRPr="00351B7D">
        <w:rPr>
          <w:rFonts w:asciiTheme="minorBidi" w:hAnsiTheme="minorBidi"/>
          <w:rtl/>
        </w:rPr>
        <w:t xml:space="preserve">רמב"ן </w:t>
      </w:r>
      <w:r w:rsidRPr="00351B7D">
        <w:rPr>
          <w:rFonts w:asciiTheme="minorBidi" w:hAnsiTheme="minorBidi"/>
          <w:sz w:val="16"/>
          <w:szCs w:val="16"/>
          <w:rtl/>
        </w:rPr>
        <w:t xml:space="preserve">(כ"כ הר"ן </w:t>
      </w:r>
      <w:r w:rsidRPr="00351B7D">
        <w:rPr>
          <w:rFonts w:asciiTheme="minorBidi" w:hAnsiTheme="minorBidi"/>
          <w:sz w:val="14"/>
          <w:szCs w:val="14"/>
          <w:rtl/>
        </w:rPr>
        <w:t xml:space="preserve">[שם] </w:t>
      </w:r>
      <w:r w:rsidRPr="00351B7D">
        <w:rPr>
          <w:rFonts w:asciiTheme="minorBidi" w:hAnsiTheme="minorBidi"/>
          <w:sz w:val="16"/>
          <w:szCs w:val="16"/>
          <w:rtl/>
        </w:rPr>
        <w:t>בשמו)</w:t>
      </w:r>
      <w:r w:rsidRPr="00351B7D">
        <w:rPr>
          <w:rFonts w:asciiTheme="minorBidi" w:hAnsiTheme="minorBidi"/>
          <w:rtl/>
        </w:rPr>
        <w:t xml:space="preserve"> ורשב"א </w:t>
      </w:r>
      <w:r w:rsidRPr="00351B7D">
        <w:rPr>
          <w:rFonts w:asciiTheme="minorBidi" w:hAnsiTheme="minorBidi"/>
          <w:sz w:val="16"/>
          <w:szCs w:val="16"/>
          <w:rtl/>
        </w:rPr>
        <w:t>(ח"א סי' תרמו, וסי' אלף קסד)</w:t>
      </w:r>
      <w:r w:rsidRPr="00351B7D">
        <w:rPr>
          <w:rFonts w:asciiTheme="minorBidi" w:hAnsiTheme="minorBidi"/>
          <w:rtl/>
        </w:rPr>
        <w:t>- בעיא עשרה. (וכ"פ מהר"ל מפראג</w:t>
      </w:r>
      <w:r w:rsidRPr="00351B7D">
        <w:rPr>
          <w:rFonts w:asciiTheme="minorBidi" w:hAnsiTheme="minorBidi"/>
          <w:sz w:val="16"/>
          <w:szCs w:val="16"/>
          <w:rtl/>
        </w:rPr>
        <w:t xml:space="preserve"> [הביאו הט"ז סק"ב]</w:t>
      </w:r>
      <w:r w:rsidRPr="00351B7D">
        <w:rPr>
          <w:rFonts w:asciiTheme="minorBidi" w:hAnsiTheme="minorBidi"/>
          <w:rtl/>
        </w:rPr>
        <w:t>)</w:t>
      </w:r>
    </w:p>
    <w:p w14:paraId="2B79C5A6"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A03629"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אין מברכין ברכת חתנים אלא בעשרה</w:t>
      </w:r>
      <w:r w:rsidRPr="00351B7D">
        <w:rPr>
          <w:rStyle w:val="a7"/>
          <w:rFonts w:asciiTheme="minorBidi" w:hAnsiTheme="minorBidi"/>
          <w:color w:val="000000"/>
          <w:rtl/>
        </w:rPr>
        <w:footnoteReference w:id="650"/>
      </w:r>
      <w:r w:rsidRPr="00351B7D">
        <w:rPr>
          <w:rFonts w:asciiTheme="minorBidi" w:hAnsiTheme="minorBidi"/>
          <w:rtl/>
        </w:rPr>
        <w:t xml:space="preserve"> גדולים ובני חורין וחתן מן המנין בין כשאומרים אותם בשעת נשואין בין כשאומרים אותם אחר ברכת המזון</w:t>
      </w:r>
      <w:r w:rsidRPr="00351B7D">
        <w:rPr>
          <w:rStyle w:val="a7"/>
          <w:rFonts w:asciiTheme="minorBidi" w:hAnsiTheme="minorBidi"/>
          <w:color w:val="000000"/>
          <w:rtl/>
        </w:rPr>
        <w:footnoteReference w:id="651"/>
      </w:r>
      <w:r w:rsidRPr="00351B7D">
        <w:rPr>
          <w:rFonts w:asciiTheme="minorBidi" w:hAnsiTheme="minorBidi"/>
          <w:rtl/>
        </w:rPr>
        <w:t>, אבל כשאין אומרים אחר ברכת המזון אלא ברכת אשר ברא</w:t>
      </w:r>
      <w:r w:rsidRPr="00351B7D">
        <w:rPr>
          <w:rStyle w:val="a7"/>
          <w:rFonts w:asciiTheme="minorBidi" w:hAnsiTheme="minorBidi"/>
          <w:color w:val="000000"/>
          <w:rtl/>
        </w:rPr>
        <w:footnoteReference w:id="652"/>
      </w:r>
      <w:r w:rsidRPr="00351B7D">
        <w:rPr>
          <w:rFonts w:asciiTheme="minorBidi" w:hAnsiTheme="minorBidi"/>
          <w:rtl/>
        </w:rPr>
        <w:t xml:space="preserve"> אינו צריך עשרה</w:t>
      </w:r>
      <w:r w:rsidRPr="00351B7D">
        <w:rPr>
          <w:rStyle w:val="a7"/>
          <w:rFonts w:asciiTheme="minorBidi" w:hAnsiTheme="minorBidi"/>
          <w:color w:val="000000"/>
          <w:rtl/>
        </w:rPr>
        <w:footnoteReference w:id="653"/>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(ומ"מ ג' בעינן</w:t>
      </w:r>
      <w:r w:rsidRPr="00351B7D">
        <w:rPr>
          <w:rStyle w:val="a7"/>
          <w:rFonts w:asciiTheme="minorBidi" w:hAnsiTheme="minorBidi"/>
          <w:color w:val="000000"/>
          <w:sz w:val="18"/>
          <w:szCs w:val="18"/>
          <w:rtl/>
        </w:rPr>
        <w:footnoteReference w:id="654"/>
      </w:r>
      <w:r w:rsidRPr="00351B7D">
        <w:rPr>
          <w:rFonts w:asciiTheme="minorBidi" w:hAnsiTheme="minorBidi"/>
          <w:color w:val="000000"/>
          <w:sz w:val="18"/>
          <w:szCs w:val="18"/>
          <w:rtl/>
        </w:rPr>
        <w:t xml:space="preserve"> (הר"ן פ"ק דכתובות)). </w:t>
      </w:r>
    </w:p>
    <w:p w14:paraId="124AC054" w14:textId="77777777" w:rsidR="008E16D0" w:rsidRPr="00351B7D" w:rsidRDefault="008E16D0" w:rsidP="008E16D0">
      <w:pPr>
        <w:rPr>
          <w:rFonts w:asciiTheme="minorBidi" w:hAnsiTheme="minorBidi"/>
          <w:color w:val="000000"/>
          <w:rtl/>
        </w:rPr>
      </w:pPr>
    </w:p>
    <w:p w14:paraId="58C10CB0" w14:textId="77777777" w:rsidR="008E16D0" w:rsidRPr="00351B7D" w:rsidRDefault="008E16D0" w:rsidP="008E16D0">
      <w:pPr>
        <w:pStyle w:val="2"/>
        <w:rPr>
          <w:rFonts w:asciiTheme="minorBidi" w:hAnsiTheme="minorBidi"/>
          <w:rtl/>
        </w:rPr>
      </w:pPr>
      <w:r w:rsidRPr="00351B7D">
        <w:rPr>
          <w:rFonts w:asciiTheme="minorBidi" w:hAnsiTheme="minorBidi"/>
          <w:rtl/>
        </w:rPr>
        <w:t>סעיף ה: ברכת חתנים בבית חתנים לאחר ברהמ"ז.</w:t>
      </w:r>
    </w:p>
    <w:p w14:paraId="0110A24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2ECF5D"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rtl/>
        </w:rPr>
        <w:t>מברכין ברכת חתנים בבית חתנים אחר ברכת המזון בכל סעודה וסעודה שאוכלין שם ואין מברכין ברכה זו לא עבדים ולא קטנים</w:t>
      </w:r>
      <w:r w:rsidRPr="00351B7D">
        <w:rPr>
          <w:rStyle w:val="a7"/>
          <w:rFonts w:asciiTheme="minorBidi" w:hAnsiTheme="minorBidi"/>
          <w:color w:val="000000"/>
          <w:rtl/>
        </w:rPr>
        <w:footnoteReference w:id="655"/>
      </w:r>
      <w:r w:rsidRPr="00351B7D">
        <w:rPr>
          <w:rFonts w:asciiTheme="minorBidi" w:hAnsiTheme="minorBidi"/>
          <w:color w:val="000000"/>
          <w:rtl/>
        </w:rPr>
        <w:t>.</w:t>
      </w:r>
      <w:r w:rsidRPr="00351B7D">
        <w:rPr>
          <w:rFonts w:asciiTheme="minorBidi" w:hAnsiTheme="minorBidi"/>
          <w:color w:val="000000"/>
          <w:sz w:val="16"/>
          <w:szCs w:val="16"/>
          <w:rtl/>
        </w:rPr>
        <w:t xml:space="preserve"> {רמב"ם </w:t>
      </w:r>
      <w:r w:rsidRPr="00351B7D">
        <w:rPr>
          <w:rFonts w:asciiTheme="minorBidi" w:hAnsiTheme="minorBidi"/>
          <w:color w:val="000000"/>
          <w:sz w:val="14"/>
          <w:szCs w:val="14"/>
          <w:rtl/>
        </w:rPr>
        <w:t>[פ"ב מהל' ברכות ה"ט]</w:t>
      </w:r>
      <w:r w:rsidRPr="00351B7D">
        <w:rPr>
          <w:rFonts w:asciiTheme="minorBidi" w:hAnsiTheme="minorBidi"/>
          <w:color w:val="000000"/>
          <w:sz w:val="16"/>
          <w:szCs w:val="16"/>
          <w:rtl/>
        </w:rPr>
        <w:t>}</w:t>
      </w:r>
    </w:p>
    <w:p w14:paraId="7CD624DC" w14:textId="77777777" w:rsidR="008E16D0" w:rsidRPr="00351B7D" w:rsidRDefault="008E16D0" w:rsidP="008E16D0">
      <w:pPr>
        <w:rPr>
          <w:rFonts w:asciiTheme="minorBidi" w:hAnsiTheme="minorBidi"/>
          <w:color w:val="000000"/>
          <w:rtl/>
        </w:rPr>
      </w:pPr>
      <w:r w:rsidRPr="00351B7D">
        <w:rPr>
          <w:rFonts w:asciiTheme="minorBidi" w:hAnsiTheme="minorBidi"/>
          <w:color w:val="000000"/>
          <w:rtl/>
        </w:rPr>
        <w:t xml:space="preserve"> </w:t>
      </w:r>
    </w:p>
    <w:p w14:paraId="3E50FDE3" w14:textId="77777777" w:rsidR="008E16D0" w:rsidRPr="00351B7D" w:rsidRDefault="008E16D0" w:rsidP="008E16D0">
      <w:pPr>
        <w:pStyle w:val="2"/>
        <w:rPr>
          <w:rFonts w:asciiTheme="minorBidi" w:hAnsiTheme="minorBidi"/>
          <w:rtl/>
        </w:rPr>
      </w:pPr>
      <w:r w:rsidRPr="00351B7D">
        <w:rPr>
          <w:rFonts w:asciiTheme="minorBidi" w:hAnsiTheme="minorBidi"/>
          <w:rtl/>
        </w:rPr>
        <w:t>סעיף ו: כמה ימים מברכים ברכת חתנים.</w:t>
      </w:r>
    </w:p>
    <w:p w14:paraId="4428D1F2" w14:textId="77777777" w:rsidR="008E16D0" w:rsidRPr="00351B7D" w:rsidRDefault="008E16D0" w:rsidP="008E16D0">
      <w:pPr>
        <w:rPr>
          <w:rFonts w:asciiTheme="minorBidi" w:hAnsiTheme="minorBidi"/>
        </w:rPr>
      </w:pPr>
      <w:r w:rsidRPr="00351B7D">
        <w:rPr>
          <w:rFonts w:asciiTheme="minorBidi" w:hAnsiTheme="minorBidi"/>
          <w:b/>
          <w:bCs/>
          <w:rtl/>
        </w:rPr>
        <w:t xml:space="preserve">כתובות ז ע"א: </w:t>
      </w:r>
      <w:r w:rsidRPr="00351B7D">
        <w:rPr>
          <w:rFonts w:asciiTheme="minorBidi" w:hAnsiTheme="minorBidi"/>
          <w:u w:val="single"/>
          <w:rtl/>
        </w:rPr>
        <w:t>אמר רבי חלבו אמר רב הונא א"ר אבא בר זבדא אמר רב</w:t>
      </w:r>
      <w:r w:rsidRPr="00351B7D">
        <w:rPr>
          <w:rFonts w:asciiTheme="minorBidi" w:hAnsiTheme="minorBidi"/>
          <w:rtl/>
        </w:rPr>
        <w:t xml:space="preserve">: אחת בתולה ואחת אלמנה - טעונה ברכה. ומי אמר רב הונא הכי? והאמר רב הונא: אלמנה אינה טעונה ברכה! לא קשיא: כאן בבחור שנשא אלמנה, כאן באלמון שנשא אלמנה. ואלמון שנשא אלמנה לא? והאמר רב נחמן: אמר לי הונא בר נתן, תנא: מנין לברכת חתנים בעשרה? </w:t>
      </w:r>
      <w:r w:rsidRPr="00351B7D">
        <w:rPr>
          <w:rFonts w:asciiTheme="minorBidi" w:hAnsiTheme="minorBidi"/>
          <w:rtl/>
        </w:rPr>
        <w:lastRenderedPageBreak/>
        <w:t>שנאמר: ויקח עשרה אנשים מזקני העיר ויאמר שבו פה וישבו; ובועז אלמון</w:t>
      </w:r>
      <w:r w:rsidRPr="00351B7D">
        <w:rPr>
          <w:rStyle w:val="a7"/>
          <w:rFonts w:asciiTheme="minorBidi" w:hAnsiTheme="minorBidi"/>
          <w:rtl/>
        </w:rPr>
        <w:footnoteReference w:id="656"/>
      </w:r>
      <w:r w:rsidRPr="00351B7D">
        <w:rPr>
          <w:rFonts w:asciiTheme="minorBidi" w:hAnsiTheme="minorBidi"/>
          <w:rtl/>
        </w:rPr>
        <w:t xml:space="preserve"> שנשא אלמנה הוה! מאי אינה טעונה ברכה דאמר רב הונא? אינה טעונה ברכה כל ז' אבל יום אחד טעונה ברכה. אלא הא דתניא: שקדו חכמים על תקנת בנות ישראל שיהא שמח עמה ג' ימים, במאי? אי בבחור, האמרת שבעה</w:t>
      </w:r>
      <w:r w:rsidRPr="00351B7D">
        <w:rPr>
          <w:rStyle w:val="a7"/>
          <w:rFonts w:asciiTheme="minorBidi" w:hAnsiTheme="minorBidi"/>
          <w:rtl/>
        </w:rPr>
        <w:footnoteReference w:id="657"/>
      </w:r>
      <w:r w:rsidRPr="00351B7D">
        <w:rPr>
          <w:rFonts w:asciiTheme="minorBidi" w:hAnsiTheme="minorBidi"/>
          <w:rtl/>
        </w:rPr>
        <w:t xml:space="preserve">! אי באלמון, האמרת יום אחד! </w:t>
      </w:r>
      <w:r w:rsidRPr="00351B7D">
        <w:rPr>
          <w:rStyle w:val="a7"/>
          <w:rFonts w:asciiTheme="minorBidi" w:hAnsiTheme="minorBidi"/>
          <w:rtl/>
        </w:rPr>
        <w:footnoteReference w:id="658"/>
      </w:r>
      <w:r w:rsidRPr="00351B7D">
        <w:rPr>
          <w:rFonts w:asciiTheme="minorBidi" w:hAnsiTheme="minorBidi"/>
          <w:rtl/>
        </w:rPr>
        <w:t>[איבעית אימא בבחור, ואיבעית אימא באלמון, איבעית אימא בבחור- שבעה לברכה ושלשה לשמחה, ואיבעית אימא באלמון- יום אחד לברכה וג' לשמחה].... דליכא בתולה דבצרה משבעה, וליכא אלמנה דבצרה מיום אחד.</w:t>
      </w:r>
    </w:p>
    <w:p w14:paraId="6D0AFAA4"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ח ע"א: </w:t>
      </w:r>
      <w:r w:rsidRPr="00351B7D">
        <w:rPr>
          <w:rFonts w:asciiTheme="minorBidi" w:hAnsiTheme="minorBidi"/>
          <w:rtl/>
        </w:rPr>
        <w:t>רב אשי איקלע לבי רב כהנא, יומא קמא בריך כולהו, מכאן ואילך אי איכא פנים חדשות בריך כולהו, ואי לא, אפושי שמחה בעלמא הוא מברך שהשמחה במעונו ואשר ברא.</w:t>
      </w:r>
    </w:p>
    <w:p w14:paraId="593E5B97"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האם צריך פנים חדשות כדי לברך ז' ברכות שלאחר הסעודה בערב החופה</w:t>
      </w:r>
      <w:r w:rsidRPr="00351B7D">
        <w:rPr>
          <w:rFonts w:asciiTheme="minorBidi" w:hAnsiTheme="minorBidi"/>
          <w:sz w:val="16"/>
          <w:szCs w:val="16"/>
          <w:u w:val="single"/>
          <w:rtl/>
        </w:rPr>
        <w:t xml:space="preserve"> (שהרי בד"כ כל הנמצאים שם היו גם בז"ב שבחופה)</w:t>
      </w:r>
      <w:r w:rsidRPr="00351B7D">
        <w:rPr>
          <w:rFonts w:asciiTheme="minorBidi" w:hAnsiTheme="minorBidi"/>
          <w:u w:val="single"/>
          <w:rtl/>
        </w:rPr>
        <w:t>:</w:t>
      </w:r>
      <w:r w:rsidRPr="00351B7D">
        <w:rPr>
          <w:rFonts w:asciiTheme="minorBidi" w:hAnsiTheme="minorBidi"/>
          <w:rtl/>
        </w:rPr>
        <w:t xml:space="preserve"> </w:t>
      </w:r>
    </w:p>
    <w:p w14:paraId="484C8CFE" w14:textId="77777777" w:rsidR="008E16D0" w:rsidRPr="00351B7D" w:rsidRDefault="008E16D0" w:rsidP="00A8697F">
      <w:pPr>
        <w:pStyle w:val="ab"/>
        <w:numPr>
          <w:ilvl w:val="0"/>
          <w:numId w:val="86"/>
        </w:numPr>
        <w:rPr>
          <w:rFonts w:asciiTheme="minorBidi" w:hAnsiTheme="minorBidi"/>
        </w:rPr>
      </w:pPr>
      <w:r w:rsidRPr="00351B7D">
        <w:rPr>
          <w:rFonts w:asciiTheme="minorBidi" w:hAnsiTheme="minorBidi"/>
          <w:rtl/>
        </w:rPr>
        <w:t>רמ"ך</w:t>
      </w:r>
      <w:r w:rsidRPr="00351B7D">
        <w:rPr>
          <w:rFonts w:asciiTheme="minorBidi" w:hAnsiTheme="minorBidi"/>
          <w:sz w:val="16"/>
          <w:szCs w:val="16"/>
          <w:rtl/>
        </w:rPr>
        <w:t xml:space="preserve"> (על הרמב"ם)</w:t>
      </w:r>
      <w:r w:rsidRPr="00351B7D">
        <w:rPr>
          <w:rFonts w:asciiTheme="minorBidi" w:hAnsiTheme="minorBidi"/>
          <w:rtl/>
        </w:rPr>
        <w:t xml:space="preserve"> סמ"ג</w:t>
      </w:r>
      <w:r w:rsidRPr="00351B7D">
        <w:rPr>
          <w:rFonts w:asciiTheme="minorBidi" w:hAnsiTheme="minorBidi"/>
          <w:sz w:val="16"/>
          <w:szCs w:val="16"/>
          <w:rtl/>
        </w:rPr>
        <w:t xml:space="preserve"> (עשין מח)</w:t>
      </w:r>
      <w:r w:rsidRPr="00351B7D">
        <w:rPr>
          <w:rFonts w:asciiTheme="minorBidi" w:hAnsiTheme="minorBidi"/>
          <w:rtl/>
        </w:rPr>
        <w:t xml:space="preserve"> ורא"ש </w:t>
      </w:r>
      <w:r w:rsidRPr="00351B7D">
        <w:rPr>
          <w:rFonts w:asciiTheme="minorBidi" w:hAnsiTheme="minorBidi"/>
          <w:sz w:val="16"/>
          <w:szCs w:val="16"/>
          <w:rtl/>
        </w:rPr>
        <w:t>(סי' יג)</w:t>
      </w:r>
      <w:r w:rsidRPr="00351B7D">
        <w:rPr>
          <w:rFonts w:asciiTheme="minorBidi" w:hAnsiTheme="minorBidi"/>
          <w:rtl/>
        </w:rPr>
        <w:t>- 'יומא קמא' יש מפרשים סעודה קמייתא לכן אם לא אכלו עד הלילה- מברכין</w:t>
      </w:r>
      <w:r w:rsidRPr="00351B7D">
        <w:rPr>
          <w:rStyle w:val="a7"/>
          <w:rFonts w:asciiTheme="minorBidi" w:hAnsiTheme="minorBidi"/>
          <w:rtl/>
        </w:rPr>
        <w:footnoteReference w:id="659"/>
      </w:r>
      <w:r w:rsidRPr="00351B7D">
        <w:rPr>
          <w:rFonts w:asciiTheme="minorBidi" w:hAnsiTheme="minorBidi"/>
          <w:rtl/>
        </w:rPr>
        <w:t>, משום דלא גרע מפנים חדשות כיון דאכתי לא אכלו בני החופה</w:t>
      </w:r>
      <w:r w:rsidRPr="00351B7D">
        <w:rPr>
          <w:rFonts w:asciiTheme="minorBidi" w:hAnsiTheme="minorBidi"/>
          <w:sz w:val="16"/>
          <w:szCs w:val="16"/>
          <w:rtl/>
        </w:rPr>
        <w:t xml:space="preserve"> (רא"ש)</w:t>
      </w:r>
      <w:r w:rsidRPr="00351B7D">
        <w:rPr>
          <w:rFonts w:asciiTheme="minorBidi" w:hAnsiTheme="minorBidi"/>
          <w:rtl/>
        </w:rPr>
        <w:t>, ועוד שלפי סוגיית הגמרא ברכת חתנים בסעודה נתקנה, וכיון שכן אין נכון שיפטור ברכת הנישואין ברכת הסעודה</w:t>
      </w:r>
      <w:r w:rsidRPr="00351B7D">
        <w:rPr>
          <w:rFonts w:asciiTheme="minorBidi" w:hAnsiTheme="minorBidi"/>
          <w:sz w:val="16"/>
          <w:szCs w:val="16"/>
          <w:rtl/>
        </w:rPr>
        <w:t xml:space="preserve"> (רמ"ך)</w:t>
      </w:r>
      <w:r w:rsidRPr="00351B7D">
        <w:rPr>
          <w:rFonts w:asciiTheme="minorBidi" w:hAnsiTheme="minorBidi"/>
          <w:rtl/>
        </w:rPr>
        <w:t xml:space="preserve">.  </w:t>
      </w:r>
    </w:p>
    <w:p w14:paraId="3BC9BDA5" w14:textId="77777777" w:rsidR="008E16D0" w:rsidRPr="00351B7D" w:rsidRDefault="008E16D0" w:rsidP="00A8697F">
      <w:pPr>
        <w:pStyle w:val="ab"/>
        <w:numPr>
          <w:ilvl w:val="0"/>
          <w:numId w:val="86"/>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73600" behindDoc="0" locked="0" layoutInCell="1" allowOverlap="1" wp14:anchorId="192B268A" wp14:editId="2772430D">
                <wp:simplePos x="0" y="0"/>
                <wp:positionH relativeFrom="column">
                  <wp:posOffset>4995545</wp:posOffset>
                </wp:positionH>
                <wp:positionV relativeFrom="paragraph">
                  <wp:posOffset>386715</wp:posOffset>
                </wp:positionV>
                <wp:extent cx="45085" cy="88900"/>
                <wp:effectExtent l="19050" t="0" r="31115" b="44450"/>
                <wp:wrapNone/>
                <wp:docPr id="16" name="Down Arrow 16"/>
                <wp:cNvGraphicFramePr/>
                <a:graphic xmlns:a="http://schemas.openxmlformats.org/drawingml/2006/main">
                  <a:graphicData uri="http://schemas.microsoft.com/office/word/2010/wordprocessingShape">
                    <wps:wsp>
                      <wps:cNvSpPr/>
                      <wps:spPr>
                        <a:xfrm>
                          <a:off x="0" y="0"/>
                          <a:ext cx="45085" cy="88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5294317" id="Down Arrow 16" o:spid="_x0000_s1026" type="#_x0000_t67" style="position:absolute;left:0;text-align:left;margin-left:393.35pt;margin-top:30.45pt;width:3.55pt;height: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" adj="16123" fillcolor="black [3200]" strokecolor="black [1600]" strokeweight="2pt"/>
            </w:pict>
          </mc:Fallback>
        </mc:AlternateContent>
      </w:r>
      <w:r w:rsidRPr="00351B7D">
        <w:rPr>
          <w:rFonts w:asciiTheme="minorBidi" w:hAnsiTheme="minorBidi"/>
          <w:rtl/>
        </w:rPr>
        <w:t xml:space="preserve">רמב"ם </w:t>
      </w:r>
      <w:r w:rsidRPr="00351B7D">
        <w:rPr>
          <w:rFonts w:asciiTheme="minorBidi" w:hAnsiTheme="minorBidi"/>
          <w:sz w:val="16"/>
          <w:szCs w:val="16"/>
          <w:rtl/>
        </w:rPr>
        <w:t>(פ"ב מהל' ברכות ה"י)</w:t>
      </w:r>
      <w:r w:rsidRPr="00351B7D">
        <w:rPr>
          <w:rFonts w:asciiTheme="minorBidi" w:hAnsiTheme="minorBidi"/>
          <w:rtl/>
        </w:rPr>
        <w:t>- "אפילו בסעודתא קמייתא דיומא קמא לא מברכינן ז' ברכות אא"כ היו האוכלים אחרים שלא שמעו ברכות הנישואין בעת הנישואין</w:t>
      </w:r>
      <w:r w:rsidRPr="00351B7D">
        <w:rPr>
          <w:rStyle w:val="a7"/>
          <w:rFonts w:asciiTheme="minorBidi" w:hAnsiTheme="minorBidi"/>
          <w:rtl/>
        </w:rPr>
        <w:footnoteReference w:id="660"/>
      </w:r>
      <w:r w:rsidRPr="00351B7D">
        <w:rPr>
          <w:rFonts w:asciiTheme="minorBidi" w:hAnsiTheme="minorBidi"/>
          <w:rtl/>
        </w:rPr>
        <w:t xml:space="preserve">".  </w:t>
      </w:r>
    </w:p>
    <w:p w14:paraId="457D46D2" w14:textId="77777777" w:rsidR="008E16D0" w:rsidRPr="00351B7D" w:rsidRDefault="008E16D0" w:rsidP="008E16D0">
      <w:pPr>
        <w:ind w:left="360"/>
        <w:rPr>
          <w:rFonts w:asciiTheme="minorBidi" w:hAnsiTheme="minorBidi"/>
          <w:u w:val="dotted"/>
        </w:rPr>
      </w:pPr>
      <w:r w:rsidRPr="00351B7D">
        <w:rPr>
          <w:rFonts w:asciiTheme="minorBidi" w:hAnsiTheme="minorBidi"/>
          <w:u w:val="dotted"/>
          <w:rtl/>
        </w:rPr>
        <w:t>ומה הדין באלמון שנשא אלמנה</w:t>
      </w:r>
      <w:r w:rsidRPr="00351B7D">
        <w:rPr>
          <w:rFonts w:asciiTheme="minorBidi" w:hAnsiTheme="minorBidi"/>
          <w:sz w:val="16"/>
          <w:szCs w:val="16"/>
          <w:u w:val="dotted"/>
          <w:rtl/>
        </w:rPr>
        <w:t xml:space="preserve"> (שמברכים רק יום א')</w:t>
      </w:r>
      <w:r w:rsidRPr="00351B7D">
        <w:rPr>
          <w:rFonts w:asciiTheme="minorBidi" w:hAnsiTheme="minorBidi"/>
          <w:u w:val="dotted"/>
          <w:rtl/>
        </w:rPr>
        <w:t xml:space="preserve"> ולא עשו סעודה עד הערב:</w:t>
      </w:r>
    </w:p>
    <w:p w14:paraId="7212C4FF" w14:textId="77777777" w:rsidR="008E16D0" w:rsidRPr="00351B7D" w:rsidRDefault="008E16D0" w:rsidP="00A8697F">
      <w:pPr>
        <w:pStyle w:val="ab"/>
        <w:numPr>
          <w:ilvl w:val="0"/>
          <w:numId w:val="86"/>
        </w:numPr>
        <w:rPr>
          <w:rFonts w:asciiTheme="minorBidi" w:hAnsiTheme="minorBidi"/>
        </w:rPr>
      </w:pPr>
      <w:r w:rsidRPr="00351B7D">
        <w:rPr>
          <w:rFonts w:asciiTheme="minorBidi" w:hAnsiTheme="minorBidi"/>
          <w:rtl/>
        </w:rPr>
        <w:t xml:space="preserve">ב"י </w:t>
      </w:r>
      <w:r w:rsidRPr="00351B7D">
        <w:rPr>
          <w:rFonts w:asciiTheme="minorBidi" w:hAnsiTheme="minorBidi"/>
          <w:sz w:val="16"/>
          <w:szCs w:val="16"/>
          <w:rtl/>
        </w:rPr>
        <w:t>(בבדה"ב על סע' יג)</w:t>
      </w:r>
      <w:r w:rsidRPr="00351B7D">
        <w:rPr>
          <w:rFonts w:asciiTheme="minorBidi" w:hAnsiTheme="minorBidi"/>
          <w:rtl/>
        </w:rPr>
        <w:t>- להאי מילתא לא שאני לן בין אלמון שנשא אלמנה לבחור שנשא בתולה דכיון דבתרווייהו ביומא קמא שבע ברכות, ויומא קמא פירושו סעודתא קמייתא אפילו אינה בו ביום</w:t>
      </w:r>
      <w:r w:rsidRPr="00351B7D">
        <w:rPr>
          <w:rStyle w:val="a7"/>
          <w:rFonts w:asciiTheme="minorBidi" w:hAnsiTheme="minorBidi"/>
          <w:rtl/>
        </w:rPr>
        <w:footnoteReference w:id="661"/>
      </w:r>
      <w:r w:rsidRPr="00351B7D">
        <w:rPr>
          <w:rFonts w:asciiTheme="minorBidi" w:hAnsiTheme="minorBidi"/>
          <w:rtl/>
        </w:rPr>
        <w:t xml:space="preserve"> מה לי בהא ומה לי בהא.</w:t>
      </w:r>
    </w:p>
    <w:p w14:paraId="551C5B41" w14:textId="77777777" w:rsidR="008E16D0" w:rsidRPr="00351B7D" w:rsidRDefault="008E16D0" w:rsidP="00A8697F">
      <w:pPr>
        <w:pStyle w:val="ab"/>
        <w:numPr>
          <w:ilvl w:val="0"/>
          <w:numId w:val="86"/>
        </w:numPr>
        <w:rPr>
          <w:rFonts w:asciiTheme="minorBidi" w:hAnsiTheme="minorBidi"/>
        </w:rPr>
      </w:pPr>
      <w:r w:rsidRPr="00351B7D">
        <w:rPr>
          <w:rFonts w:asciiTheme="minorBidi" w:hAnsiTheme="minorBidi"/>
          <w:rtl/>
        </w:rPr>
        <w:t>רי"ו</w:t>
      </w:r>
      <w:r w:rsidRPr="00351B7D">
        <w:rPr>
          <w:rFonts w:asciiTheme="minorBidi" w:hAnsiTheme="minorBidi"/>
          <w:sz w:val="16"/>
          <w:szCs w:val="16"/>
          <w:rtl/>
        </w:rPr>
        <w:t xml:space="preserve"> (נכ"ב ח"ב)</w:t>
      </w:r>
      <w:r w:rsidRPr="00351B7D">
        <w:rPr>
          <w:rFonts w:asciiTheme="minorBidi" w:hAnsiTheme="minorBidi"/>
          <w:rtl/>
        </w:rPr>
        <w:t xml:space="preserve"> בשם המפרשים- אם לא אכלו עד הלילה אין מברכין</w:t>
      </w:r>
      <w:r w:rsidRPr="00351B7D">
        <w:rPr>
          <w:rStyle w:val="a7"/>
          <w:rFonts w:asciiTheme="minorBidi" w:hAnsiTheme="minorBidi"/>
          <w:rtl/>
        </w:rPr>
        <w:footnoteReference w:id="662"/>
      </w:r>
      <w:r w:rsidRPr="00351B7D">
        <w:rPr>
          <w:rFonts w:asciiTheme="minorBidi" w:hAnsiTheme="minorBidi"/>
          <w:rtl/>
        </w:rPr>
        <w:t xml:space="preserve">. </w:t>
      </w:r>
    </w:p>
    <w:p w14:paraId="3BE5A6C1" w14:textId="77777777" w:rsidR="008E16D0" w:rsidRPr="00351B7D" w:rsidRDefault="008E16D0" w:rsidP="00A8697F">
      <w:pPr>
        <w:pStyle w:val="ab"/>
        <w:numPr>
          <w:ilvl w:val="1"/>
          <w:numId w:val="86"/>
        </w:numPr>
        <w:rPr>
          <w:rFonts w:asciiTheme="minorBidi" w:hAnsiTheme="minorBidi"/>
          <w:rtl/>
        </w:rPr>
      </w:pPr>
      <w:r w:rsidRPr="00351B7D">
        <w:rPr>
          <w:rFonts w:asciiTheme="minorBidi" w:hAnsiTheme="minorBidi"/>
          <w:rtl/>
        </w:rPr>
        <w:t>רמ"ע מפאנו ח"מ וב"ש</w:t>
      </w:r>
      <w:r w:rsidRPr="00351B7D">
        <w:rPr>
          <w:rStyle w:val="a7"/>
          <w:rFonts w:asciiTheme="minorBidi" w:hAnsiTheme="minorBidi"/>
          <w:rtl/>
        </w:rPr>
        <w:footnoteReference w:id="663"/>
      </w:r>
      <w:r w:rsidRPr="00351B7D">
        <w:rPr>
          <w:rFonts w:asciiTheme="minorBidi" w:hAnsiTheme="minorBidi"/>
          <w:rtl/>
        </w:rPr>
        <w:t>- הדין נשאר בספק אם לברך וספק ברכות להקל</w:t>
      </w:r>
      <w:r w:rsidRPr="00351B7D">
        <w:rPr>
          <w:rStyle w:val="a7"/>
          <w:rFonts w:asciiTheme="minorBidi" w:hAnsiTheme="minorBidi"/>
          <w:rtl/>
        </w:rPr>
        <w:footnoteReference w:id="664"/>
      </w:r>
      <w:r w:rsidRPr="00351B7D">
        <w:rPr>
          <w:rFonts w:asciiTheme="minorBidi" w:hAnsiTheme="minorBidi"/>
          <w:rtl/>
        </w:rPr>
        <w:t>.</w:t>
      </w:r>
    </w:p>
    <w:p w14:paraId="743B014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AD8984"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עד כמה מברכים ברכה זו, אם היה אלמון שנשא אלמנה מברכין אותה ביום ראשון בלבד, ואם בחור שנשא אלמנה או אלמון שנשא בתולה מברכין אותה כל שבעת ימי המשתה.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(ואלו ז' ימים מתחילין מיד לאחר ז' ברכות שבירך בראשונה</w:t>
      </w:r>
      <w:r w:rsidRPr="00351B7D">
        <w:rPr>
          <w:rStyle w:val="a7"/>
          <w:rFonts w:asciiTheme="minorBidi" w:hAnsiTheme="minorBidi"/>
          <w:color w:val="000000"/>
          <w:sz w:val="18"/>
          <w:szCs w:val="18"/>
          <w:rtl/>
        </w:rPr>
        <w:footnoteReference w:id="665"/>
      </w:r>
      <w:r w:rsidRPr="00351B7D">
        <w:rPr>
          <w:rFonts w:asciiTheme="minorBidi" w:hAnsiTheme="minorBidi"/>
          <w:color w:val="000000"/>
          <w:sz w:val="18"/>
          <w:szCs w:val="18"/>
          <w:rtl/>
        </w:rPr>
        <w:t xml:space="preserve"> (תשו' הרא"ש כלל כ"ו סי' ב)). </w:t>
      </w:r>
    </w:p>
    <w:p w14:paraId="1A815CC1" w14:textId="77777777" w:rsidR="008E16D0" w:rsidRPr="00351B7D" w:rsidRDefault="008E16D0" w:rsidP="008E16D0">
      <w:pPr>
        <w:rPr>
          <w:rFonts w:asciiTheme="minorBidi" w:hAnsiTheme="minorBidi"/>
          <w:rtl/>
        </w:rPr>
      </w:pPr>
      <w:r w:rsidRPr="00351B7D">
        <w:rPr>
          <w:rFonts w:asciiTheme="minorBidi" w:hAnsiTheme="minorBidi"/>
          <w:u w:val="single"/>
          <w:rtl/>
        </w:rPr>
        <w:t>האם מחשבים הני שבעה ימים מעת לעת</w:t>
      </w:r>
      <w:r w:rsidRPr="00351B7D">
        <w:rPr>
          <w:rStyle w:val="a7"/>
          <w:rFonts w:asciiTheme="minorBidi" w:hAnsiTheme="minorBidi"/>
          <w:u w:val="single"/>
          <w:rtl/>
        </w:rPr>
        <w:footnoteReference w:id="666"/>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sz w:val="16"/>
          <w:szCs w:val="16"/>
          <w:rtl/>
        </w:rPr>
        <w:t xml:space="preserve">  (פת"ש סקי"ב) </w:t>
      </w:r>
    </w:p>
    <w:p w14:paraId="6FD01CBF" w14:textId="77777777" w:rsidR="008E16D0" w:rsidRPr="00351B7D" w:rsidRDefault="008E16D0" w:rsidP="00A8697F">
      <w:pPr>
        <w:pStyle w:val="ab"/>
        <w:numPr>
          <w:ilvl w:val="0"/>
          <w:numId w:val="92"/>
        </w:numPr>
        <w:rPr>
          <w:rFonts w:asciiTheme="minorBidi" w:hAnsiTheme="minorBidi"/>
        </w:rPr>
      </w:pPr>
      <w:r w:rsidRPr="00351B7D">
        <w:rPr>
          <w:rFonts w:asciiTheme="minorBidi" w:hAnsiTheme="minorBidi"/>
          <w:rtl/>
        </w:rPr>
        <w:t xml:space="preserve">כנסת יחזקאל </w:t>
      </w:r>
      <w:r w:rsidRPr="00351B7D">
        <w:rPr>
          <w:rFonts w:asciiTheme="minorBidi" w:hAnsiTheme="minorBidi"/>
          <w:sz w:val="16"/>
          <w:szCs w:val="16"/>
          <w:rtl/>
        </w:rPr>
        <w:t xml:space="preserve">(סי' ס') </w:t>
      </w:r>
      <w:r w:rsidRPr="00351B7D">
        <w:rPr>
          <w:rFonts w:asciiTheme="minorBidi" w:hAnsiTheme="minorBidi"/>
          <w:rtl/>
        </w:rPr>
        <w:t xml:space="preserve">והמקנה </w:t>
      </w:r>
      <w:r w:rsidRPr="00351B7D">
        <w:rPr>
          <w:rFonts w:asciiTheme="minorBidi" w:hAnsiTheme="minorBidi"/>
          <w:sz w:val="16"/>
          <w:szCs w:val="16"/>
          <w:rtl/>
        </w:rPr>
        <w:t>(בקו"א)</w:t>
      </w:r>
      <w:r w:rsidRPr="00351B7D">
        <w:rPr>
          <w:rFonts w:asciiTheme="minorBidi" w:hAnsiTheme="minorBidi"/>
          <w:rtl/>
        </w:rPr>
        <w:t xml:space="preserve">- אין מקום כלל לומר דאזלינן בתר מעל"ע. </w:t>
      </w:r>
    </w:p>
    <w:p w14:paraId="1DEBB3EA" w14:textId="77777777" w:rsidR="008E16D0" w:rsidRPr="00351B7D" w:rsidRDefault="008E16D0" w:rsidP="00A8697F">
      <w:pPr>
        <w:pStyle w:val="ab"/>
        <w:numPr>
          <w:ilvl w:val="0"/>
          <w:numId w:val="92"/>
        </w:numPr>
        <w:rPr>
          <w:rFonts w:asciiTheme="minorBidi" w:hAnsiTheme="minorBidi"/>
        </w:rPr>
      </w:pPr>
      <w:r w:rsidRPr="00351B7D">
        <w:rPr>
          <w:rFonts w:asciiTheme="minorBidi" w:hAnsiTheme="minorBidi"/>
          <w:rtl/>
        </w:rPr>
        <w:t xml:space="preserve">גינת ורדים </w:t>
      </w:r>
      <w:r w:rsidRPr="00351B7D">
        <w:rPr>
          <w:rFonts w:asciiTheme="minorBidi" w:hAnsiTheme="minorBidi"/>
          <w:sz w:val="16"/>
          <w:szCs w:val="16"/>
          <w:rtl/>
        </w:rPr>
        <w:t xml:space="preserve">(כלל א' סי' כח, הביאו בשע"ת </w:t>
      </w:r>
      <w:r w:rsidRPr="00351B7D">
        <w:rPr>
          <w:rFonts w:asciiTheme="minorBidi" w:hAnsiTheme="minorBidi"/>
          <w:sz w:val="14"/>
          <w:szCs w:val="14"/>
          <w:rtl/>
        </w:rPr>
        <w:t>[או"ח סי' קלא]</w:t>
      </w:r>
      <w:r w:rsidRPr="00351B7D">
        <w:rPr>
          <w:rFonts w:asciiTheme="minorBidi" w:hAnsiTheme="minorBidi"/>
          <w:sz w:val="16"/>
          <w:szCs w:val="16"/>
          <w:rtl/>
        </w:rPr>
        <w:t>)</w:t>
      </w:r>
      <w:r w:rsidRPr="00351B7D">
        <w:rPr>
          <w:rFonts w:asciiTheme="minorBidi" w:hAnsiTheme="minorBidi"/>
          <w:rtl/>
        </w:rPr>
        <w:t>- ז' ימים שלימים בעינן</w:t>
      </w:r>
      <w:r w:rsidRPr="00351B7D">
        <w:rPr>
          <w:rStyle w:val="a7"/>
          <w:rFonts w:asciiTheme="minorBidi" w:hAnsiTheme="minorBidi"/>
          <w:rtl/>
        </w:rPr>
        <w:footnoteReference w:id="667"/>
      </w:r>
      <w:r w:rsidRPr="00351B7D">
        <w:rPr>
          <w:rFonts w:asciiTheme="minorBidi" w:hAnsiTheme="minorBidi"/>
          <w:rtl/>
        </w:rPr>
        <w:t>.</w:t>
      </w:r>
    </w:p>
    <w:p w14:paraId="7661DA77" w14:textId="77777777" w:rsidR="008E16D0" w:rsidRPr="00351B7D" w:rsidRDefault="008E16D0" w:rsidP="00A8697F">
      <w:pPr>
        <w:pStyle w:val="ab"/>
        <w:numPr>
          <w:ilvl w:val="0"/>
          <w:numId w:val="92"/>
        </w:numPr>
        <w:rPr>
          <w:rFonts w:asciiTheme="minorBidi" w:hAnsiTheme="minorBidi"/>
        </w:rPr>
      </w:pPr>
      <w:r w:rsidRPr="00351B7D">
        <w:rPr>
          <w:rFonts w:asciiTheme="minorBidi" w:hAnsiTheme="minorBidi"/>
          <w:rtl/>
        </w:rPr>
        <w:t>מחזיק ברכה</w:t>
      </w:r>
      <w:r w:rsidRPr="00351B7D">
        <w:rPr>
          <w:rFonts w:asciiTheme="minorBidi" w:hAnsiTheme="minorBidi"/>
          <w:sz w:val="16"/>
          <w:szCs w:val="16"/>
          <w:rtl/>
        </w:rPr>
        <w:t xml:space="preserve"> </w:t>
      </w:r>
      <w:r w:rsidRPr="00351B7D">
        <w:rPr>
          <w:rFonts w:asciiTheme="minorBidi" w:hAnsiTheme="minorBidi"/>
          <w:sz w:val="10"/>
          <w:szCs w:val="16"/>
          <w:rtl/>
        </w:rPr>
        <w:t>(או"ח בקו"א)</w:t>
      </w:r>
      <w:r w:rsidRPr="00351B7D">
        <w:rPr>
          <w:rFonts w:asciiTheme="minorBidi" w:hAnsiTheme="minorBidi"/>
          <w:rtl/>
        </w:rPr>
        <w:t>- לענין נפילת אפים שפיר דמי אבל לענין ז"ב צריך להתיישב.</w:t>
      </w:r>
    </w:p>
    <w:p w14:paraId="23070BDB" w14:textId="77777777" w:rsidR="008E16D0" w:rsidRPr="00351B7D" w:rsidRDefault="008E16D0" w:rsidP="008E16D0">
      <w:pPr>
        <w:rPr>
          <w:rFonts w:asciiTheme="minorBidi" w:hAnsiTheme="minorBidi"/>
          <w:color w:val="000000"/>
        </w:rPr>
      </w:pPr>
      <w:r w:rsidRPr="00351B7D">
        <w:rPr>
          <w:rFonts w:asciiTheme="minorBidi" w:hAnsiTheme="minorBidi"/>
          <w:u w:val="single"/>
          <w:rtl/>
        </w:rPr>
        <w:lastRenderedPageBreak/>
        <w:t>אלמון שנשא בעולה פנויה:</w:t>
      </w:r>
      <w:r w:rsidRPr="00351B7D">
        <w:rPr>
          <w:rFonts w:asciiTheme="minorBidi" w:hAnsiTheme="minorBidi"/>
          <w:color w:val="000000"/>
          <w:sz w:val="16"/>
          <w:szCs w:val="16"/>
          <w:rtl/>
        </w:rPr>
        <w:t xml:space="preserve">    (פת"ש סק"ט)</w:t>
      </w:r>
      <w:r w:rsidRPr="00351B7D">
        <w:rPr>
          <w:rFonts w:asciiTheme="minorBidi" w:hAnsiTheme="minorBidi"/>
          <w:color w:val="000000"/>
          <w:rtl/>
        </w:rPr>
        <w:t xml:space="preserve"> </w:t>
      </w:r>
    </w:p>
    <w:p w14:paraId="605E9784" w14:textId="77777777" w:rsidR="008E16D0" w:rsidRPr="00351B7D" w:rsidRDefault="008E16D0" w:rsidP="00A8697F">
      <w:pPr>
        <w:pStyle w:val="ab"/>
        <w:numPr>
          <w:ilvl w:val="0"/>
          <w:numId w:val="83"/>
        </w:numPr>
        <w:rPr>
          <w:rFonts w:asciiTheme="minorBidi" w:hAnsiTheme="minorBidi"/>
          <w:rtl/>
        </w:rPr>
      </w:pPr>
      <w:r w:rsidRPr="00351B7D">
        <w:rPr>
          <w:rFonts w:asciiTheme="minorBidi" w:hAnsiTheme="minorBidi"/>
          <w:rtl/>
        </w:rPr>
        <w:t xml:space="preserve">נו"ב </w:t>
      </w:r>
      <w:r w:rsidRPr="00351B7D">
        <w:rPr>
          <w:rFonts w:asciiTheme="minorBidi" w:hAnsiTheme="minorBidi"/>
          <w:color w:val="000000"/>
          <w:sz w:val="16"/>
          <w:szCs w:val="16"/>
          <w:rtl/>
        </w:rPr>
        <w:t>(תניינא סי' סא)</w:t>
      </w:r>
      <w:r w:rsidRPr="00351B7D">
        <w:rPr>
          <w:rFonts w:asciiTheme="minorBidi" w:hAnsiTheme="minorBidi"/>
          <w:rtl/>
        </w:rPr>
        <w:t xml:space="preserve"> וחת"ס </w:t>
      </w:r>
      <w:r w:rsidRPr="00351B7D">
        <w:rPr>
          <w:rFonts w:asciiTheme="minorBidi" w:hAnsiTheme="minorBidi"/>
          <w:sz w:val="16"/>
          <w:szCs w:val="16"/>
          <w:rtl/>
        </w:rPr>
        <w:t>(סי' קכג)</w:t>
      </w:r>
      <w:r w:rsidRPr="00351B7D">
        <w:rPr>
          <w:rFonts w:asciiTheme="minorBidi" w:hAnsiTheme="minorBidi"/>
          <w:rtl/>
        </w:rPr>
        <w:t>- אפילו אם היא בעולתא דידיה אין לה אלא יום א' לברכה וג' לשמחה.</w:t>
      </w:r>
    </w:p>
    <w:p w14:paraId="27E77D52"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color w:val="000000"/>
          <w:rtl/>
        </w:rPr>
        <w:t>גינת ורדים</w:t>
      </w:r>
      <w:r w:rsidRPr="00351B7D">
        <w:rPr>
          <w:rFonts w:asciiTheme="minorBidi" w:hAnsiTheme="minorBidi"/>
          <w:sz w:val="16"/>
          <w:szCs w:val="16"/>
          <w:rtl/>
        </w:rPr>
        <w:t xml:space="preserve"> (כלל א' סי' יז, הביאו שמש צדקה [שם])</w:t>
      </w:r>
      <w:r w:rsidRPr="00351B7D">
        <w:rPr>
          <w:rFonts w:asciiTheme="minorBidi" w:hAnsiTheme="minorBidi"/>
          <w:rtl/>
        </w:rPr>
        <w:t xml:space="preserve">- נערה שנתפסה לזנות ואחר ימים כנסה אלמון אין לה ברכה אלא יום א' ושמחה ג' כו' ואין חילוק בזה בין זינתה לרצונה לאנסוה.  </w:t>
      </w:r>
    </w:p>
    <w:p w14:paraId="76BF6882"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נואף שנשא בעולתא דידה:</w:t>
      </w:r>
      <w:r w:rsidRPr="00351B7D">
        <w:rPr>
          <w:rFonts w:asciiTheme="minorBidi" w:hAnsiTheme="minorBidi"/>
          <w:color w:val="000000"/>
          <w:sz w:val="16"/>
          <w:szCs w:val="16"/>
          <w:rtl/>
        </w:rPr>
        <w:t xml:space="preserve">    (פת"ש סק"ט)</w:t>
      </w:r>
      <w:r w:rsidRPr="00351B7D">
        <w:rPr>
          <w:rFonts w:asciiTheme="minorBidi" w:hAnsiTheme="minorBidi"/>
          <w:color w:val="000000"/>
          <w:rtl/>
        </w:rPr>
        <w:t xml:space="preserve"> </w:t>
      </w:r>
    </w:p>
    <w:p w14:paraId="28194C7F" w14:textId="77777777" w:rsidR="008E16D0" w:rsidRPr="00351B7D" w:rsidRDefault="008E16D0" w:rsidP="00A8697F">
      <w:pPr>
        <w:pStyle w:val="ab"/>
        <w:numPr>
          <w:ilvl w:val="0"/>
          <w:numId w:val="83"/>
        </w:numPr>
        <w:rPr>
          <w:rFonts w:asciiTheme="minorBidi" w:hAnsiTheme="minorBidi"/>
          <w:color w:val="000000"/>
        </w:rPr>
      </w:pPr>
      <w:r w:rsidRPr="00351B7D">
        <w:rPr>
          <w:rFonts w:asciiTheme="minorBidi" w:hAnsiTheme="minorBidi"/>
          <w:rtl/>
        </w:rPr>
        <w:t xml:space="preserve">נו"ב </w:t>
      </w:r>
      <w:r w:rsidRPr="00351B7D">
        <w:rPr>
          <w:rFonts w:asciiTheme="minorBidi" w:hAnsiTheme="minorBidi"/>
          <w:color w:val="000000"/>
          <w:sz w:val="16"/>
          <w:szCs w:val="16"/>
          <w:rtl/>
        </w:rPr>
        <w:t>(תניינא סי' סא)</w:t>
      </w:r>
      <w:r w:rsidRPr="00351B7D">
        <w:rPr>
          <w:rFonts w:asciiTheme="minorBidi" w:hAnsiTheme="minorBidi"/>
          <w:rtl/>
        </w:rPr>
        <w:t>- נואף שנשא בעולתא דידיה דינו כאלמן שנשא אלמנה ואין מברכין ז"ב אלא יום ראשון בלבד, דעיקר ז"ב הוא מטעם שמחתו ושמחתה, וזה הוא אם לא טעמו טעם ביאה משא"כ בנואף ונואפת שכבר טעמו ט"ב ואין להם שמחה כ"א כמו אלמן שנשא אלמנה</w:t>
      </w:r>
      <w:r w:rsidRPr="00351B7D">
        <w:rPr>
          <w:rStyle w:val="a7"/>
          <w:rFonts w:asciiTheme="minorBidi" w:hAnsiTheme="minorBidi"/>
          <w:color w:val="000000"/>
          <w:rtl/>
        </w:rPr>
        <w:footnoteReference w:id="668"/>
      </w:r>
      <w:r w:rsidRPr="00351B7D">
        <w:rPr>
          <w:rFonts w:asciiTheme="minorBidi" w:hAnsiTheme="minorBidi"/>
          <w:color w:val="000000"/>
          <w:rtl/>
        </w:rPr>
        <w:t>.</w:t>
      </w:r>
    </w:p>
    <w:p w14:paraId="6D9874FB" w14:textId="77777777" w:rsidR="008E16D0" w:rsidRPr="00351B7D" w:rsidRDefault="008E16D0" w:rsidP="00A8697F">
      <w:pPr>
        <w:pStyle w:val="ab"/>
        <w:numPr>
          <w:ilvl w:val="0"/>
          <w:numId w:val="83"/>
        </w:numPr>
        <w:rPr>
          <w:rFonts w:asciiTheme="minorBidi" w:hAnsiTheme="minorBidi"/>
          <w:color w:val="000000"/>
        </w:rPr>
      </w:pPr>
      <w:r w:rsidRPr="00351B7D">
        <w:rPr>
          <w:rFonts w:asciiTheme="minorBidi" w:hAnsiTheme="minorBidi"/>
          <w:rtl/>
        </w:rPr>
        <w:t>שמש צדקה</w:t>
      </w:r>
      <w:r w:rsidRPr="00351B7D">
        <w:rPr>
          <w:rFonts w:asciiTheme="minorBidi" w:hAnsiTheme="minorBidi"/>
          <w:sz w:val="16"/>
          <w:szCs w:val="16"/>
          <w:rtl/>
        </w:rPr>
        <w:t xml:space="preserve"> (ח"ב סי' ה)</w:t>
      </w:r>
      <w:r w:rsidRPr="00351B7D">
        <w:rPr>
          <w:rFonts w:asciiTheme="minorBidi" w:hAnsiTheme="minorBidi"/>
          <w:rtl/>
        </w:rPr>
        <w:t>- נלמד מדברי הגינת ורדים</w:t>
      </w:r>
      <w:r w:rsidRPr="00351B7D">
        <w:rPr>
          <w:rFonts w:asciiTheme="minorBidi" w:hAnsiTheme="minorBidi"/>
          <w:sz w:val="16"/>
          <w:szCs w:val="16"/>
          <w:rtl/>
        </w:rPr>
        <w:t xml:space="preserve"> (שהובא לעיל)</w:t>
      </w:r>
      <w:r w:rsidRPr="00351B7D">
        <w:rPr>
          <w:rFonts w:asciiTheme="minorBidi" w:hAnsiTheme="minorBidi"/>
          <w:rtl/>
        </w:rPr>
        <w:t xml:space="preserve"> שאם היא בעולתא דידיה ולא נבעלה לאחר דיינינן לה כבתולה לברכה ולשמחה</w:t>
      </w:r>
      <w:r w:rsidRPr="00351B7D">
        <w:rPr>
          <w:rStyle w:val="a7"/>
          <w:rFonts w:asciiTheme="minorBidi" w:hAnsiTheme="minorBidi"/>
          <w:color w:val="000000"/>
          <w:rtl/>
        </w:rPr>
        <w:footnoteReference w:id="669"/>
      </w:r>
      <w:r w:rsidRPr="00351B7D">
        <w:rPr>
          <w:rFonts w:asciiTheme="minorBidi" w:hAnsiTheme="minorBidi"/>
          <w:rtl/>
        </w:rPr>
        <w:t>, וק"ו כשנבעלה לדידיה לאונסה, וכך פשט המנהג</w:t>
      </w:r>
      <w:r w:rsidRPr="00351B7D">
        <w:rPr>
          <w:rStyle w:val="a7"/>
          <w:rFonts w:asciiTheme="minorBidi" w:hAnsiTheme="minorBidi"/>
          <w:color w:val="000000"/>
          <w:rtl/>
        </w:rPr>
        <w:footnoteReference w:id="670"/>
      </w:r>
      <w:r w:rsidRPr="00351B7D">
        <w:rPr>
          <w:rFonts w:asciiTheme="minorBidi" w:hAnsiTheme="minorBidi"/>
          <w:rtl/>
        </w:rPr>
        <w:t xml:space="preserve">. </w:t>
      </w:r>
    </w:p>
    <w:p w14:paraId="0CCCC104"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 xml:space="preserve">חת"ס </w:t>
      </w:r>
      <w:r w:rsidRPr="00351B7D">
        <w:rPr>
          <w:rFonts w:asciiTheme="minorBidi" w:hAnsiTheme="minorBidi"/>
          <w:sz w:val="16"/>
          <w:szCs w:val="16"/>
          <w:rtl/>
        </w:rPr>
        <w:t>(סי' קכ"ג)</w:t>
      </w:r>
      <w:r w:rsidRPr="00351B7D">
        <w:rPr>
          <w:rFonts w:asciiTheme="minorBidi" w:hAnsiTheme="minorBidi"/>
          <w:rtl/>
        </w:rPr>
        <w:t>- נואף פנוי שנשא בעולה</w:t>
      </w:r>
      <w:r w:rsidRPr="00351B7D">
        <w:rPr>
          <w:rFonts w:asciiTheme="minorBidi" w:hAnsiTheme="minorBidi"/>
          <w:sz w:val="16"/>
          <w:szCs w:val="16"/>
          <w:rtl/>
        </w:rPr>
        <w:t xml:space="preserve"> (או אלמנה) </w:t>
      </w:r>
      <w:r w:rsidRPr="00351B7D">
        <w:rPr>
          <w:rFonts w:asciiTheme="minorBidi" w:hAnsiTheme="minorBidi"/>
          <w:rtl/>
        </w:rPr>
        <w:t>מברכין כל שבעה כמו לבחור, אלא כיון שהם בועלי נדות ואינם ראוים לברכה איך יקבלו פניהם פנים חדשות כל ז', חוטא בל יתנאה, אך אם ימצאו ריעים כמותם לחדש פנים כל ז' יברכו להם כל ז'.</w:t>
      </w:r>
    </w:p>
    <w:p w14:paraId="2615656F"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בחור שנשא מוכת עץ:</w:t>
      </w:r>
      <w:r w:rsidRPr="00351B7D">
        <w:rPr>
          <w:rFonts w:asciiTheme="minorBidi" w:hAnsiTheme="minorBidi"/>
          <w:color w:val="000000"/>
          <w:sz w:val="16"/>
          <w:szCs w:val="16"/>
          <w:rtl/>
        </w:rPr>
        <w:t xml:space="preserve">  (פת"ש סק"ט)</w:t>
      </w:r>
    </w:p>
    <w:p w14:paraId="1DE128E5"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גינת ורדים</w:t>
      </w:r>
      <w:r w:rsidRPr="00351B7D">
        <w:rPr>
          <w:rFonts w:asciiTheme="minorBidi" w:hAnsiTheme="minorBidi"/>
          <w:color w:val="000000"/>
          <w:sz w:val="16"/>
          <w:szCs w:val="16"/>
          <w:rtl/>
        </w:rPr>
        <w:t xml:space="preserve"> (שם)</w:t>
      </w:r>
      <w:r w:rsidRPr="00351B7D">
        <w:rPr>
          <w:rFonts w:asciiTheme="minorBidi" w:hAnsiTheme="minorBidi"/>
          <w:rtl/>
        </w:rPr>
        <w:t xml:space="preserve">- אע"ג דאין לה דין בתולה וכתובתה מנה לענין ברכה לא יגרע ממנה משפט הבתולות הואיל והיא חדשה אצלו שלא נבעלה לזולתו. </w:t>
      </w:r>
    </w:p>
    <w:p w14:paraId="61EA9D4D" w14:textId="77777777" w:rsidR="008E16D0" w:rsidRPr="00351B7D" w:rsidRDefault="008E16D0" w:rsidP="008E16D0">
      <w:pPr>
        <w:rPr>
          <w:rFonts w:asciiTheme="minorBidi" w:hAnsiTheme="minorBidi"/>
          <w:color w:val="000000"/>
          <w:u w:val="single"/>
          <w:rtl/>
        </w:rPr>
      </w:pPr>
      <w:r w:rsidRPr="00351B7D">
        <w:rPr>
          <w:rFonts w:asciiTheme="minorBidi" w:hAnsiTheme="minorBidi"/>
          <w:u w:val="single"/>
          <w:rtl/>
        </w:rPr>
        <w:t>אלמון מן האירוסין שנשא אלמנה:</w:t>
      </w:r>
      <w:r w:rsidRPr="00351B7D">
        <w:rPr>
          <w:rFonts w:asciiTheme="minorBidi" w:hAnsiTheme="minorBidi"/>
          <w:color w:val="000000"/>
          <w:sz w:val="16"/>
          <w:szCs w:val="16"/>
          <w:rtl/>
        </w:rPr>
        <w:t xml:space="preserve">    (פת"ש </w:t>
      </w:r>
      <w:r w:rsidRPr="00351B7D">
        <w:rPr>
          <w:rFonts w:asciiTheme="minorBidi" w:hAnsiTheme="minorBidi"/>
          <w:color w:val="000000"/>
          <w:sz w:val="14"/>
          <w:szCs w:val="14"/>
          <w:rtl/>
        </w:rPr>
        <w:t>[סקי"א]</w:t>
      </w:r>
      <w:r w:rsidRPr="00351B7D">
        <w:rPr>
          <w:rFonts w:asciiTheme="minorBidi" w:hAnsiTheme="minorBidi"/>
          <w:color w:val="000000"/>
          <w:sz w:val="16"/>
          <w:szCs w:val="16"/>
          <w:rtl/>
        </w:rPr>
        <w:t>, וזכור לאברהם</w:t>
      </w:r>
      <w:r w:rsidRPr="00351B7D">
        <w:rPr>
          <w:rFonts w:asciiTheme="minorBidi" w:hAnsiTheme="minorBidi"/>
          <w:sz w:val="10"/>
          <w:szCs w:val="10"/>
          <w:rtl/>
        </w:rPr>
        <w:t xml:space="preserve"> </w:t>
      </w:r>
      <w:r w:rsidRPr="00351B7D">
        <w:rPr>
          <w:rFonts w:asciiTheme="minorBidi" w:hAnsiTheme="minorBidi"/>
          <w:color w:val="000000"/>
          <w:sz w:val="14"/>
          <w:szCs w:val="14"/>
          <w:rtl/>
        </w:rPr>
        <w:t>[אלקלעי ח"ב אהע"ז אות ב' ברכת חתנים]</w:t>
      </w:r>
      <w:r w:rsidRPr="00351B7D">
        <w:rPr>
          <w:rFonts w:asciiTheme="minorBidi" w:hAnsiTheme="minorBidi"/>
          <w:sz w:val="16"/>
          <w:szCs w:val="16"/>
          <w:rtl/>
        </w:rPr>
        <w:t>)</w:t>
      </w:r>
    </w:p>
    <w:p w14:paraId="00A17116"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אדמת קודש</w:t>
      </w:r>
      <w:r w:rsidRPr="00351B7D">
        <w:rPr>
          <w:rFonts w:asciiTheme="minorBidi" w:hAnsiTheme="minorBidi"/>
          <w:color w:val="000000"/>
          <w:sz w:val="16"/>
          <w:szCs w:val="16"/>
          <w:rtl/>
        </w:rPr>
        <w:t xml:space="preserve"> (ח"ב סי' ג)</w:t>
      </w:r>
      <w:r w:rsidRPr="00351B7D">
        <w:rPr>
          <w:rFonts w:asciiTheme="minorBidi" w:hAnsiTheme="minorBidi"/>
          <w:rtl/>
        </w:rPr>
        <w:t xml:space="preserve"> ושיורי ברכה </w:t>
      </w:r>
      <w:r w:rsidRPr="00351B7D">
        <w:rPr>
          <w:rFonts w:asciiTheme="minorBidi" w:hAnsiTheme="minorBidi"/>
          <w:color w:val="000000"/>
          <w:sz w:val="16"/>
          <w:szCs w:val="16"/>
          <w:rtl/>
        </w:rPr>
        <w:t>(להחיד"א)</w:t>
      </w:r>
      <w:r w:rsidRPr="00351B7D">
        <w:rPr>
          <w:rFonts w:asciiTheme="minorBidi" w:hAnsiTheme="minorBidi"/>
          <w:rtl/>
        </w:rPr>
        <w:t xml:space="preserve">- יברך ז"ב כל ז' ימי החופה. </w:t>
      </w:r>
    </w:p>
    <w:p w14:paraId="4C7C11DD" w14:textId="77777777" w:rsidR="008E16D0" w:rsidRPr="00351B7D" w:rsidRDefault="008E16D0" w:rsidP="008E16D0">
      <w:pPr>
        <w:rPr>
          <w:rFonts w:asciiTheme="minorBidi" w:hAnsiTheme="minorBidi"/>
          <w:color w:val="000000"/>
          <w:u w:val="single"/>
          <w:rtl/>
        </w:rPr>
      </w:pPr>
      <w:r w:rsidRPr="00351B7D">
        <w:rPr>
          <w:rFonts w:asciiTheme="minorBidi" w:hAnsiTheme="minorBidi"/>
          <w:u w:val="single"/>
          <w:rtl/>
        </w:rPr>
        <w:t>הנושא אשה לשם בעולה ונמצאת בתולה:</w:t>
      </w:r>
      <w:r w:rsidRPr="00351B7D">
        <w:rPr>
          <w:rFonts w:asciiTheme="minorBidi" w:hAnsiTheme="minorBidi"/>
          <w:color w:val="000000"/>
          <w:sz w:val="16"/>
          <w:szCs w:val="16"/>
          <w:rtl/>
        </w:rPr>
        <w:t xml:space="preserve">   (פת"ש סקי"א)</w:t>
      </w:r>
    </w:p>
    <w:p w14:paraId="4EC61FF4"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אדמת קודש</w:t>
      </w:r>
      <w:r w:rsidRPr="00351B7D">
        <w:rPr>
          <w:rFonts w:asciiTheme="minorBidi" w:hAnsiTheme="minorBidi"/>
          <w:sz w:val="16"/>
          <w:szCs w:val="16"/>
          <w:rtl/>
        </w:rPr>
        <w:t xml:space="preserve"> (ח"ב סי' ג)</w:t>
      </w:r>
      <w:r w:rsidRPr="00351B7D">
        <w:rPr>
          <w:rFonts w:asciiTheme="minorBidi" w:hAnsiTheme="minorBidi"/>
          <w:rtl/>
        </w:rPr>
        <w:t xml:space="preserve">- יברך ז"ב כל ז' ימי החופה. </w:t>
      </w:r>
    </w:p>
    <w:p w14:paraId="21C4C2B0" w14:textId="77777777" w:rsidR="008E16D0" w:rsidRPr="00351B7D" w:rsidRDefault="008E16D0" w:rsidP="00A8697F">
      <w:pPr>
        <w:pStyle w:val="ab"/>
        <w:numPr>
          <w:ilvl w:val="0"/>
          <w:numId w:val="83"/>
        </w:numPr>
        <w:rPr>
          <w:rFonts w:asciiTheme="minorBidi" w:hAnsiTheme="minorBidi"/>
          <w:rtl/>
        </w:rPr>
      </w:pPr>
      <w:r w:rsidRPr="00351B7D">
        <w:rPr>
          <w:rFonts w:asciiTheme="minorBidi" w:hAnsiTheme="minorBidi"/>
          <w:rtl/>
        </w:rPr>
        <w:t xml:space="preserve">שיורי ברכה </w:t>
      </w:r>
      <w:r w:rsidRPr="00351B7D">
        <w:rPr>
          <w:rFonts w:asciiTheme="minorBidi" w:hAnsiTheme="minorBidi"/>
          <w:sz w:val="16"/>
          <w:szCs w:val="16"/>
          <w:rtl/>
        </w:rPr>
        <w:t>(להחיד"א)</w:t>
      </w:r>
      <w:r w:rsidRPr="00351B7D">
        <w:rPr>
          <w:rFonts w:asciiTheme="minorBidi" w:hAnsiTheme="minorBidi"/>
          <w:rtl/>
        </w:rPr>
        <w:t>- לא יברך כל ז' ומיהו אהני שישמח עמה כל ז'.</w:t>
      </w:r>
    </w:p>
    <w:p w14:paraId="146D94C2" w14:textId="77777777" w:rsidR="008E16D0" w:rsidRPr="00351B7D" w:rsidRDefault="008E16D0" w:rsidP="008E16D0">
      <w:pPr>
        <w:rPr>
          <w:rFonts w:asciiTheme="minorBidi" w:hAnsiTheme="minorBidi"/>
          <w:color w:val="000000"/>
          <w:rtl/>
        </w:rPr>
      </w:pPr>
    </w:p>
    <w:p w14:paraId="4AF0A081" w14:textId="77777777" w:rsidR="008E16D0" w:rsidRPr="00351B7D" w:rsidRDefault="008E16D0" w:rsidP="008E16D0">
      <w:pPr>
        <w:pStyle w:val="2"/>
        <w:rPr>
          <w:rFonts w:asciiTheme="minorBidi" w:hAnsiTheme="minorBidi"/>
          <w:rtl/>
        </w:rPr>
      </w:pPr>
      <w:r w:rsidRPr="00351B7D">
        <w:rPr>
          <w:rFonts w:asciiTheme="minorBidi" w:hAnsiTheme="minorBidi"/>
          <w:rtl/>
        </w:rPr>
        <w:t>סעיף ז: איזוהי ברכה שמוסיפים בבית חתנים, וגדר פנים חדשות.</w:t>
      </w:r>
    </w:p>
    <w:p w14:paraId="0C4A6064"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b/>
          <w:bCs/>
          <w:rtl/>
        </w:rPr>
        <w:t xml:space="preserve">כתובות ח ע"א: </w:t>
      </w:r>
      <w:r w:rsidRPr="00351B7D">
        <w:rPr>
          <w:rFonts w:asciiTheme="minorBidi" w:hAnsiTheme="minorBidi"/>
          <w:rtl/>
        </w:rPr>
        <w:t>רב אשי איקלע לבי רב כהנא, יומא קמא בריך כולהו, מכאן ואילך אי איכא פנים חדשות בריך כולהו, ואי לא אפושי שמחה בעלמא הוא מברך שהשמחה במעונו ואשר ברא.</w:t>
      </w:r>
      <w:r w:rsidRPr="00351B7D">
        <w:rPr>
          <w:rFonts w:asciiTheme="minorBidi" w:hAnsiTheme="minorBidi"/>
          <w:color w:val="000000"/>
          <w:sz w:val="16"/>
          <w:szCs w:val="16"/>
          <w:rtl/>
        </w:rPr>
        <w:t xml:space="preserve"> </w:t>
      </w:r>
    </w:p>
    <w:p w14:paraId="1C60828B" w14:textId="77777777" w:rsidR="008E16D0" w:rsidRPr="00351B7D" w:rsidRDefault="008E16D0" w:rsidP="008E16D0">
      <w:pPr>
        <w:rPr>
          <w:rFonts w:asciiTheme="minorBidi" w:hAnsiTheme="minorBidi"/>
          <w:u w:val="single"/>
        </w:rPr>
      </w:pPr>
      <w:r w:rsidRPr="00351B7D">
        <w:rPr>
          <w:rFonts w:asciiTheme="minorBidi" w:hAnsiTheme="minorBidi"/>
          <w:u w:val="single"/>
          <w:rtl/>
        </w:rPr>
        <w:t>האם מברכים שהשמחה במעונו דוקא בסעודת מריעות:</w:t>
      </w:r>
    </w:p>
    <w:p w14:paraId="3D7CDA66" w14:textId="77777777" w:rsidR="008E16D0" w:rsidRPr="00351B7D" w:rsidRDefault="008E16D0" w:rsidP="00A8697F">
      <w:pPr>
        <w:pStyle w:val="ab"/>
        <w:numPr>
          <w:ilvl w:val="0"/>
          <w:numId w:val="91"/>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(ח. ד"ה מדקאמרינן, הביאו הר"ן)</w:t>
      </w:r>
      <w:r w:rsidRPr="00351B7D">
        <w:rPr>
          <w:rFonts w:asciiTheme="minorBidi" w:hAnsiTheme="minorBidi"/>
          <w:rtl/>
        </w:rPr>
        <w:t>- אין מברכין שהשמחה במעונו אלא בעושה סעודת מריעות לחתונתו, אבל אם לא זימן אדם אלא חתן הסועד עם בני ביתו אינו מברך כלל</w:t>
      </w:r>
      <w:r w:rsidRPr="00351B7D">
        <w:rPr>
          <w:rStyle w:val="a7"/>
          <w:rFonts w:asciiTheme="minorBidi" w:hAnsiTheme="minorBidi"/>
          <w:rtl/>
        </w:rPr>
        <w:footnoteReference w:id="671"/>
      </w:r>
      <w:r w:rsidRPr="00351B7D">
        <w:rPr>
          <w:rFonts w:asciiTheme="minorBidi" w:hAnsiTheme="minorBidi"/>
          <w:rtl/>
        </w:rPr>
        <w:t>.</w:t>
      </w:r>
    </w:p>
    <w:p w14:paraId="79D354F7" w14:textId="77777777" w:rsidR="008E16D0" w:rsidRPr="00351B7D" w:rsidRDefault="008E16D0" w:rsidP="00A8697F">
      <w:pPr>
        <w:pStyle w:val="ab"/>
        <w:numPr>
          <w:ilvl w:val="0"/>
          <w:numId w:val="91"/>
        </w:numPr>
        <w:rPr>
          <w:rFonts w:asciiTheme="minorBidi" w:hAnsiTheme="minorBidi"/>
          <w:rtl/>
        </w:rPr>
      </w:pPr>
      <w:r w:rsidRPr="00351B7D">
        <w:rPr>
          <w:rFonts w:asciiTheme="minorBidi" w:hAnsiTheme="minorBidi"/>
          <w:rtl/>
        </w:rPr>
        <w:t xml:space="preserve">ר"ן </w:t>
      </w:r>
      <w:r w:rsidRPr="00351B7D">
        <w:rPr>
          <w:rFonts w:asciiTheme="minorBidi" w:hAnsiTheme="minorBidi"/>
          <w:sz w:val="16"/>
          <w:szCs w:val="16"/>
          <w:rtl/>
        </w:rPr>
        <w:t>(כתובות ג. דיבור ראשון)</w:t>
      </w:r>
      <w:r w:rsidRPr="00351B7D">
        <w:rPr>
          <w:rFonts w:asciiTheme="minorBidi" w:hAnsiTheme="minorBidi"/>
          <w:rtl/>
        </w:rPr>
        <w:t xml:space="preserve">- אפילו אינו סועד אלא עם בני ביתו מברך </w:t>
      </w:r>
      <w:r w:rsidRPr="00351B7D">
        <w:rPr>
          <w:rFonts w:asciiTheme="minorBidi" w:hAnsiTheme="minorBidi"/>
          <w:u w:val="single"/>
          <w:rtl/>
        </w:rPr>
        <w:t>שהשמחה במעונו</w:t>
      </w:r>
      <w:r w:rsidRPr="00351B7D">
        <w:rPr>
          <w:rFonts w:asciiTheme="minorBidi" w:hAnsiTheme="minorBidi"/>
          <w:rtl/>
        </w:rPr>
        <w:t xml:space="preserve"> </w:t>
      </w:r>
      <w:r w:rsidRPr="00351B7D">
        <w:rPr>
          <w:rFonts w:asciiTheme="minorBidi" w:hAnsiTheme="minorBidi"/>
          <w:u w:val="single"/>
          <w:rtl/>
        </w:rPr>
        <w:t>ואשר ברא</w:t>
      </w:r>
      <w:r w:rsidRPr="00351B7D">
        <w:rPr>
          <w:rFonts w:asciiTheme="minorBidi" w:hAnsiTheme="minorBidi"/>
          <w:rtl/>
        </w:rPr>
        <w:t>.</w:t>
      </w:r>
    </w:p>
    <w:p w14:paraId="3B6F86BC"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ז ע"ב: </w:t>
      </w:r>
      <w:r w:rsidRPr="00351B7D">
        <w:rPr>
          <w:rFonts w:asciiTheme="minorBidi" w:hAnsiTheme="minorBidi"/>
          <w:rtl/>
        </w:rPr>
        <w:t xml:space="preserve">ת"ר: מברכין ברכת חתנים בעשרה כל שבעה. </w:t>
      </w:r>
      <w:r w:rsidRPr="00351B7D">
        <w:rPr>
          <w:rFonts w:asciiTheme="minorBidi" w:hAnsiTheme="minorBidi"/>
          <w:u w:val="single"/>
          <w:rtl/>
        </w:rPr>
        <w:t>אמר רב יהודה</w:t>
      </w:r>
      <w:r w:rsidRPr="00351B7D">
        <w:rPr>
          <w:rFonts w:asciiTheme="minorBidi" w:hAnsiTheme="minorBidi"/>
          <w:rtl/>
        </w:rPr>
        <w:t>: והוא שבאו</w:t>
      </w:r>
      <w:r w:rsidRPr="00351B7D">
        <w:rPr>
          <w:rStyle w:val="a7"/>
          <w:rFonts w:asciiTheme="minorBidi" w:hAnsiTheme="minorBidi"/>
          <w:rtl/>
        </w:rPr>
        <w:footnoteReference w:id="672"/>
      </w:r>
      <w:r w:rsidRPr="00351B7D">
        <w:rPr>
          <w:rFonts w:asciiTheme="minorBidi" w:hAnsiTheme="minorBidi"/>
          <w:rtl/>
        </w:rPr>
        <w:t xml:space="preserve"> פנים חדשות.</w:t>
      </w:r>
    </w:p>
    <w:p w14:paraId="4090AFA4"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מי נקרא פנים חדשות</w:t>
      </w:r>
      <w:r w:rsidRPr="00351B7D">
        <w:rPr>
          <w:rFonts w:asciiTheme="minorBidi" w:hAnsiTheme="minorBidi"/>
          <w:sz w:val="16"/>
          <w:szCs w:val="16"/>
          <w:u w:val="single"/>
          <w:rtl/>
        </w:rPr>
        <w:t xml:space="preserve"> </w:t>
      </w:r>
      <w:r w:rsidRPr="00351B7D">
        <w:rPr>
          <w:rFonts w:asciiTheme="minorBidi" w:hAnsiTheme="minorBidi"/>
          <w:sz w:val="14"/>
          <w:szCs w:val="14"/>
          <w:u w:val="single"/>
          <w:rtl/>
        </w:rPr>
        <w:t>(בסעודות שבימי השמחה)</w:t>
      </w:r>
      <w:r w:rsidRPr="00351B7D">
        <w:rPr>
          <w:rFonts w:asciiTheme="minorBidi" w:hAnsiTheme="minorBidi"/>
          <w:u w:val="single"/>
          <w:rtl/>
        </w:rPr>
        <w:t>:</w:t>
      </w:r>
    </w:p>
    <w:p w14:paraId="09AEFC26" w14:textId="77777777" w:rsidR="008E16D0" w:rsidRPr="00351B7D" w:rsidRDefault="008E16D0" w:rsidP="00A8697F">
      <w:pPr>
        <w:pStyle w:val="ab"/>
        <w:numPr>
          <w:ilvl w:val="0"/>
          <w:numId w:val="84"/>
        </w:numPr>
        <w:rPr>
          <w:rFonts w:asciiTheme="minorBidi" w:hAnsiTheme="minorBidi"/>
        </w:rPr>
      </w:pPr>
      <w:r w:rsidRPr="00351B7D">
        <w:rPr>
          <w:rFonts w:asciiTheme="minorBidi" w:hAnsiTheme="minorBidi"/>
          <w:rtl/>
        </w:rPr>
        <w:lastRenderedPageBreak/>
        <w:t>רש"י- שלא היו שם אתמול</w:t>
      </w:r>
      <w:r w:rsidRPr="00351B7D">
        <w:rPr>
          <w:rStyle w:val="a7"/>
          <w:rFonts w:asciiTheme="minorBidi" w:hAnsiTheme="minorBidi"/>
          <w:rtl/>
        </w:rPr>
        <w:footnoteReference w:id="673"/>
      </w:r>
      <w:r w:rsidRPr="00351B7D">
        <w:rPr>
          <w:rFonts w:asciiTheme="minorBidi" w:hAnsiTheme="minorBidi"/>
          <w:rtl/>
        </w:rPr>
        <w:t>.</w:t>
      </w:r>
    </w:p>
    <w:p w14:paraId="190C01EB" w14:textId="77777777" w:rsidR="008E16D0" w:rsidRPr="00351B7D" w:rsidRDefault="008E16D0" w:rsidP="00A8697F">
      <w:pPr>
        <w:pStyle w:val="ab"/>
        <w:numPr>
          <w:ilvl w:val="0"/>
          <w:numId w:val="84"/>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(כתובות פ"א סי' יג)</w:t>
      </w:r>
      <w:r w:rsidRPr="00351B7D">
        <w:rPr>
          <w:rFonts w:asciiTheme="minorBidi" w:hAnsiTheme="minorBidi"/>
          <w:rtl/>
        </w:rPr>
        <w:t xml:space="preserve">- </w:t>
      </w:r>
      <w:r w:rsidRPr="00351B7D">
        <w:rPr>
          <w:rFonts w:asciiTheme="minorBidi" w:hAnsiTheme="minorBidi"/>
          <w:color w:val="000000"/>
          <w:rtl/>
        </w:rPr>
        <w:t>"שלא אכלו עד עתה אפילו היו שם בשעת החופה".</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7CB24C1D" w14:textId="77777777" w:rsidR="008E16D0" w:rsidRPr="00351B7D" w:rsidRDefault="008E16D0" w:rsidP="00A8697F">
      <w:pPr>
        <w:pStyle w:val="ab"/>
        <w:numPr>
          <w:ilvl w:val="0"/>
          <w:numId w:val="84"/>
        </w:numPr>
        <w:rPr>
          <w:rFonts w:asciiTheme="minorBidi" w:hAnsiTheme="minorBidi"/>
        </w:rPr>
      </w:pPr>
      <w:r w:rsidRPr="00351B7D">
        <w:rPr>
          <w:rFonts w:asciiTheme="minorBidi" w:hAnsiTheme="minorBidi"/>
          <w:rtl/>
        </w:rPr>
        <w:t>רמב"ם מרדכי ורש"ל</w:t>
      </w:r>
      <w:r w:rsidRPr="00351B7D">
        <w:rPr>
          <w:rStyle w:val="a7"/>
          <w:rFonts w:asciiTheme="minorBidi" w:hAnsiTheme="minorBidi"/>
          <w:rtl/>
        </w:rPr>
        <w:footnoteReference w:id="674"/>
      </w:r>
      <w:r w:rsidRPr="00351B7D">
        <w:rPr>
          <w:rFonts w:asciiTheme="minorBidi" w:hAnsiTheme="minorBidi"/>
          <w:rtl/>
        </w:rPr>
        <w:t xml:space="preserve">- "אם היו האוכלים אחרים שלא שמעו ברכת נישואין בשעת נישואין </w:t>
      </w:r>
      <w:r w:rsidRPr="00351B7D">
        <w:rPr>
          <w:rFonts w:asciiTheme="minorBidi" w:hAnsiTheme="minorBidi"/>
          <w:sz w:val="16"/>
          <w:szCs w:val="16"/>
          <w:rtl/>
        </w:rPr>
        <w:t>(ל' הרמב"ם)</w:t>
      </w:r>
      <w:r w:rsidRPr="00351B7D">
        <w:rPr>
          <w:rFonts w:asciiTheme="minorBidi" w:hAnsiTheme="minorBidi"/>
          <w:rtl/>
        </w:rPr>
        <w:t>".</w:t>
      </w:r>
    </w:p>
    <w:p w14:paraId="5F1EFA21" w14:textId="77777777" w:rsidR="008E16D0" w:rsidRPr="00351B7D" w:rsidRDefault="008E16D0" w:rsidP="008E16D0">
      <w:pPr>
        <w:rPr>
          <w:rFonts w:asciiTheme="minorBidi" w:hAnsiTheme="minorBidi"/>
          <w:u w:val="single"/>
        </w:rPr>
      </w:pPr>
      <w:r w:rsidRPr="00351B7D">
        <w:rPr>
          <w:rFonts w:asciiTheme="minorBidi" w:hAnsiTheme="minorBidi"/>
          <w:u w:val="single"/>
          <w:rtl/>
        </w:rPr>
        <w:t>באו פנים חדשות אבל לא אכלו שם:</w:t>
      </w:r>
    </w:p>
    <w:p w14:paraId="426EBF18" w14:textId="77777777" w:rsidR="008E16D0" w:rsidRPr="00351B7D" w:rsidRDefault="008E16D0" w:rsidP="00A8697F">
      <w:pPr>
        <w:pStyle w:val="ab"/>
        <w:numPr>
          <w:ilvl w:val="0"/>
          <w:numId w:val="86"/>
        </w:numPr>
        <w:rPr>
          <w:rFonts w:asciiTheme="minorBidi" w:hAnsiTheme="minorBidi"/>
        </w:rPr>
      </w:pPr>
      <w:r w:rsidRPr="00351B7D">
        <w:rPr>
          <w:rFonts w:asciiTheme="minorBidi" w:hAnsiTheme="minorBidi"/>
          <w:rtl/>
        </w:rPr>
        <w:t>רמב"ן ור"ן</w:t>
      </w:r>
      <w:r w:rsidRPr="00351B7D">
        <w:rPr>
          <w:rStyle w:val="a7"/>
          <w:rFonts w:asciiTheme="minorBidi" w:hAnsiTheme="minorBidi"/>
          <w:rtl/>
        </w:rPr>
        <w:footnoteReference w:id="675"/>
      </w:r>
      <w:r w:rsidRPr="00351B7D">
        <w:rPr>
          <w:rFonts w:asciiTheme="minorBidi" w:hAnsiTheme="minorBidi"/>
          <w:rtl/>
        </w:rPr>
        <w:t>- כל שבאו פנים חדשות ועומד שם אע"פ שאינו אוכל שם מברכין שבעה ברכות.</w:t>
      </w:r>
      <w:r w:rsidRPr="00351B7D">
        <w:rPr>
          <w:rFonts w:asciiTheme="minorBidi" w:hAnsiTheme="minorBidi"/>
          <w:color w:val="00B0F0"/>
          <w:rtl/>
        </w:rPr>
        <w:t xml:space="preserve"> (וכ"כ הרמ"א)</w:t>
      </w:r>
    </w:p>
    <w:p w14:paraId="2DA5E645" w14:textId="77777777" w:rsidR="008E16D0" w:rsidRPr="00351B7D" w:rsidRDefault="008E16D0" w:rsidP="008E16D0">
      <w:pPr>
        <w:rPr>
          <w:rFonts w:asciiTheme="minorBidi" w:hAnsiTheme="minorBidi"/>
          <w:u w:val="single"/>
        </w:rPr>
      </w:pPr>
      <w:r w:rsidRPr="00351B7D">
        <w:rPr>
          <w:rFonts w:asciiTheme="minorBidi" w:hAnsiTheme="minorBidi"/>
          <w:u w:val="single"/>
          <w:rtl/>
        </w:rPr>
        <w:t>באו פנים חדשות בלילה- האם אפשר לברך עליהם ביום:</w:t>
      </w:r>
    </w:p>
    <w:p w14:paraId="507FA3C8" w14:textId="77777777" w:rsidR="008E16D0" w:rsidRPr="00351B7D" w:rsidRDefault="008E16D0" w:rsidP="00A8697F">
      <w:pPr>
        <w:pStyle w:val="ab"/>
        <w:numPr>
          <w:ilvl w:val="0"/>
          <w:numId w:val="86"/>
        </w:numPr>
        <w:rPr>
          <w:rFonts w:asciiTheme="minorBidi" w:hAnsiTheme="minorBidi"/>
        </w:rPr>
      </w:pPr>
      <w:r w:rsidRPr="00351B7D">
        <w:rPr>
          <w:rFonts w:asciiTheme="minorBidi" w:hAnsiTheme="minorBidi"/>
          <w:rtl/>
        </w:rPr>
        <w:t>תוס'</w:t>
      </w:r>
      <w:r w:rsidRPr="00351B7D">
        <w:rPr>
          <w:rStyle w:val="a7"/>
          <w:rFonts w:asciiTheme="minorBidi" w:hAnsiTheme="minorBidi"/>
          <w:rtl/>
        </w:rPr>
        <w:footnoteReference w:id="676"/>
      </w:r>
      <w:r w:rsidRPr="00351B7D">
        <w:rPr>
          <w:rFonts w:asciiTheme="minorBidi" w:hAnsiTheme="minorBidi"/>
          <w:rtl/>
        </w:rPr>
        <w:t>- אם באו פנים חדשות בלילה מברכין עליו לילה ויום והוא שעמד שם בכל שעת ברכה.</w:t>
      </w:r>
      <w:r w:rsidRPr="00351B7D">
        <w:rPr>
          <w:rFonts w:asciiTheme="minorBidi" w:hAnsiTheme="minorBidi"/>
          <w:color w:val="00B0F0"/>
          <w:rtl/>
        </w:rPr>
        <w:t xml:space="preserve"> (וכ"כ הרמ"א)</w:t>
      </w:r>
    </w:p>
    <w:p w14:paraId="4BBB0AC5" w14:textId="77777777" w:rsidR="008E16D0" w:rsidRPr="00351B7D" w:rsidRDefault="008E16D0" w:rsidP="00A8697F">
      <w:pPr>
        <w:pStyle w:val="ab"/>
        <w:numPr>
          <w:ilvl w:val="0"/>
          <w:numId w:val="86"/>
        </w:numPr>
        <w:rPr>
          <w:rFonts w:asciiTheme="minorBidi" w:hAnsiTheme="minorBidi"/>
          <w:rtl/>
        </w:rPr>
      </w:pPr>
      <w:r w:rsidRPr="00351B7D">
        <w:rPr>
          <w:rFonts w:asciiTheme="minorBidi" w:hAnsiTheme="minorBidi"/>
          <w:rtl/>
        </w:rPr>
        <w:t>(רא"ש</w:t>
      </w:r>
      <w:r w:rsidRPr="00351B7D">
        <w:rPr>
          <w:rFonts w:asciiTheme="minorBidi" w:hAnsiTheme="minorBidi"/>
          <w:sz w:val="18"/>
          <w:szCs w:val="18"/>
          <w:rtl/>
        </w:rPr>
        <w:t xml:space="preserve"> </w:t>
      </w:r>
      <w:r w:rsidRPr="00351B7D">
        <w:rPr>
          <w:rFonts w:asciiTheme="minorBidi" w:hAnsiTheme="minorBidi"/>
          <w:sz w:val="16"/>
          <w:szCs w:val="16"/>
          <w:rtl/>
        </w:rPr>
        <w:t>להב' הח"מ</w:t>
      </w:r>
      <w:r w:rsidRPr="00351B7D">
        <w:rPr>
          <w:rFonts w:asciiTheme="minorBidi" w:hAnsiTheme="minorBidi"/>
          <w:sz w:val="14"/>
          <w:szCs w:val="14"/>
          <w:rtl/>
        </w:rPr>
        <w:t xml:space="preserve"> [סקי"ב]</w:t>
      </w:r>
      <w:r w:rsidRPr="00351B7D">
        <w:rPr>
          <w:rFonts w:asciiTheme="minorBidi" w:hAnsiTheme="minorBidi"/>
          <w:rtl/>
        </w:rPr>
        <w:t>)- לכל סעודה צריך פנים חדשות</w:t>
      </w:r>
      <w:r w:rsidRPr="00351B7D">
        <w:rPr>
          <w:rStyle w:val="a7"/>
          <w:rFonts w:asciiTheme="minorBidi" w:hAnsiTheme="minorBidi"/>
          <w:rtl/>
        </w:rPr>
        <w:footnoteReference w:id="677"/>
      </w:r>
      <w:r w:rsidRPr="00351B7D">
        <w:rPr>
          <w:rFonts w:asciiTheme="minorBidi" w:hAnsiTheme="minorBidi"/>
          <w:rtl/>
        </w:rPr>
        <w:t>.</w:t>
      </w:r>
    </w:p>
    <w:p w14:paraId="6198FC9C"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1FCCBB"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ברכה זו שמוסיפים בבית חתנים היא ברכה אחרונה משבע ברכות שהיא ברכת אשר ברא.</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דאף אשר ברא אין מברך כל ז' אלא כשמזמנין אחרים אבל אם אוכל עם בני ביתו אין מברכין</w:t>
      </w:r>
      <w:r w:rsidRPr="00351B7D">
        <w:rPr>
          <w:rStyle w:val="a7"/>
          <w:rFonts w:asciiTheme="minorBidi" w:hAnsiTheme="minorBidi"/>
          <w:color w:val="000000"/>
          <w:sz w:val="18"/>
          <w:szCs w:val="18"/>
          <w:rtl/>
        </w:rPr>
        <w:footnoteReference w:id="678"/>
      </w:r>
      <w:r w:rsidRPr="00351B7D">
        <w:rPr>
          <w:rFonts w:asciiTheme="minorBidi" w:hAnsiTheme="minorBidi"/>
          <w:color w:val="000000"/>
          <w:sz w:val="16"/>
          <w:szCs w:val="16"/>
          <w:rtl/>
        </w:rPr>
        <w:t xml:space="preserve"> (ר"ן בשם הרמב"ן)</w:t>
      </w:r>
      <w:r w:rsidRPr="00351B7D">
        <w:rPr>
          <w:rFonts w:asciiTheme="minorBidi" w:hAnsiTheme="minorBidi"/>
          <w:color w:val="000000"/>
          <w:sz w:val="18"/>
          <w:szCs w:val="18"/>
          <w:rtl/>
        </w:rPr>
        <w:t>, וכן נוהגין.</w:t>
      </w:r>
      <w:r w:rsidRPr="00351B7D">
        <w:rPr>
          <w:rFonts w:asciiTheme="minorBidi" w:hAnsiTheme="minorBidi"/>
          <w:rtl/>
        </w:rPr>
        <w:t xml:space="preserve"> במה דברים אמורים כשהיו האוכלים הם שעמדו בברכת הנשואין ושמעו הברכות, אבל אם היו האוכלים אחרים שלא שמעו ברכת נשואין בשעת נשואין מברכין בשבילם</w:t>
      </w:r>
      <w:r w:rsidRPr="00351B7D">
        <w:rPr>
          <w:rStyle w:val="a7"/>
          <w:rFonts w:asciiTheme="minorBidi" w:hAnsiTheme="minorBidi"/>
          <w:color w:val="000000"/>
          <w:rtl/>
        </w:rPr>
        <w:footnoteReference w:id="679"/>
      </w:r>
      <w:r w:rsidRPr="00351B7D">
        <w:rPr>
          <w:rFonts w:asciiTheme="minorBidi" w:hAnsiTheme="minorBidi"/>
          <w:rtl/>
        </w:rPr>
        <w:t xml:space="preserve"> אחר ברכת המזון שבע ברכות כדרך שמברכין בשעת נשואין והוא שיהיו עשרה וחתן מן המנין, ויש אומרים שאפילו היו בשעת החופה ושמעו הברכות אם לא אכלו שם עד עתה מקרי פנים חדשות ומברכים בשבילם שבע ברכות אחר ברכת המזון וכן פשט המנהג.</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דאם היו שם פנים חדשות אע"פ שאין אוכלין שם</w:t>
      </w:r>
      <w:r w:rsidRPr="00351B7D">
        <w:rPr>
          <w:rStyle w:val="a7"/>
          <w:rFonts w:asciiTheme="minorBidi" w:hAnsiTheme="minorBidi"/>
          <w:color w:val="000000"/>
          <w:sz w:val="18"/>
          <w:szCs w:val="18"/>
          <w:rtl/>
        </w:rPr>
        <w:footnoteReference w:id="680"/>
      </w:r>
      <w:r w:rsidRPr="00351B7D">
        <w:rPr>
          <w:rFonts w:asciiTheme="minorBidi" w:hAnsiTheme="minorBidi"/>
          <w:color w:val="000000"/>
          <w:sz w:val="18"/>
          <w:szCs w:val="18"/>
          <w:rtl/>
        </w:rPr>
        <w:t xml:space="preserve"> מברך בשבילם לילה ויום</w:t>
      </w:r>
      <w:r w:rsidRPr="00351B7D">
        <w:rPr>
          <w:rStyle w:val="a7"/>
          <w:rFonts w:asciiTheme="minorBidi" w:hAnsiTheme="minorBidi"/>
          <w:color w:val="000000"/>
          <w:sz w:val="18"/>
          <w:szCs w:val="18"/>
          <w:rtl/>
        </w:rPr>
        <w:footnoteReference w:id="681"/>
      </w:r>
      <w:r w:rsidRPr="00351B7D">
        <w:rPr>
          <w:rFonts w:asciiTheme="minorBidi" w:hAnsiTheme="minorBidi"/>
          <w:color w:val="000000"/>
          <w:sz w:val="16"/>
          <w:szCs w:val="16"/>
          <w:rtl/>
        </w:rPr>
        <w:t xml:space="preserve"> (ר"ן)</w:t>
      </w:r>
      <w:r w:rsidRPr="00351B7D">
        <w:rPr>
          <w:rFonts w:asciiTheme="minorBidi" w:hAnsiTheme="minorBidi"/>
          <w:color w:val="000000"/>
          <w:sz w:val="18"/>
          <w:szCs w:val="18"/>
          <w:rtl/>
        </w:rPr>
        <w:t xml:space="preserve">. </w:t>
      </w:r>
    </w:p>
    <w:p w14:paraId="6FFDF686" w14:textId="77777777" w:rsidR="008E16D0" w:rsidRPr="00351B7D" w:rsidRDefault="008E16D0" w:rsidP="008E16D0">
      <w:pPr>
        <w:bidi w:val="0"/>
        <w:jc w:val="right"/>
        <w:rPr>
          <w:rFonts w:asciiTheme="minorBidi" w:hAnsiTheme="minorBidi"/>
          <w:color w:val="000000"/>
          <w:rtl/>
        </w:rPr>
      </w:pPr>
    </w:p>
    <w:p w14:paraId="7CE775A7" w14:textId="77777777" w:rsidR="008E16D0" w:rsidRPr="00351B7D" w:rsidRDefault="008E16D0" w:rsidP="008E16D0">
      <w:pPr>
        <w:pStyle w:val="2"/>
        <w:rPr>
          <w:rFonts w:asciiTheme="minorBidi" w:hAnsiTheme="minorBidi"/>
          <w:rtl/>
        </w:rPr>
      </w:pPr>
      <w:r w:rsidRPr="00351B7D">
        <w:rPr>
          <w:rFonts w:asciiTheme="minorBidi" w:hAnsiTheme="minorBidi"/>
          <w:rtl/>
        </w:rPr>
        <w:t>סעיף ח: להרבות בשביל הפנים החדשות, ושבת ויו"ט כפנים חדשות.</w:t>
      </w:r>
    </w:p>
    <w:p w14:paraId="569974FD"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הפנים החדשות נחשבים אע"פ שלא הרבו בשבילם בסעודה:</w:t>
      </w:r>
    </w:p>
    <w:p w14:paraId="5829E859" w14:textId="77777777" w:rsidR="008E16D0" w:rsidRPr="00351B7D" w:rsidRDefault="008E16D0" w:rsidP="00A8697F">
      <w:pPr>
        <w:pStyle w:val="ab"/>
        <w:numPr>
          <w:ilvl w:val="0"/>
          <w:numId w:val="85"/>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 xml:space="preserve">(ז: ד"ה והוא) </w:t>
      </w:r>
      <w:r w:rsidRPr="00351B7D">
        <w:rPr>
          <w:rFonts w:asciiTheme="minorBidi" w:hAnsiTheme="minorBidi"/>
          <w:rtl/>
        </w:rPr>
        <w:t>ורא"ש</w:t>
      </w:r>
      <w:r w:rsidRPr="00351B7D">
        <w:rPr>
          <w:rFonts w:asciiTheme="minorBidi" w:hAnsiTheme="minorBidi"/>
          <w:sz w:val="16"/>
          <w:szCs w:val="16"/>
          <w:rtl/>
        </w:rPr>
        <w:t xml:space="preserve"> (כתובות פ"א סי' יג)</w:t>
      </w:r>
      <w:r w:rsidRPr="00351B7D">
        <w:rPr>
          <w:rFonts w:asciiTheme="minorBidi" w:hAnsiTheme="minorBidi"/>
          <w:rtl/>
        </w:rPr>
        <w:t>- אינו נקרא פנים חדשות אא"כ מרבים בשבילם</w:t>
      </w:r>
      <w:r w:rsidRPr="00351B7D">
        <w:rPr>
          <w:rStyle w:val="a7"/>
          <w:rFonts w:asciiTheme="minorBidi" w:hAnsiTheme="minorBidi"/>
          <w:rtl/>
        </w:rPr>
        <w:footnoteReference w:id="682"/>
      </w:r>
      <w:r w:rsidRPr="00351B7D">
        <w:rPr>
          <w:rFonts w:asciiTheme="minorBidi" w:hAnsiTheme="minorBidi"/>
          <w:rtl/>
        </w:rPr>
        <w:t xml:space="preserve">. </w:t>
      </w:r>
    </w:p>
    <w:p w14:paraId="5AC38163" w14:textId="77777777" w:rsidR="008E16D0" w:rsidRPr="00351B7D" w:rsidRDefault="008E16D0" w:rsidP="008E16D0">
      <w:pPr>
        <w:rPr>
          <w:rFonts w:asciiTheme="minorBidi" w:hAnsiTheme="minorBidi"/>
          <w:u w:val="single"/>
        </w:rPr>
      </w:pPr>
      <w:r w:rsidRPr="00351B7D">
        <w:rPr>
          <w:rFonts w:asciiTheme="minorBidi" w:hAnsiTheme="minorBidi"/>
          <w:u w:val="single"/>
          <w:rtl/>
        </w:rPr>
        <w:t>שבת ויו"ט כפנים חדשות:</w:t>
      </w:r>
    </w:p>
    <w:p w14:paraId="194791C0" w14:textId="77777777" w:rsidR="008E16D0" w:rsidRPr="00351B7D" w:rsidRDefault="008E16D0" w:rsidP="00A8697F">
      <w:pPr>
        <w:pStyle w:val="ab"/>
        <w:numPr>
          <w:ilvl w:val="0"/>
          <w:numId w:val="85"/>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 xml:space="preserve">(ז: ד"ה והוא) </w:t>
      </w:r>
      <w:r w:rsidRPr="00351B7D">
        <w:rPr>
          <w:rFonts w:asciiTheme="minorBidi" w:hAnsiTheme="minorBidi"/>
          <w:rtl/>
        </w:rPr>
        <w:t>ורא"ש</w:t>
      </w:r>
      <w:r w:rsidRPr="00351B7D">
        <w:rPr>
          <w:rFonts w:asciiTheme="minorBidi" w:hAnsiTheme="minorBidi"/>
          <w:sz w:val="16"/>
          <w:szCs w:val="16"/>
          <w:rtl/>
        </w:rPr>
        <w:t xml:space="preserve"> (סי' יג)</w:t>
      </w:r>
      <w:r w:rsidRPr="00351B7D">
        <w:rPr>
          <w:rFonts w:asciiTheme="minorBidi" w:hAnsiTheme="minorBidi"/>
          <w:rtl/>
        </w:rPr>
        <w:t>- שבת</w:t>
      </w:r>
      <w:r w:rsidRPr="00351B7D">
        <w:rPr>
          <w:rStyle w:val="a7"/>
          <w:rFonts w:asciiTheme="minorBidi" w:hAnsiTheme="minorBidi"/>
          <w:rtl/>
        </w:rPr>
        <w:footnoteReference w:id="683"/>
      </w:r>
      <w:r w:rsidRPr="00351B7D">
        <w:rPr>
          <w:rFonts w:asciiTheme="minorBidi" w:hAnsiTheme="minorBidi"/>
          <w:rtl/>
        </w:rPr>
        <w:t xml:space="preserve"> חשיבא כפנים חדשות דאמרינן במדרש מזמור ליום השבת אמר הקדוש ברוך הוא פנים חדשות באו לכאן ודרך להרבות בשבת שמחה ומנות. </w:t>
      </w:r>
    </w:p>
    <w:p w14:paraId="69AF43F8" w14:textId="77777777" w:rsidR="008E16D0" w:rsidRPr="00351B7D" w:rsidRDefault="008E16D0" w:rsidP="00A8697F">
      <w:pPr>
        <w:pStyle w:val="ab"/>
        <w:numPr>
          <w:ilvl w:val="0"/>
          <w:numId w:val="85"/>
        </w:numPr>
        <w:rPr>
          <w:rFonts w:asciiTheme="minorBidi" w:hAnsiTheme="minorBidi"/>
        </w:rPr>
      </w:pPr>
      <w:r w:rsidRPr="00351B7D">
        <w:rPr>
          <w:rFonts w:asciiTheme="minorBidi" w:hAnsiTheme="minorBidi"/>
          <w:rtl/>
        </w:rPr>
        <w:lastRenderedPageBreak/>
        <mc:AlternateContent>
          <mc:Choice Requires="wps">
            <w:drawing>
              <wp:anchor distT="0" distB="0" distL="114300" distR="114300" simplePos="0" relativeHeight="251672576" behindDoc="0" locked="0" layoutInCell="1" allowOverlap="1" wp14:anchorId="65831CC7" wp14:editId="71F3F8B0">
                <wp:simplePos x="0" y="0"/>
                <wp:positionH relativeFrom="column">
                  <wp:posOffset>4991941</wp:posOffset>
                </wp:positionH>
                <wp:positionV relativeFrom="paragraph">
                  <wp:posOffset>220106</wp:posOffset>
                </wp:positionV>
                <wp:extent cx="45719" cy="89065"/>
                <wp:effectExtent l="19050" t="0" r="31115" b="44450"/>
                <wp:wrapNone/>
                <wp:docPr id="14" name="Down Arrow 14"/>
                <wp:cNvGraphicFramePr/>
                <a:graphic xmlns:a="http://schemas.openxmlformats.org/drawingml/2006/main">
                  <a:graphicData uri="http://schemas.microsoft.com/office/word/2010/wordprocessingShape">
                    <wps:wsp>
                      <wps:cNvSpPr/>
                      <wps:spPr>
                        <a:xfrm>
                          <a:off x="0" y="0"/>
                          <a:ext cx="45719" cy="890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9D35699" id="Down Arrow 14" o:spid="_x0000_s1026" type="#_x0000_t67" style="position:absolute;left:0;text-align:left;margin-left:393.05pt;margin-top:17.35pt;width:3.6pt;height: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" adj="16056" fillcolor="black [3200]" strokecolor="black [1600]" strokeweight="2pt"/>
            </w:pict>
          </mc:Fallback>
        </mc:AlternateContent>
      </w:r>
      <w:r w:rsidRPr="00351B7D">
        <w:rPr>
          <w:rFonts w:asciiTheme="minorBidi" w:hAnsiTheme="minorBidi"/>
          <w:rtl/>
        </w:rPr>
        <w:t>י"א</w:t>
      </w:r>
      <w:r w:rsidRPr="00351B7D">
        <w:rPr>
          <w:rFonts w:asciiTheme="minorBidi" w:hAnsiTheme="minorBidi"/>
          <w:sz w:val="16"/>
          <w:szCs w:val="16"/>
          <w:rtl/>
        </w:rPr>
        <w:t xml:space="preserve"> (הובא בא"ח</w:t>
      </w:r>
      <w:r w:rsidRPr="00351B7D">
        <w:rPr>
          <w:rFonts w:asciiTheme="minorBidi" w:hAnsiTheme="minorBidi"/>
          <w:sz w:val="14"/>
          <w:szCs w:val="14"/>
          <w:rtl/>
        </w:rPr>
        <w:t xml:space="preserve"> [הביאו הב"י]</w:t>
      </w:r>
      <w:r w:rsidRPr="00351B7D">
        <w:rPr>
          <w:rFonts w:asciiTheme="minorBidi" w:hAnsiTheme="minorBidi"/>
          <w:sz w:val="16"/>
          <w:szCs w:val="16"/>
          <w:rtl/>
        </w:rPr>
        <w:t>)</w:t>
      </w:r>
      <w:r w:rsidRPr="00351B7D">
        <w:rPr>
          <w:rFonts w:asciiTheme="minorBidi" w:hAnsiTheme="minorBidi"/>
          <w:rtl/>
        </w:rPr>
        <w:t>- אין אומרים ז' ברכות ביו"ט אפילו ביום ראשון.</w:t>
      </w:r>
    </w:p>
    <w:p w14:paraId="03CF7D67" w14:textId="77777777" w:rsidR="008E16D0" w:rsidRPr="00351B7D" w:rsidRDefault="008E16D0" w:rsidP="008E16D0">
      <w:pPr>
        <w:ind w:left="360"/>
        <w:rPr>
          <w:rFonts w:asciiTheme="minorBidi" w:hAnsiTheme="minorBidi"/>
          <w:u w:val="dotted"/>
          <w:rtl/>
        </w:rPr>
      </w:pPr>
      <w:r w:rsidRPr="00351B7D">
        <w:rPr>
          <w:rFonts w:asciiTheme="minorBidi" w:hAnsiTheme="minorBidi"/>
          <w:u w:val="dotted"/>
          <w:rtl/>
        </w:rPr>
        <w:t>האם גם סעודה שלישית נחשבת כפנים חדשות:</w:t>
      </w:r>
    </w:p>
    <w:p w14:paraId="4A0A9902" w14:textId="77777777" w:rsidR="008E16D0" w:rsidRPr="00351B7D" w:rsidRDefault="008E16D0" w:rsidP="00A8697F">
      <w:pPr>
        <w:pStyle w:val="ab"/>
        <w:numPr>
          <w:ilvl w:val="0"/>
          <w:numId w:val="88"/>
        </w:numPr>
        <w:rPr>
          <w:rFonts w:asciiTheme="minorBidi" w:hAnsiTheme="minorBidi"/>
        </w:rPr>
      </w:pPr>
      <w:r w:rsidRPr="00351B7D">
        <w:rPr>
          <w:rFonts w:asciiTheme="minorBidi" w:hAnsiTheme="minorBidi"/>
          <w:rtl/>
        </w:rPr>
        <w:t>טור- לא, מפני שאינה עיקר כ"כ דהא איכא למ"ד דיוצא בה במיני תרגימה.</w:t>
      </w:r>
      <w:r w:rsidRPr="00351B7D">
        <w:rPr>
          <w:rFonts w:asciiTheme="minorBidi" w:hAnsiTheme="minorBidi"/>
          <w:color w:val="E36C0A" w:themeColor="accent6" w:themeShade="BF"/>
          <w:rtl/>
        </w:rPr>
        <w:t xml:space="preserve"> (וכ"פ בשו"ע)</w:t>
      </w:r>
    </w:p>
    <w:p w14:paraId="139CAB3C" w14:textId="77777777" w:rsidR="008E16D0" w:rsidRPr="00351B7D" w:rsidRDefault="008E16D0" w:rsidP="00A8697F">
      <w:pPr>
        <w:pStyle w:val="ab"/>
        <w:numPr>
          <w:ilvl w:val="0"/>
          <w:numId w:val="88"/>
        </w:numPr>
        <w:rPr>
          <w:rFonts w:asciiTheme="minorBidi" w:hAnsiTheme="minorBidi"/>
        </w:rPr>
      </w:pPr>
      <w:r w:rsidRPr="00351B7D">
        <w:rPr>
          <w:rFonts w:asciiTheme="minorBidi" w:hAnsiTheme="minorBidi"/>
          <w:rtl/>
        </w:rPr>
        <w:t>ספר המנהגים</w:t>
      </w:r>
      <w:r w:rsidRPr="00351B7D">
        <w:rPr>
          <w:rStyle w:val="a7"/>
          <w:rFonts w:asciiTheme="minorBidi" w:hAnsiTheme="minorBidi"/>
          <w:rtl/>
        </w:rPr>
        <w:footnoteReference w:id="684"/>
      </w:r>
      <w:r w:rsidRPr="00351B7D">
        <w:rPr>
          <w:rFonts w:asciiTheme="minorBidi" w:hAnsiTheme="minorBidi"/>
          <w:rtl/>
        </w:rPr>
        <w:t>- כן, כיון שהדרשה היא כפנים חדשות</w:t>
      </w:r>
      <w:r w:rsidRPr="00351B7D">
        <w:rPr>
          <w:rFonts w:asciiTheme="minorBidi" w:hAnsiTheme="minorBidi"/>
          <w:sz w:val="16"/>
          <w:szCs w:val="16"/>
          <w:rtl/>
        </w:rPr>
        <w:t xml:space="preserve"> (ומכיון שנוהגים לדרוש בסעודה נוהגים לברך)</w:t>
      </w:r>
      <w:r w:rsidRPr="00351B7D">
        <w:rPr>
          <w:rStyle w:val="a7"/>
          <w:rFonts w:asciiTheme="minorBidi" w:hAnsiTheme="minorBidi"/>
          <w:rtl/>
        </w:rPr>
        <w:footnoteReference w:id="685"/>
      </w:r>
      <w:r w:rsidRPr="00351B7D">
        <w:rPr>
          <w:rFonts w:asciiTheme="minorBidi" w:hAnsiTheme="minorBidi"/>
          <w:rtl/>
        </w:rPr>
        <w:t xml:space="preserve">. </w:t>
      </w:r>
      <w:r w:rsidRPr="00351B7D">
        <w:rPr>
          <w:rFonts w:asciiTheme="minorBidi" w:hAnsiTheme="minorBidi"/>
          <w:color w:val="00B0F0"/>
          <w:rtl/>
        </w:rPr>
        <w:t>(וכ"פ הרמ"א)</w:t>
      </w:r>
    </w:p>
    <w:p w14:paraId="7C61D78A" w14:textId="77777777" w:rsidR="008E16D0" w:rsidRPr="00351B7D" w:rsidRDefault="008E16D0" w:rsidP="008E16D0">
      <w:pPr>
        <w:rPr>
          <w:rFonts w:asciiTheme="minorBidi" w:hAnsiTheme="minorBidi"/>
          <w:rtl/>
        </w:rPr>
      </w:pPr>
      <w:r w:rsidRPr="00351B7D">
        <w:rPr>
          <w:rFonts w:asciiTheme="minorBidi" w:hAnsiTheme="minorBidi"/>
          <w:b/>
          <w:bCs/>
          <w:rtl/>
        </w:rPr>
        <w:t>מסכתות קטנות מסכת סופרים פי"ט ה"ט:</w:t>
      </w:r>
      <w:r w:rsidRPr="00351B7D">
        <w:rPr>
          <w:rFonts w:asciiTheme="minorBidi" w:hAnsiTheme="minorBidi"/>
          <w:rtl/>
        </w:rPr>
        <w:t xml:space="preserve"> ונהגו רבותינו לומר בבקר ברכת חתנים על הכוס בעשרה, ובפנים חדשות כל שבעה, וכן בערב קודם סעודה.</w:t>
      </w:r>
    </w:p>
    <w:p w14:paraId="5096B28E" w14:textId="77777777" w:rsidR="008E16D0" w:rsidRPr="00351B7D" w:rsidRDefault="008E16D0" w:rsidP="008E16D0">
      <w:pPr>
        <w:rPr>
          <w:rFonts w:asciiTheme="minorBidi" w:hAnsiTheme="minorBidi"/>
          <w:u w:val="single"/>
        </w:rPr>
      </w:pPr>
      <w:r w:rsidRPr="00351B7D">
        <w:rPr>
          <w:rFonts w:asciiTheme="minorBidi" w:hAnsiTheme="minorBidi"/>
          <w:u w:val="single"/>
          <w:rtl/>
        </w:rPr>
        <w:t>מתי מברכים ברכת חתנים, לאחר הסעודה או לפניה:</w:t>
      </w:r>
    </w:p>
    <w:p w14:paraId="404CE14E" w14:textId="77777777" w:rsidR="008E16D0" w:rsidRPr="00351B7D" w:rsidRDefault="008E16D0" w:rsidP="00A8697F">
      <w:pPr>
        <w:pStyle w:val="ab"/>
        <w:numPr>
          <w:ilvl w:val="0"/>
          <w:numId w:val="86"/>
        </w:numPr>
        <w:rPr>
          <w:rFonts w:asciiTheme="minorBidi" w:hAnsiTheme="minorBidi"/>
          <w:u w:val="single"/>
        </w:rPr>
      </w:pPr>
      <w:r w:rsidRPr="00351B7D">
        <w:rPr>
          <w:rFonts w:asciiTheme="minorBidi" w:hAnsiTheme="minorBidi"/>
          <w:rtl/>
        </w:rPr>
        <w:t>י"א</w:t>
      </w:r>
      <w:r w:rsidRPr="00351B7D">
        <w:rPr>
          <w:rFonts w:asciiTheme="minorBidi" w:hAnsiTheme="minorBidi"/>
          <w:sz w:val="16"/>
          <w:szCs w:val="16"/>
          <w:rtl/>
        </w:rPr>
        <w:t xml:space="preserve"> (הביאום הרא"ש [סי' יג] והר"ן [ג. ד"ה וחתנים])</w:t>
      </w:r>
      <w:r w:rsidRPr="00351B7D">
        <w:rPr>
          <w:rFonts w:asciiTheme="minorBidi" w:hAnsiTheme="minorBidi"/>
          <w:rtl/>
        </w:rPr>
        <w:t xml:space="preserve">- הא דמברכין ע"י פנים חדשות דהיינו דוקא לאחר סעודה. </w:t>
      </w:r>
    </w:p>
    <w:p w14:paraId="606C4081" w14:textId="77777777" w:rsidR="008E16D0" w:rsidRPr="00351B7D" w:rsidRDefault="008E16D0" w:rsidP="00A8697F">
      <w:pPr>
        <w:pStyle w:val="ab"/>
        <w:numPr>
          <w:ilvl w:val="0"/>
          <w:numId w:val="86"/>
        </w:numPr>
        <w:rPr>
          <w:rFonts w:asciiTheme="minorBidi" w:hAnsiTheme="minorBidi"/>
          <w:u w:val="single"/>
          <w:rtl/>
        </w:rPr>
      </w:pPr>
      <w:r w:rsidRPr="00351B7D">
        <w:rPr>
          <w:rFonts w:asciiTheme="minorBidi" w:hAnsiTheme="minorBidi"/>
          <w:rtl/>
        </w:rPr>
        <w:t>ר"ן</w:t>
      </w:r>
      <w:r w:rsidRPr="00351B7D">
        <w:rPr>
          <w:rStyle w:val="a7"/>
          <w:rFonts w:asciiTheme="minorBidi" w:hAnsiTheme="minorBidi"/>
          <w:rtl/>
        </w:rPr>
        <w:footnoteReference w:id="686"/>
      </w:r>
      <w:r w:rsidRPr="00351B7D">
        <w:rPr>
          <w:rFonts w:asciiTheme="minorBidi" w:hAnsiTheme="minorBidi"/>
          <w:rtl/>
        </w:rPr>
        <w:t xml:space="preserve"> </w:t>
      </w:r>
      <w:r w:rsidRPr="00351B7D">
        <w:rPr>
          <w:rFonts w:asciiTheme="minorBidi" w:hAnsiTheme="minorBidi"/>
          <w:sz w:val="16"/>
          <w:szCs w:val="16"/>
          <w:rtl/>
        </w:rPr>
        <w:t>(כתובות ג. ד"ה וחתנים)</w:t>
      </w:r>
      <w:r w:rsidRPr="00351B7D">
        <w:rPr>
          <w:rFonts w:asciiTheme="minorBidi" w:hAnsiTheme="minorBidi"/>
          <w:rtl/>
        </w:rPr>
        <w:t>- שנינו במסכת סופרים "ונהגו לומר בבוקר ברכת חתנים על הכוס בעשרה ופנים חדשות כל שבעה", אלמא קודם סעודה היו מברכין אותה לפי שהיו רגילין להתאסף בבית החתן בבוקר ובערב לשמח החתן והכלה והיו מברכין אע"פ שאין אוכלין.</w:t>
      </w:r>
    </w:p>
    <w:p w14:paraId="33F38688" w14:textId="77777777" w:rsidR="008E16D0" w:rsidRPr="00351B7D" w:rsidRDefault="008E16D0" w:rsidP="008E16D0">
      <w:pPr>
        <w:rPr>
          <w:rFonts w:asciiTheme="minorBidi" w:hAnsiTheme="minorBidi"/>
          <w:u w:val="single"/>
          <w:rtl/>
        </w:rPr>
      </w:pPr>
      <w:r w:rsidRPr="00351B7D">
        <w:rPr>
          <w:rFonts w:asciiTheme="minorBidi" w:hAnsiTheme="minorBidi"/>
          <w:u w:val="single"/>
          <w:rtl/>
        </w:rPr>
        <w:t>על המנהג שבשבת אחר התפלה מלוין הקהל את החתן לביתו ואומרים שם ז' ברכות:</w:t>
      </w:r>
    </w:p>
    <w:p w14:paraId="207CD7F0" w14:textId="77777777" w:rsidR="008E16D0" w:rsidRPr="00351B7D" w:rsidRDefault="008E16D0" w:rsidP="00A8697F">
      <w:pPr>
        <w:pStyle w:val="ab"/>
        <w:numPr>
          <w:ilvl w:val="0"/>
          <w:numId w:val="86"/>
        </w:numPr>
        <w:rPr>
          <w:rFonts w:asciiTheme="minorBidi" w:hAnsiTheme="minorBidi"/>
          <w:u w:val="single"/>
        </w:rPr>
      </w:pPr>
      <w:r w:rsidRPr="00351B7D">
        <w:rPr>
          <w:rFonts w:asciiTheme="minorBidi" w:hAnsiTheme="minorBidi"/>
          <w:rtl/>
        </w:rPr>
        <w:t>רב האי</w:t>
      </w:r>
      <w:r w:rsidRPr="00351B7D">
        <w:rPr>
          <w:rFonts w:asciiTheme="minorBidi" w:hAnsiTheme="minorBidi"/>
          <w:sz w:val="16"/>
          <w:szCs w:val="16"/>
          <w:rtl/>
        </w:rPr>
        <w:t xml:space="preserve"> (הביאו הרא"ש סי' יג)</w:t>
      </w:r>
      <w:r w:rsidRPr="00351B7D">
        <w:rPr>
          <w:rFonts w:asciiTheme="minorBidi" w:hAnsiTheme="minorBidi"/>
          <w:rtl/>
        </w:rPr>
        <w:t>- אינו מנהג יפה</w:t>
      </w:r>
      <w:r w:rsidRPr="00351B7D">
        <w:rPr>
          <w:rStyle w:val="a7"/>
          <w:rFonts w:asciiTheme="minorBidi" w:hAnsiTheme="minorBidi"/>
          <w:rtl/>
        </w:rPr>
        <w:footnoteReference w:id="687"/>
      </w:r>
      <w:r w:rsidRPr="00351B7D">
        <w:rPr>
          <w:rFonts w:asciiTheme="minorBidi" w:hAnsiTheme="minorBidi"/>
          <w:rtl/>
        </w:rPr>
        <w:t xml:space="preserve"> אלא שאין איסור בדבר שהרי אמרו מברכין ברכת חתנים כל שבעה, והוא שבאו פנים חדשות. </w:t>
      </w:r>
    </w:p>
    <w:p w14:paraId="7074E56E" w14:textId="77777777" w:rsidR="008E16D0" w:rsidRPr="00351B7D" w:rsidRDefault="008E16D0" w:rsidP="00A8697F">
      <w:pPr>
        <w:pStyle w:val="ab"/>
        <w:numPr>
          <w:ilvl w:val="0"/>
          <w:numId w:val="86"/>
        </w:numPr>
        <w:rPr>
          <w:rFonts w:asciiTheme="minorBidi" w:hAnsiTheme="minorBidi"/>
          <w:u w:val="single"/>
          <w:rtl/>
        </w:rPr>
      </w:pPr>
      <w:r w:rsidRPr="00351B7D">
        <w:rPr>
          <w:rFonts w:asciiTheme="minorBidi" w:hAnsiTheme="minorBidi"/>
          <w:rtl/>
        </w:rPr>
        <w:t xml:space="preserve">ר"ן </w:t>
      </w:r>
      <w:r w:rsidRPr="00351B7D">
        <w:rPr>
          <w:rFonts w:asciiTheme="minorBidi" w:hAnsiTheme="minorBidi"/>
          <w:sz w:val="16"/>
          <w:szCs w:val="16"/>
          <w:rtl/>
        </w:rPr>
        <w:t>(כתובות ג. ד"ה וחתנים)</w:t>
      </w:r>
      <w:r w:rsidRPr="00351B7D">
        <w:rPr>
          <w:rFonts w:asciiTheme="minorBidi" w:hAnsiTheme="minorBidi"/>
          <w:rtl/>
        </w:rPr>
        <w:t xml:space="preserve">- "ואנן גם כן בששי ובשבת שהחתן יוצא מבית הכנסת מוציאין כלה מחדרה ונכנסין לחופה זו היא עיקר השמחה וראוי לברך עליה וה"נ מוכח בירושלמי </w:t>
      </w:r>
      <w:r w:rsidRPr="00351B7D">
        <w:rPr>
          <w:rFonts w:asciiTheme="minorBidi" w:hAnsiTheme="minorBidi"/>
          <w:sz w:val="16"/>
          <w:szCs w:val="16"/>
          <w:rtl/>
        </w:rPr>
        <w:t>(כתובות פ"א ה"א)</w:t>
      </w:r>
      <w:r w:rsidRPr="00351B7D">
        <w:rPr>
          <w:rFonts w:asciiTheme="minorBidi" w:hAnsiTheme="minorBidi"/>
          <w:rtl/>
        </w:rPr>
        <w:t>... ואע"פ שברכו בששי חוזרין ומברכין בשבת ואין חוששין לדעת אם יש שם פנים חדשות לפי שא"א שלא יהיה בשבת אחד שלא היה אתמול, וי"א שסומכים על מה שאמרו במדרש כיון שבא שבת באו פנים חדשות"</w:t>
      </w:r>
      <w:r w:rsidRPr="00351B7D">
        <w:rPr>
          <w:rStyle w:val="a7"/>
          <w:rFonts w:asciiTheme="minorBidi" w:hAnsiTheme="minorBidi"/>
          <w:rtl/>
        </w:rPr>
        <w:footnoteReference w:id="688"/>
      </w:r>
      <w:r w:rsidRPr="00351B7D">
        <w:rPr>
          <w:rFonts w:asciiTheme="minorBidi" w:hAnsiTheme="minorBidi"/>
          <w:rtl/>
        </w:rPr>
        <w:t>.</w:t>
      </w:r>
    </w:p>
    <w:p w14:paraId="4F92A59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E7A324"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יש אומרים שאינם נקראים פנים חדשות אלא אם כן הם בני אדם שמרבים בשבילם</w:t>
      </w:r>
      <w:r w:rsidRPr="00351B7D">
        <w:rPr>
          <w:rStyle w:val="a7"/>
          <w:rFonts w:asciiTheme="minorBidi" w:hAnsiTheme="minorBidi"/>
          <w:color w:val="000000"/>
          <w:rtl/>
        </w:rPr>
        <w:footnoteReference w:id="689"/>
      </w:r>
      <w:r w:rsidRPr="00351B7D">
        <w:rPr>
          <w:rFonts w:asciiTheme="minorBidi" w:hAnsiTheme="minorBidi"/>
          <w:rtl/>
        </w:rPr>
        <w:t>, ויש אומרים דשבת ויום טוב ראשון ושני הוי כפנים חדשות בסעודת הלילה ושחרית</w:t>
      </w:r>
      <w:r w:rsidRPr="00351B7D">
        <w:rPr>
          <w:rStyle w:val="a7"/>
          <w:rFonts w:asciiTheme="minorBidi" w:hAnsiTheme="minorBidi"/>
          <w:color w:val="000000"/>
          <w:rtl/>
        </w:rPr>
        <w:footnoteReference w:id="690"/>
      </w:r>
      <w:r w:rsidRPr="00351B7D">
        <w:rPr>
          <w:rFonts w:asciiTheme="minorBidi" w:hAnsiTheme="minorBidi"/>
          <w:rtl/>
        </w:rPr>
        <w:t xml:space="preserve"> אבל לא בסעודה שלישית וכן פשט המנהג.</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ועכשיו נהגו במדינות אלו לברך ז' ברכות בסעודה ג' ואפשר משום דרגילים לבא פנים חדשות, וי"א מטעם דרגילין לדרוש והדרשה הוי כפנים חדשות. </w:t>
      </w:r>
    </w:p>
    <w:p w14:paraId="1C6A7DA3" w14:textId="77777777" w:rsidR="008E16D0" w:rsidRPr="00351B7D" w:rsidRDefault="008E16D0" w:rsidP="008E16D0">
      <w:pPr>
        <w:rPr>
          <w:rFonts w:asciiTheme="minorBidi" w:hAnsiTheme="minorBidi"/>
          <w:color w:val="000000"/>
          <w:u w:val="single"/>
          <w:rtl/>
        </w:rPr>
      </w:pPr>
      <w:r w:rsidRPr="00351B7D">
        <w:rPr>
          <w:rFonts w:asciiTheme="minorBidi" w:hAnsiTheme="minorBidi"/>
          <w:u w:val="single"/>
          <w:rtl/>
        </w:rPr>
        <w:t xml:space="preserve">האם ביאת מצוה </w:t>
      </w:r>
      <w:r w:rsidRPr="00351B7D">
        <w:rPr>
          <w:rFonts w:asciiTheme="minorBidi" w:hAnsiTheme="minorBidi"/>
          <w:sz w:val="16"/>
          <w:szCs w:val="16"/>
          <w:u w:val="single"/>
          <w:rtl/>
        </w:rPr>
        <w:t>(שבתוך ז' ימי משתה)</w:t>
      </w:r>
      <w:r w:rsidRPr="00351B7D">
        <w:rPr>
          <w:rFonts w:asciiTheme="minorBidi" w:hAnsiTheme="minorBidi"/>
          <w:u w:val="single"/>
          <w:rtl/>
        </w:rPr>
        <w:t xml:space="preserve"> חשיבא כפנים חדשות:</w:t>
      </w:r>
      <w:r w:rsidRPr="00351B7D">
        <w:rPr>
          <w:rFonts w:asciiTheme="minorBidi" w:hAnsiTheme="minorBidi"/>
          <w:sz w:val="16"/>
          <w:szCs w:val="16"/>
          <w:rtl/>
        </w:rPr>
        <w:t xml:space="preserve">     (פת"ש סקט"ו)</w:t>
      </w:r>
    </w:p>
    <w:p w14:paraId="3C629CB9" w14:textId="77777777" w:rsidR="008E16D0" w:rsidRPr="00351B7D" w:rsidRDefault="008E16D0" w:rsidP="00A8697F">
      <w:pPr>
        <w:pStyle w:val="ab"/>
        <w:numPr>
          <w:ilvl w:val="0"/>
          <w:numId w:val="116"/>
        </w:numPr>
        <w:rPr>
          <w:rFonts w:asciiTheme="minorBidi" w:hAnsiTheme="minorBidi"/>
          <w:color w:val="000000"/>
        </w:rPr>
      </w:pPr>
      <w:r w:rsidRPr="00351B7D">
        <w:rPr>
          <w:rFonts w:asciiTheme="minorBidi" w:hAnsiTheme="minorBidi"/>
          <w:rtl/>
        </w:rPr>
        <w:t>תשובה מאהבה</w:t>
      </w:r>
      <w:r w:rsidRPr="00351B7D">
        <w:rPr>
          <w:rStyle w:val="a7"/>
          <w:rFonts w:asciiTheme="minorBidi" w:hAnsiTheme="minorBidi"/>
          <w:rtl/>
        </w:rPr>
        <w:footnoteReference w:id="691"/>
      </w:r>
      <w:r w:rsidRPr="00351B7D">
        <w:rPr>
          <w:rFonts w:asciiTheme="minorBidi" w:hAnsiTheme="minorBidi"/>
          <w:rtl/>
        </w:rPr>
        <w:t xml:space="preserve">- צ"ע אם ביאת מצוה תוך ז' ימי המשתה אם לא תהיה חשובה פני' חדשו' כסעודת שבת. </w:t>
      </w:r>
    </w:p>
    <w:p w14:paraId="2E233C20" w14:textId="77777777" w:rsidR="008E16D0" w:rsidRPr="00351B7D" w:rsidRDefault="008E16D0" w:rsidP="00A8697F">
      <w:pPr>
        <w:pStyle w:val="ab"/>
        <w:numPr>
          <w:ilvl w:val="0"/>
          <w:numId w:val="116"/>
        </w:numPr>
        <w:rPr>
          <w:rFonts w:asciiTheme="minorBidi" w:hAnsiTheme="minorBidi"/>
          <w:color w:val="000000"/>
          <w:rtl/>
        </w:rPr>
      </w:pPr>
      <w:r w:rsidRPr="00351B7D">
        <w:rPr>
          <w:rFonts w:asciiTheme="minorBidi" w:hAnsiTheme="minorBidi"/>
          <w:rtl/>
        </w:rPr>
        <w:t>בית מאיר</w:t>
      </w:r>
      <w:r w:rsidRPr="00351B7D">
        <w:rPr>
          <w:rFonts w:asciiTheme="minorBidi" w:hAnsiTheme="minorBidi"/>
          <w:sz w:val="16"/>
          <w:szCs w:val="16"/>
          <w:rtl/>
        </w:rPr>
        <w:t xml:space="preserve"> (ס"ס ס"א)</w:t>
      </w:r>
      <w:r w:rsidRPr="00351B7D">
        <w:rPr>
          <w:rFonts w:asciiTheme="minorBidi" w:hAnsiTheme="minorBidi"/>
          <w:rtl/>
        </w:rPr>
        <w:t>- מקרי פנים חדשות וק"ו משבת כו'.</w:t>
      </w:r>
    </w:p>
    <w:p w14:paraId="18C66614" w14:textId="77777777" w:rsidR="008E16D0" w:rsidRPr="00351B7D" w:rsidRDefault="008E16D0" w:rsidP="008E16D0">
      <w:pPr>
        <w:rPr>
          <w:rFonts w:asciiTheme="minorBidi" w:hAnsiTheme="minorBidi"/>
          <w:color w:val="000000"/>
          <w:rtl/>
        </w:rPr>
      </w:pPr>
    </w:p>
    <w:p w14:paraId="0E46C790" w14:textId="77777777" w:rsidR="008E16D0" w:rsidRPr="00351B7D" w:rsidRDefault="008E16D0" w:rsidP="008E16D0">
      <w:pPr>
        <w:pStyle w:val="2"/>
        <w:rPr>
          <w:rFonts w:asciiTheme="minorBidi" w:hAnsiTheme="minorBidi"/>
          <w:rtl/>
        </w:rPr>
      </w:pPr>
      <w:r w:rsidRPr="00351B7D">
        <w:rPr>
          <w:rFonts w:asciiTheme="minorBidi" w:hAnsiTheme="minorBidi"/>
          <w:rtl/>
        </w:rPr>
        <w:lastRenderedPageBreak/>
        <w:t>סעיף ט: ברכה על הכוס בשבע ברכות, בברכת האירוסין והנישואין.</w:t>
      </w:r>
    </w:p>
    <w:p w14:paraId="4C629EED" w14:textId="77777777" w:rsidR="008E16D0" w:rsidRPr="00351B7D" w:rsidRDefault="008E16D0" w:rsidP="008E16D0">
      <w:pPr>
        <w:rPr>
          <w:rFonts w:asciiTheme="minorBidi" w:hAnsiTheme="minorBidi"/>
          <w:rtl/>
        </w:rPr>
      </w:pPr>
      <w:r w:rsidRPr="00351B7D">
        <w:rPr>
          <w:rFonts w:asciiTheme="minorBidi" w:hAnsiTheme="minorBidi"/>
          <w:b/>
          <w:bCs/>
          <w:rtl/>
        </w:rPr>
        <w:t>כתובות ז ע"ב:</w:t>
      </w:r>
      <w:r w:rsidRPr="00351B7D">
        <w:rPr>
          <w:rFonts w:asciiTheme="minorBidi" w:hAnsiTheme="minorBidi"/>
          <w:rtl/>
        </w:rPr>
        <w:t xml:space="preserve"> תנו רבנן: מברכין ברכת חתנים בבית חתנים</w:t>
      </w:r>
      <w:r w:rsidRPr="00351B7D">
        <w:rPr>
          <w:rStyle w:val="a7"/>
          <w:rFonts w:asciiTheme="minorBidi" w:hAnsiTheme="minorBidi"/>
          <w:rtl/>
        </w:rPr>
        <w:footnoteReference w:id="692"/>
      </w:r>
      <w:r w:rsidRPr="00351B7D">
        <w:rPr>
          <w:rFonts w:asciiTheme="minorBidi" w:hAnsiTheme="minorBidi"/>
          <w:rtl/>
        </w:rPr>
        <w:t xml:space="preserve">, </w:t>
      </w:r>
      <w:r w:rsidRPr="00351B7D">
        <w:rPr>
          <w:rFonts w:asciiTheme="minorBidi" w:hAnsiTheme="minorBidi"/>
          <w:u w:val="single"/>
          <w:rtl/>
        </w:rPr>
        <w:t>ר' יהודה אומר</w:t>
      </w:r>
      <w:r w:rsidRPr="00351B7D">
        <w:rPr>
          <w:rFonts w:asciiTheme="minorBidi" w:hAnsiTheme="minorBidi"/>
          <w:rtl/>
        </w:rPr>
        <w:t>: אף בבית האירוסין</w:t>
      </w:r>
      <w:r w:rsidRPr="00351B7D">
        <w:rPr>
          <w:rStyle w:val="a7"/>
          <w:rFonts w:asciiTheme="minorBidi" w:hAnsiTheme="minorBidi"/>
          <w:rtl/>
        </w:rPr>
        <w:footnoteReference w:id="693"/>
      </w:r>
      <w:r w:rsidRPr="00351B7D">
        <w:rPr>
          <w:rFonts w:asciiTheme="minorBidi" w:hAnsiTheme="minorBidi"/>
          <w:rtl/>
        </w:rPr>
        <w:t xml:space="preserve"> מברכין אותה. </w:t>
      </w:r>
      <w:r w:rsidRPr="00351B7D">
        <w:rPr>
          <w:rFonts w:asciiTheme="minorBidi" w:hAnsiTheme="minorBidi"/>
          <w:u w:val="single"/>
          <w:rtl/>
        </w:rPr>
        <w:t>אמר אביי</w:t>
      </w:r>
      <w:r w:rsidRPr="00351B7D">
        <w:rPr>
          <w:rFonts w:asciiTheme="minorBidi" w:hAnsiTheme="minorBidi"/>
          <w:rtl/>
        </w:rPr>
        <w:t>: וביהודה שנו</w:t>
      </w:r>
      <w:r w:rsidRPr="00351B7D">
        <w:rPr>
          <w:rStyle w:val="a7"/>
          <w:rFonts w:asciiTheme="minorBidi" w:hAnsiTheme="minorBidi"/>
          <w:rtl/>
        </w:rPr>
        <w:footnoteReference w:id="694"/>
      </w:r>
      <w:r w:rsidRPr="00351B7D">
        <w:rPr>
          <w:rFonts w:asciiTheme="minorBidi" w:hAnsiTheme="minorBidi"/>
          <w:rtl/>
        </w:rPr>
        <w:t>, מפני שמתייחד עמה</w:t>
      </w:r>
      <w:r w:rsidRPr="00351B7D">
        <w:rPr>
          <w:rStyle w:val="a7"/>
          <w:rFonts w:asciiTheme="minorBidi" w:hAnsiTheme="minorBidi"/>
          <w:rtl/>
        </w:rPr>
        <w:footnoteReference w:id="695"/>
      </w:r>
      <w:r w:rsidRPr="00351B7D">
        <w:rPr>
          <w:rFonts w:asciiTheme="minorBidi" w:hAnsiTheme="minorBidi"/>
          <w:rtl/>
        </w:rPr>
        <w:t xml:space="preserve">. </w:t>
      </w:r>
      <w:r w:rsidRPr="00351B7D">
        <w:rPr>
          <w:rFonts w:asciiTheme="minorBidi" w:hAnsiTheme="minorBidi"/>
          <w:color w:val="000000"/>
          <w:sz w:val="16"/>
          <w:szCs w:val="16"/>
          <w:rtl/>
        </w:rPr>
        <w:t>(וכ' הטור דהאידנא אין נוהגין ליארס אלא בשעת חופה הלכך מברך ברכת אירוסין וברכת נישואין יחד זה אחר זה. אך כ' הב"י על דבריו דזה היה מנהג מקומו אבל האידנא קצת נוהגין כן וקצת נוהגין ליארס שלא בשעת חופה)</w:t>
      </w:r>
    </w:p>
    <w:p w14:paraId="7E77CC1A" w14:textId="77777777" w:rsidR="008E16D0" w:rsidRPr="00351B7D" w:rsidRDefault="008E16D0" w:rsidP="008E16D0">
      <w:pPr>
        <w:rPr>
          <w:rFonts w:asciiTheme="minorBidi" w:hAnsiTheme="minorBidi"/>
          <w:rtl/>
        </w:rPr>
      </w:pPr>
      <w:r w:rsidRPr="00351B7D">
        <w:rPr>
          <w:rFonts w:asciiTheme="minorBidi" w:hAnsiTheme="minorBidi"/>
          <w:b/>
          <w:bCs/>
          <w:rtl/>
        </w:rPr>
        <w:t xml:space="preserve">פסחים קב ע"א: </w:t>
      </w:r>
      <w:r w:rsidRPr="00351B7D">
        <w:rPr>
          <w:rFonts w:asciiTheme="minorBidi" w:hAnsiTheme="minorBidi"/>
          <w:rtl/>
        </w:rPr>
        <w:t xml:space="preserve">תנו רבנן: בני חבורה שהיו מסובין וקדש עליהן היום - מביאין לו כוס של יין, ואומר עליו קדושת היום ושני אומר עליו ברכת המזון, </w:t>
      </w:r>
      <w:r w:rsidRPr="00351B7D">
        <w:rPr>
          <w:rFonts w:asciiTheme="minorBidi" w:hAnsiTheme="minorBidi"/>
          <w:u w:val="single"/>
          <w:rtl/>
        </w:rPr>
        <w:t>דברי רבי יהודה</w:t>
      </w:r>
      <w:r w:rsidRPr="00351B7D">
        <w:rPr>
          <w:rFonts w:asciiTheme="minorBidi" w:hAnsiTheme="minorBidi"/>
          <w:rtl/>
        </w:rPr>
        <w:t xml:space="preserve">. </w:t>
      </w:r>
      <w:r w:rsidRPr="00351B7D">
        <w:rPr>
          <w:rFonts w:asciiTheme="minorBidi" w:hAnsiTheme="minorBidi"/>
          <w:u w:val="single"/>
          <w:rtl/>
        </w:rPr>
        <w:t>רבי יוסי אומר</w:t>
      </w:r>
      <w:r w:rsidRPr="00351B7D">
        <w:rPr>
          <w:rFonts w:asciiTheme="minorBidi" w:hAnsiTheme="minorBidi"/>
          <w:rtl/>
        </w:rPr>
        <w:t xml:space="preserve">: אוכל והולך עד שתחשך. גמרו, כוס ראשון מברך עליו ברכת המזון, והשני אומר עליו קדושת היום. אמאי? ונימרינהו לתרוייהו אחדא כסא! </w:t>
      </w:r>
      <w:r w:rsidRPr="00351B7D">
        <w:rPr>
          <w:rFonts w:asciiTheme="minorBidi" w:hAnsiTheme="minorBidi"/>
          <w:u w:val="single"/>
          <w:rtl/>
        </w:rPr>
        <w:t>אמר רב הונא אמר רב ששת</w:t>
      </w:r>
      <w:r w:rsidRPr="00351B7D">
        <w:rPr>
          <w:rFonts w:asciiTheme="minorBidi" w:hAnsiTheme="minorBidi"/>
          <w:rtl/>
        </w:rPr>
        <w:t xml:space="preserve">: אין אומרים שתי קדושות על כוס אחד. מאי טעמא? </w:t>
      </w:r>
      <w:r w:rsidRPr="00351B7D">
        <w:rPr>
          <w:rFonts w:asciiTheme="minorBidi" w:hAnsiTheme="minorBidi"/>
          <w:u w:val="single"/>
          <w:rtl/>
        </w:rPr>
        <w:t>אמר רב נחמן בר יצחק:</w:t>
      </w:r>
      <w:r w:rsidRPr="00351B7D">
        <w:rPr>
          <w:rFonts w:asciiTheme="minorBidi" w:hAnsiTheme="minorBidi"/>
          <w:rtl/>
        </w:rPr>
        <w:t xml:space="preserve"> לפי שאין עושין מצות חבילות חבילות.</w:t>
      </w:r>
    </w:p>
    <w:p w14:paraId="54DDF1C3" w14:textId="77777777" w:rsidR="008E16D0" w:rsidRPr="00351B7D" w:rsidRDefault="008E16D0" w:rsidP="008E16D0">
      <w:pPr>
        <w:rPr>
          <w:rFonts w:asciiTheme="minorBidi" w:hAnsiTheme="minorBidi"/>
          <w:u w:val="single"/>
          <w:rtl/>
        </w:rPr>
      </w:pPr>
      <w:r w:rsidRPr="00351B7D">
        <w:rPr>
          <w:rFonts w:asciiTheme="minorBidi" w:hAnsiTheme="minorBidi"/>
          <w:u w:val="single"/>
          <w:rtl/>
        </w:rPr>
        <w:t>שבע ברכות שלאחר הסעודה- על כוס אחת או על שתיים:</w:t>
      </w:r>
    </w:p>
    <w:p w14:paraId="6190AA78" w14:textId="77777777" w:rsidR="008E16D0" w:rsidRPr="00351B7D" w:rsidRDefault="008E16D0" w:rsidP="00A8697F">
      <w:pPr>
        <w:pStyle w:val="ab"/>
        <w:numPr>
          <w:ilvl w:val="0"/>
          <w:numId w:val="87"/>
        </w:numPr>
        <w:rPr>
          <w:rFonts w:asciiTheme="minorBidi" w:hAnsiTheme="minorBidi"/>
        </w:rPr>
      </w:pPr>
      <w:r w:rsidRPr="00351B7D">
        <w:rPr>
          <w:rFonts w:asciiTheme="minorBidi" w:hAnsiTheme="minorBidi"/>
          <w:rtl/>
        </w:rPr>
        <w:t>תוס'</w:t>
      </w:r>
      <w:r w:rsidRPr="00351B7D">
        <w:rPr>
          <w:rFonts w:asciiTheme="minorBidi" w:hAnsiTheme="minorBidi"/>
          <w:sz w:val="16"/>
          <w:szCs w:val="16"/>
          <w:rtl/>
        </w:rPr>
        <w:t xml:space="preserve"> (ד"ה שאין)</w:t>
      </w:r>
      <w:r w:rsidRPr="00351B7D">
        <w:rPr>
          <w:rFonts w:asciiTheme="minorBidi" w:hAnsiTheme="minorBidi"/>
          <w:rtl/>
        </w:rPr>
        <w:t xml:space="preserve"> ורא"ש</w:t>
      </w:r>
      <w:r w:rsidRPr="00351B7D">
        <w:rPr>
          <w:rFonts w:asciiTheme="minorBidi" w:hAnsiTheme="minorBidi"/>
          <w:sz w:val="16"/>
          <w:szCs w:val="16"/>
          <w:rtl/>
        </w:rPr>
        <w:t xml:space="preserve"> (סי' ח)</w:t>
      </w:r>
      <w:r w:rsidRPr="00351B7D">
        <w:rPr>
          <w:rFonts w:asciiTheme="minorBidi" w:hAnsiTheme="minorBidi"/>
          <w:rtl/>
        </w:rPr>
        <w:t xml:space="preserve">- נהגו בחופה שאין אומרים שש ברכות על כוס ברהמ"ז </w:t>
      </w:r>
      <w:r w:rsidRPr="00351B7D">
        <w:rPr>
          <w:rFonts w:asciiTheme="minorBidi" w:hAnsiTheme="minorBidi"/>
          <w:sz w:val="16"/>
          <w:szCs w:val="16"/>
          <w:rtl/>
        </w:rPr>
        <w:t>(לפי שאין אומרים ב' קדושות על כוס אחד)</w:t>
      </w:r>
      <w:r w:rsidRPr="00351B7D">
        <w:rPr>
          <w:rFonts w:asciiTheme="minorBidi" w:hAnsiTheme="minorBidi"/>
          <w:rtl/>
        </w:rPr>
        <w:t xml:space="preserve"> אלא מביאין כוס אחר ואומר עליו שש ברכות</w:t>
      </w:r>
      <w:r w:rsidRPr="00351B7D">
        <w:rPr>
          <w:rStyle w:val="a7"/>
          <w:rFonts w:asciiTheme="minorBidi" w:hAnsiTheme="minorBidi"/>
          <w:rtl/>
        </w:rPr>
        <w:footnoteReference w:id="696"/>
      </w:r>
      <w:r w:rsidRPr="00351B7D">
        <w:rPr>
          <w:rFonts w:asciiTheme="minorBidi" w:hAnsiTheme="minorBidi"/>
          <w:rtl/>
        </w:rPr>
        <w:t xml:space="preserve"> וחוזר ולוקח כוס של ברהמ"ז ומברך עליו</w:t>
      </w:r>
      <w:r w:rsidRPr="00351B7D">
        <w:rPr>
          <w:rStyle w:val="a7"/>
          <w:rFonts w:asciiTheme="minorBidi" w:hAnsiTheme="minorBidi"/>
          <w:rtl/>
        </w:rPr>
        <w:footnoteReference w:id="697"/>
      </w:r>
      <w:r w:rsidRPr="00351B7D">
        <w:rPr>
          <w:rFonts w:asciiTheme="minorBidi" w:hAnsiTheme="minorBidi"/>
          <w:rtl/>
        </w:rPr>
        <w:t xml:space="preserve"> בפה"ג</w:t>
      </w:r>
      <w:r w:rsidRPr="00351B7D">
        <w:rPr>
          <w:rStyle w:val="a7"/>
          <w:rFonts w:asciiTheme="minorBidi" w:hAnsiTheme="minorBidi"/>
          <w:rtl/>
        </w:rPr>
        <w:footnoteReference w:id="698"/>
      </w:r>
      <w:r w:rsidRPr="00351B7D">
        <w:rPr>
          <w:rFonts w:asciiTheme="minorBidi" w:hAnsiTheme="minorBidi"/>
          <w:rtl/>
        </w:rPr>
        <w:t>.</w:t>
      </w:r>
    </w:p>
    <w:p w14:paraId="05E89544" w14:textId="77777777" w:rsidR="008E16D0" w:rsidRPr="00351B7D" w:rsidRDefault="008E16D0" w:rsidP="00A8697F">
      <w:pPr>
        <w:pStyle w:val="ab"/>
        <w:numPr>
          <w:ilvl w:val="0"/>
          <w:numId w:val="87"/>
        </w:numPr>
        <w:rPr>
          <w:rFonts w:asciiTheme="minorBidi" w:hAnsiTheme="minorBidi"/>
        </w:rPr>
      </w:pPr>
      <w:r w:rsidRPr="00351B7D">
        <w:rPr>
          <w:rFonts w:asciiTheme="minorBidi" w:hAnsiTheme="minorBidi"/>
          <w:rtl/>
        </w:rPr>
        <w:t xml:space="preserve">רבינו משולם </w:t>
      </w:r>
      <w:r w:rsidRPr="00351B7D">
        <w:rPr>
          <w:rFonts w:asciiTheme="minorBidi" w:hAnsiTheme="minorBidi"/>
          <w:sz w:val="16"/>
          <w:szCs w:val="16"/>
          <w:rtl/>
        </w:rPr>
        <w:t>(הביאו התוס')</w:t>
      </w:r>
      <w:r w:rsidRPr="00351B7D">
        <w:rPr>
          <w:rFonts w:asciiTheme="minorBidi" w:hAnsiTheme="minorBidi"/>
          <w:rtl/>
        </w:rPr>
        <w:t xml:space="preserve">- על כוס אחד, ולא דמי למקרה של הגמ' </w:t>
      </w:r>
      <w:r w:rsidRPr="00351B7D">
        <w:rPr>
          <w:rFonts w:asciiTheme="minorBidi" w:hAnsiTheme="minorBidi"/>
          <w:sz w:val="16"/>
          <w:szCs w:val="16"/>
          <w:rtl/>
        </w:rPr>
        <w:t>(ברהמ"ז וקידוש)</w:t>
      </w:r>
      <w:r w:rsidRPr="00351B7D">
        <w:rPr>
          <w:rFonts w:asciiTheme="minorBidi" w:hAnsiTheme="minorBidi"/>
          <w:rtl/>
        </w:rPr>
        <w:t xml:space="preserve"> דהתם תרי מילי נינהו </w:t>
      </w:r>
      <w:r w:rsidRPr="00351B7D">
        <w:rPr>
          <w:rFonts w:asciiTheme="minorBidi" w:hAnsiTheme="minorBidi"/>
          <w:sz w:val="16"/>
          <w:szCs w:val="16"/>
          <w:rtl/>
        </w:rPr>
        <w:t>(זה בא אחר הסעודה וזה בא לקדש היום)</w:t>
      </w:r>
      <w:r w:rsidRPr="00351B7D">
        <w:rPr>
          <w:rFonts w:asciiTheme="minorBidi" w:hAnsiTheme="minorBidi"/>
          <w:rtl/>
        </w:rPr>
        <w:t xml:space="preserve"> אבל הכא חדא מילתא היא דברהמ"ז גורם לברכת נישואין</w:t>
      </w:r>
      <w:r w:rsidRPr="00351B7D">
        <w:rPr>
          <w:rStyle w:val="a7"/>
          <w:rFonts w:asciiTheme="minorBidi" w:hAnsiTheme="minorBidi"/>
          <w:rtl/>
        </w:rPr>
        <w:footnoteReference w:id="699"/>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w:t>
      </w:r>
    </w:p>
    <w:p w14:paraId="46B2F2BF" w14:textId="77777777" w:rsidR="008E16D0" w:rsidRPr="00351B7D" w:rsidRDefault="008E16D0" w:rsidP="008E16D0">
      <w:pPr>
        <w:rPr>
          <w:rFonts w:asciiTheme="minorBidi" w:hAnsiTheme="minorBidi"/>
          <w:u w:val="single"/>
        </w:rPr>
      </w:pPr>
      <w:r w:rsidRPr="00351B7D">
        <w:rPr>
          <w:rFonts w:asciiTheme="minorBidi" w:hAnsiTheme="minorBidi"/>
          <w:u w:val="single"/>
          <w:rtl/>
        </w:rPr>
        <w:t xml:space="preserve">כשהקדושין נעשים בשעת החופה, האם מברכים על כוס אחת </w:t>
      </w:r>
      <w:r w:rsidRPr="00351B7D">
        <w:rPr>
          <w:rFonts w:asciiTheme="minorBidi" w:hAnsiTheme="minorBidi"/>
          <w:sz w:val="16"/>
          <w:szCs w:val="16"/>
          <w:u w:val="single"/>
          <w:rtl/>
        </w:rPr>
        <w:t>(את ברכת אירוסין ונשואין)</w:t>
      </w:r>
      <w:r w:rsidRPr="00351B7D">
        <w:rPr>
          <w:rFonts w:asciiTheme="minorBidi" w:hAnsiTheme="minorBidi"/>
          <w:u w:val="single"/>
          <w:rtl/>
        </w:rPr>
        <w:t xml:space="preserve"> או על שתיים:</w:t>
      </w:r>
    </w:p>
    <w:p w14:paraId="5A176732" w14:textId="77777777" w:rsidR="008E16D0" w:rsidRPr="00351B7D" w:rsidRDefault="008E16D0" w:rsidP="00A8697F">
      <w:pPr>
        <w:pStyle w:val="ab"/>
        <w:numPr>
          <w:ilvl w:val="0"/>
          <w:numId w:val="87"/>
        </w:numPr>
        <w:rPr>
          <w:rFonts w:asciiTheme="minorBidi" w:hAnsiTheme="minorBidi"/>
        </w:rPr>
      </w:pPr>
      <w:r w:rsidRPr="00351B7D">
        <w:rPr>
          <w:rFonts w:asciiTheme="minorBidi" w:hAnsiTheme="minorBidi"/>
          <w:rtl/>
        </w:rPr>
        <w:t>ר"ת תוס' ורא"ש</w:t>
      </w:r>
      <w:r w:rsidRPr="00351B7D">
        <w:rPr>
          <w:rStyle w:val="a7"/>
          <w:rFonts w:asciiTheme="minorBidi" w:hAnsiTheme="minorBidi"/>
          <w:rtl/>
        </w:rPr>
        <w:footnoteReference w:id="700"/>
      </w:r>
      <w:r w:rsidRPr="00351B7D">
        <w:rPr>
          <w:rFonts w:asciiTheme="minorBidi" w:hAnsiTheme="minorBidi"/>
          <w:rtl/>
        </w:rPr>
        <w:t>- נהגו לומר על שתי כוסות, וטעמא דרגילין זה בלא זה דמברכין ברכת אירוסין בבית האירוסין וברכת חתנים בבית החתנים</w:t>
      </w:r>
      <w:r w:rsidRPr="00351B7D">
        <w:rPr>
          <w:rFonts w:asciiTheme="minorBidi" w:hAnsiTheme="minorBidi"/>
          <w:sz w:val="16"/>
          <w:szCs w:val="16"/>
          <w:rtl/>
        </w:rPr>
        <w:t xml:space="preserve"> (תוס' ורא"ש)</w:t>
      </w:r>
      <w:r w:rsidRPr="00351B7D">
        <w:rPr>
          <w:rFonts w:asciiTheme="minorBidi" w:hAnsiTheme="minorBidi"/>
          <w:rtl/>
        </w:rPr>
        <w:t xml:space="preserve">, וגם לפעמים אדם מקדש אשה ונושאה לאחר זמן מרובה </w:t>
      </w:r>
      <w:r w:rsidRPr="00351B7D">
        <w:rPr>
          <w:rFonts w:asciiTheme="minorBidi" w:hAnsiTheme="minorBidi"/>
          <w:sz w:val="16"/>
          <w:szCs w:val="16"/>
          <w:rtl/>
        </w:rPr>
        <w:t>(רא"ש)</w:t>
      </w:r>
      <w:r w:rsidRPr="00351B7D">
        <w:rPr>
          <w:rFonts w:asciiTheme="minorBidi" w:hAnsiTheme="minorBidi"/>
          <w:rtl/>
        </w:rPr>
        <w:t xml:space="preserve">, </w:t>
      </w:r>
      <w:r w:rsidRPr="00351B7D">
        <w:rPr>
          <w:rStyle w:val="a7"/>
          <w:rFonts w:asciiTheme="minorBidi" w:hAnsiTheme="minorBidi"/>
          <w:rtl/>
        </w:rPr>
        <w:footnoteReference w:id="701"/>
      </w:r>
      <w:r w:rsidRPr="00351B7D">
        <w:rPr>
          <w:rFonts w:asciiTheme="minorBidi" w:hAnsiTheme="minorBidi"/>
          <w:rtl/>
        </w:rPr>
        <w:t xml:space="preserve">ועוד דנהגו לקרות כתובה בנתיים והוי הפסק </w:t>
      </w:r>
      <w:r w:rsidRPr="00351B7D">
        <w:rPr>
          <w:rFonts w:asciiTheme="minorBidi" w:hAnsiTheme="minorBidi"/>
          <w:sz w:val="16"/>
          <w:szCs w:val="16"/>
          <w:rtl/>
        </w:rPr>
        <w:t>(תוס' ורא"ש)</w:t>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4EDED2E3" w14:textId="77777777" w:rsidR="008E16D0" w:rsidRPr="00351B7D" w:rsidRDefault="008E16D0" w:rsidP="00A8697F">
      <w:pPr>
        <w:pStyle w:val="ab"/>
        <w:numPr>
          <w:ilvl w:val="0"/>
          <w:numId w:val="87"/>
        </w:numPr>
        <w:rPr>
          <w:rFonts w:asciiTheme="minorBidi" w:hAnsiTheme="minorBidi"/>
        </w:rPr>
      </w:pPr>
      <w:r w:rsidRPr="00351B7D">
        <w:rPr>
          <w:rFonts w:asciiTheme="minorBidi" w:hAnsiTheme="minorBidi"/>
          <w:rtl/>
        </w:rPr>
        <w:t xml:space="preserve">רבינו משולם </w:t>
      </w:r>
      <w:r w:rsidRPr="00351B7D">
        <w:rPr>
          <w:rFonts w:asciiTheme="minorBidi" w:hAnsiTheme="minorBidi"/>
          <w:sz w:val="16"/>
          <w:szCs w:val="16"/>
          <w:rtl/>
        </w:rPr>
        <w:t>(הביאו הרא"ש)</w:t>
      </w:r>
      <w:r w:rsidRPr="00351B7D">
        <w:rPr>
          <w:rFonts w:asciiTheme="minorBidi" w:hAnsiTheme="minorBidi"/>
          <w:rtl/>
        </w:rPr>
        <w:t xml:space="preserve">- אומרים הכל על כוס אחד, ולא דמי למקרה של הגמ' </w:t>
      </w:r>
      <w:r w:rsidRPr="00351B7D">
        <w:rPr>
          <w:rFonts w:asciiTheme="minorBidi" w:hAnsiTheme="minorBidi"/>
          <w:sz w:val="16"/>
          <w:szCs w:val="16"/>
          <w:rtl/>
        </w:rPr>
        <w:t>(ברהמ"ז וקידוש)</w:t>
      </w:r>
      <w:r w:rsidRPr="00351B7D">
        <w:rPr>
          <w:rFonts w:asciiTheme="minorBidi" w:hAnsiTheme="minorBidi"/>
          <w:rtl/>
        </w:rPr>
        <w:t xml:space="preserve"> דהתם תרי מילי נינהו </w:t>
      </w:r>
      <w:r w:rsidRPr="00351B7D">
        <w:rPr>
          <w:rFonts w:asciiTheme="minorBidi" w:hAnsiTheme="minorBidi"/>
          <w:sz w:val="16"/>
          <w:szCs w:val="16"/>
          <w:rtl/>
        </w:rPr>
        <w:t>(זה בא אחר הסעודה וזה בא לקדש היום)</w:t>
      </w:r>
      <w:r w:rsidRPr="00351B7D">
        <w:rPr>
          <w:rFonts w:asciiTheme="minorBidi" w:hAnsiTheme="minorBidi"/>
          <w:rtl/>
        </w:rPr>
        <w:t xml:space="preserve"> אבל הכא חדא מילתא היא דברהמ"ז גורם לברכת נישואין.</w:t>
      </w:r>
    </w:p>
    <w:p w14:paraId="554D339E"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DC2167C" w14:textId="77777777" w:rsidR="008E16D0" w:rsidRPr="00351B7D" w:rsidRDefault="008E16D0" w:rsidP="008E16D0">
      <w:pPr>
        <w:rPr>
          <w:rFonts w:asciiTheme="minorBidi" w:hAnsiTheme="minorBidi"/>
          <w:color w:val="000000"/>
          <w:sz w:val="18"/>
          <w:szCs w:val="18"/>
          <w:rtl/>
        </w:rPr>
      </w:pPr>
      <w:r w:rsidRPr="00351B7D">
        <w:rPr>
          <w:rFonts w:asciiTheme="minorBidi" w:hAnsiTheme="minorBidi"/>
          <w:rtl/>
        </w:rPr>
        <w:t>יש אומרים שאין לומר שבע ברכות על כוס ברכת המזון אלא מביא כוס אחר</w:t>
      </w:r>
      <w:r w:rsidRPr="00351B7D">
        <w:rPr>
          <w:rStyle w:val="a7"/>
          <w:rFonts w:asciiTheme="minorBidi" w:hAnsiTheme="minorBidi"/>
          <w:color w:val="000000"/>
          <w:rtl/>
        </w:rPr>
        <w:footnoteReference w:id="702"/>
      </w:r>
      <w:r w:rsidRPr="00351B7D">
        <w:rPr>
          <w:rFonts w:asciiTheme="minorBidi" w:hAnsiTheme="minorBidi"/>
          <w:rtl/>
        </w:rPr>
        <w:t xml:space="preserve"> ואומר עליו שבע ברכות וחוזר ולוקח כוס של ברכת המזון ואומר עליו בורא פרי הגפן</w:t>
      </w:r>
      <w:r w:rsidRPr="00351B7D">
        <w:rPr>
          <w:rStyle w:val="a7"/>
          <w:rFonts w:asciiTheme="minorBidi" w:hAnsiTheme="minorBidi"/>
          <w:color w:val="000000"/>
          <w:rtl/>
        </w:rPr>
        <w:footnoteReference w:id="703"/>
      </w:r>
      <w:r w:rsidRPr="00351B7D">
        <w:rPr>
          <w:rFonts w:asciiTheme="minorBidi" w:hAnsiTheme="minorBidi"/>
          <w:rtl/>
        </w:rPr>
        <w:t xml:space="preserve">, ויש אומרים שאין צריך אלא על כוס של ברכת המזון מברך שבע </w:t>
      </w:r>
      <w:r w:rsidRPr="00351B7D">
        <w:rPr>
          <w:rFonts w:asciiTheme="minorBidi" w:hAnsiTheme="minorBidi"/>
          <w:rtl/>
        </w:rPr>
        <w:lastRenderedPageBreak/>
        <w:t>ברכות וכן פשט המנהג</w:t>
      </w:r>
      <w:r w:rsidRPr="00351B7D">
        <w:rPr>
          <w:rStyle w:val="a7"/>
          <w:rFonts w:asciiTheme="minorBidi" w:hAnsiTheme="minorBidi"/>
          <w:color w:val="000000"/>
          <w:rtl/>
        </w:rPr>
        <w:footnoteReference w:id="704"/>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(במדינות אלו נוהגין כסברא הראשונה, וי"א דאפילו לאשר ברא לחוד בעינן שתי כוסות</w:t>
      </w:r>
      <w:r w:rsidRPr="00351B7D">
        <w:rPr>
          <w:rStyle w:val="a7"/>
          <w:rFonts w:asciiTheme="minorBidi" w:hAnsiTheme="minorBidi"/>
          <w:color w:val="000000"/>
          <w:sz w:val="18"/>
          <w:szCs w:val="18"/>
          <w:rtl/>
        </w:rPr>
        <w:footnoteReference w:id="705"/>
      </w:r>
      <w:r w:rsidRPr="00351B7D">
        <w:rPr>
          <w:rFonts w:asciiTheme="minorBidi" w:hAnsiTheme="minorBidi"/>
          <w:color w:val="000000"/>
          <w:sz w:val="18"/>
          <w:szCs w:val="18"/>
          <w:rtl/>
        </w:rPr>
        <w:t>).</w:t>
      </w:r>
      <w:r w:rsidRPr="00351B7D">
        <w:rPr>
          <w:rFonts w:asciiTheme="minorBidi" w:hAnsiTheme="minorBidi"/>
          <w:color w:val="000000"/>
          <w:sz w:val="24"/>
          <w:szCs w:val="24"/>
          <w:rtl/>
        </w:rPr>
        <w:t xml:space="preserve"> </w:t>
      </w:r>
      <w:r w:rsidRPr="00351B7D">
        <w:rPr>
          <w:rFonts w:asciiTheme="minorBidi" w:hAnsiTheme="minorBidi"/>
          <w:rtl/>
        </w:rPr>
        <w:t>וברכת אירוסין וברכת חתנים אומרים אותה על שתי כוסות</w:t>
      </w:r>
      <w:r w:rsidRPr="00351B7D">
        <w:rPr>
          <w:rStyle w:val="a7"/>
          <w:rFonts w:asciiTheme="minorBidi" w:hAnsiTheme="minorBidi"/>
          <w:color w:val="000000"/>
          <w:rtl/>
        </w:rPr>
        <w:footnoteReference w:id="706"/>
      </w:r>
      <w:r w:rsidRPr="00351B7D">
        <w:rPr>
          <w:rFonts w:asciiTheme="minorBidi" w:hAnsiTheme="minorBidi"/>
          <w:rtl/>
        </w:rPr>
        <w:t xml:space="preserve"> אפילו מקדש בשעת החופה.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(ונוהגין להפסיק ביניהם בקריאת הכתובה</w:t>
      </w:r>
      <w:r w:rsidRPr="00351B7D">
        <w:rPr>
          <w:rStyle w:val="a7"/>
          <w:rFonts w:asciiTheme="minorBidi" w:hAnsiTheme="minorBidi"/>
          <w:sz w:val="18"/>
          <w:szCs w:val="18"/>
          <w:rtl/>
        </w:rPr>
        <w:footnoteReference w:id="707"/>
      </w:r>
      <w:r w:rsidRPr="00351B7D">
        <w:rPr>
          <w:rFonts w:asciiTheme="minorBidi" w:hAnsiTheme="minorBidi"/>
          <w:color w:val="000000"/>
          <w:sz w:val="18"/>
          <w:szCs w:val="18"/>
          <w:rtl/>
        </w:rPr>
        <w:t xml:space="preserve">). </w:t>
      </w:r>
    </w:p>
    <w:p w14:paraId="69E53D9B" w14:textId="77777777" w:rsidR="008E16D0" w:rsidRPr="00351B7D" w:rsidRDefault="008E16D0" w:rsidP="008E16D0">
      <w:pPr>
        <w:rPr>
          <w:rFonts w:asciiTheme="minorBidi" w:hAnsiTheme="minorBidi"/>
          <w:color w:val="FF0000"/>
          <w:rtl/>
        </w:rPr>
      </w:pPr>
      <w:r w:rsidRPr="00351B7D">
        <w:rPr>
          <w:rFonts w:asciiTheme="minorBidi" w:hAnsiTheme="minorBidi"/>
          <w:u w:val="single"/>
          <w:rtl/>
        </w:rPr>
        <w:t>מה יעשו אם אירע א' מימי שבע הברכות בליל הסדר</w:t>
      </w:r>
      <w:r w:rsidRPr="00351B7D">
        <w:rPr>
          <w:rFonts w:asciiTheme="minorBidi" w:hAnsiTheme="minorBidi"/>
          <w:sz w:val="16"/>
          <w:szCs w:val="16"/>
          <w:u w:val="single"/>
          <w:rtl/>
        </w:rPr>
        <w:t xml:space="preserve"> (שאין מוסיפין כוסות בין כוס ג' </w:t>
      </w:r>
      <w:r w:rsidRPr="00351B7D">
        <w:rPr>
          <w:rFonts w:asciiTheme="minorBidi" w:hAnsiTheme="minorBidi"/>
          <w:sz w:val="14"/>
          <w:szCs w:val="14"/>
          <w:u w:val="single"/>
          <w:rtl/>
        </w:rPr>
        <w:t xml:space="preserve">[בהמ"ז] </w:t>
      </w:r>
      <w:r w:rsidRPr="00351B7D">
        <w:rPr>
          <w:rFonts w:asciiTheme="minorBidi" w:hAnsiTheme="minorBidi"/>
          <w:sz w:val="16"/>
          <w:szCs w:val="16"/>
          <w:u w:val="single"/>
          <w:rtl/>
        </w:rPr>
        <w:t xml:space="preserve">לכוס ד' </w:t>
      </w:r>
      <w:r w:rsidRPr="00351B7D">
        <w:rPr>
          <w:rFonts w:asciiTheme="minorBidi" w:hAnsiTheme="minorBidi"/>
          <w:sz w:val="14"/>
          <w:szCs w:val="14"/>
          <w:u w:val="single"/>
          <w:rtl/>
        </w:rPr>
        <w:t>[הלל]</w:t>
      </w:r>
      <w:r w:rsidRPr="00351B7D">
        <w:rPr>
          <w:rFonts w:asciiTheme="minorBidi" w:hAnsiTheme="minorBidi"/>
          <w:sz w:val="16"/>
          <w:szCs w:val="16"/>
          <w:u w:val="single"/>
          <w:rtl/>
        </w:rPr>
        <w:t>)</w:t>
      </w:r>
      <w:r w:rsidRPr="00351B7D">
        <w:rPr>
          <w:rFonts w:asciiTheme="minorBidi" w:hAnsiTheme="minorBidi"/>
          <w:color w:val="000000"/>
          <w:rtl/>
        </w:rPr>
        <w:t xml:space="preserve">: </w:t>
      </w:r>
      <w:r w:rsidRPr="00351B7D">
        <w:rPr>
          <w:rFonts w:asciiTheme="minorBidi" w:hAnsiTheme="minorBidi"/>
          <w:color w:val="000000"/>
          <w:sz w:val="14"/>
          <w:szCs w:val="14"/>
          <w:rtl/>
        </w:rPr>
        <w:t xml:space="preserve">  (פת"ש סקי"ח) </w:t>
      </w:r>
    </w:p>
    <w:p w14:paraId="1A7943BE" w14:textId="77777777" w:rsidR="008E16D0" w:rsidRPr="00351B7D" w:rsidRDefault="008E16D0" w:rsidP="00A8697F">
      <w:pPr>
        <w:pStyle w:val="ab"/>
        <w:numPr>
          <w:ilvl w:val="0"/>
          <w:numId w:val="127"/>
        </w:numPr>
        <w:rPr>
          <w:rFonts w:asciiTheme="minorBidi" w:hAnsiTheme="minorBidi"/>
          <w:rtl/>
        </w:rPr>
      </w:pPr>
      <w:r w:rsidRPr="00351B7D">
        <w:rPr>
          <w:rFonts w:asciiTheme="minorBidi" w:hAnsiTheme="minorBidi"/>
          <w:rtl/>
        </w:rPr>
        <w:t>יעב"ץ</w:t>
      </w:r>
      <w:r w:rsidRPr="00351B7D">
        <w:rPr>
          <w:rFonts w:asciiTheme="minorBidi" w:hAnsiTheme="minorBidi"/>
          <w:sz w:val="16"/>
          <w:szCs w:val="16"/>
          <w:rtl/>
        </w:rPr>
        <w:t xml:space="preserve"> (בהגדה של פסח, הובא בחיים שאל)</w:t>
      </w:r>
      <w:r w:rsidRPr="00351B7D">
        <w:rPr>
          <w:rFonts w:asciiTheme="minorBidi" w:hAnsiTheme="minorBidi"/>
          <w:rtl/>
        </w:rPr>
        <w:t>- יכול לברך ברכת חתנים בכוס בהמ"ז, דהא בעלמא איכא מ"ד שיברך ז"ב על כוס בהמ"ז, וכ"כ מרן, והגם שאין המנהג כן</w:t>
      </w:r>
      <w:r w:rsidRPr="00351B7D">
        <w:rPr>
          <w:rFonts w:asciiTheme="minorBidi" w:hAnsiTheme="minorBidi"/>
          <w:sz w:val="16"/>
          <w:szCs w:val="16"/>
          <w:rtl/>
        </w:rPr>
        <w:t xml:space="preserve"> {בזמן היעב"ץ}</w:t>
      </w:r>
      <w:r w:rsidRPr="00351B7D">
        <w:rPr>
          <w:rFonts w:asciiTheme="minorBidi" w:hAnsiTheme="minorBidi"/>
          <w:rtl/>
        </w:rPr>
        <w:t xml:space="preserve"> מ"מ בליל פסח דאין מוסיפין על הכוסות יכול לעשות כן, ואם ירצה דוקא לעשות ב' כוסות יכול גם כן</w:t>
      </w:r>
      <w:r w:rsidRPr="00351B7D">
        <w:rPr>
          <w:rStyle w:val="a7"/>
          <w:rFonts w:asciiTheme="minorBidi" w:hAnsiTheme="minorBidi"/>
          <w:rtl/>
        </w:rPr>
        <w:footnoteReference w:id="708"/>
      </w:r>
      <w:r w:rsidRPr="00351B7D">
        <w:rPr>
          <w:rFonts w:asciiTheme="minorBidi" w:hAnsiTheme="minorBidi"/>
          <w:rtl/>
        </w:rPr>
        <w:t xml:space="preserve"> וזה שבירך ברכת חתנים יניחנו לכוס רביעית.</w:t>
      </w:r>
    </w:p>
    <w:p w14:paraId="3928A119" w14:textId="77777777" w:rsidR="008E16D0" w:rsidRPr="00351B7D" w:rsidRDefault="008E16D0" w:rsidP="00A8697F">
      <w:pPr>
        <w:pStyle w:val="ab"/>
        <w:numPr>
          <w:ilvl w:val="0"/>
          <w:numId w:val="127"/>
        </w:numPr>
        <w:rPr>
          <w:rFonts w:asciiTheme="minorBidi" w:hAnsiTheme="minorBidi"/>
          <w:rtl/>
        </w:rPr>
      </w:pPr>
      <w:r w:rsidRPr="00351B7D">
        <w:rPr>
          <w:rFonts w:asciiTheme="minorBidi" w:hAnsiTheme="minorBidi"/>
          <w:rtl/>
        </w:rPr>
        <w:t>חיים שאל ותשובה מאהבה</w:t>
      </w:r>
      <w:r w:rsidRPr="00351B7D">
        <w:rPr>
          <w:rStyle w:val="a7"/>
          <w:rFonts w:asciiTheme="minorBidi" w:hAnsiTheme="minorBidi"/>
          <w:rtl/>
        </w:rPr>
        <w:footnoteReference w:id="709"/>
      </w:r>
      <w:r w:rsidRPr="00351B7D">
        <w:rPr>
          <w:rFonts w:asciiTheme="minorBidi" w:hAnsiTheme="minorBidi"/>
          <w:rtl/>
        </w:rPr>
        <w:t xml:space="preserve">- טפי מעלי דיברך ברכת חתנים על כוס של בהמ"ז. </w:t>
      </w:r>
    </w:p>
    <w:p w14:paraId="66B90416" w14:textId="77777777" w:rsidR="008E16D0" w:rsidRPr="00351B7D" w:rsidRDefault="008E16D0" w:rsidP="00A8697F">
      <w:pPr>
        <w:pStyle w:val="ab"/>
        <w:numPr>
          <w:ilvl w:val="0"/>
          <w:numId w:val="127"/>
        </w:numPr>
        <w:rPr>
          <w:rFonts w:asciiTheme="minorBidi" w:hAnsiTheme="minorBidi"/>
        </w:rPr>
      </w:pPr>
      <w:r w:rsidRPr="00351B7D">
        <w:rPr>
          <w:rFonts w:asciiTheme="minorBidi" w:hAnsiTheme="minorBidi"/>
          <w:rtl/>
        </w:rPr>
        <w:t>ברכות המים וזכור לאברהם</w:t>
      </w:r>
      <w:r w:rsidRPr="00351B7D">
        <w:rPr>
          <w:rStyle w:val="a7"/>
          <w:rFonts w:asciiTheme="minorBidi" w:hAnsiTheme="minorBidi"/>
          <w:color w:val="000000"/>
          <w:rtl/>
        </w:rPr>
        <w:footnoteReference w:id="710"/>
      </w:r>
      <w:r w:rsidRPr="00351B7D">
        <w:rPr>
          <w:rFonts w:asciiTheme="minorBidi" w:hAnsiTheme="minorBidi"/>
          <w:rtl/>
        </w:rPr>
        <w:t>- א' מן המסובין יברך שש ברכות על כוסו, ואח"כ יברך בפה"ג המברך בהמ"ז.</w:t>
      </w:r>
    </w:p>
    <w:p w14:paraId="62DEAF2F" w14:textId="77777777" w:rsidR="008E16D0" w:rsidRPr="00351B7D" w:rsidRDefault="008E16D0" w:rsidP="00A8697F">
      <w:pPr>
        <w:pStyle w:val="ab"/>
        <w:numPr>
          <w:ilvl w:val="0"/>
          <w:numId w:val="127"/>
        </w:numPr>
        <w:rPr>
          <w:rFonts w:asciiTheme="minorBidi" w:hAnsiTheme="minorBidi"/>
        </w:rPr>
      </w:pPr>
      <w:r w:rsidRPr="00351B7D">
        <w:rPr>
          <w:rFonts w:asciiTheme="minorBidi" w:hAnsiTheme="minorBidi"/>
          <w:rtl/>
        </w:rPr>
        <w:t>דרכ"מ בשם המנהגים</w:t>
      </w:r>
      <w:r w:rsidRPr="00351B7D">
        <w:rPr>
          <w:rStyle w:val="a7"/>
          <w:rFonts w:asciiTheme="minorBidi" w:hAnsiTheme="minorBidi"/>
          <w:color w:val="000000"/>
          <w:rtl/>
        </w:rPr>
        <w:footnoteReference w:id="711"/>
      </w:r>
      <w:r w:rsidRPr="00351B7D">
        <w:rPr>
          <w:rFonts w:asciiTheme="minorBidi" w:hAnsiTheme="minorBidi"/>
          <w:rtl/>
        </w:rPr>
        <w:t>- יברך בהמ"ז על כוס שלו ושבע ברכות על כוס של חתן</w:t>
      </w:r>
      <w:r w:rsidRPr="00351B7D">
        <w:rPr>
          <w:rStyle w:val="a7"/>
          <w:rFonts w:asciiTheme="minorBidi" w:hAnsiTheme="minorBidi"/>
          <w:rtl/>
        </w:rPr>
        <w:footnoteReference w:id="712"/>
      </w:r>
      <w:r w:rsidRPr="00351B7D">
        <w:rPr>
          <w:rFonts w:asciiTheme="minorBidi" w:hAnsiTheme="minorBidi"/>
          <w:rtl/>
        </w:rPr>
        <w:t>. (וכ"פ הפת"ש</w:t>
      </w:r>
      <w:r w:rsidRPr="00351B7D">
        <w:rPr>
          <w:rStyle w:val="a7"/>
          <w:rFonts w:asciiTheme="minorBidi" w:hAnsiTheme="minorBidi"/>
          <w:color w:val="000000"/>
          <w:rtl/>
        </w:rPr>
        <w:footnoteReference w:id="713"/>
      </w:r>
      <w:r w:rsidRPr="00351B7D">
        <w:rPr>
          <w:rFonts w:asciiTheme="minorBidi" w:hAnsiTheme="minorBidi"/>
          <w:rtl/>
        </w:rPr>
        <w:t>)</w:t>
      </w:r>
    </w:p>
    <w:p w14:paraId="13F38D32" w14:textId="77777777" w:rsidR="008E16D0" w:rsidRPr="00351B7D" w:rsidRDefault="008E16D0" w:rsidP="008E16D0">
      <w:pPr>
        <w:pStyle w:val="ab"/>
        <w:rPr>
          <w:rFonts w:asciiTheme="minorBidi" w:hAnsiTheme="minorBidi"/>
          <w:rtl/>
        </w:rPr>
      </w:pPr>
    </w:p>
    <w:p w14:paraId="017C78F5" w14:textId="77777777" w:rsidR="008E16D0" w:rsidRPr="00351B7D" w:rsidRDefault="008E16D0" w:rsidP="008E16D0">
      <w:pPr>
        <w:rPr>
          <w:rFonts w:asciiTheme="minorBidi" w:hAnsiTheme="minorBidi"/>
          <w:color w:val="000000"/>
          <w:rtl/>
        </w:rPr>
      </w:pPr>
    </w:p>
    <w:p w14:paraId="1F38EE8D" w14:textId="77777777" w:rsidR="008E16D0" w:rsidRPr="00351B7D" w:rsidRDefault="008E16D0" w:rsidP="008E16D0">
      <w:pPr>
        <w:pStyle w:val="2"/>
        <w:rPr>
          <w:rFonts w:asciiTheme="minorBidi" w:hAnsiTheme="minorBidi"/>
          <w:rtl/>
        </w:rPr>
      </w:pPr>
      <w:r w:rsidRPr="00351B7D">
        <w:rPr>
          <w:rFonts w:asciiTheme="minorBidi" w:hAnsiTheme="minorBidi"/>
          <w:rtl/>
        </w:rPr>
        <w:t>סעיף י: ברכת חתנים לחתן וכלה שיצאו מבית החתנים.</w:t>
      </w:r>
    </w:p>
    <w:p w14:paraId="66245CC1" w14:textId="77777777" w:rsidR="008E16D0" w:rsidRPr="00351B7D" w:rsidRDefault="008E16D0" w:rsidP="008E16D0">
      <w:pPr>
        <w:rPr>
          <w:rFonts w:asciiTheme="minorBidi" w:hAnsiTheme="minorBidi"/>
          <w:rtl/>
        </w:rPr>
      </w:pPr>
      <w:r w:rsidRPr="00351B7D">
        <w:rPr>
          <w:rFonts w:asciiTheme="minorBidi" w:hAnsiTheme="minorBidi"/>
          <w:b/>
          <w:bCs/>
          <w:rtl/>
        </w:rPr>
        <w:t xml:space="preserve">סוכה כה ע"ב: </w:t>
      </w:r>
      <w:r w:rsidRPr="00351B7D">
        <w:rPr>
          <w:rFonts w:asciiTheme="minorBidi" w:hAnsiTheme="minorBidi"/>
          <w:u w:val="single"/>
          <w:rtl/>
        </w:rPr>
        <w:t>ואמר רבי אבא בר זבדא אמר רב:</w:t>
      </w:r>
      <w:r w:rsidRPr="00351B7D">
        <w:rPr>
          <w:rFonts w:asciiTheme="minorBidi" w:hAnsiTheme="minorBidi"/>
          <w:rtl/>
        </w:rPr>
        <w:t xml:space="preserve"> חתן והשושבינין וכל בני החופה פטורין מן הסוכה כל שבעה, מאי טעמא? משום דבעו למיחדי. וליכלו בסוכה וליחדו בסוכה! אין שמחה אלא בחופה.</w:t>
      </w:r>
    </w:p>
    <w:p w14:paraId="1C075309" w14:textId="77777777" w:rsidR="008E16D0" w:rsidRPr="00351B7D" w:rsidRDefault="008E16D0" w:rsidP="008E16D0">
      <w:pPr>
        <w:rPr>
          <w:rFonts w:asciiTheme="minorBidi" w:hAnsiTheme="minorBidi"/>
          <w:rtl/>
        </w:rPr>
      </w:pPr>
      <w:r w:rsidRPr="00351B7D">
        <w:rPr>
          <w:rFonts w:asciiTheme="minorBidi" w:hAnsiTheme="minorBidi"/>
          <w:u w:val="single"/>
          <w:rtl/>
        </w:rPr>
        <w:t>אם החתן והכלה יצאו מחופתם והלכו לסעוד במקום אחר- האם מברכים שם ברכת חתנים ושהשמחה במעונו:</w:t>
      </w:r>
      <w:r w:rsidRPr="00351B7D">
        <w:rPr>
          <w:rFonts w:asciiTheme="minorBidi" w:hAnsiTheme="minorBidi"/>
          <w:rtl/>
        </w:rPr>
        <w:t xml:space="preserve"> </w:t>
      </w:r>
    </w:p>
    <w:p w14:paraId="60094640" w14:textId="77777777" w:rsidR="008E16D0" w:rsidRPr="00351B7D" w:rsidRDefault="008E16D0" w:rsidP="00A8697F">
      <w:pPr>
        <w:pStyle w:val="ab"/>
        <w:numPr>
          <w:ilvl w:val="0"/>
          <w:numId w:val="94"/>
        </w:numPr>
        <w:rPr>
          <w:rFonts w:asciiTheme="minorBidi" w:hAnsiTheme="minorBidi"/>
        </w:rPr>
      </w:pPr>
      <w:r w:rsidRPr="00351B7D">
        <w:rPr>
          <w:rFonts w:asciiTheme="minorBidi" w:hAnsiTheme="minorBidi"/>
          <w:rtl/>
        </w:rPr>
        <w:t>תוס' רמב"ן ריצב"א ואו"ז</w:t>
      </w:r>
      <w:r w:rsidRPr="00351B7D">
        <w:rPr>
          <w:rStyle w:val="a7"/>
          <w:rFonts w:asciiTheme="minorBidi" w:hAnsiTheme="minorBidi"/>
          <w:rtl/>
        </w:rPr>
        <w:footnoteReference w:id="714"/>
      </w:r>
      <w:r w:rsidRPr="00351B7D">
        <w:rPr>
          <w:rFonts w:asciiTheme="minorBidi" w:hAnsiTheme="minorBidi"/>
          <w:rtl/>
        </w:rPr>
        <w:t xml:space="preserve">- אין מברכין </w:t>
      </w:r>
      <w:r w:rsidRPr="00351B7D">
        <w:rPr>
          <w:rFonts w:asciiTheme="minorBidi" w:hAnsiTheme="minorBidi"/>
          <w:u w:val="single"/>
          <w:rtl/>
        </w:rPr>
        <w:t>שהשמחה במעונו</w:t>
      </w:r>
      <w:r w:rsidRPr="00351B7D">
        <w:rPr>
          <w:rFonts w:asciiTheme="minorBidi" w:hAnsiTheme="minorBidi"/>
          <w:rtl/>
        </w:rPr>
        <w:t xml:space="preserve"> ולא </w:t>
      </w:r>
      <w:r w:rsidRPr="00351B7D">
        <w:rPr>
          <w:rFonts w:asciiTheme="minorBidi" w:hAnsiTheme="minorBidi"/>
          <w:u w:val="single"/>
          <w:rtl/>
        </w:rPr>
        <w:t>ברכת חתנים</w:t>
      </w:r>
      <w:r w:rsidRPr="00351B7D">
        <w:rPr>
          <w:rFonts w:asciiTheme="minorBidi" w:hAnsiTheme="minorBidi"/>
          <w:rtl/>
        </w:rPr>
        <w:t xml:space="preserve"> כיון שאין שמחה אלא בחופה</w:t>
      </w:r>
      <w:r w:rsidRPr="00351B7D">
        <w:rPr>
          <w:rStyle w:val="a7"/>
          <w:rFonts w:asciiTheme="minorBidi" w:hAnsiTheme="minorBidi"/>
          <w:rtl/>
        </w:rPr>
        <w:footnoteReference w:id="715"/>
      </w:r>
      <w:r w:rsidRPr="00351B7D">
        <w:rPr>
          <w:rFonts w:asciiTheme="minorBidi" w:hAnsiTheme="minorBidi"/>
          <w:rtl/>
        </w:rPr>
        <w:t xml:space="preserve">. </w:t>
      </w:r>
    </w:p>
    <w:p w14:paraId="5ED8F81D" w14:textId="77777777" w:rsidR="008E16D0" w:rsidRPr="00351B7D" w:rsidRDefault="008E16D0" w:rsidP="00A8697F">
      <w:pPr>
        <w:pStyle w:val="ab"/>
        <w:numPr>
          <w:ilvl w:val="0"/>
          <w:numId w:val="94"/>
        </w:numPr>
        <w:rPr>
          <w:rFonts w:asciiTheme="minorBidi" w:hAnsiTheme="minorBidi"/>
          <w:rtl/>
        </w:rPr>
      </w:pPr>
      <w:r w:rsidRPr="00351B7D">
        <w:rPr>
          <w:rFonts w:asciiTheme="minorBidi" w:hAnsiTheme="minorBidi"/>
          <w:rtl/>
        </w:rPr>
        <w:t>רא"ש</w:t>
      </w:r>
      <w:r w:rsidRPr="00351B7D">
        <w:rPr>
          <w:rStyle w:val="a7"/>
          <w:rFonts w:asciiTheme="minorBidi" w:hAnsiTheme="minorBidi"/>
          <w:rtl/>
        </w:rPr>
        <w:footnoteReference w:id="716"/>
      </w:r>
      <w:r w:rsidRPr="00351B7D">
        <w:rPr>
          <w:rFonts w:asciiTheme="minorBidi" w:hAnsiTheme="minorBidi"/>
          <w:rtl/>
        </w:rPr>
        <w:t xml:space="preserve"> </w:t>
      </w:r>
      <w:r w:rsidRPr="00351B7D">
        <w:rPr>
          <w:rFonts w:asciiTheme="minorBidi" w:hAnsiTheme="minorBidi"/>
          <w:sz w:val="16"/>
          <w:szCs w:val="16"/>
          <w:rtl/>
        </w:rPr>
        <w:t>(סוכה פ"ב סי' ח)</w:t>
      </w:r>
      <w:r w:rsidRPr="00351B7D">
        <w:rPr>
          <w:rFonts w:asciiTheme="minorBidi" w:hAnsiTheme="minorBidi"/>
          <w:rtl/>
        </w:rPr>
        <w:t xml:space="preserve">- אמרינן "אין שמחה אלא בחופה כיון שאין דעתו להניח חופה אלא כדי לאכול בסוכה ואח"כ חוזר לחופתו, אבל אם הולך לגמרי לבית אחר הוא וחביריו אחריו ועושים אותו בית עיקר גם שם נקראת חופה ויכול לברך שם ברכת חתנים". </w:t>
      </w:r>
      <w:r w:rsidRPr="00351B7D">
        <w:rPr>
          <w:rFonts w:asciiTheme="minorBidi" w:hAnsiTheme="minorBidi"/>
          <w:color w:val="E36C0A" w:themeColor="accent6" w:themeShade="BF"/>
          <w:rtl/>
        </w:rPr>
        <w:t>(וכ"פ בשו"ע)</w:t>
      </w:r>
    </w:p>
    <w:p w14:paraId="44B35BD5" w14:textId="77777777" w:rsidR="008E16D0" w:rsidRPr="00351B7D" w:rsidRDefault="008E16D0" w:rsidP="00A8697F">
      <w:pPr>
        <w:pStyle w:val="ab"/>
        <w:numPr>
          <w:ilvl w:val="0"/>
          <w:numId w:val="94"/>
        </w:numPr>
        <w:rPr>
          <w:rFonts w:asciiTheme="minorBidi" w:hAnsiTheme="minorBidi"/>
          <w:rtl/>
        </w:rPr>
      </w:pPr>
      <w:r w:rsidRPr="00351B7D">
        <w:rPr>
          <w:rFonts w:asciiTheme="minorBidi" w:hAnsiTheme="minorBidi"/>
          <w:rtl/>
        </w:rPr>
        <w:t xml:space="preserve">ר"ן- </w:t>
      </w:r>
      <w:r w:rsidRPr="00351B7D">
        <w:rPr>
          <w:rStyle w:val="a7"/>
          <w:rFonts w:asciiTheme="minorBidi" w:hAnsiTheme="minorBidi"/>
          <w:rtl/>
        </w:rPr>
        <w:footnoteReference w:id="717"/>
      </w:r>
      <w:r w:rsidRPr="00351B7D">
        <w:rPr>
          <w:rFonts w:asciiTheme="minorBidi" w:hAnsiTheme="minorBidi"/>
          <w:rtl/>
        </w:rPr>
        <w:t xml:space="preserve">ברכת שהשמחה במעונו אומרים אותה אפילו שלא בחופה דהא מכי רמו שערי באסינתא אמרינן ליה, דליכא חופה, וכיון שכך יש לנו לומר דאפילו שלא במקום חופה מברכין ברכת חתנים דהא ברכה אע"ג דמשום שמחה קא אתיא לא תליא בחופה, והכא הכי קאמר </w:t>
      </w:r>
      <w:r w:rsidRPr="00351B7D">
        <w:rPr>
          <w:rFonts w:asciiTheme="minorBidi" w:hAnsiTheme="minorBidi"/>
          <w:u w:val="single"/>
          <w:rtl/>
        </w:rPr>
        <w:t>דעיקר</w:t>
      </w:r>
      <w:r w:rsidRPr="00351B7D">
        <w:rPr>
          <w:rFonts w:asciiTheme="minorBidi" w:hAnsiTheme="minorBidi"/>
          <w:rtl/>
        </w:rPr>
        <w:t xml:space="preserve"> שמחה ליתא אלא בחופה, וכך נוהגים היום לברך </w:t>
      </w:r>
      <w:r w:rsidRPr="00351B7D">
        <w:rPr>
          <w:rFonts w:asciiTheme="minorBidi" w:hAnsiTheme="minorBidi"/>
          <w:rtl/>
        </w:rPr>
        <w:lastRenderedPageBreak/>
        <w:t>ברכת חתנים בכל אחת מבתי החתונה כל זמן שהחתן או הכלה הם שם, אבל מ"מ יש לחוש לדברי רבותינו הצרפתים בעלי התוספות</w:t>
      </w:r>
      <w:r w:rsidRPr="00351B7D">
        <w:rPr>
          <w:rStyle w:val="a7"/>
          <w:rFonts w:asciiTheme="minorBidi" w:hAnsiTheme="minorBidi"/>
          <w:rtl/>
        </w:rPr>
        <w:footnoteReference w:id="718"/>
      </w:r>
      <w:r w:rsidRPr="00351B7D">
        <w:rPr>
          <w:rFonts w:asciiTheme="minorBidi" w:hAnsiTheme="minorBidi"/>
          <w:rtl/>
        </w:rPr>
        <w:t>, ומיהו שהשמחה במעונו ודאי לא תלי בחופה כלל</w:t>
      </w:r>
      <w:r w:rsidRPr="00351B7D">
        <w:rPr>
          <w:rStyle w:val="a7"/>
          <w:rFonts w:asciiTheme="minorBidi" w:hAnsiTheme="minorBidi"/>
          <w:rtl/>
        </w:rPr>
        <w:footnoteReference w:id="719"/>
      </w:r>
      <w:r w:rsidRPr="00351B7D">
        <w:rPr>
          <w:rFonts w:asciiTheme="minorBidi" w:hAnsiTheme="minorBidi"/>
          <w:rtl/>
        </w:rPr>
        <w:t xml:space="preserve">.  </w:t>
      </w:r>
    </w:p>
    <w:p w14:paraId="2FD6D86A" w14:textId="77777777" w:rsidR="008E16D0" w:rsidRPr="00351B7D" w:rsidRDefault="008E16D0" w:rsidP="008E16D0">
      <w:pPr>
        <w:rPr>
          <w:rFonts w:asciiTheme="minorBidi" w:hAnsiTheme="minorBidi"/>
          <w:sz w:val="16"/>
          <w:szCs w:val="16"/>
          <w:rtl/>
        </w:rPr>
      </w:pPr>
      <w:r w:rsidRPr="00351B7D">
        <w:rPr>
          <w:rFonts w:asciiTheme="minorBidi" w:hAnsiTheme="minorBidi"/>
          <w:b/>
          <w:bCs/>
          <w:rtl/>
        </w:rPr>
        <w:t>כתובות ז ע"ב:</w:t>
      </w:r>
      <w:r w:rsidRPr="00351B7D">
        <w:rPr>
          <w:rFonts w:asciiTheme="minorBidi" w:hAnsiTheme="minorBidi"/>
          <w:rtl/>
        </w:rPr>
        <w:t xml:space="preserve"> ת"ר: מברכין ברכת חתנים בעשרה כל שבעה. </w:t>
      </w:r>
    </w:p>
    <w:p w14:paraId="603932C6" w14:textId="77777777" w:rsidR="008E16D0" w:rsidRPr="00351B7D" w:rsidRDefault="008E16D0" w:rsidP="008E16D0">
      <w:pPr>
        <w:rPr>
          <w:rFonts w:asciiTheme="minorBidi" w:hAnsiTheme="minorBidi"/>
          <w:u w:val="single"/>
          <w:rtl/>
        </w:rPr>
      </w:pPr>
      <w:r w:rsidRPr="00351B7D">
        <w:rPr>
          <w:rFonts w:asciiTheme="minorBidi" w:hAnsiTheme="minorBidi"/>
          <w:u w:val="single"/>
          <w:rtl/>
        </w:rPr>
        <w:t>לא בירכו שבע ברכות כי אם בשעת נישואין והלכו למקום אחר- האם יכולים לברך שם אע"ג דעברו ז' ימים:</w:t>
      </w:r>
    </w:p>
    <w:p w14:paraId="0D5DAEB9" w14:textId="77777777" w:rsidR="008E16D0" w:rsidRPr="00351B7D" w:rsidRDefault="008E16D0" w:rsidP="00A8697F">
      <w:pPr>
        <w:pStyle w:val="ab"/>
        <w:numPr>
          <w:ilvl w:val="0"/>
          <w:numId w:val="95"/>
        </w:numPr>
        <w:rPr>
          <w:rFonts w:asciiTheme="minorBidi" w:hAnsiTheme="minorBidi"/>
          <w:rtl/>
        </w:rPr>
      </w:pPr>
      <w:r w:rsidRPr="00351B7D">
        <w:rPr>
          <w:rFonts w:asciiTheme="minorBidi" w:hAnsiTheme="minorBidi"/>
          <w:rtl/>
        </w:rPr>
        <w:t>ב"י- מברכין ברכת חתנים כל שבעה, אבל אחר שבעה אע"פ שלא בירכו שבע ברכות כי אם בשעת נישואין סגי ואין מברכין לאחר ז' בשום פנים</w:t>
      </w:r>
      <w:r w:rsidRPr="00351B7D">
        <w:rPr>
          <w:rStyle w:val="a7"/>
          <w:rFonts w:asciiTheme="minorBidi" w:hAnsiTheme="minorBidi"/>
          <w:rtl/>
        </w:rPr>
        <w:footnoteReference w:id="720"/>
      </w:r>
      <w:r w:rsidRPr="00351B7D">
        <w:rPr>
          <w:rFonts w:asciiTheme="minorBidi" w:hAnsiTheme="minorBidi"/>
          <w:rtl/>
        </w:rPr>
        <w:t>, ולפי שראיתי חולקין בזה כתבתיו</w:t>
      </w:r>
      <w:r w:rsidRPr="00351B7D">
        <w:rPr>
          <w:rStyle w:val="a7"/>
          <w:rFonts w:asciiTheme="minorBidi" w:hAnsiTheme="minorBidi"/>
          <w:rtl/>
        </w:rPr>
        <w:footnoteReference w:id="721"/>
      </w:r>
      <w:r w:rsidRPr="00351B7D">
        <w:rPr>
          <w:rFonts w:asciiTheme="minorBidi" w:hAnsiTheme="minorBidi"/>
          <w:rtl/>
        </w:rPr>
        <w:t>.</w:t>
      </w:r>
    </w:p>
    <w:p w14:paraId="5E04AC0C"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493514" w14:textId="77777777" w:rsidR="008E16D0" w:rsidRPr="00351B7D" w:rsidRDefault="008E16D0" w:rsidP="008E16D0">
      <w:pPr>
        <w:rPr>
          <w:rFonts w:asciiTheme="minorBidi" w:hAnsiTheme="minorBidi"/>
          <w:color w:val="000000"/>
          <w:rtl/>
        </w:rPr>
      </w:pPr>
      <w:r w:rsidRPr="00351B7D">
        <w:rPr>
          <w:rFonts w:asciiTheme="minorBidi" w:hAnsiTheme="minorBidi"/>
          <w:rtl/>
        </w:rPr>
        <w:t>יש אומרים שאם החתן יוצא מחופתו אפילו כלתו עמו והולכים לאכול בבית אחר אין אומרים שם ברכת חתנים</w:t>
      </w:r>
      <w:r w:rsidRPr="00351B7D">
        <w:rPr>
          <w:rStyle w:val="a7"/>
          <w:rFonts w:asciiTheme="minorBidi" w:hAnsiTheme="minorBidi"/>
          <w:color w:val="000000"/>
          <w:rtl/>
        </w:rPr>
        <w:footnoteReference w:id="722"/>
      </w:r>
      <w:r w:rsidRPr="00351B7D">
        <w:rPr>
          <w:rFonts w:asciiTheme="minorBidi" w:hAnsiTheme="minorBidi"/>
          <w:rtl/>
        </w:rPr>
        <w:t>, והני מילי כשדעתו לחזור אחר כך</w:t>
      </w:r>
      <w:r w:rsidRPr="00351B7D">
        <w:rPr>
          <w:rStyle w:val="a7"/>
          <w:rFonts w:asciiTheme="minorBidi" w:hAnsiTheme="minorBidi"/>
          <w:color w:val="000000"/>
          <w:rtl/>
        </w:rPr>
        <w:footnoteReference w:id="723"/>
      </w:r>
      <w:r w:rsidRPr="00351B7D">
        <w:rPr>
          <w:rFonts w:asciiTheme="minorBidi" w:hAnsiTheme="minorBidi"/>
          <w:rtl/>
        </w:rPr>
        <w:t xml:space="preserve"> לחופתו, אבל אם הלך לגמרי לבית אחר וכל החבורה עמו נעשה אותו בית עיקר גם שם נקרא חופה ומברכין ברכת חתנים</w:t>
      </w:r>
      <w:r w:rsidRPr="00351B7D">
        <w:rPr>
          <w:rStyle w:val="a7"/>
          <w:rFonts w:asciiTheme="minorBidi" w:hAnsiTheme="minorBidi"/>
          <w:color w:val="000000"/>
          <w:rtl/>
        </w:rPr>
        <w:footnoteReference w:id="724"/>
      </w:r>
      <w:r w:rsidRPr="00351B7D">
        <w:rPr>
          <w:rFonts w:asciiTheme="minorBidi" w:hAnsiTheme="minorBidi"/>
          <w:rtl/>
        </w:rPr>
        <w:t>, וכן לפעמים שהולכין החתן והכלה לעיר אחרת צריך לברך שם ברכת חתנים אם הוא תוך שבעה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(ואין דעתו לחזור (ב"י)). </w:t>
      </w:r>
    </w:p>
    <w:p w14:paraId="37862F9C" w14:textId="77777777" w:rsidR="008E16D0" w:rsidRPr="00351B7D" w:rsidRDefault="008E16D0" w:rsidP="008E16D0">
      <w:pPr>
        <w:rPr>
          <w:rFonts w:asciiTheme="minorBidi" w:hAnsiTheme="minorBidi"/>
          <w:color w:val="000000"/>
          <w:rtl/>
        </w:rPr>
      </w:pPr>
    </w:p>
    <w:p w14:paraId="31DD4A84" w14:textId="77777777" w:rsidR="008E16D0" w:rsidRPr="00351B7D" w:rsidRDefault="008E16D0" w:rsidP="008E16D0">
      <w:pPr>
        <w:pStyle w:val="2"/>
        <w:rPr>
          <w:rFonts w:asciiTheme="minorBidi" w:hAnsiTheme="minorBidi"/>
          <w:rtl/>
        </w:rPr>
      </w:pPr>
      <w:r w:rsidRPr="00351B7D">
        <w:rPr>
          <w:rFonts w:asciiTheme="minorBidi" w:hAnsiTheme="minorBidi"/>
          <w:rtl/>
        </w:rPr>
        <w:t>סעיף יא: ברכת חתנים כשאוכלים את הסעודה במספר בתים.</w:t>
      </w:r>
    </w:p>
    <w:p w14:paraId="11807170" w14:textId="77777777" w:rsidR="008E16D0" w:rsidRPr="00351B7D" w:rsidRDefault="008E16D0" w:rsidP="008E16D0">
      <w:pPr>
        <w:rPr>
          <w:rFonts w:asciiTheme="minorBidi" w:hAnsiTheme="minorBidi"/>
          <w:u w:val="single"/>
          <w:rtl/>
        </w:rPr>
      </w:pPr>
      <w:r w:rsidRPr="00351B7D">
        <w:rPr>
          <w:rFonts w:asciiTheme="minorBidi" w:hAnsiTheme="minorBidi"/>
          <w:u w:val="single"/>
          <w:rtl/>
        </w:rPr>
        <w:t>ברכת חתנים כשאוכלים בשנים או שלשה בתים:</w:t>
      </w:r>
    </w:p>
    <w:p w14:paraId="078C941B" w14:textId="77777777" w:rsidR="008E16D0" w:rsidRPr="00351B7D" w:rsidRDefault="008E16D0" w:rsidP="00A8697F">
      <w:pPr>
        <w:pStyle w:val="ab"/>
        <w:numPr>
          <w:ilvl w:val="0"/>
          <w:numId w:val="89"/>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(סוכה פ"ב סי' ח)</w:t>
      </w:r>
      <w:r w:rsidRPr="00351B7D">
        <w:rPr>
          <w:rFonts w:asciiTheme="minorBidi" w:hAnsiTheme="minorBidi"/>
          <w:rtl/>
        </w:rPr>
        <w:t xml:space="preserve">- אם יש שמש שמשמש בכל הבתים השמש מצרפן ומברכין בכולן שבע ברכות.  </w:t>
      </w:r>
    </w:p>
    <w:p w14:paraId="371A8F0D" w14:textId="77777777" w:rsidR="008E16D0" w:rsidRPr="00351B7D" w:rsidRDefault="008E16D0" w:rsidP="00A8697F">
      <w:pPr>
        <w:pStyle w:val="ab"/>
        <w:numPr>
          <w:ilvl w:val="0"/>
          <w:numId w:val="89"/>
        </w:numPr>
        <w:rPr>
          <w:rFonts w:asciiTheme="minorBidi" w:hAnsiTheme="minorBidi"/>
        </w:rPr>
      </w:pPr>
      <w:r w:rsidRPr="00351B7D">
        <w:rPr>
          <w:rFonts w:asciiTheme="minorBidi" w:hAnsiTheme="minorBidi"/>
          <w:rtl/>
        </w:rPr>
        <w:t xml:space="preserve">י"א </w:t>
      </w:r>
      <w:r w:rsidRPr="00351B7D">
        <w:rPr>
          <w:rFonts w:asciiTheme="minorBidi" w:hAnsiTheme="minorBidi"/>
          <w:sz w:val="16"/>
          <w:szCs w:val="16"/>
          <w:rtl/>
        </w:rPr>
        <w:t>(הביאם הרא"ש)</w:t>
      </w:r>
      <w:r w:rsidRPr="00351B7D">
        <w:rPr>
          <w:rFonts w:asciiTheme="minorBidi" w:hAnsiTheme="minorBidi"/>
          <w:rtl/>
        </w:rPr>
        <w:t xml:space="preserve">- אין מברכין, שהשמחה במעונו וברכת חתנים אינו אלא בבית החופה </w:t>
      </w:r>
      <w:r w:rsidRPr="00351B7D">
        <w:rPr>
          <w:rFonts w:asciiTheme="minorBidi" w:hAnsiTheme="minorBidi"/>
          <w:sz w:val="16"/>
          <w:szCs w:val="16"/>
          <w:rtl/>
        </w:rPr>
        <w:t>(שאין שמחה אלא בחופה)</w:t>
      </w:r>
      <w:r w:rsidRPr="00351B7D">
        <w:rPr>
          <w:rFonts w:asciiTheme="minorBidi" w:hAnsiTheme="minorBidi"/>
          <w:rtl/>
        </w:rPr>
        <w:t xml:space="preserve">. </w:t>
      </w:r>
    </w:p>
    <w:p w14:paraId="10EEA4E4" w14:textId="77777777" w:rsidR="008E16D0" w:rsidRPr="00351B7D" w:rsidRDefault="008E16D0" w:rsidP="00A8697F">
      <w:pPr>
        <w:pStyle w:val="ab"/>
        <w:numPr>
          <w:ilvl w:val="0"/>
          <w:numId w:val="89"/>
        </w:numPr>
        <w:rPr>
          <w:rFonts w:asciiTheme="minorBidi" w:hAnsiTheme="minorBidi"/>
          <w:rtl/>
        </w:rPr>
      </w:pPr>
      <w:r w:rsidRPr="00351B7D">
        <w:rPr>
          <w:rFonts w:asciiTheme="minorBidi" w:hAnsiTheme="minorBidi"/>
          <w:rtl/>
        </w:rPr>
        <w:t xml:space="preserve">ה"ר יחיאל בשם ה"ר יהודה </w:t>
      </w:r>
      <w:r w:rsidRPr="00351B7D">
        <w:rPr>
          <w:rFonts w:asciiTheme="minorBidi" w:hAnsiTheme="minorBidi"/>
          <w:sz w:val="16"/>
          <w:szCs w:val="16"/>
          <w:rtl/>
        </w:rPr>
        <w:t>(הביאו הרא"ש)</w:t>
      </w:r>
      <w:r w:rsidRPr="00351B7D">
        <w:rPr>
          <w:rFonts w:asciiTheme="minorBidi" w:hAnsiTheme="minorBidi"/>
          <w:rtl/>
        </w:rPr>
        <w:t>- אפי' אין שמש כיון שהתחילו אותן של שאר הבתים לסעוד כשהתחילו אותן של החופה כולם חשובים כאחד לשמחה ומברכין ברכת חתנים כיון שאוכלין מסעודה שתקנו בחופה</w:t>
      </w:r>
      <w:r w:rsidRPr="00351B7D">
        <w:rPr>
          <w:rStyle w:val="a7"/>
          <w:rFonts w:asciiTheme="minorBidi" w:hAnsiTheme="minorBidi"/>
          <w:rtl/>
        </w:rPr>
        <w:footnoteReference w:id="725"/>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w:t>
      </w:r>
    </w:p>
    <w:p w14:paraId="2E387707"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73B03DC" w14:textId="77777777" w:rsidR="008E16D0" w:rsidRPr="00351B7D" w:rsidRDefault="008E16D0" w:rsidP="008E16D0">
      <w:pPr>
        <w:rPr>
          <w:rFonts w:asciiTheme="minorBidi" w:hAnsiTheme="minorBidi"/>
          <w:rtl/>
        </w:rPr>
      </w:pPr>
      <w:r w:rsidRPr="00351B7D">
        <w:rPr>
          <w:rFonts w:asciiTheme="minorBidi" w:hAnsiTheme="minorBidi"/>
          <w:rtl/>
        </w:rPr>
        <w:t xml:space="preserve">בני החופה שנתחלקו לחבורות אפילו אם אכלו בבתים שאינם פתוחים למקום שהחתן אוכל כולם מברכין ברכת חתנים לא מבעיא אם השמש מצרפן אלא אפילו אין השמש מצרפן כיון שהתחילו לאכול אותם שבשאר בתים כשהתחילו אותם של בני החופה כלם חשובים כאחד לברך ברכת חתנים כיון שאוכלים מסעודה שהתקינו לחופה. </w:t>
      </w:r>
    </w:p>
    <w:p w14:paraId="3E0FF13A" w14:textId="77777777" w:rsidR="008E16D0" w:rsidRPr="00351B7D" w:rsidRDefault="008E16D0" w:rsidP="008E16D0">
      <w:pPr>
        <w:rPr>
          <w:rFonts w:asciiTheme="minorBidi" w:hAnsiTheme="minorBidi"/>
          <w:rtl/>
        </w:rPr>
      </w:pPr>
    </w:p>
    <w:p w14:paraId="04A623E7" w14:textId="77777777" w:rsidR="008E16D0" w:rsidRPr="00351B7D" w:rsidRDefault="008E16D0" w:rsidP="008E16D0">
      <w:pPr>
        <w:pStyle w:val="2"/>
        <w:rPr>
          <w:rFonts w:asciiTheme="minorBidi" w:hAnsiTheme="minorBidi"/>
          <w:rtl/>
        </w:rPr>
      </w:pPr>
      <w:r w:rsidRPr="00351B7D">
        <w:rPr>
          <w:rFonts w:asciiTheme="minorBidi" w:hAnsiTheme="minorBidi"/>
          <w:rtl/>
        </w:rPr>
        <w:t xml:space="preserve">סעיף יב: שבע ברכות אצל השמשים שאוכלים אחר סעודת נשואין. </w:t>
      </w:r>
    </w:p>
    <w:p w14:paraId="74BC029F"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שמשים האוכלים אחר סעודת נשואין מברכים שבע ברכות:</w:t>
      </w:r>
    </w:p>
    <w:p w14:paraId="6BBD8652" w14:textId="77777777" w:rsidR="008E16D0" w:rsidRPr="00351B7D" w:rsidRDefault="008E16D0" w:rsidP="00A8697F">
      <w:pPr>
        <w:pStyle w:val="ab"/>
        <w:numPr>
          <w:ilvl w:val="0"/>
          <w:numId w:val="90"/>
        </w:numPr>
        <w:rPr>
          <w:rFonts w:asciiTheme="minorBidi" w:hAnsiTheme="minorBidi"/>
          <w:rtl/>
        </w:rPr>
      </w:pPr>
      <w:r w:rsidRPr="00351B7D">
        <w:rPr>
          <w:rFonts w:asciiTheme="minorBidi" w:hAnsiTheme="minorBidi"/>
          <w:rtl/>
        </w:rPr>
        <w:t xml:space="preserve">כלבו </w:t>
      </w:r>
      <w:r w:rsidRPr="00351B7D">
        <w:rPr>
          <w:rFonts w:asciiTheme="minorBidi" w:hAnsiTheme="minorBidi"/>
          <w:sz w:val="16"/>
          <w:szCs w:val="16"/>
          <w:rtl/>
        </w:rPr>
        <w:t>(סי' כה)</w:t>
      </w:r>
      <w:r w:rsidRPr="00351B7D">
        <w:rPr>
          <w:rFonts w:asciiTheme="minorBidi" w:hAnsiTheme="minorBidi"/>
          <w:rtl/>
        </w:rPr>
        <w:t>- אין מברכין שבע ברכות. (וכ"פ הט"ז</w:t>
      </w:r>
      <w:r w:rsidRPr="00351B7D">
        <w:rPr>
          <w:rFonts w:asciiTheme="minorBidi" w:hAnsiTheme="minorBidi"/>
          <w:sz w:val="16"/>
          <w:szCs w:val="16"/>
          <w:rtl/>
        </w:rPr>
        <w:t xml:space="preserve"> [סק"ט]</w:t>
      </w:r>
      <w:r w:rsidRPr="00351B7D">
        <w:rPr>
          <w:rFonts w:asciiTheme="minorBidi" w:hAnsiTheme="minorBidi"/>
          <w:rtl/>
        </w:rPr>
        <w:t>)</w:t>
      </w:r>
    </w:p>
    <w:p w14:paraId="60D6DBAB" w14:textId="77777777" w:rsidR="008E16D0" w:rsidRPr="00351B7D" w:rsidRDefault="008E16D0" w:rsidP="00A8697F">
      <w:pPr>
        <w:pStyle w:val="ab"/>
        <w:numPr>
          <w:ilvl w:val="0"/>
          <w:numId w:val="90"/>
        </w:numPr>
        <w:rPr>
          <w:rFonts w:asciiTheme="minorBidi" w:hAnsiTheme="minorBidi"/>
          <w:rtl/>
        </w:rPr>
      </w:pPr>
      <w:r w:rsidRPr="00351B7D">
        <w:rPr>
          <w:rFonts w:asciiTheme="minorBidi" w:hAnsiTheme="minorBidi"/>
          <w:rtl/>
        </w:rPr>
        <w:t>ה"ר טוביה</w:t>
      </w:r>
      <w:r w:rsidRPr="00351B7D">
        <w:rPr>
          <w:rFonts w:asciiTheme="minorBidi" w:hAnsiTheme="minorBidi"/>
          <w:sz w:val="16"/>
          <w:szCs w:val="16"/>
          <w:rtl/>
        </w:rPr>
        <w:t xml:space="preserve"> (הביאו הכלבו)</w:t>
      </w:r>
      <w:r w:rsidRPr="00351B7D">
        <w:rPr>
          <w:rFonts w:asciiTheme="minorBidi" w:hAnsiTheme="minorBidi"/>
          <w:rtl/>
        </w:rPr>
        <w:t xml:space="preserve">- מברכין. </w:t>
      </w:r>
      <w:r w:rsidRPr="00351B7D">
        <w:rPr>
          <w:rFonts w:asciiTheme="minorBidi" w:hAnsiTheme="minorBidi"/>
          <w:color w:val="E36C0A" w:themeColor="accent6" w:themeShade="BF"/>
          <w:rtl/>
        </w:rPr>
        <w:t>(וכ"פ בשו"ע)</w:t>
      </w:r>
      <w:r w:rsidRPr="00351B7D">
        <w:rPr>
          <w:rFonts w:asciiTheme="minorBidi" w:hAnsiTheme="minorBidi"/>
          <w:rtl/>
        </w:rPr>
        <w:t xml:space="preserve"> </w:t>
      </w:r>
    </w:p>
    <w:p w14:paraId="2DB60DE8"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404E81" w14:textId="77777777" w:rsidR="008E16D0" w:rsidRPr="00351B7D" w:rsidRDefault="008E16D0" w:rsidP="008E16D0">
      <w:pPr>
        <w:rPr>
          <w:rFonts w:asciiTheme="minorBidi" w:hAnsiTheme="minorBidi"/>
          <w:rtl/>
        </w:rPr>
      </w:pPr>
      <w:r w:rsidRPr="00351B7D">
        <w:rPr>
          <w:rFonts w:asciiTheme="minorBidi" w:hAnsiTheme="minorBidi"/>
          <w:rtl/>
        </w:rPr>
        <w:t xml:space="preserve">השמשים האוכלים אחר סעודת נשואין יש אומרים שאין מברכים שבע ברכות ויש אומרים שמברכין ולזה הדעת נוטה. </w:t>
      </w:r>
    </w:p>
    <w:p w14:paraId="0A1080CF" w14:textId="77777777" w:rsidR="008E16D0" w:rsidRPr="00351B7D" w:rsidRDefault="008E16D0" w:rsidP="008E16D0">
      <w:pPr>
        <w:rPr>
          <w:rFonts w:asciiTheme="minorBidi" w:hAnsiTheme="minorBidi"/>
          <w:rtl/>
        </w:rPr>
      </w:pPr>
    </w:p>
    <w:p w14:paraId="362A45CA" w14:textId="77777777" w:rsidR="008E16D0" w:rsidRPr="00351B7D" w:rsidRDefault="008E16D0" w:rsidP="008E16D0">
      <w:pPr>
        <w:pStyle w:val="2"/>
        <w:rPr>
          <w:rFonts w:asciiTheme="minorBidi" w:hAnsiTheme="minorBidi"/>
          <w:rtl/>
        </w:rPr>
      </w:pPr>
      <w:r w:rsidRPr="00351B7D">
        <w:rPr>
          <w:rFonts w:asciiTheme="minorBidi" w:hAnsiTheme="minorBidi"/>
          <w:rtl/>
        </w:rPr>
        <w:t>סעיף יג: ברכת שהשמחה במעונו.</w:t>
      </w:r>
    </w:p>
    <w:p w14:paraId="0EC41FE4" w14:textId="77777777" w:rsidR="008E16D0" w:rsidRPr="00351B7D" w:rsidRDefault="008E16D0" w:rsidP="008E16D0">
      <w:pPr>
        <w:rPr>
          <w:rFonts w:asciiTheme="minorBidi" w:hAnsiTheme="minorBidi"/>
          <w:sz w:val="16"/>
          <w:szCs w:val="16"/>
          <w:rtl/>
        </w:rPr>
      </w:pPr>
      <w:r w:rsidRPr="00351B7D">
        <w:rPr>
          <w:rFonts w:asciiTheme="minorBidi" w:hAnsiTheme="minorBidi"/>
          <w:b/>
          <w:bCs/>
          <w:rtl/>
        </w:rPr>
        <w:t xml:space="preserve">כתובות ח ע"א: </w:t>
      </w:r>
      <w:r w:rsidRPr="00351B7D">
        <w:rPr>
          <w:rFonts w:asciiTheme="minorBidi" w:hAnsiTheme="minorBidi"/>
          <w:rtl/>
        </w:rPr>
        <w:t>רב אשי איקלע לבי רב כהנא, יומא קמא בריך כולהו, מכאן ואילך אי איכא פנים חדשות - בריך כולהו, ואי לא - אפושי שמחה בעלמא הוא, מברך שהשמחה במעונו</w:t>
      </w:r>
      <w:r w:rsidRPr="00351B7D">
        <w:rPr>
          <w:rStyle w:val="a7"/>
          <w:rFonts w:asciiTheme="minorBidi" w:hAnsiTheme="minorBidi"/>
          <w:rtl/>
        </w:rPr>
        <w:footnoteReference w:id="726"/>
      </w:r>
      <w:r w:rsidRPr="00351B7D">
        <w:rPr>
          <w:rFonts w:asciiTheme="minorBidi" w:hAnsiTheme="minorBidi"/>
          <w:rtl/>
        </w:rPr>
        <w:t xml:space="preserve"> ואשר ברא. משבעה ועד שלשים בין אמר להו</w:t>
      </w:r>
      <w:r w:rsidRPr="00351B7D">
        <w:rPr>
          <w:rStyle w:val="a7"/>
          <w:rFonts w:asciiTheme="minorBidi" w:hAnsiTheme="minorBidi"/>
          <w:rtl/>
        </w:rPr>
        <w:footnoteReference w:id="727"/>
      </w:r>
      <w:r w:rsidRPr="00351B7D">
        <w:rPr>
          <w:rFonts w:asciiTheme="minorBidi" w:hAnsiTheme="minorBidi"/>
          <w:rtl/>
        </w:rPr>
        <w:t xml:space="preserve"> מחמת הלולא</w:t>
      </w:r>
      <w:r w:rsidRPr="00351B7D">
        <w:rPr>
          <w:rStyle w:val="a7"/>
          <w:rFonts w:asciiTheme="minorBidi" w:hAnsiTheme="minorBidi"/>
          <w:rtl/>
        </w:rPr>
        <w:footnoteReference w:id="728"/>
      </w:r>
      <w:r w:rsidRPr="00351B7D">
        <w:rPr>
          <w:rFonts w:asciiTheme="minorBidi" w:hAnsiTheme="minorBidi"/>
          <w:rtl/>
        </w:rPr>
        <w:t xml:space="preserve"> ובין לא אמר להו מחמת הלולא - מברך שהשמחה במעונו, מכאן ואילך אי אמר להו מחמת הלולא מברך</w:t>
      </w:r>
      <w:r w:rsidRPr="00351B7D">
        <w:rPr>
          <w:rStyle w:val="a7"/>
          <w:rFonts w:asciiTheme="minorBidi" w:hAnsiTheme="minorBidi"/>
          <w:rtl/>
        </w:rPr>
        <w:footnoteReference w:id="729"/>
      </w:r>
      <w:r w:rsidRPr="00351B7D">
        <w:rPr>
          <w:rFonts w:asciiTheme="minorBidi" w:hAnsiTheme="minorBidi"/>
          <w:rtl/>
        </w:rPr>
        <w:t xml:space="preserve"> שהשמחה במעונו, ואי לא לא. וכי א"ל מחמת הלולא, עד אימת? </w:t>
      </w:r>
      <w:r w:rsidRPr="00351B7D">
        <w:rPr>
          <w:rFonts w:asciiTheme="minorBidi" w:hAnsiTheme="minorBidi"/>
          <w:u w:val="single"/>
          <w:rtl/>
        </w:rPr>
        <w:t>אמר רב פפי משמיה דרבא</w:t>
      </w:r>
      <w:r w:rsidRPr="00351B7D">
        <w:rPr>
          <w:rFonts w:asciiTheme="minorBidi" w:hAnsiTheme="minorBidi"/>
          <w:rtl/>
        </w:rPr>
        <w:t>: עד תריסר ירחי שתא. ומעיקרא</w:t>
      </w:r>
      <w:r w:rsidRPr="00351B7D">
        <w:rPr>
          <w:rStyle w:val="a7"/>
          <w:rFonts w:asciiTheme="minorBidi" w:hAnsiTheme="minorBidi"/>
          <w:rtl/>
        </w:rPr>
        <w:footnoteReference w:id="730"/>
      </w:r>
      <w:r w:rsidRPr="00351B7D">
        <w:rPr>
          <w:rFonts w:asciiTheme="minorBidi" w:hAnsiTheme="minorBidi"/>
          <w:rtl/>
        </w:rPr>
        <w:t xml:space="preserve"> מאימת</w:t>
      </w:r>
      <w:r w:rsidRPr="00351B7D">
        <w:rPr>
          <w:rStyle w:val="a7"/>
          <w:rFonts w:asciiTheme="minorBidi" w:hAnsiTheme="minorBidi"/>
          <w:rtl/>
        </w:rPr>
        <w:footnoteReference w:id="731"/>
      </w:r>
      <w:r w:rsidRPr="00351B7D">
        <w:rPr>
          <w:rFonts w:asciiTheme="minorBidi" w:hAnsiTheme="minorBidi"/>
          <w:rtl/>
        </w:rPr>
        <w:t xml:space="preserve">? </w:t>
      </w:r>
      <w:r w:rsidRPr="00351B7D">
        <w:rPr>
          <w:rFonts w:asciiTheme="minorBidi" w:hAnsiTheme="minorBidi"/>
          <w:u w:val="single"/>
          <w:rtl/>
        </w:rPr>
        <w:t>אמר רב פפא</w:t>
      </w:r>
      <w:r w:rsidRPr="00351B7D">
        <w:rPr>
          <w:rFonts w:asciiTheme="minorBidi" w:hAnsiTheme="minorBidi"/>
          <w:rtl/>
        </w:rPr>
        <w:t>: מכי רמו שערי באסינתא</w:t>
      </w:r>
      <w:r w:rsidRPr="00351B7D">
        <w:rPr>
          <w:rStyle w:val="a7"/>
          <w:rFonts w:asciiTheme="minorBidi" w:hAnsiTheme="minorBidi"/>
          <w:rtl/>
        </w:rPr>
        <w:footnoteReference w:id="732"/>
      </w:r>
      <w:r w:rsidRPr="00351B7D">
        <w:rPr>
          <w:rFonts w:asciiTheme="minorBidi" w:hAnsiTheme="minorBidi"/>
          <w:rtl/>
        </w:rPr>
        <w:t>. איני? והא רב פפא איעסק לאבא מר בריה, ובריך משעת אירוסין! שאני רב פפא, דהוה טריח ליה</w:t>
      </w:r>
      <w:r w:rsidRPr="00351B7D">
        <w:rPr>
          <w:rStyle w:val="a7"/>
          <w:rFonts w:asciiTheme="minorBidi" w:hAnsiTheme="minorBidi"/>
          <w:rtl/>
        </w:rPr>
        <w:footnoteReference w:id="733"/>
      </w:r>
      <w:r w:rsidRPr="00351B7D">
        <w:rPr>
          <w:rFonts w:asciiTheme="minorBidi" w:hAnsiTheme="minorBidi"/>
          <w:rtl/>
        </w:rPr>
        <w:t xml:space="preserve">. </w:t>
      </w:r>
      <w:r w:rsidRPr="00351B7D">
        <w:rPr>
          <w:rFonts w:asciiTheme="minorBidi" w:hAnsiTheme="minorBidi"/>
          <w:color w:val="000000"/>
          <w:sz w:val="16"/>
          <w:szCs w:val="16"/>
          <w:rtl/>
        </w:rPr>
        <w:t>(ועכשיו אין לברך שבע ברכות אלא עד יום החופה</w:t>
      </w:r>
      <w:r w:rsidRPr="00351B7D">
        <w:rPr>
          <w:rStyle w:val="a7"/>
          <w:rFonts w:asciiTheme="minorBidi" w:hAnsiTheme="minorBidi"/>
          <w:sz w:val="16"/>
          <w:szCs w:val="16"/>
          <w:rtl/>
        </w:rPr>
        <w:footnoteReference w:id="734"/>
      </w:r>
      <w:r w:rsidRPr="00351B7D">
        <w:rPr>
          <w:rFonts w:asciiTheme="minorBidi" w:hAnsiTheme="minorBidi"/>
          <w:color w:val="000000"/>
          <w:sz w:val="16"/>
          <w:szCs w:val="16"/>
          <w:rtl/>
        </w:rPr>
        <w:t xml:space="preserve"> דליכא נישואין בלא קטטה ודילמא הדרי בהו קודם הברכה שמברכים בעת החופה, מרדכי</w:t>
      </w:r>
      <w:r w:rsidRPr="00351B7D">
        <w:rPr>
          <w:rStyle w:val="a7"/>
          <w:rFonts w:asciiTheme="minorBidi" w:hAnsiTheme="minorBidi"/>
          <w:sz w:val="16"/>
          <w:szCs w:val="16"/>
          <w:rtl/>
        </w:rPr>
        <w:footnoteReference w:id="735"/>
      </w:r>
      <w:r w:rsidRPr="00351B7D">
        <w:rPr>
          <w:rFonts w:asciiTheme="minorBidi" w:hAnsiTheme="minorBidi"/>
          <w:color w:val="000000"/>
          <w:sz w:val="16"/>
          <w:szCs w:val="16"/>
          <w:rtl/>
        </w:rPr>
        <w:t>. וכן אין לומר ברכת שהשמחה במעונו כלל אחר שבעה כיון דהאידנא ערבה</w:t>
      </w:r>
      <w:r w:rsidRPr="00351B7D">
        <w:rPr>
          <w:rStyle w:val="a7"/>
          <w:rFonts w:asciiTheme="minorBidi" w:hAnsiTheme="minorBidi"/>
          <w:sz w:val="16"/>
          <w:szCs w:val="16"/>
          <w:rtl/>
        </w:rPr>
        <w:footnoteReference w:id="736"/>
      </w:r>
      <w:r w:rsidRPr="00351B7D">
        <w:rPr>
          <w:rFonts w:asciiTheme="minorBidi" w:hAnsiTheme="minorBidi"/>
          <w:color w:val="000000"/>
          <w:sz w:val="16"/>
          <w:szCs w:val="16"/>
          <w:rtl/>
        </w:rPr>
        <w:t xml:space="preserve"> כל שמחה, סמ"ג</w:t>
      </w:r>
      <w:r w:rsidRPr="00351B7D">
        <w:rPr>
          <w:rStyle w:val="a7"/>
          <w:rFonts w:asciiTheme="minorBidi" w:hAnsiTheme="minorBidi"/>
          <w:sz w:val="16"/>
          <w:szCs w:val="16"/>
          <w:rtl/>
        </w:rPr>
        <w:footnoteReference w:id="737"/>
      </w:r>
      <w:r w:rsidRPr="00351B7D">
        <w:rPr>
          <w:rFonts w:asciiTheme="minorBidi" w:hAnsiTheme="minorBidi"/>
          <w:color w:val="000000"/>
          <w:sz w:val="16"/>
          <w:szCs w:val="16"/>
          <w:rtl/>
        </w:rPr>
        <w:t xml:space="preserve"> והגה"מ</w:t>
      </w:r>
      <w:r w:rsidRPr="00351B7D">
        <w:rPr>
          <w:rStyle w:val="a7"/>
          <w:rFonts w:asciiTheme="minorBidi" w:hAnsiTheme="minorBidi"/>
          <w:sz w:val="16"/>
          <w:szCs w:val="16"/>
          <w:rtl/>
        </w:rPr>
        <w:footnoteReference w:id="738"/>
      </w:r>
      <w:r w:rsidRPr="00351B7D">
        <w:rPr>
          <w:rFonts w:asciiTheme="minorBidi" w:hAnsiTheme="minorBidi"/>
          <w:sz w:val="16"/>
          <w:szCs w:val="16"/>
          <w:rtl/>
        </w:rPr>
        <w:t xml:space="preserve">) </w:t>
      </w:r>
    </w:p>
    <w:p w14:paraId="15082893" w14:textId="77777777" w:rsidR="008E16D0" w:rsidRPr="00351B7D" w:rsidRDefault="008E16D0" w:rsidP="008E16D0">
      <w:pPr>
        <w:rPr>
          <w:rFonts w:asciiTheme="minorBidi" w:hAnsiTheme="minorBidi"/>
          <w:u w:val="single"/>
        </w:rPr>
      </w:pPr>
      <w:r w:rsidRPr="00351B7D">
        <w:rPr>
          <w:rFonts w:asciiTheme="minorBidi" w:hAnsiTheme="minorBidi"/>
          <w:u w:val="single"/>
          <w:rtl/>
        </w:rPr>
        <w:t>האם מברכים שהשמחה במעונו דוקא בסעודת מריעות:</w:t>
      </w:r>
    </w:p>
    <w:p w14:paraId="75095276" w14:textId="77777777" w:rsidR="008E16D0" w:rsidRPr="00351B7D" w:rsidRDefault="008E16D0" w:rsidP="00A8697F">
      <w:pPr>
        <w:pStyle w:val="ab"/>
        <w:numPr>
          <w:ilvl w:val="0"/>
          <w:numId w:val="91"/>
        </w:numPr>
        <w:rPr>
          <w:rFonts w:asciiTheme="minorBidi" w:hAnsiTheme="minorBidi"/>
        </w:rPr>
      </w:pPr>
      <w:r w:rsidRPr="00351B7D">
        <w:rPr>
          <w:rFonts w:asciiTheme="minorBidi" w:hAnsiTheme="minorBidi"/>
          <w:rtl/>
        </w:rPr>
        <w:t xml:space="preserve">רמב"ן </w:t>
      </w:r>
      <w:r w:rsidRPr="00351B7D">
        <w:rPr>
          <w:rFonts w:asciiTheme="minorBidi" w:hAnsiTheme="minorBidi"/>
          <w:sz w:val="16"/>
          <w:szCs w:val="16"/>
          <w:rtl/>
        </w:rPr>
        <w:t>(ח. ד"ה מדקאמרינן, הביאו הר"ן)</w:t>
      </w:r>
      <w:r w:rsidRPr="00351B7D">
        <w:rPr>
          <w:rFonts w:asciiTheme="minorBidi" w:hAnsiTheme="minorBidi"/>
          <w:rtl/>
        </w:rPr>
        <w:t>- אין מברכין שהשמחה במעונו אלא בעושה סעודת מריעות לחתונתו, אבל אם לא זימן אדם אלא חתן הסועד עם בני ביתו אינו מברך כלל</w:t>
      </w:r>
      <w:r w:rsidRPr="00351B7D">
        <w:rPr>
          <w:rStyle w:val="a7"/>
          <w:rFonts w:asciiTheme="minorBidi" w:hAnsiTheme="minorBidi"/>
          <w:rtl/>
        </w:rPr>
        <w:footnoteReference w:id="739"/>
      </w:r>
      <w:r w:rsidRPr="00351B7D">
        <w:rPr>
          <w:rFonts w:asciiTheme="minorBidi" w:hAnsiTheme="minorBidi"/>
          <w:rtl/>
        </w:rPr>
        <w:t xml:space="preserve">. (וכ"פ ח"מ </w:t>
      </w:r>
      <w:r w:rsidRPr="00351B7D">
        <w:rPr>
          <w:rFonts w:asciiTheme="minorBidi" w:hAnsiTheme="minorBidi"/>
          <w:sz w:val="16"/>
          <w:szCs w:val="16"/>
          <w:rtl/>
        </w:rPr>
        <w:t>[סקי"ז]</w:t>
      </w:r>
      <w:r w:rsidRPr="00351B7D">
        <w:rPr>
          <w:rFonts w:asciiTheme="minorBidi" w:hAnsiTheme="minorBidi"/>
          <w:rtl/>
        </w:rPr>
        <w:t xml:space="preserve"> וב"ש</w:t>
      </w:r>
      <w:r w:rsidRPr="00351B7D">
        <w:rPr>
          <w:rFonts w:asciiTheme="minorBidi" w:hAnsiTheme="minorBidi"/>
          <w:sz w:val="16"/>
          <w:szCs w:val="16"/>
          <w:rtl/>
        </w:rPr>
        <w:t xml:space="preserve"> [סקט"ו]</w:t>
      </w:r>
      <w:r w:rsidRPr="00351B7D">
        <w:rPr>
          <w:rFonts w:asciiTheme="minorBidi" w:hAnsiTheme="minorBidi"/>
          <w:rtl/>
        </w:rPr>
        <w:t>)</w:t>
      </w:r>
    </w:p>
    <w:p w14:paraId="01AD6884" w14:textId="77777777" w:rsidR="008E16D0" w:rsidRPr="00351B7D" w:rsidRDefault="008E16D0" w:rsidP="00A8697F">
      <w:pPr>
        <w:pStyle w:val="ab"/>
        <w:numPr>
          <w:ilvl w:val="0"/>
          <w:numId w:val="91"/>
        </w:numPr>
        <w:rPr>
          <w:rFonts w:asciiTheme="minorBidi" w:hAnsiTheme="minorBidi"/>
          <w:rtl/>
        </w:rPr>
      </w:pPr>
      <w:r w:rsidRPr="00351B7D">
        <w:rPr>
          <w:rFonts w:asciiTheme="minorBidi" w:hAnsiTheme="minorBidi"/>
          <w:rtl/>
        </w:rPr>
        <w:t xml:space="preserve">ר"ן </w:t>
      </w:r>
      <w:r w:rsidRPr="00351B7D">
        <w:rPr>
          <w:rFonts w:asciiTheme="minorBidi" w:hAnsiTheme="minorBidi"/>
          <w:sz w:val="16"/>
          <w:szCs w:val="16"/>
          <w:rtl/>
        </w:rPr>
        <w:t>(כתובות ג. דיבור ראשון)</w:t>
      </w:r>
      <w:r w:rsidRPr="00351B7D">
        <w:rPr>
          <w:rFonts w:asciiTheme="minorBidi" w:hAnsiTheme="minorBidi"/>
          <w:rtl/>
        </w:rPr>
        <w:t>- אפילו אינו סועד אלא עם בני ביתו מברך שהשמחה במעונו ואשר ברא.</w:t>
      </w:r>
    </w:p>
    <w:p w14:paraId="748F35F0" w14:textId="77777777" w:rsidR="008E16D0" w:rsidRPr="00351B7D" w:rsidRDefault="008E16D0" w:rsidP="008E16D0">
      <w:pPr>
        <w:rPr>
          <w:rFonts w:asciiTheme="minorBidi" w:hAnsiTheme="minorBidi"/>
          <w:u w:val="single"/>
        </w:rPr>
      </w:pPr>
      <w:r w:rsidRPr="00351B7D">
        <w:rPr>
          <w:rFonts w:asciiTheme="minorBidi" w:hAnsiTheme="minorBidi"/>
          <w:u w:val="single"/>
          <w:rtl/>
        </w:rPr>
        <w:t>האם אומרים שהשמחה במעונו בסעודת אירוסין:</w:t>
      </w:r>
    </w:p>
    <w:p w14:paraId="35153BEA" w14:textId="77777777" w:rsidR="008E16D0" w:rsidRPr="00351B7D" w:rsidRDefault="008E16D0" w:rsidP="00A8697F">
      <w:pPr>
        <w:pStyle w:val="ab"/>
        <w:numPr>
          <w:ilvl w:val="0"/>
          <w:numId w:val="90"/>
        </w:numPr>
        <w:rPr>
          <w:rFonts w:asciiTheme="minorBidi" w:hAnsiTheme="minorBidi"/>
        </w:rPr>
      </w:pPr>
      <w:r w:rsidRPr="00351B7D">
        <w:rPr>
          <w:rFonts w:asciiTheme="minorBidi" w:hAnsiTheme="minorBidi"/>
          <w:rtl/>
        </w:rPr>
        <w:lastRenderedPageBreak/>
        <w:t xml:space="preserve">כלבו </w:t>
      </w:r>
      <w:r w:rsidRPr="00351B7D">
        <w:rPr>
          <w:rFonts w:asciiTheme="minorBidi" w:hAnsiTheme="minorBidi"/>
          <w:sz w:val="16"/>
          <w:szCs w:val="16"/>
          <w:rtl/>
        </w:rPr>
        <w:t xml:space="preserve">(סי' כה) </w:t>
      </w:r>
      <w:r w:rsidRPr="00351B7D">
        <w:rPr>
          <w:rFonts w:asciiTheme="minorBidi" w:hAnsiTheme="minorBidi"/>
          <w:rtl/>
        </w:rPr>
        <w:t xml:space="preserve">וי"א </w:t>
      </w:r>
      <w:r w:rsidRPr="00351B7D">
        <w:rPr>
          <w:rFonts w:asciiTheme="minorBidi" w:hAnsiTheme="minorBidi"/>
          <w:sz w:val="16"/>
          <w:szCs w:val="16"/>
          <w:rtl/>
        </w:rPr>
        <w:t>(הביאם המרדכי סי' קלא)</w:t>
      </w:r>
      <w:r w:rsidRPr="00351B7D">
        <w:rPr>
          <w:rFonts w:asciiTheme="minorBidi" w:hAnsiTheme="minorBidi"/>
          <w:rtl/>
        </w:rPr>
        <w:t xml:space="preserve">- </w:t>
      </w:r>
      <w:r w:rsidRPr="00351B7D">
        <w:rPr>
          <w:rFonts w:asciiTheme="minorBidi" w:hAnsiTheme="minorBidi"/>
          <w:color w:val="000000"/>
          <w:rtl/>
        </w:rPr>
        <w:t>אין מברכין שהשמחה במעונו אלא עד אחר החופה</w:t>
      </w:r>
      <w:r w:rsidRPr="00351B7D">
        <w:rPr>
          <w:rFonts w:asciiTheme="minorBidi" w:hAnsiTheme="minorBidi"/>
          <w:color w:val="000000"/>
          <w:sz w:val="16"/>
          <w:szCs w:val="16"/>
          <w:rtl/>
        </w:rPr>
        <w:t xml:space="preserve"> (ל' הדרכ"מ)</w:t>
      </w:r>
      <w:r w:rsidRPr="00351B7D">
        <w:rPr>
          <w:rFonts w:asciiTheme="minorBidi" w:hAnsiTheme="minorBidi"/>
          <w:color w:val="000000"/>
          <w:rtl/>
        </w:rPr>
        <w:t>, והא דאמרינן בני החופה מברכין שהשמחה במעונו משעה שמכינים וכו' היינו דוקא לדידהו דמקדשי מעיקרא וכבר התחילה השמחה אבל אנן דלא מקדשי רובא דעלמא עד יום הנישואין לא מברכים השמחה במעונו אפילו בסעודת יום חמישי שעושה השושבין לחתן</w:t>
      </w:r>
      <w:r w:rsidRPr="00351B7D">
        <w:rPr>
          <w:rFonts w:asciiTheme="minorBidi" w:hAnsiTheme="minorBidi"/>
          <w:sz w:val="16"/>
          <w:szCs w:val="16"/>
          <w:rtl/>
        </w:rPr>
        <w:t xml:space="preserve"> (ל' הכלבו)</w:t>
      </w:r>
      <w:r w:rsidRPr="00351B7D">
        <w:rPr>
          <w:rFonts w:asciiTheme="minorBidi" w:hAnsiTheme="minorBidi"/>
          <w:rtl/>
        </w:rPr>
        <w:t>.</w:t>
      </w:r>
      <w:r w:rsidRPr="00351B7D">
        <w:rPr>
          <w:rFonts w:asciiTheme="minorBidi" w:hAnsiTheme="minorBidi"/>
          <w:color w:val="E36C0A" w:themeColor="accent6" w:themeShade="BF"/>
          <w:rtl/>
        </w:rPr>
        <w:t xml:space="preserve"> (וכ"פ בשו"ע)</w:t>
      </w:r>
      <w:r w:rsidRPr="00351B7D">
        <w:rPr>
          <w:rFonts w:asciiTheme="minorBidi" w:hAnsiTheme="minorBidi"/>
          <w:rtl/>
        </w:rPr>
        <w:t xml:space="preserve"> (וכ"פ הדרכ"מ</w:t>
      </w:r>
      <w:r w:rsidRPr="00351B7D">
        <w:rPr>
          <w:rFonts w:asciiTheme="minorBidi" w:hAnsiTheme="minorBidi"/>
          <w:sz w:val="16"/>
          <w:szCs w:val="16"/>
          <w:rtl/>
        </w:rPr>
        <w:t xml:space="preserve"> [אות יז]</w:t>
      </w:r>
      <w:r w:rsidRPr="00351B7D">
        <w:rPr>
          <w:rFonts w:asciiTheme="minorBidi" w:hAnsiTheme="minorBidi"/>
          <w:rtl/>
        </w:rPr>
        <w:t>)</w:t>
      </w:r>
    </w:p>
    <w:p w14:paraId="0AA85701" w14:textId="77777777" w:rsidR="008E16D0" w:rsidRPr="00351B7D" w:rsidRDefault="008E16D0" w:rsidP="00A8697F">
      <w:pPr>
        <w:pStyle w:val="ab"/>
        <w:numPr>
          <w:ilvl w:val="0"/>
          <w:numId w:val="90"/>
        </w:numPr>
        <w:rPr>
          <w:rFonts w:asciiTheme="minorBidi" w:hAnsiTheme="minorBidi"/>
          <w:rtl/>
        </w:rPr>
      </w:pPr>
      <w:r w:rsidRPr="00351B7D">
        <w:rPr>
          <w:rFonts w:asciiTheme="minorBidi" w:hAnsiTheme="minorBidi"/>
          <w:rtl/>
        </w:rPr>
        <w:t xml:space="preserve">י"א </w:t>
      </w:r>
      <w:r w:rsidRPr="00351B7D">
        <w:rPr>
          <w:rFonts w:asciiTheme="minorBidi" w:hAnsiTheme="minorBidi"/>
          <w:sz w:val="16"/>
          <w:szCs w:val="16"/>
          <w:rtl/>
        </w:rPr>
        <w:t>(הביאם המרדכי שם)</w:t>
      </w:r>
      <w:r w:rsidRPr="00351B7D">
        <w:rPr>
          <w:rFonts w:asciiTheme="minorBidi" w:hAnsiTheme="minorBidi"/>
          <w:rtl/>
        </w:rPr>
        <w:t xml:space="preserve">- אומרים אותה. </w:t>
      </w:r>
    </w:p>
    <w:p w14:paraId="771E706A"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CB9568" w14:textId="77777777" w:rsidR="008E16D0" w:rsidRPr="00351B7D" w:rsidRDefault="008E16D0" w:rsidP="008E16D0">
      <w:pPr>
        <w:rPr>
          <w:rFonts w:asciiTheme="minorBidi" w:hAnsiTheme="minorBidi"/>
          <w:rtl/>
        </w:rPr>
      </w:pPr>
      <w:r w:rsidRPr="00351B7D">
        <w:rPr>
          <w:rFonts w:asciiTheme="minorBidi" w:hAnsiTheme="minorBidi"/>
          <w:rtl/>
        </w:rPr>
        <w:t>הסועד בבית חתנים משיתחילו</w:t>
      </w:r>
      <w:r w:rsidRPr="00351B7D">
        <w:rPr>
          <w:rStyle w:val="a7"/>
          <w:rFonts w:asciiTheme="minorBidi" w:hAnsiTheme="minorBidi"/>
          <w:color w:val="000000"/>
          <w:rtl/>
        </w:rPr>
        <w:footnoteReference w:id="740"/>
      </w:r>
      <w:r w:rsidRPr="00351B7D">
        <w:rPr>
          <w:rFonts w:asciiTheme="minorBidi" w:hAnsiTheme="minorBidi"/>
          <w:rtl/>
        </w:rPr>
        <w:t xml:space="preserve"> להתעסק בצרכי סעודת נשואין ולהכינה עד שלשים יום אחר הנשואין מברך נברך שהשמחה במעונו שאכלנו משלו, ואם היו עשרה מברך נברך אלהינו שהשמחה במעונו וכו' והם עונים ברוך אלהינו שהשמחה וכו', וכן סעודה שעושים אותה אחר הנשואין מחמת הנשואין שנים עשר חדש מברך שהשמחה במעונו, והאידנא ערבה כל שמחה ואין אומרים שהשמחה במעונו אלא בשבעת ימי המשתה, </w:t>
      </w:r>
      <w:r w:rsidRPr="00351B7D">
        <w:rPr>
          <w:rStyle w:val="a7"/>
          <w:rFonts w:asciiTheme="minorBidi" w:hAnsiTheme="minorBidi"/>
          <w:color w:val="000000"/>
          <w:rtl/>
        </w:rPr>
        <w:footnoteReference w:id="741"/>
      </w:r>
      <w:r w:rsidRPr="00351B7D">
        <w:rPr>
          <w:rFonts w:asciiTheme="minorBidi" w:hAnsiTheme="minorBidi"/>
          <w:rtl/>
        </w:rPr>
        <w:t>ומכל מקום נראה דאף לאלמון שנשא אלמנה אומרים שהשמחה במעונו</w:t>
      </w:r>
      <w:r w:rsidRPr="00351B7D">
        <w:rPr>
          <w:rStyle w:val="a7"/>
          <w:rFonts w:asciiTheme="minorBidi" w:hAnsiTheme="minorBidi"/>
          <w:rtl/>
        </w:rPr>
        <w:footnoteReference w:id="742"/>
      </w:r>
      <w:r w:rsidRPr="00351B7D">
        <w:rPr>
          <w:rFonts w:asciiTheme="minorBidi" w:hAnsiTheme="minorBidi"/>
          <w:rtl/>
        </w:rPr>
        <w:t xml:space="preserve"> בשלשה ימים שהוא שמח עמה.</w:t>
      </w:r>
    </w:p>
    <w:p w14:paraId="4E2F9D35"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המחזיר גרושתו- האם מברך שהשמחה במעונו:</w:t>
      </w:r>
    </w:p>
    <w:p w14:paraId="13AEDFB6" w14:textId="77777777" w:rsidR="008E16D0" w:rsidRPr="00351B7D" w:rsidRDefault="008E16D0" w:rsidP="00A8697F">
      <w:pPr>
        <w:pStyle w:val="ab"/>
        <w:numPr>
          <w:ilvl w:val="0"/>
          <w:numId w:val="97"/>
        </w:numPr>
        <w:rPr>
          <w:rFonts w:asciiTheme="minorBidi" w:hAnsiTheme="minorBidi"/>
          <w:color w:val="000000"/>
          <w:rtl/>
        </w:rPr>
      </w:pPr>
      <w:r w:rsidRPr="00351B7D">
        <w:rPr>
          <w:rFonts w:asciiTheme="minorBidi" w:hAnsiTheme="minorBidi"/>
          <w:rtl/>
        </w:rPr>
        <w:t>בית הילל וב"ש</w:t>
      </w:r>
      <w:r w:rsidRPr="00351B7D">
        <w:rPr>
          <w:rFonts w:asciiTheme="minorBidi" w:hAnsiTheme="minorBidi"/>
          <w:color w:val="000000"/>
          <w:sz w:val="16"/>
          <w:szCs w:val="16"/>
          <w:rtl/>
        </w:rPr>
        <w:t xml:space="preserve"> (סקי"ז)</w:t>
      </w:r>
      <w:r w:rsidRPr="00351B7D">
        <w:rPr>
          <w:rFonts w:asciiTheme="minorBidi" w:hAnsiTheme="minorBidi"/>
          <w:rtl/>
        </w:rPr>
        <w:t>- אם החזיר גרושתו אין אומרים שהשמחה במעונו</w:t>
      </w:r>
      <w:r w:rsidRPr="00351B7D">
        <w:rPr>
          <w:rStyle w:val="a7"/>
          <w:rFonts w:asciiTheme="minorBidi" w:hAnsiTheme="minorBidi"/>
          <w:color w:val="000000"/>
          <w:rtl/>
        </w:rPr>
        <w:footnoteReference w:id="743"/>
      </w:r>
      <w:r w:rsidRPr="00351B7D">
        <w:rPr>
          <w:rFonts w:asciiTheme="minorBidi" w:hAnsiTheme="minorBidi"/>
          <w:color w:val="000000"/>
          <w:rtl/>
        </w:rPr>
        <w:t>.</w:t>
      </w:r>
    </w:p>
    <w:p w14:paraId="36C8FA59" w14:textId="77777777" w:rsidR="008E16D0" w:rsidRPr="00351B7D" w:rsidRDefault="008E16D0" w:rsidP="008E16D0">
      <w:pPr>
        <w:rPr>
          <w:rFonts w:asciiTheme="minorBidi" w:hAnsiTheme="minorBidi"/>
          <w:color w:val="000000"/>
          <w:u w:val="single"/>
          <w:rtl/>
        </w:rPr>
      </w:pPr>
      <w:r w:rsidRPr="00351B7D">
        <w:rPr>
          <w:rFonts w:asciiTheme="minorBidi" w:hAnsiTheme="minorBidi"/>
          <w:u w:val="single"/>
          <w:rtl/>
        </w:rPr>
        <w:t>האם מותר לברך ז"ב בסעודה שנהוג לעשות בליל טבילת מצוה</w:t>
      </w:r>
      <w:r w:rsidRPr="00351B7D">
        <w:rPr>
          <w:rFonts w:asciiTheme="minorBidi" w:hAnsiTheme="minorBidi"/>
          <w:sz w:val="16"/>
          <w:szCs w:val="16"/>
          <w:u w:val="single"/>
          <w:rtl/>
        </w:rPr>
        <w:t xml:space="preserve"> (לכלה שהייתה נדה בחופתה)</w:t>
      </w:r>
      <w:r w:rsidRPr="00351B7D">
        <w:rPr>
          <w:rFonts w:asciiTheme="minorBidi" w:hAnsiTheme="minorBidi"/>
          <w:u w:val="single"/>
          <w:rtl/>
        </w:rPr>
        <w:t xml:space="preserve"> לאחר כלות ימי המשתה</w:t>
      </w:r>
      <w:r w:rsidRPr="00351B7D">
        <w:rPr>
          <w:rStyle w:val="a7"/>
          <w:rFonts w:asciiTheme="minorBidi" w:hAnsiTheme="minorBidi"/>
          <w:color w:val="000000"/>
          <w:u w:val="single"/>
          <w:rtl/>
        </w:rPr>
        <w:footnoteReference w:id="744"/>
      </w:r>
      <w:r w:rsidRPr="00351B7D">
        <w:rPr>
          <w:rFonts w:asciiTheme="minorBidi" w:hAnsiTheme="minorBidi"/>
          <w:color w:val="000000"/>
          <w:u w:val="single"/>
          <w:rtl/>
        </w:rPr>
        <w:t>:</w:t>
      </w:r>
    </w:p>
    <w:p w14:paraId="5738E8C5" w14:textId="77777777" w:rsidR="008E16D0" w:rsidRPr="00351B7D" w:rsidRDefault="008E16D0" w:rsidP="00A8697F">
      <w:pPr>
        <w:pStyle w:val="ab"/>
        <w:numPr>
          <w:ilvl w:val="0"/>
          <w:numId w:val="97"/>
        </w:numPr>
        <w:rPr>
          <w:rFonts w:asciiTheme="minorBidi" w:hAnsiTheme="minorBidi"/>
          <w:color w:val="000000"/>
          <w:rtl/>
        </w:rPr>
      </w:pPr>
      <w:r w:rsidRPr="00351B7D">
        <w:rPr>
          <w:rFonts w:asciiTheme="minorBidi" w:hAnsiTheme="minorBidi"/>
          <w:rtl/>
        </w:rPr>
        <w:t>פנמ"א תשובה מאהבה ובני אהובה</w:t>
      </w:r>
      <w:r w:rsidRPr="00351B7D">
        <w:rPr>
          <w:rStyle w:val="a7"/>
          <w:rFonts w:asciiTheme="minorBidi" w:hAnsiTheme="minorBidi"/>
          <w:color w:val="000000"/>
          <w:rtl/>
        </w:rPr>
        <w:footnoteReference w:id="745"/>
      </w:r>
      <w:r w:rsidRPr="00351B7D">
        <w:rPr>
          <w:rFonts w:asciiTheme="minorBidi" w:hAnsiTheme="minorBidi"/>
          <w:rtl/>
        </w:rPr>
        <w:t>- פשוט שאין לברך אפילו עם פנים חדשות, אלא מ"מ נראה שהשמחה במעונו י"ל, ואף שכתוב בשו"ע דהאידנא ערבה כל שמחה ואין אומרים אלא בז' ימי המשתה מ"מ כה"ג שלא בעל בעילת מצוה והיום עיקר שמחה של החתן והכלה ראוי לברך וכן נראה להלכה למעשה</w:t>
      </w:r>
      <w:r w:rsidRPr="00351B7D">
        <w:rPr>
          <w:rStyle w:val="a7"/>
          <w:rFonts w:asciiTheme="minorBidi" w:hAnsiTheme="minorBidi"/>
          <w:color w:val="000000"/>
          <w:rtl/>
        </w:rPr>
        <w:footnoteReference w:id="746"/>
      </w:r>
      <w:r w:rsidRPr="00351B7D">
        <w:rPr>
          <w:rFonts w:asciiTheme="minorBidi" w:hAnsiTheme="minorBidi"/>
          <w:color w:val="000000"/>
          <w:rtl/>
        </w:rPr>
        <w:t xml:space="preserve">. </w:t>
      </w:r>
    </w:p>
    <w:p w14:paraId="3D46AF80" w14:textId="77777777" w:rsidR="008E16D0" w:rsidRPr="00351B7D" w:rsidRDefault="008E16D0" w:rsidP="00A8697F">
      <w:pPr>
        <w:pStyle w:val="ab"/>
        <w:numPr>
          <w:ilvl w:val="0"/>
          <w:numId w:val="97"/>
        </w:numPr>
        <w:rPr>
          <w:rFonts w:asciiTheme="minorBidi" w:hAnsiTheme="minorBidi"/>
        </w:rPr>
      </w:pPr>
      <w:r w:rsidRPr="00351B7D">
        <w:rPr>
          <w:rFonts w:asciiTheme="minorBidi" w:hAnsiTheme="minorBidi"/>
          <w:rtl/>
        </w:rPr>
        <w:t>הגה"א</w:t>
      </w:r>
      <w:r w:rsidRPr="00351B7D">
        <w:rPr>
          <w:rStyle w:val="a7"/>
          <w:rFonts w:asciiTheme="minorBidi" w:hAnsiTheme="minorBidi"/>
          <w:color w:val="000000"/>
          <w:rtl/>
        </w:rPr>
        <w:footnoteReference w:id="747"/>
      </w:r>
      <w:r w:rsidRPr="00351B7D">
        <w:rPr>
          <w:rFonts w:asciiTheme="minorBidi" w:hAnsiTheme="minorBidi"/>
          <w:rtl/>
        </w:rPr>
        <w:t>- תיקנו רבותינו הגאונים כיון דפסקו שבעה נקיים וטובלת מכניסין אותה ומברכין ברכת חתנים</w:t>
      </w:r>
      <w:r w:rsidRPr="00351B7D">
        <w:rPr>
          <w:rStyle w:val="a7"/>
          <w:rFonts w:asciiTheme="minorBidi" w:hAnsiTheme="minorBidi"/>
          <w:color w:val="000000"/>
          <w:rtl/>
        </w:rPr>
        <w:footnoteReference w:id="748"/>
      </w:r>
      <w:r w:rsidRPr="00351B7D">
        <w:rPr>
          <w:rFonts w:asciiTheme="minorBidi" w:hAnsiTheme="minorBidi"/>
          <w:rtl/>
        </w:rPr>
        <w:t xml:space="preserve">. </w:t>
      </w:r>
    </w:p>
    <w:p w14:paraId="5BC7847C" w14:textId="77777777" w:rsidR="008E16D0" w:rsidRPr="00351B7D" w:rsidRDefault="008E16D0" w:rsidP="00A8697F">
      <w:pPr>
        <w:pStyle w:val="ab"/>
        <w:numPr>
          <w:ilvl w:val="0"/>
          <w:numId w:val="97"/>
        </w:numPr>
        <w:rPr>
          <w:rFonts w:asciiTheme="minorBidi" w:hAnsiTheme="minorBidi"/>
          <w:rtl/>
        </w:rPr>
      </w:pPr>
      <w:r w:rsidRPr="00351B7D">
        <w:rPr>
          <w:rFonts w:asciiTheme="minorBidi" w:hAnsiTheme="minorBidi"/>
          <w:rtl/>
        </w:rPr>
        <w:t>חת"ס</w:t>
      </w:r>
      <w:r w:rsidRPr="00351B7D">
        <w:rPr>
          <w:rFonts w:asciiTheme="minorBidi" w:hAnsiTheme="minorBidi"/>
          <w:sz w:val="16"/>
          <w:szCs w:val="16"/>
          <w:rtl/>
        </w:rPr>
        <w:t xml:space="preserve"> (סי' קכ"ב)</w:t>
      </w:r>
      <w:r w:rsidRPr="00351B7D">
        <w:rPr>
          <w:rFonts w:asciiTheme="minorBidi" w:hAnsiTheme="minorBidi"/>
          <w:rtl/>
        </w:rPr>
        <w:t>- מקום שנהגו כן יש ליישב המנהג במה שעשו עד עתה, אך אין לעשות כן מכאן ואילך, וצריך לחוש לברכה לבטלה וראוי לבטל המנהג.</w:t>
      </w:r>
    </w:p>
    <w:p w14:paraId="103271BA"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הוספת ברכת שהשמחה במעונו בסעודה שבלילה שלפני החופה:</w:t>
      </w:r>
    </w:p>
    <w:p w14:paraId="7A419687" w14:textId="77777777" w:rsidR="008E16D0" w:rsidRPr="00351B7D" w:rsidRDefault="008E16D0" w:rsidP="00A8697F">
      <w:pPr>
        <w:pStyle w:val="ab"/>
        <w:numPr>
          <w:ilvl w:val="0"/>
          <w:numId w:val="93"/>
        </w:numPr>
        <w:rPr>
          <w:rFonts w:asciiTheme="minorBidi" w:hAnsiTheme="minorBidi"/>
          <w:rtl/>
        </w:rPr>
      </w:pPr>
      <w:r w:rsidRPr="00351B7D">
        <w:rPr>
          <w:rFonts w:asciiTheme="minorBidi" w:hAnsiTheme="minorBidi"/>
          <w:rtl/>
        </w:rPr>
        <w:t xml:space="preserve">פרישה </w:t>
      </w:r>
      <w:r w:rsidRPr="00351B7D">
        <w:rPr>
          <w:rFonts w:asciiTheme="minorBidi" w:hAnsiTheme="minorBidi"/>
          <w:sz w:val="16"/>
          <w:szCs w:val="16"/>
          <w:rtl/>
        </w:rPr>
        <w:t>(אות כה)</w:t>
      </w:r>
      <w:r w:rsidRPr="00351B7D">
        <w:rPr>
          <w:rFonts w:asciiTheme="minorBidi" w:hAnsiTheme="minorBidi"/>
          <w:rtl/>
        </w:rPr>
        <w:t>- לכאורה נראה שמברכין שהשמחה במעונו בסעודה שעושין בלילה שלפני החופה, דהא מן הדין אפילו משמתחילין להכין צורכי החופה מברכין אותו אלא משום ערבה כל שמחה אין נוהגין כן מפני שאין לנו שמחה כשאנו עסוקים בצרכי החופה, אבל בסעודה הנ"ל יש בה שמחה יתירה ונקראת התחלת הנישואין למה לא יברכו שהשמחה במעונו, מיהו יש לחלק ולומר דדוקא בימיהם שהיו מארסין מיד בשעה שנשתדכו ע"כ היו מברכין אח"כ שהשמחה במעונו משא"כ עתה דכל שלא אירסו אין בו שמחה כ"כ דילמא יחזרו בהן</w:t>
      </w:r>
      <w:r w:rsidRPr="00351B7D">
        <w:rPr>
          <w:rStyle w:val="a7"/>
          <w:rFonts w:asciiTheme="minorBidi" w:hAnsiTheme="minorBidi"/>
          <w:rtl/>
        </w:rPr>
        <w:footnoteReference w:id="749"/>
      </w:r>
      <w:r w:rsidRPr="00351B7D">
        <w:rPr>
          <w:rFonts w:asciiTheme="minorBidi" w:hAnsiTheme="minorBidi"/>
          <w:rtl/>
        </w:rPr>
        <w:t xml:space="preserve">. </w:t>
      </w:r>
    </w:p>
    <w:p w14:paraId="4138AE75" w14:textId="77777777" w:rsidR="008E16D0" w:rsidRPr="00351B7D" w:rsidRDefault="008E16D0" w:rsidP="008E16D0">
      <w:pPr>
        <w:rPr>
          <w:rFonts w:asciiTheme="minorBidi" w:hAnsiTheme="minorBidi"/>
          <w:rtl/>
        </w:rPr>
      </w:pPr>
    </w:p>
    <w:p w14:paraId="36898A42" w14:textId="77777777" w:rsidR="008E16D0" w:rsidRPr="00351B7D" w:rsidRDefault="008E16D0" w:rsidP="008E16D0">
      <w:pPr>
        <w:rPr>
          <w:rFonts w:asciiTheme="minorBidi" w:hAnsiTheme="minorBidi"/>
          <w:rtl/>
        </w:rPr>
      </w:pPr>
    </w:p>
    <w:p w14:paraId="5589D1F4" w14:textId="77777777" w:rsidR="008E16D0" w:rsidRPr="00351B7D" w:rsidRDefault="008E16D0" w:rsidP="008E16D0">
      <w:pPr>
        <w:rPr>
          <w:rFonts w:asciiTheme="minorBidi" w:hAnsiTheme="minorBidi"/>
          <w:rtl/>
        </w:rPr>
      </w:pPr>
    </w:p>
    <w:p w14:paraId="23485E86" w14:textId="77777777" w:rsidR="008E16D0" w:rsidRPr="00351B7D" w:rsidRDefault="008E16D0" w:rsidP="008E16D0">
      <w:pPr>
        <w:rPr>
          <w:rFonts w:asciiTheme="minorBidi" w:hAnsiTheme="minorBidi"/>
          <w:rtl/>
        </w:rPr>
      </w:pPr>
    </w:p>
    <w:p w14:paraId="2A5F0F33" w14:textId="77777777" w:rsidR="008E16D0" w:rsidRPr="00351B7D" w:rsidRDefault="008E16D0" w:rsidP="008E16D0">
      <w:pPr>
        <w:rPr>
          <w:rFonts w:asciiTheme="minorBidi" w:hAnsiTheme="minorBidi"/>
          <w:rtl/>
        </w:rPr>
      </w:pPr>
    </w:p>
    <w:p w14:paraId="7ECF8984" w14:textId="77777777" w:rsidR="004B1524" w:rsidRDefault="004B1524" w:rsidP="008E16D0">
      <w:pPr>
        <w:pStyle w:val="1"/>
        <w:rPr>
          <w:rFonts w:asciiTheme="minorBidi" w:hAnsiTheme="minorBidi"/>
          <w:rtl/>
        </w:rPr>
        <w:sectPr w:rsidR="004B1524" w:rsidSect="00A347B3">
          <w:headerReference w:type="default" r:id="rId17"/>
          <w:footnotePr>
            <w:numRestart w:val="eachPage"/>
          </w:footnotePr>
          <w:pgSz w:w="11906" w:h="16838"/>
          <w:pgMar w:top="720" w:right="1134" w:bottom="720" w:left="1134" w:header="0" w:footer="0" w:gutter="0"/>
          <w:cols w:space="720"/>
          <w:bidi/>
          <w:rtlGutter/>
          <w:docGrid w:linePitch="360"/>
        </w:sectPr>
      </w:pPr>
    </w:p>
    <w:p w14:paraId="1BD6ED2C" w14:textId="15231B00"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סג</w:t>
      </w:r>
      <w:r w:rsidRPr="00351B7D">
        <w:rPr>
          <w:rFonts w:asciiTheme="minorBidi" w:hAnsiTheme="minorBidi"/>
        </w:rPr>
        <w:t xml:space="preserve"> </w:t>
      </w:r>
      <w:r w:rsidRPr="00351B7D">
        <w:rPr>
          <w:rFonts w:asciiTheme="minorBidi" w:hAnsiTheme="minorBidi"/>
          <w:rtl/>
        </w:rPr>
        <w:t xml:space="preserve">: בעילת מצוה וברכתו, ובו ב' סעיפים. </w:t>
      </w:r>
    </w:p>
    <w:p w14:paraId="1F557C11" w14:textId="77777777" w:rsidR="008E16D0" w:rsidRPr="00351B7D" w:rsidRDefault="008E16D0" w:rsidP="008E16D0">
      <w:pPr>
        <w:pStyle w:val="2"/>
        <w:rPr>
          <w:rFonts w:asciiTheme="minorBidi" w:hAnsiTheme="minorBidi"/>
          <w:rtl/>
        </w:rPr>
      </w:pPr>
      <w:r w:rsidRPr="00351B7D">
        <w:rPr>
          <w:rFonts w:asciiTheme="minorBidi" w:hAnsiTheme="minorBidi"/>
          <w:rtl/>
        </w:rPr>
        <w:t>סעיף א: בעילת מצוה בשבת, ופרישה לאחר בעילת מצוה.</w:t>
      </w:r>
    </w:p>
    <w:p w14:paraId="2D854BCE" w14:textId="77777777" w:rsidR="008E16D0" w:rsidRPr="00351B7D" w:rsidRDefault="008E16D0" w:rsidP="008E16D0">
      <w:pPr>
        <w:rPr>
          <w:rFonts w:asciiTheme="minorBidi" w:hAnsiTheme="minorBidi"/>
          <w:sz w:val="16"/>
          <w:szCs w:val="16"/>
          <w:rtl/>
        </w:rPr>
      </w:pPr>
      <w:r w:rsidRPr="00351B7D">
        <w:rPr>
          <w:rFonts w:asciiTheme="minorBidi" w:hAnsiTheme="minorBidi"/>
          <w:b/>
          <w:bCs/>
          <w:rtl/>
        </w:rPr>
        <w:t xml:space="preserve">תוספתא </w:t>
      </w:r>
      <w:r w:rsidRPr="00351B7D">
        <w:rPr>
          <w:rFonts w:asciiTheme="minorBidi" w:hAnsiTheme="minorBidi"/>
          <w:b/>
          <w:bCs/>
          <w:sz w:val="14"/>
          <w:szCs w:val="14"/>
          <w:rtl/>
        </w:rPr>
        <w:t xml:space="preserve">(ליברמן) </w:t>
      </w:r>
      <w:r w:rsidRPr="00351B7D">
        <w:rPr>
          <w:rFonts w:asciiTheme="minorBidi" w:hAnsiTheme="minorBidi"/>
          <w:b/>
          <w:bCs/>
          <w:rtl/>
        </w:rPr>
        <w:t>כתובות פ"א ה"א:</w:t>
      </w:r>
      <w:r w:rsidRPr="00351B7D">
        <w:rPr>
          <w:rFonts w:asciiTheme="minorBidi" w:hAnsiTheme="minorBidi"/>
          <w:rtl/>
        </w:rPr>
        <w:t xml:space="preserve"> מפני מה מפרישין את החתן מן הכלה לילי שבת תחלה מפני שהוא עושה חבורה.</w:t>
      </w:r>
      <w:r w:rsidRPr="00351B7D">
        <w:rPr>
          <w:rFonts w:asciiTheme="minorBidi" w:hAnsiTheme="minorBidi"/>
          <w:sz w:val="16"/>
          <w:szCs w:val="16"/>
          <w:rtl/>
        </w:rPr>
        <w:t xml:space="preserve"> </w:t>
      </w:r>
    </w:p>
    <w:p w14:paraId="6DB9D714" w14:textId="77777777" w:rsidR="008E16D0" w:rsidRPr="00351B7D" w:rsidRDefault="008E16D0" w:rsidP="008E16D0">
      <w:pPr>
        <w:rPr>
          <w:rFonts w:asciiTheme="minorBidi" w:hAnsiTheme="minorBidi"/>
          <w:sz w:val="16"/>
          <w:szCs w:val="16"/>
          <w:rtl/>
        </w:rPr>
      </w:pPr>
      <w:r w:rsidRPr="00351B7D">
        <w:rPr>
          <w:rFonts w:asciiTheme="minorBidi" w:hAnsiTheme="minorBidi"/>
          <w:b/>
          <w:bCs/>
          <w:rtl/>
        </w:rPr>
        <w:t xml:space="preserve">כתובות ז ע"א: </w:t>
      </w:r>
      <w:r w:rsidRPr="00351B7D">
        <w:rPr>
          <w:rFonts w:asciiTheme="minorBidi" w:hAnsiTheme="minorBidi"/>
          <w:rtl/>
        </w:rPr>
        <w:t>והלכתא: מותר לבעול בתחלה בשבת.</w:t>
      </w:r>
      <w:r w:rsidRPr="00351B7D">
        <w:rPr>
          <w:rFonts w:asciiTheme="minorBidi" w:hAnsiTheme="minorBidi"/>
          <w:color w:val="000000"/>
          <w:sz w:val="16"/>
          <w:szCs w:val="16"/>
          <w:rtl/>
        </w:rPr>
        <w:t xml:space="preserve"> (וכן הסכימו כל הפוסקים</w:t>
      </w:r>
      <w:r w:rsidRPr="00351B7D">
        <w:rPr>
          <w:rStyle w:val="a7"/>
          <w:rFonts w:asciiTheme="minorBidi" w:hAnsiTheme="minorBidi"/>
          <w:sz w:val="16"/>
          <w:szCs w:val="16"/>
          <w:rtl/>
        </w:rPr>
        <w:footnoteReference w:id="750"/>
      </w:r>
      <w:r w:rsidRPr="00351B7D">
        <w:rPr>
          <w:rFonts w:asciiTheme="minorBidi" w:hAnsiTheme="minorBidi"/>
          <w:sz w:val="16"/>
          <w:szCs w:val="16"/>
          <w:rtl/>
        </w:rPr>
        <w:t>)</w:t>
      </w:r>
    </w:p>
    <w:p w14:paraId="0D7D11C8" w14:textId="77777777" w:rsidR="008E16D0" w:rsidRPr="00351B7D" w:rsidRDefault="008E16D0" w:rsidP="008E16D0">
      <w:pPr>
        <w:jc w:val="both"/>
        <w:rPr>
          <w:rFonts w:asciiTheme="minorBidi" w:hAnsiTheme="minorBidi"/>
          <w:rtl/>
        </w:rPr>
      </w:pPr>
      <w:r w:rsidRPr="00351B7D">
        <w:rPr>
          <w:rFonts w:asciiTheme="minorBidi" w:hAnsiTheme="minorBidi"/>
          <w:b/>
          <w:bCs/>
          <w:rtl/>
        </w:rPr>
        <w:t>נדה סד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תינוקת שלא הגיע זמנה לראות וניסת, </w:t>
      </w:r>
      <w:r w:rsidRPr="00351B7D">
        <w:rPr>
          <w:rFonts w:asciiTheme="minorBidi" w:hAnsiTheme="minorBidi"/>
          <w:u w:val="single"/>
          <w:rtl/>
        </w:rPr>
        <w:t>ב"ש אומרים</w:t>
      </w:r>
      <w:r w:rsidRPr="00351B7D">
        <w:rPr>
          <w:rFonts w:asciiTheme="minorBidi" w:hAnsiTheme="minorBidi"/>
          <w:rtl/>
        </w:rPr>
        <w:t xml:space="preserve">: נותנין לה ארבע לילות, </w:t>
      </w:r>
      <w:r w:rsidRPr="00351B7D">
        <w:rPr>
          <w:rFonts w:asciiTheme="minorBidi" w:hAnsiTheme="minorBidi"/>
          <w:u w:val="single"/>
          <w:rtl/>
        </w:rPr>
        <w:t>וב"ה אומרים</w:t>
      </w:r>
      <w:r w:rsidRPr="00351B7D">
        <w:rPr>
          <w:rFonts w:asciiTheme="minorBidi" w:hAnsiTheme="minorBidi"/>
          <w:rtl/>
        </w:rPr>
        <w:t>: עד שתחיה המכה. הגיע זמנה לראות</w:t>
      </w:r>
      <w:r w:rsidRPr="00351B7D">
        <w:rPr>
          <w:rStyle w:val="a7"/>
          <w:rFonts w:asciiTheme="minorBidi" w:hAnsiTheme="minorBidi"/>
          <w:rtl/>
        </w:rPr>
        <w:footnoteReference w:id="751"/>
      </w:r>
      <w:r w:rsidRPr="00351B7D">
        <w:rPr>
          <w:rFonts w:asciiTheme="minorBidi" w:hAnsiTheme="minorBidi"/>
          <w:rtl/>
        </w:rPr>
        <w:t xml:space="preserve"> וניסת, </w:t>
      </w:r>
      <w:r w:rsidRPr="00351B7D">
        <w:rPr>
          <w:rFonts w:asciiTheme="minorBidi" w:hAnsiTheme="minorBidi"/>
          <w:u w:val="single"/>
          <w:rtl/>
        </w:rPr>
        <w:t>ב"ש אומרים</w:t>
      </w:r>
      <w:r w:rsidRPr="00351B7D">
        <w:rPr>
          <w:rFonts w:asciiTheme="minorBidi" w:hAnsiTheme="minorBidi"/>
          <w:rtl/>
        </w:rPr>
        <w:t xml:space="preserve">: נותנין לה לילה הראשון, </w:t>
      </w:r>
      <w:r w:rsidRPr="00351B7D">
        <w:rPr>
          <w:rFonts w:asciiTheme="minorBidi" w:hAnsiTheme="minorBidi"/>
          <w:u w:val="single"/>
          <w:rtl/>
        </w:rPr>
        <w:t>וב"ה אומרים</w:t>
      </w:r>
      <w:r w:rsidRPr="00351B7D">
        <w:rPr>
          <w:rFonts w:asciiTheme="minorBidi" w:hAnsiTheme="minorBidi"/>
          <w:rtl/>
        </w:rPr>
        <w:t xml:space="preserve">: עד מוצאי שבת, ארבע לילות. ראתה ועודה בבית אביה, </w:t>
      </w:r>
      <w:r w:rsidRPr="00351B7D">
        <w:rPr>
          <w:rFonts w:asciiTheme="minorBidi" w:hAnsiTheme="minorBidi"/>
          <w:u w:val="single"/>
          <w:rtl/>
        </w:rPr>
        <w:t>ב"ש אומרים</w:t>
      </w:r>
      <w:r w:rsidRPr="00351B7D">
        <w:rPr>
          <w:rFonts w:asciiTheme="minorBidi" w:hAnsiTheme="minorBidi"/>
          <w:rtl/>
        </w:rPr>
        <w:t xml:space="preserve">: נותנין לה בעילת מצוה, </w:t>
      </w:r>
      <w:r w:rsidRPr="00351B7D">
        <w:rPr>
          <w:rFonts w:asciiTheme="minorBidi" w:hAnsiTheme="minorBidi"/>
          <w:u w:val="single"/>
          <w:rtl/>
        </w:rPr>
        <w:t>וב"ה אומרים</w:t>
      </w:r>
      <w:r w:rsidRPr="00351B7D">
        <w:rPr>
          <w:rFonts w:asciiTheme="minorBidi" w:hAnsiTheme="minorBidi"/>
          <w:rtl/>
        </w:rPr>
        <w:t xml:space="preserve">: כל הלילה כולה.        </w:t>
      </w:r>
      <w:r w:rsidRPr="00351B7D">
        <w:rPr>
          <w:rFonts w:asciiTheme="minorBidi" w:hAnsiTheme="minorBidi"/>
          <w:u w:val="double"/>
          <w:rtl/>
        </w:rPr>
        <w:t>גמ':</w:t>
      </w:r>
      <w:r w:rsidRPr="00351B7D">
        <w:rPr>
          <w:rFonts w:asciiTheme="minorBidi" w:hAnsiTheme="minorBidi"/>
          <w:rtl/>
        </w:rPr>
        <w:t xml:space="preserve"> </w:t>
      </w:r>
      <w:r w:rsidRPr="00351B7D">
        <w:rPr>
          <w:rFonts w:asciiTheme="minorBidi" w:hAnsiTheme="minorBidi"/>
          <w:u w:val="single"/>
          <w:rtl/>
        </w:rPr>
        <w:t>אמר רב</w:t>
      </w:r>
      <w:r w:rsidRPr="00351B7D">
        <w:rPr>
          <w:rFonts w:asciiTheme="minorBidi" w:hAnsiTheme="minorBidi"/>
          <w:rtl/>
        </w:rPr>
        <w:t>: בוגרת נותנין לה לילה הראשון</w:t>
      </w:r>
      <w:r w:rsidRPr="00351B7D">
        <w:rPr>
          <w:rStyle w:val="a7"/>
          <w:rFonts w:asciiTheme="minorBidi" w:hAnsiTheme="minorBidi"/>
          <w:rtl/>
        </w:rPr>
        <w:footnoteReference w:id="752"/>
      </w:r>
      <w:r w:rsidRPr="00351B7D">
        <w:rPr>
          <w:rFonts w:asciiTheme="minorBidi" w:hAnsiTheme="minorBidi"/>
          <w:rtl/>
        </w:rPr>
        <w:t xml:space="preserve">, וה"מ שלא ראתה, אבל ראתה אין לה אלא בעילת מצוה, ותו לא... </w:t>
      </w:r>
      <w:r w:rsidRPr="00351B7D">
        <w:rPr>
          <w:rFonts w:asciiTheme="minorBidi" w:hAnsiTheme="minorBidi"/>
          <w:sz w:val="16"/>
          <w:szCs w:val="16"/>
          <w:u w:val="double"/>
          <w:rtl/>
        </w:rPr>
        <w:t>(סה:)</w:t>
      </w:r>
      <w:r w:rsidRPr="00351B7D">
        <w:rPr>
          <w:rFonts w:asciiTheme="minorBidi" w:hAnsiTheme="minorBidi"/>
          <w:rtl/>
        </w:rPr>
        <w:t xml:space="preserve"> </w:t>
      </w:r>
      <w:r w:rsidRPr="00351B7D">
        <w:rPr>
          <w:rFonts w:asciiTheme="minorBidi" w:hAnsiTheme="minorBidi"/>
          <w:u w:val="single"/>
          <w:rtl/>
        </w:rPr>
        <w:t>רב ושמואל דאמרי תרוייהו</w:t>
      </w:r>
      <w:r w:rsidRPr="00351B7D">
        <w:rPr>
          <w:rFonts w:asciiTheme="minorBidi" w:hAnsiTheme="minorBidi"/>
          <w:rtl/>
        </w:rPr>
        <w:t>: הלכה בועל בעילת מצוה ופורש</w:t>
      </w:r>
      <w:r w:rsidRPr="00351B7D">
        <w:rPr>
          <w:rStyle w:val="a7"/>
          <w:rFonts w:asciiTheme="minorBidi" w:hAnsiTheme="minorBidi"/>
          <w:rtl/>
        </w:rPr>
        <w:footnoteReference w:id="753"/>
      </w:r>
      <w:r w:rsidRPr="00351B7D">
        <w:rPr>
          <w:rFonts w:asciiTheme="minorBidi" w:hAnsiTheme="minorBidi"/>
          <w:rtl/>
        </w:rPr>
        <w:t xml:space="preserve">. </w:t>
      </w:r>
      <w:r w:rsidRPr="00351B7D">
        <w:rPr>
          <w:rFonts w:asciiTheme="minorBidi" w:hAnsiTheme="minorBidi"/>
          <w:u w:val="single"/>
          <w:rtl/>
        </w:rPr>
        <w:t>מתיב רב חסדא</w:t>
      </w:r>
      <w:r w:rsidRPr="00351B7D">
        <w:rPr>
          <w:rFonts w:asciiTheme="minorBidi" w:hAnsiTheme="minorBidi"/>
          <w:rtl/>
        </w:rPr>
        <w:t>: מעשה ונתן לה רבי ד' לילות מתוך י"ב חדש</w:t>
      </w:r>
      <w:r w:rsidRPr="00351B7D">
        <w:rPr>
          <w:rStyle w:val="a7"/>
          <w:rFonts w:asciiTheme="minorBidi" w:hAnsiTheme="minorBidi"/>
          <w:rtl/>
        </w:rPr>
        <w:footnoteReference w:id="754"/>
      </w:r>
      <w:r w:rsidRPr="00351B7D">
        <w:rPr>
          <w:rFonts w:asciiTheme="minorBidi" w:hAnsiTheme="minorBidi"/>
          <w:rtl/>
        </w:rPr>
        <w:t xml:space="preserve">! </w:t>
      </w:r>
      <w:r w:rsidRPr="00351B7D">
        <w:rPr>
          <w:rFonts w:asciiTheme="minorBidi" w:hAnsiTheme="minorBidi"/>
          <w:u w:val="single"/>
          <w:rtl/>
        </w:rPr>
        <w:t>א"ל רבא</w:t>
      </w:r>
      <w:r w:rsidRPr="00351B7D">
        <w:rPr>
          <w:rFonts w:asciiTheme="minorBidi" w:hAnsiTheme="minorBidi"/>
          <w:rtl/>
        </w:rPr>
        <w:t xml:space="preserve">: הדורי אפירכא למה לי? אותיב ממתני'! הוא סבר מעשה רב. מ"מ לרב ושמואל קשיא. אינהו דעבדו כרבותינו, דתניא רבותינו חזרו ונמנו: בועל בעילת מצוה ופורש. </w:t>
      </w:r>
      <w:r w:rsidRPr="00351B7D">
        <w:rPr>
          <w:rFonts w:asciiTheme="minorBidi" w:hAnsiTheme="minorBidi"/>
          <w:u w:val="single"/>
          <w:rtl/>
        </w:rPr>
        <w:t>אמר עולא</w:t>
      </w:r>
      <w:r w:rsidRPr="00351B7D">
        <w:rPr>
          <w:rFonts w:asciiTheme="minorBidi" w:hAnsiTheme="minorBidi"/>
          <w:rtl/>
        </w:rPr>
        <w:t xml:space="preserve"> כי הוו בה ר' יוחנן ור"ל בתינוקת</w:t>
      </w:r>
      <w:r w:rsidRPr="00351B7D">
        <w:rPr>
          <w:rStyle w:val="a7"/>
          <w:rFonts w:asciiTheme="minorBidi" w:hAnsiTheme="minorBidi"/>
          <w:rtl/>
        </w:rPr>
        <w:footnoteReference w:id="755"/>
      </w:r>
      <w:r w:rsidRPr="00351B7D">
        <w:rPr>
          <w:rFonts w:asciiTheme="minorBidi" w:hAnsiTheme="minorBidi"/>
          <w:rtl/>
        </w:rPr>
        <w:t xml:space="preserve"> לא הוו מסקי מינה אלא כדמסיק תעלא מבי כרבא</w:t>
      </w:r>
      <w:r w:rsidRPr="00351B7D">
        <w:rPr>
          <w:rStyle w:val="a7"/>
          <w:rFonts w:asciiTheme="minorBidi" w:hAnsiTheme="minorBidi"/>
          <w:rtl/>
        </w:rPr>
        <w:footnoteReference w:id="756"/>
      </w:r>
      <w:r w:rsidRPr="00351B7D">
        <w:rPr>
          <w:rFonts w:asciiTheme="minorBidi" w:hAnsiTheme="minorBidi"/>
          <w:rtl/>
        </w:rPr>
        <w:t xml:space="preserve"> ומסיימי בה הכי: בועל בעילת מצוה ופורש. </w:t>
      </w:r>
      <w:r w:rsidRPr="00351B7D">
        <w:rPr>
          <w:rFonts w:asciiTheme="minorBidi" w:hAnsiTheme="minorBidi"/>
          <w:u w:val="single"/>
          <w:rtl/>
        </w:rPr>
        <w:t>א"ל ר' אבא לרב אשי:</w:t>
      </w:r>
      <w:r w:rsidRPr="00351B7D">
        <w:rPr>
          <w:rFonts w:asciiTheme="minorBidi" w:hAnsiTheme="minorBidi"/>
          <w:rtl/>
        </w:rPr>
        <w:t xml:space="preserve"> אלא מעתה - בעל נפש לא יגמור ביאתו</w:t>
      </w:r>
      <w:r w:rsidRPr="00351B7D">
        <w:rPr>
          <w:rStyle w:val="a7"/>
          <w:rFonts w:asciiTheme="minorBidi" w:hAnsiTheme="minorBidi"/>
          <w:rtl/>
        </w:rPr>
        <w:footnoteReference w:id="757"/>
      </w:r>
      <w:r w:rsidRPr="00351B7D">
        <w:rPr>
          <w:rFonts w:asciiTheme="minorBidi" w:hAnsiTheme="minorBidi"/>
          <w:rtl/>
        </w:rPr>
        <w:t>! א"ל: א"כ לבו נוקפו ופורש</w:t>
      </w:r>
      <w:r w:rsidRPr="00351B7D">
        <w:rPr>
          <w:rStyle w:val="a7"/>
          <w:rFonts w:asciiTheme="minorBidi" w:hAnsiTheme="minorBidi"/>
          <w:rtl/>
        </w:rPr>
        <w:footnoteReference w:id="758"/>
      </w:r>
      <w:r w:rsidRPr="00351B7D">
        <w:rPr>
          <w:rFonts w:asciiTheme="minorBidi" w:hAnsiTheme="minorBidi"/>
          <w:rtl/>
        </w:rPr>
        <w:t>.</w:t>
      </w:r>
    </w:p>
    <w:p w14:paraId="121FCE58" w14:textId="77777777" w:rsidR="008E16D0" w:rsidRPr="00351B7D" w:rsidRDefault="008E16D0" w:rsidP="008E16D0">
      <w:pPr>
        <w:jc w:val="both"/>
        <w:rPr>
          <w:rFonts w:asciiTheme="minorBidi" w:hAnsiTheme="minorBidi"/>
          <w:rtl/>
        </w:rPr>
      </w:pPr>
      <w:r w:rsidRPr="00351B7D">
        <w:rPr>
          <w:rFonts w:asciiTheme="minorBidi" w:hAnsiTheme="minorBidi"/>
          <w:b/>
          <w:bCs/>
          <w:rtl/>
        </w:rPr>
        <w:t>ירושלמי ברכות פ"ו ה"ב:</w:t>
      </w:r>
      <w:r w:rsidRPr="00351B7D">
        <w:rPr>
          <w:rFonts w:asciiTheme="minorBidi" w:hAnsiTheme="minorBidi"/>
          <w:rtl/>
        </w:rPr>
        <w:t xml:space="preserve"> </w:t>
      </w:r>
      <w:r w:rsidRPr="00351B7D">
        <w:rPr>
          <w:rFonts w:asciiTheme="minorBidi" w:hAnsiTheme="minorBidi"/>
          <w:u w:val="single"/>
          <w:rtl/>
        </w:rPr>
        <w:t>שמואל אמר</w:t>
      </w:r>
      <w:r w:rsidRPr="00351B7D">
        <w:rPr>
          <w:rFonts w:asciiTheme="minorBidi" w:hAnsiTheme="minorBidi"/>
          <w:rtl/>
        </w:rPr>
        <w:t xml:space="preserve"> כל ההיא הילכתא דרישיה דפירקא אחרייא דנידה להלכה אבל לא למעשה. ר' ינאי ערק אפילו מתינוקת שלא הגיע זמנה לראות ונישאת.</w:t>
      </w:r>
    </w:p>
    <w:p w14:paraId="693BD1A5" w14:textId="77777777" w:rsidR="008E16D0" w:rsidRPr="00351B7D" w:rsidRDefault="008E16D0" w:rsidP="008E16D0">
      <w:pPr>
        <w:jc w:val="both"/>
        <w:rPr>
          <w:rFonts w:asciiTheme="minorBidi" w:hAnsiTheme="minorBidi"/>
          <w:sz w:val="16"/>
          <w:szCs w:val="16"/>
          <w:rtl/>
        </w:rPr>
      </w:pPr>
      <w:r w:rsidRPr="00351B7D">
        <w:rPr>
          <w:rFonts w:asciiTheme="minorBidi" w:hAnsiTheme="minorBidi"/>
          <w:u w:val="single"/>
          <w:rtl/>
        </w:rPr>
        <w:t>כיצד נפסק</w:t>
      </w:r>
      <w:r w:rsidRPr="00351B7D">
        <w:rPr>
          <w:rFonts w:asciiTheme="minorBidi" w:hAnsiTheme="minorBidi"/>
          <w:sz w:val="16"/>
          <w:szCs w:val="16"/>
          <w:u w:val="single"/>
          <w:rtl/>
        </w:rPr>
        <w:t xml:space="preserve"> (הלכה למעשה)</w:t>
      </w:r>
      <w:r w:rsidRPr="00351B7D">
        <w:rPr>
          <w:rFonts w:asciiTheme="minorBidi" w:hAnsiTheme="minorBidi"/>
          <w:u w:val="single"/>
          <w:rtl/>
        </w:rPr>
        <w:t xml:space="preserve"> לעניין פרישה אחר בעילת מצוה:</w:t>
      </w:r>
      <w:r w:rsidRPr="00351B7D">
        <w:rPr>
          <w:rFonts w:asciiTheme="minorBidi" w:hAnsiTheme="minorBidi"/>
          <w:sz w:val="16"/>
          <w:szCs w:val="16"/>
          <w:rtl/>
        </w:rPr>
        <w:t xml:space="preserve">  (הועתק מיו"ד סי' קצ"ג)</w:t>
      </w:r>
    </w:p>
    <w:p w14:paraId="36E69251" w14:textId="77777777" w:rsidR="008E16D0" w:rsidRPr="00351B7D" w:rsidRDefault="008E16D0" w:rsidP="00A8697F">
      <w:pPr>
        <w:pStyle w:val="ab"/>
        <w:numPr>
          <w:ilvl w:val="0"/>
          <w:numId w:val="98"/>
        </w:numPr>
        <w:jc w:val="both"/>
        <w:rPr>
          <w:rFonts w:asciiTheme="minorBidi" w:hAnsiTheme="minorBidi"/>
          <w:rtl/>
        </w:rPr>
      </w:pPr>
      <w:r w:rsidRPr="00351B7D">
        <w:rPr>
          <w:rFonts w:asciiTheme="minorBidi" w:hAnsiTheme="minorBidi"/>
          <w:rtl/>
        </w:rPr>
        <w:t xml:space="preserve">ראב"ד רשב"א </w:t>
      </w:r>
      <w:r w:rsidRPr="00351B7D">
        <w:rPr>
          <w:rFonts w:asciiTheme="minorBidi" w:hAnsiTheme="minorBidi"/>
          <w:sz w:val="16"/>
          <w:szCs w:val="16"/>
          <w:rtl/>
        </w:rPr>
        <w:t xml:space="preserve">(ת"ה ארוך וקצר ב"ז ש"ב) </w:t>
      </w:r>
      <w:r w:rsidRPr="00351B7D">
        <w:rPr>
          <w:rFonts w:asciiTheme="minorBidi" w:hAnsiTheme="minorBidi"/>
          <w:rtl/>
        </w:rPr>
        <w:t xml:space="preserve">ורא"ש </w:t>
      </w:r>
      <w:r w:rsidRPr="00351B7D">
        <w:rPr>
          <w:rFonts w:asciiTheme="minorBidi" w:hAnsiTheme="minorBidi"/>
          <w:sz w:val="16"/>
          <w:szCs w:val="16"/>
          <w:rtl/>
        </w:rPr>
        <w:t>(פ"י סי' א)</w:t>
      </w:r>
      <w:r w:rsidRPr="00351B7D">
        <w:rPr>
          <w:rFonts w:asciiTheme="minorBidi" w:hAnsiTheme="minorBidi"/>
          <w:rtl/>
        </w:rPr>
        <w:t xml:space="preserve">- בכל המקרים בועל בעילת מצוה ופורש, דהכי מוכח מרב ושמואל ומהא דאמר עולא ומהירושלמי. </w:t>
      </w:r>
      <w:r w:rsidRPr="00351B7D">
        <w:rPr>
          <w:rFonts w:asciiTheme="minorBidi" w:hAnsiTheme="minorBidi"/>
          <w:color w:val="E36C0A" w:themeColor="accent6" w:themeShade="BF"/>
          <w:rtl/>
        </w:rPr>
        <w:t>(וכ"פ בשו"ע)</w:t>
      </w:r>
    </w:p>
    <w:p w14:paraId="4687EC11" w14:textId="77777777" w:rsidR="008E16D0" w:rsidRPr="00351B7D" w:rsidRDefault="008E16D0" w:rsidP="00A8697F">
      <w:pPr>
        <w:pStyle w:val="ab"/>
        <w:numPr>
          <w:ilvl w:val="0"/>
          <w:numId w:val="98"/>
        </w:numPr>
        <w:jc w:val="both"/>
        <w:rPr>
          <w:rFonts w:asciiTheme="minorBidi" w:hAnsiTheme="minorBidi"/>
        </w:rPr>
      </w:pPr>
      <w:r w:rsidRPr="00351B7D">
        <w:rPr>
          <w:rFonts w:asciiTheme="minorBidi" w:hAnsiTheme="minorBidi"/>
          <w:rtl/>
        </w:rPr>
        <w:t>רי"ף</w:t>
      </w:r>
      <w:r w:rsidRPr="00351B7D">
        <w:rPr>
          <w:rStyle w:val="a7"/>
          <w:rFonts w:asciiTheme="minorBidi" w:hAnsiTheme="minorBidi"/>
          <w:rtl/>
        </w:rPr>
        <w:footnoteReference w:id="759"/>
      </w:r>
      <w:r w:rsidRPr="00351B7D">
        <w:rPr>
          <w:rFonts w:asciiTheme="minorBidi" w:hAnsiTheme="minorBidi"/>
          <w:rtl/>
        </w:rPr>
        <w:t xml:space="preserve"> ורמב"ם </w:t>
      </w:r>
      <w:r w:rsidRPr="00351B7D">
        <w:rPr>
          <w:rFonts w:asciiTheme="minorBidi" w:hAnsiTheme="minorBidi"/>
          <w:sz w:val="16"/>
          <w:szCs w:val="16"/>
          <w:rtl/>
        </w:rPr>
        <w:t>(פ"ה מהל' אי"ב הי"ט-כ"א)</w:t>
      </w:r>
      <w:r w:rsidRPr="00351B7D">
        <w:rPr>
          <w:rFonts w:asciiTheme="minorBidi" w:hAnsiTheme="minorBidi"/>
          <w:rtl/>
        </w:rPr>
        <w:t xml:space="preserve">- להלכה מחמירים רק בנערה שהגיע זמנה לראות וראתה, אבל כל השאר הלכה כבית הלל כפי שמובא במשנה, אבל למעשה הנהיגו בארץ ישראל להחמיר. </w:t>
      </w:r>
    </w:p>
    <w:p w14:paraId="67781C51" w14:textId="77777777" w:rsidR="008E16D0" w:rsidRPr="00351B7D" w:rsidRDefault="008E16D0" w:rsidP="008E16D0">
      <w:pPr>
        <w:jc w:val="both"/>
        <w:rPr>
          <w:rFonts w:asciiTheme="minorBidi" w:hAnsiTheme="minorBidi"/>
          <w:u w:val="single"/>
          <w:rtl/>
        </w:rPr>
      </w:pPr>
      <w:r w:rsidRPr="00351B7D">
        <w:rPr>
          <w:rFonts w:asciiTheme="minorBidi" w:hAnsiTheme="minorBidi"/>
          <w:u w:val="single"/>
          <w:rtl/>
        </w:rPr>
        <w:t>מה פירוש הא דאמרו בועל בעילת מצוה ופורש:</w:t>
      </w:r>
      <w:r w:rsidRPr="00351B7D">
        <w:rPr>
          <w:rFonts w:asciiTheme="minorBidi" w:hAnsiTheme="minorBidi"/>
          <w:sz w:val="16"/>
          <w:szCs w:val="16"/>
          <w:rtl/>
        </w:rPr>
        <w:t xml:space="preserve">   (הועתק מיו"ד סי' קצג)</w:t>
      </w:r>
    </w:p>
    <w:p w14:paraId="05E34EF5" w14:textId="77777777" w:rsidR="008E16D0" w:rsidRPr="00351B7D" w:rsidRDefault="008E16D0" w:rsidP="00A8697F">
      <w:pPr>
        <w:pStyle w:val="ab"/>
        <w:numPr>
          <w:ilvl w:val="0"/>
          <w:numId w:val="99"/>
        </w:numPr>
        <w:jc w:val="both"/>
        <w:rPr>
          <w:rFonts w:asciiTheme="minorBidi" w:hAnsiTheme="minorBidi"/>
        </w:rPr>
      </w:pPr>
      <w:r w:rsidRPr="00351B7D">
        <w:rPr>
          <w:rFonts w:asciiTheme="minorBidi" w:hAnsiTheme="minorBidi"/>
          <w:rtl/>
        </w:rPr>
        <w:t>רז"ה סה"ת רמב"ן סמ"ג רשב"א ר"ן וה"ה- גומר ביאתו ופורש אפילו בקישוי.</w:t>
      </w:r>
      <w:r w:rsidRPr="00351B7D">
        <w:rPr>
          <w:rFonts w:asciiTheme="minorBidi" w:hAnsiTheme="minorBidi"/>
          <w:color w:val="E36C0A" w:themeColor="accent6" w:themeShade="BF"/>
          <w:rtl/>
        </w:rPr>
        <w:t xml:space="preserve"> (וכ"פ בשו"ע)</w:t>
      </w:r>
    </w:p>
    <w:p w14:paraId="7C58C652" w14:textId="77777777" w:rsidR="008E16D0" w:rsidRPr="00351B7D" w:rsidRDefault="008E16D0" w:rsidP="00A8697F">
      <w:pPr>
        <w:pStyle w:val="ab"/>
        <w:numPr>
          <w:ilvl w:val="0"/>
          <w:numId w:val="99"/>
        </w:numPr>
        <w:jc w:val="both"/>
        <w:rPr>
          <w:rFonts w:asciiTheme="minorBidi" w:hAnsiTheme="minorBidi"/>
          <w:rtl/>
        </w:rPr>
      </w:pPr>
      <w:r w:rsidRPr="00351B7D">
        <w:rPr>
          <w:rFonts w:asciiTheme="minorBidi" w:hAnsiTheme="minorBidi"/>
          <w:rtl/>
        </w:rPr>
        <w:t>ראב"ד- גומר ביאתו ואז נועץ ציפורניו בקרקע ומחכה שהאבר ימות ואז פורש.</w:t>
      </w:r>
    </w:p>
    <w:p w14:paraId="74BD3644" w14:textId="77777777" w:rsidR="008E16D0" w:rsidRPr="00351B7D" w:rsidRDefault="008E16D0" w:rsidP="008E16D0">
      <w:pPr>
        <w:jc w:val="both"/>
        <w:rPr>
          <w:rFonts w:asciiTheme="minorBidi" w:hAnsiTheme="minorBidi"/>
          <w:rtl/>
        </w:rPr>
      </w:pPr>
      <w:r w:rsidRPr="00351B7D">
        <w:rPr>
          <w:rFonts w:asciiTheme="minorBidi" w:hAnsiTheme="minorBidi"/>
          <w:u w:val="single"/>
          <w:rtl/>
        </w:rPr>
        <w:t>האם צריך לפרוש גם כשלא ראתה דם:</w:t>
      </w:r>
      <w:r w:rsidRPr="00351B7D">
        <w:rPr>
          <w:rFonts w:asciiTheme="minorBidi" w:hAnsiTheme="minorBidi"/>
          <w:rtl/>
        </w:rPr>
        <w:t xml:space="preserve">  </w:t>
      </w:r>
      <w:r w:rsidRPr="00351B7D">
        <w:rPr>
          <w:rFonts w:asciiTheme="minorBidi" w:hAnsiTheme="minorBidi"/>
          <w:sz w:val="16"/>
          <w:szCs w:val="16"/>
          <w:rtl/>
        </w:rPr>
        <w:t>(הועתק מיו"ד סי' קצג)</w:t>
      </w:r>
    </w:p>
    <w:p w14:paraId="19D7BFEC" w14:textId="77777777" w:rsidR="008E16D0" w:rsidRPr="00351B7D" w:rsidRDefault="008E16D0" w:rsidP="00A8697F">
      <w:pPr>
        <w:pStyle w:val="ab"/>
        <w:numPr>
          <w:ilvl w:val="0"/>
          <w:numId w:val="101"/>
        </w:numPr>
        <w:jc w:val="both"/>
        <w:rPr>
          <w:rFonts w:asciiTheme="minorBidi" w:hAnsiTheme="minorBidi"/>
        </w:rPr>
      </w:pPr>
      <w:r w:rsidRPr="00351B7D">
        <w:rPr>
          <w:rFonts w:asciiTheme="minorBidi" w:hAnsiTheme="minorBidi"/>
          <w:rtl/>
        </w:rPr>
        <w:t>רוקח רמב"ן מהר"ם מרדכי רשב"א רא"ש ור"ן- צריך לפרוש, שמא יצא טיפת דם כחרדל ושכ"ז חיפהו.</w:t>
      </w:r>
      <w:r w:rsidRPr="00351B7D">
        <w:rPr>
          <w:rFonts w:asciiTheme="minorBidi" w:hAnsiTheme="minorBidi"/>
          <w:color w:val="E36C0A" w:themeColor="accent6" w:themeShade="BF"/>
          <w:rtl/>
        </w:rPr>
        <w:t xml:space="preserve"> (וכ"פ בשו"ע)</w:t>
      </w:r>
    </w:p>
    <w:p w14:paraId="04EA85E6" w14:textId="77777777" w:rsidR="008E16D0" w:rsidRPr="00351B7D" w:rsidRDefault="008E16D0" w:rsidP="00A8697F">
      <w:pPr>
        <w:pStyle w:val="ab"/>
        <w:numPr>
          <w:ilvl w:val="0"/>
          <w:numId w:val="101"/>
        </w:numPr>
        <w:jc w:val="both"/>
        <w:rPr>
          <w:rFonts w:asciiTheme="minorBidi" w:hAnsiTheme="minorBidi"/>
        </w:rPr>
      </w:pPr>
      <w:r w:rsidRPr="00351B7D">
        <w:rPr>
          <w:rFonts w:asciiTheme="minorBidi" w:hAnsiTheme="minorBidi"/>
          <w:rtl/>
        </w:rPr>
        <w:t>ראב"ד- מסתבר להקל</w:t>
      </w:r>
      <w:r w:rsidRPr="00351B7D">
        <w:rPr>
          <w:rStyle w:val="a7"/>
          <w:rFonts w:asciiTheme="minorBidi" w:hAnsiTheme="minorBidi"/>
          <w:rtl/>
        </w:rPr>
        <w:footnoteReference w:id="760"/>
      </w:r>
      <w:r w:rsidRPr="00351B7D">
        <w:rPr>
          <w:rFonts w:asciiTheme="minorBidi" w:hAnsiTheme="minorBidi"/>
          <w:rtl/>
        </w:rPr>
        <w:t>.</w:t>
      </w:r>
    </w:p>
    <w:p w14:paraId="341F6EC5" w14:textId="77777777" w:rsidR="008E16D0" w:rsidRPr="00351B7D" w:rsidRDefault="008E16D0" w:rsidP="008E16D0">
      <w:pPr>
        <w:jc w:val="both"/>
        <w:rPr>
          <w:rFonts w:asciiTheme="minorBidi" w:hAnsiTheme="minorBidi"/>
          <w:rtl/>
        </w:rPr>
      </w:pPr>
      <w:r w:rsidRPr="00351B7D">
        <w:rPr>
          <w:rFonts w:asciiTheme="minorBidi" w:hAnsiTheme="minorBidi"/>
          <w:u w:val="single"/>
          <w:rtl/>
        </w:rPr>
        <w:lastRenderedPageBreak/>
        <w:t>מה הטעם שהחמירו בדם בתולים</w:t>
      </w:r>
      <w:r w:rsidRPr="00351B7D">
        <w:rPr>
          <w:rStyle w:val="a7"/>
          <w:rFonts w:asciiTheme="minorBidi" w:hAnsiTheme="minorBidi"/>
          <w:u w:val="single"/>
          <w:rtl/>
        </w:rPr>
        <w:footnoteReference w:id="761"/>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sz w:val="16"/>
          <w:szCs w:val="16"/>
          <w:rtl/>
        </w:rPr>
        <w:t xml:space="preserve"> (הועתק מיו"ד סי' קצג)</w:t>
      </w:r>
    </w:p>
    <w:p w14:paraId="34E94778" w14:textId="77777777" w:rsidR="008E16D0" w:rsidRPr="00351B7D" w:rsidRDefault="008E16D0" w:rsidP="00A8697F">
      <w:pPr>
        <w:pStyle w:val="ab"/>
        <w:numPr>
          <w:ilvl w:val="0"/>
          <w:numId w:val="100"/>
        </w:numPr>
        <w:jc w:val="both"/>
        <w:rPr>
          <w:rFonts w:asciiTheme="minorBidi" w:hAnsiTheme="minorBidi"/>
        </w:rPr>
      </w:pPr>
      <w:r w:rsidRPr="00351B7D">
        <w:rPr>
          <w:rFonts w:asciiTheme="minorBidi" w:hAnsiTheme="minorBidi"/>
          <w:rtl/>
        </w:rPr>
        <w:t xml:space="preserve">רב האי גאון </w:t>
      </w:r>
      <w:r w:rsidRPr="00351B7D">
        <w:rPr>
          <w:rFonts w:asciiTheme="minorBidi" w:hAnsiTheme="minorBidi"/>
          <w:sz w:val="16"/>
          <w:szCs w:val="16"/>
          <w:rtl/>
        </w:rPr>
        <w:t>(תשובות הגאונים שערי תשובה סי' קסח)</w:t>
      </w:r>
      <w:r w:rsidRPr="00351B7D">
        <w:rPr>
          <w:rFonts w:asciiTheme="minorBidi" w:hAnsiTheme="minorBidi"/>
          <w:rtl/>
        </w:rPr>
        <w:t>- "כשהיא נבעלת בעילה ראשונה אוחזת אותה רעדה וחלחלה ובזמן שהאשה מתחתחלת היא פורסת נדה".</w:t>
      </w:r>
    </w:p>
    <w:p w14:paraId="7467A081" w14:textId="77777777" w:rsidR="008E16D0" w:rsidRPr="00351B7D" w:rsidRDefault="008E16D0" w:rsidP="00A8697F">
      <w:pPr>
        <w:pStyle w:val="ab"/>
        <w:numPr>
          <w:ilvl w:val="0"/>
          <w:numId w:val="100"/>
        </w:numPr>
        <w:jc w:val="both"/>
        <w:rPr>
          <w:rFonts w:asciiTheme="minorBidi" w:hAnsiTheme="minorBidi"/>
          <w:rtl/>
        </w:rPr>
      </w:pPr>
      <w:r w:rsidRPr="00351B7D">
        <w:rPr>
          <w:rFonts w:asciiTheme="minorBidi" w:hAnsiTheme="minorBidi"/>
          <w:rtl/>
        </w:rPr>
        <w:t>רשב"א- משום דאיכא למיחש לדשמואל דאמר יכולני לבעול כמה בעילות בלא דם</w:t>
      </w:r>
      <w:r w:rsidRPr="00351B7D">
        <w:rPr>
          <w:rStyle w:val="a7"/>
          <w:rFonts w:asciiTheme="minorBidi" w:hAnsiTheme="minorBidi"/>
          <w:rtl/>
        </w:rPr>
        <w:footnoteReference w:id="762"/>
      </w:r>
      <w:r w:rsidRPr="00351B7D">
        <w:rPr>
          <w:rFonts w:asciiTheme="minorBidi" w:hAnsiTheme="minorBidi"/>
          <w:rtl/>
        </w:rPr>
        <w:t>, ועוד דבבתולה יש להחמיר לפי שאינה אלא לשעה ופעם אחת אבל היכא שאפשר שתאסר על ידה לבעלה לא החמירו</w:t>
      </w:r>
      <w:r w:rsidRPr="00351B7D">
        <w:rPr>
          <w:rStyle w:val="a7"/>
          <w:rFonts w:asciiTheme="minorBidi" w:hAnsiTheme="minorBidi"/>
          <w:rtl/>
        </w:rPr>
        <w:footnoteReference w:id="763"/>
      </w:r>
      <w:r w:rsidRPr="00351B7D">
        <w:rPr>
          <w:rFonts w:asciiTheme="minorBidi" w:hAnsiTheme="minorBidi"/>
          <w:rtl/>
        </w:rPr>
        <w:t>.</w:t>
      </w:r>
    </w:p>
    <w:p w14:paraId="468573DE" w14:textId="77777777" w:rsidR="008E16D0" w:rsidRPr="00351B7D" w:rsidRDefault="008E16D0" w:rsidP="00A8697F">
      <w:pPr>
        <w:pStyle w:val="ab"/>
        <w:numPr>
          <w:ilvl w:val="0"/>
          <w:numId w:val="100"/>
        </w:numPr>
        <w:jc w:val="both"/>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(כתובות סי' ט, נדה פ"י סי' א)</w:t>
      </w:r>
      <w:r w:rsidRPr="00351B7D">
        <w:rPr>
          <w:rFonts w:asciiTheme="minorBidi" w:hAnsiTheme="minorBidi"/>
          <w:rtl/>
        </w:rPr>
        <w:t>- שמא נתערב דם נדה בתוך דם בתולים, וכן משום דבעילת מצוה לכל היא מסורה ואין הכל בקיאין בחילוק שיש בין שלא הגיע זמנה לראות ובין הגיע זמנה ובין בוגרת ובין ראתה ובין שלא ראתה, ועוד משום דחתן יצרו תוקפו, הילכך הסכימו רבותינו להשוות כולן וליתן להן דין חומרא שבחומרות דהיינו בוגרת שראתה דנותנין לה בעילת מצוה בלבד</w:t>
      </w:r>
      <w:r w:rsidRPr="00351B7D">
        <w:rPr>
          <w:rStyle w:val="a7"/>
          <w:rFonts w:asciiTheme="minorBidi" w:hAnsiTheme="minorBidi"/>
          <w:rtl/>
        </w:rPr>
        <w:footnoteReference w:id="764"/>
      </w:r>
      <w:r w:rsidRPr="00351B7D">
        <w:rPr>
          <w:rFonts w:asciiTheme="minorBidi" w:hAnsiTheme="minorBidi"/>
          <w:rtl/>
        </w:rPr>
        <w:t>.</w:t>
      </w:r>
    </w:p>
    <w:p w14:paraId="08BAE0FF" w14:textId="77777777" w:rsidR="008E16D0" w:rsidRPr="00351B7D" w:rsidRDefault="008E16D0" w:rsidP="008E16D0">
      <w:pPr>
        <w:jc w:val="both"/>
        <w:rPr>
          <w:rFonts w:asciiTheme="minorBidi" w:hAnsiTheme="minorBidi"/>
          <w:rtl/>
        </w:rPr>
      </w:pPr>
      <w:r w:rsidRPr="00351B7D">
        <w:rPr>
          <w:rFonts w:asciiTheme="minorBidi" w:hAnsiTheme="minorBidi"/>
          <w:u w:val="single"/>
          <w:rtl/>
        </w:rPr>
        <w:t>האם כלה בתולה צריכה לחכות ג' עונות אחרי בעילת מצוה</w:t>
      </w:r>
      <w:r w:rsidRPr="00351B7D">
        <w:rPr>
          <w:rFonts w:asciiTheme="minorBidi" w:hAnsiTheme="minorBidi"/>
          <w:sz w:val="16"/>
          <w:szCs w:val="16"/>
          <w:u w:val="single"/>
          <w:rtl/>
        </w:rPr>
        <w:t xml:space="preserve"> (כדי שיצא כל השכ"ז)</w:t>
      </w:r>
      <w:r w:rsidRPr="00351B7D">
        <w:rPr>
          <w:rFonts w:asciiTheme="minorBidi" w:hAnsiTheme="minorBidi"/>
          <w:u w:val="single"/>
          <w:rtl/>
        </w:rPr>
        <w:t>:</w:t>
      </w:r>
      <w:r w:rsidRPr="00351B7D">
        <w:rPr>
          <w:rFonts w:asciiTheme="minorBidi" w:hAnsiTheme="minorBidi"/>
          <w:rtl/>
        </w:rPr>
        <w:t xml:space="preserve">  </w:t>
      </w:r>
      <w:r w:rsidRPr="00351B7D">
        <w:rPr>
          <w:rFonts w:asciiTheme="minorBidi" w:hAnsiTheme="minorBidi"/>
          <w:sz w:val="16"/>
          <w:szCs w:val="16"/>
          <w:rtl/>
        </w:rPr>
        <w:t>(הועתק מיו"ד סי' קצג)</w:t>
      </w:r>
    </w:p>
    <w:p w14:paraId="045645D8" w14:textId="77777777" w:rsidR="008E16D0" w:rsidRPr="00351B7D" w:rsidRDefault="008E16D0" w:rsidP="00A8697F">
      <w:pPr>
        <w:pStyle w:val="ab"/>
        <w:numPr>
          <w:ilvl w:val="0"/>
          <w:numId w:val="102"/>
        </w:numPr>
        <w:jc w:val="both"/>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הב"י</w:t>
      </w:r>
      <w:r w:rsidRPr="00351B7D">
        <w:rPr>
          <w:rFonts w:asciiTheme="minorBidi" w:hAnsiTheme="minorBidi"/>
          <w:rtl/>
        </w:rPr>
        <w:t>) סה"ת וסמ"ג- צריכה לחכות.</w:t>
      </w:r>
      <w:r w:rsidRPr="00351B7D">
        <w:rPr>
          <w:rFonts w:asciiTheme="minorBidi" w:hAnsiTheme="minorBidi"/>
          <w:color w:val="E36C0A" w:themeColor="accent6" w:themeShade="BF"/>
          <w:rtl/>
        </w:rPr>
        <w:t xml:space="preserve"> (וכ"פ בשו"ע)</w:t>
      </w:r>
    </w:p>
    <w:p w14:paraId="7CC23393" w14:textId="77777777" w:rsidR="008E16D0" w:rsidRPr="00351B7D" w:rsidRDefault="008E16D0" w:rsidP="00A8697F">
      <w:pPr>
        <w:pStyle w:val="ab"/>
        <w:numPr>
          <w:ilvl w:val="0"/>
          <w:numId w:val="102"/>
        </w:numPr>
        <w:jc w:val="both"/>
        <w:rPr>
          <w:rFonts w:asciiTheme="minorBidi" w:hAnsiTheme="minorBidi"/>
          <w:rtl/>
        </w:rPr>
      </w:pPr>
      <w:r w:rsidRPr="00351B7D">
        <w:rPr>
          <w:rFonts w:asciiTheme="minorBidi" w:hAnsiTheme="minorBidi"/>
          <w:rtl/>
        </w:rPr>
        <w:t xml:space="preserve">(רמב"ם </w:t>
      </w:r>
      <w:r w:rsidRPr="00351B7D">
        <w:rPr>
          <w:rFonts w:asciiTheme="minorBidi" w:hAnsiTheme="minorBidi"/>
          <w:sz w:val="16"/>
          <w:szCs w:val="16"/>
          <w:rtl/>
        </w:rPr>
        <w:t>להב' ההגה"מ</w:t>
      </w:r>
      <w:r w:rsidRPr="00351B7D">
        <w:rPr>
          <w:rStyle w:val="a7"/>
          <w:rFonts w:asciiTheme="minorBidi" w:hAnsiTheme="minorBidi"/>
          <w:rtl/>
        </w:rPr>
        <w:footnoteReference w:id="765"/>
      </w:r>
      <w:r w:rsidRPr="00351B7D">
        <w:rPr>
          <w:rFonts w:asciiTheme="minorBidi" w:hAnsiTheme="minorBidi"/>
          <w:rtl/>
        </w:rPr>
        <w:t>) ורמב"ן- אינה צריכה, ויכולה להתחיל לספור ז' נקיים אחרי ההפסק טהרה.</w:t>
      </w:r>
    </w:p>
    <w:p w14:paraId="414192E0"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AC7A9D" w14:textId="77777777" w:rsidR="008E16D0" w:rsidRPr="00351B7D" w:rsidRDefault="008E16D0" w:rsidP="008E16D0">
      <w:pPr>
        <w:rPr>
          <w:rFonts w:asciiTheme="minorBidi" w:hAnsiTheme="minorBidi"/>
          <w:color w:val="000000"/>
          <w:rtl/>
        </w:rPr>
      </w:pPr>
      <w:r w:rsidRPr="00351B7D">
        <w:rPr>
          <w:rFonts w:asciiTheme="minorBidi" w:hAnsiTheme="minorBidi"/>
          <w:rtl/>
        </w:rPr>
        <w:t>מותר לבעול בתולה בשבת</w:t>
      </w:r>
      <w:r w:rsidRPr="00351B7D">
        <w:rPr>
          <w:rStyle w:val="a7"/>
          <w:rFonts w:asciiTheme="minorBidi" w:hAnsiTheme="minorBidi"/>
          <w:color w:val="000000"/>
          <w:rtl/>
        </w:rPr>
        <w:footnoteReference w:id="766"/>
      </w:r>
      <w:r w:rsidRPr="00351B7D">
        <w:rPr>
          <w:rFonts w:asciiTheme="minorBidi" w:hAnsiTheme="minorBidi"/>
          <w:rtl/>
        </w:rPr>
        <w:t>, הבועל את הבתולה כיון שבעל בעילת מצוה פורש מיד אפילו היא קטנה שלא הגיע זמנה לראות ולא ראתה, ומיהו אותה בעילה גומר כדרכו באבר חי, ואפילו בדקה ולא מצאה דם טמאה שמא ראתה טפת דם כחרדל וחפהו שכבת זרע</w:t>
      </w:r>
      <w:r w:rsidRPr="00351B7D">
        <w:rPr>
          <w:rStyle w:val="a7"/>
          <w:rFonts w:asciiTheme="minorBidi" w:hAnsiTheme="minorBidi"/>
          <w:color w:val="000000"/>
          <w:rtl/>
        </w:rPr>
        <w:footnoteReference w:id="767"/>
      </w:r>
      <w:r w:rsidRPr="00351B7D">
        <w:rPr>
          <w:rFonts w:asciiTheme="minorBidi" w:hAnsiTheme="minorBidi"/>
          <w:rtl/>
        </w:rPr>
        <w:t>, וצריכה שתפסק בטהרה ותבדוק כל שבעה, ולא תתחיל לבדוק</w:t>
      </w:r>
      <w:r w:rsidRPr="00351B7D">
        <w:rPr>
          <w:rStyle w:val="a7"/>
          <w:rFonts w:asciiTheme="minorBidi" w:hAnsiTheme="minorBidi"/>
          <w:color w:val="000000"/>
          <w:rtl/>
        </w:rPr>
        <w:footnoteReference w:id="768"/>
      </w:r>
      <w:r w:rsidRPr="00351B7D">
        <w:rPr>
          <w:rFonts w:asciiTheme="minorBidi" w:hAnsiTheme="minorBidi"/>
          <w:rtl/>
        </w:rPr>
        <w:t xml:space="preserve"> עד יום חמישי לשימושה</w:t>
      </w:r>
      <w:r w:rsidRPr="00351B7D">
        <w:rPr>
          <w:rStyle w:val="a7"/>
          <w:rFonts w:asciiTheme="minorBidi" w:hAnsiTheme="minorBidi"/>
          <w:color w:val="000000"/>
          <w:rtl/>
        </w:rPr>
        <w:footnoteReference w:id="769"/>
      </w:r>
      <w:r w:rsidRPr="00351B7D">
        <w:rPr>
          <w:rFonts w:asciiTheme="minorBidi" w:hAnsiTheme="minorBidi"/>
          <w:color w:val="000000"/>
          <w:rtl/>
        </w:rPr>
        <w:t xml:space="preserve"> כשאר אשה ששמשה ואחר כך ראתה, ונוהג עמה כשאר נדה לענין הרחקה אלא שנדה גמורה אסור לו לישן</w:t>
      </w:r>
      <w:r w:rsidRPr="00351B7D">
        <w:rPr>
          <w:rStyle w:val="a7"/>
          <w:rFonts w:asciiTheme="minorBidi" w:hAnsiTheme="minorBidi"/>
          <w:color w:val="000000"/>
          <w:rtl/>
        </w:rPr>
        <w:footnoteReference w:id="770"/>
      </w:r>
      <w:r w:rsidRPr="00351B7D">
        <w:rPr>
          <w:rFonts w:asciiTheme="minorBidi" w:hAnsiTheme="minorBidi"/>
          <w:rtl/>
        </w:rPr>
        <w:t xml:space="preserve"> על מטתה אפילו כשאינה במטה והכלה מותר לו לישן באותו מטה לאחר שעמדה מאצלו אפילו בסדין שהדם עליו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(ועיין ביו"ד סי' קצג). </w:t>
      </w:r>
      <w:r w:rsidRPr="00351B7D">
        <w:rPr>
          <w:rFonts w:asciiTheme="minorBidi" w:hAnsiTheme="minorBidi"/>
          <w:color w:val="000000"/>
          <w:rtl/>
        </w:rPr>
        <w:t xml:space="preserve"> </w:t>
      </w:r>
    </w:p>
    <w:p w14:paraId="72E88757"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לרמ"א דפסק </w:t>
      </w:r>
      <w:r w:rsidRPr="00351B7D">
        <w:rPr>
          <w:rFonts w:asciiTheme="minorBidi" w:hAnsiTheme="minorBidi"/>
          <w:sz w:val="16"/>
          <w:szCs w:val="16"/>
          <w:u w:val="single"/>
          <w:rtl/>
        </w:rPr>
        <w:t xml:space="preserve">(ביו"ד סי' קצו ס"י) </w:t>
      </w:r>
      <w:r w:rsidRPr="00351B7D">
        <w:rPr>
          <w:rFonts w:asciiTheme="minorBidi" w:hAnsiTheme="minorBidi"/>
          <w:u w:val="single"/>
          <w:rtl/>
        </w:rPr>
        <w:t>דאין לתלות בג' ימים ראשונים כתם שהוא יותר מכגריס, האם אפשר להקל בכלה:</w:t>
      </w:r>
    </w:p>
    <w:p w14:paraId="5D9CF82F" w14:textId="77777777" w:rsidR="008E16D0" w:rsidRPr="00351B7D" w:rsidRDefault="008E16D0" w:rsidP="00A8697F">
      <w:pPr>
        <w:pStyle w:val="ab"/>
        <w:numPr>
          <w:ilvl w:val="0"/>
          <w:numId w:val="103"/>
        </w:numPr>
        <w:rPr>
          <w:rFonts w:asciiTheme="minorBidi" w:hAnsiTheme="minorBidi"/>
        </w:rPr>
      </w:pPr>
      <w:r w:rsidRPr="00351B7D">
        <w:rPr>
          <w:rFonts w:asciiTheme="minorBidi" w:hAnsiTheme="minorBidi"/>
          <w:rtl/>
        </w:rPr>
        <w:t xml:space="preserve">מהר"ל צונש (ב"ש </w:t>
      </w:r>
      <w:r w:rsidRPr="00351B7D">
        <w:rPr>
          <w:rFonts w:asciiTheme="minorBidi" w:hAnsiTheme="minorBidi"/>
          <w:sz w:val="16"/>
          <w:szCs w:val="16"/>
          <w:rtl/>
        </w:rPr>
        <w:t>להב' הבאה"ט</w:t>
      </w:r>
      <w:r w:rsidRPr="00351B7D">
        <w:rPr>
          <w:rFonts w:asciiTheme="minorBidi" w:hAnsiTheme="minorBidi"/>
          <w:rtl/>
        </w:rPr>
        <w:t>) ובאה"ט</w:t>
      </w:r>
      <w:r w:rsidRPr="00351B7D">
        <w:rPr>
          <w:rStyle w:val="a7"/>
          <w:rFonts w:asciiTheme="minorBidi" w:hAnsiTheme="minorBidi"/>
          <w:rtl/>
        </w:rPr>
        <w:footnoteReference w:id="771"/>
      </w:r>
      <w:r w:rsidRPr="00351B7D">
        <w:rPr>
          <w:rFonts w:asciiTheme="minorBidi" w:hAnsiTheme="minorBidi"/>
          <w:rtl/>
        </w:rPr>
        <w:t xml:space="preserve">- גם כלה </w:t>
      </w:r>
      <w:r w:rsidRPr="00351B7D">
        <w:rPr>
          <w:rFonts w:asciiTheme="minorBidi" w:hAnsiTheme="minorBidi"/>
          <w:sz w:val="16"/>
          <w:szCs w:val="16"/>
          <w:rtl/>
        </w:rPr>
        <w:t>(שנטמאה מחמת בעילת מצוה)</w:t>
      </w:r>
      <w:r w:rsidRPr="00351B7D">
        <w:rPr>
          <w:rFonts w:asciiTheme="minorBidi" w:hAnsiTheme="minorBidi"/>
          <w:rtl/>
        </w:rPr>
        <w:t xml:space="preserve"> אינה תולה בג' ימים ראשונים.</w:t>
      </w:r>
    </w:p>
    <w:p w14:paraId="69EA0C59" w14:textId="77777777" w:rsidR="008E16D0" w:rsidRPr="00351B7D" w:rsidRDefault="008E16D0" w:rsidP="00A8697F">
      <w:pPr>
        <w:pStyle w:val="ab"/>
        <w:numPr>
          <w:ilvl w:val="0"/>
          <w:numId w:val="103"/>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להב' הפת"ש</w:t>
      </w:r>
      <w:r w:rsidRPr="00351B7D">
        <w:rPr>
          <w:rFonts w:asciiTheme="minorBidi" w:hAnsiTheme="minorBidi"/>
          <w:rtl/>
        </w:rPr>
        <w:t>) ודגמ"ר</w:t>
      </w:r>
      <w:r w:rsidRPr="00351B7D">
        <w:rPr>
          <w:rFonts w:asciiTheme="minorBidi" w:hAnsiTheme="minorBidi"/>
          <w:sz w:val="16"/>
          <w:szCs w:val="16"/>
          <w:rtl/>
        </w:rPr>
        <w:t xml:space="preserve"> (הובא בפת"ש סי' קצו סק"ח)</w:t>
      </w:r>
      <w:r w:rsidRPr="00351B7D">
        <w:rPr>
          <w:rFonts w:asciiTheme="minorBidi" w:hAnsiTheme="minorBidi"/>
          <w:rtl/>
        </w:rPr>
        <w:t xml:space="preserve">- יש להקל בבעלת כתם </w:t>
      </w:r>
      <w:r w:rsidRPr="00351B7D">
        <w:rPr>
          <w:rFonts w:asciiTheme="minorBidi" w:hAnsiTheme="minorBidi"/>
          <w:sz w:val="16"/>
          <w:szCs w:val="16"/>
          <w:rtl/>
        </w:rPr>
        <w:t>(היינו כלה דידן)</w:t>
      </w:r>
      <w:r w:rsidRPr="00351B7D">
        <w:rPr>
          <w:rFonts w:asciiTheme="minorBidi" w:hAnsiTheme="minorBidi"/>
          <w:rtl/>
        </w:rPr>
        <w:t xml:space="preserve">, וק"ו שיש להקל בתבעוה להנשא ומצאה כתם בג"י ראשונים. </w:t>
      </w:r>
    </w:p>
    <w:p w14:paraId="52E8940A" w14:textId="77777777" w:rsidR="008E16D0" w:rsidRPr="00351B7D" w:rsidRDefault="008E16D0" w:rsidP="00A8697F">
      <w:pPr>
        <w:pStyle w:val="ab"/>
        <w:numPr>
          <w:ilvl w:val="0"/>
          <w:numId w:val="103"/>
        </w:numPr>
        <w:rPr>
          <w:rFonts w:asciiTheme="minorBidi" w:hAnsiTheme="minorBidi"/>
        </w:rPr>
      </w:pPr>
      <w:r w:rsidRPr="00351B7D">
        <w:rPr>
          <w:rFonts w:asciiTheme="minorBidi" w:hAnsiTheme="minorBidi"/>
          <w:rtl/>
        </w:rPr>
        <w:t xml:space="preserve">המקנה </w:t>
      </w:r>
      <w:r w:rsidRPr="00351B7D">
        <w:rPr>
          <w:rFonts w:asciiTheme="minorBidi" w:hAnsiTheme="minorBidi"/>
          <w:sz w:val="16"/>
          <w:szCs w:val="16"/>
          <w:rtl/>
        </w:rPr>
        <w:t>(קו"א)</w:t>
      </w:r>
      <w:r w:rsidRPr="00351B7D">
        <w:rPr>
          <w:rFonts w:asciiTheme="minorBidi" w:hAnsiTheme="minorBidi"/>
          <w:rtl/>
        </w:rPr>
        <w:t>- אין להחמיר בבעלת כתם, אבל בדם בתולים ויושבת על דם טוהר אפי' אם יש לה מכה שידוע שמוציא דם אין לה לתלות אלא בפחות מכגריס שא"א ליזהר, ומיהו בתבעוה לינשא נראה דיש להקל לתלות הכתם בדבר אחר אף בגי"ר כיון דאינה מוחזקת בדמים כלל והוא רק חשש דרבנן</w:t>
      </w:r>
      <w:r w:rsidRPr="00351B7D">
        <w:rPr>
          <w:rStyle w:val="a7"/>
          <w:rFonts w:asciiTheme="minorBidi" w:hAnsiTheme="minorBidi"/>
          <w:rtl/>
        </w:rPr>
        <w:footnoteReference w:id="772"/>
      </w:r>
      <w:r w:rsidRPr="00351B7D">
        <w:rPr>
          <w:rFonts w:asciiTheme="minorBidi" w:hAnsiTheme="minorBidi"/>
          <w:rtl/>
        </w:rPr>
        <w:t>.</w:t>
      </w:r>
    </w:p>
    <w:p w14:paraId="3F841814" w14:textId="77777777" w:rsidR="008E16D0" w:rsidRPr="00351B7D" w:rsidRDefault="008E16D0" w:rsidP="008E16D0">
      <w:pPr>
        <w:rPr>
          <w:rFonts w:asciiTheme="minorBidi" w:hAnsiTheme="minorBidi"/>
        </w:rPr>
      </w:pPr>
    </w:p>
    <w:p w14:paraId="499C85F1" w14:textId="77777777" w:rsidR="008E16D0" w:rsidRPr="00351B7D" w:rsidRDefault="008E16D0" w:rsidP="008E16D0">
      <w:pPr>
        <w:pStyle w:val="2"/>
        <w:rPr>
          <w:rFonts w:asciiTheme="minorBidi" w:hAnsiTheme="minorBidi"/>
          <w:rtl/>
        </w:rPr>
      </w:pPr>
      <w:r w:rsidRPr="00351B7D">
        <w:rPr>
          <w:rFonts w:asciiTheme="minorBidi" w:hAnsiTheme="minorBidi"/>
          <w:rtl/>
        </w:rPr>
        <w:lastRenderedPageBreak/>
        <w:t>סעיף ב: ברכת בתולים</w:t>
      </w:r>
      <w:r w:rsidRPr="00351B7D">
        <w:rPr>
          <w:rFonts w:asciiTheme="minorBidi" w:hAnsiTheme="minorBidi"/>
          <w:sz w:val="20"/>
          <w:szCs w:val="20"/>
          <w:rtl/>
        </w:rPr>
        <w:t xml:space="preserve"> </w:t>
      </w:r>
      <w:r w:rsidRPr="00351B7D">
        <w:rPr>
          <w:rFonts w:asciiTheme="minorBidi" w:hAnsiTheme="minorBidi"/>
          <w:sz w:val="18"/>
          <w:szCs w:val="18"/>
          <w:rtl/>
        </w:rPr>
        <w:t>(אשר צג אגוז וכו')</w:t>
      </w:r>
      <w:r w:rsidRPr="00351B7D">
        <w:rPr>
          <w:rFonts w:asciiTheme="minorBidi" w:hAnsiTheme="minorBidi"/>
          <w:rtl/>
        </w:rPr>
        <w:t>.</w:t>
      </w:r>
    </w:p>
    <w:p w14:paraId="14CB3DC1" w14:textId="77777777" w:rsidR="008E16D0" w:rsidRPr="00351B7D" w:rsidRDefault="008E16D0" w:rsidP="008E16D0">
      <w:pPr>
        <w:rPr>
          <w:rFonts w:asciiTheme="minorBidi" w:hAnsiTheme="minorBidi"/>
          <w:u w:val="single"/>
          <w:rtl/>
        </w:rPr>
      </w:pPr>
      <w:r w:rsidRPr="00351B7D">
        <w:rPr>
          <w:rFonts w:asciiTheme="minorBidi" w:hAnsiTheme="minorBidi"/>
          <w:u w:val="single"/>
          <w:rtl/>
        </w:rPr>
        <w:t>ברכת בתולים:</w:t>
      </w:r>
    </w:p>
    <w:p w14:paraId="540CC85D" w14:textId="77777777" w:rsidR="008E16D0" w:rsidRPr="00351B7D" w:rsidRDefault="008E16D0" w:rsidP="00A8697F">
      <w:pPr>
        <w:pStyle w:val="ab"/>
        <w:numPr>
          <w:ilvl w:val="0"/>
          <w:numId w:val="104"/>
        </w:numPr>
        <w:rPr>
          <w:rFonts w:asciiTheme="minorBidi" w:hAnsiTheme="minorBidi"/>
        </w:rPr>
      </w:pPr>
      <w:r w:rsidRPr="00351B7D">
        <w:rPr>
          <w:rFonts w:asciiTheme="minorBidi" w:hAnsiTheme="minorBidi"/>
          <w:rtl/>
        </w:rPr>
        <w:t>בה"ג רב עמרם גאון ורב אחאי גאון</w:t>
      </w:r>
      <w:r w:rsidRPr="00351B7D">
        <w:rPr>
          <w:rStyle w:val="a7"/>
          <w:rFonts w:asciiTheme="minorBidi" w:hAnsiTheme="minorBidi"/>
          <w:rtl/>
        </w:rPr>
        <w:footnoteReference w:id="773"/>
      </w:r>
      <w:r w:rsidRPr="00351B7D">
        <w:rPr>
          <w:rFonts w:asciiTheme="minorBidi" w:hAnsiTheme="minorBidi"/>
          <w:rtl/>
        </w:rPr>
        <w:t>- "כד מפיק ליה לסודרא מחייב לברוכי</w:t>
      </w:r>
      <w:r w:rsidRPr="00351B7D">
        <w:rPr>
          <w:rStyle w:val="a7"/>
          <w:rFonts w:asciiTheme="minorBidi" w:hAnsiTheme="minorBidi"/>
          <w:rtl/>
        </w:rPr>
        <w:footnoteReference w:id="774"/>
      </w:r>
      <w:r w:rsidRPr="00351B7D">
        <w:rPr>
          <w:rFonts w:asciiTheme="minorBidi" w:hAnsiTheme="minorBidi"/>
          <w:rtl/>
        </w:rPr>
        <w:t>, אי איכא כסא ואסא מברך עילויהו בפה"ג ועצי בשמים, והדר בא"י אמ"ה אשר צג אגוז בגן עדן שושנת העמקים בל ימשול זר במעין חתום על כן איילת אהבים שמרה בטהרה חוק לא הפרה ברוך הבוחר בזרעו של אברהם".</w:t>
      </w:r>
    </w:p>
    <w:p w14:paraId="096F7AEB" w14:textId="77777777" w:rsidR="008E16D0" w:rsidRPr="00351B7D" w:rsidRDefault="008E16D0" w:rsidP="00A8697F">
      <w:pPr>
        <w:pStyle w:val="ab"/>
        <w:numPr>
          <w:ilvl w:val="0"/>
          <w:numId w:val="104"/>
        </w:numPr>
        <w:rPr>
          <w:rFonts w:asciiTheme="minorBidi" w:hAnsiTheme="minorBidi"/>
        </w:rPr>
      </w:pPr>
      <w:r w:rsidRPr="00351B7D">
        <w:rPr>
          <w:rFonts w:asciiTheme="minorBidi" w:hAnsiTheme="minorBidi"/>
          <w:rtl/>
        </w:rPr>
        <w:t>רש"י א"ח ואבודרהם</w:t>
      </w:r>
      <w:r w:rsidRPr="00351B7D">
        <w:rPr>
          <w:rStyle w:val="a7"/>
          <w:rFonts w:asciiTheme="minorBidi" w:hAnsiTheme="minorBidi"/>
          <w:rtl/>
        </w:rPr>
        <w:footnoteReference w:id="775"/>
      </w:r>
      <w:r w:rsidRPr="00351B7D">
        <w:rPr>
          <w:rFonts w:asciiTheme="minorBidi" w:hAnsiTheme="minorBidi"/>
          <w:rtl/>
        </w:rPr>
        <w:t>- "הרואה דם בתולים אומר בא"י אמ"ה אשר צג</w:t>
      </w:r>
      <w:r w:rsidRPr="00351B7D">
        <w:rPr>
          <w:rStyle w:val="a7"/>
          <w:rFonts w:asciiTheme="minorBidi" w:hAnsiTheme="minorBidi"/>
          <w:rtl/>
        </w:rPr>
        <w:footnoteReference w:id="776"/>
      </w:r>
      <w:r w:rsidRPr="00351B7D">
        <w:rPr>
          <w:rFonts w:asciiTheme="minorBidi" w:hAnsiTheme="minorBidi"/>
          <w:rtl/>
        </w:rPr>
        <w:t xml:space="preserve"> אגוז</w:t>
      </w:r>
      <w:r w:rsidRPr="00351B7D">
        <w:rPr>
          <w:rStyle w:val="a7"/>
          <w:rFonts w:asciiTheme="minorBidi" w:hAnsiTheme="minorBidi"/>
          <w:rtl/>
        </w:rPr>
        <w:footnoteReference w:id="777"/>
      </w:r>
      <w:r w:rsidRPr="00351B7D">
        <w:rPr>
          <w:rFonts w:asciiTheme="minorBidi" w:hAnsiTheme="minorBidi"/>
          <w:rtl/>
        </w:rPr>
        <w:t xml:space="preserve"> בגן עדן שושנת העמקים בל ימשול זר במעין</w:t>
      </w:r>
      <w:r w:rsidRPr="00351B7D">
        <w:rPr>
          <w:rStyle w:val="a7"/>
          <w:rFonts w:asciiTheme="minorBidi" w:hAnsiTheme="minorBidi"/>
          <w:rtl/>
        </w:rPr>
        <w:footnoteReference w:id="778"/>
      </w:r>
      <w:r w:rsidRPr="00351B7D">
        <w:rPr>
          <w:rFonts w:asciiTheme="minorBidi" w:hAnsiTheme="minorBidi"/>
          <w:rtl/>
        </w:rPr>
        <w:t xml:space="preserve"> חתום, על כן אילת אהבים</w:t>
      </w:r>
      <w:r w:rsidRPr="00351B7D">
        <w:rPr>
          <w:rStyle w:val="a7"/>
          <w:rFonts w:asciiTheme="minorBidi" w:hAnsiTheme="minorBidi"/>
          <w:rtl/>
        </w:rPr>
        <w:footnoteReference w:id="779"/>
      </w:r>
      <w:r w:rsidRPr="00351B7D">
        <w:rPr>
          <w:rFonts w:asciiTheme="minorBidi" w:hAnsiTheme="minorBidi"/>
          <w:rtl/>
        </w:rPr>
        <w:t xml:space="preserve"> זרע קודש שמרה בטהרה</w:t>
      </w:r>
      <w:r w:rsidRPr="00351B7D">
        <w:rPr>
          <w:rStyle w:val="a7"/>
          <w:rFonts w:asciiTheme="minorBidi" w:hAnsiTheme="minorBidi"/>
          <w:rtl/>
        </w:rPr>
        <w:footnoteReference w:id="780"/>
      </w:r>
      <w:r w:rsidRPr="00351B7D">
        <w:rPr>
          <w:rFonts w:asciiTheme="minorBidi" w:hAnsiTheme="minorBidi"/>
          <w:rtl/>
        </w:rPr>
        <w:t xml:space="preserve"> וחוק לא הפירה</w:t>
      </w:r>
      <w:r w:rsidRPr="00351B7D">
        <w:rPr>
          <w:rStyle w:val="a7"/>
          <w:rFonts w:asciiTheme="minorBidi" w:hAnsiTheme="minorBidi"/>
          <w:rtl/>
        </w:rPr>
        <w:footnoteReference w:id="781"/>
      </w:r>
      <w:r w:rsidRPr="00351B7D">
        <w:rPr>
          <w:rFonts w:asciiTheme="minorBidi" w:hAnsiTheme="minorBidi"/>
          <w:rtl/>
        </w:rPr>
        <w:t xml:space="preserve"> ברוך </w:t>
      </w:r>
      <w:r w:rsidRPr="00351B7D">
        <w:rPr>
          <w:rFonts w:asciiTheme="minorBidi" w:hAnsiTheme="minorBidi"/>
          <w:u w:val="single"/>
          <w:rtl/>
        </w:rPr>
        <w:t>אתה ה'</w:t>
      </w:r>
      <w:r w:rsidRPr="00351B7D">
        <w:rPr>
          <w:rFonts w:asciiTheme="minorBidi" w:hAnsiTheme="minorBidi"/>
          <w:rtl/>
        </w:rPr>
        <w:t xml:space="preserve"> הבוחר באברהם ובזרעו אחריו [מקדש בני ישראל]". </w:t>
      </w:r>
    </w:p>
    <w:p w14:paraId="14CB48C3" w14:textId="77777777" w:rsidR="008E16D0" w:rsidRPr="00351B7D" w:rsidRDefault="008E16D0" w:rsidP="00A8697F">
      <w:pPr>
        <w:pStyle w:val="ab"/>
        <w:numPr>
          <w:ilvl w:val="0"/>
          <w:numId w:val="104"/>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(כתובות סי' טו)</w:t>
      </w:r>
      <w:r w:rsidRPr="00351B7D">
        <w:rPr>
          <w:rFonts w:asciiTheme="minorBidi" w:hAnsiTheme="minorBidi"/>
          <w:rtl/>
        </w:rPr>
        <w:t>- "אפשר שברכה זו תקנוה הגאונים ז"ל ומסתבר לברכה אחר שמצא בתולים".</w:t>
      </w:r>
    </w:p>
    <w:p w14:paraId="55B32DF1" w14:textId="77777777" w:rsidR="008E16D0" w:rsidRPr="00351B7D" w:rsidRDefault="008E16D0" w:rsidP="00A8697F">
      <w:pPr>
        <w:pStyle w:val="ab"/>
        <w:numPr>
          <w:ilvl w:val="0"/>
          <w:numId w:val="104"/>
        </w:numPr>
        <w:rPr>
          <w:rFonts w:asciiTheme="minorBidi" w:hAnsiTheme="minorBidi"/>
        </w:rPr>
      </w:pPr>
      <w:r w:rsidRPr="00351B7D">
        <w:rPr>
          <w:rFonts w:asciiTheme="minorBidi" w:hAnsiTheme="minorBidi"/>
          <w:rtl/>
        </w:rPr>
        <w:t>רמב"ם</w:t>
      </w:r>
      <w:r w:rsidRPr="00351B7D">
        <w:rPr>
          <w:rStyle w:val="a7"/>
          <w:rFonts w:asciiTheme="minorBidi" w:hAnsiTheme="minorBidi"/>
          <w:rtl/>
        </w:rPr>
        <w:footnoteReference w:id="782"/>
      </w:r>
      <w:r w:rsidRPr="00351B7D">
        <w:rPr>
          <w:rFonts w:asciiTheme="minorBidi" w:hAnsiTheme="minorBidi"/>
          <w:rtl/>
        </w:rPr>
        <w:t>- "הברכה הנקראת ברכת בתולים הרי היא ברכה לבטלה בלא ספק, נוסף להיותה מנהג מגונה מאד שיש בו מחוסר הצניעות ומזניחת קדושת הדת וטהרתה מה שאין למעלה ממנו, ר"ל אותה התקהלות מגונה, שקוראים קידוש הבתולים, ואסור למי שיש בו יראת שמים או צניעות לבוא אליו בשום פנים".</w:t>
      </w:r>
    </w:p>
    <w:p w14:paraId="55F64CDE" w14:textId="77777777" w:rsidR="008E16D0" w:rsidRPr="00351B7D" w:rsidRDefault="008E16D0" w:rsidP="00A8697F">
      <w:pPr>
        <w:pStyle w:val="ab"/>
        <w:numPr>
          <w:ilvl w:val="0"/>
          <w:numId w:val="104"/>
        </w:numPr>
        <w:rPr>
          <w:rFonts w:asciiTheme="minorBidi" w:hAnsiTheme="minorBidi"/>
        </w:rPr>
      </w:pPr>
      <w:r w:rsidRPr="00351B7D">
        <w:rPr>
          <w:rFonts w:asciiTheme="minorBidi" w:hAnsiTheme="minorBidi"/>
          <w:rtl/>
        </w:rPr>
        <w:t xml:space="preserve">רי"ו </w:t>
      </w:r>
      <w:r w:rsidRPr="00351B7D">
        <w:rPr>
          <w:rFonts w:asciiTheme="minorBidi" w:hAnsiTheme="minorBidi"/>
          <w:sz w:val="16"/>
          <w:szCs w:val="16"/>
          <w:rtl/>
        </w:rPr>
        <w:t xml:space="preserve">(תא"ו נכ"ב ח"ב) </w:t>
      </w:r>
      <w:r w:rsidRPr="00351B7D">
        <w:rPr>
          <w:rFonts w:asciiTheme="minorBidi" w:hAnsiTheme="minorBidi"/>
          <w:rtl/>
        </w:rPr>
        <w:t xml:space="preserve">בשם רבינו ניסים- ברכה זו צריכה כוס של יין ולא יברכנה בלא כוס. </w:t>
      </w:r>
      <w:r w:rsidRPr="00351B7D">
        <w:rPr>
          <w:rFonts w:asciiTheme="minorBidi" w:hAnsiTheme="minorBidi"/>
          <w:color w:val="00B0F0"/>
          <w:rtl/>
        </w:rPr>
        <w:t>(וכ"כ הרמ"א)</w:t>
      </w:r>
    </w:p>
    <w:p w14:paraId="64EFC414" w14:textId="77777777" w:rsidR="008E16D0" w:rsidRPr="00351B7D" w:rsidRDefault="008E16D0" w:rsidP="00A8697F">
      <w:pPr>
        <w:pStyle w:val="ab"/>
        <w:numPr>
          <w:ilvl w:val="1"/>
          <w:numId w:val="104"/>
        </w:numPr>
        <w:rPr>
          <w:rFonts w:asciiTheme="minorBidi" w:hAnsiTheme="minorBidi"/>
          <w:rtl/>
        </w:rPr>
      </w:pPr>
      <w:r w:rsidRPr="00351B7D">
        <w:rPr>
          <w:rFonts w:asciiTheme="minorBidi" w:hAnsiTheme="minorBidi"/>
          <w:rtl/>
        </w:rPr>
        <w:t>מהרש"ל ב"ח החיד"א</w:t>
      </w:r>
      <w:r w:rsidRPr="00351B7D">
        <w:rPr>
          <w:rStyle w:val="a7"/>
          <w:rFonts w:asciiTheme="minorBidi" w:hAnsiTheme="minorBidi"/>
          <w:rtl/>
        </w:rPr>
        <w:footnoteReference w:id="783"/>
      </w:r>
      <w:r w:rsidRPr="00351B7D">
        <w:rPr>
          <w:rFonts w:asciiTheme="minorBidi" w:hAnsiTheme="minorBidi"/>
          <w:rtl/>
        </w:rPr>
        <w:t xml:space="preserve"> ועוד- אין לומר בה שם ומלכות, מאחר שאינה לא בתלמוד ולא בתוספתא א"כ מנין לנו להוסיף ברכה, והרא"ש </w:t>
      </w:r>
      <w:r w:rsidRPr="00351B7D">
        <w:rPr>
          <w:rFonts w:asciiTheme="minorBidi" w:hAnsiTheme="minorBidi"/>
          <w:sz w:val="16"/>
          <w:szCs w:val="16"/>
          <w:rtl/>
        </w:rPr>
        <w:t xml:space="preserve">(בכורות סי' ח, וקדושין פ"א סי' מ"א) </w:t>
      </w:r>
      <w:r w:rsidRPr="00351B7D">
        <w:rPr>
          <w:rFonts w:asciiTheme="minorBidi" w:hAnsiTheme="minorBidi"/>
          <w:rtl/>
        </w:rPr>
        <w:t>גופא כ' שאין מברכין שום ברכה שלא הוזכרה במשנה או בתוספתא או בגמרא כי אחר סידור רבינא ורב אשי לא מצינו שנתחדש שום ברכה</w:t>
      </w:r>
      <w:r w:rsidRPr="00351B7D">
        <w:rPr>
          <w:rFonts w:asciiTheme="minorBidi" w:hAnsiTheme="minorBidi"/>
          <w:sz w:val="16"/>
          <w:szCs w:val="16"/>
          <w:rtl/>
        </w:rPr>
        <w:t xml:space="preserve"> (מהרש"ל)</w:t>
      </w:r>
      <w:r w:rsidRPr="00351B7D">
        <w:rPr>
          <w:rFonts w:asciiTheme="minorBidi" w:hAnsiTheme="minorBidi"/>
          <w:rtl/>
        </w:rPr>
        <w:t xml:space="preserve">, ועוד דהרי"ף לא הזכיר ברכה זו </w:t>
      </w:r>
      <w:r w:rsidRPr="00351B7D">
        <w:rPr>
          <w:rFonts w:asciiTheme="minorBidi" w:hAnsiTheme="minorBidi"/>
          <w:sz w:val="16"/>
          <w:szCs w:val="16"/>
          <w:rtl/>
        </w:rPr>
        <w:t>(ח"מ)</w:t>
      </w:r>
      <w:r w:rsidRPr="00351B7D">
        <w:rPr>
          <w:rFonts w:asciiTheme="minorBidi" w:hAnsiTheme="minorBidi"/>
          <w:rtl/>
        </w:rPr>
        <w:t xml:space="preserve">, וגם דעת הרמב"ם שאין לברכה. </w:t>
      </w:r>
    </w:p>
    <w:p w14:paraId="5D420E87"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343406" w14:textId="77777777" w:rsidR="008E16D0" w:rsidRPr="00351B7D" w:rsidRDefault="008E16D0" w:rsidP="008E16D0">
      <w:pPr>
        <w:rPr>
          <w:rFonts w:asciiTheme="minorBidi" w:hAnsiTheme="minorBidi"/>
          <w:rtl/>
        </w:rPr>
      </w:pPr>
      <w:r w:rsidRPr="00351B7D">
        <w:rPr>
          <w:rFonts w:asciiTheme="minorBidi" w:hAnsiTheme="minorBidi"/>
          <w:rtl/>
        </w:rPr>
        <w:t>ויש אומרים שאחר שמצא בתולים מברך ברוך אתה ה' אלהינו מלך העולם אשר צג אגוז בגן עדן</w:t>
      </w:r>
      <w:r w:rsidRPr="00351B7D">
        <w:rPr>
          <w:rStyle w:val="a7"/>
          <w:rFonts w:asciiTheme="minorBidi" w:hAnsiTheme="minorBidi"/>
          <w:color w:val="000000"/>
          <w:rtl/>
        </w:rPr>
        <w:footnoteReference w:id="784"/>
      </w:r>
      <w:r w:rsidRPr="00351B7D">
        <w:rPr>
          <w:rFonts w:asciiTheme="minorBidi" w:hAnsiTheme="minorBidi"/>
          <w:color w:val="000000"/>
          <w:rtl/>
        </w:rPr>
        <w:t xml:space="preserve"> וכו'.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(וי"א דאין מברכין אותה בלא כוס</w:t>
      </w:r>
      <w:r w:rsidRPr="00351B7D">
        <w:rPr>
          <w:rStyle w:val="a7"/>
          <w:rFonts w:asciiTheme="minorBidi" w:hAnsiTheme="minorBidi"/>
          <w:color w:val="000000"/>
          <w:sz w:val="18"/>
          <w:szCs w:val="18"/>
          <w:rtl/>
        </w:rPr>
        <w:footnoteReference w:id="785"/>
      </w:r>
      <w:r w:rsidRPr="00351B7D">
        <w:rPr>
          <w:rFonts w:asciiTheme="minorBidi" w:hAnsiTheme="minorBidi"/>
          <w:color w:val="000000"/>
          <w:sz w:val="18"/>
          <w:szCs w:val="18"/>
          <w:rtl/>
        </w:rPr>
        <w:t>) (תא"ו נכ"ח בשם רבינו ניסים).</w:t>
      </w:r>
    </w:p>
    <w:p w14:paraId="4FBCA1FF" w14:textId="77777777" w:rsidR="008E16D0" w:rsidRPr="00351B7D" w:rsidRDefault="008E16D0" w:rsidP="008E16D0">
      <w:pPr>
        <w:rPr>
          <w:rFonts w:asciiTheme="minorBidi" w:hAnsiTheme="minorBidi"/>
          <w:rtl/>
        </w:rPr>
      </w:pPr>
    </w:p>
    <w:p w14:paraId="129F88FC" w14:textId="77777777" w:rsidR="008E16D0" w:rsidRPr="00351B7D" w:rsidRDefault="008E16D0" w:rsidP="008E16D0">
      <w:pPr>
        <w:rPr>
          <w:rFonts w:asciiTheme="minorBidi" w:hAnsiTheme="minorBidi"/>
          <w:rtl/>
        </w:rPr>
      </w:pPr>
    </w:p>
    <w:p w14:paraId="0D56DAC1" w14:textId="77777777" w:rsidR="008E16D0" w:rsidRPr="00351B7D" w:rsidRDefault="008E16D0" w:rsidP="008E16D0">
      <w:pPr>
        <w:rPr>
          <w:rFonts w:asciiTheme="minorBidi" w:hAnsiTheme="minorBidi"/>
          <w:rtl/>
        </w:rPr>
      </w:pPr>
    </w:p>
    <w:p w14:paraId="5812E239" w14:textId="77777777" w:rsidR="008E16D0" w:rsidRPr="00351B7D" w:rsidRDefault="008E16D0" w:rsidP="008E16D0">
      <w:pPr>
        <w:rPr>
          <w:rFonts w:asciiTheme="minorBidi" w:hAnsiTheme="minorBidi"/>
          <w:rtl/>
        </w:rPr>
      </w:pPr>
    </w:p>
    <w:p w14:paraId="677D82D1" w14:textId="77777777" w:rsidR="008E16D0" w:rsidRPr="00351B7D" w:rsidRDefault="008E16D0" w:rsidP="008E16D0">
      <w:pPr>
        <w:rPr>
          <w:rFonts w:asciiTheme="minorBidi" w:hAnsiTheme="minorBidi"/>
          <w:rtl/>
        </w:rPr>
      </w:pPr>
    </w:p>
    <w:p w14:paraId="52F6F262" w14:textId="77777777" w:rsidR="004B1524" w:rsidRDefault="004B1524" w:rsidP="008E16D0">
      <w:pPr>
        <w:pStyle w:val="1"/>
        <w:rPr>
          <w:rFonts w:asciiTheme="minorBidi" w:hAnsiTheme="minorBidi"/>
          <w:rtl/>
        </w:rPr>
        <w:sectPr w:rsidR="004B1524" w:rsidSect="00A347B3">
          <w:headerReference w:type="default" r:id="rId18"/>
          <w:footnotePr>
            <w:numRestart w:val="eachPage"/>
          </w:footnotePr>
          <w:pgSz w:w="11906" w:h="16838"/>
          <w:pgMar w:top="720" w:right="1134" w:bottom="720" w:left="1134" w:header="0" w:footer="0" w:gutter="0"/>
          <w:cols w:space="720"/>
          <w:bidi/>
          <w:rtlGutter/>
          <w:docGrid w:linePitch="360"/>
        </w:sectPr>
      </w:pPr>
    </w:p>
    <w:p w14:paraId="55106B29" w14:textId="7ADB87D5"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סד</w:t>
      </w:r>
      <w:r w:rsidRPr="00351B7D">
        <w:rPr>
          <w:rFonts w:asciiTheme="minorBidi" w:hAnsiTheme="minorBidi"/>
        </w:rPr>
        <w:t xml:space="preserve"> </w:t>
      </w:r>
      <w:r w:rsidRPr="00351B7D">
        <w:rPr>
          <w:rFonts w:asciiTheme="minorBidi" w:hAnsiTheme="minorBidi"/>
          <w:rtl/>
        </w:rPr>
        <w:t xml:space="preserve">: זמן נשואי בתולה וברכתה, ואלמנה, ואם אינו רוצה לעשות סעודה, ובו ו' סעי'. </w:t>
      </w:r>
    </w:p>
    <w:p w14:paraId="71EBD890" w14:textId="77777777" w:rsidR="008E16D0" w:rsidRPr="00351B7D" w:rsidRDefault="008E16D0" w:rsidP="008E16D0">
      <w:pPr>
        <w:pStyle w:val="2"/>
        <w:rPr>
          <w:rFonts w:asciiTheme="minorBidi" w:hAnsiTheme="minorBidi"/>
          <w:rtl/>
        </w:rPr>
      </w:pPr>
      <w:r w:rsidRPr="00351B7D">
        <w:rPr>
          <w:rFonts w:asciiTheme="minorBidi" w:hAnsiTheme="minorBidi"/>
          <w:rtl/>
        </w:rPr>
        <w:t>סעיף א: ימי שמחה לנושא בתולה.</w:t>
      </w:r>
    </w:p>
    <w:p w14:paraId="7FDFEFE3"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ג ע"ב: </w:t>
      </w:r>
      <w:r w:rsidRPr="00351B7D">
        <w:rPr>
          <w:rFonts w:asciiTheme="minorBidi" w:hAnsiTheme="minorBidi"/>
          <w:rtl/>
        </w:rPr>
        <w:t>כדתני': הרי שהיה פתו אפוי וטבחו טבוח ויינו מזוג, ומת אביו של חתן או אמה של כלה, מכניסין את המת לחדר ואת החתן ואת הכלה לחופה, ובועל בעילת מצוה ופורש, ונוהג שבעת ימי המשתה....</w:t>
      </w:r>
    </w:p>
    <w:p w14:paraId="4D02E71A" w14:textId="77777777" w:rsidR="008E16D0" w:rsidRPr="00351B7D" w:rsidRDefault="008E16D0" w:rsidP="008E16D0">
      <w:pPr>
        <w:rPr>
          <w:rFonts w:asciiTheme="minorBidi" w:hAnsiTheme="minorBidi"/>
          <w:u w:val="single"/>
          <w:rtl/>
        </w:rPr>
      </w:pPr>
      <w:r w:rsidRPr="00351B7D">
        <w:rPr>
          <w:rFonts w:asciiTheme="minorBidi" w:hAnsiTheme="minorBidi"/>
          <w:b/>
          <w:bCs/>
          <w:rtl/>
        </w:rPr>
        <w:t xml:space="preserve">כתובות ז ע"א: </w:t>
      </w:r>
      <w:r w:rsidRPr="00351B7D">
        <w:rPr>
          <w:rFonts w:asciiTheme="minorBidi" w:hAnsiTheme="minorBidi"/>
          <w:u w:val="single"/>
          <w:rtl/>
        </w:rPr>
        <w:t>אמר רבי חלבו אמר רב הונא א"ר אבא בר זבדא אמר רב</w:t>
      </w:r>
      <w:r w:rsidRPr="00351B7D">
        <w:rPr>
          <w:rFonts w:asciiTheme="minorBidi" w:hAnsiTheme="minorBidi"/>
          <w:rtl/>
        </w:rPr>
        <w:t>: אחת בתולה ואחת אלמנה - טעונה ברכה... דליכא בתולה דבצרה משבעה, וליכא אלמנה דבצרה מיום אחד.</w:t>
      </w:r>
    </w:p>
    <w:p w14:paraId="0368B23B" w14:textId="77777777" w:rsidR="008E16D0" w:rsidRPr="00351B7D" w:rsidRDefault="008E16D0" w:rsidP="008E16D0">
      <w:pPr>
        <w:rPr>
          <w:rFonts w:asciiTheme="minorBidi" w:hAnsiTheme="minorBidi"/>
          <w:u w:val="single"/>
          <w:rtl/>
        </w:rPr>
      </w:pPr>
      <w:r w:rsidRPr="00351B7D">
        <w:rPr>
          <w:rFonts w:asciiTheme="minorBidi" w:hAnsiTheme="minorBidi"/>
          <w:u w:val="single"/>
          <w:rtl/>
        </w:rPr>
        <w:t>כמה הם ימי שמחה לבתולה שנשאת לאלמון:</w:t>
      </w:r>
      <w:r w:rsidRPr="00351B7D">
        <w:rPr>
          <w:rFonts w:asciiTheme="minorBidi" w:hAnsiTheme="minorBidi"/>
          <w:sz w:val="16"/>
          <w:szCs w:val="16"/>
          <w:rtl/>
        </w:rPr>
        <w:t xml:space="preserve">   (הועתק מסי' ס"ב)</w:t>
      </w:r>
    </w:p>
    <w:p w14:paraId="628A367B"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 xml:space="preserve">ר"ן </w:t>
      </w:r>
      <w:r w:rsidRPr="00351B7D">
        <w:rPr>
          <w:rFonts w:asciiTheme="minorBidi" w:hAnsiTheme="minorBidi"/>
          <w:sz w:val="16"/>
          <w:szCs w:val="16"/>
          <w:rtl/>
        </w:rPr>
        <w:t>(ב. ד"ה אחת)</w:t>
      </w:r>
      <w:r w:rsidRPr="00351B7D">
        <w:rPr>
          <w:rFonts w:asciiTheme="minorBidi" w:hAnsiTheme="minorBidi"/>
          <w:rtl/>
        </w:rPr>
        <w:t xml:space="preserve">- בבתולה שנשאת לאלמון לא אשכחן ימי שמחה כמה אבל הר"י בן מיגא"ש ז"ל כ' דנראין הדברים דז' לשמחה אית לה, דאי בבחור אמרו שיש לה ז' לשמחה כדתניא לעיל ברייתא דנוהג ז' ימי המשתה כ"ש באלמון שצריך לשמח אותה יותר, </w:t>
      </w:r>
      <w:r w:rsidRPr="00351B7D">
        <w:rPr>
          <w:rStyle w:val="a7"/>
          <w:rFonts w:asciiTheme="minorBidi" w:hAnsiTheme="minorBidi"/>
          <w:rtl/>
        </w:rPr>
        <w:footnoteReference w:id="786"/>
      </w:r>
      <w:r w:rsidRPr="00351B7D">
        <w:rPr>
          <w:rFonts w:asciiTheme="minorBidi" w:hAnsiTheme="minorBidi"/>
          <w:rtl/>
        </w:rPr>
        <w:t>וכ"כ הרא"ש.</w:t>
      </w:r>
    </w:p>
    <w:p w14:paraId="6B58FD99" w14:textId="77777777" w:rsidR="008E16D0" w:rsidRPr="00351B7D" w:rsidRDefault="008E16D0" w:rsidP="008E16D0">
      <w:pPr>
        <w:rPr>
          <w:rFonts w:asciiTheme="minorBidi" w:hAnsiTheme="minorBidi"/>
          <w:rtl/>
        </w:rPr>
      </w:pPr>
      <w:r w:rsidRPr="00351B7D">
        <w:rPr>
          <w:rFonts w:asciiTheme="minorBidi" w:hAnsiTheme="minorBidi"/>
          <w:b/>
          <w:bCs/>
          <w:rtl/>
        </w:rPr>
        <w:t>פרקי דרבי אליעזר</w:t>
      </w:r>
      <w:r w:rsidRPr="00351B7D">
        <w:rPr>
          <w:rFonts w:asciiTheme="minorBidi" w:hAnsiTheme="minorBidi"/>
          <w:b/>
          <w:bCs/>
          <w:sz w:val="16"/>
          <w:szCs w:val="16"/>
          <w:rtl/>
        </w:rPr>
        <w:t xml:space="preserve"> (היגר)</w:t>
      </w:r>
      <w:r w:rsidRPr="00351B7D">
        <w:rPr>
          <w:rFonts w:asciiTheme="minorBidi" w:hAnsiTheme="minorBidi"/>
          <w:b/>
          <w:bCs/>
          <w:rtl/>
        </w:rPr>
        <w:t xml:space="preserve"> פט"ז:</w:t>
      </w:r>
      <w:r w:rsidRPr="00351B7D">
        <w:rPr>
          <w:rFonts w:asciiTheme="minorBidi" w:hAnsiTheme="minorBidi"/>
          <w:rtl/>
        </w:rPr>
        <w:t xml:space="preserve"> מה המלך שמחה ומשתה לפניו כל הימים, כך החתן שמחה ומשתה לפניו כל שבעת ימים, מה המלך אינו יוצא לשוק לבדו, כך החתן אינו יוצא לשוק לבדו </w:t>
      </w:r>
      <w:r w:rsidRPr="00351B7D">
        <w:rPr>
          <w:rStyle w:val="a7"/>
          <w:rFonts w:asciiTheme="minorBidi" w:hAnsiTheme="minorBidi"/>
          <w:rtl/>
        </w:rPr>
        <w:footnoteReference w:id="787"/>
      </w:r>
      <w:r w:rsidRPr="00351B7D">
        <w:rPr>
          <w:rFonts w:asciiTheme="minorBidi" w:hAnsiTheme="minorBidi"/>
          <w:rtl/>
        </w:rPr>
        <w:t>[מה המלך אינו עושה מלאכה אף חתן אינו עושה מלאכה].</w:t>
      </w:r>
      <w:r w:rsidRPr="00351B7D">
        <w:rPr>
          <w:rFonts w:asciiTheme="minorBidi" w:hAnsiTheme="minorBidi"/>
          <w:color w:val="000000"/>
          <w:sz w:val="16"/>
          <w:szCs w:val="16"/>
          <w:rtl/>
        </w:rPr>
        <w:t xml:space="preserve"> (וכ"פ הרמב"ם (פ"י מה"א הי"ב) וז"ל- וכן תקנו חכמים שכל הנושא בתולה יהיה שמח עמה שבעת ימים, אינו עוסק במלאכתו ולא נושא ונותן בשוק אלא אוכל ושותה ושמח, בין שהיה בחור בין שהיה אלמון, ואם היתה בעולה אין פחות משלשה ימים, שתקנת חכמים היא לבנות ישראל שיהיה שמח עם הבעולה שלשה ימים בין בחור בין אלמון)</w:t>
      </w:r>
      <w:r w:rsidRPr="00351B7D">
        <w:rPr>
          <w:rFonts w:asciiTheme="minorBidi" w:hAnsiTheme="minorBidi"/>
          <w:rtl/>
        </w:rPr>
        <w:t xml:space="preserve"> </w:t>
      </w:r>
    </w:p>
    <w:p w14:paraId="5005CC85" w14:textId="77777777" w:rsidR="008E16D0" w:rsidRPr="00351B7D" w:rsidRDefault="008E16D0" w:rsidP="008E16D0">
      <w:pPr>
        <w:rPr>
          <w:rFonts w:asciiTheme="minorBidi" w:hAnsiTheme="minorBidi"/>
          <w:rtl/>
        </w:rPr>
      </w:pPr>
      <w:r w:rsidRPr="00351B7D">
        <w:rPr>
          <w:rFonts w:asciiTheme="minorBidi" w:hAnsiTheme="minorBidi"/>
          <w:b/>
          <w:bCs/>
          <w:rtl/>
        </w:rPr>
        <w:t xml:space="preserve">תוספתא </w:t>
      </w:r>
      <w:r w:rsidRPr="00351B7D">
        <w:rPr>
          <w:rFonts w:asciiTheme="minorBidi" w:hAnsiTheme="minorBidi"/>
          <w:b/>
          <w:bCs/>
          <w:sz w:val="16"/>
          <w:szCs w:val="16"/>
          <w:rtl/>
        </w:rPr>
        <w:t xml:space="preserve">(ליברמן) </w:t>
      </w:r>
      <w:r w:rsidRPr="00351B7D">
        <w:rPr>
          <w:rFonts w:asciiTheme="minorBidi" w:hAnsiTheme="minorBidi"/>
          <w:b/>
          <w:bCs/>
          <w:rtl/>
        </w:rPr>
        <w:t xml:space="preserve">כתובות פ"א ה"א: </w:t>
      </w:r>
      <w:r w:rsidRPr="00351B7D">
        <w:rPr>
          <w:rFonts w:asciiTheme="minorBidi" w:hAnsiTheme="minorBidi"/>
          <w:rtl/>
        </w:rPr>
        <w:t>מפני מה אמרו אלמנה ליום החמשי שאם נושא אותה באחד מכל ימות השבת מניחה והולך למלאכתו התקינו שיהא נושא אותה בחמשי שיהא בטיל שלשה ימים חמישי בשבת וערב שבת ושבת שלשה ימי בטילה נמצא שמח עמה שלשה ימים</w:t>
      </w:r>
      <w:r w:rsidRPr="00351B7D">
        <w:rPr>
          <w:rStyle w:val="a7"/>
          <w:rFonts w:asciiTheme="minorBidi" w:hAnsiTheme="minorBidi"/>
          <w:rtl/>
        </w:rPr>
        <w:footnoteReference w:id="788"/>
      </w:r>
      <w:r w:rsidRPr="00351B7D">
        <w:rPr>
          <w:rFonts w:asciiTheme="minorBidi" w:hAnsiTheme="minorBidi"/>
          <w:rtl/>
        </w:rPr>
        <w:t xml:space="preserve">. </w:t>
      </w:r>
    </w:p>
    <w:p w14:paraId="0983E090"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4AAA6A" w14:textId="77777777" w:rsidR="008E16D0" w:rsidRPr="00351B7D" w:rsidRDefault="008E16D0" w:rsidP="008E16D0">
      <w:pPr>
        <w:rPr>
          <w:rFonts w:asciiTheme="minorBidi" w:hAnsiTheme="minorBidi"/>
          <w:color w:val="000000"/>
          <w:rtl/>
        </w:rPr>
      </w:pPr>
      <w:r w:rsidRPr="00351B7D">
        <w:rPr>
          <w:rFonts w:asciiTheme="minorBidi" w:hAnsiTheme="minorBidi"/>
          <w:rtl/>
        </w:rPr>
        <w:t>הנושא בתולה צריך לשמוח עמה ז' ימים</w:t>
      </w:r>
      <w:r w:rsidRPr="00351B7D">
        <w:rPr>
          <w:rStyle w:val="a7"/>
          <w:rFonts w:asciiTheme="minorBidi" w:hAnsiTheme="minorBidi"/>
          <w:color w:val="000000"/>
          <w:rtl/>
        </w:rPr>
        <w:footnoteReference w:id="789"/>
      </w:r>
      <w:r w:rsidRPr="00351B7D">
        <w:rPr>
          <w:rFonts w:asciiTheme="minorBidi" w:hAnsiTheme="minorBidi"/>
          <w:rtl/>
        </w:rPr>
        <w:t xml:space="preserve"> שלא יעשה מלאכה ולא ישא ויתן בשוק אלא אוכל ושותה ושמח עמה בין אם הוא בחור בין אם הוא אלמון.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(וחתן אסור בעשיית מלאכה</w:t>
      </w:r>
      <w:r w:rsidRPr="00351B7D">
        <w:rPr>
          <w:rStyle w:val="a7"/>
          <w:rFonts w:asciiTheme="minorBidi" w:hAnsiTheme="minorBidi"/>
          <w:color w:val="000000"/>
          <w:sz w:val="18"/>
          <w:szCs w:val="18"/>
          <w:rtl/>
        </w:rPr>
        <w:footnoteReference w:id="790"/>
      </w:r>
      <w:r w:rsidRPr="00351B7D">
        <w:rPr>
          <w:rFonts w:asciiTheme="minorBidi" w:hAnsiTheme="minorBidi"/>
          <w:color w:val="000000"/>
          <w:sz w:val="18"/>
          <w:szCs w:val="18"/>
          <w:rtl/>
        </w:rPr>
        <w:t xml:space="preserve"> ואסור לצאת יחידי</w:t>
      </w:r>
      <w:r w:rsidRPr="00351B7D">
        <w:rPr>
          <w:rStyle w:val="a7"/>
          <w:rFonts w:asciiTheme="minorBidi" w:hAnsiTheme="minorBidi"/>
          <w:color w:val="000000"/>
          <w:sz w:val="18"/>
          <w:szCs w:val="18"/>
          <w:rtl/>
        </w:rPr>
        <w:footnoteReference w:id="791"/>
      </w:r>
      <w:r w:rsidRPr="00351B7D">
        <w:rPr>
          <w:rFonts w:asciiTheme="minorBidi" w:hAnsiTheme="minorBidi"/>
          <w:color w:val="000000"/>
          <w:sz w:val="18"/>
          <w:szCs w:val="18"/>
          <w:rtl/>
        </w:rPr>
        <w:t xml:space="preserve"> בשוק (ר"ן פ"ק דכתובות ובפרקי ר"א)). </w:t>
      </w:r>
    </w:p>
    <w:p w14:paraId="02785D88"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האם מותר לחתן שנישא </w:t>
      </w:r>
      <w:r w:rsidRPr="00351B7D">
        <w:rPr>
          <w:rFonts w:asciiTheme="minorBidi" w:hAnsiTheme="minorBidi"/>
          <w:b/>
          <w:bCs/>
          <w:u w:val="single"/>
          <w:rtl/>
        </w:rPr>
        <w:t>לבתולה</w:t>
      </w:r>
      <w:r w:rsidRPr="00351B7D">
        <w:rPr>
          <w:rFonts w:asciiTheme="minorBidi" w:hAnsiTheme="minorBidi"/>
          <w:u w:val="single"/>
          <w:rtl/>
        </w:rPr>
        <w:t xml:space="preserve"> לצאת למלאכתו אם הכלה מוחלת:</w:t>
      </w:r>
    </w:p>
    <w:p w14:paraId="5EA8E6A6"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(רשב"א י"א ור"ן</w:t>
      </w:r>
      <w:r w:rsidRPr="00351B7D">
        <w:rPr>
          <w:rFonts w:asciiTheme="minorBidi" w:hAnsiTheme="minorBidi"/>
          <w:sz w:val="16"/>
          <w:szCs w:val="16"/>
          <w:rtl/>
        </w:rPr>
        <w:t xml:space="preserve"> להב' הב"ש</w:t>
      </w:r>
      <w:r w:rsidRPr="00351B7D">
        <w:rPr>
          <w:rFonts w:asciiTheme="minorBidi" w:hAnsiTheme="minorBidi"/>
          <w:rtl/>
        </w:rPr>
        <w:t>) (רמ"א</w:t>
      </w:r>
      <w:r w:rsidRPr="00351B7D">
        <w:rPr>
          <w:rFonts w:asciiTheme="minorBidi" w:hAnsiTheme="minorBidi"/>
          <w:sz w:val="16"/>
          <w:szCs w:val="16"/>
          <w:rtl/>
        </w:rPr>
        <w:t xml:space="preserve"> להב' הב"ש והמקנה</w:t>
      </w:r>
      <w:r w:rsidRPr="00351B7D">
        <w:rPr>
          <w:rFonts w:asciiTheme="minorBidi" w:hAnsiTheme="minorBidi"/>
          <w:rtl/>
        </w:rPr>
        <w:t>)</w:t>
      </w:r>
      <w:r w:rsidRPr="00351B7D">
        <w:rPr>
          <w:rStyle w:val="ac"/>
          <w:rFonts w:asciiTheme="minorBidi" w:hAnsiTheme="minorBidi"/>
          <w:rtl/>
        </w:rPr>
        <w:t xml:space="preserve"> והמקנה</w:t>
      </w:r>
      <w:r w:rsidRPr="00351B7D">
        <w:rPr>
          <w:rStyle w:val="a7"/>
          <w:rFonts w:asciiTheme="minorBidi" w:hAnsiTheme="minorBidi"/>
          <w:rtl/>
        </w:rPr>
        <w:footnoteReference w:id="792"/>
      </w:r>
      <w:r w:rsidRPr="00351B7D">
        <w:rPr>
          <w:rFonts w:asciiTheme="minorBidi" w:hAnsiTheme="minorBidi"/>
          <w:rtl/>
        </w:rPr>
        <w:t>- לא מהני מחילה שלה</w:t>
      </w:r>
      <w:r w:rsidRPr="00351B7D">
        <w:rPr>
          <w:rStyle w:val="a7"/>
          <w:rFonts w:asciiTheme="minorBidi" w:hAnsiTheme="minorBidi"/>
          <w:rtl/>
        </w:rPr>
        <w:footnoteReference w:id="793"/>
      </w:r>
      <w:r w:rsidRPr="00351B7D">
        <w:rPr>
          <w:rFonts w:asciiTheme="minorBidi" w:hAnsiTheme="minorBidi"/>
          <w:rtl/>
        </w:rPr>
        <w:t xml:space="preserve">. </w:t>
      </w:r>
    </w:p>
    <w:p w14:paraId="10A549A6"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 xml:space="preserve">(שו"ע </w:t>
      </w:r>
      <w:r w:rsidRPr="00351B7D">
        <w:rPr>
          <w:rFonts w:asciiTheme="minorBidi" w:hAnsiTheme="minorBidi"/>
          <w:sz w:val="16"/>
          <w:szCs w:val="16"/>
          <w:rtl/>
        </w:rPr>
        <w:t xml:space="preserve">להב' ח"מ </w:t>
      </w:r>
      <w:r w:rsidRPr="00351B7D">
        <w:rPr>
          <w:rFonts w:asciiTheme="minorBidi" w:hAnsiTheme="minorBidi"/>
          <w:sz w:val="14"/>
          <w:szCs w:val="14"/>
          <w:rtl/>
        </w:rPr>
        <w:t xml:space="preserve">[סק"ב] </w:t>
      </w:r>
      <w:r w:rsidRPr="00351B7D">
        <w:rPr>
          <w:rFonts w:asciiTheme="minorBidi" w:hAnsiTheme="minorBidi"/>
          <w:sz w:val="16"/>
          <w:szCs w:val="16"/>
          <w:rtl/>
        </w:rPr>
        <w:t xml:space="preserve">וב"ש </w:t>
      </w:r>
      <w:r w:rsidRPr="00351B7D">
        <w:rPr>
          <w:rFonts w:asciiTheme="minorBidi" w:hAnsiTheme="minorBidi"/>
          <w:sz w:val="14"/>
          <w:szCs w:val="14"/>
          <w:rtl/>
        </w:rPr>
        <w:t>[סק"ב]</w:t>
      </w:r>
      <w:r w:rsidRPr="00351B7D">
        <w:rPr>
          <w:rFonts w:asciiTheme="minorBidi" w:hAnsiTheme="minorBidi"/>
          <w:rtl/>
        </w:rPr>
        <w:t>)- כיון דמשום לתא</w:t>
      </w:r>
      <w:r w:rsidRPr="00351B7D">
        <w:rPr>
          <w:rFonts w:asciiTheme="minorBidi" w:hAnsiTheme="minorBidi"/>
          <w:sz w:val="16"/>
          <w:szCs w:val="16"/>
          <w:rtl/>
        </w:rPr>
        <w:t xml:space="preserve"> {מזל}</w:t>
      </w:r>
      <w:r w:rsidRPr="00351B7D">
        <w:rPr>
          <w:rFonts w:asciiTheme="minorBidi" w:hAnsiTheme="minorBidi"/>
          <w:rtl/>
        </w:rPr>
        <w:t xml:space="preserve"> דידה תקנו כן אם היא רוצה למחול על תקנתה הרשות בידה, וכמ"ש בסמוך בשם רי"ו, וכדאמרינן בעלמא כל האומר אי אפשי בתקנת חכמים שומעין לו. </w:t>
      </w:r>
    </w:p>
    <w:p w14:paraId="30071988" w14:textId="77777777" w:rsidR="008E16D0" w:rsidRPr="00351B7D" w:rsidRDefault="008E16D0" w:rsidP="00A8697F">
      <w:pPr>
        <w:pStyle w:val="ab"/>
        <w:numPr>
          <w:ilvl w:val="0"/>
          <w:numId w:val="83"/>
        </w:numPr>
        <w:rPr>
          <w:rFonts w:asciiTheme="minorBidi" w:hAnsiTheme="minorBidi"/>
        </w:rPr>
      </w:pPr>
      <w:r w:rsidRPr="00351B7D">
        <w:rPr>
          <w:rFonts w:asciiTheme="minorBidi" w:hAnsiTheme="minorBidi"/>
          <w:rtl/>
        </w:rPr>
        <w:t xml:space="preserve"> (רמ"א </w:t>
      </w:r>
      <w:r w:rsidRPr="00351B7D">
        <w:rPr>
          <w:rFonts w:asciiTheme="minorBidi" w:hAnsiTheme="minorBidi"/>
          <w:sz w:val="16"/>
          <w:szCs w:val="16"/>
          <w:rtl/>
        </w:rPr>
        <w:t>להב' ח"מ</w:t>
      </w:r>
      <w:r w:rsidRPr="00351B7D">
        <w:rPr>
          <w:rFonts w:asciiTheme="minorBidi" w:hAnsiTheme="minorBidi"/>
          <w:sz w:val="10"/>
          <w:szCs w:val="10"/>
          <w:rtl/>
        </w:rPr>
        <w:t xml:space="preserve"> </w:t>
      </w:r>
      <w:r w:rsidRPr="00351B7D">
        <w:rPr>
          <w:rFonts w:asciiTheme="minorBidi" w:hAnsiTheme="minorBidi"/>
          <w:sz w:val="14"/>
          <w:szCs w:val="14"/>
          <w:rtl/>
        </w:rPr>
        <w:t>[סק"ב]</w:t>
      </w:r>
      <w:r w:rsidRPr="00351B7D">
        <w:rPr>
          <w:rFonts w:asciiTheme="minorBidi" w:hAnsiTheme="minorBidi"/>
          <w:rtl/>
        </w:rPr>
        <w:t xml:space="preserve">)- אף דיכולה למחול על שמחתה דהיינו לאכול ולשתות ולשמוח עמה אבל במלאכה ולצאת יחידי לשוק אף שהיא מוחלת מ"מ הוא אסור בזה ומטעם שהוא דומה למלך </w:t>
      </w:r>
      <w:r w:rsidRPr="00351B7D">
        <w:rPr>
          <w:rFonts w:asciiTheme="minorBidi" w:hAnsiTheme="minorBidi"/>
          <w:sz w:val="16"/>
          <w:szCs w:val="16"/>
          <w:rtl/>
        </w:rPr>
        <w:t>(וסיים הח"מ- כך היה נראה ליישב כוונת הרב בהג"ה זו אבל אין זה מוכרח)</w:t>
      </w:r>
      <w:r w:rsidRPr="00351B7D">
        <w:rPr>
          <w:rFonts w:asciiTheme="minorBidi" w:hAnsiTheme="minorBidi"/>
          <w:rtl/>
        </w:rPr>
        <w:t>.</w:t>
      </w:r>
    </w:p>
    <w:p w14:paraId="1B6B410A"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חתן שיש לו חנות בשותפות- האם מותר לשותף שלו להמשיך לפתוח את החנות:</w:t>
      </w:r>
      <w:r w:rsidRPr="00351B7D">
        <w:rPr>
          <w:rFonts w:asciiTheme="minorBidi" w:hAnsiTheme="minorBidi"/>
          <w:color w:val="000000"/>
          <w:rtl/>
        </w:rPr>
        <w:t xml:space="preserve">    </w:t>
      </w:r>
      <w:r w:rsidRPr="00351B7D">
        <w:rPr>
          <w:rFonts w:asciiTheme="minorBidi" w:hAnsiTheme="minorBidi"/>
          <w:color w:val="000000"/>
          <w:sz w:val="16"/>
          <w:szCs w:val="16"/>
          <w:rtl/>
        </w:rPr>
        <w:t>(פת"ש סק"א)</w:t>
      </w:r>
    </w:p>
    <w:p w14:paraId="7CAACCCF" w14:textId="77777777" w:rsidR="008E16D0" w:rsidRPr="00351B7D" w:rsidRDefault="008E16D0" w:rsidP="00A8697F">
      <w:pPr>
        <w:pStyle w:val="ab"/>
        <w:numPr>
          <w:ilvl w:val="0"/>
          <w:numId w:val="117"/>
        </w:numPr>
        <w:rPr>
          <w:rFonts w:asciiTheme="minorBidi" w:hAnsiTheme="minorBidi"/>
          <w:rtl/>
        </w:rPr>
      </w:pPr>
      <w:r w:rsidRPr="00351B7D">
        <w:rPr>
          <w:rFonts w:asciiTheme="minorBidi" w:hAnsiTheme="minorBidi"/>
          <w:rtl/>
        </w:rPr>
        <w:lastRenderedPageBreak/>
        <w:t>מהריט"ץ ופרח מטה אהרן</w:t>
      </w:r>
      <w:r w:rsidRPr="00351B7D">
        <w:rPr>
          <w:rStyle w:val="a7"/>
          <w:rFonts w:asciiTheme="minorBidi" w:hAnsiTheme="minorBidi"/>
          <w:color w:val="000000"/>
          <w:rtl/>
        </w:rPr>
        <w:footnoteReference w:id="794"/>
      </w:r>
      <w:r w:rsidRPr="00351B7D">
        <w:rPr>
          <w:rFonts w:asciiTheme="minorBidi" w:hAnsiTheme="minorBidi"/>
          <w:rtl/>
        </w:rPr>
        <w:t>- מותר, ולא דמי לאבל</w:t>
      </w:r>
      <w:r w:rsidRPr="00351B7D">
        <w:rPr>
          <w:rFonts w:asciiTheme="minorBidi" w:hAnsiTheme="minorBidi"/>
          <w:color w:val="000000"/>
          <w:sz w:val="16"/>
          <w:szCs w:val="16"/>
          <w:rtl/>
        </w:rPr>
        <w:t xml:space="preserve"> (ביו"ד סי' שפ סכ"א) </w:t>
      </w:r>
      <w:r w:rsidRPr="00351B7D">
        <w:rPr>
          <w:rFonts w:asciiTheme="minorBidi" w:hAnsiTheme="minorBidi"/>
          <w:rtl/>
        </w:rPr>
        <w:t xml:space="preserve">דכאן לא אסרו רק להחתן עצמו ולא לאחרים שלא יעשו מלאכתו או שלא יתעסקו בממונו, ועוד שאיסור מלאכה לחתן היא תקנה לשמחתו וא"כ ע"י שותפו אפשר שמותר לו בלי ספק לפתוח החנות וליקח חלקו מאותן הימים. </w:t>
      </w:r>
    </w:p>
    <w:p w14:paraId="3F801989" w14:textId="77777777" w:rsidR="008E16D0" w:rsidRPr="00351B7D" w:rsidRDefault="008E16D0" w:rsidP="008E16D0">
      <w:pPr>
        <w:rPr>
          <w:rFonts w:asciiTheme="minorBidi" w:hAnsiTheme="minorBidi"/>
          <w:color w:val="000000"/>
          <w:rtl/>
        </w:rPr>
      </w:pPr>
      <w:r w:rsidRPr="00351B7D">
        <w:rPr>
          <w:rFonts w:asciiTheme="minorBidi" w:hAnsiTheme="minorBidi"/>
          <w:u w:val="single"/>
          <w:rtl/>
        </w:rPr>
        <w:t>תספורת לחתן בז' ימי המשתה: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(מהריב"ל ח"ג ס"ס ע"ב) </w:t>
      </w:r>
    </w:p>
    <w:p w14:paraId="30606BD2" w14:textId="77777777" w:rsidR="008E16D0" w:rsidRPr="00351B7D" w:rsidRDefault="008E16D0" w:rsidP="00A8697F">
      <w:pPr>
        <w:pStyle w:val="ab"/>
        <w:numPr>
          <w:ilvl w:val="0"/>
          <w:numId w:val="105"/>
        </w:numPr>
        <w:rPr>
          <w:rFonts w:asciiTheme="minorBidi" w:hAnsiTheme="minorBidi"/>
          <w:color w:val="000000"/>
          <w:u w:val="single"/>
        </w:rPr>
      </w:pPr>
      <w:r w:rsidRPr="00351B7D">
        <w:rPr>
          <w:rFonts w:asciiTheme="minorBidi" w:hAnsiTheme="minorBidi"/>
          <w:rtl/>
        </w:rPr>
        <w:t xml:space="preserve">ראב"ד </w:t>
      </w:r>
      <w:r w:rsidRPr="00351B7D">
        <w:rPr>
          <w:rFonts w:asciiTheme="minorBidi" w:hAnsiTheme="minorBidi"/>
          <w:color w:val="000000"/>
          <w:sz w:val="16"/>
          <w:szCs w:val="16"/>
          <w:rtl/>
        </w:rPr>
        <w:t>(פי"א מהל' אבל ה"ז)</w:t>
      </w:r>
      <w:r w:rsidRPr="00351B7D">
        <w:rPr>
          <w:rFonts w:asciiTheme="minorBidi" w:hAnsiTheme="minorBidi"/>
          <w:rtl/>
        </w:rPr>
        <w:t>- חתן אסור להסתפר בז' ימי המשתה.</w:t>
      </w:r>
    </w:p>
    <w:p w14:paraId="7E1522F7" w14:textId="77777777" w:rsidR="008E16D0" w:rsidRPr="00351B7D" w:rsidRDefault="008E16D0" w:rsidP="00A8697F">
      <w:pPr>
        <w:pStyle w:val="ab"/>
        <w:numPr>
          <w:ilvl w:val="0"/>
          <w:numId w:val="105"/>
        </w:numPr>
        <w:rPr>
          <w:rFonts w:asciiTheme="minorBidi" w:hAnsiTheme="minorBidi"/>
          <w:color w:val="000000"/>
          <w:u w:val="single"/>
          <w:rtl/>
        </w:rPr>
      </w:pPr>
      <w:r w:rsidRPr="00351B7D">
        <w:rPr>
          <w:rFonts w:asciiTheme="minorBidi" w:hAnsiTheme="minorBidi"/>
          <w:rtl/>
        </w:rPr>
        <w:t xml:space="preserve">רא"ש </w:t>
      </w:r>
      <w:r w:rsidRPr="00351B7D">
        <w:rPr>
          <w:rFonts w:asciiTheme="minorBidi" w:hAnsiTheme="minorBidi"/>
          <w:color w:val="000000"/>
          <w:sz w:val="16"/>
          <w:szCs w:val="16"/>
          <w:rtl/>
        </w:rPr>
        <w:t>(כתובות פ"א סי' ו)</w:t>
      </w:r>
      <w:r w:rsidRPr="00351B7D">
        <w:rPr>
          <w:rFonts w:asciiTheme="minorBidi" w:hAnsiTheme="minorBidi"/>
          <w:rtl/>
        </w:rPr>
        <w:t>- מותר לחתן להסתפר.</w:t>
      </w:r>
    </w:p>
    <w:p w14:paraId="0BEB491B"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 xml:space="preserve">האם חתן </w:t>
      </w:r>
      <w:r w:rsidRPr="00351B7D">
        <w:rPr>
          <w:rFonts w:asciiTheme="minorBidi" w:hAnsiTheme="minorBidi"/>
          <w:b/>
          <w:bCs/>
          <w:u w:val="single"/>
          <w:rtl/>
        </w:rPr>
        <w:t>בתוך שנתו</w:t>
      </w:r>
      <w:r w:rsidRPr="00351B7D">
        <w:rPr>
          <w:rFonts w:asciiTheme="minorBidi" w:hAnsiTheme="minorBidi"/>
          <w:u w:val="single"/>
          <w:rtl/>
        </w:rPr>
        <w:t xml:space="preserve"> מותר לצאת בסחורה למדינה אחרת:</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(פת"ש סק"ב) </w:t>
      </w:r>
    </w:p>
    <w:p w14:paraId="5C604F86" w14:textId="77777777" w:rsidR="008E16D0" w:rsidRPr="00351B7D" w:rsidRDefault="008E16D0" w:rsidP="00A8697F">
      <w:pPr>
        <w:pStyle w:val="ab"/>
        <w:numPr>
          <w:ilvl w:val="0"/>
          <w:numId w:val="128"/>
        </w:numPr>
        <w:rPr>
          <w:rFonts w:asciiTheme="minorBidi" w:hAnsiTheme="minorBidi"/>
        </w:rPr>
      </w:pPr>
      <w:r w:rsidRPr="00351B7D">
        <w:rPr>
          <w:rFonts w:asciiTheme="minorBidi" w:hAnsiTheme="minorBidi"/>
          <w:rtl/>
        </w:rPr>
        <w:t xml:space="preserve">רדב"ז </w:t>
      </w:r>
      <w:r w:rsidRPr="00351B7D">
        <w:rPr>
          <w:rFonts w:asciiTheme="minorBidi" w:hAnsiTheme="minorBidi"/>
          <w:sz w:val="16"/>
          <w:szCs w:val="16"/>
          <w:rtl/>
        </w:rPr>
        <w:t>(ח"א סי' רל"ח)</w:t>
      </w:r>
      <w:r w:rsidRPr="00351B7D">
        <w:rPr>
          <w:rFonts w:asciiTheme="minorBidi" w:hAnsiTheme="minorBidi"/>
          <w:rtl/>
        </w:rPr>
        <w:t xml:space="preserve">- מל' הגמ' </w:t>
      </w:r>
      <w:r w:rsidRPr="00351B7D">
        <w:rPr>
          <w:rFonts w:asciiTheme="minorBidi" w:hAnsiTheme="minorBidi"/>
          <w:sz w:val="16"/>
          <w:szCs w:val="16"/>
          <w:rtl/>
        </w:rPr>
        <w:t xml:space="preserve">(סוטה מד.) </w:t>
      </w:r>
      <w:r w:rsidRPr="00351B7D">
        <w:rPr>
          <w:rFonts w:asciiTheme="minorBidi" w:hAnsiTheme="minorBidi"/>
          <w:rtl/>
        </w:rPr>
        <w:t xml:space="preserve">משמע דלאו דלא יצא בצבא ועשה דנקי יהיה לביתו לא איירי אלא שלא יצא למלחמה ולא יספיק צורכי המלחמה אבל שלא ילך בסחורה לתועלתו ולהנאתו אין זה בכלל, וכ"מ מל' הסמ"ג </w:t>
      </w:r>
      <w:r w:rsidRPr="00351B7D">
        <w:rPr>
          <w:rFonts w:asciiTheme="minorBidi" w:hAnsiTheme="minorBidi"/>
          <w:sz w:val="16"/>
          <w:szCs w:val="16"/>
          <w:rtl/>
        </w:rPr>
        <w:t>(עשין קכ"א, לאוין ר"ל)</w:t>
      </w:r>
      <w:r w:rsidRPr="00351B7D">
        <w:rPr>
          <w:rFonts w:asciiTheme="minorBidi" w:hAnsiTheme="minorBidi"/>
          <w:rtl/>
        </w:rPr>
        <w:t xml:space="preserve"> והרמב"ם </w:t>
      </w:r>
      <w:r w:rsidRPr="00351B7D">
        <w:rPr>
          <w:rFonts w:asciiTheme="minorBidi" w:hAnsiTheme="minorBidi"/>
          <w:sz w:val="16"/>
          <w:szCs w:val="16"/>
          <w:rtl/>
        </w:rPr>
        <w:t>(פ"ז מהל' מלכים הי"א)</w:t>
      </w:r>
      <w:r w:rsidRPr="00351B7D">
        <w:rPr>
          <w:rFonts w:asciiTheme="minorBidi" w:hAnsiTheme="minorBidi"/>
          <w:rtl/>
        </w:rPr>
        <w:t xml:space="preserve">. </w:t>
      </w:r>
    </w:p>
    <w:p w14:paraId="75D7A2CA" w14:textId="77777777" w:rsidR="008E16D0" w:rsidRPr="00351B7D" w:rsidRDefault="008E16D0" w:rsidP="00A8697F">
      <w:pPr>
        <w:pStyle w:val="ab"/>
        <w:numPr>
          <w:ilvl w:val="0"/>
          <w:numId w:val="128"/>
        </w:numPr>
        <w:rPr>
          <w:rFonts w:asciiTheme="minorBidi" w:hAnsiTheme="minorBidi"/>
          <w:rtl/>
        </w:rPr>
      </w:pPr>
      <w:r w:rsidRPr="00351B7D">
        <w:rPr>
          <w:rFonts w:asciiTheme="minorBidi" w:hAnsiTheme="minorBidi"/>
          <w:rtl/>
        </w:rPr>
        <w:t xml:space="preserve">רש"י </w:t>
      </w:r>
      <w:r w:rsidRPr="00351B7D">
        <w:rPr>
          <w:rFonts w:asciiTheme="minorBidi" w:hAnsiTheme="minorBidi"/>
          <w:sz w:val="16"/>
          <w:szCs w:val="16"/>
          <w:rtl/>
        </w:rPr>
        <w:t xml:space="preserve">(ליקוטי הפרדס דין חתן) </w:t>
      </w:r>
      <w:r w:rsidRPr="00351B7D">
        <w:rPr>
          <w:rFonts w:asciiTheme="minorBidi" w:hAnsiTheme="minorBidi"/>
          <w:rtl/>
        </w:rPr>
        <w:t xml:space="preserve">והחינוך </w:t>
      </w:r>
      <w:r w:rsidRPr="00351B7D">
        <w:rPr>
          <w:rFonts w:asciiTheme="minorBidi" w:hAnsiTheme="minorBidi"/>
          <w:sz w:val="16"/>
          <w:szCs w:val="16"/>
          <w:rtl/>
        </w:rPr>
        <w:t>(מצוה תקפ"א)</w:t>
      </w:r>
      <w:r w:rsidRPr="00351B7D">
        <w:rPr>
          <w:rFonts w:asciiTheme="minorBidi" w:hAnsiTheme="minorBidi"/>
          <w:rtl/>
        </w:rPr>
        <w:t>- גם לצאת לסחורה אסור</w:t>
      </w:r>
      <w:r w:rsidRPr="00351B7D">
        <w:rPr>
          <w:rStyle w:val="a7"/>
          <w:rFonts w:asciiTheme="minorBidi" w:hAnsiTheme="minorBidi"/>
          <w:color w:val="000000"/>
          <w:rtl/>
        </w:rPr>
        <w:footnoteReference w:id="795"/>
      </w:r>
      <w:r w:rsidRPr="00351B7D">
        <w:rPr>
          <w:rFonts w:asciiTheme="minorBidi" w:hAnsiTheme="minorBidi"/>
          <w:rtl/>
        </w:rPr>
        <w:t xml:space="preserve">. </w:t>
      </w:r>
    </w:p>
    <w:p w14:paraId="6C8D1ACA" w14:textId="77777777" w:rsidR="008E16D0" w:rsidRPr="00351B7D" w:rsidRDefault="008E16D0" w:rsidP="008E16D0">
      <w:pPr>
        <w:rPr>
          <w:rFonts w:asciiTheme="minorBidi" w:hAnsiTheme="minorBidi"/>
          <w:color w:val="000000"/>
          <w:rtl/>
        </w:rPr>
      </w:pPr>
    </w:p>
    <w:p w14:paraId="7C499783" w14:textId="77777777" w:rsidR="008E16D0" w:rsidRPr="00351B7D" w:rsidRDefault="008E16D0" w:rsidP="008E16D0">
      <w:pPr>
        <w:pStyle w:val="2"/>
        <w:rPr>
          <w:rFonts w:asciiTheme="minorBidi" w:hAnsiTheme="minorBidi"/>
          <w:rtl/>
        </w:rPr>
      </w:pPr>
      <w:r w:rsidRPr="00351B7D">
        <w:rPr>
          <w:rFonts w:asciiTheme="minorBidi" w:hAnsiTheme="minorBidi"/>
          <w:rtl/>
        </w:rPr>
        <w:t>סעיף ב: ימי שמחה לנושא בעולה.</w:t>
      </w:r>
    </w:p>
    <w:p w14:paraId="2E467E98"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ז ע"א: </w:t>
      </w:r>
      <w:r w:rsidRPr="00351B7D">
        <w:rPr>
          <w:rFonts w:asciiTheme="minorBidi" w:hAnsiTheme="minorBidi"/>
          <w:rtl/>
        </w:rPr>
        <w:t>שקדו חכמים על תקנת בנות ישראל</w:t>
      </w:r>
      <w:r w:rsidRPr="00351B7D">
        <w:rPr>
          <w:rStyle w:val="a7"/>
          <w:rFonts w:asciiTheme="minorBidi" w:hAnsiTheme="minorBidi"/>
          <w:rtl/>
        </w:rPr>
        <w:footnoteReference w:id="796"/>
      </w:r>
      <w:r w:rsidRPr="00351B7D">
        <w:rPr>
          <w:rFonts w:asciiTheme="minorBidi" w:hAnsiTheme="minorBidi"/>
          <w:rtl/>
        </w:rPr>
        <w:t xml:space="preserve"> שיהא שמח עמה ג' ימים, במאי? אי בבחור, האמרת שבעה</w:t>
      </w:r>
      <w:r w:rsidRPr="00351B7D">
        <w:rPr>
          <w:rStyle w:val="a7"/>
          <w:rFonts w:asciiTheme="minorBidi" w:hAnsiTheme="minorBidi"/>
          <w:rtl/>
        </w:rPr>
        <w:footnoteReference w:id="797"/>
      </w:r>
      <w:r w:rsidRPr="00351B7D">
        <w:rPr>
          <w:rFonts w:asciiTheme="minorBidi" w:hAnsiTheme="minorBidi"/>
          <w:rtl/>
        </w:rPr>
        <w:t xml:space="preserve">! אי באלמון, האמרת יום אחד! </w:t>
      </w:r>
      <w:r w:rsidRPr="00351B7D">
        <w:rPr>
          <w:rStyle w:val="a7"/>
          <w:rFonts w:asciiTheme="minorBidi" w:hAnsiTheme="minorBidi"/>
          <w:rtl/>
        </w:rPr>
        <w:footnoteReference w:id="798"/>
      </w:r>
      <w:r w:rsidRPr="00351B7D">
        <w:rPr>
          <w:rFonts w:asciiTheme="minorBidi" w:hAnsiTheme="minorBidi"/>
          <w:rtl/>
        </w:rPr>
        <w:t>[איבעית אימא בבחור, ואיבעית אימא באלמון, איבעית אימא בבחור- שבעה לברכה ושלשה לשמחה, ואיבעית אימא באלמון- יום אחד לברכה וג' לשמחה].... דליכא בתולה דבצרה משבעה, וליכא אלמנה דבצרה מיום אחד.</w:t>
      </w:r>
    </w:p>
    <w:p w14:paraId="61734663" w14:textId="77777777" w:rsidR="008E16D0" w:rsidRPr="00351B7D" w:rsidRDefault="008E16D0" w:rsidP="008E16D0">
      <w:pPr>
        <w:rPr>
          <w:rFonts w:asciiTheme="minorBidi" w:hAnsiTheme="minorBidi"/>
          <w:sz w:val="16"/>
          <w:szCs w:val="16"/>
          <w:rtl/>
        </w:rPr>
      </w:pPr>
      <w:r w:rsidRPr="00351B7D">
        <w:rPr>
          <w:rFonts w:asciiTheme="minorBidi" w:hAnsiTheme="minorBidi"/>
          <w:u w:val="single"/>
          <w:rtl/>
        </w:rPr>
        <w:t>כמה הם ימי שמחה לבחור שנשא אלמנה:</w:t>
      </w:r>
      <w:r w:rsidRPr="00351B7D">
        <w:rPr>
          <w:rFonts w:asciiTheme="minorBidi" w:hAnsiTheme="minorBidi"/>
          <w:sz w:val="16"/>
          <w:szCs w:val="16"/>
          <w:rtl/>
        </w:rPr>
        <w:t xml:space="preserve">   (הועתק מסי' ס"ב)</w:t>
      </w:r>
    </w:p>
    <w:p w14:paraId="1E603482" w14:textId="77777777" w:rsidR="008E16D0" w:rsidRPr="00351B7D" w:rsidRDefault="008E16D0" w:rsidP="00A8697F">
      <w:pPr>
        <w:pStyle w:val="ab"/>
        <w:numPr>
          <w:ilvl w:val="0"/>
          <w:numId w:val="82"/>
        </w:numPr>
        <w:rPr>
          <w:rFonts w:asciiTheme="minorBidi" w:hAnsiTheme="minorBidi"/>
          <w:rtl/>
        </w:rPr>
      </w:pPr>
      <w:r w:rsidRPr="00351B7D">
        <w:rPr>
          <w:rFonts w:asciiTheme="minorBidi" w:hAnsiTheme="minorBidi"/>
          <w:rtl/>
        </w:rPr>
        <w:t xml:space="preserve">מקצת הגאונים </w:t>
      </w:r>
      <w:r w:rsidRPr="00351B7D">
        <w:rPr>
          <w:rFonts w:asciiTheme="minorBidi" w:hAnsiTheme="minorBidi"/>
          <w:sz w:val="16"/>
          <w:szCs w:val="16"/>
          <w:rtl/>
        </w:rPr>
        <w:t xml:space="preserve">(הביאם הה"מ) </w:t>
      </w:r>
      <w:r w:rsidRPr="00351B7D">
        <w:rPr>
          <w:rFonts w:asciiTheme="minorBidi" w:hAnsiTheme="minorBidi"/>
          <w:rtl/>
        </w:rPr>
        <w:t xml:space="preserve">רמב"ם </w:t>
      </w:r>
      <w:r w:rsidRPr="00351B7D">
        <w:rPr>
          <w:rFonts w:asciiTheme="minorBidi" w:hAnsiTheme="minorBidi"/>
          <w:sz w:val="16"/>
          <w:szCs w:val="16"/>
          <w:rtl/>
        </w:rPr>
        <w:t xml:space="preserve">(פ"י מה"א הי"ב) </w:t>
      </w:r>
      <w:r w:rsidRPr="00351B7D">
        <w:rPr>
          <w:rFonts w:asciiTheme="minorBidi" w:hAnsiTheme="minorBidi"/>
          <w:rtl/>
        </w:rPr>
        <w:t xml:space="preserve">רמב"ן </w:t>
      </w:r>
      <w:r w:rsidRPr="00351B7D">
        <w:rPr>
          <w:rFonts w:asciiTheme="minorBidi" w:hAnsiTheme="minorBidi"/>
          <w:sz w:val="16"/>
          <w:szCs w:val="16"/>
          <w:rtl/>
        </w:rPr>
        <w:t xml:space="preserve">(ז. ד"ה הא דאמרינן) </w:t>
      </w:r>
      <w:r w:rsidRPr="00351B7D">
        <w:rPr>
          <w:rFonts w:asciiTheme="minorBidi" w:hAnsiTheme="minorBidi"/>
          <w:rtl/>
        </w:rPr>
        <w:t>וטור</w:t>
      </w:r>
      <w:r w:rsidRPr="00351B7D">
        <w:rPr>
          <w:rStyle w:val="a7"/>
          <w:rFonts w:asciiTheme="minorBidi" w:hAnsiTheme="minorBidi"/>
          <w:rtl/>
        </w:rPr>
        <w:footnoteReference w:id="799"/>
      </w:r>
      <w:r w:rsidRPr="00351B7D">
        <w:rPr>
          <w:rFonts w:asciiTheme="minorBidi" w:hAnsiTheme="minorBidi"/>
          <w:rtl/>
        </w:rPr>
        <w:t>- הני תרי לישני</w:t>
      </w:r>
      <w:r w:rsidRPr="00351B7D">
        <w:rPr>
          <w:rFonts w:asciiTheme="minorBidi" w:hAnsiTheme="minorBidi"/>
          <w:sz w:val="16"/>
          <w:szCs w:val="16"/>
          <w:rtl/>
        </w:rPr>
        <w:t xml:space="preserve"> (אבע"א ואבע"א)</w:t>
      </w:r>
      <w:r w:rsidRPr="00351B7D">
        <w:rPr>
          <w:rFonts w:asciiTheme="minorBidi" w:hAnsiTheme="minorBidi"/>
          <w:rtl/>
        </w:rPr>
        <w:t xml:space="preserve"> לא פליגי אהדדי הילכך ליכא אלמנה דיתירה לשמחה מג' ואע"פ שנשאת לבחור</w:t>
      </w:r>
      <w:r w:rsidRPr="00351B7D">
        <w:rPr>
          <w:rStyle w:val="a7"/>
          <w:rFonts w:asciiTheme="minorBidi" w:hAnsiTheme="minorBidi"/>
          <w:rtl/>
        </w:rPr>
        <w:footnoteReference w:id="800"/>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6BCB3252" w14:textId="77777777" w:rsidR="008E16D0" w:rsidRPr="00351B7D" w:rsidRDefault="008E16D0" w:rsidP="00A8697F">
      <w:pPr>
        <w:pStyle w:val="ab"/>
        <w:numPr>
          <w:ilvl w:val="0"/>
          <w:numId w:val="82"/>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(ז. ד"ה ויש)</w:t>
      </w:r>
      <w:r w:rsidRPr="00351B7D">
        <w:rPr>
          <w:rFonts w:asciiTheme="minorBidi" w:hAnsiTheme="minorBidi"/>
          <w:rtl/>
        </w:rPr>
        <w:t xml:space="preserve"> וי"א</w:t>
      </w:r>
      <w:r w:rsidRPr="00351B7D">
        <w:rPr>
          <w:rFonts w:asciiTheme="minorBidi" w:hAnsiTheme="minorBidi"/>
          <w:sz w:val="16"/>
          <w:szCs w:val="16"/>
          <w:rtl/>
        </w:rPr>
        <w:t xml:space="preserve"> (הביאם הר"ן</w:t>
      </w:r>
      <w:r w:rsidRPr="00351B7D">
        <w:rPr>
          <w:rFonts w:asciiTheme="minorBidi" w:hAnsiTheme="minorBidi"/>
          <w:sz w:val="14"/>
          <w:szCs w:val="14"/>
          <w:rtl/>
        </w:rPr>
        <w:t xml:space="preserve"> [ב. ד"ה אחת]</w:t>
      </w:r>
      <w:r w:rsidRPr="00351B7D">
        <w:rPr>
          <w:rFonts w:asciiTheme="minorBidi" w:hAnsiTheme="minorBidi"/>
          <w:sz w:val="16"/>
          <w:szCs w:val="16"/>
          <w:rtl/>
        </w:rPr>
        <w:t>)</w:t>
      </w:r>
      <w:r w:rsidRPr="00351B7D">
        <w:rPr>
          <w:rFonts w:asciiTheme="minorBidi" w:hAnsiTheme="minorBidi"/>
          <w:rtl/>
        </w:rPr>
        <w:t>- הני תרי לישני פליגי ונקטינן כלישנא בתרא דבאלמון שנשא אלמנה ג' לשמחה ויום אחד לברכה אבל בחור שנשא אלמנה ז' לברכה וז' לשמחה, ולא נפישי ימי ברכה מימי שמחה דאינו בדין שיהא משכים למלאכתו ומברכים לו ברכת חתנים אלא ודאי ז' נמי אית ליה לשמחה</w:t>
      </w:r>
      <w:r w:rsidRPr="00351B7D">
        <w:rPr>
          <w:rStyle w:val="a7"/>
          <w:rFonts w:asciiTheme="minorBidi" w:hAnsiTheme="minorBidi"/>
          <w:rtl/>
        </w:rPr>
        <w:footnoteReference w:id="801"/>
      </w:r>
      <w:r w:rsidRPr="00351B7D">
        <w:rPr>
          <w:rFonts w:asciiTheme="minorBidi" w:hAnsiTheme="minorBidi"/>
          <w:rtl/>
        </w:rPr>
        <w:t>.</w:t>
      </w:r>
    </w:p>
    <w:p w14:paraId="6D565E7C"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73AE10" w14:textId="77777777" w:rsidR="008E16D0" w:rsidRPr="00351B7D" w:rsidRDefault="008E16D0" w:rsidP="008E16D0">
      <w:pPr>
        <w:rPr>
          <w:rFonts w:asciiTheme="minorBidi" w:hAnsiTheme="minorBidi"/>
          <w:color w:val="000000"/>
          <w:rtl/>
        </w:rPr>
      </w:pPr>
      <w:r w:rsidRPr="00351B7D">
        <w:rPr>
          <w:rFonts w:asciiTheme="minorBidi" w:hAnsiTheme="minorBidi"/>
          <w:rtl/>
        </w:rPr>
        <w:lastRenderedPageBreak/>
        <w:t>הנושא את הבעולה</w:t>
      </w:r>
      <w:r w:rsidRPr="00351B7D">
        <w:rPr>
          <w:rStyle w:val="a7"/>
          <w:rFonts w:asciiTheme="minorBidi" w:hAnsiTheme="minorBidi"/>
          <w:color w:val="000000"/>
          <w:rtl/>
        </w:rPr>
        <w:footnoteReference w:id="802"/>
      </w:r>
      <w:r w:rsidRPr="00351B7D">
        <w:rPr>
          <w:rFonts w:asciiTheme="minorBidi" w:hAnsiTheme="minorBidi"/>
          <w:rtl/>
        </w:rPr>
        <w:t xml:space="preserve"> צריך לשמח עמה שלשת ימים בין בחור בין אלמון ויש אומרים דבחור שנשא בעולה צריך לשמוח עמה ז' ימים.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(והאשה יכולה למחול על שמחתה</w:t>
      </w:r>
      <w:r w:rsidRPr="00351B7D">
        <w:rPr>
          <w:rStyle w:val="a7"/>
          <w:rFonts w:asciiTheme="minorBidi" w:hAnsiTheme="minorBidi"/>
          <w:color w:val="000000"/>
          <w:sz w:val="18"/>
          <w:szCs w:val="18"/>
          <w:rtl/>
        </w:rPr>
        <w:footnoteReference w:id="803"/>
      </w:r>
      <w:r w:rsidRPr="00351B7D">
        <w:rPr>
          <w:rFonts w:asciiTheme="minorBidi" w:hAnsiTheme="minorBidi"/>
          <w:color w:val="000000"/>
          <w:sz w:val="18"/>
          <w:szCs w:val="18"/>
          <w:rtl/>
        </w:rPr>
        <w:t xml:space="preserve"> (רי"ו נכ"ב)). </w:t>
      </w:r>
    </w:p>
    <w:p w14:paraId="61E96EC2" w14:textId="77777777" w:rsidR="008E16D0" w:rsidRPr="00351B7D" w:rsidRDefault="008E16D0" w:rsidP="008E16D0">
      <w:pPr>
        <w:rPr>
          <w:rFonts w:asciiTheme="minorBidi" w:hAnsiTheme="minorBidi"/>
          <w:color w:val="000000"/>
          <w:rtl/>
        </w:rPr>
      </w:pPr>
    </w:p>
    <w:p w14:paraId="534AE53D" w14:textId="77777777" w:rsidR="008E16D0" w:rsidRPr="00351B7D" w:rsidRDefault="008E16D0" w:rsidP="008E16D0">
      <w:pPr>
        <w:pStyle w:val="2"/>
        <w:rPr>
          <w:rFonts w:asciiTheme="minorBidi" w:hAnsiTheme="minorBidi"/>
          <w:rtl/>
        </w:rPr>
      </w:pPr>
      <w:r w:rsidRPr="00351B7D">
        <w:rPr>
          <w:rFonts w:asciiTheme="minorBidi" w:hAnsiTheme="minorBidi"/>
          <w:rtl/>
        </w:rPr>
        <w:t>סעיף ג: באיזה יום ראוי להינשא.</w:t>
      </w:r>
    </w:p>
    <w:p w14:paraId="7B492A0D" w14:textId="77777777" w:rsidR="008E16D0" w:rsidRPr="00351B7D" w:rsidRDefault="008E16D0" w:rsidP="008E16D0">
      <w:pPr>
        <w:rPr>
          <w:rFonts w:asciiTheme="minorBidi" w:hAnsiTheme="minorBidi"/>
          <w:b/>
          <w:bCs/>
          <w:rtl/>
        </w:rPr>
      </w:pPr>
      <w:r w:rsidRPr="00351B7D">
        <w:rPr>
          <w:rFonts w:asciiTheme="minorBidi" w:hAnsiTheme="minorBidi"/>
          <w:b/>
          <w:bCs/>
          <w:rtl/>
        </w:rPr>
        <w:t xml:space="preserve">כתובות ב ע"א: </w:t>
      </w:r>
      <w:r w:rsidRPr="00351B7D">
        <w:rPr>
          <w:rFonts w:asciiTheme="minorBidi" w:hAnsiTheme="minorBidi"/>
          <w:u w:val="double"/>
          <w:rtl/>
        </w:rPr>
        <w:t>משנה:</w:t>
      </w:r>
      <w:r w:rsidRPr="00351B7D">
        <w:rPr>
          <w:rFonts w:asciiTheme="minorBidi" w:hAnsiTheme="minorBidi"/>
          <w:rtl/>
        </w:rPr>
        <w:t xml:space="preserve"> בתולה נשאת ליום הרביעי, ואלמנה ליום החמישי, שפעמים בשבת</w:t>
      </w:r>
      <w:r w:rsidRPr="00351B7D">
        <w:rPr>
          <w:rStyle w:val="a7"/>
          <w:rFonts w:asciiTheme="minorBidi" w:hAnsiTheme="minorBidi"/>
          <w:rtl/>
        </w:rPr>
        <w:footnoteReference w:id="804"/>
      </w:r>
      <w:r w:rsidRPr="00351B7D">
        <w:rPr>
          <w:rFonts w:asciiTheme="minorBidi" w:hAnsiTheme="minorBidi"/>
          <w:rtl/>
        </w:rPr>
        <w:t xml:space="preserve"> בתי דינין יושבין בעיירות ביום השני וביום החמישי</w:t>
      </w:r>
      <w:r w:rsidRPr="00351B7D">
        <w:rPr>
          <w:rStyle w:val="a7"/>
          <w:rFonts w:asciiTheme="minorBidi" w:hAnsiTheme="minorBidi"/>
          <w:rtl/>
        </w:rPr>
        <w:footnoteReference w:id="805"/>
      </w:r>
      <w:r w:rsidRPr="00351B7D">
        <w:rPr>
          <w:rFonts w:asciiTheme="minorBidi" w:hAnsiTheme="minorBidi"/>
          <w:rtl/>
        </w:rPr>
        <w:t xml:space="preserve"> שאם היה לו טענת בתולים היה משכים לבית דין.      </w:t>
      </w:r>
      <w:r w:rsidRPr="00351B7D">
        <w:rPr>
          <w:rFonts w:asciiTheme="minorBidi" w:hAnsiTheme="minorBidi"/>
          <w:u w:val="double"/>
          <w:rtl/>
        </w:rPr>
        <w:t>גמ':</w:t>
      </w:r>
      <w:r w:rsidRPr="00351B7D">
        <w:rPr>
          <w:rFonts w:asciiTheme="minorBidi" w:hAnsiTheme="minorBidi"/>
          <w:rtl/>
        </w:rPr>
        <w:t xml:space="preserve"> הכי איתמר, </w:t>
      </w:r>
      <w:r w:rsidRPr="00351B7D">
        <w:rPr>
          <w:rFonts w:asciiTheme="minorBidi" w:hAnsiTheme="minorBidi"/>
          <w:u w:val="single"/>
          <w:rtl/>
        </w:rPr>
        <w:t>אמר רב יהודה אמר שמואל</w:t>
      </w:r>
      <w:r w:rsidRPr="00351B7D">
        <w:rPr>
          <w:rFonts w:asciiTheme="minorBidi" w:hAnsiTheme="minorBidi"/>
          <w:rtl/>
        </w:rPr>
        <w:t xml:space="preserve">: מפני מה אמרו בתולה נשאת ליום הרביעי? שאם היה לו טענת בתולים היה משכים לב"ד, ותינשא באחד בשבת שאם היה לו טענת בתולים היה משכים לבית דין! שקדו חכמים על תקנת בנות ישראל שיהא טורח בסעודה שלשה ימים אחד בשבת ושני בשבת ושלישי בשבת וברביעי כונסה.    </w:t>
      </w:r>
      <w:r w:rsidRPr="00351B7D">
        <w:rPr>
          <w:rFonts w:asciiTheme="minorBidi" w:hAnsiTheme="minorBidi"/>
          <w:sz w:val="16"/>
          <w:szCs w:val="16"/>
          <w:u w:val="double"/>
          <w:rtl/>
        </w:rPr>
        <w:t>(ג.):</w:t>
      </w:r>
      <w:r w:rsidRPr="00351B7D">
        <w:rPr>
          <w:rFonts w:asciiTheme="minorBidi" w:hAnsiTheme="minorBidi"/>
          <w:sz w:val="16"/>
          <w:szCs w:val="16"/>
          <w:rtl/>
        </w:rPr>
        <w:t xml:space="preserve"> </w:t>
      </w:r>
      <w:r w:rsidRPr="00351B7D">
        <w:rPr>
          <w:rFonts w:asciiTheme="minorBidi" w:hAnsiTheme="minorBidi"/>
          <w:u w:val="single"/>
          <w:rtl/>
        </w:rPr>
        <w:t>אמר רב שמואל בר יצחק</w:t>
      </w:r>
      <w:r w:rsidRPr="00351B7D">
        <w:rPr>
          <w:rFonts w:asciiTheme="minorBidi" w:hAnsiTheme="minorBidi"/>
          <w:rtl/>
        </w:rPr>
        <w:t>: לא שנו אלא מתקנת עזרא ואילך שאין בתי דינין קבועין אלא בשני ובחמישי אבל קודם תקנת עזרא שבתי דינין קבועין בכל יום אשה נשאת בכל יום. קודם תקנת עזרא מאי דהוה הוה! הכי קאמר אי איכא בתי דינין דקבועין האידנא כקודם תקנת עזרא אשה נשאת בכל יום. הא בעינן שקדו! דטריח ליה</w:t>
      </w:r>
      <w:r w:rsidRPr="00351B7D">
        <w:rPr>
          <w:rStyle w:val="a7"/>
          <w:rFonts w:asciiTheme="minorBidi" w:hAnsiTheme="minorBidi"/>
          <w:rtl/>
        </w:rPr>
        <w:footnoteReference w:id="806"/>
      </w:r>
      <w:r w:rsidRPr="00351B7D">
        <w:rPr>
          <w:rFonts w:asciiTheme="minorBidi" w:hAnsiTheme="minorBidi"/>
          <w:rtl/>
        </w:rPr>
        <w:t xml:space="preserve">. </w:t>
      </w:r>
      <w:r w:rsidRPr="00351B7D">
        <w:rPr>
          <w:rFonts w:asciiTheme="minorBidi" w:hAnsiTheme="minorBidi"/>
          <w:color w:val="000000"/>
          <w:sz w:val="16"/>
          <w:szCs w:val="16"/>
          <w:rtl/>
        </w:rPr>
        <w:t xml:space="preserve">(וכ' הרא"ש (סי' ג) וא"ת ואמאי נישאת בכל יום תהוי כאלמנה ותנשא בחמישי ותבעל בליל ששי הואיל ונאמרה בו ברכה לאדם וי"ל משום ברכה לחודה לא היינו מתקנים ימי זמן קבוע, מדפריך תלמודא ותנשא באחד בשבת, וכן גבי אלמנה לאו משום ברכה גרידא אמרו שתנשא בחמישי אלא כדאמרינן לקמן שקדו שיהא שמח עמה ג' ימים ואגב שתקנו משום שקדו תקנו שתנשא בחמישי משום ברכה, ושקדו שיהא שמח עמה שלשה ימים לא שייך בבתולה דליכא למימר למחר משכים לאומנותו והולך לו לפי שיש לה שבעת ימי המשתה הילכך משום ברכה גרידא לא תקנו זמן לבתולה. </w:t>
      </w:r>
      <w:r w:rsidRPr="00351B7D">
        <w:rPr>
          <w:rFonts w:asciiTheme="minorBidi" w:hAnsiTheme="minorBidi"/>
          <w:color w:val="E36C0A" w:themeColor="accent6" w:themeShade="BF"/>
          <w:sz w:val="16"/>
          <w:szCs w:val="16"/>
          <w:rtl/>
        </w:rPr>
        <w:t>וכ"כ בשו"ע</w:t>
      </w:r>
      <w:r w:rsidRPr="00351B7D">
        <w:rPr>
          <w:rFonts w:asciiTheme="minorBidi" w:hAnsiTheme="minorBidi"/>
          <w:color w:val="000000"/>
          <w:sz w:val="14"/>
          <w:szCs w:val="14"/>
          <w:rtl/>
        </w:rPr>
        <w:t xml:space="preserve"> {היינו שלא הזכיר טעם משום ברכה אלא משום שקדו}</w:t>
      </w:r>
      <w:r w:rsidRPr="00351B7D">
        <w:rPr>
          <w:rFonts w:asciiTheme="minorBidi" w:hAnsiTheme="minorBidi"/>
          <w:color w:val="000000"/>
          <w:sz w:val="16"/>
          <w:szCs w:val="16"/>
          <w:rtl/>
        </w:rPr>
        <w:t>)</w:t>
      </w:r>
    </w:p>
    <w:p w14:paraId="40DF2D35"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ה ע"א: </w:t>
      </w:r>
      <w:r w:rsidRPr="00351B7D">
        <w:rPr>
          <w:rFonts w:asciiTheme="minorBidi" w:hAnsiTheme="minorBidi"/>
          <w:rtl/>
        </w:rPr>
        <w:t xml:space="preserve">ת"ש </w:t>
      </w:r>
      <w:r w:rsidRPr="00351B7D">
        <w:rPr>
          <w:rFonts w:asciiTheme="minorBidi" w:hAnsiTheme="minorBidi"/>
          <w:u w:val="single"/>
          <w:rtl/>
        </w:rPr>
        <w:t>דתני בר קפרא</w:t>
      </w:r>
      <w:r w:rsidRPr="00351B7D">
        <w:rPr>
          <w:rFonts w:asciiTheme="minorBidi" w:hAnsiTheme="minorBidi"/>
          <w:rtl/>
        </w:rPr>
        <w:t>: בתולה נשאת ברביעי ונבעלת בחמישי</w:t>
      </w:r>
      <w:r w:rsidRPr="00351B7D">
        <w:rPr>
          <w:rStyle w:val="a7"/>
          <w:rFonts w:asciiTheme="minorBidi" w:hAnsiTheme="minorBidi"/>
          <w:rtl/>
        </w:rPr>
        <w:footnoteReference w:id="807"/>
      </w:r>
      <w:r w:rsidRPr="00351B7D">
        <w:rPr>
          <w:rFonts w:asciiTheme="minorBidi" w:hAnsiTheme="minorBidi"/>
          <w:rtl/>
        </w:rPr>
        <w:t xml:space="preserve"> הואיל ונאמרה בו ברכה לדגים</w:t>
      </w:r>
      <w:r w:rsidRPr="00351B7D">
        <w:rPr>
          <w:rStyle w:val="a7"/>
          <w:rFonts w:asciiTheme="minorBidi" w:hAnsiTheme="minorBidi"/>
          <w:rtl/>
        </w:rPr>
        <w:footnoteReference w:id="808"/>
      </w:r>
      <w:r w:rsidRPr="00351B7D">
        <w:rPr>
          <w:rFonts w:asciiTheme="minorBidi" w:hAnsiTheme="minorBidi"/>
          <w:rtl/>
        </w:rPr>
        <w:t>, אלמנה נשאת בחמישי ונבעלת בששי הואיל ונאמרה בו ברכה לאדם</w:t>
      </w:r>
      <w:r w:rsidRPr="00351B7D">
        <w:rPr>
          <w:rStyle w:val="a7"/>
          <w:rFonts w:asciiTheme="minorBidi" w:hAnsiTheme="minorBidi"/>
          <w:rtl/>
        </w:rPr>
        <w:footnoteReference w:id="809"/>
      </w:r>
      <w:r w:rsidRPr="00351B7D">
        <w:rPr>
          <w:rFonts w:asciiTheme="minorBidi" w:hAnsiTheme="minorBidi"/>
          <w:rtl/>
        </w:rPr>
        <w:t>, טעמא משום ברכה</w:t>
      </w:r>
      <w:r w:rsidRPr="00351B7D">
        <w:rPr>
          <w:rStyle w:val="a7"/>
          <w:rFonts w:asciiTheme="minorBidi" w:hAnsiTheme="minorBidi"/>
          <w:rtl/>
        </w:rPr>
        <w:footnoteReference w:id="810"/>
      </w:r>
      <w:r w:rsidRPr="00351B7D">
        <w:rPr>
          <w:rFonts w:asciiTheme="minorBidi" w:hAnsiTheme="minorBidi"/>
          <w:rtl/>
        </w:rPr>
        <w:t xml:space="preserve"> אבל משום איקרורי דעתא</w:t>
      </w:r>
      <w:r w:rsidRPr="00351B7D">
        <w:rPr>
          <w:rStyle w:val="a7"/>
          <w:rFonts w:asciiTheme="minorBidi" w:hAnsiTheme="minorBidi"/>
          <w:rtl/>
        </w:rPr>
        <w:footnoteReference w:id="811"/>
      </w:r>
      <w:r w:rsidRPr="00351B7D">
        <w:rPr>
          <w:rFonts w:asciiTheme="minorBidi" w:hAnsiTheme="minorBidi"/>
          <w:rtl/>
        </w:rPr>
        <w:t xml:space="preserve"> לא חיישינן. אי הכי אלמנה נמי תיבעל בחמישי הואיל ונאמרה בו ברכה לדגים! ברכה דאדם עדיפא ליה</w:t>
      </w:r>
      <w:r w:rsidRPr="00351B7D">
        <w:rPr>
          <w:rStyle w:val="a7"/>
          <w:rFonts w:asciiTheme="minorBidi" w:hAnsiTheme="minorBidi"/>
          <w:rtl/>
        </w:rPr>
        <w:footnoteReference w:id="812"/>
      </w:r>
      <w:r w:rsidRPr="00351B7D">
        <w:rPr>
          <w:rFonts w:asciiTheme="minorBidi" w:hAnsiTheme="minorBidi"/>
          <w:rtl/>
        </w:rPr>
        <w:t>, ואי נמי משום שקדו, דתניא מפני מה אמרו אלמנה נשאת בחמישי ונבעלת בששי? שאם אתה אומר תיבעל בחמישי למחר משכים לאומנתו והולך</w:t>
      </w:r>
      <w:r w:rsidRPr="00351B7D">
        <w:rPr>
          <w:rStyle w:val="a7"/>
          <w:rFonts w:asciiTheme="minorBidi" w:hAnsiTheme="minorBidi"/>
          <w:rtl/>
        </w:rPr>
        <w:footnoteReference w:id="813"/>
      </w:r>
      <w:r w:rsidRPr="00351B7D">
        <w:rPr>
          <w:rFonts w:asciiTheme="minorBidi" w:hAnsiTheme="minorBidi"/>
          <w:rtl/>
        </w:rPr>
        <w:t xml:space="preserve"> לו שקדו חכמים על תקנת בנות ישראל שיהא שמח עמה שלשה ימים חמישי בשבת</w:t>
      </w:r>
      <w:r w:rsidRPr="00351B7D">
        <w:rPr>
          <w:rStyle w:val="a7"/>
          <w:rFonts w:asciiTheme="minorBidi" w:hAnsiTheme="minorBidi"/>
          <w:rtl/>
        </w:rPr>
        <w:footnoteReference w:id="814"/>
      </w:r>
      <w:r w:rsidRPr="00351B7D">
        <w:rPr>
          <w:rFonts w:asciiTheme="minorBidi" w:hAnsiTheme="minorBidi"/>
          <w:rtl/>
        </w:rPr>
        <w:t xml:space="preserve"> וערב שבת</w:t>
      </w:r>
      <w:r w:rsidRPr="00351B7D">
        <w:rPr>
          <w:rStyle w:val="a7"/>
          <w:rFonts w:asciiTheme="minorBidi" w:hAnsiTheme="minorBidi"/>
          <w:rtl/>
        </w:rPr>
        <w:footnoteReference w:id="815"/>
      </w:r>
      <w:r w:rsidRPr="00351B7D">
        <w:rPr>
          <w:rFonts w:asciiTheme="minorBidi" w:hAnsiTheme="minorBidi"/>
          <w:rtl/>
        </w:rPr>
        <w:t xml:space="preserve"> ושבת. מאי איכא בין ברכה לשקדו? איכא בינייהו אדם בטל</w:t>
      </w:r>
      <w:r w:rsidRPr="00351B7D">
        <w:rPr>
          <w:rStyle w:val="a7"/>
          <w:rFonts w:asciiTheme="minorBidi" w:hAnsiTheme="minorBidi"/>
          <w:rtl/>
        </w:rPr>
        <w:footnoteReference w:id="816"/>
      </w:r>
      <w:r w:rsidRPr="00351B7D">
        <w:rPr>
          <w:rFonts w:asciiTheme="minorBidi" w:hAnsiTheme="minorBidi"/>
          <w:rtl/>
        </w:rPr>
        <w:t xml:space="preserve">, אי נמי יום טוב שחל להיות בערב שבת. </w:t>
      </w:r>
      <w:r w:rsidRPr="00351B7D">
        <w:rPr>
          <w:rFonts w:asciiTheme="minorBidi" w:hAnsiTheme="minorBidi"/>
          <w:color w:val="000000"/>
          <w:sz w:val="16"/>
          <w:szCs w:val="16"/>
          <w:rtl/>
        </w:rPr>
        <w:t>(וכ' הרא"ש (סי' י) נראה דטעמא דשקדו עיקר, דלא קבעו זמן משום ברכה</w:t>
      </w:r>
      <w:r w:rsidRPr="00351B7D">
        <w:rPr>
          <w:rStyle w:val="a7"/>
          <w:rFonts w:asciiTheme="minorBidi" w:hAnsiTheme="minorBidi"/>
          <w:sz w:val="16"/>
          <w:szCs w:val="16"/>
          <w:rtl/>
        </w:rPr>
        <w:footnoteReference w:id="817"/>
      </w:r>
      <w:r w:rsidRPr="00351B7D">
        <w:rPr>
          <w:rFonts w:asciiTheme="minorBidi" w:hAnsiTheme="minorBidi"/>
          <w:color w:val="000000"/>
          <w:sz w:val="16"/>
          <w:szCs w:val="16"/>
          <w:rtl/>
        </w:rPr>
        <w:t>, הילכך אם אדם בטל הוא יכול לישא בכל יום ואם בעל מלאכה הוא לא ישא אלא בחמישי ויבעול בששי)</w:t>
      </w:r>
    </w:p>
    <w:p w14:paraId="4CD62717"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ד ע"ב: </w:t>
      </w:r>
      <w:r w:rsidRPr="00351B7D">
        <w:rPr>
          <w:rFonts w:asciiTheme="minorBidi" w:hAnsiTheme="minorBidi"/>
          <w:u w:val="single"/>
          <w:rtl/>
        </w:rPr>
        <w:t>אמר מר</w:t>
      </w:r>
      <w:r w:rsidRPr="00351B7D">
        <w:rPr>
          <w:rFonts w:asciiTheme="minorBidi" w:hAnsiTheme="minorBidi"/>
          <w:rtl/>
        </w:rPr>
        <w:t xml:space="preserve">: בין כך ובין כך, לא יבעול לא בערב שבת ולא במוצ"ש. בשלמא בערב שבת משום חבורה, אלא במוצאי שבת אמאי לא? </w:t>
      </w:r>
      <w:r w:rsidRPr="00351B7D">
        <w:rPr>
          <w:rFonts w:asciiTheme="minorBidi" w:hAnsiTheme="minorBidi"/>
          <w:u w:val="single"/>
          <w:rtl/>
        </w:rPr>
        <w:t>אמר רבי זירא</w:t>
      </w:r>
      <w:r w:rsidRPr="00351B7D">
        <w:rPr>
          <w:rFonts w:asciiTheme="minorBidi" w:hAnsiTheme="minorBidi"/>
          <w:rtl/>
        </w:rPr>
        <w:t>: משום חשבונות</w:t>
      </w:r>
      <w:r w:rsidRPr="00351B7D">
        <w:rPr>
          <w:rStyle w:val="a7"/>
          <w:rFonts w:asciiTheme="minorBidi" w:hAnsiTheme="minorBidi"/>
          <w:rtl/>
        </w:rPr>
        <w:footnoteReference w:id="818"/>
      </w:r>
      <w:r w:rsidRPr="00351B7D">
        <w:rPr>
          <w:rFonts w:asciiTheme="minorBidi" w:hAnsiTheme="minorBidi"/>
          <w:rtl/>
        </w:rPr>
        <w:t xml:space="preserve">. </w:t>
      </w:r>
      <w:r w:rsidRPr="00351B7D">
        <w:rPr>
          <w:rFonts w:asciiTheme="minorBidi" w:hAnsiTheme="minorBidi"/>
          <w:u w:val="single"/>
          <w:rtl/>
        </w:rPr>
        <w:t>אמר ליה אביי</w:t>
      </w:r>
      <w:r w:rsidRPr="00351B7D">
        <w:rPr>
          <w:rFonts w:asciiTheme="minorBidi" w:hAnsiTheme="minorBidi"/>
          <w:rtl/>
        </w:rPr>
        <w:t xml:space="preserve">: וחשבונות של מצוה מי אסירי? והא רב חסדא ורב המנונא דאמרי תרוייהו: חשבונות של מצוה מותר לחשבן בשבת... </w:t>
      </w:r>
      <w:r w:rsidRPr="00351B7D">
        <w:rPr>
          <w:rFonts w:asciiTheme="minorBidi" w:hAnsiTheme="minorBidi"/>
          <w:u w:val="single"/>
          <w:rtl/>
        </w:rPr>
        <w:t>אלא אמר רבי זירא</w:t>
      </w:r>
      <w:r w:rsidRPr="00351B7D">
        <w:rPr>
          <w:rFonts w:asciiTheme="minorBidi" w:hAnsiTheme="minorBidi"/>
          <w:rtl/>
        </w:rPr>
        <w:t>: גזירה שמא ישחוט בן עוף</w:t>
      </w:r>
      <w:r w:rsidRPr="00351B7D">
        <w:rPr>
          <w:rStyle w:val="a7"/>
          <w:rFonts w:asciiTheme="minorBidi" w:hAnsiTheme="minorBidi"/>
          <w:rtl/>
        </w:rPr>
        <w:footnoteReference w:id="819"/>
      </w:r>
      <w:r w:rsidRPr="00351B7D">
        <w:rPr>
          <w:rFonts w:asciiTheme="minorBidi" w:hAnsiTheme="minorBidi"/>
          <w:rtl/>
        </w:rPr>
        <w:t>... השתא דאתית להכי ערב שבת נמי גזירה שמא ישחוט בן עוף</w:t>
      </w:r>
      <w:r w:rsidRPr="00351B7D">
        <w:rPr>
          <w:rStyle w:val="a7"/>
          <w:rFonts w:asciiTheme="minorBidi" w:hAnsiTheme="minorBidi"/>
          <w:rtl/>
        </w:rPr>
        <w:footnoteReference w:id="820"/>
      </w:r>
      <w:r w:rsidRPr="00351B7D">
        <w:rPr>
          <w:rFonts w:asciiTheme="minorBidi" w:hAnsiTheme="minorBidi"/>
          <w:rtl/>
        </w:rPr>
        <w:t xml:space="preserve">. </w:t>
      </w:r>
    </w:p>
    <w:p w14:paraId="4EA67938" w14:textId="77777777" w:rsidR="008E16D0" w:rsidRPr="00351B7D" w:rsidRDefault="008E16D0" w:rsidP="008E16D0">
      <w:pPr>
        <w:rPr>
          <w:rFonts w:asciiTheme="minorBidi" w:hAnsiTheme="minorBidi"/>
          <w:u w:val="single"/>
          <w:rtl/>
        </w:rPr>
      </w:pPr>
      <w:r w:rsidRPr="00351B7D">
        <w:rPr>
          <w:rFonts w:asciiTheme="minorBidi" w:hAnsiTheme="minorBidi"/>
          <w:u w:val="single"/>
          <w:rtl/>
        </w:rPr>
        <w:lastRenderedPageBreak/>
        <w:t>האם מותר לעשות חתונה ביום שישי ובאחד בשבת:</w:t>
      </w:r>
    </w:p>
    <w:p w14:paraId="63852758" w14:textId="77777777" w:rsidR="008E16D0" w:rsidRPr="00351B7D" w:rsidRDefault="008E16D0" w:rsidP="00A8697F">
      <w:pPr>
        <w:pStyle w:val="ab"/>
        <w:numPr>
          <w:ilvl w:val="0"/>
          <w:numId w:val="106"/>
        </w:numPr>
        <w:rPr>
          <w:rFonts w:asciiTheme="minorBidi" w:hAnsiTheme="minorBidi"/>
        </w:rPr>
      </w:pPr>
      <w:r w:rsidRPr="00351B7D">
        <w:rPr>
          <w:rFonts w:asciiTheme="minorBidi" w:hAnsiTheme="minorBidi"/>
          <w:rtl/>
        </w:rPr>
        <w:t>ר"י מיגא"ש רמב"ם רמב"ן והה"מ</w:t>
      </w:r>
      <w:r w:rsidRPr="00351B7D">
        <w:rPr>
          <w:rStyle w:val="a7"/>
          <w:rFonts w:asciiTheme="minorBidi" w:hAnsiTheme="minorBidi"/>
          <w:rtl/>
        </w:rPr>
        <w:footnoteReference w:id="821"/>
      </w:r>
      <w:r w:rsidRPr="00351B7D">
        <w:rPr>
          <w:rFonts w:asciiTheme="minorBidi" w:hAnsiTheme="minorBidi"/>
          <w:rtl/>
        </w:rPr>
        <w:t>- "אין נושאין נשים לא בערב שבת ולא באחד בשבת גזירה שמא יבוא לידי חילול שבת בתיקון הסעודה שהחתן טרוד בסעודתו</w:t>
      </w:r>
      <w:r w:rsidRPr="00351B7D">
        <w:rPr>
          <w:rStyle w:val="a7"/>
          <w:rFonts w:asciiTheme="minorBidi" w:hAnsiTheme="minorBidi"/>
          <w:rtl/>
        </w:rPr>
        <w:footnoteReference w:id="822"/>
      </w:r>
      <w:r w:rsidRPr="00351B7D">
        <w:rPr>
          <w:rFonts w:asciiTheme="minorBidi" w:hAnsiTheme="minorBidi"/>
          <w:sz w:val="16"/>
          <w:szCs w:val="16"/>
          <w:rtl/>
        </w:rPr>
        <w:t xml:space="preserve"> (ל' הרמב"ם)</w:t>
      </w:r>
      <w:r w:rsidRPr="00351B7D">
        <w:rPr>
          <w:rFonts w:asciiTheme="minorBidi" w:hAnsiTheme="minorBidi"/>
          <w:rtl/>
        </w:rPr>
        <w:t xml:space="preserve">". </w:t>
      </w:r>
    </w:p>
    <w:p w14:paraId="0643382F" w14:textId="77777777" w:rsidR="008E16D0" w:rsidRPr="00351B7D" w:rsidRDefault="008E16D0" w:rsidP="00A8697F">
      <w:pPr>
        <w:pStyle w:val="ab"/>
        <w:numPr>
          <w:ilvl w:val="0"/>
          <w:numId w:val="106"/>
        </w:numPr>
        <w:rPr>
          <w:rFonts w:asciiTheme="minorBidi" w:hAnsiTheme="minorBidi"/>
          <w:rtl/>
        </w:rPr>
      </w:pPr>
      <w:r w:rsidRPr="00351B7D">
        <w:rPr>
          <w:rFonts w:asciiTheme="minorBidi" w:hAnsiTheme="minorBidi"/>
          <w:rtl/>
        </w:rPr>
        <w:t xml:space="preserve">רי"ף ורא"ש </w:t>
      </w:r>
      <w:r w:rsidRPr="00351B7D">
        <w:rPr>
          <w:rFonts w:asciiTheme="minorBidi" w:hAnsiTheme="minorBidi"/>
          <w:sz w:val="16"/>
          <w:szCs w:val="16"/>
          <w:rtl/>
        </w:rPr>
        <w:t>(סי' ג)</w:t>
      </w:r>
      <w:r w:rsidRPr="00351B7D">
        <w:rPr>
          <w:rStyle w:val="a7"/>
          <w:rFonts w:asciiTheme="minorBidi" w:hAnsiTheme="minorBidi"/>
          <w:rtl/>
        </w:rPr>
        <w:footnoteReference w:id="823"/>
      </w:r>
      <w:r w:rsidRPr="00351B7D">
        <w:rPr>
          <w:rFonts w:asciiTheme="minorBidi" w:hAnsiTheme="minorBidi"/>
          <w:rtl/>
        </w:rPr>
        <w:t xml:space="preserve">- מותר לבעול בתחילה בשבת ולא חיישינן שמא ישחוט בן עוף </w:t>
      </w:r>
      <w:r w:rsidRPr="00351B7D">
        <w:rPr>
          <w:rFonts w:asciiTheme="minorBidi" w:hAnsiTheme="minorBidi"/>
          <w:color w:val="000000"/>
          <w:rtl/>
        </w:rPr>
        <w:t>ואהא סמכינן למיעבד סעודתא בין במוצאי שבת בין בשבת</w:t>
      </w:r>
      <w:r w:rsidRPr="00351B7D">
        <w:rPr>
          <w:rStyle w:val="a7"/>
          <w:rFonts w:asciiTheme="minorBidi" w:hAnsiTheme="minorBidi"/>
          <w:rtl/>
        </w:rPr>
        <w:footnoteReference w:id="824"/>
      </w:r>
      <w:r w:rsidRPr="00351B7D">
        <w:rPr>
          <w:rFonts w:asciiTheme="minorBidi" w:hAnsiTheme="minorBidi"/>
          <w:color w:val="000000"/>
          <w:sz w:val="16"/>
          <w:szCs w:val="16"/>
          <w:rtl/>
        </w:rPr>
        <w:t xml:space="preserve"> (ל' הטור)</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5BCF150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67737B"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rtl/>
        </w:rPr>
        <w:t>יש אומרים שאין נושאין נשים לא בערב שבת ולא באחד בשבת גזירה שמא יבא לידי חלול שבת בתיקון הסעודה, ויש מתירין, וכן פשט המנהג לישא נשים בערב שבת</w:t>
      </w:r>
      <w:r w:rsidRPr="00351B7D">
        <w:rPr>
          <w:rStyle w:val="a7"/>
          <w:rFonts w:asciiTheme="minorBidi" w:hAnsiTheme="minorBidi"/>
          <w:color w:val="000000"/>
          <w:rtl/>
        </w:rPr>
        <w:footnoteReference w:id="825"/>
      </w:r>
      <w:r w:rsidRPr="00351B7D">
        <w:rPr>
          <w:rFonts w:asciiTheme="minorBidi" w:hAnsiTheme="minorBidi"/>
          <w:rtl/>
        </w:rPr>
        <w:t xml:space="preserve"> והוא שיטרח בסעודת הנשואין ג' ימים</w:t>
      </w:r>
      <w:r w:rsidRPr="00351B7D">
        <w:rPr>
          <w:rStyle w:val="a7"/>
          <w:rFonts w:asciiTheme="minorBidi" w:hAnsiTheme="minorBidi"/>
          <w:color w:val="000000"/>
          <w:rtl/>
        </w:rPr>
        <w:footnoteReference w:id="826"/>
      </w:r>
      <w:r w:rsidRPr="00351B7D">
        <w:rPr>
          <w:rFonts w:asciiTheme="minorBidi" w:hAnsiTheme="minorBidi"/>
          <w:rtl/>
        </w:rPr>
        <w:t xml:space="preserve"> קודם הנשואין, ומקום שאין בית דין יושבים בו אלא בשני ובחמישי בלבד בתולה נשאת ביום רביעי שאם היתה לו טענת בתולים ישכים לבית דין, ומנהג חכמים שהנושא את הבעולה ישאנה בחמישי כדי שיהיה שמח עמה ג' ימים חמישי בשבת וערב שבת ושבת ויוצא למלאכתו יום ראשון.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(ונהגו שלא לישא נשים אלא בתחלת החדש בעוד שהלבנה במלואה</w:t>
      </w:r>
      <w:r w:rsidRPr="00351B7D">
        <w:rPr>
          <w:rStyle w:val="a7"/>
          <w:rFonts w:asciiTheme="minorBidi" w:hAnsiTheme="minorBidi"/>
          <w:color w:val="000000"/>
          <w:sz w:val="18"/>
          <w:szCs w:val="18"/>
          <w:rtl/>
        </w:rPr>
        <w:footnoteReference w:id="827"/>
      </w:r>
      <w:r w:rsidRPr="00351B7D">
        <w:rPr>
          <w:rFonts w:asciiTheme="minorBidi" w:hAnsiTheme="minorBidi"/>
          <w:color w:val="000000"/>
          <w:sz w:val="18"/>
          <w:szCs w:val="18"/>
          <w:rtl/>
        </w:rPr>
        <w:t xml:space="preserve"> (ר"ן), ועיין ביו"ד סי' קעט</w:t>
      </w:r>
      <w:r w:rsidRPr="00351B7D">
        <w:rPr>
          <w:rStyle w:val="a7"/>
          <w:rFonts w:asciiTheme="minorBidi" w:hAnsiTheme="minorBidi"/>
          <w:color w:val="000000"/>
          <w:sz w:val="18"/>
          <w:szCs w:val="18"/>
          <w:rtl/>
        </w:rPr>
        <w:footnoteReference w:id="828"/>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45C614C4" w14:textId="77777777" w:rsidR="008E16D0" w:rsidRPr="00351B7D" w:rsidRDefault="008E16D0" w:rsidP="008E16D0">
      <w:pPr>
        <w:rPr>
          <w:rFonts w:asciiTheme="minorBidi" w:hAnsiTheme="minorBidi"/>
          <w:color w:val="000000"/>
          <w:rtl/>
        </w:rPr>
      </w:pPr>
    </w:p>
    <w:p w14:paraId="5B17904C" w14:textId="77777777" w:rsidR="008E16D0" w:rsidRPr="00351B7D" w:rsidRDefault="008E16D0" w:rsidP="008E16D0">
      <w:pPr>
        <w:pStyle w:val="2"/>
        <w:rPr>
          <w:rFonts w:asciiTheme="minorBidi" w:hAnsiTheme="minorBidi"/>
          <w:rtl/>
        </w:rPr>
      </w:pPr>
      <w:r w:rsidRPr="00351B7D">
        <w:rPr>
          <w:rFonts w:asciiTheme="minorBidi" w:hAnsiTheme="minorBidi"/>
          <w:rtl/>
        </w:rPr>
        <w:t>סעיף ד: חתן שאינו רוצה לעשות סעודה.</w:t>
      </w:r>
    </w:p>
    <w:p w14:paraId="32079F6F"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חתן שאינו רוצה לעשות סעודה וקרובי הכלה רוצים שיעשה: </w:t>
      </w:r>
    </w:p>
    <w:p w14:paraId="697C2769" w14:textId="77777777" w:rsidR="008E16D0" w:rsidRPr="00351B7D" w:rsidRDefault="008E16D0" w:rsidP="00A8697F">
      <w:pPr>
        <w:pStyle w:val="ab"/>
        <w:numPr>
          <w:ilvl w:val="0"/>
          <w:numId w:val="107"/>
        </w:numPr>
        <w:rPr>
          <w:rFonts w:asciiTheme="minorBidi" w:hAnsiTheme="minorBidi"/>
          <w:rtl/>
        </w:rPr>
      </w:pPr>
      <w:r w:rsidRPr="00351B7D">
        <w:rPr>
          <w:rFonts w:asciiTheme="minorBidi" w:hAnsiTheme="minorBidi"/>
          <w:rtl/>
        </w:rPr>
        <w:t>רי"ף ה"ר אפרים ר"י מיגא"ש רמב"ן רשב"א רא"ש ר"ן והה"מ</w:t>
      </w:r>
      <w:r w:rsidRPr="00351B7D">
        <w:rPr>
          <w:rStyle w:val="a7"/>
          <w:rFonts w:asciiTheme="minorBidi" w:hAnsiTheme="minorBidi"/>
          <w:rtl/>
        </w:rPr>
        <w:footnoteReference w:id="829"/>
      </w:r>
      <w:r w:rsidRPr="00351B7D">
        <w:rPr>
          <w:rFonts w:asciiTheme="minorBidi" w:hAnsiTheme="minorBidi"/>
          <w:rtl/>
        </w:rPr>
        <w:t>- "כייפינן ליה דלעביד סעודתא כפום מנהגא דחזי לדידיה ולדידה דקי"ל עולה עמו ואינה יורדת עמו</w:t>
      </w:r>
      <w:r w:rsidRPr="00351B7D">
        <w:rPr>
          <w:rFonts w:asciiTheme="minorBidi" w:hAnsiTheme="minorBidi"/>
          <w:sz w:val="16"/>
          <w:szCs w:val="16"/>
          <w:rtl/>
        </w:rPr>
        <w:t xml:space="preserve"> (ל' ה"ר אפרים)</w:t>
      </w:r>
      <w:r w:rsidRPr="00351B7D">
        <w:rPr>
          <w:rFonts w:asciiTheme="minorBidi" w:hAnsiTheme="minorBidi"/>
          <w:rtl/>
        </w:rPr>
        <w:t xml:space="preserve">". </w:t>
      </w:r>
    </w:p>
    <w:p w14:paraId="5B00C8E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290783" w14:textId="77777777" w:rsidR="008E16D0" w:rsidRPr="00351B7D" w:rsidRDefault="008E16D0" w:rsidP="008E16D0">
      <w:pPr>
        <w:rPr>
          <w:rFonts w:asciiTheme="minorBidi" w:hAnsiTheme="minorBidi"/>
          <w:rtl/>
        </w:rPr>
      </w:pPr>
      <w:r w:rsidRPr="00351B7D">
        <w:rPr>
          <w:rFonts w:asciiTheme="minorBidi" w:hAnsiTheme="minorBidi"/>
          <w:rtl/>
        </w:rPr>
        <w:t xml:space="preserve">אם החתן אינו רוצה לעשות סעודה וקרובי הכלה רוצים שיעשה סעודה כופין אותו שיעשה סעודה לפי כבודו ולפי כבודה. </w:t>
      </w:r>
    </w:p>
    <w:p w14:paraId="6911F724" w14:textId="77777777" w:rsidR="008E16D0" w:rsidRPr="00351B7D" w:rsidRDefault="008E16D0" w:rsidP="008E16D0">
      <w:pPr>
        <w:rPr>
          <w:rFonts w:asciiTheme="minorBidi" w:hAnsiTheme="minorBidi"/>
          <w:rtl/>
        </w:rPr>
      </w:pPr>
    </w:p>
    <w:p w14:paraId="71431603" w14:textId="77777777" w:rsidR="008E16D0" w:rsidRPr="00351B7D" w:rsidRDefault="008E16D0" w:rsidP="008E16D0">
      <w:pPr>
        <w:pStyle w:val="2"/>
        <w:rPr>
          <w:rFonts w:asciiTheme="minorBidi" w:hAnsiTheme="minorBidi"/>
          <w:rtl/>
        </w:rPr>
      </w:pPr>
      <w:r w:rsidRPr="00351B7D">
        <w:rPr>
          <w:rFonts w:asciiTheme="minorBidi" w:hAnsiTheme="minorBidi"/>
          <w:rtl/>
        </w:rPr>
        <w:lastRenderedPageBreak/>
        <w:t>סעיף ה: כניסה לחופה בשבת.</w:t>
      </w:r>
    </w:p>
    <w:p w14:paraId="35B06D8C"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b/>
          <w:bCs/>
          <w:rtl/>
        </w:rPr>
        <w:t xml:space="preserve">כתובות ג ע"א: </w:t>
      </w:r>
      <w:r w:rsidRPr="00351B7D">
        <w:rPr>
          <w:rFonts w:asciiTheme="minorBidi" w:hAnsiTheme="minorBidi"/>
          <w:u w:val="single"/>
          <w:rtl/>
        </w:rPr>
        <w:t>אמר רב שמואל בר יצחק</w:t>
      </w:r>
      <w:r w:rsidRPr="00351B7D">
        <w:rPr>
          <w:rFonts w:asciiTheme="minorBidi" w:hAnsiTheme="minorBidi"/>
          <w:rtl/>
        </w:rPr>
        <w:t xml:space="preserve">... אי איכא בתי דינין דקבועין האידנא כקודם תקנת עזרא אשה נשאת בכל יום. </w:t>
      </w:r>
      <w:r w:rsidRPr="00351B7D">
        <w:rPr>
          <w:rFonts w:asciiTheme="minorBidi" w:hAnsiTheme="minorBidi"/>
          <w:color w:val="000000"/>
          <w:sz w:val="16"/>
          <w:szCs w:val="16"/>
          <w:rtl/>
        </w:rPr>
        <w:t>(וכ' הרא"ש (סי' ג) האי בכל יום לאו דווקא, דבכל יום שבת אינה נישאת, דאמרינן בירושלמי אמר רב מתניא הדא אמרה אלין דכנסין ארמלין בערב שבת צריכין למיכנס מבעוד יום שלא יהא נראה כקונה קנין בשבת לפי שאלמנה אין לה חופה ובשעת ייחודו של ביאה הוא זוכה במציאתה ובמעשה ידיה הלכך צריך להתייחד עמה בע"ש מבעוד יום, הלכך אין להכניס בתולה לחופה בשבת דע"י החופה הוא זוכה במציאתה ובמעשה ידיה והוה כקונה קנין בשבת. וכ"פ הרמב"ם (פ"י מה"א הי"ד) וז"ל- ואין צריך לומר שאסור לישא בשבת)</w:t>
      </w:r>
    </w:p>
    <w:p w14:paraId="4C676275" w14:textId="77777777" w:rsidR="008E16D0" w:rsidRPr="00351B7D" w:rsidRDefault="008E16D0" w:rsidP="008E16D0">
      <w:pPr>
        <w:rPr>
          <w:rFonts w:asciiTheme="minorBidi" w:hAnsiTheme="minorBidi"/>
          <w:rtl/>
        </w:rPr>
      </w:pPr>
      <w:r w:rsidRPr="00351B7D">
        <w:rPr>
          <w:rFonts w:asciiTheme="minorBidi" w:hAnsiTheme="minorBidi"/>
          <w:b/>
          <w:bCs/>
          <w:rtl/>
        </w:rPr>
        <w:t>ירושלמי</w:t>
      </w:r>
      <w:r w:rsidRPr="00351B7D">
        <w:rPr>
          <w:rFonts w:asciiTheme="minorBidi" w:hAnsiTheme="minorBidi"/>
          <w:b/>
          <w:bCs/>
          <w:sz w:val="16"/>
          <w:szCs w:val="16"/>
          <w:rtl/>
        </w:rPr>
        <w:t xml:space="preserve"> (וילנא) </w:t>
      </w:r>
      <w:r w:rsidRPr="00351B7D">
        <w:rPr>
          <w:rFonts w:asciiTheme="minorBidi" w:hAnsiTheme="minorBidi"/>
          <w:b/>
          <w:bCs/>
          <w:rtl/>
        </w:rPr>
        <w:t>כתובות פ"א: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בתולה נישאת ביום הרביעי ואלמנה ביום החמישי...    </w:t>
      </w:r>
      <w:r w:rsidRPr="00351B7D">
        <w:rPr>
          <w:rFonts w:asciiTheme="minorBidi" w:hAnsiTheme="minorBidi"/>
          <w:u w:val="double"/>
          <w:rtl/>
        </w:rPr>
        <w:t>גמ':</w:t>
      </w:r>
      <w:r w:rsidRPr="00351B7D">
        <w:rPr>
          <w:rFonts w:asciiTheme="minorBidi" w:hAnsiTheme="minorBidi"/>
          <w:rtl/>
        </w:rPr>
        <w:t xml:space="preserve"> </w:t>
      </w:r>
      <w:r w:rsidRPr="00351B7D">
        <w:rPr>
          <w:rFonts w:asciiTheme="minorBidi" w:hAnsiTheme="minorBidi"/>
          <w:u w:val="single"/>
          <w:rtl/>
        </w:rPr>
        <w:t>בר קפרא אמר</w:t>
      </w:r>
      <w:r w:rsidRPr="00351B7D">
        <w:rPr>
          <w:rFonts w:asciiTheme="minorBidi" w:hAnsiTheme="minorBidi"/>
          <w:rtl/>
        </w:rPr>
        <w:t xml:space="preserve">: מפני שכתוב בם ברכה. והלא אין כתיב ברכה אלא בחמישי ובששי בלבד, בחמישי בעופות ובדגים בששי באדם וחוה! </w:t>
      </w:r>
      <w:r w:rsidRPr="00351B7D">
        <w:rPr>
          <w:rFonts w:asciiTheme="minorBidi" w:hAnsiTheme="minorBidi"/>
          <w:u w:val="single"/>
          <w:rtl/>
        </w:rPr>
        <w:t>אמר רבי יוסי</w:t>
      </w:r>
      <w:r w:rsidRPr="00351B7D">
        <w:rPr>
          <w:rFonts w:asciiTheme="minorBidi" w:hAnsiTheme="minorBidi"/>
          <w:rtl/>
        </w:rPr>
        <w:t xml:space="preserve">: טעמא דבר קפרא רביעי אור חמישי חמישי אור ששי. והלא כתיב ברכה בשביעי! אין כתיב ברכה בבריות אלא ביום. מפני שאין כתיב ברכה בבריות, הא אילו הוה כתיב ברכה בבריות היתה נישאת בשבת, לא כן תני- לא יבעול אדם בעילה בתחילה בשבת מפני שהוא עושה חבורה? אלא כאחרים מפני שאחרים מתירין. כלום אחרים מתירין אלא בשכנס, שעד שלא כנס אינו זכאי לא במציאתה ולא במעשה ידיה ולא בהפר נדריה, משכנס זכאי במציאתה ובמעשה ידיה ובהפר נדריה, אם אומר את כן נמצאתה כקונה קניין בשבת! </w:t>
      </w:r>
      <w:r w:rsidRPr="00351B7D">
        <w:rPr>
          <w:rFonts w:asciiTheme="minorBidi" w:hAnsiTheme="minorBidi"/>
          <w:u w:val="single"/>
          <w:rtl/>
        </w:rPr>
        <w:t>אמר ר' מנא</w:t>
      </w:r>
      <w:r w:rsidRPr="00351B7D">
        <w:rPr>
          <w:rFonts w:asciiTheme="minorBidi" w:hAnsiTheme="minorBidi"/>
          <w:rtl/>
        </w:rPr>
        <w:t xml:space="preserve"> הדא אמרה אילין דכנסין ארמלן צריך לכונסה מבעוד יום שלא יהא כקונה קניין בשבת.</w:t>
      </w:r>
    </w:p>
    <w:p w14:paraId="35391119"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כיצד נקנית </w:t>
      </w:r>
      <w:r w:rsidRPr="00351B7D">
        <w:rPr>
          <w:rFonts w:asciiTheme="minorBidi" w:hAnsiTheme="minorBidi"/>
          <w:b/>
          <w:bCs/>
          <w:u w:val="single"/>
          <w:rtl/>
        </w:rPr>
        <w:t>אלמנה</w:t>
      </w:r>
      <w:r w:rsidRPr="00351B7D">
        <w:rPr>
          <w:rFonts w:asciiTheme="minorBidi" w:hAnsiTheme="minorBidi"/>
          <w:u w:val="single"/>
          <w:rtl/>
        </w:rPr>
        <w:t xml:space="preserve"> לאשה:</w:t>
      </w:r>
    </w:p>
    <w:p w14:paraId="6951C9D1" w14:textId="77777777" w:rsidR="008E16D0" w:rsidRPr="00351B7D" w:rsidRDefault="008E16D0" w:rsidP="00A8697F">
      <w:pPr>
        <w:pStyle w:val="ab"/>
        <w:numPr>
          <w:ilvl w:val="0"/>
          <w:numId w:val="107"/>
        </w:numPr>
        <w:rPr>
          <w:rFonts w:asciiTheme="minorBidi" w:hAnsiTheme="minorBidi"/>
        </w:rPr>
      </w:pPr>
      <w:r w:rsidRPr="00351B7D">
        <w:rPr>
          <w:rFonts w:asciiTheme="minorBidi" w:hAnsiTheme="minorBidi"/>
          <w:rtl/>
        </w:rPr>
        <w:t>(רי"ף</w:t>
      </w:r>
      <w:r w:rsidRPr="00351B7D">
        <w:rPr>
          <w:rFonts w:asciiTheme="minorBidi" w:hAnsiTheme="minorBidi"/>
          <w:sz w:val="16"/>
          <w:szCs w:val="16"/>
          <w:rtl/>
        </w:rPr>
        <w:t xml:space="preserve"> להב' הרמ"א</w:t>
      </w:r>
      <w:r w:rsidRPr="00351B7D">
        <w:rPr>
          <w:rFonts w:asciiTheme="minorBidi" w:hAnsiTheme="minorBidi"/>
          <w:rtl/>
        </w:rPr>
        <w:t>) ורמב"ם</w:t>
      </w:r>
      <w:r w:rsidRPr="00351B7D">
        <w:rPr>
          <w:rStyle w:val="a7"/>
          <w:rFonts w:asciiTheme="minorBidi" w:hAnsiTheme="minorBidi"/>
          <w:rtl/>
        </w:rPr>
        <w:footnoteReference w:id="830"/>
      </w:r>
      <w:r w:rsidRPr="00351B7D">
        <w:rPr>
          <w:rFonts w:asciiTheme="minorBidi" w:hAnsiTheme="minorBidi"/>
          <w:rtl/>
        </w:rPr>
        <w:t>- ביחוד הראוי לביאה</w:t>
      </w:r>
      <w:r w:rsidRPr="00351B7D">
        <w:rPr>
          <w:rStyle w:val="a7"/>
          <w:rFonts w:asciiTheme="minorBidi" w:hAnsiTheme="minorBidi"/>
          <w:rtl/>
        </w:rPr>
        <w:footnoteReference w:id="831"/>
      </w:r>
      <w:r w:rsidRPr="00351B7D">
        <w:rPr>
          <w:rFonts w:asciiTheme="minorBidi" w:hAnsiTheme="minorBidi"/>
          <w:rtl/>
        </w:rPr>
        <w:t>.</w:t>
      </w:r>
      <w:r w:rsidRPr="00351B7D">
        <w:rPr>
          <w:rFonts w:asciiTheme="minorBidi" w:hAnsiTheme="minorBidi"/>
          <w:color w:val="E36C0A" w:themeColor="accent6" w:themeShade="BF"/>
          <w:rtl/>
        </w:rPr>
        <w:t xml:space="preserve"> </w:t>
      </w:r>
      <w:r w:rsidRPr="00351B7D">
        <w:rPr>
          <w:rFonts w:asciiTheme="minorBidi" w:hAnsiTheme="minorBidi"/>
          <w:rtl/>
        </w:rPr>
        <w:t>(וכ"פ משא"ב ח"מ מג"א חכ"א וילקו"י</w:t>
      </w:r>
      <w:r w:rsidRPr="00351B7D">
        <w:rPr>
          <w:rStyle w:val="a7"/>
          <w:rFonts w:asciiTheme="minorBidi" w:hAnsiTheme="minorBidi"/>
          <w:rtl/>
        </w:rPr>
        <w:footnoteReference w:id="832"/>
      </w:r>
      <w:r w:rsidRPr="00351B7D">
        <w:rPr>
          <w:rFonts w:asciiTheme="minorBidi" w:hAnsiTheme="minorBidi"/>
          <w:rtl/>
        </w:rPr>
        <w:t>)</w:t>
      </w:r>
    </w:p>
    <w:p w14:paraId="01B839AF" w14:textId="77777777" w:rsidR="008E16D0" w:rsidRPr="00351B7D" w:rsidRDefault="008E16D0" w:rsidP="00A8697F">
      <w:pPr>
        <w:pStyle w:val="ab"/>
        <w:numPr>
          <w:ilvl w:val="0"/>
          <w:numId w:val="107"/>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הגר"א</w:t>
      </w:r>
      <w:r w:rsidRPr="00351B7D">
        <w:rPr>
          <w:rFonts w:asciiTheme="minorBidi" w:hAnsiTheme="minorBidi"/>
          <w:rtl/>
        </w:rPr>
        <w:t>) מרדכי ומהרי"ל</w:t>
      </w:r>
      <w:r w:rsidRPr="00351B7D">
        <w:rPr>
          <w:rStyle w:val="a7"/>
          <w:rFonts w:asciiTheme="minorBidi" w:hAnsiTheme="minorBidi"/>
          <w:rtl/>
        </w:rPr>
        <w:footnoteReference w:id="833"/>
      </w:r>
      <w:r w:rsidRPr="00351B7D">
        <w:rPr>
          <w:rFonts w:asciiTheme="minorBidi" w:hAnsiTheme="minorBidi"/>
          <w:rtl/>
        </w:rPr>
        <w:t>- בביאה</w:t>
      </w:r>
      <w:r w:rsidRPr="00351B7D">
        <w:rPr>
          <w:rStyle w:val="a7"/>
          <w:rFonts w:asciiTheme="minorBidi" w:hAnsiTheme="minorBidi"/>
          <w:rtl/>
        </w:rPr>
        <w:footnoteReference w:id="834"/>
      </w:r>
      <w:r w:rsidRPr="00351B7D">
        <w:rPr>
          <w:rFonts w:asciiTheme="minorBidi" w:hAnsiTheme="minorBidi"/>
          <w:rtl/>
        </w:rPr>
        <w:t>.</w:t>
      </w:r>
      <w:r w:rsidRPr="00351B7D">
        <w:rPr>
          <w:rStyle w:val="a7"/>
          <w:rFonts w:asciiTheme="minorBidi" w:hAnsiTheme="minorBidi"/>
          <w:rtl/>
        </w:rPr>
        <w:t xml:space="preserve"> </w:t>
      </w:r>
      <w:r w:rsidRPr="00351B7D">
        <w:rPr>
          <w:rFonts w:asciiTheme="minorBidi" w:hAnsiTheme="minorBidi"/>
          <w:rtl/>
        </w:rPr>
        <w:t xml:space="preserve">(וכ"פ ב"ח </w:t>
      </w:r>
      <w:r w:rsidRPr="00351B7D">
        <w:rPr>
          <w:rFonts w:asciiTheme="minorBidi" w:hAnsiTheme="minorBidi"/>
          <w:sz w:val="16"/>
          <w:szCs w:val="16"/>
          <w:rtl/>
        </w:rPr>
        <w:t xml:space="preserve">[אות ה] </w:t>
      </w:r>
      <w:r w:rsidRPr="00351B7D">
        <w:rPr>
          <w:rFonts w:asciiTheme="minorBidi" w:hAnsiTheme="minorBidi"/>
          <w:rtl/>
        </w:rPr>
        <w:t xml:space="preserve">ב"ז </w:t>
      </w:r>
      <w:r w:rsidRPr="00351B7D">
        <w:rPr>
          <w:rFonts w:asciiTheme="minorBidi" w:hAnsiTheme="minorBidi"/>
          <w:sz w:val="16"/>
          <w:szCs w:val="16"/>
          <w:rtl/>
        </w:rPr>
        <w:t xml:space="preserve">[סי' מ"ט] </w:t>
      </w:r>
      <w:r w:rsidRPr="00351B7D">
        <w:rPr>
          <w:rFonts w:asciiTheme="minorBidi" w:hAnsiTheme="minorBidi"/>
          <w:rtl/>
        </w:rPr>
        <w:t>וגור אריה)</w:t>
      </w:r>
    </w:p>
    <w:p w14:paraId="1389B17D" w14:textId="77777777" w:rsidR="008E16D0" w:rsidRPr="00351B7D" w:rsidRDefault="008E16D0" w:rsidP="00A8697F">
      <w:pPr>
        <w:pStyle w:val="ab"/>
        <w:numPr>
          <w:ilvl w:val="0"/>
          <w:numId w:val="107"/>
        </w:numPr>
        <w:rPr>
          <w:rFonts w:asciiTheme="minorBidi" w:hAnsiTheme="minorBidi"/>
          <w:rtl/>
        </w:rPr>
      </w:pPr>
      <w:r w:rsidRPr="00351B7D">
        <w:rPr>
          <w:rFonts w:asciiTheme="minorBidi" w:hAnsiTheme="minorBidi"/>
          <w:rtl/>
        </w:rPr>
        <w:t>תוס' בהעי"ט וא"ח</w:t>
      </w:r>
      <w:r w:rsidRPr="00351B7D">
        <w:rPr>
          <w:rStyle w:val="a7"/>
          <w:rFonts w:asciiTheme="minorBidi" w:hAnsiTheme="minorBidi"/>
          <w:rtl/>
        </w:rPr>
        <w:footnoteReference w:id="835"/>
      </w:r>
      <w:r w:rsidRPr="00351B7D">
        <w:rPr>
          <w:rFonts w:asciiTheme="minorBidi" w:hAnsiTheme="minorBidi"/>
          <w:rtl/>
        </w:rPr>
        <w:t>- בכניסה לחופה</w:t>
      </w:r>
      <w:r w:rsidRPr="00351B7D">
        <w:rPr>
          <w:rStyle w:val="a7"/>
          <w:rFonts w:asciiTheme="minorBidi" w:hAnsiTheme="minorBidi"/>
          <w:rtl/>
        </w:rPr>
        <w:footnoteReference w:id="836"/>
      </w:r>
      <w:r w:rsidRPr="00351B7D">
        <w:rPr>
          <w:rFonts w:asciiTheme="minorBidi" w:hAnsiTheme="minorBidi"/>
          <w:rtl/>
        </w:rPr>
        <w:t>. (וכ"פ הגר"א</w:t>
      </w:r>
      <w:r w:rsidRPr="00351B7D">
        <w:rPr>
          <w:rFonts w:asciiTheme="minorBidi" w:hAnsiTheme="minorBidi"/>
          <w:sz w:val="16"/>
          <w:szCs w:val="16"/>
          <w:rtl/>
        </w:rPr>
        <w:t xml:space="preserve"> [סקי"א]</w:t>
      </w:r>
      <w:r w:rsidRPr="00351B7D">
        <w:rPr>
          <w:rFonts w:asciiTheme="minorBidi" w:hAnsiTheme="minorBidi"/>
          <w:rtl/>
        </w:rPr>
        <w:t xml:space="preserve">) </w:t>
      </w:r>
    </w:p>
    <w:p w14:paraId="246AC3C2"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E4AE90"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rtl/>
        </w:rPr>
        <w:t>אין כונסין בתולה לחופה בשבת</w:t>
      </w:r>
      <w:r w:rsidRPr="00351B7D">
        <w:rPr>
          <w:rStyle w:val="a7"/>
          <w:rFonts w:asciiTheme="minorBidi" w:hAnsiTheme="minorBidi"/>
          <w:color w:val="000000"/>
          <w:rtl/>
        </w:rPr>
        <w:footnoteReference w:id="837"/>
      </w:r>
      <w:r w:rsidRPr="00351B7D">
        <w:rPr>
          <w:rFonts w:asciiTheme="minorBidi" w:hAnsiTheme="minorBidi"/>
          <w:rtl/>
        </w:rPr>
        <w:t xml:space="preserve"> לפי שעל ידי החופה זוכה במציאתה ובמעשה ידיה והוה לו כקונה קנין בשבת</w:t>
      </w:r>
      <w:r w:rsidRPr="00351B7D">
        <w:rPr>
          <w:rStyle w:val="a7"/>
          <w:rFonts w:asciiTheme="minorBidi" w:hAnsiTheme="minorBidi"/>
          <w:color w:val="000000"/>
          <w:rtl/>
        </w:rPr>
        <w:footnoteReference w:id="838"/>
      </w:r>
      <w:r w:rsidRPr="00351B7D">
        <w:rPr>
          <w:rFonts w:asciiTheme="minorBidi" w:hAnsiTheme="minorBidi"/>
          <w:rtl/>
        </w:rPr>
        <w:t>, ואלמנה</w:t>
      </w:r>
      <w:r w:rsidRPr="00351B7D">
        <w:rPr>
          <w:rStyle w:val="a7"/>
          <w:rFonts w:asciiTheme="minorBidi" w:hAnsiTheme="minorBidi"/>
          <w:color w:val="000000"/>
          <w:rtl/>
        </w:rPr>
        <w:footnoteReference w:id="839"/>
      </w:r>
      <w:r w:rsidRPr="00351B7D">
        <w:rPr>
          <w:rFonts w:asciiTheme="minorBidi" w:hAnsiTheme="minorBidi"/>
          <w:rtl/>
        </w:rPr>
        <w:t xml:space="preserve"> אין חופה קונה בה אלא על ידי ייחוד של ביאה</w:t>
      </w:r>
      <w:r w:rsidRPr="00351B7D">
        <w:rPr>
          <w:rStyle w:val="a7"/>
          <w:rFonts w:asciiTheme="minorBidi" w:hAnsiTheme="minorBidi"/>
          <w:rtl/>
        </w:rPr>
        <w:footnoteReference w:id="840"/>
      </w:r>
      <w:r w:rsidRPr="00351B7D">
        <w:rPr>
          <w:rFonts w:asciiTheme="minorBidi" w:hAnsiTheme="minorBidi"/>
          <w:rtl/>
        </w:rPr>
        <w:t xml:space="preserve"> זוכה במציאתה ובמעשה ידיה לפיכך צריך להתייחד עמה קודם שבת</w:t>
      </w:r>
      <w:r w:rsidRPr="00351B7D">
        <w:rPr>
          <w:rStyle w:val="a7"/>
          <w:rFonts w:asciiTheme="minorBidi" w:hAnsiTheme="minorBidi"/>
          <w:color w:val="000000"/>
          <w:rtl/>
        </w:rPr>
        <w:footnoteReference w:id="841"/>
      </w:r>
      <w:r w:rsidRPr="00351B7D">
        <w:rPr>
          <w:rFonts w:asciiTheme="minorBidi" w:hAnsiTheme="minorBidi"/>
          <w:rtl/>
        </w:rPr>
        <w:t xml:space="preserve"> כדי שלא יהא כקונה קנין בשבת</w:t>
      </w:r>
      <w:r w:rsidRPr="00351B7D">
        <w:rPr>
          <w:rStyle w:val="a7"/>
          <w:rFonts w:asciiTheme="minorBidi" w:hAnsiTheme="minorBidi"/>
          <w:color w:val="000000"/>
          <w:rtl/>
        </w:rPr>
        <w:footnoteReference w:id="842"/>
      </w:r>
      <w:r w:rsidRPr="00351B7D">
        <w:rPr>
          <w:rFonts w:asciiTheme="minorBidi" w:hAnsiTheme="minorBidi"/>
          <w:color w:val="000000"/>
          <w:rtl/>
        </w:rPr>
        <w:t xml:space="preserve"> </w:t>
      </w:r>
      <w:r w:rsidRPr="00351B7D">
        <w:rPr>
          <w:rFonts w:asciiTheme="minorBidi" w:hAnsiTheme="minorBidi"/>
          <w:color w:val="000000"/>
          <w:sz w:val="18"/>
          <w:szCs w:val="18"/>
          <w:rtl/>
        </w:rPr>
        <w:t xml:space="preserve">(ועי' באו"ח סימן שלט). </w:t>
      </w:r>
    </w:p>
    <w:p w14:paraId="16098FEC" w14:textId="77777777" w:rsidR="008E16D0" w:rsidRPr="00351B7D" w:rsidRDefault="008E16D0" w:rsidP="008E16D0">
      <w:pPr>
        <w:rPr>
          <w:rFonts w:asciiTheme="minorBidi" w:hAnsiTheme="minorBidi"/>
          <w:u w:val="single"/>
          <w:rtl/>
        </w:rPr>
      </w:pPr>
      <w:r w:rsidRPr="00351B7D">
        <w:rPr>
          <w:rFonts w:asciiTheme="minorBidi" w:hAnsiTheme="minorBidi"/>
          <w:u w:val="single"/>
          <w:rtl/>
        </w:rPr>
        <w:t>לר"ן</w:t>
      </w:r>
      <w:r w:rsidRPr="00351B7D">
        <w:rPr>
          <w:rStyle w:val="a7"/>
          <w:rFonts w:asciiTheme="minorBidi" w:hAnsiTheme="minorBidi"/>
          <w:u w:val="single"/>
          <w:rtl/>
        </w:rPr>
        <w:footnoteReference w:id="843"/>
      </w:r>
      <w:r w:rsidRPr="00351B7D">
        <w:rPr>
          <w:rFonts w:asciiTheme="minorBidi" w:hAnsiTheme="minorBidi"/>
          <w:u w:val="single"/>
          <w:rtl/>
        </w:rPr>
        <w:t>, האם מהני להביא את האלמנה לביתו:</w:t>
      </w:r>
    </w:p>
    <w:p w14:paraId="07E320C3" w14:textId="77777777" w:rsidR="008E16D0" w:rsidRPr="00351B7D" w:rsidRDefault="008E16D0" w:rsidP="00A8697F">
      <w:pPr>
        <w:pStyle w:val="ab"/>
        <w:numPr>
          <w:ilvl w:val="0"/>
          <w:numId w:val="108"/>
        </w:numPr>
        <w:rPr>
          <w:rFonts w:asciiTheme="minorBidi" w:hAnsiTheme="minorBidi"/>
          <w:rtl/>
        </w:rPr>
      </w:pPr>
      <w:r w:rsidRPr="00351B7D">
        <w:rPr>
          <w:rFonts w:asciiTheme="minorBidi" w:hAnsiTheme="minorBidi"/>
          <w:rtl/>
        </w:rPr>
        <w:lastRenderedPageBreak/>
        <w:t xml:space="preserve">ב"ש </w:t>
      </w:r>
      <w:r w:rsidRPr="00351B7D">
        <w:rPr>
          <w:rFonts w:asciiTheme="minorBidi" w:hAnsiTheme="minorBidi"/>
          <w:sz w:val="16"/>
          <w:szCs w:val="16"/>
          <w:rtl/>
        </w:rPr>
        <w:t>(סק"ו)</w:t>
      </w:r>
      <w:r w:rsidRPr="00351B7D">
        <w:rPr>
          <w:rFonts w:asciiTheme="minorBidi" w:hAnsiTheme="minorBidi"/>
          <w:rtl/>
        </w:rPr>
        <w:t>- לא מהני.</w:t>
      </w:r>
    </w:p>
    <w:p w14:paraId="2F6C8C04" w14:textId="77777777" w:rsidR="008E16D0" w:rsidRPr="00351B7D" w:rsidRDefault="008E16D0" w:rsidP="00A8697F">
      <w:pPr>
        <w:pStyle w:val="ab"/>
        <w:numPr>
          <w:ilvl w:val="0"/>
          <w:numId w:val="108"/>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(סי' נ"ה סק"ח)</w:t>
      </w:r>
      <w:r w:rsidRPr="00351B7D">
        <w:rPr>
          <w:rFonts w:asciiTheme="minorBidi" w:hAnsiTheme="minorBidi"/>
          <w:rtl/>
        </w:rPr>
        <w:t xml:space="preserve">- מהני. (וכ"פ הח"מ </w:t>
      </w:r>
      <w:r w:rsidRPr="00351B7D">
        <w:rPr>
          <w:rFonts w:asciiTheme="minorBidi" w:hAnsiTheme="minorBidi"/>
          <w:sz w:val="16"/>
          <w:szCs w:val="16"/>
          <w:rtl/>
        </w:rPr>
        <w:t>[סי' סא ססק"ב]</w:t>
      </w:r>
      <w:r w:rsidRPr="00351B7D">
        <w:rPr>
          <w:rFonts w:asciiTheme="minorBidi" w:hAnsiTheme="minorBidi"/>
          <w:rtl/>
        </w:rPr>
        <w:t>)</w:t>
      </w:r>
    </w:p>
    <w:p w14:paraId="7244519D" w14:textId="77777777" w:rsidR="008E16D0" w:rsidRPr="00351B7D" w:rsidRDefault="008E16D0" w:rsidP="008E16D0">
      <w:pPr>
        <w:rPr>
          <w:rFonts w:asciiTheme="minorBidi" w:hAnsiTheme="minorBidi"/>
          <w:u w:val="single"/>
        </w:rPr>
      </w:pPr>
      <w:r w:rsidRPr="00351B7D">
        <w:rPr>
          <w:rFonts w:asciiTheme="minorBidi" w:hAnsiTheme="minorBidi"/>
          <w:u w:val="single"/>
          <w:rtl/>
        </w:rPr>
        <w:t>הולכה מן החופה לבית הנשואין, באלמנה:</w:t>
      </w:r>
    </w:p>
    <w:p w14:paraId="41FBDDE9" w14:textId="77777777" w:rsidR="008E16D0" w:rsidRPr="00351B7D" w:rsidRDefault="008E16D0" w:rsidP="00A8697F">
      <w:pPr>
        <w:pStyle w:val="ab"/>
        <w:numPr>
          <w:ilvl w:val="0"/>
          <w:numId w:val="108"/>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xml:space="preserve">- לא מהני. </w:t>
      </w:r>
    </w:p>
    <w:p w14:paraId="767D0071" w14:textId="77777777" w:rsidR="008E16D0" w:rsidRPr="00351B7D" w:rsidRDefault="008E16D0" w:rsidP="00A8697F">
      <w:pPr>
        <w:pStyle w:val="ab"/>
        <w:numPr>
          <w:ilvl w:val="0"/>
          <w:numId w:val="108"/>
        </w:numPr>
        <w:rPr>
          <w:rFonts w:asciiTheme="minorBidi" w:hAnsiTheme="minorBidi"/>
        </w:rPr>
      </w:pPr>
      <w:r w:rsidRPr="00351B7D">
        <w:rPr>
          <w:rFonts w:asciiTheme="minorBidi" w:hAnsiTheme="minorBidi"/>
          <w:rtl/>
        </w:rPr>
        <w:t xml:space="preserve">ט"ז </w:t>
      </w:r>
      <w:r w:rsidRPr="00351B7D">
        <w:rPr>
          <w:rFonts w:asciiTheme="minorBidi" w:hAnsiTheme="minorBidi"/>
          <w:sz w:val="16"/>
          <w:szCs w:val="16"/>
          <w:rtl/>
        </w:rPr>
        <w:t>(סק"א)</w:t>
      </w:r>
      <w:r w:rsidRPr="00351B7D">
        <w:rPr>
          <w:rFonts w:asciiTheme="minorBidi" w:hAnsiTheme="minorBidi"/>
          <w:rtl/>
        </w:rPr>
        <w:t xml:space="preserve"> וח"מ </w:t>
      </w:r>
      <w:r w:rsidRPr="00351B7D">
        <w:rPr>
          <w:rFonts w:asciiTheme="minorBidi" w:hAnsiTheme="minorBidi"/>
          <w:sz w:val="16"/>
          <w:szCs w:val="16"/>
          <w:rtl/>
        </w:rPr>
        <w:t>(סק"ו)</w:t>
      </w:r>
      <w:r w:rsidRPr="00351B7D">
        <w:rPr>
          <w:rFonts w:asciiTheme="minorBidi" w:hAnsiTheme="minorBidi"/>
          <w:rtl/>
        </w:rPr>
        <w:t>- אע"ג דחופה לא מהני באלמנה מ"מ אם הבעל</w:t>
      </w:r>
      <w:r w:rsidRPr="00351B7D">
        <w:rPr>
          <w:rStyle w:val="a7"/>
          <w:rFonts w:asciiTheme="minorBidi" w:hAnsiTheme="minorBidi"/>
          <w:rtl/>
        </w:rPr>
        <w:footnoteReference w:id="844"/>
      </w:r>
      <w:r w:rsidRPr="00351B7D">
        <w:rPr>
          <w:rFonts w:asciiTheme="minorBidi" w:hAnsiTheme="minorBidi"/>
          <w:rtl/>
        </w:rPr>
        <w:t xml:space="preserve"> הולך עמה מן החופה להוליכה לבית הנשואין קונה אותה בהולכה זו</w:t>
      </w:r>
      <w:r w:rsidRPr="00351B7D">
        <w:rPr>
          <w:rStyle w:val="a7"/>
          <w:rFonts w:asciiTheme="minorBidi" w:hAnsiTheme="minorBidi"/>
          <w:rtl/>
        </w:rPr>
        <w:footnoteReference w:id="845"/>
      </w:r>
      <w:r w:rsidRPr="00351B7D">
        <w:rPr>
          <w:rFonts w:asciiTheme="minorBidi" w:hAnsiTheme="minorBidi"/>
          <w:rtl/>
        </w:rPr>
        <w:t>.</w:t>
      </w:r>
    </w:p>
    <w:p w14:paraId="3486F639" w14:textId="77777777" w:rsidR="008E16D0" w:rsidRPr="00351B7D" w:rsidRDefault="008E16D0" w:rsidP="008E16D0">
      <w:pPr>
        <w:rPr>
          <w:rFonts w:asciiTheme="minorBidi" w:hAnsiTheme="minorBidi"/>
          <w:u w:val="single"/>
          <w:rtl/>
        </w:rPr>
      </w:pPr>
      <w:r w:rsidRPr="00351B7D">
        <w:rPr>
          <w:rFonts w:asciiTheme="minorBidi" w:hAnsiTheme="minorBidi"/>
          <w:u w:val="single"/>
          <w:rtl/>
        </w:rPr>
        <w:t>האם יחוד מועיל לפני שנעשו הקידושין:</w:t>
      </w:r>
    </w:p>
    <w:p w14:paraId="38A0B642" w14:textId="77777777" w:rsidR="008E16D0" w:rsidRPr="00351B7D" w:rsidRDefault="008E16D0" w:rsidP="00A8697F">
      <w:pPr>
        <w:pStyle w:val="ab"/>
        <w:numPr>
          <w:ilvl w:val="0"/>
          <w:numId w:val="109"/>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קודם הקידושין לא מהני יחוד, דחופה בלי קידושין לא מועיל.</w:t>
      </w:r>
    </w:p>
    <w:p w14:paraId="087CDBBF" w14:textId="77777777" w:rsidR="008E16D0" w:rsidRPr="00351B7D" w:rsidRDefault="008E16D0" w:rsidP="00A8697F">
      <w:pPr>
        <w:pStyle w:val="ab"/>
        <w:numPr>
          <w:ilvl w:val="0"/>
          <w:numId w:val="109"/>
        </w:numPr>
        <w:rPr>
          <w:rFonts w:asciiTheme="minorBidi" w:hAnsiTheme="minorBidi"/>
        </w:rPr>
      </w:pPr>
      <w:r w:rsidRPr="00351B7D">
        <w:rPr>
          <w:rFonts w:asciiTheme="minorBidi" w:hAnsiTheme="minorBidi"/>
          <w:rtl/>
        </w:rPr>
        <w:t xml:space="preserve">מל"מ </w:t>
      </w:r>
      <w:r w:rsidRPr="00351B7D">
        <w:rPr>
          <w:rFonts w:asciiTheme="minorBidi" w:hAnsiTheme="minorBidi"/>
          <w:sz w:val="16"/>
          <w:szCs w:val="16"/>
          <w:rtl/>
        </w:rPr>
        <w:t xml:space="preserve">(פ"י מה"א ה"ב) </w:t>
      </w:r>
      <w:r w:rsidRPr="00351B7D">
        <w:rPr>
          <w:rFonts w:asciiTheme="minorBidi" w:hAnsiTheme="minorBidi"/>
          <w:rtl/>
        </w:rPr>
        <w:t xml:space="preserve">שער אפרים </w:t>
      </w:r>
      <w:r w:rsidRPr="00351B7D">
        <w:rPr>
          <w:rFonts w:asciiTheme="minorBidi" w:hAnsiTheme="minorBidi"/>
          <w:sz w:val="16"/>
          <w:szCs w:val="16"/>
          <w:rtl/>
        </w:rPr>
        <w:t>(סס"י קטו)</w:t>
      </w:r>
      <w:r w:rsidRPr="00351B7D">
        <w:rPr>
          <w:rFonts w:asciiTheme="minorBidi" w:hAnsiTheme="minorBidi"/>
          <w:rtl/>
        </w:rPr>
        <w:t xml:space="preserve"> ושי למורא- מועיל. </w:t>
      </w:r>
    </w:p>
    <w:p w14:paraId="3906D2BA" w14:textId="77777777" w:rsidR="008E16D0" w:rsidRPr="00351B7D" w:rsidRDefault="008E16D0" w:rsidP="008E16D0">
      <w:pPr>
        <w:rPr>
          <w:rFonts w:asciiTheme="minorBidi" w:hAnsiTheme="minorBidi"/>
          <w:u w:val="single"/>
          <w:rtl/>
        </w:rPr>
      </w:pPr>
      <w:r w:rsidRPr="00351B7D">
        <w:rPr>
          <w:rFonts w:asciiTheme="minorBidi" w:hAnsiTheme="minorBidi"/>
          <w:u w:val="single"/>
          <w:rtl/>
        </w:rPr>
        <w:t>בדיעבד היכא דלא התייחד עם כלתו האלמנה לפני השבת- האם יכול לבוא עליה בשבת:</w:t>
      </w:r>
    </w:p>
    <w:p w14:paraId="55CF0714" w14:textId="77777777" w:rsidR="008E16D0" w:rsidRPr="00351B7D" w:rsidRDefault="008E16D0" w:rsidP="00A8697F">
      <w:pPr>
        <w:pStyle w:val="ab"/>
        <w:numPr>
          <w:ilvl w:val="0"/>
          <w:numId w:val="110"/>
        </w:numPr>
        <w:rPr>
          <w:rFonts w:asciiTheme="minorBidi" w:hAnsiTheme="minorBidi"/>
        </w:rPr>
      </w:pPr>
      <w:r w:rsidRPr="00351B7D">
        <w:rPr>
          <w:rFonts w:asciiTheme="minorBidi" w:hAnsiTheme="minorBidi"/>
          <w:rtl/>
        </w:rPr>
        <w:t>משא"ב</w:t>
      </w:r>
      <w:r w:rsidRPr="00351B7D">
        <w:rPr>
          <w:rFonts w:asciiTheme="minorBidi" w:hAnsiTheme="minorBidi"/>
          <w:sz w:val="16"/>
          <w:szCs w:val="16"/>
          <w:rtl/>
        </w:rPr>
        <w:t xml:space="preserve"> (סי' צ)</w:t>
      </w:r>
      <w:r w:rsidRPr="00351B7D">
        <w:rPr>
          <w:rFonts w:asciiTheme="minorBidi" w:hAnsiTheme="minorBidi"/>
          <w:rtl/>
        </w:rPr>
        <w:t>- אסור לבוא עליה.</w:t>
      </w:r>
    </w:p>
    <w:p w14:paraId="024F7E7C" w14:textId="77777777" w:rsidR="008E16D0" w:rsidRPr="00351B7D" w:rsidRDefault="008E16D0" w:rsidP="00A8697F">
      <w:pPr>
        <w:pStyle w:val="ab"/>
        <w:numPr>
          <w:ilvl w:val="0"/>
          <w:numId w:val="110"/>
        </w:numPr>
        <w:rPr>
          <w:rFonts w:asciiTheme="minorBidi" w:hAnsiTheme="minorBidi"/>
          <w:rtl/>
        </w:rPr>
      </w:pPr>
      <w:r w:rsidRPr="00351B7D">
        <w:rPr>
          <w:rFonts w:asciiTheme="minorBidi" w:hAnsiTheme="minorBidi"/>
          <w:rtl/>
        </w:rPr>
        <w:t xml:space="preserve">המקנה </w:t>
      </w:r>
      <w:r w:rsidRPr="00351B7D">
        <w:rPr>
          <w:rFonts w:asciiTheme="minorBidi" w:hAnsiTheme="minorBidi"/>
          <w:sz w:val="16"/>
          <w:szCs w:val="16"/>
          <w:rtl/>
        </w:rPr>
        <w:t>(בקו"א)</w:t>
      </w:r>
      <w:r w:rsidRPr="00351B7D">
        <w:rPr>
          <w:rFonts w:asciiTheme="minorBidi" w:hAnsiTheme="minorBidi"/>
          <w:rtl/>
        </w:rPr>
        <w:t>- בדיעבד יכול לבוא עליה, ועוד נראה שיכול להתנות קודם הביאה שלא יזכה עי"ז בשום זכיה עד שיתייחד עמה אחר שבת וכיון ששניהם אינם רוצים שיזכה בביאה זו כגון זו שומעין להם כמ"ש כל האומר אי אפשי בתקנת חכמים שומעין לו</w:t>
      </w:r>
      <w:r w:rsidRPr="00351B7D">
        <w:rPr>
          <w:rStyle w:val="a7"/>
          <w:rFonts w:asciiTheme="minorBidi" w:hAnsiTheme="minorBidi"/>
          <w:rtl/>
        </w:rPr>
        <w:footnoteReference w:id="846"/>
      </w:r>
      <w:r w:rsidRPr="00351B7D">
        <w:rPr>
          <w:rFonts w:asciiTheme="minorBidi" w:hAnsiTheme="minorBidi"/>
          <w:rtl/>
        </w:rPr>
        <w:t xml:space="preserve">. </w:t>
      </w:r>
    </w:p>
    <w:p w14:paraId="3EB403F5" w14:textId="77777777" w:rsidR="008E16D0" w:rsidRPr="00351B7D" w:rsidRDefault="008E16D0" w:rsidP="008E16D0">
      <w:pPr>
        <w:rPr>
          <w:rFonts w:asciiTheme="minorBidi" w:hAnsiTheme="minorBidi"/>
          <w:color w:val="000000"/>
          <w:rtl/>
        </w:rPr>
      </w:pPr>
    </w:p>
    <w:p w14:paraId="1B08AE97" w14:textId="77777777" w:rsidR="008E16D0" w:rsidRPr="00351B7D" w:rsidRDefault="008E16D0" w:rsidP="008E16D0">
      <w:pPr>
        <w:pStyle w:val="2"/>
        <w:rPr>
          <w:rFonts w:asciiTheme="minorBidi" w:hAnsiTheme="minorBidi"/>
          <w:rtl/>
        </w:rPr>
      </w:pPr>
      <w:r w:rsidRPr="00351B7D">
        <w:rPr>
          <w:rFonts w:asciiTheme="minorBidi" w:hAnsiTheme="minorBidi"/>
          <w:rtl/>
        </w:rPr>
        <w:t>סעיף ו: נישואין בחול המועד.</w:t>
      </w:r>
    </w:p>
    <w:p w14:paraId="371EA681" w14:textId="77777777" w:rsidR="008E16D0" w:rsidRPr="00351B7D" w:rsidRDefault="008E16D0" w:rsidP="008E16D0">
      <w:pPr>
        <w:rPr>
          <w:rFonts w:asciiTheme="minorBidi" w:hAnsiTheme="minorBidi"/>
          <w:rtl/>
        </w:rPr>
      </w:pPr>
      <w:r w:rsidRPr="00351B7D">
        <w:rPr>
          <w:rFonts w:asciiTheme="minorBidi" w:hAnsiTheme="minorBidi"/>
          <w:b/>
          <w:bCs/>
          <w:rtl/>
        </w:rPr>
        <w:t xml:space="preserve">מועד קטן ח ע"ב: </w:t>
      </w:r>
      <w:r w:rsidRPr="00351B7D">
        <w:rPr>
          <w:rFonts w:asciiTheme="minorBidi" w:hAnsiTheme="minorBidi"/>
          <w:u w:val="double"/>
          <w:rtl/>
        </w:rPr>
        <w:t>משנה:</w:t>
      </w:r>
      <w:r w:rsidRPr="00351B7D">
        <w:rPr>
          <w:rFonts w:asciiTheme="minorBidi" w:hAnsiTheme="minorBidi"/>
          <w:rtl/>
        </w:rPr>
        <w:t xml:space="preserve"> אין נושאין נשים במועד לא בתולות ולא אלמנות ולא מייבמין מפני ששמחה היא לו אבל מחזיר הוא את גרושתו.      </w:t>
      </w:r>
      <w:r w:rsidRPr="00351B7D">
        <w:rPr>
          <w:rFonts w:asciiTheme="minorBidi" w:hAnsiTheme="minorBidi"/>
          <w:u w:val="double"/>
          <w:rtl/>
        </w:rPr>
        <w:t>גמ':</w:t>
      </w:r>
      <w:r w:rsidRPr="00351B7D">
        <w:rPr>
          <w:rFonts w:asciiTheme="minorBidi" w:hAnsiTheme="minorBidi"/>
          <w:rtl/>
        </w:rPr>
        <w:t xml:space="preserve"> וכי שמחה היא לו מאי הוי</w:t>
      </w:r>
      <w:r w:rsidRPr="00351B7D">
        <w:rPr>
          <w:rStyle w:val="a7"/>
          <w:rFonts w:asciiTheme="minorBidi" w:hAnsiTheme="minorBidi"/>
          <w:rtl/>
        </w:rPr>
        <w:footnoteReference w:id="847"/>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xml:space="preserve">, </w:t>
      </w:r>
      <w:r w:rsidRPr="00351B7D">
        <w:rPr>
          <w:rFonts w:asciiTheme="minorBidi" w:hAnsiTheme="minorBidi"/>
          <w:u w:val="single"/>
          <w:rtl/>
        </w:rPr>
        <w:t>וכן אמר רבי אלעזר אמר רבי אושעיא</w:t>
      </w:r>
      <w:r w:rsidRPr="00351B7D">
        <w:rPr>
          <w:rFonts w:asciiTheme="minorBidi" w:hAnsiTheme="minorBidi"/>
          <w:rtl/>
        </w:rPr>
        <w:t xml:space="preserve">, </w:t>
      </w:r>
      <w:r w:rsidRPr="00351B7D">
        <w:rPr>
          <w:rFonts w:asciiTheme="minorBidi" w:hAnsiTheme="minorBidi"/>
          <w:u w:val="single"/>
          <w:rtl/>
        </w:rPr>
        <w:t>ואמרי לה אמר רבי אלעזר אמר רבי חנינא</w:t>
      </w:r>
      <w:r w:rsidRPr="00351B7D">
        <w:rPr>
          <w:rFonts w:asciiTheme="minorBidi" w:hAnsiTheme="minorBidi"/>
          <w:rtl/>
        </w:rPr>
        <w:t>: לפי שאין מערבין שמחה בשמחה</w:t>
      </w:r>
      <w:r w:rsidRPr="00351B7D">
        <w:rPr>
          <w:rStyle w:val="a7"/>
          <w:rFonts w:asciiTheme="minorBidi" w:hAnsiTheme="minorBidi"/>
          <w:rtl/>
        </w:rPr>
        <w:footnoteReference w:id="848"/>
      </w:r>
      <w:r w:rsidRPr="00351B7D">
        <w:rPr>
          <w:rFonts w:asciiTheme="minorBidi" w:hAnsiTheme="minorBidi"/>
          <w:rtl/>
        </w:rPr>
        <w:t xml:space="preserve">. </w:t>
      </w:r>
      <w:r w:rsidRPr="00351B7D">
        <w:rPr>
          <w:rFonts w:asciiTheme="minorBidi" w:hAnsiTheme="minorBidi"/>
          <w:u w:val="single"/>
          <w:rtl/>
        </w:rPr>
        <w:t>רבה בר [רב] הונא אמר</w:t>
      </w:r>
      <w:r w:rsidRPr="00351B7D">
        <w:rPr>
          <w:rFonts w:asciiTheme="minorBidi" w:hAnsiTheme="minorBidi"/>
          <w:rtl/>
        </w:rPr>
        <w:t xml:space="preserve">: מפני שמניח שמחת הרגל ועוסק בשמחת אשתו. </w:t>
      </w:r>
      <w:r w:rsidRPr="00351B7D">
        <w:rPr>
          <w:rFonts w:asciiTheme="minorBidi" w:hAnsiTheme="minorBidi"/>
          <w:u w:val="single"/>
          <w:rtl/>
        </w:rPr>
        <w:t>אמר ליה אביי לרב יוסף</w:t>
      </w:r>
      <w:r w:rsidRPr="00351B7D">
        <w:rPr>
          <w:rFonts w:asciiTheme="minorBidi" w:hAnsiTheme="minorBidi"/>
          <w:rtl/>
        </w:rPr>
        <w:t xml:space="preserve">: הא דרבה בר [רב] הונא - דרב הוא, </w:t>
      </w:r>
      <w:r w:rsidRPr="00351B7D">
        <w:rPr>
          <w:rFonts w:asciiTheme="minorBidi" w:hAnsiTheme="minorBidi"/>
          <w:u w:val="single"/>
          <w:rtl/>
        </w:rPr>
        <w:t>דאמר</w:t>
      </w:r>
      <w:r w:rsidRPr="00351B7D">
        <w:rPr>
          <w:rFonts w:asciiTheme="minorBidi" w:hAnsiTheme="minorBidi"/>
          <w:rtl/>
        </w:rPr>
        <w:t xml:space="preserve"> </w:t>
      </w:r>
      <w:r w:rsidRPr="00351B7D">
        <w:rPr>
          <w:rFonts w:asciiTheme="minorBidi" w:hAnsiTheme="minorBidi"/>
          <w:u w:val="single"/>
          <w:rtl/>
        </w:rPr>
        <w:t>רב דניאל בר קטינא אמר רב</w:t>
      </w:r>
      <w:r w:rsidRPr="00351B7D">
        <w:rPr>
          <w:rFonts w:asciiTheme="minorBidi" w:hAnsiTheme="minorBidi"/>
          <w:rtl/>
        </w:rPr>
        <w:t xml:space="preserve">: מנין שאין נושאין נשים במועד - שנאמר ושמחת בחגך, בחגך - ולא באשתך. </w:t>
      </w:r>
      <w:r w:rsidRPr="00351B7D">
        <w:rPr>
          <w:rFonts w:asciiTheme="minorBidi" w:hAnsiTheme="minorBidi"/>
          <w:u w:val="single"/>
          <w:rtl/>
        </w:rPr>
        <w:t>עולא אמר</w:t>
      </w:r>
      <w:r w:rsidRPr="00351B7D">
        <w:rPr>
          <w:rFonts w:asciiTheme="minorBidi" w:hAnsiTheme="minorBidi"/>
          <w:rtl/>
        </w:rPr>
        <w:t>: מפני הטורח</w:t>
      </w:r>
      <w:r w:rsidRPr="00351B7D">
        <w:rPr>
          <w:rStyle w:val="a7"/>
          <w:rFonts w:asciiTheme="minorBidi" w:hAnsiTheme="minorBidi"/>
          <w:rtl/>
        </w:rPr>
        <w:footnoteReference w:id="849"/>
      </w:r>
      <w:r w:rsidRPr="00351B7D">
        <w:rPr>
          <w:rFonts w:asciiTheme="minorBidi" w:hAnsiTheme="minorBidi"/>
          <w:rtl/>
        </w:rPr>
        <w:t xml:space="preserve">. </w:t>
      </w:r>
      <w:r w:rsidRPr="00351B7D">
        <w:rPr>
          <w:rFonts w:asciiTheme="minorBidi" w:hAnsiTheme="minorBidi"/>
          <w:u w:val="single"/>
          <w:rtl/>
        </w:rPr>
        <w:t>רבי יצחק נפחא אמר</w:t>
      </w:r>
      <w:r w:rsidRPr="00351B7D">
        <w:rPr>
          <w:rFonts w:asciiTheme="minorBidi" w:hAnsiTheme="minorBidi"/>
          <w:rtl/>
        </w:rPr>
        <w:t>: מפני ביטול פריה ורביה</w:t>
      </w:r>
      <w:r w:rsidRPr="00351B7D">
        <w:rPr>
          <w:rStyle w:val="a7"/>
          <w:rFonts w:asciiTheme="minorBidi" w:hAnsiTheme="minorBidi"/>
          <w:rtl/>
        </w:rPr>
        <w:footnoteReference w:id="850"/>
      </w:r>
      <w:r w:rsidRPr="00351B7D">
        <w:rPr>
          <w:rFonts w:asciiTheme="minorBidi" w:hAnsiTheme="minorBidi"/>
          <w:rtl/>
        </w:rPr>
        <w:t>. מיתיבי: כל אלו שאמרו אסורין לישא במועד מותרין לישא ערב הרגל</w:t>
      </w:r>
      <w:r w:rsidRPr="00351B7D">
        <w:rPr>
          <w:rStyle w:val="a7"/>
          <w:rFonts w:asciiTheme="minorBidi" w:hAnsiTheme="minorBidi"/>
          <w:rtl/>
        </w:rPr>
        <w:footnoteReference w:id="851"/>
      </w:r>
      <w:r w:rsidRPr="00351B7D">
        <w:rPr>
          <w:rFonts w:asciiTheme="minorBidi" w:hAnsiTheme="minorBidi"/>
          <w:rtl/>
        </w:rPr>
        <w:t>. קשיא לכולהו! לא קשיא: למאן דאמר משום שמחה- עיקר שמחה</w:t>
      </w:r>
      <w:r w:rsidRPr="00351B7D">
        <w:rPr>
          <w:rStyle w:val="a7"/>
          <w:rFonts w:asciiTheme="minorBidi" w:hAnsiTheme="minorBidi"/>
          <w:rtl/>
        </w:rPr>
        <w:footnoteReference w:id="852"/>
      </w:r>
      <w:r w:rsidRPr="00351B7D">
        <w:rPr>
          <w:rFonts w:asciiTheme="minorBidi" w:hAnsiTheme="minorBidi"/>
          <w:rtl/>
        </w:rPr>
        <w:t xml:space="preserve"> חד יומא הוא. למאן דאמר משום טירחא- עיקר טירחא</w:t>
      </w:r>
      <w:r w:rsidRPr="00351B7D">
        <w:rPr>
          <w:rStyle w:val="a7"/>
          <w:rFonts w:asciiTheme="minorBidi" w:hAnsiTheme="minorBidi"/>
          <w:rtl/>
        </w:rPr>
        <w:footnoteReference w:id="853"/>
      </w:r>
      <w:r w:rsidRPr="00351B7D">
        <w:rPr>
          <w:rFonts w:asciiTheme="minorBidi" w:hAnsiTheme="minorBidi"/>
          <w:rtl/>
        </w:rPr>
        <w:t xml:space="preserve"> חד יומא הוא. למאן דאמר משום ביטול פריה ורביה- לחד יומא לא משהי איניש נפשיה</w:t>
      </w:r>
      <w:r w:rsidRPr="00351B7D">
        <w:rPr>
          <w:rStyle w:val="a7"/>
          <w:rFonts w:asciiTheme="minorBidi" w:hAnsiTheme="minorBidi"/>
          <w:rtl/>
        </w:rPr>
        <w:footnoteReference w:id="854"/>
      </w:r>
      <w:r w:rsidRPr="00351B7D">
        <w:rPr>
          <w:rFonts w:asciiTheme="minorBidi" w:hAnsiTheme="minorBidi"/>
          <w:rtl/>
        </w:rPr>
        <w:t xml:space="preserve">. </w:t>
      </w:r>
      <w:r w:rsidRPr="00351B7D">
        <w:rPr>
          <w:rFonts w:asciiTheme="minorBidi" w:hAnsiTheme="minorBidi"/>
          <w:color w:val="000000"/>
          <w:sz w:val="16"/>
          <w:szCs w:val="16"/>
          <w:rtl/>
        </w:rPr>
        <w:t>(ונתבאר בטור או"ח בהל' חול המועד סימן תקמ"ו, ב"י)</w:t>
      </w:r>
    </w:p>
    <w:p w14:paraId="2DE67FE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C6717F" w14:textId="77777777" w:rsidR="008E16D0" w:rsidRPr="00351B7D" w:rsidRDefault="008E16D0" w:rsidP="008E16D0">
      <w:pPr>
        <w:rPr>
          <w:rFonts w:asciiTheme="minorBidi" w:hAnsiTheme="minorBidi"/>
          <w:rtl/>
        </w:rPr>
      </w:pPr>
      <w:r w:rsidRPr="00351B7D">
        <w:rPr>
          <w:rFonts w:asciiTheme="minorBidi" w:hAnsiTheme="minorBidi"/>
          <w:rtl/>
        </w:rPr>
        <w:lastRenderedPageBreak/>
        <w:t>אין נושאין נשים בחול המועד</w:t>
      </w:r>
      <w:r w:rsidRPr="00351B7D">
        <w:rPr>
          <w:rStyle w:val="a7"/>
          <w:rFonts w:asciiTheme="minorBidi" w:hAnsiTheme="minorBidi"/>
          <w:color w:val="000000"/>
          <w:rtl/>
        </w:rPr>
        <w:footnoteReference w:id="855"/>
      </w:r>
      <w:r w:rsidRPr="00351B7D">
        <w:rPr>
          <w:rFonts w:asciiTheme="minorBidi" w:hAnsiTheme="minorBidi"/>
          <w:rtl/>
        </w:rPr>
        <w:t xml:space="preserve"> לא בתולות ולא אלמנות ולא מיבמין אבל מחזיר גרושתו מן הנשואין אבל לא מן האירוסין</w:t>
      </w:r>
      <w:r w:rsidRPr="00351B7D">
        <w:rPr>
          <w:rStyle w:val="a7"/>
          <w:rFonts w:asciiTheme="minorBidi" w:hAnsiTheme="minorBidi"/>
          <w:color w:val="000000"/>
          <w:rtl/>
        </w:rPr>
        <w:footnoteReference w:id="856"/>
      </w:r>
      <w:r w:rsidRPr="00351B7D">
        <w:rPr>
          <w:rFonts w:asciiTheme="minorBidi" w:hAnsiTheme="minorBidi"/>
          <w:rtl/>
        </w:rPr>
        <w:t>.</w:t>
      </w:r>
    </w:p>
    <w:p w14:paraId="1DFD2381" w14:textId="77777777" w:rsidR="008E16D0" w:rsidRPr="00351B7D" w:rsidRDefault="008E16D0" w:rsidP="008E16D0">
      <w:pPr>
        <w:rPr>
          <w:rFonts w:asciiTheme="minorBidi" w:hAnsiTheme="minorBidi"/>
          <w:rtl/>
        </w:rPr>
      </w:pPr>
    </w:p>
    <w:p w14:paraId="1347C3D6" w14:textId="77777777" w:rsidR="008E16D0" w:rsidRPr="00351B7D" w:rsidRDefault="008E16D0" w:rsidP="008E16D0">
      <w:pPr>
        <w:rPr>
          <w:rFonts w:asciiTheme="minorBidi" w:hAnsiTheme="minorBidi"/>
          <w:rtl/>
        </w:rPr>
      </w:pPr>
    </w:p>
    <w:p w14:paraId="4330B685" w14:textId="77777777" w:rsidR="008E16D0" w:rsidRPr="00351B7D" w:rsidRDefault="008E16D0" w:rsidP="008E16D0">
      <w:pPr>
        <w:rPr>
          <w:rFonts w:asciiTheme="minorBidi" w:hAnsiTheme="minorBidi"/>
          <w:rtl/>
        </w:rPr>
      </w:pPr>
    </w:p>
    <w:p w14:paraId="3ED6D49F" w14:textId="77777777" w:rsidR="008E16D0" w:rsidRPr="00351B7D" w:rsidRDefault="008E16D0" w:rsidP="008E16D0">
      <w:pPr>
        <w:rPr>
          <w:rFonts w:asciiTheme="minorBidi" w:hAnsiTheme="minorBidi"/>
          <w:rtl/>
        </w:rPr>
      </w:pPr>
    </w:p>
    <w:p w14:paraId="52A7BC77" w14:textId="77777777" w:rsidR="008E16D0" w:rsidRPr="00351B7D" w:rsidRDefault="008E16D0" w:rsidP="008E16D0">
      <w:pPr>
        <w:rPr>
          <w:rFonts w:asciiTheme="minorBidi" w:hAnsiTheme="minorBidi"/>
          <w:rtl/>
        </w:rPr>
      </w:pPr>
    </w:p>
    <w:p w14:paraId="108EDEDC" w14:textId="77777777" w:rsidR="004B1524" w:rsidRDefault="004B1524" w:rsidP="008E16D0">
      <w:pPr>
        <w:pStyle w:val="1"/>
        <w:rPr>
          <w:rFonts w:asciiTheme="minorBidi" w:hAnsiTheme="minorBidi"/>
          <w:rtl/>
        </w:rPr>
        <w:sectPr w:rsidR="004B1524" w:rsidSect="00A347B3">
          <w:headerReference w:type="default" r:id="rId19"/>
          <w:footnotePr>
            <w:numRestart w:val="eachPage"/>
          </w:footnotePr>
          <w:pgSz w:w="11906" w:h="16838"/>
          <w:pgMar w:top="720" w:right="1134" w:bottom="720" w:left="1134" w:header="0" w:footer="0" w:gutter="0"/>
          <w:cols w:space="720"/>
          <w:bidi/>
          <w:rtlGutter/>
          <w:docGrid w:linePitch="360"/>
        </w:sectPr>
      </w:pPr>
    </w:p>
    <w:p w14:paraId="07F5FFDE" w14:textId="66BD8B1E" w:rsidR="008E16D0" w:rsidRPr="00351B7D" w:rsidRDefault="008E16D0" w:rsidP="008E16D0">
      <w:pPr>
        <w:pStyle w:val="1"/>
        <w:rPr>
          <w:rFonts w:asciiTheme="minorBidi" w:hAnsiTheme="minorBidi"/>
          <w:color w:val="auto"/>
          <w:rtl/>
        </w:rPr>
      </w:pPr>
      <w:r w:rsidRPr="00351B7D">
        <w:rPr>
          <w:rFonts w:asciiTheme="minorBidi" w:hAnsiTheme="minorBidi"/>
          <w:rtl/>
        </w:rPr>
        <w:lastRenderedPageBreak/>
        <w:t>סימן סה</w:t>
      </w:r>
      <w:r w:rsidRPr="00351B7D">
        <w:rPr>
          <w:rFonts w:asciiTheme="minorBidi" w:hAnsiTheme="minorBidi"/>
        </w:rPr>
        <w:t xml:space="preserve"> </w:t>
      </w:r>
      <w:r w:rsidRPr="00351B7D">
        <w:rPr>
          <w:rFonts w:asciiTheme="minorBidi" w:hAnsiTheme="minorBidi"/>
          <w:rtl/>
        </w:rPr>
        <w:t xml:space="preserve">:מצוה לשמח חתן וכלה, ודין מת וכלה, ובו ד' סעיפים. </w:t>
      </w:r>
    </w:p>
    <w:p w14:paraId="0365AAF0" w14:textId="77777777" w:rsidR="008E16D0" w:rsidRPr="00351B7D" w:rsidRDefault="008E16D0" w:rsidP="008E16D0">
      <w:pPr>
        <w:pStyle w:val="2"/>
        <w:rPr>
          <w:rFonts w:asciiTheme="minorBidi" w:hAnsiTheme="minorBidi"/>
          <w:rtl/>
        </w:rPr>
      </w:pPr>
      <w:r w:rsidRPr="00351B7D">
        <w:rPr>
          <w:rFonts w:asciiTheme="minorBidi" w:hAnsiTheme="minorBidi"/>
          <w:rtl/>
        </w:rPr>
        <w:t>סעיף א: מצוה גדולה לשמח חתן וכלה.</w:t>
      </w:r>
    </w:p>
    <w:p w14:paraId="6E5B7102" w14:textId="77777777" w:rsidR="008E16D0" w:rsidRPr="00351B7D" w:rsidRDefault="008E16D0" w:rsidP="008E16D0">
      <w:pPr>
        <w:rPr>
          <w:rFonts w:asciiTheme="minorBidi" w:hAnsiTheme="minorBidi"/>
          <w:rtl/>
        </w:rPr>
      </w:pPr>
      <w:r w:rsidRPr="00351B7D">
        <w:rPr>
          <w:rFonts w:asciiTheme="minorBidi" w:hAnsiTheme="minorBidi"/>
          <w:b/>
          <w:bCs/>
          <w:rtl/>
        </w:rPr>
        <w:t xml:space="preserve">כתובות טז סוע"ב: </w:t>
      </w:r>
      <w:r w:rsidRPr="00351B7D">
        <w:rPr>
          <w:rFonts w:asciiTheme="minorBidi" w:hAnsiTheme="minorBidi"/>
          <w:rtl/>
        </w:rPr>
        <w:t>תנו רבנן: כיצד מרקדין</w:t>
      </w:r>
      <w:r w:rsidRPr="00351B7D">
        <w:rPr>
          <w:rStyle w:val="a7"/>
          <w:rFonts w:asciiTheme="minorBidi" w:hAnsiTheme="minorBidi"/>
          <w:rtl/>
        </w:rPr>
        <w:footnoteReference w:id="857"/>
      </w:r>
      <w:r w:rsidRPr="00351B7D">
        <w:rPr>
          <w:rFonts w:asciiTheme="minorBidi" w:hAnsiTheme="minorBidi"/>
          <w:rtl/>
        </w:rPr>
        <w:t xml:space="preserve"> לפני הכלה? </w:t>
      </w:r>
      <w:r w:rsidRPr="00351B7D">
        <w:rPr>
          <w:rFonts w:asciiTheme="minorBidi" w:hAnsiTheme="minorBidi"/>
          <w:u w:val="single"/>
          <w:rtl/>
        </w:rPr>
        <w:t>בית שמאי אומרים:</w:t>
      </w:r>
      <w:r w:rsidRPr="00351B7D">
        <w:rPr>
          <w:rFonts w:asciiTheme="minorBidi" w:hAnsiTheme="minorBidi"/>
          <w:rtl/>
        </w:rPr>
        <w:t xml:space="preserve"> כלה כמות שהיא</w:t>
      </w:r>
      <w:r w:rsidRPr="00351B7D">
        <w:rPr>
          <w:rStyle w:val="a7"/>
          <w:rFonts w:asciiTheme="minorBidi" w:hAnsiTheme="minorBidi"/>
          <w:rtl/>
        </w:rPr>
        <w:footnoteReference w:id="858"/>
      </w:r>
      <w:r w:rsidRPr="00351B7D">
        <w:rPr>
          <w:rFonts w:asciiTheme="minorBidi" w:hAnsiTheme="minorBidi"/>
          <w:rtl/>
        </w:rPr>
        <w:t xml:space="preserve">, </w:t>
      </w:r>
      <w:r w:rsidRPr="00351B7D">
        <w:rPr>
          <w:rFonts w:asciiTheme="minorBidi" w:hAnsiTheme="minorBidi"/>
          <w:u w:val="single"/>
          <w:rtl/>
        </w:rPr>
        <w:t>ובית הלל אומרים</w:t>
      </w:r>
      <w:r w:rsidRPr="00351B7D">
        <w:rPr>
          <w:rFonts w:asciiTheme="minorBidi" w:hAnsiTheme="minorBidi"/>
          <w:rtl/>
        </w:rPr>
        <w:t>: כלה נאה וחסודה</w:t>
      </w:r>
      <w:r w:rsidRPr="00351B7D">
        <w:rPr>
          <w:rStyle w:val="a7"/>
          <w:rFonts w:asciiTheme="minorBidi" w:hAnsiTheme="minorBidi"/>
          <w:rtl/>
        </w:rPr>
        <w:footnoteReference w:id="859"/>
      </w:r>
      <w:r w:rsidRPr="00351B7D">
        <w:rPr>
          <w:rFonts w:asciiTheme="minorBidi" w:hAnsiTheme="minorBidi"/>
          <w:rtl/>
        </w:rPr>
        <w:t xml:space="preserve">. </w:t>
      </w:r>
      <w:r w:rsidRPr="00351B7D">
        <w:rPr>
          <w:rFonts w:asciiTheme="minorBidi" w:hAnsiTheme="minorBidi"/>
          <w:u w:val="single"/>
          <w:rtl/>
        </w:rPr>
        <w:t>אמרו להן ב"ש לב"ה</w:t>
      </w:r>
      <w:r w:rsidRPr="00351B7D">
        <w:rPr>
          <w:rFonts w:asciiTheme="minorBidi" w:hAnsiTheme="minorBidi"/>
          <w:rtl/>
        </w:rPr>
        <w:t xml:space="preserve">: הרי שהיתה חיגרת או סומא אומרי' לה כלה נאה וחסודה? והתורה אמרה מדבר שקר תרחק! </w:t>
      </w:r>
      <w:r w:rsidRPr="00351B7D">
        <w:rPr>
          <w:rFonts w:asciiTheme="minorBidi" w:hAnsiTheme="minorBidi"/>
          <w:u w:val="single"/>
          <w:rtl/>
        </w:rPr>
        <w:t>אמרו להם ב"ה לב"ש</w:t>
      </w:r>
      <w:r w:rsidRPr="00351B7D">
        <w:rPr>
          <w:rFonts w:asciiTheme="minorBidi" w:hAnsiTheme="minorBidi"/>
          <w:rtl/>
        </w:rPr>
        <w:t>: לדבריכם מי שלקח מקח רע מן השוק ישבחנו בעיניו או יגננו בעיניו? הוי אומר ישבחנו בעיניו, מכאן אמרו</w:t>
      </w:r>
      <w:r w:rsidRPr="00351B7D">
        <w:rPr>
          <w:rStyle w:val="a7"/>
          <w:rFonts w:asciiTheme="minorBidi" w:hAnsiTheme="minorBidi"/>
          <w:rtl/>
        </w:rPr>
        <w:footnoteReference w:id="860"/>
      </w:r>
      <w:r w:rsidRPr="00351B7D">
        <w:rPr>
          <w:rFonts w:asciiTheme="minorBidi" w:hAnsiTheme="minorBidi"/>
          <w:rtl/>
        </w:rPr>
        <w:t xml:space="preserve"> חכמים: לעולם תהא דעתו של אדם מעורבת עם הבריות</w:t>
      </w:r>
      <w:r w:rsidRPr="00351B7D">
        <w:rPr>
          <w:rStyle w:val="a7"/>
          <w:rFonts w:asciiTheme="minorBidi" w:hAnsiTheme="minorBidi"/>
          <w:rtl/>
        </w:rPr>
        <w:footnoteReference w:id="861"/>
      </w:r>
      <w:r w:rsidRPr="00351B7D">
        <w:rPr>
          <w:rFonts w:asciiTheme="minorBidi" w:hAnsiTheme="minorBidi"/>
          <w:rtl/>
        </w:rPr>
        <w:t>... אמרו עליו על רבי יהודה בר אילעאי, שהיה נוטל בד של הדס ומרקד לפני הכלה, ואומר: כלה נאה וחסודה... תנו רבנן: מבטלין תלמוד תורה להוצאת המת ולהכנסת כלה.</w:t>
      </w:r>
    </w:p>
    <w:p w14:paraId="450B3FEE" w14:textId="77777777" w:rsidR="008E16D0" w:rsidRPr="00351B7D" w:rsidRDefault="008E16D0" w:rsidP="008E16D0">
      <w:pPr>
        <w:rPr>
          <w:rFonts w:asciiTheme="minorBidi" w:hAnsiTheme="minorBidi"/>
          <w:rtl/>
        </w:rPr>
      </w:pPr>
      <w:r w:rsidRPr="00351B7D">
        <w:rPr>
          <w:rFonts w:asciiTheme="minorBidi" w:hAnsiTheme="minorBidi"/>
          <w:b/>
          <w:bCs/>
          <w:rtl/>
        </w:rPr>
        <w:t>פרקי דרבי אליעזר</w:t>
      </w:r>
      <w:r w:rsidRPr="00351B7D">
        <w:rPr>
          <w:rFonts w:asciiTheme="minorBidi" w:hAnsiTheme="minorBidi"/>
          <w:b/>
          <w:bCs/>
          <w:sz w:val="16"/>
          <w:szCs w:val="16"/>
          <w:rtl/>
        </w:rPr>
        <w:t xml:space="preserve"> (היגר)</w:t>
      </w:r>
      <w:r w:rsidRPr="00351B7D">
        <w:rPr>
          <w:rFonts w:asciiTheme="minorBidi" w:hAnsiTheme="minorBidi"/>
          <w:b/>
          <w:bCs/>
          <w:rtl/>
        </w:rPr>
        <w:t xml:space="preserve"> פי"ז:</w:t>
      </w:r>
      <w:r w:rsidRPr="00351B7D">
        <w:rPr>
          <w:rFonts w:asciiTheme="minorBidi" w:hAnsiTheme="minorBidi"/>
          <w:rtl/>
        </w:rPr>
        <w:t xml:space="preserve"> גמילות חסדים מניין אנו למדין לאבלים מאיזבל שהיתה ביתה סמוך לשוק וכל מת שהיה עובר בשוק היתה יוצאת מתוך ביתה ומכה בכפי ידיה ומקוננת בפיה ומהלכת עשרה צעדות, וכל חתן שהיה עובר בשוק היתה יוצאה מתוך ביתה ומצלצלת בכפי ידיה ומקלסת בפיה ומהלכת עשר צעדות, ונתנבא עליה אליהו זכור לטוב "הכלבים יאכלו את איזבל בחלק יזרעאל", והאברים שהיו גומלי חסד לא שלטו הכלבים בהם, שנ' וילכו לקברה ולא מצאו בה [כי אם הגלגלת והרגלים וכפות הידים].</w:t>
      </w:r>
    </w:p>
    <w:p w14:paraId="5BA05E02" w14:textId="77777777" w:rsidR="008E16D0" w:rsidRPr="00351B7D" w:rsidRDefault="008E16D0" w:rsidP="008E16D0">
      <w:pPr>
        <w:rPr>
          <w:rFonts w:asciiTheme="minorBidi" w:hAnsiTheme="minorBidi"/>
          <w:rtl/>
        </w:rPr>
      </w:pPr>
      <w:r w:rsidRPr="00351B7D">
        <w:rPr>
          <w:rFonts w:asciiTheme="minorBidi" w:hAnsiTheme="minorBidi"/>
          <w:b/>
          <w:bCs/>
          <w:rtl/>
        </w:rPr>
        <w:t xml:space="preserve">ברכות ו ע"ב: </w:t>
      </w:r>
      <w:r w:rsidRPr="00351B7D">
        <w:rPr>
          <w:rFonts w:asciiTheme="minorBidi" w:hAnsiTheme="minorBidi"/>
          <w:u w:val="single"/>
          <w:rtl/>
        </w:rPr>
        <w:t>ואמר רבי חלבו אמר רב הונא</w:t>
      </w:r>
      <w:r w:rsidRPr="00351B7D">
        <w:rPr>
          <w:rFonts w:asciiTheme="minorBidi" w:hAnsiTheme="minorBidi"/>
          <w:rtl/>
        </w:rPr>
        <w:t>: כל הנהנה מסעודת חתן ואינו משמחו עובר בחמשה קולות</w:t>
      </w:r>
      <w:r w:rsidRPr="00351B7D">
        <w:rPr>
          <w:rStyle w:val="a7"/>
          <w:rFonts w:asciiTheme="minorBidi" w:hAnsiTheme="minorBidi"/>
          <w:rtl/>
        </w:rPr>
        <w:footnoteReference w:id="862"/>
      </w:r>
      <w:r w:rsidRPr="00351B7D">
        <w:rPr>
          <w:rFonts w:asciiTheme="minorBidi" w:hAnsiTheme="minorBidi"/>
          <w:rtl/>
        </w:rPr>
        <w:t>, שנאמר</w:t>
      </w:r>
      <w:r w:rsidRPr="00351B7D">
        <w:rPr>
          <w:rStyle w:val="a7"/>
          <w:rFonts w:asciiTheme="minorBidi" w:hAnsiTheme="minorBidi"/>
          <w:rtl/>
        </w:rPr>
        <w:footnoteReference w:id="863"/>
      </w:r>
      <w:r w:rsidRPr="00351B7D">
        <w:rPr>
          <w:rFonts w:asciiTheme="minorBidi" w:hAnsiTheme="minorBidi"/>
          <w:rtl/>
        </w:rPr>
        <w:t xml:space="preserve">: קול ששון וקול שמחה קול חתן וקול כלה קול אומרים הודו את ה' צבאות. ואם משמחו מה שכרו? </w:t>
      </w:r>
      <w:r w:rsidRPr="00351B7D">
        <w:rPr>
          <w:rFonts w:asciiTheme="minorBidi" w:hAnsiTheme="minorBidi"/>
          <w:u w:val="single"/>
          <w:rtl/>
        </w:rPr>
        <w:t>אמר רבי יהושע בן לוי:</w:t>
      </w:r>
      <w:r w:rsidRPr="00351B7D">
        <w:rPr>
          <w:rFonts w:asciiTheme="minorBidi" w:hAnsiTheme="minorBidi"/>
          <w:rtl/>
        </w:rPr>
        <w:t xml:space="preserve"> זוכה לתורה שנתנה בחמשה קולות, שנאמר: ויהי ביום השלישי בהיות הבקר ויהי קולות וברקים וענן כבד על ההר וקל שופר וגו' ויהי קול השפר וגו' והאלהים יעננו בקול... </w:t>
      </w:r>
      <w:r w:rsidRPr="00351B7D">
        <w:rPr>
          <w:rFonts w:asciiTheme="minorBidi" w:hAnsiTheme="minorBidi"/>
          <w:u w:val="single"/>
          <w:rtl/>
        </w:rPr>
        <w:t>רבי אבהו אמר</w:t>
      </w:r>
      <w:r w:rsidRPr="00351B7D">
        <w:rPr>
          <w:rFonts w:asciiTheme="minorBidi" w:hAnsiTheme="minorBidi"/>
          <w:rtl/>
        </w:rPr>
        <w:t xml:space="preserve">: כאילו הקריב תודה, שנאמר: מבאים תודה בית ה'. </w:t>
      </w:r>
      <w:r w:rsidRPr="00351B7D">
        <w:rPr>
          <w:rFonts w:asciiTheme="minorBidi" w:hAnsiTheme="minorBidi"/>
          <w:u w:val="single"/>
          <w:rtl/>
        </w:rPr>
        <w:t>רב נחמן בר יצחק אמר</w:t>
      </w:r>
      <w:r w:rsidRPr="00351B7D">
        <w:rPr>
          <w:rFonts w:asciiTheme="minorBidi" w:hAnsiTheme="minorBidi"/>
          <w:rtl/>
        </w:rPr>
        <w:t>: כאילו בנה אחת מחורבות ירושלים, שנאמר: כי אשיב את שבות הארץ כבראשונה אמר ה'.</w:t>
      </w:r>
    </w:p>
    <w:p w14:paraId="324356AF"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C6136E3"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rtl/>
        </w:rPr>
        <w:t>מצוה</w:t>
      </w:r>
      <w:r w:rsidRPr="00351B7D">
        <w:rPr>
          <w:rStyle w:val="a7"/>
          <w:rFonts w:asciiTheme="minorBidi" w:hAnsiTheme="minorBidi"/>
          <w:color w:val="000000"/>
          <w:rtl/>
        </w:rPr>
        <w:footnoteReference w:id="864"/>
      </w:r>
      <w:r w:rsidRPr="00351B7D">
        <w:rPr>
          <w:rFonts w:asciiTheme="minorBidi" w:hAnsiTheme="minorBidi"/>
          <w:rtl/>
        </w:rPr>
        <w:t xml:space="preserve"> לשמח חתן וכלה ולרקד לפניה ולומר שהיא נאה וחסודה</w:t>
      </w:r>
      <w:r w:rsidRPr="00351B7D">
        <w:rPr>
          <w:rFonts w:asciiTheme="minorBidi" w:hAnsiTheme="minorBidi"/>
          <w:color w:val="000000"/>
          <w:sz w:val="16"/>
          <w:szCs w:val="16"/>
          <w:rtl/>
        </w:rPr>
        <w:t xml:space="preserve"> (פירוש מן ותשא חן וחסד לפניו</w:t>
      </w:r>
      <w:r w:rsidRPr="00351B7D">
        <w:rPr>
          <w:rFonts w:asciiTheme="minorBidi" w:hAnsiTheme="minorBidi"/>
          <w:color w:val="000000"/>
          <w:sz w:val="14"/>
          <w:szCs w:val="14"/>
          <w:rtl/>
        </w:rPr>
        <w:t xml:space="preserve"> (אסתר ב, יז)</w:t>
      </w:r>
      <w:r w:rsidRPr="00351B7D">
        <w:rPr>
          <w:rFonts w:asciiTheme="minorBidi" w:hAnsiTheme="minorBidi"/>
          <w:color w:val="000000"/>
          <w:sz w:val="16"/>
          <w:szCs w:val="16"/>
          <w:rtl/>
        </w:rPr>
        <w:t>)</w:t>
      </w:r>
      <w:r w:rsidRPr="00351B7D">
        <w:rPr>
          <w:rFonts w:asciiTheme="minorBidi" w:hAnsiTheme="minorBidi"/>
          <w:color w:val="000000"/>
          <w:sz w:val="20"/>
          <w:szCs w:val="20"/>
          <w:rtl/>
        </w:rPr>
        <w:t xml:space="preserve"> </w:t>
      </w:r>
      <w:r w:rsidRPr="00351B7D">
        <w:rPr>
          <w:rFonts w:asciiTheme="minorBidi" w:hAnsiTheme="minorBidi"/>
          <w:rtl/>
        </w:rPr>
        <w:t>אפילו אינה נאה</w:t>
      </w:r>
      <w:r w:rsidRPr="00351B7D">
        <w:rPr>
          <w:rStyle w:val="a7"/>
          <w:rFonts w:asciiTheme="minorBidi" w:hAnsiTheme="minorBidi"/>
          <w:color w:val="000000"/>
          <w:rtl/>
        </w:rPr>
        <w:footnoteReference w:id="865"/>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ומצינו שרבי יהודה בר אילעי היה מרקד לפני הכלה. ומבטלין תלמוד תורה</w:t>
      </w:r>
      <w:r w:rsidRPr="00351B7D">
        <w:rPr>
          <w:rStyle w:val="a7"/>
          <w:rFonts w:asciiTheme="minorBidi" w:hAnsiTheme="minorBidi"/>
          <w:color w:val="000000"/>
          <w:sz w:val="18"/>
          <w:szCs w:val="18"/>
          <w:rtl/>
        </w:rPr>
        <w:footnoteReference w:id="866"/>
      </w:r>
      <w:r w:rsidRPr="00351B7D">
        <w:rPr>
          <w:rFonts w:asciiTheme="minorBidi" w:hAnsiTheme="minorBidi"/>
          <w:color w:val="000000"/>
          <w:sz w:val="18"/>
          <w:szCs w:val="18"/>
          <w:rtl/>
        </w:rPr>
        <w:t xml:space="preserve"> להכנסת</w:t>
      </w:r>
      <w:r w:rsidRPr="00351B7D">
        <w:rPr>
          <w:rStyle w:val="a7"/>
          <w:rFonts w:asciiTheme="minorBidi" w:hAnsiTheme="minorBidi"/>
          <w:color w:val="000000"/>
          <w:sz w:val="18"/>
          <w:szCs w:val="18"/>
          <w:rtl/>
        </w:rPr>
        <w:footnoteReference w:id="867"/>
      </w:r>
      <w:r w:rsidRPr="00351B7D">
        <w:rPr>
          <w:rFonts w:asciiTheme="minorBidi" w:hAnsiTheme="minorBidi"/>
          <w:color w:val="000000"/>
          <w:sz w:val="18"/>
          <w:szCs w:val="18"/>
          <w:rtl/>
        </w:rPr>
        <w:t xml:space="preserve"> כלה לחופה </w:t>
      </w:r>
      <w:r w:rsidRPr="00351B7D">
        <w:rPr>
          <w:rFonts w:asciiTheme="minorBidi" w:hAnsiTheme="minorBidi"/>
          <w:color w:val="000000"/>
          <w:sz w:val="16"/>
          <w:szCs w:val="16"/>
          <w:rtl/>
        </w:rPr>
        <w:t>(פ"ק דמגילה ופ' האשה שנתארמלה)</w:t>
      </w:r>
      <w:r w:rsidRPr="00351B7D">
        <w:rPr>
          <w:rFonts w:asciiTheme="minorBidi" w:hAnsiTheme="minorBidi"/>
          <w:color w:val="000000"/>
          <w:sz w:val="18"/>
          <w:szCs w:val="18"/>
          <w:rtl/>
        </w:rPr>
        <w:t xml:space="preserve">. </w:t>
      </w:r>
    </w:p>
    <w:p w14:paraId="18838EF7"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האם יש חובה לבטל תלמוד תורה אם אני יודע שיש בעיר הכנסת כלה </w:t>
      </w:r>
      <w:r w:rsidRPr="00351B7D">
        <w:rPr>
          <w:rFonts w:asciiTheme="minorBidi" w:hAnsiTheme="minorBidi"/>
          <w:b/>
          <w:bCs/>
          <w:u w:val="single"/>
          <w:rtl/>
        </w:rPr>
        <w:t>אע"פ שאיני רואה אותם לפני</w:t>
      </w:r>
      <w:r w:rsidRPr="00351B7D">
        <w:rPr>
          <w:rFonts w:asciiTheme="minorBidi" w:hAnsiTheme="minorBidi"/>
          <w:u w:val="single"/>
          <w:rtl/>
        </w:rPr>
        <w:t>:</w:t>
      </w:r>
    </w:p>
    <w:p w14:paraId="0A104DCF" w14:textId="77777777" w:rsidR="008E16D0" w:rsidRPr="00351B7D" w:rsidRDefault="008E16D0" w:rsidP="00A8697F">
      <w:pPr>
        <w:pStyle w:val="ab"/>
        <w:numPr>
          <w:ilvl w:val="0"/>
          <w:numId w:val="129"/>
        </w:numPr>
        <w:rPr>
          <w:rFonts w:asciiTheme="minorBidi" w:hAnsiTheme="minorBidi"/>
          <w:rtl/>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xml:space="preserve">- אפשר לומר דוקא כשרואה שנכנסין לחופה צריך לכבדם אבל אם יודע שיש חופה בעיר א"צ לבטל מלימודו ולילך שם. </w:t>
      </w:r>
    </w:p>
    <w:p w14:paraId="2E85BAE4" w14:textId="77777777" w:rsidR="008E16D0" w:rsidRPr="00351B7D" w:rsidRDefault="008E16D0" w:rsidP="00A8697F">
      <w:pPr>
        <w:pStyle w:val="ab"/>
        <w:numPr>
          <w:ilvl w:val="0"/>
          <w:numId w:val="129"/>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(סק"ג)</w:t>
      </w:r>
      <w:r w:rsidRPr="00351B7D">
        <w:rPr>
          <w:rFonts w:asciiTheme="minorBidi" w:hAnsiTheme="minorBidi"/>
          <w:rtl/>
        </w:rPr>
        <w:t>- בברייתא תניא מבטלין ת"ת להוצאת המת ולהכנסת הכלה, ובהוצאת המת אפילו אינו רואה חייב לבטל, כן הכי נמי בהכנסת הכלה.</w:t>
      </w:r>
    </w:p>
    <w:p w14:paraId="5B5F9B9C"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u w:val="single"/>
          <w:rtl/>
        </w:rPr>
        <w:t>ריקוד של אדם זר עם הכלה בהפסק מטפחת:</w:t>
      </w:r>
      <w:r w:rsidRPr="00351B7D">
        <w:rPr>
          <w:rFonts w:asciiTheme="minorBidi" w:hAnsiTheme="minorBidi"/>
          <w:color w:val="000000"/>
          <w:sz w:val="16"/>
          <w:szCs w:val="16"/>
          <w:rtl/>
        </w:rPr>
        <w:t xml:space="preserve">   (פת"ש סק"ב)</w:t>
      </w:r>
    </w:p>
    <w:p w14:paraId="7DE1A741" w14:textId="77777777" w:rsidR="008E16D0" w:rsidRPr="00351B7D" w:rsidRDefault="008E16D0" w:rsidP="00A8697F">
      <w:pPr>
        <w:pStyle w:val="ab"/>
        <w:numPr>
          <w:ilvl w:val="0"/>
          <w:numId w:val="113"/>
        </w:numPr>
        <w:rPr>
          <w:rFonts w:asciiTheme="minorBidi" w:hAnsiTheme="minorBidi"/>
        </w:rPr>
      </w:pPr>
      <w:r w:rsidRPr="00351B7D">
        <w:rPr>
          <w:rFonts w:asciiTheme="minorBidi" w:hAnsiTheme="minorBidi"/>
          <w:rtl/>
        </w:rPr>
        <w:lastRenderedPageBreak/>
        <w:t xml:space="preserve">תורת חיים </w:t>
      </w:r>
      <w:r w:rsidRPr="00351B7D">
        <w:rPr>
          <w:rFonts w:asciiTheme="minorBidi" w:hAnsiTheme="minorBidi"/>
          <w:color w:val="000000"/>
          <w:sz w:val="16"/>
          <w:szCs w:val="16"/>
          <w:rtl/>
        </w:rPr>
        <w:t>(ע"ז יז. בד"ה אבי ידייהו)</w:t>
      </w:r>
      <w:r w:rsidRPr="00351B7D">
        <w:rPr>
          <w:rFonts w:asciiTheme="minorBidi" w:hAnsiTheme="minorBidi"/>
          <w:rtl/>
        </w:rPr>
        <w:t xml:space="preserve">- נראה דאסור ללכת במחול עם הכלה בשבעת ימי המשתה אפי' אינו אוחז בידה ממש אלא בהפסק מטפחת כדרך שנוהגין מקצת ת"ח שבדור הזה אפ"ה לאו שפיר עבדי כדמשמע הכא דשום קריבה בעלמא אסור ואין לחלק בין כלה לאחרת דליכא האידנא מאן דמצי למימר דדמיא עליה ככשורא ולא אמרו חכמים אלא כיצד מרקדין לפני הכלה ולא עם הכלה וכה"ג פסק ש"ס ברפ"ב דכתובות דאסור להסתכל בפני כלה כל שבעה כמו שאסור להסתכל באשה אחרת. ואותן בני בליעל ההולכים במחול עם נשים דעלמא עליהם הכתוב אומר יד ליד לא ינקה רע לא ינקה מעונשה של גיהנם וראוי לגעור בהן, וכל מי שיש בידו למחות כו'. </w:t>
      </w:r>
    </w:p>
    <w:p w14:paraId="54DA64EB" w14:textId="77777777" w:rsidR="008E16D0" w:rsidRPr="00351B7D" w:rsidRDefault="008E16D0" w:rsidP="008E16D0">
      <w:pPr>
        <w:rPr>
          <w:rFonts w:asciiTheme="minorBidi" w:hAnsiTheme="minorBidi"/>
          <w:u w:val="single"/>
          <w:rtl/>
        </w:rPr>
      </w:pPr>
      <w:r w:rsidRPr="00351B7D">
        <w:rPr>
          <w:rFonts w:asciiTheme="minorBidi" w:hAnsiTheme="minorBidi"/>
          <w:u w:val="single"/>
          <w:rtl/>
        </w:rPr>
        <w:t>מה עדיף- כבוד חתן וכלה או כבוד הרגל:</w:t>
      </w:r>
      <w:r w:rsidRPr="00351B7D">
        <w:rPr>
          <w:rFonts w:asciiTheme="minorBidi" w:hAnsiTheme="minorBidi"/>
          <w:color w:val="000000"/>
          <w:sz w:val="16"/>
          <w:szCs w:val="16"/>
          <w:rtl/>
        </w:rPr>
        <w:t xml:space="preserve">   (באה"ט סק"ב)</w:t>
      </w:r>
    </w:p>
    <w:p w14:paraId="595E7265" w14:textId="77777777" w:rsidR="008E16D0" w:rsidRPr="00351B7D" w:rsidRDefault="008E16D0" w:rsidP="00A8697F">
      <w:pPr>
        <w:pStyle w:val="ab"/>
        <w:numPr>
          <w:ilvl w:val="0"/>
          <w:numId w:val="113"/>
        </w:numPr>
        <w:rPr>
          <w:rFonts w:asciiTheme="minorBidi" w:hAnsiTheme="minorBidi"/>
        </w:rPr>
      </w:pPr>
      <w:r w:rsidRPr="00351B7D">
        <w:rPr>
          <w:rFonts w:asciiTheme="minorBidi" w:hAnsiTheme="minorBidi"/>
          <w:rtl/>
        </w:rPr>
        <w:t>מהרי"ל</w:t>
      </w:r>
      <w:r w:rsidRPr="00351B7D">
        <w:rPr>
          <w:rFonts w:asciiTheme="minorBidi" w:hAnsiTheme="minorBidi"/>
          <w:sz w:val="16"/>
          <w:szCs w:val="16"/>
          <w:rtl/>
        </w:rPr>
        <w:t xml:space="preserve"> (מנהגים הל' נישואין סי' י)</w:t>
      </w:r>
      <w:r w:rsidRPr="00351B7D">
        <w:rPr>
          <w:rFonts w:asciiTheme="minorBidi" w:hAnsiTheme="minorBidi"/>
          <w:rtl/>
        </w:rPr>
        <w:t>- "</w:t>
      </w:r>
      <w:r w:rsidRPr="00351B7D">
        <w:rPr>
          <w:rFonts w:asciiTheme="minorBidi" w:hAnsiTheme="minorBidi"/>
          <w:color w:val="000000"/>
          <w:rtl/>
        </w:rPr>
        <w:t>בדידי הוה עובדא</w:t>
      </w:r>
      <w:r w:rsidRPr="00351B7D">
        <w:rPr>
          <w:rStyle w:val="a7"/>
          <w:rFonts w:asciiTheme="minorBidi" w:hAnsiTheme="minorBidi"/>
          <w:color w:val="000000"/>
          <w:rtl/>
        </w:rPr>
        <w:footnoteReference w:id="868"/>
      </w:r>
      <w:r w:rsidRPr="00351B7D">
        <w:rPr>
          <w:rFonts w:asciiTheme="minorBidi" w:hAnsiTheme="minorBidi"/>
          <w:color w:val="000000"/>
          <w:rtl/>
        </w:rPr>
        <w:t xml:space="preserve"> שבחור הייתי ונשאתי גרושה, ותקנתי טלית חדש לנישואין ונתעטפתי בו מקודם הנישואין בשבועות לכבוד הרגל... ואמרתי כבוד רגל עדיף. ואחר הרגל אמר אלי אמ"ץ</w:t>
      </w:r>
      <w:r w:rsidRPr="00351B7D">
        <w:rPr>
          <w:rFonts w:asciiTheme="minorBidi" w:hAnsiTheme="minorBidi"/>
          <w:color w:val="000000"/>
          <w:sz w:val="18"/>
          <w:szCs w:val="18"/>
          <w:rtl/>
        </w:rPr>
        <w:t xml:space="preserve"> </w:t>
      </w:r>
      <w:r w:rsidRPr="00351B7D">
        <w:rPr>
          <w:rFonts w:asciiTheme="minorBidi" w:hAnsiTheme="minorBidi"/>
          <w:color w:val="000000"/>
          <w:rtl/>
        </w:rPr>
        <w:t>מהר"י סג"ל דשלא כדין עשיתי דיום חתונה עדיף לגבי בחור מכל רגל וכל כלי חדשים יחזיק לנישואין</w:t>
      </w:r>
      <w:r w:rsidRPr="00351B7D">
        <w:rPr>
          <w:rFonts w:asciiTheme="minorBidi" w:hAnsiTheme="minorBidi"/>
          <w:rtl/>
        </w:rPr>
        <w:t>".</w:t>
      </w:r>
    </w:p>
    <w:p w14:paraId="17578388" w14:textId="77777777" w:rsidR="008E16D0" w:rsidRPr="00351B7D" w:rsidRDefault="008E16D0" w:rsidP="008E16D0">
      <w:pPr>
        <w:rPr>
          <w:rFonts w:asciiTheme="minorBidi" w:hAnsiTheme="minorBidi"/>
          <w:color w:val="000000"/>
          <w:rtl/>
        </w:rPr>
      </w:pPr>
    </w:p>
    <w:p w14:paraId="135DAF08" w14:textId="77777777" w:rsidR="008E16D0" w:rsidRPr="00351B7D" w:rsidRDefault="008E16D0" w:rsidP="008E16D0">
      <w:pPr>
        <w:pStyle w:val="2"/>
        <w:rPr>
          <w:rFonts w:asciiTheme="minorBidi" w:hAnsiTheme="minorBidi"/>
          <w:rtl/>
        </w:rPr>
      </w:pPr>
      <w:r w:rsidRPr="00351B7D">
        <w:rPr>
          <w:rFonts w:asciiTheme="minorBidi" w:hAnsiTheme="minorBidi"/>
          <w:rtl/>
        </w:rPr>
        <w:t>סעיף ב: הסתכלות בכלה.</w:t>
      </w:r>
    </w:p>
    <w:p w14:paraId="0C108958"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b/>
          <w:bCs/>
          <w:rtl/>
        </w:rPr>
        <w:t xml:space="preserve">כתובות יז ע"א: </w:t>
      </w:r>
      <w:r w:rsidRPr="00351B7D">
        <w:rPr>
          <w:rFonts w:asciiTheme="minorBidi" w:hAnsiTheme="minorBidi"/>
          <w:u w:val="single"/>
          <w:rtl/>
        </w:rPr>
        <w:t>א"ר שמואל בר נחמני א"ר יונתן</w:t>
      </w:r>
      <w:r w:rsidRPr="00351B7D">
        <w:rPr>
          <w:rFonts w:asciiTheme="minorBidi" w:hAnsiTheme="minorBidi"/>
          <w:rtl/>
        </w:rPr>
        <w:t>: מותר להסתכל בפני כלה כל שבעה כדי לחבבה</w:t>
      </w:r>
      <w:r w:rsidRPr="00351B7D">
        <w:rPr>
          <w:rStyle w:val="a7"/>
          <w:rFonts w:asciiTheme="minorBidi" w:hAnsiTheme="minorBidi"/>
          <w:rtl/>
        </w:rPr>
        <w:footnoteReference w:id="869"/>
      </w:r>
      <w:r w:rsidRPr="00351B7D">
        <w:rPr>
          <w:rFonts w:asciiTheme="minorBidi" w:hAnsiTheme="minorBidi"/>
          <w:rtl/>
        </w:rPr>
        <w:t xml:space="preserve"> על בעלה. ולית הלכתא כוותיה.</w:t>
      </w:r>
      <w:r w:rsidRPr="00351B7D">
        <w:rPr>
          <w:rFonts w:asciiTheme="minorBidi" w:hAnsiTheme="minorBidi"/>
          <w:color w:val="000000"/>
          <w:sz w:val="16"/>
          <w:szCs w:val="16"/>
          <w:rtl/>
        </w:rPr>
        <w:t xml:space="preserve"> </w:t>
      </w:r>
    </w:p>
    <w:p w14:paraId="7171BAB9" w14:textId="77777777" w:rsidR="008E16D0" w:rsidRPr="00351B7D" w:rsidRDefault="008E16D0" w:rsidP="008E16D0">
      <w:pPr>
        <w:rPr>
          <w:rFonts w:asciiTheme="minorBidi" w:hAnsiTheme="minorBidi"/>
          <w:u w:val="single"/>
          <w:rtl/>
        </w:rPr>
      </w:pPr>
      <w:r w:rsidRPr="00351B7D">
        <w:rPr>
          <w:rFonts w:asciiTheme="minorBidi" w:hAnsiTheme="minorBidi"/>
          <w:u w:val="single"/>
          <w:rtl/>
        </w:rPr>
        <w:t xml:space="preserve">האם מותר להסתכל בכלה: </w:t>
      </w:r>
    </w:p>
    <w:p w14:paraId="33154F88" w14:textId="77777777" w:rsidR="008E16D0" w:rsidRPr="00351B7D" w:rsidRDefault="008E16D0" w:rsidP="00A8697F">
      <w:pPr>
        <w:pStyle w:val="ab"/>
        <w:numPr>
          <w:ilvl w:val="0"/>
          <w:numId w:val="113"/>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(פ"ב סי' ג)</w:t>
      </w:r>
      <w:r w:rsidRPr="00351B7D">
        <w:rPr>
          <w:rFonts w:asciiTheme="minorBidi" w:hAnsiTheme="minorBidi"/>
          <w:rtl/>
        </w:rPr>
        <w:t>- יש אומרים דכל שבעה אסור אבל יום ראשון שהוא עיקר החיבוב אצל בעלה מותר דאל"כ מי יעיד שיצאת בהינומא וראשה פרוע, וליתא, דאפילו שעה אחת אסור להסתכל בה, אלא כיון שרואין ההינומא שעשו ואומרים זו היא של כלה פלונית היינו עדות, אי נמי ראיית ההינומא כשהיא עליה או פריעת הראש אין זה הסתכלות בפניה</w:t>
      </w:r>
      <w:r w:rsidRPr="00351B7D">
        <w:rPr>
          <w:rStyle w:val="a7"/>
          <w:rFonts w:asciiTheme="minorBidi" w:hAnsiTheme="minorBidi"/>
          <w:rtl/>
        </w:rPr>
        <w:footnoteReference w:id="870"/>
      </w:r>
      <w:r w:rsidRPr="00351B7D">
        <w:rPr>
          <w:rFonts w:asciiTheme="minorBidi" w:hAnsiTheme="minorBidi"/>
          <w:rtl/>
        </w:rPr>
        <w:t>.</w:t>
      </w:r>
      <w:r w:rsidRPr="00351B7D">
        <w:rPr>
          <w:rFonts w:asciiTheme="minorBidi" w:hAnsiTheme="minorBidi"/>
          <w:color w:val="E36C0A" w:themeColor="accent6" w:themeShade="BF"/>
          <w:rtl/>
        </w:rPr>
        <w:t xml:space="preserve"> (וכ"פ בשו"ע)</w:t>
      </w:r>
      <w:r w:rsidRPr="00351B7D">
        <w:rPr>
          <w:rFonts w:asciiTheme="minorBidi" w:hAnsiTheme="minorBidi"/>
          <w:rtl/>
        </w:rPr>
        <w:t xml:space="preserve"> </w:t>
      </w:r>
      <w:r w:rsidRPr="00351B7D">
        <w:rPr>
          <w:rFonts w:asciiTheme="minorBidi" w:hAnsiTheme="minorBidi"/>
          <w:color w:val="00B0F0"/>
          <w:rtl/>
        </w:rPr>
        <w:t>(וכ"פ הרמ"א)</w:t>
      </w:r>
    </w:p>
    <w:p w14:paraId="5398E5DA" w14:textId="77777777" w:rsidR="008E16D0" w:rsidRPr="00351B7D" w:rsidRDefault="008E16D0" w:rsidP="00A8697F">
      <w:pPr>
        <w:pStyle w:val="ab"/>
        <w:numPr>
          <w:ilvl w:val="0"/>
          <w:numId w:val="113"/>
        </w:numPr>
        <w:rPr>
          <w:rFonts w:asciiTheme="minorBidi" w:hAnsiTheme="minorBidi"/>
          <w:rtl/>
        </w:rPr>
      </w:pPr>
      <w:r w:rsidRPr="00351B7D">
        <w:rPr>
          <w:rFonts w:asciiTheme="minorBidi" w:hAnsiTheme="minorBidi"/>
          <w:color w:val="000000"/>
          <w:rtl/>
        </w:rPr>
        <w:t xml:space="preserve">רמב"ם </w:t>
      </w:r>
      <w:r w:rsidRPr="00351B7D">
        <w:rPr>
          <w:rFonts w:asciiTheme="minorBidi" w:hAnsiTheme="minorBidi"/>
          <w:color w:val="000000"/>
          <w:sz w:val="16"/>
          <w:szCs w:val="16"/>
          <w:rtl/>
        </w:rPr>
        <w:t>(פהמ"ש סנהדרין פ"ז מ"ד)</w:t>
      </w:r>
      <w:r w:rsidRPr="00351B7D">
        <w:rPr>
          <w:rFonts w:asciiTheme="minorBidi" w:hAnsiTheme="minorBidi"/>
          <w:color w:val="000000"/>
          <w:rtl/>
        </w:rPr>
        <w:t>- ומותר לראות את הכלה בשעת הברכה ואף על פי שהיא אשת איש והיא ערוה, ואסור לראותה אחר כך אלא אם כן לא נתכוון להכיר צורתה</w:t>
      </w:r>
      <w:r w:rsidRPr="00351B7D">
        <w:rPr>
          <w:rStyle w:val="a7"/>
          <w:rFonts w:asciiTheme="minorBidi" w:hAnsiTheme="minorBidi"/>
          <w:color w:val="000000"/>
          <w:rtl/>
        </w:rPr>
        <w:footnoteReference w:id="871"/>
      </w:r>
      <w:r w:rsidRPr="00351B7D">
        <w:rPr>
          <w:rFonts w:asciiTheme="minorBidi" w:hAnsiTheme="minorBidi"/>
          <w:color w:val="000000"/>
          <w:rtl/>
        </w:rPr>
        <w:t>.</w:t>
      </w:r>
    </w:p>
    <w:p w14:paraId="2BB6C70B"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FECB96"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rtl/>
        </w:rPr>
        <w:t>אסור להסתכל בכלה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(אבל מותר להסתכל בתכשיטין שעליה או בפריעת ראשה (טור)). </w:t>
      </w:r>
    </w:p>
    <w:p w14:paraId="52D5041F" w14:textId="77777777" w:rsidR="008E16D0" w:rsidRPr="00351B7D" w:rsidRDefault="008E16D0" w:rsidP="008E16D0">
      <w:pPr>
        <w:rPr>
          <w:rFonts w:asciiTheme="minorBidi" w:hAnsiTheme="minorBidi"/>
          <w:color w:val="000000"/>
          <w:rtl/>
        </w:rPr>
      </w:pPr>
    </w:p>
    <w:p w14:paraId="510BEFCE" w14:textId="77777777" w:rsidR="008E16D0" w:rsidRPr="00351B7D" w:rsidRDefault="008E16D0" w:rsidP="008E16D0">
      <w:pPr>
        <w:pStyle w:val="2"/>
        <w:rPr>
          <w:rFonts w:asciiTheme="minorBidi" w:hAnsiTheme="minorBidi"/>
          <w:rtl/>
        </w:rPr>
      </w:pPr>
      <w:r w:rsidRPr="00351B7D">
        <w:rPr>
          <w:rFonts w:asciiTheme="minorBidi" w:hAnsiTheme="minorBidi"/>
          <w:rtl/>
        </w:rPr>
        <w:t>סעיף ג: מנהגי אבלות בחופה.</w:t>
      </w:r>
    </w:p>
    <w:p w14:paraId="51FB83CF" w14:textId="77777777" w:rsidR="008E16D0" w:rsidRPr="00351B7D" w:rsidRDefault="008E16D0" w:rsidP="008E16D0">
      <w:pPr>
        <w:rPr>
          <w:rFonts w:asciiTheme="minorBidi" w:hAnsiTheme="minorBidi"/>
          <w:rtl/>
        </w:rPr>
      </w:pPr>
      <w:r w:rsidRPr="00351B7D">
        <w:rPr>
          <w:rFonts w:asciiTheme="minorBidi" w:hAnsiTheme="minorBidi"/>
          <w:b/>
          <w:bCs/>
          <w:rtl/>
        </w:rPr>
        <w:t xml:space="preserve">בבא בתרא ס ע"ב: </w:t>
      </w:r>
      <w:r w:rsidRPr="00351B7D">
        <w:rPr>
          <w:rFonts w:asciiTheme="minorBidi" w:hAnsiTheme="minorBidi"/>
          <w:rtl/>
        </w:rPr>
        <w:t xml:space="preserve">אם אשכחך ירושלים תשכח ימיני תדבק לשוני לחכי וגו'. מאי על ראש שמחתי? </w:t>
      </w:r>
      <w:r w:rsidRPr="00351B7D">
        <w:rPr>
          <w:rFonts w:asciiTheme="minorBidi" w:hAnsiTheme="minorBidi"/>
          <w:u w:val="single"/>
          <w:rtl/>
        </w:rPr>
        <w:t>אמר רב יצחק</w:t>
      </w:r>
      <w:r w:rsidRPr="00351B7D">
        <w:rPr>
          <w:rFonts w:asciiTheme="minorBidi" w:hAnsiTheme="minorBidi"/>
          <w:rtl/>
        </w:rPr>
        <w:t xml:space="preserve">: זה אפר מקלה שבראש חתנים. </w:t>
      </w:r>
      <w:r w:rsidRPr="00351B7D">
        <w:rPr>
          <w:rFonts w:asciiTheme="minorBidi" w:hAnsiTheme="minorBidi"/>
          <w:u w:val="single"/>
          <w:rtl/>
        </w:rPr>
        <w:t>א"ל רב פפא לאביי</w:t>
      </w:r>
      <w:r w:rsidRPr="00351B7D">
        <w:rPr>
          <w:rFonts w:asciiTheme="minorBidi" w:hAnsiTheme="minorBidi"/>
          <w:rtl/>
        </w:rPr>
        <w:t xml:space="preserve">: היכא מנח לה? במקום תפילין, שנאמר לשום לאבלי ציון לתת להם פאר תחת אפר. וכל המתאבל על ירושלים זוכה ורואה בשמחתה שנאמר שמחו את ירושלים וגו'. </w:t>
      </w:r>
      <w:r w:rsidRPr="00351B7D">
        <w:rPr>
          <w:rFonts w:asciiTheme="minorBidi" w:hAnsiTheme="minorBidi"/>
          <w:color w:val="000000"/>
          <w:sz w:val="16"/>
          <w:szCs w:val="16"/>
          <w:rtl/>
        </w:rPr>
        <w:t>(וכ' הטור וז"ל- וכן נוהגין באשכנז בשעת ברכה נותנין לחתן אפר בראשו במקום תפילין דכתיב לשום לאבלי ציון לתת להם פאר תחת אפר ופאר היינו תפילין אלמא במקום תפילין מנח ליה, ובספרד נוהגין ליתן בראשו עטרה עשויה מעלה זית לפי שהזית מר זכר לאבלות ירושלים ונהרא נהרא ופשטיה. וכ' הכלבו (סי' סב, הביאו הב"י) וז"ל- יש מקום נמנעו שלא לתת אפר מקלה בראשי חתנים מפני שאין העם מוחזקים כלל בהנחת תפלין ולא יהיה בהם האפר תחת פאר, ויחוששו גם כן שמא לא יהיה פאר תחת אפר, ונהגו לעשות זכרון אחר במקומו שנותנין מפה שחורה על ראש החתן והכלה, ועל זה פשט המנהג לשבר הכוס אחר שבע ברכות)</w:t>
      </w:r>
    </w:p>
    <w:p w14:paraId="38FC6B19"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A58230" w14:textId="77777777" w:rsidR="008E16D0" w:rsidRPr="00351B7D" w:rsidRDefault="008E16D0" w:rsidP="008E16D0">
      <w:pPr>
        <w:rPr>
          <w:rFonts w:asciiTheme="minorBidi" w:hAnsiTheme="minorBidi"/>
          <w:color w:val="000000"/>
          <w:sz w:val="16"/>
          <w:szCs w:val="16"/>
          <w:rtl/>
        </w:rPr>
      </w:pPr>
      <w:r w:rsidRPr="00351B7D">
        <w:rPr>
          <w:rFonts w:asciiTheme="minorBidi" w:hAnsiTheme="minorBidi"/>
          <w:rtl/>
        </w:rPr>
        <w:t xml:space="preserve">צריך לתת אפר בראש החתן במקום הנחת תפילין זכר לאבילות ירושלים דכתיב לשום לאבילי ציון פאר תחת אפר </w:t>
      </w:r>
      <w:r w:rsidRPr="00351B7D">
        <w:rPr>
          <w:rFonts w:asciiTheme="minorBidi" w:hAnsiTheme="minorBidi"/>
          <w:color w:val="000000"/>
          <w:sz w:val="16"/>
          <w:szCs w:val="16"/>
          <w:rtl/>
        </w:rPr>
        <w:t>(ישעיה סא, ג)</w:t>
      </w:r>
      <w:r w:rsidRPr="00351B7D">
        <w:rPr>
          <w:rFonts w:asciiTheme="minorBidi" w:hAnsiTheme="minorBidi"/>
          <w:color w:val="000000"/>
          <w:rtl/>
        </w:rPr>
        <w:t>.</w:t>
      </w:r>
      <w:r w:rsidRPr="00351B7D">
        <w:rPr>
          <w:rFonts w:asciiTheme="minorBidi" w:hAnsiTheme="minorBidi"/>
          <w:color w:val="000000"/>
          <w:sz w:val="18"/>
          <w:szCs w:val="18"/>
          <w:rtl/>
        </w:rPr>
        <w:t xml:space="preserve"> הגה: ויש מקומות שנהגו לשבר כוס אחר שבע ברכות וזהו מנהג נוהג במדינות אלו שהחתן שובר הכלי שמברכין עליו ברכת אירוסין (כל בו), וכל מקום לפי מנהגו. עוד נוהגים להתענות ועיין לעיל סי' ס"א. ודין זריקת אוכלין לפני חתן וכלה עיין בא"ח סי' קע"א. </w:t>
      </w:r>
    </w:p>
    <w:p w14:paraId="568038B0" w14:textId="77777777" w:rsidR="008E16D0" w:rsidRPr="00351B7D" w:rsidRDefault="008E16D0" w:rsidP="008E16D0">
      <w:pPr>
        <w:rPr>
          <w:rFonts w:asciiTheme="minorBidi" w:hAnsiTheme="minorBidi"/>
          <w:rtl/>
        </w:rPr>
      </w:pPr>
    </w:p>
    <w:p w14:paraId="100B9C32" w14:textId="77777777" w:rsidR="008E16D0" w:rsidRPr="00351B7D" w:rsidRDefault="008E16D0" w:rsidP="008E16D0">
      <w:pPr>
        <w:pStyle w:val="2"/>
        <w:rPr>
          <w:rFonts w:asciiTheme="minorBidi" w:hAnsiTheme="minorBidi"/>
          <w:rtl/>
        </w:rPr>
      </w:pPr>
      <w:r w:rsidRPr="00351B7D">
        <w:rPr>
          <w:rFonts w:asciiTheme="minorBidi" w:hAnsiTheme="minorBidi"/>
          <w:rtl/>
        </w:rPr>
        <w:t>סעיף ד: מת וכלה בדרך אחת מי קודם.</w:t>
      </w:r>
    </w:p>
    <w:p w14:paraId="2873DEFE"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rtl/>
        </w:rPr>
        <w:t xml:space="preserve">כתובות יז ע"א: </w:t>
      </w:r>
      <w:r w:rsidRPr="00351B7D">
        <w:rPr>
          <w:rFonts w:asciiTheme="minorBidi" w:hAnsiTheme="minorBidi"/>
          <w:rtl/>
        </w:rPr>
        <w:t>ת"ר: מעבירין</w:t>
      </w:r>
      <w:r w:rsidRPr="00351B7D">
        <w:rPr>
          <w:rStyle w:val="a7"/>
          <w:rFonts w:asciiTheme="minorBidi" w:hAnsiTheme="minorBidi"/>
          <w:rtl/>
        </w:rPr>
        <w:footnoteReference w:id="872"/>
      </w:r>
      <w:r w:rsidRPr="00351B7D">
        <w:rPr>
          <w:rFonts w:asciiTheme="minorBidi" w:hAnsiTheme="minorBidi"/>
          <w:rtl/>
        </w:rPr>
        <w:t xml:space="preserve"> את המת מלפני כלה.</w:t>
      </w:r>
      <w:r w:rsidRPr="00351B7D">
        <w:rPr>
          <w:rFonts w:asciiTheme="minorBidi" w:hAnsiTheme="minorBidi"/>
          <w:sz w:val="16"/>
          <w:szCs w:val="16"/>
          <w:rtl/>
        </w:rPr>
        <w:t xml:space="preserve"> </w:t>
      </w:r>
    </w:p>
    <w:p w14:paraId="003E6BED" w14:textId="77777777" w:rsidR="008E16D0" w:rsidRPr="00351B7D" w:rsidRDefault="008E16D0" w:rsidP="008E16D0">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BF18AB" w14:textId="120D314A" w:rsidR="008E16D0" w:rsidRDefault="008E16D0" w:rsidP="008E16D0">
      <w:pPr>
        <w:rPr>
          <w:rFonts w:asciiTheme="minorBidi" w:hAnsiTheme="minorBidi"/>
          <w:rtl/>
        </w:rPr>
      </w:pPr>
      <w:r w:rsidRPr="00351B7D">
        <w:rPr>
          <w:rFonts w:asciiTheme="minorBidi" w:hAnsiTheme="minorBidi"/>
          <w:rtl/>
        </w:rPr>
        <w:t>מת וכלה שפגעו זה בזה מעבירין את המת מלפני הכלה ליתן לה את הדרך.</w:t>
      </w:r>
    </w:p>
    <w:p w14:paraId="345091AC" w14:textId="77777777" w:rsidR="004B1524" w:rsidRDefault="004B1524" w:rsidP="008E16D0">
      <w:pPr>
        <w:rPr>
          <w:rFonts w:asciiTheme="minorBidi" w:hAnsiTheme="minorBidi"/>
          <w:rtl/>
        </w:rPr>
      </w:pPr>
    </w:p>
    <w:p w14:paraId="699E3994" w14:textId="77777777" w:rsidR="002E5BAD" w:rsidRDefault="002E5BAD" w:rsidP="002E5BAD">
      <w:pPr>
        <w:pStyle w:val="1"/>
        <w:rPr>
          <w:rFonts w:asciiTheme="minorBidi" w:hAnsiTheme="minorBidi"/>
          <w:rtl/>
        </w:rPr>
        <w:sectPr w:rsidR="002E5BAD" w:rsidSect="00A347B3">
          <w:headerReference w:type="default" r:id="rId20"/>
          <w:footerReference w:type="default" r:id="rId21"/>
          <w:footnotePr>
            <w:numRestart w:val="eachPage"/>
          </w:footnotePr>
          <w:pgSz w:w="11906" w:h="16838"/>
          <w:pgMar w:top="720" w:right="1134" w:bottom="720" w:left="1134" w:header="0" w:footer="0" w:gutter="0"/>
          <w:cols w:space="720"/>
          <w:bidi/>
          <w:rtlGutter/>
          <w:docGrid w:linePitch="360"/>
        </w:sectPr>
      </w:pPr>
    </w:p>
    <w:p w14:paraId="10E5351A" w14:textId="561B1FC2" w:rsidR="002E5BAD" w:rsidRPr="00351B7D" w:rsidRDefault="002E5BAD" w:rsidP="002E5BAD">
      <w:pPr>
        <w:pStyle w:val="1"/>
        <w:rPr>
          <w:rFonts w:asciiTheme="minorBidi" w:hAnsiTheme="minorBidi"/>
          <w:color w:val="auto"/>
          <w:rtl/>
        </w:rPr>
      </w:pPr>
      <w:r w:rsidRPr="00351B7D">
        <w:rPr>
          <w:rFonts w:asciiTheme="minorBidi" w:hAnsiTheme="minorBidi"/>
          <w:rtl/>
        </w:rPr>
        <w:lastRenderedPageBreak/>
        <w:t>סימן סו</w:t>
      </w:r>
      <w:r w:rsidRPr="00351B7D">
        <w:rPr>
          <w:rFonts w:asciiTheme="minorBidi" w:hAnsiTheme="minorBidi"/>
        </w:rPr>
        <w:t xml:space="preserve"> </w:t>
      </w:r>
      <w:r w:rsidRPr="00351B7D">
        <w:rPr>
          <w:rFonts w:asciiTheme="minorBidi" w:hAnsiTheme="minorBidi"/>
          <w:rtl/>
        </w:rPr>
        <w:t xml:space="preserve">: כמה דיני כתובה, ובו י"ג סעיפים. </w:t>
      </w:r>
    </w:p>
    <w:p w14:paraId="4432D041" w14:textId="77777777" w:rsidR="002E5BAD" w:rsidRPr="00E00F11" w:rsidRDefault="002E5BAD" w:rsidP="002E5BAD">
      <w:pPr>
        <w:pStyle w:val="2"/>
        <w:rPr>
          <w:rFonts w:asciiTheme="minorBidi" w:hAnsiTheme="minorBidi"/>
          <w:rtl/>
        </w:rPr>
      </w:pPr>
      <w:r w:rsidRPr="00351B7D">
        <w:rPr>
          <w:rFonts w:asciiTheme="minorBidi" w:hAnsiTheme="minorBidi"/>
          <w:rtl/>
        </w:rPr>
        <w:t>סעיף א: חיוב כתיבת כתובה קודם כניסתם לחופה.</w:t>
      </w:r>
    </w:p>
    <w:p w14:paraId="6C6C3516" w14:textId="77777777" w:rsidR="002E5BAD" w:rsidRPr="00351B7D" w:rsidRDefault="002E5BAD" w:rsidP="002E5BAD">
      <w:pPr>
        <w:rPr>
          <w:rFonts w:asciiTheme="minorBidi" w:hAnsiTheme="minorBidi"/>
        </w:rPr>
      </w:pPr>
      <w:r w:rsidRPr="00351B7D">
        <w:rPr>
          <w:rFonts w:asciiTheme="minorBidi" w:hAnsiTheme="minorBidi"/>
          <w:b/>
          <w:bCs/>
          <w:rtl/>
        </w:rPr>
        <w:t>מסכתות קטנות מסכת כלה פ"א ה"א:</w:t>
      </w:r>
      <w:r w:rsidRPr="00351B7D">
        <w:rPr>
          <w:rFonts w:asciiTheme="minorBidi" w:hAnsiTheme="minorBidi"/>
          <w:rtl/>
        </w:rPr>
        <w:t xml:space="preserve"> כלה בלא ברכה אסורה לבעלה כנדה, מה נדה שלא טבלה אסורה לבעלה, אף כלה בלא ברכה אסורה לבעלה.</w:t>
      </w:r>
    </w:p>
    <w:p w14:paraId="0E3D8747"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b/>
          <w:bCs/>
          <w:rtl/>
        </w:rPr>
        <w:t>כתובות ז ע"א:</w:t>
      </w:r>
      <w:r w:rsidRPr="00351B7D">
        <w:rPr>
          <w:rFonts w:asciiTheme="minorBidi" w:hAnsiTheme="minorBidi"/>
          <w:rtl/>
        </w:rPr>
        <w:t xml:space="preserve"> רבי אמי שרא למיבעל בתחלה בשבת, אמרי ליה רבנן: והא לא כתיבא כתובתה! אמר להו: אתפסוה מטלטלין</w:t>
      </w:r>
      <w:r w:rsidRPr="00351B7D">
        <w:rPr>
          <w:rStyle w:val="a7"/>
          <w:rFonts w:asciiTheme="minorBidi" w:hAnsiTheme="minorBidi"/>
          <w:rtl/>
        </w:rPr>
        <w:footnoteReference w:id="873"/>
      </w:r>
      <w:r w:rsidRPr="00351B7D">
        <w:rPr>
          <w:rFonts w:asciiTheme="minorBidi" w:hAnsiTheme="minorBidi"/>
          <w:rtl/>
        </w:rPr>
        <w:t>.</w:t>
      </w:r>
      <w:r w:rsidRPr="00351B7D">
        <w:rPr>
          <w:rFonts w:asciiTheme="minorBidi" w:hAnsiTheme="minorBidi"/>
          <w:color w:val="000000"/>
          <w:sz w:val="16"/>
          <w:szCs w:val="16"/>
          <w:rtl/>
        </w:rPr>
        <w:t xml:space="preserve"> (מכאן שאסור </w:t>
      </w:r>
      <w:r w:rsidRPr="00351B7D">
        <w:rPr>
          <w:rFonts w:asciiTheme="minorBidi" w:hAnsiTheme="minorBidi"/>
          <w:sz w:val="16"/>
          <w:szCs w:val="16"/>
          <w:u w:val="single"/>
          <w:rtl/>
        </w:rPr>
        <w:t>להתייחד</w:t>
      </w:r>
      <w:r w:rsidRPr="00351B7D">
        <w:rPr>
          <w:rFonts w:asciiTheme="minorBidi" w:hAnsiTheme="minorBidi"/>
          <w:color w:val="000000"/>
          <w:sz w:val="16"/>
          <w:szCs w:val="16"/>
          <w:rtl/>
        </w:rPr>
        <w:t xml:space="preserve"> עם הכלה קודם שיכתוב לה כתובה, ב"י, והחולקים סברי דמכאן שאסור </w:t>
      </w:r>
      <w:r w:rsidRPr="00351B7D">
        <w:rPr>
          <w:rFonts w:asciiTheme="minorBidi" w:hAnsiTheme="minorBidi"/>
          <w:sz w:val="16"/>
          <w:szCs w:val="16"/>
          <w:u w:val="single"/>
          <w:rtl/>
        </w:rPr>
        <w:t>לבעול</w:t>
      </w:r>
      <w:r w:rsidRPr="00351B7D">
        <w:rPr>
          <w:rFonts w:asciiTheme="minorBidi" w:hAnsiTheme="minorBidi"/>
          <w:color w:val="000000"/>
          <w:sz w:val="16"/>
          <w:szCs w:val="16"/>
          <w:rtl/>
        </w:rPr>
        <w:t xml:space="preserve"> מדרבנן בלא כתובה אבל בייחוד אין איסור)</w:t>
      </w:r>
    </w:p>
    <w:p w14:paraId="697B730D" w14:textId="77777777" w:rsidR="002E5BAD" w:rsidRPr="00351B7D" w:rsidRDefault="002E5BAD" w:rsidP="002E5BAD">
      <w:pPr>
        <w:rPr>
          <w:rFonts w:asciiTheme="minorBidi" w:hAnsiTheme="minorBidi"/>
          <w:u w:val="single"/>
          <w:rtl/>
        </w:rPr>
      </w:pPr>
      <w:r w:rsidRPr="00351B7D">
        <w:rPr>
          <w:rFonts w:asciiTheme="minorBidi" w:hAnsiTheme="minorBidi"/>
          <w:u w:val="single"/>
          <w:rtl/>
        </w:rPr>
        <w:t>ייחוד עם ארוסתו בלא חופה ובלא ברכה:</w:t>
      </w:r>
    </w:p>
    <w:p w14:paraId="3FF9A5C5" w14:textId="77777777" w:rsidR="002E5BAD" w:rsidRPr="00351B7D" w:rsidRDefault="002E5BAD" w:rsidP="002E5BAD">
      <w:pPr>
        <w:pStyle w:val="ab"/>
        <w:numPr>
          <w:ilvl w:val="0"/>
          <w:numId w:val="113"/>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(כלל לז סי' א)</w:t>
      </w:r>
      <w:r w:rsidRPr="00351B7D">
        <w:rPr>
          <w:rFonts w:asciiTheme="minorBidi" w:hAnsiTheme="minorBidi"/>
          <w:rtl/>
        </w:rPr>
        <w:t xml:space="preserve">- שכתבת שנהגו במקומך לארס נשים ולהתייחד עמהן ולדור ביחד בלא חופה ובלא ברכה. מנהג רע הוא זה וחייבים הקהל לבטלו כי אז"ל כלה בלא ברכה אסורה לבעלה כנדה, ועוד ידעתי כי הם בועלי נדות דאורייתא כי הן בושות לטבול כל זמן שלא הכניסה לחופה, וחטאת הקהל הוא אם לא יבטלו הרעה הגדולה הזאת. </w:t>
      </w:r>
    </w:p>
    <w:p w14:paraId="67594D8E" w14:textId="77777777" w:rsidR="002E5BAD" w:rsidRPr="00351B7D" w:rsidRDefault="002E5BAD" w:rsidP="002E5BAD">
      <w:pPr>
        <w:rPr>
          <w:rFonts w:asciiTheme="minorBidi" w:hAnsiTheme="minorBidi"/>
          <w:u w:val="single"/>
          <w:rtl/>
        </w:rPr>
      </w:pPr>
      <w:r w:rsidRPr="00351B7D">
        <w:rPr>
          <w:rFonts w:asciiTheme="minorBidi" w:hAnsiTheme="minorBidi"/>
          <w:u w:val="single"/>
          <w:rtl/>
        </w:rPr>
        <w:t>האם מותר להכניס את הכלה לחופה קודם שכתב לה כתובה:</w:t>
      </w:r>
    </w:p>
    <w:p w14:paraId="68013C5E" w14:textId="77777777" w:rsidR="002E5BAD" w:rsidRPr="00351B7D" w:rsidRDefault="002E5BAD" w:rsidP="002E5BAD">
      <w:pPr>
        <w:pStyle w:val="ab"/>
        <w:numPr>
          <w:ilvl w:val="0"/>
          <w:numId w:val="113"/>
        </w:numPr>
        <w:rPr>
          <w:rFonts w:asciiTheme="minorBidi" w:hAnsiTheme="minorBidi"/>
          <w:rtl/>
        </w:rPr>
      </w:pPr>
      <w:r w:rsidRPr="00351B7D">
        <w:rPr>
          <w:rFonts w:asciiTheme="minorBidi" w:hAnsiTheme="minorBidi"/>
          <w:rtl/>
        </w:rPr>
        <w:t>בעהי"ט רמב"ם</w:t>
      </w:r>
      <w:r w:rsidRPr="00351B7D">
        <w:rPr>
          <w:rStyle w:val="a7"/>
          <w:rFonts w:asciiTheme="minorBidi" w:hAnsiTheme="minorBidi"/>
          <w:rtl/>
        </w:rPr>
        <w:footnoteReference w:id="874"/>
      </w:r>
      <w:r w:rsidRPr="00351B7D">
        <w:rPr>
          <w:rFonts w:asciiTheme="minorBidi" w:hAnsiTheme="minorBidi"/>
          <w:rtl/>
        </w:rPr>
        <w:t xml:space="preserve"> וטור- אין מכניסים את הכלה לחופה קודם שכתב לה כתובה.</w:t>
      </w:r>
      <w:r w:rsidRPr="00351B7D">
        <w:rPr>
          <w:rFonts w:asciiTheme="minorBidi" w:hAnsiTheme="minorBidi"/>
          <w:color w:val="E36C0A" w:themeColor="accent6" w:themeShade="BF"/>
          <w:rtl/>
        </w:rPr>
        <w:t xml:space="preserve"> (וכ"פ בשו"ע)</w:t>
      </w:r>
    </w:p>
    <w:p w14:paraId="1275BEB0" w14:textId="77777777" w:rsidR="002E5BAD" w:rsidRPr="00351B7D" w:rsidRDefault="002E5BAD" w:rsidP="002E5BAD">
      <w:pPr>
        <w:pStyle w:val="ab"/>
        <w:numPr>
          <w:ilvl w:val="0"/>
          <w:numId w:val="113"/>
        </w:numPr>
        <w:rPr>
          <w:rFonts w:asciiTheme="minorBidi" w:hAnsiTheme="minorBidi"/>
          <w:rtl/>
        </w:rPr>
      </w:pPr>
      <w:r w:rsidRPr="00351B7D">
        <w:rPr>
          <w:rFonts w:asciiTheme="minorBidi" w:hAnsiTheme="minorBidi"/>
          <w:rtl/>
        </w:rPr>
        <w:t>(רמב"ם</w:t>
      </w:r>
      <w:r w:rsidRPr="00351B7D">
        <w:rPr>
          <w:rFonts w:asciiTheme="minorBidi" w:hAnsiTheme="minorBidi"/>
          <w:sz w:val="16"/>
          <w:szCs w:val="16"/>
          <w:rtl/>
        </w:rPr>
        <w:t xml:space="preserve"> להב' הב"ח</w:t>
      </w:r>
      <w:r w:rsidRPr="00351B7D">
        <w:rPr>
          <w:rStyle w:val="a7"/>
          <w:rFonts w:asciiTheme="minorBidi" w:hAnsiTheme="minorBidi"/>
          <w:rtl/>
        </w:rPr>
        <w:footnoteReference w:id="875"/>
      </w:r>
      <w:r w:rsidRPr="00351B7D">
        <w:rPr>
          <w:rFonts w:asciiTheme="minorBidi" w:hAnsiTheme="minorBidi"/>
          <w:rtl/>
        </w:rPr>
        <w:t xml:space="preserve">) ור"ן </w:t>
      </w:r>
      <w:r w:rsidRPr="00351B7D">
        <w:rPr>
          <w:rFonts w:asciiTheme="minorBidi" w:hAnsiTheme="minorBidi"/>
          <w:sz w:val="16"/>
          <w:szCs w:val="16"/>
          <w:rtl/>
        </w:rPr>
        <w:t>(כתובות א. ד"ה או)</w:t>
      </w:r>
      <w:r w:rsidRPr="00351B7D">
        <w:rPr>
          <w:rFonts w:asciiTheme="minorBidi" w:hAnsiTheme="minorBidi"/>
          <w:rtl/>
        </w:rPr>
        <w:t>- אין איסור, והא</w:t>
      </w:r>
      <w:r w:rsidRPr="00351B7D">
        <w:rPr>
          <w:rStyle w:val="a7"/>
          <w:rFonts w:asciiTheme="minorBidi" w:hAnsiTheme="minorBidi"/>
          <w:rtl/>
        </w:rPr>
        <w:footnoteReference w:id="876"/>
      </w:r>
      <w:r w:rsidRPr="00351B7D">
        <w:rPr>
          <w:rFonts w:asciiTheme="minorBidi" w:hAnsiTheme="minorBidi"/>
          <w:rtl/>
        </w:rPr>
        <w:t xml:space="preserve"> ודאי לא נהירא, מדאמרינן לקמן</w:t>
      </w:r>
      <w:r w:rsidRPr="00351B7D">
        <w:rPr>
          <w:rFonts w:asciiTheme="minorBidi" w:hAnsiTheme="minorBidi"/>
          <w:sz w:val="16"/>
          <w:szCs w:val="16"/>
          <w:rtl/>
        </w:rPr>
        <w:t xml:space="preserve"> (ז.) </w:t>
      </w:r>
      <w:r w:rsidRPr="00351B7D">
        <w:rPr>
          <w:rFonts w:asciiTheme="minorBidi" w:hAnsiTheme="minorBidi"/>
          <w:rtl/>
        </w:rPr>
        <w:t xml:space="preserve">רבי אמי שרא למיבעל בתחלה בשבת וכו' אמר להו אתפסוה מטלטלי, ובודאי ביום רביעי כנסה דלא עבר אתקנתא דרבנן, אלמא שרי לכנסה בלא כתובה, וכן בדין שלא מצינו שתהא אסורה </w:t>
      </w:r>
      <w:r w:rsidRPr="00351B7D">
        <w:rPr>
          <w:rFonts w:asciiTheme="minorBidi" w:hAnsiTheme="minorBidi"/>
          <w:u w:val="single"/>
          <w:rtl/>
        </w:rPr>
        <w:t>להתייחד</w:t>
      </w:r>
      <w:r w:rsidRPr="00351B7D">
        <w:rPr>
          <w:rFonts w:asciiTheme="minorBidi" w:hAnsiTheme="minorBidi"/>
          <w:rtl/>
        </w:rPr>
        <w:t xml:space="preserve"> בלא כתובה- וטעמא דמילתא משום דאיסורא </w:t>
      </w:r>
      <w:r w:rsidRPr="00351B7D">
        <w:rPr>
          <w:rFonts w:asciiTheme="minorBidi" w:hAnsiTheme="minorBidi"/>
          <w:u w:val="single"/>
          <w:rtl/>
        </w:rPr>
        <w:t>דביאה</w:t>
      </w:r>
      <w:r w:rsidRPr="00351B7D">
        <w:rPr>
          <w:rFonts w:asciiTheme="minorBidi" w:hAnsiTheme="minorBidi"/>
          <w:rtl/>
        </w:rPr>
        <w:t xml:space="preserve"> בלא כתובה מדרבנן בעלמא הוא, ועוד מפני שהיא לא תשמע לו- מפני שהיא יודעת שהיא קלה בעיניו להוציאה, ועוד דלא מיתסרא אלא משום דלא סמכה דעתה שהרי מתנאי בית דין יש לה... </w:t>
      </w:r>
      <w:r w:rsidRPr="00351B7D">
        <w:rPr>
          <w:rFonts w:asciiTheme="minorBidi" w:hAnsiTheme="minorBidi"/>
          <w:color w:val="000000"/>
          <w:rtl/>
        </w:rPr>
        <w:t>הילכך אפילו אם תמצא לומר דחופה היינו יחוד כיון דלא מתסרא ביחוד בלא כתובה שרי לכנסה לחופה, אבל פירסה נדה כיון שאסורה להתיחד אי חופה היינו ייחוד לאו בת חופה היא ומיהו בדיעבד מהניא</w:t>
      </w:r>
      <w:r w:rsidRPr="00351B7D">
        <w:rPr>
          <w:rStyle w:val="a7"/>
          <w:rFonts w:asciiTheme="minorBidi" w:hAnsiTheme="minorBidi"/>
          <w:rtl/>
        </w:rPr>
        <w:footnoteReference w:id="877"/>
      </w:r>
      <w:r w:rsidRPr="00351B7D">
        <w:rPr>
          <w:rFonts w:asciiTheme="minorBidi" w:hAnsiTheme="minorBidi"/>
          <w:rtl/>
        </w:rPr>
        <w:t xml:space="preserve">. </w:t>
      </w:r>
      <w:r w:rsidRPr="00351B7D">
        <w:rPr>
          <w:rFonts w:asciiTheme="minorBidi" w:hAnsiTheme="minorBidi"/>
          <w:color w:val="00B0F0"/>
          <w:rtl/>
        </w:rPr>
        <w:t>(וכ"כ הרמ"א</w:t>
      </w:r>
      <w:r w:rsidRPr="00351B7D">
        <w:rPr>
          <w:rFonts w:asciiTheme="minorBidi" w:hAnsiTheme="minorBidi"/>
          <w:color w:val="00B0F0"/>
          <w:sz w:val="16"/>
          <w:szCs w:val="16"/>
          <w:rtl/>
        </w:rPr>
        <w:t xml:space="preserve"> </w:t>
      </w:r>
      <w:r w:rsidRPr="00351B7D">
        <w:rPr>
          <w:rFonts w:asciiTheme="minorBidi" w:hAnsiTheme="minorBidi"/>
          <w:sz w:val="16"/>
          <w:szCs w:val="16"/>
          <w:rtl/>
        </w:rPr>
        <w:t>[בסי' סא סע' א]</w:t>
      </w:r>
      <w:r w:rsidRPr="00351B7D">
        <w:rPr>
          <w:rFonts w:asciiTheme="minorBidi" w:hAnsiTheme="minorBidi"/>
          <w:color w:val="00B0F0"/>
          <w:rtl/>
        </w:rPr>
        <w:t>)</w:t>
      </w:r>
    </w:p>
    <w:p w14:paraId="4A2125ED" w14:textId="77777777" w:rsidR="002E5BAD" w:rsidRPr="00351B7D" w:rsidRDefault="002E5BAD" w:rsidP="002E5BAD">
      <w:pPr>
        <w:rPr>
          <w:rFonts w:asciiTheme="minorBidi" w:hAnsiTheme="minorBidi"/>
          <w:u w:val="single"/>
          <w:rtl/>
        </w:rPr>
      </w:pPr>
      <w:r w:rsidRPr="00351B7D">
        <w:rPr>
          <w:rFonts w:asciiTheme="minorBidi" w:hAnsiTheme="minorBidi"/>
          <w:u w:val="single"/>
          <w:rtl/>
        </w:rPr>
        <w:t xml:space="preserve">האם מותר לכתוב את הכתובה לפני יום הנישואין </w:t>
      </w:r>
      <w:r w:rsidRPr="00351B7D">
        <w:rPr>
          <w:rFonts w:asciiTheme="minorBidi" w:hAnsiTheme="minorBidi"/>
          <w:sz w:val="16"/>
          <w:szCs w:val="16"/>
          <w:u w:val="single"/>
          <w:rtl/>
        </w:rPr>
        <w:t>(וחתימת העדים על הכתובה תיהיה בנישואין עצמם)</w:t>
      </w:r>
      <w:r w:rsidRPr="00351B7D">
        <w:rPr>
          <w:rFonts w:asciiTheme="minorBidi" w:hAnsiTheme="minorBidi"/>
          <w:u w:val="single"/>
          <w:rtl/>
        </w:rPr>
        <w:t xml:space="preserve">: </w:t>
      </w:r>
    </w:p>
    <w:p w14:paraId="74B8D394" w14:textId="77777777" w:rsidR="002E5BAD" w:rsidRPr="00351B7D" w:rsidRDefault="002E5BAD" w:rsidP="002E5BAD">
      <w:pPr>
        <w:pStyle w:val="ab"/>
        <w:numPr>
          <w:ilvl w:val="0"/>
          <w:numId w:val="137"/>
        </w:numPr>
        <w:rPr>
          <w:rFonts w:asciiTheme="minorBidi" w:hAnsiTheme="minorBidi"/>
          <w:rtl/>
        </w:rPr>
      </w:pPr>
      <w:r w:rsidRPr="00351B7D">
        <w:rPr>
          <w:rFonts w:asciiTheme="minorBidi" w:hAnsiTheme="minorBidi"/>
          <w:rtl/>
        </w:rPr>
        <w:t>ראבי"ה</w:t>
      </w:r>
      <w:r w:rsidRPr="00351B7D">
        <w:rPr>
          <w:rFonts w:asciiTheme="minorBidi" w:hAnsiTheme="minorBidi"/>
          <w:sz w:val="16"/>
          <w:szCs w:val="16"/>
          <w:rtl/>
        </w:rPr>
        <w:t xml:space="preserve"> (שקיבל מאביו, סי' תתקיט)</w:t>
      </w:r>
      <w:r w:rsidRPr="00351B7D">
        <w:rPr>
          <w:rFonts w:asciiTheme="minorBidi" w:hAnsiTheme="minorBidi"/>
          <w:rtl/>
        </w:rPr>
        <w:t xml:space="preserve"> ורשב"א</w:t>
      </w:r>
      <w:r w:rsidRPr="00351B7D">
        <w:rPr>
          <w:rFonts w:asciiTheme="minorBidi" w:hAnsiTheme="minorBidi"/>
          <w:sz w:val="16"/>
          <w:szCs w:val="16"/>
          <w:rtl/>
        </w:rPr>
        <w:t xml:space="preserve"> (גיטין יח. ד"ה מה מעשה)</w:t>
      </w:r>
      <w:r w:rsidRPr="00351B7D">
        <w:rPr>
          <w:rFonts w:asciiTheme="minorBidi" w:hAnsiTheme="minorBidi"/>
          <w:rtl/>
        </w:rPr>
        <w:t xml:space="preserve">- אם הקדים הכתיבה והזמן ביום ונעשה הקנין בלילה כשר כדאמרינן פ"ב דגיטין </w:t>
      </w:r>
      <w:r w:rsidRPr="00351B7D">
        <w:rPr>
          <w:rFonts w:asciiTheme="minorBidi" w:hAnsiTheme="minorBidi"/>
          <w:sz w:val="16"/>
          <w:szCs w:val="16"/>
          <w:rtl/>
        </w:rPr>
        <w:t xml:space="preserve">(יח.) </w:t>
      </w:r>
      <w:r w:rsidRPr="00351B7D">
        <w:rPr>
          <w:rFonts w:asciiTheme="minorBidi" w:hAnsiTheme="minorBidi"/>
          <w:rtl/>
        </w:rPr>
        <w:t>כתובה כמעשה ב"ד דמיא ונכתבת ביום ונחתמת בלילה</w:t>
      </w:r>
      <w:r w:rsidRPr="00351B7D">
        <w:rPr>
          <w:rStyle w:val="a7"/>
          <w:rFonts w:asciiTheme="minorBidi" w:hAnsiTheme="minorBidi"/>
          <w:rtl/>
        </w:rPr>
        <w:footnoteReference w:id="878"/>
      </w:r>
      <w:r w:rsidRPr="00351B7D">
        <w:rPr>
          <w:rFonts w:asciiTheme="minorBidi" w:hAnsiTheme="minorBidi"/>
          <w:rtl/>
        </w:rPr>
        <w:t xml:space="preserve">. </w:t>
      </w:r>
    </w:p>
    <w:p w14:paraId="7199D6D7" w14:textId="77777777" w:rsidR="002E5BAD" w:rsidRPr="00351B7D" w:rsidRDefault="002E5BAD" w:rsidP="002E5BAD">
      <w:pPr>
        <w:pStyle w:val="ab"/>
        <w:numPr>
          <w:ilvl w:val="0"/>
          <w:numId w:val="141"/>
        </w:numPr>
        <w:rPr>
          <w:rFonts w:asciiTheme="minorBidi" w:hAnsiTheme="minorBidi"/>
        </w:rPr>
      </w:pPr>
      <w:r w:rsidRPr="00351B7D">
        <w:rPr>
          <w:rFonts w:asciiTheme="minorBidi" w:hAnsiTheme="minorBidi"/>
          <w:rtl/>
        </w:rPr>
        <w:t>הגה"א</w:t>
      </w:r>
      <w:r w:rsidRPr="00351B7D">
        <w:rPr>
          <w:rStyle w:val="a7"/>
          <w:rFonts w:asciiTheme="minorBidi" w:hAnsiTheme="minorBidi"/>
          <w:rtl/>
        </w:rPr>
        <w:footnoteReference w:id="879"/>
      </w:r>
      <w:r w:rsidRPr="00351B7D">
        <w:rPr>
          <w:rFonts w:asciiTheme="minorBidi" w:hAnsiTheme="minorBidi"/>
          <w:rtl/>
        </w:rPr>
        <w:t xml:space="preserve"> </w:t>
      </w:r>
      <w:r w:rsidRPr="00351B7D">
        <w:rPr>
          <w:rFonts w:asciiTheme="minorBidi" w:hAnsiTheme="minorBidi"/>
          <w:sz w:val="16"/>
          <w:szCs w:val="16"/>
          <w:rtl/>
        </w:rPr>
        <w:t>(גיטין פ"ב סי' ז)</w:t>
      </w:r>
      <w:r w:rsidRPr="00351B7D">
        <w:rPr>
          <w:rFonts w:asciiTheme="minorBidi" w:hAnsiTheme="minorBidi"/>
          <w:rtl/>
        </w:rPr>
        <w:t xml:space="preserve">- נהגו לכתוב בערב שבת ולחתום במוצאי שבת משום דקלא אית ליה משעת הכתיבה אפילו לענין תוספת, מיהו טוב לקבל קנין מיד. </w:t>
      </w:r>
    </w:p>
    <w:p w14:paraId="35D3DC89" w14:textId="77777777" w:rsidR="002E5BAD" w:rsidRPr="00351B7D" w:rsidRDefault="002E5BAD" w:rsidP="002E5BAD">
      <w:pPr>
        <w:pStyle w:val="ab"/>
        <w:numPr>
          <w:ilvl w:val="0"/>
          <w:numId w:val="141"/>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(גיטין יח. ד"ה אף)</w:t>
      </w:r>
      <w:r w:rsidRPr="00351B7D">
        <w:rPr>
          <w:rFonts w:asciiTheme="minorBidi" w:hAnsiTheme="minorBidi"/>
          <w:rtl/>
        </w:rPr>
        <w:t xml:space="preserve">- יש מקומות שנוהגין לכתוב הכתובה בערב שבת ולחותמה במוצאי שבת ואין נכון לעשות כן משום תוספת, דדילמא לית ליה קלא, ומיהו היכא דקנו מיניה ליכא למיחש מידי כדאמרינן אי ידעיתו יומא דאקניתו ביה כתובו יומא דאקניתו ביה. </w:t>
      </w:r>
    </w:p>
    <w:p w14:paraId="1BC032F0" w14:textId="77777777" w:rsidR="002E5BAD" w:rsidRPr="00351B7D" w:rsidRDefault="002E5BAD" w:rsidP="002E5BAD">
      <w:pPr>
        <w:bidi w:val="0"/>
        <w:jc w:val="right"/>
        <w:rPr>
          <w:rFonts w:asciiTheme="minorBidi" w:hAnsiTheme="minorBidi"/>
          <w:u w:val="single"/>
          <w:rtl/>
        </w:rPr>
      </w:pPr>
      <w:r w:rsidRPr="00351B7D">
        <w:rPr>
          <w:rFonts w:asciiTheme="minorBidi" w:hAnsiTheme="minorBidi"/>
          <w:u w:val="single"/>
          <w:rtl/>
        </w:rPr>
        <w:t>כתיבת הכתובה במקום שהוא לא מקום הנישואין:</w:t>
      </w:r>
    </w:p>
    <w:p w14:paraId="376ED962" w14:textId="77777777" w:rsidR="002E5BAD" w:rsidRPr="00351B7D" w:rsidRDefault="002E5BAD" w:rsidP="002E5BAD">
      <w:pPr>
        <w:pStyle w:val="ab"/>
        <w:numPr>
          <w:ilvl w:val="0"/>
          <w:numId w:val="141"/>
        </w:numPr>
        <w:rPr>
          <w:rFonts w:asciiTheme="minorBidi" w:hAnsiTheme="minorBidi"/>
        </w:rPr>
      </w:pPr>
      <w:r w:rsidRPr="00351B7D">
        <w:rPr>
          <w:rFonts w:asciiTheme="minorBidi" w:hAnsiTheme="minorBidi"/>
          <w:rtl/>
        </w:rPr>
        <w:t>סמ"ג</w:t>
      </w:r>
      <w:r w:rsidRPr="00351B7D">
        <w:rPr>
          <w:rFonts w:asciiTheme="minorBidi" w:hAnsiTheme="minorBidi"/>
          <w:sz w:val="16"/>
          <w:szCs w:val="16"/>
          <w:rtl/>
        </w:rPr>
        <w:t xml:space="preserve"> (עשין נ, קלא סע"ג)</w:t>
      </w:r>
      <w:r w:rsidRPr="00351B7D">
        <w:rPr>
          <w:rFonts w:asciiTheme="minorBidi" w:hAnsiTheme="minorBidi"/>
          <w:rtl/>
        </w:rPr>
        <w:t xml:space="preserve"> והגה"מ</w:t>
      </w:r>
      <w:r w:rsidRPr="00351B7D">
        <w:rPr>
          <w:rFonts w:asciiTheme="minorBidi" w:hAnsiTheme="minorBidi"/>
          <w:sz w:val="16"/>
          <w:szCs w:val="16"/>
          <w:rtl/>
        </w:rPr>
        <w:t xml:space="preserve"> (פ"י מה"א דפוס קושטא ה"ז)</w:t>
      </w:r>
      <w:r w:rsidRPr="00351B7D">
        <w:rPr>
          <w:rFonts w:asciiTheme="minorBidi" w:hAnsiTheme="minorBidi"/>
          <w:rtl/>
        </w:rPr>
        <w:t xml:space="preserve">- נהגו החזנים לכתוב כתובה וכותבין 'בכאן מקום שילכו למחר לעשות נישואין ושיחתמו שם העדים', ואמת הדבר כי בריש פרק אחד דיני ממונות </w:t>
      </w:r>
      <w:r w:rsidRPr="00351B7D">
        <w:rPr>
          <w:rFonts w:asciiTheme="minorBidi" w:hAnsiTheme="minorBidi"/>
          <w:sz w:val="16"/>
          <w:szCs w:val="16"/>
          <w:rtl/>
        </w:rPr>
        <w:t xml:space="preserve">(סנהדרין לב.) </w:t>
      </w:r>
      <w:r w:rsidRPr="00351B7D">
        <w:rPr>
          <w:rFonts w:asciiTheme="minorBidi" w:hAnsiTheme="minorBidi"/>
          <w:rtl/>
        </w:rPr>
        <w:t xml:space="preserve">משמע </w:t>
      </w:r>
      <w:r w:rsidRPr="00351B7D">
        <w:rPr>
          <w:rFonts w:asciiTheme="minorBidi" w:hAnsiTheme="minorBidi"/>
          <w:rtl/>
        </w:rPr>
        <w:lastRenderedPageBreak/>
        <w:t xml:space="preserve">דכשר, מ"מ קשה בעיני רבינו יצחק לעשות כן לכתחלה מדאמר להו רב לספרי </w:t>
      </w:r>
      <w:r w:rsidRPr="00351B7D">
        <w:rPr>
          <w:rFonts w:asciiTheme="minorBidi" w:hAnsiTheme="minorBidi"/>
          <w:sz w:val="16"/>
          <w:szCs w:val="16"/>
          <w:rtl/>
        </w:rPr>
        <w:t xml:space="preserve">(גיטין פ., ב"ב קעב.) </w:t>
      </w:r>
      <w:r w:rsidRPr="00351B7D">
        <w:rPr>
          <w:rFonts w:asciiTheme="minorBidi" w:hAnsiTheme="minorBidi"/>
          <w:rtl/>
        </w:rPr>
        <w:t xml:space="preserve">כי יתביתו בהיני כתובו בהיני אף על גב דמימסרן לכו מילי בשילי. </w:t>
      </w:r>
    </w:p>
    <w:p w14:paraId="32966749" w14:textId="77777777" w:rsidR="002E5BAD" w:rsidRPr="00351B7D" w:rsidRDefault="002E5BAD" w:rsidP="002E5BAD">
      <w:pPr>
        <w:rPr>
          <w:rFonts w:asciiTheme="minorBidi" w:hAnsiTheme="minorBidi"/>
          <w:u w:val="single"/>
          <w:rtl/>
        </w:rPr>
      </w:pPr>
      <w:r w:rsidRPr="00351B7D">
        <w:rPr>
          <w:rFonts w:asciiTheme="minorBidi" w:hAnsiTheme="minorBidi"/>
          <w:u w:val="single"/>
          <w:rtl/>
        </w:rPr>
        <w:t>חתימת העדים על הכתובה קודם שנעשה הקנין בפניהם:</w:t>
      </w:r>
      <w:r w:rsidRPr="00351B7D">
        <w:rPr>
          <w:rFonts w:asciiTheme="minorBidi" w:hAnsiTheme="minorBidi"/>
          <w:rtl/>
        </w:rPr>
        <w:t xml:space="preserve">    </w:t>
      </w:r>
      <w:r w:rsidRPr="00351B7D">
        <w:rPr>
          <w:rFonts w:asciiTheme="minorBidi" w:hAnsiTheme="minorBidi"/>
          <w:sz w:val="16"/>
          <w:szCs w:val="16"/>
          <w:rtl/>
        </w:rPr>
        <w:t>(דרכ"מ אות ג)</w:t>
      </w:r>
    </w:p>
    <w:p w14:paraId="4F051776" w14:textId="77777777" w:rsidR="002E5BAD" w:rsidRPr="00351B7D" w:rsidRDefault="002E5BAD" w:rsidP="002E5BAD">
      <w:pPr>
        <w:pStyle w:val="ab"/>
        <w:numPr>
          <w:ilvl w:val="0"/>
          <w:numId w:val="141"/>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(גיטין סי' שמב)</w:t>
      </w:r>
      <w:r w:rsidRPr="00351B7D">
        <w:rPr>
          <w:rFonts w:asciiTheme="minorBidi" w:hAnsiTheme="minorBidi"/>
          <w:rtl/>
        </w:rPr>
        <w:t>- סמכו חכמי הקהל לחתום הכתובה קודם הברכה דאיכא אימתא דציבורא לשקר, וגם העדים חותמים קודם הברכה, וליכא משום מיחזי כשיקרא כיון דעסוקים באותו ענין, ויש מקומות שאין חותמין עד אחר הברכה שכבר הקנין נעשה בפניהם</w:t>
      </w:r>
      <w:r w:rsidRPr="00351B7D">
        <w:rPr>
          <w:rStyle w:val="a7"/>
          <w:rFonts w:asciiTheme="minorBidi" w:hAnsiTheme="minorBidi"/>
          <w:rtl/>
        </w:rPr>
        <w:footnoteReference w:id="880"/>
      </w:r>
      <w:r w:rsidRPr="00351B7D">
        <w:rPr>
          <w:rFonts w:asciiTheme="minorBidi" w:hAnsiTheme="minorBidi"/>
          <w:rtl/>
        </w:rPr>
        <w:t>.</w:t>
      </w:r>
    </w:p>
    <w:p w14:paraId="1161EFB3" w14:textId="77777777" w:rsidR="002E5BAD" w:rsidRPr="00351B7D" w:rsidRDefault="002E5BAD" w:rsidP="002E5BAD">
      <w:pPr>
        <w:rPr>
          <w:rFonts w:asciiTheme="minorBidi" w:hAnsiTheme="minorBidi"/>
          <w:sz w:val="16"/>
          <w:szCs w:val="16"/>
          <w:rtl/>
        </w:rPr>
      </w:pPr>
      <w:r w:rsidRPr="00351B7D">
        <w:rPr>
          <w:rFonts w:asciiTheme="minorBidi" w:hAnsiTheme="minorBidi"/>
          <w:u w:val="single"/>
          <w:rtl/>
        </w:rPr>
        <w:t>עדים שחתמו על כתובה שקראו תחת החופה אע"פ שלא שמעו את הקריאה:</w:t>
      </w:r>
      <w:r w:rsidRPr="00351B7D">
        <w:rPr>
          <w:rFonts w:asciiTheme="minorBidi" w:hAnsiTheme="minorBidi"/>
          <w:rtl/>
        </w:rPr>
        <w:t xml:space="preserve">    </w:t>
      </w:r>
      <w:r w:rsidRPr="00351B7D">
        <w:rPr>
          <w:rFonts w:asciiTheme="minorBidi" w:hAnsiTheme="minorBidi"/>
          <w:sz w:val="16"/>
          <w:szCs w:val="16"/>
          <w:rtl/>
        </w:rPr>
        <w:t xml:space="preserve">(דרכ"מ אות ג) </w:t>
      </w:r>
    </w:p>
    <w:p w14:paraId="753553BB" w14:textId="77777777" w:rsidR="002E5BAD" w:rsidRPr="00351B7D" w:rsidRDefault="002E5BAD" w:rsidP="002E5BAD">
      <w:pPr>
        <w:pStyle w:val="ab"/>
        <w:numPr>
          <w:ilvl w:val="0"/>
          <w:numId w:val="140"/>
        </w:numPr>
        <w:rPr>
          <w:rFonts w:asciiTheme="minorBidi" w:hAnsiTheme="minorBidi"/>
        </w:rPr>
      </w:pPr>
      <w:r w:rsidRPr="00351B7D">
        <w:rPr>
          <w:rFonts w:asciiTheme="minorBidi" w:hAnsiTheme="minorBidi"/>
          <w:rtl/>
        </w:rPr>
        <w:t xml:space="preserve">או"ז </w:t>
      </w:r>
      <w:r w:rsidRPr="00351B7D">
        <w:rPr>
          <w:rFonts w:asciiTheme="minorBidi" w:hAnsiTheme="minorBidi"/>
          <w:sz w:val="16"/>
          <w:szCs w:val="16"/>
          <w:rtl/>
        </w:rPr>
        <w:t>(הגה"א סי' יב אות ג)</w:t>
      </w:r>
      <w:r w:rsidRPr="00351B7D">
        <w:rPr>
          <w:rFonts w:asciiTheme="minorBidi" w:hAnsiTheme="minorBidi"/>
          <w:rtl/>
        </w:rPr>
        <w:t>- "בכתובות שלנו חותמין העדים אע"פ שלא שמעו הקריאה</w:t>
      </w:r>
      <w:r w:rsidRPr="00351B7D">
        <w:rPr>
          <w:rStyle w:val="a7"/>
          <w:rFonts w:asciiTheme="minorBidi" w:hAnsiTheme="minorBidi"/>
          <w:rtl/>
        </w:rPr>
        <w:footnoteReference w:id="881"/>
      </w:r>
      <w:r w:rsidRPr="00351B7D">
        <w:rPr>
          <w:rFonts w:asciiTheme="minorBidi" w:hAnsiTheme="minorBidi"/>
          <w:rtl/>
        </w:rPr>
        <w:t xml:space="preserve">, וטעמא משום שקראוה חכמי הקהל ואיכא אימתא דצבורא לשקר ולחזור בקנין וגם לקרות שקר טפי, מדרב נחמן דקרו קמיה וחתים משום אימתא". </w:t>
      </w:r>
    </w:p>
    <w:p w14:paraId="19DA257F" w14:textId="77777777" w:rsidR="002E5BAD" w:rsidRPr="00351B7D" w:rsidRDefault="002E5BAD" w:rsidP="002E5BAD">
      <w:pPr>
        <w:rPr>
          <w:rFonts w:asciiTheme="minorBidi" w:hAnsiTheme="minorBidi"/>
          <w:rtl/>
        </w:rPr>
      </w:pPr>
      <w:r w:rsidRPr="00351B7D">
        <w:rPr>
          <w:rFonts w:asciiTheme="minorBidi" w:hAnsiTheme="minorBidi"/>
          <w:b/>
          <w:bCs/>
          <w:rtl/>
        </w:rPr>
        <w:t xml:space="preserve">בבא בתרא קסז ע"א: </w:t>
      </w:r>
      <w:r w:rsidRPr="00351B7D">
        <w:rPr>
          <w:rFonts w:asciiTheme="minorBidi" w:hAnsiTheme="minorBidi"/>
          <w:u w:val="double"/>
          <w:rtl/>
        </w:rPr>
        <w:t>מתני':</w:t>
      </w:r>
      <w:r w:rsidRPr="00351B7D">
        <w:rPr>
          <w:rFonts w:asciiTheme="minorBidi" w:hAnsiTheme="minorBidi"/>
          <w:rtl/>
        </w:rPr>
        <w:t xml:space="preserve"> כותבין גט לאיש אף על פי שאין אשתו עמו.... והבעל נותן שכר. </w:t>
      </w:r>
    </w:p>
    <w:p w14:paraId="60DD36A7"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יא ע"א: </w:t>
      </w:r>
      <w:r w:rsidRPr="00351B7D">
        <w:rPr>
          <w:rFonts w:asciiTheme="minorBidi" w:hAnsiTheme="minorBidi"/>
          <w:rtl/>
        </w:rPr>
        <w:t>כתובה - היינו טעמא, שלא תהא קלה בעיניו להוציאה.</w:t>
      </w:r>
      <w:r w:rsidRPr="00351B7D">
        <w:rPr>
          <w:rFonts w:asciiTheme="minorBidi" w:hAnsiTheme="minorBidi"/>
          <w:sz w:val="16"/>
          <w:szCs w:val="16"/>
          <w:rtl/>
        </w:rPr>
        <w:t xml:space="preserve"> (וכ"פ הרמב"ם (פ"י מה"א ה"ז) והטור)</w:t>
      </w:r>
      <w:r w:rsidRPr="00351B7D">
        <w:rPr>
          <w:rFonts w:asciiTheme="minorBidi" w:hAnsiTheme="minorBidi"/>
          <w:rtl/>
        </w:rPr>
        <w:t xml:space="preserve"> </w:t>
      </w:r>
    </w:p>
    <w:p w14:paraId="21868361" w14:textId="77777777" w:rsidR="002E5BAD" w:rsidRPr="00351B7D" w:rsidRDefault="002E5BAD" w:rsidP="002E5BAD">
      <w:pPr>
        <w:rPr>
          <w:rFonts w:asciiTheme="minorBidi" w:hAnsiTheme="minorBidi"/>
          <w:rtl/>
        </w:rPr>
      </w:pPr>
      <w:r w:rsidRPr="00351B7D">
        <w:rPr>
          <w:rFonts w:asciiTheme="minorBidi" w:hAnsiTheme="minorBidi"/>
          <w:b/>
          <w:bCs/>
          <w:rtl/>
        </w:rPr>
        <w:t>כתובות פ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שומרת יבם... כנסה, הרי היא כאשתו לכל דבר... לא יאמר לה הרי כתובתיך מונחת על השלחן, אלא כל נכסיו אחראין לכתובתה. וכן לא יאמר אדם לאשתו הרי כתובתיך מונחת על השלחן, אלא כל נכסיו אחראין לכתובתה.    </w:t>
      </w:r>
      <w:r w:rsidRPr="00351B7D">
        <w:rPr>
          <w:rFonts w:asciiTheme="minorBidi" w:hAnsiTheme="minorBidi"/>
          <w:u w:val="double"/>
          <w:rtl/>
        </w:rPr>
        <w:t>גמ'</w:t>
      </w:r>
      <w:r w:rsidRPr="00973C57">
        <w:rPr>
          <w:rFonts w:asciiTheme="minorBidi" w:hAnsiTheme="minorBidi"/>
          <w:sz w:val="14"/>
          <w:szCs w:val="14"/>
          <w:u w:val="double"/>
          <w:rtl/>
        </w:rPr>
        <w:t>(פב:)</w:t>
      </w:r>
      <w:r w:rsidRPr="00351B7D">
        <w:rPr>
          <w:rFonts w:asciiTheme="minorBidi" w:hAnsiTheme="minorBidi"/>
          <w:u w:val="double"/>
          <w:rtl/>
        </w:rPr>
        <w:t>:</w:t>
      </w:r>
      <w:r w:rsidRPr="00351B7D">
        <w:rPr>
          <w:rFonts w:asciiTheme="minorBidi" w:hAnsiTheme="minorBidi"/>
          <w:rtl/>
        </w:rPr>
        <w:t xml:space="preserve">  מאי וכן</w:t>
      </w:r>
      <w:r w:rsidRPr="00351B7D">
        <w:rPr>
          <w:rStyle w:val="a7"/>
          <w:rFonts w:asciiTheme="minorBidi" w:hAnsiTheme="minorBidi"/>
          <w:rtl/>
        </w:rPr>
        <w:footnoteReference w:id="882"/>
      </w:r>
      <w:r w:rsidRPr="00351B7D">
        <w:rPr>
          <w:rFonts w:asciiTheme="minorBidi" w:hAnsiTheme="minorBidi"/>
          <w:rtl/>
        </w:rPr>
        <w:t>? מהו דתימא, התם הוא</w:t>
      </w:r>
      <w:r w:rsidRPr="00351B7D">
        <w:rPr>
          <w:rStyle w:val="a7"/>
          <w:rFonts w:asciiTheme="minorBidi" w:hAnsiTheme="minorBidi"/>
          <w:rtl/>
        </w:rPr>
        <w:footnoteReference w:id="883"/>
      </w:r>
      <w:r w:rsidRPr="00351B7D">
        <w:rPr>
          <w:rFonts w:asciiTheme="minorBidi" w:hAnsiTheme="minorBidi"/>
          <w:rtl/>
        </w:rPr>
        <w:t xml:space="preserve"> דלא כתב לה</w:t>
      </w:r>
      <w:r w:rsidRPr="00351B7D">
        <w:rPr>
          <w:rStyle w:val="a7"/>
          <w:rFonts w:asciiTheme="minorBidi" w:hAnsiTheme="minorBidi"/>
          <w:rtl/>
        </w:rPr>
        <w:footnoteReference w:id="884"/>
      </w:r>
      <w:r w:rsidRPr="00351B7D">
        <w:rPr>
          <w:rFonts w:asciiTheme="minorBidi" w:hAnsiTheme="minorBidi"/>
          <w:rtl/>
        </w:rPr>
        <w:t xml:space="preserve"> דקנאי</w:t>
      </w:r>
      <w:r w:rsidRPr="00351B7D">
        <w:rPr>
          <w:rStyle w:val="a7"/>
          <w:rFonts w:asciiTheme="minorBidi" w:hAnsiTheme="minorBidi"/>
          <w:rtl/>
        </w:rPr>
        <w:footnoteReference w:id="885"/>
      </w:r>
      <w:r w:rsidRPr="00351B7D">
        <w:rPr>
          <w:rFonts w:asciiTheme="minorBidi" w:hAnsiTheme="minorBidi"/>
          <w:rtl/>
        </w:rPr>
        <w:t xml:space="preserve"> ודקנינא</w:t>
      </w:r>
      <w:r w:rsidRPr="00351B7D">
        <w:rPr>
          <w:rStyle w:val="a7"/>
          <w:rFonts w:asciiTheme="minorBidi" w:hAnsiTheme="minorBidi"/>
          <w:rtl/>
        </w:rPr>
        <w:footnoteReference w:id="886"/>
      </w:r>
      <w:r w:rsidRPr="00351B7D">
        <w:rPr>
          <w:rFonts w:asciiTheme="minorBidi" w:hAnsiTheme="minorBidi"/>
          <w:rtl/>
        </w:rPr>
        <w:t>, אבל הכא דכתב לה דקנאי ודקנינא - אימא סמכה דעתה, קמ"ל.</w:t>
      </w:r>
    </w:p>
    <w:p w14:paraId="406AEA7E" w14:textId="77777777" w:rsidR="002E5BAD" w:rsidRPr="00351B7D" w:rsidRDefault="002E5BAD" w:rsidP="002E5BAD">
      <w:pPr>
        <w:rPr>
          <w:rFonts w:asciiTheme="minorBidi" w:hAnsiTheme="minorBidi"/>
          <w:u w:val="single"/>
          <w:rtl/>
        </w:rPr>
      </w:pPr>
      <w:r w:rsidRPr="00351B7D">
        <w:rPr>
          <w:rFonts w:asciiTheme="minorBidi" w:hAnsiTheme="minorBidi"/>
          <w:u w:val="single"/>
          <w:rtl/>
        </w:rPr>
        <w:t>מי שנתן ערב קבלן לאשתו בעד כתובתה והתנה עמה שיהא הוא פטור, האם היא מותרת לבעלה:</w:t>
      </w:r>
    </w:p>
    <w:p w14:paraId="60B2BDD6" w14:textId="77777777" w:rsidR="002E5BAD" w:rsidRPr="00351B7D" w:rsidRDefault="002E5BAD" w:rsidP="002E5BAD">
      <w:pPr>
        <w:pStyle w:val="ab"/>
        <w:numPr>
          <w:ilvl w:val="0"/>
          <w:numId w:val="138"/>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(ח"ב סי' נ"ח)</w:t>
      </w:r>
      <w:r w:rsidRPr="00351B7D">
        <w:rPr>
          <w:rFonts w:asciiTheme="minorBidi" w:hAnsiTheme="minorBidi"/>
          <w:rtl/>
        </w:rPr>
        <w:t>- אסורה לו דכיון שאין לה על בעלה כלום תהא קלה בעיניו להוציאה.</w:t>
      </w:r>
    </w:p>
    <w:p w14:paraId="4429A152" w14:textId="77777777" w:rsidR="002E5BAD" w:rsidRPr="00351B7D" w:rsidRDefault="002E5BAD" w:rsidP="002E5BAD">
      <w:pPr>
        <w:rPr>
          <w:rFonts w:asciiTheme="minorBidi" w:hAnsiTheme="minorBidi"/>
          <w:u w:val="single"/>
        </w:rPr>
      </w:pPr>
      <w:r w:rsidRPr="00351B7D">
        <w:rPr>
          <w:rFonts w:asciiTheme="minorBidi" w:hAnsiTheme="minorBidi"/>
          <w:u w:val="single"/>
          <w:rtl/>
        </w:rPr>
        <w:t>האם אפשר להקנות לאשה ע"י עדים מנה/מאתים במקום לכתוב לה כתובה:</w:t>
      </w:r>
      <w:r w:rsidRPr="00351B7D">
        <w:rPr>
          <w:rFonts w:asciiTheme="minorBidi" w:hAnsiTheme="minorBidi"/>
          <w:rtl/>
        </w:rPr>
        <w:t xml:space="preserve"> </w:t>
      </w:r>
    </w:p>
    <w:p w14:paraId="0C1E93D2" w14:textId="77777777" w:rsidR="002E5BAD" w:rsidRPr="00351B7D" w:rsidRDefault="002E5BAD" w:rsidP="002E5BAD">
      <w:pPr>
        <w:pStyle w:val="ab"/>
        <w:numPr>
          <w:ilvl w:val="0"/>
          <w:numId w:val="138"/>
        </w:numPr>
        <w:rPr>
          <w:rFonts w:asciiTheme="minorBidi" w:hAnsiTheme="minorBidi"/>
          <w:rtl/>
        </w:rPr>
      </w:pPr>
      <w:r w:rsidRPr="00351B7D">
        <w:rPr>
          <w:rFonts w:asciiTheme="minorBidi" w:hAnsiTheme="minorBidi"/>
          <w:rtl/>
        </w:rPr>
        <w:t>(רמב"ם</w:t>
      </w:r>
      <w:r w:rsidRPr="00351B7D">
        <w:rPr>
          <w:rStyle w:val="a7"/>
          <w:rFonts w:asciiTheme="minorBidi" w:hAnsiTheme="minorBidi"/>
          <w:rtl/>
        </w:rPr>
        <w:footnoteReference w:id="887"/>
      </w:r>
      <w:r w:rsidRPr="00351B7D">
        <w:rPr>
          <w:rFonts w:asciiTheme="minorBidi" w:hAnsiTheme="minorBidi"/>
          <w:sz w:val="16"/>
          <w:szCs w:val="16"/>
          <w:rtl/>
        </w:rPr>
        <w:t xml:space="preserve"> להב' הב"י</w:t>
      </w:r>
      <w:r w:rsidRPr="00351B7D">
        <w:rPr>
          <w:rFonts w:asciiTheme="minorBidi" w:hAnsiTheme="minorBidi"/>
          <w:rtl/>
        </w:rPr>
        <w:t>) וריב"א</w:t>
      </w:r>
      <w:r w:rsidRPr="00351B7D">
        <w:rPr>
          <w:rStyle w:val="a7"/>
          <w:rFonts w:asciiTheme="minorBidi" w:hAnsiTheme="minorBidi"/>
          <w:rtl/>
        </w:rPr>
        <w:footnoteReference w:id="888"/>
      </w:r>
      <w:r w:rsidRPr="00351B7D">
        <w:rPr>
          <w:rFonts w:asciiTheme="minorBidi" w:hAnsiTheme="minorBidi"/>
          <w:sz w:val="16"/>
          <w:szCs w:val="16"/>
          <w:rtl/>
        </w:rPr>
        <w:t xml:space="preserve"> (הובא במרדכי סי' קל)</w:t>
      </w:r>
      <w:r w:rsidRPr="00351B7D">
        <w:rPr>
          <w:rFonts w:asciiTheme="minorBidi" w:hAnsiTheme="minorBidi"/>
          <w:rtl/>
        </w:rPr>
        <w:t>- אם העדים קנו מידו אז אע"פ שיש לו פנאי לכתוב אם רצה שלא לכתוב עכשיו אלא שביק ליה למחר וליומא אחרא שרי דכיון דסתם קנין לכתיבה עומד הוי כאילו נכתב</w:t>
      </w:r>
      <w:r w:rsidRPr="00351B7D">
        <w:rPr>
          <w:rStyle w:val="a7"/>
          <w:rFonts w:asciiTheme="minorBidi" w:hAnsiTheme="minorBidi"/>
          <w:rtl/>
        </w:rPr>
        <w:footnoteReference w:id="889"/>
      </w:r>
      <w:r w:rsidRPr="00351B7D">
        <w:rPr>
          <w:rFonts w:asciiTheme="minorBidi" w:hAnsiTheme="minorBidi"/>
          <w:rtl/>
        </w:rPr>
        <w:t>, ואין צריך למהר לכתוב לה אלא בנתן לה מטלטלין כנגד כתובתה</w:t>
      </w:r>
      <w:r w:rsidRPr="00351B7D">
        <w:rPr>
          <w:rStyle w:val="a7"/>
          <w:rFonts w:asciiTheme="minorBidi" w:hAnsiTheme="minorBidi"/>
          <w:rtl/>
        </w:rPr>
        <w:footnoteReference w:id="890"/>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0C198847" w14:textId="77777777" w:rsidR="002E5BAD" w:rsidRPr="00351B7D" w:rsidRDefault="002E5BAD" w:rsidP="002E5BAD">
      <w:pPr>
        <w:pStyle w:val="ab"/>
        <w:numPr>
          <w:ilvl w:val="0"/>
          <w:numId w:val="138"/>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להב' הטור ומהרי"ק</w:t>
      </w:r>
      <w:r w:rsidRPr="00351B7D">
        <w:rPr>
          <w:rFonts w:asciiTheme="minorBidi" w:hAnsiTheme="minorBidi"/>
          <w:rtl/>
        </w:rPr>
        <w:t>) ומהרי"ק</w:t>
      </w:r>
      <w:r w:rsidRPr="00351B7D">
        <w:rPr>
          <w:rStyle w:val="a7"/>
          <w:rFonts w:asciiTheme="minorBidi" w:hAnsiTheme="minorBidi"/>
          <w:rtl/>
        </w:rPr>
        <w:footnoteReference w:id="891"/>
      </w:r>
      <w:r w:rsidRPr="00351B7D">
        <w:rPr>
          <w:rFonts w:asciiTheme="minorBidi" w:hAnsiTheme="minorBidi"/>
          <w:rtl/>
        </w:rPr>
        <w:t xml:space="preserve">- אין להתיר אלא ע"י הדחק </w:t>
      </w:r>
      <w:r w:rsidRPr="00351B7D">
        <w:rPr>
          <w:rFonts w:asciiTheme="minorBidi" w:hAnsiTheme="minorBidi"/>
          <w:sz w:val="16"/>
          <w:szCs w:val="16"/>
          <w:rtl/>
        </w:rPr>
        <w:t>(כגון בשבת או רוצה לכנוס אחר ששכח)</w:t>
      </w:r>
      <w:r w:rsidRPr="00351B7D">
        <w:rPr>
          <w:rFonts w:asciiTheme="minorBidi" w:hAnsiTheme="minorBidi"/>
          <w:rtl/>
        </w:rPr>
        <w:t xml:space="preserve"> דאז מותר לפי שעה ויכתוב לה תיכף אח"כ, אבל לסמוך לכתחלה על עידי הקנין פשיטא שאין לעשות</w:t>
      </w:r>
      <w:r w:rsidRPr="00351B7D">
        <w:rPr>
          <w:rStyle w:val="a7"/>
          <w:rFonts w:asciiTheme="minorBidi" w:hAnsiTheme="minorBidi"/>
          <w:rtl/>
        </w:rPr>
        <w:footnoteReference w:id="892"/>
      </w:r>
      <w:r w:rsidRPr="00351B7D">
        <w:rPr>
          <w:rFonts w:asciiTheme="minorBidi" w:hAnsiTheme="minorBidi"/>
          <w:rtl/>
        </w:rPr>
        <w:t>.</w:t>
      </w:r>
      <w:r w:rsidRPr="00351B7D">
        <w:rPr>
          <w:rFonts w:asciiTheme="minorBidi" w:hAnsiTheme="minorBidi"/>
          <w:color w:val="00B0F0"/>
          <w:rtl/>
        </w:rPr>
        <w:t xml:space="preserve"> (וכ"פ הרמ"א)</w:t>
      </w:r>
    </w:p>
    <w:p w14:paraId="4A8DCCFB" w14:textId="77777777" w:rsidR="002E5BAD" w:rsidRPr="00351B7D" w:rsidRDefault="002E5BAD" w:rsidP="002E5BAD">
      <w:pPr>
        <w:pStyle w:val="ab"/>
        <w:numPr>
          <w:ilvl w:val="0"/>
          <w:numId w:val="138"/>
        </w:numPr>
        <w:rPr>
          <w:rFonts w:asciiTheme="minorBidi" w:hAnsiTheme="minorBidi"/>
        </w:rPr>
      </w:pPr>
      <w:r w:rsidRPr="00351B7D">
        <w:rPr>
          <w:rFonts w:asciiTheme="minorBidi" w:hAnsiTheme="minorBidi"/>
          <w:rtl/>
        </w:rPr>
        <w:lastRenderedPageBreak/>
        <w:t>סמ"ג</w:t>
      </w:r>
      <w:r w:rsidRPr="00351B7D">
        <w:rPr>
          <w:rStyle w:val="a7"/>
          <w:rFonts w:asciiTheme="minorBidi" w:hAnsiTheme="minorBidi"/>
          <w:rtl/>
        </w:rPr>
        <w:footnoteReference w:id="893"/>
      </w:r>
      <w:r w:rsidRPr="00351B7D">
        <w:rPr>
          <w:rFonts w:asciiTheme="minorBidi" w:hAnsiTheme="minorBidi"/>
          <w:rtl/>
        </w:rPr>
        <w:t>- "אחד הכותב כתובה בשטר, ואחד שהעידו עליו עדים וקנו ממנו שהוא חייב לה מאה או מאתים במקום שאין כותבין</w:t>
      </w:r>
      <w:r w:rsidRPr="00351B7D">
        <w:rPr>
          <w:rStyle w:val="a7"/>
          <w:rFonts w:asciiTheme="minorBidi" w:hAnsiTheme="minorBidi"/>
          <w:rtl/>
        </w:rPr>
        <w:footnoteReference w:id="894"/>
      </w:r>
      <w:r w:rsidRPr="00351B7D">
        <w:rPr>
          <w:rFonts w:asciiTheme="minorBidi" w:hAnsiTheme="minorBidi"/>
          <w:rtl/>
        </w:rPr>
        <w:t>, וכן אם נתן לה מטלטלין כנגד כתובתה אף במקום שכותבין, הרי זה מותר לבעול עד שיהא לו פנאי לכתוב</w:t>
      </w:r>
      <w:r w:rsidRPr="00351B7D">
        <w:rPr>
          <w:rStyle w:val="a7"/>
          <w:rFonts w:asciiTheme="minorBidi" w:hAnsiTheme="minorBidi"/>
          <w:rtl/>
        </w:rPr>
        <w:footnoteReference w:id="895"/>
      </w:r>
      <w:r w:rsidRPr="00351B7D">
        <w:rPr>
          <w:rFonts w:asciiTheme="minorBidi" w:hAnsiTheme="minorBidi"/>
          <w:rtl/>
        </w:rPr>
        <w:t>, כדאי' בפ"ק דכתובות</w:t>
      </w:r>
      <w:r w:rsidRPr="00351B7D">
        <w:rPr>
          <w:rFonts w:asciiTheme="minorBidi" w:hAnsiTheme="minorBidi"/>
          <w:sz w:val="16"/>
          <w:szCs w:val="16"/>
          <w:rtl/>
        </w:rPr>
        <w:t xml:space="preserve"> (ז.) </w:t>
      </w:r>
      <w:r w:rsidRPr="00351B7D">
        <w:rPr>
          <w:rFonts w:asciiTheme="minorBidi" w:hAnsiTheme="minorBidi"/>
          <w:rtl/>
        </w:rPr>
        <w:t>רק שיקבל עליו אחריות אם יאבדו או יזולו". (וכ"פ הב"ח</w:t>
      </w:r>
      <w:r w:rsidRPr="00351B7D">
        <w:rPr>
          <w:rStyle w:val="a7"/>
          <w:rFonts w:asciiTheme="minorBidi" w:hAnsiTheme="minorBidi"/>
          <w:rtl/>
        </w:rPr>
        <w:footnoteReference w:id="896"/>
      </w:r>
      <w:r w:rsidRPr="00351B7D">
        <w:rPr>
          <w:rFonts w:asciiTheme="minorBidi" w:hAnsiTheme="minorBidi"/>
          <w:rtl/>
        </w:rPr>
        <w:t>)</w:t>
      </w:r>
    </w:p>
    <w:p w14:paraId="3CFD9412" w14:textId="77777777" w:rsidR="002E5BAD" w:rsidRPr="00351B7D" w:rsidRDefault="002E5BAD" w:rsidP="002E5BAD">
      <w:pPr>
        <w:rPr>
          <w:rFonts w:asciiTheme="minorBidi" w:hAnsiTheme="minorBidi"/>
          <w:rtl/>
        </w:rPr>
      </w:pPr>
      <w:r w:rsidRPr="00351B7D">
        <w:rPr>
          <w:rFonts w:asciiTheme="minorBidi" w:hAnsiTheme="minorBidi"/>
          <w:u w:val="single"/>
          <w:rtl/>
        </w:rPr>
        <w:t>כתב לה כתובה בקידושי טעות, האם צריך לכתוב לה כתובה חדשה כשמקדשה שנית:</w:t>
      </w:r>
      <w:r w:rsidRPr="00351B7D">
        <w:rPr>
          <w:rFonts w:asciiTheme="minorBidi" w:hAnsiTheme="minorBidi"/>
          <w:rtl/>
        </w:rPr>
        <w:t xml:space="preserve">  </w:t>
      </w:r>
      <w:r w:rsidRPr="00351B7D">
        <w:rPr>
          <w:rFonts w:asciiTheme="minorBidi" w:hAnsiTheme="minorBidi"/>
          <w:sz w:val="16"/>
          <w:szCs w:val="16"/>
          <w:rtl/>
        </w:rPr>
        <w:t xml:space="preserve">(דרכ"מ אות ח) </w:t>
      </w:r>
    </w:p>
    <w:p w14:paraId="67265D0A" w14:textId="77777777" w:rsidR="002E5BAD" w:rsidRPr="00351B7D" w:rsidRDefault="002E5BAD" w:rsidP="002E5BAD">
      <w:pPr>
        <w:pStyle w:val="ab"/>
        <w:numPr>
          <w:ilvl w:val="0"/>
          <w:numId w:val="139"/>
        </w:numPr>
        <w:rPr>
          <w:rFonts w:asciiTheme="minorBidi" w:hAnsiTheme="minorBidi"/>
          <w:u w:val="single"/>
          <w:rtl/>
        </w:rPr>
      </w:pPr>
      <w:r w:rsidRPr="00351B7D">
        <w:rPr>
          <w:rFonts w:asciiTheme="minorBidi" w:hAnsiTheme="minorBidi"/>
          <w:rtl/>
        </w:rPr>
        <w:t xml:space="preserve">הגה' מרדכי </w:t>
      </w:r>
      <w:r w:rsidRPr="00351B7D">
        <w:rPr>
          <w:rFonts w:asciiTheme="minorBidi" w:hAnsiTheme="minorBidi"/>
          <w:sz w:val="16"/>
          <w:szCs w:val="16"/>
          <w:rtl/>
        </w:rPr>
        <w:t xml:space="preserve">(קידושין סי' תקמה) </w:t>
      </w:r>
      <w:r w:rsidRPr="00351B7D">
        <w:rPr>
          <w:rFonts w:asciiTheme="minorBidi" w:hAnsiTheme="minorBidi"/>
          <w:rtl/>
        </w:rPr>
        <w:t>ומהרי"ו</w:t>
      </w:r>
      <w:r w:rsidRPr="00351B7D">
        <w:rPr>
          <w:rFonts w:asciiTheme="minorBidi" w:hAnsiTheme="minorBidi"/>
          <w:sz w:val="16"/>
          <w:szCs w:val="16"/>
          <w:rtl/>
        </w:rPr>
        <w:t xml:space="preserve"> (בשו"ת סי' ז)</w:t>
      </w:r>
      <w:r w:rsidRPr="00351B7D">
        <w:rPr>
          <w:rFonts w:asciiTheme="minorBidi" w:hAnsiTheme="minorBidi"/>
          <w:rtl/>
        </w:rPr>
        <w:t>- אם כתב לה כתובה בקידושי טעות אע"פ שחזר אח"כ וקדשה שנית אפילו הכי כתובה הראשונה קיימת.</w:t>
      </w:r>
    </w:p>
    <w:p w14:paraId="45CC350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1C2D8E" w14:textId="77777777" w:rsidR="002E5BAD" w:rsidRPr="00351B7D" w:rsidRDefault="002E5BAD" w:rsidP="002E5BAD">
      <w:pPr>
        <w:rPr>
          <w:rFonts w:asciiTheme="minorBidi" w:hAnsiTheme="minorBidi"/>
          <w:color w:val="000000"/>
          <w:sz w:val="18"/>
          <w:szCs w:val="18"/>
          <w:rtl/>
        </w:rPr>
      </w:pPr>
      <w:r w:rsidRPr="00351B7D">
        <w:rPr>
          <w:rFonts w:asciiTheme="minorBidi" w:hAnsiTheme="minorBidi"/>
          <w:rtl/>
        </w:rPr>
        <w:t>אסור להתייחד עם הכלה קודם שיכתוב לה כתובה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(ויש מקילין ומתירין להתייחד בלא כתובה</w:t>
      </w:r>
      <w:r w:rsidRPr="00351B7D">
        <w:rPr>
          <w:rStyle w:val="a7"/>
          <w:rFonts w:asciiTheme="minorBidi" w:hAnsiTheme="minorBidi"/>
          <w:color w:val="000000"/>
          <w:sz w:val="18"/>
          <w:szCs w:val="18"/>
          <w:rtl/>
        </w:rPr>
        <w:footnoteReference w:id="897"/>
      </w:r>
      <w:r w:rsidRPr="00351B7D">
        <w:rPr>
          <w:rFonts w:asciiTheme="minorBidi" w:hAnsiTheme="minorBidi"/>
          <w:color w:val="000000"/>
          <w:sz w:val="18"/>
          <w:szCs w:val="18"/>
          <w:rtl/>
        </w:rPr>
        <w:t xml:space="preserve"> ובלבד שלא יבעול</w:t>
      </w:r>
      <w:r w:rsidRPr="00351B7D">
        <w:rPr>
          <w:rStyle w:val="a7"/>
          <w:rFonts w:asciiTheme="minorBidi" w:hAnsiTheme="minorBidi"/>
          <w:color w:val="000000"/>
          <w:sz w:val="18"/>
          <w:szCs w:val="18"/>
          <w:rtl/>
        </w:rPr>
        <w:footnoteReference w:id="898"/>
      </w:r>
      <w:r w:rsidRPr="00351B7D">
        <w:rPr>
          <w:rFonts w:asciiTheme="minorBidi" w:hAnsiTheme="minorBidi"/>
          <w:color w:val="000000"/>
          <w:sz w:val="18"/>
          <w:szCs w:val="18"/>
          <w:rtl/>
        </w:rPr>
        <w:t>. (הר"ן))</w:t>
      </w:r>
      <w:r w:rsidRPr="00351B7D">
        <w:rPr>
          <w:rFonts w:asciiTheme="minorBidi" w:hAnsiTheme="minorBidi"/>
          <w:color w:val="000000"/>
          <w:sz w:val="24"/>
          <w:szCs w:val="24"/>
          <w:rtl/>
        </w:rPr>
        <w:t xml:space="preserve">, </w:t>
      </w:r>
      <w:r w:rsidRPr="00351B7D">
        <w:rPr>
          <w:rFonts w:asciiTheme="minorBidi" w:hAnsiTheme="minorBidi"/>
          <w:rtl/>
        </w:rPr>
        <w:t>והבעל נותן שכר הסופר</w:t>
      </w:r>
      <w:r w:rsidRPr="00351B7D">
        <w:rPr>
          <w:rStyle w:val="a7"/>
          <w:rFonts w:asciiTheme="minorBidi" w:hAnsiTheme="minorBidi"/>
          <w:color w:val="000000"/>
          <w:rtl/>
        </w:rPr>
        <w:footnoteReference w:id="899"/>
      </w:r>
      <w:r w:rsidRPr="00351B7D">
        <w:rPr>
          <w:rFonts w:asciiTheme="minorBidi" w:hAnsiTheme="minorBidi"/>
          <w:rtl/>
        </w:rPr>
        <w:t>. ואפילו אם ירצה לייחד לה כתובה במעות</w:t>
      </w:r>
      <w:r w:rsidRPr="00351B7D">
        <w:rPr>
          <w:rStyle w:val="a7"/>
          <w:rFonts w:asciiTheme="minorBidi" w:hAnsiTheme="minorBidi"/>
          <w:color w:val="000000"/>
          <w:rtl/>
        </w:rPr>
        <w:footnoteReference w:id="900"/>
      </w:r>
      <w:r w:rsidRPr="00351B7D">
        <w:rPr>
          <w:rFonts w:asciiTheme="minorBidi" w:hAnsiTheme="minorBidi"/>
          <w:rtl/>
        </w:rPr>
        <w:t xml:space="preserve"> או בשאר מטלטלין אין שומעין לו</w:t>
      </w:r>
      <w:r w:rsidRPr="00351B7D">
        <w:rPr>
          <w:rStyle w:val="a7"/>
          <w:rFonts w:asciiTheme="minorBidi" w:hAnsiTheme="minorBidi"/>
          <w:color w:val="000000"/>
          <w:rtl/>
        </w:rPr>
        <w:footnoteReference w:id="901"/>
      </w:r>
      <w:r w:rsidRPr="00351B7D">
        <w:rPr>
          <w:rFonts w:asciiTheme="minorBidi" w:hAnsiTheme="minorBidi"/>
          <w:rtl/>
        </w:rPr>
        <w:t xml:space="preserve"> אלא צריך שיכתוב לה שטר על עצמו בדמי הכתובה ויהיו כל נכסיו משועבדים לה או שיעידו עליו עדים ויקנו מידו מה שהוא חייב לה מנה או מאתים.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וי"א דאין לסמוך אעדים רק בשעת הדחק ומיד שיש לו פנאי לכתוב צריך לכתוב כל שכן שאין לסמוך עלייהו לכתחלה </w:t>
      </w:r>
      <w:r w:rsidRPr="00351B7D">
        <w:rPr>
          <w:rFonts w:asciiTheme="minorBidi" w:hAnsiTheme="minorBidi"/>
          <w:color w:val="000000"/>
          <w:sz w:val="16"/>
          <w:szCs w:val="16"/>
          <w:rtl/>
        </w:rPr>
        <w:t>(כ"מ מל' הטור וכ"כ מהרי"ק שורש ס"ד ומרדכי ריש כתובות)</w:t>
      </w:r>
      <w:r w:rsidRPr="00351B7D">
        <w:rPr>
          <w:rFonts w:asciiTheme="minorBidi" w:hAnsiTheme="minorBidi"/>
          <w:color w:val="000000"/>
          <w:sz w:val="18"/>
          <w:szCs w:val="18"/>
          <w:rtl/>
        </w:rPr>
        <w:t xml:space="preserve"> וכן ראוי להורות</w:t>
      </w:r>
      <w:r w:rsidRPr="00351B7D">
        <w:rPr>
          <w:rStyle w:val="a7"/>
          <w:rFonts w:asciiTheme="minorBidi" w:hAnsiTheme="minorBidi"/>
          <w:color w:val="000000"/>
          <w:sz w:val="18"/>
          <w:szCs w:val="18"/>
          <w:rtl/>
        </w:rPr>
        <w:footnoteReference w:id="902"/>
      </w:r>
      <w:r w:rsidRPr="00351B7D">
        <w:rPr>
          <w:rFonts w:asciiTheme="minorBidi" w:hAnsiTheme="minorBidi"/>
          <w:color w:val="000000"/>
          <w:sz w:val="18"/>
          <w:szCs w:val="18"/>
          <w:rtl/>
        </w:rPr>
        <w:t>. העמיד לה ערב קבלן בעד כתובה והתנה שהוא יהא פטור ממנה אסור עד שיהא שעבודה עליו שלא תהא קלה בעיניו להוציאה</w:t>
      </w:r>
      <w:r w:rsidRPr="00351B7D">
        <w:rPr>
          <w:rStyle w:val="a7"/>
          <w:rFonts w:asciiTheme="minorBidi" w:hAnsiTheme="minorBidi"/>
          <w:color w:val="000000"/>
          <w:sz w:val="18"/>
          <w:szCs w:val="18"/>
          <w:rtl/>
        </w:rPr>
        <w:footnoteReference w:id="903"/>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(ב"י בשם הרשב"א בתשו')</w:t>
      </w:r>
      <w:r w:rsidRPr="00351B7D">
        <w:rPr>
          <w:rFonts w:asciiTheme="minorBidi" w:hAnsiTheme="minorBidi"/>
          <w:color w:val="000000"/>
          <w:sz w:val="18"/>
          <w:szCs w:val="18"/>
          <w:rtl/>
        </w:rPr>
        <w:t xml:space="preserve">. עיין בחושן המשפט סימן ס' אם יוכל לשעבד עצמו בכתובתה בנכסים שלא באו לעולם. ואין לעדים לחתום הכתובה אלא לאחר שקיבל החתן קנין לפניהם </w:t>
      </w:r>
      <w:r w:rsidRPr="00351B7D">
        <w:rPr>
          <w:rFonts w:asciiTheme="minorBidi" w:hAnsiTheme="minorBidi"/>
          <w:color w:val="000000"/>
          <w:sz w:val="16"/>
          <w:szCs w:val="16"/>
          <w:rtl/>
        </w:rPr>
        <w:t>(סברת הרב ומפרק אשה שנתארמלה)</w:t>
      </w:r>
      <w:r w:rsidRPr="00351B7D">
        <w:rPr>
          <w:rFonts w:asciiTheme="minorBidi" w:hAnsiTheme="minorBidi"/>
          <w:color w:val="000000"/>
          <w:sz w:val="18"/>
          <w:szCs w:val="18"/>
          <w:rtl/>
        </w:rPr>
        <w:t xml:space="preserve">, ויש מקומות שמקילין בזה </w:t>
      </w:r>
      <w:r w:rsidRPr="00351B7D">
        <w:rPr>
          <w:rFonts w:asciiTheme="minorBidi" w:hAnsiTheme="minorBidi"/>
          <w:color w:val="000000"/>
          <w:sz w:val="16"/>
          <w:szCs w:val="16"/>
          <w:rtl/>
        </w:rPr>
        <w:t>(מרדכי פ"ב דגיטין)</w:t>
      </w:r>
      <w:r w:rsidRPr="00351B7D">
        <w:rPr>
          <w:rFonts w:asciiTheme="minorBidi" w:hAnsiTheme="minorBidi"/>
          <w:color w:val="000000"/>
          <w:sz w:val="18"/>
          <w:szCs w:val="18"/>
          <w:rtl/>
        </w:rPr>
        <w:t xml:space="preserve">. וכן שיש עדים חותמים על הכתובות שקראו תחת החופה אף על פי שהם לא שמעו הקריאה אף על פי דלא שפיר עבדי אין לשנות מנהגן שלא להוציא לעז על כתובות הראשונות </w:t>
      </w:r>
      <w:r w:rsidRPr="00351B7D">
        <w:rPr>
          <w:rFonts w:asciiTheme="minorBidi" w:hAnsiTheme="minorBidi"/>
          <w:color w:val="000000"/>
          <w:sz w:val="16"/>
          <w:szCs w:val="16"/>
          <w:rtl/>
        </w:rPr>
        <w:t>(או"ז)</w:t>
      </w:r>
      <w:r w:rsidRPr="00351B7D">
        <w:rPr>
          <w:rFonts w:asciiTheme="minorBidi" w:hAnsiTheme="minorBidi"/>
          <w:color w:val="000000"/>
          <w:sz w:val="18"/>
          <w:szCs w:val="18"/>
          <w:rtl/>
        </w:rPr>
        <w:t xml:space="preserve">.  </w:t>
      </w:r>
    </w:p>
    <w:p w14:paraId="420C87C3"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u w:val="single"/>
          <w:rtl/>
        </w:rPr>
        <w:t xml:space="preserve">האם מותר לחתן ולכלה להתייחד כשהכתובה נמצאת ביד הסופר </w:t>
      </w:r>
      <w:r w:rsidRPr="00351B7D">
        <w:rPr>
          <w:rFonts w:asciiTheme="minorBidi" w:hAnsiTheme="minorBidi"/>
          <w:sz w:val="16"/>
          <w:szCs w:val="16"/>
          <w:u w:val="single"/>
          <w:rtl/>
        </w:rPr>
        <w:t>(עד שיפרעו לו את שכרו)</w:t>
      </w:r>
      <w:r w:rsidRPr="00351B7D">
        <w:rPr>
          <w:rFonts w:asciiTheme="minorBidi" w:hAnsiTheme="minorBidi"/>
          <w:color w:val="000000"/>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(דרכ"מ [אות ו], כנה"ג [הגה"ט אות ו])</w:t>
      </w:r>
    </w:p>
    <w:p w14:paraId="75C1223F" w14:textId="77777777" w:rsidR="002E5BAD" w:rsidRPr="00351B7D" w:rsidRDefault="002E5BAD" w:rsidP="002E5BAD">
      <w:pPr>
        <w:pStyle w:val="ab"/>
        <w:numPr>
          <w:ilvl w:val="0"/>
          <w:numId w:val="139"/>
        </w:numPr>
        <w:rPr>
          <w:rFonts w:asciiTheme="minorBidi" w:hAnsiTheme="minorBidi"/>
        </w:rPr>
      </w:pPr>
      <w:r w:rsidRPr="00351B7D">
        <w:rPr>
          <w:rFonts w:asciiTheme="minorBidi" w:hAnsiTheme="minorBidi"/>
          <w:rtl/>
        </w:rPr>
        <w:t xml:space="preserve">מהרי"ל </w:t>
      </w:r>
      <w:r w:rsidRPr="00351B7D">
        <w:rPr>
          <w:rFonts w:asciiTheme="minorBidi" w:hAnsiTheme="minorBidi"/>
          <w:sz w:val="16"/>
          <w:szCs w:val="16"/>
          <w:rtl/>
        </w:rPr>
        <w:t>(הל' נשואין אות יג)</w:t>
      </w:r>
      <w:r w:rsidRPr="00351B7D">
        <w:rPr>
          <w:rFonts w:asciiTheme="minorBidi" w:hAnsiTheme="minorBidi"/>
          <w:rtl/>
        </w:rPr>
        <w:t>- אסור לשהות אצלה הואיל ואין הכתובה בידה.</w:t>
      </w:r>
    </w:p>
    <w:p w14:paraId="0D4BC5FF" w14:textId="77777777" w:rsidR="002E5BAD" w:rsidRPr="00351B7D" w:rsidRDefault="002E5BAD" w:rsidP="002E5BAD">
      <w:pPr>
        <w:pStyle w:val="ab"/>
        <w:numPr>
          <w:ilvl w:val="0"/>
          <w:numId w:val="139"/>
        </w:numPr>
        <w:rPr>
          <w:rFonts w:asciiTheme="minorBidi" w:hAnsiTheme="minorBidi"/>
        </w:rPr>
      </w:pPr>
      <w:r w:rsidRPr="00351B7D">
        <w:rPr>
          <w:rFonts w:asciiTheme="minorBidi" w:hAnsiTheme="minorBidi"/>
          <w:rtl/>
        </w:rPr>
        <w:t xml:space="preserve">ט"ז </w:t>
      </w:r>
      <w:r w:rsidRPr="00351B7D">
        <w:rPr>
          <w:rFonts w:asciiTheme="minorBidi" w:hAnsiTheme="minorBidi"/>
          <w:sz w:val="16"/>
          <w:szCs w:val="16"/>
          <w:rtl/>
        </w:rPr>
        <w:t>(סע' ה סק"ג</w:t>
      </w:r>
      <w:r w:rsidRPr="00351B7D">
        <w:rPr>
          <w:rFonts w:asciiTheme="minorBidi" w:hAnsiTheme="minorBidi"/>
          <w:sz w:val="16"/>
          <w:szCs w:val="16"/>
          <w:vertAlign w:val="superscript"/>
          <w:rtl/>
        </w:rPr>
        <w:t>3</w:t>
      </w:r>
      <w:r w:rsidRPr="00351B7D">
        <w:rPr>
          <w:rFonts w:asciiTheme="minorBidi" w:hAnsiTheme="minorBidi"/>
          <w:sz w:val="16"/>
          <w:szCs w:val="16"/>
          <w:rtl/>
        </w:rPr>
        <w:t xml:space="preserve"> מכת"י)</w:t>
      </w:r>
      <w:r w:rsidRPr="00351B7D">
        <w:rPr>
          <w:rFonts w:asciiTheme="minorBidi" w:hAnsiTheme="minorBidi"/>
          <w:rtl/>
        </w:rPr>
        <w:t xml:space="preserve"> והר"א ששון </w:t>
      </w:r>
      <w:r w:rsidRPr="00351B7D">
        <w:rPr>
          <w:rFonts w:asciiTheme="minorBidi" w:hAnsiTheme="minorBidi"/>
          <w:sz w:val="16"/>
          <w:szCs w:val="16"/>
          <w:rtl/>
        </w:rPr>
        <w:t>(סי' קיט)</w:t>
      </w:r>
      <w:r w:rsidRPr="00351B7D">
        <w:rPr>
          <w:rFonts w:asciiTheme="minorBidi" w:hAnsiTheme="minorBidi"/>
          <w:rtl/>
        </w:rPr>
        <w:t xml:space="preserve">- מותר להתייחד. </w:t>
      </w:r>
    </w:p>
    <w:p w14:paraId="2EF78BE6" w14:textId="77777777" w:rsidR="002E5BAD" w:rsidRPr="00351B7D" w:rsidRDefault="002E5BAD" w:rsidP="002E5BAD">
      <w:pPr>
        <w:rPr>
          <w:rFonts w:asciiTheme="minorBidi" w:hAnsiTheme="minorBidi"/>
          <w:color w:val="000000"/>
          <w:rtl/>
        </w:rPr>
      </w:pPr>
    </w:p>
    <w:p w14:paraId="69BEBC3C" w14:textId="77777777" w:rsidR="002E5BAD" w:rsidRPr="00351B7D" w:rsidRDefault="002E5BAD" w:rsidP="002E5BAD">
      <w:pPr>
        <w:pStyle w:val="2"/>
        <w:rPr>
          <w:rFonts w:asciiTheme="minorBidi" w:hAnsiTheme="minorBidi"/>
          <w:rtl/>
        </w:rPr>
      </w:pPr>
      <w:r w:rsidRPr="00351B7D">
        <w:rPr>
          <w:rFonts w:asciiTheme="minorBidi" w:hAnsiTheme="minorBidi"/>
          <w:rtl/>
        </w:rPr>
        <w:lastRenderedPageBreak/>
        <w:t>סעיף ב: התפסת מטלטלין.</w:t>
      </w:r>
    </w:p>
    <w:p w14:paraId="55484727" w14:textId="77777777" w:rsidR="002E5BAD" w:rsidRPr="00351B7D" w:rsidRDefault="002E5BAD" w:rsidP="002E5BAD">
      <w:pPr>
        <w:rPr>
          <w:rFonts w:asciiTheme="minorBidi" w:hAnsiTheme="minorBidi"/>
          <w:rtl/>
        </w:rPr>
      </w:pPr>
      <w:r w:rsidRPr="00351B7D">
        <w:rPr>
          <w:rFonts w:asciiTheme="minorBidi" w:hAnsiTheme="minorBidi"/>
          <w:b/>
          <w:bCs/>
          <w:rtl/>
        </w:rPr>
        <w:t>כתובות ז ע"א:</w:t>
      </w:r>
      <w:r w:rsidRPr="00351B7D">
        <w:rPr>
          <w:rFonts w:asciiTheme="minorBidi" w:hAnsiTheme="minorBidi"/>
          <w:rtl/>
        </w:rPr>
        <w:t xml:space="preserve"> רבי אמי שרא למיבעל בתחלה בשבת, אמרי ליה רבנן: והא לא כתיבא כתובתה! אמר להו: אתפסוה מטלטלין</w:t>
      </w:r>
      <w:r w:rsidRPr="00351B7D">
        <w:rPr>
          <w:rStyle w:val="a7"/>
          <w:rFonts w:asciiTheme="minorBidi" w:hAnsiTheme="minorBidi"/>
          <w:rtl/>
        </w:rPr>
        <w:footnoteReference w:id="904"/>
      </w:r>
      <w:r w:rsidRPr="00351B7D">
        <w:rPr>
          <w:rFonts w:asciiTheme="minorBidi" w:hAnsiTheme="minorBidi"/>
          <w:rtl/>
        </w:rPr>
        <w:t>.</w:t>
      </w:r>
      <w:r w:rsidRPr="00351B7D">
        <w:rPr>
          <w:rFonts w:asciiTheme="minorBidi" w:hAnsiTheme="minorBidi"/>
          <w:color w:val="000000"/>
          <w:sz w:val="16"/>
          <w:szCs w:val="16"/>
          <w:rtl/>
        </w:rPr>
        <w:t xml:space="preserve"> (וכ"פ הרמב"ם (פ"י מה"א ה"ט) רק שסיים וכ'- הרי זה מותר לבעול עד שיהיה לו פנאי לכתוב. וכ"כ הטור, וזאת אע"ג דאסור להתייחד עם הכלה קודם שיכתוב לה כתובה. וכ' הה"מ שהטעם שהתירו לעשות כן הוא מפני שחכמים תקנו שיהו כל נכסיו אחראין וערבאין לכתובתה)</w:t>
      </w:r>
    </w:p>
    <w:p w14:paraId="50DE7896" w14:textId="77777777" w:rsidR="002E5BAD" w:rsidRPr="00351B7D" w:rsidRDefault="002E5BAD" w:rsidP="002E5BAD">
      <w:pPr>
        <w:rPr>
          <w:rFonts w:asciiTheme="minorBidi" w:hAnsiTheme="minorBidi"/>
          <w:rtl/>
        </w:rPr>
      </w:pPr>
      <w:r w:rsidRPr="00351B7D">
        <w:rPr>
          <w:rFonts w:asciiTheme="minorBidi" w:hAnsiTheme="minorBidi"/>
          <w:b/>
          <w:bCs/>
          <w:rtl/>
        </w:rPr>
        <w:t>כתובות נו ע"ב:</w:t>
      </w:r>
      <w:r w:rsidRPr="00351B7D">
        <w:rPr>
          <w:rFonts w:asciiTheme="minorBidi" w:hAnsiTheme="minorBidi"/>
          <w:rtl/>
        </w:rPr>
        <w:t xml:space="preserve"> אין עושין כתובת אשה מטלטלין</w:t>
      </w:r>
      <w:r w:rsidRPr="00351B7D">
        <w:rPr>
          <w:rStyle w:val="a7"/>
          <w:rFonts w:asciiTheme="minorBidi" w:hAnsiTheme="minorBidi"/>
          <w:rtl/>
        </w:rPr>
        <w:footnoteReference w:id="905"/>
      </w:r>
      <w:r w:rsidRPr="00351B7D">
        <w:rPr>
          <w:rFonts w:asciiTheme="minorBidi" w:hAnsiTheme="minorBidi"/>
          <w:rtl/>
        </w:rPr>
        <w:t xml:space="preserve"> מפני תיקון העולם</w:t>
      </w:r>
      <w:r w:rsidRPr="00351B7D">
        <w:rPr>
          <w:rStyle w:val="a7"/>
          <w:rFonts w:asciiTheme="minorBidi" w:hAnsiTheme="minorBidi"/>
          <w:rtl/>
        </w:rPr>
        <w:footnoteReference w:id="906"/>
      </w:r>
      <w:r w:rsidRPr="00351B7D">
        <w:rPr>
          <w:rFonts w:asciiTheme="minorBidi" w:hAnsiTheme="minorBidi"/>
          <w:rtl/>
        </w:rPr>
        <w:t>, במה דברים אמורים בשלא קבל עליו אחריות</w:t>
      </w:r>
      <w:r w:rsidRPr="00351B7D">
        <w:rPr>
          <w:rStyle w:val="a7"/>
          <w:rFonts w:asciiTheme="minorBidi" w:hAnsiTheme="minorBidi"/>
          <w:rtl/>
        </w:rPr>
        <w:footnoteReference w:id="907"/>
      </w:r>
      <w:r w:rsidRPr="00351B7D">
        <w:rPr>
          <w:rFonts w:asciiTheme="minorBidi" w:hAnsiTheme="minorBidi"/>
          <w:rtl/>
        </w:rPr>
        <w:t>, אבל קבל עליו אחריות עושין, ואתא רבי יוסי למימר, כי קיבל עליו אחריות אמאי עושין? והלא אין קצובין</w:t>
      </w:r>
      <w:r w:rsidRPr="00351B7D">
        <w:rPr>
          <w:rStyle w:val="a7"/>
          <w:rFonts w:asciiTheme="minorBidi" w:hAnsiTheme="minorBidi"/>
          <w:rtl/>
        </w:rPr>
        <w:footnoteReference w:id="908"/>
      </w:r>
      <w:r w:rsidRPr="00351B7D">
        <w:rPr>
          <w:rFonts w:asciiTheme="minorBidi" w:hAnsiTheme="minorBidi"/>
          <w:rtl/>
        </w:rPr>
        <w:t xml:space="preserve"> ופוחתין.</w:t>
      </w:r>
    </w:p>
    <w:p w14:paraId="01C4EF08" w14:textId="77777777" w:rsidR="002E5BAD" w:rsidRPr="00351B7D" w:rsidRDefault="002E5BAD" w:rsidP="002E5BAD">
      <w:pPr>
        <w:rPr>
          <w:rFonts w:asciiTheme="minorBidi" w:hAnsiTheme="minorBidi"/>
          <w:u w:val="single"/>
          <w:rtl/>
        </w:rPr>
      </w:pPr>
      <w:r w:rsidRPr="00351B7D">
        <w:rPr>
          <w:rFonts w:asciiTheme="minorBidi" w:hAnsiTheme="minorBidi"/>
          <w:u w:val="single"/>
          <w:rtl/>
        </w:rPr>
        <w:t>כשמתפיס לה מטלטלין- האם צריך לקבל עליהם אחריות:</w:t>
      </w:r>
    </w:p>
    <w:p w14:paraId="7B12C5E4" w14:textId="77777777" w:rsidR="002E5BAD" w:rsidRPr="00351B7D" w:rsidRDefault="002E5BAD" w:rsidP="002E5BAD">
      <w:pPr>
        <w:pStyle w:val="ab"/>
        <w:numPr>
          <w:ilvl w:val="0"/>
          <w:numId w:val="142"/>
        </w:numPr>
        <w:rPr>
          <w:rFonts w:asciiTheme="minorBidi" w:hAnsiTheme="minorBidi"/>
        </w:rPr>
      </w:pPr>
      <w:r w:rsidRPr="00351B7D">
        <w:rPr>
          <w:rFonts w:asciiTheme="minorBidi" w:hAnsiTheme="minorBidi"/>
          <w:rtl/>
        </w:rPr>
        <w:t>תוס' וסמ"ג</w:t>
      </w:r>
      <w:r w:rsidRPr="00351B7D">
        <w:rPr>
          <w:rStyle w:val="a7"/>
          <w:rFonts w:asciiTheme="minorBidi" w:hAnsiTheme="minorBidi"/>
          <w:rtl/>
        </w:rPr>
        <w:footnoteReference w:id="909"/>
      </w:r>
      <w:r w:rsidRPr="00351B7D">
        <w:rPr>
          <w:rFonts w:asciiTheme="minorBidi" w:hAnsiTheme="minorBidi"/>
          <w:rtl/>
        </w:rPr>
        <w:t>- צריך שיקבל עליו אחריות אם יאבדו או יזולו, כר' יוסי דחייש דלמא פחתי</w:t>
      </w:r>
      <w:r w:rsidRPr="00351B7D">
        <w:rPr>
          <w:rStyle w:val="a7"/>
          <w:rFonts w:asciiTheme="minorBidi" w:hAnsiTheme="minorBidi"/>
          <w:rtl/>
        </w:rPr>
        <w:footnoteReference w:id="910"/>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1A3EC0AE" w14:textId="77777777" w:rsidR="002E5BAD" w:rsidRPr="00351B7D" w:rsidRDefault="002E5BAD" w:rsidP="002E5BAD">
      <w:pPr>
        <w:pStyle w:val="ab"/>
        <w:numPr>
          <w:ilvl w:val="0"/>
          <w:numId w:val="142"/>
        </w:numPr>
        <w:rPr>
          <w:rFonts w:asciiTheme="minorBidi" w:hAnsiTheme="minorBidi"/>
          <w:rtl/>
        </w:rPr>
      </w:pPr>
      <w:r w:rsidRPr="00351B7D">
        <w:rPr>
          <w:rFonts w:asciiTheme="minorBidi" w:hAnsiTheme="minorBidi"/>
          <w:rtl/>
        </w:rPr>
        <w:t>רי"ף רמב"ם רא"ש ושא"פ</w:t>
      </w:r>
      <w:r w:rsidRPr="00351B7D">
        <w:rPr>
          <w:rStyle w:val="a7"/>
          <w:rFonts w:asciiTheme="minorBidi" w:hAnsiTheme="minorBidi"/>
          <w:rtl/>
        </w:rPr>
        <w:footnoteReference w:id="911"/>
      </w:r>
      <w:r w:rsidRPr="00351B7D">
        <w:rPr>
          <w:rFonts w:asciiTheme="minorBidi" w:hAnsiTheme="minorBidi"/>
          <w:rtl/>
        </w:rPr>
        <w:t>- מזה שהשמיטו סוגיא זו</w:t>
      </w:r>
      <w:r w:rsidRPr="00351B7D">
        <w:rPr>
          <w:rFonts w:asciiTheme="minorBidi" w:hAnsiTheme="minorBidi"/>
          <w:sz w:val="16"/>
          <w:szCs w:val="16"/>
          <w:rtl/>
        </w:rPr>
        <w:t xml:space="preserve"> (שבדף נו:)</w:t>
      </w:r>
      <w:r w:rsidRPr="00351B7D">
        <w:rPr>
          <w:rFonts w:asciiTheme="minorBidi" w:hAnsiTheme="minorBidi"/>
          <w:rtl/>
        </w:rPr>
        <w:t>, ומזה שכתבו על עובדא דרבי אמי הנ"ל דלפי שעה מהני התפסת מטלטלין, משמע דס"ל דא"צ לקבל אחריות</w:t>
      </w:r>
      <w:r w:rsidRPr="00351B7D">
        <w:rPr>
          <w:rStyle w:val="a7"/>
          <w:rFonts w:asciiTheme="minorBidi" w:hAnsiTheme="minorBidi"/>
          <w:rtl/>
        </w:rPr>
        <w:footnoteReference w:id="912"/>
      </w:r>
      <w:r w:rsidRPr="00351B7D">
        <w:rPr>
          <w:rFonts w:asciiTheme="minorBidi" w:hAnsiTheme="minorBidi"/>
          <w:rtl/>
        </w:rPr>
        <w:t>, כת"ק דלא חייש דלמא פחתי</w:t>
      </w:r>
      <w:r w:rsidRPr="00351B7D">
        <w:rPr>
          <w:rStyle w:val="a7"/>
          <w:rFonts w:asciiTheme="minorBidi" w:hAnsiTheme="minorBidi"/>
          <w:rtl/>
        </w:rPr>
        <w:footnoteReference w:id="913"/>
      </w:r>
      <w:r w:rsidRPr="00351B7D">
        <w:rPr>
          <w:rFonts w:asciiTheme="minorBidi" w:hAnsiTheme="minorBidi"/>
          <w:rtl/>
        </w:rPr>
        <w:t>.</w:t>
      </w:r>
    </w:p>
    <w:p w14:paraId="74729F8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C6034AC" w14:textId="77777777" w:rsidR="002E5BAD" w:rsidRPr="00351B7D" w:rsidRDefault="002E5BAD" w:rsidP="002E5BAD">
      <w:pPr>
        <w:rPr>
          <w:rFonts w:asciiTheme="minorBidi" w:hAnsiTheme="minorBidi"/>
          <w:color w:val="000000"/>
          <w:sz w:val="18"/>
          <w:szCs w:val="18"/>
          <w:rtl/>
        </w:rPr>
      </w:pPr>
      <w:r w:rsidRPr="00351B7D">
        <w:rPr>
          <w:rFonts w:asciiTheme="minorBidi" w:hAnsiTheme="minorBidi"/>
          <w:rtl/>
        </w:rPr>
        <w:t>אם אינו יכול לכתוב לה כתובה כגון בשבת או ששכח</w:t>
      </w:r>
      <w:r w:rsidRPr="00351B7D">
        <w:rPr>
          <w:rStyle w:val="a7"/>
          <w:rFonts w:asciiTheme="minorBidi" w:hAnsiTheme="minorBidi"/>
          <w:color w:val="000000"/>
          <w:rtl/>
        </w:rPr>
        <w:footnoteReference w:id="914"/>
      </w:r>
      <w:r w:rsidRPr="00351B7D">
        <w:rPr>
          <w:rFonts w:asciiTheme="minorBidi" w:hAnsiTheme="minorBidi"/>
          <w:rtl/>
        </w:rPr>
        <w:t xml:space="preserve"> לכתבה יכול ליתן לה מטלטלין כנגד כתובתה</w:t>
      </w:r>
      <w:r w:rsidRPr="00351B7D">
        <w:rPr>
          <w:rStyle w:val="a7"/>
          <w:rFonts w:asciiTheme="minorBidi" w:hAnsiTheme="minorBidi"/>
          <w:color w:val="000000"/>
          <w:rtl/>
        </w:rPr>
        <w:footnoteReference w:id="915"/>
      </w:r>
      <w:r w:rsidRPr="00351B7D">
        <w:rPr>
          <w:rFonts w:asciiTheme="minorBidi" w:hAnsiTheme="minorBidi"/>
          <w:rtl/>
        </w:rPr>
        <w:t xml:space="preserve"> ויקבל עליו אחריות אם יאבדו או יוזלו ואז מותר לבעול עד שיהיה לו פנאי לכתוב</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(ואז כותב לה מיד (טור)).</w:t>
      </w:r>
    </w:p>
    <w:p w14:paraId="41D190E9"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color w:val="000000"/>
          <w:sz w:val="18"/>
          <w:szCs w:val="18"/>
          <w:rtl/>
        </w:rPr>
        <w:t xml:space="preserve"> </w:t>
      </w:r>
    </w:p>
    <w:p w14:paraId="1FB1202D" w14:textId="77777777" w:rsidR="002E5BAD" w:rsidRPr="00351B7D" w:rsidRDefault="002E5BAD" w:rsidP="002E5BAD">
      <w:pPr>
        <w:pStyle w:val="2"/>
        <w:rPr>
          <w:rFonts w:asciiTheme="minorBidi" w:hAnsiTheme="minorBidi"/>
          <w:rtl/>
        </w:rPr>
      </w:pPr>
      <w:r w:rsidRPr="00351B7D">
        <w:rPr>
          <w:rFonts w:asciiTheme="minorBidi" w:hAnsiTheme="minorBidi"/>
          <w:rtl/>
        </w:rPr>
        <w:t xml:space="preserve">סעיף ג: אין לאשה כתובה. </w:t>
      </w:r>
    </w:p>
    <w:p w14:paraId="692C168B" w14:textId="77777777" w:rsidR="002E5BAD" w:rsidRPr="00351B7D" w:rsidRDefault="002E5BAD" w:rsidP="002E5BAD">
      <w:pPr>
        <w:rPr>
          <w:rFonts w:asciiTheme="minorBidi" w:hAnsiTheme="minorBidi"/>
          <w:sz w:val="16"/>
          <w:szCs w:val="16"/>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אם רצה כותב לבתולה שטר של מאתים והיא כותבת</w:t>
      </w:r>
      <w:r w:rsidRPr="00351B7D">
        <w:rPr>
          <w:rStyle w:val="a7"/>
          <w:rFonts w:asciiTheme="minorBidi" w:hAnsiTheme="minorBidi"/>
          <w:rtl/>
        </w:rPr>
        <w:footnoteReference w:id="916"/>
      </w:r>
      <w:r w:rsidRPr="00351B7D">
        <w:rPr>
          <w:rFonts w:asciiTheme="minorBidi" w:hAnsiTheme="minorBidi"/>
          <w:rtl/>
        </w:rPr>
        <w:t xml:space="preserve"> התקבלתי ממך מנה, ולאלמנה מנה והיא כותבת התקבלתי ממך חמשים זוז. </w:t>
      </w:r>
      <w:r w:rsidRPr="00351B7D">
        <w:rPr>
          <w:rFonts w:asciiTheme="minorBidi" w:hAnsiTheme="minorBidi"/>
          <w:u w:val="single"/>
          <w:rtl/>
        </w:rPr>
        <w:t>רבי מאיר אומר:</w:t>
      </w:r>
      <w:r w:rsidRPr="00351B7D">
        <w:rPr>
          <w:rFonts w:asciiTheme="minorBidi" w:hAnsiTheme="minorBidi"/>
          <w:rtl/>
        </w:rPr>
        <w:t xml:space="preserve"> כל הפוחת לבתולה ממאתים, ולאלמנה ממנה הרי זו בעילת זנות.     </w:t>
      </w:r>
      <w:r w:rsidRPr="00351B7D">
        <w:rPr>
          <w:rFonts w:asciiTheme="minorBidi" w:hAnsiTheme="minorBidi"/>
          <w:u w:val="double"/>
          <w:rtl/>
        </w:rPr>
        <w:t>גמ'</w:t>
      </w:r>
      <w:r w:rsidRPr="00351B7D">
        <w:rPr>
          <w:rFonts w:asciiTheme="minorBidi" w:hAnsiTheme="minorBidi"/>
          <w:sz w:val="16"/>
          <w:szCs w:val="16"/>
          <w:u w:val="double"/>
          <w:rtl/>
        </w:rPr>
        <w:t xml:space="preserve"> (נו:)</w:t>
      </w:r>
      <w:r w:rsidRPr="00351B7D">
        <w:rPr>
          <w:rFonts w:asciiTheme="minorBidi" w:hAnsiTheme="minorBidi"/>
          <w:u w:val="double"/>
          <w:rtl/>
        </w:rPr>
        <w:t>:</w:t>
      </w:r>
      <w:r w:rsidRPr="00351B7D">
        <w:rPr>
          <w:rFonts w:asciiTheme="minorBidi" w:hAnsiTheme="minorBidi"/>
          <w:rtl/>
        </w:rPr>
        <w:t xml:space="preserve"> אחתיה דרמי בר חמא הות נסיבא לרב אויא, אירכס כתובתה</w:t>
      </w:r>
      <w:r w:rsidRPr="00351B7D">
        <w:rPr>
          <w:rStyle w:val="a7"/>
          <w:rFonts w:asciiTheme="minorBidi" w:hAnsiTheme="minorBidi"/>
          <w:rtl/>
        </w:rPr>
        <w:footnoteReference w:id="917"/>
      </w:r>
      <w:r w:rsidRPr="00351B7D">
        <w:rPr>
          <w:rFonts w:asciiTheme="minorBidi" w:hAnsiTheme="minorBidi"/>
          <w:rtl/>
        </w:rPr>
        <w:t xml:space="preserve">, אתו לקמיה דרב יוסף, </w:t>
      </w:r>
      <w:r w:rsidRPr="00351B7D">
        <w:rPr>
          <w:rFonts w:asciiTheme="minorBidi" w:hAnsiTheme="minorBidi"/>
          <w:u w:val="single"/>
          <w:rtl/>
        </w:rPr>
        <w:t>אמר להו</w:t>
      </w:r>
      <w:r w:rsidRPr="00351B7D">
        <w:rPr>
          <w:rFonts w:asciiTheme="minorBidi" w:hAnsiTheme="minorBidi"/>
          <w:rtl/>
        </w:rPr>
        <w:t>: הכי אמר רב יהודה אמר שמואל: זו דברי ר' מאיר</w:t>
      </w:r>
      <w:r w:rsidRPr="00351B7D">
        <w:rPr>
          <w:rStyle w:val="a7"/>
          <w:rFonts w:asciiTheme="minorBidi" w:hAnsiTheme="minorBidi"/>
          <w:rtl/>
        </w:rPr>
        <w:footnoteReference w:id="918"/>
      </w:r>
      <w:r w:rsidRPr="00351B7D">
        <w:rPr>
          <w:rFonts w:asciiTheme="minorBidi" w:hAnsiTheme="minorBidi"/>
          <w:rtl/>
        </w:rPr>
        <w:t>, אבל חכמים אומרים משהא אדם את אשתו שתים ושלש שנים בלא כתובה</w:t>
      </w:r>
      <w:r w:rsidRPr="00351B7D">
        <w:rPr>
          <w:rStyle w:val="a7"/>
          <w:rFonts w:asciiTheme="minorBidi" w:hAnsiTheme="minorBidi"/>
          <w:rtl/>
        </w:rPr>
        <w:footnoteReference w:id="919"/>
      </w:r>
      <w:r w:rsidRPr="00351B7D">
        <w:rPr>
          <w:rFonts w:asciiTheme="minorBidi" w:hAnsiTheme="minorBidi"/>
          <w:rtl/>
        </w:rPr>
        <w:t xml:space="preserve">. </w:t>
      </w:r>
      <w:r w:rsidRPr="00351B7D">
        <w:rPr>
          <w:rFonts w:asciiTheme="minorBidi" w:hAnsiTheme="minorBidi"/>
          <w:u w:val="single"/>
          <w:rtl/>
        </w:rPr>
        <w:t>אמר ליה אביי</w:t>
      </w:r>
      <w:r w:rsidRPr="00351B7D">
        <w:rPr>
          <w:rFonts w:asciiTheme="minorBidi" w:hAnsiTheme="minorBidi"/>
          <w:rtl/>
        </w:rPr>
        <w:t>, והא אמר רב נחמן אמר שמואל: הלכה כרבי מאיר בגזירותיו</w:t>
      </w:r>
      <w:r w:rsidRPr="00351B7D">
        <w:rPr>
          <w:rStyle w:val="a7"/>
          <w:rFonts w:asciiTheme="minorBidi" w:hAnsiTheme="minorBidi"/>
          <w:rtl/>
        </w:rPr>
        <w:footnoteReference w:id="920"/>
      </w:r>
      <w:r w:rsidRPr="00351B7D">
        <w:rPr>
          <w:rFonts w:asciiTheme="minorBidi" w:hAnsiTheme="minorBidi"/>
          <w:rtl/>
        </w:rPr>
        <w:t xml:space="preserve">! אי </w:t>
      </w:r>
      <w:r w:rsidRPr="00351B7D">
        <w:rPr>
          <w:rFonts w:asciiTheme="minorBidi" w:hAnsiTheme="minorBidi"/>
          <w:rtl/>
        </w:rPr>
        <w:lastRenderedPageBreak/>
        <w:t>הכי זיל כתוב לה</w:t>
      </w:r>
      <w:r w:rsidRPr="00351B7D">
        <w:rPr>
          <w:rStyle w:val="a7"/>
          <w:rFonts w:asciiTheme="minorBidi" w:hAnsiTheme="minorBidi"/>
          <w:rtl/>
        </w:rPr>
        <w:footnoteReference w:id="921"/>
      </w:r>
      <w:r w:rsidRPr="00351B7D">
        <w:rPr>
          <w:rFonts w:asciiTheme="minorBidi" w:hAnsiTheme="minorBidi"/>
          <w:rtl/>
        </w:rPr>
        <w:t xml:space="preserve">. </w:t>
      </w:r>
      <w:r w:rsidRPr="00351B7D">
        <w:rPr>
          <w:rFonts w:asciiTheme="minorBidi" w:hAnsiTheme="minorBidi"/>
          <w:color w:val="000000"/>
          <w:sz w:val="16"/>
          <w:szCs w:val="16"/>
          <w:rtl/>
        </w:rPr>
        <w:t>(וכ"פ הרמב"ם (פי"ז מה"א הי"ט) וז"ל-</w:t>
      </w:r>
      <w:r w:rsidRPr="00351B7D">
        <w:rPr>
          <w:rFonts w:asciiTheme="minorBidi" w:hAnsiTheme="minorBidi"/>
          <w:rtl/>
        </w:rPr>
        <w:t xml:space="preserve"> </w:t>
      </w:r>
      <w:r w:rsidRPr="00351B7D">
        <w:rPr>
          <w:rFonts w:asciiTheme="minorBidi" w:hAnsiTheme="minorBidi"/>
          <w:sz w:val="16"/>
          <w:szCs w:val="16"/>
          <w:rtl/>
        </w:rPr>
        <w:t>הכונס את האשה ולא כתב לה כתובה, או שכתב ואבד שטר הכתובה, או שמחלה כתובתה לבעלה, או שמכרה לו כתובתה, חוזר וכותב לה עיקר כתובה אם רצה לקיימה, לפי שאסור לו לאדם לשהות עם אשתו אפילו שעה אחת בלא כתובה</w:t>
      </w:r>
      <w:r w:rsidRPr="00351B7D">
        <w:rPr>
          <w:rStyle w:val="a7"/>
          <w:rFonts w:asciiTheme="minorBidi" w:hAnsiTheme="minorBidi"/>
          <w:sz w:val="18"/>
          <w:szCs w:val="18"/>
          <w:rtl/>
        </w:rPr>
        <w:footnoteReference w:id="922"/>
      </w:r>
      <w:r w:rsidRPr="00351B7D">
        <w:rPr>
          <w:rFonts w:asciiTheme="minorBidi" w:hAnsiTheme="minorBidi"/>
          <w:sz w:val="16"/>
          <w:szCs w:val="16"/>
          <w:rtl/>
        </w:rPr>
        <w:t>)</w:t>
      </w:r>
    </w:p>
    <w:p w14:paraId="5B69B52D" w14:textId="77777777" w:rsidR="002E5BAD" w:rsidRPr="00351B7D" w:rsidRDefault="002E5BAD" w:rsidP="002E5BAD">
      <w:pPr>
        <w:rPr>
          <w:rFonts w:asciiTheme="minorBidi" w:hAnsiTheme="minorBidi"/>
          <w:rtl/>
        </w:rPr>
      </w:pPr>
      <w:r w:rsidRPr="00351B7D">
        <w:rPr>
          <w:rFonts w:asciiTheme="minorBidi" w:hAnsiTheme="minorBidi"/>
          <w:u w:val="single"/>
          <w:rtl/>
        </w:rPr>
        <w:t>אוסף דינים לגבי כתובות שנאבדו:</w:t>
      </w:r>
      <w:r w:rsidRPr="00351B7D">
        <w:rPr>
          <w:rFonts w:asciiTheme="minorBidi" w:hAnsiTheme="minorBidi"/>
          <w:rtl/>
        </w:rPr>
        <w:t xml:space="preserve">   </w:t>
      </w:r>
      <w:r w:rsidRPr="00351B7D">
        <w:rPr>
          <w:rFonts w:asciiTheme="minorBidi" w:hAnsiTheme="minorBidi"/>
          <w:sz w:val="16"/>
          <w:szCs w:val="16"/>
          <w:rtl/>
        </w:rPr>
        <w:t>(ב"י סע' ג[ב], ודרכ"מ [אות י"ד])</w:t>
      </w:r>
      <w:r w:rsidRPr="00351B7D">
        <w:rPr>
          <w:rFonts w:asciiTheme="minorBidi" w:hAnsiTheme="minorBidi"/>
          <w:rtl/>
        </w:rPr>
        <w:t xml:space="preserve"> </w:t>
      </w:r>
    </w:p>
    <w:p w14:paraId="015861A8" w14:textId="77777777" w:rsidR="002E5BAD" w:rsidRPr="00351B7D" w:rsidRDefault="002E5BAD" w:rsidP="002E5BAD">
      <w:pPr>
        <w:pStyle w:val="ab"/>
        <w:numPr>
          <w:ilvl w:val="0"/>
          <w:numId w:val="143"/>
        </w:numPr>
        <w:rPr>
          <w:rFonts w:asciiTheme="minorBidi" w:hAnsiTheme="minorBidi"/>
        </w:rPr>
      </w:pPr>
      <w:r w:rsidRPr="00351B7D">
        <w:rPr>
          <w:rFonts w:asciiTheme="minorBidi" w:hAnsiTheme="minorBidi"/>
          <w:rtl/>
        </w:rPr>
        <w:t>תשובות הגאונים</w:t>
      </w:r>
      <w:r w:rsidRPr="00351B7D">
        <w:rPr>
          <w:rStyle w:val="a7"/>
          <w:rFonts w:asciiTheme="minorBidi" w:hAnsiTheme="minorBidi"/>
          <w:rtl/>
        </w:rPr>
        <w:footnoteReference w:id="923"/>
      </w:r>
      <w:r w:rsidRPr="00351B7D">
        <w:rPr>
          <w:rFonts w:asciiTheme="minorBidi" w:hAnsiTheme="minorBidi"/>
          <w:rtl/>
        </w:rPr>
        <w:t xml:space="preserve">- עיר שכבשוה גוים ואבדו כתובותיהן, אילו כתובה אחת או שתים או שלש לבד אבדו מוציאין ארבע או חמש מכתובות קרובותיה ונותנים לה כפחותה שבהם, עכשיו שמאורע זה אירע לכל בני המדינה כך היא תקנת הדבר שיסכימו זקני המדינה ויחוקו חוק לפי מה שהיו יודעים מנהג מדינתם העשיר לפי עשרו והעני לפי עניו והבינוניים לפי מה שהם ויחדש כל אחד כתובה לפי החוק שיחוקו ומי שמת בעלה ועדיין לא גבתה כתובה יחוקו לפי מה שיראו ויגזרו הזקנים עליהם גזירה וכל אשר לא יקבל ינדוהו ויחרימוהו. </w:t>
      </w:r>
    </w:p>
    <w:p w14:paraId="36A7297F" w14:textId="77777777" w:rsidR="002E5BAD" w:rsidRPr="00351B7D" w:rsidRDefault="002E5BAD" w:rsidP="002E5BAD">
      <w:pPr>
        <w:pStyle w:val="ab"/>
        <w:numPr>
          <w:ilvl w:val="0"/>
          <w:numId w:val="143"/>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924"/>
      </w:r>
      <w:r w:rsidRPr="00351B7D">
        <w:rPr>
          <w:rFonts w:asciiTheme="minorBidi" w:hAnsiTheme="minorBidi"/>
          <w:rtl/>
        </w:rPr>
        <w:t>- בענין הגולים צריך כל אחד לחדש כתובה ואפי' לא תפס כתובה לסטים מזויין ושמא ימצאוה למחר.</w:t>
      </w:r>
    </w:p>
    <w:p w14:paraId="45EFC135" w14:textId="77777777" w:rsidR="002E5BAD" w:rsidRPr="00351B7D" w:rsidRDefault="002E5BAD" w:rsidP="002E5BAD">
      <w:pPr>
        <w:pStyle w:val="ab"/>
        <w:numPr>
          <w:ilvl w:val="0"/>
          <w:numId w:val="143"/>
        </w:numPr>
        <w:rPr>
          <w:rFonts w:asciiTheme="minorBidi" w:hAnsiTheme="minorBidi"/>
          <w:rtl/>
        </w:rPr>
      </w:pPr>
      <w:r w:rsidRPr="00351B7D">
        <w:rPr>
          <w:rFonts w:asciiTheme="minorBidi" w:hAnsiTheme="minorBidi"/>
          <w:rtl/>
        </w:rPr>
        <w:t xml:space="preserve">מהרי"ק </w:t>
      </w:r>
      <w:r w:rsidRPr="00351B7D">
        <w:rPr>
          <w:rFonts w:asciiTheme="minorBidi" w:hAnsiTheme="minorBidi"/>
          <w:sz w:val="16"/>
          <w:szCs w:val="16"/>
          <w:rtl/>
        </w:rPr>
        <w:t>(בשו"ת סי' קטז)</w:t>
      </w:r>
      <w:r w:rsidRPr="00351B7D">
        <w:rPr>
          <w:rFonts w:asciiTheme="minorBidi" w:hAnsiTheme="minorBidi"/>
          <w:rtl/>
        </w:rPr>
        <w:t xml:space="preserve">- כרקום שכבש העיר הכתובות בחזקת אבודות וצריך לכתוב לאשתו אחרת אע"ג דיש לומר שמא יחזירו להם כתובתן </w:t>
      </w:r>
      <w:r w:rsidRPr="00351B7D">
        <w:rPr>
          <w:rFonts w:asciiTheme="minorBidi" w:hAnsiTheme="minorBidi"/>
          <w:sz w:val="16"/>
          <w:szCs w:val="16"/>
          <w:rtl/>
        </w:rPr>
        <w:t>(ועיין שם שהאריך בזה והביא ראיה מדברי הרשב"א שכתב ב"י)</w:t>
      </w:r>
      <w:r w:rsidRPr="00351B7D">
        <w:rPr>
          <w:rFonts w:asciiTheme="minorBidi" w:hAnsiTheme="minorBidi"/>
          <w:rtl/>
        </w:rPr>
        <w:t>.</w:t>
      </w:r>
    </w:p>
    <w:p w14:paraId="19D3EBEB" w14:textId="77777777" w:rsidR="002E5BAD" w:rsidRPr="00351B7D" w:rsidRDefault="002E5BAD" w:rsidP="002E5BAD">
      <w:pPr>
        <w:rPr>
          <w:rFonts w:asciiTheme="minorBidi" w:hAnsiTheme="minorBidi"/>
          <w:u w:val="single"/>
          <w:rtl/>
        </w:rPr>
      </w:pPr>
      <w:r w:rsidRPr="00351B7D">
        <w:rPr>
          <w:rFonts w:asciiTheme="minorBidi" w:hAnsiTheme="minorBidi"/>
          <w:u w:val="single"/>
          <w:rtl/>
        </w:rPr>
        <w:t>אשה שמחלה על כתובתה, מתי מחילתה בעלת תוקף</w:t>
      </w:r>
      <w:r w:rsidRPr="00351B7D">
        <w:rPr>
          <w:rFonts w:asciiTheme="minorBidi" w:hAnsiTheme="minorBidi"/>
          <w:sz w:val="16"/>
          <w:szCs w:val="16"/>
          <w:u w:val="single"/>
          <w:rtl/>
        </w:rPr>
        <w:t xml:space="preserve"> (כך שבעלה יתחייב לכתוב לה עיקר כתובה מחדש)</w:t>
      </w:r>
      <w:r w:rsidRPr="00351B7D">
        <w:rPr>
          <w:rFonts w:asciiTheme="minorBidi" w:hAnsiTheme="minorBidi"/>
          <w:u w:val="single"/>
          <w:rtl/>
        </w:rPr>
        <w:t>:</w:t>
      </w:r>
    </w:p>
    <w:p w14:paraId="720E4BCB" w14:textId="77777777" w:rsidR="002E5BAD" w:rsidRPr="00351B7D" w:rsidRDefault="002E5BAD" w:rsidP="002E5BAD">
      <w:pPr>
        <w:pStyle w:val="ab"/>
        <w:numPr>
          <w:ilvl w:val="0"/>
          <w:numId w:val="144"/>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(פי"ז מה"א הי"ט)</w:t>
      </w:r>
      <w:r w:rsidRPr="00351B7D">
        <w:rPr>
          <w:rFonts w:asciiTheme="minorBidi" w:hAnsiTheme="minorBidi"/>
          <w:rtl/>
        </w:rPr>
        <w:t>- "המוחלת כתובתה לבעלה איבדה כל תנאי כתובתה ואפילו מזונות אין לה עליו</w:t>
      </w:r>
      <w:r w:rsidRPr="00351B7D">
        <w:rPr>
          <w:rStyle w:val="a7"/>
          <w:rFonts w:asciiTheme="minorBidi" w:hAnsiTheme="minorBidi"/>
          <w:rtl/>
        </w:rPr>
        <w:footnoteReference w:id="925"/>
      </w:r>
      <w:r w:rsidRPr="00351B7D">
        <w:rPr>
          <w:rFonts w:asciiTheme="minorBidi" w:hAnsiTheme="minorBidi"/>
          <w:rtl/>
        </w:rPr>
        <w:t xml:space="preserve">, ומוחלת כתובתה אינה צריכה קנין ולא עדים... אלא </w:t>
      </w:r>
      <w:r w:rsidRPr="00351B7D">
        <w:rPr>
          <w:rFonts w:asciiTheme="minorBidi" w:hAnsiTheme="minorBidi"/>
          <w:u w:val="single"/>
          <w:rtl/>
        </w:rPr>
        <w:t>בדברים בלבד</w:t>
      </w:r>
      <w:r w:rsidRPr="00351B7D">
        <w:rPr>
          <w:rFonts w:asciiTheme="minorBidi" w:hAnsiTheme="minorBidi"/>
          <w:rtl/>
        </w:rPr>
        <w:t xml:space="preserve"> והוא שיהיו דברים שהדעת סומכת עליהן ולא יהיו דברי שחוק והתול או דברי תימה אלא בדעת נכונה".</w:t>
      </w:r>
    </w:p>
    <w:p w14:paraId="297E9825" w14:textId="77777777" w:rsidR="002E5BAD" w:rsidRPr="00351B7D" w:rsidRDefault="002E5BAD" w:rsidP="002E5BAD">
      <w:pPr>
        <w:pStyle w:val="ab"/>
        <w:numPr>
          <w:ilvl w:val="0"/>
          <w:numId w:val="144"/>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(ב"ק סי' צ"ג)</w:t>
      </w:r>
      <w:r w:rsidRPr="00351B7D">
        <w:rPr>
          <w:rFonts w:asciiTheme="minorBidi" w:hAnsiTheme="minorBidi"/>
          <w:rtl/>
        </w:rPr>
        <w:t xml:space="preserve"> וטור- </w:t>
      </w:r>
      <w:r w:rsidRPr="00351B7D">
        <w:rPr>
          <w:rFonts w:asciiTheme="minorBidi" w:hAnsiTheme="minorBidi"/>
          <w:color w:val="000000"/>
          <w:rtl/>
        </w:rPr>
        <w:t xml:space="preserve">"אם כתב לה כתובה ונאבדה או שמחלה לו עליה </w:t>
      </w:r>
      <w:r w:rsidRPr="00351B7D">
        <w:rPr>
          <w:rFonts w:asciiTheme="minorBidi" w:hAnsiTheme="minorBidi"/>
          <w:color w:val="000000"/>
          <w:u w:val="single"/>
          <w:rtl/>
        </w:rPr>
        <w:t>שכתבה לו</w:t>
      </w:r>
      <w:r w:rsidRPr="00351B7D">
        <w:rPr>
          <w:rFonts w:asciiTheme="minorBidi" w:hAnsiTheme="minorBidi"/>
          <w:color w:val="000000"/>
          <w:rtl/>
        </w:rPr>
        <w:t xml:space="preserve"> התקבלתי כתובתי צריך לכתוב אחרת בעיקר הכתובה שאסור לאדם לשהות...</w:t>
      </w:r>
      <w:r w:rsidRPr="00351B7D">
        <w:rPr>
          <w:rFonts w:asciiTheme="minorBidi" w:hAnsiTheme="minorBidi"/>
          <w:sz w:val="16"/>
          <w:szCs w:val="16"/>
          <w:rtl/>
        </w:rPr>
        <w:t xml:space="preserve"> (ל' הטור)</w:t>
      </w:r>
      <w:r w:rsidRPr="00351B7D">
        <w:rPr>
          <w:rStyle w:val="a7"/>
          <w:rFonts w:asciiTheme="minorBidi" w:hAnsiTheme="minorBidi"/>
          <w:rtl/>
        </w:rPr>
        <w:footnoteReference w:id="926"/>
      </w:r>
      <w:r w:rsidRPr="00351B7D">
        <w:rPr>
          <w:rFonts w:asciiTheme="minorBidi" w:hAnsiTheme="minorBidi"/>
          <w:rtl/>
        </w:rPr>
        <w:t>".</w:t>
      </w:r>
      <w:r w:rsidRPr="00351B7D">
        <w:rPr>
          <w:rFonts w:asciiTheme="minorBidi" w:hAnsiTheme="minorBidi"/>
          <w:color w:val="E36C0A" w:themeColor="accent6" w:themeShade="BF"/>
          <w:rtl/>
        </w:rPr>
        <w:t xml:space="preserve"> (וכ"כ בשו"ע)</w:t>
      </w:r>
    </w:p>
    <w:p w14:paraId="789F7E6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C15A1D"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rtl/>
        </w:rPr>
        <w:t>אם כתב לה כתובה ונאבדה או שמחלה לו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(ודוקא</w:t>
      </w:r>
      <w:r w:rsidRPr="00351B7D">
        <w:rPr>
          <w:rStyle w:val="a7"/>
          <w:rFonts w:asciiTheme="minorBidi" w:hAnsiTheme="minorBidi"/>
          <w:color w:val="000000"/>
          <w:rtl/>
        </w:rPr>
        <w:footnoteReference w:id="927"/>
      </w:r>
      <w:r w:rsidRPr="00351B7D">
        <w:rPr>
          <w:rFonts w:asciiTheme="minorBidi" w:hAnsiTheme="minorBidi"/>
          <w:color w:val="000000"/>
          <w:sz w:val="18"/>
          <w:szCs w:val="18"/>
          <w:rtl/>
        </w:rPr>
        <w:t>)</w:t>
      </w:r>
      <w:r w:rsidRPr="00351B7D">
        <w:rPr>
          <w:rFonts w:asciiTheme="minorBidi" w:hAnsiTheme="minorBidi"/>
          <w:rtl/>
        </w:rPr>
        <w:t xml:space="preserve"> שכתבה לו התקבלתי כתובתי צריך לכתוב אחרת בעיקר הכתובה</w:t>
      </w:r>
      <w:r w:rsidRPr="00351B7D">
        <w:rPr>
          <w:rStyle w:val="a7"/>
          <w:rFonts w:asciiTheme="minorBidi" w:hAnsiTheme="minorBidi"/>
          <w:color w:val="000000"/>
          <w:rtl/>
        </w:rPr>
        <w:footnoteReference w:id="928"/>
      </w:r>
      <w:r w:rsidRPr="00351B7D">
        <w:rPr>
          <w:rFonts w:asciiTheme="minorBidi" w:hAnsiTheme="minorBidi"/>
          <w:rtl/>
        </w:rPr>
        <w:t xml:space="preserve"> שאסור לאדם לדור עם אשתו שעה אחת בלא כתובה.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עיר שכבשוהו כרכום או שגלו מן העיר ואבדו הנשים הכתובות שלהם צריכים לחדש נשותיהם כתובתיהם אע"פ שיש לומר שמא ימצאו אח"כ כתובותיהם או יחזרו להם מ"מ מאחר שהכתובות בחזקת אבודות צריכים כתובות אחרות</w:t>
      </w:r>
      <w:r w:rsidRPr="00351B7D">
        <w:rPr>
          <w:rStyle w:val="a7"/>
          <w:rFonts w:asciiTheme="minorBidi" w:hAnsiTheme="minorBidi"/>
          <w:color w:val="000000"/>
          <w:sz w:val="18"/>
          <w:szCs w:val="18"/>
          <w:rtl/>
        </w:rPr>
        <w:footnoteReference w:id="929"/>
      </w:r>
      <w:r w:rsidRPr="00351B7D">
        <w:rPr>
          <w:rFonts w:asciiTheme="minorBidi" w:hAnsiTheme="minorBidi"/>
          <w:color w:val="000000"/>
          <w:sz w:val="18"/>
          <w:szCs w:val="18"/>
          <w:rtl/>
        </w:rPr>
        <w:t>, ואם אינו ידוע סך הכתובות אם ישארו קצתן אזלינן בתרייהו, ואם לאו דנין על פי זקני העיר ולפי המנהג העשיר לפי עשרו</w:t>
      </w:r>
      <w:r w:rsidRPr="00351B7D">
        <w:rPr>
          <w:rStyle w:val="a7"/>
          <w:rFonts w:asciiTheme="minorBidi" w:hAnsiTheme="minorBidi"/>
          <w:color w:val="000000"/>
          <w:sz w:val="18"/>
          <w:szCs w:val="18"/>
          <w:rtl/>
        </w:rPr>
        <w:footnoteReference w:id="930"/>
      </w:r>
      <w:r w:rsidRPr="00351B7D">
        <w:rPr>
          <w:rFonts w:asciiTheme="minorBidi" w:hAnsiTheme="minorBidi"/>
          <w:color w:val="000000"/>
          <w:sz w:val="18"/>
          <w:szCs w:val="18"/>
          <w:rtl/>
        </w:rPr>
        <w:t xml:space="preserve"> והעני לפי עניו </w:t>
      </w:r>
      <w:r w:rsidRPr="00351B7D">
        <w:rPr>
          <w:rFonts w:asciiTheme="minorBidi" w:hAnsiTheme="minorBidi"/>
          <w:color w:val="000000"/>
          <w:sz w:val="16"/>
          <w:szCs w:val="16"/>
          <w:rtl/>
        </w:rPr>
        <w:t>(ב"י בשם תשו' הגאונים)</w:t>
      </w:r>
      <w:r w:rsidRPr="00351B7D">
        <w:rPr>
          <w:rFonts w:asciiTheme="minorBidi" w:hAnsiTheme="minorBidi"/>
          <w:color w:val="000000"/>
          <w:sz w:val="18"/>
          <w:szCs w:val="18"/>
          <w:rtl/>
        </w:rPr>
        <w:t xml:space="preserve">. וכשנאבדה הכתובה ובא לכתוב לה כתובה אחרת צריך לכתוב לה כתובה גדולה כראשונה </w:t>
      </w:r>
      <w:r w:rsidRPr="00351B7D">
        <w:rPr>
          <w:rFonts w:asciiTheme="minorBidi" w:hAnsiTheme="minorBidi"/>
          <w:color w:val="000000"/>
          <w:sz w:val="16"/>
          <w:szCs w:val="16"/>
          <w:rtl/>
        </w:rPr>
        <w:t>(מהרי"ק שורש קטז)</w:t>
      </w:r>
      <w:r w:rsidRPr="00351B7D">
        <w:rPr>
          <w:rFonts w:asciiTheme="minorBidi" w:hAnsiTheme="minorBidi"/>
          <w:color w:val="000000"/>
          <w:sz w:val="18"/>
          <w:szCs w:val="18"/>
          <w:rtl/>
        </w:rPr>
        <w:t>. ועיין לקמן סי' קע"ז</w:t>
      </w:r>
      <w:r w:rsidRPr="00351B7D">
        <w:rPr>
          <w:rStyle w:val="a7"/>
          <w:rFonts w:asciiTheme="minorBidi" w:hAnsiTheme="minorBidi"/>
          <w:color w:val="000000"/>
          <w:sz w:val="18"/>
          <w:szCs w:val="18"/>
          <w:rtl/>
        </w:rPr>
        <w:footnoteReference w:id="931"/>
      </w:r>
      <w:r w:rsidRPr="00351B7D">
        <w:rPr>
          <w:rFonts w:asciiTheme="minorBidi" w:hAnsiTheme="minorBidi"/>
          <w:color w:val="000000"/>
          <w:sz w:val="18"/>
          <w:szCs w:val="18"/>
          <w:rtl/>
        </w:rPr>
        <w:t xml:space="preserve"> דבמקום שאין מגרשין רק מרצון האשה אין צריך לכתוב כתובה, א"כ בזמן הזה במדינות אלו שאין מגרשין בעל כרחה של אשה משום חרם רבינו גרשום וכמו שיתבאר לקמן סימן קי"ט היה אפשר להקל בכתיבת הכתובה אבל אין המנהג כן ואין לשנות </w:t>
      </w:r>
      <w:r w:rsidRPr="00351B7D">
        <w:rPr>
          <w:rFonts w:asciiTheme="minorBidi" w:hAnsiTheme="minorBidi"/>
          <w:color w:val="000000"/>
          <w:sz w:val="16"/>
          <w:szCs w:val="16"/>
          <w:rtl/>
        </w:rPr>
        <w:t>(ד"ע)</w:t>
      </w:r>
      <w:r w:rsidRPr="00351B7D">
        <w:rPr>
          <w:rFonts w:asciiTheme="minorBidi" w:hAnsiTheme="minorBidi"/>
          <w:color w:val="000000"/>
          <w:sz w:val="18"/>
          <w:szCs w:val="18"/>
          <w:rtl/>
        </w:rPr>
        <w:t xml:space="preserve">. </w:t>
      </w:r>
    </w:p>
    <w:p w14:paraId="29AAC79A" w14:textId="77777777" w:rsidR="002E5BAD" w:rsidRPr="00351B7D" w:rsidRDefault="002E5BAD" w:rsidP="002E5BAD">
      <w:pPr>
        <w:rPr>
          <w:rFonts w:asciiTheme="minorBidi" w:hAnsiTheme="minorBidi"/>
          <w:sz w:val="16"/>
          <w:szCs w:val="16"/>
          <w:rtl/>
        </w:rPr>
      </w:pPr>
      <w:r w:rsidRPr="00351B7D">
        <w:rPr>
          <w:rFonts w:asciiTheme="minorBidi" w:hAnsiTheme="minorBidi"/>
          <w:u w:val="single"/>
          <w:rtl/>
        </w:rPr>
        <w:t>כתובה שנאבדה, וכתב חדשה והפחית את הסכום, והאשה לא מיחתה, ונמצאה הכתובה הראשונה:</w:t>
      </w:r>
      <w:r w:rsidRPr="00351B7D">
        <w:rPr>
          <w:rFonts w:asciiTheme="minorBidi" w:hAnsiTheme="minorBidi"/>
          <w:rtl/>
        </w:rPr>
        <w:t xml:space="preserve"> </w:t>
      </w:r>
      <w:r w:rsidRPr="00351B7D">
        <w:rPr>
          <w:rFonts w:asciiTheme="minorBidi" w:hAnsiTheme="minorBidi"/>
          <w:sz w:val="16"/>
          <w:szCs w:val="16"/>
          <w:rtl/>
        </w:rPr>
        <w:t>(פת"ש סק"ג)</w:t>
      </w:r>
    </w:p>
    <w:p w14:paraId="17B83A36"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שו"ת מוצל מאש</w:t>
      </w:r>
      <w:r w:rsidRPr="00351B7D">
        <w:rPr>
          <w:rFonts w:asciiTheme="minorBidi" w:hAnsiTheme="minorBidi"/>
          <w:sz w:val="16"/>
          <w:szCs w:val="16"/>
          <w:rtl/>
        </w:rPr>
        <w:t xml:space="preserve"> (סי' כא)</w:t>
      </w:r>
      <w:r w:rsidRPr="00351B7D">
        <w:rPr>
          <w:rFonts w:asciiTheme="minorBidi" w:hAnsiTheme="minorBidi"/>
          <w:rtl/>
        </w:rPr>
        <w:t xml:space="preserve">- מי שאבדה שטר כתובתה וכתב לה בעלה כתובה אחרת והכתובה הראשונה היתה עשרת אלפים לבנים ועכשיו כתב לה חמשת אלפים ולא מיחתה האשה ולא קפדה כלל, אם אח"כ תמצא </w:t>
      </w:r>
      <w:r w:rsidRPr="00351B7D">
        <w:rPr>
          <w:rFonts w:asciiTheme="minorBidi" w:hAnsiTheme="minorBidi"/>
          <w:rtl/>
        </w:rPr>
        <w:lastRenderedPageBreak/>
        <w:t>הכתובה הראשונה ותתגרש או תתאלמן אם נאמר שכתובה הראשונה כבר נמחל שעבודה או נאמר דכיון שהיתה בטעות שחשבה שהיא אבודה אבל עכשיו שנמצאת עדיין שעבוד החוב הראשון קיים. והשיב דאם בכתובה השניה אינו כתוב כלל בשביל נדוניא או תוספת אלא סתם כתב לה ה' אלפים לבנים מפני שאמרו חז"ל אסור לשהות עם אשתו שעה א' בלא כתובה לא מבעיא אם נמצאת אח"כ כתובה הא' דמעולם לא נמחל רק שעבוד המנה או מאתים הראשונים ועתה הרי פירש שבעבור האיסור עשה לה כתובה וזה אינו רק למנה ומאתים שזהו האיסור דוקא אבל נדוניא ושאר דברים שהם מלוה וחוב גמור עליו לא נמחל השעבוד בשביל שכתב כתובה אחרת בעבור המנה ומאתים ומה שכתב חמשת אלפים אף על גב שהי' מספיק המנה ומאתים יש לנו לומר שהוסיף לה כמ"ש ז"ל אם רצה להוסיף כו', ואפילו שהכתובה הראשונה לא נמצאת כלל אם אין הכחשה ביניהם רק שהבעל טוען שכיון שנכתב כתוב' אחרת נמחל שעבוד' לאו כל כמיני', אבל אם הזכיר בתוך הכתובה החדשה שבשביל נדוניא ותוספת כתב לה זה והיא ידעה זה וקבילת הא ודאי דבטלה לה כתובה הראשונה ואפילו נמצאת חספא בעלמא הוא.</w:t>
      </w:r>
    </w:p>
    <w:p w14:paraId="119DE63D" w14:textId="77777777" w:rsidR="002E5BAD" w:rsidRPr="00351B7D" w:rsidRDefault="002E5BAD" w:rsidP="002E5BAD">
      <w:pPr>
        <w:rPr>
          <w:rFonts w:asciiTheme="minorBidi" w:hAnsiTheme="minorBidi"/>
          <w:color w:val="FF0000"/>
          <w:rtl/>
        </w:rPr>
      </w:pPr>
      <w:r w:rsidRPr="00351B7D">
        <w:rPr>
          <w:rFonts w:asciiTheme="minorBidi" w:hAnsiTheme="minorBidi"/>
          <w:color w:val="FF0000"/>
          <w:rtl/>
        </w:rPr>
        <w:t>בחזרה צריך לחזור על האחרונים בפנים</w:t>
      </w:r>
    </w:p>
    <w:p w14:paraId="7196639C" w14:textId="77777777" w:rsidR="002E5BAD" w:rsidRPr="00351B7D" w:rsidRDefault="002E5BAD" w:rsidP="002E5BAD">
      <w:pPr>
        <w:rPr>
          <w:rFonts w:asciiTheme="minorBidi" w:hAnsiTheme="minorBidi"/>
          <w:color w:val="000000"/>
          <w:rtl/>
        </w:rPr>
      </w:pPr>
    </w:p>
    <w:p w14:paraId="31785361" w14:textId="77777777" w:rsidR="002E5BAD" w:rsidRPr="00351B7D" w:rsidRDefault="002E5BAD" w:rsidP="002E5BAD">
      <w:pPr>
        <w:pStyle w:val="2"/>
        <w:rPr>
          <w:rFonts w:asciiTheme="minorBidi" w:hAnsiTheme="minorBidi"/>
          <w:rtl/>
        </w:rPr>
      </w:pPr>
      <w:r w:rsidRPr="00351B7D">
        <w:rPr>
          <w:rFonts w:asciiTheme="minorBidi" w:hAnsiTheme="minorBidi"/>
          <w:rtl/>
        </w:rPr>
        <w:t>סעיף ד: איזה תאריך כותבים בכתובה החדשה.</w:t>
      </w:r>
    </w:p>
    <w:p w14:paraId="702385E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D3FA2F"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rtl/>
        </w:rPr>
        <w:t>בנאבדה אי ידעי סהדי זמנא קמא כתבי ההוא זמנא, ואי לא ידעי כתבי מהשתא, ובמוחלת אין כותבין אלא מזמן של עכשיו</w:t>
      </w:r>
      <w:r w:rsidRPr="00351B7D">
        <w:rPr>
          <w:rStyle w:val="a7"/>
          <w:rFonts w:asciiTheme="minorBidi" w:hAnsiTheme="minorBidi"/>
          <w:color w:val="000000"/>
          <w:rtl/>
        </w:rPr>
        <w:footnoteReference w:id="932"/>
      </w:r>
      <w:r w:rsidRPr="00351B7D">
        <w:rPr>
          <w:rFonts w:asciiTheme="minorBidi" w:hAnsiTheme="minorBidi"/>
          <w:color w:val="000000"/>
          <w:rtl/>
        </w:rPr>
        <w:t>.</w:t>
      </w:r>
      <w:r w:rsidRPr="00351B7D">
        <w:rPr>
          <w:rFonts w:asciiTheme="minorBidi" w:hAnsiTheme="minorBidi"/>
          <w:color w:val="000000"/>
          <w:sz w:val="16"/>
          <w:szCs w:val="16"/>
          <w:rtl/>
        </w:rPr>
        <w:t xml:space="preserve">   {בהעי"ט </w:t>
      </w:r>
      <w:r w:rsidRPr="00351B7D">
        <w:rPr>
          <w:rFonts w:asciiTheme="minorBidi" w:hAnsiTheme="minorBidi"/>
          <w:color w:val="000000"/>
          <w:sz w:val="14"/>
          <w:szCs w:val="14"/>
          <w:rtl/>
        </w:rPr>
        <w:t>[ח"א אות כ כתובות לא ע"א]</w:t>
      </w:r>
      <w:r w:rsidRPr="00351B7D">
        <w:rPr>
          <w:rFonts w:asciiTheme="minorBidi" w:hAnsiTheme="minorBidi"/>
          <w:sz w:val="16"/>
          <w:szCs w:val="16"/>
          <w:rtl/>
        </w:rPr>
        <w:t>}</w:t>
      </w:r>
    </w:p>
    <w:p w14:paraId="683190D9" w14:textId="77777777" w:rsidR="002E5BAD" w:rsidRPr="00351B7D" w:rsidRDefault="002E5BAD" w:rsidP="002E5BAD">
      <w:pPr>
        <w:rPr>
          <w:rFonts w:asciiTheme="minorBidi" w:hAnsiTheme="minorBidi"/>
          <w:color w:val="000000"/>
          <w:rtl/>
        </w:rPr>
      </w:pPr>
    </w:p>
    <w:p w14:paraId="508EC260" w14:textId="77777777" w:rsidR="002E5BAD" w:rsidRPr="00351B7D" w:rsidRDefault="002E5BAD" w:rsidP="002E5BAD">
      <w:pPr>
        <w:pStyle w:val="2"/>
        <w:rPr>
          <w:rFonts w:asciiTheme="minorBidi" w:hAnsiTheme="minorBidi"/>
          <w:rtl/>
        </w:rPr>
      </w:pPr>
      <w:r w:rsidRPr="00351B7D">
        <w:rPr>
          <w:rFonts w:asciiTheme="minorBidi" w:hAnsiTheme="minorBidi"/>
          <w:rtl/>
        </w:rPr>
        <w:t>סעיף ה: מכרה כתובתה לבעלה/לאחר.</w:t>
      </w:r>
    </w:p>
    <w:p w14:paraId="0FC3CC26" w14:textId="77777777" w:rsidR="002E5BAD" w:rsidRPr="00351B7D" w:rsidRDefault="002E5BAD" w:rsidP="002E5BAD">
      <w:pPr>
        <w:rPr>
          <w:rFonts w:asciiTheme="minorBidi" w:hAnsiTheme="minorBidi"/>
          <w:rtl/>
        </w:rPr>
      </w:pPr>
      <w:r w:rsidRPr="00351B7D">
        <w:rPr>
          <w:rFonts w:asciiTheme="minorBidi" w:hAnsiTheme="minorBidi"/>
          <w:b/>
          <w:bCs/>
          <w:rtl/>
        </w:rPr>
        <w:t xml:space="preserve">בבא קמא פט ע"א: </w:t>
      </w:r>
      <w:r w:rsidRPr="00351B7D">
        <w:rPr>
          <w:rFonts w:asciiTheme="minorBidi" w:hAnsiTheme="minorBidi"/>
          <w:rtl/>
        </w:rPr>
        <w:t>העבד והאשה פגיעתן רעה, החובל בהן- חייב, והם שחבלו באחרים- פטורין... ותזבין כתובתה בטובת הנאה</w:t>
      </w:r>
      <w:r w:rsidRPr="00351B7D">
        <w:rPr>
          <w:rStyle w:val="a7"/>
          <w:rFonts w:asciiTheme="minorBidi" w:hAnsiTheme="minorBidi"/>
          <w:rtl/>
        </w:rPr>
        <w:footnoteReference w:id="933"/>
      </w:r>
      <w:r w:rsidRPr="00351B7D">
        <w:rPr>
          <w:rFonts w:asciiTheme="minorBidi" w:hAnsiTheme="minorBidi"/>
          <w:rtl/>
        </w:rPr>
        <w:t xml:space="preserve"> ותתן ליה! הא מני? רבי מאיר היא, דאמר: אסור לו לאדם שישהא את אשתו אפילו שעה אחת בלא כתובה וטעמא מאי כדי שלא תהא קלה בעיניו להוציאה הכא לא מגרש לה דאי מגרש לה אתו הנך דזבני גבו לה לכתובתה מיניה.</w:t>
      </w:r>
      <w:r w:rsidRPr="00351B7D">
        <w:rPr>
          <w:rFonts w:asciiTheme="minorBidi" w:hAnsiTheme="minorBidi"/>
          <w:color w:val="000000"/>
          <w:sz w:val="16"/>
          <w:szCs w:val="16"/>
          <w:rtl/>
        </w:rPr>
        <w:t xml:space="preserve"> (וכ"פ הרמב"ם (פ"י מה"א ה"י))</w:t>
      </w:r>
    </w:p>
    <w:p w14:paraId="657B772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976A49" w14:textId="77777777" w:rsidR="002E5BAD" w:rsidRPr="00351B7D" w:rsidRDefault="002E5BAD" w:rsidP="002E5BAD">
      <w:pPr>
        <w:rPr>
          <w:rFonts w:asciiTheme="minorBidi" w:hAnsiTheme="minorBidi"/>
          <w:rtl/>
        </w:rPr>
      </w:pPr>
      <w:r w:rsidRPr="00351B7D">
        <w:rPr>
          <w:rFonts w:asciiTheme="minorBidi" w:hAnsiTheme="minorBidi"/>
          <w:rtl/>
        </w:rPr>
        <w:t>אם מכרה כתובתה לבעלה</w:t>
      </w:r>
      <w:r w:rsidRPr="00351B7D">
        <w:rPr>
          <w:rStyle w:val="a7"/>
          <w:rFonts w:asciiTheme="minorBidi" w:hAnsiTheme="minorBidi"/>
          <w:color w:val="000000"/>
          <w:rtl/>
        </w:rPr>
        <w:footnoteReference w:id="934"/>
      </w:r>
      <w:r w:rsidRPr="00351B7D">
        <w:rPr>
          <w:rFonts w:asciiTheme="minorBidi" w:hAnsiTheme="minorBidi"/>
          <w:rtl/>
        </w:rPr>
        <w:t xml:space="preserve"> צריך לכתוב לה כתובה אחרת, אבל אם מכרה כתובתה לאחר</w:t>
      </w:r>
      <w:r w:rsidRPr="00351B7D">
        <w:rPr>
          <w:rStyle w:val="a7"/>
          <w:rFonts w:asciiTheme="minorBidi" w:hAnsiTheme="minorBidi"/>
          <w:color w:val="000000"/>
          <w:rtl/>
        </w:rPr>
        <w:footnoteReference w:id="935"/>
      </w:r>
      <w:r w:rsidRPr="00351B7D">
        <w:rPr>
          <w:rFonts w:asciiTheme="minorBidi" w:hAnsiTheme="minorBidi"/>
          <w:rtl/>
        </w:rPr>
        <w:t xml:space="preserve"> אין צריך לכתוב לה כתובה אחרת. </w:t>
      </w:r>
    </w:p>
    <w:p w14:paraId="67D55F2A" w14:textId="77777777" w:rsidR="002E5BAD" w:rsidRPr="00351B7D" w:rsidRDefault="002E5BAD" w:rsidP="002E5BAD">
      <w:pPr>
        <w:rPr>
          <w:rFonts w:asciiTheme="minorBidi" w:hAnsiTheme="minorBidi"/>
          <w:rtl/>
        </w:rPr>
      </w:pPr>
    </w:p>
    <w:p w14:paraId="7FB0B6A1" w14:textId="77777777" w:rsidR="002E5BAD" w:rsidRPr="00351B7D" w:rsidRDefault="002E5BAD" w:rsidP="002E5BAD">
      <w:pPr>
        <w:pStyle w:val="2"/>
        <w:rPr>
          <w:rFonts w:asciiTheme="minorBidi" w:hAnsiTheme="minorBidi"/>
          <w:rtl/>
        </w:rPr>
      </w:pPr>
      <w:r w:rsidRPr="00351B7D">
        <w:rPr>
          <w:rFonts w:asciiTheme="minorBidi" w:hAnsiTheme="minorBidi"/>
          <w:rtl/>
        </w:rPr>
        <w:t>סעיף ו: מקור דין כתובה ושיעורה.</w:t>
      </w:r>
    </w:p>
    <w:p w14:paraId="395B3FAA"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נא ע"א: </w:t>
      </w:r>
      <w:r w:rsidRPr="00351B7D">
        <w:rPr>
          <w:rFonts w:asciiTheme="minorBidi" w:hAnsiTheme="minorBidi"/>
          <w:u w:val="double"/>
          <w:rtl/>
        </w:rPr>
        <w:t>מתני':</w:t>
      </w:r>
      <w:r w:rsidRPr="00351B7D">
        <w:rPr>
          <w:rFonts w:asciiTheme="minorBidi" w:hAnsiTheme="minorBidi"/>
          <w:rtl/>
        </w:rPr>
        <w:t xml:space="preserve"> לא כתב לה כתובה- בתולה גובה מאתים ואלמנה מנה, מפני שהוא תנאי בית דין...</w:t>
      </w:r>
    </w:p>
    <w:p w14:paraId="7CA63C4A"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י ע"א: </w:t>
      </w:r>
      <w:r w:rsidRPr="00351B7D">
        <w:rPr>
          <w:rFonts w:asciiTheme="minorBidi" w:hAnsiTheme="minorBidi"/>
          <w:u w:val="single"/>
          <w:rtl/>
        </w:rPr>
        <w:t>אמר רב נחמן אמר שמואל משום רבי שמעון בן אלעזר</w:t>
      </w:r>
      <w:r w:rsidRPr="00351B7D">
        <w:rPr>
          <w:rFonts w:asciiTheme="minorBidi" w:hAnsiTheme="minorBidi"/>
          <w:rtl/>
        </w:rPr>
        <w:t>: חכמים תקנו להם לבנות ישראל לבתולה מאתים, ולאלמנה מנה.... והתניא: כסף ישקול כמוהר הבתולות - שיהא זה כמוהר הבתולות ומוהר הבתולות כזה... מכאן סמכו חכמים לכתובת אשה מן התורה, כתובת אלמנה - אינה מדברי תורה אלא מדברי סופרים, שרבן שמעון בן גמליאל אומר: כתובת אלמנה - אינה מדברי תורה אלא מדברי סופרים.</w:t>
      </w:r>
    </w:p>
    <w:p w14:paraId="1063D36E" w14:textId="77777777" w:rsidR="002E5BAD" w:rsidRPr="00351B7D" w:rsidRDefault="002E5BAD" w:rsidP="002E5BAD">
      <w:pPr>
        <w:rPr>
          <w:rFonts w:asciiTheme="minorBidi" w:hAnsiTheme="minorBidi"/>
          <w:rtl/>
        </w:rPr>
      </w:pPr>
      <w:r w:rsidRPr="00351B7D">
        <w:rPr>
          <w:rFonts w:asciiTheme="minorBidi" w:hAnsiTheme="minorBidi"/>
          <w:b/>
          <w:bCs/>
          <w:rtl/>
        </w:rPr>
        <w:t>יבמות פט ע"א:</w:t>
      </w:r>
      <w:r w:rsidRPr="00351B7D">
        <w:rPr>
          <w:rFonts w:asciiTheme="minorBidi" w:hAnsiTheme="minorBidi"/>
          <w:rtl/>
        </w:rPr>
        <w:t xml:space="preserve"> מאי טעמא תקינו לה רבנן כתובה? כדי שלא תהא קלה בעיניו להוציאה.</w:t>
      </w:r>
    </w:p>
    <w:p w14:paraId="60B2CFD7" w14:textId="77777777" w:rsidR="002E5BAD" w:rsidRPr="00351B7D" w:rsidRDefault="002E5BAD" w:rsidP="002E5BAD">
      <w:pPr>
        <w:rPr>
          <w:rFonts w:asciiTheme="minorBidi" w:hAnsiTheme="minorBidi"/>
          <w:rtl/>
        </w:rPr>
      </w:pPr>
      <w:r w:rsidRPr="00351B7D">
        <w:rPr>
          <w:rFonts w:asciiTheme="minorBidi" w:hAnsiTheme="minorBidi"/>
          <w:b/>
          <w:bCs/>
          <w:rtl/>
        </w:rPr>
        <w:lastRenderedPageBreak/>
        <w:t>כתובות קי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הכל מעלין לארץ ישראל ואין הכל מוציאין... נשא אשה בא"י וגרשה בקפוטקיא- נותן לה ממעות ארץ ישראל. נשא אשה בקפוטקיא וגרשה בארץ ישראל- נותן לה ממעות ארץ ישראל, רבן שמעון בן גמליאל אומר נותן לה ממעות קפוטקיא.  </w:t>
      </w:r>
      <w:r w:rsidRPr="00351B7D">
        <w:rPr>
          <w:rFonts w:asciiTheme="minorBidi" w:hAnsiTheme="minorBidi"/>
          <w:u w:val="double"/>
          <w:rtl/>
        </w:rPr>
        <w:t>גמ':</w:t>
      </w:r>
      <w:r w:rsidRPr="00351B7D">
        <w:rPr>
          <w:rFonts w:asciiTheme="minorBidi" w:hAnsiTheme="minorBidi"/>
          <w:rtl/>
        </w:rPr>
        <w:t xml:space="preserve"> רבן שמעון בן גמליאל אומר נותן לה ממעות קפוטקיא. קסבר כתובה דאורייתא.</w:t>
      </w:r>
    </w:p>
    <w:p w14:paraId="46DC63BD" w14:textId="77777777" w:rsidR="002E5BAD" w:rsidRPr="00351B7D" w:rsidRDefault="002E5BAD" w:rsidP="002E5BAD">
      <w:pPr>
        <w:rPr>
          <w:rFonts w:asciiTheme="minorBidi" w:hAnsiTheme="minorBidi"/>
          <w:u w:val="single"/>
          <w:rtl/>
        </w:rPr>
      </w:pPr>
      <w:r w:rsidRPr="00351B7D">
        <w:rPr>
          <w:rFonts w:asciiTheme="minorBidi" w:hAnsiTheme="minorBidi"/>
          <w:u w:val="single"/>
          <w:rtl/>
        </w:rPr>
        <w:t>כתובת בתולה</w:t>
      </w:r>
      <w:r w:rsidRPr="00351B7D">
        <w:rPr>
          <w:rStyle w:val="a7"/>
          <w:rFonts w:asciiTheme="minorBidi" w:hAnsiTheme="minorBidi"/>
          <w:u w:val="single"/>
          <w:rtl/>
        </w:rPr>
        <w:footnoteReference w:id="936"/>
      </w:r>
      <w:r w:rsidRPr="00351B7D">
        <w:rPr>
          <w:rFonts w:asciiTheme="minorBidi" w:hAnsiTheme="minorBidi"/>
          <w:u w:val="single"/>
          <w:rtl/>
        </w:rPr>
        <w:t>- מדאורייתא או מדרבנן:</w:t>
      </w:r>
    </w:p>
    <w:p w14:paraId="0FEB3470"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ר"ת ר"י ומהר"ם</w:t>
      </w:r>
      <w:r w:rsidRPr="00351B7D">
        <w:rPr>
          <w:rStyle w:val="a7"/>
          <w:rFonts w:asciiTheme="minorBidi" w:hAnsiTheme="minorBidi"/>
          <w:rtl/>
        </w:rPr>
        <w:footnoteReference w:id="937"/>
      </w:r>
      <w:r w:rsidRPr="00351B7D">
        <w:rPr>
          <w:rFonts w:asciiTheme="minorBidi" w:hAnsiTheme="minorBidi"/>
          <w:rtl/>
        </w:rPr>
        <w:t>- מדאורייתא</w:t>
      </w:r>
      <w:r w:rsidRPr="00351B7D">
        <w:rPr>
          <w:rStyle w:val="a7"/>
          <w:rFonts w:asciiTheme="minorBidi" w:hAnsiTheme="minorBidi"/>
          <w:rtl/>
        </w:rPr>
        <w:footnoteReference w:id="938"/>
      </w:r>
      <w:r w:rsidRPr="00351B7D">
        <w:rPr>
          <w:rFonts w:asciiTheme="minorBidi" w:hAnsiTheme="minorBidi"/>
          <w:rtl/>
        </w:rPr>
        <w:t>.</w:t>
      </w:r>
    </w:p>
    <w:p w14:paraId="4D4759F2"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גאונים ר"ח</w:t>
      </w:r>
      <w:r w:rsidRPr="00351B7D">
        <w:rPr>
          <w:rStyle w:val="a7"/>
          <w:rFonts w:asciiTheme="minorBidi" w:hAnsiTheme="minorBidi"/>
          <w:rtl/>
        </w:rPr>
        <w:footnoteReference w:id="939"/>
      </w:r>
      <w:r w:rsidRPr="00351B7D">
        <w:rPr>
          <w:rFonts w:asciiTheme="minorBidi" w:hAnsiTheme="minorBidi"/>
          <w:rtl/>
        </w:rPr>
        <w:t xml:space="preserve"> רי"ף רמב"ם רמב"ן רא"ש ור"ן</w:t>
      </w:r>
      <w:r w:rsidRPr="00351B7D">
        <w:rPr>
          <w:rStyle w:val="a7"/>
          <w:rFonts w:asciiTheme="minorBidi" w:hAnsiTheme="minorBidi"/>
          <w:rtl/>
        </w:rPr>
        <w:footnoteReference w:id="940"/>
      </w:r>
      <w:r w:rsidRPr="00351B7D">
        <w:rPr>
          <w:rFonts w:asciiTheme="minorBidi" w:hAnsiTheme="minorBidi"/>
          <w:rtl/>
        </w:rPr>
        <w:t>- תקנת חכמים</w:t>
      </w:r>
      <w:r w:rsidRPr="00351B7D">
        <w:rPr>
          <w:rStyle w:val="a7"/>
          <w:rFonts w:asciiTheme="minorBidi" w:hAnsiTheme="minorBidi"/>
          <w:rtl/>
        </w:rPr>
        <w:footnoteReference w:id="941"/>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(וכ"פ בדרכ"מ</w:t>
      </w:r>
      <w:r w:rsidRPr="00351B7D">
        <w:rPr>
          <w:rFonts w:asciiTheme="minorBidi" w:hAnsiTheme="minorBidi"/>
          <w:sz w:val="16"/>
          <w:szCs w:val="16"/>
          <w:rtl/>
        </w:rPr>
        <w:t xml:space="preserve"> [ארוך אות ו</w:t>
      </w:r>
      <w:r w:rsidRPr="00351B7D">
        <w:rPr>
          <w:rFonts w:asciiTheme="minorBidi" w:hAnsiTheme="minorBidi"/>
          <w:sz w:val="14"/>
          <w:szCs w:val="14"/>
          <w:rtl/>
        </w:rPr>
        <w:t>(ב)</w:t>
      </w:r>
      <w:r w:rsidRPr="00351B7D">
        <w:rPr>
          <w:rFonts w:asciiTheme="minorBidi" w:hAnsiTheme="minorBidi"/>
          <w:sz w:val="16"/>
          <w:szCs w:val="16"/>
          <w:rtl/>
        </w:rPr>
        <w:t>]</w:t>
      </w:r>
      <w:r w:rsidRPr="00351B7D">
        <w:rPr>
          <w:rFonts w:asciiTheme="minorBidi" w:hAnsiTheme="minorBidi"/>
          <w:rtl/>
        </w:rPr>
        <w:t>)</w:t>
      </w:r>
    </w:p>
    <w:p w14:paraId="455267AA" w14:textId="77777777" w:rsidR="002E5BAD" w:rsidRPr="00351B7D" w:rsidRDefault="002E5BAD" w:rsidP="002E5BAD">
      <w:pPr>
        <w:ind w:left="360"/>
        <w:rPr>
          <w:rFonts w:asciiTheme="minorBidi" w:hAnsiTheme="minorBidi"/>
          <w:u w:val="dotted"/>
        </w:rPr>
      </w:pPr>
      <w:r w:rsidRPr="00351B7D">
        <w:rPr>
          <w:rFonts w:asciiTheme="minorBidi" w:hAnsiTheme="minorBidi"/>
          <w:u w:val="dotted"/>
          <w:rtl/>
        </w:rPr>
        <w:t xml:space="preserve">באיזה כסף נותן לה סכום כתובתה </w:t>
      </w:r>
      <w:r w:rsidRPr="00351B7D">
        <w:rPr>
          <w:rFonts w:asciiTheme="minorBidi" w:hAnsiTheme="minorBidi"/>
          <w:sz w:val="16"/>
          <w:szCs w:val="16"/>
          <w:u w:val="dotted"/>
          <w:rtl/>
        </w:rPr>
        <w:t>(כסף צורי או כסף מדינה)</w:t>
      </w:r>
      <w:r w:rsidRPr="00351B7D">
        <w:rPr>
          <w:rFonts w:asciiTheme="minorBidi" w:hAnsiTheme="minorBidi"/>
          <w:u w:val="dotted"/>
          <w:rtl/>
        </w:rPr>
        <w:t>:</w:t>
      </w:r>
    </w:p>
    <w:p w14:paraId="055FBAEE"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 מה"א ה"ח)</w:t>
      </w:r>
      <w:r w:rsidRPr="00351B7D">
        <w:rPr>
          <w:rFonts w:asciiTheme="minorBidi" w:hAnsiTheme="minorBidi"/>
          <w:rtl/>
        </w:rPr>
        <w:t xml:space="preserve"> ורמב"ן</w:t>
      </w:r>
      <w:r w:rsidRPr="00351B7D">
        <w:rPr>
          <w:rFonts w:asciiTheme="minorBidi" w:hAnsiTheme="minorBidi"/>
          <w:sz w:val="16"/>
          <w:szCs w:val="16"/>
          <w:rtl/>
        </w:rPr>
        <w:t xml:space="preserve"> (כתובות קי: ד"ה נשא)</w:t>
      </w:r>
      <w:r w:rsidRPr="00351B7D">
        <w:rPr>
          <w:rFonts w:asciiTheme="minorBidi" w:hAnsiTheme="minorBidi"/>
          <w:rtl/>
        </w:rPr>
        <w:t xml:space="preserve">- "מכסף מדינה </w:t>
      </w:r>
      <w:r w:rsidRPr="00351B7D">
        <w:rPr>
          <w:rFonts w:asciiTheme="minorBidi" w:hAnsiTheme="minorBidi"/>
          <w:sz w:val="16"/>
          <w:szCs w:val="16"/>
          <w:rtl/>
        </w:rPr>
        <w:t>(שהוא שבעה חלקים נחושת ואחד כסף</w:t>
      </w:r>
      <w:r w:rsidRPr="00CA1A65">
        <w:rPr>
          <w:rStyle w:val="a7"/>
          <w:rFonts w:asciiTheme="minorBidi" w:hAnsiTheme="minorBidi"/>
          <w:sz w:val="16"/>
          <w:szCs w:val="16"/>
          <w:rtl/>
        </w:rPr>
        <w:footnoteReference w:id="942"/>
      </w:r>
      <w:r w:rsidRPr="00351B7D">
        <w:rPr>
          <w:rFonts w:asciiTheme="minorBidi" w:hAnsiTheme="minorBidi"/>
          <w:sz w:val="16"/>
          <w:szCs w:val="16"/>
          <w:rtl/>
        </w:rPr>
        <w:t>)</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4492EB97"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ר"י תוס' והגמ"ר</w:t>
      </w:r>
      <w:r w:rsidRPr="00351B7D">
        <w:rPr>
          <w:rStyle w:val="a7"/>
          <w:rFonts w:asciiTheme="minorBidi" w:hAnsiTheme="minorBidi"/>
          <w:rtl/>
        </w:rPr>
        <w:footnoteReference w:id="943"/>
      </w:r>
      <w:r w:rsidRPr="00351B7D">
        <w:rPr>
          <w:rFonts w:asciiTheme="minorBidi" w:hAnsiTheme="minorBidi"/>
          <w:rtl/>
        </w:rPr>
        <w:t>- מאתים זוז של צורי, בין למ"ד כתובת אשה דרבנן ובין למ"ד דאורייתא</w:t>
      </w:r>
      <w:r w:rsidRPr="00351B7D">
        <w:rPr>
          <w:rStyle w:val="a7"/>
          <w:rFonts w:asciiTheme="minorBidi" w:hAnsiTheme="minorBidi"/>
          <w:rtl/>
        </w:rPr>
        <w:footnoteReference w:id="944"/>
      </w:r>
      <w:r w:rsidRPr="00351B7D">
        <w:rPr>
          <w:rFonts w:asciiTheme="minorBidi" w:hAnsiTheme="minorBidi"/>
          <w:rtl/>
        </w:rPr>
        <w:t xml:space="preserve">, ואפילו כתובת אלמנה שהיא דרבנן לכו"ע- הוי מנה צורי. </w:t>
      </w:r>
    </w:p>
    <w:p w14:paraId="5364E35C"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רא"ש</w:t>
      </w:r>
      <w:r w:rsidRPr="00351B7D">
        <w:rPr>
          <w:rStyle w:val="a7"/>
          <w:rFonts w:asciiTheme="minorBidi" w:hAnsiTheme="minorBidi"/>
          <w:rtl/>
        </w:rPr>
        <w:footnoteReference w:id="945"/>
      </w:r>
      <w:r w:rsidRPr="00351B7D">
        <w:rPr>
          <w:rFonts w:asciiTheme="minorBidi" w:hAnsiTheme="minorBidi"/>
          <w:rtl/>
        </w:rPr>
        <w:t>- ראיתי מפרשים דאפילו הרגילו לכתוב דחזו ליכי מדאו' מודו דכתובת אשה דרבנן, וחכמים תקנו נ' כסף מדאו', פי' משקלם האמור בתורה, משום שלא תהא קלה בעיניו להוציאה, ואסמכוה אקרא דכמוהר הבתולות</w:t>
      </w:r>
      <w:r w:rsidRPr="00351B7D">
        <w:rPr>
          <w:rStyle w:val="a7"/>
          <w:rFonts w:asciiTheme="minorBidi" w:hAnsiTheme="minorBidi"/>
          <w:rtl/>
        </w:rPr>
        <w:footnoteReference w:id="946"/>
      </w:r>
      <w:r w:rsidRPr="00351B7D">
        <w:rPr>
          <w:rFonts w:asciiTheme="minorBidi" w:hAnsiTheme="minorBidi"/>
          <w:rtl/>
        </w:rPr>
        <w:t xml:space="preserve">, משום הכי נהיגי למיכתב דחזו ליכי מדאורייתא שלא יטעה אדם לומר כיון דמדרבנן היא לא תגבה אלא נ' סלע מדינה, ודברים של טעם הם, והכותב כסף זוזי מאתן דחזו ליכי לא הפסיד. </w:t>
      </w:r>
      <w:r w:rsidRPr="00351B7D">
        <w:rPr>
          <w:rFonts w:asciiTheme="minorBidi" w:hAnsiTheme="minorBidi"/>
          <w:color w:val="00B0F0"/>
          <w:rtl/>
        </w:rPr>
        <w:t>(וכ"פ הרמ"א)</w:t>
      </w:r>
    </w:p>
    <w:p w14:paraId="607322A7" w14:textId="77777777" w:rsidR="002E5BAD" w:rsidRPr="00351B7D" w:rsidRDefault="002E5BAD" w:rsidP="002E5BAD">
      <w:pPr>
        <w:rPr>
          <w:rFonts w:asciiTheme="minorBidi" w:hAnsiTheme="minorBidi"/>
          <w:u w:val="single"/>
        </w:rPr>
      </w:pPr>
      <w:r w:rsidRPr="00351B7D">
        <w:rPr>
          <w:rFonts w:asciiTheme="minorBidi" w:hAnsiTheme="minorBidi"/>
          <w:u w:val="single"/>
          <w:rtl/>
        </w:rPr>
        <w:t xml:space="preserve">למ"ד כתובת בתולה מדרבנן- כמה יתן היכא שטעו וכתבו "דחזי ליכי מדאורייתא":   </w:t>
      </w:r>
    </w:p>
    <w:p w14:paraId="3C053F87"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ר"ן</w:t>
      </w:r>
      <w:r w:rsidRPr="00351B7D">
        <w:rPr>
          <w:rFonts w:asciiTheme="minorBidi" w:hAnsiTheme="minorBidi"/>
          <w:sz w:val="16"/>
          <w:szCs w:val="16"/>
          <w:rtl/>
        </w:rPr>
        <w:t xml:space="preserve"> (כתובות סה: ד"ה ולענין)</w:t>
      </w:r>
      <w:r w:rsidRPr="00351B7D">
        <w:rPr>
          <w:rFonts w:asciiTheme="minorBidi" w:hAnsiTheme="minorBidi"/>
          <w:rtl/>
        </w:rPr>
        <w:t>- הני דכתבי הכי "טעותא הוא דמדאורייתא לא חזו לה מידי אלא מדרבנן, הילכך אינה גובה כלום מכח הכתובה אלא מתקנת חכמים גובה ק"ק של מדינה כמקום שאין כותבין". (וכ"כ הב"י</w:t>
      </w:r>
      <w:r w:rsidRPr="00351B7D">
        <w:rPr>
          <w:rStyle w:val="a7"/>
          <w:rFonts w:asciiTheme="minorBidi" w:hAnsiTheme="minorBidi"/>
          <w:rtl/>
        </w:rPr>
        <w:footnoteReference w:id="947"/>
      </w:r>
      <w:r w:rsidRPr="00351B7D">
        <w:rPr>
          <w:rFonts w:asciiTheme="minorBidi" w:hAnsiTheme="minorBidi"/>
          <w:rtl/>
        </w:rPr>
        <w:t>)</w:t>
      </w:r>
    </w:p>
    <w:p w14:paraId="3062F63C" w14:textId="77777777" w:rsidR="002E5BAD" w:rsidRPr="00351B7D" w:rsidRDefault="002E5BAD" w:rsidP="002E5BAD">
      <w:pPr>
        <w:rPr>
          <w:rFonts w:asciiTheme="minorBidi" w:hAnsiTheme="minorBidi"/>
          <w:u w:val="single"/>
        </w:rPr>
      </w:pPr>
      <w:r w:rsidRPr="00351B7D">
        <w:rPr>
          <w:rFonts w:asciiTheme="minorBidi" w:hAnsiTheme="minorBidi"/>
          <w:u w:val="single"/>
          <w:rtl/>
        </w:rPr>
        <w:t xml:space="preserve">לר"ת וסיעתו- מה דין כתובה שכתוב בה "דחזי ליכי מדרבנן": </w:t>
      </w:r>
    </w:p>
    <w:p w14:paraId="5F8D2D9E"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הגה"מ </w:t>
      </w:r>
      <w:r w:rsidRPr="00351B7D">
        <w:rPr>
          <w:rFonts w:asciiTheme="minorBidi" w:hAnsiTheme="minorBidi"/>
          <w:sz w:val="16"/>
          <w:szCs w:val="16"/>
          <w:rtl/>
        </w:rPr>
        <w:t>(פ"י מה"א אות ו, הביאו הדרכ"מ [אות יא**])</w:t>
      </w:r>
      <w:r w:rsidRPr="00351B7D">
        <w:rPr>
          <w:rFonts w:asciiTheme="minorBidi" w:hAnsiTheme="minorBidi"/>
          <w:rtl/>
        </w:rPr>
        <w:t xml:space="preserve">- הר"מ פסל כתובה שכתוב בה זוזי מאתן דחזו ליכי מדרבנן דה"ל מזויף מתוכו ולכן נראה דטוב לכתוב סתם דחזו ליכי. </w:t>
      </w:r>
    </w:p>
    <w:p w14:paraId="461BEDB9" w14:textId="77777777" w:rsidR="002E5BAD" w:rsidRPr="00351B7D" w:rsidRDefault="002E5BAD" w:rsidP="002E5BAD">
      <w:pPr>
        <w:rPr>
          <w:rFonts w:asciiTheme="minorBidi" w:hAnsiTheme="minorBidi"/>
          <w:u w:val="single"/>
        </w:rPr>
      </w:pPr>
      <w:r w:rsidRPr="00351B7D">
        <w:rPr>
          <w:rFonts w:asciiTheme="minorBidi" w:hAnsiTheme="minorBidi"/>
          <w:u w:val="single"/>
          <w:rtl/>
        </w:rPr>
        <w:t>היכא שכתבו בכתובה "והוסיף לה מדיליה מאתים דינרים של כסף צרוף"- כמה יתן:</w:t>
      </w:r>
    </w:p>
    <w:p w14:paraId="387BBE8E"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הה"מ</w:t>
      </w:r>
      <w:r w:rsidRPr="00351B7D">
        <w:rPr>
          <w:rFonts w:asciiTheme="minorBidi" w:hAnsiTheme="minorBidi"/>
          <w:sz w:val="16"/>
          <w:szCs w:val="16"/>
          <w:rtl/>
        </w:rPr>
        <w:t xml:space="preserve"> (ה"ח, הביאו הב"י)</w:t>
      </w:r>
      <w:r w:rsidRPr="00351B7D">
        <w:rPr>
          <w:rFonts w:asciiTheme="minorBidi" w:hAnsiTheme="minorBidi"/>
          <w:rtl/>
        </w:rPr>
        <w:t>- בהא ודאי גובה הבתולה ש' דרה"ם והאלמנה ק"ן דרה"ם הכל מכסף צרוף</w:t>
      </w:r>
      <w:r w:rsidRPr="00351B7D">
        <w:rPr>
          <w:rStyle w:val="a7"/>
          <w:rFonts w:asciiTheme="minorBidi" w:hAnsiTheme="minorBidi"/>
          <w:rtl/>
        </w:rPr>
        <w:footnoteReference w:id="948"/>
      </w:r>
      <w:r w:rsidRPr="00351B7D">
        <w:rPr>
          <w:rFonts w:asciiTheme="minorBidi" w:hAnsiTheme="minorBidi"/>
          <w:sz w:val="18"/>
          <w:szCs w:val="18"/>
          <w:rtl/>
        </w:rPr>
        <w:t xml:space="preserve"> </w:t>
      </w:r>
      <w:r w:rsidRPr="00351B7D">
        <w:rPr>
          <w:rFonts w:asciiTheme="minorBidi" w:hAnsiTheme="minorBidi"/>
          <w:sz w:val="16"/>
          <w:szCs w:val="16"/>
          <w:rtl/>
        </w:rPr>
        <w:t>(ל' הב"י)</w:t>
      </w:r>
      <w:r w:rsidRPr="00351B7D">
        <w:rPr>
          <w:rFonts w:asciiTheme="minorBidi" w:hAnsiTheme="minorBidi"/>
          <w:rtl/>
        </w:rPr>
        <w:t>.</w:t>
      </w:r>
    </w:p>
    <w:p w14:paraId="7E4A1A16" w14:textId="77777777" w:rsidR="002E5BAD" w:rsidRPr="00351B7D" w:rsidRDefault="002E5BAD" w:rsidP="002E5BAD">
      <w:pPr>
        <w:ind w:left="360"/>
        <w:rPr>
          <w:rFonts w:asciiTheme="minorBidi" w:hAnsiTheme="minorBidi"/>
          <w:u w:val="dotted"/>
          <w:rtl/>
        </w:rPr>
      </w:pPr>
      <w:r w:rsidRPr="00351B7D">
        <w:rPr>
          <w:rFonts w:asciiTheme="minorBidi" w:hAnsiTheme="minorBidi"/>
          <w:u w:val="dotted"/>
          <w:rtl/>
        </w:rPr>
        <w:t>האם האשה גובה תוספת זו:</w:t>
      </w:r>
      <w:r w:rsidRPr="00351B7D">
        <w:rPr>
          <w:rFonts w:asciiTheme="minorBidi" w:hAnsiTheme="minorBidi"/>
          <w:rtl/>
        </w:rPr>
        <w:t xml:space="preserve"> </w:t>
      </w:r>
    </w:p>
    <w:p w14:paraId="7BD7A949"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(ח"א סי' אלף יא, הביאו הא"ח [ח"ב הל' כתובות סי' יז])</w:t>
      </w:r>
      <w:r w:rsidRPr="00351B7D">
        <w:rPr>
          <w:rFonts w:asciiTheme="minorBidi" w:hAnsiTheme="minorBidi"/>
          <w:rtl/>
        </w:rPr>
        <w:t>- כבר ידעת שגביית הכתובות אינה נגבית כשאר חובות. ויש שאינן מקפידות לדקדק עם היורשין וכל שכן במקום שבניה יורשין בעלה. ויש מקפידות ומדקדקות על הכל. אך במתנה לחוד אני אומר שנגבית. וכבר היה המעשה בעיר ודנו לה בית דין. ואחד מן הדיינים היה מורי החכם רבי יצחק בר' אברהם ז"ל. ויש שאינן מקפידות ומניחות ליורשין. וכן ראיתי בהיותי בגירונד"ה למורי החכ"ם הרמב"ן ז"ל ולחכם רבי יונה ז"ל וכעין מעשה שלכם.</w:t>
      </w:r>
    </w:p>
    <w:p w14:paraId="1B8659E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3464B7"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rtl/>
        </w:rPr>
        <w:t>כמה שיעור הכתובה, לבתולה ק"ק, ולאלמנה מנה, ושל זו וזו כסף מדינה, נמצא כתובות בתולה הם שלשים ושבעה דרהם וחצי כסף צרוף, וכתובת אלמנה מחציתם שהם י"ח דרהם ושלשה רביעים כסף צרוף.</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עיין ביו"ד סי' רצ"ד וסימן ש"ה ערך המטבע שנקראת דרהם. וכל זה לדעת קצת הפוסקים שסבירא להו שכתובות בתולה אינה רק זוזי דרבנן (רי"ף רמב"ם ר"ן והר"ם), שמאתים של בתולה עולין ששה סלעים ורביע, ויש מי שמשער כתובת בתולה עשרה זהובים ואלמנה חמשה זהובים</w:t>
      </w:r>
      <w:r w:rsidRPr="00351B7D">
        <w:rPr>
          <w:rStyle w:val="a7"/>
          <w:rFonts w:asciiTheme="minorBidi" w:hAnsiTheme="minorBidi"/>
          <w:color w:val="000000"/>
          <w:sz w:val="18"/>
          <w:szCs w:val="18"/>
          <w:rtl/>
        </w:rPr>
        <w:footnoteReference w:id="949"/>
      </w:r>
      <w:r w:rsidRPr="00351B7D">
        <w:rPr>
          <w:rFonts w:asciiTheme="minorBidi" w:hAnsiTheme="minorBidi"/>
          <w:color w:val="000000"/>
          <w:sz w:val="18"/>
          <w:szCs w:val="18"/>
          <w:rtl/>
        </w:rPr>
        <w:t xml:space="preserve"> (מהרי"ל בשם אגודה). אבל לדעת יש פוסקים מאתים של בתולה ומנה של אלמנה משערים בזוזי דאורייתא</w:t>
      </w:r>
      <w:r w:rsidRPr="00351B7D">
        <w:rPr>
          <w:rStyle w:val="a7"/>
          <w:rFonts w:asciiTheme="minorBidi" w:hAnsiTheme="minorBidi"/>
          <w:color w:val="000000"/>
          <w:sz w:val="18"/>
          <w:szCs w:val="18"/>
          <w:rtl/>
        </w:rPr>
        <w:footnoteReference w:id="950"/>
      </w:r>
      <w:r w:rsidRPr="00351B7D">
        <w:rPr>
          <w:rFonts w:asciiTheme="minorBidi" w:hAnsiTheme="minorBidi"/>
          <w:color w:val="000000"/>
          <w:sz w:val="18"/>
          <w:szCs w:val="18"/>
          <w:rtl/>
        </w:rPr>
        <w:t xml:space="preserve"> והוא שמונה פעמים יותר וכתבו דלכן נהגו לכתוב בכתובה דחזו ליכי מדאורייתא (ר"ת</w:t>
      </w:r>
      <w:r w:rsidRPr="00351B7D">
        <w:rPr>
          <w:rStyle w:val="a7"/>
          <w:rFonts w:asciiTheme="minorBidi" w:hAnsiTheme="minorBidi"/>
          <w:color w:val="000000"/>
          <w:sz w:val="18"/>
          <w:szCs w:val="18"/>
          <w:rtl/>
        </w:rPr>
        <w:footnoteReference w:id="951"/>
      </w:r>
      <w:r w:rsidRPr="00351B7D">
        <w:rPr>
          <w:rFonts w:asciiTheme="minorBidi" w:hAnsiTheme="minorBidi"/>
          <w:color w:val="000000"/>
          <w:sz w:val="18"/>
          <w:szCs w:val="18"/>
          <w:rtl/>
        </w:rPr>
        <w:t>), וי"א דכותבין דחזי ליכי סתמא (הגה"מ פ"י דאישות), והמנהג לכתוב לבתולה דחזי ליכי מדאורייתא</w:t>
      </w:r>
      <w:r w:rsidRPr="00351B7D">
        <w:rPr>
          <w:rStyle w:val="a7"/>
          <w:rFonts w:asciiTheme="minorBidi" w:hAnsiTheme="minorBidi"/>
          <w:color w:val="000000"/>
          <w:sz w:val="18"/>
          <w:szCs w:val="18"/>
          <w:rtl/>
        </w:rPr>
        <w:footnoteReference w:id="952"/>
      </w:r>
      <w:r w:rsidRPr="00351B7D">
        <w:rPr>
          <w:rFonts w:asciiTheme="minorBidi" w:hAnsiTheme="minorBidi"/>
          <w:color w:val="000000"/>
          <w:sz w:val="18"/>
          <w:szCs w:val="18"/>
          <w:rtl/>
        </w:rPr>
        <w:t>, אבל לא לאלמנה, וכל זה במקום שאין מנהג, אבל במקום שיש מנהג מה שגובין הולכין אחר המנהג וכמו שיתבאר לקמן.</w:t>
      </w:r>
      <w:r w:rsidRPr="00351B7D">
        <w:rPr>
          <w:rFonts w:asciiTheme="minorBidi" w:hAnsiTheme="minorBidi"/>
          <w:color w:val="000000"/>
          <w:sz w:val="16"/>
          <w:szCs w:val="16"/>
          <w:rtl/>
        </w:rPr>
        <w:t xml:space="preserve"> </w:t>
      </w:r>
    </w:p>
    <w:p w14:paraId="510879E0" w14:textId="77777777" w:rsidR="002E5BAD" w:rsidRPr="00351B7D" w:rsidRDefault="002E5BAD" w:rsidP="002E5BAD">
      <w:pPr>
        <w:rPr>
          <w:rFonts w:asciiTheme="minorBidi" w:hAnsiTheme="minorBidi"/>
          <w:u w:val="single"/>
          <w:rtl/>
        </w:rPr>
      </w:pPr>
      <w:r w:rsidRPr="00351B7D">
        <w:rPr>
          <w:rFonts w:asciiTheme="minorBidi" w:hAnsiTheme="minorBidi"/>
          <w:u w:val="single"/>
          <w:rtl/>
        </w:rPr>
        <w:t>אם השתנו המטבעות וגדל שווין, האם נותן לה מהמטבע הישנה או החדשה:</w:t>
      </w:r>
    </w:p>
    <w:p w14:paraId="4D386575"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ט"ז </w:t>
      </w:r>
      <w:r w:rsidRPr="00351B7D">
        <w:rPr>
          <w:rFonts w:asciiTheme="minorBidi" w:hAnsiTheme="minorBidi"/>
          <w:sz w:val="16"/>
          <w:szCs w:val="16"/>
          <w:rtl/>
        </w:rPr>
        <w:t xml:space="preserve">(סק"ו) </w:t>
      </w:r>
      <w:r w:rsidRPr="00351B7D">
        <w:rPr>
          <w:rFonts w:asciiTheme="minorBidi" w:hAnsiTheme="minorBidi"/>
          <w:rtl/>
        </w:rPr>
        <w:t xml:space="preserve">וב"ש </w:t>
      </w:r>
      <w:r w:rsidRPr="00351B7D">
        <w:rPr>
          <w:rFonts w:asciiTheme="minorBidi" w:hAnsiTheme="minorBidi"/>
          <w:sz w:val="16"/>
          <w:szCs w:val="16"/>
          <w:rtl/>
        </w:rPr>
        <w:t>(סקט"ו)</w:t>
      </w:r>
      <w:r w:rsidRPr="00351B7D">
        <w:rPr>
          <w:rFonts w:asciiTheme="minorBidi" w:hAnsiTheme="minorBidi"/>
          <w:rtl/>
        </w:rPr>
        <w:t xml:space="preserve">- אם בעת הכתיבה הכתובה היה מעות קלים ואח"כ הוסיפו על המטבע דקיי"ל בהלואה אם לאו משום ריבית היה צריך לשלם ממטבע שניה אלא משום איסור ריבית אינו משלם מטבע חדשה אם הוסיפו יותר מחומש, אע"ג דקי"ל אם נעשה הלואה במקום אחד והוציאה השטר חוב במקום אחר הולכים אחר השיעבוד, ולענין הוספה אין הולכים אחר השיעבוד משום אם נשתנה המטבע, אז בזמן פרעון אין שם מאה זהובים שחייבים לו על סך מן המטבע הראשונה, אבל בשני מקומות יש שם ק' זהובים דהא במקום אחר יש עליהם שם זה, וא"כ </w:t>
      </w:r>
      <w:r w:rsidRPr="00351B7D">
        <w:rPr>
          <w:rFonts w:asciiTheme="minorBidi" w:hAnsiTheme="minorBidi"/>
          <w:u w:val="double"/>
          <w:rtl/>
        </w:rPr>
        <w:t>בסך כתובה</w:t>
      </w:r>
      <w:r w:rsidRPr="00351B7D">
        <w:rPr>
          <w:rFonts w:asciiTheme="minorBidi" w:hAnsiTheme="minorBidi"/>
          <w:rtl/>
        </w:rPr>
        <w:t xml:space="preserve"> דליכא הלואה ולא שייך רבית לכן </w:t>
      </w:r>
      <w:r w:rsidRPr="00351B7D">
        <w:rPr>
          <w:rFonts w:asciiTheme="minorBidi" w:hAnsiTheme="minorBidi"/>
          <w:u w:val="single"/>
          <w:rtl/>
        </w:rPr>
        <w:t>צריך לשלם מטבע שניה,</w:t>
      </w:r>
      <w:r w:rsidRPr="00351B7D">
        <w:rPr>
          <w:rFonts w:asciiTheme="minorBidi" w:hAnsiTheme="minorBidi"/>
          <w:rtl/>
        </w:rPr>
        <w:t xml:space="preserve"> אבל </w:t>
      </w:r>
      <w:r w:rsidRPr="00351B7D">
        <w:rPr>
          <w:rFonts w:asciiTheme="minorBidi" w:hAnsiTheme="minorBidi"/>
          <w:u w:val="double"/>
          <w:rtl/>
        </w:rPr>
        <w:t>בסך נדוניא</w:t>
      </w:r>
      <w:r w:rsidRPr="00351B7D">
        <w:rPr>
          <w:rFonts w:asciiTheme="minorBidi" w:hAnsiTheme="minorBidi"/>
          <w:rtl/>
        </w:rPr>
        <w:t xml:space="preserve"> שהיא חוב </w:t>
      </w:r>
      <w:r w:rsidRPr="00351B7D">
        <w:rPr>
          <w:rFonts w:asciiTheme="minorBidi" w:hAnsiTheme="minorBidi"/>
          <w:u w:val="single"/>
          <w:rtl/>
        </w:rPr>
        <w:t>יתן מטבע הראשונה</w:t>
      </w:r>
      <w:r w:rsidRPr="00351B7D">
        <w:rPr>
          <w:rFonts w:asciiTheme="minorBidi" w:hAnsiTheme="minorBidi"/>
          <w:rtl/>
        </w:rPr>
        <w:t xml:space="preserve">, אע"ג דמוסיפים שליש לא חיישין לרבית דשאני הוספת שליש שחייבו אותו חכמים להוסיף תיכף אף אם לא תטיב בעיניו ויגרשנה מיד אף דלא נשא ונתן במעות מ"מ חל עליו חובת תוספות שליש ע"פ תקנת חז"ל, כמ"ש מהרי"ק סימן פ"א שתוספת שליש אינו הרצון של בעל אלא מצות חכמים הוא עליו תיכף, נמצא לפי זה </w:t>
      </w:r>
      <w:r w:rsidRPr="00351B7D">
        <w:rPr>
          <w:rFonts w:asciiTheme="minorBidi" w:hAnsiTheme="minorBidi"/>
          <w:u w:val="double"/>
          <w:rtl/>
        </w:rPr>
        <w:t>שהתוספת</w:t>
      </w:r>
      <w:r w:rsidRPr="00351B7D">
        <w:rPr>
          <w:rFonts w:asciiTheme="minorBidi" w:hAnsiTheme="minorBidi"/>
          <w:rtl/>
        </w:rPr>
        <w:t xml:space="preserve"> לא התירו בו ריבית אלא משום שאם מגרשה אפילו תיכף חל עליו התוספות משא"כ בענין שיתן לה ממטבע חדשה ודאי אין חיוב עליו לומר אם גירשה תכף אחר הנישואין ודאי לא היה צריך ליתן כ"א מטבע הישנה שהרי אף לא היה שם כי אם מטבע הישנה רק אח"כ נתהווה שינוי מטבע אין חילוק בין אם זמן רב אחר הנשואין או יום או יומים מ"מ לא שייך לומר תיכף חל עליו חיוב זה, א"כ </w:t>
      </w:r>
      <w:r w:rsidRPr="00351B7D">
        <w:rPr>
          <w:rFonts w:asciiTheme="minorBidi" w:hAnsiTheme="minorBidi"/>
          <w:u w:val="single"/>
          <w:rtl/>
        </w:rPr>
        <w:t>הוי ככל שאר הלואה</w:t>
      </w:r>
      <w:r w:rsidRPr="00351B7D">
        <w:rPr>
          <w:rFonts w:asciiTheme="minorBidi" w:hAnsiTheme="minorBidi"/>
          <w:rtl/>
        </w:rPr>
        <w:t>.</w:t>
      </w:r>
    </w:p>
    <w:p w14:paraId="0799269A" w14:textId="77777777" w:rsidR="002E5BAD" w:rsidRPr="00351B7D" w:rsidRDefault="002E5BAD" w:rsidP="002E5BAD">
      <w:pPr>
        <w:rPr>
          <w:rFonts w:asciiTheme="minorBidi" w:hAnsiTheme="minorBidi"/>
          <w:color w:val="000000"/>
          <w:rtl/>
        </w:rPr>
      </w:pPr>
      <w:r w:rsidRPr="00351B7D">
        <w:rPr>
          <w:rFonts w:asciiTheme="minorBidi" w:hAnsiTheme="minorBidi"/>
          <w:u w:val="single"/>
          <w:rtl/>
        </w:rPr>
        <w:t>כתובת בתולה שהחתן אנס אותה לפני הנישואין:</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(באה"ט סקי"א)</w:t>
      </w:r>
    </w:p>
    <w:p w14:paraId="196AA768" w14:textId="77777777" w:rsidR="002E5BAD" w:rsidRPr="00351B7D" w:rsidRDefault="002E5BAD" w:rsidP="002E5BAD">
      <w:pPr>
        <w:pStyle w:val="ab"/>
        <w:numPr>
          <w:ilvl w:val="0"/>
          <w:numId w:val="146"/>
        </w:numPr>
        <w:rPr>
          <w:rFonts w:asciiTheme="minorBidi" w:hAnsiTheme="minorBidi"/>
          <w:color w:val="000000"/>
        </w:rPr>
      </w:pPr>
      <w:r w:rsidRPr="00351B7D">
        <w:rPr>
          <w:rFonts w:asciiTheme="minorBidi" w:hAnsiTheme="minorBidi"/>
          <w:rtl/>
        </w:rPr>
        <w:t>מהר"ם מינץ</w:t>
      </w:r>
      <w:r w:rsidRPr="00351B7D">
        <w:rPr>
          <w:rFonts w:asciiTheme="minorBidi" w:hAnsiTheme="minorBidi"/>
          <w:color w:val="000000"/>
          <w:sz w:val="16"/>
          <w:szCs w:val="16"/>
          <w:rtl/>
        </w:rPr>
        <w:t xml:space="preserve"> (סי' קט)</w:t>
      </w:r>
      <w:r w:rsidRPr="00351B7D">
        <w:rPr>
          <w:rFonts w:asciiTheme="minorBidi" w:hAnsiTheme="minorBidi"/>
          <w:rtl/>
        </w:rPr>
        <w:t xml:space="preserve">- מי שאנס בתולה ונישאת לו אין לה כתובה ממנו אלא מנה </w:t>
      </w:r>
      <w:r w:rsidRPr="00351B7D">
        <w:rPr>
          <w:rFonts w:asciiTheme="minorBidi" w:hAnsiTheme="minorBidi"/>
          <w:sz w:val="16"/>
          <w:szCs w:val="16"/>
          <w:rtl/>
        </w:rPr>
        <w:t>(וצ"ע, שהרי השו"ע בסי' קע"ז סע' ג פסק דהואיל</w:t>
      </w:r>
      <w:r w:rsidRPr="00351B7D">
        <w:rPr>
          <w:rFonts w:asciiTheme="minorBidi" w:hAnsiTheme="minorBidi"/>
          <w:rtl/>
        </w:rPr>
        <w:t xml:space="preserve"> </w:t>
      </w:r>
      <w:r w:rsidRPr="00351B7D">
        <w:rPr>
          <w:rFonts w:asciiTheme="minorBidi" w:hAnsiTheme="minorBidi"/>
          <w:sz w:val="16"/>
          <w:szCs w:val="16"/>
          <w:rtl/>
        </w:rPr>
        <w:t>ואינו רשאי להוציאה לעולם אלא לרצונה אין צריך לכתוב לה כתובה. ועיין בפת"ש סק"ו ביאור דברי הר"ם מינץ בזה)</w:t>
      </w:r>
      <w:r w:rsidRPr="00351B7D">
        <w:rPr>
          <w:rFonts w:asciiTheme="minorBidi" w:hAnsiTheme="minorBidi"/>
          <w:color w:val="000000"/>
          <w:rtl/>
        </w:rPr>
        <w:t>.</w:t>
      </w:r>
    </w:p>
    <w:p w14:paraId="2BA502DF" w14:textId="77777777" w:rsidR="002E5BAD" w:rsidRPr="00351B7D" w:rsidRDefault="002E5BAD" w:rsidP="002E5BAD">
      <w:pPr>
        <w:rPr>
          <w:rFonts w:asciiTheme="minorBidi" w:hAnsiTheme="minorBidi"/>
          <w:color w:val="000000"/>
          <w:rtl/>
        </w:rPr>
      </w:pPr>
      <w:r w:rsidRPr="00351B7D">
        <w:rPr>
          <w:rFonts w:asciiTheme="minorBidi" w:hAnsiTheme="minorBidi"/>
          <w:u w:val="single"/>
          <w:rtl/>
        </w:rPr>
        <w:t>כתובה לבתולה שנתפתתה: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(פת"ש סק"ה)</w:t>
      </w:r>
    </w:p>
    <w:p w14:paraId="746BE06D"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דגמ"ר וחת"ס</w:t>
      </w:r>
      <w:r w:rsidRPr="00351B7D">
        <w:rPr>
          <w:rStyle w:val="a7"/>
          <w:rFonts w:asciiTheme="minorBidi" w:hAnsiTheme="minorBidi"/>
          <w:color w:val="000000"/>
          <w:rtl/>
        </w:rPr>
        <w:footnoteReference w:id="953"/>
      </w:r>
      <w:r w:rsidRPr="00351B7D">
        <w:rPr>
          <w:rFonts w:asciiTheme="minorBidi" w:hAnsiTheme="minorBidi"/>
          <w:rtl/>
        </w:rPr>
        <w:t>- המפותה... כותב לה כתובה כשאר הבתולות</w:t>
      </w:r>
      <w:r w:rsidRPr="00351B7D">
        <w:rPr>
          <w:rFonts w:asciiTheme="minorBidi" w:hAnsiTheme="minorBidi"/>
          <w:sz w:val="16"/>
          <w:szCs w:val="16"/>
          <w:rtl/>
        </w:rPr>
        <w:t xml:space="preserve"> (ל' הרמב"ם הל' נערה פ"א ה"ג)</w:t>
      </w:r>
      <w:r w:rsidRPr="00351B7D">
        <w:rPr>
          <w:rFonts w:asciiTheme="minorBidi" w:hAnsiTheme="minorBidi"/>
          <w:rtl/>
        </w:rPr>
        <w:t>, אבל כל זה כשהיתה נערה, אבל בוגרת שנתפתתה ודאי גם לרמב"ם וטור אין כתובתה אלא מנה אף שנשאה הבועל עצמו.</w:t>
      </w:r>
    </w:p>
    <w:p w14:paraId="698DB75F" w14:textId="77777777" w:rsidR="002E5BAD" w:rsidRPr="00351B7D" w:rsidRDefault="002E5BAD" w:rsidP="002E5BAD">
      <w:pPr>
        <w:rPr>
          <w:rFonts w:asciiTheme="minorBidi" w:hAnsiTheme="minorBidi"/>
          <w:color w:val="000000"/>
          <w:u w:val="single"/>
          <w:rtl/>
        </w:rPr>
      </w:pPr>
      <w:r w:rsidRPr="00351B7D">
        <w:rPr>
          <w:rFonts w:asciiTheme="minorBidi" w:hAnsiTheme="minorBidi"/>
          <w:u w:val="single"/>
          <w:rtl/>
        </w:rPr>
        <w:t>כלה שילדה מעט זמן לאחר חופתה מחמת שנתעברה מהחתן לפני הנישואין:</w:t>
      </w:r>
      <w:r w:rsidRPr="00351B7D">
        <w:rPr>
          <w:rFonts w:asciiTheme="minorBidi" w:hAnsiTheme="minorBidi"/>
          <w:color w:val="000000"/>
          <w:sz w:val="16"/>
          <w:szCs w:val="16"/>
          <w:rtl/>
        </w:rPr>
        <w:t xml:space="preserve">     (פת"ש סק"ה)</w:t>
      </w:r>
    </w:p>
    <w:p w14:paraId="7CC0A86D"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color w:val="000000"/>
          <w:rtl/>
        </w:rPr>
        <w:t xml:space="preserve">חת"ס </w:t>
      </w:r>
      <w:r w:rsidRPr="00351B7D">
        <w:rPr>
          <w:rFonts w:asciiTheme="minorBidi" w:hAnsiTheme="minorBidi"/>
          <w:color w:val="000000"/>
          <w:sz w:val="16"/>
          <w:szCs w:val="16"/>
          <w:rtl/>
        </w:rPr>
        <w:t>(סי' קכה)</w:t>
      </w:r>
      <w:r w:rsidRPr="00351B7D">
        <w:rPr>
          <w:rFonts w:asciiTheme="minorBidi" w:hAnsiTheme="minorBidi"/>
          <w:rtl/>
        </w:rPr>
        <w:t>- אודות אחת שילדה אחר החתונה בקרוב והוא והיא מודים שממנו נתעברה באופן שאין ספק משום מינקת חבירו, ונתעורר רב א' על שנכתב בכתובה מאתים כבתולה, ובס' דגמ"ר כתב דאם היא בוגרת אין לה אלא מנה, וא"כ אפשר הכתובה פסולה, והוא ז"ל השיב אמת נכון הדבר אע"ג דתנן ר"פ אף על פי</w:t>
      </w:r>
      <w:r w:rsidRPr="00351B7D">
        <w:rPr>
          <w:rFonts w:asciiTheme="minorBidi" w:hAnsiTheme="minorBidi"/>
          <w:color w:val="000000"/>
          <w:sz w:val="16"/>
          <w:szCs w:val="16"/>
          <w:rtl/>
        </w:rPr>
        <w:t xml:space="preserve"> (כתובות נד:)</w:t>
      </w:r>
      <w:r w:rsidRPr="00351B7D">
        <w:rPr>
          <w:rFonts w:asciiTheme="minorBidi" w:hAnsiTheme="minorBidi"/>
          <w:rtl/>
        </w:rPr>
        <w:t xml:space="preserve"> שאם רצה להוסיף מוסיף ודעת הר"ן שם שיכול לכלול התוספות בסכום א' עם הכתובה בסתם ולא כמרדכי, מ"מ מודה הר"ן דלא מצי למכתב דחזי ליכי מדאורייתא כו', וגם הא ודאי שדברי דגמ"ר הנ"ל נכונים מאד דבוגרת שאין לה קנס ובשגם כי בעילה ראשונה מחלה מדעתה גם הרמב"ם מודה דאין לה אלא מנה, ומ"מ בנ"ד אין שום חשש דנ"ל דכל זה במפתה בוגרת דעלמא ונשאה אח"כ אבל במשודכת שלו וכבר נכתב ביניהם תנאים בחרם וקנס כנהוג שלבה סמוך ובטוח שתנשא לו ואדעתא דהכי אפקרה נפשה לגבי דידיה שהוא ישאנה ויהיה כתובתה ממנו מאתים כמוהר הבתולות בודאי לא מחלה אלא אדעתא דהכי כו' ואפי' אם יתעקש אדם לומר שאם הבועל הזה אינו רוצה לכתוב מאתים לא נוכל לכופו, אבל עכ"פ אם כתב לה מאתים דחזי ליכי איך ניקום ונאמר דלא חזי לה ממנו כי בודאי חזי וראוי ומחוייב לכתוב כן. </w:t>
      </w:r>
    </w:p>
    <w:p w14:paraId="060A538A" w14:textId="77777777" w:rsidR="002E5BAD" w:rsidRPr="00351B7D" w:rsidRDefault="002E5BAD" w:rsidP="002E5BAD">
      <w:pPr>
        <w:pStyle w:val="2"/>
        <w:rPr>
          <w:rFonts w:asciiTheme="minorBidi" w:hAnsiTheme="minorBidi"/>
          <w:rtl/>
        </w:rPr>
      </w:pPr>
      <w:r w:rsidRPr="00351B7D">
        <w:rPr>
          <w:rFonts w:asciiTheme="minorBidi" w:hAnsiTheme="minorBidi"/>
          <w:rtl/>
        </w:rPr>
        <w:t>סעיף ז: תוספת כתובה.</w:t>
      </w:r>
    </w:p>
    <w:p w14:paraId="55338503" w14:textId="77777777" w:rsidR="002E5BAD" w:rsidRPr="00351B7D" w:rsidRDefault="002E5BAD" w:rsidP="002E5BAD">
      <w:pPr>
        <w:rPr>
          <w:rFonts w:asciiTheme="minorBidi" w:hAnsiTheme="minorBidi"/>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אף על פי שאמרו בתולה גובה מאתים ואלמנה מנה, אם רצה להוסיף אפי' מאה מנה יוסיף... </w:t>
      </w:r>
      <w:r w:rsidRPr="00351B7D">
        <w:rPr>
          <w:rFonts w:asciiTheme="minorBidi" w:hAnsiTheme="minorBidi"/>
          <w:u w:val="double"/>
          <w:rtl/>
        </w:rPr>
        <w:t>גמ':</w:t>
      </w:r>
      <w:r w:rsidRPr="00351B7D">
        <w:rPr>
          <w:rFonts w:asciiTheme="minorBidi" w:hAnsiTheme="minorBidi"/>
          <w:rtl/>
        </w:rPr>
        <w:t xml:space="preserve"> פשיטא! מהו דתימא קיצותא</w:t>
      </w:r>
      <w:r w:rsidRPr="00351B7D">
        <w:rPr>
          <w:rStyle w:val="a7"/>
          <w:rFonts w:asciiTheme="minorBidi" w:hAnsiTheme="minorBidi"/>
          <w:rtl/>
        </w:rPr>
        <w:footnoteReference w:id="954"/>
      </w:r>
      <w:r w:rsidRPr="00351B7D">
        <w:rPr>
          <w:rFonts w:asciiTheme="minorBidi" w:hAnsiTheme="minorBidi"/>
          <w:rtl/>
        </w:rPr>
        <w:t xml:space="preserve"> עבדו רבנן, שלא לבייש את מי שאין לו, קמ"ל. </w:t>
      </w:r>
    </w:p>
    <w:p w14:paraId="3482A08D" w14:textId="77777777" w:rsidR="002E5BAD" w:rsidRPr="00351B7D" w:rsidRDefault="002E5BAD" w:rsidP="002E5BAD">
      <w:pPr>
        <w:rPr>
          <w:rFonts w:asciiTheme="minorBidi" w:hAnsiTheme="minorBidi"/>
          <w:rtl/>
        </w:rPr>
      </w:pPr>
      <w:r w:rsidRPr="00351B7D">
        <w:rPr>
          <w:rFonts w:asciiTheme="minorBidi" w:hAnsiTheme="minorBidi"/>
          <w:b/>
          <w:bCs/>
          <w:rtl/>
        </w:rPr>
        <w:t>כתובות יב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בית דין של כהנים היו גובין לבתולה</w:t>
      </w:r>
      <w:r w:rsidRPr="00351B7D">
        <w:rPr>
          <w:rStyle w:val="a7"/>
          <w:rFonts w:asciiTheme="minorBidi" w:hAnsiTheme="minorBidi"/>
          <w:rtl/>
        </w:rPr>
        <w:footnoteReference w:id="955"/>
      </w:r>
      <w:r w:rsidRPr="00351B7D">
        <w:rPr>
          <w:rFonts w:asciiTheme="minorBidi" w:hAnsiTheme="minorBidi"/>
          <w:rtl/>
        </w:rPr>
        <w:t xml:space="preserve"> ארבע מאות זוז, ולא מיחו בידם חכמים.  </w:t>
      </w:r>
      <w:r w:rsidRPr="00351B7D">
        <w:rPr>
          <w:rFonts w:asciiTheme="minorBidi" w:hAnsiTheme="minorBidi"/>
          <w:u w:val="double"/>
          <w:rtl/>
        </w:rPr>
        <w:t>גמ'</w:t>
      </w:r>
      <w:r w:rsidRPr="00351B7D">
        <w:rPr>
          <w:rFonts w:asciiTheme="minorBidi" w:hAnsiTheme="minorBidi"/>
          <w:sz w:val="16"/>
          <w:szCs w:val="16"/>
          <w:u w:val="double"/>
          <w:rtl/>
        </w:rPr>
        <w:t>(יב:)</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לא ב"ד של כהנים בלבד אמרו, אלא אפי' משפחות המיוחסות בישראל, אם רצו לעשות כדרך שהכהנים עושין - עושין.</w:t>
      </w:r>
    </w:p>
    <w:p w14:paraId="1256209C" w14:textId="77777777" w:rsidR="002E5BAD" w:rsidRPr="00351B7D" w:rsidRDefault="002E5BAD" w:rsidP="002E5BAD">
      <w:pPr>
        <w:rPr>
          <w:rFonts w:asciiTheme="minorBidi" w:hAnsiTheme="minorBidi"/>
          <w:u w:val="single"/>
        </w:rPr>
      </w:pPr>
      <w:r w:rsidRPr="00351B7D">
        <w:rPr>
          <w:rFonts w:asciiTheme="minorBidi" w:hAnsiTheme="minorBidi"/>
          <w:u w:val="single"/>
          <w:rtl/>
        </w:rPr>
        <w:t>תימה, מדף יב ע"א משמע דדוקא למשפחות כהנים ומיוחסות מותר, ומדף נד ע"ב משמע שכל אדם יכול להוסיף:</w:t>
      </w:r>
    </w:p>
    <w:p w14:paraId="0D2DBCEB"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תוס'</w:t>
      </w:r>
      <w:r w:rsidRPr="00351B7D">
        <w:rPr>
          <w:rFonts w:asciiTheme="minorBidi" w:hAnsiTheme="minorBidi"/>
          <w:sz w:val="16"/>
          <w:szCs w:val="16"/>
          <w:rtl/>
        </w:rPr>
        <w:t xml:space="preserve"> (יב: ד"ה ב"ד)</w:t>
      </w:r>
      <w:r w:rsidRPr="00351B7D">
        <w:rPr>
          <w:rFonts w:asciiTheme="minorBidi" w:hAnsiTheme="minorBidi"/>
          <w:rtl/>
        </w:rPr>
        <w:t xml:space="preserve"> </w:t>
      </w:r>
      <w:r>
        <w:rPr>
          <w:rFonts w:asciiTheme="minorBidi" w:hAnsiTheme="minorBidi" w:hint="cs"/>
          <w:rtl/>
        </w:rPr>
        <w:t>ו</w:t>
      </w:r>
      <w:r w:rsidRPr="00351B7D">
        <w:rPr>
          <w:rFonts w:asciiTheme="minorBidi" w:hAnsiTheme="minorBidi"/>
          <w:rtl/>
        </w:rPr>
        <w:t xml:space="preserve">מרדכי </w:t>
      </w:r>
      <w:r w:rsidRPr="00351B7D">
        <w:rPr>
          <w:rFonts w:asciiTheme="minorBidi" w:hAnsiTheme="minorBidi"/>
          <w:sz w:val="16"/>
          <w:szCs w:val="16"/>
          <w:rtl/>
        </w:rPr>
        <w:t>(כתובות סי' קלו)</w:t>
      </w:r>
      <w:r w:rsidRPr="00351B7D">
        <w:rPr>
          <w:rStyle w:val="a7"/>
          <w:rFonts w:asciiTheme="minorBidi" w:hAnsiTheme="minorBidi"/>
          <w:rtl/>
        </w:rPr>
        <w:footnoteReference w:id="956"/>
      </w:r>
      <w:r w:rsidRPr="00351B7D">
        <w:rPr>
          <w:rFonts w:asciiTheme="minorBidi" w:hAnsiTheme="minorBidi"/>
          <w:rtl/>
        </w:rPr>
        <w:t xml:space="preserve">- במשפחות מיוחסות וכהנים </w:t>
      </w:r>
      <w:r w:rsidRPr="00351B7D">
        <w:rPr>
          <w:rFonts w:asciiTheme="minorBidi" w:hAnsiTheme="minorBidi"/>
          <w:sz w:val="16"/>
          <w:szCs w:val="16"/>
          <w:rtl/>
        </w:rPr>
        <w:t xml:space="preserve">(דף יב.) </w:t>
      </w:r>
      <w:r w:rsidRPr="00351B7D">
        <w:rPr>
          <w:rFonts w:asciiTheme="minorBidi" w:hAnsiTheme="minorBidi"/>
          <w:rtl/>
        </w:rPr>
        <w:t>לא כותבים בלשון תוספת אלא כותבים "ארבע מאות דחזו ליכי" וקס"ד דלא תגבה, דלא חזו, קמ"ל דמנהג טוב מאד הוא וראוי להיות בכהונה ובמשפחות המיוחסות ושייך בהו למימר דחזו ליכי, ואפי' לא כתב לה כתובה גובה ארבע מאות בתנאי ב"ד, כמו בבנות ישראל מאתים, דתקנה גמורה היא</w:t>
      </w:r>
      <w:r w:rsidRPr="00351B7D">
        <w:rPr>
          <w:rFonts w:asciiTheme="minorBidi" w:hAnsiTheme="minorBidi"/>
          <w:sz w:val="16"/>
          <w:szCs w:val="16"/>
          <w:rtl/>
        </w:rPr>
        <w:t xml:space="preserve"> {משא"כ אם כתוב דחזו ליכי במשפחת ישראל שאינה מיוחסת}</w:t>
      </w:r>
      <w:r w:rsidRPr="00351B7D">
        <w:rPr>
          <w:rFonts w:asciiTheme="minorBidi" w:hAnsiTheme="minorBidi"/>
          <w:rtl/>
        </w:rPr>
        <w:t>.</w:t>
      </w:r>
    </w:p>
    <w:p w14:paraId="2EB53859" w14:textId="77777777" w:rsidR="002E5BAD" w:rsidRPr="00351B7D" w:rsidRDefault="002E5BAD" w:rsidP="002E5BAD">
      <w:pPr>
        <w:rPr>
          <w:rFonts w:asciiTheme="minorBidi" w:hAnsiTheme="minorBidi"/>
          <w:u w:val="single"/>
          <w:rtl/>
        </w:rPr>
      </w:pPr>
      <w:r w:rsidRPr="00351B7D">
        <w:rPr>
          <w:rFonts w:asciiTheme="minorBidi" w:hAnsiTheme="minorBidi"/>
          <w:u w:val="single"/>
          <w:rtl/>
        </w:rPr>
        <w:t>האם יכול לכתוב בכתובה</w:t>
      </w:r>
      <w:r w:rsidRPr="00351B7D">
        <w:rPr>
          <w:rFonts w:asciiTheme="minorBidi" w:hAnsiTheme="minorBidi"/>
          <w:sz w:val="16"/>
          <w:szCs w:val="16"/>
          <w:u w:val="single"/>
          <w:rtl/>
        </w:rPr>
        <w:t xml:space="preserve"> (של משפחות ישראל שאינם מיוחסות)</w:t>
      </w:r>
      <w:r w:rsidRPr="00351B7D">
        <w:rPr>
          <w:rFonts w:asciiTheme="minorBidi" w:hAnsiTheme="minorBidi"/>
          <w:u w:val="single"/>
          <w:rtl/>
        </w:rPr>
        <w:t xml:space="preserve"> סכום כולל של עיקר הכתובה ושל התוספת:</w:t>
      </w:r>
    </w:p>
    <w:p w14:paraId="793F71EA"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גאונים רמב"ן ריטב"א ר"ן וריב"ש</w:t>
      </w:r>
      <w:r w:rsidRPr="00351B7D">
        <w:rPr>
          <w:rStyle w:val="a7"/>
          <w:rFonts w:asciiTheme="minorBidi" w:hAnsiTheme="minorBidi"/>
          <w:rtl/>
        </w:rPr>
        <w:footnoteReference w:id="957"/>
      </w:r>
      <w:r w:rsidRPr="00351B7D">
        <w:rPr>
          <w:rFonts w:asciiTheme="minorBidi" w:hAnsiTheme="minorBidi"/>
          <w:rtl/>
        </w:rPr>
        <w:t>- "מהא</w:t>
      </w:r>
      <w:r w:rsidRPr="00351B7D">
        <w:rPr>
          <w:rFonts w:asciiTheme="minorBidi" w:hAnsiTheme="minorBidi"/>
          <w:sz w:val="16"/>
          <w:szCs w:val="16"/>
          <w:rtl/>
        </w:rPr>
        <w:t xml:space="preserve"> </w:t>
      </w:r>
      <w:r w:rsidRPr="00351B7D">
        <w:rPr>
          <w:rFonts w:asciiTheme="minorBidi" w:hAnsiTheme="minorBidi"/>
          <w:sz w:val="14"/>
          <w:szCs w:val="14"/>
          <w:rtl/>
        </w:rPr>
        <w:t>(מכתובות נד:)</w:t>
      </w:r>
      <w:r w:rsidRPr="00351B7D">
        <w:rPr>
          <w:rFonts w:asciiTheme="minorBidi" w:hAnsiTheme="minorBidi"/>
          <w:rtl/>
        </w:rPr>
        <w:t xml:space="preserve"> שמעינן דמצי למיכתב סתמא ויהיבנא ליכי מוהר בתולייכי כך וכך, ואם איתא דלא שרי אלא במפרש עיקר כתובה והדר מוסיף כך וכך היכי תיסק אדעתין דליתסר ומאי כיסופא איכא בהכי וכי אילו בעי למיתב מדיליה מי לא מצי יהיב, אלא ודאי במיכתב סתמא עסקינן דבהכי מצי סלקא דעתין למיחש אכיסופא כיון שלזו כותבין מוהר אחד ולזו מוהר אחר ואפ"ה בכה"ג מסקינן דשרי</w:t>
      </w:r>
      <w:r w:rsidRPr="00351B7D">
        <w:rPr>
          <w:rFonts w:asciiTheme="minorBidi" w:hAnsiTheme="minorBidi"/>
          <w:sz w:val="14"/>
          <w:szCs w:val="14"/>
          <w:rtl/>
        </w:rPr>
        <w:t xml:space="preserve"> (ל' הר"ן)</w:t>
      </w:r>
      <w:r w:rsidRPr="00351B7D">
        <w:rPr>
          <w:rFonts w:asciiTheme="minorBidi" w:hAnsiTheme="minorBidi"/>
          <w:rtl/>
        </w:rPr>
        <w:t>".</w:t>
      </w:r>
    </w:p>
    <w:p w14:paraId="12021812"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(כתובות סי' קלו, כ"כ הדרכ"מ</w:t>
      </w:r>
      <w:r w:rsidRPr="00351B7D">
        <w:rPr>
          <w:rFonts w:asciiTheme="minorBidi" w:hAnsiTheme="minorBidi"/>
          <w:sz w:val="14"/>
          <w:szCs w:val="14"/>
          <w:rtl/>
        </w:rPr>
        <w:t xml:space="preserve"> </w:t>
      </w:r>
      <w:r w:rsidRPr="00351B7D">
        <w:rPr>
          <w:rFonts w:asciiTheme="minorBidi" w:hAnsiTheme="minorBidi"/>
          <w:sz w:val="12"/>
          <w:szCs w:val="12"/>
          <w:rtl/>
        </w:rPr>
        <w:t>[אות ט]</w:t>
      </w:r>
      <w:r w:rsidRPr="00351B7D">
        <w:rPr>
          <w:rFonts w:asciiTheme="minorBidi" w:hAnsiTheme="minorBidi"/>
          <w:sz w:val="16"/>
          <w:szCs w:val="16"/>
          <w:rtl/>
        </w:rPr>
        <w:t xml:space="preserve"> בשמו)</w:t>
      </w:r>
      <w:r w:rsidRPr="00351B7D">
        <w:rPr>
          <w:rFonts w:asciiTheme="minorBidi" w:hAnsiTheme="minorBidi"/>
          <w:rtl/>
        </w:rPr>
        <w:t>- אין לצרף בכתיבה את סכום עיקר הכתובה והתוספת אלא במשפחה שמנהגה כך, אבל באחרים צריך לכתוב מנה או מאתים ואחר כך להוסיף מה שירצה</w:t>
      </w:r>
      <w:r w:rsidRPr="00351B7D">
        <w:rPr>
          <w:rStyle w:val="a7"/>
          <w:rFonts w:asciiTheme="minorBidi" w:hAnsiTheme="minorBidi"/>
          <w:rtl/>
        </w:rPr>
        <w:footnoteReference w:id="958"/>
      </w:r>
      <w:r w:rsidRPr="00351B7D">
        <w:rPr>
          <w:rFonts w:asciiTheme="minorBidi" w:hAnsiTheme="minorBidi"/>
          <w:rtl/>
        </w:rPr>
        <w:t>.</w:t>
      </w:r>
      <w:r w:rsidRPr="00351B7D">
        <w:rPr>
          <w:rFonts w:asciiTheme="minorBidi" w:hAnsiTheme="minorBidi"/>
          <w:color w:val="00B0F0"/>
          <w:rtl/>
        </w:rPr>
        <w:t xml:space="preserve"> </w:t>
      </w:r>
    </w:p>
    <w:p w14:paraId="756219F7" w14:textId="77777777" w:rsidR="002E5BAD" w:rsidRPr="00351B7D" w:rsidRDefault="002E5BAD" w:rsidP="002E5BAD">
      <w:pPr>
        <w:rPr>
          <w:rFonts w:asciiTheme="minorBidi" w:hAnsiTheme="minorBidi"/>
          <w:color w:val="000000"/>
          <w:sz w:val="16"/>
          <w:szCs w:val="16"/>
        </w:rPr>
      </w:pPr>
      <w:r w:rsidRPr="00351B7D">
        <w:rPr>
          <w:rFonts w:asciiTheme="minorBidi" w:hAnsiTheme="minorBidi"/>
          <w:u w:val="single"/>
          <w:rtl/>
        </w:rPr>
        <w:t>כתב לה תוספת, האם עיקר כתובה כלול בפנים או לא:</w:t>
      </w:r>
      <w:r w:rsidRPr="00351B7D">
        <w:rPr>
          <w:rFonts w:asciiTheme="minorBidi" w:hAnsiTheme="minorBidi"/>
          <w:color w:val="000000"/>
          <w:sz w:val="16"/>
          <w:szCs w:val="16"/>
          <w:rtl/>
        </w:rPr>
        <w:t xml:space="preserve"> (ב"י על סע' ו</w:t>
      </w:r>
      <w:r w:rsidRPr="00351B7D">
        <w:rPr>
          <w:rFonts w:asciiTheme="minorBidi" w:hAnsiTheme="minorBidi"/>
          <w:color w:val="000000"/>
          <w:sz w:val="14"/>
          <w:szCs w:val="14"/>
          <w:rtl/>
        </w:rPr>
        <w:t>(ב)</w:t>
      </w:r>
      <w:r w:rsidRPr="00351B7D">
        <w:rPr>
          <w:rFonts w:asciiTheme="minorBidi" w:hAnsiTheme="minorBidi"/>
          <w:color w:val="000000"/>
          <w:sz w:val="16"/>
          <w:szCs w:val="16"/>
          <w:rtl/>
        </w:rPr>
        <w:t>)</w:t>
      </w:r>
    </w:p>
    <w:p w14:paraId="4F8B181C"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ריב"ש</w:t>
      </w:r>
      <w:r w:rsidRPr="00351B7D">
        <w:rPr>
          <w:rFonts w:asciiTheme="minorBidi" w:hAnsiTheme="minorBidi"/>
          <w:sz w:val="16"/>
          <w:szCs w:val="16"/>
          <w:rtl/>
        </w:rPr>
        <w:t xml:space="preserve"> (סי' ס"ה)</w:t>
      </w:r>
      <w:r w:rsidRPr="00351B7D">
        <w:rPr>
          <w:rFonts w:asciiTheme="minorBidi" w:hAnsiTheme="minorBidi"/>
          <w:rtl/>
        </w:rPr>
        <w:t xml:space="preserve">- דבר ברור שאין עיקר הכתובה שהוא מנה ומאתים בכלל התוספת אא"כ כלל התוספת עם עיקר הכתובה כגון שכתב 'ויהיבנא ליכי מוהר בתולייכי כסף זוזי אלף' שאז כלל עיקר הכתובה עם התוספת, </w:t>
      </w:r>
      <w:r w:rsidRPr="00351B7D">
        <w:rPr>
          <w:rFonts w:asciiTheme="minorBidi" w:hAnsiTheme="minorBidi"/>
          <w:rtl/>
        </w:rPr>
        <w:lastRenderedPageBreak/>
        <w:t>וזהו ששנינו בפרק אף על פי (נד:) אם רצה להוסיף אפילו מאה מנה מוסיף, ולכן הדבר מבואר שאם כתב ויהיבנא ליכי מוהרייכי כסף זוזי מאה או מאתים דחזו ליכי, ומצד אחר כתב לה והוסיף לה מדיליה כך וכך גובה עיקר וגובה תוספת, גם יש מקומות שכותבים בביאור והוסיף לה מדיליה תוספת על עיקר כתובתה כך וכך, ואם יש ב"ד שאין מגבין עיקר כתובה בכיוצא בזה טעות הוא בידם, ואע"פ שלפעמים בהיות הנדוניא גדולה אין האשה חוששת בגביית העיקר למיעוטו, אם תקפיד עליו מגבין לה.</w:t>
      </w:r>
      <w:r w:rsidRPr="00351B7D">
        <w:rPr>
          <w:rFonts w:asciiTheme="minorBidi" w:hAnsiTheme="minorBidi"/>
          <w:color w:val="00B0F0"/>
          <w:rtl/>
        </w:rPr>
        <w:t xml:space="preserve"> (וכ"פ הרמ"א)</w:t>
      </w:r>
    </w:p>
    <w:p w14:paraId="2628BBE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BE06BC"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rtl/>
        </w:rPr>
        <w:t>אם ירצה להוסיף על זה מוסיף, וזה התוספות שמוסיף יש דברים שדינו בהם כעיקר הכתובה ויש דברים שהוא חלוק בהם מעיקר הכתובה כדלקמן.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ואין צריך לפרש עיקר הכתובה בפני עצמה והתוספת בפני עצמו אלא כולל הכל ביחד אם ירצה </w:t>
      </w:r>
      <w:r w:rsidRPr="00351B7D">
        <w:rPr>
          <w:rFonts w:asciiTheme="minorBidi" w:hAnsiTheme="minorBidi"/>
          <w:color w:val="000000"/>
          <w:sz w:val="16"/>
          <w:szCs w:val="16"/>
          <w:rtl/>
        </w:rPr>
        <w:t>(ר"ן המ"מ וריב"ש)</w:t>
      </w:r>
      <w:r w:rsidRPr="00351B7D">
        <w:rPr>
          <w:rFonts w:asciiTheme="minorBidi" w:hAnsiTheme="minorBidi"/>
          <w:color w:val="000000"/>
          <w:sz w:val="18"/>
          <w:szCs w:val="18"/>
          <w:rtl/>
        </w:rPr>
        <w:t xml:space="preserve">, ויש חולקים וסבירא להו דצריך לכתוב הכתובה כמנהג המדינה בפני עצמה והתוספת בפני עצמו, וכן נוהגין. ואם יש משפחה שכולן נוהגים בתוספת אין צריך לכתוב כל אחד בפני עצמו </w:t>
      </w:r>
      <w:r w:rsidRPr="00351B7D">
        <w:rPr>
          <w:rFonts w:asciiTheme="minorBidi" w:hAnsiTheme="minorBidi"/>
          <w:color w:val="000000"/>
          <w:sz w:val="16"/>
          <w:szCs w:val="16"/>
          <w:rtl/>
        </w:rPr>
        <w:t>(מרדכי פ"ק דכתובות)</w:t>
      </w:r>
      <w:r w:rsidRPr="00351B7D">
        <w:rPr>
          <w:rFonts w:asciiTheme="minorBidi" w:hAnsiTheme="minorBidi"/>
          <w:color w:val="000000"/>
          <w:sz w:val="18"/>
          <w:szCs w:val="18"/>
          <w:rtl/>
        </w:rPr>
        <w:t>. כתובה שכתב בה: ודין נדוניא דהנעלת ליה מאה דינרין והוסיף לה מן דיליה כך וכך, אין עיקר כתובה בכלל</w:t>
      </w:r>
      <w:r w:rsidRPr="00351B7D">
        <w:rPr>
          <w:rStyle w:val="a7"/>
          <w:rFonts w:asciiTheme="minorBidi" w:hAnsiTheme="minorBidi"/>
          <w:color w:val="000000"/>
          <w:sz w:val="18"/>
          <w:szCs w:val="18"/>
          <w:rtl/>
        </w:rPr>
        <w:footnoteReference w:id="959"/>
      </w:r>
      <w:r w:rsidRPr="00351B7D">
        <w:rPr>
          <w:rFonts w:asciiTheme="minorBidi" w:hAnsiTheme="minorBidi"/>
          <w:color w:val="000000"/>
          <w:sz w:val="18"/>
          <w:szCs w:val="18"/>
          <w:rtl/>
        </w:rPr>
        <w:t xml:space="preserve"> וצריך לשלם לה בפני עצמו עד שיהיו כתוב: ויהיבנא ליכי מוהר בתוליכי כסף זוזי אלף</w:t>
      </w:r>
      <w:r w:rsidRPr="00351B7D">
        <w:rPr>
          <w:rStyle w:val="a7"/>
          <w:rFonts w:asciiTheme="minorBidi" w:hAnsiTheme="minorBidi"/>
          <w:color w:val="000000"/>
          <w:sz w:val="18"/>
          <w:szCs w:val="18"/>
          <w:rtl/>
        </w:rPr>
        <w:footnoteReference w:id="960"/>
      </w:r>
      <w:r w:rsidRPr="00351B7D">
        <w:rPr>
          <w:rFonts w:asciiTheme="minorBidi" w:hAnsiTheme="minorBidi"/>
          <w:color w:val="000000"/>
          <w:sz w:val="18"/>
          <w:szCs w:val="18"/>
          <w:rtl/>
        </w:rPr>
        <w:t xml:space="preserve">, דאז העיקר כתובה בכלל </w:t>
      </w:r>
      <w:r w:rsidRPr="00351B7D">
        <w:rPr>
          <w:rFonts w:asciiTheme="minorBidi" w:hAnsiTheme="minorBidi"/>
          <w:color w:val="000000"/>
          <w:sz w:val="16"/>
          <w:szCs w:val="16"/>
          <w:rtl/>
        </w:rPr>
        <w:t>(ריב"ש סימן ס"ה)</w:t>
      </w:r>
      <w:r w:rsidRPr="00351B7D">
        <w:rPr>
          <w:rFonts w:asciiTheme="minorBidi" w:hAnsiTheme="minorBidi"/>
          <w:color w:val="000000"/>
          <w:sz w:val="18"/>
          <w:szCs w:val="18"/>
          <w:rtl/>
        </w:rPr>
        <w:t xml:space="preserve">. </w:t>
      </w:r>
    </w:p>
    <w:p w14:paraId="2C14FE0A" w14:textId="77777777" w:rsidR="002E5BAD" w:rsidRPr="00351B7D" w:rsidRDefault="002E5BAD" w:rsidP="002E5BAD">
      <w:pPr>
        <w:rPr>
          <w:rFonts w:asciiTheme="minorBidi" w:hAnsiTheme="minorBidi"/>
          <w:color w:val="000000"/>
          <w:rtl/>
        </w:rPr>
      </w:pPr>
    </w:p>
    <w:p w14:paraId="3C6291C3" w14:textId="77777777" w:rsidR="002E5BAD" w:rsidRPr="00351B7D" w:rsidRDefault="002E5BAD" w:rsidP="002E5BAD">
      <w:pPr>
        <w:pStyle w:val="2"/>
        <w:rPr>
          <w:rFonts w:asciiTheme="minorBidi" w:hAnsiTheme="minorBidi"/>
          <w:rtl/>
        </w:rPr>
      </w:pPr>
      <w:r w:rsidRPr="00351B7D">
        <w:rPr>
          <w:rFonts w:asciiTheme="minorBidi" w:hAnsiTheme="minorBidi"/>
          <w:rtl/>
        </w:rPr>
        <w:t>סעיף ח: קנין בתוספת כתובה.</w:t>
      </w:r>
    </w:p>
    <w:p w14:paraId="2C7EAE4C"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קב ע"א: </w:t>
      </w:r>
      <w:r w:rsidRPr="00351B7D">
        <w:rPr>
          <w:rFonts w:asciiTheme="minorBidi" w:hAnsiTheme="minorBidi"/>
          <w:u w:val="single"/>
          <w:rtl/>
        </w:rPr>
        <w:t>דאמר רב גידל אמר רב:</w:t>
      </w:r>
      <w:r w:rsidRPr="00351B7D">
        <w:rPr>
          <w:rFonts w:asciiTheme="minorBidi" w:hAnsiTheme="minorBidi"/>
          <w:rtl/>
        </w:rPr>
        <w:t xml:space="preserve"> </w:t>
      </w:r>
      <w:r w:rsidRPr="00351B7D">
        <w:rPr>
          <w:rStyle w:val="a7"/>
          <w:rFonts w:asciiTheme="minorBidi" w:hAnsiTheme="minorBidi"/>
          <w:rtl/>
        </w:rPr>
        <w:footnoteReference w:id="961"/>
      </w:r>
      <w:r w:rsidRPr="00351B7D">
        <w:rPr>
          <w:rFonts w:asciiTheme="minorBidi" w:hAnsiTheme="minorBidi"/>
          <w:rtl/>
        </w:rPr>
        <w:t>כמה אתה נותן לבנך? כך וכך, וכמה אתה נותן לבתך? כך וכך, עמדו וקידשו - קנו, הן הן הדברים הנקנין באמירה</w:t>
      </w:r>
      <w:r w:rsidRPr="00351B7D">
        <w:rPr>
          <w:rStyle w:val="a7"/>
          <w:rFonts w:asciiTheme="minorBidi" w:hAnsiTheme="minorBidi"/>
          <w:rtl/>
        </w:rPr>
        <w:footnoteReference w:id="962"/>
      </w:r>
      <w:r w:rsidRPr="00351B7D">
        <w:rPr>
          <w:rFonts w:asciiTheme="minorBidi" w:hAnsiTheme="minorBidi"/>
          <w:rtl/>
        </w:rPr>
        <w:t xml:space="preserve">. </w:t>
      </w:r>
    </w:p>
    <w:p w14:paraId="12F165E4" w14:textId="77777777" w:rsidR="002E5BAD" w:rsidRPr="00351B7D" w:rsidRDefault="002E5BAD" w:rsidP="002E5BAD">
      <w:pPr>
        <w:rPr>
          <w:rFonts w:asciiTheme="minorBidi" w:hAnsiTheme="minorBidi"/>
          <w:rtl/>
        </w:rPr>
      </w:pPr>
      <w:r w:rsidRPr="00351B7D">
        <w:rPr>
          <w:rFonts w:asciiTheme="minorBidi" w:hAnsiTheme="minorBidi"/>
          <w:b/>
          <w:bCs/>
          <w:rtl/>
        </w:rPr>
        <w:t>ירושלמי</w:t>
      </w:r>
      <w:r w:rsidRPr="00351B7D">
        <w:rPr>
          <w:rFonts w:asciiTheme="minorBidi" w:hAnsiTheme="minorBidi"/>
          <w:b/>
          <w:bCs/>
          <w:sz w:val="16"/>
          <w:szCs w:val="16"/>
          <w:rtl/>
        </w:rPr>
        <w:t xml:space="preserve"> (וילנא) </w:t>
      </w:r>
      <w:r w:rsidRPr="00351B7D">
        <w:rPr>
          <w:rFonts w:asciiTheme="minorBidi" w:hAnsiTheme="minorBidi"/>
          <w:b/>
          <w:bCs/>
          <w:rtl/>
        </w:rPr>
        <w:t>כתובות פ"ה ה"א:</w:t>
      </w:r>
      <w:r w:rsidRPr="00351B7D">
        <w:rPr>
          <w:rFonts w:asciiTheme="minorBidi" w:hAnsiTheme="minorBidi"/>
          <w:rtl/>
        </w:rPr>
        <w:t xml:space="preserve"> רוצה הוא ליתן כמה ולא תחזור בה, ויכולה היא? לא כן תני האיש אינו מוציא אלא לרצונו! </w:t>
      </w:r>
      <w:r w:rsidRPr="00351B7D">
        <w:rPr>
          <w:rFonts w:asciiTheme="minorBidi" w:hAnsiTheme="minorBidi"/>
          <w:u w:val="single"/>
          <w:rtl/>
        </w:rPr>
        <w:t>אמר רבי אבין</w:t>
      </w:r>
      <w:r w:rsidRPr="00351B7D">
        <w:rPr>
          <w:rFonts w:asciiTheme="minorBidi" w:hAnsiTheme="minorBidi"/>
          <w:rtl/>
        </w:rPr>
        <w:t xml:space="preserve"> מעיקא היא ליה- הוא משבק לה, תני כשם שהבעל פוסק כך האב פוסק אלא שהבעל מזכה בכתב והאב אינו מזכה אלא בדברים ובלבד דברים שהן נקנין באמירה, היך עבידא... </w:t>
      </w:r>
      <w:r w:rsidRPr="00351B7D">
        <w:rPr>
          <w:rFonts w:asciiTheme="minorBidi" w:hAnsiTheme="minorBidi"/>
          <w:u w:val="single"/>
          <w:rtl/>
        </w:rPr>
        <w:t>ר' בא בר חייה בשם ר' יוחנן:</w:t>
      </w:r>
      <w:r w:rsidRPr="00351B7D">
        <w:rPr>
          <w:rFonts w:asciiTheme="minorBidi" w:hAnsiTheme="minorBidi"/>
          <w:rtl/>
        </w:rPr>
        <w:t xml:space="preserve"> כמה אתה נותן לבנך? כך וכך, כמה אתה נותן לבתך? כך וכך, כיון שקידשה זכת הבת בין הבנות והבן בין הבנים ובלבד מן הנישואין הראשונים.</w:t>
      </w:r>
    </w:p>
    <w:p w14:paraId="51DE8BDB" w14:textId="77777777" w:rsidR="002E5BAD" w:rsidRPr="00351B7D" w:rsidRDefault="002E5BAD" w:rsidP="002E5BAD">
      <w:pPr>
        <w:rPr>
          <w:rFonts w:asciiTheme="minorBidi" w:hAnsiTheme="minorBidi"/>
          <w:u w:val="single"/>
          <w:rtl/>
        </w:rPr>
      </w:pPr>
      <w:r w:rsidRPr="00351B7D">
        <w:rPr>
          <w:rFonts w:asciiTheme="minorBidi" w:hAnsiTheme="minorBidi"/>
          <w:u w:val="single"/>
          <w:rtl/>
        </w:rPr>
        <w:t>גירשה לאחר הקידושין- האם גובה האשה תוספת זו שהתחייב לה בשעת קדושין:</w:t>
      </w:r>
    </w:p>
    <w:p w14:paraId="61A83AF4" w14:textId="77777777" w:rsidR="002E5BAD" w:rsidRPr="00351B7D" w:rsidRDefault="002E5BAD" w:rsidP="002E5BAD">
      <w:pPr>
        <w:pStyle w:val="ab"/>
        <w:numPr>
          <w:ilvl w:val="0"/>
          <w:numId w:val="150"/>
        </w:numPr>
        <w:rPr>
          <w:rFonts w:asciiTheme="minorBidi" w:hAnsiTheme="minorBidi"/>
        </w:rPr>
      </w:pPr>
      <w:r w:rsidRPr="00351B7D">
        <w:rPr>
          <w:rFonts w:asciiTheme="minorBidi" w:hAnsiTheme="minorBidi"/>
          <w:rtl/>
        </w:rPr>
        <w:t xml:space="preserve">בעהי"ט </w:t>
      </w:r>
      <w:r w:rsidRPr="00351B7D">
        <w:rPr>
          <w:rFonts w:asciiTheme="minorBidi" w:hAnsiTheme="minorBidi"/>
          <w:color w:val="000000"/>
          <w:sz w:val="16"/>
          <w:szCs w:val="16"/>
          <w:rtl/>
        </w:rPr>
        <w:t>(הביאו הטור [בסי' סו])</w:t>
      </w:r>
      <w:r w:rsidRPr="00351B7D">
        <w:rPr>
          <w:rFonts w:asciiTheme="minorBidi" w:hAnsiTheme="minorBidi"/>
          <w:rtl/>
        </w:rPr>
        <w:t>- "ואי כתב</w:t>
      </w:r>
      <w:r w:rsidRPr="00351B7D">
        <w:rPr>
          <w:rStyle w:val="a7"/>
          <w:rFonts w:asciiTheme="minorBidi" w:hAnsiTheme="minorBidi"/>
          <w:rtl/>
        </w:rPr>
        <w:footnoteReference w:id="963"/>
      </w:r>
      <w:r w:rsidRPr="00351B7D">
        <w:rPr>
          <w:rFonts w:asciiTheme="minorBidi" w:hAnsiTheme="minorBidi"/>
          <w:rtl/>
        </w:rPr>
        <w:t xml:space="preserve"> לה בשעת </w:t>
      </w:r>
      <w:r w:rsidRPr="00351B7D">
        <w:rPr>
          <w:rFonts w:asciiTheme="minorBidi" w:hAnsiTheme="minorBidi"/>
          <w:u w:val="single"/>
          <w:rtl/>
        </w:rPr>
        <w:t>קידושין</w:t>
      </w:r>
      <w:r w:rsidRPr="00351B7D">
        <w:rPr>
          <w:rFonts w:asciiTheme="minorBidi" w:hAnsiTheme="minorBidi"/>
          <w:rtl/>
        </w:rPr>
        <w:t xml:space="preserve"> ומגרש</w:t>
      </w:r>
      <w:r w:rsidRPr="00351B7D">
        <w:rPr>
          <w:rStyle w:val="a7"/>
          <w:rFonts w:asciiTheme="minorBidi" w:hAnsiTheme="minorBidi"/>
          <w:rtl/>
        </w:rPr>
        <w:footnoteReference w:id="964"/>
      </w:r>
      <w:r w:rsidRPr="00351B7D">
        <w:rPr>
          <w:rFonts w:asciiTheme="minorBidi" w:hAnsiTheme="minorBidi"/>
          <w:rtl/>
        </w:rPr>
        <w:t xml:space="preserve"> לה, גביא, ולא אמרינן אדעתא למשקל ומיפק מיניה לא אקני לה, וכן שדר רב שר שלום גאון והסכימו עליה כל בני מתיבתא</w:t>
      </w:r>
      <w:r w:rsidRPr="00351B7D">
        <w:rPr>
          <w:rStyle w:val="a7"/>
          <w:rFonts w:asciiTheme="minorBidi" w:hAnsiTheme="minorBidi"/>
          <w:rtl/>
        </w:rPr>
        <w:footnoteReference w:id="965"/>
      </w:r>
      <w:r w:rsidRPr="00351B7D">
        <w:rPr>
          <w:rFonts w:asciiTheme="minorBidi" w:hAnsiTheme="minorBidi"/>
          <w:rtl/>
        </w:rPr>
        <w:t xml:space="preserve">".  </w:t>
      </w:r>
    </w:p>
    <w:p w14:paraId="0DEAA026" w14:textId="77777777" w:rsidR="002E5BAD" w:rsidRPr="00351B7D" w:rsidRDefault="002E5BAD" w:rsidP="002E5BAD">
      <w:pPr>
        <w:rPr>
          <w:rFonts w:asciiTheme="minorBidi" w:hAnsiTheme="minorBidi"/>
          <w:u w:val="single"/>
          <w:rtl/>
        </w:rPr>
      </w:pPr>
      <w:r w:rsidRPr="00351B7D">
        <w:rPr>
          <w:rFonts w:asciiTheme="minorBidi" w:hAnsiTheme="minorBidi"/>
          <w:u w:val="single"/>
          <w:rtl/>
        </w:rPr>
        <w:t xml:space="preserve">האם קנין זה שנעשה באמירה גרידא בשעת </w:t>
      </w:r>
      <w:r w:rsidRPr="00351B7D">
        <w:rPr>
          <w:rFonts w:asciiTheme="minorBidi" w:hAnsiTheme="minorBidi"/>
          <w:b/>
          <w:bCs/>
          <w:u w:val="single"/>
          <w:rtl/>
        </w:rPr>
        <w:t>הקדושין</w:t>
      </w:r>
      <w:r w:rsidRPr="00351B7D">
        <w:rPr>
          <w:rFonts w:asciiTheme="minorBidi" w:hAnsiTheme="minorBidi"/>
          <w:u w:val="single"/>
          <w:rtl/>
        </w:rPr>
        <w:t xml:space="preserve">, יכול להעשות גם בשעת </w:t>
      </w:r>
      <w:r w:rsidRPr="00351B7D">
        <w:rPr>
          <w:rFonts w:asciiTheme="minorBidi" w:hAnsiTheme="minorBidi"/>
          <w:b/>
          <w:bCs/>
          <w:u w:val="single"/>
          <w:rtl/>
        </w:rPr>
        <w:t>הנישואין</w:t>
      </w:r>
      <w:r w:rsidRPr="00351B7D">
        <w:rPr>
          <w:rFonts w:asciiTheme="minorBidi" w:hAnsiTheme="minorBidi"/>
          <w:u w:val="single"/>
          <w:rtl/>
        </w:rPr>
        <w:t>:</w:t>
      </w:r>
    </w:p>
    <w:p w14:paraId="7D0E8ECB" w14:textId="77777777" w:rsidR="002E5BAD" w:rsidRPr="00351B7D" w:rsidRDefault="002E5BAD" w:rsidP="002E5BAD">
      <w:pPr>
        <w:pStyle w:val="ab"/>
        <w:numPr>
          <w:ilvl w:val="0"/>
          <w:numId w:val="147"/>
        </w:numPr>
        <w:rPr>
          <w:rFonts w:asciiTheme="minorBidi" w:hAnsiTheme="minorBidi"/>
        </w:rPr>
      </w:pPr>
      <w:r w:rsidRPr="00351B7D">
        <w:rPr>
          <w:rFonts w:asciiTheme="minorBidi" w:hAnsiTheme="minorBidi"/>
          <w:rtl/>
        </w:rPr>
        <w:lastRenderedPageBreak/>
        <w:t>רב האי רמב"ם</w:t>
      </w:r>
      <w:r w:rsidRPr="00351B7D">
        <w:rPr>
          <w:rStyle w:val="a7"/>
          <w:rFonts w:asciiTheme="minorBidi" w:hAnsiTheme="minorBidi"/>
          <w:rtl/>
        </w:rPr>
        <w:footnoteReference w:id="966"/>
      </w:r>
      <w:r w:rsidRPr="00351B7D">
        <w:rPr>
          <w:rFonts w:asciiTheme="minorBidi" w:hAnsiTheme="minorBidi"/>
          <w:rtl/>
        </w:rPr>
        <w:t xml:space="preserve"> ריטב"א וטור</w:t>
      </w:r>
      <w:r w:rsidRPr="00351B7D">
        <w:rPr>
          <w:rStyle w:val="a7"/>
          <w:rFonts w:asciiTheme="minorBidi" w:hAnsiTheme="minorBidi"/>
          <w:rtl/>
        </w:rPr>
        <w:footnoteReference w:id="967"/>
      </w:r>
      <w:r w:rsidRPr="00351B7D">
        <w:rPr>
          <w:rFonts w:asciiTheme="minorBidi" w:hAnsiTheme="minorBidi"/>
          <w:rtl/>
        </w:rPr>
        <w:t>- "א"צ קנין בשעת נשואין במה שנתן לה</w:t>
      </w:r>
      <w:r w:rsidRPr="00351B7D">
        <w:rPr>
          <w:rStyle w:val="a7"/>
          <w:rFonts w:asciiTheme="minorBidi" w:hAnsiTheme="minorBidi"/>
          <w:rtl/>
        </w:rPr>
        <w:footnoteReference w:id="968"/>
      </w:r>
      <w:r w:rsidRPr="00351B7D">
        <w:rPr>
          <w:rFonts w:asciiTheme="minorBidi" w:hAnsiTheme="minorBidi"/>
          <w:rtl/>
        </w:rPr>
        <w:t>, דתנאי כתובה ככתובה דמי כי היכי דבשעת קדושין לא בעי קנין מדרב גידל</w:t>
      </w:r>
      <w:r w:rsidRPr="00351B7D">
        <w:rPr>
          <w:rFonts w:asciiTheme="minorBidi" w:hAnsiTheme="minorBidi"/>
          <w:sz w:val="16"/>
          <w:szCs w:val="16"/>
          <w:rtl/>
        </w:rPr>
        <w:t xml:space="preserve"> (ל' הטור)</w:t>
      </w:r>
      <w:r w:rsidRPr="00351B7D">
        <w:rPr>
          <w:rFonts w:asciiTheme="minorBidi" w:hAnsiTheme="minorBidi"/>
          <w:rtl/>
        </w:rPr>
        <w:t xml:space="preserve">".  </w:t>
      </w:r>
      <w:r w:rsidRPr="00351B7D">
        <w:rPr>
          <w:rFonts w:asciiTheme="minorBidi" w:hAnsiTheme="minorBidi"/>
          <w:color w:val="E36C0A" w:themeColor="accent6" w:themeShade="BF"/>
          <w:rtl/>
        </w:rPr>
        <w:t>(וכ"כ בשו"ע)</w:t>
      </w:r>
    </w:p>
    <w:p w14:paraId="3288FC68" w14:textId="77777777" w:rsidR="002E5BAD" w:rsidRPr="00351B7D" w:rsidRDefault="002E5BAD" w:rsidP="002E5BAD">
      <w:pPr>
        <w:pStyle w:val="ab"/>
        <w:numPr>
          <w:ilvl w:val="0"/>
          <w:numId w:val="147"/>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(סי' רסג </w:t>
      </w:r>
      <w:r w:rsidRPr="00351B7D">
        <w:rPr>
          <w:rFonts w:asciiTheme="minorBidi" w:hAnsiTheme="minorBidi"/>
          <w:sz w:val="14"/>
          <w:szCs w:val="14"/>
          <w:rtl/>
        </w:rPr>
        <w:t>[הביאו הדרכ"מ בסי' נ"א אות א*]</w:t>
      </w:r>
      <w:r w:rsidRPr="00351B7D">
        <w:rPr>
          <w:rFonts w:asciiTheme="minorBidi" w:hAnsiTheme="minorBidi"/>
          <w:sz w:val="16"/>
          <w:szCs w:val="16"/>
          <w:rtl/>
        </w:rPr>
        <w:t>)</w:t>
      </w:r>
      <w:r w:rsidRPr="00351B7D">
        <w:rPr>
          <w:rFonts w:asciiTheme="minorBidi" w:hAnsiTheme="minorBidi"/>
          <w:rtl/>
        </w:rPr>
        <w:t xml:space="preserve"> ור"ן</w:t>
      </w:r>
      <w:r w:rsidRPr="00351B7D">
        <w:rPr>
          <w:rStyle w:val="a7"/>
          <w:rFonts w:asciiTheme="minorBidi" w:hAnsiTheme="minorBidi"/>
          <w:rtl/>
        </w:rPr>
        <w:footnoteReference w:id="969"/>
      </w:r>
      <w:r w:rsidRPr="00351B7D">
        <w:rPr>
          <w:rFonts w:asciiTheme="minorBidi" w:hAnsiTheme="minorBidi"/>
          <w:rtl/>
        </w:rPr>
        <w:t xml:space="preserve">- דוקא מקמי ארוסין, אבל מקמי נישואין לא. </w:t>
      </w:r>
    </w:p>
    <w:p w14:paraId="4C47E29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CCBFA0" w14:textId="77777777" w:rsidR="002E5BAD" w:rsidRPr="00351B7D" w:rsidRDefault="002E5BAD" w:rsidP="002E5BAD">
      <w:pPr>
        <w:rPr>
          <w:rFonts w:asciiTheme="minorBidi" w:hAnsiTheme="minorBidi"/>
          <w:color w:val="000000"/>
          <w:rtl/>
        </w:rPr>
      </w:pPr>
      <w:r w:rsidRPr="00351B7D">
        <w:rPr>
          <w:rFonts w:asciiTheme="minorBidi" w:hAnsiTheme="minorBidi"/>
          <w:rtl/>
        </w:rPr>
        <w:t>יש מי שאומר שאין צריך קנין בשעת הנשואין כמה שנותן לה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(ויש חולקין</w:t>
      </w:r>
      <w:r w:rsidRPr="00351B7D">
        <w:rPr>
          <w:rStyle w:val="a7"/>
          <w:rFonts w:asciiTheme="minorBidi" w:hAnsiTheme="minorBidi"/>
          <w:color w:val="000000"/>
          <w:sz w:val="18"/>
          <w:szCs w:val="18"/>
          <w:rtl/>
        </w:rPr>
        <w:footnoteReference w:id="970"/>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55E0583B"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u w:val="single"/>
          <w:rtl/>
        </w:rPr>
        <w:t>שטר שידוכין מול שטר כתובה:</w:t>
      </w:r>
      <w:r w:rsidRPr="00351B7D">
        <w:rPr>
          <w:rFonts w:asciiTheme="minorBidi" w:hAnsiTheme="minorBidi"/>
          <w:color w:val="000000"/>
          <w:sz w:val="16"/>
          <w:szCs w:val="16"/>
          <w:rtl/>
        </w:rPr>
        <w:t xml:space="preserve">   (ערך לחם סע' ח)</w:t>
      </w:r>
    </w:p>
    <w:p w14:paraId="1AA5BA0F" w14:textId="77777777" w:rsidR="002E5BAD" w:rsidRPr="00351B7D" w:rsidRDefault="002E5BAD" w:rsidP="002E5BAD">
      <w:pPr>
        <w:pStyle w:val="ab"/>
        <w:numPr>
          <w:ilvl w:val="0"/>
          <w:numId w:val="149"/>
        </w:numPr>
        <w:rPr>
          <w:rFonts w:asciiTheme="minorBidi" w:hAnsiTheme="minorBidi"/>
          <w:rtl/>
        </w:rPr>
      </w:pPr>
      <w:r w:rsidRPr="00351B7D">
        <w:rPr>
          <w:rFonts w:asciiTheme="minorBidi" w:hAnsiTheme="minorBidi"/>
          <w:rtl/>
        </w:rPr>
        <w:t>רדב"ז</w:t>
      </w:r>
      <w:r w:rsidRPr="00351B7D">
        <w:rPr>
          <w:rFonts w:asciiTheme="minorBidi" w:hAnsiTheme="minorBidi"/>
          <w:sz w:val="16"/>
          <w:szCs w:val="16"/>
          <w:rtl/>
        </w:rPr>
        <w:t xml:space="preserve"> (ח"ד סי' ג)</w:t>
      </w:r>
      <w:r w:rsidRPr="00351B7D">
        <w:rPr>
          <w:rFonts w:asciiTheme="minorBidi" w:hAnsiTheme="minorBidi"/>
          <w:rtl/>
        </w:rPr>
        <w:t>- היכא דאיכה סתירה משטר שידוכין לשטר כתובה אזלינן בתר שטר כתובה, ואם יכולים להשוותם אמרינן שסמך על שטר השידוכין</w:t>
      </w:r>
      <w:r w:rsidRPr="00351B7D">
        <w:rPr>
          <w:rStyle w:val="a7"/>
          <w:rFonts w:asciiTheme="minorBidi" w:hAnsiTheme="minorBidi"/>
          <w:rtl/>
        </w:rPr>
        <w:footnoteReference w:id="971"/>
      </w:r>
      <w:r w:rsidRPr="00351B7D">
        <w:rPr>
          <w:rFonts w:asciiTheme="minorBidi" w:hAnsiTheme="minorBidi"/>
          <w:rtl/>
        </w:rPr>
        <w:t>.</w:t>
      </w:r>
    </w:p>
    <w:p w14:paraId="62DF9721" w14:textId="77777777" w:rsidR="002E5BAD" w:rsidRPr="00351B7D" w:rsidRDefault="002E5BAD" w:rsidP="002E5BAD">
      <w:pPr>
        <w:rPr>
          <w:rFonts w:asciiTheme="minorBidi" w:hAnsiTheme="minorBidi"/>
          <w:color w:val="000000"/>
          <w:rtl/>
        </w:rPr>
      </w:pPr>
    </w:p>
    <w:p w14:paraId="36B5CA58" w14:textId="77777777" w:rsidR="002E5BAD" w:rsidRPr="00351B7D" w:rsidRDefault="002E5BAD" w:rsidP="002E5BAD">
      <w:pPr>
        <w:pStyle w:val="2"/>
        <w:rPr>
          <w:rFonts w:asciiTheme="minorBidi" w:hAnsiTheme="minorBidi"/>
          <w:rtl/>
        </w:rPr>
      </w:pPr>
      <w:r w:rsidRPr="00351B7D">
        <w:rPr>
          <w:rFonts w:asciiTheme="minorBidi" w:hAnsiTheme="minorBidi"/>
          <w:rtl/>
        </w:rPr>
        <w:t>סעיף ט: אין לה כתובה כפי הראוי לה.</w:t>
      </w:r>
    </w:p>
    <w:p w14:paraId="77206762" w14:textId="77777777" w:rsidR="002E5BAD" w:rsidRPr="00351B7D" w:rsidRDefault="002E5BAD" w:rsidP="002E5BAD">
      <w:pPr>
        <w:rPr>
          <w:rFonts w:asciiTheme="minorBidi" w:hAnsiTheme="minorBidi"/>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אם רצה כותב לבתולה שטר של מאתים והיא כותבת</w:t>
      </w:r>
      <w:r w:rsidRPr="00351B7D">
        <w:rPr>
          <w:rStyle w:val="a7"/>
          <w:rFonts w:asciiTheme="minorBidi" w:hAnsiTheme="minorBidi"/>
          <w:rtl/>
        </w:rPr>
        <w:footnoteReference w:id="972"/>
      </w:r>
      <w:r w:rsidRPr="00351B7D">
        <w:rPr>
          <w:rFonts w:asciiTheme="minorBidi" w:hAnsiTheme="minorBidi"/>
          <w:rtl/>
        </w:rPr>
        <w:t xml:space="preserve"> התקבלתי ממך מנה, ולאלמנה מנה והיא כותבת התקבלתי ממך חמשים זוז. </w:t>
      </w:r>
      <w:r w:rsidRPr="00351B7D">
        <w:rPr>
          <w:rFonts w:asciiTheme="minorBidi" w:hAnsiTheme="minorBidi"/>
          <w:u w:val="single"/>
          <w:rtl/>
        </w:rPr>
        <w:t>רבי מאיר אומר:</w:t>
      </w:r>
      <w:r w:rsidRPr="00351B7D">
        <w:rPr>
          <w:rFonts w:asciiTheme="minorBidi" w:hAnsiTheme="minorBidi"/>
          <w:rtl/>
        </w:rPr>
        <w:t xml:space="preserve"> כל הפוחת לבתולה ממאתים, ולאלמנה ממנה- הרי זו בעילת זנות.     </w:t>
      </w:r>
      <w:r w:rsidRPr="00351B7D">
        <w:rPr>
          <w:rFonts w:asciiTheme="minorBidi" w:hAnsiTheme="minorBidi"/>
          <w:u w:val="double"/>
          <w:rtl/>
        </w:rPr>
        <w:t>גמ'</w:t>
      </w:r>
      <w:r w:rsidRPr="00351B7D">
        <w:rPr>
          <w:rFonts w:asciiTheme="minorBidi" w:hAnsiTheme="minorBidi"/>
          <w:sz w:val="16"/>
          <w:szCs w:val="16"/>
          <w:u w:val="double"/>
          <w:rtl/>
        </w:rPr>
        <w:t xml:space="preserve"> (נו.)</w:t>
      </w:r>
      <w:r w:rsidRPr="00351B7D">
        <w:rPr>
          <w:rFonts w:asciiTheme="minorBidi" w:hAnsiTheme="minorBidi"/>
          <w:u w:val="double"/>
          <w:rtl/>
        </w:rPr>
        <w:t>:</w:t>
      </w:r>
      <w:r w:rsidRPr="00351B7D">
        <w:rPr>
          <w:rFonts w:asciiTheme="minorBidi" w:hAnsiTheme="minorBidi"/>
          <w:rtl/>
        </w:rPr>
        <w:t xml:space="preserve"> רבי יהודה אומר: רצה כותב לבתולה וכו'.... טעמא דכתבה ליה, אבל על פה</w:t>
      </w:r>
      <w:r w:rsidRPr="00351B7D">
        <w:rPr>
          <w:rStyle w:val="a7"/>
          <w:rFonts w:asciiTheme="minorBidi" w:hAnsiTheme="minorBidi"/>
          <w:rtl/>
        </w:rPr>
        <w:footnoteReference w:id="973"/>
      </w:r>
      <w:r w:rsidRPr="00351B7D">
        <w:rPr>
          <w:rFonts w:asciiTheme="minorBidi" w:hAnsiTheme="minorBidi"/>
          <w:rtl/>
        </w:rPr>
        <w:t xml:space="preserve"> לא, אמאי? 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בדבר שבממון</w:t>
      </w:r>
      <w:r w:rsidRPr="00351B7D">
        <w:rPr>
          <w:rStyle w:val="a7"/>
          <w:rFonts w:asciiTheme="minorBidi" w:hAnsiTheme="minorBidi"/>
          <w:rtl/>
        </w:rPr>
        <w:footnoteReference w:id="974"/>
      </w:r>
      <w:r w:rsidRPr="00351B7D">
        <w:rPr>
          <w:rFonts w:asciiTheme="minorBidi" w:hAnsiTheme="minorBidi"/>
          <w:rtl/>
        </w:rPr>
        <w:t xml:space="preserve"> תנאו קיים! </w:t>
      </w:r>
      <w:r w:rsidRPr="00351B7D">
        <w:rPr>
          <w:rFonts w:asciiTheme="minorBidi" w:hAnsiTheme="minorBidi"/>
          <w:u w:val="single"/>
          <w:rtl/>
        </w:rPr>
        <w:t>קסבר רבי יהודה</w:t>
      </w:r>
      <w:r w:rsidRPr="00351B7D">
        <w:rPr>
          <w:rFonts w:asciiTheme="minorBidi" w:hAnsiTheme="minorBidi"/>
          <w:rtl/>
        </w:rPr>
        <w:t>: כתובה דרבנן וחכמים עשו חיזוק לדבריהם יותר משל תורה</w:t>
      </w:r>
      <w:r w:rsidRPr="00351B7D">
        <w:rPr>
          <w:rStyle w:val="a7"/>
          <w:rFonts w:asciiTheme="minorBidi" w:hAnsiTheme="minorBidi"/>
          <w:rtl/>
        </w:rPr>
        <w:footnoteReference w:id="975"/>
      </w:r>
      <w:r w:rsidRPr="00351B7D">
        <w:rPr>
          <w:rFonts w:asciiTheme="minorBidi" w:hAnsiTheme="minorBidi"/>
          <w:rtl/>
        </w:rPr>
        <w:t xml:space="preserve">....  </w:t>
      </w:r>
      <w:r w:rsidRPr="00351B7D">
        <w:rPr>
          <w:rFonts w:asciiTheme="minorBidi" w:hAnsiTheme="minorBidi"/>
          <w:sz w:val="16"/>
          <w:szCs w:val="16"/>
          <w:u w:val="double"/>
          <w:rtl/>
        </w:rPr>
        <w:t>(נו:)</w:t>
      </w:r>
      <w:r w:rsidRPr="00351B7D">
        <w:rPr>
          <w:rFonts w:asciiTheme="minorBidi" w:hAnsiTheme="minorBidi"/>
          <w:rtl/>
        </w:rPr>
        <w:t xml:space="preserve"> ר' מאיר אומר: כל הפוחת וכו'. כל הפוחת אפי' בתנאה</w:t>
      </w:r>
      <w:r w:rsidRPr="00351B7D">
        <w:rPr>
          <w:rStyle w:val="a7"/>
          <w:rFonts w:asciiTheme="minorBidi" w:hAnsiTheme="minorBidi"/>
          <w:rtl/>
        </w:rPr>
        <w:footnoteReference w:id="976"/>
      </w:r>
      <w:r w:rsidRPr="00351B7D">
        <w:rPr>
          <w:rFonts w:asciiTheme="minorBidi" w:hAnsiTheme="minorBidi"/>
          <w:rtl/>
        </w:rPr>
        <w:t>, אלמא קסבר תנאו בטל</w:t>
      </w:r>
      <w:r w:rsidRPr="00351B7D">
        <w:rPr>
          <w:rStyle w:val="a7"/>
          <w:rFonts w:asciiTheme="minorBidi" w:hAnsiTheme="minorBidi"/>
          <w:rtl/>
        </w:rPr>
        <w:footnoteReference w:id="977"/>
      </w:r>
      <w:r w:rsidRPr="00351B7D">
        <w:rPr>
          <w:rFonts w:asciiTheme="minorBidi" w:hAnsiTheme="minorBidi"/>
          <w:rtl/>
        </w:rPr>
        <w:t xml:space="preserve"> ואית לה, וכיון דאמר לה לית ליך אלא מנה לא סמכא דעתה</w:t>
      </w:r>
      <w:r w:rsidRPr="00351B7D">
        <w:rPr>
          <w:rStyle w:val="a7"/>
          <w:rFonts w:asciiTheme="minorBidi" w:hAnsiTheme="minorBidi"/>
          <w:rtl/>
        </w:rPr>
        <w:footnoteReference w:id="978"/>
      </w:r>
      <w:r w:rsidRPr="00351B7D">
        <w:rPr>
          <w:rFonts w:asciiTheme="minorBidi" w:hAnsiTheme="minorBidi"/>
          <w:rtl/>
        </w:rPr>
        <w:t xml:space="preserve"> והויא לה בעילתו בעילת זנות; והא שמעינן ליה לרבי מאיר דאמר: כל המתנה על מה שכתוב בתורה תנאו בטל, הא בדרבנן תנאו קיים! </w:t>
      </w:r>
      <w:r w:rsidRPr="00351B7D">
        <w:rPr>
          <w:rFonts w:asciiTheme="minorBidi" w:hAnsiTheme="minorBidi"/>
          <w:u w:val="single"/>
          <w:rtl/>
        </w:rPr>
        <w:t>קסבר ר' מאיר</w:t>
      </w:r>
      <w:r w:rsidRPr="00351B7D">
        <w:rPr>
          <w:rFonts w:asciiTheme="minorBidi" w:hAnsiTheme="minorBidi"/>
          <w:rtl/>
        </w:rPr>
        <w:t>: כתובה דאורייתא.</w:t>
      </w:r>
    </w:p>
    <w:p w14:paraId="312B1D81" w14:textId="77777777" w:rsidR="002E5BAD" w:rsidRPr="00351B7D" w:rsidRDefault="002E5BAD" w:rsidP="002E5BAD">
      <w:pPr>
        <w:rPr>
          <w:rFonts w:asciiTheme="minorBidi" w:hAnsiTheme="minorBidi"/>
          <w:u w:val="single"/>
        </w:rPr>
      </w:pPr>
      <w:r w:rsidRPr="00351B7D">
        <w:rPr>
          <w:rFonts w:asciiTheme="minorBidi" w:hAnsiTheme="minorBidi"/>
          <w:u w:val="single"/>
          <w:rtl/>
        </w:rPr>
        <w:t>אין לה כתובה כפי הראוי לה</w:t>
      </w:r>
      <w:r w:rsidRPr="00351B7D">
        <w:rPr>
          <w:rStyle w:val="a7"/>
          <w:rFonts w:asciiTheme="minorBidi" w:hAnsiTheme="minorBidi"/>
          <w:u w:val="single"/>
          <w:rtl/>
        </w:rPr>
        <w:footnoteReference w:id="979"/>
      </w:r>
      <w:r w:rsidRPr="00351B7D">
        <w:rPr>
          <w:rFonts w:asciiTheme="minorBidi" w:hAnsiTheme="minorBidi"/>
          <w:u w:val="single"/>
          <w:rtl/>
        </w:rPr>
        <w:t xml:space="preserve">: </w:t>
      </w:r>
    </w:p>
    <w:p w14:paraId="5E179DED" w14:textId="77777777" w:rsidR="002E5BAD" w:rsidRPr="00351B7D" w:rsidRDefault="002E5BAD" w:rsidP="002E5BAD">
      <w:pPr>
        <w:pStyle w:val="ab"/>
        <w:numPr>
          <w:ilvl w:val="0"/>
          <w:numId w:val="144"/>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(פי"ב מה"א ה"ח)</w:t>
      </w:r>
      <w:r w:rsidRPr="00351B7D">
        <w:rPr>
          <w:rFonts w:asciiTheme="minorBidi" w:hAnsiTheme="minorBidi"/>
          <w:rtl/>
        </w:rPr>
        <w:t>- התנה עמה לפחות מעיקר כתובה, או שכתב לה מאתים או מאה עיקר כתובה וכתבה לו שנתקבלה מהן כך וכך והיא לא נתקבלה, תנאו בטל, שכל הפוחת לבתולה ממאתים ולאלמנה ממנה הרי זו בעילת זנות</w:t>
      </w:r>
      <w:r w:rsidRPr="00351B7D">
        <w:rPr>
          <w:rStyle w:val="a7"/>
          <w:rFonts w:asciiTheme="minorBidi" w:hAnsiTheme="minorBidi"/>
          <w:rtl/>
        </w:rPr>
        <w:footnoteReference w:id="980"/>
      </w:r>
      <w:r w:rsidRPr="00351B7D">
        <w:rPr>
          <w:rFonts w:asciiTheme="minorBidi" w:hAnsiTheme="minorBidi"/>
          <w:rtl/>
        </w:rPr>
        <w:t>.</w:t>
      </w:r>
    </w:p>
    <w:p w14:paraId="4B12728D" w14:textId="77777777" w:rsidR="002E5BAD" w:rsidRPr="00351B7D" w:rsidRDefault="002E5BAD" w:rsidP="002E5BAD">
      <w:pPr>
        <w:pStyle w:val="ab"/>
        <w:numPr>
          <w:ilvl w:val="0"/>
          <w:numId w:val="144"/>
        </w:numPr>
        <w:rPr>
          <w:rFonts w:asciiTheme="minorBidi" w:hAnsiTheme="minorBidi"/>
        </w:rPr>
      </w:pPr>
      <w:r w:rsidRPr="00351B7D">
        <w:rPr>
          <w:rFonts w:asciiTheme="minorBidi" w:hAnsiTheme="minorBidi"/>
          <w:rtl/>
        </w:rPr>
        <w:lastRenderedPageBreak/>
        <w:t xml:space="preserve">רא"ש </w:t>
      </w:r>
      <w:r w:rsidRPr="00351B7D">
        <w:rPr>
          <w:rFonts w:asciiTheme="minorBidi" w:hAnsiTheme="minorBidi"/>
          <w:sz w:val="16"/>
          <w:szCs w:val="16"/>
          <w:rtl/>
        </w:rPr>
        <w:t>(פ"ה סי' ז)</w:t>
      </w:r>
      <w:r w:rsidRPr="00351B7D">
        <w:rPr>
          <w:rFonts w:asciiTheme="minorBidi" w:hAnsiTheme="minorBidi"/>
          <w:rtl/>
        </w:rPr>
        <w:t xml:space="preserve">- "כל הפוחת ואפילו בתנאה והכי קאמר רבי מאיר לרבי יהודה לא מיבעיא אם כתבה לו התקבלתי דאז אין לה כתובה כיון דמחלה דהוי בעילת זנות, אלא אפילו הפוחת בתנאה בשעת הקדושין דתנאו בטל </w:t>
      </w:r>
      <w:r w:rsidRPr="00351B7D">
        <w:rPr>
          <w:rFonts w:asciiTheme="minorBidi" w:hAnsiTheme="minorBidi"/>
          <w:sz w:val="16"/>
          <w:szCs w:val="16"/>
          <w:rtl/>
        </w:rPr>
        <w:t>(היינו דיש לה כתובה משלם)</w:t>
      </w:r>
      <w:r w:rsidRPr="00351B7D">
        <w:rPr>
          <w:rFonts w:asciiTheme="minorBidi" w:hAnsiTheme="minorBidi"/>
          <w:rtl/>
        </w:rPr>
        <w:t xml:space="preserve"> הוי בעילת זנות דכיון דאמר לה לית ליך אלא מנה לא סמכה דעתה</w:t>
      </w:r>
      <w:r w:rsidRPr="00351B7D">
        <w:rPr>
          <w:rStyle w:val="a7"/>
          <w:rFonts w:asciiTheme="minorBidi" w:hAnsiTheme="minorBidi"/>
          <w:rtl/>
        </w:rPr>
        <w:footnoteReference w:id="981"/>
      </w:r>
      <w:r w:rsidRPr="00351B7D">
        <w:rPr>
          <w:rFonts w:asciiTheme="minorBidi" w:hAnsiTheme="minorBidi"/>
          <w:rtl/>
        </w:rPr>
        <w:t xml:space="preserve">". </w:t>
      </w:r>
    </w:p>
    <w:p w14:paraId="1DC162D1" w14:textId="77777777" w:rsidR="002E5BAD" w:rsidRPr="00351B7D" w:rsidRDefault="002E5BAD" w:rsidP="002E5BAD">
      <w:pPr>
        <w:ind w:left="360"/>
        <w:rPr>
          <w:rFonts w:asciiTheme="minorBidi" w:hAnsiTheme="minorBidi"/>
          <w:u w:val="dotted"/>
        </w:rPr>
      </w:pPr>
      <w:r w:rsidRPr="00351B7D">
        <w:rPr>
          <w:rFonts w:asciiTheme="minorBidi" w:hAnsiTheme="minorBidi"/>
          <w:u w:val="dotted"/>
          <w:rtl/>
        </w:rPr>
        <w:t xml:space="preserve">סיכום הדעות </w:t>
      </w:r>
      <w:r w:rsidRPr="00351B7D">
        <w:rPr>
          <w:rFonts w:asciiTheme="minorBidi" w:hAnsiTheme="minorBidi"/>
          <w:sz w:val="16"/>
          <w:szCs w:val="16"/>
          <w:u w:val="dotted"/>
          <w:rtl/>
        </w:rPr>
        <w:t>(מסע' ג' ומסע' זה)</w:t>
      </w:r>
      <w:r w:rsidRPr="00351B7D">
        <w:rPr>
          <w:rFonts w:asciiTheme="minorBidi" w:hAnsiTheme="minorBidi"/>
          <w:u w:val="dotted"/>
          <w:rtl/>
        </w:rPr>
        <w:t>:</w:t>
      </w:r>
    </w:p>
    <w:p w14:paraId="1EF8AC5E" w14:textId="77777777" w:rsidR="002E5BAD" w:rsidRPr="00351B7D" w:rsidRDefault="002E5BAD" w:rsidP="002E5BAD">
      <w:pPr>
        <w:pStyle w:val="ab"/>
        <w:numPr>
          <w:ilvl w:val="0"/>
          <w:numId w:val="145"/>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הר"ן והה"מ</w:t>
      </w:r>
      <w:r w:rsidRPr="00351B7D">
        <w:rPr>
          <w:rFonts w:asciiTheme="minorBidi" w:hAnsiTheme="minorBidi"/>
          <w:rtl/>
        </w:rPr>
        <w:t xml:space="preserve">)- מחילה בע"פ מהני, בתנאי שמגרשה לאחר שמוחלת לו, אבל אם אינו מגרשה לא מהני מחילה אפי' בכתב, וכ"ש שתנאי לא מהני. </w:t>
      </w:r>
    </w:p>
    <w:p w14:paraId="44F94DB7" w14:textId="77777777" w:rsidR="002E5BAD" w:rsidRPr="00351B7D" w:rsidRDefault="002E5BAD" w:rsidP="002E5BAD">
      <w:pPr>
        <w:pStyle w:val="ab"/>
        <w:numPr>
          <w:ilvl w:val="0"/>
          <w:numId w:val="145"/>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להב' הב"ש</w:t>
      </w:r>
      <w:r w:rsidRPr="00351B7D">
        <w:rPr>
          <w:rFonts w:asciiTheme="minorBidi" w:hAnsiTheme="minorBidi"/>
          <w:rtl/>
        </w:rPr>
        <w:t xml:space="preserve">)- מחילה או תנאי בכתב מהני, אבל בע"פ לא מהני אא"כ מגרש אותה </w:t>
      </w:r>
      <w:r w:rsidRPr="00351B7D">
        <w:rPr>
          <w:rFonts w:asciiTheme="minorBidi" w:hAnsiTheme="minorBidi"/>
          <w:sz w:val="16"/>
          <w:szCs w:val="16"/>
          <w:rtl/>
        </w:rPr>
        <w:t>(או אלמנה שמחלה)</w:t>
      </w:r>
      <w:r w:rsidRPr="00351B7D">
        <w:rPr>
          <w:rFonts w:asciiTheme="minorBidi" w:hAnsiTheme="minorBidi"/>
          <w:rtl/>
        </w:rPr>
        <w:t>.</w:t>
      </w:r>
    </w:p>
    <w:p w14:paraId="2B274ED5" w14:textId="77777777" w:rsidR="002E5BAD" w:rsidRPr="00351B7D" w:rsidRDefault="002E5BAD" w:rsidP="002E5BAD">
      <w:pPr>
        <w:pStyle w:val="ab"/>
        <w:numPr>
          <w:ilvl w:val="0"/>
          <w:numId w:val="145"/>
        </w:numPr>
        <w:rPr>
          <w:rFonts w:asciiTheme="minorBidi" w:hAnsiTheme="minorBidi"/>
          <w:rtl/>
        </w:rPr>
      </w:pPr>
      <w:r w:rsidRPr="00351B7D">
        <w:rPr>
          <w:rFonts w:asciiTheme="minorBidi" w:hAnsiTheme="minorBidi"/>
          <w:rtl/>
        </w:rPr>
        <w:t>טור- תנאי לעולם בטל</w:t>
      </w:r>
      <w:r w:rsidRPr="00351B7D">
        <w:rPr>
          <w:rStyle w:val="a7"/>
          <w:rFonts w:asciiTheme="minorBidi" w:hAnsiTheme="minorBidi"/>
          <w:rtl/>
        </w:rPr>
        <w:footnoteReference w:id="982"/>
      </w:r>
      <w:r w:rsidRPr="00351B7D">
        <w:rPr>
          <w:rFonts w:asciiTheme="minorBidi" w:hAnsiTheme="minorBidi"/>
          <w:rtl/>
        </w:rPr>
        <w:t xml:space="preserve"> בין בע"פ בין בכתב, אבל מחילה בכתב מהני</w:t>
      </w:r>
      <w:r w:rsidRPr="00351B7D">
        <w:rPr>
          <w:rStyle w:val="a7"/>
          <w:rFonts w:asciiTheme="minorBidi" w:hAnsiTheme="minorBidi"/>
          <w:rtl/>
        </w:rPr>
        <w:footnoteReference w:id="983"/>
      </w:r>
      <w:r w:rsidRPr="00351B7D">
        <w:rPr>
          <w:rFonts w:asciiTheme="minorBidi" w:hAnsiTheme="minorBidi"/>
          <w:rtl/>
        </w:rPr>
        <w:t xml:space="preserve">.   </w:t>
      </w:r>
    </w:p>
    <w:p w14:paraId="1E0803B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826DA0" w14:textId="77777777" w:rsidR="002E5BAD" w:rsidRPr="00351B7D" w:rsidRDefault="002E5BAD" w:rsidP="002E5BAD">
      <w:pPr>
        <w:rPr>
          <w:rFonts w:asciiTheme="minorBidi" w:hAnsiTheme="minorBidi"/>
          <w:rtl/>
        </w:rPr>
      </w:pPr>
      <w:r w:rsidRPr="00351B7D">
        <w:rPr>
          <w:rFonts w:asciiTheme="minorBidi" w:hAnsiTheme="minorBidi"/>
          <w:rtl/>
        </w:rPr>
        <w:t>כל הפוחת משיעור הכתובה בעילתו בעילת זנות, לא מבעיא אם כתבה לו אחר כך התקבלתי ממך הכתובה או מקצתה דאז אין לה לדעת קצת פוסקים</w:t>
      </w:r>
      <w:r w:rsidRPr="00351B7D">
        <w:rPr>
          <w:rStyle w:val="a7"/>
          <w:rFonts w:asciiTheme="minorBidi" w:hAnsiTheme="minorBidi"/>
          <w:color w:val="000000"/>
          <w:rtl/>
        </w:rPr>
        <w:footnoteReference w:id="984"/>
      </w:r>
      <w:r w:rsidRPr="00351B7D">
        <w:rPr>
          <w:rFonts w:asciiTheme="minorBidi" w:hAnsiTheme="minorBidi"/>
          <w:rtl/>
        </w:rPr>
        <w:t xml:space="preserve">, אלא אפילו התנה בשעת קדושין שלא יהא לה כתובה או שפיחת לה משיעורה אף על פי שתנאו בטל ויש לה כתובה משלם אפילו הכי בעילתו בעילת זנות כיון שהיא סבורה שאין לה לא סמכה דעתה. </w:t>
      </w:r>
    </w:p>
    <w:p w14:paraId="0AB4622E" w14:textId="77777777" w:rsidR="002E5BAD" w:rsidRPr="00351B7D" w:rsidRDefault="002E5BAD" w:rsidP="002E5BAD">
      <w:pPr>
        <w:rPr>
          <w:rFonts w:asciiTheme="minorBidi" w:hAnsiTheme="minorBidi"/>
          <w:rtl/>
        </w:rPr>
      </w:pPr>
    </w:p>
    <w:p w14:paraId="45272406" w14:textId="77777777" w:rsidR="002E5BAD" w:rsidRPr="00351B7D" w:rsidRDefault="002E5BAD" w:rsidP="002E5BAD">
      <w:pPr>
        <w:pStyle w:val="2"/>
        <w:rPr>
          <w:rFonts w:asciiTheme="minorBidi" w:hAnsiTheme="minorBidi"/>
          <w:rtl/>
        </w:rPr>
      </w:pPr>
      <w:r w:rsidRPr="00351B7D">
        <w:rPr>
          <w:rFonts w:asciiTheme="minorBidi" w:hAnsiTheme="minorBidi"/>
          <w:rtl/>
        </w:rPr>
        <w:t>סעיף י: כתובה לפי מנהג המשפחה.</w:t>
      </w:r>
    </w:p>
    <w:p w14:paraId="099DE58E" w14:textId="77777777" w:rsidR="002E5BAD" w:rsidRPr="00351B7D" w:rsidRDefault="002E5BAD" w:rsidP="002E5BAD">
      <w:pPr>
        <w:rPr>
          <w:rFonts w:asciiTheme="minorBidi" w:hAnsiTheme="minorBidi"/>
          <w:rtl/>
        </w:rPr>
      </w:pPr>
      <w:r w:rsidRPr="00351B7D">
        <w:rPr>
          <w:rFonts w:asciiTheme="minorBidi" w:hAnsiTheme="minorBidi"/>
          <w:b/>
          <w:bCs/>
          <w:rtl/>
        </w:rPr>
        <w:t>כתובות יב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בית דין של כהנים היו גובין לבתולה</w:t>
      </w:r>
      <w:r w:rsidRPr="00351B7D">
        <w:rPr>
          <w:rStyle w:val="a7"/>
          <w:rFonts w:asciiTheme="minorBidi" w:hAnsiTheme="minorBidi"/>
          <w:rtl/>
        </w:rPr>
        <w:footnoteReference w:id="985"/>
      </w:r>
      <w:r w:rsidRPr="00351B7D">
        <w:rPr>
          <w:rFonts w:asciiTheme="minorBidi" w:hAnsiTheme="minorBidi"/>
          <w:rtl/>
        </w:rPr>
        <w:t xml:space="preserve"> ארבע מאות זוז, ולא מיחו בידם חכמים.  </w:t>
      </w:r>
      <w:r w:rsidRPr="00351B7D">
        <w:rPr>
          <w:rFonts w:asciiTheme="minorBidi" w:hAnsiTheme="minorBidi"/>
          <w:u w:val="double"/>
          <w:rtl/>
        </w:rPr>
        <w:t>גמ'</w:t>
      </w:r>
      <w:r w:rsidRPr="00351B7D">
        <w:rPr>
          <w:rFonts w:asciiTheme="minorBidi" w:hAnsiTheme="minorBidi"/>
          <w:sz w:val="16"/>
          <w:szCs w:val="16"/>
          <w:u w:val="double"/>
          <w:rtl/>
        </w:rPr>
        <w:t>(יב:)</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xml:space="preserve">: לא ב"ד של כהנים בלבד אמרו, אלא אפי' משפחות המיוחסות בישראל, אם רצו לעשות כדרך שהכהנים עושין - עושין. </w:t>
      </w:r>
      <w:r w:rsidRPr="00351B7D">
        <w:rPr>
          <w:rFonts w:asciiTheme="minorBidi" w:hAnsiTheme="minorBidi"/>
          <w:color w:val="000000"/>
          <w:sz w:val="16"/>
          <w:szCs w:val="16"/>
          <w:rtl/>
        </w:rPr>
        <w:t>(וכ' הר"ן (ד: דיבור ראשון) כלומר אם בא אדם ונשא בתולה סתם מאותה משפחה חייב ליתן לה ת'. וכ' התוס' (יב: ד"ה בית דין) אע"פ שלא כתב בלשון תוספת אלא ת' דחזו ליכי וסד"א דלא תגבה דלא חזו ובלשון תוספת לא כתב קמ"ל דמנהג טוב מאד הוא וראוי להיות בכהונה ובמשפחות המיוחסות ושייך בהו למימר דחזו ליכי ואפילו לא כתב לה כתובה גובה בתנאי ב"ד כמו בנות ישראל דתקנה גמורה היא. וכ' התוס' (יבמות סה: ד"ה כי) מה שכותבים נדוניא גדולה לכבוד הכלה נראה לי דהוי כעין תוספת</w:t>
      </w:r>
      <w:r w:rsidRPr="00351B7D">
        <w:rPr>
          <w:rStyle w:val="a7"/>
          <w:rFonts w:asciiTheme="minorBidi" w:hAnsiTheme="minorBidi"/>
          <w:sz w:val="16"/>
          <w:szCs w:val="16"/>
          <w:rtl/>
        </w:rPr>
        <w:footnoteReference w:id="986"/>
      </w:r>
      <w:r w:rsidRPr="00351B7D">
        <w:rPr>
          <w:rFonts w:asciiTheme="minorBidi" w:hAnsiTheme="minorBidi"/>
          <w:sz w:val="16"/>
          <w:szCs w:val="16"/>
          <w:rtl/>
        </w:rPr>
        <w:t>)</w:t>
      </w:r>
    </w:p>
    <w:p w14:paraId="097C373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5F8036" w14:textId="77777777" w:rsidR="002E5BAD" w:rsidRPr="00351B7D" w:rsidRDefault="002E5BAD" w:rsidP="002E5BAD">
      <w:pPr>
        <w:rPr>
          <w:rFonts w:asciiTheme="minorBidi" w:hAnsiTheme="minorBidi"/>
          <w:rtl/>
        </w:rPr>
      </w:pPr>
      <w:r w:rsidRPr="00351B7D">
        <w:rPr>
          <w:rFonts w:asciiTheme="minorBidi" w:hAnsiTheme="minorBidi"/>
          <w:rtl/>
        </w:rPr>
        <w:t>אם יש משפחות שנוהגים לכתוב בכתובתן יותר משיעור חכמים אין למחות בידם ולא עוד אלא אפילו אחד מבני המשפחה ההיא שלא כתב כתובה לאשתו מגבינן לה בתנאי בית דין לפי מה שרגילין לכתוב. לפיכך אשה שאבדה כתובתה ידקדקו בכתובות קרובותיה כפי מה שנהגו לכתוב בני המשפחה כותבין לה</w:t>
      </w:r>
      <w:r w:rsidRPr="00351B7D">
        <w:rPr>
          <w:rStyle w:val="a7"/>
          <w:rFonts w:asciiTheme="minorBidi" w:hAnsiTheme="minorBidi"/>
          <w:color w:val="000000"/>
          <w:rtl/>
        </w:rPr>
        <w:footnoteReference w:id="987"/>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(ואפילו כתב לה דחזו ליכי אפילו הכי גביא כמנהג משפחתה</w:t>
      </w:r>
      <w:r w:rsidRPr="00351B7D">
        <w:rPr>
          <w:rStyle w:val="a7"/>
          <w:rFonts w:asciiTheme="minorBidi" w:hAnsiTheme="minorBidi"/>
          <w:color w:val="000000"/>
          <w:sz w:val="18"/>
          <w:szCs w:val="18"/>
          <w:rtl/>
        </w:rPr>
        <w:footnoteReference w:id="988"/>
      </w:r>
      <w:r w:rsidRPr="00351B7D">
        <w:rPr>
          <w:rFonts w:asciiTheme="minorBidi" w:hAnsiTheme="minorBidi"/>
          <w:color w:val="000000"/>
          <w:sz w:val="18"/>
          <w:szCs w:val="18"/>
          <w:rtl/>
        </w:rPr>
        <w:t>)</w:t>
      </w:r>
      <w:r w:rsidRPr="00351B7D">
        <w:rPr>
          <w:rStyle w:val="a7"/>
          <w:rFonts w:asciiTheme="minorBidi" w:hAnsiTheme="minorBidi"/>
          <w:color w:val="000000"/>
          <w:sz w:val="18"/>
          <w:szCs w:val="18"/>
          <w:rtl/>
        </w:rPr>
        <w:footnoteReference w:id="989"/>
      </w:r>
      <w:r w:rsidRPr="00351B7D">
        <w:rPr>
          <w:rFonts w:asciiTheme="minorBidi" w:hAnsiTheme="minorBidi"/>
          <w:color w:val="000000"/>
          <w:sz w:val="18"/>
          <w:szCs w:val="18"/>
          <w:rtl/>
        </w:rPr>
        <w:t>,</w:t>
      </w:r>
      <w:r w:rsidRPr="00351B7D">
        <w:rPr>
          <w:rFonts w:asciiTheme="minorBidi" w:hAnsiTheme="minorBidi"/>
          <w:rtl/>
        </w:rPr>
        <w:t xml:space="preserve"> ואם כתובת נשי משפחתו יתירות מכתובות נשי משפחתה עולה עמו ואינו יורדת</w:t>
      </w:r>
      <w:r w:rsidRPr="00351B7D">
        <w:rPr>
          <w:rStyle w:val="a7"/>
          <w:rFonts w:asciiTheme="minorBidi" w:hAnsiTheme="minorBidi"/>
          <w:rtl/>
        </w:rPr>
        <w:footnoteReference w:id="990"/>
      </w:r>
      <w:r w:rsidRPr="00351B7D">
        <w:rPr>
          <w:rFonts w:asciiTheme="minorBidi" w:hAnsiTheme="minorBidi"/>
          <w:rtl/>
        </w:rPr>
        <w:t xml:space="preserve">. </w:t>
      </w:r>
    </w:p>
    <w:p w14:paraId="53C69725" w14:textId="77777777" w:rsidR="002E5BAD" w:rsidRPr="00351B7D" w:rsidRDefault="002E5BAD" w:rsidP="002E5BAD">
      <w:pPr>
        <w:rPr>
          <w:rFonts w:asciiTheme="minorBidi" w:hAnsiTheme="minorBidi"/>
          <w:rtl/>
        </w:rPr>
      </w:pPr>
    </w:p>
    <w:p w14:paraId="04A14647" w14:textId="77777777" w:rsidR="002E5BAD" w:rsidRPr="00351B7D" w:rsidRDefault="002E5BAD" w:rsidP="002E5BAD">
      <w:pPr>
        <w:pStyle w:val="2"/>
        <w:rPr>
          <w:rFonts w:asciiTheme="minorBidi" w:hAnsiTheme="minorBidi"/>
          <w:rtl/>
        </w:rPr>
      </w:pPr>
      <w:r w:rsidRPr="00351B7D">
        <w:rPr>
          <w:rFonts w:asciiTheme="minorBidi" w:hAnsiTheme="minorBidi"/>
          <w:rtl/>
        </w:rPr>
        <w:lastRenderedPageBreak/>
        <w:t>סעיף יא: הנושא אשה סתם כמה כתובתה, וכמה הנדוניא שהיא מכניסה.</w:t>
      </w:r>
    </w:p>
    <w:p w14:paraId="3A11D17C"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סו ע"א: </w:t>
      </w:r>
      <w:r w:rsidRPr="00351B7D">
        <w:rPr>
          <w:rFonts w:asciiTheme="minorBidi" w:hAnsiTheme="minorBidi"/>
          <w:u w:val="double"/>
          <w:rtl/>
        </w:rPr>
        <w:t>מתני'</w:t>
      </w:r>
      <w:r w:rsidRPr="00351B7D">
        <w:rPr>
          <w:rFonts w:asciiTheme="minorBidi" w:hAnsiTheme="minorBidi"/>
          <w:rtl/>
        </w:rPr>
        <w:t>:</w:t>
      </w:r>
      <w:r w:rsidRPr="00351B7D">
        <w:rPr>
          <w:rStyle w:val="a7"/>
          <w:rFonts w:asciiTheme="minorBidi" w:hAnsiTheme="minorBidi"/>
          <w:rtl/>
        </w:rPr>
        <w:footnoteReference w:id="991"/>
      </w:r>
      <w:r w:rsidRPr="00351B7D">
        <w:rPr>
          <w:rFonts w:asciiTheme="minorBidi" w:hAnsiTheme="minorBidi"/>
          <w:rtl/>
        </w:rPr>
        <w:t>פסקה להכניס לו אלף דינר</w:t>
      </w:r>
      <w:r w:rsidRPr="00351B7D">
        <w:rPr>
          <w:rStyle w:val="a7"/>
          <w:rFonts w:asciiTheme="minorBidi" w:hAnsiTheme="minorBidi"/>
          <w:rtl/>
        </w:rPr>
        <w:footnoteReference w:id="992"/>
      </w:r>
      <w:r w:rsidRPr="00351B7D">
        <w:rPr>
          <w:rFonts w:asciiTheme="minorBidi" w:hAnsiTheme="minorBidi"/>
          <w:rtl/>
        </w:rPr>
        <w:t xml:space="preserve"> - הוא פוסק כנגדן חמש עשרה מנה</w:t>
      </w:r>
      <w:r w:rsidRPr="00351B7D">
        <w:rPr>
          <w:rStyle w:val="a7"/>
          <w:rFonts w:asciiTheme="minorBidi" w:hAnsiTheme="minorBidi"/>
          <w:rtl/>
        </w:rPr>
        <w:footnoteReference w:id="993"/>
      </w:r>
      <w:r w:rsidRPr="00351B7D">
        <w:rPr>
          <w:rFonts w:asciiTheme="minorBidi" w:hAnsiTheme="minorBidi"/>
          <w:rtl/>
        </w:rPr>
        <w:t>. וכנגד השום</w:t>
      </w:r>
      <w:r w:rsidRPr="00351B7D">
        <w:rPr>
          <w:rStyle w:val="a7"/>
          <w:rFonts w:asciiTheme="minorBidi" w:hAnsiTheme="minorBidi"/>
          <w:rtl/>
        </w:rPr>
        <w:footnoteReference w:id="994"/>
      </w:r>
      <w:r w:rsidRPr="00351B7D">
        <w:rPr>
          <w:rFonts w:asciiTheme="minorBidi" w:hAnsiTheme="minorBidi"/>
          <w:rtl/>
        </w:rPr>
        <w:t xml:space="preserve"> - הוא פוסק פחות חומש</w:t>
      </w:r>
      <w:r w:rsidRPr="00351B7D">
        <w:rPr>
          <w:rStyle w:val="a7"/>
          <w:rFonts w:asciiTheme="minorBidi" w:hAnsiTheme="minorBidi"/>
          <w:rtl/>
        </w:rPr>
        <w:footnoteReference w:id="995"/>
      </w:r>
      <w:r w:rsidRPr="00351B7D">
        <w:rPr>
          <w:rFonts w:asciiTheme="minorBidi" w:hAnsiTheme="minorBidi"/>
          <w:rtl/>
        </w:rPr>
        <w:t>. שום במנה ושוה מנה</w:t>
      </w:r>
      <w:r w:rsidRPr="00351B7D">
        <w:rPr>
          <w:rStyle w:val="a7"/>
          <w:rFonts w:asciiTheme="minorBidi" w:hAnsiTheme="minorBidi"/>
          <w:rtl/>
        </w:rPr>
        <w:footnoteReference w:id="996"/>
      </w:r>
      <w:r w:rsidRPr="00351B7D">
        <w:rPr>
          <w:rFonts w:asciiTheme="minorBidi" w:hAnsiTheme="minorBidi"/>
          <w:rtl/>
        </w:rPr>
        <w:t xml:space="preserve"> - אין לו אלא מנה</w:t>
      </w:r>
      <w:r w:rsidRPr="00351B7D">
        <w:rPr>
          <w:rStyle w:val="a7"/>
          <w:rFonts w:asciiTheme="minorBidi" w:hAnsiTheme="minorBidi"/>
          <w:rtl/>
        </w:rPr>
        <w:footnoteReference w:id="997"/>
      </w:r>
      <w:r w:rsidRPr="00351B7D">
        <w:rPr>
          <w:rFonts w:asciiTheme="minorBidi" w:hAnsiTheme="minorBidi"/>
          <w:rtl/>
        </w:rPr>
        <w:t>. שום במנה</w:t>
      </w:r>
      <w:r w:rsidRPr="00351B7D">
        <w:rPr>
          <w:rStyle w:val="a7"/>
          <w:rFonts w:asciiTheme="minorBidi" w:hAnsiTheme="minorBidi"/>
          <w:rtl/>
        </w:rPr>
        <w:footnoteReference w:id="998"/>
      </w:r>
      <w:r w:rsidRPr="00351B7D">
        <w:rPr>
          <w:rFonts w:asciiTheme="minorBidi" w:hAnsiTheme="minorBidi"/>
          <w:rtl/>
        </w:rPr>
        <w:t xml:space="preserve"> - היא נותנת שלשים ואחד סלע ודינר</w:t>
      </w:r>
      <w:r w:rsidRPr="00351B7D">
        <w:rPr>
          <w:rStyle w:val="a7"/>
          <w:rFonts w:asciiTheme="minorBidi" w:hAnsiTheme="minorBidi"/>
          <w:rtl/>
        </w:rPr>
        <w:footnoteReference w:id="999"/>
      </w:r>
      <w:r w:rsidRPr="00351B7D">
        <w:rPr>
          <w:rFonts w:asciiTheme="minorBidi" w:hAnsiTheme="minorBidi"/>
          <w:rtl/>
        </w:rPr>
        <w:t>, ובארבע מאות</w:t>
      </w:r>
      <w:r w:rsidRPr="00351B7D">
        <w:rPr>
          <w:rStyle w:val="a7"/>
          <w:rFonts w:asciiTheme="minorBidi" w:hAnsiTheme="minorBidi"/>
          <w:rtl/>
        </w:rPr>
        <w:footnoteReference w:id="1000"/>
      </w:r>
      <w:r w:rsidRPr="00351B7D">
        <w:rPr>
          <w:rFonts w:asciiTheme="minorBidi" w:hAnsiTheme="minorBidi"/>
          <w:rtl/>
        </w:rPr>
        <w:t xml:space="preserve"> - היא נותנת חמש מאות. (מה) [וכ]שחתן פוסק - הוא פוסק פחות חומש</w:t>
      </w:r>
      <w:r w:rsidRPr="00351B7D">
        <w:rPr>
          <w:rStyle w:val="a7"/>
          <w:rFonts w:asciiTheme="minorBidi" w:hAnsiTheme="minorBidi"/>
          <w:rtl/>
        </w:rPr>
        <w:footnoteReference w:id="1001"/>
      </w:r>
      <w:r w:rsidRPr="00351B7D">
        <w:rPr>
          <w:rFonts w:asciiTheme="minorBidi" w:hAnsiTheme="minorBidi"/>
          <w:rtl/>
        </w:rPr>
        <w:t>.</w:t>
      </w:r>
    </w:p>
    <w:p w14:paraId="589E44A8" w14:textId="77777777" w:rsidR="002E5BAD" w:rsidRPr="00351B7D" w:rsidRDefault="002E5BAD" w:rsidP="002E5BAD">
      <w:pPr>
        <w:rPr>
          <w:rFonts w:asciiTheme="minorBidi" w:hAnsiTheme="minorBidi"/>
          <w:u w:val="single"/>
          <w:rtl/>
        </w:rPr>
      </w:pPr>
      <w:r w:rsidRPr="00351B7D">
        <w:rPr>
          <w:rFonts w:asciiTheme="minorBidi" w:hAnsiTheme="minorBidi"/>
          <w:u w:val="single"/>
          <w:rtl/>
        </w:rPr>
        <w:t>האם מוסיף שליש גם על נכסי מלוג</w:t>
      </w:r>
      <w:r w:rsidRPr="00351B7D">
        <w:rPr>
          <w:rStyle w:val="a7"/>
          <w:rFonts w:asciiTheme="minorBidi" w:hAnsiTheme="minorBidi"/>
          <w:u w:val="single"/>
          <w:rtl/>
        </w:rPr>
        <w:footnoteReference w:id="1002"/>
      </w:r>
      <w:r w:rsidRPr="00351B7D">
        <w:rPr>
          <w:rFonts w:asciiTheme="minorBidi" w:hAnsiTheme="minorBidi"/>
          <w:u w:val="single"/>
          <w:rtl/>
        </w:rPr>
        <w:t>:</w:t>
      </w:r>
    </w:p>
    <w:p w14:paraId="4ABCCD3A"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ריב"ש </w:t>
      </w:r>
      <w:r w:rsidRPr="00351B7D">
        <w:rPr>
          <w:rFonts w:asciiTheme="minorBidi" w:hAnsiTheme="minorBidi"/>
          <w:sz w:val="16"/>
          <w:szCs w:val="16"/>
          <w:rtl/>
        </w:rPr>
        <w:t>(סי' קנ)</w:t>
      </w:r>
      <w:r w:rsidRPr="00351B7D">
        <w:rPr>
          <w:rFonts w:asciiTheme="minorBidi" w:hAnsiTheme="minorBidi"/>
          <w:rtl/>
        </w:rPr>
        <w:t xml:space="preserve">- בכל מיני סחורה מוסיף שליש ונושא ונותן בהם </w:t>
      </w:r>
      <w:r w:rsidRPr="00351B7D">
        <w:rPr>
          <w:rFonts w:asciiTheme="minorBidi" w:hAnsiTheme="minorBidi"/>
          <w:sz w:val="16"/>
          <w:szCs w:val="16"/>
          <w:rtl/>
        </w:rPr>
        <w:t>(כמש"כ (סז.) בשמים של ערביא הרי הם ככספים)</w:t>
      </w:r>
      <w:r w:rsidRPr="00351B7D">
        <w:rPr>
          <w:rFonts w:asciiTheme="minorBidi" w:hAnsiTheme="minorBidi"/>
          <w:rtl/>
        </w:rPr>
        <w:t xml:space="preserve">, אבל כל זה אינו בנכסי מלוג אלא ילקח בהם קרקע והוא אוכל פירות, והרמב"ם לא הביא דינים אלו של תוספת שליש ופחת חומש בפכ"ג </w:t>
      </w:r>
      <w:r w:rsidRPr="00351B7D">
        <w:rPr>
          <w:rFonts w:asciiTheme="minorBidi" w:hAnsiTheme="minorBidi"/>
          <w:sz w:val="16"/>
          <w:szCs w:val="16"/>
          <w:rtl/>
        </w:rPr>
        <w:t xml:space="preserve">(הי"ב) </w:t>
      </w:r>
      <w:r w:rsidRPr="00351B7D">
        <w:rPr>
          <w:rFonts w:asciiTheme="minorBidi" w:hAnsiTheme="minorBidi"/>
          <w:rtl/>
        </w:rPr>
        <w:t>אלא הניח הכל למנהג המדינה לפי שפסק כרשב"ג דאמר במתניתין</w:t>
      </w:r>
      <w:r w:rsidRPr="00351B7D">
        <w:rPr>
          <w:rFonts w:asciiTheme="minorBidi" w:hAnsiTheme="minorBidi"/>
          <w:sz w:val="16"/>
          <w:szCs w:val="16"/>
          <w:rtl/>
        </w:rPr>
        <w:t xml:space="preserve"> (סו:) </w:t>
      </w:r>
      <w:r w:rsidRPr="00351B7D">
        <w:rPr>
          <w:rFonts w:asciiTheme="minorBidi" w:hAnsiTheme="minorBidi"/>
          <w:rtl/>
        </w:rPr>
        <w:t>הכל כמנהג המדינה, ומ"מ בעיר חדשה שאין בה מנהג הולכים אחר דין השנוי במשנה, ואם כן דהכניסה כספים ומיני סחורה הרי הבעל יכול לישא וליתן בהם כרצונו, משא"כ בנכסי מלוג. ויפה כחו של בעל, שאם לא ירצה לקבל אחריות ולהניח אותן הנכסים ברשותה כדין נכסי מלוג אין מי שיכוף אותו לקבל אחריותם עליו ואם יראה שיש לו תועלת שהנכסים עתידים להשביח כגון גדיים שיעשו תיישים יקבלם כמו ששוים עכשיו והשבח שלו.</w:t>
      </w:r>
    </w:p>
    <w:p w14:paraId="481A0F00"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סו ע"ב: </w:t>
      </w:r>
      <w:r w:rsidRPr="00351B7D">
        <w:rPr>
          <w:rFonts w:asciiTheme="minorBidi" w:hAnsiTheme="minorBidi"/>
          <w:u w:val="double"/>
          <w:rtl/>
        </w:rPr>
        <w:t>מתני'</w:t>
      </w:r>
      <w:r w:rsidRPr="00351B7D">
        <w:rPr>
          <w:rFonts w:asciiTheme="minorBidi" w:hAnsiTheme="minorBidi"/>
          <w:rtl/>
        </w:rPr>
        <w:t>: פסקה להכניס לו כספים</w:t>
      </w:r>
      <w:r w:rsidRPr="00351B7D">
        <w:rPr>
          <w:rStyle w:val="a7"/>
          <w:rFonts w:asciiTheme="minorBidi" w:hAnsiTheme="minorBidi"/>
          <w:rtl/>
        </w:rPr>
        <w:footnoteReference w:id="1003"/>
      </w:r>
      <w:r w:rsidRPr="00351B7D">
        <w:rPr>
          <w:rFonts w:asciiTheme="minorBidi" w:hAnsiTheme="minorBidi"/>
          <w:rtl/>
        </w:rPr>
        <w:t xml:space="preserve"> - סלעה נעשה</w:t>
      </w:r>
      <w:r w:rsidRPr="00351B7D">
        <w:rPr>
          <w:rStyle w:val="a7"/>
          <w:rFonts w:asciiTheme="minorBidi" w:hAnsiTheme="minorBidi"/>
          <w:rtl/>
        </w:rPr>
        <w:footnoteReference w:id="1004"/>
      </w:r>
      <w:r w:rsidRPr="00351B7D">
        <w:rPr>
          <w:rFonts w:asciiTheme="minorBidi" w:hAnsiTheme="minorBidi"/>
          <w:rtl/>
        </w:rPr>
        <w:t xml:space="preserve"> ששה דינרין. החתן מקבל עליו עשרה דינרים לקופה</w:t>
      </w:r>
      <w:r w:rsidRPr="00351B7D">
        <w:rPr>
          <w:rStyle w:val="a7"/>
          <w:rFonts w:asciiTheme="minorBidi" w:hAnsiTheme="minorBidi"/>
          <w:rtl/>
        </w:rPr>
        <w:footnoteReference w:id="1005"/>
      </w:r>
      <w:r w:rsidRPr="00351B7D">
        <w:rPr>
          <w:rFonts w:asciiTheme="minorBidi" w:hAnsiTheme="minorBidi"/>
          <w:rtl/>
        </w:rPr>
        <w:t xml:space="preserve"> לכל מנה ומנה, רבן שמעון בן גמליאל אומר: הכל כמנהג המדינה.</w:t>
      </w:r>
      <w:r w:rsidRPr="00351B7D">
        <w:rPr>
          <w:rFonts w:asciiTheme="minorBidi" w:hAnsiTheme="minorBidi"/>
          <w:color w:val="000000"/>
          <w:sz w:val="16"/>
          <w:szCs w:val="16"/>
          <w:rtl/>
        </w:rPr>
        <w:t xml:space="preserve"> (ופסק הרמב"ם (פכ"ג מה"א הי"ב) כרשב"ג, ופירש דרשב"ג קאי אכולא מתני'. וכ"פ הגאונים והרי"ף ושא"פ)</w:t>
      </w:r>
    </w:p>
    <w:p w14:paraId="2ABE402E"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b/>
          <w:bCs/>
          <w:rtl/>
        </w:rPr>
        <w:t xml:space="preserve">בבא מציעא קד ע"ב: </w:t>
      </w:r>
      <w:r w:rsidRPr="00351B7D">
        <w:rPr>
          <w:rFonts w:asciiTheme="minorBidi" w:hAnsiTheme="minorBidi"/>
          <w:rtl/>
        </w:rPr>
        <w:t xml:space="preserve">דתניא, </w:t>
      </w:r>
      <w:r w:rsidRPr="00351B7D">
        <w:rPr>
          <w:rFonts w:asciiTheme="minorBidi" w:hAnsiTheme="minorBidi"/>
          <w:u w:val="single"/>
          <w:rtl/>
        </w:rPr>
        <w:t>רבי יוסי אומר:</w:t>
      </w:r>
      <w:r w:rsidRPr="00351B7D">
        <w:rPr>
          <w:rFonts w:asciiTheme="minorBidi" w:hAnsiTheme="minorBidi"/>
          <w:rtl/>
        </w:rPr>
        <w:t xml:space="preserve"> מקום שנהגו לעשות כתובה מלוה</w:t>
      </w:r>
      <w:r w:rsidRPr="00351B7D">
        <w:rPr>
          <w:rStyle w:val="a7"/>
          <w:rFonts w:asciiTheme="minorBidi" w:hAnsiTheme="minorBidi"/>
          <w:rtl/>
        </w:rPr>
        <w:footnoteReference w:id="1006"/>
      </w:r>
      <w:r w:rsidRPr="00351B7D">
        <w:rPr>
          <w:rFonts w:asciiTheme="minorBidi" w:hAnsiTheme="minorBidi"/>
          <w:rtl/>
        </w:rPr>
        <w:t>- גובה מלוה</w:t>
      </w:r>
      <w:r w:rsidRPr="00351B7D">
        <w:rPr>
          <w:rStyle w:val="a7"/>
          <w:rFonts w:asciiTheme="minorBidi" w:hAnsiTheme="minorBidi"/>
          <w:rtl/>
        </w:rPr>
        <w:footnoteReference w:id="1007"/>
      </w:r>
      <w:r w:rsidRPr="00351B7D">
        <w:rPr>
          <w:rFonts w:asciiTheme="minorBidi" w:hAnsiTheme="minorBidi"/>
          <w:rtl/>
        </w:rPr>
        <w:t>, לכפול</w:t>
      </w:r>
      <w:r w:rsidRPr="00351B7D">
        <w:rPr>
          <w:rStyle w:val="a7"/>
          <w:rFonts w:asciiTheme="minorBidi" w:hAnsiTheme="minorBidi"/>
          <w:rtl/>
        </w:rPr>
        <w:footnoteReference w:id="1008"/>
      </w:r>
      <w:r w:rsidRPr="00351B7D">
        <w:rPr>
          <w:rFonts w:asciiTheme="minorBidi" w:hAnsiTheme="minorBidi"/>
          <w:rtl/>
        </w:rPr>
        <w:t>- גובה מחצה</w:t>
      </w:r>
      <w:r w:rsidRPr="00351B7D">
        <w:rPr>
          <w:rStyle w:val="a7"/>
          <w:rFonts w:asciiTheme="minorBidi" w:hAnsiTheme="minorBidi"/>
          <w:rtl/>
        </w:rPr>
        <w:footnoteReference w:id="1009"/>
      </w:r>
      <w:r w:rsidRPr="00351B7D">
        <w:rPr>
          <w:rFonts w:asciiTheme="minorBidi" w:hAnsiTheme="minorBidi"/>
          <w:rtl/>
        </w:rPr>
        <w:t xml:space="preserve">. </w:t>
      </w:r>
      <w:r w:rsidRPr="00351B7D">
        <w:rPr>
          <w:rFonts w:asciiTheme="minorBidi" w:hAnsiTheme="minorBidi"/>
          <w:color w:val="000000"/>
          <w:sz w:val="16"/>
          <w:szCs w:val="16"/>
          <w:rtl/>
        </w:rPr>
        <w:t>(וכ"כ הרמב"ם (פכ"ג מה"א הי"א) וז"ל- מנהגות רבות יש בנדוניא, יש מקומות שנהגו שיכתבו בכתובה הנדוניא ביתר על דמיה בשליש או בחמיש או במחצה, כגון שתהיה נדוניתה מאה וכותבים שהכניסה לו מאה וחמשים כדי להרבות בפני העם וכשתבוא לגבות לא תגבה אלא המאה וכו'. וכ"כ הטור)</w:t>
      </w:r>
    </w:p>
    <w:p w14:paraId="5FB0DBA2" w14:textId="77777777" w:rsidR="002E5BAD" w:rsidRPr="00351B7D" w:rsidRDefault="002E5BAD" w:rsidP="002E5BAD">
      <w:pPr>
        <w:rPr>
          <w:rFonts w:asciiTheme="minorBidi" w:hAnsiTheme="minorBidi"/>
          <w:rtl/>
        </w:rPr>
      </w:pPr>
      <w:r w:rsidRPr="00351B7D">
        <w:rPr>
          <w:rFonts w:asciiTheme="minorBidi" w:hAnsiTheme="minorBidi"/>
          <w:u w:val="single"/>
          <w:rtl/>
        </w:rPr>
        <w:t>מה הדין אם אינו רוצה לכתוב הכתובה כפי המנהג:</w:t>
      </w:r>
      <w:r w:rsidRPr="00351B7D">
        <w:rPr>
          <w:rFonts w:asciiTheme="minorBidi" w:hAnsiTheme="minorBidi"/>
          <w:rtl/>
        </w:rPr>
        <w:t xml:space="preserve">   </w:t>
      </w:r>
      <w:r w:rsidRPr="00351B7D">
        <w:rPr>
          <w:rFonts w:asciiTheme="minorBidi" w:hAnsiTheme="minorBidi"/>
          <w:sz w:val="16"/>
          <w:szCs w:val="16"/>
          <w:rtl/>
        </w:rPr>
        <w:t>(דרכ"מ אות טו)</w:t>
      </w:r>
      <w:r w:rsidRPr="00351B7D">
        <w:rPr>
          <w:rFonts w:asciiTheme="minorBidi" w:hAnsiTheme="minorBidi"/>
          <w:rtl/>
        </w:rPr>
        <w:t xml:space="preserve"> </w:t>
      </w:r>
    </w:p>
    <w:p w14:paraId="1EE6B52A" w14:textId="77777777" w:rsidR="002E5BAD" w:rsidRPr="00351B7D" w:rsidRDefault="002E5BAD" w:rsidP="002E5BAD">
      <w:pPr>
        <w:pStyle w:val="ab"/>
        <w:numPr>
          <w:ilvl w:val="0"/>
          <w:numId w:val="148"/>
        </w:numPr>
        <w:rPr>
          <w:rFonts w:asciiTheme="minorBidi" w:hAnsiTheme="minorBidi"/>
          <w:rtl/>
        </w:rPr>
      </w:pPr>
      <w:r w:rsidRPr="00351B7D">
        <w:rPr>
          <w:rFonts w:asciiTheme="minorBidi" w:hAnsiTheme="minorBidi"/>
          <w:rtl/>
        </w:rPr>
        <w:t xml:space="preserve">מהרי"ל </w:t>
      </w:r>
      <w:r w:rsidRPr="00351B7D">
        <w:rPr>
          <w:rFonts w:asciiTheme="minorBidi" w:hAnsiTheme="minorBidi"/>
          <w:sz w:val="16"/>
          <w:szCs w:val="16"/>
          <w:rtl/>
        </w:rPr>
        <w:t>(סי' ע"ו)</w:t>
      </w:r>
      <w:r w:rsidRPr="00351B7D">
        <w:rPr>
          <w:rFonts w:asciiTheme="minorBidi" w:hAnsiTheme="minorBidi"/>
          <w:rtl/>
        </w:rPr>
        <w:t>- הרשות בידו רק שיכתוב בשטר שכבר קבלה על כתובתה מה שלא כתב לה</w:t>
      </w:r>
      <w:r w:rsidRPr="00351B7D">
        <w:rPr>
          <w:rStyle w:val="a7"/>
          <w:rFonts w:asciiTheme="minorBidi" w:hAnsiTheme="minorBidi"/>
          <w:rtl/>
        </w:rPr>
        <w:footnoteReference w:id="1010"/>
      </w:r>
      <w:r w:rsidRPr="00351B7D">
        <w:rPr>
          <w:rFonts w:asciiTheme="minorBidi" w:hAnsiTheme="minorBidi"/>
          <w:rtl/>
        </w:rPr>
        <w:t>.</w:t>
      </w:r>
    </w:p>
    <w:p w14:paraId="13C0C189" w14:textId="77777777" w:rsidR="002E5BAD" w:rsidRPr="00351B7D" w:rsidRDefault="002E5BAD" w:rsidP="002E5BAD">
      <w:pPr>
        <w:rPr>
          <w:rFonts w:asciiTheme="minorBidi" w:hAnsiTheme="minorBidi"/>
          <w:u w:val="single"/>
          <w:rtl/>
        </w:rPr>
      </w:pPr>
      <w:r w:rsidRPr="00351B7D">
        <w:rPr>
          <w:rFonts w:asciiTheme="minorBidi" w:hAnsiTheme="minorBidi"/>
          <w:u w:val="single"/>
          <w:rtl/>
        </w:rPr>
        <w:lastRenderedPageBreak/>
        <w:t>שאלה בדבר נדוניא, האם היא כשטר חוב:</w:t>
      </w:r>
    </w:p>
    <w:p w14:paraId="64CD5DDD" w14:textId="77777777" w:rsidR="002E5BAD" w:rsidRPr="00351B7D" w:rsidRDefault="002E5BAD" w:rsidP="002E5BAD">
      <w:pPr>
        <w:pStyle w:val="ab"/>
        <w:numPr>
          <w:ilvl w:val="0"/>
          <w:numId w:val="148"/>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לו סי' ח)</w:t>
      </w:r>
      <w:r w:rsidRPr="00351B7D">
        <w:rPr>
          <w:rFonts w:asciiTheme="minorBidi" w:hAnsiTheme="minorBidi"/>
          <w:rtl/>
        </w:rPr>
        <w:t xml:space="preserve">- </w:t>
      </w:r>
      <w:r w:rsidRPr="00351B7D">
        <w:rPr>
          <w:rFonts w:asciiTheme="minorBidi" w:hAnsiTheme="minorBidi"/>
          <w:color w:val="000000"/>
          <w:rtl/>
        </w:rPr>
        <w:t>ששאלת שנוהגין לכתוב למטה מן הכתובה 'שטר שפלוני החתן נותן לפלונית כך וכך ממון מנכסיו אגב ד"א קרקע באחריות עליו ועל כל נכסיו' אם נדונית מתנה זו כדין שטר חוב כיון דאית בה אחריות. לא ידעתי במה נסתפקת למה לא יהא כשאר כל שטר חוב לגבות ממשעבדי, אמנם צריך לדקדק בלשון שרגילין לכתוב אם כותבין אני נותן לפלונית כך וכך מעות אגב קרקע- קונה. ואם בקנין חליפין בלא אגב מטבע- אינו נקנה בחליפין. ואם כותבין חייב אני לה מנה בשטר- קונה, כדאיתא בריש פרק הנושא (קא:). אבל רואה אני בשאלתך שנותן לה אגב ארבע אמות קרקע ואם כן אז היא קונה אפי' לא היה לו המטבע באותה שעה הרי הודה שהיה לו והודאת בעל דין כמאה עדים.</w:t>
      </w:r>
      <w:r w:rsidRPr="00351B7D">
        <w:rPr>
          <w:rFonts w:asciiTheme="minorBidi" w:hAnsiTheme="minorBidi"/>
          <w:sz w:val="16"/>
          <w:szCs w:val="16"/>
          <w:rtl/>
        </w:rPr>
        <w:t xml:space="preserve"> (וכ' הב"י- ועיין בחו"מ סי' ס)</w:t>
      </w:r>
    </w:p>
    <w:p w14:paraId="3596D0DC" w14:textId="77777777" w:rsidR="002E5BAD" w:rsidRPr="00351B7D" w:rsidRDefault="002E5BAD" w:rsidP="002E5BAD">
      <w:pPr>
        <w:rPr>
          <w:rFonts w:asciiTheme="minorBidi" w:hAnsiTheme="minorBidi"/>
          <w:u w:val="single"/>
        </w:rPr>
      </w:pPr>
      <w:r w:rsidRPr="00351B7D">
        <w:rPr>
          <w:rFonts w:asciiTheme="minorBidi" w:hAnsiTheme="minorBidi"/>
          <w:u w:val="single"/>
          <w:rtl/>
        </w:rPr>
        <w:t xml:space="preserve">שאלה בדבר נדוניא: </w:t>
      </w:r>
    </w:p>
    <w:p w14:paraId="75D75F23" w14:textId="77777777" w:rsidR="002E5BAD" w:rsidRPr="00351B7D" w:rsidRDefault="002E5BAD" w:rsidP="002E5BAD">
      <w:pPr>
        <w:pStyle w:val="ab"/>
        <w:numPr>
          <w:ilvl w:val="0"/>
          <w:numId w:val="148"/>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(ח"א סי' תתקפ"ט)</w:t>
      </w:r>
      <w:r w:rsidRPr="00351B7D">
        <w:rPr>
          <w:rFonts w:asciiTheme="minorBidi" w:hAnsiTheme="minorBidi"/>
          <w:rtl/>
        </w:rPr>
        <w:t xml:space="preserve">- </w:t>
      </w:r>
      <w:r w:rsidRPr="00351B7D">
        <w:rPr>
          <w:rFonts w:asciiTheme="minorBidi" w:hAnsiTheme="minorBidi"/>
          <w:color w:val="000000"/>
          <w:rtl/>
        </w:rPr>
        <w:t>אחד שנתן מעות בנדוניא לבתו ויחד לו חובות, ואמר לחתנו שכל פרעון שיצא מהם שיקבלם בפרעון נדוניתה ובחוב אחד שהיה בו זקפן במלוה</w:t>
      </w:r>
      <w:r w:rsidRPr="00351B7D">
        <w:rPr>
          <w:rFonts w:asciiTheme="minorBidi" w:hAnsiTheme="minorBidi"/>
          <w:rtl/>
        </w:rPr>
        <w:t xml:space="preserve">. והשיב דזקפו במלוה כפרעון דמי וברשותיה קיימי החובות ואפילו נפסדו כי כבר נפרע החוב הראשון, אלא שעכשיו כותב שטר אחר וכמלוה אחרת דמי והביא ראיה לדבר, ומיהו אם התנאי ביניהם שלא לקבל אלא מעות בעין, לא. ואלו מתנין כשמייחדין החובות 'אם לא יפרע מכאן ועד יום פלוני הריני מוסיף על כל ליט' ד' פשיטי' בחדש', מותר, ואין כאן רבית כי זה כתוספת על נדוניא ואין זה אגר נטר לי, למה זה דומה? לנותן מתנה לחברו ואמר אני נותן לו כך וכך לזמן פלוני, עוד אני מוסיף לו כך וכך. ודוקא בשהתנה קודם שנשאת אבל אחר כך לא. </w:t>
      </w:r>
    </w:p>
    <w:p w14:paraId="6269AC09" w14:textId="77777777" w:rsidR="002E5BAD" w:rsidRPr="00351B7D" w:rsidRDefault="002E5BAD" w:rsidP="002E5BAD">
      <w:pPr>
        <w:rPr>
          <w:rFonts w:asciiTheme="minorBidi" w:hAnsiTheme="minorBidi"/>
          <w:u w:val="single"/>
          <w:rtl/>
        </w:rPr>
      </w:pPr>
      <w:r w:rsidRPr="00351B7D">
        <w:rPr>
          <w:rFonts w:asciiTheme="minorBidi" w:hAnsiTheme="minorBidi"/>
          <w:u w:val="single"/>
          <w:rtl/>
        </w:rPr>
        <w:t>איזה שם כותב גר בכתובה:</w:t>
      </w:r>
    </w:p>
    <w:p w14:paraId="0AF9CBE2" w14:textId="77777777" w:rsidR="002E5BAD" w:rsidRPr="00351B7D" w:rsidRDefault="002E5BAD" w:rsidP="002E5BAD">
      <w:pPr>
        <w:pStyle w:val="ab"/>
        <w:numPr>
          <w:ilvl w:val="0"/>
          <w:numId w:val="148"/>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ט"ו סי' ד)</w:t>
      </w:r>
      <w:r w:rsidRPr="00351B7D">
        <w:rPr>
          <w:rFonts w:asciiTheme="minorBidi" w:hAnsiTheme="minorBidi"/>
          <w:rtl/>
        </w:rPr>
        <w:t xml:space="preserve">- ששאלתם על גר שנתגדל ביניכם ורוצה ליקח אשה אם יוכל לקרות לעצמו אי זה שם שירצה כגון פלוני בן פלוני ולכתבו בכתובה. אותה כתובה אינה כתובה כיון שלא הוחזק בעיר באותו שם עד היום הזה ונמצא משהה את אשתו בלא כתובה דכתובה זו כמאן דליתא דמיא ואין לחתום עליה, אלא כך נוהגים לכתוב בכתובות של גרים 'פלוני בן אברהם', ושמו המובהק כותבין, ואב המון גוים הוא אבי כולם. </w:t>
      </w:r>
    </w:p>
    <w:p w14:paraId="2C0F652F" w14:textId="77777777" w:rsidR="002E5BAD" w:rsidRPr="00351B7D" w:rsidRDefault="002E5BAD" w:rsidP="002E5BAD">
      <w:pPr>
        <w:rPr>
          <w:rFonts w:asciiTheme="minorBidi" w:hAnsiTheme="minorBidi"/>
          <w:u w:val="single"/>
          <w:rtl/>
        </w:rPr>
      </w:pPr>
      <w:r w:rsidRPr="00351B7D">
        <w:rPr>
          <w:rFonts w:asciiTheme="minorBidi" w:hAnsiTheme="minorBidi"/>
          <w:u w:val="single"/>
          <w:rtl/>
        </w:rPr>
        <w:t>האם זה שנהגו לכתוב בכתובות 'אפילו מגלימא דאכתפאי' הוא דוקא או שופרא דשטרא:</w:t>
      </w:r>
    </w:p>
    <w:p w14:paraId="65A98BDF"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(בח"א סי' תת"א כתובה בענין אחר)</w:t>
      </w:r>
      <w:r w:rsidRPr="00351B7D">
        <w:rPr>
          <w:rFonts w:asciiTheme="minorBidi" w:hAnsiTheme="minorBidi"/>
          <w:rtl/>
        </w:rPr>
        <w:t>- אם אינו מנהג וזה כתב- קרוב הוא בעיני שזה שכתב מה שלא הורגלו אחרים בדוקא כתב ואומרים לו פשוט ותגבה לה, אבל כיון שהורגלו הכל לכתוב כן מסתברא דשופרא דשטרא הוא ואינו (נ"א: שאינו) בדעת שיכתבו בדוקא ויפשיטום ערומים. וגלימא שאמרת מהו, כל בגד עליון שאדם מתכסה בו קרוי גלימא מלשון ויגלום אדרתו, ועכשיו אין קורין גלימא אלא לקאפ"ה שאמרת, וכל שבממון הולכין אחר לשון בני אדם שבאותו מקום.</w:t>
      </w:r>
    </w:p>
    <w:p w14:paraId="3467D503" w14:textId="77777777" w:rsidR="002E5BAD" w:rsidRPr="00351B7D" w:rsidRDefault="002E5BAD" w:rsidP="002E5BAD">
      <w:pPr>
        <w:rPr>
          <w:rFonts w:asciiTheme="minorBidi" w:hAnsiTheme="minorBidi"/>
          <w:u w:val="single"/>
          <w:rtl/>
        </w:rPr>
      </w:pPr>
      <w:r w:rsidRPr="00351B7D">
        <w:rPr>
          <w:rFonts w:asciiTheme="minorBidi" w:hAnsiTheme="minorBidi"/>
          <w:u w:val="single"/>
          <w:rtl/>
        </w:rPr>
        <w:t>שאלה בדבר מתנה שנתן הבעל לאשה, האם היא זוכה בה מעכשיו:</w:t>
      </w:r>
    </w:p>
    <w:p w14:paraId="0E639641"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1011"/>
      </w:r>
      <w:r w:rsidRPr="00351B7D">
        <w:rPr>
          <w:rFonts w:asciiTheme="minorBidi" w:hAnsiTheme="minorBidi"/>
          <w:rtl/>
        </w:rPr>
        <w:t xml:space="preserve">- שאלת מתנה לחוד שאדם כותב לאשתו וכותבין לה ד' אמות קרקע ואגבן נתתי לך כך וכך זהובים ומעכשיו תלך ותזכה ותחזיק בהם ואמרת שמצאת בשם הרב [אלברצלוני] דכל מתנה שאדם כותב לאשתו בשעת נישואין אפילו כתב לה כל מיני ייפויין הרי היא ככתובה שאינה נגבית בעודה תחתיו. תשובה אומר אני על זה אטו ה"ר יצחק [אלברצלוני] חתום עליה וכמו שאמרו ביבמות </w:t>
      </w:r>
      <w:r w:rsidRPr="00351B7D">
        <w:rPr>
          <w:rFonts w:asciiTheme="minorBidi" w:hAnsiTheme="minorBidi"/>
          <w:sz w:val="16"/>
          <w:szCs w:val="16"/>
          <w:rtl/>
        </w:rPr>
        <w:t xml:space="preserve">(כב.) </w:t>
      </w:r>
      <w:r w:rsidRPr="00351B7D">
        <w:rPr>
          <w:rFonts w:asciiTheme="minorBidi" w:hAnsiTheme="minorBidi"/>
          <w:rtl/>
        </w:rPr>
        <w:t xml:space="preserve">על כיוצא בזה, ואני אומר חס ליה לרב שלא כתב כן מעולם שכל תנאי שבממון תנאו קיים ואם נתן לה על מנת שתגבה מעכשיו ותתן לאחרים מתנתו ותנאו קיימין, ואחר כתב בשמו, ואינו, ואלא מיהו הכל לפי מנהג המקומות שכל מה שאדם כותב לאשה בכתובתה וכל מה שאדם מתנה עם חתנו להכניס עם בתו הכל לפי המנהג, כי יש מקומות שמתנין וכותבין בדוקא ועושים אותו כמלוה, ולשם האב נותן הכל כפי מה שהתנה, וכן האשה גובה כל מה שכתב לה בעלה, ויש מקומות שכותבין לכבוד בעלמא ואין נגבין אלא לפי המנהג וכמו שאמרו בר"פ המקבל </w:t>
      </w:r>
      <w:r w:rsidRPr="00351B7D">
        <w:rPr>
          <w:rFonts w:asciiTheme="minorBidi" w:hAnsiTheme="minorBidi"/>
          <w:sz w:val="16"/>
          <w:szCs w:val="16"/>
          <w:rtl/>
        </w:rPr>
        <w:t>(קד:)</w:t>
      </w:r>
      <w:r w:rsidRPr="00351B7D">
        <w:rPr>
          <w:rFonts w:asciiTheme="minorBidi" w:hAnsiTheme="minorBidi"/>
          <w:rtl/>
        </w:rPr>
        <w:t>.</w:t>
      </w:r>
    </w:p>
    <w:p w14:paraId="1D87FE01" w14:textId="77777777" w:rsidR="002E5BAD" w:rsidRPr="00351B7D" w:rsidRDefault="002E5BAD" w:rsidP="002E5BAD">
      <w:pPr>
        <w:rPr>
          <w:rFonts w:asciiTheme="minorBidi" w:hAnsiTheme="minorBidi"/>
        </w:rPr>
      </w:pPr>
      <w:r w:rsidRPr="00351B7D">
        <w:rPr>
          <w:rFonts w:asciiTheme="minorBidi" w:hAnsiTheme="minorBidi"/>
          <w:u w:val="single"/>
          <w:rtl/>
        </w:rPr>
        <w:t>אב שהשיא בתו והבעל כתב לה מתנה והתנה עם האב שלא תגבה אשתו המתנה בחייו רק לאחר מותו:</w:t>
      </w:r>
      <w:r w:rsidRPr="00351B7D">
        <w:rPr>
          <w:rFonts w:asciiTheme="minorBidi" w:hAnsiTheme="minorBidi"/>
          <w:sz w:val="16"/>
          <w:szCs w:val="16"/>
          <w:rtl/>
        </w:rPr>
        <w:t xml:space="preserve"> (דרכ"מ אות יז**)</w:t>
      </w:r>
    </w:p>
    <w:p w14:paraId="05281D4C"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ריב"ש </w:t>
      </w:r>
      <w:r w:rsidRPr="00351B7D">
        <w:rPr>
          <w:rFonts w:asciiTheme="minorBidi" w:hAnsiTheme="minorBidi"/>
          <w:sz w:val="16"/>
          <w:szCs w:val="16"/>
          <w:rtl/>
        </w:rPr>
        <w:t>(סי' ק"ב ד"ה ולענין)</w:t>
      </w:r>
      <w:r w:rsidRPr="00351B7D">
        <w:rPr>
          <w:rFonts w:asciiTheme="minorBidi" w:hAnsiTheme="minorBidi"/>
          <w:rtl/>
        </w:rPr>
        <w:t>- יש לאב להתנות עליה בכל מה שירצה הואיל והוא השיאה, אבל אם המתנה נכתבה תחלה בסתם ואחר התנה הבעל עם האב, לא מהני, דלאחר שנשאת אין לאב רשות עליה.</w:t>
      </w:r>
    </w:p>
    <w:p w14:paraId="6EF8912C" w14:textId="77777777" w:rsidR="002E5BAD" w:rsidRPr="00351B7D" w:rsidRDefault="002E5BAD" w:rsidP="002E5BAD">
      <w:pPr>
        <w:rPr>
          <w:rFonts w:asciiTheme="minorBidi" w:hAnsiTheme="minorBidi"/>
          <w:u w:val="single"/>
          <w:rtl/>
        </w:rPr>
      </w:pPr>
      <w:r w:rsidRPr="00351B7D">
        <w:rPr>
          <w:rFonts w:asciiTheme="minorBidi" w:hAnsiTheme="minorBidi"/>
          <w:u w:val="single"/>
          <w:rtl/>
        </w:rPr>
        <w:t>טופס הכתובה:</w:t>
      </w:r>
    </w:p>
    <w:p w14:paraId="50E63766"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lastRenderedPageBreak/>
        <w:t>רמב"ם</w:t>
      </w:r>
      <w:r w:rsidRPr="00351B7D">
        <w:rPr>
          <w:rFonts w:asciiTheme="minorBidi" w:hAnsiTheme="minorBidi"/>
          <w:sz w:val="16"/>
          <w:szCs w:val="16"/>
          <w:rtl/>
        </w:rPr>
        <w:t xml:space="preserve"> (הל' יבום פ"ד הל"ג)</w:t>
      </w:r>
      <w:r w:rsidRPr="00351B7D">
        <w:rPr>
          <w:rFonts w:asciiTheme="minorBidi" w:hAnsiTheme="minorBidi"/>
          <w:rtl/>
        </w:rPr>
        <w:t>- ביום פלוני וכו' איך פלוני בן פלוני אמר לפלונית בת פלוני בתולתא כלתא הוי לי לאנתו כדת משה וישראל ואנא במימרא דשמיא אפלח ואוקיר ואסובר ואיזון ואפרנס ואכסי יתיכי כהלכת גוברין יהודאין דמוקרין ומסוברין וזנין ומפרנסין ומכסין ית נשיהון בקושטא ויהיבנא ליכי מוהר בתוליכי כסף זוזי מאתן דאינון מזוזי כספא עשרין וחמשה דחזו ליכי ומזונייכי וכסותייכי וסיפוקייכי ומיעל עליכי כאורח כל ארעא וצביאת פלונית דא והות ליה לאנתו לפלוני דנא ורצה והוסיף לה תוספת על עיקר כתובתה עד משלם כך וכך ודא נדוניא דהנעלת ליה כך וכך הכל נתקבל חתן זה ובא לידו ונעשה ברשותו וזקף הכל על עצמו במלוה ורשו וכך אמר לנא פלוני חתנא דנא אחריות כתובה דא כולה עיקר ונדוניא ותוספת עם שאר תנאי כתובה קבלית עלי ועל ירתי בתראי ועל כל שפר ארג נכסין וקנינין דאית לי תחות כל שמיא דקנאי ודעתיד אנא למקני ממקרקעי וממטלטלי אגב מקרקעי כולהון יהון אחראין וערבאין לכתובה דא כולה עיקר ונדוניא ותוספת לאתפרעא מנהון בחיי ובתר מותי ואפילו מגלימא דעל כתפאי וקנינן מפלוני דא מכל מאי דכתיב ומפרש לעיל קנין שלם דלא כאסמכתא ודלא כטופסי דשטרי אלא כחוזק וכחומר כל שטרי כתובות הנוהגות בישראל וכהוגן וכתיקון רבותינו ז"ל וחתמנו על שטר כתובה זו בזמן הנזכר לעיל והכל בריר ושריר וקיים.</w:t>
      </w:r>
    </w:p>
    <w:p w14:paraId="2AE82BFB" w14:textId="77777777" w:rsidR="002E5BAD" w:rsidRPr="00351B7D" w:rsidRDefault="002E5BAD" w:rsidP="002E5BAD">
      <w:pPr>
        <w:rPr>
          <w:rFonts w:asciiTheme="minorBidi" w:hAnsiTheme="minorBidi"/>
          <w:u w:val="single"/>
          <w:rtl/>
        </w:rPr>
      </w:pPr>
      <w:r w:rsidRPr="00351B7D">
        <w:rPr>
          <w:rFonts w:asciiTheme="minorBidi" w:hAnsiTheme="minorBidi"/>
          <w:u w:val="single"/>
          <w:rtl/>
        </w:rPr>
        <w:t>נוסח כתובה דאירכסא:</w:t>
      </w:r>
    </w:p>
    <w:p w14:paraId="27EC138D"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רי"ו</w:t>
      </w:r>
      <w:r w:rsidRPr="00351B7D">
        <w:rPr>
          <w:rFonts w:asciiTheme="minorBidi" w:hAnsiTheme="minorBidi"/>
          <w:sz w:val="16"/>
          <w:szCs w:val="16"/>
          <w:rtl/>
        </w:rPr>
        <w:t xml:space="preserve"> (נכ"ב ח"ב)</w:t>
      </w:r>
      <w:r w:rsidRPr="00351B7D">
        <w:rPr>
          <w:rFonts w:asciiTheme="minorBidi" w:hAnsiTheme="minorBidi"/>
          <w:rtl/>
        </w:rPr>
        <w:t>- מה דהות קדמנא בכך וכך לשבת וכו' למנין שאנו מונין וכו' איך פב"פ אתא קדמנא ואמר לנא פב"פ הות נסיבא לי לאינתו מקדמת דנא וכדו אירכסא כתובתה דהוה כתיבא לה מההוא יומא דאינסיבא כהלכת בנת ישראל דמתנסבן לגוברין יהודאין בקידושין ובכתובה ואמרי רבנן דאסיר לאשתהויי אינתתא בלא כתובה ואפילו שעה חדא כתובו לה כתובה אחריתא בחריקא דכתובתה ובכן כתיבנא לה השתא כתובה דאחילופי כתובה קמייתא איך פלוני בן פלוני אמר להדא פלוני בן פלוני הוי לי לאינתו כדת משה וישראל וכו'</w:t>
      </w:r>
      <w:r w:rsidRPr="00351B7D">
        <w:rPr>
          <w:rStyle w:val="a7"/>
          <w:rFonts w:asciiTheme="minorBidi" w:hAnsiTheme="minorBidi"/>
          <w:rtl/>
        </w:rPr>
        <w:footnoteReference w:id="1012"/>
      </w:r>
      <w:r w:rsidRPr="00351B7D">
        <w:rPr>
          <w:rFonts w:asciiTheme="minorBidi" w:hAnsiTheme="minorBidi"/>
          <w:rtl/>
        </w:rPr>
        <w:t>.</w:t>
      </w:r>
    </w:p>
    <w:p w14:paraId="26B6DA1F" w14:textId="77777777" w:rsidR="002E5BAD" w:rsidRPr="00351B7D" w:rsidRDefault="002E5BAD" w:rsidP="002E5BAD">
      <w:pPr>
        <w:rPr>
          <w:rFonts w:asciiTheme="minorBidi" w:hAnsiTheme="minorBidi"/>
          <w:u w:val="single"/>
        </w:rPr>
      </w:pPr>
      <w:r w:rsidRPr="00351B7D">
        <w:rPr>
          <w:rFonts w:asciiTheme="minorBidi" w:hAnsiTheme="minorBidi"/>
          <w:u w:val="single"/>
          <w:rtl/>
        </w:rPr>
        <w:t>אשה שכתובתה נקרעה:</w:t>
      </w:r>
      <w:r w:rsidRPr="00351B7D">
        <w:rPr>
          <w:rFonts w:asciiTheme="minorBidi" w:hAnsiTheme="minorBidi"/>
          <w:sz w:val="16"/>
          <w:szCs w:val="16"/>
          <w:rtl/>
        </w:rPr>
        <w:t xml:space="preserve">  (דרכ"מ אות יט)</w:t>
      </w:r>
    </w:p>
    <w:p w14:paraId="4FDA9F31"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רשב"א</w:t>
      </w:r>
      <w:r w:rsidRPr="00351B7D">
        <w:rPr>
          <w:rFonts w:asciiTheme="minorBidi" w:hAnsiTheme="minorBidi"/>
          <w:sz w:val="16"/>
          <w:szCs w:val="16"/>
          <w:rtl/>
        </w:rPr>
        <w:t xml:space="preserve"> (ח"א סי' תשח)</w:t>
      </w:r>
      <w:r w:rsidRPr="00351B7D">
        <w:rPr>
          <w:rFonts w:asciiTheme="minorBidi" w:hAnsiTheme="minorBidi"/>
          <w:rtl/>
        </w:rPr>
        <w:t>- אם הוא קרע הפוסל כתובה כתבינן לה כתובה אחריתא מעכשיו ולא מזמן הראשון, ואפילו אם הוא קרע שאינו פוסל השטר לא כתבינן לה אחריתא מזמן הראשון דהואיל והשטר עדיין כשר למה יכתבו לה אחרת</w:t>
      </w:r>
      <w:r w:rsidRPr="00351B7D">
        <w:rPr>
          <w:rStyle w:val="a7"/>
          <w:rFonts w:asciiTheme="minorBidi" w:hAnsiTheme="minorBidi"/>
          <w:rtl/>
        </w:rPr>
        <w:footnoteReference w:id="1013"/>
      </w:r>
      <w:r w:rsidRPr="00351B7D">
        <w:rPr>
          <w:rFonts w:asciiTheme="minorBidi" w:hAnsiTheme="minorBidi"/>
          <w:rtl/>
        </w:rPr>
        <w:t xml:space="preserve">. </w:t>
      </w:r>
    </w:p>
    <w:p w14:paraId="111A030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F2F06C"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rtl/>
        </w:rPr>
        <w:t>הנושא אשה סתם כותב לפי המנהג, וכן היא שפסקה להכניס נותנת כפי מנהג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ומה שהאשה מכנסת לבעלה הן מעות הן בגדים</w:t>
      </w:r>
      <w:r w:rsidRPr="00351B7D">
        <w:rPr>
          <w:rStyle w:val="a7"/>
          <w:rFonts w:asciiTheme="minorBidi" w:hAnsiTheme="minorBidi"/>
          <w:color w:val="000000"/>
          <w:sz w:val="18"/>
          <w:szCs w:val="18"/>
          <w:rtl/>
        </w:rPr>
        <w:footnoteReference w:id="1014"/>
      </w:r>
      <w:r w:rsidRPr="00351B7D">
        <w:rPr>
          <w:rFonts w:asciiTheme="minorBidi" w:hAnsiTheme="minorBidi"/>
          <w:color w:val="000000"/>
          <w:sz w:val="18"/>
          <w:szCs w:val="18"/>
          <w:rtl/>
        </w:rPr>
        <w:t xml:space="preserve"> ומקבלן עליו והן באחריותו נקרא נדוניא בכל מקום ואינה נגבית אלא עם הכתובה אבל לשאר דברים אין דינו ככתובה וכמו שיתבאר לקמן. ויש מקומות שהחתן מוסיף לה בנדונייתא וכותב יותר ממה שקבל והולכין בזה אחר המנהג</w:t>
      </w:r>
      <w:r w:rsidRPr="00351B7D">
        <w:rPr>
          <w:rStyle w:val="a7"/>
          <w:rFonts w:asciiTheme="minorBidi" w:hAnsiTheme="minorBidi"/>
          <w:color w:val="000000"/>
          <w:sz w:val="18"/>
          <w:szCs w:val="18"/>
          <w:rtl/>
        </w:rPr>
        <w:footnoteReference w:id="1015"/>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(כל הנ"ל בטור)</w:t>
      </w:r>
      <w:r w:rsidRPr="00351B7D">
        <w:rPr>
          <w:rFonts w:asciiTheme="minorBidi" w:hAnsiTheme="minorBidi"/>
          <w:color w:val="000000"/>
          <w:sz w:val="18"/>
          <w:szCs w:val="18"/>
          <w:rtl/>
        </w:rPr>
        <w:t xml:space="preserve">. ומן הסתם אחריות הנדוניא עליו </w:t>
      </w:r>
      <w:r w:rsidRPr="00351B7D">
        <w:rPr>
          <w:rStyle w:val="a7"/>
          <w:rFonts w:asciiTheme="minorBidi" w:hAnsiTheme="minorBidi"/>
          <w:color w:val="000000"/>
          <w:sz w:val="18"/>
          <w:szCs w:val="18"/>
          <w:rtl/>
        </w:rPr>
        <w:footnoteReference w:id="1016"/>
      </w:r>
      <w:r w:rsidRPr="00351B7D">
        <w:rPr>
          <w:rFonts w:asciiTheme="minorBidi" w:hAnsiTheme="minorBidi"/>
          <w:color w:val="000000"/>
          <w:sz w:val="18"/>
          <w:szCs w:val="18"/>
          <w:rtl/>
        </w:rPr>
        <w:t>כנכסי צאן ברזל אבל אם ירצה להניח לה ברשותה</w:t>
      </w:r>
      <w:r w:rsidRPr="00351B7D">
        <w:rPr>
          <w:rStyle w:val="a7"/>
          <w:rFonts w:asciiTheme="minorBidi" w:hAnsiTheme="minorBidi"/>
          <w:color w:val="000000"/>
          <w:sz w:val="18"/>
          <w:szCs w:val="18"/>
          <w:rtl/>
        </w:rPr>
        <w:footnoteReference w:id="1017"/>
      </w:r>
      <w:r w:rsidRPr="00351B7D">
        <w:rPr>
          <w:rFonts w:asciiTheme="minorBidi" w:hAnsiTheme="minorBidi"/>
          <w:color w:val="000000"/>
          <w:sz w:val="18"/>
          <w:szCs w:val="18"/>
          <w:rtl/>
        </w:rPr>
        <w:t xml:space="preserve"> ושלא לקבל אחריות עליהם הרשות בידו. וע"ל ריש סי' צ"ג וק' עוד מאלו הדינים. כשהאב קיים ומשיא בתו כותבים: ודין הנדוניא דהנעלת ליה מבי אביה, וכשאין האב קיים כותבין: מבי נשא </w:t>
      </w:r>
      <w:r w:rsidRPr="00351B7D">
        <w:rPr>
          <w:rFonts w:asciiTheme="minorBidi" w:hAnsiTheme="minorBidi"/>
          <w:color w:val="000000"/>
          <w:sz w:val="16"/>
          <w:szCs w:val="16"/>
          <w:rtl/>
        </w:rPr>
        <w:t>(מרדכי פרק ב"מ בשם ר"ת)</w:t>
      </w:r>
      <w:r w:rsidRPr="00351B7D">
        <w:rPr>
          <w:rFonts w:asciiTheme="minorBidi" w:hAnsiTheme="minorBidi"/>
          <w:color w:val="000000"/>
          <w:sz w:val="18"/>
          <w:szCs w:val="18"/>
          <w:rtl/>
        </w:rPr>
        <w:t xml:space="preserve">, מיהו אם שינה לית לן בה </w:t>
      </w:r>
      <w:r w:rsidRPr="00351B7D">
        <w:rPr>
          <w:rFonts w:asciiTheme="minorBidi" w:hAnsiTheme="minorBidi"/>
          <w:color w:val="000000"/>
          <w:sz w:val="16"/>
          <w:szCs w:val="16"/>
          <w:rtl/>
        </w:rPr>
        <w:t>(תשו' ר"ש משנץ)</w:t>
      </w:r>
      <w:r w:rsidRPr="00351B7D">
        <w:rPr>
          <w:rFonts w:asciiTheme="minorBidi" w:hAnsiTheme="minorBidi"/>
          <w:color w:val="000000"/>
          <w:sz w:val="18"/>
          <w:szCs w:val="18"/>
          <w:rtl/>
        </w:rPr>
        <w:t>. בכתובת גרושה כותבין: מתרכתא כדי שידעו שהיא גרושה ואסורה לכהנים</w:t>
      </w:r>
      <w:r w:rsidRPr="00351B7D">
        <w:rPr>
          <w:rStyle w:val="a7"/>
          <w:rFonts w:asciiTheme="minorBidi" w:hAnsiTheme="minorBidi"/>
          <w:color w:val="000000"/>
          <w:sz w:val="18"/>
          <w:szCs w:val="18"/>
          <w:rtl/>
        </w:rPr>
        <w:footnoteReference w:id="1018"/>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(פסקי מהרא"י סימן נ')</w:t>
      </w:r>
      <w:r w:rsidRPr="00351B7D">
        <w:rPr>
          <w:rFonts w:asciiTheme="minorBidi" w:hAnsiTheme="minorBidi"/>
          <w:color w:val="000000"/>
          <w:sz w:val="18"/>
          <w:szCs w:val="18"/>
          <w:rtl/>
        </w:rPr>
        <w:t>.</w:t>
      </w:r>
      <w:r w:rsidRPr="00351B7D">
        <w:rPr>
          <w:rFonts w:asciiTheme="minorBidi" w:hAnsiTheme="minorBidi"/>
          <w:rtl/>
        </w:rPr>
        <w:t xml:space="preserve"> וכשבאה לגבות כתובתה מגבין לה מה שבכתובתה לפי מנהג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היא אומרת שהוסיף לה יותר מן המנהג צריכה להביא ראייה לדבריה, אבל אם יש בידה שטר כתובה שאינו מקוים או שאחד מן העדים הוא פסול אף על פי שמראה התנאים</w:t>
      </w:r>
      <w:r w:rsidRPr="00351B7D">
        <w:rPr>
          <w:rStyle w:val="a7"/>
          <w:rFonts w:asciiTheme="minorBidi" w:hAnsiTheme="minorBidi"/>
          <w:color w:val="000000"/>
          <w:sz w:val="18"/>
          <w:szCs w:val="18"/>
          <w:rtl/>
        </w:rPr>
        <w:footnoteReference w:id="1019"/>
      </w:r>
      <w:r w:rsidRPr="00351B7D">
        <w:rPr>
          <w:rFonts w:asciiTheme="minorBidi" w:hAnsiTheme="minorBidi"/>
          <w:color w:val="000000"/>
          <w:sz w:val="18"/>
          <w:szCs w:val="18"/>
          <w:rtl/>
        </w:rPr>
        <w:t xml:space="preserve"> שביניהם שהוצרך להוסיף לה אינה גובאת אלא כמנהג. </w:t>
      </w:r>
      <w:r w:rsidRPr="00351B7D">
        <w:rPr>
          <w:rFonts w:asciiTheme="minorBidi" w:hAnsiTheme="minorBidi"/>
          <w:color w:val="000000"/>
          <w:sz w:val="16"/>
          <w:szCs w:val="16"/>
          <w:rtl/>
        </w:rPr>
        <w:t>(פסקי מהרא"י סימן פ"ט)</w:t>
      </w:r>
      <w:r w:rsidRPr="00351B7D">
        <w:rPr>
          <w:rFonts w:asciiTheme="minorBidi" w:hAnsiTheme="minorBidi"/>
          <w:color w:val="000000"/>
          <w:sz w:val="18"/>
          <w:szCs w:val="18"/>
          <w:rtl/>
        </w:rPr>
        <w:t>. וע"ל סי' ק' סעיף ה'.</w:t>
      </w:r>
      <w:r w:rsidRPr="00351B7D">
        <w:rPr>
          <w:rFonts w:asciiTheme="minorBidi" w:hAnsiTheme="minorBidi"/>
          <w:rtl/>
        </w:rPr>
        <w:t xml:space="preserve"> ובכל אלו הדברים וכיוצא בהן מנהג המדינה הוא עיקר ועל פיו דנין והוא שיהיה אותו המנהג פשוט בכל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מיהו אם רוצה להתנות ולפחות לאשתו מן המנהג הרשות בידו </w:t>
      </w:r>
      <w:r w:rsidRPr="00351B7D">
        <w:rPr>
          <w:rFonts w:asciiTheme="minorBidi" w:hAnsiTheme="minorBidi"/>
          <w:color w:val="000000"/>
          <w:sz w:val="16"/>
          <w:szCs w:val="16"/>
          <w:rtl/>
        </w:rPr>
        <w:t>(מהרי"ל סימן ע"ו)</w:t>
      </w:r>
      <w:r w:rsidRPr="00351B7D">
        <w:rPr>
          <w:rFonts w:asciiTheme="minorBidi" w:hAnsiTheme="minorBidi"/>
          <w:color w:val="000000"/>
          <w:sz w:val="18"/>
          <w:szCs w:val="18"/>
          <w:rtl/>
        </w:rPr>
        <w:t xml:space="preserve">, ובלבד שלא יפחות ממה שתקנו רבנן. ונראה לי דוקא שהתנה כן בשעה שעשה השידוכים אבל אם עשו </w:t>
      </w:r>
      <w:r w:rsidRPr="00351B7D">
        <w:rPr>
          <w:rFonts w:asciiTheme="minorBidi" w:hAnsiTheme="minorBidi"/>
          <w:color w:val="000000"/>
          <w:sz w:val="18"/>
          <w:szCs w:val="18"/>
          <w:rtl/>
        </w:rPr>
        <w:lastRenderedPageBreak/>
        <w:t xml:space="preserve">שידוכים סתם ושעבדו עצמן בקנסות צריך לכתוב לפי המנהג ולא יוכל לשנות </w:t>
      </w:r>
      <w:r w:rsidRPr="00351B7D">
        <w:rPr>
          <w:rFonts w:asciiTheme="minorBidi" w:hAnsiTheme="minorBidi"/>
          <w:color w:val="000000"/>
          <w:sz w:val="16"/>
          <w:szCs w:val="16"/>
          <w:rtl/>
        </w:rPr>
        <w:t>(דברי הרב וכ"מ במהרי"ל)</w:t>
      </w:r>
      <w:r w:rsidRPr="00351B7D">
        <w:rPr>
          <w:rFonts w:asciiTheme="minorBidi" w:hAnsiTheme="minorBidi"/>
          <w:color w:val="000000"/>
          <w:sz w:val="18"/>
          <w:szCs w:val="18"/>
          <w:rtl/>
        </w:rPr>
        <w:t>. ויש מקומות שנוהגים לכתוב כל הכתובות בשוה אפילו לא הכניסה לו כלום ואם ירצה מוסיף לה</w:t>
      </w:r>
      <w:r w:rsidRPr="00351B7D">
        <w:rPr>
          <w:rStyle w:val="a7"/>
          <w:rFonts w:asciiTheme="minorBidi" w:hAnsiTheme="minorBidi"/>
          <w:color w:val="000000"/>
          <w:sz w:val="18"/>
          <w:szCs w:val="18"/>
          <w:rtl/>
        </w:rPr>
        <w:footnoteReference w:id="1020"/>
      </w:r>
      <w:r w:rsidRPr="00351B7D">
        <w:rPr>
          <w:rFonts w:asciiTheme="minorBidi" w:hAnsiTheme="minorBidi"/>
          <w:color w:val="000000"/>
          <w:sz w:val="18"/>
          <w:szCs w:val="18"/>
          <w:rtl/>
        </w:rPr>
        <w:t xml:space="preserve"> ואם ירצה לפחות לה היא כותבת לו: כך וכך קבלתי על כתובתי, וכן נוהגין במדינות אלו.</w:t>
      </w:r>
      <w:r w:rsidRPr="00351B7D">
        <w:rPr>
          <w:rFonts w:asciiTheme="minorBidi" w:hAnsiTheme="minorBidi"/>
          <w:color w:val="000000"/>
          <w:sz w:val="16"/>
          <w:szCs w:val="16"/>
          <w:rtl/>
        </w:rPr>
        <w:t xml:space="preserve">  </w:t>
      </w:r>
    </w:p>
    <w:p w14:paraId="5BFE20A5" w14:textId="77777777" w:rsidR="002E5BAD" w:rsidRPr="00351B7D" w:rsidRDefault="002E5BAD" w:rsidP="002E5BAD">
      <w:pPr>
        <w:rPr>
          <w:rFonts w:asciiTheme="minorBidi" w:hAnsiTheme="minorBidi"/>
          <w:color w:val="000000"/>
          <w:u w:val="single"/>
          <w:rtl/>
        </w:rPr>
      </w:pPr>
      <w:r w:rsidRPr="00351B7D">
        <w:rPr>
          <w:rFonts w:asciiTheme="minorBidi" w:hAnsiTheme="minorBidi"/>
          <w:u w:val="single"/>
          <w:rtl/>
        </w:rPr>
        <w:t>כתובה של גרושה שלא נכתב בה "מתרכתא":</w:t>
      </w:r>
      <w:r w:rsidRPr="00351B7D">
        <w:rPr>
          <w:rFonts w:asciiTheme="minorBidi" w:hAnsiTheme="minorBidi"/>
          <w:color w:val="000000"/>
          <w:rtl/>
        </w:rPr>
        <w:t xml:space="preserve">   </w:t>
      </w:r>
      <w:r w:rsidRPr="00351B7D">
        <w:rPr>
          <w:rFonts w:asciiTheme="minorBidi" w:hAnsiTheme="minorBidi"/>
          <w:color w:val="000000"/>
          <w:sz w:val="16"/>
          <w:szCs w:val="16"/>
          <w:rtl/>
        </w:rPr>
        <w:t>(פת"ש סק"ח)</w:t>
      </w:r>
    </w:p>
    <w:p w14:paraId="3F3749BC"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חת"ס</w:t>
      </w:r>
      <w:r w:rsidRPr="00351B7D">
        <w:rPr>
          <w:rFonts w:asciiTheme="minorBidi" w:hAnsiTheme="minorBidi"/>
          <w:color w:val="000000"/>
          <w:sz w:val="16"/>
          <w:szCs w:val="16"/>
          <w:rtl/>
        </w:rPr>
        <w:t xml:space="preserve"> (סי' קל)</w:t>
      </w:r>
      <w:r w:rsidRPr="00351B7D">
        <w:rPr>
          <w:rFonts w:asciiTheme="minorBidi" w:hAnsiTheme="minorBidi"/>
          <w:rtl/>
        </w:rPr>
        <w:t>- צריך כתובה אחרת או להתפיס מטלטלין ולכתוב כתובה אחרת אחר החופה</w:t>
      </w:r>
      <w:r w:rsidRPr="00351B7D">
        <w:rPr>
          <w:rStyle w:val="a7"/>
          <w:rFonts w:asciiTheme="minorBidi" w:hAnsiTheme="minorBidi"/>
          <w:rtl/>
        </w:rPr>
        <w:footnoteReference w:id="1021"/>
      </w:r>
      <w:r w:rsidRPr="00351B7D">
        <w:rPr>
          <w:rFonts w:asciiTheme="minorBidi" w:hAnsiTheme="minorBidi"/>
          <w:rtl/>
        </w:rPr>
        <w:t>.</w:t>
      </w:r>
    </w:p>
    <w:p w14:paraId="47148B6F"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רב אחד</w:t>
      </w:r>
      <w:r w:rsidRPr="00351B7D">
        <w:rPr>
          <w:rFonts w:asciiTheme="minorBidi" w:hAnsiTheme="minorBidi"/>
          <w:color w:val="000000"/>
          <w:sz w:val="16"/>
          <w:szCs w:val="16"/>
          <w:rtl/>
        </w:rPr>
        <w:t xml:space="preserve"> (הביאו החת"ס)</w:t>
      </w:r>
      <w:r w:rsidRPr="00351B7D">
        <w:rPr>
          <w:rFonts w:asciiTheme="minorBidi" w:hAnsiTheme="minorBidi"/>
          <w:rtl/>
        </w:rPr>
        <w:t xml:space="preserve">- אין צריך כתובה חדשה. </w:t>
      </w:r>
    </w:p>
    <w:p w14:paraId="7A360EDE" w14:textId="77777777" w:rsidR="002E5BAD" w:rsidRPr="00351B7D" w:rsidRDefault="002E5BAD" w:rsidP="002E5BAD">
      <w:pPr>
        <w:rPr>
          <w:rFonts w:asciiTheme="minorBidi" w:hAnsiTheme="minorBidi"/>
          <w:color w:val="000000"/>
          <w:u w:val="single"/>
          <w:rtl/>
        </w:rPr>
      </w:pPr>
      <w:r w:rsidRPr="00351B7D">
        <w:rPr>
          <w:rFonts w:asciiTheme="minorBidi" w:hAnsiTheme="minorBidi"/>
          <w:u w:val="single"/>
          <w:rtl/>
        </w:rPr>
        <w:t>האם כותבין "בעולתא" בכתובת בעולה:</w:t>
      </w:r>
      <w:r w:rsidRPr="00351B7D">
        <w:rPr>
          <w:rFonts w:asciiTheme="minorBidi" w:hAnsiTheme="minorBidi"/>
          <w:color w:val="000000"/>
          <w:rtl/>
        </w:rPr>
        <w:t xml:space="preserve">   </w:t>
      </w:r>
      <w:r w:rsidRPr="00351B7D">
        <w:rPr>
          <w:rFonts w:asciiTheme="minorBidi" w:hAnsiTheme="minorBidi"/>
          <w:color w:val="000000"/>
          <w:sz w:val="16"/>
          <w:szCs w:val="16"/>
          <w:rtl/>
        </w:rPr>
        <w:t>(פת"ש סק"ח)</w:t>
      </w:r>
    </w:p>
    <w:p w14:paraId="06E549EC"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ב"ש</w:t>
      </w:r>
      <w:r w:rsidRPr="00351B7D">
        <w:rPr>
          <w:rFonts w:asciiTheme="minorBidi" w:hAnsiTheme="minorBidi"/>
          <w:sz w:val="16"/>
          <w:szCs w:val="16"/>
          <w:rtl/>
        </w:rPr>
        <w:t xml:space="preserve"> (סקכ"ה)</w:t>
      </w:r>
      <w:r w:rsidRPr="00351B7D">
        <w:rPr>
          <w:rFonts w:asciiTheme="minorBidi" w:hAnsiTheme="minorBidi"/>
          <w:rtl/>
        </w:rPr>
        <w:t>- צריך לכתוב בשביל הכהנים.</w:t>
      </w:r>
    </w:p>
    <w:p w14:paraId="25518C2C"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נחלת שבעה</w:t>
      </w:r>
      <w:r w:rsidRPr="00351B7D">
        <w:rPr>
          <w:rFonts w:asciiTheme="minorBidi" w:hAnsiTheme="minorBidi"/>
          <w:color w:val="000000"/>
          <w:sz w:val="16"/>
          <w:szCs w:val="16"/>
          <w:rtl/>
        </w:rPr>
        <w:t xml:space="preserve"> (סי' יב סע' טו אות ג)</w:t>
      </w:r>
      <w:r w:rsidRPr="00351B7D">
        <w:rPr>
          <w:rFonts w:asciiTheme="minorBidi" w:hAnsiTheme="minorBidi"/>
          <w:rtl/>
        </w:rPr>
        <w:t xml:space="preserve"> ובית מאיר- לא כותבים בעולתא</w:t>
      </w:r>
      <w:r w:rsidRPr="00351B7D">
        <w:rPr>
          <w:rStyle w:val="a7"/>
          <w:rFonts w:asciiTheme="minorBidi" w:hAnsiTheme="minorBidi"/>
          <w:color w:val="000000"/>
          <w:rtl/>
        </w:rPr>
        <w:footnoteReference w:id="1022"/>
      </w:r>
      <w:r w:rsidRPr="00351B7D">
        <w:rPr>
          <w:rFonts w:asciiTheme="minorBidi" w:hAnsiTheme="minorBidi"/>
          <w:color w:val="000000"/>
          <w:rtl/>
        </w:rPr>
        <w:t xml:space="preserve">. </w:t>
      </w:r>
    </w:p>
    <w:p w14:paraId="447B389E" w14:textId="77777777" w:rsidR="002E5BAD" w:rsidRPr="00351B7D" w:rsidRDefault="002E5BAD" w:rsidP="002E5BAD">
      <w:pPr>
        <w:rPr>
          <w:rFonts w:asciiTheme="minorBidi" w:hAnsiTheme="minorBidi"/>
          <w:color w:val="000000"/>
          <w:sz w:val="16"/>
          <w:szCs w:val="16"/>
          <w:rtl/>
        </w:rPr>
      </w:pPr>
      <w:r w:rsidRPr="00351B7D">
        <w:rPr>
          <w:rFonts w:asciiTheme="minorBidi" w:hAnsiTheme="minorBidi"/>
          <w:u w:val="single"/>
          <w:rtl/>
        </w:rPr>
        <w:t>גיורת שנשאת ונתגרשה ועתה באה לינשא, מה כתובים בכתובה: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סק"ח) </w:t>
      </w:r>
    </w:p>
    <w:p w14:paraId="4637EDEC"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color w:val="000000"/>
          <w:rtl/>
        </w:rPr>
        <w:t xml:space="preserve">רדב"ז </w:t>
      </w:r>
      <w:r w:rsidRPr="00351B7D">
        <w:rPr>
          <w:rFonts w:asciiTheme="minorBidi" w:hAnsiTheme="minorBidi"/>
          <w:color w:val="000000"/>
          <w:sz w:val="16"/>
          <w:szCs w:val="16"/>
          <w:rtl/>
        </w:rPr>
        <w:t>(ח"א סי' ק"פ)</w:t>
      </w:r>
      <w:r w:rsidRPr="00351B7D">
        <w:rPr>
          <w:rFonts w:asciiTheme="minorBidi" w:hAnsiTheme="minorBidi"/>
          <w:rtl/>
        </w:rPr>
        <w:t xml:space="preserve">- לכאורה אין קפידא בדבר כיון דשתיהן אסורות לכהונה, אבל כד מעיינת שפיר תשכח דראוי לכתוב הגיורת שלא תשתכח שם גירות מעליה דלמחר יגרש אותה זה ותנשא לגר ובתו פסולה לכהונה דקיי"ל כראב"י כו' </w:t>
      </w:r>
      <w:r w:rsidRPr="00351B7D">
        <w:rPr>
          <w:rFonts w:asciiTheme="minorBidi" w:hAnsiTheme="minorBidi"/>
          <w:sz w:val="16"/>
          <w:szCs w:val="16"/>
          <w:rtl/>
        </w:rPr>
        <w:t xml:space="preserve">(ר"ל לכתחילה בבא לימלך מורין לו כן עי' בקדושין ד' ע"ח ע"ב וע"ל סי' ז סכ"א) </w:t>
      </w:r>
      <w:r w:rsidRPr="00351B7D">
        <w:rPr>
          <w:rFonts w:asciiTheme="minorBidi" w:hAnsiTheme="minorBidi"/>
          <w:rtl/>
        </w:rPr>
        <w:t>ותו איכא נפקותא לענין להנשא לקרוביה מצד האב דלא גזרו בגר בשאר האב כלל ואפי' בשאר האם איכא נפקותא דאין איסור אלא מדרבנן הלכך לעולם היה צריך לכתוב לה הגיורת כדי שלא נשכח יחוסה וא"צ לכתוב גרושה דבכלל גיורת שאסורה לכהונה היא. וכן גרושה ואלמנה צריך לכתוב הגרושה.</w:t>
      </w:r>
    </w:p>
    <w:p w14:paraId="6AAF5F7B" w14:textId="77777777" w:rsidR="002E5BAD" w:rsidRPr="00351B7D" w:rsidRDefault="002E5BAD" w:rsidP="002E5BAD">
      <w:pPr>
        <w:rPr>
          <w:rFonts w:asciiTheme="minorBidi" w:hAnsiTheme="minorBidi"/>
          <w:color w:val="000000"/>
          <w:rtl/>
        </w:rPr>
      </w:pPr>
    </w:p>
    <w:p w14:paraId="64EEEF56" w14:textId="77777777" w:rsidR="002E5BAD" w:rsidRPr="00351B7D" w:rsidRDefault="002E5BAD" w:rsidP="002E5BAD">
      <w:pPr>
        <w:pStyle w:val="2"/>
        <w:rPr>
          <w:rFonts w:asciiTheme="minorBidi" w:hAnsiTheme="minorBidi"/>
          <w:rtl/>
        </w:rPr>
      </w:pPr>
      <w:r w:rsidRPr="00351B7D">
        <w:rPr>
          <w:rFonts w:asciiTheme="minorBidi" w:hAnsiTheme="minorBidi"/>
          <w:rtl/>
        </w:rPr>
        <w:t>סעיף יב: נשא אשה ממקום אחר ע"מ לדור במקומו.</w:t>
      </w:r>
    </w:p>
    <w:p w14:paraId="3D60A789" w14:textId="77777777" w:rsidR="002E5BAD" w:rsidRPr="00351B7D" w:rsidRDefault="002E5BAD" w:rsidP="002E5BAD">
      <w:pPr>
        <w:rPr>
          <w:rFonts w:asciiTheme="minorBidi" w:hAnsiTheme="minorBidi"/>
          <w:rtl/>
        </w:rPr>
      </w:pPr>
      <w:r w:rsidRPr="00351B7D">
        <w:rPr>
          <w:rFonts w:asciiTheme="minorBidi" w:hAnsiTheme="minorBidi"/>
          <w:b/>
          <w:bCs/>
          <w:rtl/>
        </w:rPr>
        <w:t xml:space="preserve">כתובות נד ע"א: </w:t>
      </w:r>
      <w:r w:rsidRPr="00351B7D">
        <w:rPr>
          <w:rFonts w:asciiTheme="minorBidi" w:hAnsiTheme="minorBidi"/>
          <w:rtl/>
        </w:rPr>
        <w:t xml:space="preserve">ההיא בת מחוזא דהות נסיבא לנהרדעא, אתו לקמיה דרב נחמן, שמעה לקלה דבת מחוזא היא, אמר להו: בבל וכל פרוודהא נהוג כרב. אמרו ליה: והא לנהרדעא נסיבא! אמר להו: אי הכי, נהרדעא וכל פרוודהא נהוג כשמואל. </w:t>
      </w:r>
      <w:r w:rsidRPr="00351B7D">
        <w:rPr>
          <w:rFonts w:asciiTheme="minorBidi" w:hAnsiTheme="minorBidi"/>
          <w:color w:val="000000"/>
          <w:sz w:val="16"/>
          <w:szCs w:val="16"/>
          <w:rtl/>
        </w:rPr>
        <w:t>(וכ' הריטב"א (ד"ה אתמר רב אמר) ש"מ מאן דנסיב איתתא מדוכתא אחריתי אדעתא דתידור עמיה בדוכתיה הולכים אחר מנהג מקומו שבאה לשם)</w:t>
      </w:r>
    </w:p>
    <w:p w14:paraId="4007FED2" w14:textId="77777777" w:rsidR="002E5BAD" w:rsidRPr="00351B7D" w:rsidRDefault="002E5BAD" w:rsidP="002E5BAD">
      <w:pPr>
        <w:rPr>
          <w:rFonts w:asciiTheme="minorBidi" w:hAnsiTheme="minorBidi"/>
          <w:u w:val="single"/>
          <w:rtl/>
        </w:rPr>
      </w:pPr>
      <w:r w:rsidRPr="00351B7D">
        <w:rPr>
          <w:rFonts w:asciiTheme="minorBidi" w:hAnsiTheme="minorBidi"/>
          <w:u w:val="single"/>
          <w:rtl/>
        </w:rPr>
        <w:t>היא מעיר א' והוא מעיר א' ונישאו בעיר אחרת ושם כתבו הכתובה ולא כתבו בה שום תנאי, כמנהג אי זה מקום ינהגו:</w:t>
      </w:r>
    </w:p>
    <w:p w14:paraId="0DC7A625"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(ח"א סי' תרסב, ח"ג סי' תלג)</w:t>
      </w:r>
      <w:r w:rsidRPr="00351B7D">
        <w:rPr>
          <w:rFonts w:asciiTheme="minorBidi" w:hAnsiTheme="minorBidi"/>
          <w:rtl/>
        </w:rPr>
        <w:t>- אם על דעת לדור במקום שנשאה כנסה על דעת תנאי אותו מקום נשאה, ואפילו דרכם לכתוב שם 'בכל המנהג והתנאי' וזה לא כתב, שכל הנושא על דעת מנהג המקום הוא נושא, ואם דעתם לדור במקום שדעתם לקבוע שם, ומן הסתם כמנהג מקומו, שיכול להוציאה מעירה לעירו כדאיתא בתוספתא</w:t>
      </w:r>
      <w:r w:rsidRPr="00351B7D">
        <w:rPr>
          <w:rFonts w:asciiTheme="minorBidi" w:hAnsiTheme="minorBidi"/>
          <w:sz w:val="16"/>
          <w:szCs w:val="16"/>
          <w:rtl/>
        </w:rPr>
        <w:t xml:space="preserve"> (כתובות פי"ב הי"א)</w:t>
      </w:r>
      <w:r w:rsidRPr="00351B7D">
        <w:rPr>
          <w:rFonts w:asciiTheme="minorBidi" w:hAnsiTheme="minorBidi"/>
          <w:rtl/>
        </w:rPr>
        <w:t xml:space="preserve">, וכיון שכן הרי הוא נושא על דעת תנאי מקומו שהוא מוציאה שם. </w:t>
      </w:r>
    </w:p>
    <w:p w14:paraId="3F3D837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5E9B557" w14:textId="77777777" w:rsidR="002E5BAD" w:rsidRPr="00351B7D" w:rsidRDefault="002E5BAD" w:rsidP="002E5BAD">
      <w:pPr>
        <w:rPr>
          <w:rFonts w:asciiTheme="minorBidi" w:hAnsiTheme="minorBidi"/>
          <w:color w:val="000000"/>
          <w:rtl/>
        </w:rPr>
      </w:pPr>
      <w:r w:rsidRPr="00351B7D">
        <w:rPr>
          <w:rFonts w:asciiTheme="minorBidi" w:hAnsiTheme="minorBidi"/>
          <w:rtl/>
        </w:rPr>
        <w:t>נשא אשה ממקום אחר על דעת שתדור עמו במקומו הולכים אחר</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(מנהג)</w:t>
      </w:r>
      <w:r w:rsidRPr="00351B7D">
        <w:rPr>
          <w:rFonts w:asciiTheme="minorBidi" w:hAnsiTheme="minorBidi"/>
          <w:rtl/>
        </w:rPr>
        <w:t xml:space="preserve"> מקומו</w:t>
      </w:r>
      <w:r w:rsidRPr="00351B7D">
        <w:rPr>
          <w:rStyle w:val="a7"/>
          <w:rFonts w:asciiTheme="minorBidi" w:hAnsiTheme="minorBidi"/>
          <w:color w:val="000000"/>
          <w:rtl/>
        </w:rPr>
        <w:footnoteReference w:id="1023"/>
      </w:r>
      <w:r w:rsidRPr="00351B7D">
        <w:rPr>
          <w:rFonts w:asciiTheme="minorBidi" w:hAnsiTheme="minorBidi"/>
          <w:color w:val="000000"/>
          <w:rtl/>
        </w:rPr>
        <w:t xml:space="preserve">. </w:t>
      </w:r>
    </w:p>
    <w:p w14:paraId="61DE9229" w14:textId="77777777" w:rsidR="002E5BAD" w:rsidRPr="00351B7D" w:rsidRDefault="002E5BAD" w:rsidP="002E5BAD">
      <w:pPr>
        <w:rPr>
          <w:rFonts w:asciiTheme="minorBidi" w:hAnsiTheme="minorBidi"/>
          <w:color w:val="000000"/>
          <w:rtl/>
        </w:rPr>
      </w:pPr>
    </w:p>
    <w:p w14:paraId="329A1AA4" w14:textId="77777777" w:rsidR="002E5BAD" w:rsidRPr="00351B7D" w:rsidRDefault="002E5BAD" w:rsidP="002E5BAD">
      <w:pPr>
        <w:pStyle w:val="2"/>
        <w:rPr>
          <w:rFonts w:asciiTheme="minorBidi" w:hAnsiTheme="minorBidi"/>
          <w:rtl/>
        </w:rPr>
      </w:pPr>
      <w:r w:rsidRPr="00351B7D">
        <w:rPr>
          <w:rFonts w:asciiTheme="minorBidi" w:hAnsiTheme="minorBidi"/>
          <w:rtl/>
        </w:rPr>
        <w:t xml:space="preserve">סעיף יג: חתימת עד שאינו יודע לקרוא. </w:t>
      </w:r>
    </w:p>
    <w:p w14:paraId="5CFCE70F" w14:textId="77777777" w:rsidR="002E5BAD" w:rsidRPr="00351B7D" w:rsidRDefault="002E5BAD" w:rsidP="002E5BAD">
      <w:pPr>
        <w:rPr>
          <w:rFonts w:asciiTheme="minorBidi" w:hAnsiTheme="minorBidi"/>
          <w:rtl/>
        </w:rPr>
      </w:pPr>
      <w:r w:rsidRPr="00351B7D">
        <w:rPr>
          <w:rFonts w:asciiTheme="minorBidi" w:hAnsiTheme="minorBidi"/>
          <w:b/>
          <w:bCs/>
          <w:rtl/>
        </w:rPr>
        <w:t xml:space="preserve">גיטין יט ע"א: </w:t>
      </w:r>
      <w:r w:rsidRPr="00351B7D">
        <w:rPr>
          <w:rFonts w:asciiTheme="minorBidi" w:hAnsiTheme="minorBidi"/>
          <w:rtl/>
        </w:rPr>
        <w:t>עדים שאין יודעין לקרות - קורין לפניהם וחותמים, ושאין יודעין לחתום</w:t>
      </w:r>
      <w:r w:rsidRPr="00351B7D">
        <w:rPr>
          <w:rStyle w:val="a7"/>
          <w:rFonts w:asciiTheme="minorBidi" w:hAnsiTheme="minorBidi"/>
          <w:rtl/>
        </w:rPr>
        <w:footnoteReference w:id="1024"/>
      </w:r>
      <w:r w:rsidRPr="00351B7D">
        <w:rPr>
          <w:rFonts w:asciiTheme="minorBidi" w:hAnsiTheme="minorBidi"/>
          <w:rtl/>
        </w:rPr>
        <w:t xml:space="preserve"> כו', </w:t>
      </w:r>
      <w:r w:rsidRPr="00351B7D">
        <w:rPr>
          <w:rFonts w:asciiTheme="minorBidi" w:hAnsiTheme="minorBidi"/>
          <w:u w:val="single"/>
          <w:rtl/>
        </w:rPr>
        <w:t>אמר ר"ש בן גמליאל</w:t>
      </w:r>
      <w:r w:rsidRPr="00351B7D">
        <w:rPr>
          <w:rFonts w:asciiTheme="minorBidi" w:hAnsiTheme="minorBidi"/>
          <w:rtl/>
        </w:rPr>
        <w:t xml:space="preserve">: במה דברים אמורים - בגיטי נשים, אבל שחרורי עבדים ושאר כל השטרות, אם יודעין לקרות ולחתום - חותמין, ואם לאו - </w:t>
      </w:r>
      <w:r w:rsidRPr="00351B7D">
        <w:rPr>
          <w:rFonts w:asciiTheme="minorBidi" w:hAnsiTheme="minorBidi"/>
          <w:rtl/>
        </w:rPr>
        <w:lastRenderedPageBreak/>
        <w:t xml:space="preserve">אין חותמין. </w:t>
      </w:r>
      <w:r w:rsidRPr="00351B7D">
        <w:rPr>
          <w:rFonts w:asciiTheme="minorBidi" w:hAnsiTheme="minorBidi"/>
          <w:u w:val="single"/>
          <w:rtl/>
        </w:rPr>
        <w:t>א"ר אלעזר</w:t>
      </w:r>
      <w:r w:rsidRPr="00351B7D">
        <w:rPr>
          <w:rFonts w:asciiTheme="minorBidi" w:hAnsiTheme="minorBidi"/>
          <w:rtl/>
        </w:rPr>
        <w:t xml:space="preserve">: מ"ט דרבן שמעון בן גמליאל? שלא יהו בנות ישראל עגונות. </w:t>
      </w:r>
      <w:r w:rsidRPr="00351B7D">
        <w:rPr>
          <w:rFonts w:asciiTheme="minorBidi" w:hAnsiTheme="minorBidi"/>
          <w:u w:val="single"/>
          <w:rtl/>
        </w:rPr>
        <w:t xml:space="preserve">אמר רבא: </w:t>
      </w:r>
      <w:r w:rsidRPr="00351B7D">
        <w:rPr>
          <w:rFonts w:asciiTheme="minorBidi" w:hAnsiTheme="minorBidi"/>
          <w:rtl/>
        </w:rPr>
        <w:t xml:space="preserve">הלכה כרשב"ג. </w:t>
      </w:r>
      <w:r w:rsidRPr="00351B7D">
        <w:rPr>
          <w:rFonts w:asciiTheme="minorBidi" w:hAnsiTheme="minorBidi"/>
          <w:color w:val="000000"/>
          <w:sz w:val="16"/>
          <w:szCs w:val="16"/>
          <w:rtl/>
        </w:rPr>
        <w:t>(ומדברי רשב"ג הביא הרא"ש (כלל לו סי' א) טעם לדבריו שבמקום שאין רגילין לחתום בכתובה אלא הראויין להעיד לא יחתום מי שאינו יודע לקרות)</w:t>
      </w:r>
    </w:p>
    <w:p w14:paraId="6D391059" w14:textId="77777777" w:rsidR="002E5BAD" w:rsidRPr="00351B7D" w:rsidRDefault="002E5BAD" w:rsidP="002E5BAD">
      <w:pPr>
        <w:rPr>
          <w:rFonts w:asciiTheme="minorBidi" w:hAnsiTheme="minorBidi"/>
          <w:u w:val="single"/>
          <w:rtl/>
        </w:rPr>
      </w:pPr>
      <w:r w:rsidRPr="00351B7D">
        <w:rPr>
          <w:rFonts w:asciiTheme="minorBidi" w:hAnsiTheme="minorBidi"/>
          <w:u w:val="single"/>
          <w:rtl/>
        </w:rPr>
        <w:t>מה הדין אם חתום בכתובה עד שאינו יודע לקרות:</w:t>
      </w:r>
    </w:p>
    <w:p w14:paraId="413527BC"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ל"ו סי' א)</w:t>
      </w:r>
      <w:r w:rsidRPr="00351B7D">
        <w:rPr>
          <w:rFonts w:asciiTheme="minorBidi" w:hAnsiTheme="minorBidi"/>
          <w:rtl/>
        </w:rPr>
        <w:t xml:space="preserve">- דבר זה תלוי במנהג כי יש מקומות שרגילין לחתום בכתובה לכבוד ושני עדים חותמין בראש השיטה ועל פיהם מקיימים הכתובה ובאותו מקום יכולין לחתום אף על פי שאינן יודעים לקרות, אבל במקום שאין רגילין לחתום בכתובה אלא הראוי להעיד לא יחתום מי שאינו יודע לקרות. </w:t>
      </w:r>
      <w:r w:rsidRPr="00351B7D">
        <w:rPr>
          <w:rFonts w:asciiTheme="minorBidi" w:hAnsiTheme="minorBidi"/>
          <w:color w:val="E36C0A" w:themeColor="accent6" w:themeShade="BF"/>
          <w:rtl/>
        </w:rPr>
        <w:t>(וכ"פ בשו"ע)</w:t>
      </w:r>
    </w:p>
    <w:p w14:paraId="2F422573" w14:textId="77777777" w:rsidR="002E5BAD" w:rsidRPr="00351B7D" w:rsidRDefault="002E5BAD" w:rsidP="002E5BAD">
      <w:pPr>
        <w:rPr>
          <w:rFonts w:asciiTheme="minorBidi" w:hAnsiTheme="minorBidi"/>
          <w:u w:val="single"/>
          <w:rtl/>
        </w:rPr>
      </w:pPr>
      <w:r w:rsidRPr="00351B7D">
        <w:rPr>
          <w:rFonts w:asciiTheme="minorBidi" w:hAnsiTheme="minorBidi"/>
          <w:u w:val="single"/>
          <w:rtl/>
        </w:rPr>
        <w:t xml:space="preserve">עם הארץ שבא לגרש את אשתו ואמרו לו ב"ד שיפרע לה כתובתה ואמר שלא הבין כשקראו הכתובה </w:t>
      </w:r>
      <w:r w:rsidRPr="00351B7D">
        <w:rPr>
          <w:rFonts w:asciiTheme="minorBidi" w:hAnsiTheme="minorBidi"/>
          <w:sz w:val="16"/>
          <w:szCs w:val="16"/>
          <w:u w:val="single"/>
          <w:rtl/>
        </w:rPr>
        <w:t>(ולא הבין התנאים)</w:t>
      </w:r>
      <w:r w:rsidRPr="00351B7D">
        <w:rPr>
          <w:rFonts w:asciiTheme="minorBidi" w:hAnsiTheme="minorBidi"/>
          <w:u w:val="single"/>
          <w:rtl/>
        </w:rPr>
        <w:t>:</w:t>
      </w:r>
    </w:p>
    <w:p w14:paraId="17A37190"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ה"ר מאיר</w:t>
      </w:r>
      <w:r w:rsidRPr="00351B7D">
        <w:rPr>
          <w:rFonts w:asciiTheme="minorBidi" w:hAnsiTheme="minorBidi"/>
          <w:sz w:val="16"/>
          <w:szCs w:val="16"/>
          <w:rtl/>
        </w:rPr>
        <w:t xml:space="preserve"> (הביאו הרשב"א)</w:t>
      </w:r>
      <w:r w:rsidRPr="00351B7D">
        <w:rPr>
          <w:rFonts w:asciiTheme="minorBidi" w:hAnsiTheme="minorBidi"/>
          <w:rtl/>
        </w:rPr>
        <w:t xml:space="preserve">- שומעין לו. </w:t>
      </w:r>
    </w:p>
    <w:p w14:paraId="74487168"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(ח"א סי' תרכט)</w:t>
      </w:r>
      <w:r w:rsidRPr="00351B7D">
        <w:rPr>
          <w:rFonts w:asciiTheme="minorBidi" w:hAnsiTheme="minorBidi"/>
          <w:rtl/>
        </w:rPr>
        <w:t>- אין שומעין לו, דחזקה שהעידו עדים בעל פה ועל פיו חתמו בו, ואם אין אתה אומר כן לא הנחת חיוב לעמי הארץ ולא על הנשים שכולם יטענו כן, ואין אלו אלא דברי תימה, אבל מה אעשה שכבר הורה זקן ויושב בישיבה חכם עם איש שיבה</w:t>
      </w:r>
      <w:r w:rsidRPr="00351B7D">
        <w:rPr>
          <w:rStyle w:val="a7"/>
          <w:rFonts w:asciiTheme="minorBidi" w:hAnsiTheme="minorBidi"/>
          <w:rtl/>
        </w:rPr>
        <w:footnoteReference w:id="1025"/>
      </w:r>
      <w:r w:rsidRPr="00351B7D">
        <w:rPr>
          <w:rFonts w:asciiTheme="minorBidi" w:hAnsiTheme="minorBidi"/>
          <w:rtl/>
        </w:rPr>
        <w:t xml:space="preserve">. </w:t>
      </w:r>
    </w:p>
    <w:p w14:paraId="1A33A9A8" w14:textId="77777777" w:rsidR="002E5BAD" w:rsidRPr="00351B7D" w:rsidRDefault="002E5BAD" w:rsidP="002E5BAD">
      <w:pPr>
        <w:rPr>
          <w:rFonts w:asciiTheme="minorBidi" w:hAnsiTheme="minorBidi"/>
          <w:u w:val="single"/>
        </w:rPr>
      </w:pPr>
      <w:r w:rsidRPr="00351B7D">
        <w:rPr>
          <w:rFonts w:asciiTheme="minorBidi" w:hAnsiTheme="minorBidi"/>
          <w:u w:val="single"/>
          <w:rtl/>
        </w:rPr>
        <w:t>ממון שחמיו נותן לו בעבור בתו:</w:t>
      </w:r>
    </w:p>
    <w:p w14:paraId="4B0043B5" w14:textId="77777777" w:rsidR="002E5BAD" w:rsidRPr="00351B7D" w:rsidRDefault="002E5BAD" w:rsidP="002E5BAD">
      <w:pPr>
        <w:pStyle w:val="ab"/>
        <w:numPr>
          <w:ilvl w:val="0"/>
          <w:numId w:val="146"/>
        </w:numPr>
        <w:rPr>
          <w:rFonts w:asciiTheme="minorBidi" w:hAnsiTheme="minorBidi"/>
        </w:rPr>
      </w:pPr>
      <w:r w:rsidRPr="00351B7D">
        <w:rPr>
          <w:rFonts w:asciiTheme="minorBidi" w:hAnsiTheme="minorBidi"/>
          <w:rtl/>
        </w:rPr>
        <w:t>א"ח</w:t>
      </w:r>
      <w:r w:rsidRPr="00351B7D">
        <w:rPr>
          <w:rStyle w:val="a7"/>
          <w:rFonts w:asciiTheme="minorBidi" w:hAnsiTheme="minorBidi"/>
          <w:rtl/>
        </w:rPr>
        <w:footnoteReference w:id="1026"/>
      </w:r>
      <w:r w:rsidRPr="00351B7D">
        <w:rPr>
          <w:rFonts w:asciiTheme="minorBidi" w:hAnsiTheme="minorBidi"/>
          <w:rtl/>
        </w:rPr>
        <w:t xml:space="preserve"> בשם הראב"ד- נהגו שלא ליתן אדם לבתו ממון גדול, ומי שהוא מקפיד ומתקוטט בעבור נכסי אשתו אינו מצליח ואין זיווגן עולה יפה, אלא מה שיתן לו חמיו או חמותו יקח בעין יפה, כי הממון שאדם לוקח עם אשתו אינו ממון של יושר, תדע שהרי ארז"ל</w:t>
      </w:r>
      <w:r w:rsidRPr="00351B7D">
        <w:rPr>
          <w:rFonts w:asciiTheme="minorBidi" w:hAnsiTheme="minorBidi"/>
          <w:sz w:val="16"/>
          <w:szCs w:val="16"/>
          <w:rtl/>
        </w:rPr>
        <w:t xml:space="preserve"> (ערובין סד.)</w:t>
      </w:r>
      <w:r w:rsidRPr="00351B7D">
        <w:rPr>
          <w:rFonts w:asciiTheme="minorBidi" w:hAnsiTheme="minorBidi"/>
          <w:rtl/>
        </w:rPr>
        <w:t xml:space="preserve"> הרוצה שיתקיימו נכסי אשתו יעשה מהם מצות, וראוי לכל איש דעת שלא יעגן עצמו ולא לבת זוגו מפני ממון רב שהממון ההוא לא יצליח מפני העיגון ומפני הרהור עבירה ורבים נכשלים בעבירות כשאינם נושאים אשה במהרה ועליהם נאמר כל הנושא אשה לשם ממון וכו'.</w:t>
      </w:r>
    </w:p>
    <w:p w14:paraId="64326100" w14:textId="77777777" w:rsidR="002E5BAD" w:rsidRPr="00351B7D" w:rsidRDefault="002E5BAD" w:rsidP="002E5BAD">
      <w:pPr>
        <w:rPr>
          <w:rFonts w:asciiTheme="minorBidi" w:hAnsiTheme="minorBidi"/>
        </w:rPr>
      </w:pPr>
      <w:r w:rsidRPr="00351B7D">
        <w:rPr>
          <w:rFonts w:asciiTheme="minorBidi" w:hAnsiTheme="minorBidi"/>
          <w:b/>
          <w:bCs/>
          <w:rtl/>
        </w:rPr>
        <w:t xml:space="preserve">בבא בתרא קעו ע"א: </w:t>
      </w:r>
      <w:r w:rsidRPr="00351B7D">
        <w:rPr>
          <w:rFonts w:asciiTheme="minorBidi" w:hAnsiTheme="minorBidi"/>
          <w:rtl/>
        </w:rPr>
        <w:t>עדים החתומין על שאילת שלום בגט</w:t>
      </w:r>
      <w:r w:rsidRPr="00351B7D">
        <w:rPr>
          <w:rStyle w:val="a7"/>
          <w:rFonts w:asciiTheme="minorBidi" w:hAnsiTheme="minorBidi"/>
          <w:rtl/>
        </w:rPr>
        <w:footnoteReference w:id="1027"/>
      </w:r>
      <w:r w:rsidRPr="00351B7D">
        <w:rPr>
          <w:rFonts w:asciiTheme="minorBidi" w:hAnsiTheme="minorBidi"/>
          <w:rtl/>
        </w:rPr>
        <w:t xml:space="preserve"> - פסול, חיישינן שמא על שאילת שלום חתמו.</w:t>
      </w:r>
    </w:p>
    <w:p w14:paraId="7BC02C91" w14:textId="77777777" w:rsidR="002E5BAD" w:rsidRPr="00351B7D" w:rsidRDefault="002E5BAD" w:rsidP="002E5BAD">
      <w:pPr>
        <w:rPr>
          <w:rFonts w:asciiTheme="minorBidi" w:hAnsiTheme="minorBidi"/>
          <w:rtl/>
        </w:rPr>
      </w:pPr>
      <w:r w:rsidRPr="00351B7D">
        <w:rPr>
          <w:rFonts w:asciiTheme="minorBidi" w:hAnsiTheme="minorBidi"/>
          <w:u w:val="single"/>
          <w:rtl/>
        </w:rPr>
        <w:t>כתובה שהחתן היה חתום תחלה והעדים חתומים תחתיו:</w:t>
      </w:r>
      <w:r w:rsidRPr="00351B7D">
        <w:rPr>
          <w:rFonts w:asciiTheme="minorBidi" w:hAnsiTheme="minorBidi"/>
          <w:rtl/>
        </w:rPr>
        <w:t xml:space="preserve">  </w:t>
      </w:r>
      <w:r w:rsidRPr="00351B7D">
        <w:rPr>
          <w:rFonts w:asciiTheme="minorBidi" w:hAnsiTheme="minorBidi"/>
          <w:sz w:val="16"/>
          <w:szCs w:val="16"/>
          <w:rtl/>
        </w:rPr>
        <w:t xml:space="preserve"> (דרכ"מ אות כ)</w:t>
      </w:r>
      <w:r w:rsidRPr="00351B7D">
        <w:rPr>
          <w:rFonts w:asciiTheme="minorBidi" w:hAnsiTheme="minorBidi"/>
          <w:rtl/>
        </w:rPr>
        <w:t xml:space="preserve"> </w:t>
      </w:r>
    </w:p>
    <w:p w14:paraId="167AA247"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(ב"ב סי' תרמב)</w:t>
      </w:r>
      <w:r w:rsidRPr="00351B7D">
        <w:rPr>
          <w:rFonts w:asciiTheme="minorBidi" w:hAnsiTheme="minorBidi"/>
          <w:rtl/>
        </w:rPr>
        <w:t xml:space="preserve">- הכתובה כשרה, דהא אמרינן קודם חיתום שטרות היכא דכתב 'פלוני ערב' אינו גובה מן הערב אלא מבני חורין, דחתימת העדים לא קיימי עליה אלא אעיקר השטר שלפני פניו, ה"נ נימא דהעדים נמי לא מסהדי שהוא חתן אלא אעיקר כתובה מסהדי. </w:t>
      </w:r>
    </w:p>
    <w:p w14:paraId="79B02AF9" w14:textId="77777777" w:rsidR="002E5BAD" w:rsidRPr="00351B7D" w:rsidRDefault="002E5BAD" w:rsidP="002E5BAD">
      <w:pPr>
        <w:pStyle w:val="ab"/>
        <w:numPr>
          <w:ilvl w:val="0"/>
          <w:numId w:val="146"/>
        </w:numPr>
        <w:rPr>
          <w:rFonts w:asciiTheme="minorBidi" w:hAnsiTheme="minorBidi"/>
          <w:rtl/>
        </w:rPr>
      </w:pPr>
      <w:r w:rsidRPr="00351B7D">
        <w:rPr>
          <w:rFonts w:asciiTheme="minorBidi" w:hAnsiTheme="minorBidi"/>
          <w:rtl/>
        </w:rPr>
        <w:t xml:space="preserve">הר"ר חזקיה </w:t>
      </w:r>
      <w:r w:rsidRPr="00351B7D">
        <w:rPr>
          <w:rFonts w:asciiTheme="minorBidi" w:hAnsiTheme="minorBidi"/>
          <w:sz w:val="16"/>
          <w:szCs w:val="16"/>
          <w:rtl/>
        </w:rPr>
        <w:t>(הביאו המרדכי)</w:t>
      </w:r>
      <w:r w:rsidRPr="00351B7D">
        <w:rPr>
          <w:rFonts w:asciiTheme="minorBidi" w:hAnsiTheme="minorBidi"/>
          <w:rtl/>
        </w:rPr>
        <w:t xml:space="preserve">- פסולה, "דכי היכי דאמרינן הכא על שאלת שלום חתמו ולא אעיקר הגט של מעלה ה"נ נימא לא חתמו אלא שפלוני הוא החתן". </w:t>
      </w:r>
    </w:p>
    <w:p w14:paraId="766D809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EB6E62" w14:textId="77777777" w:rsidR="002E5BAD" w:rsidRPr="00351B7D" w:rsidRDefault="002E5BAD" w:rsidP="002E5BAD">
      <w:pPr>
        <w:rPr>
          <w:rFonts w:asciiTheme="minorBidi" w:hAnsiTheme="minorBidi"/>
          <w:color w:val="000000"/>
          <w:rtl/>
        </w:rPr>
      </w:pPr>
      <w:r w:rsidRPr="00351B7D">
        <w:rPr>
          <w:rFonts w:asciiTheme="minorBidi" w:hAnsiTheme="minorBidi"/>
          <w:rtl/>
        </w:rPr>
        <w:t>במקום שאין רגילים לחתום</w:t>
      </w:r>
      <w:r w:rsidRPr="00351B7D">
        <w:rPr>
          <w:rStyle w:val="a7"/>
          <w:rFonts w:asciiTheme="minorBidi" w:hAnsiTheme="minorBidi"/>
          <w:color w:val="000000"/>
          <w:rtl/>
        </w:rPr>
        <w:footnoteReference w:id="1028"/>
      </w:r>
      <w:r w:rsidRPr="00351B7D">
        <w:rPr>
          <w:rFonts w:asciiTheme="minorBidi" w:hAnsiTheme="minorBidi"/>
          <w:rtl/>
        </w:rPr>
        <w:t xml:space="preserve"> בכתובה אלא הראויים להעיד לא יחתום מי שאינו יודע לקרות.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ולכן עם הארץ שבא לגרש</w:t>
      </w:r>
      <w:r w:rsidRPr="00351B7D">
        <w:rPr>
          <w:rStyle w:val="a7"/>
          <w:rFonts w:asciiTheme="minorBidi" w:hAnsiTheme="minorBidi"/>
          <w:color w:val="000000"/>
          <w:sz w:val="18"/>
          <w:szCs w:val="18"/>
          <w:rtl/>
        </w:rPr>
        <w:footnoteReference w:id="1029"/>
      </w:r>
      <w:r w:rsidRPr="00351B7D">
        <w:rPr>
          <w:rFonts w:asciiTheme="minorBidi" w:hAnsiTheme="minorBidi"/>
          <w:color w:val="000000"/>
          <w:sz w:val="18"/>
          <w:szCs w:val="18"/>
          <w:rtl/>
        </w:rPr>
        <w:t xml:space="preserve"> ואמר אח"כ שלא הבין מה שהיה כתוב בתנאים או בכתובתה</w:t>
      </w:r>
      <w:r w:rsidRPr="00351B7D">
        <w:rPr>
          <w:rStyle w:val="a7"/>
          <w:rFonts w:asciiTheme="minorBidi" w:hAnsiTheme="minorBidi"/>
          <w:sz w:val="18"/>
          <w:szCs w:val="18"/>
          <w:rtl/>
        </w:rPr>
        <w:footnoteReference w:id="1030"/>
      </w:r>
      <w:r w:rsidRPr="00351B7D">
        <w:rPr>
          <w:rFonts w:asciiTheme="minorBidi" w:hAnsiTheme="minorBidi"/>
          <w:color w:val="000000"/>
          <w:sz w:val="18"/>
          <w:szCs w:val="18"/>
          <w:rtl/>
        </w:rPr>
        <w:t xml:space="preserve"> אינו נאמן דודאי העדים לא חתמו מה שלא העידו בפניו תחלה על פה (תשו' הרשב"א סי' תרכ"ט).</w:t>
      </w:r>
    </w:p>
    <w:p w14:paraId="1FF688BC" w14:textId="77777777" w:rsidR="002E5BAD" w:rsidRDefault="002E5BAD" w:rsidP="002E5BAD">
      <w:pPr>
        <w:rPr>
          <w:rtl/>
        </w:rPr>
      </w:pPr>
    </w:p>
    <w:p w14:paraId="4FE853B0" w14:textId="77777777" w:rsidR="002E5BAD" w:rsidRDefault="002E5BAD" w:rsidP="002E5BAD">
      <w:pPr>
        <w:rPr>
          <w:rtl/>
        </w:rPr>
      </w:pPr>
    </w:p>
    <w:p w14:paraId="1EDF540B" w14:textId="77777777" w:rsidR="002E5BAD" w:rsidRDefault="002E5BAD" w:rsidP="002E5BAD">
      <w:pPr>
        <w:rPr>
          <w:rtl/>
        </w:rPr>
      </w:pPr>
    </w:p>
    <w:p w14:paraId="78A7D9F2" w14:textId="77777777" w:rsidR="002E5BAD" w:rsidRDefault="002E5BAD" w:rsidP="002E5BAD">
      <w:pPr>
        <w:pStyle w:val="1"/>
        <w:rPr>
          <w:rtl/>
        </w:rPr>
        <w:sectPr w:rsidR="002E5BAD" w:rsidSect="00A347B3">
          <w:headerReference w:type="default" r:id="rId22"/>
          <w:footnotePr>
            <w:numRestart w:val="eachPage"/>
          </w:footnotePr>
          <w:pgSz w:w="11906" w:h="16838"/>
          <w:pgMar w:top="720" w:right="1134" w:bottom="720" w:left="1134" w:header="0" w:footer="0" w:gutter="0"/>
          <w:cols w:space="720"/>
          <w:bidi/>
          <w:rtlGutter/>
          <w:docGrid w:linePitch="360"/>
        </w:sectPr>
      </w:pPr>
    </w:p>
    <w:p w14:paraId="5A6122B5" w14:textId="77777777" w:rsidR="002E5BAD" w:rsidRDefault="002E5BAD" w:rsidP="002E5BAD">
      <w:pPr>
        <w:pStyle w:val="1"/>
        <w:rPr>
          <w:rtl/>
        </w:rPr>
      </w:pPr>
      <w:r>
        <w:rPr>
          <w:rFonts w:hint="cs"/>
          <w:rtl/>
        </w:rPr>
        <w:lastRenderedPageBreak/>
        <w:t xml:space="preserve">סימן סז: </w:t>
      </w:r>
      <w:r>
        <w:rPr>
          <w:rtl/>
        </w:rPr>
        <w:t xml:space="preserve">דין כתובת אלמנה, וחרש שוטה וקטן היא או הוא, וגר שנתגייר, ובו י"א סעיפים. </w:t>
      </w:r>
    </w:p>
    <w:p w14:paraId="5B7D5517" w14:textId="77777777" w:rsidR="002E5BAD" w:rsidRDefault="002E5BAD" w:rsidP="002E5BAD">
      <w:pPr>
        <w:pStyle w:val="2"/>
        <w:rPr>
          <w:rtl/>
        </w:rPr>
      </w:pPr>
      <w:r>
        <w:rPr>
          <w:rtl/>
        </w:rPr>
        <w:t>סעיף א</w:t>
      </w:r>
    </w:p>
    <w:p w14:paraId="72363D4D" w14:textId="77777777" w:rsidR="002E5BAD" w:rsidRDefault="002E5BAD" w:rsidP="002E5BAD">
      <w:pPr>
        <w:rPr>
          <w:rtl/>
        </w:rPr>
      </w:pPr>
      <w:r>
        <w:rPr>
          <w:rFonts w:cs="Arial"/>
          <w:rtl/>
        </w:rPr>
        <w:t xml:space="preserve">בתולה שנתאלמנה או נתגרשה או נחלצה מן האירוסין, ונשאת, כתובתה מאתים ויש לה טענת בתולים. </w:t>
      </w:r>
    </w:p>
    <w:p w14:paraId="25DAAD08" w14:textId="77777777" w:rsidR="002E5BAD" w:rsidRDefault="002E5BAD" w:rsidP="002E5BAD">
      <w:pPr>
        <w:pStyle w:val="2"/>
        <w:rPr>
          <w:rtl/>
        </w:rPr>
      </w:pPr>
      <w:r>
        <w:rPr>
          <w:rtl/>
        </w:rPr>
        <w:t>סעיף ב</w:t>
      </w:r>
    </w:p>
    <w:p w14:paraId="512CE1B3" w14:textId="77777777" w:rsidR="002E5BAD" w:rsidRDefault="002E5BAD" w:rsidP="002E5BAD">
      <w:pPr>
        <w:rPr>
          <w:rtl/>
        </w:rPr>
      </w:pPr>
      <w:r>
        <w:rPr>
          <w:rFonts w:cs="Arial"/>
          <w:rtl/>
        </w:rPr>
        <w:t xml:space="preserve">נתאלמנה או נתגרשה או נחלצה מן הנשואין, כגון שנכנסה לחופה, הרי היא בחזקת בעולה ואין לה אלא מנה ואין עליה טענת בתולים, אפילו יש לה עדים שלא נסתרה עם הראשון. </w:t>
      </w:r>
    </w:p>
    <w:p w14:paraId="41DB690B" w14:textId="77777777" w:rsidR="002E5BAD" w:rsidRDefault="002E5BAD" w:rsidP="002E5BAD">
      <w:pPr>
        <w:pStyle w:val="2"/>
        <w:rPr>
          <w:rtl/>
        </w:rPr>
      </w:pPr>
      <w:r>
        <w:rPr>
          <w:rtl/>
        </w:rPr>
        <w:t>סעיף ג</w:t>
      </w:r>
    </w:p>
    <w:p w14:paraId="19599CBF" w14:textId="77777777" w:rsidR="002E5BAD" w:rsidRDefault="002E5BAD" w:rsidP="002E5BAD">
      <w:pPr>
        <w:rPr>
          <w:rtl/>
        </w:rPr>
      </w:pPr>
      <w:r>
        <w:rPr>
          <w:rFonts w:cs="Arial"/>
          <w:rtl/>
        </w:rPr>
        <w:t xml:space="preserve">הגיורת, והשבויה, והשפחה, שנפדו ושנתגיירו ושנשתחררו פחות מבת ג' שנים ויום אחד, כתובתה ק"ק ויש לה טענת בתולים; מבת ג' שנים ויום א' ומעלה, כתובתן מנה ואין לה טענת בתולים. </w:t>
      </w:r>
    </w:p>
    <w:p w14:paraId="1DDF0562" w14:textId="77777777" w:rsidR="002E5BAD" w:rsidRDefault="002E5BAD" w:rsidP="002E5BAD">
      <w:pPr>
        <w:pStyle w:val="2"/>
        <w:rPr>
          <w:rtl/>
        </w:rPr>
      </w:pPr>
      <w:r>
        <w:rPr>
          <w:rtl/>
        </w:rPr>
        <w:t>סעיף ד</w:t>
      </w:r>
    </w:p>
    <w:p w14:paraId="0FDE4AB5" w14:textId="77777777" w:rsidR="002E5BAD" w:rsidRDefault="002E5BAD" w:rsidP="002E5BAD">
      <w:pPr>
        <w:rPr>
          <w:rtl/>
        </w:rPr>
      </w:pPr>
      <w:r>
        <w:rPr>
          <w:rFonts w:cs="Arial"/>
          <w:rtl/>
        </w:rPr>
        <w:t xml:space="preserve">קטנה פחותה מבת ג' שנים ויום אחד שנבעלה, אפילו בא עליה גדול, כתובתה ק"ק; וקטן פחות מבן ט' ויום אחד שבא על הגדולה, כתובתה ק"ק; ודוקא שלא הסיר בתוליה, אבל אם הסיר בתוליה אין לה אלא מנה. </w:t>
      </w:r>
    </w:p>
    <w:p w14:paraId="5DE4CDE1" w14:textId="77777777" w:rsidR="002E5BAD" w:rsidRDefault="002E5BAD" w:rsidP="002E5BAD">
      <w:pPr>
        <w:pStyle w:val="2"/>
        <w:rPr>
          <w:rtl/>
        </w:rPr>
      </w:pPr>
      <w:r>
        <w:rPr>
          <w:rtl/>
        </w:rPr>
        <w:t>סעיף ה</w:t>
      </w:r>
    </w:p>
    <w:p w14:paraId="2DBB1F8F" w14:textId="77777777" w:rsidR="002E5BAD" w:rsidRDefault="002E5BAD" w:rsidP="002E5BAD">
      <w:pPr>
        <w:rPr>
          <w:rtl/>
        </w:rPr>
      </w:pPr>
      <w:r>
        <w:rPr>
          <w:rFonts w:cs="Arial"/>
          <w:rtl/>
        </w:rPr>
        <w:t xml:space="preserve">מוכת עץ, כתובתה מנה, ואפילו לא הכיר בה, וכנסה ע"מ שהיא בתולה שלימה; אבל כנסה בחזקת בתולה, ונמצאת בעולה, אפילו מנה אין לה. </w:t>
      </w:r>
    </w:p>
    <w:p w14:paraId="7EB67D39" w14:textId="77777777" w:rsidR="002E5BAD" w:rsidRDefault="002E5BAD" w:rsidP="002E5BAD">
      <w:pPr>
        <w:pStyle w:val="2"/>
        <w:rPr>
          <w:rtl/>
        </w:rPr>
      </w:pPr>
      <w:r>
        <w:rPr>
          <w:rtl/>
        </w:rPr>
        <w:t>סעיף ו</w:t>
      </w:r>
    </w:p>
    <w:p w14:paraId="39EEF077" w14:textId="77777777" w:rsidR="002E5BAD" w:rsidRDefault="002E5BAD" w:rsidP="002E5BAD">
      <w:pPr>
        <w:rPr>
          <w:rtl/>
        </w:rPr>
      </w:pPr>
      <w:r>
        <w:rPr>
          <w:rFonts w:cs="Arial"/>
          <w:rtl/>
        </w:rPr>
        <w:t xml:space="preserve">בתולה שהיא בוגרת או סומא, כתובתה מאתים; וכן אילונית, אם הכיר בה, כתובתה מאתים. </w:t>
      </w:r>
    </w:p>
    <w:p w14:paraId="1E8BC958" w14:textId="77777777" w:rsidR="002E5BAD" w:rsidRDefault="002E5BAD" w:rsidP="002E5BAD">
      <w:pPr>
        <w:pStyle w:val="2"/>
        <w:rPr>
          <w:rtl/>
        </w:rPr>
      </w:pPr>
      <w:r>
        <w:rPr>
          <w:rtl/>
        </w:rPr>
        <w:t>סעיף ז</w:t>
      </w:r>
    </w:p>
    <w:p w14:paraId="73B7ECB6" w14:textId="77777777" w:rsidR="002E5BAD" w:rsidRDefault="002E5BAD" w:rsidP="002E5BAD">
      <w:pPr>
        <w:rPr>
          <w:rtl/>
        </w:rPr>
      </w:pPr>
      <w:r>
        <w:rPr>
          <w:rFonts w:cs="Arial"/>
          <w:rtl/>
        </w:rPr>
        <w:t xml:space="preserve">השוטה, לא תקנו לה נשואין כלל. </w:t>
      </w:r>
    </w:p>
    <w:p w14:paraId="720107B6" w14:textId="77777777" w:rsidR="002E5BAD" w:rsidRDefault="002E5BAD" w:rsidP="002E5BAD">
      <w:pPr>
        <w:pStyle w:val="2"/>
        <w:rPr>
          <w:rtl/>
        </w:rPr>
      </w:pPr>
      <w:r>
        <w:rPr>
          <w:rtl/>
        </w:rPr>
        <w:t>סעיף ח</w:t>
      </w:r>
    </w:p>
    <w:p w14:paraId="2C91CC3A" w14:textId="77777777" w:rsidR="002E5BAD" w:rsidRDefault="002E5BAD" w:rsidP="002E5BAD">
      <w:pPr>
        <w:rPr>
          <w:rtl/>
        </w:rPr>
      </w:pPr>
      <w:r>
        <w:rPr>
          <w:rFonts w:cs="Arial"/>
          <w:rtl/>
        </w:rPr>
        <w:t xml:space="preserve">החרשת, אף על פי שיש לה נשואין מדבריהם, לא תקנו לה כתובה ולא מזונות ולא תנאי מתנאי כתובה; ואם כנס החרשת, ונתפקחה, או שוטה ונשתפית, יש לה כתובה ותנאי כתובה, וכתובתה מנה. </w:t>
      </w:r>
    </w:p>
    <w:p w14:paraId="70549154" w14:textId="77777777" w:rsidR="002E5BAD" w:rsidRDefault="002E5BAD" w:rsidP="002E5BAD">
      <w:pPr>
        <w:pStyle w:val="2"/>
        <w:rPr>
          <w:rtl/>
        </w:rPr>
      </w:pPr>
      <w:r>
        <w:rPr>
          <w:rtl/>
        </w:rPr>
        <w:t>סעיף ט</w:t>
      </w:r>
    </w:p>
    <w:p w14:paraId="77582F8F" w14:textId="77777777" w:rsidR="002E5BAD" w:rsidRDefault="002E5BAD" w:rsidP="002E5BAD">
      <w:pPr>
        <w:rPr>
          <w:rtl/>
        </w:rPr>
      </w:pPr>
      <w:r>
        <w:rPr>
          <w:rFonts w:cs="Arial"/>
          <w:rtl/>
        </w:rPr>
        <w:t xml:space="preserve">נשא חרשת או שוטה, וכתב לה מאה מנה, כתובתה קיימת מפני שרצה להזיק נכסיו. </w:t>
      </w:r>
    </w:p>
    <w:p w14:paraId="0D257E75" w14:textId="77777777" w:rsidR="002E5BAD" w:rsidRDefault="002E5BAD" w:rsidP="002E5BAD">
      <w:pPr>
        <w:pStyle w:val="2"/>
        <w:rPr>
          <w:rtl/>
        </w:rPr>
      </w:pPr>
      <w:r>
        <w:rPr>
          <w:rtl/>
        </w:rPr>
        <w:t>סעיף י</w:t>
      </w:r>
    </w:p>
    <w:p w14:paraId="72710B91" w14:textId="77777777" w:rsidR="002E5BAD" w:rsidRDefault="002E5BAD" w:rsidP="002E5BAD">
      <w:pPr>
        <w:rPr>
          <w:rtl/>
        </w:rPr>
      </w:pPr>
      <w:r>
        <w:rPr>
          <w:rFonts w:cs="Arial"/>
          <w:rtl/>
        </w:rPr>
        <w:t xml:space="preserve">חרש או שוטה שנשאו נשים, אף על פי שנתפקח החרש ונשתפה השוטה, אין לנשיהם עליהם כלום; רצו לקיימה אחר שהבריאו, יש להן כתובה, וכתובתן מנה. ואם ב"ד הם שהשיאו החרש וכתבו לה כתובה על נכסיו, נוטלת כל מה שכתבו לה ב"ד; אבל השוטה, אין ב"ד משיאין אותו. </w:t>
      </w:r>
    </w:p>
    <w:p w14:paraId="75D5BB4C" w14:textId="77777777" w:rsidR="002E5BAD" w:rsidRDefault="002E5BAD" w:rsidP="002E5BAD">
      <w:pPr>
        <w:pStyle w:val="2"/>
        <w:rPr>
          <w:rtl/>
        </w:rPr>
      </w:pPr>
      <w:r>
        <w:rPr>
          <w:rtl/>
        </w:rPr>
        <w:t>סעיף יא</w:t>
      </w:r>
    </w:p>
    <w:p w14:paraId="237F5C1B" w14:textId="77777777" w:rsidR="002E5BAD" w:rsidRDefault="002E5BAD" w:rsidP="002E5BAD">
      <w:pPr>
        <w:rPr>
          <w:rtl/>
        </w:rPr>
      </w:pPr>
      <w:r>
        <w:rPr>
          <w:rFonts w:cs="Arial"/>
          <w:rtl/>
        </w:rPr>
        <w:t xml:space="preserve">קטן, אפילו מבן ט' שנים ומעלה, שהשיאו אביו, אין לה כתובה; ואם בא עליה אחר שהגדיל, יש לה עיקר כתובה, מאתים לבתולה, מנה לאלמנה; אבל תוספת שכתב לה בקטנותו, אין לה, (ואפילו השיאה ב"ד); ואפילו העיקר אינו </w:t>
      </w:r>
      <w:r>
        <w:rPr>
          <w:rFonts w:cs="Arial"/>
          <w:rtl/>
        </w:rPr>
        <w:lastRenderedPageBreak/>
        <w:t>גובה מכח שטר הכתובה, אלא מתנאי בית דין. לפיכך אינו גובה אלא מבני חרי, ולא ממשעבדי שנמכרו בקטנותו. וכן הדין בגר שנתגיירה אשתו עמו, ואין ביניהם אלא שבזו אין כתובתה אלא מנה לדעת הרמב"ם.</w:t>
      </w:r>
    </w:p>
    <w:p w14:paraId="67FD3745" w14:textId="77777777" w:rsidR="002E5BAD" w:rsidRDefault="002E5BAD" w:rsidP="002E5BAD">
      <w:pPr>
        <w:rPr>
          <w:rtl/>
        </w:rPr>
      </w:pPr>
    </w:p>
    <w:p w14:paraId="783E4C7F" w14:textId="77777777" w:rsidR="002E5BAD" w:rsidRDefault="002E5BAD" w:rsidP="002E5BAD">
      <w:pPr>
        <w:pStyle w:val="1"/>
        <w:rPr>
          <w:rtl/>
        </w:rPr>
        <w:sectPr w:rsidR="002E5BAD" w:rsidSect="00A347B3">
          <w:headerReference w:type="default" r:id="rId23"/>
          <w:footnotePr>
            <w:numRestart w:val="eachPage"/>
          </w:footnotePr>
          <w:pgSz w:w="11906" w:h="16838"/>
          <w:pgMar w:top="720" w:right="1134" w:bottom="720" w:left="1134" w:header="0" w:footer="0" w:gutter="0"/>
          <w:cols w:space="720"/>
          <w:bidi/>
          <w:rtlGutter/>
          <w:docGrid w:linePitch="360"/>
        </w:sectPr>
      </w:pPr>
    </w:p>
    <w:p w14:paraId="09099CB3" w14:textId="77777777" w:rsidR="002E5BAD" w:rsidRDefault="002E5BAD" w:rsidP="002E5BAD">
      <w:pPr>
        <w:pStyle w:val="1"/>
        <w:rPr>
          <w:rtl/>
        </w:rPr>
      </w:pPr>
      <w:r>
        <w:rPr>
          <w:rFonts w:hint="cs"/>
          <w:rtl/>
        </w:rPr>
        <w:lastRenderedPageBreak/>
        <w:t xml:space="preserve">סימן סח: </w:t>
      </w:r>
      <w:r>
        <w:rPr>
          <w:rtl/>
        </w:rPr>
        <w:t xml:space="preserve">כיצד טענת בתולים, ומתי נאסרת ומפסדת כתובתה, ובו י' סעיפים. </w:t>
      </w:r>
    </w:p>
    <w:p w14:paraId="50CD3C8B" w14:textId="77777777" w:rsidR="002E5BAD" w:rsidRDefault="002E5BAD" w:rsidP="002E5BAD">
      <w:pPr>
        <w:pStyle w:val="2"/>
        <w:rPr>
          <w:rtl/>
        </w:rPr>
      </w:pPr>
      <w:r>
        <w:rPr>
          <w:rtl/>
        </w:rPr>
        <w:t>סעיף א</w:t>
      </w:r>
    </w:p>
    <w:p w14:paraId="6C987F34" w14:textId="77777777" w:rsidR="002E5BAD" w:rsidRDefault="002E5BAD" w:rsidP="002E5BAD">
      <w:pPr>
        <w:rPr>
          <w:rtl/>
        </w:rPr>
      </w:pPr>
      <w:r>
        <w:rPr>
          <w:rFonts w:cs="Arial"/>
          <w:rtl/>
        </w:rPr>
        <w:t xml:space="preserve">כל בתולה שכתובתה ק"ק יש לה טענת בתולים. וכל שכתובתה מנה, או שלא תקנו לה כתובה, אין לה טענת בתולים. וכל המתייחד עם ארוסתו קודם נשואין, אין לה טענת בתולים. </w:t>
      </w:r>
    </w:p>
    <w:p w14:paraId="3154DE82" w14:textId="77777777" w:rsidR="002E5BAD" w:rsidRDefault="002E5BAD" w:rsidP="002E5BAD">
      <w:pPr>
        <w:pStyle w:val="2"/>
        <w:rPr>
          <w:rtl/>
        </w:rPr>
      </w:pPr>
      <w:r>
        <w:rPr>
          <w:rtl/>
        </w:rPr>
        <w:t>סעיף ב</w:t>
      </w:r>
    </w:p>
    <w:p w14:paraId="1FE8FB5E" w14:textId="77777777" w:rsidR="002E5BAD" w:rsidRDefault="002E5BAD" w:rsidP="002E5BAD">
      <w:pPr>
        <w:rPr>
          <w:rtl/>
        </w:rPr>
      </w:pPr>
      <w:r>
        <w:rPr>
          <w:rFonts w:cs="Arial"/>
          <w:rtl/>
        </w:rPr>
        <w:t xml:space="preserve">אם מנהג המקום להעמיד עדים למשמש שלא ינהגו מנהג רמאות, ואירע הדבר שלא העמידו עדים, אינו יכול לטעון טענת בתולים. </w:t>
      </w:r>
    </w:p>
    <w:p w14:paraId="48000C55" w14:textId="77777777" w:rsidR="002E5BAD" w:rsidRDefault="002E5BAD" w:rsidP="002E5BAD">
      <w:pPr>
        <w:pStyle w:val="2"/>
        <w:rPr>
          <w:rtl/>
        </w:rPr>
      </w:pPr>
      <w:r>
        <w:rPr>
          <w:rtl/>
        </w:rPr>
        <w:t>סעיף ג</w:t>
      </w:r>
    </w:p>
    <w:p w14:paraId="44E5E1C9" w14:textId="77777777" w:rsidR="002E5BAD" w:rsidRDefault="002E5BAD" w:rsidP="002E5BAD">
      <w:pPr>
        <w:rPr>
          <w:rtl/>
        </w:rPr>
      </w:pPr>
      <w:r>
        <w:rPr>
          <w:rFonts w:cs="Arial"/>
          <w:rtl/>
        </w:rPr>
        <w:t xml:space="preserve">ב' סימנים יש לבתולה, האחד דמים שותתים ממנה בסוף ביאה ראשונה, והשני דוחק שנמצא בה בביאה ראשונה בשעת תשמיש. טענת דמים ישנה בין בקטנה בין בגדולה, אבל טענת פתח פתוח אינה טענה בבוגרת. </w:t>
      </w:r>
    </w:p>
    <w:p w14:paraId="4213ABBE" w14:textId="77777777" w:rsidR="002E5BAD" w:rsidRDefault="002E5BAD" w:rsidP="002E5BAD">
      <w:pPr>
        <w:pStyle w:val="2"/>
        <w:rPr>
          <w:rtl/>
        </w:rPr>
      </w:pPr>
      <w:r>
        <w:rPr>
          <w:rtl/>
        </w:rPr>
        <w:t>סעיף ד</w:t>
      </w:r>
    </w:p>
    <w:p w14:paraId="07B07C0E" w14:textId="77777777" w:rsidR="002E5BAD" w:rsidRDefault="002E5BAD" w:rsidP="002E5BAD">
      <w:pPr>
        <w:rPr>
          <w:rtl/>
        </w:rPr>
      </w:pPr>
      <w:r>
        <w:rPr>
          <w:rFonts w:cs="Arial"/>
          <w:rtl/>
        </w:rPr>
        <w:t xml:space="preserve">טען ואמר: לא מצאתיה בתולה, והיא אומרת: לא בא עלי ועדיין אני בתולה, בודקין אותה (ע"פ חבית של יין) (טור), או מתייחד עמה בפני עדים וחוזר ובועל. </w:t>
      </w:r>
    </w:p>
    <w:p w14:paraId="1893EB5F" w14:textId="77777777" w:rsidR="002E5BAD" w:rsidRDefault="002E5BAD" w:rsidP="002E5BAD">
      <w:pPr>
        <w:pStyle w:val="2"/>
        <w:rPr>
          <w:rtl/>
        </w:rPr>
      </w:pPr>
      <w:r>
        <w:rPr>
          <w:rtl/>
        </w:rPr>
        <w:t>סעיף ה</w:t>
      </w:r>
    </w:p>
    <w:p w14:paraId="7DB95D85" w14:textId="77777777" w:rsidR="002E5BAD" w:rsidRDefault="002E5BAD" w:rsidP="002E5BAD">
      <w:pPr>
        <w:rPr>
          <w:rtl/>
        </w:rPr>
      </w:pPr>
      <w:r>
        <w:rPr>
          <w:rFonts w:cs="Arial"/>
          <w:rtl/>
        </w:rPr>
        <w:t xml:space="preserve">טען טענת דמים, אם היתה ממשפחת דורקטי (פי' דור קטוע, כלומר משפחה של עקרים שעל ידה הדור קטוע מבנים), הרי זו בחזקתה; ואם לאו, בודקים אותה שמא חולי גדול יש בה שיבש לחלוחית האיברים, או שהיתה מתענית ברעב, ומכניסין אותה למרחץ ומרטיבין אותה ומאכילין ומשקין אותה עד שתבעל שנית ונראה אם תוציא דם. ואם אין שם חולי ולא רעב וכיוצא בו, הרי זו טענה. </w:t>
      </w:r>
    </w:p>
    <w:p w14:paraId="4B45B87E" w14:textId="77777777" w:rsidR="002E5BAD" w:rsidRDefault="002E5BAD" w:rsidP="002E5BAD">
      <w:pPr>
        <w:pStyle w:val="2"/>
        <w:rPr>
          <w:rtl/>
        </w:rPr>
      </w:pPr>
      <w:r>
        <w:rPr>
          <w:rtl/>
        </w:rPr>
        <w:t>סעיף ו</w:t>
      </w:r>
    </w:p>
    <w:p w14:paraId="4CC3994E" w14:textId="77777777" w:rsidR="002E5BAD" w:rsidRDefault="002E5BAD" w:rsidP="002E5BAD">
      <w:pPr>
        <w:rPr>
          <w:rtl/>
        </w:rPr>
      </w:pPr>
      <w:r>
        <w:rPr>
          <w:rFonts w:cs="Arial"/>
          <w:rtl/>
        </w:rPr>
        <w:t xml:space="preserve">טען טענת פתח פתוח, אומרים לו: (שמא) הטית או לא בעלת בנחת, ולפיכך לא הרגשת בדוחק. אם אמר: לא כי, אלא פתח פתוח מצאתי, הרי זו טענה אם לא בגרה עדיין. וי"א שאפילו לא בגרה, אינו יכול לטעון טענת פתח פתוח אם מצא דם. (י"א דטענת פתח פתוח לא יוכל לטעון רק נשוי, אבל בחור לא, ואדרבה, מלקין אותו כשטוען כך, דמאחר שלא היה נשוי מתחלה אינו בקי בכך) (טור). </w:t>
      </w:r>
    </w:p>
    <w:p w14:paraId="06DD35E2" w14:textId="77777777" w:rsidR="002E5BAD" w:rsidRDefault="002E5BAD" w:rsidP="002E5BAD">
      <w:pPr>
        <w:pStyle w:val="2"/>
        <w:rPr>
          <w:rtl/>
        </w:rPr>
      </w:pPr>
      <w:r>
        <w:rPr>
          <w:rtl/>
        </w:rPr>
        <w:t>סעיף ז</w:t>
      </w:r>
    </w:p>
    <w:p w14:paraId="6F68CBD5" w14:textId="77777777" w:rsidR="002E5BAD" w:rsidRDefault="002E5BAD" w:rsidP="002E5BAD">
      <w:pPr>
        <w:rPr>
          <w:rtl/>
        </w:rPr>
      </w:pPr>
      <w:r>
        <w:rPr>
          <w:rFonts w:cs="Arial"/>
          <w:rtl/>
        </w:rPr>
        <w:t xml:space="preserve">כשאמרו שטענתו על הבתולים טענה, אם הוא כהן הרי היא אסורה עליו, ואם היא אשת ישראל מותרת לו, אא"כ קבל בה אביה קדושין פחות מג' שנים ויום אחד. הגה: וי"א הא דנאסרה באשת ישראל, דוקא כשאינה מתרצית עצמה, אבל אמרה: נאנסתי, נאמנת (טור). וי"א עוד דדוקא שהיא גדולה לפנינו, אבל אם היא עדיין קטנה, אינה נאסרת (ב"י בשם רש"י וכ"נ מדברי הר"ן). וע"ל סימן קע"ח סעיף ג'. </w:t>
      </w:r>
    </w:p>
    <w:p w14:paraId="22609514" w14:textId="77777777" w:rsidR="002E5BAD" w:rsidRDefault="002E5BAD" w:rsidP="002E5BAD">
      <w:pPr>
        <w:pStyle w:val="2"/>
        <w:rPr>
          <w:rtl/>
        </w:rPr>
      </w:pPr>
      <w:r>
        <w:rPr>
          <w:rtl/>
        </w:rPr>
        <w:t>סעיף ח</w:t>
      </w:r>
    </w:p>
    <w:p w14:paraId="6E43ECEA" w14:textId="77777777" w:rsidR="002E5BAD" w:rsidRDefault="002E5BAD" w:rsidP="002E5BAD">
      <w:pPr>
        <w:rPr>
          <w:rtl/>
        </w:rPr>
      </w:pPr>
      <w:r>
        <w:rPr>
          <w:rFonts w:cs="Arial"/>
          <w:rtl/>
        </w:rPr>
        <w:t xml:space="preserve">אף כשאמרו שטענתו על הבתולים טענה, אינה מפסדת אלא עיקר כתובה, אבל התוספת יש לה, אא"כ נודע בראיה ברורה שהיתה בעולה, או שהודית לו שהיא בעולה קודם שתתארס, והטעתו. לפיכך יש לו להשביעה בנקיטת חפץ, כדין כל הנשבעים ונוטלים, ואח"כ תגבה התוספת. ויש לה להחרים סתם על מי שטען עליה שקר. </w:t>
      </w:r>
    </w:p>
    <w:p w14:paraId="3EE4C63E" w14:textId="77777777" w:rsidR="002E5BAD" w:rsidRDefault="002E5BAD" w:rsidP="002E5BAD">
      <w:pPr>
        <w:pStyle w:val="2"/>
        <w:rPr>
          <w:rtl/>
        </w:rPr>
      </w:pPr>
      <w:r>
        <w:rPr>
          <w:rtl/>
        </w:rPr>
        <w:t>סעיף ט</w:t>
      </w:r>
    </w:p>
    <w:p w14:paraId="69960E77" w14:textId="77777777" w:rsidR="002E5BAD" w:rsidRDefault="002E5BAD" w:rsidP="002E5BAD">
      <w:pPr>
        <w:rPr>
          <w:rtl/>
        </w:rPr>
      </w:pPr>
      <w:r>
        <w:rPr>
          <w:rFonts w:cs="Arial"/>
          <w:rtl/>
        </w:rPr>
        <w:t xml:space="preserve">כשטען שלא מצאה בתולה, אם אמרה: מוכת עץ אני, נאמנת, ותחזור כתובתה למנה. ויש לו להחרים סתם, שלא בא עליה איש. ואם אמרה: משארסתני נאנסתי, הרי זו נאמנת וכתובתה ק"ק כמו שהיתה. ואם טען: שמא עד שלא </w:t>
      </w:r>
      <w:r>
        <w:rPr>
          <w:rFonts w:cs="Arial"/>
          <w:rtl/>
        </w:rPr>
        <w:lastRenderedPageBreak/>
        <w:t xml:space="preserve">אירסתיך נאנסת, או שמא אחר שארסתיך, נבעלת ברצונך, הרי זו מחרים סתם על מי שטוען שקר כדי לחייבו ממון. (כל מי שטוען טענת בתולים וטענתו טענה, אם רוצה לקיימה אח"כ כותב לה כתובה מנה) (טור). </w:t>
      </w:r>
    </w:p>
    <w:p w14:paraId="3CB5D22F" w14:textId="77777777" w:rsidR="002E5BAD" w:rsidRDefault="002E5BAD" w:rsidP="002E5BAD">
      <w:pPr>
        <w:pStyle w:val="2"/>
        <w:rPr>
          <w:rtl/>
        </w:rPr>
      </w:pPr>
      <w:r>
        <w:rPr>
          <w:rtl/>
        </w:rPr>
        <w:t>סעיף י</w:t>
      </w:r>
    </w:p>
    <w:p w14:paraId="264D1E95" w14:textId="77777777" w:rsidR="002E5BAD" w:rsidRDefault="002E5BAD" w:rsidP="002E5BAD">
      <w:pPr>
        <w:rPr>
          <w:rtl/>
        </w:rPr>
      </w:pPr>
      <w:r>
        <w:rPr>
          <w:rFonts w:cs="Arial"/>
          <w:rtl/>
        </w:rPr>
        <w:t>עד מתי יש לו לטעון טענת בתולים, אם נסתרה (עמו) מיד; אם לא נסתרה, אפילו לאחר שלשים יום.</w:t>
      </w:r>
    </w:p>
    <w:p w14:paraId="779AF4DF" w14:textId="77777777" w:rsidR="002E5BAD" w:rsidRDefault="002E5BAD" w:rsidP="002E5BAD">
      <w:pPr>
        <w:rPr>
          <w:rtl/>
        </w:rPr>
      </w:pPr>
    </w:p>
    <w:p w14:paraId="0EB0F870" w14:textId="77777777" w:rsidR="002E5BAD" w:rsidRDefault="002E5BAD" w:rsidP="002E5BAD">
      <w:pPr>
        <w:rPr>
          <w:rtl/>
        </w:rPr>
      </w:pPr>
    </w:p>
    <w:p w14:paraId="3637AA0B" w14:textId="77777777" w:rsidR="002E5BAD" w:rsidRDefault="002E5BAD" w:rsidP="002E5BAD">
      <w:pPr>
        <w:pStyle w:val="1"/>
        <w:rPr>
          <w:rtl/>
        </w:rPr>
        <w:sectPr w:rsidR="002E5BAD" w:rsidSect="00A347B3">
          <w:headerReference w:type="default" r:id="rId24"/>
          <w:footnotePr>
            <w:numRestart w:val="eachPage"/>
          </w:footnotePr>
          <w:pgSz w:w="11906" w:h="16838"/>
          <w:pgMar w:top="720" w:right="1134" w:bottom="720" w:left="1134" w:header="0" w:footer="0" w:gutter="0"/>
          <w:cols w:space="720"/>
          <w:bidi/>
          <w:rtlGutter/>
          <w:docGrid w:linePitch="360"/>
        </w:sectPr>
      </w:pPr>
    </w:p>
    <w:p w14:paraId="10833B2B" w14:textId="77777777" w:rsidR="002E5BAD" w:rsidRDefault="002E5BAD" w:rsidP="002E5BAD">
      <w:pPr>
        <w:pStyle w:val="1"/>
        <w:rPr>
          <w:rtl/>
        </w:rPr>
      </w:pPr>
      <w:r>
        <w:rPr>
          <w:rFonts w:hint="cs"/>
          <w:rtl/>
        </w:rPr>
        <w:lastRenderedPageBreak/>
        <w:t xml:space="preserve">סימן סט: </w:t>
      </w:r>
      <w:r>
        <w:rPr>
          <w:rtl/>
        </w:rPr>
        <w:t xml:space="preserve">במה מתחייב האדם לאשתו ובניו, ובו ז' סעיפים. </w:t>
      </w:r>
    </w:p>
    <w:p w14:paraId="1581ABED" w14:textId="77777777" w:rsidR="002E5BAD" w:rsidRDefault="002E5BAD" w:rsidP="002E5BAD">
      <w:pPr>
        <w:pStyle w:val="2"/>
        <w:rPr>
          <w:rtl/>
        </w:rPr>
      </w:pPr>
      <w:r>
        <w:rPr>
          <w:rtl/>
        </w:rPr>
        <w:t>סעיף א</w:t>
      </w:r>
      <w:r>
        <w:rPr>
          <w:rFonts w:hint="cs"/>
          <w:rtl/>
        </w:rPr>
        <w:t>: כשאדם נושא אשה הוא מתחייב וזוכה במספר דברים.</w:t>
      </w:r>
    </w:p>
    <w:p w14:paraId="2AAD6BA1" w14:textId="77777777" w:rsidR="002E5BAD" w:rsidRPr="00571B26" w:rsidRDefault="002E5BAD" w:rsidP="002E5BAD">
      <w:pPr>
        <w:rPr>
          <w:rtl/>
        </w:rPr>
      </w:pPr>
      <w:r>
        <w:rPr>
          <w:rFonts w:cs="Arial" w:hint="cs"/>
          <w:b/>
          <w:bCs/>
          <w:rtl/>
        </w:rPr>
        <w:t xml:space="preserve">שמות </w:t>
      </w:r>
      <w:r>
        <w:rPr>
          <w:rFonts w:cs="Arial" w:hint="cs"/>
          <w:b/>
          <w:bCs/>
          <w:sz w:val="16"/>
          <w:szCs w:val="16"/>
          <w:rtl/>
        </w:rPr>
        <w:t xml:space="preserve">(פרשת משפטים) </w:t>
      </w:r>
      <w:r>
        <w:rPr>
          <w:rFonts w:cs="Arial" w:hint="cs"/>
          <w:b/>
          <w:bCs/>
          <w:rtl/>
        </w:rPr>
        <w:t>פרק כא פסוק י:</w:t>
      </w:r>
      <w:r w:rsidRPr="00571B26">
        <w:rPr>
          <w:rFonts w:cs="Arial"/>
          <w:rtl/>
        </w:rPr>
        <w:t xml:space="preserve"> אִם־אַחֶ֖רֶת יִֽקַּֽח־ל֑וֹ שְׁאֵרָ֛הּ כְּסוּתָ֥הּ וְעֹנָתָ֖הּ לֹ֥א יִגְרָֽע</w:t>
      </w:r>
      <w:r>
        <w:rPr>
          <w:rFonts w:cs="Arial" w:hint="cs"/>
          <w:rtl/>
        </w:rPr>
        <w:t>.</w:t>
      </w:r>
    </w:p>
    <w:p w14:paraId="5A06D2BB"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w:t>
      </w:r>
      <w:r>
        <w:rPr>
          <w:rFonts w:cs="Arial" w:hint="cs"/>
          <w:rtl/>
        </w:rPr>
        <w:t>..</w:t>
      </w:r>
      <w:r w:rsidRPr="00AB0AB9">
        <w:rPr>
          <w:rFonts w:cs="Arial"/>
          <w:rtl/>
        </w:rPr>
        <w:t xml:space="preserve"> </w:t>
      </w:r>
      <w:r w:rsidRPr="009919C0">
        <w:rPr>
          <w:rFonts w:cs="Arial"/>
          <w:u w:val="single"/>
          <w:rtl/>
        </w:rPr>
        <w:t>אמר רבא</w:t>
      </w:r>
      <w:r w:rsidRPr="00AB0AB9">
        <w:rPr>
          <w:rFonts w:cs="Arial"/>
          <w:rtl/>
        </w:rPr>
        <w:t>: האי תנא סבר מזונות מדאורייתא, דתניא: שארה - אלו מזונות, וכן הוא אומר: ואשר אכלו שאר עמי</w:t>
      </w:r>
      <w:r>
        <w:rPr>
          <w:rFonts w:cs="Arial" w:hint="cs"/>
          <w:rtl/>
        </w:rPr>
        <w:t>.</w:t>
      </w:r>
      <w:r w:rsidRPr="00AB0AB9">
        <w:rPr>
          <w:rFonts w:cs="Arial"/>
          <w:rtl/>
        </w:rPr>
        <w:t xml:space="preserve"> כסותה </w:t>
      </w:r>
      <w:r>
        <w:rPr>
          <w:rFonts w:cs="Arial" w:hint="cs"/>
          <w:rtl/>
        </w:rPr>
        <w:t>-</w:t>
      </w:r>
      <w:r w:rsidRPr="00AB0AB9">
        <w:rPr>
          <w:rFonts w:cs="Arial"/>
          <w:rtl/>
        </w:rPr>
        <w:t xml:space="preserve"> כמשמעו</w:t>
      </w:r>
      <w:r>
        <w:rPr>
          <w:rFonts w:cs="Arial" w:hint="cs"/>
          <w:rtl/>
        </w:rPr>
        <w:t>.</w:t>
      </w:r>
      <w:r w:rsidRPr="00AB0AB9">
        <w:rPr>
          <w:rFonts w:cs="Arial"/>
          <w:rtl/>
        </w:rPr>
        <w:t xml:space="preserve"> עונתה - זו עונה האמורה בתורה, וכן הוא אומר: אם תענה את בנותי. </w:t>
      </w:r>
      <w:r w:rsidRPr="009919C0">
        <w:rPr>
          <w:rFonts w:cs="Arial"/>
          <w:u w:val="single"/>
          <w:rtl/>
        </w:rPr>
        <w:t>רבי אלעזר אומר</w:t>
      </w:r>
      <w:r w:rsidRPr="00AB0AB9">
        <w:rPr>
          <w:rFonts w:cs="Arial"/>
          <w:rtl/>
        </w:rPr>
        <w:t>: שארה - זו עונה, וכן הוא אומר: איש איש אל כל שאר בשרו לא תקרבו לגלות ערוה</w:t>
      </w:r>
      <w:r>
        <w:rPr>
          <w:rFonts w:cs="Arial" w:hint="cs"/>
          <w:rtl/>
        </w:rPr>
        <w:t>.</w:t>
      </w:r>
      <w:r w:rsidRPr="00AB0AB9">
        <w:rPr>
          <w:rFonts w:cs="Arial"/>
          <w:rtl/>
        </w:rPr>
        <w:t xml:space="preserve"> כסותה </w:t>
      </w:r>
      <w:r>
        <w:rPr>
          <w:rFonts w:cs="Arial" w:hint="cs"/>
          <w:rtl/>
        </w:rPr>
        <w:t>-</w:t>
      </w:r>
      <w:r w:rsidRPr="00AB0AB9">
        <w:rPr>
          <w:rFonts w:cs="Arial"/>
          <w:rtl/>
        </w:rPr>
        <w:t xml:space="preserve"> כמשמעו</w:t>
      </w:r>
      <w:r>
        <w:rPr>
          <w:rFonts w:cs="Arial" w:hint="cs"/>
          <w:rtl/>
        </w:rPr>
        <w:t>.</w:t>
      </w:r>
      <w:r w:rsidRPr="00AB0AB9">
        <w:rPr>
          <w:rFonts w:cs="Arial"/>
          <w:rtl/>
        </w:rPr>
        <w:t xml:space="preserve"> עונתה - אלו מזונות, וכן הוא אומר: ויענך וירעיבך. </w:t>
      </w:r>
    </w:p>
    <w:p w14:paraId="52CF4891"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F42A20">
        <w:rPr>
          <w:rFonts w:cs="Arial"/>
          <w:rtl/>
        </w:rPr>
        <w:t xml:space="preserve"> לא כתב לה כתובה - בתולה גובה מאתים ואלמנה מנה, מפני שהוא תנאי בית דין. כתב לה שדה שוה מנה תחת מאתים זוז, ולא כתב לה כל נכסים דאית לי אחראין לכתובתיך - חייב, שהוא תנאי בית דין. לא כתב לה אם תשתבאי אפרקינך ואותבינך לי לאינתו, ובכהנת אהדרינך למדינתך - חייב, שהוא תנאי בית דין. נשבית - חייב לפדותה, ואם אמר הרי גיטה וכתובתה ותפדה את עצמה - אינו רשאי. לקתה - חייב לרפאותה, אמר הרי גיטה וכתובתה תרפא את עצמה - רשאי.</w:t>
      </w:r>
    </w:p>
    <w:p w14:paraId="751FCD72" w14:textId="77777777" w:rsidR="002E5BAD" w:rsidRPr="003212DE" w:rsidRDefault="002E5BAD" w:rsidP="002E5BAD">
      <w:pPr>
        <w:rPr>
          <w:u w:val="single"/>
          <w:rtl/>
        </w:rPr>
      </w:pPr>
      <w:r w:rsidRPr="003212DE">
        <w:rPr>
          <w:rFonts w:hint="cs"/>
          <w:u w:val="single"/>
          <w:rtl/>
        </w:rPr>
        <w:t>חובות וזכויות של אדם שנושא אשה:</w:t>
      </w:r>
    </w:p>
    <w:p w14:paraId="60198865" w14:textId="77777777" w:rsidR="002E5BAD" w:rsidRPr="003212DE" w:rsidRDefault="002E5BAD" w:rsidP="002E5BAD">
      <w:pPr>
        <w:pStyle w:val="ab"/>
        <w:numPr>
          <w:ilvl w:val="0"/>
          <w:numId w:val="151"/>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w:t>
      </w:r>
      <w:r w:rsidRPr="00B52903">
        <w:rPr>
          <w:rFonts w:cs="Arial"/>
          <w:sz w:val="16"/>
          <w:szCs w:val="16"/>
          <w:rtl/>
        </w:rPr>
        <w:t>א)</w:t>
      </w:r>
      <w:r>
        <w:rPr>
          <w:rFonts w:cs="Arial" w:hint="cs"/>
          <w:rtl/>
        </w:rPr>
        <w:t xml:space="preserve"> ו</w:t>
      </w:r>
      <w:r w:rsidRPr="00A931CA">
        <w:rPr>
          <w:rFonts w:cs="Arial" w:hint="cs"/>
          <w:rtl/>
        </w:rPr>
        <w:t xml:space="preserve">טור- </w:t>
      </w:r>
      <w:r w:rsidRPr="003212DE">
        <w:rPr>
          <w:rFonts w:cs="Arial"/>
          <w:rtl/>
        </w:rPr>
        <w:t>כשנושא אדם אשה בין בתולה בין בעולה בין גדולה בין קטנה אחת בת ישראל ואחת הגיורת או המשוחררת יתחייב לה בעשרה דברים ויזכה בארבעה דברים</w:t>
      </w:r>
      <w:r>
        <w:rPr>
          <w:rFonts w:cs="Arial" w:hint="cs"/>
          <w:sz w:val="16"/>
          <w:szCs w:val="16"/>
          <w:rtl/>
        </w:rPr>
        <w:t xml:space="preserve"> (ל' הרמב"ם)</w:t>
      </w:r>
      <w:r>
        <w:rPr>
          <w:rFonts w:cs="Arial" w:hint="cs"/>
          <w:rtl/>
        </w:rPr>
        <w:t>.</w:t>
      </w:r>
      <w:r w:rsidRPr="00A931CA">
        <w:rPr>
          <w:rFonts w:cs="Arial"/>
          <w:rtl/>
        </w:rPr>
        <w:t xml:space="preserve"> </w:t>
      </w:r>
      <w:r w:rsidRPr="009E49FF">
        <w:rPr>
          <w:rFonts w:hint="cs"/>
          <w:color w:val="E36C0A" w:themeColor="accent6" w:themeShade="BF"/>
          <w:rtl/>
        </w:rPr>
        <w:t>(וכ"פ בשו"ע</w:t>
      </w:r>
      <w:r>
        <w:rPr>
          <w:rFonts w:hint="cs"/>
          <w:color w:val="000000" w:themeColor="text1"/>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א-ג</w:t>
      </w:r>
      <w:r w:rsidRPr="009E49FF">
        <w:rPr>
          <w:rFonts w:hint="cs"/>
          <w:color w:val="000000" w:themeColor="text1"/>
          <w:sz w:val="16"/>
          <w:szCs w:val="16"/>
          <w:rtl/>
        </w:rPr>
        <w:t>]</w:t>
      </w:r>
      <w:r w:rsidRPr="009E49FF">
        <w:rPr>
          <w:rFonts w:hint="cs"/>
          <w:color w:val="E36C0A" w:themeColor="accent6" w:themeShade="BF"/>
          <w:rtl/>
        </w:rPr>
        <w:t>)</w:t>
      </w:r>
    </w:p>
    <w:p w14:paraId="4E927FCE" w14:textId="77777777" w:rsidR="002E5BAD" w:rsidRPr="003212DE" w:rsidRDefault="002E5BAD" w:rsidP="002E5BAD">
      <w:pPr>
        <w:ind w:left="360"/>
        <w:rPr>
          <w:u w:val="dotted"/>
        </w:rPr>
      </w:pPr>
      <w:r w:rsidRPr="003212DE">
        <w:rPr>
          <w:rFonts w:hint="cs"/>
          <w:u w:val="dotted"/>
          <w:rtl/>
        </w:rPr>
        <w:t>במה חייב מן התורה:</w:t>
      </w:r>
    </w:p>
    <w:p w14:paraId="653DD800" w14:textId="77777777" w:rsidR="002E5BAD" w:rsidRDefault="002E5BAD" w:rsidP="002E5BAD">
      <w:pPr>
        <w:pStyle w:val="ab"/>
        <w:numPr>
          <w:ilvl w:val="0"/>
          <w:numId w:val="151"/>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"ב</w:t>
      </w:r>
      <w:r w:rsidRPr="00B52903">
        <w:rPr>
          <w:rFonts w:cs="Arial"/>
          <w:sz w:val="16"/>
          <w:szCs w:val="16"/>
          <w:rtl/>
        </w:rPr>
        <w:t>)</w:t>
      </w:r>
      <w:r>
        <w:rPr>
          <w:rFonts w:cs="Arial" w:hint="cs"/>
          <w:rtl/>
        </w:rPr>
        <w:t xml:space="preserve"> רשב"א </w:t>
      </w:r>
      <w:r>
        <w:rPr>
          <w:rFonts w:cs="Arial" w:hint="cs"/>
          <w:sz w:val="16"/>
          <w:szCs w:val="16"/>
          <w:rtl/>
        </w:rPr>
        <w:t>(כ"כ הה"מ [שם] בשמו)</w:t>
      </w:r>
      <w:r>
        <w:rPr>
          <w:rFonts w:cs="Arial" w:hint="cs"/>
          <w:rtl/>
        </w:rPr>
        <w:t xml:space="preserve"> ו</w:t>
      </w:r>
      <w:r w:rsidRPr="00A931CA">
        <w:rPr>
          <w:rFonts w:cs="Arial" w:hint="cs"/>
          <w:rtl/>
        </w:rPr>
        <w:t xml:space="preserve">טור- </w:t>
      </w:r>
      <w:r w:rsidRPr="00571B26">
        <w:rPr>
          <w:rFonts w:cs="Arial"/>
          <w:rtl/>
        </w:rPr>
        <w:t>והעשרה</w:t>
      </w:r>
      <w:r>
        <w:rPr>
          <w:rFonts w:cs="Arial" w:hint="cs"/>
          <w:rtl/>
        </w:rPr>
        <w:t>,</w:t>
      </w:r>
      <w:r w:rsidRPr="00571B26">
        <w:rPr>
          <w:rFonts w:cs="Arial"/>
          <w:rtl/>
        </w:rPr>
        <w:t xml:space="preserve"> שלשה מהן מן התורה</w:t>
      </w:r>
      <w:r>
        <w:rPr>
          <w:rFonts w:cs="Arial" w:hint="cs"/>
          <w:rtl/>
        </w:rPr>
        <w:t>,</w:t>
      </w:r>
      <w:r w:rsidRPr="00571B26">
        <w:rPr>
          <w:rFonts w:cs="Arial"/>
          <w:rtl/>
        </w:rPr>
        <w:t xml:space="preserve"> ואלו הן</w:t>
      </w:r>
      <w:r>
        <w:rPr>
          <w:rFonts w:cs="Arial" w:hint="cs"/>
          <w:rtl/>
        </w:rPr>
        <w:t>:</w:t>
      </w:r>
      <w:r w:rsidRPr="00571B26">
        <w:rPr>
          <w:rFonts w:cs="Arial"/>
          <w:rtl/>
        </w:rPr>
        <w:t xml:space="preserve"> שארה כסותה ועונתה</w:t>
      </w:r>
      <w:r>
        <w:rPr>
          <w:rFonts w:cs="Arial" w:hint="cs"/>
          <w:rtl/>
        </w:rPr>
        <w:t>.</w:t>
      </w:r>
      <w:r w:rsidRPr="00571B26">
        <w:rPr>
          <w:rFonts w:cs="Arial"/>
          <w:rtl/>
        </w:rPr>
        <w:t xml:space="preserve"> שארה אלו מזונותיה, כסותה כמשמעה, עונתה לבא עליה כדרך כל הארץ</w:t>
      </w:r>
      <w:r>
        <w:rPr>
          <w:rStyle w:val="a7"/>
          <w:rFonts w:cs="Arial"/>
          <w:rtl/>
        </w:rPr>
        <w:footnoteReference w:id="1031"/>
      </w:r>
      <w:r>
        <w:rPr>
          <w:rFonts w:cs="Arial" w:hint="cs"/>
          <w:sz w:val="16"/>
          <w:szCs w:val="16"/>
          <w:rtl/>
        </w:rPr>
        <w:t xml:space="preserve"> (ל' הרמב"ם)</w:t>
      </w:r>
      <w:r>
        <w:rPr>
          <w:rFonts w:cs="Arial" w:hint="cs"/>
          <w:rtl/>
        </w:rPr>
        <w:t>.</w:t>
      </w:r>
      <w:r w:rsidRPr="009E49FF">
        <w:rPr>
          <w:rFonts w:hint="cs"/>
          <w:color w:val="E36C0A" w:themeColor="accent6" w:themeShade="BF"/>
          <w:rtl/>
        </w:rPr>
        <w:t xml:space="preserve"> </w:t>
      </w:r>
      <w:r w:rsidRPr="00571B26">
        <w:rPr>
          <w:rFonts w:cs="Arial"/>
          <w:rtl/>
        </w:rPr>
        <w:t xml:space="preserve"> </w:t>
      </w:r>
    </w:p>
    <w:p w14:paraId="109473DC" w14:textId="77777777" w:rsidR="002E5BAD" w:rsidRDefault="002E5BAD" w:rsidP="002E5BAD">
      <w:pPr>
        <w:pStyle w:val="ab"/>
        <w:numPr>
          <w:ilvl w:val="0"/>
          <w:numId w:val="151"/>
        </w:numPr>
      </w:pPr>
      <w:r>
        <w:rPr>
          <w:rFonts w:cs="Arial"/>
          <w:rtl/>
        </w:rPr>
        <w:t xml:space="preserve">רמב"ן </w:t>
      </w:r>
      <w:r>
        <w:rPr>
          <w:rFonts w:cs="Arial" w:hint="cs"/>
          <w:sz w:val="16"/>
          <w:szCs w:val="16"/>
          <w:rtl/>
        </w:rPr>
        <w:t>(כ"כ הה"מ [שם] בשמו)</w:t>
      </w:r>
      <w:r>
        <w:rPr>
          <w:rFonts w:cs="Arial" w:hint="cs"/>
          <w:rtl/>
        </w:rPr>
        <w:t>- עונה בלבד, אבל ב</w:t>
      </w:r>
      <w:r>
        <w:rPr>
          <w:rFonts w:cs="Arial"/>
          <w:rtl/>
        </w:rPr>
        <w:t xml:space="preserve">מזונות ומלבושי האשה </w:t>
      </w:r>
      <w:r>
        <w:rPr>
          <w:rFonts w:cs="Arial" w:hint="cs"/>
          <w:rtl/>
        </w:rPr>
        <w:t xml:space="preserve">חייב </w:t>
      </w:r>
      <w:r>
        <w:rPr>
          <w:rFonts w:cs="Arial"/>
          <w:rtl/>
        </w:rPr>
        <w:t>מדבריהם</w:t>
      </w:r>
      <w:r>
        <w:rPr>
          <w:rStyle w:val="a7"/>
          <w:rFonts w:cs="Arial"/>
          <w:rtl/>
        </w:rPr>
        <w:footnoteReference w:id="1032"/>
      </w:r>
      <w:r>
        <w:rPr>
          <w:rFonts w:cs="Arial" w:hint="cs"/>
          <w:rtl/>
        </w:rPr>
        <w:t>.</w:t>
      </w:r>
      <w:r>
        <w:rPr>
          <w:rFonts w:cs="Arial"/>
          <w:rtl/>
        </w:rPr>
        <w:t xml:space="preserve"> </w:t>
      </w:r>
    </w:p>
    <w:p w14:paraId="2A2D7C11" w14:textId="77777777" w:rsidR="002E5BAD" w:rsidRPr="003212DE" w:rsidRDefault="002E5BAD" w:rsidP="002E5BAD">
      <w:pPr>
        <w:pStyle w:val="ab"/>
        <w:numPr>
          <w:ilvl w:val="0"/>
          <w:numId w:val="151"/>
        </w:numPr>
      </w:pPr>
      <w:r>
        <w:rPr>
          <w:rFonts w:hint="cs"/>
          <w:rtl/>
        </w:rPr>
        <w:t xml:space="preserve">ר"ן </w:t>
      </w:r>
      <w:r w:rsidRPr="009C7BAE">
        <w:rPr>
          <w:rFonts w:cs="Arial" w:hint="cs"/>
          <w:sz w:val="16"/>
          <w:szCs w:val="16"/>
          <w:rtl/>
        </w:rPr>
        <w:t>(</w:t>
      </w:r>
      <w:r w:rsidRPr="009C7BAE">
        <w:rPr>
          <w:rFonts w:cs="Arial"/>
          <w:sz w:val="16"/>
          <w:szCs w:val="16"/>
          <w:rtl/>
        </w:rPr>
        <w:t>פ</w:t>
      </w:r>
      <w:r w:rsidRPr="009C7BAE">
        <w:rPr>
          <w:rFonts w:cs="Arial" w:hint="cs"/>
          <w:sz w:val="16"/>
          <w:szCs w:val="16"/>
          <w:rtl/>
        </w:rPr>
        <w:t>'</w:t>
      </w:r>
      <w:r w:rsidRPr="009C7BAE">
        <w:rPr>
          <w:rFonts w:cs="Arial"/>
          <w:sz w:val="16"/>
          <w:szCs w:val="16"/>
          <w:rtl/>
        </w:rPr>
        <w:t xml:space="preserve"> נערה יז. ד"ה ובגמ' איכא</w:t>
      </w:r>
      <w:r w:rsidRPr="009C7BAE">
        <w:rPr>
          <w:rFonts w:cs="Arial" w:hint="cs"/>
          <w:sz w:val="16"/>
          <w:szCs w:val="16"/>
          <w:rtl/>
        </w:rPr>
        <w:t>, כ"כ בשמו הדרכ"מ [אות א*])</w:t>
      </w:r>
      <w:r>
        <w:rPr>
          <w:rFonts w:cs="Arial" w:hint="cs"/>
          <w:rtl/>
        </w:rPr>
        <w:t>- בכסותה ועונתה, אבל במזונות חייב מדבריהם</w:t>
      </w:r>
      <w:r>
        <w:rPr>
          <w:rStyle w:val="a7"/>
          <w:rFonts w:cs="Arial"/>
          <w:rtl/>
        </w:rPr>
        <w:footnoteReference w:id="1033"/>
      </w:r>
      <w:r>
        <w:rPr>
          <w:rFonts w:cs="Arial" w:hint="cs"/>
          <w:rtl/>
        </w:rPr>
        <w:t>.</w:t>
      </w:r>
    </w:p>
    <w:p w14:paraId="2DFD540B" w14:textId="77777777" w:rsidR="002E5BAD" w:rsidRPr="003212DE" w:rsidRDefault="002E5BAD" w:rsidP="002E5BAD">
      <w:pPr>
        <w:ind w:left="360"/>
        <w:rPr>
          <w:u w:val="dotted"/>
        </w:rPr>
      </w:pPr>
      <w:r w:rsidRPr="003212DE">
        <w:rPr>
          <w:rFonts w:hint="cs"/>
          <w:u w:val="dotted"/>
          <w:rtl/>
        </w:rPr>
        <w:t>במה חייב מדברי סופרים:</w:t>
      </w:r>
    </w:p>
    <w:p w14:paraId="6A8E08DA" w14:textId="77777777" w:rsidR="002E5BAD" w:rsidRPr="00571B26" w:rsidRDefault="002E5BAD" w:rsidP="002E5BAD">
      <w:pPr>
        <w:pStyle w:val="ab"/>
        <w:numPr>
          <w:ilvl w:val="0"/>
          <w:numId w:val="151"/>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"ב</w:t>
      </w:r>
      <w:r w:rsidRPr="00B52903">
        <w:rPr>
          <w:rFonts w:cs="Arial"/>
          <w:sz w:val="16"/>
          <w:szCs w:val="16"/>
          <w:rtl/>
        </w:rPr>
        <w:t>)</w:t>
      </w:r>
      <w:r>
        <w:rPr>
          <w:rFonts w:cs="Arial" w:hint="cs"/>
          <w:rtl/>
        </w:rPr>
        <w:t xml:space="preserve"> ו</w:t>
      </w:r>
      <w:r w:rsidRPr="00A931CA">
        <w:rPr>
          <w:rFonts w:cs="Arial" w:hint="cs"/>
          <w:rtl/>
        </w:rPr>
        <w:t xml:space="preserve">טור- </w:t>
      </w:r>
      <w:r w:rsidRPr="003B5CAE">
        <w:rPr>
          <w:rFonts w:cs="Arial"/>
          <w:rtl/>
        </w:rPr>
        <w:t>והשבעה</w:t>
      </w:r>
      <w:r>
        <w:rPr>
          <w:rFonts w:cs="Arial" w:hint="cs"/>
          <w:rtl/>
        </w:rPr>
        <w:t>,</w:t>
      </w:r>
      <w:r w:rsidRPr="003B5CAE">
        <w:rPr>
          <w:rFonts w:cs="Arial"/>
          <w:rtl/>
        </w:rPr>
        <w:t xml:space="preserve"> מדברי סופרים</w:t>
      </w:r>
      <w:r>
        <w:rPr>
          <w:rFonts w:cs="Arial" w:hint="cs"/>
          <w:rtl/>
        </w:rPr>
        <w:t>,</w:t>
      </w:r>
      <w:r w:rsidRPr="003B5CAE">
        <w:rPr>
          <w:rFonts w:cs="Arial"/>
          <w:rtl/>
        </w:rPr>
        <w:t xml:space="preserve"> וכולן תנאי בית דין הם</w:t>
      </w:r>
      <w:r>
        <w:rPr>
          <w:rFonts w:cs="Arial" w:hint="cs"/>
          <w:rtl/>
        </w:rPr>
        <w:t>.</w:t>
      </w:r>
      <w:r w:rsidRPr="003B5CAE">
        <w:rPr>
          <w:rFonts w:cs="Arial"/>
          <w:rtl/>
        </w:rPr>
        <w:t xml:space="preserve"> האחד מהם עיקר כתובה, והשאר הם הנקראין תנאי כתובה</w:t>
      </w:r>
      <w:r>
        <w:rPr>
          <w:rFonts w:cs="Arial" w:hint="cs"/>
          <w:rtl/>
        </w:rPr>
        <w:t>,</w:t>
      </w:r>
      <w:r w:rsidRPr="003B5CAE">
        <w:rPr>
          <w:rFonts w:cs="Arial"/>
          <w:rtl/>
        </w:rPr>
        <w:t xml:space="preserve">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r>
        <w:rPr>
          <w:rFonts w:cs="Arial" w:hint="cs"/>
          <w:sz w:val="16"/>
          <w:szCs w:val="16"/>
          <w:rtl/>
        </w:rPr>
        <w:t xml:space="preserve"> (ל' הרמב"ם)</w:t>
      </w:r>
      <w:r>
        <w:rPr>
          <w:rFonts w:cs="Arial" w:hint="cs"/>
          <w:rtl/>
        </w:rPr>
        <w:t>.</w:t>
      </w:r>
      <w:r w:rsidRPr="009E49FF">
        <w:rPr>
          <w:rFonts w:hint="cs"/>
          <w:color w:val="E36C0A" w:themeColor="accent6" w:themeShade="BF"/>
          <w:rtl/>
        </w:rPr>
        <w:t xml:space="preserve"> </w:t>
      </w:r>
    </w:p>
    <w:p w14:paraId="65F691BF" w14:textId="77777777" w:rsidR="002E5BAD" w:rsidRPr="00571B26" w:rsidRDefault="002E5BAD" w:rsidP="002E5BAD">
      <w:pPr>
        <w:ind w:left="360"/>
        <w:rPr>
          <w:u w:val="dotted"/>
        </w:rPr>
      </w:pPr>
      <w:r w:rsidRPr="00571B26">
        <w:rPr>
          <w:rFonts w:hint="cs"/>
          <w:u w:val="dotted"/>
          <w:rtl/>
        </w:rPr>
        <w:t>במה ז</w:t>
      </w:r>
      <w:r>
        <w:rPr>
          <w:rFonts w:hint="cs"/>
          <w:u w:val="dotted"/>
          <w:rtl/>
        </w:rPr>
        <w:t>וכה הוא</w:t>
      </w:r>
      <w:r w:rsidRPr="00571B26">
        <w:rPr>
          <w:rFonts w:hint="cs"/>
          <w:u w:val="dotted"/>
          <w:rtl/>
        </w:rPr>
        <w:t xml:space="preserve"> מדברי סופרים:</w:t>
      </w:r>
    </w:p>
    <w:p w14:paraId="3F424492" w14:textId="77777777" w:rsidR="002E5BAD" w:rsidRPr="00F42A20" w:rsidRDefault="002E5BAD" w:rsidP="002E5BAD">
      <w:pPr>
        <w:pStyle w:val="ab"/>
        <w:numPr>
          <w:ilvl w:val="0"/>
          <w:numId w:val="151"/>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"ג</w:t>
      </w:r>
      <w:r w:rsidRPr="00B52903">
        <w:rPr>
          <w:rFonts w:cs="Arial"/>
          <w:sz w:val="16"/>
          <w:szCs w:val="16"/>
          <w:rtl/>
        </w:rPr>
        <w:t>)</w:t>
      </w:r>
      <w:r>
        <w:rPr>
          <w:rFonts w:cs="Arial" w:hint="cs"/>
          <w:rtl/>
        </w:rPr>
        <w:t xml:space="preserve"> ו</w:t>
      </w:r>
      <w:r w:rsidRPr="00A931CA">
        <w:rPr>
          <w:rFonts w:cs="Arial" w:hint="cs"/>
          <w:rtl/>
        </w:rPr>
        <w:t xml:space="preserve">טור- </w:t>
      </w:r>
      <w:r w:rsidRPr="00F42A20">
        <w:rPr>
          <w:rFonts w:cs="Arial"/>
          <w:rtl/>
        </w:rPr>
        <w:t>והארבעה שזוכה בהן כולם מדברי סופרים, ואלו הן, להיות מעשה ידיה שלו, ולהיות מציאתה שלו, ושיהיה אוכל כל פירות נכסיה בחייה, ואם מתה בחייו יירשנה, והוא קודם לכל אדם בירושה</w:t>
      </w:r>
      <w:r>
        <w:rPr>
          <w:rFonts w:cs="Arial" w:hint="cs"/>
          <w:sz w:val="16"/>
          <w:szCs w:val="16"/>
          <w:rtl/>
        </w:rPr>
        <w:t xml:space="preserve"> (ל' הרמב"ם)</w:t>
      </w:r>
      <w:r w:rsidRPr="00F42A20">
        <w:rPr>
          <w:rFonts w:cs="Arial"/>
          <w:rtl/>
        </w:rPr>
        <w:t xml:space="preserve">. </w:t>
      </w:r>
    </w:p>
    <w:p w14:paraId="6C4D7C5D" w14:textId="77777777" w:rsidR="002E5BAD" w:rsidRDefault="002E5BAD" w:rsidP="002E5BAD">
      <w:pPr>
        <w:pStyle w:val="ab"/>
        <w:numPr>
          <w:ilvl w:val="0"/>
          <w:numId w:val="151"/>
        </w:numPr>
      </w:pPr>
      <w:r w:rsidRPr="00F42A20">
        <w:rPr>
          <w:rFonts w:cs="Arial"/>
          <w:rtl/>
        </w:rPr>
        <w:t>ראב"ד</w:t>
      </w:r>
      <w:r>
        <w:rPr>
          <w:rFonts w:cs="Arial" w:hint="cs"/>
          <w:rtl/>
        </w:rPr>
        <w:t xml:space="preserve"> </w:t>
      </w:r>
      <w:r>
        <w:rPr>
          <w:rFonts w:cs="Arial" w:hint="cs"/>
          <w:sz w:val="16"/>
          <w:szCs w:val="16"/>
          <w:rtl/>
        </w:rPr>
        <w:t>(בהשגות שם)</w:t>
      </w:r>
      <w:r>
        <w:rPr>
          <w:rFonts w:cs="Arial" w:hint="cs"/>
          <w:rtl/>
        </w:rPr>
        <w:t>-</w:t>
      </w:r>
      <w:r w:rsidRPr="00F42A20">
        <w:rPr>
          <w:rFonts w:cs="Arial"/>
          <w:rtl/>
        </w:rPr>
        <w:t xml:space="preserve"> אומר אני ירושת הבעל דבר תורה</w:t>
      </w:r>
      <w:r>
        <w:rPr>
          <w:rFonts w:cs="Arial" w:hint="cs"/>
          <w:rtl/>
        </w:rPr>
        <w:t>.</w:t>
      </w:r>
      <w:r w:rsidRPr="00A931CA">
        <w:rPr>
          <w:rFonts w:cs="Arial"/>
          <w:rtl/>
        </w:rPr>
        <w:t xml:space="preserve"> </w:t>
      </w:r>
    </w:p>
    <w:p w14:paraId="73A8E821" w14:textId="77777777" w:rsidR="002E5BAD" w:rsidRPr="00B40894" w:rsidRDefault="002E5BAD" w:rsidP="002E5BAD">
      <w:pPr>
        <w:ind w:left="360"/>
        <w:rPr>
          <w:rFonts w:cs="Arial"/>
          <w:u w:val="dotted"/>
          <w:rtl/>
        </w:rPr>
      </w:pPr>
      <w:r w:rsidRPr="00B40894">
        <w:rPr>
          <w:rFonts w:cs="Arial" w:hint="cs"/>
          <w:u w:val="dotted"/>
          <w:rtl/>
        </w:rPr>
        <w:t xml:space="preserve">מה הדין אם כל הדברים הנ"ל </w:t>
      </w:r>
      <w:r w:rsidRPr="00B40894">
        <w:rPr>
          <w:rFonts w:cs="Arial" w:hint="cs"/>
          <w:sz w:val="16"/>
          <w:szCs w:val="16"/>
          <w:u w:val="dotted"/>
          <w:rtl/>
        </w:rPr>
        <w:t>(י' שחייב וד' שזוכה)</w:t>
      </w:r>
      <w:r w:rsidRPr="00B40894">
        <w:rPr>
          <w:rFonts w:cs="Arial" w:hint="cs"/>
          <w:u w:val="dotted"/>
          <w:rtl/>
        </w:rPr>
        <w:t xml:space="preserve"> לא נכתבו בכתובה:</w:t>
      </w:r>
    </w:p>
    <w:p w14:paraId="31DE2D01" w14:textId="77777777" w:rsidR="002E5BAD" w:rsidRPr="001F65C3" w:rsidRDefault="002E5BAD" w:rsidP="002E5BAD">
      <w:pPr>
        <w:pStyle w:val="ab"/>
        <w:numPr>
          <w:ilvl w:val="0"/>
          <w:numId w:val="151"/>
        </w:numPr>
      </w:pPr>
      <w:r>
        <w:rPr>
          <w:rFonts w:cs="Arial"/>
          <w:rtl/>
        </w:rPr>
        <w:lastRenderedPageBreak/>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"ה</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1F65C3">
        <w:rPr>
          <w:rFonts w:cs="Arial"/>
          <w:rtl/>
        </w:rPr>
        <w:t>כל הדברים האלו אף על פי שלא נכתבו בשטר הכתובה ואפילו לא כתבו כתובה אלא נשא סתם כיון שנשאה זכה בארבעה דברים שלו וזכת האשה בעשרה דברים שלה ואינן צריכין לפרש</w:t>
      </w:r>
      <w:r w:rsidRPr="001F65C3">
        <w:rPr>
          <w:rFonts w:cs="Arial" w:hint="cs"/>
          <w:rtl/>
        </w:rPr>
        <w:t>.</w:t>
      </w:r>
      <w:r w:rsidRPr="009E49FF">
        <w:rPr>
          <w:rFonts w:hint="cs"/>
          <w:color w:val="E36C0A" w:themeColor="accent6" w:themeShade="BF"/>
          <w:rtl/>
        </w:rPr>
        <w:t xml:space="preserve"> (וכ"פ בשו"ע)</w:t>
      </w:r>
    </w:p>
    <w:p w14:paraId="3371524F" w14:textId="77777777" w:rsidR="002E5BAD" w:rsidRDefault="002E5BAD" w:rsidP="002E5BAD">
      <w:pPr>
        <w:rPr>
          <w:rFonts w:cs="Arial"/>
          <w:rtl/>
        </w:rPr>
      </w:pPr>
      <w:r w:rsidRPr="00101F41">
        <w:rPr>
          <w:rFonts w:cs="Arial" w:hint="cs"/>
          <w:u w:val="single"/>
          <w:rtl/>
        </w:rPr>
        <w:t xml:space="preserve">אשה שאמרה איני ניזונת ואיני עושה </w:t>
      </w:r>
      <w:r w:rsidRPr="00101F41">
        <w:rPr>
          <w:rFonts w:cs="Arial"/>
          <w:u w:val="single"/>
          <w:rtl/>
        </w:rPr>
        <w:t>–</w:t>
      </w:r>
      <w:r w:rsidRPr="00101F41">
        <w:rPr>
          <w:rFonts w:cs="Arial" w:hint="cs"/>
          <w:u w:val="single"/>
          <w:rtl/>
        </w:rPr>
        <w:t xml:space="preserve"> האם פטורה גם ממלאכות הבית:</w:t>
      </w:r>
    </w:p>
    <w:p w14:paraId="1D6F7D76" w14:textId="77777777" w:rsidR="002E5BAD" w:rsidRDefault="002E5BAD" w:rsidP="002E5BAD">
      <w:pPr>
        <w:pStyle w:val="ab"/>
        <w:numPr>
          <w:ilvl w:val="0"/>
          <w:numId w:val="152"/>
        </w:numPr>
        <w:rPr>
          <w:rFonts w:cs="Arial"/>
        </w:rPr>
      </w:pPr>
      <w:r w:rsidRPr="00101F41">
        <w:rPr>
          <w:rFonts w:cs="Arial" w:hint="cs"/>
          <w:rtl/>
        </w:rPr>
        <w:t xml:space="preserve">הה"מ </w:t>
      </w:r>
      <w:r w:rsidRPr="00101F41">
        <w:rPr>
          <w:rFonts w:cs="Arial" w:hint="cs"/>
          <w:sz w:val="16"/>
          <w:szCs w:val="16"/>
          <w:rtl/>
        </w:rPr>
        <w:t>(פי"ב מאישות ה"ד)</w:t>
      </w:r>
      <w:r w:rsidRPr="00101F41">
        <w:rPr>
          <w:rFonts w:cs="Arial" w:hint="cs"/>
          <w:rtl/>
        </w:rPr>
        <w:t xml:space="preserve">- </w:t>
      </w:r>
      <w:r w:rsidRPr="00101F41">
        <w:rPr>
          <w:rFonts w:cs="Arial"/>
          <w:rtl/>
        </w:rPr>
        <w:t>כתבו מן המפרשים שלא אמרו אלא שיכולה להפקיע את עצמה בטווה בצמר ושאינה לצורך הבית אבל טוחנת ואופה ומבשלת ועושה כל צרכי הבית כמו אם היתה נזונת ולזה הסכים הרשב"א בפרק אף על פי (שם)</w:t>
      </w:r>
      <w:r>
        <w:rPr>
          <w:rStyle w:val="a7"/>
          <w:rFonts w:cs="Arial"/>
          <w:rtl/>
        </w:rPr>
        <w:footnoteReference w:id="1034"/>
      </w:r>
      <w:r w:rsidRPr="00101F41">
        <w:rPr>
          <w:rFonts w:cs="Arial"/>
          <w:rtl/>
        </w:rPr>
        <w:t>.</w:t>
      </w:r>
    </w:p>
    <w:p w14:paraId="592CECC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B83C6F6" w14:textId="77777777" w:rsidR="002E5BAD" w:rsidRDefault="002E5BAD" w:rsidP="002E5BAD">
      <w:pPr>
        <w:rPr>
          <w:rtl/>
        </w:rPr>
      </w:pPr>
      <w:r>
        <w:rPr>
          <w:rFonts w:cs="Arial"/>
          <w:rtl/>
        </w:rPr>
        <w:t xml:space="preserve">כשנושא אדם אשה מתחייב לה בעשרה דברים, וזכה בה בד' דברים, אפילו לא נכתבו. </w:t>
      </w:r>
    </w:p>
    <w:p w14:paraId="7974A833" w14:textId="77777777" w:rsidR="002E5BAD" w:rsidRDefault="002E5BAD" w:rsidP="002E5BAD">
      <w:pPr>
        <w:rPr>
          <w:rtl/>
        </w:rPr>
      </w:pPr>
    </w:p>
    <w:p w14:paraId="0B65AEC2" w14:textId="77777777" w:rsidR="002E5BAD" w:rsidRDefault="002E5BAD" w:rsidP="002E5BAD">
      <w:pPr>
        <w:pStyle w:val="2"/>
        <w:rPr>
          <w:rtl/>
        </w:rPr>
      </w:pPr>
      <w:r>
        <w:rPr>
          <w:rtl/>
        </w:rPr>
        <w:t>סעיף ב</w:t>
      </w:r>
      <w:r>
        <w:rPr>
          <w:rFonts w:hint="cs"/>
          <w:rtl/>
        </w:rPr>
        <w:t>: עשרה דברים שמתחייב בהם אדם שנושא אשה.</w:t>
      </w:r>
    </w:p>
    <w:p w14:paraId="56EDF043" w14:textId="77777777" w:rsidR="002E5BAD" w:rsidRPr="00D06DCA" w:rsidRDefault="002E5BAD" w:rsidP="002E5BAD">
      <w:pPr>
        <w:rPr>
          <w:rtl/>
        </w:rPr>
      </w:pPr>
      <w:r>
        <w:rPr>
          <w:rFonts w:hint="cs"/>
          <w:rtl/>
        </w:rPr>
        <w:t>עיין במקורות בסעיף א'.</w:t>
      </w:r>
      <w:r w:rsidRPr="009E49FF">
        <w:rPr>
          <w:rFonts w:hint="cs"/>
          <w:color w:val="E36C0A" w:themeColor="accent6" w:themeShade="BF"/>
          <w:rtl/>
        </w:rPr>
        <w:t xml:space="preserve"> </w:t>
      </w:r>
    </w:p>
    <w:p w14:paraId="0127257E"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5D5FC82" w14:textId="77777777" w:rsidR="002E5BAD" w:rsidRDefault="002E5BAD" w:rsidP="002E5BAD">
      <w:pPr>
        <w:rPr>
          <w:rtl/>
        </w:rPr>
      </w:pPr>
      <w:r>
        <w:rPr>
          <w:rFonts w:cs="Arial"/>
          <w:rtl/>
        </w:rPr>
        <w:t xml:space="preserve">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 </w:t>
      </w:r>
    </w:p>
    <w:p w14:paraId="0D44E7BD" w14:textId="77777777" w:rsidR="002E5BAD" w:rsidRDefault="002E5BAD" w:rsidP="002E5BAD">
      <w:pPr>
        <w:rPr>
          <w:rtl/>
        </w:rPr>
      </w:pPr>
    </w:p>
    <w:p w14:paraId="277AFACE" w14:textId="77777777" w:rsidR="002E5BAD" w:rsidRDefault="002E5BAD" w:rsidP="002E5BAD">
      <w:pPr>
        <w:pStyle w:val="2"/>
        <w:rPr>
          <w:rtl/>
        </w:rPr>
      </w:pPr>
      <w:r>
        <w:rPr>
          <w:rtl/>
        </w:rPr>
        <w:t>סעיף ג</w:t>
      </w:r>
      <w:r>
        <w:rPr>
          <w:rFonts w:hint="cs"/>
          <w:rtl/>
        </w:rPr>
        <w:t>: ארבעה דברים שזוכה בהם אדם שנושא אשה.</w:t>
      </w:r>
    </w:p>
    <w:p w14:paraId="33F46CB4" w14:textId="77777777" w:rsidR="002E5BAD" w:rsidRPr="00D06DCA" w:rsidRDefault="002E5BAD" w:rsidP="002E5BAD">
      <w:pPr>
        <w:rPr>
          <w:rtl/>
        </w:rPr>
      </w:pPr>
      <w:r>
        <w:rPr>
          <w:rFonts w:hint="cs"/>
          <w:rtl/>
        </w:rPr>
        <w:t>עיין במקורות בסעיף א'.</w:t>
      </w:r>
      <w:r w:rsidRPr="009E49FF">
        <w:rPr>
          <w:rFonts w:hint="cs"/>
          <w:color w:val="E36C0A" w:themeColor="accent6" w:themeShade="BF"/>
          <w:rtl/>
        </w:rPr>
        <w:t xml:space="preserve"> </w:t>
      </w:r>
    </w:p>
    <w:p w14:paraId="42FB144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544B371" w14:textId="77777777" w:rsidR="002E5BAD" w:rsidRDefault="002E5BAD" w:rsidP="002E5BAD">
      <w:pPr>
        <w:rPr>
          <w:rtl/>
        </w:rPr>
      </w:pPr>
      <w:r>
        <w:rPr>
          <w:rFonts w:cs="Arial"/>
          <w:rtl/>
        </w:rPr>
        <w:t xml:space="preserve">אלו הם הארבע: מעשה ידיה, ומציאתה, ופירותיה, וירושתה. </w:t>
      </w:r>
    </w:p>
    <w:p w14:paraId="27A4C7E0" w14:textId="77777777" w:rsidR="002E5BAD" w:rsidRDefault="002E5BAD" w:rsidP="002E5BAD">
      <w:pPr>
        <w:rPr>
          <w:rtl/>
        </w:rPr>
      </w:pPr>
    </w:p>
    <w:p w14:paraId="77949D56" w14:textId="77777777" w:rsidR="002E5BAD" w:rsidRDefault="002E5BAD" w:rsidP="002E5BAD">
      <w:pPr>
        <w:pStyle w:val="2"/>
        <w:rPr>
          <w:rtl/>
        </w:rPr>
      </w:pPr>
      <w:r>
        <w:rPr>
          <w:rtl/>
        </w:rPr>
        <w:t>סעיף ד</w:t>
      </w:r>
      <w:r>
        <w:rPr>
          <w:rFonts w:hint="cs"/>
          <w:rtl/>
        </w:rPr>
        <w:t>: תנאי כתובה. והאומרת איני ניזונת ואיני עושה.</w:t>
      </w:r>
    </w:p>
    <w:p w14:paraId="1B64D897" w14:textId="77777777" w:rsidR="002E5BAD" w:rsidRDefault="002E5BAD" w:rsidP="002E5BAD">
      <w:pPr>
        <w:rPr>
          <w:rFonts w:cs="Arial"/>
          <w:b/>
          <w:bCs/>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 תנו רבנן:</w:t>
      </w:r>
      <w:r>
        <w:rPr>
          <w:rFonts w:cs="Arial" w:hint="cs"/>
          <w:rtl/>
        </w:rPr>
        <w:t>...</w:t>
      </w:r>
      <w:r w:rsidRPr="00AB0AB9">
        <w:rPr>
          <w:rFonts w:cs="Arial"/>
          <w:rtl/>
        </w:rPr>
        <w:t xml:space="preserve"> תיקנו מזונותיה תחת מעשה ידיה, ופירקונה תחת פירות</w:t>
      </w:r>
      <w:r>
        <w:rPr>
          <w:rStyle w:val="a7"/>
          <w:rFonts w:cs="Arial"/>
          <w:rtl/>
        </w:rPr>
        <w:footnoteReference w:id="1035"/>
      </w:r>
      <w:r w:rsidRPr="00AB0AB9">
        <w:rPr>
          <w:rFonts w:cs="Arial"/>
          <w:rtl/>
        </w:rPr>
        <w:t>, וקבורתה תחת כתובתה</w:t>
      </w:r>
      <w:r>
        <w:rPr>
          <w:rStyle w:val="a7"/>
          <w:rFonts w:cs="Arial"/>
          <w:rtl/>
        </w:rPr>
        <w:footnoteReference w:id="1036"/>
      </w:r>
      <w:r w:rsidRPr="00AB0AB9">
        <w:rPr>
          <w:rFonts w:cs="Arial"/>
          <w:rtl/>
        </w:rPr>
        <w:t>, לפיכך בעל אוכל פירות. מאי לפיכך? מהו דתימא מיכל לא נכלינהו אנוחי ננחינהו, דאם כן מימנע ולא פריק, קמ"ל דהא עדיפא, זימנין דלא מלו</w:t>
      </w:r>
      <w:r>
        <w:rPr>
          <w:rStyle w:val="a7"/>
          <w:rFonts w:cs="Arial"/>
          <w:rtl/>
        </w:rPr>
        <w:footnoteReference w:id="1037"/>
      </w:r>
      <w:r w:rsidRPr="00AB0AB9">
        <w:rPr>
          <w:rFonts w:cs="Arial"/>
          <w:rtl/>
        </w:rPr>
        <w:t xml:space="preserve"> ופריק לה מדידיה. ואיפוך אנא</w:t>
      </w:r>
      <w:r>
        <w:rPr>
          <w:rStyle w:val="a7"/>
          <w:rFonts w:cs="Arial"/>
          <w:rtl/>
        </w:rPr>
        <w:footnoteReference w:id="1038"/>
      </w:r>
      <w:r w:rsidRPr="00AB0AB9">
        <w:rPr>
          <w:rFonts w:cs="Arial"/>
          <w:rtl/>
        </w:rPr>
        <w:t xml:space="preserve">! </w:t>
      </w:r>
      <w:r w:rsidRPr="009919C0">
        <w:rPr>
          <w:rFonts w:cs="Arial"/>
          <w:u w:val="single"/>
          <w:rtl/>
        </w:rPr>
        <w:t>אמר אביי</w:t>
      </w:r>
      <w:r w:rsidRPr="00AB0AB9">
        <w:rPr>
          <w:rFonts w:cs="Arial"/>
          <w:rtl/>
        </w:rPr>
        <w:t>: תיקנו מצוי למצוי, ושאינו מצוי לשאינו מצוי</w:t>
      </w:r>
      <w:r>
        <w:rPr>
          <w:rStyle w:val="a7"/>
          <w:rFonts w:cs="Arial"/>
          <w:rtl/>
        </w:rPr>
        <w:footnoteReference w:id="1039"/>
      </w:r>
      <w:r w:rsidRPr="00AB0AB9">
        <w:rPr>
          <w:rFonts w:cs="Arial"/>
          <w:rtl/>
        </w:rPr>
        <w:t xml:space="preserve">. </w:t>
      </w:r>
    </w:p>
    <w:p w14:paraId="06D5E583" w14:textId="77777777" w:rsidR="002E5BAD" w:rsidRPr="008D739C" w:rsidRDefault="002E5BAD" w:rsidP="002E5BAD">
      <w:pPr>
        <w:rPr>
          <w:rFonts w:cs="Arial"/>
          <w:rtl/>
        </w:rPr>
      </w:pPr>
      <w:r w:rsidRPr="008D739C">
        <w:rPr>
          <w:rFonts w:cs="Arial" w:hint="cs"/>
          <w:b/>
          <w:bCs/>
          <w:rtl/>
        </w:rPr>
        <w:t xml:space="preserve">כתובות </w:t>
      </w:r>
      <w:r w:rsidRPr="008D739C">
        <w:rPr>
          <w:rFonts w:cs="Arial" w:hint="cs"/>
          <w:b/>
          <w:bCs/>
          <w:sz w:val="16"/>
          <w:szCs w:val="16"/>
          <w:rtl/>
        </w:rPr>
        <w:t>(פ' אף על פי)</w:t>
      </w:r>
      <w:r w:rsidRPr="008D739C">
        <w:rPr>
          <w:rFonts w:cs="Arial" w:hint="cs"/>
          <w:b/>
          <w:bCs/>
          <w:rtl/>
        </w:rPr>
        <w:t xml:space="preserve"> נח ע"ב: </w:t>
      </w:r>
      <w:r w:rsidRPr="008D739C">
        <w:rPr>
          <w:rFonts w:cs="Arial"/>
          <w:u w:val="single"/>
          <w:rtl/>
        </w:rPr>
        <w:t>אמר רב הונא אמר רב</w:t>
      </w:r>
      <w:r w:rsidRPr="008D739C">
        <w:rPr>
          <w:rFonts w:cs="Arial"/>
          <w:rtl/>
        </w:rPr>
        <w:t xml:space="preserve">: יכולה אשה לומר לבעלה איני ניזונת ואיני עושה. קסבר: כי תקינו רבנן - מזוני עיקר, ומעשה ידיה משום איבה, וכי אמרה איני ניזונת ואיני עושה - הרשות בידה. </w:t>
      </w:r>
    </w:p>
    <w:p w14:paraId="56D27F19" w14:textId="77777777" w:rsidR="002E5BAD" w:rsidRPr="008D739C" w:rsidRDefault="002E5BAD" w:rsidP="002E5BAD">
      <w:pPr>
        <w:rPr>
          <w:u w:val="single"/>
        </w:rPr>
      </w:pPr>
      <w:r>
        <w:rPr>
          <w:rFonts w:hint="cs"/>
          <w:u w:val="single"/>
          <w:rtl/>
        </w:rPr>
        <w:lastRenderedPageBreak/>
        <w:t xml:space="preserve">עוד </w:t>
      </w:r>
      <w:r w:rsidRPr="008D739C">
        <w:rPr>
          <w:rFonts w:hint="cs"/>
          <w:u w:val="single"/>
          <w:rtl/>
        </w:rPr>
        <w:t>תקנו חכמים ב</w:t>
      </w:r>
      <w:r>
        <w:rPr>
          <w:rFonts w:hint="cs"/>
          <w:u w:val="single"/>
          <w:rtl/>
        </w:rPr>
        <w:t>ת</w:t>
      </w:r>
      <w:r w:rsidRPr="008D739C">
        <w:rPr>
          <w:rFonts w:hint="cs"/>
          <w:u w:val="single"/>
          <w:rtl/>
        </w:rPr>
        <w:t>נאי כתובה:</w:t>
      </w:r>
    </w:p>
    <w:p w14:paraId="6462B7DF" w14:textId="77777777" w:rsidR="002E5BAD" w:rsidRDefault="002E5BAD" w:rsidP="002E5BAD">
      <w:pPr>
        <w:pStyle w:val="ab"/>
        <w:numPr>
          <w:ilvl w:val="0"/>
          <w:numId w:val="151"/>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"ד</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8D739C">
        <w:rPr>
          <w:rFonts w:cs="Arial"/>
          <w:rtl/>
        </w:rPr>
        <w:t>ועוד תקנו חכמים שיהיו מעשה ידי האשה כנגד מזונותיה, ופדיונה כנגד אכילת פירות נכסיה, וקבורתה כנגד ירושתו לכתובתה</w:t>
      </w:r>
      <w:r w:rsidRPr="008D739C">
        <w:rPr>
          <w:rFonts w:cs="Arial" w:hint="cs"/>
          <w:rtl/>
        </w:rPr>
        <w:t>.</w:t>
      </w:r>
      <w:r w:rsidRPr="008D739C">
        <w:rPr>
          <w:rFonts w:cs="Arial"/>
          <w:rtl/>
        </w:rPr>
        <w:t xml:space="preserve"> לפיכך אם אמרה האשה איני ניזונת ואיני עושה </w:t>
      </w:r>
      <w:r w:rsidRPr="008D739C">
        <w:rPr>
          <w:rFonts w:cs="Arial" w:hint="cs"/>
          <w:rtl/>
        </w:rPr>
        <w:t xml:space="preserve">- </w:t>
      </w:r>
      <w:r w:rsidRPr="008D739C">
        <w:rPr>
          <w:rFonts w:cs="Arial"/>
          <w:rtl/>
        </w:rPr>
        <w:t xml:space="preserve">שומעין לה ואין כופין אותה, אבל אם אמר הבעל איני זנך ואיני נוטל כלום ממעשה ידיך </w:t>
      </w:r>
      <w:r w:rsidRPr="008D739C">
        <w:rPr>
          <w:rFonts w:cs="Arial" w:hint="cs"/>
          <w:rtl/>
        </w:rPr>
        <w:t xml:space="preserve">- </w:t>
      </w:r>
      <w:r w:rsidRPr="008D739C">
        <w:rPr>
          <w:rFonts w:cs="Arial"/>
          <w:rtl/>
        </w:rPr>
        <w:t>אין שומעין לו</w:t>
      </w:r>
      <w:r>
        <w:rPr>
          <w:rStyle w:val="a7"/>
          <w:rFonts w:cs="Arial"/>
          <w:rtl/>
        </w:rPr>
        <w:footnoteReference w:id="1040"/>
      </w:r>
      <w:r w:rsidRPr="008D739C">
        <w:rPr>
          <w:rFonts w:cs="Arial"/>
          <w:rtl/>
        </w:rPr>
        <w:t xml:space="preserve"> שמא לא יספיק לה מעשה ידיה במזונותיה</w:t>
      </w:r>
      <w:r w:rsidRPr="008D739C">
        <w:rPr>
          <w:rFonts w:cs="Arial" w:hint="cs"/>
          <w:rtl/>
        </w:rPr>
        <w:t>.</w:t>
      </w:r>
      <w:r w:rsidRPr="008D739C">
        <w:rPr>
          <w:rFonts w:cs="Arial"/>
          <w:rtl/>
        </w:rPr>
        <w:t xml:space="preserve"> ומפני תקנה זו יחשבו המזונות מתנאי הכתובה</w:t>
      </w:r>
      <w:r>
        <w:rPr>
          <w:rFonts w:cs="Arial" w:hint="cs"/>
          <w:sz w:val="16"/>
          <w:szCs w:val="16"/>
          <w:rtl/>
        </w:rPr>
        <w:t xml:space="preserve"> (ל' הרמב"ם)</w:t>
      </w:r>
      <w:r>
        <w:rPr>
          <w:rFonts w:hint="cs"/>
          <w:rtl/>
        </w:rPr>
        <w:t>.</w:t>
      </w:r>
      <w:r w:rsidRPr="00F42A20">
        <w:rPr>
          <w:rFonts w:cs="Arial"/>
          <w:rtl/>
        </w:rPr>
        <w:t xml:space="preserve"> </w:t>
      </w:r>
      <w:r w:rsidRPr="009E49FF">
        <w:rPr>
          <w:rFonts w:hint="cs"/>
          <w:color w:val="E36C0A" w:themeColor="accent6" w:themeShade="BF"/>
          <w:rtl/>
        </w:rPr>
        <w:t>(וכ"פ בשו"ע)</w:t>
      </w:r>
    </w:p>
    <w:p w14:paraId="3A34E564" w14:textId="77777777" w:rsidR="002E5BAD" w:rsidRPr="00641D7E" w:rsidRDefault="002E5BAD" w:rsidP="002E5BAD">
      <w:pPr>
        <w:ind w:left="360"/>
        <w:rPr>
          <w:u w:val="dotted"/>
        </w:rPr>
      </w:pPr>
      <w:r w:rsidRPr="00641D7E">
        <w:rPr>
          <w:rFonts w:hint="cs"/>
          <w:u w:val="dotted"/>
          <w:rtl/>
        </w:rPr>
        <w:t>הא</w:t>
      </w:r>
      <w:r>
        <w:rPr>
          <w:rFonts w:hint="cs"/>
          <w:u w:val="dotted"/>
          <w:rtl/>
        </w:rPr>
        <w:t>ם אשה יכולה לומר</w:t>
      </w:r>
      <w:r w:rsidRPr="00641D7E">
        <w:rPr>
          <w:rFonts w:hint="cs"/>
          <w:u w:val="dotted"/>
          <w:rtl/>
        </w:rPr>
        <w:t xml:space="preserve"> </w:t>
      </w:r>
      <w:r w:rsidRPr="00641D7E">
        <w:rPr>
          <w:rFonts w:cs="Arial" w:hint="cs"/>
          <w:u w:val="dotted"/>
          <w:rtl/>
        </w:rPr>
        <w:t>'</w:t>
      </w:r>
      <w:r w:rsidRPr="00641D7E">
        <w:rPr>
          <w:rFonts w:cs="Arial"/>
          <w:u w:val="dotted"/>
          <w:rtl/>
        </w:rPr>
        <w:t>איני נותנת לך פירות</w:t>
      </w:r>
      <w:r>
        <w:rPr>
          <w:rFonts w:cs="Arial" w:hint="cs"/>
          <w:u w:val="dotted"/>
          <w:rtl/>
        </w:rPr>
        <w:t>/כתובה</w:t>
      </w:r>
      <w:r w:rsidRPr="00641D7E">
        <w:rPr>
          <w:rFonts w:cs="Arial"/>
          <w:u w:val="dotted"/>
          <w:rtl/>
        </w:rPr>
        <w:t xml:space="preserve"> ואיני חפ</w:t>
      </w:r>
      <w:r>
        <w:rPr>
          <w:rFonts w:cs="Arial" w:hint="cs"/>
          <w:u w:val="dotted"/>
          <w:rtl/>
        </w:rPr>
        <w:t>צה</w:t>
      </w:r>
      <w:r w:rsidRPr="00641D7E">
        <w:rPr>
          <w:rFonts w:cs="Arial"/>
          <w:u w:val="dotted"/>
          <w:rtl/>
        </w:rPr>
        <w:t xml:space="preserve"> שתפדני</w:t>
      </w:r>
      <w:r>
        <w:rPr>
          <w:rFonts w:cs="Arial" w:hint="cs"/>
          <w:u w:val="dotted"/>
          <w:rtl/>
        </w:rPr>
        <w:t>/תקברני מנכסיך</w:t>
      </w:r>
      <w:r w:rsidRPr="00641D7E">
        <w:rPr>
          <w:rFonts w:hint="cs"/>
          <w:u w:val="dotted"/>
          <w:rtl/>
        </w:rPr>
        <w:t>':</w:t>
      </w:r>
    </w:p>
    <w:p w14:paraId="1A50FF14" w14:textId="77777777" w:rsidR="002E5BAD" w:rsidRDefault="002E5BAD" w:rsidP="002E5BAD">
      <w:pPr>
        <w:pStyle w:val="ab"/>
        <w:numPr>
          <w:ilvl w:val="0"/>
          <w:numId w:val="151"/>
        </w:numPr>
      </w:pPr>
      <w:r>
        <w:rPr>
          <w:rFonts w:cs="Arial" w:hint="cs"/>
          <w:rtl/>
        </w:rPr>
        <w:t xml:space="preserve">טור- </w:t>
      </w:r>
      <w:r w:rsidRPr="00A931CA">
        <w:rPr>
          <w:rFonts w:cs="Arial"/>
          <w:rtl/>
        </w:rPr>
        <w:t>אפי' היא אומרת איני נותנת לך פירות ואיני חפץ שתפדני אם אשבה</w:t>
      </w:r>
      <w:r>
        <w:rPr>
          <w:rFonts w:cs="Arial" w:hint="cs"/>
          <w:rtl/>
        </w:rPr>
        <w:t xml:space="preserve"> -</w:t>
      </w:r>
      <w:r w:rsidRPr="00A931CA">
        <w:rPr>
          <w:rFonts w:cs="Arial"/>
          <w:rtl/>
        </w:rPr>
        <w:t xml:space="preserve"> אין שומעין לה</w:t>
      </w:r>
      <w:r>
        <w:rPr>
          <w:rFonts w:cs="Arial" w:hint="cs"/>
          <w:rtl/>
        </w:rPr>
        <w:t>,</w:t>
      </w:r>
      <w:r w:rsidRPr="00A931CA">
        <w:rPr>
          <w:rFonts w:cs="Arial"/>
          <w:rtl/>
        </w:rPr>
        <w:t xml:space="preserve"> כדי שלא תתערב בין ה</w:t>
      </w:r>
      <w:r>
        <w:rPr>
          <w:rFonts w:cs="Arial" w:hint="cs"/>
          <w:rtl/>
        </w:rPr>
        <w:t>גוי</w:t>
      </w:r>
      <w:r w:rsidRPr="00A931CA">
        <w:rPr>
          <w:rFonts w:cs="Arial"/>
          <w:rtl/>
        </w:rPr>
        <w:t>ם</w:t>
      </w:r>
      <w:r>
        <w:rPr>
          <w:rFonts w:cs="Arial" w:hint="cs"/>
          <w:rtl/>
        </w:rPr>
        <w:t>.</w:t>
      </w:r>
      <w:r w:rsidRPr="00A931CA">
        <w:rPr>
          <w:rFonts w:cs="Arial"/>
          <w:rtl/>
        </w:rPr>
        <w:t xml:space="preserve"> </w:t>
      </w:r>
      <w:r w:rsidRPr="009E49FF">
        <w:rPr>
          <w:rFonts w:hint="cs"/>
          <w:color w:val="E36C0A" w:themeColor="accent6" w:themeShade="BF"/>
          <w:rtl/>
        </w:rPr>
        <w:t>(וכ"פ בשו"ע</w:t>
      </w:r>
      <w:r>
        <w:rPr>
          <w:rFonts w:hint="cs"/>
          <w:color w:val="E36C0A" w:themeColor="accent6" w:themeShade="BF"/>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ה</w:t>
      </w:r>
      <w:r w:rsidRPr="009E49FF">
        <w:rPr>
          <w:rFonts w:hint="cs"/>
          <w:color w:val="000000" w:themeColor="text1"/>
          <w:sz w:val="16"/>
          <w:szCs w:val="16"/>
          <w:rtl/>
        </w:rPr>
        <w:t>]</w:t>
      </w:r>
      <w:r w:rsidRPr="009E49FF">
        <w:rPr>
          <w:rFonts w:hint="cs"/>
          <w:color w:val="E36C0A" w:themeColor="accent6" w:themeShade="BF"/>
          <w:rtl/>
        </w:rPr>
        <w:t>)</w:t>
      </w:r>
    </w:p>
    <w:p w14:paraId="30565C43" w14:textId="77777777" w:rsidR="002E5BAD" w:rsidRDefault="002E5BAD" w:rsidP="002E5BAD">
      <w:pPr>
        <w:pStyle w:val="ab"/>
        <w:numPr>
          <w:ilvl w:val="0"/>
          <w:numId w:val="151"/>
        </w:numPr>
      </w:pPr>
      <w:r>
        <w:rPr>
          <w:rFonts w:cs="Arial"/>
          <w:rtl/>
        </w:rPr>
        <w:t>תוס</w:t>
      </w:r>
      <w:r>
        <w:rPr>
          <w:rFonts w:cs="Arial" w:hint="cs"/>
          <w:rtl/>
        </w:rPr>
        <w:t>' רמב"ן רשב"א הה"מ ור"ן</w:t>
      </w:r>
      <w:r>
        <w:rPr>
          <w:rStyle w:val="a7"/>
          <w:rFonts w:cs="Arial"/>
          <w:rtl/>
        </w:rPr>
        <w:footnoteReference w:id="1041"/>
      </w:r>
      <w:r>
        <w:rPr>
          <w:rFonts w:cs="Arial" w:hint="cs"/>
          <w:rtl/>
        </w:rPr>
        <w:t xml:space="preserve">- </w:t>
      </w:r>
      <w:r>
        <w:rPr>
          <w:rFonts w:cs="Arial"/>
          <w:rtl/>
        </w:rPr>
        <w:t>דע שבפרקונה וקבורתה אין הבעל יכול להנצל מחיובם</w:t>
      </w:r>
      <w:r>
        <w:rPr>
          <w:rFonts w:cs="Arial" w:hint="cs"/>
          <w:rtl/>
        </w:rPr>
        <w:t>,</w:t>
      </w:r>
      <w:r>
        <w:rPr>
          <w:rFonts w:cs="Arial"/>
          <w:rtl/>
        </w:rPr>
        <w:t xml:space="preserve"> ואפילו יניח לה פירותיה וכתובתה</w:t>
      </w:r>
      <w:r>
        <w:rPr>
          <w:rFonts w:cs="Arial" w:hint="cs"/>
          <w:rtl/>
        </w:rPr>
        <w:t>.</w:t>
      </w:r>
      <w:r>
        <w:rPr>
          <w:rFonts w:cs="Arial"/>
          <w:rtl/>
        </w:rPr>
        <w:t xml:space="preserve"> וכן היא אינה יכולה להפקיע ממנו זכות פירות וכתובה אפילו תאמר איני נפדית ואיני נקברת מנכסיו</w:t>
      </w:r>
      <w:r>
        <w:rPr>
          <w:rFonts w:cs="Arial" w:hint="cs"/>
          <w:rtl/>
        </w:rPr>
        <w:t>.</w:t>
      </w:r>
      <w:r>
        <w:rPr>
          <w:rFonts w:hint="cs"/>
          <w:rtl/>
        </w:rPr>
        <w:t xml:space="preserve"> </w:t>
      </w:r>
      <w:r w:rsidRPr="006E6202">
        <w:rPr>
          <w:rFonts w:hint="cs"/>
          <w:color w:val="00B0F0"/>
          <w:rtl/>
        </w:rPr>
        <w:t>(וכ"פ הרמ"א</w:t>
      </w:r>
      <w:r>
        <w:rPr>
          <w:rFonts w:hint="cs"/>
          <w:color w:val="E36C0A" w:themeColor="accent6" w:themeShade="BF"/>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ה</w:t>
      </w:r>
      <w:r w:rsidRPr="009E49FF">
        <w:rPr>
          <w:rFonts w:hint="cs"/>
          <w:color w:val="000000" w:themeColor="text1"/>
          <w:sz w:val="16"/>
          <w:szCs w:val="16"/>
          <w:rtl/>
        </w:rPr>
        <w:t>]</w:t>
      </w:r>
      <w:r w:rsidRPr="006E6202">
        <w:rPr>
          <w:rFonts w:hint="cs"/>
          <w:color w:val="00B0F0"/>
          <w:rtl/>
        </w:rPr>
        <w:t>)</w:t>
      </w:r>
    </w:p>
    <w:p w14:paraId="7C1E407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F9B218B" w14:textId="77777777" w:rsidR="002E5BAD" w:rsidRDefault="002E5BAD" w:rsidP="002E5BAD">
      <w:pPr>
        <w:rPr>
          <w:rFonts w:cs="Arial"/>
          <w:rtl/>
        </w:rPr>
      </w:pPr>
      <w:r>
        <w:rPr>
          <w:rFonts w:cs="Arial"/>
          <w:rtl/>
        </w:rPr>
        <w:t xml:space="preserve">מעשה ידיה כנגד מזונותיה. לפיכך אם אמרה: איני ניזונית ואיני עושה, שומעין לה. </w:t>
      </w:r>
      <w:r w:rsidRPr="00D06DCA">
        <w:rPr>
          <w:rFonts w:cs="Arial"/>
          <w:sz w:val="18"/>
          <w:szCs w:val="18"/>
          <w:rtl/>
        </w:rPr>
        <w:t>הגה: וע"ל סימן פ'. י"א דכל אשה האומרת: איני ניזונית ואיני עושה, נתבטלה התקנה, ואינה יכולה לחזור בה ולומר: אני ניזונית ואני עושה (ב"י בשם הר"ן שכ"כ בשם הרמ"ה). ויש חולקים (רי</w:t>
      </w:r>
      <w:r>
        <w:rPr>
          <w:rFonts w:cs="Arial" w:hint="cs"/>
          <w:sz w:val="18"/>
          <w:szCs w:val="18"/>
          <w:rtl/>
        </w:rPr>
        <w:t>"ו</w:t>
      </w:r>
      <w:r w:rsidRPr="00D06DCA">
        <w:rPr>
          <w:rFonts w:cs="Arial"/>
          <w:sz w:val="18"/>
          <w:szCs w:val="18"/>
          <w:rtl/>
        </w:rPr>
        <w:t xml:space="preserve"> נכ"ג). וכל שאינה ניזונית, אין לה כסות, דהוא בכלל המזונות (שם בהר"ן). </w:t>
      </w:r>
      <w:r>
        <w:rPr>
          <w:rFonts w:cs="Arial"/>
          <w:rtl/>
        </w:rPr>
        <w:t xml:space="preserve">אבל הבעל שאמר: איני זנך ואיני נוטל מעשה ידיך, אין שומעין לו. </w:t>
      </w:r>
      <w:r>
        <w:rPr>
          <w:rFonts w:cs="Arial" w:hint="cs"/>
          <w:sz w:val="18"/>
          <w:szCs w:val="18"/>
          <w:rtl/>
        </w:rPr>
        <w:t xml:space="preserve">[הגה] </w:t>
      </w:r>
      <w:r w:rsidRPr="00D06DCA">
        <w:rPr>
          <w:rFonts w:cs="Arial"/>
          <w:sz w:val="18"/>
          <w:szCs w:val="18"/>
          <w:rtl/>
        </w:rPr>
        <w:t>אבל יוכל לומר: צאי מעשה ידיך במזונותיך, ומה שאינו מספיק אשלים לך (הר"ן פרק הדר).</w:t>
      </w:r>
      <w:r>
        <w:rPr>
          <w:rFonts w:cs="Arial"/>
          <w:rtl/>
        </w:rPr>
        <w:t xml:space="preserve"> </w:t>
      </w:r>
    </w:p>
    <w:p w14:paraId="6D6299F3" w14:textId="77777777" w:rsidR="002E5BAD" w:rsidRDefault="002E5BAD" w:rsidP="002E5BAD">
      <w:pPr>
        <w:rPr>
          <w:rtl/>
        </w:rPr>
      </w:pPr>
    </w:p>
    <w:p w14:paraId="7AB8F1EA" w14:textId="77777777" w:rsidR="002E5BAD" w:rsidRDefault="002E5BAD" w:rsidP="002E5BAD">
      <w:pPr>
        <w:pStyle w:val="2"/>
        <w:rPr>
          <w:rtl/>
        </w:rPr>
      </w:pPr>
      <w:r>
        <w:rPr>
          <w:rtl/>
        </w:rPr>
        <w:t>סעיף ה</w:t>
      </w:r>
      <w:r>
        <w:rPr>
          <w:rFonts w:hint="cs"/>
          <w:rtl/>
        </w:rPr>
        <w:t>: אשה שאומרת ' איני נותנת פירות ואל תפדני'.</w:t>
      </w:r>
    </w:p>
    <w:p w14:paraId="24259AEA" w14:textId="77777777" w:rsidR="002E5BAD" w:rsidRPr="00D06DCA" w:rsidRDefault="002E5BAD" w:rsidP="002E5BAD">
      <w:pPr>
        <w:rPr>
          <w:rtl/>
        </w:rPr>
      </w:pPr>
      <w:r>
        <w:rPr>
          <w:rFonts w:hint="cs"/>
          <w:rtl/>
        </w:rPr>
        <w:t>עיין במקורות בסעיף ד'.</w:t>
      </w:r>
    </w:p>
    <w:p w14:paraId="51B4D50E"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15E4FF5" w14:textId="77777777" w:rsidR="002E5BAD" w:rsidRDefault="002E5BAD" w:rsidP="002E5BAD">
      <w:pPr>
        <w:rPr>
          <w:rtl/>
        </w:rPr>
      </w:pPr>
      <w:r>
        <w:rPr>
          <w:rFonts w:cs="Arial"/>
          <w:rtl/>
        </w:rPr>
        <w:t>אם היא אומרת: איני נותנת לך פירות ואיני חפצה שתפדני אם אשבה, אין שומעין לה, כדי שלא תתערב בין ה</w:t>
      </w:r>
      <w:r>
        <w:rPr>
          <w:rFonts w:cs="Arial" w:hint="cs"/>
          <w:rtl/>
        </w:rPr>
        <w:t>גוים</w:t>
      </w:r>
      <w:r>
        <w:rPr>
          <w:rFonts w:cs="Arial"/>
          <w:rtl/>
        </w:rPr>
        <w:t xml:space="preserve">. </w:t>
      </w:r>
      <w:r>
        <w:rPr>
          <w:rFonts w:cs="Arial" w:hint="cs"/>
          <w:sz w:val="18"/>
          <w:szCs w:val="18"/>
          <w:rtl/>
        </w:rPr>
        <w:t xml:space="preserve">[הגה] </w:t>
      </w:r>
      <w:r w:rsidRPr="006E6202">
        <w:rPr>
          <w:rFonts w:cs="Arial"/>
          <w:sz w:val="18"/>
          <w:szCs w:val="18"/>
          <w:rtl/>
        </w:rPr>
        <w:t xml:space="preserve">וכן בירושה וקבורה, אין אחד מהם יכול לומר: איני קובר ואיני יורש, אלא קובר ויורש (ר"ן פ' נערה). </w:t>
      </w:r>
    </w:p>
    <w:p w14:paraId="3A2E23A0" w14:textId="77777777" w:rsidR="002E5BAD" w:rsidRDefault="002E5BAD" w:rsidP="002E5BAD">
      <w:pPr>
        <w:rPr>
          <w:rtl/>
        </w:rPr>
      </w:pPr>
    </w:p>
    <w:p w14:paraId="17197EC1" w14:textId="77777777" w:rsidR="002E5BAD" w:rsidRDefault="002E5BAD" w:rsidP="002E5BAD">
      <w:pPr>
        <w:pStyle w:val="2"/>
        <w:rPr>
          <w:rtl/>
        </w:rPr>
      </w:pPr>
      <w:r>
        <w:rPr>
          <w:rtl/>
        </w:rPr>
        <w:t>סעיף ו</w:t>
      </w:r>
      <w:r>
        <w:rPr>
          <w:rFonts w:hint="cs"/>
          <w:rtl/>
        </w:rPr>
        <w:t>: התנה עמה שלא יתחייב בדברים שחייבוהו חז"ל, וכן אשה שהתנת עם בעלה כך.</w:t>
      </w:r>
    </w:p>
    <w:p w14:paraId="48206C7B" w14:textId="77777777" w:rsidR="002E5BAD" w:rsidRPr="00BB6FDC" w:rsidRDefault="002E5BAD" w:rsidP="002E5BAD">
      <w:pPr>
        <w:rPr>
          <w:rFonts w:cs="Arial"/>
          <w:rtl/>
        </w:rPr>
      </w:pPr>
      <w:r w:rsidRPr="00BB6FDC">
        <w:rPr>
          <w:rFonts w:cs="Arial" w:hint="cs"/>
          <w:b/>
          <w:bCs/>
          <w:rtl/>
        </w:rPr>
        <w:t xml:space="preserve">כתובות </w:t>
      </w:r>
      <w:r w:rsidRPr="00BB6FDC">
        <w:rPr>
          <w:rFonts w:cs="Arial" w:hint="cs"/>
          <w:b/>
          <w:bCs/>
          <w:sz w:val="16"/>
          <w:szCs w:val="16"/>
          <w:rtl/>
        </w:rPr>
        <w:t>(ר"פ אף על פי)</w:t>
      </w:r>
      <w:r w:rsidRPr="00BB6FDC">
        <w:rPr>
          <w:rFonts w:cs="Arial" w:hint="cs"/>
          <w:b/>
          <w:bCs/>
          <w:rtl/>
        </w:rPr>
        <w:t xml:space="preserve"> נד ע"ב:</w:t>
      </w:r>
      <w:r w:rsidRPr="00BB6FDC">
        <w:rPr>
          <w:rFonts w:cs="Arial" w:hint="cs"/>
          <w:rtl/>
        </w:rPr>
        <w:t xml:space="preserve"> </w:t>
      </w:r>
      <w:r w:rsidRPr="00BB6FDC">
        <w:rPr>
          <w:rFonts w:cs="Arial" w:hint="cs"/>
          <w:u w:val="double"/>
          <w:rtl/>
        </w:rPr>
        <w:t>מתני'</w:t>
      </w:r>
      <w:r w:rsidRPr="00BB6FDC">
        <w:rPr>
          <w:rFonts w:cs="Arial" w:hint="cs"/>
          <w:rtl/>
        </w:rPr>
        <w:t xml:space="preserve">:... </w:t>
      </w:r>
      <w:r w:rsidRPr="00BB6FDC">
        <w:rPr>
          <w:rFonts w:cs="Arial"/>
          <w:u w:val="single"/>
          <w:rtl/>
        </w:rPr>
        <w:t>רבי יהודה אומר</w:t>
      </w:r>
      <w:r w:rsidRPr="00BB6FDC">
        <w:rPr>
          <w:rFonts w:cs="Arial"/>
          <w:rtl/>
        </w:rPr>
        <w:t>: אם רצה, כותב לבתולה שטר של מאתים והיא כותבת התקבלתי ממך מנה, ולאלמנה מנה והיא כותבת התקבלתי ממך חמשים זוז</w:t>
      </w:r>
      <w:r w:rsidRPr="00BB6FDC">
        <w:rPr>
          <w:rFonts w:cs="Arial" w:hint="cs"/>
          <w:rtl/>
        </w:rPr>
        <w:t>.</w:t>
      </w:r>
      <w:r w:rsidRPr="00BB6FDC">
        <w:rPr>
          <w:rFonts w:cs="Arial"/>
          <w:rtl/>
        </w:rPr>
        <w:t xml:space="preserve"> </w:t>
      </w:r>
      <w:r w:rsidRPr="00BB6FDC">
        <w:rPr>
          <w:rFonts w:cs="Arial"/>
          <w:u w:val="single"/>
          <w:rtl/>
        </w:rPr>
        <w:t>רבי מאיר אומר</w:t>
      </w:r>
      <w:r w:rsidRPr="00BB6FDC">
        <w:rPr>
          <w:rFonts w:cs="Arial"/>
          <w:rtl/>
        </w:rPr>
        <w:t>: כל הפוחת לבתולה ממאתים, ולאלמנה ממנה - הרי זו בעילת זנות.</w:t>
      </w:r>
      <w:r w:rsidRPr="00BB6FDC">
        <w:rPr>
          <w:rFonts w:cs="Arial" w:hint="cs"/>
          <w:rtl/>
        </w:rPr>
        <w:t xml:space="preserve">     </w:t>
      </w:r>
      <w:r w:rsidRPr="00BB6FDC">
        <w:rPr>
          <w:rFonts w:cs="Arial" w:hint="cs"/>
          <w:u w:val="double"/>
          <w:rtl/>
        </w:rPr>
        <w:t>גמ'</w:t>
      </w:r>
      <w:r w:rsidRPr="00BB6FDC">
        <w:rPr>
          <w:rFonts w:cs="Arial" w:hint="cs"/>
          <w:sz w:val="14"/>
          <w:szCs w:val="14"/>
          <w:u w:val="double"/>
          <w:rtl/>
        </w:rPr>
        <w:t>(נו:)</w:t>
      </w:r>
      <w:r w:rsidRPr="00BB6FDC">
        <w:rPr>
          <w:rFonts w:cs="Arial" w:hint="cs"/>
          <w:u w:val="double"/>
          <w:rtl/>
        </w:rPr>
        <w:t>:</w:t>
      </w:r>
      <w:r w:rsidRPr="00BB6FDC">
        <w:rPr>
          <w:rFonts w:cs="Arial" w:hint="cs"/>
          <w:rtl/>
        </w:rPr>
        <w:t xml:space="preserve"> </w:t>
      </w:r>
      <w:r w:rsidRPr="00BB6FDC">
        <w:rPr>
          <w:rFonts w:cs="Arial"/>
          <w:rtl/>
        </w:rPr>
        <w:t>ר' מאיר אומר: כל הפוחת וכו'. כל הפוחת אפי' בתנאה, אלמא קסבר: תנאו בטל ואית לה, וכיון דאמר לה לית ליך אלא מנה לא סמכא דעתה, והויא לה בעילתו בעילת זנות; והא שמעינן ליה לרבי מאיר דאמר: כל המתנה על מה שכתוב בתורה תנאו בטל, הא בדרבנן תנאו קיים! קסבר ר' מאיר: כתובה דאורייתא.</w:t>
      </w:r>
    </w:p>
    <w:p w14:paraId="1EEE97A2" w14:textId="77777777" w:rsidR="002E5BAD" w:rsidRPr="00BB6FDC" w:rsidRDefault="002E5BAD" w:rsidP="002E5BAD">
      <w:pPr>
        <w:rPr>
          <w:rFonts w:cs="Arial"/>
        </w:rPr>
      </w:pPr>
      <w:r w:rsidRPr="00BB6FDC">
        <w:rPr>
          <w:rFonts w:cs="Arial" w:hint="cs"/>
          <w:b/>
          <w:bCs/>
          <w:rtl/>
        </w:rPr>
        <w:t xml:space="preserve">כתובות </w:t>
      </w:r>
      <w:r w:rsidRPr="00BB6FDC">
        <w:rPr>
          <w:rFonts w:cs="Arial" w:hint="cs"/>
          <w:b/>
          <w:bCs/>
          <w:sz w:val="16"/>
          <w:szCs w:val="16"/>
          <w:rtl/>
        </w:rPr>
        <w:t>(פ' אף על פי)</w:t>
      </w:r>
      <w:r w:rsidRPr="00BB6FDC">
        <w:rPr>
          <w:rFonts w:cs="Arial" w:hint="cs"/>
          <w:b/>
          <w:bCs/>
          <w:rtl/>
        </w:rPr>
        <w:t xml:space="preserve"> נו ע"א:</w:t>
      </w:r>
      <w:r w:rsidRPr="00BB6FDC">
        <w:rPr>
          <w:rFonts w:cs="Arial" w:hint="cs"/>
          <w:rtl/>
        </w:rPr>
        <w:t xml:space="preserve"> </w:t>
      </w:r>
      <w:r w:rsidRPr="00BB6FDC">
        <w:rPr>
          <w:rFonts w:cs="Arial"/>
          <w:rtl/>
        </w:rPr>
        <w:t xml:space="preserve">ושמעינן ליה לר' יהודה דאמר: דבר שבממון תנאו קיים! דתניא: האומר לאשה הרי את מקודשת לי על מנת שאין ליך עלי שאר כסות ועונה - הרי זו מקודשת ותנאו בטל, </w:t>
      </w:r>
      <w:r w:rsidRPr="00BB6FDC">
        <w:rPr>
          <w:rFonts w:cs="Arial"/>
          <w:u w:val="single"/>
          <w:rtl/>
        </w:rPr>
        <w:t>דברי רבי מאיר</w:t>
      </w:r>
      <w:r w:rsidRPr="00BB6FDC">
        <w:rPr>
          <w:rFonts w:cs="Arial"/>
          <w:rtl/>
        </w:rPr>
        <w:t xml:space="preserve">, </w:t>
      </w:r>
      <w:r w:rsidRPr="00BB6FDC">
        <w:rPr>
          <w:rFonts w:cs="Arial"/>
          <w:u w:val="single"/>
          <w:rtl/>
        </w:rPr>
        <w:t>ר' יהודה אומר</w:t>
      </w:r>
      <w:r w:rsidRPr="00BB6FDC">
        <w:rPr>
          <w:rFonts w:cs="Arial"/>
          <w:rtl/>
        </w:rPr>
        <w:t xml:space="preserve">: בדבר שבממון תנאו קיים! קסבר רבי יהודה: כתובה דרבנן, וחכמים עשו חיזוק לדבריהם יותר משל תורה. </w:t>
      </w:r>
    </w:p>
    <w:p w14:paraId="423BD960" w14:textId="77777777" w:rsidR="002E5BAD" w:rsidRPr="00B40894" w:rsidRDefault="002E5BAD" w:rsidP="002E5BAD">
      <w:pPr>
        <w:rPr>
          <w:u w:val="single"/>
        </w:rPr>
      </w:pPr>
      <w:r w:rsidRPr="00B40894">
        <w:rPr>
          <w:rFonts w:cs="Arial"/>
          <w:u w:val="single"/>
          <w:rtl/>
        </w:rPr>
        <w:t xml:space="preserve">בעל </w:t>
      </w:r>
      <w:r w:rsidRPr="00B40894">
        <w:rPr>
          <w:rFonts w:cs="Arial" w:hint="cs"/>
          <w:u w:val="single"/>
          <w:rtl/>
        </w:rPr>
        <w:t xml:space="preserve">שהתנה </w:t>
      </w:r>
      <w:r w:rsidRPr="00B40894">
        <w:rPr>
          <w:rFonts w:cs="Arial"/>
          <w:u w:val="single"/>
          <w:rtl/>
        </w:rPr>
        <w:t>כשנשאה שלא יתחייב בדברים שהוא חייב</w:t>
      </w:r>
      <w:r w:rsidRPr="00B40894">
        <w:rPr>
          <w:rFonts w:cs="Arial" w:hint="cs"/>
          <w:u w:val="single"/>
          <w:rtl/>
        </w:rPr>
        <w:t>,</w:t>
      </w:r>
      <w:r w:rsidRPr="00B40894">
        <w:rPr>
          <w:rFonts w:cs="Arial"/>
          <w:u w:val="single"/>
          <w:rtl/>
        </w:rPr>
        <w:t xml:space="preserve"> או </w:t>
      </w:r>
      <w:r w:rsidRPr="00B40894">
        <w:rPr>
          <w:rFonts w:cs="Arial" w:hint="cs"/>
          <w:u w:val="single"/>
          <w:rtl/>
        </w:rPr>
        <w:t xml:space="preserve">שהאשה </w:t>
      </w:r>
      <w:r w:rsidRPr="00B40894">
        <w:rPr>
          <w:rFonts w:cs="Arial"/>
          <w:u w:val="single"/>
          <w:rtl/>
        </w:rPr>
        <w:t>התנית שלא יזכה הבעל בדברים שיש לו לזכות</w:t>
      </w:r>
      <w:r w:rsidRPr="00B40894">
        <w:rPr>
          <w:rFonts w:cs="Arial" w:hint="cs"/>
          <w:u w:val="single"/>
          <w:rtl/>
        </w:rPr>
        <w:t>:</w:t>
      </w:r>
    </w:p>
    <w:p w14:paraId="0D0F0235" w14:textId="77777777" w:rsidR="002E5BAD" w:rsidRPr="00866602" w:rsidRDefault="002E5BAD" w:rsidP="002E5BAD">
      <w:pPr>
        <w:pStyle w:val="ab"/>
        <w:numPr>
          <w:ilvl w:val="0"/>
          <w:numId w:val="151"/>
        </w:numPr>
        <w:rPr>
          <w:rFonts w:cs="Arial"/>
        </w:rPr>
      </w:pPr>
      <w:r>
        <w:rPr>
          <w:rFonts w:cs="Arial"/>
          <w:rtl/>
        </w:rPr>
        <w:lastRenderedPageBreak/>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"ו-ט</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F65A00">
        <w:rPr>
          <w:rFonts w:cs="Arial"/>
          <w:rtl/>
        </w:rPr>
        <w:t>התנה הבעל שלא יתחייב באחד מן הדברים שהוא חייב בהן</w:t>
      </w:r>
      <w:r>
        <w:rPr>
          <w:rFonts w:cs="Arial" w:hint="cs"/>
          <w:rtl/>
        </w:rPr>
        <w:t>,</w:t>
      </w:r>
      <w:r w:rsidRPr="00F65A00">
        <w:rPr>
          <w:rFonts w:cs="Arial"/>
          <w:rtl/>
        </w:rPr>
        <w:t xml:space="preserve"> או שהתנת האשה שלא יזכה הבעל באחד מן הדברים שהוא זוכה בהם </w:t>
      </w:r>
      <w:r>
        <w:rPr>
          <w:rFonts w:cs="Arial" w:hint="cs"/>
          <w:rtl/>
        </w:rPr>
        <w:t xml:space="preserve">- </w:t>
      </w:r>
      <w:r w:rsidRPr="00F65A00">
        <w:rPr>
          <w:rFonts w:cs="Arial"/>
          <w:rtl/>
        </w:rPr>
        <w:t>התנאי קיים</w:t>
      </w:r>
      <w:r>
        <w:rPr>
          <w:rStyle w:val="a7"/>
          <w:rFonts w:cs="Arial"/>
          <w:rtl/>
        </w:rPr>
        <w:footnoteReference w:id="1042"/>
      </w:r>
      <w:r w:rsidRPr="00F65A00">
        <w:rPr>
          <w:rFonts w:cs="Arial"/>
          <w:rtl/>
        </w:rPr>
        <w:t xml:space="preserve"> חוץ משלשה דברים שאין התנאי מועיל בהן, וכל המתנה עליהן תנאו בטל ואלו הן</w:t>
      </w:r>
      <w:r>
        <w:rPr>
          <w:rFonts w:cs="Arial" w:hint="cs"/>
          <w:rtl/>
        </w:rPr>
        <w:t>:</w:t>
      </w:r>
      <w:r w:rsidRPr="00F65A00">
        <w:rPr>
          <w:rFonts w:cs="Arial"/>
          <w:rtl/>
        </w:rPr>
        <w:t xml:space="preserve"> עונתה</w:t>
      </w:r>
      <w:r>
        <w:rPr>
          <w:rFonts w:cs="Arial" w:hint="cs"/>
          <w:rtl/>
        </w:rPr>
        <w:t>,</w:t>
      </w:r>
      <w:r w:rsidRPr="00F65A00">
        <w:rPr>
          <w:rFonts w:cs="Arial"/>
          <w:rtl/>
        </w:rPr>
        <w:t xml:space="preserve"> ועיקר כתובתה</w:t>
      </w:r>
      <w:r>
        <w:rPr>
          <w:rFonts w:cs="Arial" w:hint="cs"/>
          <w:rtl/>
        </w:rPr>
        <w:t>,</w:t>
      </w:r>
      <w:r w:rsidRPr="00F65A00">
        <w:rPr>
          <w:rFonts w:cs="Arial"/>
          <w:rtl/>
        </w:rPr>
        <w:t xml:space="preserve"> וירושתה. </w:t>
      </w:r>
      <w:r w:rsidRPr="00866602">
        <w:rPr>
          <w:rFonts w:cs="Arial"/>
          <w:rtl/>
        </w:rPr>
        <w:t>כיצד</w:t>
      </w:r>
      <w:r>
        <w:rPr>
          <w:rFonts w:cs="Arial" w:hint="cs"/>
          <w:rtl/>
        </w:rPr>
        <w:t>,</w:t>
      </w:r>
      <w:r w:rsidRPr="00866602">
        <w:rPr>
          <w:rFonts w:cs="Arial"/>
          <w:rtl/>
        </w:rPr>
        <w:t xml:space="preserve"> התנה עם האשה שאין לה עליו עונה </w:t>
      </w:r>
      <w:r w:rsidRPr="00866602">
        <w:rPr>
          <w:rFonts w:cs="Arial" w:hint="cs"/>
          <w:rtl/>
        </w:rPr>
        <w:t xml:space="preserve">- </w:t>
      </w:r>
      <w:r w:rsidRPr="00866602">
        <w:rPr>
          <w:rFonts w:cs="Arial"/>
          <w:rtl/>
        </w:rPr>
        <w:t>תנאו בטל</w:t>
      </w:r>
      <w:r w:rsidRPr="00866602">
        <w:rPr>
          <w:rFonts w:cs="Arial" w:hint="cs"/>
          <w:rtl/>
        </w:rPr>
        <w:t>,</w:t>
      </w:r>
      <w:r w:rsidRPr="00866602">
        <w:rPr>
          <w:rFonts w:cs="Arial"/>
          <w:rtl/>
        </w:rPr>
        <w:t xml:space="preserve"> וחייב בעונתה</w:t>
      </w:r>
      <w:r w:rsidRPr="00866602">
        <w:rPr>
          <w:rFonts w:cs="Arial" w:hint="cs"/>
          <w:rtl/>
        </w:rPr>
        <w:t>,</w:t>
      </w:r>
      <w:r w:rsidRPr="00866602">
        <w:rPr>
          <w:rFonts w:cs="Arial"/>
          <w:rtl/>
        </w:rPr>
        <w:t xml:space="preserve"> שהרי התנה על מה שכתוב בתורה ואינו תנאי ממון</w:t>
      </w:r>
      <w:r>
        <w:rPr>
          <w:rStyle w:val="a7"/>
          <w:rFonts w:cs="Arial"/>
          <w:rtl/>
        </w:rPr>
        <w:footnoteReference w:id="1043"/>
      </w:r>
      <w:r w:rsidRPr="00866602">
        <w:rPr>
          <w:rFonts w:cs="Arial"/>
          <w:rtl/>
        </w:rPr>
        <w:t>. התנה עמה לפחות מעיקר כתובה</w:t>
      </w:r>
      <w:r w:rsidRPr="00866602">
        <w:rPr>
          <w:rFonts w:cs="Arial" w:hint="cs"/>
          <w:rtl/>
        </w:rPr>
        <w:t>,</w:t>
      </w:r>
      <w:r w:rsidRPr="00866602">
        <w:rPr>
          <w:rFonts w:cs="Arial"/>
          <w:rtl/>
        </w:rPr>
        <w:t xml:space="preserve"> או שכתב לה מאתים או מאה עיקר כתובה וכתבה לו שנתקבלה מהן כך וכך והיא לא נתקבלה </w:t>
      </w:r>
      <w:r w:rsidRPr="00866602">
        <w:rPr>
          <w:rFonts w:cs="Arial" w:hint="cs"/>
          <w:rtl/>
        </w:rPr>
        <w:t xml:space="preserve">- </w:t>
      </w:r>
      <w:r w:rsidRPr="00866602">
        <w:rPr>
          <w:rFonts w:cs="Arial"/>
          <w:rtl/>
        </w:rPr>
        <w:t>תנאו בטל</w:t>
      </w:r>
      <w:r w:rsidRPr="00866602">
        <w:rPr>
          <w:rFonts w:cs="Arial" w:hint="cs"/>
          <w:rtl/>
        </w:rPr>
        <w:t>,</w:t>
      </w:r>
      <w:r w:rsidRPr="00866602">
        <w:rPr>
          <w:rFonts w:cs="Arial"/>
          <w:rtl/>
        </w:rPr>
        <w:t xml:space="preserve"> שכל הפוחת לבתולה ממאתים ולאלמנה ממנה הרי זו בעילת זנות</w:t>
      </w:r>
      <w:r>
        <w:rPr>
          <w:rStyle w:val="a7"/>
          <w:rFonts w:cs="Arial"/>
          <w:rtl/>
        </w:rPr>
        <w:footnoteReference w:id="1044"/>
      </w:r>
      <w:r w:rsidRPr="00866602">
        <w:rPr>
          <w:rFonts w:cs="Arial"/>
          <w:rtl/>
        </w:rPr>
        <w:t xml:space="preserve">. התנת עמו אחר שנשאה שלא יירשנה </w:t>
      </w:r>
      <w:r w:rsidRPr="00866602">
        <w:rPr>
          <w:rFonts w:cs="Arial" w:hint="cs"/>
          <w:rtl/>
        </w:rPr>
        <w:t xml:space="preserve">- </w:t>
      </w:r>
      <w:r w:rsidRPr="00866602">
        <w:rPr>
          <w:rFonts w:cs="Arial"/>
          <w:rtl/>
        </w:rPr>
        <w:t>תנאה בטל</w:t>
      </w:r>
      <w:r w:rsidRPr="00866602">
        <w:rPr>
          <w:rFonts w:cs="Arial" w:hint="cs"/>
          <w:rtl/>
        </w:rPr>
        <w:t>,</w:t>
      </w:r>
      <w:r w:rsidRPr="00866602">
        <w:rPr>
          <w:rFonts w:cs="Arial"/>
          <w:rtl/>
        </w:rPr>
        <w:t xml:space="preserve"> ואף על פי שירושת הבעל מדברי סופרים עשו חיזוק לדבריהם כשל תורה, וכל תנאי שבירושה בטל אף על פי שהוא ממון שנ</w:t>
      </w:r>
      <w:r w:rsidRPr="00866602">
        <w:rPr>
          <w:rFonts w:cs="Arial" w:hint="cs"/>
          <w:rtl/>
        </w:rPr>
        <w:t>אמר</w:t>
      </w:r>
      <w:r w:rsidRPr="00866602">
        <w:rPr>
          <w:rFonts w:cs="Arial"/>
          <w:rtl/>
        </w:rPr>
        <w:t xml:space="preserve"> בה </w:t>
      </w:r>
      <w:r w:rsidRPr="00866602">
        <w:rPr>
          <w:rFonts w:cs="Arial" w:hint="cs"/>
          <w:sz w:val="16"/>
          <w:szCs w:val="16"/>
          <w:rtl/>
        </w:rPr>
        <w:t>(</w:t>
      </w:r>
      <w:r w:rsidRPr="00866602">
        <w:rPr>
          <w:rFonts w:cs="Arial"/>
          <w:sz w:val="16"/>
          <w:szCs w:val="16"/>
          <w:rtl/>
        </w:rPr>
        <w:t>במדבר כז</w:t>
      </w:r>
      <w:r w:rsidRPr="00866602">
        <w:rPr>
          <w:rFonts w:cs="Arial" w:hint="cs"/>
          <w:sz w:val="16"/>
          <w:szCs w:val="16"/>
          <w:rtl/>
        </w:rPr>
        <w:t xml:space="preserve"> יא)</w:t>
      </w:r>
      <w:r w:rsidRPr="00866602">
        <w:rPr>
          <w:rFonts w:cs="Arial" w:hint="cs"/>
          <w:rtl/>
        </w:rPr>
        <w:t xml:space="preserve"> </w:t>
      </w:r>
      <w:r w:rsidRPr="00866602">
        <w:rPr>
          <w:rFonts w:cs="Arial"/>
          <w:rtl/>
        </w:rPr>
        <w:t>לחקת משפט</w:t>
      </w:r>
      <w:r w:rsidRPr="00866602">
        <w:rPr>
          <w:rFonts w:cs="Arial" w:hint="cs"/>
          <w:rtl/>
        </w:rPr>
        <w:t>.</w:t>
      </w:r>
      <w:r w:rsidRPr="00866602">
        <w:rPr>
          <w:rFonts w:cs="Arial"/>
          <w:rtl/>
        </w:rPr>
        <w:t xml:space="preserve"> ובשאר הדברים תנאו קיים, כגון שהתנה עמה שאין לה שאר וכסות, על מנת שלא יאכל פירות נכסיה, וכל כיוצא בזה תנאו קיים</w:t>
      </w:r>
      <w:r>
        <w:rPr>
          <w:rFonts w:cs="Arial" w:hint="cs"/>
          <w:sz w:val="16"/>
          <w:szCs w:val="16"/>
          <w:rtl/>
        </w:rPr>
        <w:t xml:space="preserve"> (ל' הרמב"ם)</w:t>
      </w:r>
      <w:r w:rsidRPr="00866602">
        <w:rPr>
          <w:rFonts w:cs="Arial"/>
          <w:rtl/>
        </w:rPr>
        <w:t xml:space="preserve">. </w:t>
      </w:r>
      <w:r w:rsidRPr="00D70827">
        <w:rPr>
          <w:rFonts w:cs="Arial" w:hint="cs"/>
          <w:color w:val="E36C0A" w:themeColor="accent6" w:themeShade="BF"/>
          <w:rtl/>
        </w:rPr>
        <w:t>(וכ"פ בשו"ע)</w:t>
      </w:r>
    </w:p>
    <w:p w14:paraId="13D465ED" w14:textId="77777777" w:rsidR="002E5BAD" w:rsidRDefault="002E5BAD" w:rsidP="002E5BAD">
      <w:pPr>
        <w:pStyle w:val="ab"/>
        <w:numPr>
          <w:ilvl w:val="0"/>
          <w:numId w:val="151"/>
        </w:numPr>
        <w:rPr>
          <w:rtl/>
        </w:rPr>
      </w:pPr>
      <w:r w:rsidRPr="00F65A00">
        <w:rPr>
          <w:rFonts w:cs="Arial"/>
          <w:rtl/>
        </w:rPr>
        <w:t>ראב"ד</w:t>
      </w:r>
      <w:r>
        <w:rPr>
          <w:rFonts w:cs="Arial" w:hint="cs"/>
          <w:rtl/>
        </w:rPr>
        <w:t>-</w:t>
      </w:r>
      <w:r w:rsidRPr="00F65A00">
        <w:rPr>
          <w:rFonts w:cs="Arial"/>
          <w:rtl/>
        </w:rPr>
        <w:t xml:space="preserve"> וכל תנאי שבירושה בטל אף על פי שהוא ממון שנא' לחוקת משפט. א"א חסרון דעת אני רואה בכאן ומה צורך לחקת משפט והיאך אדם יכול להתנות על דבר שלא בא לעולם ואיך יאמר לאביו או לאחד ממורישיו דין ודברים אין לי בנכסים אחר מיתתכם ואין אדם מקנה מה שאין לו בו שום זכות. </w:t>
      </w:r>
    </w:p>
    <w:p w14:paraId="5656F13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06FB233" w14:textId="77777777" w:rsidR="002E5BAD" w:rsidRDefault="002E5BAD" w:rsidP="002E5BAD">
      <w:pPr>
        <w:rPr>
          <w:rFonts w:cs="Arial"/>
          <w:rtl/>
        </w:rPr>
      </w:pPr>
      <w:r>
        <w:rPr>
          <w:rFonts w:cs="Arial"/>
          <w:rtl/>
        </w:rPr>
        <w:t>התנה הבעל שלא יתחייב באחד מהדברים שהוא חייב בהם, או שהתנית האשה שלא יזכה הבעל באחד מהדברים שהוא זוכה בהם, התנאי קיים, חוץ מג' דברים שאין התנאי מועיל בהם, ואלו הם: עונתה, ועיקר כתובתה, וירושתה.</w:t>
      </w:r>
    </w:p>
    <w:p w14:paraId="381440B8" w14:textId="77777777" w:rsidR="002E5BAD" w:rsidRDefault="002E5BAD" w:rsidP="002E5BAD">
      <w:pPr>
        <w:rPr>
          <w:rtl/>
        </w:rPr>
      </w:pPr>
      <w:r>
        <w:rPr>
          <w:rFonts w:cs="Arial"/>
          <w:rtl/>
        </w:rPr>
        <w:t xml:space="preserve"> </w:t>
      </w:r>
    </w:p>
    <w:p w14:paraId="7C03A5C9" w14:textId="77777777" w:rsidR="002E5BAD" w:rsidRDefault="002E5BAD" w:rsidP="002E5BAD">
      <w:pPr>
        <w:pStyle w:val="2"/>
        <w:rPr>
          <w:rtl/>
        </w:rPr>
      </w:pPr>
      <w:r>
        <w:rPr>
          <w:rtl/>
        </w:rPr>
        <w:t>סעיף ז</w:t>
      </w:r>
      <w:r>
        <w:rPr>
          <w:rFonts w:hint="cs"/>
          <w:rtl/>
        </w:rPr>
        <w:t>: התנה עמה להסתלק מירושתה בין אירוסין לנישואין.</w:t>
      </w:r>
    </w:p>
    <w:p w14:paraId="32FC1325" w14:textId="77777777" w:rsidR="002E5BAD" w:rsidRDefault="002E5BAD" w:rsidP="002E5BAD">
      <w:pPr>
        <w:rPr>
          <w:rFonts w:cs="Arial"/>
          <w:rtl/>
        </w:rPr>
      </w:pPr>
      <w:r>
        <w:rPr>
          <w:rFonts w:cs="Arial" w:hint="cs"/>
          <w:b/>
          <w:bCs/>
          <w:rtl/>
        </w:rPr>
        <w:t>כתובות</w:t>
      </w:r>
      <w:r w:rsidRPr="0031604C">
        <w:rPr>
          <w:rFonts w:cs="Arial" w:hint="cs"/>
          <w:b/>
          <w:bCs/>
          <w:sz w:val="16"/>
          <w:szCs w:val="16"/>
          <w:rtl/>
        </w:rPr>
        <w:t xml:space="preserve"> (ר"פ הכותב) </w:t>
      </w:r>
      <w:r>
        <w:rPr>
          <w:rFonts w:cs="Arial" w:hint="cs"/>
          <w:b/>
          <w:bCs/>
          <w:rtl/>
        </w:rPr>
        <w:t>פג ע"א:</w:t>
      </w:r>
      <w:r>
        <w:rPr>
          <w:rFonts w:cs="Arial" w:hint="cs"/>
          <w:rtl/>
        </w:rPr>
        <w:t xml:space="preserve"> </w:t>
      </w:r>
      <w:r w:rsidRPr="0031604C">
        <w:rPr>
          <w:rFonts w:cs="Arial"/>
          <w:u w:val="double"/>
          <w:rtl/>
        </w:rPr>
        <w:t>מתני'</w:t>
      </w:r>
      <w:r>
        <w:rPr>
          <w:rFonts w:cs="Arial" w:hint="cs"/>
          <w:rtl/>
        </w:rPr>
        <w:t>:...</w:t>
      </w:r>
      <w:r w:rsidRPr="0031604C">
        <w:rPr>
          <w:rFonts w:cs="Arial"/>
          <w:rtl/>
        </w:rPr>
        <w:t xml:space="preserve"> כתב לה דין ודברים אין לי בנכסיך ובפירותיהן ובפירי פירותיהן בחייך ובמותך - אינו אוכל פירות בחייה, ואם מתה - אינו יורשה</w:t>
      </w:r>
      <w:r>
        <w:rPr>
          <w:rFonts w:cs="Arial" w:hint="cs"/>
          <w:rtl/>
        </w:rPr>
        <w:t>.</w:t>
      </w:r>
      <w:r w:rsidRPr="0031604C">
        <w:rPr>
          <w:rFonts w:cs="Arial"/>
          <w:rtl/>
        </w:rPr>
        <w:t xml:space="preserve"> </w:t>
      </w:r>
      <w:r w:rsidRPr="0031604C">
        <w:rPr>
          <w:rFonts w:cs="Arial"/>
          <w:u w:val="single"/>
          <w:rtl/>
        </w:rPr>
        <w:t>רשב"ג אומר</w:t>
      </w:r>
      <w:r w:rsidRPr="0031604C">
        <w:rPr>
          <w:rFonts w:cs="Arial"/>
          <w:rtl/>
        </w:rPr>
        <w:t xml:space="preserve">: אם מתה - יירשנה, מפני שמתנה על מה שכתוב בתורה, וכל המתנה על מה שכתוב בתורה - תנאו בטל. </w:t>
      </w:r>
      <w:r>
        <w:rPr>
          <w:rFonts w:cs="Arial" w:hint="cs"/>
          <w:rtl/>
        </w:rPr>
        <w:t xml:space="preserve">      </w:t>
      </w:r>
      <w:r w:rsidRPr="0031604C">
        <w:rPr>
          <w:rFonts w:cs="Arial"/>
          <w:u w:val="double"/>
          <w:rtl/>
        </w:rPr>
        <w:t>גמ'</w:t>
      </w:r>
      <w:r>
        <w:rPr>
          <w:rFonts w:cs="Arial" w:hint="cs"/>
          <w:rtl/>
        </w:rPr>
        <w:t>:</w:t>
      </w:r>
      <w:r w:rsidRPr="0031604C">
        <w:rPr>
          <w:rFonts w:cs="Arial"/>
          <w:rtl/>
        </w:rPr>
        <w:t xml:space="preserve"> </w:t>
      </w:r>
      <w:r w:rsidRPr="0031604C">
        <w:rPr>
          <w:rFonts w:cs="Arial"/>
          <w:u w:val="single"/>
          <w:rtl/>
        </w:rPr>
        <w:t>תני רבי חייא</w:t>
      </w:r>
      <w:r w:rsidRPr="0031604C">
        <w:rPr>
          <w:rFonts w:cs="Arial"/>
          <w:rtl/>
        </w:rPr>
        <w:t>: האומר לאשתו</w:t>
      </w:r>
      <w:r>
        <w:rPr>
          <w:rStyle w:val="a7"/>
          <w:rFonts w:cs="Arial"/>
          <w:rtl/>
        </w:rPr>
        <w:footnoteReference w:id="1045"/>
      </w:r>
      <w:r w:rsidRPr="0031604C">
        <w:rPr>
          <w:rFonts w:cs="Arial"/>
          <w:rtl/>
        </w:rPr>
        <w:t>. וכי כתב לה הכי מאי הוי</w:t>
      </w:r>
      <w:r>
        <w:rPr>
          <w:rStyle w:val="a7"/>
          <w:rFonts w:cs="Arial"/>
          <w:rtl/>
        </w:rPr>
        <w:footnoteReference w:id="1046"/>
      </w:r>
      <w:r w:rsidRPr="0031604C">
        <w:rPr>
          <w:rFonts w:cs="Arial"/>
          <w:rtl/>
        </w:rPr>
        <w:t>? והתניא: האומר לחבירו</w:t>
      </w:r>
      <w:r>
        <w:rPr>
          <w:rStyle w:val="a7"/>
          <w:rFonts w:cs="Arial"/>
          <w:rtl/>
        </w:rPr>
        <w:footnoteReference w:id="1047"/>
      </w:r>
      <w:r w:rsidRPr="0031604C">
        <w:rPr>
          <w:rFonts w:cs="Arial"/>
          <w:rtl/>
        </w:rPr>
        <w:t xml:space="preserve"> דין ודברים אין לי על שדה זו, ואין לי עסק בה, וידי מסולקת הימנה - לא אמר כלום</w:t>
      </w:r>
      <w:r>
        <w:rPr>
          <w:rStyle w:val="a7"/>
          <w:rFonts w:cs="Arial"/>
          <w:rtl/>
        </w:rPr>
        <w:footnoteReference w:id="1048"/>
      </w:r>
      <w:r w:rsidRPr="0031604C">
        <w:rPr>
          <w:rFonts w:cs="Arial"/>
          <w:rtl/>
        </w:rPr>
        <w:t xml:space="preserve">! </w:t>
      </w:r>
      <w:r w:rsidRPr="0031604C">
        <w:rPr>
          <w:rFonts w:cs="Arial"/>
          <w:u w:val="single"/>
          <w:rtl/>
        </w:rPr>
        <w:t>אמרי דבי רבי ינאי</w:t>
      </w:r>
      <w:r w:rsidRPr="0031604C">
        <w:rPr>
          <w:rFonts w:cs="Arial"/>
          <w:rtl/>
        </w:rPr>
        <w:t>: בכותב לה ועודה ארוסה</w:t>
      </w:r>
      <w:r>
        <w:rPr>
          <w:rStyle w:val="a7"/>
          <w:rFonts w:cs="Arial"/>
          <w:rtl/>
        </w:rPr>
        <w:footnoteReference w:id="1049"/>
      </w:r>
      <w:r>
        <w:rPr>
          <w:rFonts w:cs="Arial" w:hint="cs"/>
          <w:rtl/>
        </w:rPr>
        <w:t>.</w:t>
      </w:r>
      <w:r w:rsidRPr="0031604C">
        <w:rPr>
          <w:rFonts w:cs="Arial"/>
          <w:rtl/>
        </w:rPr>
        <w:t xml:space="preserve"> כדרב כהנא, דאמר רב כהנא: נחלה הבאה לאדם ממקום אחר</w:t>
      </w:r>
      <w:r>
        <w:rPr>
          <w:rStyle w:val="a7"/>
          <w:rFonts w:cs="Arial"/>
          <w:rtl/>
        </w:rPr>
        <w:footnoteReference w:id="1050"/>
      </w:r>
      <w:r w:rsidRPr="0031604C">
        <w:rPr>
          <w:rFonts w:cs="Arial"/>
          <w:rtl/>
        </w:rPr>
        <w:t>, אדם מתנה עליה שלא יירשנה</w:t>
      </w:r>
      <w:r>
        <w:rPr>
          <w:rFonts w:cs="Arial" w:hint="cs"/>
          <w:rtl/>
        </w:rPr>
        <w:t>...</w:t>
      </w:r>
      <w:r>
        <w:rPr>
          <w:rFonts w:cs="Arial" w:hint="cs"/>
          <w:sz w:val="14"/>
          <w:szCs w:val="14"/>
          <w:rtl/>
        </w:rPr>
        <w:t xml:space="preserve"> (פג:)</w:t>
      </w:r>
      <w:r w:rsidRPr="0031604C">
        <w:rPr>
          <w:rFonts w:cs="Arial"/>
          <w:rtl/>
        </w:rPr>
        <w:t xml:space="preserve"> </w:t>
      </w:r>
      <w:r w:rsidRPr="00DA7271">
        <w:rPr>
          <w:rFonts w:cs="Arial"/>
          <w:rtl/>
        </w:rPr>
        <w:t xml:space="preserve">רבן שמעון בן גמליאל אומר כו'. </w:t>
      </w:r>
      <w:r w:rsidRPr="00DA7271">
        <w:rPr>
          <w:rFonts w:cs="Arial"/>
          <w:u w:val="single"/>
          <w:rtl/>
        </w:rPr>
        <w:t>אמר רב</w:t>
      </w:r>
      <w:r w:rsidRPr="00DA7271">
        <w:rPr>
          <w:rFonts w:cs="Arial"/>
          <w:rtl/>
        </w:rPr>
        <w:t>: הלכה כרבן שמעון בן גמליאל ולא מטעמיה.</w:t>
      </w:r>
    </w:p>
    <w:p w14:paraId="0B77477D" w14:textId="77777777" w:rsidR="002E5BAD" w:rsidRDefault="002E5BAD" w:rsidP="002E5BAD">
      <w:pPr>
        <w:rPr>
          <w:rFonts w:cs="Arial"/>
          <w:rtl/>
        </w:rPr>
      </w:pPr>
      <w:r w:rsidRPr="00DB4558">
        <w:rPr>
          <w:rFonts w:cs="Arial" w:hint="cs"/>
          <w:b/>
          <w:bCs/>
          <w:rtl/>
        </w:rPr>
        <w:t>ירושלמי כתובות פ"ט ה"א:</w:t>
      </w:r>
      <w:r>
        <w:rPr>
          <w:rFonts w:cs="Arial" w:hint="cs"/>
          <w:rtl/>
        </w:rPr>
        <w:t xml:space="preserve"> </w:t>
      </w:r>
      <w:r w:rsidRPr="00DB4558">
        <w:rPr>
          <w:rFonts w:cs="Arial"/>
          <w:u w:val="single"/>
          <w:rtl/>
        </w:rPr>
        <w:t>רבי ירמיה בשם רב</w:t>
      </w:r>
      <w:r>
        <w:rPr>
          <w:rFonts w:cs="Arial" w:hint="cs"/>
          <w:rtl/>
        </w:rPr>
        <w:t>:</w:t>
      </w:r>
      <w:r w:rsidRPr="00DB4558">
        <w:rPr>
          <w:rFonts w:cs="Arial"/>
          <w:rtl/>
        </w:rPr>
        <w:t xml:space="preserve"> הלכה כר"ש בן גמליאל</w:t>
      </w:r>
      <w:r>
        <w:rPr>
          <w:rFonts w:cs="Arial" w:hint="cs"/>
          <w:rtl/>
        </w:rPr>
        <w:t>,</w:t>
      </w:r>
      <w:r w:rsidRPr="00DB4558">
        <w:rPr>
          <w:rFonts w:cs="Arial"/>
          <w:rtl/>
        </w:rPr>
        <w:t xml:space="preserve"> אבל לא לעניין דברים</w:t>
      </w:r>
      <w:r>
        <w:rPr>
          <w:rFonts w:cs="Arial" w:hint="cs"/>
          <w:rtl/>
        </w:rPr>
        <w:t>.</w:t>
      </w:r>
      <w:r w:rsidRPr="00DB4558">
        <w:rPr>
          <w:rFonts w:cs="Arial"/>
          <w:rtl/>
        </w:rPr>
        <w:t xml:space="preserve"> הלכה כרבן שמעון בן גמליאל דאמר אם מתה יורשה</w:t>
      </w:r>
      <w:r>
        <w:rPr>
          <w:rFonts w:cs="Arial" w:hint="cs"/>
          <w:rtl/>
        </w:rPr>
        <w:t>,</w:t>
      </w:r>
      <w:r w:rsidRPr="00DB4558">
        <w:rPr>
          <w:rFonts w:cs="Arial"/>
          <w:rtl/>
        </w:rPr>
        <w:t xml:space="preserve"> אבל דברים שהתנה על מה שכתוב בתורה וכל המתנה על הכתוב בתורה תנאו </w:t>
      </w:r>
      <w:r w:rsidRPr="00DB4558">
        <w:rPr>
          <w:rFonts w:cs="Arial"/>
          <w:rtl/>
        </w:rPr>
        <w:lastRenderedPageBreak/>
        <w:t>בטל</w:t>
      </w:r>
      <w:r>
        <w:rPr>
          <w:rFonts w:cs="Arial" w:hint="cs"/>
          <w:rtl/>
        </w:rPr>
        <w:t xml:space="preserve"> -</w:t>
      </w:r>
      <w:r w:rsidRPr="00DB4558">
        <w:rPr>
          <w:rFonts w:cs="Arial"/>
          <w:rtl/>
        </w:rPr>
        <w:t xml:space="preserve"> בתנאי גוף אבל בתנאי ממון תנאו קיים</w:t>
      </w:r>
      <w:r>
        <w:rPr>
          <w:rFonts w:cs="Arial" w:hint="cs"/>
          <w:rtl/>
        </w:rPr>
        <w:t>,</w:t>
      </w:r>
      <w:r w:rsidRPr="00DB4558">
        <w:rPr>
          <w:rFonts w:cs="Arial"/>
          <w:rtl/>
        </w:rPr>
        <w:t xml:space="preserve"> וזה תנאי ממון הוא</w:t>
      </w:r>
      <w:r>
        <w:rPr>
          <w:rFonts w:cs="Arial" w:hint="cs"/>
          <w:rtl/>
        </w:rPr>
        <w:t>.</w:t>
      </w:r>
      <w:r w:rsidRPr="00DB4558">
        <w:rPr>
          <w:rFonts w:cs="Arial"/>
          <w:rtl/>
        </w:rPr>
        <w:t xml:space="preserve"> ולמה אמרו תנאו בטל</w:t>
      </w:r>
      <w:r>
        <w:rPr>
          <w:rFonts w:cs="Arial" w:hint="cs"/>
          <w:rtl/>
        </w:rPr>
        <w:t>?</w:t>
      </w:r>
      <w:r w:rsidRPr="00DB4558">
        <w:rPr>
          <w:rFonts w:cs="Arial"/>
          <w:rtl/>
        </w:rPr>
        <w:t xml:space="preserve"> שבסוף הוא זכה בהן</w:t>
      </w:r>
      <w:r>
        <w:rPr>
          <w:rStyle w:val="a7"/>
          <w:rFonts w:cs="Arial"/>
          <w:rtl/>
        </w:rPr>
        <w:footnoteReference w:id="1051"/>
      </w:r>
      <w:r>
        <w:rPr>
          <w:rFonts w:cs="Arial" w:hint="cs"/>
          <w:rtl/>
        </w:rPr>
        <w:t>...</w:t>
      </w:r>
      <w:r w:rsidRPr="00DB4558">
        <w:rPr>
          <w:rFonts w:cs="Arial"/>
          <w:rtl/>
        </w:rPr>
        <w:t xml:space="preserve"> </w:t>
      </w:r>
      <w:r w:rsidRPr="00DB4558">
        <w:rPr>
          <w:rFonts w:cs="Arial"/>
          <w:u w:val="single"/>
          <w:rtl/>
        </w:rPr>
        <w:t>אמר ר' יוסי</w:t>
      </w:r>
      <w:r>
        <w:rPr>
          <w:rFonts w:cs="Arial" w:hint="cs"/>
          <w:rtl/>
        </w:rPr>
        <w:t>:</w:t>
      </w:r>
      <w:r w:rsidRPr="00F93A12">
        <w:rPr>
          <w:rFonts w:cs="Arial"/>
          <w:rtl/>
        </w:rPr>
        <w:t xml:space="preserve"> ואילין דכתבין </w:t>
      </w:r>
      <w:r>
        <w:rPr>
          <w:rFonts w:cs="Arial" w:hint="cs"/>
          <w:rtl/>
        </w:rPr>
        <w:t>'</w:t>
      </w:r>
      <w:r w:rsidRPr="00F93A12">
        <w:rPr>
          <w:rFonts w:cs="Arial"/>
          <w:rtl/>
        </w:rPr>
        <w:t>אין מיתת דלא בנין</w:t>
      </w:r>
      <w:r>
        <w:rPr>
          <w:rFonts w:cs="Arial" w:hint="cs"/>
          <w:rtl/>
        </w:rPr>
        <w:t>,</w:t>
      </w:r>
      <w:r w:rsidRPr="00F93A12">
        <w:rPr>
          <w:rFonts w:cs="Arial"/>
          <w:rtl/>
        </w:rPr>
        <w:t xml:space="preserve"> יהא מדלה חזר לבית אביה</w:t>
      </w:r>
      <w:r>
        <w:rPr>
          <w:rFonts w:cs="Arial" w:hint="cs"/>
          <w:rtl/>
        </w:rPr>
        <w:t>'</w:t>
      </w:r>
      <w:r w:rsidRPr="00F93A12">
        <w:rPr>
          <w:rFonts w:cs="Arial"/>
          <w:rtl/>
        </w:rPr>
        <w:t xml:space="preserve"> </w:t>
      </w:r>
      <w:r>
        <w:rPr>
          <w:rFonts w:cs="Arial" w:hint="cs"/>
          <w:rtl/>
        </w:rPr>
        <w:t xml:space="preserve">- </w:t>
      </w:r>
      <w:r w:rsidRPr="00F93A12">
        <w:rPr>
          <w:rFonts w:cs="Arial"/>
          <w:rtl/>
        </w:rPr>
        <w:t>תנאי ממון הוא ותנאו קיים</w:t>
      </w:r>
      <w:r>
        <w:rPr>
          <w:rFonts w:cs="Arial" w:hint="cs"/>
          <w:rtl/>
        </w:rPr>
        <w:t>.</w:t>
      </w:r>
    </w:p>
    <w:p w14:paraId="79FE401A" w14:textId="77777777" w:rsidR="002E5BAD" w:rsidRPr="00D06DCA" w:rsidRDefault="002E5BAD" w:rsidP="002E5BAD">
      <w:pPr>
        <w:rPr>
          <w:rFonts w:cs="Arial"/>
          <w:u w:val="single"/>
          <w:rtl/>
        </w:rPr>
      </w:pPr>
      <w:r>
        <w:rPr>
          <w:rFonts w:cs="Arial" w:hint="cs"/>
          <w:u w:val="single"/>
          <w:rtl/>
        </w:rPr>
        <w:t>בעל ש</w:t>
      </w:r>
      <w:r w:rsidRPr="00D06DCA">
        <w:rPr>
          <w:rFonts w:cs="Arial"/>
          <w:u w:val="single"/>
          <w:rtl/>
        </w:rPr>
        <w:t>התנה ע</w:t>
      </w:r>
      <w:r>
        <w:rPr>
          <w:rFonts w:cs="Arial" w:hint="cs"/>
          <w:u w:val="single"/>
          <w:rtl/>
        </w:rPr>
        <w:t>ם אשתו</w:t>
      </w:r>
      <w:r w:rsidRPr="00D06DCA">
        <w:rPr>
          <w:rFonts w:cs="Arial"/>
          <w:u w:val="single"/>
          <w:rtl/>
        </w:rPr>
        <w:t xml:space="preserve"> שלא יירשנה</w:t>
      </w:r>
      <w:r w:rsidRPr="00D06DCA">
        <w:rPr>
          <w:rFonts w:cs="Arial" w:hint="cs"/>
          <w:u w:val="single"/>
          <w:rtl/>
        </w:rPr>
        <w:t>:</w:t>
      </w:r>
    </w:p>
    <w:p w14:paraId="29EE2068" w14:textId="77777777" w:rsidR="002E5BAD" w:rsidRPr="0067455C" w:rsidRDefault="002E5BAD" w:rsidP="002E5BAD">
      <w:pPr>
        <w:pStyle w:val="ab"/>
        <w:numPr>
          <w:ilvl w:val="0"/>
          <w:numId w:val="154"/>
        </w:numPr>
        <w:rPr>
          <w:rFonts w:cs="Arial"/>
          <w:rtl/>
        </w:rPr>
      </w:pPr>
      <w:r>
        <w:rPr>
          <w:rFonts w:cs="Arial" w:hint="cs"/>
          <w:rtl/>
        </w:rPr>
        <w:t>רי"ף רמב"ם רמב"ן רשב"א רא"ש ור"ן</w:t>
      </w:r>
      <w:r>
        <w:rPr>
          <w:rStyle w:val="a7"/>
          <w:rFonts w:cs="Arial"/>
          <w:rtl/>
        </w:rPr>
        <w:footnoteReference w:id="1052"/>
      </w:r>
      <w:r>
        <w:rPr>
          <w:rFonts w:cs="Arial" w:hint="cs"/>
          <w:rtl/>
        </w:rPr>
        <w:t xml:space="preserve">- </w:t>
      </w:r>
      <w:r w:rsidRPr="00F93A12">
        <w:rPr>
          <w:rFonts w:cs="Arial"/>
          <w:rtl/>
        </w:rPr>
        <w:t xml:space="preserve">התנה עמה שלא יירשנה </w:t>
      </w:r>
      <w:r>
        <w:rPr>
          <w:rFonts w:cs="Arial" w:hint="cs"/>
          <w:rtl/>
        </w:rPr>
        <w:t xml:space="preserve">- </w:t>
      </w:r>
      <w:r w:rsidRPr="00F93A12">
        <w:rPr>
          <w:rFonts w:cs="Arial"/>
          <w:rtl/>
        </w:rPr>
        <w:t>הרי זה לא יירשנה</w:t>
      </w:r>
      <w:r>
        <w:rPr>
          <w:rFonts w:cs="Arial" w:hint="cs"/>
          <w:rtl/>
        </w:rPr>
        <w:t>,</w:t>
      </w:r>
      <w:r w:rsidRPr="00F93A12">
        <w:rPr>
          <w:rFonts w:cs="Arial"/>
          <w:rtl/>
        </w:rPr>
        <w:t xml:space="preserve"> אבל אוכל פירות בחייה</w:t>
      </w:r>
      <w:r>
        <w:rPr>
          <w:rFonts w:cs="Arial" w:hint="cs"/>
          <w:rtl/>
        </w:rPr>
        <w:t>.</w:t>
      </w:r>
      <w:r w:rsidRPr="00F93A12">
        <w:rPr>
          <w:rFonts w:cs="Arial"/>
          <w:rtl/>
        </w:rPr>
        <w:t xml:space="preserve"> וכן אם התנה עמה שיירש מקצת נכסים</w:t>
      </w:r>
      <w:r>
        <w:rPr>
          <w:rFonts w:cs="Arial" w:hint="cs"/>
          <w:rtl/>
        </w:rPr>
        <w:t>,</w:t>
      </w:r>
      <w:r w:rsidRPr="00F93A12">
        <w:rPr>
          <w:rFonts w:cs="Arial"/>
          <w:rtl/>
        </w:rPr>
        <w:t xml:space="preserve"> וכן אם התנה עמה שאם מתה בלא בנים יחזרו נכסים לבית אביה </w:t>
      </w:r>
      <w:r>
        <w:rPr>
          <w:rFonts w:cs="Arial" w:hint="cs"/>
          <w:rtl/>
        </w:rPr>
        <w:t xml:space="preserve">- </w:t>
      </w:r>
      <w:r w:rsidRPr="00F93A12">
        <w:rPr>
          <w:rFonts w:cs="Arial"/>
          <w:rtl/>
        </w:rPr>
        <w:t>הכל קיים</w:t>
      </w:r>
      <w:r>
        <w:rPr>
          <w:rFonts w:cs="Arial" w:hint="cs"/>
          <w:rtl/>
        </w:rPr>
        <w:t>.</w:t>
      </w:r>
      <w:r w:rsidRPr="00F93A12">
        <w:rPr>
          <w:rFonts w:cs="Arial"/>
          <w:rtl/>
        </w:rPr>
        <w:t xml:space="preserve"> במה דברים אמורים שהתנה עמה קודם שתנשא</w:t>
      </w:r>
      <w:r>
        <w:rPr>
          <w:rFonts w:cs="Arial" w:hint="cs"/>
          <w:rtl/>
        </w:rPr>
        <w:t>,</w:t>
      </w:r>
      <w:r w:rsidRPr="00F93A12">
        <w:rPr>
          <w:rFonts w:cs="Arial"/>
          <w:rtl/>
        </w:rPr>
        <w:t xml:space="preserve"> שהנחלה הבאה לו לאדם שלא ממשפחתו מתנה עליה שלא יירשנה קודם שתהא ראויה לו</w:t>
      </w:r>
      <w:r>
        <w:rPr>
          <w:rFonts w:cs="Arial" w:hint="cs"/>
          <w:rtl/>
        </w:rPr>
        <w:t>,</w:t>
      </w:r>
      <w:r w:rsidRPr="00F93A12">
        <w:rPr>
          <w:rFonts w:cs="Arial"/>
          <w:rtl/>
        </w:rPr>
        <w:t xml:space="preserve"> אבל אם התנה עמה אחר שנשאת </w:t>
      </w:r>
      <w:r>
        <w:rPr>
          <w:rFonts w:cs="Arial" w:hint="cs"/>
          <w:rtl/>
        </w:rPr>
        <w:t xml:space="preserve">- </w:t>
      </w:r>
      <w:r w:rsidRPr="00F93A12">
        <w:rPr>
          <w:rFonts w:cs="Arial"/>
          <w:rtl/>
        </w:rPr>
        <w:t xml:space="preserve">תנאו בטל ויירשנה כמו שביארנו </w:t>
      </w:r>
      <w:r w:rsidRPr="00B46535">
        <w:rPr>
          <w:rFonts w:cs="Arial"/>
          <w:sz w:val="16"/>
          <w:szCs w:val="16"/>
          <w:rtl/>
        </w:rPr>
        <w:t>(</w:t>
      </w:r>
      <w:r>
        <w:rPr>
          <w:rFonts w:cs="Arial" w:hint="cs"/>
          <w:sz w:val="16"/>
          <w:szCs w:val="16"/>
          <w:rtl/>
        </w:rPr>
        <w:t>ב</w:t>
      </w:r>
      <w:r w:rsidRPr="00B46535">
        <w:rPr>
          <w:rFonts w:cs="Arial"/>
          <w:sz w:val="16"/>
          <w:szCs w:val="16"/>
          <w:rtl/>
        </w:rPr>
        <w:t>פי"ב ה"ט)</w:t>
      </w:r>
      <w:r>
        <w:rPr>
          <w:rFonts w:cs="Arial" w:hint="cs"/>
          <w:rtl/>
        </w:rPr>
        <w:t>.</w:t>
      </w:r>
      <w:r w:rsidRPr="00F93A12">
        <w:rPr>
          <w:rFonts w:cs="Arial"/>
          <w:rtl/>
        </w:rPr>
        <w:t xml:space="preserve"> התנה עמה אחר נישואין שלא יהיה לו דין ודברים בנכסיה ולא בפירי פירותיה עד עולם בחייה ובמותה </w:t>
      </w:r>
      <w:r>
        <w:rPr>
          <w:rFonts w:cs="Arial" w:hint="cs"/>
          <w:rtl/>
        </w:rPr>
        <w:t xml:space="preserve">- </w:t>
      </w:r>
      <w:r w:rsidRPr="00F93A12">
        <w:rPr>
          <w:rFonts w:cs="Arial"/>
          <w:rtl/>
        </w:rPr>
        <w:t>הרי זה אינו אוכל פירות כלל</w:t>
      </w:r>
      <w:r>
        <w:rPr>
          <w:rFonts w:cs="Arial" w:hint="cs"/>
          <w:rtl/>
        </w:rPr>
        <w:t>,</w:t>
      </w:r>
      <w:r w:rsidRPr="00F93A12">
        <w:rPr>
          <w:rFonts w:cs="Arial"/>
          <w:rtl/>
        </w:rPr>
        <w:t xml:space="preserve"> אבל אם מתה </w:t>
      </w:r>
      <w:r>
        <w:rPr>
          <w:rFonts w:cs="Arial" w:hint="cs"/>
          <w:rtl/>
        </w:rPr>
        <w:t xml:space="preserve">- </w:t>
      </w:r>
      <w:r w:rsidRPr="00F93A12">
        <w:rPr>
          <w:rFonts w:cs="Arial"/>
          <w:rtl/>
        </w:rPr>
        <w:t>יירשנה כמו שביארנו</w:t>
      </w:r>
      <w:r>
        <w:rPr>
          <w:rFonts w:cs="Arial" w:hint="cs"/>
          <w:sz w:val="16"/>
          <w:szCs w:val="16"/>
          <w:rtl/>
        </w:rPr>
        <w:t xml:space="preserve"> (ל' הרמב"ם)</w:t>
      </w:r>
      <w:r>
        <w:rPr>
          <w:rStyle w:val="a7"/>
          <w:rFonts w:cs="Arial"/>
          <w:rtl/>
        </w:rPr>
        <w:footnoteReference w:id="1053"/>
      </w:r>
      <w:r w:rsidRPr="0067455C">
        <w:rPr>
          <w:rFonts w:cs="Arial" w:hint="cs"/>
          <w:rtl/>
        </w:rPr>
        <w:t>.</w:t>
      </w:r>
    </w:p>
    <w:p w14:paraId="2F5DEC1B" w14:textId="77777777" w:rsidR="002E5BAD" w:rsidRPr="00FB2DB8" w:rsidRDefault="002E5BAD" w:rsidP="002E5BAD">
      <w:pPr>
        <w:pStyle w:val="ab"/>
        <w:numPr>
          <w:ilvl w:val="0"/>
          <w:numId w:val="154"/>
        </w:numPr>
        <w:rPr>
          <w:rFonts w:cs="Arial"/>
          <w:rtl/>
        </w:rPr>
      </w:pPr>
      <w:r>
        <w:rPr>
          <w:rFonts w:cs="Arial" w:hint="cs"/>
          <w:rtl/>
        </w:rPr>
        <w:t xml:space="preserve">בה"ג </w:t>
      </w:r>
      <w:r>
        <w:rPr>
          <w:rFonts w:cs="Arial" w:hint="cs"/>
          <w:sz w:val="16"/>
          <w:szCs w:val="16"/>
          <w:rtl/>
        </w:rPr>
        <w:t xml:space="preserve"> (כ"כ הרא"ש [שם] בשמו)</w:t>
      </w:r>
      <w:r>
        <w:rPr>
          <w:rFonts w:cs="Arial" w:hint="cs"/>
          <w:rtl/>
        </w:rPr>
        <w:t xml:space="preserve"> ר"ח </w:t>
      </w:r>
      <w:r>
        <w:rPr>
          <w:rFonts w:cs="Arial" w:hint="cs"/>
          <w:sz w:val="16"/>
          <w:szCs w:val="16"/>
          <w:rtl/>
        </w:rPr>
        <w:t>(כ"כ הרא"ש [שם] בשמו)</w:t>
      </w:r>
      <w:r>
        <w:rPr>
          <w:rFonts w:cs="Arial" w:hint="cs"/>
          <w:rtl/>
        </w:rPr>
        <w:t xml:space="preserve"> ר"י </w:t>
      </w:r>
      <w:r>
        <w:rPr>
          <w:rFonts w:cs="Arial" w:hint="cs"/>
          <w:sz w:val="16"/>
          <w:szCs w:val="16"/>
          <w:rtl/>
        </w:rPr>
        <w:t>(כ"כ הרא"ש [שם] בשמו)</w:t>
      </w:r>
      <w:r>
        <w:rPr>
          <w:rFonts w:cs="Arial" w:hint="cs"/>
          <w:rtl/>
        </w:rPr>
        <w:t>- הלכה כרשב"ג</w:t>
      </w:r>
      <w:r>
        <w:rPr>
          <w:rStyle w:val="a7"/>
          <w:rFonts w:cs="Arial"/>
          <w:rtl/>
        </w:rPr>
        <w:footnoteReference w:id="1054"/>
      </w:r>
      <w:r>
        <w:rPr>
          <w:rFonts w:cs="Arial" w:hint="cs"/>
          <w:rtl/>
        </w:rPr>
        <w:t>.</w:t>
      </w:r>
      <w:r w:rsidRPr="00AD30D1">
        <w:rPr>
          <w:rFonts w:cs="Arial"/>
          <w:rtl/>
        </w:rPr>
        <w:t xml:space="preserve"> </w:t>
      </w:r>
    </w:p>
    <w:p w14:paraId="413795BC" w14:textId="77777777" w:rsidR="002E5BAD" w:rsidRDefault="002E5BAD" w:rsidP="002E5BAD">
      <w:pPr>
        <w:pStyle w:val="ab"/>
        <w:numPr>
          <w:ilvl w:val="0"/>
          <w:numId w:val="153"/>
        </w:numPr>
        <w:rPr>
          <w:rFonts w:cs="Arial"/>
        </w:rPr>
      </w:pPr>
      <w:r w:rsidRPr="00F93A12">
        <w:rPr>
          <w:rFonts w:cs="Arial" w:hint="cs"/>
          <w:rtl/>
        </w:rPr>
        <w:t xml:space="preserve">ב"י- </w:t>
      </w:r>
      <w:r w:rsidRPr="00F93A12">
        <w:rPr>
          <w:rFonts w:cs="Arial"/>
          <w:rtl/>
        </w:rPr>
        <w:t>והשתא כיון דהרי"ף והרמב"ם והרא"ש והרמב"ן והרשב"א ז"ל הסכימו שאם קודם נישואין מתנה עמה שלא יירשנה תנאו קיים</w:t>
      </w:r>
      <w:r w:rsidRPr="00F93A12">
        <w:rPr>
          <w:rFonts w:cs="Arial" w:hint="cs"/>
          <w:rtl/>
        </w:rPr>
        <w:t xml:space="preserve"> -</w:t>
      </w:r>
      <w:r w:rsidRPr="00F93A12">
        <w:rPr>
          <w:rFonts w:cs="Arial"/>
          <w:rtl/>
        </w:rPr>
        <w:t xml:space="preserve"> פשיטא דהכי נקטינן</w:t>
      </w:r>
      <w:r>
        <w:rPr>
          <w:rStyle w:val="a7"/>
          <w:rFonts w:cs="Arial"/>
          <w:rtl/>
        </w:rPr>
        <w:footnoteReference w:id="1055"/>
      </w:r>
      <w:r w:rsidRPr="00F93A12">
        <w:rPr>
          <w:rFonts w:cs="Arial" w:hint="cs"/>
          <w:rtl/>
        </w:rPr>
        <w:t>.</w:t>
      </w:r>
      <w:r w:rsidRPr="00D70827">
        <w:rPr>
          <w:rFonts w:cs="Arial"/>
          <w:color w:val="E36C0A" w:themeColor="accent6" w:themeShade="BF"/>
          <w:rtl/>
        </w:rPr>
        <w:t xml:space="preserve"> </w:t>
      </w:r>
      <w:r w:rsidRPr="00D70827">
        <w:rPr>
          <w:rFonts w:cs="Arial" w:hint="cs"/>
          <w:color w:val="E36C0A" w:themeColor="accent6" w:themeShade="BF"/>
          <w:rtl/>
        </w:rPr>
        <w:t>(וכ"פ בשו"ע)</w:t>
      </w:r>
    </w:p>
    <w:p w14:paraId="0C78238B" w14:textId="77777777" w:rsidR="002E5BAD" w:rsidRDefault="002E5BAD" w:rsidP="002E5BAD">
      <w:pPr>
        <w:rPr>
          <w:rFonts w:cs="Arial"/>
          <w:rtl/>
        </w:rPr>
      </w:pPr>
      <w:r w:rsidRPr="00D70827">
        <w:rPr>
          <w:rFonts w:cs="Arial" w:hint="cs"/>
          <w:b/>
          <w:bCs/>
          <w:rtl/>
        </w:rPr>
        <w:t xml:space="preserve">תנא דבי אליהו רבה פרשה יב: </w:t>
      </w:r>
      <w:r>
        <w:rPr>
          <w:rFonts w:cs="Arial" w:hint="cs"/>
          <w:rtl/>
        </w:rPr>
        <w:t xml:space="preserve"> </w:t>
      </w:r>
      <w:r w:rsidRPr="00D70827">
        <w:rPr>
          <w:rFonts w:cs="Arial"/>
          <w:rtl/>
        </w:rPr>
        <w:t>ושכרה של יעל אשת חבר הקיני שעשתה רצון בעלה לפיכך באתה תשועה גדולה על ידה.</w:t>
      </w:r>
    </w:p>
    <w:p w14:paraId="77F84197" w14:textId="77777777" w:rsidR="002E5BAD" w:rsidRPr="00D70827" w:rsidRDefault="002E5BAD" w:rsidP="002E5BAD">
      <w:pPr>
        <w:rPr>
          <w:rFonts w:cs="Arial"/>
        </w:rPr>
      </w:pPr>
      <w:r w:rsidRPr="00D70827">
        <w:rPr>
          <w:rFonts w:cs="Arial" w:hint="cs"/>
          <w:b/>
          <w:bCs/>
          <w:rtl/>
        </w:rPr>
        <w:t>ילקו</w:t>
      </w:r>
      <w:r>
        <w:rPr>
          <w:rFonts w:cs="Arial" w:hint="cs"/>
          <w:b/>
          <w:bCs/>
          <w:rtl/>
        </w:rPr>
        <w:t xml:space="preserve">ט </w:t>
      </w:r>
      <w:r w:rsidRPr="00D70827">
        <w:rPr>
          <w:rFonts w:cs="Arial" w:hint="cs"/>
          <w:b/>
          <w:bCs/>
          <w:rtl/>
        </w:rPr>
        <w:t>ש</w:t>
      </w:r>
      <w:r>
        <w:rPr>
          <w:rFonts w:cs="Arial" w:hint="cs"/>
          <w:b/>
          <w:bCs/>
          <w:rtl/>
        </w:rPr>
        <w:t>מעוני</w:t>
      </w:r>
      <w:r w:rsidRPr="00D70827">
        <w:rPr>
          <w:rFonts w:cs="Arial" w:hint="cs"/>
          <w:b/>
          <w:bCs/>
          <w:rtl/>
        </w:rPr>
        <w:t xml:space="preserve"> שופטים רמז מב: </w:t>
      </w:r>
      <w:r w:rsidRPr="00D70827">
        <w:rPr>
          <w:rFonts w:cs="Arial"/>
          <w:rtl/>
        </w:rPr>
        <w:t>וכי מה טיבה של יעל שבאת תשועה גדולה על ידה אמרו אשה כשרה היתה ועושה רצון בעלה מכאן אמרו אין לך אשה כשרה בנשים אלא אשה שהיא עושה רצון בעלה</w:t>
      </w:r>
      <w:r>
        <w:rPr>
          <w:rFonts w:cs="Arial" w:hint="cs"/>
          <w:rtl/>
        </w:rPr>
        <w:t>.</w:t>
      </w:r>
      <w:r w:rsidRPr="00D70827">
        <w:rPr>
          <w:rFonts w:cs="Arial" w:hint="cs"/>
          <w:sz w:val="16"/>
          <w:szCs w:val="16"/>
          <w:rtl/>
        </w:rPr>
        <w:t xml:space="preserve"> </w:t>
      </w:r>
      <w:r>
        <w:rPr>
          <w:rFonts w:cs="Arial" w:hint="cs"/>
          <w:sz w:val="16"/>
          <w:szCs w:val="16"/>
          <w:rtl/>
        </w:rPr>
        <w:t>(</w:t>
      </w:r>
      <w:r w:rsidRPr="00D70827">
        <w:rPr>
          <w:rFonts w:cs="Arial" w:hint="cs"/>
          <w:sz w:val="16"/>
          <w:szCs w:val="16"/>
          <w:rtl/>
        </w:rPr>
        <w:t>וכ"כ הגה"מ (</w:t>
      </w:r>
      <w:r w:rsidRPr="00D70827">
        <w:rPr>
          <w:rFonts w:cs="Arial"/>
          <w:sz w:val="16"/>
          <w:szCs w:val="16"/>
          <w:rtl/>
        </w:rPr>
        <w:t>פט"ו</w:t>
      </w:r>
      <w:r w:rsidRPr="00D70827">
        <w:rPr>
          <w:rFonts w:cs="Arial" w:hint="cs"/>
          <w:sz w:val="16"/>
          <w:szCs w:val="16"/>
          <w:rtl/>
        </w:rPr>
        <w:t xml:space="preserve"> </w:t>
      </w:r>
      <w:r w:rsidRPr="00D70827">
        <w:rPr>
          <w:rFonts w:cs="Arial"/>
          <w:sz w:val="16"/>
          <w:szCs w:val="16"/>
          <w:rtl/>
        </w:rPr>
        <w:t>אות ס)</w:t>
      </w:r>
      <w:r w:rsidRPr="00D70827">
        <w:rPr>
          <w:rFonts w:cs="Arial" w:hint="cs"/>
          <w:sz w:val="16"/>
          <w:szCs w:val="16"/>
          <w:rtl/>
        </w:rPr>
        <w:t>, והביאו הדרכ"מ (אות ד)</w:t>
      </w:r>
      <w:r>
        <w:rPr>
          <w:rFonts w:cs="Arial" w:hint="cs"/>
          <w:sz w:val="16"/>
          <w:szCs w:val="16"/>
          <w:rtl/>
        </w:rPr>
        <w:t>.</w:t>
      </w:r>
      <w:r w:rsidRPr="00D70827">
        <w:rPr>
          <w:rFonts w:cs="Arial" w:hint="cs"/>
          <w:sz w:val="16"/>
          <w:szCs w:val="16"/>
          <w:rtl/>
        </w:rPr>
        <w:t xml:space="preserve"> </w:t>
      </w:r>
      <w:r w:rsidRPr="00D70827">
        <w:rPr>
          <w:rFonts w:cs="Arial" w:hint="cs"/>
          <w:color w:val="00B0F0"/>
          <w:sz w:val="16"/>
          <w:szCs w:val="16"/>
          <w:rtl/>
        </w:rPr>
        <w:t>וכ"כ בהגה</w:t>
      </w:r>
      <w:r w:rsidRPr="00D70827">
        <w:rPr>
          <w:rFonts w:cs="Arial" w:hint="cs"/>
          <w:sz w:val="16"/>
          <w:szCs w:val="16"/>
          <w:rtl/>
        </w:rPr>
        <w:t>)</w:t>
      </w:r>
    </w:p>
    <w:p w14:paraId="09F9439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AA34DA0" w14:textId="77777777" w:rsidR="002E5BAD" w:rsidRDefault="002E5BAD" w:rsidP="002E5BAD">
      <w:pPr>
        <w:rPr>
          <w:rtl/>
        </w:rPr>
      </w:pPr>
      <w:r>
        <w:rPr>
          <w:rFonts w:cs="Arial"/>
          <w:rtl/>
        </w:rPr>
        <w:t xml:space="preserve">זה שאמרנו שאין תנאי מועיל להסתלק מירושתה, היינו במתנה עמה אחר שנשאה או קודם שאירסה, אבל במתנה עמה בעודה ארוסה, מהני. </w:t>
      </w:r>
      <w:r>
        <w:rPr>
          <w:rFonts w:cs="Arial" w:hint="cs"/>
          <w:sz w:val="18"/>
          <w:szCs w:val="18"/>
          <w:rtl/>
        </w:rPr>
        <w:t xml:space="preserve">[הגה] </w:t>
      </w:r>
      <w:r w:rsidRPr="0024756B">
        <w:rPr>
          <w:rFonts w:cs="Arial"/>
          <w:sz w:val="18"/>
          <w:szCs w:val="18"/>
          <w:rtl/>
        </w:rPr>
        <w:t>וע"ל סימן צ"ב. אמרו רז"ל: אין לך כשרה בנשים אלא אשה שעושה רצון בעלה (הגהות מיימוני פט"ו בשם תנא דבי אליהו).</w:t>
      </w:r>
    </w:p>
    <w:p w14:paraId="25E5D56F" w14:textId="77777777" w:rsidR="002E5BAD" w:rsidRDefault="002E5BAD" w:rsidP="002E5BAD">
      <w:pPr>
        <w:pStyle w:val="1"/>
        <w:rPr>
          <w:rtl/>
        </w:rPr>
        <w:sectPr w:rsidR="002E5BAD" w:rsidSect="00A347B3">
          <w:headerReference w:type="default" r:id="rId25"/>
          <w:footnotePr>
            <w:numRestart w:val="eachPage"/>
          </w:footnotePr>
          <w:pgSz w:w="11906" w:h="16838"/>
          <w:pgMar w:top="720" w:right="1134" w:bottom="720" w:left="1134" w:header="0" w:footer="0" w:gutter="0"/>
          <w:cols w:space="720"/>
          <w:bidi/>
          <w:rtlGutter/>
          <w:docGrid w:linePitch="360"/>
        </w:sectPr>
      </w:pPr>
    </w:p>
    <w:p w14:paraId="7D39C2C9" w14:textId="77777777" w:rsidR="002E5BAD" w:rsidRDefault="002E5BAD" w:rsidP="002E5BAD">
      <w:pPr>
        <w:pStyle w:val="1"/>
        <w:rPr>
          <w:rtl/>
        </w:rPr>
      </w:pPr>
      <w:r>
        <w:rPr>
          <w:rFonts w:hint="cs"/>
          <w:rtl/>
        </w:rPr>
        <w:lastRenderedPageBreak/>
        <w:t xml:space="preserve">סימן ע: </w:t>
      </w:r>
      <w:r>
        <w:rPr>
          <w:rtl/>
        </w:rPr>
        <w:t xml:space="preserve">דין חיוב מזונות אשתו ואם חייב להשכיר עצמו, ובו י"ב סעיפים. </w:t>
      </w:r>
    </w:p>
    <w:p w14:paraId="2BF29374" w14:textId="77777777" w:rsidR="002E5BAD" w:rsidRDefault="002E5BAD" w:rsidP="002E5BAD">
      <w:pPr>
        <w:pStyle w:val="2"/>
        <w:rPr>
          <w:rtl/>
        </w:rPr>
      </w:pPr>
      <w:r>
        <w:rPr>
          <w:rtl/>
        </w:rPr>
        <w:t>סעיף א</w:t>
      </w:r>
      <w:r>
        <w:rPr>
          <w:rFonts w:hint="cs"/>
          <w:rtl/>
        </w:rPr>
        <w:t>: חיוב מזונות אשתו.</w:t>
      </w:r>
    </w:p>
    <w:p w14:paraId="140F9B7D" w14:textId="77777777" w:rsidR="002E5BAD" w:rsidRDefault="002E5BAD" w:rsidP="002E5BAD">
      <w:pPr>
        <w:rPr>
          <w:rFonts w:cs="Arial"/>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 ע"</w:t>
      </w:r>
      <w:r>
        <w:rPr>
          <w:rFonts w:cs="Arial" w:hint="cs"/>
          <w:b/>
          <w:bCs/>
          <w:rtl/>
        </w:rPr>
        <w:t>א</w:t>
      </w:r>
      <w:r w:rsidRPr="006C3CF4">
        <w:rPr>
          <w:rFonts w:cs="Arial" w:hint="cs"/>
          <w:b/>
          <w:bCs/>
          <w:rtl/>
        </w:rPr>
        <w:t xml:space="preserve">: </w:t>
      </w:r>
      <w:r w:rsidRPr="005D047B">
        <w:rPr>
          <w:rFonts w:cs="Arial"/>
          <w:u w:val="double"/>
          <w:rtl/>
        </w:rPr>
        <w:t>מתני'</w:t>
      </w:r>
      <w:r>
        <w:rPr>
          <w:rFonts w:cs="Arial" w:hint="cs"/>
          <w:rtl/>
        </w:rPr>
        <w:t>:</w:t>
      </w:r>
      <w:r w:rsidRPr="005D047B">
        <w:rPr>
          <w:rFonts w:cs="Arial"/>
          <w:rtl/>
        </w:rPr>
        <w:t xml:space="preserve"> המדיר את אשתו מליהנות לו, עד ל' יום - יעמיד פרנס, יתר מיכן - יוציא ויתן כתובה</w:t>
      </w:r>
      <w:r>
        <w:rPr>
          <w:rFonts w:cs="Arial" w:hint="cs"/>
          <w:rtl/>
        </w:rPr>
        <w:t>...</w:t>
      </w:r>
      <w:r w:rsidRPr="005D047B">
        <w:rPr>
          <w:rFonts w:cs="Arial"/>
          <w:rtl/>
        </w:rPr>
        <w:t xml:space="preserve"> </w:t>
      </w:r>
      <w:r>
        <w:rPr>
          <w:rFonts w:cs="Arial" w:hint="cs"/>
          <w:rtl/>
        </w:rPr>
        <w:t xml:space="preserve">    </w:t>
      </w:r>
      <w:r w:rsidRPr="005D047B">
        <w:rPr>
          <w:rFonts w:cs="Arial" w:hint="cs"/>
          <w:u w:val="double"/>
          <w:rtl/>
        </w:rPr>
        <w:t>גמ'</w:t>
      </w:r>
      <w:r>
        <w:rPr>
          <w:rFonts w:cs="Arial" w:hint="cs"/>
          <w:rtl/>
        </w:rPr>
        <w:t xml:space="preserve">: </w:t>
      </w:r>
      <w:r w:rsidRPr="009C1E95">
        <w:rPr>
          <w:rFonts w:cs="Arial"/>
          <w:rtl/>
        </w:rPr>
        <w:t>וכיון דמשועבד לה היכי מצי מדיר לה? כל כמיניה דמפקע לה לשיעבודה? והתנן: קונם שאיני עושה לפיך - אינו צריך להפר; אלמא כיון דמשעבדא ליה - לאו כל כמינה דמפקע ליה לשיעבודיה, הכא נמי כיון דמשועבד לה - לאו כל כמיניה דמפקע לה לשיעבודה! אלא, מתוך שיכול לומר לה צאי מעשה ידיך במזונותיך,</w:t>
      </w:r>
      <w:r>
        <w:rPr>
          <w:rFonts w:cs="Arial" w:hint="cs"/>
          <w:rtl/>
        </w:rPr>
        <w:t xml:space="preserve"> </w:t>
      </w:r>
      <w:r>
        <w:rPr>
          <w:rFonts w:cs="Arial" w:hint="cs"/>
          <w:sz w:val="14"/>
          <w:szCs w:val="14"/>
          <w:rtl/>
        </w:rPr>
        <w:t>(ע:)</w:t>
      </w:r>
      <w:r w:rsidRPr="009C1E95">
        <w:rPr>
          <w:rtl/>
        </w:rPr>
        <w:t xml:space="preserve"> </w:t>
      </w:r>
      <w:r w:rsidRPr="009C1E95">
        <w:rPr>
          <w:rFonts w:cs="Arial"/>
          <w:rtl/>
        </w:rPr>
        <w:t>נעשה כאומר לה צאי מעשה ידיך במזונותיך. ואם איתא להא דרב הונא אמר רב, דא"ר הונא אמר רב: יכולה אשה שתאמר לבעלה איני ניזונת ואיני עושה, קונם שאני עושה לפיך</w:t>
      </w:r>
      <w:r>
        <w:rPr>
          <w:rFonts w:cs="Arial" w:hint="cs"/>
          <w:rtl/>
        </w:rPr>
        <w:t>,</w:t>
      </w:r>
      <w:r w:rsidRPr="009C1E95">
        <w:rPr>
          <w:rFonts w:cs="Arial"/>
          <w:rtl/>
        </w:rPr>
        <w:t xml:space="preserve"> אמאי אינו צריך להפר? לימא: מתוך שיכולה לומר איני ניזונת ואיני עושה, נעשה כמי שאומרת לו איני ניזונת ואיני עושה: אלא, לא תימא נעשה - אלא באומר לה צאי מעשה ידיך במזונותיך. אי הכי, פרנס למה לה? בדלא ספקה. אי בדלא ספקה, הדר קושיין לדוכתיה! </w:t>
      </w:r>
      <w:r w:rsidRPr="009C1E95">
        <w:rPr>
          <w:rFonts w:cs="Arial"/>
          <w:u w:val="single"/>
          <w:rtl/>
        </w:rPr>
        <w:t>א"ר אשי</w:t>
      </w:r>
      <w:r w:rsidRPr="006C3CF4">
        <w:rPr>
          <w:rFonts w:cs="Arial"/>
          <w:rtl/>
        </w:rPr>
        <w:t xml:space="preserve">: במספקת לדברים גדולים, ואינה מספקת לדברים קטנים. הני דברים קטנים היכי דמי? אי דרגילה בהו, הא רגילה בהו! ואי לא רגילה בהו, פרנס למה לה? לא צריכא, דרגילה בבית נשא וקא מגלגלא בהדיה, דאמרה ליה: עד האידנא דלא אדרתן גלגילנא בהדך, השתא דאדרתן לא מצינא דאיגלגל בהדך. </w:t>
      </w:r>
      <w:r w:rsidRPr="005D047B">
        <w:rPr>
          <w:rFonts w:cs="Arial"/>
          <w:rtl/>
        </w:rPr>
        <w:t>ומאי שנא עד ל' יום? עד ל' יום לא שמעי בה אינשי ולא זילא בה מילתא, טפי - שמעי בה אינשי וזילא בה מילתא.</w:t>
      </w:r>
    </w:p>
    <w:p w14:paraId="35CCD5CA" w14:textId="77777777" w:rsidR="002E5BAD" w:rsidRDefault="002E5BAD" w:rsidP="002E5BAD">
      <w:pPr>
        <w:rPr>
          <w:rFonts w:cs="Arial"/>
          <w:rtl/>
        </w:rPr>
      </w:pPr>
      <w:r w:rsidRPr="006C3CF4">
        <w:rPr>
          <w:rFonts w:cs="Arial" w:hint="cs"/>
          <w:b/>
          <w:bCs/>
          <w:rtl/>
        </w:rPr>
        <w:t xml:space="preserve">כתובות </w:t>
      </w:r>
      <w:r>
        <w:rPr>
          <w:rFonts w:cs="Arial" w:hint="cs"/>
          <w:b/>
          <w:bCs/>
          <w:sz w:val="16"/>
          <w:szCs w:val="16"/>
          <w:rtl/>
        </w:rPr>
        <w:t xml:space="preserve">(ס"פ אף על פי) </w:t>
      </w:r>
      <w:r w:rsidRPr="006C3CF4">
        <w:rPr>
          <w:rFonts w:cs="Arial" w:hint="cs"/>
          <w:b/>
          <w:bCs/>
          <w:rtl/>
        </w:rPr>
        <w:t xml:space="preserve">סד ע"ב: </w:t>
      </w:r>
      <w:r w:rsidRPr="00E36B8D">
        <w:rPr>
          <w:rFonts w:cs="Arial"/>
          <w:u w:val="double"/>
          <w:rtl/>
        </w:rPr>
        <w:t>מתני'</w:t>
      </w:r>
      <w:r>
        <w:rPr>
          <w:rFonts w:cs="Arial" w:hint="cs"/>
          <w:rtl/>
        </w:rPr>
        <w:t>:</w:t>
      </w:r>
      <w:r w:rsidRPr="006C3CF4">
        <w:rPr>
          <w:rFonts w:cs="Arial"/>
          <w:rtl/>
        </w:rPr>
        <w:t xml:space="preserve"> המשרה את אשתו על ידי שליש - לא יפחות לה משני קבין חטין או מארבעה קבין שעורין. </w:t>
      </w:r>
      <w:r w:rsidRPr="00B06F2D">
        <w:rPr>
          <w:rFonts w:cs="Arial"/>
          <w:u w:val="single"/>
          <w:rtl/>
        </w:rPr>
        <w:t>אמר רבי יוסי</w:t>
      </w:r>
      <w:r w:rsidRPr="006C3CF4">
        <w:rPr>
          <w:rFonts w:cs="Arial"/>
          <w:rtl/>
        </w:rPr>
        <w:t>: לא פסק לה שעורין אלא ר' ישמעאל, שהיה סמוך לאדום. ונותן לה חצי קב קיטנית וחצי לוג שמן וקב גרוגרות או מנה דבילה, ואם אין לו - פוסק לעומתן פירות ממקום אחר</w:t>
      </w:r>
      <w:r>
        <w:rPr>
          <w:rFonts w:cs="Arial" w:hint="cs"/>
          <w:rtl/>
        </w:rPr>
        <w:t>.</w:t>
      </w:r>
      <w:r w:rsidRPr="006C3CF4">
        <w:rPr>
          <w:rFonts w:cs="Arial"/>
          <w:rtl/>
        </w:rPr>
        <w:t xml:space="preserve"> 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 נותן לה מעה כסף לצורכה</w:t>
      </w:r>
      <w:r>
        <w:rPr>
          <w:rStyle w:val="a7"/>
          <w:rFonts w:cs="Arial"/>
          <w:rtl/>
        </w:rPr>
        <w:footnoteReference w:id="1056"/>
      </w:r>
      <w:r w:rsidRPr="006C3CF4">
        <w:rPr>
          <w:rFonts w:cs="Arial"/>
          <w:rtl/>
        </w:rPr>
        <w:t>. ואוכלת עמו מלילי שבת ללילי שבת</w:t>
      </w:r>
      <w:r>
        <w:rPr>
          <w:rStyle w:val="a7"/>
          <w:rFonts w:cs="Arial"/>
          <w:rtl/>
        </w:rPr>
        <w:footnoteReference w:id="1057"/>
      </w:r>
      <w:r w:rsidRPr="006C3CF4">
        <w:rPr>
          <w:rFonts w:cs="Arial"/>
          <w:rtl/>
        </w:rPr>
        <w:t>.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ואם היתה מניקה - פוחתין לה ממעשה ידיה ומוסיפין לה על מזונותיה. במה דברים אמורים - בעני שבישראל, אבל במכובד הכל לפי כבודו.</w:t>
      </w:r>
      <w:r>
        <w:rPr>
          <w:rFonts w:cs="Arial" w:hint="cs"/>
          <w:rtl/>
        </w:rPr>
        <w:t xml:space="preserve">..      </w:t>
      </w:r>
      <w:r w:rsidRPr="009D4C34">
        <w:rPr>
          <w:rFonts w:cs="Arial" w:hint="cs"/>
          <w:u w:val="double"/>
          <w:rtl/>
        </w:rPr>
        <w:t>גמ':</w:t>
      </w:r>
      <w:r w:rsidRPr="009D4C34">
        <w:rPr>
          <w:rFonts w:cs="Arial"/>
          <w:rtl/>
        </w:rPr>
        <w:t xml:space="preserve"> </w:t>
      </w:r>
      <w:r w:rsidRPr="00A04194">
        <w:rPr>
          <w:rFonts w:cs="Arial"/>
          <w:rtl/>
        </w:rPr>
        <w:t xml:space="preserve">ונותן לה חצי קב קיטנית. ואילו יין לא קתני, מסייע ליה לר' אלעזר, </w:t>
      </w:r>
      <w:r w:rsidRPr="009D4C34">
        <w:rPr>
          <w:rFonts w:cs="Arial"/>
          <w:u w:val="single"/>
          <w:rtl/>
        </w:rPr>
        <w:t>דאמר ר' אלעזר</w:t>
      </w:r>
      <w:r w:rsidRPr="00A04194">
        <w:rPr>
          <w:rFonts w:cs="Arial"/>
          <w:rtl/>
        </w:rPr>
        <w:t>:</w:t>
      </w:r>
      <w:r>
        <w:rPr>
          <w:rFonts w:cs="Arial" w:hint="cs"/>
          <w:rtl/>
        </w:rPr>
        <w:t xml:space="preserve"> </w:t>
      </w:r>
      <w:r>
        <w:rPr>
          <w:rFonts w:cs="Arial" w:hint="cs"/>
          <w:sz w:val="14"/>
          <w:szCs w:val="14"/>
          <w:rtl/>
        </w:rPr>
        <w:t>(סה.)</w:t>
      </w:r>
      <w:r>
        <w:rPr>
          <w:rFonts w:cs="Arial" w:hint="cs"/>
          <w:rtl/>
        </w:rPr>
        <w:t xml:space="preserve"> </w:t>
      </w:r>
      <w:r w:rsidRPr="00365BA7">
        <w:rPr>
          <w:rFonts w:cs="Arial"/>
          <w:rtl/>
        </w:rPr>
        <w:t>אין פוסקין יינות לאשה</w:t>
      </w:r>
      <w:r>
        <w:rPr>
          <w:rFonts w:cs="Arial" w:hint="cs"/>
          <w:rtl/>
        </w:rPr>
        <w:t>.</w:t>
      </w:r>
      <w:r w:rsidRPr="00365BA7">
        <w:rPr>
          <w:rFonts w:cs="Arial"/>
          <w:rtl/>
        </w:rPr>
        <w:t xml:space="preserve"> ואם תאמר: אלכה אחרי מאהבי נותני לחמי ומימי צמרי ופשתי שמני ושקויי! דברים שהאשה משתוקקת עליהן, ומאי נינהו? תכשיטין. </w:t>
      </w:r>
      <w:r w:rsidRPr="009D4C34">
        <w:rPr>
          <w:rFonts w:cs="Arial"/>
          <w:u w:val="single"/>
          <w:rtl/>
        </w:rPr>
        <w:t>דרש רבי יהודה איש כפר נביריא, ואמרי לה</w:t>
      </w:r>
      <w:r w:rsidRPr="009D4C34">
        <w:rPr>
          <w:rFonts w:cs="Arial" w:hint="cs"/>
          <w:u w:val="single"/>
          <w:rtl/>
        </w:rPr>
        <w:t>,</w:t>
      </w:r>
      <w:r w:rsidRPr="009D4C34">
        <w:rPr>
          <w:rFonts w:cs="Arial"/>
          <w:u w:val="single"/>
          <w:rtl/>
        </w:rPr>
        <w:t xml:space="preserve"> איש כפר נפור חיל</w:t>
      </w:r>
      <w:r w:rsidRPr="00365BA7">
        <w:rPr>
          <w:rFonts w:cs="Arial"/>
          <w:rtl/>
        </w:rPr>
        <w:t xml:space="preserve">: מנין שאין פוסקין יינות לאשה? שנאמר: ותקם חנה אחרי אכלה בשילה ואחרי שתה, שתה - ולא שתת. אלא מעתה, אכלה - ולא אכל הכי נמי! אנן מדשני קרא בדבוריה קאמרינן, מכדי בגוה קא עסיק ואתי, מאי טעמא שני? ש"מ, שתה - ולא שתת. מיתיבי: רגילה - נותנין לה! רגילה שאני, </w:t>
      </w:r>
      <w:r w:rsidRPr="009D4C34">
        <w:rPr>
          <w:rFonts w:cs="Arial"/>
          <w:u w:val="single"/>
          <w:rtl/>
        </w:rPr>
        <w:t>דאמר רב חיננא בר כהנא אמר שמואל</w:t>
      </w:r>
      <w:r w:rsidRPr="00365BA7">
        <w:rPr>
          <w:rFonts w:cs="Arial"/>
          <w:rtl/>
        </w:rPr>
        <w:t xml:space="preserve">: רגילה - נותנין לה כוס אחד, שאינה רגילה - נותנין לה שני כוסות. מאי קאמר? </w:t>
      </w:r>
      <w:r w:rsidRPr="009D4C34">
        <w:rPr>
          <w:rFonts w:cs="Arial"/>
          <w:u w:val="single"/>
          <w:rtl/>
        </w:rPr>
        <w:t>אמר אביי</w:t>
      </w:r>
      <w:r>
        <w:rPr>
          <w:rFonts w:cs="Arial" w:hint="cs"/>
          <w:rtl/>
        </w:rPr>
        <w:t>:</w:t>
      </w:r>
      <w:r w:rsidRPr="00365BA7">
        <w:rPr>
          <w:rFonts w:cs="Arial"/>
          <w:rtl/>
        </w:rPr>
        <w:t xml:space="preserve"> הכי קאמר</w:t>
      </w:r>
      <w:r>
        <w:rPr>
          <w:rFonts w:cs="Arial" w:hint="cs"/>
          <w:rtl/>
        </w:rPr>
        <w:t>,</w:t>
      </w:r>
      <w:r w:rsidRPr="00365BA7">
        <w:rPr>
          <w:rFonts w:cs="Arial"/>
          <w:rtl/>
        </w:rPr>
        <w:t xml:space="preserve"> רגילה בפני בעלה שני כוסות, שלא בפני בעלה - נותנין לה כוס אחד, אינה רגילה בפני בעלה אלא כוס אחד, שלא בפני בעלה - אין נותנין לה כל עיקר. ואי בעית אימא: רגילה - נותנין לה לציקי קדירה, דא"ר אבהו א"ר יוחנן: מעשה בכלתו של נקדימון בן גוריון, שפסקו לה חכמים סאתים יין לציקי קדרה מערב שבת לע"ש, אמרה להן: כך תפסקו לבנותיכם. תנא: שומרת יבם היתה, ולא ענו אחריה אמן. תנא: כוס אחד יפה לאשה, שנים - ניוול הוא, שלשה - תובעת בפה, ארבעה - אפילו חמור תובעת בשוק ואינה מקפדת. </w:t>
      </w:r>
      <w:r w:rsidRPr="009D4C34">
        <w:rPr>
          <w:rFonts w:cs="Arial"/>
          <w:u w:val="single"/>
          <w:rtl/>
        </w:rPr>
        <w:t>אמר רבא</w:t>
      </w:r>
      <w:r w:rsidRPr="00365BA7">
        <w:rPr>
          <w:rFonts w:cs="Arial"/>
          <w:rtl/>
        </w:rPr>
        <w:t xml:space="preserve">: לא שנו אלא שאין בעלה עמה, אבל בעלה עמה לית לן בה. והא חנה דבעלה עמה הואי! אכסנאי שאני, </w:t>
      </w:r>
      <w:r w:rsidRPr="009D4C34">
        <w:rPr>
          <w:rFonts w:cs="Arial"/>
          <w:u w:val="single"/>
          <w:rtl/>
        </w:rPr>
        <w:t>דאמר רב הונא</w:t>
      </w:r>
      <w:r w:rsidRPr="00365BA7">
        <w:rPr>
          <w:rFonts w:cs="Arial"/>
          <w:rtl/>
        </w:rPr>
        <w:t>: מנין לאכסנאי שאסור בתשמיש המטה? שנאמר: וישכימו בבקר וישתחוו לפני ה' וישובו ויבאו אל ביתם הרמתה וידע אלקנה את חנה אשתו ויזכרה ה', השתא אין, מעיקרא לא. חומא דביתהו דאביי אתאי לקמיה דרבא, אמרה ליה: פסוק לי מזוני, פסק לה. פסוק לי חמרא, א"ל: ידענא ביה בנחמני דלא הוה שתי חמרא, אמרה ליה: חיי דמר, דהוי משקי ליה בשופרזי כי האי.</w:t>
      </w:r>
      <w:r>
        <w:rPr>
          <w:rFonts w:cs="Arial" w:hint="cs"/>
          <w:rtl/>
        </w:rPr>
        <w:t>..</w:t>
      </w:r>
      <w:r w:rsidRPr="00365BA7">
        <w:rPr>
          <w:rFonts w:cs="Arial"/>
          <w:rtl/>
        </w:rPr>
        <w:t xml:space="preserve"> דביתהו דרב יוסף בריה דרבא אתאי לקמיה דרב נחמיה בריה דרב יוסף, אמרה ליה: פסוק לי מזוני, פסק לה. פסוק לי חמרא, פסק לה, אמר לה: ידענא בהו בבני מחוזא דשתו חמרא. דביתהו דרב יוסף בריה דרב מנשיא מדויל אתאי לקמיה דרב יוסף, א"ל: פסוק לי מזוני, פסק לה. פסוק לי חמרא, פסק לה</w:t>
      </w:r>
      <w:r>
        <w:rPr>
          <w:rFonts w:cs="Arial" w:hint="cs"/>
          <w:rtl/>
        </w:rPr>
        <w:t>..</w:t>
      </w:r>
      <w:r w:rsidRPr="00365BA7">
        <w:rPr>
          <w:rFonts w:cs="Arial"/>
          <w:rtl/>
        </w:rPr>
        <w:t>.</w:t>
      </w:r>
      <w:r>
        <w:rPr>
          <w:rFonts w:cs="Arial" w:hint="cs"/>
          <w:sz w:val="14"/>
          <w:szCs w:val="14"/>
          <w:rtl/>
        </w:rPr>
        <w:t xml:space="preserve"> (סה:)</w:t>
      </w:r>
      <w:r w:rsidRPr="00A04194">
        <w:rPr>
          <w:rtl/>
        </w:rPr>
        <w:t xml:space="preserve"> </w:t>
      </w:r>
      <w:r w:rsidRPr="000B581D">
        <w:rPr>
          <w:rFonts w:cs="Arial"/>
          <w:rtl/>
        </w:rPr>
        <w:t>ואין נותנין לה לא חדשים וכו'. ת"ר: מותר מזונות לבעל</w:t>
      </w:r>
      <w:r>
        <w:rPr>
          <w:rStyle w:val="a7"/>
          <w:rFonts w:cs="Arial"/>
          <w:rtl/>
        </w:rPr>
        <w:footnoteReference w:id="1058"/>
      </w:r>
      <w:r w:rsidRPr="000B581D">
        <w:rPr>
          <w:rFonts w:cs="Arial"/>
          <w:rtl/>
        </w:rPr>
        <w:t xml:space="preserve">, מותר בלאות לאשה. </w:t>
      </w:r>
      <w:r w:rsidRPr="00365BA7">
        <w:rPr>
          <w:rFonts w:cs="Arial"/>
          <w:rtl/>
        </w:rPr>
        <w:t xml:space="preserve">נותן לה מעה כסף וכו'. מאי אוכלת? </w:t>
      </w:r>
      <w:r w:rsidRPr="00E36B8D">
        <w:rPr>
          <w:rFonts w:cs="Arial"/>
          <w:u w:val="single"/>
          <w:rtl/>
        </w:rPr>
        <w:t>רב נחמן אמר</w:t>
      </w:r>
      <w:r w:rsidRPr="00365BA7">
        <w:rPr>
          <w:rFonts w:cs="Arial"/>
          <w:rtl/>
        </w:rPr>
        <w:t xml:space="preserve">: אוכלת ממש, </w:t>
      </w:r>
      <w:r w:rsidRPr="00E36B8D">
        <w:rPr>
          <w:rFonts w:cs="Arial"/>
          <w:u w:val="single"/>
          <w:rtl/>
        </w:rPr>
        <w:t>רב אשי אמר</w:t>
      </w:r>
      <w:r w:rsidRPr="00365BA7">
        <w:rPr>
          <w:rFonts w:cs="Arial"/>
          <w:rtl/>
        </w:rPr>
        <w:t xml:space="preserve">: תשמיש. תנן: אוכלת עמו לילי שבת; בשלמא למ"ד אכילה, היינו דקתני אוכלת, אלא למאן דאמר תשמיש, מאי אוכלת? לישנא מעליא כדכתיב: אכלה ומחתה פיה ואמרה לא פעלתי און. מיתיבי, רשב"ג אומר: אוכלת בלילי שבת ושבת; בשלמא למ"ד אכילה, היינו דקתני ושבת, אלא למאן דאמר תשמיש, תשמיש בשבת מי איכא? והאמר רב </w:t>
      </w:r>
      <w:r w:rsidRPr="00365BA7">
        <w:rPr>
          <w:rFonts w:cs="Arial"/>
          <w:rtl/>
        </w:rPr>
        <w:lastRenderedPageBreak/>
        <w:t>הונא: ישראל קדושים הן, ואין משמשין מטותיהן ביום! האמר רבא: בבית אפל מותר</w:t>
      </w:r>
      <w:r>
        <w:rPr>
          <w:rStyle w:val="a7"/>
          <w:rFonts w:cs="Arial"/>
          <w:rtl/>
        </w:rPr>
        <w:footnoteReference w:id="1059"/>
      </w:r>
      <w:r w:rsidRPr="00365BA7">
        <w:rPr>
          <w:rFonts w:cs="Arial"/>
          <w:rtl/>
        </w:rPr>
        <w:t>.</w:t>
      </w:r>
      <w:r>
        <w:rPr>
          <w:rFonts w:cs="Arial" w:hint="cs"/>
          <w:rtl/>
        </w:rPr>
        <w:t xml:space="preserve"> </w:t>
      </w:r>
      <w:r w:rsidRPr="00A04194">
        <w:rPr>
          <w:rFonts w:cs="Arial"/>
          <w:rtl/>
        </w:rPr>
        <w:t xml:space="preserve">ואם היתה מניקה. </w:t>
      </w:r>
      <w:r w:rsidRPr="00B06F2D">
        <w:rPr>
          <w:rFonts w:cs="Arial"/>
          <w:u w:val="single"/>
          <w:rtl/>
        </w:rPr>
        <w:t>דרש רבי עולא רבה אפיתחא דבי נשיאה</w:t>
      </w:r>
      <w:r w:rsidRPr="00A04194">
        <w:rPr>
          <w:rFonts w:cs="Arial"/>
          <w:rtl/>
        </w:rPr>
        <w:t>: אף על פי שאמרו אין אדם זן את בניו ובנותיו כשהן קטנים, אבל זן קטני קטנים. עד כמה? עד בן שש; כדרב אסי, דאמר רב אסי: קטן בן שש יוצא בעירוב אמו. ממאי? מדקתני: היתה מניקה - פוחתין לה ממעשה ידיה ומוסיפין לה על מזונותיה</w:t>
      </w:r>
      <w:r>
        <w:rPr>
          <w:rFonts w:cs="Arial" w:hint="cs"/>
          <w:rtl/>
        </w:rPr>
        <w:t>,</w:t>
      </w:r>
      <w:r w:rsidRPr="00A04194">
        <w:rPr>
          <w:rFonts w:cs="Arial"/>
          <w:rtl/>
        </w:rPr>
        <w:t xml:space="preserve"> מ"ט? לאו משום דבעי למיכל בהדה. ודלמא משום דחולה היא! אם כן, ליתני אם היתה חולה, מאי אם היתה מניקה. ודלמא הא קא משמע לן, דסתם מניקות חולות נינהו. איתמר, </w:t>
      </w:r>
      <w:r w:rsidRPr="009D4C34">
        <w:rPr>
          <w:rFonts w:cs="Arial"/>
          <w:u w:val="single"/>
          <w:rtl/>
        </w:rPr>
        <w:t>אמר רבי יהושע בן לוי</w:t>
      </w:r>
      <w:r w:rsidRPr="00A04194">
        <w:rPr>
          <w:rFonts w:cs="Arial"/>
          <w:rtl/>
        </w:rPr>
        <w:t>: מוסיפין לה יין, שהיין יפה לחלב.</w:t>
      </w:r>
    </w:p>
    <w:p w14:paraId="0E3275E3" w14:textId="77777777" w:rsidR="002E5BAD" w:rsidRDefault="002E5BAD" w:rsidP="002E5BAD">
      <w:pPr>
        <w:rPr>
          <w:rFonts w:cs="Arial"/>
          <w:rtl/>
        </w:rPr>
      </w:pPr>
      <w:r w:rsidRPr="00E36B8D">
        <w:rPr>
          <w:rFonts w:cs="Arial" w:hint="cs"/>
          <w:b/>
          <w:bCs/>
          <w:rtl/>
        </w:rPr>
        <w:t xml:space="preserve">כתובות </w:t>
      </w:r>
      <w:r>
        <w:rPr>
          <w:rFonts w:cs="Arial" w:hint="cs"/>
          <w:b/>
          <w:bCs/>
          <w:sz w:val="16"/>
          <w:szCs w:val="16"/>
          <w:rtl/>
        </w:rPr>
        <w:t>(פ' אף על פי)</w:t>
      </w:r>
      <w:r>
        <w:rPr>
          <w:rFonts w:cs="Arial" w:hint="cs"/>
          <w:b/>
          <w:bCs/>
          <w:rtl/>
        </w:rPr>
        <w:t xml:space="preserve"> </w:t>
      </w:r>
      <w:r w:rsidRPr="00E36B8D">
        <w:rPr>
          <w:rFonts w:cs="Arial" w:hint="cs"/>
          <w:b/>
          <w:bCs/>
          <w:rtl/>
        </w:rPr>
        <w:t xml:space="preserve">נח ע"ב: </w:t>
      </w:r>
      <w:r w:rsidRPr="00E36B8D">
        <w:rPr>
          <w:rFonts w:cs="Arial"/>
          <w:u w:val="double"/>
          <w:rtl/>
        </w:rPr>
        <w:t>מתני</w:t>
      </w:r>
      <w:r w:rsidRPr="00E36B8D">
        <w:rPr>
          <w:rFonts w:cs="Arial" w:hint="cs"/>
          <w:u w:val="double"/>
          <w:rtl/>
        </w:rPr>
        <w:t>'</w:t>
      </w:r>
      <w:r>
        <w:rPr>
          <w:rFonts w:cs="Arial" w:hint="cs"/>
          <w:rtl/>
        </w:rPr>
        <w:t>:</w:t>
      </w:r>
      <w:r w:rsidRPr="00E36B8D">
        <w:rPr>
          <w:rFonts w:cs="Arial"/>
          <w:rtl/>
        </w:rPr>
        <w:t xml:space="preserve"> המקדיש מעשה ידי אשתו - הרי זו עושה ואוכלת. המותר - </w:t>
      </w:r>
      <w:r w:rsidRPr="00E36B8D">
        <w:rPr>
          <w:rFonts w:cs="Arial"/>
          <w:u w:val="single"/>
          <w:rtl/>
        </w:rPr>
        <w:t>רבי מאיר אומר</w:t>
      </w:r>
      <w:r w:rsidRPr="00E36B8D">
        <w:rPr>
          <w:rFonts w:cs="Arial"/>
          <w:rtl/>
        </w:rPr>
        <w:t xml:space="preserve">: הקדש, </w:t>
      </w:r>
      <w:r w:rsidRPr="00E36B8D">
        <w:rPr>
          <w:rFonts w:cs="Arial"/>
          <w:u w:val="single"/>
          <w:rtl/>
        </w:rPr>
        <w:t>רבי יוחנן הסנדלר אומר</w:t>
      </w:r>
      <w:r w:rsidRPr="00E36B8D">
        <w:rPr>
          <w:rFonts w:cs="Arial"/>
          <w:rtl/>
        </w:rPr>
        <w:t xml:space="preserve">: חולין. </w:t>
      </w:r>
      <w:r>
        <w:rPr>
          <w:rFonts w:cs="Arial" w:hint="cs"/>
          <w:rtl/>
        </w:rPr>
        <w:t xml:space="preserve">      </w:t>
      </w:r>
      <w:r w:rsidRPr="00E36B8D">
        <w:rPr>
          <w:rFonts w:cs="Arial" w:hint="cs"/>
          <w:u w:val="double"/>
          <w:rtl/>
        </w:rPr>
        <w:t>גמ'</w:t>
      </w:r>
      <w:r>
        <w:rPr>
          <w:rFonts w:cs="Arial" w:hint="cs"/>
          <w:rtl/>
        </w:rPr>
        <w:t>:</w:t>
      </w:r>
      <w:r w:rsidRPr="00E36B8D">
        <w:rPr>
          <w:rtl/>
        </w:rPr>
        <w:t xml:space="preserve"> </w:t>
      </w:r>
      <w:r w:rsidRPr="00E36B8D">
        <w:rPr>
          <w:rFonts w:cs="Arial"/>
          <w:rtl/>
        </w:rPr>
        <w:t xml:space="preserve">המותר - רבי מאיר אומר: הקדש. אימת קדוש? </w:t>
      </w:r>
      <w:r w:rsidRPr="00FD0C1A">
        <w:rPr>
          <w:rFonts w:cs="Arial"/>
          <w:u w:val="single"/>
          <w:rtl/>
        </w:rPr>
        <w:t>רב ושמואל דאמרי תרווייהו</w:t>
      </w:r>
      <w:r w:rsidRPr="00E36B8D">
        <w:rPr>
          <w:rFonts w:cs="Arial"/>
          <w:rtl/>
        </w:rPr>
        <w:t xml:space="preserve">: מותר - לאחר מיתה קדוש, </w:t>
      </w:r>
      <w:r w:rsidRPr="00FD0C1A">
        <w:rPr>
          <w:rFonts w:cs="Arial"/>
          <w:u w:val="single"/>
          <w:rtl/>
        </w:rPr>
        <w:t>רב אדא בר אהבה אמר</w:t>
      </w:r>
      <w:r w:rsidRPr="00E36B8D">
        <w:rPr>
          <w:rFonts w:cs="Arial"/>
          <w:rtl/>
        </w:rPr>
        <w:t>: מותר - מחיים קדוש. הוי בה רב פפא, במאי?</w:t>
      </w:r>
      <w:r>
        <w:rPr>
          <w:rFonts w:cs="Arial" w:hint="cs"/>
          <w:rtl/>
        </w:rPr>
        <w:t>...</w:t>
      </w:r>
      <w:r w:rsidRPr="00E36B8D">
        <w:rPr>
          <w:rFonts w:cs="Arial"/>
          <w:rtl/>
        </w:rPr>
        <w:t xml:space="preserve"> לעולם, במעלה לה מזונות ואינו מעלה לה מעה כסף לצרכיה, רב ושמואל סברי: תקנו</w:t>
      </w:r>
      <w:r>
        <w:rPr>
          <w:rFonts w:cs="Arial" w:hint="cs"/>
          <w:rtl/>
        </w:rPr>
        <w:t xml:space="preserve"> </w:t>
      </w:r>
      <w:r>
        <w:rPr>
          <w:rFonts w:cs="Arial" w:hint="cs"/>
          <w:sz w:val="14"/>
          <w:szCs w:val="14"/>
          <w:rtl/>
        </w:rPr>
        <w:t>(עט.)</w:t>
      </w:r>
      <w:r>
        <w:rPr>
          <w:rFonts w:cs="Arial" w:hint="cs"/>
          <w:rtl/>
        </w:rPr>
        <w:t xml:space="preserve"> </w:t>
      </w:r>
      <w:r w:rsidRPr="006D55A4">
        <w:rPr>
          <w:rFonts w:cs="Arial"/>
          <w:rtl/>
        </w:rPr>
        <w:t>מזונות תחת מעשה ידיה, ומעה כסף תחת מותר, וכיון דלא קא יהיב לה מעה כסף - מותר דידה הוי; רב אדא בר אהבה סבר: תקנו מזונות תחת מותר, ומעה כסף תחת מעשה ידיה, וכיון דקא יהיב לה מזוני - מותר דידיה הוי.</w:t>
      </w:r>
      <w:r>
        <w:rPr>
          <w:rFonts w:cs="Arial" w:hint="cs"/>
          <w:rtl/>
        </w:rPr>
        <w:t xml:space="preserve"> </w:t>
      </w:r>
      <w:r w:rsidRPr="002464AB">
        <w:rPr>
          <w:rFonts w:cs="Arial" w:hint="cs"/>
          <w:sz w:val="16"/>
          <w:szCs w:val="16"/>
          <w:rtl/>
        </w:rPr>
        <w:t>(</w:t>
      </w:r>
      <w:r w:rsidRPr="002464AB">
        <w:rPr>
          <w:rFonts w:cs="Arial"/>
          <w:sz w:val="16"/>
          <w:szCs w:val="16"/>
          <w:rtl/>
        </w:rPr>
        <w:t>וא</w:t>
      </w:r>
      <w:r>
        <w:rPr>
          <w:rFonts w:cs="Arial" w:hint="cs"/>
          <w:sz w:val="16"/>
          <w:szCs w:val="16"/>
          <w:rtl/>
        </w:rPr>
        <w:t>ע"ג</w:t>
      </w:r>
      <w:r w:rsidRPr="002464AB">
        <w:rPr>
          <w:rFonts w:cs="Arial"/>
          <w:sz w:val="16"/>
          <w:szCs w:val="16"/>
          <w:rtl/>
        </w:rPr>
        <w:t xml:space="preserve"> דרב אדא בר אהבה פליג עליהו דרב ושמואל כותיהו נקטינן</w:t>
      </w:r>
      <w:r>
        <w:rPr>
          <w:rFonts w:cs="Arial" w:hint="cs"/>
          <w:sz w:val="16"/>
          <w:szCs w:val="16"/>
          <w:rtl/>
        </w:rPr>
        <w:t>, ב"י)</w:t>
      </w:r>
      <w:r>
        <w:rPr>
          <w:rFonts w:cs="Arial"/>
          <w:rtl/>
        </w:rPr>
        <w:t xml:space="preserve"> </w:t>
      </w:r>
    </w:p>
    <w:p w14:paraId="40E12E3A" w14:textId="77777777" w:rsidR="002E5BAD" w:rsidRPr="009C1E95" w:rsidRDefault="002E5BAD" w:rsidP="002E5BAD">
      <w:pPr>
        <w:rPr>
          <w:u w:val="single"/>
          <w:rtl/>
        </w:rPr>
      </w:pPr>
      <w:r>
        <w:rPr>
          <w:rFonts w:hint="cs"/>
          <w:u w:val="single"/>
          <w:rtl/>
        </w:rPr>
        <w:t xml:space="preserve">חיוב מזונות אשתו </w:t>
      </w:r>
      <w:r>
        <w:rPr>
          <w:u w:val="single"/>
          <w:rtl/>
        </w:rPr>
        <w:t>–</w:t>
      </w:r>
      <w:r>
        <w:rPr>
          <w:rFonts w:hint="cs"/>
          <w:u w:val="single"/>
          <w:rtl/>
        </w:rPr>
        <w:t xml:space="preserve"> כשאוכלת עמו</w:t>
      </w:r>
      <w:r w:rsidRPr="009C1E95">
        <w:rPr>
          <w:rFonts w:hint="cs"/>
          <w:u w:val="single"/>
          <w:rtl/>
        </w:rPr>
        <w:t>:</w:t>
      </w:r>
    </w:p>
    <w:p w14:paraId="19B739B8" w14:textId="77777777" w:rsidR="002E5BAD" w:rsidRDefault="002E5BAD" w:rsidP="002E5BAD">
      <w:pPr>
        <w:pStyle w:val="ab"/>
        <w:numPr>
          <w:ilvl w:val="0"/>
          <w:numId w:val="130"/>
        </w:numPr>
        <w:rPr>
          <w:rFonts w:cs="Aria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Pr="00513959">
        <w:rPr>
          <w:rFonts w:cs="Arial"/>
          <w:sz w:val="16"/>
          <w:szCs w:val="16"/>
          <w:rtl/>
        </w:rPr>
        <w:t>סי' ג)</w:t>
      </w:r>
      <w:r>
        <w:rPr>
          <w:rFonts w:cs="Arial" w:hint="cs"/>
          <w:rtl/>
        </w:rPr>
        <w:t xml:space="preserve"> וטור- </w:t>
      </w:r>
      <w:r w:rsidRPr="00D6322E">
        <w:rPr>
          <w:rFonts w:cs="Arial"/>
          <w:rtl/>
        </w:rPr>
        <w:t>חייב במזונותיה</w:t>
      </w:r>
      <w:r>
        <w:rPr>
          <w:rFonts w:cs="Arial" w:hint="cs"/>
          <w:rtl/>
        </w:rPr>
        <w:t>.</w:t>
      </w:r>
      <w:r w:rsidRPr="00D6322E">
        <w:rPr>
          <w:rFonts w:cs="Arial"/>
          <w:rtl/>
        </w:rPr>
        <w:t xml:space="preserve"> כיצד</w:t>
      </w:r>
      <w:r>
        <w:rPr>
          <w:rFonts w:cs="Arial" w:hint="cs"/>
          <w:rtl/>
        </w:rPr>
        <w:t>,</w:t>
      </w:r>
      <w:r w:rsidRPr="00D6322E">
        <w:rPr>
          <w:rFonts w:cs="Arial"/>
          <w:rtl/>
        </w:rPr>
        <w:t xml:space="preserve"> אוכלת עמו ממה שהוא אוכל</w:t>
      </w:r>
      <w:r>
        <w:rPr>
          <w:rFonts w:cs="Arial" w:hint="cs"/>
          <w:rtl/>
        </w:rPr>
        <w:t>,</w:t>
      </w:r>
      <w:r w:rsidRPr="00D6322E">
        <w:rPr>
          <w:rFonts w:cs="Arial"/>
          <w:rtl/>
        </w:rPr>
        <w:t xml:space="preserve"> ושותה עמו ממה שהוא שותה</w:t>
      </w:r>
      <w:r>
        <w:rPr>
          <w:rFonts w:cs="Arial" w:hint="cs"/>
          <w:rtl/>
        </w:rPr>
        <w:t>,</w:t>
      </w:r>
      <w:r w:rsidRPr="00D6322E">
        <w:rPr>
          <w:rFonts w:cs="Arial"/>
          <w:rtl/>
        </w:rPr>
        <w:t xml:space="preserve"> ואם משפחתה ובית אביה מנהגם בגדולות יותר ממה שנוהג הבעל</w:t>
      </w:r>
      <w:r>
        <w:rPr>
          <w:rFonts w:cs="Arial" w:hint="cs"/>
          <w:rtl/>
        </w:rPr>
        <w:t>,</w:t>
      </w:r>
      <w:r w:rsidRPr="00D6322E">
        <w:rPr>
          <w:rFonts w:cs="Arial"/>
          <w:rtl/>
        </w:rPr>
        <w:t xml:space="preserve"> אם כל בני משפחתה בין אותם שהן עשירים בין שאינם עשירים מבקשים אותם הגדולות</w:t>
      </w:r>
      <w:r>
        <w:rPr>
          <w:rFonts w:cs="Arial" w:hint="cs"/>
          <w:rtl/>
        </w:rPr>
        <w:t>,</w:t>
      </w:r>
      <w:r w:rsidRPr="00D6322E">
        <w:rPr>
          <w:rFonts w:cs="Arial"/>
          <w:rtl/>
        </w:rPr>
        <w:t xml:space="preserve"> אז צריך להנהיגה כדרך שנוהגין בני משפחתה</w:t>
      </w:r>
      <w:r>
        <w:rPr>
          <w:rFonts w:cs="Arial" w:hint="cs"/>
          <w:rtl/>
        </w:rPr>
        <w:t>,</w:t>
      </w:r>
      <w:r w:rsidRPr="00D6322E">
        <w:rPr>
          <w:rFonts w:cs="Arial"/>
          <w:rtl/>
        </w:rPr>
        <w:t xml:space="preserve"> דקי"ל עולה עמו ואינה יורדת עמו</w:t>
      </w:r>
      <w:r>
        <w:rPr>
          <w:rFonts w:cs="Arial" w:hint="cs"/>
          <w:rtl/>
        </w:rPr>
        <w:t>.</w:t>
      </w:r>
      <w:r w:rsidRPr="00D6322E">
        <w:rPr>
          <w:rFonts w:cs="Arial"/>
          <w:rtl/>
        </w:rPr>
        <w:t xml:space="preserve"> ואם אין כל משפחתה מבקשים אותם הגדולות</w:t>
      </w:r>
      <w:r>
        <w:rPr>
          <w:rFonts w:cs="Arial" w:hint="cs"/>
          <w:rtl/>
        </w:rPr>
        <w:t xml:space="preserve"> (אלא שבבית אביה נוהגין כן מפני שוהא עשיר אבל שאר בני משפחתה שאין להם עושר אלא כמו שיש לבעלה אינם מבקשים אותם הגדולות), </w:t>
      </w:r>
      <w:r w:rsidRPr="00D6322E">
        <w:rPr>
          <w:rFonts w:cs="Arial"/>
          <w:rtl/>
        </w:rPr>
        <w:t>אז אינו חייב לה בהן כל זמן שאוכלת עמו</w:t>
      </w:r>
      <w:r>
        <w:rPr>
          <w:rFonts w:cs="Arial" w:hint="cs"/>
          <w:rtl/>
        </w:rPr>
        <w:t>.</w:t>
      </w:r>
      <w:r w:rsidRPr="00DE18F4">
        <w:rPr>
          <w:rFonts w:cs="Arial"/>
          <w:color w:val="E36C0A" w:themeColor="accent6" w:themeShade="BF"/>
          <w:rtl/>
        </w:rPr>
        <w:t xml:space="preserve"> </w:t>
      </w:r>
      <w:r w:rsidRPr="00DE18F4">
        <w:rPr>
          <w:rFonts w:cs="Arial" w:hint="cs"/>
          <w:color w:val="E36C0A" w:themeColor="accent6" w:themeShade="BF"/>
          <w:rtl/>
        </w:rPr>
        <w:t>(וכ"פ בשו"ע)</w:t>
      </w:r>
    </w:p>
    <w:p w14:paraId="252E08BC" w14:textId="77777777" w:rsidR="002E5BAD" w:rsidRPr="00DE18F4" w:rsidRDefault="002E5BAD" w:rsidP="002E5BAD">
      <w:pPr>
        <w:ind w:left="360"/>
        <w:rPr>
          <w:rFonts w:cs="Arial"/>
          <w:u w:val="dotted"/>
        </w:rPr>
      </w:pPr>
      <w:r w:rsidRPr="00DE18F4">
        <w:rPr>
          <w:rFonts w:cs="Arial" w:hint="cs"/>
          <w:u w:val="dotted"/>
          <w:rtl/>
        </w:rPr>
        <w:t>ומה הדין אם אינה אוכלת עמו:</w:t>
      </w:r>
    </w:p>
    <w:p w14:paraId="7211D34F" w14:textId="77777777" w:rsidR="002E5BAD" w:rsidRDefault="002E5BAD" w:rsidP="002E5BAD">
      <w:pPr>
        <w:pStyle w:val="ab"/>
        <w:numPr>
          <w:ilvl w:val="0"/>
          <w:numId w:val="130"/>
        </w:numPr>
        <w:rPr>
          <w:rFonts w:cs="Aria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Pr="00513959">
        <w:rPr>
          <w:rFonts w:cs="Arial"/>
          <w:sz w:val="16"/>
          <w:szCs w:val="16"/>
          <w:rtl/>
        </w:rPr>
        <w:t>סי' ג)</w:t>
      </w:r>
      <w:r>
        <w:rPr>
          <w:rFonts w:cs="Arial" w:hint="cs"/>
          <w:rtl/>
        </w:rPr>
        <w:t xml:space="preserve"> וטור- </w:t>
      </w:r>
      <w:r w:rsidRPr="00D6322E">
        <w:rPr>
          <w:rFonts w:cs="Arial"/>
          <w:rtl/>
        </w:rPr>
        <w:t>אבל אם אינה אוכלת עמו אלא נותן לה מזונותיה לבדה</w:t>
      </w:r>
      <w:r>
        <w:rPr>
          <w:rFonts w:cs="Arial" w:hint="cs"/>
          <w:rtl/>
        </w:rPr>
        <w:t xml:space="preserve"> -</w:t>
      </w:r>
      <w:r w:rsidRPr="00D6322E">
        <w:rPr>
          <w:rFonts w:cs="Arial"/>
          <w:rtl/>
        </w:rPr>
        <w:t xml:space="preserve"> אז צריך להנהיגה כדרך שהיתה נוהגת בבית אביה</w:t>
      </w:r>
      <w:r>
        <w:rPr>
          <w:rFonts w:cs="Arial" w:hint="cs"/>
          <w:rtl/>
        </w:rPr>
        <w:t>,</w:t>
      </w:r>
      <w:r w:rsidRPr="00D6322E">
        <w:rPr>
          <w:rFonts w:cs="Arial"/>
          <w:rtl/>
        </w:rPr>
        <w:t xml:space="preserve"> </w:t>
      </w:r>
      <w:r w:rsidRPr="009826B1">
        <w:rPr>
          <w:rFonts w:cs="Arial"/>
          <w:rtl/>
        </w:rPr>
        <w:t>שהרי ברשותו הוא ליתן לה מזונות והיא תאכל לבדה כל זמן שתרצה</w:t>
      </w:r>
      <w:r>
        <w:rPr>
          <w:rFonts w:cs="Arial" w:hint="cs"/>
          <w:rtl/>
        </w:rPr>
        <w:t>,</w:t>
      </w:r>
      <w:r w:rsidRPr="009826B1">
        <w:rPr>
          <w:rFonts w:cs="Arial"/>
          <w:rtl/>
        </w:rPr>
        <w:t xml:space="preserve"> דתנן המשרה אשתו ע"י שליש פירוש שמפרנסה ע"י אחר לא יפחות לה מב' קבין חטין לשבוע או ד' קבין שעורין ונותן לה חצי לוג שמן וחצי קב קטנית וקב גרוגרות או מנה דבילה ואם אין לו פוסק לעומתם פירות ממקום אחר</w:t>
      </w:r>
      <w:r>
        <w:rPr>
          <w:rFonts w:cs="Arial" w:hint="cs"/>
          <w:rtl/>
        </w:rPr>
        <w:t>.</w:t>
      </w:r>
      <w:r w:rsidRPr="009826B1">
        <w:rPr>
          <w:rFonts w:cs="Arial"/>
          <w:rtl/>
        </w:rPr>
        <w:t xml:space="preserve"> ואם היא מניקה נותן לה יין</w:t>
      </w:r>
      <w:r>
        <w:rPr>
          <w:rFonts w:cs="Arial" w:hint="cs"/>
          <w:rtl/>
        </w:rPr>
        <w:t>.</w:t>
      </w:r>
      <w:r w:rsidRPr="009826B1">
        <w:rPr>
          <w:rFonts w:cs="Arial"/>
          <w:rtl/>
        </w:rPr>
        <w:t xml:space="preserve"> ואם היא רגילה ביין</w:t>
      </w:r>
      <w:r>
        <w:rPr>
          <w:rFonts w:cs="Arial" w:hint="cs"/>
          <w:rtl/>
        </w:rPr>
        <w:t>,</w:t>
      </w:r>
      <w:r w:rsidRPr="009826B1">
        <w:rPr>
          <w:rFonts w:cs="Arial"/>
          <w:rtl/>
        </w:rPr>
        <w:t xml:space="preserve"> נותן לה אפילו אינה מניקה</w:t>
      </w:r>
      <w:r>
        <w:rPr>
          <w:rFonts w:cs="Arial" w:hint="cs"/>
          <w:rtl/>
        </w:rPr>
        <w:t>.</w:t>
      </w:r>
      <w:r w:rsidRPr="009826B1">
        <w:rPr>
          <w:rFonts w:cs="Arial"/>
          <w:rtl/>
        </w:rPr>
        <w:t xml:space="preserve"> ואוכלת על שלחנו מליל שבת לליל שבת</w:t>
      </w:r>
      <w:r>
        <w:rPr>
          <w:rFonts w:cs="Arial" w:hint="cs"/>
          <w:rtl/>
        </w:rPr>
        <w:t>.</w:t>
      </w:r>
      <w:r w:rsidRPr="009826B1">
        <w:rPr>
          <w:rFonts w:cs="Arial"/>
          <w:rtl/>
        </w:rPr>
        <w:t xml:space="preserve"> ונותן לה מעה כסף לשבוע לצורך דברים קטנים</w:t>
      </w:r>
      <w:r>
        <w:rPr>
          <w:rFonts w:cs="Arial" w:hint="cs"/>
          <w:rtl/>
        </w:rPr>
        <w:t>,</w:t>
      </w:r>
      <w:r w:rsidRPr="009826B1">
        <w:rPr>
          <w:rFonts w:cs="Arial"/>
          <w:rtl/>
        </w:rPr>
        <w:t xml:space="preserve"> ואם אינו נותנו לה</w:t>
      </w:r>
      <w:r>
        <w:rPr>
          <w:rStyle w:val="a7"/>
          <w:rFonts w:cs="Arial"/>
          <w:rtl/>
        </w:rPr>
        <w:footnoteReference w:id="1060"/>
      </w:r>
      <w:r w:rsidRPr="009826B1">
        <w:rPr>
          <w:rFonts w:cs="Arial"/>
          <w:rtl/>
        </w:rPr>
        <w:t xml:space="preserve"> מה שעשתה מותר על המעשה ידיה הקצוב שחייבת לתת לו </w:t>
      </w:r>
      <w:r>
        <w:rPr>
          <w:rFonts w:cs="Arial" w:hint="cs"/>
          <w:rtl/>
        </w:rPr>
        <w:t>כ</w:t>
      </w:r>
      <w:r w:rsidRPr="009826B1">
        <w:rPr>
          <w:rFonts w:cs="Arial"/>
          <w:rtl/>
        </w:rPr>
        <w:t xml:space="preserve">דלקמן </w:t>
      </w:r>
      <w:r w:rsidRPr="00E36B8D">
        <w:rPr>
          <w:rFonts w:cs="Arial"/>
          <w:sz w:val="16"/>
          <w:szCs w:val="16"/>
          <w:rtl/>
        </w:rPr>
        <w:t>(סי</w:t>
      </w:r>
      <w:r>
        <w:rPr>
          <w:rFonts w:cs="Arial" w:hint="cs"/>
          <w:sz w:val="16"/>
          <w:szCs w:val="16"/>
          <w:rtl/>
        </w:rPr>
        <w:t>'</w:t>
      </w:r>
      <w:r w:rsidRPr="00E36B8D">
        <w:rPr>
          <w:rFonts w:cs="Arial"/>
          <w:sz w:val="16"/>
          <w:szCs w:val="16"/>
          <w:rtl/>
        </w:rPr>
        <w:t xml:space="preserve"> פ)</w:t>
      </w:r>
      <w:r>
        <w:rPr>
          <w:rFonts w:cs="Arial" w:hint="cs"/>
          <w:sz w:val="16"/>
          <w:szCs w:val="16"/>
          <w:rtl/>
        </w:rPr>
        <w:t xml:space="preserve"> </w:t>
      </w:r>
      <w:r>
        <w:rPr>
          <w:rFonts w:cs="Arial" w:hint="cs"/>
          <w:rtl/>
        </w:rPr>
        <w:t xml:space="preserve">- </w:t>
      </w:r>
      <w:r w:rsidRPr="009826B1">
        <w:rPr>
          <w:rFonts w:cs="Arial"/>
          <w:rtl/>
        </w:rPr>
        <w:t>הוא שלה</w:t>
      </w:r>
      <w:r>
        <w:rPr>
          <w:rFonts w:cs="Arial" w:hint="cs"/>
          <w:rtl/>
        </w:rPr>
        <w:t>.</w:t>
      </w:r>
      <w:r w:rsidRPr="009826B1">
        <w:rPr>
          <w:rFonts w:cs="Arial"/>
          <w:rtl/>
        </w:rPr>
        <w:t xml:space="preserve"> אם צמצמה והותירה מאלו המזונות הוא של הבעל</w:t>
      </w:r>
      <w:r>
        <w:rPr>
          <w:rFonts w:cs="Arial" w:hint="cs"/>
          <w:rtl/>
        </w:rPr>
        <w:t xml:space="preserve">. </w:t>
      </w:r>
      <w:r w:rsidRPr="00A30C15">
        <w:rPr>
          <w:rFonts w:cs="Arial"/>
          <w:rtl/>
        </w:rPr>
        <w:t>בד"א בעני שבישראל</w:t>
      </w:r>
      <w:r w:rsidRPr="00A30C15">
        <w:rPr>
          <w:rFonts w:cs="Arial" w:hint="cs"/>
          <w:rtl/>
        </w:rPr>
        <w:t>,</w:t>
      </w:r>
      <w:r w:rsidRPr="00A30C15">
        <w:rPr>
          <w:rFonts w:cs="Arial"/>
          <w:rtl/>
        </w:rPr>
        <w:t xml:space="preserve"> אבל בעשירים</w:t>
      </w:r>
      <w:r>
        <w:rPr>
          <w:rStyle w:val="a7"/>
          <w:rFonts w:cs="Arial"/>
          <w:rtl/>
        </w:rPr>
        <w:footnoteReference w:id="1061"/>
      </w:r>
      <w:r w:rsidRPr="00A30C15">
        <w:rPr>
          <w:rFonts w:cs="Arial"/>
          <w:rtl/>
        </w:rPr>
        <w:t xml:space="preserve"> </w:t>
      </w:r>
      <w:r w:rsidRPr="00A30C15">
        <w:rPr>
          <w:rFonts w:cs="Arial" w:hint="cs"/>
          <w:rtl/>
        </w:rPr>
        <w:t xml:space="preserve">- </w:t>
      </w:r>
      <w:r w:rsidRPr="00A30C15">
        <w:rPr>
          <w:rFonts w:cs="Arial"/>
          <w:rtl/>
        </w:rPr>
        <w:t>הכל לפי כבודם</w:t>
      </w:r>
      <w:r>
        <w:rPr>
          <w:rFonts w:cs="Arial" w:hint="cs"/>
          <w:rtl/>
        </w:rPr>
        <w:t xml:space="preserve"> </w:t>
      </w:r>
      <w:r>
        <w:rPr>
          <w:rFonts w:cs="Arial" w:hint="cs"/>
          <w:sz w:val="16"/>
          <w:szCs w:val="16"/>
          <w:rtl/>
        </w:rPr>
        <w:t>(ל' הטור)</w:t>
      </w:r>
      <w:r w:rsidRPr="00A30C15">
        <w:rPr>
          <w:rFonts w:cs="Arial" w:hint="cs"/>
          <w:rtl/>
        </w:rPr>
        <w:t>.</w:t>
      </w:r>
      <w:r>
        <w:rPr>
          <w:rFonts w:cs="Arial" w:hint="cs"/>
          <w:rtl/>
        </w:rPr>
        <w:t xml:space="preserve"> </w:t>
      </w:r>
      <w:r w:rsidRPr="002B771C">
        <w:rPr>
          <w:rFonts w:cs="Arial" w:hint="cs"/>
          <w:color w:val="00B0F0"/>
          <w:rtl/>
        </w:rPr>
        <w:t>(וכ"פ הרמ"א</w:t>
      </w:r>
      <w:r>
        <w:rPr>
          <w:rFonts w:cs="Arial" w:hint="cs"/>
          <w:color w:val="00B0F0"/>
          <w:sz w:val="16"/>
          <w:szCs w:val="16"/>
          <w:rtl/>
        </w:rPr>
        <w:t xml:space="preserve"> </w:t>
      </w:r>
      <w:r w:rsidRPr="002B771C">
        <w:rPr>
          <w:rFonts w:cs="Arial" w:hint="cs"/>
          <w:color w:val="000000" w:themeColor="text1"/>
          <w:sz w:val="16"/>
          <w:szCs w:val="16"/>
          <w:rtl/>
        </w:rPr>
        <w:t>[כאן ובס"ג]</w:t>
      </w:r>
      <w:r w:rsidRPr="002B771C">
        <w:rPr>
          <w:rFonts w:cs="Arial" w:hint="cs"/>
          <w:color w:val="00B0F0"/>
          <w:rtl/>
        </w:rPr>
        <w:t>)</w:t>
      </w:r>
    </w:p>
    <w:p w14:paraId="30E474B0" w14:textId="77777777" w:rsidR="002E5BAD" w:rsidRPr="00BC010C" w:rsidRDefault="002E5BAD" w:rsidP="002E5BAD">
      <w:pPr>
        <w:pStyle w:val="ab"/>
        <w:numPr>
          <w:ilvl w:val="0"/>
          <w:numId w:val="130"/>
        </w:numPr>
        <w:rPr>
          <w:rFonts w:cs="Aria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ה"י</w:t>
      </w:r>
      <w:r w:rsidRPr="00E36B8D">
        <w:rPr>
          <w:rFonts w:cs="Arial" w:hint="cs"/>
          <w:sz w:val="16"/>
          <w:szCs w:val="16"/>
          <w:rtl/>
        </w:rPr>
        <w:t>-</w:t>
      </w:r>
      <w:r>
        <w:rPr>
          <w:rFonts w:cs="Arial" w:hint="cs"/>
          <w:sz w:val="16"/>
          <w:szCs w:val="16"/>
          <w:rtl/>
        </w:rPr>
        <w:t>יא, יג</w:t>
      </w:r>
      <w:r w:rsidRPr="00E36B8D">
        <w:rPr>
          <w:rFonts w:cs="Arial"/>
          <w:sz w:val="16"/>
          <w:szCs w:val="16"/>
          <w:rtl/>
        </w:rPr>
        <w:t>)</w:t>
      </w:r>
      <w:r>
        <w:rPr>
          <w:rFonts w:cs="Arial" w:hint="cs"/>
          <w:sz w:val="18"/>
          <w:szCs w:val="18"/>
          <w:rtl/>
        </w:rPr>
        <w:t xml:space="preserve"> </w:t>
      </w:r>
      <w:r w:rsidRPr="00644F88">
        <w:rPr>
          <w:rFonts w:cs="Arial"/>
          <w:rtl/>
        </w:rPr>
        <w:t>כמה מזונות פוסקין לאשה, פוסקין לה לחם שתי סעודות בכל יום סעודה בינונית של כל אדם באותה העיר שאינו לא חולה ולא גרגרן, ומאותו מאכל של אנשי אותה העיר אם חטים חטים ואם שעורים שעורים וכן אורז או דוחן או משאר מינין שנהגו בהן</w:t>
      </w:r>
      <w:r>
        <w:rPr>
          <w:rFonts w:cs="Arial" w:hint="cs"/>
          <w:rtl/>
        </w:rPr>
        <w:t>.</w:t>
      </w:r>
      <w:r w:rsidRPr="00644F88">
        <w:rPr>
          <w:rFonts w:cs="Arial"/>
          <w:rtl/>
        </w:rPr>
        <w:t xml:space="preserve"> ופוסקין לה פרפרת לאכול בה הפת כגון קטנית או ירקות וכיוצא בהן, ושמן לאכילה ושמן להדלקת הנר ופירות</w:t>
      </w:r>
      <w:r>
        <w:rPr>
          <w:rFonts w:cs="Arial" w:hint="cs"/>
          <w:rtl/>
        </w:rPr>
        <w:t>.</w:t>
      </w:r>
      <w:r w:rsidRPr="00644F88">
        <w:rPr>
          <w:rFonts w:cs="Arial"/>
          <w:rtl/>
        </w:rPr>
        <w:t xml:space="preserve"> ומעט יין לשתות</w:t>
      </w:r>
      <w:r>
        <w:rPr>
          <w:rFonts w:cs="Arial" w:hint="cs"/>
          <w:rtl/>
        </w:rPr>
        <w:t>,</w:t>
      </w:r>
      <w:r w:rsidRPr="00644F88">
        <w:rPr>
          <w:rFonts w:cs="Arial"/>
          <w:rtl/>
        </w:rPr>
        <w:t xml:space="preserve"> אם היה מנהג המקום שישתו הנשים יין</w:t>
      </w:r>
      <w:r>
        <w:rPr>
          <w:rStyle w:val="a7"/>
          <w:rFonts w:cs="Arial"/>
          <w:rtl/>
        </w:rPr>
        <w:footnoteReference w:id="1062"/>
      </w:r>
      <w:r w:rsidRPr="00644F88">
        <w:rPr>
          <w:rFonts w:cs="Arial"/>
          <w:rtl/>
        </w:rPr>
        <w:t>. ופוסקין לה שלש סעודות בשבת ובשר או דגים כמנהג המקום, ונותן לה בכל שבת ושבת מעה כסף לצרכיה כגון פרוטה לכבוס או למרחץ וכיוצא בהן.</w:t>
      </w:r>
      <w:r w:rsidRPr="00644F88">
        <w:rPr>
          <w:rtl/>
        </w:rPr>
        <w:t xml:space="preserve"> </w:t>
      </w:r>
      <w:r w:rsidRPr="00644F88">
        <w:rPr>
          <w:rFonts w:cs="Arial"/>
          <w:rtl/>
        </w:rPr>
        <w:t>במה דברים אמורים בעני שבישראל אבל אם היה עשיר הכל לפי עשרו, אפילו היה ממונו ראוי לעשות לה כמה תבשילי בשר בכל יום כופין אותו ופוסקין לה מזונות כפי ממונו</w:t>
      </w:r>
      <w:r>
        <w:rPr>
          <w:rFonts w:cs="Arial" w:hint="cs"/>
          <w:rtl/>
        </w:rPr>
        <w:t>...</w:t>
      </w:r>
      <w:r w:rsidRPr="00DE18F4">
        <w:rPr>
          <w:rtl/>
        </w:rPr>
        <w:t xml:space="preserve"> </w:t>
      </w:r>
      <w:r w:rsidRPr="00DE18F4">
        <w:rPr>
          <w:rFonts w:cs="Arial"/>
          <w:rtl/>
        </w:rPr>
        <w:t>האשה שפסקו לה מזונות והותירו</w:t>
      </w:r>
      <w:r>
        <w:rPr>
          <w:rFonts w:cs="Arial" w:hint="cs"/>
          <w:rtl/>
        </w:rPr>
        <w:t>,</w:t>
      </w:r>
      <w:r w:rsidRPr="00DE18F4">
        <w:rPr>
          <w:rFonts w:cs="Arial"/>
          <w:rtl/>
        </w:rPr>
        <w:t xml:space="preserve"> המותר לבעל</w:t>
      </w:r>
      <w:r>
        <w:rPr>
          <w:rFonts w:cs="Arial" w:hint="cs"/>
          <w:rtl/>
        </w:rPr>
        <w:t>.</w:t>
      </w:r>
      <w:r w:rsidRPr="00DE18F4">
        <w:rPr>
          <w:rFonts w:cs="Arial"/>
          <w:color w:val="E36C0A" w:themeColor="accent6" w:themeShade="BF"/>
          <w:rtl/>
        </w:rPr>
        <w:t xml:space="preserve"> </w:t>
      </w:r>
      <w:r w:rsidRPr="00DE18F4">
        <w:rPr>
          <w:rFonts w:cs="Arial" w:hint="cs"/>
          <w:color w:val="E36C0A" w:themeColor="accent6" w:themeShade="BF"/>
          <w:rtl/>
        </w:rPr>
        <w:t>(וכ"פ בשו"ע</w:t>
      </w:r>
      <w:r>
        <w:rPr>
          <w:rFonts w:cs="Arial" w:hint="cs"/>
          <w:color w:val="E36C0A" w:themeColor="accent6" w:themeShade="BF"/>
          <w:sz w:val="16"/>
          <w:szCs w:val="16"/>
          <w:rtl/>
        </w:rPr>
        <w:t xml:space="preserve"> </w:t>
      </w:r>
      <w:r w:rsidRPr="00DE18F4">
        <w:rPr>
          <w:rFonts w:cs="Arial" w:hint="cs"/>
          <w:color w:val="000000" w:themeColor="text1"/>
          <w:sz w:val="16"/>
          <w:szCs w:val="16"/>
          <w:rtl/>
        </w:rPr>
        <w:t>[בס"</w:t>
      </w:r>
      <w:r>
        <w:rPr>
          <w:rFonts w:cs="Arial" w:hint="cs"/>
          <w:color w:val="000000" w:themeColor="text1"/>
          <w:sz w:val="16"/>
          <w:szCs w:val="16"/>
          <w:rtl/>
        </w:rPr>
        <w:t>ג</w:t>
      </w:r>
      <w:r w:rsidRPr="00DE18F4">
        <w:rPr>
          <w:rFonts w:cs="Arial" w:hint="cs"/>
          <w:color w:val="000000" w:themeColor="text1"/>
          <w:sz w:val="16"/>
          <w:szCs w:val="16"/>
          <w:rtl/>
        </w:rPr>
        <w:t>]</w:t>
      </w:r>
      <w:r w:rsidRPr="00DE18F4">
        <w:rPr>
          <w:rFonts w:cs="Arial" w:hint="cs"/>
          <w:color w:val="E36C0A" w:themeColor="accent6" w:themeShade="BF"/>
          <w:rtl/>
        </w:rPr>
        <w:t>)</w:t>
      </w:r>
    </w:p>
    <w:p w14:paraId="475D487F" w14:textId="77777777" w:rsidR="002E5BAD" w:rsidRPr="00771687" w:rsidRDefault="002E5BAD" w:rsidP="002E5BAD">
      <w:pPr>
        <w:ind w:left="360"/>
        <w:rPr>
          <w:rFonts w:cs="Arial"/>
          <w:u w:val="dotted"/>
        </w:rPr>
      </w:pPr>
      <w:r w:rsidRPr="00771687">
        <w:rPr>
          <w:rFonts w:cs="Arial" w:hint="cs"/>
          <w:u w:val="dotted"/>
          <w:rtl/>
        </w:rPr>
        <w:lastRenderedPageBreak/>
        <w:t>האם צריך ליתן לה גם כלי בישול ועצים וכו':</w:t>
      </w:r>
    </w:p>
    <w:p w14:paraId="60B311B1" w14:textId="77777777" w:rsidR="002E5BAD" w:rsidRPr="002B771C" w:rsidRDefault="002E5BAD" w:rsidP="002E5BAD">
      <w:pPr>
        <w:pStyle w:val="ab"/>
        <w:numPr>
          <w:ilvl w:val="0"/>
          <w:numId w:val="130"/>
        </w:numPr>
        <w:rPr>
          <w:rFonts w:cs="Arial"/>
        </w:rPr>
      </w:pPr>
      <w:r w:rsidRPr="000B581D">
        <w:rPr>
          <w:rFonts w:cs="Arial"/>
          <w:rtl/>
        </w:rPr>
        <w:t xml:space="preserve">ר"ן </w:t>
      </w:r>
      <w:r w:rsidRPr="000B581D">
        <w:rPr>
          <w:rFonts w:cs="Arial"/>
          <w:sz w:val="16"/>
          <w:szCs w:val="16"/>
          <w:rtl/>
        </w:rPr>
        <w:t>(כח. ד"ה לא יפחות)</w:t>
      </w:r>
      <w:r>
        <w:rPr>
          <w:rFonts w:cs="Arial" w:hint="cs"/>
          <w:rtl/>
        </w:rPr>
        <w:t xml:space="preserve">- </w:t>
      </w:r>
      <w:r w:rsidRPr="000B581D">
        <w:rPr>
          <w:rFonts w:cs="Arial"/>
          <w:rtl/>
        </w:rPr>
        <w:t>יש לדקדק אמאי לא חשבינן ציבי לבשל מאכלה</w:t>
      </w:r>
      <w:r>
        <w:rPr>
          <w:rFonts w:cs="Arial" w:hint="cs"/>
          <w:rtl/>
        </w:rPr>
        <w:t>.</w:t>
      </w:r>
      <w:r w:rsidRPr="000B581D">
        <w:rPr>
          <w:rFonts w:cs="Arial"/>
          <w:rtl/>
        </w:rPr>
        <w:t xml:space="preserve"> ואיפשר דמשום דתנא במקום הרים קאי</w:t>
      </w:r>
      <w:r>
        <w:rPr>
          <w:rFonts w:cs="Arial" w:hint="cs"/>
          <w:rtl/>
        </w:rPr>
        <w:t>,</w:t>
      </w:r>
      <w:r w:rsidRPr="000B581D">
        <w:rPr>
          <w:rFonts w:cs="Arial"/>
          <w:rtl/>
        </w:rPr>
        <w:t xml:space="preserve"> וכדאיתא בגמרא (סה:)</w:t>
      </w:r>
      <w:r>
        <w:rPr>
          <w:rFonts w:cs="Arial" w:hint="cs"/>
          <w:rtl/>
        </w:rPr>
        <w:t>,</w:t>
      </w:r>
      <w:r w:rsidRPr="000B581D">
        <w:rPr>
          <w:rFonts w:cs="Arial"/>
          <w:rtl/>
        </w:rPr>
        <w:t xml:space="preserve"> לא חשיב ציבי</w:t>
      </w:r>
      <w:r>
        <w:rPr>
          <w:rFonts w:cs="Arial" w:hint="cs"/>
          <w:rtl/>
        </w:rPr>
        <w:t>,</w:t>
      </w:r>
      <w:r w:rsidRPr="000B581D">
        <w:rPr>
          <w:rFonts w:cs="Arial"/>
          <w:rtl/>
        </w:rPr>
        <w:t xml:space="preserve"> דהא אית לה</w:t>
      </w:r>
      <w:r>
        <w:rPr>
          <w:rFonts w:cs="Arial" w:hint="cs"/>
          <w:rtl/>
        </w:rPr>
        <w:t>,</w:t>
      </w:r>
      <w:r w:rsidRPr="000B581D">
        <w:rPr>
          <w:rFonts w:cs="Arial"/>
          <w:rtl/>
        </w:rPr>
        <w:t xml:space="preserve"> אבל היכא דלית לה ודאי יהיב לה</w:t>
      </w:r>
      <w:r w:rsidRPr="000B581D">
        <w:rPr>
          <w:rFonts w:cs="Arial" w:hint="cs"/>
          <w:rtl/>
        </w:rPr>
        <w:t>.</w:t>
      </w:r>
      <w:r w:rsidRPr="000B581D">
        <w:rPr>
          <w:rFonts w:cs="Arial"/>
          <w:rtl/>
        </w:rPr>
        <w:t xml:space="preserve"> אי נמי האי תנא לא חשיב אלא מידי דמיכל</w:t>
      </w:r>
      <w:r>
        <w:rPr>
          <w:rFonts w:cs="Arial" w:hint="cs"/>
          <w:rtl/>
        </w:rPr>
        <w:t>,</w:t>
      </w:r>
      <w:r w:rsidRPr="000B581D">
        <w:rPr>
          <w:rFonts w:cs="Arial"/>
          <w:rtl/>
        </w:rPr>
        <w:t xml:space="preserve"> אבל מידי דבר אכשורי מיכלא לא קא חשיב</w:t>
      </w:r>
      <w:r>
        <w:rPr>
          <w:rFonts w:cs="Arial" w:hint="cs"/>
          <w:rtl/>
        </w:rPr>
        <w:t>,</w:t>
      </w:r>
      <w:r w:rsidRPr="000B581D">
        <w:rPr>
          <w:rFonts w:cs="Arial"/>
          <w:rtl/>
        </w:rPr>
        <w:t xml:space="preserve"> ומשום הכי לא חשיב נר ופתילה וכוס וחבית וקדרה אע</w:t>
      </w:r>
      <w:r>
        <w:rPr>
          <w:rFonts w:cs="Arial" w:hint="cs"/>
          <w:rtl/>
        </w:rPr>
        <w:t>"</w:t>
      </w:r>
      <w:r w:rsidRPr="000B581D">
        <w:rPr>
          <w:rFonts w:cs="Arial"/>
          <w:rtl/>
        </w:rPr>
        <w:t>ג דודאי יהיב לה</w:t>
      </w:r>
      <w:r>
        <w:rPr>
          <w:rFonts w:cs="Arial" w:hint="cs"/>
          <w:rtl/>
        </w:rPr>
        <w:t>.</w:t>
      </w:r>
      <w:r w:rsidRPr="000B581D">
        <w:rPr>
          <w:rFonts w:cs="Arial"/>
          <w:rtl/>
        </w:rPr>
        <w:t xml:space="preserve"> והכי איתא בירושלמי </w:t>
      </w:r>
      <w:r w:rsidRPr="002B771C">
        <w:rPr>
          <w:rFonts w:cs="Arial"/>
          <w:sz w:val="16"/>
          <w:szCs w:val="16"/>
          <w:rtl/>
        </w:rPr>
        <w:t xml:space="preserve">(פ"ה ה"י) </w:t>
      </w:r>
      <w:r w:rsidRPr="000B581D">
        <w:rPr>
          <w:rFonts w:cs="Arial"/>
          <w:rtl/>
        </w:rPr>
        <w:t xml:space="preserve">ובתוספתא </w:t>
      </w:r>
      <w:r w:rsidRPr="002B771C">
        <w:rPr>
          <w:rFonts w:cs="Arial"/>
          <w:sz w:val="16"/>
          <w:szCs w:val="16"/>
          <w:rtl/>
        </w:rPr>
        <w:t>(פ"ה ה"ז)</w:t>
      </w:r>
      <w:r w:rsidRPr="000B581D">
        <w:rPr>
          <w:rFonts w:cs="Arial" w:hint="cs"/>
          <w:rtl/>
        </w:rPr>
        <w:t>.</w:t>
      </w:r>
      <w:r w:rsidRPr="002B771C">
        <w:rPr>
          <w:rFonts w:cs="Arial" w:hint="cs"/>
          <w:color w:val="00B0F0"/>
          <w:rtl/>
        </w:rPr>
        <w:t xml:space="preserve"> (וכ"פ הרמ"א)</w:t>
      </w:r>
    </w:p>
    <w:p w14:paraId="50BAA02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29F8EE7" w14:textId="77777777" w:rsidR="002E5BAD" w:rsidRDefault="002E5BAD" w:rsidP="002E5BAD">
      <w:pPr>
        <w:rPr>
          <w:rtl/>
        </w:rPr>
      </w:pPr>
      <w:r>
        <w:rPr>
          <w:rFonts w:cs="Arial"/>
          <w:rtl/>
        </w:rPr>
        <w:t>כיצד חייב במזונותיה, אוכלת ושותה ממה שהוא אוכל ושותה. ואם כל בני משפחתה רגילים בגדולות, צריך להנהיגה כן</w:t>
      </w:r>
      <w:r>
        <w:rPr>
          <w:rFonts w:cs="Arial" w:hint="cs"/>
          <w:rtl/>
        </w:rPr>
        <w:t>.</w:t>
      </w:r>
      <w:r>
        <w:rPr>
          <w:rFonts w:cs="Arial"/>
          <w:rtl/>
        </w:rPr>
        <w:t xml:space="preserve"> ואם אין כולם רגילים בגדולות, אינו חייב להנהיגה בכך כשאוכלת עמו. </w:t>
      </w:r>
      <w:r>
        <w:rPr>
          <w:rFonts w:cs="Arial" w:hint="cs"/>
          <w:sz w:val="18"/>
          <w:szCs w:val="18"/>
          <w:rtl/>
        </w:rPr>
        <w:t xml:space="preserve">[הגה] </w:t>
      </w:r>
      <w:r w:rsidRPr="008A6B20">
        <w:rPr>
          <w:rFonts w:cs="Arial"/>
          <w:sz w:val="18"/>
          <w:szCs w:val="18"/>
          <w:rtl/>
        </w:rPr>
        <w:t>אבל כשאינה אוכלת עמו צריך להנהיגה כדרך שהיתה נוהגת בבית אביה</w:t>
      </w:r>
      <w:r>
        <w:rPr>
          <w:rStyle w:val="a7"/>
          <w:rFonts w:cs="Arial"/>
          <w:sz w:val="18"/>
          <w:szCs w:val="18"/>
          <w:rtl/>
        </w:rPr>
        <w:footnoteReference w:id="1063"/>
      </w:r>
      <w:r w:rsidRPr="008A6B20">
        <w:rPr>
          <w:rFonts w:cs="Arial"/>
          <w:sz w:val="18"/>
          <w:szCs w:val="18"/>
          <w:rtl/>
        </w:rPr>
        <w:t xml:space="preserve"> (טור).</w:t>
      </w:r>
      <w:r>
        <w:rPr>
          <w:rFonts w:cs="Arial"/>
          <w:rtl/>
        </w:rPr>
        <w:t xml:space="preserve"> </w:t>
      </w:r>
    </w:p>
    <w:p w14:paraId="5E3A025E" w14:textId="77777777" w:rsidR="002E5BAD" w:rsidRDefault="002E5BAD" w:rsidP="002E5BAD">
      <w:pPr>
        <w:rPr>
          <w:rtl/>
        </w:rPr>
      </w:pPr>
    </w:p>
    <w:p w14:paraId="7279B0CE" w14:textId="77777777" w:rsidR="002E5BAD" w:rsidRDefault="002E5BAD" w:rsidP="002E5BAD">
      <w:pPr>
        <w:pStyle w:val="2"/>
        <w:rPr>
          <w:rtl/>
        </w:rPr>
      </w:pPr>
      <w:r>
        <w:rPr>
          <w:rtl/>
        </w:rPr>
        <w:t>סעיף ב</w:t>
      </w:r>
      <w:r>
        <w:rPr>
          <w:rFonts w:hint="cs"/>
          <w:rtl/>
        </w:rPr>
        <w:t xml:space="preserve">: </w:t>
      </w:r>
      <w:r>
        <w:rPr>
          <w:rFonts w:cs="Arial"/>
          <w:rtl/>
        </w:rPr>
        <w:t>בעל שרצה ליתן לאשתו מזונותיה הראוים לה ותהיה אוכלת ושותה לעצמה</w:t>
      </w:r>
      <w:r>
        <w:rPr>
          <w:rFonts w:cs="Arial" w:hint="cs"/>
          <w:rtl/>
        </w:rPr>
        <w:t>.</w:t>
      </w:r>
    </w:p>
    <w:p w14:paraId="4180B4D0" w14:textId="77777777" w:rsidR="002E5BAD" w:rsidRDefault="002E5BAD" w:rsidP="002E5BAD">
      <w:pPr>
        <w:rPr>
          <w:rtl/>
        </w:rPr>
      </w:pPr>
      <w:r w:rsidRPr="006C3CF4">
        <w:rPr>
          <w:rFonts w:cs="Arial" w:hint="cs"/>
          <w:b/>
          <w:bCs/>
          <w:rtl/>
        </w:rPr>
        <w:t xml:space="preserve">כתובות </w:t>
      </w:r>
      <w:r>
        <w:rPr>
          <w:rFonts w:cs="Arial" w:hint="cs"/>
          <w:b/>
          <w:bCs/>
          <w:sz w:val="16"/>
          <w:szCs w:val="16"/>
          <w:rtl/>
        </w:rPr>
        <w:t xml:space="preserve">(ס"פ אף על פי) </w:t>
      </w:r>
      <w:r w:rsidRPr="006C3CF4">
        <w:rPr>
          <w:rFonts w:cs="Arial" w:hint="cs"/>
          <w:b/>
          <w:bCs/>
          <w:rtl/>
        </w:rPr>
        <w:t xml:space="preserve">סד ע"ב: </w:t>
      </w:r>
      <w:r w:rsidRPr="00E36B8D">
        <w:rPr>
          <w:rFonts w:cs="Arial"/>
          <w:u w:val="double"/>
          <w:rtl/>
        </w:rPr>
        <w:t>מתני'</w:t>
      </w:r>
      <w:r>
        <w:rPr>
          <w:rFonts w:cs="Arial" w:hint="cs"/>
          <w:rtl/>
        </w:rPr>
        <w:t>:</w:t>
      </w:r>
      <w:r w:rsidRPr="006C3CF4">
        <w:rPr>
          <w:rFonts w:cs="Arial"/>
          <w:rtl/>
        </w:rPr>
        <w:t xml:space="preserve"> המשרה את אשתו על ידי שליש - לא יפחות לה משני קבין חטין או מארבעה קבין שעורין.</w:t>
      </w:r>
      <w:r>
        <w:rPr>
          <w:rFonts w:hint="cs"/>
          <w:rtl/>
        </w:rPr>
        <w:t>..</w:t>
      </w:r>
    </w:p>
    <w:p w14:paraId="01A571A6" w14:textId="77777777" w:rsidR="002E5BAD" w:rsidRPr="000B581D" w:rsidRDefault="002E5BAD" w:rsidP="002E5BAD">
      <w:r>
        <w:rPr>
          <w:rFonts w:cs="Arial" w:hint="cs"/>
          <w:b/>
          <w:bCs/>
          <w:rtl/>
        </w:rPr>
        <w:t xml:space="preserve">ירושלמי כתובות פ"ז ה"א: </w:t>
      </w:r>
      <w:r w:rsidRPr="007816E7">
        <w:rPr>
          <w:rFonts w:cs="Arial"/>
          <w:rtl/>
        </w:rPr>
        <w:t>רשות ביד האשה לומר</w:t>
      </w:r>
      <w:r>
        <w:rPr>
          <w:rFonts w:cs="Arial" w:hint="cs"/>
          <w:rtl/>
        </w:rPr>
        <w:t>:</w:t>
      </w:r>
      <w:r w:rsidRPr="007816E7">
        <w:rPr>
          <w:rFonts w:cs="Arial"/>
          <w:rtl/>
        </w:rPr>
        <w:t xml:space="preserve"> אי איפשי להתפרנס מאחר אלא מבעלי</w:t>
      </w:r>
      <w:r>
        <w:rPr>
          <w:rFonts w:cs="Arial" w:hint="cs"/>
          <w:rtl/>
        </w:rPr>
        <w:t>.</w:t>
      </w:r>
      <w:r w:rsidRPr="007816E7">
        <w:rPr>
          <w:rFonts w:cs="Arial"/>
          <w:rtl/>
        </w:rPr>
        <w:t xml:space="preserve"> והתנינן</w:t>
      </w:r>
      <w:r>
        <w:rPr>
          <w:rFonts w:cs="Arial" w:hint="cs"/>
          <w:rtl/>
        </w:rPr>
        <w:t>:</w:t>
      </w:r>
      <w:r w:rsidRPr="007816E7">
        <w:rPr>
          <w:rFonts w:cs="Arial"/>
          <w:rtl/>
        </w:rPr>
        <w:t xml:space="preserve"> המשרה את אשתו על ידי שליש</w:t>
      </w:r>
      <w:r>
        <w:rPr>
          <w:rFonts w:cs="Arial" w:hint="cs"/>
          <w:rtl/>
        </w:rPr>
        <w:t>.</w:t>
      </w:r>
      <w:r w:rsidRPr="007816E7">
        <w:rPr>
          <w:rFonts w:cs="Arial"/>
          <w:rtl/>
        </w:rPr>
        <w:t xml:space="preserve"> כאן</w:t>
      </w:r>
      <w:r>
        <w:rPr>
          <w:rFonts w:cs="Arial" w:hint="cs"/>
          <w:rtl/>
        </w:rPr>
        <w:t xml:space="preserve"> -</w:t>
      </w:r>
      <w:r w:rsidRPr="007816E7">
        <w:rPr>
          <w:rFonts w:cs="Arial"/>
          <w:rtl/>
        </w:rPr>
        <w:t xml:space="preserve"> בשקיבלה עליה</w:t>
      </w:r>
      <w:r>
        <w:rPr>
          <w:rFonts w:cs="Arial" w:hint="cs"/>
          <w:rtl/>
        </w:rPr>
        <w:t>.</w:t>
      </w:r>
      <w:r w:rsidRPr="007816E7">
        <w:rPr>
          <w:rFonts w:cs="Arial"/>
          <w:rtl/>
        </w:rPr>
        <w:t xml:space="preserve"> וכאן</w:t>
      </w:r>
      <w:r>
        <w:rPr>
          <w:rFonts w:cs="Arial" w:hint="cs"/>
          <w:rtl/>
        </w:rPr>
        <w:t xml:space="preserve"> -</w:t>
      </w:r>
      <w:r w:rsidRPr="007816E7">
        <w:rPr>
          <w:rFonts w:cs="Arial"/>
          <w:rtl/>
        </w:rPr>
        <w:t xml:space="preserve"> בשלא קיבלה עליה</w:t>
      </w:r>
      <w:r>
        <w:rPr>
          <w:rFonts w:cs="Arial" w:hint="cs"/>
          <w:rtl/>
        </w:rPr>
        <w:t>.</w:t>
      </w:r>
    </w:p>
    <w:p w14:paraId="430597DD" w14:textId="77777777" w:rsidR="002E5BAD" w:rsidRPr="007816E7" w:rsidRDefault="002E5BAD" w:rsidP="002E5BAD">
      <w:pPr>
        <w:ind w:left="360"/>
        <w:rPr>
          <w:rFonts w:cs="Arial"/>
          <w:u w:val="single"/>
        </w:rPr>
      </w:pPr>
      <w:r w:rsidRPr="007816E7">
        <w:rPr>
          <w:rFonts w:cs="Arial" w:hint="cs"/>
          <w:u w:val="single"/>
          <w:rtl/>
        </w:rPr>
        <w:t>האם יכול לפרנסה ע"י שליש כנגד רצונה:</w:t>
      </w:r>
    </w:p>
    <w:p w14:paraId="489FD9B8" w14:textId="77777777" w:rsidR="002E5BAD" w:rsidRPr="002B771C" w:rsidRDefault="002E5BAD" w:rsidP="002E5BAD">
      <w:pPr>
        <w:pStyle w:val="ab"/>
        <w:numPr>
          <w:ilvl w:val="0"/>
          <w:numId w:val="130"/>
        </w:numPr>
        <w:rPr>
          <w:rFonts w:cs="Arial"/>
        </w:rPr>
      </w:pPr>
      <w:r>
        <w:rPr>
          <w:rFonts w:cs="Arial" w:hint="cs"/>
          <w:rtl/>
        </w:rPr>
        <w:t>ראב"ד רמב"ן רשב"א רא"ש טור</w:t>
      </w:r>
      <w:r w:rsidRPr="001D4400">
        <w:rPr>
          <w:rFonts w:cs="Arial" w:hint="cs"/>
          <w:rtl/>
        </w:rPr>
        <w:t xml:space="preserve"> </w:t>
      </w:r>
      <w:r>
        <w:rPr>
          <w:rStyle w:val="a7"/>
          <w:rFonts w:cs="Arial"/>
          <w:rtl/>
        </w:rPr>
        <w:footnoteReference w:id="1064"/>
      </w:r>
      <w:r>
        <w:rPr>
          <w:rFonts w:cs="Arial" w:hint="cs"/>
          <w:rtl/>
        </w:rPr>
        <w:t>ורשב"ש</w:t>
      </w:r>
      <w:r>
        <w:rPr>
          <w:rStyle w:val="a7"/>
          <w:rFonts w:cs="Arial"/>
          <w:rtl/>
        </w:rPr>
        <w:footnoteReference w:id="1065"/>
      </w:r>
      <w:r>
        <w:rPr>
          <w:rFonts w:cs="Arial" w:hint="cs"/>
          <w:rtl/>
        </w:rPr>
        <w:t xml:space="preserve">- </w:t>
      </w:r>
      <w:r w:rsidRPr="00B149EA">
        <w:rPr>
          <w:rFonts w:cs="Arial"/>
          <w:rtl/>
        </w:rPr>
        <w:t>בירושל' משמע שאין יכול לפרנסה ע"י פרנס והיא תאכל לבדה אא"כ שיהיה מרצונה</w:t>
      </w:r>
      <w:r>
        <w:rPr>
          <w:rFonts w:cs="Arial" w:hint="cs"/>
          <w:sz w:val="16"/>
          <w:szCs w:val="16"/>
          <w:rtl/>
        </w:rPr>
        <w:t xml:space="preserve"> (ל' הטור בשם הרא"ש)</w:t>
      </w:r>
      <w:r>
        <w:rPr>
          <w:rFonts w:cs="Arial" w:hint="cs"/>
          <w:rtl/>
        </w:rPr>
        <w:t>.</w:t>
      </w:r>
      <w:r w:rsidRPr="002B771C">
        <w:rPr>
          <w:rFonts w:cs="Arial" w:hint="cs"/>
          <w:color w:val="00B0F0"/>
          <w:rtl/>
        </w:rPr>
        <w:t xml:space="preserve"> (וכ"פ הרמ"א)</w:t>
      </w:r>
    </w:p>
    <w:p w14:paraId="37704462" w14:textId="77777777" w:rsidR="002E5BAD" w:rsidRPr="00F32736" w:rsidRDefault="002E5BAD" w:rsidP="002E5BAD">
      <w:pPr>
        <w:pStyle w:val="ab"/>
        <w:numPr>
          <w:ilvl w:val="0"/>
          <w:numId w:val="130"/>
        </w:numPr>
        <w:rPr>
          <w:rFonts w:cs="Arial"/>
          <w:rt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w:t>
      </w:r>
      <w:r>
        <w:rPr>
          <w:rFonts w:cs="Arial" w:hint="cs"/>
          <w:sz w:val="16"/>
          <w:szCs w:val="16"/>
          <w:rtl/>
        </w:rPr>
        <w:t>י"ב</w:t>
      </w:r>
      <w:r w:rsidRPr="00E36B8D">
        <w:rPr>
          <w:rFonts w:cs="Arial"/>
          <w:sz w:val="16"/>
          <w:szCs w:val="16"/>
          <w:rtl/>
        </w:rPr>
        <w:t>)</w:t>
      </w:r>
      <w:r>
        <w:rPr>
          <w:rFonts w:cs="Arial" w:hint="cs"/>
          <w:rtl/>
        </w:rPr>
        <w:t xml:space="preserve">- </w:t>
      </w:r>
      <w:r w:rsidRPr="00644F88">
        <w:rPr>
          <w:rFonts w:cs="Arial"/>
          <w:rtl/>
        </w:rPr>
        <w:t xml:space="preserve">בעל שרצה ליתן לאשתו מזונותיה הראויות לה ותהיה אוכלת ושותה לעצמה והוא אוכל ושותה לעצמו </w:t>
      </w:r>
      <w:r>
        <w:rPr>
          <w:rFonts w:cs="Arial" w:hint="cs"/>
          <w:rtl/>
        </w:rPr>
        <w:t xml:space="preserve">- </w:t>
      </w:r>
      <w:r w:rsidRPr="00644F88">
        <w:rPr>
          <w:rFonts w:cs="Arial"/>
          <w:rtl/>
        </w:rPr>
        <w:t>הרשות בידו</w:t>
      </w:r>
      <w:r>
        <w:rPr>
          <w:rFonts w:cs="Arial" w:hint="cs"/>
          <w:rtl/>
        </w:rPr>
        <w:t>,</w:t>
      </w:r>
      <w:r w:rsidRPr="00644F88">
        <w:rPr>
          <w:rFonts w:cs="Arial"/>
          <w:rtl/>
        </w:rPr>
        <w:t xml:space="preserve"> ובלבד שיאכל עמה מלילי שבת ללילי שבת</w:t>
      </w:r>
      <w:r>
        <w:rPr>
          <w:rStyle w:val="a7"/>
          <w:rFonts w:cs="Arial"/>
          <w:rtl/>
        </w:rPr>
        <w:footnoteReference w:id="1066"/>
      </w:r>
      <w:r w:rsidRPr="00644F88">
        <w:rPr>
          <w:rFonts w:cs="Arial"/>
          <w:rtl/>
        </w:rPr>
        <w:t>.</w:t>
      </w:r>
      <w:r w:rsidRPr="00DE18F4">
        <w:rPr>
          <w:rFonts w:cs="Arial"/>
          <w:color w:val="E36C0A" w:themeColor="accent6" w:themeShade="BF"/>
          <w:rtl/>
        </w:rPr>
        <w:t xml:space="preserve"> </w:t>
      </w:r>
      <w:r w:rsidRPr="00DE18F4">
        <w:rPr>
          <w:rFonts w:cs="Arial" w:hint="cs"/>
          <w:color w:val="E36C0A" w:themeColor="accent6" w:themeShade="BF"/>
          <w:rtl/>
        </w:rPr>
        <w:t>(וכ"פ בשו"ע)</w:t>
      </w:r>
    </w:p>
    <w:p w14:paraId="68FC239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BEE3657" w14:textId="77777777" w:rsidR="002E5BAD" w:rsidRDefault="002E5BAD" w:rsidP="002E5BAD">
      <w:pPr>
        <w:rPr>
          <w:rtl/>
        </w:rPr>
      </w:pPr>
      <w:r>
        <w:rPr>
          <w:rFonts w:cs="Arial"/>
          <w:rtl/>
        </w:rPr>
        <w:t xml:space="preserve">בעל שרצה ליתן לאשתו מזונותיה הראוים לה ותהיה אוכלת ושותה לעצמה, הרשות בידו, ובלבד שיאכל עמה בליל שבת. </w:t>
      </w:r>
      <w:r>
        <w:rPr>
          <w:rFonts w:cs="Arial" w:hint="cs"/>
          <w:sz w:val="18"/>
          <w:szCs w:val="18"/>
          <w:rtl/>
        </w:rPr>
        <w:t xml:space="preserve">[הגה] </w:t>
      </w:r>
      <w:r w:rsidRPr="00C35DBB">
        <w:rPr>
          <w:rFonts w:cs="Arial"/>
          <w:sz w:val="18"/>
          <w:szCs w:val="18"/>
          <w:rtl/>
        </w:rPr>
        <w:t>ויש חולקין וסבירא להו דלא יוכל לומר שהיא תאכל לבדה אא"כ קבלה עליה מרצונה (טור בשם הירושלמי ובשם הרא"ש וב"י בשם רוב הפוסקים)</w:t>
      </w:r>
      <w:r>
        <w:rPr>
          <w:rFonts w:cs="Arial" w:hint="cs"/>
          <w:sz w:val="18"/>
          <w:szCs w:val="18"/>
          <w:rtl/>
        </w:rPr>
        <w:t>.</w:t>
      </w:r>
      <w:r w:rsidRPr="00C35DBB">
        <w:rPr>
          <w:rFonts w:cs="Arial"/>
          <w:sz w:val="18"/>
          <w:szCs w:val="18"/>
          <w:rtl/>
        </w:rPr>
        <w:t xml:space="preserve"> וכן נראה לי.</w:t>
      </w:r>
      <w:r>
        <w:rPr>
          <w:rFonts w:cs="Arial"/>
          <w:rtl/>
        </w:rPr>
        <w:t xml:space="preserve"> </w:t>
      </w:r>
    </w:p>
    <w:p w14:paraId="6CA78351" w14:textId="77777777" w:rsidR="002E5BAD" w:rsidRDefault="002E5BAD" w:rsidP="002E5BAD">
      <w:pPr>
        <w:rPr>
          <w:rtl/>
        </w:rPr>
      </w:pPr>
    </w:p>
    <w:p w14:paraId="7165A0DA" w14:textId="77777777" w:rsidR="002E5BAD" w:rsidRDefault="002E5BAD" w:rsidP="002E5BAD">
      <w:pPr>
        <w:pStyle w:val="2"/>
        <w:rPr>
          <w:rtl/>
        </w:rPr>
      </w:pPr>
      <w:r>
        <w:rPr>
          <w:rtl/>
        </w:rPr>
        <w:t>סעיף ג</w:t>
      </w:r>
      <w:r>
        <w:rPr>
          <w:rFonts w:hint="cs"/>
          <w:rtl/>
        </w:rPr>
        <w:t>: כמה מזונות פוסקים לאשה.</w:t>
      </w:r>
    </w:p>
    <w:p w14:paraId="62D8B0B9" w14:textId="77777777" w:rsidR="002E5BAD" w:rsidRDefault="002E5BAD" w:rsidP="002E5BAD">
      <w:pPr>
        <w:rPr>
          <w:rtl/>
        </w:rPr>
      </w:pPr>
      <w:r>
        <w:rPr>
          <w:rFonts w:hint="cs"/>
          <w:rtl/>
        </w:rPr>
        <w:t>עיין במקורות בסעיף א.</w:t>
      </w:r>
    </w:p>
    <w:p w14:paraId="2E0087D8" w14:textId="77777777" w:rsidR="002E5BAD" w:rsidRPr="00380340" w:rsidRDefault="002E5BAD" w:rsidP="002E5BAD">
      <w:pPr>
        <w:rPr>
          <w:rFonts w:cs="Arial"/>
          <w:rtl/>
        </w:rPr>
      </w:pPr>
      <w:r w:rsidRPr="00380340">
        <w:rPr>
          <w:rFonts w:cs="Arial" w:hint="cs"/>
          <w:b/>
          <w:bCs/>
          <w:rtl/>
        </w:rPr>
        <w:t xml:space="preserve">כתובות </w:t>
      </w:r>
      <w:r w:rsidRPr="00380340">
        <w:rPr>
          <w:rFonts w:cs="Arial" w:hint="cs"/>
          <w:b/>
          <w:bCs/>
          <w:sz w:val="16"/>
          <w:szCs w:val="16"/>
          <w:rtl/>
        </w:rPr>
        <w:t xml:space="preserve">(פ' המדיר) </w:t>
      </w:r>
      <w:r w:rsidRPr="00380340">
        <w:rPr>
          <w:rFonts w:cs="Arial" w:hint="cs"/>
          <w:b/>
          <w:bCs/>
          <w:rtl/>
        </w:rPr>
        <w:t>עז ע"א:</w:t>
      </w:r>
      <w:r w:rsidRPr="00380340">
        <w:rPr>
          <w:rFonts w:cs="Arial" w:hint="cs"/>
          <w:rtl/>
        </w:rPr>
        <w:t xml:space="preserve"> </w:t>
      </w:r>
      <w:r w:rsidRPr="00380340">
        <w:rPr>
          <w:rFonts w:cs="Arial"/>
          <w:u w:val="single"/>
          <w:rtl/>
        </w:rPr>
        <w:t>אמר רב</w:t>
      </w:r>
      <w:r w:rsidRPr="00380340">
        <w:rPr>
          <w:rFonts w:cs="Arial"/>
          <w:rtl/>
        </w:rPr>
        <w:t>: האומר איני זן ואיני מפרנס - יוציא ויתן כתובה. אזל ר' אלעזר אמרה לשמעתא קמיה דשמואל,</w:t>
      </w:r>
      <w:r w:rsidRPr="00380340">
        <w:rPr>
          <w:rFonts w:cs="Arial" w:hint="cs"/>
          <w:rtl/>
        </w:rPr>
        <w:t xml:space="preserve"> </w:t>
      </w:r>
      <w:r w:rsidRPr="00380340">
        <w:rPr>
          <w:rFonts w:cs="Arial"/>
          <w:u w:val="single"/>
          <w:rtl/>
        </w:rPr>
        <w:t>אמר</w:t>
      </w:r>
      <w:r w:rsidRPr="00380340">
        <w:rPr>
          <w:rFonts w:cs="Arial"/>
          <w:rtl/>
        </w:rPr>
        <w:t>: אכסוה שערי</w:t>
      </w:r>
      <w:r>
        <w:rPr>
          <w:rStyle w:val="a7"/>
          <w:rFonts w:cs="Arial"/>
          <w:rtl/>
        </w:rPr>
        <w:footnoteReference w:id="1067"/>
      </w:r>
      <w:r w:rsidRPr="00380340">
        <w:rPr>
          <w:rFonts w:cs="Arial"/>
          <w:rtl/>
        </w:rPr>
        <w:t xml:space="preserve"> לאלעזר! עד שכופין אותו להוציא, יכפוהו לזון. ורב? אין אדם דר עם נחש בכפיפה. כי סליק רבי זירא, אשכחיה לרבי בנימין בר יפת דיתיב וקאמר לה</w:t>
      </w:r>
      <w:r>
        <w:rPr>
          <w:rStyle w:val="a7"/>
          <w:rFonts w:cs="Arial"/>
          <w:rtl/>
        </w:rPr>
        <w:footnoteReference w:id="1068"/>
      </w:r>
      <w:r w:rsidRPr="00380340">
        <w:rPr>
          <w:rFonts w:cs="Arial"/>
          <w:rtl/>
        </w:rPr>
        <w:t xml:space="preserve"> משמיה דרבי יוחנן</w:t>
      </w:r>
      <w:r>
        <w:rPr>
          <w:rStyle w:val="a7"/>
          <w:rFonts w:cs="Arial"/>
          <w:rtl/>
        </w:rPr>
        <w:footnoteReference w:id="1069"/>
      </w:r>
      <w:r w:rsidRPr="00380340">
        <w:rPr>
          <w:rFonts w:cs="Arial"/>
          <w:rtl/>
        </w:rPr>
        <w:t>, אמר ליה: על דא אכסוה שערין לאלעזר בבבל.</w:t>
      </w:r>
    </w:p>
    <w:p w14:paraId="65682CC1" w14:textId="77777777" w:rsidR="002E5BAD" w:rsidRPr="00380340" w:rsidRDefault="002E5BAD" w:rsidP="002E5BAD">
      <w:pPr>
        <w:rPr>
          <w:rFonts w:cs="Arial"/>
          <w:u w:val="single"/>
        </w:rPr>
      </w:pPr>
      <w:r>
        <w:rPr>
          <w:rFonts w:cs="Arial" w:hint="cs"/>
          <w:u w:val="single"/>
          <w:rtl/>
        </w:rPr>
        <w:t>האומר איני זן ואיני מפרנס</w:t>
      </w:r>
      <w:r w:rsidRPr="00380340">
        <w:rPr>
          <w:rFonts w:cs="Arial" w:hint="cs"/>
          <w:u w:val="single"/>
          <w:rtl/>
        </w:rPr>
        <w:t>:</w:t>
      </w:r>
    </w:p>
    <w:p w14:paraId="6889C64C" w14:textId="77777777" w:rsidR="002E5BAD" w:rsidRDefault="002E5BAD" w:rsidP="002E5BAD">
      <w:pPr>
        <w:pStyle w:val="ab"/>
        <w:numPr>
          <w:ilvl w:val="0"/>
          <w:numId w:val="130"/>
        </w:numPr>
        <w:rPr>
          <w:rFonts w:cs="Arial"/>
        </w:rPr>
      </w:pPr>
      <w:r w:rsidRPr="00486216">
        <w:rPr>
          <w:rFonts w:cs="Arial" w:hint="cs"/>
          <w:rtl/>
        </w:rPr>
        <w:t xml:space="preserve">ר"ח </w:t>
      </w:r>
      <w:r w:rsidRPr="00486216">
        <w:rPr>
          <w:rFonts w:cs="Arial" w:hint="cs"/>
          <w:sz w:val="16"/>
          <w:szCs w:val="16"/>
          <w:rtl/>
        </w:rPr>
        <w:t>(כ"כ הה"מ בשמו [פי"ב הי"א])</w:t>
      </w:r>
      <w:r w:rsidRPr="00486216">
        <w:rPr>
          <w:rFonts w:cs="Arial"/>
          <w:rtl/>
        </w:rPr>
        <w:t xml:space="preserve"> </w:t>
      </w:r>
      <w:r w:rsidRPr="00486216">
        <w:rPr>
          <w:rFonts w:cs="Arial" w:hint="cs"/>
          <w:rtl/>
        </w:rPr>
        <w:t>ו</w:t>
      </w:r>
      <w:r w:rsidRPr="00486216">
        <w:rPr>
          <w:rFonts w:cs="Arial"/>
          <w:rtl/>
        </w:rPr>
        <w:t xml:space="preserve">רי"ף </w:t>
      </w:r>
      <w:r w:rsidRPr="00486216">
        <w:rPr>
          <w:rFonts w:cs="Arial" w:hint="cs"/>
          <w:sz w:val="16"/>
          <w:szCs w:val="16"/>
          <w:rtl/>
        </w:rPr>
        <w:t>(</w:t>
      </w:r>
      <w:r w:rsidRPr="00486216">
        <w:rPr>
          <w:rFonts w:cs="Arial"/>
          <w:sz w:val="16"/>
          <w:szCs w:val="16"/>
          <w:rtl/>
        </w:rPr>
        <w:t>לו.)</w:t>
      </w:r>
      <w:r w:rsidRPr="00486216">
        <w:rPr>
          <w:rFonts w:cs="Arial" w:hint="cs"/>
          <w:rtl/>
        </w:rPr>
        <w:t xml:space="preserve">- </w:t>
      </w:r>
      <w:r>
        <w:rPr>
          <w:rFonts w:cs="Arial" w:hint="cs"/>
          <w:rtl/>
        </w:rPr>
        <w:t>כופין אותו לזון,</w:t>
      </w:r>
      <w:r w:rsidRPr="00486216">
        <w:rPr>
          <w:rFonts w:cs="Arial"/>
          <w:rtl/>
        </w:rPr>
        <w:t xml:space="preserve"> כשמואל</w:t>
      </w:r>
      <w:r w:rsidRPr="00486216">
        <w:rPr>
          <w:rFonts w:cs="Arial" w:hint="cs"/>
          <w:rtl/>
        </w:rPr>
        <w:t>.</w:t>
      </w:r>
      <w:r w:rsidRPr="00486216">
        <w:rPr>
          <w:rFonts w:cs="Arial"/>
          <w:rtl/>
        </w:rPr>
        <w:t xml:space="preserve"> </w:t>
      </w:r>
    </w:p>
    <w:p w14:paraId="088937D1" w14:textId="77777777" w:rsidR="002E5BAD" w:rsidRDefault="002E5BAD" w:rsidP="002E5BAD">
      <w:pPr>
        <w:pStyle w:val="ab"/>
        <w:numPr>
          <w:ilvl w:val="0"/>
          <w:numId w:val="130"/>
        </w:numPr>
        <w:rPr>
          <w:rFonts w:cs="Arial"/>
        </w:rPr>
      </w:pPr>
      <w:r>
        <w:rPr>
          <w:rFonts w:cs="Arial" w:hint="cs"/>
          <w:rtl/>
        </w:rPr>
        <w:t xml:space="preserve">בה"ג </w:t>
      </w:r>
      <w:r w:rsidRPr="00486216">
        <w:rPr>
          <w:rFonts w:cs="Arial" w:hint="cs"/>
          <w:sz w:val="16"/>
          <w:szCs w:val="16"/>
          <w:rtl/>
        </w:rPr>
        <w:t>(</w:t>
      </w:r>
      <w:r w:rsidRPr="00486216">
        <w:rPr>
          <w:rFonts w:cs="Arial"/>
          <w:sz w:val="16"/>
          <w:szCs w:val="16"/>
          <w:rtl/>
        </w:rPr>
        <w:t>הל' כתובות סז סוע"ג)</w:t>
      </w:r>
      <w:r>
        <w:rPr>
          <w:rFonts w:cs="Arial" w:hint="cs"/>
          <w:rtl/>
        </w:rPr>
        <w:t>-</w:t>
      </w:r>
      <w:r w:rsidRPr="00486216">
        <w:rPr>
          <w:rFonts w:cs="Arial"/>
          <w:rtl/>
        </w:rPr>
        <w:t xml:space="preserve"> </w:t>
      </w:r>
      <w:r>
        <w:rPr>
          <w:rFonts w:cs="Arial" w:hint="cs"/>
          <w:rtl/>
        </w:rPr>
        <w:t xml:space="preserve">כופין אותו להוציא, </w:t>
      </w:r>
      <w:r w:rsidRPr="00486216">
        <w:rPr>
          <w:rFonts w:cs="Arial"/>
          <w:rtl/>
        </w:rPr>
        <w:t>כרב</w:t>
      </w:r>
      <w:r>
        <w:rPr>
          <w:rFonts w:cs="Arial" w:hint="cs"/>
          <w:rtl/>
        </w:rPr>
        <w:t>.</w:t>
      </w:r>
      <w:r w:rsidRPr="00486216">
        <w:rPr>
          <w:rFonts w:cs="Arial"/>
          <w:rtl/>
        </w:rPr>
        <w:t xml:space="preserve"> </w:t>
      </w:r>
    </w:p>
    <w:p w14:paraId="132EF71D" w14:textId="77777777" w:rsidR="002E5BAD" w:rsidRPr="00130AAC" w:rsidRDefault="002E5BAD" w:rsidP="002E5BAD">
      <w:pPr>
        <w:ind w:left="360"/>
        <w:rPr>
          <w:rFonts w:cs="Arial"/>
          <w:u w:val="dotted"/>
        </w:rPr>
      </w:pPr>
      <w:r>
        <w:rPr>
          <w:rFonts w:cs="Arial" w:hint="cs"/>
          <w:u w:val="dotted"/>
          <w:rtl/>
        </w:rPr>
        <w:t>ומה הדין אם אין לו במה לפרנס</w:t>
      </w:r>
      <w:r w:rsidRPr="00130AAC">
        <w:rPr>
          <w:rFonts w:cs="Arial" w:hint="cs"/>
          <w:u w:val="dotted"/>
          <w:rtl/>
        </w:rPr>
        <w:t>:</w:t>
      </w:r>
    </w:p>
    <w:p w14:paraId="0BCAD121" w14:textId="77777777" w:rsidR="002E5BAD" w:rsidRPr="00380340" w:rsidRDefault="002E5BAD" w:rsidP="002E5BAD">
      <w:pPr>
        <w:pStyle w:val="ab"/>
        <w:numPr>
          <w:ilvl w:val="0"/>
          <w:numId w:val="130"/>
        </w:numPr>
        <w:rPr>
          <w:rFonts w:cs="Aria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w:t>
      </w:r>
      <w:r>
        <w:rPr>
          <w:rFonts w:cs="Arial" w:hint="cs"/>
          <w:sz w:val="16"/>
          <w:szCs w:val="16"/>
          <w:rtl/>
        </w:rPr>
        <w:t>י"א</w:t>
      </w:r>
      <w:r w:rsidRPr="00E36B8D">
        <w:rPr>
          <w:rFonts w:cs="Arial"/>
          <w:sz w:val="16"/>
          <w:szCs w:val="16"/>
          <w:rtl/>
        </w:rPr>
        <w:t>)</w:t>
      </w:r>
      <w:r>
        <w:rPr>
          <w:rFonts w:cs="Arial" w:hint="cs"/>
          <w:rtl/>
        </w:rPr>
        <w:t xml:space="preserve">- </w:t>
      </w:r>
      <w:r w:rsidRPr="00644F88">
        <w:rPr>
          <w:rFonts w:cs="Arial"/>
          <w:rtl/>
        </w:rPr>
        <w:t>ואם היה עני ביותר ואינו יכול ליתן לה אפי</w:t>
      </w:r>
      <w:r>
        <w:rPr>
          <w:rFonts w:cs="Arial" w:hint="cs"/>
          <w:rtl/>
        </w:rPr>
        <w:t>לו</w:t>
      </w:r>
      <w:r w:rsidRPr="00644F88">
        <w:rPr>
          <w:rFonts w:cs="Arial"/>
          <w:rtl/>
        </w:rPr>
        <w:t xml:space="preserve"> לחם שהיא צריכה לו </w:t>
      </w:r>
      <w:r>
        <w:rPr>
          <w:rFonts w:cs="Arial" w:hint="cs"/>
          <w:rtl/>
        </w:rPr>
        <w:t xml:space="preserve">- </w:t>
      </w:r>
      <w:r w:rsidRPr="00644F88">
        <w:rPr>
          <w:rFonts w:cs="Arial"/>
          <w:rtl/>
        </w:rPr>
        <w:t>כופין אותו להוציא ותהיה כתובתה חוב עליו עד שתמצא ידו ויתן</w:t>
      </w:r>
      <w:r>
        <w:rPr>
          <w:rStyle w:val="a7"/>
          <w:rFonts w:cs="Arial"/>
          <w:rtl/>
        </w:rPr>
        <w:footnoteReference w:id="1070"/>
      </w:r>
      <w:r w:rsidRPr="00644F88">
        <w:rPr>
          <w:rFonts w:cs="Arial"/>
          <w:rtl/>
        </w:rPr>
        <w:t>.</w:t>
      </w:r>
      <w:r>
        <w:rPr>
          <w:rFonts w:hint="cs"/>
          <w:rtl/>
        </w:rPr>
        <w:t xml:space="preserve"> </w:t>
      </w:r>
      <w:r w:rsidRPr="00DE18F4">
        <w:rPr>
          <w:rFonts w:cs="Arial" w:hint="cs"/>
          <w:color w:val="E36C0A" w:themeColor="accent6" w:themeShade="BF"/>
          <w:rtl/>
        </w:rPr>
        <w:t>(וכ"פ בשו"ע)</w:t>
      </w:r>
    </w:p>
    <w:p w14:paraId="7EC59E4D" w14:textId="77777777" w:rsidR="002E5BAD" w:rsidRDefault="002E5BAD" w:rsidP="002E5BAD">
      <w:pPr>
        <w:pStyle w:val="ab"/>
        <w:numPr>
          <w:ilvl w:val="0"/>
          <w:numId w:val="130"/>
        </w:numPr>
        <w:rPr>
          <w:rFonts w:cs="Arial"/>
        </w:rPr>
      </w:pPr>
      <w:r w:rsidRPr="00486216">
        <w:rPr>
          <w:rFonts w:cs="Arial"/>
          <w:rtl/>
        </w:rPr>
        <w:t xml:space="preserve">רשב"א </w:t>
      </w:r>
      <w:r w:rsidRPr="00130AAC">
        <w:rPr>
          <w:rFonts w:cs="Arial"/>
          <w:sz w:val="16"/>
          <w:szCs w:val="16"/>
          <w:rtl/>
        </w:rPr>
        <w:t>(עז. ד"ה ולענין)</w:t>
      </w:r>
      <w:r>
        <w:rPr>
          <w:rFonts w:cs="Arial" w:hint="cs"/>
          <w:rtl/>
        </w:rPr>
        <w:t xml:space="preserve">- </w:t>
      </w:r>
      <w:r w:rsidRPr="00486216">
        <w:rPr>
          <w:rFonts w:cs="Arial"/>
          <w:rtl/>
        </w:rPr>
        <w:t>אפילו לדברי ר"ח והרי"ף איפשר לומר שאם אין ב"ד יכולין לכופו</w:t>
      </w:r>
      <w:r>
        <w:rPr>
          <w:rFonts w:cs="Arial" w:hint="cs"/>
          <w:rtl/>
        </w:rPr>
        <w:t>,</w:t>
      </w:r>
      <w:r w:rsidRPr="00486216">
        <w:rPr>
          <w:rFonts w:cs="Arial"/>
          <w:rtl/>
        </w:rPr>
        <w:t xml:space="preserve"> כגון שאין לו במה לפרנס</w:t>
      </w:r>
      <w:r>
        <w:rPr>
          <w:rFonts w:cs="Arial" w:hint="cs"/>
          <w:rtl/>
        </w:rPr>
        <w:t>,</w:t>
      </w:r>
      <w:r w:rsidRPr="00486216">
        <w:rPr>
          <w:rFonts w:cs="Arial"/>
          <w:rtl/>
        </w:rPr>
        <w:t xml:space="preserve"> אי נמי שאינו רוצה להשתכר להרויח ולזון שכופין אותו להוציא</w:t>
      </w:r>
      <w:r>
        <w:rPr>
          <w:rFonts w:cs="Arial" w:hint="cs"/>
          <w:rtl/>
        </w:rPr>
        <w:t>.</w:t>
      </w:r>
      <w:r w:rsidRPr="00486216">
        <w:rPr>
          <w:rFonts w:cs="Arial"/>
          <w:rtl/>
        </w:rPr>
        <w:t xml:space="preserve"> דהא שמואל לא דחי להא דרב אלא מהאי טעמא דעד שכופין אותו להוציא יכפוהו לזון</w:t>
      </w:r>
      <w:r>
        <w:rPr>
          <w:rFonts w:cs="Arial" w:hint="cs"/>
          <w:rtl/>
        </w:rPr>
        <w:t>,</w:t>
      </w:r>
      <w:r w:rsidRPr="00486216">
        <w:rPr>
          <w:rFonts w:cs="Arial"/>
          <w:rtl/>
        </w:rPr>
        <w:t xml:space="preserve"> הא אין יכולין לכופו לזון יכפוהו להוציא</w:t>
      </w:r>
      <w:r>
        <w:rPr>
          <w:rStyle w:val="a7"/>
          <w:rFonts w:cs="Arial"/>
          <w:rtl/>
        </w:rPr>
        <w:footnoteReference w:id="1071"/>
      </w:r>
      <w:r w:rsidRPr="00486216">
        <w:rPr>
          <w:rFonts w:cs="Arial"/>
          <w:rtl/>
        </w:rPr>
        <w:t xml:space="preserve">. </w:t>
      </w:r>
    </w:p>
    <w:p w14:paraId="7E56DC77" w14:textId="77777777" w:rsidR="002E5BAD" w:rsidRDefault="002E5BAD" w:rsidP="002E5BAD">
      <w:pPr>
        <w:pStyle w:val="ab"/>
        <w:numPr>
          <w:ilvl w:val="0"/>
          <w:numId w:val="130"/>
        </w:numPr>
        <w:rPr>
          <w:rFonts w:cs="Arial"/>
        </w:rPr>
      </w:pPr>
      <w:r>
        <w:rPr>
          <w:rFonts w:cs="Arial" w:hint="cs"/>
          <w:rtl/>
        </w:rPr>
        <w:t xml:space="preserve">ר"ת </w:t>
      </w:r>
      <w:r>
        <w:rPr>
          <w:rFonts w:cs="Arial" w:hint="cs"/>
          <w:sz w:val="16"/>
          <w:szCs w:val="16"/>
          <w:rtl/>
        </w:rPr>
        <w:t>(בתשו', כ"כ רי"ו בשמו [שם])</w:t>
      </w:r>
      <w:r>
        <w:rPr>
          <w:rFonts w:cs="Arial" w:hint="cs"/>
          <w:rtl/>
        </w:rPr>
        <w:t xml:space="preserve"> ורי"ו</w:t>
      </w:r>
      <w:r w:rsidRPr="00486216">
        <w:rPr>
          <w:rFonts w:cs="Arial"/>
          <w:rtl/>
        </w:rPr>
        <w:t xml:space="preserve"> </w:t>
      </w:r>
      <w:r w:rsidRPr="002D671F">
        <w:rPr>
          <w:rFonts w:cs="Arial"/>
          <w:sz w:val="16"/>
          <w:szCs w:val="16"/>
          <w:rtl/>
        </w:rPr>
        <w:t>(מישרים נכ"ג ח"ה נז ע"ד)</w:t>
      </w:r>
      <w:r>
        <w:rPr>
          <w:rFonts w:cs="Arial" w:hint="cs"/>
          <w:rtl/>
        </w:rPr>
        <w:t>-</w:t>
      </w:r>
      <w:r w:rsidRPr="00486216">
        <w:rPr>
          <w:rFonts w:cs="Arial"/>
          <w:rtl/>
        </w:rPr>
        <w:t xml:space="preserve"> אם אין לו</w:t>
      </w:r>
      <w:r>
        <w:rPr>
          <w:rFonts w:cs="Arial" w:hint="cs"/>
          <w:rtl/>
        </w:rPr>
        <w:t xml:space="preserve"> -</w:t>
      </w:r>
      <w:r w:rsidRPr="00486216">
        <w:rPr>
          <w:rFonts w:cs="Arial"/>
          <w:rtl/>
        </w:rPr>
        <w:t xml:space="preserve"> אין כופין</w:t>
      </w:r>
      <w:r>
        <w:rPr>
          <w:rFonts w:cs="Arial" w:hint="cs"/>
          <w:rtl/>
        </w:rPr>
        <w:t>,</w:t>
      </w:r>
      <w:r w:rsidRPr="00486216">
        <w:rPr>
          <w:rFonts w:cs="Arial"/>
          <w:rtl/>
        </w:rPr>
        <w:t xml:space="preserve"> כמו בעל חוב שאין לו</w:t>
      </w:r>
      <w:r>
        <w:rPr>
          <w:rFonts w:cs="Arial" w:hint="cs"/>
          <w:sz w:val="16"/>
          <w:szCs w:val="16"/>
          <w:rtl/>
        </w:rPr>
        <w:t xml:space="preserve"> (ל' רי"ו)</w:t>
      </w:r>
      <w:r>
        <w:rPr>
          <w:rFonts w:cs="Arial" w:hint="cs"/>
          <w:rtl/>
        </w:rPr>
        <w:t>.</w:t>
      </w:r>
    </w:p>
    <w:p w14:paraId="6554C208" w14:textId="77777777" w:rsidR="002E5BAD" w:rsidRPr="00771687" w:rsidRDefault="002E5BAD" w:rsidP="002E5BAD">
      <w:pPr>
        <w:rPr>
          <w:rFonts w:cs="Arial"/>
        </w:rPr>
      </w:pPr>
      <w:r w:rsidRPr="00380340">
        <w:rPr>
          <w:rFonts w:cs="Arial" w:hint="cs"/>
          <w:b/>
          <w:bCs/>
          <w:rtl/>
        </w:rPr>
        <w:t xml:space="preserve">כתובות </w:t>
      </w:r>
      <w:r w:rsidRPr="00380340">
        <w:rPr>
          <w:rFonts w:cs="Arial" w:hint="cs"/>
          <w:b/>
          <w:bCs/>
          <w:sz w:val="16"/>
          <w:szCs w:val="16"/>
          <w:rtl/>
        </w:rPr>
        <w:t xml:space="preserve">(פ' </w:t>
      </w:r>
      <w:r>
        <w:rPr>
          <w:rFonts w:cs="Arial" w:hint="cs"/>
          <w:b/>
          <w:bCs/>
          <w:sz w:val="16"/>
          <w:szCs w:val="16"/>
          <w:rtl/>
        </w:rPr>
        <w:t>אף על פי</w:t>
      </w:r>
      <w:r w:rsidRPr="00380340">
        <w:rPr>
          <w:rFonts w:cs="Arial" w:hint="cs"/>
          <w:b/>
          <w:bCs/>
          <w:sz w:val="16"/>
          <w:szCs w:val="16"/>
          <w:rtl/>
        </w:rPr>
        <w:t xml:space="preserve">) </w:t>
      </w:r>
      <w:r>
        <w:rPr>
          <w:rFonts w:cs="Arial" w:hint="cs"/>
          <w:b/>
          <w:bCs/>
          <w:rtl/>
        </w:rPr>
        <w:t>סג</w:t>
      </w:r>
      <w:r w:rsidRPr="00380340">
        <w:rPr>
          <w:rFonts w:cs="Arial" w:hint="cs"/>
          <w:b/>
          <w:bCs/>
          <w:rtl/>
        </w:rPr>
        <w:t xml:space="preserve"> ע"א:</w:t>
      </w:r>
      <w:r w:rsidRPr="00380340">
        <w:rPr>
          <w:rFonts w:cs="Arial" w:hint="cs"/>
          <w:rtl/>
        </w:rPr>
        <w:t xml:space="preserve"> </w:t>
      </w:r>
      <w:r w:rsidRPr="003500BE">
        <w:rPr>
          <w:rFonts w:cs="Arial"/>
          <w:u w:val="double"/>
          <w:rtl/>
        </w:rPr>
        <w:t>מתני'</w:t>
      </w:r>
      <w:r>
        <w:rPr>
          <w:rFonts w:cs="Arial" w:hint="cs"/>
          <w:rtl/>
        </w:rPr>
        <w:t>:</w:t>
      </w:r>
      <w:r w:rsidRPr="003500BE">
        <w:rPr>
          <w:rFonts w:cs="Arial"/>
          <w:rtl/>
        </w:rPr>
        <w:t xml:space="preserve"> המורדת על בעלה - פוחתין לה מכתובתה שבעה דינרין בשבת</w:t>
      </w:r>
      <w:r>
        <w:rPr>
          <w:rFonts w:cs="Arial" w:hint="cs"/>
          <w:rtl/>
        </w:rPr>
        <w:t>...</w:t>
      </w:r>
      <w:r w:rsidRPr="003500BE">
        <w:rPr>
          <w:rFonts w:cs="Arial"/>
          <w:rtl/>
        </w:rPr>
        <w:t xml:space="preserve"> וכן המורד על אשתו - מוסיפין על כתובתה שלשה דינרין בשבת</w:t>
      </w:r>
      <w:r>
        <w:rPr>
          <w:rFonts w:cs="Arial" w:hint="cs"/>
          <w:rtl/>
        </w:rPr>
        <w:t>...</w:t>
      </w:r>
      <w:r w:rsidRPr="003500BE">
        <w:rPr>
          <w:rFonts w:cs="Arial"/>
          <w:rtl/>
        </w:rPr>
        <w:t xml:space="preserve"> </w:t>
      </w:r>
      <w:r>
        <w:rPr>
          <w:rFonts w:cs="Arial" w:hint="cs"/>
          <w:rtl/>
        </w:rPr>
        <w:t xml:space="preserve">    </w:t>
      </w:r>
      <w:r w:rsidRPr="003500BE">
        <w:rPr>
          <w:rFonts w:cs="Arial" w:hint="cs"/>
          <w:u w:val="double"/>
          <w:rtl/>
        </w:rPr>
        <w:t>גמ'</w:t>
      </w:r>
      <w:r>
        <w:rPr>
          <w:rFonts w:cs="Arial" w:hint="cs"/>
          <w:rtl/>
        </w:rPr>
        <w:t xml:space="preserve">: </w:t>
      </w:r>
      <w:r w:rsidRPr="00771687">
        <w:rPr>
          <w:rFonts w:cs="Arial"/>
          <w:rtl/>
        </w:rPr>
        <w:t>תנן: וכן המורד על אשתו</w:t>
      </w:r>
      <w:r>
        <w:rPr>
          <w:rFonts w:cs="Arial" w:hint="cs"/>
          <w:rtl/>
        </w:rPr>
        <w:t>.</w:t>
      </w:r>
      <w:r w:rsidRPr="00771687">
        <w:rPr>
          <w:rFonts w:cs="Arial"/>
          <w:rtl/>
        </w:rPr>
        <w:t xml:space="preserve"> בשלמא למ"ד מתשמיש - לחיי</w:t>
      </w:r>
      <w:r>
        <w:rPr>
          <w:rStyle w:val="a7"/>
          <w:rFonts w:cs="Arial"/>
          <w:rtl/>
        </w:rPr>
        <w:footnoteReference w:id="1072"/>
      </w:r>
      <w:r w:rsidRPr="00771687">
        <w:rPr>
          <w:rFonts w:cs="Arial"/>
          <w:rtl/>
        </w:rPr>
        <w:t>, אלא למאן דאמר ממלאכה - מי משועבד לה? אין, באומר איני זן ואיני מפרנס.</w:t>
      </w:r>
    </w:p>
    <w:p w14:paraId="7FA49008" w14:textId="77777777" w:rsidR="002E5BAD" w:rsidRPr="002D671F" w:rsidRDefault="002E5BAD" w:rsidP="002E5BAD">
      <w:pPr>
        <w:rPr>
          <w:rFonts w:cs="Arial"/>
          <w:u w:val="single"/>
          <w:rtl/>
        </w:rPr>
      </w:pPr>
      <w:r w:rsidRPr="002D671F">
        <w:rPr>
          <w:rFonts w:cs="Arial" w:hint="cs"/>
          <w:u w:val="single"/>
          <w:rtl/>
        </w:rPr>
        <w:t>האם אדם חייב להשכיר את עצמו כפועל כדי לפרנס את אשתו, או שדי בעבוד</w:t>
      </w:r>
      <w:r>
        <w:rPr>
          <w:rFonts w:cs="Arial" w:hint="cs"/>
          <w:u w:val="single"/>
          <w:rtl/>
        </w:rPr>
        <w:t>ה שדרך איש לעבוד בביתו</w:t>
      </w:r>
      <w:r w:rsidRPr="002D671F">
        <w:rPr>
          <w:rFonts w:cs="Arial" w:hint="cs"/>
          <w:u w:val="single"/>
          <w:rtl/>
        </w:rPr>
        <w:t>:</w:t>
      </w:r>
    </w:p>
    <w:p w14:paraId="67368F05" w14:textId="77777777" w:rsidR="002E5BAD" w:rsidRDefault="002E5BAD" w:rsidP="002E5BAD">
      <w:pPr>
        <w:pStyle w:val="ab"/>
        <w:numPr>
          <w:ilvl w:val="0"/>
          <w:numId w:val="131"/>
        </w:numPr>
        <w:rPr>
          <w:rFonts w:cs="Arial"/>
        </w:rPr>
      </w:pPr>
      <w:r w:rsidRPr="00B3180C">
        <w:rPr>
          <w:rFonts w:cs="Arial"/>
          <w:rtl/>
        </w:rPr>
        <w:t>ה"ר אליהו</w:t>
      </w:r>
      <w:r>
        <w:rPr>
          <w:rFonts w:cs="Arial" w:hint="cs"/>
          <w:sz w:val="16"/>
          <w:szCs w:val="16"/>
          <w:rtl/>
        </w:rPr>
        <w:t xml:space="preserve"> (כ"כ התוס' [</w:t>
      </w:r>
      <w:r w:rsidRPr="00771687">
        <w:rPr>
          <w:rFonts w:cs="Arial"/>
          <w:sz w:val="16"/>
          <w:szCs w:val="16"/>
          <w:rtl/>
        </w:rPr>
        <w:t>סג. תוד"ה באומר</w:t>
      </w:r>
      <w:r>
        <w:rPr>
          <w:rFonts w:cs="Arial" w:hint="cs"/>
          <w:sz w:val="16"/>
          <w:szCs w:val="16"/>
          <w:rtl/>
        </w:rPr>
        <w:t>] הרא"ש [סי' לב] והטור בשמו)</w:t>
      </w:r>
      <w:r>
        <w:rPr>
          <w:rFonts w:cs="Arial" w:hint="cs"/>
          <w:rtl/>
        </w:rPr>
        <w:t>-</w:t>
      </w:r>
      <w:r w:rsidRPr="00B3180C">
        <w:rPr>
          <w:rFonts w:cs="Arial"/>
          <w:rtl/>
        </w:rPr>
        <w:t xml:space="preserve"> </w:t>
      </w:r>
      <w:r>
        <w:rPr>
          <w:rStyle w:val="a7"/>
          <w:rFonts w:cs="Arial"/>
          <w:rtl/>
        </w:rPr>
        <w:footnoteReference w:id="1073"/>
      </w:r>
      <w:r>
        <w:rPr>
          <w:rFonts w:cs="Arial"/>
          <w:rtl/>
        </w:rPr>
        <w:t>אדם מחוייב להשכיר את עצמו לעשות מלאכה לפרנס את אשתו</w:t>
      </w:r>
      <w:r>
        <w:rPr>
          <w:rFonts w:cs="Arial" w:hint="cs"/>
          <w:rtl/>
        </w:rPr>
        <w:t>,</w:t>
      </w:r>
      <w:r>
        <w:rPr>
          <w:rFonts w:cs="Arial"/>
          <w:rtl/>
        </w:rPr>
        <w:t xml:space="preserve"> מדקאמר איני זן ואיני מפרנס משמע דהוי מורד ממלאכה שהוא משועבד לה לעשות כדי לזונה ולפרנסה</w:t>
      </w:r>
      <w:r>
        <w:rPr>
          <w:rFonts w:cs="Arial" w:hint="cs"/>
          <w:rtl/>
        </w:rPr>
        <w:t>,</w:t>
      </w:r>
      <w:r>
        <w:rPr>
          <w:rFonts w:cs="Arial"/>
          <w:rtl/>
        </w:rPr>
        <w:t xml:space="preserve"> וגם מספר כתובה הוא מוכיח שכתוב בה אפלח ואוקיר ואזון יתיכי</w:t>
      </w:r>
      <w:r>
        <w:rPr>
          <w:rStyle w:val="a7"/>
          <w:rFonts w:cs="Arial"/>
          <w:rtl/>
        </w:rPr>
        <w:footnoteReference w:id="1074"/>
      </w:r>
      <w:r>
        <w:rPr>
          <w:rFonts w:cs="Arial" w:hint="cs"/>
          <w:sz w:val="16"/>
          <w:szCs w:val="16"/>
          <w:rtl/>
        </w:rPr>
        <w:t xml:space="preserve"> (ל' התוס' בשם ה"ר אליהו)</w:t>
      </w:r>
      <w:r>
        <w:rPr>
          <w:rStyle w:val="a7"/>
          <w:rFonts w:cs="Arial"/>
          <w:rtl/>
        </w:rPr>
        <w:footnoteReference w:id="1075"/>
      </w:r>
      <w:r>
        <w:rPr>
          <w:rFonts w:cs="Arial" w:hint="cs"/>
          <w:rtl/>
        </w:rPr>
        <w:t>.</w:t>
      </w:r>
      <w:r w:rsidRPr="00B3180C">
        <w:rPr>
          <w:rFonts w:cs="Arial"/>
          <w:rtl/>
        </w:rPr>
        <w:t xml:space="preserve"> </w:t>
      </w:r>
    </w:p>
    <w:p w14:paraId="3319A66F" w14:textId="77777777" w:rsidR="002E5BAD" w:rsidRDefault="002E5BAD" w:rsidP="002E5BAD">
      <w:pPr>
        <w:pStyle w:val="ab"/>
        <w:numPr>
          <w:ilvl w:val="0"/>
          <w:numId w:val="131"/>
        </w:numPr>
        <w:rPr>
          <w:rFonts w:cs="Arial"/>
        </w:rPr>
      </w:pPr>
      <w:r>
        <w:rPr>
          <w:rFonts w:cs="Arial" w:hint="cs"/>
          <w:rtl/>
        </w:rPr>
        <w:t xml:space="preserve">ר"ת </w:t>
      </w:r>
      <w:r w:rsidRPr="00B3180C">
        <w:rPr>
          <w:rFonts w:cs="Arial"/>
          <w:rtl/>
        </w:rPr>
        <w:t>רמ"ה</w:t>
      </w:r>
      <w:r>
        <w:rPr>
          <w:rFonts w:cs="Arial" w:hint="cs"/>
          <w:rtl/>
        </w:rPr>
        <w:t xml:space="preserve"> ור"ן</w:t>
      </w:r>
      <w:r>
        <w:rPr>
          <w:rStyle w:val="a7"/>
          <w:rFonts w:cs="Arial"/>
          <w:rtl/>
        </w:rPr>
        <w:footnoteReference w:id="1076"/>
      </w:r>
      <w:r>
        <w:rPr>
          <w:rFonts w:cs="Arial" w:hint="cs"/>
          <w:rtl/>
        </w:rPr>
        <w:t>-</w:t>
      </w:r>
      <w:r w:rsidRPr="00B3180C">
        <w:rPr>
          <w:rFonts w:cs="Arial"/>
          <w:rtl/>
        </w:rPr>
        <w:t xml:space="preserve"> לחיוביה למיעבד לא מחייבינן ליה</w:t>
      </w:r>
      <w:r w:rsidRPr="008D0B69">
        <w:rPr>
          <w:rFonts w:cs="Arial" w:hint="cs"/>
          <w:sz w:val="16"/>
          <w:szCs w:val="16"/>
          <w:rtl/>
        </w:rPr>
        <w:t xml:space="preserve"> </w:t>
      </w:r>
      <w:r>
        <w:rPr>
          <w:rFonts w:cs="Arial" w:hint="cs"/>
          <w:sz w:val="16"/>
          <w:szCs w:val="16"/>
          <w:rtl/>
        </w:rPr>
        <w:t>(ל' הטור בשם הרמ"ה)</w:t>
      </w:r>
      <w:r>
        <w:rPr>
          <w:rFonts w:cs="Arial" w:hint="cs"/>
          <w:rtl/>
        </w:rPr>
        <w:t>.</w:t>
      </w:r>
      <w:r w:rsidRPr="00B3180C">
        <w:rPr>
          <w:rFonts w:cs="Arial"/>
          <w:rtl/>
        </w:rPr>
        <w:t xml:space="preserve"> </w:t>
      </w:r>
    </w:p>
    <w:p w14:paraId="7A12AE36" w14:textId="77777777" w:rsidR="002E5BAD" w:rsidRPr="008D0B69" w:rsidRDefault="002E5BAD" w:rsidP="002E5BAD">
      <w:pPr>
        <w:ind w:left="360"/>
        <w:rPr>
          <w:rFonts w:cs="Arial"/>
          <w:u w:val="dotted"/>
        </w:rPr>
      </w:pPr>
      <w:r w:rsidRPr="008D0B69">
        <w:rPr>
          <w:rFonts w:cs="Arial" w:hint="cs"/>
          <w:u w:val="dotted"/>
          <w:rtl/>
        </w:rPr>
        <w:t xml:space="preserve">לסוברים שאינו חייב להשכיר עצמו </w:t>
      </w:r>
      <w:r w:rsidRPr="008D0B69">
        <w:rPr>
          <w:rFonts w:cs="Arial"/>
          <w:u w:val="dotted"/>
          <w:rtl/>
        </w:rPr>
        <w:t>–</w:t>
      </w:r>
      <w:r w:rsidRPr="008D0B69">
        <w:rPr>
          <w:rFonts w:cs="Arial" w:hint="cs"/>
          <w:u w:val="dotted"/>
          <w:rtl/>
        </w:rPr>
        <w:t xml:space="preserve"> מה הדין אם כבר עבד בעבר וגבה עתה את חובו:</w:t>
      </w:r>
    </w:p>
    <w:p w14:paraId="39B24F2B" w14:textId="77777777" w:rsidR="002E5BAD" w:rsidRPr="008D0B69" w:rsidRDefault="002E5BAD" w:rsidP="002E5BAD">
      <w:pPr>
        <w:pStyle w:val="ab"/>
        <w:numPr>
          <w:ilvl w:val="0"/>
          <w:numId w:val="131"/>
        </w:numPr>
        <w:rPr>
          <w:rFonts w:cs="Arial"/>
        </w:rPr>
      </w:pPr>
      <w:r>
        <w:rPr>
          <w:rFonts w:cs="Arial" w:hint="cs"/>
          <w:rtl/>
        </w:rPr>
        <w:t xml:space="preserve">רמ"ה </w:t>
      </w:r>
      <w:r>
        <w:rPr>
          <w:rFonts w:cs="Arial" w:hint="cs"/>
          <w:sz w:val="16"/>
          <w:szCs w:val="16"/>
          <w:rtl/>
        </w:rPr>
        <w:t>(כ"כ הטור בשמו)</w:t>
      </w:r>
      <w:r>
        <w:rPr>
          <w:rFonts w:cs="Arial" w:hint="cs"/>
          <w:rtl/>
        </w:rPr>
        <w:t xml:space="preserve">- </w:t>
      </w:r>
      <w:r w:rsidRPr="00B3180C">
        <w:rPr>
          <w:rFonts w:cs="Arial"/>
          <w:rtl/>
        </w:rPr>
        <w:t>אבל היכא דעבד ושקל אגרא אע</w:t>
      </w:r>
      <w:r>
        <w:rPr>
          <w:rFonts w:cs="Arial" w:hint="cs"/>
          <w:rtl/>
        </w:rPr>
        <w:t>"</w:t>
      </w:r>
      <w:r w:rsidRPr="00B3180C">
        <w:rPr>
          <w:rFonts w:cs="Arial"/>
          <w:rtl/>
        </w:rPr>
        <w:t>ג דגבי ב</w:t>
      </w:r>
      <w:r>
        <w:rPr>
          <w:rFonts w:cs="Arial" w:hint="cs"/>
          <w:rtl/>
        </w:rPr>
        <w:t xml:space="preserve">על </w:t>
      </w:r>
      <w:r w:rsidRPr="00B3180C">
        <w:rPr>
          <w:rFonts w:cs="Arial"/>
          <w:rtl/>
        </w:rPr>
        <w:t>ח</w:t>
      </w:r>
      <w:r>
        <w:rPr>
          <w:rFonts w:cs="Arial" w:hint="cs"/>
          <w:rtl/>
        </w:rPr>
        <w:t>וב</w:t>
      </w:r>
      <w:r w:rsidRPr="00B3180C">
        <w:rPr>
          <w:rFonts w:cs="Arial"/>
          <w:rtl/>
        </w:rPr>
        <w:t xml:space="preserve"> לא מחייבינן ליה למפרע מיניה אלא לבתר דשיימינן ליה מזון שלשים יום ושאר מילי דסדור</w:t>
      </w:r>
      <w:r>
        <w:rPr>
          <w:rFonts w:cs="Arial" w:hint="cs"/>
          <w:rtl/>
        </w:rPr>
        <w:t>,</w:t>
      </w:r>
      <w:r w:rsidRPr="00B3180C">
        <w:rPr>
          <w:rFonts w:cs="Arial"/>
          <w:rtl/>
        </w:rPr>
        <w:t xml:space="preserve"> גבי מזונות אשתו כיון דלאו זוזי אסקה ביה אלא מזוני חייב לזונה כפי כבוד</w:t>
      </w:r>
      <w:r>
        <w:rPr>
          <w:rFonts w:cs="Arial" w:hint="cs"/>
          <w:rtl/>
        </w:rPr>
        <w:t xml:space="preserve">ה. </w:t>
      </w:r>
      <w:r w:rsidRPr="008D0B69">
        <w:rPr>
          <w:rFonts w:cs="Arial"/>
          <w:rtl/>
        </w:rPr>
        <w:t>אפי' אי לית ליה אלא מזוני דחד יומא חייב למיזנה מינייהו או למיכל בהדיה במאי דאכיל</w:t>
      </w:r>
      <w:r w:rsidRPr="008D0B69">
        <w:rPr>
          <w:rFonts w:cs="Arial" w:hint="cs"/>
          <w:rtl/>
        </w:rPr>
        <w:t>.</w:t>
      </w:r>
      <w:r>
        <w:rPr>
          <w:rFonts w:hint="cs"/>
          <w:rtl/>
        </w:rPr>
        <w:t xml:space="preserve"> </w:t>
      </w:r>
    </w:p>
    <w:p w14:paraId="089400B6" w14:textId="77777777" w:rsidR="002E5BAD" w:rsidRPr="00C9081D" w:rsidRDefault="002E5BAD" w:rsidP="002E5BAD">
      <w:pPr>
        <w:rPr>
          <w:rFonts w:cs="Arial"/>
          <w:u w:val="single"/>
          <w:rtl/>
        </w:rPr>
      </w:pPr>
      <w:r w:rsidRPr="00C9081D">
        <w:rPr>
          <w:rFonts w:cs="Arial" w:hint="cs"/>
          <w:u w:val="single"/>
          <w:rtl/>
        </w:rPr>
        <w:lastRenderedPageBreak/>
        <w:t>תבעה מזונות מבעלה, ואמר שאין לו, ויש לה קרקעות מיוחדות לכתובתה שהבעל אוכל מהם פירות:</w:t>
      </w:r>
    </w:p>
    <w:p w14:paraId="30EC02A9" w14:textId="77777777" w:rsidR="002E5BAD" w:rsidRPr="00D62B0F" w:rsidRDefault="002E5BAD" w:rsidP="002E5BAD">
      <w:pPr>
        <w:pStyle w:val="ab"/>
        <w:numPr>
          <w:ilvl w:val="0"/>
          <w:numId w:val="133"/>
        </w:numPr>
        <w:rPr>
          <w:rFonts w:cs="Arial"/>
          <w:rtl/>
        </w:rPr>
      </w:pPr>
      <w:r w:rsidRPr="002D671F">
        <w:rPr>
          <w:rFonts w:cs="Arial"/>
          <w:rtl/>
        </w:rPr>
        <w:t xml:space="preserve">רשב"א </w:t>
      </w:r>
      <w:r w:rsidRPr="00C9081D">
        <w:rPr>
          <w:rFonts w:cs="Arial"/>
          <w:sz w:val="16"/>
          <w:szCs w:val="16"/>
          <w:rtl/>
        </w:rPr>
        <w:t>(ח"א סי</w:t>
      </w:r>
      <w:r w:rsidRPr="00C9081D">
        <w:rPr>
          <w:rFonts w:cs="Arial" w:hint="cs"/>
          <w:sz w:val="16"/>
          <w:szCs w:val="16"/>
          <w:rtl/>
        </w:rPr>
        <w:t>'</w:t>
      </w:r>
      <w:r w:rsidRPr="00C9081D">
        <w:rPr>
          <w:rFonts w:cs="Arial"/>
          <w:sz w:val="16"/>
          <w:szCs w:val="16"/>
          <w:rtl/>
        </w:rPr>
        <w:t xml:space="preserve"> תתצ</w:t>
      </w:r>
      <w:r w:rsidRPr="00C9081D">
        <w:rPr>
          <w:rFonts w:cs="Arial" w:hint="cs"/>
          <w:sz w:val="16"/>
          <w:szCs w:val="16"/>
          <w:rtl/>
        </w:rPr>
        <w:t>)</w:t>
      </w:r>
      <w:r>
        <w:rPr>
          <w:rFonts w:cs="Arial" w:hint="cs"/>
          <w:rtl/>
        </w:rPr>
        <w:t>-</w:t>
      </w:r>
      <w:r w:rsidRPr="002D671F">
        <w:rPr>
          <w:rFonts w:cs="Arial"/>
          <w:rtl/>
        </w:rPr>
        <w:t xml:space="preserve"> </w:t>
      </w:r>
      <w:r w:rsidRPr="00C9081D">
        <w:rPr>
          <w:rFonts w:cs="Arial"/>
          <w:rtl/>
        </w:rPr>
        <w:t>שאלת</w:t>
      </w:r>
      <w:r>
        <w:rPr>
          <w:rFonts w:cs="Arial" w:hint="cs"/>
          <w:rtl/>
        </w:rPr>
        <w:t>,</w:t>
      </w:r>
      <w:r w:rsidRPr="00C9081D">
        <w:rPr>
          <w:rFonts w:cs="Arial"/>
          <w:rtl/>
        </w:rPr>
        <w:t xml:space="preserve"> התובעת מזונות מבעלה</w:t>
      </w:r>
      <w:r>
        <w:rPr>
          <w:rFonts w:cs="Arial" w:hint="cs"/>
          <w:rtl/>
        </w:rPr>
        <w:t>,</w:t>
      </w:r>
      <w:r w:rsidRPr="00C9081D">
        <w:rPr>
          <w:rFonts w:cs="Arial"/>
          <w:rtl/>
        </w:rPr>
        <w:t xml:space="preserve"> והבעל אומר אין לו מה לתת. ויש לו קרקעות אמנם הם מיוחדים לכתובתה או מתנתה והוא אוכל פירותיהן. היש להגבות לה מזונותיה בפירות הקרקעות ההם או לא? ואם היא רוצה לקבל פרעון המזונות בגוף הקרקעות היש לבית דין להגבותם לה לחלוטין במזונותיה אם הם שוה בשוה? תשובה</w:t>
      </w:r>
      <w:r w:rsidRPr="00C9081D">
        <w:rPr>
          <w:rFonts w:cs="Arial" w:hint="cs"/>
          <w:rtl/>
        </w:rPr>
        <w:t>-</w:t>
      </w:r>
      <w:r w:rsidRPr="00C9081D">
        <w:rPr>
          <w:rFonts w:cs="Arial"/>
          <w:rtl/>
        </w:rPr>
        <w:t xml:space="preserve"> כל שיש לו פירות</w:t>
      </w:r>
      <w:r w:rsidRPr="00C9081D">
        <w:rPr>
          <w:rFonts w:cs="Arial" w:hint="cs"/>
          <w:rtl/>
        </w:rPr>
        <w:t>,</w:t>
      </w:r>
      <w:r w:rsidRPr="00C9081D">
        <w:rPr>
          <w:rFonts w:cs="Arial"/>
          <w:rtl/>
        </w:rPr>
        <w:t xml:space="preserve"> תזון אשתו עמו מן הפירות אם יספיקו לשניהם. ואם לא יספיקו</w:t>
      </w:r>
      <w:r w:rsidRPr="00C9081D">
        <w:rPr>
          <w:rFonts w:cs="Arial" w:hint="cs"/>
          <w:rtl/>
        </w:rPr>
        <w:t>,</w:t>
      </w:r>
      <w:r w:rsidRPr="00C9081D">
        <w:rPr>
          <w:rFonts w:cs="Arial"/>
          <w:rtl/>
        </w:rPr>
        <w:t xml:space="preserve"> יוסיפו בית דין לזון מן הקרקעות. ואע</w:t>
      </w:r>
      <w:r w:rsidRPr="00C9081D">
        <w:rPr>
          <w:rFonts w:cs="Arial" w:hint="cs"/>
          <w:rtl/>
        </w:rPr>
        <w:t>"</w:t>
      </w:r>
      <w:r w:rsidRPr="00C9081D">
        <w:rPr>
          <w:rFonts w:cs="Arial"/>
          <w:rtl/>
        </w:rPr>
        <w:t>פ שהנכסי' אינם מספיקין ליתר מכדי כתובתה</w:t>
      </w:r>
      <w:r w:rsidRPr="00C9081D">
        <w:rPr>
          <w:rFonts w:cs="Arial" w:hint="cs"/>
          <w:rtl/>
        </w:rPr>
        <w:t>,</w:t>
      </w:r>
      <w:r w:rsidRPr="00C9081D">
        <w:rPr>
          <w:rFonts w:cs="Arial"/>
          <w:rtl/>
        </w:rPr>
        <w:t xml:space="preserve"> אם היא רוצה ליזון מהם עכשו צריכין בית דין לכוף את הבעל למכור למזון</w:t>
      </w:r>
      <w:r w:rsidRPr="00C9081D">
        <w:rPr>
          <w:rFonts w:cs="Arial" w:hint="cs"/>
          <w:rtl/>
        </w:rPr>
        <w:t>,</w:t>
      </w:r>
      <w:r w:rsidRPr="00C9081D">
        <w:rPr>
          <w:rFonts w:cs="Arial"/>
          <w:rtl/>
        </w:rPr>
        <w:t xml:space="preserve"> או יגבו לה מזונותיה מאותן קרקעות אע</w:t>
      </w:r>
      <w:r w:rsidRPr="00C9081D">
        <w:rPr>
          <w:rFonts w:cs="Arial" w:hint="cs"/>
          <w:rtl/>
        </w:rPr>
        <w:t>"</w:t>
      </w:r>
      <w:r w:rsidRPr="00C9081D">
        <w:rPr>
          <w:rFonts w:cs="Arial"/>
          <w:rtl/>
        </w:rPr>
        <w:t>פ שאינן מספיקין לכדי כתובתה. עצה טובה קמ"ל שתצמצם במזונותיה כדי שישאר בכדי כתובתה. וכן פירשו בתוספות וכן עיקר. והרב אלפסי ז"ל פי' בענין אחר כמו שתמצא בהלכות</w:t>
      </w:r>
      <w:r>
        <w:rPr>
          <w:rStyle w:val="a7"/>
          <w:rFonts w:cs="Arial"/>
          <w:rtl/>
        </w:rPr>
        <w:footnoteReference w:id="1077"/>
      </w:r>
      <w:r w:rsidRPr="00C9081D">
        <w:rPr>
          <w:rFonts w:cs="Arial" w:hint="cs"/>
          <w:rtl/>
        </w:rPr>
        <w:t>.</w:t>
      </w:r>
      <w:r>
        <w:rPr>
          <w:rFonts w:hint="cs"/>
          <w:color w:val="00B0F0"/>
          <w:rtl/>
        </w:rPr>
        <w:t xml:space="preserve"> </w:t>
      </w:r>
      <w:r w:rsidRPr="00D62B0F">
        <w:rPr>
          <w:rFonts w:hint="cs"/>
          <w:color w:val="00B0F0"/>
          <w:rtl/>
        </w:rPr>
        <w:t>(וכ"פ הרמ"א)</w:t>
      </w:r>
    </w:p>
    <w:p w14:paraId="692EDE3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610C9FD" w14:textId="77777777" w:rsidR="002E5BAD" w:rsidRDefault="002E5BAD" w:rsidP="002E5BAD">
      <w:pPr>
        <w:rPr>
          <w:rtl/>
        </w:rPr>
      </w:pPr>
      <w:r>
        <w:rPr>
          <w:rFonts w:cs="Arial"/>
          <w:rtl/>
        </w:rPr>
        <w:t>כמה מזונות פוסקים לאשה</w:t>
      </w:r>
      <w:r>
        <w:rPr>
          <w:rStyle w:val="a7"/>
          <w:rFonts w:cs="Arial"/>
          <w:rtl/>
        </w:rPr>
        <w:footnoteReference w:id="1078"/>
      </w:r>
      <w:r>
        <w:rPr>
          <w:rFonts w:cs="Arial"/>
          <w:rtl/>
        </w:rPr>
        <w:t>, לחם שתי סעודות בכל יום, ופרפרות לאכול בה הפת, ושמן לאכילה ולהדלקת הנר, ומעט יין לשתות</w:t>
      </w:r>
      <w:r>
        <w:rPr>
          <w:rStyle w:val="a7"/>
          <w:rFonts w:cs="Arial"/>
          <w:rtl/>
        </w:rPr>
        <w:footnoteReference w:id="1079"/>
      </w:r>
      <w:r>
        <w:rPr>
          <w:rFonts w:cs="Arial"/>
          <w:rtl/>
        </w:rPr>
        <w:t xml:space="preserve">, אם היה מנהג המקום שישתו הנשים יין, </w:t>
      </w:r>
      <w:r>
        <w:rPr>
          <w:rFonts w:cs="Arial" w:hint="cs"/>
          <w:sz w:val="18"/>
          <w:szCs w:val="18"/>
          <w:rtl/>
        </w:rPr>
        <w:t xml:space="preserve">[הגה] </w:t>
      </w:r>
      <w:r w:rsidRPr="00B57349">
        <w:rPr>
          <w:rFonts w:cs="Arial"/>
          <w:sz w:val="18"/>
          <w:szCs w:val="18"/>
          <w:rtl/>
        </w:rPr>
        <w:t>ואם היתה מניקה נותנין לה יין</w:t>
      </w:r>
      <w:r>
        <w:rPr>
          <w:rStyle w:val="a7"/>
          <w:rFonts w:cs="Arial"/>
          <w:sz w:val="18"/>
          <w:szCs w:val="18"/>
          <w:rtl/>
        </w:rPr>
        <w:footnoteReference w:id="1080"/>
      </w:r>
      <w:r w:rsidRPr="00B57349">
        <w:rPr>
          <w:rFonts w:cs="Arial"/>
          <w:sz w:val="18"/>
          <w:szCs w:val="18"/>
          <w:rtl/>
        </w:rPr>
        <w:t xml:space="preserve"> (טור)</w:t>
      </w:r>
      <w:r>
        <w:rPr>
          <w:rFonts w:cs="Arial" w:hint="cs"/>
          <w:rtl/>
        </w:rPr>
        <w:t>.</w:t>
      </w:r>
      <w:r>
        <w:rPr>
          <w:rFonts w:cs="Arial"/>
          <w:rtl/>
        </w:rPr>
        <w:t xml:space="preserve"> ובשבת שלשה סעודות ובשר או דגים; ונותן לה בכל שבת מעה כסף לצרכיה; </w:t>
      </w:r>
      <w:r>
        <w:rPr>
          <w:rFonts w:cs="Arial" w:hint="cs"/>
          <w:sz w:val="18"/>
          <w:szCs w:val="18"/>
          <w:rtl/>
        </w:rPr>
        <w:t xml:space="preserve">[הגה] </w:t>
      </w:r>
      <w:r w:rsidRPr="00B57349">
        <w:rPr>
          <w:rFonts w:cs="Arial"/>
          <w:sz w:val="18"/>
          <w:szCs w:val="18"/>
          <w:rtl/>
        </w:rPr>
        <w:t>ונותנין לה עץ לבשל מאכלה (הר"ן פ' אף על פי).</w:t>
      </w:r>
      <w:r>
        <w:rPr>
          <w:rFonts w:cs="Arial"/>
          <w:rtl/>
        </w:rPr>
        <w:t xml:space="preserve">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בעני שבישראל אבל אם היה עשיר, הכל לפי עשרו. </w:t>
      </w:r>
      <w:r>
        <w:rPr>
          <w:rFonts w:cs="Arial" w:hint="cs"/>
          <w:sz w:val="18"/>
          <w:szCs w:val="18"/>
          <w:rtl/>
        </w:rPr>
        <w:t xml:space="preserve">[הגה] </w:t>
      </w:r>
      <w:r w:rsidRPr="00B57349">
        <w:rPr>
          <w:rFonts w:cs="Arial"/>
          <w:sz w:val="18"/>
          <w:szCs w:val="18"/>
          <w:rtl/>
        </w:rPr>
        <w:t>צמצמה והותירו מאלו המזונות, הוא של בעל (טור).</w:t>
      </w:r>
      <w:r>
        <w:rPr>
          <w:rFonts w:cs="Arial"/>
          <w:rtl/>
        </w:rPr>
        <w:t xml:space="preserve"> ואם היה עני ביותר ואינו יכול ליתן לה אפילו לחם שהיא צריכה</w:t>
      </w:r>
      <w:r>
        <w:rPr>
          <w:rStyle w:val="a7"/>
          <w:rFonts w:cs="Arial"/>
          <w:rtl/>
        </w:rPr>
        <w:footnoteReference w:id="1081"/>
      </w:r>
      <w:r>
        <w:rPr>
          <w:rFonts w:cs="Arial"/>
          <w:rtl/>
        </w:rPr>
        <w:t>, כופין אותו להוציא</w:t>
      </w:r>
      <w:r>
        <w:rPr>
          <w:rStyle w:val="a7"/>
          <w:rFonts w:cs="Arial"/>
          <w:rtl/>
        </w:rPr>
        <w:footnoteReference w:id="1082"/>
      </w:r>
      <w:r>
        <w:rPr>
          <w:rFonts w:cs="Arial"/>
          <w:rtl/>
        </w:rPr>
        <w:t xml:space="preserve">. </w:t>
      </w:r>
      <w:r w:rsidRPr="00B57349">
        <w:rPr>
          <w:rFonts w:cs="Arial"/>
          <w:sz w:val="18"/>
          <w:szCs w:val="18"/>
          <w:rtl/>
        </w:rPr>
        <w:t>הגה: ותהא כתובתה עליו חוב עד שימצא ויתן (טור בשם הרמב"ם). וי"א שאין כופין אותו להוציא, מאחר שאין לו (ר"י בשם ר"ת). מי שאין לו מזונות אלא חד יומא, חייב לזון מיניה את אשתו או למיכל בהדה (טור בשם הרמ"ה). וי"א עוד דחייב להשכיר עצמו כפועל</w:t>
      </w:r>
      <w:r>
        <w:rPr>
          <w:rStyle w:val="a7"/>
          <w:rFonts w:cs="Arial"/>
          <w:sz w:val="18"/>
          <w:szCs w:val="18"/>
          <w:rtl/>
        </w:rPr>
        <w:footnoteReference w:id="1083"/>
      </w:r>
      <w:r w:rsidRPr="00B57349">
        <w:rPr>
          <w:rFonts w:cs="Arial"/>
          <w:sz w:val="18"/>
          <w:szCs w:val="18"/>
          <w:rtl/>
        </w:rPr>
        <w:t xml:space="preserve"> ולזון אשתו (טור בשם ר' אל</w:t>
      </w:r>
      <w:r>
        <w:rPr>
          <w:rFonts w:cs="Arial" w:hint="cs"/>
          <w:sz w:val="18"/>
          <w:szCs w:val="18"/>
          <w:rtl/>
        </w:rPr>
        <w:t>י</w:t>
      </w:r>
      <w:r w:rsidRPr="00B57349">
        <w:rPr>
          <w:rFonts w:cs="Arial"/>
          <w:sz w:val="18"/>
          <w:szCs w:val="18"/>
          <w:rtl/>
        </w:rPr>
        <w:t>ה</w:t>
      </w:r>
      <w:r>
        <w:rPr>
          <w:rFonts w:cs="Arial" w:hint="cs"/>
          <w:sz w:val="18"/>
          <w:szCs w:val="18"/>
          <w:rtl/>
        </w:rPr>
        <w:t>ו</w:t>
      </w:r>
      <w:r w:rsidRPr="00B57349">
        <w:rPr>
          <w:rFonts w:cs="Arial"/>
          <w:sz w:val="18"/>
          <w:szCs w:val="18"/>
          <w:rtl/>
        </w:rPr>
        <w:t xml:space="preserve"> ומוהר"ם בשם רבי' שבצרפת). היה לו קרקעות, הרשות ביד האשה</w:t>
      </w:r>
      <w:r>
        <w:rPr>
          <w:rStyle w:val="a7"/>
          <w:rFonts w:cs="Arial"/>
          <w:sz w:val="18"/>
          <w:szCs w:val="18"/>
          <w:rtl/>
        </w:rPr>
        <w:footnoteReference w:id="1084"/>
      </w:r>
      <w:r w:rsidRPr="00B57349">
        <w:rPr>
          <w:rFonts w:cs="Arial"/>
          <w:sz w:val="18"/>
          <w:szCs w:val="18"/>
          <w:rtl/>
        </w:rPr>
        <w:t xml:space="preserve"> ליקח מזונותיה מפירות הקרקעות או מגוף הקרקעות, או צריך למוכרן (רשב"א סי</w:t>
      </w:r>
      <w:r>
        <w:rPr>
          <w:rFonts w:cs="Arial" w:hint="cs"/>
          <w:sz w:val="18"/>
          <w:szCs w:val="18"/>
          <w:rtl/>
        </w:rPr>
        <w:t>'</w:t>
      </w:r>
      <w:r w:rsidRPr="00B57349">
        <w:rPr>
          <w:rFonts w:cs="Arial"/>
          <w:sz w:val="18"/>
          <w:szCs w:val="18"/>
          <w:rtl/>
        </w:rPr>
        <w:t xml:space="preserve"> תת"ץ).</w:t>
      </w:r>
      <w:r>
        <w:rPr>
          <w:rFonts w:cs="Arial"/>
          <w:rtl/>
        </w:rPr>
        <w:t xml:space="preserve"> </w:t>
      </w:r>
    </w:p>
    <w:p w14:paraId="0D21C41B" w14:textId="77777777" w:rsidR="002E5BAD" w:rsidRDefault="002E5BAD" w:rsidP="002E5BAD">
      <w:pPr>
        <w:rPr>
          <w:rtl/>
        </w:rPr>
      </w:pPr>
    </w:p>
    <w:p w14:paraId="636D0770" w14:textId="77777777" w:rsidR="002E5BAD" w:rsidRDefault="002E5BAD" w:rsidP="002E5BAD">
      <w:pPr>
        <w:pStyle w:val="2"/>
        <w:rPr>
          <w:rtl/>
        </w:rPr>
      </w:pPr>
      <w:r>
        <w:rPr>
          <w:rtl/>
        </w:rPr>
        <w:t>סעיף ד</w:t>
      </w:r>
      <w:r>
        <w:rPr>
          <w:rFonts w:hint="cs"/>
          <w:rtl/>
        </w:rPr>
        <w:t>:</w:t>
      </w:r>
      <w:r w:rsidRPr="00763DDE">
        <w:rPr>
          <w:rFonts w:cs="Arial"/>
          <w:rtl/>
        </w:rPr>
        <w:t xml:space="preserve"> </w:t>
      </w:r>
      <w:r>
        <w:rPr>
          <w:rFonts w:cs="Arial"/>
          <w:rtl/>
        </w:rPr>
        <w:t>הנושא אשה ואח</w:t>
      </w:r>
      <w:r>
        <w:rPr>
          <w:rFonts w:cs="Arial" w:hint="cs"/>
          <w:rtl/>
        </w:rPr>
        <w:t xml:space="preserve">ר </w:t>
      </w:r>
      <w:r>
        <w:rPr>
          <w:rFonts w:cs="Arial"/>
          <w:rtl/>
        </w:rPr>
        <w:t>כ</w:t>
      </w:r>
      <w:r>
        <w:rPr>
          <w:rFonts w:cs="Arial" w:hint="cs"/>
          <w:rtl/>
        </w:rPr>
        <w:t>ך</w:t>
      </w:r>
      <w:r>
        <w:rPr>
          <w:rFonts w:cs="Arial"/>
          <w:rtl/>
        </w:rPr>
        <w:t xml:space="preserve"> נשתטית.</w:t>
      </w:r>
    </w:p>
    <w:p w14:paraId="68C34667" w14:textId="77777777" w:rsidR="002E5BAD" w:rsidRPr="00763DDE" w:rsidRDefault="002E5BAD" w:rsidP="002E5BAD">
      <w:pPr>
        <w:rPr>
          <w:u w:val="single"/>
          <w:rtl/>
        </w:rPr>
      </w:pPr>
      <w:r w:rsidRPr="00763DDE">
        <w:rPr>
          <w:rFonts w:cs="Arial"/>
          <w:u w:val="single"/>
          <w:rtl/>
        </w:rPr>
        <w:t>הנושא אשה ואח</w:t>
      </w:r>
      <w:r w:rsidRPr="00763DDE">
        <w:rPr>
          <w:rFonts w:cs="Arial" w:hint="cs"/>
          <w:u w:val="single"/>
          <w:rtl/>
        </w:rPr>
        <w:t xml:space="preserve">ר </w:t>
      </w:r>
      <w:r w:rsidRPr="00763DDE">
        <w:rPr>
          <w:rFonts w:cs="Arial"/>
          <w:u w:val="single"/>
          <w:rtl/>
        </w:rPr>
        <w:t>כ</w:t>
      </w:r>
      <w:r w:rsidRPr="00763DDE">
        <w:rPr>
          <w:rFonts w:cs="Arial" w:hint="cs"/>
          <w:u w:val="single"/>
          <w:rtl/>
        </w:rPr>
        <w:t>ך</w:t>
      </w:r>
      <w:r w:rsidRPr="00763DDE">
        <w:rPr>
          <w:rFonts w:cs="Arial"/>
          <w:u w:val="single"/>
          <w:rtl/>
        </w:rPr>
        <w:t xml:space="preserve"> נשתטית</w:t>
      </w:r>
      <w:r>
        <w:rPr>
          <w:rFonts w:cs="Arial" w:hint="cs"/>
          <w:u w:val="single"/>
          <w:rtl/>
        </w:rPr>
        <w:t xml:space="preserve"> </w:t>
      </w:r>
      <w:r>
        <w:rPr>
          <w:rFonts w:cs="Arial"/>
          <w:u w:val="single"/>
          <w:rtl/>
        </w:rPr>
        <w:t>–</w:t>
      </w:r>
      <w:r>
        <w:rPr>
          <w:rFonts w:cs="Arial" w:hint="cs"/>
          <w:u w:val="single"/>
          <w:rtl/>
        </w:rPr>
        <w:t xml:space="preserve"> האם</w:t>
      </w:r>
      <w:r w:rsidRPr="00763DDE">
        <w:rPr>
          <w:rFonts w:cs="Arial"/>
          <w:u w:val="single"/>
          <w:rtl/>
        </w:rPr>
        <w:t xml:space="preserve"> חייב לזונה ולרפאה</w:t>
      </w:r>
      <w:r>
        <w:rPr>
          <w:rFonts w:cs="Arial" w:hint="cs"/>
          <w:u w:val="single"/>
          <w:rtl/>
        </w:rPr>
        <w:t>:</w:t>
      </w:r>
    </w:p>
    <w:p w14:paraId="2670BAC8" w14:textId="77777777" w:rsidR="002E5BAD" w:rsidRDefault="002E5BAD" w:rsidP="002E5BAD">
      <w:pPr>
        <w:pStyle w:val="ab"/>
        <w:numPr>
          <w:ilvl w:val="0"/>
          <w:numId w:val="132"/>
        </w:numPr>
      </w:pPr>
      <w:r w:rsidRPr="00763DDE">
        <w:rPr>
          <w:rFonts w:cs="Arial"/>
          <w:rtl/>
        </w:rPr>
        <w:lastRenderedPageBreak/>
        <w:t>רשב"א</w:t>
      </w:r>
      <w:r>
        <w:rPr>
          <w:rFonts w:cs="Arial" w:hint="cs"/>
          <w:sz w:val="16"/>
          <w:szCs w:val="16"/>
          <w:rtl/>
        </w:rPr>
        <w:t xml:space="preserve"> (ח"ב סי' שפב)</w:t>
      </w:r>
      <w:r>
        <w:rPr>
          <w:rFonts w:cs="Arial" w:hint="cs"/>
          <w:rtl/>
        </w:rPr>
        <w:t>-</w:t>
      </w:r>
      <w:r w:rsidRPr="00763DDE">
        <w:rPr>
          <w:rFonts w:cs="Arial"/>
          <w:rtl/>
        </w:rPr>
        <w:t xml:space="preserve"> </w:t>
      </w:r>
      <w:r w:rsidRPr="0039064A">
        <w:rPr>
          <w:rFonts w:cs="Arial"/>
          <w:rtl/>
        </w:rPr>
        <w:t>שאלתם ראובן נשא אשה ואחר כך נשטית. והבעל אינו רוצה לזונה משל עצמו אלא מכתובתה ולפחות מעט מעט שהכניסה לו. היש מן הדין לעשות כן או חייב לזונה משל עצמו</w:t>
      </w:r>
      <w:r w:rsidRPr="0039064A">
        <w:rPr>
          <w:rFonts w:cs="Arial" w:hint="cs"/>
          <w:rtl/>
        </w:rPr>
        <w:t>.</w:t>
      </w:r>
      <w:r w:rsidRPr="0039064A">
        <w:rPr>
          <w:rFonts w:cs="Arial"/>
          <w:rtl/>
        </w:rPr>
        <w:t xml:space="preserve"> </w:t>
      </w:r>
      <w:r w:rsidRPr="0039064A">
        <w:rPr>
          <w:rFonts w:cs="Arial" w:hint="cs"/>
          <w:rtl/>
        </w:rPr>
        <w:t xml:space="preserve">  </w:t>
      </w:r>
      <w:r w:rsidRPr="0039064A">
        <w:rPr>
          <w:rFonts w:cs="Arial"/>
          <w:rtl/>
        </w:rPr>
        <w:t>תשובה</w:t>
      </w:r>
      <w:r w:rsidRPr="0039064A">
        <w:rPr>
          <w:rFonts w:cs="Arial" w:hint="cs"/>
          <w:rtl/>
        </w:rPr>
        <w:t>-</w:t>
      </w:r>
      <w:r w:rsidRPr="0039064A">
        <w:rPr>
          <w:rFonts w:cs="Arial"/>
          <w:rtl/>
        </w:rPr>
        <w:t xml:space="preserve"> הנושא את השוטה אינו חייב לזונה מפני שלא תקנו חכמים נשואין לשוטה שאין אדם דר עם נחש בכפיפה וכדאי' ביבמות פרק חרש</w:t>
      </w:r>
      <w:r w:rsidRPr="0039064A">
        <w:rPr>
          <w:rFonts w:cs="Arial" w:hint="cs"/>
          <w:rtl/>
        </w:rPr>
        <w:t xml:space="preserve"> (קיב:)</w:t>
      </w:r>
      <w:r w:rsidRPr="0039064A">
        <w:rPr>
          <w:rFonts w:cs="Arial"/>
          <w:rtl/>
        </w:rPr>
        <w:t>. וכל שאין לה כתובה</w:t>
      </w:r>
      <w:r w:rsidRPr="0039064A">
        <w:rPr>
          <w:rFonts w:cs="Arial" w:hint="cs"/>
          <w:rtl/>
        </w:rPr>
        <w:t>,</w:t>
      </w:r>
      <w:r w:rsidRPr="0039064A">
        <w:rPr>
          <w:rFonts w:cs="Arial"/>
          <w:rtl/>
        </w:rPr>
        <w:t xml:space="preserve"> אין לה תנאי כתובה. אבל הנושא את הפקחת ונשטית </w:t>
      </w:r>
      <w:r w:rsidRPr="0039064A">
        <w:rPr>
          <w:rFonts w:cs="Arial" w:hint="cs"/>
          <w:rtl/>
        </w:rPr>
        <w:t xml:space="preserve">- </w:t>
      </w:r>
      <w:r w:rsidRPr="0039064A">
        <w:rPr>
          <w:rFonts w:cs="Arial"/>
          <w:rtl/>
        </w:rPr>
        <w:t>חייב לזונה ועוד לרפאותה רפואה שאין לה קצבה. לפי שהרפואה שאין לה קצבה הרי היא כמזונות כדאיתא בפרק נערה שנתפתתה</w:t>
      </w:r>
      <w:r w:rsidRPr="0039064A">
        <w:rPr>
          <w:rFonts w:cs="Arial" w:hint="cs"/>
          <w:rtl/>
        </w:rPr>
        <w:t xml:space="preserve"> (נא.)</w:t>
      </w:r>
      <w:r w:rsidRPr="0039064A">
        <w:rPr>
          <w:rFonts w:cs="Arial"/>
          <w:rtl/>
        </w:rPr>
        <w:t>.</w:t>
      </w:r>
      <w:r w:rsidRPr="0039064A">
        <w:rPr>
          <w:rFonts w:cs="Arial" w:hint="cs"/>
          <w:rtl/>
        </w:rPr>
        <w:t>..</w:t>
      </w:r>
      <w:r w:rsidRPr="0039064A">
        <w:rPr>
          <w:rFonts w:cs="Arial"/>
          <w:rtl/>
        </w:rPr>
        <w:t xml:space="preserve"> כרשב"ג. ואינו פטור לא ממזונותיה ולא מרפואתה אלא במגרש</w:t>
      </w:r>
      <w:r w:rsidRPr="0039064A">
        <w:rPr>
          <w:rFonts w:cs="Arial" w:hint="cs"/>
          <w:rtl/>
        </w:rPr>
        <w:t>,</w:t>
      </w:r>
      <w:r w:rsidRPr="0039064A">
        <w:rPr>
          <w:rFonts w:cs="Arial"/>
          <w:rtl/>
        </w:rPr>
        <w:t xml:space="preserve"> וכדתנן התם בפ' נערה שנתפתת</w:t>
      </w:r>
      <w:r w:rsidRPr="0039064A">
        <w:rPr>
          <w:rFonts w:cs="Arial" w:hint="cs"/>
          <w:rtl/>
        </w:rPr>
        <w:t>ה</w:t>
      </w:r>
      <w:r w:rsidRPr="0039064A">
        <w:rPr>
          <w:rFonts w:cs="Arial"/>
          <w:rtl/>
        </w:rPr>
        <w:t xml:space="preserve"> לקתה חייב לרפאותה אמר הרי גיטה וכתובתה תרפא עצמה רשאי. וזו שנשטית אינו רשאי לגרשה בגט וכמו ששנינו בפ' חרש</w:t>
      </w:r>
      <w:r w:rsidRPr="0039064A">
        <w:rPr>
          <w:rFonts w:cs="Arial" w:hint="cs"/>
          <w:rtl/>
        </w:rPr>
        <w:t xml:space="preserve"> (קיב:)</w:t>
      </w:r>
      <w:r w:rsidRPr="0039064A">
        <w:rPr>
          <w:rFonts w:cs="Arial"/>
          <w:rtl/>
        </w:rPr>
        <w:t xml:space="preserve"> פקח שנשא פקחת ונתחרשה רצה יוציא רצה יקיים</w:t>
      </w:r>
      <w:r w:rsidRPr="0039064A">
        <w:rPr>
          <w:rFonts w:cs="Arial" w:hint="cs"/>
          <w:rtl/>
        </w:rPr>
        <w:t>,</w:t>
      </w:r>
      <w:r w:rsidRPr="0039064A">
        <w:rPr>
          <w:rFonts w:cs="Arial"/>
          <w:rtl/>
        </w:rPr>
        <w:t xml:space="preserve"> נשטית לא יוציא. ואוקימנא אפילו ביודעת לשמור את גיטה אלא שאינה יודעת לשמור את עצמה. ו</w:t>
      </w:r>
      <w:r w:rsidRPr="0039064A">
        <w:rPr>
          <w:rFonts w:cs="Arial" w:hint="cs"/>
          <w:rtl/>
        </w:rPr>
        <w:t>א</w:t>
      </w:r>
      <w:r w:rsidRPr="0039064A">
        <w:rPr>
          <w:rFonts w:cs="Arial"/>
          <w:rtl/>
        </w:rPr>
        <w:t>ע</w:t>
      </w:r>
      <w:r w:rsidRPr="0039064A">
        <w:rPr>
          <w:rFonts w:cs="Arial" w:hint="cs"/>
          <w:rtl/>
        </w:rPr>
        <w:t>"</w:t>
      </w:r>
      <w:r w:rsidRPr="0039064A">
        <w:rPr>
          <w:rFonts w:cs="Arial"/>
          <w:rtl/>
        </w:rPr>
        <w:t>פ שתקנו (כתובות נח:) מעשה ידיה תחת מזונותיה</w:t>
      </w:r>
      <w:r w:rsidRPr="0039064A">
        <w:rPr>
          <w:rFonts w:cs="Arial" w:hint="cs"/>
          <w:rtl/>
        </w:rPr>
        <w:t>,</w:t>
      </w:r>
      <w:r w:rsidRPr="0039064A">
        <w:rPr>
          <w:rFonts w:cs="Arial"/>
          <w:rtl/>
        </w:rPr>
        <w:t xml:space="preserve"> אין מזונותיה מעוכבין על מעשה ידיה</w:t>
      </w:r>
      <w:r w:rsidRPr="0039064A">
        <w:rPr>
          <w:rFonts w:cs="Arial" w:hint="cs"/>
          <w:rtl/>
        </w:rPr>
        <w:t>,</w:t>
      </w:r>
      <w:r w:rsidRPr="0039064A">
        <w:rPr>
          <w:rFonts w:cs="Arial"/>
          <w:rtl/>
        </w:rPr>
        <w:t xml:space="preserve"> אלא שכל שהיא עושה מעשה ידיה לבעל וחייב הוא לזון את אשתו חולה כבריאה.</w:t>
      </w:r>
      <w:r w:rsidRPr="0039064A">
        <w:rPr>
          <w:rFonts w:cs="Arial" w:hint="cs"/>
          <w:rtl/>
        </w:rPr>
        <w:t>.</w:t>
      </w:r>
      <w:r w:rsidRPr="0039064A">
        <w:rPr>
          <w:rFonts w:cs="Arial"/>
          <w:rtl/>
        </w:rPr>
        <w:t>. וכל שכן עכשו שנהגו הכל לכתוב בכל הכתובות שחתן מקבל על עצמו בקנין לזונה ולפרנסה.</w:t>
      </w:r>
      <w:r w:rsidRPr="0039064A">
        <w:rPr>
          <w:rFonts w:hint="cs"/>
          <w:color w:val="E36C0A" w:themeColor="accent6" w:themeShade="BF"/>
          <w:rtl/>
        </w:rPr>
        <w:t xml:space="preserve"> </w:t>
      </w:r>
      <w:r w:rsidRPr="00B91600">
        <w:rPr>
          <w:rFonts w:hint="cs"/>
          <w:color w:val="E36C0A" w:themeColor="accent6" w:themeShade="BF"/>
          <w:rtl/>
        </w:rPr>
        <w:t>(וכ"פ בשו"ע</w:t>
      </w:r>
      <w:r>
        <w:rPr>
          <w:rFonts w:hint="cs"/>
          <w:color w:val="E36C0A" w:themeColor="accent6" w:themeShade="BF"/>
          <w:sz w:val="16"/>
          <w:szCs w:val="16"/>
          <w:rtl/>
        </w:rPr>
        <w:t xml:space="preserve"> </w:t>
      </w:r>
      <w:r w:rsidRPr="004D3DE9">
        <w:rPr>
          <w:rFonts w:hint="cs"/>
          <w:color w:val="000000" w:themeColor="text1"/>
          <w:sz w:val="16"/>
          <w:szCs w:val="16"/>
          <w:rtl/>
        </w:rPr>
        <w:t>[</w:t>
      </w:r>
      <w:r>
        <w:rPr>
          <w:rFonts w:hint="cs"/>
          <w:color w:val="000000" w:themeColor="text1"/>
          <w:sz w:val="16"/>
          <w:szCs w:val="16"/>
          <w:rtl/>
        </w:rPr>
        <w:t>כאן</w:t>
      </w:r>
      <w:r w:rsidRPr="004D3DE9">
        <w:rPr>
          <w:rFonts w:hint="cs"/>
          <w:color w:val="000000" w:themeColor="text1"/>
          <w:sz w:val="16"/>
          <w:szCs w:val="16"/>
          <w:rtl/>
        </w:rPr>
        <w:t>]</w:t>
      </w:r>
      <w:r w:rsidRPr="00B91600">
        <w:rPr>
          <w:rFonts w:hint="cs"/>
          <w:color w:val="E36C0A" w:themeColor="accent6" w:themeShade="BF"/>
          <w:rtl/>
        </w:rPr>
        <w:t>)</w:t>
      </w:r>
    </w:p>
    <w:p w14:paraId="4DBA4A92" w14:textId="77777777" w:rsidR="002E5BAD" w:rsidRDefault="002E5BAD" w:rsidP="002E5BAD">
      <w:pPr>
        <w:pStyle w:val="ab"/>
        <w:numPr>
          <w:ilvl w:val="0"/>
          <w:numId w:val="132"/>
        </w:numPr>
      </w:pPr>
      <w:r w:rsidRPr="00FE714F">
        <w:rPr>
          <w:rFonts w:cs="Arial"/>
          <w:rtl/>
        </w:rPr>
        <w:t xml:space="preserve">רמב"ם </w:t>
      </w:r>
      <w:r w:rsidRPr="00705D4B">
        <w:rPr>
          <w:rFonts w:cs="Arial" w:hint="cs"/>
          <w:sz w:val="16"/>
          <w:szCs w:val="16"/>
          <w:rtl/>
        </w:rPr>
        <w:t>(</w:t>
      </w:r>
      <w:r>
        <w:rPr>
          <w:rFonts w:cs="Arial" w:hint="cs"/>
          <w:sz w:val="16"/>
          <w:szCs w:val="16"/>
          <w:rtl/>
        </w:rPr>
        <w:t>שם</w:t>
      </w:r>
      <w:r w:rsidRPr="00705D4B">
        <w:rPr>
          <w:rFonts w:cs="Arial" w:hint="cs"/>
          <w:sz w:val="16"/>
          <w:szCs w:val="16"/>
          <w:rtl/>
        </w:rPr>
        <w:t>)</w:t>
      </w:r>
      <w:r>
        <w:rPr>
          <w:rFonts w:cs="Arial" w:hint="cs"/>
          <w:rtl/>
        </w:rPr>
        <w:t xml:space="preserve">- </w:t>
      </w:r>
      <w:r w:rsidRPr="003826BD">
        <w:rPr>
          <w:rFonts w:cs="Arial"/>
          <w:rtl/>
        </w:rPr>
        <w:t>אם נשתטית אינו מוציאה עד שתבריא</w:t>
      </w:r>
      <w:r>
        <w:rPr>
          <w:rFonts w:cs="Arial" w:hint="cs"/>
          <w:rtl/>
        </w:rPr>
        <w:t>...</w:t>
      </w:r>
      <w:r w:rsidRPr="00E24AEE">
        <w:rPr>
          <w:rFonts w:cs="Arial"/>
          <w:rtl/>
        </w:rPr>
        <w:t xml:space="preserve"> לפיכך מניחה ונושא אחרת</w:t>
      </w:r>
      <w:r>
        <w:rPr>
          <w:rFonts w:cs="Arial" w:hint="cs"/>
          <w:rtl/>
        </w:rPr>
        <w:t>,</w:t>
      </w:r>
      <w:r w:rsidRPr="00E24AEE">
        <w:rPr>
          <w:rFonts w:cs="Arial"/>
          <w:rtl/>
        </w:rPr>
        <w:t xml:space="preserve"> ומאכילה ומשקה משלה</w:t>
      </w:r>
      <w:r>
        <w:rPr>
          <w:rFonts w:cs="Arial" w:hint="cs"/>
          <w:rtl/>
        </w:rPr>
        <w:t>.</w:t>
      </w:r>
      <w:r w:rsidRPr="00E24AEE">
        <w:rPr>
          <w:rFonts w:cs="Arial"/>
          <w:rtl/>
        </w:rPr>
        <w:t xml:space="preserve"> ואין מחייבין אותו בשאר כסות ועונה</w:t>
      </w:r>
      <w:r>
        <w:rPr>
          <w:rFonts w:cs="Arial" w:hint="cs"/>
          <w:rtl/>
        </w:rPr>
        <w:t>,</w:t>
      </w:r>
      <w:r w:rsidRPr="00E24AEE">
        <w:rPr>
          <w:rFonts w:cs="Arial"/>
          <w:rtl/>
        </w:rPr>
        <w:t xml:space="preserve"> שאין כח בבן דעת לדור עם השוטים בבית אחד</w:t>
      </w:r>
      <w:r>
        <w:rPr>
          <w:rFonts w:cs="Arial" w:hint="cs"/>
          <w:rtl/>
        </w:rPr>
        <w:t>.</w:t>
      </w:r>
      <w:r w:rsidRPr="00E24AEE">
        <w:rPr>
          <w:rFonts w:cs="Arial"/>
          <w:rtl/>
        </w:rPr>
        <w:t xml:space="preserve"> ואינו חייב לרפאותה ולא לפדותה</w:t>
      </w:r>
      <w:r>
        <w:rPr>
          <w:rFonts w:cs="Arial" w:hint="cs"/>
          <w:rtl/>
        </w:rPr>
        <w:t>...</w:t>
      </w:r>
      <w:r w:rsidRPr="00FE714F">
        <w:rPr>
          <w:rFonts w:cs="Arial"/>
          <w:rtl/>
        </w:rPr>
        <w:t xml:space="preserve"> </w:t>
      </w:r>
      <w:bookmarkStart w:id="1" w:name="_Hlk74822982"/>
      <w:r w:rsidRPr="00544E63">
        <w:rPr>
          <w:rFonts w:hint="cs"/>
          <w:color w:val="E36C0A" w:themeColor="accent6" w:themeShade="BF"/>
          <w:rtl/>
        </w:rPr>
        <w:t>(וכ"פ בשו"ע</w:t>
      </w:r>
      <w:r>
        <w:rPr>
          <w:rFonts w:hint="cs"/>
          <w:color w:val="000000" w:themeColor="text1"/>
          <w:sz w:val="16"/>
          <w:szCs w:val="16"/>
          <w:rtl/>
        </w:rPr>
        <w:t xml:space="preserve"> </w:t>
      </w:r>
      <w:r w:rsidRPr="004D3DE9">
        <w:rPr>
          <w:rFonts w:hint="cs"/>
          <w:color w:val="000000" w:themeColor="text1"/>
          <w:sz w:val="16"/>
          <w:szCs w:val="16"/>
          <w:rtl/>
        </w:rPr>
        <w:t>[</w:t>
      </w:r>
      <w:r>
        <w:rPr>
          <w:rFonts w:hint="cs"/>
          <w:color w:val="000000" w:themeColor="text1"/>
          <w:sz w:val="16"/>
          <w:szCs w:val="16"/>
          <w:rtl/>
        </w:rPr>
        <w:t>בסי' קיט ס"ו]</w:t>
      </w:r>
      <w:r>
        <w:rPr>
          <w:rFonts w:hint="cs"/>
          <w:color w:val="E36C0A" w:themeColor="accent6" w:themeShade="BF"/>
          <w:rtl/>
        </w:rPr>
        <w:t>)</w:t>
      </w:r>
      <w:bookmarkEnd w:id="1"/>
    </w:p>
    <w:p w14:paraId="7ECB9A8D" w14:textId="77777777" w:rsidR="002E5BAD" w:rsidRPr="005D2022" w:rsidRDefault="002E5BAD" w:rsidP="002E5BAD">
      <w:pPr>
        <w:ind w:left="360"/>
        <w:rPr>
          <w:u w:val="dotted"/>
        </w:rPr>
      </w:pPr>
      <w:r w:rsidRPr="005D2022">
        <w:rPr>
          <w:rFonts w:hint="cs"/>
          <w:u w:val="dotted"/>
          <w:rtl/>
        </w:rPr>
        <w:t>כיצד יש ליישב את הסתירה בשו"ע:</w:t>
      </w:r>
    </w:p>
    <w:p w14:paraId="63F5196B" w14:textId="77777777" w:rsidR="002E5BAD" w:rsidRDefault="002E5BAD" w:rsidP="002E5BAD">
      <w:pPr>
        <w:pStyle w:val="ab"/>
        <w:numPr>
          <w:ilvl w:val="0"/>
          <w:numId w:val="132"/>
        </w:numPr>
      </w:pPr>
      <w:r>
        <w:rPr>
          <w:rFonts w:cs="Arial" w:hint="cs"/>
          <w:rtl/>
        </w:rPr>
        <w:t xml:space="preserve">ב"ש </w:t>
      </w:r>
      <w:r w:rsidRPr="005D2022">
        <w:rPr>
          <w:rFonts w:cs="Arial" w:hint="cs"/>
          <w:sz w:val="16"/>
          <w:szCs w:val="16"/>
          <w:rtl/>
        </w:rPr>
        <w:t>(סק"</w:t>
      </w:r>
      <w:r w:rsidRPr="005D2022">
        <w:rPr>
          <w:rFonts w:cs="Arial"/>
          <w:sz w:val="16"/>
          <w:szCs w:val="16"/>
          <w:rtl/>
        </w:rPr>
        <w:t>י</w:t>
      </w:r>
      <w:r w:rsidRPr="005D2022">
        <w:rPr>
          <w:rFonts w:cs="Arial" w:hint="cs"/>
          <w:sz w:val="16"/>
          <w:szCs w:val="16"/>
          <w:rtl/>
        </w:rPr>
        <w:t>, ובסי' קיט סק)</w:t>
      </w:r>
      <w:r>
        <w:rPr>
          <w:rFonts w:cs="Arial" w:hint="cs"/>
          <w:rtl/>
        </w:rPr>
        <w:t xml:space="preserve">- </w:t>
      </w:r>
      <w:r w:rsidRPr="005D2022">
        <w:rPr>
          <w:rFonts w:cs="Arial"/>
          <w:rtl/>
        </w:rPr>
        <w:t>איירי כאן בשוט</w:t>
      </w:r>
      <w:r>
        <w:rPr>
          <w:rFonts w:cs="Arial" w:hint="cs"/>
          <w:rtl/>
        </w:rPr>
        <w:t>ה</w:t>
      </w:r>
      <w:r w:rsidRPr="005D2022">
        <w:rPr>
          <w:rFonts w:cs="Arial"/>
          <w:rtl/>
        </w:rPr>
        <w:t xml:space="preserve"> דא</w:t>
      </w:r>
      <w:r>
        <w:rPr>
          <w:rFonts w:cs="Arial" w:hint="cs"/>
          <w:rtl/>
        </w:rPr>
        <w:t xml:space="preserve">ינה </w:t>
      </w:r>
      <w:r w:rsidRPr="005D2022">
        <w:rPr>
          <w:rFonts w:cs="Arial"/>
          <w:rtl/>
        </w:rPr>
        <w:t>י</w:t>
      </w:r>
      <w:r>
        <w:rPr>
          <w:rFonts w:cs="Arial" w:hint="cs"/>
          <w:rtl/>
        </w:rPr>
        <w:t>כולה</w:t>
      </w:r>
      <w:r w:rsidRPr="005D2022">
        <w:rPr>
          <w:rFonts w:cs="Arial"/>
          <w:rtl/>
        </w:rPr>
        <w:t xml:space="preserve"> לשמור את גיטה</w:t>
      </w:r>
      <w:r>
        <w:rPr>
          <w:rFonts w:cs="Arial" w:hint="cs"/>
          <w:rtl/>
        </w:rPr>
        <w:t>, ד</w:t>
      </w:r>
      <w:r w:rsidRPr="005D2022">
        <w:rPr>
          <w:rFonts w:cs="Arial"/>
          <w:rtl/>
        </w:rPr>
        <w:t>אז א</w:t>
      </w:r>
      <w:r>
        <w:rPr>
          <w:rFonts w:cs="Arial" w:hint="cs"/>
          <w:rtl/>
        </w:rPr>
        <w:t>ינו יכול</w:t>
      </w:r>
      <w:r w:rsidRPr="005D2022">
        <w:rPr>
          <w:rFonts w:cs="Arial"/>
          <w:rtl/>
        </w:rPr>
        <w:t xml:space="preserve"> לגרש אות</w:t>
      </w:r>
      <w:r>
        <w:rPr>
          <w:rFonts w:cs="Arial" w:hint="cs"/>
          <w:rtl/>
        </w:rPr>
        <w:t>ה</w:t>
      </w:r>
      <w:r w:rsidRPr="005D2022">
        <w:rPr>
          <w:rFonts w:cs="Arial"/>
          <w:rtl/>
        </w:rPr>
        <w:t xml:space="preserve"> מדאוריי</w:t>
      </w:r>
      <w:r>
        <w:rPr>
          <w:rFonts w:cs="Arial" w:hint="cs"/>
          <w:rtl/>
        </w:rPr>
        <w:t>תא.</w:t>
      </w:r>
    </w:p>
    <w:p w14:paraId="4CDD03FF" w14:textId="77777777" w:rsidR="002E5BAD" w:rsidRDefault="002E5BAD" w:rsidP="002E5BAD">
      <w:pPr>
        <w:pStyle w:val="ab"/>
        <w:numPr>
          <w:ilvl w:val="0"/>
          <w:numId w:val="132"/>
        </w:numPr>
      </w:pPr>
      <w:r>
        <w:rPr>
          <w:rFonts w:hint="cs"/>
          <w:rtl/>
        </w:rPr>
        <w:t xml:space="preserve">ח"מ </w:t>
      </w:r>
      <w:r w:rsidRPr="008121F7">
        <w:rPr>
          <w:rFonts w:hint="cs"/>
          <w:sz w:val="16"/>
          <w:szCs w:val="16"/>
          <w:rtl/>
        </w:rPr>
        <w:t>(סקט"ו)</w:t>
      </w:r>
      <w:r>
        <w:rPr>
          <w:rFonts w:hint="cs"/>
          <w:rtl/>
        </w:rPr>
        <w:t xml:space="preserve">- </w:t>
      </w:r>
      <w:r w:rsidRPr="008121F7">
        <w:rPr>
          <w:rFonts w:cs="Arial"/>
          <w:rtl/>
        </w:rPr>
        <w:t>אין כאן סתירה דקמן כ' שאינו חייב לרפאותה היינו ברוצה ליתן לה כתוב</w:t>
      </w:r>
      <w:r>
        <w:rPr>
          <w:rFonts w:cs="Arial" w:hint="cs"/>
          <w:rtl/>
        </w:rPr>
        <w:t>ה,</w:t>
      </w:r>
      <w:r w:rsidRPr="008121F7">
        <w:rPr>
          <w:rFonts w:cs="Arial"/>
          <w:rtl/>
        </w:rPr>
        <w:t xml:space="preserve"> וכמ"ש המ"מ שם </w:t>
      </w:r>
      <w:r w:rsidRPr="00363731">
        <w:rPr>
          <w:rFonts w:cs="Arial" w:hint="cs"/>
          <w:sz w:val="16"/>
          <w:szCs w:val="16"/>
          <w:rtl/>
        </w:rPr>
        <w:t>(</w:t>
      </w:r>
      <w:r w:rsidRPr="00363731">
        <w:rPr>
          <w:rFonts w:cs="Arial"/>
          <w:sz w:val="16"/>
          <w:szCs w:val="16"/>
          <w:rtl/>
        </w:rPr>
        <w:t>פ"ג מה"ג</w:t>
      </w:r>
      <w:r w:rsidRPr="00363731">
        <w:rPr>
          <w:rFonts w:cs="Arial" w:hint="cs"/>
          <w:sz w:val="16"/>
          <w:szCs w:val="16"/>
          <w:rtl/>
        </w:rPr>
        <w:t>)</w:t>
      </w:r>
      <w:r>
        <w:rPr>
          <w:rFonts w:cs="Arial" w:hint="cs"/>
          <w:rtl/>
        </w:rPr>
        <w:t>.</w:t>
      </w:r>
      <w:r w:rsidRPr="008121F7">
        <w:rPr>
          <w:rFonts w:cs="Arial"/>
          <w:rtl/>
        </w:rPr>
        <w:t xml:space="preserve"> וכאן מיירי באין רוצה ליתן לה כתובה</w:t>
      </w:r>
      <w:r>
        <w:rPr>
          <w:rStyle w:val="a7"/>
          <w:rFonts w:cs="Arial"/>
          <w:rtl/>
        </w:rPr>
        <w:footnoteReference w:id="1085"/>
      </w:r>
      <w:r w:rsidRPr="008121F7">
        <w:rPr>
          <w:rFonts w:cs="Arial"/>
          <w:rtl/>
        </w:rPr>
        <w:t xml:space="preserve"> </w:t>
      </w:r>
      <w:r>
        <w:rPr>
          <w:rFonts w:cs="Arial" w:hint="cs"/>
          <w:sz w:val="16"/>
          <w:szCs w:val="16"/>
          <w:rtl/>
        </w:rPr>
        <w:t>(</w:t>
      </w:r>
      <w:r w:rsidRPr="00363731">
        <w:rPr>
          <w:rFonts w:cs="Arial"/>
          <w:sz w:val="16"/>
          <w:szCs w:val="16"/>
          <w:rtl/>
        </w:rPr>
        <w:t>ועיין לקמן סי' ע"ט</w:t>
      </w:r>
      <w:r>
        <w:rPr>
          <w:rFonts w:cs="Arial" w:hint="cs"/>
          <w:sz w:val="16"/>
          <w:szCs w:val="16"/>
          <w:rtl/>
        </w:rPr>
        <w:t>)</w:t>
      </w:r>
      <w:r>
        <w:rPr>
          <w:rFonts w:cs="Arial" w:hint="cs"/>
          <w:rtl/>
        </w:rPr>
        <w:t>.</w:t>
      </w:r>
    </w:p>
    <w:p w14:paraId="55EF3D94" w14:textId="77777777" w:rsidR="002E5BAD" w:rsidRPr="00285F32" w:rsidRDefault="002E5BAD" w:rsidP="002E5BAD">
      <w:pPr>
        <w:pStyle w:val="ab"/>
        <w:numPr>
          <w:ilvl w:val="0"/>
          <w:numId w:val="132"/>
        </w:numPr>
        <w:rPr>
          <w:rtl/>
        </w:rPr>
      </w:pPr>
      <w:r>
        <w:rPr>
          <w:rFonts w:hint="cs"/>
          <w:rtl/>
        </w:rPr>
        <w:t xml:space="preserve">ט"ז </w:t>
      </w:r>
      <w:r w:rsidRPr="008121F7">
        <w:rPr>
          <w:rFonts w:hint="cs"/>
          <w:sz w:val="16"/>
          <w:szCs w:val="16"/>
          <w:rtl/>
        </w:rPr>
        <w:t>(סק"ה)</w:t>
      </w:r>
      <w:r>
        <w:rPr>
          <w:rFonts w:hint="cs"/>
          <w:rtl/>
        </w:rPr>
        <w:t xml:space="preserve">- </w:t>
      </w:r>
      <w:r w:rsidRPr="008121F7">
        <w:rPr>
          <w:rFonts w:cs="Arial"/>
          <w:rtl/>
        </w:rPr>
        <w:t>נראה לתרץ קושית רמ"א בזה דבסי' קי"ט אזיל לדעתו דיכול לגרשה בעל כרחה ממילא יכול לומר אניח כתובתה ביד בי"ד ומשלם מזה שכר הרופא</w:t>
      </w:r>
      <w:r>
        <w:rPr>
          <w:rFonts w:cs="Arial" w:hint="cs"/>
          <w:rtl/>
        </w:rPr>
        <w:t>.</w:t>
      </w:r>
      <w:r w:rsidRPr="008121F7">
        <w:rPr>
          <w:rFonts w:cs="Arial"/>
          <w:rtl/>
        </w:rPr>
        <w:t xml:space="preserve"> משא"כ כאן דמיירי בענין שאין מגרשין בע</w:t>
      </w:r>
      <w:r>
        <w:rPr>
          <w:rFonts w:cs="Arial" w:hint="cs"/>
          <w:rtl/>
        </w:rPr>
        <w:t xml:space="preserve">ל </w:t>
      </w:r>
      <w:r w:rsidRPr="008121F7">
        <w:rPr>
          <w:rFonts w:cs="Arial"/>
          <w:rtl/>
        </w:rPr>
        <w:t>כ</w:t>
      </w:r>
      <w:r>
        <w:rPr>
          <w:rFonts w:cs="Arial" w:hint="cs"/>
          <w:rtl/>
        </w:rPr>
        <w:t>רחה.</w:t>
      </w:r>
    </w:p>
    <w:p w14:paraId="561A3ED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7E9A369" w14:textId="77777777" w:rsidR="002E5BAD" w:rsidRDefault="002E5BAD" w:rsidP="002E5BAD">
      <w:pPr>
        <w:rPr>
          <w:rtl/>
        </w:rPr>
      </w:pPr>
      <w:r>
        <w:rPr>
          <w:rFonts w:cs="Arial"/>
          <w:rtl/>
        </w:rPr>
        <w:t>הנושא אשה ואח</w:t>
      </w:r>
      <w:r>
        <w:rPr>
          <w:rFonts w:cs="Arial" w:hint="cs"/>
          <w:rtl/>
        </w:rPr>
        <w:t xml:space="preserve">ר </w:t>
      </w:r>
      <w:r>
        <w:rPr>
          <w:rFonts w:cs="Arial"/>
          <w:rtl/>
        </w:rPr>
        <w:t>כ</w:t>
      </w:r>
      <w:r>
        <w:rPr>
          <w:rFonts w:cs="Arial" w:hint="cs"/>
          <w:rtl/>
        </w:rPr>
        <w:t>ך</w:t>
      </w:r>
      <w:r>
        <w:rPr>
          <w:rStyle w:val="a7"/>
          <w:rFonts w:cs="Arial"/>
          <w:rtl/>
        </w:rPr>
        <w:footnoteReference w:id="1086"/>
      </w:r>
      <w:r>
        <w:rPr>
          <w:rFonts w:cs="Arial"/>
          <w:rtl/>
        </w:rPr>
        <w:t xml:space="preserve"> נשתטית, חייב לזונה ולרפאה</w:t>
      </w:r>
      <w:r>
        <w:rPr>
          <w:rFonts w:cs="Arial" w:hint="cs"/>
          <w:rtl/>
        </w:rPr>
        <w:t>.</w:t>
      </w:r>
      <w:r>
        <w:rPr>
          <w:rFonts w:cs="Arial"/>
          <w:rtl/>
        </w:rPr>
        <w:t xml:space="preserve"> </w:t>
      </w:r>
      <w:r>
        <w:rPr>
          <w:rFonts w:cs="Arial" w:hint="cs"/>
          <w:sz w:val="18"/>
          <w:szCs w:val="18"/>
          <w:rtl/>
        </w:rPr>
        <w:t xml:space="preserve">[הגה] </w:t>
      </w:r>
      <w:r w:rsidRPr="00DE2F5F">
        <w:rPr>
          <w:rFonts w:cs="Arial"/>
          <w:sz w:val="18"/>
          <w:szCs w:val="18"/>
          <w:rtl/>
        </w:rPr>
        <w:t>ע"ל סי' קי"ט סעיף ו' שכתב להיפך</w:t>
      </w:r>
      <w:r>
        <w:rPr>
          <w:rFonts w:cs="Arial"/>
          <w:rtl/>
        </w:rPr>
        <w:t xml:space="preserve">. </w:t>
      </w:r>
    </w:p>
    <w:p w14:paraId="692EBCCC" w14:textId="77777777" w:rsidR="002E5BAD" w:rsidRDefault="002E5BAD" w:rsidP="002E5BAD">
      <w:pPr>
        <w:rPr>
          <w:rtl/>
        </w:rPr>
      </w:pPr>
    </w:p>
    <w:p w14:paraId="410DCD27" w14:textId="77777777" w:rsidR="002E5BAD" w:rsidRPr="00D4194A" w:rsidRDefault="002E5BAD" w:rsidP="002E5BAD">
      <w:pPr>
        <w:pStyle w:val="2"/>
        <w:rPr>
          <w:rFonts w:cs="Arial"/>
          <w:rtl/>
        </w:rPr>
      </w:pPr>
      <w:r>
        <w:rPr>
          <w:rtl/>
        </w:rPr>
        <w:t>סעיף ה</w:t>
      </w:r>
      <w:r>
        <w:rPr>
          <w:rFonts w:hint="cs"/>
          <w:rtl/>
        </w:rPr>
        <w:t>:</w:t>
      </w:r>
      <w:r w:rsidRPr="00D4194A">
        <w:rPr>
          <w:rFonts w:cs="Arial"/>
          <w:rtl/>
        </w:rPr>
        <w:t xml:space="preserve"> </w:t>
      </w:r>
      <w:r w:rsidRPr="00B3180C">
        <w:rPr>
          <w:rFonts w:cs="Arial"/>
          <w:rtl/>
        </w:rPr>
        <w:t>הלך למדינת הים ואשתו תובעת מזונות בב"ד</w:t>
      </w:r>
      <w:r>
        <w:rPr>
          <w:rFonts w:cs="Arial" w:hint="cs"/>
          <w:rtl/>
        </w:rPr>
        <w:t>.</w:t>
      </w:r>
    </w:p>
    <w:p w14:paraId="4984325A" w14:textId="77777777" w:rsidR="002E5BAD" w:rsidRDefault="002E5BAD" w:rsidP="002E5BAD">
      <w:pPr>
        <w:rPr>
          <w:rFonts w:cs="Arial"/>
          <w:rtl/>
        </w:rPr>
      </w:pPr>
      <w:r w:rsidRPr="00D611D4">
        <w:rPr>
          <w:rFonts w:cs="Arial" w:hint="cs"/>
          <w:b/>
          <w:bCs/>
          <w:rtl/>
        </w:rPr>
        <w:t xml:space="preserve">כתובות </w:t>
      </w:r>
      <w:r>
        <w:rPr>
          <w:rFonts w:cs="Arial" w:hint="cs"/>
          <w:b/>
          <w:bCs/>
          <w:sz w:val="16"/>
          <w:szCs w:val="16"/>
          <w:rtl/>
        </w:rPr>
        <w:t>(פ' שני דייני)</w:t>
      </w:r>
      <w:r>
        <w:rPr>
          <w:rFonts w:cs="Arial" w:hint="cs"/>
          <w:b/>
          <w:bCs/>
          <w:rtl/>
        </w:rPr>
        <w:t xml:space="preserve"> </w:t>
      </w:r>
      <w:r w:rsidRPr="00D611D4">
        <w:rPr>
          <w:rFonts w:cs="Arial" w:hint="cs"/>
          <w:b/>
          <w:bCs/>
          <w:rtl/>
        </w:rPr>
        <w:t xml:space="preserve">קו ע"ב: </w:t>
      </w:r>
      <w:r w:rsidRPr="00197A95">
        <w:rPr>
          <w:rFonts w:cs="Arial"/>
          <w:rtl/>
        </w:rPr>
        <w:t xml:space="preserve">מי שהלך למדינת הים. איתמר, </w:t>
      </w:r>
      <w:r w:rsidRPr="00DC6EE6">
        <w:rPr>
          <w:rFonts w:cs="Arial"/>
          <w:u w:val="single"/>
          <w:rtl/>
        </w:rPr>
        <w:t>רב אמר</w:t>
      </w:r>
      <w:r w:rsidRPr="00197A95">
        <w:rPr>
          <w:rFonts w:cs="Arial"/>
          <w:rtl/>
        </w:rPr>
        <w:t>:</w:t>
      </w:r>
      <w:r>
        <w:rPr>
          <w:rFonts w:cs="Arial" w:hint="cs"/>
          <w:rtl/>
        </w:rPr>
        <w:t xml:space="preserve"> </w:t>
      </w:r>
      <w:r>
        <w:rPr>
          <w:rFonts w:hint="cs"/>
          <w:sz w:val="14"/>
          <w:szCs w:val="14"/>
          <w:rtl/>
        </w:rPr>
        <w:t>(קז.)</w:t>
      </w:r>
      <w:r>
        <w:rPr>
          <w:rFonts w:cs="Arial" w:hint="cs"/>
          <w:rtl/>
        </w:rPr>
        <w:t xml:space="preserve"> </w:t>
      </w:r>
      <w:r w:rsidRPr="00D611D4">
        <w:rPr>
          <w:rFonts w:cs="Arial"/>
          <w:rtl/>
        </w:rPr>
        <w:t xml:space="preserve">פוסקין מזונות לאשת איש, </w:t>
      </w:r>
      <w:r w:rsidRPr="00DC6EE6">
        <w:rPr>
          <w:rFonts w:cs="Arial"/>
          <w:u w:val="single"/>
          <w:rtl/>
        </w:rPr>
        <w:t>ושמואל אמר</w:t>
      </w:r>
      <w:r w:rsidRPr="00D611D4">
        <w:rPr>
          <w:rFonts w:cs="Arial"/>
          <w:rtl/>
        </w:rPr>
        <w:t xml:space="preserve">: אין פוסקין מזונות לאשת איש. </w:t>
      </w:r>
      <w:r w:rsidRPr="00DC6EE6">
        <w:rPr>
          <w:rFonts w:cs="Arial"/>
          <w:u w:val="single"/>
          <w:rtl/>
        </w:rPr>
        <w:t>אמר שמואל</w:t>
      </w:r>
      <w:r w:rsidRPr="00D611D4">
        <w:rPr>
          <w:rFonts w:cs="Arial"/>
          <w:rtl/>
        </w:rPr>
        <w:t xml:space="preserve">: מודה לי אבא, בשלשה חדשים הראשונים, לפי שאין אדם מניח ביתו ריקן. בששמעו בו שמת כולי עלמא לא פליגי, כי פליגי - בשלא שמעו בו שמת, </w:t>
      </w:r>
      <w:r w:rsidRPr="00DC6EE6">
        <w:rPr>
          <w:rFonts w:cs="Arial"/>
          <w:u w:val="single"/>
          <w:rtl/>
        </w:rPr>
        <w:t>רב אמר</w:t>
      </w:r>
      <w:r w:rsidRPr="00D611D4">
        <w:rPr>
          <w:rFonts w:cs="Arial"/>
          <w:rtl/>
        </w:rPr>
        <w:t xml:space="preserve">: פוסקין, דהא משועבד לה, </w:t>
      </w:r>
      <w:r w:rsidRPr="006E3405">
        <w:rPr>
          <w:rFonts w:cs="Arial"/>
          <w:u w:val="single"/>
          <w:rtl/>
        </w:rPr>
        <w:t>ושמואל אמר</w:t>
      </w:r>
      <w:r w:rsidRPr="00D611D4">
        <w:rPr>
          <w:rFonts w:cs="Arial"/>
          <w:rtl/>
        </w:rPr>
        <w:t xml:space="preserve">: אין פוסקין. מ"ט? </w:t>
      </w:r>
      <w:r w:rsidRPr="00DC6EE6">
        <w:rPr>
          <w:rFonts w:cs="Arial"/>
          <w:u w:val="single"/>
          <w:rtl/>
        </w:rPr>
        <w:t>רב זביד אמר</w:t>
      </w:r>
      <w:r w:rsidRPr="00D611D4">
        <w:rPr>
          <w:rFonts w:cs="Arial"/>
          <w:rtl/>
        </w:rPr>
        <w:t xml:space="preserve">: אימא צררי אתפסה, </w:t>
      </w:r>
      <w:r w:rsidRPr="00DC6EE6">
        <w:rPr>
          <w:rFonts w:cs="Arial"/>
          <w:u w:val="single"/>
          <w:rtl/>
        </w:rPr>
        <w:t>רב פפא אמר</w:t>
      </w:r>
      <w:r w:rsidRPr="00D611D4">
        <w:rPr>
          <w:rFonts w:cs="Arial"/>
          <w:rtl/>
        </w:rPr>
        <w:t xml:space="preserve">: חיישינן שמא אמר לה צאי מעשה ידיך במזונותיך. מאי בינייהו? איכא בינייהו: גדולה ולא ספקה; אי נמי, קטנה וספקה. תנן: מי שהלך למדינת הים ואשתו תובעת מזונות, </w:t>
      </w:r>
      <w:r w:rsidRPr="00DC6EE6">
        <w:rPr>
          <w:rFonts w:cs="Arial"/>
          <w:u w:val="single"/>
          <w:rtl/>
        </w:rPr>
        <w:t>חנן אמר</w:t>
      </w:r>
      <w:r w:rsidRPr="00D611D4">
        <w:rPr>
          <w:rFonts w:cs="Arial"/>
          <w:rtl/>
        </w:rPr>
        <w:t>: תשבע בסוף ולא תשבע בתחלה</w:t>
      </w:r>
      <w:r>
        <w:rPr>
          <w:rStyle w:val="a7"/>
          <w:rFonts w:cs="Arial"/>
          <w:rtl/>
        </w:rPr>
        <w:footnoteReference w:id="1087"/>
      </w:r>
      <w:r w:rsidRPr="00D611D4">
        <w:rPr>
          <w:rFonts w:cs="Arial"/>
          <w:rtl/>
        </w:rPr>
        <w:t xml:space="preserve">, </w:t>
      </w:r>
      <w:r w:rsidRPr="00DC6EE6">
        <w:rPr>
          <w:rFonts w:cs="Arial"/>
          <w:u w:val="single"/>
          <w:rtl/>
        </w:rPr>
        <w:t>נחלקו עליו בני כהנים גדולים ואמרו</w:t>
      </w:r>
      <w:r w:rsidRPr="00D611D4">
        <w:rPr>
          <w:rFonts w:cs="Arial"/>
          <w:rtl/>
        </w:rPr>
        <w:t>: תשבע בתחלה ובסוף</w:t>
      </w:r>
      <w:r>
        <w:rPr>
          <w:rFonts w:cs="Arial" w:hint="cs"/>
          <w:rtl/>
        </w:rPr>
        <w:t>.</w:t>
      </w:r>
      <w:r w:rsidRPr="004A6085">
        <w:rPr>
          <w:rtl/>
        </w:rPr>
        <w:t xml:space="preserve"> </w:t>
      </w:r>
      <w:r w:rsidRPr="004A6085">
        <w:rPr>
          <w:rFonts w:cs="Arial"/>
          <w:rtl/>
        </w:rPr>
        <w:t>עד כאן לא פליגי אלא לענין שבועה, אבל מזוני יהבינן לה! תרגמה שמואל: בששמעו בו שמת</w:t>
      </w:r>
      <w:r>
        <w:rPr>
          <w:rStyle w:val="a7"/>
          <w:rFonts w:cs="Arial"/>
          <w:rtl/>
        </w:rPr>
        <w:footnoteReference w:id="1088"/>
      </w:r>
      <w:r w:rsidRPr="004A6085">
        <w:rPr>
          <w:rFonts w:cs="Arial"/>
          <w:rtl/>
        </w:rPr>
        <w:t>.</w:t>
      </w:r>
      <w:r>
        <w:rPr>
          <w:rFonts w:cs="Arial" w:hint="cs"/>
          <w:rtl/>
        </w:rPr>
        <w:t>..</w:t>
      </w:r>
      <w:r w:rsidRPr="00D611D4">
        <w:rPr>
          <w:rFonts w:cs="Arial"/>
          <w:rtl/>
        </w:rPr>
        <w:t xml:space="preserve"> ת"ש מי שהלך למדינת הים ואשתו תובעת מזונות, ב"ד יורדים לנכסיו וזנין ומפרנסין לאשתו, אבל לא בניו ובנותיו ולא דבר אחר!</w:t>
      </w:r>
      <w:r>
        <w:rPr>
          <w:rFonts w:cs="Arial" w:hint="cs"/>
          <w:rtl/>
        </w:rPr>
        <w:t>..</w:t>
      </w:r>
      <w:r w:rsidRPr="00D611D4">
        <w:rPr>
          <w:rFonts w:cs="Arial"/>
          <w:rtl/>
        </w:rPr>
        <w:t xml:space="preserve">. מאי דבר אחר? </w:t>
      </w:r>
      <w:r w:rsidRPr="007B41A0">
        <w:rPr>
          <w:rFonts w:cs="Arial"/>
          <w:u w:val="single"/>
          <w:rtl/>
        </w:rPr>
        <w:t>רב חסדא אמר</w:t>
      </w:r>
      <w:r w:rsidRPr="00D611D4">
        <w:rPr>
          <w:rFonts w:cs="Arial"/>
          <w:rtl/>
        </w:rPr>
        <w:t>: תכשיט</w:t>
      </w:r>
      <w:r>
        <w:rPr>
          <w:rStyle w:val="a7"/>
          <w:rFonts w:cs="Arial"/>
          <w:rtl/>
        </w:rPr>
        <w:footnoteReference w:id="1089"/>
      </w:r>
      <w:r w:rsidRPr="00D611D4">
        <w:rPr>
          <w:rFonts w:cs="Arial"/>
          <w:rtl/>
        </w:rPr>
        <w:t xml:space="preserve">, </w:t>
      </w:r>
      <w:r w:rsidRPr="007B41A0">
        <w:rPr>
          <w:rFonts w:cs="Arial"/>
          <w:u w:val="single"/>
          <w:rtl/>
        </w:rPr>
        <w:t>רב יוסף אמר</w:t>
      </w:r>
      <w:r w:rsidRPr="00D611D4">
        <w:rPr>
          <w:rFonts w:cs="Arial"/>
          <w:rtl/>
        </w:rPr>
        <w:t xml:space="preserve">: צדקה. מ"ד תכשיט, כל שכן </w:t>
      </w:r>
      <w:r>
        <w:rPr>
          <w:rFonts w:hint="cs"/>
          <w:sz w:val="14"/>
          <w:szCs w:val="14"/>
          <w:rtl/>
        </w:rPr>
        <w:t>(קז:)</w:t>
      </w:r>
      <w:r>
        <w:rPr>
          <w:rFonts w:cs="Arial" w:hint="cs"/>
          <w:rtl/>
        </w:rPr>
        <w:t xml:space="preserve"> </w:t>
      </w:r>
      <w:r w:rsidRPr="005F627F">
        <w:rPr>
          <w:rFonts w:cs="Arial"/>
          <w:rtl/>
        </w:rPr>
        <w:t>צדקה; מ"ד צדקה, אבל תכשיט יהבינן לה, דלא ניחא ליה דתינוול.</w:t>
      </w:r>
      <w:r>
        <w:rPr>
          <w:rFonts w:cs="Arial" w:hint="cs"/>
          <w:rtl/>
        </w:rPr>
        <w:t>..</w:t>
      </w:r>
      <w:r w:rsidRPr="005F627F">
        <w:rPr>
          <w:rFonts w:cs="Arial"/>
          <w:rtl/>
        </w:rPr>
        <w:t xml:space="preserve"> והלכתא כותיה דרב, ופוסקין מזונות לאשת איש.</w:t>
      </w:r>
      <w:r>
        <w:rPr>
          <w:rFonts w:cs="Arial" w:hint="cs"/>
          <w:rtl/>
        </w:rPr>
        <w:t>..</w:t>
      </w:r>
      <w:r w:rsidRPr="00D611D4">
        <w:rPr>
          <w:rtl/>
        </w:rPr>
        <w:t xml:space="preserve"> </w:t>
      </w:r>
      <w:r>
        <w:rPr>
          <w:rFonts w:hint="cs"/>
          <w:sz w:val="14"/>
          <w:szCs w:val="14"/>
          <w:rtl/>
        </w:rPr>
        <w:t xml:space="preserve">(קט.) </w:t>
      </w:r>
      <w:r w:rsidRPr="00DC6EE6">
        <w:rPr>
          <w:rFonts w:cs="Arial"/>
          <w:u w:val="single"/>
          <w:rtl/>
        </w:rPr>
        <w:t>אמר ר' זירא אמר רבה בר ירמיה</w:t>
      </w:r>
      <w:r w:rsidRPr="00D611D4">
        <w:rPr>
          <w:rFonts w:cs="Arial"/>
          <w:rtl/>
        </w:rPr>
        <w:t xml:space="preserve">: ב' דברים שאמר חנן - הלכה כיוצא בו, שבעה דברים שאמר אדמון - אין הלכה כיוצא בו. מאי </w:t>
      </w:r>
      <w:r w:rsidRPr="00D611D4">
        <w:rPr>
          <w:rFonts w:cs="Arial"/>
          <w:rtl/>
        </w:rPr>
        <w:lastRenderedPageBreak/>
        <w:t>קאמר?</w:t>
      </w:r>
      <w:r>
        <w:rPr>
          <w:rFonts w:cs="Arial" w:hint="cs"/>
          <w:rtl/>
        </w:rPr>
        <w:t>...</w:t>
      </w:r>
      <w:r w:rsidRPr="00D611D4">
        <w:rPr>
          <w:rFonts w:cs="Arial"/>
          <w:rtl/>
        </w:rPr>
        <w:t xml:space="preserve"> אלא ה"ק: שני דברי' שאמר חנן - הלכה כמותו וכיוצא בו, שבעה דברים שאמר אדמון - יש מהן שהלכה כמותו וכיוצא בו, ויש מהן שאין הלכה כמותו אלא כיוצא בו, בכ"מ שאמר רבן גמליאל רואה אני את דברי אדמון - הלכה כמותו, אינך לא.</w:t>
      </w:r>
    </w:p>
    <w:p w14:paraId="6F8C70B9" w14:textId="77777777" w:rsidR="002E5BAD" w:rsidRDefault="002E5BAD" w:rsidP="002E5BAD">
      <w:pPr>
        <w:rPr>
          <w:rFonts w:cs="Arial"/>
          <w:rtl/>
        </w:rPr>
      </w:pPr>
      <w:r w:rsidRPr="00D611D4">
        <w:rPr>
          <w:rFonts w:cs="Arial" w:hint="cs"/>
          <w:b/>
          <w:bCs/>
          <w:rtl/>
        </w:rPr>
        <w:t xml:space="preserve">כתובות </w:t>
      </w:r>
      <w:r>
        <w:rPr>
          <w:rFonts w:cs="Arial" w:hint="cs"/>
          <w:b/>
          <w:bCs/>
          <w:sz w:val="16"/>
          <w:szCs w:val="16"/>
          <w:rtl/>
        </w:rPr>
        <w:t>(פ' אלמנה ניזונת)</w:t>
      </w:r>
      <w:r>
        <w:rPr>
          <w:rFonts w:cs="Arial" w:hint="cs"/>
          <w:b/>
          <w:bCs/>
          <w:rtl/>
        </w:rPr>
        <w:t xml:space="preserve"> </w:t>
      </w:r>
      <w:r w:rsidRPr="00D611D4">
        <w:rPr>
          <w:rFonts w:cs="Arial" w:hint="cs"/>
          <w:b/>
          <w:bCs/>
          <w:rtl/>
        </w:rPr>
        <w:t>ק ע"ב:</w:t>
      </w:r>
      <w:r>
        <w:rPr>
          <w:rFonts w:cs="Arial" w:hint="cs"/>
          <w:rtl/>
        </w:rPr>
        <w:t xml:space="preserve"> </w:t>
      </w:r>
      <w:r w:rsidRPr="00403374">
        <w:rPr>
          <w:rFonts w:cs="Arial"/>
          <w:u w:val="single"/>
          <w:rtl/>
        </w:rPr>
        <w:t>דאמרי נהרדעי</w:t>
      </w:r>
      <w:r w:rsidRPr="00403374">
        <w:rPr>
          <w:rFonts w:cs="Arial"/>
          <w:rtl/>
        </w:rPr>
        <w:t>: לכרגא, למזוני, ולקבורה - מזבנינן בלא אכרזתא.</w:t>
      </w:r>
    </w:p>
    <w:p w14:paraId="79CD54BA" w14:textId="77777777" w:rsidR="002E5BAD" w:rsidRPr="00D4194A" w:rsidRDefault="002E5BAD" w:rsidP="002E5BAD">
      <w:pPr>
        <w:rPr>
          <w:rFonts w:cs="Arial"/>
          <w:u w:val="single"/>
          <w:rtl/>
        </w:rPr>
      </w:pPr>
      <w:r w:rsidRPr="00D4194A">
        <w:rPr>
          <w:rFonts w:cs="Arial"/>
          <w:u w:val="single"/>
          <w:rtl/>
        </w:rPr>
        <w:t>הלך למדינת הים ואשתו תובעת מזונות בב"ד</w:t>
      </w:r>
      <w:r w:rsidRPr="00D4194A">
        <w:rPr>
          <w:rFonts w:cs="Arial" w:hint="cs"/>
          <w:u w:val="single"/>
          <w:rtl/>
        </w:rPr>
        <w:t>:</w:t>
      </w:r>
    </w:p>
    <w:p w14:paraId="55385696" w14:textId="77777777" w:rsidR="002E5BAD" w:rsidRPr="00D4194A" w:rsidRDefault="002E5BAD" w:rsidP="002E5BAD">
      <w:pPr>
        <w:pStyle w:val="ab"/>
        <w:numPr>
          <w:ilvl w:val="0"/>
          <w:numId w:val="131"/>
        </w:numPr>
      </w:pPr>
      <w:r w:rsidRPr="00B3180C">
        <w:rPr>
          <w:rFonts w:cs="Arial" w:hint="cs"/>
          <w:rtl/>
        </w:rPr>
        <w:t xml:space="preserve">טור- </w:t>
      </w:r>
      <w:r w:rsidRPr="00B3180C">
        <w:rPr>
          <w:rFonts w:cs="Arial"/>
          <w:rtl/>
        </w:rPr>
        <w:t>מי שהלך למדינת הים ואשתו תובעת מזונות בב"ד</w:t>
      </w:r>
      <w:r>
        <w:rPr>
          <w:rFonts w:cs="Arial" w:hint="cs"/>
          <w:rtl/>
        </w:rPr>
        <w:t>,</w:t>
      </w:r>
      <w:r w:rsidRPr="00B3180C">
        <w:rPr>
          <w:rFonts w:cs="Arial"/>
          <w:rtl/>
        </w:rPr>
        <w:t xml:space="preserve"> ג' חדשים הראשונים אין נותנין לה</w:t>
      </w:r>
      <w:r>
        <w:rPr>
          <w:rFonts w:cs="Arial" w:hint="cs"/>
          <w:rtl/>
        </w:rPr>
        <w:t>,</w:t>
      </w:r>
      <w:r w:rsidRPr="00B3180C">
        <w:rPr>
          <w:rFonts w:cs="Arial"/>
          <w:rtl/>
        </w:rPr>
        <w:t xml:space="preserve"> שחזקה אין אדם מניח את ביתו ריקן</w:t>
      </w:r>
      <w:r>
        <w:rPr>
          <w:rFonts w:cs="Arial" w:hint="cs"/>
          <w:rtl/>
        </w:rPr>
        <w:t>,</w:t>
      </w:r>
      <w:r w:rsidRPr="00B3180C">
        <w:rPr>
          <w:rFonts w:cs="Arial"/>
          <w:rtl/>
        </w:rPr>
        <w:t xml:space="preserve"> מכאן ואילך פוסקין לה אפי' לא שמעו בו שמת</w:t>
      </w:r>
      <w:r>
        <w:rPr>
          <w:rFonts w:cs="Arial" w:hint="cs"/>
          <w:rtl/>
        </w:rPr>
        <w:t>,</w:t>
      </w:r>
      <w:r w:rsidRPr="00B3180C">
        <w:rPr>
          <w:rFonts w:cs="Arial"/>
          <w:rtl/>
        </w:rPr>
        <w:t xml:space="preserve"> אפילו שבועה אינה צריכה</w:t>
      </w:r>
      <w:r>
        <w:rPr>
          <w:rFonts w:cs="Arial" w:hint="cs"/>
          <w:rtl/>
        </w:rPr>
        <w:t>.</w:t>
      </w:r>
      <w:r w:rsidRPr="00B3180C">
        <w:rPr>
          <w:rFonts w:cs="Arial"/>
          <w:rtl/>
        </w:rPr>
        <w:t xml:space="preserve"> אבל אין נותנין לה </w:t>
      </w:r>
      <w:r>
        <w:rPr>
          <w:rFonts w:cs="Arial" w:hint="cs"/>
          <w:rtl/>
        </w:rPr>
        <w:t>ב</w:t>
      </w:r>
      <w:r w:rsidRPr="00B3180C">
        <w:rPr>
          <w:rFonts w:cs="Arial"/>
          <w:rtl/>
        </w:rPr>
        <w:t>מה שתתקשט</w:t>
      </w:r>
      <w:r>
        <w:rPr>
          <w:rFonts w:cs="Arial" w:hint="cs"/>
          <w:rtl/>
        </w:rPr>
        <w:t>,</w:t>
      </w:r>
      <w:r w:rsidRPr="00B3180C">
        <w:rPr>
          <w:rFonts w:cs="Arial"/>
          <w:rtl/>
        </w:rPr>
        <w:t xml:space="preserve"> דכיון שאין בעלה בכאן אינה צריכה להתקשט</w:t>
      </w:r>
      <w:r>
        <w:rPr>
          <w:rFonts w:cs="Arial" w:hint="cs"/>
          <w:rtl/>
        </w:rPr>
        <w:t>.</w:t>
      </w:r>
      <w:r w:rsidRPr="004A6085">
        <w:rPr>
          <w:rFonts w:hint="cs"/>
          <w:color w:val="E36C0A" w:themeColor="accent6" w:themeShade="BF"/>
          <w:rtl/>
        </w:rPr>
        <w:t xml:space="preserve"> </w:t>
      </w:r>
      <w:r w:rsidRPr="00B91600">
        <w:rPr>
          <w:rFonts w:hint="cs"/>
          <w:color w:val="E36C0A" w:themeColor="accent6" w:themeShade="BF"/>
          <w:rtl/>
        </w:rPr>
        <w:t>(וכ"פ בשו"ע)</w:t>
      </w:r>
    </w:p>
    <w:p w14:paraId="6D5E8B6F" w14:textId="77777777" w:rsidR="002E5BAD" w:rsidRPr="00D4194A" w:rsidRDefault="002E5BAD" w:rsidP="002E5BAD">
      <w:pPr>
        <w:ind w:left="360"/>
        <w:rPr>
          <w:u w:val="dotted"/>
        </w:rPr>
      </w:pPr>
      <w:r w:rsidRPr="00D4194A">
        <w:rPr>
          <w:rFonts w:cs="Arial" w:hint="cs"/>
          <w:u w:val="dotted"/>
          <w:rtl/>
        </w:rPr>
        <w:t>האם צריכה להביא כתובתה לב"ד כדי שיפסקו לה מזונות:</w:t>
      </w:r>
      <w:r w:rsidRPr="00D4194A">
        <w:rPr>
          <w:rFonts w:cs="Arial"/>
          <w:u w:val="dotted"/>
          <w:rtl/>
        </w:rPr>
        <w:t xml:space="preserve"> </w:t>
      </w:r>
    </w:p>
    <w:p w14:paraId="5F182472" w14:textId="77777777" w:rsidR="002E5BAD" w:rsidRPr="00B7794F" w:rsidRDefault="002E5BAD" w:rsidP="002E5BAD">
      <w:pPr>
        <w:pStyle w:val="ab"/>
        <w:numPr>
          <w:ilvl w:val="0"/>
          <w:numId w:val="131"/>
        </w:numPr>
      </w:pPr>
      <w:r>
        <w:rPr>
          <w:rFonts w:cs="Arial" w:hint="cs"/>
          <w:rtl/>
        </w:rPr>
        <w:t xml:space="preserve">רמב"ם </w:t>
      </w:r>
      <w:r w:rsidRPr="00B7794F">
        <w:rPr>
          <w:rFonts w:cs="Arial" w:hint="cs"/>
          <w:sz w:val="16"/>
          <w:szCs w:val="16"/>
          <w:rtl/>
        </w:rPr>
        <w:t>(</w:t>
      </w:r>
      <w:r w:rsidRPr="00B7794F">
        <w:rPr>
          <w:rFonts w:cs="Arial"/>
          <w:sz w:val="16"/>
          <w:szCs w:val="16"/>
          <w:rtl/>
        </w:rPr>
        <w:t>פי"ב מאישות הי"ח)</w:t>
      </w:r>
      <w:r>
        <w:rPr>
          <w:rFonts w:cs="Arial" w:hint="cs"/>
          <w:rtl/>
        </w:rPr>
        <w:t>-</w:t>
      </w:r>
      <w:r w:rsidRPr="00663267">
        <w:rPr>
          <w:rFonts w:cs="Arial"/>
          <w:rtl/>
        </w:rPr>
        <w:t xml:space="preserve"> יש מן הגאונים שהורה שאין פוסקין מזונות לאשה שהלך בעלה או שמת בעלה עד שיהא שטר כתובה יוצא מתחת ידה, ואם לא תוציא שטר כתובה אין לה מזונות שמא נטלה כתובתה מבעלה או מחלה לו כתובתה שאין לה מזונות כמו שיתבאר. ויש מי שהורה שפוסקין לה מזונות בחזקת שלא נטלה ולא מחלה ואין מצריכין אותה להביא כתובה, ודעתי נוטה לזה במי שהלך בעלה</w:t>
      </w:r>
      <w:r>
        <w:rPr>
          <w:rStyle w:val="a7"/>
          <w:rFonts w:cs="Arial"/>
          <w:rtl/>
        </w:rPr>
        <w:footnoteReference w:id="1090"/>
      </w:r>
      <w:r>
        <w:rPr>
          <w:rFonts w:cs="Arial" w:hint="cs"/>
          <w:rtl/>
        </w:rPr>
        <w:t>,</w:t>
      </w:r>
      <w:r w:rsidRPr="00663267">
        <w:rPr>
          <w:rFonts w:cs="Arial"/>
          <w:rtl/>
        </w:rPr>
        <w:t xml:space="preserve"> הואיל ויש לה מזונות מן התורה, אבל אם מת בעלה אין לה מזונות עד שתביא כתובה מפני שהיא אוכלת בתקנת חכמים, ועוד שניזונת מנכסי יורשים ולעולם טוענין ליורש.</w:t>
      </w:r>
      <w:r w:rsidRPr="004A6085">
        <w:rPr>
          <w:rFonts w:hint="cs"/>
          <w:color w:val="E36C0A" w:themeColor="accent6" w:themeShade="BF"/>
          <w:rtl/>
        </w:rPr>
        <w:t xml:space="preserve"> </w:t>
      </w:r>
      <w:r w:rsidRPr="00B91600">
        <w:rPr>
          <w:rFonts w:hint="cs"/>
          <w:color w:val="E36C0A" w:themeColor="accent6" w:themeShade="BF"/>
          <w:rtl/>
        </w:rPr>
        <w:t>(וכ"פ בשו"ע)</w:t>
      </w:r>
    </w:p>
    <w:p w14:paraId="3C3B24D2" w14:textId="77777777" w:rsidR="002E5BAD" w:rsidRPr="00D4194A" w:rsidRDefault="002E5BAD" w:rsidP="002E5BAD">
      <w:pPr>
        <w:ind w:left="360"/>
        <w:rPr>
          <w:u w:val="dotted"/>
        </w:rPr>
      </w:pPr>
      <w:r w:rsidRPr="00D4194A">
        <w:rPr>
          <w:rFonts w:hint="cs"/>
          <w:u w:val="dotted"/>
          <w:rtl/>
        </w:rPr>
        <w:t xml:space="preserve">האם </w:t>
      </w:r>
      <w:r>
        <w:rPr>
          <w:rFonts w:hint="cs"/>
          <w:u w:val="dotted"/>
          <w:rtl/>
        </w:rPr>
        <w:t>לפני ש</w:t>
      </w:r>
      <w:r w:rsidRPr="00D4194A">
        <w:rPr>
          <w:rFonts w:hint="cs"/>
          <w:u w:val="dotted"/>
          <w:rtl/>
        </w:rPr>
        <w:t>פוסקים לה מזונות</w:t>
      </w:r>
      <w:r>
        <w:rPr>
          <w:rFonts w:hint="cs"/>
          <w:u w:val="dotted"/>
          <w:rtl/>
        </w:rPr>
        <w:t xml:space="preserve"> מחשבים האם מעשה ידיה מספיקים לה</w:t>
      </w:r>
      <w:r w:rsidRPr="00D4194A">
        <w:rPr>
          <w:rFonts w:hint="cs"/>
          <w:u w:val="dotted"/>
          <w:rtl/>
        </w:rPr>
        <w:t>:</w:t>
      </w:r>
    </w:p>
    <w:p w14:paraId="44006C59" w14:textId="77777777" w:rsidR="002E5BAD" w:rsidRDefault="002E5BAD" w:rsidP="002E5BAD">
      <w:pPr>
        <w:pStyle w:val="ab"/>
        <w:numPr>
          <w:ilvl w:val="0"/>
          <w:numId w:val="131"/>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 xml:space="preserve"> </w:t>
      </w:r>
      <w:r>
        <w:rPr>
          <w:rFonts w:cs="Arial"/>
          <w:rtl/>
        </w:rPr>
        <w:t xml:space="preserve">רמב"ן </w:t>
      </w:r>
      <w:r w:rsidRPr="00BB2F1F">
        <w:rPr>
          <w:rFonts w:cs="Arial"/>
          <w:sz w:val="16"/>
          <w:szCs w:val="16"/>
          <w:rtl/>
        </w:rPr>
        <w:t>(קז. ד"ה ומדאמרינן)</w:t>
      </w:r>
      <w:r>
        <w:rPr>
          <w:rFonts w:cs="Arial" w:hint="cs"/>
          <w:rtl/>
        </w:rPr>
        <w:t xml:space="preserve"> רשב"</w:t>
      </w:r>
      <w:r w:rsidRPr="00BB2F1F">
        <w:rPr>
          <w:rFonts w:cs="Arial" w:hint="cs"/>
          <w:rtl/>
        </w:rPr>
        <w:t>א</w:t>
      </w:r>
      <w:r>
        <w:rPr>
          <w:rFonts w:cs="Arial" w:hint="cs"/>
          <w:rtl/>
        </w:rPr>
        <w:t xml:space="preserve"> </w:t>
      </w:r>
      <w:r>
        <w:rPr>
          <w:rFonts w:cs="Arial" w:hint="cs"/>
          <w:sz w:val="16"/>
          <w:szCs w:val="16"/>
          <w:rtl/>
        </w:rPr>
        <w:t xml:space="preserve">(כ"כ בשמו הה"מ והר"ן) </w:t>
      </w:r>
      <w:r w:rsidRPr="00BB2F1F">
        <w:rPr>
          <w:rFonts w:cs="Arial" w:hint="cs"/>
          <w:rtl/>
        </w:rPr>
        <w:t>והה</w:t>
      </w:r>
      <w:r>
        <w:rPr>
          <w:rFonts w:cs="Arial" w:hint="cs"/>
          <w:rtl/>
        </w:rPr>
        <w:t xml:space="preserve">"מ </w:t>
      </w:r>
      <w:r>
        <w:rPr>
          <w:rFonts w:cs="Arial" w:hint="cs"/>
          <w:sz w:val="16"/>
          <w:szCs w:val="16"/>
          <w:rtl/>
        </w:rPr>
        <w:t>(שם)</w:t>
      </w:r>
      <w:r>
        <w:rPr>
          <w:rFonts w:cs="Arial" w:hint="cs"/>
          <w:rtl/>
        </w:rPr>
        <w:t>-</w:t>
      </w:r>
      <w:r w:rsidRPr="00AB50D4">
        <w:rPr>
          <w:rtl/>
        </w:rPr>
        <w:t xml:space="preserve"> </w:t>
      </w:r>
      <w:r>
        <w:rPr>
          <w:rFonts w:hint="cs"/>
          <w:rtl/>
        </w:rPr>
        <w:t xml:space="preserve">מכאן ואילך </w:t>
      </w:r>
      <w:r w:rsidRPr="00AB50D4">
        <w:rPr>
          <w:rFonts w:cs="Arial"/>
          <w:rtl/>
        </w:rPr>
        <w:t>פוסקין לה מזונות, ואם היו לו נכסים בית דין יורדין לנכסיו ומוכרין למזונותיה, ואין מחשבין עמה על מעשה ידיה עד שיבוא בעלה אם מצא שעשת הרי אלו שלו</w:t>
      </w:r>
      <w:r>
        <w:rPr>
          <w:rFonts w:cs="Arial" w:hint="cs"/>
          <w:sz w:val="16"/>
          <w:szCs w:val="16"/>
          <w:rtl/>
        </w:rPr>
        <w:t xml:space="preserve"> (ל' הרמב"ם)</w:t>
      </w:r>
      <w:r>
        <w:rPr>
          <w:rStyle w:val="a7"/>
          <w:rFonts w:cs="Arial"/>
          <w:rtl/>
        </w:rPr>
        <w:footnoteReference w:id="1091"/>
      </w:r>
      <w:r>
        <w:rPr>
          <w:rFonts w:cs="Arial" w:hint="cs"/>
          <w:rtl/>
        </w:rPr>
        <w:t>.</w:t>
      </w:r>
      <w:r w:rsidRPr="00B3180C">
        <w:rPr>
          <w:rFonts w:cs="Arial"/>
          <w:rtl/>
        </w:rPr>
        <w:t xml:space="preserve"> </w:t>
      </w:r>
      <w:r w:rsidRPr="00B91600">
        <w:rPr>
          <w:rFonts w:hint="cs"/>
          <w:color w:val="E36C0A" w:themeColor="accent6" w:themeShade="BF"/>
          <w:rtl/>
        </w:rPr>
        <w:t>(וכ"פ בשו"ע)</w:t>
      </w:r>
    </w:p>
    <w:p w14:paraId="5F4966ED" w14:textId="77777777" w:rsidR="002E5BAD" w:rsidRDefault="002E5BAD" w:rsidP="002E5BAD">
      <w:pPr>
        <w:pStyle w:val="ab"/>
        <w:numPr>
          <w:ilvl w:val="0"/>
          <w:numId w:val="131"/>
        </w:numPr>
      </w:pPr>
      <w:r w:rsidRPr="00B3180C">
        <w:rPr>
          <w:rFonts w:cs="Arial"/>
          <w:rtl/>
        </w:rPr>
        <w:t>רא"ש</w:t>
      </w:r>
      <w:r>
        <w:rPr>
          <w:rFonts w:cs="Arial" w:hint="cs"/>
          <w:sz w:val="16"/>
          <w:szCs w:val="16"/>
          <w:rtl/>
        </w:rPr>
        <w:t xml:space="preserve"> (סו"ס ה)</w:t>
      </w:r>
      <w:r>
        <w:rPr>
          <w:rFonts w:cs="Arial" w:hint="cs"/>
          <w:rtl/>
        </w:rPr>
        <w:t xml:space="preserve">- </w:t>
      </w:r>
      <w:r w:rsidRPr="00B3180C">
        <w:rPr>
          <w:rFonts w:cs="Arial"/>
          <w:rtl/>
        </w:rPr>
        <w:t>אין ב"ד פוסקין לה עד שידקדקו אם לא יספיקו לה מעשה ידיה שהיא רגילה לעשות</w:t>
      </w:r>
      <w:r>
        <w:rPr>
          <w:rFonts w:cs="Arial" w:hint="cs"/>
          <w:rtl/>
        </w:rPr>
        <w:t>,</w:t>
      </w:r>
      <w:r w:rsidRPr="00B3180C">
        <w:rPr>
          <w:rFonts w:cs="Arial"/>
          <w:rtl/>
        </w:rPr>
        <w:t xml:space="preserve"> שכשנפרעין מנכסיו של אדם שלא בפניו ראוי הוא שיהפכו בזכותו</w:t>
      </w:r>
      <w:r>
        <w:rPr>
          <w:rFonts w:cs="Arial" w:hint="cs"/>
          <w:sz w:val="16"/>
          <w:szCs w:val="16"/>
          <w:rtl/>
        </w:rPr>
        <w:t xml:space="preserve"> (ל' הב"י ע"פ דברי הרא"ש)</w:t>
      </w:r>
      <w:r>
        <w:rPr>
          <w:rFonts w:hint="cs"/>
          <w:rtl/>
        </w:rPr>
        <w:t>.</w:t>
      </w:r>
    </w:p>
    <w:p w14:paraId="1DFE6EB6" w14:textId="77777777" w:rsidR="002E5BAD" w:rsidRPr="00D4194A" w:rsidRDefault="002E5BAD" w:rsidP="002E5BAD">
      <w:pPr>
        <w:ind w:left="360"/>
        <w:rPr>
          <w:u w:val="dotted"/>
        </w:rPr>
      </w:pPr>
      <w:r w:rsidRPr="00D4194A">
        <w:rPr>
          <w:rFonts w:hint="cs"/>
          <w:u w:val="dotted"/>
          <w:rtl/>
        </w:rPr>
        <w:t>ומה הדין אם לא עמדה בדין אלא מכרה לעצמה למזונות:</w:t>
      </w:r>
    </w:p>
    <w:p w14:paraId="44EA0313" w14:textId="77777777" w:rsidR="002E5BAD" w:rsidRPr="00403374" w:rsidRDefault="002E5BAD" w:rsidP="002E5BAD">
      <w:pPr>
        <w:pStyle w:val="ab"/>
        <w:numPr>
          <w:ilvl w:val="0"/>
          <w:numId w:val="131"/>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w:t>
      </w:r>
      <w:r w:rsidRPr="00AB50D4">
        <w:rPr>
          <w:rtl/>
        </w:rPr>
        <w:t xml:space="preserve"> </w:t>
      </w:r>
      <w:r w:rsidRPr="00AB50D4">
        <w:rPr>
          <w:rFonts w:cs="Arial"/>
          <w:rtl/>
        </w:rPr>
        <w:t xml:space="preserve">וכן אם לא עמדה בדין אלא מכרה לעצמה למזונות </w:t>
      </w:r>
      <w:r>
        <w:rPr>
          <w:rFonts w:cs="Arial" w:hint="cs"/>
          <w:rtl/>
        </w:rPr>
        <w:t xml:space="preserve">- </w:t>
      </w:r>
      <w:r w:rsidRPr="00AB50D4">
        <w:rPr>
          <w:rFonts w:cs="Arial"/>
          <w:rtl/>
        </w:rPr>
        <w:t>מכרה קיים</w:t>
      </w:r>
      <w:r>
        <w:rPr>
          <w:rStyle w:val="a7"/>
          <w:rFonts w:cs="Arial"/>
          <w:rtl/>
        </w:rPr>
        <w:footnoteReference w:id="1092"/>
      </w:r>
      <w:r>
        <w:rPr>
          <w:rFonts w:cs="Arial" w:hint="cs"/>
          <w:rtl/>
        </w:rPr>
        <w:t>,</w:t>
      </w:r>
      <w:r w:rsidRPr="00AB50D4">
        <w:rPr>
          <w:rFonts w:cs="Arial"/>
          <w:rtl/>
        </w:rPr>
        <w:t xml:space="preserve"> ואינה צריכה הכרזה ולא שבועה עד שיבוא בעלה ויטעון או עד שתבוא לגבות כתובתה אחר מותו</w:t>
      </w:r>
      <w:r>
        <w:rPr>
          <w:rFonts w:cs="Arial" w:hint="cs"/>
          <w:rtl/>
        </w:rPr>
        <w:t>,</w:t>
      </w:r>
      <w:r w:rsidRPr="00AB50D4">
        <w:rPr>
          <w:rFonts w:cs="Arial"/>
          <w:rtl/>
        </w:rPr>
        <w:t xml:space="preserve"> מגלגלין עליה שלא מכרה אלא למזונות שהיא צריכה להן.</w:t>
      </w:r>
      <w:r w:rsidRPr="004A6085">
        <w:rPr>
          <w:rFonts w:hint="cs"/>
          <w:color w:val="E36C0A" w:themeColor="accent6" w:themeShade="BF"/>
          <w:rtl/>
        </w:rPr>
        <w:t xml:space="preserve"> </w:t>
      </w:r>
      <w:r w:rsidRPr="00B91600">
        <w:rPr>
          <w:rFonts w:hint="cs"/>
          <w:color w:val="E36C0A" w:themeColor="accent6" w:themeShade="BF"/>
          <w:rtl/>
        </w:rPr>
        <w:t>(וכ"פ בשו"ע)</w:t>
      </w:r>
    </w:p>
    <w:p w14:paraId="6084CA44" w14:textId="77777777" w:rsidR="002E5BAD" w:rsidRPr="00403374" w:rsidRDefault="002E5BAD" w:rsidP="002E5BAD">
      <w:pPr>
        <w:ind w:left="360"/>
        <w:rPr>
          <w:sz w:val="16"/>
          <w:szCs w:val="16"/>
        </w:rPr>
      </w:pPr>
      <w:r w:rsidRPr="00403374">
        <w:rPr>
          <w:rFonts w:cs="Arial" w:hint="cs"/>
          <w:u w:val="dotted"/>
          <w:rtl/>
        </w:rPr>
        <w:t>ומה הדין אם מכרה מנכסיה:</w:t>
      </w:r>
      <w:r>
        <w:rPr>
          <w:rFonts w:hint="cs"/>
          <w:sz w:val="16"/>
          <w:szCs w:val="16"/>
          <w:rtl/>
        </w:rPr>
        <w:t xml:space="preserve"> (דרכ"מ אות ו)</w:t>
      </w:r>
    </w:p>
    <w:p w14:paraId="61506ECA" w14:textId="77777777" w:rsidR="002E5BAD" w:rsidRPr="00EC473A" w:rsidRDefault="002E5BAD" w:rsidP="002E5BAD">
      <w:pPr>
        <w:pStyle w:val="ab"/>
        <w:numPr>
          <w:ilvl w:val="0"/>
          <w:numId w:val="131"/>
        </w:numPr>
      </w:pPr>
      <w:r>
        <w:rPr>
          <w:rFonts w:cs="Arial" w:hint="cs"/>
          <w:rtl/>
        </w:rPr>
        <w:t xml:space="preserve">הה"מ </w:t>
      </w:r>
      <w:r>
        <w:rPr>
          <w:rFonts w:cs="Arial" w:hint="cs"/>
          <w:sz w:val="16"/>
          <w:szCs w:val="16"/>
          <w:rtl/>
        </w:rPr>
        <w:t>(פי"ח הכ"ו)</w:t>
      </w:r>
      <w:r>
        <w:rPr>
          <w:rFonts w:cs="Arial" w:hint="cs"/>
          <w:rtl/>
        </w:rPr>
        <w:t xml:space="preserve"> ו</w:t>
      </w:r>
      <w:r w:rsidRPr="00CA604D">
        <w:rPr>
          <w:rFonts w:cs="Arial"/>
          <w:rtl/>
        </w:rPr>
        <w:t xml:space="preserve">ר"ן </w:t>
      </w:r>
      <w:r w:rsidRPr="004A6085">
        <w:rPr>
          <w:rFonts w:cs="Arial" w:hint="cs"/>
          <w:sz w:val="16"/>
          <w:szCs w:val="16"/>
          <w:rtl/>
        </w:rPr>
        <w:t>(</w:t>
      </w:r>
      <w:r w:rsidRPr="004A6085">
        <w:rPr>
          <w:rFonts w:cs="Arial"/>
          <w:sz w:val="16"/>
          <w:szCs w:val="16"/>
          <w:rtl/>
        </w:rPr>
        <w:t>ר</w:t>
      </w:r>
      <w:r w:rsidRPr="004A6085">
        <w:rPr>
          <w:rFonts w:cs="Arial" w:hint="cs"/>
          <w:sz w:val="16"/>
          <w:szCs w:val="16"/>
          <w:rtl/>
        </w:rPr>
        <w:t>"פ</w:t>
      </w:r>
      <w:r w:rsidRPr="004A6085">
        <w:rPr>
          <w:rFonts w:cs="Arial"/>
          <w:sz w:val="16"/>
          <w:szCs w:val="16"/>
          <w:rtl/>
        </w:rPr>
        <w:t xml:space="preserve"> דייני גזירות סד: ד"ה גמ')</w:t>
      </w:r>
      <w:r>
        <w:rPr>
          <w:rFonts w:cs="Arial" w:hint="cs"/>
          <w:rtl/>
        </w:rPr>
        <w:t>-</w:t>
      </w:r>
      <w:r w:rsidRPr="00CA604D">
        <w:rPr>
          <w:rFonts w:cs="Arial"/>
          <w:rtl/>
        </w:rPr>
        <w:t xml:space="preserve"> אם מכרה נכסיה ופרנסה עצמה הוי כפרנסה אחר</w:t>
      </w:r>
      <w:r>
        <w:rPr>
          <w:rStyle w:val="a7"/>
          <w:rFonts w:cs="Arial"/>
          <w:rtl/>
        </w:rPr>
        <w:footnoteReference w:id="1093"/>
      </w:r>
      <w:r>
        <w:rPr>
          <w:rFonts w:hint="cs"/>
          <w:sz w:val="16"/>
          <w:szCs w:val="16"/>
          <w:rtl/>
        </w:rPr>
        <w:t xml:space="preserve"> (ל' הדרכ"מ בשם הר"ן)</w:t>
      </w:r>
      <w:r>
        <w:rPr>
          <w:rFonts w:hint="cs"/>
          <w:rtl/>
        </w:rPr>
        <w:t xml:space="preserve">. </w:t>
      </w:r>
      <w:r w:rsidRPr="00C7751E">
        <w:rPr>
          <w:rFonts w:hint="cs"/>
          <w:color w:val="00B0F0"/>
          <w:rtl/>
        </w:rPr>
        <w:t>(וכ"פ הרמ"א</w:t>
      </w:r>
      <w:r w:rsidRPr="00C7751E">
        <w:rPr>
          <w:rFonts w:hint="cs"/>
          <w:color w:val="00B0F0"/>
          <w:sz w:val="16"/>
          <w:szCs w:val="16"/>
          <w:rtl/>
        </w:rPr>
        <w:t xml:space="preserve"> </w:t>
      </w:r>
      <w:r>
        <w:rPr>
          <w:rFonts w:hint="cs"/>
          <w:sz w:val="16"/>
          <w:szCs w:val="16"/>
          <w:rtl/>
        </w:rPr>
        <w:t>[בסע' ח]</w:t>
      </w:r>
      <w:r w:rsidRPr="00C7751E">
        <w:rPr>
          <w:rFonts w:hint="cs"/>
          <w:color w:val="00B0F0"/>
          <w:rtl/>
        </w:rPr>
        <w:t>)</w:t>
      </w:r>
    </w:p>
    <w:p w14:paraId="65B71E49" w14:textId="77777777" w:rsidR="002E5BAD" w:rsidRPr="002B4C7B" w:rsidRDefault="002E5BAD" w:rsidP="002E5BAD">
      <w:pPr>
        <w:rPr>
          <w:u w:val="single"/>
        </w:rPr>
      </w:pPr>
      <w:r w:rsidRPr="002B4C7B">
        <w:rPr>
          <w:rFonts w:hint="cs"/>
          <w:u w:val="single"/>
          <w:rtl/>
        </w:rPr>
        <w:t>תובעת מזונות לשעבר:</w:t>
      </w:r>
    </w:p>
    <w:p w14:paraId="3D11CDBB" w14:textId="77777777" w:rsidR="002E5BAD" w:rsidRDefault="002E5BAD" w:rsidP="002E5BAD">
      <w:pPr>
        <w:pStyle w:val="ab"/>
        <w:numPr>
          <w:ilvl w:val="0"/>
          <w:numId w:val="131"/>
        </w:numPr>
      </w:pPr>
      <w:r w:rsidRPr="002B4C7B">
        <w:rPr>
          <w:rFonts w:cs="Arial"/>
          <w:rtl/>
        </w:rPr>
        <w:lastRenderedPageBreak/>
        <w:t xml:space="preserve">ריטב"א </w:t>
      </w:r>
      <w:r w:rsidRPr="002B4C7B">
        <w:rPr>
          <w:rFonts w:cs="Arial"/>
          <w:sz w:val="16"/>
          <w:szCs w:val="16"/>
          <w:rtl/>
        </w:rPr>
        <w:t>(קז. ד"ה אתמר)</w:t>
      </w:r>
      <w:r>
        <w:rPr>
          <w:rFonts w:cs="Arial" w:hint="cs"/>
          <w:rtl/>
        </w:rPr>
        <w:t>-</w:t>
      </w:r>
      <w:r w:rsidRPr="002B4C7B">
        <w:rPr>
          <w:rFonts w:cs="Arial"/>
          <w:rtl/>
        </w:rPr>
        <w:t xml:space="preserve"> </w:t>
      </w:r>
      <w:r>
        <w:rPr>
          <w:rFonts w:cs="Arial" w:hint="cs"/>
          <w:rtl/>
        </w:rPr>
        <w:t xml:space="preserve">הכא </w:t>
      </w:r>
      <w:r w:rsidRPr="002B4C7B">
        <w:rPr>
          <w:rFonts w:cs="Arial"/>
          <w:rtl/>
        </w:rPr>
        <w:t>בתובעת מזונות להבא עסקינן דאילו לשעבר אין פוסקין לה כלל דהא אילו הוה בעל הכא הוה מצי טעין ואמר פרעתי ולא מחייבינן ליה וכ"כ התוספות</w:t>
      </w:r>
      <w:r>
        <w:rPr>
          <w:rFonts w:cs="Arial" w:hint="cs"/>
          <w:rtl/>
        </w:rPr>
        <w:t>.</w:t>
      </w:r>
      <w:r w:rsidRPr="002B4C7B">
        <w:rPr>
          <w:rFonts w:cs="Arial"/>
          <w:rtl/>
        </w:rPr>
        <w:t xml:space="preserve"> </w:t>
      </w:r>
    </w:p>
    <w:p w14:paraId="6F0E5865" w14:textId="77777777" w:rsidR="002E5BAD" w:rsidRPr="002B4C7B" w:rsidRDefault="002E5BAD" w:rsidP="002E5BAD">
      <w:pPr>
        <w:rPr>
          <w:u w:val="single"/>
        </w:rPr>
      </w:pPr>
      <w:r>
        <w:rPr>
          <w:rFonts w:hint="cs"/>
          <w:u w:val="single"/>
          <w:rtl/>
        </w:rPr>
        <w:t xml:space="preserve">הלך למקום קרוב </w:t>
      </w:r>
      <w:r w:rsidRPr="00090DC1">
        <w:rPr>
          <w:rFonts w:hint="cs"/>
          <w:sz w:val="16"/>
          <w:szCs w:val="16"/>
          <w:u w:val="single"/>
          <w:rtl/>
        </w:rPr>
        <w:t>(ולא למדינת הים)</w:t>
      </w:r>
      <w:r>
        <w:rPr>
          <w:rFonts w:hint="cs"/>
          <w:u w:val="single"/>
          <w:rtl/>
        </w:rPr>
        <w:t xml:space="preserve"> </w:t>
      </w:r>
      <w:r>
        <w:rPr>
          <w:u w:val="single"/>
          <w:rtl/>
        </w:rPr>
        <w:t>–</w:t>
      </w:r>
      <w:r>
        <w:rPr>
          <w:rFonts w:hint="cs"/>
          <w:u w:val="single"/>
          <w:rtl/>
        </w:rPr>
        <w:t xml:space="preserve"> האם גם כאן מחכים ג' חודשים לפני שפוסקים מזונות:</w:t>
      </w:r>
    </w:p>
    <w:p w14:paraId="14621640" w14:textId="77777777" w:rsidR="002E5BAD" w:rsidRDefault="002E5BAD" w:rsidP="002E5BAD">
      <w:pPr>
        <w:pStyle w:val="ab"/>
        <w:numPr>
          <w:ilvl w:val="0"/>
          <w:numId w:val="131"/>
        </w:numPr>
      </w:pPr>
      <w:r w:rsidRPr="002B4C7B">
        <w:rPr>
          <w:rFonts w:cs="Arial"/>
          <w:rtl/>
        </w:rPr>
        <w:t xml:space="preserve">ריטב"א </w:t>
      </w:r>
      <w:r w:rsidRPr="002B4C7B">
        <w:rPr>
          <w:rFonts w:cs="Arial"/>
          <w:sz w:val="16"/>
          <w:szCs w:val="16"/>
          <w:rtl/>
        </w:rPr>
        <w:t>(קז. ד"ה אתמר)</w:t>
      </w:r>
      <w:r>
        <w:rPr>
          <w:rFonts w:cs="Arial" w:hint="cs"/>
          <w:rtl/>
        </w:rPr>
        <w:t>-</w:t>
      </w:r>
      <w:r w:rsidRPr="002B4C7B">
        <w:rPr>
          <w:rFonts w:cs="Arial"/>
          <w:rtl/>
        </w:rPr>
        <w:t xml:space="preserve"> דוקא ביוצא לדעת נחלקו דבהא איכא למיחש לצררי או לשמא אמר לה צאי מעשה ידיך במזונותיך</w:t>
      </w:r>
      <w:r>
        <w:rPr>
          <w:rFonts w:cs="Arial" w:hint="cs"/>
          <w:rtl/>
        </w:rPr>
        <w:t>,</w:t>
      </w:r>
      <w:r w:rsidRPr="002B4C7B">
        <w:rPr>
          <w:rFonts w:cs="Arial"/>
          <w:rtl/>
        </w:rPr>
        <w:t xml:space="preserve"> אבל אם נודע ודאי שיצא למקום קרוב לחזור לאלתר כדרך בני אדם ואחר כך נשתקע שם וכיוצא בו דכ</w:t>
      </w:r>
      <w:r>
        <w:rPr>
          <w:rFonts w:cs="Arial" w:hint="cs"/>
          <w:rtl/>
        </w:rPr>
        <w:t>ו</w:t>
      </w:r>
      <w:r w:rsidRPr="002B4C7B">
        <w:rPr>
          <w:rFonts w:cs="Arial"/>
          <w:rtl/>
        </w:rPr>
        <w:t>"ע פוסקין ואפילו תוך ג' חדשים וכן הורו רבותי</w:t>
      </w:r>
      <w:r>
        <w:rPr>
          <w:rFonts w:cs="Arial" w:hint="cs"/>
          <w:rtl/>
        </w:rPr>
        <w:t>.</w:t>
      </w:r>
    </w:p>
    <w:p w14:paraId="11FC5CF6" w14:textId="77777777" w:rsidR="002E5BAD" w:rsidRDefault="002E5BAD" w:rsidP="002E5BAD">
      <w:pPr>
        <w:pStyle w:val="ab"/>
        <w:numPr>
          <w:ilvl w:val="0"/>
          <w:numId w:val="131"/>
        </w:numPr>
      </w:pPr>
      <w:r>
        <w:rPr>
          <w:rFonts w:cs="Arial" w:hint="cs"/>
          <w:rtl/>
        </w:rPr>
        <w:t xml:space="preserve">מרדכי </w:t>
      </w:r>
      <w:r>
        <w:rPr>
          <w:rFonts w:cs="Arial" w:hint="cs"/>
          <w:sz w:val="16"/>
          <w:szCs w:val="16"/>
          <w:rtl/>
        </w:rPr>
        <w:t xml:space="preserve">(סי' ערב) </w:t>
      </w:r>
      <w:r>
        <w:rPr>
          <w:rFonts w:cs="Arial" w:hint="cs"/>
          <w:rtl/>
        </w:rPr>
        <w:t xml:space="preserve">בשם רבנו ברוך- </w:t>
      </w:r>
      <w:r w:rsidRPr="002B4C7B">
        <w:rPr>
          <w:rFonts w:cs="Arial"/>
          <w:rtl/>
        </w:rPr>
        <w:t>לאו דוקא במדינת הים אלא בהווה נקט</w:t>
      </w:r>
      <w:r>
        <w:rPr>
          <w:rFonts w:cs="Arial" w:hint="cs"/>
          <w:rtl/>
        </w:rPr>
        <w:t>,</w:t>
      </w:r>
      <w:r w:rsidRPr="002B4C7B">
        <w:rPr>
          <w:rFonts w:cs="Arial"/>
          <w:rtl/>
        </w:rPr>
        <w:t xml:space="preserve"> דומיא דסיפא מי שהלך למדה"י ואבדה לו דרך שדהו</w:t>
      </w:r>
      <w:r>
        <w:rPr>
          <w:rStyle w:val="a7"/>
          <w:rtl/>
        </w:rPr>
        <w:footnoteReference w:id="1094"/>
      </w:r>
      <w:r>
        <w:rPr>
          <w:rFonts w:hint="cs"/>
          <w:rtl/>
        </w:rPr>
        <w:t>.</w:t>
      </w:r>
    </w:p>
    <w:p w14:paraId="1986F654" w14:textId="77777777" w:rsidR="002E5BAD" w:rsidRPr="00090DC1" w:rsidRDefault="002E5BAD" w:rsidP="002E5BAD">
      <w:pPr>
        <w:rPr>
          <w:u w:val="single"/>
        </w:rPr>
      </w:pPr>
      <w:r w:rsidRPr="00090DC1">
        <w:rPr>
          <w:rFonts w:cs="Arial"/>
          <w:u w:val="single"/>
          <w:rtl/>
        </w:rPr>
        <w:t>הלך בעלה ממנה מתוך קטטה ונתכוון לעגנה</w:t>
      </w:r>
      <w:r w:rsidRPr="00090DC1">
        <w:rPr>
          <w:rFonts w:cs="Arial" w:hint="cs"/>
          <w:u w:val="single"/>
          <w:rtl/>
        </w:rPr>
        <w:t>:</w:t>
      </w:r>
    </w:p>
    <w:p w14:paraId="69A4A764" w14:textId="77777777" w:rsidR="002E5BAD" w:rsidRPr="00285F32" w:rsidRDefault="002E5BAD" w:rsidP="002E5BAD">
      <w:pPr>
        <w:pStyle w:val="ab"/>
        <w:numPr>
          <w:ilvl w:val="0"/>
          <w:numId w:val="131"/>
        </w:numPr>
        <w:rPr>
          <w:rtl/>
        </w:rPr>
      </w:pPr>
      <w:r w:rsidRPr="00090DC1">
        <w:rPr>
          <w:rFonts w:cs="Arial"/>
          <w:rtl/>
        </w:rPr>
        <w:t xml:space="preserve">מרדכי </w:t>
      </w:r>
      <w:r w:rsidRPr="00090DC1">
        <w:rPr>
          <w:rFonts w:cs="Arial"/>
          <w:sz w:val="16"/>
          <w:szCs w:val="16"/>
          <w:rtl/>
        </w:rPr>
        <w:t>(</w:t>
      </w:r>
      <w:r>
        <w:rPr>
          <w:rFonts w:cs="Arial" w:hint="cs"/>
          <w:sz w:val="16"/>
          <w:szCs w:val="16"/>
          <w:rtl/>
        </w:rPr>
        <w:t xml:space="preserve">כתובות </w:t>
      </w:r>
      <w:r w:rsidRPr="00090DC1">
        <w:rPr>
          <w:rFonts w:cs="Arial"/>
          <w:sz w:val="16"/>
          <w:szCs w:val="16"/>
          <w:rtl/>
        </w:rPr>
        <w:t>סי' רסז</w:t>
      </w:r>
      <w:r>
        <w:rPr>
          <w:rFonts w:cs="Arial" w:hint="cs"/>
          <w:sz w:val="16"/>
          <w:szCs w:val="16"/>
          <w:rtl/>
        </w:rPr>
        <w:t>, וב"ב סי' תקצז</w:t>
      </w:r>
      <w:r w:rsidRPr="00090DC1">
        <w:rPr>
          <w:rFonts w:cs="Arial"/>
          <w:sz w:val="16"/>
          <w:szCs w:val="16"/>
          <w:rtl/>
        </w:rPr>
        <w:t>)</w:t>
      </w:r>
      <w:r w:rsidRPr="00090DC1">
        <w:rPr>
          <w:rFonts w:cs="Arial" w:hint="cs"/>
          <w:rtl/>
        </w:rPr>
        <w:t>-</w:t>
      </w:r>
      <w:r w:rsidRPr="00090DC1">
        <w:rPr>
          <w:rFonts w:cs="Arial"/>
          <w:rtl/>
        </w:rPr>
        <w:t xml:space="preserve"> אם הלך בעלה ממנה מתוך קטטה ונתכוון לעגנה</w:t>
      </w:r>
      <w:r w:rsidRPr="00090DC1">
        <w:rPr>
          <w:rFonts w:cs="Arial" w:hint="cs"/>
          <w:rtl/>
        </w:rPr>
        <w:t>,</w:t>
      </w:r>
      <w:r w:rsidRPr="00090DC1">
        <w:rPr>
          <w:rFonts w:cs="Arial"/>
          <w:rtl/>
        </w:rPr>
        <w:t xml:space="preserve"> היא נאמנת ליטול מזונות לאלתר אפילו תוך ג' חדשים</w:t>
      </w:r>
      <w:r w:rsidRPr="00090DC1">
        <w:rPr>
          <w:rFonts w:cs="Arial" w:hint="cs"/>
          <w:rtl/>
        </w:rPr>
        <w:t>.</w:t>
      </w:r>
      <w:r>
        <w:rPr>
          <w:rFonts w:hint="cs"/>
          <w:rtl/>
        </w:rPr>
        <w:t xml:space="preserve"> </w:t>
      </w:r>
      <w:r w:rsidRPr="004A6085">
        <w:rPr>
          <w:rFonts w:hint="cs"/>
          <w:color w:val="00B0F0"/>
          <w:rtl/>
        </w:rPr>
        <w:t>(וכ"פ הרמ"א)</w:t>
      </w:r>
    </w:p>
    <w:p w14:paraId="6CB68DF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271AA2E" w14:textId="77777777" w:rsidR="002E5BAD" w:rsidRDefault="002E5BAD" w:rsidP="002E5BAD">
      <w:pPr>
        <w:rPr>
          <w:rtl/>
        </w:rPr>
      </w:pPr>
      <w:r>
        <w:rPr>
          <w:rFonts w:cs="Arial"/>
          <w:rtl/>
        </w:rPr>
        <w:t xml:space="preserve">מי שהלך למדינת הים ובאה אשתו לבית דין לתבוע מזונות, ג' חדשים הראשונים מיום הליכתו אין פוסקים לה בהם מזונות, שחזקה אין אדם מניח ביתו ריקן. </w:t>
      </w:r>
      <w:r w:rsidRPr="00612B3E">
        <w:rPr>
          <w:rFonts w:cs="Arial"/>
          <w:sz w:val="18"/>
          <w:szCs w:val="18"/>
          <w:rtl/>
        </w:rPr>
        <w:t>הגה: אבל אם שתקה יותר, ותבעה אח"כ, אין פוסקין לה למפרע, רק מיום התביעה אפילו החמיצו הב"ד את הדין (הר"ן פרק שני דייני גזירות). וי"א דאם נפרד ממנה בקטטה, ורוצה לעגנה, פוסקין לה לאלתר, דודאי הניח ביתו ריקן (מרדכי)</w:t>
      </w:r>
      <w:r>
        <w:rPr>
          <w:rFonts w:cs="Arial" w:hint="cs"/>
          <w:sz w:val="18"/>
          <w:szCs w:val="18"/>
          <w:rtl/>
        </w:rPr>
        <w:t>.</w:t>
      </w:r>
      <w:r w:rsidRPr="00612B3E">
        <w:rPr>
          <w:rFonts w:cs="Arial"/>
          <w:sz w:val="18"/>
          <w:szCs w:val="18"/>
          <w:rtl/>
        </w:rPr>
        <w:t xml:space="preserve"> </w:t>
      </w:r>
      <w:r>
        <w:rPr>
          <w:rFonts w:cs="Arial"/>
          <w:rtl/>
        </w:rPr>
        <w:t>מכאן ואילך, אפילו אין כתובתה בידה פוסקים לה מזונות, אבל אין נותנים לה במה שתתקשט. ואם היו לו נכסים, ב</w:t>
      </w:r>
      <w:r>
        <w:rPr>
          <w:rFonts w:cs="Arial" w:hint="cs"/>
          <w:rtl/>
        </w:rPr>
        <w:t xml:space="preserve">ית </w:t>
      </w:r>
      <w:r>
        <w:rPr>
          <w:rFonts w:cs="Arial"/>
          <w:rtl/>
        </w:rPr>
        <w:t>ד</w:t>
      </w:r>
      <w:r>
        <w:rPr>
          <w:rFonts w:cs="Arial" w:hint="cs"/>
          <w:rtl/>
        </w:rPr>
        <w:t>ין</w:t>
      </w:r>
      <w:r>
        <w:rPr>
          <w:rFonts w:cs="Arial"/>
          <w:rtl/>
        </w:rPr>
        <w:t xml:space="preserve"> יורדים לנכסיו ומוכרים למזונותיה, אפילו לא שמעו בו שמת. ואין מחשבים עמה על מעשה ידיה, עד שיבא בעלה, אם מצא שעשתה הרי אלו שלה. וכן אם לא עמדה בדין, אלא מכרה לעצמה למזונות, מכרה קיים ואינה צריכה הכרזה ולא שבועה עד שיבא בעלה ויטעון, או עד שתבא לגבות כתובתה אחר מותו, מגלגלין עליה שלא מכרה אלא למזונות שהיא צריכה להם. </w:t>
      </w:r>
    </w:p>
    <w:p w14:paraId="4D9A7203" w14:textId="77777777" w:rsidR="002E5BAD" w:rsidRDefault="002E5BAD" w:rsidP="002E5BAD">
      <w:pPr>
        <w:rPr>
          <w:rtl/>
        </w:rPr>
      </w:pPr>
    </w:p>
    <w:p w14:paraId="3914CBFC" w14:textId="77777777" w:rsidR="002E5BAD" w:rsidRDefault="002E5BAD" w:rsidP="002E5BAD">
      <w:pPr>
        <w:pStyle w:val="2"/>
        <w:rPr>
          <w:rtl/>
        </w:rPr>
      </w:pPr>
      <w:r>
        <w:rPr>
          <w:rtl/>
        </w:rPr>
        <w:t>סעיף ו</w:t>
      </w:r>
      <w:r>
        <w:rPr>
          <w:rFonts w:hint="cs"/>
          <w:rtl/>
        </w:rPr>
        <w:t>: נשתטה/נתחרש, מה פוסקין לאשתו.</w:t>
      </w:r>
    </w:p>
    <w:p w14:paraId="6DE255CA" w14:textId="77777777" w:rsidR="002E5BAD" w:rsidRPr="00B12054" w:rsidRDefault="002E5BAD" w:rsidP="002E5BAD">
      <w:pPr>
        <w:rPr>
          <w:rtl/>
        </w:rPr>
      </w:pPr>
      <w:r w:rsidRPr="006C3CF4">
        <w:rPr>
          <w:rFonts w:cs="Arial" w:hint="cs"/>
          <w:b/>
          <w:bCs/>
          <w:rtl/>
        </w:rPr>
        <w:t xml:space="preserve">כתובות </w:t>
      </w:r>
      <w:r>
        <w:rPr>
          <w:rFonts w:cs="Arial" w:hint="cs"/>
          <w:b/>
          <w:bCs/>
          <w:sz w:val="16"/>
          <w:szCs w:val="16"/>
          <w:rtl/>
        </w:rPr>
        <w:t xml:space="preserve">(פ' נערה שנתפתתה) </w:t>
      </w:r>
      <w:r>
        <w:rPr>
          <w:rFonts w:cs="Arial" w:hint="cs"/>
          <w:b/>
          <w:bCs/>
          <w:rtl/>
        </w:rPr>
        <w:t>מח</w:t>
      </w:r>
      <w:r w:rsidRPr="006C3CF4">
        <w:rPr>
          <w:rFonts w:cs="Arial" w:hint="cs"/>
          <w:b/>
          <w:bCs/>
          <w:rtl/>
        </w:rPr>
        <w:t xml:space="preserve"> ע"</w:t>
      </w:r>
      <w:r>
        <w:rPr>
          <w:rFonts w:cs="Arial" w:hint="cs"/>
          <w:b/>
          <w:bCs/>
          <w:rtl/>
        </w:rPr>
        <w:t>א</w:t>
      </w:r>
      <w:r w:rsidRPr="006C3CF4">
        <w:rPr>
          <w:rFonts w:cs="Arial" w:hint="cs"/>
          <w:b/>
          <w:bCs/>
          <w:rtl/>
        </w:rPr>
        <w:t xml:space="preserve">: </w:t>
      </w:r>
      <w:r w:rsidRPr="006310E5">
        <w:rPr>
          <w:rFonts w:cs="Arial"/>
          <w:u w:val="single"/>
          <w:rtl/>
        </w:rPr>
        <w:t>ואמר רב חסדא אמר מר עוקבא</w:t>
      </w:r>
      <w:r w:rsidRPr="006A4D60">
        <w:rPr>
          <w:rFonts w:cs="Arial"/>
          <w:rtl/>
        </w:rPr>
        <w:t>: מי שנשתטה, בית דין יורדין לנכסיו, וזנין</w:t>
      </w:r>
      <w:r>
        <w:rPr>
          <w:rStyle w:val="a7"/>
          <w:rFonts w:cs="Arial"/>
          <w:rtl/>
        </w:rPr>
        <w:footnoteReference w:id="1095"/>
      </w:r>
      <w:r w:rsidRPr="006A4D60">
        <w:rPr>
          <w:rFonts w:cs="Arial"/>
          <w:rtl/>
        </w:rPr>
        <w:t xml:space="preserve"> ומפרנסין</w:t>
      </w:r>
      <w:r>
        <w:rPr>
          <w:rStyle w:val="a7"/>
          <w:rFonts w:cs="Arial"/>
          <w:rtl/>
        </w:rPr>
        <w:footnoteReference w:id="1096"/>
      </w:r>
      <w:r w:rsidRPr="006A4D60">
        <w:rPr>
          <w:rFonts w:cs="Arial"/>
          <w:rtl/>
        </w:rPr>
        <w:t xml:space="preserve"> את אשתו ובניו ובנותיו ודבר אחר. </w:t>
      </w:r>
      <w:r w:rsidRPr="006310E5">
        <w:rPr>
          <w:rFonts w:cs="Arial"/>
          <w:u w:val="single"/>
          <w:rtl/>
        </w:rPr>
        <w:t>א"ל רבינא לרב אשי</w:t>
      </w:r>
      <w:r>
        <w:rPr>
          <w:rFonts w:cs="Arial" w:hint="cs"/>
          <w:rtl/>
        </w:rPr>
        <w:t>:</w:t>
      </w:r>
      <w:r w:rsidRPr="006A4D60">
        <w:rPr>
          <w:rFonts w:cs="Arial"/>
          <w:rtl/>
        </w:rPr>
        <w:t xml:space="preserve"> מ"ש מהא דתניא: מי שהלך למדינת הים ואשתו תובעת מזונות, בית דין יורדין לנכסיו וזנין ומפרנסין את אשתו, אבל לא בניו ובנותיו ולא דבר אחר</w:t>
      </w:r>
      <w:r>
        <w:rPr>
          <w:rFonts w:cs="Arial" w:hint="cs"/>
          <w:rtl/>
        </w:rPr>
        <w:t>.</w:t>
      </w:r>
      <w:r w:rsidRPr="006A4D60">
        <w:rPr>
          <w:rFonts w:cs="Arial"/>
          <w:rtl/>
        </w:rPr>
        <w:t xml:space="preserve">? </w:t>
      </w:r>
      <w:r w:rsidRPr="006310E5">
        <w:rPr>
          <w:rFonts w:cs="Arial"/>
          <w:u w:val="single"/>
          <w:rtl/>
        </w:rPr>
        <w:t>א"ל</w:t>
      </w:r>
      <w:r w:rsidRPr="006A4D60">
        <w:rPr>
          <w:rFonts w:cs="Arial"/>
          <w:rtl/>
        </w:rPr>
        <w:t>: ולא שאני לך</w:t>
      </w:r>
      <w:r>
        <w:rPr>
          <w:rStyle w:val="a7"/>
          <w:rFonts w:cs="Arial"/>
          <w:rtl/>
        </w:rPr>
        <w:footnoteReference w:id="1097"/>
      </w:r>
      <w:r w:rsidRPr="006A4D60">
        <w:rPr>
          <w:rFonts w:cs="Arial"/>
          <w:rtl/>
        </w:rPr>
        <w:t xml:space="preserve"> בין יוצא לדעת ליוצא שלא לדעת? מאי דבר אחר? </w:t>
      </w:r>
      <w:r w:rsidRPr="006310E5">
        <w:rPr>
          <w:rFonts w:cs="Arial"/>
          <w:u w:val="single"/>
          <w:rtl/>
        </w:rPr>
        <w:t>רב חסדא אמר</w:t>
      </w:r>
      <w:r w:rsidRPr="006A4D60">
        <w:rPr>
          <w:rFonts w:cs="Arial"/>
          <w:rtl/>
        </w:rPr>
        <w:t>: זה תכשיט</w:t>
      </w:r>
      <w:r>
        <w:rPr>
          <w:rStyle w:val="a7"/>
          <w:rFonts w:cs="Arial"/>
          <w:rtl/>
        </w:rPr>
        <w:footnoteReference w:id="1098"/>
      </w:r>
      <w:r w:rsidRPr="006A4D60">
        <w:rPr>
          <w:rFonts w:cs="Arial"/>
          <w:rtl/>
        </w:rPr>
        <w:t xml:space="preserve">, </w:t>
      </w:r>
      <w:r w:rsidRPr="006310E5">
        <w:rPr>
          <w:rFonts w:cs="Arial"/>
          <w:u w:val="single"/>
          <w:rtl/>
        </w:rPr>
        <w:t>רב יוסף אמר</w:t>
      </w:r>
      <w:r w:rsidRPr="006A4D60">
        <w:rPr>
          <w:rFonts w:cs="Arial"/>
          <w:rtl/>
        </w:rPr>
        <w:t>: צדקה. מ"ד תכשיט</w:t>
      </w:r>
      <w:r>
        <w:rPr>
          <w:rStyle w:val="a7"/>
          <w:rFonts w:cs="Arial"/>
          <w:rtl/>
        </w:rPr>
        <w:footnoteReference w:id="1099"/>
      </w:r>
      <w:r w:rsidRPr="006A4D60">
        <w:rPr>
          <w:rFonts w:cs="Arial"/>
          <w:rtl/>
        </w:rPr>
        <w:t>, כ"ש צדקה</w:t>
      </w:r>
      <w:r>
        <w:rPr>
          <w:rFonts w:cs="Arial" w:hint="cs"/>
          <w:rtl/>
        </w:rPr>
        <w:t>.</w:t>
      </w:r>
      <w:r w:rsidRPr="006A4D60">
        <w:rPr>
          <w:rFonts w:cs="Arial"/>
          <w:rtl/>
        </w:rPr>
        <w:t xml:space="preserve"> מ"ד צדקה, אבל תכשיט יהבינן לה, דלא ניחא ליה דתינוול</w:t>
      </w:r>
      <w:r>
        <w:rPr>
          <w:rStyle w:val="a7"/>
          <w:rFonts w:cs="Arial"/>
          <w:rtl/>
        </w:rPr>
        <w:footnoteReference w:id="1100"/>
      </w:r>
      <w:r w:rsidRPr="006A4D60">
        <w:rPr>
          <w:rFonts w:cs="Arial"/>
          <w:rtl/>
        </w:rPr>
        <w:t>.</w:t>
      </w:r>
      <w:r>
        <w:rPr>
          <w:rFonts w:hint="cs"/>
          <w:rtl/>
        </w:rPr>
        <w:t xml:space="preserve"> </w:t>
      </w:r>
      <w:r w:rsidRPr="00225601">
        <w:rPr>
          <w:rFonts w:hint="cs"/>
          <w:sz w:val="16"/>
          <w:szCs w:val="16"/>
          <w:rtl/>
        </w:rPr>
        <w:t>(</w:t>
      </w:r>
      <w:r w:rsidRPr="00225601">
        <w:rPr>
          <w:rFonts w:hint="cs"/>
          <w:color w:val="E36C0A" w:themeColor="accent6" w:themeShade="BF"/>
          <w:sz w:val="16"/>
          <w:szCs w:val="16"/>
          <w:rtl/>
        </w:rPr>
        <w:t>וכ"פ בשו"ע</w:t>
      </w:r>
      <w:r>
        <w:rPr>
          <w:rFonts w:hint="cs"/>
          <w:sz w:val="16"/>
          <w:szCs w:val="16"/>
          <w:rtl/>
        </w:rPr>
        <w:t xml:space="preserve">. </w:t>
      </w:r>
      <w:r w:rsidRPr="00225601">
        <w:rPr>
          <w:rFonts w:hint="cs"/>
          <w:color w:val="00B0F0"/>
          <w:sz w:val="16"/>
          <w:szCs w:val="16"/>
          <w:rtl/>
        </w:rPr>
        <w:t>וכ"פ הרמ"א</w:t>
      </w:r>
      <w:r>
        <w:rPr>
          <w:rFonts w:hint="cs"/>
          <w:sz w:val="16"/>
          <w:szCs w:val="16"/>
          <w:rtl/>
        </w:rPr>
        <w:t>)</w:t>
      </w:r>
    </w:p>
    <w:p w14:paraId="1F021F0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F6CC761" w14:textId="77777777" w:rsidR="002E5BAD" w:rsidRDefault="002E5BAD" w:rsidP="002E5BAD">
      <w:pPr>
        <w:rPr>
          <w:rFonts w:cs="Arial"/>
          <w:rtl/>
        </w:rPr>
      </w:pPr>
      <w:r>
        <w:rPr>
          <w:rFonts w:cs="Arial"/>
          <w:rtl/>
        </w:rPr>
        <w:t>מי שנשתטה או נתחרש, פוסקין לאשתו תכשיט</w:t>
      </w:r>
      <w:r>
        <w:rPr>
          <w:rFonts w:cs="Arial" w:hint="cs"/>
          <w:rtl/>
        </w:rPr>
        <w:t>.</w:t>
      </w:r>
      <w:r>
        <w:rPr>
          <w:rFonts w:cs="Arial"/>
          <w:rtl/>
        </w:rPr>
        <w:t xml:space="preserve"> </w:t>
      </w:r>
      <w:r w:rsidRPr="006310E5">
        <w:rPr>
          <w:rFonts w:cs="Arial" w:hint="cs"/>
          <w:sz w:val="18"/>
          <w:szCs w:val="18"/>
          <w:rtl/>
        </w:rPr>
        <w:t xml:space="preserve">[הגה] </w:t>
      </w:r>
      <w:r w:rsidRPr="006310E5">
        <w:rPr>
          <w:rFonts w:cs="Arial"/>
          <w:sz w:val="18"/>
          <w:szCs w:val="18"/>
          <w:rtl/>
        </w:rPr>
        <w:t>ומפרנסין את אשתו מנכסיו.</w:t>
      </w:r>
    </w:p>
    <w:p w14:paraId="7B298F6E" w14:textId="77777777" w:rsidR="002E5BAD" w:rsidRDefault="002E5BAD" w:rsidP="002E5BAD">
      <w:pPr>
        <w:rPr>
          <w:rtl/>
        </w:rPr>
      </w:pPr>
      <w:r>
        <w:rPr>
          <w:rFonts w:cs="Arial"/>
          <w:rtl/>
        </w:rPr>
        <w:t xml:space="preserve"> </w:t>
      </w:r>
    </w:p>
    <w:p w14:paraId="04705BD6" w14:textId="77777777" w:rsidR="002E5BAD" w:rsidRDefault="002E5BAD" w:rsidP="002E5BAD">
      <w:pPr>
        <w:pStyle w:val="2"/>
        <w:rPr>
          <w:rtl/>
        </w:rPr>
      </w:pPr>
      <w:r>
        <w:rPr>
          <w:rtl/>
        </w:rPr>
        <w:t>סעיף ז</w:t>
      </w:r>
      <w:r>
        <w:rPr>
          <w:rFonts w:hint="cs"/>
          <w:rtl/>
        </w:rPr>
        <w:t xml:space="preserve">: </w:t>
      </w:r>
      <w:r w:rsidRPr="00900B9A">
        <w:rPr>
          <w:rFonts w:cs="Arial"/>
          <w:rtl/>
        </w:rPr>
        <w:t>הלך למדינת הים</w:t>
      </w:r>
      <w:r w:rsidRPr="00900B9A">
        <w:rPr>
          <w:rFonts w:cs="Arial" w:hint="cs"/>
          <w:rtl/>
        </w:rPr>
        <w:t>,</w:t>
      </w:r>
      <w:r w:rsidRPr="00900B9A">
        <w:rPr>
          <w:rFonts w:cs="Arial"/>
          <w:rtl/>
        </w:rPr>
        <w:t xml:space="preserve"> ו</w:t>
      </w:r>
      <w:r w:rsidRPr="00900B9A">
        <w:rPr>
          <w:rFonts w:cs="Arial" w:hint="cs"/>
          <w:rtl/>
        </w:rPr>
        <w:t xml:space="preserve">לפנ"כ </w:t>
      </w:r>
      <w:r w:rsidRPr="00900B9A">
        <w:rPr>
          <w:rFonts w:cs="Arial"/>
          <w:rtl/>
        </w:rPr>
        <w:t>הפקיד</w:t>
      </w:r>
      <w:r w:rsidRPr="00900B9A">
        <w:rPr>
          <w:rFonts w:cs="Arial" w:hint="cs"/>
          <w:rtl/>
        </w:rPr>
        <w:t>/השאיל</w:t>
      </w:r>
      <w:r w:rsidRPr="00900B9A">
        <w:rPr>
          <w:rFonts w:cs="Arial"/>
          <w:rtl/>
        </w:rPr>
        <w:t xml:space="preserve"> כלים ביד אחד</w:t>
      </w:r>
      <w:r>
        <w:rPr>
          <w:rFonts w:hint="cs"/>
          <w:rtl/>
        </w:rPr>
        <w:t>.</w:t>
      </w:r>
    </w:p>
    <w:p w14:paraId="657FD15E" w14:textId="77777777" w:rsidR="002E5BAD" w:rsidRPr="00A65607" w:rsidRDefault="002E5BAD" w:rsidP="002E5BAD">
      <w:pPr>
        <w:rPr>
          <w:u w:val="single"/>
          <w:rtl/>
        </w:rPr>
      </w:pPr>
      <w:r w:rsidRPr="00900B9A">
        <w:rPr>
          <w:rFonts w:cs="Arial"/>
          <w:u w:val="single"/>
          <w:rtl/>
        </w:rPr>
        <w:t>הלך למדינת הים</w:t>
      </w:r>
      <w:r w:rsidRPr="00900B9A">
        <w:rPr>
          <w:rFonts w:cs="Arial" w:hint="cs"/>
          <w:u w:val="single"/>
          <w:rtl/>
        </w:rPr>
        <w:t>,</w:t>
      </w:r>
      <w:r w:rsidRPr="00900B9A">
        <w:rPr>
          <w:rFonts w:cs="Arial"/>
          <w:u w:val="single"/>
          <w:rtl/>
        </w:rPr>
        <w:t xml:space="preserve"> ו</w:t>
      </w:r>
      <w:r w:rsidRPr="00900B9A">
        <w:rPr>
          <w:rFonts w:cs="Arial" w:hint="cs"/>
          <w:u w:val="single"/>
          <w:rtl/>
        </w:rPr>
        <w:t xml:space="preserve">לפנ"כ </w:t>
      </w:r>
      <w:r w:rsidRPr="00900B9A">
        <w:rPr>
          <w:rFonts w:cs="Arial"/>
          <w:u w:val="single"/>
          <w:rtl/>
        </w:rPr>
        <w:t>הפקיד</w:t>
      </w:r>
      <w:r w:rsidRPr="00900B9A">
        <w:rPr>
          <w:rFonts w:cs="Arial" w:hint="cs"/>
          <w:u w:val="single"/>
          <w:rtl/>
        </w:rPr>
        <w:t>/השאיל</w:t>
      </w:r>
      <w:r w:rsidRPr="00900B9A">
        <w:rPr>
          <w:rFonts w:cs="Arial"/>
          <w:u w:val="single"/>
          <w:rtl/>
        </w:rPr>
        <w:t xml:space="preserve"> כלים ביד אחד</w:t>
      </w:r>
      <w:r w:rsidRPr="00A65607">
        <w:rPr>
          <w:rFonts w:cs="Arial"/>
          <w:u w:val="single"/>
          <w:rtl/>
        </w:rPr>
        <w:t xml:space="preserve"> </w:t>
      </w:r>
      <w:r>
        <w:rPr>
          <w:rFonts w:cs="Arial"/>
          <w:u w:val="single"/>
          <w:rtl/>
        </w:rPr>
        <w:t>–</w:t>
      </w:r>
      <w:r>
        <w:rPr>
          <w:rFonts w:cs="Arial" w:hint="cs"/>
          <w:u w:val="single"/>
          <w:rtl/>
        </w:rPr>
        <w:t xml:space="preserve"> האם </w:t>
      </w:r>
      <w:r w:rsidRPr="00A65607">
        <w:rPr>
          <w:rFonts w:cs="Arial"/>
          <w:u w:val="single"/>
          <w:rtl/>
        </w:rPr>
        <w:t>מוציאין מיד הנפקד למזונות אשתו</w:t>
      </w:r>
      <w:r w:rsidRPr="00A65607">
        <w:rPr>
          <w:rFonts w:hint="cs"/>
          <w:u w:val="single"/>
          <w:rtl/>
        </w:rPr>
        <w:t>:</w:t>
      </w:r>
    </w:p>
    <w:p w14:paraId="738FFEED" w14:textId="77777777" w:rsidR="002E5BAD" w:rsidRPr="00225601" w:rsidRDefault="002E5BAD" w:rsidP="002E5BAD">
      <w:pPr>
        <w:pStyle w:val="ab"/>
        <w:numPr>
          <w:ilvl w:val="0"/>
          <w:numId w:val="131"/>
        </w:numPr>
      </w:pPr>
      <w:r w:rsidRPr="00225601">
        <w:rPr>
          <w:rFonts w:cs="Arial"/>
          <w:rtl/>
        </w:rPr>
        <w:lastRenderedPageBreak/>
        <w:t>רשב"א</w:t>
      </w:r>
      <w:r>
        <w:rPr>
          <w:rFonts w:cs="Arial" w:hint="cs"/>
          <w:rtl/>
        </w:rPr>
        <w:t xml:space="preserve"> </w:t>
      </w:r>
      <w:r w:rsidRPr="00123DC0">
        <w:rPr>
          <w:rFonts w:cs="Arial" w:hint="cs"/>
          <w:sz w:val="16"/>
          <w:szCs w:val="16"/>
          <w:rtl/>
        </w:rPr>
        <w:t>(ח"א אלף קמא)</w:t>
      </w:r>
      <w:r w:rsidRPr="00225601">
        <w:rPr>
          <w:rFonts w:cs="Arial" w:hint="cs"/>
          <w:rtl/>
        </w:rPr>
        <w:t>-</w:t>
      </w:r>
      <w:r w:rsidRPr="00225601">
        <w:rPr>
          <w:rFonts w:cs="Arial"/>
          <w:rtl/>
        </w:rPr>
        <w:t xml:space="preserve"> מי שהלך למדינת הים והפקיד כלים ביד אחד או השאילם לו מוציאין מיד הנפקד למזונות אשתו</w:t>
      </w:r>
      <w:r>
        <w:rPr>
          <w:rFonts w:cs="Arial" w:hint="cs"/>
          <w:rtl/>
        </w:rPr>
        <w:t>.</w:t>
      </w:r>
      <w:r w:rsidRPr="00225601">
        <w:rPr>
          <w:rFonts w:cs="Arial"/>
          <w:rtl/>
        </w:rPr>
        <w:t xml:space="preserve"> אבל מיד השואל אם לא הגיע זמן שאלתו אין מוציאין לפי שדין משועבדים יש להם כל זמן שאלתם ואין מוציאין למזון האשה מנכסים משועבדים. </w:t>
      </w:r>
      <w:r w:rsidRPr="00900B9A">
        <w:rPr>
          <w:rFonts w:hint="cs"/>
          <w:color w:val="E36C0A" w:themeColor="accent6" w:themeShade="BF"/>
          <w:rtl/>
        </w:rPr>
        <w:t>(וכ"פ בשו"ע)</w:t>
      </w:r>
    </w:p>
    <w:p w14:paraId="7633CCFF" w14:textId="77777777" w:rsidR="002E5BAD" w:rsidRPr="008D03BD" w:rsidRDefault="002E5BAD" w:rsidP="002E5BAD">
      <w:pPr>
        <w:rPr>
          <w:u w:val="single"/>
        </w:rPr>
      </w:pPr>
      <w:r w:rsidRPr="008D03BD">
        <w:rPr>
          <w:rFonts w:hint="cs"/>
          <w:u w:val="single"/>
          <w:rtl/>
        </w:rPr>
        <w:t xml:space="preserve">הלך למדינת הים והשאיר מטלטלין ביד אחד </w:t>
      </w:r>
      <w:r w:rsidRPr="008D03BD">
        <w:rPr>
          <w:u w:val="single"/>
          <w:rtl/>
        </w:rPr>
        <w:t>–</w:t>
      </w:r>
      <w:r w:rsidRPr="008D03BD">
        <w:rPr>
          <w:rFonts w:hint="cs"/>
          <w:u w:val="single"/>
          <w:rtl/>
        </w:rPr>
        <w:t xml:space="preserve"> והאשה תובעת ממנו מזונותיה:</w:t>
      </w:r>
    </w:p>
    <w:p w14:paraId="3C4C3910" w14:textId="77777777" w:rsidR="002E5BAD" w:rsidRPr="004A3ACB" w:rsidRDefault="002E5BAD" w:rsidP="002E5BAD">
      <w:pPr>
        <w:pStyle w:val="ab"/>
        <w:numPr>
          <w:ilvl w:val="0"/>
          <w:numId w:val="131"/>
        </w:numPr>
        <w:rPr>
          <w:rFonts w:cs="Arial"/>
          <w:rtl/>
        </w:rPr>
      </w:pPr>
      <w:r w:rsidRPr="00225601">
        <w:rPr>
          <w:rFonts w:cs="Arial"/>
          <w:rtl/>
        </w:rPr>
        <w:t xml:space="preserve">מרדכי </w:t>
      </w:r>
      <w:r w:rsidRPr="008D03BD">
        <w:rPr>
          <w:rFonts w:cs="Arial"/>
          <w:sz w:val="16"/>
          <w:szCs w:val="16"/>
          <w:rtl/>
        </w:rPr>
        <w:t>(</w:t>
      </w:r>
      <w:r w:rsidRPr="008D03BD">
        <w:rPr>
          <w:rFonts w:cs="Arial" w:hint="cs"/>
          <w:sz w:val="16"/>
          <w:szCs w:val="16"/>
          <w:rtl/>
        </w:rPr>
        <w:t xml:space="preserve">כתובות </w:t>
      </w:r>
      <w:r w:rsidRPr="008D03BD">
        <w:rPr>
          <w:rFonts w:cs="Arial"/>
          <w:sz w:val="16"/>
          <w:szCs w:val="16"/>
          <w:rtl/>
        </w:rPr>
        <w:t>סי' רסו)</w:t>
      </w:r>
      <w:r>
        <w:rPr>
          <w:rFonts w:cs="Arial" w:hint="cs"/>
          <w:rtl/>
        </w:rPr>
        <w:t>-</w:t>
      </w:r>
      <w:r w:rsidRPr="004A3ACB">
        <w:rPr>
          <w:rtl/>
        </w:rPr>
        <w:t xml:space="preserve"> </w:t>
      </w:r>
      <w:r w:rsidRPr="004A3ACB">
        <w:rPr>
          <w:rFonts w:cs="Arial"/>
          <w:rtl/>
        </w:rPr>
        <w:t>אם יש בידי אדם מטלטלין דבעל</w:t>
      </w:r>
      <w:r>
        <w:rPr>
          <w:rFonts w:cs="Arial" w:hint="cs"/>
          <w:rtl/>
        </w:rPr>
        <w:t>,</w:t>
      </w:r>
      <w:r w:rsidRPr="004A3ACB">
        <w:rPr>
          <w:rFonts w:cs="Arial"/>
          <w:rtl/>
        </w:rPr>
        <w:t xml:space="preserve"> חיישינן להברחת ממון ולפסידה כדחשו בפ' שור שנגח את הפרה שנזקקין לנתבע תחלה כגון דזיילי נכסי</w:t>
      </w:r>
      <w:r>
        <w:rPr>
          <w:rFonts w:cs="Arial" w:hint="cs"/>
          <w:rtl/>
        </w:rPr>
        <w:t>,</w:t>
      </w:r>
      <w:r w:rsidRPr="004A3ACB">
        <w:rPr>
          <w:rFonts w:cs="Arial"/>
          <w:rtl/>
        </w:rPr>
        <w:t xml:space="preserve"> ובפרק הגוזל בתרא פעמים שמקבלין עדות שלא בפני בעל דין כגון שהיה הוא חולה כו'</w:t>
      </w:r>
      <w:r>
        <w:rPr>
          <w:rFonts w:cs="Arial" w:hint="cs"/>
          <w:rtl/>
        </w:rPr>
        <w:t>.</w:t>
      </w:r>
      <w:r w:rsidRPr="004A3ACB">
        <w:rPr>
          <w:rFonts w:cs="Arial"/>
          <w:rtl/>
        </w:rPr>
        <w:t xml:space="preserve"> ואם היא תובעת את הנפקד לדין</w:t>
      </w:r>
      <w:r>
        <w:rPr>
          <w:rFonts w:cs="Arial" w:hint="cs"/>
          <w:rtl/>
        </w:rPr>
        <w:t>,</w:t>
      </w:r>
      <w:r w:rsidRPr="004A3ACB">
        <w:rPr>
          <w:rFonts w:cs="Arial"/>
          <w:rtl/>
        </w:rPr>
        <w:t xml:space="preserve"> היו כופין אותו בית דין לתת לה מדרבי נתן</w:t>
      </w:r>
      <w:r>
        <w:rPr>
          <w:rFonts w:cs="Arial" w:hint="cs"/>
          <w:rtl/>
        </w:rPr>
        <w:t>,</w:t>
      </w:r>
      <w:r w:rsidRPr="004A3ACB">
        <w:rPr>
          <w:rFonts w:cs="Arial"/>
          <w:rtl/>
        </w:rPr>
        <w:t xml:space="preserve"> דאמר מנין לנושה לחבירו כו'</w:t>
      </w:r>
      <w:r>
        <w:rPr>
          <w:rFonts w:cs="Arial" w:hint="cs"/>
          <w:rtl/>
        </w:rPr>
        <w:t>.</w:t>
      </w:r>
      <w:r w:rsidRPr="004A3ACB">
        <w:rPr>
          <w:rFonts w:cs="Arial"/>
          <w:rtl/>
        </w:rPr>
        <w:t xml:space="preserve"> ואם החזיר הנפקד לבעל אחרי שתבעתו בבית דין</w:t>
      </w:r>
      <w:r>
        <w:rPr>
          <w:rFonts w:cs="Arial" w:hint="cs"/>
          <w:rtl/>
        </w:rPr>
        <w:t>,</w:t>
      </w:r>
      <w:r w:rsidRPr="004A3ACB">
        <w:rPr>
          <w:rFonts w:cs="Arial"/>
          <w:rtl/>
        </w:rPr>
        <w:t xml:space="preserve"> חייב ליתן לה</w:t>
      </w:r>
      <w:r>
        <w:rPr>
          <w:rFonts w:cs="Arial" w:hint="cs"/>
          <w:rtl/>
        </w:rPr>
        <w:t>.</w:t>
      </w:r>
      <w:r w:rsidRPr="004A3ACB">
        <w:rPr>
          <w:rFonts w:cs="Arial"/>
          <w:rtl/>
        </w:rPr>
        <w:t xml:space="preserve"> שאם לא כן מה הועיל מדרבי נתן</w:t>
      </w:r>
      <w:r>
        <w:rPr>
          <w:rFonts w:cs="Arial" w:hint="cs"/>
          <w:rtl/>
        </w:rPr>
        <w:t>.</w:t>
      </w:r>
      <w:r w:rsidRPr="004A3ACB">
        <w:rPr>
          <w:rFonts w:cs="Arial"/>
          <w:rtl/>
        </w:rPr>
        <w:t xml:space="preserve"> ול</w:t>
      </w:r>
      <w:r>
        <w:rPr>
          <w:rFonts w:cs="Arial" w:hint="cs"/>
          <w:rtl/>
        </w:rPr>
        <w:t>-</w:t>
      </w:r>
      <w:r w:rsidRPr="004A3ACB">
        <w:rPr>
          <w:rFonts w:cs="Arial"/>
          <w:rtl/>
        </w:rPr>
        <w:t>ו' חדשים יוציאו מן הנפקד למזונותיה</w:t>
      </w:r>
      <w:r>
        <w:rPr>
          <w:rFonts w:cs="Arial" w:hint="cs"/>
          <w:rtl/>
        </w:rPr>
        <w:t>,</w:t>
      </w:r>
      <w:r w:rsidRPr="004A3ACB">
        <w:rPr>
          <w:rFonts w:cs="Arial"/>
          <w:rtl/>
        </w:rPr>
        <w:t xml:space="preserve"> אבל יותר אין כח לב"ד לכופו לעכב</w:t>
      </w:r>
      <w:r>
        <w:rPr>
          <w:rFonts w:cs="Arial" w:hint="cs"/>
          <w:rtl/>
        </w:rPr>
        <w:t>.</w:t>
      </w:r>
      <w:r w:rsidRPr="004A3ACB">
        <w:rPr>
          <w:rFonts w:cs="Arial"/>
          <w:rtl/>
        </w:rPr>
        <w:t xml:space="preserve"> ואם בא הבעל ותבע לדין אין יכול לעכב לו ממונו אך לששה חדשים יתן לאשה ויעכב ויתן על פי ב"ד</w:t>
      </w:r>
      <w:r>
        <w:rPr>
          <w:rFonts w:cs="Arial" w:hint="cs"/>
          <w:rtl/>
        </w:rPr>
        <w:t xml:space="preserve">. </w:t>
      </w:r>
      <w:r w:rsidRPr="004A3ACB">
        <w:rPr>
          <w:rFonts w:cs="Arial"/>
          <w:rtl/>
        </w:rPr>
        <w:t>ואם הבעל ירא שמים יתן לה מזונות יותר מל</w:t>
      </w:r>
      <w:r>
        <w:rPr>
          <w:rFonts w:cs="Arial" w:hint="cs"/>
          <w:rtl/>
        </w:rPr>
        <w:t>-</w:t>
      </w:r>
      <w:r w:rsidRPr="004A3ACB">
        <w:rPr>
          <w:rFonts w:cs="Arial"/>
          <w:rtl/>
        </w:rPr>
        <w:t>ו' חדשים</w:t>
      </w:r>
      <w:r>
        <w:rPr>
          <w:rFonts w:cs="Arial" w:hint="cs"/>
          <w:rtl/>
        </w:rPr>
        <w:t>,</w:t>
      </w:r>
      <w:r w:rsidRPr="004A3ACB">
        <w:rPr>
          <w:rFonts w:cs="Arial"/>
          <w:rtl/>
        </w:rPr>
        <w:t xml:space="preserve"> מיהו בדין אין בידינו לכופו ליותר מו' חדשים ואפילו אם ירצה הנפקד</w:t>
      </w:r>
      <w:r>
        <w:rPr>
          <w:rFonts w:cs="Arial" w:hint="cs"/>
          <w:rtl/>
        </w:rPr>
        <w:t>,</w:t>
      </w:r>
      <w:r w:rsidRPr="004A3ACB">
        <w:rPr>
          <w:rFonts w:cs="Arial"/>
          <w:rtl/>
        </w:rPr>
        <w:t xml:space="preserve"> דלמה יעשו ב"ד שלא כדין</w:t>
      </w:r>
      <w:r>
        <w:rPr>
          <w:rFonts w:cs="Arial" w:hint="cs"/>
          <w:rtl/>
        </w:rPr>
        <w:t>.</w:t>
      </w:r>
      <w:r w:rsidRPr="004A3ACB">
        <w:rPr>
          <w:rFonts w:cs="Arial"/>
          <w:rtl/>
        </w:rPr>
        <w:t xml:space="preserve"> ובכל מקום שתמצא ממון הבעל היו כופין ב"ד לזונה ולפרנסה ולכסותה</w:t>
      </w:r>
      <w:r>
        <w:rPr>
          <w:rFonts w:cs="Arial" w:hint="cs"/>
          <w:rtl/>
        </w:rPr>
        <w:t>,</w:t>
      </w:r>
      <w:r w:rsidRPr="004A3ACB">
        <w:rPr>
          <w:rFonts w:cs="Arial"/>
          <w:rtl/>
        </w:rPr>
        <w:t xml:space="preserve"> דאמרינן אמר אמימר הלכתא מוכרת לששה חדשים ולוקח מפרנס אחד לשלשים יום וכ"ש אם הממון בעין ועוד האריך ואני קצרתי אביאסף</w:t>
      </w:r>
      <w:r>
        <w:rPr>
          <w:rFonts w:cs="Arial" w:hint="cs"/>
          <w:rtl/>
        </w:rPr>
        <w:t>.</w:t>
      </w:r>
      <w:r w:rsidRPr="00900B9A">
        <w:rPr>
          <w:rFonts w:cs="Arial" w:hint="cs"/>
          <w:color w:val="00B0F0"/>
          <w:rtl/>
        </w:rPr>
        <w:t xml:space="preserve"> (וכ"פ הרמ"א)</w:t>
      </w:r>
    </w:p>
    <w:p w14:paraId="53360057" w14:textId="77777777" w:rsidR="002E5BAD" w:rsidRPr="008D03BD" w:rsidRDefault="002E5BAD" w:rsidP="002E5BAD">
      <w:pPr>
        <w:ind w:left="360"/>
        <w:rPr>
          <w:u w:val="dotted"/>
        </w:rPr>
      </w:pPr>
      <w:r w:rsidRPr="008D03BD">
        <w:rPr>
          <w:rFonts w:cs="Arial" w:hint="cs"/>
          <w:u w:val="dotted"/>
          <w:rtl/>
        </w:rPr>
        <w:t xml:space="preserve">ומה הדין אם </w:t>
      </w:r>
      <w:r w:rsidRPr="008D03BD">
        <w:rPr>
          <w:rFonts w:cs="Arial"/>
          <w:u w:val="dotted"/>
          <w:rtl/>
        </w:rPr>
        <w:t>הזהיר</w:t>
      </w:r>
      <w:r w:rsidRPr="008D03BD">
        <w:rPr>
          <w:rFonts w:cs="Arial" w:hint="cs"/>
          <w:u w:val="dotted"/>
          <w:rtl/>
        </w:rPr>
        <w:t xml:space="preserve"> את הנפקד '</w:t>
      </w:r>
      <w:r w:rsidRPr="008D03BD">
        <w:rPr>
          <w:rFonts w:cs="Arial"/>
          <w:u w:val="dotted"/>
          <w:rtl/>
        </w:rPr>
        <w:t xml:space="preserve">אם תבא אשתי לפניך לא תתן לה כלום כי אם לבתי </w:t>
      </w:r>
      <w:r w:rsidRPr="008D03BD">
        <w:rPr>
          <w:rFonts w:cs="Arial" w:hint="cs"/>
          <w:u w:val="dotted"/>
          <w:rtl/>
        </w:rPr>
        <w:t>ה</w:t>
      </w:r>
      <w:r w:rsidRPr="008D03BD">
        <w:rPr>
          <w:rFonts w:cs="Arial"/>
          <w:u w:val="dotted"/>
          <w:rtl/>
        </w:rPr>
        <w:t>קטנה</w:t>
      </w:r>
      <w:r w:rsidRPr="008D03BD">
        <w:rPr>
          <w:rFonts w:cs="Arial" w:hint="cs"/>
          <w:u w:val="dotted"/>
          <w:rtl/>
        </w:rPr>
        <w:t>':</w:t>
      </w:r>
      <w:r w:rsidRPr="008D03BD">
        <w:rPr>
          <w:rFonts w:cs="Arial"/>
          <w:u w:val="dotted"/>
          <w:rtl/>
        </w:rPr>
        <w:t xml:space="preserve"> </w:t>
      </w:r>
    </w:p>
    <w:p w14:paraId="59B7E82A" w14:textId="77777777" w:rsidR="002E5BAD" w:rsidRDefault="002E5BAD" w:rsidP="002E5BAD">
      <w:pPr>
        <w:pStyle w:val="ab"/>
        <w:numPr>
          <w:ilvl w:val="0"/>
          <w:numId w:val="131"/>
        </w:numPr>
      </w:pPr>
      <w:r w:rsidRPr="00225601">
        <w:rPr>
          <w:rFonts w:cs="Arial"/>
          <w:rtl/>
        </w:rPr>
        <w:t>תשובות מיימוני</w:t>
      </w:r>
      <w:r>
        <w:rPr>
          <w:rFonts w:cs="Arial" w:hint="cs"/>
          <w:rtl/>
        </w:rPr>
        <w:t xml:space="preserve">ות </w:t>
      </w:r>
      <w:r w:rsidRPr="00C56D1D">
        <w:rPr>
          <w:rFonts w:cs="Arial" w:hint="cs"/>
          <w:sz w:val="16"/>
          <w:szCs w:val="16"/>
          <w:rtl/>
        </w:rPr>
        <w:t>(</w:t>
      </w:r>
      <w:r w:rsidRPr="00C56D1D">
        <w:rPr>
          <w:rFonts w:cs="Arial"/>
          <w:sz w:val="16"/>
          <w:szCs w:val="16"/>
          <w:rtl/>
        </w:rPr>
        <w:t xml:space="preserve">נשים סי' כא) </w:t>
      </w:r>
      <w:r w:rsidRPr="00225601">
        <w:rPr>
          <w:rFonts w:cs="Arial"/>
          <w:rtl/>
        </w:rPr>
        <w:t xml:space="preserve">ומרדכי </w:t>
      </w:r>
      <w:r w:rsidRPr="00C56D1D">
        <w:rPr>
          <w:rFonts w:cs="Arial" w:hint="cs"/>
          <w:sz w:val="16"/>
          <w:szCs w:val="16"/>
          <w:rtl/>
        </w:rPr>
        <w:t>(</w:t>
      </w:r>
      <w:r w:rsidRPr="00C56D1D">
        <w:rPr>
          <w:rFonts w:cs="Arial"/>
          <w:sz w:val="16"/>
          <w:szCs w:val="16"/>
          <w:rtl/>
        </w:rPr>
        <w:t>פ</w:t>
      </w:r>
      <w:r w:rsidRPr="00C56D1D">
        <w:rPr>
          <w:rFonts w:cs="Arial" w:hint="cs"/>
          <w:sz w:val="16"/>
          <w:szCs w:val="16"/>
          <w:rtl/>
        </w:rPr>
        <w:t>'</w:t>
      </w:r>
      <w:r w:rsidRPr="00C56D1D">
        <w:rPr>
          <w:rFonts w:cs="Arial"/>
          <w:sz w:val="16"/>
          <w:szCs w:val="16"/>
          <w:rtl/>
        </w:rPr>
        <w:t xml:space="preserve"> בתרא דכתובות סי' רסט</w:t>
      </w:r>
      <w:r>
        <w:rPr>
          <w:rFonts w:cs="Arial" w:hint="cs"/>
          <w:sz w:val="16"/>
          <w:szCs w:val="16"/>
          <w:rtl/>
        </w:rPr>
        <w:t>-רע</w:t>
      </w:r>
      <w:r w:rsidRPr="00C56D1D">
        <w:rPr>
          <w:rFonts w:cs="Arial"/>
          <w:sz w:val="16"/>
          <w:szCs w:val="16"/>
          <w:rtl/>
        </w:rPr>
        <w:t>)</w:t>
      </w:r>
      <w:r>
        <w:rPr>
          <w:rFonts w:cs="Arial" w:hint="cs"/>
          <w:rtl/>
        </w:rPr>
        <w:t xml:space="preserve">- </w:t>
      </w:r>
      <w:r w:rsidRPr="00C56D1D">
        <w:rPr>
          <w:rFonts w:cs="Arial"/>
          <w:rtl/>
        </w:rPr>
        <w:t>מה שכתבת בראובן שהלך למדינת הים והפקיד ממונו ביד שמעון והזהירו אם תבא אשתי לפניך לא תתן לה כלום ממה שהפקדתי אצלך ואף אם יניח האיש חיים לכל ישראל לא תתן לה כלום ממה שהפקדתי אצלך כ"א לבתי קטנה. ואחר שהלך ראובן לדרכו באתה אשתו של ראובן אצל שמעון הנפקד ושאלה ממנו מזונות כי אמרה בעל דברים דידי את מדרבי נתן. ועלתה על דעתך לומר כי ר"ת פסק דלית הילכתא כרבי נתן אף על גב דידעת שאני פוסק כרבי נתן (עתוס' גיטין לז. וקידושין טו א) ואף אמרת אף על פי שפוסקים מזונות לאשת איש (כתובות קז</w:t>
      </w:r>
      <w:r>
        <w:rPr>
          <w:rFonts w:cs="Arial" w:hint="cs"/>
          <w:rtl/>
        </w:rPr>
        <w:t>:</w:t>
      </w:r>
      <w:r w:rsidRPr="00C56D1D">
        <w:rPr>
          <w:rFonts w:cs="Arial"/>
          <w:rtl/>
        </w:rPr>
        <w:t>) הני מילי שלא מיחה אבל האי שמיחה אימר צררי אתפסה או שמא אמר לה צאי מעשה ידיך במזונותיך, ותו מדקאמר ראובן דאף לאחר מותו ינתן ממונו לבתו, יש לנו לבדות מלבנו כי אחד מקרובי ראובן נתנו לבת ראובן ומש"ה הוציא ראובן הממון מחזקת כתובת אשתו לאחר מותו, דכיוצא בה שמענו (ב"ב נא: עי"ש) דהמקבל פקדון מן האשה יחזיר לאשה, דאע"ג דמה שקנתה אשה קנה בעלה ואף על גב דלא מיחה בנפקד אפ"ה ינתן הממון לאשה דאמרינן שמא הופקד הממון לאשה או אינש דעלמא יהביה ניהלה ע"מ שאין לבעלה רשות בה. נראה שהדין עם האשה לתבוע המזונות מאותן הנכסים כי מדברי ראובן שאמר לנפקד ליתנו לבתו לאחר מותו אין במשמע שיהא בממון מעכשיו לבת כ"א שלו ורוצה להפקיע מאשתו וליתן לבתו. ואף על פי שהזהירו אם תבא אשתו אליו לא תתן לה כלום, לא מבעיא בזה הלשון דאין זכותה נפקעת בכך כי שמא ר"ל לא תתן לה מעצמה כי אם ע"פ ב"ד, אלא אפילו אמר אל יפסקו לה [ב"ד] מזונות [מאותו הממון] אין שומעין לו כי לא כל הימנו שיעשיר עצמו ויפיל זוגתו על הציבור ואין מחאתו כלום להפקיע תקנת חכמים שתקנו לפסוק לה מזונות. ומה שאמרת כי יש לנו לומר כי אחד מקרוביו נתן לבת או זה האיש זיכהו לבת מקודם לכן להפקיע ממנו זכות אשתו במתנת בריא שנתנו לבתו מתנה מפקיע זכות כתובת אשתו ומזונותיה מן המטלטלין כי כן אני פוסק ובא ושוב מצאתי כי כל רבותינו שוין בדבר ר"ח ור"ת לומר דדוקא במתנת ש"מ אלמנתו ניזונת מנכסי(ו) קרקע ולא במתנת בריא ומשם יש ללמוד במטלטלין בין בכתובה בין במזונות והרבה הארכתי בזה הדבר בתשובה אחת לנדיבי קינו"ן, אבל [כאן] אין לומר לא כך ולא כך אלא משמע מדבריו של ראובן המפקיד שהממון שלו הוא עדיין ורוצה להפקיעו מאשתו. ומה שאמרתי שהדין עם האשה לתבוע מזונות מאותו ממון, לא ליטול ממנו מה שלותה ואכלה קודם שפסקו לה ב"ד מזונות</w:t>
      </w:r>
      <w:r>
        <w:rPr>
          <w:rFonts w:cs="Arial" w:hint="cs"/>
          <w:rtl/>
        </w:rPr>
        <w:t>,</w:t>
      </w:r>
      <w:r w:rsidRPr="00C56D1D">
        <w:rPr>
          <w:rFonts w:cs="Arial"/>
          <w:rtl/>
        </w:rPr>
        <w:t xml:space="preserve"> כ"א אחרי שפסקו לה יש לה ליטול משל בעלה משם ואילך מה שפסקו לה ב"ד</w:t>
      </w:r>
      <w:r>
        <w:rPr>
          <w:rStyle w:val="a7"/>
          <w:rFonts w:cs="Arial"/>
          <w:rtl/>
        </w:rPr>
        <w:footnoteReference w:id="1101"/>
      </w:r>
      <w:r w:rsidRPr="00C56D1D">
        <w:rPr>
          <w:rFonts w:cs="Arial"/>
          <w:rtl/>
        </w:rPr>
        <w:t>. כך אני פוסק ובא מתוך אותה דפרק בתרא דכתובות (קז</w:t>
      </w:r>
      <w:r>
        <w:rPr>
          <w:rFonts w:cs="Arial" w:hint="cs"/>
          <w:rtl/>
        </w:rPr>
        <w:t>:</w:t>
      </w:r>
      <w:r w:rsidRPr="00C56D1D">
        <w:rPr>
          <w:rFonts w:cs="Arial"/>
          <w:rtl/>
        </w:rPr>
        <w:t>). ומה שאמרת שר"ת פסק דלא כר' נתן, כן אמת אבל לאחר כן חזר בו, כן תמצא כתוב בספר הישר שלו (חלק החידושים סי' תרנו) גבי חמש מדות בערבות מן הלוה שאין למלוה על הלוה כלום וגם אין לו במה ליפרע מן הערב שחוזר על הלוה מדרבי נתן דקי"ל כוותיה אפילו בב"ח דעלמא, ושלום יצחק ב"ר שמואל זלה"ה</w:t>
      </w:r>
      <w:r>
        <w:rPr>
          <w:rFonts w:cs="Arial" w:hint="cs"/>
          <w:sz w:val="16"/>
          <w:szCs w:val="16"/>
          <w:rtl/>
        </w:rPr>
        <w:t xml:space="preserve"> (ל' התשובות מיימוניות)</w:t>
      </w:r>
      <w:r>
        <w:rPr>
          <w:rFonts w:cs="Arial" w:hint="cs"/>
          <w:rtl/>
        </w:rPr>
        <w:t>.</w:t>
      </w:r>
      <w:r w:rsidRPr="00C56D1D">
        <w:rPr>
          <w:rFonts w:cs="Arial"/>
          <w:rtl/>
        </w:rPr>
        <w:t xml:space="preserve"> </w:t>
      </w:r>
      <w:r w:rsidRPr="00900B9A">
        <w:rPr>
          <w:rFonts w:cs="Arial" w:hint="cs"/>
          <w:color w:val="00B0F0"/>
          <w:rtl/>
        </w:rPr>
        <w:t>(וכ"פ הרמ"א)</w:t>
      </w:r>
    </w:p>
    <w:p w14:paraId="7F5275EF" w14:textId="77777777" w:rsidR="002E5BAD" w:rsidRPr="00900B9A" w:rsidRDefault="002E5BAD" w:rsidP="002E5BAD">
      <w:pPr>
        <w:rPr>
          <w:u w:val="single"/>
        </w:rPr>
      </w:pPr>
      <w:r w:rsidRPr="00900B9A">
        <w:rPr>
          <w:rFonts w:hint="cs"/>
          <w:u w:val="single"/>
          <w:rtl/>
        </w:rPr>
        <w:t xml:space="preserve">ראובן מחזיק בקרקעות של שמעון, ושמעון הלך למדינת הים, ואשתו תובעת </w:t>
      </w:r>
      <w:r>
        <w:rPr>
          <w:rFonts w:hint="cs"/>
          <w:u w:val="single"/>
          <w:rtl/>
        </w:rPr>
        <w:t xml:space="preserve">מהקרקעות שביד </w:t>
      </w:r>
      <w:r w:rsidRPr="00900B9A">
        <w:rPr>
          <w:rFonts w:hint="cs"/>
          <w:u w:val="single"/>
          <w:rtl/>
        </w:rPr>
        <w:t>ראובן:</w:t>
      </w:r>
    </w:p>
    <w:p w14:paraId="19835A7F" w14:textId="77777777" w:rsidR="002E5BAD" w:rsidRPr="008D03BD" w:rsidRDefault="002E5BAD" w:rsidP="002E5BAD">
      <w:pPr>
        <w:pStyle w:val="ab"/>
        <w:numPr>
          <w:ilvl w:val="0"/>
          <w:numId w:val="131"/>
        </w:numPr>
        <w:rPr>
          <w:rFonts w:cs="Arial"/>
          <w:rtl/>
        </w:rPr>
      </w:pPr>
      <w:r w:rsidRPr="00225601">
        <w:rPr>
          <w:rFonts w:cs="Arial"/>
          <w:rtl/>
        </w:rPr>
        <w:t xml:space="preserve">רשב"א </w:t>
      </w:r>
      <w:r w:rsidRPr="008D03BD">
        <w:rPr>
          <w:rFonts w:cs="Arial"/>
          <w:sz w:val="16"/>
          <w:szCs w:val="16"/>
          <w:rtl/>
        </w:rPr>
        <w:t>(ח"ב סי' שמא)</w:t>
      </w:r>
      <w:r>
        <w:rPr>
          <w:rFonts w:cs="Arial" w:hint="cs"/>
          <w:rtl/>
        </w:rPr>
        <w:t>-</w:t>
      </w:r>
      <w:r w:rsidRPr="00225601">
        <w:rPr>
          <w:rFonts w:cs="Arial"/>
          <w:rtl/>
        </w:rPr>
        <w:t xml:space="preserve"> </w:t>
      </w:r>
      <w:r w:rsidRPr="008D03BD">
        <w:rPr>
          <w:rFonts w:cs="Arial"/>
          <w:rtl/>
        </w:rPr>
        <w:t>שאלת</w:t>
      </w:r>
      <w:r>
        <w:rPr>
          <w:rFonts w:cs="Arial" w:hint="cs"/>
          <w:rtl/>
        </w:rPr>
        <w:t>,</w:t>
      </w:r>
      <w:r w:rsidRPr="008D03BD">
        <w:rPr>
          <w:rFonts w:cs="Arial"/>
          <w:rtl/>
        </w:rPr>
        <w:t xml:space="preserve"> ראובן החזיק ארבע וחמש שנים בקרקע א' של שמעון. והלך שמעון בדרך רחוקה והניח קרקעות הרבה בני חורין מלבד זה. ואשתו תובעת מזונות והעמידה בדין ראובן זה שיסתלק מאותו </w:t>
      </w:r>
      <w:r w:rsidRPr="008D03BD">
        <w:rPr>
          <w:rFonts w:cs="Arial"/>
          <w:rtl/>
        </w:rPr>
        <w:lastRenderedPageBreak/>
        <w:t>קרקע כדי שתמשכן אותו לצורך מזונותיה. השיב ראובן כי שמעון בעלה השאילו לו כל זמן שלא יהא הוא בעיר ושיש עדים על השאלה ועל החזקה. ושגם היא יודעת כן ומדעתה היה. וכיון שכן אינה יכולה להוציאו ממנו למזונות לפי שאין מוציאין למזונות מנכסים משועבדין. כל שכן שיש כאן נכסים אחרים בני חורין. והבית דין דנו. שלא תועיל הודאת האשה ולא עדים וסלקוהו מן קרקע. הודיעני הדין היאך</w:t>
      </w:r>
      <w:r>
        <w:rPr>
          <w:rFonts w:cs="Arial" w:hint="cs"/>
          <w:rtl/>
        </w:rPr>
        <w:t xml:space="preserve">. </w:t>
      </w:r>
      <w:r w:rsidRPr="008D03BD">
        <w:rPr>
          <w:rFonts w:cs="Arial"/>
          <w:rtl/>
        </w:rPr>
        <w:t>תשובה</w:t>
      </w:r>
      <w:r>
        <w:rPr>
          <w:rFonts w:cs="Arial" w:hint="cs"/>
          <w:rtl/>
        </w:rPr>
        <w:t>-</w:t>
      </w:r>
      <w:r w:rsidRPr="008D03BD">
        <w:rPr>
          <w:rFonts w:cs="Arial"/>
          <w:rtl/>
        </w:rPr>
        <w:t xml:space="preserve"> מה אני משיב על דברים נעלמים ואתה לא הודעתני דעת הבית דין על מה סמוך לדין כן. אולי טענות יש שעליהם סמך ואנכי לא ידעתי. אך לפי מה שאתה כותב אם אין טענה אחרת לאשה לא ידעתי עיקר לדין זה כלל. שאפילו נכנס ראובן בקרקע אחד של שמעון מעצמו אין האשה בעלת דין שלו ויכול ראובן לטעון לה זילי, לאו בעלת דברים שלי את. אלא אם כן היא מורשת משמעון בעלה. או שבית דין מעצמן דנין עמו כפי מה שהוא ענין אם נטושין ואם רטושין כפי הדינין הנזכרין במציע' בפרק המפקיד. אבל היא אינ' בזה אלא כנכרי'. זולתי אם תבא לגבות ממנו או כתוב' או מוזנות /מזונות/ לפי שורת הדין. וכאן כיון שיש בני חורין אחרים תגבה משאר נכסים. אלא שאיני יכול לברר לך דעתי בעקר הנדון עד שאשמע טענת הדיינין.</w:t>
      </w:r>
      <w:r w:rsidRPr="00900B9A">
        <w:rPr>
          <w:rFonts w:cs="Arial" w:hint="cs"/>
          <w:color w:val="00B0F0"/>
          <w:rtl/>
        </w:rPr>
        <w:t xml:space="preserve"> (וכ"פ הרמ"א)</w:t>
      </w:r>
    </w:p>
    <w:p w14:paraId="5F33799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4CCDD04" w14:textId="77777777" w:rsidR="002E5BAD" w:rsidRDefault="002E5BAD" w:rsidP="002E5BAD">
      <w:pPr>
        <w:rPr>
          <w:rtl/>
        </w:rPr>
      </w:pPr>
      <w:r>
        <w:rPr>
          <w:rFonts w:cs="Arial"/>
          <w:rtl/>
        </w:rPr>
        <w:t xml:space="preserve">מי שהלך למדינת הים והפקיד כלים ביד אחד, או השאילום לו, מוציאין מיד הנפקד למזונות אשתו. </w:t>
      </w:r>
      <w:r w:rsidRPr="00B12054">
        <w:rPr>
          <w:rFonts w:cs="Arial"/>
          <w:sz w:val="18"/>
          <w:szCs w:val="18"/>
          <w:rtl/>
        </w:rPr>
        <w:t xml:space="preserve">הגה: אפילו צוה הבעל שלא ליתן (כ"כ ר"י בתשובה הובאה במרדכי </w:t>
      </w:r>
      <w:r>
        <w:rPr>
          <w:rFonts w:cs="Arial" w:hint="cs"/>
          <w:sz w:val="18"/>
          <w:szCs w:val="18"/>
          <w:rtl/>
        </w:rPr>
        <w:t>סי' רסט</w:t>
      </w:r>
      <w:r w:rsidRPr="00B12054">
        <w:rPr>
          <w:rFonts w:cs="Arial"/>
          <w:sz w:val="18"/>
          <w:szCs w:val="18"/>
          <w:rtl/>
        </w:rPr>
        <w:t>). ואם החזיר הנפקד לבעל אחר שתבעתו האשה לדין, חייב לשלם לה (מרדכי</w:t>
      </w:r>
      <w:r>
        <w:rPr>
          <w:rFonts w:cs="Arial" w:hint="cs"/>
          <w:sz w:val="18"/>
          <w:szCs w:val="18"/>
          <w:rtl/>
        </w:rPr>
        <w:t xml:space="preserve"> סי' רסו</w:t>
      </w:r>
      <w:r w:rsidRPr="00B12054">
        <w:rPr>
          <w:rFonts w:cs="Arial"/>
          <w:sz w:val="18"/>
          <w:szCs w:val="18"/>
          <w:rtl/>
        </w:rPr>
        <w:t>)</w:t>
      </w:r>
      <w:r>
        <w:rPr>
          <w:rFonts w:cs="Arial" w:hint="cs"/>
          <w:sz w:val="18"/>
          <w:szCs w:val="18"/>
          <w:rtl/>
        </w:rPr>
        <w:t>.</w:t>
      </w:r>
      <w:r w:rsidRPr="00B12054">
        <w:rPr>
          <w:rFonts w:cs="Arial"/>
          <w:sz w:val="18"/>
          <w:szCs w:val="18"/>
          <w:rtl/>
        </w:rPr>
        <w:t xml:space="preserve"> וכשמוציאין מן הנפקד, אין מוציאין רק לששה חדשים, אפילו אם ירצה הנפקד אין מעכבין ממונו של בעל יותר</w:t>
      </w:r>
      <w:r>
        <w:rPr>
          <w:rFonts w:cs="Arial" w:hint="cs"/>
          <w:sz w:val="18"/>
          <w:szCs w:val="18"/>
          <w:rtl/>
        </w:rPr>
        <w:t xml:space="preserve"> (מרדכי סי' רסו)</w:t>
      </w:r>
      <w:r w:rsidRPr="00B12054">
        <w:rPr>
          <w:rFonts w:cs="Arial"/>
          <w:sz w:val="18"/>
          <w:szCs w:val="18"/>
          <w:rtl/>
        </w:rPr>
        <w:t>. ואין מוציאין מנכסים שהם ביד אחרים כל זמן שיש כאן בני חורין (ב"י בשם הרשב"א)</w:t>
      </w:r>
      <w:r>
        <w:rPr>
          <w:rFonts w:cs="Arial" w:hint="cs"/>
          <w:sz w:val="18"/>
          <w:szCs w:val="18"/>
          <w:rtl/>
        </w:rPr>
        <w:t>.</w:t>
      </w:r>
      <w:r w:rsidRPr="00B12054">
        <w:rPr>
          <w:rFonts w:cs="Arial"/>
          <w:sz w:val="18"/>
          <w:szCs w:val="18"/>
          <w:rtl/>
        </w:rPr>
        <w:t xml:space="preserve"> </w:t>
      </w:r>
      <w:r w:rsidRPr="003F4FC9">
        <w:rPr>
          <w:rFonts w:cs="Arial"/>
          <w:rtl/>
        </w:rPr>
        <w:t>אבל מיד השואל אין מוציאים, עד שיגיע סוף זמן שאלתו.</w:t>
      </w:r>
      <w:r w:rsidRPr="003F4FC9">
        <w:rPr>
          <w:rFonts w:cs="Arial"/>
          <w:sz w:val="26"/>
          <w:szCs w:val="26"/>
          <w:rtl/>
        </w:rPr>
        <w:t xml:space="preserve"> </w:t>
      </w:r>
    </w:p>
    <w:p w14:paraId="5247B4A6" w14:textId="77777777" w:rsidR="002E5BAD" w:rsidRDefault="002E5BAD" w:rsidP="002E5BAD">
      <w:pPr>
        <w:rPr>
          <w:rtl/>
        </w:rPr>
      </w:pPr>
    </w:p>
    <w:p w14:paraId="23EA281C" w14:textId="77777777" w:rsidR="002E5BAD" w:rsidRDefault="002E5BAD" w:rsidP="002E5BAD">
      <w:pPr>
        <w:pStyle w:val="2"/>
        <w:rPr>
          <w:rtl/>
        </w:rPr>
      </w:pPr>
      <w:r>
        <w:rPr>
          <w:rtl/>
        </w:rPr>
        <w:t>סעיף ח</w:t>
      </w:r>
      <w:r>
        <w:rPr>
          <w:rFonts w:hint="cs"/>
          <w:rtl/>
        </w:rPr>
        <w:t>: אשה שקיבלה/הלותה למזונותיה מאדם אחר.</w:t>
      </w:r>
    </w:p>
    <w:p w14:paraId="691191E9" w14:textId="77777777" w:rsidR="002E5BAD" w:rsidRDefault="002E5BAD" w:rsidP="002E5BAD">
      <w:pPr>
        <w:rPr>
          <w:rFonts w:cs="Arial"/>
          <w:rtl/>
        </w:rPr>
      </w:pPr>
      <w:r w:rsidRPr="0089574F">
        <w:rPr>
          <w:rFonts w:cs="Arial" w:hint="cs"/>
          <w:b/>
          <w:bCs/>
          <w:rtl/>
        </w:rPr>
        <w:t xml:space="preserve">כתובות </w:t>
      </w:r>
      <w:r w:rsidRPr="0089574F">
        <w:rPr>
          <w:rFonts w:cs="Arial" w:hint="cs"/>
          <w:b/>
          <w:bCs/>
          <w:sz w:val="16"/>
          <w:szCs w:val="16"/>
          <w:rtl/>
        </w:rPr>
        <w:t>(פ' שני דייני)</w:t>
      </w:r>
      <w:r w:rsidRPr="0089574F">
        <w:rPr>
          <w:rFonts w:cs="Arial" w:hint="cs"/>
          <w:b/>
          <w:bCs/>
          <w:rtl/>
        </w:rPr>
        <w:t xml:space="preserve"> ק</w:t>
      </w:r>
      <w:r>
        <w:rPr>
          <w:rFonts w:cs="Arial" w:hint="cs"/>
          <w:b/>
          <w:bCs/>
          <w:rtl/>
        </w:rPr>
        <w:t>ז</w:t>
      </w:r>
      <w:r w:rsidRPr="0089574F">
        <w:rPr>
          <w:rFonts w:cs="Arial" w:hint="cs"/>
          <w:b/>
          <w:bCs/>
          <w:rtl/>
        </w:rPr>
        <w:t xml:space="preserve"> ע"ב:</w:t>
      </w:r>
      <w:r>
        <w:rPr>
          <w:rFonts w:cs="Arial" w:hint="cs"/>
          <w:rtl/>
        </w:rPr>
        <w:t xml:space="preserve"> </w:t>
      </w:r>
      <w:r w:rsidRPr="0089574F">
        <w:rPr>
          <w:rFonts w:cs="Arial"/>
          <w:u w:val="double"/>
          <w:rtl/>
        </w:rPr>
        <w:t>מתני</w:t>
      </w:r>
      <w:r w:rsidRPr="0089574F">
        <w:rPr>
          <w:rFonts w:cs="Arial" w:hint="cs"/>
          <w:u w:val="double"/>
          <w:rtl/>
        </w:rPr>
        <w:t>'</w:t>
      </w:r>
      <w:r>
        <w:rPr>
          <w:rFonts w:cs="Arial" w:hint="cs"/>
          <w:rtl/>
        </w:rPr>
        <w:t>:</w:t>
      </w:r>
      <w:r w:rsidRPr="0042200F">
        <w:rPr>
          <w:rFonts w:cs="Arial"/>
          <w:rtl/>
        </w:rPr>
        <w:t xml:space="preserve"> מי שהלך למדינת הים, ועמד אחד ופירנס את אשתו, </w:t>
      </w:r>
      <w:r w:rsidRPr="000F4A74">
        <w:rPr>
          <w:rFonts w:cs="Arial"/>
          <w:u w:val="single"/>
          <w:rtl/>
        </w:rPr>
        <w:t>חנן אומר</w:t>
      </w:r>
      <w:r w:rsidRPr="0042200F">
        <w:rPr>
          <w:rFonts w:cs="Arial"/>
          <w:rtl/>
        </w:rPr>
        <w:t>: איבד את מעותיו</w:t>
      </w:r>
      <w:r>
        <w:rPr>
          <w:rFonts w:cs="Arial" w:hint="cs"/>
          <w:rtl/>
        </w:rPr>
        <w:t>.</w:t>
      </w:r>
      <w:r w:rsidRPr="0042200F">
        <w:rPr>
          <w:rFonts w:cs="Arial"/>
          <w:rtl/>
        </w:rPr>
        <w:t xml:space="preserve"> </w:t>
      </w:r>
      <w:r w:rsidRPr="000F4A74">
        <w:rPr>
          <w:rFonts w:cs="Arial"/>
          <w:u w:val="single"/>
          <w:rtl/>
        </w:rPr>
        <w:t>נחלקו עליו בני כהנים גדולים ואמרו</w:t>
      </w:r>
      <w:r w:rsidRPr="0042200F">
        <w:rPr>
          <w:rFonts w:cs="Arial"/>
          <w:rtl/>
        </w:rPr>
        <w:t xml:space="preserve">: ישבע כמה הוציא ויטול. </w:t>
      </w:r>
      <w:r w:rsidRPr="000F4A74">
        <w:rPr>
          <w:rFonts w:cs="Arial"/>
          <w:u w:val="single"/>
          <w:rtl/>
        </w:rPr>
        <w:t>א"ר דוסא בן הרכינס</w:t>
      </w:r>
      <w:r w:rsidRPr="0042200F">
        <w:rPr>
          <w:rFonts w:cs="Arial"/>
          <w:rtl/>
        </w:rPr>
        <w:t xml:space="preserve">: כדבריהם. </w:t>
      </w:r>
      <w:r w:rsidRPr="000F4A74">
        <w:rPr>
          <w:rFonts w:cs="Arial"/>
          <w:u w:val="single"/>
          <w:rtl/>
        </w:rPr>
        <w:t>א"ר יוחנן בן זכאי</w:t>
      </w:r>
      <w:r w:rsidRPr="0042200F">
        <w:rPr>
          <w:rFonts w:cs="Arial"/>
          <w:rtl/>
        </w:rPr>
        <w:t xml:space="preserve">: יפה אמר חנן הניח מעותיו על קרן הצבי. </w:t>
      </w:r>
      <w:r>
        <w:rPr>
          <w:rFonts w:cs="Arial" w:hint="cs"/>
          <w:rtl/>
        </w:rPr>
        <w:t xml:space="preserve">        </w:t>
      </w:r>
      <w:r w:rsidRPr="000951DA">
        <w:rPr>
          <w:rFonts w:cs="Arial" w:hint="cs"/>
          <w:u w:val="double"/>
          <w:rtl/>
        </w:rPr>
        <w:t>גמ'</w:t>
      </w:r>
      <w:r w:rsidRPr="000951DA">
        <w:rPr>
          <w:rFonts w:hint="cs"/>
          <w:sz w:val="14"/>
          <w:szCs w:val="14"/>
          <w:u w:val="double"/>
          <w:rtl/>
        </w:rPr>
        <w:t>(קט.)</w:t>
      </w:r>
      <w:r w:rsidRPr="000951DA">
        <w:rPr>
          <w:rFonts w:cs="Arial" w:hint="cs"/>
          <w:u w:val="double"/>
          <w:rtl/>
        </w:rPr>
        <w:t>:</w:t>
      </w:r>
      <w:r w:rsidRPr="000951DA">
        <w:rPr>
          <w:rFonts w:cs="Arial" w:hint="cs"/>
          <w:rtl/>
        </w:rPr>
        <w:t xml:space="preserve"> </w:t>
      </w:r>
      <w:r w:rsidRPr="00DC6EE6">
        <w:rPr>
          <w:rFonts w:cs="Arial"/>
          <w:u w:val="single"/>
          <w:rtl/>
        </w:rPr>
        <w:t>אמר ר' זירא אמר רבה בר ירמיה</w:t>
      </w:r>
      <w:r w:rsidRPr="00D611D4">
        <w:rPr>
          <w:rFonts w:cs="Arial"/>
          <w:rtl/>
        </w:rPr>
        <w:t>: ב' דברים שאמר חנן - הלכה כיוצא בו, שבעה דברים שאמר אדמון - אין הלכה כיוצא בו. מאי קאמר?</w:t>
      </w:r>
      <w:r>
        <w:rPr>
          <w:rFonts w:cs="Arial" w:hint="cs"/>
          <w:rtl/>
        </w:rPr>
        <w:t>...</w:t>
      </w:r>
      <w:r w:rsidRPr="00D611D4">
        <w:rPr>
          <w:rFonts w:cs="Arial"/>
          <w:rtl/>
        </w:rPr>
        <w:t xml:space="preserve"> אלא ה"ק: שני דברי' שאמר חנן - הלכה כמותו וכיוצא בו, שבעה דברים שאמר אדמון - יש מהן שהלכה כמותו וכיוצא בו, ויש מהן שאין הלכה כמותו אלא כיוצא בו, בכ"מ שאמר רבן גמליאל רואה אני את דברי אדמון - הלכה כמותו, אינך לא.</w:t>
      </w:r>
    </w:p>
    <w:p w14:paraId="62178C62" w14:textId="77777777" w:rsidR="002E5BAD" w:rsidRPr="00900B9A" w:rsidRDefault="002E5BAD" w:rsidP="002E5BAD">
      <w:pPr>
        <w:rPr>
          <w:u w:val="single"/>
          <w:rtl/>
        </w:rPr>
      </w:pPr>
      <w:r w:rsidRPr="0042200F">
        <w:rPr>
          <w:rFonts w:hint="cs"/>
          <w:u w:val="single"/>
          <w:rtl/>
        </w:rPr>
        <w:t>אשה שקיבלה מזונותיה מאדם אחר</w:t>
      </w:r>
      <w:r w:rsidRPr="00900B9A">
        <w:rPr>
          <w:rFonts w:hint="cs"/>
          <w:u w:val="single"/>
          <w:rtl/>
        </w:rPr>
        <w:t>:</w:t>
      </w:r>
    </w:p>
    <w:p w14:paraId="3C71654B" w14:textId="77777777" w:rsidR="002E5BAD" w:rsidRDefault="002E5BAD" w:rsidP="002E5BAD">
      <w:pPr>
        <w:pStyle w:val="ab"/>
        <w:numPr>
          <w:ilvl w:val="0"/>
          <w:numId w:val="131"/>
        </w:numPr>
      </w:pPr>
      <w:r w:rsidRPr="00C6165E">
        <w:rPr>
          <w:rFonts w:cs="Arial" w:hint="cs"/>
          <w:rtl/>
        </w:rPr>
        <w:t>טור</w:t>
      </w:r>
      <w:r>
        <w:rPr>
          <w:rFonts w:cs="Arial" w:hint="cs"/>
          <w:rtl/>
        </w:rPr>
        <w:t xml:space="preserve"> והה"מ </w:t>
      </w:r>
      <w:r>
        <w:rPr>
          <w:rFonts w:cs="Arial" w:hint="cs"/>
          <w:sz w:val="16"/>
          <w:szCs w:val="16"/>
          <w:rtl/>
        </w:rPr>
        <w:t>(פי"ב מאישות הי"ט)</w:t>
      </w:r>
      <w:r w:rsidRPr="00C6165E">
        <w:rPr>
          <w:rFonts w:cs="Arial" w:hint="cs"/>
          <w:rtl/>
        </w:rPr>
        <w:t xml:space="preserve">- </w:t>
      </w:r>
      <w:r w:rsidRPr="00C6165E">
        <w:rPr>
          <w:rFonts w:cs="Arial"/>
          <w:rtl/>
        </w:rPr>
        <w:t xml:space="preserve">אם עמד אחד ופרנסה מדעתו </w:t>
      </w:r>
      <w:r>
        <w:rPr>
          <w:rFonts w:cs="Arial" w:hint="cs"/>
          <w:rtl/>
        </w:rPr>
        <w:t xml:space="preserve">- </w:t>
      </w:r>
      <w:r w:rsidRPr="00C6165E">
        <w:rPr>
          <w:rFonts w:cs="Arial"/>
          <w:rtl/>
        </w:rPr>
        <w:t>אין הבעל חייב לשלם</w:t>
      </w:r>
      <w:r>
        <w:rPr>
          <w:rFonts w:cs="Arial" w:hint="cs"/>
          <w:rtl/>
        </w:rPr>
        <w:t>,</w:t>
      </w:r>
      <w:r w:rsidRPr="00C6165E">
        <w:rPr>
          <w:rFonts w:cs="Arial"/>
          <w:rtl/>
        </w:rPr>
        <w:t xml:space="preserve"> כיון שלא צוה לו לפרנסה</w:t>
      </w:r>
      <w:r>
        <w:rPr>
          <w:rFonts w:hint="cs"/>
          <w:rtl/>
        </w:rPr>
        <w:t>.</w:t>
      </w:r>
      <w:r w:rsidRPr="00C6165E">
        <w:rPr>
          <w:rtl/>
        </w:rPr>
        <w:t xml:space="preserve"> </w:t>
      </w:r>
      <w:r w:rsidRPr="003F4FC9">
        <w:rPr>
          <w:rFonts w:hint="cs"/>
          <w:color w:val="E36C0A" w:themeColor="accent6" w:themeShade="BF"/>
          <w:rtl/>
        </w:rPr>
        <w:t>(וכ"פ בשו"ע)</w:t>
      </w:r>
    </w:p>
    <w:p w14:paraId="6547B1FB" w14:textId="77777777" w:rsidR="002E5BAD" w:rsidRDefault="002E5BAD" w:rsidP="002E5BAD">
      <w:pPr>
        <w:pStyle w:val="ab"/>
        <w:numPr>
          <w:ilvl w:val="0"/>
          <w:numId w:val="131"/>
        </w:numPr>
      </w:pPr>
      <w:r w:rsidRPr="00F86A82">
        <w:rPr>
          <w:rFonts w:cs="Arial"/>
          <w:rtl/>
        </w:rPr>
        <w:t>רשב"א</w:t>
      </w:r>
      <w:r w:rsidRPr="00F86A82">
        <w:rPr>
          <w:rFonts w:cs="Arial"/>
          <w:sz w:val="16"/>
          <w:szCs w:val="16"/>
          <w:rtl/>
        </w:rPr>
        <w:t xml:space="preserve"> </w:t>
      </w:r>
      <w:r>
        <w:rPr>
          <w:rFonts w:cs="Arial" w:hint="cs"/>
          <w:sz w:val="16"/>
          <w:szCs w:val="16"/>
          <w:rtl/>
        </w:rPr>
        <w:t xml:space="preserve">(כ"כ </w:t>
      </w:r>
      <w:r w:rsidRPr="00F86A82">
        <w:rPr>
          <w:rFonts w:cs="Arial"/>
          <w:sz w:val="16"/>
          <w:szCs w:val="16"/>
          <w:rtl/>
        </w:rPr>
        <w:t xml:space="preserve">הר"ן </w:t>
      </w:r>
      <w:r>
        <w:rPr>
          <w:rFonts w:cs="Arial" w:hint="cs"/>
          <w:sz w:val="16"/>
          <w:szCs w:val="16"/>
          <w:rtl/>
        </w:rPr>
        <w:t>בשמו [</w:t>
      </w:r>
      <w:r w:rsidRPr="00F86A82">
        <w:rPr>
          <w:rFonts w:cs="Arial"/>
          <w:sz w:val="16"/>
          <w:szCs w:val="16"/>
          <w:rtl/>
        </w:rPr>
        <w:t>שם סג. ד"ה מתני'</w:t>
      </w:r>
      <w:r w:rsidRPr="00F86A82">
        <w:rPr>
          <w:rFonts w:cs="Arial" w:hint="cs"/>
          <w:sz w:val="16"/>
          <w:szCs w:val="16"/>
          <w:rtl/>
        </w:rPr>
        <w:t>,</w:t>
      </w:r>
      <w:r w:rsidRPr="00F86A82">
        <w:rPr>
          <w:rFonts w:cs="Arial"/>
          <w:sz w:val="16"/>
          <w:szCs w:val="16"/>
          <w:rtl/>
        </w:rPr>
        <w:t xml:space="preserve"> ובנדרים לג: ד"ה גזירה</w:t>
      </w:r>
      <w:r>
        <w:rPr>
          <w:rFonts w:cs="Arial" w:hint="cs"/>
          <w:sz w:val="16"/>
          <w:szCs w:val="16"/>
          <w:rtl/>
        </w:rPr>
        <w:t>]</w:t>
      </w:r>
      <w:r w:rsidRPr="00F86A82">
        <w:rPr>
          <w:rFonts w:cs="Arial"/>
          <w:sz w:val="16"/>
          <w:szCs w:val="16"/>
          <w:rtl/>
        </w:rPr>
        <w:t>)</w:t>
      </w:r>
      <w:r>
        <w:rPr>
          <w:rFonts w:cs="Arial" w:hint="cs"/>
          <w:rtl/>
        </w:rPr>
        <w:t xml:space="preserve">- </w:t>
      </w:r>
      <w:r w:rsidRPr="00F86A82">
        <w:rPr>
          <w:rFonts w:cs="Arial"/>
          <w:rtl/>
        </w:rPr>
        <w:t>דוקא במפרש שמחמת מזונות שחייב לה בעלה הוא נותן לה</w:t>
      </w:r>
      <w:r>
        <w:rPr>
          <w:rFonts w:cs="Arial" w:hint="cs"/>
          <w:rtl/>
        </w:rPr>
        <w:t>,</w:t>
      </w:r>
      <w:r w:rsidRPr="00F86A82">
        <w:rPr>
          <w:rFonts w:cs="Arial"/>
          <w:rtl/>
        </w:rPr>
        <w:t xml:space="preserve"> דבכ</w:t>
      </w:r>
      <w:r>
        <w:rPr>
          <w:rFonts w:cs="Arial" w:hint="cs"/>
          <w:rtl/>
        </w:rPr>
        <w:t>ה"ג</w:t>
      </w:r>
      <w:r w:rsidRPr="00F86A82">
        <w:rPr>
          <w:rFonts w:cs="Arial"/>
          <w:rtl/>
        </w:rPr>
        <w:t xml:space="preserve"> הוה ליה כפורע חובו של חבירו שהוא פטור</w:t>
      </w:r>
      <w:r>
        <w:rPr>
          <w:rFonts w:cs="Arial" w:hint="cs"/>
          <w:rtl/>
        </w:rPr>
        <w:t>.</w:t>
      </w:r>
      <w:r w:rsidRPr="00F86A82">
        <w:rPr>
          <w:rFonts w:cs="Arial"/>
          <w:rtl/>
        </w:rPr>
        <w:t xml:space="preserve"> אבל פירנס סתם</w:t>
      </w:r>
      <w:r>
        <w:rPr>
          <w:rFonts w:cs="Arial" w:hint="cs"/>
          <w:rtl/>
        </w:rPr>
        <w:t xml:space="preserve"> -</w:t>
      </w:r>
      <w:r w:rsidRPr="00F86A82">
        <w:rPr>
          <w:rFonts w:cs="Arial"/>
          <w:rtl/>
        </w:rPr>
        <w:t xml:space="preserve"> חוזר וגובה</w:t>
      </w:r>
      <w:r>
        <w:rPr>
          <w:rStyle w:val="a7"/>
          <w:rFonts w:cs="Arial"/>
          <w:rtl/>
        </w:rPr>
        <w:footnoteReference w:id="1102"/>
      </w:r>
      <w:r>
        <w:rPr>
          <w:rFonts w:cs="Arial" w:hint="cs"/>
          <w:rtl/>
        </w:rPr>
        <w:t>,</w:t>
      </w:r>
      <w:r w:rsidRPr="00F86A82">
        <w:rPr>
          <w:rFonts w:cs="Arial"/>
          <w:rtl/>
        </w:rPr>
        <w:t xml:space="preserve"> לפי שכל המפרנס סתם אינו מפרנס אלא בתורת הלואה וה"ל כלותה ואכלה</w:t>
      </w:r>
      <w:r>
        <w:rPr>
          <w:rStyle w:val="a7"/>
          <w:rFonts w:cs="Arial"/>
          <w:rtl/>
        </w:rPr>
        <w:footnoteReference w:id="1103"/>
      </w:r>
      <w:r>
        <w:rPr>
          <w:rFonts w:cs="Arial" w:hint="cs"/>
          <w:rtl/>
        </w:rPr>
        <w:t>.</w:t>
      </w:r>
      <w:r w:rsidRPr="00F86A82">
        <w:rPr>
          <w:rFonts w:cs="Arial"/>
          <w:rtl/>
        </w:rPr>
        <w:t xml:space="preserve"> </w:t>
      </w:r>
    </w:p>
    <w:p w14:paraId="0A83CBD2" w14:textId="77777777" w:rsidR="002E5BAD" w:rsidRPr="00821590" w:rsidRDefault="002E5BAD" w:rsidP="002E5BAD">
      <w:pPr>
        <w:rPr>
          <w:rFonts w:cs="Arial"/>
          <w:rtl/>
        </w:rPr>
      </w:pPr>
      <w:r w:rsidRPr="00821590">
        <w:rPr>
          <w:rFonts w:cs="Arial" w:hint="cs"/>
          <w:b/>
          <w:bCs/>
          <w:rtl/>
        </w:rPr>
        <w:t xml:space="preserve">כתובות </w:t>
      </w:r>
      <w:r w:rsidRPr="00821590">
        <w:rPr>
          <w:rFonts w:cs="Arial" w:hint="cs"/>
          <w:b/>
          <w:bCs/>
          <w:sz w:val="16"/>
          <w:szCs w:val="16"/>
          <w:rtl/>
        </w:rPr>
        <w:t>(פ' שני דייני)</w:t>
      </w:r>
      <w:r w:rsidRPr="00821590">
        <w:rPr>
          <w:rFonts w:cs="Arial" w:hint="cs"/>
          <w:b/>
          <w:bCs/>
          <w:rtl/>
        </w:rPr>
        <w:t xml:space="preserve"> קז ע"ב:</w:t>
      </w:r>
      <w:r w:rsidRPr="00821590">
        <w:rPr>
          <w:rFonts w:cs="Arial" w:hint="cs"/>
          <w:rtl/>
        </w:rPr>
        <w:t xml:space="preserve"> </w:t>
      </w:r>
      <w:r w:rsidRPr="00821590">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sidRPr="00821590">
        <w:rPr>
          <w:rFonts w:cs="Arial" w:hint="cs"/>
          <w:rtl/>
        </w:rPr>
        <w:t>.</w:t>
      </w:r>
      <w:r w:rsidRPr="00821590">
        <w:rPr>
          <w:rFonts w:cs="Arial"/>
          <w:rtl/>
        </w:rPr>
        <w:t xml:space="preserve"> טעמא דמיאנה, הא לא מיאנה יהבינן לה! </w:t>
      </w:r>
      <w:r w:rsidRPr="00821590">
        <w:rPr>
          <w:rFonts w:cs="Arial" w:hint="cs"/>
          <w:sz w:val="16"/>
          <w:szCs w:val="16"/>
          <w:rtl/>
        </w:rPr>
        <w:t>(</w:t>
      </w:r>
      <w:r w:rsidRPr="00821590">
        <w:rPr>
          <w:rFonts w:cs="Arial"/>
          <w:sz w:val="16"/>
          <w:szCs w:val="16"/>
          <w:rtl/>
        </w:rPr>
        <w:t>וכתב הרי"ף (סג.) על זה</w:t>
      </w:r>
      <w:r w:rsidRPr="00821590">
        <w:rPr>
          <w:rFonts w:cs="Arial" w:hint="cs"/>
          <w:sz w:val="16"/>
          <w:szCs w:val="16"/>
          <w:rtl/>
        </w:rPr>
        <w:t>-</w:t>
      </w:r>
      <w:r w:rsidRPr="00821590">
        <w:rPr>
          <w:rFonts w:cs="Arial"/>
          <w:sz w:val="16"/>
          <w:szCs w:val="16"/>
          <w:rtl/>
        </w:rPr>
        <w:t xml:space="preserve"> ש"מ דהא דאמר חנן הניח מעותיו על קרן הצבי הני מילי פירנס אבל לותה ואכלה מוציאין ממנו ותו גרסינן בפרק יש מותרות (יבמות פה.) בעא מיניה רבי אלעזר מרבי יוחנן אלמנה לכהן גדול גרושה וחלוצה לכהן הדיוט יש להן מזונות או לא ואמרינן היכי דמי אי ביושבת תחתיו בעמוד והוצא קאי מזוני אית לה לא צריכא כגון שהלך בעלה למדינת הים ולותה ואכלה ש"מ דכל אשה שהלך בעלה למדינת הים ולותה ואכלה שהבעל חייב לפרוע וכן הלכתא עכ"ל</w:t>
      </w:r>
      <w:r w:rsidRPr="00821590">
        <w:rPr>
          <w:rFonts w:cs="Arial" w:hint="cs"/>
          <w:sz w:val="16"/>
          <w:szCs w:val="16"/>
          <w:rtl/>
        </w:rPr>
        <w:t>, ב"י)</w:t>
      </w:r>
    </w:p>
    <w:p w14:paraId="7D2EDE66" w14:textId="77777777" w:rsidR="002E5BAD" w:rsidRDefault="002E5BAD" w:rsidP="002E5BAD">
      <w:r w:rsidRPr="0042200F">
        <w:rPr>
          <w:rFonts w:hint="cs"/>
          <w:u w:val="single"/>
          <w:rtl/>
        </w:rPr>
        <w:t>אשה שקיבלה מזונותיה מאדם אחר</w:t>
      </w:r>
      <w:r>
        <w:rPr>
          <w:rFonts w:hint="cs"/>
          <w:u w:val="single"/>
          <w:rtl/>
        </w:rPr>
        <w:t xml:space="preserve"> </w:t>
      </w:r>
      <w:r w:rsidRPr="00821590">
        <w:rPr>
          <w:rFonts w:hint="cs"/>
          <w:b/>
          <w:bCs/>
          <w:u w:val="single"/>
          <w:rtl/>
        </w:rPr>
        <w:t>בהלואה</w:t>
      </w:r>
      <w:r>
        <w:rPr>
          <w:rFonts w:hint="cs"/>
          <w:u w:val="single"/>
          <w:rtl/>
        </w:rPr>
        <w:t>:</w:t>
      </w:r>
    </w:p>
    <w:p w14:paraId="0A16E838" w14:textId="77777777" w:rsidR="002E5BAD" w:rsidRDefault="002E5BAD" w:rsidP="002E5BAD">
      <w:pPr>
        <w:pStyle w:val="ab"/>
        <w:numPr>
          <w:ilvl w:val="0"/>
          <w:numId w:val="131"/>
        </w:numPr>
      </w:pPr>
      <w:r>
        <w:rPr>
          <w:rFonts w:hint="cs"/>
          <w:rtl/>
        </w:rPr>
        <w:t xml:space="preserve">רי"ף </w:t>
      </w:r>
      <w:r>
        <w:rPr>
          <w:rFonts w:hint="cs"/>
          <w:sz w:val="16"/>
          <w:szCs w:val="16"/>
          <w:rtl/>
        </w:rPr>
        <w:t>(סג.)</w:t>
      </w:r>
      <w:r>
        <w:rPr>
          <w:rFonts w:hint="cs"/>
          <w:rtl/>
        </w:rPr>
        <w:t xml:space="preserve"> רא"ש </w:t>
      </w:r>
      <w:r>
        <w:rPr>
          <w:rFonts w:hint="cs"/>
          <w:sz w:val="16"/>
          <w:szCs w:val="16"/>
          <w:rtl/>
        </w:rPr>
        <w:t>(פי"ג סי' ה)</w:t>
      </w:r>
      <w:r>
        <w:rPr>
          <w:rFonts w:hint="cs"/>
          <w:rtl/>
        </w:rPr>
        <w:t xml:space="preserve"> וטור- </w:t>
      </w:r>
      <w:r w:rsidRPr="00C6165E">
        <w:rPr>
          <w:rFonts w:cs="Arial"/>
          <w:rtl/>
        </w:rPr>
        <w:t xml:space="preserve">אבל אם לותה בעדים </w:t>
      </w:r>
      <w:r>
        <w:rPr>
          <w:rFonts w:cs="Arial" w:hint="cs"/>
          <w:rtl/>
        </w:rPr>
        <w:t xml:space="preserve">- </w:t>
      </w:r>
      <w:r w:rsidRPr="00C6165E">
        <w:rPr>
          <w:rFonts w:cs="Arial"/>
          <w:rtl/>
        </w:rPr>
        <w:t>חייב לשלם לזה שלותה ממנו</w:t>
      </w:r>
      <w:r>
        <w:rPr>
          <w:rFonts w:cs="Arial" w:hint="cs"/>
          <w:sz w:val="16"/>
          <w:szCs w:val="16"/>
          <w:rtl/>
        </w:rPr>
        <w:t xml:space="preserve"> (ל' הטור)</w:t>
      </w:r>
      <w:r>
        <w:rPr>
          <w:rFonts w:cs="Arial" w:hint="cs"/>
          <w:rtl/>
        </w:rPr>
        <w:t>.</w:t>
      </w:r>
      <w:r w:rsidRPr="00C6165E">
        <w:rPr>
          <w:rFonts w:cs="Arial"/>
          <w:rtl/>
        </w:rPr>
        <w:t xml:space="preserve"> </w:t>
      </w:r>
      <w:r w:rsidRPr="003F4FC9">
        <w:rPr>
          <w:rFonts w:hint="cs"/>
          <w:color w:val="E36C0A" w:themeColor="accent6" w:themeShade="BF"/>
          <w:rtl/>
        </w:rPr>
        <w:t>(וכ"פ בשו"ע)</w:t>
      </w:r>
    </w:p>
    <w:p w14:paraId="2BD754E2" w14:textId="77777777" w:rsidR="002E5BAD" w:rsidRPr="000E0921" w:rsidRDefault="002E5BAD" w:rsidP="002E5BAD">
      <w:pPr>
        <w:ind w:left="360"/>
        <w:rPr>
          <w:u w:val="dotted"/>
        </w:rPr>
      </w:pPr>
      <w:r w:rsidRPr="0042200F">
        <w:rPr>
          <w:rFonts w:hint="cs"/>
          <w:u w:val="dotted"/>
          <w:rtl/>
        </w:rPr>
        <w:t>האם מדובר שלותה אחרי שפסקו לה ב</w:t>
      </w:r>
      <w:r>
        <w:rPr>
          <w:rFonts w:hint="cs"/>
          <w:u w:val="dotted"/>
          <w:rtl/>
        </w:rPr>
        <w:t>"</w:t>
      </w:r>
      <w:r w:rsidRPr="0042200F">
        <w:rPr>
          <w:rFonts w:hint="cs"/>
          <w:u w:val="dotted"/>
          <w:rtl/>
        </w:rPr>
        <w:t>ד או אף בלא פסיקת ב"ד</w:t>
      </w:r>
      <w:r>
        <w:rPr>
          <w:rFonts w:hint="cs"/>
          <w:u w:val="dotted"/>
          <w:rtl/>
        </w:rPr>
        <w:t>:</w:t>
      </w:r>
    </w:p>
    <w:p w14:paraId="7EE01FD7" w14:textId="77777777" w:rsidR="002E5BAD" w:rsidRPr="00821590" w:rsidRDefault="002E5BAD" w:rsidP="002E5BAD">
      <w:pPr>
        <w:pStyle w:val="ab"/>
        <w:numPr>
          <w:ilvl w:val="0"/>
          <w:numId w:val="131"/>
        </w:numPr>
      </w:pPr>
      <w:r w:rsidRPr="00821590">
        <w:rPr>
          <w:rFonts w:cs="Arial"/>
          <w:rtl/>
        </w:rPr>
        <w:lastRenderedPageBreak/>
        <w:t>תוס</w:t>
      </w:r>
      <w:r>
        <w:rPr>
          <w:rFonts w:cs="Arial" w:hint="cs"/>
          <w:rtl/>
        </w:rPr>
        <w:t>'</w:t>
      </w:r>
      <w:r w:rsidRPr="00821590">
        <w:rPr>
          <w:rFonts w:cs="Arial"/>
          <w:rtl/>
        </w:rPr>
        <w:t xml:space="preserve"> </w:t>
      </w:r>
      <w:r w:rsidRPr="00821590">
        <w:rPr>
          <w:rFonts w:cs="Arial"/>
          <w:sz w:val="16"/>
          <w:szCs w:val="16"/>
          <w:rtl/>
        </w:rPr>
        <w:t>(קז. ד"ה ואם בא ואמר לה</w:t>
      </w:r>
      <w:r>
        <w:rPr>
          <w:rFonts w:cs="Arial" w:hint="cs"/>
          <w:sz w:val="16"/>
          <w:szCs w:val="16"/>
          <w:rtl/>
        </w:rPr>
        <w:t>, כ"כ הרא"ש בשמם וכ"כ הטור בשם ר"י</w:t>
      </w:r>
      <w:r w:rsidRPr="00821590">
        <w:rPr>
          <w:rFonts w:cs="Arial"/>
          <w:sz w:val="16"/>
          <w:szCs w:val="16"/>
          <w:rtl/>
        </w:rPr>
        <w:t>)</w:t>
      </w:r>
      <w:r>
        <w:rPr>
          <w:rFonts w:cs="Arial" w:hint="cs"/>
          <w:rtl/>
        </w:rPr>
        <w:t>-</w:t>
      </w:r>
      <w:r w:rsidRPr="000E0921">
        <w:rPr>
          <w:rFonts w:cs="Arial"/>
          <w:rtl/>
        </w:rPr>
        <w:t xml:space="preserve"> </w:t>
      </w:r>
      <w:r w:rsidRPr="00C6165E">
        <w:rPr>
          <w:rFonts w:cs="Arial"/>
          <w:rtl/>
        </w:rPr>
        <w:t>דוקא שלותה אחר שפסקו לה ב"ד</w:t>
      </w:r>
      <w:r>
        <w:rPr>
          <w:rFonts w:cs="Arial" w:hint="cs"/>
          <w:rtl/>
        </w:rPr>
        <w:t>,</w:t>
      </w:r>
      <w:r w:rsidRPr="00C6165E">
        <w:rPr>
          <w:rFonts w:cs="Arial"/>
          <w:rtl/>
        </w:rPr>
        <w:t xml:space="preserve"> אבל אם לותה קודם שפסקו לה ב"ד </w:t>
      </w:r>
      <w:r>
        <w:rPr>
          <w:rFonts w:cs="Arial" w:hint="cs"/>
          <w:rtl/>
        </w:rPr>
        <w:t xml:space="preserve">- </w:t>
      </w:r>
      <w:r w:rsidRPr="00C6165E">
        <w:rPr>
          <w:rFonts w:cs="Arial"/>
          <w:rtl/>
        </w:rPr>
        <w:t>אם ירצה לא ישלם</w:t>
      </w:r>
      <w:r>
        <w:rPr>
          <w:rFonts w:cs="Arial" w:hint="cs"/>
          <w:rtl/>
        </w:rPr>
        <w:t>,</w:t>
      </w:r>
      <w:r w:rsidRPr="00C6165E">
        <w:rPr>
          <w:rFonts w:cs="Arial"/>
          <w:rtl/>
        </w:rPr>
        <w:t xml:space="preserve"> כי יאמר </w:t>
      </w:r>
      <w:r>
        <w:rPr>
          <w:rFonts w:cs="Arial" w:hint="cs"/>
          <w:rtl/>
        </w:rPr>
        <w:t>'</w:t>
      </w:r>
      <w:r w:rsidRPr="00C6165E">
        <w:rPr>
          <w:rFonts w:cs="Arial"/>
          <w:rtl/>
        </w:rPr>
        <w:t>היה לה להתפרנס ממעשה ידיה</w:t>
      </w:r>
      <w:r>
        <w:rPr>
          <w:rFonts w:cs="Arial" w:hint="cs"/>
          <w:rtl/>
        </w:rPr>
        <w:t>'</w:t>
      </w:r>
      <w:r>
        <w:rPr>
          <w:rStyle w:val="a7"/>
          <w:rFonts w:cs="Arial"/>
          <w:rtl/>
        </w:rPr>
        <w:footnoteReference w:id="1104"/>
      </w:r>
      <w:r>
        <w:rPr>
          <w:rFonts w:cs="Arial" w:hint="cs"/>
          <w:rtl/>
        </w:rPr>
        <w:t>.</w:t>
      </w:r>
    </w:p>
    <w:p w14:paraId="77326EB7" w14:textId="77777777" w:rsidR="002E5BAD" w:rsidRPr="009D210E" w:rsidRDefault="002E5BAD" w:rsidP="002E5BAD">
      <w:pPr>
        <w:pStyle w:val="ab"/>
        <w:numPr>
          <w:ilvl w:val="0"/>
          <w:numId w:val="131"/>
        </w:numPr>
      </w:pPr>
      <w:r w:rsidRPr="00821590">
        <w:rPr>
          <w:rFonts w:cs="Arial"/>
          <w:rtl/>
        </w:rPr>
        <w:t xml:space="preserve">רא"ש </w:t>
      </w:r>
      <w:r w:rsidRPr="000E0921">
        <w:rPr>
          <w:rFonts w:cs="Arial"/>
          <w:sz w:val="16"/>
          <w:szCs w:val="16"/>
          <w:rtl/>
        </w:rPr>
        <w:t>(פי"ג סי' ה)</w:t>
      </w:r>
      <w:r>
        <w:rPr>
          <w:rFonts w:cs="Arial" w:hint="cs"/>
          <w:rtl/>
        </w:rPr>
        <w:t xml:space="preserve">- </w:t>
      </w:r>
      <w:r>
        <w:rPr>
          <w:rStyle w:val="a7"/>
          <w:rFonts w:cs="Arial"/>
          <w:rtl/>
        </w:rPr>
        <w:footnoteReference w:id="1105"/>
      </w:r>
      <w:r w:rsidRPr="00821590">
        <w:rPr>
          <w:rFonts w:cs="Arial"/>
          <w:rtl/>
        </w:rPr>
        <w:t xml:space="preserve">אם לוותה בעדים אף בלא פסק דין חייב לפרוע ומוציא מן הבעל מה שהלוה לו מדרבי נתן. </w:t>
      </w:r>
    </w:p>
    <w:p w14:paraId="64CE6D2C" w14:textId="77777777" w:rsidR="002E5BAD" w:rsidRPr="009D210E" w:rsidRDefault="002E5BAD" w:rsidP="002E5BAD">
      <w:pPr>
        <w:ind w:left="360"/>
        <w:rPr>
          <w:u w:val="dotted"/>
        </w:rPr>
      </w:pPr>
      <w:r w:rsidRPr="009D210E">
        <w:rPr>
          <w:rFonts w:hint="cs"/>
          <w:u w:val="dotted"/>
          <w:rtl/>
        </w:rPr>
        <w:t xml:space="preserve">כשבא הבעל חוב לגבות חובו </w:t>
      </w:r>
      <w:r w:rsidRPr="009D210E">
        <w:rPr>
          <w:u w:val="dotted"/>
          <w:rtl/>
        </w:rPr>
        <w:t>–</w:t>
      </w:r>
      <w:r w:rsidRPr="009D210E">
        <w:rPr>
          <w:rFonts w:hint="cs"/>
          <w:u w:val="dotted"/>
          <w:rtl/>
        </w:rPr>
        <w:t xml:space="preserve"> את מי הוא תובע:</w:t>
      </w:r>
    </w:p>
    <w:p w14:paraId="5E3F1337" w14:textId="77777777" w:rsidR="002E5BAD" w:rsidRPr="009D210E" w:rsidRDefault="002E5BAD" w:rsidP="002E5BAD">
      <w:pPr>
        <w:pStyle w:val="ab"/>
        <w:numPr>
          <w:ilvl w:val="0"/>
          <w:numId w:val="131"/>
        </w:numPr>
      </w:pPr>
      <w:r>
        <w:rPr>
          <w:rFonts w:cs="Arial" w:hint="cs"/>
          <w:rtl/>
        </w:rPr>
        <w:t xml:space="preserve">רש"י </w:t>
      </w:r>
      <w:r w:rsidRPr="009D210E">
        <w:rPr>
          <w:rFonts w:cs="Arial" w:hint="cs"/>
          <w:sz w:val="16"/>
          <w:szCs w:val="16"/>
          <w:rtl/>
        </w:rPr>
        <w:t>(</w:t>
      </w:r>
      <w:r>
        <w:rPr>
          <w:rFonts w:cs="Arial" w:hint="cs"/>
          <w:sz w:val="16"/>
          <w:szCs w:val="16"/>
          <w:rtl/>
        </w:rPr>
        <w:t xml:space="preserve">קז: ד"ה חנן אומר, הביאו </w:t>
      </w:r>
      <w:r w:rsidRPr="009D210E">
        <w:rPr>
          <w:rFonts w:cs="Arial"/>
          <w:sz w:val="16"/>
          <w:szCs w:val="16"/>
          <w:rtl/>
        </w:rPr>
        <w:t xml:space="preserve">הר"ן </w:t>
      </w:r>
      <w:r w:rsidRPr="009D210E">
        <w:rPr>
          <w:rFonts w:cs="Arial" w:hint="cs"/>
          <w:sz w:val="16"/>
          <w:szCs w:val="16"/>
          <w:rtl/>
        </w:rPr>
        <w:t>בשמו [</w:t>
      </w:r>
      <w:r w:rsidRPr="009D210E">
        <w:rPr>
          <w:rFonts w:cs="Arial"/>
          <w:sz w:val="16"/>
          <w:szCs w:val="16"/>
          <w:rtl/>
        </w:rPr>
        <w:t>סג. ד"ה מתני'</w:t>
      </w:r>
      <w:r w:rsidRPr="009D210E">
        <w:rPr>
          <w:rFonts w:cs="Arial" w:hint="cs"/>
          <w:sz w:val="16"/>
          <w:szCs w:val="16"/>
          <w:rtl/>
        </w:rPr>
        <w:t>]</w:t>
      </w:r>
      <w:r w:rsidRPr="009D210E">
        <w:rPr>
          <w:rFonts w:cs="Arial"/>
          <w:sz w:val="16"/>
          <w:szCs w:val="16"/>
          <w:rtl/>
        </w:rPr>
        <w:t>)</w:t>
      </w:r>
      <w:r>
        <w:rPr>
          <w:rFonts w:cs="Arial" w:hint="cs"/>
          <w:rtl/>
        </w:rPr>
        <w:t>-</w:t>
      </w:r>
      <w:r w:rsidRPr="009D210E">
        <w:rPr>
          <w:rFonts w:cs="Arial"/>
          <w:rtl/>
        </w:rPr>
        <w:t xml:space="preserve"> אם הלוה את האשה מעות למזונותיה על מנת שתשלם לו הוא תובעה והיא תובעת הבעל וישלם</w:t>
      </w:r>
      <w:r>
        <w:rPr>
          <w:rFonts w:cs="Arial" w:hint="cs"/>
          <w:rtl/>
        </w:rPr>
        <w:t>.</w:t>
      </w:r>
      <w:r w:rsidRPr="00DB7826">
        <w:rPr>
          <w:rFonts w:hint="cs"/>
          <w:color w:val="00B0F0"/>
          <w:rtl/>
        </w:rPr>
        <w:t xml:space="preserve"> (וכ"פ הרמ"א)</w:t>
      </w:r>
    </w:p>
    <w:p w14:paraId="34D103D7" w14:textId="77777777" w:rsidR="002E5BAD" w:rsidRPr="002457A1" w:rsidRDefault="002E5BAD" w:rsidP="002E5BAD">
      <w:pPr>
        <w:pStyle w:val="ab"/>
        <w:numPr>
          <w:ilvl w:val="0"/>
          <w:numId w:val="131"/>
        </w:numPr>
      </w:pPr>
      <w:r w:rsidRPr="009D210E">
        <w:rPr>
          <w:rFonts w:cs="Arial"/>
          <w:rtl/>
        </w:rPr>
        <w:t xml:space="preserve">רא"ה </w:t>
      </w:r>
      <w:r w:rsidRPr="009D210E">
        <w:rPr>
          <w:rFonts w:cs="Arial" w:hint="cs"/>
          <w:sz w:val="16"/>
          <w:szCs w:val="16"/>
          <w:rtl/>
        </w:rPr>
        <w:t xml:space="preserve">(כ"כ </w:t>
      </w:r>
      <w:r w:rsidRPr="009D210E">
        <w:rPr>
          <w:rFonts w:cs="Arial"/>
          <w:sz w:val="16"/>
          <w:szCs w:val="16"/>
          <w:rtl/>
        </w:rPr>
        <w:t xml:space="preserve">הר"ן </w:t>
      </w:r>
      <w:r w:rsidRPr="009D210E">
        <w:rPr>
          <w:rFonts w:cs="Arial" w:hint="cs"/>
          <w:sz w:val="16"/>
          <w:szCs w:val="16"/>
          <w:rtl/>
        </w:rPr>
        <w:t>בשמו [</w:t>
      </w:r>
      <w:r w:rsidRPr="009D210E">
        <w:rPr>
          <w:rFonts w:cs="Arial"/>
          <w:sz w:val="16"/>
          <w:szCs w:val="16"/>
          <w:rtl/>
        </w:rPr>
        <w:t>סג. ד"ה מתני'</w:t>
      </w:r>
      <w:r w:rsidRPr="009D210E">
        <w:rPr>
          <w:rFonts w:cs="Arial" w:hint="cs"/>
          <w:sz w:val="16"/>
          <w:szCs w:val="16"/>
          <w:rtl/>
        </w:rPr>
        <w:t>]</w:t>
      </w:r>
      <w:r w:rsidRPr="009D210E">
        <w:rPr>
          <w:rFonts w:cs="Arial"/>
          <w:sz w:val="16"/>
          <w:szCs w:val="16"/>
          <w:rtl/>
        </w:rPr>
        <w:t>)</w:t>
      </w:r>
      <w:r>
        <w:rPr>
          <w:rFonts w:cs="Arial" w:hint="cs"/>
          <w:rtl/>
        </w:rPr>
        <w:t>-</w:t>
      </w:r>
      <w:r w:rsidRPr="009D210E">
        <w:rPr>
          <w:rFonts w:cs="Arial"/>
          <w:rtl/>
        </w:rPr>
        <w:t xml:space="preserve"> עיקר חיובו של מלוה על הבעל הוא</w:t>
      </w:r>
      <w:r>
        <w:rPr>
          <w:rFonts w:cs="Arial" w:hint="cs"/>
          <w:rtl/>
        </w:rPr>
        <w:t>,</w:t>
      </w:r>
      <w:r w:rsidRPr="009D210E">
        <w:rPr>
          <w:rFonts w:cs="Arial"/>
          <w:rtl/>
        </w:rPr>
        <w:t xml:space="preserve"> ומיהו היכא דלית ליה לבעל היא חייבת שאף היא נשתעבדה לו</w:t>
      </w:r>
      <w:r>
        <w:rPr>
          <w:rStyle w:val="a7"/>
          <w:rFonts w:cs="Arial"/>
          <w:rtl/>
        </w:rPr>
        <w:footnoteReference w:id="1106"/>
      </w:r>
      <w:r w:rsidRPr="004C175D">
        <w:rPr>
          <w:rFonts w:cs="Arial" w:hint="cs"/>
          <w:rtl/>
        </w:rPr>
        <w:t>.</w:t>
      </w:r>
    </w:p>
    <w:p w14:paraId="518D274C" w14:textId="77777777" w:rsidR="002E5BAD" w:rsidRPr="00520DDF" w:rsidRDefault="002E5BAD" w:rsidP="002E5BAD">
      <w:pPr>
        <w:ind w:left="720"/>
        <w:rPr>
          <w:u w:val="wave"/>
        </w:rPr>
      </w:pPr>
      <w:r w:rsidRPr="00520DDF">
        <w:rPr>
          <w:rFonts w:hint="cs"/>
          <w:u w:val="wave"/>
          <w:rtl/>
        </w:rPr>
        <w:t>ומה הדין אם האשה מחלה לבעלה על החוב:</w:t>
      </w:r>
    </w:p>
    <w:p w14:paraId="2F29606F" w14:textId="77777777" w:rsidR="002E5BAD" w:rsidRDefault="002E5BAD" w:rsidP="002E5BAD">
      <w:pPr>
        <w:pStyle w:val="ab"/>
        <w:numPr>
          <w:ilvl w:val="0"/>
          <w:numId w:val="131"/>
        </w:numPr>
      </w:pPr>
      <w:r w:rsidRPr="00B12054">
        <w:rPr>
          <w:rFonts w:cs="Arial"/>
          <w:rtl/>
        </w:rPr>
        <w:t xml:space="preserve">מרדכי </w:t>
      </w:r>
      <w:r w:rsidRPr="004C175D">
        <w:rPr>
          <w:rFonts w:cs="Arial" w:hint="cs"/>
          <w:sz w:val="16"/>
          <w:szCs w:val="16"/>
          <w:rtl/>
        </w:rPr>
        <w:t>(</w:t>
      </w:r>
      <w:r w:rsidRPr="004C175D">
        <w:rPr>
          <w:rFonts w:cs="Arial"/>
          <w:sz w:val="16"/>
          <w:szCs w:val="16"/>
          <w:rtl/>
        </w:rPr>
        <w:t>ס</w:t>
      </w:r>
      <w:r w:rsidRPr="004C175D">
        <w:rPr>
          <w:rFonts w:cs="Arial" w:hint="cs"/>
          <w:sz w:val="16"/>
          <w:szCs w:val="16"/>
          <w:rtl/>
        </w:rPr>
        <w:t>"</w:t>
      </w:r>
      <w:r w:rsidRPr="004C175D">
        <w:rPr>
          <w:rFonts w:cs="Arial"/>
          <w:sz w:val="16"/>
          <w:szCs w:val="16"/>
          <w:rtl/>
        </w:rPr>
        <w:t>פ יש נוחלין ב"ב סי' תקצו)</w:t>
      </w:r>
      <w:r>
        <w:rPr>
          <w:rFonts w:cs="Arial" w:hint="cs"/>
          <w:rtl/>
        </w:rPr>
        <w:t>-</w:t>
      </w:r>
      <w:r w:rsidRPr="00B12054">
        <w:rPr>
          <w:rFonts w:cs="Arial"/>
          <w:rtl/>
        </w:rPr>
        <w:t xml:space="preserve"> אף לדברי רבי נתן אם מחלה האשה לבעל </w:t>
      </w:r>
      <w:r>
        <w:rPr>
          <w:rFonts w:cs="Arial" w:hint="cs"/>
          <w:rtl/>
        </w:rPr>
        <w:t xml:space="preserve">- </w:t>
      </w:r>
      <w:r w:rsidRPr="00B12054">
        <w:rPr>
          <w:rFonts w:cs="Arial"/>
          <w:rtl/>
        </w:rPr>
        <w:t>אין למלוה כלום.</w:t>
      </w:r>
      <w:r>
        <w:rPr>
          <w:rFonts w:hint="cs"/>
          <w:rtl/>
        </w:rPr>
        <w:t xml:space="preserve"> </w:t>
      </w:r>
      <w:r w:rsidRPr="00DB7826">
        <w:rPr>
          <w:rFonts w:hint="cs"/>
          <w:color w:val="00B0F0"/>
          <w:rtl/>
        </w:rPr>
        <w:t>(וכ"פ הרמ"א)</w:t>
      </w:r>
    </w:p>
    <w:p w14:paraId="61654349" w14:textId="77777777" w:rsidR="002E5BAD" w:rsidRPr="00C57942" w:rsidRDefault="002E5BAD" w:rsidP="002E5BAD">
      <w:pPr>
        <w:ind w:left="360"/>
        <w:rPr>
          <w:u w:val="dotted"/>
        </w:rPr>
      </w:pPr>
      <w:r w:rsidRPr="00C57942">
        <w:rPr>
          <w:rFonts w:hint="cs"/>
          <w:u w:val="dotted"/>
          <w:rtl/>
        </w:rPr>
        <w:t>האם צריכה לומר בשעת ההלואה שלשם מזונותיה היא לוה:</w:t>
      </w:r>
    </w:p>
    <w:p w14:paraId="04D333DF" w14:textId="77777777" w:rsidR="002E5BAD" w:rsidRDefault="002E5BAD" w:rsidP="002E5BAD">
      <w:pPr>
        <w:pStyle w:val="ab"/>
        <w:numPr>
          <w:ilvl w:val="0"/>
          <w:numId w:val="131"/>
        </w:numPr>
      </w:pPr>
      <w:r w:rsidRPr="003760A7">
        <w:rPr>
          <w:rFonts w:cs="Arial"/>
          <w:rtl/>
        </w:rPr>
        <w:t xml:space="preserve">בעל התרומות </w:t>
      </w:r>
      <w:r w:rsidRPr="003760A7">
        <w:rPr>
          <w:rFonts w:cs="Arial" w:hint="cs"/>
          <w:sz w:val="16"/>
          <w:szCs w:val="16"/>
          <w:rtl/>
        </w:rPr>
        <w:t>(</w:t>
      </w:r>
      <w:r w:rsidRPr="003760A7">
        <w:rPr>
          <w:rFonts w:cs="Arial"/>
          <w:sz w:val="16"/>
          <w:szCs w:val="16"/>
          <w:rtl/>
        </w:rPr>
        <w:t>שער סה ח"א או</w:t>
      </w:r>
      <w:r>
        <w:rPr>
          <w:rFonts w:cs="Arial" w:hint="cs"/>
          <w:sz w:val="16"/>
          <w:szCs w:val="16"/>
          <w:rtl/>
        </w:rPr>
        <w:t>ת</w:t>
      </w:r>
      <w:r w:rsidRPr="003760A7">
        <w:rPr>
          <w:rFonts w:cs="Arial"/>
          <w:sz w:val="16"/>
          <w:szCs w:val="16"/>
          <w:rtl/>
        </w:rPr>
        <w:t xml:space="preserve"> ד</w:t>
      </w:r>
      <w:r>
        <w:rPr>
          <w:rFonts w:cs="Arial" w:hint="cs"/>
          <w:sz w:val="16"/>
          <w:szCs w:val="16"/>
          <w:rtl/>
        </w:rPr>
        <w:t xml:space="preserve">) </w:t>
      </w:r>
      <w:r w:rsidRPr="00640321">
        <w:rPr>
          <w:rFonts w:cs="Arial" w:hint="cs"/>
          <w:rtl/>
        </w:rPr>
        <w:t>בשם ר</w:t>
      </w:r>
      <w:r>
        <w:rPr>
          <w:rFonts w:cs="Arial" w:hint="cs"/>
          <w:rtl/>
        </w:rPr>
        <w:t>בי</w:t>
      </w:r>
      <w:r w:rsidRPr="00640321">
        <w:rPr>
          <w:rFonts w:cs="Arial" w:hint="cs"/>
          <w:rtl/>
        </w:rPr>
        <w:t xml:space="preserve"> יצחק</w:t>
      </w:r>
      <w:r>
        <w:rPr>
          <w:rFonts w:cs="Arial" w:hint="cs"/>
          <w:rtl/>
        </w:rPr>
        <w:t>-</w:t>
      </w:r>
      <w:r w:rsidRPr="003760A7">
        <w:rPr>
          <w:rFonts w:cs="Arial"/>
          <w:rtl/>
        </w:rPr>
        <w:t xml:space="preserve"> ומסתברא דכיון דהאשה לקחה המעות בתורת הלואה מבעל המעות אע</w:t>
      </w:r>
      <w:r>
        <w:rPr>
          <w:rFonts w:cs="Arial" w:hint="cs"/>
          <w:rtl/>
        </w:rPr>
        <w:t>"</w:t>
      </w:r>
      <w:r w:rsidRPr="003760A7">
        <w:rPr>
          <w:rFonts w:cs="Arial"/>
          <w:rtl/>
        </w:rPr>
        <w:t xml:space="preserve">פ שלא אמרה בפני העדים בפירוש </w:t>
      </w:r>
      <w:r w:rsidRPr="003760A7">
        <w:rPr>
          <w:rFonts w:cs="Arial" w:hint="cs"/>
          <w:rtl/>
        </w:rPr>
        <w:t>'</w:t>
      </w:r>
      <w:r w:rsidRPr="003760A7">
        <w:rPr>
          <w:rFonts w:cs="Arial"/>
          <w:rtl/>
        </w:rPr>
        <w:t>למזונות אני לוה</w:t>
      </w:r>
      <w:r w:rsidRPr="003760A7">
        <w:rPr>
          <w:rFonts w:cs="Arial" w:hint="cs"/>
          <w:rtl/>
        </w:rPr>
        <w:t>'</w:t>
      </w:r>
      <w:r w:rsidRPr="003760A7">
        <w:rPr>
          <w:rFonts w:cs="Arial"/>
          <w:rtl/>
        </w:rPr>
        <w:t xml:space="preserve"> ואף לא אמר המלוה </w:t>
      </w:r>
      <w:r w:rsidRPr="003760A7">
        <w:rPr>
          <w:rFonts w:cs="Arial" w:hint="cs"/>
          <w:rtl/>
        </w:rPr>
        <w:t>'</w:t>
      </w:r>
      <w:r w:rsidRPr="003760A7">
        <w:rPr>
          <w:rFonts w:cs="Arial"/>
          <w:rtl/>
        </w:rPr>
        <w:t>למזונותיה אני מלוה לה</w:t>
      </w:r>
      <w:r w:rsidRPr="003760A7">
        <w:rPr>
          <w:rFonts w:cs="Arial" w:hint="cs"/>
          <w:rtl/>
        </w:rPr>
        <w:t>'</w:t>
      </w:r>
      <w:r w:rsidRPr="003760A7">
        <w:rPr>
          <w:rFonts w:cs="Arial"/>
          <w:rtl/>
        </w:rPr>
        <w:t xml:space="preserve"> כיון דבשעת תביעה הודית היא דלמזונותיה לותה והוא מודה דלא הניח לה מזונות </w:t>
      </w:r>
      <w:r w:rsidRPr="003760A7">
        <w:rPr>
          <w:rFonts w:cs="Arial" w:hint="cs"/>
          <w:rtl/>
        </w:rPr>
        <w:t xml:space="preserve">- </w:t>
      </w:r>
      <w:r w:rsidRPr="003760A7">
        <w:rPr>
          <w:rFonts w:cs="Arial"/>
          <w:rtl/>
        </w:rPr>
        <w:t xml:space="preserve">הרי זה נפרע ממנו דהא לא תנן אלא </w:t>
      </w:r>
      <w:r w:rsidRPr="003760A7">
        <w:rPr>
          <w:rFonts w:cs="Arial" w:hint="cs"/>
          <w:rtl/>
        </w:rPr>
        <w:t>'</w:t>
      </w:r>
      <w:r w:rsidRPr="003760A7">
        <w:rPr>
          <w:rFonts w:cs="Arial"/>
          <w:rtl/>
        </w:rPr>
        <w:t>לותה ואכלה</w:t>
      </w:r>
      <w:r w:rsidRPr="003760A7">
        <w:rPr>
          <w:rFonts w:cs="Arial" w:hint="cs"/>
          <w:rtl/>
        </w:rPr>
        <w:t>'</w:t>
      </w:r>
      <w:r w:rsidRPr="003760A7">
        <w:rPr>
          <w:rFonts w:cs="Arial"/>
          <w:rtl/>
        </w:rPr>
        <w:t xml:space="preserve">. </w:t>
      </w:r>
    </w:p>
    <w:p w14:paraId="35799827" w14:textId="77777777" w:rsidR="002E5BAD" w:rsidRPr="00553A29" w:rsidRDefault="002E5BAD" w:rsidP="002E5BAD">
      <w:pPr>
        <w:ind w:left="360"/>
        <w:rPr>
          <w:u w:val="dotted"/>
        </w:rPr>
      </w:pPr>
      <w:r w:rsidRPr="00553A29">
        <w:rPr>
          <w:rFonts w:hint="cs"/>
          <w:u w:val="dotted"/>
          <w:rtl/>
        </w:rPr>
        <w:t>מה הדין אם לותה בפני בעלה או שצוה שלא להלוותה:</w:t>
      </w:r>
    </w:p>
    <w:p w14:paraId="14CED51B" w14:textId="77777777" w:rsidR="002E5BAD" w:rsidRPr="00E33410" w:rsidRDefault="002E5BAD" w:rsidP="002E5BAD">
      <w:pPr>
        <w:pStyle w:val="ab"/>
        <w:numPr>
          <w:ilvl w:val="0"/>
          <w:numId w:val="131"/>
        </w:numPr>
      </w:pPr>
      <w:r>
        <w:rPr>
          <w:rFonts w:cs="Arial" w:hint="cs"/>
          <w:rtl/>
        </w:rPr>
        <w:t xml:space="preserve">רבי יצחק </w:t>
      </w:r>
      <w:r w:rsidRPr="00640321">
        <w:rPr>
          <w:rFonts w:cs="Arial" w:hint="cs"/>
          <w:sz w:val="16"/>
          <w:szCs w:val="16"/>
          <w:rtl/>
        </w:rPr>
        <w:t>(</w:t>
      </w:r>
      <w:r>
        <w:rPr>
          <w:rFonts w:cs="Arial" w:hint="cs"/>
          <w:sz w:val="16"/>
          <w:szCs w:val="16"/>
          <w:rtl/>
        </w:rPr>
        <w:t xml:space="preserve">הביאו </w:t>
      </w:r>
      <w:r w:rsidRPr="00640321">
        <w:rPr>
          <w:rFonts w:cs="Arial"/>
          <w:sz w:val="16"/>
          <w:szCs w:val="16"/>
          <w:rtl/>
        </w:rPr>
        <w:t xml:space="preserve">בעל התרומות </w:t>
      </w:r>
      <w:r>
        <w:rPr>
          <w:rFonts w:cs="Arial" w:hint="cs"/>
          <w:sz w:val="16"/>
          <w:szCs w:val="16"/>
          <w:rtl/>
        </w:rPr>
        <w:t>[</w:t>
      </w:r>
      <w:r w:rsidRPr="003760A7">
        <w:rPr>
          <w:rFonts w:cs="Arial"/>
          <w:sz w:val="16"/>
          <w:szCs w:val="16"/>
          <w:rtl/>
        </w:rPr>
        <w:t>שער סה ח"א אות ו</w:t>
      </w:r>
      <w:r>
        <w:rPr>
          <w:rFonts w:cs="Arial" w:hint="cs"/>
          <w:sz w:val="16"/>
          <w:szCs w:val="16"/>
          <w:rtl/>
        </w:rPr>
        <w:t>]</w:t>
      </w:r>
      <w:r w:rsidRPr="003760A7">
        <w:rPr>
          <w:rFonts w:cs="Arial"/>
          <w:sz w:val="16"/>
          <w:szCs w:val="16"/>
          <w:rtl/>
        </w:rPr>
        <w:t>)</w:t>
      </w:r>
      <w:r>
        <w:rPr>
          <w:rFonts w:cs="Arial" w:hint="cs"/>
          <w:rtl/>
        </w:rPr>
        <w:t>-</w:t>
      </w:r>
      <w:r w:rsidRPr="003760A7">
        <w:rPr>
          <w:rFonts w:cs="Arial"/>
          <w:rtl/>
        </w:rPr>
        <w:t xml:space="preserve"> מצאתי בתשובה לרבני צרפת והני מילי בלותה שלא בפניו</w:t>
      </w:r>
      <w:r>
        <w:rPr>
          <w:rFonts w:cs="Arial" w:hint="cs"/>
          <w:rtl/>
        </w:rPr>
        <w:t>,</w:t>
      </w:r>
      <w:r w:rsidRPr="003760A7">
        <w:rPr>
          <w:rFonts w:cs="Arial"/>
          <w:rtl/>
        </w:rPr>
        <w:t xml:space="preserve"> אבל לותה בפניו</w:t>
      </w:r>
      <w:r>
        <w:rPr>
          <w:rFonts w:cs="Arial" w:hint="cs"/>
          <w:rtl/>
        </w:rPr>
        <w:t>,</w:t>
      </w:r>
      <w:r w:rsidRPr="003760A7">
        <w:rPr>
          <w:rFonts w:cs="Arial"/>
          <w:rtl/>
        </w:rPr>
        <w:t xml:space="preserve"> כגון שהיה עמה בכעס וגירשה מביתו ועמדה ולותה בפני בעלה</w:t>
      </w:r>
      <w:r>
        <w:rPr>
          <w:rFonts w:cs="Arial" w:hint="cs"/>
          <w:rtl/>
        </w:rPr>
        <w:t>,</w:t>
      </w:r>
      <w:r w:rsidRPr="003760A7">
        <w:rPr>
          <w:rFonts w:cs="Arial"/>
          <w:rtl/>
        </w:rPr>
        <w:t xml:space="preserve"> הואיל ולא זימנתו לדין </w:t>
      </w:r>
      <w:r>
        <w:rPr>
          <w:rFonts w:cs="Arial" w:hint="cs"/>
          <w:rtl/>
        </w:rPr>
        <w:t xml:space="preserve">- </w:t>
      </w:r>
      <w:r w:rsidRPr="003760A7">
        <w:rPr>
          <w:rFonts w:cs="Arial"/>
          <w:rtl/>
        </w:rPr>
        <w:t>הניח מעותיו על קרן הצבי</w:t>
      </w:r>
      <w:r>
        <w:rPr>
          <w:rFonts w:cs="Arial" w:hint="cs"/>
          <w:rtl/>
        </w:rPr>
        <w:t>.</w:t>
      </w:r>
      <w:r w:rsidRPr="003760A7">
        <w:rPr>
          <w:rFonts w:cs="Arial"/>
          <w:rtl/>
        </w:rPr>
        <w:t xml:space="preserve"> וכן אם הלך למדינת הים ועמד וצוה בעלה שלא להלוותה</w:t>
      </w:r>
      <w:r>
        <w:rPr>
          <w:rFonts w:cs="Arial" w:hint="cs"/>
          <w:rtl/>
        </w:rPr>
        <w:t>,</w:t>
      </w:r>
      <w:r w:rsidRPr="003760A7">
        <w:rPr>
          <w:rFonts w:cs="Arial"/>
          <w:rtl/>
        </w:rPr>
        <w:t xml:space="preserve"> והיא שתקה ועמדה ולותה </w:t>
      </w:r>
      <w:r>
        <w:rPr>
          <w:rFonts w:cs="Arial" w:hint="cs"/>
          <w:rtl/>
        </w:rPr>
        <w:t xml:space="preserve">- </w:t>
      </w:r>
      <w:r w:rsidRPr="003760A7">
        <w:rPr>
          <w:rFonts w:cs="Arial"/>
          <w:rtl/>
        </w:rPr>
        <w:t>גם הוא איבד מעותיו והניחם על קרן הצבי</w:t>
      </w:r>
      <w:r>
        <w:rPr>
          <w:rFonts w:cs="Arial" w:hint="cs"/>
          <w:sz w:val="16"/>
          <w:szCs w:val="16"/>
          <w:rtl/>
        </w:rPr>
        <w:t xml:space="preserve"> (ל' הב"י בשמו)</w:t>
      </w:r>
      <w:r>
        <w:rPr>
          <w:rFonts w:cs="Arial" w:hint="cs"/>
          <w:rtl/>
        </w:rPr>
        <w:t>.</w:t>
      </w:r>
      <w:r w:rsidRPr="003760A7">
        <w:rPr>
          <w:rFonts w:cs="Arial"/>
          <w:rtl/>
        </w:rPr>
        <w:t xml:space="preserve"> </w:t>
      </w:r>
    </w:p>
    <w:p w14:paraId="5DD2247B" w14:textId="77777777" w:rsidR="002E5BAD" w:rsidRPr="00FF017E" w:rsidRDefault="002E5BAD" w:rsidP="002E5BAD">
      <w:pPr>
        <w:pStyle w:val="ab"/>
        <w:numPr>
          <w:ilvl w:val="0"/>
          <w:numId w:val="131"/>
        </w:numPr>
      </w:pPr>
      <w:r>
        <w:rPr>
          <w:rFonts w:cs="Arial" w:hint="cs"/>
          <w:rtl/>
        </w:rPr>
        <w:t xml:space="preserve">בעל התרומות </w:t>
      </w:r>
      <w:r>
        <w:rPr>
          <w:rFonts w:cs="Arial" w:hint="cs"/>
          <w:sz w:val="16"/>
          <w:szCs w:val="16"/>
          <w:rtl/>
        </w:rPr>
        <w:t>(שם)</w:t>
      </w:r>
      <w:r w:rsidRPr="000B759F">
        <w:rPr>
          <w:rFonts w:cs="Arial"/>
          <w:rtl/>
        </w:rPr>
        <w:t xml:space="preserve"> </w:t>
      </w:r>
      <w:r>
        <w:rPr>
          <w:rFonts w:cs="Arial" w:hint="cs"/>
          <w:rtl/>
        </w:rPr>
        <w:t>ו</w:t>
      </w:r>
      <w:r w:rsidRPr="006F6F84">
        <w:rPr>
          <w:rFonts w:cs="Arial"/>
          <w:rtl/>
        </w:rPr>
        <w:t xml:space="preserve">רשב"א </w:t>
      </w:r>
      <w:r w:rsidRPr="000B759F">
        <w:rPr>
          <w:rFonts w:cs="Arial"/>
          <w:sz w:val="16"/>
          <w:szCs w:val="16"/>
          <w:rtl/>
        </w:rPr>
        <w:t>(ח"א סי' תרצב</w:t>
      </w:r>
      <w:r w:rsidRPr="000B759F">
        <w:rPr>
          <w:rFonts w:cs="Arial" w:hint="cs"/>
          <w:sz w:val="16"/>
          <w:szCs w:val="16"/>
          <w:rtl/>
        </w:rPr>
        <w:t>, כ"כ הדרכ"מ [אות יב*] בשמו)</w:t>
      </w:r>
      <w:r>
        <w:rPr>
          <w:rFonts w:cs="Arial" w:hint="cs"/>
          <w:rtl/>
        </w:rPr>
        <w:t xml:space="preserve">- </w:t>
      </w:r>
      <w:r w:rsidRPr="003760A7">
        <w:rPr>
          <w:rFonts w:cs="Arial"/>
          <w:rtl/>
        </w:rPr>
        <w:t xml:space="preserve">ולי נראה דכל היכא שהבעל חייב במזונותיה </w:t>
      </w:r>
      <w:r>
        <w:rPr>
          <w:rFonts w:cs="Arial" w:hint="cs"/>
          <w:rtl/>
        </w:rPr>
        <w:t xml:space="preserve">- </w:t>
      </w:r>
      <w:r w:rsidRPr="003760A7">
        <w:rPr>
          <w:rFonts w:cs="Arial"/>
          <w:rtl/>
        </w:rPr>
        <w:t>לא אבדה זכות מזונותיה</w:t>
      </w:r>
      <w:r>
        <w:rPr>
          <w:rFonts w:cs="Arial" w:hint="cs"/>
          <w:rtl/>
        </w:rPr>
        <w:t>,</w:t>
      </w:r>
      <w:r w:rsidRPr="003760A7">
        <w:rPr>
          <w:rFonts w:cs="Arial"/>
          <w:rtl/>
        </w:rPr>
        <w:t xml:space="preserve"> חוץ ממורדת מלעמוד עמו שהפסידה מזונותיה</w:t>
      </w:r>
      <w:r>
        <w:rPr>
          <w:rFonts w:cs="Arial" w:hint="cs"/>
          <w:rtl/>
        </w:rPr>
        <w:t>.</w:t>
      </w:r>
      <w:r w:rsidRPr="003760A7">
        <w:rPr>
          <w:rFonts w:cs="Arial"/>
          <w:rtl/>
        </w:rPr>
        <w:t xml:space="preserve"> וכן הסכים הרמב"ן </w:t>
      </w:r>
      <w:r w:rsidRPr="000B759F">
        <w:rPr>
          <w:rFonts w:cs="Arial"/>
          <w:sz w:val="16"/>
          <w:szCs w:val="16"/>
          <w:rtl/>
        </w:rPr>
        <w:t>(סי</w:t>
      </w:r>
      <w:r w:rsidRPr="000B759F">
        <w:rPr>
          <w:rFonts w:cs="Arial" w:hint="cs"/>
          <w:sz w:val="16"/>
          <w:szCs w:val="16"/>
          <w:rtl/>
        </w:rPr>
        <w:t>'</w:t>
      </w:r>
      <w:r w:rsidRPr="000B759F">
        <w:rPr>
          <w:rFonts w:cs="Arial"/>
          <w:sz w:val="16"/>
          <w:szCs w:val="16"/>
          <w:rtl/>
        </w:rPr>
        <w:t xml:space="preserve"> סו) </w:t>
      </w:r>
      <w:r w:rsidRPr="003760A7">
        <w:rPr>
          <w:rFonts w:cs="Arial"/>
          <w:rtl/>
        </w:rPr>
        <w:t>וזה אשר השיב לי</w:t>
      </w:r>
      <w:r>
        <w:rPr>
          <w:rFonts w:cs="Arial" w:hint="cs"/>
          <w:rtl/>
        </w:rPr>
        <w:t>-</w:t>
      </w:r>
      <w:r w:rsidRPr="003760A7">
        <w:rPr>
          <w:rFonts w:cs="Arial"/>
          <w:rtl/>
        </w:rPr>
        <w:t xml:space="preserve"> כל השאלות תשובה אחת להן</w:t>
      </w:r>
      <w:r>
        <w:rPr>
          <w:rFonts w:cs="Arial" w:hint="cs"/>
          <w:rtl/>
        </w:rPr>
        <w:t>,</w:t>
      </w:r>
      <w:r w:rsidRPr="003760A7">
        <w:rPr>
          <w:rFonts w:cs="Arial"/>
          <w:rtl/>
        </w:rPr>
        <w:t xml:space="preserve"> דודאי כל היכא דבעל חייב לזון את אשתו</w:t>
      </w:r>
      <w:r>
        <w:rPr>
          <w:rFonts w:cs="Arial" w:hint="cs"/>
          <w:rtl/>
        </w:rPr>
        <w:t>,</w:t>
      </w:r>
      <w:r w:rsidRPr="003760A7">
        <w:rPr>
          <w:rFonts w:cs="Arial"/>
          <w:rtl/>
        </w:rPr>
        <w:t xml:space="preserve"> אם לותה ואכלה </w:t>
      </w:r>
      <w:r>
        <w:rPr>
          <w:rFonts w:cs="Arial" w:hint="cs"/>
          <w:rtl/>
        </w:rPr>
        <w:t xml:space="preserve">- </w:t>
      </w:r>
      <w:r w:rsidRPr="003760A7">
        <w:rPr>
          <w:rFonts w:cs="Arial"/>
          <w:rtl/>
        </w:rPr>
        <w:t>חייב לשלם</w:t>
      </w:r>
      <w:r>
        <w:rPr>
          <w:rFonts w:cs="Arial" w:hint="cs"/>
          <w:rtl/>
        </w:rPr>
        <w:t>.</w:t>
      </w:r>
      <w:r w:rsidRPr="003760A7">
        <w:rPr>
          <w:rFonts w:cs="Arial"/>
          <w:rtl/>
        </w:rPr>
        <w:t xml:space="preserve"> הילכך אע</w:t>
      </w:r>
      <w:r>
        <w:rPr>
          <w:rFonts w:cs="Arial" w:hint="cs"/>
          <w:rtl/>
        </w:rPr>
        <w:t>"</w:t>
      </w:r>
      <w:r w:rsidRPr="003760A7">
        <w:rPr>
          <w:rFonts w:cs="Arial"/>
          <w:rtl/>
        </w:rPr>
        <w:t>פ שהוא כאן ולא זימנתו לדין לא הפסידה מזונותיה אף על פי שעמד והכריז שלא ילוה אדם לאשתו</w:t>
      </w:r>
      <w:r>
        <w:rPr>
          <w:rFonts w:cs="Arial" w:hint="cs"/>
          <w:rtl/>
        </w:rPr>
        <w:t>,</w:t>
      </w:r>
      <w:r w:rsidRPr="003760A7">
        <w:rPr>
          <w:rFonts w:cs="Arial"/>
          <w:rtl/>
        </w:rPr>
        <w:t xml:space="preserve"> לאו כל הימנו להפסידה זכותה</w:t>
      </w:r>
      <w:r>
        <w:rPr>
          <w:rFonts w:cs="Arial" w:hint="cs"/>
          <w:rtl/>
        </w:rPr>
        <w:t>.</w:t>
      </w:r>
      <w:r w:rsidRPr="003760A7">
        <w:rPr>
          <w:rFonts w:cs="Arial"/>
          <w:rtl/>
        </w:rPr>
        <w:t xml:space="preserve"> והוא דלא ספקה ממעשה ידיה</w:t>
      </w:r>
      <w:r>
        <w:rPr>
          <w:rFonts w:cs="Arial" w:hint="cs"/>
          <w:rtl/>
        </w:rPr>
        <w:t>,</w:t>
      </w:r>
      <w:r w:rsidRPr="003760A7">
        <w:rPr>
          <w:rFonts w:cs="Arial"/>
          <w:rtl/>
        </w:rPr>
        <w:t xml:space="preserve"> אבל בדספקה אם עמד והכריז שלא ילוה אדם לאשתו נ"ל דכמי שאמר שתוציא לה מעשה ידיה למזונותיה דמי ופטור</w:t>
      </w:r>
      <w:r>
        <w:rPr>
          <w:rFonts w:cs="Arial" w:hint="cs"/>
          <w:rtl/>
        </w:rPr>
        <w:t>,</w:t>
      </w:r>
      <w:r w:rsidRPr="003760A7">
        <w:rPr>
          <w:rFonts w:cs="Arial"/>
          <w:rtl/>
        </w:rPr>
        <w:t xml:space="preserve"> בין ששמע המלוה בהכרזה זו בין שלא שמע</w:t>
      </w:r>
      <w:r>
        <w:rPr>
          <w:rFonts w:cs="Arial" w:hint="cs"/>
          <w:rtl/>
        </w:rPr>
        <w:t>.</w:t>
      </w:r>
      <w:r w:rsidRPr="003760A7">
        <w:rPr>
          <w:rFonts w:cs="Arial"/>
          <w:rtl/>
        </w:rPr>
        <w:t xml:space="preserve"> ואם שתק ולותה ואכלה ולא עשתה אף על גב דספקה מוציאין ממנו</w:t>
      </w:r>
      <w:r>
        <w:rPr>
          <w:rFonts w:cs="Arial" w:hint="cs"/>
          <w:rtl/>
        </w:rPr>
        <w:t>,</w:t>
      </w:r>
      <w:r w:rsidRPr="003760A7">
        <w:rPr>
          <w:rFonts w:cs="Arial"/>
          <w:rtl/>
        </w:rPr>
        <w:t xml:space="preserve"> וכך הם דברי הרמב"ם במי שהלך בעלה למדינת הים ולותה ולא עשתה חייב ואף על גב דספקה מוציאין ממנו</w:t>
      </w:r>
      <w:r>
        <w:rPr>
          <w:rFonts w:cs="Arial" w:hint="cs"/>
          <w:rtl/>
        </w:rPr>
        <w:t>,</w:t>
      </w:r>
      <w:r w:rsidRPr="003760A7">
        <w:rPr>
          <w:rFonts w:cs="Arial"/>
          <w:rtl/>
        </w:rPr>
        <w:t xml:space="preserve"> ויש להם פנים בהלכה</w:t>
      </w:r>
      <w:r>
        <w:rPr>
          <w:rFonts w:cs="Arial" w:hint="cs"/>
          <w:rtl/>
        </w:rPr>
        <w:t>.</w:t>
      </w:r>
      <w:r w:rsidRPr="003760A7">
        <w:rPr>
          <w:rFonts w:cs="Arial"/>
          <w:rtl/>
        </w:rPr>
        <w:t xml:space="preserve"> ומעתה אין לנו לחלק בין עומד כאן להלך למדינת הים עכ"ל</w:t>
      </w:r>
      <w:r>
        <w:rPr>
          <w:rFonts w:cs="Arial" w:hint="cs"/>
          <w:sz w:val="16"/>
          <w:szCs w:val="16"/>
          <w:rtl/>
        </w:rPr>
        <w:t xml:space="preserve"> (ל' בעל התרומות)</w:t>
      </w:r>
      <w:r>
        <w:rPr>
          <w:rFonts w:cs="Arial" w:hint="cs"/>
          <w:rtl/>
        </w:rPr>
        <w:t>.</w:t>
      </w:r>
      <w:r>
        <w:rPr>
          <w:rFonts w:hint="cs"/>
          <w:rtl/>
        </w:rPr>
        <w:t xml:space="preserve"> </w:t>
      </w:r>
      <w:r w:rsidRPr="000E571B">
        <w:rPr>
          <w:rFonts w:hint="cs"/>
          <w:color w:val="00B0F0"/>
          <w:rtl/>
        </w:rPr>
        <w:t>(וכ"פ הרמ"א</w:t>
      </w:r>
      <w:r w:rsidRPr="000E571B">
        <w:rPr>
          <w:rFonts w:hint="cs"/>
          <w:color w:val="00B0F0"/>
          <w:sz w:val="16"/>
          <w:szCs w:val="16"/>
          <w:rtl/>
        </w:rPr>
        <w:t xml:space="preserve"> </w:t>
      </w:r>
      <w:r>
        <w:rPr>
          <w:rFonts w:hint="cs"/>
          <w:sz w:val="16"/>
          <w:szCs w:val="16"/>
          <w:rtl/>
        </w:rPr>
        <w:t>[בסע' יב]</w:t>
      </w:r>
      <w:r w:rsidRPr="000E571B">
        <w:rPr>
          <w:rFonts w:hint="cs"/>
          <w:color w:val="00B0F0"/>
          <w:rtl/>
        </w:rPr>
        <w:t>)</w:t>
      </w:r>
    </w:p>
    <w:p w14:paraId="61CE5AF3" w14:textId="77777777" w:rsidR="002E5BAD" w:rsidRPr="00520DDF" w:rsidRDefault="002E5BAD" w:rsidP="002E5BAD">
      <w:pPr>
        <w:rPr>
          <w:u w:val="single"/>
          <w:rtl/>
        </w:rPr>
      </w:pPr>
      <w:r w:rsidRPr="00520DDF">
        <w:rPr>
          <w:rFonts w:hint="cs"/>
          <w:u w:val="single"/>
          <w:rtl/>
        </w:rPr>
        <w:t>מעשה בבעל שהלך למדינת הים, ואשתו תבע</w:t>
      </w:r>
      <w:r>
        <w:rPr>
          <w:rFonts w:hint="cs"/>
          <w:u w:val="single"/>
          <w:rtl/>
        </w:rPr>
        <w:t xml:space="preserve">ה </w:t>
      </w:r>
      <w:r w:rsidRPr="00520DDF">
        <w:rPr>
          <w:rFonts w:hint="cs"/>
          <w:u w:val="single"/>
          <w:rtl/>
        </w:rPr>
        <w:t>מב"ד לפסוק לה ולבתה מזונות:</w:t>
      </w:r>
    </w:p>
    <w:p w14:paraId="4483F511" w14:textId="77777777" w:rsidR="002E5BAD" w:rsidRPr="001D6658" w:rsidRDefault="002E5BAD" w:rsidP="002E5BAD">
      <w:pPr>
        <w:pStyle w:val="ab"/>
        <w:numPr>
          <w:ilvl w:val="0"/>
          <w:numId w:val="134"/>
        </w:numPr>
      </w:pPr>
      <w:r w:rsidRPr="001D6658">
        <w:rPr>
          <w:rFonts w:cs="Arial" w:hint="cs"/>
          <w:rtl/>
        </w:rPr>
        <w:t xml:space="preserve">רשב"א </w:t>
      </w:r>
      <w:r w:rsidRPr="001D6658">
        <w:rPr>
          <w:rFonts w:cs="Arial"/>
          <w:sz w:val="16"/>
          <w:szCs w:val="16"/>
          <w:rtl/>
        </w:rPr>
        <w:t>(ח"ה סי' רד)</w:t>
      </w:r>
      <w:r>
        <w:rPr>
          <w:rFonts w:cs="Arial" w:hint="cs"/>
          <w:rtl/>
        </w:rPr>
        <w:t xml:space="preserve">- שאלת על </w:t>
      </w:r>
      <w:r w:rsidRPr="001D6658">
        <w:rPr>
          <w:rFonts w:cs="Arial"/>
          <w:rtl/>
        </w:rPr>
        <w:t xml:space="preserve">ראובן </w:t>
      </w:r>
      <w:r>
        <w:rPr>
          <w:rFonts w:cs="Arial" w:hint="cs"/>
          <w:rtl/>
        </w:rPr>
        <w:t>ש</w:t>
      </w:r>
      <w:r w:rsidRPr="001D6658">
        <w:rPr>
          <w:rFonts w:cs="Arial"/>
          <w:rtl/>
        </w:rPr>
        <w:t>הלך למדינת הים</w:t>
      </w:r>
      <w:r>
        <w:rPr>
          <w:rFonts w:cs="Arial" w:hint="cs"/>
          <w:rtl/>
        </w:rPr>
        <w:t>,</w:t>
      </w:r>
      <w:r w:rsidRPr="001D6658">
        <w:rPr>
          <w:rFonts w:cs="Arial"/>
          <w:rtl/>
        </w:rPr>
        <w:t xml:space="preserve"> ותבעה אשתו מבית דין לפסוק לה ולבתה מזונות</w:t>
      </w:r>
      <w:r>
        <w:rPr>
          <w:rFonts w:cs="Arial" w:hint="cs"/>
          <w:rtl/>
        </w:rPr>
        <w:t>,</w:t>
      </w:r>
      <w:r w:rsidRPr="001D6658">
        <w:rPr>
          <w:rFonts w:cs="Arial"/>
          <w:rtl/>
        </w:rPr>
        <w:t xml:space="preserve"> ופסקו לה ולבתה מזונות ידועים ויזונה שמעון אביה</w:t>
      </w:r>
      <w:r>
        <w:rPr>
          <w:rFonts w:cs="Arial" w:hint="cs"/>
          <w:rtl/>
        </w:rPr>
        <w:t>.</w:t>
      </w:r>
      <w:r w:rsidRPr="001D6658">
        <w:rPr>
          <w:rFonts w:cs="Arial"/>
          <w:rtl/>
        </w:rPr>
        <w:t xml:space="preserve"> וכתבו לו ב"ד שיפרע מנכסי ראובן בכל מקום שהם לפי שהיא נזונת על ידו</w:t>
      </w:r>
      <w:r>
        <w:rPr>
          <w:rFonts w:cs="Arial" w:hint="cs"/>
          <w:rtl/>
        </w:rPr>
        <w:t>.</w:t>
      </w:r>
      <w:r w:rsidRPr="001D6658">
        <w:rPr>
          <w:rFonts w:cs="Arial"/>
          <w:rtl/>
        </w:rPr>
        <w:t xml:space="preserve"> ועוד נתנו לשמעון כח ורשות שכל זמן שלא תמצא האשה מנכסי בעלה להתפרנס מהם שיוציא לה שמעון בתורת הלואה</w:t>
      </w:r>
      <w:r>
        <w:rPr>
          <w:rFonts w:cs="Arial" w:hint="cs"/>
          <w:rtl/>
        </w:rPr>
        <w:t>.</w:t>
      </w:r>
      <w:r w:rsidRPr="001D6658">
        <w:rPr>
          <w:rFonts w:cs="Arial"/>
          <w:rtl/>
        </w:rPr>
        <w:t xml:space="preserve"> ומת ראובן</w:t>
      </w:r>
      <w:r>
        <w:rPr>
          <w:rFonts w:cs="Arial" w:hint="cs"/>
          <w:rtl/>
        </w:rPr>
        <w:t>,</w:t>
      </w:r>
      <w:r w:rsidRPr="001D6658">
        <w:rPr>
          <w:rFonts w:cs="Arial"/>
          <w:rtl/>
        </w:rPr>
        <w:t xml:space="preserve"> והיו האשה ובתה נזונות על שלחן שמעון</w:t>
      </w:r>
      <w:r>
        <w:rPr>
          <w:rFonts w:cs="Arial" w:hint="cs"/>
          <w:rtl/>
        </w:rPr>
        <w:t>,</w:t>
      </w:r>
      <w:r w:rsidRPr="001D6658">
        <w:rPr>
          <w:rFonts w:cs="Arial"/>
          <w:rtl/>
        </w:rPr>
        <w:t xml:space="preserve"> וכשגדלה הבת פסק לה שמעון נדוניא משלו והשיאה ללוי</w:t>
      </w:r>
      <w:r>
        <w:rPr>
          <w:rFonts w:cs="Arial" w:hint="cs"/>
          <w:rtl/>
        </w:rPr>
        <w:t>.</w:t>
      </w:r>
      <w:r w:rsidRPr="001D6658">
        <w:rPr>
          <w:rFonts w:cs="Arial"/>
          <w:rtl/>
        </w:rPr>
        <w:t xml:space="preserve"> ואח"כ נפל לאותה בת ירושה מבית מורישי אביה</w:t>
      </w:r>
      <w:r>
        <w:rPr>
          <w:rFonts w:cs="Arial" w:hint="cs"/>
          <w:rtl/>
        </w:rPr>
        <w:t>.</w:t>
      </w:r>
      <w:r w:rsidRPr="001D6658">
        <w:rPr>
          <w:rFonts w:cs="Arial"/>
          <w:rtl/>
        </w:rPr>
        <w:t xml:space="preserve"> ועכשיו בא שמעון להפרע ממנה מה שהוציא במזונותיה והיא משיבתו כשם שנתחסדת עמי להשיאני משלך</w:t>
      </w:r>
      <w:r>
        <w:rPr>
          <w:rFonts w:cs="Arial" w:hint="cs"/>
          <w:rtl/>
        </w:rPr>
        <w:t>,</w:t>
      </w:r>
      <w:r w:rsidRPr="001D6658">
        <w:rPr>
          <w:rFonts w:cs="Arial"/>
          <w:rtl/>
        </w:rPr>
        <w:t xml:space="preserve"> כך נתחסדת עמי לפרנסני משלך</w:t>
      </w:r>
      <w:r>
        <w:rPr>
          <w:rFonts w:cs="Arial" w:hint="cs"/>
          <w:rtl/>
        </w:rPr>
        <w:t>.</w:t>
      </w:r>
      <w:r w:rsidRPr="001D6658">
        <w:rPr>
          <w:rFonts w:cs="Arial"/>
          <w:rtl/>
        </w:rPr>
        <w:t xml:space="preserve"> ושמעון טוען מעולם לא ויתרתי על המזונות רק הייתי ממתין עד שיהיו ליך נכסים ותפרעני</w:t>
      </w:r>
      <w:r>
        <w:rPr>
          <w:rFonts w:cs="Arial" w:hint="cs"/>
          <w:rtl/>
        </w:rPr>
        <w:t>.</w:t>
      </w:r>
      <w:r w:rsidRPr="001D6658">
        <w:rPr>
          <w:rFonts w:cs="Arial"/>
          <w:rtl/>
        </w:rPr>
        <w:t xml:space="preserve"> </w:t>
      </w:r>
      <w:r>
        <w:rPr>
          <w:rFonts w:cs="Arial" w:hint="cs"/>
          <w:rtl/>
        </w:rPr>
        <w:lastRenderedPageBreak/>
        <w:t xml:space="preserve">תשובה- </w:t>
      </w:r>
      <w:r w:rsidRPr="001D6658">
        <w:rPr>
          <w:rFonts w:cs="Arial"/>
          <w:rtl/>
        </w:rPr>
        <w:t>ב"ד שפסקו מזונות לבת</w:t>
      </w:r>
      <w:r>
        <w:rPr>
          <w:rFonts w:cs="Arial" w:hint="cs"/>
          <w:rtl/>
        </w:rPr>
        <w:t>,</w:t>
      </w:r>
      <w:r w:rsidRPr="001D6658">
        <w:rPr>
          <w:rFonts w:cs="Arial"/>
          <w:rtl/>
        </w:rPr>
        <w:t xml:space="preserve"> שלא כדין עשו</w:t>
      </w:r>
      <w:r>
        <w:rPr>
          <w:rFonts w:cs="Arial" w:hint="cs"/>
          <w:rtl/>
        </w:rPr>
        <w:t>,</w:t>
      </w:r>
      <w:r w:rsidRPr="001D6658">
        <w:rPr>
          <w:rFonts w:cs="Arial"/>
          <w:rtl/>
        </w:rPr>
        <w:t xml:space="preserve"> כיון שהלך מדעתו</w:t>
      </w:r>
      <w:r>
        <w:rPr>
          <w:rFonts w:cs="Arial" w:hint="cs"/>
          <w:rtl/>
        </w:rPr>
        <w:t>,</w:t>
      </w:r>
      <w:r w:rsidRPr="001D6658">
        <w:rPr>
          <w:rFonts w:cs="Arial"/>
          <w:rtl/>
        </w:rPr>
        <w:t xml:space="preserve"> כדתניא בפרק נערה (כתובות מח.)</w:t>
      </w:r>
      <w:r>
        <w:rPr>
          <w:rFonts w:cs="Arial" w:hint="cs"/>
          <w:rtl/>
        </w:rPr>
        <w:t>.</w:t>
      </w:r>
      <w:r w:rsidRPr="001D6658">
        <w:rPr>
          <w:rFonts w:cs="Arial"/>
          <w:rtl/>
        </w:rPr>
        <w:t xml:space="preserve"> ומכל מקום האשה והבת לא לוו כלום משמעון כדי שתהא צריכ</w:t>
      </w:r>
      <w:r>
        <w:rPr>
          <w:rFonts w:cs="Arial" w:hint="cs"/>
          <w:rtl/>
        </w:rPr>
        <w:t>ה</w:t>
      </w:r>
      <w:r w:rsidRPr="001D6658">
        <w:rPr>
          <w:rFonts w:cs="Arial"/>
          <w:rtl/>
        </w:rPr>
        <w:t xml:space="preserve"> לחזור אחר נכסי הבעל להפרע ממנו שיחזור שמעון ויפרע ממנה כדרך האשה שלותה ואכלה</w:t>
      </w:r>
      <w:r>
        <w:rPr>
          <w:rFonts w:cs="Arial" w:hint="cs"/>
          <w:rtl/>
        </w:rPr>
        <w:t>,</w:t>
      </w:r>
      <w:r w:rsidRPr="001D6658">
        <w:rPr>
          <w:rFonts w:cs="Arial"/>
          <w:rtl/>
        </w:rPr>
        <w:t xml:space="preserve"> אלא שמעון קיבל עליו לזון והוא ידרוך על נכסי הבעל בכל מקום שימצאם</w:t>
      </w:r>
      <w:r>
        <w:rPr>
          <w:rFonts w:cs="Arial" w:hint="cs"/>
          <w:rtl/>
        </w:rPr>
        <w:t>.</w:t>
      </w:r>
      <w:r w:rsidRPr="001D6658">
        <w:rPr>
          <w:rFonts w:cs="Arial"/>
          <w:rtl/>
        </w:rPr>
        <w:t xml:space="preserve"> אבל רואה אני שלאחר מכאן כתבו לו ב"ד </w:t>
      </w:r>
      <w:r>
        <w:rPr>
          <w:rFonts w:cs="Arial" w:hint="cs"/>
          <w:rtl/>
        </w:rPr>
        <w:t>'</w:t>
      </w:r>
      <w:r w:rsidRPr="001D6658">
        <w:rPr>
          <w:rFonts w:cs="Arial"/>
          <w:rtl/>
        </w:rPr>
        <w:t>וכל זמן שלא תמצא נכסים לבעל להתפרנס מהם שיוציא לה בתורת הלואה כל צרכיה</w:t>
      </w:r>
      <w:r>
        <w:rPr>
          <w:rFonts w:cs="Arial" w:hint="cs"/>
          <w:rtl/>
        </w:rPr>
        <w:t>',</w:t>
      </w:r>
      <w:r w:rsidRPr="001D6658">
        <w:rPr>
          <w:rFonts w:cs="Arial"/>
          <w:rtl/>
        </w:rPr>
        <w:t xml:space="preserve"> ולפיכך הדין עמו במה שתובע להפרע מן הבת</w:t>
      </w:r>
      <w:r>
        <w:rPr>
          <w:rFonts w:cs="Arial" w:hint="cs"/>
          <w:rtl/>
        </w:rPr>
        <w:t>.</w:t>
      </w:r>
      <w:r w:rsidRPr="001D6658">
        <w:rPr>
          <w:rFonts w:cs="Arial"/>
          <w:rtl/>
        </w:rPr>
        <w:t xml:space="preserve"> ואם נתחסד להשיאה לבעל משלו</w:t>
      </w:r>
      <w:r>
        <w:rPr>
          <w:rFonts w:cs="Arial" w:hint="cs"/>
          <w:rtl/>
        </w:rPr>
        <w:t>,</w:t>
      </w:r>
      <w:r w:rsidRPr="001D6658">
        <w:rPr>
          <w:rFonts w:cs="Arial"/>
          <w:rtl/>
        </w:rPr>
        <w:t xml:space="preserve"> אין זה מחייבו ליתן לה מזונות משלו. </w:t>
      </w:r>
      <w:r w:rsidRPr="00DB7826">
        <w:rPr>
          <w:rFonts w:hint="cs"/>
          <w:color w:val="00B0F0"/>
          <w:rtl/>
        </w:rPr>
        <w:t>(וכ"פ הרמ"א)</w:t>
      </w:r>
    </w:p>
    <w:p w14:paraId="155D7062" w14:textId="77777777" w:rsidR="002E5BAD" w:rsidRPr="00A83A98" w:rsidRDefault="002E5BAD" w:rsidP="002E5BAD">
      <w:pPr>
        <w:rPr>
          <w:u w:val="single"/>
        </w:rPr>
      </w:pPr>
      <w:r w:rsidRPr="00A83A98">
        <w:rPr>
          <w:rFonts w:cs="Arial"/>
          <w:u w:val="single"/>
          <w:rtl/>
        </w:rPr>
        <w:t>אחד שפירנס את בתו ולבסוף תבע מחתנו מה שהוציא עליה</w:t>
      </w:r>
      <w:r w:rsidRPr="00A83A98">
        <w:rPr>
          <w:rFonts w:cs="Arial" w:hint="cs"/>
          <w:u w:val="single"/>
          <w:rtl/>
        </w:rPr>
        <w:t>:</w:t>
      </w:r>
    </w:p>
    <w:p w14:paraId="3CAD25F6" w14:textId="77777777" w:rsidR="002E5BAD" w:rsidRDefault="002E5BAD" w:rsidP="002E5BAD">
      <w:pPr>
        <w:pStyle w:val="ab"/>
        <w:numPr>
          <w:ilvl w:val="0"/>
          <w:numId w:val="131"/>
        </w:numPr>
        <w:rPr>
          <w:rtl/>
        </w:rPr>
      </w:pPr>
      <w:r>
        <w:rPr>
          <w:rFonts w:cs="Arial" w:hint="cs"/>
          <w:rtl/>
        </w:rPr>
        <w:t xml:space="preserve">הגמ"ר </w:t>
      </w:r>
      <w:r w:rsidRPr="0025586C">
        <w:rPr>
          <w:rFonts w:cs="Arial" w:hint="cs"/>
          <w:sz w:val="16"/>
          <w:szCs w:val="16"/>
          <w:rtl/>
        </w:rPr>
        <w:t>(</w:t>
      </w:r>
      <w:r w:rsidRPr="0025586C">
        <w:rPr>
          <w:rFonts w:cs="Arial"/>
          <w:sz w:val="16"/>
          <w:szCs w:val="16"/>
          <w:rtl/>
        </w:rPr>
        <w:t>סוף כתובות סי' שיא)</w:t>
      </w:r>
      <w:r>
        <w:rPr>
          <w:rFonts w:cs="Arial" w:hint="cs"/>
          <w:rtl/>
        </w:rPr>
        <w:t>-</w:t>
      </w:r>
      <w:r w:rsidRPr="00F86A82">
        <w:rPr>
          <w:rFonts w:cs="Arial"/>
          <w:rtl/>
        </w:rPr>
        <w:t xml:space="preserve"> מעשה באחד שפירנס את בתו ולבסוף תבע מחתנו מה שהוציא עליה</w:t>
      </w:r>
      <w:r>
        <w:rPr>
          <w:rFonts w:cs="Arial" w:hint="cs"/>
          <w:rtl/>
        </w:rPr>
        <w:t>,</w:t>
      </w:r>
      <w:r w:rsidRPr="00F86A82">
        <w:rPr>
          <w:rFonts w:cs="Arial"/>
          <w:rtl/>
        </w:rPr>
        <w:t xml:space="preserve"> והיה החתן מסיק זוזי בחמיו</w:t>
      </w:r>
      <w:r>
        <w:rPr>
          <w:rFonts w:cs="Arial" w:hint="cs"/>
          <w:rtl/>
        </w:rPr>
        <w:t>,</w:t>
      </w:r>
      <w:r w:rsidRPr="00F86A82">
        <w:rPr>
          <w:rFonts w:cs="Arial"/>
          <w:rtl/>
        </w:rPr>
        <w:t xml:space="preserve"> וטען חמיו אני פירנסתיה ממה שהייתי חייב לך מדר' נתן שמוציאין מזה ונותנים לזה</w:t>
      </w:r>
      <w:r>
        <w:rPr>
          <w:rFonts w:cs="Arial" w:hint="cs"/>
          <w:rtl/>
        </w:rPr>
        <w:t>.</w:t>
      </w:r>
      <w:r w:rsidRPr="00F86A82">
        <w:rPr>
          <w:rFonts w:cs="Arial"/>
          <w:rtl/>
        </w:rPr>
        <w:t xml:space="preserve"> והשיב רבינו שמחה שהדין עם חמיו</w:t>
      </w:r>
      <w:r>
        <w:rPr>
          <w:rFonts w:cs="Arial" w:hint="cs"/>
          <w:rtl/>
        </w:rPr>
        <w:t>,</w:t>
      </w:r>
      <w:r w:rsidRPr="00F86A82">
        <w:rPr>
          <w:rFonts w:cs="Arial"/>
          <w:rtl/>
        </w:rPr>
        <w:t xml:space="preserve"> דאע"ג שאם לא היה חמיו חייב לו היה פטור</w:t>
      </w:r>
      <w:r>
        <w:rPr>
          <w:rStyle w:val="a7"/>
          <w:rFonts w:cs="Arial"/>
          <w:rtl/>
        </w:rPr>
        <w:footnoteReference w:id="1107"/>
      </w:r>
      <w:r>
        <w:rPr>
          <w:rFonts w:cs="Arial" w:hint="cs"/>
          <w:rtl/>
        </w:rPr>
        <w:t>,</w:t>
      </w:r>
      <w:r w:rsidRPr="00F86A82">
        <w:rPr>
          <w:rFonts w:cs="Arial"/>
          <w:rtl/>
        </w:rPr>
        <w:t xml:space="preserve"> השתא דחייב לו טענתיה טענה והביא ראיה לדבר</w:t>
      </w:r>
      <w:r>
        <w:rPr>
          <w:rFonts w:cs="Arial" w:hint="cs"/>
          <w:rtl/>
        </w:rPr>
        <w:t xml:space="preserve">. </w:t>
      </w:r>
      <w:r w:rsidRPr="00DB7826">
        <w:rPr>
          <w:rFonts w:hint="cs"/>
          <w:color w:val="00B0F0"/>
          <w:rtl/>
        </w:rPr>
        <w:t>(וכ"פ הרמ"א)</w:t>
      </w:r>
    </w:p>
    <w:p w14:paraId="59961759" w14:textId="77777777" w:rsidR="002E5BAD" w:rsidRDefault="002E5BAD" w:rsidP="002E5BAD">
      <w:r w:rsidRPr="007E4243">
        <w:rPr>
          <w:rFonts w:hint="cs"/>
          <w:u w:val="single"/>
          <w:rtl/>
        </w:rPr>
        <w:t>אשה ששתקה ולא</w:t>
      </w:r>
      <w:r>
        <w:rPr>
          <w:rFonts w:hint="cs"/>
          <w:u w:val="single"/>
          <w:rtl/>
        </w:rPr>
        <w:t xml:space="preserve"> </w:t>
      </w:r>
      <w:r w:rsidRPr="007E4243">
        <w:rPr>
          <w:rFonts w:hint="cs"/>
          <w:u w:val="single"/>
          <w:rtl/>
        </w:rPr>
        <w:t xml:space="preserve">תבעה מזונותיה </w:t>
      </w:r>
      <w:r w:rsidRPr="007E4243">
        <w:rPr>
          <w:u w:val="single"/>
          <w:rtl/>
        </w:rPr>
        <w:t>–</w:t>
      </w:r>
      <w:r w:rsidRPr="007E4243">
        <w:rPr>
          <w:rFonts w:hint="cs"/>
          <w:u w:val="single"/>
          <w:rtl/>
        </w:rPr>
        <w:t xml:space="preserve"> מתי מאבדת לשעבר:</w:t>
      </w:r>
      <w:r>
        <w:rPr>
          <w:rFonts w:hint="cs"/>
          <w:rtl/>
        </w:rPr>
        <w:t xml:space="preserve"> </w:t>
      </w:r>
      <w:r w:rsidRPr="007E4243">
        <w:rPr>
          <w:rFonts w:hint="cs"/>
          <w:sz w:val="16"/>
          <w:szCs w:val="16"/>
          <w:rtl/>
        </w:rPr>
        <w:t>(דרכ"מ אות ט</w:t>
      </w:r>
      <w:r>
        <w:rPr>
          <w:rFonts w:hint="cs"/>
          <w:sz w:val="16"/>
          <w:szCs w:val="16"/>
          <w:rtl/>
        </w:rPr>
        <w:t>)</w:t>
      </w:r>
    </w:p>
    <w:p w14:paraId="6E0A8806" w14:textId="77777777" w:rsidR="002E5BAD" w:rsidRPr="007E4243" w:rsidRDefault="002E5BAD" w:rsidP="002E5BAD">
      <w:pPr>
        <w:pStyle w:val="ab"/>
        <w:numPr>
          <w:ilvl w:val="0"/>
          <w:numId w:val="131"/>
        </w:numPr>
      </w:pPr>
      <w:r w:rsidRPr="00B12054">
        <w:rPr>
          <w:rFonts w:cs="Arial"/>
          <w:rtl/>
        </w:rPr>
        <w:t xml:space="preserve">מרדכי </w:t>
      </w:r>
      <w:r w:rsidRPr="00520DDF">
        <w:rPr>
          <w:rFonts w:cs="Arial" w:hint="cs"/>
          <w:sz w:val="16"/>
          <w:szCs w:val="16"/>
          <w:rtl/>
        </w:rPr>
        <w:t>(</w:t>
      </w:r>
      <w:r w:rsidRPr="00520DDF">
        <w:rPr>
          <w:rFonts w:cs="Arial"/>
          <w:sz w:val="16"/>
          <w:szCs w:val="16"/>
          <w:rtl/>
        </w:rPr>
        <w:t>ר</w:t>
      </w:r>
      <w:r w:rsidRPr="00520DDF">
        <w:rPr>
          <w:rFonts w:cs="Arial" w:hint="cs"/>
          <w:sz w:val="16"/>
          <w:szCs w:val="16"/>
          <w:rtl/>
        </w:rPr>
        <w:t>"פ</w:t>
      </w:r>
      <w:r w:rsidRPr="00520DDF">
        <w:rPr>
          <w:rFonts w:cs="Arial"/>
          <w:sz w:val="16"/>
          <w:szCs w:val="16"/>
          <w:rtl/>
        </w:rPr>
        <w:t xml:space="preserve"> דייני גזירות סי' רסז</w:t>
      </w:r>
      <w:r>
        <w:rPr>
          <w:rFonts w:cs="Arial" w:hint="cs"/>
          <w:sz w:val="16"/>
          <w:szCs w:val="16"/>
          <w:rtl/>
        </w:rPr>
        <w:t>, וכן בס"פ יש נוחלין סי' תקצז</w:t>
      </w:r>
      <w:r w:rsidRPr="00520DDF">
        <w:rPr>
          <w:rFonts w:cs="Arial"/>
          <w:sz w:val="16"/>
          <w:szCs w:val="16"/>
          <w:rtl/>
        </w:rPr>
        <w:t>)</w:t>
      </w:r>
      <w:r>
        <w:rPr>
          <w:rFonts w:cs="Arial" w:hint="cs"/>
          <w:rtl/>
        </w:rPr>
        <w:t>-</w:t>
      </w:r>
      <w:r w:rsidRPr="00B12054">
        <w:rPr>
          <w:rFonts w:cs="Arial"/>
          <w:rtl/>
        </w:rPr>
        <w:t xml:space="preserve"> עד ג' שנים נאמנת לומר לויתי</w:t>
      </w:r>
      <w:r>
        <w:rPr>
          <w:rFonts w:cs="Arial" w:hint="cs"/>
          <w:rtl/>
        </w:rPr>
        <w:t>,</w:t>
      </w:r>
      <w:r w:rsidRPr="00B12054">
        <w:rPr>
          <w:rFonts w:cs="Arial"/>
          <w:rtl/>
        </w:rPr>
        <w:t xml:space="preserve"> אבל אי שתקה ג' שנים </w:t>
      </w:r>
      <w:r>
        <w:rPr>
          <w:rFonts w:cs="Arial" w:hint="cs"/>
          <w:rtl/>
        </w:rPr>
        <w:t xml:space="preserve">- </w:t>
      </w:r>
      <w:r w:rsidRPr="00B12054">
        <w:rPr>
          <w:rFonts w:cs="Arial"/>
          <w:rtl/>
        </w:rPr>
        <w:t>מחלה ואין צריך לתת לה למפרע</w:t>
      </w:r>
      <w:r>
        <w:rPr>
          <w:rFonts w:cs="Arial" w:hint="cs"/>
          <w:rtl/>
        </w:rPr>
        <w:t>.</w:t>
      </w:r>
      <w:r w:rsidRPr="00B12054">
        <w:rPr>
          <w:rFonts w:cs="Arial"/>
          <w:rtl/>
        </w:rPr>
        <w:t xml:space="preserve"> ומיהו אם היה לה משכון </w:t>
      </w:r>
      <w:r>
        <w:rPr>
          <w:rFonts w:cs="Arial" w:hint="cs"/>
          <w:rtl/>
        </w:rPr>
        <w:t xml:space="preserve">- </w:t>
      </w:r>
      <w:r w:rsidRPr="00B12054">
        <w:rPr>
          <w:rFonts w:cs="Arial"/>
          <w:rtl/>
        </w:rPr>
        <w:t>גביא אף לשעבר</w:t>
      </w:r>
      <w:r>
        <w:rPr>
          <w:rFonts w:cs="Arial" w:hint="cs"/>
          <w:rtl/>
        </w:rPr>
        <w:t>.</w:t>
      </w:r>
      <w:r w:rsidRPr="00B12054">
        <w:rPr>
          <w:rFonts w:cs="Arial"/>
          <w:rtl/>
        </w:rPr>
        <w:t xml:space="preserve"> </w:t>
      </w:r>
    </w:p>
    <w:p w14:paraId="25112E17" w14:textId="77777777" w:rsidR="002E5BAD" w:rsidRDefault="002E5BAD" w:rsidP="002E5BAD">
      <w:pPr>
        <w:pStyle w:val="ab"/>
        <w:numPr>
          <w:ilvl w:val="0"/>
          <w:numId w:val="131"/>
        </w:numPr>
      </w:pPr>
      <w:r w:rsidRPr="00B12054">
        <w:rPr>
          <w:rFonts w:cs="Arial"/>
          <w:rtl/>
        </w:rPr>
        <w:t xml:space="preserve">רמב"ן </w:t>
      </w:r>
      <w:r w:rsidRPr="007E4243">
        <w:rPr>
          <w:rFonts w:cs="Arial"/>
          <w:sz w:val="16"/>
          <w:szCs w:val="16"/>
          <w:rtl/>
        </w:rPr>
        <w:t>(צו. ד"ה אלמנה</w:t>
      </w:r>
      <w:r w:rsidRPr="007E4243">
        <w:rPr>
          <w:rFonts w:cs="Arial" w:hint="cs"/>
          <w:sz w:val="16"/>
          <w:szCs w:val="16"/>
          <w:rtl/>
        </w:rPr>
        <w:t>, כ"כ בשמו הה"מ פי"ח הכ"ו</w:t>
      </w:r>
      <w:r w:rsidRPr="007E4243">
        <w:rPr>
          <w:rFonts w:cs="Arial"/>
          <w:sz w:val="16"/>
          <w:szCs w:val="16"/>
          <w:rtl/>
        </w:rPr>
        <w:t>)</w:t>
      </w:r>
      <w:r w:rsidRPr="007E4243">
        <w:rPr>
          <w:rFonts w:cs="Arial"/>
          <w:rtl/>
        </w:rPr>
        <w:t xml:space="preserve"> </w:t>
      </w:r>
      <w:r>
        <w:rPr>
          <w:rFonts w:cs="Arial" w:hint="cs"/>
          <w:rtl/>
        </w:rPr>
        <w:t>ו</w:t>
      </w:r>
      <w:r w:rsidRPr="00B12054">
        <w:rPr>
          <w:rFonts w:cs="Arial"/>
          <w:rtl/>
        </w:rPr>
        <w:t xml:space="preserve">ר"ן </w:t>
      </w:r>
      <w:r w:rsidRPr="007E4243">
        <w:rPr>
          <w:rFonts w:cs="Arial" w:hint="cs"/>
          <w:sz w:val="16"/>
          <w:szCs w:val="16"/>
          <w:rtl/>
        </w:rPr>
        <w:t>(</w:t>
      </w:r>
      <w:r w:rsidRPr="007E4243">
        <w:rPr>
          <w:rFonts w:cs="Arial"/>
          <w:sz w:val="16"/>
          <w:szCs w:val="16"/>
          <w:rtl/>
        </w:rPr>
        <w:t>ר</w:t>
      </w:r>
      <w:r w:rsidRPr="007E4243">
        <w:rPr>
          <w:rFonts w:cs="Arial" w:hint="cs"/>
          <w:sz w:val="16"/>
          <w:szCs w:val="16"/>
          <w:rtl/>
        </w:rPr>
        <w:t>"פ</w:t>
      </w:r>
      <w:r w:rsidRPr="007E4243">
        <w:rPr>
          <w:rFonts w:cs="Arial"/>
          <w:sz w:val="16"/>
          <w:szCs w:val="16"/>
          <w:rtl/>
        </w:rPr>
        <w:t xml:space="preserve"> אלמנה ניזונת נה: ד"ה אלמנה)</w:t>
      </w:r>
      <w:r>
        <w:rPr>
          <w:rFonts w:cs="Arial" w:hint="cs"/>
          <w:rtl/>
        </w:rPr>
        <w:t>-</w:t>
      </w:r>
      <w:r w:rsidRPr="00B12054">
        <w:rPr>
          <w:rFonts w:cs="Arial"/>
          <w:rtl/>
        </w:rPr>
        <w:t xml:space="preserve"> לא בעינן ג' שנים רק גבי אלמנה </w:t>
      </w:r>
      <w:r w:rsidRPr="007E4243">
        <w:rPr>
          <w:rFonts w:cs="Arial" w:hint="cs"/>
          <w:sz w:val="16"/>
          <w:szCs w:val="16"/>
          <w:rtl/>
        </w:rPr>
        <w:t>(</w:t>
      </w:r>
      <w:r w:rsidRPr="007E4243">
        <w:rPr>
          <w:rFonts w:cs="Arial"/>
          <w:sz w:val="16"/>
          <w:szCs w:val="16"/>
          <w:rtl/>
        </w:rPr>
        <w:t>כדלקמן סי</w:t>
      </w:r>
      <w:r>
        <w:rPr>
          <w:rFonts w:cs="Arial" w:hint="cs"/>
          <w:sz w:val="16"/>
          <w:szCs w:val="16"/>
          <w:rtl/>
        </w:rPr>
        <w:t>'</w:t>
      </w:r>
      <w:r w:rsidRPr="007E4243">
        <w:rPr>
          <w:rFonts w:cs="Arial"/>
          <w:sz w:val="16"/>
          <w:szCs w:val="16"/>
          <w:rtl/>
        </w:rPr>
        <w:t xml:space="preserve"> צג)</w:t>
      </w:r>
      <w:r>
        <w:rPr>
          <w:rFonts w:cs="Arial" w:hint="cs"/>
          <w:rtl/>
        </w:rPr>
        <w:t>,</w:t>
      </w:r>
      <w:r w:rsidRPr="00B12054">
        <w:rPr>
          <w:rFonts w:cs="Arial"/>
          <w:rtl/>
        </w:rPr>
        <w:t xml:space="preserve"> אבל אשת איש שלא תבעה מזונות </w:t>
      </w:r>
      <w:r>
        <w:rPr>
          <w:rFonts w:cs="Arial" w:hint="cs"/>
          <w:rtl/>
        </w:rPr>
        <w:t xml:space="preserve">- </w:t>
      </w:r>
      <w:r w:rsidRPr="00B12054">
        <w:rPr>
          <w:rFonts w:cs="Arial"/>
          <w:rtl/>
        </w:rPr>
        <w:t>אבדה מיד לשעבר</w:t>
      </w:r>
      <w:r>
        <w:rPr>
          <w:rStyle w:val="a7"/>
          <w:rFonts w:cs="Arial"/>
          <w:rtl/>
        </w:rPr>
        <w:footnoteReference w:id="1108"/>
      </w:r>
      <w:r>
        <w:rPr>
          <w:rFonts w:cs="Arial" w:hint="cs"/>
          <w:rtl/>
        </w:rPr>
        <w:t>.</w:t>
      </w:r>
      <w:r w:rsidRPr="00B12054">
        <w:rPr>
          <w:rFonts w:cs="Arial"/>
          <w:rtl/>
        </w:rPr>
        <w:t xml:space="preserve"> </w:t>
      </w:r>
    </w:p>
    <w:p w14:paraId="1F21EF04" w14:textId="77777777" w:rsidR="002E5BAD" w:rsidRDefault="002E5BAD" w:rsidP="002E5BAD">
      <w:r>
        <w:rPr>
          <w:rFonts w:hint="cs"/>
          <w:u w:val="single"/>
          <w:rtl/>
        </w:rPr>
        <w:t xml:space="preserve">אחד שפירנס חתנו ובתו </w:t>
      </w:r>
      <w:r>
        <w:rPr>
          <w:u w:val="single"/>
          <w:rtl/>
        </w:rPr>
        <w:t>–</w:t>
      </w:r>
      <w:r>
        <w:rPr>
          <w:rFonts w:hint="cs"/>
          <w:u w:val="single"/>
          <w:rtl/>
        </w:rPr>
        <w:t xml:space="preserve"> ואח"כ תבען לשלם לו</w:t>
      </w:r>
      <w:r w:rsidRPr="007E4243">
        <w:rPr>
          <w:rFonts w:hint="cs"/>
          <w:u w:val="single"/>
          <w:rtl/>
        </w:rPr>
        <w:t>:</w:t>
      </w:r>
      <w:r>
        <w:rPr>
          <w:rFonts w:hint="cs"/>
          <w:rtl/>
        </w:rPr>
        <w:t xml:space="preserve"> </w:t>
      </w:r>
      <w:r w:rsidRPr="007E4243">
        <w:rPr>
          <w:rFonts w:hint="cs"/>
          <w:sz w:val="16"/>
          <w:szCs w:val="16"/>
          <w:rtl/>
        </w:rPr>
        <w:t xml:space="preserve">(דרכ"מ אות </w:t>
      </w:r>
      <w:r>
        <w:rPr>
          <w:rFonts w:hint="cs"/>
          <w:sz w:val="16"/>
          <w:szCs w:val="16"/>
          <w:rtl/>
        </w:rPr>
        <w:t>י)</w:t>
      </w:r>
    </w:p>
    <w:p w14:paraId="73DB2AF1" w14:textId="77777777" w:rsidR="002E5BAD" w:rsidRPr="007E4243" w:rsidRDefault="002E5BAD" w:rsidP="002E5BAD">
      <w:pPr>
        <w:pStyle w:val="ab"/>
        <w:numPr>
          <w:ilvl w:val="0"/>
          <w:numId w:val="131"/>
        </w:numPr>
      </w:pPr>
      <w:r>
        <w:rPr>
          <w:rFonts w:cs="Arial" w:hint="cs"/>
          <w:rtl/>
        </w:rPr>
        <w:t xml:space="preserve">תרוה"ד </w:t>
      </w:r>
      <w:r>
        <w:rPr>
          <w:rFonts w:cs="Arial" w:hint="cs"/>
          <w:sz w:val="16"/>
          <w:szCs w:val="16"/>
          <w:rtl/>
        </w:rPr>
        <w:t>(סי' שיז)</w:t>
      </w:r>
      <w:r>
        <w:rPr>
          <w:rFonts w:cs="Arial" w:hint="cs"/>
          <w:rtl/>
        </w:rPr>
        <w:t>-</w:t>
      </w:r>
      <w:r w:rsidRPr="00C71DE1">
        <w:rPr>
          <w:rFonts w:cs="Arial"/>
          <w:rtl/>
        </w:rPr>
        <w:t xml:space="preserve"> אחד פירנס חתנו ובתו ב' שנים ואחר כך תובען לשלם לו</w:t>
      </w:r>
      <w:r>
        <w:rPr>
          <w:rFonts w:cs="Arial" w:hint="cs"/>
          <w:rtl/>
        </w:rPr>
        <w:t xml:space="preserve"> </w:t>
      </w:r>
      <w:r>
        <w:rPr>
          <w:rFonts w:cs="Arial"/>
          <w:rtl/>
        </w:rPr>
        <w:t>–</w:t>
      </w:r>
      <w:r>
        <w:rPr>
          <w:rFonts w:cs="Arial" w:hint="cs"/>
          <w:rtl/>
        </w:rPr>
        <w:t xml:space="preserve"> </w:t>
      </w:r>
      <w:r w:rsidRPr="00C71DE1">
        <w:rPr>
          <w:rFonts w:cs="Arial"/>
          <w:rtl/>
        </w:rPr>
        <w:t>פטורים</w:t>
      </w:r>
      <w:r>
        <w:rPr>
          <w:rFonts w:cs="Arial" w:hint="cs"/>
          <w:rtl/>
        </w:rPr>
        <w:t>,</w:t>
      </w:r>
      <w:r w:rsidRPr="00C71DE1">
        <w:rPr>
          <w:rFonts w:cs="Arial"/>
          <w:rtl/>
        </w:rPr>
        <w:t xml:space="preserve"> מאחר דאין רגילות להאכיל בשכר ודאי היה דעתו להאכילן בחנם</w:t>
      </w:r>
      <w:r>
        <w:rPr>
          <w:rFonts w:cs="Arial" w:hint="cs"/>
          <w:rtl/>
        </w:rPr>
        <w:t>.</w:t>
      </w:r>
      <w:r w:rsidRPr="00C71DE1">
        <w:rPr>
          <w:rFonts w:cs="Arial"/>
          <w:rtl/>
        </w:rPr>
        <w:t xml:space="preserve"> אבל אם היה דרכם להאכיל בשכר </w:t>
      </w:r>
      <w:r>
        <w:rPr>
          <w:rFonts w:cs="Arial" w:hint="cs"/>
          <w:rtl/>
        </w:rPr>
        <w:t xml:space="preserve">- </w:t>
      </w:r>
      <w:r w:rsidRPr="00C71DE1">
        <w:rPr>
          <w:rFonts w:cs="Arial"/>
          <w:rtl/>
        </w:rPr>
        <w:t>החתן חייב לשלם לו מזונותיו אבל לא מזונות אשתו</w:t>
      </w:r>
      <w:r>
        <w:rPr>
          <w:rFonts w:cs="Arial" w:hint="cs"/>
          <w:rtl/>
        </w:rPr>
        <w:t>.</w:t>
      </w:r>
    </w:p>
    <w:p w14:paraId="3A0B4C1F"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E7422BE" w14:textId="77777777" w:rsidR="002E5BAD" w:rsidRDefault="002E5BAD" w:rsidP="002E5BAD">
      <w:pPr>
        <w:rPr>
          <w:rtl/>
        </w:rPr>
      </w:pPr>
      <w:r>
        <w:rPr>
          <w:rFonts w:cs="Arial"/>
          <w:rtl/>
        </w:rPr>
        <w:t xml:space="preserve">הלך בעלה, ולותה ואכלה, חייב לשלם. </w:t>
      </w:r>
      <w:r w:rsidRPr="00B12041">
        <w:rPr>
          <w:rFonts w:cs="Arial"/>
          <w:sz w:val="18"/>
          <w:szCs w:val="18"/>
          <w:rtl/>
        </w:rPr>
        <w:t>הגה: המלוה תובע לאשה, והיא תובעת לבעלה. ואם אין האשה כאן, תובע לבעל (הר"ן פ"ש דייני גזירות). מיהו אם מחלה האשה לבעלה, אין למלוה כלום (מרדכי פ' יש נוחלין).</w:t>
      </w:r>
      <w:r>
        <w:rPr>
          <w:rFonts w:cs="Arial" w:hint="cs"/>
          <w:sz w:val="18"/>
          <w:szCs w:val="18"/>
          <w:rtl/>
        </w:rPr>
        <w:t xml:space="preserve"> </w:t>
      </w:r>
      <w:r w:rsidRPr="003F4FC9">
        <w:rPr>
          <w:rFonts w:cs="Arial"/>
          <w:sz w:val="18"/>
          <w:szCs w:val="18"/>
          <w:rtl/>
        </w:rPr>
        <w:t xml:space="preserve">פסקו לה הב"ד מזונות וצוו לאחד לפרנסה ולגבות מנכסי בעלה, אם מת הבעל אין לו עליה כלום. אבל אם אמרו סתם להלוות לה, אם מת הבעל או אין לו לשלם, ונפל לה ירושה ממקום אחר, צריכה היא לשלם (כן משמע מתשובת הרשב"א הביאה הב"י). </w:t>
      </w:r>
      <w:r>
        <w:rPr>
          <w:rFonts w:cs="Arial"/>
          <w:rtl/>
        </w:rPr>
        <w:t xml:space="preserve">עמד אחד מדעת עצמו וזנה משלו, אין הבעל חייב לשלם לו והרי זה איבד מעותיו. </w:t>
      </w:r>
      <w:r w:rsidRPr="00B12041">
        <w:rPr>
          <w:rFonts w:cs="Arial"/>
          <w:sz w:val="18"/>
          <w:szCs w:val="18"/>
          <w:rtl/>
        </w:rPr>
        <w:t>הגה: ואין חילוק בין אביה לאחר שפרנסה. מיהו אם היו חייבים לבעל ופרנסו אשתו, מנכין לו מחובו (הגמ</w:t>
      </w:r>
      <w:r>
        <w:rPr>
          <w:rFonts w:cs="Arial" w:hint="cs"/>
          <w:sz w:val="18"/>
          <w:szCs w:val="18"/>
          <w:rtl/>
        </w:rPr>
        <w:t>"</w:t>
      </w:r>
      <w:r w:rsidRPr="00B12041">
        <w:rPr>
          <w:rFonts w:cs="Arial"/>
          <w:sz w:val="18"/>
          <w:szCs w:val="18"/>
          <w:rtl/>
        </w:rPr>
        <w:t>ר). ואם אביה עמד ופרנס בתו עם חתנו, אפ"ה א"צ לשלם לו רק מזונות שלו, ולא של בתו (ת</w:t>
      </w:r>
      <w:r>
        <w:rPr>
          <w:rFonts w:cs="Arial" w:hint="cs"/>
          <w:sz w:val="18"/>
          <w:szCs w:val="18"/>
          <w:rtl/>
        </w:rPr>
        <w:t>רו</w:t>
      </w:r>
      <w:r w:rsidRPr="00B12041">
        <w:rPr>
          <w:rFonts w:cs="Arial"/>
          <w:sz w:val="18"/>
          <w:szCs w:val="18"/>
          <w:rtl/>
        </w:rPr>
        <w:t>ה</w:t>
      </w:r>
      <w:r>
        <w:rPr>
          <w:rFonts w:cs="Arial" w:hint="cs"/>
          <w:sz w:val="18"/>
          <w:szCs w:val="18"/>
          <w:rtl/>
        </w:rPr>
        <w:t>"ד</w:t>
      </w:r>
      <w:r w:rsidRPr="00B12041">
        <w:rPr>
          <w:rFonts w:cs="Arial"/>
          <w:sz w:val="18"/>
          <w:szCs w:val="18"/>
          <w:rtl/>
        </w:rPr>
        <w:t xml:space="preserve"> סי' שיז). לא לותה, רק מכרה נכסיה ופרנסה, אין לה עליו כלום ומעשה ידיה שלה (הר"ן ריש דייני גזירות).</w:t>
      </w:r>
      <w:r>
        <w:rPr>
          <w:rFonts w:cs="Arial"/>
          <w:rtl/>
        </w:rPr>
        <w:t xml:space="preserve"> </w:t>
      </w:r>
    </w:p>
    <w:p w14:paraId="2865B8ED" w14:textId="77777777" w:rsidR="002E5BAD" w:rsidRDefault="002E5BAD" w:rsidP="002E5BAD">
      <w:pPr>
        <w:rPr>
          <w:rtl/>
        </w:rPr>
      </w:pPr>
    </w:p>
    <w:p w14:paraId="61743722" w14:textId="77777777" w:rsidR="002E5BAD" w:rsidRDefault="002E5BAD" w:rsidP="002E5BAD">
      <w:pPr>
        <w:pStyle w:val="2"/>
        <w:rPr>
          <w:rtl/>
        </w:rPr>
      </w:pPr>
      <w:r>
        <w:rPr>
          <w:rtl/>
        </w:rPr>
        <w:t>סעיף ט</w:t>
      </w:r>
      <w:r>
        <w:rPr>
          <w:rFonts w:hint="cs"/>
          <w:rtl/>
        </w:rPr>
        <w:t>: חזר ממדינת הים ואמר 'צאי מעשה ידיך שעשית או שהיה לך לעשות במזונותיך'.</w:t>
      </w:r>
    </w:p>
    <w:p w14:paraId="427407CA" w14:textId="77777777" w:rsidR="002E5BAD" w:rsidRPr="00D14ADC" w:rsidRDefault="002E5BAD" w:rsidP="002E5BAD">
      <w:pPr>
        <w:rPr>
          <w:u w:val="single"/>
        </w:rPr>
      </w:pPr>
      <w:r>
        <w:rPr>
          <w:rFonts w:hint="cs"/>
          <w:u w:val="single"/>
          <w:rtl/>
        </w:rPr>
        <w:t>אמר לה בשעה</w:t>
      </w:r>
      <w:r w:rsidRPr="00D14ADC">
        <w:rPr>
          <w:rFonts w:hint="cs"/>
          <w:u w:val="single"/>
          <w:rtl/>
        </w:rPr>
        <w:t xml:space="preserve"> שהלך</w:t>
      </w:r>
      <w:r>
        <w:rPr>
          <w:rFonts w:hint="cs"/>
          <w:u w:val="single"/>
          <w:rtl/>
        </w:rPr>
        <w:t xml:space="preserve"> למדינת הים</w:t>
      </w:r>
      <w:r w:rsidRPr="00D14ADC">
        <w:rPr>
          <w:rFonts w:hint="cs"/>
          <w:u w:val="single"/>
          <w:rtl/>
        </w:rPr>
        <w:t xml:space="preserve"> 'צאי מעשה ידיך במזונותיך':</w:t>
      </w:r>
    </w:p>
    <w:p w14:paraId="785BB48F" w14:textId="77777777" w:rsidR="002E5BAD" w:rsidRDefault="002E5BAD" w:rsidP="002E5BAD">
      <w:pPr>
        <w:pStyle w:val="ab"/>
        <w:numPr>
          <w:ilvl w:val="0"/>
          <w:numId w:val="135"/>
        </w:numPr>
        <w:rPr>
          <w:rFonts w:cs="Arial"/>
        </w:rPr>
      </w:pPr>
      <w:r>
        <w:rPr>
          <w:rFonts w:cs="Arial" w:hint="cs"/>
          <w:rtl/>
        </w:rPr>
        <w:t xml:space="preserve">טור- </w:t>
      </w:r>
      <w:r w:rsidRPr="0097582A">
        <w:rPr>
          <w:rFonts w:cs="Arial"/>
          <w:rtl/>
        </w:rPr>
        <w:t xml:space="preserve">ואם בא ואמר קודם שהלכתי אמרתי לה צאי מעשה ידיך במזונותיך ונתרצית </w:t>
      </w:r>
      <w:r>
        <w:rPr>
          <w:rFonts w:cs="Arial" w:hint="cs"/>
          <w:rtl/>
        </w:rPr>
        <w:t xml:space="preserve">- </w:t>
      </w:r>
      <w:r w:rsidRPr="0097582A">
        <w:rPr>
          <w:rFonts w:cs="Arial"/>
          <w:rtl/>
        </w:rPr>
        <w:t>נאמן</w:t>
      </w:r>
      <w:r>
        <w:rPr>
          <w:rStyle w:val="a7"/>
          <w:rFonts w:cs="Arial"/>
          <w:rtl/>
        </w:rPr>
        <w:footnoteReference w:id="1109"/>
      </w:r>
      <w:r>
        <w:rPr>
          <w:rFonts w:cs="Arial" w:hint="cs"/>
          <w:rtl/>
        </w:rPr>
        <w:t>.</w:t>
      </w:r>
      <w:r w:rsidRPr="007707B3">
        <w:rPr>
          <w:rtl/>
        </w:rPr>
        <w:t xml:space="preserve"> </w:t>
      </w:r>
    </w:p>
    <w:p w14:paraId="712ACC87" w14:textId="77777777" w:rsidR="002E5BAD" w:rsidRPr="007707B3" w:rsidRDefault="002E5BAD" w:rsidP="002E5BAD">
      <w:pPr>
        <w:pStyle w:val="ab"/>
        <w:numPr>
          <w:ilvl w:val="0"/>
          <w:numId w:val="135"/>
        </w:numPr>
        <w:rPr>
          <w:rFonts w:cs="Arial"/>
          <w:rtl/>
        </w:rPr>
      </w:pPr>
      <w:r w:rsidRPr="007707B3">
        <w:rPr>
          <w:rFonts w:cs="Arial"/>
          <w:rtl/>
        </w:rPr>
        <w:lastRenderedPageBreak/>
        <w:t xml:space="preserve">רמב"ם </w:t>
      </w:r>
      <w:r>
        <w:rPr>
          <w:rFonts w:cs="Arial" w:hint="cs"/>
          <w:sz w:val="16"/>
          <w:szCs w:val="16"/>
          <w:rtl/>
        </w:rPr>
        <w:t>(פי"ב מאישות ה"כ)</w:t>
      </w:r>
      <w:r>
        <w:rPr>
          <w:rFonts w:cs="Arial" w:hint="cs"/>
          <w:rtl/>
        </w:rPr>
        <w:t>-</w:t>
      </w:r>
      <w:r w:rsidRPr="00C57942">
        <w:rPr>
          <w:rtl/>
        </w:rPr>
        <w:t xml:space="preserve"> </w:t>
      </w:r>
      <w:r w:rsidRPr="00C57942">
        <w:rPr>
          <w:rFonts w:cs="Arial"/>
          <w:rtl/>
        </w:rPr>
        <w:t>הבעל שאמר לאשתו בשעה שהלך טלי מעשה ידיך במזונותיך אין לה מזונות, שאילו לא רצתה בדבר זה ולא סמכה דעתה היה לה לתבעו או לומר לו אין מעשה ידי מספיקין לי</w:t>
      </w:r>
      <w:r>
        <w:rPr>
          <w:rStyle w:val="a7"/>
          <w:rFonts w:cs="Arial"/>
          <w:rtl/>
        </w:rPr>
        <w:footnoteReference w:id="1110"/>
      </w:r>
      <w:r>
        <w:rPr>
          <w:rFonts w:cs="Arial" w:hint="cs"/>
          <w:rtl/>
        </w:rPr>
        <w:t>.</w:t>
      </w:r>
    </w:p>
    <w:p w14:paraId="11F55D8B" w14:textId="77777777" w:rsidR="002E5BAD" w:rsidRPr="00D14ADC" w:rsidRDefault="002E5BAD" w:rsidP="002E5BAD">
      <w:pPr>
        <w:rPr>
          <w:u w:val="single"/>
        </w:rPr>
      </w:pPr>
      <w:r>
        <w:rPr>
          <w:rFonts w:hint="cs"/>
          <w:u w:val="single"/>
          <w:rtl/>
        </w:rPr>
        <w:t>הלך למדינת הים, ולותה כדי לקנות</w:t>
      </w:r>
      <w:r w:rsidRPr="00D14ADC">
        <w:rPr>
          <w:rFonts w:hint="cs"/>
          <w:u w:val="single"/>
          <w:rtl/>
        </w:rPr>
        <w:t xml:space="preserve"> בגדי שבת ורגל</w:t>
      </w:r>
      <w:r>
        <w:rPr>
          <w:rFonts w:hint="cs"/>
          <w:u w:val="single"/>
          <w:rtl/>
        </w:rPr>
        <w:t>:</w:t>
      </w:r>
    </w:p>
    <w:p w14:paraId="0D1252C6" w14:textId="77777777" w:rsidR="002E5BAD" w:rsidRPr="00D14ADC" w:rsidRDefault="002E5BAD" w:rsidP="002E5BAD">
      <w:pPr>
        <w:pStyle w:val="ab"/>
        <w:numPr>
          <w:ilvl w:val="0"/>
          <w:numId w:val="135"/>
        </w:numPr>
        <w:rPr>
          <w:rtl/>
        </w:rPr>
      </w:pPr>
      <w:r w:rsidRPr="00D14ADC">
        <w:rPr>
          <w:rFonts w:cs="Arial" w:hint="cs"/>
          <w:rtl/>
        </w:rPr>
        <w:t xml:space="preserve">מהר"ם </w:t>
      </w:r>
      <w:r w:rsidRPr="00D14ADC">
        <w:rPr>
          <w:rFonts w:cs="Arial"/>
          <w:sz w:val="16"/>
          <w:szCs w:val="16"/>
          <w:rtl/>
        </w:rPr>
        <w:t>(ד"פ סי' פב)</w:t>
      </w:r>
      <w:r w:rsidRPr="00D14ADC">
        <w:rPr>
          <w:rFonts w:cs="Arial" w:hint="cs"/>
          <w:rtl/>
        </w:rPr>
        <w:t xml:space="preserve">- </w:t>
      </w:r>
      <w:r w:rsidRPr="00D14ADC">
        <w:rPr>
          <w:rFonts w:cs="Arial"/>
          <w:rtl/>
        </w:rPr>
        <w:t>ועל אבי הבחורה שהלוה לה לצורך בגדים אם קנתה בגדי' שדרך משפחתו ומשפחתה בכך ונמצא שמן הדין חייב והיא לותה בפירוש ע"מ לפרוע או אפי' בסתם שאז היא חייבת לפרוע חייב הבעל מדר' נתן דלא שייך התם למימר הניח מעותיו על קרן הצבי אמנם אם הבעל רוצה לשבע שחמיו הי' לו כל כך הרבה משלו ישבע כן ויפטור כדרך כל הנשבעי' שבתורה שנשבעי' ולא משלמי' ואם לא הלוה לה אלא סמך שיפרע הבעל שייך למימר הניח מעותיו על קרן הצבי כמו מי שהלך למדה"י ועמד א' ופרנס את אשתו דקיי"ל כחנן דאמ' [כתובות קז</w:t>
      </w:r>
      <w:r>
        <w:rPr>
          <w:rFonts w:cs="Arial" w:hint="cs"/>
          <w:rtl/>
        </w:rPr>
        <w:t>:</w:t>
      </w:r>
      <w:r w:rsidRPr="00D14ADC">
        <w:rPr>
          <w:rFonts w:cs="Arial"/>
          <w:rtl/>
        </w:rPr>
        <w:t>] הניח מעותיו על קרן הצבי ואין לחלק לענין בגדי' יתרים שאינם צריכי' כל כך בין אב לאחר אפי' מאן דמפליג בין אב לאחר בירושלמי בפ' בתרא דכתו' דה"מ גבי מזונות שלא עלתה על דעתו שתמות בתו ברעב או לקוברה כדאי' בירושלמי ולא עלתה על דעתו שתהא מושלכת לכלבים אבל בגדי שבת ורגל שאין לה צורך גדול כל כך לא ושלום מאיר ב"ב זלה"ה.</w:t>
      </w:r>
    </w:p>
    <w:p w14:paraId="12FE2F0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C5EE2C1" w14:textId="77777777" w:rsidR="002E5BAD" w:rsidRDefault="002E5BAD" w:rsidP="002E5BAD">
      <w:pPr>
        <w:rPr>
          <w:rtl/>
        </w:rPr>
      </w:pPr>
      <w:r>
        <w:rPr>
          <w:rFonts w:cs="Arial"/>
          <w:rtl/>
        </w:rPr>
        <w:t xml:space="preserve">הבעל שאמר לאשתו בשעה שהלך: טלי מעשה ידיך למזונותיך, ושתקה, אין לה מזונות. </w:t>
      </w:r>
    </w:p>
    <w:p w14:paraId="1F2DDD55" w14:textId="77777777" w:rsidR="002E5BAD" w:rsidRDefault="002E5BAD" w:rsidP="002E5BAD">
      <w:pPr>
        <w:rPr>
          <w:rtl/>
        </w:rPr>
      </w:pPr>
    </w:p>
    <w:p w14:paraId="3D90C9D7" w14:textId="77777777" w:rsidR="002E5BAD" w:rsidRDefault="002E5BAD" w:rsidP="002E5BAD">
      <w:pPr>
        <w:pStyle w:val="2"/>
        <w:rPr>
          <w:rtl/>
        </w:rPr>
      </w:pPr>
      <w:r>
        <w:rPr>
          <w:rtl/>
        </w:rPr>
        <w:t>סעיף י</w:t>
      </w:r>
      <w:r>
        <w:rPr>
          <w:rFonts w:hint="cs"/>
          <w:rtl/>
        </w:rPr>
        <w:t xml:space="preserve">: </w:t>
      </w:r>
      <w:r w:rsidRPr="00765055">
        <w:rPr>
          <w:rFonts w:cs="Arial" w:hint="cs"/>
          <w:rtl/>
        </w:rPr>
        <w:t>חזר ממדינת הים ואמר 'הנחתי לה מזונות לפני שיצאתי'</w:t>
      </w:r>
      <w:r>
        <w:rPr>
          <w:rFonts w:hint="cs"/>
          <w:rtl/>
        </w:rPr>
        <w:t>.</w:t>
      </w:r>
    </w:p>
    <w:p w14:paraId="769C0D47" w14:textId="77777777" w:rsidR="002E5BAD" w:rsidRDefault="002E5BAD" w:rsidP="002E5BAD">
      <w:pPr>
        <w:rPr>
          <w:rFonts w:cs="Arial"/>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5E29BB">
        <w:rPr>
          <w:rFonts w:cs="Arial"/>
          <w:rtl/>
        </w:rPr>
        <w:t xml:space="preserve">תא שמע: מי שהלך למדינת הים ואשתו תובעת מזונות, </w:t>
      </w:r>
      <w:r w:rsidRPr="005E29BB">
        <w:rPr>
          <w:rFonts w:cs="Arial"/>
          <w:u w:val="single"/>
          <w:rtl/>
        </w:rPr>
        <w:t>בני כהנים גדולים אומרים</w:t>
      </w:r>
      <w:r w:rsidRPr="005E29BB">
        <w:rPr>
          <w:rFonts w:cs="Arial"/>
          <w:rtl/>
        </w:rPr>
        <w:t xml:space="preserve">: תשבע, </w:t>
      </w:r>
      <w:r w:rsidRPr="005E29BB">
        <w:rPr>
          <w:rFonts w:cs="Arial"/>
          <w:u w:val="single"/>
          <w:rtl/>
        </w:rPr>
        <w:t>חנן אומר</w:t>
      </w:r>
      <w:r w:rsidRPr="005E29BB">
        <w:rPr>
          <w:rFonts w:cs="Arial"/>
          <w:rtl/>
        </w:rPr>
        <w:t>: לא תשבע, ואם בא ואמר פסקתי לה מזונות - נאמן</w:t>
      </w:r>
      <w:r>
        <w:rPr>
          <w:rFonts w:cs="Arial" w:hint="cs"/>
          <w:rtl/>
        </w:rPr>
        <w:t>...</w:t>
      </w:r>
      <w:r w:rsidRPr="00765055">
        <w:rPr>
          <w:rFonts w:cs="Arial"/>
          <w:rtl/>
        </w:rPr>
        <w:t xml:space="preserve"> </w:t>
      </w:r>
      <w:r w:rsidRPr="00A26F4F">
        <w:rPr>
          <w:rFonts w:cs="Arial"/>
          <w:rtl/>
        </w:rPr>
        <w:t>ת"ש: מי שהלך למדינת הים ואשתו תובעת מזונות, ואם בא ואמר צאי מעשה ידיך במזונותיך - רשאי, קדמו בית דין ופסקו - מה שפסקו פסקו</w:t>
      </w:r>
      <w:r>
        <w:rPr>
          <w:rFonts w:cs="Arial" w:hint="cs"/>
          <w:rtl/>
        </w:rPr>
        <w:t>.</w:t>
      </w:r>
    </w:p>
    <w:p w14:paraId="5BB64445" w14:textId="77777777" w:rsidR="002E5BAD" w:rsidRPr="008F6E32" w:rsidRDefault="002E5BAD" w:rsidP="002E5BAD">
      <w:pPr>
        <w:rPr>
          <w:rFonts w:cs="Arial"/>
          <w:u w:val="single"/>
          <w:rtl/>
        </w:rPr>
      </w:pPr>
      <w:r w:rsidRPr="00765055">
        <w:rPr>
          <w:rFonts w:cs="Arial" w:hint="cs"/>
          <w:u w:val="single"/>
          <w:rtl/>
        </w:rPr>
        <w:t>בעל שחזר ממדינת הים ואמר 'הנחתי לה מזונות לפני שיצאתי'</w:t>
      </w:r>
      <w:r w:rsidRPr="008F6E32">
        <w:rPr>
          <w:rFonts w:cs="Arial" w:hint="cs"/>
          <w:u w:val="single"/>
          <w:rtl/>
        </w:rPr>
        <w:t>:</w:t>
      </w:r>
    </w:p>
    <w:p w14:paraId="7A65DF0F" w14:textId="77777777" w:rsidR="002E5BAD" w:rsidRPr="00235C1E" w:rsidRDefault="002E5BAD" w:rsidP="002E5BAD">
      <w:pPr>
        <w:pStyle w:val="ab"/>
        <w:numPr>
          <w:ilvl w:val="0"/>
          <w:numId w:val="135"/>
        </w:numPr>
      </w:pPr>
      <w:r w:rsidRPr="00235C1E">
        <w:rPr>
          <w:rFonts w:cs="Arial"/>
          <w:rtl/>
        </w:rPr>
        <w:t>רי"ף</w:t>
      </w:r>
      <w:r>
        <w:rPr>
          <w:rFonts w:cs="Arial" w:hint="cs"/>
          <w:rtl/>
        </w:rPr>
        <w:t xml:space="preserve"> </w:t>
      </w:r>
      <w:r w:rsidRPr="001F293E">
        <w:rPr>
          <w:rFonts w:cs="Arial"/>
          <w:sz w:val="16"/>
          <w:szCs w:val="16"/>
          <w:rtl/>
        </w:rPr>
        <w:t>(סב:</w:t>
      </w:r>
      <w:r>
        <w:rPr>
          <w:rFonts w:cs="Arial" w:hint="cs"/>
          <w:sz w:val="16"/>
          <w:szCs w:val="16"/>
          <w:rtl/>
        </w:rPr>
        <w:t>, ובתשו'</w:t>
      </w:r>
      <w:r>
        <w:rPr>
          <w:rStyle w:val="a7"/>
          <w:rFonts w:cs="Arial"/>
          <w:sz w:val="16"/>
          <w:szCs w:val="16"/>
          <w:rtl/>
        </w:rPr>
        <w:footnoteReference w:id="1111"/>
      </w:r>
      <w:r>
        <w:rPr>
          <w:rFonts w:cs="Arial" w:hint="cs"/>
          <w:sz w:val="16"/>
          <w:szCs w:val="16"/>
          <w:rtl/>
        </w:rPr>
        <w:t>, הביאה ספר התרומות [שער סה ח"א אות ו] והטור</w:t>
      </w:r>
      <w:r w:rsidRPr="001F293E">
        <w:rPr>
          <w:rFonts w:cs="Arial"/>
          <w:sz w:val="16"/>
          <w:szCs w:val="16"/>
          <w:rtl/>
        </w:rPr>
        <w:t>)</w:t>
      </w:r>
      <w:r w:rsidRPr="00235C1E">
        <w:rPr>
          <w:rFonts w:cs="Arial"/>
          <w:rtl/>
        </w:rPr>
        <w:t xml:space="preserve"> רש"י </w:t>
      </w:r>
      <w:r w:rsidRPr="00235C1E">
        <w:rPr>
          <w:rFonts w:cs="Arial" w:hint="cs"/>
          <w:sz w:val="16"/>
          <w:szCs w:val="16"/>
          <w:rtl/>
        </w:rPr>
        <w:t>(שם ד"ה נאמן)</w:t>
      </w:r>
      <w:r w:rsidRPr="001F293E">
        <w:rPr>
          <w:rFonts w:cs="Arial"/>
          <w:rtl/>
        </w:rPr>
        <w:t xml:space="preserve"> </w:t>
      </w:r>
      <w:r>
        <w:rPr>
          <w:rFonts w:cs="Arial" w:hint="cs"/>
          <w:rtl/>
        </w:rPr>
        <w:t>ו</w:t>
      </w:r>
      <w:r w:rsidRPr="00235C1E">
        <w:rPr>
          <w:rFonts w:cs="Arial"/>
          <w:rtl/>
        </w:rPr>
        <w:t xml:space="preserve">רא"ש </w:t>
      </w:r>
      <w:r w:rsidRPr="001F293E">
        <w:rPr>
          <w:rFonts w:cs="Arial"/>
          <w:sz w:val="16"/>
          <w:szCs w:val="16"/>
          <w:rtl/>
        </w:rPr>
        <w:t>(סי' א)</w:t>
      </w:r>
      <w:r w:rsidRPr="00235C1E">
        <w:rPr>
          <w:rFonts w:cs="Arial" w:hint="cs"/>
          <w:rtl/>
        </w:rPr>
        <w:t xml:space="preserve">- </w:t>
      </w:r>
      <w:r w:rsidRPr="00235C1E">
        <w:rPr>
          <w:rFonts w:cs="Arial"/>
          <w:rtl/>
        </w:rPr>
        <w:t>נאמן</w:t>
      </w:r>
      <w:r>
        <w:rPr>
          <w:rFonts w:cs="Arial" w:hint="cs"/>
          <w:rtl/>
        </w:rPr>
        <w:t>,</w:t>
      </w:r>
      <w:r w:rsidRPr="00235C1E">
        <w:rPr>
          <w:rFonts w:cs="Arial"/>
          <w:rtl/>
        </w:rPr>
        <w:t xml:space="preserve"> ובשבועה</w:t>
      </w:r>
      <w:r>
        <w:rPr>
          <w:rFonts w:cs="Arial" w:hint="cs"/>
          <w:rtl/>
        </w:rPr>
        <w:t>,</w:t>
      </w:r>
      <w:r w:rsidRPr="00235C1E">
        <w:rPr>
          <w:rFonts w:cs="Arial"/>
          <w:rtl/>
        </w:rPr>
        <w:t xml:space="preserve"> ומחזרת מה שנתנו לה ב"ד</w:t>
      </w:r>
      <w:r>
        <w:rPr>
          <w:rStyle w:val="a7"/>
          <w:rFonts w:cs="Arial"/>
          <w:rtl/>
        </w:rPr>
        <w:footnoteReference w:id="1112"/>
      </w:r>
      <w:r>
        <w:rPr>
          <w:rFonts w:cs="Arial" w:hint="cs"/>
          <w:sz w:val="16"/>
          <w:szCs w:val="16"/>
          <w:rtl/>
        </w:rPr>
        <w:t xml:space="preserve"> (ל' רש"י)</w:t>
      </w:r>
      <w:r w:rsidRPr="00235C1E">
        <w:rPr>
          <w:rFonts w:cs="Arial" w:hint="cs"/>
          <w:rtl/>
        </w:rPr>
        <w:t>.</w:t>
      </w:r>
      <w:r w:rsidRPr="00235C1E">
        <w:rPr>
          <w:rFonts w:cs="Arial"/>
          <w:rtl/>
        </w:rPr>
        <w:t xml:space="preserve"> </w:t>
      </w:r>
    </w:p>
    <w:p w14:paraId="312B340B" w14:textId="77777777" w:rsidR="002E5BAD" w:rsidRPr="008F6E32" w:rsidRDefault="002E5BAD" w:rsidP="002E5BAD">
      <w:pPr>
        <w:pStyle w:val="ab"/>
        <w:numPr>
          <w:ilvl w:val="0"/>
          <w:numId w:val="135"/>
        </w:numPr>
      </w:pPr>
      <w:r w:rsidRPr="00235C1E">
        <w:rPr>
          <w:rFonts w:cs="Arial"/>
          <w:rtl/>
        </w:rPr>
        <w:t>תוס</w:t>
      </w:r>
      <w:r>
        <w:rPr>
          <w:rFonts w:cs="Arial" w:hint="cs"/>
          <w:rtl/>
        </w:rPr>
        <w:t>'</w:t>
      </w:r>
      <w:r w:rsidRPr="00235C1E">
        <w:rPr>
          <w:rFonts w:cs="Arial"/>
          <w:rtl/>
        </w:rPr>
        <w:t xml:space="preserve"> </w:t>
      </w:r>
      <w:r w:rsidRPr="00235C1E">
        <w:rPr>
          <w:rFonts w:cs="Arial"/>
          <w:sz w:val="16"/>
          <w:szCs w:val="16"/>
          <w:rtl/>
        </w:rPr>
        <w:t>(ד"ה ואם)</w:t>
      </w:r>
      <w:r>
        <w:rPr>
          <w:rFonts w:cs="Arial" w:hint="cs"/>
          <w:rtl/>
        </w:rPr>
        <w:t>-</w:t>
      </w:r>
      <w:r w:rsidRPr="00235C1E">
        <w:rPr>
          <w:rFonts w:cs="Arial"/>
          <w:rtl/>
        </w:rPr>
        <w:t xml:space="preserve"> </w:t>
      </w:r>
      <w:r w:rsidRPr="00EB5667">
        <w:rPr>
          <w:rFonts w:cs="Arial"/>
          <w:rtl/>
        </w:rPr>
        <w:t xml:space="preserve">ונראה לרבי </w:t>
      </w:r>
      <w:r>
        <w:rPr>
          <w:rFonts w:cs="Arial" w:hint="cs"/>
          <w:sz w:val="16"/>
          <w:szCs w:val="16"/>
          <w:rtl/>
        </w:rPr>
        <w:t xml:space="preserve">{ד-'נאמן' היינו} </w:t>
      </w:r>
      <w:r w:rsidRPr="00EB5667">
        <w:rPr>
          <w:rFonts w:cs="Arial"/>
          <w:rtl/>
        </w:rPr>
        <w:t>להצריכה שבועה</w:t>
      </w:r>
      <w:r>
        <w:rPr>
          <w:rFonts w:cs="Arial" w:hint="cs"/>
          <w:rtl/>
        </w:rPr>
        <w:t>,</w:t>
      </w:r>
      <w:r w:rsidRPr="00EB5667">
        <w:rPr>
          <w:rFonts w:cs="Arial"/>
          <w:rtl/>
        </w:rPr>
        <w:t xml:space="preserve"> ובשבועה תגבה מה שלוותה ואכלה</w:t>
      </w:r>
      <w:r>
        <w:rPr>
          <w:rFonts w:cs="Arial" w:hint="cs"/>
          <w:rtl/>
        </w:rPr>
        <w:t>.</w:t>
      </w:r>
      <w:r w:rsidRPr="00EB5667">
        <w:rPr>
          <w:rFonts w:cs="Arial"/>
          <w:rtl/>
        </w:rPr>
        <w:t xml:space="preserve"> דאי לאו הכי לא תמצא מי שילוה לה</w:t>
      </w:r>
      <w:r>
        <w:rPr>
          <w:rFonts w:cs="Arial" w:hint="cs"/>
          <w:rtl/>
        </w:rPr>
        <w:t>,</w:t>
      </w:r>
      <w:r w:rsidRPr="00EB5667">
        <w:rPr>
          <w:rFonts w:cs="Arial"/>
          <w:rtl/>
        </w:rPr>
        <w:t xml:space="preserve"> שיראים להפסיד</w:t>
      </w:r>
      <w:r>
        <w:rPr>
          <w:rFonts w:cs="Arial" w:hint="cs"/>
          <w:rtl/>
        </w:rPr>
        <w:t>.</w:t>
      </w:r>
      <w:r w:rsidRPr="00EB5667">
        <w:rPr>
          <w:rFonts w:cs="Arial"/>
          <w:rtl/>
        </w:rPr>
        <w:t xml:space="preserve"> אבל עכשיו שהיא נשבעת אין יראים כלום</w:t>
      </w:r>
      <w:r>
        <w:rPr>
          <w:rFonts w:cs="Arial" w:hint="cs"/>
          <w:rtl/>
        </w:rPr>
        <w:t>,</w:t>
      </w:r>
      <w:r w:rsidRPr="00EB5667">
        <w:rPr>
          <w:rFonts w:cs="Arial"/>
          <w:rtl/>
        </w:rPr>
        <w:t xml:space="preserve"> שסומכין עליה שתשבע</w:t>
      </w:r>
      <w:r>
        <w:rPr>
          <w:rStyle w:val="a7"/>
          <w:rFonts w:cs="Arial"/>
          <w:rtl/>
        </w:rPr>
        <w:footnoteReference w:id="1113"/>
      </w:r>
      <w:r>
        <w:rPr>
          <w:rFonts w:cs="Arial" w:hint="cs"/>
          <w:rtl/>
        </w:rPr>
        <w:t>.</w:t>
      </w:r>
      <w:r w:rsidRPr="00235C1E">
        <w:rPr>
          <w:rFonts w:cs="Arial"/>
          <w:rtl/>
        </w:rPr>
        <w:t xml:space="preserve"> </w:t>
      </w:r>
      <w:r w:rsidRPr="0085543D">
        <w:rPr>
          <w:rFonts w:cs="Arial"/>
          <w:rtl/>
        </w:rPr>
        <w:t xml:space="preserve"> </w:t>
      </w:r>
    </w:p>
    <w:p w14:paraId="61784B8E" w14:textId="77777777" w:rsidR="002E5BAD" w:rsidRDefault="002E5BAD" w:rsidP="002E5BAD">
      <w:pPr>
        <w:pStyle w:val="ab"/>
        <w:numPr>
          <w:ilvl w:val="0"/>
          <w:numId w:val="135"/>
        </w:numPr>
      </w:pPr>
      <w:r w:rsidRPr="00235C1E">
        <w:rPr>
          <w:rFonts w:cs="Arial"/>
          <w:rtl/>
        </w:rPr>
        <w:t xml:space="preserve">רמב"ם </w:t>
      </w:r>
      <w:r w:rsidRPr="0085543D">
        <w:rPr>
          <w:rFonts w:cs="Arial" w:hint="cs"/>
          <w:sz w:val="16"/>
          <w:szCs w:val="16"/>
          <w:rtl/>
        </w:rPr>
        <w:t>(</w:t>
      </w:r>
      <w:r w:rsidRPr="0085543D">
        <w:rPr>
          <w:rFonts w:cs="Arial"/>
          <w:sz w:val="16"/>
          <w:szCs w:val="16"/>
          <w:rtl/>
        </w:rPr>
        <w:t>פי"ב מאישות</w:t>
      </w:r>
      <w:r w:rsidRPr="0085543D">
        <w:rPr>
          <w:rFonts w:cs="Arial" w:hint="cs"/>
          <w:sz w:val="16"/>
          <w:szCs w:val="16"/>
          <w:rtl/>
        </w:rPr>
        <w:t xml:space="preserve"> </w:t>
      </w:r>
      <w:r w:rsidRPr="0085543D">
        <w:rPr>
          <w:rFonts w:cs="Arial"/>
          <w:sz w:val="16"/>
          <w:szCs w:val="16"/>
          <w:rtl/>
        </w:rPr>
        <w:t>הכ</w:t>
      </w:r>
      <w:r w:rsidRPr="0085543D">
        <w:rPr>
          <w:rFonts w:cs="Arial" w:hint="cs"/>
          <w:sz w:val="16"/>
          <w:szCs w:val="16"/>
          <w:rtl/>
        </w:rPr>
        <w:t>"</w:t>
      </w:r>
      <w:r w:rsidRPr="0085543D">
        <w:rPr>
          <w:rFonts w:cs="Arial"/>
          <w:sz w:val="16"/>
          <w:szCs w:val="16"/>
          <w:rtl/>
        </w:rPr>
        <w:t>א-כב)</w:t>
      </w:r>
      <w:r>
        <w:rPr>
          <w:rFonts w:cs="Arial" w:hint="cs"/>
          <w:rtl/>
        </w:rPr>
        <w:t>-</w:t>
      </w:r>
      <w:r w:rsidRPr="00235C1E">
        <w:rPr>
          <w:rFonts w:cs="Arial"/>
          <w:rtl/>
        </w:rPr>
        <w:t xml:space="preserve"> הרי שעמדה בדין ופסקו לה מזונות ומכרו בית דין ונתנו לה</w:t>
      </w:r>
      <w:r>
        <w:rPr>
          <w:rFonts w:cs="Arial" w:hint="cs"/>
          <w:rtl/>
        </w:rPr>
        <w:t>,</w:t>
      </w:r>
      <w:r w:rsidRPr="00235C1E">
        <w:rPr>
          <w:rFonts w:cs="Arial"/>
          <w:rtl/>
        </w:rPr>
        <w:t xml:space="preserve"> או שמכרה היא לעצמה</w:t>
      </w:r>
      <w:r>
        <w:rPr>
          <w:rFonts w:cs="Arial" w:hint="cs"/>
          <w:rtl/>
        </w:rPr>
        <w:t>,</w:t>
      </w:r>
      <w:r w:rsidRPr="00235C1E">
        <w:rPr>
          <w:rFonts w:cs="Arial"/>
          <w:rtl/>
        </w:rPr>
        <w:t xml:space="preserve"> ובא הבעל ואמר הנחתי לה מזונות </w:t>
      </w:r>
      <w:r>
        <w:rPr>
          <w:rFonts w:cs="Arial" w:hint="cs"/>
          <w:rtl/>
        </w:rPr>
        <w:t xml:space="preserve">- </w:t>
      </w:r>
      <w:r w:rsidRPr="00235C1E">
        <w:rPr>
          <w:rFonts w:cs="Arial"/>
          <w:rtl/>
        </w:rPr>
        <w:t>הרי זו נשבעת בנקיטת חפץ שלא הניח לה</w:t>
      </w:r>
      <w:r>
        <w:rPr>
          <w:rStyle w:val="a7"/>
          <w:rFonts w:cs="Arial"/>
          <w:rtl/>
        </w:rPr>
        <w:footnoteReference w:id="1114"/>
      </w:r>
      <w:r>
        <w:rPr>
          <w:rFonts w:cs="Arial" w:hint="cs"/>
          <w:rtl/>
        </w:rPr>
        <w:t>.</w:t>
      </w:r>
      <w:r w:rsidRPr="00235C1E">
        <w:rPr>
          <w:rFonts w:cs="Arial"/>
          <w:rtl/>
        </w:rPr>
        <w:t xml:space="preserve"> לא תבעה ולא </w:t>
      </w:r>
      <w:r w:rsidRPr="00235C1E">
        <w:rPr>
          <w:rFonts w:cs="Arial"/>
          <w:rtl/>
        </w:rPr>
        <w:lastRenderedPageBreak/>
        <w:t>מכרה אלא שהתה עד שבא הוא ואומר הנחתי לה</w:t>
      </w:r>
      <w:r>
        <w:rPr>
          <w:rFonts w:cs="Arial" w:hint="cs"/>
          <w:rtl/>
        </w:rPr>
        <w:t>,</w:t>
      </w:r>
      <w:r w:rsidRPr="00235C1E">
        <w:rPr>
          <w:rFonts w:cs="Arial"/>
          <w:rtl/>
        </w:rPr>
        <w:t xml:space="preserve"> והיא אומרת לא הנחת לי אלא לויתי מזה ונתפרנסתי</w:t>
      </w:r>
      <w:r>
        <w:rPr>
          <w:rFonts w:cs="Arial" w:hint="cs"/>
          <w:rtl/>
        </w:rPr>
        <w:t xml:space="preserve"> -</w:t>
      </w:r>
      <w:r w:rsidRPr="00235C1E">
        <w:rPr>
          <w:rFonts w:cs="Arial"/>
          <w:rtl/>
        </w:rPr>
        <w:t xml:space="preserve"> נשבע שבועת היסת שהניח לה ונפטר וישאר החוב עליה</w:t>
      </w:r>
      <w:r>
        <w:rPr>
          <w:rFonts w:cs="Arial" w:hint="cs"/>
          <w:rtl/>
        </w:rPr>
        <w:t>.</w:t>
      </w:r>
      <w:r w:rsidRPr="00235C1E">
        <w:rPr>
          <w:rFonts w:cs="Arial"/>
          <w:rtl/>
        </w:rPr>
        <w:t xml:space="preserve"> מכרה מטלטלין</w:t>
      </w:r>
      <w:r>
        <w:rPr>
          <w:rFonts w:cs="Arial" w:hint="cs"/>
          <w:rtl/>
        </w:rPr>
        <w:t>,</w:t>
      </w:r>
      <w:r w:rsidRPr="00235C1E">
        <w:rPr>
          <w:rFonts w:cs="Arial"/>
          <w:rtl/>
        </w:rPr>
        <w:t xml:space="preserve"> ואמרה למזונות מכרתי</w:t>
      </w:r>
      <w:r>
        <w:rPr>
          <w:rFonts w:cs="Arial" w:hint="cs"/>
          <w:rtl/>
        </w:rPr>
        <w:t>,</w:t>
      </w:r>
      <w:r w:rsidRPr="00235C1E">
        <w:rPr>
          <w:rFonts w:cs="Arial"/>
          <w:rtl/>
        </w:rPr>
        <w:t xml:space="preserve"> והוא טוען ואומר מזונותיה הנחתי </w:t>
      </w:r>
      <w:r>
        <w:rPr>
          <w:rFonts w:cs="Arial" w:hint="cs"/>
          <w:rtl/>
        </w:rPr>
        <w:t xml:space="preserve">- </w:t>
      </w:r>
      <w:r w:rsidRPr="00235C1E">
        <w:rPr>
          <w:rFonts w:cs="Arial"/>
          <w:rtl/>
        </w:rPr>
        <w:t>נשבעת שבועת היסת שלא הניח</w:t>
      </w:r>
      <w:r>
        <w:rPr>
          <w:rStyle w:val="a7"/>
          <w:rFonts w:cs="Arial"/>
          <w:rtl/>
        </w:rPr>
        <w:footnoteReference w:id="1115"/>
      </w:r>
      <w:r>
        <w:rPr>
          <w:rFonts w:cs="Arial" w:hint="cs"/>
          <w:rtl/>
        </w:rPr>
        <w:t>.</w:t>
      </w:r>
      <w:r w:rsidRPr="00235C1E">
        <w:rPr>
          <w:rFonts w:cs="Arial"/>
          <w:rtl/>
        </w:rPr>
        <w:t xml:space="preserve"> </w:t>
      </w:r>
      <w:r w:rsidRPr="00765055">
        <w:rPr>
          <w:rFonts w:hint="cs"/>
          <w:color w:val="E36C0A" w:themeColor="accent6" w:themeShade="BF"/>
          <w:rtl/>
        </w:rPr>
        <w:t>(וכ"פ בשו"ע)</w:t>
      </w:r>
    </w:p>
    <w:p w14:paraId="5EF78450" w14:textId="77777777" w:rsidR="002E5BAD" w:rsidRPr="00EF0181" w:rsidRDefault="002E5BAD" w:rsidP="002E5BAD">
      <w:pPr>
        <w:ind w:left="360"/>
        <w:rPr>
          <w:u w:val="dotted"/>
        </w:rPr>
      </w:pPr>
      <w:r w:rsidRPr="00EF0181">
        <w:rPr>
          <w:rFonts w:hint="cs"/>
          <w:u w:val="dotted"/>
          <w:rtl/>
        </w:rPr>
        <w:t>האם נאמן כל הזמן או רק בג' חודשים הראשונים:</w:t>
      </w:r>
      <w:r>
        <w:rPr>
          <w:rFonts w:cs="Arial" w:hint="cs"/>
          <w:rtl/>
        </w:rPr>
        <w:t xml:space="preserve">  </w:t>
      </w:r>
      <w:r w:rsidRPr="00EF0181">
        <w:rPr>
          <w:rFonts w:cs="Arial" w:hint="cs"/>
          <w:sz w:val="16"/>
          <w:szCs w:val="16"/>
          <w:rtl/>
        </w:rPr>
        <w:t>(דרכ"מ אות יא)</w:t>
      </w:r>
    </w:p>
    <w:p w14:paraId="589BE952" w14:textId="77777777" w:rsidR="002E5BAD" w:rsidRPr="0096537E" w:rsidRDefault="002E5BAD" w:rsidP="002E5BAD">
      <w:pPr>
        <w:pStyle w:val="ab"/>
        <w:numPr>
          <w:ilvl w:val="0"/>
          <w:numId w:val="135"/>
        </w:numPr>
        <w:rPr>
          <w:rtl/>
        </w:rPr>
      </w:pPr>
      <w:r w:rsidRPr="0097582A">
        <w:rPr>
          <w:rFonts w:cs="Arial"/>
          <w:rtl/>
        </w:rPr>
        <w:t>מרדכי</w:t>
      </w:r>
      <w:r w:rsidRPr="00EF0181">
        <w:rPr>
          <w:rFonts w:cs="Arial"/>
          <w:sz w:val="16"/>
          <w:szCs w:val="16"/>
          <w:rtl/>
        </w:rPr>
        <w:t xml:space="preserve"> </w:t>
      </w:r>
      <w:r w:rsidRPr="00EF0181">
        <w:rPr>
          <w:rFonts w:cs="Arial" w:hint="cs"/>
          <w:sz w:val="16"/>
          <w:szCs w:val="16"/>
          <w:rtl/>
        </w:rPr>
        <w:t>(</w:t>
      </w:r>
      <w:r w:rsidRPr="00EF0181">
        <w:rPr>
          <w:rFonts w:cs="Arial"/>
          <w:sz w:val="16"/>
          <w:szCs w:val="16"/>
          <w:rtl/>
        </w:rPr>
        <w:t>פ</w:t>
      </w:r>
      <w:r w:rsidRPr="00EF0181">
        <w:rPr>
          <w:rFonts w:cs="Arial" w:hint="cs"/>
          <w:sz w:val="16"/>
          <w:szCs w:val="16"/>
          <w:rtl/>
        </w:rPr>
        <w:t>'</w:t>
      </w:r>
      <w:r w:rsidRPr="00EF0181">
        <w:rPr>
          <w:rFonts w:cs="Arial"/>
          <w:sz w:val="16"/>
          <w:szCs w:val="16"/>
          <w:rtl/>
        </w:rPr>
        <w:t xml:space="preserve"> שני דייני סי' רסז</w:t>
      </w:r>
      <w:r w:rsidRPr="00EF0181">
        <w:rPr>
          <w:rFonts w:cs="Arial" w:hint="cs"/>
          <w:sz w:val="16"/>
          <w:szCs w:val="16"/>
          <w:rtl/>
        </w:rPr>
        <w:t>,</w:t>
      </w:r>
      <w:r w:rsidRPr="00EF0181">
        <w:rPr>
          <w:rFonts w:cs="Arial"/>
          <w:sz w:val="16"/>
          <w:szCs w:val="16"/>
          <w:rtl/>
        </w:rPr>
        <w:t xml:space="preserve"> וס</w:t>
      </w:r>
      <w:r w:rsidRPr="00EF0181">
        <w:rPr>
          <w:rFonts w:cs="Arial" w:hint="cs"/>
          <w:sz w:val="16"/>
          <w:szCs w:val="16"/>
          <w:rtl/>
        </w:rPr>
        <w:t>"פ</w:t>
      </w:r>
      <w:r w:rsidRPr="00EF0181">
        <w:rPr>
          <w:rFonts w:cs="Arial"/>
          <w:sz w:val="16"/>
          <w:szCs w:val="16"/>
          <w:rtl/>
        </w:rPr>
        <w:t xml:space="preserve"> יש נוחלין</w:t>
      </w:r>
      <w:r w:rsidRPr="00EF0181">
        <w:rPr>
          <w:rFonts w:cs="Arial" w:hint="cs"/>
          <w:sz w:val="16"/>
          <w:szCs w:val="16"/>
          <w:rtl/>
        </w:rPr>
        <w:t xml:space="preserve"> </w:t>
      </w:r>
      <w:r w:rsidRPr="00EF0181">
        <w:rPr>
          <w:rFonts w:cs="Arial"/>
          <w:sz w:val="16"/>
          <w:szCs w:val="16"/>
          <w:rtl/>
        </w:rPr>
        <w:t>סי' תקצז)</w:t>
      </w:r>
      <w:r>
        <w:rPr>
          <w:rFonts w:cs="Arial" w:hint="cs"/>
          <w:rtl/>
        </w:rPr>
        <w:t>-</w:t>
      </w:r>
      <w:r w:rsidRPr="0097582A">
        <w:rPr>
          <w:rFonts w:cs="Arial"/>
          <w:rtl/>
        </w:rPr>
        <w:t xml:space="preserve"> </w:t>
      </w:r>
      <w:r>
        <w:rPr>
          <w:rFonts w:cs="Arial" w:hint="cs"/>
          <w:rtl/>
        </w:rPr>
        <w:t>א</w:t>
      </w:r>
      <w:r w:rsidRPr="0097582A">
        <w:rPr>
          <w:rFonts w:cs="Arial"/>
          <w:rtl/>
        </w:rPr>
        <w:t>ינו נאמן רק בג' חדשים הראשונים אבל לא אחר כך</w:t>
      </w:r>
      <w:r>
        <w:rPr>
          <w:rFonts w:cs="Arial" w:hint="cs"/>
          <w:rtl/>
        </w:rPr>
        <w:t>,</w:t>
      </w:r>
      <w:r w:rsidRPr="0097582A">
        <w:rPr>
          <w:rFonts w:cs="Arial"/>
          <w:rtl/>
        </w:rPr>
        <w:t xml:space="preserve"> דאם לא כן אין אדם רוצה ללות לה</w:t>
      </w:r>
      <w:r>
        <w:rPr>
          <w:rFonts w:cs="Arial" w:hint="cs"/>
          <w:sz w:val="16"/>
          <w:szCs w:val="16"/>
          <w:rtl/>
        </w:rPr>
        <w:t xml:space="preserve"> (ל' הדרכ"מ בשמו)</w:t>
      </w:r>
      <w:r>
        <w:rPr>
          <w:rStyle w:val="a7"/>
          <w:rFonts w:cs="Arial"/>
          <w:rtl/>
        </w:rPr>
        <w:footnoteReference w:id="1116"/>
      </w:r>
      <w:r>
        <w:rPr>
          <w:rFonts w:cs="Arial" w:hint="cs"/>
          <w:rtl/>
        </w:rPr>
        <w:t>.</w:t>
      </w:r>
      <w:r w:rsidRPr="0097582A">
        <w:rPr>
          <w:rFonts w:cs="Arial"/>
          <w:rtl/>
        </w:rPr>
        <w:t xml:space="preserve"> </w:t>
      </w:r>
    </w:p>
    <w:p w14:paraId="7052DD15" w14:textId="77777777" w:rsidR="002E5BAD" w:rsidRPr="00F34FA8" w:rsidRDefault="002E5BAD" w:rsidP="002E5BAD">
      <w:pPr>
        <w:rPr>
          <w:u w:val="single"/>
          <w:rtl/>
        </w:rPr>
      </w:pPr>
      <w:r w:rsidRPr="00F34FA8">
        <w:rPr>
          <w:rFonts w:hint="cs"/>
          <w:u w:val="single"/>
          <w:rtl/>
        </w:rPr>
        <w:t>חזר ממדינת הים ואמר 'צאי מעשה ידיך</w:t>
      </w:r>
      <w:r>
        <w:rPr>
          <w:rFonts w:hint="cs"/>
          <w:u w:val="single"/>
          <w:rtl/>
        </w:rPr>
        <w:t xml:space="preserve"> </w:t>
      </w:r>
      <w:r w:rsidRPr="00F34FA8">
        <w:rPr>
          <w:rFonts w:hint="cs"/>
          <w:u w:val="single"/>
          <w:rtl/>
        </w:rPr>
        <w:t>במזונותיך':</w:t>
      </w:r>
    </w:p>
    <w:p w14:paraId="35F856DB" w14:textId="77777777" w:rsidR="002E5BAD" w:rsidRDefault="002E5BAD" w:rsidP="002E5BAD">
      <w:pPr>
        <w:pStyle w:val="ab"/>
        <w:numPr>
          <w:ilvl w:val="0"/>
          <w:numId w:val="131"/>
        </w:numPr>
      </w:pPr>
      <w:r>
        <w:rPr>
          <w:rFonts w:cs="Arial" w:hint="cs"/>
          <w:rtl/>
        </w:rPr>
        <w:t xml:space="preserve">רא"ש </w:t>
      </w:r>
      <w:r w:rsidRPr="00F34FA8">
        <w:rPr>
          <w:rFonts w:cs="Arial"/>
          <w:sz w:val="16"/>
          <w:szCs w:val="16"/>
          <w:rtl/>
        </w:rPr>
        <w:t xml:space="preserve">(סו"ס ה) </w:t>
      </w:r>
      <w:r>
        <w:rPr>
          <w:rFonts w:cs="Arial" w:hint="cs"/>
          <w:rtl/>
        </w:rPr>
        <w:t>ו</w:t>
      </w:r>
      <w:r w:rsidRPr="00C6165E">
        <w:rPr>
          <w:rFonts w:cs="Arial" w:hint="cs"/>
          <w:rtl/>
        </w:rPr>
        <w:t xml:space="preserve">טור- </w:t>
      </w:r>
      <w:r w:rsidRPr="00C6165E">
        <w:rPr>
          <w:rFonts w:cs="Arial"/>
          <w:rtl/>
        </w:rPr>
        <w:t xml:space="preserve">ואם יאמר כשיבא צאי מעשה ידיך שעשית או שהיה לך לעשות במזונותיך </w:t>
      </w:r>
      <w:r>
        <w:rPr>
          <w:rFonts w:cs="Arial"/>
          <w:rtl/>
        </w:rPr>
        <w:t>–</w:t>
      </w:r>
      <w:r>
        <w:rPr>
          <w:rFonts w:cs="Arial" w:hint="cs"/>
          <w:rtl/>
        </w:rPr>
        <w:t xml:space="preserve"> </w:t>
      </w:r>
      <w:r w:rsidRPr="00C6165E">
        <w:rPr>
          <w:rFonts w:cs="Arial"/>
          <w:rtl/>
        </w:rPr>
        <w:t>רשאי</w:t>
      </w:r>
      <w:r>
        <w:rPr>
          <w:rFonts w:cs="Arial" w:hint="cs"/>
          <w:rtl/>
        </w:rPr>
        <w:t>,</w:t>
      </w:r>
      <w:r w:rsidRPr="00C6165E">
        <w:rPr>
          <w:rFonts w:cs="Arial"/>
          <w:rtl/>
        </w:rPr>
        <w:t xml:space="preserve"> ואין משלם מה שלותה</w:t>
      </w:r>
      <w:r>
        <w:rPr>
          <w:rFonts w:cs="Arial" w:hint="cs"/>
          <w:rtl/>
        </w:rPr>
        <w:t>,</w:t>
      </w:r>
      <w:r w:rsidRPr="00C6165E">
        <w:rPr>
          <w:rFonts w:cs="Arial"/>
          <w:rtl/>
        </w:rPr>
        <w:t xml:space="preserve"> אע</w:t>
      </w:r>
      <w:r>
        <w:rPr>
          <w:rFonts w:cs="Arial" w:hint="cs"/>
          <w:rtl/>
        </w:rPr>
        <w:t>"</w:t>
      </w:r>
      <w:r w:rsidRPr="00C6165E">
        <w:rPr>
          <w:rFonts w:cs="Arial"/>
          <w:rtl/>
        </w:rPr>
        <w:t>פ שאינה מספקת כל צרכיה ממעשה ידיה</w:t>
      </w:r>
      <w:r>
        <w:rPr>
          <w:rFonts w:cs="Arial" w:hint="cs"/>
          <w:rtl/>
        </w:rPr>
        <w:t>,</w:t>
      </w:r>
      <w:r w:rsidRPr="00C6165E">
        <w:rPr>
          <w:rFonts w:cs="Arial"/>
          <w:rtl/>
        </w:rPr>
        <w:t xml:space="preserve"> כיון שמספקת לדברים גדולים היתה דוחקת ומצמצמת עצמה קודם שתתבייש לבא לב"ד על עסק מזונותיה</w:t>
      </w:r>
      <w:r>
        <w:rPr>
          <w:rFonts w:cs="Arial" w:hint="cs"/>
          <w:rtl/>
        </w:rPr>
        <w:t>.</w:t>
      </w:r>
      <w:r w:rsidRPr="00C6165E">
        <w:rPr>
          <w:rFonts w:cs="Arial"/>
          <w:rtl/>
        </w:rPr>
        <w:t xml:space="preserve"> אבל ב"ד אין פותחין לו בטענה זו</w:t>
      </w:r>
      <w:r>
        <w:rPr>
          <w:rFonts w:cs="Arial" w:hint="cs"/>
          <w:rtl/>
        </w:rPr>
        <w:t>,</w:t>
      </w:r>
      <w:r w:rsidRPr="00C6165E">
        <w:rPr>
          <w:rFonts w:cs="Arial"/>
          <w:rtl/>
        </w:rPr>
        <w:t xml:space="preserve"> אלא אומרים לו צא ופרע מה שלותה</w:t>
      </w:r>
      <w:r>
        <w:rPr>
          <w:rFonts w:cs="Arial" w:hint="cs"/>
          <w:rtl/>
        </w:rPr>
        <w:t>,</w:t>
      </w:r>
      <w:r w:rsidRPr="00C6165E">
        <w:rPr>
          <w:rFonts w:cs="Arial"/>
          <w:rtl/>
        </w:rPr>
        <w:t xml:space="preserve"> ואם בעצמו יטעון</w:t>
      </w:r>
      <w:r>
        <w:rPr>
          <w:rFonts w:cs="Arial" w:hint="cs"/>
          <w:rtl/>
        </w:rPr>
        <w:t xml:space="preserve"> -</w:t>
      </w:r>
      <w:r w:rsidRPr="00C6165E">
        <w:rPr>
          <w:rFonts w:cs="Arial"/>
          <w:rtl/>
        </w:rPr>
        <w:t xml:space="preserve"> רשאי אם ידוע שהיא מספקת לדברים גדולים</w:t>
      </w:r>
      <w:r>
        <w:rPr>
          <w:rFonts w:cs="Arial" w:hint="cs"/>
          <w:rtl/>
        </w:rPr>
        <w:t>.</w:t>
      </w:r>
      <w:r w:rsidRPr="00C6165E">
        <w:rPr>
          <w:rFonts w:cs="Arial"/>
          <w:rtl/>
        </w:rPr>
        <w:t xml:space="preserve"> אבל אם אינה בת מלאכה </w:t>
      </w:r>
      <w:r>
        <w:rPr>
          <w:rFonts w:cs="Arial" w:hint="cs"/>
          <w:rtl/>
        </w:rPr>
        <w:t xml:space="preserve">- </w:t>
      </w:r>
      <w:r w:rsidRPr="00C6165E">
        <w:rPr>
          <w:rFonts w:cs="Arial"/>
          <w:rtl/>
        </w:rPr>
        <w:t>לאו כל כמיניה לטעון כך</w:t>
      </w:r>
      <w:r>
        <w:rPr>
          <w:rFonts w:cs="Arial" w:hint="cs"/>
          <w:rtl/>
        </w:rPr>
        <w:t>.</w:t>
      </w:r>
      <w:r w:rsidRPr="00C6165E">
        <w:rPr>
          <w:rFonts w:cs="Arial"/>
          <w:rtl/>
        </w:rPr>
        <w:t xml:space="preserve"> ואם קדמו ב"ד ופסקו לה</w:t>
      </w:r>
      <w:r>
        <w:rPr>
          <w:rFonts w:cs="Arial" w:hint="cs"/>
          <w:rtl/>
        </w:rPr>
        <w:t>,</w:t>
      </w:r>
      <w:r w:rsidRPr="00C6165E">
        <w:rPr>
          <w:rFonts w:cs="Arial"/>
          <w:rtl/>
        </w:rPr>
        <w:t xml:space="preserve"> כיון שבאתה לפני ב"ד גלתה דעתה שאינה רוצה להתפרנס בדוחק</w:t>
      </w:r>
      <w:r>
        <w:rPr>
          <w:rFonts w:cs="Arial" w:hint="cs"/>
          <w:rtl/>
        </w:rPr>
        <w:t>,</w:t>
      </w:r>
      <w:r w:rsidRPr="00C6165E">
        <w:rPr>
          <w:rFonts w:cs="Arial"/>
          <w:rtl/>
        </w:rPr>
        <w:t xml:space="preserve"> ואין לו עוד טענה על מעשה ידיה</w:t>
      </w:r>
      <w:r>
        <w:rPr>
          <w:rFonts w:cs="Arial" w:hint="cs"/>
          <w:rtl/>
        </w:rPr>
        <w:t>,</w:t>
      </w:r>
      <w:r w:rsidRPr="00C6165E">
        <w:rPr>
          <w:rFonts w:cs="Arial"/>
          <w:rtl/>
        </w:rPr>
        <w:t xml:space="preserve"> כי מסתמא כשב"ד פסקו לה מזונות דקדקו מה שצריכ</w:t>
      </w:r>
      <w:r>
        <w:rPr>
          <w:rFonts w:cs="Arial" w:hint="cs"/>
          <w:rtl/>
        </w:rPr>
        <w:t>ה</w:t>
      </w:r>
      <w:r w:rsidRPr="00C6165E">
        <w:rPr>
          <w:rFonts w:cs="Arial"/>
          <w:rtl/>
        </w:rPr>
        <w:t xml:space="preserve"> יתר על מעשה ידיה שרגילה לעשות</w:t>
      </w:r>
      <w:r>
        <w:rPr>
          <w:rStyle w:val="a7"/>
          <w:rFonts w:cs="Arial"/>
          <w:rtl/>
        </w:rPr>
        <w:footnoteReference w:id="1117"/>
      </w:r>
      <w:r>
        <w:rPr>
          <w:rFonts w:cs="Arial" w:hint="cs"/>
          <w:sz w:val="16"/>
          <w:szCs w:val="16"/>
          <w:rtl/>
        </w:rPr>
        <w:t xml:space="preserve"> (ל' הטור)</w:t>
      </w:r>
      <w:r>
        <w:rPr>
          <w:rFonts w:hint="cs"/>
          <w:rtl/>
        </w:rPr>
        <w:t>.</w:t>
      </w:r>
      <w:r w:rsidRPr="005B6722">
        <w:rPr>
          <w:rFonts w:hint="cs"/>
          <w:color w:val="00B0F0"/>
          <w:rtl/>
        </w:rPr>
        <w:t xml:space="preserve"> </w:t>
      </w:r>
      <w:r w:rsidRPr="00C57942">
        <w:rPr>
          <w:rFonts w:hint="cs"/>
          <w:color w:val="00B0F0"/>
          <w:rtl/>
        </w:rPr>
        <w:t>(וכ"פ הרמ"א)</w:t>
      </w:r>
    </w:p>
    <w:p w14:paraId="1328DC83" w14:textId="77777777" w:rsidR="002E5BAD" w:rsidRPr="003760A7" w:rsidRDefault="002E5BAD" w:rsidP="002E5BAD">
      <w:pPr>
        <w:pStyle w:val="ab"/>
        <w:numPr>
          <w:ilvl w:val="0"/>
          <w:numId w:val="131"/>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 xml:space="preserve"> </w:t>
      </w:r>
      <w:r>
        <w:rPr>
          <w:rFonts w:cs="Arial"/>
          <w:rtl/>
        </w:rPr>
        <w:t xml:space="preserve">רמב"ן </w:t>
      </w:r>
      <w:r w:rsidRPr="00BB2F1F">
        <w:rPr>
          <w:rFonts w:cs="Arial"/>
          <w:sz w:val="16"/>
          <w:szCs w:val="16"/>
          <w:rtl/>
        </w:rPr>
        <w:t>(קז. ד"ה ומדאמרינן)</w:t>
      </w:r>
      <w:r>
        <w:rPr>
          <w:rFonts w:cs="Arial" w:hint="cs"/>
          <w:rtl/>
        </w:rPr>
        <w:t xml:space="preserve"> רשב"</w:t>
      </w:r>
      <w:r w:rsidRPr="00BB2F1F">
        <w:rPr>
          <w:rFonts w:cs="Arial" w:hint="cs"/>
          <w:rtl/>
        </w:rPr>
        <w:t>א</w:t>
      </w:r>
      <w:r>
        <w:rPr>
          <w:rFonts w:cs="Arial" w:hint="cs"/>
          <w:rtl/>
        </w:rPr>
        <w:t xml:space="preserve"> </w:t>
      </w:r>
      <w:r>
        <w:rPr>
          <w:rFonts w:cs="Arial" w:hint="cs"/>
          <w:sz w:val="16"/>
          <w:szCs w:val="16"/>
          <w:rtl/>
        </w:rPr>
        <w:t xml:space="preserve">(כ"כ בשמו הה"מ והר"ן) </w:t>
      </w:r>
      <w:r w:rsidRPr="00BB2F1F">
        <w:rPr>
          <w:rFonts w:cs="Arial" w:hint="cs"/>
          <w:rtl/>
        </w:rPr>
        <w:t>והה</w:t>
      </w:r>
      <w:r>
        <w:rPr>
          <w:rFonts w:cs="Arial" w:hint="cs"/>
          <w:rtl/>
        </w:rPr>
        <w:t xml:space="preserve">"מ </w:t>
      </w:r>
      <w:r>
        <w:rPr>
          <w:rFonts w:cs="Arial" w:hint="cs"/>
          <w:sz w:val="16"/>
          <w:szCs w:val="16"/>
          <w:rtl/>
        </w:rPr>
        <w:t>(שם)</w:t>
      </w:r>
      <w:r>
        <w:rPr>
          <w:rFonts w:cs="Arial" w:hint="cs"/>
          <w:rtl/>
        </w:rPr>
        <w:t>-</w:t>
      </w:r>
      <w:r w:rsidRPr="00AB50D4">
        <w:rPr>
          <w:rtl/>
        </w:rPr>
        <w:t xml:space="preserve"> </w:t>
      </w:r>
      <w:r>
        <w:rPr>
          <w:rFonts w:hint="cs"/>
          <w:rtl/>
        </w:rPr>
        <w:t xml:space="preserve">מכאן ואילך </w:t>
      </w:r>
      <w:r w:rsidRPr="00AB50D4">
        <w:rPr>
          <w:rFonts w:cs="Arial"/>
          <w:rtl/>
        </w:rPr>
        <w:t>פוסקין לה מזונות, ואם היו לו נכסים בית דין יורדין לנכסיו ומוכרין למזונותיה, ואין מחשבין עמה על מעשה ידיה עד שיבוא בעלה אם מצא שעשת הרי אלו שלו</w:t>
      </w:r>
      <w:r>
        <w:rPr>
          <w:rFonts w:cs="Arial" w:hint="cs"/>
          <w:sz w:val="16"/>
          <w:szCs w:val="16"/>
          <w:rtl/>
        </w:rPr>
        <w:t xml:space="preserve"> (ל' הרמב"ם)</w:t>
      </w:r>
      <w:r>
        <w:rPr>
          <w:rStyle w:val="a7"/>
          <w:rFonts w:cs="Arial"/>
          <w:rtl/>
        </w:rPr>
        <w:footnoteReference w:id="1118"/>
      </w:r>
      <w:r>
        <w:rPr>
          <w:rFonts w:cs="Arial" w:hint="cs"/>
          <w:rtl/>
        </w:rPr>
        <w:t>.</w:t>
      </w:r>
      <w:r w:rsidRPr="00B3180C">
        <w:rPr>
          <w:rFonts w:cs="Arial"/>
          <w:rtl/>
        </w:rPr>
        <w:t xml:space="preserve"> </w:t>
      </w:r>
      <w:r w:rsidRPr="00B91600">
        <w:rPr>
          <w:rFonts w:hint="cs"/>
          <w:color w:val="E36C0A" w:themeColor="accent6" w:themeShade="BF"/>
          <w:rtl/>
        </w:rPr>
        <w:t>(וכ"פ בשו"ע</w:t>
      </w:r>
      <w:r>
        <w:rPr>
          <w:rFonts w:hint="cs"/>
          <w:color w:val="E36C0A" w:themeColor="accent6" w:themeShade="BF"/>
          <w:sz w:val="16"/>
          <w:szCs w:val="16"/>
          <w:rtl/>
        </w:rPr>
        <w:t xml:space="preserve"> </w:t>
      </w:r>
      <w:r w:rsidRPr="004A4B34">
        <w:rPr>
          <w:rFonts w:hint="cs"/>
          <w:color w:val="000000" w:themeColor="text1"/>
          <w:sz w:val="16"/>
          <w:szCs w:val="16"/>
          <w:rtl/>
        </w:rPr>
        <w:t>[בסע' ה]</w:t>
      </w:r>
      <w:r w:rsidRPr="00B91600">
        <w:rPr>
          <w:rFonts w:hint="cs"/>
          <w:color w:val="E36C0A" w:themeColor="accent6" w:themeShade="BF"/>
          <w:rtl/>
        </w:rPr>
        <w:t>)</w:t>
      </w:r>
    </w:p>
    <w:p w14:paraId="21A055F9" w14:textId="77777777" w:rsidR="002E5BAD" w:rsidRPr="00C57942" w:rsidRDefault="002E5BAD" w:rsidP="002E5BAD">
      <w:pPr>
        <w:ind w:left="360"/>
        <w:rPr>
          <w:u w:val="dotted"/>
        </w:rPr>
      </w:pPr>
      <w:r w:rsidRPr="00C57942">
        <w:rPr>
          <w:rFonts w:hint="cs"/>
          <w:u w:val="dotted"/>
          <w:rtl/>
        </w:rPr>
        <w:t>האם צריכה לומר בשעת ההלואה שלשם מזונותיה היא לוה:</w:t>
      </w:r>
    </w:p>
    <w:p w14:paraId="1F0EF6C5" w14:textId="77777777" w:rsidR="002E5BAD" w:rsidRDefault="002E5BAD" w:rsidP="002E5BAD">
      <w:pPr>
        <w:pStyle w:val="ab"/>
        <w:numPr>
          <w:ilvl w:val="0"/>
          <w:numId w:val="131"/>
        </w:numPr>
      </w:pPr>
      <w:r w:rsidRPr="003760A7">
        <w:rPr>
          <w:rFonts w:cs="Arial"/>
          <w:rtl/>
        </w:rPr>
        <w:t xml:space="preserve">בעל התרומות </w:t>
      </w:r>
      <w:r w:rsidRPr="003760A7">
        <w:rPr>
          <w:rFonts w:cs="Arial" w:hint="cs"/>
          <w:sz w:val="16"/>
          <w:szCs w:val="16"/>
          <w:rtl/>
        </w:rPr>
        <w:t>(</w:t>
      </w:r>
      <w:r w:rsidRPr="003760A7">
        <w:rPr>
          <w:rFonts w:cs="Arial"/>
          <w:sz w:val="16"/>
          <w:szCs w:val="16"/>
          <w:rtl/>
        </w:rPr>
        <w:t>שער סה ח"א או</w:t>
      </w:r>
      <w:r>
        <w:rPr>
          <w:rFonts w:cs="Arial" w:hint="cs"/>
          <w:sz w:val="16"/>
          <w:szCs w:val="16"/>
          <w:rtl/>
        </w:rPr>
        <w:t>ת</w:t>
      </w:r>
      <w:r w:rsidRPr="003760A7">
        <w:rPr>
          <w:rFonts w:cs="Arial"/>
          <w:sz w:val="16"/>
          <w:szCs w:val="16"/>
          <w:rtl/>
        </w:rPr>
        <w:t xml:space="preserve"> ד</w:t>
      </w:r>
      <w:r>
        <w:rPr>
          <w:rFonts w:cs="Arial" w:hint="cs"/>
          <w:sz w:val="16"/>
          <w:szCs w:val="16"/>
          <w:rtl/>
        </w:rPr>
        <w:t xml:space="preserve">) </w:t>
      </w:r>
      <w:r w:rsidRPr="00640321">
        <w:rPr>
          <w:rFonts w:cs="Arial" w:hint="cs"/>
          <w:rtl/>
        </w:rPr>
        <w:t>בשם ר</w:t>
      </w:r>
      <w:r>
        <w:rPr>
          <w:rFonts w:cs="Arial" w:hint="cs"/>
          <w:rtl/>
        </w:rPr>
        <w:t>בי</w:t>
      </w:r>
      <w:r w:rsidRPr="00640321">
        <w:rPr>
          <w:rFonts w:cs="Arial" w:hint="cs"/>
          <w:rtl/>
        </w:rPr>
        <w:t xml:space="preserve"> יצחק</w:t>
      </w:r>
      <w:r>
        <w:rPr>
          <w:rFonts w:cs="Arial" w:hint="cs"/>
          <w:rtl/>
        </w:rPr>
        <w:t>-</w:t>
      </w:r>
      <w:r w:rsidRPr="003760A7">
        <w:rPr>
          <w:rFonts w:cs="Arial"/>
          <w:rtl/>
        </w:rPr>
        <w:t xml:space="preserve"> ומסתברא דכיון דהאשה לקחה המעות בתורת הלואה מבעל המעות אע</w:t>
      </w:r>
      <w:r>
        <w:rPr>
          <w:rFonts w:cs="Arial" w:hint="cs"/>
          <w:rtl/>
        </w:rPr>
        <w:t>"</w:t>
      </w:r>
      <w:r w:rsidRPr="003760A7">
        <w:rPr>
          <w:rFonts w:cs="Arial"/>
          <w:rtl/>
        </w:rPr>
        <w:t xml:space="preserve">פ שלא אמרה בפני העדים בפירוש </w:t>
      </w:r>
      <w:r w:rsidRPr="003760A7">
        <w:rPr>
          <w:rFonts w:cs="Arial" w:hint="cs"/>
          <w:rtl/>
        </w:rPr>
        <w:t>'</w:t>
      </w:r>
      <w:r w:rsidRPr="003760A7">
        <w:rPr>
          <w:rFonts w:cs="Arial"/>
          <w:rtl/>
        </w:rPr>
        <w:t>למזונות אני לוה</w:t>
      </w:r>
      <w:r w:rsidRPr="003760A7">
        <w:rPr>
          <w:rFonts w:cs="Arial" w:hint="cs"/>
          <w:rtl/>
        </w:rPr>
        <w:t>'</w:t>
      </w:r>
      <w:r w:rsidRPr="003760A7">
        <w:rPr>
          <w:rFonts w:cs="Arial"/>
          <w:rtl/>
        </w:rPr>
        <w:t xml:space="preserve"> ואף לא אמר המלוה </w:t>
      </w:r>
      <w:r w:rsidRPr="003760A7">
        <w:rPr>
          <w:rFonts w:cs="Arial" w:hint="cs"/>
          <w:rtl/>
        </w:rPr>
        <w:t>'</w:t>
      </w:r>
      <w:r w:rsidRPr="003760A7">
        <w:rPr>
          <w:rFonts w:cs="Arial"/>
          <w:rtl/>
        </w:rPr>
        <w:t>למזונותיה אני מלוה לה</w:t>
      </w:r>
      <w:r w:rsidRPr="003760A7">
        <w:rPr>
          <w:rFonts w:cs="Arial" w:hint="cs"/>
          <w:rtl/>
        </w:rPr>
        <w:t>'</w:t>
      </w:r>
      <w:r w:rsidRPr="003760A7">
        <w:rPr>
          <w:rFonts w:cs="Arial"/>
          <w:rtl/>
        </w:rPr>
        <w:t xml:space="preserve"> כיון דבשעת תביעה הודית היא דלמזונותיה לותה והוא מודה דלא הניח לה מזונות </w:t>
      </w:r>
      <w:r w:rsidRPr="003760A7">
        <w:rPr>
          <w:rFonts w:cs="Arial" w:hint="cs"/>
          <w:rtl/>
        </w:rPr>
        <w:t xml:space="preserve">- </w:t>
      </w:r>
      <w:r w:rsidRPr="003760A7">
        <w:rPr>
          <w:rFonts w:cs="Arial"/>
          <w:rtl/>
        </w:rPr>
        <w:t xml:space="preserve">הרי זה נפרע ממנו דהא לא תנן אלא </w:t>
      </w:r>
      <w:r w:rsidRPr="003760A7">
        <w:rPr>
          <w:rFonts w:cs="Arial" w:hint="cs"/>
          <w:rtl/>
        </w:rPr>
        <w:t>'</w:t>
      </w:r>
      <w:r w:rsidRPr="003760A7">
        <w:rPr>
          <w:rFonts w:cs="Arial"/>
          <w:rtl/>
        </w:rPr>
        <w:t>לותה ואכלה</w:t>
      </w:r>
      <w:r w:rsidRPr="003760A7">
        <w:rPr>
          <w:rFonts w:cs="Arial" w:hint="cs"/>
          <w:rtl/>
        </w:rPr>
        <w:t>'</w:t>
      </w:r>
      <w:r w:rsidRPr="003760A7">
        <w:rPr>
          <w:rFonts w:cs="Arial"/>
          <w:rtl/>
        </w:rPr>
        <w:t xml:space="preserve">. </w:t>
      </w:r>
    </w:p>
    <w:p w14:paraId="1C1D97B8" w14:textId="77777777" w:rsidR="002E5BAD" w:rsidRPr="00553A29" w:rsidRDefault="002E5BAD" w:rsidP="002E5BAD">
      <w:pPr>
        <w:ind w:left="360"/>
        <w:rPr>
          <w:u w:val="dotted"/>
        </w:rPr>
      </w:pPr>
      <w:r w:rsidRPr="00553A29">
        <w:rPr>
          <w:rFonts w:hint="cs"/>
          <w:u w:val="dotted"/>
          <w:rtl/>
        </w:rPr>
        <w:t>ומה הדין אם לותה בפני בעלה או שצוה שלא להלוותה:</w:t>
      </w:r>
    </w:p>
    <w:p w14:paraId="36523181" w14:textId="77777777" w:rsidR="002E5BAD" w:rsidRPr="00E33410" w:rsidRDefault="002E5BAD" w:rsidP="002E5BAD">
      <w:pPr>
        <w:pStyle w:val="ab"/>
        <w:numPr>
          <w:ilvl w:val="0"/>
          <w:numId w:val="131"/>
        </w:numPr>
      </w:pPr>
      <w:r>
        <w:rPr>
          <w:rFonts w:cs="Arial" w:hint="cs"/>
          <w:rtl/>
        </w:rPr>
        <w:t xml:space="preserve">רבי יצחק </w:t>
      </w:r>
      <w:r w:rsidRPr="00640321">
        <w:rPr>
          <w:rFonts w:cs="Arial" w:hint="cs"/>
          <w:sz w:val="16"/>
          <w:szCs w:val="16"/>
          <w:rtl/>
        </w:rPr>
        <w:t>(</w:t>
      </w:r>
      <w:r>
        <w:rPr>
          <w:rFonts w:cs="Arial" w:hint="cs"/>
          <w:sz w:val="16"/>
          <w:szCs w:val="16"/>
          <w:rtl/>
        </w:rPr>
        <w:t xml:space="preserve">הביאו </w:t>
      </w:r>
      <w:r w:rsidRPr="00640321">
        <w:rPr>
          <w:rFonts w:cs="Arial"/>
          <w:sz w:val="16"/>
          <w:szCs w:val="16"/>
          <w:rtl/>
        </w:rPr>
        <w:t xml:space="preserve">בעל התרומות </w:t>
      </w:r>
      <w:r>
        <w:rPr>
          <w:rFonts w:cs="Arial" w:hint="cs"/>
          <w:sz w:val="16"/>
          <w:szCs w:val="16"/>
          <w:rtl/>
        </w:rPr>
        <w:t>[</w:t>
      </w:r>
      <w:r w:rsidRPr="003760A7">
        <w:rPr>
          <w:rFonts w:cs="Arial"/>
          <w:sz w:val="16"/>
          <w:szCs w:val="16"/>
          <w:rtl/>
        </w:rPr>
        <w:t>שער סה ח"א אות ו</w:t>
      </w:r>
      <w:r>
        <w:rPr>
          <w:rFonts w:cs="Arial" w:hint="cs"/>
          <w:sz w:val="16"/>
          <w:szCs w:val="16"/>
          <w:rtl/>
        </w:rPr>
        <w:t>]</w:t>
      </w:r>
      <w:r w:rsidRPr="003760A7">
        <w:rPr>
          <w:rFonts w:cs="Arial"/>
          <w:sz w:val="16"/>
          <w:szCs w:val="16"/>
          <w:rtl/>
        </w:rPr>
        <w:t>)</w:t>
      </w:r>
      <w:r>
        <w:rPr>
          <w:rFonts w:cs="Arial" w:hint="cs"/>
          <w:rtl/>
        </w:rPr>
        <w:t>-</w:t>
      </w:r>
      <w:r w:rsidRPr="003760A7">
        <w:rPr>
          <w:rFonts w:cs="Arial"/>
          <w:rtl/>
        </w:rPr>
        <w:t xml:space="preserve"> מצאתי בתשובה לרבני צרפת והני מילי בלותה שלא בפניו</w:t>
      </w:r>
      <w:r>
        <w:rPr>
          <w:rFonts w:cs="Arial" w:hint="cs"/>
          <w:rtl/>
        </w:rPr>
        <w:t>,</w:t>
      </w:r>
      <w:r w:rsidRPr="003760A7">
        <w:rPr>
          <w:rFonts w:cs="Arial"/>
          <w:rtl/>
        </w:rPr>
        <w:t xml:space="preserve"> אבל לותה בפניו</w:t>
      </w:r>
      <w:r>
        <w:rPr>
          <w:rFonts w:cs="Arial" w:hint="cs"/>
          <w:rtl/>
        </w:rPr>
        <w:t>,</w:t>
      </w:r>
      <w:r w:rsidRPr="003760A7">
        <w:rPr>
          <w:rFonts w:cs="Arial"/>
          <w:rtl/>
        </w:rPr>
        <w:t xml:space="preserve"> כגון שהיה עמה בכעס וגירשה מביתו ועמדה ולותה בפני בעלה</w:t>
      </w:r>
      <w:r>
        <w:rPr>
          <w:rFonts w:cs="Arial" w:hint="cs"/>
          <w:rtl/>
        </w:rPr>
        <w:t>,</w:t>
      </w:r>
      <w:r w:rsidRPr="003760A7">
        <w:rPr>
          <w:rFonts w:cs="Arial"/>
          <w:rtl/>
        </w:rPr>
        <w:t xml:space="preserve"> הואיל ולא זימנתו לדין </w:t>
      </w:r>
      <w:r>
        <w:rPr>
          <w:rFonts w:cs="Arial" w:hint="cs"/>
          <w:rtl/>
        </w:rPr>
        <w:t xml:space="preserve">- </w:t>
      </w:r>
      <w:r w:rsidRPr="003760A7">
        <w:rPr>
          <w:rFonts w:cs="Arial"/>
          <w:rtl/>
        </w:rPr>
        <w:t>הניח מעותיו על קרן הצבי</w:t>
      </w:r>
      <w:r>
        <w:rPr>
          <w:rFonts w:cs="Arial" w:hint="cs"/>
          <w:rtl/>
        </w:rPr>
        <w:t>.</w:t>
      </w:r>
      <w:r w:rsidRPr="003760A7">
        <w:rPr>
          <w:rFonts w:cs="Arial"/>
          <w:rtl/>
        </w:rPr>
        <w:t xml:space="preserve"> וכן אם הלך למדינת הים ועמד וצוה בעלה שלא להלוותה</w:t>
      </w:r>
      <w:r>
        <w:rPr>
          <w:rFonts w:cs="Arial" w:hint="cs"/>
          <w:rtl/>
        </w:rPr>
        <w:t>,</w:t>
      </w:r>
      <w:r w:rsidRPr="003760A7">
        <w:rPr>
          <w:rFonts w:cs="Arial"/>
          <w:rtl/>
        </w:rPr>
        <w:t xml:space="preserve"> והיא שתקה ועמדה ולותה </w:t>
      </w:r>
      <w:r>
        <w:rPr>
          <w:rFonts w:cs="Arial" w:hint="cs"/>
          <w:rtl/>
        </w:rPr>
        <w:t xml:space="preserve">- </w:t>
      </w:r>
      <w:r w:rsidRPr="003760A7">
        <w:rPr>
          <w:rFonts w:cs="Arial"/>
          <w:rtl/>
        </w:rPr>
        <w:t>גם הוא איבד מעותיו והניחם על קרן הצבי</w:t>
      </w:r>
      <w:r>
        <w:rPr>
          <w:rFonts w:cs="Arial" w:hint="cs"/>
          <w:sz w:val="16"/>
          <w:szCs w:val="16"/>
          <w:rtl/>
        </w:rPr>
        <w:t xml:space="preserve"> (ל' הב"י בשמו)</w:t>
      </w:r>
      <w:r>
        <w:rPr>
          <w:rFonts w:cs="Arial" w:hint="cs"/>
          <w:rtl/>
        </w:rPr>
        <w:t>.</w:t>
      </w:r>
      <w:r w:rsidRPr="003760A7">
        <w:rPr>
          <w:rFonts w:cs="Arial"/>
          <w:rtl/>
        </w:rPr>
        <w:t xml:space="preserve"> </w:t>
      </w:r>
    </w:p>
    <w:p w14:paraId="0A41FC88" w14:textId="77777777" w:rsidR="002E5BAD" w:rsidRPr="00FF017E" w:rsidRDefault="002E5BAD" w:rsidP="002E5BAD">
      <w:pPr>
        <w:pStyle w:val="ab"/>
        <w:numPr>
          <w:ilvl w:val="0"/>
          <w:numId w:val="131"/>
        </w:numPr>
      </w:pPr>
      <w:r>
        <w:rPr>
          <w:rFonts w:cs="Arial" w:hint="cs"/>
          <w:rtl/>
        </w:rPr>
        <w:t xml:space="preserve">בעל התרומות </w:t>
      </w:r>
      <w:r>
        <w:rPr>
          <w:rFonts w:cs="Arial" w:hint="cs"/>
          <w:sz w:val="16"/>
          <w:szCs w:val="16"/>
          <w:rtl/>
        </w:rPr>
        <w:t>(שם)</w:t>
      </w:r>
      <w:r>
        <w:rPr>
          <w:rFonts w:cs="Arial" w:hint="cs"/>
          <w:rtl/>
        </w:rPr>
        <w:t xml:space="preserve">- </w:t>
      </w:r>
      <w:r w:rsidRPr="003760A7">
        <w:rPr>
          <w:rFonts w:cs="Arial"/>
          <w:rtl/>
        </w:rPr>
        <w:t xml:space="preserve">ולי נראה דכל היכא שהבעל חייב במזונותיה </w:t>
      </w:r>
      <w:r>
        <w:rPr>
          <w:rFonts w:cs="Arial" w:hint="cs"/>
          <w:rtl/>
        </w:rPr>
        <w:t xml:space="preserve">- </w:t>
      </w:r>
      <w:r w:rsidRPr="003760A7">
        <w:rPr>
          <w:rFonts w:cs="Arial"/>
          <w:rtl/>
        </w:rPr>
        <w:t>לא אבדה זכות מזונותיה</w:t>
      </w:r>
      <w:r>
        <w:rPr>
          <w:rFonts w:cs="Arial" w:hint="cs"/>
          <w:rtl/>
        </w:rPr>
        <w:t>,</w:t>
      </w:r>
      <w:r w:rsidRPr="003760A7">
        <w:rPr>
          <w:rFonts w:cs="Arial"/>
          <w:rtl/>
        </w:rPr>
        <w:t xml:space="preserve"> חוץ ממורדת מלעמוד עמו שהפסידה מזונותיה</w:t>
      </w:r>
      <w:r>
        <w:rPr>
          <w:rFonts w:cs="Arial" w:hint="cs"/>
          <w:rtl/>
        </w:rPr>
        <w:t>.</w:t>
      </w:r>
      <w:r w:rsidRPr="003760A7">
        <w:rPr>
          <w:rFonts w:cs="Arial"/>
          <w:rtl/>
        </w:rPr>
        <w:t xml:space="preserve"> וכן הסכים הרמב"ן (סי</w:t>
      </w:r>
      <w:r>
        <w:rPr>
          <w:rFonts w:cs="Arial" w:hint="cs"/>
          <w:rtl/>
        </w:rPr>
        <w:t>'</w:t>
      </w:r>
      <w:r w:rsidRPr="003760A7">
        <w:rPr>
          <w:rFonts w:cs="Arial"/>
          <w:rtl/>
        </w:rPr>
        <w:t xml:space="preserve"> סו) וזה אשר השיב לי</w:t>
      </w:r>
      <w:r>
        <w:rPr>
          <w:rFonts w:cs="Arial" w:hint="cs"/>
          <w:rtl/>
        </w:rPr>
        <w:t>-</w:t>
      </w:r>
      <w:r w:rsidRPr="003760A7">
        <w:rPr>
          <w:rFonts w:cs="Arial"/>
          <w:rtl/>
        </w:rPr>
        <w:t xml:space="preserve"> כל השאלות תשובה אחת להן</w:t>
      </w:r>
      <w:r>
        <w:rPr>
          <w:rFonts w:cs="Arial" w:hint="cs"/>
          <w:rtl/>
        </w:rPr>
        <w:t>,</w:t>
      </w:r>
      <w:r w:rsidRPr="003760A7">
        <w:rPr>
          <w:rFonts w:cs="Arial"/>
          <w:rtl/>
        </w:rPr>
        <w:t xml:space="preserve"> דודאי כל היכא דבעל חייב לזון את אשתו</w:t>
      </w:r>
      <w:r>
        <w:rPr>
          <w:rFonts w:cs="Arial" w:hint="cs"/>
          <w:rtl/>
        </w:rPr>
        <w:t>,</w:t>
      </w:r>
      <w:r w:rsidRPr="003760A7">
        <w:rPr>
          <w:rFonts w:cs="Arial"/>
          <w:rtl/>
        </w:rPr>
        <w:t xml:space="preserve"> אם לותה ואכלה </w:t>
      </w:r>
      <w:r>
        <w:rPr>
          <w:rFonts w:cs="Arial" w:hint="cs"/>
          <w:rtl/>
        </w:rPr>
        <w:t xml:space="preserve">- </w:t>
      </w:r>
      <w:r w:rsidRPr="003760A7">
        <w:rPr>
          <w:rFonts w:cs="Arial"/>
          <w:rtl/>
        </w:rPr>
        <w:t>חייב לשלם</w:t>
      </w:r>
      <w:r>
        <w:rPr>
          <w:rFonts w:cs="Arial" w:hint="cs"/>
          <w:rtl/>
        </w:rPr>
        <w:t>.</w:t>
      </w:r>
      <w:r w:rsidRPr="003760A7">
        <w:rPr>
          <w:rFonts w:cs="Arial"/>
          <w:rtl/>
        </w:rPr>
        <w:t xml:space="preserve"> הילכך אע</w:t>
      </w:r>
      <w:r>
        <w:rPr>
          <w:rFonts w:cs="Arial" w:hint="cs"/>
          <w:rtl/>
        </w:rPr>
        <w:t>"</w:t>
      </w:r>
      <w:r w:rsidRPr="003760A7">
        <w:rPr>
          <w:rFonts w:cs="Arial"/>
          <w:rtl/>
        </w:rPr>
        <w:t>פ שהוא כאן ולא זימנתו לדין לא הפסידה מזונותיה אף על פי שעמד והכריז שלא ילוה אדם לאשתו</w:t>
      </w:r>
      <w:r>
        <w:rPr>
          <w:rFonts w:cs="Arial" w:hint="cs"/>
          <w:rtl/>
        </w:rPr>
        <w:t>,</w:t>
      </w:r>
      <w:r w:rsidRPr="003760A7">
        <w:rPr>
          <w:rFonts w:cs="Arial"/>
          <w:rtl/>
        </w:rPr>
        <w:t xml:space="preserve"> לאו כל הימנו להפסידה זכותה</w:t>
      </w:r>
      <w:r>
        <w:rPr>
          <w:rFonts w:cs="Arial" w:hint="cs"/>
          <w:rtl/>
        </w:rPr>
        <w:t>.</w:t>
      </w:r>
      <w:r w:rsidRPr="003760A7">
        <w:rPr>
          <w:rFonts w:cs="Arial"/>
          <w:rtl/>
        </w:rPr>
        <w:t xml:space="preserve"> והוא דלא ספקה ממעשה ידיה</w:t>
      </w:r>
      <w:r>
        <w:rPr>
          <w:rFonts w:cs="Arial" w:hint="cs"/>
          <w:rtl/>
        </w:rPr>
        <w:t>,</w:t>
      </w:r>
      <w:r w:rsidRPr="003760A7">
        <w:rPr>
          <w:rFonts w:cs="Arial"/>
          <w:rtl/>
        </w:rPr>
        <w:t xml:space="preserve"> אבל בדספקה אם עמד והכריז שלא ילוה אדם לאשתו נ"ל דכמי שאמר שתוציא לה מעשה ידיה למזונותיה דמי ופטור</w:t>
      </w:r>
      <w:r>
        <w:rPr>
          <w:rFonts w:cs="Arial" w:hint="cs"/>
          <w:rtl/>
        </w:rPr>
        <w:t>,</w:t>
      </w:r>
      <w:r w:rsidRPr="003760A7">
        <w:rPr>
          <w:rFonts w:cs="Arial"/>
          <w:rtl/>
        </w:rPr>
        <w:t xml:space="preserve"> בין ששמע המלוה בהכרזה זו בין שלא שמע</w:t>
      </w:r>
      <w:r>
        <w:rPr>
          <w:rFonts w:cs="Arial" w:hint="cs"/>
          <w:rtl/>
        </w:rPr>
        <w:t>.</w:t>
      </w:r>
      <w:r w:rsidRPr="003760A7">
        <w:rPr>
          <w:rFonts w:cs="Arial"/>
          <w:rtl/>
        </w:rPr>
        <w:t xml:space="preserve"> ואם שתק ולותה ואכלה ולא עשתה אף על גב דספקה מוציאין ממנו</w:t>
      </w:r>
      <w:r>
        <w:rPr>
          <w:rFonts w:cs="Arial" w:hint="cs"/>
          <w:rtl/>
        </w:rPr>
        <w:t>,</w:t>
      </w:r>
      <w:r w:rsidRPr="003760A7">
        <w:rPr>
          <w:rFonts w:cs="Arial"/>
          <w:rtl/>
        </w:rPr>
        <w:t xml:space="preserve"> וכך הם דברי הרמב"ם במי שהלך בעלה </w:t>
      </w:r>
      <w:r w:rsidRPr="003760A7">
        <w:rPr>
          <w:rFonts w:cs="Arial"/>
          <w:rtl/>
        </w:rPr>
        <w:lastRenderedPageBreak/>
        <w:t>למדינת הים ולותה ולא עשתה חייב ואף על גב דספקה מוציאין ממנו</w:t>
      </w:r>
      <w:r>
        <w:rPr>
          <w:rFonts w:cs="Arial" w:hint="cs"/>
          <w:rtl/>
        </w:rPr>
        <w:t>,</w:t>
      </w:r>
      <w:r w:rsidRPr="003760A7">
        <w:rPr>
          <w:rFonts w:cs="Arial"/>
          <w:rtl/>
        </w:rPr>
        <w:t xml:space="preserve"> ויש להם פנים בהלכה</w:t>
      </w:r>
      <w:r>
        <w:rPr>
          <w:rFonts w:cs="Arial" w:hint="cs"/>
          <w:rtl/>
        </w:rPr>
        <w:t>.</w:t>
      </w:r>
      <w:r w:rsidRPr="003760A7">
        <w:rPr>
          <w:rFonts w:cs="Arial"/>
          <w:rtl/>
        </w:rPr>
        <w:t xml:space="preserve"> ומעתה אין לנו לחלק בין עומד כאן להלך למדינת הים עכ"ל</w:t>
      </w:r>
      <w:r>
        <w:rPr>
          <w:rFonts w:cs="Arial" w:hint="cs"/>
          <w:rtl/>
        </w:rPr>
        <w:t>.</w:t>
      </w:r>
    </w:p>
    <w:p w14:paraId="208198A4" w14:textId="77777777" w:rsidR="002E5BAD" w:rsidRDefault="002E5BAD" w:rsidP="002E5BAD">
      <w:pPr>
        <w:rPr>
          <w:rFonts w:cs="Arial"/>
          <w:rtl/>
        </w:rPr>
      </w:pPr>
      <w:r w:rsidRPr="007707B3">
        <w:rPr>
          <w:rFonts w:cs="Arial" w:hint="cs"/>
          <w:u w:val="single"/>
          <w:rtl/>
        </w:rPr>
        <w:t xml:space="preserve">בעל </w:t>
      </w:r>
      <w:r>
        <w:rPr>
          <w:rFonts w:cs="Arial" w:hint="cs"/>
          <w:u w:val="single"/>
          <w:rtl/>
        </w:rPr>
        <w:t>שאומר</w:t>
      </w:r>
      <w:r w:rsidRPr="007707B3">
        <w:rPr>
          <w:rFonts w:cs="Arial" w:hint="cs"/>
          <w:u w:val="single"/>
          <w:rtl/>
        </w:rPr>
        <w:t xml:space="preserve"> שפסק לה מזונות על העתיד:</w:t>
      </w:r>
      <w:r>
        <w:rPr>
          <w:rFonts w:cs="Arial" w:hint="cs"/>
          <w:rtl/>
        </w:rPr>
        <w:t xml:space="preserve">  </w:t>
      </w:r>
      <w:r w:rsidRPr="007707B3">
        <w:rPr>
          <w:rFonts w:cs="Arial" w:hint="cs"/>
          <w:sz w:val="16"/>
          <w:szCs w:val="16"/>
          <w:rtl/>
        </w:rPr>
        <w:t xml:space="preserve">(דרכ"מ אות יא) </w:t>
      </w:r>
    </w:p>
    <w:p w14:paraId="26C99E00" w14:textId="77777777" w:rsidR="002E5BAD" w:rsidRDefault="002E5BAD" w:rsidP="002E5BAD">
      <w:pPr>
        <w:pStyle w:val="ab"/>
        <w:numPr>
          <w:ilvl w:val="0"/>
          <w:numId w:val="135"/>
        </w:numPr>
      </w:pPr>
      <w:r w:rsidRPr="007707B3">
        <w:rPr>
          <w:rFonts w:cs="Arial"/>
          <w:rtl/>
        </w:rPr>
        <w:t xml:space="preserve">ר"ן </w:t>
      </w:r>
      <w:r w:rsidRPr="007707B3">
        <w:rPr>
          <w:rFonts w:cs="Arial" w:hint="cs"/>
          <w:sz w:val="16"/>
          <w:szCs w:val="16"/>
          <w:rtl/>
        </w:rPr>
        <w:t>(</w:t>
      </w:r>
      <w:r w:rsidRPr="007707B3">
        <w:rPr>
          <w:rFonts w:cs="Arial"/>
          <w:sz w:val="16"/>
          <w:szCs w:val="16"/>
          <w:rtl/>
        </w:rPr>
        <w:t>ר</w:t>
      </w:r>
      <w:r w:rsidRPr="007707B3">
        <w:rPr>
          <w:rFonts w:cs="Arial" w:hint="cs"/>
          <w:sz w:val="16"/>
          <w:szCs w:val="16"/>
          <w:rtl/>
        </w:rPr>
        <w:t>"פ</w:t>
      </w:r>
      <w:r w:rsidRPr="007707B3">
        <w:rPr>
          <w:rFonts w:cs="Arial"/>
          <w:sz w:val="16"/>
          <w:szCs w:val="16"/>
          <w:rtl/>
        </w:rPr>
        <w:t xml:space="preserve"> אלמנה ניזונת</w:t>
      </w:r>
      <w:r w:rsidRPr="007707B3">
        <w:rPr>
          <w:rFonts w:cs="Arial" w:hint="cs"/>
          <w:sz w:val="16"/>
          <w:szCs w:val="16"/>
          <w:rtl/>
        </w:rPr>
        <w:t>)</w:t>
      </w:r>
      <w:r w:rsidRPr="007707B3">
        <w:rPr>
          <w:rFonts w:cs="Arial" w:hint="cs"/>
          <w:rtl/>
        </w:rPr>
        <w:t>-</w:t>
      </w:r>
      <w:r w:rsidRPr="007707B3">
        <w:rPr>
          <w:rFonts w:cs="Arial"/>
          <w:rtl/>
        </w:rPr>
        <w:t xml:space="preserve"> אם הבעל לפנינו ואומר שפסק לה מזונות על העתיד אינו נאמן</w:t>
      </w:r>
      <w:r w:rsidRPr="007707B3">
        <w:rPr>
          <w:rFonts w:cs="Arial" w:hint="cs"/>
          <w:rtl/>
        </w:rPr>
        <w:t>.</w:t>
      </w:r>
      <w:r>
        <w:rPr>
          <w:rFonts w:hint="cs"/>
          <w:rtl/>
        </w:rPr>
        <w:t xml:space="preserve"> </w:t>
      </w:r>
      <w:r w:rsidRPr="00C57942">
        <w:rPr>
          <w:rFonts w:hint="cs"/>
          <w:color w:val="00B0F0"/>
          <w:rtl/>
        </w:rPr>
        <w:t>(וכ"פ הרמ"א)</w:t>
      </w:r>
    </w:p>
    <w:p w14:paraId="1FBF385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5E179B7" w14:textId="77777777" w:rsidR="002E5BAD" w:rsidRDefault="002E5BAD" w:rsidP="002E5BAD">
      <w:pPr>
        <w:rPr>
          <w:rtl/>
        </w:rPr>
      </w:pPr>
      <w:r>
        <w:rPr>
          <w:rFonts w:cs="Arial"/>
          <w:rtl/>
        </w:rPr>
        <w:t>הרי שעמדה בדין ופסקו לה מזונות, ומכרו ב</w:t>
      </w:r>
      <w:r>
        <w:rPr>
          <w:rFonts w:cs="Arial" w:hint="cs"/>
          <w:rtl/>
        </w:rPr>
        <w:t xml:space="preserve">ית </w:t>
      </w:r>
      <w:r>
        <w:rPr>
          <w:rFonts w:cs="Arial"/>
          <w:rtl/>
        </w:rPr>
        <w:t>ד</w:t>
      </w:r>
      <w:r>
        <w:rPr>
          <w:rFonts w:cs="Arial" w:hint="cs"/>
          <w:rtl/>
        </w:rPr>
        <w:t>ין</w:t>
      </w:r>
      <w:r>
        <w:rPr>
          <w:rFonts w:cs="Arial"/>
          <w:rtl/>
        </w:rPr>
        <w:t xml:space="preserve"> ונתנו לה, או שמכרה היא לעצמה, ובא הבעל ואמר: הנחתי לה מזונות, הרי זו נשבעת בנקיטת חפץ שלא הניח לה. ואם לא תבעה ולא מכרה, אלא שהתה עד שבא הוא ואמר: הנחתי לך מזונות, והיא אומרת: לא הנחת אלא לויתי מזה ונתפרנסתי, נשבע שבועת היסת שהניח לה, ונפטר, וישאר החוב עליה. </w:t>
      </w:r>
      <w:r>
        <w:rPr>
          <w:rFonts w:cs="Arial" w:hint="cs"/>
          <w:sz w:val="18"/>
          <w:szCs w:val="18"/>
          <w:rtl/>
        </w:rPr>
        <w:t xml:space="preserve">[הגה] </w:t>
      </w:r>
      <w:r w:rsidRPr="001D31A4">
        <w:rPr>
          <w:rFonts w:cs="Arial"/>
          <w:sz w:val="18"/>
          <w:szCs w:val="18"/>
          <w:rtl/>
        </w:rPr>
        <w:t xml:space="preserve">אבל אין האיש נאמן לומר שנתן לה על העתיד (הר"ן ריש פ' דייני גזירות). </w:t>
      </w:r>
      <w:r>
        <w:rPr>
          <w:rFonts w:cs="Arial"/>
          <w:rtl/>
        </w:rPr>
        <w:t xml:space="preserve">ואם מכרה מטלטלין ואמרה: למזונות מכרתי, והוא טוען ואומר: מזונותיך הנחתי, נשבעת שבועת היסת שלא הניח. </w:t>
      </w:r>
      <w:r w:rsidRPr="001D31A4">
        <w:rPr>
          <w:rFonts w:cs="Arial"/>
          <w:sz w:val="18"/>
          <w:szCs w:val="18"/>
          <w:rtl/>
        </w:rPr>
        <w:t>הגה: טען ואמר היה לה להוציא מעשה ידיה במזונותיה, אם לותה בלא ב"ד, והיא בעלת מלאכה שמעשה ידיה מספיקין לה לדברים גדולים, אף על פי שאינן מספיקין לדברים קטנים, טענתו טענה</w:t>
      </w:r>
      <w:r>
        <w:rPr>
          <w:rFonts w:cs="Arial" w:hint="cs"/>
          <w:sz w:val="18"/>
          <w:szCs w:val="18"/>
          <w:rtl/>
        </w:rPr>
        <w:t>.</w:t>
      </w:r>
      <w:r w:rsidRPr="001D31A4">
        <w:rPr>
          <w:rFonts w:cs="Arial"/>
          <w:sz w:val="18"/>
          <w:szCs w:val="18"/>
          <w:rtl/>
        </w:rPr>
        <w:t xml:space="preserve"> אבל אם פסקו לה ב"ד, צריכין שיספיקו מעשה ידיה לכל דבר (הכל בטור).</w:t>
      </w:r>
      <w:r>
        <w:rPr>
          <w:rFonts w:cs="Arial"/>
          <w:rtl/>
        </w:rPr>
        <w:t xml:space="preserve"> </w:t>
      </w:r>
    </w:p>
    <w:p w14:paraId="36070A9E" w14:textId="77777777" w:rsidR="002E5BAD" w:rsidRDefault="002E5BAD" w:rsidP="002E5BAD">
      <w:pPr>
        <w:rPr>
          <w:rtl/>
        </w:rPr>
      </w:pPr>
    </w:p>
    <w:p w14:paraId="472F1E86" w14:textId="77777777" w:rsidR="002E5BAD" w:rsidRDefault="002E5BAD" w:rsidP="002E5BAD">
      <w:pPr>
        <w:pStyle w:val="2"/>
        <w:rPr>
          <w:rtl/>
        </w:rPr>
      </w:pPr>
      <w:r>
        <w:rPr>
          <w:rtl/>
        </w:rPr>
        <w:t>סעיף יא</w:t>
      </w:r>
      <w:r>
        <w:rPr>
          <w:rFonts w:hint="cs"/>
          <w:rtl/>
        </w:rPr>
        <w:t>: הלך למדינת הים, והיא עשתה ואכלה.</w:t>
      </w:r>
    </w:p>
    <w:p w14:paraId="75B2CD53" w14:textId="77777777" w:rsidR="002E5BAD" w:rsidRDefault="002E5BAD" w:rsidP="002E5BAD">
      <w:pPr>
        <w:rPr>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A26F4F">
        <w:rPr>
          <w:rFonts w:cs="Arial"/>
          <w:rtl/>
        </w:rPr>
        <w:t>ת"ש: מי שהלך למדינת הים ואשתו תובעת מזונות, ואם בא ואמר צאי מעשה ידיך במזונותיך - רשאי, קדמו בית דין ופסקו - מה שפסקו פסקו</w:t>
      </w:r>
      <w:r>
        <w:rPr>
          <w:rFonts w:cs="Arial" w:hint="cs"/>
          <w:rtl/>
        </w:rPr>
        <w:t>.</w:t>
      </w:r>
      <w:r w:rsidRPr="00383714">
        <w:rPr>
          <w:rFonts w:cs="Arial"/>
          <w:rtl/>
        </w:rPr>
        <w:t xml:space="preserve"> </w:t>
      </w:r>
      <w:r w:rsidRPr="00383714">
        <w:rPr>
          <w:rFonts w:cs="Arial" w:hint="cs"/>
          <w:sz w:val="16"/>
          <w:szCs w:val="16"/>
          <w:rtl/>
        </w:rPr>
        <w:t>(</w:t>
      </w:r>
      <w:r>
        <w:rPr>
          <w:rFonts w:cs="Arial" w:hint="cs"/>
          <w:sz w:val="16"/>
          <w:szCs w:val="16"/>
          <w:rtl/>
        </w:rPr>
        <w:t xml:space="preserve">וכתב </w:t>
      </w:r>
      <w:r w:rsidRPr="00383714">
        <w:rPr>
          <w:rFonts w:cs="Arial" w:hint="cs"/>
          <w:sz w:val="16"/>
          <w:szCs w:val="16"/>
          <w:rtl/>
        </w:rPr>
        <w:t>הה"מ (פי"ב מאישות הכ</w:t>
      </w:r>
      <w:r>
        <w:rPr>
          <w:rFonts w:cs="Arial" w:hint="cs"/>
          <w:sz w:val="16"/>
          <w:szCs w:val="16"/>
          <w:rtl/>
        </w:rPr>
        <w:t>"</w:t>
      </w:r>
      <w:r w:rsidRPr="00383714">
        <w:rPr>
          <w:rFonts w:cs="Arial" w:hint="cs"/>
          <w:sz w:val="16"/>
          <w:szCs w:val="16"/>
          <w:rtl/>
        </w:rPr>
        <w:t>ב)</w:t>
      </w:r>
      <w:r>
        <w:rPr>
          <w:rFonts w:cs="Arial" w:hint="cs"/>
          <w:sz w:val="16"/>
          <w:szCs w:val="16"/>
          <w:rtl/>
        </w:rPr>
        <w:t xml:space="preserve"> </w:t>
      </w:r>
      <w:r w:rsidRPr="00383714">
        <w:rPr>
          <w:rFonts w:cs="Arial"/>
          <w:sz w:val="16"/>
          <w:szCs w:val="16"/>
          <w:rtl/>
        </w:rPr>
        <w:t xml:space="preserve">ויש שם גירסא אחרת </w:t>
      </w:r>
      <w:r w:rsidRPr="00383714">
        <w:rPr>
          <w:rFonts w:cs="Arial" w:hint="cs"/>
          <w:sz w:val="16"/>
          <w:szCs w:val="16"/>
          <w:rtl/>
        </w:rPr>
        <w:t>'</w:t>
      </w:r>
      <w:r w:rsidRPr="00383714">
        <w:rPr>
          <w:rFonts w:cs="Arial"/>
          <w:sz w:val="16"/>
          <w:szCs w:val="16"/>
          <w:rtl/>
        </w:rPr>
        <w:t>ואמר לה צאי מעשה ידיך במזונותיך רשאי</w:t>
      </w:r>
      <w:r w:rsidRPr="00383714">
        <w:rPr>
          <w:rFonts w:cs="Arial" w:hint="cs"/>
          <w:sz w:val="16"/>
          <w:szCs w:val="16"/>
          <w:rtl/>
        </w:rPr>
        <w:t>'</w:t>
      </w:r>
      <w:r w:rsidRPr="00383714">
        <w:rPr>
          <w:rFonts w:cs="Arial"/>
          <w:sz w:val="16"/>
          <w:szCs w:val="16"/>
          <w:rtl/>
        </w:rPr>
        <w:t xml:space="preserve"> פירוש שכבר אמר לה בצאתו והיא שתקה</w:t>
      </w:r>
      <w:r w:rsidRPr="00383714">
        <w:rPr>
          <w:rFonts w:cs="Arial" w:hint="cs"/>
          <w:sz w:val="16"/>
          <w:szCs w:val="16"/>
          <w:rtl/>
        </w:rPr>
        <w:t>,</w:t>
      </w:r>
      <w:r w:rsidRPr="00383714">
        <w:rPr>
          <w:rFonts w:cs="Arial"/>
          <w:sz w:val="16"/>
          <w:szCs w:val="16"/>
          <w:rtl/>
        </w:rPr>
        <w:t xml:space="preserve"> ובירושלמי (שם ה"א) מצאתי כגירסא הראשונה</w:t>
      </w:r>
      <w:r>
        <w:rPr>
          <w:rFonts w:cs="Arial" w:hint="cs"/>
          <w:sz w:val="16"/>
          <w:szCs w:val="16"/>
          <w:rtl/>
        </w:rPr>
        <w:t>, ב"י)</w:t>
      </w:r>
    </w:p>
    <w:p w14:paraId="677BD067" w14:textId="77777777" w:rsidR="002E5BAD" w:rsidRPr="00F735CD" w:rsidRDefault="002E5BAD" w:rsidP="002E5BAD">
      <w:pPr>
        <w:rPr>
          <w:rFonts w:cs="Arial"/>
          <w:u w:val="single"/>
        </w:rPr>
      </w:pPr>
      <w:r w:rsidRPr="008F6E32">
        <w:rPr>
          <w:rFonts w:cs="Arial" w:hint="cs"/>
          <w:u w:val="single"/>
          <w:rtl/>
        </w:rPr>
        <w:t>בעל שחזר ממדינת הים ואמר '</w:t>
      </w:r>
      <w:r>
        <w:rPr>
          <w:rFonts w:cs="Arial" w:hint="cs"/>
          <w:u w:val="single"/>
          <w:rtl/>
        </w:rPr>
        <w:t>צאי מעשה ידיך במזונותיך</w:t>
      </w:r>
      <w:r w:rsidRPr="008F6E32">
        <w:rPr>
          <w:rFonts w:cs="Arial" w:hint="cs"/>
          <w:u w:val="single"/>
          <w:rtl/>
        </w:rPr>
        <w:t>':</w:t>
      </w:r>
    </w:p>
    <w:p w14:paraId="13F6E4F3" w14:textId="77777777" w:rsidR="002E5BAD" w:rsidRDefault="002E5BAD" w:rsidP="002E5BAD">
      <w:pPr>
        <w:pStyle w:val="ab"/>
        <w:numPr>
          <w:ilvl w:val="0"/>
          <w:numId w:val="135"/>
        </w:numPr>
      </w:pPr>
      <w:r w:rsidRPr="00235C1E">
        <w:rPr>
          <w:rFonts w:cs="Arial"/>
          <w:rtl/>
        </w:rPr>
        <w:t xml:space="preserve">רמב"ם </w:t>
      </w:r>
      <w:r w:rsidRPr="0085543D">
        <w:rPr>
          <w:rFonts w:cs="Arial" w:hint="cs"/>
          <w:sz w:val="16"/>
          <w:szCs w:val="16"/>
          <w:rtl/>
        </w:rPr>
        <w:t>(</w:t>
      </w:r>
      <w:r w:rsidRPr="0085543D">
        <w:rPr>
          <w:rFonts w:cs="Arial"/>
          <w:sz w:val="16"/>
          <w:szCs w:val="16"/>
          <w:rtl/>
        </w:rPr>
        <w:t>פי"ב מאישות</w:t>
      </w:r>
      <w:r w:rsidRPr="0085543D">
        <w:rPr>
          <w:rFonts w:cs="Arial" w:hint="cs"/>
          <w:sz w:val="16"/>
          <w:szCs w:val="16"/>
          <w:rtl/>
        </w:rPr>
        <w:t xml:space="preserve"> </w:t>
      </w:r>
      <w:r w:rsidRPr="0085543D">
        <w:rPr>
          <w:rFonts w:cs="Arial"/>
          <w:sz w:val="16"/>
          <w:szCs w:val="16"/>
          <w:rtl/>
        </w:rPr>
        <w:t>הכ</w:t>
      </w:r>
      <w:r>
        <w:rPr>
          <w:rFonts w:cs="Arial" w:hint="cs"/>
          <w:sz w:val="16"/>
          <w:szCs w:val="16"/>
          <w:rtl/>
        </w:rPr>
        <w:t>"</w:t>
      </w:r>
      <w:r w:rsidRPr="0085543D">
        <w:rPr>
          <w:rFonts w:cs="Arial"/>
          <w:sz w:val="16"/>
          <w:szCs w:val="16"/>
          <w:rtl/>
        </w:rPr>
        <w:t>ב)</w:t>
      </w:r>
      <w:r>
        <w:rPr>
          <w:rFonts w:cs="Arial" w:hint="cs"/>
          <w:rtl/>
        </w:rPr>
        <w:t>-</w:t>
      </w:r>
      <w:r w:rsidRPr="00235C1E">
        <w:rPr>
          <w:rFonts w:cs="Arial"/>
          <w:rtl/>
        </w:rPr>
        <w:t xml:space="preserve"> הרי שלא תבעה ולא לותה ולא מכרה אלא דחקה עצמה ביום ובלילה ועשתה ואכלה </w:t>
      </w:r>
      <w:r>
        <w:rPr>
          <w:rFonts w:cs="Arial" w:hint="cs"/>
          <w:rtl/>
        </w:rPr>
        <w:t xml:space="preserve">- </w:t>
      </w:r>
      <w:r w:rsidRPr="00235C1E">
        <w:rPr>
          <w:rFonts w:cs="Arial"/>
          <w:rtl/>
        </w:rPr>
        <w:t>אין לה כלום</w:t>
      </w:r>
      <w:r>
        <w:rPr>
          <w:rStyle w:val="a7"/>
          <w:rFonts w:cs="Arial"/>
          <w:rtl/>
        </w:rPr>
        <w:footnoteReference w:id="1119"/>
      </w:r>
      <w:r w:rsidRPr="00235C1E">
        <w:rPr>
          <w:rFonts w:cs="Arial"/>
          <w:rtl/>
        </w:rPr>
        <w:t xml:space="preserve">. </w:t>
      </w:r>
      <w:r w:rsidRPr="00C57942">
        <w:rPr>
          <w:rFonts w:hint="cs"/>
          <w:color w:val="E36C0A" w:themeColor="accent6" w:themeShade="BF"/>
          <w:rtl/>
        </w:rPr>
        <w:t>(וכ"פ בשו"ע)</w:t>
      </w:r>
    </w:p>
    <w:p w14:paraId="01B9F67A" w14:textId="77777777" w:rsidR="002E5BAD" w:rsidRPr="0096537E" w:rsidRDefault="002E5BAD" w:rsidP="002E5BAD">
      <w:pPr>
        <w:pStyle w:val="ab"/>
        <w:numPr>
          <w:ilvl w:val="0"/>
          <w:numId w:val="135"/>
        </w:numPr>
        <w:rPr>
          <w:rtl/>
        </w:rPr>
      </w:pPr>
      <w:r w:rsidRPr="00235C1E">
        <w:rPr>
          <w:rFonts w:cs="Arial"/>
          <w:rtl/>
        </w:rPr>
        <w:t xml:space="preserve">רא"ש </w:t>
      </w:r>
      <w:r w:rsidRPr="00F735CD">
        <w:rPr>
          <w:rFonts w:cs="Arial"/>
          <w:sz w:val="16"/>
          <w:szCs w:val="16"/>
          <w:rtl/>
        </w:rPr>
        <w:t>(פי"ג סי' ב)</w:t>
      </w:r>
      <w:r>
        <w:rPr>
          <w:rFonts w:cs="Arial" w:hint="cs"/>
          <w:rtl/>
        </w:rPr>
        <w:t>-</w:t>
      </w:r>
      <w:r w:rsidRPr="00235C1E">
        <w:rPr>
          <w:rFonts w:cs="Arial"/>
          <w:rtl/>
        </w:rPr>
        <w:t xml:space="preserve"> תניא מי שהלך למדינת הים ובאה אשתו ותובעת מזונות ובא ואמר צאי מעשה ידיך במזונותיך רשאי</w:t>
      </w:r>
      <w:r>
        <w:rPr>
          <w:rFonts w:cs="Arial" w:hint="cs"/>
          <w:rtl/>
        </w:rPr>
        <w:t>.</w:t>
      </w:r>
      <w:r w:rsidRPr="00235C1E">
        <w:rPr>
          <w:rFonts w:cs="Arial"/>
          <w:rtl/>
        </w:rPr>
        <w:t xml:space="preserve"> פירוש</w:t>
      </w:r>
      <w:r>
        <w:rPr>
          <w:rFonts w:cs="Arial" w:hint="cs"/>
          <w:rtl/>
        </w:rPr>
        <w:t>,</w:t>
      </w:r>
      <w:r w:rsidRPr="00235C1E">
        <w:rPr>
          <w:rFonts w:cs="Arial"/>
          <w:rtl/>
        </w:rPr>
        <w:t xml:space="preserve"> ואשתו תובעת מזונות שלותה ואכלה קודם שבא ואמר צאי מעשה ידיך במזונותיך</w:t>
      </w:r>
      <w:r>
        <w:rPr>
          <w:rFonts w:cs="Arial" w:hint="cs"/>
          <w:rtl/>
        </w:rPr>
        <w:t>,</w:t>
      </w:r>
      <w:r w:rsidRPr="00235C1E">
        <w:rPr>
          <w:rFonts w:cs="Arial"/>
          <w:rtl/>
        </w:rPr>
        <w:t xml:space="preserve"> כלומר</w:t>
      </w:r>
      <w:r>
        <w:rPr>
          <w:rFonts w:cs="Arial" w:hint="cs"/>
          <w:rtl/>
        </w:rPr>
        <w:t>,</w:t>
      </w:r>
      <w:r w:rsidRPr="00235C1E">
        <w:rPr>
          <w:rFonts w:cs="Arial"/>
          <w:rtl/>
        </w:rPr>
        <w:t xml:space="preserve"> לא אפרע כי היה לך להתפרנס ממעשה ידיך</w:t>
      </w:r>
      <w:r>
        <w:rPr>
          <w:rFonts w:cs="Arial" w:hint="cs"/>
          <w:rtl/>
        </w:rPr>
        <w:t>,</w:t>
      </w:r>
      <w:r w:rsidRPr="00235C1E">
        <w:rPr>
          <w:rFonts w:cs="Arial"/>
          <w:rtl/>
        </w:rPr>
        <w:t xml:space="preserve"> ואף על פי שאינה מספקת</w:t>
      </w:r>
      <w:r>
        <w:rPr>
          <w:rFonts w:cs="Arial" w:hint="cs"/>
          <w:rtl/>
        </w:rPr>
        <w:t>,</w:t>
      </w:r>
      <w:r w:rsidRPr="00235C1E">
        <w:rPr>
          <w:rFonts w:cs="Arial"/>
          <w:rtl/>
        </w:rPr>
        <w:t xml:space="preserve"> דאם לא היו מלוים לה היתה דוחקת עצמה ומצמצמת</w:t>
      </w:r>
      <w:r>
        <w:rPr>
          <w:rFonts w:cs="Arial" w:hint="cs"/>
          <w:rtl/>
        </w:rPr>
        <w:t>.</w:t>
      </w:r>
      <w:r w:rsidRPr="00235C1E">
        <w:rPr>
          <w:rFonts w:cs="Arial"/>
          <w:rtl/>
        </w:rPr>
        <w:t xml:space="preserve"> ואין לפרש דהכי קאמר </w:t>
      </w:r>
      <w:r>
        <w:rPr>
          <w:rFonts w:cs="Arial" w:hint="cs"/>
          <w:rtl/>
        </w:rPr>
        <w:t>'</w:t>
      </w:r>
      <w:r w:rsidRPr="00235C1E">
        <w:rPr>
          <w:rFonts w:cs="Arial"/>
          <w:rtl/>
        </w:rPr>
        <w:t>אני אמרתי לה קודם שהלכתי צאי מעשה ידיך במזונותיך ונתרצית</w:t>
      </w:r>
      <w:r>
        <w:rPr>
          <w:rFonts w:cs="Arial" w:hint="cs"/>
          <w:rtl/>
        </w:rPr>
        <w:t>',</w:t>
      </w:r>
      <w:r w:rsidRPr="00235C1E">
        <w:rPr>
          <w:rFonts w:cs="Arial"/>
          <w:rtl/>
        </w:rPr>
        <w:t xml:space="preserve"> דאם כן הוה ליה למימר </w:t>
      </w:r>
      <w:r>
        <w:rPr>
          <w:rFonts w:cs="Arial" w:hint="cs"/>
          <w:rtl/>
        </w:rPr>
        <w:t>'</w:t>
      </w:r>
      <w:r w:rsidRPr="00235C1E">
        <w:rPr>
          <w:rFonts w:cs="Arial"/>
          <w:rtl/>
        </w:rPr>
        <w:t>נאמן</w:t>
      </w:r>
      <w:r>
        <w:rPr>
          <w:rFonts w:cs="Arial" w:hint="cs"/>
          <w:rtl/>
        </w:rPr>
        <w:t>',</w:t>
      </w:r>
      <w:r w:rsidRPr="00235C1E">
        <w:rPr>
          <w:rFonts w:cs="Arial"/>
          <w:rtl/>
        </w:rPr>
        <w:t xml:space="preserve"> אלא </w:t>
      </w:r>
      <w:r>
        <w:rPr>
          <w:rFonts w:cs="Arial" w:hint="cs"/>
          <w:rtl/>
        </w:rPr>
        <w:t>'</w:t>
      </w:r>
      <w:r w:rsidRPr="00235C1E">
        <w:rPr>
          <w:rFonts w:cs="Arial"/>
          <w:rtl/>
        </w:rPr>
        <w:t>רשאי</w:t>
      </w:r>
      <w:r>
        <w:rPr>
          <w:rFonts w:cs="Arial" w:hint="cs"/>
          <w:rtl/>
        </w:rPr>
        <w:t>'</w:t>
      </w:r>
      <w:r w:rsidRPr="00235C1E">
        <w:rPr>
          <w:rFonts w:cs="Arial"/>
          <w:rtl/>
        </w:rPr>
        <w:t xml:space="preserve"> משמע דהשתא הוא רשאי לעשות כן כדי שלא לפרוע מה שלוותה</w:t>
      </w:r>
      <w:r>
        <w:rPr>
          <w:rFonts w:cs="Arial" w:hint="cs"/>
          <w:rtl/>
        </w:rPr>
        <w:t>.</w:t>
      </w:r>
      <w:r w:rsidRPr="00235C1E">
        <w:rPr>
          <w:rFonts w:cs="Arial"/>
          <w:rtl/>
        </w:rPr>
        <w:t xml:space="preserve"> והא דאמרינן לקמן לותה ואכלה ועמדה ומיאנה ודייקינן טעמא דמיאנה הא לא מיאנה אית לה התם מיירי שפסקו לה ב"ד ואח"כ לותה</w:t>
      </w:r>
      <w:r>
        <w:rPr>
          <w:rFonts w:cs="Arial" w:hint="cs"/>
          <w:rtl/>
        </w:rPr>
        <w:t>.</w:t>
      </w:r>
    </w:p>
    <w:p w14:paraId="563162A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FA1E986" w14:textId="77777777" w:rsidR="002E5BAD" w:rsidRDefault="002E5BAD" w:rsidP="002E5BAD">
      <w:pPr>
        <w:rPr>
          <w:rtl/>
        </w:rPr>
      </w:pPr>
      <w:r>
        <w:rPr>
          <w:rFonts w:cs="Arial"/>
          <w:rtl/>
        </w:rPr>
        <w:t>הרי שלא תבעה ולא לותה ולא מכרה אלא דחקה עצמה ביום ובלילה ועשתה ואכלה, אין לה כלום</w:t>
      </w:r>
      <w:r>
        <w:rPr>
          <w:rFonts w:cs="Arial" w:hint="cs"/>
          <w:rtl/>
        </w:rPr>
        <w:t>.</w:t>
      </w:r>
      <w:r>
        <w:rPr>
          <w:rFonts w:cs="Arial"/>
          <w:rtl/>
        </w:rPr>
        <w:t xml:space="preserve"> ואם עשתה והותירה, הכל שלה. </w:t>
      </w:r>
    </w:p>
    <w:p w14:paraId="41889026" w14:textId="77777777" w:rsidR="002E5BAD" w:rsidRDefault="002E5BAD" w:rsidP="002E5BAD">
      <w:pPr>
        <w:rPr>
          <w:rtl/>
        </w:rPr>
      </w:pPr>
    </w:p>
    <w:p w14:paraId="2F0ECCCF" w14:textId="77777777" w:rsidR="002E5BAD" w:rsidRDefault="002E5BAD" w:rsidP="002E5BAD">
      <w:pPr>
        <w:pStyle w:val="2"/>
        <w:rPr>
          <w:rtl/>
        </w:rPr>
      </w:pPr>
      <w:r>
        <w:rPr>
          <w:rtl/>
        </w:rPr>
        <w:t>סעיף יב</w:t>
      </w:r>
      <w:r>
        <w:rPr>
          <w:rFonts w:hint="cs"/>
          <w:rtl/>
        </w:rPr>
        <w:t>: אשה שיצאה מבית בעלה והלכה למקום אחר.</w:t>
      </w:r>
    </w:p>
    <w:p w14:paraId="65D3F438" w14:textId="77777777" w:rsidR="002E5BAD" w:rsidRPr="00E17CFB" w:rsidRDefault="002E5BAD" w:rsidP="002E5BAD">
      <w:pPr>
        <w:rPr>
          <w:u w:val="single"/>
          <w:rtl/>
        </w:rPr>
      </w:pPr>
      <w:r w:rsidRPr="00E17CFB">
        <w:rPr>
          <w:rFonts w:hint="cs"/>
          <w:u w:val="single"/>
          <w:rtl/>
        </w:rPr>
        <w:t>אשה שיצאה מבית בעלה והלכה למקום אחר:</w:t>
      </w:r>
    </w:p>
    <w:p w14:paraId="0F4CEC14" w14:textId="77777777" w:rsidR="002E5BAD" w:rsidRDefault="002E5BAD" w:rsidP="002E5BAD">
      <w:pPr>
        <w:pStyle w:val="ab"/>
        <w:numPr>
          <w:ilvl w:val="0"/>
          <w:numId w:val="136"/>
        </w:numPr>
      </w:pPr>
      <w:r w:rsidRPr="00765055">
        <w:rPr>
          <w:rFonts w:cs="Arial"/>
          <w:rtl/>
        </w:rPr>
        <w:t xml:space="preserve">ריטב"א </w:t>
      </w:r>
      <w:r w:rsidRPr="00E17CFB">
        <w:rPr>
          <w:rFonts w:cs="Arial" w:hint="cs"/>
          <w:sz w:val="16"/>
          <w:szCs w:val="16"/>
          <w:rtl/>
        </w:rPr>
        <w:t>(</w:t>
      </w:r>
      <w:r w:rsidRPr="00E17CFB">
        <w:rPr>
          <w:rFonts w:cs="Arial"/>
          <w:sz w:val="16"/>
          <w:szCs w:val="16"/>
          <w:rtl/>
        </w:rPr>
        <w:t>פ</w:t>
      </w:r>
      <w:r w:rsidRPr="00E17CFB">
        <w:rPr>
          <w:rFonts w:cs="Arial" w:hint="cs"/>
          <w:sz w:val="16"/>
          <w:szCs w:val="16"/>
          <w:rtl/>
        </w:rPr>
        <w:t xml:space="preserve">' </w:t>
      </w:r>
      <w:r w:rsidRPr="00E17CFB">
        <w:rPr>
          <w:rFonts w:cs="Arial"/>
          <w:sz w:val="16"/>
          <w:szCs w:val="16"/>
          <w:rtl/>
        </w:rPr>
        <w:t>הנושא כתובות קג. ד"ה שם אלמנה)</w:t>
      </w:r>
      <w:r>
        <w:rPr>
          <w:rFonts w:cs="Arial" w:hint="cs"/>
          <w:rtl/>
        </w:rPr>
        <w:t>-</w:t>
      </w:r>
      <w:r w:rsidRPr="00765055">
        <w:rPr>
          <w:rFonts w:cs="Arial"/>
          <w:rtl/>
        </w:rPr>
        <w:t xml:space="preserve"> אשה בחיי בעלה שיצאה מביתו והלכה לה</w:t>
      </w:r>
      <w:r>
        <w:rPr>
          <w:rFonts w:cs="Arial" w:hint="cs"/>
          <w:rtl/>
        </w:rPr>
        <w:t xml:space="preserve">, </w:t>
      </w:r>
      <w:r w:rsidRPr="00765055">
        <w:rPr>
          <w:rFonts w:cs="Arial"/>
          <w:rtl/>
        </w:rPr>
        <w:t>אם נתנה טעם לדבריה חייב לתת לה מזונות שלמים במקום שהיא</w:t>
      </w:r>
      <w:r>
        <w:rPr>
          <w:rFonts w:cs="Arial" w:hint="cs"/>
          <w:rtl/>
        </w:rPr>
        <w:t>.</w:t>
      </w:r>
      <w:r w:rsidRPr="00765055">
        <w:rPr>
          <w:rFonts w:cs="Arial"/>
          <w:rtl/>
        </w:rPr>
        <w:t xml:space="preserve"> אבל אם לא ביררה טעם לדבריה</w:t>
      </w:r>
      <w:r>
        <w:rPr>
          <w:rFonts w:cs="Arial" w:hint="cs"/>
          <w:rtl/>
        </w:rPr>
        <w:t>,</w:t>
      </w:r>
      <w:r w:rsidRPr="00765055">
        <w:rPr>
          <w:rFonts w:cs="Arial"/>
          <w:rtl/>
        </w:rPr>
        <w:t xml:space="preserve"> אינו נותן לה מזונות</w:t>
      </w:r>
      <w:r>
        <w:rPr>
          <w:rFonts w:cs="Arial" w:hint="cs"/>
          <w:rtl/>
        </w:rPr>
        <w:t>,</w:t>
      </w:r>
      <w:r w:rsidRPr="00765055">
        <w:rPr>
          <w:rFonts w:cs="Arial"/>
          <w:rtl/>
        </w:rPr>
        <w:t xml:space="preserve"> שאין חיוב מזונות לאשה על בעלה אלא כשהיא עמו על שלחנו</w:t>
      </w:r>
      <w:r>
        <w:rPr>
          <w:rFonts w:cs="Arial" w:hint="cs"/>
          <w:rtl/>
        </w:rPr>
        <w:t>.</w:t>
      </w:r>
      <w:r w:rsidRPr="00765055">
        <w:rPr>
          <w:rFonts w:cs="Arial"/>
          <w:rtl/>
        </w:rPr>
        <w:t xml:space="preserve"> וכן היא באלה הדברים רבה</w:t>
      </w:r>
      <w:r>
        <w:rPr>
          <w:rFonts w:cs="Arial" w:hint="cs"/>
          <w:rtl/>
        </w:rPr>
        <w:t>,</w:t>
      </w:r>
      <w:r w:rsidRPr="00765055">
        <w:rPr>
          <w:rFonts w:cs="Arial"/>
          <w:rtl/>
        </w:rPr>
        <w:t xml:space="preserve"> על פסוק למען ירבו ימיכם</w:t>
      </w:r>
      <w:r>
        <w:rPr>
          <w:rFonts w:cs="Arial" w:hint="cs"/>
          <w:rtl/>
        </w:rPr>
        <w:t>.</w:t>
      </w:r>
      <w:r w:rsidRPr="00765055">
        <w:rPr>
          <w:rFonts w:cs="Arial"/>
          <w:rtl/>
        </w:rPr>
        <w:t xml:space="preserve"> ואפילו לדברי הרמב"ם (פי"ב הי"ב) שאומר שיכול להשרותה ע"י שליש הוא עדיף מינה בזה ואפילו לפי ברכת הבית איפשר דלא יהיב לה דלא תקון לה רבנן מזונות אלא ביושבת תחתיו ומשמשתו אבל </w:t>
      </w:r>
      <w:r w:rsidRPr="00765055">
        <w:rPr>
          <w:rFonts w:cs="Arial"/>
          <w:rtl/>
        </w:rPr>
        <w:lastRenderedPageBreak/>
        <w:t>בשאינה יושבת עמו ואינה באה בטענה אין לה דין מזונות</w:t>
      </w:r>
      <w:r>
        <w:rPr>
          <w:rFonts w:cs="Arial" w:hint="cs"/>
          <w:rtl/>
        </w:rPr>
        <w:t>,</w:t>
      </w:r>
      <w:r w:rsidRPr="00765055">
        <w:rPr>
          <w:rFonts w:cs="Arial"/>
          <w:rtl/>
        </w:rPr>
        <w:t xml:space="preserve"> וכן דעת רבותי</w:t>
      </w:r>
      <w:r>
        <w:rPr>
          <w:rFonts w:cs="Arial" w:hint="cs"/>
          <w:rtl/>
        </w:rPr>
        <w:t>,</w:t>
      </w:r>
      <w:r w:rsidRPr="00765055">
        <w:rPr>
          <w:rFonts w:cs="Arial"/>
          <w:rtl/>
        </w:rPr>
        <w:t xml:space="preserve"> אף כשהלכה בטענה אם שתקה ולא תבעה מזונות מחלה להו לשעבר כדכתיב בפרק הכותב</w:t>
      </w:r>
      <w:r>
        <w:rPr>
          <w:rStyle w:val="a7"/>
          <w:rFonts w:cs="Arial"/>
          <w:rtl/>
        </w:rPr>
        <w:footnoteReference w:id="1120"/>
      </w:r>
      <w:r w:rsidRPr="00765055">
        <w:rPr>
          <w:rFonts w:cs="Arial"/>
          <w:rtl/>
        </w:rPr>
        <w:t>.</w:t>
      </w:r>
      <w:r>
        <w:rPr>
          <w:rFonts w:hint="cs"/>
          <w:color w:val="E36C0A" w:themeColor="accent6" w:themeShade="BF"/>
          <w:rtl/>
        </w:rPr>
        <w:t xml:space="preserve"> </w:t>
      </w:r>
      <w:r w:rsidRPr="00C57942">
        <w:rPr>
          <w:rFonts w:hint="cs"/>
          <w:color w:val="E36C0A" w:themeColor="accent6" w:themeShade="BF"/>
          <w:rtl/>
        </w:rPr>
        <w:t>(וכ"פ בשו"ע)</w:t>
      </w:r>
    </w:p>
    <w:p w14:paraId="150965AE" w14:textId="77777777" w:rsidR="002E5BAD" w:rsidRPr="00827F1B" w:rsidRDefault="002E5BAD" w:rsidP="002E5BAD">
      <w:pPr>
        <w:rPr>
          <w:u w:val="single"/>
        </w:rPr>
      </w:pPr>
      <w:r w:rsidRPr="00827F1B">
        <w:rPr>
          <w:rFonts w:hint="cs"/>
          <w:u w:val="single"/>
          <w:rtl/>
        </w:rPr>
        <w:t xml:space="preserve">אשה שאינה עושה את מלאכות הבית שמוטלות עליה </w:t>
      </w:r>
      <w:r w:rsidRPr="00827F1B">
        <w:rPr>
          <w:u w:val="single"/>
          <w:rtl/>
        </w:rPr>
        <w:t>–</w:t>
      </w:r>
      <w:r w:rsidRPr="00827F1B">
        <w:rPr>
          <w:rFonts w:hint="cs"/>
          <w:u w:val="single"/>
          <w:rtl/>
        </w:rPr>
        <w:t xml:space="preserve"> ובעלה רוצה להוריד ממזונותיה כדי לשכור מי שתעשה:</w:t>
      </w:r>
    </w:p>
    <w:p w14:paraId="248E7059" w14:textId="77777777" w:rsidR="002E5BAD" w:rsidRPr="00E17CFB" w:rsidRDefault="002E5BAD" w:rsidP="002E5BAD">
      <w:pPr>
        <w:pStyle w:val="ab"/>
        <w:numPr>
          <w:ilvl w:val="0"/>
          <w:numId w:val="136"/>
        </w:numPr>
      </w:pPr>
      <w:r w:rsidRPr="000E571B">
        <w:rPr>
          <w:rFonts w:cs="Arial"/>
          <w:rtl/>
        </w:rPr>
        <w:t>רשב"א</w:t>
      </w:r>
      <w:r w:rsidRPr="000E571B">
        <w:rPr>
          <w:rFonts w:cs="Arial"/>
          <w:sz w:val="16"/>
          <w:szCs w:val="16"/>
          <w:rtl/>
        </w:rPr>
        <w:t xml:space="preserve"> </w:t>
      </w:r>
      <w:r w:rsidRPr="000E571B">
        <w:rPr>
          <w:rFonts w:cs="Arial" w:hint="cs"/>
          <w:sz w:val="16"/>
          <w:szCs w:val="16"/>
          <w:rtl/>
        </w:rPr>
        <w:t>(</w:t>
      </w:r>
      <w:r w:rsidRPr="000E571B">
        <w:rPr>
          <w:rFonts w:cs="Arial"/>
          <w:sz w:val="16"/>
          <w:szCs w:val="16"/>
          <w:rtl/>
        </w:rPr>
        <w:t>בתשו</w:t>
      </w:r>
      <w:r w:rsidRPr="000E571B">
        <w:rPr>
          <w:rFonts w:cs="Arial" w:hint="cs"/>
          <w:sz w:val="16"/>
          <w:szCs w:val="16"/>
          <w:rtl/>
        </w:rPr>
        <w:t>', הביאה הב"י בסי' עז)</w:t>
      </w:r>
      <w:r>
        <w:rPr>
          <w:rFonts w:cs="Arial" w:hint="cs"/>
          <w:rtl/>
        </w:rPr>
        <w:t>-</w:t>
      </w:r>
      <w:r w:rsidRPr="000E571B">
        <w:rPr>
          <w:rFonts w:cs="Arial"/>
          <w:rtl/>
        </w:rPr>
        <w:t xml:space="preserve"> אשה שהניחה בעלה בבית אביו והלך חוץ לעיר וחלתה והלכה לבית אביה ולותה למזונותיה ולרפואתה</w:t>
      </w:r>
      <w:r>
        <w:rPr>
          <w:rFonts w:cs="Arial" w:hint="cs"/>
          <w:rtl/>
        </w:rPr>
        <w:t>.</w:t>
      </w:r>
      <w:r w:rsidRPr="000E571B">
        <w:rPr>
          <w:rFonts w:cs="Arial"/>
          <w:rtl/>
        </w:rPr>
        <w:t xml:space="preserve"> הדין עמה</w:t>
      </w:r>
      <w:r>
        <w:rPr>
          <w:rFonts w:cs="Arial" w:hint="cs"/>
          <w:rtl/>
        </w:rPr>
        <w:t>,</w:t>
      </w:r>
      <w:r w:rsidRPr="000E571B">
        <w:rPr>
          <w:rFonts w:cs="Arial"/>
          <w:rtl/>
        </w:rPr>
        <w:t xml:space="preserve"> וכל שלותה לצורך מזונותיה ורפואתה בעוד שלא היה בעלה בעיר בודאי חייב הבעל לשלם מה שלותה</w:t>
      </w:r>
      <w:r>
        <w:rPr>
          <w:rFonts w:cs="Arial" w:hint="cs"/>
          <w:rtl/>
        </w:rPr>
        <w:t>,</w:t>
      </w:r>
      <w:r w:rsidRPr="000E571B">
        <w:rPr>
          <w:rFonts w:cs="Arial"/>
          <w:rtl/>
        </w:rPr>
        <w:t xml:space="preserve"> ואפילו לחנן ואפילו לאחר שבא בעלה אם עדיין חולה ואינה זנה ומפרנסה ועמדה ולותה חייב לפרוע מה שלותה בין למזונותיה בין לרפואתה הדומה למזונות דהיינו שאין לה קצבה</w:t>
      </w:r>
      <w:r>
        <w:rPr>
          <w:rFonts w:cs="Arial" w:hint="cs"/>
          <w:rtl/>
        </w:rPr>
        <w:t>.</w:t>
      </w:r>
      <w:r w:rsidRPr="000E571B">
        <w:rPr>
          <w:rFonts w:cs="Arial"/>
          <w:rtl/>
        </w:rPr>
        <w:t xml:space="preserve"> ומה שטען שהוא לא שלחה מביתו אינה טענה שהרי הוצרכה לצאת אצל אביה שמשתדל ברפואתה</w:t>
      </w:r>
      <w:r>
        <w:rPr>
          <w:rFonts w:cs="Arial" w:hint="cs"/>
          <w:rtl/>
        </w:rPr>
        <w:t>,</w:t>
      </w:r>
      <w:r w:rsidRPr="000E571B">
        <w:rPr>
          <w:rFonts w:cs="Arial"/>
          <w:rtl/>
        </w:rPr>
        <w:t xml:space="preserve"> ואפילו היה חמיה משתדל ברפאותה מה הנאה יש לראובן בין עומדת כאן בין עומדת כאן והיא אינה מורדת</w:t>
      </w:r>
      <w:r>
        <w:rPr>
          <w:rFonts w:cs="Arial" w:hint="cs"/>
          <w:rtl/>
        </w:rPr>
        <w:t>,</w:t>
      </w:r>
      <w:r w:rsidRPr="000E571B">
        <w:rPr>
          <w:rFonts w:cs="Arial"/>
          <w:rtl/>
        </w:rPr>
        <w:t xml:space="preserve"> ואי משום מלאכה חולה לאו בת מלאכה היא</w:t>
      </w:r>
      <w:r>
        <w:rPr>
          <w:rFonts w:cs="Arial" w:hint="cs"/>
          <w:rtl/>
        </w:rPr>
        <w:t>.</w:t>
      </w:r>
      <w:r w:rsidRPr="000E571B">
        <w:rPr>
          <w:rFonts w:cs="Arial"/>
          <w:rtl/>
        </w:rPr>
        <w:t xml:space="preserve"> אבל אם לאחר שבא ראובן ונתרפאת אף על פי שאינה מורדת מתשמיש אם אינה רוצה לשוב לו ולעשות לו דברים שהיא חייבת לעשות לבעלה ולפי מה שהיא אשה</w:t>
      </w:r>
      <w:r>
        <w:rPr>
          <w:rFonts w:cs="Arial" w:hint="cs"/>
          <w:rtl/>
        </w:rPr>
        <w:t>,</w:t>
      </w:r>
      <w:r w:rsidRPr="000E571B">
        <w:rPr>
          <w:rFonts w:cs="Arial"/>
          <w:rtl/>
        </w:rPr>
        <w:t xml:space="preserve"> כי יש נשים שמכניסות לבעל שפחות ויש שאינן מכניסות</w:t>
      </w:r>
      <w:r>
        <w:rPr>
          <w:rFonts w:cs="Arial" w:hint="cs"/>
          <w:rtl/>
        </w:rPr>
        <w:t>,</w:t>
      </w:r>
      <w:r w:rsidRPr="000E571B">
        <w:rPr>
          <w:rFonts w:cs="Arial"/>
          <w:rtl/>
        </w:rPr>
        <w:t xml:space="preserve"> וכפי מה שיש לו עליה מהמלאכות הקטנות כעושה מטתו ומרחצת פניו ידיו ורגליו מעכב מהמזונות כנגד שכר מי שישמשנו באותן מלאכות או שוכר עליה ממקום אחר</w:t>
      </w:r>
      <w:r>
        <w:rPr>
          <w:rFonts w:cs="Arial" w:hint="cs"/>
          <w:rtl/>
        </w:rPr>
        <w:t>,</w:t>
      </w:r>
      <w:r w:rsidRPr="000E571B">
        <w:rPr>
          <w:rFonts w:cs="Arial"/>
          <w:rtl/>
        </w:rPr>
        <w:t xml:space="preserve"> הא יתר מכאן לא</w:t>
      </w:r>
      <w:r>
        <w:rPr>
          <w:rFonts w:cs="Arial" w:hint="cs"/>
          <w:rtl/>
        </w:rPr>
        <w:t>...</w:t>
      </w:r>
      <w:r w:rsidRPr="000E571B">
        <w:rPr>
          <w:rFonts w:cs="Arial"/>
          <w:rtl/>
        </w:rPr>
        <w:t xml:space="preserve"> ואם אינה רוצה לעשות וליתן לבעלה מעשה ידיה אין לה מזונות ואף על פי שהמזונות עיקר כבר תקנו לבעל מעשה ידיה תחת מזונות ואם היא אינה רוצה לעשות תפסיד מזונות שאין לך נזונת ואומרת איני עושה</w:t>
      </w:r>
      <w:r>
        <w:rPr>
          <w:rFonts w:cs="Arial" w:hint="cs"/>
          <w:rtl/>
        </w:rPr>
        <w:t>.</w:t>
      </w:r>
      <w:r w:rsidRPr="000E571B">
        <w:rPr>
          <w:rFonts w:cs="Arial"/>
          <w:rtl/>
        </w:rPr>
        <w:t xml:space="preserve"> ואפילו עושה ואינה משמשת באותן מלאכות קטנות השנויות במשנתינו (נט:) והוא צריך לשכור מי שישמשנו בהם </w:t>
      </w:r>
      <w:r>
        <w:rPr>
          <w:rFonts w:cs="Arial" w:hint="cs"/>
          <w:rtl/>
        </w:rPr>
        <w:t xml:space="preserve">- </w:t>
      </w:r>
      <w:r w:rsidRPr="000E571B">
        <w:rPr>
          <w:rFonts w:cs="Arial"/>
          <w:rtl/>
        </w:rPr>
        <w:t>שוכר עליה כמו שאמר אבל תפסיד מזונותיה לא. ולפי שלא נתבאר לי מלשון השאלה מה שהיא טוענת שתשוב לבית בעלה אם יביאה אל ביתו ויפרע מה שלותה</w:t>
      </w:r>
      <w:r>
        <w:rPr>
          <w:rFonts w:cs="Arial" w:hint="cs"/>
          <w:rtl/>
        </w:rPr>
        <w:t>,</w:t>
      </w:r>
      <w:r w:rsidRPr="000E571B">
        <w:rPr>
          <w:rFonts w:cs="Arial"/>
          <w:rtl/>
        </w:rPr>
        <w:t xml:space="preserve"> ונסתפקתי אם היא מתעכבת בלבד מחמת שהוא אינו קורא לה או שאינה רוצה לשוב אליו עד שיפרע מה שלותה ואחר כך יביאנה ואז תשוב אליו. על כן אני אומר שאם מחמת שהוא אינו רוצה להביאה ולקרוא לה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 ועוד שאם יבוא הוא אצלה אינה מונעתו מכלום</w:t>
      </w:r>
      <w:r>
        <w:rPr>
          <w:rFonts w:cs="Arial" w:hint="cs"/>
          <w:rtl/>
        </w:rPr>
        <w:t>.</w:t>
      </w:r>
      <w:r w:rsidRPr="000E571B">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w:t>
      </w:r>
      <w:r>
        <w:rPr>
          <w:rFonts w:cs="Arial" w:hint="cs"/>
          <w:rtl/>
        </w:rPr>
        <w:t>.</w:t>
      </w:r>
      <w:r w:rsidRPr="000E571B">
        <w:rPr>
          <w:rFonts w:cs="Arial"/>
          <w:rtl/>
        </w:rPr>
        <w:t xml:space="preserve"> וכל זה שאבדה מזונות במרדה זהו לדעת הר"מ ז"ל והרי"ף ז"ל</w:t>
      </w:r>
      <w:r>
        <w:rPr>
          <w:rFonts w:cs="Arial" w:hint="cs"/>
          <w:rtl/>
        </w:rPr>
        <w:t>,</w:t>
      </w:r>
      <w:r w:rsidRPr="000E571B">
        <w:rPr>
          <w:rFonts w:cs="Arial"/>
          <w:rtl/>
        </w:rPr>
        <w:t xml:space="preserve"> אבל מעיקר הגמרא אינו נראה כן</w:t>
      </w:r>
      <w:r>
        <w:rPr>
          <w:rFonts w:cs="Arial" w:hint="cs"/>
          <w:rtl/>
        </w:rPr>
        <w:t>,</w:t>
      </w:r>
      <w:r w:rsidRPr="000E571B">
        <w:rPr>
          <w:rFonts w:cs="Arial"/>
          <w:rtl/>
        </w:rPr>
        <w:t xml:space="preserve"> שלא נראה כן בגמרא בשום מקום ואין במורדת אלא פחת כתובה בלבד ומזונות ומעשה ידיה שהם זה כנגד זה</w:t>
      </w:r>
      <w:r>
        <w:rPr>
          <w:rFonts w:cs="Arial" w:hint="cs"/>
          <w:rtl/>
        </w:rPr>
        <w:t>,</w:t>
      </w:r>
      <w:r w:rsidRPr="000E571B">
        <w:rPr>
          <w:rFonts w:cs="Arial"/>
          <w:rtl/>
        </w:rPr>
        <w:t xml:space="preserve"> שאם אמרה איני עושה אינה נזונת ומדרבנן.</w:t>
      </w:r>
      <w:r>
        <w:rPr>
          <w:rFonts w:hint="cs"/>
          <w:rtl/>
        </w:rPr>
        <w:t xml:space="preserve"> </w:t>
      </w:r>
      <w:r w:rsidRPr="00827F1B">
        <w:rPr>
          <w:rFonts w:hint="cs"/>
          <w:color w:val="00B0F0"/>
          <w:rtl/>
        </w:rPr>
        <w:t>(וכ"פ הרמ"א)</w:t>
      </w:r>
    </w:p>
    <w:p w14:paraId="0778B949" w14:textId="77777777" w:rsidR="002E5BAD" w:rsidRPr="006F6F84" w:rsidRDefault="002E5BAD" w:rsidP="002E5BAD">
      <w:pPr>
        <w:rPr>
          <w:u w:val="single"/>
        </w:rPr>
      </w:pPr>
      <w:r w:rsidRPr="006F6F84">
        <w:rPr>
          <w:rFonts w:hint="cs"/>
          <w:u w:val="single"/>
          <w:rtl/>
        </w:rPr>
        <w:t xml:space="preserve">אשה שעברה על תקנת הקהל ונתחייבה בקנס </w:t>
      </w:r>
      <w:r w:rsidRPr="006F6F84">
        <w:rPr>
          <w:u w:val="single"/>
          <w:rtl/>
        </w:rPr>
        <w:t>–</w:t>
      </w:r>
      <w:r w:rsidRPr="006F6F84">
        <w:rPr>
          <w:rFonts w:hint="cs"/>
          <w:u w:val="single"/>
          <w:rtl/>
        </w:rPr>
        <w:t xml:space="preserve"> האם בעלה צריך לשלם </w:t>
      </w:r>
      <w:r>
        <w:rPr>
          <w:rFonts w:hint="cs"/>
          <w:u w:val="single"/>
          <w:rtl/>
        </w:rPr>
        <w:t>בשבי</w:t>
      </w:r>
      <w:r w:rsidRPr="006F6F84">
        <w:rPr>
          <w:rFonts w:hint="cs"/>
          <w:u w:val="single"/>
          <w:rtl/>
        </w:rPr>
        <w:t>לה:</w:t>
      </w:r>
    </w:p>
    <w:p w14:paraId="3D68ECC7" w14:textId="77777777" w:rsidR="002E5BAD" w:rsidRPr="006F6F84" w:rsidRDefault="002E5BAD" w:rsidP="002E5BAD">
      <w:pPr>
        <w:pStyle w:val="ab"/>
        <w:numPr>
          <w:ilvl w:val="0"/>
          <w:numId w:val="136"/>
        </w:numPr>
        <w:rPr>
          <w:rFonts w:cs="Arial"/>
          <w:rtl/>
        </w:rPr>
      </w:pPr>
      <w:r>
        <w:rPr>
          <w:rFonts w:cs="Arial" w:hint="cs"/>
          <w:rtl/>
        </w:rPr>
        <w:t xml:space="preserve">תרוה"ד </w:t>
      </w:r>
      <w:r w:rsidRPr="00E17CFB">
        <w:rPr>
          <w:rFonts w:cs="Arial" w:hint="cs"/>
          <w:sz w:val="16"/>
          <w:szCs w:val="16"/>
          <w:rtl/>
        </w:rPr>
        <w:t>(</w:t>
      </w:r>
      <w:r w:rsidRPr="00E17CFB">
        <w:rPr>
          <w:rFonts w:cs="Arial"/>
          <w:sz w:val="16"/>
          <w:szCs w:val="16"/>
          <w:rtl/>
        </w:rPr>
        <w:t>סי</w:t>
      </w:r>
      <w:r w:rsidRPr="00E17CFB">
        <w:rPr>
          <w:rFonts w:cs="Arial" w:hint="cs"/>
          <w:sz w:val="16"/>
          <w:szCs w:val="16"/>
          <w:rtl/>
        </w:rPr>
        <w:t>'</w:t>
      </w:r>
      <w:r w:rsidRPr="00E17CFB">
        <w:rPr>
          <w:rFonts w:cs="Arial"/>
          <w:sz w:val="16"/>
          <w:szCs w:val="16"/>
          <w:rtl/>
        </w:rPr>
        <w:t xml:space="preserve"> רפ</w:t>
      </w:r>
      <w:r>
        <w:rPr>
          <w:rFonts w:cs="Arial" w:hint="cs"/>
          <w:sz w:val="16"/>
          <w:szCs w:val="16"/>
          <w:rtl/>
        </w:rPr>
        <w:t>ב, הביאוהו הב"י [כאן] והדרכ"מ [יו"ד סי' רמח]</w:t>
      </w:r>
      <w:r w:rsidRPr="00E17CFB">
        <w:rPr>
          <w:rFonts w:cs="Arial" w:hint="cs"/>
          <w:sz w:val="16"/>
          <w:szCs w:val="16"/>
          <w:rtl/>
        </w:rPr>
        <w:t>)</w:t>
      </w:r>
      <w:r>
        <w:rPr>
          <w:rFonts w:cs="Arial" w:hint="cs"/>
          <w:rtl/>
        </w:rPr>
        <w:t>-</w:t>
      </w:r>
      <w:r w:rsidRPr="00765055">
        <w:rPr>
          <w:rFonts w:cs="Arial"/>
          <w:rtl/>
        </w:rPr>
        <w:t xml:space="preserve"> </w:t>
      </w:r>
      <w:r w:rsidRPr="006F6F84">
        <w:rPr>
          <w:rFonts w:cs="Arial"/>
          <w:rtl/>
        </w:rPr>
        <w:t>שאלה: הקהל עשו תקנה על איזה דבר והעמידו קנס עלה שכל מי שיעבור הן איש או אשה יקנס בכך וכך לצדקה, ועברה על התקנה אשה שיש לה בעל ואין לה כלום חוץ מבעלה, חייב בעלה לשלם בשבילה או לאו?</w:t>
      </w:r>
      <w:r>
        <w:rPr>
          <w:rFonts w:cs="Arial" w:hint="cs"/>
          <w:rtl/>
        </w:rPr>
        <w:t>.</w:t>
      </w:r>
      <w:r w:rsidRPr="006F6F84">
        <w:rPr>
          <w:rFonts w:cs="Arial"/>
          <w:rtl/>
        </w:rPr>
        <w:t xml:space="preserve"> תשובה: יראה דדבר זה צריך דקדוק קצת, בפ' המקבל </w:t>
      </w:r>
      <w:r w:rsidRPr="006F6F84">
        <w:rPr>
          <w:rFonts w:cs="Arial" w:hint="cs"/>
          <w:sz w:val="16"/>
          <w:szCs w:val="16"/>
          <w:rtl/>
        </w:rPr>
        <w:t>(</w:t>
      </w:r>
      <w:r w:rsidRPr="006F6F84">
        <w:rPr>
          <w:rFonts w:cs="Arial"/>
          <w:sz w:val="16"/>
          <w:szCs w:val="16"/>
          <w:rtl/>
        </w:rPr>
        <w:t>ב"מ קד</w:t>
      </w:r>
      <w:r w:rsidRPr="006F6F84">
        <w:rPr>
          <w:rFonts w:cs="Arial" w:hint="cs"/>
          <w:sz w:val="16"/>
          <w:szCs w:val="16"/>
          <w:rtl/>
        </w:rPr>
        <w:t>.)</w:t>
      </w:r>
      <w:r w:rsidRPr="006F6F84">
        <w:rPr>
          <w:rFonts w:cs="Arial"/>
          <w:sz w:val="16"/>
          <w:szCs w:val="16"/>
          <w:rtl/>
        </w:rPr>
        <w:t xml:space="preserve"> </w:t>
      </w:r>
      <w:r w:rsidRPr="006F6F84">
        <w:rPr>
          <w:rFonts w:cs="Arial"/>
          <w:rtl/>
        </w:rPr>
        <w:t>איתא דרבי יודא היה דורש לשון הדיוט, דתניא רבי יודא אומר מביא אדם קרבן עשיר על אשתו וכן כל קרבנות שהיא חייבת, ופרש"י כל הקרבנות שלא בנדר ונדבה כגון קרבן זיבתה וחטאת ואשם, וכן מפרשים התוס' דקרבנות חובה כה"ג שבאין לחובת גופה חייב לשלם. ומייתי ראייה מן הירושלמי דאם אכלה חלב או חללה שבת חייב להביא קרבן בשבילה ואפי' אם נתחייבה בהן קודם שנשאת לו. כך היא לדעת התוס' ומרדכי והגה"ה באשירי שם. אבל לפרש"י ולגירסתו דווקא כשנתחייב בהן והיא תחתיו. והיה נראה לדמות נ"ד לתשלומי קרבן, דכיון שעברה על תקנת הקהל והיא עבירה גמורה כדאיתא להדיא בסמ"ג דהנשבע שלא ליכנס בתקנת הקהל הרי זה שבועת שוא כמו הנשבע לבטל את המצוה. וכאן נמי אף על פי שהעמידו קנסות מ"מ לא התירו בשביל זה לעבור וליתן הקנס, אלא שאם יעבור אפילו בשכחה יתן הקנס שיהיו נזהרים לקיים, והקנס מ"מ בא לכפרה קצת על העובר, ודמי קצת למביא קרבן על חטאתו, וצ"ע אי הנדון דומה לראייה, הנלע"כ.</w:t>
      </w:r>
    </w:p>
    <w:p w14:paraId="7D505E2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F39633A" w14:textId="77777777" w:rsidR="002E5BAD" w:rsidRDefault="002E5BAD" w:rsidP="002E5BAD">
      <w:pPr>
        <w:rPr>
          <w:rFonts w:cs="Arial"/>
          <w:sz w:val="18"/>
          <w:szCs w:val="18"/>
          <w:rtl/>
        </w:rPr>
      </w:pPr>
      <w:r>
        <w:rPr>
          <w:rFonts w:cs="Arial"/>
          <w:rtl/>
        </w:rPr>
        <w:t>האשה שיצאה מבית בעלה והלכה לבית אחר, אם באה מחמת טענה שהוא בשכונה שיוציאו עליה שם רע וכיוצא בזה, חייב לזונה שם אם תבעה מזונות</w:t>
      </w:r>
      <w:r>
        <w:rPr>
          <w:rFonts w:cs="Arial" w:hint="cs"/>
          <w:rtl/>
        </w:rPr>
        <w:t>.</w:t>
      </w:r>
      <w:r>
        <w:rPr>
          <w:rFonts w:cs="Arial"/>
          <w:rtl/>
        </w:rPr>
        <w:t xml:space="preserve"> אבל אם לא תבעה, מחלה על מזונות דלשעבר. </w:t>
      </w:r>
      <w:r w:rsidRPr="00765055">
        <w:rPr>
          <w:rFonts w:cs="Arial"/>
          <w:sz w:val="18"/>
          <w:szCs w:val="18"/>
          <w:rtl/>
        </w:rPr>
        <w:t>הגה: וה"ה אם היתה לה קטטה עם בעלה ולא מתדר לה עמו, והמניעה ממנו, ולותה למזונות, צריך לשלם</w:t>
      </w:r>
      <w:r>
        <w:rPr>
          <w:rFonts w:cs="Arial" w:hint="cs"/>
          <w:sz w:val="18"/>
          <w:szCs w:val="18"/>
          <w:rtl/>
        </w:rPr>
        <w:t>.</w:t>
      </w:r>
      <w:r w:rsidRPr="00765055">
        <w:rPr>
          <w:rFonts w:cs="Arial"/>
          <w:sz w:val="18"/>
          <w:szCs w:val="18"/>
          <w:rtl/>
        </w:rPr>
        <w:t xml:space="preserve"> אבל אם המניעה ממנה, א"צ לשלם, דאין האיש חייב במזונות אשתו אלא כשהיא עמו (מרדכי פ"ב דייני גזירות וכ"כ הב"י בשם הריטב"א). ודוקא שבעלה בעיר, אבל אין בעלה בעיר אין נפקותא אם הלכה לבית אביה</w:t>
      </w:r>
      <w:r>
        <w:rPr>
          <w:rFonts w:cs="Arial" w:hint="cs"/>
          <w:sz w:val="18"/>
          <w:szCs w:val="18"/>
          <w:rtl/>
        </w:rPr>
        <w:t>.</w:t>
      </w:r>
      <w:r w:rsidRPr="00765055">
        <w:rPr>
          <w:rFonts w:cs="Arial"/>
          <w:sz w:val="18"/>
          <w:szCs w:val="18"/>
          <w:rtl/>
        </w:rPr>
        <w:t xml:space="preserve"> </w:t>
      </w:r>
      <w:r w:rsidRPr="00765055">
        <w:rPr>
          <w:rFonts w:cs="Arial"/>
          <w:sz w:val="18"/>
          <w:szCs w:val="18"/>
          <w:rtl/>
        </w:rPr>
        <w:lastRenderedPageBreak/>
        <w:t>ואם משום מלאכות הבית, אם היתה חולה פשיטא דחייב, דחולה לאו בת מלאכה היא</w:t>
      </w:r>
      <w:r>
        <w:rPr>
          <w:rFonts w:cs="Arial" w:hint="cs"/>
          <w:sz w:val="18"/>
          <w:szCs w:val="18"/>
          <w:rtl/>
        </w:rPr>
        <w:t>.</w:t>
      </w:r>
      <w:r w:rsidRPr="00765055">
        <w:rPr>
          <w:rFonts w:cs="Arial"/>
          <w:sz w:val="18"/>
          <w:szCs w:val="18"/>
          <w:rtl/>
        </w:rPr>
        <w:t xml:space="preserve"> ואם אינה חולה, מנכה לה ממזונותיה כפי מה שצריך לשכור מי שעושה לו המלאכות קטנות שבבית, אבל אינה מפסדת משום זה מזונותיה, רק מחמת מעשה ידיה אם בת מלאכה היא (כל זה בב"י סימן ע"ז בשם תשובת הרשב"א). ובמקום שחייב לה מזונות, אף על פי שבעלה הכריז שלא ילוה לה אדם, והוא בעיר ולא תבעתו בדין, ולותה, חייב לשלם, דלאו כל כמיניה. והוא דלא ספקה במעשה ידיה (רשב"א סי</w:t>
      </w:r>
      <w:r>
        <w:rPr>
          <w:rFonts w:cs="Arial" w:hint="cs"/>
          <w:sz w:val="18"/>
          <w:szCs w:val="18"/>
          <w:rtl/>
        </w:rPr>
        <w:t xml:space="preserve">' </w:t>
      </w:r>
      <w:r w:rsidRPr="00765055">
        <w:rPr>
          <w:rFonts w:cs="Arial"/>
          <w:sz w:val="18"/>
          <w:szCs w:val="18"/>
          <w:rtl/>
        </w:rPr>
        <w:t>תרצב).</w:t>
      </w:r>
    </w:p>
    <w:p w14:paraId="27A06630" w14:textId="77777777" w:rsidR="002E5BAD" w:rsidRDefault="002E5BAD" w:rsidP="002E5BAD">
      <w:pPr>
        <w:rPr>
          <w:rFonts w:cs="Arial"/>
          <w:sz w:val="18"/>
          <w:szCs w:val="18"/>
          <w:rtl/>
        </w:rPr>
      </w:pPr>
    </w:p>
    <w:p w14:paraId="4F7D092B" w14:textId="77777777" w:rsidR="002E5BAD" w:rsidRDefault="002E5BAD" w:rsidP="002E5BAD">
      <w:pPr>
        <w:rPr>
          <w:rFonts w:cs="Arial"/>
          <w:sz w:val="18"/>
          <w:szCs w:val="18"/>
          <w:rtl/>
        </w:rPr>
      </w:pPr>
    </w:p>
    <w:p w14:paraId="0AD58646" w14:textId="77777777" w:rsidR="002E5BAD" w:rsidRDefault="002E5BAD" w:rsidP="002E5BAD">
      <w:pPr>
        <w:pStyle w:val="1"/>
        <w:rPr>
          <w:rtl/>
        </w:rPr>
        <w:sectPr w:rsidR="002E5BAD" w:rsidSect="00A347B3">
          <w:headerReference w:type="default" r:id="rId26"/>
          <w:footnotePr>
            <w:numRestart w:val="eachPage"/>
          </w:footnotePr>
          <w:pgSz w:w="11906" w:h="16838"/>
          <w:pgMar w:top="720" w:right="1134" w:bottom="720" w:left="1134" w:header="0" w:footer="0" w:gutter="0"/>
          <w:cols w:space="720"/>
          <w:bidi/>
          <w:rtlGutter/>
          <w:docGrid w:linePitch="360"/>
        </w:sectPr>
      </w:pPr>
    </w:p>
    <w:p w14:paraId="3C8CE221" w14:textId="77777777" w:rsidR="002E5BAD" w:rsidRDefault="002E5BAD" w:rsidP="002E5BAD">
      <w:pPr>
        <w:pStyle w:val="1"/>
        <w:rPr>
          <w:rtl/>
        </w:rPr>
      </w:pPr>
      <w:r>
        <w:rPr>
          <w:rFonts w:hint="cs"/>
          <w:rtl/>
        </w:rPr>
        <w:lastRenderedPageBreak/>
        <w:t xml:space="preserve">סימן עא: </w:t>
      </w:r>
      <w:r>
        <w:rPr>
          <w:rtl/>
        </w:rPr>
        <w:t xml:space="preserve">שחייב לזון בניו ובנותיו כשהם קטנים, ובו ד' סעיפים. </w:t>
      </w:r>
    </w:p>
    <w:p w14:paraId="03CBD665" w14:textId="77777777" w:rsidR="002E5BAD" w:rsidRDefault="002E5BAD" w:rsidP="002E5BAD">
      <w:pPr>
        <w:pStyle w:val="2"/>
        <w:rPr>
          <w:rtl/>
        </w:rPr>
      </w:pPr>
      <w:r>
        <w:rPr>
          <w:rtl/>
        </w:rPr>
        <w:t>סעיף א</w:t>
      </w:r>
      <w:r>
        <w:rPr>
          <w:rFonts w:hint="cs"/>
          <w:rtl/>
        </w:rPr>
        <w:t>:</w:t>
      </w:r>
      <w:r w:rsidRPr="001B4F2E">
        <w:rPr>
          <w:rFonts w:cs="Arial"/>
          <w:rtl/>
        </w:rPr>
        <w:t xml:space="preserve"> </w:t>
      </w:r>
      <w:r>
        <w:rPr>
          <w:rFonts w:cs="Arial"/>
          <w:rtl/>
        </w:rPr>
        <w:t>חייב אדם לזון בניו ובנותיו</w:t>
      </w:r>
      <w:r>
        <w:rPr>
          <w:rFonts w:hint="cs"/>
          <w:rtl/>
        </w:rPr>
        <w:t>.</w:t>
      </w:r>
    </w:p>
    <w:p w14:paraId="3DECA254" w14:textId="77777777" w:rsidR="002E5BAD" w:rsidRDefault="002E5BAD" w:rsidP="002E5BAD">
      <w:pPr>
        <w:rPr>
          <w:rtl/>
        </w:rPr>
      </w:pPr>
      <w:r w:rsidRPr="001427B1">
        <w:rPr>
          <w:rFonts w:cs="Arial" w:hint="cs"/>
          <w:b/>
          <w:bCs/>
          <w:rtl/>
        </w:rPr>
        <w:t xml:space="preserve">כתובות </w:t>
      </w:r>
      <w:r>
        <w:rPr>
          <w:rFonts w:cs="Arial" w:hint="cs"/>
          <w:b/>
          <w:bCs/>
          <w:sz w:val="16"/>
          <w:szCs w:val="16"/>
          <w:rtl/>
        </w:rPr>
        <w:t>(ס"פ אף על פי)</w:t>
      </w:r>
      <w:r>
        <w:rPr>
          <w:rFonts w:cs="Arial" w:hint="cs"/>
          <w:b/>
          <w:bCs/>
          <w:rtl/>
        </w:rPr>
        <w:t xml:space="preserve"> </w:t>
      </w:r>
      <w:r w:rsidRPr="001427B1">
        <w:rPr>
          <w:rFonts w:cs="Arial" w:hint="cs"/>
          <w:b/>
          <w:bCs/>
          <w:rtl/>
        </w:rPr>
        <w:t xml:space="preserve">סה ע"ב: </w:t>
      </w:r>
      <w:r w:rsidRPr="001427B1">
        <w:rPr>
          <w:rFonts w:cs="Arial"/>
          <w:u w:val="single"/>
          <w:rtl/>
        </w:rPr>
        <w:t>דרש רבי עולא רבה אפיתחא דבי נשיאה</w:t>
      </w:r>
      <w:r w:rsidRPr="001427B1">
        <w:rPr>
          <w:rFonts w:cs="Arial"/>
          <w:rtl/>
        </w:rPr>
        <w:t>: אף על פי שאמרו אין אדם זן את בניו ובנותיו כשהן קטנים, אבל זן קטני קטנים. עד כמה? עד בן שש</w:t>
      </w:r>
      <w:r>
        <w:rPr>
          <w:rFonts w:hint="cs"/>
          <w:rtl/>
        </w:rPr>
        <w:t>.</w:t>
      </w:r>
    </w:p>
    <w:p w14:paraId="3A1C4EDA" w14:textId="77777777" w:rsidR="002E5BAD" w:rsidRDefault="002E5BAD" w:rsidP="002E5BAD">
      <w:pPr>
        <w:rPr>
          <w:rtl/>
        </w:rPr>
      </w:pPr>
      <w:r w:rsidRPr="002E4CB1">
        <w:rPr>
          <w:rFonts w:hint="cs"/>
          <w:b/>
          <w:bCs/>
          <w:rtl/>
        </w:rPr>
        <w:t xml:space="preserve">כתובות </w:t>
      </w:r>
      <w:r w:rsidRPr="002E4CB1">
        <w:rPr>
          <w:rFonts w:hint="cs"/>
          <w:b/>
          <w:bCs/>
          <w:sz w:val="16"/>
          <w:szCs w:val="16"/>
          <w:rtl/>
        </w:rPr>
        <w:t>(פ' נערה שנתפתתה)</w:t>
      </w:r>
      <w:r w:rsidRPr="002E4CB1">
        <w:rPr>
          <w:rFonts w:hint="cs"/>
          <w:b/>
          <w:bCs/>
          <w:rtl/>
        </w:rPr>
        <w:t xml:space="preserve"> מט ע"ב:</w:t>
      </w:r>
      <w:r>
        <w:rPr>
          <w:rFonts w:hint="cs"/>
          <w:rtl/>
        </w:rPr>
        <w:t xml:space="preserve"> </w:t>
      </w:r>
      <w:r w:rsidRPr="002E4CB1">
        <w:rPr>
          <w:rFonts w:cs="Arial"/>
          <w:u w:val="single"/>
          <w:rtl/>
        </w:rPr>
        <w:t>אמר רבי אילעא אמר ריש לקיש משום רבי יהודה בר חנינא</w:t>
      </w:r>
      <w:r w:rsidRPr="002E4CB1">
        <w:rPr>
          <w:rFonts w:cs="Arial"/>
          <w:rtl/>
        </w:rPr>
        <w:t>: באושא התקינו</w:t>
      </w:r>
      <w:r>
        <w:rPr>
          <w:rStyle w:val="a7"/>
          <w:rFonts w:cs="Arial"/>
          <w:rtl/>
        </w:rPr>
        <w:footnoteReference w:id="1121"/>
      </w:r>
      <w:r w:rsidRPr="002E4CB1">
        <w:rPr>
          <w:rFonts w:cs="Arial"/>
          <w:rtl/>
        </w:rPr>
        <w:t>, שיהא אדם זן את בניו ואת בנותיו כשהן קטנים</w:t>
      </w:r>
      <w:r>
        <w:rPr>
          <w:rStyle w:val="a7"/>
          <w:rFonts w:cs="Arial"/>
          <w:rtl/>
        </w:rPr>
        <w:footnoteReference w:id="1122"/>
      </w:r>
      <w:r w:rsidRPr="002E4CB1">
        <w:rPr>
          <w:rFonts w:cs="Arial"/>
          <w:rtl/>
        </w:rPr>
        <w:t>. איבעיא להו: הלכתא כוותיה, או אין הלכתא כוותיה? תא שמע</w:t>
      </w:r>
      <w:r>
        <w:rPr>
          <w:rStyle w:val="a7"/>
          <w:rFonts w:cs="Arial"/>
          <w:rtl/>
        </w:rPr>
        <w:footnoteReference w:id="1123"/>
      </w:r>
      <w:r w:rsidRPr="002E4CB1">
        <w:rPr>
          <w:rFonts w:cs="Arial"/>
          <w:rtl/>
        </w:rPr>
        <w:t>: כי הוה אתו לקמיה דרב יהודה, אמר להו: יארוד ילדה ואבני מתא שדיא</w:t>
      </w:r>
      <w:r>
        <w:rPr>
          <w:rStyle w:val="a7"/>
          <w:rFonts w:cs="Arial"/>
          <w:rtl/>
        </w:rPr>
        <w:footnoteReference w:id="1124"/>
      </w:r>
      <w:r w:rsidRPr="002E4CB1">
        <w:rPr>
          <w:rFonts w:cs="Arial"/>
          <w:rtl/>
        </w:rPr>
        <w:t>! כי הוה אתו לקמיה דרב חסדא, אמר להו: כפו ליה אסיתא</w:t>
      </w:r>
      <w:r>
        <w:rPr>
          <w:rStyle w:val="a7"/>
          <w:rFonts w:cs="Arial"/>
          <w:rtl/>
        </w:rPr>
        <w:footnoteReference w:id="1125"/>
      </w:r>
      <w:r w:rsidRPr="002E4CB1">
        <w:rPr>
          <w:rFonts w:cs="Arial"/>
          <w:rtl/>
        </w:rPr>
        <w:t xml:space="preserve"> בצבורא, וליקום ולימא: עורבא בעי בניה, וההוא גברא לא בעי בניה! ועורבא בעי בניה? והכתיב: לבני עורב אשר יקראו! לא קשיא: הא בחיורי, הא באוכמי. כי הוה אתי לקמיה דרבא, אמר ליה: ניחא לך דמיתזני בניך מצדקה? ולא אמרן אלא דלא אמיד, אבל אמיד - כפינן ליה על כרחיה, כי הא דרבא כפייה לרב נתן בר אמי, ואפיק מיניה ד' מאה זוזי לצדקה.</w:t>
      </w:r>
      <w:r>
        <w:rPr>
          <w:rFonts w:hint="cs"/>
          <w:rtl/>
        </w:rPr>
        <w:t>..</w:t>
      </w:r>
      <w:r>
        <w:rPr>
          <w:rFonts w:hint="cs"/>
          <w:sz w:val="14"/>
          <w:szCs w:val="14"/>
          <w:rtl/>
        </w:rPr>
        <w:t xml:space="preserve"> (נ.)</w:t>
      </w:r>
      <w:r w:rsidRPr="005F05C9">
        <w:rPr>
          <w:rtl/>
        </w:rPr>
        <w:t xml:space="preserve"> </w:t>
      </w:r>
      <w:r w:rsidRPr="005F05C9">
        <w:rPr>
          <w:rFonts w:cs="Arial"/>
          <w:rtl/>
        </w:rPr>
        <w:t xml:space="preserve">אשרי שומרי משפט עושה צדקה בכל עת - וכי אפשר לעשות צדקה בכל עת? </w:t>
      </w:r>
      <w:r w:rsidRPr="005F05C9">
        <w:rPr>
          <w:rFonts w:cs="Arial"/>
          <w:u w:val="single"/>
          <w:rtl/>
        </w:rPr>
        <w:t>דרשו רבותינו שביבנה, ואמרי לה רבי אליעזר</w:t>
      </w:r>
      <w:r w:rsidRPr="005F05C9">
        <w:rPr>
          <w:rFonts w:cs="Arial"/>
          <w:rtl/>
        </w:rPr>
        <w:t>: זה הזן בניו ובנותיו כשהן קטנים</w:t>
      </w:r>
      <w:r>
        <w:rPr>
          <w:rStyle w:val="a7"/>
          <w:rFonts w:cs="Arial"/>
          <w:rtl/>
        </w:rPr>
        <w:footnoteReference w:id="1126"/>
      </w:r>
      <w:r w:rsidRPr="005F05C9">
        <w:rPr>
          <w:rFonts w:cs="Arial"/>
          <w:rtl/>
        </w:rPr>
        <w:t>.</w:t>
      </w:r>
    </w:p>
    <w:p w14:paraId="6B09CEF8" w14:textId="77777777" w:rsidR="002E5BAD" w:rsidRPr="002E4CB1" w:rsidRDefault="002E5BAD" w:rsidP="002E5BAD">
      <w:pPr>
        <w:rPr>
          <w:u w:val="single"/>
          <w:rtl/>
        </w:rPr>
      </w:pPr>
      <w:r w:rsidRPr="002E4CB1">
        <w:rPr>
          <w:rFonts w:hint="cs"/>
          <w:u w:val="single"/>
          <w:rtl/>
        </w:rPr>
        <w:t xml:space="preserve">עד איזה גיל </w:t>
      </w:r>
      <w:r>
        <w:rPr>
          <w:rFonts w:hint="cs"/>
          <w:u w:val="single"/>
          <w:rtl/>
        </w:rPr>
        <w:t>בניו יהיו ועדיין יהיה חייב לזונם</w:t>
      </w:r>
      <w:r w:rsidRPr="002E4CB1">
        <w:rPr>
          <w:rFonts w:hint="cs"/>
          <w:u w:val="single"/>
          <w:rtl/>
        </w:rPr>
        <w:t>:</w:t>
      </w:r>
    </w:p>
    <w:p w14:paraId="7255EEC3" w14:textId="77777777" w:rsidR="002E5BAD" w:rsidRPr="002E4CB1" w:rsidRDefault="002E5BAD" w:rsidP="002E5BAD">
      <w:pPr>
        <w:pStyle w:val="ab"/>
        <w:numPr>
          <w:ilvl w:val="0"/>
          <w:numId w:val="155"/>
        </w:numPr>
      </w:pPr>
      <w:r w:rsidRPr="00F350E1">
        <w:rPr>
          <w:rFonts w:cs="Arial" w:hint="cs"/>
          <w:rtl/>
        </w:rPr>
        <w:t xml:space="preserve">טור- </w:t>
      </w:r>
      <w:r w:rsidRPr="00F350E1">
        <w:rPr>
          <w:rFonts w:cs="Arial"/>
          <w:rtl/>
        </w:rPr>
        <w:t>חייב אדם לזון את בניו ובנותיו עד שהן בני שש</w:t>
      </w:r>
      <w:r>
        <w:rPr>
          <w:rFonts w:cs="Arial" w:hint="cs"/>
          <w:rtl/>
        </w:rPr>
        <w:t>.</w:t>
      </w:r>
      <w:r w:rsidRPr="00F350E1">
        <w:rPr>
          <w:rFonts w:cs="Arial"/>
          <w:rtl/>
        </w:rPr>
        <w:t xml:space="preserve"> </w:t>
      </w:r>
      <w:r w:rsidRPr="00C57942">
        <w:rPr>
          <w:rFonts w:hint="cs"/>
          <w:color w:val="E36C0A" w:themeColor="accent6" w:themeShade="BF"/>
          <w:rtl/>
        </w:rPr>
        <w:t>(וכ"פ בשו"ע)</w:t>
      </w:r>
    </w:p>
    <w:p w14:paraId="65B5939E" w14:textId="77777777" w:rsidR="002E5BAD" w:rsidRPr="002E4CB1" w:rsidRDefault="002E5BAD" w:rsidP="002E5BAD">
      <w:pPr>
        <w:ind w:left="360"/>
        <w:rPr>
          <w:u w:val="dotted"/>
        </w:rPr>
      </w:pPr>
      <w:r w:rsidRPr="002E4CB1">
        <w:rPr>
          <w:rFonts w:hint="cs"/>
          <w:u w:val="dotted"/>
          <w:rtl/>
        </w:rPr>
        <w:t>ומה הדין אם יש ל</w:t>
      </w:r>
      <w:r>
        <w:rPr>
          <w:rFonts w:hint="cs"/>
          <w:u w:val="dotted"/>
          <w:rtl/>
        </w:rPr>
        <w:t xml:space="preserve">ילדיו </w:t>
      </w:r>
      <w:r w:rsidRPr="00357837">
        <w:rPr>
          <w:rFonts w:hint="cs"/>
          <w:sz w:val="16"/>
          <w:szCs w:val="16"/>
          <w:u w:val="dotted"/>
          <w:rtl/>
        </w:rPr>
        <w:t>(שגילם פחות משש</w:t>
      </w:r>
      <w:r>
        <w:rPr>
          <w:rFonts w:hint="cs"/>
          <w:sz w:val="16"/>
          <w:szCs w:val="16"/>
          <w:u w:val="dotted"/>
          <w:rtl/>
        </w:rPr>
        <w:t xml:space="preserve"> שנים</w:t>
      </w:r>
      <w:r w:rsidRPr="00357837">
        <w:rPr>
          <w:rFonts w:hint="cs"/>
          <w:sz w:val="16"/>
          <w:szCs w:val="16"/>
          <w:u w:val="dotted"/>
          <w:rtl/>
        </w:rPr>
        <w:t>)</w:t>
      </w:r>
      <w:r w:rsidRPr="002E4CB1">
        <w:rPr>
          <w:rFonts w:hint="cs"/>
          <w:u w:val="dotted"/>
          <w:rtl/>
        </w:rPr>
        <w:t xml:space="preserve"> נכסים</w:t>
      </w:r>
      <w:r>
        <w:rPr>
          <w:rFonts w:hint="cs"/>
          <w:u w:val="dotted"/>
          <w:rtl/>
        </w:rPr>
        <w:t xml:space="preserve"> ממקום אחר</w:t>
      </w:r>
      <w:r w:rsidRPr="002E4CB1">
        <w:rPr>
          <w:rFonts w:hint="cs"/>
          <w:u w:val="dotted"/>
          <w:rtl/>
        </w:rPr>
        <w:t>:</w:t>
      </w:r>
    </w:p>
    <w:p w14:paraId="01ECFA15" w14:textId="77777777" w:rsidR="002E5BAD" w:rsidRPr="00357837" w:rsidRDefault="002E5BAD" w:rsidP="002E5BAD">
      <w:pPr>
        <w:pStyle w:val="ab"/>
        <w:numPr>
          <w:ilvl w:val="0"/>
          <w:numId w:val="155"/>
        </w:numPr>
      </w:pPr>
      <w:r>
        <w:rPr>
          <w:rFonts w:cs="Arial" w:hint="cs"/>
          <w:rtl/>
        </w:rPr>
        <w:t>מה</w:t>
      </w:r>
      <w:r w:rsidRPr="00F350E1">
        <w:rPr>
          <w:rFonts w:cs="Arial"/>
          <w:rtl/>
        </w:rPr>
        <w:t>ר"</w:t>
      </w:r>
      <w:r>
        <w:rPr>
          <w:rFonts w:cs="Arial" w:hint="cs"/>
          <w:rtl/>
        </w:rPr>
        <w:t>ם</w:t>
      </w:r>
      <w:r w:rsidRPr="00F350E1">
        <w:rPr>
          <w:rFonts w:cs="Arial"/>
          <w:rtl/>
        </w:rPr>
        <w:t xml:space="preserve"> </w:t>
      </w:r>
      <w:r w:rsidRPr="002E4CB1">
        <w:rPr>
          <w:rFonts w:cs="Arial"/>
          <w:sz w:val="16"/>
          <w:szCs w:val="16"/>
          <w:rtl/>
        </w:rPr>
        <w:t>(</w:t>
      </w:r>
      <w:r>
        <w:rPr>
          <w:rFonts w:cs="Arial" w:hint="cs"/>
          <w:sz w:val="16"/>
          <w:szCs w:val="16"/>
          <w:rtl/>
        </w:rPr>
        <w:t>כ"כ הרא"ש [</w:t>
      </w:r>
      <w:r w:rsidRPr="002E4CB1">
        <w:rPr>
          <w:rFonts w:cs="Arial"/>
          <w:sz w:val="16"/>
          <w:szCs w:val="16"/>
          <w:rtl/>
        </w:rPr>
        <w:t>כתובות פ"ד סי' יד</w:t>
      </w:r>
      <w:r>
        <w:rPr>
          <w:rFonts w:cs="Arial" w:hint="cs"/>
          <w:sz w:val="16"/>
          <w:szCs w:val="16"/>
          <w:rtl/>
        </w:rPr>
        <w:t>] והטור בשמו</w:t>
      </w:r>
      <w:r w:rsidRPr="002E4CB1">
        <w:rPr>
          <w:rFonts w:cs="Arial"/>
          <w:sz w:val="16"/>
          <w:szCs w:val="16"/>
          <w:rtl/>
        </w:rPr>
        <w:t>)</w:t>
      </w:r>
      <w:r>
        <w:rPr>
          <w:rFonts w:cs="Arial" w:hint="cs"/>
          <w:rtl/>
        </w:rPr>
        <w:t xml:space="preserve">- </w:t>
      </w:r>
      <w:r w:rsidRPr="00F350E1">
        <w:rPr>
          <w:rFonts w:cs="Arial"/>
          <w:rtl/>
        </w:rPr>
        <w:t>אפילו יש להם נכסים שנפלו להם מבית אבי אמם חייב לזונם כיון דתקנת חכמים היא זכו במזונותיהם אפי' אם יש להם להתפרנס משלהם</w:t>
      </w:r>
      <w:r>
        <w:rPr>
          <w:rFonts w:cs="Arial" w:hint="cs"/>
          <w:rtl/>
        </w:rPr>
        <w:t>.</w:t>
      </w:r>
      <w:r w:rsidRPr="00F350E1">
        <w:rPr>
          <w:rFonts w:cs="Arial"/>
          <w:rtl/>
        </w:rPr>
        <w:t xml:space="preserve"> </w:t>
      </w:r>
      <w:r w:rsidRPr="00C57942">
        <w:rPr>
          <w:rFonts w:hint="cs"/>
          <w:color w:val="E36C0A" w:themeColor="accent6" w:themeShade="BF"/>
          <w:rtl/>
        </w:rPr>
        <w:t>(וכ"פ בשו"ע)</w:t>
      </w:r>
    </w:p>
    <w:p w14:paraId="7B429765" w14:textId="77777777" w:rsidR="002E5BAD" w:rsidRPr="00357837" w:rsidRDefault="002E5BAD" w:rsidP="002E5BAD">
      <w:pPr>
        <w:rPr>
          <w:u w:val="single"/>
        </w:rPr>
      </w:pPr>
      <w:r w:rsidRPr="00357837">
        <w:rPr>
          <w:rFonts w:hint="cs"/>
          <w:u w:val="single"/>
          <w:rtl/>
        </w:rPr>
        <w:t xml:space="preserve">ילדיו שגילם </w:t>
      </w:r>
      <w:r>
        <w:rPr>
          <w:rFonts w:hint="cs"/>
          <w:u w:val="single"/>
          <w:rtl/>
        </w:rPr>
        <w:t xml:space="preserve">מעל </w:t>
      </w:r>
      <w:r w:rsidRPr="00357837">
        <w:rPr>
          <w:rFonts w:hint="cs"/>
          <w:u w:val="single"/>
          <w:rtl/>
        </w:rPr>
        <w:t>שש</w:t>
      </w:r>
      <w:r>
        <w:rPr>
          <w:rFonts w:hint="cs"/>
          <w:u w:val="single"/>
          <w:rtl/>
        </w:rPr>
        <w:t xml:space="preserve"> שנים</w:t>
      </w:r>
      <w:r w:rsidRPr="00357837">
        <w:rPr>
          <w:rFonts w:hint="cs"/>
          <w:u w:val="single"/>
          <w:rtl/>
        </w:rPr>
        <w:t>:</w:t>
      </w:r>
    </w:p>
    <w:p w14:paraId="44B6FE7F" w14:textId="77777777" w:rsidR="002E5BAD" w:rsidRDefault="002E5BAD" w:rsidP="002E5BAD">
      <w:pPr>
        <w:pStyle w:val="ab"/>
        <w:numPr>
          <w:ilvl w:val="0"/>
          <w:numId w:val="155"/>
        </w:numPr>
      </w:pPr>
      <w:r>
        <w:rPr>
          <w:rFonts w:cs="Arial" w:hint="cs"/>
          <w:rtl/>
        </w:rPr>
        <w:t xml:space="preserve">טור- </w:t>
      </w:r>
      <w:r w:rsidRPr="00F350E1">
        <w:rPr>
          <w:rFonts w:cs="Arial"/>
          <w:rtl/>
        </w:rPr>
        <w:t>משש ואילך מצוה לזונם עד שיהיו גדולים</w:t>
      </w:r>
      <w:r>
        <w:rPr>
          <w:rFonts w:cs="Arial" w:hint="cs"/>
          <w:rtl/>
        </w:rPr>
        <w:t>,</w:t>
      </w:r>
      <w:r w:rsidRPr="00F350E1">
        <w:rPr>
          <w:rFonts w:cs="Arial"/>
          <w:rtl/>
        </w:rPr>
        <w:t xml:space="preserve"> ועל זה נאמר עושה צדקה בכל עת</w:t>
      </w:r>
      <w:r>
        <w:rPr>
          <w:rFonts w:cs="Arial" w:hint="cs"/>
          <w:rtl/>
        </w:rPr>
        <w:t>.</w:t>
      </w:r>
      <w:r w:rsidRPr="00F350E1">
        <w:rPr>
          <w:rFonts w:cs="Arial"/>
          <w:rtl/>
        </w:rPr>
        <w:t xml:space="preserve"> ואם אינו רוצה </w:t>
      </w:r>
      <w:r>
        <w:rPr>
          <w:rFonts w:cs="Arial" w:hint="cs"/>
          <w:rtl/>
        </w:rPr>
        <w:t xml:space="preserve">- </w:t>
      </w:r>
      <w:r w:rsidRPr="00F350E1">
        <w:rPr>
          <w:rFonts w:cs="Arial"/>
          <w:rtl/>
        </w:rPr>
        <w:t>אין כופין אותו אבל מפצירים בו</w:t>
      </w:r>
      <w:r>
        <w:rPr>
          <w:rFonts w:cs="Arial" w:hint="cs"/>
          <w:rtl/>
        </w:rPr>
        <w:t>.</w:t>
      </w:r>
      <w:r w:rsidRPr="00F350E1">
        <w:rPr>
          <w:rFonts w:cs="Arial"/>
          <w:rtl/>
        </w:rPr>
        <w:t xml:space="preserve"> ואם אינו מתרצה מכלימים אותו ומכריזין עליו פלוני אינו רוצה לפרנס בניו והרי הוא גרוע מעוף טמא שמרחם על בניו</w:t>
      </w:r>
      <w:r>
        <w:rPr>
          <w:rFonts w:cs="Arial" w:hint="cs"/>
          <w:rtl/>
        </w:rPr>
        <w:t>.</w:t>
      </w:r>
      <w:r w:rsidRPr="00F350E1">
        <w:rPr>
          <w:rFonts w:cs="Arial"/>
          <w:rtl/>
        </w:rPr>
        <w:t xml:space="preserve"> בד"א שאינו אמוד לנו בממון ליתן צדקה</w:t>
      </w:r>
      <w:r>
        <w:rPr>
          <w:rFonts w:cs="Arial" w:hint="cs"/>
          <w:rtl/>
        </w:rPr>
        <w:t>,</w:t>
      </w:r>
      <w:r w:rsidRPr="00F350E1">
        <w:rPr>
          <w:rFonts w:cs="Arial"/>
          <w:rtl/>
        </w:rPr>
        <w:t xml:space="preserve"> אבל אם הוא אמוד שיש לו ממון ליתן צדקה </w:t>
      </w:r>
      <w:r>
        <w:rPr>
          <w:rFonts w:cs="Arial" w:hint="cs"/>
          <w:rtl/>
        </w:rPr>
        <w:t xml:space="preserve">- </w:t>
      </w:r>
      <w:r w:rsidRPr="00F350E1">
        <w:rPr>
          <w:rFonts w:cs="Arial"/>
          <w:rtl/>
        </w:rPr>
        <w:t>לוקחין ממנו בעל כרחו משום צדקה</w:t>
      </w:r>
      <w:r>
        <w:rPr>
          <w:rFonts w:cs="Arial" w:hint="cs"/>
          <w:rtl/>
        </w:rPr>
        <w:t>,</w:t>
      </w:r>
      <w:r w:rsidRPr="00F350E1">
        <w:rPr>
          <w:rFonts w:cs="Arial"/>
          <w:rtl/>
        </w:rPr>
        <w:t xml:space="preserve"> וזנין אותן עד שיגדלו</w:t>
      </w:r>
      <w:r>
        <w:rPr>
          <w:rFonts w:cs="Arial" w:hint="cs"/>
          <w:rtl/>
        </w:rPr>
        <w:t>.</w:t>
      </w:r>
      <w:r w:rsidRPr="001B4F2E">
        <w:rPr>
          <w:rFonts w:hint="cs"/>
          <w:color w:val="E36C0A" w:themeColor="accent6" w:themeShade="BF"/>
          <w:rtl/>
        </w:rPr>
        <w:t xml:space="preserve"> </w:t>
      </w:r>
      <w:r w:rsidRPr="00C57942">
        <w:rPr>
          <w:rFonts w:hint="cs"/>
          <w:color w:val="E36C0A" w:themeColor="accent6" w:themeShade="BF"/>
          <w:rtl/>
        </w:rPr>
        <w:t>(וכ"פ בשו"ע)</w:t>
      </w:r>
    </w:p>
    <w:p w14:paraId="3B4E21D5" w14:textId="77777777" w:rsidR="002E5BAD" w:rsidRPr="001B4F2E" w:rsidRDefault="002E5BAD" w:rsidP="002E5BAD">
      <w:r w:rsidRPr="001B4F2E">
        <w:rPr>
          <w:rFonts w:hint="cs"/>
          <w:u w:val="single"/>
          <w:rtl/>
        </w:rPr>
        <w:t xml:space="preserve">האם חייב לזון את בניו הקטנים </w:t>
      </w:r>
      <w:r w:rsidRPr="001B4F2E">
        <w:rPr>
          <w:rFonts w:hint="cs"/>
          <w:sz w:val="16"/>
          <w:szCs w:val="16"/>
          <w:u w:val="single"/>
          <w:rtl/>
        </w:rPr>
        <w:t xml:space="preserve">(פחות משש) </w:t>
      </w:r>
      <w:r w:rsidRPr="001B4F2E">
        <w:rPr>
          <w:rFonts w:hint="cs"/>
          <w:u w:val="single"/>
          <w:rtl/>
        </w:rPr>
        <w:t>גם כשאמן לא קיימת:</w:t>
      </w:r>
      <w:r>
        <w:rPr>
          <w:rFonts w:cs="Arial" w:hint="cs"/>
          <w:rtl/>
        </w:rPr>
        <w:t xml:space="preserve">  </w:t>
      </w:r>
      <w:r w:rsidRPr="001B4F2E">
        <w:rPr>
          <w:rFonts w:cs="Arial"/>
          <w:sz w:val="16"/>
          <w:szCs w:val="16"/>
          <w:rtl/>
        </w:rPr>
        <w:t>(</w:t>
      </w:r>
      <w:r w:rsidRPr="001B4F2E">
        <w:rPr>
          <w:rFonts w:cs="Arial" w:hint="cs"/>
          <w:sz w:val="16"/>
          <w:szCs w:val="16"/>
          <w:rtl/>
        </w:rPr>
        <w:t xml:space="preserve">דרכ"מ </w:t>
      </w:r>
      <w:r w:rsidRPr="001B4F2E">
        <w:rPr>
          <w:rFonts w:cs="Arial"/>
          <w:sz w:val="16"/>
          <w:szCs w:val="16"/>
          <w:rtl/>
        </w:rPr>
        <w:t>א</w:t>
      </w:r>
      <w:r w:rsidRPr="001B4F2E">
        <w:rPr>
          <w:rFonts w:cs="Arial" w:hint="cs"/>
          <w:sz w:val="16"/>
          <w:szCs w:val="16"/>
          <w:rtl/>
        </w:rPr>
        <w:t>ות א</w:t>
      </w:r>
      <w:r w:rsidRPr="001B4F2E">
        <w:rPr>
          <w:rFonts w:cs="Arial"/>
          <w:sz w:val="16"/>
          <w:szCs w:val="16"/>
          <w:rtl/>
        </w:rPr>
        <w:t>)</w:t>
      </w:r>
      <w:r w:rsidRPr="001B4F2E">
        <w:rPr>
          <w:rFonts w:cs="Arial"/>
          <w:rtl/>
        </w:rPr>
        <w:t xml:space="preserve"> </w:t>
      </w:r>
    </w:p>
    <w:p w14:paraId="3F74BE19" w14:textId="77777777" w:rsidR="002E5BAD" w:rsidRPr="001427B1" w:rsidRDefault="002E5BAD" w:rsidP="002E5BAD">
      <w:pPr>
        <w:pStyle w:val="ab"/>
        <w:numPr>
          <w:ilvl w:val="0"/>
          <w:numId w:val="155"/>
        </w:numPr>
      </w:pPr>
      <w:r w:rsidRPr="00F350E1">
        <w:rPr>
          <w:rFonts w:cs="Arial"/>
          <w:rtl/>
        </w:rPr>
        <w:t xml:space="preserve">ר"ן </w:t>
      </w:r>
      <w:r w:rsidRPr="001B4F2E">
        <w:rPr>
          <w:rFonts w:cs="Arial" w:hint="cs"/>
          <w:sz w:val="16"/>
          <w:szCs w:val="16"/>
          <w:rtl/>
        </w:rPr>
        <w:t>(</w:t>
      </w:r>
      <w:r w:rsidRPr="001B4F2E">
        <w:rPr>
          <w:rFonts w:cs="Arial"/>
          <w:sz w:val="16"/>
          <w:szCs w:val="16"/>
          <w:rtl/>
        </w:rPr>
        <w:t>ס</w:t>
      </w:r>
      <w:r w:rsidRPr="001B4F2E">
        <w:rPr>
          <w:rFonts w:cs="Arial" w:hint="cs"/>
          <w:sz w:val="16"/>
          <w:szCs w:val="16"/>
          <w:rtl/>
        </w:rPr>
        <w:t>"פ</w:t>
      </w:r>
      <w:r w:rsidRPr="001B4F2E">
        <w:rPr>
          <w:rFonts w:cs="Arial"/>
          <w:sz w:val="16"/>
          <w:szCs w:val="16"/>
          <w:rtl/>
        </w:rPr>
        <w:t xml:space="preserve"> אף על פי כח: ד"ה גמ')</w:t>
      </w:r>
      <w:r>
        <w:rPr>
          <w:rFonts w:cs="Arial" w:hint="cs"/>
          <w:rtl/>
        </w:rPr>
        <w:t>-</w:t>
      </w:r>
      <w:r w:rsidRPr="00F350E1">
        <w:rPr>
          <w:rFonts w:cs="Arial"/>
          <w:rtl/>
        </w:rPr>
        <w:t xml:space="preserve"> נראה הא דחייב לזון בניו ובנותיו דוקא כשאמן קיימת</w:t>
      </w:r>
      <w:r>
        <w:rPr>
          <w:rFonts w:cs="Arial" w:hint="cs"/>
          <w:rtl/>
        </w:rPr>
        <w:t>,</w:t>
      </w:r>
      <w:r w:rsidRPr="00F350E1">
        <w:rPr>
          <w:rFonts w:cs="Arial"/>
          <w:rtl/>
        </w:rPr>
        <w:t xml:space="preserve"> משום דכיון דנגררין אחריה עד בני שש אי אפשר להעמיד עצמה שלא תזון אותם ובכלל מזונותיה הוא</w:t>
      </w:r>
      <w:r>
        <w:rPr>
          <w:rFonts w:cs="Arial" w:hint="cs"/>
          <w:rtl/>
        </w:rPr>
        <w:t>.</w:t>
      </w:r>
      <w:r w:rsidRPr="00F350E1">
        <w:rPr>
          <w:rFonts w:cs="Arial"/>
          <w:rtl/>
        </w:rPr>
        <w:t xml:space="preserve"> אבל אין אמן קיימת </w:t>
      </w:r>
      <w:r>
        <w:rPr>
          <w:rFonts w:cs="Arial" w:hint="cs"/>
          <w:rtl/>
        </w:rPr>
        <w:t xml:space="preserve">- </w:t>
      </w:r>
      <w:r w:rsidRPr="00F350E1">
        <w:rPr>
          <w:rFonts w:cs="Arial"/>
          <w:rtl/>
        </w:rPr>
        <w:t>אין חייב לזונן</w:t>
      </w:r>
      <w:r>
        <w:rPr>
          <w:rFonts w:cs="Arial" w:hint="cs"/>
          <w:rtl/>
        </w:rPr>
        <w:t>.</w:t>
      </w:r>
      <w:r w:rsidRPr="00F350E1">
        <w:rPr>
          <w:rFonts w:cs="Arial"/>
          <w:rtl/>
        </w:rPr>
        <w:t xml:space="preserve"> אבל לא ראיתי לראשונים ז"ל שאמרו כן</w:t>
      </w:r>
      <w:r>
        <w:rPr>
          <w:rStyle w:val="a7"/>
          <w:rFonts w:cs="Arial"/>
          <w:rtl/>
        </w:rPr>
        <w:footnoteReference w:id="1127"/>
      </w:r>
      <w:r>
        <w:rPr>
          <w:rFonts w:cs="Arial" w:hint="cs"/>
          <w:rtl/>
        </w:rPr>
        <w:t>.</w:t>
      </w:r>
    </w:p>
    <w:p w14:paraId="7CAD972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A8BA2DC" w14:textId="77777777" w:rsidR="002E5BAD" w:rsidRDefault="002E5BAD" w:rsidP="002E5BAD">
      <w:pPr>
        <w:rPr>
          <w:rFonts w:cs="Arial"/>
          <w:rtl/>
        </w:rPr>
      </w:pPr>
      <w:r>
        <w:rPr>
          <w:rFonts w:cs="Arial"/>
          <w:rtl/>
        </w:rPr>
        <w:t>חייב אדם לזון בניו ובנותיו עד שיהיו בני שש, אפילו יש להם נכסים שנפלו להם מבית אבי אמם</w:t>
      </w:r>
      <w:r>
        <w:rPr>
          <w:rFonts w:cs="Arial" w:hint="cs"/>
          <w:rtl/>
        </w:rPr>
        <w:t>.</w:t>
      </w:r>
      <w:r>
        <w:rPr>
          <w:rFonts w:cs="Arial"/>
          <w:rtl/>
        </w:rPr>
        <w:t xml:space="preserve"> ומשם ואילך, זנן כתקנת חכמים עד שיגדלו. ואם לא רצה, גוערין בו ומכלימין אותו ופוצרין בו. ואם לא רצה, מכריזין עליו בצבור ואומרים: פלוני אכזרי הוא ואינו רוצה לזון בניו, והרי הוא פחות מעוף טמא שהוא זן אפרוחיו</w:t>
      </w:r>
      <w:r>
        <w:rPr>
          <w:rFonts w:cs="Arial" w:hint="cs"/>
          <w:rtl/>
        </w:rPr>
        <w:t>.</w:t>
      </w:r>
      <w:r>
        <w:rPr>
          <w:rFonts w:cs="Arial"/>
          <w:rtl/>
        </w:rPr>
        <w:t xml:space="preserve"> ואין כופין אותו לזונן. במה דברים אמורים, בשאינו אמוד, אבל אם היה אמוד שיש לו ממון הראוי ליתן צדקה המספקת להם, מוציאים ממנו בעל כרחו, משום צדקה, וזנין אותם עד שיגדלו. </w:t>
      </w:r>
      <w:r w:rsidRPr="00F350E1">
        <w:rPr>
          <w:rFonts w:cs="Arial"/>
          <w:sz w:val="18"/>
          <w:szCs w:val="18"/>
          <w:rtl/>
        </w:rPr>
        <w:t>הגה: ודוקא לענין מזונות הבנות, אבל לא כופין להשיא בנותיו, ואף על פי שמצוה ליתן לבתו נדוניא ראויה, מכל מקום לא כייפינן ליה, אלא מה שירצה יתן, רק שישיאן (הגמ</w:t>
      </w:r>
      <w:r>
        <w:rPr>
          <w:rFonts w:cs="Arial" w:hint="cs"/>
          <w:sz w:val="18"/>
          <w:szCs w:val="18"/>
          <w:rtl/>
        </w:rPr>
        <w:t>"</w:t>
      </w:r>
      <w:r w:rsidRPr="00F350E1">
        <w:rPr>
          <w:rFonts w:cs="Arial"/>
          <w:sz w:val="18"/>
          <w:szCs w:val="18"/>
          <w:rtl/>
        </w:rPr>
        <w:t>ר דקידושין וכ"כ תא"ו נכ"ב).</w:t>
      </w:r>
      <w:r>
        <w:rPr>
          <w:rFonts w:cs="Arial"/>
          <w:rtl/>
        </w:rPr>
        <w:t xml:space="preserve"> </w:t>
      </w:r>
    </w:p>
    <w:p w14:paraId="49F38BB1" w14:textId="77777777" w:rsidR="002E5BAD" w:rsidRDefault="002E5BAD" w:rsidP="002E5BAD">
      <w:pPr>
        <w:rPr>
          <w:rtl/>
        </w:rPr>
      </w:pPr>
    </w:p>
    <w:p w14:paraId="1F42E0DE" w14:textId="77777777" w:rsidR="002E5BAD" w:rsidRDefault="002E5BAD" w:rsidP="002E5BAD">
      <w:pPr>
        <w:pStyle w:val="2"/>
        <w:rPr>
          <w:rtl/>
        </w:rPr>
      </w:pPr>
      <w:r>
        <w:rPr>
          <w:rtl/>
        </w:rPr>
        <w:t>סעיף ב</w:t>
      </w:r>
      <w:r>
        <w:rPr>
          <w:rFonts w:hint="cs"/>
          <w:rtl/>
        </w:rPr>
        <w:t>: הלך למדינת הים והניח את בניו הקטנים.</w:t>
      </w:r>
    </w:p>
    <w:p w14:paraId="63B956C6" w14:textId="77777777" w:rsidR="002E5BAD" w:rsidRDefault="002E5BAD" w:rsidP="002E5BAD">
      <w:pPr>
        <w:rPr>
          <w:rtl/>
        </w:rPr>
      </w:pPr>
      <w:r w:rsidRPr="002E4CB1">
        <w:rPr>
          <w:rFonts w:hint="cs"/>
          <w:b/>
          <w:bCs/>
          <w:rtl/>
        </w:rPr>
        <w:t xml:space="preserve">כתובות </w:t>
      </w:r>
      <w:r w:rsidRPr="002E4CB1">
        <w:rPr>
          <w:rFonts w:hint="cs"/>
          <w:b/>
          <w:bCs/>
          <w:sz w:val="16"/>
          <w:szCs w:val="16"/>
          <w:rtl/>
        </w:rPr>
        <w:t>(פ' נערה שנתפתתה)</w:t>
      </w:r>
      <w:r w:rsidRPr="002E4CB1">
        <w:rPr>
          <w:rFonts w:hint="cs"/>
          <w:b/>
          <w:bCs/>
          <w:rtl/>
        </w:rPr>
        <w:t xml:space="preserve"> מ</w:t>
      </w:r>
      <w:r>
        <w:rPr>
          <w:rFonts w:hint="cs"/>
          <w:b/>
          <w:bCs/>
          <w:rtl/>
        </w:rPr>
        <w:t>ח</w:t>
      </w:r>
      <w:r w:rsidRPr="002E4CB1">
        <w:rPr>
          <w:rFonts w:hint="cs"/>
          <w:b/>
          <w:bCs/>
          <w:rtl/>
        </w:rPr>
        <w:t xml:space="preserve"> ע"</w:t>
      </w:r>
      <w:r>
        <w:rPr>
          <w:rFonts w:hint="cs"/>
          <w:b/>
          <w:bCs/>
          <w:rtl/>
        </w:rPr>
        <w:t>א</w:t>
      </w:r>
      <w:r w:rsidRPr="002E4CB1">
        <w:rPr>
          <w:rFonts w:hint="cs"/>
          <w:b/>
          <w:bCs/>
          <w:rtl/>
        </w:rPr>
        <w:t>:</w:t>
      </w:r>
      <w:r>
        <w:rPr>
          <w:rFonts w:hint="cs"/>
          <w:rtl/>
        </w:rPr>
        <w:t xml:space="preserve"> </w:t>
      </w:r>
      <w:r w:rsidRPr="00AA5A7B">
        <w:rPr>
          <w:rFonts w:cs="Arial"/>
          <w:u w:val="single"/>
          <w:rtl/>
        </w:rPr>
        <w:t>ואמר רב חסדא אמר מר עוקבא</w:t>
      </w:r>
      <w:r w:rsidRPr="00F86040">
        <w:rPr>
          <w:rFonts w:cs="Arial"/>
          <w:rtl/>
        </w:rPr>
        <w:t xml:space="preserve">: מי שנשתטה, בית דין יורדין לנכסיו, וזנין ומפרנסין את אשתו ובניו ובנותיו ודבר אחר. </w:t>
      </w:r>
      <w:r w:rsidRPr="00AA5A7B">
        <w:rPr>
          <w:rFonts w:cs="Arial"/>
          <w:u w:val="single"/>
          <w:rtl/>
        </w:rPr>
        <w:t>א"ל רבינא לרב אשי</w:t>
      </w:r>
      <w:r>
        <w:rPr>
          <w:rFonts w:cs="Arial" w:hint="cs"/>
          <w:rtl/>
        </w:rPr>
        <w:t>:</w:t>
      </w:r>
      <w:r w:rsidRPr="00F86040">
        <w:rPr>
          <w:rFonts w:cs="Arial"/>
          <w:rtl/>
        </w:rPr>
        <w:t xml:space="preserve"> מ"ש מהא דתניא</w:t>
      </w:r>
      <w:r>
        <w:rPr>
          <w:rFonts w:cs="Arial" w:hint="cs"/>
          <w:rtl/>
        </w:rPr>
        <w:t>,</w:t>
      </w:r>
      <w:r w:rsidRPr="00F86040">
        <w:rPr>
          <w:rFonts w:cs="Arial"/>
          <w:rtl/>
        </w:rPr>
        <w:t xml:space="preserve"> מי שהלך למדינת הים ואשתו תובעת מזונות, בית דין יורדין לנכסיו וזנין ומפרנסין את אשתו, אבל לא בניו ובנותיו</w:t>
      </w:r>
      <w:r>
        <w:rPr>
          <w:rStyle w:val="a7"/>
          <w:rFonts w:cs="Arial"/>
          <w:rtl/>
        </w:rPr>
        <w:footnoteReference w:id="1128"/>
      </w:r>
      <w:r w:rsidRPr="00F86040">
        <w:rPr>
          <w:rFonts w:cs="Arial"/>
          <w:rtl/>
        </w:rPr>
        <w:t xml:space="preserve"> ולא דבר אחר? </w:t>
      </w:r>
      <w:r w:rsidRPr="00AA5A7B">
        <w:rPr>
          <w:rFonts w:cs="Arial"/>
          <w:u w:val="single"/>
          <w:rtl/>
        </w:rPr>
        <w:t>א"ל</w:t>
      </w:r>
      <w:r w:rsidRPr="00F86040">
        <w:rPr>
          <w:rFonts w:cs="Arial"/>
          <w:rtl/>
        </w:rPr>
        <w:t>: ולא שאני לך בין יוצא לדעת ליוצא שלא לדעת</w:t>
      </w:r>
      <w:r>
        <w:rPr>
          <w:rStyle w:val="a7"/>
          <w:rFonts w:cs="Arial"/>
          <w:rtl/>
        </w:rPr>
        <w:footnoteReference w:id="1129"/>
      </w:r>
      <w:r w:rsidRPr="00F86040">
        <w:rPr>
          <w:rFonts w:cs="Arial"/>
          <w:rtl/>
        </w:rPr>
        <w:t xml:space="preserve">? מאי דבר אחר? </w:t>
      </w:r>
      <w:r w:rsidRPr="00AA5A7B">
        <w:rPr>
          <w:rFonts w:cs="Arial"/>
          <w:u w:val="single"/>
          <w:rtl/>
        </w:rPr>
        <w:t>רב חסדא אמר</w:t>
      </w:r>
      <w:r w:rsidRPr="00F86040">
        <w:rPr>
          <w:rFonts w:cs="Arial"/>
          <w:rtl/>
        </w:rPr>
        <w:t>: זה תכשיט</w:t>
      </w:r>
      <w:r>
        <w:rPr>
          <w:rStyle w:val="a7"/>
          <w:rFonts w:cs="Arial"/>
          <w:rtl/>
        </w:rPr>
        <w:footnoteReference w:id="1130"/>
      </w:r>
      <w:r w:rsidRPr="00F86040">
        <w:rPr>
          <w:rFonts w:cs="Arial"/>
          <w:rtl/>
        </w:rPr>
        <w:t xml:space="preserve">, </w:t>
      </w:r>
      <w:r w:rsidRPr="00AA5A7B">
        <w:rPr>
          <w:rFonts w:cs="Arial"/>
          <w:u w:val="single"/>
          <w:rtl/>
        </w:rPr>
        <w:t>רב יוסף אמר</w:t>
      </w:r>
      <w:r w:rsidRPr="00F86040">
        <w:rPr>
          <w:rFonts w:cs="Arial"/>
          <w:rtl/>
        </w:rPr>
        <w:t>: צדקה. מ"ד תכשיט, כ"ש צדקה</w:t>
      </w:r>
      <w:r>
        <w:rPr>
          <w:rFonts w:cs="Arial" w:hint="cs"/>
          <w:rtl/>
        </w:rPr>
        <w:t>.</w:t>
      </w:r>
      <w:r w:rsidRPr="00F86040">
        <w:rPr>
          <w:rFonts w:cs="Arial"/>
          <w:rtl/>
        </w:rPr>
        <w:t xml:space="preserve"> מ"ד צדקה, אבל תכשיט יהבינן לה, דלא ניחא ליה דתינוול.</w:t>
      </w:r>
    </w:p>
    <w:p w14:paraId="5842D7A0" w14:textId="77777777" w:rsidR="002E5BAD" w:rsidRPr="00585E9A" w:rsidRDefault="002E5BAD" w:rsidP="002E5BAD">
      <w:pPr>
        <w:rPr>
          <w:u w:val="single"/>
          <w:rtl/>
        </w:rPr>
      </w:pPr>
      <w:r w:rsidRPr="00585E9A">
        <w:rPr>
          <w:rFonts w:hint="cs"/>
          <w:u w:val="single"/>
          <w:rtl/>
        </w:rPr>
        <w:t>הלך למדינת הים והניח את בניו הקטנים:</w:t>
      </w:r>
    </w:p>
    <w:p w14:paraId="1756EBF8" w14:textId="77777777" w:rsidR="002E5BAD" w:rsidRDefault="002E5BAD" w:rsidP="002E5BAD">
      <w:pPr>
        <w:pStyle w:val="ab"/>
        <w:numPr>
          <w:ilvl w:val="0"/>
          <w:numId w:val="155"/>
        </w:numPr>
      </w:pPr>
      <w:r>
        <w:rPr>
          <w:rFonts w:cs="Arial" w:hint="cs"/>
          <w:rtl/>
        </w:rPr>
        <w:t xml:space="preserve">טור- </w:t>
      </w:r>
      <w:r w:rsidRPr="00F350E1">
        <w:rPr>
          <w:rFonts w:cs="Arial"/>
          <w:rtl/>
        </w:rPr>
        <w:t xml:space="preserve">אם הלך למדינת הים והניחן כאן </w:t>
      </w:r>
      <w:r>
        <w:rPr>
          <w:rFonts w:cs="Arial" w:hint="cs"/>
          <w:rtl/>
        </w:rPr>
        <w:t xml:space="preserve">- </w:t>
      </w:r>
      <w:r w:rsidRPr="00F350E1">
        <w:rPr>
          <w:rFonts w:cs="Arial"/>
          <w:rtl/>
        </w:rPr>
        <w:t>מוכרין מנכסיו לפרנסם עד שיהיו בני שש כמו שמוכרין למזון האשה למי שהלך למדינת הים</w:t>
      </w:r>
      <w:r>
        <w:rPr>
          <w:rFonts w:cs="Arial" w:hint="cs"/>
          <w:rtl/>
        </w:rPr>
        <w:t>.</w:t>
      </w:r>
      <w:r w:rsidRPr="00F350E1">
        <w:rPr>
          <w:rFonts w:cs="Arial"/>
          <w:rtl/>
        </w:rPr>
        <w:t xml:space="preserve"> אבל אם הם מבני שש ומעלה </w:t>
      </w:r>
      <w:r>
        <w:rPr>
          <w:rFonts w:cs="Arial" w:hint="cs"/>
          <w:rtl/>
        </w:rPr>
        <w:t xml:space="preserve">- </w:t>
      </w:r>
      <w:r w:rsidRPr="00F350E1">
        <w:rPr>
          <w:rFonts w:cs="Arial"/>
          <w:rtl/>
        </w:rPr>
        <w:t>אין זנין אותן מנכסיו</w:t>
      </w:r>
      <w:r>
        <w:rPr>
          <w:rFonts w:cs="Arial" w:hint="cs"/>
          <w:rtl/>
        </w:rPr>
        <w:t>,</w:t>
      </w:r>
      <w:r w:rsidRPr="00F350E1">
        <w:rPr>
          <w:rFonts w:cs="Arial"/>
          <w:rtl/>
        </w:rPr>
        <w:t xml:space="preserve"> דכיון שיצא לדעת אם היה רוצה שיתפרנסו מנכסיו היה לו לצוות</w:t>
      </w:r>
      <w:r>
        <w:rPr>
          <w:rFonts w:cs="Arial" w:hint="cs"/>
          <w:rtl/>
        </w:rPr>
        <w:t>.</w:t>
      </w:r>
      <w:r w:rsidRPr="00E75874">
        <w:rPr>
          <w:rFonts w:cs="Arial" w:hint="cs"/>
          <w:rtl/>
        </w:rPr>
        <w:t xml:space="preserve"> </w:t>
      </w:r>
      <w:r w:rsidRPr="00E75874">
        <w:rPr>
          <w:rFonts w:cs="Arial"/>
          <w:rtl/>
        </w:rPr>
        <w:t xml:space="preserve">אבל מי שנשתטה </w:t>
      </w:r>
      <w:r w:rsidRPr="00E75874">
        <w:rPr>
          <w:rFonts w:cs="Arial" w:hint="cs"/>
          <w:rtl/>
        </w:rPr>
        <w:t xml:space="preserve">- </w:t>
      </w:r>
      <w:r w:rsidRPr="00E75874">
        <w:rPr>
          <w:rFonts w:cs="Arial"/>
          <w:rtl/>
        </w:rPr>
        <w:t>מפרנסין אשתו מנכסיו ונותנין לה במה שתתקשט ומפרנסין לבניו ולבנותיו אפי' יתרים משש עד שיגדילו</w:t>
      </w:r>
      <w:r w:rsidRPr="00E75874">
        <w:rPr>
          <w:rFonts w:cs="Arial" w:hint="cs"/>
          <w:rtl/>
        </w:rPr>
        <w:t>,</w:t>
      </w:r>
      <w:r w:rsidRPr="00E75874">
        <w:rPr>
          <w:rFonts w:cs="Arial"/>
          <w:rtl/>
        </w:rPr>
        <w:t xml:space="preserve"> דמסתמא ניחא ליה שיפרנסו לבניו ולבנותיו</w:t>
      </w:r>
      <w:r w:rsidRPr="00E75874">
        <w:rPr>
          <w:rFonts w:cs="Arial" w:hint="cs"/>
          <w:rtl/>
        </w:rPr>
        <w:t>.</w:t>
      </w:r>
      <w:r w:rsidRPr="00E75874">
        <w:rPr>
          <w:rFonts w:cs="Arial"/>
          <w:rtl/>
        </w:rPr>
        <w:t xml:space="preserve"> </w:t>
      </w:r>
      <w:r w:rsidRPr="00C57942">
        <w:rPr>
          <w:rFonts w:hint="cs"/>
          <w:color w:val="E36C0A" w:themeColor="accent6" w:themeShade="BF"/>
          <w:rtl/>
        </w:rPr>
        <w:t>(וכ"פ בשו"ע</w:t>
      </w:r>
      <w:r>
        <w:rPr>
          <w:rFonts w:hint="cs"/>
          <w:color w:val="E36C0A" w:themeColor="accent6" w:themeShade="BF"/>
          <w:sz w:val="16"/>
          <w:szCs w:val="16"/>
          <w:rtl/>
        </w:rPr>
        <w:t xml:space="preserve"> </w:t>
      </w:r>
      <w:r w:rsidRPr="00F35B81">
        <w:rPr>
          <w:rFonts w:hint="cs"/>
          <w:color w:val="000000" w:themeColor="text1"/>
          <w:sz w:val="16"/>
          <w:szCs w:val="16"/>
          <w:rtl/>
        </w:rPr>
        <w:t>[כאן ובסע' ג]</w:t>
      </w:r>
      <w:r w:rsidRPr="00C57942">
        <w:rPr>
          <w:rFonts w:hint="cs"/>
          <w:color w:val="E36C0A" w:themeColor="accent6" w:themeShade="BF"/>
          <w:rtl/>
        </w:rPr>
        <w:t>)</w:t>
      </w:r>
    </w:p>
    <w:p w14:paraId="7CA75092" w14:textId="77777777" w:rsidR="002E5BAD" w:rsidRDefault="002E5BAD" w:rsidP="002E5BAD">
      <w:pPr>
        <w:pStyle w:val="ab"/>
        <w:numPr>
          <w:ilvl w:val="0"/>
          <w:numId w:val="155"/>
        </w:numPr>
      </w:pPr>
      <w:r w:rsidRPr="009E169C">
        <w:rPr>
          <w:rFonts w:cs="Arial"/>
          <w:rtl/>
        </w:rPr>
        <w:t xml:space="preserve">רמב"ם </w:t>
      </w:r>
      <w:r w:rsidRPr="009E169C">
        <w:rPr>
          <w:rFonts w:cs="Arial" w:hint="cs"/>
          <w:sz w:val="16"/>
          <w:szCs w:val="16"/>
          <w:rtl/>
        </w:rPr>
        <w:t>(</w:t>
      </w:r>
      <w:r w:rsidRPr="009E169C">
        <w:rPr>
          <w:rFonts w:cs="Arial"/>
          <w:sz w:val="16"/>
          <w:szCs w:val="16"/>
          <w:rtl/>
        </w:rPr>
        <w:t>פי"ב מאישות הי"ז)</w:t>
      </w:r>
      <w:r>
        <w:rPr>
          <w:rFonts w:cs="Arial" w:hint="cs"/>
          <w:rtl/>
        </w:rPr>
        <w:t xml:space="preserve"> והה"מ </w:t>
      </w:r>
      <w:r>
        <w:rPr>
          <w:rFonts w:cs="Arial" w:hint="cs"/>
          <w:sz w:val="16"/>
          <w:szCs w:val="16"/>
          <w:rtl/>
        </w:rPr>
        <w:t>(שם)</w:t>
      </w:r>
      <w:r w:rsidRPr="009E169C">
        <w:rPr>
          <w:rFonts w:cs="Arial" w:hint="cs"/>
          <w:rtl/>
        </w:rPr>
        <w:t>-</w:t>
      </w:r>
      <w:r w:rsidRPr="00DD1356">
        <w:rPr>
          <w:rtl/>
        </w:rPr>
        <w:t xml:space="preserve"> </w:t>
      </w:r>
      <w:r w:rsidRPr="009E169C">
        <w:rPr>
          <w:rFonts w:cs="Arial"/>
          <w:rtl/>
        </w:rPr>
        <w:t>וכשם שבית דין מוכרין למזון האשה שהלך בעלה כך מוכרין למזון בניו ובנותיו שהן בני שש שנים או פחות, אבל יתר על שש אינן זנין אותן מנכסיו שלא בפניו אף על פי שהוא אמוד, וכן מי</w:t>
      </w:r>
      <w:r w:rsidRPr="009E169C">
        <w:rPr>
          <w:rFonts w:cs="Arial" w:hint="cs"/>
          <w:rtl/>
        </w:rPr>
        <w:t xml:space="preserve"> [שנתנוהו בקולר או]</w:t>
      </w:r>
      <w:r w:rsidRPr="009E169C">
        <w:rPr>
          <w:rFonts w:cs="Arial"/>
          <w:rtl/>
        </w:rPr>
        <w:t xml:space="preserve"> שנשתטה בית דין יורדין לנכסיו ומוכרין וזנין אשתו ובניו ובנותיו שהן בני שש שנים או פחות ומפרנסין אותן</w:t>
      </w:r>
      <w:r>
        <w:rPr>
          <w:rStyle w:val="a7"/>
          <w:rtl/>
        </w:rPr>
        <w:footnoteReference w:id="1131"/>
      </w:r>
      <w:r>
        <w:rPr>
          <w:rFonts w:cs="Arial" w:hint="cs"/>
          <w:sz w:val="16"/>
          <w:szCs w:val="16"/>
          <w:rtl/>
        </w:rPr>
        <w:t xml:space="preserve"> (ל' הרמב"ם)</w:t>
      </w:r>
      <w:r w:rsidRPr="009E169C">
        <w:rPr>
          <w:rFonts w:cs="Arial"/>
          <w:rtl/>
        </w:rPr>
        <w:t xml:space="preserve">. </w:t>
      </w:r>
    </w:p>
    <w:p w14:paraId="39CAFC2E" w14:textId="77777777" w:rsidR="002E5BAD" w:rsidRDefault="002E5BAD" w:rsidP="002E5BAD">
      <w:pPr>
        <w:pStyle w:val="ab"/>
        <w:numPr>
          <w:ilvl w:val="0"/>
          <w:numId w:val="155"/>
        </w:numPr>
      </w:pPr>
      <w:r w:rsidRPr="000A1B66">
        <w:rPr>
          <w:rFonts w:cs="Arial"/>
          <w:rtl/>
        </w:rPr>
        <w:t>ר"ן</w:t>
      </w:r>
      <w:r w:rsidRPr="00FD01DB">
        <w:rPr>
          <w:rFonts w:cs="Arial"/>
          <w:sz w:val="16"/>
          <w:szCs w:val="16"/>
          <w:rtl/>
        </w:rPr>
        <w:t xml:space="preserve"> </w:t>
      </w:r>
      <w:r w:rsidRPr="00FD01DB">
        <w:rPr>
          <w:rFonts w:cs="Arial" w:hint="cs"/>
          <w:sz w:val="16"/>
          <w:szCs w:val="16"/>
          <w:rtl/>
        </w:rPr>
        <w:t>(</w:t>
      </w:r>
      <w:r w:rsidRPr="00FD01DB">
        <w:rPr>
          <w:rFonts w:cs="Arial"/>
          <w:sz w:val="16"/>
          <w:szCs w:val="16"/>
          <w:rtl/>
        </w:rPr>
        <w:t xml:space="preserve">פרק נערה </w:t>
      </w:r>
      <w:r w:rsidRPr="00FD01DB">
        <w:rPr>
          <w:rFonts w:cs="Arial" w:hint="cs"/>
          <w:sz w:val="16"/>
          <w:szCs w:val="16"/>
          <w:rtl/>
        </w:rPr>
        <w:t xml:space="preserve">שנתפתתה </w:t>
      </w:r>
      <w:r w:rsidRPr="00FD01DB">
        <w:rPr>
          <w:rFonts w:cs="Arial"/>
          <w:sz w:val="16"/>
          <w:szCs w:val="16"/>
          <w:rtl/>
        </w:rPr>
        <w:t>יח. דיבור ראשון</w:t>
      </w:r>
      <w:r w:rsidRPr="00FD01DB">
        <w:rPr>
          <w:rFonts w:cs="Arial" w:hint="cs"/>
          <w:sz w:val="16"/>
          <w:szCs w:val="16"/>
          <w:rtl/>
        </w:rPr>
        <w:t>, כ"כ הדרכ"מ [אות ד] בשמו</w:t>
      </w:r>
      <w:r w:rsidRPr="00FD01DB">
        <w:rPr>
          <w:rFonts w:cs="Arial"/>
          <w:sz w:val="16"/>
          <w:szCs w:val="16"/>
          <w:rtl/>
        </w:rPr>
        <w:t>)</w:t>
      </w:r>
      <w:r>
        <w:rPr>
          <w:rFonts w:cs="Arial" w:hint="cs"/>
          <w:rtl/>
        </w:rPr>
        <w:t xml:space="preserve">- </w:t>
      </w:r>
      <w:r w:rsidRPr="000A1B66">
        <w:rPr>
          <w:rFonts w:cs="Arial"/>
          <w:rtl/>
        </w:rPr>
        <w:t>בנשתטה מפרנסים אותה אפי' בלא אמוד</w:t>
      </w:r>
      <w:r>
        <w:rPr>
          <w:rFonts w:cs="Arial" w:hint="cs"/>
          <w:rtl/>
        </w:rPr>
        <w:t>.</w:t>
      </w:r>
      <w:r w:rsidRPr="000A1B66">
        <w:rPr>
          <w:rFonts w:cs="Arial"/>
          <w:rtl/>
        </w:rPr>
        <w:t xml:space="preserve"> וביוצא לדעת דוקא באמוד אף לאחר שש</w:t>
      </w:r>
      <w:r>
        <w:rPr>
          <w:rStyle w:val="a7"/>
          <w:rFonts w:cs="Arial"/>
          <w:rtl/>
        </w:rPr>
        <w:footnoteReference w:id="1132"/>
      </w:r>
      <w:r>
        <w:rPr>
          <w:rFonts w:cs="Arial" w:hint="cs"/>
          <w:rtl/>
        </w:rPr>
        <w:t>.</w:t>
      </w:r>
    </w:p>
    <w:p w14:paraId="3B395664" w14:textId="77777777" w:rsidR="002E5BAD" w:rsidRPr="00FF65B3" w:rsidRDefault="002E5BAD" w:rsidP="002E5BAD">
      <w:pPr>
        <w:ind w:left="360"/>
        <w:rPr>
          <w:u w:val="dotted"/>
        </w:rPr>
      </w:pPr>
      <w:r>
        <w:rPr>
          <w:rFonts w:hint="cs"/>
          <w:u w:val="dotted"/>
          <w:rtl/>
        </w:rPr>
        <w:t xml:space="preserve">ומה הדין אם היה </w:t>
      </w:r>
      <w:r w:rsidRPr="00FF65B3">
        <w:rPr>
          <w:rFonts w:hint="cs"/>
          <w:u w:val="dotted"/>
          <w:rtl/>
        </w:rPr>
        <w:t>זן ו</w:t>
      </w:r>
      <w:r>
        <w:rPr>
          <w:rFonts w:hint="cs"/>
          <w:u w:val="dotted"/>
          <w:rtl/>
        </w:rPr>
        <w:t>מ</w:t>
      </w:r>
      <w:r w:rsidRPr="00FF65B3">
        <w:rPr>
          <w:rFonts w:hint="cs"/>
          <w:u w:val="dotted"/>
          <w:rtl/>
        </w:rPr>
        <w:t>פרנס את ילדיו הגדולים משש</w:t>
      </w:r>
      <w:r>
        <w:rPr>
          <w:rFonts w:hint="cs"/>
          <w:u w:val="dotted"/>
          <w:rtl/>
        </w:rPr>
        <w:t xml:space="preserve"> כ</w:t>
      </w:r>
      <w:r w:rsidRPr="00FF65B3">
        <w:rPr>
          <w:rFonts w:hint="cs"/>
          <w:u w:val="dotted"/>
          <w:rtl/>
        </w:rPr>
        <w:t>שהיה בביתו:</w:t>
      </w:r>
    </w:p>
    <w:p w14:paraId="21B40077" w14:textId="77777777" w:rsidR="002E5BAD" w:rsidRPr="008B045F" w:rsidRDefault="002E5BAD" w:rsidP="002E5BAD">
      <w:pPr>
        <w:pStyle w:val="ab"/>
        <w:numPr>
          <w:ilvl w:val="0"/>
          <w:numId w:val="155"/>
        </w:numPr>
        <w:rPr>
          <w:rFonts w:cs="Arial"/>
          <w:rtl/>
        </w:rPr>
      </w:pPr>
      <w:r>
        <w:rPr>
          <w:rFonts w:cs="Arial" w:hint="cs"/>
          <w:rtl/>
        </w:rPr>
        <w:t xml:space="preserve">תוס' </w:t>
      </w:r>
      <w:r>
        <w:rPr>
          <w:rFonts w:cs="Arial" w:hint="cs"/>
          <w:sz w:val="16"/>
          <w:szCs w:val="16"/>
          <w:rtl/>
        </w:rPr>
        <w:t>(מח. ד"ה ולא שאני)</w:t>
      </w:r>
      <w:r>
        <w:rPr>
          <w:rFonts w:cs="Arial" w:hint="cs"/>
          <w:rtl/>
        </w:rPr>
        <w:t xml:space="preserve">- </w:t>
      </w:r>
      <w:r w:rsidRPr="007918A9">
        <w:rPr>
          <w:rFonts w:cs="Arial"/>
          <w:rtl/>
        </w:rPr>
        <w:t xml:space="preserve">לקמן בפ' בתרא </w:t>
      </w:r>
      <w:r w:rsidRPr="008B045F">
        <w:rPr>
          <w:rFonts w:cs="Arial"/>
          <w:sz w:val="16"/>
          <w:szCs w:val="16"/>
          <w:rtl/>
        </w:rPr>
        <w:t>(קז.)</w:t>
      </w:r>
      <w:r w:rsidRPr="007918A9">
        <w:rPr>
          <w:rFonts w:cs="Arial"/>
          <w:rtl/>
        </w:rPr>
        <w:t xml:space="preserve"> דמוקי לה ההיא דמי שהלך למדינת הים כשהשרה אשתו ע"י שליש אבל לא בניו ובנותיו משמע דקודם שיצא לא היה משרה אותם אבל אם היה משרה אותם גם אנו היינו זנין אותם כיון דניחא ליה</w:t>
      </w:r>
      <w:r>
        <w:rPr>
          <w:rFonts w:cs="Arial" w:hint="cs"/>
          <w:rtl/>
        </w:rPr>
        <w:t>.</w:t>
      </w:r>
      <w:r w:rsidRPr="007918A9">
        <w:rPr>
          <w:rFonts w:cs="Arial"/>
          <w:rtl/>
        </w:rPr>
        <w:t xml:space="preserve"> ולפי זה צריך לומר ההיא דמי שנשתטה דזנין בניו ובנותיו אפי' לא היה משרה אותם מתחלה</w:t>
      </w:r>
      <w:r>
        <w:rPr>
          <w:rFonts w:cs="Arial" w:hint="cs"/>
          <w:rtl/>
        </w:rPr>
        <w:t>.</w:t>
      </w:r>
      <w:r w:rsidRPr="007918A9">
        <w:rPr>
          <w:rFonts w:cs="Arial"/>
          <w:rtl/>
        </w:rPr>
        <w:t xml:space="preserve"> ואין נראה לר"י</w:t>
      </w:r>
      <w:r>
        <w:rPr>
          <w:rFonts w:cs="Arial" w:hint="cs"/>
          <w:rtl/>
        </w:rPr>
        <w:t>,</w:t>
      </w:r>
      <w:r w:rsidRPr="007918A9">
        <w:rPr>
          <w:rFonts w:cs="Arial"/>
          <w:rtl/>
        </w:rPr>
        <w:t xml:space="preserve"> דאם לא השרה אותם מתחלה ע"י שליש ולא פירנסם אמאי מפרנסין אותם</w:t>
      </w:r>
      <w:r>
        <w:rPr>
          <w:rFonts w:cs="Arial" w:hint="cs"/>
          <w:rtl/>
        </w:rPr>
        <w:t>.</w:t>
      </w:r>
      <w:r w:rsidRPr="007918A9">
        <w:rPr>
          <w:rFonts w:cs="Arial"/>
          <w:rtl/>
        </w:rPr>
        <w:t xml:space="preserve"> אלא ודאי איירי כשהיה מפרנסם קודם</w:t>
      </w:r>
      <w:r>
        <w:rPr>
          <w:rFonts w:cs="Arial" w:hint="cs"/>
          <w:rtl/>
        </w:rPr>
        <w:t>.</w:t>
      </w:r>
      <w:r w:rsidRPr="007918A9">
        <w:rPr>
          <w:rFonts w:cs="Arial"/>
          <w:rtl/>
        </w:rPr>
        <w:t xml:space="preserve"> וכן ההיא דמי שהלך למדינת הים</w:t>
      </w:r>
      <w:r>
        <w:rPr>
          <w:rFonts w:cs="Arial" w:hint="cs"/>
          <w:rtl/>
        </w:rPr>
        <w:t>,</w:t>
      </w:r>
      <w:r w:rsidRPr="007918A9">
        <w:rPr>
          <w:rFonts w:cs="Arial"/>
          <w:rtl/>
        </w:rPr>
        <w:t xml:space="preserve"> מדפריך מינה אההיא דנשתטה</w:t>
      </w:r>
      <w:r>
        <w:rPr>
          <w:rFonts w:cs="Arial" w:hint="cs"/>
          <w:rtl/>
        </w:rPr>
        <w:t>.</w:t>
      </w:r>
      <w:r w:rsidRPr="007918A9">
        <w:rPr>
          <w:rFonts w:cs="Arial"/>
          <w:rtl/>
        </w:rPr>
        <w:t xml:space="preserve"> ובפ' בתרא דמוקי לה במשרה אשתו על ידי שליש אבל לא בניו ובנותיו היינו בשעה שהלך הניח מעות ביד שליש לפרנס אשתו ולא הניח לפרנס בניו אבל קודם שהלך היו כולם ניזונין משלו</w:t>
      </w:r>
      <w:r>
        <w:rPr>
          <w:rStyle w:val="a7"/>
          <w:rFonts w:cs="Arial"/>
          <w:rtl/>
        </w:rPr>
        <w:footnoteReference w:id="1133"/>
      </w:r>
      <w:r w:rsidRPr="007918A9">
        <w:rPr>
          <w:rFonts w:cs="Arial"/>
          <w:rtl/>
        </w:rPr>
        <w:t>.</w:t>
      </w:r>
    </w:p>
    <w:p w14:paraId="1182894F" w14:textId="77777777" w:rsidR="002E5BAD" w:rsidRPr="00F47D55" w:rsidRDefault="002E5BAD" w:rsidP="002E5BAD">
      <w:pPr>
        <w:rPr>
          <w:rFonts w:cs="Arial"/>
          <w:u w:val="single"/>
          <w:rtl/>
        </w:rPr>
      </w:pPr>
      <w:r>
        <w:rPr>
          <w:rFonts w:cs="Arial" w:hint="cs"/>
          <w:u w:val="single"/>
          <w:rtl/>
        </w:rPr>
        <w:t>א</w:t>
      </w:r>
      <w:r w:rsidRPr="00F47D55">
        <w:rPr>
          <w:rFonts w:cs="Arial"/>
          <w:u w:val="single"/>
          <w:rtl/>
        </w:rPr>
        <w:t>יש שנשתטה ומעות</w:t>
      </w:r>
      <w:r>
        <w:rPr>
          <w:rFonts w:cs="Arial" w:hint="cs"/>
          <w:u w:val="single"/>
          <w:rtl/>
        </w:rPr>
        <w:t>יו</w:t>
      </w:r>
      <w:r w:rsidRPr="00F47D55">
        <w:rPr>
          <w:rFonts w:cs="Arial"/>
          <w:u w:val="single"/>
          <w:rtl/>
        </w:rPr>
        <w:t xml:space="preserve"> ביד קרובי האשה</w:t>
      </w:r>
      <w:r>
        <w:rPr>
          <w:rFonts w:cs="Arial" w:hint="cs"/>
          <w:u w:val="single"/>
          <w:rtl/>
        </w:rPr>
        <w:t xml:space="preserve"> </w:t>
      </w:r>
      <w:r>
        <w:rPr>
          <w:rFonts w:cs="Arial"/>
          <w:u w:val="single"/>
          <w:rtl/>
        </w:rPr>
        <w:t>–</w:t>
      </w:r>
      <w:r w:rsidRPr="00F47D55">
        <w:rPr>
          <w:rFonts w:cs="Arial"/>
          <w:u w:val="single"/>
          <w:rtl/>
        </w:rPr>
        <w:t xml:space="preserve"> </w:t>
      </w:r>
      <w:r>
        <w:rPr>
          <w:rFonts w:cs="Arial" w:hint="cs"/>
          <w:u w:val="single"/>
          <w:rtl/>
        </w:rPr>
        <w:t>האם ב"ד מוציאים מהם או ש</w:t>
      </w:r>
      <w:r w:rsidRPr="00F47D55">
        <w:rPr>
          <w:rFonts w:cs="Arial"/>
          <w:u w:val="single"/>
          <w:rtl/>
        </w:rPr>
        <w:t>תזון היא מן הנכסים והוא מן התמחוי</w:t>
      </w:r>
      <w:r w:rsidRPr="00F47D55">
        <w:rPr>
          <w:rFonts w:cs="Arial" w:hint="cs"/>
          <w:u w:val="single"/>
          <w:rtl/>
        </w:rPr>
        <w:t>:</w:t>
      </w:r>
    </w:p>
    <w:p w14:paraId="57DA5864" w14:textId="77777777" w:rsidR="002E5BAD" w:rsidRDefault="002E5BAD" w:rsidP="002E5BAD">
      <w:pPr>
        <w:pStyle w:val="ab"/>
        <w:numPr>
          <w:ilvl w:val="0"/>
          <w:numId w:val="156"/>
        </w:numPr>
        <w:rPr>
          <w:rFonts w:cs="Arial"/>
        </w:rPr>
      </w:pPr>
      <w:r w:rsidRPr="00F47D55">
        <w:rPr>
          <w:rFonts w:cs="Arial"/>
          <w:rtl/>
        </w:rPr>
        <w:lastRenderedPageBreak/>
        <w:t xml:space="preserve">רשב"א </w:t>
      </w:r>
      <w:r w:rsidRPr="00F47D55">
        <w:rPr>
          <w:rFonts w:cs="Arial"/>
          <w:sz w:val="16"/>
          <w:szCs w:val="16"/>
          <w:rtl/>
        </w:rPr>
        <w:t>(ח"א סי</w:t>
      </w:r>
      <w:r w:rsidRPr="00F47D55">
        <w:rPr>
          <w:rFonts w:cs="Arial" w:hint="cs"/>
          <w:sz w:val="16"/>
          <w:szCs w:val="16"/>
          <w:rtl/>
        </w:rPr>
        <w:t>'</w:t>
      </w:r>
      <w:r w:rsidRPr="00F47D55">
        <w:rPr>
          <w:rFonts w:cs="Arial"/>
          <w:sz w:val="16"/>
          <w:szCs w:val="16"/>
          <w:rtl/>
        </w:rPr>
        <w:t xml:space="preserve"> תתקפח</w:t>
      </w:r>
      <w:r w:rsidRPr="00F47D55">
        <w:rPr>
          <w:rFonts w:cs="Arial" w:hint="cs"/>
          <w:sz w:val="16"/>
          <w:szCs w:val="16"/>
          <w:rtl/>
        </w:rPr>
        <w:t>)</w:t>
      </w:r>
      <w:r w:rsidRPr="00F47D55">
        <w:rPr>
          <w:rFonts w:cs="Arial" w:hint="cs"/>
          <w:rtl/>
        </w:rPr>
        <w:t>-</w:t>
      </w:r>
      <w:r w:rsidRPr="00F47D55">
        <w:rPr>
          <w:rFonts w:cs="Arial"/>
          <w:rtl/>
        </w:rPr>
        <w:t xml:space="preserve"> איש שנשתטה והמעות ביד קרובי האשה עדיין אם נאמר תזון היא מן הנכסים והוא מן התמחוי או אם מוציאין ב"ד מידם</w:t>
      </w:r>
      <w:r w:rsidRPr="00F47D55">
        <w:rPr>
          <w:rFonts w:cs="Arial" w:hint="cs"/>
          <w:rtl/>
        </w:rPr>
        <w:t>.</w:t>
      </w:r>
      <w:r w:rsidRPr="00F47D55">
        <w:rPr>
          <w:rFonts w:cs="Arial"/>
          <w:rtl/>
        </w:rPr>
        <w:t xml:space="preserve"> </w:t>
      </w:r>
      <w:r w:rsidRPr="00F47D55">
        <w:rPr>
          <w:rFonts w:cs="Arial" w:hint="cs"/>
          <w:rtl/>
        </w:rPr>
        <w:t>תשובה-</w:t>
      </w:r>
      <w:r w:rsidRPr="00F47D55">
        <w:rPr>
          <w:rFonts w:cs="Arial"/>
          <w:rtl/>
        </w:rPr>
        <w:t xml:space="preserve"> מוציאין</w:t>
      </w:r>
      <w:r w:rsidRPr="00F47D55">
        <w:rPr>
          <w:rFonts w:cs="Arial" w:hint="cs"/>
          <w:rtl/>
        </w:rPr>
        <w:t>,</w:t>
      </w:r>
      <w:r w:rsidRPr="00F47D55">
        <w:rPr>
          <w:rFonts w:cs="Arial"/>
          <w:rtl/>
        </w:rPr>
        <w:t xml:space="preserve"> דאי אפשר לגבות היא כתובתה כל שהוא אינו יכול לגרש אלא נזונין היא ובעלה ובניהם. </w:t>
      </w:r>
    </w:p>
    <w:p w14:paraId="6E7DD31C" w14:textId="77777777" w:rsidR="002E5BAD" w:rsidRPr="00F47D55" w:rsidRDefault="002E5BAD" w:rsidP="002E5BAD">
      <w:pPr>
        <w:rPr>
          <w:rFonts w:cs="Arial"/>
          <w:u w:val="single"/>
        </w:rPr>
      </w:pPr>
      <w:r w:rsidRPr="00F47D55">
        <w:rPr>
          <w:rFonts w:cs="Arial" w:hint="cs"/>
          <w:u w:val="single"/>
          <w:rtl/>
        </w:rPr>
        <w:t>בת חולנית גדולה שדורשת מאביה שיפרנס אותה ושישיא אותה:</w:t>
      </w:r>
    </w:p>
    <w:p w14:paraId="6C18D0C1" w14:textId="77777777" w:rsidR="002E5BAD" w:rsidRPr="00F47D55" w:rsidRDefault="002E5BAD" w:rsidP="002E5BAD">
      <w:pPr>
        <w:pStyle w:val="ab"/>
        <w:numPr>
          <w:ilvl w:val="0"/>
          <w:numId w:val="156"/>
        </w:numPr>
        <w:rPr>
          <w:rFonts w:cs="Arial"/>
          <w:rtl/>
        </w:rPr>
      </w:pPr>
      <w:r w:rsidRPr="00F47D55">
        <w:rPr>
          <w:rFonts w:cs="Arial" w:hint="cs"/>
          <w:rtl/>
        </w:rPr>
        <w:t xml:space="preserve">הגמ"ר </w:t>
      </w:r>
      <w:r w:rsidRPr="00F47D55">
        <w:rPr>
          <w:rFonts w:cs="Arial" w:hint="cs"/>
          <w:sz w:val="16"/>
          <w:szCs w:val="16"/>
          <w:rtl/>
        </w:rPr>
        <w:t>(</w:t>
      </w:r>
      <w:r w:rsidRPr="00F47D55">
        <w:rPr>
          <w:rFonts w:cs="Arial"/>
          <w:sz w:val="16"/>
          <w:szCs w:val="16"/>
          <w:rtl/>
        </w:rPr>
        <w:t>קידושין סי' תקנה-תקנו)</w:t>
      </w:r>
      <w:r>
        <w:rPr>
          <w:rFonts w:cs="Arial" w:hint="cs"/>
          <w:rtl/>
        </w:rPr>
        <w:t xml:space="preserve">- </w:t>
      </w:r>
      <w:r w:rsidRPr="00F47D55">
        <w:rPr>
          <w:rFonts w:cs="Arial"/>
          <w:rtl/>
        </w:rPr>
        <w:t>הנה בת יעקב צועקת עליו שיפרנסנה כמשפט הבנות ושישאנה לראוי לה</w:t>
      </w:r>
      <w:r>
        <w:rPr>
          <w:rFonts w:cs="Arial" w:hint="cs"/>
          <w:rtl/>
        </w:rPr>
        <w:t>,</w:t>
      </w:r>
      <w:r w:rsidRPr="00F47D55">
        <w:rPr>
          <w:rFonts w:cs="Arial"/>
          <w:rtl/>
        </w:rPr>
        <w:t xml:space="preserve"> והיא חולנית</w:t>
      </w:r>
      <w:r>
        <w:rPr>
          <w:rFonts w:cs="Arial" w:hint="cs"/>
          <w:rtl/>
        </w:rPr>
        <w:t>,</w:t>
      </w:r>
      <w:r w:rsidRPr="00F47D55">
        <w:rPr>
          <w:rFonts w:cs="Arial"/>
          <w:rtl/>
        </w:rPr>
        <w:t xml:space="preserve"> וגרע מקטנה כי אפילו פתה אין לה כח לחתוך מפני חוליה</w:t>
      </w:r>
      <w:r>
        <w:rPr>
          <w:rFonts w:cs="Arial" w:hint="cs"/>
          <w:rtl/>
        </w:rPr>
        <w:t>.</w:t>
      </w:r>
      <w:r w:rsidRPr="00F47D55">
        <w:rPr>
          <w:rFonts w:cs="Arial"/>
          <w:rtl/>
        </w:rPr>
        <w:t xml:space="preserve"> ואם אינו רשאי להכניסה לביתו מפני אשתו</w:t>
      </w:r>
      <w:r>
        <w:rPr>
          <w:rFonts w:cs="Arial" w:hint="cs"/>
          <w:rtl/>
        </w:rPr>
        <w:t>,</w:t>
      </w:r>
      <w:r w:rsidRPr="00F47D55">
        <w:rPr>
          <w:rFonts w:cs="Arial"/>
          <w:rtl/>
        </w:rPr>
        <w:t xml:space="preserve"> יפרנסנה בבית אחר</w:t>
      </w:r>
      <w:r>
        <w:rPr>
          <w:rFonts w:cs="Arial" w:hint="cs"/>
          <w:rtl/>
        </w:rPr>
        <w:t>.</w:t>
      </w:r>
      <w:r w:rsidRPr="00F47D55">
        <w:rPr>
          <w:rFonts w:cs="Arial"/>
          <w:rtl/>
        </w:rPr>
        <w:t xml:space="preserve"> השיב יעקב היא מורדת נגדי</w:t>
      </w:r>
      <w:r>
        <w:rPr>
          <w:rFonts w:cs="Arial" w:hint="cs"/>
          <w:rtl/>
        </w:rPr>
        <w:t>,</w:t>
      </w:r>
      <w:r w:rsidRPr="00F47D55">
        <w:rPr>
          <w:rFonts w:cs="Arial"/>
          <w:rtl/>
        </w:rPr>
        <w:t xml:space="preserve"> ואין לי במה לפרנסה</w:t>
      </w:r>
      <w:r>
        <w:rPr>
          <w:rFonts w:cs="Arial" w:hint="cs"/>
          <w:rtl/>
        </w:rPr>
        <w:t>,</w:t>
      </w:r>
      <w:r w:rsidRPr="00F47D55">
        <w:rPr>
          <w:rFonts w:cs="Arial"/>
          <w:rtl/>
        </w:rPr>
        <w:t xml:space="preserve"> וגם תקע כפו לאשתו שלא יכניס בתו לעולם בביתו. נראה בעיני שאם הוא אמוד ויש לו במה לפרנסה כופין האב לפרנסה בצמצום אם אינה יכולה להרויח</w:t>
      </w:r>
      <w:r>
        <w:rPr>
          <w:rFonts w:cs="Arial" w:hint="cs"/>
          <w:rtl/>
        </w:rPr>
        <w:t>.</w:t>
      </w:r>
      <w:r w:rsidRPr="00F47D55">
        <w:rPr>
          <w:rFonts w:cs="Arial"/>
          <w:rtl/>
        </w:rPr>
        <w:t xml:space="preserve"> וגם יכופהו להשיאה</w:t>
      </w:r>
      <w:r>
        <w:rPr>
          <w:rFonts w:cs="Arial" w:hint="cs"/>
          <w:rtl/>
        </w:rPr>
        <w:t>.</w:t>
      </w:r>
      <w:r w:rsidRPr="00F47D55">
        <w:rPr>
          <w:rFonts w:cs="Arial"/>
          <w:rtl/>
        </w:rPr>
        <w:t xml:space="preserve"> אך על הנדן יתן כפי רצונו וכבודו ואין לכופו על כך</w:t>
      </w:r>
      <w:r>
        <w:rPr>
          <w:rFonts w:cs="Arial" w:hint="cs"/>
          <w:rtl/>
        </w:rPr>
        <w:t>,</w:t>
      </w:r>
      <w:r w:rsidRPr="00F47D55">
        <w:rPr>
          <w:rFonts w:cs="Arial"/>
          <w:rtl/>
        </w:rPr>
        <w:t xml:space="preserve"> כי לא נתקן עישור נכסים בחייו רק לאחר מותו</w:t>
      </w:r>
      <w:r>
        <w:rPr>
          <w:rFonts w:cs="Arial" w:hint="cs"/>
          <w:rtl/>
        </w:rPr>
        <w:t>,</w:t>
      </w:r>
      <w:r w:rsidRPr="00F47D55">
        <w:rPr>
          <w:rFonts w:cs="Arial"/>
          <w:rtl/>
        </w:rPr>
        <w:t xml:space="preserve"> אבל בחייו בדעתיה תליא מלתא</w:t>
      </w:r>
      <w:r>
        <w:rPr>
          <w:rFonts w:cs="Arial" w:hint="cs"/>
          <w:rtl/>
        </w:rPr>
        <w:t>,</w:t>
      </w:r>
      <w:r w:rsidRPr="00F47D55">
        <w:rPr>
          <w:rFonts w:cs="Arial"/>
          <w:rtl/>
        </w:rPr>
        <w:t xml:space="preserve"> וכל המרבה רוח חכמים נוחה הימנו</w:t>
      </w:r>
      <w:r>
        <w:rPr>
          <w:rFonts w:cs="Arial" w:hint="cs"/>
          <w:rtl/>
        </w:rPr>
        <w:t>.</w:t>
      </w:r>
      <w:r w:rsidRPr="00F47D55">
        <w:rPr>
          <w:rFonts w:cs="Arial"/>
          <w:rtl/>
        </w:rPr>
        <w:t xml:space="preserve"> והכי אמרי'</w:t>
      </w:r>
      <w:r>
        <w:rPr>
          <w:rFonts w:cs="Arial" w:hint="cs"/>
          <w:rtl/>
        </w:rPr>
        <w:t>,</w:t>
      </w:r>
      <w:r w:rsidRPr="00F47D55">
        <w:rPr>
          <w:rFonts w:cs="Arial"/>
          <w:rtl/>
        </w:rPr>
        <w:t xml:space="preserve"> מפני מה תקנו כתובת בנין דכרין</w:t>
      </w:r>
      <w:r>
        <w:rPr>
          <w:rFonts w:cs="Arial" w:hint="cs"/>
          <w:rtl/>
        </w:rPr>
        <w:t>,</w:t>
      </w:r>
      <w:r w:rsidRPr="00F47D55">
        <w:rPr>
          <w:rFonts w:cs="Arial"/>
          <w:rtl/>
        </w:rPr>
        <w:t xml:space="preserve"> כדי שיקפוץ אדם ויתן לבתו כבנו</w:t>
      </w:r>
      <w:r>
        <w:rPr>
          <w:rFonts w:cs="Arial" w:hint="cs"/>
          <w:rtl/>
        </w:rPr>
        <w:t>.</w:t>
      </w:r>
      <w:r w:rsidRPr="00F47D55">
        <w:rPr>
          <w:rFonts w:cs="Arial"/>
          <w:rtl/>
        </w:rPr>
        <w:t xml:space="preserve"> ואמר קחו לבניכם נשים ואת בנותיכם תנו לאנשים</w:t>
      </w:r>
      <w:r>
        <w:rPr>
          <w:rFonts w:cs="Arial" w:hint="cs"/>
          <w:rtl/>
        </w:rPr>
        <w:t>,</w:t>
      </w:r>
      <w:r w:rsidRPr="00F47D55">
        <w:rPr>
          <w:rFonts w:cs="Arial"/>
          <w:rtl/>
        </w:rPr>
        <w:t xml:space="preserve"> ופריך בדידיה תליא מלתא אלא דניתיב ליה מדיליה כי היכי דניקפצו עליה</w:t>
      </w:r>
      <w:r>
        <w:rPr>
          <w:rFonts w:cs="Arial" w:hint="cs"/>
          <w:rtl/>
        </w:rPr>
        <w:t>.</w:t>
      </w:r>
      <w:r w:rsidRPr="00F47D55">
        <w:rPr>
          <w:rFonts w:cs="Arial"/>
          <w:rtl/>
        </w:rPr>
        <w:t xml:space="preserve"> אבל במזונות יש לכופו או בביתו או מקום אחר</w:t>
      </w:r>
      <w:r>
        <w:rPr>
          <w:rFonts w:cs="Arial" w:hint="cs"/>
          <w:rtl/>
        </w:rPr>
        <w:t>.</w:t>
      </w:r>
      <w:r w:rsidRPr="00F47D55">
        <w:rPr>
          <w:rFonts w:cs="Arial"/>
          <w:rtl/>
        </w:rPr>
        <w:t xml:space="preserve"> ואי גברא לא אמיד אפ"ה כפינן ליה בדברים ומביישין אותו בצבור ומכריזין עליו ביומא דספרא בבי כנשתא כדי שיתבייש וידחוק עצמו כדי שלא תצא בתו לתרבות רעה</w:t>
      </w:r>
      <w:r>
        <w:rPr>
          <w:rStyle w:val="a7"/>
          <w:rFonts w:cs="Arial"/>
          <w:rtl/>
        </w:rPr>
        <w:footnoteReference w:id="1134"/>
      </w:r>
      <w:r>
        <w:rPr>
          <w:rFonts w:cs="Arial" w:hint="cs"/>
          <w:rtl/>
        </w:rPr>
        <w:t>.</w:t>
      </w:r>
    </w:p>
    <w:p w14:paraId="0F0D786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2D187E7" w14:textId="77777777" w:rsidR="002E5BAD" w:rsidRDefault="002E5BAD" w:rsidP="002E5BAD">
      <w:pPr>
        <w:rPr>
          <w:rFonts w:cs="Arial"/>
          <w:rtl/>
        </w:rPr>
      </w:pPr>
      <w:r>
        <w:rPr>
          <w:rFonts w:cs="Arial"/>
          <w:rtl/>
        </w:rPr>
        <w:t>מי שהלך למדינת הים והניח בניו כאן, מוכרים מנכסיו לפרנסה עד שיהיו בני שש</w:t>
      </w:r>
      <w:r>
        <w:rPr>
          <w:rFonts w:cs="Arial" w:hint="cs"/>
          <w:rtl/>
        </w:rPr>
        <w:t>.</w:t>
      </w:r>
      <w:r>
        <w:rPr>
          <w:rFonts w:cs="Arial"/>
          <w:rtl/>
        </w:rPr>
        <w:t xml:space="preserve"> אבל מבני שש ומעלה, אין זנין אותם מנכסיו</w:t>
      </w:r>
      <w:r>
        <w:rPr>
          <w:rStyle w:val="a7"/>
          <w:rFonts w:cs="Arial"/>
          <w:rtl/>
        </w:rPr>
        <w:footnoteReference w:id="1135"/>
      </w:r>
      <w:r>
        <w:rPr>
          <w:rFonts w:cs="Arial"/>
          <w:rtl/>
        </w:rPr>
        <w:t xml:space="preserve">. </w:t>
      </w:r>
      <w:r w:rsidRPr="00F350E1">
        <w:rPr>
          <w:rFonts w:cs="Arial"/>
          <w:sz w:val="18"/>
          <w:szCs w:val="18"/>
          <w:rtl/>
        </w:rPr>
        <w:t xml:space="preserve">הגה: וי"א היינו דוקא שלא התחיל לזונן אחר שש, אבל התחיל לזונן, ניזונין מנכסיו, דודאי ניחא ליה בהכי (מרדכי </w:t>
      </w:r>
      <w:r>
        <w:rPr>
          <w:rFonts w:cs="Arial" w:hint="cs"/>
          <w:sz w:val="18"/>
          <w:szCs w:val="18"/>
          <w:rtl/>
        </w:rPr>
        <w:t>בשם תוס'</w:t>
      </w:r>
      <w:r w:rsidRPr="00F350E1">
        <w:rPr>
          <w:rFonts w:cs="Arial"/>
          <w:sz w:val="18"/>
          <w:szCs w:val="18"/>
          <w:rtl/>
        </w:rPr>
        <w:t>). וי"א אם אמוד, זונין אותן בכל ענין, משום צדקה</w:t>
      </w:r>
      <w:r>
        <w:rPr>
          <w:rStyle w:val="a7"/>
          <w:rFonts w:cs="Arial"/>
          <w:sz w:val="18"/>
          <w:szCs w:val="18"/>
          <w:rtl/>
        </w:rPr>
        <w:footnoteReference w:id="1136"/>
      </w:r>
      <w:r w:rsidRPr="00F350E1">
        <w:rPr>
          <w:rFonts w:cs="Arial"/>
          <w:sz w:val="18"/>
          <w:szCs w:val="18"/>
          <w:rtl/>
        </w:rPr>
        <w:t>.</w:t>
      </w:r>
      <w:r>
        <w:rPr>
          <w:rFonts w:cs="Arial"/>
          <w:rtl/>
        </w:rPr>
        <w:t xml:space="preserve"> </w:t>
      </w:r>
    </w:p>
    <w:p w14:paraId="0B575308" w14:textId="77777777" w:rsidR="002E5BAD" w:rsidRDefault="002E5BAD" w:rsidP="002E5BAD">
      <w:pPr>
        <w:rPr>
          <w:rtl/>
        </w:rPr>
      </w:pPr>
    </w:p>
    <w:p w14:paraId="30191088" w14:textId="77777777" w:rsidR="002E5BAD" w:rsidRDefault="002E5BAD" w:rsidP="002E5BAD">
      <w:pPr>
        <w:pStyle w:val="2"/>
        <w:rPr>
          <w:rtl/>
        </w:rPr>
      </w:pPr>
      <w:r>
        <w:rPr>
          <w:rtl/>
        </w:rPr>
        <w:t>סעיף ג</w:t>
      </w:r>
      <w:r>
        <w:rPr>
          <w:rFonts w:hint="cs"/>
          <w:rtl/>
        </w:rPr>
        <w:t>: נשתטה ויש לו בנים.</w:t>
      </w:r>
    </w:p>
    <w:p w14:paraId="4C9BF4D7" w14:textId="77777777" w:rsidR="002E5BAD" w:rsidRPr="00F350E1" w:rsidRDefault="002E5BAD" w:rsidP="002E5BAD">
      <w:pPr>
        <w:rPr>
          <w:rtl/>
        </w:rPr>
      </w:pPr>
      <w:r>
        <w:rPr>
          <w:rFonts w:hint="cs"/>
          <w:rtl/>
        </w:rPr>
        <w:t>עיין במקורות בסעיף ב.</w:t>
      </w:r>
    </w:p>
    <w:p w14:paraId="160CC83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36A3709" w14:textId="77777777" w:rsidR="002E5BAD" w:rsidRDefault="002E5BAD" w:rsidP="002E5BAD">
      <w:pPr>
        <w:rPr>
          <w:rtl/>
        </w:rPr>
      </w:pPr>
      <w:r>
        <w:rPr>
          <w:rFonts w:cs="Arial"/>
          <w:rtl/>
        </w:rPr>
        <w:t>מי שנשתטה, מפרנסים מנכסיו בניו ובנותיו, אפילו הן יתרין על שש</w:t>
      </w:r>
      <w:r>
        <w:rPr>
          <w:rStyle w:val="a7"/>
          <w:rFonts w:cs="Arial"/>
          <w:rtl/>
        </w:rPr>
        <w:footnoteReference w:id="1137"/>
      </w:r>
      <w:r>
        <w:rPr>
          <w:rFonts w:cs="Arial"/>
          <w:rtl/>
        </w:rPr>
        <w:t xml:space="preserve">, עד שיגדלו. </w:t>
      </w:r>
    </w:p>
    <w:p w14:paraId="1CCDFF35" w14:textId="77777777" w:rsidR="002E5BAD" w:rsidRDefault="002E5BAD" w:rsidP="002E5BAD">
      <w:pPr>
        <w:rPr>
          <w:rtl/>
        </w:rPr>
      </w:pPr>
    </w:p>
    <w:p w14:paraId="25C44ACE" w14:textId="77777777" w:rsidR="002E5BAD" w:rsidRDefault="002E5BAD" w:rsidP="002E5BAD">
      <w:pPr>
        <w:pStyle w:val="2"/>
        <w:rPr>
          <w:rtl/>
        </w:rPr>
      </w:pPr>
      <w:r>
        <w:rPr>
          <w:rtl/>
        </w:rPr>
        <w:t>סעיף ד</w:t>
      </w:r>
      <w:r>
        <w:rPr>
          <w:rFonts w:hint="cs"/>
          <w:rtl/>
        </w:rPr>
        <w:t>: בא על פנויה וילדה לו ילד.</w:t>
      </w:r>
    </w:p>
    <w:p w14:paraId="76767D4D" w14:textId="77777777" w:rsidR="002E5BAD" w:rsidRPr="007918A9" w:rsidRDefault="002E5BAD" w:rsidP="002E5BAD">
      <w:pPr>
        <w:rPr>
          <w:u w:val="single"/>
          <w:rtl/>
        </w:rPr>
      </w:pPr>
      <w:r w:rsidRPr="007918A9">
        <w:rPr>
          <w:rFonts w:hint="cs"/>
          <w:u w:val="single"/>
          <w:rtl/>
        </w:rPr>
        <w:t xml:space="preserve">בא על פנויה וילדה לו ילד </w:t>
      </w:r>
      <w:r w:rsidRPr="007918A9">
        <w:rPr>
          <w:u w:val="single"/>
          <w:rtl/>
        </w:rPr>
        <w:t>–</w:t>
      </w:r>
      <w:r w:rsidRPr="007918A9">
        <w:rPr>
          <w:rFonts w:hint="cs"/>
          <w:u w:val="single"/>
          <w:rtl/>
        </w:rPr>
        <w:t xml:space="preserve"> האם צריך לפרנסו:</w:t>
      </w:r>
    </w:p>
    <w:p w14:paraId="3AB1E337" w14:textId="77777777" w:rsidR="002E5BAD" w:rsidRPr="009A250A" w:rsidRDefault="002E5BAD" w:rsidP="002E5BAD">
      <w:pPr>
        <w:pStyle w:val="ab"/>
        <w:numPr>
          <w:ilvl w:val="0"/>
          <w:numId w:val="156"/>
        </w:numPr>
      </w:pPr>
      <w:r w:rsidRPr="0042316B">
        <w:rPr>
          <w:rFonts w:cs="Arial"/>
          <w:rtl/>
        </w:rPr>
        <w:t xml:space="preserve">רא"ש </w:t>
      </w:r>
      <w:r w:rsidRPr="0042316B">
        <w:rPr>
          <w:rFonts w:cs="Arial" w:hint="cs"/>
          <w:sz w:val="16"/>
          <w:szCs w:val="16"/>
          <w:rtl/>
        </w:rPr>
        <w:t>(</w:t>
      </w:r>
      <w:r w:rsidRPr="0042316B">
        <w:rPr>
          <w:rFonts w:cs="Arial"/>
          <w:sz w:val="16"/>
          <w:szCs w:val="16"/>
          <w:rtl/>
        </w:rPr>
        <w:t>כלל יז סי</w:t>
      </w:r>
      <w:r w:rsidRPr="0042316B">
        <w:rPr>
          <w:rFonts w:cs="Arial" w:hint="cs"/>
          <w:sz w:val="16"/>
          <w:szCs w:val="16"/>
          <w:rtl/>
        </w:rPr>
        <w:t>'</w:t>
      </w:r>
      <w:r w:rsidRPr="0042316B">
        <w:rPr>
          <w:rFonts w:cs="Arial"/>
          <w:sz w:val="16"/>
          <w:szCs w:val="16"/>
          <w:rtl/>
        </w:rPr>
        <w:t xml:space="preserve"> ז</w:t>
      </w:r>
      <w:r>
        <w:rPr>
          <w:rFonts w:cs="Arial" w:hint="cs"/>
          <w:sz w:val="16"/>
          <w:szCs w:val="16"/>
          <w:rtl/>
        </w:rPr>
        <w:t>, כ"כ הב"י בשמו</w:t>
      </w:r>
      <w:r w:rsidRPr="0042316B">
        <w:rPr>
          <w:rFonts w:cs="Arial" w:hint="cs"/>
          <w:sz w:val="16"/>
          <w:szCs w:val="16"/>
          <w:rtl/>
        </w:rPr>
        <w:t>)</w:t>
      </w:r>
      <w:r w:rsidRPr="009A250A">
        <w:rPr>
          <w:rFonts w:cs="Arial"/>
          <w:rtl/>
        </w:rPr>
        <w:t xml:space="preserve"> </w:t>
      </w:r>
      <w:r>
        <w:rPr>
          <w:rFonts w:cs="Arial" w:hint="cs"/>
          <w:rtl/>
        </w:rPr>
        <w:t>ו</w:t>
      </w:r>
      <w:r w:rsidRPr="0042316B">
        <w:rPr>
          <w:rFonts w:cs="Arial"/>
          <w:rtl/>
        </w:rPr>
        <w:t xml:space="preserve">ריב"ש </w:t>
      </w:r>
      <w:r w:rsidRPr="009A250A">
        <w:rPr>
          <w:rFonts w:cs="Arial" w:hint="cs"/>
          <w:sz w:val="16"/>
          <w:szCs w:val="16"/>
          <w:rtl/>
        </w:rPr>
        <w:t>(</w:t>
      </w:r>
      <w:r w:rsidRPr="009A250A">
        <w:rPr>
          <w:rFonts w:cs="Arial"/>
          <w:sz w:val="16"/>
          <w:szCs w:val="16"/>
          <w:rtl/>
        </w:rPr>
        <w:t>סי</w:t>
      </w:r>
      <w:r w:rsidRPr="009A250A">
        <w:rPr>
          <w:rFonts w:cs="Arial" w:hint="cs"/>
          <w:sz w:val="16"/>
          <w:szCs w:val="16"/>
          <w:rtl/>
        </w:rPr>
        <w:t>'</w:t>
      </w:r>
      <w:r w:rsidRPr="009A250A">
        <w:rPr>
          <w:rFonts w:cs="Arial"/>
          <w:sz w:val="16"/>
          <w:szCs w:val="16"/>
          <w:rtl/>
        </w:rPr>
        <w:t xml:space="preserve"> מא</w:t>
      </w:r>
      <w:r w:rsidRPr="009A250A">
        <w:rPr>
          <w:rFonts w:cs="Arial" w:hint="cs"/>
          <w:sz w:val="16"/>
          <w:szCs w:val="16"/>
          <w:rtl/>
        </w:rPr>
        <w:t>)</w:t>
      </w:r>
      <w:r w:rsidRPr="0042316B">
        <w:rPr>
          <w:rFonts w:cs="Arial" w:hint="cs"/>
          <w:rtl/>
        </w:rPr>
        <w:t>-</w:t>
      </w:r>
      <w:r w:rsidRPr="0042316B">
        <w:rPr>
          <w:rFonts w:cs="Arial"/>
          <w:rtl/>
        </w:rPr>
        <w:t xml:space="preserve"> מי שבא על הפנויה וילדה ממנו בן או בת </w:t>
      </w:r>
      <w:r>
        <w:rPr>
          <w:rFonts w:cs="Arial" w:hint="cs"/>
          <w:rtl/>
        </w:rPr>
        <w:t xml:space="preserve">- </w:t>
      </w:r>
      <w:r w:rsidRPr="0042316B">
        <w:rPr>
          <w:rFonts w:cs="Arial"/>
          <w:rtl/>
        </w:rPr>
        <w:t>חייב לזונם</w:t>
      </w:r>
      <w:r>
        <w:rPr>
          <w:rFonts w:cs="Arial" w:hint="cs"/>
          <w:sz w:val="16"/>
          <w:szCs w:val="16"/>
          <w:rtl/>
        </w:rPr>
        <w:t xml:space="preserve"> (ל' הב"י)</w:t>
      </w:r>
      <w:r>
        <w:rPr>
          <w:rFonts w:cs="Arial" w:hint="cs"/>
          <w:rtl/>
        </w:rPr>
        <w:t>.</w:t>
      </w:r>
      <w:r w:rsidRPr="0042316B">
        <w:rPr>
          <w:rFonts w:cs="Arial"/>
          <w:rtl/>
        </w:rPr>
        <w:t xml:space="preserve"> </w:t>
      </w:r>
      <w:r w:rsidRPr="00D33EFE">
        <w:rPr>
          <w:rFonts w:hint="cs"/>
          <w:color w:val="E36C0A" w:themeColor="accent6" w:themeShade="BF"/>
          <w:rtl/>
        </w:rPr>
        <w:t>(וכ"פ בשו"ע)</w:t>
      </w:r>
    </w:p>
    <w:p w14:paraId="556692B7" w14:textId="77777777" w:rsidR="002E5BAD" w:rsidRPr="009A250A" w:rsidRDefault="002E5BAD" w:rsidP="002E5BAD">
      <w:pPr>
        <w:ind w:left="360"/>
        <w:rPr>
          <w:u w:val="dotted"/>
        </w:rPr>
      </w:pPr>
      <w:r w:rsidRPr="009A250A">
        <w:rPr>
          <w:rFonts w:hint="cs"/>
          <w:u w:val="dotted"/>
          <w:rtl/>
        </w:rPr>
        <w:t>ומה הדין אם אינו מודה לה שהילד ממנו:</w:t>
      </w:r>
    </w:p>
    <w:p w14:paraId="5B17593C" w14:textId="77777777" w:rsidR="002E5BAD" w:rsidRPr="00F350E1" w:rsidRDefault="002E5BAD" w:rsidP="002E5BAD">
      <w:pPr>
        <w:pStyle w:val="ab"/>
        <w:numPr>
          <w:ilvl w:val="0"/>
          <w:numId w:val="156"/>
        </w:numPr>
        <w:rPr>
          <w:rtl/>
        </w:rPr>
      </w:pPr>
      <w:r w:rsidRPr="0042316B">
        <w:rPr>
          <w:rFonts w:cs="Arial"/>
          <w:rtl/>
        </w:rPr>
        <w:lastRenderedPageBreak/>
        <w:t xml:space="preserve">ריב"ש </w:t>
      </w:r>
      <w:r w:rsidRPr="009A250A">
        <w:rPr>
          <w:rFonts w:cs="Arial" w:hint="cs"/>
          <w:sz w:val="16"/>
          <w:szCs w:val="16"/>
          <w:rtl/>
        </w:rPr>
        <w:t>(</w:t>
      </w:r>
      <w:r w:rsidRPr="009A250A">
        <w:rPr>
          <w:rFonts w:cs="Arial"/>
          <w:sz w:val="16"/>
          <w:szCs w:val="16"/>
          <w:rtl/>
        </w:rPr>
        <w:t>סי</w:t>
      </w:r>
      <w:r w:rsidRPr="009A250A">
        <w:rPr>
          <w:rFonts w:cs="Arial" w:hint="cs"/>
          <w:sz w:val="16"/>
          <w:szCs w:val="16"/>
          <w:rtl/>
        </w:rPr>
        <w:t>'</w:t>
      </w:r>
      <w:r w:rsidRPr="009A250A">
        <w:rPr>
          <w:rFonts w:cs="Arial"/>
          <w:sz w:val="16"/>
          <w:szCs w:val="16"/>
          <w:rtl/>
        </w:rPr>
        <w:t xml:space="preserve"> מא</w:t>
      </w:r>
      <w:r w:rsidRPr="009A250A">
        <w:rPr>
          <w:rFonts w:cs="Arial" w:hint="cs"/>
          <w:sz w:val="16"/>
          <w:szCs w:val="16"/>
          <w:rtl/>
        </w:rPr>
        <w:t>)</w:t>
      </w:r>
      <w:r>
        <w:rPr>
          <w:rFonts w:cs="Arial" w:hint="cs"/>
          <w:rtl/>
        </w:rPr>
        <w:t>-</w:t>
      </w:r>
      <w:r w:rsidRPr="0042316B">
        <w:rPr>
          <w:rFonts w:cs="Arial"/>
          <w:rtl/>
        </w:rPr>
        <w:t xml:space="preserve"> ומיהו כתב דהני מילי כשהוא מודה שהולד ממנו אבל אם אינו מודה בכך אפילו נודע שבא עליה והיא טוענת בריא שהיא מעוברת ממנו כיון שאינו מודה לה בזה הרי איפשר שנתעברה מאחר דכי היכי דאפקרה נפשה לגביה אפקרה נפשה לגבי אחריני</w:t>
      </w:r>
      <w:r>
        <w:rPr>
          <w:rStyle w:val="a7"/>
          <w:rFonts w:cs="Arial"/>
          <w:rtl/>
        </w:rPr>
        <w:footnoteReference w:id="1138"/>
      </w:r>
      <w:r w:rsidRPr="0042316B">
        <w:rPr>
          <w:rFonts w:cs="Arial" w:hint="cs"/>
          <w:rtl/>
        </w:rPr>
        <w:t>.</w:t>
      </w:r>
      <w:r>
        <w:rPr>
          <w:rFonts w:cs="Arial" w:hint="cs"/>
          <w:rtl/>
        </w:rPr>
        <w:t xml:space="preserve"> </w:t>
      </w:r>
      <w:r w:rsidRPr="00D33EFE">
        <w:rPr>
          <w:rFonts w:hint="cs"/>
          <w:color w:val="E36C0A" w:themeColor="accent6" w:themeShade="BF"/>
          <w:rtl/>
        </w:rPr>
        <w:t>(וכ"פ בשו"ע)</w:t>
      </w:r>
    </w:p>
    <w:p w14:paraId="29C73C1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B58603F" w14:textId="77777777" w:rsidR="002E5BAD" w:rsidRDefault="002E5BAD" w:rsidP="002E5BAD">
      <w:pPr>
        <w:rPr>
          <w:rtl/>
        </w:rPr>
      </w:pPr>
      <w:r>
        <w:rPr>
          <w:rFonts w:cs="Arial"/>
          <w:rtl/>
        </w:rPr>
        <w:t>הבא על הפנויה וילדה ממנו, אם הוא מודה שהולד ממנו, חייב לזונו.</w:t>
      </w:r>
    </w:p>
    <w:p w14:paraId="68712554" w14:textId="77777777" w:rsidR="002E5BAD" w:rsidRDefault="002E5BAD" w:rsidP="002E5BAD">
      <w:pPr>
        <w:rPr>
          <w:rtl/>
        </w:rPr>
      </w:pPr>
    </w:p>
    <w:p w14:paraId="57B1FC8D" w14:textId="77777777" w:rsidR="002E5BAD" w:rsidRDefault="002E5BAD" w:rsidP="002E5BAD">
      <w:pPr>
        <w:rPr>
          <w:rtl/>
        </w:rPr>
      </w:pPr>
    </w:p>
    <w:p w14:paraId="6232A2C9" w14:textId="77777777" w:rsidR="002E5BAD" w:rsidRDefault="002E5BAD" w:rsidP="002E5BAD">
      <w:pPr>
        <w:pStyle w:val="1"/>
        <w:rPr>
          <w:rtl/>
        </w:rPr>
        <w:sectPr w:rsidR="002E5BAD" w:rsidSect="00A347B3">
          <w:headerReference w:type="default" r:id="rId27"/>
          <w:footnotePr>
            <w:numRestart w:val="eachPage"/>
          </w:footnotePr>
          <w:pgSz w:w="11906" w:h="16838"/>
          <w:pgMar w:top="720" w:right="1134" w:bottom="720" w:left="1134" w:header="0" w:footer="0" w:gutter="0"/>
          <w:cols w:space="720"/>
          <w:bidi/>
          <w:rtlGutter/>
          <w:docGrid w:linePitch="360"/>
        </w:sectPr>
      </w:pPr>
    </w:p>
    <w:p w14:paraId="4B9BD2A2" w14:textId="77777777" w:rsidR="002E5BAD" w:rsidRDefault="002E5BAD" w:rsidP="002E5BAD">
      <w:pPr>
        <w:pStyle w:val="1"/>
        <w:rPr>
          <w:rtl/>
        </w:rPr>
      </w:pPr>
      <w:r>
        <w:rPr>
          <w:rFonts w:hint="cs"/>
          <w:rtl/>
        </w:rPr>
        <w:lastRenderedPageBreak/>
        <w:t xml:space="preserve">סימן עב: </w:t>
      </w:r>
      <w:r>
        <w:rPr>
          <w:rtl/>
        </w:rPr>
        <w:t xml:space="preserve">דין המדיר את אשתו מליהנות לו, ובו סעיף אחד. </w:t>
      </w:r>
    </w:p>
    <w:p w14:paraId="33EC73FC" w14:textId="77777777" w:rsidR="002E5BAD" w:rsidRDefault="002E5BAD" w:rsidP="002E5BAD">
      <w:pPr>
        <w:pStyle w:val="2"/>
        <w:rPr>
          <w:rtl/>
        </w:rPr>
      </w:pPr>
      <w:r>
        <w:rPr>
          <w:rtl/>
        </w:rPr>
        <w:t>סעיף א</w:t>
      </w:r>
    </w:p>
    <w:p w14:paraId="112A49F0" w14:textId="77777777" w:rsidR="002E5BAD" w:rsidRDefault="002E5BAD" w:rsidP="002E5BAD">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המדיר את אשתו מליהנות לו, עד ל' יום - יעמיד פרנס, יתר מיכן - יוציא ויתן כתובה</w:t>
      </w:r>
      <w:r>
        <w:rPr>
          <w:rFonts w:cs="Arial" w:hint="cs"/>
          <w:rtl/>
        </w:rPr>
        <w:t xml:space="preserve">...    </w:t>
      </w:r>
      <w:r w:rsidRPr="00C60E3E">
        <w:rPr>
          <w:rFonts w:cs="Arial"/>
          <w:u w:val="double"/>
          <w:rtl/>
        </w:rPr>
        <w:t>גמ'</w:t>
      </w:r>
      <w:r>
        <w:rPr>
          <w:rFonts w:cs="Arial" w:hint="cs"/>
          <w:rtl/>
        </w:rPr>
        <w:t>:</w:t>
      </w:r>
      <w:r w:rsidRPr="00C60E3E">
        <w:rPr>
          <w:rFonts w:cs="Arial"/>
          <w:rtl/>
        </w:rPr>
        <w:t xml:space="preserve"> וכיון דמשועבד לה היכי מצי מדיר לה? כל כמיניה דמפקע לה לשיעבודה? והתנן: קונם שאיני עושה לפיך - אינו צריך להפר; אלמא כיון דמשעבדא ליה - לאו כל כמינה דמפקע ליה לשיעבודיה, הכא נמי כיון דמשועבד לה - לאו כל כמיניה דמפקע לה לשיעבודה!</w:t>
      </w:r>
      <w:r>
        <w:rPr>
          <w:rFonts w:cs="Arial" w:hint="cs"/>
          <w:rtl/>
        </w:rPr>
        <w:t>...</w:t>
      </w:r>
      <w:r w:rsidRPr="00C60E3E">
        <w:rPr>
          <w:rFonts w:cs="Arial"/>
          <w:rtl/>
        </w:rPr>
        <w:t xml:space="preserve"> </w:t>
      </w:r>
      <w:r>
        <w:rPr>
          <w:rFonts w:cs="Arial" w:hint="cs"/>
          <w:sz w:val="14"/>
          <w:szCs w:val="14"/>
          <w:rtl/>
        </w:rPr>
        <w:t>(ע:)</w:t>
      </w:r>
      <w:r w:rsidRPr="00C60E3E">
        <w:rPr>
          <w:rFonts w:cs="Arial"/>
          <w:rtl/>
        </w:rPr>
        <w:t xml:space="preserve"> אלא באומר לה צאי מעשה ידיך במזונותיך. אי הכי, פרנס למה לה? בדלא ספקה. אי בדלא ספקה, הדר קושיין לדוכתיה! </w:t>
      </w:r>
      <w:r w:rsidRPr="003F6FE4">
        <w:rPr>
          <w:rFonts w:cs="Arial"/>
          <w:u w:val="single"/>
          <w:rtl/>
        </w:rPr>
        <w:t>א"ר אשי</w:t>
      </w:r>
      <w:r w:rsidRPr="00C60E3E">
        <w:rPr>
          <w:rFonts w:cs="Arial"/>
          <w:rtl/>
        </w:rPr>
        <w:t>: במספקת לדברים גדולים, ואינה מספקת לדברים קטנים. הני דברים קטנים היכי דמי? אי דרגילה בהו, הא רגילה בהו! ואי לא רגילה בהו, פרנס למה לה? לא צריכא, דרגילה בבית נשא וקא מגלגלא בהדיה, דאמרה ליה: עד האידנא דלא אדרתן גלגילנא בהדך</w:t>
      </w:r>
      <w:r>
        <w:rPr>
          <w:rStyle w:val="a7"/>
          <w:rFonts w:cs="Arial"/>
          <w:rtl/>
        </w:rPr>
        <w:footnoteReference w:id="1139"/>
      </w:r>
      <w:r w:rsidRPr="00C60E3E">
        <w:rPr>
          <w:rFonts w:cs="Arial"/>
          <w:rtl/>
        </w:rPr>
        <w:t>, השתא דאדרתן לא מצינא דאיגלגל בהדך. ומאי שנא עד ל' יום? עד ל' יום - לא שמעי בה אינשי ולא זילא בה מילתא, טפי - שמעי בה אינשי וזילא בה מילתא.</w:t>
      </w:r>
      <w:r>
        <w:rPr>
          <w:rFonts w:cs="Arial" w:hint="cs"/>
          <w:rtl/>
        </w:rPr>
        <w:t>..</w:t>
      </w:r>
      <w:r w:rsidRPr="005A5F73">
        <w:rPr>
          <w:rtl/>
        </w:rPr>
        <w:t xml:space="preserve"> </w:t>
      </w:r>
      <w:r w:rsidRPr="005A5F73">
        <w:rPr>
          <w:rFonts w:cs="Arial"/>
          <w:rtl/>
        </w:rPr>
        <w:t xml:space="preserve">עד שלשים יום - יעמיד פרנס. ופרנס לאו שליחותיה קא עביד? </w:t>
      </w:r>
      <w:r w:rsidRPr="005A5F73">
        <w:rPr>
          <w:rFonts w:cs="Arial"/>
          <w:u w:val="single"/>
          <w:rtl/>
        </w:rPr>
        <w:t>אמר רב הונא</w:t>
      </w:r>
      <w:r w:rsidRPr="005A5F73">
        <w:rPr>
          <w:rFonts w:cs="Arial"/>
          <w:rtl/>
        </w:rPr>
        <w:t>: באומר כל הזן אינו מפסיד</w:t>
      </w:r>
      <w:r>
        <w:rPr>
          <w:rStyle w:val="a7"/>
          <w:rFonts w:cs="Arial"/>
          <w:rtl/>
        </w:rPr>
        <w:footnoteReference w:id="1140"/>
      </w:r>
      <w:r w:rsidRPr="005A5F73">
        <w:rPr>
          <w:rFonts w:cs="Arial"/>
          <w:rtl/>
        </w:rPr>
        <w:t xml:space="preserve">. וכי אמר הכי לאו שליחותיה קעביד? והתנן: מי שהיה מושלך בבור, ואמר כל השומע קולו יכתוב גט לאשתו - הרי אלו יכתבו ויתנו! הכי השתא, התם קאמר יכתוב, הכא מי קאמר יזון? כל הזן קאמר. </w:t>
      </w:r>
      <w:r w:rsidRPr="005A5F73">
        <w:rPr>
          <w:rFonts w:cs="Arial"/>
          <w:u w:val="single"/>
          <w:rtl/>
        </w:rPr>
        <w:t>והא אמר ר' אמי</w:t>
      </w:r>
      <w:r w:rsidRPr="005A5F73">
        <w:rPr>
          <w:rFonts w:cs="Arial"/>
          <w:rtl/>
        </w:rPr>
        <w:t xml:space="preserve">: בדליקה התירו לומר כל המכבה אינו מפסיד, בדליקה למעוטי מאי? לאו למעוטי כי האי גוונא! לא, למעוטי שאר איסורים דשבת. </w:t>
      </w:r>
      <w:r w:rsidRPr="005A5F73">
        <w:rPr>
          <w:rFonts w:cs="Arial"/>
          <w:u w:val="single"/>
          <w:rtl/>
        </w:rPr>
        <w:t>מתיב רבה</w:t>
      </w:r>
      <w:r w:rsidRPr="005A5F73">
        <w:rPr>
          <w:rFonts w:cs="Arial"/>
          <w:rtl/>
        </w:rPr>
        <w:t>: המודר הנאה מחבירו ואין לו מה יאכל, ילך אצל חנוני הרגיל אצלו ויאמר לו איש פלוני מודר הנאה ממני ואיני יודע מה אעשה לו, הוא נותן לו ובא ונוטל מזה; הכי הוא דשרי, אבל כל הזן אינו מפסיד לא! לא מיבעיא קאמר, לא מיבעיא כל הזן אינו מפסיד דלעלמא קאמר, אבל האי כיון דרגיל אצלו וקאזיל קאמר ליה, כמאן דאמר ליה זיל הב ליה את דמי, קמ"ל.</w:t>
      </w:r>
      <w:r>
        <w:rPr>
          <w:rFonts w:cs="Arial" w:hint="cs"/>
          <w:rtl/>
        </w:rPr>
        <w:t xml:space="preserve">.. </w:t>
      </w:r>
      <w:r>
        <w:rPr>
          <w:rFonts w:cs="Arial" w:hint="cs"/>
          <w:sz w:val="14"/>
          <w:szCs w:val="14"/>
          <w:rtl/>
        </w:rPr>
        <w:t>(עא.)</w:t>
      </w:r>
      <w:r>
        <w:rPr>
          <w:rFonts w:cs="Arial" w:hint="cs"/>
          <w:rtl/>
        </w:rPr>
        <w:t xml:space="preserve"> </w:t>
      </w:r>
      <w:r w:rsidRPr="00650052">
        <w:rPr>
          <w:rFonts w:cs="Arial"/>
          <w:u w:val="single"/>
          <w:rtl/>
        </w:rPr>
        <w:t>אמר רב</w:t>
      </w:r>
      <w:r w:rsidRPr="00650052">
        <w:rPr>
          <w:rFonts w:cs="Arial"/>
          <w:rtl/>
        </w:rPr>
        <w:t>: לא שנו אלא במפרש</w:t>
      </w:r>
      <w:r>
        <w:rPr>
          <w:rStyle w:val="a7"/>
          <w:rFonts w:cs="Arial"/>
          <w:rtl/>
        </w:rPr>
        <w:footnoteReference w:id="1141"/>
      </w:r>
      <w:r w:rsidRPr="00650052">
        <w:rPr>
          <w:rFonts w:cs="Arial"/>
          <w:rtl/>
        </w:rPr>
        <w:t>, אבל בסתם - יוציא לאלתר ויתן כתובה</w:t>
      </w:r>
      <w:r>
        <w:rPr>
          <w:rFonts w:cs="Arial" w:hint="cs"/>
          <w:rtl/>
        </w:rPr>
        <w:t>.</w:t>
      </w:r>
      <w:r w:rsidRPr="00650052">
        <w:rPr>
          <w:rFonts w:cs="Arial"/>
          <w:rtl/>
        </w:rPr>
        <w:t xml:space="preserve"> </w:t>
      </w:r>
      <w:r w:rsidRPr="00650052">
        <w:rPr>
          <w:rFonts w:cs="Arial"/>
          <w:u w:val="single"/>
          <w:rtl/>
        </w:rPr>
        <w:t>ושמואל אמר</w:t>
      </w:r>
      <w:r w:rsidRPr="00650052">
        <w:rPr>
          <w:rFonts w:cs="Arial"/>
          <w:rtl/>
        </w:rPr>
        <w:t>: אפילו בסתם - לא יוציא, שמא ימצא פתח לנדרו</w:t>
      </w:r>
      <w:r>
        <w:rPr>
          <w:rStyle w:val="a7"/>
          <w:rFonts w:cs="Arial"/>
          <w:rtl/>
        </w:rPr>
        <w:footnoteReference w:id="1142"/>
      </w:r>
      <w:r w:rsidRPr="00650052">
        <w:rPr>
          <w:rFonts w:cs="Arial"/>
          <w:rtl/>
        </w:rPr>
        <w:t>.</w:t>
      </w:r>
    </w:p>
    <w:p w14:paraId="1E63494B" w14:textId="77777777" w:rsidR="002E5BAD" w:rsidRPr="004720D1" w:rsidRDefault="002E5BAD" w:rsidP="002E5BAD">
      <w:pPr>
        <w:rPr>
          <w:b/>
          <w:bCs/>
          <w:u w:val="single"/>
          <w:rtl/>
        </w:rPr>
      </w:pPr>
      <w:r w:rsidRPr="004720D1">
        <w:rPr>
          <w:rFonts w:cs="Arial"/>
          <w:u w:val="single"/>
          <w:rtl/>
        </w:rPr>
        <w:t>המדיר את אשתו מליהנות ממנו</w:t>
      </w:r>
      <w:r w:rsidRPr="004720D1">
        <w:rPr>
          <w:rFonts w:cs="Arial" w:hint="cs"/>
          <w:u w:val="single"/>
          <w:rtl/>
        </w:rPr>
        <w:t xml:space="preserve"> </w:t>
      </w:r>
      <w:r w:rsidRPr="004720D1">
        <w:rPr>
          <w:rFonts w:cs="Arial"/>
          <w:u w:val="single"/>
          <w:rtl/>
        </w:rPr>
        <w:t>–</w:t>
      </w:r>
      <w:r w:rsidRPr="004720D1">
        <w:rPr>
          <w:rFonts w:cs="Arial" w:hint="cs"/>
          <w:u w:val="single"/>
          <w:rtl/>
        </w:rPr>
        <w:t xml:space="preserve"> האם הנדר חל:</w:t>
      </w:r>
    </w:p>
    <w:p w14:paraId="61FF7233" w14:textId="77777777" w:rsidR="002E5BAD" w:rsidRDefault="002E5BAD" w:rsidP="002E5BAD">
      <w:pPr>
        <w:pStyle w:val="ab"/>
        <w:numPr>
          <w:ilvl w:val="0"/>
          <w:numId w:val="156"/>
        </w:numPr>
        <w:rPr>
          <w:rFonts w:cs="Arial"/>
        </w:rPr>
      </w:pPr>
      <w:r>
        <w:rPr>
          <w:rFonts w:cs="Arial" w:hint="cs"/>
          <w:rtl/>
        </w:rPr>
        <w:t xml:space="preserve">טור- </w:t>
      </w:r>
      <w:r w:rsidRPr="00474B1B">
        <w:rPr>
          <w:rFonts w:cs="Arial"/>
          <w:rtl/>
        </w:rPr>
        <w:t>המדיר את אשתו מליהנות ממנו אין הנדר חל להפקיע מזונותיה</w:t>
      </w:r>
      <w:r>
        <w:rPr>
          <w:rFonts w:cs="Arial" w:hint="cs"/>
          <w:rtl/>
        </w:rPr>
        <w:t>,</w:t>
      </w:r>
      <w:r w:rsidRPr="00474B1B">
        <w:rPr>
          <w:rFonts w:cs="Arial"/>
          <w:rtl/>
        </w:rPr>
        <w:t xml:space="preserve"> שהרי הוא משועבד לה שאינו יכול להפקיעם</w:t>
      </w:r>
      <w:r>
        <w:rPr>
          <w:rFonts w:cs="Arial" w:hint="cs"/>
          <w:rtl/>
        </w:rPr>
        <w:t>.</w:t>
      </w:r>
      <w:r w:rsidRPr="00474B1B">
        <w:rPr>
          <w:rFonts w:cs="Arial"/>
          <w:rtl/>
        </w:rPr>
        <w:t xml:space="preserve"> ואם אמר לה צאי מעשה ידיך למזונותיך</w:t>
      </w:r>
      <w:r>
        <w:rPr>
          <w:rFonts w:cs="Arial" w:hint="cs"/>
          <w:rtl/>
        </w:rPr>
        <w:t>,</w:t>
      </w:r>
      <w:r w:rsidRPr="00474B1B">
        <w:rPr>
          <w:rFonts w:cs="Arial"/>
          <w:rtl/>
        </w:rPr>
        <w:t xml:space="preserve"> והיא מספקת לדברים גדולים ולא לדברים קטנים ואותם הדברים קטנים נוהגין בהם בני אביה מפני שהוא עשיר אבל שאר משפחתה שיש להם עושר כמו שיש לבעלה אין נוהגין בהן</w:t>
      </w:r>
      <w:r>
        <w:rPr>
          <w:rFonts w:cs="Arial" w:hint="cs"/>
          <w:rtl/>
        </w:rPr>
        <w:t xml:space="preserve"> -</w:t>
      </w:r>
      <w:r w:rsidRPr="00474B1B">
        <w:rPr>
          <w:rFonts w:cs="Arial"/>
          <w:rtl/>
        </w:rPr>
        <w:t xml:space="preserve"> אז חל הנדר שהרי אינו חייב לה באלו דברים הקטנים כל זמן שהיא עמו</w:t>
      </w:r>
      <w:r>
        <w:rPr>
          <w:rFonts w:cs="Arial" w:hint="cs"/>
          <w:rtl/>
        </w:rPr>
        <w:t>.</w:t>
      </w:r>
      <w:r w:rsidRPr="00474B1B">
        <w:rPr>
          <w:rFonts w:cs="Arial"/>
          <w:rtl/>
        </w:rPr>
        <w:t xml:space="preserve"> אבל משהדירה ואינה עוד עמו</w:t>
      </w:r>
      <w:r>
        <w:rPr>
          <w:rFonts w:cs="Arial" w:hint="cs"/>
          <w:rtl/>
        </w:rPr>
        <w:t>,</w:t>
      </w:r>
      <w:r w:rsidRPr="00474B1B">
        <w:rPr>
          <w:rFonts w:cs="Arial"/>
          <w:rtl/>
        </w:rPr>
        <w:t xml:space="preserve"> צריך להנהיגה בכבוד בית אביה אף באותן הדברים הקטנים</w:t>
      </w:r>
      <w:r>
        <w:rPr>
          <w:rFonts w:cs="Arial" w:hint="cs"/>
          <w:rtl/>
        </w:rPr>
        <w:t>.</w:t>
      </w:r>
      <w:r w:rsidRPr="00474B1B">
        <w:rPr>
          <w:rFonts w:cs="Arial"/>
          <w:rtl/>
        </w:rPr>
        <w:t xml:space="preserve"> לפיכך אם הדירה עד ל' יום יפרנסנה באלו הדברים הקטנים ע"י פרנס שיאמר לו כל הזן אינו מפסיד אבל לא יאמר לו להדיא </w:t>
      </w:r>
      <w:r>
        <w:rPr>
          <w:rFonts w:cs="Arial" w:hint="cs"/>
          <w:rtl/>
        </w:rPr>
        <w:t>'</w:t>
      </w:r>
      <w:r w:rsidRPr="00474B1B">
        <w:rPr>
          <w:rFonts w:cs="Arial"/>
          <w:rtl/>
        </w:rPr>
        <w:t>לך ותזון אותה</w:t>
      </w:r>
      <w:r>
        <w:rPr>
          <w:rFonts w:cs="Arial" w:hint="cs"/>
          <w:rtl/>
        </w:rPr>
        <w:t>'</w:t>
      </w:r>
      <w:r w:rsidRPr="00474B1B">
        <w:rPr>
          <w:rFonts w:cs="Arial"/>
          <w:rtl/>
        </w:rPr>
        <w:t xml:space="preserve"> דא"כ הוה ליה שלוחו</w:t>
      </w:r>
      <w:r>
        <w:rPr>
          <w:rFonts w:cs="Arial" w:hint="cs"/>
          <w:rtl/>
        </w:rPr>
        <w:t>.</w:t>
      </w:r>
      <w:r w:rsidRPr="00474B1B">
        <w:rPr>
          <w:rFonts w:cs="Arial"/>
          <w:rtl/>
        </w:rPr>
        <w:t xml:space="preserve"> וכן אם הדירה סתם או זמן רב</w:t>
      </w:r>
      <w:r>
        <w:rPr>
          <w:rFonts w:cs="Arial" w:hint="cs"/>
          <w:rtl/>
        </w:rPr>
        <w:t>,</w:t>
      </w:r>
      <w:r w:rsidRPr="00474B1B">
        <w:rPr>
          <w:rFonts w:cs="Arial"/>
          <w:rtl/>
        </w:rPr>
        <w:t xml:space="preserve"> יפרנסנה ע"י פרנס ל' יום</w:t>
      </w:r>
      <w:r>
        <w:rPr>
          <w:rFonts w:cs="Arial" w:hint="cs"/>
          <w:rtl/>
        </w:rPr>
        <w:t>,</w:t>
      </w:r>
      <w:r w:rsidRPr="00474B1B">
        <w:rPr>
          <w:rFonts w:cs="Arial"/>
          <w:rtl/>
        </w:rPr>
        <w:t xml:space="preserve"> דשמא בתוך כך יתיר נדרו</w:t>
      </w:r>
      <w:r>
        <w:rPr>
          <w:rFonts w:cs="Arial" w:hint="cs"/>
          <w:rtl/>
        </w:rPr>
        <w:t>.</w:t>
      </w:r>
      <w:r w:rsidRPr="00474B1B">
        <w:rPr>
          <w:rFonts w:cs="Arial"/>
          <w:rtl/>
        </w:rPr>
        <w:t xml:space="preserve"> אחר ל' יום</w:t>
      </w:r>
      <w:r>
        <w:rPr>
          <w:rFonts w:cs="Arial" w:hint="cs"/>
          <w:rtl/>
        </w:rPr>
        <w:t>,</w:t>
      </w:r>
      <w:r w:rsidRPr="00474B1B">
        <w:rPr>
          <w:rFonts w:cs="Arial"/>
          <w:rtl/>
        </w:rPr>
        <w:t xml:space="preserve"> יוציא ויתן כתובה</w:t>
      </w:r>
      <w:r>
        <w:rPr>
          <w:rFonts w:cs="Arial" w:hint="cs"/>
          <w:rtl/>
        </w:rPr>
        <w:t>.</w:t>
      </w:r>
      <w:r w:rsidRPr="00474B1B">
        <w:rPr>
          <w:rFonts w:cs="Arial"/>
          <w:rtl/>
        </w:rPr>
        <w:t xml:space="preserve"> </w:t>
      </w:r>
    </w:p>
    <w:p w14:paraId="1FCCF1F6" w14:textId="77777777" w:rsidR="002E5BAD" w:rsidRPr="00253F29" w:rsidRDefault="002E5BAD" w:rsidP="002E5BAD">
      <w:pPr>
        <w:pStyle w:val="ab"/>
        <w:numPr>
          <w:ilvl w:val="0"/>
          <w:numId w:val="156"/>
        </w:numPr>
        <w:rPr>
          <w:rFonts w:cs="Arial"/>
        </w:rPr>
      </w:pPr>
      <w:r w:rsidRPr="004720D1">
        <w:rPr>
          <w:rFonts w:cs="Arial"/>
          <w:rtl/>
        </w:rPr>
        <w:t xml:space="preserve">רמב"ם </w:t>
      </w:r>
      <w:r w:rsidRPr="00950B7C">
        <w:rPr>
          <w:rFonts w:cs="Arial" w:hint="cs"/>
          <w:sz w:val="16"/>
          <w:szCs w:val="16"/>
          <w:rtl/>
        </w:rPr>
        <w:t>(</w:t>
      </w:r>
      <w:r w:rsidRPr="00950B7C">
        <w:rPr>
          <w:rFonts w:cs="Arial"/>
          <w:sz w:val="16"/>
          <w:szCs w:val="16"/>
          <w:rtl/>
        </w:rPr>
        <w:t xml:space="preserve">פי"ב </w:t>
      </w:r>
      <w:r w:rsidRPr="00950B7C">
        <w:rPr>
          <w:rFonts w:cs="Arial" w:hint="cs"/>
          <w:sz w:val="16"/>
          <w:szCs w:val="16"/>
          <w:rtl/>
        </w:rPr>
        <w:t>מ</w:t>
      </w:r>
      <w:r w:rsidRPr="00950B7C">
        <w:rPr>
          <w:rFonts w:cs="Arial"/>
          <w:sz w:val="16"/>
          <w:szCs w:val="16"/>
          <w:rtl/>
        </w:rPr>
        <w:t>אישות הכ"ג)</w:t>
      </w:r>
      <w:r>
        <w:rPr>
          <w:rFonts w:cs="Arial" w:hint="cs"/>
          <w:rtl/>
        </w:rPr>
        <w:t>-</w:t>
      </w:r>
      <w:r w:rsidRPr="004720D1">
        <w:rPr>
          <w:rFonts w:cs="Arial"/>
          <w:rtl/>
        </w:rPr>
        <w:t xml:space="preserve"> </w:t>
      </w:r>
      <w:r w:rsidRPr="0000292E">
        <w:rPr>
          <w:rFonts w:cs="Arial"/>
          <w:rtl/>
        </w:rPr>
        <w:t>המדיר את אשתו מליהנות לו בין שפירש עד זמן פלוני בין שלא פירש אלא סתם ממתינין לו שלשים יום, אם תמו ימי נדרו או שלא תמו והתיר נדרו הרי זה מוטב ואם לאו יוציא ויתן כתובה, ובאותן השלשים יום תהיה היא עושה ואוכלת ויהיה אחד מחביריו מפרנס אותה דברים שהיא צריכה להן יתר על מעשה ידיה אם אין מעשה ידיה מספיקין לכל</w:t>
      </w:r>
      <w:r>
        <w:rPr>
          <w:rStyle w:val="a7"/>
          <w:rFonts w:cs="Arial"/>
          <w:rtl/>
        </w:rPr>
        <w:footnoteReference w:id="1143"/>
      </w:r>
      <w:r w:rsidRPr="0000292E">
        <w:rPr>
          <w:rFonts w:cs="Arial"/>
          <w:rtl/>
        </w:rPr>
        <w:t xml:space="preserve">. </w:t>
      </w:r>
    </w:p>
    <w:p w14:paraId="146B1F45" w14:textId="77777777" w:rsidR="002E5BAD" w:rsidRPr="00D213E4" w:rsidRDefault="002E5BAD" w:rsidP="002E5BAD">
      <w:pPr>
        <w:ind w:left="360"/>
        <w:rPr>
          <w:rFonts w:cs="Arial"/>
          <w:u w:val="dotted"/>
        </w:rPr>
      </w:pPr>
      <w:r w:rsidRPr="00D213E4">
        <w:rPr>
          <w:rFonts w:cs="Arial" w:hint="cs"/>
          <w:u w:val="dotted"/>
          <w:rtl/>
        </w:rPr>
        <w:lastRenderedPageBreak/>
        <w:t xml:space="preserve">במקרה שצריך להוציא ולתת כתובה </w:t>
      </w:r>
      <w:r w:rsidRPr="00D213E4">
        <w:rPr>
          <w:rFonts w:cs="Arial"/>
          <w:u w:val="dotted"/>
          <w:rtl/>
        </w:rPr>
        <w:t>–</w:t>
      </w:r>
      <w:r w:rsidRPr="00D213E4">
        <w:rPr>
          <w:rFonts w:cs="Arial" w:hint="cs"/>
          <w:u w:val="dotted"/>
          <w:rtl/>
        </w:rPr>
        <w:t xml:space="preserve"> האם כופין אותו </w:t>
      </w:r>
      <w:r>
        <w:rPr>
          <w:rFonts w:cs="Arial" w:hint="cs"/>
          <w:u w:val="dotted"/>
          <w:rtl/>
        </w:rPr>
        <w:t>ל</w:t>
      </w:r>
      <w:r w:rsidRPr="00D213E4">
        <w:rPr>
          <w:rFonts w:cs="Arial" w:hint="cs"/>
          <w:u w:val="dotted"/>
          <w:rtl/>
        </w:rPr>
        <w:t>כך:</w:t>
      </w:r>
    </w:p>
    <w:p w14:paraId="6C9B56AE" w14:textId="77777777" w:rsidR="002E5BAD" w:rsidRDefault="002E5BAD" w:rsidP="002E5BAD">
      <w:pPr>
        <w:pStyle w:val="ab"/>
        <w:numPr>
          <w:ilvl w:val="0"/>
          <w:numId w:val="156"/>
        </w:numPr>
        <w:rPr>
          <w:rFonts w:cs="Arial"/>
        </w:rPr>
      </w:pPr>
      <w:r w:rsidRPr="00D213E4">
        <w:rPr>
          <w:rFonts w:cs="Arial"/>
          <w:rtl/>
        </w:rPr>
        <w:t xml:space="preserve">ר"י </w:t>
      </w:r>
      <w:r>
        <w:rPr>
          <w:rFonts w:cs="Arial" w:hint="cs"/>
          <w:sz w:val="16"/>
          <w:szCs w:val="16"/>
          <w:rtl/>
        </w:rPr>
        <w:t>(כ"כ התוס' בשמו [ע. ד"ה יוציא ויתן כתובה])</w:t>
      </w:r>
      <w:r>
        <w:rPr>
          <w:rFonts w:cs="Arial" w:hint="cs"/>
          <w:rtl/>
        </w:rPr>
        <w:t xml:space="preserve"> ותוס'</w:t>
      </w:r>
      <w:r>
        <w:rPr>
          <w:rFonts w:cs="Arial" w:hint="cs"/>
          <w:sz w:val="16"/>
          <w:szCs w:val="16"/>
          <w:rtl/>
        </w:rPr>
        <w:t xml:space="preserve"> (שם)</w:t>
      </w:r>
      <w:r>
        <w:rPr>
          <w:rFonts w:cs="Arial" w:hint="cs"/>
          <w:rtl/>
        </w:rPr>
        <w:t xml:space="preserve">- </w:t>
      </w:r>
      <w:r w:rsidRPr="00D213E4">
        <w:rPr>
          <w:rFonts w:cs="Arial"/>
          <w:rtl/>
        </w:rPr>
        <w:t>בכל הנך דקתני במתני' יוציא היינו שכופין אותו</w:t>
      </w:r>
      <w:r>
        <w:rPr>
          <w:rFonts w:cs="Arial" w:hint="cs"/>
          <w:rtl/>
        </w:rPr>
        <w:t>,</w:t>
      </w:r>
      <w:r w:rsidRPr="00D213E4">
        <w:rPr>
          <w:rFonts w:cs="Arial"/>
          <w:rtl/>
        </w:rPr>
        <w:t xml:space="preserve"> דכיון דשלא כדין עביד כופין אותו להוציא</w:t>
      </w:r>
      <w:r>
        <w:rPr>
          <w:rStyle w:val="a7"/>
          <w:rFonts w:cs="Arial"/>
          <w:rtl/>
        </w:rPr>
        <w:footnoteReference w:id="1144"/>
      </w:r>
      <w:r>
        <w:rPr>
          <w:rFonts w:cs="Arial" w:hint="cs"/>
          <w:sz w:val="16"/>
          <w:szCs w:val="16"/>
          <w:rtl/>
        </w:rPr>
        <w:t xml:space="preserve"> (ל' התוס' בשם ר"י)</w:t>
      </w:r>
      <w:r>
        <w:rPr>
          <w:rFonts w:cs="Arial" w:hint="cs"/>
          <w:rtl/>
        </w:rPr>
        <w:t>.</w:t>
      </w:r>
      <w:r w:rsidRPr="00D213E4">
        <w:rPr>
          <w:rFonts w:cs="Arial"/>
          <w:rtl/>
        </w:rPr>
        <w:t xml:space="preserve"> </w:t>
      </w:r>
    </w:p>
    <w:p w14:paraId="1E594F64" w14:textId="77777777" w:rsidR="002E5BAD" w:rsidRPr="004720D1" w:rsidRDefault="002E5BAD" w:rsidP="002E5BAD">
      <w:pPr>
        <w:pStyle w:val="ab"/>
        <w:numPr>
          <w:ilvl w:val="0"/>
          <w:numId w:val="156"/>
        </w:numPr>
        <w:rPr>
          <w:rFonts w:cs="Arial"/>
        </w:rPr>
      </w:pPr>
      <w:r>
        <w:rPr>
          <w:rFonts w:cs="Arial" w:hint="cs"/>
          <w:rtl/>
        </w:rPr>
        <w:t xml:space="preserve">ר"ח </w:t>
      </w:r>
      <w:r>
        <w:rPr>
          <w:rFonts w:cs="Arial" w:hint="cs"/>
          <w:sz w:val="16"/>
          <w:szCs w:val="16"/>
          <w:rtl/>
        </w:rPr>
        <w:t>(כ"כ התוס' בשמו [שם])</w:t>
      </w:r>
      <w:r>
        <w:rPr>
          <w:rFonts w:cs="Arial" w:hint="cs"/>
          <w:rtl/>
        </w:rPr>
        <w:t xml:space="preserve"> ורא"ש</w:t>
      </w:r>
      <w:r>
        <w:rPr>
          <w:rFonts w:cs="Arial" w:hint="cs"/>
          <w:sz w:val="16"/>
          <w:szCs w:val="16"/>
          <w:rtl/>
        </w:rPr>
        <w:t xml:space="preserve"> (</w:t>
      </w:r>
      <w:r w:rsidRPr="004720D1">
        <w:rPr>
          <w:rFonts w:cs="Arial"/>
          <w:sz w:val="16"/>
          <w:szCs w:val="16"/>
          <w:rtl/>
        </w:rPr>
        <w:t>פ</w:t>
      </w:r>
      <w:r w:rsidRPr="004720D1">
        <w:rPr>
          <w:rFonts w:cs="Arial" w:hint="cs"/>
          <w:sz w:val="16"/>
          <w:szCs w:val="16"/>
          <w:rtl/>
        </w:rPr>
        <w:t>'</w:t>
      </w:r>
      <w:r w:rsidRPr="004720D1">
        <w:rPr>
          <w:rFonts w:cs="Arial"/>
          <w:sz w:val="16"/>
          <w:szCs w:val="16"/>
          <w:rtl/>
        </w:rPr>
        <w:t xml:space="preserve"> הבא על יבמתו סי' יא</w:t>
      </w:r>
      <w:r>
        <w:rPr>
          <w:rFonts w:cs="Arial" w:hint="cs"/>
          <w:sz w:val="16"/>
          <w:szCs w:val="16"/>
          <w:rtl/>
        </w:rPr>
        <w:t>, וכ"כ הטור בשמו)</w:t>
      </w:r>
      <w:r>
        <w:rPr>
          <w:rFonts w:cs="Arial" w:hint="cs"/>
          <w:rtl/>
        </w:rPr>
        <w:t>-</w:t>
      </w:r>
      <w:r w:rsidRPr="00D213E4">
        <w:rPr>
          <w:rFonts w:cs="Arial"/>
          <w:rtl/>
        </w:rPr>
        <w:t xml:space="preserve"> כל הנך יוציא דמתניתין אין כופין</w:t>
      </w:r>
      <w:r>
        <w:rPr>
          <w:rFonts w:cs="Arial" w:hint="cs"/>
          <w:rtl/>
        </w:rPr>
        <w:t>,</w:t>
      </w:r>
      <w:r w:rsidRPr="00D213E4">
        <w:rPr>
          <w:rFonts w:cs="Arial"/>
          <w:rtl/>
        </w:rPr>
        <w:t xml:space="preserve"> </w:t>
      </w:r>
      <w:r>
        <w:rPr>
          <w:rFonts w:cs="Arial" w:hint="cs"/>
          <w:rtl/>
        </w:rPr>
        <w:t>דכך משמע ב</w:t>
      </w:r>
      <w:r w:rsidRPr="00D213E4">
        <w:rPr>
          <w:rFonts w:cs="Arial"/>
          <w:rtl/>
        </w:rPr>
        <w:t>ירושלמי</w:t>
      </w:r>
      <w:r>
        <w:rPr>
          <w:rStyle w:val="a7"/>
          <w:rFonts w:cs="Arial"/>
          <w:rtl/>
        </w:rPr>
        <w:footnoteReference w:id="1145"/>
      </w:r>
      <w:r>
        <w:rPr>
          <w:rFonts w:cs="Arial" w:hint="cs"/>
          <w:sz w:val="16"/>
          <w:szCs w:val="16"/>
          <w:rtl/>
        </w:rPr>
        <w:t xml:space="preserve"> (כתובות פי"א ה"ז)</w:t>
      </w:r>
      <w:r>
        <w:rPr>
          <w:rFonts w:cs="Arial" w:hint="cs"/>
          <w:rtl/>
        </w:rPr>
        <w:t xml:space="preserve"> </w:t>
      </w:r>
      <w:r w:rsidRPr="00D213E4">
        <w:rPr>
          <w:rFonts w:cs="Arial"/>
          <w:rtl/>
        </w:rPr>
        <w:t>דאין כופין אלא היכא שמפרש בהדיא כופין</w:t>
      </w:r>
      <w:r>
        <w:rPr>
          <w:rFonts w:cs="Arial" w:hint="cs"/>
          <w:rtl/>
        </w:rPr>
        <w:t>,</w:t>
      </w:r>
      <w:r w:rsidRPr="00D213E4">
        <w:rPr>
          <w:rFonts w:cs="Arial"/>
          <w:rtl/>
        </w:rPr>
        <w:t xml:space="preserve"> אבל היכא דאמור רבנן יוציא אומרים לו כבר חייבוך חכמים להוציא ואם לא תוציא מותר לקרותך עבריינא</w:t>
      </w:r>
      <w:r>
        <w:rPr>
          <w:rFonts w:cs="Arial" w:hint="cs"/>
          <w:rtl/>
        </w:rPr>
        <w:t>,</w:t>
      </w:r>
      <w:r w:rsidRPr="00D213E4">
        <w:rPr>
          <w:rFonts w:cs="Arial"/>
          <w:rtl/>
        </w:rPr>
        <w:t xml:space="preserve"> אבל לכפותו לא</w:t>
      </w:r>
      <w:r>
        <w:rPr>
          <w:rFonts w:cs="Arial" w:hint="cs"/>
          <w:sz w:val="16"/>
          <w:szCs w:val="16"/>
          <w:rtl/>
        </w:rPr>
        <w:t xml:space="preserve"> (ל' התוס' בשם ר"ח)</w:t>
      </w:r>
      <w:r>
        <w:rPr>
          <w:rStyle w:val="a7"/>
          <w:rFonts w:cs="Arial"/>
          <w:rtl/>
        </w:rPr>
        <w:footnoteReference w:id="1146"/>
      </w:r>
      <w:r>
        <w:rPr>
          <w:rFonts w:cs="Arial" w:hint="cs"/>
          <w:rtl/>
        </w:rPr>
        <w:t>.</w:t>
      </w:r>
      <w:r w:rsidRPr="00D213E4">
        <w:rPr>
          <w:rFonts w:cs="Arial"/>
          <w:rtl/>
        </w:rPr>
        <w:t xml:space="preserve"> </w:t>
      </w:r>
    </w:p>
    <w:p w14:paraId="634784AB" w14:textId="77777777" w:rsidR="002E5BAD" w:rsidRPr="00253F29" w:rsidRDefault="002E5BAD" w:rsidP="002E5BAD">
      <w:pPr>
        <w:rPr>
          <w:rFonts w:cs="Arial"/>
          <w:u w:val="single"/>
        </w:rPr>
      </w:pPr>
      <w:r w:rsidRPr="00253F29">
        <w:rPr>
          <w:rFonts w:cs="Arial" w:hint="cs"/>
          <w:u w:val="single"/>
          <w:rtl/>
        </w:rPr>
        <w:t>המדיר את אשתו מתשמיש:</w:t>
      </w:r>
    </w:p>
    <w:p w14:paraId="49B9900D" w14:textId="77777777" w:rsidR="002E5BAD" w:rsidRPr="004720D1" w:rsidRDefault="002E5BAD" w:rsidP="002E5BAD">
      <w:pPr>
        <w:pStyle w:val="ab"/>
        <w:numPr>
          <w:ilvl w:val="0"/>
          <w:numId w:val="156"/>
        </w:numPr>
        <w:rPr>
          <w:rFonts w:cs="Arial"/>
          <w:rtl/>
        </w:rPr>
      </w:pPr>
      <w:r>
        <w:rPr>
          <w:rFonts w:cs="Arial" w:hint="cs"/>
          <w:rtl/>
        </w:rPr>
        <w:t>הה"מ</w:t>
      </w:r>
      <w:r w:rsidRPr="004720D1">
        <w:rPr>
          <w:rFonts w:cs="Arial"/>
          <w:rtl/>
        </w:rPr>
        <w:t xml:space="preserve"> </w:t>
      </w:r>
      <w:r w:rsidRPr="00253F29">
        <w:rPr>
          <w:rFonts w:cs="Arial"/>
          <w:sz w:val="16"/>
          <w:szCs w:val="16"/>
          <w:rtl/>
        </w:rPr>
        <w:t>(פי"ב הכ"ג)</w:t>
      </w:r>
      <w:r>
        <w:rPr>
          <w:rFonts w:cs="Arial" w:hint="cs"/>
          <w:rtl/>
        </w:rPr>
        <w:t>-</w:t>
      </w:r>
      <w:r w:rsidRPr="004720D1">
        <w:rPr>
          <w:rFonts w:cs="Arial"/>
          <w:rtl/>
        </w:rPr>
        <w:t xml:space="preserve"> דע שדין משנתינו אינו אלא בשלא הדירה אלא מנכסיו</w:t>
      </w:r>
      <w:r>
        <w:rPr>
          <w:rFonts w:cs="Arial" w:hint="cs"/>
          <w:rtl/>
        </w:rPr>
        <w:t>,</w:t>
      </w:r>
      <w:r w:rsidRPr="004720D1">
        <w:rPr>
          <w:rFonts w:cs="Arial"/>
          <w:rtl/>
        </w:rPr>
        <w:t xml:space="preserve"> אבל אם הדירה אף מתשמיש יתר משבת </w:t>
      </w:r>
      <w:r>
        <w:rPr>
          <w:rFonts w:cs="Arial" w:hint="cs"/>
          <w:rtl/>
        </w:rPr>
        <w:t xml:space="preserve">- </w:t>
      </w:r>
      <w:r w:rsidRPr="004720D1">
        <w:rPr>
          <w:rFonts w:cs="Arial"/>
          <w:rtl/>
        </w:rPr>
        <w:t>יוציא ויתן כתובה</w:t>
      </w:r>
      <w:r>
        <w:rPr>
          <w:rFonts w:cs="Arial" w:hint="cs"/>
          <w:rtl/>
        </w:rPr>
        <w:t>,</w:t>
      </w:r>
      <w:r w:rsidRPr="004720D1">
        <w:rPr>
          <w:rFonts w:cs="Arial"/>
          <w:rtl/>
        </w:rPr>
        <w:t xml:space="preserve"> כמ"ש פי"ד (ה"ו)</w:t>
      </w:r>
      <w:r>
        <w:rPr>
          <w:rFonts w:cs="Arial" w:hint="cs"/>
          <w:rtl/>
        </w:rPr>
        <w:t>.</w:t>
      </w:r>
      <w:r w:rsidRPr="004720D1">
        <w:rPr>
          <w:rFonts w:cs="Arial"/>
          <w:rtl/>
        </w:rPr>
        <w:t xml:space="preserve"> וכ"כ הרשב"א</w:t>
      </w:r>
      <w:r>
        <w:rPr>
          <w:rFonts w:cs="Arial" w:hint="cs"/>
          <w:rtl/>
        </w:rPr>
        <w:t>,</w:t>
      </w:r>
      <w:r w:rsidRPr="004720D1">
        <w:rPr>
          <w:rFonts w:cs="Arial"/>
          <w:rtl/>
        </w:rPr>
        <w:t xml:space="preserve"> וכן נראה דעת הרמב"ן ז"ל</w:t>
      </w:r>
      <w:r>
        <w:rPr>
          <w:rFonts w:cs="Arial" w:hint="cs"/>
          <w:rtl/>
        </w:rPr>
        <w:t>.</w:t>
      </w:r>
    </w:p>
    <w:p w14:paraId="6ED82D31" w14:textId="77777777" w:rsidR="002E5BAD" w:rsidRDefault="002E5BAD" w:rsidP="002E5BAD">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w:t>
      </w:r>
      <w:r w:rsidRPr="00253F29">
        <w:rPr>
          <w:rFonts w:cs="Arial"/>
          <w:rtl/>
        </w:rPr>
        <w:t>המדיר את אשתו שלא תטעום אחד מכל הפירות - יוציא ויתן כתובה</w:t>
      </w:r>
      <w:r>
        <w:rPr>
          <w:rFonts w:cs="Arial" w:hint="cs"/>
          <w:rtl/>
        </w:rPr>
        <w:t xml:space="preserve">... </w:t>
      </w:r>
      <w:r w:rsidRPr="003345BA">
        <w:rPr>
          <w:rFonts w:cs="Arial"/>
          <w:rtl/>
        </w:rPr>
        <w:t>המדיר את אשתו שלא תתקשט באחד מכל המינין - יוציא ויתן כתובה</w:t>
      </w:r>
      <w:r>
        <w:rPr>
          <w:rFonts w:cs="Arial" w:hint="cs"/>
          <w:rtl/>
        </w:rPr>
        <w:t>.</w:t>
      </w:r>
      <w:r w:rsidRPr="003345BA">
        <w:rPr>
          <w:rFonts w:cs="Arial"/>
          <w:rtl/>
        </w:rPr>
        <w:t xml:space="preserve"> </w:t>
      </w:r>
      <w:r w:rsidRPr="003345BA">
        <w:rPr>
          <w:rFonts w:cs="Arial"/>
          <w:u w:val="single"/>
          <w:rtl/>
        </w:rPr>
        <w:t>ר' יוסי אומר</w:t>
      </w:r>
      <w:r w:rsidRPr="003345BA">
        <w:rPr>
          <w:rFonts w:cs="Arial"/>
          <w:rtl/>
        </w:rPr>
        <w:t>: בעניות - שלא נתן קצבה</w:t>
      </w:r>
      <w:r>
        <w:rPr>
          <w:rStyle w:val="a7"/>
          <w:rFonts w:cs="Arial"/>
          <w:rtl/>
        </w:rPr>
        <w:footnoteReference w:id="1147"/>
      </w:r>
      <w:r w:rsidRPr="003345BA">
        <w:rPr>
          <w:rFonts w:cs="Arial"/>
          <w:rtl/>
        </w:rPr>
        <w:t>, ובעשירות - שלשים יום.</w:t>
      </w:r>
      <w:r>
        <w:rPr>
          <w:rFonts w:cs="Arial" w:hint="cs"/>
          <w:rtl/>
        </w:rPr>
        <w:t xml:space="preserve">    </w:t>
      </w:r>
      <w:r w:rsidRPr="00253F29">
        <w:rPr>
          <w:rtl/>
        </w:rPr>
        <w:t xml:space="preserve"> </w:t>
      </w:r>
      <w:r w:rsidRPr="00C60E3E">
        <w:rPr>
          <w:rFonts w:cs="Arial"/>
          <w:u w:val="double"/>
          <w:rtl/>
        </w:rPr>
        <w:t>גמ'</w:t>
      </w:r>
      <w:r>
        <w:rPr>
          <w:rFonts w:cs="Arial" w:hint="cs"/>
          <w:sz w:val="14"/>
          <w:szCs w:val="14"/>
          <w:u w:val="double"/>
          <w:rtl/>
        </w:rPr>
        <w:t>(עא.)</w:t>
      </w:r>
      <w:r>
        <w:rPr>
          <w:rFonts w:cs="Arial" w:hint="cs"/>
          <w:u w:val="double"/>
          <w:rtl/>
        </w:rPr>
        <w:t>:</w:t>
      </w:r>
      <w:r>
        <w:rPr>
          <w:rFonts w:cs="Arial" w:hint="cs"/>
          <w:rtl/>
        </w:rPr>
        <w:t xml:space="preserve"> </w:t>
      </w:r>
      <w:r w:rsidRPr="00253F29">
        <w:rPr>
          <w:rFonts w:cs="Arial"/>
          <w:rtl/>
        </w:rPr>
        <w:t>תנן: המדיר את אשתו שלא תטעום אחד מכל הפירות - יוציא ויתן כתובה</w:t>
      </w:r>
      <w:r>
        <w:rPr>
          <w:rStyle w:val="a7"/>
          <w:rFonts w:cs="Arial"/>
          <w:rtl/>
        </w:rPr>
        <w:footnoteReference w:id="1148"/>
      </w:r>
      <w:r>
        <w:rPr>
          <w:rFonts w:cs="Arial" w:hint="cs"/>
          <w:rtl/>
        </w:rPr>
        <w:t>.</w:t>
      </w:r>
      <w:r w:rsidRPr="00253F29">
        <w:rPr>
          <w:rFonts w:cs="Arial"/>
          <w:rtl/>
        </w:rPr>
        <w:t xml:space="preserve"> בשלמא לרב - כאן בסתם, כאן במפרש, אלא לשמואל קשיא! הכא במאי עסקינן - כגון שנדרה היא</w:t>
      </w:r>
      <w:r>
        <w:rPr>
          <w:rStyle w:val="a7"/>
          <w:rFonts w:cs="Arial"/>
          <w:rtl/>
        </w:rPr>
        <w:footnoteReference w:id="1149"/>
      </w:r>
      <w:r w:rsidRPr="00253F29">
        <w:rPr>
          <w:rFonts w:cs="Arial"/>
          <w:rtl/>
        </w:rPr>
        <w:t xml:space="preserve"> וקיים לה איהו</w:t>
      </w:r>
      <w:r>
        <w:rPr>
          <w:rFonts w:cs="Arial" w:hint="cs"/>
          <w:rtl/>
        </w:rPr>
        <w:t xml:space="preserve">, וקסבר ר"מ: </w:t>
      </w:r>
      <w:r w:rsidRPr="00253F29">
        <w:rPr>
          <w:rFonts w:cs="Arial"/>
          <w:rtl/>
        </w:rPr>
        <w:t>הוא</w:t>
      </w:r>
      <w:r>
        <w:rPr>
          <w:rStyle w:val="a7"/>
          <w:rFonts w:cs="Arial"/>
          <w:rtl/>
        </w:rPr>
        <w:footnoteReference w:id="1150"/>
      </w:r>
      <w:r w:rsidRPr="00253F29">
        <w:rPr>
          <w:rFonts w:cs="Arial"/>
          <w:rtl/>
        </w:rPr>
        <w:t xml:space="preserve"> נותן אצבע בין שיניה.</w:t>
      </w:r>
      <w:r w:rsidRPr="00640616">
        <w:rPr>
          <w:rtl/>
        </w:rPr>
        <w:t xml:space="preserve"> </w:t>
      </w:r>
      <w:r w:rsidRPr="00640616">
        <w:rPr>
          <w:rFonts w:cs="Arial"/>
          <w:rtl/>
        </w:rPr>
        <w:t>וסבר רבי מאיר הוא נותן אצבע בין שיניה? והתניא: האשה שנדרה בנזיר, ושמע בעלה ולא הפר לה, רבי מאיר ורבי יהודה אומרים: היא נתנה אצבע בין שיניה, לפיכך אם רצה הבעל להפר - יפר, ואם אמר אי אפשי באשה נדרנית - תצא שלא בכתובה; רבי יוסי ורבי אלעזר אומרים: הוא נותן אצבע בין שיניה, לפיכך אם רצה הבעל להפר - יפר, ואם אמר אי אפשי באשה נדרנית - יוציא ויתן כתובה!</w:t>
      </w:r>
      <w:r>
        <w:rPr>
          <w:rFonts w:cs="Arial" w:hint="cs"/>
          <w:rtl/>
        </w:rPr>
        <w:t>..</w:t>
      </w:r>
      <w:r>
        <w:rPr>
          <w:rFonts w:hint="cs"/>
          <w:rtl/>
        </w:rPr>
        <w:t>.</w:t>
      </w:r>
      <w:r w:rsidRPr="00640616">
        <w:rPr>
          <w:rtl/>
        </w:rPr>
        <w:t xml:space="preserve"> </w:t>
      </w:r>
      <w:r w:rsidRPr="00640616">
        <w:rPr>
          <w:rFonts w:cs="Arial"/>
          <w:rtl/>
        </w:rPr>
        <w:t>אימא, רבי מאיר ורבי אלעזר אומרים: היא נתנה, רבי יהודה ורבי יוסי אומרים: הוא נותן, והא סתמא דלא כרבי מאיר.</w:t>
      </w:r>
      <w:r w:rsidRPr="00560D36">
        <w:rPr>
          <w:rtl/>
        </w:rPr>
        <w:t xml:space="preserve"> </w:t>
      </w:r>
      <w:r w:rsidRPr="00560D36">
        <w:rPr>
          <w:rFonts w:cs="Arial"/>
          <w:rtl/>
        </w:rPr>
        <w:t>וסבר רבי יוסי בעניות שלא נתן קצבה</w:t>
      </w:r>
      <w:r>
        <w:rPr>
          <w:rStyle w:val="a7"/>
          <w:rFonts w:cs="Arial"/>
          <w:rtl/>
        </w:rPr>
        <w:footnoteReference w:id="1151"/>
      </w:r>
      <w:r>
        <w:rPr>
          <w:rFonts w:cs="Arial" w:hint="cs"/>
          <w:rtl/>
        </w:rPr>
        <w:t xml:space="preserve"> -</w:t>
      </w:r>
      <w:r w:rsidRPr="00560D36">
        <w:rPr>
          <w:rFonts w:cs="Arial"/>
          <w:rtl/>
        </w:rPr>
        <w:t xml:space="preserve"> אלמא בעל מצי מיפר</w:t>
      </w:r>
      <w:r>
        <w:rPr>
          <w:rStyle w:val="a7"/>
          <w:rFonts w:cs="Arial"/>
          <w:rtl/>
        </w:rPr>
        <w:footnoteReference w:id="1152"/>
      </w:r>
      <w:r>
        <w:rPr>
          <w:rFonts w:cs="Arial" w:hint="cs"/>
          <w:rtl/>
        </w:rPr>
        <w:t>.</w:t>
      </w:r>
      <w:r w:rsidRPr="00560D36">
        <w:rPr>
          <w:rFonts w:cs="Arial"/>
          <w:rtl/>
        </w:rPr>
        <w:t xml:space="preserve"> ורמינהו: אלו דברים שהבעל מיפר, דברים שיש בהן עינוי נפש: אם ארחץ אם לא ארחץ, אם אתקשט אם לא אתקשט; </w:t>
      </w:r>
      <w:r w:rsidRPr="008325FE">
        <w:rPr>
          <w:rFonts w:cs="Arial"/>
          <w:u w:val="single"/>
          <w:rtl/>
        </w:rPr>
        <w:t>אמר רבי יוסי</w:t>
      </w:r>
      <w:r w:rsidRPr="00560D36">
        <w:rPr>
          <w:rFonts w:cs="Arial"/>
          <w:rtl/>
        </w:rPr>
        <w:t>: אין אלו נדרי עינוי נפש, ואלו הן נדרי עינוי נפש: שלא אוכל בשר, ושלא אשתה יין, ושלא אתקשט</w:t>
      </w:r>
      <w:r>
        <w:rPr>
          <w:rFonts w:cs="Arial" w:hint="cs"/>
          <w:sz w:val="14"/>
          <w:szCs w:val="14"/>
          <w:rtl/>
        </w:rPr>
        <w:t xml:space="preserve"> (עא:)</w:t>
      </w:r>
      <w:r>
        <w:rPr>
          <w:rFonts w:cs="Arial" w:hint="cs"/>
          <w:rtl/>
        </w:rPr>
        <w:t xml:space="preserve"> </w:t>
      </w:r>
      <w:r w:rsidRPr="00560D36">
        <w:rPr>
          <w:rFonts w:cs="Arial"/>
          <w:rtl/>
        </w:rPr>
        <w:t>בבגדי צבעונין! הכא במאי עסקינן - בדברים שבינו לבינה. הניחא למ"ד דברים שבינו לבינה הבעל מיפר, אלא למ"ד אין הבעל מיפר, מאי איכא למימר? דאתמר: דברים שבינו לבינה - רב הונא אמר: הבעל מיפר, רב אדא בר אהבה אמר: אין הבעל מיפר, שלא מצינו שועל שמת בעפר פיר! אלא הכא במאי עסקינן - כגון דתלינהו לקישוטיה בתשמיש המטה, דאמרה יאסר הנאת תשמישך עלי אם אתקשט</w:t>
      </w:r>
      <w:r>
        <w:rPr>
          <w:rFonts w:cs="Arial" w:hint="cs"/>
          <w:rtl/>
        </w:rPr>
        <w:t>.</w:t>
      </w:r>
      <w:r w:rsidRPr="00560D36">
        <w:rPr>
          <w:rFonts w:cs="Arial"/>
          <w:rtl/>
        </w:rPr>
        <w:t xml:space="preserve"> כדאמר רב כהנא, דאמר רב כהנא: הנאת תשמישי עליך - כופה ומשמשתו, הנאת תשמישך עלי - יפר, לפי שאין מאכילין לאדם דבר האסור לו. ולא תתקשט ולא </w:t>
      </w:r>
      <w:r w:rsidRPr="00560D36">
        <w:rPr>
          <w:rFonts w:cs="Arial"/>
          <w:rtl/>
        </w:rPr>
        <w:lastRenderedPageBreak/>
        <w:t>תאסר! אם כן, קרו לה מנוולת. ותתקשט ותאסר, אי לב"ש שתי שבתות, אי לבית הלל שבת אחת! הני מילי היכא דאדרה איהו, דסברה: מירתח רתח עילואי והשתא מותיב דעתיה, אבל הכא דנדרה איהי ושתיק לה, סברה: מדאישתק, מיסנא הוא דסני לי</w:t>
      </w:r>
      <w:r>
        <w:rPr>
          <w:rStyle w:val="a7"/>
          <w:rFonts w:cs="Arial"/>
          <w:rtl/>
        </w:rPr>
        <w:footnoteReference w:id="1153"/>
      </w:r>
      <w:r w:rsidRPr="00560D36">
        <w:rPr>
          <w:rFonts w:cs="Arial"/>
          <w:rtl/>
        </w:rPr>
        <w:t>.</w:t>
      </w:r>
    </w:p>
    <w:p w14:paraId="764AB545" w14:textId="77777777" w:rsidR="002E5BAD" w:rsidRPr="0024296F" w:rsidRDefault="002E5BAD" w:rsidP="002E5BAD">
      <w:pPr>
        <w:rPr>
          <w:rFonts w:cs="Arial"/>
          <w:u w:val="single"/>
        </w:rPr>
      </w:pPr>
      <w:r w:rsidRPr="0024296F">
        <w:rPr>
          <w:rFonts w:cs="Arial" w:hint="cs"/>
          <w:u w:val="single"/>
          <w:rtl/>
        </w:rPr>
        <w:t>הדירה מלאכול פרי מסויים:</w:t>
      </w:r>
    </w:p>
    <w:p w14:paraId="2B191DAA" w14:textId="77777777" w:rsidR="002E5BAD" w:rsidRDefault="002E5BAD" w:rsidP="002E5BAD">
      <w:pPr>
        <w:pStyle w:val="ab"/>
        <w:numPr>
          <w:ilvl w:val="0"/>
          <w:numId w:val="156"/>
        </w:numPr>
        <w:rPr>
          <w:rFonts w:cs="Arial"/>
        </w:rPr>
      </w:pPr>
      <w:r>
        <w:rPr>
          <w:rFonts w:cs="Arial" w:hint="cs"/>
          <w:rtl/>
        </w:rPr>
        <w:t xml:space="preserve">טור- </w:t>
      </w:r>
      <w:r w:rsidRPr="00474B1B">
        <w:rPr>
          <w:rFonts w:cs="Arial"/>
          <w:rtl/>
        </w:rPr>
        <w:t>נדרה שלא תטעום א' מן המינים</w:t>
      </w:r>
      <w:r>
        <w:rPr>
          <w:rFonts w:cs="Arial" w:hint="cs"/>
          <w:rtl/>
        </w:rPr>
        <w:t>,</w:t>
      </w:r>
      <w:r w:rsidRPr="00474B1B">
        <w:rPr>
          <w:rFonts w:cs="Arial"/>
          <w:rtl/>
        </w:rPr>
        <w:t xml:space="preserve"> וקיים לה הוא</w:t>
      </w:r>
      <w:r>
        <w:rPr>
          <w:rStyle w:val="a7"/>
          <w:rFonts w:cs="Arial"/>
          <w:rtl/>
        </w:rPr>
        <w:footnoteReference w:id="1154"/>
      </w:r>
      <w:r>
        <w:rPr>
          <w:rFonts w:cs="Arial" w:hint="cs"/>
          <w:rtl/>
        </w:rPr>
        <w:t>,</w:t>
      </w:r>
      <w:r w:rsidRPr="00474B1B">
        <w:rPr>
          <w:rFonts w:cs="Arial"/>
          <w:rtl/>
        </w:rPr>
        <w:t xml:space="preserve"> או שאמרה לו הנאת תשמישך עלי אם אוכלנו</w:t>
      </w:r>
      <w:r>
        <w:rPr>
          <w:rFonts w:cs="Arial" w:hint="cs"/>
          <w:rtl/>
        </w:rPr>
        <w:t>,</w:t>
      </w:r>
      <w:r w:rsidRPr="00474B1B">
        <w:rPr>
          <w:rFonts w:cs="Arial"/>
          <w:rtl/>
        </w:rPr>
        <w:t xml:space="preserve"> אפי' הוא רע ולא טעמה אותו מעולם</w:t>
      </w:r>
      <w:r>
        <w:rPr>
          <w:rStyle w:val="a7"/>
          <w:rFonts w:cs="Arial"/>
          <w:rtl/>
        </w:rPr>
        <w:footnoteReference w:id="1155"/>
      </w:r>
      <w:r>
        <w:rPr>
          <w:rFonts w:cs="Arial" w:hint="cs"/>
          <w:rtl/>
        </w:rPr>
        <w:t xml:space="preserve"> -</w:t>
      </w:r>
      <w:r w:rsidRPr="00474B1B">
        <w:rPr>
          <w:rFonts w:cs="Arial"/>
          <w:rtl/>
        </w:rPr>
        <w:t xml:space="preserve"> יוציא מיד ויתן כתובה</w:t>
      </w:r>
      <w:r>
        <w:rPr>
          <w:rFonts w:cs="Arial" w:hint="cs"/>
          <w:rtl/>
        </w:rPr>
        <w:t>.</w:t>
      </w:r>
      <w:r w:rsidRPr="00474B1B">
        <w:rPr>
          <w:rFonts w:cs="Arial"/>
          <w:rtl/>
        </w:rPr>
        <w:t xml:space="preserve"> ואם הוא הדירה שאמר לה הנאת תשמישך עלי אם תטעום מאותו המין</w:t>
      </w:r>
      <w:r>
        <w:rPr>
          <w:rFonts w:cs="Arial" w:hint="cs"/>
          <w:rtl/>
        </w:rPr>
        <w:t xml:space="preserve"> -</w:t>
      </w:r>
      <w:r w:rsidRPr="00474B1B">
        <w:rPr>
          <w:rFonts w:cs="Arial"/>
          <w:rtl/>
        </w:rPr>
        <w:t xml:space="preserve"> יקיים ז' ימים ואז יוציא ויתן כתובה</w:t>
      </w:r>
      <w:r>
        <w:rPr>
          <w:rFonts w:cs="Arial" w:hint="cs"/>
          <w:rtl/>
        </w:rPr>
        <w:t>.</w:t>
      </w:r>
      <w:r w:rsidRPr="00474B1B">
        <w:rPr>
          <w:rFonts w:cs="Arial"/>
          <w:rtl/>
        </w:rPr>
        <w:t xml:space="preserve"> </w:t>
      </w:r>
    </w:p>
    <w:p w14:paraId="7D93D780" w14:textId="77777777" w:rsidR="002E5BAD" w:rsidRPr="007E6D8B" w:rsidRDefault="002E5BAD" w:rsidP="002E5BAD">
      <w:pPr>
        <w:ind w:left="360"/>
        <w:rPr>
          <w:rFonts w:cs="Arial"/>
          <w:u w:val="dotted"/>
        </w:rPr>
      </w:pPr>
      <w:r w:rsidRPr="007E6D8B">
        <w:rPr>
          <w:rFonts w:cs="Arial"/>
          <w:u w:val="dotted"/>
          <w:rtl/>
        </w:rPr>
        <w:t>בנדרה היא וקיים לה הוא –</w:t>
      </w:r>
      <w:r w:rsidRPr="007E6D8B">
        <w:rPr>
          <w:rFonts w:cs="Arial" w:hint="cs"/>
          <w:u w:val="dotted"/>
          <w:rtl/>
        </w:rPr>
        <w:t xml:space="preserve"> מה הדין </w:t>
      </w:r>
      <w:r w:rsidRPr="007E6D8B">
        <w:rPr>
          <w:rFonts w:cs="Arial"/>
          <w:u w:val="dotted"/>
          <w:rtl/>
        </w:rPr>
        <w:t>אם רוצה לישב עמו ולא תאכל מאות</w:t>
      </w:r>
      <w:r>
        <w:rPr>
          <w:rFonts w:cs="Arial" w:hint="cs"/>
          <w:u w:val="dotted"/>
          <w:rtl/>
        </w:rPr>
        <w:t>ו</w:t>
      </w:r>
      <w:r w:rsidRPr="007E6D8B">
        <w:rPr>
          <w:rFonts w:cs="Arial"/>
          <w:u w:val="dotted"/>
          <w:rtl/>
        </w:rPr>
        <w:t xml:space="preserve"> המין</w:t>
      </w:r>
      <w:r w:rsidRPr="007E6D8B">
        <w:rPr>
          <w:rFonts w:cs="Arial" w:hint="cs"/>
          <w:u w:val="dotted"/>
          <w:rtl/>
        </w:rPr>
        <w:t>:</w:t>
      </w:r>
    </w:p>
    <w:p w14:paraId="2BBF340D" w14:textId="77777777" w:rsidR="002E5BAD" w:rsidRDefault="002E5BAD" w:rsidP="002E5BAD">
      <w:pPr>
        <w:pStyle w:val="ab"/>
        <w:numPr>
          <w:ilvl w:val="0"/>
          <w:numId w:val="156"/>
        </w:numPr>
        <w:rPr>
          <w:rFonts w:cs="Arial"/>
        </w:rPr>
      </w:pPr>
      <w:r w:rsidRPr="00474B1B">
        <w:rPr>
          <w:rFonts w:cs="Arial"/>
          <w:rtl/>
        </w:rPr>
        <w:t>רמב"ם</w:t>
      </w:r>
      <w:r>
        <w:rPr>
          <w:rFonts w:cs="Arial" w:hint="cs"/>
          <w:sz w:val="16"/>
          <w:szCs w:val="16"/>
          <w:rtl/>
        </w:rPr>
        <w:t xml:space="preserve"> (פי"ב הכ"ד)</w:t>
      </w:r>
      <w:r w:rsidRPr="00474B1B">
        <w:rPr>
          <w:rFonts w:cs="Arial"/>
          <w:rtl/>
        </w:rPr>
        <w:t xml:space="preserve"> </w:t>
      </w:r>
      <w:r>
        <w:rPr>
          <w:rFonts w:cs="Arial" w:hint="cs"/>
          <w:rtl/>
        </w:rPr>
        <w:t xml:space="preserve">וטור- </w:t>
      </w:r>
      <w:r w:rsidRPr="00603384">
        <w:rPr>
          <w:rFonts w:cs="Arial"/>
          <w:rtl/>
        </w:rPr>
        <w:t>נדרה היא שלא תאכל אחד מכל הפירות וקיים לה הוא את נדרה</w:t>
      </w:r>
      <w:r>
        <w:rPr>
          <w:rFonts w:cs="Arial" w:hint="cs"/>
          <w:rtl/>
        </w:rPr>
        <w:t>,</w:t>
      </w:r>
      <w:r w:rsidRPr="00603384">
        <w:rPr>
          <w:rFonts w:cs="Arial"/>
          <w:rtl/>
        </w:rPr>
        <w:t xml:space="preserve"> או שנדרה בנזיר ולא הפר לה, אם רצה שתשב תחתיו ולא תאכל פירות או תהיה נזירה </w:t>
      </w:r>
      <w:r>
        <w:rPr>
          <w:rFonts w:cs="Arial" w:hint="cs"/>
          <w:rtl/>
        </w:rPr>
        <w:t xml:space="preserve">- </w:t>
      </w:r>
      <w:r w:rsidRPr="00603384">
        <w:rPr>
          <w:rFonts w:cs="Arial"/>
          <w:rtl/>
        </w:rPr>
        <w:t>תשב</w:t>
      </w:r>
      <w:r>
        <w:rPr>
          <w:rStyle w:val="a7"/>
          <w:rFonts w:cs="Arial"/>
          <w:rtl/>
        </w:rPr>
        <w:footnoteReference w:id="1156"/>
      </w:r>
      <w:r w:rsidRPr="00603384">
        <w:rPr>
          <w:rFonts w:cs="Arial"/>
          <w:rtl/>
        </w:rPr>
        <w:t xml:space="preserve">, ואם אמר איני רוצה באשה נדרנית </w:t>
      </w:r>
      <w:r>
        <w:rPr>
          <w:rFonts w:cs="Arial" w:hint="cs"/>
          <w:rtl/>
        </w:rPr>
        <w:t xml:space="preserve">- </w:t>
      </w:r>
      <w:r w:rsidRPr="00603384">
        <w:rPr>
          <w:rFonts w:cs="Arial"/>
          <w:rtl/>
        </w:rPr>
        <w:t>יוציא ויתן כתובה</w:t>
      </w:r>
      <w:r>
        <w:rPr>
          <w:rFonts w:cs="Arial" w:hint="cs"/>
          <w:rtl/>
        </w:rPr>
        <w:t>,</w:t>
      </w:r>
      <w:r w:rsidRPr="00603384">
        <w:rPr>
          <w:rFonts w:cs="Arial"/>
          <w:rtl/>
        </w:rPr>
        <w:t xml:space="preserve"> שהרי היה בידו להפר והוא קיים לה ברצונו</w:t>
      </w:r>
      <w:r>
        <w:rPr>
          <w:rFonts w:cs="Arial" w:hint="cs"/>
          <w:sz w:val="16"/>
          <w:szCs w:val="16"/>
          <w:rtl/>
        </w:rPr>
        <w:t xml:space="preserve"> (ל' הרמב"ם)</w:t>
      </w:r>
      <w:r w:rsidRPr="00603384">
        <w:rPr>
          <w:rFonts w:cs="Arial"/>
          <w:rtl/>
        </w:rPr>
        <w:t>.</w:t>
      </w:r>
    </w:p>
    <w:p w14:paraId="613C9596" w14:textId="77777777" w:rsidR="002E5BAD" w:rsidRPr="00603384" w:rsidRDefault="002E5BAD" w:rsidP="002E5BAD">
      <w:pPr>
        <w:pStyle w:val="ab"/>
        <w:numPr>
          <w:ilvl w:val="0"/>
          <w:numId w:val="156"/>
        </w:numPr>
        <w:rPr>
          <w:rFonts w:cs="Arial"/>
          <w:rtl/>
        </w:rPr>
      </w:pPr>
      <w:r w:rsidRPr="007E6D8B">
        <w:rPr>
          <w:rFonts w:cs="Arial"/>
          <w:rtl/>
        </w:rPr>
        <w:t xml:space="preserve">ר"ן </w:t>
      </w:r>
      <w:r w:rsidRPr="007E6D8B">
        <w:rPr>
          <w:rFonts w:cs="Arial"/>
          <w:sz w:val="16"/>
          <w:szCs w:val="16"/>
          <w:rtl/>
        </w:rPr>
        <w:t>(לב. ד"ה והאי)</w:t>
      </w:r>
      <w:r>
        <w:rPr>
          <w:rFonts w:cs="Arial" w:hint="cs"/>
          <w:rtl/>
        </w:rPr>
        <w:t>-</w:t>
      </w:r>
      <w:r w:rsidRPr="007E6D8B">
        <w:rPr>
          <w:rFonts w:cs="Arial"/>
          <w:rtl/>
        </w:rPr>
        <w:t xml:space="preserve"> האי יוציא דתנן משמע לי יוציא בע"כ אפילו רצה לקיימה מטעמא דמסנא הוא דסני לי</w:t>
      </w:r>
      <w:r>
        <w:rPr>
          <w:rStyle w:val="a7"/>
          <w:rFonts w:cs="Arial"/>
          <w:rtl/>
        </w:rPr>
        <w:footnoteReference w:id="1157"/>
      </w:r>
      <w:r>
        <w:rPr>
          <w:rFonts w:cs="Arial" w:hint="cs"/>
          <w:rtl/>
        </w:rPr>
        <w:t>.</w:t>
      </w:r>
    </w:p>
    <w:p w14:paraId="6C43848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540954B" w14:textId="77777777" w:rsidR="002E5BAD" w:rsidRDefault="002E5BAD" w:rsidP="002E5BAD">
      <w:pPr>
        <w:rPr>
          <w:rtl/>
        </w:rPr>
      </w:pPr>
      <w:r>
        <w:rPr>
          <w:rFonts w:cs="Arial"/>
          <w:rtl/>
        </w:rPr>
        <w:t>המדיר את אשתו מליהנות לו, או שלא תטעום אחד מכל המינים, או שנדרה היא וקיים לה הוא, עיין ביורה דעה בסימן רל"ה סעיף ג'.</w:t>
      </w:r>
    </w:p>
    <w:p w14:paraId="49AC657E" w14:textId="77777777" w:rsidR="002E5BAD" w:rsidRDefault="002E5BAD" w:rsidP="002E5BAD">
      <w:pPr>
        <w:rPr>
          <w:rtl/>
        </w:rPr>
      </w:pPr>
    </w:p>
    <w:p w14:paraId="75BE675D" w14:textId="77777777" w:rsidR="002E5BAD" w:rsidRDefault="002E5BAD" w:rsidP="002E5BAD">
      <w:pPr>
        <w:pStyle w:val="1"/>
        <w:rPr>
          <w:rtl/>
        </w:rPr>
        <w:sectPr w:rsidR="002E5BAD" w:rsidSect="00A347B3">
          <w:headerReference w:type="default" r:id="rId28"/>
          <w:footnotePr>
            <w:numRestart w:val="eachPage"/>
          </w:footnotePr>
          <w:pgSz w:w="11906" w:h="16838"/>
          <w:pgMar w:top="720" w:right="1134" w:bottom="720" w:left="1134" w:header="0" w:footer="0" w:gutter="0"/>
          <w:cols w:space="720"/>
          <w:bidi/>
          <w:rtlGutter/>
          <w:docGrid w:linePitch="360"/>
        </w:sectPr>
      </w:pPr>
    </w:p>
    <w:p w14:paraId="24905DC3" w14:textId="77777777" w:rsidR="002E5BAD" w:rsidRDefault="002E5BAD" w:rsidP="002E5BAD">
      <w:pPr>
        <w:pStyle w:val="1"/>
        <w:rPr>
          <w:rtl/>
        </w:rPr>
      </w:pPr>
      <w:r>
        <w:rPr>
          <w:rFonts w:hint="cs"/>
          <w:rtl/>
        </w:rPr>
        <w:lastRenderedPageBreak/>
        <w:t xml:space="preserve">סימן עג: </w:t>
      </w:r>
      <w:r>
        <w:rPr>
          <w:rtl/>
        </w:rPr>
        <w:t xml:space="preserve">שחייב בכסות ומדור וכלי בית לאשתו, ובו ט' סעיפים. </w:t>
      </w:r>
    </w:p>
    <w:p w14:paraId="5169C8CC" w14:textId="77777777" w:rsidR="002E5BAD" w:rsidRDefault="002E5BAD" w:rsidP="002E5BAD">
      <w:pPr>
        <w:pStyle w:val="2"/>
        <w:rPr>
          <w:rtl/>
        </w:rPr>
      </w:pPr>
      <w:r>
        <w:rPr>
          <w:rtl/>
        </w:rPr>
        <w:t>סעיף א</w:t>
      </w:r>
      <w:r>
        <w:rPr>
          <w:rFonts w:hint="cs"/>
          <w:rtl/>
        </w:rPr>
        <w:t>: כסות, כלי בית ומדור.</w:t>
      </w:r>
    </w:p>
    <w:p w14:paraId="62491479" w14:textId="77777777" w:rsidR="002E5BAD" w:rsidRPr="00F64E71" w:rsidRDefault="002E5BAD" w:rsidP="002E5BAD">
      <w:pPr>
        <w:rPr>
          <w:rFonts w:cs="Arial"/>
          <w:rtl/>
        </w:rPr>
      </w:pPr>
      <w:r>
        <w:rPr>
          <w:rFonts w:cs="Arial" w:hint="cs"/>
          <w:b/>
          <w:bCs/>
          <w:rtl/>
        </w:rPr>
        <w:t xml:space="preserve">כתובות </w:t>
      </w:r>
      <w:r w:rsidRPr="00486F46">
        <w:rPr>
          <w:rFonts w:cs="Arial" w:hint="cs"/>
          <w:b/>
          <w:bCs/>
          <w:sz w:val="16"/>
          <w:szCs w:val="16"/>
          <w:rtl/>
        </w:rPr>
        <w:t xml:space="preserve">(פ' אף על פי) </w:t>
      </w:r>
      <w:r>
        <w:rPr>
          <w:rFonts w:cs="Arial" w:hint="cs"/>
          <w:b/>
          <w:bCs/>
          <w:rtl/>
        </w:rPr>
        <w:t xml:space="preserve">סד ע"ב: </w:t>
      </w:r>
      <w:r w:rsidRPr="00486F46">
        <w:rPr>
          <w:rFonts w:cs="Arial"/>
          <w:u w:val="double"/>
          <w:rtl/>
        </w:rPr>
        <w:t>מתני'</w:t>
      </w:r>
      <w:r>
        <w:rPr>
          <w:rFonts w:cs="Arial" w:hint="cs"/>
          <w:rtl/>
        </w:rPr>
        <w:t>:</w:t>
      </w:r>
      <w:r w:rsidRPr="004254E2">
        <w:rPr>
          <w:rFonts w:cs="Arial"/>
          <w:rtl/>
        </w:rPr>
        <w:t xml:space="preserve"> המשרה את אשתו על ידי שליש</w:t>
      </w:r>
      <w:r>
        <w:rPr>
          <w:rFonts w:cs="Arial" w:hint="cs"/>
          <w:rtl/>
        </w:rPr>
        <w:t>...</w:t>
      </w:r>
      <w:r w:rsidRPr="004254E2">
        <w:rPr>
          <w:rFonts w:cs="Arial"/>
          <w:rtl/>
        </w:rPr>
        <w:t xml:space="preserve"> 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w:t>
      </w:r>
      <w:r>
        <w:rPr>
          <w:rFonts w:cs="Arial" w:hint="cs"/>
          <w:rtl/>
        </w:rPr>
        <w:t>.</w:t>
      </w:r>
      <w:r w:rsidRPr="004254E2">
        <w:rPr>
          <w:rFonts w:cs="Arial"/>
          <w:rtl/>
        </w:rPr>
        <w:t xml:space="preserve">. במה דברים אמורים - בעני שבישראל, אבל במכובד הכל לפי כבודו. </w:t>
      </w:r>
      <w:r>
        <w:rPr>
          <w:rFonts w:cs="Arial" w:hint="cs"/>
          <w:rtl/>
        </w:rPr>
        <w:t xml:space="preserve">     </w:t>
      </w:r>
      <w:r w:rsidRPr="00DC614B">
        <w:rPr>
          <w:rFonts w:cs="Arial" w:hint="cs"/>
          <w:u w:val="double"/>
          <w:rtl/>
        </w:rPr>
        <w:t>גמ'</w:t>
      </w:r>
      <w:r>
        <w:rPr>
          <w:rFonts w:cs="Arial" w:hint="cs"/>
          <w:sz w:val="14"/>
          <w:szCs w:val="14"/>
          <w:u w:val="double"/>
          <w:rtl/>
        </w:rPr>
        <w:t>(סה.)</w:t>
      </w:r>
      <w:r>
        <w:rPr>
          <w:rFonts w:cs="Arial" w:hint="cs"/>
          <w:u w:val="double"/>
          <w:rtl/>
        </w:rPr>
        <w:t>:</w:t>
      </w:r>
      <w:r w:rsidRPr="00DC614B">
        <w:rPr>
          <w:rtl/>
        </w:rPr>
        <w:t xml:space="preserve"> </w:t>
      </w:r>
      <w:r w:rsidRPr="00DC614B">
        <w:rPr>
          <w:rFonts w:cs="Arial"/>
          <w:rtl/>
        </w:rPr>
        <w:t>ונותן לה מטה ומפץ וכו'. מפץ ומחצלת למה לה</w:t>
      </w:r>
      <w:r>
        <w:rPr>
          <w:rStyle w:val="a7"/>
          <w:rFonts w:cs="Arial"/>
          <w:rtl/>
        </w:rPr>
        <w:footnoteReference w:id="1158"/>
      </w:r>
      <w:r w:rsidRPr="00DC614B">
        <w:rPr>
          <w:rFonts w:cs="Arial"/>
          <w:rtl/>
        </w:rPr>
        <w:t xml:space="preserve"> דיהב לה? </w:t>
      </w:r>
      <w:r w:rsidRPr="009F349A">
        <w:rPr>
          <w:rFonts w:cs="Arial"/>
          <w:u w:val="single"/>
          <w:rtl/>
        </w:rPr>
        <w:t>אמר רב פפא</w:t>
      </w:r>
      <w:r w:rsidRPr="00DC614B">
        <w:rPr>
          <w:rFonts w:cs="Arial"/>
          <w:rtl/>
        </w:rPr>
        <w:t>: באתרא דנהיגי דמלו פוריא בחבלי, דמבגר לה</w:t>
      </w:r>
      <w:r>
        <w:rPr>
          <w:rStyle w:val="a7"/>
          <w:rFonts w:cs="Arial"/>
          <w:rtl/>
        </w:rPr>
        <w:footnoteReference w:id="1159"/>
      </w:r>
      <w:r w:rsidRPr="00DC614B">
        <w:rPr>
          <w:rFonts w:cs="Arial"/>
          <w:rtl/>
        </w:rPr>
        <w:t xml:space="preserve">. ת"ר: אין נותנין לה כר וכסת, </w:t>
      </w:r>
      <w:r w:rsidRPr="009F349A">
        <w:rPr>
          <w:rFonts w:cs="Arial"/>
          <w:u w:val="single"/>
          <w:rtl/>
        </w:rPr>
        <w:t>משום ר' נתן אמרו</w:t>
      </w:r>
      <w:r w:rsidRPr="00DC614B">
        <w:rPr>
          <w:rFonts w:cs="Arial"/>
          <w:rtl/>
        </w:rPr>
        <w:t>: נותנין לה כר וכסת. היכי דמי? אי דאורחה, מאי טעמא דת"ק? ואי דלאו אורחה, מ"ט דרבי נתן? לא צריכא, כגון דאורחיה דידיה ולאו אורחה דידה, תנא קמא סבר, אמר לה: כי אזילנא שקילנא להו, וכי אתינא מייתינא להו בהדאי</w:t>
      </w:r>
      <w:r>
        <w:rPr>
          <w:rFonts w:cs="Arial" w:hint="cs"/>
          <w:rtl/>
        </w:rPr>
        <w:t>.</w:t>
      </w:r>
      <w:r w:rsidRPr="00DC614B">
        <w:rPr>
          <w:rFonts w:cs="Arial"/>
          <w:rtl/>
        </w:rPr>
        <w:t xml:space="preserve"> ורבי נתן סבר, אמרה ליה: זימנין דמיתרמי בין השמשות ולא מצית מייתי להו, ושקלת להו לדידי ומגנית לי על ארעא. ונותן לה כפה. </w:t>
      </w:r>
      <w:r w:rsidRPr="009F349A">
        <w:rPr>
          <w:rFonts w:cs="Arial"/>
          <w:u w:val="single"/>
          <w:rtl/>
        </w:rPr>
        <w:t>אמר ליה רב פפא לאביי</w:t>
      </w:r>
      <w:r w:rsidRPr="00DC614B">
        <w:rPr>
          <w:rFonts w:cs="Arial"/>
          <w:rtl/>
        </w:rPr>
        <w:t>:</w:t>
      </w:r>
      <w:r>
        <w:rPr>
          <w:rFonts w:cs="Arial" w:hint="cs"/>
          <w:rtl/>
        </w:rPr>
        <w:t xml:space="preserve"> </w:t>
      </w:r>
      <w:r>
        <w:rPr>
          <w:rFonts w:cs="Arial" w:hint="cs"/>
          <w:sz w:val="14"/>
          <w:szCs w:val="14"/>
          <w:rtl/>
        </w:rPr>
        <w:t>(סה:)</w:t>
      </w:r>
      <w:r>
        <w:rPr>
          <w:rFonts w:cs="Arial" w:hint="cs"/>
          <w:rtl/>
        </w:rPr>
        <w:t xml:space="preserve"> </w:t>
      </w:r>
      <w:r w:rsidRPr="00DC614B">
        <w:rPr>
          <w:rFonts w:cs="Arial"/>
          <w:rtl/>
        </w:rPr>
        <w:t>האי תנא שליח ערטלאי ורמי מסאני</w:t>
      </w:r>
      <w:r>
        <w:rPr>
          <w:rStyle w:val="a7"/>
          <w:rFonts w:cs="Arial"/>
          <w:rtl/>
        </w:rPr>
        <w:footnoteReference w:id="1160"/>
      </w:r>
      <w:r w:rsidRPr="00DC614B">
        <w:rPr>
          <w:rFonts w:cs="Arial"/>
          <w:rtl/>
        </w:rPr>
        <w:t>! אמר ליה: תנא במקום הרים קאי, דלא סגיא בלא תלתא זוגי מסאני, ואגב אורחיה קא משמע לן דניתבינהו ניהלה במועד, כי היכי דניהוי לה שמחה בגוייהו. וכלים של חמשים זוז. אמר אביי: חמשים זוזי פשיטי. ממאי? מדקתני: במה דברים אמורים - בעני שבישראל, אבל במכובד הכל לפי כבודו</w:t>
      </w:r>
      <w:r>
        <w:rPr>
          <w:rFonts w:cs="Arial" w:hint="cs"/>
          <w:rtl/>
        </w:rPr>
        <w:t>.</w:t>
      </w:r>
      <w:r w:rsidRPr="00DC614B">
        <w:rPr>
          <w:rFonts w:cs="Arial"/>
          <w:rtl/>
        </w:rPr>
        <w:t xml:space="preserve"> ואי ס"ד חמשים זוז ממש, עני חמשים זוז מנא ליה? אלא ש"מ, חמשים זוזי פשיטי. ואין נותנין לה לא חדשים וכו'. ת"ר: מותר מזונות לבעל, מותר בלאות לאשה. מותר בלאות לאשה למה לה? אמר רחבה: שמתכסה בהן בימי נדתה, כדי שלא תתגנה על בעלה. אמר אביי נקטינן: מותר בלאות אלמנה ליורשיו, התם הוא דלא תתגני באפיה, הכא תתגני ותתגני.</w:t>
      </w:r>
    </w:p>
    <w:p w14:paraId="28A3420C" w14:textId="77777777" w:rsidR="002E5BAD" w:rsidRDefault="002E5BAD" w:rsidP="002E5BAD">
      <w:pPr>
        <w:rPr>
          <w:rFonts w:cs="Arial"/>
          <w:u w:val="single"/>
          <w:rtl/>
        </w:rPr>
      </w:pPr>
      <w:r w:rsidRPr="00C479CF">
        <w:rPr>
          <w:rFonts w:cs="Arial" w:hint="cs"/>
          <w:b/>
          <w:bCs/>
          <w:rtl/>
        </w:rPr>
        <w:t>תוספתא כתובות פ"ה ה"ח</w:t>
      </w:r>
      <w:r w:rsidRPr="00C479CF">
        <w:rPr>
          <w:rStyle w:val="a7"/>
          <w:rFonts w:cs="Arial"/>
          <w:b/>
          <w:bCs/>
          <w:rtl/>
        </w:rPr>
        <w:footnoteReference w:id="1161"/>
      </w:r>
      <w:r>
        <w:rPr>
          <w:rFonts w:cs="Arial" w:hint="cs"/>
          <w:rtl/>
        </w:rPr>
        <w:t>:</w:t>
      </w:r>
      <w:r w:rsidRPr="00C479CF">
        <w:rPr>
          <w:rtl/>
        </w:rPr>
        <w:t xml:space="preserve"> </w:t>
      </w:r>
      <w:r w:rsidRPr="00C479CF">
        <w:rPr>
          <w:rFonts w:cs="Arial"/>
          <w:rtl/>
        </w:rPr>
        <w:t>המשרא את אשתו על ידי שליש</w:t>
      </w:r>
      <w:r>
        <w:rPr>
          <w:rFonts w:cs="Arial" w:hint="cs"/>
          <w:rtl/>
        </w:rPr>
        <w:t xml:space="preserve">... </w:t>
      </w:r>
      <w:r w:rsidRPr="00C479CF">
        <w:rPr>
          <w:rFonts w:cs="Arial"/>
          <w:rtl/>
        </w:rPr>
        <w:t>נתן לה כוס חבית וקדירה פך נר ופתילה</w:t>
      </w:r>
      <w:r>
        <w:rPr>
          <w:rFonts w:cs="Arial" w:hint="cs"/>
          <w:rtl/>
        </w:rPr>
        <w:t>.</w:t>
      </w:r>
      <w:r w:rsidRPr="00C479CF">
        <w:rPr>
          <w:rFonts w:cs="Arial"/>
          <w:rtl/>
        </w:rPr>
        <w:t xml:space="preserve"> </w:t>
      </w:r>
      <w:r w:rsidRPr="00DC614B">
        <w:rPr>
          <w:rtl/>
        </w:rPr>
        <w:t xml:space="preserve"> </w:t>
      </w:r>
    </w:p>
    <w:p w14:paraId="1A2982E7" w14:textId="77777777" w:rsidR="002E5BAD" w:rsidRPr="008148D4" w:rsidRDefault="002E5BAD" w:rsidP="002E5BAD">
      <w:pPr>
        <w:rPr>
          <w:u w:val="single"/>
          <w:rtl/>
        </w:rPr>
      </w:pPr>
      <w:r w:rsidRPr="008148D4">
        <w:rPr>
          <w:rFonts w:hint="cs"/>
          <w:u w:val="single"/>
          <w:rtl/>
        </w:rPr>
        <w:t>חיוב כסות כיצד:</w:t>
      </w:r>
    </w:p>
    <w:p w14:paraId="458FA8C4"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(פי"ג מאישות ה"א-)</w:t>
      </w:r>
      <w:r>
        <w:rPr>
          <w:rFonts w:cs="Arial" w:hint="cs"/>
          <w:rtl/>
        </w:rPr>
        <w:t xml:space="preserve"> וטור- </w:t>
      </w:r>
      <w:r w:rsidRPr="00486F46">
        <w:rPr>
          <w:rFonts w:cs="Arial"/>
          <w:rtl/>
        </w:rPr>
        <w:t>כמה הכסות שהוא חייב ליתן לה, בגדים של חמשים זוז משנה לשנה ממטבע אותן הימים שנמצאו החמשים ששה דינרין ורביע דינר כסף, נותנין לה חדשים בימות הגשמים ולובשת בלאותיהן בימות החמה, והשחקים והם מותר הכסות הרי הן שלה כדי שתתכסה בהם בימי נדתה, ונותן לה חגור למתניה וכפה לראשה, ומנעל ממועד למועד</w:t>
      </w:r>
      <w:r>
        <w:rPr>
          <w:rFonts w:cs="Arial" w:hint="cs"/>
          <w:rtl/>
        </w:rPr>
        <w:t xml:space="preserve">. </w:t>
      </w:r>
      <w:r w:rsidRPr="00175ED5">
        <w:rPr>
          <w:rFonts w:cs="Arial"/>
          <w:rtl/>
        </w:rPr>
        <w:t>במה דברים אמורים באותן הימים ובארץ ישראל אבל בשאר זמנים ושאר המקומות אין הדמים עיקר, יש מקומות שיהיו שם הבגדים ביוקר הרבה או בזול הרבה, אלא העיקר שסומכין עליו שמחייבין אותו ליתן לה בגדים הראויות בימות הגשמים ובימות החמה בפחות</w:t>
      </w:r>
      <w:r>
        <w:rPr>
          <w:rStyle w:val="a7"/>
          <w:rFonts w:cs="Arial"/>
          <w:rtl/>
        </w:rPr>
        <w:footnoteReference w:id="1162"/>
      </w:r>
      <w:r w:rsidRPr="00175ED5">
        <w:rPr>
          <w:rFonts w:cs="Arial"/>
          <w:rtl/>
        </w:rPr>
        <w:t xml:space="preserve"> שלובשת כל אשה בעלת בית באותה המדינה</w:t>
      </w:r>
      <w:r w:rsidRPr="00175ED5">
        <w:rPr>
          <w:rFonts w:cs="Arial" w:hint="cs"/>
          <w:sz w:val="16"/>
          <w:szCs w:val="16"/>
          <w:rtl/>
        </w:rPr>
        <w:t xml:space="preserve"> (ל' הרמב"ם)</w:t>
      </w:r>
      <w:r w:rsidRPr="00175ED5">
        <w:rPr>
          <w:rFonts w:cs="Arial"/>
          <w:rtl/>
        </w:rPr>
        <w:t xml:space="preserve">. </w:t>
      </w:r>
      <w:r w:rsidRPr="00D33EFE">
        <w:rPr>
          <w:rFonts w:hint="cs"/>
          <w:color w:val="E36C0A" w:themeColor="accent6" w:themeShade="BF"/>
          <w:rtl/>
        </w:rPr>
        <w:t>(וכ"פ בשו"ע)</w:t>
      </w:r>
    </w:p>
    <w:p w14:paraId="334A40AB" w14:textId="77777777" w:rsidR="002E5BAD" w:rsidRPr="00175ED5" w:rsidRDefault="002E5BAD" w:rsidP="002E5BAD">
      <w:pPr>
        <w:ind w:left="360"/>
        <w:rPr>
          <w:rFonts w:cs="Arial"/>
          <w:u w:val="dotted"/>
          <w:rtl/>
        </w:rPr>
      </w:pPr>
      <w:r w:rsidRPr="00175ED5">
        <w:rPr>
          <w:rFonts w:cs="Arial" w:hint="cs"/>
          <w:u w:val="dotted"/>
          <w:rtl/>
        </w:rPr>
        <w:t>ומה עם כלי בית ומדור:</w:t>
      </w:r>
    </w:p>
    <w:p w14:paraId="429FB551" w14:textId="77777777" w:rsidR="002E5BAD" w:rsidRPr="00717619"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מאישות ה"ג)</w:t>
      </w:r>
      <w:r w:rsidRPr="00794F86">
        <w:rPr>
          <w:rFonts w:cs="Arial" w:hint="cs"/>
          <w:rtl/>
        </w:rPr>
        <w:t xml:space="preserve"> </w:t>
      </w:r>
      <w:r>
        <w:rPr>
          <w:rFonts w:cs="Arial" w:hint="cs"/>
          <w:rtl/>
        </w:rPr>
        <w:t xml:space="preserve">וטור- </w:t>
      </w:r>
      <w:r w:rsidRPr="00486F46">
        <w:rPr>
          <w:rFonts w:cs="Arial"/>
          <w:rtl/>
        </w:rPr>
        <w:t>ובכלל הכסות שהוא חייב לה כלי בית ומדור שיושבת בו, ומה הן כלי בית מטה מוצעת ומפץ או מחצלת לישב עליה, וכלי אכילה ושתיה כגון קדרה וקערה וכוס ובקבוק וכיוצא בהן</w:t>
      </w:r>
      <w:r>
        <w:rPr>
          <w:rStyle w:val="a7"/>
          <w:rFonts w:cs="Arial"/>
          <w:rtl/>
        </w:rPr>
        <w:footnoteReference w:id="1163"/>
      </w:r>
      <w:r>
        <w:rPr>
          <w:rFonts w:cs="Arial" w:hint="cs"/>
          <w:rtl/>
        </w:rPr>
        <w:t>...</w:t>
      </w:r>
      <w:r w:rsidRPr="00486F46">
        <w:rPr>
          <w:rFonts w:cs="Arial"/>
          <w:rtl/>
        </w:rPr>
        <w:t xml:space="preserve"> </w:t>
      </w:r>
      <w:r>
        <w:rPr>
          <w:rFonts w:cs="Arial" w:hint="cs"/>
          <w:sz w:val="16"/>
          <w:szCs w:val="16"/>
          <w:rtl/>
        </w:rPr>
        <w:t>(ל' הרמב"ם)</w:t>
      </w:r>
      <w:r w:rsidRPr="00486F46">
        <w:rPr>
          <w:rFonts w:cs="Arial"/>
          <w:rtl/>
        </w:rPr>
        <w:t xml:space="preserve">. </w:t>
      </w:r>
      <w:r w:rsidRPr="00D33EFE">
        <w:rPr>
          <w:rFonts w:hint="cs"/>
          <w:color w:val="E36C0A" w:themeColor="accent6" w:themeShade="BF"/>
          <w:rtl/>
        </w:rPr>
        <w:t>(וכ"פ בשו"ע)</w:t>
      </w:r>
    </w:p>
    <w:p w14:paraId="03FBAC10" w14:textId="77777777" w:rsidR="002E5BAD" w:rsidRDefault="002E5BAD" w:rsidP="002E5BAD">
      <w:pPr>
        <w:rPr>
          <w:rFonts w:cs="Arial"/>
          <w:rtl/>
        </w:rPr>
      </w:pPr>
      <w:r w:rsidRPr="00860DA1">
        <w:rPr>
          <w:rFonts w:cs="Arial"/>
          <w:b/>
          <w:bCs/>
          <w:rtl/>
        </w:rPr>
        <w:t>בראשית רבה בראשית פרשה יח</w:t>
      </w:r>
      <w:r w:rsidRPr="00860DA1">
        <w:rPr>
          <w:rFonts w:cs="Arial" w:hint="cs"/>
          <w:b/>
          <w:bCs/>
          <w:rtl/>
        </w:rPr>
        <w:t xml:space="preserve"> סימן א</w:t>
      </w:r>
      <w:r w:rsidRPr="00860DA1">
        <w:rPr>
          <w:rStyle w:val="a7"/>
          <w:rFonts w:cs="Arial"/>
          <w:b/>
          <w:bCs/>
          <w:rtl/>
        </w:rPr>
        <w:footnoteReference w:id="1164"/>
      </w:r>
      <w:r w:rsidRPr="00860DA1">
        <w:rPr>
          <w:rFonts w:cs="Arial" w:hint="cs"/>
          <w:b/>
          <w:bCs/>
          <w:rtl/>
        </w:rPr>
        <w:t>:</w:t>
      </w:r>
      <w:r>
        <w:rPr>
          <w:rFonts w:cs="Arial" w:hint="cs"/>
          <w:rtl/>
        </w:rPr>
        <w:t xml:space="preserve"> </w:t>
      </w:r>
      <w:r w:rsidRPr="00880956">
        <w:rPr>
          <w:rFonts w:cs="Arial"/>
          <w:rtl/>
        </w:rPr>
        <w:t>דרכה של אשה להיות יושבת בתוך ביתה ודרכו של איש להיות יוצא לשוק ולמד בינה מבני אדם</w:t>
      </w:r>
      <w:r>
        <w:rPr>
          <w:rFonts w:cs="Arial" w:hint="cs"/>
          <w:rtl/>
        </w:rPr>
        <w:t>.</w:t>
      </w:r>
      <w:r w:rsidRPr="00880956">
        <w:rPr>
          <w:rFonts w:cs="Arial"/>
          <w:rtl/>
        </w:rPr>
        <w:t xml:space="preserve"> </w:t>
      </w:r>
    </w:p>
    <w:p w14:paraId="690487CD" w14:textId="77777777" w:rsidR="002E5BAD" w:rsidRDefault="002E5BAD" w:rsidP="002E5BAD">
      <w:pPr>
        <w:rPr>
          <w:rFonts w:cs="Arial"/>
          <w:rtl/>
        </w:rPr>
      </w:pPr>
      <w:r>
        <w:rPr>
          <w:rFonts w:cs="Arial" w:hint="cs"/>
          <w:b/>
          <w:bCs/>
          <w:rtl/>
        </w:rPr>
        <w:t xml:space="preserve">בראשית רבה בראשית פרשה ח סימן יב: </w:t>
      </w:r>
      <w:r w:rsidRPr="00C63D87">
        <w:rPr>
          <w:rFonts w:cs="Arial"/>
          <w:u w:val="single"/>
          <w:rtl/>
        </w:rPr>
        <w:t>ר' יוחנן בן ברוקה אומר</w:t>
      </w:r>
      <w:r w:rsidRPr="00C63D87">
        <w:rPr>
          <w:rFonts w:cs="Arial" w:hint="cs"/>
          <w:u w:val="single"/>
          <w:rtl/>
        </w:rPr>
        <w:t>:</w:t>
      </w:r>
      <w:r w:rsidRPr="00860DA1">
        <w:rPr>
          <w:rFonts w:cs="Arial"/>
          <w:rtl/>
        </w:rPr>
        <w:t xml:space="preserve"> אחד האיש ואחד האשה על שניהם הוא אומר </w:t>
      </w:r>
      <w:r>
        <w:rPr>
          <w:rFonts w:cs="Arial" w:hint="cs"/>
          <w:rtl/>
        </w:rPr>
        <w:t>'</w:t>
      </w:r>
      <w:r w:rsidRPr="00860DA1">
        <w:rPr>
          <w:rFonts w:cs="Arial"/>
          <w:rtl/>
        </w:rPr>
        <w:t>ויברך אתם אלהים ויאמר להם אלהים פרו ורבו ומלאו את הארץ וכבשה</w:t>
      </w:r>
      <w:r>
        <w:rPr>
          <w:rFonts w:cs="Arial" w:hint="cs"/>
          <w:rtl/>
        </w:rPr>
        <w:t>'.</w:t>
      </w:r>
      <w:r w:rsidRPr="00860DA1">
        <w:rPr>
          <w:rFonts w:cs="Arial"/>
          <w:rtl/>
        </w:rPr>
        <w:t xml:space="preserve"> וכבשה כתיב, האיש כובש אשתו שלא תצא </w:t>
      </w:r>
      <w:r w:rsidRPr="00860DA1">
        <w:rPr>
          <w:rFonts w:cs="Arial"/>
          <w:rtl/>
        </w:rPr>
        <w:lastRenderedPageBreak/>
        <w:t>לשוק, שכל אשה שיוצאה לשוק סופה להכשל, מנא לן מן דינה שנאמר (בראשית לד) ותצא דינה ולבסוף נכשלה הה"ד (בראשית לד) וירא אותה שכם וגו'</w:t>
      </w:r>
      <w:r>
        <w:rPr>
          <w:rFonts w:cs="Arial" w:hint="cs"/>
          <w:rtl/>
        </w:rPr>
        <w:t>.</w:t>
      </w:r>
      <w:r w:rsidRPr="00860DA1">
        <w:rPr>
          <w:rFonts w:cs="Arial"/>
          <w:rtl/>
        </w:rPr>
        <w:t xml:space="preserve"> </w:t>
      </w:r>
      <w:r w:rsidRPr="00C63D87">
        <w:rPr>
          <w:rFonts w:cs="Arial"/>
          <w:u w:val="single"/>
          <w:rtl/>
        </w:rPr>
        <w:t>רבי ירמיה ור' אבהו ור' יצחק בר מריון בשם רבי חנינא</w:t>
      </w:r>
      <w:r>
        <w:rPr>
          <w:rFonts w:cs="Arial" w:hint="cs"/>
          <w:rtl/>
        </w:rPr>
        <w:t>:</w:t>
      </w:r>
      <w:r w:rsidRPr="00860DA1">
        <w:rPr>
          <w:rFonts w:cs="Arial"/>
          <w:rtl/>
        </w:rPr>
        <w:t xml:space="preserve"> הלכה כרבי יוחנן.</w:t>
      </w:r>
    </w:p>
    <w:p w14:paraId="6DDAA0D5" w14:textId="77777777" w:rsidR="002E5BAD" w:rsidRDefault="002E5BAD" w:rsidP="002E5BAD">
      <w:pPr>
        <w:rPr>
          <w:rFonts w:cs="Arial"/>
          <w:rtl/>
        </w:rPr>
      </w:pPr>
      <w:r w:rsidRPr="007226C0">
        <w:rPr>
          <w:rFonts w:cs="Arial"/>
          <w:b/>
          <w:bCs/>
          <w:rtl/>
        </w:rPr>
        <w:t xml:space="preserve">ספרי </w:t>
      </w:r>
      <w:r w:rsidRPr="007226C0">
        <w:rPr>
          <w:rFonts w:cs="Arial" w:hint="cs"/>
          <w:b/>
          <w:bCs/>
          <w:rtl/>
        </w:rPr>
        <w:t xml:space="preserve">דברים </w:t>
      </w:r>
      <w:r w:rsidRPr="007226C0">
        <w:rPr>
          <w:rFonts w:cs="Arial"/>
          <w:b/>
          <w:bCs/>
          <w:rtl/>
        </w:rPr>
        <w:t>פרש</w:t>
      </w:r>
      <w:r w:rsidRPr="007226C0">
        <w:rPr>
          <w:rFonts w:cs="Arial" w:hint="cs"/>
          <w:b/>
          <w:bCs/>
          <w:rtl/>
        </w:rPr>
        <w:t>ת</w:t>
      </w:r>
      <w:r w:rsidRPr="007226C0">
        <w:rPr>
          <w:rFonts w:cs="Arial"/>
          <w:b/>
          <w:bCs/>
          <w:rtl/>
        </w:rPr>
        <w:t xml:space="preserve"> כי תצא פסקא רמב </w:t>
      </w:r>
      <w:r w:rsidRPr="007226C0">
        <w:rPr>
          <w:rFonts w:cs="Arial" w:hint="cs"/>
          <w:b/>
          <w:bCs/>
          <w:rtl/>
        </w:rPr>
        <w:t>אות כג:</w:t>
      </w:r>
      <w:r w:rsidRPr="007226C0">
        <w:rPr>
          <w:rtl/>
        </w:rPr>
        <w:t xml:space="preserve"> </w:t>
      </w:r>
      <w:r w:rsidRPr="007226C0">
        <w:rPr>
          <w:rFonts w:cs="Arial"/>
          <w:rtl/>
        </w:rPr>
        <w:t xml:space="preserve">כי יהיה נערה בתולה מאורשה לאיש, מלמד שאינו חייב עד שתהא נערה בתולה מאורשה לאיש. ומצאה איש בעיר, אילו לא יצאת בעיר לא היה מסתקף לה. בעיר ושכב עמה, מלמד שהפרצה קוראה לגנב. </w:t>
      </w:r>
    </w:p>
    <w:p w14:paraId="7758F1A7" w14:textId="77777777" w:rsidR="002E5BAD" w:rsidRPr="00175ED5" w:rsidRDefault="002E5BAD" w:rsidP="002E5BAD">
      <w:pPr>
        <w:rPr>
          <w:rFonts w:cs="Arial"/>
          <w:u w:val="single"/>
          <w:rtl/>
        </w:rPr>
      </w:pPr>
      <w:r w:rsidRPr="00175ED5">
        <w:rPr>
          <w:rFonts w:cs="Arial" w:hint="cs"/>
          <w:u w:val="single"/>
          <w:rtl/>
        </w:rPr>
        <w:t>מקום שדכך הנשים לצאת עם מלבוש נוסף:</w:t>
      </w:r>
    </w:p>
    <w:p w14:paraId="2A3B91A0" w14:textId="77777777" w:rsidR="002E5BAD" w:rsidRPr="00486F46" w:rsidRDefault="002E5BAD" w:rsidP="002E5BAD">
      <w:pPr>
        <w:pStyle w:val="ab"/>
        <w:numPr>
          <w:ilvl w:val="0"/>
          <w:numId w:val="136"/>
        </w:numPr>
      </w:pPr>
      <w:r>
        <w:rPr>
          <w:rFonts w:cs="Arial" w:hint="cs"/>
          <w:rtl/>
        </w:rPr>
        <w:t xml:space="preserve">רמב"ם </w:t>
      </w:r>
      <w:r>
        <w:rPr>
          <w:rFonts w:cs="Arial" w:hint="cs"/>
          <w:sz w:val="16"/>
          <w:szCs w:val="16"/>
          <w:rtl/>
        </w:rPr>
        <w:t>(פי"ג מאישות הי"א)</w:t>
      </w:r>
      <w:r w:rsidRPr="00794F86">
        <w:rPr>
          <w:rFonts w:cs="Arial" w:hint="cs"/>
          <w:rtl/>
        </w:rPr>
        <w:t xml:space="preserve"> </w:t>
      </w:r>
      <w:r>
        <w:rPr>
          <w:rFonts w:cs="Arial" w:hint="cs"/>
          <w:rtl/>
        </w:rPr>
        <w:t xml:space="preserve">וטור- </w:t>
      </w:r>
      <w:r w:rsidRPr="00486F46">
        <w:rPr>
          <w:rFonts w:cs="Arial"/>
          <w:rtl/>
        </w:rPr>
        <w:t xml:space="preserve">מקום שדרכן שלא תצא אשה בשוק בכפה שעל ראשה בלבד עד שיהיה עליה רדיד החופה את כל גופה כמו טלית </w:t>
      </w:r>
      <w:r>
        <w:rPr>
          <w:rFonts w:cs="Arial" w:hint="cs"/>
          <w:rtl/>
        </w:rPr>
        <w:t xml:space="preserve">- </w:t>
      </w:r>
      <w:r w:rsidRPr="00486F46">
        <w:rPr>
          <w:rFonts w:cs="Arial"/>
          <w:rtl/>
        </w:rPr>
        <w:t>נותן לה בכלל הכסות רדיד הפחות מכל הרדידין</w:t>
      </w:r>
      <w:r>
        <w:rPr>
          <w:rStyle w:val="a7"/>
          <w:rFonts w:cs="Arial"/>
          <w:rtl/>
        </w:rPr>
        <w:footnoteReference w:id="1165"/>
      </w:r>
      <w:r w:rsidRPr="00486F46">
        <w:rPr>
          <w:rFonts w:cs="Arial"/>
          <w:rtl/>
        </w:rPr>
        <w:t xml:space="preserve">, ואם היה עשיר נותן לה לפי עשרו כדי שתצא בו לבית אביה או לבית האבל או לבית המשתה, לפי שכל אשה יש לה לצאת ולילך לבית אביה לבקרו ולבית האבל ולבית המשתה לגמול חסד לרעותיה ולקרובותיה כדי שיבואו הם לה, שאינה בבית הסוהר עד שלא תצא ולא תבוא. אבל גנאי הוא לאשה שתהיה יוצאה תמיד פעם בחוץ פעם ברחובות, ויש לבעל למנוע אשתו מזה ולא יניחנה לצאת אלא כמו פעם אחת בחודש או פעמים בחודש כפי הצורך, שאין יופי לאשה אלא לישב בזוית ביתה שכך כתוב </w:t>
      </w:r>
      <w:r>
        <w:rPr>
          <w:rFonts w:cs="Arial" w:hint="cs"/>
          <w:rtl/>
        </w:rPr>
        <w:t>(</w:t>
      </w:r>
      <w:r w:rsidRPr="00486F46">
        <w:rPr>
          <w:rFonts w:cs="Arial"/>
          <w:rtl/>
        </w:rPr>
        <w:t>תהלים מה</w:t>
      </w:r>
      <w:r>
        <w:rPr>
          <w:rFonts w:cs="Arial" w:hint="cs"/>
          <w:rtl/>
        </w:rPr>
        <w:t>)</w:t>
      </w:r>
      <w:r w:rsidRPr="00486F46">
        <w:rPr>
          <w:rFonts w:cs="Arial"/>
          <w:rtl/>
        </w:rPr>
        <w:t xml:space="preserve"> כל כבודה בת מלך פנימה</w:t>
      </w:r>
      <w:r>
        <w:rPr>
          <w:rFonts w:cs="Arial" w:hint="cs"/>
          <w:sz w:val="16"/>
          <w:szCs w:val="16"/>
          <w:rtl/>
        </w:rPr>
        <w:t xml:space="preserve"> (ל' הרמב"ם)</w:t>
      </w:r>
      <w:r w:rsidRPr="00486F46">
        <w:rPr>
          <w:rFonts w:cs="Arial"/>
          <w:rtl/>
        </w:rPr>
        <w:t xml:space="preserve">. </w:t>
      </w:r>
      <w:r w:rsidRPr="00D33EFE">
        <w:rPr>
          <w:rFonts w:hint="cs"/>
          <w:color w:val="E36C0A" w:themeColor="accent6" w:themeShade="BF"/>
          <w:rtl/>
        </w:rPr>
        <w:t>(וכ"פ בשו"ע)</w:t>
      </w:r>
      <w:r>
        <w:rPr>
          <w:rFonts w:hint="cs"/>
          <w:rtl/>
        </w:rPr>
        <w:t xml:space="preserve"> </w:t>
      </w:r>
      <w:r w:rsidRPr="009F349A">
        <w:rPr>
          <w:rFonts w:hint="cs"/>
          <w:color w:val="00B0F0"/>
          <w:rtl/>
        </w:rPr>
        <w:t>(וכ"פ הרמ"א)</w:t>
      </w:r>
    </w:p>
    <w:p w14:paraId="4A4E67A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CEAC11D" w14:textId="77777777" w:rsidR="002E5BAD" w:rsidRDefault="002E5BAD" w:rsidP="002E5BAD">
      <w:pPr>
        <w:rPr>
          <w:rtl/>
        </w:rPr>
      </w:pPr>
      <w:r>
        <w:rPr>
          <w:rFonts w:cs="Arial"/>
          <w:rtl/>
        </w:rPr>
        <w:t xml:space="preserve">כסותה כיצד, חייב ליתן לה בגדים הראויים לה בימות הגשמים ובימות החמה, בפחות שלובשת כל אשה בעלת בית שבאותה המדינה. ואם באותו מקום אין דרך לצאת אשה לשוק עד שיהיה עליה רדיד החופה את כל גופה, נותן לה רדיד הפחות שבכל הרדידין. </w:t>
      </w:r>
      <w:r>
        <w:rPr>
          <w:rFonts w:cs="Arial" w:hint="cs"/>
          <w:sz w:val="18"/>
          <w:szCs w:val="18"/>
          <w:rtl/>
        </w:rPr>
        <w:t xml:space="preserve">[הגה] </w:t>
      </w:r>
      <w:r w:rsidRPr="0079449D">
        <w:rPr>
          <w:rFonts w:cs="Arial"/>
          <w:sz w:val="18"/>
          <w:szCs w:val="18"/>
          <w:rtl/>
        </w:rPr>
        <w:t xml:space="preserve">ואשה לא תרגיל עצמה לצאת הרבה, שאין יופי לאשה אלא לישב בזויות ביתה (טור). </w:t>
      </w:r>
      <w:r>
        <w:rPr>
          <w:rFonts w:cs="Arial"/>
          <w:rtl/>
        </w:rPr>
        <w:t xml:space="preserve">ובכלל הכסות, שהוא חייב ליתן לה כלי בית ומדור שהיא יושבת בו. ומה הם כלי בית, מטה מוצעת ומפץ או מחצלת לישב עליה, וכלי אכילה ושתיה כגון קדרה וקערה וחבית ופך ונר וכוס ובקבוק וכיוצא בהן. </w:t>
      </w:r>
    </w:p>
    <w:p w14:paraId="14FF5AC4" w14:textId="77777777" w:rsidR="002E5BAD" w:rsidRDefault="002E5BAD" w:rsidP="002E5BAD">
      <w:pPr>
        <w:rPr>
          <w:rtl/>
        </w:rPr>
      </w:pPr>
    </w:p>
    <w:p w14:paraId="2349D3E4" w14:textId="77777777" w:rsidR="002E5BAD" w:rsidRDefault="002E5BAD" w:rsidP="002E5BAD">
      <w:pPr>
        <w:pStyle w:val="2"/>
        <w:rPr>
          <w:rtl/>
        </w:rPr>
      </w:pPr>
      <w:r>
        <w:rPr>
          <w:rtl/>
        </w:rPr>
        <w:t>סעיף ב</w:t>
      </w:r>
      <w:r>
        <w:rPr>
          <w:rFonts w:hint="cs"/>
          <w:rtl/>
        </w:rPr>
        <w:t>: מדור.</w:t>
      </w:r>
    </w:p>
    <w:p w14:paraId="62529EA1" w14:textId="77777777" w:rsidR="002E5BAD" w:rsidRDefault="002E5BAD" w:rsidP="002E5BAD">
      <w:pPr>
        <w:rPr>
          <w:rtl/>
        </w:rPr>
      </w:pPr>
      <w:r>
        <w:rPr>
          <w:rFonts w:cs="Arial" w:hint="cs"/>
          <w:b/>
          <w:bCs/>
          <w:rtl/>
        </w:rPr>
        <w:t>כתובות</w:t>
      </w:r>
      <w:r w:rsidRPr="00C479CF">
        <w:rPr>
          <w:rFonts w:cs="Arial" w:hint="cs"/>
          <w:b/>
          <w:bCs/>
          <w:sz w:val="16"/>
          <w:szCs w:val="16"/>
          <w:rtl/>
        </w:rPr>
        <w:t xml:space="preserve"> (</w:t>
      </w:r>
      <w:r>
        <w:rPr>
          <w:rFonts w:cs="Arial" w:hint="cs"/>
          <w:b/>
          <w:bCs/>
          <w:sz w:val="16"/>
          <w:szCs w:val="16"/>
          <w:rtl/>
        </w:rPr>
        <w:t>פ' הנושא</w:t>
      </w:r>
      <w:r w:rsidRPr="00C479CF">
        <w:rPr>
          <w:rFonts w:cs="Arial" w:hint="cs"/>
          <w:b/>
          <w:bCs/>
          <w:sz w:val="16"/>
          <w:szCs w:val="16"/>
          <w:rtl/>
        </w:rPr>
        <w:t>)</w:t>
      </w:r>
      <w:r>
        <w:rPr>
          <w:rFonts w:cs="Arial" w:hint="cs"/>
          <w:b/>
          <w:bCs/>
          <w:rtl/>
        </w:rPr>
        <w:t xml:space="preserve"> קג ע"א: </w:t>
      </w:r>
      <w:r w:rsidRPr="00C479CF">
        <w:rPr>
          <w:rFonts w:cs="Arial"/>
          <w:rtl/>
        </w:rPr>
        <w:t>תנו רבנן: משתמשת במדור כדרך שמשתמשת בחיי בעלה</w:t>
      </w:r>
      <w:r>
        <w:rPr>
          <w:rFonts w:hint="cs"/>
          <w:rtl/>
        </w:rPr>
        <w:t>.</w:t>
      </w:r>
      <w:r w:rsidRPr="00C479CF">
        <w:rPr>
          <w:rFonts w:cs="Arial"/>
          <w:rtl/>
        </w:rPr>
        <w:t xml:space="preserve"> </w:t>
      </w:r>
      <w:r w:rsidRPr="00C479CF">
        <w:rPr>
          <w:rFonts w:cs="Arial" w:hint="cs"/>
          <w:sz w:val="16"/>
          <w:szCs w:val="16"/>
          <w:rtl/>
        </w:rPr>
        <w:t>(</w:t>
      </w:r>
      <w:r w:rsidRPr="00C479CF">
        <w:rPr>
          <w:rFonts w:cs="Arial"/>
          <w:sz w:val="16"/>
          <w:szCs w:val="16"/>
          <w:rtl/>
        </w:rPr>
        <w:t>וידוע שאין בית פחות מד' על ד'</w:t>
      </w:r>
      <w:r>
        <w:rPr>
          <w:rFonts w:cs="Arial" w:hint="cs"/>
          <w:sz w:val="16"/>
          <w:szCs w:val="16"/>
          <w:rtl/>
        </w:rPr>
        <w:t>, הה"מ [פי"ג מאישות ה"ג])</w:t>
      </w:r>
    </w:p>
    <w:p w14:paraId="169C674C" w14:textId="77777777" w:rsidR="002E5BAD" w:rsidRPr="00E47343" w:rsidRDefault="002E5BAD" w:rsidP="002E5BAD">
      <w:pPr>
        <w:rPr>
          <w:u w:val="single"/>
          <w:rtl/>
        </w:rPr>
      </w:pPr>
      <w:r w:rsidRPr="00E47343">
        <w:rPr>
          <w:rFonts w:hint="cs"/>
          <w:u w:val="single"/>
          <w:rtl/>
        </w:rPr>
        <w:t>חיוב מדור על הבעל:</w:t>
      </w:r>
    </w:p>
    <w:p w14:paraId="09339C2A" w14:textId="77777777" w:rsidR="002E5BAD" w:rsidRPr="00E47343"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מאישות ה"ג)</w:t>
      </w:r>
      <w:r w:rsidRPr="00794F86">
        <w:rPr>
          <w:rFonts w:cs="Arial" w:hint="cs"/>
          <w:rtl/>
        </w:rPr>
        <w:t xml:space="preserve"> </w:t>
      </w:r>
      <w:r>
        <w:rPr>
          <w:rFonts w:cs="Arial" w:hint="cs"/>
          <w:rtl/>
        </w:rPr>
        <w:t xml:space="preserve">וטור- </w:t>
      </w:r>
      <w:r w:rsidRPr="00486F46">
        <w:rPr>
          <w:rFonts w:cs="Arial"/>
          <w:rtl/>
        </w:rPr>
        <w:t>ובכלל הכסות שהוא חייב לה כלי בית ומדור שיושבת בו</w:t>
      </w:r>
      <w:r>
        <w:rPr>
          <w:rFonts w:cs="Arial" w:hint="cs"/>
          <w:rtl/>
        </w:rPr>
        <w:t xml:space="preserve">... </w:t>
      </w:r>
      <w:r w:rsidRPr="00486F46">
        <w:rPr>
          <w:rFonts w:cs="Arial"/>
          <w:rtl/>
        </w:rPr>
        <w:t>והמדור ששוכר לה בית של ארבע אמות על ארבע אמות ותהיה רחבה חוצה לו כדי להשתמש בה ויהיה לו בית הכסא חוץ ממנו</w:t>
      </w:r>
      <w:r>
        <w:rPr>
          <w:rFonts w:cs="Arial" w:hint="cs"/>
          <w:sz w:val="16"/>
          <w:szCs w:val="16"/>
          <w:rtl/>
        </w:rPr>
        <w:t xml:space="preserve"> (ל' הרמב"ם)</w:t>
      </w:r>
      <w:r w:rsidRPr="00486F46">
        <w:rPr>
          <w:rFonts w:cs="Arial"/>
          <w:rtl/>
        </w:rPr>
        <w:t xml:space="preserve">. </w:t>
      </w:r>
      <w:r w:rsidRPr="00D33EFE">
        <w:rPr>
          <w:rFonts w:hint="cs"/>
          <w:color w:val="E36C0A" w:themeColor="accent6" w:themeShade="BF"/>
          <w:rtl/>
        </w:rPr>
        <w:t>(וכ"פ בשו"ע)</w:t>
      </w:r>
    </w:p>
    <w:p w14:paraId="1BFAAAA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A71E018" w14:textId="77777777" w:rsidR="002E5BAD" w:rsidRDefault="002E5BAD" w:rsidP="002E5BAD">
      <w:pPr>
        <w:rPr>
          <w:rtl/>
        </w:rPr>
      </w:pPr>
      <w:r>
        <w:rPr>
          <w:rFonts w:cs="Arial"/>
          <w:rtl/>
        </w:rPr>
        <w:t xml:space="preserve">המדור ששוכר לה, בית של ארבע אמות על ארבע אמות, ותהיה רחבה חוצה לו, ויהיה לו בית הכסא חוץ ממנו. </w:t>
      </w:r>
    </w:p>
    <w:p w14:paraId="7DAEFC97" w14:textId="77777777" w:rsidR="002E5BAD" w:rsidRDefault="002E5BAD" w:rsidP="002E5BAD">
      <w:pPr>
        <w:rPr>
          <w:rtl/>
        </w:rPr>
      </w:pPr>
    </w:p>
    <w:p w14:paraId="3D1D2112" w14:textId="77777777" w:rsidR="002E5BAD" w:rsidRDefault="002E5BAD" w:rsidP="002E5BAD">
      <w:pPr>
        <w:pStyle w:val="2"/>
        <w:rPr>
          <w:rtl/>
        </w:rPr>
      </w:pPr>
      <w:r>
        <w:rPr>
          <w:rtl/>
        </w:rPr>
        <w:t>סעיף ג</w:t>
      </w:r>
      <w:r>
        <w:rPr>
          <w:rFonts w:hint="cs"/>
          <w:rtl/>
        </w:rPr>
        <w:t>: תכשיטים.</w:t>
      </w:r>
    </w:p>
    <w:p w14:paraId="218A7EE4" w14:textId="77777777" w:rsidR="002E5BAD" w:rsidRDefault="002E5BAD" w:rsidP="002E5BAD">
      <w:pPr>
        <w:rPr>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C479CF">
        <w:rPr>
          <w:rFonts w:cs="Arial"/>
          <w:rtl/>
        </w:rPr>
        <w:t>ת"ש מי שהלך למדינת הים ואשתו תובעת מזונות, ב"ד יורדים לנכסיו וזנין ומפרנסין לאשתו, אבל לא בניו ובנותיו ולא דבר אחר</w:t>
      </w:r>
      <w:r>
        <w:rPr>
          <w:rFonts w:cs="Arial" w:hint="cs"/>
          <w:rtl/>
        </w:rPr>
        <w:t>...</w:t>
      </w:r>
      <w:r w:rsidRPr="00C479CF">
        <w:rPr>
          <w:rtl/>
        </w:rPr>
        <w:t xml:space="preserve"> </w:t>
      </w:r>
      <w:r w:rsidRPr="00C479CF">
        <w:rPr>
          <w:rFonts w:cs="Arial"/>
          <w:rtl/>
        </w:rPr>
        <w:t xml:space="preserve">מאי דבר אחר? </w:t>
      </w:r>
      <w:r w:rsidRPr="00C479CF">
        <w:rPr>
          <w:rFonts w:cs="Arial"/>
          <w:u w:val="single"/>
          <w:rtl/>
        </w:rPr>
        <w:t>רב חסדא אמר</w:t>
      </w:r>
      <w:r w:rsidRPr="00C479CF">
        <w:rPr>
          <w:rFonts w:cs="Arial"/>
          <w:rtl/>
        </w:rPr>
        <w:t>: תכשיט</w:t>
      </w:r>
      <w:r>
        <w:rPr>
          <w:rFonts w:cs="Arial" w:hint="cs"/>
          <w:rtl/>
        </w:rPr>
        <w:t>.</w:t>
      </w:r>
      <w:r w:rsidRPr="00C479CF">
        <w:rPr>
          <w:rFonts w:cs="Arial"/>
          <w:rtl/>
        </w:rPr>
        <w:t xml:space="preserve"> </w:t>
      </w:r>
      <w:r w:rsidRPr="00C479CF">
        <w:rPr>
          <w:rFonts w:cs="Arial"/>
          <w:u w:val="single"/>
          <w:rtl/>
        </w:rPr>
        <w:t>רב יוסף אמר</w:t>
      </w:r>
      <w:r w:rsidRPr="00C479CF">
        <w:rPr>
          <w:rFonts w:cs="Arial"/>
          <w:rtl/>
        </w:rPr>
        <w:t>: צדקה. מ"ד תכשיט, כל שכן</w:t>
      </w:r>
      <w:r>
        <w:rPr>
          <w:rFonts w:cs="Arial" w:hint="cs"/>
          <w:sz w:val="14"/>
          <w:szCs w:val="14"/>
          <w:rtl/>
        </w:rPr>
        <w:t xml:space="preserve"> (קז:)</w:t>
      </w:r>
      <w:r w:rsidRPr="00C479CF">
        <w:rPr>
          <w:rtl/>
        </w:rPr>
        <w:t xml:space="preserve"> </w:t>
      </w:r>
      <w:r w:rsidRPr="00C479CF">
        <w:rPr>
          <w:rFonts w:cs="Arial"/>
          <w:rtl/>
        </w:rPr>
        <w:t>צדקה; מ"ד צדקה, אבל תכשיט יהבינן לה, דלא ניחא ליה דתינוול.</w:t>
      </w:r>
      <w:r w:rsidRPr="00F64E71">
        <w:rPr>
          <w:rFonts w:cs="Arial" w:hint="cs"/>
          <w:sz w:val="16"/>
          <w:szCs w:val="16"/>
          <w:rtl/>
        </w:rPr>
        <w:t xml:space="preserve"> </w:t>
      </w:r>
      <w:r>
        <w:rPr>
          <w:rFonts w:cs="Arial" w:hint="cs"/>
          <w:sz w:val="16"/>
          <w:szCs w:val="16"/>
          <w:rtl/>
        </w:rPr>
        <w:t>(</w:t>
      </w:r>
      <w:r w:rsidRPr="00F64E71">
        <w:rPr>
          <w:rFonts w:cs="Arial" w:hint="cs"/>
          <w:sz w:val="16"/>
          <w:szCs w:val="16"/>
          <w:rtl/>
        </w:rPr>
        <w:t>מד</w:t>
      </w:r>
      <w:r w:rsidRPr="00F64E71">
        <w:rPr>
          <w:rFonts w:cs="Arial"/>
          <w:sz w:val="16"/>
          <w:szCs w:val="16"/>
          <w:rtl/>
        </w:rPr>
        <w:t xml:space="preserve">נחלקו </w:t>
      </w:r>
      <w:r w:rsidRPr="00F64E71">
        <w:rPr>
          <w:rFonts w:cs="Arial" w:hint="cs"/>
          <w:sz w:val="16"/>
          <w:szCs w:val="16"/>
          <w:rtl/>
        </w:rPr>
        <w:t xml:space="preserve">אם יש לה </w:t>
      </w:r>
      <w:r w:rsidRPr="00F64E71">
        <w:rPr>
          <w:rFonts w:cs="Arial"/>
          <w:sz w:val="16"/>
          <w:szCs w:val="16"/>
          <w:rtl/>
        </w:rPr>
        <w:t>תכשיט אלמא דלכולי עלמא בפניו יש לה תכשיט ופשוט הוא</w:t>
      </w:r>
      <w:r w:rsidRPr="00F64E71">
        <w:rPr>
          <w:rFonts w:hint="cs"/>
          <w:sz w:val="16"/>
          <w:szCs w:val="16"/>
          <w:rtl/>
        </w:rPr>
        <w:t xml:space="preserve">, הה"מ </w:t>
      </w:r>
      <w:r>
        <w:rPr>
          <w:rFonts w:cs="Arial" w:hint="cs"/>
          <w:sz w:val="16"/>
          <w:szCs w:val="16"/>
          <w:rtl/>
        </w:rPr>
        <w:t>[פי"ג מאישות ה"ד]</w:t>
      </w:r>
      <w:r w:rsidRPr="00F64E71">
        <w:rPr>
          <w:rFonts w:hint="cs"/>
          <w:sz w:val="16"/>
          <w:szCs w:val="16"/>
          <w:rtl/>
        </w:rPr>
        <w:t>)</w:t>
      </w:r>
      <w:r>
        <w:rPr>
          <w:rFonts w:hint="cs"/>
          <w:rtl/>
        </w:rPr>
        <w:t xml:space="preserve"> </w:t>
      </w:r>
    </w:p>
    <w:p w14:paraId="5932B204" w14:textId="77777777" w:rsidR="002E5BAD" w:rsidRPr="00E47343" w:rsidRDefault="002E5BAD" w:rsidP="002E5BAD">
      <w:pPr>
        <w:rPr>
          <w:u w:val="single"/>
          <w:rtl/>
        </w:rPr>
      </w:pPr>
      <w:r w:rsidRPr="00E47343">
        <w:rPr>
          <w:rFonts w:hint="cs"/>
          <w:u w:val="single"/>
          <w:rtl/>
        </w:rPr>
        <w:t>חיוב תכשיטים על הבעל:</w:t>
      </w:r>
    </w:p>
    <w:p w14:paraId="08E41E58" w14:textId="77777777" w:rsidR="002E5BAD" w:rsidRPr="00E47343" w:rsidRDefault="002E5BAD" w:rsidP="002E5BAD">
      <w:pPr>
        <w:pStyle w:val="ab"/>
        <w:numPr>
          <w:ilvl w:val="0"/>
          <w:numId w:val="136"/>
        </w:numPr>
        <w:rPr>
          <w:rFonts w:cs="Arial"/>
          <w:rtl/>
        </w:rPr>
      </w:pPr>
      <w:r>
        <w:rPr>
          <w:rFonts w:cs="Arial" w:hint="cs"/>
          <w:rtl/>
        </w:rPr>
        <w:lastRenderedPageBreak/>
        <w:t xml:space="preserve">רמב"ם </w:t>
      </w:r>
      <w:r>
        <w:rPr>
          <w:rFonts w:cs="Arial" w:hint="cs"/>
          <w:sz w:val="16"/>
          <w:szCs w:val="16"/>
          <w:rtl/>
        </w:rPr>
        <w:t>(פי"ג מאישות ה"ד)</w:t>
      </w:r>
      <w:r w:rsidRPr="00794F86">
        <w:rPr>
          <w:rFonts w:cs="Arial" w:hint="cs"/>
          <w:rtl/>
        </w:rPr>
        <w:t xml:space="preserve"> </w:t>
      </w:r>
      <w:r>
        <w:rPr>
          <w:rFonts w:cs="Arial" w:hint="cs"/>
          <w:rtl/>
        </w:rPr>
        <w:t xml:space="preserve">וטור- </w:t>
      </w:r>
      <w:r w:rsidRPr="00486F46">
        <w:rPr>
          <w:rFonts w:cs="Arial"/>
          <w:rtl/>
        </w:rPr>
        <w:t>וכן מחייבין אותו ליתן לה תכשיטיה כגון בגדי צבעונין להקיף על ראשה ופדחתה ופוך ושרק וכיוצא בהן כדי שלא תתגנה עליו</w:t>
      </w:r>
      <w:r>
        <w:rPr>
          <w:rFonts w:cs="Arial" w:hint="cs"/>
          <w:sz w:val="16"/>
          <w:szCs w:val="16"/>
          <w:rtl/>
        </w:rPr>
        <w:t xml:space="preserve"> (ל' הרמב"ם)</w:t>
      </w:r>
      <w:r w:rsidRPr="00486F46">
        <w:rPr>
          <w:rFonts w:cs="Arial"/>
          <w:rtl/>
        </w:rPr>
        <w:t xml:space="preserve">. </w:t>
      </w:r>
      <w:r w:rsidRPr="00D33EFE">
        <w:rPr>
          <w:rFonts w:hint="cs"/>
          <w:color w:val="E36C0A" w:themeColor="accent6" w:themeShade="BF"/>
          <w:rtl/>
        </w:rPr>
        <w:t>(וכ"פ בשו"ע)</w:t>
      </w:r>
      <w:r>
        <w:rPr>
          <w:rFonts w:cs="Arial" w:hint="cs"/>
          <w:rtl/>
        </w:rPr>
        <w:t xml:space="preserve"> </w:t>
      </w:r>
      <w:r w:rsidRPr="00B13367">
        <w:rPr>
          <w:rFonts w:cs="Arial" w:hint="cs"/>
          <w:color w:val="00B0F0"/>
          <w:rtl/>
        </w:rPr>
        <w:t>(וכ"פ הרמ"א)</w:t>
      </w:r>
    </w:p>
    <w:p w14:paraId="326CD61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45EB63C" w14:textId="77777777" w:rsidR="002E5BAD" w:rsidRDefault="002E5BAD" w:rsidP="002E5BAD">
      <w:pPr>
        <w:rPr>
          <w:rtl/>
        </w:rPr>
      </w:pPr>
      <w:r>
        <w:rPr>
          <w:rFonts w:cs="Arial"/>
          <w:rtl/>
        </w:rPr>
        <w:t>ומחייבין אותו ליתן לה תכשיטיה, כגון בגדי צבעונין להקיף על ראשה ופדחתה, ופוך ושרק</w:t>
      </w:r>
      <w:r>
        <w:rPr>
          <w:rFonts w:cs="Arial" w:hint="cs"/>
          <w:rtl/>
        </w:rPr>
        <w:t>.</w:t>
      </w:r>
      <w:r>
        <w:rPr>
          <w:rFonts w:cs="Arial"/>
          <w:rtl/>
        </w:rPr>
        <w:t xml:space="preserve"> </w:t>
      </w:r>
      <w:r w:rsidRPr="0079449D">
        <w:rPr>
          <w:rFonts w:cs="Arial"/>
          <w:sz w:val="18"/>
          <w:szCs w:val="18"/>
          <w:rtl/>
        </w:rPr>
        <w:t xml:space="preserve">הגה: וכיוצא בהן. </w:t>
      </w:r>
    </w:p>
    <w:p w14:paraId="1081C8E8" w14:textId="77777777" w:rsidR="002E5BAD" w:rsidRDefault="002E5BAD" w:rsidP="002E5BAD">
      <w:pPr>
        <w:rPr>
          <w:rtl/>
        </w:rPr>
      </w:pPr>
    </w:p>
    <w:p w14:paraId="5E052D18" w14:textId="77777777" w:rsidR="002E5BAD" w:rsidRDefault="002E5BAD" w:rsidP="002E5BAD">
      <w:pPr>
        <w:pStyle w:val="2"/>
        <w:rPr>
          <w:rtl/>
        </w:rPr>
      </w:pPr>
      <w:r>
        <w:rPr>
          <w:rtl/>
        </w:rPr>
        <w:t>סעיף ד</w:t>
      </w:r>
      <w:r>
        <w:rPr>
          <w:rFonts w:hint="cs"/>
          <w:rtl/>
        </w:rPr>
        <w:t>: בעל עשיר.</w:t>
      </w:r>
    </w:p>
    <w:p w14:paraId="079FD022" w14:textId="77777777" w:rsidR="002E5BAD" w:rsidRPr="00E47343" w:rsidRDefault="002E5BAD" w:rsidP="002E5BAD">
      <w:pPr>
        <w:rPr>
          <w:u w:val="single"/>
          <w:rtl/>
        </w:rPr>
      </w:pPr>
      <w:r w:rsidRPr="00E47343">
        <w:rPr>
          <w:rFonts w:hint="cs"/>
          <w:u w:val="single"/>
          <w:rtl/>
        </w:rPr>
        <w:t>חיוב כסות של בעל עשיר:</w:t>
      </w:r>
    </w:p>
    <w:p w14:paraId="190056BC" w14:textId="77777777" w:rsidR="002E5BAD" w:rsidRPr="00E47343"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מאישות ה"ה)</w:t>
      </w:r>
      <w:r w:rsidRPr="00794F86">
        <w:rPr>
          <w:rFonts w:cs="Arial" w:hint="cs"/>
          <w:rtl/>
        </w:rPr>
        <w:t xml:space="preserve"> </w:t>
      </w:r>
      <w:r>
        <w:rPr>
          <w:rFonts w:cs="Arial" w:hint="cs"/>
          <w:rtl/>
        </w:rPr>
        <w:t xml:space="preserve">וטור- </w:t>
      </w:r>
      <w:r w:rsidRPr="00486F46">
        <w:rPr>
          <w:rFonts w:cs="Arial"/>
          <w:rtl/>
        </w:rPr>
        <w:t>במה דברים אמורים בעני שבישראל</w:t>
      </w:r>
      <w:r>
        <w:rPr>
          <w:rFonts w:cs="Arial" w:hint="cs"/>
          <w:rtl/>
        </w:rPr>
        <w:t>,</w:t>
      </w:r>
      <w:r w:rsidRPr="00486F46">
        <w:rPr>
          <w:rFonts w:cs="Arial"/>
          <w:rtl/>
        </w:rPr>
        <w:t xml:space="preserve"> אבל בעשיר הכל לפי עשרו, ואפילו היה ראוי לקנות לה כלי משי ורקמה וכלי זהב כופין אותו ונותן, וכן המדור לפי עשרו והתכשיט וכלי הבית הכל לפי עשרו</w:t>
      </w:r>
      <w:r>
        <w:rPr>
          <w:rFonts w:cs="Arial" w:hint="cs"/>
          <w:rtl/>
        </w:rPr>
        <w:t>.</w:t>
      </w:r>
      <w:r w:rsidRPr="00486F46">
        <w:rPr>
          <w:rFonts w:cs="Arial"/>
          <w:rtl/>
        </w:rPr>
        <w:t xml:space="preserve"> ואם קצרה ידו ליתן לה אפילו כעני שבישראל כופין אותו להוציא ותהיה הכתובה חוב עליו עד שיעשיר</w:t>
      </w:r>
      <w:r>
        <w:rPr>
          <w:rFonts w:cs="Arial" w:hint="cs"/>
          <w:sz w:val="16"/>
          <w:szCs w:val="16"/>
          <w:rtl/>
        </w:rPr>
        <w:t xml:space="preserve"> (ל' הרמב"ם)</w:t>
      </w:r>
      <w:r w:rsidRPr="00486F46">
        <w:rPr>
          <w:rFonts w:cs="Arial"/>
          <w:rtl/>
        </w:rPr>
        <w:t xml:space="preserve">. </w:t>
      </w:r>
      <w:r w:rsidRPr="00D33EFE">
        <w:rPr>
          <w:rFonts w:hint="cs"/>
          <w:color w:val="E36C0A" w:themeColor="accent6" w:themeShade="BF"/>
          <w:rtl/>
        </w:rPr>
        <w:t>(וכ"פ בשו"ע)</w:t>
      </w:r>
    </w:p>
    <w:p w14:paraId="3D0C2E7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76009C4" w14:textId="77777777" w:rsidR="002E5BAD" w:rsidRDefault="002E5BAD" w:rsidP="002E5BAD">
      <w:pPr>
        <w:rPr>
          <w:rFonts w:cs="Arial"/>
          <w:rtl/>
        </w:rPr>
      </w:pPr>
      <w:r>
        <w:rPr>
          <w:rFonts w:cs="Arial"/>
          <w:rtl/>
        </w:rPr>
        <w:t>ב</w:t>
      </w:r>
      <w:r>
        <w:rPr>
          <w:rFonts w:cs="Arial" w:hint="cs"/>
          <w:rtl/>
        </w:rPr>
        <w:t xml:space="preserve">מה דברים </w:t>
      </w:r>
      <w:r>
        <w:rPr>
          <w:rFonts w:cs="Arial"/>
          <w:rtl/>
        </w:rPr>
        <w:t>א</w:t>
      </w:r>
      <w:r>
        <w:rPr>
          <w:rFonts w:cs="Arial" w:hint="cs"/>
          <w:rtl/>
        </w:rPr>
        <w:t>מורים</w:t>
      </w:r>
      <w:r>
        <w:rPr>
          <w:rFonts w:cs="Arial"/>
          <w:rtl/>
        </w:rPr>
        <w:t xml:space="preserve">, בעני שבישראל. אבל בעשיר, כל דברים הללו נותן לה לפי עשרו. </w:t>
      </w:r>
    </w:p>
    <w:p w14:paraId="5A6358F4" w14:textId="77777777" w:rsidR="002E5BAD" w:rsidRDefault="002E5BAD" w:rsidP="002E5BAD">
      <w:pPr>
        <w:rPr>
          <w:rtl/>
        </w:rPr>
      </w:pPr>
    </w:p>
    <w:p w14:paraId="30585DAF" w14:textId="77777777" w:rsidR="002E5BAD" w:rsidRDefault="002E5BAD" w:rsidP="002E5BAD">
      <w:pPr>
        <w:pStyle w:val="2"/>
        <w:rPr>
          <w:rtl/>
        </w:rPr>
      </w:pPr>
      <w:r>
        <w:rPr>
          <w:rtl/>
        </w:rPr>
        <w:t>סעיף ה</w:t>
      </w:r>
      <w:r>
        <w:rPr>
          <w:rFonts w:hint="cs"/>
          <w:rtl/>
        </w:rPr>
        <w:t>: עני שלא יכול ליתן כסות.</w:t>
      </w:r>
    </w:p>
    <w:p w14:paraId="490EE2A2" w14:textId="77777777" w:rsidR="002E5BAD" w:rsidRDefault="002E5BAD" w:rsidP="002E5BAD">
      <w:pPr>
        <w:rPr>
          <w:rFonts w:cs="Arial"/>
          <w:rtl/>
        </w:rPr>
      </w:pPr>
      <w:r w:rsidRPr="00380340">
        <w:rPr>
          <w:rFonts w:cs="Arial" w:hint="cs"/>
          <w:b/>
          <w:bCs/>
          <w:rtl/>
        </w:rPr>
        <w:t xml:space="preserve">כתובות </w:t>
      </w:r>
      <w:r w:rsidRPr="00380340">
        <w:rPr>
          <w:rFonts w:cs="Arial" w:hint="cs"/>
          <w:b/>
          <w:bCs/>
          <w:sz w:val="16"/>
          <w:szCs w:val="16"/>
          <w:rtl/>
        </w:rPr>
        <w:t xml:space="preserve">(פ' המדיר) </w:t>
      </w:r>
      <w:r w:rsidRPr="00380340">
        <w:rPr>
          <w:rFonts w:cs="Arial" w:hint="cs"/>
          <w:b/>
          <w:bCs/>
          <w:rtl/>
        </w:rPr>
        <w:t>עז ע"א:</w:t>
      </w:r>
      <w:r w:rsidRPr="00380340">
        <w:rPr>
          <w:rFonts w:cs="Arial" w:hint="cs"/>
          <w:rtl/>
        </w:rPr>
        <w:t xml:space="preserve"> </w:t>
      </w:r>
      <w:r w:rsidRPr="00380340">
        <w:rPr>
          <w:rFonts w:cs="Arial"/>
          <w:u w:val="single"/>
          <w:rtl/>
        </w:rPr>
        <w:t>אמר רב</w:t>
      </w:r>
      <w:r w:rsidRPr="00380340">
        <w:rPr>
          <w:rFonts w:cs="Arial"/>
          <w:rtl/>
        </w:rPr>
        <w:t>: האומר איני זן ואיני מפרנס - יוציא ויתן כתובה. אזל ר' אלעזר אמרה לשמעתא קמיה דשמואל,</w:t>
      </w:r>
      <w:r w:rsidRPr="00380340">
        <w:rPr>
          <w:rFonts w:cs="Arial" w:hint="cs"/>
          <w:rtl/>
        </w:rPr>
        <w:t xml:space="preserve"> </w:t>
      </w:r>
      <w:r w:rsidRPr="00380340">
        <w:rPr>
          <w:rFonts w:cs="Arial"/>
          <w:u w:val="single"/>
          <w:rtl/>
        </w:rPr>
        <w:t>אמר</w:t>
      </w:r>
      <w:r w:rsidRPr="00380340">
        <w:rPr>
          <w:rFonts w:cs="Arial"/>
          <w:rtl/>
        </w:rPr>
        <w:t>: אכסוה שערי</w:t>
      </w:r>
      <w:r>
        <w:rPr>
          <w:rStyle w:val="a7"/>
          <w:rFonts w:cs="Arial"/>
          <w:rtl/>
        </w:rPr>
        <w:footnoteReference w:id="1166"/>
      </w:r>
      <w:r w:rsidRPr="00380340">
        <w:rPr>
          <w:rFonts w:cs="Arial"/>
          <w:rtl/>
        </w:rPr>
        <w:t xml:space="preserve"> לאלעזר! עד שכופין אותו להוציא, יכפוהו לזון. ורב? אין אדם דר עם נחש בכפיפה. כי סליק רבי זירא, אשכחיה לרבי בנימין בר יפת דיתיב וקאמר לה</w:t>
      </w:r>
      <w:r>
        <w:rPr>
          <w:rStyle w:val="a7"/>
          <w:rFonts w:cs="Arial"/>
          <w:rtl/>
        </w:rPr>
        <w:footnoteReference w:id="1167"/>
      </w:r>
      <w:r w:rsidRPr="00380340">
        <w:rPr>
          <w:rFonts w:cs="Arial"/>
          <w:rtl/>
        </w:rPr>
        <w:t xml:space="preserve"> משמיה דרבי יוחנן</w:t>
      </w:r>
      <w:r>
        <w:rPr>
          <w:rStyle w:val="a7"/>
          <w:rFonts w:cs="Arial"/>
          <w:rtl/>
        </w:rPr>
        <w:footnoteReference w:id="1168"/>
      </w:r>
      <w:r w:rsidRPr="00380340">
        <w:rPr>
          <w:rFonts w:cs="Arial"/>
          <w:rtl/>
        </w:rPr>
        <w:t>, אמר ליה: על דא אכסוה שערין לאלעזר בבבל.</w:t>
      </w:r>
      <w:r>
        <w:rPr>
          <w:rFonts w:cs="Arial" w:hint="cs"/>
          <w:rtl/>
        </w:rPr>
        <w:t xml:space="preserve"> </w:t>
      </w:r>
      <w:r w:rsidRPr="001976DD">
        <w:rPr>
          <w:rFonts w:cs="Arial" w:hint="cs"/>
          <w:sz w:val="16"/>
          <w:szCs w:val="16"/>
          <w:rtl/>
        </w:rPr>
        <w:t>(ופסקו ר"ח (כ"כ הה"מ בשמו [פי"ב הי"א])</w:t>
      </w:r>
      <w:r w:rsidRPr="001976DD">
        <w:rPr>
          <w:rFonts w:cs="Arial"/>
          <w:sz w:val="16"/>
          <w:szCs w:val="16"/>
          <w:rtl/>
        </w:rPr>
        <w:t xml:space="preserve"> רי"ף </w:t>
      </w:r>
      <w:r w:rsidRPr="001976DD">
        <w:rPr>
          <w:rFonts w:cs="Arial" w:hint="cs"/>
          <w:sz w:val="16"/>
          <w:szCs w:val="16"/>
          <w:rtl/>
        </w:rPr>
        <w:t>(</w:t>
      </w:r>
      <w:r w:rsidRPr="001976DD">
        <w:rPr>
          <w:rFonts w:cs="Arial"/>
          <w:sz w:val="16"/>
          <w:szCs w:val="16"/>
          <w:rtl/>
        </w:rPr>
        <w:t>לו.)</w:t>
      </w:r>
      <w:r w:rsidRPr="001976DD">
        <w:rPr>
          <w:rFonts w:cs="Arial" w:hint="cs"/>
          <w:sz w:val="16"/>
          <w:szCs w:val="16"/>
          <w:rtl/>
        </w:rPr>
        <w:t xml:space="preserve"> והרמב"ם (פי"ב מאישות הי"א) </w:t>
      </w:r>
      <w:r w:rsidRPr="001976DD">
        <w:rPr>
          <w:rFonts w:cs="Arial"/>
          <w:sz w:val="16"/>
          <w:szCs w:val="16"/>
          <w:rtl/>
        </w:rPr>
        <w:t>כשמואל</w:t>
      </w:r>
      <w:r w:rsidRPr="001976DD">
        <w:rPr>
          <w:rFonts w:cs="Arial" w:hint="cs"/>
          <w:sz w:val="16"/>
          <w:szCs w:val="16"/>
          <w:rtl/>
        </w:rPr>
        <w:t>. אבל אם הוא עני ואין לו במה לפרנס, כתב הרמב"ם (שם)</w:t>
      </w:r>
      <w:r>
        <w:rPr>
          <w:rFonts w:cs="Arial" w:hint="cs"/>
          <w:sz w:val="16"/>
          <w:szCs w:val="16"/>
          <w:rtl/>
        </w:rPr>
        <w:t xml:space="preserve"> לגבי דיני מזונות</w:t>
      </w:r>
      <w:r w:rsidRPr="001976DD">
        <w:rPr>
          <w:rFonts w:cs="Arial" w:hint="cs"/>
          <w:sz w:val="16"/>
          <w:szCs w:val="16"/>
          <w:rtl/>
        </w:rPr>
        <w:t xml:space="preserve"> שכופין אותו להוציא</w:t>
      </w:r>
      <w:r w:rsidRPr="001976DD">
        <w:rPr>
          <w:rStyle w:val="a7"/>
          <w:rFonts w:cs="Arial"/>
          <w:sz w:val="16"/>
          <w:szCs w:val="16"/>
          <w:rtl/>
        </w:rPr>
        <w:footnoteReference w:id="1169"/>
      </w:r>
      <w:r>
        <w:rPr>
          <w:rFonts w:cs="Arial" w:hint="cs"/>
          <w:sz w:val="16"/>
          <w:szCs w:val="16"/>
          <w:rtl/>
        </w:rPr>
        <w:t>, וכן כתב כאן (פי"ג ה"ה)</w:t>
      </w:r>
      <w:r w:rsidRPr="001976DD">
        <w:rPr>
          <w:rFonts w:cs="Arial" w:hint="cs"/>
          <w:sz w:val="16"/>
          <w:szCs w:val="16"/>
          <w:rtl/>
        </w:rPr>
        <w:t>)</w:t>
      </w:r>
    </w:p>
    <w:p w14:paraId="5B193572" w14:textId="77777777" w:rsidR="002E5BAD" w:rsidRPr="00E47343" w:rsidRDefault="002E5BAD" w:rsidP="002E5BAD">
      <w:pPr>
        <w:rPr>
          <w:rFonts w:cs="Arial"/>
          <w:u w:val="single"/>
        </w:rPr>
      </w:pPr>
      <w:r w:rsidRPr="00E47343">
        <w:rPr>
          <w:rFonts w:hint="cs"/>
          <w:u w:val="single"/>
          <w:rtl/>
        </w:rPr>
        <w:t>עני שלא יכול ליתן כסות</w:t>
      </w:r>
      <w:r w:rsidRPr="00E47343">
        <w:rPr>
          <w:rFonts w:cs="Arial" w:hint="cs"/>
          <w:u w:val="single"/>
          <w:rtl/>
        </w:rPr>
        <w:t>:</w:t>
      </w:r>
    </w:p>
    <w:p w14:paraId="71243306" w14:textId="77777777" w:rsidR="002E5BAD" w:rsidRPr="00E47343"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מאישות ה"ה)</w:t>
      </w:r>
      <w:r w:rsidRPr="00794F86">
        <w:rPr>
          <w:rFonts w:cs="Arial" w:hint="cs"/>
          <w:rtl/>
        </w:rPr>
        <w:t xml:space="preserve"> </w:t>
      </w:r>
      <w:r>
        <w:rPr>
          <w:rFonts w:cs="Arial" w:hint="cs"/>
          <w:rtl/>
        </w:rPr>
        <w:t xml:space="preserve">וטור- </w:t>
      </w:r>
      <w:r w:rsidRPr="00486F46">
        <w:rPr>
          <w:rFonts w:cs="Arial"/>
          <w:rtl/>
        </w:rPr>
        <w:t>ואם קצרה ידו ליתן לה אפילו כעני שבישראל כופין אותו להוציא ותהיה הכתובה חוב עליו עד שיעשיר</w:t>
      </w:r>
      <w:r>
        <w:rPr>
          <w:rFonts w:cs="Arial" w:hint="cs"/>
          <w:sz w:val="16"/>
          <w:szCs w:val="16"/>
          <w:rtl/>
        </w:rPr>
        <w:t xml:space="preserve"> (ל' הרמב"ם)</w:t>
      </w:r>
      <w:r w:rsidRPr="00486F46">
        <w:rPr>
          <w:rFonts w:cs="Arial"/>
          <w:rtl/>
        </w:rPr>
        <w:t xml:space="preserve">. </w:t>
      </w:r>
      <w:r w:rsidRPr="00D33EFE">
        <w:rPr>
          <w:rFonts w:hint="cs"/>
          <w:color w:val="E36C0A" w:themeColor="accent6" w:themeShade="BF"/>
          <w:rtl/>
        </w:rPr>
        <w:t>(וכ"פ בשו"ע)</w:t>
      </w:r>
      <w:r w:rsidRPr="00B13367">
        <w:rPr>
          <w:rFonts w:cs="Arial" w:hint="cs"/>
          <w:color w:val="00B0F0"/>
          <w:rtl/>
        </w:rPr>
        <w:t xml:space="preserve"> (וכ"פ הרמ"א)</w:t>
      </w:r>
    </w:p>
    <w:p w14:paraId="14C65A8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88ABAF1" w14:textId="77777777" w:rsidR="002E5BAD" w:rsidRDefault="002E5BAD" w:rsidP="002E5BAD">
      <w:pPr>
        <w:rPr>
          <w:rtl/>
        </w:rPr>
      </w:pPr>
      <w:r>
        <w:rPr>
          <w:rFonts w:cs="Arial"/>
          <w:rtl/>
        </w:rPr>
        <w:t>אם קצרה ידו ליתן לה אפילו בעני שבישראל, כופין אותו להוציא</w:t>
      </w:r>
      <w:r>
        <w:rPr>
          <w:rFonts w:cs="Arial" w:hint="cs"/>
          <w:rtl/>
        </w:rPr>
        <w:t>.</w:t>
      </w:r>
      <w:r>
        <w:rPr>
          <w:rFonts w:cs="Arial"/>
          <w:rtl/>
        </w:rPr>
        <w:t xml:space="preserve"> </w:t>
      </w:r>
      <w:r>
        <w:rPr>
          <w:rFonts w:cs="Arial" w:hint="cs"/>
          <w:sz w:val="18"/>
          <w:szCs w:val="18"/>
          <w:rtl/>
        </w:rPr>
        <w:t xml:space="preserve">[הגה] </w:t>
      </w:r>
      <w:r w:rsidRPr="0079449D">
        <w:rPr>
          <w:rFonts w:cs="Arial"/>
          <w:sz w:val="18"/>
          <w:szCs w:val="18"/>
          <w:rtl/>
        </w:rPr>
        <w:t xml:space="preserve">ותהיה הכתובה חוב עליו עד שיעשיר (טור וע"ל סימן ע' סעיף ג'). </w:t>
      </w:r>
    </w:p>
    <w:p w14:paraId="1D326C3F" w14:textId="77777777" w:rsidR="002E5BAD" w:rsidRDefault="002E5BAD" w:rsidP="002E5BAD">
      <w:pPr>
        <w:rPr>
          <w:rtl/>
        </w:rPr>
      </w:pPr>
    </w:p>
    <w:p w14:paraId="326F654F" w14:textId="77777777" w:rsidR="002E5BAD" w:rsidRDefault="002E5BAD" w:rsidP="002E5BAD">
      <w:pPr>
        <w:pStyle w:val="2"/>
        <w:rPr>
          <w:rtl/>
        </w:rPr>
      </w:pPr>
      <w:r>
        <w:rPr>
          <w:rtl/>
        </w:rPr>
        <w:t>סעיף ו</w:t>
      </w:r>
      <w:r>
        <w:rPr>
          <w:rFonts w:hint="cs"/>
          <w:rtl/>
        </w:rPr>
        <w:t>: חיוב כסות לבניו ובנותיו.</w:t>
      </w:r>
    </w:p>
    <w:p w14:paraId="768E58EB" w14:textId="77777777" w:rsidR="002E5BAD" w:rsidRPr="00175ED5" w:rsidRDefault="002E5BAD" w:rsidP="002E5BAD">
      <w:pPr>
        <w:rPr>
          <w:rFonts w:cs="Arial"/>
          <w:rtl/>
        </w:rPr>
      </w:pPr>
      <w:r w:rsidRPr="00380340">
        <w:rPr>
          <w:rFonts w:cs="Arial" w:hint="cs"/>
          <w:b/>
          <w:bCs/>
          <w:rtl/>
        </w:rPr>
        <w:t xml:space="preserve">כתובות </w:t>
      </w:r>
      <w:r w:rsidRPr="00380340">
        <w:rPr>
          <w:rFonts w:cs="Arial" w:hint="cs"/>
          <w:b/>
          <w:bCs/>
          <w:sz w:val="16"/>
          <w:szCs w:val="16"/>
          <w:rtl/>
        </w:rPr>
        <w:t xml:space="preserve">(פ' </w:t>
      </w:r>
      <w:r>
        <w:rPr>
          <w:rFonts w:cs="Arial" w:hint="cs"/>
          <w:b/>
          <w:bCs/>
          <w:sz w:val="16"/>
          <w:szCs w:val="16"/>
          <w:rtl/>
        </w:rPr>
        <w:t>מציאת האשה</w:t>
      </w:r>
      <w:r w:rsidRPr="00380340">
        <w:rPr>
          <w:rFonts w:cs="Arial" w:hint="cs"/>
          <w:b/>
          <w:bCs/>
          <w:sz w:val="16"/>
          <w:szCs w:val="16"/>
          <w:rtl/>
        </w:rPr>
        <w:t xml:space="preserve">) </w:t>
      </w:r>
      <w:r>
        <w:rPr>
          <w:rFonts w:cs="Arial" w:hint="cs"/>
          <w:b/>
          <w:bCs/>
          <w:rtl/>
        </w:rPr>
        <w:t>סח</w:t>
      </w:r>
      <w:r w:rsidRPr="00380340">
        <w:rPr>
          <w:rFonts w:cs="Arial" w:hint="cs"/>
          <w:b/>
          <w:bCs/>
          <w:rtl/>
        </w:rPr>
        <w:t xml:space="preserve"> ע"א:</w:t>
      </w:r>
      <w:r>
        <w:rPr>
          <w:rFonts w:cs="Arial" w:hint="cs"/>
          <w:rtl/>
        </w:rPr>
        <w:t xml:space="preserve"> </w:t>
      </w:r>
      <w:r w:rsidRPr="00F13CEA">
        <w:rPr>
          <w:rFonts w:cs="Arial"/>
          <w:rtl/>
        </w:rPr>
        <w:t>מתיבי: הבנות ניזונות ומתפרנסות מנכסי אביהן</w:t>
      </w:r>
      <w:r>
        <w:rPr>
          <w:rFonts w:cs="Arial" w:hint="cs"/>
          <w:rtl/>
        </w:rPr>
        <w:t>.</w:t>
      </w:r>
      <w:r w:rsidRPr="00F13CEA">
        <w:rPr>
          <w:rFonts w:cs="Arial"/>
          <w:rtl/>
        </w:rPr>
        <w:t xml:space="preserve"> כיצד? אין אומרים אילו אביה קיים כך וכך היה נותן לה, אלא שמין את הנכסים ונותנין לה</w:t>
      </w:r>
      <w:r>
        <w:rPr>
          <w:rFonts w:cs="Arial" w:hint="cs"/>
          <w:rtl/>
        </w:rPr>
        <w:t>.</w:t>
      </w:r>
      <w:r w:rsidRPr="00F13CEA">
        <w:rPr>
          <w:rFonts w:cs="Arial"/>
          <w:rtl/>
        </w:rPr>
        <w:t xml:space="preserve"> מאי לאו פרנסת הבעל! </w:t>
      </w:r>
      <w:r w:rsidRPr="00880956">
        <w:rPr>
          <w:rFonts w:cs="Arial"/>
          <w:u w:val="single"/>
          <w:rtl/>
        </w:rPr>
        <w:t>אמר רב נחמן בר יצחק</w:t>
      </w:r>
      <w:r w:rsidRPr="00F13CEA">
        <w:rPr>
          <w:rFonts w:cs="Arial"/>
          <w:rtl/>
        </w:rPr>
        <w:t>: לא, בפרנסת עצמה. הא ניזונות ומתפרנסות קתני, מאי לאו אחת פרנסת הבעל ואחת פרנסת עצמה! לא, אידי ואידי בפרנסת עצמה, ולא קשיא: הא באכילה ובשתיה, והא בלבושא וכיסויא.</w:t>
      </w:r>
      <w:r w:rsidRPr="00880956">
        <w:rPr>
          <w:rFonts w:cs="Arial" w:hint="cs"/>
          <w:sz w:val="16"/>
          <w:szCs w:val="16"/>
          <w:rtl/>
        </w:rPr>
        <w:t xml:space="preserve"> </w:t>
      </w:r>
      <w:r>
        <w:rPr>
          <w:rFonts w:cs="Arial" w:hint="cs"/>
          <w:sz w:val="16"/>
          <w:szCs w:val="16"/>
          <w:rtl/>
        </w:rPr>
        <w:t>(</w:t>
      </w:r>
      <w:r w:rsidRPr="00880956">
        <w:rPr>
          <w:rFonts w:cs="Arial" w:hint="cs"/>
          <w:sz w:val="16"/>
          <w:szCs w:val="16"/>
          <w:rtl/>
        </w:rPr>
        <w:t xml:space="preserve">נמצא </w:t>
      </w:r>
      <w:r w:rsidRPr="00880956">
        <w:rPr>
          <w:rFonts w:cs="Arial"/>
          <w:sz w:val="16"/>
          <w:szCs w:val="16"/>
          <w:rtl/>
        </w:rPr>
        <w:t>שהבנות אע"פ שאין בלשון התנאי אלא תהויין יתבן בביתי ומיתזנן מנכסי שיש להם לבוש וכסות</w:t>
      </w:r>
      <w:r w:rsidRPr="00880956">
        <w:rPr>
          <w:rFonts w:cs="Arial" w:hint="cs"/>
          <w:sz w:val="16"/>
          <w:szCs w:val="16"/>
          <w:rtl/>
        </w:rPr>
        <w:t xml:space="preserve">, הה"מ </w:t>
      </w:r>
      <w:r>
        <w:rPr>
          <w:rFonts w:cs="Arial" w:hint="cs"/>
          <w:sz w:val="16"/>
          <w:szCs w:val="16"/>
          <w:rtl/>
        </w:rPr>
        <w:t>[פי"ג מאישות ה"ו]</w:t>
      </w:r>
      <w:r w:rsidRPr="00880956">
        <w:rPr>
          <w:rFonts w:cs="Arial" w:hint="cs"/>
          <w:sz w:val="16"/>
          <w:szCs w:val="16"/>
          <w:rtl/>
        </w:rPr>
        <w:t>)</w:t>
      </w:r>
    </w:p>
    <w:p w14:paraId="4DF62BAD" w14:textId="77777777" w:rsidR="002E5BAD" w:rsidRPr="00E47343" w:rsidRDefault="002E5BAD" w:rsidP="002E5BAD">
      <w:pPr>
        <w:rPr>
          <w:u w:val="single"/>
          <w:rtl/>
        </w:rPr>
      </w:pPr>
      <w:r w:rsidRPr="00E47343">
        <w:rPr>
          <w:rFonts w:hint="cs"/>
          <w:u w:val="single"/>
          <w:rtl/>
        </w:rPr>
        <w:lastRenderedPageBreak/>
        <w:t>חיוב כסות לבניו ובנותיו:</w:t>
      </w:r>
    </w:p>
    <w:p w14:paraId="77F672DF" w14:textId="77777777" w:rsidR="002E5BAD" w:rsidRPr="00E47343"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מאישות ה"ו)</w:t>
      </w:r>
      <w:r w:rsidRPr="00794F86">
        <w:rPr>
          <w:rFonts w:cs="Arial" w:hint="cs"/>
          <w:rtl/>
        </w:rPr>
        <w:t xml:space="preserve"> </w:t>
      </w:r>
      <w:r>
        <w:rPr>
          <w:rFonts w:cs="Arial" w:hint="cs"/>
          <w:rtl/>
        </w:rPr>
        <w:t xml:space="preserve">וטור- </w:t>
      </w:r>
      <w:r w:rsidRPr="00486F46">
        <w:rPr>
          <w:rFonts w:cs="Arial"/>
          <w:rtl/>
        </w:rPr>
        <w:t>ולא האשה בלבד אלא בניו ובנותיו הקטנים בני שש או פחות חייב ליתן להם כסות המספקת להם וכלי תשמיש ומדור לשכון בו</w:t>
      </w:r>
      <w:r>
        <w:rPr>
          <w:rStyle w:val="a7"/>
          <w:rFonts w:cs="Arial"/>
          <w:rtl/>
        </w:rPr>
        <w:footnoteReference w:id="1170"/>
      </w:r>
      <w:r w:rsidRPr="00486F46">
        <w:rPr>
          <w:rFonts w:cs="Arial"/>
          <w:rtl/>
        </w:rPr>
        <w:t>, ואינו נותן להם לפי עשרו אלא כפי צרכן בלבד</w:t>
      </w:r>
      <w:r>
        <w:rPr>
          <w:rStyle w:val="a7"/>
          <w:rFonts w:cs="Arial"/>
          <w:rtl/>
        </w:rPr>
        <w:footnoteReference w:id="1171"/>
      </w:r>
      <w:r>
        <w:rPr>
          <w:rFonts w:cs="Arial" w:hint="cs"/>
          <w:rtl/>
        </w:rPr>
        <w:t>.</w:t>
      </w:r>
      <w:r w:rsidRPr="00486F46">
        <w:rPr>
          <w:rFonts w:cs="Arial"/>
          <w:rtl/>
        </w:rPr>
        <w:t xml:space="preserve"> זה הכלל כל מי שיש לו עליו מזונות בין בחייו בין אחר מותו יש לו כסות וכלי בית ומדור, וכל שבית דין מוכרין למזונותיו כך מוכרין לכסותו וכלי ביתו ומדורו</w:t>
      </w:r>
      <w:r>
        <w:rPr>
          <w:rFonts w:cs="Arial" w:hint="cs"/>
          <w:sz w:val="16"/>
          <w:szCs w:val="16"/>
          <w:rtl/>
        </w:rPr>
        <w:t xml:space="preserve"> (ל' הרמב"ם)</w:t>
      </w:r>
      <w:r w:rsidRPr="00486F46">
        <w:rPr>
          <w:rFonts w:cs="Arial"/>
          <w:rtl/>
        </w:rPr>
        <w:t xml:space="preserve">. </w:t>
      </w:r>
      <w:r w:rsidRPr="00D33EFE">
        <w:rPr>
          <w:rFonts w:hint="cs"/>
          <w:color w:val="E36C0A" w:themeColor="accent6" w:themeShade="BF"/>
          <w:rtl/>
        </w:rPr>
        <w:t>(וכ"פ בשו"ע</w:t>
      </w:r>
      <w:r>
        <w:rPr>
          <w:rFonts w:hint="cs"/>
          <w:color w:val="E36C0A" w:themeColor="accent6" w:themeShade="BF"/>
          <w:sz w:val="16"/>
          <w:szCs w:val="16"/>
          <w:rtl/>
        </w:rPr>
        <w:t xml:space="preserve"> </w:t>
      </w:r>
      <w:r w:rsidRPr="00B13367">
        <w:rPr>
          <w:rFonts w:hint="cs"/>
          <w:color w:val="000000" w:themeColor="text1"/>
          <w:sz w:val="16"/>
          <w:szCs w:val="16"/>
          <w:rtl/>
        </w:rPr>
        <w:t>[כאן ובסע' הבא]</w:t>
      </w:r>
      <w:r w:rsidRPr="00D33EFE">
        <w:rPr>
          <w:rFonts w:hint="cs"/>
          <w:color w:val="E36C0A" w:themeColor="accent6" w:themeShade="BF"/>
          <w:rtl/>
        </w:rPr>
        <w:t>)</w:t>
      </w:r>
    </w:p>
    <w:p w14:paraId="44A1CBD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E1620F9" w14:textId="77777777" w:rsidR="002E5BAD" w:rsidRDefault="002E5BAD" w:rsidP="002E5BAD">
      <w:pPr>
        <w:rPr>
          <w:rtl/>
        </w:rPr>
      </w:pPr>
      <w:r>
        <w:rPr>
          <w:rFonts w:cs="Arial"/>
          <w:rtl/>
        </w:rPr>
        <w:t xml:space="preserve">בניו ובנותיו עד בני שש, חייב ליתן להם כסות וכלי תשמיש ומדור, ואינו נותן להם כפי עשרו, אלא כפי צרכן בלבד. </w:t>
      </w:r>
    </w:p>
    <w:p w14:paraId="01FB9B78" w14:textId="77777777" w:rsidR="002E5BAD" w:rsidRDefault="002E5BAD" w:rsidP="002E5BAD">
      <w:pPr>
        <w:rPr>
          <w:rtl/>
        </w:rPr>
      </w:pPr>
    </w:p>
    <w:p w14:paraId="2C88081D" w14:textId="77777777" w:rsidR="002E5BAD" w:rsidRDefault="002E5BAD" w:rsidP="002E5BAD">
      <w:pPr>
        <w:pStyle w:val="2"/>
        <w:rPr>
          <w:rtl/>
        </w:rPr>
      </w:pPr>
      <w:r>
        <w:rPr>
          <w:rtl/>
        </w:rPr>
        <w:t>סעיף ז</w:t>
      </w:r>
      <w:r>
        <w:rPr>
          <w:rFonts w:hint="cs"/>
          <w:rtl/>
        </w:rPr>
        <w:t>: מכירת ב"ד לכסות כלי בית ומדור.</w:t>
      </w:r>
    </w:p>
    <w:p w14:paraId="79ABF8E1" w14:textId="77777777" w:rsidR="002E5BAD" w:rsidRPr="0079449D" w:rsidRDefault="002E5BAD" w:rsidP="002E5BAD">
      <w:pPr>
        <w:rPr>
          <w:rtl/>
        </w:rPr>
      </w:pPr>
      <w:r>
        <w:rPr>
          <w:rFonts w:hint="cs"/>
          <w:rtl/>
        </w:rPr>
        <w:t>עיין במקורות בסעיף הקודם.</w:t>
      </w:r>
    </w:p>
    <w:p w14:paraId="5577D75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18DB591" w14:textId="77777777" w:rsidR="002E5BAD" w:rsidRDefault="002E5BAD" w:rsidP="002E5BAD">
      <w:pPr>
        <w:rPr>
          <w:rtl/>
        </w:rPr>
      </w:pPr>
      <w:r>
        <w:rPr>
          <w:rFonts w:cs="Arial"/>
          <w:rtl/>
        </w:rPr>
        <w:t>כל מי שיש לו עליו מזונות, בין בחייו בין אחר מותו, יש לו כסות וכלי בית ומדור</w:t>
      </w:r>
      <w:r>
        <w:rPr>
          <w:rFonts w:cs="Arial" w:hint="cs"/>
          <w:rtl/>
        </w:rPr>
        <w:t>.</w:t>
      </w:r>
      <w:r>
        <w:rPr>
          <w:rFonts w:cs="Arial"/>
          <w:rtl/>
        </w:rPr>
        <w:t xml:space="preserve"> וכל שבית דין מוכרים למזונותיו, מוכרים לכסות וכלי ביתו ומדורו. </w:t>
      </w:r>
    </w:p>
    <w:p w14:paraId="647B7103" w14:textId="77777777" w:rsidR="002E5BAD" w:rsidRDefault="002E5BAD" w:rsidP="002E5BAD">
      <w:pPr>
        <w:rPr>
          <w:rtl/>
        </w:rPr>
      </w:pPr>
    </w:p>
    <w:p w14:paraId="6EAB6B4F" w14:textId="77777777" w:rsidR="002E5BAD" w:rsidRDefault="002E5BAD" w:rsidP="002E5BAD">
      <w:pPr>
        <w:pStyle w:val="2"/>
        <w:rPr>
          <w:rtl/>
        </w:rPr>
      </w:pPr>
      <w:r>
        <w:rPr>
          <w:rtl/>
        </w:rPr>
        <w:t>סעיף ח</w:t>
      </w:r>
      <w:r>
        <w:rPr>
          <w:rFonts w:hint="cs"/>
          <w:rtl/>
        </w:rPr>
        <w:t>: הוא אומר נתתי והיא אומרת לא נתן.</w:t>
      </w:r>
    </w:p>
    <w:p w14:paraId="4140B321" w14:textId="77777777" w:rsidR="002E5BAD" w:rsidRPr="007226C0" w:rsidRDefault="002E5BAD" w:rsidP="002E5BAD">
      <w:pPr>
        <w:rPr>
          <w:u w:val="single"/>
          <w:rtl/>
        </w:rPr>
      </w:pPr>
      <w:r w:rsidRPr="007226C0">
        <w:rPr>
          <w:rFonts w:hint="cs"/>
          <w:u w:val="single"/>
          <w:rtl/>
        </w:rPr>
        <w:t>הוא אומר נתתי והיא אומרת לא נתן:</w:t>
      </w:r>
    </w:p>
    <w:p w14:paraId="6A24D586" w14:textId="77777777" w:rsidR="002E5BAD" w:rsidRPr="007226C0"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מאישות ה"ז)</w:t>
      </w:r>
      <w:r>
        <w:rPr>
          <w:rFonts w:cs="Arial" w:hint="cs"/>
          <w:rtl/>
        </w:rPr>
        <w:t>-</w:t>
      </w:r>
      <w:r w:rsidRPr="00486F46">
        <w:rPr>
          <w:rFonts w:cs="Arial"/>
          <w:rtl/>
        </w:rPr>
        <w:t xml:space="preserve"> ודין הבעל עם אשתו בטענת הכסות והכלים ושכר המדור כדינם בטענת המזונות אם אמר הוא נתתי והיא אומרת לא נתת דין אחד לכל. </w:t>
      </w:r>
      <w:r w:rsidRPr="00D33EFE">
        <w:rPr>
          <w:rFonts w:hint="cs"/>
          <w:color w:val="E36C0A" w:themeColor="accent6" w:themeShade="BF"/>
          <w:rtl/>
        </w:rPr>
        <w:t>(וכ"פ בשו"ע)</w:t>
      </w:r>
    </w:p>
    <w:p w14:paraId="22205C0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E777D64" w14:textId="77777777" w:rsidR="002E5BAD" w:rsidRDefault="002E5BAD" w:rsidP="002E5BAD">
      <w:pPr>
        <w:rPr>
          <w:rtl/>
        </w:rPr>
      </w:pPr>
      <w:r>
        <w:rPr>
          <w:rFonts w:cs="Arial"/>
          <w:rtl/>
        </w:rPr>
        <w:t>דין הבעל עם אשתו בטענת הכסות והכלים ושכר המדור, כדינם בטענות המזונות</w:t>
      </w:r>
      <w:r>
        <w:rPr>
          <w:rFonts w:cs="Arial" w:hint="cs"/>
          <w:rtl/>
        </w:rPr>
        <w:t>.</w:t>
      </w:r>
      <w:r>
        <w:rPr>
          <w:rFonts w:cs="Arial"/>
          <w:rtl/>
        </w:rPr>
        <w:t xml:space="preserve"> אם אמר הוא: נתתי, והיא אומרת: לא נתן. </w:t>
      </w:r>
    </w:p>
    <w:p w14:paraId="5912410A" w14:textId="77777777" w:rsidR="002E5BAD" w:rsidRDefault="002E5BAD" w:rsidP="002E5BAD">
      <w:pPr>
        <w:rPr>
          <w:rtl/>
        </w:rPr>
      </w:pPr>
    </w:p>
    <w:p w14:paraId="2C560310" w14:textId="77777777" w:rsidR="002E5BAD" w:rsidRDefault="002E5BAD" w:rsidP="002E5BAD">
      <w:pPr>
        <w:pStyle w:val="2"/>
        <w:rPr>
          <w:rtl/>
        </w:rPr>
      </w:pPr>
      <w:r>
        <w:rPr>
          <w:rtl/>
        </w:rPr>
        <w:t>סעיף ט</w:t>
      </w:r>
      <w:r>
        <w:rPr>
          <w:rFonts w:hint="cs"/>
          <w:rtl/>
        </w:rPr>
        <w:t>:</w:t>
      </w:r>
      <w:r w:rsidRPr="007226C0">
        <w:rPr>
          <w:rFonts w:hint="cs"/>
          <w:rtl/>
        </w:rPr>
        <w:t xml:space="preserve"> </w:t>
      </w:r>
      <w:r>
        <w:rPr>
          <w:rFonts w:hint="cs"/>
          <w:rtl/>
        </w:rPr>
        <w:t>בעל שמשכן את כסות אשתו.</w:t>
      </w:r>
    </w:p>
    <w:p w14:paraId="7AC03BE6" w14:textId="77777777" w:rsidR="002E5BAD" w:rsidRPr="000C4173" w:rsidRDefault="002E5BAD" w:rsidP="002E5BAD">
      <w:pPr>
        <w:rPr>
          <w:rFonts w:cs="Arial"/>
          <w:u w:val="single"/>
        </w:rPr>
      </w:pPr>
      <w:r>
        <w:rPr>
          <w:rFonts w:cs="Arial" w:hint="cs"/>
          <w:u w:val="single"/>
          <w:rtl/>
        </w:rPr>
        <w:t>בעל שרוצה ל</w:t>
      </w:r>
      <w:r w:rsidRPr="000C4173">
        <w:rPr>
          <w:rFonts w:cs="Arial" w:hint="cs"/>
          <w:u w:val="single"/>
          <w:rtl/>
        </w:rPr>
        <w:t>משכן מטלטלין של אשתו:</w:t>
      </w:r>
    </w:p>
    <w:p w14:paraId="3BC6E482" w14:textId="77777777" w:rsidR="002E5BAD" w:rsidRDefault="002E5BAD" w:rsidP="002E5BAD">
      <w:pPr>
        <w:pStyle w:val="ab"/>
        <w:numPr>
          <w:ilvl w:val="0"/>
          <w:numId w:val="136"/>
        </w:numPr>
        <w:rPr>
          <w:rFonts w:cs="Arial"/>
        </w:rPr>
      </w:pPr>
      <w:r w:rsidRPr="000C4173">
        <w:rPr>
          <w:rFonts w:cs="Arial"/>
          <w:rtl/>
        </w:rPr>
        <w:t>מרדכי</w:t>
      </w:r>
      <w:r>
        <w:rPr>
          <w:rStyle w:val="a7"/>
          <w:rFonts w:cs="Arial"/>
          <w:rtl/>
        </w:rPr>
        <w:footnoteReference w:id="1172"/>
      </w:r>
      <w:r w:rsidRPr="000C4173">
        <w:rPr>
          <w:rFonts w:cs="Arial"/>
          <w:rtl/>
        </w:rPr>
        <w:t xml:space="preserve"> </w:t>
      </w:r>
      <w:r w:rsidRPr="000C4173">
        <w:rPr>
          <w:rFonts w:cs="Arial" w:hint="cs"/>
          <w:sz w:val="16"/>
          <w:szCs w:val="16"/>
          <w:rtl/>
        </w:rPr>
        <w:t>(</w:t>
      </w:r>
      <w:r w:rsidRPr="000C4173">
        <w:rPr>
          <w:rFonts w:cs="Arial"/>
          <w:sz w:val="16"/>
          <w:szCs w:val="16"/>
          <w:rtl/>
        </w:rPr>
        <w:t>ס"פ האומנים ב"מ סי' שסד</w:t>
      </w:r>
      <w:r>
        <w:rPr>
          <w:rFonts w:cs="Arial" w:hint="cs"/>
          <w:sz w:val="16"/>
          <w:szCs w:val="16"/>
          <w:rtl/>
        </w:rPr>
        <w:t>, הביאו הב"י בסי' צ</w:t>
      </w:r>
      <w:r w:rsidRPr="000C4173">
        <w:rPr>
          <w:rFonts w:cs="Arial"/>
          <w:sz w:val="16"/>
          <w:szCs w:val="16"/>
          <w:rtl/>
        </w:rPr>
        <w:t>)</w:t>
      </w:r>
      <w:r w:rsidRPr="003509BC">
        <w:rPr>
          <w:rFonts w:cs="Arial"/>
          <w:rtl/>
        </w:rPr>
        <w:t xml:space="preserve"> </w:t>
      </w:r>
      <w:r>
        <w:rPr>
          <w:rFonts w:cs="Arial" w:hint="cs"/>
          <w:rtl/>
        </w:rPr>
        <w:t>ו</w:t>
      </w:r>
      <w:r w:rsidRPr="000C4173">
        <w:rPr>
          <w:rFonts w:cs="Arial"/>
          <w:rtl/>
        </w:rPr>
        <w:t>מצאתי כתו</w:t>
      </w:r>
      <w:r>
        <w:rPr>
          <w:rFonts w:cs="Arial" w:hint="cs"/>
          <w:rtl/>
        </w:rPr>
        <w:t>ב</w:t>
      </w:r>
      <w:r>
        <w:rPr>
          <w:rStyle w:val="a7"/>
          <w:rFonts w:cs="Arial"/>
          <w:rtl/>
        </w:rPr>
        <w:footnoteReference w:id="1173"/>
      </w:r>
      <w:r>
        <w:rPr>
          <w:rFonts w:cs="Arial" w:hint="cs"/>
          <w:sz w:val="16"/>
          <w:szCs w:val="16"/>
          <w:rtl/>
        </w:rPr>
        <w:t xml:space="preserve"> (כ"כ הב"י [בסי' צ] בשם מצאתי כתוב)</w:t>
      </w:r>
      <w:r w:rsidRPr="000C4173">
        <w:rPr>
          <w:rFonts w:cs="Arial" w:hint="cs"/>
          <w:rtl/>
        </w:rPr>
        <w:t xml:space="preserve">- </w:t>
      </w:r>
      <w:r w:rsidRPr="000C4173">
        <w:rPr>
          <w:rFonts w:cs="Arial"/>
          <w:rtl/>
        </w:rPr>
        <w:t xml:space="preserve">אין אדם </w:t>
      </w:r>
      <w:r>
        <w:rPr>
          <w:rFonts w:cs="Arial" w:hint="cs"/>
          <w:rtl/>
        </w:rPr>
        <w:t>רשאי</w:t>
      </w:r>
      <w:r w:rsidRPr="000C4173">
        <w:rPr>
          <w:rFonts w:cs="Arial"/>
          <w:rtl/>
        </w:rPr>
        <w:t xml:space="preserve"> למשכן בגדי אשתו</w:t>
      </w:r>
      <w:r>
        <w:rPr>
          <w:rFonts w:cs="Arial" w:hint="cs"/>
          <w:sz w:val="16"/>
          <w:szCs w:val="16"/>
          <w:rtl/>
        </w:rPr>
        <w:t xml:space="preserve"> (ל' המרדכי)</w:t>
      </w:r>
      <w:r w:rsidRPr="000C4173">
        <w:rPr>
          <w:rFonts w:cs="Arial"/>
          <w:rtl/>
        </w:rPr>
        <w:t>.</w:t>
      </w:r>
      <w:r w:rsidRPr="003509BC">
        <w:rPr>
          <w:rFonts w:cs="Arial"/>
          <w:rtl/>
        </w:rPr>
        <w:t xml:space="preserve"> </w:t>
      </w:r>
      <w:r>
        <w:rPr>
          <w:rFonts w:cs="Arial" w:hint="cs"/>
          <w:rtl/>
        </w:rPr>
        <w:t xml:space="preserve">ואם משכן - </w:t>
      </w:r>
      <w:r w:rsidRPr="000C4173">
        <w:rPr>
          <w:rFonts w:cs="Arial"/>
          <w:rtl/>
        </w:rPr>
        <w:t>דין הוא שיחזיר לה</w:t>
      </w:r>
      <w:r>
        <w:rPr>
          <w:rFonts w:cs="Arial" w:hint="cs"/>
          <w:rtl/>
        </w:rPr>
        <w:t xml:space="preserve"> </w:t>
      </w:r>
      <w:r>
        <w:rPr>
          <w:rFonts w:cs="Arial" w:hint="cs"/>
          <w:sz w:val="16"/>
          <w:szCs w:val="16"/>
          <w:rtl/>
        </w:rPr>
        <w:t>{המלוה}</w:t>
      </w:r>
      <w:r w:rsidRPr="000C4173">
        <w:rPr>
          <w:rFonts w:cs="Arial"/>
          <w:rtl/>
        </w:rPr>
        <w:t xml:space="preserve"> אם תשבע דשלא מדעתה לוה בעלה עליהם</w:t>
      </w:r>
      <w:r>
        <w:rPr>
          <w:rFonts w:cs="Arial" w:hint="cs"/>
          <w:sz w:val="16"/>
          <w:szCs w:val="16"/>
          <w:rtl/>
        </w:rPr>
        <w:t xml:space="preserve"> (ל' הב"י בשם מצאתי כתוב)</w:t>
      </w:r>
      <w:r>
        <w:rPr>
          <w:rFonts w:cs="Arial" w:hint="cs"/>
          <w:rtl/>
        </w:rPr>
        <w:t>.</w:t>
      </w:r>
      <w:r w:rsidRPr="000C4173">
        <w:rPr>
          <w:rFonts w:cs="Arial"/>
          <w:rtl/>
        </w:rPr>
        <w:t xml:space="preserve"> </w:t>
      </w:r>
    </w:p>
    <w:p w14:paraId="5839361A" w14:textId="77777777" w:rsidR="002E5BAD" w:rsidRPr="00132500" w:rsidRDefault="002E5BAD" w:rsidP="002E5BAD">
      <w:pPr>
        <w:pStyle w:val="ab"/>
        <w:numPr>
          <w:ilvl w:val="0"/>
          <w:numId w:val="136"/>
        </w:numPr>
        <w:rPr>
          <w:rFonts w:cs="Arial"/>
          <w:rtl/>
        </w:rPr>
      </w:pPr>
      <w:r w:rsidRPr="00977B18">
        <w:rPr>
          <w:rFonts w:cs="Arial"/>
          <w:rtl/>
        </w:rPr>
        <w:lastRenderedPageBreak/>
        <w:t xml:space="preserve">רשב"א </w:t>
      </w:r>
      <w:r w:rsidRPr="00977B18">
        <w:rPr>
          <w:rFonts w:cs="Arial"/>
          <w:sz w:val="16"/>
          <w:szCs w:val="16"/>
          <w:rtl/>
        </w:rPr>
        <w:t>(ח"ב סי' רפו)</w:t>
      </w:r>
      <w:r>
        <w:rPr>
          <w:rFonts w:cs="Arial" w:hint="cs"/>
          <w:rtl/>
        </w:rPr>
        <w:t>-</w:t>
      </w:r>
      <w:r w:rsidRPr="00977B18">
        <w:rPr>
          <w:rFonts w:cs="Arial"/>
          <w:rtl/>
        </w:rPr>
        <w:t xml:space="preserve"> עוד שאלת מי שלוה מעות על כסות אשתו ואבדם בקוביא. מהו שתוכל האשה להוציא כסותה מיד המלוה בלא כלום ולומר שהבעל הוציאו מביתה שלא מדעתה</w:t>
      </w:r>
      <w:r>
        <w:rPr>
          <w:rFonts w:cs="Arial" w:hint="cs"/>
          <w:rtl/>
        </w:rPr>
        <w:t>.</w:t>
      </w:r>
      <w:r w:rsidRPr="00977B18">
        <w:rPr>
          <w:rFonts w:cs="Arial"/>
          <w:rtl/>
        </w:rPr>
        <w:t xml:space="preserve"> תשובה</w:t>
      </w:r>
      <w:r>
        <w:rPr>
          <w:rFonts w:cs="Arial" w:hint="cs"/>
          <w:rtl/>
        </w:rPr>
        <w:t>-</w:t>
      </w:r>
      <w:r w:rsidRPr="00977B18">
        <w:rPr>
          <w:rFonts w:cs="Arial"/>
          <w:rtl/>
        </w:rPr>
        <w:t xml:space="preserve"> ומאן לימ</w:t>
      </w:r>
      <w:r>
        <w:rPr>
          <w:rFonts w:cs="Arial" w:hint="cs"/>
          <w:rtl/>
        </w:rPr>
        <w:t>א</w:t>
      </w:r>
      <w:r w:rsidRPr="00977B18">
        <w:rPr>
          <w:rFonts w:cs="Arial"/>
          <w:rtl/>
        </w:rPr>
        <w:t xml:space="preserve"> לן שאין הבעל יכול למכור ולמשכן כסות אשתו ובניו שלא מדעתם. דמה ששנינו </w:t>
      </w:r>
      <w:r>
        <w:rPr>
          <w:rFonts w:cs="Arial" w:hint="cs"/>
          <w:rtl/>
        </w:rPr>
        <w:t xml:space="preserve">(ערכין כד.) </w:t>
      </w:r>
      <w:r w:rsidRPr="00977B18">
        <w:rPr>
          <w:rFonts w:cs="Arial"/>
          <w:rtl/>
        </w:rPr>
        <w:t>אחד המקדיש את נכסיו ואחד המעריך עצמו אין לו בכסות אשתו ולא בכסות בניו</w:t>
      </w:r>
      <w:r>
        <w:rPr>
          <w:rFonts w:cs="Arial" w:hint="cs"/>
          <w:rtl/>
        </w:rPr>
        <w:t xml:space="preserve"> </w:t>
      </w:r>
      <w:r>
        <w:rPr>
          <w:rFonts w:cs="Arial" w:hint="cs"/>
          <w:sz w:val="16"/>
          <w:szCs w:val="16"/>
          <w:rtl/>
        </w:rPr>
        <w:t>{והאריך הרשב"א בדבר}</w:t>
      </w:r>
      <w:r>
        <w:rPr>
          <w:rFonts w:cs="Arial" w:hint="cs"/>
          <w:rtl/>
        </w:rPr>
        <w:t>...</w:t>
      </w:r>
      <w:r w:rsidRPr="001850B5">
        <w:rPr>
          <w:rFonts w:cs="Arial"/>
          <w:rtl/>
        </w:rPr>
        <w:t xml:space="preserve"> ומכל מקום נראה שלא הקנה לאשתו אלא אדעתא למיקם קמיה</w:t>
      </w:r>
      <w:r>
        <w:rPr>
          <w:rFonts w:cs="Arial" w:hint="cs"/>
          <w:rtl/>
        </w:rPr>
        <w:t>,</w:t>
      </w:r>
      <w:r w:rsidRPr="001850B5">
        <w:rPr>
          <w:rFonts w:cs="Arial"/>
          <w:rtl/>
        </w:rPr>
        <w:t xml:space="preserve"> אדעתא למשקל ומיפק לא אקני ליה. וכ"ש בנדון שלפנינו דמאן לימא לן דלא אפקיה מדעתה למשכוניה משום רוח ביתא. ועוד דשפיר קאמרת דאף בזה יש משום תקנת השוק. דאפילו במשכנתא דגזלן עשו תקנת השוק. וכל שכן בבעל בכסות אשתו</w:t>
      </w:r>
      <w:r>
        <w:rPr>
          <w:rStyle w:val="a7"/>
          <w:rFonts w:cs="Arial"/>
          <w:rtl/>
        </w:rPr>
        <w:footnoteReference w:id="1174"/>
      </w:r>
      <w:r w:rsidRPr="001850B5">
        <w:rPr>
          <w:rFonts w:cs="Arial"/>
          <w:rtl/>
        </w:rPr>
        <w:t>.</w:t>
      </w:r>
      <w:r w:rsidRPr="00132500">
        <w:rPr>
          <w:rFonts w:cs="Arial"/>
          <w:rtl/>
        </w:rPr>
        <w:t xml:space="preserve"> </w:t>
      </w:r>
      <w:r w:rsidRPr="00132500">
        <w:rPr>
          <w:rFonts w:hint="cs"/>
          <w:color w:val="E36C0A" w:themeColor="accent6" w:themeShade="BF"/>
          <w:rtl/>
        </w:rPr>
        <w:t>(וכ"פ בשו"ע)</w:t>
      </w:r>
    </w:p>
    <w:p w14:paraId="25DD6C5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A925133" w14:textId="77777777" w:rsidR="002E5BAD" w:rsidRDefault="002E5BAD" w:rsidP="002E5BAD">
      <w:pPr>
        <w:rPr>
          <w:rtl/>
        </w:rPr>
      </w:pPr>
      <w:r>
        <w:rPr>
          <w:rFonts w:cs="Arial"/>
          <w:rtl/>
        </w:rPr>
        <w:t>מי שמשכן כסות אשתו, אינה יכולה להוציא מידו בלא כלום.</w:t>
      </w:r>
    </w:p>
    <w:p w14:paraId="1A41D437" w14:textId="77777777" w:rsidR="002E5BAD" w:rsidRDefault="002E5BAD" w:rsidP="002E5BAD">
      <w:pPr>
        <w:rPr>
          <w:rtl/>
        </w:rPr>
      </w:pPr>
    </w:p>
    <w:p w14:paraId="6A770EC8" w14:textId="77777777" w:rsidR="002E5BAD" w:rsidRDefault="002E5BAD" w:rsidP="002E5BAD">
      <w:pPr>
        <w:rPr>
          <w:rtl/>
        </w:rPr>
      </w:pPr>
    </w:p>
    <w:p w14:paraId="747EEF76" w14:textId="77777777" w:rsidR="002E5BAD" w:rsidRDefault="002E5BAD" w:rsidP="002E5BAD">
      <w:pPr>
        <w:pStyle w:val="1"/>
        <w:rPr>
          <w:rtl/>
        </w:rPr>
        <w:sectPr w:rsidR="002E5BAD" w:rsidSect="00A347B3">
          <w:headerReference w:type="default" r:id="rId29"/>
          <w:footnotePr>
            <w:numRestart w:val="eachPage"/>
          </w:footnotePr>
          <w:pgSz w:w="11906" w:h="16838"/>
          <w:pgMar w:top="720" w:right="1134" w:bottom="720" w:left="1134" w:header="0" w:footer="0" w:gutter="0"/>
          <w:cols w:space="720"/>
          <w:bidi/>
          <w:rtlGutter/>
          <w:docGrid w:linePitch="360"/>
        </w:sectPr>
      </w:pPr>
    </w:p>
    <w:p w14:paraId="44B575C8" w14:textId="77777777" w:rsidR="002E5BAD" w:rsidRDefault="002E5BAD" w:rsidP="002E5BAD">
      <w:pPr>
        <w:pStyle w:val="1"/>
        <w:rPr>
          <w:rtl/>
        </w:rPr>
      </w:pPr>
      <w:r>
        <w:rPr>
          <w:rFonts w:hint="cs"/>
          <w:rtl/>
        </w:rPr>
        <w:lastRenderedPageBreak/>
        <w:t xml:space="preserve">סימן עד: </w:t>
      </w:r>
      <w:r>
        <w:rPr>
          <w:rtl/>
        </w:rPr>
        <w:t xml:space="preserve">המדיר אשתו מכמה דברים, ובו י"ב סעיפים. </w:t>
      </w:r>
    </w:p>
    <w:p w14:paraId="00745380" w14:textId="77777777" w:rsidR="002E5BAD" w:rsidRDefault="002E5BAD" w:rsidP="002E5BAD">
      <w:pPr>
        <w:pStyle w:val="2"/>
        <w:rPr>
          <w:rtl/>
        </w:rPr>
      </w:pPr>
      <w:r>
        <w:rPr>
          <w:rtl/>
        </w:rPr>
        <w:t>סעיף א</w:t>
      </w:r>
      <w:r>
        <w:rPr>
          <w:rFonts w:hint="cs"/>
          <w:rtl/>
        </w:rPr>
        <w:t>:</w:t>
      </w:r>
      <w:r w:rsidRPr="00810E55">
        <w:rPr>
          <w:rFonts w:cs="Arial"/>
          <w:rtl/>
        </w:rPr>
        <w:t xml:space="preserve"> </w:t>
      </w:r>
      <w:r w:rsidRPr="00791B55">
        <w:rPr>
          <w:rFonts w:cs="Arial"/>
          <w:rtl/>
        </w:rPr>
        <w:t>הדירה שלא תתקשט</w:t>
      </w:r>
      <w:r>
        <w:rPr>
          <w:rFonts w:cs="Arial" w:hint="cs"/>
          <w:rtl/>
        </w:rPr>
        <w:t>.</w:t>
      </w:r>
    </w:p>
    <w:p w14:paraId="09B400D0" w14:textId="77777777" w:rsidR="002E5BAD" w:rsidRDefault="002E5BAD" w:rsidP="002E5BAD">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w:t>
      </w:r>
      <w:r w:rsidRPr="003345BA">
        <w:rPr>
          <w:rFonts w:cs="Arial"/>
          <w:rtl/>
        </w:rPr>
        <w:t>המדיר את אשתו שלא תתקשט באחד מכל המינין - יוציא ויתן כתובה</w:t>
      </w:r>
      <w:r>
        <w:rPr>
          <w:rFonts w:cs="Arial" w:hint="cs"/>
          <w:rtl/>
        </w:rPr>
        <w:t>.</w:t>
      </w:r>
      <w:r w:rsidRPr="003345BA">
        <w:rPr>
          <w:rFonts w:cs="Arial"/>
          <w:rtl/>
        </w:rPr>
        <w:t xml:space="preserve"> </w:t>
      </w:r>
      <w:r w:rsidRPr="003345BA">
        <w:rPr>
          <w:rFonts w:cs="Arial"/>
          <w:u w:val="single"/>
          <w:rtl/>
        </w:rPr>
        <w:t>ר' יוסי אומר</w:t>
      </w:r>
      <w:r w:rsidRPr="003345BA">
        <w:rPr>
          <w:rFonts w:cs="Arial"/>
          <w:rtl/>
        </w:rPr>
        <w:t>: בעניות - שלא נתן קצבה</w:t>
      </w:r>
      <w:r>
        <w:rPr>
          <w:rStyle w:val="a7"/>
          <w:rFonts w:cs="Arial"/>
          <w:rtl/>
        </w:rPr>
        <w:footnoteReference w:id="1175"/>
      </w:r>
      <w:r w:rsidRPr="003345BA">
        <w:rPr>
          <w:rFonts w:cs="Arial"/>
          <w:rtl/>
        </w:rPr>
        <w:t>, ובעשירות - שלשים יום.</w:t>
      </w:r>
      <w:r>
        <w:rPr>
          <w:rFonts w:cs="Arial" w:hint="cs"/>
          <w:rtl/>
        </w:rPr>
        <w:t xml:space="preserve">    </w:t>
      </w:r>
      <w:r w:rsidRPr="00253F29">
        <w:rPr>
          <w:rtl/>
        </w:rPr>
        <w:t xml:space="preserve"> </w:t>
      </w:r>
      <w:r w:rsidRPr="00C60E3E">
        <w:rPr>
          <w:rFonts w:cs="Arial"/>
          <w:u w:val="double"/>
          <w:rtl/>
        </w:rPr>
        <w:t>גמ'</w:t>
      </w:r>
      <w:r>
        <w:rPr>
          <w:rFonts w:cs="Arial" w:hint="cs"/>
          <w:sz w:val="14"/>
          <w:szCs w:val="14"/>
          <w:u w:val="double"/>
          <w:rtl/>
        </w:rPr>
        <w:t>(עא.)</w:t>
      </w:r>
      <w:r>
        <w:rPr>
          <w:rFonts w:cs="Arial" w:hint="cs"/>
          <w:u w:val="double"/>
          <w:rtl/>
        </w:rPr>
        <w:t>:</w:t>
      </w:r>
      <w:r w:rsidRPr="00560D36">
        <w:rPr>
          <w:rtl/>
        </w:rPr>
        <w:t xml:space="preserve"> </w:t>
      </w:r>
      <w:r w:rsidRPr="00560D36">
        <w:rPr>
          <w:rFonts w:cs="Arial"/>
          <w:rtl/>
        </w:rPr>
        <w:t>וסבר רבי יוסי בעניות שלא נתן קצבה</w:t>
      </w:r>
      <w:r>
        <w:rPr>
          <w:rStyle w:val="a7"/>
          <w:rFonts w:cs="Arial"/>
          <w:rtl/>
        </w:rPr>
        <w:footnoteReference w:id="1176"/>
      </w:r>
      <w:r>
        <w:rPr>
          <w:rFonts w:cs="Arial" w:hint="cs"/>
          <w:rtl/>
        </w:rPr>
        <w:t xml:space="preserve"> -</w:t>
      </w:r>
      <w:r w:rsidRPr="00560D36">
        <w:rPr>
          <w:rFonts w:cs="Arial"/>
          <w:rtl/>
        </w:rPr>
        <w:t xml:space="preserve"> אלמא בעל מצי מיפר</w:t>
      </w:r>
      <w:r>
        <w:rPr>
          <w:rStyle w:val="a7"/>
          <w:rFonts w:cs="Arial"/>
          <w:rtl/>
        </w:rPr>
        <w:footnoteReference w:id="1177"/>
      </w:r>
      <w:r>
        <w:rPr>
          <w:rFonts w:cs="Arial" w:hint="cs"/>
          <w:rtl/>
        </w:rPr>
        <w:t>.</w:t>
      </w:r>
      <w:r w:rsidRPr="00560D36">
        <w:rPr>
          <w:rFonts w:cs="Arial"/>
          <w:rtl/>
        </w:rPr>
        <w:t xml:space="preserve"> ורמינהו: אלו דברים שהבעל מיפר, דברים שיש בהן עינוי נפש: אם ארחץ אם לא ארחץ, אם אתקשט אם לא אתקשט</w:t>
      </w:r>
      <w:r>
        <w:rPr>
          <w:rFonts w:cs="Arial" w:hint="cs"/>
          <w:rtl/>
        </w:rPr>
        <w:t>.</w:t>
      </w:r>
      <w:r w:rsidRPr="00560D36">
        <w:rPr>
          <w:rFonts w:cs="Arial"/>
          <w:rtl/>
        </w:rPr>
        <w:t xml:space="preserve"> </w:t>
      </w:r>
      <w:r w:rsidRPr="008325FE">
        <w:rPr>
          <w:rFonts w:cs="Arial"/>
          <w:u w:val="single"/>
          <w:rtl/>
        </w:rPr>
        <w:t>אמר רבי יוסי</w:t>
      </w:r>
      <w:r w:rsidRPr="00560D36">
        <w:rPr>
          <w:rFonts w:cs="Arial"/>
          <w:rtl/>
        </w:rPr>
        <w:t>: אין אלו נדרי עינוי נפש, ואלו הן נדרי עינוי נפש: שלא אוכל בשר, ושלא אשתה יין, ושלא אתקשט</w:t>
      </w:r>
      <w:r>
        <w:rPr>
          <w:rFonts w:cs="Arial" w:hint="cs"/>
          <w:sz w:val="14"/>
          <w:szCs w:val="14"/>
          <w:rtl/>
        </w:rPr>
        <w:t xml:space="preserve"> (עא:)</w:t>
      </w:r>
      <w:r>
        <w:rPr>
          <w:rFonts w:cs="Arial" w:hint="cs"/>
          <w:rtl/>
        </w:rPr>
        <w:t xml:space="preserve"> </w:t>
      </w:r>
      <w:r w:rsidRPr="00560D36">
        <w:rPr>
          <w:rFonts w:cs="Arial"/>
          <w:rtl/>
        </w:rPr>
        <w:t>בבגדי צבעונין! הכא במאי עסקינן - בדברים שבינו לבינה</w:t>
      </w:r>
      <w:r>
        <w:rPr>
          <w:rStyle w:val="a7"/>
          <w:rFonts w:cs="Arial"/>
          <w:rtl/>
        </w:rPr>
        <w:footnoteReference w:id="1178"/>
      </w:r>
      <w:r w:rsidRPr="00560D36">
        <w:rPr>
          <w:rFonts w:cs="Arial"/>
          <w:rtl/>
        </w:rPr>
        <w:t>. הניחא למ"ד דברים שבינו לבינה הבעל מיפר, אלא למ"ד אין הבעל מיפר, מאי איכא למימר? דאתמר: דברים שבינו לבינה - רב הונא אמר: הבעל מיפר, רב אדא בר אהבה אמר: אין הבעל מיפר, שלא מצינו שועל שמת בעפר פיר</w:t>
      </w:r>
      <w:r>
        <w:rPr>
          <w:rStyle w:val="a7"/>
          <w:rFonts w:cs="Arial"/>
          <w:rtl/>
        </w:rPr>
        <w:footnoteReference w:id="1179"/>
      </w:r>
      <w:r w:rsidRPr="00560D36">
        <w:rPr>
          <w:rFonts w:cs="Arial"/>
          <w:rtl/>
        </w:rPr>
        <w:t>! אלא הכא במאי עסקינן - כגון דתלינהו לקישוטיה בתשמיש המטה, דאמרה יאסר הנאת תשמישך עלי אם אתקשט</w:t>
      </w:r>
      <w:r>
        <w:rPr>
          <w:rFonts w:cs="Arial" w:hint="cs"/>
          <w:rtl/>
        </w:rPr>
        <w:t>.</w:t>
      </w:r>
      <w:r w:rsidRPr="00560D36">
        <w:rPr>
          <w:rFonts w:cs="Arial"/>
          <w:rtl/>
        </w:rPr>
        <w:t xml:space="preserve"> כדאמר רב כהנא, דאמר רב כהנא: הנאת תשמישי עליך - כופה ומשמשתו, הנאת תשמישך עלי - יפר, לפי שאין מאכילין לאדם דבר האסור לו. ולא תתקשט ולא תאסר! אם כן, קרו לה מנוולת. ותתקשט ותאסר, אי לב"ש</w:t>
      </w:r>
      <w:r>
        <w:rPr>
          <w:rStyle w:val="a7"/>
          <w:rFonts w:cs="Arial"/>
          <w:rtl/>
        </w:rPr>
        <w:footnoteReference w:id="1180"/>
      </w:r>
      <w:r w:rsidRPr="00560D36">
        <w:rPr>
          <w:rFonts w:cs="Arial"/>
          <w:rtl/>
        </w:rPr>
        <w:t xml:space="preserve"> שתי שבתות, אי לבית הלל שבת אחת! הני מילי היכא דאדרה איהו, דסברה: מירתח רתח עילואי והשתא מותיב דעתיה, אבל הכא דנדרה איהי ושתיק לה, סברה: מדאישתק, מיסנא הוא דסני לי</w:t>
      </w:r>
      <w:r>
        <w:rPr>
          <w:rStyle w:val="a7"/>
          <w:rFonts w:cs="Arial"/>
          <w:rtl/>
        </w:rPr>
        <w:footnoteReference w:id="1181"/>
      </w:r>
      <w:r w:rsidRPr="00560D36">
        <w:rPr>
          <w:rFonts w:cs="Arial"/>
          <w:rtl/>
        </w:rPr>
        <w:t>.</w:t>
      </w:r>
      <w:r w:rsidRPr="00087AB3">
        <w:rPr>
          <w:rtl/>
        </w:rPr>
        <w:t xml:space="preserve"> </w:t>
      </w:r>
      <w:r w:rsidRPr="00087AB3">
        <w:rPr>
          <w:rFonts w:cs="Arial"/>
          <w:rtl/>
        </w:rPr>
        <w:t>רבי יוסי אומר: בעניות - שלא נתן קצבה. וכמה קצבה</w:t>
      </w:r>
      <w:r>
        <w:rPr>
          <w:rStyle w:val="a7"/>
          <w:rFonts w:cs="Arial"/>
          <w:rtl/>
        </w:rPr>
        <w:footnoteReference w:id="1182"/>
      </w:r>
      <w:r w:rsidRPr="00087AB3">
        <w:rPr>
          <w:rFonts w:cs="Arial"/>
          <w:rtl/>
        </w:rPr>
        <w:t xml:space="preserve">? </w:t>
      </w:r>
      <w:r w:rsidRPr="00DD037B">
        <w:rPr>
          <w:rFonts w:cs="Arial"/>
          <w:u w:val="single"/>
          <w:rtl/>
        </w:rPr>
        <w:t>אמר רב יהודה אמר שמואל</w:t>
      </w:r>
      <w:r w:rsidRPr="00087AB3">
        <w:rPr>
          <w:rFonts w:cs="Arial"/>
          <w:rtl/>
        </w:rPr>
        <w:t>: י"ב חדש</w:t>
      </w:r>
      <w:r>
        <w:rPr>
          <w:rFonts w:cs="Arial" w:hint="cs"/>
          <w:rtl/>
        </w:rPr>
        <w:t>.</w:t>
      </w:r>
      <w:r w:rsidRPr="00087AB3">
        <w:rPr>
          <w:rFonts w:cs="Arial"/>
          <w:rtl/>
        </w:rPr>
        <w:t xml:space="preserve"> </w:t>
      </w:r>
      <w:r w:rsidRPr="00DD037B">
        <w:rPr>
          <w:rFonts w:cs="Arial"/>
          <w:u w:val="single"/>
          <w:rtl/>
        </w:rPr>
        <w:t>רבה בר בר חנה אמר רבי יוחנן</w:t>
      </w:r>
      <w:r w:rsidRPr="00087AB3">
        <w:rPr>
          <w:rFonts w:cs="Arial"/>
          <w:rtl/>
        </w:rPr>
        <w:t>: עשר שנים</w:t>
      </w:r>
      <w:r>
        <w:rPr>
          <w:rFonts w:cs="Arial" w:hint="cs"/>
          <w:rtl/>
        </w:rPr>
        <w:t>.</w:t>
      </w:r>
      <w:r w:rsidRPr="00087AB3">
        <w:rPr>
          <w:rFonts w:cs="Arial"/>
          <w:rtl/>
        </w:rPr>
        <w:t xml:space="preserve"> </w:t>
      </w:r>
      <w:r w:rsidRPr="00DD037B">
        <w:rPr>
          <w:rFonts w:cs="Arial"/>
          <w:u w:val="single"/>
          <w:rtl/>
        </w:rPr>
        <w:t>רב חסדא אמר אבימי</w:t>
      </w:r>
      <w:r w:rsidRPr="00087AB3">
        <w:rPr>
          <w:rFonts w:cs="Arial"/>
          <w:rtl/>
        </w:rPr>
        <w:t>: רגל, שכן בנות ישראל מתקשטות ברגל.</w:t>
      </w:r>
    </w:p>
    <w:p w14:paraId="598FDE97" w14:textId="77777777" w:rsidR="002E5BAD" w:rsidRPr="00810E55" w:rsidRDefault="002E5BAD" w:rsidP="002E5BAD">
      <w:pPr>
        <w:rPr>
          <w:u w:val="single"/>
          <w:rtl/>
        </w:rPr>
      </w:pPr>
      <w:r w:rsidRPr="00810E55">
        <w:rPr>
          <w:rFonts w:cs="Arial"/>
          <w:u w:val="single"/>
          <w:rtl/>
        </w:rPr>
        <w:t>הדירה שלא תתקשט</w:t>
      </w:r>
      <w:r w:rsidRPr="00810E55">
        <w:rPr>
          <w:rFonts w:hint="cs"/>
          <w:u w:val="single"/>
          <w:rtl/>
        </w:rPr>
        <w:t>:</w:t>
      </w:r>
    </w:p>
    <w:p w14:paraId="7F5B2094" w14:textId="77777777" w:rsidR="002E5BAD" w:rsidRDefault="002E5BAD" w:rsidP="002E5BAD">
      <w:pPr>
        <w:pStyle w:val="ab"/>
        <w:numPr>
          <w:ilvl w:val="0"/>
          <w:numId w:val="136"/>
        </w:numPr>
        <w:rPr>
          <w:rFonts w:cs="Arial"/>
        </w:rPr>
      </w:pPr>
      <w:r w:rsidRPr="00791B55">
        <w:rPr>
          <w:rFonts w:cs="Arial"/>
          <w:rtl/>
        </w:rPr>
        <w:t>רמב"ם</w:t>
      </w:r>
      <w:r>
        <w:rPr>
          <w:rFonts w:cs="Arial" w:hint="cs"/>
          <w:rtl/>
        </w:rPr>
        <w:t xml:space="preserve"> </w:t>
      </w:r>
      <w:r>
        <w:rPr>
          <w:rFonts w:cs="Arial" w:hint="cs"/>
          <w:sz w:val="16"/>
          <w:szCs w:val="16"/>
          <w:rtl/>
        </w:rPr>
        <w:t>(פי"ג מאישות ה"ח)</w:t>
      </w:r>
      <w:r>
        <w:rPr>
          <w:rFonts w:cs="Arial" w:hint="cs"/>
          <w:rtl/>
        </w:rPr>
        <w:t xml:space="preserve">- </w:t>
      </w:r>
      <w:r w:rsidRPr="004A1CD6">
        <w:rPr>
          <w:rFonts w:cs="Arial"/>
          <w:rtl/>
        </w:rPr>
        <w:t>המדיר את אשתו שלא תתקשט באחד מכל המינין</w:t>
      </w:r>
      <w:r>
        <w:rPr>
          <w:rStyle w:val="a7"/>
          <w:rFonts w:cs="Arial"/>
          <w:rtl/>
        </w:rPr>
        <w:footnoteReference w:id="1183"/>
      </w:r>
      <w:r w:rsidRPr="004A1CD6">
        <w:rPr>
          <w:rFonts w:cs="Arial"/>
          <w:rtl/>
        </w:rPr>
        <w:t xml:space="preserve">, בעניות </w:t>
      </w:r>
      <w:r>
        <w:rPr>
          <w:rFonts w:cs="Arial" w:hint="cs"/>
          <w:rtl/>
        </w:rPr>
        <w:t xml:space="preserve">- </w:t>
      </w:r>
      <w:r w:rsidRPr="004A1CD6">
        <w:rPr>
          <w:rFonts w:cs="Arial"/>
          <w:rtl/>
        </w:rPr>
        <w:t>שנה אחת יקיים</w:t>
      </w:r>
      <w:r>
        <w:rPr>
          <w:rFonts w:cs="Arial" w:hint="cs"/>
          <w:rtl/>
        </w:rPr>
        <w:t>,</w:t>
      </w:r>
      <w:r w:rsidRPr="004A1CD6">
        <w:rPr>
          <w:rFonts w:cs="Arial"/>
          <w:rtl/>
        </w:rPr>
        <w:t xml:space="preserve"> יתר על כן</w:t>
      </w:r>
      <w:r>
        <w:rPr>
          <w:rFonts w:cs="Arial" w:hint="cs"/>
          <w:rtl/>
        </w:rPr>
        <w:t xml:space="preserve"> -</w:t>
      </w:r>
      <w:r w:rsidRPr="004A1CD6">
        <w:rPr>
          <w:rFonts w:cs="Arial"/>
          <w:rtl/>
        </w:rPr>
        <w:t xml:space="preserve"> או יתיר נדרו או יוציא ויתן כתובה</w:t>
      </w:r>
      <w:r>
        <w:rPr>
          <w:rFonts w:cs="Arial" w:hint="cs"/>
          <w:rtl/>
        </w:rPr>
        <w:t>.</w:t>
      </w:r>
      <w:r w:rsidRPr="004A1CD6">
        <w:rPr>
          <w:rFonts w:cs="Arial"/>
          <w:rtl/>
        </w:rPr>
        <w:t xml:space="preserve"> ובעשירות </w:t>
      </w:r>
      <w:r>
        <w:rPr>
          <w:rFonts w:cs="Arial" w:hint="cs"/>
          <w:rtl/>
        </w:rPr>
        <w:t xml:space="preserve">- </w:t>
      </w:r>
      <w:r w:rsidRPr="004A1CD6">
        <w:rPr>
          <w:rFonts w:cs="Arial"/>
          <w:rtl/>
        </w:rPr>
        <w:t>שלשים יום יקיים</w:t>
      </w:r>
      <w:r>
        <w:rPr>
          <w:rFonts w:cs="Arial" w:hint="cs"/>
          <w:rtl/>
        </w:rPr>
        <w:t>,</w:t>
      </w:r>
      <w:r w:rsidRPr="004A1CD6">
        <w:rPr>
          <w:rFonts w:cs="Arial"/>
          <w:rtl/>
        </w:rPr>
        <w:t xml:space="preserve"> יתר על כן </w:t>
      </w:r>
      <w:r>
        <w:rPr>
          <w:rFonts w:cs="Arial" w:hint="cs"/>
          <w:rtl/>
        </w:rPr>
        <w:t xml:space="preserve">- </w:t>
      </w:r>
      <w:r w:rsidRPr="004A1CD6">
        <w:rPr>
          <w:rFonts w:cs="Arial"/>
          <w:rtl/>
        </w:rPr>
        <w:t>או יתיר נדרו או יוציא ויתן כתובה</w:t>
      </w:r>
      <w:r>
        <w:rPr>
          <w:rStyle w:val="a7"/>
          <w:rFonts w:cs="Arial"/>
          <w:rtl/>
        </w:rPr>
        <w:footnoteReference w:id="1184"/>
      </w:r>
      <w:r w:rsidRPr="004A1CD6">
        <w:rPr>
          <w:rFonts w:cs="Arial"/>
          <w:rtl/>
        </w:rPr>
        <w:t>.</w:t>
      </w:r>
      <w:r>
        <w:rPr>
          <w:rFonts w:cs="Arial" w:hint="cs"/>
          <w:rtl/>
        </w:rPr>
        <w:t xml:space="preserve"> </w:t>
      </w:r>
    </w:p>
    <w:p w14:paraId="65FDCE7E" w14:textId="77777777" w:rsidR="002E5BAD" w:rsidRPr="004A1CD6" w:rsidRDefault="002E5BAD" w:rsidP="002E5BAD">
      <w:pPr>
        <w:pStyle w:val="ab"/>
        <w:numPr>
          <w:ilvl w:val="0"/>
          <w:numId w:val="136"/>
        </w:numPr>
        <w:rPr>
          <w:rFonts w:cs="Arial"/>
        </w:rPr>
      </w:pPr>
      <w:r>
        <w:rPr>
          <w:rFonts w:cs="Arial"/>
          <w:rtl/>
        </w:rPr>
        <w:t xml:space="preserve">ר"ח </w:t>
      </w:r>
      <w:r>
        <w:rPr>
          <w:rFonts w:cs="Arial" w:hint="cs"/>
          <w:sz w:val="16"/>
          <w:szCs w:val="16"/>
          <w:rtl/>
        </w:rPr>
        <w:t>(כ"כ הר"ן [שם] בשמו)</w:t>
      </w:r>
      <w:r>
        <w:rPr>
          <w:rFonts w:cs="Arial" w:hint="cs"/>
          <w:rtl/>
        </w:rPr>
        <w:t>- בעניות יקיים</w:t>
      </w:r>
      <w:r>
        <w:rPr>
          <w:rFonts w:cs="Arial"/>
          <w:rtl/>
        </w:rPr>
        <w:t xml:space="preserve"> י' שנים</w:t>
      </w:r>
      <w:r>
        <w:rPr>
          <w:rFonts w:cs="Arial" w:hint="cs"/>
          <w:rtl/>
        </w:rPr>
        <w:t>.</w:t>
      </w:r>
    </w:p>
    <w:p w14:paraId="54E79402" w14:textId="77777777" w:rsidR="002E5BAD" w:rsidRPr="00233CC5" w:rsidRDefault="002E5BAD" w:rsidP="002E5BAD">
      <w:pPr>
        <w:pStyle w:val="ab"/>
        <w:numPr>
          <w:ilvl w:val="0"/>
          <w:numId w:val="136"/>
        </w:numPr>
        <w:rPr>
          <w:rFonts w:cs="Arial"/>
          <w:rtl/>
        </w:rPr>
      </w:pPr>
      <w:r w:rsidRPr="00791B55">
        <w:rPr>
          <w:rFonts w:cs="Arial"/>
          <w:rtl/>
        </w:rPr>
        <w:t>רמ"ה</w:t>
      </w:r>
      <w:r>
        <w:rPr>
          <w:rFonts w:cs="Arial" w:hint="cs"/>
          <w:rtl/>
        </w:rPr>
        <w:t xml:space="preserve"> </w:t>
      </w:r>
      <w:r>
        <w:rPr>
          <w:rFonts w:cs="Arial" w:hint="cs"/>
          <w:sz w:val="16"/>
          <w:szCs w:val="16"/>
          <w:rtl/>
        </w:rPr>
        <w:t>(כ"כ הטור בשמו)</w:t>
      </w:r>
      <w:r>
        <w:rPr>
          <w:rFonts w:cs="Arial" w:hint="cs"/>
          <w:rtl/>
        </w:rPr>
        <w:t xml:space="preserve">- </w:t>
      </w:r>
      <w:r w:rsidRPr="00791B55">
        <w:rPr>
          <w:rFonts w:cs="Arial"/>
          <w:rtl/>
        </w:rPr>
        <w:t>בעניות רגל אחד יקיים</w:t>
      </w:r>
      <w:r>
        <w:rPr>
          <w:rStyle w:val="a7"/>
          <w:rFonts w:cs="Arial"/>
          <w:rtl/>
        </w:rPr>
        <w:footnoteReference w:id="1185"/>
      </w:r>
      <w:r>
        <w:rPr>
          <w:rFonts w:cs="Arial" w:hint="cs"/>
          <w:rtl/>
        </w:rPr>
        <w:t>.</w:t>
      </w:r>
    </w:p>
    <w:p w14:paraId="53260191" w14:textId="77777777" w:rsidR="002E5BAD" w:rsidRDefault="002E5BAD" w:rsidP="002E5BAD">
      <w:pPr>
        <w:pStyle w:val="ab"/>
        <w:numPr>
          <w:ilvl w:val="0"/>
          <w:numId w:val="136"/>
        </w:numPr>
        <w:rPr>
          <w:rFonts w:cs="Arial"/>
        </w:rPr>
      </w:pPr>
      <w:r>
        <w:rPr>
          <w:rFonts w:cs="Arial" w:hint="cs"/>
          <w:rtl/>
        </w:rPr>
        <w:t xml:space="preserve">רי"ף </w:t>
      </w:r>
      <w:r>
        <w:rPr>
          <w:rFonts w:cs="Arial" w:hint="cs"/>
          <w:sz w:val="16"/>
          <w:szCs w:val="16"/>
          <w:rtl/>
        </w:rPr>
        <w:t xml:space="preserve">(לב., כ"כ הב"י בשמו) </w:t>
      </w:r>
      <w:r>
        <w:rPr>
          <w:rFonts w:cs="Arial" w:hint="cs"/>
          <w:rtl/>
        </w:rPr>
        <w:t>רא"ש</w:t>
      </w:r>
      <w:r>
        <w:rPr>
          <w:rStyle w:val="a7"/>
          <w:rFonts w:cs="Arial"/>
          <w:rtl/>
        </w:rPr>
        <w:footnoteReference w:id="1186"/>
      </w:r>
      <w:r>
        <w:rPr>
          <w:rFonts w:cs="Arial" w:hint="cs"/>
          <w:rtl/>
        </w:rPr>
        <w:t xml:space="preserve"> </w:t>
      </w:r>
      <w:r>
        <w:rPr>
          <w:rFonts w:cs="Arial" w:hint="cs"/>
          <w:sz w:val="16"/>
          <w:szCs w:val="16"/>
          <w:rtl/>
        </w:rPr>
        <w:t xml:space="preserve">(סי' ב, כ"כ הטור בשמו) </w:t>
      </w:r>
      <w:r>
        <w:rPr>
          <w:rFonts w:cs="Arial" w:hint="cs"/>
          <w:rtl/>
        </w:rPr>
        <w:t xml:space="preserve">וטור- </w:t>
      </w:r>
      <w:r w:rsidRPr="00791B55">
        <w:rPr>
          <w:rFonts w:cs="Arial"/>
          <w:rtl/>
        </w:rPr>
        <w:t>הדירה שלא תתקשט ותלאו בתשמיש</w:t>
      </w:r>
      <w:r>
        <w:rPr>
          <w:rFonts w:cs="Arial" w:hint="cs"/>
          <w:rtl/>
        </w:rPr>
        <w:t>,</w:t>
      </w:r>
      <w:r w:rsidRPr="00791B55">
        <w:rPr>
          <w:rFonts w:cs="Arial"/>
          <w:rtl/>
        </w:rPr>
        <w:t xml:space="preserve"> שאמר </w:t>
      </w:r>
      <w:r>
        <w:rPr>
          <w:rFonts w:cs="Arial" w:hint="cs"/>
          <w:rtl/>
        </w:rPr>
        <w:t>'</w:t>
      </w:r>
      <w:r w:rsidRPr="00791B55">
        <w:rPr>
          <w:rFonts w:cs="Arial"/>
          <w:rtl/>
        </w:rPr>
        <w:t>קונם תשמישך עלי אם תתקשטי</w:t>
      </w:r>
      <w:r>
        <w:rPr>
          <w:rFonts w:cs="Arial" w:hint="cs"/>
          <w:rtl/>
        </w:rPr>
        <w:t>',</w:t>
      </w:r>
      <w:r w:rsidRPr="00791B55">
        <w:rPr>
          <w:rFonts w:cs="Arial"/>
          <w:rtl/>
        </w:rPr>
        <w:t xml:space="preserve"> היא תתקשט מיד ותיאסר בתשמיש</w:t>
      </w:r>
      <w:r>
        <w:rPr>
          <w:rFonts w:cs="Arial" w:hint="cs"/>
          <w:rtl/>
        </w:rPr>
        <w:t>,</w:t>
      </w:r>
      <w:r w:rsidRPr="00791B55">
        <w:rPr>
          <w:rFonts w:cs="Arial"/>
          <w:rtl/>
        </w:rPr>
        <w:t xml:space="preserve"> ויקיים ז' ימים</w:t>
      </w:r>
      <w:r>
        <w:rPr>
          <w:rFonts w:cs="Arial" w:hint="cs"/>
          <w:rtl/>
        </w:rPr>
        <w:t>,</w:t>
      </w:r>
      <w:r w:rsidRPr="00791B55">
        <w:rPr>
          <w:rFonts w:cs="Arial"/>
          <w:rtl/>
        </w:rPr>
        <w:t xml:space="preserve"> ואז יוציא ויתן כתובה</w:t>
      </w:r>
      <w:r>
        <w:rPr>
          <w:rFonts w:cs="Arial" w:hint="cs"/>
          <w:sz w:val="16"/>
          <w:szCs w:val="16"/>
          <w:rtl/>
        </w:rPr>
        <w:t xml:space="preserve"> (ל' הטור)</w:t>
      </w:r>
      <w:r>
        <w:rPr>
          <w:rFonts w:cs="Arial" w:hint="cs"/>
          <w:rtl/>
        </w:rPr>
        <w:t>.</w:t>
      </w:r>
      <w:r w:rsidRPr="00791B55">
        <w:rPr>
          <w:rFonts w:cs="Arial"/>
          <w:rtl/>
        </w:rPr>
        <w:t xml:space="preserve"> </w:t>
      </w:r>
      <w:r w:rsidRPr="008015A2">
        <w:rPr>
          <w:rFonts w:cs="Arial" w:hint="cs"/>
          <w:color w:val="E36C0A" w:themeColor="accent6" w:themeShade="BF"/>
          <w:rtl/>
        </w:rPr>
        <w:t>(וכ"פ בשו"ע)</w:t>
      </w:r>
    </w:p>
    <w:p w14:paraId="741706A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266C228" w14:textId="77777777" w:rsidR="002E5BAD" w:rsidRDefault="002E5BAD" w:rsidP="002E5BAD">
      <w:pPr>
        <w:rPr>
          <w:rtl/>
        </w:rPr>
      </w:pPr>
      <w:r>
        <w:rPr>
          <w:rFonts w:cs="Arial"/>
          <w:rtl/>
        </w:rPr>
        <w:lastRenderedPageBreak/>
        <w:t>הדירה שלא תתקשט, ותלאו בתשמיש, שאמר: קונם הנאת תשמישך עלי אם תתקשטי, תתקשט מיד ותאסר בתשמיש, ויקיים ז' ימים ואז יוציא ויתן כתובה. וי</w:t>
      </w:r>
      <w:r>
        <w:rPr>
          <w:rFonts w:cs="Arial" w:hint="cs"/>
          <w:rtl/>
        </w:rPr>
        <w:t xml:space="preserve">ש </w:t>
      </w:r>
      <w:r>
        <w:rPr>
          <w:rFonts w:cs="Arial"/>
          <w:rtl/>
        </w:rPr>
        <w:t>א</w:t>
      </w:r>
      <w:r>
        <w:rPr>
          <w:rFonts w:cs="Arial" w:hint="cs"/>
          <w:rtl/>
        </w:rPr>
        <w:t>ומרים</w:t>
      </w:r>
      <w:r>
        <w:rPr>
          <w:rFonts w:cs="Arial"/>
          <w:rtl/>
        </w:rPr>
        <w:t xml:space="preserve"> שאם הדירה שלא תתקשט, בעניות, שנה אחת יקיים, יותר מכן יתיר נדרו או יוציא ויתן כתובה</w:t>
      </w:r>
      <w:r>
        <w:rPr>
          <w:rFonts w:cs="Arial" w:hint="cs"/>
          <w:rtl/>
        </w:rPr>
        <w:t>.</w:t>
      </w:r>
      <w:r>
        <w:rPr>
          <w:rFonts w:cs="Arial"/>
          <w:rtl/>
        </w:rPr>
        <w:t xml:space="preserve"> ובעשירות, ל' יום יקיים, יותר מכן יתיר את נדרו או יוציא ויתן כתובה. </w:t>
      </w:r>
    </w:p>
    <w:p w14:paraId="2B3346AF" w14:textId="77777777" w:rsidR="002E5BAD" w:rsidRDefault="002E5BAD" w:rsidP="002E5BAD">
      <w:pPr>
        <w:rPr>
          <w:rtl/>
        </w:rPr>
      </w:pPr>
    </w:p>
    <w:p w14:paraId="692B6C5B" w14:textId="77777777" w:rsidR="002E5BAD" w:rsidRDefault="002E5BAD" w:rsidP="002E5BAD">
      <w:pPr>
        <w:pStyle w:val="2"/>
        <w:rPr>
          <w:rtl/>
        </w:rPr>
      </w:pPr>
      <w:r>
        <w:rPr>
          <w:rtl/>
        </w:rPr>
        <w:t>סעיף ב</w:t>
      </w:r>
      <w:r>
        <w:rPr>
          <w:rFonts w:hint="cs"/>
          <w:rtl/>
        </w:rPr>
        <w:t>: נדרה היא שלא תתקשט.</w:t>
      </w:r>
    </w:p>
    <w:p w14:paraId="41E8D585" w14:textId="77777777" w:rsidR="002E5BAD" w:rsidRPr="005F6ABE" w:rsidRDefault="002E5BAD" w:rsidP="002E5BAD">
      <w:pPr>
        <w:rPr>
          <w:u w:val="single"/>
          <w:rtl/>
        </w:rPr>
      </w:pPr>
      <w:r w:rsidRPr="005F6ABE">
        <w:rPr>
          <w:rFonts w:hint="cs"/>
          <w:u w:val="single"/>
          <w:rtl/>
        </w:rPr>
        <w:t>נדרה היא שלא תתקשט:</w:t>
      </w:r>
    </w:p>
    <w:p w14:paraId="1C542FD4" w14:textId="77777777" w:rsidR="002E5BAD" w:rsidRPr="005F6ABE" w:rsidRDefault="002E5BAD" w:rsidP="002E5BAD">
      <w:pPr>
        <w:pStyle w:val="ab"/>
        <w:numPr>
          <w:ilvl w:val="0"/>
          <w:numId w:val="136"/>
        </w:numPr>
        <w:rPr>
          <w:rFonts w:cs="Arial"/>
          <w:rtl/>
        </w:rPr>
      </w:pPr>
      <w:r>
        <w:rPr>
          <w:rFonts w:cs="Arial" w:hint="cs"/>
          <w:rtl/>
        </w:rPr>
        <w:t xml:space="preserve">טור- </w:t>
      </w:r>
      <w:r w:rsidRPr="00791B55">
        <w:rPr>
          <w:rFonts w:cs="Arial"/>
          <w:rtl/>
        </w:rPr>
        <w:t>נדרה היא שלא תתקשט</w:t>
      </w:r>
      <w:r>
        <w:rPr>
          <w:rFonts w:cs="Arial" w:hint="cs"/>
          <w:rtl/>
        </w:rPr>
        <w:t>,</w:t>
      </w:r>
      <w:r w:rsidRPr="00791B55">
        <w:rPr>
          <w:rFonts w:cs="Arial"/>
          <w:rtl/>
        </w:rPr>
        <w:t xml:space="preserve"> או שאמרה קונם תשמישך עלי אם אתקשט</w:t>
      </w:r>
      <w:r>
        <w:rPr>
          <w:rFonts w:cs="Arial" w:hint="cs"/>
          <w:rtl/>
        </w:rPr>
        <w:t>,</w:t>
      </w:r>
      <w:r w:rsidRPr="00791B55">
        <w:rPr>
          <w:rFonts w:cs="Arial"/>
          <w:rtl/>
        </w:rPr>
        <w:t xml:space="preserve"> ושמע וקיים לה </w:t>
      </w:r>
      <w:r>
        <w:rPr>
          <w:rFonts w:cs="Arial" w:hint="cs"/>
          <w:rtl/>
        </w:rPr>
        <w:t xml:space="preserve">- </w:t>
      </w:r>
      <w:r w:rsidRPr="00791B55">
        <w:rPr>
          <w:rFonts w:cs="Arial"/>
          <w:rtl/>
        </w:rPr>
        <w:t>יוציא ויתן כתובה</w:t>
      </w:r>
      <w:r>
        <w:rPr>
          <w:rFonts w:cs="Arial" w:hint="cs"/>
          <w:sz w:val="16"/>
          <w:szCs w:val="16"/>
          <w:rtl/>
        </w:rPr>
        <w:t xml:space="preserve"> (ל' הטור)</w:t>
      </w:r>
      <w:r>
        <w:rPr>
          <w:rFonts w:cs="Arial" w:hint="cs"/>
          <w:rtl/>
        </w:rPr>
        <w:t>.</w:t>
      </w:r>
      <w:r w:rsidRPr="00791B55">
        <w:rPr>
          <w:rFonts w:cs="Arial"/>
          <w:rtl/>
        </w:rPr>
        <w:t xml:space="preserve"> </w:t>
      </w:r>
      <w:r w:rsidRPr="008015A2">
        <w:rPr>
          <w:rFonts w:cs="Arial" w:hint="cs"/>
          <w:color w:val="E36C0A" w:themeColor="accent6" w:themeShade="BF"/>
          <w:rtl/>
        </w:rPr>
        <w:t>(וכ"פ בשו"ע)</w:t>
      </w:r>
    </w:p>
    <w:p w14:paraId="64BB89B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99E358E" w14:textId="77777777" w:rsidR="002E5BAD" w:rsidRDefault="002E5BAD" w:rsidP="002E5BAD">
      <w:pPr>
        <w:rPr>
          <w:rtl/>
        </w:rPr>
      </w:pPr>
      <w:r>
        <w:rPr>
          <w:rFonts w:cs="Arial"/>
          <w:rtl/>
        </w:rPr>
        <w:t>נדרה היא שלא תתקשט, או שאמרה: קונם תשמישך עלי אם אתקשט, ושמע ולא היפר לה, יוציא ויתן כתובה</w:t>
      </w:r>
      <w:r>
        <w:rPr>
          <w:rStyle w:val="a7"/>
          <w:rFonts w:cs="Arial"/>
          <w:rtl/>
        </w:rPr>
        <w:footnoteReference w:id="1187"/>
      </w:r>
      <w:r>
        <w:rPr>
          <w:rFonts w:cs="Arial"/>
          <w:rtl/>
        </w:rPr>
        <w:t xml:space="preserve">. </w:t>
      </w:r>
    </w:p>
    <w:p w14:paraId="15792B6E" w14:textId="77777777" w:rsidR="002E5BAD" w:rsidRDefault="002E5BAD" w:rsidP="002E5BAD"/>
    <w:p w14:paraId="6483E031" w14:textId="77777777" w:rsidR="002E5BAD" w:rsidRDefault="002E5BAD" w:rsidP="002E5BAD">
      <w:pPr>
        <w:pStyle w:val="2"/>
        <w:rPr>
          <w:rtl/>
        </w:rPr>
      </w:pPr>
      <w:r>
        <w:rPr>
          <w:rtl/>
        </w:rPr>
        <w:t>סעיף ג</w:t>
      </w:r>
      <w:r>
        <w:rPr>
          <w:rFonts w:hint="cs"/>
          <w:rtl/>
        </w:rPr>
        <w:t>: הדירה/נדרה שלא תשאל ולא תשאיל כלים.</w:t>
      </w:r>
    </w:p>
    <w:p w14:paraId="323CB1B6" w14:textId="77777777" w:rsidR="002E5BAD" w:rsidRDefault="002E5BAD" w:rsidP="002E5BAD">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ב</w:t>
      </w:r>
      <w:r w:rsidRPr="00C60E3E">
        <w:rPr>
          <w:rFonts w:cs="Arial" w:hint="cs"/>
          <w:b/>
          <w:bCs/>
          <w:rtl/>
        </w:rPr>
        <w:t xml:space="preserve"> ע"א:</w:t>
      </w:r>
      <w:r w:rsidRPr="005E2C4A">
        <w:rPr>
          <w:rtl/>
        </w:rPr>
        <w:t xml:space="preserve"> </w:t>
      </w:r>
      <w:r w:rsidRPr="005E2C4A">
        <w:rPr>
          <w:rFonts w:cs="Arial"/>
          <w:u w:val="single"/>
          <w:rtl/>
        </w:rPr>
        <w:t>אמר רב כהנא</w:t>
      </w:r>
      <w:r w:rsidRPr="005E2C4A">
        <w:rPr>
          <w:rFonts w:cs="Arial"/>
          <w:rtl/>
        </w:rPr>
        <w:t>: המדיר את אשתו שלא תשאל ושלא תשאיל נפה וכברה וריחים ותנור - יוציא ויתן כתובה</w:t>
      </w:r>
      <w:r>
        <w:rPr>
          <w:rStyle w:val="a7"/>
          <w:rFonts w:cs="Arial"/>
          <w:rtl/>
        </w:rPr>
        <w:footnoteReference w:id="1188"/>
      </w:r>
      <w:r w:rsidRPr="005E2C4A">
        <w:rPr>
          <w:rFonts w:cs="Arial"/>
          <w:rtl/>
        </w:rPr>
        <w:t>, שמשיאה שם רע בשכינותיה. תניא נמי הכי: המדיר את אשתו שלא תשאל ושלא תשאיל נפה וכברה ריחים ותנור - יוציא ויתן כתובה, מפני שמשיאה שם רע בשכינותיה</w:t>
      </w:r>
      <w:r>
        <w:rPr>
          <w:rFonts w:cs="Arial" w:hint="cs"/>
          <w:rtl/>
        </w:rPr>
        <w:t>.</w:t>
      </w:r>
      <w:r w:rsidRPr="005E2C4A">
        <w:rPr>
          <w:rFonts w:cs="Arial"/>
          <w:rtl/>
        </w:rPr>
        <w:t xml:space="preserve"> וכן היא שנדרה שלא תשאל ושלא תשאיל נפה וכברה וריחים ותנור, ושלא תארוג בגדים נאים לבניו - תצא שלא בכתובה, מפני שמשיאתו שם רע בשכיניו.</w:t>
      </w:r>
    </w:p>
    <w:p w14:paraId="5D7A5AE6" w14:textId="77777777" w:rsidR="002E5BAD" w:rsidRPr="004B6D68" w:rsidRDefault="002E5BAD" w:rsidP="002E5BAD">
      <w:pPr>
        <w:rPr>
          <w:u w:val="single"/>
          <w:rtl/>
        </w:rPr>
      </w:pPr>
      <w:r w:rsidRPr="008373A2">
        <w:rPr>
          <w:rFonts w:hint="cs"/>
          <w:u w:val="single"/>
          <w:rtl/>
        </w:rPr>
        <w:t>בעל שאסר כלי שכניו על</w:t>
      </w:r>
      <w:r>
        <w:rPr>
          <w:rFonts w:hint="cs"/>
          <w:u w:val="single"/>
          <w:rtl/>
        </w:rPr>
        <w:t>יו</w:t>
      </w:r>
      <w:r w:rsidRPr="008373A2">
        <w:rPr>
          <w:rFonts w:hint="cs"/>
          <w:u w:val="single"/>
          <w:rtl/>
        </w:rPr>
        <w:t xml:space="preserve">, </w:t>
      </w:r>
      <w:r>
        <w:rPr>
          <w:rFonts w:hint="cs"/>
          <w:u w:val="single"/>
          <w:rtl/>
        </w:rPr>
        <w:t>ו</w:t>
      </w:r>
      <w:r w:rsidRPr="008373A2">
        <w:rPr>
          <w:rFonts w:hint="cs"/>
          <w:u w:val="single"/>
          <w:rtl/>
        </w:rPr>
        <w:t>כליו על שכניו</w:t>
      </w:r>
      <w:r>
        <w:rPr>
          <w:rFonts w:hint="cs"/>
          <w:u w:val="single"/>
          <w:rtl/>
        </w:rPr>
        <w:t>. או אש</w:t>
      </w:r>
      <w:r w:rsidRPr="004B6D68">
        <w:rPr>
          <w:rFonts w:hint="cs"/>
          <w:u w:val="single"/>
          <w:rtl/>
        </w:rPr>
        <w:t>ה</w:t>
      </w:r>
      <w:r w:rsidRPr="004B6D68">
        <w:rPr>
          <w:rFonts w:cs="Arial"/>
          <w:u w:val="single"/>
          <w:rtl/>
        </w:rPr>
        <w:t xml:space="preserve"> שאמרה קונם תשמישך עלי אם אשאל</w:t>
      </w:r>
      <w:r>
        <w:rPr>
          <w:rFonts w:cs="Arial" w:hint="cs"/>
          <w:u w:val="single"/>
          <w:rtl/>
        </w:rPr>
        <w:t>/ אשאיל</w:t>
      </w:r>
      <w:r w:rsidRPr="004B6D68">
        <w:rPr>
          <w:rFonts w:cs="Arial"/>
          <w:u w:val="single"/>
          <w:rtl/>
        </w:rPr>
        <w:t xml:space="preserve"> כלים</w:t>
      </w:r>
      <w:r w:rsidRPr="004B6D68">
        <w:rPr>
          <w:rFonts w:hint="cs"/>
          <w:u w:val="single"/>
          <w:rtl/>
        </w:rPr>
        <w:t>:</w:t>
      </w:r>
    </w:p>
    <w:p w14:paraId="39FE03D8" w14:textId="77777777" w:rsidR="002E5BAD" w:rsidRDefault="002E5BAD" w:rsidP="002E5BAD">
      <w:pPr>
        <w:pStyle w:val="ab"/>
        <w:numPr>
          <w:ilvl w:val="0"/>
          <w:numId w:val="136"/>
        </w:numPr>
        <w:rPr>
          <w:rFonts w:cs="Arial"/>
        </w:rPr>
      </w:pPr>
      <w:r>
        <w:rPr>
          <w:rFonts w:cs="Arial" w:hint="cs"/>
          <w:rtl/>
        </w:rPr>
        <w:t xml:space="preserve">טור- </w:t>
      </w:r>
      <w:r w:rsidRPr="00791B55">
        <w:rPr>
          <w:rFonts w:cs="Arial"/>
          <w:rtl/>
        </w:rPr>
        <w:t>אסר הבעל כלי שכניו עליו או כליו על שכניו</w:t>
      </w:r>
      <w:r>
        <w:rPr>
          <w:rFonts w:cs="Arial" w:hint="cs"/>
          <w:rtl/>
        </w:rPr>
        <w:t>,</w:t>
      </w:r>
      <w:r w:rsidRPr="00791B55">
        <w:rPr>
          <w:rFonts w:cs="Arial"/>
          <w:rtl/>
        </w:rPr>
        <w:t xml:space="preserve"> כדי שלא תשאילם ולא תשאל מהם</w:t>
      </w:r>
      <w:r>
        <w:rPr>
          <w:rFonts w:cs="Arial" w:hint="cs"/>
          <w:rtl/>
        </w:rPr>
        <w:t>,</w:t>
      </w:r>
      <w:r w:rsidRPr="00791B55">
        <w:rPr>
          <w:rFonts w:cs="Arial"/>
          <w:rtl/>
        </w:rPr>
        <w:t xml:space="preserve"> או שאמרה היא</w:t>
      </w:r>
      <w:r>
        <w:rPr>
          <w:rStyle w:val="a7"/>
          <w:rFonts w:cs="Arial"/>
          <w:rtl/>
        </w:rPr>
        <w:footnoteReference w:id="1189"/>
      </w:r>
      <w:r w:rsidRPr="00791B55">
        <w:rPr>
          <w:rFonts w:cs="Arial"/>
          <w:rtl/>
        </w:rPr>
        <w:t xml:space="preserve"> קונם תשמישך עלי אם אשאל משכיני כלים או אשאילם מכלי ושמע וקיים לה </w:t>
      </w:r>
      <w:r>
        <w:rPr>
          <w:rFonts w:cs="Arial" w:hint="cs"/>
          <w:rtl/>
        </w:rPr>
        <w:t xml:space="preserve">- </w:t>
      </w:r>
      <w:r w:rsidRPr="00791B55">
        <w:rPr>
          <w:rFonts w:cs="Arial"/>
          <w:rtl/>
        </w:rPr>
        <w:t>יוציא מיד ויתן כתובה</w:t>
      </w:r>
      <w:r>
        <w:rPr>
          <w:rFonts w:cs="Arial" w:hint="cs"/>
          <w:rtl/>
        </w:rPr>
        <w:t>.</w:t>
      </w:r>
      <w:r w:rsidRPr="00791B55">
        <w:rPr>
          <w:rFonts w:cs="Arial"/>
          <w:rtl/>
        </w:rPr>
        <w:t xml:space="preserve"> </w:t>
      </w:r>
      <w:r w:rsidRPr="008015A2">
        <w:rPr>
          <w:rFonts w:cs="Arial" w:hint="cs"/>
          <w:color w:val="E36C0A" w:themeColor="accent6" w:themeShade="BF"/>
          <w:rtl/>
        </w:rPr>
        <w:t>(וכ"פ בשו"ע)</w:t>
      </w:r>
    </w:p>
    <w:p w14:paraId="60E64A96"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(פי"ג מאישות ה"י)</w:t>
      </w:r>
      <w:r>
        <w:rPr>
          <w:rFonts w:cs="Arial" w:hint="cs"/>
          <w:rtl/>
        </w:rPr>
        <w:t xml:space="preserve">- </w:t>
      </w:r>
      <w:r w:rsidRPr="009D1543">
        <w:rPr>
          <w:rFonts w:cs="Arial"/>
          <w:rtl/>
        </w:rPr>
        <w:t>הדירה שלא תשאל ושלא תשאיל מכלי הבית שדרך כל השכנות לשאול אותן ולהשאילן כגון נפה וכברה רחים ותנור וכיוצא בהם</w:t>
      </w:r>
      <w:r>
        <w:rPr>
          <w:rFonts w:cs="Arial" w:hint="cs"/>
          <w:rtl/>
        </w:rPr>
        <w:t xml:space="preserve"> -</w:t>
      </w:r>
      <w:r w:rsidRPr="009D1543">
        <w:rPr>
          <w:rFonts w:cs="Arial"/>
          <w:rtl/>
        </w:rPr>
        <w:t xml:space="preserve"> יתיר נדרו</w:t>
      </w:r>
      <w:r>
        <w:rPr>
          <w:rStyle w:val="a7"/>
          <w:rFonts w:cs="Arial"/>
          <w:rtl/>
        </w:rPr>
        <w:footnoteReference w:id="1190"/>
      </w:r>
      <w:r w:rsidRPr="009D1543">
        <w:rPr>
          <w:rFonts w:cs="Arial"/>
          <w:rtl/>
        </w:rPr>
        <w:t xml:space="preserve"> או יוציא ויתן כתובה</w:t>
      </w:r>
      <w:r>
        <w:rPr>
          <w:rFonts w:cs="Arial" w:hint="cs"/>
          <w:rtl/>
        </w:rPr>
        <w:t>,</w:t>
      </w:r>
      <w:r w:rsidRPr="009D1543">
        <w:rPr>
          <w:rFonts w:cs="Arial"/>
          <w:rtl/>
        </w:rPr>
        <w:t xml:space="preserve"> מפני שמשיאה שם רע בשכנותיה.</w:t>
      </w:r>
      <w:r>
        <w:rPr>
          <w:rFonts w:cs="Arial" w:hint="cs"/>
          <w:rtl/>
        </w:rPr>
        <w:t xml:space="preserve"> </w:t>
      </w:r>
    </w:p>
    <w:p w14:paraId="7DC84384" w14:textId="77777777" w:rsidR="002E5BAD" w:rsidRPr="004C286B" w:rsidRDefault="002E5BAD" w:rsidP="002E5BAD">
      <w:pPr>
        <w:ind w:left="360"/>
        <w:rPr>
          <w:rFonts w:cs="Arial"/>
          <w:u w:val="dotted"/>
        </w:rPr>
      </w:pPr>
      <w:r w:rsidRPr="004C286B">
        <w:rPr>
          <w:rFonts w:cs="Arial" w:hint="cs"/>
          <w:u w:val="dotted"/>
          <w:rtl/>
        </w:rPr>
        <w:t xml:space="preserve">ומה הדין אם אמר לאשתו </w:t>
      </w:r>
      <w:r>
        <w:rPr>
          <w:rFonts w:cs="Arial" w:hint="cs"/>
          <w:u w:val="dotted"/>
          <w:rtl/>
        </w:rPr>
        <w:t>'</w:t>
      </w:r>
      <w:r w:rsidRPr="004C286B">
        <w:rPr>
          <w:rFonts w:cs="Arial"/>
          <w:u w:val="dotted"/>
          <w:rtl/>
        </w:rPr>
        <w:t>קונם תשמישך עלי אם תשאל</w:t>
      </w:r>
      <w:r>
        <w:rPr>
          <w:rFonts w:cs="Arial" w:hint="cs"/>
          <w:u w:val="dotted"/>
          <w:rtl/>
        </w:rPr>
        <w:t>/תשאיל כלים</w:t>
      </w:r>
      <w:r w:rsidRPr="004C286B">
        <w:rPr>
          <w:rFonts w:cs="Arial" w:hint="cs"/>
          <w:u w:val="dotted"/>
          <w:rtl/>
        </w:rPr>
        <w:t>':</w:t>
      </w:r>
    </w:p>
    <w:p w14:paraId="06D315CB" w14:textId="77777777" w:rsidR="002E5BAD" w:rsidRDefault="002E5BAD" w:rsidP="002E5BAD">
      <w:pPr>
        <w:pStyle w:val="ab"/>
        <w:numPr>
          <w:ilvl w:val="0"/>
          <w:numId w:val="136"/>
        </w:numPr>
        <w:rPr>
          <w:rFonts w:cs="Arial"/>
        </w:rPr>
      </w:pPr>
      <w:r>
        <w:rPr>
          <w:rFonts w:cs="Arial" w:hint="cs"/>
          <w:rtl/>
        </w:rPr>
        <w:t xml:space="preserve">טור- </w:t>
      </w:r>
      <w:r w:rsidRPr="00791B55">
        <w:rPr>
          <w:rFonts w:cs="Arial"/>
          <w:rtl/>
        </w:rPr>
        <w:t>ואם אמר הוא קונם תשמישך עלי אם תשאל מהם כלים או תשאילם</w:t>
      </w:r>
      <w:r>
        <w:rPr>
          <w:rFonts w:cs="Arial" w:hint="cs"/>
          <w:rtl/>
        </w:rPr>
        <w:t>,</w:t>
      </w:r>
      <w:r w:rsidRPr="00791B55">
        <w:rPr>
          <w:rFonts w:cs="Arial"/>
          <w:rtl/>
        </w:rPr>
        <w:t xml:space="preserve"> א</w:t>
      </w:r>
      <w:r>
        <w:rPr>
          <w:rFonts w:cs="Arial" w:hint="cs"/>
          <w:rtl/>
        </w:rPr>
        <w:t xml:space="preserve">י </w:t>
      </w:r>
      <w:r w:rsidRPr="00791B55">
        <w:rPr>
          <w:rFonts w:cs="Arial"/>
          <w:rtl/>
        </w:rPr>
        <w:t>א</w:t>
      </w:r>
      <w:r>
        <w:rPr>
          <w:rFonts w:cs="Arial" w:hint="cs"/>
          <w:rtl/>
        </w:rPr>
        <w:t>פשר</w:t>
      </w:r>
      <w:r w:rsidRPr="00791B55">
        <w:rPr>
          <w:rFonts w:cs="Arial"/>
          <w:rtl/>
        </w:rPr>
        <w:t xml:space="preserve"> לה שלא תשאל מהם ולא תשאילם והרי היא נאסרת מיד ויוצי</w:t>
      </w:r>
      <w:r>
        <w:rPr>
          <w:rFonts w:cs="Arial" w:hint="cs"/>
          <w:rtl/>
        </w:rPr>
        <w:t>א</w:t>
      </w:r>
      <w:r w:rsidRPr="00791B55">
        <w:rPr>
          <w:rFonts w:cs="Arial"/>
          <w:rtl/>
        </w:rPr>
        <w:t xml:space="preserve"> לאחר ז' ימים</w:t>
      </w:r>
      <w:r>
        <w:rPr>
          <w:rStyle w:val="a7"/>
          <w:rFonts w:cs="Arial"/>
          <w:rtl/>
        </w:rPr>
        <w:footnoteReference w:id="1191"/>
      </w:r>
      <w:r w:rsidRPr="00791B55">
        <w:rPr>
          <w:rFonts w:cs="Arial"/>
          <w:rtl/>
        </w:rPr>
        <w:t xml:space="preserve"> ויתן כתוב</w:t>
      </w:r>
      <w:r>
        <w:rPr>
          <w:rFonts w:cs="Arial" w:hint="cs"/>
          <w:rtl/>
        </w:rPr>
        <w:t>ה.</w:t>
      </w:r>
      <w:r w:rsidRPr="00791B55">
        <w:rPr>
          <w:rFonts w:cs="Arial"/>
          <w:rtl/>
        </w:rPr>
        <w:t xml:space="preserve"> </w:t>
      </w:r>
      <w:r w:rsidRPr="008015A2">
        <w:rPr>
          <w:rFonts w:cs="Arial" w:hint="cs"/>
          <w:color w:val="E36C0A" w:themeColor="accent6" w:themeShade="BF"/>
          <w:rtl/>
        </w:rPr>
        <w:t>(וכ"פ בשו"ע)</w:t>
      </w:r>
    </w:p>
    <w:p w14:paraId="6AF7C384" w14:textId="77777777" w:rsidR="002E5BAD" w:rsidRPr="004B6D68" w:rsidRDefault="002E5BAD" w:rsidP="002E5BAD">
      <w:pPr>
        <w:rPr>
          <w:rFonts w:cs="Arial"/>
        </w:rPr>
      </w:pPr>
      <w:r>
        <w:rPr>
          <w:rFonts w:hint="cs"/>
          <w:u w:val="single"/>
          <w:rtl/>
        </w:rPr>
        <w:t>אשה</w:t>
      </w:r>
      <w:r w:rsidRPr="008373A2">
        <w:rPr>
          <w:rFonts w:hint="cs"/>
          <w:u w:val="single"/>
          <w:rtl/>
        </w:rPr>
        <w:t xml:space="preserve"> שאסר</w:t>
      </w:r>
      <w:r>
        <w:rPr>
          <w:rFonts w:hint="cs"/>
          <w:u w:val="single"/>
          <w:rtl/>
        </w:rPr>
        <w:t>ה</w:t>
      </w:r>
      <w:r w:rsidRPr="008373A2">
        <w:rPr>
          <w:rFonts w:hint="cs"/>
          <w:u w:val="single"/>
          <w:rtl/>
        </w:rPr>
        <w:t xml:space="preserve"> כלי שכני</w:t>
      </w:r>
      <w:r>
        <w:rPr>
          <w:rFonts w:hint="cs"/>
          <w:u w:val="single"/>
          <w:rtl/>
        </w:rPr>
        <w:t xml:space="preserve">ה/בעלה </w:t>
      </w:r>
      <w:r w:rsidRPr="008373A2">
        <w:rPr>
          <w:rFonts w:hint="cs"/>
          <w:u w:val="single"/>
          <w:rtl/>
        </w:rPr>
        <w:t>ע</w:t>
      </w:r>
      <w:r>
        <w:rPr>
          <w:rFonts w:hint="cs"/>
          <w:u w:val="single"/>
          <w:rtl/>
        </w:rPr>
        <w:t>ליה</w:t>
      </w:r>
      <w:r w:rsidRPr="008373A2">
        <w:rPr>
          <w:rFonts w:hint="cs"/>
          <w:u w:val="single"/>
          <w:rtl/>
        </w:rPr>
        <w:t xml:space="preserve">, </w:t>
      </w:r>
      <w:r>
        <w:rPr>
          <w:rFonts w:hint="cs"/>
          <w:u w:val="single"/>
          <w:rtl/>
        </w:rPr>
        <w:t>או שנדרה לא לארוג בגדים נאין לבניו:</w:t>
      </w:r>
    </w:p>
    <w:p w14:paraId="3E1496B0" w14:textId="77777777" w:rsidR="002E5BAD" w:rsidRPr="000755D8" w:rsidRDefault="002E5BAD" w:rsidP="002E5BAD">
      <w:pPr>
        <w:pStyle w:val="ab"/>
        <w:numPr>
          <w:ilvl w:val="0"/>
          <w:numId w:val="136"/>
        </w:numPr>
        <w:rPr>
          <w:rFonts w:cs="Arial"/>
          <w:rtl/>
        </w:rPr>
      </w:pPr>
      <w:r>
        <w:rPr>
          <w:rFonts w:cs="Arial" w:hint="cs"/>
          <w:rtl/>
        </w:rPr>
        <w:t xml:space="preserve">טור- </w:t>
      </w:r>
      <w:r w:rsidRPr="00791B55">
        <w:rPr>
          <w:rFonts w:cs="Arial"/>
          <w:rtl/>
        </w:rPr>
        <w:t>ואם היא אוסרת כלי שכניה עליה כדי שלא תשאל מהם</w:t>
      </w:r>
      <w:r>
        <w:rPr>
          <w:rFonts w:cs="Arial" w:hint="cs"/>
          <w:rtl/>
        </w:rPr>
        <w:t>,</w:t>
      </w:r>
      <w:r w:rsidRPr="00791B55">
        <w:rPr>
          <w:rFonts w:cs="Arial"/>
          <w:rtl/>
        </w:rPr>
        <w:t xml:space="preserve"> או שאסרה על עצמה כלי בעלה שלא תוכל להשאילם כדי שלא יחזיקו להם טובה</w:t>
      </w:r>
      <w:r>
        <w:rPr>
          <w:rFonts w:cs="Arial" w:hint="cs"/>
          <w:rtl/>
        </w:rPr>
        <w:t>,</w:t>
      </w:r>
      <w:r w:rsidRPr="00791B55">
        <w:rPr>
          <w:rFonts w:cs="Arial"/>
          <w:rtl/>
        </w:rPr>
        <w:t xml:space="preserve"> או שנדרה שלא לארוג בגדים נאים לבניו</w:t>
      </w:r>
      <w:r>
        <w:rPr>
          <w:rFonts w:cs="Arial" w:hint="cs"/>
          <w:rtl/>
        </w:rPr>
        <w:t>,</w:t>
      </w:r>
      <w:r w:rsidRPr="00791B55">
        <w:rPr>
          <w:rFonts w:cs="Arial"/>
          <w:rtl/>
        </w:rPr>
        <w:t xml:space="preserve"> והוא אינו יכול להפר</w:t>
      </w:r>
      <w:r>
        <w:rPr>
          <w:rFonts w:cs="Arial" w:hint="cs"/>
          <w:rtl/>
        </w:rPr>
        <w:t>,</w:t>
      </w:r>
      <w:r w:rsidRPr="00791B55">
        <w:rPr>
          <w:rFonts w:cs="Arial"/>
          <w:rtl/>
        </w:rPr>
        <w:t xml:space="preserve"> שאין </w:t>
      </w:r>
      <w:r w:rsidRPr="00791B55">
        <w:rPr>
          <w:rFonts w:cs="Arial"/>
          <w:rtl/>
        </w:rPr>
        <w:lastRenderedPageBreak/>
        <w:t>זה דברים שבינו לבינה</w:t>
      </w:r>
      <w:r>
        <w:rPr>
          <w:rStyle w:val="a7"/>
          <w:rFonts w:cs="Arial"/>
          <w:rtl/>
        </w:rPr>
        <w:footnoteReference w:id="1192"/>
      </w:r>
      <w:r>
        <w:rPr>
          <w:rFonts w:cs="Arial" w:hint="cs"/>
          <w:rtl/>
        </w:rPr>
        <w:t>,</w:t>
      </w:r>
      <w:r w:rsidRPr="00791B55">
        <w:rPr>
          <w:rFonts w:cs="Arial"/>
          <w:rtl/>
        </w:rPr>
        <w:t xml:space="preserve"> ואסורה לארוג ולשאל ולהשאיל כלים</w:t>
      </w:r>
      <w:r>
        <w:rPr>
          <w:rFonts w:cs="Arial" w:hint="cs"/>
          <w:rtl/>
        </w:rPr>
        <w:t>,</w:t>
      </w:r>
      <w:r w:rsidRPr="00791B55">
        <w:rPr>
          <w:rFonts w:cs="Arial"/>
          <w:rtl/>
        </w:rPr>
        <w:t xml:space="preserve"> לפיכך </w:t>
      </w:r>
      <w:r>
        <w:rPr>
          <w:rFonts w:cs="Arial" w:hint="cs"/>
          <w:rtl/>
        </w:rPr>
        <w:t xml:space="preserve">- </w:t>
      </w:r>
      <w:r w:rsidRPr="00791B55">
        <w:rPr>
          <w:rFonts w:cs="Arial"/>
          <w:rtl/>
        </w:rPr>
        <w:t>תצא בלא כתובה שמשיאתו שם רע בשכיניו</w:t>
      </w:r>
      <w:r>
        <w:rPr>
          <w:rFonts w:cs="Arial" w:hint="cs"/>
          <w:rtl/>
        </w:rPr>
        <w:t>.</w:t>
      </w:r>
      <w:r w:rsidRPr="00791B55">
        <w:rPr>
          <w:rFonts w:cs="Arial"/>
          <w:rtl/>
        </w:rPr>
        <w:t xml:space="preserve"> </w:t>
      </w:r>
      <w:r w:rsidRPr="008015A2">
        <w:rPr>
          <w:rFonts w:cs="Arial" w:hint="cs"/>
          <w:color w:val="E36C0A" w:themeColor="accent6" w:themeShade="BF"/>
          <w:rtl/>
        </w:rPr>
        <w:t>(וכ"פ בשו"ע)</w:t>
      </w:r>
    </w:p>
    <w:p w14:paraId="36E5C1F8"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74F0D61" w14:textId="77777777" w:rsidR="002E5BAD" w:rsidRDefault="002E5BAD" w:rsidP="002E5BAD">
      <w:pPr>
        <w:rPr>
          <w:rtl/>
        </w:rPr>
      </w:pPr>
      <w:r>
        <w:rPr>
          <w:rFonts w:cs="Arial"/>
          <w:rtl/>
        </w:rPr>
        <w:t>אסר הבעל כלי שכניו עליו, או כליו על שכניו, כדי שלא תשאילם ולא תשאל מהן</w:t>
      </w:r>
      <w:r>
        <w:rPr>
          <w:rFonts w:cs="Arial" w:hint="cs"/>
          <w:rtl/>
        </w:rPr>
        <w:t>,</w:t>
      </w:r>
      <w:r>
        <w:rPr>
          <w:rFonts w:cs="Arial"/>
          <w:rtl/>
        </w:rPr>
        <w:t xml:space="preserve"> או שאמרה היא: קונם תשמישך עלי אם אשאל משכני כלים או אשאילם מכלי, ושמע וקיים לה, יוציא מיד ויתן כתובה. ואם אמר הוא: קונם תשמישך עלי אם תשאל מהם כלים או תשאילם, אי אפשר לה שלא תשאל מהם ולא תשאילם, והרי היא נאסרה מיד, ויוציא לאחר ז' ימים ויתן כתובה. ואם היא אסרה כלי שכניה עליה כדי שלא תשאל מהם, או שאסרה על עצמה כלי בעלה שלא תוכל להשאילם, כדי שלא יחזיקו להם טובה, או שנדרה שלא לארוג בגדים נאים לבניו, והוא אינו יכול להפר שאין זה מדברים שבינו לבינה, ואסורה לארוג ולשאול ולהשאיל כלים, תצא בלא כתובה, מפני שמשיאתו שם רע בשכניו. </w:t>
      </w:r>
    </w:p>
    <w:p w14:paraId="1EC10441" w14:textId="77777777" w:rsidR="002E5BAD" w:rsidRDefault="002E5BAD" w:rsidP="002E5BAD">
      <w:pPr>
        <w:rPr>
          <w:rtl/>
        </w:rPr>
      </w:pPr>
    </w:p>
    <w:p w14:paraId="6DCCE610" w14:textId="77777777" w:rsidR="002E5BAD" w:rsidRDefault="002E5BAD" w:rsidP="002E5BAD">
      <w:pPr>
        <w:pStyle w:val="2"/>
        <w:rPr>
          <w:rtl/>
        </w:rPr>
      </w:pPr>
      <w:r>
        <w:rPr>
          <w:rtl/>
        </w:rPr>
        <w:t>סעיף ד</w:t>
      </w:r>
      <w:r>
        <w:rPr>
          <w:rFonts w:hint="cs"/>
          <w:rtl/>
        </w:rPr>
        <w:t>:</w:t>
      </w:r>
      <w:r w:rsidRPr="0092363C">
        <w:rPr>
          <w:rFonts w:cs="Arial"/>
          <w:rtl/>
        </w:rPr>
        <w:t xml:space="preserve"> </w:t>
      </w:r>
      <w:r>
        <w:rPr>
          <w:rFonts w:cs="Arial" w:hint="cs"/>
          <w:rtl/>
        </w:rPr>
        <w:t>הדירה</w:t>
      </w:r>
      <w:r w:rsidRPr="00EC524B">
        <w:rPr>
          <w:rFonts w:cs="Arial"/>
          <w:rtl/>
        </w:rPr>
        <w:t xml:space="preserve"> שלא תלך לבית אביה</w:t>
      </w:r>
      <w:r>
        <w:rPr>
          <w:rFonts w:hint="cs"/>
          <w:rtl/>
        </w:rPr>
        <w:t>.</w:t>
      </w:r>
    </w:p>
    <w:p w14:paraId="68A2D358" w14:textId="77777777" w:rsidR="002E5BAD" w:rsidRPr="000C6D9C" w:rsidRDefault="002E5BAD" w:rsidP="002E5BAD">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0C6D9C">
        <w:rPr>
          <w:rFonts w:cs="Arial"/>
          <w:rtl/>
        </w:rPr>
        <w:t xml:space="preserve"> המדיר את אשתו מליהנות לו, עד ל' יום - יעמיד פרנס, יתר מיכן - יוציא ויתן כתובה</w:t>
      </w:r>
      <w:r>
        <w:rPr>
          <w:rFonts w:cs="Arial" w:hint="cs"/>
          <w:rtl/>
        </w:rPr>
        <w:t>.</w:t>
      </w:r>
      <w:r w:rsidRPr="000C6D9C">
        <w:rPr>
          <w:rFonts w:cs="Arial"/>
          <w:rtl/>
        </w:rPr>
        <w:t xml:space="preserve"> </w:t>
      </w:r>
      <w:r w:rsidRPr="000C6D9C">
        <w:rPr>
          <w:rFonts w:cs="Arial"/>
          <w:u w:val="single"/>
          <w:rtl/>
        </w:rPr>
        <w:t>רבי יהודה אומר</w:t>
      </w:r>
      <w:r w:rsidRPr="000C6D9C">
        <w:rPr>
          <w:rFonts w:cs="Arial"/>
          <w:rtl/>
        </w:rPr>
        <w:t>: בישראל, חדש אחד - יקיים, ושנים - יוציא ויתן כתובה</w:t>
      </w:r>
      <w:r>
        <w:rPr>
          <w:rFonts w:cs="Arial" w:hint="cs"/>
          <w:rtl/>
        </w:rPr>
        <w:t>.</w:t>
      </w:r>
      <w:r w:rsidRPr="000C6D9C">
        <w:rPr>
          <w:rFonts w:cs="Arial"/>
          <w:rtl/>
        </w:rPr>
        <w:t xml:space="preserve"> בכהן, שנים - יקיים, ושלשה - יוציא ויתן כתובה.</w:t>
      </w:r>
      <w:r>
        <w:rPr>
          <w:rFonts w:cs="Arial" w:hint="cs"/>
          <w:rtl/>
        </w:rPr>
        <w:t>.</w:t>
      </w:r>
      <w:r w:rsidRPr="000C6D9C">
        <w:rPr>
          <w:rFonts w:cs="Arial"/>
          <w:rtl/>
        </w:rPr>
        <w:t>.</w:t>
      </w:r>
    </w:p>
    <w:p w14:paraId="4992C796" w14:textId="77777777" w:rsidR="002E5BAD" w:rsidRDefault="002E5BAD" w:rsidP="002E5BAD">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w:t>
      </w:r>
      <w:r>
        <w:rPr>
          <w:rFonts w:cs="Arial" w:hint="cs"/>
          <w:b/>
          <w:bCs/>
          <w:rtl/>
        </w:rPr>
        <w:t>ב</w:t>
      </w:r>
      <w:r w:rsidRPr="00C60E3E">
        <w:rPr>
          <w:rFonts w:cs="Arial" w:hint="cs"/>
          <w:b/>
          <w:bCs/>
          <w:rtl/>
        </w:rPr>
        <w:t>:</w:t>
      </w:r>
      <w:r>
        <w:rPr>
          <w:rFonts w:cs="Arial"/>
          <w:rtl/>
        </w:rPr>
        <w:t xml:space="preserve"> </w:t>
      </w:r>
      <w:r w:rsidRPr="00C60E3E">
        <w:rPr>
          <w:rFonts w:cs="Arial"/>
          <w:u w:val="double"/>
          <w:rtl/>
        </w:rPr>
        <w:t>מתני'</w:t>
      </w:r>
      <w:r>
        <w:rPr>
          <w:rFonts w:cs="Arial" w:hint="cs"/>
          <w:rtl/>
        </w:rPr>
        <w:t>:</w:t>
      </w:r>
      <w:r w:rsidRPr="00EC524B">
        <w:rPr>
          <w:rtl/>
        </w:rPr>
        <w:t xml:space="preserve"> </w:t>
      </w:r>
      <w:r w:rsidRPr="00EC524B">
        <w:rPr>
          <w:rFonts w:cs="Arial"/>
          <w:rtl/>
        </w:rPr>
        <w:t>המדיר את אשתו שלא תלך לבית אביה, בזמן שהוא עמה בעיר, חודש אחד - יקיים, שנים - יוציא ויתן כתובה</w:t>
      </w:r>
      <w:r>
        <w:rPr>
          <w:rFonts w:cs="Arial" w:hint="cs"/>
          <w:rtl/>
        </w:rPr>
        <w:t>.</w:t>
      </w:r>
      <w:r w:rsidRPr="00EC524B">
        <w:rPr>
          <w:rFonts w:cs="Arial"/>
          <w:rtl/>
        </w:rPr>
        <w:t xml:space="preserve"> ובזמן שהוא בעיר אחרת</w:t>
      </w:r>
      <w:r>
        <w:rPr>
          <w:rStyle w:val="a7"/>
          <w:rFonts w:cs="Arial"/>
          <w:rtl/>
        </w:rPr>
        <w:footnoteReference w:id="1193"/>
      </w:r>
      <w:r w:rsidRPr="00EC524B">
        <w:rPr>
          <w:rFonts w:cs="Arial"/>
          <w:rtl/>
        </w:rPr>
        <w:t>, רגל אחד</w:t>
      </w:r>
      <w:r>
        <w:rPr>
          <w:rStyle w:val="a7"/>
          <w:rFonts w:cs="Arial"/>
          <w:rtl/>
        </w:rPr>
        <w:footnoteReference w:id="1194"/>
      </w:r>
      <w:r w:rsidRPr="00EC524B">
        <w:rPr>
          <w:rFonts w:cs="Arial"/>
          <w:rtl/>
        </w:rPr>
        <w:t xml:space="preserve"> - יקיים, שלשה - יוציא ויתן כתובה.</w:t>
      </w:r>
      <w:r>
        <w:rPr>
          <w:rFonts w:hint="cs"/>
          <w:rtl/>
        </w:rPr>
        <w:t>..</w:t>
      </w:r>
      <w:r w:rsidRPr="009C2D0A">
        <w:rPr>
          <w:rtl/>
        </w:rPr>
        <w:t xml:space="preserve"> </w:t>
      </w:r>
      <w:r>
        <w:rPr>
          <w:rFonts w:hint="cs"/>
          <w:rtl/>
        </w:rPr>
        <w:t xml:space="preserve">    </w:t>
      </w:r>
      <w:r w:rsidRPr="009C2D0A">
        <w:rPr>
          <w:rFonts w:cs="Arial"/>
          <w:u w:val="double"/>
          <w:rtl/>
        </w:rPr>
        <w:t>גמ'</w:t>
      </w:r>
      <w:r>
        <w:rPr>
          <w:rFonts w:cs="Arial" w:hint="cs"/>
          <w:rtl/>
        </w:rPr>
        <w:t>:</w:t>
      </w:r>
      <w:r w:rsidRPr="009C2D0A">
        <w:rPr>
          <w:rFonts w:cs="Arial"/>
          <w:rtl/>
        </w:rPr>
        <w:t xml:space="preserve"> הא גופא קשיא, אמרת: רגל אחד - יקיים, הא שנים - יוציא ויתן כתובה, אימא סיפא: שלשה - יוציא ויתן כתובה, הא שנים - יקיים! </w:t>
      </w:r>
      <w:r w:rsidRPr="009C2D0A">
        <w:rPr>
          <w:rFonts w:cs="Arial"/>
          <w:u w:val="single"/>
          <w:rtl/>
        </w:rPr>
        <w:t>אמר אביי</w:t>
      </w:r>
      <w:r w:rsidRPr="009C2D0A">
        <w:rPr>
          <w:rFonts w:cs="Arial"/>
          <w:rtl/>
        </w:rPr>
        <w:t xml:space="preserve">: סיפא אתאן לכהנת, ורבי יהודה היא. </w:t>
      </w:r>
      <w:r w:rsidRPr="009C2D0A">
        <w:rPr>
          <w:rFonts w:cs="Arial"/>
          <w:u w:val="single"/>
          <w:rtl/>
        </w:rPr>
        <w:t>רבה בר עולא אמר</w:t>
      </w:r>
      <w:r>
        <w:rPr>
          <w:rFonts w:cs="Arial" w:hint="cs"/>
          <w:rtl/>
        </w:rPr>
        <w:t>:</w:t>
      </w:r>
      <w:r w:rsidRPr="009C2D0A">
        <w:rPr>
          <w:rFonts w:cs="Arial"/>
          <w:rtl/>
        </w:rPr>
        <w:t xml:space="preserve"> לא קשיא</w:t>
      </w:r>
      <w:r>
        <w:rPr>
          <w:rFonts w:cs="Arial" w:hint="cs"/>
          <w:rtl/>
        </w:rPr>
        <w:t>,</w:t>
      </w:r>
      <w:r w:rsidRPr="009C2D0A">
        <w:rPr>
          <w:rFonts w:cs="Arial"/>
          <w:rtl/>
        </w:rPr>
        <w:t xml:space="preserve"> כאן ברדופה</w:t>
      </w:r>
      <w:r>
        <w:rPr>
          <w:rStyle w:val="a7"/>
          <w:rFonts w:cs="Arial"/>
          <w:rtl/>
        </w:rPr>
        <w:footnoteReference w:id="1195"/>
      </w:r>
      <w:r w:rsidRPr="009C2D0A">
        <w:rPr>
          <w:rFonts w:cs="Arial"/>
          <w:rtl/>
        </w:rPr>
        <w:t>, כאן בשאינה רדופה.</w:t>
      </w:r>
    </w:p>
    <w:p w14:paraId="1EFF9F8F" w14:textId="77777777" w:rsidR="002E5BAD" w:rsidRDefault="002E5BAD" w:rsidP="002E5BAD">
      <w:pPr>
        <w:rPr>
          <w:rtl/>
        </w:rPr>
      </w:pPr>
      <w:r w:rsidRPr="00C424A2">
        <w:rPr>
          <w:rFonts w:cs="Arial" w:hint="cs"/>
          <w:b/>
          <w:bCs/>
          <w:rtl/>
        </w:rPr>
        <w:t>ירושלמי כתובות פ"ז ה"ד:</w:t>
      </w:r>
      <w:r>
        <w:rPr>
          <w:rFonts w:cs="Arial" w:hint="cs"/>
          <w:rtl/>
        </w:rPr>
        <w:t xml:space="preserve"> </w:t>
      </w:r>
      <w:r w:rsidRPr="00C424A2">
        <w:rPr>
          <w:rFonts w:cs="Arial"/>
          <w:u w:val="double"/>
          <w:rtl/>
        </w:rPr>
        <w:t>מתני'</w:t>
      </w:r>
      <w:r>
        <w:rPr>
          <w:rFonts w:cs="Arial" w:hint="cs"/>
          <w:rtl/>
        </w:rPr>
        <w:t>:</w:t>
      </w:r>
      <w:r w:rsidRPr="00C424A2">
        <w:rPr>
          <w:rFonts w:cs="Arial"/>
          <w:rtl/>
        </w:rPr>
        <w:t xml:space="preserve"> המדיר את אשתו שלא תלך לבית אביה</w:t>
      </w:r>
      <w:r>
        <w:rPr>
          <w:rFonts w:cs="Arial" w:hint="cs"/>
          <w:rtl/>
        </w:rPr>
        <w:t>,</w:t>
      </w:r>
      <w:r w:rsidRPr="00C424A2">
        <w:rPr>
          <w:rFonts w:cs="Arial"/>
          <w:rtl/>
        </w:rPr>
        <w:t xml:space="preserve"> בזמן שהן עמה בעיר</w:t>
      </w:r>
      <w:r>
        <w:rPr>
          <w:rFonts w:cs="Arial" w:hint="cs"/>
          <w:rtl/>
        </w:rPr>
        <w:t>,</w:t>
      </w:r>
      <w:r w:rsidRPr="00C424A2">
        <w:rPr>
          <w:rFonts w:cs="Arial"/>
          <w:rtl/>
        </w:rPr>
        <w:t xml:space="preserve"> חדש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r w:rsidRPr="00C424A2">
        <w:rPr>
          <w:rFonts w:cs="Arial"/>
          <w:rtl/>
        </w:rPr>
        <w:t xml:space="preserve"> בזמן שהן בעיר אחרת</w:t>
      </w:r>
      <w:r>
        <w:rPr>
          <w:rFonts w:cs="Arial" w:hint="cs"/>
          <w:rtl/>
        </w:rPr>
        <w:t>,</w:t>
      </w:r>
      <w:r w:rsidRPr="00C424A2">
        <w:rPr>
          <w:rFonts w:cs="Arial"/>
          <w:rtl/>
        </w:rPr>
        <w:t xml:space="preserve"> רגל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p>
    <w:p w14:paraId="4F98F12A" w14:textId="77777777" w:rsidR="002E5BAD" w:rsidRPr="0092363C" w:rsidRDefault="002E5BAD" w:rsidP="002E5BAD">
      <w:pPr>
        <w:rPr>
          <w:u w:val="single"/>
          <w:rtl/>
        </w:rPr>
      </w:pPr>
      <w:r w:rsidRPr="0092363C">
        <w:rPr>
          <w:rFonts w:cs="Arial"/>
          <w:u w:val="single"/>
          <w:rtl/>
        </w:rPr>
        <w:t>המדיר את אשתו שלא תלך לבית אביה</w:t>
      </w:r>
      <w:r w:rsidRPr="0092363C">
        <w:rPr>
          <w:rFonts w:hint="cs"/>
          <w:u w:val="single"/>
          <w:rtl/>
        </w:rPr>
        <w:t>:</w:t>
      </w:r>
    </w:p>
    <w:p w14:paraId="3968A549" w14:textId="77777777" w:rsidR="002E5BAD" w:rsidRDefault="002E5BAD" w:rsidP="002E5BAD">
      <w:pPr>
        <w:pStyle w:val="ab"/>
        <w:numPr>
          <w:ilvl w:val="0"/>
          <w:numId w:val="136"/>
        </w:numPr>
        <w:rPr>
          <w:rFonts w:cs="Arial"/>
        </w:rPr>
      </w:pPr>
      <w:r>
        <w:rPr>
          <w:rFonts w:cs="Arial" w:hint="cs"/>
          <w:rtl/>
        </w:rPr>
        <w:t xml:space="preserve">טור- </w:t>
      </w:r>
      <w:r w:rsidRPr="00791B55">
        <w:rPr>
          <w:rFonts w:cs="Arial"/>
          <w:rtl/>
        </w:rPr>
        <w:t>נדרה שלא תלך לבית אביה ותלאתו בתשמיש</w:t>
      </w:r>
      <w:r>
        <w:rPr>
          <w:rStyle w:val="a7"/>
          <w:rFonts w:cs="Arial"/>
          <w:rtl/>
        </w:rPr>
        <w:footnoteReference w:id="1196"/>
      </w:r>
      <w:r w:rsidRPr="00791B55">
        <w:rPr>
          <w:rFonts w:cs="Arial"/>
          <w:rtl/>
        </w:rPr>
        <w:t xml:space="preserve"> שאמרה קונם תשמישך עלי אם אלך לבית אבי</w:t>
      </w:r>
      <w:r>
        <w:rPr>
          <w:rFonts w:cs="Arial" w:hint="cs"/>
          <w:rtl/>
        </w:rPr>
        <w:t>,</w:t>
      </w:r>
      <w:r w:rsidRPr="00791B55">
        <w:rPr>
          <w:rFonts w:cs="Arial"/>
          <w:rtl/>
        </w:rPr>
        <w:t xml:space="preserve"> שאם לא תלאתו בתשמיש אלא אמרה קונם בית אבי עלי אינו יכול להפר</w:t>
      </w:r>
      <w:r>
        <w:rPr>
          <w:rFonts w:cs="Arial" w:hint="cs"/>
          <w:rtl/>
        </w:rPr>
        <w:t>,</w:t>
      </w:r>
      <w:r w:rsidRPr="00791B55">
        <w:rPr>
          <w:rFonts w:cs="Arial"/>
          <w:rtl/>
        </w:rPr>
        <w:t xml:space="preserve"> אלא כיון שתלאתו בתשמיש יכול להפר</w:t>
      </w:r>
      <w:r>
        <w:rPr>
          <w:rFonts w:cs="Arial" w:hint="cs"/>
          <w:rtl/>
        </w:rPr>
        <w:t>,</w:t>
      </w:r>
      <w:r w:rsidRPr="00791B55">
        <w:rPr>
          <w:rFonts w:cs="Arial"/>
          <w:rtl/>
        </w:rPr>
        <w:t xml:space="preserve"> וכיון ששמע ולא היפר</w:t>
      </w:r>
      <w:r>
        <w:rPr>
          <w:rFonts w:cs="Arial" w:hint="cs"/>
          <w:rtl/>
        </w:rPr>
        <w:t>,</w:t>
      </w:r>
      <w:r w:rsidRPr="00791B55">
        <w:rPr>
          <w:rFonts w:cs="Arial"/>
          <w:rtl/>
        </w:rPr>
        <w:t xml:space="preserve"> אם אביה בעיר</w:t>
      </w:r>
      <w:r>
        <w:rPr>
          <w:rFonts w:cs="Arial" w:hint="cs"/>
          <w:rtl/>
        </w:rPr>
        <w:t>,</w:t>
      </w:r>
      <w:r w:rsidRPr="00791B55">
        <w:rPr>
          <w:rFonts w:cs="Arial"/>
          <w:rtl/>
        </w:rPr>
        <w:t xml:space="preserve"> נדרה עד חדש </w:t>
      </w:r>
      <w:r>
        <w:rPr>
          <w:rFonts w:cs="Arial" w:hint="cs"/>
          <w:rtl/>
        </w:rPr>
        <w:t xml:space="preserve">- </w:t>
      </w:r>
      <w:r w:rsidRPr="00791B55">
        <w:rPr>
          <w:rFonts w:cs="Arial"/>
          <w:rtl/>
        </w:rPr>
        <w:t>יקיים</w:t>
      </w:r>
      <w:r>
        <w:rPr>
          <w:rFonts w:cs="Arial" w:hint="cs"/>
          <w:rtl/>
        </w:rPr>
        <w:t>,</w:t>
      </w:r>
      <w:r w:rsidRPr="00791B55">
        <w:rPr>
          <w:rFonts w:cs="Arial"/>
          <w:rtl/>
        </w:rPr>
        <w:t xml:space="preserve"> יותר מחדש או סתם</w:t>
      </w:r>
      <w:r>
        <w:rPr>
          <w:rStyle w:val="a7"/>
          <w:rFonts w:cs="Arial"/>
          <w:rtl/>
        </w:rPr>
        <w:footnoteReference w:id="1197"/>
      </w:r>
      <w:r w:rsidRPr="00791B55">
        <w:rPr>
          <w:rFonts w:cs="Arial"/>
          <w:rtl/>
        </w:rPr>
        <w:t xml:space="preserve"> </w:t>
      </w:r>
      <w:r>
        <w:rPr>
          <w:rFonts w:cs="Arial" w:hint="cs"/>
          <w:rtl/>
        </w:rPr>
        <w:t xml:space="preserve">- </w:t>
      </w:r>
      <w:r w:rsidRPr="00791B55">
        <w:rPr>
          <w:rFonts w:cs="Arial"/>
          <w:rtl/>
        </w:rPr>
        <w:t>יוציא מיד ויתן כתובה</w:t>
      </w:r>
      <w:r>
        <w:rPr>
          <w:rFonts w:cs="Arial" w:hint="cs"/>
          <w:rtl/>
        </w:rPr>
        <w:t>.</w:t>
      </w:r>
      <w:r w:rsidRPr="00791B55">
        <w:rPr>
          <w:rFonts w:cs="Arial"/>
          <w:rtl/>
        </w:rPr>
        <w:t xml:space="preserve"> ואם אינו דר בעיר והיא רדופה</w:t>
      </w:r>
      <w:r>
        <w:rPr>
          <w:rStyle w:val="a7"/>
          <w:rFonts w:cs="Arial"/>
          <w:rtl/>
        </w:rPr>
        <w:footnoteReference w:id="1198"/>
      </w:r>
      <w:r w:rsidRPr="00791B55">
        <w:rPr>
          <w:rFonts w:cs="Arial"/>
          <w:rtl/>
        </w:rPr>
        <w:t xml:space="preserve"> לילך לביתו </w:t>
      </w:r>
      <w:r>
        <w:rPr>
          <w:rFonts w:cs="Arial" w:hint="cs"/>
          <w:rtl/>
        </w:rPr>
        <w:t xml:space="preserve">- </w:t>
      </w:r>
      <w:r w:rsidRPr="00791B55">
        <w:rPr>
          <w:rFonts w:cs="Arial"/>
          <w:rtl/>
        </w:rPr>
        <w:t>רגל אחד יקיים</w:t>
      </w:r>
      <w:r>
        <w:rPr>
          <w:rFonts w:cs="Arial" w:hint="cs"/>
          <w:rtl/>
        </w:rPr>
        <w:t>,</w:t>
      </w:r>
      <w:r w:rsidRPr="00791B55">
        <w:rPr>
          <w:rFonts w:cs="Arial"/>
          <w:rtl/>
        </w:rPr>
        <w:t xml:space="preserve"> שנים או סתם </w:t>
      </w:r>
      <w:r>
        <w:rPr>
          <w:rFonts w:cs="Arial" w:hint="cs"/>
          <w:rtl/>
        </w:rPr>
        <w:t xml:space="preserve">- </w:t>
      </w:r>
      <w:r w:rsidRPr="00791B55">
        <w:rPr>
          <w:rFonts w:cs="Arial"/>
          <w:rtl/>
        </w:rPr>
        <w:t>יוציא ויתן כתובה</w:t>
      </w:r>
      <w:r>
        <w:rPr>
          <w:rFonts w:cs="Arial" w:hint="cs"/>
          <w:rtl/>
        </w:rPr>
        <w:t>.</w:t>
      </w:r>
      <w:r w:rsidRPr="00791B55">
        <w:rPr>
          <w:rFonts w:cs="Arial"/>
          <w:rtl/>
        </w:rPr>
        <w:t xml:space="preserve"> ואם אינה רדופה לילך לביתו </w:t>
      </w:r>
      <w:r>
        <w:rPr>
          <w:rFonts w:cs="Arial" w:hint="cs"/>
          <w:rtl/>
        </w:rPr>
        <w:t xml:space="preserve">- </w:t>
      </w:r>
      <w:r w:rsidRPr="00791B55">
        <w:rPr>
          <w:rFonts w:cs="Arial"/>
          <w:rtl/>
        </w:rPr>
        <w:t>ב' יקיים</w:t>
      </w:r>
      <w:r>
        <w:rPr>
          <w:rFonts w:cs="Arial" w:hint="cs"/>
          <w:rtl/>
        </w:rPr>
        <w:t>,</w:t>
      </w:r>
      <w:r w:rsidRPr="00791B55">
        <w:rPr>
          <w:rFonts w:cs="Arial"/>
          <w:rtl/>
        </w:rPr>
        <w:t xml:space="preserve"> ג' או סתם </w:t>
      </w:r>
      <w:r>
        <w:rPr>
          <w:rFonts w:cs="Arial" w:hint="cs"/>
          <w:rtl/>
        </w:rPr>
        <w:t xml:space="preserve">- </w:t>
      </w:r>
      <w:r w:rsidRPr="00791B55">
        <w:rPr>
          <w:rFonts w:cs="Arial"/>
          <w:rtl/>
        </w:rPr>
        <w:t>יוציא ויתן כתובה</w:t>
      </w:r>
      <w:r>
        <w:rPr>
          <w:rFonts w:cs="Arial" w:hint="cs"/>
          <w:rtl/>
        </w:rPr>
        <w:t>.</w:t>
      </w:r>
      <w:r w:rsidRPr="00791B55">
        <w:rPr>
          <w:rFonts w:cs="Arial"/>
          <w:rtl/>
        </w:rPr>
        <w:t xml:space="preserve"> ואם הוא אומר קונם תשמישך עלי אם תלך לבית אביך</w:t>
      </w:r>
      <w:r>
        <w:rPr>
          <w:rFonts w:cs="Arial" w:hint="cs"/>
          <w:rtl/>
        </w:rPr>
        <w:t>,</w:t>
      </w:r>
      <w:r w:rsidRPr="00791B55">
        <w:rPr>
          <w:rFonts w:cs="Arial"/>
          <w:rtl/>
        </w:rPr>
        <w:t xml:space="preserve"> יותר מחדש או יותר מרגל</w:t>
      </w:r>
      <w:r>
        <w:rPr>
          <w:rStyle w:val="a7"/>
          <w:rFonts w:cs="Arial"/>
          <w:rtl/>
        </w:rPr>
        <w:footnoteReference w:id="1199"/>
      </w:r>
      <w:r w:rsidRPr="00791B55">
        <w:rPr>
          <w:rFonts w:cs="Arial"/>
          <w:rtl/>
        </w:rPr>
        <w:t xml:space="preserve"> </w:t>
      </w:r>
      <w:r>
        <w:rPr>
          <w:rFonts w:cs="Arial" w:hint="cs"/>
          <w:rtl/>
        </w:rPr>
        <w:t xml:space="preserve">- </w:t>
      </w:r>
      <w:r w:rsidRPr="00791B55">
        <w:rPr>
          <w:rFonts w:cs="Arial"/>
          <w:rtl/>
        </w:rPr>
        <w:t>יוציא מיד אחר ז' ימים</w:t>
      </w:r>
      <w:r>
        <w:rPr>
          <w:rStyle w:val="a7"/>
          <w:rFonts w:cs="Arial"/>
          <w:rtl/>
        </w:rPr>
        <w:footnoteReference w:id="1200"/>
      </w:r>
      <w:r>
        <w:rPr>
          <w:rFonts w:cs="Arial" w:hint="cs"/>
          <w:rtl/>
        </w:rPr>
        <w:t>.</w:t>
      </w:r>
    </w:p>
    <w:p w14:paraId="7E99B0DD" w14:textId="77777777" w:rsidR="002E5BAD" w:rsidRPr="00E83377" w:rsidRDefault="002E5BAD" w:rsidP="002E5BAD">
      <w:pPr>
        <w:pStyle w:val="ab"/>
        <w:numPr>
          <w:ilvl w:val="0"/>
          <w:numId w:val="136"/>
        </w:numPr>
        <w:rPr>
          <w:rFonts w:cs="Arial"/>
          <w:rtl/>
        </w:rPr>
      </w:pPr>
      <w:r>
        <w:rPr>
          <w:rFonts w:cs="Arial" w:hint="cs"/>
          <w:rtl/>
        </w:rPr>
        <w:lastRenderedPageBreak/>
        <w:t xml:space="preserve">רי"ף </w:t>
      </w:r>
      <w:r>
        <w:rPr>
          <w:rFonts w:cs="Arial" w:hint="cs"/>
          <w:sz w:val="16"/>
          <w:szCs w:val="16"/>
          <w:rtl/>
        </w:rPr>
        <w:t xml:space="preserve">(לב.) </w:t>
      </w:r>
      <w:r>
        <w:rPr>
          <w:rFonts w:cs="Arial" w:hint="cs"/>
          <w:rtl/>
        </w:rPr>
        <w:t xml:space="preserve">ורמב"ם </w:t>
      </w:r>
      <w:r>
        <w:rPr>
          <w:rFonts w:cs="Arial" w:hint="cs"/>
          <w:sz w:val="16"/>
          <w:szCs w:val="16"/>
          <w:rtl/>
        </w:rPr>
        <w:t>(פי"ג הי"ב)</w:t>
      </w:r>
      <w:r>
        <w:rPr>
          <w:rFonts w:cs="Arial" w:hint="cs"/>
          <w:rtl/>
        </w:rPr>
        <w:t xml:space="preserve">- </w:t>
      </w:r>
      <w:r w:rsidRPr="000C6D9C">
        <w:rPr>
          <w:rFonts w:cs="Arial"/>
          <w:rtl/>
        </w:rPr>
        <w:t>המדיר את אשתו שלא תלך לבית אביה</w:t>
      </w:r>
      <w:r>
        <w:rPr>
          <w:rFonts w:cs="Arial" w:hint="cs"/>
          <w:rtl/>
        </w:rPr>
        <w:t>,</w:t>
      </w:r>
      <w:r w:rsidRPr="000C6D9C">
        <w:rPr>
          <w:rFonts w:cs="Arial"/>
          <w:rtl/>
        </w:rPr>
        <w:t xml:space="preserve"> בזמן שהן עמה בעיר</w:t>
      </w:r>
      <w:r>
        <w:rPr>
          <w:rFonts w:cs="Arial" w:hint="cs"/>
          <w:rtl/>
        </w:rPr>
        <w:t xml:space="preserve">, </w:t>
      </w:r>
      <w:r w:rsidRPr="000C6D9C">
        <w:rPr>
          <w:rFonts w:cs="Arial"/>
          <w:rtl/>
        </w:rPr>
        <w:t xml:space="preserve">חודש אחד </w:t>
      </w:r>
      <w:r>
        <w:rPr>
          <w:rFonts w:cs="Arial" w:hint="cs"/>
          <w:rtl/>
        </w:rPr>
        <w:t xml:space="preserve">- </w:t>
      </w:r>
      <w:r w:rsidRPr="000C6D9C">
        <w:rPr>
          <w:rFonts w:cs="Arial"/>
          <w:rtl/>
        </w:rPr>
        <w:t>ממתינין לו</w:t>
      </w:r>
      <w:r>
        <w:rPr>
          <w:rFonts w:cs="Arial" w:hint="cs"/>
          <w:rtl/>
        </w:rPr>
        <w:t>,</w:t>
      </w:r>
      <w:r w:rsidRPr="000C6D9C">
        <w:rPr>
          <w:rFonts w:cs="Arial"/>
          <w:rtl/>
        </w:rPr>
        <w:t xml:space="preserve"> שנים </w:t>
      </w:r>
      <w:r>
        <w:rPr>
          <w:rFonts w:cs="Arial" w:hint="cs"/>
          <w:rtl/>
        </w:rPr>
        <w:t xml:space="preserve">- </w:t>
      </w:r>
      <w:r w:rsidRPr="000C6D9C">
        <w:rPr>
          <w:rFonts w:cs="Arial"/>
          <w:rtl/>
        </w:rPr>
        <w:t>יוציא ויתן כתובה</w:t>
      </w:r>
      <w:r>
        <w:rPr>
          <w:rFonts w:cs="Arial" w:hint="cs"/>
          <w:rtl/>
        </w:rPr>
        <w:t>.</w:t>
      </w:r>
      <w:r w:rsidRPr="000C6D9C">
        <w:rPr>
          <w:rFonts w:cs="Arial"/>
          <w:rtl/>
        </w:rPr>
        <w:t xml:space="preserve"> ובזמן שהן בעיר אחרת</w:t>
      </w:r>
      <w:r>
        <w:rPr>
          <w:rFonts w:cs="Arial" w:hint="cs"/>
          <w:rtl/>
        </w:rPr>
        <w:t>,</w:t>
      </w:r>
      <w:r w:rsidRPr="000C6D9C">
        <w:rPr>
          <w:rFonts w:cs="Arial"/>
          <w:rtl/>
        </w:rPr>
        <w:t xml:space="preserve"> רגל אחד </w:t>
      </w:r>
      <w:r>
        <w:rPr>
          <w:rFonts w:cs="Arial" w:hint="cs"/>
          <w:rtl/>
        </w:rPr>
        <w:t xml:space="preserve">- </w:t>
      </w:r>
      <w:r w:rsidRPr="000C6D9C">
        <w:rPr>
          <w:rFonts w:cs="Arial"/>
          <w:rtl/>
        </w:rPr>
        <w:t>ממתניתין לו</w:t>
      </w:r>
      <w:r>
        <w:rPr>
          <w:rFonts w:cs="Arial" w:hint="cs"/>
          <w:rtl/>
        </w:rPr>
        <w:t>,</w:t>
      </w:r>
      <w:r w:rsidRPr="000C6D9C">
        <w:rPr>
          <w:rFonts w:cs="Arial"/>
          <w:rtl/>
        </w:rPr>
        <w:t xml:space="preserve"> שנים </w:t>
      </w:r>
      <w:r>
        <w:rPr>
          <w:rFonts w:cs="Arial" w:hint="cs"/>
          <w:rtl/>
        </w:rPr>
        <w:t xml:space="preserve">- </w:t>
      </w:r>
      <w:r w:rsidRPr="000C6D9C">
        <w:rPr>
          <w:rFonts w:cs="Arial"/>
          <w:rtl/>
        </w:rPr>
        <w:t>יוציא ויתן כתובה</w:t>
      </w:r>
      <w:r>
        <w:rPr>
          <w:rStyle w:val="a7"/>
          <w:rFonts w:cs="Arial"/>
          <w:rtl/>
        </w:rPr>
        <w:footnoteReference w:id="1201"/>
      </w:r>
      <w:r>
        <w:rPr>
          <w:rFonts w:cs="Arial" w:hint="cs"/>
          <w:sz w:val="16"/>
          <w:szCs w:val="16"/>
          <w:rtl/>
        </w:rPr>
        <w:t xml:space="preserve"> (ל' הרמב"ם)</w:t>
      </w:r>
      <w:r w:rsidRPr="000C6D9C">
        <w:rPr>
          <w:rFonts w:cs="Arial"/>
          <w:rtl/>
        </w:rPr>
        <w:t>.</w:t>
      </w:r>
      <w:r>
        <w:rPr>
          <w:rFonts w:cs="Arial" w:hint="cs"/>
          <w:rtl/>
        </w:rPr>
        <w:t xml:space="preserve"> </w:t>
      </w:r>
      <w:r w:rsidRPr="008015A2">
        <w:rPr>
          <w:rFonts w:cs="Arial" w:hint="cs"/>
          <w:color w:val="E36C0A" w:themeColor="accent6" w:themeShade="BF"/>
          <w:rtl/>
        </w:rPr>
        <w:t>(וכ"פ בשו"ע)</w:t>
      </w:r>
    </w:p>
    <w:p w14:paraId="69231C3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2FDAB92" w14:textId="77777777" w:rsidR="002E5BAD" w:rsidRDefault="002E5BAD" w:rsidP="002E5BAD">
      <w:pPr>
        <w:rPr>
          <w:rtl/>
        </w:rPr>
      </w:pPr>
      <w:r>
        <w:rPr>
          <w:rFonts w:cs="Arial"/>
          <w:rtl/>
        </w:rPr>
        <w:t xml:space="preserve">נדרה שלא תלך לבית אביה, ותלאתו בתשמיש, שאמרה: קונם תשמישך עלי אם אלך לבית אבי, שאם לא תלאתו בתשמיש אלא אמרה: קונם בית אבי עלי, אינו יכול להפר, אלא כיון שתלאתו בתשמיש יכול להפר, וכיון ששמע ולא הפר, יוציא מיד ויתן כתובה. ואם הוא אומר: קונם תשמישך עלי אם תלכי לבית אביך יותר מחדש, אם הוא דר עמה בעיר, או יותר מרגל אם הוא דר בעיר אחרת, יקיים ז' ימים ואז יוציא ויתן כתובה. </w:t>
      </w:r>
    </w:p>
    <w:p w14:paraId="58ABA7C0" w14:textId="77777777" w:rsidR="002E5BAD" w:rsidRDefault="002E5BAD" w:rsidP="002E5BAD">
      <w:pPr>
        <w:rPr>
          <w:rtl/>
        </w:rPr>
      </w:pPr>
    </w:p>
    <w:p w14:paraId="4C4F54EE" w14:textId="77777777" w:rsidR="002E5BAD" w:rsidRDefault="002E5BAD" w:rsidP="002E5BAD">
      <w:pPr>
        <w:pStyle w:val="2"/>
        <w:rPr>
          <w:rtl/>
        </w:rPr>
      </w:pPr>
      <w:r>
        <w:rPr>
          <w:rtl/>
        </w:rPr>
        <w:t>סעיף ה</w:t>
      </w:r>
      <w:r>
        <w:rPr>
          <w:rFonts w:hint="cs"/>
          <w:rtl/>
        </w:rPr>
        <w:t>:</w:t>
      </w:r>
      <w:r w:rsidRPr="00E71937">
        <w:rPr>
          <w:rFonts w:cs="Arial"/>
          <w:rtl/>
        </w:rPr>
        <w:t xml:space="preserve"> </w:t>
      </w:r>
      <w:r w:rsidRPr="00791B55">
        <w:rPr>
          <w:rFonts w:cs="Arial"/>
          <w:rtl/>
        </w:rPr>
        <w:t>הדירה שלא תלך לבית האבל ולבית המשתה</w:t>
      </w:r>
      <w:r>
        <w:rPr>
          <w:rFonts w:hint="cs"/>
          <w:rtl/>
        </w:rPr>
        <w:t>.</w:t>
      </w:r>
    </w:p>
    <w:p w14:paraId="1A7A19B0" w14:textId="77777777" w:rsidR="002E5BAD" w:rsidRPr="00E71937" w:rsidRDefault="002E5BAD" w:rsidP="002E5BAD">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w:t>
      </w:r>
      <w:r>
        <w:rPr>
          <w:rFonts w:cs="Arial" w:hint="cs"/>
          <w:b/>
          <w:bCs/>
          <w:rtl/>
        </w:rPr>
        <w:t>ב</w:t>
      </w:r>
      <w:r w:rsidRPr="00C60E3E">
        <w:rPr>
          <w:rFonts w:cs="Arial" w:hint="cs"/>
          <w:b/>
          <w:bCs/>
          <w:rtl/>
        </w:rPr>
        <w:t>:</w:t>
      </w:r>
      <w:r>
        <w:rPr>
          <w:rFonts w:cs="Arial"/>
          <w:rtl/>
        </w:rPr>
        <w:t xml:space="preserve"> </w:t>
      </w:r>
      <w:r w:rsidRPr="00C60E3E">
        <w:rPr>
          <w:rFonts w:cs="Arial"/>
          <w:u w:val="double"/>
          <w:rtl/>
        </w:rPr>
        <w:t>מתני'</w:t>
      </w:r>
      <w:r>
        <w:rPr>
          <w:rFonts w:cs="Arial" w:hint="cs"/>
          <w:rtl/>
        </w:rPr>
        <w:t>:</w:t>
      </w:r>
      <w:r>
        <w:rPr>
          <w:rFonts w:hint="cs"/>
          <w:rtl/>
        </w:rPr>
        <w:t>...</w:t>
      </w:r>
      <w:r w:rsidRPr="00EC524B">
        <w:rPr>
          <w:rtl/>
        </w:rPr>
        <w:t xml:space="preserve"> </w:t>
      </w:r>
      <w:r w:rsidRPr="0006721F">
        <w:rPr>
          <w:rFonts w:cs="Arial"/>
          <w:rtl/>
        </w:rPr>
        <w:t>המדיר את אשתו שלא תלך לבית האבל או לבית המשתה - יוציא ויתן כתובה, מפני שנועל בפניה, ואם היה טוען משום דבר אחר - רשאי</w:t>
      </w:r>
      <w:r w:rsidRPr="00EC524B">
        <w:rPr>
          <w:rFonts w:cs="Arial"/>
          <w:rtl/>
        </w:rPr>
        <w:t>.</w:t>
      </w:r>
      <w:r>
        <w:rPr>
          <w:rFonts w:hint="cs"/>
          <w:rtl/>
        </w:rPr>
        <w:t>..</w:t>
      </w:r>
      <w:r w:rsidRPr="009C2D0A">
        <w:rPr>
          <w:rtl/>
        </w:rPr>
        <w:t xml:space="preserve"> </w:t>
      </w:r>
      <w:r>
        <w:rPr>
          <w:rFonts w:hint="cs"/>
          <w:rtl/>
        </w:rPr>
        <w:t xml:space="preserve">     </w:t>
      </w:r>
      <w:r w:rsidRPr="009C2D0A">
        <w:rPr>
          <w:rFonts w:cs="Arial"/>
          <w:u w:val="double"/>
          <w:rtl/>
        </w:rPr>
        <w:t>גמ'</w:t>
      </w:r>
      <w:r>
        <w:rPr>
          <w:rFonts w:cs="Arial" w:hint="cs"/>
          <w:rtl/>
        </w:rPr>
        <w:t>:</w:t>
      </w:r>
      <w:r w:rsidRPr="0006721F">
        <w:rPr>
          <w:rFonts w:cs="Arial"/>
          <w:rtl/>
        </w:rPr>
        <w:t xml:space="preserve">המדיר את אשתו וכו'. בשלמא לבית המשתה </w:t>
      </w:r>
      <w:r>
        <w:rPr>
          <w:rFonts w:cs="Arial"/>
          <w:rtl/>
        </w:rPr>
        <w:t>–</w:t>
      </w:r>
      <w:r>
        <w:rPr>
          <w:rFonts w:cs="Arial" w:hint="cs"/>
          <w:sz w:val="14"/>
          <w:szCs w:val="14"/>
          <w:rtl/>
        </w:rPr>
        <w:t xml:space="preserve">(עב.) </w:t>
      </w:r>
      <w:r>
        <w:rPr>
          <w:rFonts w:cs="Arial"/>
          <w:rtl/>
        </w:rPr>
        <w:t>איכא נועל בפניה</w:t>
      </w:r>
      <w:r>
        <w:rPr>
          <w:rStyle w:val="a7"/>
          <w:rFonts w:cs="Arial"/>
          <w:rtl/>
        </w:rPr>
        <w:footnoteReference w:id="1202"/>
      </w:r>
      <w:r>
        <w:rPr>
          <w:rFonts w:cs="Arial"/>
          <w:rtl/>
        </w:rPr>
        <w:t>, אלא לבית האבל - מאי נועל בפניה איכא? תנא: למחר היא מתה, ואין כל בריה סופדה. ואיכא דאמרי: אין כל בריה סופנה</w:t>
      </w:r>
      <w:r>
        <w:rPr>
          <w:rStyle w:val="a7"/>
          <w:rFonts w:cs="Arial"/>
          <w:rtl/>
        </w:rPr>
        <w:footnoteReference w:id="1203"/>
      </w:r>
      <w:r>
        <w:rPr>
          <w:rFonts w:cs="Arial"/>
          <w:rtl/>
        </w:rPr>
        <w:t>.</w:t>
      </w:r>
      <w:r>
        <w:rPr>
          <w:rFonts w:cs="Arial" w:hint="cs"/>
          <w:rtl/>
        </w:rPr>
        <w:t>...</w:t>
      </w:r>
      <w:r>
        <w:rPr>
          <w:rFonts w:cs="Arial"/>
          <w:rtl/>
        </w:rPr>
        <w:t xml:space="preserve"> ואם היה טוען משום דבר אחר - רשאי. מאי דבר אחר? </w:t>
      </w:r>
      <w:r w:rsidRPr="008A18FF">
        <w:rPr>
          <w:rFonts w:cs="Arial"/>
          <w:u w:val="single"/>
          <w:rtl/>
        </w:rPr>
        <w:t>אמר רב יהודה אמר שמואל</w:t>
      </w:r>
      <w:r>
        <w:rPr>
          <w:rFonts w:cs="Arial"/>
          <w:rtl/>
        </w:rPr>
        <w:t xml:space="preserve">: משום בני אדם פרוצין שמצויין שם. </w:t>
      </w:r>
      <w:r w:rsidRPr="008A18FF">
        <w:rPr>
          <w:rFonts w:cs="Arial"/>
          <w:u w:val="single"/>
          <w:rtl/>
        </w:rPr>
        <w:t>אמר רב אשי</w:t>
      </w:r>
      <w:r>
        <w:rPr>
          <w:rFonts w:cs="Arial"/>
          <w:rtl/>
        </w:rPr>
        <w:t>: לא אמרן אלא דאיתחזק, אבל לא איתחזק - לא כל כמיניה.</w:t>
      </w:r>
    </w:p>
    <w:p w14:paraId="593825A4" w14:textId="77777777" w:rsidR="002E5BAD" w:rsidRPr="00E71937" w:rsidRDefault="002E5BAD" w:rsidP="002E5BAD">
      <w:pPr>
        <w:rPr>
          <w:u w:val="single"/>
          <w:rtl/>
        </w:rPr>
      </w:pPr>
      <w:r w:rsidRPr="00E71937">
        <w:rPr>
          <w:rFonts w:cs="Arial"/>
          <w:u w:val="single"/>
          <w:rtl/>
        </w:rPr>
        <w:t>הדירה שלא תלך לבית האבל ולבית המשתה</w:t>
      </w:r>
      <w:r w:rsidRPr="00E71937">
        <w:rPr>
          <w:rFonts w:hint="cs"/>
          <w:u w:val="single"/>
          <w:rtl/>
        </w:rPr>
        <w:t>:</w:t>
      </w:r>
    </w:p>
    <w:p w14:paraId="5A08E0F7" w14:textId="77777777" w:rsidR="002E5BAD" w:rsidRDefault="002E5BAD" w:rsidP="002E5BAD">
      <w:pPr>
        <w:pStyle w:val="ab"/>
        <w:numPr>
          <w:ilvl w:val="0"/>
          <w:numId w:val="136"/>
        </w:numPr>
        <w:rPr>
          <w:rFonts w:cs="Arial"/>
        </w:rPr>
      </w:pPr>
      <w:r>
        <w:rPr>
          <w:rFonts w:cs="Arial" w:hint="cs"/>
          <w:rtl/>
        </w:rPr>
        <w:t xml:space="preserve">טור- </w:t>
      </w:r>
      <w:r w:rsidRPr="00791B55">
        <w:rPr>
          <w:rFonts w:cs="Arial"/>
          <w:rtl/>
        </w:rPr>
        <w:t>הדירה שלא תלך לבית האבל ולבית המשתה</w:t>
      </w:r>
      <w:r>
        <w:rPr>
          <w:rFonts w:cs="Arial" w:hint="cs"/>
          <w:rtl/>
        </w:rPr>
        <w:t>,</w:t>
      </w:r>
      <w:r w:rsidRPr="00791B55">
        <w:rPr>
          <w:rFonts w:cs="Arial"/>
          <w:rtl/>
        </w:rPr>
        <w:t xml:space="preserve"> אם נדרה היא שאמרה קונם תשמישך עלי אם אלך</w:t>
      </w:r>
      <w:r>
        <w:rPr>
          <w:rFonts w:cs="Arial" w:hint="cs"/>
          <w:rtl/>
        </w:rPr>
        <w:t>,</w:t>
      </w:r>
      <w:r w:rsidRPr="00791B55">
        <w:rPr>
          <w:rFonts w:cs="Arial"/>
          <w:rtl/>
        </w:rPr>
        <w:t xml:space="preserve"> וקיים לה </w:t>
      </w:r>
      <w:r>
        <w:rPr>
          <w:rFonts w:cs="Arial" w:hint="cs"/>
          <w:rtl/>
        </w:rPr>
        <w:t xml:space="preserve">- </w:t>
      </w:r>
      <w:r w:rsidRPr="00791B55">
        <w:rPr>
          <w:rFonts w:cs="Arial"/>
          <w:rtl/>
        </w:rPr>
        <w:t>יוציא מיד ויתן לה כתובה</w:t>
      </w:r>
      <w:r>
        <w:rPr>
          <w:rStyle w:val="a7"/>
          <w:rFonts w:cs="Arial"/>
          <w:rtl/>
        </w:rPr>
        <w:footnoteReference w:id="1204"/>
      </w:r>
      <w:r>
        <w:rPr>
          <w:rFonts w:cs="Arial" w:hint="cs"/>
          <w:rtl/>
        </w:rPr>
        <w:t>.</w:t>
      </w:r>
      <w:r w:rsidRPr="008A18FF">
        <w:rPr>
          <w:rFonts w:cs="Arial"/>
          <w:rtl/>
        </w:rPr>
        <w:t xml:space="preserve"> </w:t>
      </w:r>
      <w:r w:rsidRPr="00791B55">
        <w:rPr>
          <w:rFonts w:cs="Arial"/>
          <w:rtl/>
        </w:rPr>
        <w:t>ואם הדירה הוא שאמר קונם תשמישך עלי אם תלך</w:t>
      </w:r>
      <w:r>
        <w:rPr>
          <w:rFonts w:cs="Arial" w:hint="cs"/>
          <w:rtl/>
        </w:rPr>
        <w:t xml:space="preserve"> -</w:t>
      </w:r>
      <w:r w:rsidRPr="00791B55">
        <w:rPr>
          <w:rFonts w:cs="Arial"/>
          <w:rtl/>
        </w:rPr>
        <w:t xml:space="preserve"> יוציא לאחר ז' ימים</w:t>
      </w:r>
      <w:r>
        <w:rPr>
          <w:rStyle w:val="a7"/>
          <w:rFonts w:cs="Arial"/>
          <w:rtl/>
        </w:rPr>
        <w:footnoteReference w:id="1205"/>
      </w:r>
      <w:r>
        <w:rPr>
          <w:rFonts w:cs="Arial" w:hint="cs"/>
          <w:rtl/>
        </w:rPr>
        <w:t>.</w:t>
      </w:r>
      <w:r w:rsidRPr="00791B55">
        <w:rPr>
          <w:rFonts w:cs="Arial"/>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 xml:space="preserve">[כאן ובסע' </w:t>
      </w:r>
      <w:r>
        <w:rPr>
          <w:rFonts w:cs="Arial" w:hint="cs"/>
          <w:color w:val="000000" w:themeColor="text1"/>
          <w:sz w:val="16"/>
          <w:szCs w:val="16"/>
          <w:rtl/>
        </w:rPr>
        <w:t>ו</w:t>
      </w:r>
      <w:r w:rsidRPr="008A18FF">
        <w:rPr>
          <w:rFonts w:cs="Arial" w:hint="cs"/>
          <w:color w:val="000000" w:themeColor="text1"/>
          <w:sz w:val="16"/>
          <w:szCs w:val="16"/>
          <w:rtl/>
        </w:rPr>
        <w:t>]</w:t>
      </w:r>
      <w:r w:rsidRPr="008015A2">
        <w:rPr>
          <w:rFonts w:cs="Arial" w:hint="cs"/>
          <w:color w:val="E36C0A" w:themeColor="accent6" w:themeShade="BF"/>
          <w:rtl/>
        </w:rPr>
        <w:t>)</w:t>
      </w:r>
    </w:p>
    <w:p w14:paraId="21AB3C26"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(פי"ג הי"ג)</w:t>
      </w:r>
      <w:r>
        <w:rPr>
          <w:rFonts w:cs="Arial" w:hint="cs"/>
          <w:rtl/>
        </w:rPr>
        <w:t xml:space="preserve">- </w:t>
      </w:r>
      <w:r w:rsidRPr="008A18FF">
        <w:rPr>
          <w:rFonts w:cs="Arial"/>
          <w:rtl/>
        </w:rPr>
        <w:t>המדיר את אשתו שלא תלך לבית האבל ולבית המשתה</w:t>
      </w:r>
      <w:r>
        <w:rPr>
          <w:rFonts w:cs="Arial" w:hint="cs"/>
          <w:rtl/>
        </w:rPr>
        <w:t xml:space="preserve"> -</w:t>
      </w:r>
      <w:r w:rsidRPr="008A18FF">
        <w:rPr>
          <w:rFonts w:cs="Arial"/>
          <w:rtl/>
        </w:rPr>
        <w:t xml:space="preserve"> או יתיר נדרו</w:t>
      </w:r>
      <w:r>
        <w:rPr>
          <w:rFonts w:cs="Arial" w:hint="cs"/>
          <w:rtl/>
        </w:rPr>
        <w:t>,</w:t>
      </w:r>
      <w:r w:rsidRPr="008A18FF">
        <w:rPr>
          <w:rFonts w:cs="Arial"/>
          <w:rtl/>
        </w:rPr>
        <w:t xml:space="preserve"> או יוציא ויתן כתובה</w:t>
      </w:r>
      <w:r>
        <w:rPr>
          <w:rFonts w:cs="Arial" w:hint="cs"/>
          <w:rtl/>
        </w:rPr>
        <w:t>,</w:t>
      </w:r>
      <w:r w:rsidRPr="008A18FF">
        <w:rPr>
          <w:rFonts w:cs="Arial"/>
          <w:rtl/>
        </w:rPr>
        <w:t xml:space="preserve"> שזה כמי שאסרה בבית הסוהר ונעל בפניה</w:t>
      </w:r>
      <w:r>
        <w:rPr>
          <w:rStyle w:val="a7"/>
          <w:rFonts w:cs="Arial"/>
          <w:rtl/>
        </w:rPr>
        <w:footnoteReference w:id="1206"/>
      </w:r>
      <w:r>
        <w:rPr>
          <w:rFonts w:cs="Arial" w:hint="cs"/>
          <w:rtl/>
        </w:rPr>
        <w:t>.</w:t>
      </w:r>
    </w:p>
    <w:p w14:paraId="412F3E2B" w14:textId="77777777" w:rsidR="002E5BAD" w:rsidRPr="008A18FF" w:rsidRDefault="002E5BAD" w:rsidP="002E5BAD">
      <w:pPr>
        <w:ind w:left="360"/>
        <w:rPr>
          <w:rFonts w:cs="Arial"/>
          <w:u w:val="dotted"/>
        </w:rPr>
      </w:pPr>
      <w:r w:rsidRPr="008A18FF">
        <w:rPr>
          <w:rFonts w:cs="Arial" w:hint="cs"/>
          <w:u w:val="dotted"/>
          <w:rtl/>
        </w:rPr>
        <w:t xml:space="preserve">ומה הדין אם </w:t>
      </w:r>
      <w:r>
        <w:rPr>
          <w:rFonts w:cs="Arial" w:hint="cs"/>
          <w:u w:val="dotted"/>
          <w:rtl/>
        </w:rPr>
        <w:t>הדירנ מלילך</w:t>
      </w:r>
      <w:r w:rsidRPr="008A18FF">
        <w:rPr>
          <w:rFonts w:cs="Arial" w:hint="cs"/>
          <w:u w:val="dotted"/>
          <w:rtl/>
        </w:rPr>
        <w:t xml:space="preserve"> לבית המשתה משום הפריצות שיש שם:</w:t>
      </w:r>
    </w:p>
    <w:p w14:paraId="4C70D295" w14:textId="77777777" w:rsidR="002E5BAD" w:rsidRPr="00791B55"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 xml:space="preserve">(שם) </w:t>
      </w:r>
      <w:r>
        <w:rPr>
          <w:rFonts w:cs="Arial" w:hint="cs"/>
          <w:rtl/>
        </w:rPr>
        <w:t xml:space="preserve">וטור- </w:t>
      </w:r>
      <w:r w:rsidRPr="00791B55">
        <w:rPr>
          <w:rFonts w:cs="Arial"/>
          <w:rtl/>
        </w:rPr>
        <w:t>ואם טוען הדרתיה בשביל בני אדם פריצים המצויין שם</w:t>
      </w:r>
      <w:r>
        <w:rPr>
          <w:rFonts w:cs="Arial" w:hint="cs"/>
          <w:rtl/>
        </w:rPr>
        <w:t>,</w:t>
      </w:r>
      <w:r w:rsidRPr="00791B55">
        <w:rPr>
          <w:rFonts w:cs="Arial"/>
          <w:rtl/>
        </w:rPr>
        <w:t xml:space="preserve"> אם הוחזקו שם </w:t>
      </w:r>
      <w:r>
        <w:rPr>
          <w:rFonts w:cs="Arial" w:hint="cs"/>
          <w:rtl/>
        </w:rPr>
        <w:t xml:space="preserve">- </w:t>
      </w:r>
      <w:r w:rsidRPr="00791B55">
        <w:rPr>
          <w:rFonts w:cs="Arial"/>
          <w:rtl/>
        </w:rPr>
        <w:t>נאמן</w:t>
      </w:r>
      <w:r>
        <w:rPr>
          <w:rFonts w:cs="Arial" w:hint="cs"/>
          <w:rtl/>
        </w:rPr>
        <w:t>.</w:t>
      </w:r>
      <w:r w:rsidRPr="00791B55">
        <w:rPr>
          <w:rFonts w:cs="Arial"/>
          <w:rtl/>
        </w:rPr>
        <w:t xml:space="preserve"> ואם לא הוחזקו </w:t>
      </w:r>
      <w:r>
        <w:rPr>
          <w:rFonts w:cs="Arial" w:hint="cs"/>
          <w:rtl/>
        </w:rPr>
        <w:t xml:space="preserve">- </w:t>
      </w:r>
      <w:r w:rsidRPr="00791B55">
        <w:rPr>
          <w:rFonts w:cs="Arial"/>
          <w:rtl/>
        </w:rPr>
        <w:t>אינו נאמן</w:t>
      </w:r>
      <w:r>
        <w:rPr>
          <w:rFonts w:cs="Arial" w:hint="cs"/>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 xml:space="preserve">[בסע' </w:t>
      </w:r>
      <w:r>
        <w:rPr>
          <w:rFonts w:cs="Arial" w:hint="cs"/>
          <w:color w:val="000000" w:themeColor="text1"/>
          <w:sz w:val="16"/>
          <w:szCs w:val="16"/>
          <w:rtl/>
        </w:rPr>
        <w:t>ו</w:t>
      </w:r>
      <w:r w:rsidRPr="008A18FF">
        <w:rPr>
          <w:rFonts w:cs="Arial" w:hint="cs"/>
          <w:color w:val="000000" w:themeColor="text1"/>
          <w:sz w:val="16"/>
          <w:szCs w:val="16"/>
          <w:rtl/>
        </w:rPr>
        <w:t>]</w:t>
      </w:r>
      <w:r w:rsidRPr="008015A2">
        <w:rPr>
          <w:rFonts w:cs="Arial" w:hint="cs"/>
          <w:color w:val="E36C0A" w:themeColor="accent6" w:themeShade="BF"/>
          <w:rtl/>
        </w:rPr>
        <w:t>)</w:t>
      </w:r>
    </w:p>
    <w:p w14:paraId="1F4B8B9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03754E2" w14:textId="77777777" w:rsidR="002E5BAD" w:rsidRDefault="002E5BAD" w:rsidP="002E5BAD">
      <w:pPr>
        <w:rPr>
          <w:rtl/>
        </w:rPr>
      </w:pPr>
      <w:r>
        <w:rPr>
          <w:rFonts w:cs="Arial"/>
          <w:rtl/>
        </w:rPr>
        <w:t xml:space="preserve">נדרה היא ואמרה: קונם הנאת תשמישך עלי אם אלך לבית האבל או לבית המשתה, ושמע ולא הפר, יוציא מיד ויתן כתובה. </w:t>
      </w:r>
    </w:p>
    <w:p w14:paraId="55C035F2" w14:textId="77777777" w:rsidR="002E5BAD" w:rsidRDefault="002E5BAD" w:rsidP="002E5BAD">
      <w:pPr>
        <w:rPr>
          <w:rtl/>
        </w:rPr>
      </w:pPr>
    </w:p>
    <w:p w14:paraId="49E26892" w14:textId="77777777" w:rsidR="002E5BAD" w:rsidRDefault="002E5BAD" w:rsidP="002E5BAD">
      <w:pPr>
        <w:pStyle w:val="2"/>
        <w:rPr>
          <w:rtl/>
        </w:rPr>
      </w:pPr>
      <w:r>
        <w:rPr>
          <w:rtl/>
        </w:rPr>
        <w:lastRenderedPageBreak/>
        <w:t>סעיף ו</w:t>
      </w:r>
      <w:r>
        <w:rPr>
          <w:rFonts w:hint="cs"/>
          <w:rtl/>
        </w:rPr>
        <w:t>:</w:t>
      </w:r>
      <w:r w:rsidRPr="008A18FF">
        <w:rPr>
          <w:rFonts w:cs="Arial"/>
          <w:rtl/>
        </w:rPr>
        <w:t xml:space="preserve"> </w:t>
      </w:r>
      <w:r w:rsidRPr="00791B55">
        <w:rPr>
          <w:rFonts w:cs="Arial"/>
          <w:rtl/>
        </w:rPr>
        <w:t>הדירה שלא תלך לבית המשתה</w:t>
      </w:r>
      <w:r>
        <w:rPr>
          <w:rFonts w:cs="Arial" w:hint="cs"/>
          <w:rtl/>
        </w:rPr>
        <w:t xml:space="preserve"> משום פריצות.</w:t>
      </w:r>
    </w:p>
    <w:p w14:paraId="0DD272D9" w14:textId="77777777" w:rsidR="002E5BAD" w:rsidRDefault="002E5BAD" w:rsidP="002E5BAD">
      <w:pPr>
        <w:rPr>
          <w:rtl/>
        </w:rPr>
      </w:pPr>
      <w:r>
        <w:rPr>
          <w:rFonts w:hint="cs"/>
          <w:rtl/>
        </w:rPr>
        <w:t>עיין במקורות בסעיף הקודם.</w:t>
      </w:r>
    </w:p>
    <w:p w14:paraId="5D8C9F1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6BFE7EE" w14:textId="77777777" w:rsidR="002E5BAD" w:rsidRDefault="002E5BAD" w:rsidP="002E5BAD">
      <w:pPr>
        <w:rPr>
          <w:rtl/>
        </w:rPr>
      </w:pPr>
      <w:r>
        <w:rPr>
          <w:rFonts w:cs="Arial"/>
          <w:rtl/>
        </w:rPr>
        <w:t>ואם הדיר הוא, שאמר: קונם הנאת תשמישך עלי אם תלכי, יוציא לאחר שבעה ימים ויתן כתובתה. ואם טוען: הדרתיה בשביל בני אדם פרוצים המצויים שם, אם הוחזקו שם, נאמן</w:t>
      </w:r>
      <w:r>
        <w:rPr>
          <w:rFonts w:cs="Arial" w:hint="cs"/>
          <w:rtl/>
        </w:rPr>
        <w:t>.</w:t>
      </w:r>
      <w:r>
        <w:rPr>
          <w:rFonts w:cs="Arial"/>
          <w:rtl/>
        </w:rPr>
        <w:t xml:space="preserve"> ואם לאו, אינו נאמן. </w:t>
      </w:r>
    </w:p>
    <w:p w14:paraId="3B31869A" w14:textId="77777777" w:rsidR="002E5BAD" w:rsidRDefault="002E5BAD" w:rsidP="002E5BAD">
      <w:pPr>
        <w:rPr>
          <w:rtl/>
        </w:rPr>
      </w:pPr>
    </w:p>
    <w:p w14:paraId="7605A692" w14:textId="77777777" w:rsidR="002E5BAD" w:rsidRDefault="002E5BAD" w:rsidP="002E5BAD">
      <w:pPr>
        <w:pStyle w:val="2"/>
        <w:rPr>
          <w:rtl/>
        </w:rPr>
      </w:pPr>
      <w:r>
        <w:rPr>
          <w:rtl/>
        </w:rPr>
        <w:t>סעיף ז</w:t>
      </w:r>
      <w:r>
        <w:rPr>
          <w:rFonts w:hint="cs"/>
          <w:rtl/>
        </w:rPr>
        <w:t>:</w:t>
      </w:r>
      <w:r w:rsidRPr="00C424A2">
        <w:rPr>
          <w:rFonts w:cs="Arial"/>
          <w:rtl/>
        </w:rPr>
        <w:t xml:space="preserve"> </w:t>
      </w:r>
      <w:r>
        <w:rPr>
          <w:rFonts w:cs="Arial"/>
          <w:rtl/>
        </w:rPr>
        <w:t>הדירה שלא תלך למרחץ</w:t>
      </w:r>
      <w:r>
        <w:rPr>
          <w:rFonts w:hint="cs"/>
          <w:rtl/>
        </w:rPr>
        <w:t xml:space="preserve"> או שלא תנעל מנעל.</w:t>
      </w:r>
    </w:p>
    <w:p w14:paraId="51D42D11" w14:textId="77777777" w:rsidR="002E5BAD" w:rsidRDefault="002E5BAD" w:rsidP="002E5BAD">
      <w:pPr>
        <w:rPr>
          <w:rtl/>
        </w:rPr>
      </w:pPr>
      <w:r w:rsidRPr="00C424A2">
        <w:rPr>
          <w:rFonts w:cs="Arial" w:hint="cs"/>
          <w:b/>
          <w:bCs/>
          <w:rtl/>
        </w:rPr>
        <w:t>ירושלמי כתובות פ"ז ה"ד:</w:t>
      </w:r>
      <w:r>
        <w:rPr>
          <w:rFonts w:cs="Arial" w:hint="cs"/>
          <w:rtl/>
        </w:rPr>
        <w:t xml:space="preserve"> </w:t>
      </w:r>
      <w:r w:rsidRPr="00C424A2">
        <w:rPr>
          <w:rFonts w:cs="Arial"/>
          <w:u w:val="double"/>
          <w:rtl/>
        </w:rPr>
        <w:t>מתני'</w:t>
      </w:r>
      <w:r>
        <w:rPr>
          <w:rFonts w:cs="Arial" w:hint="cs"/>
          <w:rtl/>
        </w:rPr>
        <w:t>:</w:t>
      </w:r>
      <w:r w:rsidRPr="00C424A2">
        <w:rPr>
          <w:rFonts w:cs="Arial"/>
          <w:rtl/>
        </w:rPr>
        <w:t xml:space="preserve"> המדיר את אשתו שלא תלך לבית אביה</w:t>
      </w:r>
      <w:r>
        <w:rPr>
          <w:rFonts w:cs="Arial" w:hint="cs"/>
          <w:rtl/>
        </w:rPr>
        <w:t>,</w:t>
      </w:r>
      <w:r w:rsidRPr="00C424A2">
        <w:rPr>
          <w:rFonts w:cs="Arial"/>
          <w:rtl/>
        </w:rPr>
        <w:t xml:space="preserve"> בזמן שהן עמה בעיר</w:t>
      </w:r>
      <w:r>
        <w:rPr>
          <w:rFonts w:cs="Arial" w:hint="cs"/>
          <w:rtl/>
        </w:rPr>
        <w:t>,</w:t>
      </w:r>
      <w:r w:rsidRPr="00C424A2">
        <w:rPr>
          <w:rFonts w:cs="Arial"/>
          <w:rtl/>
        </w:rPr>
        <w:t xml:space="preserve"> חדש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r w:rsidRPr="00C424A2">
        <w:rPr>
          <w:rFonts w:cs="Arial"/>
          <w:rtl/>
        </w:rPr>
        <w:t xml:space="preserve"> בזמן שהן בעיר אחרת</w:t>
      </w:r>
      <w:r>
        <w:rPr>
          <w:rFonts w:cs="Arial" w:hint="cs"/>
          <w:rtl/>
        </w:rPr>
        <w:t>,</w:t>
      </w:r>
      <w:r w:rsidRPr="00C424A2">
        <w:rPr>
          <w:rFonts w:cs="Arial"/>
          <w:rtl/>
        </w:rPr>
        <w:t xml:space="preserve"> רגל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 xml:space="preserve">.      </w:t>
      </w:r>
      <w:r w:rsidRPr="00C424A2">
        <w:rPr>
          <w:rFonts w:cs="Arial"/>
          <w:rtl/>
        </w:rPr>
        <w:t xml:space="preserve"> </w:t>
      </w:r>
      <w:r w:rsidRPr="00C424A2">
        <w:rPr>
          <w:rFonts w:cs="Arial"/>
          <w:u w:val="double"/>
          <w:rtl/>
        </w:rPr>
        <w:t>גמ'</w:t>
      </w:r>
      <w:r>
        <w:rPr>
          <w:rFonts w:cs="Arial" w:hint="cs"/>
          <w:rtl/>
        </w:rPr>
        <w:t>:</w:t>
      </w:r>
      <w:r w:rsidRPr="00C424A2">
        <w:rPr>
          <w:rFonts w:cs="Arial"/>
          <w:rtl/>
        </w:rPr>
        <w:t xml:space="preserve"> </w:t>
      </w:r>
      <w:r w:rsidRPr="00C424A2">
        <w:rPr>
          <w:rFonts w:cs="Arial"/>
          <w:u w:val="single"/>
          <w:rtl/>
        </w:rPr>
        <w:t>אמר רבי זעירא</w:t>
      </w:r>
      <w:r>
        <w:rPr>
          <w:rFonts w:cs="Arial" w:hint="cs"/>
          <w:rtl/>
        </w:rPr>
        <w:t xml:space="preserve">: </w:t>
      </w:r>
      <w:r w:rsidRPr="00C424A2">
        <w:rPr>
          <w:rFonts w:cs="Arial"/>
          <w:rtl/>
        </w:rPr>
        <w:t>תני תמן הדירה שלא תרחצי במרחץ</w:t>
      </w:r>
      <w:r>
        <w:rPr>
          <w:rFonts w:cs="Arial" w:hint="cs"/>
          <w:rtl/>
        </w:rPr>
        <w:t>,</w:t>
      </w:r>
      <w:r w:rsidRPr="00C424A2">
        <w:rPr>
          <w:rFonts w:cs="Arial"/>
          <w:rtl/>
        </w:rPr>
        <w:t xml:space="preserve"> בכרכים </w:t>
      </w:r>
      <w:r>
        <w:rPr>
          <w:rFonts w:cs="Arial" w:hint="cs"/>
          <w:rtl/>
        </w:rPr>
        <w:t xml:space="preserve">- </w:t>
      </w:r>
      <w:r w:rsidRPr="00C424A2">
        <w:rPr>
          <w:rFonts w:cs="Arial"/>
          <w:rtl/>
        </w:rPr>
        <w:t>שבת אחת</w:t>
      </w:r>
      <w:r>
        <w:rPr>
          <w:rFonts w:cs="Arial" w:hint="cs"/>
          <w:rtl/>
        </w:rPr>
        <w:t>,</w:t>
      </w:r>
      <w:r w:rsidRPr="00C424A2">
        <w:rPr>
          <w:rFonts w:cs="Arial"/>
          <w:rtl/>
        </w:rPr>
        <w:t xml:space="preserve"> ובכפרים </w:t>
      </w:r>
      <w:r>
        <w:rPr>
          <w:rFonts w:cs="Arial" w:hint="cs"/>
          <w:rtl/>
        </w:rPr>
        <w:t xml:space="preserve">- </w:t>
      </w:r>
      <w:r w:rsidRPr="00C424A2">
        <w:rPr>
          <w:rFonts w:cs="Arial"/>
          <w:rtl/>
        </w:rPr>
        <w:t>שתי שבתות</w:t>
      </w:r>
      <w:r>
        <w:rPr>
          <w:rFonts w:cs="Arial" w:hint="cs"/>
          <w:rtl/>
        </w:rPr>
        <w:t>.</w:t>
      </w:r>
      <w:r w:rsidRPr="00C424A2">
        <w:rPr>
          <w:rFonts w:cs="Arial"/>
          <w:rtl/>
        </w:rPr>
        <w:t xml:space="preserve"> שלא תנעלי מנעל</w:t>
      </w:r>
      <w:r>
        <w:rPr>
          <w:rFonts w:cs="Arial" w:hint="cs"/>
          <w:rtl/>
        </w:rPr>
        <w:t>,</w:t>
      </w:r>
      <w:r w:rsidRPr="00C424A2">
        <w:rPr>
          <w:rFonts w:cs="Arial"/>
          <w:rtl/>
        </w:rPr>
        <w:t xml:space="preserve"> בכפרים </w:t>
      </w:r>
      <w:r>
        <w:rPr>
          <w:rFonts w:cs="Arial" w:hint="cs"/>
          <w:rtl/>
        </w:rPr>
        <w:t xml:space="preserve">- </w:t>
      </w:r>
      <w:r w:rsidRPr="00C424A2">
        <w:rPr>
          <w:rFonts w:cs="Arial"/>
          <w:rtl/>
        </w:rPr>
        <w:t xml:space="preserve">שלשה </w:t>
      </w:r>
      <w:r>
        <w:rPr>
          <w:rStyle w:val="a7"/>
          <w:rFonts w:cs="Arial"/>
          <w:rtl/>
        </w:rPr>
        <w:footnoteReference w:id="1207"/>
      </w:r>
      <w:r>
        <w:rPr>
          <w:rFonts w:cs="Arial" w:hint="cs"/>
          <w:rtl/>
        </w:rPr>
        <w:t>[ימים],</w:t>
      </w:r>
      <w:r w:rsidRPr="00C424A2">
        <w:rPr>
          <w:rFonts w:cs="Arial"/>
          <w:rtl/>
        </w:rPr>
        <w:t xml:space="preserve"> ובכרכים </w:t>
      </w:r>
      <w:r>
        <w:rPr>
          <w:rFonts w:cs="Arial" w:hint="cs"/>
          <w:rtl/>
        </w:rPr>
        <w:t xml:space="preserve">- </w:t>
      </w:r>
      <w:r w:rsidRPr="00C424A2">
        <w:rPr>
          <w:rFonts w:cs="Arial"/>
          <w:rtl/>
        </w:rPr>
        <w:t>מעת לעת</w:t>
      </w:r>
      <w:r>
        <w:rPr>
          <w:rFonts w:cs="Arial" w:hint="cs"/>
          <w:rtl/>
        </w:rPr>
        <w:t>.</w:t>
      </w:r>
    </w:p>
    <w:p w14:paraId="53D1D318" w14:textId="77777777" w:rsidR="002E5BAD" w:rsidRPr="00C424A2" w:rsidRDefault="002E5BAD" w:rsidP="002E5BAD">
      <w:pPr>
        <w:rPr>
          <w:u w:val="single"/>
          <w:rtl/>
        </w:rPr>
      </w:pPr>
      <w:r w:rsidRPr="00C424A2">
        <w:rPr>
          <w:rFonts w:cs="Arial"/>
          <w:u w:val="single"/>
          <w:rtl/>
        </w:rPr>
        <w:t>הדירה שלא תלך למרחץ</w:t>
      </w:r>
      <w:r w:rsidRPr="00C424A2">
        <w:rPr>
          <w:rFonts w:hint="cs"/>
          <w:u w:val="single"/>
          <w:rtl/>
        </w:rPr>
        <w:t xml:space="preserve"> או שלא תנעל מנעל:</w:t>
      </w:r>
    </w:p>
    <w:p w14:paraId="339C2B77"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(פי"ג ה"ט)</w:t>
      </w:r>
      <w:r>
        <w:rPr>
          <w:rFonts w:cs="Arial" w:hint="cs"/>
          <w:rtl/>
        </w:rPr>
        <w:t xml:space="preserve">- </w:t>
      </w:r>
      <w:r w:rsidRPr="00AD1B78">
        <w:rPr>
          <w:rFonts w:cs="Arial"/>
          <w:rtl/>
        </w:rPr>
        <w:t xml:space="preserve">הדירה שלא תלך למרחץ, בכרכים </w:t>
      </w:r>
      <w:r>
        <w:rPr>
          <w:rFonts w:cs="Arial" w:hint="cs"/>
          <w:rtl/>
        </w:rPr>
        <w:t xml:space="preserve">- </w:t>
      </w:r>
      <w:r w:rsidRPr="00AD1B78">
        <w:rPr>
          <w:rFonts w:cs="Arial"/>
          <w:rtl/>
        </w:rPr>
        <w:t>שבת אחת</w:t>
      </w:r>
      <w:r>
        <w:rPr>
          <w:rFonts w:cs="Arial" w:hint="cs"/>
          <w:rtl/>
        </w:rPr>
        <w:t>,</w:t>
      </w:r>
      <w:r w:rsidRPr="00AD1B78">
        <w:rPr>
          <w:rFonts w:cs="Arial"/>
          <w:rtl/>
        </w:rPr>
        <w:t xml:space="preserve"> ובכפרים </w:t>
      </w:r>
      <w:r>
        <w:rPr>
          <w:rFonts w:cs="Arial" w:hint="cs"/>
          <w:rtl/>
        </w:rPr>
        <w:t xml:space="preserve">- </w:t>
      </w:r>
      <w:r w:rsidRPr="00AD1B78">
        <w:rPr>
          <w:rFonts w:cs="Arial"/>
          <w:rtl/>
        </w:rPr>
        <w:t>שתי שבתות</w:t>
      </w:r>
      <w:r>
        <w:rPr>
          <w:rFonts w:cs="Arial" w:hint="cs"/>
          <w:rtl/>
        </w:rPr>
        <w:t>.</w:t>
      </w:r>
      <w:r w:rsidRPr="00AD1B78">
        <w:rPr>
          <w:rFonts w:cs="Arial"/>
          <w:rtl/>
        </w:rPr>
        <w:t xml:space="preserve"> שלא תנעול מנעל, בכפרים </w:t>
      </w:r>
      <w:r>
        <w:rPr>
          <w:rFonts w:cs="Arial" w:hint="cs"/>
          <w:rtl/>
        </w:rPr>
        <w:t xml:space="preserve">- </w:t>
      </w:r>
      <w:r w:rsidRPr="00AD1B78">
        <w:rPr>
          <w:rFonts w:cs="Arial"/>
          <w:rtl/>
        </w:rPr>
        <w:t>שלשה ימים</w:t>
      </w:r>
      <w:r>
        <w:rPr>
          <w:rFonts w:cs="Arial" w:hint="cs"/>
          <w:rtl/>
        </w:rPr>
        <w:t>,</w:t>
      </w:r>
      <w:r w:rsidRPr="00AD1B78">
        <w:rPr>
          <w:rFonts w:cs="Arial"/>
          <w:rtl/>
        </w:rPr>
        <w:t xml:space="preserve"> ובכרכים </w:t>
      </w:r>
      <w:r>
        <w:rPr>
          <w:rFonts w:cs="Arial" w:hint="cs"/>
          <w:rtl/>
        </w:rPr>
        <w:t xml:space="preserve">- </w:t>
      </w:r>
      <w:r w:rsidRPr="00AD1B78">
        <w:rPr>
          <w:rFonts w:cs="Arial"/>
          <w:rtl/>
        </w:rPr>
        <w:t xml:space="preserve">מעת לעת, </w:t>
      </w:r>
      <w:r>
        <w:rPr>
          <w:rStyle w:val="a7"/>
          <w:rFonts w:cs="Arial"/>
          <w:rtl/>
        </w:rPr>
        <w:footnoteReference w:id="1208"/>
      </w:r>
      <w:r w:rsidRPr="00AD1B78">
        <w:rPr>
          <w:rFonts w:cs="Arial"/>
          <w:rtl/>
        </w:rPr>
        <w:t xml:space="preserve">יתר על זה </w:t>
      </w:r>
      <w:r>
        <w:rPr>
          <w:rFonts w:cs="Arial" w:hint="cs"/>
          <w:rtl/>
        </w:rPr>
        <w:t xml:space="preserve">- </w:t>
      </w:r>
      <w:r w:rsidRPr="00AD1B78">
        <w:rPr>
          <w:rFonts w:cs="Arial"/>
          <w:rtl/>
        </w:rPr>
        <w:t xml:space="preserve">יתיר נדרו או יוציא ויתן כתובה. </w:t>
      </w:r>
      <w:r w:rsidRPr="008015A2">
        <w:rPr>
          <w:rFonts w:cs="Arial" w:hint="cs"/>
          <w:color w:val="E36C0A" w:themeColor="accent6" w:themeShade="BF"/>
          <w:rtl/>
        </w:rPr>
        <w:t>(וכ"פ בשו"ע)</w:t>
      </w:r>
    </w:p>
    <w:p w14:paraId="093C55B7" w14:textId="77777777" w:rsidR="002E5BAD" w:rsidRPr="001B5E5A" w:rsidRDefault="002E5BAD" w:rsidP="002E5BAD">
      <w:pPr>
        <w:ind w:left="360"/>
        <w:rPr>
          <w:rFonts w:cs="Arial"/>
          <w:u w:val="dotted"/>
        </w:rPr>
      </w:pPr>
      <w:r w:rsidRPr="001B5E5A">
        <w:rPr>
          <w:rFonts w:cs="Arial" w:hint="cs"/>
          <w:u w:val="dotted"/>
          <w:rtl/>
        </w:rPr>
        <w:t>ומה הדין אם אמר לה כן אבל תלה בתשמיש:</w:t>
      </w:r>
    </w:p>
    <w:p w14:paraId="6AB10D04" w14:textId="77777777" w:rsidR="002E5BAD" w:rsidRPr="001B5E5A" w:rsidRDefault="002E5BAD" w:rsidP="002E5BAD">
      <w:pPr>
        <w:pStyle w:val="ab"/>
        <w:numPr>
          <w:ilvl w:val="0"/>
          <w:numId w:val="136"/>
        </w:numPr>
        <w:rPr>
          <w:rFonts w:cs="Arial"/>
        </w:rPr>
      </w:pPr>
      <w:r>
        <w:rPr>
          <w:rFonts w:cs="Arial" w:hint="cs"/>
          <w:rtl/>
        </w:rPr>
        <w:t xml:space="preserve">ב"י </w:t>
      </w:r>
      <w:r>
        <w:rPr>
          <w:rFonts w:cs="Arial" w:hint="cs"/>
          <w:sz w:val="16"/>
          <w:szCs w:val="16"/>
          <w:rtl/>
        </w:rPr>
        <w:t xml:space="preserve">(בבדה"ב) </w:t>
      </w:r>
      <w:r>
        <w:rPr>
          <w:rFonts w:cs="Arial" w:hint="cs"/>
          <w:rtl/>
        </w:rPr>
        <w:t xml:space="preserve">בשם הטור- </w:t>
      </w:r>
      <w:r w:rsidRPr="001B5E5A">
        <w:rPr>
          <w:rFonts w:cs="Arial"/>
          <w:rtl/>
        </w:rPr>
        <w:t xml:space="preserve">ולפי מה שנתבאר בדברי רבינו </w:t>
      </w:r>
      <w:r>
        <w:rPr>
          <w:rFonts w:cs="Arial" w:hint="cs"/>
          <w:sz w:val="16"/>
          <w:szCs w:val="16"/>
          <w:rtl/>
        </w:rPr>
        <w:t xml:space="preserve"> (הטור)</w:t>
      </w:r>
      <w:r>
        <w:rPr>
          <w:rFonts w:cs="Arial" w:hint="cs"/>
          <w:rtl/>
        </w:rPr>
        <w:t xml:space="preserve"> </w:t>
      </w:r>
      <w:r w:rsidRPr="001B5E5A">
        <w:rPr>
          <w:rFonts w:cs="Arial"/>
          <w:rtl/>
        </w:rPr>
        <w:t>בסימן זה הירושלמי כך פירושו</w:t>
      </w:r>
      <w:r w:rsidRPr="001B5E5A">
        <w:rPr>
          <w:rFonts w:cs="Arial" w:hint="cs"/>
          <w:rtl/>
        </w:rPr>
        <w:t>-</w:t>
      </w:r>
      <w:r w:rsidRPr="001B5E5A">
        <w:rPr>
          <w:rFonts w:cs="Arial"/>
          <w:rtl/>
        </w:rPr>
        <w:t xml:space="preserve"> שאם הדירה הוא</w:t>
      </w:r>
      <w:r>
        <w:rPr>
          <w:rFonts w:cs="Arial" w:hint="cs"/>
          <w:rtl/>
        </w:rPr>
        <w:t>,</w:t>
      </w:r>
      <w:r w:rsidRPr="001B5E5A">
        <w:rPr>
          <w:rFonts w:cs="Arial"/>
          <w:rtl/>
        </w:rPr>
        <w:t xml:space="preserve"> שאמר לה קונם תשמישך עלי אם תלכי לבית המרחץ בכרכים יותר משבת אחת ובכפרים יותר משתי שבתות או אם תנעל בכפרים יותר משלשה ימים ובכרכים יותר מעת לעת</w:t>
      </w:r>
      <w:r>
        <w:rPr>
          <w:rFonts w:cs="Arial" w:hint="cs"/>
          <w:rtl/>
        </w:rPr>
        <w:t xml:space="preserve"> -</w:t>
      </w:r>
      <w:r w:rsidRPr="001B5E5A">
        <w:rPr>
          <w:rFonts w:cs="Arial"/>
          <w:rtl/>
        </w:rPr>
        <w:t xml:space="preserve"> ימתין שבעת ימים ואח</w:t>
      </w:r>
      <w:r>
        <w:rPr>
          <w:rFonts w:cs="Arial" w:hint="cs"/>
          <w:rtl/>
        </w:rPr>
        <w:t>"</w:t>
      </w:r>
      <w:r w:rsidRPr="001B5E5A">
        <w:rPr>
          <w:rFonts w:cs="Arial"/>
          <w:rtl/>
        </w:rPr>
        <w:t>כ יוציא ויתן כתובה</w:t>
      </w:r>
      <w:r>
        <w:rPr>
          <w:rStyle w:val="a7"/>
          <w:rFonts w:cs="Arial"/>
          <w:rtl/>
        </w:rPr>
        <w:footnoteReference w:id="1209"/>
      </w:r>
      <w:r>
        <w:rPr>
          <w:rFonts w:cs="Arial" w:hint="cs"/>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 xml:space="preserve">[בסע' </w:t>
      </w:r>
      <w:r>
        <w:rPr>
          <w:rFonts w:cs="Arial" w:hint="cs"/>
          <w:color w:val="000000" w:themeColor="text1"/>
          <w:sz w:val="16"/>
          <w:szCs w:val="16"/>
          <w:rtl/>
        </w:rPr>
        <w:t>ח</w:t>
      </w:r>
      <w:r w:rsidRPr="008A18FF">
        <w:rPr>
          <w:rFonts w:cs="Arial" w:hint="cs"/>
          <w:color w:val="000000" w:themeColor="text1"/>
          <w:sz w:val="16"/>
          <w:szCs w:val="16"/>
          <w:rtl/>
        </w:rPr>
        <w:t>]</w:t>
      </w:r>
      <w:r w:rsidRPr="008015A2">
        <w:rPr>
          <w:rFonts w:cs="Arial" w:hint="cs"/>
          <w:color w:val="E36C0A" w:themeColor="accent6" w:themeShade="BF"/>
          <w:rtl/>
        </w:rPr>
        <w:t>)</w:t>
      </w:r>
    </w:p>
    <w:p w14:paraId="254D53DB" w14:textId="77777777" w:rsidR="002E5BAD" w:rsidRPr="00014D26" w:rsidRDefault="002E5BAD" w:rsidP="002E5BAD">
      <w:pPr>
        <w:rPr>
          <w:rFonts w:cs="Arial"/>
          <w:u w:val="single"/>
        </w:rPr>
      </w:pPr>
      <w:r w:rsidRPr="00014D26">
        <w:rPr>
          <w:rFonts w:cs="Arial"/>
          <w:u w:val="single"/>
          <w:rtl/>
        </w:rPr>
        <w:t xml:space="preserve">בעל המכה אשתו בכל יום </w:t>
      </w:r>
      <w:r>
        <w:rPr>
          <w:rFonts w:cs="Arial" w:hint="cs"/>
          <w:u w:val="single"/>
          <w:rtl/>
        </w:rPr>
        <w:t xml:space="preserve">- </w:t>
      </w:r>
      <w:r w:rsidRPr="00014D26">
        <w:rPr>
          <w:rFonts w:cs="Arial"/>
          <w:u w:val="single"/>
          <w:rtl/>
        </w:rPr>
        <w:t>עד שהצריכה לצאת מביתו</w:t>
      </w:r>
      <w:r w:rsidRPr="00014D26">
        <w:rPr>
          <w:rFonts w:cs="Arial" w:hint="cs"/>
          <w:u w:val="single"/>
          <w:rtl/>
        </w:rPr>
        <w:t>:</w:t>
      </w:r>
    </w:p>
    <w:p w14:paraId="2296C6A3" w14:textId="77777777" w:rsidR="002E5BAD" w:rsidRDefault="002E5BAD" w:rsidP="002E5BAD">
      <w:pPr>
        <w:pStyle w:val="ab"/>
        <w:numPr>
          <w:ilvl w:val="0"/>
          <w:numId w:val="136"/>
        </w:numPr>
        <w:rPr>
          <w:rFonts w:cs="Arial"/>
        </w:rPr>
      </w:pPr>
      <w:r w:rsidRPr="00FB05F5">
        <w:rPr>
          <w:rFonts w:cs="Arial" w:hint="cs"/>
          <w:rtl/>
        </w:rPr>
        <w:t>רשב"א</w:t>
      </w:r>
      <w:r w:rsidRPr="00FB05F5">
        <w:rPr>
          <w:rFonts w:cs="Arial"/>
          <w:sz w:val="16"/>
          <w:szCs w:val="16"/>
          <w:rtl/>
        </w:rPr>
        <w:t xml:space="preserve"> (במיוחסות סי</w:t>
      </w:r>
      <w:r w:rsidRPr="00FB05F5">
        <w:rPr>
          <w:rFonts w:cs="Arial" w:hint="cs"/>
          <w:sz w:val="16"/>
          <w:szCs w:val="16"/>
          <w:rtl/>
        </w:rPr>
        <w:t>'</w:t>
      </w:r>
      <w:r w:rsidRPr="00FB05F5">
        <w:rPr>
          <w:rFonts w:cs="Arial"/>
          <w:sz w:val="16"/>
          <w:szCs w:val="16"/>
          <w:rtl/>
        </w:rPr>
        <w:t xml:space="preserve"> קב</w:t>
      </w:r>
      <w:r w:rsidRPr="00FB05F5">
        <w:rPr>
          <w:rFonts w:cs="Arial" w:hint="cs"/>
          <w:sz w:val="16"/>
          <w:szCs w:val="16"/>
          <w:rtl/>
        </w:rPr>
        <w:t>)</w:t>
      </w:r>
      <w:r w:rsidRPr="00FB05F5">
        <w:rPr>
          <w:rFonts w:cs="Arial" w:hint="cs"/>
          <w:rtl/>
        </w:rPr>
        <w:t>-</w:t>
      </w:r>
      <w:r w:rsidRPr="00FB05F5">
        <w:rPr>
          <w:rFonts w:cs="Arial"/>
          <w:rtl/>
        </w:rPr>
        <w:t xml:space="preserve"> שאלה</w:t>
      </w:r>
      <w:r>
        <w:rPr>
          <w:rFonts w:cs="Arial" w:hint="cs"/>
          <w:rtl/>
        </w:rPr>
        <w:t>,</w:t>
      </w:r>
      <w:r w:rsidRPr="00FB05F5">
        <w:rPr>
          <w:rFonts w:cs="Arial"/>
          <w:rtl/>
        </w:rPr>
        <w:t xml:space="preserve"> בעל המכה אשתו בכל יום ומצטערת עד שהצריכה לצאת מביתו. והלכה לבית אביה. והוא טוען שהיא מקללתו בפניו</w:t>
      </w:r>
      <w:r>
        <w:rPr>
          <w:rFonts w:cs="Arial" w:hint="cs"/>
          <w:rtl/>
        </w:rPr>
        <w:t>,</w:t>
      </w:r>
      <w:r w:rsidRPr="00FB05F5">
        <w:rPr>
          <w:rFonts w:cs="Arial"/>
          <w:rtl/>
        </w:rPr>
        <w:t xml:space="preserve"> והיא מכחישתו. והיא אומרת שחמותה מחרחרת ריב בינו לבינה ומסבבת הכאותיה. וע"כ אינה רוצה לדור עם חמותה בחצר אחת. הודיעני אם יכולים בית דין לחייבו שבועה. שלא יכה אשתו ושינהג עמה כראוי</w:t>
      </w:r>
      <w:r>
        <w:rPr>
          <w:rFonts w:cs="Arial" w:hint="cs"/>
          <w:rtl/>
        </w:rPr>
        <w:t>.</w:t>
      </w:r>
      <w:r w:rsidRPr="00FB05F5">
        <w:rPr>
          <w:rFonts w:cs="Arial"/>
          <w:rtl/>
        </w:rPr>
        <w:t xml:space="preserve"> תשובה</w:t>
      </w:r>
      <w:r>
        <w:rPr>
          <w:rFonts w:cs="Arial" w:hint="cs"/>
          <w:rtl/>
        </w:rPr>
        <w:t>-</w:t>
      </w:r>
      <w:r w:rsidRPr="00FB05F5">
        <w:rPr>
          <w:rFonts w:cs="Arial"/>
          <w:rtl/>
        </w:rPr>
        <w:t xml:space="preserve"> אין לבעל להכות ולענות אשתו</w:t>
      </w:r>
      <w:r>
        <w:rPr>
          <w:rFonts w:cs="Arial" w:hint="cs"/>
          <w:rtl/>
        </w:rPr>
        <w:t>,</w:t>
      </w:r>
      <w:r w:rsidRPr="00FB05F5">
        <w:rPr>
          <w:rFonts w:cs="Arial"/>
          <w:rtl/>
        </w:rPr>
        <w:t xml:space="preserve"> דלחיים ניתנה ולא לצער. ואדרבא צריך לכבדה יותר מגופו. ואם טען שהיא מקללתו</w:t>
      </w:r>
      <w:r>
        <w:rPr>
          <w:rFonts w:cs="Arial" w:hint="cs"/>
          <w:rtl/>
        </w:rPr>
        <w:t>,</w:t>
      </w:r>
      <w:r w:rsidRPr="00FB05F5">
        <w:rPr>
          <w:rFonts w:cs="Arial"/>
          <w:rtl/>
        </w:rPr>
        <w:t xml:space="preserve"> ב"ד חוקרין ושואלים לשכנים מי הגורם. ואם הוא מכה ומצער שלא כדין והיא בורחת</w:t>
      </w:r>
      <w:r>
        <w:rPr>
          <w:rFonts w:cs="Arial" w:hint="cs"/>
          <w:rtl/>
        </w:rPr>
        <w:t xml:space="preserve"> - </w:t>
      </w:r>
      <w:r w:rsidRPr="00FB05F5">
        <w:rPr>
          <w:rFonts w:cs="Arial"/>
          <w:rtl/>
        </w:rPr>
        <w:t>הדין עמה</w:t>
      </w:r>
      <w:r>
        <w:rPr>
          <w:rFonts w:cs="Arial" w:hint="cs"/>
          <w:rtl/>
        </w:rPr>
        <w:t>,</w:t>
      </w:r>
      <w:r w:rsidRPr="00FB05F5">
        <w:rPr>
          <w:rFonts w:cs="Arial"/>
          <w:rtl/>
        </w:rPr>
        <w:t xml:space="preserve"> שאין אדם דר עם נחש בכפיפה. זכר לדבר הגר. אבל אם מקללתו חנם </w:t>
      </w:r>
      <w:r>
        <w:rPr>
          <w:rFonts w:cs="Arial" w:hint="cs"/>
          <w:rtl/>
        </w:rPr>
        <w:t xml:space="preserve">- </w:t>
      </w:r>
      <w:r w:rsidRPr="00FB05F5">
        <w:rPr>
          <w:rFonts w:cs="Arial"/>
          <w:rtl/>
        </w:rPr>
        <w:t>הדין עמו</w:t>
      </w:r>
      <w:r>
        <w:rPr>
          <w:rFonts w:cs="Arial" w:hint="cs"/>
          <w:rtl/>
        </w:rPr>
        <w:t>,</w:t>
      </w:r>
      <w:r w:rsidRPr="00FB05F5">
        <w:rPr>
          <w:rFonts w:cs="Arial"/>
          <w:rtl/>
        </w:rPr>
        <w:t xml:space="preserve"> דהא מקללת בעלה בפניו מן היוצאות שלא בכתובה. ומ"מ אם הדבר מסופק לב"ד מי הוא הגורם או אפילו הגיעו לדבר ברור שהבעל מכה שלא כדין</w:t>
      </w:r>
      <w:r>
        <w:rPr>
          <w:rFonts w:cs="Arial" w:hint="cs"/>
          <w:rtl/>
        </w:rPr>
        <w:t>,</w:t>
      </w:r>
      <w:r w:rsidRPr="00FB05F5">
        <w:rPr>
          <w:rFonts w:cs="Arial"/>
          <w:rtl/>
        </w:rPr>
        <w:t xml:space="preserve"> איני רואה שיכולים ב"ד להשביעו שלא לעשות כן</w:t>
      </w:r>
      <w:r>
        <w:rPr>
          <w:rStyle w:val="a7"/>
          <w:rFonts w:cs="Arial"/>
          <w:rtl/>
        </w:rPr>
        <w:footnoteReference w:id="1210"/>
      </w:r>
      <w:r w:rsidRPr="00FB05F5">
        <w:rPr>
          <w:rFonts w:cs="Arial"/>
          <w:rtl/>
        </w:rPr>
        <w:t>. אלא גוערים אותו ומייסרין ומודיעין שאם יכה שלא כדין שיהא חייב להוציא וליתן כתובה. שאפילו על שאר דברים שאין לה כ"כ צער</w:t>
      </w:r>
      <w:r>
        <w:rPr>
          <w:rFonts w:cs="Arial" w:hint="cs"/>
          <w:rtl/>
        </w:rPr>
        <w:t>,</w:t>
      </w:r>
      <w:r w:rsidRPr="00FB05F5">
        <w:rPr>
          <w:rFonts w:cs="Arial"/>
          <w:rtl/>
        </w:rPr>
        <w:t xml:space="preserve"> כגון שמדירה שלא תלך לבית אביה או לבית האבל או לבית המשתה או אפילו שלא תשאל נפה וכברה מחברותיה או שלא תשאיל להם הוא</w:t>
      </w:r>
      <w:r>
        <w:rPr>
          <w:rFonts w:cs="Arial" w:hint="cs"/>
          <w:rtl/>
        </w:rPr>
        <w:t>,</w:t>
      </w:r>
      <w:r w:rsidRPr="00FB05F5">
        <w:rPr>
          <w:rFonts w:cs="Arial"/>
          <w:rtl/>
        </w:rPr>
        <w:t xml:space="preserve"> מוציא ונותן כתובה</w:t>
      </w:r>
      <w:r>
        <w:rPr>
          <w:rFonts w:cs="Arial" w:hint="cs"/>
          <w:rtl/>
        </w:rPr>
        <w:t>,</w:t>
      </w:r>
      <w:r w:rsidRPr="00FB05F5">
        <w:rPr>
          <w:rFonts w:cs="Arial"/>
          <w:rtl/>
        </w:rPr>
        <w:t xml:space="preserve"> כ"ש במכה ופוצע </w:t>
      </w:r>
      <w:r w:rsidRPr="00FB05F5">
        <w:rPr>
          <w:rFonts w:cs="Arial"/>
          <w:rtl/>
        </w:rPr>
        <w:lastRenderedPageBreak/>
        <w:t>ומצערה בגופה. וקרוב בעיני הדבר שאם ידוע שהוא מכה אותה שלא כדרך בנות ישראל ההגונות</w:t>
      </w:r>
      <w:r>
        <w:rPr>
          <w:rFonts w:cs="Arial" w:hint="cs"/>
          <w:rtl/>
        </w:rPr>
        <w:t>,</w:t>
      </w:r>
      <w:r w:rsidRPr="00FB05F5">
        <w:rPr>
          <w:rFonts w:cs="Arial"/>
          <w:rtl/>
        </w:rPr>
        <w:t xml:space="preserve"> ר"ל שמתמיד להכותה</w:t>
      </w:r>
      <w:r>
        <w:rPr>
          <w:rFonts w:cs="Arial" w:hint="cs"/>
          <w:rtl/>
        </w:rPr>
        <w:t>,</w:t>
      </w:r>
      <w:r w:rsidRPr="00FB05F5">
        <w:rPr>
          <w:rFonts w:cs="Arial"/>
          <w:rtl/>
        </w:rPr>
        <w:t xml:space="preserve"> שאין נאמן לטעון שהיא גורמת שהיא מקללתו בפניו. דלאו כל כמיניה לאחזוקה בפרוצה. וכענין שאמרו פרק המדיר (עא:) ע"מ שלא תלך לבית המשתה</w:t>
      </w:r>
      <w:r>
        <w:rPr>
          <w:rFonts w:cs="Arial" w:hint="cs"/>
          <w:rtl/>
        </w:rPr>
        <w:t>..</w:t>
      </w:r>
      <w:r w:rsidRPr="00966D1C">
        <w:rPr>
          <w:rFonts w:cs="Arial"/>
          <w:rtl/>
        </w:rPr>
        <w:t xml:space="preserve">. </w:t>
      </w:r>
    </w:p>
    <w:p w14:paraId="0D4F1909" w14:textId="77777777" w:rsidR="002E5BAD" w:rsidRPr="00966D1C" w:rsidRDefault="002E5BAD" w:rsidP="002E5BAD">
      <w:pPr>
        <w:ind w:left="360"/>
        <w:rPr>
          <w:rFonts w:cs="Arial"/>
          <w:u w:val="dotted"/>
        </w:rPr>
      </w:pPr>
      <w:r w:rsidRPr="00966D1C">
        <w:rPr>
          <w:rFonts w:cs="Arial" w:hint="cs"/>
          <w:u w:val="dotted"/>
          <w:rtl/>
        </w:rPr>
        <w:t>האם במקרה הנ"ל חייב במזונותיה:</w:t>
      </w:r>
    </w:p>
    <w:p w14:paraId="2E801C21" w14:textId="77777777" w:rsidR="002E5BAD" w:rsidRPr="00014D26" w:rsidRDefault="002E5BAD" w:rsidP="002E5BAD">
      <w:pPr>
        <w:pStyle w:val="ab"/>
        <w:numPr>
          <w:ilvl w:val="0"/>
          <w:numId w:val="136"/>
        </w:numPr>
        <w:rPr>
          <w:rFonts w:cs="Arial"/>
        </w:rPr>
      </w:pPr>
      <w:r w:rsidRPr="00FB05F5">
        <w:rPr>
          <w:rFonts w:cs="Arial" w:hint="cs"/>
          <w:rtl/>
        </w:rPr>
        <w:t>רשב"א</w:t>
      </w:r>
      <w:r w:rsidRPr="00FB05F5">
        <w:rPr>
          <w:rFonts w:cs="Arial"/>
          <w:sz w:val="16"/>
          <w:szCs w:val="16"/>
          <w:rtl/>
        </w:rPr>
        <w:t xml:space="preserve"> (במיוחסות סי</w:t>
      </w:r>
      <w:r w:rsidRPr="00FB05F5">
        <w:rPr>
          <w:rFonts w:cs="Arial" w:hint="cs"/>
          <w:sz w:val="16"/>
          <w:szCs w:val="16"/>
          <w:rtl/>
        </w:rPr>
        <w:t>'</w:t>
      </w:r>
      <w:r w:rsidRPr="00FB05F5">
        <w:rPr>
          <w:rFonts w:cs="Arial"/>
          <w:sz w:val="16"/>
          <w:szCs w:val="16"/>
          <w:rtl/>
        </w:rPr>
        <w:t xml:space="preserve"> ק</w:t>
      </w:r>
      <w:r>
        <w:rPr>
          <w:rFonts w:cs="Arial" w:hint="cs"/>
          <w:sz w:val="16"/>
          <w:szCs w:val="16"/>
          <w:rtl/>
        </w:rPr>
        <w:t>ג</w:t>
      </w:r>
      <w:r w:rsidRPr="00FB05F5">
        <w:rPr>
          <w:rFonts w:cs="Arial" w:hint="cs"/>
          <w:sz w:val="16"/>
          <w:szCs w:val="16"/>
          <w:rtl/>
        </w:rPr>
        <w:t>)</w:t>
      </w:r>
      <w:r w:rsidRPr="00FB05F5">
        <w:rPr>
          <w:rFonts w:cs="Arial" w:hint="cs"/>
          <w:rtl/>
        </w:rPr>
        <w:t>-</w:t>
      </w:r>
      <w:r>
        <w:rPr>
          <w:rFonts w:cs="Arial" w:hint="cs"/>
          <w:rtl/>
        </w:rPr>
        <w:t xml:space="preserve"> ה</w:t>
      </w:r>
      <w:r w:rsidRPr="00014D26">
        <w:rPr>
          <w:rFonts w:cs="Arial"/>
          <w:rtl/>
        </w:rPr>
        <w:t>אם הבעל חייב במזונותיה</w:t>
      </w:r>
      <w:r>
        <w:rPr>
          <w:rFonts w:cs="Arial" w:hint="cs"/>
          <w:rtl/>
        </w:rPr>
        <w:t xml:space="preserve"> </w:t>
      </w:r>
      <w:r w:rsidRPr="00014D26">
        <w:rPr>
          <w:rFonts w:cs="Arial"/>
          <w:rtl/>
        </w:rPr>
        <w:t>בעודה בבית אביה, אם יכול הבעל לומר כל זמן שהיא אצלי יש לה מזונות. וכל זמן שאינה אצלי אין לה מזונות. תשובה</w:t>
      </w:r>
      <w:r>
        <w:rPr>
          <w:rFonts w:cs="Arial" w:hint="cs"/>
          <w:rtl/>
        </w:rPr>
        <w:t>-</w:t>
      </w:r>
      <w:r w:rsidRPr="00014D26">
        <w:rPr>
          <w:rFonts w:cs="Arial"/>
          <w:rtl/>
        </w:rPr>
        <w:t xml:space="preserve"> כל שהיא טוענת שבורחת מפני חמותה ולא במרד יש לבעל ליתן לה מזונות. שאין זו מורדת. ואילו רצה הבעל לבוא אצלה לבית אביה היתה מקבלתו או בחצר אחרת. ולמה תפסיד בכך מזונות והוא מכישה במקל שתברח, ואם לותה ואכלה הבעל חייב לפרוע מה שלותה. </w:t>
      </w:r>
    </w:p>
    <w:p w14:paraId="03C3D7C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B39090B" w14:textId="77777777" w:rsidR="002E5BAD" w:rsidRDefault="002E5BAD" w:rsidP="002E5BAD">
      <w:pPr>
        <w:rPr>
          <w:rtl/>
        </w:rPr>
      </w:pPr>
      <w:r>
        <w:rPr>
          <w:rFonts w:cs="Arial"/>
          <w:rtl/>
        </w:rPr>
        <w:t>הדירה שלא תלך למרחץ, בכרכים</w:t>
      </w:r>
      <w:r>
        <w:rPr>
          <w:rFonts w:cs="Arial" w:hint="cs"/>
          <w:rtl/>
        </w:rPr>
        <w:t>,</w:t>
      </w:r>
      <w:r>
        <w:rPr>
          <w:rFonts w:cs="Arial"/>
          <w:rtl/>
        </w:rPr>
        <w:t xml:space="preserve"> שבת אחת</w:t>
      </w:r>
      <w:r>
        <w:rPr>
          <w:rFonts w:cs="Arial" w:hint="cs"/>
          <w:rtl/>
        </w:rPr>
        <w:t>.</w:t>
      </w:r>
      <w:r>
        <w:rPr>
          <w:rFonts w:cs="Arial"/>
          <w:rtl/>
        </w:rPr>
        <w:t xml:space="preserve"> ובכפרים</w:t>
      </w:r>
      <w:r>
        <w:rPr>
          <w:rFonts w:cs="Arial" w:hint="cs"/>
          <w:rtl/>
        </w:rPr>
        <w:t>,</w:t>
      </w:r>
      <w:r>
        <w:rPr>
          <w:rFonts w:cs="Arial"/>
          <w:rtl/>
        </w:rPr>
        <w:t xml:space="preserve"> שתי שבתות</w:t>
      </w:r>
      <w:r>
        <w:rPr>
          <w:rFonts w:cs="Arial" w:hint="cs"/>
          <w:rtl/>
        </w:rPr>
        <w:t>.</w:t>
      </w:r>
      <w:r>
        <w:rPr>
          <w:rFonts w:cs="Arial"/>
          <w:rtl/>
        </w:rPr>
        <w:t xml:space="preserve"> שלא תנעל מנעל</w:t>
      </w:r>
      <w:r>
        <w:rPr>
          <w:rFonts w:cs="Arial" w:hint="cs"/>
          <w:rtl/>
        </w:rPr>
        <w:t>,</w:t>
      </w:r>
      <w:r>
        <w:rPr>
          <w:rFonts w:cs="Arial"/>
          <w:rtl/>
        </w:rPr>
        <w:t xml:space="preserve"> בכפרים</w:t>
      </w:r>
      <w:r>
        <w:rPr>
          <w:rFonts w:cs="Arial" w:hint="cs"/>
          <w:rtl/>
        </w:rPr>
        <w:t>,</w:t>
      </w:r>
      <w:r>
        <w:rPr>
          <w:rFonts w:cs="Arial"/>
          <w:rtl/>
        </w:rPr>
        <w:t xml:space="preserve"> שלשה ימים</w:t>
      </w:r>
      <w:r>
        <w:rPr>
          <w:rFonts w:cs="Arial" w:hint="cs"/>
          <w:rtl/>
        </w:rPr>
        <w:t>.</w:t>
      </w:r>
      <w:r>
        <w:rPr>
          <w:rFonts w:cs="Arial"/>
          <w:rtl/>
        </w:rPr>
        <w:t xml:space="preserve"> ובכרכים</w:t>
      </w:r>
      <w:r>
        <w:rPr>
          <w:rFonts w:cs="Arial" w:hint="cs"/>
          <w:rtl/>
        </w:rPr>
        <w:t>,</w:t>
      </w:r>
      <w:r>
        <w:rPr>
          <w:rFonts w:cs="Arial"/>
          <w:rtl/>
        </w:rPr>
        <w:t xml:space="preserve"> מעת לעת</w:t>
      </w:r>
      <w:r>
        <w:rPr>
          <w:rFonts w:cs="Arial" w:hint="cs"/>
          <w:rtl/>
        </w:rPr>
        <w:t>.</w:t>
      </w:r>
      <w:r>
        <w:rPr>
          <w:rFonts w:cs="Arial"/>
          <w:rtl/>
        </w:rPr>
        <w:t xml:space="preserve"> יתר על כן</w:t>
      </w:r>
      <w:r>
        <w:rPr>
          <w:rFonts w:cs="Arial" w:hint="cs"/>
          <w:rtl/>
        </w:rPr>
        <w:t>,</w:t>
      </w:r>
      <w:r>
        <w:rPr>
          <w:rFonts w:cs="Arial"/>
          <w:rtl/>
        </w:rPr>
        <w:t xml:space="preserve"> </w:t>
      </w:r>
      <w:r>
        <w:rPr>
          <w:rStyle w:val="a7"/>
          <w:rFonts w:cs="Arial"/>
          <w:rtl/>
        </w:rPr>
        <w:footnoteReference w:id="1211"/>
      </w:r>
      <w:r>
        <w:rPr>
          <w:rFonts w:cs="Arial"/>
          <w:rtl/>
        </w:rPr>
        <w:t xml:space="preserve">(יתיר את נדרו או) יוציא ויתן כתובה. </w:t>
      </w:r>
    </w:p>
    <w:p w14:paraId="261C9D20" w14:textId="77777777" w:rsidR="002E5BAD" w:rsidRDefault="002E5BAD" w:rsidP="002E5BAD">
      <w:pPr>
        <w:rPr>
          <w:rtl/>
        </w:rPr>
      </w:pPr>
    </w:p>
    <w:p w14:paraId="32C49BF5" w14:textId="77777777" w:rsidR="002E5BAD" w:rsidRDefault="002E5BAD" w:rsidP="002E5BAD">
      <w:pPr>
        <w:pStyle w:val="2"/>
        <w:rPr>
          <w:rtl/>
        </w:rPr>
      </w:pPr>
      <w:r>
        <w:rPr>
          <w:rtl/>
        </w:rPr>
        <w:t>סעיף ח</w:t>
      </w:r>
      <w:r>
        <w:rPr>
          <w:rFonts w:hint="cs"/>
          <w:rtl/>
        </w:rPr>
        <w:t>:</w:t>
      </w:r>
      <w:r w:rsidRPr="00C424A2">
        <w:rPr>
          <w:rFonts w:cs="Arial"/>
          <w:rtl/>
        </w:rPr>
        <w:t xml:space="preserve"> </w:t>
      </w:r>
      <w:r>
        <w:rPr>
          <w:rFonts w:cs="Arial"/>
          <w:rtl/>
        </w:rPr>
        <w:t xml:space="preserve">הדירה </w:t>
      </w:r>
      <w:r>
        <w:rPr>
          <w:rFonts w:cs="Arial" w:hint="cs"/>
          <w:rtl/>
        </w:rPr>
        <w:t>מתשמיש אם</w:t>
      </w:r>
      <w:r>
        <w:rPr>
          <w:rFonts w:cs="Arial"/>
          <w:rtl/>
        </w:rPr>
        <w:t xml:space="preserve"> תלך למרחץ</w:t>
      </w:r>
      <w:r>
        <w:rPr>
          <w:rFonts w:hint="cs"/>
          <w:rtl/>
        </w:rPr>
        <w:t xml:space="preserve"> או אם תנעל מנעל.</w:t>
      </w:r>
    </w:p>
    <w:p w14:paraId="3B9FDCD9" w14:textId="77777777" w:rsidR="002E5BAD" w:rsidRPr="00830C5A" w:rsidRDefault="002E5BAD" w:rsidP="002E5BAD">
      <w:pPr>
        <w:rPr>
          <w:rtl/>
        </w:rPr>
      </w:pPr>
      <w:r>
        <w:rPr>
          <w:rFonts w:hint="cs"/>
          <w:rtl/>
        </w:rPr>
        <w:t>עיין במקורות בסעיף הקודם.</w:t>
      </w:r>
    </w:p>
    <w:p w14:paraId="7EE8384F"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DC539D8" w14:textId="77777777" w:rsidR="002E5BAD" w:rsidRDefault="002E5BAD" w:rsidP="002E5BAD">
      <w:pPr>
        <w:rPr>
          <w:rtl/>
        </w:rPr>
      </w:pPr>
      <w:r>
        <w:rPr>
          <w:rFonts w:cs="Arial"/>
          <w:rtl/>
        </w:rPr>
        <w:t>הדירה ואמר לה: קונם תשמישך עלי אם תלכי לבית המרחץ, בכרכים יותר משבת אחת, ובכפרים יותר משתי שבתות</w:t>
      </w:r>
      <w:r>
        <w:rPr>
          <w:rFonts w:cs="Arial" w:hint="cs"/>
          <w:rtl/>
        </w:rPr>
        <w:t>.</w:t>
      </w:r>
      <w:r>
        <w:rPr>
          <w:rFonts w:cs="Arial"/>
          <w:rtl/>
        </w:rPr>
        <w:t xml:space="preserve"> או אם תנעלי מנעל בכפרים יותר מג' ימים, ובכרכים יותר מעת לעת, ימתין ז' ימים ואח</w:t>
      </w:r>
      <w:r>
        <w:rPr>
          <w:rFonts w:cs="Arial" w:hint="cs"/>
          <w:rtl/>
        </w:rPr>
        <w:t xml:space="preserve">ר </w:t>
      </w:r>
      <w:r>
        <w:rPr>
          <w:rFonts w:cs="Arial"/>
          <w:rtl/>
        </w:rPr>
        <w:t>כ</w:t>
      </w:r>
      <w:r>
        <w:rPr>
          <w:rFonts w:cs="Arial" w:hint="cs"/>
          <w:rtl/>
        </w:rPr>
        <w:t>ך</w:t>
      </w:r>
      <w:r>
        <w:rPr>
          <w:rFonts w:cs="Arial"/>
          <w:rtl/>
        </w:rPr>
        <w:t xml:space="preserve"> יוציא ויתן כתובה. </w:t>
      </w:r>
    </w:p>
    <w:p w14:paraId="0248D2CA" w14:textId="77777777" w:rsidR="002E5BAD" w:rsidRDefault="002E5BAD" w:rsidP="002E5BAD">
      <w:pPr>
        <w:rPr>
          <w:rtl/>
        </w:rPr>
      </w:pPr>
    </w:p>
    <w:p w14:paraId="3ECB2F27" w14:textId="77777777" w:rsidR="002E5BAD" w:rsidRDefault="002E5BAD" w:rsidP="002E5BAD">
      <w:pPr>
        <w:pStyle w:val="2"/>
        <w:rPr>
          <w:rtl/>
        </w:rPr>
      </w:pPr>
      <w:r>
        <w:rPr>
          <w:rtl/>
        </w:rPr>
        <w:t>סעיף ט</w:t>
      </w:r>
      <w:r>
        <w:rPr>
          <w:rFonts w:hint="cs"/>
          <w:rtl/>
        </w:rPr>
        <w:t>: האומר לאשתו 'אין רצוני שיבואו לביתי אביך ואמך'.</w:t>
      </w:r>
    </w:p>
    <w:p w14:paraId="13DCC59D" w14:textId="77777777" w:rsidR="002E5BAD" w:rsidRPr="000B2043" w:rsidRDefault="002E5BAD" w:rsidP="002E5BAD">
      <w:pPr>
        <w:rPr>
          <w:rFonts w:cs="Arial"/>
          <w:u w:val="single"/>
        </w:rPr>
      </w:pPr>
      <w:r w:rsidRPr="000B2043">
        <w:rPr>
          <w:rFonts w:cs="Arial"/>
          <w:u w:val="single"/>
          <w:rtl/>
        </w:rPr>
        <w:t xml:space="preserve">האומר לאשתו </w:t>
      </w:r>
      <w:r>
        <w:rPr>
          <w:rFonts w:cs="Arial" w:hint="cs"/>
          <w:u w:val="single"/>
          <w:rtl/>
        </w:rPr>
        <w:t>'</w:t>
      </w:r>
      <w:r w:rsidRPr="000B2043">
        <w:rPr>
          <w:rFonts w:cs="Arial"/>
          <w:u w:val="single"/>
          <w:rtl/>
        </w:rPr>
        <w:t>אין רצוני שיבואו לביתי אביך ואמך אחיך ואחיותיך</w:t>
      </w:r>
      <w:r>
        <w:rPr>
          <w:rFonts w:cs="Arial" w:hint="cs"/>
          <w:u w:val="single"/>
          <w:rtl/>
        </w:rPr>
        <w:t>'</w:t>
      </w:r>
      <w:r w:rsidRPr="000B2043">
        <w:rPr>
          <w:rFonts w:cs="Arial" w:hint="cs"/>
          <w:u w:val="single"/>
          <w:rtl/>
        </w:rPr>
        <w:t>:</w:t>
      </w:r>
    </w:p>
    <w:p w14:paraId="1795C55F"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(פי"ג הי"ד)</w:t>
      </w:r>
      <w:r>
        <w:rPr>
          <w:rFonts w:cs="Arial" w:hint="cs"/>
          <w:rtl/>
        </w:rPr>
        <w:t xml:space="preserve"> וטור-</w:t>
      </w:r>
      <w:r w:rsidRPr="00AD1B78">
        <w:rPr>
          <w:rtl/>
        </w:rPr>
        <w:t xml:space="preserve"> </w:t>
      </w:r>
      <w:r w:rsidRPr="00AD1B78">
        <w:rPr>
          <w:rFonts w:cs="Arial"/>
          <w:rtl/>
        </w:rPr>
        <w:t xml:space="preserve">האומר לאשתו אין רצוני שיבואו לביתי אביך ואמך אחיך ואחיותיך </w:t>
      </w:r>
      <w:r>
        <w:rPr>
          <w:rFonts w:cs="Arial" w:hint="cs"/>
          <w:rtl/>
        </w:rPr>
        <w:t xml:space="preserve">- </w:t>
      </w:r>
      <w:r w:rsidRPr="00AD1B78">
        <w:rPr>
          <w:rFonts w:cs="Arial"/>
          <w:rtl/>
        </w:rPr>
        <w:t>שומעין לו</w:t>
      </w:r>
      <w:r>
        <w:rPr>
          <w:rFonts w:cs="Arial" w:hint="cs"/>
          <w:rtl/>
        </w:rPr>
        <w:t>,</w:t>
      </w:r>
      <w:r w:rsidRPr="00AD1B78">
        <w:rPr>
          <w:rFonts w:cs="Arial"/>
          <w:rtl/>
        </w:rPr>
        <w:t xml:space="preserve"> ותהיה היא הולכת להם כשיארע להם דבר</w:t>
      </w:r>
      <w:r>
        <w:rPr>
          <w:rFonts w:cs="Arial" w:hint="cs"/>
          <w:rtl/>
        </w:rPr>
        <w:t>.</w:t>
      </w:r>
      <w:r w:rsidRPr="00AD1B78">
        <w:rPr>
          <w:rFonts w:cs="Arial"/>
          <w:rtl/>
        </w:rPr>
        <w:t xml:space="preserve"> ותלך לבית אביה פעם בחודש ובכל רגל ורגל</w:t>
      </w:r>
      <w:r>
        <w:rPr>
          <w:rFonts w:cs="Arial" w:hint="cs"/>
          <w:rtl/>
        </w:rPr>
        <w:t>.</w:t>
      </w:r>
      <w:r w:rsidRPr="00AD1B78">
        <w:rPr>
          <w:rFonts w:cs="Arial"/>
          <w:rtl/>
        </w:rPr>
        <w:t xml:space="preserve"> ולא יכנסו הם לה אלא אם אירע לה דבר כגון חולי או לידה, שאין כופין את האדם שיכנסו אחרים ברשותו</w:t>
      </w:r>
      <w:r>
        <w:rPr>
          <w:rStyle w:val="a7"/>
          <w:rFonts w:cs="Arial"/>
          <w:rtl/>
        </w:rPr>
        <w:footnoteReference w:id="1212"/>
      </w:r>
      <w:r>
        <w:rPr>
          <w:rFonts w:cs="Arial" w:hint="cs"/>
          <w:sz w:val="16"/>
          <w:szCs w:val="16"/>
          <w:rtl/>
        </w:rPr>
        <w:t xml:space="preserve"> (ל' הרמב"ם)</w:t>
      </w:r>
      <w:r w:rsidRPr="00AD1B78">
        <w:rPr>
          <w:rFonts w:cs="Arial"/>
          <w:rtl/>
        </w:rPr>
        <w:t>.</w:t>
      </w:r>
      <w:r w:rsidRPr="00304916">
        <w:rPr>
          <w:rFonts w:cs="Arial" w:hint="cs"/>
          <w:color w:val="E36C0A" w:themeColor="accent6" w:themeShade="BF"/>
          <w:rtl/>
        </w:rPr>
        <w:t xml:space="preserve"> </w:t>
      </w:r>
      <w:r w:rsidRPr="008015A2">
        <w:rPr>
          <w:rFonts w:cs="Arial" w:hint="cs"/>
          <w:color w:val="E36C0A" w:themeColor="accent6" w:themeShade="BF"/>
          <w:rtl/>
        </w:rPr>
        <w:t>(וכ"פ בשו"ע)</w:t>
      </w:r>
    </w:p>
    <w:p w14:paraId="67C17CDD" w14:textId="77777777" w:rsidR="002E5BAD" w:rsidRPr="000B2043" w:rsidRDefault="002E5BAD" w:rsidP="002E5BAD">
      <w:pPr>
        <w:ind w:left="360"/>
        <w:rPr>
          <w:rFonts w:cs="Arial"/>
          <w:u w:val="dotted"/>
        </w:rPr>
      </w:pPr>
      <w:r w:rsidRPr="000B2043">
        <w:rPr>
          <w:rFonts w:cs="Arial" w:hint="cs"/>
          <w:u w:val="dotted"/>
          <w:rtl/>
        </w:rPr>
        <w:t>ומה הדין אם האשה אמרה כן:</w:t>
      </w:r>
    </w:p>
    <w:p w14:paraId="04E022B3"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(פי"ג הי"ד)</w:t>
      </w:r>
      <w:r>
        <w:rPr>
          <w:rFonts w:cs="Arial" w:hint="cs"/>
          <w:rtl/>
        </w:rPr>
        <w:t xml:space="preserve"> וטור-</w:t>
      </w:r>
      <w:r w:rsidRPr="00AD1B78">
        <w:rPr>
          <w:rtl/>
        </w:rPr>
        <w:t xml:space="preserve"> </w:t>
      </w:r>
      <w:r w:rsidRPr="00AD1B78">
        <w:rPr>
          <w:rFonts w:cs="Arial"/>
          <w:rtl/>
        </w:rPr>
        <w:t>וכן היא שאמרה אין רצוני שיכנסו אצלי אמך ואחיותיך</w:t>
      </w:r>
      <w:r>
        <w:rPr>
          <w:rFonts w:cs="Arial" w:hint="cs"/>
          <w:rtl/>
        </w:rPr>
        <w:t>,</w:t>
      </w:r>
      <w:r w:rsidRPr="00AD1B78">
        <w:rPr>
          <w:rFonts w:cs="Arial"/>
          <w:rtl/>
        </w:rPr>
        <w:t xml:space="preserve"> ואיני שוכנת עמהם בחצר אחת מפני שמריעין לי ומצירין לי </w:t>
      </w:r>
      <w:r>
        <w:rPr>
          <w:rFonts w:cs="Arial" w:hint="cs"/>
          <w:rtl/>
        </w:rPr>
        <w:t xml:space="preserve">- </w:t>
      </w:r>
      <w:r w:rsidRPr="00AD1B78">
        <w:rPr>
          <w:rFonts w:cs="Arial"/>
          <w:rtl/>
        </w:rPr>
        <w:t>שומעין לה, שאין כופין את האדם שישבו אחרים עמו ברשותו</w:t>
      </w:r>
      <w:r>
        <w:rPr>
          <w:rFonts w:cs="Arial" w:hint="cs"/>
          <w:sz w:val="16"/>
          <w:szCs w:val="16"/>
          <w:rtl/>
        </w:rPr>
        <w:t xml:space="preserve"> (ל' הרמב"ם)</w:t>
      </w:r>
      <w:r>
        <w:rPr>
          <w:rStyle w:val="a7"/>
          <w:rFonts w:cs="Arial"/>
          <w:rtl/>
        </w:rPr>
        <w:footnoteReference w:id="1213"/>
      </w:r>
      <w:r w:rsidRPr="00AD1B78">
        <w:rPr>
          <w:rFonts w:cs="Arial"/>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w:t>
      </w:r>
      <w:r>
        <w:rPr>
          <w:rFonts w:cs="Arial" w:hint="cs"/>
          <w:color w:val="000000" w:themeColor="text1"/>
          <w:sz w:val="16"/>
          <w:szCs w:val="16"/>
          <w:rtl/>
        </w:rPr>
        <w:t>בסע' י]</w:t>
      </w:r>
      <w:r w:rsidRPr="008015A2">
        <w:rPr>
          <w:rFonts w:cs="Arial" w:hint="cs"/>
          <w:color w:val="E36C0A" w:themeColor="accent6" w:themeShade="BF"/>
          <w:rtl/>
        </w:rPr>
        <w:t>)</w:t>
      </w:r>
    </w:p>
    <w:p w14:paraId="259FDC89" w14:textId="77777777" w:rsidR="002E5BAD" w:rsidRDefault="002E5BAD" w:rsidP="002E5BAD">
      <w:pPr>
        <w:pStyle w:val="ab"/>
        <w:numPr>
          <w:ilvl w:val="0"/>
          <w:numId w:val="136"/>
        </w:numPr>
        <w:rPr>
          <w:rFonts w:cs="Arial"/>
        </w:rPr>
      </w:pPr>
      <w:r w:rsidRPr="00AD1B78">
        <w:rPr>
          <w:rFonts w:cs="Arial"/>
          <w:rtl/>
        </w:rPr>
        <w:t>ראב"ד</w:t>
      </w:r>
      <w:r>
        <w:rPr>
          <w:rFonts w:cs="Arial" w:hint="cs"/>
          <w:sz w:val="16"/>
          <w:szCs w:val="16"/>
          <w:rtl/>
        </w:rPr>
        <w:t xml:space="preserve"> (שם בהשגות)</w:t>
      </w:r>
      <w:r>
        <w:rPr>
          <w:rFonts w:cs="Arial" w:hint="cs"/>
          <w:rtl/>
        </w:rPr>
        <w:t>-</w:t>
      </w:r>
      <w:r w:rsidRPr="00AD1B78">
        <w:rPr>
          <w:rFonts w:cs="Arial"/>
          <w:rtl/>
        </w:rPr>
        <w:t xml:space="preserve"> אימתי בזמן שהן באות בגבולה</w:t>
      </w:r>
      <w:r>
        <w:rPr>
          <w:rFonts w:cs="Arial" w:hint="cs"/>
          <w:rtl/>
        </w:rPr>
        <w:t>,</w:t>
      </w:r>
      <w:r w:rsidRPr="00AD1B78">
        <w:rPr>
          <w:rFonts w:cs="Arial"/>
          <w:rtl/>
        </w:rPr>
        <w:t xml:space="preserve"> אבל אם באה היא בגבולן אין מוציאין אותם בשבילה ממקומן אף על פי שהמדור שלו ואין להן בו זכות הואיל והוא רוצה בעמידתם</w:t>
      </w:r>
      <w:r>
        <w:rPr>
          <w:rFonts w:cs="Arial" w:hint="cs"/>
          <w:rtl/>
        </w:rPr>
        <w:t>.</w:t>
      </w:r>
      <w:r w:rsidRPr="00AD1B78">
        <w:rPr>
          <w:rFonts w:cs="Arial"/>
          <w:rtl/>
        </w:rPr>
        <w:t xml:space="preserve"> אבל מבקשים ממנו לצדד להן ענין שלא יצערו אותה בדירתן</w:t>
      </w:r>
      <w:r>
        <w:rPr>
          <w:rStyle w:val="a7"/>
          <w:rFonts w:cs="Arial"/>
          <w:rtl/>
        </w:rPr>
        <w:footnoteReference w:id="1214"/>
      </w:r>
      <w:r w:rsidRPr="00AD1B78">
        <w:rPr>
          <w:rFonts w:cs="Arial"/>
          <w:rtl/>
        </w:rPr>
        <w:t>.</w:t>
      </w:r>
      <w:r w:rsidRPr="001B3101">
        <w:rPr>
          <w:rFonts w:cs="Arial" w:hint="cs"/>
          <w:color w:val="00B0F0"/>
          <w:rtl/>
        </w:rPr>
        <w:t xml:space="preserve"> </w:t>
      </w:r>
    </w:p>
    <w:p w14:paraId="00DC2D65" w14:textId="77777777" w:rsidR="002E5BAD" w:rsidRPr="00304916" w:rsidRDefault="002E5BAD" w:rsidP="002E5BAD">
      <w:pPr>
        <w:pStyle w:val="ab"/>
        <w:numPr>
          <w:ilvl w:val="0"/>
          <w:numId w:val="136"/>
        </w:numPr>
        <w:rPr>
          <w:rFonts w:cs="Arial"/>
          <w:rtl/>
        </w:rPr>
      </w:pPr>
      <w:r>
        <w:rPr>
          <w:rFonts w:cs="Arial" w:hint="cs"/>
          <w:rtl/>
        </w:rPr>
        <w:lastRenderedPageBreak/>
        <w:t xml:space="preserve">רי"ף </w:t>
      </w:r>
      <w:r>
        <w:rPr>
          <w:rFonts w:cs="Arial" w:hint="cs"/>
          <w:sz w:val="16"/>
          <w:szCs w:val="16"/>
          <w:rtl/>
        </w:rPr>
        <w:t>(סי' רלה,</w:t>
      </w:r>
      <w:r w:rsidRPr="000B2043">
        <w:rPr>
          <w:rFonts w:cs="Arial" w:hint="cs"/>
          <w:rtl/>
        </w:rPr>
        <w:t xml:space="preserve"> </w:t>
      </w:r>
      <w:r w:rsidRPr="000B2043">
        <w:rPr>
          <w:rFonts w:cs="Arial" w:hint="cs"/>
          <w:sz w:val="16"/>
          <w:szCs w:val="16"/>
          <w:rtl/>
        </w:rPr>
        <w:t>הביאו רי"ו</w:t>
      </w:r>
      <w:r w:rsidRPr="000B2043">
        <w:rPr>
          <w:rFonts w:cs="Arial"/>
          <w:sz w:val="16"/>
          <w:szCs w:val="16"/>
          <w:rtl/>
        </w:rPr>
        <w:t xml:space="preserve"> </w:t>
      </w:r>
      <w:r w:rsidRPr="000B2043">
        <w:rPr>
          <w:rFonts w:cs="Arial" w:hint="cs"/>
          <w:sz w:val="16"/>
          <w:szCs w:val="16"/>
          <w:rtl/>
        </w:rPr>
        <w:t>[</w:t>
      </w:r>
      <w:r w:rsidRPr="000B2043">
        <w:rPr>
          <w:rFonts w:cs="Arial"/>
          <w:sz w:val="16"/>
          <w:szCs w:val="16"/>
          <w:rtl/>
        </w:rPr>
        <w:t>מישרים נכ"ג ח"ה</w:t>
      </w:r>
      <w:r w:rsidRPr="000B2043">
        <w:rPr>
          <w:rFonts w:cs="Arial" w:hint="cs"/>
          <w:sz w:val="16"/>
          <w:szCs w:val="16"/>
          <w:rtl/>
        </w:rPr>
        <w:t>]</w:t>
      </w:r>
      <w:r>
        <w:rPr>
          <w:rFonts w:cs="Arial" w:hint="cs"/>
          <w:sz w:val="16"/>
          <w:szCs w:val="16"/>
          <w:rtl/>
        </w:rPr>
        <w:t>, והביאם הדרכ"מ [אות ג])</w:t>
      </w:r>
      <w:r>
        <w:rPr>
          <w:rFonts w:cs="Arial" w:hint="cs"/>
          <w:rtl/>
        </w:rPr>
        <w:t xml:space="preserve">- </w:t>
      </w:r>
      <w:r w:rsidRPr="000B2043">
        <w:rPr>
          <w:rFonts w:cs="Arial"/>
          <w:rtl/>
        </w:rPr>
        <w:t>שאלה אם נתקטטה האשה עם חמותה ולא רצתה לדור עמה</w:t>
      </w:r>
      <w:r>
        <w:rPr>
          <w:rFonts w:cs="Arial" w:hint="cs"/>
          <w:rtl/>
        </w:rPr>
        <w:t>..</w:t>
      </w:r>
      <w:r w:rsidRPr="000B2043">
        <w:rPr>
          <w:rFonts w:cs="Arial"/>
          <w:rtl/>
        </w:rPr>
        <w:t>. תשובה</w:t>
      </w:r>
      <w:r>
        <w:rPr>
          <w:rFonts w:cs="Arial" w:hint="cs"/>
          <w:rtl/>
        </w:rPr>
        <w:t>-</w:t>
      </w:r>
      <w:r w:rsidRPr="000B2043">
        <w:rPr>
          <w:rFonts w:cs="Arial"/>
          <w:rtl/>
        </w:rPr>
        <w:t xml:space="preserve"> המנהג בכל בתי דינין שמי שמפסיד בכך שומעין לו ונותנין לה</w:t>
      </w:r>
      <w:r>
        <w:rPr>
          <w:rFonts w:cs="Arial" w:hint="cs"/>
          <w:rtl/>
        </w:rPr>
        <w:t xml:space="preserve">ן </w:t>
      </w:r>
      <w:r w:rsidRPr="000B2043">
        <w:rPr>
          <w:rFonts w:cs="Arial"/>
          <w:rtl/>
        </w:rPr>
        <w:t>אשה נאמנת שתעמוד עמהם עד שיתברר להם ממי נתגלגלה המריבה ודוחין אותה מעל חבירתה</w:t>
      </w:r>
      <w:r w:rsidRPr="000B2043">
        <w:rPr>
          <w:rFonts w:cs="Arial" w:hint="cs"/>
          <w:rtl/>
        </w:rPr>
        <w:t>.</w:t>
      </w:r>
      <w:r w:rsidRPr="001B3101">
        <w:rPr>
          <w:rFonts w:cs="Arial" w:hint="cs"/>
          <w:color w:val="E36C0A" w:themeColor="accent6" w:themeShade="BF"/>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w:t>
      </w:r>
      <w:r>
        <w:rPr>
          <w:rFonts w:cs="Arial" w:hint="cs"/>
          <w:color w:val="000000" w:themeColor="text1"/>
          <w:sz w:val="16"/>
          <w:szCs w:val="16"/>
          <w:rtl/>
        </w:rPr>
        <w:t>בסע' י]</w:t>
      </w:r>
      <w:r w:rsidRPr="008015A2">
        <w:rPr>
          <w:rFonts w:cs="Arial" w:hint="cs"/>
          <w:color w:val="E36C0A" w:themeColor="accent6" w:themeShade="BF"/>
          <w:rtl/>
        </w:rPr>
        <w:t>)</w:t>
      </w:r>
    </w:p>
    <w:p w14:paraId="19C622F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137CB5F" w14:textId="77777777" w:rsidR="002E5BAD" w:rsidRDefault="002E5BAD" w:rsidP="002E5BAD">
      <w:pPr>
        <w:rPr>
          <w:rFonts w:cs="Arial"/>
          <w:rtl/>
        </w:rPr>
      </w:pPr>
      <w:r>
        <w:rPr>
          <w:rFonts w:cs="Arial"/>
          <w:rtl/>
        </w:rPr>
        <w:t>האומר לאשתו: אין רצוני שיבואו לביתי אביך ואמך, אחיך ואחיותך, שומעין לו, ותהיה היא הולכת להם כשאירע להם דבר</w:t>
      </w:r>
      <w:r>
        <w:rPr>
          <w:rFonts w:cs="Arial" w:hint="cs"/>
          <w:rtl/>
        </w:rPr>
        <w:t>.</w:t>
      </w:r>
      <w:r>
        <w:rPr>
          <w:rFonts w:cs="Arial"/>
          <w:rtl/>
        </w:rPr>
        <w:t xml:space="preserve"> ותלך לבית אביה פעם אחת בחדש, ובכל רגל</w:t>
      </w:r>
      <w:r>
        <w:rPr>
          <w:rFonts w:cs="Arial" w:hint="cs"/>
          <w:rtl/>
        </w:rPr>
        <w:t>.</w:t>
      </w:r>
      <w:r>
        <w:rPr>
          <w:rFonts w:cs="Arial"/>
          <w:rtl/>
        </w:rPr>
        <w:t xml:space="preserve"> ולא יכנסו הם לה, אלא אם אירע לה דבר, כגון חולי או לידה. </w:t>
      </w:r>
    </w:p>
    <w:p w14:paraId="3481F3F6" w14:textId="77777777" w:rsidR="002E5BAD" w:rsidRDefault="002E5BAD" w:rsidP="002E5BAD">
      <w:pPr>
        <w:rPr>
          <w:rtl/>
        </w:rPr>
      </w:pPr>
    </w:p>
    <w:p w14:paraId="7878EA7F" w14:textId="77777777" w:rsidR="002E5BAD" w:rsidRDefault="002E5BAD" w:rsidP="002E5BAD">
      <w:pPr>
        <w:pStyle w:val="2"/>
        <w:rPr>
          <w:rtl/>
        </w:rPr>
      </w:pPr>
      <w:r>
        <w:rPr>
          <w:rtl/>
        </w:rPr>
        <w:t>סעיף י</w:t>
      </w:r>
      <w:r>
        <w:rPr>
          <w:rFonts w:hint="cs"/>
          <w:rtl/>
        </w:rPr>
        <w:t>:</w:t>
      </w:r>
      <w:r w:rsidRPr="006769B4">
        <w:rPr>
          <w:rFonts w:hint="cs"/>
          <w:rtl/>
        </w:rPr>
        <w:t xml:space="preserve"> </w:t>
      </w:r>
      <w:r>
        <w:rPr>
          <w:rFonts w:hint="cs"/>
          <w:rtl/>
        </w:rPr>
        <w:t>האומרת לבעלה 'אין רצוני שיבואו לבית אביך ואמך' וכדומה.</w:t>
      </w:r>
    </w:p>
    <w:p w14:paraId="51C90AF0" w14:textId="77777777" w:rsidR="002E5BAD" w:rsidRPr="00830C5A" w:rsidRDefault="002E5BAD" w:rsidP="002E5BAD">
      <w:pPr>
        <w:rPr>
          <w:rtl/>
        </w:rPr>
      </w:pPr>
      <w:r>
        <w:rPr>
          <w:rFonts w:hint="cs"/>
          <w:rtl/>
        </w:rPr>
        <w:t>עיין במקורות בסעיף הקודם.</w:t>
      </w:r>
    </w:p>
    <w:p w14:paraId="28B57C5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56F152D" w14:textId="77777777" w:rsidR="002E5BAD" w:rsidRDefault="002E5BAD" w:rsidP="002E5BAD">
      <w:pPr>
        <w:rPr>
          <w:rtl/>
        </w:rPr>
      </w:pPr>
      <w:r>
        <w:rPr>
          <w:rFonts w:cs="Arial"/>
          <w:rtl/>
        </w:rPr>
        <w:t>וכן היא שאמרה: אין רצוני שיבואו לבית אביך ואמך, אחיך ואחיותך, ואיני שוכנת עמהם בחצר אחד, מפני שמריעין לי ומצירין לי, שומעין לה</w:t>
      </w:r>
      <w:r>
        <w:rPr>
          <w:rFonts w:cs="Arial" w:hint="cs"/>
          <w:rtl/>
        </w:rPr>
        <w:t>.</w:t>
      </w:r>
      <w:r w:rsidRPr="00830C5A">
        <w:rPr>
          <w:rFonts w:cs="Arial"/>
          <w:sz w:val="18"/>
          <w:szCs w:val="18"/>
          <w:rtl/>
        </w:rPr>
        <w:t xml:space="preserve"> הגה: ודוקא שנראה בבית דין שיש ממש בדבריה, שהם מרעין לה וגורמין קטטה בינה לבעלה</w:t>
      </w:r>
      <w:r>
        <w:rPr>
          <w:rFonts w:cs="Arial" w:hint="cs"/>
          <w:sz w:val="18"/>
          <w:szCs w:val="18"/>
          <w:rtl/>
        </w:rPr>
        <w:t>.</w:t>
      </w:r>
      <w:r w:rsidRPr="00830C5A">
        <w:rPr>
          <w:rFonts w:cs="Arial"/>
          <w:sz w:val="18"/>
          <w:szCs w:val="18"/>
          <w:rtl/>
        </w:rPr>
        <w:t xml:space="preserve"> אבל בלאו הכי אין שומעין לה, דהא המדור אינה שלה רק של בעלה (המ"מ פי"ג דאישות). </w:t>
      </w:r>
      <w:r>
        <w:rPr>
          <w:rFonts w:cs="Arial"/>
          <w:rtl/>
        </w:rPr>
        <w:t xml:space="preserve">ונוהגין להושיב עמהם איש או אשה נאמנים, ותדור עמהן עד שיתברר על ידי מי נתגלגל הריב והקטטה. </w:t>
      </w:r>
    </w:p>
    <w:p w14:paraId="218C52D0" w14:textId="77777777" w:rsidR="002E5BAD" w:rsidRDefault="002E5BAD" w:rsidP="002E5BAD">
      <w:pPr>
        <w:rPr>
          <w:rtl/>
        </w:rPr>
      </w:pPr>
    </w:p>
    <w:p w14:paraId="1F51CBE2" w14:textId="77777777" w:rsidR="002E5BAD" w:rsidRDefault="002E5BAD" w:rsidP="002E5BAD">
      <w:pPr>
        <w:pStyle w:val="2"/>
        <w:rPr>
          <w:rtl/>
        </w:rPr>
      </w:pPr>
      <w:r>
        <w:rPr>
          <w:rtl/>
        </w:rPr>
        <w:t>סעיף יא</w:t>
      </w:r>
      <w:r>
        <w:rPr>
          <w:rFonts w:hint="cs"/>
          <w:rtl/>
        </w:rPr>
        <w:t>:</w:t>
      </w:r>
      <w:r w:rsidRPr="00304916">
        <w:rPr>
          <w:rFonts w:cs="Arial"/>
          <w:rtl/>
        </w:rPr>
        <w:t xml:space="preserve"> איש שאמ</w:t>
      </w:r>
      <w:r w:rsidRPr="00304916">
        <w:rPr>
          <w:rFonts w:cs="Arial" w:hint="cs"/>
          <w:rtl/>
        </w:rPr>
        <w:t>ר</w:t>
      </w:r>
      <w:r w:rsidRPr="00304916">
        <w:rPr>
          <w:rFonts w:cs="Arial"/>
          <w:rtl/>
        </w:rPr>
        <w:t xml:space="preserve"> </w:t>
      </w:r>
      <w:r w:rsidRPr="00304916">
        <w:rPr>
          <w:rFonts w:cs="Arial" w:hint="cs"/>
          <w:rtl/>
        </w:rPr>
        <w:t>'</w:t>
      </w:r>
      <w:r w:rsidRPr="00304916">
        <w:rPr>
          <w:rFonts w:cs="Arial"/>
          <w:rtl/>
        </w:rPr>
        <w:t xml:space="preserve">איני דר במדור זה מפני שבני אדם רעים </w:t>
      </w:r>
      <w:r>
        <w:rPr>
          <w:rFonts w:cs="Arial" w:hint="cs"/>
          <w:rtl/>
        </w:rPr>
        <w:t>וכדו'</w:t>
      </w:r>
      <w:r w:rsidRPr="00304916">
        <w:rPr>
          <w:rFonts w:cs="Arial"/>
          <w:rtl/>
        </w:rPr>
        <w:t xml:space="preserve"> בשכונתי</w:t>
      </w:r>
      <w:r>
        <w:rPr>
          <w:rFonts w:cs="Arial" w:hint="cs"/>
          <w:rtl/>
        </w:rPr>
        <w:t>'.</w:t>
      </w:r>
    </w:p>
    <w:p w14:paraId="20075A2C" w14:textId="77777777" w:rsidR="002E5BAD" w:rsidRPr="00304916" w:rsidRDefault="002E5BAD" w:rsidP="002E5BAD">
      <w:pPr>
        <w:rPr>
          <w:rFonts w:cs="Arial"/>
          <w:u w:val="single"/>
        </w:rPr>
      </w:pPr>
      <w:r w:rsidRPr="00304916">
        <w:rPr>
          <w:rFonts w:cs="Arial"/>
          <w:u w:val="single"/>
          <w:rtl/>
        </w:rPr>
        <w:t>איש</w:t>
      </w:r>
      <w:r w:rsidRPr="00304916">
        <w:rPr>
          <w:rFonts w:cs="Arial" w:hint="cs"/>
          <w:u w:val="single"/>
          <w:rtl/>
        </w:rPr>
        <w:t>/אשה</w:t>
      </w:r>
      <w:r w:rsidRPr="00304916">
        <w:rPr>
          <w:rFonts w:cs="Arial"/>
          <w:u w:val="single"/>
          <w:rtl/>
        </w:rPr>
        <w:t xml:space="preserve"> שאמ</w:t>
      </w:r>
      <w:r w:rsidRPr="00304916">
        <w:rPr>
          <w:rFonts w:cs="Arial" w:hint="cs"/>
          <w:u w:val="single"/>
          <w:rtl/>
        </w:rPr>
        <w:t>רו</w:t>
      </w:r>
      <w:r w:rsidRPr="00304916">
        <w:rPr>
          <w:rFonts w:cs="Arial"/>
          <w:u w:val="single"/>
          <w:rtl/>
        </w:rPr>
        <w:t xml:space="preserve"> </w:t>
      </w:r>
      <w:r w:rsidRPr="00304916">
        <w:rPr>
          <w:rFonts w:cs="Arial" w:hint="cs"/>
          <w:u w:val="single"/>
          <w:rtl/>
        </w:rPr>
        <w:t>'</w:t>
      </w:r>
      <w:r w:rsidRPr="00304916">
        <w:rPr>
          <w:rFonts w:cs="Arial"/>
          <w:u w:val="single"/>
          <w:rtl/>
        </w:rPr>
        <w:t>איני דר במדור זה מפני שבני אדם רעים או פרוצים או גוים בשכונתי</w:t>
      </w:r>
      <w:r w:rsidRPr="00304916">
        <w:rPr>
          <w:rFonts w:cs="Arial" w:hint="cs"/>
          <w:u w:val="single"/>
          <w:rtl/>
        </w:rPr>
        <w:t>':</w:t>
      </w:r>
    </w:p>
    <w:p w14:paraId="551AFEE2" w14:textId="77777777" w:rsidR="002E5BAD" w:rsidRPr="00304916"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(פי"ג הט"ו)</w:t>
      </w:r>
      <w:r>
        <w:rPr>
          <w:rFonts w:cs="Arial" w:hint="cs"/>
          <w:rtl/>
        </w:rPr>
        <w:t xml:space="preserve"> וטור-</w:t>
      </w:r>
      <w:r w:rsidRPr="00AD1B78">
        <w:rPr>
          <w:rtl/>
        </w:rPr>
        <w:t xml:space="preserve"> </w:t>
      </w:r>
      <w:r w:rsidRPr="00AD1B78">
        <w:rPr>
          <w:rFonts w:cs="Arial"/>
          <w:rtl/>
        </w:rPr>
        <w:t xml:space="preserve">האיש שאמר איני דר במדור זה מפני שבני אדם רעים או פרוצים או גוים בשכונתי ואני מתירא מהם </w:t>
      </w:r>
      <w:r>
        <w:rPr>
          <w:rFonts w:cs="Arial" w:hint="cs"/>
          <w:rtl/>
        </w:rPr>
        <w:t xml:space="preserve">- </w:t>
      </w:r>
      <w:r w:rsidRPr="00AD1B78">
        <w:rPr>
          <w:rFonts w:cs="Arial"/>
          <w:rtl/>
        </w:rPr>
        <w:t>שומעים לו, ואף על פי שלא הוחזקו בפריצות, שכך צוו חכמים הרחק משכן רע</w:t>
      </w:r>
      <w:r>
        <w:rPr>
          <w:rFonts w:cs="Arial" w:hint="cs"/>
          <w:rtl/>
        </w:rPr>
        <w:t>.</w:t>
      </w:r>
      <w:r w:rsidRPr="00AD1B78">
        <w:rPr>
          <w:rFonts w:cs="Arial"/>
          <w:rtl/>
        </w:rPr>
        <w:t xml:space="preserve"> ואפילו היה המדור שלה מוציאה ממנו</w:t>
      </w:r>
      <w:r>
        <w:rPr>
          <w:rFonts w:cs="Arial" w:hint="cs"/>
          <w:rtl/>
        </w:rPr>
        <w:t>,</w:t>
      </w:r>
      <w:r w:rsidRPr="00AD1B78">
        <w:rPr>
          <w:rFonts w:cs="Arial"/>
          <w:rtl/>
        </w:rPr>
        <w:t xml:space="preserve"> ושוכן בין בני אדם כשרים</w:t>
      </w:r>
      <w:r>
        <w:rPr>
          <w:rFonts w:cs="Arial" w:hint="cs"/>
          <w:rtl/>
        </w:rPr>
        <w:t>.</w:t>
      </w:r>
      <w:r w:rsidRPr="00AD1B78">
        <w:rPr>
          <w:rFonts w:cs="Arial"/>
          <w:rtl/>
        </w:rPr>
        <w:t xml:space="preserve"> וכן היא שאמרה כן</w:t>
      </w:r>
      <w:r>
        <w:rPr>
          <w:rFonts w:cs="Arial" w:hint="cs"/>
          <w:rtl/>
        </w:rPr>
        <w:t>,</w:t>
      </w:r>
      <w:r w:rsidRPr="00AD1B78">
        <w:rPr>
          <w:rFonts w:cs="Arial"/>
          <w:rtl/>
        </w:rPr>
        <w:t xml:space="preserve"> אע</w:t>
      </w:r>
      <w:r>
        <w:rPr>
          <w:rFonts w:cs="Arial" w:hint="cs"/>
          <w:rtl/>
        </w:rPr>
        <w:t>"</w:t>
      </w:r>
      <w:r w:rsidRPr="00AD1B78">
        <w:rPr>
          <w:rFonts w:cs="Arial"/>
          <w:rtl/>
        </w:rPr>
        <w:t xml:space="preserve">פ שהוא אומר אני איני מקפיד עליהם </w:t>
      </w:r>
      <w:r>
        <w:rPr>
          <w:rFonts w:cs="Arial" w:hint="cs"/>
          <w:rtl/>
        </w:rPr>
        <w:t xml:space="preserve">- </w:t>
      </w:r>
      <w:r w:rsidRPr="00AD1B78">
        <w:rPr>
          <w:rFonts w:cs="Arial"/>
          <w:rtl/>
        </w:rPr>
        <w:t>שומעין לה</w:t>
      </w:r>
      <w:r>
        <w:rPr>
          <w:rFonts w:cs="Arial" w:hint="cs"/>
          <w:rtl/>
        </w:rPr>
        <w:t>,</w:t>
      </w:r>
      <w:r w:rsidRPr="00AD1B78">
        <w:rPr>
          <w:rFonts w:cs="Arial"/>
          <w:rtl/>
        </w:rPr>
        <w:t xml:space="preserve"> מפני שהיא אומרת אין רצוני שיצא עלי שם רע בשכנות אלו.</w:t>
      </w:r>
      <w:r w:rsidRPr="00304916">
        <w:rPr>
          <w:rFonts w:cs="Arial" w:hint="cs"/>
          <w:color w:val="E36C0A" w:themeColor="accent6" w:themeShade="BF"/>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w:t>
      </w:r>
      <w:r>
        <w:rPr>
          <w:rFonts w:cs="Arial" w:hint="cs"/>
          <w:color w:val="000000" w:themeColor="text1"/>
          <w:sz w:val="16"/>
          <w:szCs w:val="16"/>
          <w:rtl/>
        </w:rPr>
        <w:t>כאן ו</w:t>
      </w:r>
      <w:r w:rsidRPr="008A18FF">
        <w:rPr>
          <w:rFonts w:cs="Arial" w:hint="cs"/>
          <w:color w:val="000000" w:themeColor="text1"/>
          <w:sz w:val="16"/>
          <w:szCs w:val="16"/>
          <w:rtl/>
        </w:rPr>
        <w:t xml:space="preserve">בסע' </w:t>
      </w:r>
      <w:r>
        <w:rPr>
          <w:rFonts w:cs="Arial" w:hint="cs"/>
          <w:color w:val="000000" w:themeColor="text1"/>
          <w:sz w:val="16"/>
          <w:szCs w:val="16"/>
          <w:rtl/>
        </w:rPr>
        <w:t>יב</w:t>
      </w:r>
      <w:r w:rsidRPr="008A18FF">
        <w:rPr>
          <w:rFonts w:cs="Arial" w:hint="cs"/>
          <w:color w:val="000000" w:themeColor="text1"/>
          <w:sz w:val="16"/>
          <w:szCs w:val="16"/>
          <w:rtl/>
        </w:rPr>
        <w:t>]</w:t>
      </w:r>
      <w:r w:rsidRPr="008015A2">
        <w:rPr>
          <w:rFonts w:cs="Arial" w:hint="cs"/>
          <w:color w:val="E36C0A" w:themeColor="accent6" w:themeShade="BF"/>
          <w:rtl/>
        </w:rPr>
        <w:t>)</w:t>
      </w:r>
    </w:p>
    <w:p w14:paraId="07B1071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D698872" w14:textId="77777777" w:rsidR="002E5BAD" w:rsidRDefault="002E5BAD" w:rsidP="002E5BAD">
      <w:pPr>
        <w:rPr>
          <w:rtl/>
        </w:rPr>
      </w:pPr>
      <w:r>
        <w:rPr>
          <w:rFonts w:cs="Arial"/>
          <w:rtl/>
        </w:rPr>
        <w:t xml:space="preserve">האיש שאמר: איני דר במבוי זה מפני שבני אדם רעים, או פריצים, או </w:t>
      </w:r>
      <w:r>
        <w:rPr>
          <w:rFonts w:cs="Arial" w:hint="cs"/>
          <w:rtl/>
        </w:rPr>
        <w:t>גוים</w:t>
      </w:r>
      <w:r>
        <w:rPr>
          <w:rFonts w:cs="Arial"/>
          <w:rtl/>
        </w:rPr>
        <w:t xml:space="preserve"> בשכונתי, ואני מתירא מהם, שומעין לו, ואף על פי שלא הוחזקו בפריצות</w:t>
      </w:r>
      <w:r>
        <w:rPr>
          <w:rFonts w:cs="Arial" w:hint="cs"/>
          <w:rtl/>
        </w:rPr>
        <w:t>.</w:t>
      </w:r>
      <w:r>
        <w:rPr>
          <w:rFonts w:cs="Arial"/>
          <w:rtl/>
        </w:rPr>
        <w:t xml:space="preserve"> ואפילו היה המדור שלה, מוציאין אותה ממנו. </w:t>
      </w:r>
    </w:p>
    <w:p w14:paraId="44A452C2" w14:textId="77777777" w:rsidR="002E5BAD" w:rsidRDefault="002E5BAD" w:rsidP="002E5BAD">
      <w:pPr>
        <w:rPr>
          <w:rtl/>
        </w:rPr>
      </w:pPr>
    </w:p>
    <w:p w14:paraId="6F07B20B" w14:textId="77777777" w:rsidR="002E5BAD" w:rsidRDefault="002E5BAD" w:rsidP="002E5BAD">
      <w:pPr>
        <w:pStyle w:val="2"/>
        <w:rPr>
          <w:rtl/>
        </w:rPr>
      </w:pPr>
      <w:r>
        <w:rPr>
          <w:rtl/>
        </w:rPr>
        <w:t>סעיף יב</w:t>
      </w:r>
      <w:r>
        <w:rPr>
          <w:rFonts w:hint="cs"/>
          <w:rtl/>
        </w:rPr>
        <w:t>: אשה שאמרה כנ"ל.</w:t>
      </w:r>
    </w:p>
    <w:p w14:paraId="15463A79" w14:textId="77777777" w:rsidR="002E5BAD" w:rsidRPr="00830C5A" w:rsidRDefault="002E5BAD" w:rsidP="002E5BAD">
      <w:pPr>
        <w:rPr>
          <w:rtl/>
        </w:rPr>
      </w:pPr>
      <w:r>
        <w:rPr>
          <w:rFonts w:hint="cs"/>
          <w:rtl/>
        </w:rPr>
        <w:t>עיין במקורות בסעיף הקודם.</w:t>
      </w:r>
    </w:p>
    <w:p w14:paraId="423DEBC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C8B177E" w14:textId="77777777" w:rsidR="002E5BAD" w:rsidRDefault="002E5BAD" w:rsidP="002E5BAD">
      <w:pPr>
        <w:rPr>
          <w:rtl/>
        </w:rPr>
      </w:pPr>
      <w:r>
        <w:rPr>
          <w:rFonts w:cs="Arial"/>
          <w:rtl/>
        </w:rPr>
        <w:t xml:space="preserve">וכן היא שאמרה כן, אף על פי שהוא אומר: איני מקפיד עליהם, שומעין לה. </w:t>
      </w:r>
      <w:r w:rsidRPr="00304916">
        <w:rPr>
          <w:rFonts w:cs="Arial"/>
          <w:sz w:val="18"/>
          <w:szCs w:val="18"/>
          <w:rtl/>
        </w:rPr>
        <w:t>(איש המכה את אשתו או היא מקללתו, עיין דינו לקמן סימן קנ"ד).</w:t>
      </w:r>
    </w:p>
    <w:p w14:paraId="5F1133AF" w14:textId="77777777" w:rsidR="002E5BAD" w:rsidRDefault="002E5BAD" w:rsidP="002E5BAD">
      <w:pPr>
        <w:rPr>
          <w:rtl/>
        </w:rPr>
      </w:pPr>
    </w:p>
    <w:p w14:paraId="31F8A488" w14:textId="77777777" w:rsidR="002E5BAD" w:rsidRDefault="002E5BAD" w:rsidP="002E5BAD">
      <w:pPr>
        <w:rPr>
          <w:rtl/>
        </w:rPr>
      </w:pPr>
    </w:p>
    <w:p w14:paraId="2ACCB4B9" w14:textId="77777777" w:rsidR="002E5BAD" w:rsidRDefault="002E5BAD" w:rsidP="002E5BAD">
      <w:pPr>
        <w:pStyle w:val="1"/>
        <w:rPr>
          <w:rtl/>
        </w:rPr>
        <w:sectPr w:rsidR="002E5BAD" w:rsidSect="00A347B3">
          <w:headerReference w:type="default" r:id="rId30"/>
          <w:footnotePr>
            <w:numRestart w:val="eachPage"/>
          </w:footnotePr>
          <w:pgSz w:w="11906" w:h="16838"/>
          <w:pgMar w:top="720" w:right="1134" w:bottom="720" w:left="1134" w:header="0" w:footer="0" w:gutter="0"/>
          <w:cols w:space="720"/>
          <w:bidi/>
          <w:rtlGutter/>
          <w:docGrid w:linePitch="360"/>
        </w:sectPr>
      </w:pPr>
    </w:p>
    <w:p w14:paraId="0A3DE358" w14:textId="77777777" w:rsidR="002E5BAD" w:rsidRDefault="002E5BAD" w:rsidP="002E5BAD">
      <w:pPr>
        <w:pStyle w:val="1"/>
        <w:rPr>
          <w:rtl/>
        </w:rPr>
      </w:pPr>
      <w:r>
        <w:rPr>
          <w:rFonts w:hint="cs"/>
          <w:rtl/>
        </w:rPr>
        <w:lastRenderedPageBreak/>
        <w:t xml:space="preserve">סימן עה: </w:t>
      </w:r>
      <w:r>
        <w:rPr>
          <w:rtl/>
        </w:rPr>
        <w:t xml:space="preserve">חילוק הארצות לענין נישואין ודיני ארץ ישראל, ובו ה' סעיפים. </w:t>
      </w:r>
    </w:p>
    <w:p w14:paraId="03475B0C" w14:textId="77777777" w:rsidR="002E5BAD" w:rsidRDefault="002E5BAD" w:rsidP="002E5BAD">
      <w:pPr>
        <w:pStyle w:val="2"/>
        <w:rPr>
          <w:rtl/>
        </w:rPr>
      </w:pPr>
      <w:r>
        <w:rPr>
          <w:rtl/>
        </w:rPr>
        <w:t>סעיף א</w:t>
      </w:r>
      <w:r>
        <w:rPr>
          <w:rFonts w:hint="cs"/>
          <w:rtl/>
        </w:rPr>
        <w:t>:</w:t>
      </w:r>
    </w:p>
    <w:p w14:paraId="637C980D" w14:textId="77777777" w:rsidR="002E5BAD" w:rsidRDefault="002E5BAD" w:rsidP="002E5BAD">
      <w:pPr>
        <w:rPr>
          <w:rFonts w:cs="Arial"/>
          <w:rtl/>
        </w:rPr>
      </w:pPr>
      <w:r w:rsidRPr="00240B1E">
        <w:rPr>
          <w:rFonts w:cs="Arial"/>
          <w:b/>
          <w:bCs/>
          <w:rtl/>
        </w:rPr>
        <w:t xml:space="preserve">כתובות </w:t>
      </w:r>
      <w:r w:rsidRPr="00240B1E">
        <w:rPr>
          <w:rFonts w:cs="Arial" w:hint="cs"/>
          <w:b/>
          <w:bCs/>
          <w:sz w:val="16"/>
          <w:szCs w:val="16"/>
          <w:rtl/>
        </w:rPr>
        <w:t>(</w:t>
      </w:r>
      <w:r w:rsidRPr="00240B1E">
        <w:rPr>
          <w:rFonts w:cs="Arial"/>
          <w:b/>
          <w:bCs/>
          <w:sz w:val="16"/>
          <w:szCs w:val="16"/>
          <w:rtl/>
        </w:rPr>
        <w:t>פ' שני דייני גזי</w:t>
      </w:r>
      <w:r w:rsidRPr="00240B1E">
        <w:rPr>
          <w:rFonts w:cs="Arial" w:hint="cs"/>
          <w:b/>
          <w:bCs/>
          <w:sz w:val="16"/>
          <w:szCs w:val="16"/>
          <w:rtl/>
        </w:rPr>
        <w:t>ר</w:t>
      </w:r>
      <w:r w:rsidRPr="00240B1E">
        <w:rPr>
          <w:rFonts w:cs="Arial"/>
          <w:b/>
          <w:bCs/>
          <w:sz w:val="16"/>
          <w:szCs w:val="16"/>
          <w:rtl/>
        </w:rPr>
        <w:t>ות</w:t>
      </w:r>
      <w:r w:rsidRPr="00240B1E">
        <w:rPr>
          <w:rFonts w:cs="Arial" w:hint="cs"/>
          <w:b/>
          <w:bCs/>
          <w:sz w:val="16"/>
          <w:szCs w:val="16"/>
          <w:rtl/>
        </w:rPr>
        <w:t>)</w:t>
      </w:r>
      <w:r w:rsidRPr="00240B1E">
        <w:rPr>
          <w:rFonts w:cs="Arial"/>
          <w:b/>
          <w:bCs/>
          <w:rtl/>
        </w:rPr>
        <w:t xml:space="preserve"> קי</w:t>
      </w:r>
      <w:r w:rsidRPr="00240B1E">
        <w:rPr>
          <w:rFonts w:cs="Arial" w:hint="cs"/>
          <w:b/>
          <w:bCs/>
          <w:rtl/>
        </w:rPr>
        <w:t xml:space="preserve"> ע"א</w:t>
      </w:r>
      <w:r w:rsidRPr="00240B1E">
        <w:rPr>
          <w:rFonts w:cs="Arial"/>
          <w:b/>
          <w:bCs/>
          <w:rtl/>
        </w:rPr>
        <w:t>:</w:t>
      </w:r>
      <w:r>
        <w:rPr>
          <w:rFonts w:cs="Arial" w:hint="cs"/>
          <w:rtl/>
        </w:rPr>
        <w:t xml:space="preserve"> </w:t>
      </w:r>
      <w:r w:rsidRPr="00240B1E">
        <w:rPr>
          <w:rFonts w:cs="Arial"/>
          <w:u w:val="double"/>
          <w:rtl/>
        </w:rPr>
        <w:t>מתני'</w:t>
      </w:r>
      <w:r>
        <w:rPr>
          <w:rFonts w:cs="Arial" w:hint="cs"/>
          <w:rtl/>
        </w:rPr>
        <w:t>:</w:t>
      </w:r>
      <w:r w:rsidRPr="00240B1E">
        <w:rPr>
          <w:rFonts w:cs="Arial"/>
          <w:rtl/>
        </w:rPr>
        <w:t xml:space="preserve"> שלש ארצות לנשואין: יהודה, ועבר הירדן, והגליל</w:t>
      </w:r>
      <w:r>
        <w:rPr>
          <w:rFonts w:cs="Arial" w:hint="cs"/>
          <w:rtl/>
        </w:rPr>
        <w:t>.</w:t>
      </w:r>
      <w:r w:rsidRPr="00240B1E">
        <w:rPr>
          <w:rFonts w:cs="Arial"/>
          <w:rtl/>
        </w:rPr>
        <w:t xml:space="preserve"> אין מוציאין מעיר לעיר ומכרך לכרך, אבל באותה הארץ מוציאין מעיר לעיר ומכרך לכרך</w:t>
      </w:r>
      <w:r>
        <w:rPr>
          <w:rFonts w:cs="Arial" w:hint="cs"/>
          <w:rtl/>
        </w:rPr>
        <w:t>...</w:t>
      </w:r>
    </w:p>
    <w:p w14:paraId="3DE20982" w14:textId="77777777" w:rsidR="002E5BAD" w:rsidRDefault="002E5BAD" w:rsidP="002E5BAD">
      <w:pPr>
        <w:rPr>
          <w:rFonts w:cs="Arial"/>
          <w:rtl/>
        </w:rPr>
      </w:pPr>
      <w:r w:rsidRPr="00A806B1">
        <w:rPr>
          <w:rFonts w:cs="Arial" w:hint="cs"/>
          <w:b/>
          <w:bCs/>
          <w:rtl/>
        </w:rPr>
        <w:t>תוספתא</w:t>
      </w:r>
      <w:r>
        <w:rPr>
          <w:rFonts w:cs="Arial" w:hint="cs"/>
          <w:b/>
          <w:bCs/>
          <w:rtl/>
        </w:rPr>
        <w:t xml:space="preserve"> </w:t>
      </w:r>
      <w:r w:rsidRPr="00A806B1">
        <w:rPr>
          <w:rFonts w:cs="Arial" w:hint="cs"/>
          <w:b/>
          <w:bCs/>
          <w:rtl/>
        </w:rPr>
        <w:t>כתובות פי"ב ה</w:t>
      </w:r>
      <w:r>
        <w:rPr>
          <w:rFonts w:cs="Arial" w:hint="cs"/>
          <w:b/>
          <w:bCs/>
          <w:rtl/>
        </w:rPr>
        <w:t>י"א</w:t>
      </w:r>
      <w:r w:rsidRPr="00A806B1">
        <w:rPr>
          <w:rFonts w:cs="Arial" w:hint="cs"/>
          <w:b/>
          <w:bCs/>
          <w:rtl/>
        </w:rPr>
        <w:t>:</w:t>
      </w:r>
      <w:r>
        <w:rPr>
          <w:rFonts w:cs="Arial" w:hint="cs"/>
          <w:rtl/>
        </w:rPr>
        <w:t xml:space="preserve"> </w:t>
      </w:r>
      <w:r w:rsidRPr="00A806B1">
        <w:rPr>
          <w:rFonts w:cs="Arial"/>
          <w:rtl/>
        </w:rPr>
        <w:t>שלש ארצות לנשואין</w:t>
      </w:r>
      <w:r>
        <w:rPr>
          <w:rFonts w:cs="Arial" w:hint="cs"/>
          <w:rtl/>
        </w:rPr>
        <w:t>,</w:t>
      </w:r>
      <w:r w:rsidRPr="00A806B1">
        <w:rPr>
          <w:rFonts w:cs="Arial"/>
          <w:rtl/>
        </w:rPr>
        <w:t xml:space="preserve"> יהודה ועבר הירדן והגליל</w:t>
      </w:r>
      <w:r>
        <w:rPr>
          <w:rFonts w:cs="Arial" w:hint="cs"/>
          <w:rtl/>
        </w:rPr>
        <w:t>.</w:t>
      </w:r>
      <w:r w:rsidRPr="00A806B1">
        <w:rPr>
          <w:rFonts w:cs="Arial"/>
          <w:rtl/>
        </w:rPr>
        <w:t xml:space="preserve"> במי דברים אמורים</w:t>
      </w:r>
      <w:r>
        <w:rPr>
          <w:rFonts w:cs="Arial" w:hint="cs"/>
          <w:rtl/>
        </w:rPr>
        <w:t>,</w:t>
      </w:r>
      <w:r w:rsidRPr="00A806B1">
        <w:rPr>
          <w:rFonts w:cs="Arial"/>
          <w:rtl/>
        </w:rPr>
        <w:t xml:space="preserve"> בזמן שהיה מיהודה וארס אשה </w:t>
      </w:r>
      <w:r>
        <w:rPr>
          <w:rFonts w:cs="Arial" w:hint="cs"/>
          <w:rtl/>
        </w:rPr>
        <w:t>ב</w:t>
      </w:r>
      <w:r w:rsidRPr="00A806B1">
        <w:rPr>
          <w:rFonts w:cs="Arial"/>
          <w:rtl/>
        </w:rPr>
        <w:t>יהודה</w:t>
      </w:r>
      <w:r>
        <w:rPr>
          <w:rFonts w:cs="Arial" w:hint="cs"/>
          <w:rtl/>
        </w:rPr>
        <w:t>,</w:t>
      </w:r>
      <w:r w:rsidRPr="00A806B1">
        <w:rPr>
          <w:rFonts w:cs="Arial"/>
          <w:rtl/>
        </w:rPr>
        <w:t xml:space="preserve"> מגליל וארס אשה </w:t>
      </w:r>
      <w:r>
        <w:rPr>
          <w:rFonts w:cs="Arial" w:hint="cs"/>
          <w:rtl/>
        </w:rPr>
        <w:t>ב</w:t>
      </w:r>
      <w:r w:rsidRPr="00A806B1">
        <w:rPr>
          <w:rFonts w:cs="Arial"/>
          <w:rtl/>
        </w:rPr>
        <w:t>גליל</w:t>
      </w:r>
      <w:r>
        <w:rPr>
          <w:rFonts w:cs="Arial" w:hint="cs"/>
          <w:rtl/>
        </w:rPr>
        <w:t>.</w:t>
      </w:r>
      <w:r w:rsidRPr="00A806B1">
        <w:rPr>
          <w:rFonts w:cs="Arial"/>
          <w:rtl/>
        </w:rPr>
        <w:t xml:space="preserve"> אבל אם היה מיהודה וארס אשה </w:t>
      </w:r>
      <w:r>
        <w:rPr>
          <w:rFonts w:cs="Arial" w:hint="cs"/>
          <w:rtl/>
        </w:rPr>
        <w:t>ב</w:t>
      </w:r>
      <w:r w:rsidRPr="00A806B1">
        <w:rPr>
          <w:rFonts w:cs="Arial"/>
          <w:rtl/>
        </w:rPr>
        <w:t>גליל</w:t>
      </w:r>
      <w:r>
        <w:rPr>
          <w:rFonts w:cs="Arial" w:hint="cs"/>
          <w:rtl/>
        </w:rPr>
        <w:t xml:space="preserve">, </w:t>
      </w:r>
      <w:r w:rsidRPr="00A806B1">
        <w:rPr>
          <w:rFonts w:cs="Arial"/>
          <w:rtl/>
        </w:rPr>
        <w:t xml:space="preserve">מגליל ואירס אשה </w:t>
      </w:r>
      <w:r>
        <w:rPr>
          <w:rFonts w:cs="Arial" w:hint="cs"/>
          <w:rtl/>
        </w:rPr>
        <w:t>ב</w:t>
      </w:r>
      <w:r w:rsidRPr="00A806B1">
        <w:rPr>
          <w:rFonts w:cs="Arial"/>
          <w:rtl/>
        </w:rPr>
        <w:t>יהודה</w:t>
      </w:r>
      <w:r>
        <w:rPr>
          <w:rFonts w:cs="Arial" w:hint="cs"/>
          <w:rtl/>
        </w:rPr>
        <w:t xml:space="preserve"> -</w:t>
      </w:r>
      <w:r w:rsidRPr="00A806B1">
        <w:rPr>
          <w:rFonts w:cs="Arial"/>
          <w:rtl/>
        </w:rPr>
        <w:t xml:space="preserve"> כופין אות</w:t>
      </w:r>
      <w:r>
        <w:rPr>
          <w:rFonts w:cs="Arial" w:hint="cs"/>
          <w:rtl/>
        </w:rPr>
        <w:t>ה</w:t>
      </w:r>
      <w:r w:rsidRPr="00A806B1">
        <w:rPr>
          <w:rFonts w:cs="Arial"/>
          <w:rtl/>
        </w:rPr>
        <w:t xml:space="preserve"> לצאת</w:t>
      </w:r>
      <w:r>
        <w:rPr>
          <w:rFonts w:cs="Arial" w:hint="cs"/>
          <w:rtl/>
        </w:rPr>
        <w:t>,</w:t>
      </w:r>
      <w:r w:rsidRPr="00A806B1">
        <w:rPr>
          <w:rFonts w:cs="Arial"/>
          <w:rtl/>
        </w:rPr>
        <w:t xml:space="preserve"> שעל מנת כן נשאה</w:t>
      </w:r>
      <w:r>
        <w:rPr>
          <w:rStyle w:val="a7"/>
          <w:rFonts w:cs="Arial"/>
          <w:rtl/>
        </w:rPr>
        <w:footnoteReference w:id="1215"/>
      </w:r>
      <w:r>
        <w:rPr>
          <w:rFonts w:cs="Arial" w:hint="cs"/>
          <w:rtl/>
        </w:rPr>
        <w:t>.</w:t>
      </w:r>
      <w:r w:rsidRPr="00A806B1">
        <w:rPr>
          <w:rFonts w:cs="Arial"/>
          <w:rtl/>
        </w:rPr>
        <w:t xml:space="preserve"> אם אמ</w:t>
      </w:r>
      <w:r>
        <w:rPr>
          <w:rFonts w:cs="Arial" w:hint="cs"/>
          <w:rtl/>
        </w:rPr>
        <w:t>ר</w:t>
      </w:r>
      <w:r w:rsidRPr="00A806B1">
        <w:rPr>
          <w:rFonts w:cs="Arial"/>
          <w:rtl/>
        </w:rPr>
        <w:t xml:space="preserve"> </w:t>
      </w:r>
      <w:r>
        <w:rPr>
          <w:rFonts w:cs="Arial" w:hint="cs"/>
          <w:rtl/>
        </w:rPr>
        <w:t>'</w:t>
      </w:r>
      <w:r w:rsidRPr="00A806B1">
        <w:rPr>
          <w:rFonts w:cs="Arial"/>
          <w:rtl/>
        </w:rPr>
        <w:t>אני פלני מיהודה נשאתי אשה מגליל</w:t>
      </w:r>
      <w:r>
        <w:rPr>
          <w:rFonts w:cs="Arial" w:hint="cs"/>
          <w:rtl/>
        </w:rPr>
        <w:t>' -</w:t>
      </w:r>
      <w:r w:rsidRPr="00A806B1">
        <w:rPr>
          <w:rFonts w:cs="Arial"/>
          <w:rtl/>
        </w:rPr>
        <w:t xml:space="preserve"> אין כופין אותה לצאת</w:t>
      </w:r>
      <w:r>
        <w:rPr>
          <w:rFonts w:cs="Arial" w:hint="cs"/>
          <w:rtl/>
        </w:rPr>
        <w:t>.</w:t>
      </w:r>
      <w:r w:rsidRPr="00A806B1">
        <w:rPr>
          <w:rFonts w:cs="Arial"/>
          <w:rtl/>
        </w:rPr>
        <w:t xml:space="preserve"> ו</w:t>
      </w:r>
      <w:r>
        <w:rPr>
          <w:rFonts w:cs="Arial" w:hint="cs"/>
          <w:rtl/>
        </w:rPr>
        <w:t>-'</w:t>
      </w:r>
      <w:r w:rsidRPr="00A806B1">
        <w:rPr>
          <w:rFonts w:cs="Arial"/>
          <w:rtl/>
        </w:rPr>
        <w:t>בגליל</w:t>
      </w:r>
      <w:r>
        <w:rPr>
          <w:rFonts w:cs="Arial" w:hint="cs"/>
          <w:rtl/>
        </w:rPr>
        <w:t>'</w:t>
      </w:r>
      <w:r w:rsidRPr="00A806B1">
        <w:rPr>
          <w:rFonts w:cs="Arial"/>
          <w:rtl/>
        </w:rPr>
        <w:t xml:space="preserve"> </w:t>
      </w:r>
      <w:r>
        <w:rPr>
          <w:rFonts w:cs="Arial" w:hint="cs"/>
          <w:rtl/>
        </w:rPr>
        <w:t xml:space="preserve">- </w:t>
      </w:r>
      <w:r w:rsidRPr="00A806B1">
        <w:rPr>
          <w:rFonts w:cs="Arial"/>
          <w:rtl/>
        </w:rPr>
        <w:t>כופין אותה לצאת</w:t>
      </w:r>
      <w:r>
        <w:rPr>
          <w:rStyle w:val="a7"/>
          <w:rFonts w:cs="Arial"/>
          <w:rtl/>
        </w:rPr>
        <w:footnoteReference w:id="1216"/>
      </w:r>
      <w:r>
        <w:rPr>
          <w:rFonts w:cs="Arial" w:hint="cs"/>
          <w:rtl/>
        </w:rPr>
        <w:t>.</w:t>
      </w:r>
    </w:p>
    <w:p w14:paraId="2393A874" w14:textId="77777777" w:rsidR="002E5BAD" w:rsidRPr="000F29DE" w:rsidRDefault="002E5BAD" w:rsidP="002E5BAD">
      <w:pPr>
        <w:rPr>
          <w:rFonts w:cs="Arial"/>
          <w:sz w:val="16"/>
          <w:szCs w:val="16"/>
          <w:rtl/>
        </w:rPr>
      </w:pPr>
      <w:r w:rsidRPr="00742339">
        <w:rPr>
          <w:rFonts w:cs="Arial" w:hint="cs"/>
          <w:b/>
          <w:bCs/>
          <w:rtl/>
        </w:rPr>
        <w:t>ירושלמי כתובות פי"ג ה"י:</w:t>
      </w:r>
      <w:r>
        <w:rPr>
          <w:rFonts w:cs="Arial" w:hint="cs"/>
          <w:rtl/>
        </w:rPr>
        <w:t xml:space="preserve"> </w:t>
      </w:r>
      <w:r w:rsidRPr="00742339">
        <w:rPr>
          <w:rFonts w:cs="Arial"/>
          <w:u w:val="double"/>
          <w:rtl/>
        </w:rPr>
        <w:t>מתני'</w:t>
      </w:r>
      <w:r>
        <w:rPr>
          <w:rFonts w:cs="Arial" w:hint="cs"/>
          <w:rtl/>
        </w:rPr>
        <w:t>:</w:t>
      </w:r>
      <w:r w:rsidRPr="00742339">
        <w:rPr>
          <w:rFonts w:cs="Arial"/>
          <w:rtl/>
        </w:rPr>
        <w:t xml:space="preserve"> שלוש ארצות לנישואין</w:t>
      </w:r>
      <w:r>
        <w:rPr>
          <w:rFonts w:cs="Arial" w:hint="cs"/>
          <w:rtl/>
        </w:rPr>
        <w:t>,</w:t>
      </w:r>
      <w:r w:rsidRPr="00742339">
        <w:rPr>
          <w:rFonts w:cs="Arial"/>
          <w:rtl/>
        </w:rPr>
        <w:t xml:space="preserve"> יהודה עבר הירדן והגליל</w:t>
      </w:r>
      <w:r>
        <w:rPr>
          <w:rFonts w:cs="Arial" w:hint="cs"/>
          <w:rtl/>
        </w:rPr>
        <w:t>.</w:t>
      </w:r>
      <w:r w:rsidRPr="00742339">
        <w:rPr>
          <w:rFonts w:cs="Arial"/>
          <w:rtl/>
        </w:rPr>
        <w:t xml:space="preserve"> אין מוציאין מעיר לעיר</w:t>
      </w:r>
      <w:r>
        <w:rPr>
          <w:rFonts w:cs="Arial" w:hint="cs"/>
          <w:rtl/>
        </w:rPr>
        <w:t>...</w:t>
      </w:r>
      <w:r w:rsidRPr="00742339">
        <w:rPr>
          <w:rFonts w:cs="Arial"/>
          <w:rtl/>
        </w:rPr>
        <w:t xml:space="preserve"> </w:t>
      </w:r>
      <w:r>
        <w:rPr>
          <w:rFonts w:cs="Arial" w:hint="cs"/>
          <w:rtl/>
        </w:rPr>
        <w:t xml:space="preserve">   </w:t>
      </w:r>
      <w:r w:rsidRPr="00742339">
        <w:rPr>
          <w:rFonts w:cs="Arial" w:hint="cs"/>
          <w:u w:val="double"/>
          <w:rtl/>
        </w:rPr>
        <w:t>גמ'</w:t>
      </w:r>
      <w:r>
        <w:rPr>
          <w:rFonts w:cs="Arial" w:hint="cs"/>
          <w:rtl/>
        </w:rPr>
        <w:t xml:space="preserve">: </w:t>
      </w:r>
      <w:r w:rsidRPr="00742339">
        <w:rPr>
          <w:rFonts w:cs="Arial"/>
          <w:rtl/>
        </w:rPr>
        <w:t>מתניתא כשהיה ביהודה ונשא אשה מגליל</w:t>
      </w:r>
      <w:r>
        <w:rPr>
          <w:rFonts w:cs="Arial" w:hint="cs"/>
          <w:rtl/>
        </w:rPr>
        <w:t>,</w:t>
      </w:r>
      <w:r w:rsidRPr="00742339">
        <w:rPr>
          <w:rFonts w:cs="Arial"/>
          <w:rtl/>
        </w:rPr>
        <w:t xml:space="preserve"> בגליל ונשא אשה מיהודה</w:t>
      </w:r>
      <w:r>
        <w:rPr>
          <w:rFonts w:cs="Arial" w:hint="cs"/>
          <w:rtl/>
        </w:rPr>
        <w:t>.</w:t>
      </w:r>
      <w:r w:rsidRPr="00742339">
        <w:rPr>
          <w:rFonts w:cs="Arial"/>
          <w:rtl/>
        </w:rPr>
        <w:t xml:space="preserve"> אבל אם היה מיהודה ונשא אשה מיהודה</w:t>
      </w:r>
      <w:r>
        <w:rPr>
          <w:rFonts w:cs="Arial" w:hint="cs"/>
          <w:rtl/>
        </w:rPr>
        <w:t>,</w:t>
      </w:r>
      <w:r w:rsidRPr="00742339">
        <w:rPr>
          <w:rFonts w:cs="Arial"/>
          <w:rtl/>
        </w:rPr>
        <w:t xml:space="preserve"> מגליל ונשא אשה מגליל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w:t>
      </w:r>
      <w:r>
        <w:rPr>
          <w:rFonts w:cs="Arial" w:hint="cs"/>
          <w:rtl/>
        </w:rPr>
        <w:t>'</w:t>
      </w:r>
      <w:r w:rsidRPr="00742339">
        <w:rPr>
          <w:rFonts w:cs="Arial"/>
          <w:rtl/>
        </w:rPr>
        <w:t>אני פלוני שמיהודה</w:t>
      </w:r>
      <w:r>
        <w:rPr>
          <w:rFonts w:cs="Arial" w:hint="cs"/>
          <w:rtl/>
        </w:rPr>
        <w:t>',</w:t>
      </w:r>
      <w:r w:rsidRPr="00742339">
        <w:rPr>
          <w:rFonts w:cs="Arial"/>
          <w:rtl/>
        </w:rPr>
        <w:t xml:space="preserve"> ונשא אשה מיהודה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מגליל </w:t>
      </w:r>
      <w:r>
        <w:rPr>
          <w:rFonts w:cs="Arial" w:hint="cs"/>
          <w:rtl/>
        </w:rPr>
        <w:t xml:space="preserve">- </w:t>
      </w:r>
      <w:r w:rsidRPr="00742339">
        <w:rPr>
          <w:rFonts w:cs="Arial"/>
          <w:rtl/>
        </w:rPr>
        <w:t>אין כופין אותה לצאת</w:t>
      </w:r>
      <w:r>
        <w:rPr>
          <w:rFonts w:cs="Arial" w:hint="cs"/>
          <w:rtl/>
        </w:rPr>
        <w:t>.</w:t>
      </w:r>
      <w:r w:rsidRPr="00742339">
        <w:rPr>
          <w:rFonts w:cs="Arial"/>
          <w:rtl/>
        </w:rPr>
        <w:t xml:space="preserve"> </w:t>
      </w:r>
      <w:r>
        <w:rPr>
          <w:rFonts w:cs="Arial" w:hint="cs"/>
          <w:rtl/>
        </w:rPr>
        <w:t>'</w:t>
      </w:r>
      <w:r w:rsidRPr="00742339">
        <w:rPr>
          <w:rFonts w:cs="Arial"/>
          <w:rtl/>
        </w:rPr>
        <w:t>אני פלוני שמגליל</w:t>
      </w:r>
      <w:r>
        <w:rPr>
          <w:rFonts w:cs="Arial" w:hint="cs"/>
          <w:rtl/>
        </w:rPr>
        <w:t>',</w:t>
      </w:r>
      <w:r w:rsidRPr="00742339">
        <w:rPr>
          <w:rFonts w:cs="Arial"/>
          <w:rtl/>
        </w:rPr>
        <w:t xml:space="preserve"> ונשא אשה מגליל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מיהודה </w:t>
      </w:r>
      <w:r>
        <w:rPr>
          <w:rFonts w:cs="Arial" w:hint="cs"/>
          <w:rtl/>
        </w:rPr>
        <w:t xml:space="preserve">- </w:t>
      </w:r>
      <w:r w:rsidRPr="00742339">
        <w:rPr>
          <w:rFonts w:cs="Arial"/>
          <w:rtl/>
        </w:rPr>
        <w:t>אין כופין אותה לצאת</w:t>
      </w:r>
      <w:r>
        <w:rPr>
          <w:rFonts w:cs="Arial" w:hint="cs"/>
          <w:rtl/>
        </w:rPr>
        <w:t>.</w:t>
      </w:r>
      <w:r w:rsidRPr="00742339">
        <w:rPr>
          <w:rFonts w:cs="Arial"/>
          <w:rtl/>
        </w:rPr>
        <w:t xml:space="preserve"> </w:t>
      </w:r>
      <w:r>
        <w:rPr>
          <w:rFonts w:cs="Arial" w:hint="cs"/>
          <w:sz w:val="16"/>
          <w:szCs w:val="16"/>
          <w:rtl/>
        </w:rPr>
        <w:t xml:space="preserve">(הרי"ף והרמב"ם לא הביאו את דברי הירושלמי, אלא רק את דברי התוספתא. אבל </w:t>
      </w:r>
      <w:r w:rsidRPr="000F29DE">
        <w:rPr>
          <w:rFonts w:cs="Arial"/>
          <w:sz w:val="16"/>
          <w:szCs w:val="16"/>
          <w:rtl/>
        </w:rPr>
        <w:t>הרא"ש (סי' יז) והמרדכי (סי' רפ)</w:t>
      </w:r>
      <w:r>
        <w:rPr>
          <w:rFonts w:cs="Arial" w:hint="cs"/>
          <w:sz w:val="16"/>
          <w:szCs w:val="16"/>
          <w:rtl/>
        </w:rPr>
        <w:t xml:space="preserve"> הביאו את דברי הירושלמי וכתבו- </w:t>
      </w:r>
      <w:r w:rsidRPr="000F29DE">
        <w:rPr>
          <w:rFonts w:cs="Arial"/>
          <w:sz w:val="16"/>
          <w:szCs w:val="16"/>
          <w:rtl/>
        </w:rPr>
        <w:t>לכאורה התוספתא והירושלמי סותרין זה את זה</w:t>
      </w:r>
      <w:r>
        <w:rPr>
          <w:rFonts w:cs="Arial" w:hint="cs"/>
          <w:sz w:val="16"/>
          <w:szCs w:val="16"/>
          <w:rtl/>
        </w:rPr>
        <w:t>,</w:t>
      </w:r>
      <w:r w:rsidRPr="000F29DE">
        <w:rPr>
          <w:rFonts w:cs="Arial"/>
          <w:sz w:val="16"/>
          <w:szCs w:val="16"/>
          <w:rtl/>
        </w:rPr>
        <w:t xml:space="preserve"> </w:t>
      </w:r>
      <w:r w:rsidRPr="000F29DE">
        <w:rPr>
          <w:rFonts w:cs="Arial"/>
          <w:sz w:val="16"/>
          <w:szCs w:val="16"/>
          <w:u w:val="single"/>
          <w:rtl/>
        </w:rPr>
        <w:t>ופירש הר"מ התוספתא</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במה דברים אמורים שהיה מיהודה ואירס אשה ביהודה אין יכול להוציאה למדינה אחרת</w:t>
      </w:r>
      <w:r w:rsidRPr="000F29DE">
        <w:rPr>
          <w:rFonts w:cs="Arial" w:hint="cs"/>
          <w:sz w:val="16"/>
          <w:szCs w:val="16"/>
          <w:rtl/>
        </w:rPr>
        <w:t>'</w:t>
      </w:r>
      <w:r w:rsidRPr="000F29DE">
        <w:rPr>
          <w:rFonts w:cs="Arial"/>
          <w:sz w:val="16"/>
          <w:szCs w:val="16"/>
          <w:rtl/>
        </w:rPr>
        <w:t xml:space="preserve"> אע</w:t>
      </w:r>
      <w:r w:rsidRPr="000F29DE">
        <w:rPr>
          <w:rFonts w:cs="Arial" w:hint="cs"/>
          <w:sz w:val="16"/>
          <w:szCs w:val="16"/>
          <w:rtl/>
        </w:rPr>
        <w:t>"</w:t>
      </w:r>
      <w:r w:rsidRPr="000F29DE">
        <w:rPr>
          <w:rFonts w:cs="Arial"/>
          <w:sz w:val="16"/>
          <w:szCs w:val="16"/>
          <w:rtl/>
        </w:rPr>
        <w:t>פ שהאשה מגליל אינו יכול להוציאה מיהודה ולא מצי למימר לה והלא אין זה מקום מולדתך מאי איכפת לך אם אדור כאן או במדינה אחרת</w:t>
      </w:r>
      <w:r w:rsidRPr="000F29DE">
        <w:rPr>
          <w:rFonts w:cs="Arial" w:hint="cs"/>
          <w:sz w:val="16"/>
          <w:szCs w:val="16"/>
          <w:rtl/>
        </w:rPr>
        <w:t>,</w:t>
      </w:r>
      <w:r w:rsidRPr="000F29DE">
        <w:rPr>
          <w:rFonts w:cs="Arial"/>
          <w:sz w:val="16"/>
          <w:szCs w:val="16"/>
          <w:rtl/>
        </w:rPr>
        <w:t xml:space="preserve"> דכיון דאירסה ביהודה מצי למימר אדעתא דהכי נתקדשתי לך לדור ביהודה</w:t>
      </w:r>
      <w:r w:rsidRPr="000F29DE">
        <w:rPr>
          <w:rFonts w:cs="Arial" w:hint="cs"/>
          <w:sz w:val="16"/>
          <w:szCs w:val="16"/>
          <w:rtl/>
        </w:rPr>
        <w:t>,</w:t>
      </w:r>
      <w:r w:rsidRPr="000F29DE">
        <w:rPr>
          <w:rFonts w:cs="Arial"/>
          <w:sz w:val="16"/>
          <w:szCs w:val="16"/>
          <w:rtl/>
        </w:rPr>
        <w:t xml:space="preserve"> כי שם יש לי נחת רוח יותר כי הורגלתי שם</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אבל אם היה מיהודה ואירס אשה בגליל</w:t>
      </w:r>
      <w:r w:rsidRPr="000F29DE">
        <w:rPr>
          <w:rFonts w:cs="Arial" w:hint="cs"/>
          <w:sz w:val="16"/>
          <w:szCs w:val="16"/>
          <w:rtl/>
        </w:rPr>
        <w:t>...</w:t>
      </w:r>
      <w:r w:rsidRPr="000F29DE">
        <w:rPr>
          <w:rFonts w:cs="Arial"/>
          <w:sz w:val="16"/>
          <w:szCs w:val="16"/>
          <w:rtl/>
        </w:rPr>
        <w:t xml:space="preserve">' אפילו הלך לגליל וקדשה בסתם </w:t>
      </w:r>
      <w:r w:rsidRPr="000F29DE">
        <w:rPr>
          <w:rFonts w:cs="Arial" w:hint="cs"/>
          <w:sz w:val="16"/>
          <w:szCs w:val="16"/>
          <w:rtl/>
        </w:rPr>
        <w:t xml:space="preserve">- </w:t>
      </w:r>
      <w:r w:rsidRPr="000F29DE">
        <w:rPr>
          <w:rFonts w:cs="Arial"/>
          <w:sz w:val="16"/>
          <w:szCs w:val="16"/>
          <w:rtl/>
        </w:rPr>
        <w:t>כופין אותה לצאת ליהודה</w:t>
      </w:r>
      <w:r w:rsidRPr="000F29DE">
        <w:rPr>
          <w:rFonts w:cs="Arial" w:hint="cs"/>
          <w:sz w:val="16"/>
          <w:szCs w:val="16"/>
          <w:rtl/>
        </w:rPr>
        <w:t>.</w:t>
      </w:r>
      <w:r w:rsidRPr="000F29DE">
        <w:rPr>
          <w:rFonts w:cs="Arial"/>
          <w:sz w:val="16"/>
          <w:szCs w:val="16"/>
          <w:rtl/>
        </w:rPr>
        <w:t xml:space="preserve"> והא דקתני </w:t>
      </w:r>
      <w:r w:rsidRPr="000F29DE">
        <w:rPr>
          <w:rFonts w:cs="Arial" w:hint="cs"/>
          <w:sz w:val="16"/>
          <w:szCs w:val="16"/>
          <w:rtl/>
        </w:rPr>
        <w:t>'</w:t>
      </w:r>
      <w:r w:rsidRPr="000F29DE">
        <w:rPr>
          <w:rFonts w:cs="Arial"/>
          <w:sz w:val="16"/>
          <w:szCs w:val="16"/>
          <w:rtl/>
        </w:rPr>
        <w:t>שעל מנת כן נשאה</w:t>
      </w:r>
      <w:r w:rsidRPr="000F29DE">
        <w:rPr>
          <w:rFonts w:cs="Arial" w:hint="cs"/>
          <w:sz w:val="16"/>
          <w:szCs w:val="16"/>
          <w:rtl/>
        </w:rPr>
        <w:t>'</w:t>
      </w:r>
      <w:r w:rsidRPr="000F29DE">
        <w:rPr>
          <w:rFonts w:cs="Arial"/>
          <w:sz w:val="16"/>
          <w:szCs w:val="16"/>
          <w:rtl/>
        </w:rPr>
        <w:t xml:space="preserve"> ולא קתני קדשה</w:t>
      </w:r>
      <w:r w:rsidRPr="000F29DE">
        <w:rPr>
          <w:rFonts w:cs="Arial" w:hint="cs"/>
          <w:sz w:val="16"/>
          <w:szCs w:val="16"/>
          <w:rtl/>
        </w:rPr>
        <w:t>,</w:t>
      </w:r>
      <w:r w:rsidRPr="000F29DE">
        <w:rPr>
          <w:rFonts w:cs="Arial"/>
          <w:sz w:val="16"/>
          <w:szCs w:val="16"/>
          <w:rtl/>
        </w:rPr>
        <w:t xml:space="preserve"> כיון דבקדושין מיירי י"ל דאשמועינן רבותא דאפילו אם אח"כ נשאה באחת משאר ארצות כגון בעבר הירדן כופין אותה לצאת ליהודה מתי שירצה</w:t>
      </w:r>
      <w:r w:rsidRPr="000F29DE">
        <w:rPr>
          <w:rFonts w:cs="Arial" w:hint="cs"/>
          <w:sz w:val="16"/>
          <w:szCs w:val="16"/>
          <w:rtl/>
        </w:rPr>
        <w:t>,</w:t>
      </w:r>
      <w:r w:rsidRPr="000F29DE">
        <w:rPr>
          <w:rFonts w:cs="Arial"/>
          <w:sz w:val="16"/>
          <w:szCs w:val="16"/>
          <w:rtl/>
        </w:rPr>
        <w:t xml:space="preserve"> שעל מנת כן נשאה ע"ד קדושין הראשונים</w:t>
      </w:r>
      <w:r w:rsidRPr="000F29DE">
        <w:rPr>
          <w:rFonts w:cs="Arial" w:hint="cs"/>
          <w:sz w:val="16"/>
          <w:szCs w:val="16"/>
          <w:rtl/>
        </w:rPr>
        <w:t>,</w:t>
      </w:r>
      <w:r w:rsidRPr="000F29DE">
        <w:rPr>
          <w:rFonts w:cs="Arial"/>
          <w:sz w:val="16"/>
          <w:szCs w:val="16"/>
          <w:rtl/>
        </w:rPr>
        <w:t xml:space="preserve"> וכיון דבשעת קדושין היה דר ביהודה</w:t>
      </w:r>
      <w:r w:rsidRPr="000F29DE">
        <w:rPr>
          <w:rFonts w:cs="Arial" w:hint="cs"/>
          <w:sz w:val="16"/>
          <w:szCs w:val="16"/>
          <w:rtl/>
        </w:rPr>
        <w:t>,</w:t>
      </w:r>
      <w:r w:rsidRPr="000F29DE">
        <w:rPr>
          <w:rFonts w:cs="Arial"/>
          <w:sz w:val="16"/>
          <w:szCs w:val="16"/>
          <w:rtl/>
        </w:rPr>
        <w:t xml:space="preserve"> הוי כאילו התנה שתלך אחריו ליהודה</w:t>
      </w:r>
      <w:r w:rsidRPr="000F29DE">
        <w:rPr>
          <w:rFonts w:cs="Arial" w:hint="cs"/>
          <w:sz w:val="16"/>
          <w:szCs w:val="16"/>
          <w:rtl/>
        </w:rPr>
        <w:t>.</w:t>
      </w:r>
      <w:r w:rsidRPr="000F29DE">
        <w:rPr>
          <w:rFonts w:cs="Arial"/>
          <w:sz w:val="16"/>
          <w:szCs w:val="16"/>
          <w:rtl/>
        </w:rPr>
        <w:t xml:space="preserve"> </w:t>
      </w:r>
      <w:r w:rsidRPr="000F29DE">
        <w:rPr>
          <w:rFonts w:cs="Arial"/>
          <w:sz w:val="16"/>
          <w:szCs w:val="16"/>
          <w:u w:val="single"/>
          <w:rtl/>
        </w:rPr>
        <w:t>והירושלמי ה</w:t>
      </w:r>
      <w:r w:rsidRPr="000F29DE">
        <w:rPr>
          <w:rFonts w:cs="Arial" w:hint="cs"/>
          <w:sz w:val="16"/>
          <w:szCs w:val="16"/>
          <w:u w:val="single"/>
          <w:rtl/>
        </w:rPr>
        <w:t>כי פירושו</w:t>
      </w:r>
      <w:r w:rsidRPr="000F29DE">
        <w:rPr>
          <w:rFonts w:cs="Arial" w:hint="cs"/>
          <w:sz w:val="16"/>
          <w:szCs w:val="16"/>
          <w:rtl/>
        </w:rPr>
        <w:t>-</w:t>
      </w:r>
      <w:r w:rsidRPr="000F29DE">
        <w:rPr>
          <w:rFonts w:cs="Arial"/>
          <w:sz w:val="16"/>
          <w:szCs w:val="16"/>
          <w:rtl/>
        </w:rPr>
        <w:t xml:space="preserve"> מתני' כשהיה מיהודה ונשא בגליל פי' שהלך שם </w:t>
      </w:r>
      <w:r w:rsidRPr="000F29DE">
        <w:rPr>
          <w:rFonts w:cs="Arial"/>
          <w:b/>
          <w:bCs/>
          <w:sz w:val="16"/>
          <w:szCs w:val="16"/>
          <w:rtl/>
        </w:rPr>
        <w:t>ונשאה</w:t>
      </w:r>
      <w:r>
        <w:rPr>
          <w:rFonts w:cs="Arial" w:hint="cs"/>
          <w:sz w:val="14"/>
          <w:szCs w:val="14"/>
          <w:rtl/>
        </w:rPr>
        <w:t xml:space="preserve"> {ולא אירס/קידש כבתוספתא}</w:t>
      </w:r>
      <w:r w:rsidRPr="000F29DE">
        <w:rPr>
          <w:rFonts w:cs="Arial" w:hint="cs"/>
          <w:sz w:val="16"/>
          <w:szCs w:val="16"/>
          <w:rtl/>
        </w:rPr>
        <w:t>,</w:t>
      </w:r>
      <w:r w:rsidRPr="000F29DE">
        <w:rPr>
          <w:rFonts w:cs="Arial"/>
          <w:sz w:val="16"/>
          <w:szCs w:val="16"/>
          <w:rtl/>
        </w:rPr>
        <w:t xml:space="preserve"> כיון דהנשואין היו בגליל </w:t>
      </w:r>
      <w:r>
        <w:rPr>
          <w:rFonts w:cs="Arial" w:hint="cs"/>
          <w:sz w:val="16"/>
          <w:szCs w:val="16"/>
          <w:rtl/>
        </w:rPr>
        <w:t xml:space="preserve">- </w:t>
      </w:r>
      <w:r w:rsidRPr="000F29DE">
        <w:rPr>
          <w:rFonts w:cs="Arial"/>
          <w:sz w:val="16"/>
          <w:szCs w:val="16"/>
          <w:rtl/>
        </w:rPr>
        <w:t>אין כופין אותה לילך אחריו ליהודה</w:t>
      </w:r>
      <w:r w:rsidRPr="000F29DE">
        <w:rPr>
          <w:rFonts w:cs="Arial" w:hint="cs"/>
          <w:sz w:val="16"/>
          <w:szCs w:val="16"/>
          <w:rtl/>
        </w:rPr>
        <w:t>.</w:t>
      </w:r>
      <w:r w:rsidRPr="000F29DE">
        <w:rPr>
          <w:rFonts w:cs="Arial"/>
          <w:sz w:val="16"/>
          <w:szCs w:val="16"/>
          <w:rtl/>
        </w:rPr>
        <w:t xml:space="preserve"> אבל אם היה מיהודה ונשא אשה ביהודה שהיא מגליל</w:t>
      </w:r>
      <w:r w:rsidRPr="000F29DE">
        <w:rPr>
          <w:rFonts w:cs="Arial" w:hint="cs"/>
          <w:sz w:val="16"/>
          <w:szCs w:val="16"/>
          <w:rtl/>
        </w:rPr>
        <w:t>,</w:t>
      </w:r>
      <w:r w:rsidRPr="000F29DE">
        <w:rPr>
          <w:rFonts w:cs="Arial"/>
          <w:sz w:val="16"/>
          <w:szCs w:val="16"/>
          <w:rtl/>
        </w:rPr>
        <w:t xml:space="preserve"> ושוב מרדה ושבה אל בית אביה לגליל</w:t>
      </w:r>
      <w:r w:rsidRPr="000F29DE">
        <w:rPr>
          <w:rFonts w:cs="Arial" w:hint="cs"/>
          <w:sz w:val="16"/>
          <w:szCs w:val="16"/>
          <w:rtl/>
        </w:rPr>
        <w:t xml:space="preserve"> -</w:t>
      </w:r>
      <w:r w:rsidRPr="000F29DE">
        <w:rPr>
          <w:rFonts w:cs="Arial"/>
          <w:sz w:val="16"/>
          <w:szCs w:val="16"/>
          <w:rtl/>
        </w:rPr>
        <w:t xml:space="preserve"> כופין אותה לצאת משם ליהודה</w:t>
      </w:r>
      <w:r w:rsidRPr="000F29DE">
        <w:rPr>
          <w:rFonts w:cs="Arial" w:hint="cs"/>
          <w:sz w:val="16"/>
          <w:szCs w:val="16"/>
          <w:rtl/>
        </w:rPr>
        <w:t>,</w:t>
      </w:r>
      <w:r w:rsidRPr="000F29DE">
        <w:rPr>
          <w:rFonts w:cs="Arial"/>
          <w:sz w:val="16"/>
          <w:szCs w:val="16"/>
          <w:rtl/>
        </w:rPr>
        <w:t xml:space="preserve"> כיון שנשאת לו ביהודה. </w:t>
      </w:r>
      <w:r w:rsidRPr="000F29DE">
        <w:rPr>
          <w:rFonts w:cs="Arial" w:hint="cs"/>
          <w:sz w:val="16"/>
          <w:szCs w:val="16"/>
          <w:rtl/>
        </w:rPr>
        <w:t>'</w:t>
      </w:r>
      <w:r w:rsidRPr="000F29DE">
        <w:rPr>
          <w:rFonts w:cs="Arial"/>
          <w:sz w:val="16"/>
          <w:szCs w:val="16"/>
          <w:rtl/>
        </w:rPr>
        <w:t>אני פלוני שמיהודה</w:t>
      </w:r>
      <w:r w:rsidRPr="000F29DE">
        <w:rPr>
          <w:rFonts w:cs="Arial" w:hint="cs"/>
          <w:sz w:val="16"/>
          <w:szCs w:val="16"/>
          <w:rtl/>
        </w:rPr>
        <w:t>...</w:t>
      </w:r>
      <w:r w:rsidRPr="000F29DE">
        <w:rPr>
          <w:rFonts w:cs="Arial"/>
          <w:sz w:val="16"/>
          <w:szCs w:val="16"/>
          <w:rtl/>
        </w:rPr>
        <w:t>' כך היו רגילים לכתוב ולחתום בשעת נשואין</w:t>
      </w:r>
      <w:r w:rsidRPr="000F29DE">
        <w:rPr>
          <w:rFonts w:cs="Arial" w:hint="cs"/>
          <w:sz w:val="16"/>
          <w:szCs w:val="16"/>
          <w:rtl/>
        </w:rPr>
        <w:t>,</w:t>
      </w:r>
      <w:r w:rsidRPr="000F29DE">
        <w:rPr>
          <w:rFonts w:cs="Arial"/>
          <w:sz w:val="16"/>
          <w:szCs w:val="16"/>
          <w:rtl/>
        </w:rPr>
        <w:t xml:space="preserve"> לפי שיש מקומות שאין כותבין כתובה וישתכח הדבר באי זה מקום נשאה</w:t>
      </w:r>
      <w:r w:rsidRPr="000F29DE">
        <w:rPr>
          <w:rFonts w:cs="Arial" w:hint="cs"/>
          <w:sz w:val="16"/>
          <w:szCs w:val="16"/>
          <w:rtl/>
        </w:rPr>
        <w:t>.</w:t>
      </w:r>
      <w:r w:rsidRPr="000F29DE">
        <w:rPr>
          <w:rFonts w:cs="Arial"/>
          <w:sz w:val="16"/>
          <w:szCs w:val="16"/>
          <w:rtl/>
        </w:rPr>
        <w:t xml:space="preserve"> ואפילו במקום שכותבין כתובה שמא תטמין הכתובה ותאמר שנשאה בגליל לפיכך היו כותבין לידע באי זה מקום נשאה. </w:t>
      </w:r>
      <w:r w:rsidRPr="000F29DE">
        <w:rPr>
          <w:rFonts w:cs="Arial" w:hint="cs"/>
          <w:sz w:val="16"/>
          <w:szCs w:val="16"/>
          <w:rtl/>
        </w:rPr>
        <w:t>'</w:t>
      </w:r>
      <w:r w:rsidRPr="000F29DE">
        <w:rPr>
          <w:rFonts w:cs="Arial"/>
          <w:sz w:val="16"/>
          <w:szCs w:val="16"/>
          <w:rtl/>
        </w:rPr>
        <w:t>כופין אותה לצאת</w:t>
      </w:r>
      <w:r w:rsidRPr="000F29DE">
        <w:rPr>
          <w:rFonts w:cs="Arial" w:hint="cs"/>
          <w:sz w:val="16"/>
          <w:szCs w:val="16"/>
          <w:rtl/>
        </w:rPr>
        <w:t>'</w:t>
      </w:r>
      <w:r w:rsidRPr="000F29DE">
        <w:rPr>
          <w:rFonts w:cs="Arial"/>
          <w:sz w:val="16"/>
          <w:szCs w:val="16"/>
          <w:rtl/>
        </w:rPr>
        <w:t xml:space="preserve"> ליהודה</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מגליל אין כופין אותה לצאת</w:t>
      </w:r>
      <w:r w:rsidRPr="000F29DE">
        <w:rPr>
          <w:rFonts w:cs="Arial" w:hint="cs"/>
          <w:sz w:val="16"/>
          <w:szCs w:val="16"/>
          <w:rtl/>
        </w:rPr>
        <w:t>',</w:t>
      </w:r>
      <w:r w:rsidRPr="000F29DE">
        <w:rPr>
          <w:rFonts w:cs="Arial"/>
          <w:sz w:val="16"/>
          <w:szCs w:val="16"/>
          <w:rtl/>
        </w:rPr>
        <w:t xml:space="preserve"> פירוש אבל אם כתבו אני פלוני מיהודה ונשא אשה בגליל אין כופין אותה לצאת מגליל עכ"ל</w:t>
      </w:r>
      <w:r>
        <w:rPr>
          <w:rStyle w:val="a7"/>
          <w:rFonts w:cs="Arial"/>
          <w:sz w:val="16"/>
          <w:szCs w:val="16"/>
          <w:rtl/>
        </w:rPr>
        <w:footnoteReference w:id="1217"/>
      </w:r>
      <w:r>
        <w:rPr>
          <w:rFonts w:cs="Arial" w:hint="cs"/>
          <w:sz w:val="16"/>
          <w:szCs w:val="16"/>
          <w:rtl/>
        </w:rPr>
        <w:t xml:space="preserve">) </w:t>
      </w:r>
    </w:p>
    <w:p w14:paraId="72B23704" w14:textId="77777777" w:rsidR="002E5BAD" w:rsidRDefault="002E5BAD" w:rsidP="002E5BAD">
      <w:pPr>
        <w:rPr>
          <w:rFonts w:cs="Arial"/>
          <w:u w:val="single"/>
          <w:rtl/>
        </w:rPr>
      </w:pPr>
      <w:r w:rsidRPr="00200403">
        <w:rPr>
          <w:rFonts w:cs="Arial" w:hint="cs"/>
          <w:u w:val="single"/>
          <w:rtl/>
        </w:rPr>
        <w:t xml:space="preserve">נשא אשה </w:t>
      </w:r>
      <w:r>
        <w:rPr>
          <w:rFonts w:cs="Arial" w:hint="cs"/>
          <w:u w:val="single"/>
          <w:rtl/>
        </w:rPr>
        <w:t xml:space="preserve">ורוצה להוציאה לארץ אחרת </w:t>
      </w:r>
      <w:r>
        <w:rPr>
          <w:rFonts w:cs="Arial"/>
          <w:u w:val="single"/>
          <w:rtl/>
        </w:rPr>
        <w:t>–</w:t>
      </w:r>
      <w:r>
        <w:rPr>
          <w:rFonts w:cs="Arial" w:hint="cs"/>
          <w:u w:val="single"/>
          <w:rtl/>
        </w:rPr>
        <w:t xml:space="preserve"> מה הדין במקרים הבאים</w:t>
      </w:r>
      <w:r w:rsidRPr="00200403">
        <w:rPr>
          <w:rFonts w:cs="Arial" w:hint="cs"/>
          <w:u w:val="single"/>
          <w:rtl/>
        </w:rPr>
        <w:t>:</w:t>
      </w:r>
    </w:p>
    <w:p w14:paraId="39F57C3B" w14:textId="77777777" w:rsidR="002E5BAD" w:rsidRPr="00A361F0" w:rsidRDefault="002E5BAD" w:rsidP="002E5BAD">
      <w:pPr>
        <w:ind w:left="360"/>
        <w:rPr>
          <w:rFonts w:cs="Arial"/>
          <w:u w:val="dotted"/>
          <w:rtl/>
        </w:rPr>
      </w:pPr>
      <w:r w:rsidRPr="00A361F0">
        <w:rPr>
          <w:rFonts w:cs="Arial" w:hint="cs"/>
          <w:u w:val="dotted"/>
          <w:rtl/>
        </w:rPr>
        <w:t>הוא מארץ אחת</w:t>
      </w:r>
      <w:r>
        <w:rPr>
          <w:rFonts w:cs="Arial" w:hint="cs"/>
          <w:u w:val="dotted"/>
          <w:rtl/>
        </w:rPr>
        <w:t>,</w:t>
      </w:r>
      <w:r w:rsidRPr="00A361F0">
        <w:rPr>
          <w:rFonts w:cs="Arial" w:hint="cs"/>
          <w:u w:val="dotted"/>
          <w:rtl/>
        </w:rPr>
        <w:t xml:space="preserve"> ונשאה בארץ אחרת:</w:t>
      </w:r>
    </w:p>
    <w:p w14:paraId="19ABACF1" w14:textId="77777777" w:rsidR="002E5BAD" w:rsidRDefault="002E5BAD" w:rsidP="002E5BAD">
      <w:pPr>
        <w:pStyle w:val="ab"/>
        <w:numPr>
          <w:ilvl w:val="0"/>
          <w:numId w:val="136"/>
        </w:numPr>
      </w:pPr>
      <w:r>
        <w:rPr>
          <w:rFonts w:cs="Arial" w:hint="cs"/>
          <w:rtl/>
        </w:rPr>
        <w:t xml:space="preserve">רי"ף </w:t>
      </w:r>
      <w:r>
        <w:rPr>
          <w:rFonts w:cs="Arial" w:hint="cs"/>
          <w:sz w:val="16"/>
          <w:szCs w:val="16"/>
          <w:rtl/>
        </w:rPr>
        <w:t>(</w:t>
      </w:r>
      <w:r w:rsidRPr="0004381A">
        <w:rPr>
          <w:rFonts w:cs="Arial" w:hint="cs"/>
          <w:sz w:val="16"/>
          <w:szCs w:val="16"/>
          <w:rtl/>
        </w:rPr>
        <w:t>סה:)</w:t>
      </w:r>
      <w:r>
        <w:rPr>
          <w:rFonts w:cs="Arial" w:hint="cs"/>
          <w:rtl/>
        </w:rPr>
        <w:t xml:space="preserve"> רמב"ם </w:t>
      </w:r>
      <w:r>
        <w:rPr>
          <w:rFonts w:cs="Arial" w:hint="cs"/>
          <w:sz w:val="16"/>
          <w:szCs w:val="16"/>
          <w:rtl/>
        </w:rPr>
        <w:t>(פי"ג מאישות הי"ז)</w:t>
      </w:r>
      <w:r>
        <w:rPr>
          <w:rFonts w:cs="Arial" w:hint="cs"/>
          <w:rtl/>
        </w:rPr>
        <w:t xml:space="preserve"> וטור- </w:t>
      </w:r>
      <w:r w:rsidRPr="0004381A">
        <w:rPr>
          <w:rFonts w:cs="Arial"/>
          <w:rtl/>
        </w:rPr>
        <w:t xml:space="preserve">איש שהיה מארץ מן הארצות ונשא אשה בארץ אחרת </w:t>
      </w:r>
      <w:r>
        <w:rPr>
          <w:rFonts w:cs="Arial" w:hint="cs"/>
          <w:rtl/>
        </w:rPr>
        <w:t xml:space="preserve">- </w:t>
      </w:r>
      <w:r w:rsidRPr="0004381A">
        <w:rPr>
          <w:rFonts w:cs="Arial"/>
          <w:rtl/>
        </w:rPr>
        <w:t>כופין אותה ויוצאה עמו לארצו</w:t>
      </w:r>
      <w:r>
        <w:rPr>
          <w:rFonts w:cs="Arial" w:hint="cs"/>
          <w:rtl/>
        </w:rPr>
        <w:t>,</w:t>
      </w:r>
      <w:r w:rsidRPr="0004381A">
        <w:rPr>
          <w:rFonts w:cs="Arial"/>
          <w:rtl/>
        </w:rPr>
        <w:t xml:space="preserve"> או תצא בלא כתובה</w:t>
      </w:r>
      <w:r>
        <w:rPr>
          <w:rFonts w:cs="Arial" w:hint="cs"/>
          <w:rtl/>
        </w:rPr>
        <w:t>,</w:t>
      </w:r>
      <w:r w:rsidRPr="0004381A">
        <w:rPr>
          <w:rFonts w:cs="Arial"/>
          <w:rtl/>
        </w:rPr>
        <w:t xml:space="preserve"> שעל מנת כן נשאה אף על פי שלא פירש</w:t>
      </w:r>
      <w:r>
        <w:rPr>
          <w:rFonts w:cs="Arial" w:hint="cs"/>
          <w:sz w:val="16"/>
          <w:szCs w:val="16"/>
          <w:rtl/>
        </w:rPr>
        <w:t xml:space="preserve"> (ל' הרמב"ם)</w:t>
      </w:r>
      <w:r>
        <w:rPr>
          <w:rFonts w:cs="Arial" w:hint="cs"/>
          <w:rtl/>
        </w:rPr>
        <w:t>.</w:t>
      </w:r>
      <w:r w:rsidRPr="0004381A">
        <w:rPr>
          <w:rFonts w:cs="Arial"/>
          <w:rtl/>
        </w:rPr>
        <w:t xml:space="preserve"> </w:t>
      </w:r>
      <w:r w:rsidRPr="00A73B2D">
        <w:rPr>
          <w:rFonts w:hint="cs"/>
          <w:color w:val="E36C0A" w:themeColor="accent6" w:themeShade="BF"/>
          <w:rtl/>
        </w:rPr>
        <w:t>(וכ"פ בשו"ע</w:t>
      </w:r>
      <w:r>
        <w:rPr>
          <w:rFonts w:hint="cs"/>
          <w:color w:val="E36C0A" w:themeColor="accent6" w:themeShade="BF"/>
          <w:rtl/>
        </w:rPr>
        <w:t>)</w:t>
      </w:r>
    </w:p>
    <w:p w14:paraId="6A16544B" w14:textId="77777777" w:rsidR="002E5BAD" w:rsidRDefault="002E5BAD" w:rsidP="002E5BAD">
      <w:pPr>
        <w:pStyle w:val="ab"/>
        <w:numPr>
          <w:ilvl w:val="0"/>
          <w:numId w:val="136"/>
        </w:numPr>
      </w:pPr>
      <w:r>
        <w:rPr>
          <w:rFonts w:cs="Arial" w:hint="cs"/>
          <w:rtl/>
        </w:rPr>
        <w:lastRenderedPageBreak/>
        <w:t>מהר"ם</w:t>
      </w:r>
      <w:r>
        <w:rPr>
          <w:rFonts w:cs="Arial" w:hint="cs"/>
          <w:sz w:val="16"/>
          <w:szCs w:val="16"/>
          <w:rtl/>
        </w:rPr>
        <w:t xml:space="preserve"> (עי' בספר סיני וליקוטים סי' תקסד, כ"כ הרא"ש </w:t>
      </w:r>
      <w:r w:rsidRPr="000F29DE">
        <w:rPr>
          <w:rFonts w:cs="Arial" w:hint="cs"/>
          <w:sz w:val="14"/>
          <w:szCs w:val="14"/>
          <w:rtl/>
        </w:rPr>
        <w:t>[שם]</w:t>
      </w:r>
      <w:r>
        <w:rPr>
          <w:rFonts w:cs="Arial" w:hint="cs"/>
          <w:sz w:val="16"/>
          <w:szCs w:val="16"/>
          <w:rtl/>
        </w:rPr>
        <w:t xml:space="preserve"> המרדכי </w:t>
      </w:r>
      <w:r w:rsidRPr="000F29DE">
        <w:rPr>
          <w:rFonts w:cs="Arial" w:hint="cs"/>
          <w:sz w:val="14"/>
          <w:szCs w:val="14"/>
          <w:rtl/>
        </w:rPr>
        <w:t>[שם]</w:t>
      </w:r>
      <w:r>
        <w:rPr>
          <w:rFonts w:cs="Arial" w:hint="cs"/>
          <w:sz w:val="14"/>
          <w:szCs w:val="14"/>
          <w:rtl/>
        </w:rPr>
        <w:t xml:space="preserve"> </w:t>
      </w:r>
      <w:r>
        <w:rPr>
          <w:rFonts w:cs="Arial" w:hint="cs"/>
          <w:sz w:val="16"/>
          <w:szCs w:val="16"/>
          <w:rtl/>
        </w:rPr>
        <w:t>והטור בשמו)</w:t>
      </w:r>
      <w:r>
        <w:rPr>
          <w:rFonts w:cs="Arial" w:hint="cs"/>
          <w:rtl/>
        </w:rPr>
        <w:t xml:space="preserve">- </w:t>
      </w:r>
      <w:r w:rsidRPr="00C845AE">
        <w:rPr>
          <w:rFonts w:cs="Arial"/>
          <w:rtl/>
        </w:rPr>
        <w:t>אם הוא מיהודה</w:t>
      </w:r>
      <w:r>
        <w:rPr>
          <w:rFonts w:cs="Arial" w:hint="cs"/>
          <w:rtl/>
        </w:rPr>
        <w:t>,</w:t>
      </w:r>
      <w:r w:rsidRPr="00C845AE">
        <w:rPr>
          <w:rFonts w:cs="Arial"/>
          <w:rtl/>
        </w:rPr>
        <w:t xml:space="preserve"> </w:t>
      </w:r>
      <w:r w:rsidRPr="00AA7730">
        <w:rPr>
          <w:rFonts w:cs="Arial"/>
          <w:b/>
          <w:bCs/>
          <w:rtl/>
        </w:rPr>
        <w:t>וקדשה</w:t>
      </w:r>
      <w:r w:rsidRPr="00C845AE">
        <w:rPr>
          <w:rFonts w:cs="Arial"/>
          <w:rtl/>
        </w:rPr>
        <w:t xml:space="preserve"> בגליל</w:t>
      </w:r>
      <w:r>
        <w:rPr>
          <w:rFonts w:cs="Arial" w:hint="cs"/>
          <w:rtl/>
        </w:rPr>
        <w:t>,</w:t>
      </w:r>
      <w:r w:rsidRPr="00C845AE">
        <w:rPr>
          <w:rFonts w:cs="Arial"/>
          <w:rtl/>
        </w:rPr>
        <w:t xml:space="preserve"> אפי' לא נשאה בגליל אלא בעבר הירדן </w:t>
      </w:r>
      <w:r>
        <w:rPr>
          <w:rFonts w:cs="Arial" w:hint="cs"/>
          <w:rtl/>
        </w:rPr>
        <w:t xml:space="preserve">- </w:t>
      </w:r>
      <w:r w:rsidRPr="00C845AE">
        <w:rPr>
          <w:rFonts w:cs="Arial"/>
          <w:rtl/>
        </w:rPr>
        <w:t xml:space="preserve">צריכה לילך אחריו ליהודה </w:t>
      </w:r>
      <w:r w:rsidRPr="00E705E4">
        <w:rPr>
          <w:rFonts w:cs="Arial"/>
          <w:rtl/>
        </w:rPr>
        <w:t>שהיה מקומו בשעה שקדשה</w:t>
      </w:r>
      <w:r>
        <w:rPr>
          <w:rFonts w:cs="Arial" w:hint="cs"/>
          <w:sz w:val="16"/>
          <w:szCs w:val="16"/>
          <w:rtl/>
        </w:rPr>
        <w:t xml:space="preserve"> (ל' הטור בשמו)</w:t>
      </w:r>
      <w:r w:rsidRPr="00E705E4">
        <w:rPr>
          <w:rFonts w:cs="Arial" w:hint="cs"/>
          <w:rtl/>
        </w:rPr>
        <w:t>.</w:t>
      </w:r>
      <w:r w:rsidRPr="00E705E4">
        <w:rPr>
          <w:rFonts w:cs="Arial"/>
          <w:rtl/>
        </w:rPr>
        <w:t xml:space="preserve"> </w:t>
      </w:r>
      <w:r>
        <w:rPr>
          <w:rFonts w:hint="cs"/>
          <w:rtl/>
        </w:rPr>
        <w:t xml:space="preserve">אבל אם </w:t>
      </w:r>
      <w:r w:rsidRPr="000F29DE">
        <w:rPr>
          <w:b/>
          <w:bCs/>
          <w:rtl/>
        </w:rPr>
        <w:t>נשא</w:t>
      </w:r>
      <w:r w:rsidRPr="000F29DE">
        <w:rPr>
          <w:rtl/>
        </w:rPr>
        <w:t xml:space="preserve"> בגליל</w:t>
      </w:r>
      <w:r>
        <w:rPr>
          <w:rFonts w:hint="cs"/>
          <w:rtl/>
        </w:rPr>
        <w:t>,</w:t>
      </w:r>
      <w:r w:rsidRPr="000F29DE">
        <w:rPr>
          <w:rtl/>
        </w:rPr>
        <w:t xml:space="preserve"> כיון דהנשואין היו בגליל </w:t>
      </w:r>
      <w:r w:rsidRPr="00AA7730">
        <w:rPr>
          <w:rFonts w:hint="cs"/>
          <w:rtl/>
        </w:rPr>
        <w:t xml:space="preserve">- </w:t>
      </w:r>
      <w:r w:rsidRPr="000F29DE">
        <w:rPr>
          <w:rtl/>
        </w:rPr>
        <w:t>אין כופין אותה לילך אחריו ליהודה</w:t>
      </w:r>
      <w:r>
        <w:rPr>
          <w:rFonts w:hint="cs"/>
          <w:sz w:val="16"/>
          <w:szCs w:val="16"/>
          <w:rtl/>
        </w:rPr>
        <w:t xml:space="preserve"> (ל' הרא"ש בשמו)</w:t>
      </w:r>
      <w:r>
        <w:rPr>
          <w:rFonts w:hint="cs"/>
          <w:rtl/>
        </w:rPr>
        <w:t>.</w:t>
      </w:r>
    </w:p>
    <w:p w14:paraId="75ACAAAB" w14:textId="77777777" w:rsidR="002E5BAD" w:rsidRPr="00AA7730" w:rsidRDefault="002E5BAD" w:rsidP="002E5BAD">
      <w:pPr>
        <w:pStyle w:val="ab"/>
        <w:numPr>
          <w:ilvl w:val="0"/>
          <w:numId w:val="136"/>
        </w:numPr>
      </w:pPr>
      <w:r w:rsidRPr="00557191">
        <w:rPr>
          <w:rFonts w:cs="Arial"/>
          <w:rtl/>
        </w:rPr>
        <w:t xml:space="preserve">ר"ת </w:t>
      </w:r>
      <w:r>
        <w:rPr>
          <w:rFonts w:cs="Arial" w:hint="cs"/>
          <w:sz w:val="16"/>
          <w:szCs w:val="16"/>
          <w:rtl/>
        </w:rPr>
        <w:t xml:space="preserve">(כ"כ הרא"ש </w:t>
      </w:r>
      <w:r w:rsidRPr="000F29DE">
        <w:rPr>
          <w:rFonts w:cs="Arial" w:hint="cs"/>
          <w:sz w:val="14"/>
          <w:szCs w:val="14"/>
          <w:rtl/>
        </w:rPr>
        <w:t>[שם]</w:t>
      </w:r>
      <w:r>
        <w:rPr>
          <w:rFonts w:cs="Arial" w:hint="cs"/>
          <w:sz w:val="16"/>
          <w:szCs w:val="16"/>
          <w:rtl/>
        </w:rPr>
        <w:t xml:space="preserve"> המרדכי </w:t>
      </w:r>
      <w:r w:rsidRPr="000F29DE">
        <w:rPr>
          <w:rFonts w:cs="Arial" w:hint="cs"/>
          <w:sz w:val="14"/>
          <w:szCs w:val="14"/>
          <w:rtl/>
        </w:rPr>
        <w:t>[שם]</w:t>
      </w:r>
      <w:r>
        <w:rPr>
          <w:rFonts w:cs="Arial" w:hint="cs"/>
          <w:sz w:val="14"/>
          <w:szCs w:val="14"/>
          <w:rtl/>
        </w:rPr>
        <w:t xml:space="preserve"> </w:t>
      </w:r>
      <w:r>
        <w:rPr>
          <w:rFonts w:cs="Arial" w:hint="cs"/>
          <w:sz w:val="16"/>
          <w:szCs w:val="16"/>
          <w:rtl/>
        </w:rPr>
        <w:t>והטור בשמו)</w:t>
      </w:r>
      <w:r>
        <w:rPr>
          <w:rFonts w:cs="Arial" w:hint="cs"/>
          <w:rtl/>
        </w:rPr>
        <w:t xml:space="preserve">- </w:t>
      </w:r>
      <w:r w:rsidRPr="00557191">
        <w:rPr>
          <w:rFonts w:cs="Arial"/>
          <w:rtl/>
        </w:rPr>
        <w:t>אבל אם הלך הוא לגליל</w:t>
      </w:r>
      <w:r>
        <w:rPr>
          <w:rFonts w:cs="Arial" w:hint="cs"/>
          <w:rtl/>
        </w:rPr>
        <w:t>,</w:t>
      </w:r>
      <w:r w:rsidRPr="00557191">
        <w:rPr>
          <w:rFonts w:cs="Arial"/>
          <w:rtl/>
        </w:rPr>
        <w:t xml:space="preserve"> ונשאה שם </w:t>
      </w:r>
      <w:r>
        <w:rPr>
          <w:rFonts w:cs="Arial" w:hint="cs"/>
          <w:rtl/>
        </w:rPr>
        <w:t xml:space="preserve">- </w:t>
      </w:r>
      <w:r w:rsidRPr="00557191">
        <w:rPr>
          <w:rFonts w:cs="Arial"/>
          <w:rtl/>
        </w:rPr>
        <w:t>אז כופין אותו לעמוד שם עמה</w:t>
      </w:r>
      <w:r>
        <w:rPr>
          <w:rFonts w:cs="Arial" w:hint="cs"/>
          <w:rtl/>
        </w:rPr>
        <w:t>.</w:t>
      </w:r>
      <w:r w:rsidRPr="00557191">
        <w:rPr>
          <w:rFonts w:cs="Arial"/>
          <w:rtl/>
        </w:rPr>
        <w:t xml:space="preserve"> ואם האיש והאשה ממקום אחד ביהודה</w:t>
      </w:r>
      <w:r>
        <w:rPr>
          <w:rFonts w:cs="Arial" w:hint="cs"/>
          <w:rtl/>
        </w:rPr>
        <w:t>,</w:t>
      </w:r>
      <w:r w:rsidRPr="00557191">
        <w:rPr>
          <w:rFonts w:cs="Arial"/>
          <w:rtl/>
        </w:rPr>
        <w:t xml:space="preserve"> אף על פי שנשאה בגליל </w:t>
      </w:r>
      <w:r>
        <w:rPr>
          <w:rFonts w:cs="Arial" w:hint="cs"/>
          <w:rtl/>
        </w:rPr>
        <w:t xml:space="preserve">- </w:t>
      </w:r>
      <w:r w:rsidRPr="00557191">
        <w:rPr>
          <w:rFonts w:cs="Arial"/>
          <w:rtl/>
        </w:rPr>
        <w:t>כופין אותו לצאת מגליל אפילו מעיר לכרך ומכרך לעיר</w:t>
      </w:r>
      <w:r>
        <w:rPr>
          <w:rFonts w:cs="Arial" w:hint="cs"/>
          <w:rtl/>
        </w:rPr>
        <w:t xml:space="preserve"> </w:t>
      </w:r>
      <w:r>
        <w:rPr>
          <w:rFonts w:cs="Arial" w:hint="cs"/>
          <w:sz w:val="16"/>
          <w:szCs w:val="16"/>
          <w:rtl/>
        </w:rPr>
        <w:t>(ל' הטור בשמו)</w:t>
      </w:r>
      <w:r>
        <w:rPr>
          <w:rFonts w:cs="Arial" w:hint="cs"/>
          <w:rtl/>
        </w:rPr>
        <w:t>.</w:t>
      </w:r>
      <w:r w:rsidRPr="00517F2D">
        <w:rPr>
          <w:rFonts w:hint="cs"/>
          <w:color w:val="00B0F0"/>
          <w:rtl/>
        </w:rPr>
        <w:t xml:space="preserve"> </w:t>
      </w:r>
      <w:r w:rsidRPr="000F4F98">
        <w:rPr>
          <w:rFonts w:hint="cs"/>
          <w:color w:val="00B0F0"/>
          <w:rtl/>
        </w:rPr>
        <w:t>(וכ"</w:t>
      </w:r>
      <w:r>
        <w:rPr>
          <w:rFonts w:hint="cs"/>
          <w:color w:val="00B0F0"/>
          <w:rtl/>
        </w:rPr>
        <w:t>כ</w:t>
      </w:r>
      <w:r w:rsidRPr="000F4F98">
        <w:rPr>
          <w:rFonts w:hint="cs"/>
          <w:color w:val="00B0F0"/>
          <w:rtl/>
        </w:rPr>
        <w:t xml:space="preserve"> </w:t>
      </w:r>
      <w:r>
        <w:rPr>
          <w:rFonts w:hint="cs"/>
          <w:color w:val="00B0F0"/>
          <w:rtl/>
        </w:rPr>
        <w:t>הרמ"א)</w:t>
      </w:r>
    </w:p>
    <w:p w14:paraId="7C1C51C3" w14:textId="77777777" w:rsidR="002E5BAD" w:rsidRPr="000F29DE" w:rsidRDefault="002E5BAD" w:rsidP="002E5BAD">
      <w:pPr>
        <w:ind w:left="360"/>
        <w:rPr>
          <w:u w:val="dotted"/>
        </w:rPr>
      </w:pPr>
      <w:r w:rsidRPr="000F29DE">
        <w:rPr>
          <w:rFonts w:hint="cs"/>
          <w:u w:val="dotted"/>
          <w:rtl/>
        </w:rPr>
        <w:t>הוא מארץ אחת</w:t>
      </w:r>
      <w:r>
        <w:rPr>
          <w:rFonts w:hint="cs"/>
          <w:u w:val="dotted"/>
          <w:rtl/>
        </w:rPr>
        <w:t>,</w:t>
      </w:r>
      <w:r w:rsidRPr="000F29DE">
        <w:rPr>
          <w:rFonts w:hint="cs"/>
          <w:u w:val="dotted"/>
          <w:rtl/>
        </w:rPr>
        <w:t xml:space="preserve"> ונשאה בארצו:</w:t>
      </w:r>
    </w:p>
    <w:p w14:paraId="6579988E" w14:textId="77777777" w:rsidR="002E5BAD" w:rsidRDefault="002E5BAD" w:rsidP="002E5BAD">
      <w:pPr>
        <w:pStyle w:val="ab"/>
        <w:numPr>
          <w:ilvl w:val="0"/>
          <w:numId w:val="136"/>
        </w:numPr>
      </w:pPr>
      <w:r>
        <w:rPr>
          <w:rFonts w:cs="Arial" w:hint="cs"/>
          <w:rtl/>
        </w:rPr>
        <w:t xml:space="preserve">רי"ף </w:t>
      </w:r>
      <w:r>
        <w:rPr>
          <w:rFonts w:cs="Arial" w:hint="cs"/>
          <w:sz w:val="16"/>
          <w:szCs w:val="16"/>
          <w:rtl/>
        </w:rPr>
        <w:t>(</w:t>
      </w:r>
      <w:r w:rsidRPr="0004381A">
        <w:rPr>
          <w:rFonts w:cs="Arial" w:hint="cs"/>
          <w:sz w:val="16"/>
          <w:szCs w:val="16"/>
          <w:rtl/>
        </w:rPr>
        <w:t>סה:)</w:t>
      </w:r>
      <w:r>
        <w:rPr>
          <w:rFonts w:cs="Arial" w:hint="cs"/>
          <w:rtl/>
        </w:rPr>
        <w:t xml:space="preserve"> רמב"ם </w:t>
      </w:r>
      <w:r>
        <w:rPr>
          <w:rFonts w:cs="Arial" w:hint="cs"/>
          <w:sz w:val="16"/>
          <w:szCs w:val="16"/>
          <w:rtl/>
        </w:rPr>
        <w:t>(פי"ג מאישות הי"ז)</w:t>
      </w:r>
      <w:r>
        <w:rPr>
          <w:rFonts w:cs="Arial" w:hint="cs"/>
          <w:rtl/>
        </w:rPr>
        <w:t xml:space="preserve"> מהר"ם </w:t>
      </w:r>
      <w:r>
        <w:rPr>
          <w:rFonts w:cs="Arial" w:hint="cs"/>
          <w:sz w:val="16"/>
          <w:szCs w:val="16"/>
          <w:rtl/>
        </w:rPr>
        <w:t xml:space="preserve">(שם) </w:t>
      </w:r>
      <w:r>
        <w:rPr>
          <w:rFonts w:cs="Arial" w:hint="cs"/>
          <w:rtl/>
        </w:rPr>
        <w:t xml:space="preserve">וטור- </w:t>
      </w:r>
      <w:r w:rsidRPr="0004381A">
        <w:rPr>
          <w:rFonts w:cs="Arial"/>
          <w:rtl/>
        </w:rPr>
        <w:t>אבל הנושא אשה באחת מן הארצות</w:t>
      </w:r>
      <w:r>
        <w:rPr>
          <w:rFonts w:cs="Arial" w:hint="cs"/>
          <w:rtl/>
        </w:rPr>
        <w:t>,</w:t>
      </w:r>
      <w:r w:rsidRPr="0004381A">
        <w:rPr>
          <w:rFonts w:cs="Arial"/>
          <w:rtl/>
        </w:rPr>
        <w:t xml:space="preserve"> והוא מאנשי אותה הארץ </w:t>
      </w:r>
      <w:r>
        <w:rPr>
          <w:rFonts w:cs="Arial" w:hint="cs"/>
          <w:rtl/>
        </w:rPr>
        <w:t xml:space="preserve">- </w:t>
      </w:r>
      <w:r w:rsidRPr="0004381A">
        <w:rPr>
          <w:rFonts w:cs="Arial"/>
          <w:rtl/>
        </w:rPr>
        <w:t>אינו יכול להוציאה לארץ אחרת</w:t>
      </w:r>
      <w:r>
        <w:rPr>
          <w:rStyle w:val="a7"/>
          <w:rFonts w:cs="Arial"/>
          <w:rtl/>
        </w:rPr>
        <w:footnoteReference w:id="1218"/>
      </w:r>
      <w:r w:rsidRPr="0004381A">
        <w:rPr>
          <w:rFonts w:cs="Arial"/>
          <w:rtl/>
        </w:rPr>
        <w:t>, אבל מוציאה ממדינה למדינה ומכפר לכפר באותה הארץ</w:t>
      </w:r>
      <w:r>
        <w:rPr>
          <w:rFonts w:cs="Arial" w:hint="cs"/>
          <w:sz w:val="16"/>
          <w:szCs w:val="16"/>
          <w:rtl/>
        </w:rPr>
        <w:t xml:space="preserve"> (ל' הרמב"ם)</w:t>
      </w:r>
      <w:r w:rsidRPr="0004381A">
        <w:rPr>
          <w:rFonts w:cs="Arial"/>
          <w:rtl/>
        </w:rPr>
        <w:t xml:space="preserve">. </w:t>
      </w:r>
      <w:r w:rsidRPr="00A73B2D">
        <w:rPr>
          <w:rFonts w:hint="cs"/>
          <w:color w:val="E36C0A" w:themeColor="accent6" w:themeShade="BF"/>
          <w:rtl/>
        </w:rPr>
        <w:t>(וכ"פ בשו"ע</w:t>
      </w:r>
      <w:r>
        <w:rPr>
          <w:rFonts w:hint="cs"/>
          <w:color w:val="E36C0A" w:themeColor="accent6" w:themeShade="BF"/>
          <w:rtl/>
        </w:rPr>
        <w:t>)</w:t>
      </w:r>
    </w:p>
    <w:p w14:paraId="04DE5D07" w14:textId="77777777" w:rsidR="002E5BAD" w:rsidRDefault="002E5BAD" w:rsidP="002E5BAD">
      <w:pPr>
        <w:pStyle w:val="ab"/>
        <w:numPr>
          <w:ilvl w:val="0"/>
          <w:numId w:val="136"/>
        </w:numPr>
        <w:rPr>
          <w:rFonts w:cs="Arial"/>
        </w:rPr>
      </w:pPr>
      <w:r w:rsidRPr="00557191">
        <w:rPr>
          <w:rFonts w:cs="Arial"/>
          <w:rtl/>
        </w:rPr>
        <w:t xml:space="preserve">ר"ת </w:t>
      </w:r>
      <w:r>
        <w:rPr>
          <w:rFonts w:cs="Arial" w:hint="cs"/>
          <w:sz w:val="16"/>
          <w:szCs w:val="16"/>
          <w:rtl/>
        </w:rPr>
        <w:t xml:space="preserve">(כ"כ הרא"ש </w:t>
      </w:r>
      <w:r w:rsidRPr="000F29DE">
        <w:rPr>
          <w:rFonts w:cs="Arial" w:hint="cs"/>
          <w:sz w:val="14"/>
          <w:szCs w:val="14"/>
          <w:rtl/>
        </w:rPr>
        <w:t>[שם]</w:t>
      </w:r>
      <w:r>
        <w:rPr>
          <w:rFonts w:cs="Arial" w:hint="cs"/>
          <w:sz w:val="16"/>
          <w:szCs w:val="16"/>
          <w:rtl/>
        </w:rPr>
        <w:t xml:space="preserve"> המרדכי </w:t>
      </w:r>
      <w:r w:rsidRPr="000F29DE">
        <w:rPr>
          <w:rFonts w:cs="Arial" w:hint="cs"/>
          <w:sz w:val="14"/>
          <w:szCs w:val="14"/>
          <w:rtl/>
        </w:rPr>
        <w:t>[שם]</w:t>
      </w:r>
      <w:r>
        <w:rPr>
          <w:rFonts w:cs="Arial" w:hint="cs"/>
          <w:sz w:val="14"/>
          <w:szCs w:val="14"/>
          <w:rtl/>
        </w:rPr>
        <w:t xml:space="preserve"> </w:t>
      </w:r>
      <w:r>
        <w:rPr>
          <w:rFonts w:cs="Arial" w:hint="cs"/>
          <w:sz w:val="16"/>
          <w:szCs w:val="16"/>
          <w:rtl/>
        </w:rPr>
        <w:t>והטור בשמו)</w:t>
      </w:r>
      <w:r>
        <w:rPr>
          <w:rFonts w:cs="Arial" w:hint="cs"/>
          <w:rtl/>
        </w:rPr>
        <w:t xml:space="preserve">- </w:t>
      </w:r>
      <w:r w:rsidRPr="00557191">
        <w:rPr>
          <w:rFonts w:cs="Arial"/>
          <w:rtl/>
        </w:rPr>
        <w:t xml:space="preserve">מי שהוא ביהודה והביא אשה מגליל ליהודה ונשאה שם </w:t>
      </w:r>
      <w:r>
        <w:rPr>
          <w:rFonts w:cs="Arial" w:hint="cs"/>
          <w:rtl/>
        </w:rPr>
        <w:t xml:space="preserve">- </w:t>
      </w:r>
      <w:r w:rsidRPr="00557191">
        <w:rPr>
          <w:rFonts w:cs="Arial"/>
          <w:rtl/>
        </w:rPr>
        <w:t>אין כופין אותו לצאת ממקומו אחריה</w:t>
      </w:r>
      <w:r>
        <w:rPr>
          <w:rFonts w:cs="Arial" w:hint="cs"/>
          <w:rtl/>
        </w:rPr>
        <w:t>. ו</w:t>
      </w:r>
      <w:r w:rsidRPr="00A94D98">
        <w:rPr>
          <w:rFonts w:cs="Arial"/>
          <w:rtl/>
        </w:rPr>
        <w:t>אם האיש מעיר והאשה מכרך</w:t>
      </w:r>
      <w:r w:rsidRPr="00A94D98">
        <w:rPr>
          <w:rFonts w:cs="Arial" w:hint="cs"/>
          <w:rtl/>
        </w:rPr>
        <w:t>,</w:t>
      </w:r>
      <w:r w:rsidRPr="00A94D98">
        <w:rPr>
          <w:rFonts w:cs="Arial"/>
          <w:rtl/>
        </w:rPr>
        <w:t xml:space="preserve"> או איפכא</w:t>
      </w:r>
      <w:r w:rsidRPr="00A94D98">
        <w:rPr>
          <w:rFonts w:cs="Arial" w:hint="cs"/>
          <w:rtl/>
        </w:rPr>
        <w:t>,</w:t>
      </w:r>
      <w:r w:rsidRPr="00A94D98">
        <w:rPr>
          <w:rFonts w:cs="Arial"/>
          <w:rtl/>
        </w:rPr>
        <w:t xml:space="preserve"> ושניהן מיהודה</w:t>
      </w:r>
      <w:r w:rsidRPr="00A94D98">
        <w:rPr>
          <w:rFonts w:cs="Arial" w:hint="cs"/>
          <w:rtl/>
        </w:rPr>
        <w:t>,</w:t>
      </w:r>
      <w:r w:rsidRPr="00A94D98">
        <w:rPr>
          <w:rFonts w:cs="Arial"/>
          <w:rtl/>
        </w:rPr>
        <w:t xml:space="preserve"> ונשאה בעירו </w:t>
      </w:r>
      <w:r w:rsidRPr="00A94D98">
        <w:rPr>
          <w:rFonts w:cs="Arial" w:hint="cs"/>
          <w:rtl/>
        </w:rPr>
        <w:t xml:space="preserve">- </w:t>
      </w:r>
      <w:r w:rsidRPr="00A94D98">
        <w:rPr>
          <w:rFonts w:cs="Arial"/>
          <w:rtl/>
        </w:rPr>
        <w:t>אין האשה יכולה לכופו להניח מקומו</w:t>
      </w:r>
      <w:r w:rsidRPr="00A94D98">
        <w:rPr>
          <w:rFonts w:cs="Arial" w:hint="cs"/>
          <w:rtl/>
        </w:rPr>
        <w:t>,</w:t>
      </w:r>
      <w:r w:rsidRPr="00A94D98">
        <w:rPr>
          <w:rFonts w:cs="Arial"/>
          <w:rtl/>
        </w:rPr>
        <w:t xml:space="preserve"> כיון שאין המקומות שוין והוא נשאה בעירו</w:t>
      </w:r>
      <w:r w:rsidRPr="00A94D98">
        <w:rPr>
          <w:rFonts w:cs="Arial" w:hint="cs"/>
          <w:rtl/>
        </w:rPr>
        <w:t>.</w:t>
      </w:r>
      <w:r w:rsidRPr="00A94D98">
        <w:rPr>
          <w:rFonts w:cs="Arial"/>
          <w:rtl/>
        </w:rPr>
        <w:t xml:space="preserve"> וכל שכן אם נשאה בעירה שאין האיש יכול לכופה להניח מקומה כיון שאין שני המקומות שוין ונשאה בעירה</w:t>
      </w:r>
      <w:r w:rsidRPr="00A94D98">
        <w:rPr>
          <w:rFonts w:cs="Arial" w:hint="cs"/>
          <w:rtl/>
        </w:rPr>
        <w:t>.</w:t>
      </w:r>
      <w:r w:rsidRPr="00A94D98">
        <w:rPr>
          <w:rFonts w:cs="Arial"/>
          <w:rtl/>
        </w:rPr>
        <w:t xml:space="preserve"> אבל אם מקומותיהן שוין</w:t>
      </w:r>
      <w:r w:rsidRPr="00A94D98">
        <w:rPr>
          <w:rFonts w:cs="Arial" w:hint="cs"/>
          <w:rtl/>
        </w:rPr>
        <w:t>,</w:t>
      </w:r>
      <w:r w:rsidRPr="00A94D98">
        <w:rPr>
          <w:rFonts w:cs="Arial"/>
          <w:rtl/>
        </w:rPr>
        <w:t xml:space="preserve"> שתיהן או כרכין או עיירות </w:t>
      </w:r>
      <w:r w:rsidRPr="00A94D98">
        <w:rPr>
          <w:rFonts w:cs="Arial" w:hint="cs"/>
          <w:rtl/>
        </w:rPr>
        <w:t xml:space="preserve">- </w:t>
      </w:r>
      <w:r w:rsidRPr="00A94D98">
        <w:rPr>
          <w:rFonts w:cs="Arial"/>
          <w:rtl/>
        </w:rPr>
        <w:t>כופין האיש לעזוב מקומו אע</w:t>
      </w:r>
      <w:r>
        <w:rPr>
          <w:rFonts w:cs="Arial" w:hint="cs"/>
          <w:rtl/>
        </w:rPr>
        <w:t>"</w:t>
      </w:r>
      <w:r w:rsidRPr="00A94D98">
        <w:rPr>
          <w:rFonts w:cs="Arial"/>
          <w:rtl/>
        </w:rPr>
        <w:t>פ שנשאה במקומו</w:t>
      </w:r>
      <w:r w:rsidRPr="00A94D98">
        <w:rPr>
          <w:rFonts w:cs="Arial" w:hint="cs"/>
          <w:rtl/>
        </w:rPr>
        <w:t xml:space="preserve"> </w:t>
      </w:r>
      <w:r w:rsidRPr="00A94D98">
        <w:rPr>
          <w:rFonts w:cs="Arial" w:hint="cs"/>
          <w:sz w:val="16"/>
          <w:szCs w:val="16"/>
          <w:rtl/>
        </w:rPr>
        <w:t>(ל' הטור בשמו)</w:t>
      </w:r>
      <w:r w:rsidRPr="00A94D98">
        <w:rPr>
          <w:rFonts w:cs="Arial" w:hint="cs"/>
          <w:rtl/>
        </w:rPr>
        <w:t>.</w:t>
      </w:r>
      <w:r w:rsidRPr="00517F2D">
        <w:rPr>
          <w:rFonts w:hint="cs"/>
          <w:color w:val="00B0F0"/>
          <w:rtl/>
        </w:rPr>
        <w:t xml:space="preserve"> </w:t>
      </w:r>
      <w:r w:rsidRPr="000F4F98">
        <w:rPr>
          <w:rFonts w:hint="cs"/>
          <w:color w:val="00B0F0"/>
          <w:rtl/>
        </w:rPr>
        <w:t>(וכ"</w:t>
      </w:r>
      <w:r>
        <w:rPr>
          <w:rFonts w:hint="cs"/>
          <w:color w:val="00B0F0"/>
          <w:rtl/>
        </w:rPr>
        <w:t>כ</w:t>
      </w:r>
      <w:r w:rsidRPr="000F4F98">
        <w:rPr>
          <w:rFonts w:hint="cs"/>
          <w:color w:val="00B0F0"/>
          <w:rtl/>
        </w:rPr>
        <w:t xml:space="preserve"> </w:t>
      </w:r>
      <w:r>
        <w:rPr>
          <w:rFonts w:hint="cs"/>
          <w:color w:val="00B0F0"/>
          <w:rtl/>
        </w:rPr>
        <w:t>הרמ"א)</w:t>
      </w:r>
    </w:p>
    <w:p w14:paraId="61A3760F" w14:textId="77777777" w:rsidR="002E5BAD" w:rsidRPr="001742A8" w:rsidRDefault="002E5BAD" w:rsidP="002E5BAD">
      <w:pPr>
        <w:pStyle w:val="ab"/>
        <w:numPr>
          <w:ilvl w:val="1"/>
          <w:numId w:val="136"/>
        </w:numPr>
        <w:rPr>
          <w:rFonts w:cs="Arial"/>
        </w:rPr>
      </w:pPr>
      <w:r>
        <w:rPr>
          <w:rFonts w:cs="Arial" w:hint="cs"/>
          <w:rtl/>
        </w:rPr>
        <w:t>ב"י-</w:t>
      </w:r>
      <w:r w:rsidRPr="001742A8">
        <w:rPr>
          <w:rFonts w:cs="Arial"/>
          <w:rtl/>
        </w:rPr>
        <w:t xml:space="preserve"> </w:t>
      </w:r>
      <w:r w:rsidRPr="00FF3C43">
        <w:rPr>
          <w:rFonts w:cs="Arial"/>
          <w:rtl/>
        </w:rPr>
        <w:t>פר"ת דבכפיית האיש איירי</w:t>
      </w:r>
      <w:r>
        <w:rPr>
          <w:rFonts w:cs="Arial" w:hint="cs"/>
          <w:rtl/>
        </w:rPr>
        <w:t>..</w:t>
      </w:r>
      <w:r w:rsidRPr="00FF3C43">
        <w:rPr>
          <w:rFonts w:cs="Arial"/>
          <w:rtl/>
        </w:rPr>
        <w:t>. וכתב הרא"ש שהר"מ הקשה עליו דמשמע בירושלמי דיפה כח הבעל מכח האשה</w:t>
      </w:r>
      <w:r>
        <w:rPr>
          <w:rFonts w:cs="Arial" w:hint="cs"/>
          <w:rtl/>
        </w:rPr>
        <w:t xml:space="preserve">... </w:t>
      </w:r>
      <w:r w:rsidRPr="001742A8">
        <w:rPr>
          <w:rFonts w:cs="Arial"/>
          <w:rtl/>
        </w:rPr>
        <w:t xml:space="preserve">וכתבו המרדכי </w:t>
      </w:r>
      <w:r w:rsidRPr="001742A8">
        <w:rPr>
          <w:rFonts w:cs="Arial"/>
          <w:sz w:val="16"/>
          <w:szCs w:val="16"/>
          <w:rtl/>
        </w:rPr>
        <w:t xml:space="preserve">(סי' רפ) </w:t>
      </w:r>
      <w:r w:rsidRPr="001742A8">
        <w:rPr>
          <w:rFonts w:cs="Arial"/>
          <w:rtl/>
        </w:rPr>
        <w:t>והגה</w:t>
      </w:r>
      <w:r w:rsidRPr="001742A8">
        <w:rPr>
          <w:rFonts w:cs="Arial" w:hint="cs"/>
          <w:rtl/>
        </w:rPr>
        <w:t>"</w:t>
      </w:r>
      <w:r w:rsidRPr="001742A8">
        <w:rPr>
          <w:rFonts w:cs="Arial"/>
          <w:rtl/>
        </w:rPr>
        <w:t xml:space="preserve">מ </w:t>
      </w:r>
      <w:r w:rsidRPr="001742A8">
        <w:rPr>
          <w:rFonts w:cs="Arial" w:hint="cs"/>
          <w:sz w:val="16"/>
          <w:szCs w:val="16"/>
          <w:rtl/>
        </w:rPr>
        <w:t>(</w:t>
      </w:r>
      <w:r w:rsidRPr="001742A8">
        <w:rPr>
          <w:rFonts w:cs="Arial"/>
          <w:sz w:val="16"/>
          <w:szCs w:val="16"/>
          <w:rtl/>
        </w:rPr>
        <w:t>ספר נשים סי' כח)</w:t>
      </w:r>
      <w:r w:rsidRPr="001742A8">
        <w:rPr>
          <w:rFonts w:cs="Arial" w:hint="cs"/>
          <w:rtl/>
        </w:rPr>
        <w:t>-</w:t>
      </w:r>
      <w:r w:rsidRPr="001742A8">
        <w:rPr>
          <w:rFonts w:cs="Arial"/>
          <w:rtl/>
        </w:rPr>
        <w:t xml:space="preserve"> ורש"י פי' דאיירי בכפיית האשה וכן פי' המיימוני וכל הגאונים</w:t>
      </w:r>
      <w:r>
        <w:rPr>
          <w:rFonts w:cs="Arial" w:hint="cs"/>
          <w:rtl/>
        </w:rPr>
        <w:t>,</w:t>
      </w:r>
      <w:r w:rsidRPr="001742A8">
        <w:rPr>
          <w:rFonts w:cs="Arial"/>
          <w:rtl/>
        </w:rPr>
        <w:t xml:space="preserve"> וכיון דהוי פלוגתא דרבוותא עבדינן הכא והכא לחומרא</w:t>
      </w:r>
      <w:r>
        <w:rPr>
          <w:rFonts w:cs="Arial" w:hint="cs"/>
          <w:rtl/>
        </w:rPr>
        <w:t>,</w:t>
      </w:r>
      <w:r w:rsidRPr="001742A8">
        <w:rPr>
          <w:rFonts w:cs="Arial"/>
          <w:rtl/>
        </w:rPr>
        <w:t xml:space="preserve"> והיכא דהבעל בא לכוף את האשה לא נכופנה כפר"ת</w:t>
      </w:r>
      <w:r>
        <w:rPr>
          <w:rFonts w:cs="Arial" w:hint="cs"/>
          <w:rtl/>
        </w:rPr>
        <w:t>,</w:t>
      </w:r>
      <w:r w:rsidRPr="001742A8">
        <w:rPr>
          <w:rFonts w:cs="Arial"/>
          <w:rtl/>
        </w:rPr>
        <w:t xml:space="preserve"> והיכא דהאשה באה לכוף בעלה כל שכן דאין כופין כדפסקי רוב הגאונים</w:t>
      </w:r>
      <w:r>
        <w:rPr>
          <w:rFonts w:cs="Arial" w:hint="cs"/>
          <w:rtl/>
        </w:rPr>
        <w:t>.</w:t>
      </w:r>
      <w:r w:rsidRPr="001742A8">
        <w:rPr>
          <w:rFonts w:cs="Arial"/>
          <w:rtl/>
        </w:rPr>
        <w:t xml:space="preserve"> עכ"ל הר"מ. ול</w:t>
      </w:r>
      <w:r>
        <w:rPr>
          <w:rFonts w:cs="Arial" w:hint="cs"/>
          <w:rtl/>
        </w:rPr>
        <w:t>י נראה</w:t>
      </w:r>
      <w:r w:rsidRPr="001742A8">
        <w:rPr>
          <w:rFonts w:cs="Arial"/>
          <w:rtl/>
        </w:rPr>
        <w:t xml:space="preserve"> דבמקום הרמב"ם ורש"י וכל הגאונים לא חיישינן לדברי ר"ת</w:t>
      </w:r>
      <w:r>
        <w:rPr>
          <w:rStyle w:val="a7"/>
          <w:rFonts w:cs="Arial"/>
          <w:rtl/>
        </w:rPr>
        <w:footnoteReference w:id="1219"/>
      </w:r>
      <w:r w:rsidRPr="001742A8">
        <w:rPr>
          <w:rFonts w:cs="Arial" w:hint="cs"/>
          <w:rtl/>
        </w:rPr>
        <w:t>.</w:t>
      </w:r>
    </w:p>
    <w:p w14:paraId="56F51735" w14:textId="77777777" w:rsidR="002E5BAD" w:rsidRPr="00C845AE" w:rsidRDefault="002E5BAD" w:rsidP="002E5BAD">
      <w:pPr>
        <w:ind w:left="360"/>
        <w:rPr>
          <w:u w:val="dotted"/>
        </w:rPr>
      </w:pPr>
      <w:r>
        <w:rPr>
          <w:rFonts w:hint="cs"/>
          <w:u w:val="dotted"/>
          <w:rtl/>
        </w:rPr>
        <w:t>האם הדין כן רק בארץ ישראל, או שהוא הדין בכל ארץ שמחולקת לעוד ארצות:</w:t>
      </w:r>
    </w:p>
    <w:p w14:paraId="13882C77" w14:textId="77777777" w:rsidR="002E5BAD" w:rsidRPr="00AA7730" w:rsidRDefault="002E5BAD" w:rsidP="002E5BAD">
      <w:pPr>
        <w:pStyle w:val="ab"/>
        <w:numPr>
          <w:ilvl w:val="0"/>
          <w:numId w:val="136"/>
        </w:numPr>
        <w:rPr>
          <w:b/>
          <w:bCs/>
          <w:rtl/>
        </w:rPr>
      </w:pPr>
      <w:r>
        <w:rPr>
          <w:rFonts w:cs="Arial" w:hint="cs"/>
          <w:rtl/>
        </w:rPr>
        <w:t xml:space="preserve">רמב"ם </w:t>
      </w:r>
      <w:r>
        <w:rPr>
          <w:rFonts w:cs="Arial" w:hint="cs"/>
          <w:sz w:val="16"/>
          <w:szCs w:val="16"/>
          <w:rtl/>
        </w:rPr>
        <w:t>(פי"ג מאישות הט"ז)</w:t>
      </w:r>
      <w:r>
        <w:rPr>
          <w:rFonts w:cs="Arial" w:hint="cs"/>
          <w:rtl/>
        </w:rPr>
        <w:t xml:space="preserve"> וטור- נ</w:t>
      </w:r>
      <w:r w:rsidRPr="00C845AE">
        <w:rPr>
          <w:rFonts w:cs="Arial"/>
          <w:rtl/>
        </w:rPr>
        <w:t>רא</w:t>
      </w:r>
      <w:r>
        <w:rPr>
          <w:rFonts w:cs="Arial" w:hint="cs"/>
          <w:rtl/>
        </w:rPr>
        <w:t>ה</w:t>
      </w:r>
      <w:r w:rsidRPr="00C845AE">
        <w:rPr>
          <w:rFonts w:cs="Arial"/>
          <w:rtl/>
        </w:rPr>
        <w:t xml:space="preserve"> דהוא הדין בכל ארץ וארץ כיוצ</w:t>
      </w:r>
      <w:r>
        <w:rPr>
          <w:rFonts w:cs="Arial" w:hint="cs"/>
          <w:rtl/>
        </w:rPr>
        <w:t>א</w:t>
      </w:r>
      <w:r w:rsidRPr="00C845AE">
        <w:rPr>
          <w:rFonts w:cs="Arial"/>
          <w:rtl/>
        </w:rPr>
        <w:t xml:space="preserve"> בזה לפי מה שהיא חלוקה בגבולותיה</w:t>
      </w:r>
      <w:r>
        <w:rPr>
          <w:rFonts w:cs="Arial" w:hint="cs"/>
          <w:rtl/>
        </w:rPr>
        <w:t xml:space="preserve">. </w:t>
      </w:r>
      <w:r w:rsidRPr="00A73B2D">
        <w:rPr>
          <w:rFonts w:hint="cs"/>
          <w:color w:val="E36C0A" w:themeColor="accent6" w:themeShade="BF"/>
          <w:rtl/>
        </w:rPr>
        <w:t>(וכ"פ בשו"ע</w:t>
      </w:r>
      <w:r>
        <w:rPr>
          <w:rFonts w:hint="cs"/>
          <w:color w:val="E36C0A" w:themeColor="accent6" w:themeShade="BF"/>
          <w:rtl/>
        </w:rPr>
        <w:t>)</w:t>
      </w:r>
    </w:p>
    <w:p w14:paraId="6A1E8D65" w14:textId="77777777" w:rsidR="002E5BAD" w:rsidRDefault="002E5BAD" w:rsidP="002E5BA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AA00D2">
        <w:rPr>
          <w:rFonts w:cs="Arial"/>
          <w:rtl/>
        </w:rPr>
        <w:t xml:space="preserve"> שלש ארצות לנשואין: יהודה, ועבר הירדן, והגליל</w:t>
      </w:r>
      <w:r w:rsidRPr="00AA00D2">
        <w:rPr>
          <w:rFonts w:cs="Arial" w:hint="cs"/>
          <w:rtl/>
        </w:rPr>
        <w:t>.</w:t>
      </w:r>
      <w:r w:rsidRPr="00AA00D2">
        <w:rPr>
          <w:rFonts w:cs="Arial"/>
          <w:rtl/>
        </w:rPr>
        <w:t xml:space="preserve"> אין מוציאין מעיר לעיר ומכרך לכרך, אבל באותה הארץ מוציאין מעיר לעיר ומכרך לכרך,</w:t>
      </w:r>
      <w:r w:rsidRPr="00AA00D2">
        <w:rPr>
          <w:rFonts w:hint="cs"/>
          <w:sz w:val="14"/>
          <w:szCs w:val="14"/>
          <w:rtl/>
        </w:rPr>
        <w:t>(קי:)</w:t>
      </w:r>
      <w:r w:rsidRPr="00240B1E">
        <w:rPr>
          <w:rtl/>
        </w:rPr>
        <w:t xml:space="preserve"> </w:t>
      </w:r>
      <w:r w:rsidRPr="00AA00D2">
        <w:rPr>
          <w:rFonts w:cs="Arial"/>
          <w:rtl/>
        </w:rPr>
        <w:t>אבל לא מעיר לכרך ולא מכרך לעיר. מוציאין מנוה הרעה לנוה היפה, אבל לא מנוה היפה לנוה הרעה</w:t>
      </w:r>
      <w:r w:rsidRPr="00AA00D2">
        <w:rPr>
          <w:rFonts w:cs="Arial" w:hint="cs"/>
          <w:rtl/>
        </w:rPr>
        <w:t>.</w:t>
      </w:r>
      <w:r w:rsidRPr="00AA00D2">
        <w:rPr>
          <w:rFonts w:cs="Arial"/>
          <w:rtl/>
        </w:rPr>
        <w:t xml:space="preserve"> </w:t>
      </w:r>
      <w:r w:rsidRPr="00AA00D2">
        <w:rPr>
          <w:rFonts w:cs="Arial"/>
          <w:u w:val="single"/>
          <w:rtl/>
        </w:rPr>
        <w:t>רשב"ג אומר</w:t>
      </w:r>
      <w:r w:rsidRPr="00AA00D2">
        <w:rPr>
          <w:rFonts w:cs="Arial"/>
          <w:rtl/>
        </w:rPr>
        <w:t>: אף לא מנוה רעה לנוה יפה, מפני שהנוה היפה בודק</w:t>
      </w:r>
      <w:r>
        <w:rPr>
          <w:rStyle w:val="a7"/>
          <w:rFonts w:cs="Arial"/>
          <w:rtl/>
        </w:rPr>
        <w:footnoteReference w:id="1220"/>
      </w:r>
      <w:r w:rsidRPr="00AA00D2">
        <w:rPr>
          <w:rFonts w:cs="Arial"/>
          <w:rtl/>
        </w:rPr>
        <w:t xml:space="preserve">. </w:t>
      </w:r>
      <w:r w:rsidRPr="00AA00D2">
        <w:rPr>
          <w:rFonts w:cs="Arial" w:hint="cs"/>
          <w:sz w:val="16"/>
          <w:szCs w:val="16"/>
          <w:rtl/>
        </w:rPr>
        <w:t>(</w:t>
      </w:r>
      <w:r w:rsidRPr="00D57ECA">
        <w:rPr>
          <w:rFonts w:cs="Arial"/>
          <w:sz w:val="16"/>
          <w:szCs w:val="16"/>
          <w:rtl/>
        </w:rPr>
        <w:t>ואע</w:t>
      </w:r>
      <w:r>
        <w:rPr>
          <w:rFonts w:cs="Arial" w:hint="cs"/>
          <w:sz w:val="16"/>
          <w:szCs w:val="16"/>
          <w:rtl/>
        </w:rPr>
        <w:t>"</w:t>
      </w:r>
      <w:r w:rsidRPr="00D57ECA">
        <w:rPr>
          <w:rFonts w:cs="Arial"/>
          <w:sz w:val="16"/>
          <w:szCs w:val="16"/>
          <w:rtl/>
        </w:rPr>
        <w:t>ג דמשמע דת"ק פליג בהא</w:t>
      </w:r>
      <w:r w:rsidRPr="00D57ECA">
        <w:rPr>
          <w:rFonts w:cs="Arial" w:hint="cs"/>
          <w:sz w:val="16"/>
          <w:szCs w:val="16"/>
          <w:rtl/>
        </w:rPr>
        <w:t>,</w:t>
      </w:r>
      <w:r w:rsidRPr="00D57ECA">
        <w:rPr>
          <w:rFonts w:cs="Arial"/>
          <w:sz w:val="16"/>
          <w:szCs w:val="16"/>
          <w:rtl/>
        </w:rPr>
        <w:t xml:space="preserve"> קיי"ל (כתובות עז.) כל מקום ששנה רבן שמעון בן גמליאל במשנתינו הלכה כמותו</w:t>
      </w:r>
      <w:r w:rsidRPr="00D57ECA">
        <w:rPr>
          <w:rFonts w:cs="Arial" w:hint="cs"/>
          <w:sz w:val="16"/>
          <w:szCs w:val="16"/>
          <w:rtl/>
        </w:rPr>
        <w:t>.</w:t>
      </w:r>
      <w:r w:rsidRPr="00D57ECA">
        <w:rPr>
          <w:rFonts w:cs="Arial"/>
          <w:sz w:val="16"/>
          <w:szCs w:val="16"/>
          <w:rtl/>
        </w:rPr>
        <w:t xml:space="preserve"> וכן פסק הרמב"ם בפי"ג מהלכות אישות (הי"ח)</w:t>
      </w:r>
      <w:r w:rsidRPr="00D57ECA">
        <w:rPr>
          <w:rFonts w:cs="Arial" w:hint="cs"/>
          <w:sz w:val="16"/>
          <w:szCs w:val="16"/>
          <w:rtl/>
        </w:rPr>
        <w:t>, ב"י)</w:t>
      </w:r>
    </w:p>
    <w:p w14:paraId="3123566D" w14:textId="77777777" w:rsidR="002E5BAD" w:rsidRPr="00A806B1" w:rsidRDefault="002E5BAD" w:rsidP="002E5BAD">
      <w:pPr>
        <w:rPr>
          <w:b/>
          <w:bCs/>
        </w:rPr>
      </w:pPr>
      <w:r w:rsidRPr="00200403">
        <w:rPr>
          <w:rFonts w:cs="Arial" w:hint="cs"/>
          <w:u w:val="single"/>
          <w:rtl/>
        </w:rPr>
        <w:t xml:space="preserve">נשא אשה </w:t>
      </w:r>
      <w:r>
        <w:rPr>
          <w:rFonts w:cs="Arial" w:hint="cs"/>
          <w:u w:val="single"/>
          <w:rtl/>
        </w:rPr>
        <w:t>ורוצה להוציאה ממקום למקום באותה הארץ:</w:t>
      </w:r>
    </w:p>
    <w:p w14:paraId="33B75B4E" w14:textId="77777777" w:rsidR="002E5BAD" w:rsidRDefault="002E5BAD" w:rsidP="002E5BAD">
      <w:pPr>
        <w:pStyle w:val="ab"/>
        <w:numPr>
          <w:ilvl w:val="0"/>
          <w:numId w:val="136"/>
        </w:numPr>
        <w:rPr>
          <w:b/>
          <w:bCs/>
        </w:rPr>
      </w:pPr>
      <w:r>
        <w:rPr>
          <w:rFonts w:cs="Arial" w:hint="cs"/>
          <w:rtl/>
        </w:rPr>
        <w:t xml:space="preserve">רמב"ם </w:t>
      </w:r>
      <w:r>
        <w:rPr>
          <w:rFonts w:cs="Arial" w:hint="cs"/>
          <w:sz w:val="16"/>
          <w:szCs w:val="16"/>
          <w:rtl/>
        </w:rPr>
        <w:t>(פי"ג מאישות הי"ז-יח)</w:t>
      </w:r>
      <w:r>
        <w:rPr>
          <w:rFonts w:cs="Arial" w:hint="cs"/>
          <w:rtl/>
        </w:rPr>
        <w:t xml:space="preserve"> וטור- </w:t>
      </w:r>
      <w:r w:rsidRPr="00C845AE">
        <w:rPr>
          <w:rFonts w:cs="Arial"/>
          <w:rtl/>
        </w:rPr>
        <w:t>באותה הארץ יכול להוציאה מעיר לעיר ומכפר לכפר</w:t>
      </w:r>
      <w:r>
        <w:rPr>
          <w:rStyle w:val="a7"/>
          <w:rFonts w:cs="Arial"/>
          <w:rtl/>
        </w:rPr>
        <w:footnoteReference w:id="1221"/>
      </w:r>
      <w:r>
        <w:rPr>
          <w:rFonts w:cs="Arial" w:hint="cs"/>
          <w:rtl/>
        </w:rPr>
        <w:t>,</w:t>
      </w:r>
      <w:r w:rsidRPr="00C845AE">
        <w:rPr>
          <w:rFonts w:cs="Arial"/>
          <w:rtl/>
        </w:rPr>
        <w:t xml:space="preserve"> אבל אינו יכול להוציאה מעיר לכפר ולא מכפר לעיר</w:t>
      </w:r>
      <w:r>
        <w:rPr>
          <w:rFonts w:cs="Arial" w:hint="cs"/>
          <w:rtl/>
        </w:rPr>
        <w:t>,</w:t>
      </w:r>
      <w:r w:rsidRPr="00C845AE">
        <w:rPr>
          <w:rFonts w:cs="Arial"/>
          <w:rtl/>
        </w:rPr>
        <w:t xml:space="preserve"> שיש דברים שישיבת העיירות טובה להם ויש דברים שישיבת הכפרים טובה להם</w:t>
      </w:r>
      <w:r>
        <w:rPr>
          <w:rFonts w:cs="Arial" w:hint="cs"/>
          <w:rtl/>
        </w:rPr>
        <w:t>.</w:t>
      </w:r>
      <w:r w:rsidRPr="00C845AE">
        <w:rPr>
          <w:rFonts w:cs="Arial"/>
          <w:rtl/>
        </w:rPr>
        <w:t xml:space="preserve"> וכשיוציאנה מעיר לעיר ומכפר לכפר לא יוציאנה מנוה היפה לנוה הרע</w:t>
      </w:r>
      <w:r>
        <w:rPr>
          <w:rFonts w:cs="Arial" w:hint="cs"/>
          <w:rtl/>
        </w:rPr>
        <w:t>,</w:t>
      </w:r>
      <w:r w:rsidRPr="00C845AE">
        <w:rPr>
          <w:rFonts w:cs="Arial"/>
          <w:rtl/>
        </w:rPr>
        <w:t xml:space="preserve"> ואף לא מנוה הרע לנוה היפה</w:t>
      </w:r>
      <w:r>
        <w:rPr>
          <w:rFonts w:cs="Arial" w:hint="cs"/>
          <w:sz w:val="16"/>
          <w:szCs w:val="16"/>
          <w:rtl/>
        </w:rPr>
        <w:t xml:space="preserve"> (ל' </w:t>
      </w:r>
      <w:r w:rsidRPr="00A73B2D">
        <w:rPr>
          <w:rFonts w:cs="Arial" w:hint="cs"/>
          <w:sz w:val="16"/>
          <w:szCs w:val="16"/>
          <w:rtl/>
        </w:rPr>
        <w:t>הטור)</w:t>
      </w:r>
      <w:r w:rsidRPr="00A73B2D">
        <w:rPr>
          <w:rFonts w:cs="Arial" w:hint="cs"/>
          <w:rtl/>
        </w:rPr>
        <w:t>.</w:t>
      </w:r>
      <w:r w:rsidRPr="00A73B2D">
        <w:rPr>
          <w:rFonts w:cs="Arial"/>
          <w:rtl/>
        </w:rPr>
        <w:t xml:space="preserve"> </w:t>
      </w:r>
      <w:r w:rsidRPr="00A73B2D">
        <w:rPr>
          <w:rFonts w:hint="cs"/>
          <w:color w:val="E36C0A" w:themeColor="accent6" w:themeShade="BF"/>
          <w:rtl/>
        </w:rPr>
        <w:t>(וכ"פ בשו"ע</w:t>
      </w:r>
      <w:r w:rsidRPr="00A73B2D">
        <w:rPr>
          <w:rFonts w:hint="cs"/>
          <w:color w:val="E36C0A" w:themeColor="accent6" w:themeShade="BF"/>
          <w:sz w:val="16"/>
          <w:szCs w:val="16"/>
          <w:rtl/>
        </w:rPr>
        <w:t xml:space="preserve"> </w:t>
      </w:r>
      <w:r>
        <w:rPr>
          <w:rFonts w:hint="cs"/>
          <w:sz w:val="16"/>
          <w:szCs w:val="16"/>
          <w:rtl/>
        </w:rPr>
        <w:t>[כאן ובסע' הבא]</w:t>
      </w:r>
      <w:r w:rsidRPr="00A73B2D">
        <w:rPr>
          <w:rFonts w:hint="cs"/>
          <w:color w:val="E36C0A" w:themeColor="accent6" w:themeShade="BF"/>
          <w:rtl/>
        </w:rPr>
        <w:t>)</w:t>
      </w:r>
    </w:p>
    <w:p w14:paraId="1C3692A9" w14:textId="77777777" w:rsidR="002E5BAD" w:rsidRPr="002B70E1" w:rsidRDefault="002E5BAD" w:rsidP="002E5BAD">
      <w:pPr>
        <w:rPr>
          <w:sz w:val="16"/>
          <w:szCs w:val="16"/>
        </w:rPr>
      </w:pPr>
      <w:r w:rsidRPr="002B70E1">
        <w:rPr>
          <w:rFonts w:hint="cs"/>
          <w:u w:val="single"/>
          <w:rtl/>
        </w:rPr>
        <w:t>כיצד קובעים את חילוק הארצות:</w:t>
      </w:r>
      <w:r>
        <w:rPr>
          <w:rFonts w:hint="cs"/>
          <w:rtl/>
        </w:rPr>
        <w:t xml:space="preserve">  </w:t>
      </w:r>
      <w:r>
        <w:rPr>
          <w:rFonts w:hint="cs"/>
          <w:sz w:val="16"/>
          <w:szCs w:val="16"/>
          <w:rtl/>
        </w:rPr>
        <w:t>(דרכ"מ אות ב)</w:t>
      </w:r>
    </w:p>
    <w:p w14:paraId="74A51045" w14:textId="77777777" w:rsidR="002E5BAD" w:rsidRPr="008437AE" w:rsidRDefault="002E5BAD" w:rsidP="002E5BAD">
      <w:pPr>
        <w:pStyle w:val="ab"/>
        <w:numPr>
          <w:ilvl w:val="0"/>
          <w:numId w:val="136"/>
        </w:numPr>
        <w:rPr>
          <w:b/>
          <w:bCs/>
        </w:rPr>
      </w:pPr>
      <w:r w:rsidRPr="00242605">
        <w:rPr>
          <w:rFonts w:cs="Arial"/>
          <w:rtl/>
        </w:rPr>
        <w:t xml:space="preserve">מהר"ם </w:t>
      </w:r>
      <w:r w:rsidRPr="002B70E1">
        <w:rPr>
          <w:rFonts w:cs="Arial"/>
          <w:sz w:val="16"/>
          <w:szCs w:val="16"/>
          <w:rtl/>
        </w:rPr>
        <w:t>(ד</w:t>
      </w:r>
      <w:r w:rsidRPr="002B70E1">
        <w:rPr>
          <w:rFonts w:cs="Arial" w:hint="cs"/>
          <w:sz w:val="16"/>
          <w:szCs w:val="16"/>
          <w:rtl/>
        </w:rPr>
        <w:t>"</w:t>
      </w:r>
      <w:r w:rsidRPr="002B70E1">
        <w:rPr>
          <w:rFonts w:cs="Arial"/>
          <w:sz w:val="16"/>
          <w:szCs w:val="16"/>
          <w:rtl/>
        </w:rPr>
        <w:t>ק סי</w:t>
      </w:r>
      <w:r w:rsidRPr="002B70E1">
        <w:rPr>
          <w:rFonts w:cs="Arial" w:hint="cs"/>
          <w:sz w:val="16"/>
          <w:szCs w:val="16"/>
          <w:rtl/>
        </w:rPr>
        <w:t>'</w:t>
      </w:r>
      <w:r w:rsidRPr="002B70E1">
        <w:rPr>
          <w:rFonts w:cs="Arial"/>
          <w:sz w:val="16"/>
          <w:szCs w:val="16"/>
          <w:rtl/>
        </w:rPr>
        <w:t xml:space="preserve"> קיז</w:t>
      </w:r>
      <w:r w:rsidRPr="002B70E1">
        <w:rPr>
          <w:rFonts w:cs="Arial" w:hint="cs"/>
          <w:sz w:val="16"/>
          <w:szCs w:val="16"/>
          <w:rtl/>
        </w:rPr>
        <w:t>)</w:t>
      </w:r>
      <w:r>
        <w:rPr>
          <w:rFonts w:cs="Arial" w:hint="cs"/>
          <w:rtl/>
        </w:rPr>
        <w:t>-</w:t>
      </w:r>
      <w:r w:rsidRPr="00242605">
        <w:rPr>
          <w:rFonts w:cs="Arial"/>
          <w:rtl/>
        </w:rPr>
        <w:t xml:space="preserve"> אין נקרא חלוק ארצות אלא אותן שנפרדו בלשונן</w:t>
      </w:r>
      <w:r>
        <w:rPr>
          <w:rFonts w:cs="Arial" w:hint="cs"/>
          <w:rtl/>
        </w:rPr>
        <w:t>.</w:t>
      </w:r>
      <w:r w:rsidRPr="00242605">
        <w:rPr>
          <w:rFonts w:cs="Arial"/>
          <w:rtl/>
        </w:rPr>
        <w:t xml:space="preserve"> דאם תאמר דעלזי"ש וריינו"ס ופרנקי"ן מיקרי חילוק ארצות</w:t>
      </w:r>
      <w:r>
        <w:rPr>
          <w:rFonts w:cs="Arial" w:hint="cs"/>
          <w:rtl/>
        </w:rPr>
        <w:t>,</w:t>
      </w:r>
      <w:r w:rsidRPr="00242605">
        <w:rPr>
          <w:rFonts w:cs="Arial"/>
          <w:rtl/>
        </w:rPr>
        <w:t xml:space="preserve"> אם כן איך יתכן שארץ ישראל שהיו בו ת' פרסה על ת' פרסה ולא היו בו רק ג' ארצות</w:t>
      </w:r>
      <w:r>
        <w:rPr>
          <w:rFonts w:cs="Arial" w:hint="cs"/>
          <w:rtl/>
        </w:rPr>
        <w:t>.</w:t>
      </w:r>
      <w:r w:rsidRPr="00A754AD">
        <w:rPr>
          <w:rFonts w:cs="Arial" w:hint="cs"/>
          <w:color w:val="00B0F0"/>
          <w:rtl/>
        </w:rPr>
        <w:t xml:space="preserve"> </w:t>
      </w:r>
      <w:r w:rsidRPr="00E459DE">
        <w:rPr>
          <w:rFonts w:cs="Arial" w:hint="cs"/>
          <w:color w:val="00B0F0"/>
          <w:rtl/>
        </w:rPr>
        <w:t>(וכ"פ הרמ"א)</w:t>
      </w:r>
    </w:p>
    <w:p w14:paraId="7B6E0DB7" w14:textId="77777777" w:rsidR="002E5BAD" w:rsidRPr="002B70E1" w:rsidRDefault="002E5BAD" w:rsidP="002E5BAD">
      <w:pPr>
        <w:rPr>
          <w:u w:val="single"/>
        </w:rPr>
      </w:pPr>
      <w:r w:rsidRPr="002B70E1">
        <w:rPr>
          <w:rFonts w:hint="cs"/>
          <w:u w:val="single"/>
          <w:rtl/>
        </w:rPr>
        <w:lastRenderedPageBreak/>
        <w:t xml:space="preserve">יכול להוציאה ואינה רוצה לבוא עמו </w:t>
      </w:r>
      <w:r w:rsidRPr="002B70E1">
        <w:rPr>
          <w:u w:val="single"/>
          <w:rtl/>
        </w:rPr>
        <w:t>–</w:t>
      </w:r>
      <w:r w:rsidRPr="002B70E1">
        <w:rPr>
          <w:rFonts w:hint="cs"/>
          <w:u w:val="single"/>
          <w:rtl/>
        </w:rPr>
        <w:t xml:space="preserve"> האם יש לה תוספת כתובה:</w:t>
      </w:r>
    </w:p>
    <w:p w14:paraId="48111FFD" w14:textId="77777777" w:rsidR="002E5BAD" w:rsidRPr="00A73B2D" w:rsidRDefault="002E5BAD" w:rsidP="002E5BAD">
      <w:pPr>
        <w:pStyle w:val="ab"/>
        <w:numPr>
          <w:ilvl w:val="0"/>
          <w:numId w:val="136"/>
        </w:numPr>
      </w:pPr>
      <w:r w:rsidRPr="002B70E1">
        <w:rPr>
          <w:rFonts w:cs="Arial"/>
          <w:rtl/>
        </w:rPr>
        <w:t xml:space="preserve">ר"ן </w:t>
      </w:r>
      <w:r w:rsidRPr="002B70E1">
        <w:rPr>
          <w:rFonts w:cs="Arial"/>
          <w:sz w:val="16"/>
          <w:szCs w:val="16"/>
          <w:rtl/>
        </w:rPr>
        <w:t>(סה: ד"ה אבל)</w:t>
      </w:r>
      <w:r>
        <w:rPr>
          <w:rFonts w:cs="Arial" w:hint="cs"/>
          <w:rtl/>
        </w:rPr>
        <w:t>-</w:t>
      </w:r>
      <w:r w:rsidRPr="002B70E1">
        <w:rPr>
          <w:rFonts w:cs="Arial"/>
          <w:rtl/>
        </w:rPr>
        <w:t xml:space="preserve"> בכל מקום שהוא יכול להוציאה אם אינה רוצה לצאת </w:t>
      </w:r>
      <w:r w:rsidRPr="002B70E1">
        <w:rPr>
          <w:rFonts w:cs="Arial" w:hint="cs"/>
          <w:rtl/>
        </w:rPr>
        <w:t xml:space="preserve">- </w:t>
      </w:r>
      <w:r w:rsidRPr="002B70E1">
        <w:rPr>
          <w:rFonts w:cs="Arial"/>
          <w:rtl/>
        </w:rPr>
        <w:t>תצא שלא בכתובה ומשמע דאפילו תוספת אין לה</w:t>
      </w:r>
      <w:r w:rsidRPr="002B70E1">
        <w:rPr>
          <w:rFonts w:cs="Arial" w:hint="cs"/>
          <w:rtl/>
        </w:rPr>
        <w:t>,</w:t>
      </w:r>
      <w:r w:rsidRPr="002B70E1">
        <w:rPr>
          <w:rFonts w:cs="Arial"/>
          <w:rtl/>
        </w:rPr>
        <w:t xml:space="preserve"> דלא כתב לה אלא אדעתא למיקם קמיה בכל מקום שהדין נותן שתלך אחריו</w:t>
      </w:r>
      <w:r>
        <w:rPr>
          <w:rStyle w:val="a7"/>
          <w:rFonts w:cs="Arial"/>
          <w:rtl/>
        </w:rPr>
        <w:footnoteReference w:id="1222"/>
      </w:r>
      <w:r>
        <w:rPr>
          <w:rFonts w:cs="Arial" w:hint="cs"/>
          <w:rtl/>
        </w:rPr>
        <w:t>.</w:t>
      </w:r>
      <w:r>
        <w:rPr>
          <w:rFonts w:hint="cs"/>
          <w:color w:val="E36C0A" w:themeColor="accent6" w:themeShade="BF"/>
          <w:rtl/>
        </w:rPr>
        <w:t xml:space="preserve"> </w:t>
      </w:r>
      <w:r w:rsidRPr="00A73B2D">
        <w:rPr>
          <w:rFonts w:hint="cs"/>
          <w:color w:val="E36C0A" w:themeColor="accent6" w:themeShade="BF"/>
          <w:rtl/>
        </w:rPr>
        <w:t>(וכ"פ בשו"ע</w:t>
      </w:r>
      <w:r>
        <w:rPr>
          <w:rFonts w:hint="cs"/>
          <w:color w:val="E36C0A" w:themeColor="accent6" w:themeShade="BF"/>
          <w:rtl/>
        </w:rPr>
        <w:t>)</w:t>
      </w:r>
    </w:p>
    <w:p w14:paraId="54050626" w14:textId="77777777" w:rsidR="002E5BAD" w:rsidRPr="00E459DE" w:rsidRDefault="002E5BAD" w:rsidP="002E5BAD">
      <w:pPr>
        <w:rPr>
          <w:u w:val="single"/>
        </w:rPr>
      </w:pPr>
      <w:r w:rsidRPr="00E459DE">
        <w:rPr>
          <w:rFonts w:cs="Arial"/>
          <w:u w:val="single"/>
          <w:rtl/>
        </w:rPr>
        <w:t xml:space="preserve">היה דר עמה בעירו ולא </w:t>
      </w:r>
      <w:r w:rsidRPr="00E459DE">
        <w:rPr>
          <w:rFonts w:cs="Arial" w:hint="cs"/>
          <w:u w:val="single"/>
          <w:rtl/>
        </w:rPr>
        <w:t xml:space="preserve">קבעו דירתם שם, </w:t>
      </w:r>
      <w:r w:rsidRPr="00E459DE">
        <w:rPr>
          <w:rFonts w:cs="Arial"/>
          <w:u w:val="single"/>
          <w:rtl/>
        </w:rPr>
        <w:t xml:space="preserve">ונסע עמה לעירה דרך מקרה, ולא </w:t>
      </w:r>
      <w:r w:rsidRPr="00E459DE">
        <w:rPr>
          <w:rFonts w:cs="Arial" w:hint="cs"/>
          <w:u w:val="single"/>
          <w:rtl/>
        </w:rPr>
        <w:t>קבעו דירתם שם</w:t>
      </w:r>
      <w:r>
        <w:rPr>
          <w:rFonts w:cs="Arial" w:hint="cs"/>
          <w:u w:val="single"/>
          <w:rtl/>
        </w:rPr>
        <w:t>:</w:t>
      </w:r>
    </w:p>
    <w:p w14:paraId="5FC9C674" w14:textId="77777777" w:rsidR="002E5BAD" w:rsidRPr="00E459DE" w:rsidRDefault="002E5BAD" w:rsidP="002E5BAD">
      <w:pPr>
        <w:pStyle w:val="ab"/>
        <w:numPr>
          <w:ilvl w:val="0"/>
          <w:numId w:val="136"/>
        </w:numPr>
      </w:pPr>
      <w:r w:rsidRPr="00A73B2D">
        <w:rPr>
          <w:rFonts w:cs="Arial"/>
          <w:rtl/>
        </w:rPr>
        <w:t xml:space="preserve">ריב"ש </w:t>
      </w:r>
      <w:r w:rsidRPr="00A73B2D">
        <w:rPr>
          <w:rFonts w:cs="Arial" w:hint="cs"/>
          <w:sz w:val="16"/>
          <w:szCs w:val="16"/>
          <w:rtl/>
        </w:rPr>
        <w:t>(</w:t>
      </w:r>
      <w:r w:rsidRPr="00A73B2D">
        <w:rPr>
          <w:rFonts w:cs="Arial"/>
          <w:sz w:val="16"/>
          <w:szCs w:val="16"/>
          <w:rtl/>
        </w:rPr>
        <w:t>סי</w:t>
      </w:r>
      <w:r w:rsidRPr="00A73B2D">
        <w:rPr>
          <w:rFonts w:cs="Arial" w:hint="cs"/>
          <w:sz w:val="16"/>
          <w:szCs w:val="16"/>
          <w:rtl/>
        </w:rPr>
        <w:t>'</w:t>
      </w:r>
      <w:r w:rsidRPr="00A73B2D">
        <w:rPr>
          <w:rFonts w:cs="Arial"/>
          <w:sz w:val="16"/>
          <w:szCs w:val="16"/>
          <w:rtl/>
        </w:rPr>
        <w:t xml:space="preserve"> פח</w:t>
      </w:r>
      <w:r w:rsidRPr="00A73B2D">
        <w:rPr>
          <w:rFonts w:cs="Arial" w:hint="cs"/>
          <w:sz w:val="16"/>
          <w:szCs w:val="16"/>
          <w:rtl/>
        </w:rPr>
        <w:t>)</w:t>
      </w:r>
      <w:r w:rsidRPr="00A73B2D">
        <w:rPr>
          <w:rFonts w:cs="Arial" w:hint="cs"/>
          <w:rtl/>
        </w:rPr>
        <w:t xml:space="preserve">- </w:t>
      </w:r>
      <w:r w:rsidRPr="00A73B2D">
        <w:rPr>
          <w:rFonts w:cs="Arial"/>
          <w:rtl/>
        </w:rPr>
        <w:t>מי שנשא אשה והביאוה לו לעירו</w:t>
      </w:r>
      <w:r>
        <w:rPr>
          <w:rFonts w:cs="Arial" w:hint="cs"/>
          <w:rtl/>
        </w:rPr>
        <w:t>,</w:t>
      </w:r>
      <w:r w:rsidRPr="00A73B2D">
        <w:rPr>
          <w:rFonts w:cs="Arial"/>
          <w:rtl/>
        </w:rPr>
        <w:t xml:space="preserve"> וא</w:t>
      </w:r>
      <w:r>
        <w:rPr>
          <w:rFonts w:cs="Arial" w:hint="cs"/>
          <w:rtl/>
        </w:rPr>
        <w:t>ח"</w:t>
      </w:r>
      <w:r w:rsidRPr="00A73B2D">
        <w:rPr>
          <w:rFonts w:cs="Arial"/>
          <w:rtl/>
        </w:rPr>
        <w:t>כ הוכרחו לצאת מן המקום ההוא</w:t>
      </w:r>
      <w:r>
        <w:rPr>
          <w:rFonts w:cs="Arial" w:hint="cs"/>
          <w:rtl/>
        </w:rPr>
        <w:t>.</w:t>
      </w:r>
      <w:r w:rsidRPr="00A73B2D">
        <w:rPr>
          <w:rFonts w:cs="Arial"/>
          <w:rtl/>
        </w:rPr>
        <w:t xml:space="preserve"> ויקר מקרהו שבאו למקו</w:t>
      </w:r>
      <w:r>
        <w:rPr>
          <w:rFonts w:cs="Arial" w:hint="cs"/>
          <w:rtl/>
        </w:rPr>
        <w:t>ם</w:t>
      </w:r>
      <w:r w:rsidRPr="00A73B2D">
        <w:rPr>
          <w:rFonts w:cs="Arial"/>
          <w:rtl/>
        </w:rPr>
        <w:t xml:space="preserve"> מולדתה</w:t>
      </w:r>
      <w:r>
        <w:rPr>
          <w:rFonts w:cs="Arial" w:hint="cs"/>
          <w:rtl/>
        </w:rPr>
        <w:t>,</w:t>
      </w:r>
      <w:r w:rsidRPr="00A73B2D">
        <w:rPr>
          <w:rFonts w:cs="Arial"/>
          <w:rtl/>
        </w:rPr>
        <w:t xml:space="preserve"> ועמדו שם ימים ולא איתדר ליה </w:t>
      </w:r>
      <w:r>
        <w:rPr>
          <w:rFonts w:cs="Arial" w:hint="cs"/>
          <w:rtl/>
        </w:rPr>
        <w:t xml:space="preserve">- </w:t>
      </w:r>
      <w:r w:rsidRPr="00A73B2D">
        <w:rPr>
          <w:rFonts w:cs="Arial"/>
          <w:rtl/>
        </w:rPr>
        <w:t>הרשות בידו להוציאה משם למקום אחר</w:t>
      </w:r>
      <w:r>
        <w:rPr>
          <w:rFonts w:cs="Arial" w:hint="cs"/>
          <w:rtl/>
        </w:rPr>
        <w:t xml:space="preserve">... </w:t>
      </w:r>
      <w:r w:rsidRPr="00A73B2D">
        <w:rPr>
          <w:rFonts w:cs="Arial"/>
          <w:rtl/>
        </w:rPr>
        <w:t>וכ</w:t>
      </w:r>
      <w:r>
        <w:rPr>
          <w:rFonts w:cs="Arial" w:hint="cs"/>
          <w:rtl/>
        </w:rPr>
        <w:t xml:space="preserve">ל </w:t>
      </w:r>
      <w:r w:rsidRPr="00A73B2D">
        <w:rPr>
          <w:rFonts w:cs="Arial"/>
          <w:rtl/>
        </w:rPr>
        <w:t>ש</w:t>
      </w:r>
      <w:r>
        <w:rPr>
          <w:rFonts w:cs="Arial" w:hint="cs"/>
          <w:rtl/>
        </w:rPr>
        <w:t>כן</w:t>
      </w:r>
      <w:r w:rsidRPr="00A73B2D">
        <w:rPr>
          <w:rFonts w:cs="Arial"/>
          <w:rtl/>
        </w:rPr>
        <w:t xml:space="preserve"> שהמקום שדעתך לקבוע דירתך שם הוא מקום תורה וחכמה יותר ממקום שאתם דרים שם עתה וקהלה גדולה ממנה כפלי כפלים</w:t>
      </w:r>
      <w:r>
        <w:rPr>
          <w:rFonts w:cs="Arial" w:hint="cs"/>
          <w:rtl/>
        </w:rPr>
        <w:t>,</w:t>
      </w:r>
      <w:r w:rsidRPr="00A73B2D">
        <w:rPr>
          <w:rFonts w:cs="Arial"/>
          <w:rtl/>
        </w:rPr>
        <w:t xml:space="preserve"> וקרוב להיות דומה למה שאמרו בתוספתא מוציאין מעיר שרובה גוים לעיר שרובה ישראל</w:t>
      </w:r>
      <w:r>
        <w:rPr>
          <w:rFonts w:cs="Arial" w:hint="cs"/>
          <w:rtl/>
        </w:rPr>
        <w:t>.</w:t>
      </w:r>
      <w:r w:rsidRPr="00E459DE">
        <w:rPr>
          <w:rFonts w:cs="Arial" w:hint="cs"/>
          <w:color w:val="00B0F0"/>
          <w:rtl/>
        </w:rPr>
        <w:t xml:space="preserve"> (וכ"פ הרמ"א)</w:t>
      </w:r>
    </w:p>
    <w:p w14:paraId="5ACF4A7F" w14:textId="77777777" w:rsidR="002E5BAD" w:rsidRPr="00D24C28" w:rsidRDefault="002E5BAD" w:rsidP="002E5BAD">
      <w:pPr>
        <w:rPr>
          <w:u w:val="single"/>
        </w:rPr>
      </w:pPr>
      <w:r w:rsidRPr="00D24C28">
        <w:rPr>
          <w:rFonts w:hint="cs"/>
          <w:u w:val="single"/>
          <w:rtl/>
        </w:rPr>
        <w:t>מעבר דירה לצורך פרנסה:</w:t>
      </w:r>
    </w:p>
    <w:p w14:paraId="5D69DBBA" w14:textId="77777777" w:rsidR="002E5BAD" w:rsidRPr="00D24C28" w:rsidRDefault="002E5BAD" w:rsidP="002E5BAD">
      <w:pPr>
        <w:pStyle w:val="ab"/>
        <w:numPr>
          <w:ilvl w:val="0"/>
          <w:numId w:val="136"/>
        </w:numPr>
        <w:rPr>
          <w:rFonts w:cs="Arial"/>
        </w:rPr>
      </w:pPr>
      <w:r w:rsidRPr="00E459DE">
        <w:rPr>
          <w:rFonts w:cs="Arial" w:hint="cs"/>
          <w:rtl/>
        </w:rPr>
        <w:t>תרוה"ד</w:t>
      </w:r>
      <w:r w:rsidRPr="00E459DE">
        <w:rPr>
          <w:rFonts w:cs="Arial"/>
          <w:rtl/>
        </w:rPr>
        <w:t xml:space="preserve"> </w:t>
      </w:r>
      <w:r w:rsidRPr="00E459DE">
        <w:rPr>
          <w:rFonts w:cs="Arial"/>
          <w:sz w:val="16"/>
          <w:szCs w:val="16"/>
          <w:rtl/>
        </w:rPr>
        <w:t>(סי</w:t>
      </w:r>
      <w:r w:rsidRPr="00E459DE">
        <w:rPr>
          <w:rFonts w:cs="Arial" w:hint="cs"/>
          <w:sz w:val="16"/>
          <w:szCs w:val="16"/>
          <w:rtl/>
        </w:rPr>
        <w:t>'</w:t>
      </w:r>
      <w:r w:rsidRPr="00E459DE">
        <w:rPr>
          <w:rFonts w:cs="Arial"/>
          <w:sz w:val="16"/>
          <w:szCs w:val="16"/>
          <w:rtl/>
        </w:rPr>
        <w:t xml:space="preserve"> רטו)</w:t>
      </w:r>
      <w:r w:rsidRPr="00E459DE">
        <w:rPr>
          <w:rFonts w:cs="Arial" w:hint="cs"/>
          <w:rtl/>
        </w:rPr>
        <w:t>-</w:t>
      </w:r>
      <w:r w:rsidRPr="00E459DE">
        <w:rPr>
          <w:rFonts w:cs="Arial"/>
          <w:rtl/>
        </w:rPr>
        <w:t xml:space="preserve"> </w:t>
      </w:r>
      <w:r w:rsidRPr="00D24C28">
        <w:rPr>
          <w:rFonts w:cs="Arial"/>
          <w:rtl/>
        </w:rPr>
        <w:t>שאלה</w:t>
      </w:r>
      <w:r>
        <w:rPr>
          <w:rFonts w:cs="Arial" w:hint="cs"/>
          <w:rtl/>
        </w:rPr>
        <w:t>,</w:t>
      </w:r>
      <w:r w:rsidRPr="00D24C28">
        <w:rPr>
          <w:rFonts w:cs="Arial"/>
          <w:rtl/>
        </w:rPr>
        <w:t xml:space="preserve"> ראובן נשא את לאה במדינת מולדתו ובדעתו היה להשתקע שם, ולאחר שלש או ארבע שנים ירד מנכסיו קצת ומבקש מאשתו שתלך עמו למדינה אחרת לגור שם באומר</w:t>
      </w:r>
      <w:r>
        <w:rPr>
          <w:rFonts w:cs="Arial" w:hint="cs"/>
          <w:rtl/>
        </w:rPr>
        <w:t>ו</w:t>
      </w:r>
      <w:r w:rsidRPr="00D24C28">
        <w:rPr>
          <w:rFonts w:cs="Arial"/>
          <w:rtl/>
        </w:rPr>
        <w:t xml:space="preserve"> שלא יוכל להחיות ולהתפרנס במדינה זו לפי נכסיו שנתמעטו וכן הוא האמת. ומשיבה לאה אין רצוני לצאת מארץ מולדתי ממקום שנשאה שם ואף על פי שיש לדאג שתהא חסרה מזונות ופרנסה ותסבול דוחק רצונה לצפות על ישועת השם היוכל ראובן לכופה לצאת עמו ממקומה או לאו?</w:t>
      </w:r>
      <w:r>
        <w:rPr>
          <w:rFonts w:cs="Arial" w:hint="cs"/>
          <w:rtl/>
        </w:rPr>
        <w:t>.</w:t>
      </w:r>
      <w:r w:rsidRPr="00D24C28">
        <w:rPr>
          <w:rFonts w:cs="Arial"/>
          <w:rtl/>
        </w:rPr>
        <w:t xml:space="preserve"> תשובה: יראה שהדין עם הבעל ויכול לכוף את אשתו ולצאת כה"ג אם הדבר נראה לעינים שלא יוכל להתפרנס כאן ויש לדאג שיהיו מחסרים מזונות ופרנסה ויצטרכו לסבול דוחק. ואע</w:t>
      </w:r>
      <w:r>
        <w:rPr>
          <w:rFonts w:cs="Arial" w:hint="cs"/>
          <w:rtl/>
        </w:rPr>
        <w:t>"</w:t>
      </w:r>
      <w:r w:rsidRPr="00D24C28">
        <w:rPr>
          <w:rFonts w:cs="Arial"/>
          <w:rtl/>
        </w:rPr>
        <w:t xml:space="preserve">ג דשוים כל הגאונים דפליגי בכפיית הבעל והאשה דבלא אמתלא אינו יכול לכופה לצאת ממדינה </w:t>
      </w:r>
      <w:r>
        <w:rPr>
          <w:rFonts w:cs="Arial" w:hint="cs"/>
          <w:rtl/>
        </w:rPr>
        <w:t>שנשאה...</w:t>
      </w:r>
      <w:r w:rsidRPr="00D24C28">
        <w:rPr>
          <w:rFonts w:cs="Arial"/>
          <w:rtl/>
        </w:rPr>
        <w:t xml:space="preserve"> מ"מ על ידי אמתלא ברורה כזאת דבר פשוט הוא דיכול לכופה</w:t>
      </w:r>
      <w:r>
        <w:rPr>
          <w:rStyle w:val="a7"/>
          <w:rFonts w:cs="Arial"/>
          <w:rtl/>
        </w:rPr>
        <w:footnoteReference w:id="1223"/>
      </w:r>
      <w:r>
        <w:rPr>
          <w:rFonts w:cs="Arial" w:hint="cs"/>
          <w:rtl/>
        </w:rPr>
        <w:t>...</w:t>
      </w:r>
      <w:r w:rsidRPr="00D24C28">
        <w:rPr>
          <w:rFonts w:cs="Arial"/>
          <w:rtl/>
        </w:rPr>
        <w:t xml:space="preserve"> </w:t>
      </w:r>
    </w:p>
    <w:p w14:paraId="411F567F" w14:textId="77777777" w:rsidR="002E5BAD" w:rsidRPr="00D24C28" w:rsidRDefault="002E5BAD" w:rsidP="002E5BAD">
      <w:pPr>
        <w:pStyle w:val="ab"/>
        <w:numPr>
          <w:ilvl w:val="0"/>
          <w:numId w:val="136"/>
        </w:numPr>
        <w:rPr>
          <w:rFonts w:cs="Arial"/>
        </w:rPr>
      </w:pPr>
      <w:r>
        <w:rPr>
          <w:rFonts w:cs="Arial" w:hint="cs"/>
          <w:rtl/>
        </w:rPr>
        <w:t xml:space="preserve">ריב"ש </w:t>
      </w:r>
      <w:r>
        <w:rPr>
          <w:rFonts w:cs="Arial" w:hint="cs"/>
          <w:sz w:val="16"/>
          <w:szCs w:val="16"/>
          <w:rtl/>
        </w:rPr>
        <w:t>(סי' פא, הביאה הדרכ"מ אות ה)</w:t>
      </w:r>
      <w:r>
        <w:rPr>
          <w:rFonts w:cs="Arial" w:hint="cs"/>
          <w:rtl/>
        </w:rPr>
        <w:t xml:space="preserve">- </w:t>
      </w:r>
      <w:r w:rsidRPr="00D24C28">
        <w:rPr>
          <w:rFonts w:cs="Arial"/>
          <w:rtl/>
        </w:rPr>
        <w:t>שאלת</w:t>
      </w:r>
      <w:r>
        <w:rPr>
          <w:rFonts w:cs="Arial" w:hint="cs"/>
          <w:rtl/>
        </w:rPr>
        <w:t>,</w:t>
      </w:r>
      <w:r w:rsidRPr="00D24C28">
        <w:rPr>
          <w:rFonts w:cs="Arial"/>
          <w:rtl/>
        </w:rPr>
        <w:t xml:space="preserve"> ראובן נשא אשה בין שהיתה מעירו בין מעיר אחרת בין שנשאה בעירו בין שנשאה בעירה בתוך בני משפחתה ואביה ואמה ואחיה. ודחקה לו השעה באותה העיר שנשאה ולא מצא כדי פרנסתו ורצה לצאת משם וללכת אנה ואנה הן למזרח הן למערב ולגור באשר ימצא כדי פרנסתו ופרנסת אנשי ביתו. היוכל להכריח אשתו ללכת עמו מעיר לעיר עד שימצא מבוקשו אם לאו</w:t>
      </w:r>
      <w:r>
        <w:rPr>
          <w:rFonts w:cs="Arial" w:hint="cs"/>
          <w:rtl/>
        </w:rPr>
        <w:t>..</w:t>
      </w:r>
      <w:r w:rsidRPr="00D24C28">
        <w:rPr>
          <w:rFonts w:cs="Arial"/>
          <w:rtl/>
        </w:rPr>
        <w:t>. תשובה</w:t>
      </w:r>
      <w:r>
        <w:rPr>
          <w:rFonts w:cs="Arial" w:hint="cs"/>
          <w:rtl/>
        </w:rPr>
        <w:t>-</w:t>
      </w:r>
      <w:r w:rsidRPr="00D24C28">
        <w:rPr>
          <w:rFonts w:cs="Arial"/>
          <w:rtl/>
        </w:rPr>
        <w:t xml:space="preserve"> אין ספק שאין האיש יכול לכוף את אשתו ללכת עמו על הספק מעיר אל עיר ולהוליכה מדחי אל דחי כמו שנראה שבא השאלה על זה לפי לשונך. ובזה לא נסתפק אדם מעולם</w:t>
      </w:r>
      <w:r>
        <w:rPr>
          <w:rStyle w:val="a7"/>
          <w:rFonts w:cs="Arial"/>
          <w:rtl/>
        </w:rPr>
        <w:footnoteReference w:id="1224"/>
      </w:r>
      <w:r>
        <w:rPr>
          <w:rFonts w:cs="Arial" w:hint="cs"/>
          <w:rtl/>
        </w:rPr>
        <w:t>.</w:t>
      </w:r>
    </w:p>
    <w:p w14:paraId="6A461D80" w14:textId="77777777" w:rsidR="002E5BAD" w:rsidRPr="00B272A1" w:rsidRDefault="002E5BAD" w:rsidP="002E5BAD">
      <w:pPr>
        <w:rPr>
          <w:u w:val="single"/>
        </w:rPr>
      </w:pPr>
      <w:r w:rsidRPr="00B272A1">
        <w:rPr>
          <w:rFonts w:cs="Arial" w:hint="cs"/>
          <w:u w:val="single"/>
          <w:rtl/>
        </w:rPr>
        <w:t>הוא ממדינה אחת</w:t>
      </w:r>
      <w:r w:rsidRPr="00B272A1">
        <w:rPr>
          <w:rFonts w:cs="Arial"/>
          <w:u w:val="single"/>
          <w:rtl/>
        </w:rPr>
        <w:t xml:space="preserve"> ויש לו שם אשה, ו</w:t>
      </w:r>
      <w:r>
        <w:rPr>
          <w:rFonts w:cs="Arial" w:hint="cs"/>
          <w:u w:val="single"/>
          <w:rtl/>
        </w:rPr>
        <w:t>אירס</w:t>
      </w:r>
      <w:r w:rsidRPr="00B272A1">
        <w:rPr>
          <w:rFonts w:cs="Arial"/>
          <w:u w:val="single"/>
          <w:rtl/>
        </w:rPr>
        <w:t xml:space="preserve"> אחרת במדינה אחרת</w:t>
      </w:r>
      <w:r>
        <w:rPr>
          <w:rFonts w:cs="Arial" w:hint="cs"/>
          <w:u w:val="single"/>
          <w:rtl/>
        </w:rPr>
        <w:t xml:space="preserve"> </w:t>
      </w:r>
      <w:r>
        <w:rPr>
          <w:rFonts w:cs="Arial"/>
          <w:u w:val="single"/>
          <w:rtl/>
        </w:rPr>
        <w:t>–</w:t>
      </w:r>
      <w:r>
        <w:rPr>
          <w:rFonts w:cs="Arial" w:hint="cs"/>
          <w:u w:val="single"/>
          <w:rtl/>
        </w:rPr>
        <w:t xml:space="preserve"> ויש בניהם מחלוקת היכן קבעו להינשא</w:t>
      </w:r>
      <w:r w:rsidRPr="00B272A1">
        <w:rPr>
          <w:rFonts w:cs="Arial" w:hint="cs"/>
          <w:u w:val="single"/>
          <w:rtl/>
        </w:rPr>
        <w:t>:</w:t>
      </w:r>
    </w:p>
    <w:p w14:paraId="1EE6AFC3" w14:textId="77777777" w:rsidR="002E5BAD" w:rsidRDefault="002E5BAD" w:rsidP="002E5BAD">
      <w:pPr>
        <w:pStyle w:val="ab"/>
        <w:numPr>
          <w:ilvl w:val="0"/>
          <w:numId w:val="136"/>
        </w:numPr>
        <w:rPr>
          <w:rFonts w:cs="Arial"/>
        </w:rPr>
      </w:pPr>
      <w:r w:rsidRPr="00E459DE">
        <w:rPr>
          <w:rFonts w:cs="Arial"/>
          <w:rtl/>
        </w:rPr>
        <w:t xml:space="preserve">תשב"ץ </w:t>
      </w:r>
      <w:r w:rsidRPr="00D24C28">
        <w:rPr>
          <w:rFonts w:cs="Arial" w:hint="cs"/>
          <w:sz w:val="16"/>
          <w:szCs w:val="16"/>
          <w:rtl/>
        </w:rPr>
        <w:t>(</w:t>
      </w:r>
      <w:r w:rsidRPr="00D24C28">
        <w:rPr>
          <w:rFonts w:cs="Arial"/>
          <w:sz w:val="16"/>
          <w:szCs w:val="16"/>
          <w:rtl/>
        </w:rPr>
        <w:t>ח"א סי' צז)</w:t>
      </w:r>
      <w:r>
        <w:rPr>
          <w:rFonts w:cs="Arial" w:hint="cs"/>
          <w:rtl/>
        </w:rPr>
        <w:t>-</w:t>
      </w:r>
      <w:r w:rsidRPr="00E459DE">
        <w:rPr>
          <w:rFonts w:cs="Arial"/>
          <w:rtl/>
        </w:rPr>
        <w:t xml:space="preserve"> </w:t>
      </w:r>
      <w:r w:rsidRPr="00B272A1">
        <w:rPr>
          <w:rFonts w:cs="Arial"/>
          <w:rtl/>
        </w:rPr>
        <w:t>שאלת</w:t>
      </w:r>
      <w:r>
        <w:rPr>
          <w:rFonts w:cs="Arial" w:hint="cs"/>
          <w:rtl/>
        </w:rPr>
        <w:t>,</w:t>
      </w:r>
      <w:r w:rsidRPr="00B272A1">
        <w:rPr>
          <w:rFonts w:cs="Arial"/>
          <w:rtl/>
        </w:rPr>
        <w:t xml:space="preserve"> ראובן היה נשוי אשה בברשך</w:t>
      </w:r>
      <w:r>
        <w:rPr>
          <w:rFonts w:cs="Arial" w:hint="cs"/>
          <w:rtl/>
        </w:rPr>
        <w:t>,</w:t>
      </w:r>
      <w:r w:rsidRPr="00B272A1">
        <w:rPr>
          <w:rFonts w:cs="Arial"/>
          <w:rtl/>
        </w:rPr>
        <w:t xml:space="preserve"> ואין לו רק בת אחת ורצה לקיים מצות פריה ורביה</w:t>
      </w:r>
      <w:r>
        <w:rPr>
          <w:rFonts w:cs="Arial" w:hint="cs"/>
          <w:rtl/>
        </w:rPr>
        <w:t>.</w:t>
      </w:r>
      <w:r w:rsidRPr="00B272A1">
        <w:rPr>
          <w:rFonts w:cs="Arial"/>
          <w:rtl/>
        </w:rPr>
        <w:t xml:space="preserve"> הלך לתונס ואירס שם אשה אחת</w:t>
      </w:r>
      <w:r>
        <w:rPr>
          <w:rFonts w:cs="Arial" w:hint="cs"/>
          <w:rtl/>
        </w:rPr>
        <w:t>,</w:t>
      </w:r>
      <w:r w:rsidRPr="00B272A1">
        <w:rPr>
          <w:rFonts w:cs="Arial"/>
          <w:rtl/>
        </w:rPr>
        <w:t xml:space="preserve"> והם מודים זה לזה שע"מ שתדור עמו בברשך קדשה</w:t>
      </w:r>
      <w:r>
        <w:rPr>
          <w:rFonts w:cs="Arial" w:hint="cs"/>
          <w:rtl/>
        </w:rPr>
        <w:t>.</w:t>
      </w:r>
      <w:r w:rsidRPr="00B272A1">
        <w:rPr>
          <w:rFonts w:cs="Arial"/>
          <w:rtl/>
        </w:rPr>
        <w:t xml:space="preserve"> ועכשו נפל מחלוקת ביניה</w:t>
      </w:r>
      <w:r>
        <w:rPr>
          <w:rFonts w:cs="Arial" w:hint="cs"/>
          <w:rtl/>
        </w:rPr>
        <w:t>ם</w:t>
      </w:r>
      <w:r w:rsidRPr="00B272A1">
        <w:rPr>
          <w:rFonts w:cs="Arial"/>
          <w:rtl/>
        </w:rPr>
        <w:t xml:space="preserve"> על ענין הנשואין באיזה מקום יהי</w:t>
      </w:r>
      <w:r>
        <w:rPr>
          <w:rFonts w:cs="Arial" w:hint="cs"/>
          <w:rtl/>
        </w:rPr>
        <w:t>ו,</w:t>
      </w:r>
      <w:r w:rsidRPr="00B272A1">
        <w:rPr>
          <w:rFonts w:cs="Arial"/>
          <w:rtl/>
        </w:rPr>
        <w:t xml:space="preserve"> היא אומרת בתונס יהי</w:t>
      </w:r>
      <w:r>
        <w:rPr>
          <w:rFonts w:cs="Arial" w:hint="cs"/>
          <w:rtl/>
        </w:rPr>
        <w:t>ו</w:t>
      </w:r>
      <w:r w:rsidRPr="00B272A1">
        <w:rPr>
          <w:rFonts w:cs="Arial"/>
          <w:rtl/>
        </w:rPr>
        <w:t xml:space="preserve"> כי כן היה התנאי בינינו</w:t>
      </w:r>
      <w:r>
        <w:rPr>
          <w:rFonts w:cs="Arial" w:hint="cs"/>
          <w:rtl/>
        </w:rPr>
        <w:t>,</w:t>
      </w:r>
      <w:r w:rsidRPr="00B272A1">
        <w:rPr>
          <w:rFonts w:cs="Arial"/>
          <w:rtl/>
        </w:rPr>
        <w:t xml:space="preserve"> והוא אומר בברשך יהיו כן היה התנאי בינינו</w:t>
      </w:r>
      <w:r>
        <w:rPr>
          <w:rFonts w:cs="Arial" w:hint="cs"/>
          <w:rtl/>
        </w:rPr>
        <w:t>,</w:t>
      </w:r>
      <w:r w:rsidRPr="00B272A1">
        <w:rPr>
          <w:rFonts w:cs="Arial"/>
          <w:rtl/>
        </w:rPr>
        <w:t xml:space="preserve"> ואם לא תבא לברשך להנש</w:t>
      </w:r>
      <w:r>
        <w:rPr>
          <w:rFonts w:cs="Arial" w:hint="cs"/>
          <w:rtl/>
        </w:rPr>
        <w:t>א</w:t>
      </w:r>
      <w:r w:rsidRPr="00B272A1">
        <w:rPr>
          <w:rFonts w:cs="Arial"/>
          <w:rtl/>
        </w:rPr>
        <w:t xml:space="preserve"> שם לא אתחייב לך מזונות כי כן התניתי בפירוש עמך</w:t>
      </w:r>
      <w:r>
        <w:rPr>
          <w:rFonts w:cs="Arial" w:hint="cs"/>
          <w:rtl/>
        </w:rPr>
        <w:t>.</w:t>
      </w:r>
      <w:r w:rsidRPr="00B272A1">
        <w:rPr>
          <w:rFonts w:cs="Arial"/>
          <w:rtl/>
        </w:rPr>
        <w:t xml:space="preserve"> ואין לזה ראיה ולא לזו</w:t>
      </w:r>
      <w:r>
        <w:rPr>
          <w:rFonts w:cs="Arial" w:hint="cs"/>
          <w:rtl/>
        </w:rPr>
        <w:t>.</w:t>
      </w:r>
      <w:r w:rsidRPr="00B272A1">
        <w:rPr>
          <w:rFonts w:cs="Arial"/>
          <w:rtl/>
        </w:rPr>
        <w:t xml:space="preserve"> אלא שהארוס אומר השבעי את או אחת מקרובותיך שכן היה התנאי ואעשה הנישואין בתונס</w:t>
      </w:r>
      <w:r>
        <w:rPr>
          <w:rFonts w:cs="Arial" w:hint="cs"/>
          <w:rtl/>
        </w:rPr>
        <w:t>,</w:t>
      </w:r>
      <w:r w:rsidRPr="00B272A1">
        <w:rPr>
          <w:rFonts w:cs="Arial"/>
          <w:rtl/>
        </w:rPr>
        <w:t xml:space="preserve"> והיא אינה רוצה לישבע אלא אומרת או כנוס או פטור</w:t>
      </w:r>
      <w:r>
        <w:rPr>
          <w:rFonts w:cs="Arial" w:hint="cs"/>
          <w:rtl/>
        </w:rPr>
        <w:t>.</w:t>
      </w:r>
      <w:r w:rsidRPr="00B272A1">
        <w:rPr>
          <w:rFonts w:cs="Arial"/>
          <w:rtl/>
        </w:rPr>
        <w:t xml:space="preserve"> מהו הדין בזה</w:t>
      </w:r>
      <w:r>
        <w:rPr>
          <w:rFonts w:cs="Arial" w:hint="cs"/>
          <w:rtl/>
        </w:rPr>
        <w:t xml:space="preserve">. </w:t>
      </w:r>
      <w:r w:rsidRPr="00B272A1">
        <w:rPr>
          <w:rFonts w:cs="Arial"/>
          <w:rtl/>
        </w:rPr>
        <w:t>תשובה</w:t>
      </w:r>
      <w:r>
        <w:rPr>
          <w:rFonts w:cs="Arial" w:hint="cs"/>
          <w:rtl/>
        </w:rPr>
        <w:t>-</w:t>
      </w:r>
      <w:r w:rsidRPr="00B272A1">
        <w:rPr>
          <w:rFonts w:cs="Arial"/>
          <w:rtl/>
        </w:rPr>
        <w:t xml:space="preserve"> נראה שהארוס נאמן</w:t>
      </w:r>
      <w:r>
        <w:rPr>
          <w:rFonts w:cs="Arial" w:hint="cs"/>
          <w:rtl/>
        </w:rPr>
        <w:t>,</w:t>
      </w:r>
      <w:r w:rsidRPr="00B272A1">
        <w:rPr>
          <w:rFonts w:cs="Arial"/>
          <w:rtl/>
        </w:rPr>
        <w:t xml:space="preserve"> שאפילו בעיקר הדירה אם לא היתה מודה לו היה נאמן</w:t>
      </w:r>
      <w:r>
        <w:rPr>
          <w:rFonts w:cs="Arial" w:hint="cs"/>
          <w:rtl/>
        </w:rPr>
        <w:t>,</w:t>
      </w:r>
      <w:r w:rsidRPr="00B272A1">
        <w:rPr>
          <w:rFonts w:cs="Arial"/>
          <w:rtl/>
        </w:rPr>
        <w:t xml:space="preserve"> לפי שמן הדין אפילו מסתמא בלא תנאי היה יכול לכופה לצאת עמו לברשך כיון שיש לו אשה שם</w:t>
      </w:r>
      <w:r>
        <w:rPr>
          <w:rFonts w:cs="Arial" w:hint="cs"/>
          <w:rtl/>
        </w:rPr>
        <w:t>,</w:t>
      </w:r>
      <w:r w:rsidRPr="00CB0CE4">
        <w:rPr>
          <w:rFonts w:cs="Arial"/>
          <w:rtl/>
        </w:rPr>
        <w:t xml:space="preserve"> שאפי' בשתי ארצות היה יכול לכופה וכדתניא בתוספת</w:t>
      </w:r>
      <w:r>
        <w:rPr>
          <w:rFonts w:cs="Arial" w:hint="cs"/>
          <w:rtl/>
        </w:rPr>
        <w:t>א</w:t>
      </w:r>
      <w:r w:rsidRPr="00CB0CE4">
        <w:rPr>
          <w:rFonts w:cs="Arial"/>
          <w:rtl/>
        </w:rPr>
        <w:t xml:space="preserve"> דאיית' לה הריא</w:t>
      </w:r>
      <w:r>
        <w:rPr>
          <w:rFonts w:cs="Arial" w:hint="cs"/>
          <w:rtl/>
        </w:rPr>
        <w:t>"</w:t>
      </w:r>
      <w:r w:rsidRPr="00CB0CE4">
        <w:rPr>
          <w:rFonts w:cs="Arial"/>
          <w:rtl/>
        </w:rPr>
        <w:t>ף ז"ל בס</w:t>
      </w:r>
      <w:r>
        <w:rPr>
          <w:rFonts w:cs="Arial" w:hint="cs"/>
          <w:rtl/>
        </w:rPr>
        <w:t>"</w:t>
      </w:r>
      <w:r w:rsidRPr="00CB0CE4">
        <w:rPr>
          <w:rFonts w:cs="Arial"/>
          <w:rtl/>
        </w:rPr>
        <w:t>פ בתרא דכתובות דתניא התם בן יהודה שאירס אשה בגליל כופין אותה לצאת שע"מ כן נשאה</w:t>
      </w:r>
      <w:r>
        <w:rPr>
          <w:rFonts w:cs="Arial" w:hint="cs"/>
          <w:rtl/>
        </w:rPr>
        <w:t>.</w:t>
      </w:r>
      <w:r w:rsidRPr="00CB0CE4">
        <w:rPr>
          <w:rFonts w:cs="Arial"/>
          <w:rtl/>
        </w:rPr>
        <w:t xml:space="preserve"> וכ"ש שהוא נאמן בארץ אחרת שאפילו אין לו אשה אחרת באותו מקום כופין אותה לצאת וכדתנן במתני' (כתובות קי</w:t>
      </w:r>
      <w:r>
        <w:rPr>
          <w:rFonts w:cs="Arial" w:hint="cs"/>
          <w:rtl/>
        </w:rPr>
        <w:t>.</w:t>
      </w:r>
      <w:r w:rsidRPr="00CB0CE4">
        <w:rPr>
          <w:rFonts w:cs="Arial"/>
          <w:rtl/>
        </w:rPr>
        <w:t>) אבל באותה הארץ מוציאין מכרך לכרך ומעיר לעיר</w:t>
      </w:r>
      <w:r>
        <w:rPr>
          <w:rFonts w:cs="Arial" w:hint="cs"/>
          <w:rtl/>
        </w:rPr>
        <w:t>.</w:t>
      </w:r>
      <w:r w:rsidRPr="00CB0CE4">
        <w:rPr>
          <w:rFonts w:cs="Arial"/>
          <w:rtl/>
        </w:rPr>
        <w:t xml:space="preserve"> ואפי' תאמר שאין שני מקומות אלו שוין</w:t>
      </w:r>
      <w:r>
        <w:rPr>
          <w:rFonts w:cs="Arial" w:hint="cs"/>
          <w:rtl/>
        </w:rPr>
        <w:t>,</w:t>
      </w:r>
      <w:r w:rsidRPr="00CB0CE4">
        <w:rPr>
          <w:rFonts w:cs="Arial"/>
          <w:rtl/>
        </w:rPr>
        <w:t xml:space="preserve"> שהאחד הוא כפר והאחד הוא כרך</w:t>
      </w:r>
      <w:r>
        <w:rPr>
          <w:rFonts w:cs="Arial" w:hint="cs"/>
          <w:rtl/>
        </w:rPr>
        <w:t>,</w:t>
      </w:r>
      <w:r w:rsidRPr="00CB0CE4">
        <w:rPr>
          <w:rFonts w:cs="Arial"/>
          <w:rtl/>
        </w:rPr>
        <w:t xml:space="preserve"> והאחד הוא נוה יפה והאחד הוא נוה רע ותנן התם (</w:t>
      </w:r>
      <w:r>
        <w:rPr>
          <w:rFonts w:cs="Arial" w:hint="cs"/>
          <w:rtl/>
        </w:rPr>
        <w:t>שם קי:</w:t>
      </w:r>
      <w:r w:rsidRPr="00CB0CE4">
        <w:rPr>
          <w:rFonts w:cs="Arial"/>
          <w:rtl/>
        </w:rPr>
        <w:t>) דמכרך לעיר ומעיר לכרך אין מוציאין ואף לא מנוה הרע ליפה</w:t>
      </w:r>
      <w:r>
        <w:rPr>
          <w:rFonts w:cs="Arial" w:hint="cs"/>
          <w:rtl/>
        </w:rPr>
        <w:t>,</w:t>
      </w:r>
      <w:r w:rsidRPr="00CB0CE4">
        <w:rPr>
          <w:rFonts w:cs="Arial"/>
          <w:rtl/>
        </w:rPr>
        <w:t xml:space="preserve"> כרשב</w:t>
      </w:r>
      <w:r>
        <w:rPr>
          <w:rFonts w:cs="Arial" w:hint="cs"/>
          <w:rtl/>
        </w:rPr>
        <w:t>"</w:t>
      </w:r>
      <w:r w:rsidRPr="00CB0CE4">
        <w:rPr>
          <w:rFonts w:cs="Arial"/>
          <w:rtl/>
        </w:rPr>
        <w:t>ג דקי"ל כותיה בהא כמו שפסק הרמב</w:t>
      </w:r>
      <w:r>
        <w:rPr>
          <w:rFonts w:cs="Arial" w:hint="cs"/>
          <w:rtl/>
        </w:rPr>
        <w:t>"</w:t>
      </w:r>
      <w:r w:rsidRPr="00CB0CE4">
        <w:rPr>
          <w:rFonts w:cs="Arial"/>
          <w:rtl/>
        </w:rPr>
        <w:t>ם ז"ל (פי"ג מה"א הי"ח) והסכימו עמו האחרוני' ז"ל</w:t>
      </w:r>
      <w:r>
        <w:rPr>
          <w:rFonts w:cs="Arial" w:hint="cs"/>
          <w:rtl/>
        </w:rPr>
        <w:t>,</w:t>
      </w:r>
      <w:r w:rsidRPr="00CB0CE4">
        <w:rPr>
          <w:rFonts w:cs="Arial"/>
          <w:rtl/>
        </w:rPr>
        <w:t xml:space="preserve"> אפ"ה בנדון זה מסתמא כופין אותה לצאת כיון שיש לו אשה אחרת בברשך יש לנו לומר דעל דעת כן נושא</w:t>
      </w:r>
      <w:r w:rsidRPr="00CB0CE4">
        <w:rPr>
          <w:rFonts w:cs="Arial" w:hint="cs"/>
          <w:rtl/>
        </w:rPr>
        <w:t>ה.</w:t>
      </w:r>
    </w:p>
    <w:p w14:paraId="12F193C6" w14:textId="77777777" w:rsidR="002E5BAD" w:rsidRDefault="002E5BAD" w:rsidP="002E5BAD">
      <w:pPr>
        <w:pStyle w:val="ab"/>
        <w:numPr>
          <w:ilvl w:val="0"/>
          <w:numId w:val="136"/>
        </w:numPr>
        <w:rPr>
          <w:rFonts w:cs="Arial"/>
        </w:rPr>
      </w:pPr>
      <w:r>
        <w:rPr>
          <w:rFonts w:cs="Arial" w:hint="cs"/>
          <w:rtl/>
        </w:rPr>
        <w:t xml:space="preserve">ריב"ש </w:t>
      </w:r>
      <w:r>
        <w:rPr>
          <w:rFonts w:cs="Arial" w:hint="cs"/>
          <w:sz w:val="16"/>
          <w:szCs w:val="16"/>
          <w:rtl/>
        </w:rPr>
        <w:t>(סי' קעז)</w:t>
      </w:r>
      <w:r>
        <w:rPr>
          <w:rFonts w:cs="Arial" w:hint="cs"/>
          <w:rtl/>
        </w:rPr>
        <w:t xml:space="preserve">- </w:t>
      </w:r>
      <w:r w:rsidRPr="00A754AD">
        <w:rPr>
          <w:rFonts w:cs="Arial"/>
          <w:rtl/>
        </w:rPr>
        <w:t>הנה בארה התוספתא שהנושא אשה סתם במקום אחר יכול להביאה למקומו ואפילו ממלכות למלכות אחרת כגון מגליל ליהודה אין צ"ל באותה מלכות. אמנם נראה דדוקא לאחר נשואין אבל קודם נשואין לא אף על פי שכבר אירס אותה</w:t>
      </w:r>
      <w:r>
        <w:rPr>
          <w:rFonts w:cs="Arial" w:hint="cs"/>
          <w:rtl/>
        </w:rPr>
        <w:t>...</w:t>
      </w:r>
      <w:r w:rsidRPr="00A754AD">
        <w:rPr>
          <w:rFonts w:cs="Arial"/>
          <w:rtl/>
        </w:rPr>
        <w:t xml:space="preserve"> גם הרמב"ם ז"ל כשהביא דין זה שהביאה התוספתא לא תלאו בארוסין אלא בנשואין.</w:t>
      </w:r>
      <w:r>
        <w:rPr>
          <w:rFonts w:cs="Arial" w:hint="cs"/>
          <w:rtl/>
        </w:rPr>
        <w:t>..</w:t>
      </w:r>
      <w:r w:rsidRPr="00A754AD">
        <w:rPr>
          <w:rFonts w:cs="Arial"/>
          <w:rtl/>
        </w:rPr>
        <w:t xml:space="preserve"> אלא ודאי לעולם אין מוציאין הארוסה עד לאחר הנשואין וסבר' הוא שהרי עדין לא נתחייב לה </w:t>
      </w:r>
      <w:r w:rsidRPr="00A754AD">
        <w:rPr>
          <w:rFonts w:cs="Arial"/>
          <w:rtl/>
        </w:rPr>
        <w:lastRenderedPageBreak/>
        <w:t>בכתובה ולא בתנאי כתובה</w:t>
      </w:r>
      <w:r>
        <w:rPr>
          <w:rFonts w:cs="Arial" w:hint="cs"/>
          <w:rtl/>
        </w:rPr>
        <w:t>,</w:t>
      </w:r>
      <w:r w:rsidRPr="00A754AD">
        <w:rPr>
          <w:rFonts w:cs="Arial"/>
          <w:rtl/>
        </w:rPr>
        <w:t xml:space="preserve"> ואם חלתה בדרך אינו חייב לרפאותה ולא לפדותה אם נשבית ולא לקברה אם מתה ולמה תלך אחריו וכל הדרכים בחזקת סכנה</w:t>
      </w:r>
      <w:r>
        <w:rPr>
          <w:rFonts w:cs="Arial" w:hint="cs"/>
          <w:rtl/>
        </w:rPr>
        <w:t>,</w:t>
      </w:r>
      <w:r w:rsidRPr="00A754AD">
        <w:rPr>
          <w:rFonts w:cs="Arial"/>
          <w:rtl/>
        </w:rPr>
        <w:t xml:space="preserve"> וכ"ש בארצות האלה</w:t>
      </w:r>
      <w:r>
        <w:rPr>
          <w:rFonts w:cs="Arial" w:hint="cs"/>
          <w:rtl/>
        </w:rPr>
        <w:t>.</w:t>
      </w:r>
      <w:r w:rsidRPr="00A754AD">
        <w:rPr>
          <w:rFonts w:cs="Arial"/>
          <w:rtl/>
        </w:rPr>
        <w:t xml:space="preserve"> ולכן בנדון זה כיון שאין לבעל עדים שכך היו תנאין בפי' קודם הקדושין אינו יכול לכופה ללכת לברשך לנשואין אלא ישאנה בתנס ויכתוב לה כתובה ואחר תלך, ואם לא ירצה יגרש אותה בגט.</w:t>
      </w:r>
      <w:r w:rsidRPr="00000F75">
        <w:rPr>
          <w:rtl/>
        </w:rPr>
        <w:t xml:space="preserve"> </w:t>
      </w:r>
      <w:r w:rsidRPr="00000F75">
        <w:rPr>
          <w:rFonts w:cs="Arial"/>
          <w:rtl/>
        </w:rPr>
        <w:t>ומה שטוען שתשבע אמה אם לא היו כן התנאים</w:t>
      </w:r>
      <w:r>
        <w:rPr>
          <w:rFonts w:cs="Arial" w:hint="cs"/>
          <w:rtl/>
        </w:rPr>
        <w:t>,</w:t>
      </w:r>
      <w:r w:rsidRPr="00000F75">
        <w:rPr>
          <w:rFonts w:cs="Arial"/>
          <w:rtl/>
        </w:rPr>
        <w:t xml:space="preserve"> עדיין אף אם אמה תודה לבעל כדבריו</w:t>
      </w:r>
      <w:r>
        <w:rPr>
          <w:rFonts w:cs="Arial" w:hint="cs"/>
          <w:rtl/>
        </w:rPr>
        <w:t>,</w:t>
      </w:r>
      <w:r w:rsidRPr="00000F75">
        <w:rPr>
          <w:rFonts w:cs="Arial"/>
          <w:rtl/>
        </w:rPr>
        <w:t xml:space="preserve"> יכולה היתומה לעכב ולומר אם אמי פסקה עלי</w:t>
      </w:r>
      <w:r>
        <w:rPr>
          <w:rFonts w:cs="Arial" w:hint="cs"/>
          <w:rtl/>
        </w:rPr>
        <w:t>,</w:t>
      </w:r>
      <w:r w:rsidRPr="00000F75">
        <w:rPr>
          <w:rFonts w:cs="Arial"/>
          <w:rtl/>
        </w:rPr>
        <w:t xml:space="preserve"> מה לי, או כנוס במקומי או פטור, דומיא דהפוסק מעות לחתנו ופשט לו הרגל (כתובות קט) דקיי"ל כאדמון שיכולה היא שתאמר אבא פסק עלי מה אני יכולה לעשות, או כנוס או פטור</w:t>
      </w:r>
      <w:r>
        <w:rPr>
          <w:rFonts w:cs="Arial" w:hint="cs"/>
          <w:rtl/>
        </w:rPr>
        <w:t>.</w:t>
      </w:r>
      <w:r w:rsidRPr="00000F75">
        <w:rPr>
          <w:rFonts w:cs="Arial"/>
          <w:rtl/>
        </w:rPr>
        <w:t xml:space="preserve"> אמנם אם התנה עמה מדעת היתומה ומרצונה קודם הקדושין והיא תודה בזה</w:t>
      </w:r>
      <w:r>
        <w:rPr>
          <w:rFonts w:cs="Arial" w:hint="cs"/>
          <w:rtl/>
        </w:rPr>
        <w:t>,</w:t>
      </w:r>
      <w:r w:rsidRPr="00000F75">
        <w:rPr>
          <w:rFonts w:cs="Arial"/>
          <w:rtl/>
        </w:rPr>
        <w:t xml:space="preserve"> אז הדין עמו</w:t>
      </w:r>
      <w:r>
        <w:rPr>
          <w:rFonts w:cs="Arial" w:hint="cs"/>
          <w:rtl/>
        </w:rPr>
        <w:t>.</w:t>
      </w:r>
      <w:r w:rsidRPr="00085910">
        <w:rPr>
          <w:rFonts w:hint="cs"/>
          <w:color w:val="00B0F0"/>
          <w:rtl/>
        </w:rPr>
        <w:t xml:space="preserve"> </w:t>
      </w:r>
      <w:r w:rsidRPr="000F4F98">
        <w:rPr>
          <w:rFonts w:hint="cs"/>
          <w:color w:val="00B0F0"/>
          <w:rtl/>
        </w:rPr>
        <w:t xml:space="preserve">(וכ"פ </w:t>
      </w:r>
      <w:r>
        <w:rPr>
          <w:rFonts w:hint="cs"/>
          <w:color w:val="00B0F0"/>
          <w:rtl/>
        </w:rPr>
        <w:t>הרמ"א</w:t>
      </w:r>
      <w:r w:rsidRPr="000F4F98">
        <w:rPr>
          <w:rFonts w:hint="cs"/>
          <w:color w:val="00B0F0"/>
          <w:sz w:val="16"/>
          <w:szCs w:val="16"/>
          <w:rtl/>
        </w:rPr>
        <w:t xml:space="preserve"> </w:t>
      </w:r>
      <w:r w:rsidRPr="000F4F98">
        <w:rPr>
          <w:rFonts w:hint="cs"/>
          <w:sz w:val="16"/>
          <w:szCs w:val="16"/>
          <w:rtl/>
        </w:rPr>
        <w:t>[</w:t>
      </w:r>
      <w:r>
        <w:rPr>
          <w:rFonts w:hint="cs"/>
          <w:sz w:val="16"/>
          <w:szCs w:val="16"/>
          <w:rtl/>
        </w:rPr>
        <w:t>כאן ו</w:t>
      </w:r>
      <w:r w:rsidRPr="000F4F98">
        <w:rPr>
          <w:rFonts w:hint="cs"/>
          <w:sz w:val="16"/>
          <w:szCs w:val="16"/>
          <w:rtl/>
        </w:rPr>
        <w:t>בסע' ב]</w:t>
      </w:r>
      <w:r w:rsidRPr="000F4F98">
        <w:rPr>
          <w:rFonts w:hint="cs"/>
          <w:color w:val="00B0F0"/>
          <w:rtl/>
        </w:rPr>
        <w:t>)</w:t>
      </w:r>
    </w:p>
    <w:p w14:paraId="58BED4CA" w14:textId="77777777" w:rsidR="002E5BAD" w:rsidRPr="000F4F98" w:rsidRDefault="002E5BAD" w:rsidP="002E5BAD">
      <w:pPr>
        <w:pStyle w:val="ab"/>
        <w:numPr>
          <w:ilvl w:val="0"/>
          <w:numId w:val="136"/>
        </w:numPr>
        <w:rPr>
          <w:rFonts w:cs="Arial"/>
          <w:rtl/>
        </w:rPr>
      </w:pPr>
      <w:r>
        <w:rPr>
          <w:rFonts w:cs="Arial" w:hint="cs"/>
          <w:rtl/>
        </w:rPr>
        <w:t>מהר"ם</w:t>
      </w:r>
      <w:r>
        <w:rPr>
          <w:rFonts w:cs="Arial" w:hint="cs"/>
          <w:sz w:val="16"/>
          <w:szCs w:val="16"/>
          <w:rtl/>
        </w:rPr>
        <w:t xml:space="preserve"> (כ"כ הרא"ש </w:t>
      </w:r>
      <w:r w:rsidRPr="000F29DE">
        <w:rPr>
          <w:rFonts w:cs="Arial" w:hint="cs"/>
          <w:sz w:val="14"/>
          <w:szCs w:val="14"/>
          <w:rtl/>
        </w:rPr>
        <w:t>[שם]</w:t>
      </w:r>
      <w:r>
        <w:rPr>
          <w:rFonts w:cs="Arial" w:hint="cs"/>
          <w:sz w:val="16"/>
          <w:szCs w:val="16"/>
          <w:rtl/>
        </w:rPr>
        <w:t xml:space="preserve"> המרדכי </w:t>
      </w:r>
      <w:r w:rsidRPr="000F29DE">
        <w:rPr>
          <w:rFonts w:cs="Arial" w:hint="cs"/>
          <w:sz w:val="14"/>
          <w:szCs w:val="14"/>
          <w:rtl/>
        </w:rPr>
        <w:t>[שם]</w:t>
      </w:r>
      <w:r>
        <w:rPr>
          <w:rFonts w:cs="Arial" w:hint="cs"/>
          <w:sz w:val="14"/>
          <w:szCs w:val="14"/>
          <w:rtl/>
        </w:rPr>
        <w:t xml:space="preserve"> </w:t>
      </w:r>
      <w:r>
        <w:rPr>
          <w:rFonts w:cs="Arial" w:hint="cs"/>
          <w:sz w:val="16"/>
          <w:szCs w:val="16"/>
          <w:rtl/>
        </w:rPr>
        <w:t>והטור בשמו)</w:t>
      </w:r>
      <w:r>
        <w:rPr>
          <w:rFonts w:cs="Arial" w:hint="cs"/>
          <w:rtl/>
        </w:rPr>
        <w:t xml:space="preserve">- </w:t>
      </w:r>
      <w:r w:rsidRPr="00C845AE">
        <w:rPr>
          <w:rFonts w:cs="Arial"/>
          <w:rtl/>
        </w:rPr>
        <w:t>אם הוא מיהודה</w:t>
      </w:r>
      <w:r>
        <w:rPr>
          <w:rFonts w:cs="Arial" w:hint="cs"/>
          <w:rtl/>
        </w:rPr>
        <w:t>,</w:t>
      </w:r>
      <w:r w:rsidRPr="00C845AE">
        <w:rPr>
          <w:rFonts w:cs="Arial"/>
          <w:rtl/>
        </w:rPr>
        <w:t xml:space="preserve"> </w:t>
      </w:r>
      <w:r w:rsidRPr="00AA7730">
        <w:rPr>
          <w:rFonts w:cs="Arial"/>
          <w:b/>
          <w:bCs/>
          <w:rtl/>
        </w:rPr>
        <w:t>וקדשה</w:t>
      </w:r>
      <w:r w:rsidRPr="00C845AE">
        <w:rPr>
          <w:rFonts w:cs="Arial"/>
          <w:rtl/>
        </w:rPr>
        <w:t xml:space="preserve"> בגליל</w:t>
      </w:r>
      <w:r>
        <w:rPr>
          <w:rFonts w:cs="Arial" w:hint="cs"/>
          <w:rtl/>
        </w:rPr>
        <w:t>,</w:t>
      </w:r>
      <w:r w:rsidRPr="00C845AE">
        <w:rPr>
          <w:rFonts w:cs="Arial"/>
          <w:rtl/>
        </w:rPr>
        <w:t xml:space="preserve"> אפי' לא נשאה בגליל אלא בעבר הירדן </w:t>
      </w:r>
      <w:r>
        <w:rPr>
          <w:rFonts w:cs="Arial" w:hint="cs"/>
          <w:rtl/>
        </w:rPr>
        <w:t xml:space="preserve">- </w:t>
      </w:r>
      <w:r w:rsidRPr="00C845AE">
        <w:rPr>
          <w:rFonts w:cs="Arial"/>
          <w:rtl/>
        </w:rPr>
        <w:t xml:space="preserve">צריכה לילך אחריו ליהודה </w:t>
      </w:r>
      <w:r w:rsidRPr="00E705E4">
        <w:rPr>
          <w:rFonts w:cs="Arial"/>
          <w:rtl/>
        </w:rPr>
        <w:t>שהיה מקומו בשעה שקדשה</w:t>
      </w:r>
      <w:r>
        <w:rPr>
          <w:rFonts w:cs="Arial" w:hint="cs"/>
          <w:sz w:val="16"/>
          <w:szCs w:val="16"/>
          <w:rtl/>
        </w:rPr>
        <w:t xml:space="preserve"> (ל' הטור בשמו)</w:t>
      </w:r>
      <w:r>
        <w:rPr>
          <w:rStyle w:val="a7"/>
          <w:rFonts w:cs="Arial"/>
          <w:rtl/>
        </w:rPr>
        <w:footnoteReference w:id="1225"/>
      </w:r>
      <w:r w:rsidRPr="000F4F98">
        <w:rPr>
          <w:rFonts w:cs="Arial" w:hint="cs"/>
          <w:rtl/>
        </w:rPr>
        <w:t>.</w:t>
      </w:r>
    </w:p>
    <w:p w14:paraId="2BF63CA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080878A" w14:textId="77777777" w:rsidR="002E5BAD" w:rsidRDefault="002E5BAD" w:rsidP="002E5BAD">
      <w:pPr>
        <w:rPr>
          <w:rFonts w:cs="Arial"/>
          <w:rtl/>
        </w:rPr>
      </w:pPr>
      <w:r>
        <w:rPr>
          <w:rFonts w:cs="Arial"/>
          <w:rtl/>
        </w:rPr>
        <w:t>ג' ארצות בא</w:t>
      </w:r>
      <w:r>
        <w:rPr>
          <w:rFonts w:cs="Arial" w:hint="cs"/>
          <w:rtl/>
        </w:rPr>
        <w:t xml:space="preserve">רץ </w:t>
      </w:r>
      <w:r>
        <w:rPr>
          <w:rFonts w:cs="Arial"/>
          <w:rtl/>
        </w:rPr>
        <w:t>י</w:t>
      </w:r>
      <w:r>
        <w:rPr>
          <w:rFonts w:cs="Arial" w:hint="cs"/>
          <w:rtl/>
        </w:rPr>
        <w:t>שראל</w:t>
      </w:r>
      <w:r>
        <w:rPr>
          <w:rFonts w:cs="Arial"/>
          <w:rtl/>
        </w:rPr>
        <w:t xml:space="preserve"> חלוקות זו מזו לענין נשואין, יהודה ועבר הירדן והגליל. וכל הישוב הוא ארצות, כגון ארץ כנען וארץ מצרים וארץ תימן </w:t>
      </w:r>
      <w:r>
        <w:rPr>
          <w:rFonts w:cs="Arial" w:hint="cs"/>
          <w:sz w:val="18"/>
          <w:szCs w:val="18"/>
          <w:rtl/>
        </w:rPr>
        <w:t xml:space="preserve">[הגה] </w:t>
      </w:r>
      <w:r w:rsidRPr="009F4BE0">
        <w:rPr>
          <w:rFonts w:cs="Arial"/>
          <w:sz w:val="18"/>
          <w:szCs w:val="18"/>
          <w:rtl/>
        </w:rPr>
        <w:t>שחלוקים בלשונם (מהר"ם סי' קיז)</w:t>
      </w:r>
      <w:r>
        <w:rPr>
          <w:rFonts w:cs="Arial"/>
          <w:rtl/>
        </w:rPr>
        <w:t xml:space="preserve">, שמי שהוא מארץ מהארצות ונשא אשה בארץ אחרת, כופין אותה ויוצאה עמו לארצו, או תצא בלא כתובה ובלא תוספת, שעל מנת כן נשאה אף על פי שלא פירש. </w:t>
      </w:r>
      <w:r w:rsidRPr="009F4BE0">
        <w:rPr>
          <w:rFonts w:cs="Arial" w:hint="cs"/>
          <w:sz w:val="18"/>
          <w:szCs w:val="18"/>
          <w:rtl/>
        </w:rPr>
        <w:t xml:space="preserve">[הגה] </w:t>
      </w:r>
      <w:r w:rsidRPr="009F4BE0">
        <w:rPr>
          <w:rFonts w:cs="Arial"/>
          <w:sz w:val="18"/>
          <w:szCs w:val="18"/>
          <w:rtl/>
        </w:rPr>
        <w:t>אבל אינו יכול להוציאה מעיר לכרך או להפך, בגליל אחד, אע</w:t>
      </w:r>
      <w:r>
        <w:rPr>
          <w:rFonts w:cs="Arial" w:hint="cs"/>
          <w:sz w:val="18"/>
          <w:szCs w:val="18"/>
          <w:rtl/>
        </w:rPr>
        <w:t>"</w:t>
      </w:r>
      <w:r w:rsidRPr="009F4BE0">
        <w:rPr>
          <w:rFonts w:cs="Arial"/>
          <w:sz w:val="18"/>
          <w:szCs w:val="18"/>
          <w:rtl/>
        </w:rPr>
        <w:t>פ שהתנה עמה להוציאה מגליל ליהודה (הר"ן פ"ב דייני גזירות</w:t>
      </w:r>
      <w:r>
        <w:rPr>
          <w:rFonts w:cs="Arial" w:hint="cs"/>
          <w:sz w:val="18"/>
          <w:szCs w:val="18"/>
          <w:rtl/>
        </w:rPr>
        <w:t>),</w:t>
      </w:r>
      <w:r w:rsidRPr="009F4BE0">
        <w:rPr>
          <w:rFonts w:cs="Arial"/>
          <w:sz w:val="18"/>
          <w:szCs w:val="18"/>
          <w:rtl/>
        </w:rPr>
        <w:t xml:space="preserve"> וכן כל כיוצא בזה.</w:t>
      </w:r>
      <w:r>
        <w:rPr>
          <w:rFonts w:cs="Arial"/>
          <w:rtl/>
        </w:rPr>
        <w:t xml:space="preserve"> אבל הנושא אשה באחת מהארצות, והוא מאנשי אותה הארץ, אינו יכול להוציאה לארץ אחרת, אבל מוציאה ממדינה למדינה ומכפר לכפר באותם הארצות, ואינו יכול להוציאה ממדינה לכפר ומכפר למדינה. </w:t>
      </w:r>
      <w:r w:rsidRPr="00BB7341">
        <w:rPr>
          <w:rFonts w:cs="Arial"/>
          <w:sz w:val="18"/>
          <w:szCs w:val="18"/>
          <w:rtl/>
        </w:rPr>
        <w:t>הגה: וי"א דאם היו שניהם מארץ אחת, ונשאה בארץ אחרת, היא יכולה לכוף אותו לילך עמה לארצה, אפילו מכפר למדינה או להיפך (טור בשם ר"ת). אבל אם שניהם מארץ אחת ונשאה באותה הארץ, אין אחד מהם כופה לשני להוציאו ממדינה לכפר או להפך</w:t>
      </w:r>
      <w:r>
        <w:rPr>
          <w:rFonts w:cs="Arial" w:hint="cs"/>
          <w:sz w:val="18"/>
          <w:szCs w:val="18"/>
          <w:rtl/>
        </w:rPr>
        <w:t>.</w:t>
      </w:r>
      <w:r w:rsidRPr="00BB7341">
        <w:rPr>
          <w:rFonts w:cs="Arial"/>
          <w:sz w:val="18"/>
          <w:szCs w:val="18"/>
          <w:rtl/>
        </w:rPr>
        <w:t xml:space="preserve"> אבל ממדינה למדינה או מכפר לכפר, האשה יכולה להכריחו שילך עמה למקומה, הואיל והם שוים (ג"ז שם). היה דר עמה בעירו ולא מתדר שם, ונסע עמה לעירה דרך מקרה, ולא איתדר ליה, יכול לחזור ולהוציאה (ריב"ש סי</w:t>
      </w:r>
      <w:r>
        <w:rPr>
          <w:rFonts w:cs="Arial" w:hint="cs"/>
          <w:sz w:val="18"/>
          <w:szCs w:val="18"/>
          <w:rtl/>
        </w:rPr>
        <w:t xml:space="preserve">' </w:t>
      </w:r>
      <w:r w:rsidRPr="00BB7341">
        <w:rPr>
          <w:rFonts w:cs="Arial"/>
          <w:sz w:val="18"/>
          <w:szCs w:val="18"/>
          <w:rtl/>
        </w:rPr>
        <w:t>פח). י"א אם לא יוכל להחיות ולפרנס עצמו, כופין אשתו שתלך עמו למקום שירצה (ת</w:t>
      </w:r>
      <w:r>
        <w:rPr>
          <w:rFonts w:cs="Arial" w:hint="cs"/>
          <w:sz w:val="18"/>
          <w:szCs w:val="18"/>
          <w:rtl/>
        </w:rPr>
        <w:t>רו</w:t>
      </w:r>
      <w:r w:rsidRPr="00BB7341">
        <w:rPr>
          <w:rFonts w:cs="Arial"/>
          <w:sz w:val="18"/>
          <w:szCs w:val="18"/>
          <w:rtl/>
        </w:rPr>
        <w:t>ה</w:t>
      </w:r>
      <w:r>
        <w:rPr>
          <w:rFonts w:cs="Arial" w:hint="cs"/>
          <w:sz w:val="18"/>
          <w:szCs w:val="18"/>
          <w:rtl/>
        </w:rPr>
        <w:t>"ד</w:t>
      </w:r>
      <w:r w:rsidRPr="00BB7341">
        <w:rPr>
          <w:rFonts w:cs="Arial"/>
          <w:sz w:val="18"/>
          <w:szCs w:val="18"/>
          <w:rtl/>
        </w:rPr>
        <w:t xml:space="preserve"> סי</w:t>
      </w:r>
      <w:r>
        <w:rPr>
          <w:rFonts w:cs="Arial" w:hint="cs"/>
          <w:sz w:val="18"/>
          <w:szCs w:val="18"/>
          <w:rtl/>
        </w:rPr>
        <w:t xml:space="preserve">' </w:t>
      </w:r>
      <w:r w:rsidRPr="00BB7341">
        <w:rPr>
          <w:rFonts w:cs="Arial"/>
          <w:sz w:val="18"/>
          <w:szCs w:val="18"/>
          <w:rtl/>
        </w:rPr>
        <w:t>רטו), ויש חולקין (ב"י וכן משמע בריב"ש סי</w:t>
      </w:r>
      <w:r>
        <w:rPr>
          <w:rFonts w:cs="Arial" w:hint="cs"/>
          <w:sz w:val="18"/>
          <w:szCs w:val="18"/>
          <w:rtl/>
        </w:rPr>
        <w:t>'</w:t>
      </w:r>
      <w:r w:rsidRPr="00BB7341">
        <w:rPr>
          <w:rFonts w:cs="Arial"/>
          <w:sz w:val="18"/>
          <w:szCs w:val="18"/>
          <w:rtl/>
        </w:rPr>
        <w:t xml:space="preserve"> פא). מי שהוא ממדינה אחת ויש לו שם אשה, ונשא אחרת במדינה אחרת, צריכה לילך עמו לעירו, דודאי נשאה לשוב לביתו (ב"י בשם הרשב"ץ</w:t>
      </w:r>
      <w:r>
        <w:rPr>
          <w:rStyle w:val="a7"/>
          <w:rFonts w:cs="Arial"/>
          <w:sz w:val="18"/>
          <w:szCs w:val="18"/>
          <w:rtl/>
        </w:rPr>
        <w:footnoteReference w:id="1226"/>
      </w:r>
      <w:r w:rsidRPr="00BB7341">
        <w:rPr>
          <w:rFonts w:cs="Arial"/>
          <w:sz w:val="18"/>
          <w:szCs w:val="18"/>
          <w:rtl/>
        </w:rPr>
        <w:t>). ועיין לקמן סימן קנ"ד סעיף ט' עוד מדינין אלו.</w:t>
      </w:r>
      <w:r>
        <w:rPr>
          <w:rFonts w:cs="Arial"/>
          <w:rtl/>
        </w:rPr>
        <w:t xml:space="preserve"> </w:t>
      </w:r>
    </w:p>
    <w:p w14:paraId="7DDC828F" w14:textId="77777777" w:rsidR="002E5BAD" w:rsidRDefault="002E5BAD" w:rsidP="002E5BAD">
      <w:pPr>
        <w:rPr>
          <w:rtl/>
        </w:rPr>
      </w:pPr>
    </w:p>
    <w:p w14:paraId="0F89A874" w14:textId="77777777" w:rsidR="002E5BAD" w:rsidRDefault="002E5BAD" w:rsidP="002E5BAD">
      <w:pPr>
        <w:pStyle w:val="2"/>
        <w:rPr>
          <w:rtl/>
        </w:rPr>
      </w:pPr>
      <w:r>
        <w:rPr>
          <w:rtl/>
        </w:rPr>
        <w:t>סעיף ב</w:t>
      </w:r>
      <w:r>
        <w:rPr>
          <w:rFonts w:hint="cs"/>
          <w:rtl/>
        </w:rPr>
        <w:t>: להוציא מנוה יפה לרע (ולהפך). ולהוציא ממקום שרובו ישראל למקום שלא (ולהפך).</w:t>
      </w:r>
    </w:p>
    <w:p w14:paraId="2F103166" w14:textId="77777777" w:rsidR="002E5BAD" w:rsidRDefault="002E5BAD" w:rsidP="002E5BA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AA00D2">
        <w:rPr>
          <w:rFonts w:cs="Arial"/>
          <w:rtl/>
        </w:rPr>
        <w:t xml:space="preserve"> שלש ארצות לנשואין: יהודה, ועבר הירדן, והגליל</w:t>
      </w:r>
      <w:r w:rsidRPr="00AA00D2">
        <w:rPr>
          <w:rFonts w:cs="Arial" w:hint="cs"/>
          <w:rtl/>
        </w:rPr>
        <w:t>.</w:t>
      </w:r>
      <w:r w:rsidRPr="00AA00D2">
        <w:rPr>
          <w:rFonts w:cs="Arial"/>
          <w:rtl/>
        </w:rPr>
        <w:t xml:space="preserve"> אין מוציאין מעיר לעיר ומכרך לכרך, אבל באותה הארץ מוציאין מעיר לעיר ומכרך לכרך,</w:t>
      </w:r>
      <w:r w:rsidRPr="00AA00D2">
        <w:rPr>
          <w:rFonts w:hint="cs"/>
          <w:sz w:val="14"/>
          <w:szCs w:val="14"/>
          <w:rtl/>
        </w:rPr>
        <w:t>(קי:)</w:t>
      </w:r>
      <w:r w:rsidRPr="00240B1E">
        <w:rPr>
          <w:rtl/>
        </w:rPr>
        <w:t xml:space="preserve"> </w:t>
      </w:r>
      <w:r w:rsidRPr="00AA00D2">
        <w:rPr>
          <w:rFonts w:cs="Arial"/>
          <w:rtl/>
        </w:rPr>
        <w:t>אבל לא מעיר לכרך ולא מכרך לעיר. מוציאין מנוה הרעה לנוה היפה, אבל לא מנוה היפה לנוה הרעה</w:t>
      </w:r>
      <w:r w:rsidRPr="00AA00D2">
        <w:rPr>
          <w:rFonts w:cs="Arial" w:hint="cs"/>
          <w:rtl/>
        </w:rPr>
        <w:t>.</w:t>
      </w:r>
      <w:r w:rsidRPr="00AA00D2">
        <w:rPr>
          <w:rFonts w:cs="Arial"/>
          <w:rtl/>
        </w:rPr>
        <w:t xml:space="preserve"> </w:t>
      </w:r>
      <w:r w:rsidRPr="00AA00D2">
        <w:rPr>
          <w:rFonts w:cs="Arial"/>
          <w:u w:val="single"/>
          <w:rtl/>
        </w:rPr>
        <w:t>רשב"ג אומר</w:t>
      </w:r>
      <w:r w:rsidRPr="00AA00D2">
        <w:rPr>
          <w:rFonts w:cs="Arial"/>
          <w:rtl/>
        </w:rPr>
        <w:t>: אף לא מנוה רעה לנוה יפה, מפני שהנוה היפה בודק</w:t>
      </w:r>
      <w:r>
        <w:rPr>
          <w:rStyle w:val="a7"/>
          <w:rFonts w:cs="Arial"/>
          <w:rtl/>
        </w:rPr>
        <w:footnoteReference w:id="1227"/>
      </w:r>
      <w:r w:rsidRPr="00AA00D2">
        <w:rPr>
          <w:rFonts w:cs="Arial"/>
          <w:rtl/>
        </w:rPr>
        <w:t xml:space="preserve">. </w:t>
      </w:r>
      <w:r w:rsidRPr="00AA00D2">
        <w:rPr>
          <w:rFonts w:cs="Arial" w:hint="cs"/>
          <w:sz w:val="16"/>
          <w:szCs w:val="16"/>
          <w:rtl/>
        </w:rPr>
        <w:t>(</w:t>
      </w:r>
      <w:r w:rsidRPr="00D57ECA">
        <w:rPr>
          <w:rFonts w:cs="Arial"/>
          <w:sz w:val="16"/>
          <w:szCs w:val="16"/>
          <w:rtl/>
        </w:rPr>
        <w:t>ואע</w:t>
      </w:r>
      <w:r>
        <w:rPr>
          <w:rFonts w:cs="Arial" w:hint="cs"/>
          <w:sz w:val="16"/>
          <w:szCs w:val="16"/>
          <w:rtl/>
        </w:rPr>
        <w:t>"</w:t>
      </w:r>
      <w:r w:rsidRPr="00D57ECA">
        <w:rPr>
          <w:rFonts w:cs="Arial"/>
          <w:sz w:val="16"/>
          <w:szCs w:val="16"/>
          <w:rtl/>
        </w:rPr>
        <w:t>ג דמשמע דת"ק פליג בהא</w:t>
      </w:r>
      <w:r w:rsidRPr="00D57ECA">
        <w:rPr>
          <w:rFonts w:cs="Arial" w:hint="cs"/>
          <w:sz w:val="16"/>
          <w:szCs w:val="16"/>
          <w:rtl/>
        </w:rPr>
        <w:t>,</w:t>
      </w:r>
      <w:r w:rsidRPr="00D57ECA">
        <w:rPr>
          <w:rFonts w:cs="Arial"/>
          <w:sz w:val="16"/>
          <w:szCs w:val="16"/>
          <w:rtl/>
        </w:rPr>
        <w:t xml:space="preserve"> קיי"ל (כתובות עז.) כל מקום ששנה רבן שמעון בן גמליאל במשנתינו הלכה כמותו</w:t>
      </w:r>
      <w:r w:rsidRPr="00D57ECA">
        <w:rPr>
          <w:rFonts w:cs="Arial" w:hint="cs"/>
          <w:sz w:val="16"/>
          <w:szCs w:val="16"/>
          <w:rtl/>
        </w:rPr>
        <w:t>.</w:t>
      </w:r>
      <w:r w:rsidRPr="00D57ECA">
        <w:rPr>
          <w:rFonts w:cs="Arial"/>
          <w:sz w:val="16"/>
          <w:szCs w:val="16"/>
          <w:rtl/>
        </w:rPr>
        <w:t xml:space="preserve"> וכן פסק הרמב"ם בפי"ג מהלכות אישות (הי"ח)</w:t>
      </w:r>
      <w:r w:rsidRPr="00D57ECA">
        <w:rPr>
          <w:rFonts w:cs="Arial" w:hint="cs"/>
          <w:sz w:val="16"/>
          <w:szCs w:val="16"/>
          <w:rtl/>
        </w:rPr>
        <w:t>, ב"י)</w:t>
      </w:r>
    </w:p>
    <w:p w14:paraId="1B43E5EE" w14:textId="77777777" w:rsidR="002E5BAD" w:rsidRPr="00A806B1" w:rsidRDefault="002E5BAD" w:rsidP="002E5BAD">
      <w:pPr>
        <w:rPr>
          <w:b/>
          <w:bCs/>
        </w:rPr>
      </w:pPr>
      <w:r w:rsidRPr="00200403">
        <w:rPr>
          <w:rFonts w:cs="Arial" w:hint="cs"/>
          <w:u w:val="single"/>
          <w:rtl/>
        </w:rPr>
        <w:t xml:space="preserve">נשא אשה </w:t>
      </w:r>
      <w:r>
        <w:rPr>
          <w:rFonts w:cs="Arial" w:hint="cs"/>
          <w:u w:val="single"/>
          <w:rtl/>
        </w:rPr>
        <w:t xml:space="preserve">ורוצה להוציאה מנוה יפה לנוה הרע </w:t>
      </w:r>
      <w:r>
        <w:rPr>
          <w:rFonts w:cs="Arial" w:hint="cs"/>
          <w:sz w:val="16"/>
          <w:szCs w:val="16"/>
          <w:u w:val="single"/>
          <w:rtl/>
        </w:rPr>
        <w:t>(ולהפך)</w:t>
      </w:r>
      <w:r>
        <w:rPr>
          <w:rFonts w:cs="Arial" w:hint="cs"/>
          <w:u w:val="single"/>
          <w:rtl/>
        </w:rPr>
        <w:t>:</w:t>
      </w:r>
    </w:p>
    <w:p w14:paraId="16D8A711" w14:textId="77777777" w:rsidR="002E5BAD" w:rsidRDefault="002E5BAD" w:rsidP="002E5BAD">
      <w:pPr>
        <w:pStyle w:val="ab"/>
        <w:numPr>
          <w:ilvl w:val="0"/>
          <w:numId w:val="136"/>
        </w:numPr>
        <w:rPr>
          <w:b/>
          <w:bCs/>
        </w:rPr>
      </w:pPr>
      <w:r>
        <w:rPr>
          <w:rFonts w:cs="Arial" w:hint="cs"/>
          <w:rtl/>
        </w:rPr>
        <w:t xml:space="preserve">רמב"ם </w:t>
      </w:r>
      <w:r>
        <w:rPr>
          <w:rFonts w:cs="Arial" w:hint="cs"/>
          <w:sz w:val="16"/>
          <w:szCs w:val="16"/>
          <w:rtl/>
        </w:rPr>
        <w:t>(פי"ג מאישות הי"ז-יח)</w:t>
      </w:r>
      <w:r>
        <w:rPr>
          <w:rFonts w:cs="Arial" w:hint="cs"/>
          <w:rtl/>
        </w:rPr>
        <w:t xml:space="preserve"> וטור- </w:t>
      </w:r>
      <w:r w:rsidRPr="00C845AE">
        <w:rPr>
          <w:rFonts w:cs="Arial"/>
          <w:rtl/>
        </w:rPr>
        <w:t>כשיוציאנה מעיר לעיר ומכפר לכפר לא יוציאנה מנוה היפה לנוה הרע</w:t>
      </w:r>
      <w:r>
        <w:rPr>
          <w:rFonts w:cs="Arial" w:hint="cs"/>
          <w:rtl/>
        </w:rPr>
        <w:t>,</w:t>
      </w:r>
      <w:r w:rsidRPr="00C845AE">
        <w:rPr>
          <w:rFonts w:cs="Arial"/>
          <w:rtl/>
        </w:rPr>
        <w:t xml:space="preserve"> ואף לא מנוה הרע לנוה היפה</w:t>
      </w:r>
      <w:r>
        <w:rPr>
          <w:rFonts w:cs="Arial" w:hint="cs"/>
          <w:sz w:val="16"/>
          <w:szCs w:val="16"/>
          <w:rtl/>
        </w:rPr>
        <w:t xml:space="preserve"> (ל' הטור)</w:t>
      </w:r>
      <w:r>
        <w:rPr>
          <w:rFonts w:cs="Arial" w:hint="cs"/>
          <w:rtl/>
        </w:rPr>
        <w:t>.</w:t>
      </w:r>
      <w:r w:rsidRPr="00C845AE">
        <w:rPr>
          <w:rFonts w:cs="Arial"/>
          <w:rtl/>
        </w:rPr>
        <w:t xml:space="preserve"> </w:t>
      </w:r>
      <w:r w:rsidRPr="00A73B2D">
        <w:rPr>
          <w:rFonts w:hint="cs"/>
          <w:color w:val="E36C0A" w:themeColor="accent6" w:themeShade="BF"/>
          <w:rtl/>
        </w:rPr>
        <w:t>(וכ"פ בשו"ע</w:t>
      </w:r>
      <w:r>
        <w:rPr>
          <w:rFonts w:hint="cs"/>
          <w:color w:val="E36C0A" w:themeColor="accent6" w:themeShade="BF"/>
          <w:rtl/>
        </w:rPr>
        <w:t>)</w:t>
      </w:r>
    </w:p>
    <w:p w14:paraId="108DF538" w14:textId="77777777" w:rsidR="002E5BAD" w:rsidRPr="008437AE" w:rsidRDefault="002E5BAD" w:rsidP="002E5BAD">
      <w:pPr>
        <w:rPr>
          <w:rFonts w:cs="Arial"/>
          <w:rtl/>
        </w:rPr>
      </w:pPr>
      <w:r w:rsidRPr="008437AE">
        <w:rPr>
          <w:rFonts w:cs="Arial" w:hint="cs"/>
          <w:b/>
          <w:bCs/>
          <w:rtl/>
        </w:rPr>
        <w:t>תוספתא כתובות פי"ב הי"ב:</w:t>
      </w:r>
      <w:r w:rsidRPr="008437AE">
        <w:rPr>
          <w:rFonts w:cs="Arial" w:hint="cs"/>
          <w:rtl/>
        </w:rPr>
        <w:t xml:space="preserve"> </w:t>
      </w:r>
      <w:r w:rsidRPr="008437AE">
        <w:rPr>
          <w:rFonts w:cs="Arial"/>
          <w:rtl/>
        </w:rPr>
        <w:t>מוציאין מעיר שרובה גוים לעיר שרובה ישראל</w:t>
      </w:r>
      <w:r w:rsidRPr="008437AE">
        <w:rPr>
          <w:rFonts w:cs="Arial" w:hint="cs"/>
          <w:rtl/>
        </w:rPr>
        <w:t>,</w:t>
      </w:r>
      <w:r w:rsidRPr="008437AE">
        <w:rPr>
          <w:rFonts w:cs="Arial"/>
          <w:rtl/>
        </w:rPr>
        <w:t xml:space="preserve"> ואין מוציאין מעיר שרובה ישראל לעיר שרובה גוים</w:t>
      </w:r>
      <w:r w:rsidRPr="008437AE">
        <w:rPr>
          <w:rFonts w:cs="Arial" w:hint="cs"/>
          <w:rtl/>
        </w:rPr>
        <w:t>.</w:t>
      </w:r>
      <w:r w:rsidRPr="008437AE">
        <w:rPr>
          <w:rFonts w:cs="Arial"/>
          <w:rtl/>
        </w:rPr>
        <w:t xml:space="preserve"> </w:t>
      </w:r>
      <w:r>
        <w:rPr>
          <w:rFonts w:cs="Arial" w:hint="cs"/>
          <w:sz w:val="16"/>
          <w:szCs w:val="16"/>
          <w:rtl/>
        </w:rPr>
        <w:t>(</w:t>
      </w:r>
      <w:r w:rsidRPr="002B70E1">
        <w:rPr>
          <w:rFonts w:cs="Arial"/>
          <w:sz w:val="16"/>
          <w:szCs w:val="16"/>
          <w:rtl/>
        </w:rPr>
        <w:t>כתבוה הרי"ף והרא"ש בפרק הנזכר</w:t>
      </w:r>
      <w:r>
        <w:rPr>
          <w:rFonts w:cs="Arial" w:hint="cs"/>
          <w:sz w:val="16"/>
          <w:szCs w:val="16"/>
          <w:rtl/>
        </w:rPr>
        <w:t>,</w:t>
      </w:r>
      <w:r w:rsidRPr="002B70E1">
        <w:rPr>
          <w:rFonts w:cs="Arial"/>
          <w:sz w:val="16"/>
          <w:szCs w:val="16"/>
          <w:rtl/>
        </w:rPr>
        <w:t xml:space="preserve"> והרמב"ם ז"ל בפי"ג מהלכות אישות (שם)</w:t>
      </w:r>
      <w:r w:rsidRPr="002B70E1">
        <w:rPr>
          <w:rFonts w:cs="Arial" w:hint="cs"/>
          <w:sz w:val="16"/>
          <w:szCs w:val="16"/>
          <w:rtl/>
        </w:rPr>
        <w:t>, ב"י)</w:t>
      </w:r>
    </w:p>
    <w:p w14:paraId="3105281B" w14:textId="77777777" w:rsidR="002E5BAD" w:rsidRPr="008437AE" w:rsidRDefault="002E5BAD" w:rsidP="002E5BAD">
      <w:pPr>
        <w:rPr>
          <w:b/>
          <w:bCs/>
        </w:rPr>
      </w:pPr>
      <w:r w:rsidRPr="008437AE">
        <w:rPr>
          <w:rFonts w:cs="Arial" w:hint="cs"/>
          <w:u w:val="single"/>
          <w:rtl/>
        </w:rPr>
        <w:lastRenderedPageBreak/>
        <w:t xml:space="preserve">נשא אשה ורוצה להוציאה ממקום </w:t>
      </w:r>
      <w:r>
        <w:rPr>
          <w:rFonts w:cs="Arial" w:hint="cs"/>
          <w:u w:val="single"/>
          <w:rtl/>
        </w:rPr>
        <w:t xml:space="preserve">שרובם ישראל </w:t>
      </w:r>
      <w:r w:rsidRPr="008437AE">
        <w:rPr>
          <w:rFonts w:cs="Arial" w:hint="cs"/>
          <w:u w:val="single"/>
          <w:rtl/>
        </w:rPr>
        <w:t xml:space="preserve">למקום </w:t>
      </w:r>
      <w:r>
        <w:rPr>
          <w:rFonts w:cs="Arial" w:hint="cs"/>
          <w:u w:val="single"/>
          <w:rtl/>
        </w:rPr>
        <w:t>שרובם גוים</w:t>
      </w:r>
      <w:r>
        <w:rPr>
          <w:rFonts w:cs="Arial" w:hint="cs"/>
          <w:sz w:val="16"/>
          <w:szCs w:val="16"/>
          <w:u w:val="single"/>
          <w:rtl/>
        </w:rPr>
        <w:t xml:space="preserve"> (ולהפך)</w:t>
      </w:r>
      <w:r w:rsidRPr="008437AE">
        <w:rPr>
          <w:rFonts w:cs="Arial" w:hint="cs"/>
          <w:u w:val="single"/>
          <w:rtl/>
        </w:rPr>
        <w:t>:</w:t>
      </w:r>
    </w:p>
    <w:p w14:paraId="2DE06794" w14:textId="77777777" w:rsidR="002E5BAD" w:rsidRDefault="002E5BAD" w:rsidP="002E5BAD">
      <w:pPr>
        <w:pStyle w:val="ab"/>
        <w:numPr>
          <w:ilvl w:val="0"/>
          <w:numId w:val="136"/>
        </w:numPr>
        <w:rPr>
          <w:b/>
          <w:bCs/>
        </w:rPr>
      </w:pPr>
      <w:r>
        <w:rPr>
          <w:rFonts w:cs="Arial" w:hint="cs"/>
          <w:rtl/>
        </w:rPr>
        <w:t xml:space="preserve">רמב"ם </w:t>
      </w:r>
      <w:r>
        <w:rPr>
          <w:rFonts w:cs="Arial" w:hint="cs"/>
          <w:sz w:val="16"/>
          <w:szCs w:val="16"/>
          <w:rtl/>
        </w:rPr>
        <w:t>(פי"ג מאישות הי"ח)</w:t>
      </w:r>
      <w:r>
        <w:rPr>
          <w:rFonts w:cs="Arial" w:hint="cs"/>
          <w:rtl/>
        </w:rPr>
        <w:t xml:space="preserve"> וטור- </w:t>
      </w:r>
      <w:r w:rsidRPr="00C845AE">
        <w:rPr>
          <w:rFonts w:cs="Arial"/>
          <w:rtl/>
        </w:rPr>
        <w:t xml:space="preserve">וכן לא יוציאנה ממקום שרובם ישראל למקום שרובם </w:t>
      </w:r>
      <w:r>
        <w:rPr>
          <w:rFonts w:cs="Arial" w:hint="cs"/>
          <w:rtl/>
        </w:rPr>
        <w:t>גוי</w:t>
      </w:r>
      <w:r w:rsidRPr="00C845AE">
        <w:rPr>
          <w:rFonts w:cs="Arial"/>
          <w:rtl/>
        </w:rPr>
        <w:t>ם</w:t>
      </w:r>
      <w:r>
        <w:rPr>
          <w:rFonts w:cs="Arial" w:hint="cs"/>
          <w:rtl/>
        </w:rPr>
        <w:t>.</w:t>
      </w:r>
      <w:r w:rsidRPr="00C845AE">
        <w:rPr>
          <w:rFonts w:cs="Arial"/>
          <w:rtl/>
        </w:rPr>
        <w:t xml:space="preserve"> ובכ"מ מוציאין ממקום שרובם </w:t>
      </w:r>
      <w:r>
        <w:rPr>
          <w:rFonts w:cs="Arial" w:hint="cs"/>
          <w:rtl/>
        </w:rPr>
        <w:t>גוי</w:t>
      </w:r>
      <w:r w:rsidRPr="00C845AE">
        <w:rPr>
          <w:rFonts w:cs="Arial"/>
          <w:rtl/>
        </w:rPr>
        <w:t>ם למקום שרובם ישראל</w:t>
      </w:r>
      <w:r>
        <w:rPr>
          <w:rFonts w:cs="Arial" w:hint="cs"/>
          <w:sz w:val="16"/>
          <w:szCs w:val="16"/>
          <w:rtl/>
        </w:rPr>
        <w:t xml:space="preserve"> (ל' הטור)</w:t>
      </w:r>
      <w:r>
        <w:rPr>
          <w:rFonts w:cs="Arial" w:hint="cs"/>
          <w:rtl/>
        </w:rPr>
        <w:t>.</w:t>
      </w:r>
      <w:r w:rsidRPr="00C845AE">
        <w:rPr>
          <w:rFonts w:cs="Arial"/>
          <w:rtl/>
        </w:rPr>
        <w:t xml:space="preserve"> </w:t>
      </w:r>
      <w:r w:rsidRPr="00A73B2D">
        <w:rPr>
          <w:rFonts w:hint="cs"/>
          <w:color w:val="E36C0A" w:themeColor="accent6" w:themeShade="BF"/>
          <w:rtl/>
        </w:rPr>
        <w:t>(וכ"פ בשו"ע</w:t>
      </w:r>
      <w:r>
        <w:rPr>
          <w:rFonts w:hint="cs"/>
          <w:color w:val="E36C0A" w:themeColor="accent6" w:themeShade="BF"/>
          <w:rtl/>
        </w:rPr>
        <w:t>)</w:t>
      </w:r>
    </w:p>
    <w:p w14:paraId="14F2757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490B111" w14:textId="77777777" w:rsidR="002E5BAD" w:rsidRDefault="002E5BAD" w:rsidP="002E5BAD">
      <w:pPr>
        <w:rPr>
          <w:rFonts w:cs="Arial"/>
          <w:rtl/>
        </w:rPr>
      </w:pPr>
      <w:r>
        <w:rPr>
          <w:rFonts w:cs="Arial"/>
          <w:rtl/>
        </w:rPr>
        <w:t>כשמוציאה ממדינה למדינה ומכפר לכפר באותה הארץ, אינו יכול להוציאה, מנוה יפה לנוה הרע, ולא מרע ליפה</w:t>
      </w:r>
      <w:r>
        <w:rPr>
          <w:rFonts w:cs="Arial" w:hint="cs"/>
          <w:rtl/>
        </w:rPr>
        <w:t>.</w:t>
      </w:r>
      <w:r>
        <w:rPr>
          <w:rFonts w:cs="Arial"/>
          <w:rtl/>
        </w:rPr>
        <w:t xml:space="preserve"> וכן לא יוציאנה ממקום שרוב</w:t>
      </w:r>
      <w:r>
        <w:rPr>
          <w:rFonts w:cs="Arial" w:hint="cs"/>
          <w:rtl/>
        </w:rPr>
        <w:t>ו</w:t>
      </w:r>
      <w:r>
        <w:rPr>
          <w:rFonts w:cs="Arial"/>
          <w:rtl/>
        </w:rPr>
        <w:t xml:space="preserve"> ישראל למקום שרובו </w:t>
      </w:r>
      <w:r>
        <w:rPr>
          <w:rFonts w:cs="Arial" w:hint="cs"/>
          <w:rtl/>
        </w:rPr>
        <w:t>גוים</w:t>
      </w:r>
      <w:r>
        <w:rPr>
          <w:rFonts w:cs="Arial"/>
          <w:rtl/>
        </w:rPr>
        <w:t xml:space="preserve">. ובכל מקום מוציאין ממקום שרובו </w:t>
      </w:r>
      <w:r>
        <w:rPr>
          <w:rFonts w:cs="Arial" w:hint="cs"/>
          <w:rtl/>
        </w:rPr>
        <w:t>גוים</w:t>
      </w:r>
      <w:r>
        <w:rPr>
          <w:rFonts w:cs="Arial"/>
          <w:rtl/>
        </w:rPr>
        <w:t xml:space="preserve"> למקום שרובו ישראל. </w:t>
      </w:r>
      <w:r w:rsidRPr="00874F54">
        <w:rPr>
          <w:rFonts w:cs="Arial"/>
          <w:sz w:val="18"/>
          <w:szCs w:val="18"/>
          <w:rtl/>
        </w:rPr>
        <w:t>הגה: ואינו יכול להוציאה ממקום שהמושל טוב למקום שהמושל רע (הגה</w:t>
      </w:r>
      <w:r>
        <w:rPr>
          <w:rFonts w:cs="Arial" w:hint="cs"/>
          <w:sz w:val="18"/>
          <w:szCs w:val="18"/>
          <w:rtl/>
        </w:rPr>
        <w:t>"</w:t>
      </w:r>
      <w:r w:rsidRPr="00874F54">
        <w:rPr>
          <w:rFonts w:cs="Arial"/>
          <w:sz w:val="18"/>
          <w:szCs w:val="18"/>
          <w:rtl/>
        </w:rPr>
        <w:t>מ פי"ג דאישות)</w:t>
      </w:r>
      <w:r>
        <w:rPr>
          <w:rFonts w:cs="Arial" w:hint="cs"/>
          <w:sz w:val="18"/>
          <w:szCs w:val="18"/>
          <w:rtl/>
        </w:rPr>
        <w:t>.</w:t>
      </w:r>
      <w:r w:rsidRPr="00874F54">
        <w:rPr>
          <w:rFonts w:cs="Arial"/>
          <w:sz w:val="18"/>
          <w:szCs w:val="18"/>
          <w:rtl/>
        </w:rPr>
        <w:t xml:space="preserve"> כל מקום שיכול להוציאה ממקומה, היינו לאחר שכנסה ונשאה, אבל קודם נשואין לא יכול להוציאה וצריך לכנסה במקומה, אם לא התנה בפירוש עם האשה, אבל אם התנה עם אמה, לאו כלום הוא (ריב"ש סי' קעז)</w:t>
      </w:r>
      <w:r>
        <w:rPr>
          <w:rFonts w:cs="Arial" w:hint="cs"/>
          <w:sz w:val="18"/>
          <w:szCs w:val="18"/>
          <w:rtl/>
        </w:rPr>
        <w:t>.</w:t>
      </w:r>
      <w:r w:rsidRPr="00874F54">
        <w:rPr>
          <w:rFonts w:cs="Arial"/>
          <w:sz w:val="18"/>
          <w:szCs w:val="18"/>
          <w:rtl/>
        </w:rPr>
        <w:t xml:space="preserve"> מיהו אם יש אמתלאות וטעמים לדבריו, האשה צריכה לילך אחריו (תשובת מיימוני לנשים סי</w:t>
      </w:r>
      <w:r>
        <w:rPr>
          <w:rFonts w:cs="Arial" w:hint="cs"/>
          <w:sz w:val="18"/>
          <w:szCs w:val="18"/>
          <w:rtl/>
        </w:rPr>
        <w:t>'</w:t>
      </w:r>
      <w:r w:rsidRPr="00874F54">
        <w:rPr>
          <w:rFonts w:cs="Arial"/>
          <w:sz w:val="18"/>
          <w:szCs w:val="18"/>
          <w:rtl/>
        </w:rPr>
        <w:t xml:space="preserve"> כח).</w:t>
      </w:r>
      <w:r>
        <w:rPr>
          <w:rFonts w:cs="Arial"/>
          <w:rtl/>
        </w:rPr>
        <w:t xml:space="preserve"> </w:t>
      </w:r>
    </w:p>
    <w:p w14:paraId="2DE5AF6B" w14:textId="77777777" w:rsidR="002E5BAD" w:rsidRDefault="002E5BAD" w:rsidP="002E5BAD">
      <w:pPr>
        <w:rPr>
          <w:rtl/>
        </w:rPr>
      </w:pPr>
    </w:p>
    <w:p w14:paraId="5F877855" w14:textId="77777777" w:rsidR="002E5BAD" w:rsidRDefault="002E5BAD" w:rsidP="002E5BAD">
      <w:pPr>
        <w:pStyle w:val="2"/>
        <w:rPr>
          <w:rtl/>
        </w:rPr>
      </w:pPr>
      <w:r>
        <w:rPr>
          <w:rtl/>
        </w:rPr>
        <w:t>סעיף ג</w:t>
      </w:r>
      <w:r>
        <w:rPr>
          <w:rFonts w:hint="cs"/>
          <w:rtl/>
        </w:rPr>
        <w:t>: הכל מעלין לארץ ישראל.</w:t>
      </w:r>
    </w:p>
    <w:p w14:paraId="6B203443" w14:textId="77777777" w:rsidR="002E5BAD" w:rsidRPr="00557191" w:rsidRDefault="002E5BAD" w:rsidP="002E5BAD">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557191">
        <w:rPr>
          <w:rFonts w:cs="Arial"/>
          <w:rtl/>
        </w:rPr>
        <w:t xml:space="preserve"> הכל מעלין לארץ ישראל ואין הכל מוציאין, הכל מעלין לירושלים ואין הכל מוציאין, אחד האנשים ואחד הנשים.</w:t>
      </w:r>
      <w:r>
        <w:rPr>
          <w:rFonts w:hint="cs"/>
          <w:rtl/>
        </w:rPr>
        <w:t>..</w:t>
      </w:r>
    </w:p>
    <w:p w14:paraId="4D81D0F2" w14:textId="77777777" w:rsidR="002E5BAD" w:rsidRPr="00557191" w:rsidRDefault="002E5BAD" w:rsidP="002E5BAD">
      <w:pPr>
        <w:rPr>
          <w:rtl/>
        </w:rPr>
      </w:pPr>
      <w:r w:rsidRPr="008437AE">
        <w:rPr>
          <w:rFonts w:cs="Arial" w:hint="cs"/>
          <w:b/>
          <w:bCs/>
          <w:rtl/>
        </w:rPr>
        <w:t>תוספתא כתובות פי"ב הי"ב:</w:t>
      </w:r>
      <w:r>
        <w:rPr>
          <w:rFonts w:cs="Arial" w:hint="cs"/>
          <w:rtl/>
        </w:rPr>
        <w:t xml:space="preserve"> </w:t>
      </w:r>
      <w:r w:rsidRPr="00557191">
        <w:rPr>
          <w:rFonts w:cs="Arial"/>
          <w:rtl/>
        </w:rPr>
        <w:t>הוא רוצה לבא לארץ ישראל</w:t>
      </w:r>
      <w:r>
        <w:rPr>
          <w:rFonts w:cs="Arial" w:hint="cs"/>
          <w:rtl/>
        </w:rPr>
        <w:t>,</w:t>
      </w:r>
      <w:r w:rsidRPr="00557191">
        <w:rPr>
          <w:rFonts w:cs="Arial"/>
          <w:rtl/>
        </w:rPr>
        <w:t xml:space="preserve"> והיא אינה רוצה לבא</w:t>
      </w:r>
      <w:r>
        <w:rPr>
          <w:rFonts w:cs="Arial" w:hint="cs"/>
          <w:rtl/>
        </w:rPr>
        <w:t xml:space="preserve"> -</w:t>
      </w:r>
      <w:r w:rsidRPr="00557191">
        <w:rPr>
          <w:rFonts w:cs="Arial"/>
          <w:rtl/>
        </w:rPr>
        <w:t xml:space="preserve"> כופין אותה לבא</w:t>
      </w:r>
      <w:r>
        <w:rPr>
          <w:rFonts w:cs="Arial" w:hint="cs"/>
          <w:rtl/>
        </w:rPr>
        <w:t>.</w:t>
      </w:r>
      <w:r w:rsidRPr="00557191">
        <w:rPr>
          <w:rFonts w:cs="Arial"/>
          <w:rtl/>
        </w:rPr>
        <w:t xml:space="preserve"> היא רוצה</w:t>
      </w:r>
      <w:r>
        <w:rPr>
          <w:rFonts w:cs="Arial" w:hint="cs"/>
          <w:rtl/>
        </w:rPr>
        <w:t>,</w:t>
      </w:r>
      <w:r w:rsidRPr="00557191">
        <w:rPr>
          <w:rFonts w:cs="Arial"/>
          <w:rtl/>
        </w:rPr>
        <w:t xml:space="preserve"> והוא אינו רוצה </w:t>
      </w:r>
      <w:r>
        <w:rPr>
          <w:rFonts w:cs="Arial" w:hint="cs"/>
          <w:rtl/>
        </w:rPr>
        <w:t xml:space="preserve">- </w:t>
      </w:r>
      <w:r w:rsidRPr="00557191">
        <w:rPr>
          <w:rFonts w:cs="Arial"/>
          <w:rtl/>
        </w:rPr>
        <w:t>כופין אותו לבא</w:t>
      </w:r>
      <w:r>
        <w:rPr>
          <w:rFonts w:cs="Arial" w:hint="cs"/>
          <w:rtl/>
        </w:rPr>
        <w:t>.</w:t>
      </w:r>
      <w:r w:rsidRPr="00557191">
        <w:rPr>
          <w:rFonts w:cs="Arial"/>
          <w:rtl/>
        </w:rPr>
        <w:t xml:space="preserve"> הוא רוצה לצאת מארץ ישר</w:t>
      </w:r>
      <w:r>
        <w:rPr>
          <w:rFonts w:cs="Arial" w:hint="cs"/>
          <w:rtl/>
        </w:rPr>
        <w:t>אל,</w:t>
      </w:r>
      <w:r w:rsidRPr="00557191">
        <w:rPr>
          <w:rFonts w:cs="Arial"/>
          <w:rtl/>
        </w:rPr>
        <w:t xml:space="preserve"> והיא אינה רוצה </w:t>
      </w:r>
      <w:r>
        <w:rPr>
          <w:rFonts w:cs="Arial" w:hint="cs"/>
          <w:rtl/>
        </w:rPr>
        <w:t xml:space="preserve">- </w:t>
      </w:r>
      <w:r w:rsidRPr="00557191">
        <w:rPr>
          <w:rFonts w:cs="Arial"/>
          <w:rtl/>
        </w:rPr>
        <w:t>אין כופין אותה לצאת</w:t>
      </w:r>
      <w:r>
        <w:rPr>
          <w:rFonts w:cs="Arial" w:hint="cs"/>
          <w:rtl/>
        </w:rPr>
        <w:t>.</w:t>
      </w:r>
      <w:r w:rsidRPr="00557191">
        <w:rPr>
          <w:rFonts w:cs="Arial"/>
          <w:rtl/>
        </w:rPr>
        <w:t xml:space="preserve"> היא רוצה</w:t>
      </w:r>
      <w:r>
        <w:rPr>
          <w:rFonts w:cs="Arial" w:hint="cs"/>
          <w:rtl/>
        </w:rPr>
        <w:t>,</w:t>
      </w:r>
      <w:r w:rsidRPr="00557191">
        <w:rPr>
          <w:rFonts w:cs="Arial"/>
          <w:rtl/>
        </w:rPr>
        <w:t xml:space="preserve"> והוא אינו רוצה </w:t>
      </w:r>
      <w:r>
        <w:rPr>
          <w:rFonts w:cs="Arial" w:hint="cs"/>
          <w:rtl/>
        </w:rPr>
        <w:t xml:space="preserve">- </w:t>
      </w:r>
      <w:r w:rsidRPr="00557191">
        <w:rPr>
          <w:rFonts w:cs="Arial"/>
          <w:rtl/>
        </w:rPr>
        <w:t>כופין אותה שלא לצאת</w:t>
      </w:r>
      <w:r>
        <w:rPr>
          <w:rFonts w:hint="cs"/>
          <w:rtl/>
        </w:rPr>
        <w:t>.</w:t>
      </w:r>
    </w:p>
    <w:p w14:paraId="0839AF41" w14:textId="77777777" w:rsidR="002E5BAD" w:rsidRPr="008437AE" w:rsidRDefault="002E5BAD" w:rsidP="002E5BAD">
      <w:pPr>
        <w:rPr>
          <w:u w:val="single"/>
        </w:rPr>
      </w:pPr>
      <w:r w:rsidRPr="008437AE">
        <w:rPr>
          <w:rFonts w:hint="cs"/>
          <w:u w:val="single"/>
          <w:rtl/>
        </w:rPr>
        <w:t>הכל מעלין לארץ ישראל:</w:t>
      </w:r>
    </w:p>
    <w:p w14:paraId="28051433" w14:textId="77777777" w:rsidR="002E5BAD" w:rsidRPr="00C845AE" w:rsidRDefault="002E5BAD" w:rsidP="002E5BAD">
      <w:pPr>
        <w:pStyle w:val="ab"/>
        <w:numPr>
          <w:ilvl w:val="0"/>
          <w:numId w:val="136"/>
        </w:numPr>
        <w:rPr>
          <w:b/>
          <w:bCs/>
          <w:rtl/>
        </w:rPr>
      </w:pPr>
      <w:r w:rsidRPr="00242605">
        <w:rPr>
          <w:rFonts w:cs="Arial"/>
          <w:rtl/>
        </w:rPr>
        <w:t>רמב"ם</w:t>
      </w:r>
      <w:r w:rsidRPr="00557191">
        <w:rPr>
          <w:rFonts w:cs="Arial" w:hint="cs"/>
          <w:sz w:val="16"/>
          <w:szCs w:val="16"/>
          <w:rtl/>
        </w:rPr>
        <w:t xml:space="preserve"> (</w:t>
      </w:r>
      <w:r w:rsidRPr="00557191">
        <w:rPr>
          <w:rFonts w:cs="Arial"/>
          <w:sz w:val="16"/>
          <w:szCs w:val="16"/>
          <w:rtl/>
        </w:rPr>
        <w:t>פי"ג</w:t>
      </w:r>
      <w:r w:rsidRPr="00557191">
        <w:rPr>
          <w:rFonts w:cs="Arial" w:hint="cs"/>
          <w:sz w:val="16"/>
          <w:szCs w:val="16"/>
          <w:rtl/>
        </w:rPr>
        <w:t xml:space="preserve"> מאישות</w:t>
      </w:r>
      <w:r w:rsidRPr="00557191">
        <w:rPr>
          <w:rFonts w:cs="Arial"/>
          <w:sz w:val="16"/>
          <w:szCs w:val="16"/>
          <w:rtl/>
        </w:rPr>
        <w:t xml:space="preserve"> הי"ט)</w:t>
      </w:r>
      <w:r>
        <w:rPr>
          <w:rFonts w:cs="Arial" w:hint="cs"/>
          <w:rtl/>
        </w:rPr>
        <w:t xml:space="preserve"> וטור-</w:t>
      </w:r>
      <w:r w:rsidRPr="00C845AE">
        <w:rPr>
          <w:rFonts w:cs="Arial"/>
          <w:rtl/>
        </w:rPr>
        <w:t xml:space="preserve"> </w:t>
      </w:r>
      <w:r w:rsidRPr="00085910">
        <w:rPr>
          <w:rFonts w:cs="Arial"/>
          <w:rtl/>
        </w:rPr>
        <w:t xml:space="preserve">במה דברים </w:t>
      </w:r>
      <w:r>
        <w:rPr>
          <w:rFonts w:cs="Arial" w:hint="cs"/>
          <w:sz w:val="16"/>
          <w:szCs w:val="16"/>
          <w:rtl/>
        </w:rPr>
        <w:t>{בכל הנ"ל}</w:t>
      </w:r>
      <w:r>
        <w:rPr>
          <w:rFonts w:cs="Arial" w:hint="cs"/>
          <w:rtl/>
        </w:rPr>
        <w:t xml:space="preserve"> </w:t>
      </w:r>
      <w:r w:rsidRPr="00085910">
        <w:rPr>
          <w:rFonts w:cs="Arial"/>
          <w:rtl/>
        </w:rPr>
        <w:t>אמורים מחוצה לארץ לחוצה לארץ או מארץ ישראל לארץ ישראל אבל מחוצה לארץ לארץ ישראל כופין לעלות אפילו מנוה היפה לנוה הרע ואפילו ממקום שרובו ישראל למקום שרובו גוים מעלין, ואין מוציאין מארץ ישראל לחוצה לארץ ואפילו מנוה הרע שרובו גוים לנוה היפה שרובו ישראל</w:t>
      </w:r>
      <w:r>
        <w:rPr>
          <w:rFonts w:cs="Arial" w:hint="cs"/>
          <w:sz w:val="16"/>
          <w:szCs w:val="16"/>
          <w:rtl/>
        </w:rPr>
        <w:t xml:space="preserve"> (ל' הרמב"ם)</w:t>
      </w:r>
      <w:r>
        <w:rPr>
          <w:rFonts w:cs="Arial" w:hint="cs"/>
          <w:rtl/>
        </w:rPr>
        <w:t>.</w:t>
      </w:r>
      <w:r w:rsidRPr="00C845AE">
        <w:rPr>
          <w:rFonts w:cs="Arial"/>
          <w:rtl/>
        </w:rPr>
        <w:t xml:space="preserve"> </w:t>
      </w:r>
      <w:r w:rsidRPr="00A73B2D">
        <w:rPr>
          <w:rFonts w:hint="cs"/>
          <w:color w:val="E36C0A" w:themeColor="accent6" w:themeShade="BF"/>
          <w:rtl/>
        </w:rPr>
        <w:t>(וכ"פ בשו"ע</w:t>
      </w:r>
      <w:r>
        <w:rPr>
          <w:rFonts w:hint="cs"/>
          <w:color w:val="E36C0A" w:themeColor="accent6" w:themeShade="BF"/>
          <w:rtl/>
        </w:rPr>
        <w:t>)</w:t>
      </w:r>
    </w:p>
    <w:p w14:paraId="65E4BC38"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315AC6E" w14:textId="77777777" w:rsidR="002E5BAD" w:rsidRDefault="002E5BAD" w:rsidP="002E5BAD">
      <w:pPr>
        <w:rPr>
          <w:rtl/>
        </w:rPr>
      </w:pPr>
      <w:r>
        <w:rPr>
          <w:rFonts w:cs="Arial"/>
          <w:rtl/>
        </w:rPr>
        <w:t>ב</w:t>
      </w:r>
      <w:r>
        <w:rPr>
          <w:rFonts w:cs="Arial" w:hint="cs"/>
          <w:rtl/>
        </w:rPr>
        <w:t>מה דברים אמורים</w:t>
      </w:r>
      <w:r>
        <w:rPr>
          <w:rFonts w:cs="Arial"/>
          <w:rtl/>
        </w:rPr>
        <w:t>, מח</w:t>
      </w:r>
      <w:r>
        <w:rPr>
          <w:rFonts w:cs="Arial" w:hint="cs"/>
          <w:rtl/>
        </w:rPr>
        <w:t>וץ לארץ לחוץ לארץ, מארץ ישראל לארץ ישראל,</w:t>
      </w:r>
      <w:r>
        <w:rPr>
          <w:rFonts w:cs="Arial"/>
          <w:rtl/>
        </w:rPr>
        <w:t xml:space="preserve"> אבל מח</w:t>
      </w:r>
      <w:r>
        <w:rPr>
          <w:rFonts w:cs="Arial" w:hint="cs"/>
          <w:rtl/>
        </w:rPr>
        <w:t>וץ לארץ לארץ ישראל</w:t>
      </w:r>
      <w:r>
        <w:rPr>
          <w:rFonts w:cs="Arial"/>
          <w:rtl/>
        </w:rPr>
        <w:t xml:space="preserve">, כופין אותה לעלות אפילו מנוה יפה לנוה הרע, ואפילו ממקום שרובו ישראל למקום שרובו </w:t>
      </w:r>
      <w:r>
        <w:rPr>
          <w:rFonts w:cs="Arial" w:hint="cs"/>
          <w:rtl/>
        </w:rPr>
        <w:t>גוי</w:t>
      </w:r>
      <w:r>
        <w:rPr>
          <w:rFonts w:cs="Arial"/>
          <w:rtl/>
        </w:rPr>
        <w:t>ים. אין מוציאין מא</w:t>
      </w:r>
      <w:r>
        <w:rPr>
          <w:rFonts w:cs="Arial" w:hint="cs"/>
          <w:rtl/>
        </w:rPr>
        <w:t>רץ ישראל</w:t>
      </w:r>
      <w:r>
        <w:rPr>
          <w:rFonts w:cs="Arial"/>
          <w:rtl/>
        </w:rPr>
        <w:t xml:space="preserve"> לח</w:t>
      </w:r>
      <w:r>
        <w:rPr>
          <w:rFonts w:cs="Arial" w:hint="cs"/>
          <w:rtl/>
        </w:rPr>
        <w:t>וץ לארץ</w:t>
      </w:r>
      <w:r>
        <w:rPr>
          <w:rFonts w:cs="Arial"/>
          <w:rtl/>
        </w:rPr>
        <w:t xml:space="preserve">, ואפילו מנוה הרע לנוה הטוב, ואפילו ממקום שרובו </w:t>
      </w:r>
      <w:r>
        <w:rPr>
          <w:rFonts w:cs="Arial" w:hint="cs"/>
          <w:rtl/>
        </w:rPr>
        <w:t>גוים</w:t>
      </w:r>
      <w:r>
        <w:rPr>
          <w:rFonts w:cs="Arial"/>
          <w:rtl/>
        </w:rPr>
        <w:t xml:space="preserve"> למקום שרובו ישראל. </w:t>
      </w:r>
    </w:p>
    <w:p w14:paraId="4184A3A5" w14:textId="77777777" w:rsidR="002E5BAD" w:rsidRDefault="002E5BAD" w:rsidP="002E5BAD">
      <w:pPr>
        <w:rPr>
          <w:rtl/>
        </w:rPr>
      </w:pPr>
    </w:p>
    <w:p w14:paraId="1886C6D0" w14:textId="77777777" w:rsidR="002E5BAD" w:rsidRDefault="002E5BAD" w:rsidP="002E5BAD">
      <w:pPr>
        <w:pStyle w:val="2"/>
        <w:rPr>
          <w:rtl/>
        </w:rPr>
      </w:pPr>
      <w:r>
        <w:rPr>
          <w:rtl/>
        </w:rPr>
        <w:t>סעיף ד</w:t>
      </w:r>
      <w:r>
        <w:rPr>
          <w:rFonts w:hint="cs"/>
          <w:rtl/>
        </w:rPr>
        <w:t xml:space="preserve">: הוא רוצה לעלות לארץ ישראל </w:t>
      </w:r>
      <w:r w:rsidRPr="00E617BF">
        <w:rPr>
          <w:rFonts w:hint="cs"/>
          <w:sz w:val="18"/>
          <w:szCs w:val="18"/>
          <w:rtl/>
        </w:rPr>
        <w:t>(או ירושלים</w:t>
      </w:r>
      <w:r>
        <w:rPr>
          <w:rFonts w:hint="cs"/>
          <w:sz w:val="18"/>
          <w:szCs w:val="18"/>
          <w:rtl/>
        </w:rPr>
        <w:t>)</w:t>
      </w:r>
      <w:r>
        <w:rPr>
          <w:rFonts w:hint="cs"/>
          <w:rtl/>
        </w:rPr>
        <w:t xml:space="preserve">, והיא לא </w:t>
      </w:r>
      <w:r w:rsidRPr="00E617BF">
        <w:rPr>
          <w:rFonts w:hint="cs"/>
          <w:sz w:val="18"/>
          <w:szCs w:val="18"/>
          <w:rtl/>
        </w:rPr>
        <w:t>(וכן להפך)</w:t>
      </w:r>
      <w:r>
        <w:rPr>
          <w:rFonts w:hint="cs"/>
          <w:rtl/>
        </w:rPr>
        <w:t>.</w:t>
      </w:r>
    </w:p>
    <w:p w14:paraId="0585D330" w14:textId="77777777" w:rsidR="002E5BAD" w:rsidRPr="00E617BF" w:rsidRDefault="002E5BAD" w:rsidP="002E5BAD">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557191">
        <w:rPr>
          <w:rFonts w:cs="Arial"/>
          <w:rtl/>
        </w:rPr>
        <w:t xml:space="preserve"> הכל מעלין לארץ ישראל ואין הכל מוציאין, הכל מעלין לירושלים ואין הכל מוציאין, אחד האנשים ואחד הנשים</w:t>
      </w:r>
      <w:r>
        <w:rPr>
          <w:rFonts w:hint="cs"/>
          <w:rtl/>
        </w:rPr>
        <w:t xml:space="preserve">...     </w:t>
      </w:r>
      <w:r w:rsidRPr="00E617BF">
        <w:rPr>
          <w:rFonts w:hint="cs"/>
          <w:u w:val="double"/>
          <w:rtl/>
        </w:rPr>
        <w:t>גמ'</w:t>
      </w:r>
      <w:r>
        <w:rPr>
          <w:rFonts w:hint="cs"/>
          <w:rtl/>
        </w:rPr>
        <w:t>:</w:t>
      </w:r>
      <w:r w:rsidRPr="00E617BF">
        <w:rPr>
          <w:rtl/>
        </w:rPr>
        <w:t xml:space="preserve"> </w:t>
      </w:r>
      <w:r w:rsidRPr="00E617BF">
        <w:rPr>
          <w:rFonts w:cs="Arial"/>
          <w:rtl/>
        </w:rPr>
        <w:t>ת"ר: הוא אומר לעלות, והיא אומרת שלא לעלות - כופין אותה לעלות, ואם לאו - תצא בלא כתובה, היא אומרת לעלות, והוא אומר שלא לעלות - כופין אותו לעלות, ואם לאו - יוציא ויתן כתובה. היא אומרת לצאת, והוא אומר שלא לצאת - כופין אותה שלא לצאת, ואם לאו - תצא בלא כתובה; הוא אומר לצאת, והיא אומרת שלא לצאת - כופין אותו שלא לצאת, ואם לאו - יוציא ויתן כתובה.</w:t>
      </w:r>
    </w:p>
    <w:p w14:paraId="7A037FB2" w14:textId="77777777" w:rsidR="002E5BAD" w:rsidRPr="00E617BF" w:rsidRDefault="002E5BAD" w:rsidP="002E5BAD">
      <w:pPr>
        <w:rPr>
          <w:u w:val="single"/>
          <w:rtl/>
        </w:rPr>
      </w:pPr>
      <w:r w:rsidRPr="00E617BF">
        <w:rPr>
          <w:rFonts w:hint="cs"/>
          <w:u w:val="single"/>
          <w:rtl/>
        </w:rPr>
        <w:t xml:space="preserve">הוא רוצה לעלות לארץ ישראל </w:t>
      </w:r>
      <w:r w:rsidRPr="00E617BF">
        <w:rPr>
          <w:rFonts w:hint="cs"/>
          <w:sz w:val="18"/>
          <w:szCs w:val="18"/>
          <w:u w:val="single"/>
          <w:rtl/>
        </w:rPr>
        <w:t>(או ירושלים)</w:t>
      </w:r>
      <w:r w:rsidRPr="00E617BF">
        <w:rPr>
          <w:rFonts w:hint="cs"/>
          <w:u w:val="single"/>
          <w:rtl/>
        </w:rPr>
        <w:t xml:space="preserve">, והיא לא </w:t>
      </w:r>
      <w:r w:rsidRPr="00E617BF">
        <w:rPr>
          <w:rFonts w:hint="cs"/>
          <w:sz w:val="18"/>
          <w:szCs w:val="18"/>
          <w:u w:val="single"/>
          <w:rtl/>
        </w:rPr>
        <w:t>(וכן להפך)</w:t>
      </w:r>
      <w:r w:rsidRPr="00E617BF">
        <w:rPr>
          <w:rFonts w:hint="cs"/>
          <w:u w:val="single"/>
          <w:rtl/>
        </w:rPr>
        <w:t>:</w:t>
      </w:r>
    </w:p>
    <w:p w14:paraId="7346D6C2" w14:textId="77777777" w:rsidR="002E5BAD" w:rsidRDefault="002E5BAD" w:rsidP="002E5BAD">
      <w:pPr>
        <w:pStyle w:val="ab"/>
        <w:numPr>
          <w:ilvl w:val="0"/>
          <w:numId w:val="136"/>
        </w:numPr>
        <w:rPr>
          <w:rFonts w:cs="Arial"/>
        </w:rPr>
      </w:pPr>
      <w:r w:rsidRPr="00557191">
        <w:rPr>
          <w:rFonts w:cs="Arial" w:hint="cs"/>
          <w:rtl/>
        </w:rPr>
        <w:t xml:space="preserve">טור- </w:t>
      </w:r>
      <w:r w:rsidRPr="00557191">
        <w:rPr>
          <w:rFonts w:cs="Arial"/>
          <w:rtl/>
        </w:rPr>
        <w:t>אמר האיש לעלות לא"י</w:t>
      </w:r>
      <w:r>
        <w:rPr>
          <w:rFonts w:cs="Arial" w:hint="cs"/>
          <w:rtl/>
        </w:rPr>
        <w:t>,</w:t>
      </w:r>
      <w:r w:rsidRPr="00557191">
        <w:rPr>
          <w:rFonts w:cs="Arial"/>
          <w:rtl/>
        </w:rPr>
        <w:t xml:space="preserve"> והיא אינה רוצה</w:t>
      </w:r>
      <w:r>
        <w:rPr>
          <w:rFonts w:cs="Arial" w:hint="cs"/>
          <w:rtl/>
        </w:rPr>
        <w:t>,</w:t>
      </w:r>
      <w:r w:rsidRPr="00557191">
        <w:rPr>
          <w:rFonts w:cs="Arial"/>
          <w:rtl/>
        </w:rPr>
        <w:t xml:space="preserve"> או שהיא שם ומבקשת לצאת </w:t>
      </w:r>
      <w:r>
        <w:rPr>
          <w:rFonts w:cs="Arial" w:hint="cs"/>
          <w:rtl/>
        </w:rPr>
        <w:t xml:space="preserve">- </w:t>
      </w:r>
      <w:r w:rsidRPr="00557191">
        <w:rPr>
          <w:rFonts w:cs="Arial"/>
          <w:rtl/>
        </w:rPr>
        <w:t>תצא בלא כתובה</w:t>
      </w:r>
      <w:r>
        <w:rPr>
          <w:rFonts w:cs="Arial" w:hint="cs"/>
          <w:rtl/>
        </w:rPr>
        <w:t>.</w:t>
      </w:r>
      <w:r w:rsidRPr="00557191">
        <w:rPr>
          <w:rFonts w:cs="Arial"/>
          <w:rtl/>
        </w:rPr>
        <w:t xml:space="preserve"> האשה שאומרת לעלות</w:t>
      </w:r>
      <w:r>
        <w:rPr>
          <w:rFonts w:cs="Arial" w:hint="cs"/>
          <w:rtl/>
        </w:rPr>
        <w:t>,</w:t>
      </w:r>
      <w:r w:rsidRPr="00557191">
        <w:rPr>
          <w:rFonts w:cs="Arial"/>
          <w:rtl/>
        </w:rPr>
        <w:t xml:space="preserve"> וה</w:t>
      </w:r>
      <w:r>
        <w:rPr>
          <w:rFonts w:cs="Arial" w:hint="cs"/>
          <w:rtl/>
        </w:rPr>
        <w:t>ו</w:t>
      </w:r>
      <w:r w:rsidRPr="00557191">
        <w:rPr>
          <w:rFonts w:cs="Arial"/>
          <w:rtl/>
        </w:rPr>
        <w:t>א אינו רוצה</w:t>
      </w:r>
      <w:r>
        <w:rPr>
          <w:rFonts w:cs="Arial" w:hint="cs"/>
          <w:rtl/>
        </w:rPr>
        <w:t>,</w:t>
      </w:r>
      <w:r w:rsidRPr="00557191">
        <w:rPr>
          <w:rFonts w:cs="Arial"/>
          <w:rtl/>
        </w:rPr>
        <w:t xml:space="preserve"> או שרוצה לצאת משם</w:t>
      </w:r>
      <w:r>
        <w:rPr>
          <w:rFonts w:cs="Arial" w:hint="cs"/>
          <w:rtl/>
        </w:rPr>
        <w:t xml:space="preserve"> -</w:t>
      </w:r>
      <w:r w:rsidRPr="00557191">
        <w:rPr>
          <w:rFonts w:cs="Arial"/>
          <w:rtl/>
        </w:rPr>
        <w:t xml:space="preserve"> יוציא ויתן כתובה</w:t>
      </w:r>
      <w:r>
        <w:rPr>
          <w:rFonts w:cs="Arial" w:hint="cs"/>
          <w:rtl/>
        </w:rPr>
        <w:t>.</w:t>
      </w:r>
      <w:r w:rsidRPr="00557191">
        <w:rPr>
          <w:rFonts w:cs="Arial"/>
          <w:rtl/>
        </w:rPr>
        <w:t xml:space="preserve"> וה"ה נמי לכ</w:t>
      </w:r>
      <w:r>
        <w:rPr>
          <w:rFonts w:cs="Arial" w:hint="cs"/>
          <w:rtl/>
        </w:rPr>
        <w:t xml:space="preserve">ל </w:t>
      </w:r>
      <w:r w:rsidRPr="00557191">
        <w:rPr>
          <w:rFonts w:cs="Arial"/>
          <w:rtl/>
        </w:rPr>
        <w:t>מ</w:t>
      </w:r>
      <w:r>
        <w:rPr>
          <w:rFonts w:cs="Arial" w:hint="cs"/>
          <w:rtl/>
        </w:rPr>
        <w:t>קום</w:t>
      </w:r>
      <w:r w:rsidRPr="00557191">
        <w:rPr>
          <w:rFonts w:cs="Arial"/>
          <w:rtl/>
        </w:rPr>
        <w:t xml:space="preserve"> מא</w:t>
      </w:r>
      <w:r>
        <w:rPr>
          <w:rFonts w:cs="Arial" w:hint="cs"/>
          <w:rtl/>
        </w:rPr>
        <w:t xml:space="preserve">רץ </w:t>
      </w:r>
      <w:r w:rsidRPr="00557191">
        <w:rPr>
          <w:rFonts w:cs="Arial"/>
          <w:rtl/>
        </w:rPr>
        <w:t>י</w:t>
      </w:r>
      <w:r>
        <w:rPr>
          <w:rFonts w:cs="Arial" w:hint="cs"/>
          <w:rtl/>
        </w:rPr>
        <w:t>שראל</w:t>
      </w:r>
      <w:r w:rsidRPr="00557191">
        <w:rPr>
          <w:rFonts w:cs="Arial"/>
          <w:rtl/>
        </w:rPr>
        <w:t xml:space="preserve"> לירושלים</w:t>
      </w:r>
      <w:r>
        <w:rPr>
          <w:rFonts w:cs="Arial" w:hint="cs"/>
          <w:rtl/>
        </w:rPr>
        <w:t>,</w:t>
      </w:r>
      <w:r w:rsidRPr="00557191">
        <w:rPr>
          <w:rFonts w:cs="Arial"/>
          <w:rtl/>
        </w:rPr>
        <w:t xml:space="preserve"> שהכל מעלין מא</w:t>
      </w:r>
      <w:r>
        <w:rPr>
          <w:rFonts w:cs="Arial" w:hint="cs"/>
          <w:rtl/>
        </w:rPr>
        <w:t xml:space="preserve">רץ </w:t>
      </w:r>
      <w:r w:rsidRPr="00557191">
        <w:rPr>
          <w:rFonts w:cs="Arial"/>
          <w:rtl/>
        </w:rPr>
        <w:t>י</w:t>
      </w:r>
      <w:r>
        <w:rPr>
          <w:rFonts w:cs="Arial" w:hint="cs"/>
          <w:rtl/>
        </w:rPr>
        <w:t>שראל</w:t>
      </w:r>
      <w:r w:rsidRPr="00557191">
        <w:rPr>
          <w:rFonts w:cs="Arial"/>
          <w:rtl/>
        </w:rPr>
        <w:t xml:space="preserve"> לירושלים ואין מוציאין משם</w:t>
      </w:r>
      <w:r w:rsidRPr="00557191">
        <w:rPr>
          <w:rFonts w:cs="Arial" w:hint="cs"/>
          <w:rtl/>
        </w:rPr>
        <w:t>.</w:t>
      </w:r>
      <w:r>
        <w:rPr>
          <w:rFonts w:cs="Arial" w:hint="cs"/>
          <w:rtl/>
        </w:rPr>
        <w:t xml:space="preserve"> </w:t>
      </w:r>
      <w:r w:rsidRPr="00A73B2D">
        <w:rPr>
          <w:rFonts w:hint="cs"/>
          <w:color w:val="E36C0A" w:themeColor="accent6" w:themeShade="BF"/>
          <w:rtl/>
        </w:rPr>
        <w:t>(וכ"פ בשו"ע</w:t>
      </w:r>
      <w:r>
        <w:rPr>
          <w:rFonts w:hint="cs"/>
          <w:color w:val="E36C0A" w:themeColor="accent6" w:themeShade="BF"/>
          <w:rtl/>
        </w:rPr>
        <w:t>)</w:t>
      </w:r>
    </w:p>
    <w:p w14:paraId="7FA9BD7E" w14:textId="77777777" w:rsidR="002E5BAD" w:rsidRPr="002B09CF" w:rsidRDefault="002E5BAD" w:rsidP="002E5BAD">
      <w:pPr>
        <w:ind w:left="360"/>
        <w:rPr>
          <w:rFonts w:cs="Arial"/>
          <w:u w:val="dotted"/>
        </w:rPr>
      </w:pPr>
      <w:r w:rsidRPr="002B09CF">
        <w:rPr>
          <w:rFonts w:cs="Arial" w:hint="cs"/>
          <w:u w:val="dotted"/>
          <w:rtl/>
        </w:rPr>
        <w:t>כשיוצאת בלא כתובה - האם יש לה תוספת כתובה</w:t>
      </w:r>
      <w:r>
        <w:rPr>
          <w:rFonts w:cs="Arial" w:hint="cs"/>
          <w:u w:val="dotted"/>
          <w:rtl/>
        </w:rPr>
        <w:t>/</w:t>
      </w:r>
      <w:r w:rsidRPr="002B09CF">
        <w:rPr>
          <w:rFonts w:cs="Arial" w:hint="cs"/>
          <w:u w:val="dotted"/>
          <w:rtl/>
        </w:rPr>
        <w:t>נדוניא</w:t>
      </w:r>
      <w:r>
        <w:rPr>
          <w:rFonts w:cs="Arial" w:hint="cs"/>
          <w:u w:val="dotted"/>
          <w:rtl/>
        </w:rPr>
        <w:t>/נכסי צאן ברזל</w:t>
      </w:r>
      <w:r w:rsidRPr="002B09CF">
        <w:rPr>
          <w:rFonts w:cs="Arial" w:hint="cs"/>
          <w:u w:val="dotted"/>
          <w:rtl/>
        </w:rPr>
        <w:t xml:space="preserve"> וכ</w:t>
      </w:r>
      <w:r>
        <w:rPr>
          <w:rFonts w:cs="Arial" w:hint="cs"/>
          <w:u w:val="dotted"/>
          <w:rtl/>
        </w:rPr>
        <w:t>ו</w:t>
      </w:r>
      <w:r w:rsidRPr="002B09CF">
        <w:rPr>
          <w:rFonts w:cs="Arial" w:hint="cs"/>
          <w:u w:val="dotted"/>
          <w:rtl/>
        </w:rPr>
        <w:t>':</w:t>
      </w:r>
    </w:p>
    <w:p w14:paraId="2DD79611" w14:textId="77777777" w:rsidR="002E5BAD" w:rsidRDefault="002E5BAD" w:rsidP="002E5BAD">
      <w:pPr>
        <w:pStyle w:val="ab"/>
        <w:numPr>
          <w:ilvl w:val="0"/>
          <w:numId w:val="136"/>
        </w:numPr>
        <w:rPr>
          <w:rFonts w:cs="Arial"/>
        </w:rPr>
      </w:pPr>
      <w:r w:rsidRPr="002B09CF">
        <w:rPr>
          <w:rFonts w:cs="Arial"/>
          <w:rtl/>
        </w:rPr>
        <w:t>ר"ן</w:t>
      </w:r>
      <w:r w:rsidRPr="002B09CF">
        <w:rPr>
          <w:rFonts w:cs="Arial"/>
          <w:sz w:val="16"/>
          <w:szCs w:val="16"/>
          <w:rtl/>
        </w:rPr>
        <w:t xml:space="preserve"> (סה: ד"ה גמ' לאיתויי)</w:t>
      </w:r>
      <w:r>
        <w:rPr>
          <w:rFonts w:cs="Arial" w:hint="cs"/>
          <w:rtl/>
        </w:rPr>
        <w:t>-</w:t>
      </w:r>
      <w:r w:rsidRPr="002B09CF">
        <w:rPr>
          <w:rFonts w:cs="Arial"/>
          <w:rtl/>
        </w:rPr>
        <w:t xml:space="preserve"> בלא כתובה והוא הדין לתוספת</w:t>
      </w:r>
      <w:r>
        <w:rPr>
          <w:rFonts w:cs="Arial" w:hint="cs"/>
          <w:rtl/>
        </w:rPr>
        <w:t>.</w:t>
      </w:r>
      <w:r w:rsidRPr="002B09CF">
        <w:rPr>
          <w:rFonts w:cs="Arial"/>
          <w:rtl/>
        </w:rPr>
        <w:t xml:space="preserve"> ויש אומרים דאפילו נדוניא לית לה</w:t>
      </w:r>
      <w:r>
        <w:rPr>
          <w:rFonts w:cs="Arial" w:hint="cs"/>
          <w:rtl/>
        </w:rPr>
        <w:t>.</w:t>
      </w:r>
      <w:r w:rsidRPr="002B09CF">
        <w:rPr>
          <w:rFonts w:cs="Arial"/>
          <w:rtl/>
        </w:rPr>
        <w:t xml:space="preserve"> ומיהו מה שהוא קיים ממנה משמע דאית לה</w:t>
      </w:r>
      <w:r>
        <w:rPr>
          <w:rFonts w:cs="Arial" w:hint="cs"/>
          <w:rtl/>
        </w:rPr>
        <w:t>,</w:t>
      </w:r>
      <w:r w:rsidRPr="002B09CF">
        <w:rPr>
          <w:rFonts w:cs="Arial"/>
          <w:rtl/>
        </w:rPr>
        <w:t xml:space="preserve"> דלא גרעה מזינתה דאמרינן </w:t>
      </w:r>
      <w:r w:rsidRPr="00134738">
        <w:rPr>
          <w:rFonts w:cs="Arial"/>
          <w:sz w:val="16"/>
          <w:szCs w:val="16"/>
          <w:rtl/>
        </w:rPr>
        <w:t xml:space="preserve">(כתובות </w:t>
      </w:r>
      <w:r w:rsidRPr="00134738">
        <w:rPr>
          <w:rFonts w:cs="Arial" w:hint="cs"/>
          <w:sz w:val="16"/>
          <w:szCs w:val="16"/>
          <w:rtl/>
        </w:rPr>
        <w:t>ק</w:t>
      </w:r>
      <w:r w:rsidRPr="00134738">
        <w:rPr>
          <w:rFonts w:cs="Arial"/>
          <w:sz w:val="16"/>
          <w:szCs w:val="16"/>
          <w:rtl/>
        </w:rPr>
        <w:t>א</w:t>
      </w:r>
      <w:r w:rsidRPr="00134738">
        <w:rPr>
          <w:rFonts w:cs="Arial" w:hint="cs"/>
          <w:sz w:val="16"/>
          <w:szCs w:val="16"/>
          <w:rtl/>
        </w:rPr>
        <w:t>.</w:t>
      </w:r>
      <w:r w:rsidRPr="00134738">
        <w:rPr>
          <w:rFonts w:cs="Arial"/>
          <w:sz w:val="16"/>
          <w:szCs w:val="16"/>
          <w:rtl/>
        </w:rPr>
        <w:t>)</w:t>
      </w:r>
      <w:r w:rsidRPr="002B09CF">
        <w:rPr>
          <w:rFonts w:cs="Arial"/>
          <w:rtl/>
        </w:rPr>
        <w:t xml:space="preserve"> דלא הפסידה בלאותיה הקיימין</w:t>
      </w:r>
      <w:r w:rsidRPr="002B09CF">
        <w:rPr>
          <w:rFonts w:cs="Arial" w:hint="cs"/>
          <w:rtl/>
        </w:rPr>
        <w:t>.</w:t>
      </w:r>
    </w:p>
    <w:p w14:paraId="42A4D76D" w14:textId="77777777" w:rsidR="002E5BAD" w:rsidRPr="009941D4" w:rsidRDefault="002E5BAD" w:rsidP="002E5BAD">
      <w:pPr>
        <w:pStyle w:val="ab"/>
        <w:numPr>
          <w:ilvl w:val="0"/>
          <w:numId w:val="136"/>
        </w:numPr>
        <w:rPr>
          <w:rFonts w:cs="Arial"/>
        </w:rPr>
      </w:pPr>
      <w:r>
        <w:rPr>
          <w:rFonts w:cs="Arial" w:hint="cs"/>
          <w:rtl/>
        </w:rPr>
        <w:lastRenderedPageBreak/>
        <w:t xml:space="preserve">מהר"ם </w:t>
      </w:r>
      <w:r>
        <w:rPr>
          <w:rFonts w:cs="Arial" w:hint="cs"/>
          <w:sz w:val="16"/>
          <w:szCs w:val="16"/>
          <w:rtl/>
        </w:rPr>
        <w:t>(ד"ק סי' קצט, הביאו המרדכי [כתובות סי' רפ])</w:t>
      </w:r>
      <w:r>
        <w:rPr>
          <w:rFonts w:cs="Arial" w:hint="cs"/>
          <w:rtl/>
        </w:rPr>
        <w:t xml:space="preserve">- </w:t>
      </w:r>
      <w:r w:rsidRPr="00E665DD">
        <w:rPr>
          <w:rFonts w:cs="Arial"/>
          <w:rtl/>
        </w:rPr>
        <w:t>ובעניותינו</w:t>
      </w:r>
      <w:r>
        <w:rPr>
          <w:rFonts w:cs="Arial" w:hint="cs"/>
          <w:rtl/>
        </w:rPr>
        <w:t xml:space="preserve"> </w:t>
      </w:r>
      <w:r w:rsidRPr="00E665DD">
        <w:rPr>
          <w:rFonts w:cs="Arial"/>
          <w:rtl/>
        </w:rPr>
        <w:t>נ</w:t>
      </w:r>
      <w:r>
        <w:rPr>
          <w:rFonts w:cs="Arial" w:hint="cs"/>
          <w:rtl/>
        </w:rPr>
        <w:t>"ל</w:t>
      </w:r>
      <w:r w:rsidRPr="00E665DD">
        <w:rPr>
          <w:rFonts w:cs="Arial"/>
          <w:rtl/>
        </w:rPr>
        <w:t xml:space="preserve"> דנדוניא ונכסי מלוג ודאי אית לה אי דאיתנהו, דלא גרעה מממאנת ואיילונית דאמרינן עלייהו ס</w:t>
      </w:r>
      <w:r>
        <w:rPr>
          <w:rFonts w:cs="Arial" w:hint="cs"/>
          <w:rtl/>
        </w:rPr>
        <w:t>"</w:t>
      </w:r>
      <w:r w:rsidRPr="00E665DD">
        <w:rPr>
          <w:rFonts w:cs="Arial"/>
          <w:rtl/>
        </w:rPr>
        <w:t>פ</w:t>
      </w:r>
      <w:r>
        <w:rPr>
          <w:rFonts w:cs="Arial" w:hint="cs"/>
          <w:rtl/>
        </w:rPr>
        <w:t xml:space="preserve"> </w:t>
      </w:r>
      <w:r w:rsidRPr="00E665DD">
        <w:rPr>
          <w:rFonts w:cs="Arial"/>
          <w:rtl/>
        </w:rPr>
        <w:t xml:space="preserve">אלמנה </w:t>
      </w:r>
      <w:r>
        <w:rPr>
          <w:rFonts w:cs="Arial" w:hint="cs"/>
          <w:rtl/>
        </w:rPr>
        <w:t>(</w:t>
      </w:r>
      <w:r w:rsidRPr="00E665DD">
        <w:rPr>
          <w:rFonts w:cs="Arial"/>
          <w:rtl/>
        </w:rPr>
        <w:t>שם קא</w:t>
      </w:r>
      <w:r>
        <w:rPr>
          <w:rFonts w:cs="Arial" w:hint="cs"/>
          <w:rtl/>
        </w:rPr>
        <w:t>.)</w:t>
      </w:r>
      <w:r w:rsidRPr="00E665DD">
        <w:rPr>
          <w:rFonts w:cs="Arial"/>
          <w:rtl/>
        </w:rPr>
        <w:t xml:space="preserve"> אי דאיתנהו אידי ואידי שקלה.</w:t>
      </w:r>
      <w:r>
        <w:rPr>
          <w:rFonts w:cs="Arial" w:hint="cs"/>
          <w:rtl/>
        </w:rPr>
        <w:t>..</w:t>
      </w:r>
      <w:r w:rsidRPr="00E665DD">
        <w:rPr>
          <w:rFonts w:cs="Arial"/>
          <w:rtl/>
        </w:rPr>
        <w:t xml:space="preserve"> ועוד דאפילו במורדת דיינינן הכי בדינא דתרתין מתיבתא כמו שכתב בספר האלפס בפרק אף על פי </w:t>
      </w:r>
      <w:r>
        <w:rPr>
          <w:rFonts w:cs="Arial" w:hint="cs"/>
          <w:rtl/>
        </w:rPr>
        <w:t>(</w:t>
      </w:r>
      <w:r w:rsidRPr="00E665DD">
        <w:rPr>
          <w:rFonts w:cs="Arial"/>
          <w:rtl/>
        </w:rPr>
        <w:t>שם כז</w:t>
      </w:r>
      <w:r>
        <w:rPr>
          <w:rFonts w:cs="Arial" w:hint="cs"/>
          <w:rtl/>
        </w:rPr>
        <w:t>.)</w:t>
      </w:r>
      <w:r w:rsidRPr="00E665DD">
        <w:rPr>
          <w:rFonts w:cs="Arial"/>
          <w:rtl/>
        </w:rPr>
        <w:t xml:space="preserve"> דשקלה כל מה שהכניסה לו אי איתיה בעין. ואם הכניסה לו מאה זקוקים ולא שמה לו בכתובה לנדוניא אלא חמישים, מה ששמה לו זהו נכסי צאן ברזל, ומה שלא שמה לו זהו נכסי מלוג. ואי דאיתנהו אידי ואידי שקלה ושקלה כל המאה זקוקים. ואי ליתנהו פירוש שנגנבו או אבדו, נ"ל דנכסי צאן ברזל שהוא חייב באחריותם שקלה וחייב לתן לה משלו, אבל נכסי מלוג דלא מחייב באחריותן לא מחייב לשלם לה משלו, וכן כתב רב אלפס </w:t>
      </w:r>
      <w:r w:rsidRPr="00E665DD">
        <w:rPr>
          <w:rFonts w:cs="Arial" w:hint="cs"/>
          <w:rtl/>
        </w:rPr>
        <w:t>(</w:t>
      </w:r>
      <w:r w:rsidRPr="00E665DD">
        <w:rPr>
          <w:rFonts w:cs="Arial"/>
          <w:rtl/>
        </w:rPr>
        <w:t>שם</w:t>
      </w:r>
      <w:r w:rsidRPr="00E665DD">
        <w:rPr>
          <w:rFonts w:cs="Arial" w:hint="cs"/>
          <w:rtl/>
        </w:rPr>
        <w:t>)</w:t>
      </w:r>
      <w:r w:rsidRPr="00E665DD">
        <w:rPr>
          <w:rFonts w:cs="Arial"/>
          <w:rtl/>
        </w:rPr>
        <w:t xml:space="preserve"> בדינא דמורדת. ולעניין תוספת נ"ל שאין לה, כדאמרינן ס</w:t>
      </w:r>
      <w:r>
        <w:rPr>
          <w:rFonts w:cs="Arial" w:hint="cs"/>
          <w:rtl/>
        </w:rPr>
        <w:t>"פ</w:t>
      </w:r>
      <w:r w:rsidRPr="00E665DD">
        <w:rPr>
          <w:rFonts w:cs="Arial"/>
          <w:rtl/>
        </w:rPr>
        <w:t xml:space="preserve"> אלמנה </w:t>
      </w:r>
      <w:r>
        <w:rPr>
          <w:rFonts w:cs="Arial" w:hint="cs"/>
          <w:rtl/>
        </w:rPr>
        <w:t>(</w:t>
      </w:r>
      <w:r w:rsidRPr="00E665DD">
        <w:rPr>
          <w:rFonts w:cs="Arial"/>
          <w:rtl/>
        </w:rPr>
        <w:t>שם קא</w:t>
      </w:r>
      <w:r>
        <w:rPr>
          <w:rFonts w:cs="Arial" w:hint="cs"/>
          <w:rtl/>
        </w:rPr>
        <w:t>.)</w:t>
      </w:r>
      <w:r w:rsidRPr="00E665DD">
        <w:rPr>
          <w:rFonts w:cs="Arial"/>
          <w:rtl/>
        </w:rPr>
        <w:t xml:space="preserve"> נשים שאמרו חכמים שאין להם כתובה כגון ממאנת וחברותיה, אין להם מנה ומאתים אבל תוספת יש להם</w:t>
      </w:r>
      <w:r>
        <w:rPr>
          <w:rFonts w:cs="Arial" w:hint="cs"/>
          <w:rtl/>
        </w:rPr>
        <w:t>.</w:t>
      </w:r>
      <w:r w:rsidRPr="00E665DD">
        <w:rPr>
          <w:rFonts w:cs="Arial"/>
          <w:rtl/>
        </w:rPr>
        <w:t xml:space="preserve"> נשים שאמרו יוצאות שלא בכתובה כגון עוברת על דת וחברותיה, אין להם תוספת וכל שכן מנה ומאתים</w:t>
      </w:r>
      <w:r>
        <w:rPr>
          <w:rFonts w:cs="Arial" w:hint="cs"/>
          <w:rtl/>
        </w:rPr>
        <w:t>.</w:t>
      </w:r>
      <w:r w:rsidRPr="00E665DD">
        <w:rPr>
          <w:rFonts w:cs="Arial"/>
          <w:rtl/>
        </w:rPr>
        <w:t xml:space="preserve"> פירוש דלשון </w:t>
      </w:r>
      <w:r>
        <w:rPr>
          <w:rFonts w:cs="Arial" w:hint="cs"/>
          <w:rtl/>
        </w:rPr>
        <w:t>'</w:t>
      </w:r>
      <w:r w:rsidRPr="00E665DD">
        <w:rPr>
          <w:rFonts w:cs="Arial"/>
          <w:rtl/>
        </w:rPr>
        <w:t>יוצאות שלא בכתובה</w:t>
      </w:r>
      <w:r>
        <w:rPr>
          <w:rFonts w:cs="Arial" w:hint="cs"/>
          <w:rtl/>
        </w:rPr>
        <w:t>'</w:t>
      </w:r>
      <w:r w:rsidRPr="00E665DD">
        <w:rPr>
          <w:rFonts w:cs="Arial"/>
          <w:rtl/>
        </w:rPr>
        <w:t xml:space="preserve"> משמע שכל תורת גבייה הפקיעו מהן</w:t>
      </w:r>
      <w:r>
        <w:rPr>
          <w:rFonts w:cs="Arial" w:hint="cs"/>
          <w:rtl/>
        </w:rPr>
        <w:t xml:space="preserve">, </w:t>
      </w:r>
      <w:r w:rsidRPr="00E665DD">
        <w:rPr>
          <w:rFonts w:cs="Arial"/>
          <w:rtl/>
        </w:rPr>
        <w:t>דלא גביא משל בעל כלום</w:t>
      </w:r>
      <w:r>
        <w:rPr>
          <w:rFonts w:cs="Arial" w:hint="cs"/>
          <w:rtl/>
        </w:rPr>
        <w:t>...</w:t>
      </w:r>
      <w:r w:rsidRPr="00E665DD">
        <w:rPr>
          <w:rFonts w:cs="Arial"/>
          <w:rtl/>
        </w:rPr>
        <w:t xml:space="preserve"> </w:t>
      </w:r>
      <w:r w:rsidRPr="009941D4">
        <w:rPr>
          <w:rFonts w:cs="Arial"/>
          <w:rtl/>
        </w:rPr>
        <w:t>וכל מה שכתבנו דאין לה מנה ומאתים ותוספת, הני מילי אם ילך לארץ ישראל ולא יחזור, אבל אם יחזור להתיישב בחוצה לארץ אפילו לאחר כמה שנים</w:t>
      </w:r>
      <w:r>
        <w:rPr>
          <w:rFonts w:cs="Arial" w:hint="cs"/>
          <w:rtl/>
        </w:rPr>
        <w:t>,</w:t>
      </w:r>
      <w:r w:rsidRPr="009941D4">
        <w:rPr>
          <w:rFonts w:cs="Arial"/>
          <w:rtl/>
        </w:rPr>
        <w:t xml:space="preserve"> אם תהיה אז בחיים </w:t>
      </w:r>
      <w:r>
        <w:rPr>
          <w:rFonts w:cs="Arial" w:hint="cs"/>
          <w:rtl/>
        </w:rPr>
        <w:t xml:space="preserve">- </w:t>
      </w:r>
      <w:r w:rsidRPr="009941D4">
        <w:rPr>
          <w:rFonts w:cs="Arial"/>
          <w:rtl/>
        </w:rPr>
        <w:t>תגבה ממנו מנה ומאתים ותוספת</w:t>
      </w:r>
      <w:r>
        <w:rPr>
          <w:rFonts w:cs="Arial" w:hint="cs"/>
          <w:rtl/>
        </w:rPr>
        <w:t>.</w:t>
      </w:r>
      <w:r w:rsidRPr="009941D4">
        <w:rPr>
          <w:rFonts w:cs="Arial"/>
          <w:rtl/>
        </w:rPr>
        <w:t xml:space="preserve"> ואם ח"ו תמות היא קודם </w:t>
      </w:r>
      <w:r>
        <w:rPr>
          <w:rFonts w:cs="Arial" w:hint="cs"/>
          <w:rtl/>
        </w:rPr>
        <w:t xml:space="preserve">- </w:t>
      </w:r>
      <w:r w:rsidRPr="009941D4">
        <w:rPr>
          <w:rFonts w:cs="Arial"/>
          <w:rtl/>
        </w:rPr>
        <w:t>יגבו יורשיה</w:t>
      </w:r>
      <w:r w:rsidRPr="009941D4">
        <w:rPr>
          <w:rFonts w:cs="Arial" w:hint="cs"/>
          <w:rtl/>
        </w:rPr>
        <w:t>.</w:t>
      </w:r>
      <w:r w:rsidRPr="005B353B">
        <w:rPr>
          <w:rFonts w:cs="Arial" w:hint="cs"/>
          <w:color w:val="00B0F0"/>
          <w:rtl/>
        </w:rPr>
        <w:t xml:space="preserve"> (וכ"פ הרמ"א)</w:t>
      </w:r>
    </w:p>
    <w:p w14:paraId="48E954DA" w14:textId="77777777" w:rsidR="002E5BAD" w:rsidRPr="00730AB6" w:rsidRDefault="002E5BAD" w:rsidP="002E5BAD">
      <w:pPr>
        <w:rPr>
          <w:u w:val="single"/>
        </w:rPr>
      </w:pPr>
      <w:r w:rsidRPr="00730AB6">
        <w:rPr>
          <w:rFonts w:hint="cs"/>
          <w:u w:val="single"/>
          <w:rtl/>
        </w:rPr>
        <w:t xml:space="preserve">נישאו במקום האשה על תנאי שאחר הנישואין יחזרו למקום הבעל, אבל כתבו בכתובה </w:t>
      </w:r>
      <w:r>
        <w:rPr>
          <w:rFonts w:hint="cs"/>
          <w:u w:val="single"/>
          <w:rtl/>
        </w:rPr>
        <w:t>'ו</w:t>
      </w:r>
      <w:r w:rsidRPr="00730AB6">
        <w:rPr>
          <w:rFonts w:hint="cs"/>
          <w:u w:val="single"/>
          <w:rtl/>
        </w:rPr>
        <w:t>לא יוציאנה ממדינה זו</w:t>
      </w:r>
      <w:r>
        <w:rPr>
          <w:rFonts w:hint="cs"/>
          <w:u w:val="single"/>
          <w:rtl/>
        </w:rPr>
        <w:t>...'</w:t>
      </w:r>
      <w:r w:rsidRPr="00730AB6">
        <w:rPr>
          <w:rFonts w:hint="cs"/>
          <w:u w:val="single"/>
          <w:rtl/>
        </w:rPr>
        <w:t>:</w:t>
      </w:r>
    </w:p>
    <w:p w14:paraId="3A690A62" w14:textId="77777777" w:rsidR="002E5BAD" w:rsidRDefault="002E5BAD" w:rsidP="002E5BAD">
      <w:pPr>
        <w:pStyle w:val="ab"/>
        <w:numPr>
          <w:ilvl w:val="0"/>
          <w:numId w:val="136"/>
        </w:numPr>
        <w:rPr>
          <w:rFonts w:cs="Arial"/>
        </w:rPr>
      </w:pPr>
      <w:r w:rsidRPr="00557191">
        <w:rPr>
          <w:rFonts w:cs="Arial"/>
          <w:rtl/>
        </w:rPr>
        <w:t>רא"ש</w:t>
      </w:r>
      <w:r w:rsidRPr="00557191">
        <w:rPr>
          <w:rFonts w:cs="Arial"/>
          <w:sz w:val="16"/>
          <w:szCs w:val="16"/>
          <w:rtl/>
        </w:rPr>
        <w:t xml:space="preserve"> </w:t>
      </w:r>
      <w:r w:rsidRPr="00557191">
        <w:rPr>
          <w:rFonts w:cs="Arial" w:hint="cs"/>
          <w:sz w:val="16"/>
          <w:szCs w:val="16"/>
          <w:rtl/>
        </w:rPr>
        <w:t>(</w:t>
      </w:r>
      <w:r w:rsidRPr="00557191">
        <w:rPr>
          <w:rFonts w:cs="Arial"/>
          <w:sz w:val="16"/>
          <w:szCs w:val="16"/>
          <w:rtl/>
        </w:rPr>
        <w:t>כלל לג סי</w:t>
      </w:r>
      <w:r w:rsidRPr="00557191">
        <w:rPr>
          <w:rFonts w:cs="Arial" w:hint="cs"/>
          <w:sz w:val="16"/>
          <w:szCs w:val="16"/>
          <w:rtl/>
        </w:rPr>
        <w:t>'</w:t>
      </w:r>
      <w:r w:rsidRPr="00557191">
        <w:rPr>
          <w:rFonts w:cs="Arial"/>
          <w:sz w:val="16"/>
          <w:szCs w:val="16"/>
          <w:rtl/>
        </w:rPr>
        <w:t xml:space="preserve"> ב</w:t>
      </w:r>
      <w:r w:rsidRPr="00557191">
        <w:rPr>
          <w:rFonts w:cs="Arial" w:hint="cs"/>
          <w:sz w:val="16"/>
          <w:szCs w:val="16"/>
          <w:rtl/>
        </w:rPr>
        <w:t xml:space="preserve">) </w:t>
      </w:r>
      <w:r>
        <w:rPr>
          <w:rFonts w:cs="Arial" w:hint="cs"/>
          <w:rtl/>
        </w:rPr>
        <w:t xml:space="preserve">וטור- </w:t>
      </w:r>
      <w:r w:rsidRPr="00557191">
        <w:rPr>
          <w:rFonts w:cs="Arial"/>
          <w:rtl/>
        </w:rPr>
        <w:t>ראובן שטוען כי קודם הנשואין התנה עם אשתו שישאנה במקומה על תנאי שאחר הנשואין תבא אליו לדור במקומו והיא מודה בזה התנאי אלא שאומרת אח"כ כשנשאה וכתב בכתובה שלא יוציאנה ממדינה זו למדינה זו בטל התנאי הראשון ואינה רוצה לצאת ממקומה</w:t>
      </w:r>
      <w:r>
        <w:rPr>
          <w:rFonts w:cs="Arial" w:hint="cs"/>
          <w:rtl/>
        </w:rPr>
        <w:t>.</w:t>
      </w:r>
      <w:r w:rsidRPr="00557191">
        <w:rPr>
          <w:rFonts w:cs="Arial"/>
          <w:rtl/>
        </w:rPr>
        <w:t xml:space="preserve"> תשובה</w:t>
      </w:r>
      <w:r>
        <w:rPr>
          <w:rFonts w:cs="Arial" w:hint="cs"/>
          <w:rtl/>
        </w:rPr>
        <w:t>-</w:t>
      </w:r>
      <w:r w:rsidRPr="00557191">
        <w:rPr>
          <w:rFonts w:cs="Arial"/>
          <w:rtl/>
        </w:rPr>
        <w:t xml:space="preserve"> לא נמחל תנאי הראשון בזה</w:t>
      </w:r>
      <w:r>
        <w:rPr>
          <w:rFonts w:cs="Arial" w:hint="cs"/>
          <w:rtl/>
        </w:rPr>
        <w:t>,</w:t>
      </w:r>
      <w:r w:rsidRPr="00557191">
        <w:rPr>
          <w:rFonts w:cs="Arial"/>
          <w:rtl/>
        </w:rPr>
        <w:t xml:space="preserve"> כי הכתובה נכתבה כמו שרגילין לכתוב בכל הכתובות</w:t>
      </w:r>
      <w:r>
        <w:rPr>
          <w:rFonts w:cs="Arial" w:hint="cs"/>
          <w:rtl/>
        </w:rPr>
        <w:t>,</w:t>
      </w:r>
      <w:r w:rsidRPr="00557191">
        <w:rPr>
          <w:rFonts w:cs="Arial"/>
          <w:rtl/>
        </w:rPr>
        <w:t xml:space="preserve"> ולא כיון לעקור תנאי שהתנה בפירוש</w:t>
      </w:r>
      <w:r>
        <w:rPr>
          <w:rFonts w:cs="Arial" w:hint="cs"/>
          <w:rtl/>
        </w:rPr>
        <w:t>.</w:t>
      </w:r>
      <w:r w:rsidRPr="00557191">
        <w:rPr>
          <w:rFonts w:cs="Arial"/>
          <w:rtl/>
        </w:rPr>
        <w:t xml:space="preserve"> ועוד שהוצרכה לתנאי הכתובה שכתב שלא יוציאנה ממקומה</w:t>
      </w:r>
      <w:r>
        <w:rPr>
          <w:rFonts w:cs="Arial" w:hint="cs"/>
          <w:rtl/>
        </w:rPr>
        <w:t>,</w:t>
      </w:r>
      <w:r w:rsidRPr="00557191">
        <w:rPr>
          <w:rFonts w:cs="Arial"/>
          <w:rtl/>
        </w:rPr>
        <w:t xml:space="preserve"> דהיינו מדינה שקבלה לדור</w:t>
      </w:r>
      <w:r>
        <w:rPr>
          <w:rFonts w:cs="Arial" w:hint="cs"/>
          <w:rtl/>
        </w:rPr>
        <w:t>,</w:t>
      </w:r>
      <w:r w:rsidRPr="00557191">
        <w:rPr>
          <w:rFonts w:cs="Arial"/>
          <w:rtl/>
        </w:rPr>
        <w:t xml:space="preserve"> ואדעתא דהכי ניסת לו שתדור שמה</w:t>
      </w:r>
      <w:r>
        <w:rPr>
          <w:rFonts w:cs="Arial" w:hint="cs"/>
          <w:rtl/>
        </w:rPr>
        <w:t>,</w:t>
      </w:r>
      <w:r w:rsidRPr="00557191">
        <w:rPr>
          <w:rFonts w:cs="Arial"/>
          <w:rtl/>
        </w:rPr>
        <w:t xml:space="preserve"> ולא יוכל להוציאה משם</w:t>
      </w:r>
      <w:r>
        <w:rPr>
          <w:rFonts w:cs="Arial" w:hint="cs"/>
          <w:rtl/>
        </w:rPr>
        <w:t>.</w:t>
      </w:r>
      <w:r w:rsidRPr="00557191">
        <w:rPr>
          <w:rFonts w:cs="Arial"/>
          <w:rtl/>
        </w:rPr>
        <w:t xml:space="preserve"> נמצא שתנאי הכתובה אינו עוקר התנאי הראשון כלל</w:t>
      </w:r>
      <w:r>
        <w:rPr>
          <w:rFonts w:cs="Arial" w:hint="cs"/>
          <w:rtl/>
        </w:rPr>
        <w:t>,</w:t>
      </w:r>
      <w:r w:rsidRPr="00557191">
        <w:rPr>
          <w:rFonts w:cs="Arial"/>
          <w:rtl/>
        </w:rPr>
        <w:t xml:space="preserve"> ואם אינה רוצה לדור עמו במקומו אינו חייב במזונותיה</w:t>
      </w:r>
      <w:r>
        <w:rPr>
          <w:rFonts w:cs="Arial" w:hint="cs"/>
          <w:rtl/>
        </w:rPr>
        <w:t>.</w:t>
      </w:r>
    </w:p>
    <w:p w14:paraId="6AC02D9C" w14:textId="77777777" w:rsidR="002E5BAD" w:rsidRDefault="002E5BAD" w:rsidP="002E5BAD">
      <w:pPr>
        <w:rPr>
          <w:rtl/>
        </w:rPr>
      </w:pPr>
      <w:r w:rsidRPr="009941D4">
        <w:rPr>
          <w:rFonts w:cs="Arial" w:hint="cs"/>
          <w:b/>
          <w:bCs/>
          <w:rtl/>
        </w:rPr>
        <w:t xml:space="preserve">ירושלמי כתובות פי"ג הי"א: </w:t>
      </w:r>
      <w:r w:rsidRPr="009941D4">
        <w:rPr>
          <w:rFonts w:cs="Arial"/>
          <w:u w:val="double"/>
          <w:rtl/>
        </w:rPr>
        <w:t>מתני'</w:t>
      </w:r>
      <w:r w:rsidRPr="009941D4">
        <w:rPr>
          <w:rFonts w:cs="Arial" w:hint="cs"/>
          <w:rtl/>
        </w:rPr>
        <w:t>:</w:t>
      </w:r>
      <w:r w:rsidRPr="009941D4">
        <w:rPr>
          <w:rFonts w:cs="Arial"/>
          <w:rtl/>
        </w:rPr>
        <w:t xml:space="preserve"> הכל מעלין לארץ ישראל ואין הכל מוציאין</w:t>
      </w:r>
      <w:r w:rsidRPr="009941D4">
        <w:rPr>
          <w:rFonts w:cs="Arial" w:hint="cs"/>
          <w:rtl/>
        </w:rPr>
        <w:t>.</w:t>
      </w:r>
      <w:r w:rsidRPr="009941D4">
        <w:rPr>
          <w:rFonts w:cs="Arial"/>
          <w:rtl/>
        </w:rPr>
        <w:t xml:space="preserve"> הכל מעלין לירושלם ואין הכל מוציאין</w:t>
      </w:r>
      <w:r w:rsidRPr="009941D4">
        <w:rPr>
          <w:rFonts w:cs="Arial" w:hint="cs"/>
          <w:rtl/>
        </w:rPr>
        <w:t>.</w:t>
      </w:r>
      <w:r w:rsidRPr="009941D4">
        <w:rPr>
          <w:rFonts w:cs="Arial"/>
          <w:rtl/>
        </w:rPr>
        <w:t xml:space="preserve"> אחד אנשים ואחד נשים</w:t>
      </w:r>
      <w:r w:rsidRPr="009941D4">
        <w:rPr>
          <w:rFonts w:cs="Arial" w:hint="cs"/>
          <w:rtl/>
        </w:rPr>
        <w:t xml:space="preserve">...    </w:t>
      </w:r>
      <w:r w:rsidRPr="009941D4">
        <w:rPr>
          <w:rFonts w:cs="Arial" w:hint="cs"/>
          <w:u w:val="double"/>
          <w:rtl/>
        </w:rPr>
        <w:t>גמ'</w:t>
      </w:r>
      <w:r w:rsidRPr="009941D4">
        <w:rPr>
          <w:rFonts w:cs="Arial" w:hint="cs"/>
          <w:rtl/>
        </w:rPr>
        <w:t>:</w:t>
      </w:r>
      <w:r w:rsidRPr="009941D4">
        <w:rPr>
          <w:rFonts w:cs="Arial"/>
          <w:rtl/>
        </w:rPr>
        <w:t xml:space="preserve"> הוא רוצה לעלות לארץ ישראל</w:t>
      </w:r>
      <w:r w:rsidRPr="009941D4">
        <w:rPr>
          <w:rFonts w:cs="Arial" w:hint="cs"/>
          <w:rtl/>
        </w:rPr>
        <w:t>,</w:t>
      </w:r>
      <w:r w:rsidRPr="009941D4">
        <w:rPr>
          <w:rFonts w:cs="Arial"/>
          <w:rtl/>
        </w:rPr>
        <w:t xml:space="preserve"> והיא אינה רוצה </w:t>
      </w:r>
      <w:r w:rsidRPr="009941D4">
        <w:rPr>
          <w:rFonts w:cs="Arial" w:hint="cs"/>
          <w:rtl/>
        </w:rPr>
        <w:t xml:space="preserve">- </w:t>
      </w:r>
      <w:r w:rsidRPr="009941D4">
        <w:rPr>
          <w:rFonts w:cs="Arial"/>
          <w:rtl/>
        </w:rPr>
        <w:t>כופין אותה לעלות</w:t>
      </w:r>
      <w:r w:rsidRPr="009941D4">
        <w:rPr>
          <w:rFonts w:cs="Arial" w:hint="cs"/>
          <w:rtl/>
        </w:rPr>
        <w:t>.</w:t>
      </w:r>
      <w:r w:rsidRPr="009941D4">
        <w:rPr>
          <w:rFonts w:cs="Arial"/>
          <w:rtl/>
        </w:rPr>
        <w:t xml:space="preserve"> היא רוצה</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אין כופין אותו לעלות</w:t>
      </w:r>
      <w:r w:rsidRPr="009941D4">
        <w:rPr>
          <w:rFonts w:cs="Arial" w:hint="cs"/>
          <w:rtl/>
        </w:rPr>
        <w:t>.</w:t>
      </w:r>
      <w:r w:rsidRPr="009941D4">
        <w:rPr>
          <w:rFonts w:cs="Arial"/>
          <w:rtl/>
        </w:rPr>
        <w:t xml:space="preserve"> הוא רוצה לעלות לירושלם</w:t>
      </w:r>
      <w:r w:rsidRPr="009941D4">
        <w:rPr>
          <w:rFonts w:cs="Arial" w:hint="cs"/>
          <w:rtl/>
        </w:rPr>
        <w:t>,</w:t>
      </w:r>
      <w:r w:rsidRPr="009941D4">
        <w:rPr>
          <w:rFonts w:cs="Arial"/>
          <w:rtl/>
        </w:rPr>
        <w:t xml:space="preserve"> והיא אינה רוצה</w:t>
      </w:r>
      <w:r w:rsidRPr="009941D4">
        <w:rPr>
          <w:rFonts w:cs="Arial" w:hint="cs"/>
          <w:rtl/>
        </w:rPr>
        <w:t xml:space="preserve"> -</w:t>
      </w:r>
      <w:r w:rsidRPr="009941D4">
        <w:rPr>
          <w:rFonts w:cs="Arial"/>
          <w:rtl/>
        </w:rPr>
        <w:t xml:space="preserve"> כופין אותה לעלות</w:t>
      </w:r>
      <w:r w:rsidRPr="009941D4">
        <w:rPr>
          <w:rFonts w:cs="Arial" w:hint="cs"/>
          <w:rtl/>
        </w:rPr>
        <w:t>.</w:t>
      </w:r>
      <w:r w:rsidRPr="009941D4">
        <w:rPr>
          <w:rFonts w:cs="Arial"/>
          <w:rtl/>
        </w:rPr>
        <w:t xml:space="preserve"> היא רוצה לעלות</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אין כופין אותו לעלות</w:t>
      </w:r>
      <w:r w:rsidRPr="009941D4">
        <w:rPr>
          <w:rFonts w:cs="Arial" w:hint="cs"/>
          <w:rtl/>
        </w:rPr>
        <w:t>.</w:t>
      </w:r>
      <w:r w:rsidRPr="009941D4">
        <w:rPr>
          <w:rFonts w:cs="Arial"/>
          <w:rtl/>
        </w:rPr>
        <w:t xml:space="preserve"> הוא רוצה לצאת לח"ל</w:t>
      </w:r>
      <w:r w:rsidRPr="009941D4">
        <w:rPr>
          <w:rFonts w:cs="Arial" w:hint="cs"/>
          <w:rtl/>
        </w:rPr>
        <w:t>,</w:t>
      </w:r>
      <w:r w:rsidRPr="009941D4">
        <w:rPr>
          <w:rFonts w:cs="Arial"/>
          <w:rtl/>
        </w:rPr>
        <w:t xml:space="preserve"> והיא אינה רוצה </w:t>
      </w:r>
      <w:r w:rsidRPr="009941D4">
        <w:rPr>
          <w:rFonts w:cs="Arial" w:hint="cs"/>
          <w:rtl/>
        </w:rPr>
        <w:t xml:space="preserve">- </w:t>
      </w:r>
      <w:r w:rsidRPr="009941D4">
        <w:rPr>
          <w:rFonts w:cs="Arial"/>
          <w:rtl/>
        </w:rPr>
        <w:t>אין כופין אותה לצאת</w:t>
      </w:r>
      <w:r w:rsidRPr="009941D4">
        <w:rPr>
          <w:rFonts w:cs="Arial" w:hint="cs"/>
          <w:rtl/>
        </w:rPr>
        <w:t>.</w:t>
      </w:r>
      <w:r w:rsidRPr="009941D4">
        <w:rPr>
          <w:rFonts w:cs="Arial"/>
          <w:rtl/>
        </w:rPr>
        <w:t xml:space="preserve"> היא רוצה לצאת</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כופין אותה שלא לצאת</w:t>
      </w:r>
      <w:r>
        <w:rPr>
          <w:rFonts w:hint="cs"/>
          <w:rtl/>
        </w:rPr>
        <w:t>.</w:t>
      </w:r>
      <w:r w:rsidRPr="009941D4">
        <w:rPr>
          <w:rFonts w:cs="Arial"/>
          <w:sz w:val="16"/>
          <w:szCs w:val="16"/>
          <w:rtl/>
        </w:rPr>
        <w:t xml:space="preserve"> </w:t>
      </w:r>
      <w:r w:rsidRPr="009941D4">
        <w:rPr>
          <w:rFonts w:cs="Arial" w:hint="cs"/>
          <w:sz w:val="16"/>
          <w:szCs w:val="16"/>
          <w:rtl/>
        </w:rPr>
        <w:t>(</w:t>
      </w:r>
      <w:r w:rsidRPr="009941D4">
        <w:rPr>
          <w:rFonts w:cs="Arial"/>
          <w:sz w:val="16"/>
          <w:szCs w:val="16"/>
          <w:rtl/>
        </w:rPr>
        <w:t>הירושלמי הזה כתבו הרא"ש בסוף כתובות (סי' יז) וכתב עליו דפליג אגמרא דידן ותירץ הר"מ דאיירי בזמן הזה ומתני' נשנית בזמן הבית</w:t>
      </w:r>
      <w:r w:rsidRPr="009941D4">
        <w:rPr>
          <w:rFonts w:cs="Arial" w:hint="cs"/>
          <w:sz w:val="16"/>
          <w:szCs w:val="16"/>
          <w:rtl/>
        </w:rPr>
        <w:t>,</w:t>
      </w:r>
      <w:r w:rsidRPr="009941D4">
        <w:rPr>
          <w:rFonts w:cs="Arial"/>
          <w:sz w:val="16"/>
          <w:szCs w:val="16"/>
          <w:rtl/>
        </w:rPr>
        <w:t xml:space="preserve"> ע"כ בפסקי הרא"ש</w:t>
      </w:r>
      <w:r w:rsidRPr="009941D4">
        <w:rPr>
          <w:rFonts w:cs="Arial" w:hint="cs"/>
          <w:sz w:val="16"/>
          <w:szCs w:val="16"/>
          <w:rtl/>
        </w:rPr>
        <w:t>.</w:t>
      </w:r>
      <w:r w:rsidRPr="009941D4">
        <w:rPr>
          <w:rFonts w:cs="Arial"/>
          <w:sz w:val="16"/>
          <w:szCs w:val="16"/>
          <w:rtl/>
        </w:rPr>
        <w:t xml:space="preserve"> וגם המרדכי (סי' רפ) כתב</w:t>
      </w:r>
      <w:r w:rsidRPr="009941D4">
        <w:rPr>
          <w:rFonts w:cs="Arial" w:hint="cs"/>
          <w:sz w:val="14"/>
          <w:szCs w:val="14"/>
          <w:rtl/>
        </w:rPr>
        <w:t xml:space="preserve"> {בשם מהר"ם}</w:t>
      </w:r>
      <w:r w:rsidRPr="009941D4">
        <w:rPr>
          <w:rFonts w:cs="Arial"/>
          <w:sz w:val="16"/>
          <w:szCs w:val="16"/>
          <w:rtl/>
        </w:rPr>
        <w:t xml:space="preserve"> דההיא דירושלמי מיירי בזמן שב</w:t>
      </w:r>
      <w:r w:rsidRPr="009941D4">
        <w:rPr>
          <w:rFonts w:cs="Arial" w:hint="cs"/>
          <w:sz w:val="16"/>
          <w:szCs w:val="16"/>
          <w:rtl/>
        </w:rPr>
        <w:t xml:space="preserve">ית </w:t>
      </w:r>
      <w:r w:rsidRPr="009941D4">
        <w:rPr>
          <w:rFonts w:cs="Arial"/>
          <w:sz w:val="16"/>
          <w:szCs w:val="16"/>
          <w:rtl/>
        </w:rPr>
        <w:t>ה</w:t>
      </w:r>
      <w:r w:rsidRPr="009941D4">
        <w:rPr>
          <w:rFonts w:cs="Arial" w:hint="cs"/>
          <w:sz w:val="16"/>
          <w:szCs w:val="16"/>
          <w:rtl/>
        </w:rPr>
        <w:t>מקדש</w:t>
      </w:r>
      <w:r w:rsidRPr="009941D4">
        <w:rPr>
          <w:rFonts w:cs="Arial"/>
          <w:sz w:val="16"/>
          <w:szCs w:val="16"/>
          <w:rtl/>
        </w:rPr>
        <w:t xml:space="preserve"> קיים דאז הוי מצוה לדור בירושלם מבא"י</w:t>
      </w:r>
      <w:r w:rsidRPr="009941D4">
        <w:rPr>
          <w:rFonts w:cs="Arial" w:hint="cs"/>
          <w:sz w:val="16"/>
          <w:szCs w:val="16"/>
          <w:rtl/>
        </w:rPr>
        <w:t>.</w:t>
      </w:r>
      <w:r w:rsidRPr="009941D4">
        <w:rPr>
          <w:rFonts w:cs="Arial"/>
          <w:sz w:val="16"/>
          <w:szCs w:val="16"/>
          <w:rtl/>
        </w:rPr>
        <w:t xml:space="preserve"> ורבינו המחבר </w:t>
      </w:r>
      <w:r w:rsidRPr="009941D4">
        <w:rPr>
          <w:rFonts w:cs="Arial" w:hint="cs"/>
          <w:sz w:val="14"/>
          <w:szCs w:val="14"/>
          <w:rtl/>
        </w:rPr>
        <w:t>{הטור}</w:t>
      </w:r>
      <w:r w:rsidRPr="009941D4">
        <w:rPr>
          <w:rFonts w:cs="Arial" w:hint="cs"/>
          <w:sz w:val="14"/>
          <w:szCs w:val="14"/>
        </w:rPr>
        <w:t xml:space="preserve"> </w:t>
      </w:r>
      <w:r w:rsidRPr="009941D4">
        <w:rPr>
          <w:rFonts w:cs="Arial"/>
          <w:sz w:val="16"/>
          <w:szCs w:val="16"/>
          <w:rtl/>
        </w:rPr>
        <w:t>כתב שאין תירוץ זה מספיק דאי איירי בזמן הזה למה כופין אותה</w:t>
      </w:r>
      <w:r w:rsidRPr="009941D4">
        <w:rPr>
          <w:rFonts w:cs="Arial" w:hint="cs"/>
          <w:sz w:val="16"/>
          <w:szCs w:val="16"/>
          <w:rtl/>
        </w:rPr>
        <w:t>.</w:t>
      </w:r>
      <w:r w:rsidRPr="009941D4">
        <w:rPr>
          <w:rFonts w:cs="Arial"/>
          <w:sz w:val="16"/>
          <w:szCs w:val="16"/>
          <w:rtl/>
        </w:rPr>
        <w:t xml:space="preserve"> ולי נראה דאיפשר לומר דלא ראו חכמים לגרוע כח האיש לגבי ארץ ישראל וירושלם אפילו בזמן הזה</w:t>
      </w:r>
      <w:r w:rsidRPr="009941D4">
        <w:rPr>
          <w:rFonts w:cs="Arial" w:hint="cs"/>
          <w:sz w:val="16"/>
          <w:szCs w:val="16"/>
          <w:rtl/>
        </w:rPr>
        <w:t>,</w:t>
      </w:r>
      <w:r w:rsidRPr="009941D4">
        <w:rPr>
          <w:rFonts w:cs="Arial"/>
          <w:sz w:val="16"/>
          <w:szCs w:val="16"/>
          <w:rtl/>
        </w:rPr>
        <w:t xml:space="preserve"> ועיין בתשובה שכתבתי בסוף סימן זה</w:t>
      </w:r>
      <w:r w:rsidRPr="009941D4">
        <w:rPr>
          <w:rFonts w:cs="Arial" w:hint="cs"/>
          <w:sz w:val="16"/>
          <w:szCs w:val="16"/>
          <w:rtl/>
        </w:rPr>
        <w:t>.</w:t>
      </w:r>
      <w:r w:rsidRPr="009941D4">
        <w:rPr>
          <w:rFonts w:cs="Arial"/>
          <w:sz w:val="16"/>
          <w:szCs w:val="16"/>
          <w:rtl/>
        </w:rPr>
        <w:t xml:space="preserve"> ועיין בספר מישרים (נכ"ג סוף ח"ח)</w:t>
      </w:r>
      <w:r w:rsidRPr="009941D4">
        <w:rPr>
          <w:rFonts w:cs="Arial" w:hint="cs"/>
          <w:sz w:val="16"/>
          <w:szCs w:val="16"/>
          <w:rtl/>
        </w:rPr>
        <w:t>, ב"י)</w:t>
      </w:r>
    </w:p>
    <w:p w14:paraId="69A2BBF8" w14:textId="77777777" w:rsidR="002E5BAD" w:rsidRPr="00E14AD0" w:rsidRDefault="002E5BAD" w:rsidP="002E5BAD">
      <w:pPr>
        <w:rPr>
          <w:u w:val="single"/>
          <w:rtl/>
        </w:rPr>
      </w:pPr>
      <w:r w:rsidRPr="00E14AD0">
        <w:rPr>
          <w:rFonts w:hint="cs"/>
          <w:u w:val="single"/>
          <w:rtl/>
        </w:rPr>
        <w:t>חיוב האשה לעלות לארץ</w:t>
      </w:r>
      <w:r>
        <w:rPr>
          <w:rFonts w:hint="cs"/>
          <w:u w:val="single"/>
          <w:rtl/>
        </w:rPr>
        <w:t xml:space="preserve"> </w:t>
      </w:r>
      <w:r w:rsidRPr="00E14AD0">
        <w:rPr>
          <w:rFonts w:hint="cs"/>
          <w:sz w:val="16"/>
          <w:szCs w:val="16"/>
          <w:u w:val="single"/>
          <w:rtl/>
        </w:rPr>
        <w:t>(כשהבעל רוצה</w:t>
      </w:r>
      <w:r>
        <w:rPr>
          <w:rFonts w:hint="cs"/>
          <w:sz w:val="16"/>
          <w:szCs w:val="16"/>
          <w:u w:val="single"/>
          <w:rtl/>
        </w:rPr>
        <w:t>)</w:t>
      </w:r>
      <w:r w:rsidRPr="00E14AD0">
        <w:rPr>
          <w:rFonts w:hint="cs"/>
          <w:u w:val="single"/>
          <w:rtl/>
        </w:rPr>
        <w:t xml:space="preserve"> </w:t>
      </w:r>
      <w:r w:rsidRPr="00E14AD0">
        <w:rPr>
          <w:u w:val="single"/>
          <w:rtl/>
        </w:rPr>
        <w:t>–</w:t>
      </w:r>
      <w:r w:rsidRPr="00E14AD0">
        <w:rPr>
          <w:rFonts w:hint="cs"/>
          <w:u w:val="single"/>
          <w:rtl/>
        </w:rPr>
        <w:t xml:space="preserve"> בזמן הזה: </w:t>
      </w:r>
    </w:p>
    <w:p w14:paraId="2312146E" w14:textId="77777777" w:rsidR="002E5BAD" w:rsidRDefault="002E5BAD" w:rsidP="002E5BAD">
      <w:pPr>
        <w:pStyle w:val="ab"/>
        <w:numPr>
          <w:ilvl w:val="0"/>
          <w:numId w:val="136"/>
        </w:numPr>
        <w:rPr>
          <w:rFonts w:cs="Arial"/>
        </w:rPr>
      </w:pPr>
      <w:r>
        <w:rPr>
          <w:rFonts w:cs="Arial" w:hint="cs"/>
          <w:rtl/>
        </w:rPr>
        <w:t xml:space="preserve">מהר"ם </w:t>
      </w:r>
      <w:r>
        <w:rPr>
          <w:rFonts w:cs="Arial" w:hint="cs"/>
          <w:sz w:val="16"/>
          <w:szCs w:val="16"/>
          <w:rtl/>
        </w:rPr>
        <w:t>(כ"כ הרא"ש המרדכי והטור בשמו)</w:t>
      </w:r>
      <w:r>
        <w:rPr>
          <w:rFonts w:cs="Arial" w:hint="cs"/>
          <w:rtl/>
        </w:rPr>
        <w:t xml:space="preserve">- </w:t>
      </w:r>
      <w:r w:rsidRPr="009941D4">
        <w:rPr>
          <w:rFonts w:cs="Arial"/>
          <w:rtl/>
        </w:rPr>
        <w:t>ההיא דברייתא מיירי בזמן שביהמ"ק קיים דאז הוי המצוה טפי לדור בירושלים מבא"י</w:t>
      </w:r>
      <w:r>
        <w:rPr>
          <w:rFonts w:cs="Arial" w:hint="cs"/>
          <w:rtl/>
        </w:rPr>
        <w:t>,</w:t>
      </w:r>
      <w:r w:rsidRPr="009941D4">
        <w:rPr>
          <w:rFonts w:cs="Arial"/>
          <w:rtl/>
        </w:rPr>
        <w:t xml:space="preserve"> וירושלמי דהכא מיירי בזמן הזה</w:t>
      </w:r>
      <w:r>
        <w:rPr>
          <w:rFonts w:cs="Arial" w:hint="cs"/>
          <w:rtl/>
        </w:rPr>
        <w:t>.</w:t>
      </w:r>
    </w:p>
    <w:p w14:paraId="07A672B1" w14:textId="77777777" w:rsidR="002E5BAD" w:rsidRDefault="002E5BAD" w:rsidP="002E5BAD">
      <w:pPr>
        <w:pStyle w:val="ab"/>
        <w:numPr>
          <w:ilvl w:val="0"/>
          <w:numId w:val="136"/>
        </w:numPr>
        <w:rPr>
          <w:rFonts w:cs="Arial"/>
        </w:rPr>
      </w:pPr>
      <w:r>
        <w:rPr>
          <w:rFonts w:cs="Arial" w:hint="cs"/>
          <w:rtl/>
        </w:rPr>
        <w:t xml:space="preserve">הגמ"ר </w:t>
      </w:r>
      <w:r>
        <w:rPr>
          <w:rFonts w:cs="Arial" w:hint="cs"/>
          <w:sz w:val="16"/>
          <w:szCs w:val="16"/>
          <w:rtl/>
        </w:rPr>
        <w:t>(</w:t>
      </w:r>
      <w:r w:rsidRPr="009941D4">
        <w:rPr>
          <w:rFonts w:cs="Arial" w:hint="cs"/>
          <w:sz w:val="16"/>
          <w:szCs w:val="16"/>
          <w:rtl/>
        </w:rPr>
        <w:t>סי' שיג, הביאו הדרכ"מ אות ו)</w:t>
      </w:r>
      <w:r>
        <w:rPr>
          <w:rFonts w:cs="Arial" w:hint="cs"/>
          <w:rtl/>
        </w:rPr>
        <w:t>-</w:t>
      </w:r>
      <w:r w:rsidRPr="00242605">
        <w:rPr>
          <w:rFonts w:cs="Arial"/>
          <w:rtl/>
        </w:rPr>
        <w:t xml:space="preserve"> </w:t>
      </w:r>
      <w:r w:rsidRPr="00947CCF">
        <w:rPr>
          <w:rFonts w:cs="Arial"/>
          <w:rtl/>
        </w:rPr>
        <w:t>הוא אומר לעלות כו' כתב רבינו חיים כהן בתשובה דהני מילי בימיהם שהיה שלום בדרכים</w:t>
      </w:r>
      <w:r>
        <w:rPr>
          <w:rFonts w:cs="Arial" w:hint="cs"/>
          <w:rtl/>
        </w:rPr>
        <w:t>,</w:t>
      </w:r>
      <w:r w:rsidRPr="00947CCF">
        <w:rPr>
          <w:rFonts w:cs="Arial"/>
          <w:rtl/>
        </w:rPr>
        <w:t xml:space="preserve"> אבל עכשיו שהדרכים משובשים </w:t>
      </w:r>
      <w:r>
        <w:rPr>
          <w:rFonts w:cs="Arial" w:hint="cs"/>
          <w:rtl/>
        </w:rPr>
        <w:t xml:space="preserve">- </w:t>
      </w:r>
      <w:r w:rsidRPr="00947CCF">
        <w:rPr>
          <w:rFonts w:cs="Arial"/>
          <w:rtl/>
        </w:rPr>
        <w:t>אינו יכול לכופה</w:t>
      </w:r>
      <w:r>
        <w:rPr>
          <w:rFonts w:cs="Arial" w:hint="cs"/>
          <w:rtl/>
        </w:rPr>
        <w:t>,</w:t>
      </w:r>
      <w:r w:rsidRPr="00947CCF">
        <w:rPr>
          <w:rFonts w:cs="Arial"/>
          <w:rtl/>
        </w:rPr>
        <w:t xml:space="preserve"> דהוה ליה כמו חפץ להוליכה למקום גדודי חיות ולסטים</w:t>
      </w:r>
      <w:r>
        <w:rPr>
          <w:rFonts w:cs="Arial" w:hint="cs"/>
          <w:rtl/>
        </w:rPr>
        <w:t>.</w:t>
      </w:r>
      <w:r w:rsidRPr="00947CCF">
        <w:rPr>
          <w:rFonts w:cs="Arial"/>
          <w:rtl/>
        </w:rPr>
        <w:t xml:space="preserve"> ואפילו אם יעמיד לה ערבים מגוף וממון</w:t>
      </w:r>
      <w:r>
        <w:rPr>
          <w:rFonts w:cs="Arial" w:hint="cs"/>
          <w:rtl/>
        </w:rPr>
        <w:t>,</w:t>
      </w:r>
      <w:r w:rsidRPr="00947CCF">
        <w:rPr>
          <w:rFonts w:cs="Arial"/>
          <w:rtl/>
        </w:rPr>
        <w:t xml:space="preserve"> ערבך ערבא בעי</w:t>
      </w:r>
      <w:r>
        <w:rPr>
          <w:rFonts w:cs="Arial" w:hint="cs"/>
          <w:rtl/>
        </w:rPr>
        <w:t>.</w:t>
      </w:r>
      <w:r w:rsidRPr="00242605">
        <w:rPr>
          <w:rFonts w:cs="Arial"/>
          <w:rtl/>
        </w:rPr>
        <w:t xml:space="preserve"> </w:t>
      </w:r>
    </w:p>
    <w:p w14:paraId="178AA2A8" w14:textId="77777777" w:rsidR="002E5BAD" w:rsidRPr="001E1F2D" w:rsidRDefault="002E5BAD" w:rsidP="002E5BAD">
      <w:pPr>
        <w:pStyle w:val="ab"/>
        <w:numPr>
          <w:ilvl w:val="0"/>
          <w:numId w:val="136"/>
        </w:numPr>
        <w:rPr>
          <w:rFonts w:cs="Arial"/>
          <w:rtl/>
        </w:rPr>
      </w:pPr>
      <w:r>
        <w:rPr>
          <w:rFonts w:cs="Arial" w:hint="cs"/>
          <w:rtl/>
        </w:rPr>
        <w:t xml:space="preserve">תוס' </w:t>
      </w:r>
      <w:r w:rsidRPr="001E1F2D">
        <w:rPr>
          <w:rFonts w:cs="Arial" w:hint="cs"/>
          <w:sz w:val="16"/>
          <w:szCs w:val="16"/>
          <w:rtl/>
        </w:rPr>
        <w:t>(</w:t>
      </w:r>
      <w:r w:rsidRPr="001E1F2D">
        <w:rPr>
          <w:rFonts w:cs="Arial"/>
          <w:sz w:val="16"/>
          <w:szCs w:val="16"/>
          <w:rtl/>
        </w:rPr>
        <w:t>כתובות קי: ד"ה הוא)</w:t>
      </w:r>
      <w:r>
        <w:rPr>
          <w:rFonts w:cs="Arial" w:hint="cs"/>
          <w:rtl/>
        </w:rPr>
        <w:t xml:space="preserve">- </w:t>
      </w:r>
      <w:r w:rsidRPr="001E1F2D">
        <w:rPr>
          <w:rFonts w:cs="Arial"/>
          <w:rtl/>
        </w:rPr>
        <w:t>אינו נוהג בזמן הזה דאיכא סכנת דרכים</w:t>
      </w:r>
      <w:r>
        <w:rPr>
          <w:rStyle w:val="a7"/>
          <w:rFonts w:cs="Arial"/>
          <w:rtl/>
        </w:rPr>
        <w:footnoteReference w:id="1228"/>
      </w:r>
      <w:r>
        <w:rPr>
          <w:rFonts w:cs="Arial" w:hint="cs"/>
          <w:rtl/>
        </w:rPr>
        <w:t>.</w:t>
      </w:r>
      <w:r w:rsidRPr="001E1F2D">
        <w:rPr>
          <w:rFonts w:cs="Arial"/>
          <w:rtl/>
        </w:rPr>
        <w:t xml:space="preserve"> והיה אומר רבינו חיים דעכשיו אינו מצוה לדור בא"י כי יש כמה מצות התלויות בארץ וכמה עונשין דאין אנו יכולין ליזהר בהם ולעמוד עליהם</w:t>
      </w:r>
      <w:r>
        <w:rPr>
          <w:rFonts w:cs="Arial" w:hint="cs"/>
          <w:rtl/>
        </w:rPr>
        <w:t>.</w:t>
      </w:r>
    </w:p>
    <w:p w14:paraId="3C8EBCE8"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AF1DAC2" w14:textId="77777777" w:rsidR="002E5BAD" w:rsidRDefault="002E5BAD" w:rsidP="002E5BAD">
      <w:pPr>
        <w:rPr>
          <w:rtl/>
        </w:rPr>
      </w:pPr>
      <w:r>
        <w:rPr>
          <w:rFonts w:cs="Arial"/>
          <w:rtl/>
        </w:rPr>
        <w:t>אמר האיש לעלות לא</w:t>
      </w:r>
      <w:r>
        <w:rPr>
          <w:rFonts w:cs="Arial" w:hint="cs"/>
          <w:rtl/>
        </w:rPr>
        <w:t xml:space="preserve">רץ </w:t>
      </w:r>
      <w:r>
        <w:rPr>
          <w:rFonts w:cs="Arial"/>
          <w:rtl/>
        </w:rPr>
        <w:t>י</w:t>
      </w:r>
      <w:r>
        <w:rPr>
          <w:rFonts w:cs="Arial" w:hint="cs"/>
          <w:rtl/>
        </w:rPr>
        <w:t>שראל</w:t>
      </w:r>
      <w:r>
        <w:rPr>
          <w:rFonts w:cs="Arial"/>
          <w:rtl/>
        </w:rPr>
        <w:t>, והיא אינה רוצה, תצא בלא כתובה.</w:t>
      </w:r>
      <w:r w:rsidRPr="00874F54">
        <w:rPr>
          <w:rFonts w:cs="Arial"/>
          <w:sz w:val="18"/>
          <w:szCs w:val="18"/>
          <w:rtl/>
        </w:rPr>
        <w:t xml:space="preserve"> הגה: אבל נכסי מלוג שלה ונ</w:t>
      </w:r>
      <w:r>
        <w:rPr>
          <w:rFonts w:cs="Arial" w:hint="cs"/>
          <w:sz w:val="18"/>
          <w:szCs w:val="18"/>
          <w:rtl/>
        </w:rPr>
        <w:t xml:space="preserve">כסי </w:t>
      </w:r>
      <w:r>
        <w:rPr>
          <w:rFonts w:cs="Arial"/>
          <w:sz w:val="18"/>
          <w:szCs w:val="18"/>
          <w:rtl/>
        </w:rPr>
        <w:t>צאן ברזל</w:t>
      </w:r>
      <w:r w:rsidRPr="00874F54">
        <w:rPr>
          <w:rFonts w:cs="Arial"/>
          <w:sz w:val="18"/>
          <w:szCs w:val="18"/>
          <w:rtl/>
        </w:rPr>
        <w:t xml:space="preserve"> הקיימים, נוטלת</w:t>
      </w:r>
      <w:r>
        <w:rPr>
          <w:rFonts w:cs="Arial" w:hint="cs"/>
          <w:sz w:val="18"/>
          <w:szCs w:val="18"/>
          <w:rtl/>
        </w:rPr>
        <w:t>.</w:t>
      </w:r>
      <w:r w:rsidRPr="00874F54">
        <w:rPr>
          <w:rFonts w:cs="Arial"/>
          <w:sz w:val="18"/>
          <w:szCs w:val="18"/>
          <w:rtl/>
        </w:rPr>
        <w:t xml:space="preserve"> ואם אינם קיימים, אם הוא הפסידן, נ</w:t>
      </w:r>
      <w:r>
        <w:rPr>
          <w:rFonts w:cs="Arial" w:hint="cs"/>
          <w:sz w:val="18"/>
          <w:szCs w:val="18"/>
          <w:rtl/>
        </w:rPr>
        <w:t xml:space="preserve">כסי </w:t>
      </w:r>
      <w:r>
        <w:rPr>
          <w:rFonts w:cs="Arial"/>
          <w:sz w:val="18"/>
          <w:szCs w:val="18"/>
          <w:rtl/>
        </w:rPr>
        <w:t>צאן ברזל</w:t>
      </w:r>
      <w:r w:rsidRPr="00874F54">
        <w:rPr>
          <w:rFonts w:cs="Arial"/>
          <w:sz w:val="18"/>
          <w:szCs w:val="18"/>
          <w:rtl/>
        </w:rPr>
        <w:t xml:space="preserve"> א"צ לשלם, ונ</w:t>
      </w:r>
      <w:r>
        <w:rPr>
          <w:rFonts w:cs="Arial" w:hint="cs"/>
          <w:sz w:val="18"/>
          <w:szCs w:val="18"/>
          <w:rtl/>
        </w:rPr>
        <w:t xml:space="preserve">כסני </w:t>
      </w:r>
      <w:r w:rsidRPr="00874F54">
        <w:rPr>
          <w:rFonts w:cs="Arial"/>
          <w:sz w:val="18"/>
          <w:szCs w:val="18"/>
          <w:rtl/>
        </w:rPr>
        <w:t>מ</w:t>
      </w:r>
      <w:r>
        <w:rPr>
          <w:rFonts w:cs="Arial" w:hint="cs"/>
          <w:sz w:val="18"/>
          <w:szCs w:val="18"/>
          <w:rtl/>
        </w:rPr>
        <w:t>לוג</w:t>
      </w:r>
      <w:r w:rsidRPr="00874F54">
        <w:rPr>
          <w:rFonts w:cs="Arial"/>
          <w:sz w:val="18"/>
          <w:szCs w:val="18"/>
          <w:rtl/>
        </w:rPr>
        <w:t xml:space="preserve"> צריך לשלם. ואם נגנבו או נאבדו, נ</w:t>
      </w:r>
      <w:r>
        <w:rPr>
          <w:rFonts w:cs="Arial" w:hint="cs"/>
          <w:sz w:val="18"/>
          <w:szCs w:val="18"/>
          <w:rtl/>
        </w:rPr>
        <w:t xml:space="preserve">כסי </w:t>
      </w:r>
      <w:r w:rsidRPr="00874F54">
        <w:rPr>
          <w:rFonts w:cs="Arial"/>
          <w:sz w:val="18"/>
          <w:szCs w:val="18"/>
          <w:rtl/>
        </w:rPr>
        <w:t>מ</w:t>
      </w:r>
      <w:r>
        <w:rPr>
          <w:rFonts w:cs="Arial" w:hint="cs"/>
          <w:sz w:val="18"/>
          <w:szCs w:val="18"/>
          <w:rtl/>
        </w:rPr>
        <w:t>לוג</w:t>
      </w:r>
      <w:r w:rsidRPr="00874F54">
        <w:rPr>
          <w:rFonts w:cs="Arial"/>
          <w:sz w:val="18"/>
          <w:szCs w:val="18"/>
          <w:rtl/>
        </w:rPr>
        <w:t xml:space="preserve"> לית לה, ו</w:t>
      </w:r>
      <w:r>
        <w:rPr>
          <w:rFonts w:cs="Arial"/>
          <w:sz w:val="18"/>
          <w:szCs w:val="18"/>
          <w:rtl/>
        </w:rPr>
        <w:t>נכסי צאן ברזל</w:t>
      </w:r>
      <w:r w:rsidRPr="00874F54">
        <w:rPr>
          <w:rFonts w:cs="Arial"/>
          <w:sz w:val="18"/>
          <w:szCs w:val="18"/>
          <w:rtl/>
        </w:rPr>
        <w:t xml:space="preserve"> צריך לשלם</w:t>
      </w:r>
      <w:r>
        <w:rPr>
          <w:rFonts w:cs="Arial" w:hint="cs"/>
          <w:sz w:val="18"/>
          <w:szCs w:val="18"/>
          <w:rtl/>
        </w:rPr>
        <w:t>.</w:t>
      </w:r>
      <w:r w:rsidRPr="00874F54">
        <w:rPr>
          <w:rFonts w:cs="Arial"/>
          <w:sz w:val="18"/>
          <w:szCs w:val="18"/>
          <w:rtl/>
        </w:rPr>
        <w:t xml:space="preserve"> והא דכתובה אין לה, דוקא שנשאר בא"י, אבל אם הוא חוזר לסוף כמה שנים להתיישב בחו"ל, צריך לשלם לה או ליורשיה אף הכתובה (</w:t>
      </w:r>
      <w:r>
        <w:rPr>
          <w:rFonts w:cs="Arial" w:hint="cs"/>
          <w:sz w:val="18"/>
          <w:szCs w:val="18"/>
          <w:rtl/>
        </w:rPr>
        <w:t>כל זה במרדכי בשם מהר"ם</w:t>
      </w:r>
      <w:r w:rsidRPr="00874F54">
        <w:rPr>
          <w:rFonts w:cs="Arial"/>
          <w:sz w:val="18"/>
          <w:szCs w:val="18"/>
          <w:rtl/>
        </w:rPr>
        <w:t>).</w:t>
      </w:r>
      <w:r>
        <w:rPr>
          <w:rFonts w:cs="Arial"/>
          <w:rtl/>
        </w:rPr>
        <w:t xml:space="preserve"> אמרה היא: לעלות, והוא אינו רוצה, יוציא ויתן כתובה</w:t>
      </w:r>
      <w:r>
        <w:rPr>
          <w:rFonts w:cs="Arial" w:hint="cs"/>
          <w:rtl/>
        </w:rPr>
        <w:t>.</w:t>
      </w:r>
      <w:r>
        <w:rPr>
          <w:rFonts w:cs="Arial"/>
          <w:rtl/>
        </w:rPr>
        <w:t xml:space="preserve"> וה</w:t>
      </w:r>
      <w:r>
        <w:rPr>
          <w:rFonts w:cs="Arial" w:hint="cs"/>
          <w:rtl/>
        </w:rPr>
        <w:t xml:space="preserve">וא </w:t>
      </w:r>
      <w:r>
        <w:rPr>
          <w:rFonts w:cs="Arial"/>
          <w:rtl/>
        </w:rPr>
        <w:t>ה</w:t>
      </w:r>
      <w:r>
        <w:rPr>
          <w:rFonts w:cs="Arial" w:hint="cs"/>
          <w:rtl/>
        </w:rPr>
        <w:t>דין</w:t>
      </w:r>
      <w:r>
        <w:rPr>
          <w:rFonts w:cs="Arial"/>
          <w:rtl/>
        </w:rPr>
        <w:t xml:space="preserve"> לכל מקום מא</w:t>
      </w:r>
      <w:r>
        <w:rPr>
          <w:rFonts w:cs="Arial" w:hint="cs"/>
          <w:rtl/>
        </w:rPr>
        <w:t xml:space="preserve">רץ </w:t>
      </w:r>
      <w:r>
        <w:rPr>
          <w:rFonts w:cs="Arial"/>
          <w:rtl/>
        </w:rPr>
        <w:t>י</w:t>
      </w:r>
      <w:r>
        <w:rPr>
          <w:rFonts w:cs="Arial" w:hint="cs"/>
          <w:rtl/>
        </w:rPr>
        <w:t>שראל</w:t>
      </w:r>
      <w:r>
        <w:rPr>
          <w:rFonts w:cs="Arial"/>
          <w:rtl/>
        </w:rPr>
        <w:t xml:space="preserve"> לירושלים, שהכל מעלין לא</w:t>
      </w:r>
      <w:r>
        <w:rPr>
          <w:rFonts w:cs="Arial" w:hint="cs"/>
          <w:rtl/>
        </w:rPr>
        <w:t>רץ ישראל</w:t>
      </w:r>
      <w:r>
        <w:rPr>
          <w:rFonts w:cs="Arial"/>
          <w:rtl/>
        </w:rPr>
        <w:t>, ואין הכל מוציאין משם</w:t>
      </w:r>
      <w:r>
        <w:rPr>
          <w:rFonts w:cs="Arial" w:hint="cs"/>
          <w:rtl/>
        </w:rPr>
        <w:t>.</w:t>
      </w:r>
      <w:r>
        <w:rPr>
          <w:rFonts w:cs="Arial"/>
          <w:rtl/>
        </w:rPr>
        <w:t xml:space="preserve"> הכל מעלין לירושלים, ואין הכל מוציאין משם. </w:t>
      </w:r>
    </w:p>
    <w:p w14:paraId="3B623372" w14:textId="77777777" w:rsidR="002E5BAD" w:rsidRDefault="002E5BAD" w:rsidP="002E5BAD">
      <w:pPr>
        <w:rPr>
          <w:rtl/>
        </w:rPr>
      </w:pPr>
    </w:p>
    <w:p w14:paraId="415C76A1" w14:textId="77777777" w:rsidR="002E5BAD" w:rsidRDefault="002E5BAD" w:rsidP="002E5BAD">
      <w:pPr>
        <w:pStyle w:val="2"/>
        <w:rPr>
          <w:rtl/>
        </w:rPr>
      </w:pPr>
      <w:r>
        <w:rPr>
          <w:rtl/>
        </w:rPr>
        <w:lastRenderedPageBreak/>
        <w:t>סעיף ה</w:t>
      </w:r>
      <w:r>
        <w:rPr>
          <w:rFonts w:hint="cs"/>
          <w:rtl/>
        </w:rPr>
        <w:t>:</w:t>
      </w:r>
      <w:r w:rsidRPr="005B353B">
        <w:rPr>
          <w:rFonts w:hint="cs"/>
          <w:rtl/>
        </w:rPr>
        <w:t xml:space="preserve"> </w:t>
      </w:r>
      <w:r>
        <w:rPr>
          <w:rFonts w:hint="cs"/>
          <w:rtl/>
        </w:rPr>
        <w:t>כפייה לעלות לארץ ישראל כשיש סכנה בדרכים.</w:t>
      </w:r>
    </w:p>
    <w:p w14:paraId="133FCCA4" w14:textId="77777777" w:rsidR="002E5BAD" w:rsidRPr="005B353B" w:rsidRDefault="002E5BAD" w:rsidP="002E5BAD">
      <w:pPr>
        <w:rPr>
          <w:u w:val="single"/>
          <w:rtl/>
        </w:rPr>
      </w:pPr>
      <w:r w:rsidRPr="005B353B">
        <w:rPr>
          <w:rFonts w:hint="cs"/>
          <w:u w:val="single"/>
          <w:rtl/>
        </w:rPr>
        <w:t>כפייה לעלות לארץ ישראל כשיש סכנה בדרכים:</w:t>
      </w:r>
    </w:p>
    <w:p w14:paraId="119A745E" w14:textId="77777777" w:rsidR="002E5BAD" w:rsidRPr="00EA4F01" w:rsidRDefault="002E5BAD" w:rsidP="002E5BAD">
      <w:pPr>
        <w:pStyle w:val="ab"/>
        <w:numPr>
          <w:ilvl w:val="0"/>
          <w:numId w:val="136"/>
        </w:numPr>
      </w:pPr>
      <w:r w:rsidRPr="00C45046">
        <w:rPr>
          <w:rFonts w:cs="Arial"/>
          <w:rtl/>
        </w:rPr>
        <w:t xml:space="preserve">רשב"ש </w:t>
      </w:r>
      <w:r w:rsidRPr="00C45046">
        <w:rPr>
          <w:rFonts w:cs="Arial" w:hint="cs"/>
          <w:sz w:val="16"/>
          <w:szCs w:val="16"/>
          <w:rtl/>
        </w:rPr>
        <w:t>(</w:t>
      </w:r>
      <w:r w:rsidRPr="00C45046">
        <w:rPr>
          <w:rFonts w:cs="Arial"/>
          <w:sz w:val="16"/>
          <w:szCs w:val="16"/>
          <w:rtl/>
        </w:rPr>
        <w:t>סו"ס א)</w:t>
      </w:r>
      <w:r w:rsidRPr="00C45046">
        <w:rPr>
          <w:rFonts w:cs="Arial" w:hint="cs"/>
          <w:rtl/>
        </w:rPr>
        <w:t xml:space="preserve">- </w:t>
      </w:r>
      <w:r w:rsidRPr="00C45046">
        <w:rPr>
          <w:rFonts w:cs="Arial"/>
          <w:rtl/>
        </w:rPr>
        <w:t>דבר פשוט הוא דהא דכופין לעלות לארץ ישראל היינו בדאיפשר בלא סכנה</w:t>
      </w:r>
      <w:r>
        <w:rPr>
          <w:rFonts w:cs="Arial" w:hint="cs"/>
          <w:rtl/>
        </w:rPr>
        <w:t>,</w:t>
      </w:r>
      <w:r w:rsidRPr="00C45046">
        <w:rPr>
          <w:rFonts w:cs="Arial"/>
          <w:rtl/>
        </w:rPr>
        <w:t xml:space="preserve"> דאי איכא סכנה אסור לסכן עצמו</w:t>
      </w:r>
      <w:r>
        <w:rPr>
          <w:rFonts w:cs="Arial" w:hint="cs"/>
          <w:rtl/>
        </w:rPr>
        <w:t>.</w:t>
      </w:r>
      <w:r w:rsidRPr="00C45046">
        <w:rPr>
          <w:rFonts w:cs="Arial"/>
          <w:rtl/>
        </w:rPr>
        <w:t xml:space="preserve"> הילכך בזמן הזה בארצות הללו</w:t>
      </w:r>
      <w:r>
        <w:rPr>
          <w:rFonts w:cs="Arial" w:hint="cs"/>
          <w:rtl/>
        </w:rPr>
        <w:t>,</w:t>
      </w:r>
      <w:r w:rsidRPr="00C45046">
        <w:rPr>
          <w:rFonts w:cs="Arial"/>
          <w:rtl/>
        </w:rPr>
        <w:t xml:space="preserve"> כל שהוא מסוף המערב עד נוא אמון </w:t>
      </w:r>
      <w:r>
        <w:rPr>
          <w:rFonts w:cs="Arial" w:hint="cs"/>
          <w:rtl/>
        </w:rPr>
        <w:t xml:space="preserve">- </w:t>
      </w:r>
      <w:r w:rsidRPr="00C45046">
        <w:rPr>
          <w:rFonts w:cs="Arial"/>
          <w:rtl/>
        </w:rPr>
        <w:t>אין כופין לעלות</w:t>
      </w:r>
      <w:r>
        <w:rPr>
          <w:rFonts w:cs="Arial" w:hint="cs"/>
          <w:rtl/>
        </w:rPr>
        <w:t>.</w:t>
      </w:r>
      <w:r w:rsidRPr="00C45046">
        <w:rPr>
          <w:rFonts w:cs="Arial"/>
          <w:rtl/>
        </w:rPr>
        <w:t xml:space="preserve"> ומנוא אמון ולמעלה </w:t>
      </w:r>
      <w:r>
        <w:rPr>
          <w:rFonts w:cs="Arial" w:hint="cs"/>
          <w:rtl/>
        </w:rPr>
        <w:t xml:space="preserve">- </w:t>
      </w:r>
      <w:r w:rsidRPr="00C45046">
        <w:rPr>
          <w:rFonts w:cs="Arial"/>
          <w:rtl/>
        </w:rPr>
        <w:t>כופין לעלות דרך יבשה</w:t>
      </w:r>
      <w:r>
        <w:rPr>
          <w:rFonts w:cs="Arial" w:hint="cs"/>
          <w:rtl/>
        </w:rPr>
        <w:t>,</w:t>
      </w:r>
      <w:r w:rsidRPr="00C45046">
        <w:rPr>
          <w:rFonts w:cs="Arial"/>
          <w:rtl/>
        </w:rPr>
        <w:t xml:space="preserve"> וגם דרך ים בימות החמה אם אין שם לסטים</w:t>
      </w:r>
      <w:r>
        <w:rPr>
          <w:rFonts w:cs="Arial" w:hint="cs"/>
          <w:rtl/>
        </w:rPr>
        <w:t>.</w:t>
      </w:r>
      <w:r w:rsidRPr="00C45046">
        <w:rPr>
          <w:rFonts w:cs="Arial"/>
          <w:rtl/>
        </w:rPr>
        <w:t xml:space="preserve"> </w:t>
      </w:r>
      <w:r w:rsidRPr="004B3BCF">
        <w:rPr>
          <w:rFonts w:hint="cs"/>
          <w:color w:val="E36C0A" w:themeColor="accent6" w:themeShade="BF"/>
          <w:rtl/>
        </w:rPr>
        <w:t>(וכ"פ בשו"ע)</w:t>
      </w:r>
    </w:p>
    <w:p w14:paraId="6D6EE3E2" w14:textId="77777777" w:rsidR="002E5BAD" w:rsidRPr="004315B8" w:rsidRDefault="002E5BAD" w:rsidP="002E5BAD">
      <w:pPr>
        <w:rPr>
          <w:u w:val="single"/>
        </w:rPr>
      </w:pPr>
      <w:r w:rsidRPr="004315B8">
        <w:rPr>
          <w:rFonts w:hint="cs"/>
          <w:u w:val="single"/>
          <w:rtl/>
        </w:rPr>
        <w:t>נשא אשה במקום שנהגו בו דבר מסויים, ועבר</w:t>
      </w:r>
      <w:r>
        <w:rPr>
          <w:rFonts w:hint="cs"/>
          <w:u w:val="single"/>
          <w:rtl/>
        </w:rPr>
        <w:t xml:space="preserve"> האיש</w:t>
      </w:r>
      <w:r w:rsidRPr="004315B8">
        <w:rPr>
          <w:rFonts w:hint="cs"/>
          <w:u w:val="single"/>
          <w:rtl/>
        </w:rPr>
        <w:t xml:space="preserve"> על אותו דבר </w:t>
      </w:r>
      <w:r w:rsidRPr="004315B8">
        <w:rPr>
          <w:u w:val="single"/>
          <w:rtl/>
        </w:rPr>
        <w:t>–</w:t>
      </w:r>
      <w:r w:rsidRPr="004315B8">
        <w:rPr>
          <w:rFonts w:hint="cs"/>
          <w:u w:val="single"/>
          <w:rtl/>
        </w:rPr>
        <w:t xml:space="preserve"> האם אפשר לקונסו/לנדותו כמו שנהגו שם:</w:t>
      </w:r>
    </w:p>
    <w:p w14:paraId="5229359C" w14:textId="77777777" w:rsidR="002E5BAD" w:rsidRDefault="002E5BAD" w:rsidP="002E5BAD">
      <w:pPr>
        <w:pStyle w:val="ab"/>
        <w:numPr>
          <w:ilvl w:val="0"/>
          <w:numId w:val="136"/>
        </w:numPr>
      </w:pPr>
      <w:r w:rsidRPr="00C45046">
        <w:rPr>
          <w:rFonts w:cs="Arial"/>
          <w:rtl/>
        </w:rPr>
        <w:t xml:space="preserve">רשב"א </w:t>
      </w:r>
      <w:r w:rsidRPr="00C45046">
        <w:rPr>
          <w:rFonts w:cs="Arial"/>
          <w:sz w:val="16"/>
          <w:szCs w:val="16"/>
          <w:rtl/>
        </w:rPr>
        <w:t>(ח"ד סי' קפו)</w:t>
      </w:r>
      <w:r>
        <w:rPr>
          <w:rFonts w:cs="Arial" w:hint="cs"/>
          <w:rtl/>
        </w:rPr>
        <w:t>-</w:t>
      </w:r>
      <w:r w:rsidRPr="00C45046">
        <w:rPr>
          <w:rFonts w:cs="Arial"/>
          <w:rtl/>
        </w:rPr>
        <w:t xml:space="preserve"> שאלת מי שעבר על גדר מהגדרים כגון שגירש אשתו שלא על דרך ההסכמות ושלח לה גיטה ע"י שליח עומד במלכות</w:t>
      </w:r>
      <w:r>
        <w:rPr>
          <w:rFonts w:cs="Arial" w:hint="cs"/>
          <w:rtl/>
        </w:rPr>
        <w:t>,</w:t>
      </w:r>
      <w:r w:rsidRPr="00C45046">
        <w:rPr>
          <w:rFonts w:cs="Arial"/>
          <w:rtl/>
        </w:rPr>
        <w:t xml:space="preserve"> שאין להם גדר בדבר זה</w:t>
      </w:r>
      <w:r>
        <w:rPr>
          <w:rFonts w:cs="Arial" w:hint="cs"/>
          <w:rtl/>
        </w:rPr>
        <w:t>,</w:t>
      </w:r>
      <w:r w:rsidRPr="00C45046">
        <w:rPr>
          <w:rFonts w:cs="Arial"/>
          <w:rtl/>
        </w:rPr>
        <w:t xml:space="preserve"> אם יש רשות לנכבדי הקהל ההוא להחרים המגרש ההוא מכח הגדר שלהם עד שיבוא אצלם במסורת הברית. תשובה</w:t>
      </w:r>
      <w:r>
        <w:rPr>
          <w:rFonts w:cs="Arial" w:hint="cs"/>
          <w:rtl/>
        </w:rPr>
        <w:t>-</w:t>
      </w:r>
      <w:r w:rsidRPr="00C45046">
        <w:rPr>
          <w:rFonts w:cs="Arial"/>
          <w:rtl/>
        </w:rPr>
        <w:t xml:space="preserve"> כל דברי הנישואין סתמן כפירושן</w:t>
      </w:r>
      <w:r>
        <w:rPr>
          <w:rFonts w:cs="Arial" w:hint="cs"/>
          <w:rtl/>
        </w:rPr>
        <w:t>,</w:t>
      </w:r>
      <w:r w:rsidRPr="00C45046">
        <w:rPr>
          <w:rFonts w:cs="Arial"/>
          <w:rtl/>
        </w:rPr>
        <w:t xml:space="preserve"> ויש מהן שתקנו חכמים לכל</w:t>
      </w:r>
      <w:r>
        <w:rPr>
          <w:rFonts w:cs="Arial" w:hint="cs"/>
          <w:rtl/>
        </w:rPr>
        <w:t>,</w:t>
      </w:r>
      <w:r w:rsidRPr="00C45046">
        <w:rPr>
          <w:rFonts w:cs="Arial"/>
          <w:rtl/>
        </w:rPr>
        <w:t xml:space="preserve"> והם תנאי כתובה הנזכרים בפרק נערה (כתובות נא. נב:)</w:t>
      </w:r>
      <w:r>
        <w:rPr>
          <w:rFonts w:cs="Arial" w:hint="cs"/>
          <w:rtl/>
        </w:rPr>
        <w:t>,</w:t>
      </w:r>
      <w:r w:rsidRPr="00C45046">
        <w:rPr>
          <w:rFonts w:cs="Arial"/>
          <w:rtl/>
        </w:rPr>
        <w:t xml:space="preserve"> ויש שלא תקנו חכמים אלא שנהגו כן בקצת מקומות מדעת עצמן</w:t>
      </w:r>
      <w:r>
        <w:rPr>
          <w:rFonts w:cs="Arial" w:hint="cs"/>
          <w:rtl/>
        </w:rPr>
        <w:t>,</w:t>
      </w:r>
      <w:r w:rsidRPr="00C45046">
        <w:rPr>
          <w:rFonts w:cs="Arial"/>
          <w:rtl/>
        </w:rPr>
        <w:t xml:space="preserve"> ולא שתקנו ביניהם בהסכמה אלא שנהגו כן דרך סתם</w:t>
      </w:r>
      <w:r>
        <w:rPr>
          <w:rFonts w:cs="Arial" w:hint="cs"/>
          <w:rtl/>
        </w:rPr>
        <w:t>,</w:t>
      </w:r>
      <w:r w:rsidRPr="00C45046">
        <w:rPr>
          <w:rFonts w:cs="Arial"/>
          <w:rtl/>
        </w:rPr>
        <w:t xml:space="preserve"> וגם בזה סתמן כפירושן</w:t>
      </w:r>
      <w:r>
        <w:rPr>
          <w:rFonts w:cs="Arial" w:hint="cs"/>
          <w:rtl/>
        </w:rPr>
        <w:t>,</w:t>
      </w:r>
      <w:r w:rsidRPr="00C45046">
        <w:rPr>
          <w:rFonts w:cs="Arial"/>
          <w:rtl/>
        </w:rPr>
        <w:t xml:space="preserve"> ואלו הם שקראו חכמים דרישת הדיוטות</w:t>
      </w:r>
      <w:r>
        <w:rPr>
          <w:rFonts w:cs="Arial" w:hint="cs"/>
          <w:rtl/>
        </w:rPr>
        <w:t>,</w:t>
      </w:r>
      <w:r w:rsidRPr="00C45046">
        <w:rPr>
          <w:rFonts w:cs="Arial"/>
          <w:rtl/>
        </w:rPr>
        <w:t xml:space="preserve"> כדאיתא בפרק המקבל (ב"מ קד.) אנשי אלכסנדריא היו מקדשין וכו' אמר להן הלל הזקן הביאו לי כתובת אמכם וכו' כלומר ראה כתובת בני העיר כתוב בהם כך</w:t>
      </w:r>
      <w:r>
        <w:rPr>
          <w:rFonts w:cs="Arial" w:hint="cs"/>
          <w:rtl/>
        </w:rPr>
        <w:t>.</w:t>
      </w:r>
      <w:r w:rsidRPr="00C45046">
        <w:rPr>
          <w:rFonts w:cs="Arial"/>
          <w:rtl/>
        </w:rPr>
        <w:t xml:space="preserve"> ואע</w:t>
      </w:r>
      <w:r>
        <w:rPr>
          <w:rFonts w:cs="Arial" w:hint="cs"/>
          <w:rtl/>
        </w:rPr>
        <w:t>"</w:t>
      </w:r>
      <w:r w:rsidRPr="00C45046">
        <w:rPr>
          <w:rFonts w:cs="Arial"/>
          <w:rtl/>
        </w:rPr>
        <w:t>פ שבכתובות של חטופות אלו לא היה כתוב כך</w:t>
      </w:r>
      <w:r>
        <w:rPr>
          <w:rFonts w:cs="Arial" w:hint="cs"/>
          <w:rtl/>
        </w:rPr>
        <w:t>,</w:t>
      </w:r>
      <w:r w:rsidRPr="00C45046">
        <w:rPr>
          <w:rFonts w:cs="Arial"/>
          <w:rtl/>
        </w:rPr>
        <w:t xml:space="preserve"> אפילו הכי התיר הלל את בניהם</w:t>
      </w:r>
      <w:r>
        <w:rPr>
          <w:rFonts w:cs="Arial" w:hint="cs"/>
          <w:rtl/>
        </w:rPr>
        <w:t>,</w:t>
      </w:r>
      <w:r w:rsidRPr="00C45046">
        <w:rPr>
          <w:rFonts w:cs="Arial"/>
          <w:rtl/>
        </w:rPr>
        <w:t xml:space="preserve"> לפי שהמקדש שם סתם על דרך הנהוג שם קידש</w:t>
      </w:r>
      <w:r>
        <w:rPr>
          <w:rFonts w:cs="Arial" w:hint="cs"/>
          <w:rtl/>
        </w:rPr>
        <w:t>.</w:t>
      </w:r>
      <w:r w:rsidRPr="00C45046">
        <w:rPr>
          <w:rFonts w:cs="Arial"/>
          <w:rtl/>
        </w:rPr>
        <w:t xml:space="preserve"> וכל אותם שבפרק המקבל של דרישת הדיוטות הביאום בירושלמי פרק נערה (ה"ח) עם אותם תנאי כתובה</w:t>
      </w:r>
      <w:r>
        <w:rPr>
          <w:rFonts w:cs="Arial" w:hint="cs"/>
          <w:rtl/>
        </w:rPr>
        <w:t>,</w:t>
      </w:r>
      <w:r w:rsidRPr="00C45046">
        <w:rPr>
          <w:rFonts w:cs="Arial"/>
          <w:rtl/>
        </w:rPr>
        <w:t xml:space="preserve"> ללמד שאלו ג"כ סתמן כפירושן</w:t>
      </w:r>
      <w:r>
        <w:rPr>
          <w:rFonts w:cs="Arial" w:hint="cs"/>
          <w:rtl/>
        </w:rPr>
        <w:t>.</w:t>
      </w:r>
      <w:r w:rsidRPr="00C45046">
        <w:rPr>
          <w:rFonts w:cs="Arial"/>
          <w:rtl/>
        </w:rPr>
        <w:t xml:space="preserve"> ומכאן נלמוד לנדון שלפנינו שכל שנשא במקום שאין מגרשין אלא מדעת האשה</w:t>
      </w:r>
      <w:r>
        <w:rPr>
          <w:rFonts w:cs="Arial" w:hint="cs"/>
          <w:rtl/>
        </w:rPr>
        <w:t>,</w:t>
      </w:r>
      <w:r w:rsidRPr="00C45046">
        <w:rPr>
          <w:rFonts w:cs="Arial"/>
          <w:rtl/>
        </w:rPr>
        <w:t xml:space="preserve"> סתמן כפירושן וע"ד כן נשאה שלא יגרשנה שלא מדעתה</w:t>
      </w:r>
      <w:r>
        <w:rPr>
          <w:rFonts w:cs="Arial" w:hint="cs"/>
          <w:rtl/>
        </w:rPr>
        <w:t>,</w:t>
      </w:r>
      <w:r w:rsidRPr="00C45046">
        <w:rPr>
          <w:rFonts w:cs="Arial"/>
          <w:rtl/>
        </w:rPr>
        <w:t xml:space="preserve"> ואם יגרשנה </w:t>
      </w:r>
      <w:r>
        <w:rPr>
          <w:rFonts w:cs="Arial" w:hint="cs"/>
          <w:rtl/>
        </w:rPr>
        <w:t xml:space="preserve">- </w:t>
      </w:r>
      <w:r w:rsidRPr="00C45046">
        <w:rPr>
          <w:rFonts w:cs="Arial"/>
          <w:rtl/>
        </w:rPr>
        <w:t>שהוא חייב במה שנהגו להיות חייב העובר על אותו מנהג בין בקנס בין בנדוי</w:t>
      </w:r>
      <w:r>
        <w:rPr>
          <w:rFonts w:cs="Arial" w:hint="cs"/>
          <w:rtl/>
        </w:rPr>
        <w:t>,</w:t>
      </w:r>
      <w:r w:rsidRPr="00C45046">
        <w:rPr>
          <w:rFonts w:cs="Arial"/>
          <w:rtl/>
        </w:rPr>
        <w:t xml:space="preserve"> ואפילו הוציאה ממקום שנשאה והוליכה למקום אחר. </w:t>
      </w:r>
    </w:p>
    <w:p w14:paraId="11FA79B7" w14:textId="77777777" w:rsidR="002E5BAD" w:rsidRPr="004315B8" w:rsidRDefault="002E5BAD" w:rsidP="002E5BAD">
      <w:pPr>
        <w:rPr>
          <w:u w:val="single"/>
        </w:rPr>
      </w:pPr>
      <w:r w:rsidRPr="004315B8">
        <w:rPr>
          <w:rFonts w:hint="cs"/>
          <w:u w:val="single"/>
          <w:rtl/>
        </w:rPr>
        <w:t xml:space="preserve">שניהם מערים נפרדות, ונישאו בעיר שנמצאת בין העיירות </w:t>
      </w:r>
      <w:r w:rsidRPr="004315B8">
        <w:rPr>
          <w:u w:val="single"/>
          <w:rtl/>
        </w:rPr>
        <w:t>–</w:t>
      </w:r>
      <w:r w:rsidRPr="004315B8">
        <w:rPr>
          <w:rFonts w:hint="cs"/>
          <w:u w:val="single"/>
          <w:rtl/>
        </w:rPr>
        <w:t xml:space="preserve"> כמנהג איזו עיר ינהגו: </w:t>
      </w:r>
    </w:p>
    <w:p w14:paraId="511C255D" w14:textId="77777777" w:rsidR="002E5BAD" w:rsidRPr="00C45046" w:rsidRDefault="002E5BAD" w:rsidP="002E5BAD">
      <w:pPr>
        <w:pStyle w:val="ab"/>
        <w:numPr>
          <w:ilvl w:val="0"/>
          <w:numId w:val="136"/>
        </w:numPr>
      </w:pPr>
      <w:r>
        <w:rPr>
          <w:rFonts w:cs="Arial" w:hint="cs"/>
          <w:rtl/>
        </w:rPr>
        <w:t xml:space="preserve">רשב"א </w:t>
      </w:r>
      <w:r>
        <w:rPr>
          <w:rFonts w:cs="Arial" w:hint="cs"/>
          <w:sz w:val="16"/>
          <w:szCs w:val="16"/>
          <w:rtl/>
        </w:rPr>
        <w:t>(ח"א סי' תרסב, ח"ג סי' תלג)</w:t>
      </w:r>
      <w:r>
        <w:rPr>
          <w:rFonts w:cs="Arial" w:hint="cs"/>
          <w:rtl/>
        </w:rPr>
        <w:t xml:space="preserve">- </w:t>
      </w:r>
      <w:r w:rsidRPr="00C45046">
        <w:rPr>
          <w:rFonts w:cs="Arial"/>
          <w:rtl/>
        </w:rPr>
        <w:t>שאלת</w:t>
      </w:r>
      <w:r>
        <w:rPr>
          <w:rFonts w:cs="Arial" w:hint="cs"/>
          <w:rtl/>
        </w:rPr>
        <w:t>,</w:t>
      </w:r>
      <w:r w:rsidRPr="00C45046">
        <w:rPr>
          <w:rFonts w:cs="Arial"/>
          <w:rtl/>
        </w:rPr>
        <w:t xml:space="preserve"> אשה שנשאת לבעל</w:t>
      </w:r>
      <w:r>
        <w:rPr>
          <w:rFonts w:cs="Arial" w:hint="cs"/>
          <w:rtl/>
        </w:rPr>
        <w:t>,</w:t>
      </w:r>
      <w:r w:rsidRPr="00C45046">
        <w:rPr>
          <w:rFonts w:cs="Arial"/>
          <w:rtl/>
        </w:rPr>
        <w:t xml:space="preserve"> והיא מעיר אחת והוא מעיר אחרת</w:t>
      </w:r>
      <w:r>
        <w:rPr>
          <w:rFonts w:cs="Arial" w:hint="cs"/>
          <w:rtl/>
        </w:rPr>
        <w:t>,</w:t>
      </w:r>
      <w:r w:rsidRPr="00C45046">
        <w:rPr>
          <w:rFonts w:cs="Arial"/>
          <w:rtl/>
        </w:rPr>
        <w:t xml:space="preserve"> ועשו הנישואין וכתבו הכתובה בעיר אחרת שהיא ממוצעת בין עירו לעירה</w:t>
      </w:r>
      <w:r>
        <w:rPr>
          <w:rFonts w:cs="Arial" w:hint="cs"/>
          <w:rtl/>
        </w:rPr>
        <w:t>,</w:t>
      </w:r>
      <w:r w:rsidRPr="00C45046">
        <w:rPr>
          <w:rFonts w:cs="Arial"/>
          <w:rtl/>
        </w:rPr>
        <w:t xml:space="preserve"> ולא נכתב בה שום תנאי. תשובה</w:t>
      </w:r>
      <w:r>
        <w:rPr>
          <w:rFonts w:cs="Arial" w:hint="cs"/>
          <w:rtl/>
        </w:rPr>
        <w:t>-</w:t>
      </w:r>
      <w:r w:rsidRPr="00C45046">
        <w:rPr>
          <w:rFonts w:cs="Arial"/>
          <w:rtl/>
        </w:rPr>
        <w:t xml:space="preserve"> אם ע"ד לדור במקום שנשאה כנסה</w:t>
      </w:r>
      <w:r>
        <w:rPr>
          <w:rFonts w:cs="Arial" w:hint="cs"/>
          <w:rtl/>
        </w:rPr>
        <w:t xml:space="preserve"> -</w:t>
      </w:r>
      <w:r w:rsidRPr="00C45046">
        <w:rPr>
          <w:rFonts w:cs="Arial"/>
          <w:rtl/>
        </w:rPr>
        <w:t xml:space="preserve"> ע</w:t>
      </w:r>
      <w:r>
        <w:rPr>
          <w:rFonts w:cs="Arial" w:hint="cs"/>
          <w:rtl/>
        </w:rPr>
        <w:t xml:space="preserve">ל </w:t>
      </w:r>
      <w:r w:rsidRPr="00C45046">
        <w:rPr>
          <w:rFonts w:cs="Arial"/>
          <w:rtl/>
        </w:rPr>
        <w:t>ת</w:t>
      </w:r>
      <w:r>
        <w:rPr>
          <w:rFonts w:cs="Arial" w:hint="cs"/>
          <w:rtl/>
        </w:rPr>
        <w:t>נאי</w:t>
      </w:r>
      <w:r w:rsidRPr="00C45046">
        <w:rPr>
          <w:rFonts w:cs="Arial"/>
          <w:rtl/>
        </w:rPr>
        <w:t xml:space="preserve"> אותו מקום נשאה</w:t>
      </w:r>
      <w:r>
        <w:rPr>
          <w:rFonts w:cs="Arial" w:hint="cs"/>
          <w:rtl/>
        </w:rPr>
        <w:t>.</w:t>
      </w:r>
      <w:r w:rsidRPr="00C45046">
        <w:rPr>
          <w:rFonts w:cs="Arial"/>
          <w:rtl/>
        </w:rPr>
        <w:t xml:space="preserve"> ואפילו דרכם לכתוב שם הכל </w:t>
      </w:r>
      <w:r>
        <w:rPr>
          <w:rFonts w:cs="Arial" w:hint="cs"/>
          <w:rtl/>
        </w:rPr>
        <w:t>'</w:t>
      </w:r>
      <w:r w:rsidRPr="00C45046">
        <w:rPr>
          <w:rFonts w:cs="Arial"/>
          <w:rtl/>
        </w:rPr>
        <w:t>לפי התנאי והמנהג שתקנו והנהיגו ביניהם קהל פלוני</w:t>
      </w:r>
      <w:r>
        <w:rPr>
          <w:rFonts w:cs="Arial" w:hint="cs"/>
          <w:rtl/>
        </w:rPr>
        <w:t>'</w:t>
      </w:r>
      <w:r w:rsidRPr="00C45046">
        <w:rPr>
          <w:rFonts w:cs="Arial"/>
          <w:rtl/>
        </w:rPr>
        <w:t xml:space="preserve"> וזה לא כתב</w:t>
      </w:r>
      <w:r>
        <w:rPr>
          <w:rFonts w:cs="Arial" w:hint="cs"/>
          <w:rtl/>
        </w:rPr>
        <w:t xml:space="preserve"> -</w:t>
      </w:r>
      <w:r w:rsidRPr="00C45046">
        <w:rPr>
          <w:rFonts w:cs="Arial"/>
          <w:rtl/>
        </w:rPr>
        <w:t xml:space="preserve"> סתמו כפירושו</w:t>
      </w:r>
      <w:r>
        <w:rPr>
          <w:rFonts w:cs="Arial" w:hint="cs"/>
          <w:rtl/>
        </w:rPr>
        <w:t>.</w:t>
      </w:r>
      <w:r w:rsidRPr="00C45046">
        <w:rPr>
          <w:rFonts w:cs="Arial"/>
          <w:rtl/>
        </w:rPr>
        <w:t xml:space="preserve"> וזהו דרישת לשון הדיוט שבפרק המקבל</w:t>
      </w:r>
      <w:r>
        <w:rPr>
          <w:rFonts w:cs="Arial" w:hint="cs"/>
          <w:rtl/>
        </w:rPr>
        <w:t>,</w:t>
      </w:r>
      <w:r w:rsidRPr="00C45046">
        <w:rPr>
          <w:rFonts w:cs="Arial"/>
          <w:rtl/>
        </w:rPr>
        <w:t xml:space="preserve"> והם הנהגות שהנהיגו ההדיוטות מעצמם בלי שתקנו חכמים</w:t>
      </w:r>
      <w:r>
        <w:rPr>
          <w:rFonts w:cs="Arial" w:hint="cs"/>
          <w:rtl/>
        </w:rPr>
        <w:t>,</w:t>
      </w:r>
      <w:r w:rsidRPr="00C45046">
        <w:rPr>
          <w:rFonts w:cs="Arial"/>
          <w:rtl/>
        </w:rPr>
        <w:t xml:space="preserve"> ואף שם לא תקנו בהסכמה</w:t>
      </w:r>
      <w:r>
        <w:rPr>
          <w:rFonts w:cs="Arial" w:hint="cs"/>
          <w:rtl/>
        </w:rPr>
        <w:t>.</w:t>
      </w:r>
      <w:r w:rsidRPr="00C45046">
        <w:rPr>
          <w:rFonts w:cs="Arial"/>
          <w:rtl/>
        </w:rPr>
        <w:t xml:space="preserve"> אבל אם דעתם לדור במקום אחר</w:t>
      </w:r>
      <w:r>
        <w:rPr>
          <w:rFonts w:cs="Arial" w:hint="cs"/>
          <w:rtl/>
        </w:rPr>
        <w:t xml:space="preserve"> -</w:t>
      </w:r>
      <w:r w:rsidRPr="00C45046">
        <w:rPr>
          <w:rFonts w:cs="Arial"/>
          <w:rtl/>
        </w:rPr>
        <w:t xml:space="preserve"> במקו' שדעת' לקבוע דירתם שם</w:t>
      </w:r>
      <w:r>
        <w:rPr>
          <w:rFonts w:cs="Arial" w:hint="cs"/>
          <w:rtl/>
        </w:rPr>
        <w:t>.</w:t>
      </w:r>
      <w:r w:rsidRPr="00C45046">
        <w:rPr>
          <w:rFonts w:cs="Arial"/>
          <w:rtl/>
        </w:rPr>
        <w:t xml:space="preserve"> או מן הסתם </w:t>
      </w:r>
      <w:r>
        <w:rPr>
          <w:rFonts w:cs="Arial" w:hint="cs"/>
          <w:rtl/>
        </w:rPr>
        <w:t xml:space="preserve">- </w:t>
      </w:r>
      <w:r w:rsidRPr="00C45046">
        <w:rPr>
          <w:rFonts w:cs="Arial"/>
          <w:rtl/>
        </w:rPr>
        <w:t>כמנהג מקומו</w:t>
      </w:r>
      <w:r>
        <w:rPr>
          <w:rFonts w:cs="Arial" w:hint="cs"/>
          <w:rtl/>
        </w:rPr>
        <w:t>,</w:t>
      </w:r>
      <w:r w:rsidRPr="00C45046">
        <w:rPr>
          <w:rFonts w:cs="Arial"/>
          <w:rtl/>
        </w:rPr>
        <w:t xml:space="preserve"> שהרי יכול להוציאה מעירה לעירו ואפילו ממדינה למדינה אחרת כל זמן שהוא מגליל והיא מיהודה או הוא מיהודה והיא מגליל כדאיתא בתוספתא וכיון שכן הרי הוא כנושא ע</w:t>
      </w:r>
      <w:r>
        <w:rPr>
          <w:rFonts w:cs="Arial" w:hint="cs"/>
          <w:rtl/>
        </w:rPr>
        <w:t xml:space="preserve">ל </w:t>
      </w:r>
      <w:r w:rsidRPr="00C45046">
        <w:rPr>
          <w:rFonts w:cs="Arial"/>
          <w:rtl/>
        </w:rPr>
        <w:t>ת</w:t>
      </w:r>
      <w:r>
        <w:rPr>
          <w:rFonts w:cs="Arial" w:hint="cs"/>
          <w:rtl/>
        </w:rPr>
        <w:t>נאי</w:t>
      </w:r>
      <w:r w:rsidRPr="00C45046">
        <w:rPr>
          <w:rFonts w:cs="Arial"/>
          <w:rtl/>
        </w:rPr>
        <w:t xml:space="preserve"> מקומו שהוא מוציאה שם. </w:t>
      </w:r>
    </w:p>
    <w:p w14:paraId="3FD2505B" w14:textId="77777777" w:rsidR="002E5BAD" w:rsidRPr="005B353B" w:rsidRDefault="002E5BAD" w:rsidP="002E5BAD">
      <w:pPr>
        <w:rPr>
          <w:u w:val="single"/>
        </w:rPr>
      </w:pPr>
      <w:r w:rsidRPr="005B353B">
        <w:rPr>
          <w:rFonts w:cs="Arial"/>
          <w:u w:val="single"/>
          <w:rtl/>
        </w:rPr>
        <w:t>אשה שמסרה מודעא שלא מחלה זכותה שלא יוציאנה הבעל ממקום שנשאת שם</w:t>
      </w:r>
      <w:r w:rsidRPr="005B353B">
        <w:rPr>
          <w:rFonts w:hint="cs"/>
          <w:u w:val="single"/>
          <w:rtl/>
        </w:rPr>
        <w:t>:</w:t>
      </w:r>
    </w:p>
    <w:p w14:paraId="0261784C" w14:textId="77777777" w:rsidR="002E5BAD" w:rsidRPr="00242605" w:rsidRDefault="002E5BAD" w:rsidP="002E5BAD">
      <w:pPr>
        <w:pStyle w:val="ab"/>
        <w:numPr>
          <w:ilvl w:val="0"/>
          <w:numId w:val="136"/>
        </w:numPr>
        <w:rPr>
          <w:rtl/>
        </w:rPr>
      </w:pPr>
      <w:r w:rsidRPr="00C45046">
        <w:rPr>
          <w:rFonts w:cs="Arial"/>
          <w:rtl/>
        </w:rPr>
        <w:t>תרו</w:t>
      </w:r>
      <w:r>
        <w:rPr>
          <w:rFonts w:cs="Arial" w:hint="cs"/>
          <w:rtl/>
        </w:rPr>
        <w:t xml:space="preserve">ה"ד </w:t>
      </w:r>
      <w:r w:rsidRPr="00C45046">
        <w:rPr>
          <w:rFonts w:cs="Arial" w:hint="cs"/>
          <w:sz w:val="16"/>
          <w:szCs w:val="16"/>
          <w:rtl/>
        </w:rPr>
        <w:t>(</w:t>
      </w:r>
      <w:r w:rsidRPr="00C45046">
        <w:rPr>
          <w:rFonts w:cs="Arial"/>
          <w:sz w:val="16"/>
          <w:szCs w:val="16"/>
          <w:rtl/>
        </w:rPr>
        <w:t>ח"ב סי</w:t>
      </w:r>
      <w:r w:rsidRPr="00C45046">
        <w:rPr>
          <w:rFonts w:cs="Arial" w:hint="cs"/>
          <w:sz w:val="16"/>
          <w:szCs w:val="16"/>
          <w:rtl/>
        </w:rPr>
        <w:t>'</w:t>
      </w:r>
      <w:r w:rsidRPr="00C45046">
        <w:rPr>
          <w:rFonts w:cs="Arial"/>
          <w:sz w:val="16"/>
          <w:szCs w:val="16"/>
          <w:rtl/>
        </w:rPr>
        <w:t xml:space="preserve"> רלא</w:t>
      </w:r>
      <w:r w:rsidRPr="00C45046">
        <w:rPr>
          <w:rFonts w:cs="Arial" w:hint="cs"/>
          <w:sz w:val="16"/>
          <w:szCs w:val="16"/>
          <w:rtl/>
        </w:rPr>
        <w:t>)</w:t>
      </w:r>
      <w:r>
        <w:rPr>
          <w:rFonts w:cs="Arial" w:hint="cs"/>
          <w:rtl/>
        </w:rPr>
        <w:t>-</w:t>
      </w:r>
      <w:r w:rsidRPr="00C45046">
        <w:rPr>
          <w:rFonts w:cs="Arial"/>
          <w:rtl/>
        </w:rPr>
        <w:t xml:space="preserve"> אשה שמסרה מודעא שלא מחלה זכותה שלא יוציאנה הבעל ממקום שנשאת שם </w:t>
      </w:r>
      <w:r>
        <w:rPr>
          <w:rFonts w:cs="Arial" w:hint="cs"/>
          <w:rtl/>
        </w:rPr>
        <w:t xml:space="preserve">- </w:t>
      </w:r>
      <w:r w:rsidRPr="00C45046">
        <w:rPr>
          <w:rFonts w:cs="Arial"/>
          <w:rtl/>
        </w:rPr>
        <w:t>פשיטא דמהני דאפילו גילוי דעת בעלמא הוי מועיל</w:t>
      </w:r>
      <w:r>
        <w:rPr>
          <w:rFonts w:cs="Arial" w:hint="cs"/>
          <w:rtl/>
        </w:rPr>
        <w:t>.</w:t>
      </w:r>
    </w:p>
    <w:p w14:paraId="7050A8C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1683B87" w14:textId="77777777" w:rsidR="002E5BAD" w:rsidRDefault="002E5BAD" w:rsidP="002E5BAD">
      <w:pPr>
        <w:rPr>
          <w:rtl/>
        </w:rPr>
      </w:pPr>
      <w:r>
        <w:rPr>
          <w:rFonts w:cs="Arial"/>
          <w:rtl/>
        </w:rPr>
        <w:t>יש מי שאומר דהא דכופין לעלות לא</w:t>
      </w:r>
      <w:r>
        <w:rPr>
          <w:rFonts w:cs="Arial" w:hint="cs"/>
          <w:rtl/>
        </w:rPr>
        <w:t xml:space="preserve">רץ </w:t>
      </w:r>
      <w:r>
        <w:rPr>
          <w:rFonts w:cs="Arial"/>
          <w:rtl/>
        </w:rPr>
        <w:t>י</w:t>
      </w:r>
      <w:r>
        <w:rPr>
          <w:rFonts w:cs="Arial" w:hint="cs"/>
          <w:rtl/>
        </w:rPr>
        <w:t>שראל</w:t>
      </w:r>
      <w:r>
        <w:rPr>
          <w:rFonts w:cs="Arial"/>
          <w:rtl/>
        </w:rPr>
        <w:t>, היינו בדאיפשר בלא סכנה</w:t>
      </w:r>
      <w:r>
        <w:rPr>
          <w:rFonts w:cs="Arial" w:hint="cs"/>
          <w:rtl/>
        </w:rPr>
        <w:t>.</w:t>
      </w:r>
      <w:r>
        <w:rPr>
          <w:rFonts w:cs="Arial"/>
          <w:rtl/>
        </w:rPr>
        <w:t xml:space="preserve"> הילכך</w:t>
      </w:r>
      <w:r>
        <w:rPr>
          <w:rFonts w:cs="Arial" w:hint="cs"/>
          <w:rtl/>
        </w:rPr>
        <w:t>,</w:t>
      </w:r>
      <w:r>
        <w:rPr>
          <w:rFonts w:cs="Arial"/>
          <w:rtl/>
        </w:rPr>
        <w:t xml:space="preserve"> מסוף המערב עד נוא אמון</w:t>
      </w:r>
      <w:r>
        <w:rPr>
          <w:rFonts w:cs="Arial" w:hint="cs"/>
          <w:rtl/>
        </w:rPr>
        <w:t>,</w:t>
      </w:r>
      <w:r>
        <w:rPr>
          <w:rFonts w:cs="Arial"/>
          <w:rtl/>
        </w:rPr>
        <w:t xml:space="preserve"> אין כופין לעלות</w:t>
      </w:r>
      <w:r>
        <w:rPr>
          <w:rFonts w:cs="Arial" w:hint="cs"/>
          <w:rtl/>
        </w:rPr>
        <w:t>.</w:t>
      </w:r>
      <w:r>
        <w:rPr>
          <w:rFonts w:cs="Arial"/>
          <w:rtl/>
        </w:rPr>
        <w:t xml:space="preserve"> ומנוא אמון ולמעלה</w:t>
      </w:r>
      <w:r>
        <w:rPr>
          <w:rFonts w:cs="Arial" w:hint="cs"/>
          <w:rtl/>
        </w:rPr>
        <w:t>,</w:t>
      </w:r>
      <w:r>
        <w:rPr>
          <w:rFonts w:cs="Arial"/>
          <w:rtl/>
        </w:rPr>
        <w:t xml:space="preserve"> כופין לעלות דרך יבשה</w:t>
      </w:r>
      <w:r>
        <w:rPr>
          <w:rFonts w:cs="Arial" w:hint="cs"/>
          <w:rtl/>
        </w:rPr>
        <w:t>.</w:t>
      </w:r>
      <w:r>
        <w:rPr>
          <w:rFonts w:cs="Arial"/>
          <w:rtl/>
        </w:rPr>
        <w:t xml:space="preserve"> וגם דרך ים בימות החמה, אם אין שם לסטים.</w:t>
      </w:r>
    </w:p>
    <w:p w14:paraId="76C09B68" w14:textId="77777777" w:rsidR="002E5BAD" w:rsidRPr="00471D63" w:rsidRDefault="002E5BAD" w:rsidP="002E5BAD">
      <w:pPr>
        <w:rPr>
          <w:rtl/>
        </w:rPr>
        <w:sectPr w:rsidR="002E5BAD" w:rsidRPr="00471D63" w:rsidSect="00A347B3">
          <w:headerReference w:type="default" r:id="rId31"/>
          <w:footnotePr>
            <w:numRestart w:val="eachPage"/>
          </w:footnotePr>
          <w:pgSz w:w="11906" w:h="16838"/>
          <w:pgMar w:top="720" w:right="1134" w:bottom="720" w:left="1134" w:header="0" w:footer="0" w:gutter="0"/>
          <w:cols w:space="720"/>
          <w:bidi/>
          <w:rtlGutter/>
          <w:docGrid w:linePitch="360"/>
        </w:sectPr>
      </w:pPr>
    </w:p>
    <w:p w14:paraId="5616DE2A" w14:textId="77777777" w:rsidR="002E5BAD" w:rsidRDefault="002E5BAD" w:rsidP="002E5BAD">
      <w:pPr>
        <w:pStyle w:val="1"/>
        <w:rPr>
          <w:rtl/>
        </w:rPr>
      </w:pPr>
      <w:r>
        <w:rPr>
          <w:rFonts w:hint="cs"/>
          <w:rtl/>
        </w:rPr>
        <w:lastRenderedPageBreak/>
        <w:t>סימן עו:</w:t>
      </w:r>
      <w:r w:rsidRPr="00C12B74">
        <w:rPr>
          <w:rtl/>
        </w:rPr>
        <w:t xml:space="preserve"> </w:t>
      </w:r>
      <w:r>
        <w:rPr>
          <w:rFonts w:cs="Arial"/>
          <w:rtl/>
        </w:rPr>
        <w:t xml:space="preserve">חיוב עונה, ובו י"ג סעיפים. </w:t>
      </w:r>
    </w:p>
    <w:p w14:paraId="4655D4FD" w14:textId="77777777" w:rsidR="002E5BAD" w:rsidRDefault="002E5BAD" w:rsidP="002E5BAD">
      <w:pPr>
        <w:pStyle w:val="2"/>
        <w:rPr>
          <w:rtl/>
        </w:rPr>
      </w:pPr>
      <w:r>
        <w:rPr>
          <w:rtl/>
        </w:rPr>
        <w:t>סעיף א</w:t>
      </w:r>
      <w:r>
        <w:rPr>
          <w:rFonts w:hint="cs"/>
          <w:rtl/>
        </w:rPr>
        <w:t>: טיילים.</w:t>
      </w:r>
    </w:p>
    <w:p w14:paraId="65D8BEAE" w14:textId="77777777" w:rsidR="002E5BAD" w:rsidRPr="00091A67" w:rsidRDefault="002E5BAD" w:rsidP="002E5BAD">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xml:space="preserve">: שבת אחת. 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w:t>
      </w:r>
      <w:r w:rsidRPr="00DE6B68">
        <w:rPr>
          <w:rFonts w:cs="Arial"/>
          <w:u w:val="single"/>
          <w:rtl/>
        </w:rPr>
        <w:t>דברי רבי אליעזר</w:t>
      </w:r>
      <w:r w:rsidRPr="00DE6B68">
        <w:rPr>
          <w:rFonts w:cs="Arial"/>
          <w:rtl/>
        </w:rPr>
        <w:t>.</w:t>
      </w:r>
      <w:r>
        <w:rPr>
          <w:rFonts w:hint="cs"/>
          <w:rtl/>
        </w:rPr>
        <w:t xml:space="preserve">      </w:t>
      </w:r>
      <w:r>
        <w:rPr>
          <w:rFonts w:cs="Arial" w:hint="cs"/>
          <w:u w:val="double"/>
          <w:rtl/>
        </w:rPr>
        <w:t>גמ</w:t>
      </w:r>
      <w:r w:rsidRPr="00AA00D2">
        <w:rPr>
          <w:rFonts w:cs="Arial"/>
          <w:u w:val="double"/>
          <w:rtl/>
        </w:rPr>
        <w:t>'</w:t>
      </w:r>
      <w:r>
        <w:rPr>
          <w:rFonts w:cs="Arial" w:hint="cs"/>
          <w:sz w:val="14"/>
          <w:szCs w:val="14"/>
          <w:u w:val="double"/>
          <w:rtl/>
        </w:rPr>
        <w:t>(סב.)</w:t>
      </w:r>
      <w:r>
        <w:rPr>
          <w:rFonts w:cs="Arial" w:hint="cs"/>
          <w:u w:val="double"/>
          <w:rtl/>
        </w:rPr>
        <w:t>:</w:t>
      </w:r>
      <w:r>
        <w:rPr>
          <w:rFonts w:cs="Arial" w:hint="cs"/>
          <w:rtl/>
        </w:rPr>
        <w:t xml:space="preserve"> </w:t>
      </w:r>
      <w:r w:rsidRPr="00DE6B68">
        <w:rPr>
          <w:rFonts w:cs="Arial"/>
          <w:rtl/>
        </w:rPr>
        <w:t xml:space="preserve">הטיילין - בכל יום. מאי טיילין? </w:t>
      </w:r>
      <w:r w:rsidRPr="00DE6B68">
        <w:rPr>
          <w:rFonts w:cs="Arial"/>
          <w:u w:val="single"/>
          <w:rtl/>
        </w:rPr>
        <w:t>אמר רבא</w:t>
      </w:r>
      <w:r w:rsidRPr="00DE6B68">
        <w:rPr>
          <w:rFonts w:cs="Arial"/>
          <w:rtl/>
        </w:rPr>
        <w:t>: בני פירקי</w:t>
      </w:r>
      <w:r>
        <w:rPr>
          <w:rStyle w:val="a7"/>
          <w:rFonts w:cs="Arial"/>
          <w:rtl/>
        </w:rPr>
        <w:footnoteReference w:id="1229"/>
      </w:r>
      <w:r w:rsidRPr="00DE6B68">
        <w:rPr>
          <w:rFonts w:cs="Arial"/>
          <w:rtl/>
        </w:rPr>
        <w:t xml:space="preserve">. </w:t>
      </w:r>
      <w:r w:rsidRPr="00DE6B68">
        <w:rPr>
          <w:rFonts w:cs="Arial"/>
          <w:u w:val="single"/>
          <w:rtl/>
        </w:rPr>
        <w:t>א"ל אביי</w:t>
      </w:r>
      <w:r>
        <w:rPr>
          <w:rFonts w:cs="Arial" w:hint="cs"/>
          <w:rtl/>
        </w:rPr>
        <w:t>:</w:t>
      </w:r>
      <w:r w:rsidRPr="00DE6B68">
        <w:rPr>
          <w:rFonts w:cs="Arial"/>
          <w:rtl/>
        </w:rPr>
        <w:t xml:space="preserve"> מאן דכתיב בהו</w:t>
      </w:r>
      <w:r>
        <w:rPr>
          <w:rStyle w:val="a7"/>
          <w:rFonts w:cs="Arial"/>
          <w:rtl/>
        </w:rPr>
        <w:footnoteReference w:id="1230"/>
      </w:r>
      <w:r w:rsidRPr="00DE6B68">
        <w:rPr>
          <w:rFonts w:cs="Arial"/>
          <w:rtl/>
        </w:rPr>
        <w:t>: שוא לכם משכימי קום מאחרי שבת</w:t>
      </w:r>
      <w:r>
        <w:rPr>
          <w:rStyle w:val="a7"/>
          <w:rFonts w:cs="Arial"/>
          <w:rtl/>
        </w:rPr>
        <w:footnoteReference w:id="1231"/>
      </w:r>
      <w:r w:rsidRPr="00DE6B68">
        <w:rPr>
          <w:rFonts w:cs="Arial"/>
          <w:rtl/>
        </w:rPr>
        <w:t xml:space="preserve"> אוכלי לחם העצבים כן יתן לידידו שנא</w:t>
      </w:r>
      <w:r>
        <w:rPr>
          <w:rFonts w:cs="Arial" w:hint="cs"/>
          <w:rtl/>
        </w:rPr>
        <w:t>,</w:t>
      </w:r>
      <w:r w:rsidRPr="00DE6B68">
        <w:rPr>
          <w:rFonts w:cs="Arial"/>
          <w:rtl/>
        </w:rPr>
        <w:t xml:space="preserve"> </w:t>
      </w:r>
      <w:r w:rsidRPr="00DE6B68">
        <w:rPr>
          <w:rFonts w:cs="Arial"/>
          <w:u w:val="single"/>
          <w:rtl/>
        </w:rPr>
        <w:t>ואמר רב יצחק</w:t>
      </w:r>
      <w:r w:rsidRPr="00DE6B68">
        <w:rPr>
          <w:rFonts w:cs="Arial"/>
          <w:rtl/>
        </w:rPr>
        <w:t>: אלו נשותיהן של ת"ח שמנדדות שינה</w:t>
      </w:r>
      <w:r>
        <w:rPr>
          <w:rStyle w:val="a7"/>
          <w:rFonts w:cs="Arial"/>
          <w:rtl/>
        </w:rPr>
        <w:footnoteReference w:id="1232"/>
      </w:r>
      <w:r w:rsidRPr="00DE6B68">
        <w:rPr>
          <w:rFonts w:cs="Arial"/>
          <w:rtl/>
        </w:rPr>
        <w:t xml:space="preserve"> מעיניהם בעוה"ז ובאות לחיי העוה"ב, ואת אמרת: בני פירקי! </w:t>
      </w:r>
      <w:r w:rsidRPr="006126F6">
        <w:rPr>
          <w:rFonts w:cs="Arial"/>
          <w:u w:val="single"/>
          <w:rtl/>
        </w:rPr>
        <w:t>אלא אמר אביי</w:t>
      </w:r>
      <w:r w:rsidRPr="00DE6B68">
        <w:rPr>
          <w:rFonts w:cs="Arial"/>
          <w:rtl/>
        </w:rPr>
        <w:t>: כדרב, דאמר רב: כגון רב שמואל בר שילת, דאכיל מדידיה ושתי מדידיה, וגני בטולא דאפדניה, ולא חליף פריסתקא דמלכא אבביה</w:t>
      </w:r>
      <w:r>
        <w:rPr>
          <w:rStyle w:val="a7"/>
          <w:rFonts w:cs="Arial"/>
          <w:rtl/>
        </w:rPr>
        <w:footnoteReference w:id="1233"/>
      </w:r>
      <w:r w:rsidRPr="00DE6B68">
        <w:rPr>
          <w:rFonts w:cs="Arial"/>
          <w:rtl/>
        </w:rPr>
        <w:t xml:space="preserve">. </w:t>
      </w:r>
      <w:r w:rsidRPr="00DB78F6">
        <w:rPr>
          <w:rFonts w:cs="Arial"/>
          <w:u w:val="single"/>
          <w:rtl/>
        </w:rPr>
        <w:t>כי אתא רבין אמר</w:t>
      </w:r>
      <w:r w:rsidRPr="00DE6B68">
        <w:rPr>
          <w:rFonts w:cs="Arial"/>
          <w:rtl/>
        </w:rPr>
        <w:t>: כגון מפנקי דמערבא</w:t>
      </w:r>
      <w:r>
        <w:rPr>
          <w:rStyle w:val="a7"/>
          <w:rFonts w:cs="Arial"/>
          <w:rtl/>
        </w:rPr>
        <w:footnoteReference w:id="1234"/>
      </w:r>
      <w:r w:rsidRPr="00DE6B68">
        <w:rPr>
          <w:rFonts w:cs="Arial"/>
          <w:rtl/>
        </w:rPr>
        <w:t>.</w:t>
      </w:r>
      <w:r>
        <w:rPr>
          <w:rFonts w:cs="Arial" w:hint="cs"/>
          <w:rtl/>
        </w:rPr>
        <w:t>..</w:t>
      </w:r>
      <w:r w:rsidRPr="00DE6B68">
        <w:rPr>
          <w:rFonts w:cs="Arial"/>
          <w:rtl/>
        </w:rPr>
        <w:t xml:space="preserve"> והפועלים - שתים בשבת. והתניא: הפועלים - אחת בשבת! </w:t>
      </w:r>
      <w:r w:rsidRPr="005134A8">
        <w:rPr>
          <w:rFonts w:cs="Arial"/>
          <w:u w:val="single"/>
          <w:rtl/>
        </w:rPr>
        <w:t>א</w:t>
      </w:r>
      <w:r w:rsidRPr="00CB1695">
        <w:rPr>
          <w:rFonts w:cs="Arial"/>
          <w:u w:val="single"/>
          <w:rtl/>
        </w:rPr>
        <w:t>"ר יוסי ברבי חנינא</w:t>
      </w:r>
      <w:r>
        <w:rPr>
          <w:rFonts w:cs="Arial" w:hint="cs"/>
          <w:rtl/>
        </w:rPr>
        <w:t>:</w:t>
      </w:r>
      <w:r w:rsidRPr="00DE6B68">
        <w:rPr>
          <w:rFonts w:cs="Arial"/>
          <w:rtl/>
        </w:rPr>
        <w:t xml:space="preserve"> לא קשיא</w:t>
      </w:r>
      <w:r>
        <w:rPr>
          <w:rFonts w:cs="Arial" w:hint="cs"/>
          <w:rtl/>
        </w:rPr>
        <w:t>,</w:t>
      </w:r>
      <w:r w:rsidRPr="00DE6B68">
        <w:rPr>
          <w:rFonts w:cs="Arial"/>
          <w:rtl/>
        </w:rPr>
        <w:t xml:space="preserve"> כאן בעושין מלאכה בעירן</w:t>
      </w:r>
      <w:r>
        <w:rPr>
          <w:rStyle w:val="a7"/>
          <w:rFonts w:cs="Arial"/>
          <w:rtl/>
        </w:rPr>
        <w:footnoteReference w:id="1235"/>
      </w:r>
      <w:r w:rsidRPr="00DE6B68">
        <w:rPr>
          <w:rFonts w:cs="Arial"/>
          <w:rtl/>
        </w:rPr>
        <w:t xml:space="preserve">, כאן בעושין מלאכה בעיר אחרת. תניא נמי הכי: הפועלים - שתים בשבת, במה דברים אמורים - בעושין מלאכה בעירן, אבל בעושין מלאכה בעיר אחרת - אחת בשבת. החמרים - אחת בשבת. </w:t>
      </w:r>
      <w:r w:rsidRPr="00CB1695">
        <w:rPr>
          <w:rFonts w:cs="Arial"/>
          <w:u w:val="single"/>
          <w:rtl/>
        </w:rPr>
        <w:t>אמר ליה רבה בר רב חנן לאביי</w:t>
      </w:r>
      <w:r w:rsidRPr="00DE6B68">
        <w:rPr>
          <w:rFonts w:cs="Arial"/>
          <w:rtl/>
        </w:rPr>
        <w:t>: איכפל תנא לאשמועינן טייל ופועל</w:t>
      </w:r>
      <w:r>
        <w:rPr>
          <w:rStyle w:val="a7"/>
          <w:rFonts w:cs="Arial"/>
          <w:rtl/>
        </w:rPr>
        <w:footnoteReference w:id="1236"/>
      </w:r>
      <w:r w:rsidRPr="00DE6B68">
        <w:rPr>
          <w:rFonts w:cs="Arial"/>
          <w:rtl/>
        </w:rPr>
        <w:t xml:space="preserve">? </w:t>
      </w:r>
      <w:r w:rsidRPr="00D51558">
        <w:rPr>
          <w:rFonts w:cs="Arial"/>
          <w:u w:val="single"/>
          <w:rtl/>
        </w:rPr>
        <w:t>אמר ליה</w:t>
      </w:r>
      <w:r w:rsidRPr="00DE6B68">
        <w:rPr>
          <w:rFonts w:cs="Arial"/>
          <w:rtl/>
        </w:rPr>
        <w:t>: לא,</w:t>
      </w:r>
      <w:r w:rsidRPr="00DB78F6">
        <w:rPr>
          <w:rtl/>
        </w:rPr>
        <w:t xml:space="preserve"> </w:t>
      </w:r>
      <w:r>
        <w:rPr>
          <w:rFonts w:hint="cs"/>
          <w:sz w:val="14"/>
          <w:szCs w:val="14"/>
          <w:rtl/>
        </w:rPr>
        <w:t xml:space="preserve">(סב:) </w:t>
      </w:r>
      <w:r w:rsidRPr="00DB78F6">
        <w:rPr>
          <w:rFonts w:cs="Arial"/>
          <w:rtl/>
        </w:rPr>
        <w:t>אכולהו</w:t>
      </w:r>
      <w:r>
        <w:rPr>
          <w:rStyle w:val="a7"/>
          <w:rFonts w:cs="Arial"/>
          <w:rtl/>
        </w:rPr>
        <w:footnoteReference w:id="1237"/>
      </w:r>
      <w:r w:rsidRPr="00DB78F6">
        <w:rPr>
          <w:rFonts w:cs="Arial"/>
          <w:rtl/>
        </w:rPr>
        <w:t>. והא</w:t>
      </w:r>
      <w:r>
        <w:rPr>
          <w:rStyle w:val="a7"/>
          <w:rFonts w:cs="Arial"/>
          <w:rtl/>
        </w:rPr>
        <w:footnoteReference w:id="1238"/>
      </w:r>
      <w:r w:rsidRPr="00DB78F6">
        <w:rPr>
          <w:rFonts w:cs="Arial"/>
          <w:rtl/>
        </w:rPr>
        <w:t xml:space="preserve"> ששה חדשים קאמר! אינו דומה</w:t>
      </w:r>
      <w:r>
        <w:rPr>
          <w:rStyle w:val="a7"/>
          <w:rFonts w:cs="Arial"/>
          <w:rtl/>
        </w:rPr>
        <w:footnoteReference w:id="1239"/>
      </w:r>
      <w:r w:rsidRPr="00DB78F6">
        <w:rPr>
          <w:rFonts w:cs="Arial"/>
          <w:rtl/>
        </w:rPr>
        <w:t xml:space="preserve"> מי שיש לו פת בסלו למי שאין לו פת בסלו.</w:t>
      </w:r>
      <w:r>
        <w:rPr>
          <w:rFonts w:cs="Arial" w:hint="cs"/>
          <w:rtl/>
        </w:rPr>
        <w:t>..</w:t>
      </w:r>
      <w:r w:rsidRPr="00A06E0D">
        <w:rPr>
          <w:rFonts w:cs="Arial"/>
          <w:rtl/>
        </w:rPr>
        <w:t xml:space="preserve"> </w:t>
      </w:r>
      <w:r>
        <w:rPr>
          <w:rFonts w:cs="Arial" w:hint="cs"/>
          <w:rtl/>
        </w:rPr>
        <w:t>'</w:t>
      </w:r>
      <w:r w:rsidRPr="00DB78F6">
        <w:rPr>
          <w:rFonts w:cs="Arial"/>
          <w:rtl/>
        </w:rPr>
        <w:t>הספנים אחת לששה חדשים דברי ר' אליעזר</w:t>
      </w:r>
      <w:r>
        <w:rPr>
          <w:rFonts w:cs="Arial" w:hint="cs"/>
          <w:rtl/>
        </w:rPr>
        <w:t>'</w:t>
      </w:r>
      <w:r w:rsidRPr="00DB78F6">
        <w:rPr>
          <w:rFonts w:cs="Arial"/>
          <w:rtl/>
        </w:rPr>
        <w:t xml:space="preserve">. </w:t>
      </w:r>
      <w:r w:rsidRPr="00CB1695">
        <w:rPr>
          <w:rFonts w:cs="Arial"/>
          <w:u w:val="single"/>
          <w:rtl/>
        </w:rPr>
        <w:t>אמר רב ברונא אמר רב</w:t>
      </w:r>
      <w:r w:rsidRPr="00DB78F6">
        <w:rPr>
          <w:rFonts w:cs="Arial"/>
          <w:rtl/>
        </w:rPr>
        <w:t xml:space="preserve">: הלכה כר"א. </w:t>
      </w:r>
      <w:r w:rsidRPr="00CB1695">
        <w:rPr>
          <w:rFonts w:cs="Arial"/>
          <w:u w:val="single"/>
          <w:rtl/>
        </w:rPr>
        <w:t>אמר רב אדא בר אהבה אמר רב</w:t>
      </w:r>
      <w:r w:rsidRPr="00DB78F6">
        <w:rPr>
          <w:rFonts w:cs="Arial"/>
          <w:rtl/>
        </w:rPr>
        <w:t>: זו דברי ר' אליעזר, אבל חכמים אומרים: התלמידים יוצאין לת"ת ב' וג' שנים שלא ברשות.</w:t>
      </w:r>
      <w:r>
        <w:rPr>
          <w:rFonts w:cs="Arial" w:hint="cs"/>
          <w:rtl/>
        </w:rPr>
        <w:t xml:space="preserve">.. </w:t>
      </w:r>
      <w:r w:rsidRPr="000D1DCE">
        <w:rPr>
          <w:rFonts w:cs="Arial"/>
          <w:rtl/>
        </w:rPr>
        <w:t xml:space="preserve">עונה של תלמידי חכמים אימת? </w:t>
      </w:r>
      <w:r w:rsidRPr="000D1DCE">
        <w:rPr>
          <w:rFonts w:cs="Arial"/>
          <w:u w:val="single"/>
          <w:rtl/>
        </w:rPr>
        <w:t>אמר רב יהודה אמר שמואל</w:t>
      </w:r>
      <w:r w:rsidRPr="000D1DCE">
        <w:rPr>
          <w:rFonts w:cs="Arial"/>
          <w:rtl/>
        </w:rPr>
        <w:t xml:space="preserve">: מע"ש לע"ש. אשר פריו יתן בעתו - </w:t>
      </w:r>
      <w:r w:rsidRPr="000D1DCE">
        <w:rPr>
          <w:rFonts w:cs="Arial"/>
          <w:u w:val="single"/>
          <w:rtl/>
        </w:rPr>
        <w:t>אמר רב יהודה, ואיתימא רב הונא, ואיתימא רב נחמן</w:t>
      </w:r>
      <w:r w:rsidRPr="000D1DCE">
        <w:rPr>
          <w:rFonts w:cs="Arial"/>
          <w:rtl/>
        </w:rPr>
        <w:t>: זה המשמש מטתו מע"ש לע"ש.</w:t>
      </w:r>
    </w:p>
    <w:p w14:paraId="47181212" w14:textId="77777777" w:rsidR="002E5BAD" w:rsidRPr="00BE2C85" w:rsidRDefault="002E5BAD" w:rsidP="002E5BAD">
      <w:pPr>
        <w:rPr>
          <w:u w:val="single"/>
          <w:rtl/>
        </w:rPr>
      </w:pPr>
      <w:r>
        <w:rPr>
          <w:rFonts w:hint="cs"/>
          <w:u w:val="single"/>
          <w:rtl/>
        </w:rPr>
        <w:t xml:space="preserve">כמה הוא </w:t>
      </w:r>
      <w:r w:rsidRPr="00BE2C85">
        <w:rPr>
          <w:rFonts w:hint="cs"/>
          <w:u w:val="single"/>
          <w:rtl/>
        </w:rPr>
        <w:t>חיוב עונה על הבעל:</w:t>
      </w:r>
    </w:p>
    <w:p w14:paraId="017A15DC" w14:textId="77777777" w:rsidR="002E5BAD" w:rsidRDefault="002E5BAD" w:rsidP="002E5BAD">
      <w:pPr>
        <w:pStyle w:val="ab"/>
        <w:numPr>
          <w:ilvl w:val="0"/>
          <w:numId w:val="136"/>
        </w:numPr>
        <w:rPr>
          <w:rFonts w:cs="Arial"/>
        </w:rPr>
      </w:pPr>
      <w:r>
        <w:rPr>
          <w:rFonts w:cs="Arial" w:hint="cs"/>
          <w:rtl/>
        </w:rPr>
        <w:t xml:space="preserve">טור- </w:t>
      </w:r>
      <w:r w:rsidRPr="007D3451">
        <w:rPr>
          <w:rFonts w:cs="Arial"/>
          <w:rtl/>
        </w:rPr>
        <w:t>חייב בעונתה כיצד</w:t>
      </w:r>
      <w:r>
        <w:rPr>
          <w:rFonts w:cs="Arial" w:hint="cs"/>
          <w:rtl/>
        </w:rPr>
        <w:t>,</w:t>
      </w:r>
      <w:r w:rsidRPr="007D3451">
        <w:rPr>
          <w:rFonts w:cs="Arial"/>
          <w:rtl/>
        </w:rPr>
        <w:t xml:space="preserve"> כל א' כפי כחו וכפי מלאכתו</w:t>
      </w:r>
      <w:r>
        <w:rPr>
          <w:rFonts w:cs="Arial" w:hint="cs"/>
          <w:rtl/>
        </w:rPr>
        <w:t>.</w:t>
      </w:r>
      <w:r w:rsidRPr="00091A67">
        <w:rPr>
          <w:rFonts w:cs="Arial" w:hint="cs"/>
          <w:rtl/>
        </w:rPr>
        <w:t xml:space="preserve"> </w:t>
      </w:r>
      <w:r w:rsidRPr="004B3BCF">
        <w:rPr>
          <w:rFonts w:hint="cs"/>
          <w:color w:val="E36C0A" w:themeColor="accent6" w:themeShade="BF"/>
          <w:rtl/>
        </w:rPr>
        <w:t>(וכ"פ בשו"ע)</w:t>
      </w:r>
    </w:p>
    <w:p w14:paraId="43A539D1" w14:textId="77777777" w:rsidR="002E5BAD" w:rsidRPr="007F7735" w:rsidRDefault="002E5BAD" w:rsidP="002E5BAD">
      <w:pPr>
        <w:ind w:left="360"/>
        <w:rPr>
          <w:rFonts w:cs="Arial"/>
          <w:u w:val="dotted"/>
        </w:rPr>
      </w:pPr>
      <w:r w:rsidRPr="007F7735">
        <w:rPr>
          <w:rFonts w:cs="Arial" w:hint="cs"/>
          <w:u w:val="dotted"/>
          <w:rtl/>
        </w:rPr>
        <w:t>טיילים:</w:t>
      </w:r>
    </w:p>
    <w:p w14:paraId="34A7D6CD" w14:textId="77777777" w:rsidR="002E5BAD" w:rsidRPr="00091A67" w:rsidRDefault="002E5BAD" w:rsidP="002E5BAD">
      <w:pPr>
        <w:pStyle w:val="ab"/>
        <w:numPr>
          <w:ilvl w:val="0"/>
          <w:numId w:val="136"/>
        </w:numPr>
        <w:rPr>
          <w:rFonts w:cs="Arial"/>
        </w:rPr>
      </w:pPr>
      <w:r>
        <w:rPr>
          <w:rFonts w:cs="Arial" w:hint="cs"/>
          <w:rtl/>
        </w:rPr>
        <w:t xml:space="preserve">טור- </w:t>
      </w:r>
      <w:r w:rsidRPr="00091A67">
        <w:rPr>
          <w:rFonts w:cs="Arial"/>
          <w:rtl/>
        </w:rPr>
        <w:t>הבטלים שאין להם מלאכה והם בריאים ומעונגים ואין פורעים מס</w:t>
      </w:r>
      <w:r>
        <w:rPr>
          <w:rStyle w:val="a7"/>
          <w:rFonts w:cs="Arial"/>
          <w:rtl/>
        </w:rPr>
        <w:footnoteReference w:id="1240"/>
      </w:r>
      <w:r w:rsidRPr="00091A67">
        <w:rPr>
          <w:rFonts w:cs="Arial"/>
          <w:rtl/>
        </w:rPr>
        <w:t xml:space="preserve"> אלא אוכלין ושותין ויושבין בבתיהם </w:t>
      </w:r>
      <w:r w:rsidRPr="00091A67">
        <w:rPr>
          <w:rFonts w:cs="Arial" w:hint="cs"/>
          <w:rtl/>
        </w:rPr>
        <w:t xml:space="preserve">- </w:t>
      </w:r>
      <w:r w:rsidRPr="00091A67">
        <w:rPr>
          <w:rFonts w:cs="Arial"/>
          <w:rtl/>
        </w:rPr>
        <w:t>עונתן בכל לילה</w:t>
      </w:r>
      <w:r w:rsidRPr="00091A67">
        <w:rPr>
          <w:rFonts w:cs="Arial" w:hint="cs"/>
          <w:rtl/>
        </w:rPr>
        <w:t>.</w:t>
      </w:r>
      <w:r w:rsidRPr="00091A67">
        <w:rPr>
          <w:rFonts w:cs="Arial"/>
          <w:rtl/>
        </w:rPr>
        <w:t xml:space="preserve"> </w:t>
      </w:r>
    </w:p>
    <w:p w14:paraId="25E84D8B" w14:textId="77777777" w:rsidR="002E5BAD" w:rsidRDefault="002E5BAD" w:rsidP="002E5BAD">
      <w:pPr>
        <w:pStyle w:val="ab"/>
        <w:numPr>
          <w:ilvl w:val="0"/>
          <w:numId w:val="136"/>
        </w:numPr>
        <w:rPr>
          <w:rFonts w:cs="Arial"/>
        </w:rPr>
      </w:pPr>
      <w:r>
        <w:rPr>
          <w:rFonts w:cs="Arial"/>
          <w:rtl/>
        </w:rPr>
        <w:t xml:space="preserve">רמב"ם </w:t>
      </w:r>
      <w:r w:rsidRPr="00091A67">
        <w:rPr>
          <w:rFonts w:cs="Arial"/>
          <w:sz w:val="16"/>
          <w:szCs w:val="16"/>
          <w:rtl/>
        </w:rPr>
        <w:t>(פי"ד מאישות ה"א)</w:t>
      </w:r>
      <w:r>
        <w:rPr>
          <w:rFonts w:cs="Arial" w:hint="cs"/>
          <w:rtl/>
        </w:rPr>
        <w:t>-</w:t>
      </w:r>
      <w:r>
        <w:rPr>
          <w:rFonts w:cs="Arial"/>
          <w:rtl/>
        </w:rPr>
        <w:t xml:space="preserve"> </w:t>
      </w:r>
      <w:r w:rsidRPr="00091A67">
        <w:rPr>
          <w:rFonts w:cs="Arial"/>
          <w:rtl/>
        </w:rPr>
        <w:t xml:space="preserve">בני אדם הבריאים הרכים והענוגים שאין להם מלאכה שמכשלת כחן אלא אוכלין ושותין ויושבין בבתיהן </w:t>
      </w:r>
      <w:r>
        <w:rPr>
          <w:rFonts w:cs="Arial" w:hint="cs"/>
          <w:rtl/>
        </w:rPr>
        <w:t xml:space="preserve">- </w:t>
      </w:r>
      <w:r w:rsidRPr="00091A67">
        <w:rPr>
          <w:rFonts w:cs="Arial"/>
          <w:rtl/>
        </w:rPr>
        <w:t>עונתן בכל לילה</w:t>
      </w:r>
      <w:r>
        <w:rPr>
          <w:rFonts w:cs="Arial"/>
          <w:rtl/>
        </w:rPr>
        <w:t>.</w:t>
      </w:r>
    </w:p>
    <w:p w14:paraId="5BF38385" w14:textId="77777777" w:rsidR="002E5BAD" w:rsidRPr="00747F53" w:rsidRDefault="002E5BAD" w:rsidP="002E5BAD">
      <w:pPr>
        <w:ind w:left="360"/>
        <w:rPr>
          <w:rFonts w:cs="Arial"/>
          <w:u w:val="dotted"/>
        </w:rPr>
      </w:pPr>
      <w:r>
        <w:rPr>
          <w:rFonts w:cs="Arial" w:hint="cs"/>
          <w:u w:val="dotted"/>
          <w:rtl/>
        </w:rPr>
        <w:t>פועלים</w:t>
      </w:r>
      <w:r w:rsidRPr="00BE2C85">
        <w:rPr>
          <w:rFonts w:cs="Arial" w:hint="cs"/>
          <w:u w:val="dotted"/>
          <w:rtl/>
        </w:rPr>
        <w:t>:</w:t>
      </w:r>
    </w:p>
    <w:p w14:paraId="28095DBC" w14:textId="77777777" w:rsidR="002E5BAD" w:rsidRDefault="002E5BAD" w:rsidP="002E5BAD">
      <w:pPr>
        <w:pStyle w:val="ab"/>
        <w:numPr>
          <w:ilvl w:val="0"/>
          <w:numId w:val="136"/>
        </w:numPr>
        <w:rPr>
          <w:rFonts w:cs="Arial"/>
        </w:rPr>
      </w:pPr>
      <w:r>
        <w:rPr>
          <w:rFonts w:cs="Arial" w:hint="cs"/>
          <w:rtl/>
        </w:rPr>
        <w:t xml:space="preserve">ר"י בר ברוך </w:t>
      </w:r>
      <w:r>
        <w:rPr>
          <w:rFonts w:cs="Arial" w:hint="cs"/>
          <w:sz w:val="16"/>
          <w:szCs w:val="16"/>
          <w:rtl/>
        </w:rPr>
        <w:t>(כ"כ התוס' [ד"ה והתניא] בשמו)</w:t>
      </w:r>
      <w:r>
        <w:rPr>
          <w:rFonts w:cs="Arial" w:hint="cs"/>
          <w:rtl/>
        </w:rPr>
        <w:t xml:space="preserve"> </w:t>
      </w:r>
      <w:r>
        <w:rPr>
          <w:rFonts w:cs="Arial"/>
          <w:rtl/>
        </w:rPr>
        <w:t>רא"ש</w:t>
      </w:r>
      <w:r w:rsidRPr="007F7735">
        <w:rPr>
          <w:rFonts w:cs="Arial"/>
          <w:sz w:val="16"/>
          <w:szCs w:val="16"/>
          <w:rtl/>
        </w:rPr>
        <w:t xml:space="preserve"> (סי' כט)</w:t>
      </w:r>
      <w:r>
        <w:rPr>
          <w:rFonts w:cs="Arial" w:hint="cs"/>
          <w:rtl/>
        </w:rPr>
        <w:t xml:space="preserve"> וטור- </w:t>
      </w:r>
      <w:r w:rsidRPr="007D3451">
        <w:rPr>
          <w:rFonts w:cs="Arial"/>
          <w:rtl/>
        </w:rPr>
        <w:t>ומי שיש לו מלאכה כגון חייט או אורג או בנאי וכיוצא בו</w:t>
      </w:r>
      <w:r>
        <w:rPr>
          <w:rFonts w:cs="Arial" w:hint="cs"/>
          <w:rtl/>
        </w:rPr>
        <w:t>,</w:t>
      </w:r>
      <w:r w:rsidRPr="007D3451">
        <w:rPr>
          <w:rFonts w:cs="Arial"/>
          <w:rtl/>
        </w:rPr>
        <w:t xml:space="preserve"> ועושה מלאכה בעירו </w:t>
      </w:r>
      <w:r>
        <w:rPr>
          <w:rFonts w:cs="Arial" w:hint="cs"/>
          <w:rtl/>
        </w:rPr>
        <w:t xml:space="preserve">- </w:t>
      </w:r>
      <w:r w:rsidRPr="007D3451">
        <w:rPr>
          <w:rFonts w:cs="Arial"/>
          <w:rtl/>
        </w:rPr>
        <w:t>עונתו ב' פעמים בשבת</w:t>
      </w:r>
      <w:r>
        <w:rPr>
          <w:rFonts w:cs="Arial" w:hint="cs"/>
          <w:rtl/>
        </w:rPr>
        <w:t>.</w:t>
      </w:r>
      <w:r w:rsidRPr="007D3451">
        <w:rPr>
          <w:rFonts w:cs="Arial"/>
          <w:rtl/>
        </w:rPr>
        <w:t xml:space="preserve"> ואם עושה מלאכה בעיר אחרת ובא ולן בכל לילה בביתו</w:t>
      </w:r>
      <w:r>
        <w:rPr>
          <w:rFonts w:cs="Arial" w:hint="cs"/>
          <w:rtl/>
        </w:rPr>
        <w:t xml:space="preserve"> -</w:t>
      </w:r>
      <w:r w:rsidRPr="007D3451">
        <w:rPr>
          <w:rFonts w:cs="Arial"/>
          <w:rtl/>
        </w:rPr>
        <w:t xml:space="preserve"> </w:t>
      </w:r>
      <w:r w:rsidRPr="007D3451">
        <w:rPr>
          <w:rFonts w:cs="Arial"/>
          <w:rtl/>
        </w:rPr>
        <w:lastRenderedPageBreak/>
        <w:t>די לו בעונה אחת בשבוע מפני טורח הדרך</w:t>
      </w:r>
      <w:r>
        <w:rPr>
          <w:rFonts w:cs="Arial" w:hint="cs"/>
          <w:rtl/>
        </w:rPr>
        <w:t>.</w:t>
      </w:r>
      <w:r w:rsidRPr="007D3451">
        <w:rPr>
          <w:rFonts w:cs="Arial"/>
          <w:rtl/>
        </w:rPr>
        <w:t xml:space="preserve"> והפועלים שאין לנין בביתם</w:t>
      </w:r>
      <w:r>
        <w:rPr>
          <w:rFonts w:cs="Arial" w:hint="cs"/>
          <w:rtl/>
        </w:rPr>
        <w:t xml:space="preserve"> -</w:t>
      </w:r>
      <w:r w:rsidRPr="007D3451">
        <w:rPr>
          <w:rFonts w:cs="Arial"/>
          <w:rtl/>
        </w:rPr>
        <w:t xml:space="preserve"> יוצאים ז' ימים וביום שמיני שבין לביתן</w:t>
      </w:r>
      <w:r>
        <w:rPr>
          <w:rFonts w:cs="Arial" w:hint="cs"/>
          <w:rtl/>
        </w:rPr>
        <w:t>,</w:t>
      </w:r>
      <w:r w:rsidRPr="007D3451">
        <w:rPr>
          <w:rFonts w:cs="Arial"/>
          <w:rtl/>
        </w:rPr>
        <w:t xml:space="preserve"> וכן לעולם מח' ימים לח' ימים שבין פעם אחת לבית</w:t>
      </w:r>
      <w:r>
        <w:rPr>
          <w:rFonts w:cs="Arial" w:hint="cs"/>
          <w:sz w:val="16"/>
          <w:szCs w:val="16"/>
          <w:rtl/>
        </w:rPr>
        <w:t xml:space="preserve"> (ל' הטור)</w:t>
      </w:r>
      <w:r>
        <w:rPr>
          <w:rStyle w:val="a7"/>
          <w:rFonts w:cs="Arial"/>
          <w:rtl/>
        </w:rPr>
        <w:footnoteReference w:id="1241"/>
      </w:r>
      <w:r>
        <w:rPr>
          <w:rFonts w:cs="Arial" w:hint="cs"/>
          <w:rtl/>
        </w:rPr>
        <w:t>.</w:t>
      </w:r>
      <w:r w:rsidRPr="007D3451">
        <w:rPr>
          <w:rFonts w:cs="Arial"/>
          <w:rtl/>
        </w:rPr>
        <w:t xml:space="preserve"> </w:t>
      </w:r>
      <w:r w:rsidRPr="00747F53">
        <w:rPr>
          <w:rFonts w:cs="Arial" w:hint="cs"/>
          <w:color w:val="00B0F0"/>
          <w:rtl/>
        </w:rPr>
        <w:t>(וכ"כ הרמ"א</w:t>
      </w:r>
      <w:r>
        <w:rPr>
          <w:rFonts w:cs="Arial" w:hint="cs"/>
          <w:color w:val="00B0F0"/>
          <w:rtl/>
        </w:rPr>
        <w:t xml:space="preserve"> </w:t>
      </w:r>
      <w:r w:rsidRPr="00B31DD2">
        <w:rPr>
          <w:rFonts w:hint="cs"/>
          <w:color w:val="000000" w:themeColor="text1"/>
          <w:sz w:val="16"/>
          <w:szCs w:val="16"/>
          <w:rtl/>
        </w:rPr>
        <w:t xml:space="preserve">[בסע' </w:t>
      </w:r>
      <w:r>
        <w:rPr>
          <w:rFonts w:hint="cs"/>
          <w:color w:val="000000" w:themeColor="text1"/>
          <w:sz w:val="16"/>
          <w:szCs w:val="16"/>
          <w:rtl/>
        </w:rPr>
        <w:t>ה</w:t>
      </w:r>
      <w:r w:rsidRPr="00B31DD2">
        <w:rPr>
          <w:rFonts w:hint="cs"/>
          <w:color w:val="000000" w:themeColor="text1"/>
          <w:sz w:val="16"/>
          <w:szCs w:val="16"/>
          <w:rtl/>
        </w:rPr>
        <w:t>ב</w:t>
      </w:r>
      <w:r>
        <w:rPr>
          <w:rFonts w:hint="cs"/>
          <w:color w:val="000000" w:themeColor="text1"/>
          <w:sz w:val="16"/>
          <w:szCs w:val="16"/>
          <w:rtl/>
        </w:rPr>
        <w:t>א</w:t>
      </w:r>
      <w:r w:rsidRPr="00B31DD2">
        <w:rPr>
          <w:rFonts w:hint="cs"/>
          <w:color w:val="000000" w:themeColor="text1"/>
          <w:sz w:val="16"/>
          <w:szCs w:val="16"/>
          <w:rtl/>
        </w:rPr>
        <w:t>]</w:t>
      </w:r>
      <w:r w:rsidRPr="00747F53">
        <w:rPr>
          <w:rFonts w:cs="Arial" w:hint="cs"/>
          <w:color w:val="00B0F0"/>
          <w:rtl/>
        </w:rPr>
        <w:t>)</w:t>
      </w:r>
    </w:p>
    <w:p w14:paraId="0A5DB5AA" w14:textId="77777777" w:rsidR="002E5BAD" w:rsidRDefault="002E5BAD" w:rsidP="002E5BAD">
      <w:pPr>
        <w:pStyle w:val="ab"/>
        <w:numPr>
          <w:ilvl w:val="0"/>
          <w:numId w:val="136"/>
        </w:numPr>
        <w:rPr>
          <w:rFonts w:cs="Arial"/>
        </w:rPr>
      </w:pPr>
      <w:r>
        <w:rPr>
          <w:rFonts w:cs="Arial" w:hint="cs"/>
          <w:rtl/>
        </w:rPr>
        <w:t xml:space="preserve">ר"י </w:t>
      </w:r>
      <w:r>
        <w:rPr>
          <w:rFonts w:cs="Arial" w:hint="cs"/>
          <w:sz w:val="16"/>
          <w:szCs w:val="16"/>
          <w:rtl/>
        </w:rPr>
        <w:t>(כ"כ התוס' בשמו)</w:t>
      </w:r>
      <w:r>
        <w:rPr>
          <w:rFonts w:cs="Arial" w:hint="cs"/>
          <w:rtl/>
        </w:rPr>
        <w:t xml:space="preserve"> </w:t>
      </w:r>
      <w:r>
        <w:rPr>
          <w:rFonts w:cs="Arial"/>
          <w:rtl/>
        </w:rPr>
        <w:t>תוס</w:t>
      </w:r>
      <w:r>
        <w:rPr>
          <w:rFonts w:cs="Arial" w:hint="cs"/>
          <w:rtl/>
        </w:rPr>
        <w:t>'</w:t>
      </w:r>
      <w:r>
        <w:rPr>
          <w:rFonts w:cs="Arial"/>
          <w:rtl/>
        </w:rPr>
        <w:t xml:space="preserve"> </w:t>
      </w:r>
      <w:r w:rsidRPr="007F7735">
        <w:rPr>
          <w:rFonts w:cs="Arial"/>
          <w:sz w:val="16"/>
          <w:szCs w:val="16"/>
          <w:rtl/>
        </w:rPr>
        <w:t>(ד"ה והתניא)</w:t>
      </w:r>
      <w:r w:rsidRPr="007F7735">
        <w:rPr>
          <w:rFonts w:cs="Arial" w:hint="cs"/>
          <w:sz w:val="16"/>
          <w:szCs w:val="16"/>
          <w:rtl/>
        </w:rPr>
        <w:t xml:space="preserve"> </w:t>
      </w:r>
      <w:r>
        <w:rPr>
          <w:rFonts w:cs="Arial" w:hint="cs"/>
          <w:rtl/>
        </w:rPr>
        <w:t>ו</w:t>
      </w:r>
      <w:r>
        <w:rPr>
          <w:rFonts w:cs="Arial"/>
          <w:rtl/>
        </w:rPr>
        <w:t xml:space="preserve">רמב"ם </w:t>
      </w:r>
      <w:r w:rsidRPr="00091A67">
        <w:rPr>
          <w:rFonts w:cs="Arial"/>
          <w:sz w:val="16"/>
          <w:szCs w:val="16"/>
          <w:rtl/>
        </w:rPr>
        <w:t>(פי"ד מאישות ה"א)</w:t>
      </w:r>
      <w:r>
        <w:rPr>
          <w:rFonts w:cs="Arial" w:hint="cs"/>
          <w:rtl/>
        </w:rPr>
        <w:t>-</w:t>
      </w:r>
      <w:r>
        <w:rPr>
          <w:rFonts w:cs="Arial"/>
          <w:rtl/>
        </w:rPr>
        <w:t xml:space="preserve"> </w:t>
      </w:r>
      <w:r w:rsidRPr="00091A67">
        <w:rPr>
          <w:rFonts w:cs="Arial"/>
          <w:rtl/>
        </w:rPr>
        <w:t xml:space="preserve">הפועלין כגון החייטין והאורגין והבונים וכיוצא בהן, אם היתה מלאכתן בעיר </w:t>
      </w:r>
      <w:r>
        <w:rPr>
          <w:rFonts w:cs="Arial" w:hint="cs"/>
          <w:rtl/>
        </w:rPr>
        <w:t xml:space="preserve">- </w:t>
      </w:r>
      <w:r w:rsidRPr="00091A67">
        <w:rPr>
          <w:rFonts w:cs="Arial"/>
          <w:rtl/>
        </w:rPr>
        <w:t>עונתן פעמים בשבת, ואם היתה מלאכתן בעיר אחרת</w:t>
      </w:r>
      <w:r>
        <w:rPr>
          <w:rFonts w:cs="Arial" w:hint="cs"/>
          <w:rtl/>
        </w:rPr>
        <w:t xml:space="preserve"> -</w:t>
      </w:r>
      <w:r w:rsidRPr="00091A67">
        <w:rPr>
          <w:rFonts w:cs="Arial"/>
          <w:rtl/>
        </w:rPr>
        <w:t xml:space="preserve"> עונתן פעם אחת בשבת</w:t>
      </w:r>
      <w:r>
        <w:rPr>
          <w:rStyle w:val="a7"/>
          <w:rFonts w:cs="Arial"/>
          <w:rtl/>
        </w:rPr>
        <w:footnoteReference w:id="1242"/>
      </w:r>
      <w:r>
        <w:rPr>
          <w:rFonts w:cs="Arial" w:hint="cs"/>
          <w:sz w:val="16"/>
          <w:szCs w:val="16"/>
          <w:rtl/>
        </w:rPr>
        <w:t xml:space="preserve"> (ל' הרמב"ם)</w:t>
      </w:r>
      <w:r>
        <w:rPr>
          <w:rFonts w:cs="Arial" w:hint="cs"/>
          <w:rtl/>
        </w:rPr>
        <w:t xml:space="preserve">. </w:t>
      </w:r>
      <w:r w:rsidRPr="004B3BCF">
        <w:rPr>
          <w:rFonts w:hint="cs"/>
          <w:color w:val="E36C0A" w:themeColor="accent6" w:themeShade="BF"/>
          <w:rtl/>
        </w:rPr>
        <w:t>(וכ"פ בשו"ע</w:t>
      </w:r>
      <w:r>
        <w:rPr>
          <w:rFonts w:hint="cs"/>
          <w:color w:val="E36C0A" w:themeColor="accent6" w:themeShade="BF"/>
          <w:rtl/>
        </w:rPr>
        <w:t xml:space="preserve"> </w:t>
      </w:r>
      <w:r w:rsidRPr="00B31DD2">
        <w:rPr>
          <w:rFonts w:hint="cs"/>
          <w:color w:val="000000" w:themeColor="text1"/>
          <w:sz w:val="16"/>
          <w:szCs w:val="16"/>
          <w:rtl/>
        </w:rPr>
        <w:t xml:space="preserve">[בסע' </w:t>
      </w:r>
      <w:r>
        <w:rPr>
          <w:rFonts w:hint="cs"/>
          <w:color w:val="000000" w:themeColor="text1"/>
          <w:sz w:val="16"/>
          <w:szCs w:val="16"/>
          <w:rtl/>
        </w:rPr>
        <w:t>ה</w:t>
      </w:r>
      <w:r w:rsidRPr="00B31DD2">
        <w:rPr>
          <w:rFonts w:hint="cs"/>
          <w:color w:val="000000" w:themeColor="text1"/>
          <w:sz w:val="16"/>
          <w:szCs w:val="16"/>
          <w:rtl/>
        </w:rPr>
        <w:t>ב</w:t>
      </w:r>
      <w:r>
        <w:rPr>
          <w:rFonts w:hint="cs"/>
          <w:color w:val="000000" w:themeColor="text1"/>
          <w:sz w:val="16"/>
          <w:szCs w:val="16"/>
          <w:rtl/>
        </w:rPr>
        <w:t>א</w:t>
      </w:r>
      <w:r w:rsidRPr="00B31DD2">
        <w:rPr>
          <w:rFonts w:hint="cs"/>
          <w:color w:val="000000" w:themeColor="text1"/>
          <w:sz w:val="16"/>
          <w:szCs w:val="16"/>
          <w:rtl/>
        </w:rPr>
        <w:t>]</w:t>
      </w:r>
      <w:r w:rsidRPr="004B3BCF">
        <w:rPr>
          <w:rFonts w:hint="cs"/>
          <w:color w:val="E36C0A" w:themeColor="accent6" w:themeShade="BF"/>
          <w:rtl/>
        </w:rPr>
        <w:t>)</w:t>
      </w:r>
    </w:p>
    <w:p w14:paraId="480EEF5B" w14:textId="77777777" w:rsidR="002E5BAD" w:rsidRPr="007F7735" w:rsidRDefault="002E5BAD" w:rsidP="002E5BAD">
      <w:pPr>
        <w:ind w:left="360"/>
        <w:rPr>
          <w:rFonts w:cs="Arial"/>
          <w:u w:val="dotted"/>
        </w:rPr>
      </w:pPr>
      <w:r w:rsidRPr="007F7735">
        <w:rPr>
          <w:rFonts w:cs="Arial" w:hint="cs"/>
          <w:u w:val="dotted"/>
          <w:rtl/>
        </w:rPr>
        <w:t>חמרים גמלים וספנים:</w:t>
      </w:r>
    </w:p>
    <w:p w14:paraId="00016388"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(שם)</w:t>
      </w:r>
      <w:r>
        <w:rPr>
          <w:rFonts w:cs="Arial" w:hint="cs"/>
          <w:rtl/>
        </w:rPr>
        <w:t xml:space="preserve"> וטור- </w:t>
      </w:r>
      <w:r w:rsidRPr="007F7735">
        <w:rPr>
          <w:rFonts w:cs="Arial"/>
          <w:rtl/>
        </w:rPr>
        <w:t>החמרים פעם אחת בשבת, והגמלים אחת לשלשים יום, והמלחין אחת לששה חדשים</w:t>
      </w:r>
      <w:r>
        <w:rPr>
          <w:rFonts w:cs="Arial" w:hint="cs"/>
          <w:rtl/>
        </w:rPr>
        <w:t>.</w:t>
      </w:r>
      <w:r w:rsidRPr="007F7735">
        <w:rPr>
          <w:rFonts w:cs="Arial"/>
          <w:rtl/>
        </w:rPr>
        <w:t xml:space="preserve"> </w:t>
      </w:r>
      <w:r w:rsidRPr="004B3BCF">
        <w:rPr>
          <w:rFonts w:hint="cs"/>
          <w:color w:val="E36C0A" w:themeColor="accent6" w:themeShade="BF"/>
          <w:rtl/>
        </w:rPr>
        <w:t>(וכ"פ בשו"ע</w:t>
      </w:r>
      <w:r>
        <w:rPr>
          <w:rFonts w:hint="cs"/>
          <w:color w:val="000000" w:themeColor="text1"/>
          <w:sz w:val="16"/>
          <w:szCs w:val="16"/>
          <w:rtl/>
        </w:rPr>
        <w:t xml:space="preserve"> </w:t>
      </w:r>
      <w:r w:rsidRPr="00B31DD2">
        <w:rPr>
          <w:rFonts w:hint="cs"/>
          <w:color w:val="000000" w:themeColor="text1"/>
          <w:sz w:val="16"/>
          <w:szCs w:val="16"/>
          <w:rtl/>
        </w:rPr>
        <w:t xml:space="preserve">[בסע' </w:t>
      </w:r>
      <w:r>
        <w:rPr>
          <w:rFonts w:hint="cs"/>
          <w:color w:val="000000" w:themeColor="text1"/>
          <w:sz w:val="16"/>
          <w:szCs w:val="16"/>
          <w:rtl/>
        </w:rPr>
        <w:t>הבא</w:t>
      </w:r>
      <w:r w:rsidRPr="00B31DD2">
        <w:rPr>
          <w:rFonts w:hint="cs"/>
          <w:color w:val="000000" w:themeColor="text1"/>
          <w:sz w:val="16"/>
          <w:szCs w:val="16"/>
          <w:rtl/>
        </w:rPr>
        <w:t>]</w:t>
      </w:r>
      <w:r w:rsidRPr="004B3BCF">
        <w:rPr>
          <w:rFonts w:hint="cs"/>
          <w:color w:val="E36C0A" w:themeColor="accent6" w:themeShade="BF"/>
          <w:rtl/>
        </w:rPr>
        <w:t>)</w:t>
      </w:r>
    </w:p>
    <w:p w14:paraId="50541A58" w14:textId="77777777" w:rsidR="002E5BAD" w:rsidRPr="007F7735" w:rsidRDefault="002E5BAD" w:rsidP="002E5BAD">
      <w:pPr>
        <w:ind w:left="360"/>
        <w:rPr>
          <w:rFonts w:cs="Arial"/>
          <w:u w:val="dotted"/>
        </w:rPr>
      </w:pPr>
      <w:r w:rsidRPr="007F7735">
        <w:rPr>
          <w:rFonts w:cs="Arial" w:hint="cs"/>
          <w:u w:val="dotted"/>
          <w:rtl/>
        </w:rPr>
        <w:t>תלמידי חכמים:</w:t>
      </w:r>
    </w:p>
    <w:p w14:paraId="458375D1"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(שם)</w:t>
      </w:r>
      <w:r>
        <w:rPr>
          <w:rFonts w:cs="Arial" w:hint="cs"/>
          <w:rtl/>
        </w:rPr>
        <w:t xml:space="preserve"> וטור- </w:t>
      </w:r>
      <w:r w:rsidRPr="007F7735">
        <w:rPr>
          <w:rFonts w:cs="Arial"/>
          <w:rtl/>
        </w:rPr>
        <w:t>תלמידי חכמים עונתן פעם אחת בשבת</w:t>
      </w:r>
      <w:r>
        <w:rPr>
          <w:rFonts w:cs="Arial" w:hint="cs"/>
          <w:rtl/>
        </w:rPr>
        <w:t>,</w:t>
      </w:r>
      <w:r w:rsidRPr="007F7735">
        <w:rPr>
          <w:rFonts w:cs="Arial"/>
          <w:rtl/>
        </w:rPr>
        <w:t xml:space="preserve"> מפני שתלמוד תורה מתיש כחן</w:t>
      </w:r>
      <w:r>
        <w:rPr>
          <w:rFonts w:cs="Arial" w:hint="cs"/>
          <w:rtl/>
        </w:rPr>
        <w:t>.</w:t>
      </w:r>
      <w:r w:rsidRPr="007F7735">
        <w:rPr>
          <w:rFonts w:cs="Arial"/>
          <w:rtl/>
        </w:rPr>
        <w:t xml:space="preserve"> ודרך תלמידי חכמים לשמש מטתן מלילי שבת ללילי שבת.</w:t>
      </w:r>
      <w:r w:rsidRPr="00B31DD2">
        <w:rPr>
          <w:rFonts w:hint="cs"/>
          <w:color w:val="E36C0A" w:themeColor="accent6" w:themeShade="BF"/>
          <w:rtl/>
        </w:rPr>
        <w:t xml:space="preserve"> </w:t>
      </w:r>
      <w:r w:rsidRPr="004B3BCF">
        <w:rPr>
          <w:rFonts w:hint="cs"/>
          <w:color w:val="E36C0A" w:themeColor="accent6" w:themeShade="BF"/>
          <w:rtl/>
        </w:rPr>
        <w:t>(וכ"פ בשו"ע</w:t>
      </w:r>
      <w:r>
        <w:rPr>
          <w:rFonts w:hint="cs"/>
          <w:color w:val="E36C0A" w:themeColor="accent6" w:themeShade="BF"/>
          <w:sz w:val="16"/>
          <w:szCs w:val="16"/>
          <w:rtl/>
        </w:rPr>
        <w:t xml:space="preserve"> </w:t>
      </w:r>
      <w:r w:rsidRPr="00B31DD2">
        <w:rPr>
          <w:rFonts w:hint="cs"/>
          <w:color w:val="000000" w:themeColor="text1"/>
          <w:sz w:val="16"/>
          <w:szCs w:val="16"/>
          <w:rtl/>
        </w:rPr>
        <w:t xml:space="preserve">[בסע' </w:t>
      </w:r>
      <w:r>
        <w:rPr>
          <w:rFonts w:hint="cs"/>
          <w:color w:val="000000" w:themeColor="text1"/>
          <w:sz w:val="16"/>
          <w:szCs w:val="16"/>
          <w:rtl/>
        </w:rPr>
        <w:t>הבא</w:t>
      </w:r>
      <w:r w:rsidRPr="00B31DD2">
        <w:rPr>
          <w:rFonts w:hint="cs"/>
          <w:color w:val="000000" w:themeColor="text1"/>
          <w:sz w:val="16"/>
          <w:szCs w:val="16"/>
          <w:rtl/>
        </w:rPr>
        <w:t>]</w:t>
      </w:r>
      <w:r w:rsidRPr="004B3BCF">
        <w:rPr>
          <w:rFonts w:hint="cs"/>
          <w:color w:val="E36C0A" w:themeColor="accent6" w:themeShade="BF"/>
          <w:rtl/>
        </w:rPr>
        <w:t>)</w:t>
      </w:r>
    </w:p>
    <w:p w14:paraId="5F4B9E14" w14:textId="77777777" w:rsidR="002E5BAD" w:rsidRPr="00004682" w:rsidRDefault="002E5BAD" w:rsidP="002E5BAD">
      <w:pPr>
        <w:ind w:left="720"/>
        <w:rPr>
          <w:rFonts w:cs="Arial"/>
        </w:rPr>
      </w:pPr>
      <w:r w:rsidRPr="00004682">
        <w:rPr>
          <w:rFonts w:cs="Arial" w:hint="cs"/>
          <w:u w:val="wave"/>
          <w:rtl/>
        </w:rPr>
        <w:t>ומה הדין אם הת"ח מאוד טרוד בלימודו:</w:t>
      </w:r>
      <w:r>
        <w:rPr>
          <w:rFonts w:cs="Arial" w:hint="cs"/>
          <w:rtl/>
        </w:rPr>
        <w:t xml:space="preserve"> </w:t>
      </w:r>
      <w:r w:rsidRPr="00004682">
        <w:rPr>
          <w:rFonts w:cs="Arial"/>
          <w:sz w:val="16"/>
          <w:szCs w:val="16"/>
          <w:rtl/>
        </w:rPr>
        <w:t>(</w:t>
      </w:r>
      <w:r w:rsidRPr="00004682">
        <w:rPr>
          <w:rFonts w:cs="Arial" w:hint="cs"/>
          <w:sz w:val="16"/>
          <w:szCs w:val="16"/>
          <w:rtl/>
        </w:rPr>
        <w:t xml:space="preserve">דרכ"מ אות </w:t>
      </w:r>
      <w:r w:rsidRPr="00004682">
        <w:rPr>
          <w:rFonts w:cs="Arial"/>
          <w:sz w:val="16"/>
          <w:szCs w:val="16"/>
          <w:rtl/>
        </w:rPr>
        <w:t>ב)</w:t>
      </w:r>
    </w:p>
    <w:p w14:paraId="72FC4638" w14:textId="77777777" w:rsidR="002E5BAD" w:rsidRPr="007F7735" w:rsidRDefault="002E5BAD" w:rsidP="002E5BAD">
      <w:pPr>
        <w:pStyle w:val="ab"/>
        <w:numPr>
          <w:ilvl w:val="0"/>
          <w:numId w:val="136"/>
        </w:numPr>
        <w:rPr>
          <w:rFonts w:cs="Arial"/>
        </w:rPr>
      </w:pPr>
      <w:r w:rsidRPr="007D3451">
        <w:rPr>
          <w:rFonts w:cs="Arial"/>
          <w:rtl/>
        </w:rPr>
        <w:t xml:space="preserve">ר"ן </w:t>
      </w:r>
      <w:r w:rsidRPr="00004682">
        <w:rPr>
          <w:rFonts w:cs="Arial"/>
          <w:sz w:val="16"/>
          <w:szCs w:val="16"/>
          <w:rtl/>
        </w:rPr>
        <w:t>(כו. דיבור ראשון)</w:t>
      </w:r>
      <w:r>
        <w:rPr>
          <w:rFonts w:cs="Arial" w:hint="cs"/>
          <w:rtl/>
        </w:rPr>
        <w:t>-</w:t>
      </w:r>
      <w:r w:rsidRPr="007D3451">
        <w:rPr>
          <w:rFonts w:cs="Arial"/>
          <w:rtl/>
        </w:rPr>
        <w:t xml:space="preserve"> </w:t>
      </w:r>
      <w:r w:rsidRPr="00004682">
        <w:rPr>
          <w:rFonts w:cs="Arial"/>
          <w:rtl/>
        </w:rPr>
        <w:t>ותמה אני עונת תלמידי חכמים שהיא אחת בשבת למה לא הוזכרה במשנתינו ונראה לי שאין לתלמידי חכמים עונה קבועה שכיון ששנינו שהתלמידים יוצאין שלא ברשות לר"א ל' יום ולדברי חכמים שתים ושלש שנים כדאיתא בגמרא משמע דעונת תלמידי חכמים הדרים בעירם ג"כ משתנים כפי מה שהם צריכין לנדד שינה מעיניהם בענין למודם ולטרוח בו והדבר ידוע שאין כל הזמנים שוים להם בכך ודאמרינן בגמ' דעונתן אחת בשבת היינו כשאין מתחדש להם בלימודם דבר ולפי שידוע שאין זה מצוי להם תמיד לא נשנית עונה שלהם במשנתינו</w:t>
      </w:r>
      <w:r>
        <w:rPr>
          <w:rFonts w:cs="Arial" w:hint="cs"/>
          <w:rtl/>
        </w:rPr>
        <w:t>. (וכ"כ הח"מ</w:t>
      </w:r>
      <w:r>
        <w:rPr>
          <w:rFonts w:cs="Arial" w:hint="cs"/>
          <w:sz w:val="16"/>
          <w:szCs w:val="16"/>
          <w:rtl/>
        </w:rPr>
        <w:t xml:space="preserve"> [סק"ד]</w:t>
      </w:r>
      <w:r>
        <w:rPr>
          <w:rFonts w:cs="Arial" w:hint="cs"/>
          <w:rtl/>
        </w:rPr>
        <w:t>)</w:t>
      </w:r>
    </w:p>
    <w:p w14:paraId="531ED43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0BF53C2" w14:textId="77777777" w:rsidR="002E5BAD" w:rsidRDefault="002E5BAD" w:rsidP="002E5BAD">
      <w:pPr>
        <w:rPr>
          <w:rtl/>
        </w:rPr>
      </w:pPr>
      <w:r>
        <w:rPr>
          <w:rFonts w:cs="Arial"/>
          <w:rtl/>
        </w:rPr>
        <w:t>עונתה כיצד, כל איש חייב בעונה כפי כחו וכפי מלאכתו</w:t>
      </w:r>
      <w:r>
        <w:rPr>
          <w:rFonts w:cs="Arial" w:hint="cs"/>
          <w:rtl/>
        </w:rPr>
        <w:t>.</w:t>
      </w:r>
      <w:r>
        <w:rPr>
          <w:rFonts w:cs="Arial"/>
          <w:rtl/>
        </w:rPr>
        <w:t xml:space="preserve"> הטיילים, עונתם בכל לילה. </w:t>
      </w:r>
    </w:p>
    <w:p w14:paraId="26FD3243" w14:textId="77777777" w:rsidR="002E5BAD" w:rsidRDefault="002E5BAD" w:rsidP="002E5BAD">
      <w:pPr>
        <w:rPr>
          <w:rtl/>
        </w:rPr>
      </w:pPr>
    </w:p>
    <w:p w14:paraId="5A7E06AF" w14:textId="77777777" w:rsidR="002E5BAD" w:rsidRDefault="002E5BAD" w:rsidP="002E5BAD">
      <w:pPr>
        <w:pStyle w:val="2"/>
        <w:rPr>
          <w:rtl/>
        </w:rPr>
      </w:pPr>
      <w:r>
        <w:rPr>
          <w:rtl/>
        </w:rPr>
        <w:t>סעיף ב</w:t>
      </w:r>
      <w:r>
        <w:rPr>
          <w:rFonts w:hint="cs"/>
          <w:rtl/>
        </w:rPr>
        <w:t>: פועלים, חמרים, גמלים, מלחים ותלמידי חכמים.</w:t>
      </w:r>
    </w:p>
    <w:p w14:paraId="2FD35951" w14:textId="77777777" w:rsidR="002E5BAD" w:rsidRPr="00C6007E" w:rsidRDefault="002E5BAD" w:rsidP="002E5BAD">
      <w:pPr>
        <w:rPr>
          <w:rtl/>
        </w:rPr>
      </w:pPr>
      <w:r>
        <w:rPr>
          <w:rFonts w:hint="cs"/>
          <w:rtl/>
        </w:rPr>
        <w:t>עיין במקורות בסעיף הקודם.</w:t>
      </w:r>
    </w:p>
    <w:p w14:paraId="5A1647E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3D21E39" w14:textId="77777777" w:rsidR="002E5BAD" w:rsidRDefault="002E5BAD" w:rsidP="002E5BAD">
      <w:pPr>
        <w:rPr>
          <w:rtl/>
        </w:rPr>
      </w:pPr>
      <w:r>
        <w:rPr>
          <w:rFonts w:cs="Arial"/>
          <w:rtl/>
        </w:rPr>
        <w:t>הפועלים, אם היתה מלאכתם בעיר, פעמים בשבת</w:t>
      </w:r>
      <w:r>
        <w:rPr>
          <w:rStyle w:val="a7"/>
          <w:rFonts w:cs="Arial"/>
          <w:rtl/>
        </w:rPr>
        <w:footnoteReference w:id="1243"/>
      </w:r>
      <w:r>
        <w:rPr>
          <w:rFonts w:cs="Arial" w:hint="cs"/>
          <w:rtl/>
        </w:rPr>
        <w:t>.</w:t>
      </w:r>
      <w:r>
        <w:rPr>
          <w:rFonts w:cs="Arial"/>
          <w:rtl/>
        </w:rPr>
        <w:t xml:space="preserve"> ואם היתה מלאכתם בעיר אחרת, פעם אחת בשבת. </w:t>
      </w:r>
      <w:r>
        <w:rPr>
          <w:rFonts w:cs="Arial" w:hint="cs"/>
          <w:sz w:val="18"/>
          <w:szCs w:val="18"/>
          <w:rtl/>
        </w:rPr>
        <w:t xml:space="preserve">[הגה] </w:t>
      </w:r>
      <w:r w:rsidRPr="000D1DCE">
        <w:rPr>
          <w:rFonts w:cs="Arial"/>
          <w:sz w:val="18"/>
          <w:szCs w:val="18"/>
          <w:rtl/>
        </w:rPr>
        <w:t xml:space="preserve">וי"א דאם אינם לנין כל לילה בביתם, עונתן לח' ימים (טור ותוס' בשם ר"י בר ברוך). </w:t>
      </w:r>
      <w:r>
        <w:rPr>
          <w:rFonts w:cs="Arial"/>
          <w:rtl/>
        </w:rPr>
        <w:t>החמרים, פעם אחת בשבת</w:t>
      </w:r>
      <w:r>
        <w:rPr>
          <w:rStyle w:val="a7"/>
          <w:rFonts w:cs="Arial"/>
          <w:rtl/>
        </w:rPr>
        <w:footnoteReference w:id="1244"/>
      </w:r>
      <w:r>
        <w:rPr>
          <w:rFonts w:cs="Arial"/>
          <w:rtl/>
        </w:rPr>
        <w:t>. הגמלים, אחת לשלשים יום. המלחים, אחת לששה חדשים. תלמידי חכמים, עונתם פעם אחת בשבת</w:t>
      </w:r>
      <w:r>
        <w:rPr>
          <w:rFonts w:cs="Arial" w:hint="cs"/>
          <w:rtl/>
        </w:rPr>
        <w:t>.</w:t>
      </w:r>
      <w:r>
        <w:rPr>
          <w:rFonts w:cs="Arial"/>
          <w:rtl/>
        </w:rPr>
        <w:t xml:space="preserve"> ודרך ת</w:t>
      </w:r>
      <w:r>
        <w:rPr>
          <w:rFonts w:cs="Arial" w:hint="cs"/>
          <w:rtl/>
        </w:rPr>
        <w:t xml:space="preserve">למידי </w:t>
      </w:r>
      <w:r>
        <w:rPr>
          <w:rFonts w:cs="Arial"/>
          <w:rtl/>
        </w:rPr>
        <w:t>ח</w:t>
      </w:r>
      <w:r>
        <w:rPr>
          <w:rFonts w:cs="Arial" w:hint="cs"/>
          <w:rtl/>
        </w:rPr>
        <w:t>כמים</w:t>
      </w:r>
      <w:r>
        <w:rPr>
          <w:rFonts w:cs="Arial"/>
          <w:rtl/>
        </w:rPr>
        <w:t xml:space="preserve"> לשמש מטתן מלילי שבת ללילי שבת. </w:t>
      </w:r>
    </w:p>
    <w:p w14:paraId="4EDE435A" w14:textId="77777777" w:rsidR="002E5BAD" w:rsidRDefault="002E5BAD" w:rsidP="002E5BAD">
      <w:pPr>
        <w:rPr>
          <w:rtl/>
        </w:rPr>
      </w:pPr>
    </w:p>
    <w:p w14:paraId="3FCABAF2" w14:textId="77777777" w:rsidR="002E5BAD" w:rsidRDefault="002E5BAD" w:rsidP="002E5BAD">
      <w:pPr>
        <w:pStyle w:val="2"/>
        <w:rPr>
          <w:rtl/>
        </w:rPr>
      </w:pPr>
      <w:r>
        <w:rPr>
          <w:rtl/>
        </w:rPr>
        <w:t>סעיף ג</w:t>
      </w:r>
      <w:r>
        <w:rPr>
          <w:rFonts w:hint="cs"/>
          <w:rtl/>
        </w:rPr>
        <w:t>: חולה.</w:t>
      </w:r>
    </w:p>
    <w:p w14:paraId="5F72BB4A" w14:textId="77777777" w:rsidR="002E5BAD" w:rsidRPr="00BE2C85" w:rsidRDefault="002E5BAD" w:rsidP="002E5BAD">
      <w:pPr>
        <w:rPr>
          <w:rFonts w:cs="Arial"/>
          <w:u w:val="single"/>
        </w:rPr>
      </w:pPr>
      <w:r>
        <w:rPr>
          <w:rFonts w:cs="Arial" w:hint="cs"/>
          <w:u w:val="single"/>
          <w:rtl/>
        </w:rPr>
        <w:t>בעל</w:t>
      </w:r>
      <w:r w:rsidRPr="00BE2C85">
        <w:rPr>
          <w:rFonts w:cs="Arial" w:hint="cs"/>
          <w:u w:val="single"/>
          <w:rtl/>
        </w:rPr>
        <w:t xml:space="preserve"> חולה </w:t>
      </w:r>
      <w:r w:rsidRPr="00BE2C85">
        <w:rPr>
          <w:rFonts w:cs="Arial"/>
          <w:u w:val="single"/>
          <w:rtl/>
        </w:rPr>
        <w:t>–</w:t>
      </w:r>
      <w:r w:rsidRPr="00BE2C85">
        <w:rPr>
          <w:rFonts w:cs="Arial" w:hint="cs"/>
          <w:u w:val="single"/>
          <w:rtl/>
        </w:rPr>
        <w:t xml:space="preserve"> האם חייב בעונה:</w:t>
      </w:r>
    </w:p>
    <w:p w14:paraId="4F87FCDE" w14:textId="77777777" w:rsidR="002E5BAD" w:rsidRPr="00091A67" w:rsidRDefault="002E5BAD" w:rsidP="002E5BAD">
      <w:pPr>
        <w:pStyle w:val="ab"/>
        <w:numPr>
          <w:ilvl w:val="0"/>
          <w:numId w:val="136"/>
        </w:numPr>
        <w:rPr>
          <w:rFonts w:cs="Arial"/>
          <w:rtl/>
        </w:rPr>
      </w:pPr>
      <w:r w:rsidRPr="007D3451">
        <w:rPr>
          <w:rFonts w:cs="Arial"/>
          <w:rtl/>
        </w:rPr>
        <w:t xml:space="preserve">רמ"ה </w:t>
      </w:r>
      <w:r>
        <w:rPr>
          <w:rFonts w:cs="Arial" w:hint="cs"/>
          <w:sz w:val="16"/>
          <w:szCs w:val="16"/>
          <w:rtl/>
        </w:rPr>
        <w:t>(כ"כ הטור בשמו)</w:t>
      </w:r>
      <w:r>
        <w:rPr>
          <w:rFonts w:cs="Arial" w:hint="cs"/>
          <w:rtl/>
        </w:rPr>
        <w:t xml:space="preserve"> וטור- </w:t>
      </w:r>
      <w:r w:rsidRPr="007D3451">
        <w:rPr>
          <w:rFonts w:cs="Arial"/>
          <w:rtl/>
        </w:rPr>
        <w:t>והני מילי במי שגופו בריא ויכול לקיים העונה הקצובה לו</w:t>
      </w:r>
      <w:r>
        <w:rPr>
          <w:rFonts w:cs="Arial" w:hint="cs"/>
          <w:rtl/>
        </w:rPr>
        <w:t>,</w:t>
      </w:r>
      <w:r w:rsidRPr="007D3451">
        <w:rPr>
          <w:rFonts w:cs="Arial"/>
          <w:rtl/>
        </w:rPr>
        <w:t xml:space="preserve"> אבל מי שאינו בריא אינו חייב אלא לפי מה שאומדין אותו שיכול לקיים</w:t>
      </w:r>
      <w:r>
        <w:rPr>
          <w:rFonts w:cs="Arial" w:hint="cs"/>
          <w:sz w:val="16"/>
          <w:szCs w:val="16"/>
          <w:rtl/>
        </w:rPr>
        <w:t xml:space="preserve"> (ל' הטור בשמם הרמ"ה)</w:t>
      </w:r>
      <w:r>
        <w:rPr>
          <w:rFonts w:cs="Arial" w:hint="cs"/>
          <w:rtl/>
        </w:rPr>
        <w:t>.</w:t>
      </w:r>
      <w:r w:rsidRPr="007D3451">
        <w:rPr>
          <w:rFonts w:cs="Arial"/>
          <w:rtl/>
        </w:rPr>
        <w:t xml:space="preserve"> </w:t>
      </w:r>
      <w:r w:rsidRPr="004B3BCF">
        <w:rPr>
          <w:rFonts w:hint="cs"/>
          <w:color w:val="E36C0A" w:themeColor="accent6" w:themeShade="BF"/>
          <w:rtl/>
        </w:rPr>
        <w:t>(וכ"פ בשו"ע</w:t>
      </w:r>
      <w:r>
        <w:rPr>
          <w:rFonts w:hint="cs"/>
          <w:color w:val="E36C0A" w:themeColor="accent6" w:themeShade="BF"/>
          <w:rtl/>
        </w:rPr>
        <w:t>)</w:t>
      </w:r>
    </w:p>
    <w:p w14:paraId="2EFCBB9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0B4B199" w14:textId="77777777" w:rsidR="002E5BAD" w:rsidRDefault="002E5BAD" w:rsidP="002E5BAD">
      <w:pPr>
        <w:rPr>
          <w:rtl/>
        </w:rPr>
      </w:pPr>
      <w:r>
        <w:rPr>
          <w:rFonts w:cs="Arial"/>
          <w:rtl/>
        </w:rPr>
        <w:t>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במי שגופו בריא ויכול לקיים העונה הקצובה לו, אבל מי שאינו בריא אינו חייב אלא לפי מה שאומדין אותו שיכול לקיים. </w:t>
      </w:r>
    </w:p>
    <w:p w14:paraId="1F0E0118" w14:textId="77777777" w:rsidR="002E5BAD" w:rsidRDefault="002E5BAD" w:rsidP="002E5BAD">
      <w:pPr>
        <w:rPr>
          <w:rtl/>
        </w:rPr>
      </w:pPr>
    </w:p>
    <w:p w14:paraId="774CA645" w14:textId="77777777" w:rsidR="002E5BAD" w:rsidRPr="005A20FD" w:rsidRDefault="002E5BAD" w:rsidP="002E5BAD">
      <w:pPr>
        <w:pStyle w:val="2"/>
        <w:rPr>
          <w:rtl/>
        </w:rPr>
      </w:pPr>
      <w:r>
        <w:rPr>
          <w:rtl/>
        </w:rPr>
        <w:t>סעיף ד</w:t>
      </w:r>
      <w:r>
        <w:rPr>
          <w:rFonts w:hint="cs"/>
          <w:rtl/>
        </w:rPr>
        <w:t>: ליל טבילה ויוצא לדרך.</w:t>
      </w:r>
    </w:p>
    <w:p w14:paraId="529399E1" w14:textId="77777777" w:rsidR="002E5BAD" w:rsidRDefault="002E5BAD" w:rsidP="002E5BAD">
      <w:pPr>
        <w:rPr>
          <w:rFonts w:cs="Arial"/>
          <w:rtl/>
        </w:rPr>
      </w:pPr>
      <w:r w:rsidRPr="005A20FD">
        <w:rPr>
          <w:rFonts w:cs="Arial" w:hint="cs"/>
          <w:b/>
          <w:bCs/>
          <w:rtl/>
        </w:rPr>
        <w:t xml:space="preserve">ברכות </w:t>
      </w:r>
      <w:r>
        <w:rPr>
          <w:rFonts w:cs="Arial" w:hint="cs"/>
          <w:b/>
          <w:bCs/>
          <w:sz w:val="16"/>
          <w:szCs w:val="16"/>
          <w:rtl/>
        </w:rPr>
        <w:t>(פ' מי שמתו)</w:t>
      </w:r>
      <w:r>
        <w:rPr>
          <w:rFonts w:cs="Arial" w:hint="cs"/>
          <w:b/>
          <w:bCs/>
          <w:rtl/>
        </w:rPr>
        <w:t xml:space="preserve"> </w:t>
      </w:r>
      <w:r w:rsidRPr="005A20FD">
        <w:rPr>
          <w:rFonts w:cs="Arial" w:hint="cs"/>
          <w:b/>
          <w:bCs/>
          <w:rtl/>
        </w:rPr>
        <w:t>כד ע"א:</w:t>
      </w:r>
      <w:r>
        <w:rPr>
          <w:rFonts w:cs="Arial" w:hint="cs"/>
          <w:rtl/>
        </w:rPr>
        <w:t xml:space="preserve"> </w:t>
      </w:r>
      <w:r w:rsidRPr="005A20FD">
        <w:rPr>
          <w:rFonts w:cs="Arial"/>
          <w:u w:val="single"/>
          <w:rtl/>
        </w:rPr>
        <w:t>אמר רב המנונא בריה דרב יוסף</w:t>
      </w:r>
      <w:r w:rsidRPr="005A20FD">
        <w:rPr>
          <w:rFonts w:cs="Arial"/>
          <w:rtl/>
        </w:rPr>
        <w:t>: זימנא חדא הוה קאימנא קמיה דרבא ואמר לי: זיל אייתי לי תפילין. ואשכחתינהו בין כר לכסת שלא כנגד ראשו, והוה ידענא דיום טבילה הוה</w:t>
      </w:r>
      <w:r>
        <w:rPr>
          <w:rStyle w:val="a7"/>
          <w:rFonts w:cs="Arial"/>
          <w:rtl/>
        </w:rPr>
        <w:footnoteReference w:id="1245"/>
      </w:r>
      <w:r w:rsidRPr="005A20FD">
        <w:rPr>
          <w:rFonts w:cs="Arial"/>
          <w:rtl/>
        </w:rPr>
        <w:t>, ולאגמורן הלכה למעשה הוא דעבד.</w:t>
      </w:r>
      <w:r w:rsidRPr="005A20FD">
        <w:rPr>
          <w:rtl/>
        </w:rPr>
        <w:t xml:space="preserve"> </w:t>
      </w:r>
      <w:r w:rsidRPr="005A20FD">
        <w:rPr>
          <w:rFonts w:hint="cs"/>
          <w:sz w:val="16"/>
          <w:szCs w:val="16"/>
          <w:rtl/>
        </w:rPr>
        <w:t>(</w:t>
      </w:r>
      <w:r w:rsidRPr="005A20FD">
        <w:rPr>
          <w:rFonts w:cs="Arial"/>
          <w:sz w:val="16"/>
          <w:szCs w:val="16"/>
          <w:rtl/>
        </w:rPr>
        <w:t xml:space="preserve">וכתב הב"י </w:t>
      </w:r>
      <w:r w:rsidRPr="005A20FD">
        <w:rPr>
          <w:rFonts w:cs="Arial" w:hint="cs"/>
          <w:sz w:val="16"/>
          <w:szCs w:val="16"/>
          <w:rtl/>
        </w:rPr>
        <w:t xml:space="preserve">(בסי' </w:t>
      </w:r>
      <w:r w:rsidRPr="005A20FD">
        <w:rPr>
          <w:rFonts w:cs="Arial"/>
          <w:sz w:val="16"/>
          <w:szCs w:val="16"/>
          <w:rtl/>
        </w:rPr>
        <w:t>רמ</w:t>
      </w:r>
      <w:r w:rsidRPr="005A20FD">
        <w:rPr>
          <w:rFonts w:cs="Arial" w:hint="cs"/>
          <w:sz w:val="16"/>
          <w:szCs w:val="16"/>
          <w:rtl/>
        </w:rPr>
        <w:t>)</w:t>
      </w:r>
      <w:r w:rsidRPr="005A20FD">
        <w:rPr>
          <w:rFonts w:cs="Arial"/>
          <w:sz w:val="16"/>
          <w:szCs w:val="16"/>
          <w:rtl/>
        </w:rPr>
        <w:t xml:space="preserve"> שמכאן המקור שצריך לפקוד את אשתו בליל טבילתה</w:t>
      </w:r>
      <w:r w:rsidRPr="005A20FD">
        <w:rPr>
          <w:rFonts w:cs="Arial" w:hint="cs"/>
          <w:sz w:val="16"/>
          <w:szCs w:val="16"/>
          <w:rtl/>
        </w:rPr>
        <w:t>)</w:t>
      </w:r>
    </w:p>
    <w:p w14:paraId="03832D7A" w14:textId="77777777" w:rsidR="002E5BAD" w:rsidRDefault="002E5BAD" w:rsidP="002E5BAD">
      <w:pPr>
        <w:rPr>
          <w:rtl/>
        </w:rPr>
      </w:pPr>
      <w:r w:rsidRPr="00931A19">
        <w:rPr>
          <w:rFonts w:cs="Arial" w:hint="cs"/>
          <w:b/>
          <w:bCs/>
          <w:rtl/>
        </w:rPr>
        <w:t>יבמות</w:t>
      </w:r>
      <w:r w:rsidRPr="00931A19">
        <w:rPr>
          <w:rFonts w:cs="Arial" w:hint="cs"/>
          <w:b/>
          <w:bCs/>
          <w:sz w:val="16"/>
          <w:szCs w:val="16"/>
          <w:rtl/>
        </w:rPr>
        <w:t xml:space="preserve"> (</w:t>
      </w:r>
      <w:r w:rsidRPr="00931A19">
        <w:rPr>
          <w:rFonts w:cs="Arial"/>
          <w:b/>
          <w:bCs/>
          <w:sz w:val="16"/>
          <w:szCs w:val="16"/>
          <w:rtl/>
        </w:rPr>
        <w:t>פ</w:t>
      </w:r>
      <w:r w:rsidRPr="00931A19">
        <w:rPr>
          <w:rFonts w:cs="Arial" w:hint="cs"/>
          <w:b/>
          <w:bCs/>
          <w:sz w:val="16"/>
          <w:szCs w:val="16"/>
          <w:rtl/>
        </w:rPr>
        <w:t>'</w:t>
      </w:r>
      <w:r w:rsidRPr="00931A19">
        <w:rPr>
          <w:rFonts w:cs="Arial"/>
          <w:b/>
          <w:bCs/>
          <w:sz w:val="16"/>
          <w:szCs w:val="16"/>
          <w:rtl/>
        </w:rPr>
        <w:t xml:space="preserve"> הבא על יבמתו</w:t>
      </w:r>
      <w:r w:rsidRPr="00931A19">
        <w:rPr>
          <w:rFonts w:cs="Arial" w:hint="cs"/>
          <w:b/>
          <w:bCs/>
          <w:sz w:val="16"/>
          <w:szCs w:val="16"/>
          <w:rtl/>
        </w:rPr>
        <w:t>)</w:t>
      </w:r>
      <w:r w:rsidRPr="00931A19">
        <w:rPr>
          <w:rFonts w:cs="Arial"/>
          <w:b/>
          <w:bCs/>
          <w:rtl/>
        </w:rPr>
        <w:t xml:space="preserve"> סב</w:t>
      </w:r>
      <w:r w:rsidRPr="00931A19">
        <w:rPr>
          <w:rFonts w:cs="Arial" w:hint="cs"/>
          <w:b/>
          <w:bCs/>
          <w:rtl/>
        </w:rPr>
        <w:t xml:space="preserve"> ע"ב</w:t>
      </w:r>
      <w:r w:rsidRPr="00931A19">
        <w:rPr>
          <w:rFonts w:cs="Arial"/>
          <w:b/>
          <w:bCs/>
          <w:rtl/>
        </w:rPr>
        <w:t>:</w:t>
      </w:r>
      <w:r w:rsidRPr="00931A19">
        <w:rPr>
          <w:rFonts w:cs="Arial" w:hint="cs"/>
          <w:b/>
          <w:bCs/>
          <w:rtl/>
        </w:rPr>
        <w:t xml:space="preserve"> </w:t>
      </w:r>
      <w:r w:rsidRPr="00931A19">
        <w:rPr>
          <w:rFonts w:cs="Arial"/>
          <w:u w:val="single"/>
          <w:rtl/>
        </w:rPr>
        <w:t>אמר ריב"ל</w:t>
      </w:r>
      <w:r w:rsidRPr="00931A19">
        <w:rPr>
          <w:rFonts w:cs="Arial"/>
          <w:rtl/>
        </w:rPr>
        <w:t xml:space="preserve">: כל היודע באשתו שהיא יראת שמים ואינו פוקדה - נקרא חוטא, שנאמר: וידעת כי שלום אהלך וגו'. </w:t>
      </w:r>
      <w:r w:rsidRPr="00931A19">
        <w:rPr>
          <w:rFonts w:cs="Arial"/>
          <w:u w:val="single"/>
          <w:rtl/>
        </w:rPr>
        <w:t>ואמר ריב"ל</w:t>
      </w:r>
      <w:r w:rsidRPr="00931A19">
        <w:rPr>
          <w:rFonts w:cs="Arial"/>
          <w:rtl/>
        </w:rPr>
        <w:t xml:space="preserve">: חייב אדם לפקוד את אשתו בשעה שהוא יוצא לדרך, שנא': וידעת כי שלום אהלך וגו'. הא מהכא נפקא? מהתם נפקא: ואל אישך תשוקתך - מלמד, שהאשה משתוקקת על בעלה בשעה שהוא יוצא לדרך! </w:t>
      </w:r>
      <w:r w:rsidRPr="00931A19">
        <w:rPr>
          <w:rFonts w:cs="Arial"/>
          <w:u w:val="single"/>
          <w:rtl/>
        </w:rPr>
        <w:t>א"ר יוסף</w:t>
      </w:r>
      <w:r>
        <w:rPr>
          <w:rFonts w:cs="Arial" w:hint="cs"/>
          <w:rtl/>
        </w:rPr>
        <w:t>:</w:t>
      </w:r>
      <w:r w:rsidRPr="00931A19">
        <w:rPr>
          <w:rFonts w:cs="Arial"/>
          <w:rtl/>
        </w:rPr>
        <w:t xml:space="preserve"> לא נצרכה אלא סמוך לווסתה. וכמה? </w:t>
      </w:r>
      <w:r w:rsidRPr="00931A19">
        <w:rPr>
          <w:rFonts w:cs="Arial"/>
          <w:u w:val="single"/>
          <w:rtl/>
        </w:rPr>
        <w:t>אמר רבא</w:t>
      </w:r>
      <w:r w:rsidRPr="00931A19">
        <w:rPr>
          <w:rFonts w:cs="Arial"/>
          <w:rtl/>
        </w:rPr>
        <w:t>: עונה. והני מילי לדבר הרשות, אבל לדבר מצוה - מיטרידי.</w:t>
      </w:r>
      <w:r w:rsidRPr="005A20FD">
        <w:rPr>
          <w:rFonts w:cs="Arial"/>
          <w:rtl/>
        </w:rPr>
        <w:t xml:space="preserve"> </w:t>
      </w:r>
      <w:r w:rsidRPr="005A20FD">
        <w:rPr>
          <w:rFonts w:cs="Arial" w:hint="cs"/>
          <w:color w:val="FF0000"/>
          <w:sz w:val="16"/>
          <w:szCs w:val="16"/>
          <w:rtl/>
        </w:rPr>
        <w:t xml:space="preserve">(הב"י בסימן כה כתב שכן נלמד </w:t>
      </w:r>
      <w:r w:rsidRPr="005A20FD">
        <w:rPr>
          <w:rFonts w:cs="Arial"/>
          <w:color w:val="FF0000"/>
          <w:sz w:val="16"/>
          <w:szCs w:val="16"/>
          <w:rtl/>
        </w:rPr>
        <w:t>בפרק הדר (עירובין ק:)</w:t>
      </w:r>
      <w:r w:rsidRPr="005A20FD">
        <w:rPr>
          <w:rFonts w:cs="Arial" w:hint="cs"/>
          <w:color w:val="FF0000"/>
          <w:sz w:val="16"/>
          <w:szCs w:val="16"/>
          <w:rtl/>
        </w:rPr>
        <w:t>, אך לא מצאתי שם</w:t>
      </w:r>
      <w:r>
        <w:rPr>
          <w:rFonts w:cs="Arial" w:hint="cs"/>
          <w:color w:val="FF0000"/>
          <w:sz w:val="16"/>
          <w:szCs w:val="16"/>
          <w:rtl/>
        </w:rPr>
        <w:t>,</w:t>
      </w:r>
      <w:r w:rsidRPr="005A20FD">
        <w:rPr>
          <w:rFonts w:cs="Arial" w:hint="cs"/>
          <w:color w:val="FF0000"/>
          <w:sz w:val="16"/>
          <w:szCs w:val="16"/>
          <w:rtl/>
        </w:rPr>
        <w:t xml:space="preserve"> </w:t>
      </w:r>
      <w:r>
        <w:rPr>
          <w:rFonts w:cs="Arial" w:hint="cs"/>
          <w:color w:val="FF0000"/>
          <w:sz w:val="16"/>
          <w:szCs w:val="16"/>
          <w:rtl/>
        </w:rPr>
        <w:t>ו</w:t>
      </w:r>
      <w:r w:rsidRPr="005A20FD">
        <w:rPr>
          <w:rFonts w:cs="Arial" w:hint="cs"/>
          <w:color w:val="FF0000"/>
          <w:sz w:val="16"/>
          <w:szCs w:val="16"/>
          <w:rtl/>
        </w:rPr>
        <w:t>צ</w:t>
      </w:r>
      <w:r>
        <w:rPr>
          <w:rFonts w:cs="Arial" w:hint="cs"/>
          <w:color w:val="FF0000"/>
          <w:sz w:val="16"/>
          <w:szCs w:val="16"/>
          <w:rtl/>
        </w:rPr>
        <w:t>ל</w:t>
      </w:r>
      <w:r w:rsidRPr="005A20FD">
        <w:rPr>
          <w:rFonts w:cs="Arial" w:hint="cs"/>
          <w:color w:val="FF0000"/>
          <w:sz w:val="16"/>
          <w:szCs w:val="16"/>
          <w:rtl/>
        </w:rPr>
        <w:t>"ע)</w:t>
      </w:r>
    </w:p>
    <w:p w14:paraId="5A74418A" w14:textId="77777777" w:rsidR="002E5BAD" w:rsidRPr="00931A19" w:rsidRDefault="002E5BAD" w:rsidP="002E5BAD">
      <w:pPr>
        <w:rPr>
          <w:u w:val="single"/>
          <w:rtl/>
        </w:rPr>
      </w:pPr>
      <w:r w:rsidRPr="00931A19">
        <w:rPr>
          <w:rFonts w:hint="cs"/>
          <w:u w:val="single"/>
          <w:rtl/>
        </w:rPr>
        <w:t>חיוב פקידה בליל טבילה וכשיוצא לדרך:</w:t>
      </w:r>
    </w:p>
    <w:p w14:paraId="39032905" w14:textId="77777777" w:rsidR="002E5BAD" w:rsidRPr="004F5E0D" w:rsidRDefault="002E5BAD" w:rsidP="002E5BAD">
      <w:pPr>
        <w:pStyle w:val="ab"/>
        <w:numPr>
          <w:ilvl w:val="0"/>
          <w:numId w:val="157"/>
        </w:numPr>
      </w:pPr>
      <w:r w:rsidRPr="004F5E0D">
        <w:rPr>
          <w:rFonts w:cs="Arial" w:hint="cs"/>
          <w:rtl/>
        </w:rPr>
        <w:t>טור</w:t>
      </w:r>
      <w:r>
        <w:rPr>
          <w:rFonts w:cs="Arial" w:hint="cs"/>
          <w:sz w:val="16"/>
          <w:szCs w:val="16"/>
          <w:rtl/>
        </w:rPr>
        <w:t xml:space="preserve"> (סי' כה, הביאו הב"י בבדה"ב</w:t>
      </w:r>
      <w:r>
        <w:rPr>
          <w:rStyle w:val="a7"/>
          <w:rFonts w:cs="Arial"/>
          <w:sz w:val="16"/>
          <w:szCs w:val="16"/>
          <w:rtl/>
        </w:rPr>
        <w:footnoteReference w:id="1246"/>
      </w:r>
      <w:r>
        <w:rPr>
          <w:rFonts w:cs="Arial" w:hint="cs"/>
          <w:sz w:val="16"/>
          <w:szCs w:val="16"/>
          <w:rtl/>
        </w:rPr>
        <w:t>)</w:t>
      </w:r>
      <w:r w:rsidRPr="004F5E0D">
        <w:rPr>
          <w:rFonts w:cs="Arial" w:hint="cs"/>
          <w:rtl/>
        </w:rPr>
        <w:t xml:space="preserve">- </w:t>
      </w:r>
      <w:r w:rsidRPr="004F5E0D">
        <w:rPr>
          <w:rFonts w:cs="Arial"/>
          <w:rtl/>
        </w:rPr>
        <w:t>וכל אדם חייב לפקוד את אשתו בליל טבילתה ובשעה שהוא יוצא לדרך</w:t>
      </w:r>
      <w:r w:rsidRPr="004F5E0D">
        <w:rPr>
          <w:rFonts w:cs="Arial" w:hint="cs"/>
          <w:rtl/>
        </w:rPr>
        <w:t>.</w:t>
      </w:r>
      <w:r w:rsidRPr="000A3BE3">
        <w:rPr>
          <w:rFonts w:cs="Arial"/>
          <w:color w:val="E36C0A" w:themeColor="accent6" w:themeShade="BF"/>
          <w:rtl/>
        </w:rPr>
        <w:t xml:space="preserve"> </w:t>
      </w:r>
      <w:r w:rsidRPr="000A3BE3">
        <w:rPr>
          <w:rFonts w:hint="cs"/>
          <w:color w:val="E36C0A" w:themeColor="accent6" w:themeShade="BF"/>
          <w:rtl/>
        </w:rPr>
        <w:t>(וכ"פ בשו"ע</w:t>
      </w:r>
      <w:r>
        <w:rPr>
          <w:rFonts w:hint="cs"/>
          <w:sz w:val="16"/>
          <w:szCs w:val="16"/>
          <w:rtl/>
        </w:rPr>
        <w:t xml:space="preserve"> [כאן ובאו"ח סי' רמ ס"א]</w:t>
      </w:r>
      <w:r w:rsidRPr="000A3BE3">
        <w:rPr>
          <w:rFonts w:hint="cs"/>
          <w:color w:val="E36C0A" w:themeColor="accent6" w:themeShade="BF"/>
          <w:rtl/>
        </w:rPr>
        <w:t>)</w:t>
      </w:r>
    </w:p>
    <w:p w14:paraId="49496F2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139BF7A" w14:textId="77777777" w:rsidR="002E5BAD" w:rsidRDefault="002E5BAD" w:rsidP="002E5BAD">
      <w:pPr>
        <w:rPr>
          <w:rtl/>
        </w:rPr>
      </w:pPr>
      <w:r>
        <w:rPr>
          <w:rFonts w:cs="Arial"/>
          <w:rtl/>
        </w:rPr>
        <w:t>כל אדם חייב לפקוד את אשתו בליל טבילתה</w:t>
      </w:r>
      <w:r>
        <w:rPr>
          <w:rStyle w:val="a7"/>
          <w:rFonts w:cs="Arial"/>
          <w:rtl/>
        </w:rPr>
        <w:footnoteReference w:id="1247"/>
      </w:r>
      <w:r>
        <w:rPr>
          <w:rFonts w:cs="Arial"/>
          <w:rtl/>
        </w:rPr>
        <w:t xml:space="preserve">, ובשעה שהוא יוצא לדרך. </w:t>
      </w:r>
    </w:p>
    <w:p w14:paraId="3F73676A" w14:textId="77777777" w:rsidR="002E5BAD" w:rsidRDefault="002E5BAD" w:rsidP="002E5BAD">
      <w:pPr>
        <w:rPr>
          <w:rtl/>
        </w:rPr>
      </w:pPr>
    </w:p>
    <w:p w14:paraId="49531AE9" w14:textId="77777777" w:rsidR="002E5BAD" w:rsidRDefault="002E5BAD" w:rsidP="002E5BAD">
      <w:pPr>
        <w:pStyle w:val="2"/>
        <w:rPr>
          <w:rtl/>
        </w:rPr>
      </w:pPr>
      <w:r>
        <w:rPr>
          <w:rtl/>
        </w:rPr>
        <w:t>סעיף ה</w:t>
      </w:r>
      <w:r>
        <w:rPr>
          <w:rFonts w:hint="cs"/>
          <w:rtl/>
        </w:rPr>
        <w:t xml:space="preserve">: איש רוצה לצאת לסחורה/ת"ת יותר מעונתו. איש שרוצה להחליף מלאכה. </w:t>
      </w:r>
    </w:p>
    <w:p w14:paraId="143C287A" w14:textId="77777777" w:rsidR="002E5BAD" w:rsidRDefault="002E5BAD" w:rsidP="002E5BA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שבת אחת. התלמידים יוצאין לתלמוד תורה שלא ברשות שלשים יום</w:t>
      </w:r>
      <w:r>
        <w:rPr>
          <w:rStyle w:val="a7"/>
          <w:rFonts w:cs="Arial"/>
          <w:rtl/>
        </w:rPr>
        <w:footnoteReference w:id="1248"/>
      </w:r>
      <w:r w:rsidRPr="00DE6B68">
        <w:rPr>
          <w:rFonts w:cs="Arial"/>
          <w:rtl/>
        </w:rPr>
        <w:t>, הפועלים - שבת אחת. העונה האמורה בתורה</w:t>
      </w:r>
      <w:r>
        <w:rPr>
          <w:rFonts w:cs="Arial" w:hint="cs"/>
          <w:rtl/>
        </w:rPr>
        <w:t xml:space="preserve">... </w:t>
      </w:r>
      <w:r w:rsidRPr="00DE6B68">
        <w:rPr>
          <w:rFonts w:cs="Arial"/>
          <w:rtl/>
        </w:rPr>
        <w:t xml:space="preserve">הספנים - אחת לששה חדשים, </w:t>
      </w:r>
      <w:r w:rsidRPr="00DE6B68">
        <w:rPr>
          <w:rFonts w:cs="Arial"/>
          <w:u w:val="single"/>
          <w:rtl/>
        </w:rPr>
        <w:t>דברי רבי אליעזר</w:t>
      </w:r>
      <w:r w:rsidRPr="00DE6B68">
        <w:rPr>
          <w:rFonts w:cs="Arial"/>
          <w:rtl/>
        </w:rPr>
        <w:t>.</w:t>
      </w:r>
      <w:r>
        <w:rPr>
          <w:rFonts w:hint="cs"/>
          <w:rtl/>
        </w:rPr>
        <w:t xml:space="preserve">      </w:t>
      </w:r>
      <w:r>
        <w:rPr>
          <w:rFonts w:cs="Arial" w:hint="cs"/>
          <w:u w:val="double"/>
          <w:rtl/>
        </w:rPr>
        <w:t>גמ</w:t>
      </w:r>
      <w:r w:rsidRPr="00AA00D2">
        <w:rPr>
          <w:rFonts w:cs="Arial"/>
          <w:u w:val="double"/>
          <w:rtl/>
        </w:rPr>
        <w:t>'</w:t>
      </w:r>
      <w:r>
        <w:rPr>
          <w:rFonts w:cs="Arial" w:hint="cs"/>
          <w:rtl/>
        </w:rPr>
        <w:t xml:space="preserve">: </w:t>
      </w:r>
      <w:r w:rsidRPr="00283DE3">
        <w:rPr>
          <w:rFonts w:cs="Arial"/>
          <w:rtl/>
        </w:rPr>
        <w:t xml:space="preserve">התלמידים יוצאין לתלמוד וכו'. ברשות </w:t>
      </w:r>
      <w:r w:rsidRPr="00283DE3">
        <w:rPr>
          <w:rFonts w:cs="Arial"/>
          <w:rtl/>
        </w:rPr>
        <w:lastRenderedPageBreak/>
        <w:t>כמה? כמה דבעי.</w:t>
      </w:r>
      <w:r>
        <w:rPr>
          <w:rFonts w:cs="Arial" w:hint="cs"/>
          <w:sz w:val="14"/>
          <w:szCs w:val="14"/>
          <w:rtl/>
        </w:rPr>
        <w:t xml:space="preserve"> (סב.) </w:t>
      </w:r>
      <w:r w:rsidRPr="00283DE3">
        <w:rPr>
          <w:rFonts w:cs="Arial"/>
          <w:rtl/>
        </w:rPr>
        <w:t>אורחא דמילתא</w:t>
      </w:r>
      <w:r>
        <w:rPr>
          <w:rStyle w:val="a7"/>
          <w:rFonts w:cs="Arial"/>
          <w:rtl/>
        </w:rPr>
        <w:footnoteReference w:id="1249"/>
      </w:r>
      <w:r w:rsidRPr="00283DE3">
        <w:rPr>
          <w:rFonts w:cs="Arial"/>
          <w:rtl/>
        </w:rPr>
        <w:t xml:space="preserve"> כמה</w:t>
      </w:r>
      <w:r>
        <w:rPr>
          <w:rStyle w:val="a7"/>
          <w:rFonts w:cs="Arial"/>
          <w:rtl/>
        </w:rPr>
        <w:footnoteReference w:id="1250"/>
      </w:r>
      <w:r w:rsidRPr="00283DE3">
        <w:rPr>
          <w:rFonts w:cs="Arial"/>
          <w:rtl/>
        </w:rPr>
        <w:t xml:space="preserve">? </w:t>
      </w:r>
      <w:r w:rsidRPr="00283DE3">
        <w:rPr>
          <w:rFonts w:cs="Arial"/>
          <w:u w:val="single"/>
          <w:rtl/>
        </w:rPr>
        <w:t>אמר רב</w:t>
      </w:r>
      <w:r w:rsidRPr="00283DE3">
        <w:rPr>
          <w:rFonts w:cs="Arial"/>
          <w:rtl/>
        </w:rPr>
        <w:t>: חדש כאן וחדש בבית</w:t>
      </w:r>
      <w:r>
        <w:rPr>
          <w:rStyle w:val="a7"/>
          <w:rFonts w:cs="Arial"/>
          <w:rtl/>
        </w:rPr>
        <w:footnoteReference w:id="1251"/>
      </w:r>
      <w:r w:rsidRPr="00283DE3">
        <w:rPr>
          <w:rFonts w:cs="Arial"/>
          <w:rtl/>
        </w:rPr>
        <w:t>, שנאמר: לכל דבר המחלקות הבאה והיוצאת חדש בחדש לכל חדשי השנה</w:t>
      </w:r>
      <w:r>
        <w:rPr>
          <w:rFonts w:cs="Arial" w:hint="cs"/>
          <w:rtl/>
        </w:rPr>
        <w:t>.</w:t>
      </w:r>
      <w:r w:rsidRPr="00283DE3">
        <w:rPr>
          <w:rFonts w:cs="Arial"/>
          <w:rtl/>
        </w:rPr>
        <w:t xml:space="preserve"> </w:t>
      </w:r>
      <w:r w:rsidRPr="00283DE3">
        <w:rPr>
          <w:rFonts w:cs="Arial"/>
          <w:u w:val="single"/>
          <w:rtl/>
        </w:rPr>
        <w:t>ור' יוחנן אמר</w:t>
      </w:r>
      <w:r w:rsidRPr="00283DE3">
        <w:rPr>
          <w:rFonts w:cs="Arial"/>
          <w:rtl/>
        </w:rPr>
        <w:t>: חדש כאן ושנים בביתו, שנאמר: חדש יהיו בלבנון שנים חדשים בביתו.</w:t>
      </w:r>
      <w:r>
        <w:rPr>
          <w:rFonts w:cs="Arial" w:hint="cs"/>
          <w:rtl/>
        </w:rPr>
        <w:t>..</w:t>
      </w:r>
      <w:r>
        <w:rPr>
          <w:rFonts w:cs="Arial" w:hint="cs"/>
          <w:sz w:val="16"/>
          <w:szCs w:val="16"/>
          <w:rtl/>
        </w:rPr>
        <w:t xml:space="preserve"> (סב:)</w:t>
      </w:r>
      <w:r w:rsidRPr="00283DE3">
        <w:rPr>
          <w:rFonts w:cs="Arial"/>
          <w:rtl/>
        </w:rPr>
        <w:t xml:space="preserve"> </w:t>
      </w:r>
      <w:r w:rsidRPr="00CB1695">
        <w:rPr>
          <w:rFonts w:cs="Arial"/>
          <w:u w:val="single"/>
          <w:rtl/>
        </w:rPr>
        <w:t>א"ל רבה בר רב חנן לאביי</w:t>
      </w:r>
      <w:r w:rsidRPr="00DB78F6">
        <w:rPr>
          <w:rFonts w:cs="Arial"/>
          <w:rtl/>
        </w:rPr>
        <w:t>: חמר ונעשה גמל, מאי</w:t>
      </w:r>
      <w:r>
        <w:rPr>
          <w:rStyle w:val="a7"/>
          <w:rFonts w:cs="Arial"/>
          <w:rtl/>
        </w:rPr>
        <w:footnoteReference w:id="1252"/>
      </w:r>
      <w:r w:rsidRPr="00DB78F6">
        <w:rPr>
          <w:rFonts w:cs="Arial"/>
          <w:rtl/>
        </w:rPr>
        <w:t xml:space="preserve">? </w:t>
      </w:r>
      <w:r w:rsidRPr="00CB1695">
        <w:rPr>
          <w:rFonts w:cs="Arial"/>
          <w:u w:val="single"/>
          <w:rtl/>
        </w:rPr>
        <w:t>א"ל</w:t>
      </w:r>
      <w:r w:rsidRPr="00DB78F6">
        <w:rPr>
          <w:rFonts w:cs="Arial"/>
          <w:rtl/>
        </w:rPr>
        <w:t>: רוצה אשה בקב ותיפלות</w:t>
      </w:r>
      <w:r>
        <w:rPr>
          <w:rStyle w:val="a7"/>
          <w:rFonts w:cs="Arial"/>
          <w:rtl/>
        </w:rPr>
        <w:footnoteReference w:id="1253"/>
      </w:r>
      <w:r w:rsidRPr="00DB78F6">
        <w:rPr>
          <w:rFonts w:cs="Arial"/>
          <w:rtl/>
        </w:rPr>
        <w:t xml:space="preserve"> מעשרה קבין</w:t>
      </w:r>
      <w:r>
        <w:rPr>
          <w:rStyle w:val="a7"/>
          <w:rFonts w:cs="Arial"/>
          <w:rtl/>
        </w:rPr>
        <w:footnoteReference w:id="1254"/>
      </w:r>
      <w:r w:rsidRPr="00DB78F6">
        <w:rPr>
          <w:rFonts w:cs="Arial"/>
          <w:rtl/>
        </w:rPr>
        <w:t xml:space="preserve"> ופרישות</w:t>
      </w:r>
      <w:r>
        <w:rPr>
          <w:rFonts w:cs="Arial" w:hint="cs"/>
          <w:rtl/>
        </w:rPr>
        <w:t>..</w:t>
      </w:r>
      <w:r w:rsidRPr="00DB78F6">
        <w:rPr>
          <w:rFonts w:cs="Arial"/>
          <w:rtl/>
        </w:rPr>
        <w:t xml:space="preserve">. </w:t>
      </w:r>
      <w:r>
        <w:rPr>
          <w:rFonts w:cs="Arial" w:hint="cs"/>
          <w:rtl/>
        </w:rPr>
        <w:t>'</w:t>
      </w:r>
      <w:r w:rsidRPr="00DB78F6">
        <w:rPr>
          <w:rFonts w:cs="Arial"/>
          <w:rtl/>
        </w:rPr>
        <w:t>הספנים אחת לששה חדשים דברי ר' אליעזר</w:t>
      </w:r>
      <w:r>
        <w:rPr>
          <w:rFonts w:cs="Arial" w:hint="cs"/>
          <w:rtl/>
        </w:rPr>
        <w:t>'</w:t>
      </w:r>
      <w:r w:rsidRPr="00DB78F6">
        <w:rPr>
          <w:rFonts w:cs="Arial"/>
          <w:rtl/>
        </w:rPr>
        <w:t xml:space="preserve">. </w:t>
      </w:r>
      <w:r w:rsidRPr="00CB1695">
        <w:rPr>
          <w:rFonts w:cs="Arial"/>
          <w:u w:val="single"/>
          <w:rtl/>
        </w:rPr>
        <w:t>אמר רב ברונא אמר רב</w:t>
      </w:r>
      <w:r w:rsidRPr="00DB78F6">
        <w:rPr>
          <w:rFonts w:cs="Arial"/>
          <w:rtl/>
        </w:rPr>
        <w:t xml:space="preserve">: הלכה כר"א. </w:t>
      </w:r>
      <w:r w:rsidRPr="00CB1695">
        <w:rPr>
          <w:rFonts w:cs="Arial"/>
          <w:u w:val="single"/>
          <w:rtl/>
        </w:rPr>
        <w:t>אמר רב אדא בר אהבה אמר רב</w:t>
      </w:r>
      <w:r w:rsidRPr="00DB78F6">
        <w:rPr>
          <w:rFonts w:cs="Arial"/>
          <w:rtl/>
        </w:rPr>
        <w:t>: זו דברי ר' אליעזר, אבל חכמים אומרים: התלמידים יוצאין לת"ת ב' וג' שנים שלא ברשות.</w:t>
      </w:r>
      <w:r>
        <w:rPr>
          <w:rFonts w:cs="Arial" w:hint="cs"/>
          <w:rtl/>
        </w:rPr>
        <w:t>..</w:t>
      </w:r>
    </w:p>
    <w:p w14:paraId="62E97CE7" w14:textId="77777777" w:rsidR="002E5BAD" w:rsidRPr="001E2E22" w:rsidRDefault="002E5BAD" w:rsidP="002E5BAD">
      <w:pPr>
        <w:rPr>
          <w:rFonts w:cs="Arial"/>
          <w:u w:val="single"/>
          <w:rtl/>
        </w:rPr>
      </w:pPr>
      <w:r>
        <w:rPr>
          <w:rFonts w:cs="Arial" w:hint="cs"/>
          <w:u w:val="single"/>
          <w:rtl/>
        </w:rPr>
        <w:t>איש</w:t>
      </w:r>
      <w:r w:rsidRPr="001E2E22">
        <w:rPr>
          <w:rFonts w:cs="Arial" w:hint="cs"/>
          <w:u w:val="single"/>
          <w:rtl/>
        </w:rPr>
        <w:t xml:space="preserve"> שרוצה לצאת לסחורה וכדו' בעניין שיתבטל מעונתו </w:t>
      </w:r>
      <w:r w:rsidRPr="001E2E22">
        <w:rPr>
          <w:rFonts w:cs="Arial"/>
          <w:u w:val="single"/>
          <w:rtl/>
        </w:rPr>
        <w:t>–</w:t>
      </w:r>
      <w:r w:rsidRPr="001E2E22">
        <w:rPr>
          <w:rFonts w:cs="Arial" w:hint="cs"/>
          <w:u w:val="single"/>
          <w:rtl/>
        </w:rPr>
        <w:t xml:space="preserve"> האם מותר לו לצאת:</w:t>
      </w:r>
    </w:p>
    <w:p w14:paraId="326986AE"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(פי"ד מאישות ה"ב)</w:t>
      </w:r>
      <w:r>
        <w:rPr>
          <w:rFonts w:cs="Arial" w:hint="cs"/>
          <w:rtl/>
        </w:rPr>
        <w:t xml:space="preserve"> רא"ש </w:t>
      </w:r>
      <w:r>
        <w:rPr>
          <w:rFonts w:cs="Arial" w:hint="cs"/>
          <w:sz w:val="16"/>
          <w:szCs w:val="16"/>
          <w:rtl/>
        </w:rPr>
        <w:t>(פ"ה סי' כט)</w:t>
      </w:r>
      <w:r>
        <w:rPr>
          <w:rFonts w:cs="Arial" w:hint="cs"/>
          <w:rtl/>
        </w:rPr>
        <w:t xml:space="preserve"> וטור- </w:t>
      </w:r>
      <w:r w:rsidRPr="007D3451">
        <w:rPr>
          <w:rFonts w:cs="Arial"/>
          <w:rtl/>
        </w:rPr>
        <w:t>אין האיש רשאי לצאת לסחורה או לצורך דבר אחר בענין שמתבטל מעונתו המוטלת עליו אלא ברשות אשתו</w:t>
      </w:r>
      <w:r>
        <w:rPr>
          <w:rFonts w:cs="Arial" w:hint="cs"/>
          <w:sz w:val="16"/>
          <w:szCs w:val="16"/>
          <w:rtl/>
        </w:rPr>
        <w:t xml:space="preserve"> (ל' הטור)</w:t>
      </w:r>
      <w:r>
        <w:rPr>
          <w:rFonts w:cs="Arial" w:hint="cs"/>
          <w:rtl/>
        </w:rPr>
        <w:t>.</w:t>
      </w:r>
      <w:r w:rsidRPr="007D3451">
        <w:rPr>
          <w:rFonts w:cs="Arial"/>
          <w:rtl/>
        </w:rPr>
        <w:t xml:space="preserve"> </w:t>
      </w:r>
      <w:r w:rsidRPr="004B3BCF">
        <w:rPr>
          <w:rFonts w:hint="cs"/>
          <w:color w:val="E36C0A" w:themeColor="accent6" w:themeShade="BF"/>
          <w:rtl/>
        </w:rPr>
        <w:t>(וכ"פ בשו"ע</w:t>
      </w:r>
      <w:r>
        <w:rPr>
          <w:rFonts w:hint="cs"/>
          <w:color w:val="E36C0A" w:themeColor="accent6" w:themeShade="BF"/>
          <w:rtl/>
        </w:rPr>
        <w:t>)</w:t>
      </w:r>
    </w:p>
    <w:p w14:paraId="1560961C" w14:textId="77777777" w:rsidR="002E5BAD" w:rsidRPr="00497C61" w:rsidRDefault="002E5BAD" w:rsidP="002E5BAD">
      <w:pPr>
        <w:ind w:left="360"/>
        <w:rPr>
          <w:rFonts w:cs="Arial"/>
          <w:u w:val="dotted"/>
        </w:rPr>
      </w:pPr>
      <w:r w:rsidRPr="00497C61">
        <w:rPr>
          <w:rFonts w:cs="Arial" w:hint="cs"/>
          <w:u w:val="dotted"/>
          <w:rtl/>
        </w:rPr>
        <w:t xml:space="preserve">כמה ראוי </w:t>
      </w:r>
      <w:r>
        <w:rPr>
          <w:rFonts w:cs="Arial" w:hint="cs"/>
          <w:u w:val="dotted"/>
          <w:rtl/>
        </w:rPr>
        <w:t xml:space="preserve">לאיש שיוצא לסחורה </w:t>
      </w:r>
      <w:r>
        <w:rPr>
          <w:rFonts w:cs="Arial" w:hint="cs"/>
          <w:sz w:val="16"/>
          <w:szCs w:val="16"/>
          <w:u w:val="dotted"/>
          <w:rtl/>
        </w:rPr>
        <w:t>(וכדו', אך לא ללמוד תורה)</w:t>
      </w:r>
      <w:r>
        <w:rPr>
          <w:rFonts w:cs="Arial" w:hint="cs"/>
          <w:u w:val="dotted"/>
          <w:rtl/>
        </w:rPr>
        <w:t xml:space="preserve"> ל</w:t>
      </w:r>
      <w:r w:rsidRPr="00497C61">
        <w:rPr>
          <w:rFonts w:cs="Arial" w:hint="cs"/>
          <w:u w:val="dotted"/>
          <w:rtl/>
        </w:rPr>
        <w:t>בקש:</w:t>
      </w:r>
      <w:r w:rsidRPr="00497C61">
        <w:rPr>
          <w:rFonts w:cs="Arial"/>
          <w:u w:val="dotted"/>
          <w:rtl/>
        </w:rPr>
        <w:t xml:space="preserve"> </w:t>
      </w:r>
    </w:p>
    <w:p w14:paraId="356B5BEE" w14:textId="77777777" w:rsidR="002E5BAD" w:rsidRDefault="002E5BAD" w:rsidP="002E5BAD">
      <w:pPr>
        <w:pStyle w:val="ab"/>
        <w:numPr>
          <w:ilvl w:val="0"/>
          <w:numId w:val="136"/>
        </w:numPr>
        <w:rPr>
          <w:rFonts w:cs="Arial"/>
        </w:rPr>
      </w:pPr>
      <w:r>
        <w:rPr>
          <w:rFonts w:cs="Arial" w:hint="cs"/>
          <w:rtl/>
        </w:rPr>
        <w:t xml:space="preserve">רא"ש </w:t>
      </w:r>
      <w:r>
        <w:rPr>
          <w:rFonts w:cs="Arial" w:hint="cs"/>
          <w:sz w:val="16"/>
          <w:szCs w:val="16"/>
          <w:rtl/>
        </w:rPr>
        <w:t>(פ"ה סי' כט)</w:t>
      </w:r>
      <w:r>
        <w:rPr>
          <w:rFonts w:cs="Arial" w:hint="cs"/>
          <w:rtl/>
        </w:rPr>
        <w:t xml:space="preserve"> וטור- </w:t>
      </w:r>
      <w:r w:rsidRPr="007D3451">
        <w:rPr>
          <w:rFonts w:cs="Arial"/>
          <w:rtl/>
        </w:rPr>
        <w:t>ואפי' אם תתן לו רשות אין ראוי לו להתאחר אלא חדש בחוץ וחדש בביתו</w:t>
      </w:r>
      <w:r>
        <w:rPr>
          <w:rFonts w:cs="Arial" w:hint="cs"/>
          <w:rtl/>
        </w:rPr>
        <w:t>,</w:t>
      </w:r>
      <w:r w:rsidRPr="007D3451">
        <w:rPr>
          <w:rFonts w:cs="Arial"/>
          <w:rtl/>
        </w:rPr>
        <w:t xml:space="preserve"> כי אף על פי שנותנת לו רשות על ידי פיוס או על ידי שמתביישת למונעו היא מצטערת בלבה</w:t>
      </w:r>
      <w:r>
        <w:rPr>
          <w:rFonts w:cs="Arial" w:hint="cs"/>
          <w:sz w:val="16"/>
          <w:szCs w:val="16"/>
          <w:rtl/>
        </w:rPr>
        <w:t xml:space="preserve"> (ל' הטור)</w:t>
      </w:r>
      <w:r>
        <w:rPr>
          <w:rFonts w:cs="Arial" w:hint="cs"/>
          <w:rtl/>
        </w:rPr>
        <w:t>.</w:t>
      </w:r>
      <w:r w:rsidRPr="008858D3">
        <w:rPr>
          <w:rFonts w:cs="Arial" w:hint="cs"/>
          <w:color w:val="00B0F0"/>
          <w:rtl/>
        </w:rPr>
        <w:t xml:space="preserve"> (וכ"פ הרמ"א)</w:t>
      </w:r>
    </w:p>
    <w:p w14:paraId="72B2964B" w14:textId="77777777" w:rsidR="002E5BAD" w:rsidRPr="00497C61" w:rsidRDefault="002E5BAD" w:rsidP="002E5BAD">
      <w:pPr>
        <w:pStyle w:val="ab"/>
        <w:numPr>
          <w:ilvl w:val="0"/>
          <w:numId w:val="136"/>
        </w:numPr>
        <w:rPr>
          <w:rFonts w:cs="Arial"/>
        </w:rPr>
      </w:pPr>
      <w:r w:rsidRPr="007D3451">
        <w:rPr>
          <w:rFonts w:cs="Arial"/>
          <w:rtl/>
        </w:rPr>
        <w:t>רמ"ה</w:t>
      </w:r>
      <w:r>
        <w:rPr>
          <w:rFonts w:cs="Arial" w:hint="cs"/>
          <w:sz w:val="16"/>
          <w:szCs w:val="16"/>
          <w:rtl/>
        </w:rPr>
        <w:t xml:space="preserve"> (כ"כ בשמו הרא"ש [פ"ה סי' כט] והטור)</w:t>
      </w:r>
      <w:r>
        <w:rPr>
          <w:rFonts w:cs="Arial" w:hint="cs"/>
          <w:rtl/>
        </w:rPr>
        <w:t xml:space="preserve">- </w:t>
      </w:r>
      <w:r w:rsidRPr="007D3451">
        <w:rPr>
          <w:rFonts w:cs="Arial"/>
          <w:rtl/>
        </w:rPr>
        <w:t>חדש בחוץ וב' חדשים בביתו</w:t>
      </w:r>
      <w:r>
        <w:rPr>
          <w:rStyle w:val="a7"/>
          <w:rFonts w:cs="Arial"/>
          <w:rtl/>
        </w:rPr>
        <w:footnoteReference w:id="1255"/>
      </w:r>
      <w:r>
        <w:rPr>
          <w:rFonts w:cs="Arial" w:hint="cs"/>
          <w:rtl/>
        </w:rPr>
        <w:t>.</w:t>
      </w:r>
      <w:r w:rsidRPr="007D3451">
        <w:rPr>
          <w:rFonts w:cs="Arial"/>
          <w:rtl/>
        </w:rPr>
        <w:t xml:space="preserve"> </w:t>
      </w:r>
    </w:p>
    <w:p w14:paraId="483CBD79" w14:textId="77777777" w:rsidR="002E5BAD" w:rsidRPr="00497C61" w:rsidRDefault="002E5BAD" w:rsidP="002E5BAD">
      <w:pPr>
        <w:ind w:left="360"/>
        <w:rPr>
          <w:u w:val="dotted"/>
        </w:rPr>
      </w:pPr>
      <w:r>
        <w:rPr>
          <w:rFonts w:hint="cs"/>
          <w:u w:val="dotted"/>
          <w:rtl/>
        </w:rPr>
        <w:t>כמה ראוי לאיש שיוצא ללמוד תורה לבקש:</w:t>
      </w:r>
    </w:p>
    <w:p w14:paraId="5D3D991B" w14:textId="77777777" w:rsidR="002E5BAD" w:rsidRDefault="002E5BAD" w:rsidP="002E5BAD">
      <w:pPr>
        <w:pStyle w:val="ab"/>
        <w:numPr>
          <w:ilvl w:val="0"/>
          <w:numId w:val="136"/>
        </w:numPr>
        <w:rPr>
          <w:rFonts w:cs="Arial"/>
        </w:rPr>
      </w:pPr>
      <w:r w:rsidRPr="007D3451">
        <w:rPr>
          <w:rFonts w:cs="Arial"/>
          <w:rtl/>
        </w:rPr>
        <w:t xml:space="preserve">ראב"ד </w:t>
      </w:r>
      <w:r>
        <w:rPr>
          <w:rFonts w:cs="Arial" w:hint="cs"/>
          <w:sz w:val="16"/>
          <w:szCs w:val="16"/>
          <w:rtl/>
        </w:rPr>
        <w:t>(כ"כ בשמו הרא"ש [פ"ה סי' כט] והטור)</w:t>
      </w:r>
      <w:r>
        <w:rPr>
          <w:rFonts w:cs="Arial" w:hint="cs"/>
          <w:rtl/>
        </w:rPr>
        <w:t>-</w:t>
      </w:r>
      <w:r w:rsidRPr="007D3451">
        <w:rPr>
          <w:rFonts w:cs="Arial"/>
          <w:rtl/>
        </w:rPr>
        <w:t xml:space="preserve"> מי שתורתו אומנותו יכול לילך בכל מה שתתן לו רשות</w:t>
      </w:r>
      <w:r>
        <w:rPr>
          <w:rStyle w:val="a7"/>
          <w:rFonts w:cs="Arial"/>
          <w:rtl/>
        </w:rPr>
        <w:footnoteReference w:id="1256"/>
      </w:r>
      <w:r w:rsidRPr="00497C61">
        <w:rPr>
          <w:rFonts w:cs="Arial"/>
          <w:rtl/>
        </w:rPr>
        <w:t>.</w:t>
      </w:r>
      <w:r>
        <w:rPr>
          <w:rFonts w:cs="Arial" w:hint="cs"/>
          <w:rtl/>
        </w:rPr>
        <w:t xml:space="preserve"> </w:t>
      </w:r>
      <w:r w:rsidRPr="008858D3">
        <w:rPr>
          <w:rFonts w:cs="Arial" w:hint="cs"/>
          <w:color w:val="00B0F0"/>
          <w:rtl/>
        </w:rPr>
        <w:t>(וכ"פ הרמ"א)</w:t>
      </w:r>
    </w:p>
    <w:p w14:paraId="1F278BF5" w14:textId="77777777" w:rsidR="002E5BAD" w:rsidRPr="001374E9" w:rsidRDefault="002E5BAD" w:rsidP="002E5BAD">
      <w:pPr>
        <w:rPr>
          <w:rFonts w:cs="Arial"/>
          <w:u w:val="single"/>
        </w:rPr>
      </w:pPr>
      <w:r w:rsidRPr="001374E9">
        <w:rPr>
          <w:rFonts w:cs="Arial" w:hint="cs"/>
          <w:u w:val="single"/>
          <w:rtl/>
        </w:rPr>
        <w:t xml:space="preserve">כמה </w:t>
      </w:r>
      <w:r>
        <w:rPr>
          <w:rFonts w:cs="Arial" w:hint="cs"/>
          <w:u w:val="single"/>
          <w:rtl/>
        </w:rPr>
        <w:t xml:space="preserve">תלמיד חכם </w:t>
      </w:r>
      <w:r w:rsidRPr="001374E9">
        <w:rPr>
          <w:rFonts w:cs="Arial" w:hint="cs"/>
          <w:u w:val="single"/>
          <w:rtl/>
        </w:rPr>
        <w:t>יכול לצאת מהבית ללמוד תורה בלא רשות אשתו:</w:t>
      </w:r>
    </w:p>
    <w:p w14:paraId="4B31061A" w14:textId="77777777" w:rsidR="002E5BAD" w:rsidRPr="00A74239" w:rsidRDefault="002E5BAD" w:rsidP="002E5BAD">
      <w:pPr>
        <w:pStyle w:val="ab"/>
        <w:numPr>
          <w:ilvl w:val="0"/>
          <w:numId w:val="136"/>
        </w:numPr>
        <w:rPr>
          <w:rFonts w:cs="Arial"/>
        </w:rPr>
      </w:pPr>
      <w:r>
        <w:rPr>
          <w:rFonts w:cs="Arial" w:hint="cs"/>
          <w:rtl/>
        </w:rPr>
        <w:t xml:space="preserve">רי"ף </w:t>
      </w:r>
      <w:r w:rsidRPr="007655E0">
        <w:rPr>
          <w:rFonts w:cs="Arial" w:hint="cs"/>
          <w:sz w:val="16"/>
          <w:szCs w:val="16"/>
          <w:rtl/>
        </w:rPr>
        <w:t>(כ"כ הרא"ש בשמו [שם])</w:t>
      </w:r>
      <w:r>
        <w:rPr>
          <w:rFonts w:cs="Arial" w:hint="cs"/>
          <w:rtl/>
        </w:rPr>
        <w:t xml:space="preserve">- </w:t>
      </w:r>
      <w:r w:rsidRPr="00DE6B68">
        <w:rPr>
          <w:rFonts w:cs="Arial"/>
          <w:rtl/>
        </w:rPr>
        <w:t>התלמידים יוצאין לתלמוד תורה שלא ברשות שלשים יום</w:t>
      </w:r>
      <w:r>
        <w:rPr>
          <w:rFonts w:cs="Arial" w:hint="cs"/>
          <w:rtl/>
        </w:rPr>
        <w:t>.</w:t>
      </w:r>
      <w:r w:rsidRPr="001E2E22">
        <w:rPr>
          <w:rFonts w:cs="Arial"/>
          <w:rtl/>
        </w:rPr>
        <w:t xml:space="preserve"> </w:t>
      </w:r>
    </w:p>
    <w:p w14:paraId="32C3F3F4" w14:textId="77777777" w:rsidR="002E5BAD" w:rsidRDefault="002E5BAD" w:rsidP="002E5BAD">
      <w:pPr>
        <w:pStyle w:val="ab"/>
        <w:numPr>
          <w:ilvl w:val="0"/>
          <w:numId w:val="136"/>
        </w:numPr>
        <w:rPr>
          <w:rFonts w:cs="Arial"/>
        </w:rPr>
      </w:pPr>
      <w:r>
        <w:rPr>
          <w:rFonts w:cs="Arial" w:hint="cs"/>
          <w:rtl/>
        </w:rPr>
        <w:t xml:space="preserve">רמב"ם </w:t>
      </w:r>
      <w:r>
        <w:rPr>
          <w:rFonts w:cs="Arial" w:hint="cs"/>
          <w:sz w:val="16"/>
          <w:szCs w:val="16"/>
          <w:rtl/>
        </w:rPr>
        <w:t>(פי"ד מאישות ה"ב)</w:t>
      </w:r>
      <w:r>
        <w:rPr>
          <w:rFonts w:cs="Arial" w:hint="cs"/>
          <w:rtl/>
        </w:rPr>
        <w:t xml:space="preserve"> ו</w:t>
      </w:r>
      <w:r w:rsidRPr="007D3451">
        <w:rPr>
          <w:rFonts w:cs="Arial"/>
          <w:rtl/>
        </w:rPr>
        <w:t>רמ"ה</w:t>
      </w:r>
      <w:r>
        <w:rPr>
          <w:rFonts w:cs="Arial" w:hint="cs"/>
          <w:rtl/>
        </w:rPr>
        <w:t xml:space="preserve">- </w:t>
      </w:r>
      <w:r w:rsidRPr="007D3451">
        <w:rPr>
          <w:rFonts w:cs="Arial"/>
          <w:rtl/>
        </w:rPr>
        <w:t>יוצא אדם ללמוד תורה ג' או ד' שנים שלא ברשות</w:t>
      </w:r>
      <w:r>
        <w:rPr>
          <w:rStyle w:val="a7"/>
          <w:rFonts w:cs="Arial"/>
          <w:rtl/>
        </w:rPr>
        <w:footnoteReference w:id="1257"/>
      </w:r>
      <w:r>
        <w:rPr>
          <w:rFonts w:cs="Arial" w:hint="cs"/>
          <w:rtl/>
        </w:rPr>
        <w:t>.</w:t>
      </w:r>
      <w:r w:rsidRPr="007D3451">
        <w:rPr>
          <w:rFonts w:cs="Arial"/>
          <w:rtl/>
        </w:rPr>
        <w:t xml:space="preserve"> </w:t>
      </w:r>
      <w:r w:rsidRPr="004B3BCF">
        <w:rPr>
          <w:rFonts w:hint="cs"/>
          <w:color w:val="E36C0A" w:themeColor="accent6" w:themeShade="BF"/>
          <w:rtl/>
        </w:rPr>
        <w:t>(וכ"פ בשו"ע</w:t>
      </w:r>
      <w:r>
        <w:rPr>
          <w:rFonts w:hint="cs"/>
          <w:color w:val="E36C0A" w:themeColor="accent6" w:themeShade="BF"/>
          <w:rtl/>
        </w:rPr>
        <w:t>)</w:t>
      </w:r>
    </w:p>
    <w:p w14:paraId="2272AFAF" w14:textId="77777777" w:rsidR="002E5BAD" w:rsidRPr="00121489" w:rsidRDefault="002E5BAD" w:rsidP="002E5BAD">
      <w:pPr>
        <w:rPr>
          <w:u w:val="single"/>
          <w:rtl/>
        </w:rPr>
      </w:pPr>
      <w:r>
        <w:rPr>
          <w:rFonts w:hint="cs"/>
          <w:u w:val="single"/>
          <w:rtl/>
        </w:rPr>
        <w:t>האם האיש יכול ל</w:t>
      </w:r>
      <w:r w:rsidRPr="00121489">
        <w:rPr>
          <w:rFonts w:hint="cs"/>
          <w:u w:val="single"/>
          <w:rtl/>
        </w:rPr>
        <w:t>חל</w:t>
      </w:r>
      <w:r>
        <w:rPr>
          <w:rFonts w:hint="cs"/>
          <w:u w:val="single"/>
          <w:rtl/>
        </w:rPr>
        <w:t>יף</w:t>
      </w:r>
      <w:r w:rsidRPr="00121489">
        <w:rPr>
          <w:rFonts w:hint="cs"/>
          <w:u w:val="single"/>
          <w:rtl/>
        </w:rPr>
        <w:t xml:space="preserve"> מלאכ</w:t>
      </w:r>
      <w:r>
        <w:rPr>
          <w:rFonts w:hint="cs"/>
          <w:u w:val="single"/>
          <w:rtl/>
        </w:rPr>
        <w:t>תו למלאכה שעונתה רחוקה יותר</w:t>
      </w:r>
      <w:r w:rsidRPr="00121489">
        <w:rPr>
          <w:rFonts w:hint="cs"/>
          <w:u w:val="single"/>
          <w:rtl/>
        </w:rPr>
        <w:t>:</w:t>
      </w:r>
    </w:p>
    <w:p w14:paraId="24CA9076" w14:textId="77777777" w:rsidR="002E5BAD" w:rsidRDefault="002E5BAD" w:rsidP="002E5BAD">
      <w:pPr>
        <w:pStyle w:val="ab"/>
        <w:numPr>
          <w:ilvl w:val="0"/>
          <w:numId w:val="136"/>
        </w:numPr>
        <w:rPr>
          <w:rFonts w:cs="Arial"/>
        </w:rPr>
      </w:pPr>
      <w:r>
        <w:rPr>
          <w:rFonts w:cs="Arial" w:hint="cs"/>
          <w:rtl/>
        </w:rPr>
        <w:t xml:space="preserve">טור- </w:t>
      </w:r>
      <w:r w:rsidRPr="007D3451">
        <w:rPr>
          <w:rFonts w:cs="Arial"/>
          <w:rtl/>
        </w:rPr>
        <w:t>אין האיש רשאי לשנות מלאכה שעונתה קרובה לאחרת שעונתה רחוקה יותר</w:t>
      </w:r>
      <w:r>
        <w:rPr>
          <w:rFonts w:cs="Arial" w:hint="cs"/>
          <w:rtl/>
        </w:rPr>
        <w:t>,</w:t>
      </w:r>
      <w:r w:rsidRPr="007D3451">
        <w:rPr>
          <w:rFonts w:cs="Arial"/>
          <w:rtl/>
        </w:rPr>
        <w:t xml:space="preserve"> כגון מחמר לגמל</w:t>
      </w:r>
      <w:r>
        <w:rPr>
          <w:rFonts w:cs="Arial" w:hint="cs"/>
          <w:rtl/>
        </w:rPr>
        <w:t>,</w:t>
      </w:r>
      <w:r w:rsidRPr="007D3451">
        <w:rPr>
          <w:rFonts w:cs="Arial"/>
          <w:rtl/>
        </w:rPr>
        <w:t xml:space="preserve"> בלא רשותה</w:t>
      </w:r>
      <w:r>
        <w:rPr>
          <w:rFonts w:cs="Arial" w:hint="cs"/>
          <w:rtl/>
        </w:rPr>
        <w:t>,</w:t>
      </w:r>
      <w:r w:rsidRPr="007D3451">
        <w:rPr>
          <w:rFonts w:cs="Arial"/>
          <w:rtl/>
        </w:rPr>
        <w:t xml:space="preserve"> אף על פי שיש בה ריוח יותר</w:t>
      </w:r>
      <w:r>
        <w:rPr>
          <w:rFonts w:cs="Arial" w:hint="cs"/>
          <w:rtl/>
        </w:rPr>
        <w:t>.</w:t>
      </w:r>
      <w:r w:rsidRPr="007D3451">
        <w:rPr>
          <w:rFonts w:cs="Arial"/>
          <w:rtl/>
        </w:rPr>
        <w:t xml:space="preserve"> חוץ מאדם בטל שיכול לחזור ת"ח בלא רשותה</w:t>
      </w:r>
      <w:r>
        <w:rPr>
          <w:rFonts w:cs="Arial" w:hint="cs"/>
          <w:rtl/>
        </w:rPr>
        <w:t>,</w:t>
      </w:r>
      <w:r w:rsidRPr="007D3451">
        <w:rPr>
          <w:rFonts w:cs="Arial"/>
          <w:rtl/>
        </w:rPr>
        <w:t xml:space="preserve"> דכיון שהוא אצלה תמיד וגם חוזר ללמוד תורה אינה מקפדת</w:t>
      </w:r>
      <w:r>
        <w:rPr>
          <w:rStyle w:val="a7"/>
          <w:rFonts w:cs="Arial"/>
          <w:rtl/>
        </w:rPr>
        <w:footnoteReference w:id="1258"/>
      </w:r>
      <w:r>
        <w:rPr>
          <w:rFonts w:cs="Arial" w:hint="cs"/>
          <w:rtl/>
        </w:rPr>
        <w:t>.</w:t>
      </w:r>
    </w:p>
    <w:p w14:paraId="0A14C813" w14:textId="77777777" w:rsidR="002E5BAD" w:rsidRPr="008858D3"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(פי"ד מאישות ה"ב)</w:t>
      </w:r>
      <w:r>
        <w:rPr>
          <w:rFonts w:cs="Arial" w:hint="cs"/>
          <w:rtl/>
        </w:rPr>
        <w:t xml:space="preserve">- </w:t>
      </w:r>
      <w:r w:rsidRPr="007871AE">
        <w:rPr>
          <w:rFonts w:cs="Arial"/>
          <w:rtl/>
        </w:rPr>
        <w:t>וכן יש לה למנעו לצאת ממלאכה שעונתה קרובה למלאכה שעונתה רחוקה, כגון חמר שביקש להעשות גמל או גמל להעשות מלח, ותלמידי חכמים יוצאין לתלמוד תורה שלא ברשות נשותיהן שתים ושלש שנים, וכן רך וענוג שנעשה תלמיד חכמים אין אשתו יכולה לעכב.</w:t>
      </w:r>
      <w:r w:rsidRPr="007D3451">
        <w:rPr>
          <w:rFonts w:cs="Arial"/>
          <w:rtl/>
        </w:rPr>
        <w:t xml:space="preserve"> </w:t>
      </w:r>
      <w:r w:rsidRPr="004B3BCF">
        <w:rPr>
          <w:rFonts w:hint="cs"/>
          <w:color w:val="E36C0A" w:themeColor="accent6" w:themeShade="BF"/>
          <w:rtl/>
        </w:rPr>
        <w:t>(וכ"פ בשו"ע</w:t>
      </w:r>
      <w:r>
        <w:rPr>
          <w:rFonts w:hint="cs"/>
          <w:color w:val="E36C0A" w:themeColor="accent6" w:themeShade="BF"/>
          <w:rtl/>
        </w:rPr>
        <w:t>)</w:t>
      </w:r>
    </w:p>
    <w:p w14:paraId="5A4C4623"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3B2B8043" w14:textId="77777777" w:rsidR="002E5BAD" w:rsidRDefault="002E5BAD" w:rsidP="002E5BAD">
      <w:pPr>
        <w:rPr>
          <w:rtl/>
        </w:rPr>
      </w:pPr>
      <w:r>
        <w:rPr>
          <w:rFonts w:cs="Arial"/>
          <w:rtl/>
        </w:rPr>
        <w:t>יש לאשה לעכב על בעלה שלא יצא לסחורה אלא למקום קרוב, שלא ימנע מעונתה</w:t>
      </w:r>
      <w:r>
        <w:rPr>
          <w:rFonts w:cs="Arial" w:hint="cs"/>
          <w:rtl/>
        </w:rPr>
        <w:t>,</w:t>
      </w:r>
      <w:r>
        <w:rPr>
          <w:rFonts w:cs="Arial"/>
          <w:rtl/>
        </w:rPr>
        <w:t xml:space="preserve"> ולא יצא אלא ברשותה.</w:t>
      </w:r>
      <w:r w:rsidRPr="00457983">
        <w:rPr>
          <w:rFonts w:cs="Arial"/>
          <w:sz w:val="18"/>
          <w:szCs w:val="18"/>
          <w:rtl/>
        </w:rPr>
        <w:t xml:space="preserve"> </w:t>
      </w:r>
      <w:r>
        <w:rPr>
          <w:rFonts w:cs="Arial" w:hint="cs"/>
          <w:sz w:val="18"/>
          <w:szCs w:val="18"/>
          <w:rtl/>
        </w:rPr>
        <w:t xml:space="preserve">[הגה] </w:t>
      </w:r>
      <w:r w:rsidRPr="00457983">
        <w:rPr>
          <w:rFonts w:cs="Arial"/>
          <w:sz w:val="18"/>
          <w:szCs w:val="18"/>
          <w:rtl/>
        </w:rPr>
        <w:t xml:space="preserve">ואפילו אם נותנת לו רשות, אין לו להתאחר, אלא חדש בחוץ וחדש בביתו (טור ורא"ש). </w:t>
      </w:r>
      <w:r>
        <w:rPr>
          <w:rFonts w:cs="Arial"/>
          <w:rtl/>
        </w:rPr>
        <w:t>וכן יש לה למונעו לצאת ממלאכה שעונתה קרובה למלאכה שעונתה רחוקה, כגון חמר שבקש להעשות גמל, או גמל להעשות מלח</w:t>
      </w:r>
      <w:r>
        <w:rPr>
          <w:rFonts w:cs="Arial" w:hint="cs"/>
          <w:rtl/>
        </w:rPr>
        <w:t>.</w:t>
      </w:r>
      <w:r>
        <w:rPr>
          <w:rFonts w:cs="Arial"/>
          <w:rtl/>
        </w:rPr>
        <w:t xml:space="preserve"> ות</w:t>
      </w:r>
      <w:r>
        <w:rPr>
          <w:rFonts w:cs="Arial" w:hint="cs"/>
          <w:rtl/>
        </w:rPr>
        <w:t>למידי חכמים</w:t>
      </w:r>
      <w:r>
        <w:rPr>
          <w:rFonts w:cs="Arial"/>
          <w:rtl/>
        </w:rPr>
        <w:t xml:space="preserve"> יוצאים לתלמוד תורה שלא ברשות נשותיהם ב' וג' שנים</w:t>
      </w:r>
      <w:r>
        <w:rPr>
          <w:rFonts w:cs="Arial" w:hint="cs"/>
          <w:rtl/>
        </w:rPr>
        <w:t>.</w:t>
      </w:r>
      <w:r>
        <w:rPr>
          <w:rFonts w:cs="Arial"/>
          <w:rtl/>
        </w:rPr>
        <w:t xml:space="preserve"> וכן טייל שנעשה ת</w:t>
      </w:r>
      <w:r>
        <w:rPr>
          <w:rFonts w:cs="Arial" w:hint="cs"/>
          <w:rtl/>
        </w:rPr>
        <w:t xml:space="preserve">למיד </w:t>
      </w:r>
      <w:r>
        <w:rPr>
          <w:rFonts w:cs="Arial"/>
          <w:rtl/>
        </w:rPr>
        <w:t>ח</w:t>
      </w:r>
      <w:r>
        <w:rPr>
          <w:rFonts w:cs="Arial" w:hint="cs"/>
          <w:rtl/>
        </w:rPr>
        <w:t>כם</w:t>
      </w:r>
      <w:r>
        <w:rPr>
          <w:rFonts w:cs="Arial"/>
          <w:rtl/>
        </w:rPr>
        <w:t xml:space="preserve">, אין אשתו יכולה לעכב. </w:t>
      </w:r>
      <w:r>
        <w:rPr>
          <w:rFonts w:cs="Arial" w:hint="cs"/>
          <w:sz w:val="18"/>
          <w:szCs w:val="18"/>
          <w:rtl/>
        </w:rPr>
        <w:t xml:space="preserve">[הגה] </w:t>
      </w:r>
      <w:r w:rsidRPr="00457983">
        <w:rPr>
          <w:rFonts w:cs="Arial"/>
          <w:sz w:val="18"/>
          <w:szCs w:val="18"/>
          <w:rtl/>
        </w:rPr>
        <w:t>ואם נותנת לו רשות, ת"ח יכול לילך בכל מה שתתן לו רשות (טור בשם הראב"ד).</w:t>
      </w:r>
      <w:r>
        <w:rPr>
          <w:rFonts w:cs="Arial"/>
          <w:rtl/>
        </w:rPr>
        <w:t xml:space="preserve"> </w:t>
      </w:r>
    </w:p>
    <w:p w14:paraId="0EE45220" w14:textId="77777777" w:rsidR="002E5BAD" w:rsidRDefault="002E5BAD" w:rsidP="002E5BAD">
      <w:pPr>
        <w:rPr>
          <w:rtl/>
        </w:rPr>
      </w:pPr>
    </w:p>
    <w:p w14:paraId="682F498C" w14:textId="77777777" w:rsidR="002E5BAD" w:rsidRDefault="002E5BAD" w:rsidP="002E5BAD">
      <w:pPr>
        <w:pStyle w:val="2"/>
        <w:rPr>
          <w:rtl/>
        </w:rPr>
      </w:pPr>
      <w:r>
        <w:rPr>
          <w:rtl/>
        </w:rPr>
        <w:t>סעיף ו</w:t>
      </w:r>
      <w:r>
        <w:rPr>
          <w:rFonts w:hint="cs"/>
          <w:rtl/>
        </w:rPr>
        <w:t>: אשה שמחלה על עונתה.</w:t>
      </w:r>
    </w:p>
    <w:p w14:paraId="79257B57" w14:textId="77777777" w:rsidR="002E5BAD" w:rsidRPr="00922CBD" w:rsidRDefault="002E5BAD" w:rsidP="002E5BAD">
      <w:pPr>
        <w:rPr>
          <w:u w:val="single"/>
          <w:rtl/>
        </w:rPr>
      </w:pPr>
      <w:r w:rsidRPr="00922CBD">
        <w:rPr>
          <w:rFonts w:hint="cs"/>
          <w:u w:val="single"/>
          <w:rtl/>
        </w:rPr>
        <w:t xml:space="preserve">אשה שמחלה לבעלה על עונתה </w:t>
      </w:r>
      <w:r w:rsidRPr="00922CBD">
        <w:rPr>
          <w:u w:val="single"/>
          <w:rtl/>
        </w:rPr>
        <w:t>–</w:t>
      </w:r>
      <w:r w:rsidRPr="00922CBD">
        <w:rPr>
          <w:rFonts w:hint="cs"/>
          <w:u w:val="single"/>
          <w:rtl/>
        </w:rPr>
        <w:t xml:space="preserve"> האם פטור הבעל מעונה:</w:t>
      </w:r>
    </w:p>
    <w:p w14:paraId="2DF99FA2" w14:textId="77777777" w:rsidR="002E5BAD" w:rsidRPr="008000C2"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 xml:space="preserve">(פט"ו מאישות ה"א) </w:t>
      </w:r>
      <w:r>
        <w:rPr>
          <w:rFonts w:cs="Arial" w:hint="cs"/>
          <w:rtl/>
        </w:rPr>
        <w:t xml:space="preserve">וטור- </w:t>
      </w:r>
      <w:r w:rsidRPr="00922CBD">
        <w:rPr>
          <w:rFonts w:cs="Arial"/>
          <w:rtl/>
        </w:rPr>
        <w:t xml:space="preserve">האשה שהרשת את בעלה אחר הנישואין שימנע עונתה </w:t>
      </w:r>
      <w:r>
        <w:rPr>
          <w:rFonts w:cs="Arial" w:hint="cs"/>
          <w:rtl/>
        </w:rPr>
        <w:t xml:space="preserve">- </w:t>
      </w:r>
      <w:r w:rsidRPr="00922CBD">
        <w:rPr>
          <w:rFonts w:cs="Arial"/>
          <w:rtl/>
        </w:rPr>
        <w:t>הרי זה מותר</w:t>
      </w:r>
      <w:r>
        <w:rPr>
          <w:rFonts w:cs="Arial" w:hint="cs"/>
          <w:rtl/>
        </w:rPr>
        <w:t>.</w:t>
      </w:r>
      <w:r w:rsidRPr="00922CBD">
        <w:rPr>
          <w:rFonts w:cs="Arial"/>
          <w:rtl/>
        </w:rPr>
        <w:t xml:space="preserve"> במה דברים אמורים</w:t>
      </w:r>
      <w:r>
        <w:rPr>
          <w:rFonts w:cs="Arial" w:hint="cs"/>
          <w:rtl/>
        </w:rPr>
        <w:t>,</w:t>
      </w:r>
      <w:r w:rsidRPr="00922CBD">
        <w:rPr>
          <w:rFonts w:cs="Arial"/>
          <w:rtl/>
        </w:rPr>
        <w:t xml:space="preserve"> בשהיו לו בנים שכבר קיים מצות פריה ורביה</w:t>
      </w:r>
      <w:r>
        <w:rPr>
          <w:rFonts w:cs="Arial" w:hint="cs"/>
          <w:rtl/>
        </w:rPr>
        <w:t>,</w:t>
      </w:r>
      <w:r w:rsidRPr="00922CBD">
        <w:rPr>
          <w:rFonts w:cs="Arial"/>
          <w:rtl/>
        </w:rPr>
        <w:t xml:space="preserve"> אבל אם לא קיים </w:t>
      </w:r>
      <w:r>
        <w:rPr>
          <w:rFonts w:cs="Arial" w:hint="cs"/>
          <w:rtl/>
        </w:rPr>
        <w:t xml:space="preserve">- </w:t>
      </w:r>
      <w:r w:rsidRPr="00922CBD">
        <w:rPr>
          <w:rFonts w:cs="Arial"/>
          <w:rtl/>
        </w:rPr>
        <w:t>חייב לבעול בכל עונה עד שיהיו לו בנים</w:t>
      </w:r>
      <w:r>
        <w:rPr>
          <w:rFonts w:cs="Arial" w:hint="cs"/>
          <w:rtl/>
        </w:rPr>
        <w:t>,</w:t>
      </w:r>
      <w:r w:rsidRPr="00922CBD">
        <w:rPr>
          <w:rFonts w:cs="Arial"/>
          <w:rtl/>
        </w:rPr>
        <w:t xml:space="preserve"> מפני שהיא מצות עשה של תורה שנ' פרו ורבו</w:t>
      </w:r>
      <w:r>
        <w:rPr>
          <w:rStyle w:val="a7"/>
          <w:rFonts w:cs="Arial"/>
          <w:rtl/>
        </w:rPr>
        <w:footnoteReference w:id="1259"/>
      </w:r>
      <w:r>
        <w:rPr>
          <w:rFonts w:cs="Arial" w:hint="cs"/>
          <w:sz w:val="16"/>
          <w:szCs w:val="16"/>
          <w:rtl/>
        </w:rPr>
        <w:t xml:space="preserve"> (ל' הרמב"ם)</w:t>
      </w:r>
      <w:r w:rsidRPr="00922CBD">
        <w:rPr>
          <w:rFonts w:cs="Arial"/>
          <w:rtl/>
        </w:rPr>
        <w:t>.</w:t>
      </w:r>
      <w:r w:rsidRPr="008000C2">
        <w:rPr>
          <w:rFonts w:hint="cs"/>
          <w:color w:val="E36C0A" w:themeColor="accent6" w:themeShade="BF"/>
          <w:rtl/>
        </w:rPr>
        <w:t xml:space="preserve"> </w:t>
      </w:r>
      <w:r w:rsidRPr="004B3BCF">
        <w:rPr>
          <w:rFonts w:hint="cs"/>
          <w:color w:val="E36C0A" w:themeColor="accent6" w:themeShade="BF"/>
          <w:rtl/>
        </w:rPr>
        <w:t>(וכ"פ בשו"ע</w:t>
      </w:r>
      <w:r>
        <w:rPr>
          <w:rFonts w:hint="cs"/>
          <w:color w:val="E36C0A" w:themeColor="accent6" w:themeShade="BF"/>
          <w:rtl/>
        </w:rPr>
        <w:t>)</w:t>
      </w:r>
    </w:p>
    <w:p w14:paraId="5C6DDA6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D605F01" w14:textId="77777777" w:rsidR="002E5BAD" w:rsidRDefault="002E5BAD" w:rsidP="002E5BAD">
      <w:pPr>
        <w:rPr>
          <w:rtl/>
        </w:rPr>
      </w:pPr>
      <w:r>
        <w:rPr>
          <w:rFonts w:cs="Arial"/>
          <w:rtl/>
        </w:rPr>
        <w:t>האשה שהרשית את בעלה אחר שנשאת</w:t>
      </w:r>
      <w:r>
        <w:rPr>
          <w:rStyle w:val="a7"/>
          <w:rFonts w:cs="Arial"/>
          <w:rtl/>
        </w:rPr>
        <w:footnoteReference w:id="1260"/>
      </w:r>
      <w:r>
        <w:rPr>
          <w:rFonts w:cs="Arial"/>
          <w:rtl/>
        </w:rPr>
        <w:t xml:space="preserve"> שימנע עונתה, ה</w:t>
      </w:r>
      <w:r>
        <w:rPr>
          <w:rFonts w:cs="Arial" w:hint="cs"/>
          <w:rtl/>
        </w:rPr>
        <w:t xml:space="preserve">רי </w:t>
      </w:r>
      <w:r>
        <w:rPr>
          <w:rFonts w:cs="Arial"/>
          <w:rtl/>
        </w:rPr>
        <w:t>ז</w:t>
      </w:r>
      <w:r>
        <w:rPr>
          <w:rFonts w:cs="Arial" w:hint="cs"/>
          <w:rtl/>
        </w:rPr>
        <w:t>ה</w:t>
      </w:r>
      <w:r>
        <w:rPr>
          <w:rFonts w:cs="Arial"/>
          <w:rtl/>
        </w:rPr>
        <w:t xml:space="preserve"> מותר. ב</w:t>
      </w:r>
      <w:r>
        <w:rPr>
          <w:rFonts w:cs="Arial" w:hint="cs"/>
          <w:rtl/>
        </w:rPr>
        <w:t>מה דברים אמורים</w:t>
      </w:r>
      <w:r>
        <w:rPr>
          <w:rFonts w:cs="Arial"/>
          <w:rtl/>
        </w:rPr>
        <w:t xml:space="preserve">, שקיים מצות פריה ורביה. אבל אם לא קיים, חייב לבעול בכל עונה עד שיקיים. </w:t>
      </w:r>
    </w:p>
    <w:p w14:paraId="7529B567" w14:textId="77777777" w:rsidR="002E5BAD" w:rsidRDefault="002E5BAD" w:rsidP="002E5BAD">
      <w:pPr>
        <w:rPr>
          <w:rtl/>
        </w:rPr>
      </w:pPr>
    </w:p>
    <w:p w14:paraId="5C211CFD" w14:textId="77777777" w:rsidR="002E5BAD" w:rsidRDefault="002E5BAD" w:rsidP="002E5BAD">
      <w:pPr>
        <w:pStyle w:val="2"/>
        <w:rPr>
          <w:rtl/>
        </w:rPr>
      </w:pPr>
      <w:r>
        <w:rPr>
          <w:rtl/>
        </w:rPr>
        <w:t>סעיף ז</w:t>
      </w:r>
      <w:r>
        <w:rPr>
          <w:rFonts w:hint="cs"/>
          <w:rtl/>
        </w:rPr>
        <w:t>: חיוב עונה כשיש לו כמה נשים.</w:t>
      </w:r>
    </w:p>
    <w:p w14:paraId="7D61F763" w14:textId="77777777" w:rsidR="002E5BAD" w:rsidRDefault="002E5BAD" w:rsidP="002E5BAD">
      <w:pPr>
        <w:rPr>
          <w:rtl/>
        </w:rPr>
      </w:pPr>
      <w:r>
        <w:rPr>
          <w:rFonts w:cs="Arial" w:hint="cs"/>
          <w:b/>
          <w:bCs/>
          <w:rtl/>
        </w:rPr>
        <w:t xml:space="preserve">יבמות </w:t>
      </w:r>
      <w:r>
        <w:rPr>
          <w:rFonts w:cs="Arial" w:hint="cs"/>
          <w:b/>
          <w:bCs/>
          <w:sz w:val="16"/>
          <w:szCs w:val="16"/>
          <w:rtl/>
        </w:rPr>
        <w:t>(פ' הבא על יבמתו)</w:t>
      </w:r>
      <w:r>
        <w:rPr>
          <w:rFonts w:cs="Arial" w:hint="cs"/>
          <w:b/>
          <w:bCs/>
          <w:rtl/>
        </w:rPr>
        <w:t xml:space="preserve"> סה ע"א: </w:t>
      </w:r>
      <w:r w:rsidRPr="00073EC4">
        <w:rPr>
          <w:rFonts w:cs="Arial"/>
          <w:u w:val="single"/>
          <w:rtl/>
        </w:rPr>
        <w:t>אמר רבי אמי</w:t>
      </w:r>
      <w:r w:rsidRPr="00073EC4">
        <w:rPr>
          <w:rFonts w:cs="Arial"/>
          <w:rtl/>
        </w:rPr>
        <w:t>:</w:t>
      </w:r>
      <w:r>
        <w:rPr>
          <w:rFonts w:cs="Arial" w:hint="cs"/>
          <w:rtl/>
        </w:rPr>
        <w:t>...</w:t>
      </w:r>
      <w:r w:rsidRPr="00073EC4">
        <w:rPr>
          <w:rFonts w:cs="Arial"/>
          <w:rtl/>
        </w:rPr>
        <w:t xml:space="preserve"> כל הנושא אשה על אשתו - יוציא ויתן כתובה. </w:t>
      </w:r>
      <w:r w:rsidRPr="00073EC4">
        <w:rPr>
          <w:rFonts w:cs="Arial"/>
          <w:u w:val="single"/>
          <w:rtl/>
        </w:rPr>
        <w:t>רבא אמר</w:t>
      </w:r>
      <w:r w:rsidRPr="00073EC4">
        <w:rPr>
          <w:rFonts w:cs="Arial"/>
          <w:rtl/>
        </w:rPr>
        <w:t>: נושא אדם כמה נשים על אשתו</w:t>
      </w:r>
      <w:r>
        <w:rPr>
          <w:rFonts w:cs="Arial" w:hint="cs"/>
          <w:rtl/>
        </w:rPr>
        <w:t>.</w:t>
      </w:r>
      <w:r w:rsidRPr="00073EC4">
        <w:rPr>
          <w:rFonts w:cs="Arial"/>
          <w:rtl/>
        </w:rPr>
        <w:t xml:space="preserve"> והוא, דאית ליה למיזיינינהי.</w:t>
      </w:r>
      <w:r w:rsidRPr="00D54221">
        <w:rPr>
          <w:rFonts w:cs="Arial"/>
          <w:sz w:val="16"/>
          <w:szCs w:val="16"/>
          <w:rtl/>
        </w:rPr>
        <w:t xml:space="preserve"> </w:t>
      </w:r>
      <w:r>
        <w:rPr>
          <w:rFonts w:cs="Arial" w:hint="cs"/>
          <w:sz w:val="16"/>
          <w:szCs w:val="16"/>
          <w:rtl/>
        </w:rPr>
        <w:t>(</w:t>
      </w:r>
      <w:r w:rsidRPr="00D54221">
        <w:rPr>
          <w:rFonts w:cs="Arial"/>
          <w:sz w:val="16"/>
          <w:szCs w:val="16"/>
          <w:rtl/>
        </w:rPr>
        <w:t>ופסקו הרי"ף (כא.) והרא"ש (סי' יז) כרבא</w:t>
      </w:r>
      <w:r>
        <w:rPr>
          <w:rFonts w:cs="Arial" w:hint="cs"/>
          <w:sz w:val="16"/>
          <w:szCs w:val="16"/>
          <w:rtl/>
        </w:rPr>
        <w:t>,</w:t>
      </w:r>
      <w:r w:rsidRPr="00D54221">
        <w:rPr>
          <w:rFonts w:cs="Arial"/>
          <w:sz w:val="16"/>
          <w:szCs w:val="16"/>
          <w:rtl/>
        </w:rPr>
        <w:t xml:space="preserve"> וכ"פ הרמב"ם בפי"ד</w:t>
      </w:r>
      <w:r>
        <w:rPr>
          <w:rFonts w:cs="Arial" w:hint="cs"/>
          <w:sz w:val="16"/>
          <w:szCs w:val="16"/>
          <w:rtl/>
        </w:rPr>
        <w:t>, ב"י)</w:t>
      </w:r>
    </w:p>
    <w:p w14:paraId="325C9D3B" w14:textId="77777777" w:rsidR="002E5BAD" w:rsidRDefault="002E5BAD" w:rsidP="002E5BAD">
      <w:pPr>
        <w:rPr>
          <w:rtl/>
        </w:rPr>
      </w:pPr>
      <w:r>
        <w:rPr>
          <w:rFonts w:cs="Arial" w:hint="cs"/>
          <w:b/>
          <w:bCs/>
          <w:rtl/>
        </w:rPr>
        <w:t xml:space="preserve">יבמות </w:t>
      </w:r>
      <w:r>
        <w:rPr>
          <w:rFonts w:cs="Arial" w:hint="cs"/>
          <w:b/>
          <w:bCs/>
          <w:sz w:val="16"/>
          <w:szCs w:val="16"/>
          <w:rtl/>
        </w:rPr>
        <w:t xml:space="preserve">(פ' החולץ) </w:t>
      </w:r>
      <w:r>
        <w:rPr>
          <w:rFonts w:cs="Arial" w:hint="cs"/>
          <w:b/>
          <w:bCs/>
          <w:rtl/>
        </w:rPr>
        <w:t xml:space="preserve">מג ע"ב: </w:t>
      </w:r>
      <w:r w:rsidRPr="00D54221">
        <w:rPr>
          <w:rFonts w:cs="Arial"/>
          <w:u w:val="double"/>
          <w:rtl/>
        </w:rPr>
        <w:t>מתני'</w:t>
      </w:r>
      <w:r>
        <w:rPr>
          <w:rFonts w:cs="Arial" w:hint="cs"/>
          <w:rtl/>
        </w:rPr>
        <w:t>:</w:t>
      </w:r>
      <w:r w:rsidRPr="00D54221">
        <w:rPr>
          <w:rFonts w:cs="Arial"/>
          <w:rtl/>
        </w:rPr>
        <w:t xml:space="preserve"> ארבעה אחין נשואין ארבע נשים, ומתו, אם רצה הגדול שבהם לייבם את כולן - הרשות בידו.</w:t>
      </w:r>
      <w:r>
        <w:rPr>
          <w:rFonts w:cs="Arial" w:hint="cs"/>
          <w:rtl/>
        </w:rPr>
        <w:t>..</w:t>
      </w:r>
      <w:r w:rsidRPr="00D54221">
        <w:rPr>
          <w:rFonts w:cs="Arial"/>
          <w:rtl/>
        </w:rPr>
        <w:t xml:space="preserve"> </w:t>
      </w:r>
      <w:r>
        <w:rPr>
          <w:rFonts w:cs="Arial" w:hint="cs"/>
          <w:rtl/>
        </w:rPr>
        <w:t xml:space="preserve">    </w:t>
      </w:r>
      <w:r w:rsidRPr="00D54221">
        <w:rPr>
          <w:rFonts w:cs="Arial" w:hint="cs"/>
          <w:u w:val="double"/>
          <w:rtl/>
        </w:rPr>
        <w:t>גמ'</w:t>
      </w:r>
      <w:r w:rsidRPr="00D54221">
        <w:rPr>
          <w:rFonts w:cs="Arial" w:hint="cs"/>
          <w:sz w:val="14"/>
          <w:szCs w:val="14"/>
          <w:u w:val="double"/>
          <w:rtl/>
        </w:rPr>
        <w:t>(מד.)</w:t>
      </w:r>
      <w:r w:rsidRPr="00D54221">
        <w:rPr>
          <w:rFonts w:cs="Arial" w:hint="cs"/>
          <w:u w:val="double"/>
          <w:rtl/>
        </w:rPr>
        <w:t>:</w:t>
      </w:r>
      <w:r>
        <w:rPr>
          <w:rFonts w:cs="Arial" w:hint="cs"/>
          <w:rtl/>
        </w:rPr>
        <w:t xml:space="preserve"> </w:t>
      </w:r>
      <w:r w:rsidRPr="00D54221">
        <w:rPr>
          <w:rFonts w:cs="Arial"/>
          <w:rtl/>
        </w:rPr>
        <w:t>הרשות בידו. ושבקי ליה</w:t>
      </w:r>
      <w:r>
        <w:rPr>
          <w:rStyle w:val="a7"/>
          <w:rFonts w:cs="Arial"/>
          <w:rtl/>
        </w:rPr>
        <w:footnoteReference w:id="1261"/>
      </w:r>
      <w:r w:rsidRPr="00D54221">
        <w:rPr>
          <w:rFonts w:cs="Arial"/>
          <w:rtl/>
        </w:rPr>
        <w:t>? והתניא: וקראו לו זקני עירו - הן ולא שלוחן, ודברו אליו - מלמד, שמשיאין לו עצה הוגנת לו, שאם היה הוא ילד והיא זקנה, הוא זקן והיא ילדה, אומרין לו: מה לך אצל ילדה, מה לך אצל זקנה, כלך אצל שכמותך ואל תשים קטטה בביתך! לא צריכא, דאפשר ליה</w:t>
      </w:r>
      <w:r>
        <w:rPr>
          <w:rStyle w:val="a7"/>
          <w:rFonts w:cs="Arial"/>
          <w:rtl/>
        </w:rPr>
        <w:footnoteReference w:id="1262"/>
      </w:r>
      <w:r w:rsidRPr="00D54221">
        <w:rPr>
          <w:rFonts w:cs="Arial"/>
          <w:rtl/>
        </w:rPr>
        <w:t>. א"ה, אפילו טובא נמי! עצה טובה קמ"ל ד' אין, טפי לא, כי היכי דנמטייה עונה בחדש</w:t>
      </w:r>
      <w:r>
        <w:rPr>
          <w:rStyle w:val="a7"/>
          <w:rFonts w:cs="Arial"/>
          <w:rtl/>
        </w:rPr>
        <w:footnoteReference w:id="1263"/>
      </w:r>
      <w:r w:rsidRPr="00D54221">
        <w:rPr>
          <w:rFonts w:cs="Arial"/>
          <w:rtl/>
        </w:rPr>
        <w:t>.</w:t>
      </w:r>
    </w:p>
    <w:p w14:paraId="2608BB79" w14:textId="77777777" w:rsidR="002E5BAD" w:rsidRPr="009360F3" w:rsidRDefault="002E5BAD" w:rsidP="002E5BAD">
      <w:pPr>
        <w:rPr>
          <w:u w:val="single"/>
          <w:rtl/>
        </w:rPr>
      </w:pPr>
      <w:r w:rsidRPr="009360F3">
        <w:rPr>
          <w:rFonts w:hint="cs"/>
          <w:u w:val="single"/>
          <w:rtl/>
        </w:rPr>
        <w:t>חיוב עונה לאיש שיש לו כמה נשים:</w:t>
      </w:r>
    </w:p>
    <w:p w14:paraId="380CDF08" w14:textId="77777777" w:rsidR="002E5BAD" w:rsidRPr="009360F3" w:rsidRDefault="002E5BAD" w:rsidP="002E5BAD">
      <w:pPr>
        <w:pStyle w:val="ab"/>
        <w:numPr>
          <w:ilvl w:val="0"/>
          <w:numId w:val="136"/>
        </w:numPr>
        <w:rPr>
          <w:rFonts w:cs="Arial"/>
          <w:rtl/>
        </w:rPr>
      </w:pPr>
      <w:r>
        <w:rPr>
          <w:rFonts w:cs="Arial" w:hint="cs"/>
          <w:rtl/>
        </w:rPr>
        <w:t xml:space="preserve">רמב"ם </w:t>
      </w:r>
      <w:r>
        <w:rPr>
          <w:rFonts w:cs="Arial" w:hint="cs"/>
          <w:sz w:val="16"/>
          <w:szCs w:val="16"/>
          <w:rtl/>
        </w:rPr>
        <w:t>(פי"ד מאישות ה"ג-ד)</w:t>
      </w:r>
      <w:r>
        <w:rPr>
          <w:rFonts w:cs="Arial" w:hint="cs"/>
          <w:rtl/>
        </w:rPr>
        <w:t xml:space="preserve"> וטור- </w:t>
      </w:r>
      <w:r w:rsidRPr="009360F3">
        <w:rPr>
          <w:rFonts w:cs="Arial"/>
          <w:rtl/>
        </w:rPr>
        <w:t>נושא אדם כמה נשים אפילו מאה בין בבת אחת בין בזו אחר זו ואין אשתו יכולה לעכב, והוא שיהיה יכול ליתן שאר כסות ועונה כראוי לכל אחת ואחת</w:t>
      </w:r>
      <w:r>
        <w:rPr>
          <w:rFonts w:cs="Arial" w:hint="cs"/>
          <w:rtl/>
        </w:rPr>
        <w:t>.</w:t>
      </w:r>
      <w:r w:rsidRPr="009360F3">
        <w:rPr>
          <w:rFonts w:cs="Arial"/>
          <w:rtl/>
        </w:rPr>
        <w:t xml:space="preserve"> ואינו יכול לכוף אותן לשכון בחצר אחת אלא כל אחת ואחת לעצמה. </w:t>
      </w:r>
      <w:r>
        <w:rPr>
          <w:rFonts w:cs="Arial" w:hint="cs"/>
          <w:rtl/>
        </w:rPr>
        <w:t>ו</w:t>
      </w:r>
      <w:r w:rsidRPr="009360F3">
        <w:rPr>
          <w:rFonts w:cs="Arial"/>
          <w:rtl/>
        </w:rPr>
        <w:t>כמה היא עונתן, לפי מנין, כיצד</w:t>
      </w:r>
      <w:r>
        <w:rPr>
          <w:rFonts w:cs="Arial" w:hint="cs"/>
          <w:rtl/>
        </w:rPr>
        <w:t>,</w:t>
      </w:r>
      <w:r w:rsidRPr="009360F3">
        <w:rPr>
          <w:rFonts w:cs="Arial"/>
          <w:rtl/>
        </w:rPr>
        <w:t xml:space="preserve"> פועל שהיו לו שתי נשים יש לזו עונה אחת בשבת ולזו עונה אחת בשבת, היו לו ארבע נשים נמצאת עונת כל אחת מהן פעם אחת בשתי שבתות, וכן אם היה מלח ויש לו ארבע נשים תהיה עונת כל אחת מהן פעם אחת בשתי שנים. לפיכך צוו חכמים שלא ישא אדם יתר על ארבע נשים אף על פי שיש לו ממון הרבה כדי שתגיע להן עונה פעם אחת בחדש</w:t>
      </w:r>
      <w:r w:rsidRPr="009360F3">
        <w:rPr>
          <w:rFonts w:cs="Arial" w:hint="cs"/>
          <w:rtl/>
        </w:rPr>
        <w:t>.</w:t>
      </w:r>
      <w:r w:rsidRPr="008E36BA">
        <w:rPr>
          <w:rFonts w:hint="cs"/>
          <w:color w:val="E36C0A" w:themeColor="accent6" w:themeShade="BF"/>
          <w:rtl/>
        </w:rPr>
        <w:t xml:space="preserve"> </w:t>
      </w:r>
      <w:r w:rsidRPr="004B3BCF">
        <w:rPr>
          <w:rFonts w:hint="cs"/>
          <w:color w:val="E36C0A" w:themeColor="accent6" w:themeShade="BF"/>
          <w:rtl/>
        </w:rPr>
        <w:t>(וכ"פ בשו"ע</w:t>
      </w:r>
      <w:r>
        <w:rPr>
          <w:rFonts w:hint="cs"/>
          <w:color w:val="E36C0A" w:themeColor="accent6" w:themeShade="BF"/>
          <w:rtl/>
        </w:rPr>
        <w:t>)</w:t>
      </w:r>
    </w:p>
    <w:p w14:paraId="60D51A1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A569236" w14:textId="77777777" w:rsidR="002E5BAD" w:rsidRDefault="002E5BAD" w:rsidP="002E5BAD">
      <w:pPr>
        <w:rPr>
          <w:rtl/>
        </w:rPr>
      </w:pPr>
      <w:r>
        <w:rPr>
          <w:rFonts w:cs="Arial"/>
          <w:rtl/>
        </w:rPr>
        <w:t>נושא אדם כמה נשים, אפילו מאה, בין בבת אחת בין בזו אחר זו, ואין אשתו יכולה לעכב, והוא שיהיה יכול ליתן שאר כסות ועונה כראוי לכל אחת ואחת</w:t>
      </w:r>
      <w:r>
        <w:rPr>
          <w:rFonts w:cs="Arial" w:hint="cs"/>
          <w:rtl/>
        </w:rPr>
        <w:t>.</w:t>
      </w:r>
      <w:r>
        <w:rPr>
          <w:rFonts w:cs="Arial"/>
          <w:rtl/>
        </w:rPr>
        <w:t xml:space="preserve"> ואינו יכול לכוף אותן לדור בחצר אחד, אלא כל אחת לעצמה. וכמה היא עונתן, לפי </w:t>
      </w:r>
      <w:r>
        <w:rPr>
          <w:rFonts w:cs="Arial"/>
          <w:rtl/>
        </w:rPr>
        <w:lastRenderedPageBreak/>
        <w:t>מנין. כיצד, פועל שהיו לו שתי נשים, יש לזו עונה אחת בשבת ויש לזו עונה אחת בשבת. היו לו ארבעה נשים, נמצא עונת כל אחת מהן פעם אחת בב' שבתות</w:t>
      </w:r>
      <w:r>
        <w:rPr>
          <w:rFonts w:cs="Arial" w:hint="cs"/>
          <w:rtl/>
        </w:rPr>
        <w:t>.</w:t>
      </w:r>
      <w:r>
        <w:rPr>
          <w:rFonts w:cs="Arial"/>
          <w:rtl/>
        </w:rPr>
        <w:t xml:space="preserve"> וכן אם היה מלח ויש לו ד' נשים, תהיה עונת כל אחת מהן פעם אחת בב' שנים</w:t>
      </w:r>
      <w:r>
        <w:rPr>
          <w:rFonts w:cs="Arial" w:hint="cs"/>
          <w:rtl/>
        </w:rPr>
        <w:t>.</w:t>
      </w:r>
      <w:r>
        <w:rPr>
          <w:rFonts w:cs="Arial"/>
          <w:rtl/>
        </w:rPr>
        <w:t xml:space="preserve"> לפיכך צוו חכמים שלא ישא אדם יותר על ד' נשים, אף על פי שיש לו ממון הרבה, כדי שתגיע להן עונה פעם אחת בחדש. </w:t>
      </w:r>
    </w:p>
    <w:p w14:paraId="163401C1" w14:textId="77777777" w:rsidR="002E5BAD" w:rsidRDefault="002E5BAD" w:rsidP="002E5BAD">
      <w:pPr>
        <w:rPr>
          <w:rtl/>
        </w:rPr>
      </w:pPr>
    </w:p>
    <w:p w14:paraId="6433FE4F" w14:textId="77777777" w:rsidR="002E5BAD" w:rsidRDefault="002E5BAD" w:rsidP="002E5BAD">
      <w:pPr>
        <w:pStyle w:val="2"/>
        <w:rPr>
          <w:rtl/>
        </w:rPr>
      </w:pPr>
      <w:r>
        <w:rPr>
          <w:rtl/>
        </w:rPr>
        <w:t>סעיף ח</w:t>
      </w:r>
      <w:r>
        <w:rPr>
          <w:rFonts w:hint="cs"/>
          <w:rtl/>
        </w:rPr>
        <w:t>: מקום שנהגו שלא לישא אשה על אשתו.</w:t>
      </w:r>
    </w:p>
    <w:p w14:paraId="39B01B8E" w14:textId="77777777" w:rsidR="002E5BAD" w:rsidRPr="00B91FB6" w:rsidRDefault="002E5BAD" w:rsidP="002E5BAD">
      <w:pPr>
        <w:rPr>
          <w:u w:val="single"/>
          <w:rtl/>
        </w:rPr>
      </w:pPr>
      <w:r w:rsidRPr="00B91FB6">
        <w:rPr>
          <w:rFonts w:hint="cs"/>
          <w:u w:val="single"/>
          <w:rtl/>
        </w:rPr>
        <w:t>מקום שנהגו שלא לישא אשה על אשתו:</w:t>
      </w:r>
    </w:p>
    <w:p w14:paraId="341DDDEB" w14:textId="77777777" w:rsidR="002E5BAD" w:rsidRPr="00B91FB6" w:rsidRDefault="002E5BAD" w:rsidP="002E5BAD">
      <w:pPr>
        <w:pStyle w:val="ab"/>
        <w:numPr>
          <w:ilvl w:val="0"/>
          <w:numId w:val="158"/>
        </w:numPr>
        <w:rPr>
          <w:rFonts w:cs="Arial"/>
          <w:rtl/>
        </w:rPr>
      </w:pPr>
      <w:r w:rsidRPr="00B91FB6">
        <w:rPr>
          <w:rFonts w:cs="Arial" w:hint="cs"/>
          <w:rtl/>
        </w:rPr>
        <w:t xml:space="preserve">נמוק"י </w:t>
      </w:r>
      <w:r w:rsidRPr="00B91FB6">
        <w:rPr>
          <w:rFonts w:cs="Arial" w:hint="cs"/>
          <w:sz w:val="16"/>
          <w:szCs w:val="16"/>
          <w:rtl/>
        </w:rPr>
        <w:t>(</w:t>
      </w:r>
      <w:r w:rsidRPr="00B91FB6">
        <w:rPr>
          <w:rFonts w:cs="Arial"/>
          <w:sz w:val="16"/>
          <w:szCs w:val="16"/>
          <w:rtl/>
        </w:rPr>
        <w:t>פרק החולץ יד: ד"ה גמרא)</w:t>
      </w:r>
      <w:r w:rsidRPr="00B91FB6">
        <w:rPr>
          <w:rFonts w:cs="Arial" w:hint="cs"/>
          <w:rtl/>
        </w:rPr>
        <w:t>-</w:t>
      </w:r>
      <w:r w:rsidRPr="00B91FB6">
        <w:rPr>
          <w:rFonts w:cs="Arial"/>
          <w:rtl/>
        </w:rPr>
        <w:t xml:space="preserve"> כתב הריטב"א </w:t>
      </w:r>
      <w:r w:rsidRPr="00B91FB6">
        <w:rPr>
          <w:rFonts w:cs="Arial"/>
          <w:sz w:val="16"/>
          <w:szCs w:val="16"/>
          <w:rtl/>
        </w:rPr>
        <w:t xml:space="preserve">(שם ד"ה לא) </w:t>
      </w:r>
      <w:r w:rsidRPr="00B91FB6">
        <w:rPr>
          <w:rFonts w:cs="Arial"/>
          <w:rtl/>
        </w:rPr>
        <w:t xml:space="preserve">בשם רבו שאמר בשם רבותיו דבמקום שנהגו שלא לישא אלא אשה אחת </w:t>
      </w:r>
      <w:r w:rsidRPr="00B91FB6">
        <w:rPr>
          <w:rFonts w:cs="Arial" w:hint="cs"/>
          <w:rtl/>
        </w:rPr>
        <w:t xml:space="preserve">- </w:t>
      </w:r>
      <w:r w:rsidRPr="00B91FB6">
        <w:rPr>
          <w:rFonts w:cs="Arial"/>
          <w:rtl/>
        </w:rPr>
        <w:t>אינו רשאי לישא אשה אחרת על אשתו</w:t>
      </w:r>
      <w:r w:rsidRPr="00B91FB6">
        <w:rPr>
          <w:rFonts w:cs="Arial" w:hint="cs"/>
          <w:rtl/>
        </w:rPr>
        <w:t>,</w:t>
      </w:r>
      <w:r w:rsidRPr="00B91FB6">
        <w:rPr>
          <w:rFonts w:cs="Arial"/>
          <w:rtl/>
        </w:rPr>
        <w:t xml:space="preserve"> דאומדנא דמוכח היא דאדעתא דהכי אינסיבא ליה דלא לינסוב אחריתי</w:t>
      </w:r>
      <w:r w:rsidRPr="00B91FB6">
        <w:rPr>
          <w:rFonts w:cs="Arial" w:hint="cs"/>
          <w:rtl/>
        </w:rPr>
        <w:t>,</w:t>
      </w:r>
      <w:r w:rsidRPr="00B91FB6">
        <w:rPr>
          <w:rFonts w:cs="Arial"/>
          <w:rtl/>
        </w:rPr>
        <w:t xml:space="preserve"> והוה ליה כחמר שאינו רשאי ליעשות גמל</w:t>
      </w:r>
      <w:r w:rsidRPr="00B91FB6">
        <w:rPr>
          <w:rFonts w:cs="Arial" w:hint="cs"/>
          <w:rtl/>
        </w:rPr>
        <w:t>.</w:t>
      </w:r>
      <w:r w:rsidRPr="00B91FB6">
        <w:rPr>
          <w:rFonts w:cs="Arial"/>
          <w:rtl/>
        </w:rPr>
        <w:t xml:space="preserve"> ובתוספות כתבו שרבינו גרשום החרים על הנושא אשה על אשתו</w:t>
      </w:r>
      <w:r w:rsidRPr="00B91FB6">
        <w:rPr>
          <w:rFonts w:cs="Arial" w:hint="cs"/>
          <w:rtl/>
        </w:rPr>
        <w:t>,</w:t>
      </w:r>
      <w:r w:rsidRPr="00B91FB6">
        <w:rPr>
          <w:rFonts w:cs="Arial"/>
          <w:rtl/>
        </w:rPr>
        <w:t xml:space="preserve"> וחייבים לכוף על החרם שלו</w:t>
      </w:r>
      <w:r w:rsidRPr="00B91FB6">
        <w:rPr>
          <w:rFonts w:cs="Arial" w:hint="cs"/>
          <w:rtl/>
        </w:rPr>
        <w:t>,</w:t>
      </w:r>
      <w:r w:rsidRPr="00B91FB6">
        <w:rPr>
          <w:rFonts w:cs="Arial"/>
          <w:rtl/>
        </w:rPr>
        <w:t xml:space="preserve"> אבל ביבמה לא החרים</w:t>
      </w:r>
      <w:r>
        <w:rPr>
          <w:rStyle w:val="a7"/>
          <w:rFonts w:cs="Arial"/>
          <w:rtl/>
        </w:rPr>
        <w:footnoteReference w:id="1264"/>
      </w:r>
      <w:r w:rsidRPr="00B91FB6">
        <w:rPr>
          <w:rFonts w:cs="Arial" w:hint="cs"/>
          <w:rtl/>
        </w:rPr>
        <w:t>.</w:t>
      </w:r>
    </w:p>
    <w:p w14:paraId="78D7573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839A075" w14:textId="77777777" w:rsidR="002E5BAD" w:rsidRDefault="002E5BAD" w:rsidP="002E5BAD">
      <w:pPr>
        <w:rPr>
          <w:rtl/>
        </w:rPr>
      </w:pPr>
      <w:r>
        <w:rPr>
          <w:rFonts w:cs="Arial"/>
          <w:rtl/>
        </w:rPr>
        <w:t>ב</w:t>
      </w:r>
      <w:r>
        <w:rPr>
          <w:rFonts w:cs="Arial" w:hint="cs"/>
          <w:rtl/>
        </w:rPr>
        <w:t>מה דברים אמורים</w:t>
      </w:r>
      <w:r>
        <w:rPr>
          <w:rFonts w:cs="Arial"/>
          <w:rtl/>
        </w:rPr>
        <w:t xml:space="preserve">, במקום שנוהגים לישא שתים ושלש נשים. אבל במקום שנהגו שלא לישא אלא אשה אחת, אין רשאי לישא אשה על אשתו שלא ברשותה, וכל שכן אם התנה בכתובתה שלא ישא אשה אחרת עליה </w:t>
      </w:r>
      <w:r w:rsidRPr="00B91FB6">
        <w:rPr>
          <w:rFonts w:cs="Arial"/>
          <w:sz w:val="18"/>
          <w:szCs w:val="18"/>
          <w:rtl/>
        </w:rPr>
        <w:t>(ועיין לעיל סימן א')</w:t>
      </w:r>
      <w:r>
        <w:rPr>
          <w:rFonts w:cs="Arial"/>
          <w:rtl/>
        </w:rPr>
        <w:t xml:space="preserve">. </w:t>
      </w:r>
    </w:p>
    <w:p w14:paraId="55CDB3CB" w14:textId="77777777" w:rsidR="002E5BAD" w:rsidRDefault="002E5BAD" w:rsidP="002E5BAD">
      <w:pPr>
        <w:rPr>
          <w:rtl/>
        </w:rPr>
      </w:pPr>
    </w:p>
    <w:p w14:paraId="4F77665C" w14:textId="77777777" w:rsidR="002E5BAD" w:rsidRDefault="002E5BAD" w:rsidP="002E5BAD">
      <w:pPr>
        <w:pStyle w:val="2"/>
        <w:rPr>
          <w:rtl/>
        </w:rPr>
      </w:pPr>
      <w:r>
        <w:rPr>
          <w:rtl/>
        </w:rPr>
        <w:t>סעיף ט</w:t>
      </w:r>
      <w:r>
        <w:rPr>
          <w:rFonts w:hint="cs"/>
          <w:rtl/>
        </w:rPr>
        <w:t>: המדיר את אשתו מתשמיש המטה.</w:t>
      </w:r>
    </w:p>
    <w:p w14:paraId="329EBBAD" w14:textId="77777777" w:rsidR="002E5BAD" w:rsidRDefault="002E5BAD" w:rsidP="002E5BA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שבת אחת</w:t>
      </w:r>
      <w:r>
        <w:rPr>
          <w:rStyle w:val="a7"/>
          <w:rFonts w:cs="Arial"/>
          <w:rtl/>
        </w:rPr>
        <w:footnoteReference w:id="1265"/>
      </w:r>
      <w:r w:rsidRPr="005A5F73">
        <w:rPr>
          <w:rFonts w:cs="Arial"/>
          <w:rtl/>
        </w:rPr>
        <w:t>.</w:t>
      </w:r>
      <w:r>
        <w:rPr>
          <w:rFonts w:cs="Arial" w:hint="cs"/>
          <w:rtl/>
        </w:rPr>
        <w:t xml:space="preserve"> </w:t>
      </w:r>
      <w:r w:rsidRPr="00DE6B68">
        <w:rPr>
          <w:rFonts w:cs="Arial"/>
          <w:rtl/>
        </w:rPr>
        <w:t xml:space="preserve">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w:t>
      </w:r>
      <w:r w:rsidRPr="00DE6B68">
        <w:rPr>
          <w:rFonts w:cs="Arial"/>
          <w:u w:val="single"/>
          <w:rtl/>
        </w:rPr>
        <w:t>דברי רבי אליעזר</w:t>
      </w:r>
      <w:r w:rsidRPr="00DE6B68">
        <w:rPr>
          <w:rFonts w:cs="Arial"/>
          <w:rtl/>
        </w:rPr>
        <w:t>.</w:t>
      </w:r>
      <w:r>
        <w:rPr>
          <w:rFonts w:hint="cs"/>
          <w:rtl/>
        </w:rPr>
        <w:t xml:space="preserve">      </w:t>
      </w:r>
      <w:r w:rsidRPr="00802B62">
        <w:rPr>
          <w:rFonts w:cs="Arial" w:hint="cs"/>
          <w:u w:val="double"/>
          <w:rtl/>
        </w:rPr>
        <w:t>גמ'</w:t>
      </w:r>
      <w:r w:rsidRPr="00802B62">
        <w:rPr>
          <w:rFonts w:cs="Arial" w:hint="cs"/>
          <w:sz w:val="14"/>
          <w:szCs w:val="14"/>
          <w:u w:val="double"/>
          <w:rtl/>
        </w:rPr>
        <w:t>(</w:t>
      </w:r>
      <w:r>
        <w:rPr>
          <w:rFonts w:cs="Arial" w:hint="cs"/>
          <w:sz w:val="14"/>
          <w:szCs w:val="14"/>
          <w:u w:val="double"/>
          <w:rtl/>
        </w:rPr>
        <w:t>סב</w:t>
      </w:r>
      <w:r w:rsidRPr="00802B62">
        <w:rPr>
          <w:rFonts w:cs="Arial" w:hint="cs"/>
          <w:sz w:val="14"/>
          <w:szCs w:val="14"/>
          <w:u w:val="double"/>
          <w:rtl/>
        </w:rPr>
        <w:t>.)</w:t>
      </w:r>
      <w:r w:rsidRPr="00802B62">
        <w:rPr>
          <w:rFonts w:cs="Arial" w:hint="cs"/>
          <w:u w:val="double"/>
          <w:rtl/>
        </w:rPr>
        <w:t>:</w:t>
      </w:r>
      <w:r>
        <w:rPr>
          <w:rFonts w:cs="Arial" w:hint="cs"/>
          <w:rtl/>
        </w:rPr>
        <w:t xml:space="preserve"> </w:t>
      </w:r>
      <w:r w:rsidRPr="00DE6B68">
        <w:rPr>
          <w:rFonts w:cs="Arial"/>
          <w:rtl/>
        </w:rPr>
        <w:t xml:space="preserve">החמרים - אחת בשבת. </w:t>
      </w:r>
      <w:r w:rsidRPr="00CB1695">
        <w:rPr>
          <w:rFonts w:cs="Arial"/>
          <w:u w:val="single"/>
          <w:rtl/>
        </w:rPr>
        <w:t>אמר ליה רבה בר רב חנן לאביי</w:t>
      </w:r>
      <w:r w:rsidRPr="00DE6B68">
        <w:rPr>
          <w:rFonts w:cs="Arial"/>
          <w:rtl/>
        </w:rPr>
        <w:t>: איכפל תנא לאשמועינן טייל ופועל</w:t>
      </w:r>
      <w:r>
        <w:rPr>
          <w:rStyle w:val="a7"/>
          <w:rFonts w:cs="Arial"/>
          <w:rtl/>
        </w:rPr>
        <w:footnoteReference w:id="1266"/>
      </w:r>
      <w:r w:rsidRPr="00DE6B68">
        <w:rPr>
          <w:rFonts w:cs="Arial"/>
          <w:rtl/>
        </w:rPr>
        <w:t xml:space="preserve">? </w:t>
      </w:r>
      <w:r w:rsidRPr="00D51558">
        <w:rPr>
          <w:rFonts w:cs="Arial"/>
          <w:u w:val="single"/>
          <w:rtl/>
        </w:rPr>
        <w:t>אמר ליה</w:t>
      </w:r>
      <w:r w:rsidRPr="00DE6B68">
        <w:rPr>
          <w:rFonts w:cs="Arial"/>
          <w:rtl/>
        </w:rPr>
        <w:t>: לא,</w:t>
      </w:r>
      <w:r w:rsidRPr="00DB78F6">
        <w:rPr>
          <w:rtl/>
        </w:rPr>
        <w:t xml:space="preserve"> </w:t>
      </w:r>
      <w:r>
        <w:rPr>
          <w:rFonts w:hint="cs"/>
          <w:sz w:val="14"/>
          <w:szCs w:val="14"/>
          <w:rtl/>
        </w:rPr>
        <w:t xml:space="preserve">(סב:) </w:t>
      </w:r>
      <w:r w:rsidRPr="00DB78F6">
        <w:rPr>
          <w:rFonts w:cs="Arial"/>
          <w:rtl/>
        </w:rPr>
        <w:t>אכולהו</w:t>
      </w:r>
      <w:r>
        <w:rPr>
          <w:rStyle w:val="a7"/>
          <w:rFonts w:cs="Arial"/>
          <w:rtl/>
        </w:rPr>
        <w:footnoteReference w:id="1267"/>
      </w:r>
      <w:r w:rsidRPr="00DB78F6">
        <w:rPr>
          <w:rFonts w:cs="Arial"/>
          <w:rtl/>
        </w:rPr>
        <w:t>. והא</w:t>
      </w:r>
      <w:r>
        <w:rPr>
          <w:rStyle w:val="a7"/>
          <w:rFonts w:cs="Arial"/>
          <w:rtl/>
        </w:rPr>
        <w:footnoteReference w:id="1268"/>
      </w:r>
      <w:r w:rsidRPr="00DB78F6">
        <w:rPr>
          <w:rFonts w:cs="Arial"/>
          <w:rtl/>
        </w:rPr>
        <w:t xml:space="preserve"> ששה חדשים קאמר! אינו דומה</w:t>
      </w:r>
      <w:r>
        <w:rPr>
          <w:rStyle w:val="a7"/>
          <w:rFonts w:cs="Arial"/>
          <w:rtl/>
        </w:rPr>
        <w:footnoteReference w:id="1269"/>
      </w:r>
      <w:r w:rsidRPr="00DB78F6">
        <w:rPr>
          <w:rFonts w:cs="Arial"/>
          <w:rtl/>
        </w:rPr>
        <w:t xml:space="preserve"> מי שיש לו פת בסלו למי שאין לו פת בסלו</w:t>
      </w:r>
      <w:r>
        <w:rPr>
          <w:rFonts w:cs="Arial" w:hint="cs"/>
          <w:rtl/>
        </w:rPr>
        <w:t>.</w:t>
      </w:r>
    </w:p>
    <w:p w14:paraId="0E92B70A" w14:textId="77777777" w:rsidR="002E5BAD" w:rsidRPr="00802B62" w:rsidRDefault="002E5BAD" w:rsidP="002E5BAD">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ע"א:</w:t>
      </w:r>
      <w:r>
        <w:rPr>
          <w:rFonts w:cs="Arial"/>
          <w:rtl/>
        </w:rPr>
        <w:t xml:space="preserve"> </w:t>
      </w:r>
      <w:r w:rsidRPr="00650052">
        <w:rPr>
          <w:rFonts w:cs="Arial"/>
          <w:u w:val="single"/>
          <w:rtl/>
        </w:rPr>
        <w:t>אמר רב</w:t>
      </w:r>
      <w:r w:rsidRPr="00650052">
        <w:rPr>
          <w:rFonts w:cs="Arial"/>
          <w:rtl/>
        </w:rPr>
        <w:t>: לא שנו אלא במפרש</w:t>
      </w:r>
      <w:r>
        <w:rPr>
          <w:rStyle w:val="a7"/>
          <w:rFonts w:cs="Arial"/>
          <w:rtl/>
        </w:rPr>
        <w:footnoteReference w:id="1270"/>
      </w:r>
      <w:r w:rsidRPr="00650052">
        <w:rPr>
          <w:rFonts w:cs="Arial"/>
          <w:rtl/>
        </w:rPr>
        <w:t>, אבל בסתם - יוציא לאלתר ויתן כתובה</w:t>
      </w:r>
      <w:r>
        <w:rPr>
          <w:rFonts w:cs="Arial" w:hint="cs"/>
          <w:rtl/>
        </w:rPr>
        <w:t>.</w:t>
      </w:r>
      <w:r w:rsidRPr="00650052">
        <w:rPr>
          <w:rFonts w:cs="Arial"/>
          <w:rtl/>
        </w:rPr>
        <w:t xml:space="preserve"> </w:t>
      </w:r>
      <w:r w:rsidRPr="00650052">
        <w:rPr>
          <w:rFonts w:cs="Arial"/>
          <w:u w:val="single"/>
          <w:rtl/>
        </w:rPr>
        <w:t>ושמואל אמר</w:t>
      </w:r>
      <w:r w:rsidRPr="00650052">
        <w:rPr>
          <w:rFonts w:cs="Arial"/>
          <w:rtl/>
        </w:rPr>
        <w:t>: אפילו בסתם - לא יוציא, שמא ימצא פתח לנדרו</w:t>
      </w:r>
      <w:r>
        <w:rPr>
          <w:rStyle w:val="a7"/>
          <w:rFonts w:cs="Arial"/>
          <w:rtl/>
        </w:rPr>
        <w:footnoteReference w:id="1271"/>
      </w:r>
      <w:r w:rsidRPr="00650052">
        <w:rPr>
          <w:rFonts w:cs="Arial"/>
          <w:rtl/>
        </w:rPr>
        <w:t>.</w:t>
      </w:r>
      <w:r>
        <w:rPr>
          <w:rFonts w:cs="Arial"/>
          <w:rtl/>
        </w:rPr>
        <w:t xml:space="preserve"> </w:t>
      </w:r>
      <w:r w:rsidRPr="00802B62">
        <w:rPr>
          <w:rFonts w:cs="Arial" w:hint="cs"/>
          <w:sz w:val="16"/>
          <w:szCs w:val="16"/>
          <w:rtl/>
        </w:rPr>
        <w:t>(</w:t>
      </w:r>
      <w:r w:rsidRPr="00802B62">
        <w:rPr>
          <w:rFonts w:cs="Arial"/>
          <w:sz w:val="16"/>
          <w:szCs w:val="16"/>
          <w:rtl/>
        </w:rPr>
        <w:t>ופסקו הפוסקים הלכה כשמואל</w:t>
      </w:r>
      <w:r w:rsidRPr="00802B62">
        <w:rPr>
          <w:rFonts w:cs="Arial" w:hint="cs"/>
          <w:sz w:val="16"/>
          <w:szCs w:val="16"/>
          <w:rtl/>
        </w:rPr>
        <w:t>, ב"י)</w:t>
      </w:r>
    </w:p>
    <w:p w14:paraId="2D84B048" w14:textId="77777777" w:rsidR="002E5BAD" w:rsidRDefault="002E5BAD" w:rsidP="002E5BAD">
      <w:pPr>
        <w:rPr>
          <w:rFonts w:cs="Arial"/>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 ע"</w:t>
      </w:r>
      <w:r>
        <w:rPr>
          <w:rFonts w:cs="Arial" w:hint="cs"/>
          <w:b/>
          <w:bCs/>
          <w:rtl/>
        </w:rPr>
        <w:t>א</w:t>
      </w:r>
      <w:r>
        <w:rPr>
          <w:rStyle w:val="a7"/>
          <w:rFonts w:cs="Arial"/>
          <w:b/>
          <w:bCs/>
          <w:rtl/>
        </w:rPr>
        <w:footnoteReference w:id="1272"/>
      </w:r>
      <w:r w:rsidRPr="006C3CF4">
        <w:rPr>
          <w:rFonts w:cs="Arial" w:hint="cs"/>
          <w:b/>
          <w:bCs/>
          <w:rtl/>
        </w:rPr>
        <w:t xml:space="preserve">: </w:t>
      </w:r>
      <w:r w:rsidRPr="005D047B">
        <w:rPr>
          <w:rFonts w:cs="Arial"/>
          <w:u w:val="double"/>
          <w:rtl/>
        </w:rPr>
        <w:t>מתני'</w:t>
      </w:r>
      <w:r>
        <w:rPr>
          <w:rFonts w:cs="Arial" w:hint="cs"/>
          <w:rtl/>
        </w:rPr>
        <w:t>:</w:t>
      </w:r>
      <w:r w:rsidRPr="005D047B">
        <w:rPr>
          <w:rFonts w:cs="Arial"/>
          <w:rtl/>
        </w:rPr>
        <w:t xml:space="preserve"> המדיר את אשתו מליהנות לו, עד ל' יום - יעמיד פרנס, יתר מיכן - יוציא ויתן כתובה</w:t>
      </w:r>
      <w:r>
        <w:rPr>
          <w:rFonts w:cs="Arial" w:hint="cs"/>
          <w:rtl/>
        </w:rPr>
        <w:t>...</w:t>
      </w:r>
      <w:r w:rsidRPr="005D047B">
        <w:rPr>
          <w:rFonts w:cs="Arial"/>
          <w:rtl/>
        </w:rPr>
        <w:t xml:space="preserve"> </w:t>
      </w:r>
      <w:r>
        <w:rPr>
          <w:rFonts w:cs="Arial" w:hint="cs"/>
          <w:rtl/>
        </w:rPr>
        <w:t xml:space="preserve">    </w:t>
      </w:r>
      <w:r w:rsidRPr="005D047B">
        <w:rPr>
          <w:rFonts w:cs="Arial" w:hint="cs"/>
          <w:u w:val="double"/>
          <w:rtl/>
        </w:rPr>
        <w:t>גמ'</w:t>
      </w:r>
      <w:r>
        <w:rPr>
          <w:rFonts w:cs="Arial" w:hint="cs"/>
          <w:rtl/>
        </w:rPr>
        <w:t xml:space="preserve">: </w:t>
      </w:r>
      <w:r w:rsidRPr="009C1E95">
        <w:rPr>
          <w:rFonts w:cs="Arial"/>
          <w:rtl/>
        </w:rPr>
        <w:t>וכיון דמשועבד לה היכי מצי מדיר לה? כל כמיניה דמפקע לה לשיעבודה? והתנן: קונם שאיני עושה לפיך - אינו צריך להפר</w:t>
      </w:r>
      <w:r>
        <w:rPr>
          <w:rFonts w:cs="Arial" w:hint="cs"/>
          <w:rtl/>
        </w:rPr>
        <w:t>.</w:t>
      </w:r>
      <w:r w:rsidRPr="009C1E95">
        <w:rPr>
          <w:rFonts w:cs="Arial"/>
          <w:rtl/>
        </w:rPr>
        <w:t xml:space="preserve"> אלמא כיון דמשעבדא ליה - לאו כל כמינה דמפקע ליה לשיעבודיה, הכא נמי כיון דמשועבד לה - לאו כל כמיניה דמפקע לה לשיעבודה! </w:t>
      </w:r>
    </w:p>
    <w:p w14:paraId="566B9618" w14:textId="77777777" w:rsidR="002E5BAD" w:rsidRDefault="002E5BAD" w:rsidP="002E5BAD">
      <w:pPr>
        <w:rPr>
          <w:rFonts w:cs="Arial"/>
          <w:rtl/>
        </w:rPr>
      </w:pPr>
      <w:r w:rsidRPr="006C3CF4">
        <w:rPr>
          <w:rFonts w:cs="Arial" w:hint="cs"/>
          <w:b/>
          <w:bCs/>
          <w:rtl/>
        </w:rPr>
        <w:lastRenderedPageBreak/>
        <w:t>כתובות</w:t>
      </w:r>
      <w:r>
        <w:rPr>
          <w:rFonts w:cs="Arial" w:hint="cs"/>
          <w:b/>
          <w:bCs/>
          <w:rtl/>
        </w:rPr>
        <w:t xml:space="preserve"> </w:t>
      </w:r>
      <w:r>
        <w:rPr>
          <w:rFonts w:cs="Arial" w:hint="cs"/>
          <w:b/>
          <w:bCs/>
          <w:sz w:val="16"/>
          <w:szCs w:val="16"/>
          <w:rtl/>
        </w:rPr>
        <w:t>(פ' המדיר)</w:t>
      </w:r>
      <w:r w:rsidRPr="006C3CF4">
        <w:rPr>
          <w:rFonts w:cs="Arial" w:hint="cs"/>
          <w:b/>
          <w:bCs/>
          <w:rtl/>
        </w:rPr>
        <w:t xml:space="preserve"> ע</w:t>
      </w:r>
      <w:r>
        <w:rPr>
          <w:rFonts w:cs="Arial" w:hint="cs"/>
          <w:b/>
          <w:bCs/>
          <w:rtl/>
        </w:rPr>
        <w:t>א</w:t>
      </w:r>
      <w:r w:rsidRPr="006C3CF4">
        <w:rPr>
          <w:rFonts w:cs="Arial" w:hint="cs"/>
          <w:b/>
          <w:bCs/>
          <w:rtl/>
        </w:rPr>
        <w:t xml:space="preserve"> ע"</w:t>
      </w:r>
      <w:r>
        <w:rPr>
          <w:rFonts w:cs="Arial" w:hint="cs"/>
          <w:b/>
          <w:bCs/>
          <w:rtl/>
        </w:rPr>
        <w:t>ב</w:t>
      </w:r>
      <w:r w:rsidRPr="006C3CF4">
        <w:rPr>
          <w:rFonts w:cs="Arial" w:hint="cs"/>
          <w:b/>
          <w:bCs/>
          <w:rtl/>
        </w:rPr>
        <w:t xml:space="preserve">: </w:t>
      </w:r>
      <w:r w:rsidRPr="00140E5C">
        <w:rPr>
          <w:rFonts w:cs="Arial"/>
          <w:u w:val="single"/>
          <w:rtl/>
        </w:rPr>
        <w:t>דאמר רב כהנא</w:t>
      </w:r>
      <w:r w:rsidRPr="00560D36">
        <w:rPr>
          <w:rFonts w:cs="Arial"/>
          <w:rtl/>
        </w:rPr>
        <w:t>: הנאת תשמישי עליך - כופה ומשמשתו, הנאת תשמישך עלי - יפר, לפי שאין מאכילין לאדם דבר האסור לו.</w:t>
      </w:r>
      <w:r w:rsidRPr="00404BCC">
        <w:rPr>
          <w:rFonts w:cs="Arial"/>
          <w:sz w:val="16"/>
          <w:szCs w:val="16"/>
          <w:rtl/>
        </w:rPr>
        <w:t xml:space="preserve"> </w:t>
      </w:r>
      <w:r>
        <w:rPr>
          <w:rFonts w:cs="Arial" w:hint="cs"/>
          <w:sz w:val="16"/>
          <w:szCs w:val="16"/>
          <w:rtl/>
        </w:rPr>
        <w:t>(</w:t>
      </w:r>
      <w:r w:rsidRPr="00404BCC">
        <w:rPr>
          <w:rFonts w:cs="Arial"/>
          <w:sz w:val="16"/>
          <w:szCs w:val="16"/>
          <w:rtl/>
        </w:rPr>
        <w:t>ומינה ילפינן לכשהדירה איהו</w:t>
      </w:r>
      <w:r>
        <w:rPr>
          <w:rFonts w:cs="Arial" w:hint="cs"/>
          <w:sz w:val="16"/>
          <w:szCs w:val="16"/>
          <w:rtl/>
        </w:rPr>
        <w:t>, ב"י)</w:t>
      </w:r>
    </w:p>
    <w:p w14:paraId="7869EBAF" w14:textId="77777777" w:rsidR="002E5BAD" w:rsidRPr="002E3F2E" w:rsidRDefault="002E5BAD" w:rsidP="002E5BAD">
      <w:pPr>
        <w:rPr>
          <w:rFonts w:cs="Arial"/>
          <w:u w:val="single"/>
          <w:rtl/>
        </w:rPr>
      </w:pPr>
      <w:r w:rsidRPr="002E3F2E">
        <w:rPr>
          <w:rFonts w:cs="Arial"/>
          <w:u w:val="single"/>
          <w:rtl/>
        </w:rPr>
        <w:t>המדיר את אשתו מתשמיש המטה</w:t>
      </w:r>
      <w:r w:rsidRPr="002E3F2E">
        <w:rPr>
          <w:rFonts w:cs="Arial" w:hint="cs"/>
          <w:u w:val="single"/>
          <w:rtl/>
        </w:rPr>
        <w:t>:</w:t>
      </w:r>
    </w:p>
    <w:p w14:paraId="12839808" w14:textId="77777777" w:rsidR="002E5BAD" w:rsidRPr="002E3F2E" w:rsidRDefault="002E5BAD" w:rsidP="002E5BAD">
      <w:pPr>
        <w:pStyle w:val="ab"/>
        <w:numPr>
          <w:ilvl w:val="0"/>
          <w:numId w:val="158"/>
        </w:numPr>
        <w:rPr>
          <w:rFonts w:cs="Arial"/>
        </w:rPr>
      </w:pPr>
      <w:r w:rsidRPr="00404BCC">
        <w:rPr>
          <w:rFonts w:cs="Arial"/>
          <w:rtl/>
        </w:rPr>
        <w:t xml:space="preserve">רמב"ם </w:t>
      </w:r>
      <w:r w:rsidRPr="00404BCC">
        <w:rPr>
          <w:rFonts w:cs="Arial" w:hint="cs"/>
          <w:sz w:val="16"/>
          <w:szCs w:val="16"/>
          <w:rtl/>
        </w:rPr>
        <w:t>(</w:t>
      </w:r>
      <w:r w:rsidRPr="00404BCC">
        <w:rPr>
          <w:rFonts w:cs="Arial"/>
          <w:sz w:val="16"/>
          <w:szCs w:val="16"/>
          <w:rtl/>
        </w:rPr>
        <w:t>פי"ד מאישות ה"ו)</w:t>
      </w:r>
      <w:r>
        <w:rPr>
          <w:rFonts w:cs="Arial" w:hint="cs"/>
          <w:rtl/>
        </w:rPr>
        <w:t xml:space="preserve"> וטור</w:t>
      </w:r>
      <w:r w:rsidRPr="00404BCC">
        <w:rPr>
          <w:rFonts w:cs="Arial" w:hint="cs"/>
          <w:rtl/>
        </w:rPr>
        <w:t xml:space="preserve">- </w:t>
      </w:r>
      <w:r w:rsidRPr="002E3F2E">
        <w:rPr>
          <w:rFonts w:cs="Arial"/>
          <w:rtl/>
        </w:rPr>
        <w:t>המדיר את אשתו מתשמיש המטה</w:t>
      </w:r>
      <w:r>
        <w:rPr>
          <w:rFonts w:cs="Arial" w:hint="cs"/>
          <w:rtl/>
        </w:rPr>
        <w:t>,</w:t>
      </w:r>
      <w:r w:rsidRPr="002E3F2E">
        <w:rPr>
          <w:rFonts w:cs="Arial"/>
          <w:rtl/>
        </w:rPr>
        <w:t xml:space="preserve"> בין שהדירה סתם או ז' ימים או יותר</w:t>
      </w:r>
      <w:r w:rsidRPr="002E3F2E">
        <w:rPr>
          <w:rFonts w:cs="Arial" w:hint="cs"/>
          <w:rtl/>
        </w:rPr>
        <w:t xml:space="preserve"> -</w:t>
      </w:r>
      <w:r w:rsidRPr="002E3F2E">
        <w:rPr>
          <w:rFonts w:cs="Arial"/>
          <w:rtl/>
        </w:rPr>
        <w:t xml:space="preserve"> יקיים שבעה ולאח"כ יוציאה ויתן כתובה</w:t>
      </w:r>
      <w:r>
        <w:rPr>
          <w:rStyle w:val="a7"/>
          <w:rFonts w:cs="Arial"/>
          <w:rtl/>
        </w:rPr>
        <w:footnoteReference w:id="1273"/>
      </w:r>
      <w:r w:rsidRPr="002E3F2E">
        <w:rPr>
          <w:rFonts w:cs="Arial" w:hint="cs"/>
          <w:rtl/>
        </w:rPr>
        <w:t>,</w:t>
      </w:r>
      <w:r w:rsidRPr="002E3F2E">
        <w:rPr>
          <w:rFonts w:cs="Arial"/>
          <w:rtl/>
        </w:rPr>
        <w:t xml:space="preserve"> אפי' הוא ספן שעונתו לו' חדשים</w:t>
      </w:r>
      <w:r w:rsidRPr="002E3F2E">
        <w:rPr>
          <w:rFonts w:cs="Arial" w:hint="cs"/>
          <w:rtl/>
        </w:rPr>
        <w:t>.</w:t>
      </w:r>
      <w:r w:rsidRPr="002E3F2E">
        <w:rPr>
          <w:rFonts w:cs="Arial"/>
          <w:rtl/>
        </w:rPr>
        <w:t xml:space="preserve"> וכיצד מדירה</w:t>
      </w:r>
      <w:r w:rsidRPr="002E3F2E">
        <w:rPr>
          <w:rFonts w:cs="Arial" w:hint="cs"/>
          <w:rtl/>
        </w:rPr>
        <w:t>,</w:t>
      </w:r>
      <w:r w:rsidRPr="002E3F2E">
        <w:rPr>
          <w:rFonts w:cs="Arial"/>
          <w:rtl/>
        </w:rPr>
        <w:t xml:space="preserve"> אמר הנאת תשמישך אסור עלי שאז הוא נאסר שאין מאכילין את האדם דבר האסור לו אבל אם אמר הנאת תשמישי עליך או נשבע שלא לשמשה אינו חל</w:t>
      </w:r>
      <w:r>
        <w:rPr>
          <w:rFonts w:cs="Arial" w:hint="cs"/>
          <w:sz w:val="16"/>
          <w:szCs w:val="16"/>
          <w:rtl/>
        </w:rPr>
        <w:t xml:space="preserve"> (ל' הטור)</w:t>
      </w:r>
      <w:r w:rsidRPr="002E3F2E">
        <w:rPr>
          <w:rFonts w:cs="Arial" w:hint="cs"/>
          <w:rtl/>
        </w:rPr>
        <w:t>.</w:t>
      </w:r>
      <w:r w:rsidRPr="002E3F2E">
        <w:rPr>
          <w:rFonts w:hint="cs"/>
          <w:color w:val="E36C0A" w:themeColor="accent6" w:themeShade="BF"/>
          <w:rtl/>
        </w:rPr>
        <w:t xml:space="preserve"> </w:t>
      </w:r>
      <w:r w:rsidRPr="000A3BE3">
        <w:rPr>
          <w:rFonts w:hint="cs"/>
          <w:color w:val="E36C0A" w:themeColor="accent6" w:themeShade="BF"/>
          <w:rtl/>
        </w:rPr>
        <w:t>(וכ"פ בשו"ע</w:t>
      </w:r>
      <w:r>
        <w:rPr>
          <w:rFonts w:hint="cs"/>
          <w:sz w:val="16"/>
          <w:szCs w:val="16"/>
          <w:rtl/>
        </w:rPr>
        <w:t xml:space="preserve"> [כאן ובסע' הבא]</w:t>
      </w:r>
      <w:r w:rsidRPr="000A3BE3">
        <w:rPr>
          <w:rFonts w:hint="cs"/>
          <w:color w:val="E36C0A" w:themeColor="accent6" w:themeShade="BF"/>
          <w:rtl/>
        </w:rPr>
        <w:t>)</w:t>
      </w:r>
    </w:p>
    <w:p w14:paraId="5D6C1D5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7AE2916" w14:textId="77777777" w:rsidR="002E5BAD" w:rsidRDefault="002E5BAD" w:rsidP="002E5BAD">
      <w:pPr>
        <w:rPr>
          <w:rtl/>
        </w:rPr>
      </w:pPr>
      <w:r>
        <w:rPr>
          <w:rFonts w:cs="Arial"/>
          <w:rtl/>
        </w:rPr>
        <w:t>המדיר את אשתו מתשמיש המטה, בין שהדירה סתם או ז' ימים או יותר, יקיים ז' ימים, ואח</w:t>
      </w:r>
      <w:r>
        <w:rPr>
          <w:rFonts w:cs="Arial" w:hint="cs"/>
          <w:rtl/>
        </w:rPr>
        <w:t xml:space="preserve">ר </w:t>
      </w:r>
      <w:r>
        <w:rPr>
          <w:rFonts w:cs="Arial"/>
          <w:rtl/>
        </w:rPr>
        <w:t>כ</w:t>
      </w:r>
      <w:r>
        <w:rPr>
          <w:rFonts w:cs="Arial" w:hint="cs"/>
          <w:rtl/>
        </w:rPr>
        <w:t>ך</w:t>
      </w:r>
      <w:r>
        <w:rPr>
          <w:rFonts w:cs="Arial"/>
          <w:rtl/>
        </w:rPr>
        <w:t xml:space="preserve"> יוציא ויתן כתובתה</w:t>
      </w:r>
      <w:r>
        <w:rPr>
          <w:rFonts w:cs="Arial" w:hint="cs"/>
          <w:rtl/>
        </w:rPr>
        <w:t>,</w:t>
      </w:r>
      <w:r>
        <w:rPr>
          <w:rFonts w:cs="Arial"/>
          <w:rtl/>
        </w:rPr>
        <w:t xml:space="preserve"> אפילו הוא מלח שעונתו לששה חדשים. </w:t>
      </w:r>
    </w:p>
    <w:p w14:paraId="0F6AF75A" w14:textId="77777777" w:rsidR="002E5BAD" w:rsidRDefault="002E5BAD" w:rsidP="002E5BAD">
      <w:pPr>
        <w:rPr>
          <w:rtl/>
        </w:rPr>
      </w:pPr>
    </w:p>
    <w:p w14:paraId="15A000AE" w14:textId="77777777" w:rsidR="002E5BAD" w:rsidRDefault="002E5BAD" w:rsidP="002E5BAD">
      <w:pPr>
        <w:pStyle w:val="2"/>
        <w:rPr>
          <w:rtl/>
        </w:rPr>
      </w:pPr>
      <w:r>
        <w:rPr>
          <w:rtl/>
        </w:rPr>
        <w:t>סעיף י</w:t>
      </w:r>
      <w:r>
        <w:rPr>
          <w:rFonts w:hint="cs"/>
          <w:rtl/>
        </w:rPr>
        <w:t>: נשבע שלא לשמש עם אשתו. האומר 'הנאת תשמישך עלי'.</w:t>
      </w:r>
    </w:p>
    <w:p w14:paraId="3646C38A" w14:textId="77777777" w:rsidR="002E5BAD" w:rsidRPr="009825F4" w:rsidRDefault="002E5BAD" w:rsidP="002E5BAD">
      <w:pPr>
        <w:rPr>
          <w:u w:val="single"/>
          <w:rtl/>
        </w:rPr>
      </w:pPr>
      <w:r w:rsidRPr="000D1B6F">
        <w:rPr>
          <w:rFonts w:cs="Arial"/>
          <w:u w:val="single"/>
          <w:rtl/>
        </w:rPr>
        <w:t>אחד שנדר שלא לשמש עם אשתו ע"מ שאין איסור בדבר</w:t>
      </w:r>
      <w:r w:rsidRPr="009825F4">
        <w:rPr>
          <w:rFonts w:hint="cs"/>
          <w:u w:val="single"/>
          <w:rtl/>
        </w:rPr>
        <w:t>:</w:t>
      </w:r>
    </w:p>
    <w:p w14:paraId="53C8650A" w14:textId="77777777" w:rsidR="002E5BAD" w:rsidRPr="000D1B6F" w:rsidRDefault="002E5BAD" w:rsidP="002E5BAD">
      <w:pPr>
        <w:pStyle w:val="ab"/>
        <w:numPr>
          <w:ilvl w:val="0"/>
          <w:numId w:val="158"/>
        </w:numPr>
        <w:rPr>
          <w:rFonts w:cs="Arial"/>
        </w:rPr>
      </w:pPr>
      <w:r>
        <w:rPr>
          <w:rFonts w:cs="Arial" w:hint="cs"/>
          <w:rtl/>
        </w:rPr>
        <w:t xml:space="preserve">מהר"ם </w:t>
      </w:r>
      <w:r w:rsidRPr="000D1B6F">
        <w:rPr>
          <w:rFonts w:cs="Arial" w:hint="cs"/>
          <w:sz w:val="16"/>
          <w:szCs w:val="16"/>
          <w:rtl/>
        </w:rPr>
        <w:t xml:space="preserve">(ספר סיני וליקוטים סי' תקל, וכ"כ בשמו ההגה"מ (פי"ד מאישות ה"ו </w:t>
      </w:r>
      <w:r w:rsidRPr="000D1B6F">
        <w:rPr>
          <w:rFonts w:cs="Arial"/>
          <w:sz w:val="16"/>
          <w:szCs w:val="16"/>
          <w:rtl/>
        </w:rPr>
        <w:t>אות ג)</w:t>
      </w:r>
      <w:r w:rsidRPr="000D1B6F">
        <w:rPr>
          <w:rFonts w:cs="Arial" w:hint="cs"/>
          <w:sz w:val="16"/>
          <w:szCs w:val="16"/>
          <w:rtl/>
        </w:rPr>
        <w:t xml:space="preserve"> והגמ"ר</w:t>
      </w:r>
      <w:r w:rsidRPr="000D1B6F">
        <w:rPr>
          <w:rFonts w:cs="Arial"/>
          <w:sz w:val="16"/>
          <w:szCs w:val="16"/>
          <w:rtl/>
        </w:rPr>
        <w:t xml:space="preserve"> </w:t>
      </w:r>
      <w:r w:rsidRPr="000D1B6F">
        <w:rPr>
          <w:rFonts w:cs="Arial" w:hint="cs"/>
          <w:sz w:val="16"/>
          <w:szCs w:val="16"/>
          <w:rtl/>
        </w:rPr>
        <w:t>(</w:t>
      </w:r>
      <w:r w:rsidRPr="000D1B6F">
        <w:rPr>
          <w:rFonts w:cs="Arial"/>
          <w:sz w:val="16"/>
          <w:szCs w:val="16"/>
          <w:rtl/>
        </w:rPr>
        <w:t>קידושין סי' תקנ</w:t>
      </w:r>
      <w:r w:rsidRPr="000D1B6F">
        <w:rPr>
          <w:rFonts w:cs="Arial" w:hint="cs"/>
          <w:sz w:val="16"/>
          <w:szCs w:val="16"/>
          <w:rtl/>
        </w:rPr>
        <w:t>)</w:t>
      </w:r>
      <w:r w:rsidRPr="00404BCC">
        <w:rPr>
          <w:rFonts w:cs="Arial" w:hint="cs"/>
          <w:rtl/>
        </w:rPr>
        <w:t>-</w:t>
      </w:r>
      <w:r w:rsidRPr="00404BCC">
        <w:rPr>
          <w:rFonts w:cs="Arial"/>
          <w:rtl/>
        </w:rPr>
        <w:t xml:space="preserve"> </w:t>
      </w:r>
      <w:r w:rsidRPr="000D1B6F">
        <w:rPr>
          <w:rFonts w:cs="Arial"/>
          <w:rtl/>
        </w:rPr>
        <w:t>מעשה באחד שנדר שלא לשמש עם אשתו ע"מ שאין איסור בדבר. אם אשתך לא נתרצית לנדריך</w:t>
      </w:r>
      <w:r>
        <w:rPr>
          <w:rFonts w:cs="Arial" w:hint="cs"/>
          <w:rtl/>
        </w:rPr>
        <w:t xml:space="preserve"> -</w:t>
      </w:r>
      <w:r w:rsidRPr="000D1B6F">
        <w:rPr>
          <w:rFonts w:cs="Arial"/>
          <w:rtl/>
        </w:rPr>
        <w:t xml:space="preserve"> אין בדבריך כלום, שכן אמרת על מנת שלא יהא איסור. ועוד הא אמר פרק שני דנדרים </w:t>
      </w:r>
      <w:r>
        <w:rPr>
          <w:rFonts w:cs="Arial" w:hint="cs"/>
          <w:rtl/>
        </w:rPr>
        <w:t>(</w:t>
      </w:r>
      <w:r w:rsidRPr="000D1B6F">
        <w:rPr>
          <w:rFonts w:cs="Arial"/>
          <w:rtl/>
        </w:rPr>
        <w:t>יד</w:t>
      </w:r>
      <w:r>
        <w:rPr>
          <w:rFonts w:cs="Arial" w:hint="cs"/>
          <w:rtl/>
        </w:rPr>
        <w:t>:)</w:t>
      </w:r>
      <w:r w:rsidRPr="000D1B6F">
        <w:rPr>
          <w:rFonts w:cs="Arial"/>
          <w:rtl/>
        </w:rPr>
        <w:t xml:space="preserve"> האומר לאשתו קונם שאיני משמשך הרי זה בבל יחל, פירוש וצריך לקיים הנדר. ופריך בגמ' והא משועבד לה, פירוש ואיך יפקיע שיעבודה ואפילו בקונם, ואע</w:t>
      </w:r>
      <w:r>
        <w:rPr>
          <w:rFonts w:cs="Arial" w:hint="cs"/>
          <w:rtl/>
        </w:rPr>
        <w:t>"</w:t>
      </w:r>
      <w:r w:rsidRPr="000D1B6F">
        <w:rPr>
          <w:rFonts w:cs="Arial"/>
          <w:rtl/>
        </w:rPr>
        <w:t xml:space="preserve">ג דנדרים חלים על דבר מצוה כדבר הרשות, הני מילי דברים שאינו משועבד לה אבל דברים המשועבדים לאשתו לא, דאלמוה רבנן לשיעבודא דבעל בפרק אף על פי </w:t>
      </w:r>
      <w:r>
        <w:rPr>
          <w:rFonts w:cs="Arial" w:hint="cs"/>
          <w:rtl/>
        </w:rPr>
        <w:t>(</w:t>
      </w:r>
      <w:r w:rsidRPr="000D1B6F">
        <w:rPr>
          <w:rFonts w:cs="Arial"/>
          <w:rtl/>
        </w:rPr>
        <w:t>כתובות נט</w:t>
      </w:r>
      <w:r>
        <w:rPr>
          <w:rFonts w:cs="Arial" w:hint="cs"/>
          <w:rtl/>
        </w:rPr>
        <w:t>:)</w:t>
      </w:r>
      <w:r w:rsidRPr="000D1B6F">
        <w:rPr>
          <w:rFonts w:cs="Arial"/>
          <w:rtl/>
        </w:rPr>
        <w:t xml:space="preserve"> ואין קונמות מפקיעין מידי שיעבוד דאשה או דבעל. אבל אם אשתך נתרצית </w:t>
      </w:r>
      <w:r>
        <w:rPr>
          <w:rFonts w:cs="Arial" w:hint="cs"/>
          <w:rtl/>
        </w:rPr>
        <w:t xml:space="preserve">- </w:t>
      </w:r>
      <w:r w:rsidRPr="000D1B6F">
        <w:rPr>
          <w:rFonts w:cs="Arial"/>
          <w:rtl/>
        </w:rPr>
        <w:t>אתה צריך התרה בשלשה הדיוטות, ולא אוכל להתיר לך אם לא תבא בעצמך, כי על ידי שליח אין להתיר, כדאמרינן פרק קמא דנדרים. ושלום מאיר ב"ר ברוך זלה"ה</w:t>
      </w:r>
      <w:r w:rsidRPr="000D1B6F">
        <w:rPr>
          <w:rFonts w:cs="Arial" w:hint="cs"/>
          <w:rtl/>
        </w:rPr>
        <w:t>.</w:t>
      </w:r>
      <w:r w:rsidRPr="000D1B6F">
        <w:rPr>
          <w:rFonts w:cs="Arial" w:hint="cs"/>
          <w:color w:val="00B0F0"/>
          <w:rtl/>
        </w:rPr>
        <w:t xml:space="preserve"> (וכ"פ הרמ"א)</w:t>
      </w:r>
    </w:p>
    <w:p w14:paraId="49D91DA7" w14:textId="77777777" w:rsidR="002E5BAD" w:rsidRPr="00B558F2" w:rsidRDefault="002E5BAD" w:rsidP="002E5BAD">
      <w:pPr>
        <w:rPr>
          <w:rFonts w:cs="Arial"/>
          <w:u w:val="single"/>
          <w:rtl/>
        </w:rPr>
      </w:pPr>
      <w:r w:rsidRPr="00B558F2">
        <w:rPr>
          <w:rFonts w:cs="Arial" w:hint="cs"/>
          <w:u w:val="single"/>
          <w:rtl/>
        </w:rPr>
        <w:t>האם מותר ל</w:t>
      </w:r>
      <w:r>
        <w:rPr>
          <w:rFonts w:cs="Arial" w:hint="cs"/>
          <w:u w:val="single"/>
          <w:rtl/>
        </w:rPr>
        <w:t>מי</w:t>
      </w:r>
      <w:r w:rsidRPr="00B558F2">
        <w:rPr>
          <w:rFonts w:cs="Arial" w:hint="cs"/>
          <w:u w:val="single"/>
          <w:rtl/>
        </w:rPr>
        <w:t xml:space="preserve"> שהדיר את אשתו מתשמיש המטה להתייחד עמה:</w:t>
      </w:r>
    </w:p>
    <w:p w14:paraId="29537486" w14:textId="77777777" w:rsidR="002E5BAD" w:rsidRPr="00B558F2" w:rsidRDefault="002E5BAD" w:rsidP="002E5BAD">
      <w:pPr>
        <w:pStyle w:val="ab"/>
        <w:numPr>
          <w:ilvl w:val="0"/>
          <w:numId w:val="158"/>
        </w:numPr>
      </w:pPr>
      <w:r w:rsidRPr="00404BCC">
        <w:rPr>
          <w:rFonts w:cs="Arial" w:hint="cs"/>
          <w:rtl/>
        </w:rPr>
        <w:t xml:space="preserve">הגה"מ </w:t>
      </w:r>
      <w:r w:rsidRPr="00404BCC">
        <w:rPr>
          <w:rFonts w:cs="Arial" w:hint="cs"/>
          <w:sz w:val="16"/>
          <w:szCs w:val="16"/>
          <w:rtl/>
        </w:rPr>
        <w:t xml:space="preserve">(פי"ד מאישות </w:t>
      </w:r>
      <w:r w:rsidRPr="00404BCC">
        <w:rPr>
          <w:rFonts w:cs="Arial"/>
          <w:sz w:val="16"/>
          <w:szCs w:val="16"/>
          <w:rtl/>
        </w:rPr>
        <w:t>אות ג)</w:t>
      </w:r>
      <w:r w:rsidRPr="00404BCC">
        <w:rPr>
          <w:rFonts w:cs="Arial" w:hint="cs"/>
          <w:rtl/>
        </w:rPr>
        <w:t xml:space="preserve">- </w:t>
      </w:r>
      <w:r w:rsidRPr="00B558F2">
        <w:rPr>
          <w:rFonts w:cs="Arial"/>
          <w:rtl/>
        </w:rPr>
        <w:t>פסק ריצב"א דמותר להתייחד עמה מק"ו מנדה</w:t>
      </w:r>
      <w:r w:rsidRPr="00B558F2">
        <w:rPr>
          <w:rFonts w:cs="Arial" w:hint="cs"/>
          <w:rtl/>
        </w:rPr>
        <w:t>,</w:t>
      </w:r>
      <w:r w:rsidRPr="00B558F2">
        <w:rPr>
          <w:rFonts w:cs="Arial"/>
          <w:rtl/>
        </w:rPr>
        <w:t xml:space="preserve"> כדאשכחן בפ</w:t>
      </w:r>
      <w:r w:rsidRPr="00B558F2">
        <w:rPr>
          <w:rFonts w:cs="Arial" w:hint="cs"/>
          <w:rtl/>
        </w:rPr>
        <w:t>"ק</w:t>
      </w:r>
      <w:r w:rsidRPr="00B558F2">
        <w:rPr>
          <w:rFonts w:cs="Arial"/>
          <w:rtl/>
        </w:rPr>
        <w:t xml:space="preserve"> דסוטה ומה נדה שהיא בכרת בעלה נאמן עליה סוטה שהיא בלאו לא כ"ש</w:t>
      </w:r>
      <w:r w:rsidRPr="00B558F2">
        <w:rPr>
          <w:rFonts w:cs="Arial" w:hint="cs"/>
          <w:rtl/>
        </w:rPr>
        <w:t>.</w:t>
      </w:r>
      <w:r w:rsidRPr="00B558F2">
        <w:rPr>
          <w:rFonts w:cs="Arial"/>
          <w:rtl/>
        </w:rPr>
        <w:t xml:space="preserve"> ורבנן לא פליגי אלא מטעם לא אם אמרת בנדה שכן יש לה היתר תאמר בסוטה וכו' וא"כ זאת יש לה היתר ע"י ג' הדיוטות דפת בסלו קרינן ביה יתר מנדה דנדה ביומי תלאה רחמנא וזאת כל שעה יכול לשאול על נדרה א"כ אין לבו רודף אחריה אפי' כמו אחר הנדה ע"כ. והרב האריך בתשובה וכתב דלא שייך למימר כאן מי יימר דמיזדקקי ליה בי תלתא לקרותה אין לה היתר ואפילו אם דר בעיר שאין בה ישראל</w:t>
      </w:r>
      <w:r>
        <w:rPr>
          <w:rStyle w:val="a7"/>
          <w:rFonts w:cs="Arial"/>
          <w:rtl/>
        </w:rPr>
        <w:footnoteReference w:id="1274"/>
      </w:r>
      <w:r w:rsidRPr="00404BCC">
        <w:rPr>
          <w:rFonts w:cs="Arial" w:hint="cs"/>
          <w:rtl/>
        </w:rPr>
        <w:t>.</w:t>
      </w:r>
      <w:r>
        <w:rPr>
          <w:rFonts w:cs="Arial" w:hint="cs"/>
          <w:color w:val="00B0F0"/>
          <w:rtl/>
        </w:rPr>
        <w:t xml:space="preserve"> </w:t>
      </w:r>
      <w:r w:rsidRPr="008858D3">
        <w:rPr>
          <w:rFonts w:cs="Arial" w:hint="cs"/>
          <w:color w:val="00B0F0"/>
          <w:rtl/>
        </w:rPr>
        <w:t>(וכ"פ הרמ"א)</w:t>
      </w:r>
      <w:r w:rsidRPr="00B558F2">
        <w:rPr>
          <w:rFonts w:cs="Arial"/>
          <w:rtl/>
        </w:rPr>
        <w:t xml:space="preserve"> </w:t>
      </w:r>
    </w:p>
    <w:p w14:paraId="01A9FEE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1A42BDE" w14:textId="77777777" w:rsidR="002E5BAD" w:rsidRDefault="002E5BAD" w:rsidP="002E5BAD">
      <w:pPr>
        <w:rPr>
          <w:rtl/>
        </w:rPr>
      </w:pPr>
      <w:r>
        <w:rPr>
          <w:rFonts w:cs="Arial"/>
          <w:rtl/>
        </w:rPr>
        <w:t>וכיצד מדירה, שאמר: הנאת תשמישך אסור עלי</w:t>
      </w:r>
      <w:r>
        <w:rPr>
          <w:rFonts w:cs="Arial" w:hint="cs"/>
          <w:rtl/>
        </w:rPr>
        <w:t>.</w:t>
      </w:r>
      <w:r>
        <w:rPr>
          <w:rFonts w:cs="Arial"/>
          <w:rtl/>
        </w:rPr>
        <w:t xml:space="preserve"> אבל אם אמר: הנאת תשמישי עליך, או נשבע שלא לשמש עמה, אינו חל. </w:t>
      </w:r>
      <w:r w:rsidRPr="00B762F2">
        <w:rPr>
          <w:rFonts w:cs="Arial" w:hint="cs"/>
          <w:sz w:val="18"/>
          <w:szCs w:val="18"/>
          <w:rtl/>
        </w:rPr>
        <w:t xml:space="preserve">[הגה] </w:t>
      </w:r>
      <w:r w:rsidRPr="00B762F2">
        <w:rPr>
          <w:rFonts w:cs="Arial"/>
          <w:sz w:val="18"/>
          <w:szCs w:val="18"/>
          <w:rtl/>
        </w:rPr>
        <w:t>מיהו אם נדר ברשותה, הנדר חל, ומותר להתייחד עמה אע</w:t>
      </w:r>
      <w:r>
        <w:rPr>
          <w:rFonts w:cs="Arial" w:hint="cs"/>
          <w:sz w:val="18"/>
          <w:szCs w:val="18"/>
          <w:rtl/>
        </w:rPr>
        <w:t>"</w:t>
      </w:r>
      <w:r w:rsidRPr="00B762F2">
        <w:rPr>
          <w:rFonts w:cs="Arial"/>
          <w:sz w:val="18"/>
          <w:szCs w:val="18"/>
          <w:rtl/>
        </w:rPr>
        <w:t>ג דאסור לשמש עמה (הגה</w:t>
      </w:r>
      <w:r>
        <w:rPr>
          <w:rFonts w:cs="Arial" w:hint="cs"/>
          <w:sz w:val="18"/>
          <w:szCs w:val="18"/>
          <w:rtl/>
        </w:rPr>
        <w:t>"</w:t>
      </w:r>
      <w:r w:rsidRPr="00B762F2">
        <w:rPr>
          <w:rFonts w:cs="Arial"/>
          <w:sz w:val="18"/>
          <w:szCs w:val="18"/>
          <w:rtl/>
        </w:rPr>
        <w:t>מ). ועיין ביו"ד סימן רל"ד סעיף ס"ז.</w:t>
      </w:r>
      <w:r>
        <w:rPr>
          <w:rFonts w:cs="Arial"/>
          <w:rtl/>
        </w:rPr>
        <w:t xml:space="preserve"> </w:t>
      </w:r>
    </w:p>
    <w:p w14:paraId="4233E8F2" w14:textId="77777777" w:rsidR="002E5BAD" w:rsidRDefault="002E5BAD" w:rsidP="002E5BAD">
      <w:pPr>
        <w:rPr>
          <w:rtl/>
        </w:rPr>
      </w:pPr>
    </w:p>
    <w:p w14:paraId="5C7C76AF" w14:textId="77777777" w:rsidR="002E5BAD" w:rsidRDefault="002E5BAD" w:rsidP="002E5BAD">
      <w:pPr>
        <w:pStyle w:val="2"/>
        <w:rPr>
          <w:rtl/>
        </w:rPr>
      </w:pPr>
      <w:r>
        <w:rPr>
          <w:rtl/>
        </w:rPr>
        <w:t>סעיף יא</w:t>
      </w:r>
      <w:r>
        <w:rPr>
          <w:rFonts w:hint="cs"/>
          <w:rtl/>
        </w:rPr>
        <w:t>: בעל שמנע מאשתו את עונתה.</w:t>
      </w:r>
    </w:p>
    <w:p w14:paraId="2DE2118F" w14:textId="77777777" w:rsidR="002E5BAD" w:rsidRPr="0036300B" w:rsidRDefault="002E5BAD" w:rsidP="002E5BAD">
      <w:pPr>
        <w:rPr>
          <w:u w:val="single"/>
          <w:rtl/>
        </w:rPr>
      </w:pPr>
      <w:r w:rsidRPr="0036300B">
        <w:rPr>
          <w:rFonts w:hint="cs"/>
          <w:u w:val="single"/>
          <w:rtl/>
        </w:rPr>
        <w:t>בעל שמנע מאשתו את עונתה:</w:t>
      </w:r>
    </w:p>
    <w:p w14:paraId="54C869B3" w14:textId="77777777" w:rsidR="002E5BAD" w:rsidRDefault="002E5BAD" w:rsidP="002E5BAD">
      <w:pPr>
        <w:pStyle w:val="ab"/>
        <w:numPr>
          <w:ilvl w:val="0"/>
          <w:numId w:val="136"/>
        </w:numPr>
        <w:rPr>
          <w:rFonts w:cs="Arial"/>
        </w:rPr>
      </w:pPr>
      <w:r>
        <w:rPr>
          <w:rFonts w:cs="Arial" w:hint="cs"/>
          <w:rtl/>
        </w:rPr>
        <w:lastRenderedPageBreak/>
        <w:t xml:space="preserve">רמב"ם </w:t>
      </w:r>
      <w:r>
        <w:rPr>
          <w:rFonts w:cs="Arial" w:hint="cs"/>
          <w:sz w:val="16"/>
          <w:szCs w:val="16"/>
          <w:rtl/>
        </w:rPr>
        <w:t>(פי"ד מאישות ה"ז)</w:t>
      </w:r>
      <w:r>
        <w:rPr>
          <w:rFonts w:cs="Arial" w:hint="cs"/>
          <w:rtl/>
        </w:rPr>
        <w:t xml:space="preserve"> וטור- </w:t>
      </w:r>
      <w:r w:rsidRPr="000D1B6F">
        <w:rPr>
          <w:rFonts w:cs="Arial"/>
          <w:rtl/>
        </w:rPr>
        <w:t>אסור לאדם למנוע אשתו מעונתה ואם מנע כדי לצערה עבר בלא תעשה שבתורה שנאמר שארה כסותה ועונתה לא יגרע, ואם חלה או תשש כחו ואינו יכול לבעול ימתין ששה חדשים עד שיבריא שאין לך עונה גדולה מזו ואחר כך או יטול ממנה רשות או יוציא ויתן כתובה</w:t>
      </w:r>
      <w:r>
        <w:rPr>
          <w:rStyle w:val="a7"/>
          <w:rFonts w:cs="Arial"/>
          <w:rtl/>
        </w:rPr>
        <w:footnoteReference w:id="1275"/>
      </w:r>
      <w:r>
        <w:rPr>
          <w:rFonts w:cs="Arial" w:hint="cs"/>
          <w:sz w:val="16"/>
          <w:szCs w:val="16"/>
          <w:rtl/>
        </w:rPr>
        <w:t xml:space="preserve"> (ל' הרמב"ם)</w:t>
      </w:r>
      <w:r>
        <w:rPr>
          <w:rFonts w:cs="Arial" w:hint="cs"/>
          <w:rtl/>
        </w:rPr>
        <w:t>.</w:t>
      </w:r>
      <w:r w:rsidRPr="007D3451">
        <w:rPr>
          <w:rFonts w:cs="Arial"/>
          <w:rtl/>
        </w:rPr>
        <w:t xml:space="preserve"> </w:t>
      </w:r>
      <w:r w:rsidRPr="000A3BE3">
        <w:rPr>
          <w:rFonts w:hint="cs"/>
          <w:color w:val="E36C0A" w:themeColor="accent6" w:themeShade="BF"/>
          <w:rtl/>
        </w:rPr>
        <w:t>(וכ"פ בשו"ע</w:t>
      </w:r>
      <w:r>
        <w:rPr>
          <w:rFonts w:hint="cs"/>
          <w:color w:val="E36C0A" w:themeColor="accent6" w:themeShade="BF"/>
          <w:rtl/>
        </w:rPr>
        <w:t>)</w:t>
      </w:r>
    </w:p>
    <w:p w14:paraId="278BCE3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97229A8" w14:textId="77777777" w:rsidR="002E5BAD" w:rsidRDefault="002E5BAD" w:rsidP="002E5BAD">
      <w:pPr>
        <w:rPr>
          <w:rtl/>
        </w:rPr>
      </w:pPr>
      <w:r>
        <w:rPr>
          <w:rFonts w:cs="Arial"/>
          <w:rtl/>
        </w:rPr>
        <w:t>אסור לאדם למנוע מאשתו עונתה</w:t>
      </w:r>
      <w:r>
        <w:rPr>
          <w:rFonts w:cs="Arial" w:hint="cs"/>
          <w:rtl/>
        </w:rPr>
        <w:t>.</w:t>
      </w:r>
      <w:r>
        <w:rPr>
          <w:rFonts w:cs="Arial"/>
          <w:rtl/>
        </w:rPr>
        <w:t xml:space="preserve"> ואם מנעה כדי לצערה, עובר בלא תעשה דעונתה לא יגרע </w:t>
      </w:r>
      <w:r w:rsidRPr="005A2954">
        <w:rPr>
          <w:rFonts w:cs="Arial"/>
          <w:sz w:val="16"/>
          <w:szCs w:val="16"/>
          <w:rtl/>
        </w:rPr>
        <w:t>(שמות כא, י)</w:t>
      </w:r>
      <w:r>
        <w:rPr>
          <w:rFonts w:cs="Arial" w:hint="cs"/>
          <w:rtl/>
        </w:rPr>
        <w:t>.</w:t>
      </w:r>
      <w:r>
        <w:rPr>
          <w:rFonts w:cs="Arial"/>
          <w:rtl/>
        </w:rPr>
        <w:t xml:space="preserve"> ואם חלה או תשש כחו ואינו יכול לבעול, ימתין ששה חדשים עד שיבריא, שאין לך עונה גדולה מזו, אחר כך, או יטול ממנה רשות או יוציא ויתן כתובה. </w:t>
      </w:r>
    </w:p>
    <w:p w14:paraId="6BB4F589" w14:textId="77777777" w:rsidR="002E5BAD" w:rsidRDefault="002E5BAD" w:rsidP="002E5BAD">
      <w:pPr>
        <w:rPr>
          <w:rtl/>
        </w:rPr>
      </w:pPr>
    </w:p>
    <w:p w14:paraId="183C6B01" w14:textId="77777777" w:rsidR="002E5BAD" w:rsidRDefault="002E5BAD" w:rsidP="002E5BAD">
      <w:pPr>
        <w:pStyle w:val="2"/>
        <w:rPr>
          <w:rtl/>
        </w:rPr>
      </w:pPr>
      <w:r>
        <w:rPr>
          <w:rtl/>
        </w:rPr>
        <w:t>סעיף יב</w:t>
      </w:r>
      <w:r>
        <w:rPr>
          <w:rFonts w:hint="cs"/>
          <w:rtl/>
        </w:rPr>
        <w:t>: בעל שמוכן להפר נדר אשתו על מנת שתעשה מעשה שוטים.</w:t>
      </w:r>
    </w:p>
    <w:p w14:paraId="60E1BDEF" w14:textId="77777777" w:rsidR="002E5BAD" w:rsidRPr="00370379" w:rsidRDefault="002E5BAD" w:rsidP="002E5BAD">
      <w:pPr>
        <w:rPr>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w:t>
      </w:r>
      <w:r>
        <w:rPr>
          <w:rFonts w:cs="Arial" w:hint="cs"/>
          <w:b/>
          <w:bCs/>
          <w:rtl/>
        </w:rPr>
        <w:t>א</w:t>
      </w:r>
      <w:r w:rsidRPr="006C3CF4">
        <w:rPr>
          <w:rFonts w:cs="Arial" w:hint="cs"/>
          <w:b/>
          <w:bCs/>
          <w:rtl/>
        </w:rPr>
        <w:t xml:space="preserve"> ע"</w:t>
      </w:r>
      <w:r>
        <w:rPr>
          <w:rFonts w:cs="Arial" w:hint="cs"/>
          <w:b/>
          <w:bCs/>
          <w:rtl/>
        </w:rPr>
        <w:t>א</w:t>
      </w:r>
      <w:r w:rsidRPr="006C3CF4">
        <w:rPr>
          <w:rFonts w:cs="Arial" w:hint="cs"/>
          <w:b/>
          <w:bCs/>
          <w:rtl/>
        </w:rPr>
        <w:t xml:space="preserve">: </w:t>
      </w:r>
      <w:r w:rsidRPr="005D047B">
        <w:rPr>
          <w:rFonts w:cs="Arial"/>
          <w:u w:val="double"/>
          <w:rtl/>
        </w:rPr>
        <w:t>מתני'</w:t>
      </w:r>
      <w:r>
        <w:rPr>
          <w:rFonts w:cs="Arial" w:hint="cs"/>
          <w:rtl/>
        </w:rPr>
        <w:t>:</w:t>
      </w:r>
      <w:r w:rsidRPr="00257B6C">
        <w:rPr>
          <w:rtl/>
        </w:rPr>
        <w:t xml:space="preserve"> </w:t>
      </w:r>
      <w:r w:rsidRPr="00257B6C">
        <w:rPr>
          <w:rFonts w:cs="Arial"/>
          <w:rtl/>
        </w:rPr>
        <w:t>המדיר את אשתו</w:t>
      </w:r>
      <w:r>
        <w:rPr>
          <w:rFonts w:cs="Arial" w:hint="cs"/>
          <w:rtl/>
        </w:rPr>
        <w:t xml:space="preserve">... </w:t>
      </w:r>
      <w:r w:rsidRPr="00257B6C">
        <w:rPr>
          <w:rFonts w:cs="Arial"/>
          <w:rtl/>
        </w:rPr>
        <w:t>אמר לה ע"מ שתאמרי לפלוני מה שאמרת לי או מה שאמרתי לך, או שתהא ממלאה ומערה לאשפה - יוציא ויתן כתובה.</w:t>
      </w:r>
      <w:r>
        <w:rPr>
          <w:rFonts w:hint="cs"/>
          <w:rtl/>
        </w:rPr>
        <w:t xml:space="preserve">     </w:t>
      </w:r>
      <w:r w:rsidRPr="00257B6C">
        <w:rPr>
          <w:rFonts w:hint="cs"/>
          <w:u w:val="double"/>
          <w:rtl/>
        </w:rPr>
        <w:t>גמ'</w:t>
      </w:r>
      <w:r w:rsidRPr="00257B6C">
        <w:rPr>
          <w:rFonts w:hint="cs"/>
          <w:sz w:val="14"/>
          <w:szCs w:val="14"/>
          <w:u w:val="double"/>
          <w:rtl/>
        </w:rPr>
        <w:t>(עב.)</w:t>
      </w:r>
      <w:r w:rsidRPr="00257B6C">
        <w:rPr>
          <w:rFonts w:hint="cs"/>
          <w:u w:val="double"/>
          <w:rtl/>
        </w:rPr>
        <w:t>:</w:t>
      </w:r>
      <w:r w:rsidRPr="00257B6C">
        <w:rPr>
          <w:rtl/>
        </w:rPr>
        <w:t xml:space="preserve"> </w:t>
      </w:r>
      <w:r w:rsidRPr="00257B6C">
        <w:rPr>
          <w:rFonts w:cs="Arial"/>
          <w:rtl/>
        </w:rPr>
        <w:t xml:space="preserve">ואם אמר לה ע"מ שתאמרי. ותימא! </w:t>
      </w:r>
      <w:r w:rsidRPr="00257B6C">
        <w:rPr>
          <w:rFonts w:cs="Arial"/>
          <w:u w:val="single"/>
          <w:rtl/>
        </w:rPr>
        <w:t>אמר רב יהודה אמר שמואל</w:t>
      </w:r>
      <w:r w:rsidRPr="00257B6C">
        <w:rPr>
          <w:rFonts w:cs="Arial"/>
          <w:rtl/>
        </w:rPr>
        <w:t>: דברים של קלון.</w:t>
      </w:r>
      <w:r w:rsidRPr="00257B6C">
        <w:rPr>
          <w:rtl/>
        </w:rPr>
        <w:t xml:space="preserve"> </w:t>
      </w:r>
      <w:r w:rsidRPr="00257B6C">
        <w:rPr>
          <w:rFonts w:cs="Arial"/>
          <w:rtl/>
        </w:rPr>
        <w:t xml:space="preserve">או שתהא ממלאה ומערה לאשפה. ותיעביד! </w:t>
      </w:r>
      <w:r w:rsidRPr="00B22D30">
        <w:rPr>
          <w:rFonts w:cs="Arial"/>
          <w:u w:val="single"/>
          <w:rtl/>
        </w:rPr>
        <w:t>א"ר יהודה אמר שמואל</w:t>
      </w:r>
      <w:r w:rsidRPr="00257B6C">
        <w:rPr>
          <w:rFonts w:cs="Arial"/>
          <w:rtl/>
        </w:rPr>
        <w:t>: שתמלא ונופצת</w:t>
      </w:r>
      <w:r>
        <w:rPr>
          <w:rStyle w:val="a7"/>
          <w:rFonts w:cs="Arial"/>
          <w:rtl/>
        </w:rPr>
        <w:footnoteReference w:id="1276"/>
      </w:r>
      <w:r w:rsidRPr="00257B6C">
        <w:rPr>
          <w:rFonts w:cs="Arial"/>
          <w:rtl/>
        </w:rPr>
        <w:t xml:space="preserve">. במתניתא תנא: שתמלא עשרה כדי מים ותערה לאשפה. בשלמא לשמואל, משום הכי יוציא ויתן כתובה, אלא למתניתא, מאי נפקא לה מינה? תיעביד! </w:t>
      </w:r>
      <w:r w:rsidRPr="00B22D30">
        <w:rPr>
          <w:rFonts w:cs="Arial"/>
          <w:u w:val="single"/>
          <w:rtl/>
        </w:rPr>
        <w:t>אמר רבה בר בר חנה אמר רבי יוחנן</w:t>
      </w:r>
      <w:r w:rsidRPr="00257B6C">
        <w:rPr>
          <w:rFonts w:cs="Arial"/>
          <w:rtl/>
        </w:rPr>
        <w:t>: מפני שנראית כשוטה.</w:t>
      </w:r>
      <w:r w:rsidRPr="00B22D30">
        <w:rPr>
          <w:rFonts w:cs="Arial"/>
          <w:sz w:val="16"/>
          <w:szCs w:val="16"/>
          <w:rtl/>
        </w:rPr>
        <w:t xml:space="preserve"> </w:t>
      </w:r>
      <w:r>
        <w:rPr>
          <w:rFonts w:cs="Arial" w:hint="cs"/>
          <w:sz w:val="16"/>
          <w:szCs w:val="16"/>
          <w:rtl/>
        </w:rPr>
        <w:t>(</w:t>
      </w:r>
      <w:r w:rsidRPr="00B22D30">
        <w:rPr>
          <w:rFonts w:cs="Arial"/>
          <w:sz w:val="16"/>
          <w:szCs w:val="16"/>
          <w:rtl/>
        </w:rPr>
        <w:t>וכתבו הרי"ף (שם) והרא"ש (סי' ז) והרמב"ם ז"ל (פי"ד ה"ה) אוקמתא דרב יהודה ואוקמתא דמתני' למימרא דתרווייהו איתנהו דמר אמר חדא ומר אמר חדא ולא פליגי וכך הם דברי רבינו</w:t>
      </w:r>
      <w:r>
        <w:rPr>
          <w:rFonts w:cs="Arial" w:hint="cs"/>
          <w:sz w:val="16"/>
          <w:szCs w:val="16"/>
          <w:rtl/>
        </w:rPr>
        <w:t>, ב"י)</w:t>
      </w:r>
    </w:p>
    <w:p w14:paraId="4F4058FC" w14:textId="77777777" w:rsidR="002E5BAD" w:rsidRPr="0036300B" w:rsidRDefault="002E5BAD" w:rsidP="002E5BAD">
      <w:pPr>
        <w:rPr>
          <w:u w:val="single"/>
          <w:rtl/>
        </w:rPr>
      </w:pPr>
      <w:r w:rsidRPr="0036300B">
        <w:rPr>
          <w:rFonts w:hint="cs"/>
          <w:u w:val="single"/>
          <w:rtl/>
        </w:rPr>
        <w:t>בעל שמוכן להפר נדר אשתו על מנת שתעשה מעשה שוטים:</w:t>
      </w:r>
    </w:p>
    <w:p w14:paraId="72A2893F" w14:textId="77777777" w:rsidR="002E5BAD" w:rsidRPr="008D7E9D" w:rsidRDefault="002E5BAD" w:rsidP="002E5BAD">
      <w:pPr>
        <w:pStyle w:val="ab"/>
        <w:numPr>
          <w:ilvl w:val="0"/>
          <w:numId w:val="136"/>
        </w:numPr>
        <w:rPr>
          <w:rFonts w:cs="Arial"/>
          <w:rtl/>
        </w:rPr>
      </w:pPr>
      <w:r>
        <w:rPr>
          <w:rFonts w:cs="Arial" w:hint="cs"/>
          <w:rtl/>
        </w:rPr>
        <w:t>רמב"ם</w:t>
      </w:r>
      <w:r>
        <w:rPr>
          <w:rStyle w:val="a7"/>
          <w:rFonts w:cs="Arial"/>
          <w:rtl/>
        </w:rPr>
        <w:footnoteReference w:id="1277"/>
      </w:r>
      <w:r>
        <w:rPr>
          <w:rFonts w:cs="Arial" w:hint="cs"/>
          <w:rtl/>
        </w:rPr>
        <w:t xml:space="preserve"> </w:t>
      </w:r>
      <w:r>
        <w:rPr>
          <w:rFonts w:cs="Arial" w:hint="cs"/>
          <w:sz w:val="16"/>
          <w:szCs w:val="16"/>
          <w:rtl/>
        </w:rPr>
        <w:t>(פי"ד מאישות ה"ה)</w:t>
      </w:r>
      <w:r>
        <w:rPr>
          <w:rFonts w:cs="Arial" w:hint="cs"/>
          <w:rtl/>
        </w:rPr>
        <w:t xml:space="preserve"> וטור- </w:t>
      </w:r>
      <w:r w:rsidRPr="007D3451">
        <w:rPr>
          <w:rFonts w:cs="Arial"/>
          <w:rtl/>
        </w:rPr>
        <w:t>האשה שנדרה</w:t>
      </w:r>
      <w:r>
        <w:rPr>
          <w:rStyle w:val="a7"/>
          <w:rFonts w:cs="Arial"/>
          <w:rtl/>
        </w:rPr>
        <w:footnoteReference w:id="1278"/>
      </w:r>
      <w:r w:rsidRPr="007D3451">
        <w:rPr>
          <w:rFonts w:cs="Arial"/>
          <w:rtl/>
        </w:rPr>
        <w:t xml:space="preserve"> נדר של עינוי נפש או מדברים שבינו לבינה</w:t>
      </w:r>
      <w:r>
        <w:rPr>
          <w:rFonts w:cs="Arial" w:hint="cs"/>
          <w:rtl/>
        </w:rPr>
        <w:t>,</w:t>
      </w:r>
      <w:r w:rsidRPr="007D3451">
        <w:rPr>
          <w:rFonts w:cs="Arial"/>
          <w:rtl/>
        </w:rPr>
        <w:t xml:space="preserve"> שעליו להפר</w:t>
      </w:r>
      <w:r>
        <w:rPr>
          <w:rFonts w:cs="Arial" w:hint="cs"/>
          <w:rtl/>
        </w:rPr>
        <w:t>,</w:t>
      </w:r>
      <w:r w:rsidRPr="007D3451">
        <w:rPr>
          <w:rFonts w:cs="Arial"/>
          <w:rtl/>
        </w:rPr>
        <w:t xml:space="preserve"> ואמר לה </w:t>
      </w:r>
      <w:r>
        <w:rPr>
          <w:rFonts w:cs="Arial" w:hint="cs"/>
          <w:rtl/>
        </w:rPr>
        <w:t>'</w:t>
      </w:r>
      <w:r w:rsidRPr="007D3451">
        <w:rPr>
          <w:rFonts w:cs="Arial"/>
          <w:rtl/>
        </w:rPr>
        <w:t>אני מיפר לך על מנת שתאמר</w:t>
      </w:r>
      <w:r>
        <w:rPr>
          <w:rFonts w:cs="Arial" w:hint="cs"/>
          <w:rtl/>
        </w:rPr>
        <w:t>י</w:t>
      </w:r>
      <w:r w:rsidRPr="007D3451">
        <w:rPr>
          <w:rFonts w:cs="Arial"/>
          <w:rtl/>
        </w:rPr>
        <w:t xml:space="preserve"> לפלוני מה שדברנו יחד בדברים של שחוק שאדם מדבר על עסקי תשמיש</w:t>
      </w:r>
      <w:r>
        <w:rPr>
          <w:rFonts w:cs="Arial" w:hint="cs"/>
          <w:rtl/>
        </w:rPr>
        <w:t>'</w:t>
      </w:r>
      <w:r w:rsidRPr="007D3451">
        <w:rPr>
          <w:rFonts w:cs="Arial"/>
          <w:rtl/>
        </w:rPr>
        <w:t xml:space="preserve"> </w:t>
      </w:r>
      <w:r>
        <w:rPr>
          <w:rFonts w:cs="Arial" w:hint="cs"/>
          <w:rtl/>
        </w:rPr>
        <w:t xml:space="preserve">- </w:t>
      </w:r>
      <w:r w:rsidRPr="007D3451">
        <w:rPr>
          <w:rFonts w:cs="Arial"/>
          <w:rtl/>
        </w:rPr>
        <w:t>הרי זה יוציא ויתן כתובה</w:t>
      </w:r>
      <w:r>
        <w:rPr>
          <w:rFonts w:cs="Arial" w:hint="cs"/>
          <w:rtl/>
        </w:rPr>
        <w:t>,</w:t>
      </w:r>
      <w:r w:rsidRPr="007D3451">
        <w:rPr>
          <w:rFonts w:cs="Arial"/>
          <w:rtl/>
        </w:rPr>
        <w:t xml:space="preserve"> שאינה יכולה להעיז פניה ולומר אלו הדברים ונמצא שלא הותר הנדר</w:t>
      </w:r>
      <w:r>
        <w:rPr>
          <w:rFonts w:cs="Arial" w:hint="cs"/>
          <w:rtl/>
        </w:rPr>
        <w:t>.</w:t>
      </w:r>
      <w:r w:rsidRPr="007D3451">
        <w:rPr>
          <w:rFonts w:cs="Arial"/>
          <w:rtl/>
        </w:rPr>
        <w:t xml:space="preserve"> וכן אם אמר ע"מ שתתהפך בשעה תשמיש כדי שלא תתעבר</w:t>
      </w:r>
      <w:r>
        <w:rPr>
          <w:rFonts w:cs="Arial" w:hint="cs"/>
          <w:rtl/>
        </w:rPr>
        <w:t>,</w:t>
      </w:r>
      <w:r w:rsidRPr="007D3451">
        <w:rPr>
          <w:rFonts w:cs="Arial"/>
          <w:rtl/>
        </w:rPr>
        <w:t xml:space="preserve"> או ע"מ שתעשה מעשה שוטים כגון שתמלא עשרה כדי מים ותערה לאשפה</w:t>
      </w:r>
      <w:r>
        <w:rPr>
          <w:rFonts w:cs="Arial" w:hint="cs"/>
          <w:rtl/>
        </w:rPr>
        <w:t>,</w:t>
      </w:r>
      <w:r w:rsidRPr="007D3451">
        <w:rPr>
          <w:rFonts w:cs="Arial"/>
          <w:rtl/>
        </w:rPr>
        <w:t xml:space="preserve"> וכיוצא באלו </w:t>
      </w:r>
      <w:r>
        <w:rPr>
          <w:rFonts w:cs="Arial" w:hint="cs"/>
          <w:rtl/>
        </w:rPr>
        <w:t xml:space="preserve">- </w:t>
      </w:r>
      <w:r w:rsidRPr="007D3451">
        <w:rPr>
          <w:rFonts w:cs="Arial"/>
          <w:rtl/>
        </w:rPr>
        <w:t>יוציא ויתן כתובה</w:t>
      </w:r>
      <w:r>
        <w:rPr>
          <w:rFonts w:cs="Arial" w:hint="cs"/>
          <w:rtl/>
        </w:rPr>
        <w:t>.</w:t>
      </w:r>
      <w:r w:rsidRPr="007D3451">
        <w:rPr>
          <w:rFonts w:cs="Arial"/>
          <w:rtl/>
        </w:rPr>
        <w:t xml:space="preserve"> </w:t>
      </w:r>
      <w:r w:rsidRPr="000A3BE3">
        <w:rPr>
          <w:rFonts w:hint="cs"/>
          <w:color w:val="E36C0A" w:themeColor="accent6" w:themeShade="BF"/>
          <w:rtl/>
        </w:rPr>
        <w:t>(וכ"פ בשו"ע</w:t>
      </w:r>
      <w:r>
        <w:rPr>
          <w:rFonts w:hint="cs"/>
          <w:color w:val="E36C0A" w:themeColor="accent6" w:themeShade="BF"/>
          <w:rtl/>
        </w:rPr>
        <w:t>)</w:t>
      </w:r>
      <w:r w:rsidRPr="008D7E9D">
        <w:rPr>
          <w:rFonts w:cs="Arial" w:hint="cs"/>
          <w:color w:val="00B0F0"/>
          <w:rtl/>
        </w:rPr>
        <w:t xml:space="preserve"> (כ"פ הרמ"א)</w:t>
      </w:r>
    </w:p>
    <w:p w14:paraId="60781D9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B13EC50" w14:textId="77777777" w:rsidR="002E5BAD" w:rsidRDefault="002E5BAD" w:rsidP="002E5BAD">
      <w:pPr>
        <w:rPr>
          <w:rtl/>
        </w:rPr>
      </w:pPr>
      <w:r>
        <w:rPr>
          <w:rFonts w:cs="Arial"/>
          <w:rtl/>
        </w:rPr>
        <w:t>האשה שנדרה נדר של עינוי נפש, או מדברים שבינו לבינה, שיכול להפר, ואמר לה: אני מיפר לך ע</w:t>
      </w:r>
      <w:r>
        <w:rPr>
          <w:rFonts w:cs="Arial" w:hint="cs"/>
          <w:rtl/>
        </w:rPr>
        <w:t xml:space="preserve">ל </w:t>
      </w:r>
      <w:r>
        <w:rPr>
          <w:rFonts w:cs="Arial"/>
          <w:rtl/>
        </w:rPr>
        <w:t>מ</w:t>
      </w:r>
      <w:r>
        <w:rPr>
          <w:rFonts w:cs="Arial" w:hint="cs"/>
          <w:rtl/>
        </w:rPr>
        <w:t>נת</w:t>
      </w:r>
      <w:r>
        <w:rPr>
          <w:rFonts w:cs="Arial"/>
          <w:rtl/>
        </w:rPr>
        <w:t xml:space="preserve"> שתאמרי לפלוני מה שדברנו יחד בדברים של שחוק שאדם מדבר על עסקי תשמיש, או על מנת </w:t>
      </w:r>
      <w:r>
        <w:rPr>
          <w:rFonts w:cs="Arial" w:hint="cs"/>
          <w:sz w:val="18"/>
          <w:szCs w:val="18"/>
          <w:rtl/>
        </w:rPr>
        <w:t xml:space="preserve">[הגה] </w:t>
      </w:r>
      <w:r w:rsidRPr="008D7E9D">
        <w:rPr>
          <w:rFonts w:cs="Arial"/>
          <w:sz w:val="18"/>
          <w:szCs w:val="18"/>
          <w:rtl/>
        </w:rPr>
        <w:t>שתתהפך לאחר התשמיש ולא תתעבר (טור), או על מנת</w:t>
      </w:r>
      <w:r>
        <w:rPr>
          <w:rFonts w:cs="Arial" w:hint="cs"/>
          <w:sz w:val="18"/>
          <w:szCs w:val="18"/>
          <w:rtl/>
        </w:rPr>
        <w:t>.</w:t>
      </w:r>
      <w:r w:rsidRPr="008D7E9D">
        <w:rPr>
          <w:rFonts w:cs="Arial"/>
          <w:sz w:val="18"/>
          <w:szCs w:val="18"/>
          <w:rtl/>
        </w:rPr>
        <w:t xml:space="preserve"> </w:t>
      </w:r>
      <w:r>
        <w:rPr>
          <w:rFonts w:cs="Arial"/>
          <w:rtl/>
        </w:rPr>
        <w:t xml:space="preserve">שתעשה מעשה שוטים, כגון שתמלא י' כדי מים ותערם לאשפה וכיוצא באלו, יוציא מיד ויתן כתובה. </w:t>
      </w:r>
    </w:p>
    <w:p w14:paraId="465DBDAF" w14:textId="77777777" w:rsidR="002E5BAD" w:rsidRDefault="002E5BAD" w:rsidP="002E5BAD">
      <w:pPr>
        <w:rPr>
          <w:rtl/>
        </w:rPr>
      </w:pPr>
    </w:p>
    <w:p w14:paraId="1542CFE6" w14:textId="77777777" w:rsidR="002E5BAD" w:rsidRDefault="002E5BAD" w:rsidP="002E5BAD">
      <w:pPr>
        <w:pStyle w:val="2"/>
        <w:rPr>
          <w:rtl/>
        </w:rPr>
      </w:pPr>
      <w:r>
        <w:rPr>
          <w:rtl/>
        </w:rPr>
        <w:lastRenderedPageBreak/>
        <w:t>סעיף יג</w:t>
      </w:r>
      <w:r>
        <w:rPr>
          <w:rFonts w:hint="cs"/>
          <w:rtl/>
        </w:rPr>
        <w:t xml:space="preserve">: הרוצה לשמש כשהוא בבגדיו </w:t>
      </w:r>
      <w:r w:rsidRPr="00B762F2">
        <w:rPr>
          <w:rFonts w:hint="cs"/>
          <w:sz w:val="18"/>
          <w:szCs w:val="18"/>
          <w:rtl/>
        </w:rPr>
        <w:t>(וכן להפך)</w:t>
      </w:r>
      <w:r>
        <w:rPr>
          <w:rFonts w:hint="cs"/>
          <w:rtl/>
        </w:rPr>
        <w:t>.</w:t>
      </w:r>
    </w:p>
    <w:p w14:paraId="3F2E5E8E" w14:textId="77777777" w:rsidR="002E5BAD" w:rsidRDefault="002E5BAD" w:rsidP="002E5BAD">
      <w:pPr>
        <w:rPr>
          <w:rFonts w:cs="Arial"/>
          <w:rtl/>
        </w:rPr>
      </w:pPr>
      <w:r w:rsidRPr="003D067B">
        <w:rPr>
          <w:rFonts w:hint="cs"/>
          <w:b/>
          <w:bCs/>
          <w:rtl/>
        </w:rPr>
        <w:t xml:space="preserve">כתובות </w:t>
      </w:r>
      <w:r w:rsidRPr="003D067B">
        <w:rPr>
          <w:rFonts w:hint="cs"/>
          <w:b/>
          <w:bCs/>
          <w:sz w:val="16"/>
          <w:szCs w:val="16"/>
          <w:rtl/>
        </w:rPr>
        <w:t>(פ' נערה שנתפתתה)</w:t>
      </w:r>
      <w:r w:rsidRPr="003D067B">
        <w:rPr>
          <w:rFonts w:hint="cs"/>
          <w:b/>
          <w:bCs/>
          <w:rtl/>
        </w:rPr>
        <w:t xml:space="preserve"> מח ע"א:</w:t>
      </w:r>
      <w:r>
        <w:rPr>
          <w:rFonts w:hint="cs"/>
          <w:rtl/>
        </w:rPr>
        <w:t xml:space="preserve"> </w:t>
      </w:r>
      <w:r w:rsidRPr="0036300B">
        <w:rPr>
          <w:rFonts w:cs="Arial"/>
          <w:u w:val="single"/>
          <w:rtl/>
        </w:rPr>
        <w:t>תני רב יוסף</w:t>
      </w:r>
      <w:r w:rsidRPr="0036300B">
        <w:rPr>
          <w:rFonts w:cs="Arial"/>
          <w:rtl/>
        </w:rPr>
        <w:t>:</w:t>
      </w:r>
      <w:r>
        <w:rPr>
          <w:rFonts w:cs="Arial" w:hint="cs"/>
          <w:rtl/>
        </w:rPr>
        <w:t xml:space="preserve">... </w:t>
      </w:r>
      <w:r w:rsidRPr="0036300B">
        <w:rPr>
          <w:rFonts w:cs="Arial"/>
          <w:rtl/>
        </w:rPr>
        <w:t xml:space="preserve">שלא ינהג בה מנהג פרסיים, שמשמשין מטותיהן בלבושיהן. מסייע ליה לרב הונא, </w:t>
      </w:r>
      <w:r w:rsidRPr="0036300B">
        <w:rPr>
          <w:rFonts w:cs="Arial"/>
          <w:u w:val="single"/>
          <w:rtl/>
        </w:rPr>
        <w:t>דאמר רב הונא</w:t>
      </w:r>
      <w:r w:rsidRPr="0036300B">
        <w:rPr>
          <w:rFonts w:cs="Arial"/>
          <w:rtl/>
        </w:rPr>
        <w:t>: האומר אי אפשי אלא אני בבגדי והיא בבגדה - יוציא ונותן כתובה.</w:t>
      </w:r>
      <w:r w:rsidRPr="00E943BA">
        <w:rPr>
          <w:rFonts w:cs="Arial"/>
          <w:sz w:val="16"/>
          <w:szCs w:val="16"/>
          <w:rtl/>
        </w:rPr>
        <w:t xml:space="preserve"> </w:t>
      </w:r>
      <w:r w:rsidRPr="00E943BA">
        <w:rPr>
          <w:rFonts w:cs="Arial" w:hint="cs"/>
          <w:sz w:val="16"/>
          <w:szCs w:val="16"/>
          <w:rtl/>
        </w:rPr>
        <w:t>(</w:t>
      </w:r>
      <w:r w:rsidRPr="00E943BA">
        <w:rPr>
          <w:rFonts w:cs="Arial"/>
          <w:sz w:val="16"/>
          <w:szCs w:val="16"/>
          <w:rtl/>
        </w:rPr>
        <w:t>פירוש ואף על פי שעושה כן לצניעות, וה"ה כשהיא אומרת כן מורדת מתשמיש חשיבא שאין דרך חיבה, וכל שכן בשאינו נזקק לה כלל שיוציא ויתן כתובה וכדכתיבנא בשילהי נדרים</w:t>
      </w:r>
      <w:r w:rsidRPr="00E943BA">
        <w:rPr>
          <w:rFonts w:cs="Arial" w:hint="cs"/>
          <w:sz w:val="16"/>
          <w:szCs w:val="16"/>
          <w:rtl/>
        </w:rPr>
        <w:t>, ריטב"א (מח. ד"ה כל האומר)</w:t>
      </w:r>
      <w:r>
        <w:rPr>
          <w:rFonts w:cs="Arial" w:hint="cs"/>
          <w:sz w:val="16"/>
          <w:szCs w:val="16"/>
          <w:rtl/>
        </w:rPr>
        <w:t xml:space="preserve">. </w:t>
      </w:r>
      <w:r w:rsidRPr="00E943BA">
        <w:rPr>
          <w:rFonts w:cs="Arial" w:hint="cs"/>
          <w:color w:val="E36C0A" w:themeColor="accent6" w:themeShade="BF"/>
          <w:sz w:val="16"/>
          <w:szCs w:val="16"/>
          <w:rtl/>
        </w:rPr>
        <w:t>וכ"פ בשו"ע</w:t>
      </w:r>
      <w:r>
        <w:rPr>
          <w:rFonts w:cs="Arial" w:hint="cs"/>
          <w:sz w:val="16"/>
          <w:szCs w:val="16"/>
          <w:rtl/>
        </w:rPr>
        <w:t xml:space="preserve">. </w:t>
      </w:r>
      <w:r w:rsidRPr="00E943BA">
        <w:rPr>
          <w:rFonts w:cs="Arial" w:hint="cs"/>
          <w:color w:val="00B0F0"/>
          <w:sz w:val="16"/>
          <w:szCs w:val="16"/>
          <w:rtl/>
        </w:rPr>
        <w:t>וכ"פ הרמ"א</w:t>
      </w:r>
      <w:r w:rsidRPr="00E943BA">
        <w:rPr>
          <w:rFonts w:cs="Arial" w:hint="cs"/>
          <w:sz w:val="16"/>
          <w:szCs w:val="16"/>
          <w:rtl/>
        </w:rPr>
        <w:t>)</w:t>
      </w:r>
    </w:p>
    <w:p w14:paraId="70EE49A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08D2E65" w14:textId="77777777" w:rsidR="002E5BAD" w:rsidRPr="006F6308" w:rsidRDefault="002E5BAD" w:rsidP="002E5BAD">
      <w:pPr>
        <w:rPr>
          <w:rtl/>
        </w:rPr>
      </w:pPr>
      <w:r>
        <w:rPr>
          <w:rFonts w:cs="Arial"/>
          <w:rtl/>
        </w:rPr>
        <w:t>האומר: אי אפשי אלא אני בבגדי והיא בבגדה, יוציא ויתן כתובה; וכ</w:t>
      </w:r>
      <w:r>
        <w:rPr>
          <w:rFonts w:cs="Arial" w:hint="cs"/>
          <w:rtl/>
        </w:rPr>
        <w:t xml:space="preserve">ל </w:t>
      </w:r>
      <w:r>
        <w:rPr>
          <w:rFonts w:cs="Arial"/>
          <w:rtl/>
        </w:rPr>
        <w:t>ש</w:t>
      </w:r>
      <w:r>
        <w:rPr>
          <w:rFonts w:cs="Arial" w:hint="cs"/>
          <w:rtl/>
        </w:rPr>
        <w:t>כן</w:t>
      </w:r>
      <w:r>
        <w:rPr>
          <w:rFonts w:cs="Arial"/>
          <w:rtl/>
        </w:rPr>
        <w:t xml:space="preserve"> אם אינו נזקק לה כלל. </w:t>
      </w:r>
      <w:r>
        <w:rPr>
          <w:rFonts w:cs="Arial" w:hint="cs"/>
          <w:sz w:val="18"/>
          <w:szCs w:val="18"/>
          <w:rtl/>
        </w:rPr>
        <w:t xml:space="preserve">[הגה] </w:t>
      </w:r>
      <w:r w:rsidRPr="00B762F2">
        <w:rPr>
          <w:rFonts w:cs="Arial"/>
          <w:sz w:val="18"/>
          <w:szCs w:val="18"/>
          <w:rtl/>
        </w:rPr>
        <w:t>וכן היא אומרת: אי אפשי אלא אני בבגדי והוא בבגדו, תצא בלא כתובה (נ</w:t>
      </w:r>
      <w:r>
        <w:rPr>
          <w:rFonts w:cs="Arial" w:hint="cs"/>
          <w:sz w:val="18"/>
          <w:szCs w:val="18"/>
          <w:rtl/>
        </w:rPr>
        <w:t>מוק</w:t>
      </w:r>
      <w:r w:rsidRPr="00B762F2">
        <w:rPr>
          <w:rFonts w:cs="Arial"/>
          <w:sz w:val="18"/>
          <w:szCs w:val="18"/>
          <w:rtl/>
        </w:rPr>
        <w:t>"י בשם הריטב"א).</w:t>
      </w:r>
    </w:p>
    <w:p w14:paraId="4339832D" w14:textId="77777777" w:rsidR="002E5BAD" w:rsidRPr="006F6308" w:rsidRDefault="002E5BAD" w:rsidP="002E5BAD">
      <w:pPr>
        <w:rPr>
          <w:rFonts w:asciiTheme="minorBidi" w:hAnsiTheme="minorBidi"/>
          <w:b/>
          <w:bCs/>
          <w:color w:val="000000"/>
          <w:sz w:val="28"/>
          <w:szCs w:val="28"/>
          <w:u w:val="single"/>
          <w:rtl/>
        </w:rPr>
        <w:sectPr w:rsidR="002E5BAD" w:rsidRPr="006F6308" w:rsidSect="00A347B3">
          <w:headerReference w:type="default" r:id="rId32"/>
          <w:footnotePr>
            <w:numRestart w:val="eachPage"/>
          </w:footnotePr>
          <w:pgSz w:w="11906" w:h="16838"/>
          <w:pgMar w:top="720" w:right="1134" w:bottom="720" w:left="1134" w:header="0" w:footer="0" w:gutter="0"/>
          <w:cols w:space="720"/>
          <w:bidi/>
          <w:rtlGutter/>
          <w:docGrid w:linePitch="360"/>
        </w:sectPr>
      </w:pPr>
    </w:p>
    <w:p w14:paraId="106A2ED1" w14:textId="77777777" w:rsidR="002E5BAD" w:rsidRPr="005A2954" w:rsidRDefault="002E5BAD" w:rsidP="002E5BAD">
      <w:pPr>
        <w:pStyle w:val="1"/>
        <w:rPr>
          <w:rtl/>
        </w:rPr>
      </w:pPr>
      <w:r>
        <w:rPr>
          <w:rFonts w:hint="cs"/>
          <w:rtl/>
        </w:rPr>
        <w:lastRenderedPageBreak/>
        <w:t>סימן עז:</w:t>
      </w:r>
      <w:r w:rsidRPr="00C12B74">
        <w:rPr>
          <w:rtl/>
        </w:rPr>
        <w:t xml:space="preserve"> </w:t>
      </w:r>
      <w:r>
        <w:rPr>
          <w:rFonts w:cs="Arial"/>
          <w:rtl/>
        </w:rPr>
        <w:t xml:space="preserve">דין מורד ומורדת, או אומרת: מאיס עלי, ובו ה' סעיפים. </w:t>
      </w:r>
    </w:p>
    <w:p w14:paraId="5492C238" w14:textId="77777777" w:rsidR="002E5BAD" w:rsidRDefault="002E5BAD" w:rsidP="002E5BAD">
      <w:pPr>
        <w:pStyle w:val="2"/>
        <w:rPr>
          <w:rtl/>
        </w:rPr>
      </w:pPr>
      <w:r>
        <w:rPr>
          <w:rtl/>
        </w:rPr>
        <w:t>סעיף א</w:t>
      </w:r>
      <w:r>
        <w:rPr>
          <w:rFonts w:hint="cs"/>
          <w:rtl/>
        </w:rPr>
        <w:t>: מורד על אשתו.</w:t>
      </w:r>
    </w:p>
    <w:p w14:paraId="1D31C453" w14:textId="77777777" w:rsidR="002E5BAD" w:rsidRDefault="002E5BAD" w:rsidP="002E5BA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סג</w:t>
      </w:r>
      <w:r w:rsidRPr="00AA00D2">
        <w:rPr>
          <w:rFonts w:cs="Arial" w:hint="cs"/>
          <w:b/>
          <w:bCs/>
          <w:rtl/>
        </w:rPr>
        <w:t xml:space="preserve"> ע"</w:t>
      </w:r>
      <w:r>
        <w:rPr>
          <w:rFonts w:cs="Arial" w:hint="cs"/>
          <w:b/>
          <w:bCs/>
          <w:rtl/>
        </w:rPr>
        <w:t>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Pr>
          <w:rFonts w:cs="Arial" w:hint="cs"/>
          <w:rtl/>
        </w:rPr>
        <w:t>...</w:t>
      </w:r>
      <w:r w:rsidRPr="003D067B">
        <w:rPr>
          <w:rFonts w:cs="Arial"/>
          <w:rtl/>
        </w:rPr>
        <w:t xml:space="preserve"> וכן המורד על אשתו - מוסיפין על כתובתה שלשה דינרין</w:t>
      </w:r>
      <w:r>
        <w:rPr>
          <w:rStyle w:val="a7"/>
          <w:rFonts w:cs="Arial"/>
          <w:rtl/>
        </w:rPr>
        <w:footnoteReference w:id="1279"/>
      </w:r>
      <w:r w:rsidRPr="003D067B">
        <w:rPr>
          <w:rFonts w:cs="Arial"/>
          <w:rtl/>
        </w:rPr>
        <w:t xml:space="preserve"> בשבת, </w:t>
      </w:r>
      <w:r w:rsidRPr="00416F56">
        <w:rPr>
          <w:rFonts w:cs="Arial"/>
          <w:u w:val="single"/>
          <w:rtl/>
        </w:rPr>
        <w:t>ר' יהודה אומר</w:t>
      </w:r>
      <w:r w:rsidRPr="003D067B">
        <w:rPr>
          <w:rFonts w:cs="Arial"/>
          <w:rtl/>
        </w:rPr>
        <w:t>: שלשה טרפעיקין.</w:t>
      </w:r>
      <w:r>
        <w:rPr>
          <w:rFonts w:cs="Arial" w:hint="cs"/>
          <w:rtl/>
        </w:rPr>
        <w:t xml:space="preserve">        </w:t>
      </w:r>
      <w:r w:rsidRPr="003D067B">
        <w:rPr>
          <w:rFonts w:cs="Arial" w:hint="cs"/>
          <w:u w:val="double"/>
          <w:rtl/>
        </w:rPr>
        <w:t>גמ'</w:t>
      </w:r>
      <w:r>
        <w:rPr>
          <w:rFonts w:cs="Arial" w:hint="cs"/>
          <w:rtl/>
        </w:rPr>
        <w:t>:</w:t>
      </w:r>
      <w:r w:rsidRPr="003D067B">
        <w:rPr>
          <w:rtl/>
        </w:rPr>
        <w:t xml:space="preserve"> </w:t>
      </w:r>
      <w:r w:rsidRPr="003D067B">
        <w:rPr>
          <w:rFonts w:cs="Arial"/>
          <w:rtl/>
        </w:rPr>
        <w:t xml:space="preserve">מורדת ממאי? </w:t>
      </w:r>
      <w:r w:rsidRPr="003D067B">
        <w:rPr>
          <w:rFonts w:cs="Arial"/>
          <w:u w:val="single"/>
          <w:rtl/>
        </w:rPr>
        <w:t>רב הונא אמר</w:t>
      </w:r>
      <w:r w:rsidRPr="003D067B">
        <w:rPr>
          <w:rFonts w:cs="Arial"/>
          <w:rtl/>
        </w:rPr>
        <w:t>: מתשמיש המטה</w:t>
      </w:r>
      <w:r>
        <w:rPr>
          <w:rFonts w:cs="Arial" w:hint="cs"/>
          <w:rtl/>
        </w:rPr>
        <w:t>.</w:t>
      </w:r>
      <w:r w:rsidRPr="003D067B">
        <w:rPr>
          <w:rFonts w:cs="Arial"/>
          <w:rtl/>
        </w:rPr>
        <w:t xml:space="preserve"> </w:t>
      </w:r>
      <w:r w:rsidRPr="003D067B">
        <w:rPr>
          <w:rFonts w:cs="Arial"/>
          <w:u w:val="single"/>
          <w:rtl/>
        </w:rPr>
        <w:t>ר' יוסי ברבי חנינא אמר</w:t>
      </w:r>
      <w:r w:rsidRPr="003D067B">
        <w:rPr>
          <w:rFonts w:cs="Arial"/>
          <w:rtl/>
        </w:rPr>
        <w:t>: ממלאכה. תנן: וכן המורד על אשתו</w:t>
      </w:r>
      <w:r>
        <w:rPr>
          <w:rFonts w:cs="Arial" w:hint="cs"/>
          <w:rtl/>
        </w:rPr>
        <w:t>.</w:t>
      </w:r>
      <w:r w:rsidRPr="003D067B">
        <w:rPr>
          <w:rFonts w:cs="Arial"/>
          <w:rtl/>
        </w:rPr>
        <w:t xml:space="preserve"> בשלמא למ"ד מתשמיש - לחיי, אלא למאן דאמר ממלאכה - מי משועבד לה? אין, באומר איני זן ואיני מפרנס. והאמר רב: האומר איני זן ואיני מפרנס - יוציא ויתן כתובה</w:t>
      </w:r>
      <w:r>
        <w:rPr>
          <w:rStyle w:val="a7"/>
          <w:rFonts w:cs="Arial"/>
          <w:rtl/>
        </w:rPr>
        <w:footnoteReference w:id="1280"/>
      </w:r>
      <w:r w:rsidRPr="003D067B">
        <w:rPr>
          <w:rFonts w:cs="Arial"/>
          <w:rtl/>
        </w:rPr>
        <w:t>! ולאו לאמלוכי ביה בעי</w:t>
      </w:r>
      <w:r>
        <w:rPr>
          <w:rStyle w:val="a7"/>
          <w:rFonts w:cs="Arial"/>
          <w:rtl/>
        </w:rPr>
        <w:footnoteReference w:id="1281"/>
      </w:r>
      <w:r w:rsidRPr="003D067B">
        <w:rPr>
          <w:rFonts w:cs="Arial"/>
          <w:rtl/>
        </w:rPr>
        <w:t>?</w:t>
      </w:r>
      <w:r>
        <w:rPr>
          <w:rFonts w:cs="Arial" w:hint="cs"/>
          <w:rtl/>
        </w:rPr>
        <w:t>.</w:t>
      </w:r>
    </w:p>
    <w:p w14:paraId="19455FCC" w14:textId="77777777" w:rsidR="002E5BAD" w:rsidRPr="00635D6D" w:rsidRDefault="002E5BAD" w:rsidP="002E5BAD">
      <w:pPr>
        <w:rPr>
          <w:rFonts w:cs="Arial"/>
          <w:u w:val="single"/>
          <w:rtl/>
        </w:rPr>
      </w:pPr>
      <w:r w:rsidRPr="00635D6D">
        <w:rPr>
          <w:rFonts w:cs="Arial" w:hint="cs"/>
          <w:u w:val="single"/>
          <w:rtl/>
        </w:rPr>
        <w:t>מורד על אשתו:</w:t>
      </w:r>
    </w:p>
    <w:p w14:paraId="1578DF11" w14:textId="77777777" w:rsidR="002E5BAD" w:rsidRDefault="002E5BAD" w:rsidP="002E5BAD">
      <w:pPr>
        <w:pStyle w:val="ab"/>
        <w:numPr>
          <w:ilvl w:val="0"/>
          <w:numId w:val="158"/>
        </w:numPr>
        <w:rPr>
          <w:rFonts w:cs="Arial"/>
        </w:rPr>
      </w:pPr>
      <w:r w:rsidRPr="00A74C2B">
        <w:rPr>
          <w:rFonts w:cs="Arial"/>
          <w:rtl/>
        </w:rPr>
        <w:t xml:space="preserve">רא"ש </w:t>
      </w:r>
      <w:r w:rsidRPr="00416F56">
        <w:rPr>
          <w:rFonts w:cs="Arial"/>
          <w:sz w:val="16"/>
          <w:szCs w:val="16"/>
          <w:rtl/>
        </w:rPr>
        <w:t>(</w:t>
      </w:r>
      <w:r>
        <w:rPr>
          <w:rFonts w:cs="Arial" w:hint="cs"/>
          <w:sz w:val="16"/>
          <w:szCs w:val="16"/>
          <w:rtl/>
        </w:rPr>
        <w:t xml:space="preserve">פ"ה </w:t>
      </w:r>
      <w:r w:rsidRPr="00416F56">
        <w:rPr>
          <w:rFonts w:cs="Arial"/>
          <w:sz w:val="16"/>
          <w:szCs w:val="16"/>
          <w:rtl/>
        </w:rPr>
        <w:t>סי' לב)</w:t>
      </w:r>
      <w:r>
        <w:rPr>
          <w:rFonts w:cs="Arial" w:hint="cs"/>
          <w:rtl/>
        </w:rPr>
        <w:t xml:space="preserve"> וטור- </w:t>
      </w:r>
      <w:r w:rsidRPr="00897A64">
        <w:rPr>
          <w:rFonts w:cs="Arial"/>
          <w:rtl/>
        </w:rPr>
        <w:t>המורד על אשתו שאינו רוצה לשמש עמה</w:t>
      </w:r>
      <w:r>
        <w:rPr>
          <w:rFonts w:cs="Arial" w:hint="cs"/>
          <w:rtl/>
        </w:rPr>
        <w:t>,</w:t>
      </w:r>
      <w:r w:rsidRPr="00897A64">
        <w:rPr>
          <w:rFonts w:cs="Arial"/>
          <w:rtl/>
        </w:rPr>
        <w:t xml:space="preserve"> או שאינו רוצה לזונה</w:t>
      </w:r>
      <w:r>
        <w:rPr>
          <w:rFonts w:cs="Arial" w:hint="cs"/>
          <w:rtl/>
        </w:rPr>
        <w:t>,</w:t>
      </w:r>
      <w:r w:rsidRPr="00897A64">
        <w:rPr>
          <w:rFonts w:cs="Arial"/>
          <w:rtl/>
        </w:rPr>
        <w:t xml:space="preserve"> אם היא רוצה כופין אותו מיד</w:t>
      </w:r>
      <w:r>
        <w:rPr>
          <w:rStyle w:val="a7"/>
          <w:rFonts w:cs="Arial"/>
          <w:rtl/>
        </w:rPr>
        <w:footnoteReference w:id="1282"/>
      </w:r>
      <w:r w:rsidRPr="00897A64">
        <w:rPr>
          <w:rFonts w:cs="Arial"/>
          <w:rtl/>
        </w:rPr>
        <w:t xml:space="preserve"> להוציא וליתן כתוב</w:t>
      </w:r>
      <w:r>
        <w:rPr>
          <w:rFonts w:cs="Arial" w:hint="cs"/>
          <w:rtl/>
        </w:rPr>
        <w:t>ה.</w:t>
      </w:r>
      <w:r w:rsidRPr="00897A64">
        <w:rPr>
          <w:rFonts w:cs="Arial"/>
          <w:rtl/>
        </w:rPr>
        <w:t xml:space="preserve"> ואם היא רוצה להמתין אולי יחזור בו</w:t>
      </w:r>
      <w:r>
        <w:rPr>
          <w:rFonts w:cs="Arial" w:hint="cs"/>
          <w:rtl/>
        </w:rPr>
        <w:t>,</w:t>
      </w:r>
      <w:r w:rsidRPr="00897A64">
        <w:rPr>
          <w:rFonts w:cs="Arial"/>
          <w:rtl/>
        </w:rPr>
        <w:t xml:space="preserve"> ממתינין לו</w:t>
      </w:r>
      <w:r>
        <w:rPr>
          <w:rStyle w:val="a7"/>
          <w:rFonts w:cs="Arial"/>
          <w:rtl/>
        </w:rPr>
        <w:footnoteReference w:id="1283"/>
      </w:r>
      <w:r w:rsidRPr="00897A64">
        <w:rPr>
          <w:rFonts w:cs="Arial"/>
          <w:rtl/>
        </w:rPr>
        <w:t xml:space="preserve"> ומוסיפין לה על כתובתה לכל שבוע ג' דינרין שהן ל"ו שעורים של כסף</w:t>
      </w:r>
      <w:r>
        <w:rPr>
          <w:rFonts w:cs="Arial" w:hint="cs"/>
          <w:rtl/>
        </w:rPr>
        <w:t>.</w:t>
      </w:r>
      <w:r w:rsidRPr="00897A64">
        <w:rPr>
          <w:rFonts w:cs="Arial"/>
          <w:rtl/>
        </w:rPr>
        <w:t xml:space="preserve"> וכל ימי עומדו במורדו כופין אותו לזונה ואפ"ה מוסיפין לה על כתובתה</w:t>
      </w:r>
      <w:r>
        <w:rPr>
          <w:rFonts w:cs="Arial" w:hint="cs"/>
          <w:sz w:val="16"/>
          <w:szCs w:val="16"/>
          <w:rtl/>
        </w:rPr>
        <w:t xml:space="preserve"> (ל' הטור)</w:t>
      </w:r>
      <w:r>
        <w:rPr>
          <w:rFonts w:cs="Arial" w:hint="cs"/>
          <w:rtl/>
        </w:rPr>
        <w:t>.</w:t>
      </w:r>
      <w:r w:rsidRPr="00897A64">
        <w:rPr>
          <w:rFonts w:cs="Arial"/>
          <w:rtl/>
        </w:rPr>
        <w:t xml:space="preserve"> </w:t>
      </w:r>
    </w:p>
    <w:p w14:paraId="59124D5D" w14:textId="77777777" w:rsidR="002E5BAD" w:rsidRPr="00F5024F" w:rsidRDefault="002E5BAD" w:rsidP="002E5BAD">
      <w:pPr>
        <w:pStyle w:val="ab"/>
        <w:numPr>
          <w:ilvl w:val="0"/>
          <w:numId w:val="158"/>
        </w:numPr>
        <w:rPr>
          <w:rFonts w:cs="Arial"/>
          <w:rtl/>
        </w:rPr>
      </w:pPr>
      <w:r w:rsidRPr="00D71625">
        <w:rPr>
          <w:rFonts w:cs="Arial"/>
          <w:rtl/>
        </w:rPr>
        <w:t xml:space="preserve">רמב"ם </w:t>
      </w:r>
      <w:r w:rsidRPr="00D71625">
        <w:rPr>
          <w:rFonts w:cs="Arial"/>
          <w:sz w:val="16"/>
          <w:szCs w:val="16"/>
          <w:rtl/>
        </w:rPr>
        <w:t>(פי"ד מאישות הט"ו)</w:t>
      </w:r>
      <w:r w:rsidRPr="00D71625">
        <w:rPr>
          <w:rFonts w:cs="Arial" w:hint="cs"/>
          <w:rtl/>
        </w:rPr>
        <w:t xml:space="preserve">- </w:t>
      </w:r>
      <w:r w:rsidRPr="00D71625">
        <w:rPr>
          <w:rFonts w:cs="Arial"/>
          <w:rtl/>
        </w:rPr>
        <w:t>המורד על אשתו ואמר הריני זן ומפרנס אבל איני בא עליה מפני ששנאתיה</w:t>
      </w:r>
      <w:r>
        <w:rPr>
          <w:rFonts w:cs="Arial" w:hint="cs"/>
          <w:rtl/>
        </w:rPr>
        <w:t xml:space="preserve"> -</w:t>
      </w:r>
      <w:r w:rsidRPr="00D71625">
        <w:rPr>
          <w:rFonts w:cs="Arial"/>
          <w:rtl/>
        </w:rPr>
        <w:t xml:space="preserve"> מוסיפין לה על כתובתה</w:t>
      </w:r>
      <w:r>
        <w:rPr>
          <w:rStyle w:val="a7"/>
          <w:rFonts w:cs="Arial"/>
          <w:rtl/>
        </w:rPr>
        <w:footnoteReference w:id="1284"/>
      </w:r>
      <w:r w:rsidRPr="00D71625">
        <w:rPr>
          <w:rFonts w:cs="Arial"/>
          <w:rtl/>
        </w:rPr>
        <w:t xml:space="preserve"> משקל שש ושלשים שעורה של כסף בכל שבת ושבת</w:t>
      </w:r>
      <w:r>
        <w:rPr>
          <w:rFonts w:cs="Arial" w:hint="cs"/>
          <w:rtl/>
        </w:rPr>
        <w:t>,</w:t>
      </w:r>
      <w:r w:rsidRPr="00D71625">
        <w:rPr>
          <w:rFonts w:cs="Arial"/>
          <w:rtl/>
        </w:rPr>
        <w:t xml:space="preserve"> וישב ולא ישמש כל זמן שתרצה היא לישב</w:t>
      </w:r>
      <w:r>
        <w:rPr>
          <w:rFonts w:cs="Arial" w:hint="cs"/>
          <w:rtl/>
        </w:rPr>
        <w:t>.</w:t>
      </w:r>
      <w:r w:rsidRPr="00D71625">
        <w:rPr>
          <w:rFonts w:cs="Arial"/>
          <w:rtl/>
        </w:rPr>
        <w:t xml:space="preserve"> ואף על פי שכתובתה הולכת ונוספת הרי הוא עובר בלא תעשה</w:t>
      </w:r>
      <w:r>
        <w:rPr>
          <w:rFonts w:cs="Arial" w:hint="cs"/>
          <w:rtl/>
        </w:rPr>
        <w:t>,</w:t>
      </w:r>
      <w:r w:rsidRPr="00D71625">
        <w:rPr>
          <w:rFonts w:cs="Arial"/>
          <w:rtl/>
        </w:rPr>
        <w:t xml:space="preserve"> שנ</w:t>
      </w:r>
      <w:r>
        <w:rPr>
          <w:rFonts w:cs="Arial" w:hint="cs"/>
          <w:rtl/>
        </w:rPr>
        <w:t>אמר</w:t>
      </w:r>
      <w:r w:rsidRPr="00D71625">
        <w:rPr>
          <w:rFonts w:cs="Arial"/>
          <w:sz w:val="16"/>
          <w:szCs w:val="16"/>
          <w:rtl/>
        </w:rPr>
        <w:t xml:space="preserve"> </w:t>
      </w:r>
      <w:r w:rsidRPr="00D71625">
        <w:rPr>
          <w:rFonts w:cs="Arial" w:hint="cs"/>
          <w:sz w:val="16"/>
          <w:szCs w:val="16"/>
          <w:rtl/>
        </w:rPr>
        <w:t>(</w:t>
      </w:r>
      <w:r w:rsidRPr="00D71625">
        <w:rPr>
          <w:rFonts w:cs="Arial"/>
          <w:sz w:val="16"/>
          <w:szCs w:val="16"/>
          <w:rtl/>
        </w:rPr>
        <w:t>שמות כא</w:t>
      </w:r>
      <w:r>
        <w:rPr>
          <w:rFonts w:cs="Arial" w:hint="cs"/>
          <w:sz w:val="16"/>
          <w:szCs w:val="16"/>
          <w:rtl/>
        </w:rPr>
        <w:t>, י</w:t>
      </w:r>
      <w:r w:rsidRPr="00D71625">
        <w:rPr>
          <w:rFonts w:cs="Arial" w:hint="cs"/>
          <w:sz w:val="16"/>
          <w:szCs w:val="16"/>
          <w:rtl/>
        </w:rPr>
        <w:t>)</w:t>
      </w:r>
      <w:r w:rsidRPr="00D71625">
        <w:rPr>
          <w:rFonts w:cs="Arial"/>
          <w:rtl/>
        </w:rPr>
        <w:t xml:space="preserve"> לא יגרע, שאם שנא ישלח אבל לענות אסור</w:t>
      </w:r>
      <w:r>
        <w:rPr>
          <w:rStyle w:val="a7"/>
          <w:rtl/>
        </w:rPr>
        <w:footnoteReference w:id="1285"/>
      </w:r>
      <w:r>
        <w:rPr>
          <w:rFonts w:cs="Arial" w:hint="cs"/>
          <w:rtl/>
        </w:rPr>
        <w:t>.</w:t>
      </w:r>
      <w:r w:rsidRPr="00D71625">
        <w:rPr>
          <w:rFonts w:cs="Arial"/>
          <w:rtl/>
        </w:rPr>
        <w:t xml:space="preserve"> ולמה לא ילקה על לאו זה</w:t>
      </w:r>
      <w:r>
        <w:rPr>
          <w:rFonts w:cs="Arial" w:hint="cs"/>
          <w:rtl/>
        </w:rPr>
        <w:t>,</w:t>
      </w:r>
      <w:r w:rsidRPr="00D71625">
        <w:rPr>
          <w:rFonts w:cs="Arial"/>
          <w:rtl/>
        </w:rPr>
        <w:t xml:space="preserve"> מפני שאין בו מעשה</w:t>
      </w:r>
      <w:r>
        <w:rPr>
          <w:rFonts w:cs="Arial" w:hint="cs"/>
          <w:rtl/>
        </w:rPr>
        <w:t>.</w:t>
      </w:r>
      <w:r w:rsidRPr="005A6BAC">
        <w:rPr>
          <w:rFonts w:hint="cs"/>
          <w:color w:val="E36C0A" w:themeColor="accent6" w:themeShade="BF"/>
          <w:rtl/>
        </w:rPr>
        <w:t xml:space="preserve"> </w:t>
      </w:r>
      <w:r w:rsidRPr="000A3BE3">
        <w:rPr>
          <w:rFonts w:hint="cs"/>
          <w:color w:val="E36C0A" w:themeColor="accent6" w:themeShade="BF"/>
          <w:rtl/>
        </w:rPr>
        <w:t>(וכ"פ בשו"ע</w:t>
      </w:r>
      <w:r>
        <w:rPr>
          <w:rFonts w:hint="cs"/>
          <w:color w:val="E36C0A" w:themeColor="accent6" w:themeShade="BF"/>
          <w:rtl/>
        </w:rPr>
        <w:t>)</w:t>
      </w:r>
    </w:p>
    <w:p w14:paraId="2E2EDFD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74E535C" w14:textId="77777777" w:rsidR="002E5BAD" w:rsidRDefault="002E5BAD" w:rsidP="002E5BAD">
      <w:pPr>
        <w:rPr>
          <w:rtl/>
        </w:rPr>
      </w:pPr>
      <w:r>
        <w:rPr>
          <w:rFonts w:cs="Arial"/>
          <w:rtl/>
        </w:rPr>
        <w:t>המורד על אשתו ואמר: הריני זן ומפרנס אבל איני בא עליה מפני ששנאתיה, מוסיפין לה על כתובתה משקל ל"ו שעורים של כסף בכל שבוע, וישב ולא ישמש כל זמן שתרצה היא לישב</w:t>
      </w:r>
      <w:r>
        <w:rPr>
          <w:rFonts w:cs="Arial" w:hint="cs"/>
          <w:rtl/>
        </w:rPr>
        <w:t>.</w:t>
      </w:r>
      <w:r>
        <w:rPr>
          <w:rFonts w:cs="Arial"/>
          <w:rtl/>
        </w:rPr>
        <w:t xml:space="preserve"> ואף על פי שכתובתה הולכת ונוספת, הרי הוא עובר בל</w:t>
      </w:r>
      <w:r>
        <w:rPr>
          <w:rFonts w:cs="Arial" w:hint="cs"/>
          <w:rtl/>
        </w:rPr>
        <w:t xml:space="preserve">א </w:t>
      </w:r>
      <w:r>
        <w:rPr>
          <w:rFonts w:cs="Arial"/>
          <w:rtl/>
        </w:rPr>
        <w:t>ת</w:t>
      </w:r>
      <w:r>
        <w:rPr>
          <w:rFonts w:cs="Arial" w:hint="cs"/>
          <w:rtl/>
        </w:rPr>
        <w:t>עשה</w:t>
      </w:r>
      <w:r>
        <w:rPr>
          <w:rFonts w:cs="Arial"/>
          <w:rtl/>
        </w:rPr>
        <w:t>, שנא</w:t>
      </w:r>
      <w:r>
        <w:rPr>
          <w:rFonts w:cs="Arial" w:hint="cs"/>
          <w:rtl/>
        </w:rPr>
        <w:t>מר</w:t>
      </w:r>
      <w:r>
        <w:rPr>
          <w:rFonts w:cs="Arial"/>
          <w:rtl/>
        </w:rPr>
        <w:t xml:space="preserve">: לא יגרע </w:t>
      </w:r>
      <w:r w:rsidRPr="005A6BAC">
        <w:rPr>
          <w:rFonts w:cs="Arial"/>
          <w:sz w:val="16"/>
          <w:szCs w:val="16"/>
          <w:rtl/>
        </w:rPr>
        <w:t>(שמות כא, י)</w:t>
      </w:r>
      <w:r>
        <w:rPr>
          <w:rFonts w:cs="Arial" w:hint="cs"/>
          <w:rtl/>
        </w:rPr>
        <w:t>.</w:t>
      </w:r>
      <w:r>
        <w:rPr>
          <w:rFonts w:cs="Arial"/>
          <w:rtl/>
        </w:rPr>
        <w:t xml:space="preserve"> ואם היא רוצה, כופין אותו מיד להוציא וליתן כתובה. </w:t>
      </w:r>
      <w:r>
        <w:rPr>
          <w:rFonts w:cs="Arial" w:hint="cs"/>
          <w:sz w:val="18"/>
          <w:szCs w:val="18"/>
          <w:rtl/>
        </w:rPr>
        <w:t xml:space="preserve">[הגה] </w:t>
      </w:r>
      <w:r w:rsidRPr="004C403E">
        <w:rPr>
          <w:rFonts w:cs="Arial"/>
          <w:sz w:val="18"/>
          <w:szCs w:val="18"/>
          <w:rtl/>
        </w:rPr>
        <w:t>י"א דאם רוצה לגרש מיד וליתן לה הכתובה, אין מוסיפין לה על כתובתה (</w:t>
      </w:r>
      <w:r>
        <w:rPr>
          <w:rFonts w:cs="Arial" w:hint="cs"/>
          <w:sz w:val="18"/>
          <w:szCs w:val="18"/>
          <w:rtl/>
        </w:rPr>
        <w:t>ד"ע ב</w:t>
      </w:r>
      <w:r w:rsidRPr="004C403E">
        <w:rPr>
          <w:rFonts w:cs="Arial"/>
          <w:sz w:val="18"/>
          <w:szCs w:val="18"/>
          <w:rtl/>
        </w:rPr>
        <w:t>רמב"ם</w:t>
      </w:r>
      <w:r>
        <w:rPr>
          <w:rFonts w:cs="Arial" w:hint="cs"/>
          <w:sz w:val="18"/>
          <w:szCs w:val="18"/>
          <w:rtl/>
        </w:rPr>
        <w:t xml:space="preserve"> ובהג' הרי"ף</w:t>
      </w:r>
      <w:r w:rsidRPr="004C403E">
        <w:rPr>
          <w:rFonts w:cs="Arial"/>
          <w:sz w:val="18"/>
          <w:szCs w:val="18"/>
          <w:rtl/>
        </w:rPr>
        <w:t>)</w:t>
      </w:r>
      <w:r>
        <w:rPr>
          <w:rFonts w:cs="Arial" w:hint="cs"/>
          <w:sz w:val="18"/>
          <w:szCs w:val="18"/>
          <w:rtl/>
        </w:rPr>
        <w:t>.</w:t>
      </w:r>
      <w:r w:rsidRPr="004C403E">
        <w:rPr>
          <w:rFonts w:cs="Arial"/>
          <w:sz w:val="18"/>
          <w:szCs w:val="18"/>
          <w:rtl/>
        </w:rPr>
        <w:t xml:space="preserve"> ונ"ל דאף בלאו דלא יגרע אינו עובר. </w:t>
      </w:r>
    </w:p>
    <w:p w14:paraId="72E0CDDB" w14:textId="77777777" w:rsidR="002E5BAD" w:rsidRDefault="002E5BAD" w:rsidP="002E5BAD">
      <w:pPr>
        <w:rPr>
          <w:rtl/>
        </w:rPr>
      </w:pPr>
    </w:p>
    <w:p w14:paraId="354637CE" w14:textId="77777777" w:rsidR="002E5BAD" w:rsidRDefault="002E5BAD" w:rsidP="002E5BAD">
      <w:pPr>
        <w:pStyle w:val="2"/>
        <w:rPr>
          <w:rtl/>
        </w:rPr>
      </w:pPr>
      <w:r>
        <w:rPr>
          <w:rtl/>
        </w:rPr>
        <w:t>סעיף ב</w:t>
      </w:r>
      <w:r>
        <w:rPr>
          <w:rFonts w:hint="cs"/>
          <w:rtl/>
        </w:rPr>
        <w:t>: מורדת על בעלה.</w:t>
      </w:r>
    </w:p>
    <w:p w14:paraId="61D7AD61" w14:textId="77777777" w:rsidR="002E5BAD" w:rsidRPr="00530F9D" w:rsidRDefault="002E5BAD" w:rsidP="002E5BAD">
      <w:pPr>
        <w:rPr>
          <w:rFonts w:cs="Arial"/>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ע"א</w:t>
      </w:r>
      <w:r w:rsidRPr="005A6BAC">
        <w:rPr>
          <w:rFonts w:cs="Arial"/>
          <w:b/>
          <w:bCs/>
          <w:rtl/>
        </w:rPr>
        <w:t>:</w:t>
      </w:r>
      <w:r w:rsidRPr="005A6BAC">
        <w:rPr>
          <w:rFonts w:cs="Arial" w:hint="cs"/>
          <w:rtl/>
        </w:rPr>
        <w:t xml:space="preserve"> </w:t>
      </w:r>
      <w:r w:rsidRPr="005A6BAC">
        <w:rPr>
          <w:rFonts w:cs="Arial"/>
          <w:u w:val="double"/>
          <w:rtl/>
        </w:rPr>
        <w:t>מתני'</w:t>
      </w:r>
      <w:r w:rsidRPr="005A6BAC">
        <w:rPr>
          <w:rFonts w:cs="Arial" w:hint="cs"/>
          <w:rtl/>
        </w:rPr>
        <w:t>:</w:t>
      </w:r>
      <w:r w:rsidRPr="005A6BAC">
        <w:rPr>
          <w:rtl/>
        </w:rPr>
        <w:t xml:space="preserve"> </w:t>
      </w:r>
      <w:r w:rsidRPr="005A6BAC">
        <w:rPr>
          <w:rFonts w:cs="Arial"/>
          <w:rtl/>
        </w:rPr>
        <w:t>המורדת על בעלה - פוחתין לה מכתובתה שבעה דינרין בשבת</w:t>
      </w:r>
      <w:r>
        <w:rPr>
          <w:rFonts w:cs="Arial" w:hint="cs"/>
          <w:rtl/>
        </w:rPr>
        <w:t>.</w:t>
      </w:r>
      <w:r w:rsidRPr="005A6BAC">
        <w:rPr>
          <w:rFonts w:cs="Arial"/>
          <w:rtl/>
        </w:rPr>
        <w:t xml:space="preserve"> </w:t>
      </w:r>
      <w:r w:rsidRPr="005A6BAC">
        <w:rPr>
          <w:rFonts w:cs="Arial"/>
          <w:u w:val="single"/>
          <w:rtl/>
        </w:rPr>
        <w:t>ר' יהודה אומר</w:t>
      </w:r>
      <w:r w:rsidRPr="005A6BAC">
        <w:rPr>
          <w:rFonts w:cs="Arial"/>
          <w:rtl/>
        </w:rPr>
        <w:t>: שבעה טרפעיקין. עד מתי הוא פוחת? עד כנגד כתובתה</w:t>
      </w:r>
      <w:r>
        <w:rPr>
          <w:rStyle w:val="a7"/>
          <w:rFonts w:cs="Arial"/>
          <w:rtl/>
        </w:rPr>
        <w:footnoteReference w:id="1286"/>
      </w:r>
      <w:r>
        <w:rPr>
          <w:rFonts w:cs="Arial" w:hint="cs"/>
          <w:rtl/>
        </w:rPr>
        <w:t>.</w:t>
      </w:r>
      <w:r w:rsidRPr="005A6BAC">
        <w:rPr>
          <w:rFonts w:cs="Arial"/>
          <w:rtl/>
        </w:rPr>
        <w:t xml:space="preserve"> </w:t>
      </w:r>
      <w:r w:rsidRPr="005A6BAC">
        <w:rPr>
          <w:rFonts w:cs="Arial"/>
          <w:u w:val="single"/>
          <w:rtl/>
        </w:rPr>
        <w:t>ר' יוסי אומר</w:t>
      </w:r>
      <w:r w:rsidRPr="005A6BAC">
        <w:rPr>
          <w:rFonts w:cs="Arial"/>
          <w:rtl/>
        </w:rPr>
        <w:t>: לעולם הוא פוחת והולך, עד שאם תפול לה ירושה ממקום אחר גובה הימנה.</w:t>
      </w:r>
      <w:r>
        <w:rPr>
          <w:rFonts w:cs="Arial" w:hint="cs"/>
          <w:rtl/>
        </w:rPr>
        <w:t>.</w:t>
      </w:r>
      <w:r w:rsidRPr="005A6BAC">
        <w:rPr>
          <w:rFonts w:cs="Arial"/>
          <w:rtl/>
        </w:rPr>
        <w:t>.</w:t>
      </w:r>
      <w:r w:rsidRPr="005A6BAC">
        <w:rPr>
          <w:rFonts w:cs="Arial" w:hint="cs"/>
          <w:rtl/>
        </w:rPr>
        <w:t xml:space="preserve">        </w:t>
      </w:r>
      <w:r w:rsidRPr="005A6BAC">
        <w:rPr>
          <w:rFonts w:cs="Arial" w:hint="cs"/>
          <w:u w:val="double"/>
          <w:rtl/>
        </w:rPr>
        <w:t>גמ'</w:t>
      </w:r>
      <w:r w:rsidRPr="005A6BAC">
        <w:rPr>
          <w:rFonts w:cs="Arial" w:hint="cs"/>
          <w:rtl/>
        </w:rPr>
        <w:t>:</w:t>
      </w:r>
      <w:r w:rsidRPr="003D067B">
        <w:rPr>
          <w:rtl/>
        </w:rPr>
        <w:t xml:space="preserve"> </w:t>
      </w:r>
      <w:r w:rsidRPr="005A6BAC">
        <w:rPr>
          <w:rFonts w:cs="Arial"/>
          <w:rtl/>
        </w:rPr>
        <w:t xml:space="preserve">מורדת ממאי? </w:t>
      </w:r>
      <w:r w:rsidRPr="005A6BAC">
        <w:rPr>
          <w:rFonts w:cs="Arial"/>
          <w:u w:val="single"/>
          <w:rtl/>
        </w:rPr>
        <w:t>רב הונא אמר</w:t>
      </w:r>
      <w:r w:rsidRPr="005A6BAC">
        <w:rPr>
          <w:rFonts w:cs="Arial"/>
          <w:rtl/>
        </w:rPr>
        <w:t>: מתשמיש המטה</w:t>
      </w:r>
      <w:r w:rsidRPr="005A6BAC">
        <w:rPr>
          <w:rFonts w:cs="Arial" w:hint="cs"/>
          <w:rtl/>
        </w:rPr>
        <w:t>.</w:t>
      </w:r>
      <w:r w:rsidRPr="005A6BAC">
        <w:rPr>
          <w:rFonts w:cs="Arial"/>
          <w:rtl/>
        </w:rPr>
        <w:t xml:space="preserve"> </w:t>
      </w:r>
      <w:r w:rsidRPr="005A6BAC">
        <w:rPr>
          <w:rFonts w:cs="Arial"/>
          <w:u w:val="single"/>
          <w:rtl/>
        </w:rPr>
        <w:t>ר' יוסי ברבי חנינא אמר</w:t>
      </w:r>
      <w:r w:rsidRPr="005A6BAC">
        <w:rPr>
          <w:rFonts w:cs="Arial"/>
          <w:rtl/>
        </w:rPr>
        <w:t>: ממלאכה.</w:t>
      </w:r>
      <w:r>
        <w:rPr>
          <w:rFonts w:cs="Arial" w:hint="cs"/>
          <w:rtl/>
        </w:rPr>
        <w:t>..</w:t>
      </w:r>
      <w:r w:rsidRPr="005A6BAC">
        <w:rPr>
          <w:rFonts w:cs="Arial"/>
          <w:rtl/>
        </w:rPr>
        <w:t xml:space="preserve"> </w:t>
      </w:r>
      <w:r>
        <w:rPr>
          <w:rFonts w:cs="Arial" w:hint="cs"/>
          <w:sz w:val="14"/>
          <w:szCs w:val="14"/>
          <w:rtl/>
        </w:rPr>
        <w:t xml:space="preserve">(סג:) </w:t>
      </w:r>
      <w:r w:rsidRPr="002C438C">
        <w:rPr>
          <w:rFonts w:cs="Arial"/>
          <w:rtl/>
        </w:rPr>
        <w:t>מתשמיש - כולי עלמא לא פליגי דהויא מורדת</w:t>
      </w:r>
      <w:r>
        <w:rPr>
          <w:rStyle w:val="a7"/>
          <w:rFonts w:cs="Arial"/>
          <w:rtl/>
        </w:rPr>
        <w:footnoteReference w:id="1287"/>
      </w:r>
      <w:r w:rsidRPr="002C438C">
        <w:rPr>
          <w:rFonts w:cs="Arial"/>
          <w:rtl/>
        </w:rPr>
        <w:t xml:space="preserve">, כי פליגי - ממלאכה, מר סבר: ממלאכה לא הויא </w:t>
      </w:r>
      <w:r w:rsidRPr="002C438C">
        <w:rPr>
          <w:rFonts w:cs="Arial"/>
          <w:rtl/>
        </w:rPr>
        <w:lastRenderedPageBreak/>
        <w:t>מורדת, ומר סבר: ממלאכה נמי הויא מורדת. גופא: המורדת על בעלה - פוחתין לה מכתובתה שבעה דינרים בשבת, רבי יהודה אומר: שבעה טרפעיקין. רבותינו חזרו ונמנו</w:t>
      </w:r>
      <w:r>
        <w:rPr>
          <w:rStyle w:val="a7"/>
          <w:rFonts w:cs="Arial"/>
          <w:rtl/>
        </w:rPr>
        <w:footnoteReference w:id="1288"/>
      </w:r>
      <w:r w:rsidRPr="002C438C">
        <w:rPr>
          <w:rFonts w:cs="Arial"/>
          <w:rtl/>
        </w:rPr>
        <w:t xml:space="preserve">, שיהו מכריזין עליה ארבע שבתות זו אחר זו, ושולחין לה ב"ד: הוי יודעת, שאפי' כתובתיך מאה מנה הפסדת. אחת לי ארוסה ונשואה, אפילו נדה, אפי' חולה, ואפי' שומרת יבם. </w:t>
      </w:r>
      <w:r w:rsidRPr="00A276E7">
        <w:rPr>
          <w:rFonts w:cs="Arial"/>
          <w:u w:val="single"/>
          <w:rtl/>
        </w:rPr>
        <w:t>אמר ליה ר' חייא בר יוסף לשמואל</w:t>
      </w:r>
      <w:r w:rsidRPr="002C438C">
        <w:rPr>
          <w:rFonts w:cs="Arial"/>
          <w:rtl/>
        </w:rPr>
        <w:t xml:space="preserve">: נדה בת תשמיש היא? </w:t>
      </w:r>
      <w:r w:rsidRPr="00A276E7">
        <w:rPr>
          <w:rFonts w:cs="Arial"/>
          <w:u w:val="single"/>
          <w:rtl/>
        </w:rPr>
        <w:t>אמר ליה</w:t>
      </w:r>
      <w:r w:rsidRPr="002C438C">
        <w:rPr>
          <w:rFonts w:cs="Arial"/>
          <w:rtl/>
        </w:rPr>
        <w:t xml:space="preserve">: אינו דומה מי שיש לו פת בסלו למי שאין לו פת בסלו. </w:t>
      </w:r>
      <w:r w:rsidRPr="00A276E7">
        <w:rPr>
          <w:rFonts w:cs="Arial"/>
          <w:u w:val="single"/>
          <w:rtl/>
        </w:rPr>
        <w:t>אמר רמי בר חמא</w:t>
      </w:r>
      <w:r w:rsidRPr="002C438C">
        <w:rPr>
          <w:rFonts w:cs="Arial"/>
          <w:rtl/>
        </w:rPr>
        <w:t xml:space="preserve">: אין מכריזין עליה אלא בבתי כנסיות ובבתי מדרשות. </w:t>
      </w:r>
      <w:r w:rsidRPr="00A276E7">
        <w:rPr>
          <w:rFonts w:cs="Arial"/>
          <w:u w:val="single"/>
          <w:rtl/>
        </w:rPr>
        <w:t>אמר רבא</w:t>
      </w:r>
      <w:r w:rsidRPr="002C438C">
        <w:rPr>
          <w:rFonts w:cs="Arial"/>
          <w:rtl/>
        </w:rPr>
        <w:t>: דיקא נמי, דקתני: ארבע שבתות</w:t>
      </w:r>
      <w:r>
        <w:rPr>
          <w:rStyle w:val="a7"/>
          <w:rFonts w:cs="Arial"/>
          <w:rtl/>
        </w:rPr>
        <w:footnoteReference w:id="1289"/>
      </w:r>
      <w:r w:rsidRPr="002C438C">
        <w:rPr>
          <w:rFonts w:cs="Arial"/>
          <w:rtl/>
        </w:rPr>
        <w:t xml:space="preserve"> זו אחר זו, ש"מ. </w:t>
      </w:r>
      <w:r w:rsidRPr="00A276E7">
        <w:rPr>
          <w:rFonts w:cs="Arial"/>
          <w:u w:val="single"/>
          <w:rtl/>
        </w:rPr>
        <w:t>אמר רמי בר חמא</w:t>
      </w:r>
      <w:r w:rsidRPr="002C438C">
        <w:rPr>
          <w:rFonts w:cs="Arial"/>
          <w:rtl/>
        </w:rPr>
        <w:t xml:space="preserve">: פעמים שולחין לה מבית דין, אחת קודם הכרזה ואחת לאחר הכרזה. </w:t>
      </w:r>
      <w:r w:rsidRPr="00A276E7">
        <w:rPr>
          <w:rFonts w:cs="Arial"/>
          <w:u w:val="single"/>
          <w:rtl/>
        </w:rPr>
        <w:t>דרש רב נחמן בר רב חסדא</w:t>
      </w:r>
      <w:r w:rsidRPr="002C438C">
        <w:rPr>
          <w:rFonts w:cs="Arial"/>
          <w:rtl/>
        </w:rPr>
        <w:t>: הלכה כרבותינו.</w:t>
      </w:r>
      <w:r w:rsidRPr="00A276E7">
        <w:rPr>
          <w:rtl/>
        </w:rPr>
        <w:t xml:space="preserve"> </w:t>
      </w:r>
      <w:r w:rsidRPr="00A276E7">
        <w:rPr>
          <w:rFonts w:cs="Arial"/>
          <w:u w:val="single"/>
          <w:rtl/>
        </w:rPr>
        <w:t>אמר רבא</w:t>
      </w:r>
      <w:r w:rsidRPr="00A276E7">
        <w:rPr>
          <w:rFonts w:cs="Arial"/>
          <w:rtl/>
        </w:rPr>
        <w:t>: האי בורכא</w:t>
      </w:r>
      <w:r>
        <w:rPr>
          <w:rStyle w:val="a7"/>
          <w:rFonts w:cs="Arial"/>
          <w:rtl/>
        </w:rPr>
        <w:footnoteReference w:id="1290"/>
      </w:r>
      <w:r w:rsidRPr="00A276E7">
        <w:rPr>
          <w:rFonts w:cs="Arial"/>
          <w:rtl/>
        </w:rPr>
        <w:t xml:space="preserve">! </w:t>
      </w:r>
      <w:r w:rsidRPr="00A276E7">
        <w:rPr>
          <w:rFonts w:cs="Arial"/>
          <w:u w:val="single"/>
          <w:rtl/>
        </w:rPr>
        <w:t>אמר ליה רב נחמן בר יצחק</w:t>
      </w:r>
      <w:r w:rsidRPr="00A276E7">
        <w:rPr>
          <w:rFonts w:cs="Arial"/>
          <w:rtl/>
        </w:rPr>
        <w:t>: מאי בורכתיה? אנא אמריתה ניהליה, ומשמיה דגברא רבה אמריתה ניהליה, ומנו? רבי יוסי בר' חנינא</w:t>
      </w:r>
      <w:r>
        <w:rPr>
          <w:rFonts w:cs="Arial" w:hint="cs"/>
          <w:rtl/>
        </w:rPr>
        <w:t>.</w:t>
      </w:r>
      <w:r w:rsidRPr="00A276E7">
        <w:rPr>
          <w:rFonts w:cs="Arial"/>
          <w:rtl/>
        </w:rPr>
        <w:t xml:space="preserve"> ואיהו כמאן סבר</w:t>
      </w:r>
      <w:r>
        <w:rPr>
          <w:rStyle w:val="a7"/>
          <w:rFonts w:cs="Arial"/>
          <w:rtl/>
        </w:rPr>
        <w:footnoteReference w:id="1291"/>
      </w:r>
      <w:r w:rsidRPr="00A276E7">
        <w:rPr>
          <w:rFonts w:cs="Arial"/>
          <w:rtl/>
        </w:rPr>
        <w:t>? כי הא דאתמר רבא אמר רב ששת</w:t>
      </w:r>
      <w:r>
        <w:rPr>
          <w:rFonts w:cs="Arial" w:hint="cs"/>
          <w:rtl/>
        </w:rPr>
        <w:t>:</w:t>
      </w:r>
      <w:r w:rsidRPr="00A276E7">
        <w:rPr>
          <w:rFonts w:cs="Arial"/>
          <w:rtl/>
        </w:rPr>
        <w:t xml:space="preserve"> הלכה</w:t>
      </w:r>
      <w:r>
        <w:rPr>
          <w:rFonts w:cs="Arial" w:hint="cs"/>
          <w:rtl/>
        </w:rPr>
        <w:t>,</w:t>
      </w:r>
      <w:r w:rsidRPr="00A276E7">
        <w:rPr>
          <w:rFonts w:cs="Arial"/>
          <w:rtl/>
        </w:rPr>
        <w:t xml:space="preserve"> נמלכין בה</w:t>
      </w:r>
      <w:r>
        <w:rPr>
          <w:rStyle w:val="a7"/>
          <w:rFonts w:cs="Arial"/>
          <w:rtl/>
        </w:rPr>
        <w:footnoteReference w:id="1292"/>
      </w:r>
      <w:r>
        <w:rPr>
          <w:rFonts w:cs="Arial" w:hint="cs"/>
          <w:rtl/>
        </w:rPr>
        <w:t>.</w:t>
      </w:r>
      <w:r w:rsidRPr="00A276E7">
        <w:rPr>
          <w:rFonts w:cs="Arial"/>
          <w:rtl/>
        </w:rPr>
        <w:t xml:space="preserve"> רב הונא בר יהודה אמר רב ששת</w:t>
      </w:r>
      <w:r>
        <w:rPr>
          <w:rFonts w:cs="Arial" w:hint="cs"/>
          <w:rtl/>
        </w:rPr>
        <w:t>:</w:t>
      </w:r>
      <w:r w:rsidRPr="00A276E7">
        <w:rPr>
          <w:rFonts w:cs="Arial"/>
          <w:rtl/>
        </w:rPr>
        <w:t xml:space="preserve"> הלכה</w:t>
      </w:r>
      <w:r>
        <w:rPr>
          <w:rFonts w:cs="Arial" w:hint="cs"/>
          <w:rtl/>
        </w:rPr>
        <w:t>,</w:t>
      </w:r>
      <w:r w:rsidRPr="00A276E7">
        <w:rPr>
          <w:rFonts w:cs="Arial"/>
          <w:rtl/>
        </w:rPr>
        <w:t xml:space="preserve"> אין נמלכין בה.</w:t>
      </w:r>
      <w:r>
        <w:rPr>
          <w:rFonts w:cs="Arial" w:hint="cs"/>
          <w:rtl/>
        </w:rPr>
        <w:t xml:space="preserve"> </w:t>
      </w:r>
      <w:r w:rsidRPr="00530F9D">
        <w:rPr>
          <w:rFonts w:cs="Arial" w:hint="cs"/>
          <w:sz w:val="16"/>
          <w:szCs w:val="16"/>
          <w:rtl/>
        </w:rPr>
        <w:t>(</w:t>
      </w:r>
      <w:r>
        <w:rPr>
          <w:rFonts w:cs="Arial" w:hint="cs"/>
          <w:sz w:val="16"/>
          <w:szCs w:val="16"/>
          <w:rtl/>
        </w:rPr>
        <w:t xml:space="preserve">ובפירוש דברי סוף הגמ' גבי לשלוח לה ולימלך בה נחלקו הראשונים. כתב הב"י וז"ל- </w:t>
      </w:r>
      <w:r w:rsidRPr="00530F9D">
        <w:rPr>
          <w:rFonts w:cs="Arial"/>
          <w:sz w:val="16"/>
          <w:szCs w:val="16"/>
          <w:rtl/>
        </w:rPr>
        <w:t xml:space="preserve">התוספות (שם ד"ה ואינהו) כתבו </w:t>
      </w:r>
      <w:r w:rsidRPr="00530F9D">
        <w:rPr>
          <w:rFonts w:cs="Arial" w:hint="cs"/>
          <w:sz w:val="16"/>
          <w:szCs w:val="16"/>
          <w:rtl/>
        </w:rPr>
        <w:t>'</w:t>
      </w:r>
      <w:r w:rsidRPr="00530F9D">
        <w:rPr>
          <w:rFonts w:cs="Arial"/>
          <w:sz w:val="16"/>
          <w:szCs w:val="16"/>
          <w:rtl/>
        </w:rPr>
        <w:t>ואינהו כמאן סברוה</w:t>
      </w:r>
      <w:r w:rsidRPr="00530F9D">
        <w:rPr>
          <w:rFonts w:cs="Arial" w:hint="cs"/>
          <w:sz w:val="16"/>
          <w:szCs w:val="16"/>
          <w:rtl/>
        </w:rPr>
        <w:t>'-</w:t>
      </w:r>
      <w:r w:rsidRPr="00530F9D">
        <w:rPr>
          <w:rFonts w:cs="Arial"/>
          <w:sz w:val="16"/>
          <w:szCs w:val="16"/>
          <w:rtl/>
        </w:rPr>
        <w:t xml:space="preserve"> רש"י גריס </w:t>
      </w:r>
      <w:r w:rsidRPr="00530F9D">
        <w:rPr>
          <w:rFonts w:cs="Arial" w:hint="cs"/>
          <w:sz w:val="16"/>
          <w:szCs w:val="16"/>
          <w:rtl/>
        </w:rPr>
        <w:t>'</w:t>
      </w:r>
      <w:r w:rsidRPr="00530F9D">
        <w:rPr>
          <w:rFonts w:cs="Arial"/>
          <w:sz w:val="16"/>
          <w:szCs w:val="16"/>
          <w:rtl/>
        </w:rPr>
        <w:t>ואיהו כמאן סבר</w:t>
      </w:r>
      <w:r w:rsidRPr="00530F9D">
        <w:rPr>
          <w:rFonts w:cs="Arial" w:hint="cs"/>
          <w:sz w:val="16"/>
          <w:szCs w:val="16"/>
          <w:rtl/>
        </w:rPr>
        <w:t>',</w:t>
      </w:r>
      <w:r w:rsidRPr="00530F9D">
        <w:rPr>
          <w:rFonts w:cs="Arial"/>
          <w:sz w:val="16"/>
          <w:szCs w:val="16"/>
          <w:rtl/>
        </w:rPr>
        <w:t xml:space="preserve"> פירוש</w:t>
      </w:r>
      <w:r w:rsidRPr="00530F9D">
        <w:rPr>
          <w:rFonts w:cs="Arial" w:hint="cs"/>
          <w:sz w:val="16"/>
          <w:szCs w:val="16"/>
          <w:rtl/>
        </w:rPr>
        <w:t>,</w:t>
      </w:r>
      <w:r w:rsidRPr="00530F9D">
        <w:rPr>
          <w:rFonts w:cs="Arial"/>
          <w:sz w:val="16"/>
          <w:szCs w:val="16"/>
          <w:rtl/>
        </w:rPr>
        <w:t xml:space="preserve"> רבא דאמר בורכא</w:t>
      </w:r>
      <w:r w:rsidRPr="00530F9D">
        <w:rPr>
          <w:rFonts w:cs="Arial" w:hint="cs"/>
          <w:sz w:val="16"/>
          <w:szCs w:val="16"/>
          <w:rtl/>
        </w:rPr>
        <w:t>,</w:t>
      </w:r>
      <w:r w:rsidRPr="00530F9D">
        <w:rPr>
          <w:rFonts w:cs="Arial"/>
          <w:sz w:val="16"/>
          <w:szCs w:val="16"/>
          <w:rtl/>
        </w:rPr>
        <w:t xml:space="preserve"> ור"ל דלרבא אין הלכה כרבותינו אלא כמתניתין דפוחתין לה עד כדי כתובתה</w:t>
      </w:r>
      <w:r w:rsidRPr="00530F9D">
        <w:rPr>
          <w:rFonts w:cs="Arial" w:hint="cs"/>
          <w:sz w:val="16"/>
          <w:szCs w:val="16"/>
          <w:rtl/>
        </w:rPr>
        <w:t>,</w:t>
      </w:r>
      <w:r w:rsidRPr="00530F9D">
        <w:rPr>
          <w:rFonts w:cs="Arial"/>
          <w:sz w:val="16"/>
          <w:szCs w:val="16"/>
          <w:rtl/>
        </w:rPr>
        <w:t xml:space="preserve"> ו</w:t>
      </w:r>
      <w:r w:rsidRPr="00530F9D">
        <w:rPr>
          <w:rFonts w:cs="Arial" w:hint="cs"/>
          <w:sz w:val="16"/>
          <w:szCs w:val="16"/>
          <w:rtl/>
        </w:rPr>
        <w:t>-'</w:t>
      </w:r>
      <w:r w:rsidRPr="00530F9D">
        <w:rPr>
          <w:rFonts w:cs="Arial"/>
          <w:sz w:val="16"/>
          <w:szCs w:val="16"/>
          <w:rtl/>
        </w:rPr>
        <w:t>נמלכין בה</w:t>
      </w:r>
      <w:r w:rsidRPr="00530F9D">
        <w:rPr>
          <w:rFonts w:cs="Arial" w:hint="cs"/>
          <w:sz w:val="16"/>
          <w:szCs w:val="16"/>
          <w:rtl/>
        </w:rPr>
        <w:t>'</w:t>
      </w:r>
      <w:r w:rsidRPr="00530F9D">
        <w:rPr>
          <w:rFonts w:cs="Arial"/>
          <w:sz w:val="16"/>
          <w:szCs w:val="16"/>
          <w:rtl/>
        </w:rPr>
        <w:t xml:space="preserve"> היינו נמי דפוחתין ולא תפסיד מיד אחר ארבע שבתות</w:t>
      </w:r>
      <w:r w:rsidRPr="00530F9D">
        <w:rPr>
          <w:rFonts w:cs="Arial" w:hint="cs"/>
          <w:sz w:val="16"/>
          <w:szCs w:val="16"/>
          <w:rtl/>
        </w:rPr>
        <w:t>.</w:t>
      </w:r>
      <w:r w:rsidRPr="00530F9D">
        <w:rPr>
          <w:rFonts w:cs="Arial"/>
          <w:sz w:val="16"/>
          <w:szCs w:val="16"/>
          <w:rtl/>
        </w:rPr>
        <w:t xml:space="preserve"> ור"ת מפרש דרמי בר חמא בא להוסיף על דברי רבותינו</w:t>
      </w:r>
      <w:r w:rsidRPr="00530F9D">
        <w:rPr>
          <w:rFonts w:cs="Arial" w:hint="cs"/>
          <w:sz w:val="16"/>
          <w:szCs w:val="16"/>
          <w:rtl/>
        </w:rPr>
        <w:t>,</w:t>
      </w:r>
      <w:r w:rsidRPr="00530F9D">
        <w:rPr>
          <w:rFonts w:cs="Arial"/>
          <w:sz w:val="16"/>
          <w:szCs w:val="16"/>
          <w:rtl/>
        </w:rPr>
        <w:t xml:space="preserve"> אע</w:t>
      </w:r>
      <w:r w:rsidRPr="00530F9D">
        <w:rPr>
          <w:rFonts w:cs="Arial" w:hint="cs"/>
          <w:sz w:val="16"/>
          <w:szCs w:val="16"/>
          <w:rtl/>
        </w:rPr>
        <w:t>"</w:t>
      </w:r>
      <w:r w:rsidRPr="00530F9D">
        <w:rPr>
          <w:rFonts w:cs="Arial"/>
          <w:sz w:val="16"/>
          <w:szCs w:val="16"/>
          <w:rtl/>
        </w:rPr>
        <w:t>ג דלא קתני דשולחין לה אלא אחר הכרזה</w:t>
      </w:r>
      <w:r w:rsidRPr="00530F9D">
        <w:rPr>
          <w:rFonts w:cs="Arial" w:hint="cs"/>
          <w:sz w:val="16"/>
          <w:szCs w:val="16"/>
          <w:rtl/>
        </w:rPr>
        <w:t>,</w:t>
      </w:r>
      <w:r w:rsidRPr="00530F9D">
        <w:rPr>
          <w:rFonts w:cs="Arial"/>
          <w:sz w:val="16"/>
          <w:szCs w:val="16"/>
          <w:rtl/>
        </w:rPr>
        <w:t xml:space="preserve"> קאמר רמי בר חמא דה"נ היו אומרים דשולחין לה קודם הכרזה</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דרש רב נחמן בר רב חסדא הלכה כרבותינו</w:t>
      </w:r>
      <w:r w:rsidRPr="00530F9D">
        <w:rPr>
          <w:rFonts w:cs="Arial" w:hint="cs"/>
          <w:sz w:val="16"/>
          <w:szCs w:val="16"/>
          <w:rtl/>
        </w:rPr>
        <w:t>'</w:t>
      </w:r>
      <w:r w:rsidRPr="00530F9D">
        <w:rPr>
          <w:rFonts w:cs="Arial"/>
          <w:sz w:val="16"/>
          <w:szCs w:val="16"/>
          <w:rtl/>
        </w:rPr>
        <w:t xml:space="preserve"> כלומר ממש כרבותינו דלא קתני שליחות של קודם הכרזה</w:t>
      </w:r>
      <w:r w:rsidRPr="00530F9D">
        <w:rPr>
          <w:rFonts w:cs="Arial" w:hint="cs"/>
          <w:sz w:val="16"/>
          <w:szCs w:val="16"/>
          <w:rtl/>
        </w:rPr>
        <w:t>,</w:t>
      </w:r>
      <w:r w:rsidRPr="00530F9D">
        <w:rPr>
          <w:rFonts w:cs="Arial"/>
          <w:sz w:val="16"/>
          <w:szCs w:val="16"/>
          <w:rtl/>
        </w:rPr>
        <w:t xml:space="preserve"> ופליגא דרמי בר חמא</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אמר רבא האי בורכא</w:t>
      </w:r>
      <w:r w:rsidRPr="00530F9D">
        <w:rPr>
          <w:rFonts w:cs="Arial" w:hint="cs"/>
          <w:sz w:val="16"/>
          <w:szCs w:val="16"/>
          <w:rtl/>
        </w:rPr>
        <w:t>'</w:t>
      </w:r>
      <w:r w:rsidRPr="00530F9D">
        <w:rPr>
          <w:rFonts w:cs="Arial"/>
          <w:sz w:val="16"/>
          <w:szCs w:val="16"/>
          <w:rtl/>
        </w:rPr>
        <w:t xml:space="preserve"> אלא הלכה כרמי בר חמא דפעמים שולחין לה</w:t>
      </w:r>
      <w:r w:rsidRPr="00530F9D">
        <w:rPr>
          <w:rFonts w:cs="Arial" w:hint="cs"/>
          <w:sz w:val="16"/>
          <w:szCs w:val="16"/>
          <w:rtl/>
        </w:rPr>
        <w:t>.</w:t>
      </w:r>
      <w:r w:rsidRPr="00530F9D">
        <w:rPr>
          <w:rFonts w:cs="Arial"/>
          <w:sz w:val="16"/>
          <w:szCs w:val="16"/>
          <w:rtl/>
        </w:rPr>
        <w:t xml:space="preserve"> וגרסינן </w:t>
      </w:r>
      <w:r w:rsidRPr="00530F9D">
        <w:rPr>
          <w:rFonts w:cs="Arial" w:hint="cs"/>
          <w:sz w:val="16"/>
          <w:szCs w:val="16"/>
          <w:rtl/>
        </w:rPr>
        <w:t>'</w:t>
      </w:r>
      <w:r w:rsidRPr="00530F9D">
        <w:rPr>
          <w:rFonts w:cs="Arial"/>
          <w:sz w:val="16"/>
          <w:szCs w:val="16"/>
          <w:rtl/>
        </w:rPr>
        <w:t>אינהו כמאן סברוה</w:t>
      </w:r>
      <w:r w:rsidRPr="00530F9D">
        <w:rPr>
          <w:rFonts w:cs="Arial" w:hint="cs"/>
          <w:sz w:val="16"/>
          <w:szCs w:val="16"/>
          <w:rtl/>
        </w:rPr>
        <w:t>',</w:t>
      </w:r>
      <w:r w:rsidRPr="00530F9D">
        <w:rPr>
          <w:rFonts w:cs="Arial"/>
          <w:sz w:val="16"/>
          <w:szCs w:val="16"/>
          <w:rtl/>
        </w:rPr>
        <w:t xml:space="preserve"> וכ"כ בספרים ישנים ובה"ג (הל' כתובות עא ע"ב)</w:t>
      </w:r>
      <w:r w:rsidRPr="00530F9D">
        <w:rPr>
          <w:rFonts w:cs="Arial" w:hint="cs"/>
          <w:sz w:val="16"/>
          <w:szCs w:val="16"/>
          <w:rtl/>
        </w:rPr>
        <w:t>,</w:t>
      </w:r>
      <w:r w:rsidRPr="00530F9D">
        <w:rPr>
          <w:rFonts w:cs="Arial"/>
          <w:sz w:val="16"/>
          <w:szCs w:val="16"/>
          <w:rtl/>
        </w:rPr>
        <w:t xml:space="preserve"> ולא קאי ארב נחמן בר יצחק ורב נחמן בר רב חסדא</w:t>
      </w:r>
      <w:r w:rsidRPr="00530F9D">
        <w:rPr>
          <w:rFonts w:cs="Arial" w:hint="cs"/>
          <w:sz w:val="16"/>
          <w:szCs w:val="16"/>
          <w:rtl/>
        </w:rPr>
        <w:t>,</w:t>
      </w:r>
      <w:r w:rsidRPr="00530F9D">
        <w:rPr>
          <w:rFonts w:cs="Arial"/>
          <w:sz w:val="16"/>
          <w:szCs w:val="16"/>
          <w:rtl/>
        </w:rPr>
        <w:t xml:space="preserve"> דאינהו סברי כרבי חנינא שהיה גדול הרבה מרב ששת</w:t>
      </w:r>
      <w:r w:rsidRPr="00530F9D">
        <w:rPr>
          <w:rFonts w:cs="Arial" w:hint="cs"/>
          <w:sz w:val="16"/>
          <w:szCs w:val="16"/>
          <w:rtl/>
        </w:rPr>
        <w:t>,</w:t>
      </w:r>
      <w:r w:rsidRPr="00530F9D">
        <w:rPr>
          <w:rFonts w:cs="Arial"/>
          <w:sz w:val="16"/>
          <w:szCs w:val="16"/>
          <w:rtl/>
        </w:rPr>
        <w:t xml:space="preserve"> אלא ארמי בר חמא ורבא קאי</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הלכה נמלכין בה</w:t>
      </w:r>
      <w:r w:rsidRPr="00530F9D">
        <w:rPr>
          <w:rFonts w:cs="Arial" w:hint="cs"/>
          <w:sz w:val="16"/>
          <w:szCs w:val="16"/>
          <w:rtl/>
        </w:rPr>
        <w:t>',</w:t>
      </w:r>
      <w:r w:rsidRPr="00530F9D">
        <w:rPr>
          <w:rFonts w:cs="Arial"/>
          <w:sz w:val="16"/>
          <w:szCs w:val="16"/>
          <w:rtl/>
        </w:rPr>
        <w:t xml:space="preserve"> פירוש קודם הכרזה</w:t>
      </w:r>
      <w:r w:rsidRPr="00530F9D">
        <w:rPr>
          <w:rFonts w:cs="Arial" w:hint="cs"/>
          <w:sz w:val="16"/>
          <w:szCs w:val="16"/>
          <w:rtl/>
        </w:rPr>
        <w:t>.</w:t>
      </w:r>
      <w:r w:rsidRPr="00530F9D">
        <w:rPr>
          <w:rFonts w:cs="Arial"/>
          <w:sz w:val="16"/>
          <w:szCs w:val="16"/>
          <w:rtl/>
        </w:rPr>
        <w:t xml:space="preserve"> ו</w:t>
      </w:r>
      <w:r w:rsidRPr="00530F9D">
        <w:rPr>
          <w:rFonts w:cs="Arial" w:hint="cs"/>
          <w:sz w:val="16"/>
          <w:szCs w:val="16"/>
          <w:rtl/>
        </w:rPr>
        <w:t>-'</w:t>
      </w:r>
      <w:r w:rsidRPr="00530F9D">
        <w:rPr>
          <w:rFonts w:cs="Arial"/>
          <w:sz w:val="16"/>
          <w:szCs w:val="16"/>
          <w:rtl/>
        </w:rPr>
        <w:t>הלכה אין נמלכין בה</w:t>
      </w:r>
      <w:r w:rsidRPr="00530F9D">
        <w:rPr>
          <w:rFonts w:cs="Arial" w:hint="cs"/>
          <w:sz w:val="16"/>
          <w:szCs w:val="16"/>
          <w:rtl/>
        </w:rPr>
        <w:t>',</w:t>
      </w:r>
      <w:r w:rsidRPr="00530F9D">
        <w:rPr>
          <w:rFonts w:cs="Arial"/>
          <w:sz w:val="16"/>
          <w:szCs w:val="16"/>
          <w:rtl/>
        </w:rPr>
        <w:t xml:space="preserve"> נמי היינו קודם הכרזה</w:t>
      </w:r>
      <w:r w:rsidRPr="00530F9D">
        <w:rPr>
          <w:rFonts w:cs="Arial" w:hint="cs"/>
          <w:sz w:val="16"/>
          <w:szCs w:val="16"/>
          <w:rtl/>
        </w:rPr>
        <w:t>,</w:t>
      </w:r>
      <w:r w:rsidRPr="00530F9D">
        <w:rPr>
          <w:rFonts w:cs="Arial"/>
          <w:sz w:val="16"/>
          <w:szCs w:val="16"/>
          <w:rtl/>
        </w:rPr>
        <w:t xml:space="preserve"> אבל אחר הכרזה מודה כדתניא בהדיא בדברי רבותינו</w:t>
      </w:r>
      <w:r w:rsidRPr="00530F9D">
        <w:rPr>
          <w:rFonts w:cs="Arial" w:hint="cs"/>
          <w:sz w:val="16"/>
          <w:szCs w:val="16"/>
          <w:rtl/>
        </w:rPr>
        <w:t>.</w:t>
      </w:r>
      <w:r w:rsidRPr="00530F9D">
        <w:rPr>
          <w:rFonts w:cs="Arial"/>
          <w:sz w:val="16"/>
          <w:szCs w:val="16"/>
          <w:rtl/>
        </w:rPr>
        <w:t xml:space="preserve"> וכן נראה מתוך דברי ר"ח דפסק דאע"ג דאמר רב נחמן בר רב חסדא הלכה כדברי רבותינו הלכה כרבא דאמר משמיה דרב ששת הלכה נמלכין בה דהא רמי בר חמא דאמר פעמים שולחים לה מסייע לה עכ"ל. והרא"ש (סי' לג) כתב דברי התוספות וכתב שכן עיקר ודלא כפירש"י</w:t>
      </w:r>
      <w:r w:rsidRPr="00530F9D">
        <w:rPr>
          <w:rFonts w:cs="Arial" w:hint="cs"/>
          <w:sz w:val="16"/>
          <w:szCs w:val="16"/>
          <w:rtl/>
        </w:rPr>
        <w:t>.</w:t>
      </w:r>
      <w:r w:rsidRPr="00530F9D">
        <w:rPr>
          <w:rFonts w:cs="Arial"/>
          <w:sz w:val="16"/>
          <w:szCs w:val="16"/>
          <w:rtl/>
        </w:rPr>
        <w:t xml:space="preserve"> וכך הם דברי רבינו</w:t>
      </w:r>
      <w:r w:rsidRPr="00530F9D">
        <w:rPr>
          <w:rFonts w:cs="Arial" w:hint="cs"/>
          <w:sz w:val="16"/>
          <w:szCs w:val="16"/>
          <w:rtl/>
        </w:rPr>
        <w:t>.</w:t>
      </w:r>
      <w:r w:rsidRPr="00530F9D">
        <w:rPr>
          <w:rFonts w:cs="Arial"/>
          <w:sz w:val="16"/>
          <w:szCs w:val="16"/>
          <w:rtl/>
        </w:rPr>
        <w:t xml:space="preserve"> וגם הר"ן (כז דיבור ראשון) כתב דל"נ פרש"י</w:t>
      </w:r>
      <w:r w:rsidRPr="00530F9D">
        <w:rPr>
          <w:rFonts w:cs="Arial" w:hint="cs"/>
          <w:sz w:val="16"/>
          <w:szCs w:val="16"/>
          <w:rtl/>
        </w:rPr>
        <w:t>,</w:t>
      </w:r>
      <w:r w:rsidRPr="00530F9D">
        <w:rPr>
          <w:rFonts w:cs="Arial"/>
          <w:sz w:val="16"/>
          <w:szCs w:val="16"/>
          <w:rtl/>
        </w:rPr>
        <w:t xml:space="preserve"> דאם איתא ה"ל לרבא למימר הלכה כמתניתין</w:t>
      </w:r>
      <w:r w:rsidRPr="00530F9D">
        <w:rPr>
          <w:rFonts w:cs="Arial" w:hint="cs"/>
          <w:sz w:val="16"/>
          <w:szCs w:val="16"/>
          <w:rtl/>
        </w:rPr>
        <w:t>,</w:t>
      </w:r>
      <w:r w:rsidRPr="00530F9D">
        <w:rPr>
          <w:rFonts w:cs="Arial"/>
          <w:sz w:val="16"/>
          <w:szCs w:val="16"/>
          <w:rtl/>
        </w:rPr>
        <w:t xml:space="preserve"> ואף דעת הרי"ף אינו כן שהרי הביא (כו:) הלכה כרבותינו והלכה נמלכין בה</w:t>
      </w:r>
      <w:r w:rsidRPr="00530F9D">
        <w:rPr>
          <w:rFonts w:cs="Arial" w:hint="cs"/>
          <w:sz w:val="16"/>
          <w:szCs w:val="16"/>
          <w:rtl/>
        </w:rPr>
        <w:t>,</w:t>
      </w:r>
      <w:r w:rsidRPr="00530F9D">
        <w:rPr>
          <w:rFonts w:cs="Arial"/>
          <w:sz w:val="16"/>
          <w:szCs w:val="16"/>
          <w:rtl/>
        </w:rPr>
        <w:t xml:space="preserve"> אלמא ישנן לשתיהן</w:t>
      </w:r>
      <w:r w:rsidRPr="00530F9D">
        <w:rPr>
          <w:rFonts w:cs="Arial" w:hint="cs"/>
          <w:sz w:val="16"/>
          <w:szCs w:val="16"/>
          <w:rtl/>
        </w:rPr>
        <w:t>.</w:t>
      </w:r>
      <w:r w:rsidRPr="00530F9D">
        <w:rPr>
          <w:rFonts w:cs="Arial"/>
          <w:sz w:val="16"/>
          <w:szCs w:val="16"/>
          <w:rtl/>
        </w:rPr>
        <w:t xml:space="preserve"> והראב"ד (ס' כתוב שם בסוגיין) פירש דנמלכין בה במאי ניחא לה טפי אי במאי דתנן במתניתין אי במאי דקאמרי ז"ל</w:t>
      </w:r>
      <w:r w:rsidRPr="00530F9D">
        <w:rPr>
          <w:rFonts w:cs="Arial" w:hint="cs"/>
          <w:sz w:val="16"/>
          <w:szCs w:val="16"/>
          <w:rtl/>
        </w:rPr>
        <w:t>,</w:t>
      </w:r>
      <w:r w:rsidRPr="00530F9D">
        <w:rPr>
          <w:rFonts w:cs="Arial"/>
          <w:sz w:val="16"/>
          <w:szCs w:val="16"/>
          <w:rtl/>
        </w:rPr>
        <w:t xml:space="preserve"> ואיפשר שזה היה דעת הרי"ף</w:t>
      </w:r>
      <w:r w:rsidRPr="00530F9D">
        <w:rPr>
          <w:rFonts w:cs="Arial" w:hint="cs"/>
          <w:sz w:val="16"/>
          <w:szCs w:val="16"/>
          <w:rtl/>
        </w:rPr>
        <w:t>.</w:t>
      </w:r>
      <w:r w:rsidRPr="00530F9D">
        <w:rPr>
          <w:rFonts w:cs="Arial"/>
          <w:sz w:val="16"/>
          <w:szCs w:val="16"/>
          <w:rtl/>
        </w:rPr>
        <w:t xml:space="preserve"> ולי נראה דהכי קאמר הלכה דנמלכין דלא סגי בששולחין לה מבית דין לומר הוי יודעת</w:t>
      </w:r>
      <w:r w:rsidRPr="00530F9D">
        <w:rPr>
          <w:rFonts w:cs="Arial" w:hint="cs"/>
          <w:sz w:val="16"/>
          <w:szCs w:val="16"/>
          <w:rtl/>
        </w:rPr>
        <w:t>,</w:t>
      </w:r>
      <w:r w:rsidRPr="00530F9D">
        <w:rPr>
          <w:rFonts w:cs="Arial"/>
          <w:sz w:val="16"/>
          <w:szCs w:val="16"/>
          <w:rtl/>
        </w:rPr>
        <w:t xml:space="preserve"> אלא הבית דין בעצמם נמלכין בה קודם שיפסקו הדין להפסידה כתובתה</w:t>
      </w:r>
      <w:r w:rsidRPr="00530F9D">
        <w:rPr>
          <w:rFonts w:cs="Arial" w:hint="cs"/>
          <w:sz w:val="16"/>
          <w:szCs w:val="16"/>
          <w:rtl/>
        </w:rPr>
        <w:t>.</w:t>
      </w:r>
      <w:r w:rsidRPr="00530F9D">
        <w:rPr>
          <w:rFonts w:cs="Arial"/>
          <w:sz w:val="16"/>
          <w:szCs w:val="16"/>
          <w:rtl/>
        </w:rPr>
        <w:t xml:space="preserve"> ואיפשר שזהו דעת הרמב"ם שכתב בפרק י"ד (ה"י) ואחר ההכרזה שולחין לה פעם שנייה ואומרים לה וכו' ואם עמדה במרדה ולא חזרה נמלכין בה ותאבד כתובתה עכ"ל</w:t>
      </w:r>
      <w:r>
        <w:rPr>
          <w:rFonts w:cs="Arial" w:hint="cs"/>
          <w:sz w:val="14"/>
          <w:szCs w:val="14"/>
          <w:rtl/>
        </w:rPr>
        <w:t xml:space="preserve"> {הר"ן}</w:t>
      </w:r>
      <w:r>
        <w:rPr>
          <w:rFonts w:cs="Arial" w:hint="cs"/>
          <w:sz w:val="16"/>
          <w:szCs w:val="16"/>
          <w:rtl/>
        </w:rPr>
        <w:t>. וכתב עוד הב"י ד</w:t>
      </w:r>
      <w:r w:rsidRPr="00187BBC">
        <w:rPr>
          <w:rFonts w:cs="Arial"/>
          <w:sz w:val="16"/>
          <w:szCs w:val="16"/>
          <w:rtl/>
        </w:rPr>
        <w:t>נראה שה</w:t>
      </w:r>
      <w:r>
        <w:rPr>
          <w:rFonts w:cs="Arial" w:hint="cs"/>
          <w:sz w:val="16"/>
          <w:szCs w:val="16"/>
          <w:rtl/>
        </w:rPr>
        <w:t xml:space="preserve">רמב"ם </w:t>
      </w:r>
      <w:r w:rsidRPr="00187BBC">
        <w:rPr>
          <w:rFonts w:cs="Arial"/>
          <w:sz w:val="16"/>
          <w:szCs w:val="16"/>
          <w:rtl/>
        </w:rPr>
        <w:t>ז"ל</w:t>
      </w:r>
      <w:r>
        <w:rPr>
          <w:rFonts w:cs="Arial" w:hint="cs"/>
          <w:sz w:val="16"/>
          <w:szCs w:val="16"/>
          <w:rtl/>
        </w:rPr>
        <w:t xml:space="preserve"> (שם)</w:t>
      </w:r>
      <w:r w:rsidRPr="00187BBC">
        <w:rPr>
          <w:rFonts w:cs="Arial"/>
          <w:sz w:val="16"/>
          <w:szCs w:val="16"/>
          <w:rtl/>
        </w:rPr>
        <w:t xml:space="preserve"> פוסק כרבותינו וכרמי בר חמא דאמר פעמיים שולחין לה אחת קודם הכרזה ואחת לאחר הכרזה</w:t>
      </w:r>
      <w:r>
        <w:rPr>
          <w:rFonts w:cs="Arial" w:hint="cs"/>
          <w:sz w:val="16"/>
          <w:szCs w:val="16"/>
          <w:rtl/>
        </w:rPr>
        <w:t>,</w:t>
      </w:r>
      <w:r w:rsidRPr="00187BBC">
        <w:rPr>
          <w:rFonts w:cs="Arial"/>
          <w:sz w:val="16"/>
          <w:szCs w:val="16"/>
          <w:rtl/>
        </w:rPr>
        <w:t xml:space="preserve"> ומפרש דהא דאמר רבא אמר רב ששת נמלכין בה הוא מלבד הפעמיים ששולחין לה</w:t>
      </w:r>
      <w:r>
        <w:rPr>
          <w:rFonts w:cs="Arial" w:hint="cs"/>
          <w:sz w:val="16"/>
          <w:szCs w:val="16"/>
          <w:rtl/>
        </w:rPr>
        <w:t>.</w:t>
      </w:r>
      <w:r w:rsidRPr="00187BBC">
        <w:rPr>
          <w:rFonts w:cs="Arial"/>
          <w:sz w:val="16"/>
          <w:szCs w:val="16"/>
          <w:rtl/>
        </w:rPr>
        <w:t xml:space="preserve"> ולפי זה צריך לפרש דמאי דאמר רבא </w:t>
      </w:r>
      <w:r>
        <w:rPr>
          <w:rFonts w:cs="Arial" w:hint="cs"/>
          <w:sz w:val="16"/>
          <w:szCs w:val="16"/>
          <w:rtl/>
        </w:rPr>
        <w:t>'</w:t>
      </w:r>
      <w:r w:rsidRPr="00187BBC">
        <w:rPr>
          <w:rFonts w:cs="Arial"/>
          <w:sz w:val="16"/>
          <w:szCs w:val="16"/>
          <w:rtl/>
        </w:rPr>
        <w:t>האי בורכתה</w:t>
      </w:r>
      <w:r>
        <w:rPr>
          <w:rFonts w:cs="Arial" w:hint="cs"/>
          <w:sz w:val="16"/>
          <w:szCs w:val="16"/>
          <w:rtl/>
        </w:rPr>
        <w:t>'</w:t>
      </w:r>
      <w:r w:rsidRPr="00187BBC">
        <w:rPr>
          <w:rFonts w:cs="Arial"/>
          <w:sz w:val="16"/>
          <w:szCs w:val="16"/>
          <w:rtl/>
        </w:rPr>
        <w:t xml:space="preserve"> היינו לומר דמדאמר הלכה כרבותינו משמע דכיון שאחר ההכרזה שלחו לומר לה הוי יודעת שאפילו כתובתך ק' מנה הפסדת אותה וכו'</w:t>
      </w:r>
      <w:r>
        <w:rPr>
          <w:rFonts w:cs="Arial" w:hint="cs"/>
          <w:sz w:val="16"/>
          <w:szCs w:val="16"/>
          <w:rtl/>
        </w:rPr>
        <w:t xml:space="preserve"> </w:t>
      </w:r>
      <w:r w:rsidRPr="00187BBC">
        <w:rPr>
          <w:rFonts w:cs="Arial"/>
          <w:sz w:val="16"/>
          <w:szCs w:val="16"/>
          <w:rtl/>
        </w:rPr>
        <w:t>מיד מפסדת כתובתה</w:t>
      </w:r>
      <w:r>
        <w:rPr>
          <w:rFonts w:cs="Arial" w:hint="cs"/>
          <w:sz w:val="16"/>
          <w:szCs w:val="16"/>
          <w:rtl/>
        </w:rPr>
        <w:t xml:space="preserve"> -</w:t>
      </w:r>
      <w:r w:rsidRPr="00187BBC">
        <w:rPr>
          <w:rFonts w:cs="Arial"/>
          <w:sz w:val="16"/>
          <w:szCs w:val="16"/>
          <w:rtl/>
        </w:rPr>
        <w:t xml:space="preserve"> והא ליתא</w:t>
      </w:r>
      <w:r>
        <w:rPr>
          <w:rFonts w:cs="Arial" w:hint="cs"/>
          <w:sz w:val="16"/>
          <w:szCs w:val="16"/>
          <w:rtl/>
        </w:rPr>
        <w:t>,</w:t>
      </w:r>
      <w:r w:rsidRPr="00187BBC">
        <w:rPr>
          <w:rFonts w:cs="Arial"/>
          <w:sz w:val="16"/>
          <w:szCs w:val="16"/>
          <w:rtl/>
        </w:rPr>
        <w:t xml:space="preserve"> אלא אינה מפסדתה עד שנמלכין בה</w:t>
      </w:r>
      <w:r>
        <w:rPr>
          <w:rFonts w:cs="Arial" w:hint="cs"/>
          <w:sz w:val="16"/>
          <w:szCs w:val="16"/>
          <w:rtl/>
        </w:rPr>
        <w:t>)</w:t>
      </w:r>
      <w:r w:rsidRPr="00530F9D">
        <w:rPr>
          <w:rFonts w:cs="Arial"/>
          <w:sz w:val="16"/>
          <w:szCs w:val="16"/>
          <w:rtl/>
        </w:rPr>
        <w:t xml:space="preserve"> </w:t>
      </w:r>
    </w:p>
    <w:p w14:paraId="2A235062" w14:textId="77777777" w:rsidR="002E5BAD" w:rsidRPr="005A6BAC" w:rsidRDefault="002E5BAD" w:rsidP="002E5BAD">
      <w:pPr>
        <w:rPr>
          <w:u w:val="single"/>
          <w:rtl/>
        </w:rPr>
      </w:pPr>
      <w:r w:rsidRPr="005A6BAC">
        <w:rPr>
          <w:rFonts w:hint="cs"/>
          <w:u w:val="single"/>
          <w:rtl/>
        </w:rPr>
        <w:t>מורדת על בעלה</w:t>
      </w:r>
      <w:r>
        <w:rPr>
          <w:rFonts w:hint="cs"/>
          <w:u w:val="single"/>
          <w:rtl/>
        </w:rPr>
        <w:t xml:space="preserve"> </w:t>
      </w:r>
      <w:r>
        <w:rPr>
          <w:u w:val="single"/>
          <w:rtl/>
        </w:rPr>
        <w:t>–</w:t>
      </w:r>
      <w:r>
        <w:rPr>
          <w:rFonts w:hint="cs"/>
          <w:u w:val="single"/>
          <w:rtl/>
        </w:rPr>
        <w:t xml:space="preserve"> דינא דמתניתין</w:t>
      </w:r>
      <w:r w:rsidRPr="005A6BAC">
        <w:rPr>
          <w:rFonts w:hint="cs"/>
          <w:u w:val="single"/>
          <w:rtl/>
        </w:rPr>
        <w:t>:</w:t>
      </w:r>
    </w:p>
    <w:p w14:paraId="27CF99E4" w14:textId="77777777" w:rsidR="002E5BAD" w:rsidRDefault="002E5BAD" w:rsidP="002E5BAD">
      <w:pPr>
        <w:pStyle w:val="ab"/>
        <w:numPr>
          <w:ilvl w:val="0"/>
          <w:numId w:val="158"/>
        </w:numPr>
        <w:rPr>
          <w:rFonts w:cs="Arial"/>
        </w:rPr>
      </w:pPr>
      <w:r>
        <w:rPr>
          <w:rFonts w:cs="Arial" w:hint="cs"/>
          <w:rtl/>
        </w:rPr>
        <w:t xml:space="preserve">טור- </w:t>
      </w:r>
      <w:r w:rsidRPr="00897A64">
        <w:rPr>
          <w:rFonts w:cs="Arial"/>
          <w:rtl/>
        </w:rPr>
        <w:t>והאשה שמרדה על בעלה מתשמיש</w:t>
      </w:r>
      <w:r>
        <w:rPr>
          <w:rFonts w:cs="Arial" w:hint="cs"/>
          <w:rtl/>
        </w:rPr>
        <w:t>,</w:t>
      </w:r>
      <w:r w:rsidRPr="00897A64">
        <w:rPr>
          <w:rFonts w:cs="Arial"/>
          <w:rtl/>
        </w:rPr>
        <w:t xml:space="preserve"> הרבה תקנות תקנו בה</w:t>
      </w:r>
      <w:r>
        <w:rPr>
          <w:rFonts w:cs="Arial" w:hint="cs"/>
          <w:rtl/>
        </w:rPr>
        <w:t>.</w:t>
      </w:r>
      <w:r w:rsidRPr="00897A64">
        <w:rPr>
          <w:rFonts w:cs="Arial"/>
          <w:rtl/>
        </w:rPr>
        <w:t xml:space="preserve"> בתחילה תקנו בימי חכמי המשנה שיפחתו לה מכתובתה ז' דינרין לשבוע עד כדי כתובתה ואז יוציאנה</w:t>
      </w:r>
      <w:r>
        <w:rPr>
          <w:rStyle w:val="a7"/>
          <w:rFonts w:cs="Arial"/>
          <w:rtl/>
        </w:rPr>
        <w:footnoteReference w:id="1293"/>
      </w:r>
      <w:r>
        <w:rPr>
          <w:rFonts w:cs="Arial" w:hint="cs"/>
          <w:rtl/>
        </w:rPr>
        <w:t>,</w:t>
      </w:r>
      <w:r w:rsidRPr="00897A64">
        <w:rPr>
          <w:rFonts w:cs="Arial"/>
          <w:rtl/>
        </w:rPr>
        <w:t xml:space="preserve"> ואפילו אם ישמש עמה במרדה יפחות לה</w:t>
      </w:r>
      <w:r>
        <w:rPr>
          <w:rFonts w:cs="Arial" w:hint="cs"/>
          <w:rtl/>
        </w:rPr>
        <w:t>,</w:t>
      </w:r>
      <w:r w:rsidRPr="00897A64">
        <w:rPr>
          <w:rFonts w:cs="Arial"/>
          <w:rtl/>
        </w:rPr>
        <w:t xml:space="preserve"> כיון שהוא בעל כרחה</w:t>
      </w:r>
      <w:r>
        <w:rPr>
          <w:rFonts w:cs="Arial" w:hint="cs"/>
          <w:rtl/>
        </w:rPr>
        <w:t>.</w:t>
      </w:r>
      <w:r w:rsidRPr="00897A64">
        <w:rPr>
          <w:rFonts w:cs="Arial"/>
          <w:rtl/>
        </w:rPr>
        <w:t xml:space="preserve"> </w:t>
      </w:r>
    </w:p>
    <w:p w14:paraId="624F94F2" w14:textId="77777777" w:rsidR="002E5BAD" w:rsidRPr="00577FF6" w:rsidRDefault="002E5BAD" w:rsidP="002E5BAD">
      <w:pPr>
        <w:ind w:left="360"/>
        <w:rPr>
          <w:rFonts w:cs="Arial"/>
          <w:u w:val="dotted"/>
        </w:rPr>
      </w:pPr>
      <w:r w:rsidRPr="00577FF6">
        <w:rPr>
          <w:rFonts w:cs="Arial" w:hint="cs"/>
          <w:u w:val="dotted"/>
          <w:rtl/>
        </w:rPr>
        <w:t>ומה הדין אם חזרה בה ממרדה קודם/לאחר כלות כתובתה:</w:t>
      </w:r>
    </w:p>
    <w:p w14:paraId="2211EEF1" w14:textId="77777777" w:rsidR="002E5BAD" w:rsidRDefault="002E5BAD" w:rsidP="002E5BAD">
      <w:pPr>
        <w:pStyle w:val="ab"/>
        <w:numPr>
          <w:ilvl w:val="0"/>
          <w:numId w:val="158"/>
        </w:numPr>
        <w:rPr>
          <w:rFonts w:cs="Arial"/>
        </w:rPr>
      </w:pPr>
      <w:r>
        <w:rPr>
          <w:rFonts w:cs="Arial" w:hint="cs"/>
          <w:rtl/>
        </w:rPr>
        <w:t xml:space="preserve">הגה"מ </w:t>
      </w:r>
      <w:r w:rsidRPr="00577FF6">
        <w:rPr>
          <w:rFonts w:cs="Arial"/>
          <w:sz w:val="16"/>
          <w:szCs w:val="16"/>
          <w:rtl/>
        </w:rPr>
        <w:t>(פי"ד אות ח)</w:t>
      </w:r>
      <w:r>
        <w:rPr>
          <w:rFonts w:cs="Arial" w:hint="cs"/>
          <w:rtl/>
        </w:rPr>
        <w:t>-</w:t>
      </w:r>
      <w:r>
        <w:rPr>
          <w:rFonts w:cs="Arial"/>
          <w:rtl/>
        </w:rPr>
        <w:t xml:space="preserve"> אם חזרה בה ממרדה קודם כלות כתובתה ולא גירשה אפילו כתובתה אלף זוז לא הפסידה כלום</w:t>
      </w:r>
      <w:r>
        <w:rPr>
          <w:rFonts w:cs="Arial" w:hint="cs"/>
          <w:rtl/>
        </w:rPr>
        <w:t>.</w:t>
      </w:r>
      <w:r>
        <w:rPr>
          <w:rFonts w:cs="Arial"/>
          <w:rtl/>
        </w:rPr>
        <w:t xml:space="preserve"> אבל אם מרדה כל כך עד שהפסידה כל כתובתה כתב הר"מ </w:t>
      </w:r>
      <w:r w:rsidRPr="00577FF6">
        <w:rPr>
          <w:rFonts w:cs="Arial"/>
          <w:sz w:val="16"/>
          <w:szCs w:val="16"/>
          <w:rtl/>
        </w:rPr>
        <w:t xml:space="preserve">(ד"פ סי' תתקמו) </w:t>
      </w:r>
      <w:r>
        <w:rPr>
          <w:rFonts w:cs="Arial"/>
          <w:rtl/>
        </w:rPr>
        <w:t>דהוי דבר פשוט דאפילו הדרה בה אין לה כתובה ולא תנאי כתובה</w:t>
      </w:r>
      <w:r>
        <w:rPr>
          <w:rStyle w:val="a7"/>
          <w:rFonts w:cs="Arial"/>
          <w:rtl/>
        </w:rPr>
        <w:footnoteReference w:id="1294"/>
      </w:r>
      <w:r>
        <w:rPr>
          <w:rFonts w:cs="Arial" w:hint="cs"/>
          <w:rtl/>
        </w:rPr>
        <w:t>.</w:t>
      </w:r>
    </w:p>
    <w:p w14:paraId="25086407" w14:textId="77777777" w:rsidR="002E5BAD" w:rsidRPr="00577FF6" w:rsidRDefault="002E5BAD" w:rsidP="002E5BAD">
      <w:pPr>
        <w:rPr>
          <w:rFonts w:cs="Arial"/>
        </w:rPr>
      </w:pPr>
      <w:r w:rsidRPr="005A6BAC">
        <w:rPr>
          <w:rFonts w:hint="cs"/>
          <w:u w:val="single"/>
          <w:rtl/>
        </w:rPr>
        <w:t>מורדת על בעלה</w:t>
      </w:r>
      <w:r>
        <w:rPr>
          <w:rFonts w:hint="cs"/>
          <w:u w:val="single"/>
          <w:rtl/>
        </w:rPr>
        <w:t xml:space="preserve"> </w:t>
      </w:r>
      <w:r>
        <w:rPr>
          <w:u w:val="single"/>
          <w:rtl/>
        </w:rPr>
        <w:t>–</w:t>
      </w:r>
      <w:r>
        <w:rPr>
          <w:rFonts w:hint="cs"/>
          <w:u w:val="single"/>
          <w:rtl/>
        </w:rPr>
        <w:t xml:space="preserve"> תקנה ראשונה </w:t>
      </w:r>
      <w:r w:rsidRPr="00DD0BB0">
        <w:rPr>
          <w:rFonts w:hint="cs"/>
          <w:sz w:val="16"/>
          <w:szCs w:val="16"/>
          <w:u w:val="single"/>
          <w:rtl/>
        </w:rPr>
        <w:t>(לאחר דינא דמתניתין</w:t>
      </w:r>
      <w:r>
        <w:rPr>
          <w:rFonts w:hint="cs"/>
          <w:sz w:val="16"/>
          <w:szCs w:val="16"/>
          <w:u w:val="single"/>
          <w:rtl/>
        </w:rPr>
        <w:t>)</w:t>
      </w:r>
      <w:r w:rsidRPr="005A6BAC">
        <w:rPr>
          <w:rFonts w:hint="cs"/>
          <w:u w:val="single"/>
          <w:rtl/>
        </w:rPr>
        <w:t>:</w:t>
      </w:r>
    </w:p>
    <w:p w14:paraId="4DF2172A" w14:textId="77777777" w:rsidR="002E5BAD" w:rsidRDefault="002E5BAD" w:rsidP="002E5BAD">
      <w:pPr>
        <w:pStyle w:val="ab"/>
        <w:numPr>
          <w:ilvl w:val="0"/>
          <w:numId w:val="158"/>
        </w:numPr>
        <w:rPr>
          <w:rFonts w:cs="Arial"/>
        </w:rPr>
      </w:pPr>
      <w:r>
        <w:rPr>
          <w:rFonts w:cs="Arial" w:hint="cs"/>
          <w:rtl/>
        </w:rPr>
        <w:t xml:space="preserve">טור- </w:t>
      </w:r>
      <w:r w:rsidRPr="00897A64">
        <w:rPr>
          <w:rFonts w:cs="Arial"/>
          <w:rtl/>
        </w:rPr>
        <w:t>ושוב תקנו שישלחו מבית דין שתחזור בה</w:t>
      </w:r>
      <w:r>
        <w:rPr>
          <w:rFonts w:cs="Arial" w:hint="cs"/>
          <w:rtl/>
        </w:rPr>
        <w:t>.</w:t>
      </w:r>
      <w:r w:rsidRPr="00897A64">
        <w:rPr>
          <w:rFonts w:cs="Arial"/>
          <w:rtl/>
        </w:rPr>
        <w:t xml:space="preserve"> לא חזרה בה</w:t>
      </w:r>
      <w:r>
        <w:rPr>
          <w:rFonts w:cs="Arial" w:hint="cs"/>
          <w:rtl/>
        </w:rPr>
        <w:t>,</w:t>
      </w:r>
      <w:r w:rsidRPr="00897A64">
        <w:rPr>
          <w:rFonts w:cs="Arial"/>
          <w:rtl/>
        </w:rPr>
        <w:t xml:space="preserve"> מכריזין עליה ד' פעמים בד' שבתות זו אחר זו בבתי כנסיות ובבתי מדרשות </w:t>
      </w:r>
      <w:r>
        <w:rPr>
          <w:rFonts w:cs="Arial" w:hint="cs"/>
          <w:rtl/>
        </w:rPr>
        <w:t>'</w:t>
      </w:r>
      <w:r w:rsidRPr="00897A64">
        <w:rPr>
          <w:rFonts w:cs="Arial"/>
          <w:rtl/>
        </w:rPr>
        <w:t>פלונית מורדת על בעלה</w:t>
      </w:r>
      <w:r>
        <w:rPr>
          <w:rFonts w:cs="Arial" w:hint="cs"/>
          <w:rtl/>
        </w:rPr>
        <w:t>',</w:t>
      </w:r>
      <w:r w:rsidRPr="00897A64">
        <w:rPr>
          <w:rFonts w:cs="Arial"/>
          <w:rtl/>
        </w:rPr>
        <w:t xml:space="preserve"> כדי לביישה</w:t>
      </w:r>
      <w:r>
        <w:rPr>
          <w:rFonts w:cs="Arial" w:hint="cs"/>
          <w:rtl/>
        </w:rPr>
        <w:t>.</w:t>
      </w:r>
      <w:r w:rsidRPr="00897A64">
        <w:rPr>
          <w:rFonts w:cs="Arial"/>
          <w:rtl/>
        </w:rPr>
        <w:t xml:space="preserve"> לא חזרה בה</w:t>
      </w:r>
      <w:r>
        <w:rPr>
          <w:rFonts w:cs="Arial" w:hint="cs"/>
          <w:rtl/>
        </w:rPr>
        <w:t>,</w:t>
      </w:r>
      <w:r w:rsidRPr="00897A64">
        <w:rPr>
          <w:rFonts w:cs="Arial"/>
          <w:rtl/>
        </w:rPr>
        <w:t xml:space="preserve"> שולחין לה </w:t>
      </w:r>
      <w:r>
        <w:rPr>
          <w:rFonts w:cs="Arial" w:hint="cs"/>
          <w:rtl/>
        </w:rPr>
        <w:t>'</w:t>
      </w:r>
      <w:r w:rsidRPr="00897A64">
        <w:rPr>
          <w:rFonts w:cs="Arial"/>
          <w:rtl/>
        </w:rPr>
        <w:t>הוי יודעת שאפילו כתובתך ק' מנה הפסדת</w:t>
      </w:r>
      <w:r>
        <w:rPr>
          <w:rFonts w:cs="Arial" w:hint="cs"/>
          <w:rtl/>
        </w:rPr>
        <w:t>',</w:t>
      </w:r>
      <w:r w:rsidRPr="00897A64">
        <w:rPr>
          <w:rFonts w:cs="Arial"/>
          <w:rtl/>
        </w:rPr>
        <w:t xml:space="preserve"> ומגרשה</w:t>
      </w:r>
      <w:r>
        <w:rPr>
          <w:rFonts w:cs="Arial" w:hint="cs"/>
          <w:rtl/>
        </w:rPr>
        <w:t>.</w:t>
      </w:r>
      <w:r w:rsidRPr="00897A64">
        <w:rPr>
          <w:rFonts w:cs="Arial"/>
          <w:rtl/>
        </w:rPr>
        <w:t xml:space="preserve"> </w:t>
      </w:r>
    </w:p>
    <w:p w14:paraId="5B6F900E" w14:textId="77777777" w:rsidR="002E5BAD" w:rsidRDefault="002E5BAD" w:rsidP="002E5BAD">
      <w:pPr>
        <w:pStyle w:val="ab"/>
        <w:numPr>
          <w:ilvl w:val="0"/>
          <w:numId w:val="158"/>
        </w:numPr>
        <w:rPr>
          <w:rFonts w:cs="Arial"/>
        </w:rPr>
      </w:pPr>
      <w:r>
        <w:rPr>
          <w:rFonts w:cs="Arial" w:hint="cs"/>
          <w:rtl/>
        </w:rPr>
        <w:t xml:space="preserve">רמב"ם </w:t>
      </w:r>
      <w:r>
        <w:rPr>
          <w:rFonts w:cs="Arial" w:hint="cs"/>
          <w:sz w:val="16"/>
          <w:szCs w:val="16"/>
          <w:rtl/>
        </w:rPr>
        <w:t>(פי"ד מאישות ה"ט-י)</w:t>
      </w:r>
      <w:r>
        <w:rPr>
          <w:rFonts w:cs="Arial" w:hint="cs"/>
          <w:rtl/>
        </w:rPr>
        <w:t xml:space="preserve">- </w:t>
      </w:r>
      <w:r w:rsidRPr="00F94CC8">
        <w:rPr>
          <w:rFonts w:cs="Arial"/>
          <w:rtl/>
        </w:rPr>
        <w:t>שולחים לה מבית דין ואומרין לה הוי יודעת שאם את עומדת במרדך אפילו כתובתך מאה מנה הפסדת אותה</w:t>
      </w:r>
      <w:r>
        <w:rPr>
          <w:rFonts w:cs="Arial" w:hint="cs"/>
          <w:rtl/>
        </w:rPr>
        <w:t>.</w:t>
      </w:r>
      <w:r w:rsidRPr="00F94CC8">
        <w:rPr>
          <w:rFonts w:cs="Arial"/>
          <w:rtl/>
        </w:rPr>
        <w:t xml:space="preserve"> ואחר כך מכריזין עליה בבתי כנסיות ובבתי מדרשות בכל יום</w:t>
      </w:r>
      <w:r>
        <w:rPr>
          <w:rStyle w:val="a7"/>
          <w:rFonts w:cs="Arial"/>
          <w:rtl/>
        </w:rPr>
        <w:footnoteReference w:id="1295"/>
      </w:r>
      <w:r w:rsidRPr="00F94CC8">
        <w:rPr>
          <w:rFonts w:cs="Arial"/>
          <w:rtl/>
        </w:rPr>
        <w:t xml:space="preserve"> ארבע שבתות זו אחר זו ואומרים פלונית מרדה על בעלה</w:t>
      </w:r>
      <w:r>
        <w:rPr>
          <w:rFonts w:cs="Arial" w:hint="cs"/>
          <w:rtl/>
        </w:rPr>
        <w:t>.</w:t>
      </w:r>
      <w:r w:rsidRPr="00F94CC8">
        <w:rPr>
          <w:rtl/>
        </w:rPr>
        <w:t xml:space="preserve"> </w:t>
      </w:r>
      <w:r w:rsidRPr="00F94CC8">
        <w:rPr>
          <w:rFonts w:cs="Arial"/>
          <w:rtl/>
        </w:rPr>
        <w:t xml:space="preserve">ואחר ההכרזה שולחין לה פעם שנייה ואומרים לה אם את עומדת </w:t>
      </w:r>
      <w:r w:rsidRPr="00F94CC8">
        <w:rPr>
          <w:rFonts w:cs="Arial"/>
          <w:rtl/>
        </w:rPr>
        <w:lastRenderedPageBreak/>
        <w:t>במרדך הפסדת כתובתיך. אם עמדה במרדה ולא חזרה נמלכין בה ותאבד כתובתה ולא יהיה לה כתובה כלל</w:t>
      </w:r>
      <w:r>
        <w:rPr>
          <w:rFonts w:cs="Arial" w:hint="cs"/>
          <w:rtl/>
        </w:rPr>
        <w:t xml:space="preserve">. </w:t>
      </w:r>
      <w:r w:rsidRPr="00DD4860">
        <w:rPr>
          <w:rFonts w:cs="Arial" w:hint="cs"/>
          <w:color w:val="E36C0A" w:themeColor="accent6" w:themeShade="BF"/>
          <w:rtl/>
        </w:rPr>
        <w:t>(וכ"פ בשו"ע)</w:t>
      </w:r>
    </w:p>
    <w:p w14:paraId="61F65535" w14:textId="77777777" w:rsidR="002E5BAD" w:rsidRPr="00242295" w:rsidRDefault="002E5BAD" w:rsidP="002E5BAD">
      <w:pPr>
        <w:ind w:left="360"/>
        <w:rPr>
          <w:rFonts w:cs="Arial"/>
          <w:u w:val="dotted"/>
        </w:rPr>
      </w:pPr>
      <w:r w:rsidRPr="00242295">
        <w:rPr>
          <w:rFonts w:cs="Arial" w:hint="cs"/>
          <w:u w:val="dotted"/>
          <w:rtl/>
        </w:rPr>
        <w:t xml:space="preserve">ומה הדין אם חזרה בה ממרדה קודם/לאחר </w:t>
      </w:r>
      <w:r>
        <w:rPr>
          <w:rFonts w:cs="Arial" w:hint="cs"/>
          <w:u w:val="dotted"/>
          <w:rtl/>
        </w:rPr>
        <w:t>ד' שבתות</w:t>
      </w:r>
      <w:r w:rsidRPr="00242295">
        <w:rPr>
          <w:rFonts w:cs="Arial" w:hint="cs"/>
          <w:u w:val="dotted"/>
          <w:rtl/>
        </w:rPr>
        <w:t>:</w:t>
      </w:r>
    </w:p>
    <w:p w14:paraId="422FB037" w14:textId="77777777" w:rsidR="002E5BAD" w:rsidRPr="00242295" w:rsidRDefault="002E5BAD" w:rsidP="002E5BAD">
      <w:pPr>
        <w:pStyle w:val="ab"/>
        <w:numPr>
          <w:ilvl w:val="0"/>
          <w:numId w:val="159"/>
        </w:numPr>
        <w:rPr>
          <w:rFonts w:cs="Arial"/>
          <w:rtl/>
        </w:rPr>
      </w:pPr>
      <w:r w:rsidRPr="00242295">
        <w:rPr>
          <w:rFonts w:cs="Arial"/>
          <w:rtl/>
        </w:rPr>
        <w:t xml:space="preserve">ר"ן </w:t>
      </w:r>
      <w:r w:rsidRPr="00242295">
        <w:rPr>
          <w:rFonts w:cs="Arial"/>
          <w:sz w:val="16"/>
          <w:szCs w:val="16"/>
          <w:rtl/>
        </w:rPr>
        <w:t>(כו: ד"ה חזרו)</w:t>
      </w:r>
      <w:r>
        <w:rPr>
          <w:rFonts w:cs="Arial" w:hint="cs"/>
          <w:rtl/>
        </w:rPr>
        <w:t>-</w:t>
      </w:r>
      <w:r w:rsidRPr="00242295">
        <w:rPr>
          <w:rFonts w:cs="Arial"/>
          <w:rtl/>
        </w:rPr>
        <w:t xml:space="preserve"> דעת הגאון שאם חזרה בה תוך ד' שבתות לא הפסידה כלום</w:t>
      </w:r>
      <w:r>
        <w:rPr>
          <w:rFonts w:cs="Arial" w:hint="cs"/>
          <w:rtl/>
        </w:rPr>
        <w:t xml:space="preserve">. </w:t>
      </w:r>
      <w:r w:rsidRPr="00242295">
        <w:rPr>
          <w:rFonts w:cs="Arial"/>
          <w:rtl/>
        </w:rPr>
        <w:t>וכ"ת אתיא לאיערומי דמרדה ג' שב' ובד' הדרה בה וכן לעולם</w:t>
      </w:r>
      <w:r>
        <w:rPr>
          <w:rFonts w:cs="Arial" w:hint="cs"/>
          <w:rtl/>
        </w:rPr>
        <w:t xml:space="preserve"> </w:t>
      </w:r>
      <w:r>
        <w:rPr>
          <w:rFonts w:cs="Arial"/>
          <w:rtl/>
        </w:rPr>
        <w:t>–</w:t>
      </w:r>
      <w:r w:rsidRPr="00242295">
        <w:rPr>
          <w:rFonts w:cs="Arial"/>
          <w:rtl/>
        </w:rPr>
        <w:t xml:space="preserve"> ליתא</w:t>
      </w:r>
      <w:r>
        <w:rPr>
          <w:rFonts w:cs="Arial" w:hint="cs"/>
          <w:rtl/>
        </w:rPr>
        <w:t>,</w:t>
      </w:r>
      <w:r w:rsidRPr="00242295">
        <w:rPr>
          <w:rFonts w:cs="Arial"/>
          <w:rtl/>
        </w:rPr>
        <w:t xml:space="preserve"> דאיפשר דכל שעברו עליה ד' שבתות של הכרזה בין הפעמים כולם הפסידה כתובתה</w:t>
      </w:r>
      <w:r>
        <w:rPr>
          <w:rFonts w:cs="Arial" w:hint="cs"/>
          <w:rtl/>
        </w:rPr>
        <w:t>.</w:t>
      </w:r>
      <w:r w:rsidRPr="00242295">
        <w:rPr>
          <w:rFonts w:cs="Arial"/>
          <w:rtl/>
        </w:rPr>
        <w:t xml:space="preserve"> ואחרים אומרים דבתוך ד' שבתות פוחתין ז' ז'</w:t>
      </w:r>
      <w:r>
        <w:rPr>
          <w:rFonts w:cs="Arial" w:hint="cs"/>
          <w:rtl/>
        </w:rPr>
        <w:t>,</w:t>
      </w:r>
      <w:r w:rsidRPr="00242295">
        <w:rPr>
          <w:rFonts w:cs="Arial"/>
          <w:rtl/>
        </w:rPr>
        <w:t xml:space="preserve"> ומשום הכי לא אתיא לאיערומי</w:t>
      </w:r>
      <w:r>
        <w:rPr>
          <w:rFonts w:cs="Arial" w:hint="cs"/>
          <w:rtl/>
        </w:rPr>
        <w:t>,</w:t>
      </w:r>
      <w:r w:rsidRPr="00242295">
        <w:rPr>
          <w:rFonts w:cs="Arial"/>
          <w:rtl/>
        </w:rPr>
        <w:t xml:space="preserve"> אבל אינה מפסדת כתובתה בבת אחת אלא בד' שבתות רצופים</w:t>
      </w:r>
      <w:r>
        <w:rPr>
          <w:rFonts w:cs="Arial" w:hint="cs"/>
          <w:rtl/>
        </w:rPr>
        <w:t>.</w:t>
      </w:r>
    </w:p>
    <w:p w14:paraId="3A87FF47" w14:textId="77777777" w:rsidR="002E5BAD" w:rsidRDefault="002E5BAD" w:rsidP="002E5BAD">
      <w:pPr>
        <w:rPr>
          <w:u w:val="single"/>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w:t>
      </w:r>
      <w:r>
        <w:rPr>
          <w:rFonts w:cs="Arial" w:hint="cs"/>
          <w:b/>
          <w:bCs/>
          <w:rtl/>
        </w:rPr>
        <w:t>ב</w:t>
      </w:r>
      <w:r w:rsidRPr="005A6BAC">
        <w:rPr>
          <w:rFonts w:cs="Arial"/>
          <w:b/>
          <w:bCs/>
          <w:rtl/>
        </w:rPr>
        <w:t>:</w:t>
      </w:r>
      <w:r>
        <w:rPr>
          <w:rFonts w:cs="Arial" w:hint="cs"/>
          <w:rtl/>
        </w:rPr>
        <w:t xml:space="preserve"> </w:t>
      </w:r>
      <w:r w:rsidRPr="00BA5CCA">
        <w:rPr>
          <w:rFonts w:cs="Arial"/>
          <w:rtl/>
        </w:rPr>
        <w:t>כלתיה דרב זביד אימרדא</w:t>
      </w:r>
      <w:r>
        <w:rPr>
          <w:rStyle w:val="a7"/>
          <w:rFonts w:cs="Arial"/>
          <w:rtl/>
        </w:rPr>
        <w:footnoteReference w:id="1296"/>
      </w:r>
      <w:r w:rsidRPr="00BA5CCA">
        <w:rPr>
          <w:rFonts w:cs="Arial"/>
          <w:rtl/>
        </w:rPr>
        <w:t>, הוה תפיסא חד שירא</w:t>
      </w:r>
      <w:r>
        <w:rPr>
          <w:rStyle w:val="a7"/>
          <w:rFonts w:cs="Arial"/>
          <w:rtl/>
        </w:rPr>
        <w:footnoteReference w:id="1297"/>
      </w:r>
      <w:r w:rsidRPr="00BA5CCA">
        <w:rPr>
          <w:rFonts w:cs="Arial"/>
          <w:rtl/>
        </w:rPr>
        <w:t xml:space="preserve">, יתיב אמימר ומר זוטרא ורב אשי ויתיב רב גמדא גבייהו, </w:t>
      </w:r>
      <w:r w:rsidRPr="00BA5CCA">
        <w:rPr>
          <w:rFonts w:cs="Arial"/>
          <w:u w:val="single"/>
          <w:rtl/>
        </w:rPr>
        <w:t>יתבי וקאמרי</w:t>
      </w:r>
      <w:r w:rsidRPr="00BA5CCA">
        <w:rPr>
          <w:rFonts w:cs="Arial"/>
          <w:rtl/>
        </w:rPr>
        <w:t>: מרדה - הפסידה בלאותיה קיימין</w:t>
      </w:r>
      <w:r>
        <w:rPr>
          <w:rStyle w:val="a7"/>
          <w:rFonts w:cs="Arial"/>
          <w:rtl/>
        </w:rPr>
        <w:footnoteReference w:id="1298"/>
      </w:r>
      <w:r w:rsidRPr="00BA5CCA">
        <w:rPr>
          <w:rFonts w:cs="Arial"/>
          <w:rtl/>
        </w:rPr>
        <w:t xml:space="preserve">. </w:t>
      </w:r>
      <w:r w:rsidRPr="00BA5CCA">
        <w:rPr>
          <w:rFonts w:cs="Arial"/>
          <w:u w:val="single"/>
          <w:rtl/>
        </w:rPr>
        <w:t>אמר להו רב גמדא</w:t>
      </w:r>
      <w:r w:rsidRPr="00BA5CCA">
        <w:rPr>
          <w:rFonts w:cs="Arial"/>
          <w:rtl/>
        </w:rPr>
        <w:t>: משום דרב זביד גברא רבה מחניפיתו ליה? והאמר רב כהנא: מיבעיא בעי</w:t>
      </w:r>
      <w:r>
        <w:rPr>
          <w:rStyle w:val="a7"/>
          <w:rFonts w:cs="Arial"/>
          <w:rtl/>
        </w:rPr>
        <w:footnoteReference w:id="1299"/>
      </w:r>
      <w:r w:rsidRPr="00BA5CCA">
        <w:rPr>
          <w:rFonts w:cs="Arial"/>
          <w:rtl/>
        </w:rPr>
        <w:t xml:space="preserve"> רבא ולא פשיט. </w:t>
      </w:r>
      <w:r w:rsidRPr="00BA5CCA">
        <w:rPr>
          <w:rFonts w:cs="Arial"/>
          <w:u w:val="dotted"/>
          <w:rtl/>
        </w:rPr>
        <w:t>איכא דאמרי</w:t>
      </w:r>
      <w:r w:rsidRPr="00BA5CCA">
        <w:rPr>
          <w:rFonts w:cs="Arial"/>
          <w:rtl/>
        </w:rPr>
        <w:t xml:space="preserve">, </w:t>
      </w:r>
      <w:r w:rsidRPr="00BA5CCA">
        <w:rPr>
          <w:rFonts w:cs="Arial"/>
          <w:u w:val="single"/>
          <w:rtl/>
        </w:rPr>
        <w:t>יתבי וקאמרי</w:t>
      </w:r>
      <w:r w:rsidRPr="00BA5CCA">
        <w:rPr>
          <w:rFonts w:cs="Arial"/>
          <w:rtl/>
        </w:rPr>
        <w:t xml:space="preserve">: מרדה - לא הפסידה בלאותיה קיימין. </w:t>
      </w:r>
      <w:r w:rsidRPr="00BA5CCA">
        <w:rPr>
          <w:rFonts w:cs="Arial"/>
          <w:u w:val="single"/>
          <w:rtl/>
        </w:rPr>
        <w:t>אמר להו רב גמדא</w:t>
      </w:r>
      <w:r w:rsidRPr="00BA5CCA">
        <w:rPr>
          <w:rFonts w:cs="Arial"/>
          <w:rtl/>
        </w:rPr>
        <w:t>:</w:t>
      </w:r>
      <w:r>
        <w:rPr>
          <w:rFonts w:hint="cs"/>
          <w:sz w:val="14"/>
          <w:szCs w:val="14"/>
          <w:rtl/>
        </w:rPr>
        <w:t xml:space="preserve"> (סד.)</w:t>
      </w:r>
      <w:r w:rsidRPr="005A6BAC">
        <w:rPr>
          <w:rtl/>
        </w:rPr>
        <w:t xml:space="preserve"> </w:t>
      </w:r>
      <w:r w:rsidRPr="00BA5CCA">
        <w:rPr>
          <w:rFonts w:cs="Arial"/>
          <w:rtl/>
        </w:rPr>
        <w:t>משום דרב זביד גברא רבה הוא</w:t>
      </w:r>
      <w:r>
        <w:rPr>
          <w:rStyle w:val="a7"/>
          <w:rFonts w:cs="Arial"/>
          <w:rtl/>
        </w:rPr>
        <w:footnoteReference w:id="1300"/>
      </w:r>
      <w:r w:rsidRPr="00BA5CCA">
        <w:rPr>
          <w:rFonts w:cs="Arial"/>
          <w:rtl/>
        </w:rPr>
        <w:t xml:space="preserve"> אפכיתו ליה לדינא</w:t>
      </w:r>
      <w:r>
        <w:rPr>
          <w:rStyle w:val="a7"/>
          <w:rFonts w:cs="Arial"/>
          <w:rtl/>
        </w:rPr>
        <w:footnoteReference w:id="1301"/>
      </w:r>
      <w:r w:rsidRPr="00BA5CCA">
        <w:rPr>
          <w:rFonts w:cs="Arial"/>
          <w:rtl/>
        </w:rPr>
        <w:t xml:space="preserve"> עילויה? האמר רב כהנא: מיבעיא בעי לה רבא ולא פשיט. השתא דלא אתמר לא הכי ולא הכי, תפסה - לא מפקינן מינה, לא תפסה - לא יהבינן לה, ומשהינן לה</w:t>
      </w:r>
      <w:r>
        <w:rPr>
          <w:rStyle w:val="a7"/>
          <w:rFonts w:cs="Arial"/>
          <w:rtl/>
        </w:rPr>
        <w:footnoteReference w:id="1302"/>
      </w:r>
      <w:r w:rsidRPr="00BA5CCA">
        <w:rPr>
          <w:rFonts w:cs="Arial"/>
          <w:rtl/>
        </w:rPr>
        <w:t xml:space="preserve"> תריסר ירחי שתא אגיטא, ובהנך תריסר ירחי שתא לית לה מזוני מבעל.</w:t>
      </w:r>
    </w:p>
    <w:p w14:paraId="0E5923B5" w14:textId="77777777" w:rsidR="002E5BAD" w:rsidRPr="00530F9D" w:rsidRDefault="002E5BAD" w:rsidP="002E5BAD">
      <w:pPr>
        <w:rPr>
          <w:rFonts w:cs="Arial"/>
        </w:rPr>
      </w:pPr>
      <w:r w:rsidRPr="005A6BAC">
        <w:rPr>
          <w:rFonts w:hint="cs"/>
          <w:u w:val="single"/>
          <w:rtl/>
        </w:rPr>
        <w:t>מורדת על בעלה</w:t>
      </w:r>
      <w:r>
        <w:rPr>
          <w:rFonts w:hint="cs"/>
          <w:u w:val="single"/>
          <w:rtl/>
        </w:rPr>
        <w:t xml:space="preserve"> </w:t>
      </w:r>
      <w:r>
        <w:rPr>
          <w:u w:val="single"/>
          <w:rtl/>
        </w:rPr>
        <w:t>–</w:t>
      </w:r>
      <w:r>
        <w:rPr>
          <w:rFonts w:hint="cs"/>
          <w:u w:val="single"/>
          <w:rtl/>
        </w:rPr>
        <w:t xml:space="preserve"> תקנה שניה </w:t>
      </w:r>
      <w:r w:rsidRPr="00DD0BB0">
        <w:rPr>
          <w:rFonts w:hint="cs"/>
          <w:sz w:val="16"/>
          <w:szCs w:val="16"/>
          <w:u w:val="single"/>
          <w:rtl/>
        </w:rPr>
        <w:t>(לאחר דינא דמתניתין</w:t>
      </w:r>
      <w:r>
        <w:rPr>
          <w:rFonts w:hint="cs"/>
          <w:sz w:val="16"/>
          <w:szCs w:val="16"/>
          <w:u w:val="single"/>
          <w:rtl/>
        </w:rPr>
        <w:t xml:space="preserve"> ותקנה ראשונה)</w:t>
      </w:r>
      <w:r w:rsidRPr="005A6BAC">
        <w:rPr>
          <w:rFonts w:hint="cs"/>
          <w:u w:val="single"/>
          <w:rtl/>
        </w:rPr>
        <w:t>:</w:t>
      </w:r>
    </w:p>
    <w:p w14:paraId="0CBB9339" w14:textId="77777777" w:rsidR="002E5BAD" w:rsidRPr="001F501A" w:rsidRDefault="002E5BAD" w:rsidP="002E5BAD">
      <w:pPr>
        <w:pStyle w:val="ab"/>
        <w:numPr>
          <w:ilvl w:val="0"/>
          <w:numId w:val="158"/>
        </w:numPr>
        <w:rPr>
          <w:rFonts w:cs="Arial"/>
        </w:rPr>
      </w:pPr>
      <w:r>
        <w:rPr>
          <w:rFonts w:cs="Arial" w:hint="cs"/>
          <w:rtl/>
        </w:rPr>
        <w:t xml:space="preserve">רא"ש </w:t>
      </w:r>
      <w:r>
        <w:rPr>
          <w:rFonts w:cs="Arial" w:hint="cs"/>
          <w:sz w:val="16"/>
          <w:szCs w:val="16"/>
          <w:rtl/>
        </w:rPr>
        <w:t>(פ"ה סי' לד)</w:t>
      </w:r>
      <w:r>
        <w:rPr>
          <w:rFonts w:cs="Arial" w:hint="cs"/>
          <w:rtl/>
        </w:rPr>
        <w:t xml:space="preserve"> וטור- </w:t>
      </w:r>
      <w:r w:rsidRPr="00897A64">
        <w:rPr>
          <w:rFonts w:cs="Arial"/>
          <w:rtl/>
        </w:rPr>
        <w:t>ושוב הוסיפו לתקן</w:t>
      </w:r>
      <w:r>
        <w:rPr>
          <w:rStyle w:val="a7"/>
          <w:rFonts w:cs="Arial"/>
          <w:rtl/>
        </w:rPr>
        <w:footnoteReference w:id="1303"/>
      </w:r>
      <w:r w:rsidRPr="00897A64">
        <w:rPr>
          <w:rFonts w:cs="Arial"/>
          <w:rtl/>
        </w:rPr>
        <w:t xml:space="preserve"> שימתינו לה י"ב חדש ואז יגרשנה אם ירצה בלא כתובה</w:t>
      </w:r>
      <w:r>
        <w:rPr>
          <w:rStyle w:val="a7"/>
          <w:rFonts w:cs="Arial"/>
          <w:rtl/>
        </w:rPr>
        <w:footnoteReference w:id="1304"/>
      </w:r>
      <w:r>
        <w:rPr>
          <w:rFonts w:cs="Arial" w:hint="cs"/>
          <w:rtl/>
        </w:rPr>
        <w:t>.</w:t>
      </w:r>
      <w:r w:rsidRPr="00897A64">
        <w:rPr>
          <w:rFonts w:cs="Arial"/>
          <w:rtl/>
        </w:rPr>
        <w:t xml:space="preserve"> ובתוך השנה אם בא לגרשה צריך ליתן לה כתובה</w:t>
      </w:r>
      <w:r>
        <w:rPr>
          <w:rFonts w:cs="Arial" w:hint="cs"/>
          <w:rtl/>
        </w:rPr>
        <w:t>.</w:t>
      </w:r>
      <w:r w:rsidRPr="00897A64">
        <w:rPr>
          <w:rFonts w:cs="Arial"/>
          <w:rtl/>
        </w:rPr>
        <w:t xml:space="preserve"> ובתוך השנה אין נותן לה מזונות</w:t>
      </w:r>
      <w:r>
        <w:rPr>
          <w:rFonts w:cs="Arial" w:hint="cs"/>
          <w:rtl/>
        </w:rPr>
        <w:t>,</w:t>
      </w:r>
      <w:r w:rsidRPr="00897A64">
        <w:rPr>
          <w:rFonts w:cs="Arial"/>
          <w:rtl/>
        </w:rPr>
        <w:t xml:space="preserve"> ומעשה ידיה שלה</w:t>
      </w:r>
      <w:r>
        <w:rPr>
          <w:rFonts w:cs="Arial" w:hint="cs"/>
          <w:rtl/>
        </w:rPr>
        <w:t>,</w:t>
      </w:r>
      <w:r w:rsidRPr="00897A64">
        <w:rPr>
          <w:rFonts w:cs="Arial"/>
          <w:rtl/>
        </w:rPr>
        <w:t xml:space="preserve"> אבל נוטל פירותיה ויורשה אם תמות</w:t>
      </w:r>
      <w:r>
        <w:rPr>
          <w:rFonts w:cs="Arial" w:hint="cs"/>
          <w:rtl/>
        </w:rPr>
        <w:t>,</w:t>
      </w:r>
      <w:r w:rsidRPr="00897A64">
        <w:rPr>
          <w:rFonts w:cs="Arial"/>
          <w:rtl/>
        </w:rPr>
        <w:t xml:space="preserve"> וחייב בפדיונה ובקבורתה</w:t>
      </w:r>
      <w:r>
        <w:rPr>
          <w:rFonts w:cs="Arial" w:hint="cs"/>
          <w:sz w:val="16"/>
          <w:szCs w:val="16"/>
          <w:rtl/>
        </w:rPr>
        <w:t xml:space="preserve"> (ל' הטור)</w:t>
      </w:r>
      <w:r>
        <w:rPr>
          <w:rFonts w:cs="Arial" w:hint="cs"/>
          <w:rtl/>
        </w:rPr>
        <w:t>.</w:t>
      </w:r>
      <w:r w:rsidRPr="00897A64">
        <w:rPr>
          <w:rFonts w:cs="Arial"/>
          <w:rtl/>
        </w:rPr>
        <w:t xml:space="preserve"> </w:t>
      </w:r>
      <w:r w:rsidRPr="0087405A">
        <w:rPr>
          <w:rFonts w:cs="Arial" w:hint="cs"/>
          <w:color w:val="00B0F0"/>
          <w:rtl/>
        </w:rPr>
        <w:t>(וכ"פ הרמ"א)</w:t>
      </w:r>
    </w:p>
    <w:p w14:paraId="130BBB97" w14:textId="77777777" w:rsidR="002E5BAD" w:rsidRDefault="002E5BAD" w:rsidP="002E5BAD">
      <w:pPr>
        <w:pStyle w:val="ab"/>
        <w:numPr>
          <w:ilvl w:val="0"/>
          <w:numId w:val="158"/>
        </w:numPr>
        <w:rPr>
          <w:rFonts w:cs="Arial"/>
        </w:rPr>
      </w:pPr>
      <w:r>
        <w:rPr>
          <w:rFonts w:cs="Arial" w:hint="cs"/>
          <w:rtl/>
        </w:rPr>
        <w:t xml:space="preserve">רמב"ם </w:t>
      </w:r>
      <w:r>
        <w:rPr>
          <w:rFonts w:cs="Arial" w:hint="cs"/>
          <w:sz w:val="16"/>
          <w:szCs w:val="16"/>
          <w:rtl/>
        </w:rPr>
        <w:t>(פי"ד מאישות ה"י)</w:t>
      </w:r>
      <w:r>
        <w:rPr>
          <w:rFonts w:cs="Arial" w:hint="cs"/>
          <w:rtl/>
        </w:rPr>
        <w:t xml:space="preserve">- </w:t>
      </w:r>
      <w:r w:rsidRPr="00225FB6">
        <w:rPr>
          <w:rFonts w:cs="Arial"/>
          <w:rtl/>
        </w:rPr>
        <w:t>אין נותנין לה גט עד שנים עשר חדש ואין לה מזונות כל שנים עשר חדש, ואם מתה קודם הגט בעלה יורשה</w:t>
      </w:r>
      <w:r>
        <w:rPr>
          <w:rFonts w:cs="Arial" w:hint="cs"/>
          <w:rtl/>
        </w:rPr>
        <w:t>.</w:t>
      </w:r>
      <w:r w:rsidRPr="00DD4860">
        <w:rPr>
          <w:rFonts w:cs="Arial" w:hint="cs"/>
          <w:color w:val="E36C0A" w:themeColor="accent6" w:themeShade="BF"/>
          <w:rtl/>
        </w:rPr>
        <w:t xml:space="preserve"> (וכ"פ בשו"ע)</w:t>
      </w:r>
    </w:p>
    <w:p w14:paraId="44284714" w14:textId="77777777" w:rsidR="002E5BAD" w:rsidRPr="00522F20" w:rsidRDefault="002E5BAD" w:rsidP="002E5BAD">
      <w:pPr>
        <w:ind w:left="360"/>
        <w:rPr>
          <w:rFonts w:cs="Arial"/>
          <w:u w:val="dotted"/>
        </w:rPr>
      </w:pPr>
      <w:r w:rsidRPr="00522F20">
        <w:rPr>
          <w:rFonts w:cs="Arial" w:hint="cs"/>
          <w:u w:val="dotted"/>
          <w:rtl/>
        </w:rPr>
        <w:t>ומה הדין אם הוא/היא חזרו בהם:</w:t>
      </w:r>
      <w:r w:rsidRPr="00522F20">
        <w:rPr>
          <w:rFonts w:cs="Arial" w:hint="cs"/>
          <w:sz w:val="16"/>
          <w:szCs w:val="16"/>
          <w:rtl/>
        </w:rPr>
        <w:t xml:space="preserve"> </w:t>
      </w:r>
      <w:r>
        <w:rPr>
          <w:rFonts w:cs="Arial" w:hint="cs"/>
          <w:sz w:val="16"/>
          <w:szCs w:val="16"/>
          <w:rtl/>
        </w:rPr>
        <w:t xml:space="preserve"> (דרכ"מ אות ח)</w:t>
      </w:r>
    </w:p>
    <w:p w14:paraId="583B9F15" w14:textId="77777777" w:rsidR="002E5BAD" w:rsidRDefault="002E5BAD" w:rsidP="002E5BAD">
      <w:pPr>
        <w:pStyle w:val="ab"/>
        <w:numPr>
          <w:ilvl w:val="0"/>
          <w:numId w:val="158"/>
        </w:numPr>
        <w:rPr>
          <w:rFonts w:cs="Arial"/>
        </w:rPr>
      </w:pPr>
      <w:r w:rsidRPr="00897A64">
        <w:rPr>
          <w:rFonts w:cs="Arial"/>
          <w:rtl/>
        </w:rPr>
        <w:t xml:space="preserve">רשב"א </w:t>
      </w:r>
      <w:r w:rsidRPr="00393867">
        <w:rPr>
          <w:rFonts w:cs="Arial"/>
          <w:sz w:val="16"/>
          <w:szCs w:val="16"/>
          <w:rtl/>
        </w:rPr>
        <w:t>(ח"א סי</w:t>
      </w:r>
      <w:r w:rsidRPr="00393867">
        <w:rPr>
          <w:rFonts w:cs="Arial" w:hint="cs"/>
          <w:sz w:val="16"/>
          <w:szCs w:val="16"/>
          <w:rtl/>
        </w:rPr>
        <w:t>'</w:t>
      </w:r>
      <w:r w:rsidRPr="00393867">
        <w:rPr>
          <w:rFonts w:cs="Arial"/>
          <w:sz w:val="16"/>
          <w:szCs w:val="16"/>
          <w:rtl/>
        </w:rPr>
        <w:t xml:space="preserve"> תתסא</w:t>
      </w:r>
      <w:r w:rsidRPr="00393867">
        <w:rPr>
          <w:rFonts w:cs="Arial" w:hint="cs"/>
          <w:sz w:val="16"/>
          <w:szCs w:val="16"/>
          <w:rtl/>
        </w:rPr>
        <w:t>)</w:t>
      </w:r>
      <w:r w:rsidRPr="00897A64">
        <w:rPr>
          <w:rFonts w:cs="Arial"/>
          <w:rtl/>
        </w:rPr>
        <w:t xml:space="preserve"> ר"ן </w:t>
      </w:r>
      <w:r w:rsidRPr="00393867">
        <w:rPr>
          <w:rFonts w:cs="Arial" w:hint="cs"/>
          <w:sz w:val="16"/>
          <w:szCs w:val="16"/>
          <w:rtl/>
        </w:rPr>
        <w:t xml:space="preserve">(שם </w:t>
      </w:r>
      <w:r w:rsidRPr="00393867">
        <w:rPr>
          <w:rFonts w:cs="Arial"/>
          <w:sz w:val="16"/>
          <w:szCs w:val="16"/>
          <w:rtl/>
        </w:rPr>
        <w:t>כז: דיבור ראשון)</w:t>
      </w:r>
      <w:r>
        <w:rPr>
          <w:rFonts w:cs="Arial" w:hint="cs"/>
          <w:sz w:val="16"/>
          <w:szCs w:val="16"/>
          <w:rtl/>
        </w:rPr>
        <w:t xml:space="preserve"> </w:t>
      </w:r>
      <w:r>
        <w:rPr>
          <w:rFonts w:cs="Arial" w:hint="cs"/>
          <w:rtl/>
        </w:rPr>
        <w:t>והה"מ</w:t>
      </w:r>
      <w:r w:rsidRPr="00897A64">
        <w:rPr>
          <w:rFonts w:cs="Arial"/>
          <w:rtl/>
        </w:rPr>
        <w:t xml:space="preserve"> </w:t>
      </w:r>
      <w:r w:rsidRPr="00393867">
        <w:rPr>
          <w:rFonts w:cs="Arial" w:hint="cs"/>
          <w:sz w:val="16"/>
          <w:szCs w:val="16"/>
          <w:rtl/>
        </w:rPr>
        <w:t>(</w:t>
      </w:r>
      <w:r w:rsidRPr="00393867">
        <w:rPr>
          <w:rFonts w:cs="Arial"/>
          <w:sz w:val="16"/>
          <w:szCs w:val="16"/>
          <w:rtl/>
        </w:rPr>
        <w:t>פי"ד דאישות ה"ח)</w:t>
      </w:r>
      <w:r>
        <w:rPr>
          <w:rFonts w:cs="Arial" w:hint="cs"/>
          <w:rtl/>
        </w:rPr>
        <w:t xml:space="preserve">- </w:t>
      </w:r>
      <w:r w:rsidRPr="00897A64">
        <w:rPr>
          <w:rFonts w:cs="Arial"/>
          <w:rtl/>
        </w:rPr>
        <w:t>לאחר י"ב חודש אינה יכולה לחזור אבל תוך י"ב חודש יכולה לחזור</w:t>
      </w:r>
      <w:r>
        <w:rPr>
          <w:rFonts w:cs="Arial" w:hint="cs"/>
          <w:rtl/>
        </w:rPr>
        <w:t>.</w:t>
      </w:r>
      <w:r w:rsidRPr="00897A64">
        <w:rPr>
          <w:rFonts w:cs="Arial"/>
          <w:rtl/>
        </w:rPr>
        <w:t xml:space="preserve"> ואם מת הבעל תוך י"ב חודש גובה כתובתה מן היורשים</w:t>
      </w:r>
      <w:r>
        <w:rPr>
          <w:rFonts w:cs="Arial" w:hint="cs"/>
          <w:rtl/>
        </w:rPr>
        <w:t>.</w:t>
      </w:r>
      <w:r w:rsidRPr="00897A64">
        <w:rPr>
          <w:rFonts w:cs="Arial"/>
          <w:rtl/>
        </w:rPr>
        <w:t xml:space="preserve"> ולאחר י"ב חודש אם רוצה הבעל לקיימה כותב לה כתובה אחרת</w:t>
      </w:r>
      <w:r>
        <w:rPr>
          <w:rStyle w:val="a7"/>
          <w:rFonts w:cs="Arial"/>
          <w:rtl/>
        </w:rPr>
        <w:footnoteReference w:id="1305"/>
      </w:r>
      <w:r>
        <w:rPr>
          <w:rFonts w:cs="Arial" w:hint="cs"/>
          <w:rtl/>
        </w:rPr>
        <w:t xml:space="preserve"> </w:t>
      </w:r>
      <w:r>
        <w:rPr>
          <w:rFonts w:cs="Arial" w:hint="cs"/>
          <w:sz w:val="16"/>
          <w:szCs w:val="16"/>
          <w:rtl/>
        </w:rPr>
        <w:t>(ל' הדרכ"מ בשם הה"מ)</w:t>
      </w:r>
      <w:r>
        <w:rPr>
          <w:rFonts w:cs="Arial" w:hint="cs"/>
          <w:rtl/>
        </w:rPr>
        <w:t>.</w:t>
      </w:r>
      <w:r w:rsidRPr="001F501A">
        <w:rPr>
          <w:rFonts w:cs="Arial" w:hint="cs"/>
          <w:color w:val="00B0F0"/>
          <w:rtl/>
        </w:rPr>
        <w:t xml:space="preserve"> </w:t>
      </w:r>
      <w:r w:rsidRPr="0087405A">
        <w:rPr>
          <w:rFonts w:cs="Arial" w:hint="cs"/>
          <w:color w:val="00B0F0"/>
          <w:rtl/>
        </w:rPr>
        <w:t>(וכ"פ הרמ"א)</w:t>
      </w:r>
    </w:p>
    <w:p w14:paraId="0252DA26" w14:textId="77777777" w:rsidR="002E5BAD" w:rsidRPr="00225FB6" w:rsidRDefault="002E5BAD" w:rsidP="002E5BAD">
      <w:pPr>
        <w:ind w:left="360"/>
        <w:rPr>
          <w:rFonts w:cs="Arial"/>
          <w:u w:val="dotted"/>
        </w:rPr>
      </w:pPr>
      <w:r>
        <w:rPr>
          <w:rFonts w:cs="Arial" w:hint="cs"/>
          <w:u w:val="dotted"/>
          <w:rtl/>
        </w:rPr>
        <w:t>עמדה במרדה גם ל</w:t>
      </w:r>
      <w:r w:rsidRPr="00225FB6">
        <w:rPr>
          <w:rFonts w:cs="Arial" w:hint="cs"/>
          <w:u w:val="dotted"/>
          <w:rtl/>
        </w:rPr>
        <w:t xml:space="preserve">אחר י"ב: </w:t>
      </w:r>
    </w:p>
    <w:p w14:paraId="3F879E66" w14:textId="77777777" w:rsidR="002E5BAD" w:rsidRDefault="002E5BAD" w:rsidP="002E5BAD">
      <w:pPr>
        <w:pStyle w:val="ab"/>
        <w:numPr>
          <w:ilvl w:val="0"/>
          <w:numId w:val="158"/>
        </w:numPr>
        <w:rPr>
          <w:rFonts w:cs="Arial"/>
        </w:rPr>
      </w:pPr>
      <w:r>
        <w:rPr>
          <w:rFonts w:cs="Arial" w:hint="cs"/>
          <w:rtl/>
        </w:rPr>
        <w:t xml:space="preserve">רא"ש </w:t>
      </w:r>
      <w:r>
        <w:rPr>
          <w:rFonts w:cs="Arial" w:hint="cs"/>
          <w:sz w:val="16"/>
          <w:szCs w:val="16"/>
          <w:rtl/>
        </w:rPr>
        <w:t>(פ"ה סי' לד, ובתשו' כלל מג סי' ו)</w:t>
      </w:r>
      <w:r>
        <w:rPr>
          <w:rFonts w:cs="Arial" w:hint="cs"/>
          <w:rtl/>
        </w:rPr>
        <w:t xml:space="preserve"> וטור- </w:t>
      </w:r>
      <w:r w:rsidRPr="00897A64">
        <w:rPr>
          <w:rFonts w:cs="Arial"/>
          <w:rtl/>
        </w:rPr>
        <w:t>וכשיוצאת לאחר השנה אין לה לא מנה ולא מאתים ולא תוספת</w:t>
      </w:r>
      <w:r>
        <w:rPr>
          <w:rStyle w:val="a7"/>
          <w:rFonts w:cs="Arial"/>
          <w:rtl/>
        </w:rPr>
        <w:footnoteReference w:id="1306"/>
      </w:r>
      <w:r>
        <w:rPr>
          <w:rFonts w:cs="Arial" w:hint="cs"/>
          <w:rtl/>
        </w:rPr>
        <w:t>,</w:t>
      </w:r>
      <w:r w:rsidRPr="00897A64">
        <w:rPr>
          <w:rFonts w:cs="Arial"/>
          <w:rtl/>
        </w:rPr>
        <w:t xml:space="preserve"> ואפילו בגדים שקנה לה יפשוט מעליה</w:t>
      </w:r>
      <w:r>
        <w:rPr>
          <w:rFonts w:cs="Arial" w:hint="cs"/>
          <w:rtl/>
        </w:rPr>
        <w:t>,</w:t>
      </w:r>
      <w:r w:rsidRPr="00897A64">
        <w:rPr>
          <w:rFonts w:cs="Arial"/>
          <w:rtl/>
        </w:rPr>
        <w:t xml:space="preserve"> דאדעתא למישקל ולמיפק לא זבין לה</w:t>
      </w:r>
      <w:r>
        <w:rPr>
          <w:rFonts w:cs="Arial" w:hint="cs"/>
          <w:rtl/>
        </w:rPr>
        <w:t>.</w:t>
      </w:r>
      <w:r w:rsidRPr="00897A64">
        <w:rPr>
          <w:rFonts w:cs="Arial"/>
          <w:rtl/>
        </w:rPr>
        <w:t xml:space="preserve"> ונכסי צאן ברזל שלה</w:t>
      </w:r>
      <w:r>
        <w:rPr>
          <w:rFonts w:cs="Arial" w:hint="cs"/>
          <w:rtl/>
        </w:rPr>
        <w:t>,</w:t>
      </w:r>
      <w:r w:rsidRPr="00897A64">
        <w:rPr>
          <w:rFonts w:cs="Arial"/>
          <w:rtl/>
        </w:rPr>
        <w:t xml:space="preserve"> אם </w:t>
      </w:r>
      <w:r w:rsidRPr="00897A64">
        <w:rPr>
          <w:rFonts w:cs="Arial"/>
          <w:rtl/>
        </w:rPr>
        <w:lastRenderedPageBreak/>
        <w:t xml:space="preserve">הכניסה לו קרקע </w:t>
      </w:r>
      <w:r>
        <w:rPr>
          <w:rFonts w:cs="Arial" w:hint="cs"/>
          <w:rtl/>
        </w:rPr>
        <w:t xml:space="preserve">- </w:t>
      </w:r>
      <w:r w:rsidRPr="00897A64">
        <w:rPr>
          <w:rFonts w:cs="Arial"/>
          <w:rtl/>
        </w:rPr>
        <w:t>ברשותה הוא ונוטלתן</w:t>
      </w:r>
      <w:r>
        <w:rPr>
          <w:rFonts w:cs="Arial" w:hint="cs"/>
          <w:rtl/>
        </w:rPr>
        <w:t>,</w:t>
      </w:r>
      <w:r w:rsidRPr="00897A64">
        <w:rPr>
          <w:rFonts w:cs="Arial"/>
          <w:rtl/>
        </w:rPr>
        <w:t xml:space="preserve"> ואם הם מטלטלין </w:t>
      </w:r>
      <w:r>
        <w:rPr>
          <w:rFonts w:cs="Arial" w:hint="cs"/>
          <w:rtl/>
        </w:rPr>
        <w:t xml:space="preserve">- </w:t>
      </w:r>
      <w:r w:rsidRPr="00897A64">
        <w:rPr>
          <w:rFonts w:cs="Arial"/>
          <w:rtl/>
        </w:rPr>
        <w:t>מה שתפסה מהן אין מוציאין מידה</w:t>
      </w:r>
      <w:r>
        <w:rPr>
          <w:rFonts w:cs="Arial" w:hint="cs"/>
          <w:rtl/>
        </w:rPr>
        <w:t>,</w:t>
      </w:r>
      <w:r w:rsidRPr="00897A64">
        <w:rPr>
          <w:rFonts w:cs="Arial"/>
          <w:rtl/>
        </w:rPr>
        <w:t xml:space="preserve"> ומה שלא תפסה </w:t>
      </w:r>
      <w:r>
        <w:rPr>
          <w:rFonts w:cs="Arial" w:hint="cs"/>
          <w:rtl/>
        </w:rPr>
        <w:t xml:space="preserve">- </w:t>
      </w:r>
      <w:r w:rsidRPr="00897A64">
        <w:rPr>
          <w:rFonts w:cs="Arial"/>
          <w:rtl/>
        </w:rPr>
        <w:t>אין מוציאין מן הבעל</w:t>
      </w:r>
      <w:r>
        <w:rPr>
          <w:rFonts w:cs="Arial" w:hint="cs"/>
          <w:rtl/>
        </w:rPr>
        <w:t>.</w:t>
      </w:r>
      <w:r w:rsidRPr="00897A64">
        <w:rPr>
          <w:rFonts w:cs="Arial"/>
          <w:rtl/>
        </w:rPr>
        <w:t xml:space="preserve"> ונכסי מלוג ברשותה הן ונוטלתם</w:t>
      </w:r>
      <w:r>
        <w:rPr>
          <w:rFonts w:hint="cs"/>
          <w:sz w:val="16"/>
          <w:szCs w:val="16"/>
          <w:rtl/>
        </w:rPr>
        <w:t xml:space="preserve"> </w:t>
      </w:r>
      <w:r w:rsidRPr="00534FB8">
        <w:rPr>
          <w:rFonts w:hint="cs"/>
          <w:sz w:val="16"/>
          <w:szCs w:val="16"/>
          <w:rtl/>
        </w:rPr>
        <w:t>(ל' הטור)</w:t>
      </w:r>
      <w:r>
        <w:rPr>
          <w:rFonts w:cs="Arial" w:hint="cs"/>
          <w:rtl/>
        </w:rPr>
        <w:t>.</w:t>
      </w:r>
      <w:r w:rsidRPr="00897A64">
        <w:rPr>
          <w:rFonts w:cs="Arial"/>
          <w:rtl/>
        </w:rPr>
        <w:t xml:space="preserve"> </w:t>
      </w:r>
      <w:r w:rsidRPr="0087405A">
        <w:rPr>
          <w:rFonts w:cs="Arial" w:hint="cs"/>
          <w:color w:val="00B0F0"/>
          <w:rtl/>
        </w:rPr>
        <w:t>(וכ"פ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87405A">
        <w:rPr>
          <w:rFonts w:cs="Arial" w:hint="cs"/>
          <w:color w:val="00B0F0"/>
          <w:rtl/>
        </w:rPr>
        <w:t>)</w:t>
      </w:r>
    </w:p>
    <w:p w14:paraId="50D48A8B" w14:textId="77777777" w:rsidR="002E5BAD" w:rsidRDefault="002E5BAD" w:rsidP="002E5BAD">
      <w:pPr>
        <w:pStyle w:val="ab"/>
        <w:numPr>
          <w:ilvl w:val="0"/>
          <w:numId w:val="158"/>
        </w:numPr>
        <w:rPr>
          <w:rFonts w:cs="Arial"/>
        </w:rPr>
      </w:pPr>
      <w:r>
        <w:rPr>
          <w:rFonts w:cs="Arial" w:hint="cs"/>
          <w:rtl/>
        </w:rPr>
        <w:t xml:space="preserve">רמב"ם </w:t>
      </w:r>
      <w:r>
        <w:rPr>
          <w:rFonts w:cs="Arial" w:hint="cs"/>
          <w:sz w:val="16"/>
          <w:szCs w:val="16"/>
          <w:rtl/>
        </w:rPr>
        <w:t>(פי"ד מאישות הי"ג)</w:t>
      </w:r>
      <w:r>
        <w:rPr>
          <w:rFonts w:cs="Arial" w:hint="cs"/>
          <w:rtl/>
        </w:rPr>
        <w:t xml:space="preserve">- </w:t>
      </w:r>
      <w:r w:rsidRPr="00423C55">
        <w:rPr>
          <w:rFonts w:cs="Arial"/>
          <w:rtl/>
        </w:rPr>
        <w:t>המורדת הזאת כשהיא יוצאת אחר שנים עשר חדש בלא כתובה תחזיר כל דבר שהוא של בעל, אבל נכסים שהכניסה לו ובלאותיהן קיימים אם תפשה אין מוציאים מידה ואם תפשן הבעל</w:t>
      </w:r>
      <w:r>
        <w:rPr>
          <w:rStyle w:val="a7"/>
          <w:rFonts w:cs="Arial"/>
          <w:rtl/>
        </w:rPr>
        <w:footnoteReference w:id="1307"/>
      </w:r>
      <w:r w:rsidRPr="00423C55">
        <w:rPr>
          <w:rFonts w:cs="Arial"/>
          <w:rtl/>
        </w:rPr>
        <w:t xml:space="preserve"> אין מוציאין מידו, וכן כל מה שאבד מנכסיה שקיבל הבעל אחריותן עליו אינו משלם לה כלום. זה הוא דין התלמוד במורדת.</w:t>
      </w:r>
      <w:r w:rsidRPr="00DD4860">
        <w:rPr>
          <w:rFonts w:cs="Arial" w:hint="cs"/>
          <w:color w:val="E36C0A" w:themeColor="accent6" w:themeShade="BF"/>
          <w:rtl/>
        </w:rPr>
        <w:t xml:space="preserve"> (וכ"פ בשו"ע</w:t>
      </w:r>
      <w:r>
        <w:rPr>
          <w:rFonts w:cs="Arial" w:hint="cs"/>
          <w:color w:val="E36C0A" w:themeColor="accent6" w:themeShade="BF"/>
          <w:sz w:val="16"/>
          <w:szCs w:val="16"/>
          <w:rtl/>
        </w:rPr>
        <w:t xml:space="preserve"> </w:t>
      </w:r>
      <w:r>
        <w:rPr>
          <w:rFonts w:cs="Arial" w:hint="cs"/>
          <w:color w:val="000000" w:themeColor="text1"/>
          <w:sz w:val="16"/>
          <w:szCs w:val="16"/>
          <w:rtl/>
        </w:rPr>
        <w:t>[בסע' ג]</w:t>
      </w:r>
      <w:r w:rsidRPr="00DD4860">
        <w:rPr>
          <w:rFonts w:cs="Arial" w:hint="cs"/>
          <w:color w:val="E36C0A" w:themeColor="accent6" w:themeShade="BF"/>
          <w:rtl/>
        </w:rPr>
        <w:t>)</w:t>
      </w:r>
    </w:p>
    <w:p w14:paraId="04D3DF06" w14:textId="77777777" w:rsidR="002E5BAD" w:rsidRPr="00A077AD" w:rsidRDefault="002E5BAD" w:rsidP="002E5BAD">
      <w:pPr>
        <w:ind w:left="360"/>
        <w:rPr>
          <w:rFonts w:cs="Arial"/>
          <w:u w:val="dotted"/>
        </w:rPr>
      </w:pPr>
      <w:r>
        <w:rPr>
          <w:rFonts w:cs="Arial" w:hint="cs"/>
          <w:u w:val="dotted"/>
          <w:rtl/>
        </w:rPr>
        <w:t>במה עסקנו עד כה</w:t>
      </w:r>
      <w:r>
        <w:rPr>
          <w:rFonts w:cs="Arial" w:hint="cs"/>
          <w:sz w:val="16"/>
          <w:szCs w:val="16"/>
          <w:u w:val="dotted"/>
          <w:rtl/>
        </w:rPr>
        <w:t xml:space="preserve"> (במשנה ובשתי התקנות)</w:t>
      </w:r>
      <w:r>
        <w:rPr>
          <w:rFonts w:cs="Arial" w:hint="cs"/>
          <w:u w:val="dotted"/>
          <w:rtl/>
        </w:rPr>
        <w:t xml:space="preserve"> - </w:t>
      </w:r>
      <w:r w:rsidRPr="00A077AD">
        <w:rPr>
          <w:rFonts w:cs="Arial" w:hint="cs"/>
          <w:u w:val="dotted"/>
          <w:rtl/>
        </w:rPr>
        <w:t xml:space="preserve">באומרת 'בעינא ליה ומצערנא ליה' או </w:t>
      </w:r>
      <w:r>
        <w:rPr>
          <w:rFonts w:cs="Arial" w:hint="cs"/>
          <w:u w:val="dotted"/>
          <w:rtl/>
        </w:rPr>
        <w:t>ב</w:t>
      </w:r>
      <w:r w:rsidRPr="00A077AD">
        <w:rPr>
          <w:rFonts w:cs="Arial" w:hint="cs"/>
          <w:u w:val="dotted"/>
          <w:rtl/>
        </w:rPr>
        <w:t>אומרת 'מאיס עלי':</w:t>
      </w:r>
    </w:p>
    <w:p w14:paraId="4F1FAB91" w14:textId="77777777" w:rsidR="002E5BAD" w:rsidRPr="008F7F12" w:rsidRDefault="002E5BAD" w:rsidP="002E5BAD">
      <w:pPr>
        <w:pStyle w:val="ab"/>
        <w:numPr>
          <w:ilvl w:val="0"/>
          <w:numId w:val="158"/>
        </w:numPr>
        <w:rPr>
          <w:rFonts w:cs="Arial"/>
        </w:rPr>
      </w:pPr>
      <w:r w:rsidRPr="00897A64">
        <w:rPr>
          <w:rFonts w:cs="Arial"/>
          <w:rtl/>
        </w:rPr>
        <w:t xml:space="preserve">ר"ת </w:t>
      </w:r>
      <w:r w:rsidRPr="008F7F12">
        <w:rPr>
          <w:rFonts w:cs="Arial" w:hint="cs"/>
          <w:sz w:val="16"/>
          <w:szCs w:val="16"/>
          <w:rtl/>
        </w:rPr>
        <w:t xml:space="preserve"> (</w:t>
      </w:r>
      <w:r>
        <w:rPr>
          <w:rFonts w:cs="Arial" w:hint="cs"/>
          <w:sz w:val="16"/>
          <w:szCs w:val="16"/>
          <w:rtl/>
        </w:rPr>
        <w:t xml:space="preserve">בתוס' </w:t>
      </w:r>
      <w:r w:rsidRPr="0046124B">
        <w:rPr>
          <w:rFonts w:cs="Arial"/>
          <w:sz w:val="16"/>
          <w:szCs w:val="16"/>
          <w:rtl/>
        </w:rPr>
        <w:t>סג: ד"ה אבל</w:t>
      </w:r>
      <w:r>
        <w:rPr>
          <w:rFonts w:cs="Arial" w:hint="cs"/>
          <w:sz w:val="16"/>
          <w:szCs w:val="16"/>
          <w:rtl/>
        </w:rPr>
        <w:t>, ו</w:t>
      </w:r>
      <w:r w:rsidRPr="008F7F12">
        <w:rPr>
          <w:rFonts w:cs="Arial" w:hint="cs"/>
          <w:sz w:val="16"/>
          <w:szCs w:val="16"/>
          <w:rtl/>
        </w:rPr>
        <w:t xml:space="preserve">כ"כ בשמו הרא"ש </w:t>
      </w:r>
      <w:r>
        <w:rPr>
          <w:rFonts w:cs="Arial" w:hint="cs"/>
          <w:sz w:val="16"/>
          <w:szCs w:val="16"/>
          <w:rtl/>
        </w:rPr>
        <w:t xml:space="preserve">[שם] </w:t>
      </w:r>
      <w:r w:rsidRPr="008F7F12">
        <w:rPr>
          <w:rFonts w:cs="Arial" w:hint="cs"/>
          <w:sz w:val="16"/>
          <w:szCs w:val="16"/>
          <w:rtl/>
        </w:rPr>
        <w:t>והטור)</w:t>
      </w:r>
      <w:r>
        <w:rPr>
          <w:rFonts w:cs="Arial" w:hint="cs"/>
          <w:rtl/>
        </w:rPr>
        <w:t xml:space="preserve"> רא"ש </w:t>
      </w:r>
      <w:r w:rsidRPr="008F7F12">
        <w:rPr>
          <w:rFonts w:cs="Arial" w:hint="cs"/>
          <w:sz w:val="16"/>
          <w:szCs w:val="16"/>
          <w:rtl/>
        </w:rPr>
        <w:t>(פ"ה סי' לד,</w:t>
      </w:r>
      <w:r>
        <w:rPr>
          <w:rFonts w:cs="Arial" w:hint="cs"/>
          <w:sz w:val="16"/>
          <w:szCs w:val="16"/>
          <w:rtl/>
        </w:rPr>
        <w:t xml:space="preserve"> ובכלל מג סי' ו</w:t>
      </w:r>
      <w:r w:rsidRPr="008F7F12">
        <w:rPr>
          <w:rFonts w:cs="Arial" w:hint="cs"/>
          <w:sz w:val="16"/>
          <w:szCs w:val="16"/>
          <w:rtl/>
        </w:rPr>
        <w:t>)</w:t>
      </w:r>
      <w:r>
        <w:rPr>
          <w:rFonts w:cs="Arial" w:hint="cs"/>
          <w:rtl/>
        </w:rPr>
        <w:t xml:space="preserve"> וטור- </w:t>
      </w:r>
      <w:r w:rsidRPr="00577FF6">
        <w:rPr>
          <w:rFonts w:cs="Arial"/>
          <w:rtl/>
        </w:rPr>
        <w:t>האי תקנתא</w:t>
      </w:r>
      <w:r>
        <w:rPr>
          <w:rStyle w:val="a7"/>
          <w:rFonts w:cs="Arial"/>
          <w:rtl/>
        </w:rPr>
        <w:footnoteReference w:id="1308"/>
      </w:r>
      <w:r w:rsidRPr="00577FF6">
        <w:rPr>
          <w:rFonts w:cs="Arial"/>
          <w:rtl/>
        </w:rPr>
        <w:t xml:space="preserve"> איתא בין באומרת בעינא ליה ומצערנא ליה שאינה מבקשת להתגרש מיד</w:t>
      </w:r>
      <w:r w:rsidRPr="00577FF6">
        <w:rPr>
          <w:rFonts w:cs="Arial" w:hint="cs"/>
          <w:rtl/>
        </w:rPr>
        <w:t>,</w:t>
      </w:r>
      <w:r w:rsidRPr="00577FF6">
        <w:rPr>
          <w:rFonts w:cs="Arial"/>
          <w:rtl/>
        </w:rPr>
        <w:t xml:space="preserve"> בין באומרת מאיס עלי ומבקשת שיגרשנה מיד בלא כתובה</w:t>
      </w:r>
      <w:r w:rsidRPr="00577FF6">
        <w:rPr>
          <w:rFonts w:cs="Arial" w:hint="cs"/>
          <w:rtl/>
        </w:rPr>
        <w:t>.</w:t>
      </w:r>
      <w:r>
        <w:rPr>
          <w:rFonts w:cs="Arial" w:hint="cs"/>
          <w:rtl/>
        </w:rPr>
        <w:t>.. ו</w:t>
      </w:r>
      <w:r w:rsidRPr="008F7F12">
        <w:rPr>
          <w:rFonts w:cs="Arial"/>
          <w:rtl/>
        </w:rPr>
        <w:t>לעולם אין כופין אותו לגרש</w:t>
      </w:r>
      <w:r>
        <w:rPr>
          <w:rFonts w:cs="Arial" w:hint="cs"/>
          <w:rtl/>
        </w:rPr>
        <w:t>,</w:t>
      </w:r>
      <w:r w:rsidRPr="008F7F12">
        <w:rPr>
          <w:rFonts w:cs="Arial"/>
          <w:rtl/>
        </w:rPr>
        <w:t xml:space="preserve"> ואין ביניהם כלום אלא בכל</w:t>
      </w:r>
      <w:r>
        <w:rPr>
          <w:rStyle w:val="a7"/>
          <w:rFonts w:cs="Arial"/>
          <w:rtl/>
        </w:rPr>
        <w:footnoteReference w:id="1309"/>
      </w:r>
      <w:r w:rsidRPr="008F7F12">
        <w:rPr>
          <w:rFonts w:cs="Arial"/>
          <w:rtl/>
        </w:rPr>
        <w:t xml:space="preserve"> דיניהם שוין שלעולם אין כופין אותו לגרש</w:t>
      </w:r>
      <w:r>
        <w:rPr>
          <w:rFonts w:cs="Arial" w:hint="cs"/>
          <w:sz w:val="16"/>
          <w:szCs w:val="16"/>
          <w:rtl/>
        </w:rPr>
        <w:t xml:space="preserve"> (ל' הטור)</w:t>
      </w:r>
      <w:r w:rsidRPr="008F7F12">
        <w:rPr>
          <w:rFonts w:cs="Arial" w:hint="cs"/>
          <w:rtl/>
        </w:rPr>
        <w:t>.</w:t>
      </w:r>
    </w:p>
    <w:p w14:paraId="0D05B0F8" w14:textId="77777777" w:rsidR="002E5BAD" w:rsidRDefault="002E5BAD" w:rsidP="002E5BAD">
      <w:pPr>
        <w:pStyle w:val="ab"/>
        <w:numPr>
          <w:ilvl w:val="0"/>
          <w:numId w:val="158"/>
        </w:numPr>
        <w:rPr>
          <w:rFonts w:cs="Arial"/>
        </w:rPr>
      </w:pPr>
      <w:r>
        <w:rPr>
          <w:rFonts w:cs="Arial" w:hint="cs"/>
          <w:rtl/>
        </w:rPr>
        <w:t>רי"ף</w:t>
      </w:r>
      <w:r>
        <w:rPr>
          <w:rStyle w:val="a7"/>
          <w:rFonts w:cs="Arial"/>
          <w:rtl/>
        </w:rPr>
        <w:footnoteReference w:id="1310"/>
      </w:r>
      <w:r>
        <w:rPr>
          <w:rFonts w:cs="Arial" w:hint="cs"/>
          <w:rtl/>
        </w:rPr>
        <w:t xml:space="preserve"> </w:t>
      </w:r>
      <w:r>
        <w:rPr>
          <w:rFonts w:cs="Arial" w:hint="cs"/>
          <w:sz w:val="16"/>
          <w:szCs w:val="16"/>
          <w:rtl/>
        </w:rPr>
        <w:t>(כז., כ"כ הר"ן [כז.] בשמו)</w:t>
      </w:r>
      <w:r>
        <w:rPr>
          <w:rFonts w:cs="Arial" w:hint="cs"/>
          <w:rtl/>
        </w:rPr>
        <w:t xml:space="preserve"> </w:t>
      </w:r>
      <w:r w:rsidRPr="00897A64">
        <w:rPr>
          <w:rFonts w:cs="Arial"/>
          <w:rtl/>
        </w:rPr>
        <w:t>רשב"ם</w:t>
      </w:r>
      <w:r>
        <w:rPr>
          <w:rFonts w:cs="Arial" w:hint="cs"/>
          <w:rtl/>
        </w:rPr>
        <w:t xml:space="preserve"> </w:t>
      </w:r>
      <w:r w:rsidRPr="008F7F12">
        <w:rPr>
          <w:rFonts w:cs="Arial" w:hint="cs"/>
          <w:sz w:val="16"/>
          <w:szCs w:val="16"/>
          <w:rtl/>
        </w:rPr>
        <w:t xml:space="preserve">(כ"כ בשמו הרא"ש </w:t>
      </w:r>
      <w:r>
        <w:rPr>
          <w:rFonts w:cs="Arial" w:hint="cs"/>
          <w:sz w:val="16"/>
          <w:szCs w:val="16"/>
          <w:rtl/>
        </w:rPr>
        <w:t xml:space="preserve">[שם] </w:t>
      </w:r>
      <w:r w:rsidRPr="008F7F12">
        <w:rPr>
          <w:rFonts w:cs="Arial" w:hint="cs"/>
          <w:sz w:val="16"/>
          <w:szCs w:val="16"/>
          <w:rtl/>
        </w:rPr>
        <w:t>והטור)</w:t>
      </w:r>
      <w:r>
        <w:rPr>
          <w:rFonts w:cs="Arial" w:hint="cs"/>
          <w:rtl/>
        </w:rPr>
        <w:t xml:space="preserve"> ורמב"ם </w:t>
      </w:r>
      <w:r>
        <w:rPr>
          <w:rFonts w:cs="Arial" w:hint="cs"/>
          <w:sz w:val="16"/>
          <w:szCs w:val="16"/>
          <w:rtl/>
        </w:rPr>
        <w:t>(פי"ד מאישות ה"ח-ט)</w:t>
      </w:r>
      <w:r>
        <w:rPr>
          <w:rFonts w:cs="Arial" w:hint="cs"/>
          <w:rtl/>
        </w:rPr>
        <w:t xml:space="preserve">- </w:t>
      </w:r>
      <w:r w:rsidRPr="00CC6C48">
        <w:rPr>
          <w:rFonts w:cs="Arial"/>
          <w:rtl/>
        </w:rPr>
        <w:t xml:space="preserve">האשה שמנעה בעלה מתשמיש המטה היא הנקראת מורדת, ושואלין אותה מפני מה מרדה, אם אמרה מאסתיהו ואיני יכולה להבעל לו מדעתי </w:t>
      </w:r>
      <w:r>
        <w:rPr>
          <w:rFonts w:cs="Arial" w:hint="cs"/>
          <w:rtl/>
        </w:rPr>
        <w:t xml:space="preserve">- </w:t>
      </w:r>
      <w:r w:rsidRPr="00CC6C48">
        <w:rPr>
          <w:rFonts w:cs="Arial"/>
          <w:rtl/>
        </w:rPr>
        <w:t>כופין אותו להוציא לשעתו</w:t>
      </w:r>
      <w:r>
        <w:rPr>
          <w:rFonts w:cs="Arial" w:hint="cs"/>
          <w:rtl/>
        </w:rPr>
        <w:t>,</w:t>
      </w:r>
      <w:r w:rsidRPr="00CC6C48">
        <w:rPr>
          <w:rFonts w:cs="Arial"/>
          <w:rtl/>
        </w:rPr>
        <w:t xml:space="preserve"> לפי שאינה כשבויה שתבעל לשנוי לה, ותצא בלא כתובה כלל</w:t>
      </w:r>
      <w:r>
        <w:rPr>
          <w:rStyle w:val="a7"/>
          <w:rFonts w:cs="Arial"/>
          <w:rtl/>
        </w:rPr>
        <w:footnoteReference w:id="1311"/>
      </w:r>
      <w:r>
        <w:rPr>
          <w:rFonts w:cs="Arial" w:hint="cs"/>
          <w:rtl/>
        </w:rPr>
        <w:t>..</w:t>
      </w:r>
      <w:r w:rsidRPr="00CC6C48">
        <w:rPr>
          <w:rFonts w:cs="Arial"/>
          <w:rtl/>
        </w:rPr>
        <w:t xml:space="preserve">. ואם מרדה מתחת בעלה כדי לצערו ואמרה הריני מצערת אותו בכך מפני שעשה לי כך וכך או מפני שקללני או מפני שעשה עמי מריבה וכיוצא בדברים אלו </w:t>
      </w:r>
      <w:r>
        <w:rPr>
          <w:rFonts w:cs="Arial" w:hint="cs"/>
          <w:rtl/>
        </w:rPr>
        <w:t xml:space="preserve">- </w:t>
      </w:r>
      <w:r w:rsidRPr="00CC6C48">
        <w:rPr>
          <w:rFonts w:cs="Arial"/>
          <w:rtl/>
        </w:rPr>
        <w:t>שולחים לה מבית דין ואומרין לה הוי יודעת</w:t>
      </w:r>
      <w:r>
        <w:rPr>
          <w:rFonts w:cs="Arial" w:hint="cs"/>
          <w:rtl/>
        </w:rPr>
        <w:t xml:space="preserve"> וכו'</w:t>
      </w:r>
      <w:r>
        <w:rPr>
          <w:rFonts w:cs="Arial" w:hint="cs"/>
          <w:sz w:val="16"/>
          <w:szCs w:val="16"/>
          <w:rtl/>
        </w:rPr>
        <w:t xml:space="preserve"> (ל' הרמב"ם)</w:t>
      </w:r>
      <w:r>
        <w:rPr>
          <w:rFonts w:cs="Arial" w:hint="cs"/>
          <w:rtl/>
        </w:rPr>
        <w:t>.</w:t>
      </w:r>
      <w:r w:rsidRPr="00DD4860">
        <w:rPr>
          <w:rFonts w:cs="Arial" w:hint="cs"/>
          <w:color w:val="E36C0A" w:themeColor="accent6" w:themeShade="BF"/>
          <w:rtl/>
        </w:rPr>
        <w:t xml:space="preserve"> </w:t>
      </w:r>
    </w:p>
    <w:p w14:paraId="2E62E506" w14:textId="77777777" w:rsidR="002E5BAD" w:rsidRDefault="002E5BAD" w:rsidP="002E5BAD">
      <w:pPr>
        <w:pStyle w:val="ab"/>
        <w:numPr>
          <w:ilvl w:val="0"/>
          <w:numId w:val="158"/>
        </w:numPr>
        <w:rPr>
          <w:rFonts w:cs="Arial"/>
        </w:rPr>
      </w:pPr>
      <w:r w:rsidRPr="00A077AD">
        <w:rPr>
          <w:rFonts w:cs="Arial"/>
          <w:rtl/>
        </w:rPr>
        <w:t xml:space="preserve">רשב"א </w:t>
      </w:r>
      <w:r w:rsidRPr="00A5733B">
        <w:rPr>
          <w:rFonts w:cs="Arial" w:hint="cs"/>
          <w:sz w:val="16"/>
          <w:szCs w:val="16"/>
          <w:rtl/>
        </w:rPr>
        <w:t>(</w:t>
      </w:r>
      <w:r w:rsidRPr="00A5733B">
        <w:rPr>
          <w:rFonts w:cs="Arial"/>
          <w:sz w:val="16"/>
          <w:szCs w:val="16"/>
          <w:rtl/>
        </w:rPr>
        <w:t>בתשו</w:t>
      </w:r>
      <w:r w:rsidRPr="00A5733B">
        <w:rPr>
          <w:rFonts w:cs="Arial" w:hint="cs"/>
          <w:sz w:val="16"/>
          <w:szCs w:val="16"/>
          <w:rtl/>
        </w:rPr>
        <w:t>', כ"כ הב"י בשמו</w:t>
      </w:r>
      <w:r>
        <w:rPr>
          <w:rFonts w:cs="Arial" w:hint="cs"/>
          <w:sz w:val="16"/>
          <w:szCs w:val="16"/>
          <w:rtl/>
        </w:rPr>
        <w:t>, ועי' בתשובות הרשב"א ח"א סי' אלף רלה</w:t>
      </w:r>
      <w:r>
        <w:rPr>
          <w:rStyle w:val="a7"/>
          <w:rFonts w:cs="Arial"/>
          <w:sz w:val="16"/>
          <w:szCs w:val="16"/>
          <w:rtl/>
        </w:rPr>
        <w:footnoteReference w:id="1312"/>
      </w:r>
      <w:r w:rsidRPr="00A5733B">
        <w:rPr>
          <w:rFonts w:cs="Arial" w:hint="cs"/>
          <w:sz w:val="16"/>
          <w:szCs w:val="16"/>
          <w:rtl/>
        </w:rPr>
        <w:t>)</w:t>
      </w:r>
      <w:r>
        <w:rPr>
          <w:rFonts w:cs="Arial" w:hint="cs"/>
          <w:rtl/>
        </w:rPr>
        <w:t xml:space="preserve">- </w:t>
      </w:r>
      <w:r w:rsidRPr="00A077AD">
        <w:rPr>
          <w:rFonts w:cs="Arial"/>
          <w:rtl/>
        </w:rPr>
        <w:t>האומרת מאיס עלי או בעינא ליה ומצערנא ליה</w:t>
      </w:r>
      <w:r>
        <w:rPr>
          <w:rFonts w:cs="Arial" w:hint="cs"/>
          <w:rtl/>
        </w:rPr>
        <w:t>,</w:t>
      </w:r>
      <w:r w:rsidRPr="00A077AD">
        <w:rPr>
          <w:rFonts w:cs="Arial"/>
          <w:rtl/>
        </w:rPr>
        <w:t xml:space="preserve"> מה ששאלתם מה הן גובות מנכסי הבעל</w:t>
      </w:r>
      <w:r>
        <w:rPr>
          <w:rFonts w:cs="Arial" w:hint="cs"/>
          <w:rtl/>
        </w:rPr>
        <w:t>,</w:t>
      </w:r>
      <w:r w:rsidRPr="00A077AD">
        <w:rPr>
          <w:rFonts w:cs="Arial"/>
          <w:rtl/>
        </w:rPr>
        <w:t xml:space="preserve"> אם הוציא מרצונו </w:t>
      </w:r>
      <w:r>
        <w:rPr>
          <w:rFonts w:cs="Arial" w:hint="cs"/>
          <w:rtl/>
        </w:rPr>
        <w:t xml:space="preserve">- </w:t>
      </w:r>
      <w:r w:rsidRPr="00A077AD">
        <w:rPr>
          <w:rFonts w:cs="Arial"/>
          <w:rtl/>
        </w:rPr>
        <w:t>בין בזו ובין בזו נותן להם נכסי צאן ברזל</w:t>
      </w:r>
      <w:r>
        <w:rPr>
          <w:rFonts w:cs="Arial" w:hint="cs"/>
          <w:rtl/>
        </w:rPr>
        <w:t>,</w:t>
      </w:r>
      <w:r w:rsidRPr="00A077AD">
        <w:rPr>
          <w:rFonts w:cs="Arial"/>
          <w:rtl/>
        </w:rPr>
        <w:t xml:space="preserve"> אבל מה שנתן להן משלו </w:t>
      </w:r>
      <w:r>
        <w:rPr>
          <w:rFonts w:cs="Arial" w:hint="cs"/>
          <w:rtl/>
        </w:rPr>
        <w:t xml:space="preserve">- </w:t>
      </w:r>
      <w:r w:rsidRPr="00A077AD">
        <w:rPr>
          <w:rFonts w:cs="Arial"/>
          <w:rtl/>
        </w:rPr>
        <w:t>אינן נוטלות כלום כיון שהן תובעות להתגרש</w:t>
      </w:r>
      <w:r>
        <w:rPr>
          <w:rFonts w:cs="Arial" w:hint="cs"/>
          <w:rtl/>
        </w:rPr>
        <w:t>,</w:t>
      </w:r>
      <w:r w:rsidRPr="00A077AD">
        <w:rPr>
          <w:rFonts w:cs="Arial"/>
          <w:rtl/>
        </w:rPr>
        <w:t xml:space="preserve"> דאדעתא למישקל ומיפק לא יהיב</w:t>
      </w:r>
      <w:r>
        <w:rPr>
          <w:rFonts w:cs="Arial" w:hint="cs"/>
          <w:rtl/>
        </w:rPr>
        <w:t>.</w:t>
      </w:r>
      <w:r w:rsidRPr="00A077AD">
        <w:rPr>
          <w:rFonts w:cs="Arial"/>
          <w:rtl/>
        </w:rPr>
        <w:t xml:space="preserve"> אבל אם לא רצה להוציא מדעת עצמו אלא מחמת מרדן</w:t>
      </w:r>
      <w:r>
        <w:rPr>
          <w:rFonts w:cs="Arial" w:hint="cs"/>
          <w:rtl/>
        </w:rPr>
        <w:t>,</w:t>
      </w:r>
      <w:r w:rsidRPr="00A077AD">
        <w:rPr>
          <w:rFonts w:cs="Arial"/>
          <w:rtl/>
        </w:rPr>
        <w:t xml:space="preserve"> בזה יש הפרש ביניהם</w:t>
      </w:r>
      <w:r>
        <w:rPr>
          <w:rFonts w:cs="Arial" w:hint="cs"/>
          <w:rtl/>
        </w:rPr>
        <w:t>,</w:t>
      </w:r>
      <w:r w:rsidRPr="00A077AD">
        <w:rPr>
          <w:rFonts w:cs="Arial"/>
          <w:rtl/>
        </w:rPr>
        <w:t xml:space="preserve"> שמורדת האומרת בעינא ליה ומצערנא ליה </w:t>
      </w:r>
      <w:r>
        <w:rPr>
          <w:rFonts w:cs="Arial" w:hint="cs"/>
          <w:rtl/>
        </w:rPr>
        <w:t xml:space="preserve">- </w:t>
      </w:r>
      <w:r w:rsidRPr="00A077AD">
        <w:rPr>
          <w:rFonts w:cs="Arial"/>
          <w:rtl/>
        </w:rPr>
        <w:t>כופין אותה בהכרזת ארבע שבתות בבתי כנסיות ובבתי מדרשות ואם לא חזרה בה הפסידה כתובתה כדאיתא בפרק אף על פי</w:t>
      </w:r>
      <w:r>
        <w:rPr>
          <w:rFonts w:cs="Arial" w:hint="cs"/>
          <w:rtl/>
        </w:rPr>
        <w:t>,</w:t>
      </w:r>
      <w:r w:rsidRPr="00A077AD">
        <w:rPr>
          <w:rFonts w:cs="Arial"/>
          <w:rtl/>
        </w:rPr>
        <w:t xml:space="preserve"> ואם ירצה מגרש בגט</w:t>
      </w:r>
      <w:r>
        <w:rPr>
          <w:rFonts w:cs="Arial" w:hint="cs"/>
          <w:rtl/>
        </w:rPr>
        <w:t>,</w:t>
      </w:r>
      <w:r w:rsidRPr="00A077AD">
        <w:rPr>
          <w:rFonts w:cs="Arial"/>
          <w:rtl/>
        </w:rPr>
        <w:t xml:space="preserve"> ואם לא רצה לגרש אינו מגרש</w:t>
      </w:r>
      <w:r>
        <w:rPr>
          <w:rFonts w:cs="Arial" w:hint="cs"/>
          <w:rtl/>
        </w:rPr>
        <w:t>.</w:t>
      </w:r>
      <w:r w:rsidRPr="00A077AD">
        <w:rPr>
          <w:rFonts w:cs="Arial"/>
          <w:rtl/>
        </w:rPr>
        <w:t xml:space="preserve"> ואפילו נמלכה </w:t>
      </w:r>
      <w:r w:rsidRPr="00A077AD">
        <w:rPr>
          <w:rFonts w:cs="Arial"/>
          <w:rtl/>
        </w:rPr>
        <w:lastRenderedPageBreak/>
        <w:t>לאחר זמן מה שהפסידה הפסידה</w:t>
      </w:r>
      <w:r>
        <w:rPr>
          <w:rFonts w:cs="Arial" w:hint="cs"/>
          <w:rtl/>
        </w:rPr>
        <w:t>,</w:t>
      </w:r>
      <w:r w:rsidRPr="00A077AD">
        <w:rPr>
          <w:rFonts w:cs="Arial"/>
          <w:rtl/>
        </w:rPr>
        <w:t xml:space="preserve"> ואסור להשהותה בלא כתובה אחרת של מנה</w:t>
      </w:r>
      <w:r>
        <w:rPr>
          <w:rStyle w:val="a7"/>
          <w:rFonts w:cs="Arial"/>
          <w:rtl/>
        </w:rPr>
        <w:footnoteReference w:id="1313"/>
      </w:r>
      <w:r>
        <w:rPr>
          <w:rFonts w:cs="Arial" w:hint="cs"/>
          <w:rtl/>
        </w:rPr>
        <w:t>.</w:t>
      </w:r>
      <w:r w:rsidRPr="00A077AD">
        <w:rPr>
          <w:rFonts w:cs="Arial"/>
          <w:rtl/>
        </w:rPr>
        <w:t xml:space="preserve"> אבל הבאה בטענת מאיס עלי אין כופין אותה בכפיית הכרזה של בתי כנסיות לפי שאנוסה היא זו</w:t>
      </w:r>
      <w:r>
        <w:rPr>
          <w:rFonts w:cs="Arial" w:hint="cs"/>
          <w:rtl/>
        </w:rPr>
        <w:t>,</w:t>
      </w:r>
      <w:r w:rsidRPr="00A077AD">
        <w:rPr>
          <w:rFonts w:cs="Arial"/>
          <w:rtl/>
        </w:rPr>
        <w:t xml:space="preserve"> אבל משהין אותה י"ב חדש שמא יסור המיאוס מלבה</w:t>
      </w:r>
      <w:r>
        <w:rPr>
          <w:rFonts w:cs="Arial" w:hint="cs"/>
          <w:rtl/>
        </w:rPr>
        <w:t>,</w:t>
      </w:r>
      <w:r w:rsidRPr="00A077AD">
        <w:rPr>
          <w:rFonts w:cs="Arial"/>
          <w:rtl/>
        </w:rPr>
        <w:t xml:space="preserve"> ותוך י"ב חדש לא איבדה מכתובתה</w:t>
      </w:r>
      <w:r>
        <w:rPr>
          <w:rFonts w:cs="Arial" w:hint="cs"/>
          <w:rtl/>
        </w:rPr>
        <w:t>,</w:t>
      </w:r>
      <w:r w:rsidRPr="00A077AD">
        <w:rPr>
          <w:rFonts w:cs="Arial"/>
          <w:rtl/>
        </w:rPr>
        <w:t xml:space="preserve"> ואם גירש הבעל מרצונו תוך י"ב חדש</w:t>
      </w:r>
      <w:r w:rsidRPr="00A077AD">
        <w:rPr>
          <w:rFonts w:cs="Arial" w:hint="cs"/>
          <w:rtl/>
        </w:rPr>
        <w:t>,</w:t>
      </w:r>
      <w:r w:rsidRPr="00A077AD">
        <w:rPr>
          <w:rFonts w:cs="Arial"/>
          <w:rtl/>
        </w:rPr>
        <w:t xml:space="preserve"> גובה כל כתובתה</w:t>
      </w:r>
      <w:r>
        <w:rPr>
          <w:rFonts w:cs="Arial" w:hint="cs"/>
          <w:rtl/>
        </w:rPr>
        <w:t>,</w:t>
      </w:r>
      <w:r w:rsidRPr="00A077AD">
        <w:rPr>
          <w:rFonts w:cs="Arial"/>
          <w:rtl/>
        </w:rPr>
        <w:t xml:space="preserve"> וכן פירש ר"ח</w:t>
      </w:r>
      <w:r w:rsidRPr="00A077AD">
        <w:rPr>
          <w:rFonts w:cs="Arial" w:hint="cs"/>
          <w:rtl/>
        </w:rPr>
        <w:t>.</w:t>
      </w:r>
      <w:r w:rsidRPr="00A077AD">
        <w:rPr>
          <w:rFonts w:cs="Arial"/>
          <w:rtl/>
        </w:rPr>
        <w:t xml:space="preserve"> ואם המתין י"ב חדש ולא חזרה בה</w:t>
      </w:r>
      <w:r w:rsidRPr="00A077AD">
        <w:rPr>
          <w:rFonts w:cs="Arial" w:hint="cs"/>
          <w:rtl/>
        </w:rPr>
        <w:t>,</w:t>
      </w:r>
      <w:r w:rsidRPr="00A077AD">
        <w:rPr>
          <w:rFonts w:cs="Arial"/>
          <w:rtl/>
        </w:rPr>
        <w:t xml:space="preserve"> הפסידה כתובה ותוספת ונכסי צאן ברזל</w:t>
      </w:r>
      <w:r w:rsidRPr="00A077AD">
        <w:rPr>
          <w:rFonts w:cs="Arial" w:hint="cs"/>
          <w:rtl/>
        </w:rPr>
        <w:t>.</w:t>
      </w:r>
      <w:r w:rsidRPr="00A077AD">
        <w:rPr>
          <w:rFonts w:cs="Arial"/>
          <w:rtl/>
        </w:rPr>
        <w:t xml:space="preserve"> ובתשובות רבינו האיי והרי"ף שאפילו מה שכתב לה הבעל מתנה לאחר נישואי' מפסדת</w:t>
      </w:r>
      <w:r w:rsidRPr="00A077AD">
        <w:rPr>
          <w:rFonts w:cs="Arial" w:hint="cs"/>
          <w:rtl/>
        </w:rPr>
        <w:t>,</w:t>
      </w:r>
      <w:r w:rsidRPr="00A077AD">
        <w:rPr>
          <w:rFonts w:cs="Arial"/>
          <w:rtl/>
        </w:rPr>
        <w:t xml:space="preserve"> וכן כתב ן' מיגאש וכן כתב הרמב"ם ז"ל (פי"ד ה"ח)</w:t>
      </w:r>
      <w:r w:rsidRPr="00A077AD">
        <w:rPr>
          <w:rFonts w:cs="Arial" w:hint="cs"/>
          <w:rtl/>
        </w:rPr>
        <w:t>.</w:t>
      </w:r>
      <w:r w:rsidRPr="00A077AD">
        <w:rPr>
          <w:rFonts w:cs="Arial"/>
          <w:rtl/>
        </w:rPr>
        <w:t xml:space="preserve"> ואין הפרש בין שכתב לה מתנה באחריות ובין שלא כתב לה</w:t>
      </w:r>
      <w:r w:rsidRPr="00A077AD">
        <w:rPr>
          <w:rFonts w:cs="Arial" w:hint="cs"/>
          <w:rtl/>
        </w:rPr>
        <w:t>,</w:t>
      </w:r>
      <w:r w:rsidRPr="00A077AD">
        <w:rPr>
          <w:rFonts w:cs="Arial"/>
          <w:rtl/>
        </w:rPr>
        <w:t xml:space="preserve"> דאדעתא דלמישקל ומיפק לא יהיב לה</w:t>
      </w:r>
      <w:r w:rsidRPr="00A077AD">
        <w:rPr>
          <w:rFonts w:cs="Arial" w:hint="cs"/>
          <w:rtl/>
        </w:rPr>
        <w:t>.</w:t>
      </w:r>
      <w:r w:rsidRPr="00A077AD">
        <w:rPr>
          <w:rFonts w:cs="Arial"/>
          <w:rtl/>
        </w:rPr>
        <w:t xml:space="preserve"> אבל נכסי מלוג דידה לא הפסידה</w:t>
      </w:r>
      <w:r w:rsidRPr="00A077AD">
        <w:rPr>
          <w:rFonts w:cs="Arial" w:hint="cs"/>
          <w:rtl/>
        </w:rPr>
        <w:t>.</w:t>
      </w:r>
      <w:r w:rsidRPr="00A077AD">
        <w:rPr>
          <w:rFonts w:cs="Arial"/>
          <w:rtl/>
        </w:rPr>
        <w:t xml:space="preserve"> ובלאות נכסי צאן ברזל הקיימים אם תפסה לא מפקינן מינה</w:t>
      </w:r>
      <w:r w:rsidRPr="00A077AD">
        <w:rPr>
          <w:rFonts w:cs="Arial" w:hint="cs"/>
          <w:rtl/>
        </w:rPr>
        <w:t>,</w:t>
      </w:r>
      <w:r w:rsidRPr="00A077AD">
        <w:rPr>
          <w:rFonts w:cs="Arial"/>
          <w:rtl/>
        </w:rPr>
        <w:t xml:space="preserve"> והיינו מעשה דכלתיה דרב זביד</w:t>
      </w:r>
      <w:r>
        <w:rPr>
          <w:rStyle w:val="a7"/>
          <w:rFonts w:cs="Arial"/>
          <w:rtl/>
        </w:rPr>
        <w:footnoteReference w:id="1314"/>
      </w:r>
      <w:r w:rsidRPr="00A077AD">
        <w:rPr>
          <w:rFonts w:cs="Arial" w:hint="cs"/>
          <w:rtl/>
        </w:rPr>
        <w:t>.</w:t>
      </w:r>
      <w:r w:rsidRPr="00A077AD">
        <w:rPr>
          <w:rFonts w:cs="Arial"/>
          <w:rtl/>
        </w:rPr>
        <w:t xml:space="preserve"> </w:t>
      </w:r>
    </w:p>
    <w:p w14:paraId="22F8E33C" w14:textId="77777777" w:rsidR="002E5BAD" w:rsidRPr="009611AE" w:rsidRDefault="002E5BAD" w:rsidP="002E5BAD">
      <w:pPr>
        <w:pStyle w:val="ab"/>
        <w:numPr>
          <w:ilvl w:val="0"/>
          <w:numId w:val="158"/>
        </w:numPr>
        <w:rPr>
          <w:rFonts w:cs="Arial"/>
        </w:rPr>
      </w:pPr>
      <w:r w:rsidRPr="003A3D3F">
        <w:rPr>
          <w:rFonts w:cs="Arial"/>
          <w:rtl/>
        </w:rPr>
        <w:t xml:space="preserve">ר"ן </w:t>
      </w:r>
      <w:r w:rsidRPr="003A3D3F">
        <w:rPr>
          <w:rFonts w:cs="Arial" w:hint="cs"/>
          <w:sz w:val="16"/>
          <w:szCs w:val="16"/>
          <w:rtl/>
        </w:rPr>
        <w:t>(</w:t>
      </w:r>
      <w:r w:rsidRPr="003A3D3F">
        <w:rPr>
          <w:rFonts w:cs="Arial"/>
          <w:sz w:val="16"/>
          <w:szCs w:val="16"/>
          <w:rtl/>
        </w:rPr>
        <w:t>כתובות כז. ד"ה דאמרה)</w:t>
      </w:r>
      <w:r>
        <w:rPr>
          <w:rFonts w:cs="Arial" w:hint="cs"/>
          <w:rtl/>
        </w:rPr>
        <w:t>-</w:t>
      </w:r>
      <w:r w:rsidRPr="003A3D3F">
        <w:rPr>
          <w:rFonts w:cs="Arial"/>
          <w:rtl/>
        </w:rPr>
        <w:t xml:space="preserve"> פירש"י</w:t>
      </w:r>
      <w:r>
        <w:rPr>
          <w:rFonts w:cs="Arial" w:hint="cs"/>
          <w:rtl/>
        </w:rPr>
        <w:t>...</w:t>
      </w:r>
      <w:r w:rsidRPr="003A3D3F">
        <w:rPr>
          <w:rFonts w:cs="Arial"/>
          <w:rtl/>
        </w:rPr>
        <w:t xml:space="preserve"> כלתיה דרב זביד אימרדא ואמרה מאיס עלי</w:t>
      </w:r>
      <w:r w:rsidRPr="003A3D3F">
        <w:rPr>
          <w:rFonts w:cs="Arial" w:hint="cs"/>
          <w:rtl/>
        </w:rPr>
        <w:t xml:space="preserve"> -</w:t>
      </w:r>
      <w:r w:rsidRPr="003A3D3F">
        <w:rPr>
          <w:rFonts w:cs="Arial"/>
          <w:rtl/>
        </w:rPr>
        <w:t xml:space="preserve"> ואין שיטה זו מחוורת בעיני</w:t>
      </w:r>
      <w:r w:rsidRPr="003A3D3F">
        <w:rPr>
          <w:rFonts w:cs="Arial" w:hint="cs"/>
          <w:rtl/>
        </w:rPr>
        <w:t>,</w:t>
      </w:r>
      <w:r w:rsidRPr="003A3D3F">
        <w:rPr>
          <w:rFonts w:cs="Arial"/>
          <w:rtl/>
        </w:rPr>
        <w:t xml:space="preserve"> שהרי הזכירו בהויה זו מרדה ב' או ג' פעמים ודוחק הוא לומר דמרדה לאו דוקא</w:t>
      </w:r>
      <w:r w:rsidRPr="003A3D3F">
        <w:rPr>
          <w:rFonts w:cs="Arial" w:hint="cs"/>
          <w:rtl/>
        </w:rPr>
        <w:t>.</w:t>
      </w:r>
      <w:r w:rsidRPr="003A3D3F">
        <w:rPr>
          <w:rFonts w:cs="Arial"/>
          <w:rtl/>
        </w:rPr>
        <w:t xml:space="preserve"> וכן ראיתי להרמב"ם ולאחרים מן הראשונים שכותבים פסקי דינים באומרת מאיס עלי ולא ידעתי מנין להם</w:t>
      </w:r>
      <w:r w:rsidRPr="003A3D3F">
        <w:rPr>
          <w:rFonts w:cs="Arial" w:hint="cs"/>
          <w:rtl/>
        </w:rPr>
        <w:t>.</w:t>
      </w:r>
      <w:r w:rsidRPr="003A3D3F">
        <w:rPr>
          <w:rFonts w:cs="Arial"/>
          <w:rtl/>
        </w:rPr>
        <w:t xml:space="preserve"> אבל פשט הגמרא כך נראה בעיני דדוקא כי אמרה בעינא ליה ומצערנא ליה הוא דקנסינן לה</w:t>
      </w:r>
      <w:r w:rsidRPr="003A3D3F">
        <w:rPr>
          <w:rFonts w:cs="Arial" w:hint="cs"/>
          <w:rtl/>
        </w:rPr>
        <w:t>,</w:t>
      </w:r>
      <w:r w:rsidRPr="003A3D3F">
        <w:rPr>
          <w:rFonts w:cs="Arial"/>
          <w:rtl/>
        </w:rPr>
        <w:t xml:space="preserve"> דכיון דבעיא ליה אין זה כי אם רוע לב</w:t>
      </w:r>
      <w:r w:rsidRPr="003A3D3F">
        <w:rPr>
          <w:rFonts w:cs="Arial" w:hint="cs"/>
          <w:rtl/>
        </w:rPr>
        <w:t>.</w:t>
      </w:r>
      <w:r w:rsidRPr="003A3D3F">
        <w:rPr>
          <w:rFonts w:cs="Arial"/>
          <w:rtl/>
        </w:rPr>
        <w:t xml:space="preserve"> אבל אמרה מאיס עלי אין קונסין אותה כלום שהרי אנוסה היא</w:t>
      </w:r>
      <w:r w:rsidRPr="003A3D3F">
        <w:rPr>
          <w:rFonts w:cs="Arial" w:hint="cs"/>
          <w:rtl/>
        </w:rPr>
        <w:t>,</w:t>
      </w:r>
      <w:r w:rsidRPr="003A3D3F">
        <w:rPr>
          <w:rFonts w:cs="Arial"/>
          <w:rtl/>
        </w:rPr>
        <w:t xml:space="preserve"> ולפיכך אם רצה להוציא יתן כתובה</w:t>
      </w:r>
      <w:r w:rsidRPr="003A3D3F">
        <w:rPr>
          <w:rFonts w:cs="Arial" w:hint="cs"/>
          <w:rtl/>
        </w:rPr>
        <w:t>.</w:t>
      </w:r>
      <w:r w:rsidRPr="003A3D3F">
        <w:rPr>
          <w:rFonts w:cs="Arial"/>
          <w:rtl/>
        </w:rPr>
        <w:t xml:space="preserve"> וזהו שלא פירשו בדיני מאיס עלי כלום</w:t>
      </w:r>
      <w:r w:rsidRPr="003A3D3F">
        <w:rPr>
          <w:rFonts w:cs="Arial" w:hint="cs"/>
          <w:rtl/>
        </w:rPr>
        <w:t>,</w:t>
      </w:r>
      <w:r w:rsidRPr="003A3D3F">
        <w:rPr>
          <w:rFonts w:cs="Arial"/>
          <w:rtl/>
        </w:rPr>
        <w:t xml:space="preserve"> שאין ב"ד נזקקין בדבר</w:t>
      </w:r>
      <w:r w:rsidRPr="003A3D3F">
        <w:rPr>
          <w:rFonts w:cs="Arial" w:hint="cs"/>
          <w:rtl/>
        </w:rPr>
        <w:t>,</w:t>
      </w:r>
      <w:r w:rsidRPr="003A3D3F">
        <w:rPr>
          <w:rFonts w:cs="Arial"/>
          <w:rtl/>
        </w:rPr>
        <w:t xml:space="preserve"> וכלתיה דרב זביד אימרדא ממש</w:t>
      </w:r>
      <w:r w:rsidRPr="003A3D3F">
        <w:rPr>
          <w:rFonts w:cs="Arial" w:hint="cs"/>
          <w:rtl/>
        </w:rPr>
        <w:t>.</w:t>
      </w:r>
      <w:r w:rsidRPr="003A3D3F">
        <w:rPr>
          <w:rFonts w:cs="Arial"/>
          <w:rtl/>
        </w:rPr>
        <w:t xml:space="preserve"> ומאי דשקלינן וטרינן במרדה אם הפסידה בלאותיה הקיימים אם לאו </w:t>
      </w:r>
      <w:r>
        <w:rPr>
          <w:rFonts w:cs="Arial" w:hint="cs"/>
          <w:rtl/>
        </w:rPr>
        <w:t xml:space="preserve">- </w:t>
      </w:r>
      <w:r w:rsidRPr="003A3D3F">
        <w:rPr>
          <w:rFonts w:cs="Arial"/>
          <w:rtl/>
        </w:rPr>
        <w:t>במורדת ממש עסקינן</w:t>
      </w:r>
      <w:r w:rsidRPr="003A3D3F">
        <w:rPr>
          <w:rFonts w:cs="Arial" w:hint="cs"/>
          <w:rtl/>
        </w:rPr>
        <w:t>,</w:t>
      </w:r>
      <w:r w:rsidRPr="003A3D3F">
        <w:rPr>
          <w:rFonts w:cs="Arial"/>
          <w:rtl/>
        </w:rPr>
        <w:t xml:space="preserve"> ואחר שחזרו ונמנו דכיון שעוקרין הכתובה מיד איכא למימר דלא הפסידה</w:t>
      </w:r>
      <w:r w:rsidRPr="003A3D3F">
        <w:rPr>
          <w:rFonts w:cs="Arial" w:hint="cs"/>
          <w:rtl/>
        </w:rPr>
        <w:t>,</w:t>
      </w:r>
      <w:r w:rsidRPr="003A3D3F">
        <w:rPr>
          <w:rFonts w:cs="Arial"/>
          <w:rtl/>
        </w:rPr>
        <w:t xml:space="preserve"> לפי שכיון שהאישות כאילו נעקר לאלתר אין ראוי שתפסיד בלאות הקיימים</w:t>
      </w:r>
      <w:r w:rsidRPr="003A3D3F">
        <w:rPr>
          <w:rFonts w:cs="Arial" w:hint="cs"/>
          <w:rtl/>
        </w:rPr>
        <w:t>,</w:t>
      </w:r>
      <w:r w:rsidRPr="003A3D3F">
        <w:rPr>
          <w:rFonts w:cs="Arial"/>
          <w:rtl/>
        </w:rPr>
        <w:t xml:space="preserve"> ולפיכך נסתפקו בזה בגמרא</w:t>
      </w:r>
      <w:r w:rsidRPr="003A3D3F">
        <w:rPr>
          <w:rFonts w:cs="Arial" w:hint="cs"/>
          <w:rtl/>
        </w:rPr>
        <w:t>.</w:t>
      </w:r>
      <w:r w:rsidRPr="003A3D3F">
        <w:rPr>
          <w:rFonts w:cs="Arial"/>
          <w:rtl/>
        </w:rPr>
        <w:t xml:space="preserve"> אבל האומרת מאיס עלי אינה מפסדת כלום</w:t>
      </w:r>
      <w:r w:rsidRPr="003A3D3F">
        <w:rPr>
          <w:rFonts w:cs="Arial" w:hint="cs"/>
          <w:rtl/>
        </w:rPr>
        <w:t>.</w:t>
      </w:r>
      <w:r w:rsidRPr="003A3D3F">
        <w:rPr>
          <w:rFonts w:cs="Arial"/>
          <w:rtl/>
        </w:rPr>
        <w:t xml:space="preserve"> ומשהינן לה י"ב ירחי שתא אגיטא כלומר </w:t>
      </w:r>
      <w:r w:rsidRPr="003A3D3F">
        <w:rPr>
          <w:rFonts w:cs="Arial" w:hint="cs"/>
          <w:rtl/>
        </w:rPr>
        <w:t xml:space="preserve">- </w:t>
      </w:r>
      <w:r w:rsidRPr="003A3D3F">
        <w:rPr>
          <w:rFonts w:cs="Arial"/>
          <w:rtl/>
        </w:rPr>
        <w:t>בין במורדת בין באומרת מאיס עלי</w:t>
      </w:r>
      <w:r w:rsidRPr="003A3D3F">
        <w:rPr>
          <w:rFonts w:cs="Arial" w:hint="cs"/>
          <w:rtl/>
        </w:rPr>
        <w:t>,</w:t>
      </w:r>
      <w:r w:rsidRPr="003A3D3F">
        <w:rPr>
          <w:rFonts w:cs="Arial"/>
          <w:rtl/>
        </w:rPr>
        <w:t xml:space="preserve"> לעולם אינה יוצאה בגט אלא בתר י"ב ירחי שתא דילמא הדרה בה</w:t>
      </w:r>
      <w:r>
        <w:rPr>
          <w:rStyle w:val="a7"/>
          <w:rFonts w:cs="Arial"/>
          <w:rtl/>
        </w:rPr>
        <w:footnoteReference w:id="1315"/>
      </w:r>
      <w:r>
        <w:rPr>
          <w:rFonts w:cs="Arial" w:hint="cs"/>
          <w:rtl/>
        </w:rPr>
        <w:t>.</w:t>
      </w:r>
    </w:p>
    <w:p w14:paraId="41323649" w14:textId="77777777" w:rsidR="002E5BAD" w:rsidRPr="009F3556" w:rsidRDefault="002E5BAD" w:rsidP="002E5BAD">
      <w:pPr>
        <w:ind w:left="360"/>
        <w:rPr>
          <w:rFonts w:cs="Arial"/>
          <w:u w:val="dotted"/>
        </w:rPr>
      </w:pPr>
      <w:r w:rsidRPr="009F3556">
        <w:rPr>
          <w:rFonts w:cs="Arial" w:hint="cs"/>
          <w:u w:val="dotted"/>
          <w:rtl/>
        </w:rPr>
        <w:t xml:space="preserve">מה לוקחת עמה האומרת </w:t>
      </w:r>
      <w:r>
        <w:rPr>
          <w:rFonts w:cs="Arial" w:hint="cs"/>
          <w:u w:val="dotted"/>
          <w:rtl/>
        </w:rPr>
        <w:t>'</w:t>
      </w:r>
      <w:r w:rsidRPr="009F3556">
        <w:rPr>
          <w:rFonts w:cs="Arial" w:hint="cs"/>
          <w:u w:val="dotted"/>
          <w:rtl/>
        </w:rPr>
        <w:t>מאיס עלי</w:t>
      </w:r>
      <w:r>
        <w:rPr>
          <w:rFonts w:cs="Arial" w:hint="cs"/>
          <w:u w:val="dotted"/>
          <w:rtl/>
        </w:rPr>
        <w:t>'</w:t>
      </w:r>
      <w:r w:rsidRPr="009F3556">
        <w:rPr>
          <w:rFonts w:cs="Arial" w:hint="cs"/>
          <w:u w:val="dotted"/>
          <w:rtl/>
        </w:rPr>
        <w:t>:</w:t>
      </w:r>
    </w:p>
    <w:p w14:paraId="3E595EEB" w14:textId="77777777" w:rsidR="002E5BAD" w:rsidRDefault="002E5BAD" w:rsidP="002E5BAD">
      <w:pPr>
        <w:pStyle w:val="ab"/>
        <w:numPr>
          <w:ilvl w:val="0"/>
          <w:numId w:val="158"/>
        </w:numPr>
        <w:rPr>
          <w:rFonts w:cs="Arial"/>
        </w:rPr>
      </w:pPr>
      <w:r>
        <w:rPr>
          <w:rFonts w:cs="Arial" w:hint="cs"/>
          <w:rtl/>
        </w:rPr>
        <w:t>רמב"ם</w:t>
      </w:r>
      <w:r>
        <w:rPr>
          <w:rFonts w:cs="Arial" w:hint="cs"/>
          <w:sz w:val="16"/>
          <w:szCs w:val="16"/>
          <w:rtl/>
        </w:rPr>
        <w:t xml:space="preserve"> (פי"ד ה"ח)</w:t>
      </w:r>
      <w:r>
        <w:rPr>
          <w:rFonts w:cs="Arial" w:hint="cs"/>
          <w:rtl/>
        </w:rPr>
        <w:t xml:space="preserve">- </w:t>
      </w:r>
      <w:r w:rsidRPr="009F3556">
        <w:rPr>
          <w:rFonts w:cs="Arial"/>
          <w:rtl/>
        </w:rPr>
        <w:t>אם אמרה מאסתיהו ואיני יכולה להבעל לו מדעתי</w:t>
      </w:r>
      <w:r>
        <w:rPr>
          <w:rFonts w:cs="Arial" w:hint="cs"/>
          <w:rtl/>
        </w:rPr>
        <w:t xml:space="preserve"> -...</w:t>
      </w:r>
      <w:r w:rsidRPr="009F3556">
        <w:rPr>
          <w:rFonts w:cs="Arial"/>
          <w:rtl/>
        </w:rPr>
        <w:t xml:space="preserve"> תצא בלא כתובה כלל 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r>
        <w:rPr>
          <w:rStyle w:val="a7"/>
          <w:rFonts w:cs="Arial"/>
          <w:rtl/>
        </w:rPr>
        <w:footnoteReference w:id="1316"/>
      </w:r>
      <w:r w:rsidRPr="009F3556">
        <w:rPr>
          <w:rFonts w:cs="Arial"/>
          <w:rtl/>
        </w:rPr>
        <w:t>.</w:t>
      </w:r>
      <w:r>
        <w:rPr>
          <w:rFonts w:cs="Arial" w:hint="cs"/>
          <w:rtl/>
        </w:rPr>
        <w:t xml:space="preserve"> </w:t>
      </w:r>
      <w:r w:rsidRPr="00DD4860">
        <w:rPr>
          <w:rFonts w:cs="Arial" w:hint="cs"/>
          <w:color w:val="E36C0A" w:themeColor="accent6" w:themeShade="BF"/>
          <w:rtl/>
        </w:rPr>
        <w:t>(וכ"פ בשו"ע)</w:t>
      </w:r>
    </w:p>
    <w:p w14:paraId="059B3365" w14:textId="77777777" w:rsidR="002E5BAD" w:rsidRDefault="002E5BAD" w:rsidP="002E5BAD">
      <w:pPr>
        <w:pStyle w:val="ab"/>
        <w:numPr>
          <w:ilvl w:val="0"/>
          <w:numId w:val="158"/>
        </w:numPr>
        <w:rPr>
          <w:rFonts w:cs="Arial"/>
        </w:rPr>
      </w:pPr>
      <w:r>
        <w:rPr>
          <w:rFonts w:cs="Arial" w:hint="cs"/>
          <w:rtl/>
        </w:rPr>
        <w:t xml:space="preserve">רא"ש </w:t>
      </w:r>
      <w:r>
        <w:rPr>
          <w:rFonts w:cs="Arial" w:hint="cs"/>
          <w:sz w:val="16"/>
          <w:szCs w:val="16"/>
          <w:rtl/>
        </w:rPr>
        <w:t>(כלל מג סי' יד)</w:t>
      </w:r>
      <w:r>
        <w:rPr>
          <w:rFonts w:cs="Arial" w:hint="cs"/>
          <w:rtl/>
        </w:rPr>
        <w:t xml:space="preserve">- </w:t>
      </w:r>
      <w:r w:rsidRPr="008F33F1">
        <w:rPr>
          <w:rFonts w:cs="Arial"/>
          <w:rtl/>
        </w:rPr>
        <w:t>ולענין הממון אם הכניס לה ממון והוא עדיין בעין שלא הוציאוהו יקח מה שהכניס לה. אבל ממונה ישאר בידה נכסי מלוג ונכסי צאן ברזל ומכל מה שהכניסה לו לא יקח מאומה.</w:t>
      </w:r>
    </w:p>
    <w:p w14:paraId="2E0F4AE3" w14:textId="77777777" w:rsidR="002E5BAD" w:rsidRDefault="002E5BAD" w:rsidP="002E5BAD">
      <w:pPr>
        <w:pStyle w:val="ab"/>
        <w:numPr>
          <w:ilvl w:val="0"/>
          <w:numId w:val="158"/>
        </w:numPr>
        <w:rPr>
          <w:rFonts w:cs="Arial"/>
        </w:rPr>
      </w:pPr>
      <w:r w:rsidRPr="00CC6FE8">
        <w:rPr>
          <w:rFonts w:cs="Arial"/>
          <w:rtl/>
        </w:rPr>
        <w:t xml:space="preserve">רשב"א </w:t>
      </w:r>
      <w:r w:rsidRPr="00CC6FE8">
        <w:rPr>
          <w:rFonts w:cs="Arial"/>
          <w:sz w:val="16"/>
          <w:szCs w:val="16"/>
          <w:rtl/>
        </w:rPr>
        <w:t>(כתובות סד. ד"ה ולענין האומרת)</w:t>
      </w:r>
      <w:r>
        <w:rPr>
          <w:rFonts w:cs="Arial" w:hint="cs"/>
          <w:rtl/>
        </w:rPr>
        <w:t xml:space="preserve"> </w:t>
      </w:r>
      <w:r w:rsidRPr="00CC6FE8">
        <w:rPr>
          <w:rFonts w:cs="Arial"/>
          <w:rtl/>
        </w:rPr>
        <w:t>ו</w:t>
      </w:r>
      <w:r>
        <w:rPr>
          <w:rFonts w:cs="Arial" w:hint="cs"/>
          <w:rtl/>
        </w:rPr>
        <w:t xml:space="preserve">הה"מ </w:t>
      </w:r>
      <w:r>
        <w:rPr>
          <w:rFonts w:cs="Arial" w:hint="cs"/>
          <w:sz w:val="16"/>
          <w:szCs w:val="16"/>
          <w:rtl/>
        </w:rPr>
        <w:t>(שם)</w:t>
      </w:r>
      <w:r>
        <w:rPr>
          <w:rFonts w:cs="Arial" w:hint="cs"/>
          <w:rtl/>
        </w:rPr>
        <w:t xml:space="preserve">- </w:t>
      </w:r>
      <w:r>
        <w:rPr>
          <w:rStyle w:val="a7"/>
          <w:rFonts w:cs="Arial"/>
          <w:rtl/>
        </w:rPr>
        <w:footnoteReference w:id="1317"/>
      </w:r>
      <w:r w:rsidRPr="00CC6FE8">
        <w:rPr>
          <w:rFonts w:cs="Arial"/>
          <w:rtl/>
        </w:rPr>
        <w:t>הפסידה כל עיקר כתובה ותוספת וכל מה שנתן לה הבעל ונדונייתה</w:t>
      </w:r>
      <w:r w:rsidRPr="00CC6FE8">
        <w:rPr>
          <w:rFonts w:cs="Arial" w:hint="cs"/>
          <w:rtl/>
        </w:rPr>
        <w:t>,</w:t>
      </w:r>
      <w:r w:rsidRPr="00CC6FE8">
        <w:rPr>
          <w:rFonts w:cs="Arial"/>
          <w:rtl/>
        </w:rPr>
        <w:t xml:space="preserve"> אלא שאם היו שם בלאות קיימים ותפסה אותם אין מוציאין מידה</w:t>
      </w:r>
      <w:r w:rsidRPr="00CC6FE8">
        <w:rPr>
          <w:rFonts w:cs="Arial" w:hint="cs"/>
          <w:rtl/>
        </w:rPr>
        <w:t>,</w:t>
      </w:r>
      <w:r w:rsidRPr="00CC6FE8">
        <w:rPr>
          <w:rFonts w:cs="Arial"/>
          <w:rtl/>
        </w:rPr>
        <w:t xml:space="preserve"> ונכסי מלוג לא הפסידה כלל אלא נוטלת מה שהוא קיים מהם</w:t>
      </w:r>
      <w:r>
        <w:rPr>
          <w:rStyle w:val="a7"/>
          <w:rFonts w:cs="Arial"/>
          <w:rtl/>
        </w:rPr>
        <w:footnoteReference w:id="1318"/>
      </w:r>
      <w:r>
        <w:rPr>
          <w:rFonts w:cs="Arial" w:hint="cs"/>
          <w:sz w:val="16"/>
          <w:szCs w:val="16"/>
          <w:rtl/>
        </w:rPr>
        <w:t xml:space="preserve"> (ל' הה"מ)</w:t>
      </w:r>
      <w:r>
        <w:rPr>
          <w:rFonts w:cs="Arial" w:hint="cs"/>
          <w:rtl/>
        </w:rPr>
        <w:t>.</w:t>
      </w:r>
    </w:p>
    <w:p w14:paraId="1BB8ABDA" w14:textId="77777777" w:rsidR="002E5BAD" w:rsidRDefault="002E5BAD" w:rsidP="002E5BAD">
      <w:pPr>
        <w:pStyle w:val="ab"/>
        <w:numPr>
          <w:ilvl w:val="0"/>
          <w:numId w:val="158"/>
        </w:numPr>
        <w:rPr>
          <w:rFonts w:cs="Arial"/>
        </w:rPr>
      </w:pPr>
      <w:r>
        <w:rPr>
          <w:rFonts w:cs="Arial" w:hint="cs"/>
          <w:rtl/>
        </w:rPr>
        <w:lastRenderedPageBreak/>
        <w:t xml:space="preserve">מהר"ם </w:t>
      </w:r>
      <w:r>
        <w:rPr>
          <w:rFonts w:cs="Arial" w:hint="cs"/>
          <w:sz w:val="16"/>
          <w:szCs w:val="16"/>
          <w:rtl/>
        </w:rPr>
        <w:t>(ספר סיני וליקוטים סי' תקסב, וכ"כ בשמו המרדכי [כתובות סי' קפו] הרא"ש</w:t>
      </w:r>
      <w:r>
        <w:rPr>
          <w:rStyle w:val="a7"/>
          <w:rFonts w:cs="Arial"/>
          <w:sz w:val="16"/>
          <w:szCs w:val="16"/>
          <w:rtl/>
        </w:rPr>
        <w:footnoteReference w:id="1319"/>
      </w:r>
      <w:r>
        <w:rPr>
          <w:rFonts w:cs="Arial" w:hint="cs"/>
          <w:sz w:val="16"/>
          <w:szCs w:val="16"/>
          <w:rtl/>
        </w:rPr>
        <w:t xml:space="preserve"> [פ"ה סי' לה] הגה"מ</w:t>
      </w:r>
      <w:r w:rsidRPr="00A93E28">
        <w:rPr>
          <w:rStyle w:val="a7"/>
          <w:rFonts w:cs="Arial"/>
          <w:sz w:val="16"/>
          <w:szCs w:val="16"/>
          <w:rtl/>
        </w:rPr>
        <w:footnoteReference w:id="1320"/>
      </w:r>
      <w:r>
        <w:rPr>
          <w:rFonts w:cs="Arial" w:hint="cs"/>
          <w:sz w:val="16"/>
          <w:szCs w:val="16"/>
          <w:rtl/>
        </w:rPr>
        <w:t xml:space="preserve"> [</w:t>
      </w:r>
      <w:r w:rsidRPr="003B37DC">
        <w:rPr>
          <w:rFonts w:cs="Arial" w:hint="cs"/>
          <w:sz w:val="16"/>
          <w:szCs w:val="16"/>
          <w:rtl/>
        </w:rPr>
        <w:t xml:space="preserve">פי"ד </w:t>
      </w:r>
      <w:r w:rsidRPr="003B37DC">
        <w:rPr>
          <w:rFonts w:cs="Arial"/>
          <w:sz w:val="16"/>
          <w:szCs w:val="16"/>
          <w:rtl/>
        </w:rPr>
        <w:t>אות ה</w:t>
      </w:r>
      <w:r>
        <w:rPr>
          <w:rFonts w:cs="Arial" w:hint="cs"/>
          <w:sz w:val="16"/>
          <w:szCs w:val="16"/>
          <w:rtl/>
        </w:rPr>
        <w:t>] והטור)</w:t>
      </w:r>
      <w:r>
        <w:rPr>
          <w:rFonts w:cs="Arial" w:hint="cs"/>
          <w:rtl/>
        </w:rPr>
        <w:t>-</w:t>
      </w:r>
      <w:r w:rsidRPr="009C7606">
        <w:rPr>
          <w:rFonts w:cs="Arial"/>
          <w:rtl/>
        </w:rPr>
        <w:t xml:space="preserve"> נדוניא דהנעלת ליה, אי תפסה</w:t>
      </w:r>
      <w:r>
        <w:rPr>
          <w:rStyle w:val="a7"/>
          <w:rFonts w:cs="Arial"/>
          <w:rtl/>
        </w:rPr>
        <w:footnoteReference w:id="1321"/>
      </w:r>
      <w:r w:rsidRPr="009C7606">
        <w:rPr>
          <w:rFonts w:cs="Arial"/>
          <w:rtl/>
        </w:rPr>
        <w:t xml:space="preserve"> ליה לא מפקינן מינה לרשות הבעל, אבל מה שהוא מכניס מפקינן מינה ויהבינן ליה</w:t>
      </w:r>
      <w:r>
        <w:rPr>
          <w:rStyle w:val="a7"/>
          <w:rFonts w:cs="Arial"/>
          <w:rtl/>
        </w:rPr>
        <w:footnoteReference w:id="1322"/>
      </w:r>
      <w:r>
        <w:rPr>
          <w:rFonts w:cs="Arial" w:hint="cs"/>
          <w:rtl/>
        </w:rPr>
        <w:t>...</w:t>
      </w:r>
      <w:r w:rsidRPr="00564655">
        <w:rPr>
          <w:rFonts w:cs="Arial"/>
          <w:rtl/>
        </w:rPr>
        <w:t xml:space="preserve"> </w:t>
      </w:r>
      <w:r w:rsidRPr="0047162F">
        <w:rPr>
          <w:rFonts w:cs="Arial"/>
          <w:rtl/>
        </w:rPr>
        <w:t>אבל כל היכא דאמרה מאיס עלי, והדברים מוכיחין שאין כן אלא מחמת ממון או כעס שהיה לה עם בעלה או מחמת אביה ואמה והקרובין דארגילו קטטה ואלפוה שקרא לומר מאיס עלי ואינו כן, יהבינן ליה כולה לדידיה בין מה שהכניס הוא בין מה שהכניסה היא, ולית לה מזונות כדין מורדת דבעינא ליה, דמדינה מה שקנתה אשה קנה בעלה אפילו מעשה ידיה ומציאתה וירושתה דבתר הכי נפלו לה, וכל שכן נדוניתה שכבר זכה מאן מפיק ליה מיניה, אלא שתקנו רבנן סבוראי תקנתא דמתיבתא שלא תצאנה בנות ישראל לתרבות רעה, וכל כי האי גוונא לא תקינו אלא אוקמוה אדאורייתא, דאם לא כן היינו פותחין לפרוצות ונותנין יד לפושעות. וכן משמע מדברי האלפס</w:t>
      </w:r>
      <w:r>
        <w:rPr>
          <w:rFonts w:cs="Arial" w:hint="cs"/>
          <w:rtl/>
        </w:rPr>
        <w:t xml:space="preserve"> </w:t>
      </w:r>
      <w:r w:rsidRPr="004523F2">
        <w:rPr>
          <w:rFonts w:cs="Arial"/>
          <w:rtl/>
        </w:rPr>
        <w:t>שכתב היכא דאיכא עלה חשש מיתה ואימרדה כי היכי דלא לירות, לית לה תקנתא</w:t>
      </w:r>
      <w:r>
        <w:rPr>
          <w:rFonts w:hint="cs"/>
          <w:sz w:val="16"/>
          <w:szCs w:val="16"/>
          <w:rtl/>
        </w:rPr>
        <w:t xml:space="preserve"> </w:t>
      </w:r>
      <w:r w:rsidRPr="0069700C">
        <w:rPr>
          <w:rFonts w:hint="cs"/>
          <w:sz w:val="16"/>
          <w:szCs w:val="16"/>
          <w:rtl/>
        </w:rPr>
        <w:t xml:space="preserve">(ל' </w:t>
      </w:r>
      <w:r>
        <w:rPr>
          <w:rFonts w:hint="cs"/>
          <w:sz w:val="16"/>
          <w:szCs w:val="16"/>
          <w:rtl/>
        </w:rPr>
        <w:t>מהר"ם</w:t>
      </w:r>
      <w:r w:rsidRPr="0069700C">
        <w:rPr>
          <w:rFonts w:hint="cs"/>
          <w:sz w:val="16"/>
          <w:szCs w:val="16"/>
          <w:rtl/>
        </w:rPr>
        <w:t>)</w:t>
      </w:r>
      <w:r>
        <w:rPr>
          <w:rFonts w:cs="Arial" w:hint="cs"/>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16A58551" w14:textId="77777777" w:rsidR="002E5BAD" w:rsidRPr="00CD759E" w:rsidRDefault="002E5BAD" w:rsidP="002E5BAD">
      <w:pPr>
        <w:pStyle w:val="ab"/>
        <w:numPr>
          <w:ilvl w:val="0"/>
          <w:numId w:val="158"/>
        </w:numPr>
        <w:rPr>
          <w:rFonts w:cs="Arial"/>
        </w:rPr>
      </w:pPr>
      <w:r w:rsidRPr="003A3D3F">
        <w:rPr>
          <w:rFonts w:cs="Arial"/>
          <w:rtl/>
        </w:rPr>
        <w:t xml:space="preserve">ר"ן </w:t>
      </w:r>
      <w:r w:rsidRPr="003A3D3F">
        <w:rPr>
          <w:rFonts w:cs="Arial" w:hint="cs"/>
          <w:sz w:val="16"/>
          <w:szCs w:val="16"/>
          <w:rtl/>
        </w:rPr>
        <w:t>(</w:t>
      </w:r>
      <w:r w:rsidRPr="003A3D3F">
        <w:rPr>
          <w:rFonts w:cs="Arial"/>
          <w:sz w:val="16"/>
          <w:szCs w:val="16"/>
          <w:rtl/>
        </w:rPr>
        <w:t>כתובות כז. ד"ה דאמרה)</w:t>
      </w:r>
      <w:r>
        <w:rPr>
          <w:rFonts w:cs="Arial" w:hint="cs"/>
          <w:rtl/>
        </w:rPr>
        <w:t>-</w:t>
      </w:r>
      <w:r w:rsidRPr="003A3D3F">
        <w:rPr>
          <w:rFonts w:cs="Arial"/>
          <w:rtl/>
        </w:rPr>
        <w:t xml:space="preserve"> דוקא כי אמרה בעינא ליה ומצערנא ליה הוא דקנסינן לה</w:t>
      </w:r>
      <w:r w:rsidRPr="003A3D3F">
        <w:rPr>
          <w:rFonts w:cs="Arial" w:hint="cs"/>
          <w:rtl/>
        </w:rPr>
        <w:t>,</w:t>
      </w:r>
      <w:r w:rsidRPr="003A3D3F">
        <w:rPr>
          <w:rFonts w:cs="Arial"/>
          <w:rtl/>
        </w:rPr>
        <w:t xml:space="preserve"> דכיון דבעיא ליה אין זה כי אם רוע לב</w:t>
      </w:r>
      <w:r w:rsidRPr="003A3D3F">
        <w:rPr>
          <w:rFonts w:cs="Arial" w:hint="cs"/>
          <w:rtl/>
        </w:rPr>
        <w:t>.</w:t>
      </w:r>
      <w:r w:rsidRPr="003A3D3F">
        <w:rPr>
          <w:rFonts w:cs="Arial"/>
          <w:rtl/>
        </w:rPr>
        <w:t xml:space="preserve"> אבל אמרה מאיס עלי אין קונסין אותה כלום שהרי אנוסה היא</w:t>
      </w:r>
      <w:r w:rsidRPr="003A3D3F">
        <w:rPr>
          <w:rFonts w:cs="Arial" w:hint="cs"/>
          <w:rtl/>
        </w:rPr>
        <w:t>,</w:t>
      </w:r>
      <w:r w:rsidRPr="003A3D3F">
        <w:rPr>
          <w:rFonts w:cs="Arial"/>
          <w:rtl/>
        </w:rPr>
        <w:t xml:space="preserve"> ולפיכך אם רצה להוציא יתן כתובה</w:t>
      </w:r>
      <w:r w:rsidRPr="003A3D3F">
        <w:rPr>
          <w:rFonts w:cs="Arial" w:hint="cs"/>
          <w:rtl/>
        </w:rPr>
        <w:t>.</w:t>
      </w:r>
      <w:r w:rsidRPr="003A3D3F">
        <w:rPr>
          <w:rFonts w:cs="Arial"/>
          <w:rtl/>
        </w:rPr>
        <w:t xml:space="preserve"> וזהו שלא פירשו בדיני מאיס עלי כלום</w:t>
      </w:r>
      <w:r w:rsidRPr="003A3D3F">
        <w:rPr>
          <w:rFonts w:cs="Arial" w:hint="cs"/>
          <w:rtl/>
        </w:rPr>
        <w:t>,</w:t>
      </w:r>
      <w:r w:rsidRPr="003A3D3F">
        <w:rPr>
          <w:rFonts w:cs="Arial"/>
          <w:rtl/>
        </w:rPr>
        <w:t xml:space="preserve"> שאין ב"ד נזקקין בדבר</w:t>
      </w:r>
      <w:r w:rsidRPr="003A3D3F">
        <w:rPr>
          <w:rFonts w:cs="Arial" w:hint="cs"/>
          <w:rtl/>
        </w:rPr>
        <w:t>,</w:t>
      </w:r>
      <w:r w:rsidRPr="003A3D3F">
        <w:rPr>
          <w:rFonts w:cs="Arial"/>
          <w:rtl/>
        </w:rPr>
        <w:t xml:space="preserve"> וכלתיה דרב זביד אימרדא ממש</w:t>
      </w:r>
      <w:r w:rsidRPr="003A3D3F">
        <w:rPr>
          <w:rFonts w:cs="Arial" w:hint="cs"/>
          <w:rtl/>
        </w:rPr>
        <w:t>.</w:t>
      </w:r>
    </w:p>
    <w:p w14:paraId="66F833F7" w14:textId="77777777" w:rsidR="002E5BAD" w:rsidRPr="003B37DC" w:rsidRDefault="002E5BAD" w:rsidP="002E5BAD">
      <w:pPr>
        <w:ind w:left="360"/>
        <w:rPr>
          <w:rFonts w:cs="Arial"/>
        </w:rPr>
      </w:pPr>
      <w:r>
        <w:rPr>
          <w:rFonts w:cs="Arial" w:hint="cs"/>
          <w:u w:val="dotted"/>
          <w:rtl/>
        </w:rPr>
        <w:t>אשה שטוענת 'מאיס' אבל לא נותנת אמתלא מבוררת לדבר:</w:t>
      </w:r>
      <w:r w:rsidRPr="00937ED7">
        <w:rPr>
          <w:rFonts w:cs="Arial" w:hint="cs"/>
          <w:sz w:val="16"/>
          <w:szCs w:val="16"/>
          <w:rtl/>
        </w:rPr>
        <w:t xml:space="preserve"> </w:t>
      </w:r>
      <w:r>
        <w:rPr>
          <w:rFonts w:cs="Arial" w:hint="cs"/>
          <w:sz w:val="16"/>
          <w:szCs w:val="16"/>
          <w:rtl/>
        </w:rPr>
        <w:t>(דרכ"מ אות יד)</w:t>
      </w:r>
    </w:p>
    <w:p w14:paraId="5AEE65C4" w14:textId="77777777" w:rsidR="002E5BAD" w:rsidRDefault="002E5BAD" w:rsidP="002E5BAD">
      <w:pPr>
        <w:pStyle w:val="ab"/>
        <w:numPr>
          <w:ilvl w:val="0"/>
          <w:numId w:val="158"/>
        </w:numPr>
        <w:rPr>
          <w:rFonts w:cs="Arial"/>
        </w:rPr>
      </w:pPr>
      <w:r w:rsidRPr="00FA71CF">
        <w:rPr>
          <w:rFonts w:cs="Arial"/>
          <w:rtl/>
        </w:rPr>
        <w:t>הג</w:t>
      </w:r>
      <w:r>
        <w:rPr>
          <w:rFonts w:cs="Arial" w:hint="cs"/>
          <w:rtl/>
        </w:rPr>
        <w:t>מ"ר</w:t>
      </w:r>
      <w:r w:rsidRPr="00FA71CF">
        <w:rPr>
          <w:rFonts w:cs="Arial"/>
          <w:rtl/>
        </w:rPr>
        <w:t xml:space="preserve"> </w:t>
      </w:r>
      <w:r w:rsidRPr="003E1DBB">
        <w:rPr>
          <w:rFonts w:cs="Arial"/>
          <w:sz w:val="16"/>
          <w:szCs w:val="16"/>
          <w:rtl/>
        </w:rPr>
        <w:t>(סי' רצ)</w:t>
      </w:r>
      <w:r>
        <w:rPr>
          <w:rFonts w:cs="Arial" w:hint="cs"/>
          <w:rtl/>
        </w:rPr>
        <w:t>-</w:t>
      </w:r>
      <w:r w:rsidRPr="00FA71CF">
        <w:rPr>
          <w:rFonts w:cs="Arial"/>
          <w:rtl/>
        </w:rPr>
        <w:t xml:space="preserve"> לא מקרי אמתלא אלא כשהיא נותנת אמתלא המבוררת לטובי העיר ואז נותנין לה כל מה שהכניסה לו</w:t>
      </w:r>
      <w:r>
        <w:rPr>
          <w:rFonts w:cs="Arial" w:hint="cs"/>
          <w:rtl/>
        </w:rPr>
        <w:t>,</w:t>
      </w:r>
      <w:r w:rsidRPr="00FA71CF">
        <w:rPr>
          <w:rFonts w:cs="Arial"/>
          <w:rtl/>
        </w:rPr>
        <w:t xml:space="preserve"> אבל אם אינה נותנת אמתלא מבוררת אז אין נותנין לה כלום מיהו מה שתפסה משלה אין מוציאין מידה</w:t>
      </w:r>
      <w:r>
        <w:rPr>
          <w:rFonts w:cs="Arial" w:hint="cs"/>
          <w:rtl/>
        </w:rPr>
        <w:t>.</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06C304A5" w14:textId="77777777" w:rsidR="002E5BAD" w:rsidRPr="00937ED7" w:rsidRDefault="002E5BAD" w:rsidP="002E5BAD">
      <w:pPr>
        <w:pStyle w:val="ab"/>
        <w:numPr>
          <w:ilvl w:val="0"/>
          <w:numId w:val="158"/>
        </w:numPr>
        <w:rPr>
          <w:rFonts w:cs="Arial"/>
        </w:rPr>
      </w:pPr>
      <w:r w:rsidRPr="00FA71CF">
        <w:rPr>
          <w:rFonts w:cs="Arial"/>
          <w:rtl/>
        </w:rPr>
        <w:t xml:space="preserve">מהרי"ו </w:t>
      </w:r>
      <w:r w:rsidRPr="003E1DBB">
        <w:rPr>
          <w:rFonts w:cs="Arial" w:hint="cs"/>
          <w:sz w:val="16"/>
          <w:szCs w:val="16"/>
          <w:rtl/>
        </w:rPr>
        <w:t>(</w:t>
      </w:r>
      <w:r w:rsidRPr="003E1DBB">
        <w:rPr>
          <w:rFonts w:cs="Arial"/>
          <w:sz w:val="16"/>
          <w:szCs w:val="16"/>
          <w:rtl/>
        </w:rPr>
        <w:t>בתשובותיו סי</w:t>
      </w:r>
      <w:r w:rsidRPr="003E1DBB">
        <w:rPr>
          <w:rFonts w:cs="Arial" w:hint="cs"/>
          <w:sz w:val="16"/>
          <w:szCs w:val="16"/>
          <w:rtl/>
        </w:rPr>
        <w:t>'</w:t>
      </w:r>
      <w:r w:rsidRPr="003E1DBB">
        <w:rPr>
          <w:rFonts w:cs="Arial"/>
          <w:sz w:val="16"/>
          <w:szCs w:val="16"/>
          <w:rtl/>
        </w:rPr>
        <w:t xml:space="preserve"> כ</w:t>
      </w:r>
      <w:r w:rsidRPr="003E1DBB">
        <w:rPr>
          <w:rFonts w:cs="Arial" w:hint="cs"/>
          <w:sz w:val="16"/>
          <w:szCs w:val="16"/>
          <w:rtl/>
        </w:rPr>
        <w:t>)</w:t>
      </w:r>
      <w:r>
        <w:rPr>
          <w:rFonts w:cs="Arial" w:hint="cs"/>
          <w:rtl/>
        </w:rPr>
        <w:t>-</w:t>
      </w:r>
      <w:r w:rsidRPr="00FA71CF">
        <w:rPr>
          <w:rFonts w:cs="Arial"/>
          <w:rtl/>
        </w:rPr>
        <w:t xml:space="preserve"> הלכה למעשה שהאשה צריכה לישבע שטוענת אמת שמאיס עליה ואינה טוענת כן מחמת שרצונה להוציא ממנו</w:t>
      </w:r>
      <w:r>
        <w:rPr>
          <w:rFonts w:cs="Arial" w:hint="cs"/>
          <w:rtl/>
        </w:rPr>
        <w:t>,</w:t>
      </w:r>
      <w:r w:rsidRPr="00FA71CF">
        <w:rPr>
          <w:rFonts w:cs="Arial"/>
          <w:rtl/>
        </w:rPr>
        <w:t xml:space="preserve"> ואז לא כייפינן אותה להיות עמו</w:t>
      </w:r>
      <w:r>
        <w:rPr>
          <w:rFonts w:cs="Arial" w:hint="cs"/>
          <w:rtl/>
        </w:rPr>
        <w:t>,</w:t>
      </w:r>
      <w:r w:rsidRPr="00FA71CF">
        <w:rPr>
          <w:rFonts w:cs="Arial"/>
          <w:rtl/>
        </w:rPr>
        <w:t xml:space="preserve"> ואז דינה הכי</w:t>
      </w:r>
      <w:r>
        <w:rPr>
          <w:rFonts w:cs="Arial" w:hint="cs"/>
          <w:rtl/>
        </w:rPr>
        <w:t xml:space="preserve"> -</w:t>
      </w:r>
      <w:r w:rsidRPr="00FA71CF">
        <w:rPr>
          <w:rFonts w:cs="Arial"/>
          <w:rtl/>
        </w:rPr>
        <w:t xml:space="preserve"> דבכל מה שהאשה מוחזקת ממה שהכניסה לו הן בגדים הן נדוניא גם טבעת הקידושין אין מוציאין מידה</w:t>
      </w:r>
      <w:r>
        <w:rPr>
          <w:rFonts w:cs="Arial" w:hint="cs"/>
          <w:rtl/>
        </w:rPr>
        <w:t>,</w:t>
      </w:r>
      <w:r w:rsidRPr="00FA71CF">
        <w:rPr>
          <w:rFonts w:cs="Arial"/>
          <w:rtl/>
        </w:rPr>
        <w:t xml:space="preserve"> אבל כל שאר דברים בין שבח שהשביחו הנכסים בין כל מה שהכניס הבעל או נתנו לה קרובים מחמת אביו או קרוביו בין בשעת נישואין או אחר כך אפילו סבלונות הכל תחזיר ומוציאין ממנה</w:t>
      </w:r>
      <w:r>
        <w:rPr>
          <w:rFonts w:cs="Arial" w:hint="cs"/>
          <w:rtl/>
        </w:rPr>
        <w:t>,</w:t>
      </w:r>
      <w:r w:rsidRPr="00FA71CF">
        <w:rPr>
          <w:rFonts w:cs="Arial"/>
          <w:rtl/>
        </w:rPr>
        <w:t xml:space="preserve"> גם מוטל עליה שלא תבזבז נדונייתה הנשאר בידה או ליתנה לאחרים כי אם מתה יורשה הבעל גם השטר חצי זכר נשאר בתקפו ואין לה למחול או ליתנו לאחרים בלי רשות בעלה</w:t>
      </w:r>
      <w:r>
        <w:rPr>
          <w:rFonts w:cs="Arial" w:hint="cs"/>
          <w:rtl/>
        </w:rPr>
        <w:t>...</w:t>
      </w:r>
      <w:r w:rsidRPr="00FA71CF">
        <w:rPr>
          <w:rFonts w:cs="Arial"/>
          <w:rtl/>
        </w:rPr>
        <w:t xml:space="preserve"> ומאחר שהיא מורדת וקבלה עליה הדין לא נשאר לבעל עוד שום כפייה ונגישה עליה</w:t>
      </w:r>
      <w:r>
        <w:rPr>
          <w:rStyle w:val="a7"/>
          <w:rFonts w:cs="Arial"/>
          <w:rtl/>
        </w:rPr>
        <w:footnoteReference w:id="1323"/>
      </w:r>
      <w:r>
        <w:rPr>
          <w:rFonts w:cs="Arial" w:hint="cs"/>
          <w:rtl/>
        </w:rPr>
        <w:t>.</w:t>
      </w:r>
      <w:r w:rsidRPr="00FA71CF">
        <w:rPr>
          <w:rFonts w:cs="Arial"/>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0295EBC3" w14:textId="77777777" w:rsidR="002E5BAD" w:rsidRPr="001F041C" w:rsidRDefault="002E5BAD" w:rsidP="002E5BAD">
      <w:pPr>
        <w:ind w:left="360"/>
        <w:rPr>
          <w:rFonts w:cs="Arial"/>
          <w:u w:val="dotted"/>
        </w:rPr>
      </w:pPr>
      <w:r w:rsidRPr="001F041C">
        <w:rPr>
          <w:rFonts w:cs="Arial" w:hint="cs"/>
          <w:u w:val="dotted"/>
          <w:rtl/>
        </w:rPr>
        <w:t xml:space="preserve">טעם נוסף למה לא לכפות להוציא באומרת </w:t>
      </w:r>
      <w:r>
        <w:rPr>
          <w:rFonts w:cs="Arial" w:hint="cs"/>
          <w:u w:val="dotted"/>
          <w:rtl/>
        </w:rPr>
        <w:t>'</w:t>
      </w:r>
      <w:r w:rsidRPr="001F041C">
        <w:rPr>
          <w:rFonts w:cs="Arial" w:hint="cs"/>
          <w:u w:val="dotted"/>
          <w:rtl/>
        </w:rPr>
        <w:t>מאיס</w:t>
      </w:r>
      <w:r>
        <w:rPr>
          <w:rFonts w:cs="Arial" w:hint="cs"/>
          <w:u w:val="dotted"/>
          <w:rtl/>
        </w:rPr>
        <w:t>'</w:t>
      </w:r>
      <w:r w:rsidRPr="001F041C">
        <w:rPr>
          <w:rFonts w:cs="Arial" w:hint="cs"/>
          <w:u w:val="dotted"/>
          <w:rtl/>
        </w:rPr>
        <w:t>:</w:t>
      </w:r>
    </w:p>
    <w:p w14:paraId="4C8245B2" w14:textId="77777777" w:rsidR="002E5BAD" w:rsidRDefault="002E5BAD" w:rsidP="002E5BAD">
      <w:pPr>
        <w:pStyle w:val="ab"/>
        <w:numPr>
          <w:ilvl w:val="0"/>
          <w:numId w:val="158"/>
        </w:numPr>
        <w:rPr>
          <w:rFonts w:cs="Arial"/>
        </w:rPr>
      </w:pPr>
      <w:r>
        <w:rPr>
          <w:rFonts w:cs="Arial" w:hint="cs"/>
          <w:rtl/>
        </w:rPr>
        <w:lastRenderedPageBreak/>
        <w:t xml:space="preserve">רא"ש </w:t>
      </w:r>
      <w:r w:rsidRPr="00F66083">
        <w:rPr>
          <w:rFonts w:cs="Arial"/>
          <w:sz w:val="16"/>
          <w:szCs w:val="16"/>
          <w:rtl/>
        </w:rPr>
        <w:t>(כלל מג סי' ו</w:t>
      </w:r>
      <w:r>
        <w:rPr>
          <w:rFonts w:cs="Arial" w:hint="cs"/>
          <w:sz w:val="16"/>
          <w:szCs w:val="16"/>
          <w:rtl/>
        </w:rPr>
        <w:t>, וסי' ח</w:t>
      </w:r>
      <w:r>
        <w:rPr>
          <w:rStyle w:val="a7"/>
          <w:rFonts w:cs="Arial"/>
          <w:sz w:val="16"/>
          <w:szCs w:val="16"/>
          <w:rtl/>
        </w:rPr>
        <w:footnoteReference w:id="1324"/>
      </w:r>
      <w:r w:rsidRPr="00F66083">
        <w:rPr>
          <w:rFonts w:cs="Arial"/>
          <w:sz w:val="16"/>
          <w:szCs w:val="16"/>
          <w:rtl/>
        </w:rPr>
        <w:t>)</w:t>
      </w:r>
      <w:r w:rsidRPr="00F66083">
        <w:rPr>
          <w:rFonts w:cs="Arial"/>
          <w:rtl/>
        </w:rPr>
        <w:t xml:space="preserve"> </w:t>
      </w:r>
      <w:r>
        <w:rPr>
          <w:rFonts w:cs="Arial" w:hint="cs"/>
          <w:rtl/>
        </w:rPr>
        <w:t>והה"מ</w:t>
      </w:r>
      <w:r>
        <w:rPr>
          <w:rStyle w:val="a7"/>
          <w:rFonts w:cs="Arial"/>
          <w:rtl/>
        </w:rPr>
        <w:footnoteReference w:id="1325"/>
      </w:r>
      <w:r>
        <w:rPr>
          <w:rFonts w:cs="Arial" w:hint="cs"/>
          <w:sz w:val="16"/>
          <w:szCs w:val="16"/>
          <w:rtl/>
        </w:rPr>
        <w:t xml:space="preserve"> (פי"ד ה"ח)</w:t>
      </w:r>
      <w:r>
        <w:rPr>
          <w:rFonts w:cs="Arial" w:hint="cs"/>
          <w:rtl/>
        </w:rPr>
        <w:t xml:space="preserve">- </w:t>
      </w:r>
      <w:r w:rsidRPr="00F66083">
        <w:rPr>
          <w:rFonts w:cs="Arial"/>
          <w:rtl/>
        </w:rPr>
        <w:t>אף על פי שרבינו משה כתב דכי אמרה מאיס עלי כופין אותו להוציא רבינו תם ור"י חולקין עליו וכיון דאיכא פלוגתא דרבוותא למה נכניס ראשינו בין הרים גדולים לעשות גט מעושה שלא כדין ולהתיר אשת איש ועוד כי בעוונותינו בנות ישראל הן פרוצות בזמן הזה ואיכא למיחש שמא נתנה עיניה באחר וכל המעשה בטענה זו מרבה ממזרים בישראל ועל להבא אני כותב אבל לשעבר אם סמכו על רבינו משה מה שעשו עשוי</w:t>
      </w:r>
      <w:r>
        <w:rPr>
          <w:rFonts w:cs="Arial" w:hint="cs"/>
          <w:sz w:val="16"/>
          <w:szCs w:val="16"/>
          <w:rtl/>
        </w:rPr>
        <w:t xml:space="preserve"> (ל' הרא"ש [שם סי' ו])</w:t>
      </w:r>
      <w:r w:rsidRPr="00F66083">
        <w:rPr>
          <w:rFonts w:cs="Arial"/>
          <w:rtl/>
        </w:rPr>
        <w:t>.</w:t>
      </w:r>
    </w:p>
    <w:p w14:paraId="3CB89DCD" w14:textId="77777777" w:rsidR="002E5BAD" w:rsidRPr="001F501A" w:rsidRDefault="002E5BAD" w:rsidP="002E5BAD">
      <w:pPr>
        <w:ind w:left="360"/>
        <w:rPr>
          <w:rFonts w:cs="Arial"/>
          <w:u w:val="dotted"/>
        </w:rPr>
      </w:pPr>
      <w:r w:rsidRPr="001F501A">
        <w:rPr>
          <w:rFonts w:cs="Arial" w:hint="cs"/>
          <w:u w:val="dotted"/>
          <w:rtl/>
        </w:rPr>
        <w:t xml:space="preserve">אשה מעוברת שאומרת </w:t>
      </w:r>
      <w:r>
        <w:rPr>
          <w:rFonts w:cs="Arial" w:hint="cs"/>
          <w:u w:val="dotted"/>
          <w:rtl/>
        </w:rPr>
        <w:t>'</w:t>
      </w:r>
      <w:r w:rsidRPr="001F501A">
        <w:rPr>
          <w:rFonts w:cs="Arial" w:hint="cs"/>
          <w:u w:val="dotted"/>
          <w:rtl/>
        </w:rPr>
        <w:t xml:space="preserve">מאיס עלי' </w:t>
      </w:r>
      <w:r w:rsidRPr="001F501A">
        <w:rPr>
          <w:rFonts w:cs="Arial"/>
          <w:u w:val="dotted"/>
          <w:rtl/>
        </w:rPr>
        <w:t>–</w:t>
      </w:r>
      <w:r w:rsidRPr="001F501A">
        <w:rPr>
          <w:rFonts w:cs="Arial" w:hint="cs"/>
          <w:u w:val="dotted"/>
          <w:rtl/>
        </w:rPr>
        <w:t xml:space="preserve"> האם חייב במזונותיה מחמת העובר שבמעיה:</w:t>
      </w:r>
    </w:p>
    <w:p w14:paraId="118A8DAE" w14:textId="77777777" w:rsidR="002E5BAD" w:rsidRPr="001F501A" w:rsidRDefault="002E5BAD" w:rsidP="002E5BAD">
      <w:pPr>
        <w:pStyle w:val="ab"/>
        <w:numPr>
          <w:ilvl w:val="0"/>
          <w:numId w:val="158"/>
        </w:numPr>
        <w:rPr>
          <w:rFonts w:cs="Arial"/>
        </w:rPr>
      </w:pPr>
      <w:r w:rsidRPr="00A077AD">
        <w:rPr>
          <w:rFonts w:cs="Arial"/>
          <w:rtl/>
        </w:rPr>
        <w:t xml:space="preserve">רשב"א </w:t>
      </w:r>
      <w:r w:rsidRPr="00A5733B">
        <w:rPr>
          <w:rFonts w:cs="Arial" w:hint="cs"/>
          <w:sz w:val="16"/>
          <w:szCs w:val="16"/>
          <w:rtl/>
        </w:rPr>
        <w:t>(</w:t>
      </w:r>
      <w:r w:rsidRPr="00A5733B">
        <w:rPr>
          <w:rFonts w:cs="Arial"/>
          <w:sz w:val="16"/>
          <w:szCs w:val="16"/>
          <w:rtl/>
        </w:rPr>
        <w:t>בתשו</w:t>
      </w:r>
      <w:r w:rsidRPr="00A5733B">
        <w:rPr>
          <w:rFonts w:cs="Arial" w:hint="cs"/>
          <w:sz w:val="16"/>
          <w:szCs w:val="16"/>
          <w:rtl/>
        </w:rPr>
        <w:t>', כ"כ הב"י בשמו)</w:t>
      </w:r>
      <w:r>
        <w:rPr>
          <w:rFonts w:cs="Arial" w:hint="cs"/>
          <w:rtl/>
        </w:rPr>
        <w:t xml:space="preserve">- </w:t>
      </w:r>
      <w:r w:rsidRPr="00A077AD">
        <w:rPr>
          <w:rFonts w:cs="Arial"/>
          <w:rtl/>
        </w:rPr>
        <w:t>ואם היא מעוברת כמו שאמרת</w:t>
      </w:r>
      <w:r w:rsidRPr="00A077AD">
        <w:rPr>
          <w:rFonts w:cs="Arial" w:hint="cs"/>
          <w:rtl/>
        </w:rPr>
        <w:t>,</w:t>
      </w:r>
      <w:r w:rsidRPr="00A077AD">
        <w:rPr>
          <w:rFonts w:cs="Arial"/>
          <w:rtl/>
        </w:rPr>
        <w:t xml:space="preserve"> אינו חייב במזונותיה מחמת העובר שבמעיה</w:t>
      </w:r>
      <w:r w:rsidRPr="00A077AD">
        <w:rPr>
          <w:rFonts w:cs="Arial" w:hint="cs"/>
          <w:rtl/>
        </w:rPr>
        <w:t>.</w:t>
      </w:r>
      <w:r w:rsidRPr="00A077AD">
        <w:rPr>
          <w:rFonts w:cs="Arial"/>
          <w:rtl/>
        </w:rPr>
        <w:t xml:space="preserve"> אבל לכשתלד אם אינה רוצה להניק לו את הילד אינה חייבת אלא אם הניקתהו עד שיהא מכירה כדאיתא בפרק אף על פי (נט:) והוא נותן לה שכרה</w:t>
      </w:r>
      <w:r w:rsidRPr="00A077AD">
        <w:rPr>
          <w:rFonts w:cs="Arial" w:hint="cs"/>
          <w:rtl/>
        </w:rPr>
        <w:t>,</w:t>
      </w:r>
      <w:r w:rsidRPr="00A077AD">
        <w:rPr>
          <w:rFonts w:cs="Arial"/>
          <w:rtl/>
        </w:rPr>
        <w:t xml:space="preserve"> וקודם הזמן הזה אם אינה רוצה אינה מניקתו אפילו בשכר</w:t>
      </w:r>
      <w:r w:rsidRPr="00A077AD">
        <w:rPr>
          <w:rFonts w:cs="Arial" w:hint="cs"/>
          <w:rtl/>
        </w:rPr>
        <w:t>.</w:t>
      </w:r>
      <w:r w:rsidRPr="0087405A">
        <w:rPr>
          <w:rFonts w:cs="Arial" w:hint="cs"/>
          <w:color w:val="00B0F0"/>
          <w:rtl/>
        </w:rPr>
        <w:t xml:space="preserve"> (וכ"פ הרמ"א)</w:t>
      </w:r>
    </w:p>
    <w:p w14:paraId="0B69F546" w14:textId="77777777" w:rsidR="002E5BAD" w:rsidRPr="00565719" w:rsidRDefault="002E5BAD" w:rsidP="002E5BAD">
      <w:pPr>
        <w:rPr>
          <w:rFonts w:cs="Arial"/>
          <w:u w:val="single"/>
        </w:rPr>
      </w:pPr>
      <w:r w:rsidRPr="00565719">
        <w:rPr>
          <w:rFonts w:cs="Arial" w:hint="cs"/>
          <w:u w:val="single"/>
          <w:rtl/>
        </w:rPr>
        <w:t xml:space="preserve">תקנת הגאונים לגרש כל אשה שאומרת </w:t>
      </w:r>
      <w:r>
        <w:rPr>
          <w:rFonts w:cs="Arial" w:hint="cs"/>
          <w:u w:val="single"/>
          <w:rtl/>
        </w:rPr>
        <w:t>'</w:t>
      </w:r>
      <w:r w:rsidRPr="00565719">
        <w:rPr>
          <w:rFonts w:cs="Arial" w:hint="cs"/>
          <w:u w:val="single"/>
          <w:rtl/>
        </w:rPr>
        <w:t>לא בעינא ל</w:t>
      </w:r>
      <w:r>
        <w:rPr>
          <w:rFonts w:cs="Arial" w:hint="cs"/>
          <w:u w:val="single"/>
          <w:rtl/>
        </w:rPr>
        <w:t>יה'</w:t>
      </w:r>
      <w:r w:rsidRPr="00565719">
        <w:rPr>
          <w:rFonts w:cs="Arial" w:hint="cs"/>
          <w:u w:val="single"/>
          <w:rtl/>
        </w:rPr>
        <w:t>:</w:t>
      </w:r>
    </w:p>
    <w:p w14:paraId="7AF34695" w14:textId="77777777" w:rsidR="002E5BAD" w:rsidRPr="00386CF1" w:rsidRDefault="002E5BAD" w:rsidP="002E5BAD">
      <w:pPr>
        <w:pStyle w:val="ab"/>
        <w:numPr>
          <w:ilvl w:val="0"/>
          <w:numId w:val="158"/>
        </w:numPr>
        <w:rPr>
          <w:rFonts w:cs="Arial"/>
        </w:rPr>
      </w:pPr>
      <w:r>
        <w:rPr>
          <w:rFonts w:cs="Arial" w:hint="cs"/>
          <w:rtl/>
        </w:rPr>
        <w:t xml:space="preserve">רי"ף </w:t>
      </w:r>
      <w:r>
        <w:rPr>
          <w:rFonts w:cs="Arial" w:hint="cs"/>
          <w:sz w:val="16"/>
          <w:szCs w:val="16"/>
          <w:rtl/>
        </w:rPr>
        <w:t>(כז.)</w:t>
      </w:r>
      <w:r>
        <w:rPr>
          <w:rFonts w:cs="Arial" w:hint="cs"/>
          <w:rtl/>
        </w:rPr>
        <w:t xml:space="preserve">- </w:t>
      </w:r>
      <w:r w:rsidRPr="00565719">
        <w:rPr>
          <w:rFonts w:cs="Arial"/>
          <w:rtl/>
        </w:rPr>
        <w:t>כלתיה דרב זביד אימרדא</w:t>
      </w:r>
      <w:r>
        <w:rPr>
          <w:rFonts w:cs="Arial" w:hint="cs"/>
          <w:rtl/>
        </w:rPr>
        <w:t>...</w:t>
      </w:r>
      <w:r w:rsidRPr="00565719">
        <w:rPr>
          <w:rFonts w:cs="Arial"/>
          <w:rtl/>
        </w:rPr>
        <w:t xml:space="preserve"> תפסה לא מפקינן מינה לא תפסה לא יהבינן לה ומשהינן לה תריסר ירחי שתא אגיטא ובהלין תריסר ירחי שתא לית לה מזוני מבעל. הדין הוא דינא דגמרא</w:t>
      </w:r>
      <w:r>
        <w:rPr>
          <w:rFonts w:cs="Arial" w:hint="cs"/>
          <w:rtl/>
        </w:rPr>
        <w:t>,</w:t>
      </w:r>
      <w:r w:rsidRPr="00565719">
        <w:rPr>
          <w:rFonts w:cs="Arial"/>
          <w:rtl/>
        </w:rPr>
        <w:t xml:space="preserve"> אבל האידנא בבי דינא דמתיבתא הכי דייני במורדת</w:t>
      </w:r>
      <w:r>
        <w:rPr>
          <w:rFonts w:cs="Arial" w:hint="cs"/>
          <w:rtl/>
        </w:rPr>
        <w:t>,</w:t>
      </w:r>
      <w:r w:rsidRPr="00565719">
        <w:rPr>
          <w:rFonts w:cs="Arial"/>
          <w:rtl/>
        </w:rPr>
        <w:t xml:space="preserve"> כד אתיא ואמרה לא בעינא ליה להאי גברא ניתיב לי גיטא</w:t>
      </w:r>
      <w:r>
        <w:rPr>
          <w:rFonts w:cs="Arial" w:hint="cs"/>
          <w:rtl/>
        </w:rPr>
        <w:t xml:space="preserve"> -</w:t>
      </w:r>
      <w:r w:rsidRPr="00565719">
        <w:rPr>
          <w:rFonts w:cs="Arial"/>
          <w:rtl/>
        </w:rPr>
        <w:t xml:space="preserve"> יהיב לה גיטא לאלתר</w:t>
      </w:r>
      <w:r>
        <w:rPr>
          <w:rFonts w:cs="Arial" w:hint="cs"/>
          <w:rtl/>
        </w:rPr>
        <w:t>.</w:t>
      </w:r>
      <w:r w:rsidRPr="00565719">
        <w:rPr>
          <w:rFonts w:cs="Arial"/>
          <w:rtl/>
        </w:rPr>
        <w:t xml:space="preserve"> ואי תפסה מידי מכתובתה מפקינן ליה מינה ומהדרינן לבעל</w:t>
      </w:r>
      <w:r>
        <w:rPr>
          <w:rFonts w:cs="Arial" w:hint="cs"/>
          <w:rtl/>
        </w:rPr>
        <w:t>.</w:t>
      </w:r>
      <w:r w:rsidRPr="00565719">
        <w:rPr>
          <w:rFonts w:cs="Arial"/>
          <w:rtl/>
        </w:rPr>
        <w:t xml:space="preserve"> והני מילי במאי דכתב לה בעל מדיליה</w:t>
      </w:r>
      <w:r>
        <w:rPr>
          <w:rFonts w:cs="Arial" w:hint="cs"/>
          <w:rtl/>
        </w:rPr>
        <w:t>,</w:t>
      </w:r>
      <w:r w:rsidRPr="00565719">
        <w:rPr>
          <w:rFonts w:cs="Arial"/>
          <w:rtl/>
        </w:rPr>
        <w:t xml:space="preserve"> אבל מאי דאיתיאת מבית נשא בין תפסה ליה בין לא תפסה ליה</w:t>
      </w:r>
      <w:r>
        <w:rPr>
          <w:rFonts w:cs="Arial" w:hint="cs"/>
          <w:rtl/>
        </w:rPr>
        <w:t xml:space="preserve"> -</w:t>
      </w:r>
      <w:r w:rsidRPr="00565719">
        <w:rPr>
          <w:rFonts w:cs="Arial"/>
          <w:rtl/>
        </w:rPr>
        <w:t xml:space="preserve"> כל מאי דאיתיה בעיניה יהבינן לה</w:t>
      </w:r>
      <w:r>
        <w:rPr>
          <w:rFonts w:cs="Arial" w:hint="cs"/>
          <w:rtl/>
        </w:rPr>
        <w:t>.</w:t>
      </w:r>
      <w:r w:rsidRPr="00565719">
        <w:rPr>
          <w:rFonts w:cs="Arial"/>
          <w:rtl/>
        </w:rPr>
        <w:t xml:space="preserve"> ואי ליכא מידיה דאיתיה בעיניה ואיכא מידי דאתי מחמתיה </w:t>
      </w:r>
      <w:r>
        <w:rPr>
          <w:rFonts w:cs="Arial" w:hint="cs"/>
          <w:rtl/>
        </w:rPr>
        <w:t xml:space="preserve">- </w:t>
      </w:r>
      <w:r w:rsidRPr="00565719">
        <w:rPr>
          <w:rFonts w:cs="Arial"/>
          <w:rtl/>
        </w:rPr>
        <w:t>יהבינן ליה ניהלה</w:t>
      </w:r>
      <w:r>
        <w:rPr>
          <w:rFonts w:cs="Arial" w:hint="cs"/>
          <w:rtl/>
        </w:rPr>
        <w:t>.</w:t>
      </w:r>
      <w:r w:rsidRPr="00565719">
        <w:rPr>
          <w:rFonts w:cs="Arial"/>
          <w:rtl/>
        </w:rPr>
        <w:t xml:space="preserve"> ואי ליכא מידי דאיתיה בעיניה ולא מאי דאתי מחמתיה אלא אתאבדו להו לגמרי</w:t>
      </w:r>
      <w:r>
        <w:rPr>
          <w:rFonts w:cs="Arial" w:hint="cs"/>
          <w:rtl/>
        </w:rPr>
        <w:t xml:space="preserve"> -</w:t>
      </w:r>
      <w:r w:rsidRPr="00565719">
        <w:rPr>
          <w:rFonts w:cs="Arial"/>
          <w:rtl/>
        </w:rPr>
        <w:t xml:space="preserve"> לא מפקינן מיניה דבעל ולא כלום</w:t>
      </w:r>
      <w:r>
        <w:rPr>
          <w:rFonts w:cs="Arial" w:hint="cs"/>
          <w:rtl/>
        </w:rPr>
        <w:t>.</w:t>
      </w:r>
      <w:r w:rsidRPr="00565719">
        <w:rPr>
          <w:rFonts w:cs="Arial"/>
          <w:rtl/>
        </w:rPr>
        <w:t xml:space="preserve"> וה"מ בנכסי מלוג</w:t>
      </w:r>
      <w:r>
        <w:rPr>
          <w:rFonts w:cs="Arial" w:hint="cs"/>
          <w:rtl/>
        </w:rPr>
        <w:t>,</w:t>
      </w:r>
      <w:r w:rsidRPr="00565719">
        <w:rPr>
          <w:rFonts w:cs="Arial"/>
          <w:rtl/>
        </w:rPr>
        <w:t xml:space="preserve"> אבל בנכסי </w:t>
      </w:r>
      <w:r>
        <w:rPr>
          <w:rFonts w:cs="Arial"/>
          <w:rtl/>
        </w:rPr>
        <w:t>צאן ברזל</w:t>
      </w:r>
      <w:r w:rsidRPr="00565719">
        <w:rPr>
          <w:rFonts w:cs="Arial"/>
          <w:rtl/>
        </w:rPr>
        <w:t xml:space="preserve"> </w:t>
      </w:r>
      <w:r>
        <w:rPr>
          <w:rFonts w:cs="Arial" w:hint="cs"/>
          <w:rtl/>
        </w:rPr>
        <w:t xml:space="preserve">- </w:t>
      </w:r>
      <w:r w:rsidRPr="00565719">
        <w:rPr>
          <w:rFonts w:cs="Arial"/>
          <w:rtl/>
        </w:rPr>
        <w:t>כל מידי דאיתיה בעיניה שקלה ליה</w:t>
      </w:r>
      <w:r>
        <w:rPr>
          <w:rFonts w:cs="Arial" w:hint="cs"/>
          <w:rtl/>
        </w:rPr>
        <w:t>,</w:t>
      </w:r>
      <w:r w:rsidRPr="00565719">
        <w:rPr>
          <w:rFonts w:cs="Arial"/>
          <w:rtl/>
        </w:rPr>
        <w:t xml:space="preserve"> ואף על גב דבלו ליה טובא</w:t>
      </w:r>
      <w:r>
        <w:rPr>
          <w:rFonts w:cs="Arial" w:hint="cs"/>
          <w:rtl/>
        </w:rPr>
        <w:t>,</w:t>
      </w:r>
      <w:r w:rsidRPr="00565719">
        <w:rPr>
          <w:rFonts w:cs="Arial"/>
          <w:rtl/>
        </w:rPr>
        <w:t xml:space="preserve"> והוא דחזי למאי דהוה חזי מעיקרא</w:t>
      </w:r>
      <w:r>
        <w:rPr>
          <w:rFonts w:cs="Arial" w:hint="cs"/>
          <w:rtl/>
        </w:rPr>
        <w:t>,</w:t>
      </w:r>
      <w:r w:rsidRPr="00565719">
        <w:rPr>
          <w:rFonts w:cs="Arial"/>
          <w:rtl/>
        </w:rPr>
        <w:t xml:space="preserve"> כגון דחזי לאשתמושי ביה מעין מלאכה דידיה</w:t>
      </w:r>
      <w:r>
        <w:rPr>
          <w:rFonts w:cs="Arial" w:hint="cs"/>
          <w:rtl/>
        </w:rPr>
        <w:t>,</w:t>
      </w:r>
      <w:r w:rsidRPr="00565719">
        <w:rPr>
          <w:rFonts w:cs="Arial"/>
          <w:rtl/>
        </w:rPr>
        <w:t xml:space="preserve"> אבל מאי דבלו ליה לגמרי ולא חזי לאשתמושי ביה כדמיעקרא </w:t>
      </w:r>
      <w:r>
        <w:rPr>
          <w:rFonts w:cs="Arial" w:hint="cs"/>
          <w:rtl/>
        </w:rPr>
        <w:t xml:space="preserve">- </w:t>
      </w:r>
      <w:r w:rsidRPr="00565719">
        <w:rPr>
          <w:rFonts w:cs="Arial"/>
          <w:rtl/>
        </w:rPr>
        <w:t>משלם לה דמיהן כדמעיקרא מדידיה</w:t>
      </w:r>
      <w:r>
        <w:rPr>
          <w:rFonts w:cs="Arial" w:hint="cs"/>
          <w:rtl/>
        </w:rPr>
        <w:t>,</w:t>
      </w:r>
      <w:r w:rsidRPr="00565719">
        <w:rPr>
          <w:rFonts w:cs="Arial"/>
          <w:rtl/>
        </w:rPr>
        <w:t xml:space="preserve"> וכל שכן מאי דאיגניב או מאי דאיתניס דמשלם לה בעל מדידיה משום דברשותיה קיימי כדתנן </w:t>
      </w:r>
      <w:r>
        <w:rPr>
          <w:rFonts w:cs="Arial" w:hint="cs"/>
          <w:rtl/>
        </w:rPr>
        <w:t>(</w:t>
      </w:r>
      <w:r w:rsidRPr="00565719">
        <w:rPr>
          <w:rFonts w:cs="Arial"/>
          <w:rtl/>
        </w:rPr>
        <w:t>יבמות סו</w:t>
      </w:r>
      <w:r>
        <w:rPr>
          <w:rFonts w:cs="Arial" w:hint="cs"/>
          <w:rtl/>
        </w:rPr>
        <w:t>.)</w:t>
      </w:r>
      <w:r w:rsidRPr="00565719">
        <w:rPr>
          <w:rFonts w:cs="Arial"/>
          <w:rtl/>
        </w:rPr>
        <w:t xml:space="preserve"> אם מתו מתו לו ואם הותירו הותירו לו</w:t>
      </w:r>
      <w:r>
        <w:rPr>
          <w:rFonts w:cs="Arial" w:hint="cs"/>
          <w:rtl/>
        </w:rPr>
        <w:t>.</w:t>
      </w:r>
      <w:r w:rsidRPr="00565719">
        <w:rPr>
          <w:rFonts w:cs="Arial"/>
          <w:rtl/>
        </w:rPr>
        <w:t xml:space="preserve"> וחזינן לגאון דאמר דיהיב לה עיקר כתובה מנה מאתים בלחוד</w:t>
      </w:r>
      <w:r>
        <w:rPr>
          <w:rFonts w:cs="Arial" w:hint="cs"/>
          <w:rtl/>
        </w:rPr>
        <w:t>,</w:t>
      </w:r>
      <w:r w:rsidRPr="00565719">
        <w:rPr>
          <w:rFonts w:cs="Arial"/>
          <w:rtl/>
        </w:rPr>
        <w:t xml:space="preserve"> כי היכי דלא להווין בנות ישראל הפקר</w:t>
      </w:r>
      <w:r>
        <w:rPr>
          <w:rFonts w:cs="Arial" w:hint="cs"/>
          <w:rtl/>
        </w:rPr>
        <w:t>,</w:t>
      </w:r>
      <w:r w:rsidRPr="00565719">
        <w:rPr>
          <w:rFonts w:cs="Arial"/>
          <w:rtl/>
        </w:rPr>
        <w:t xml:space="preserve"> אבל מאי דכתיב לה מדיליה בין תוספת בין מתנה לא יהבינן לה מידי</w:t>
      </w:r>
      <w:r>
        <w:rPr>
          <w:rFonts w:cs="Arial" w:hint="cs"/>
          <w:rtl/>
        </w:rPr>
        <w:t>.</w:t>
      </w:r>
      <w:r w:rsidRPr="00565719">
        <w:rPr>
          <w:rFonts w:cs="Arial"/>
          <w:rtl/>
        </w:rPr>
        <w:t xml:space="preserve"> ודינא דגמרא אפילו עיקר כתובה לא יהבינן לה</w:t>
      </w:r>
      <w:r>
        <w:rPr>
          <w:rFonts w:cs="Arial" w:hint="cs"/>
          <w:rtl/>
        </w:rPr>
        <w:t>,</w:t>
      </w:r>
      <w:r w:rsidRPr="00565719">
        <w:rPr>
          <w:rFonts w:cs="Arial"/>
          <w:rtl/>
        </w:rPr>
        <w:t xml:space="preserve"> כדאמרינן בריש פירקא </w:t>
      </w:r>
      <w:r>
        <w:rPr>
          <w:rFonts w:cs="Arial" w:hint="cs"/>
          <w:rtl/>
        </w:rPr>
        <w:t>(</w:t>
      </w:r>
      <w:r w:rsidRPr="00565719">
        <w:rPr>
          <w:rFonts w:cs="Arial"/>
          <w:rtl/>
        </w:rPr>
        <w:t>נד</w:t>
      </w:r>
      <w:r>
        <w:rPr>
          <w:rFonts w:cs="Arial" w:hint="cs"/>
          <w:rtl/>
        </w:rPr>
        <w:t>:)</w:t>
      </w:r>
      <w:r w:rsidRPr="00565719">
        <w:rPr>
          <w:rFonts w:cs="Arial"/>
          <w:rtl/>
        </w:rPr>
        <w:t xml:space="preserve"> תנאי כתובה ככתובה נפקא מינה למוכרת למוחלת ולמורדת</w:t>
      </w:r>
      <w:r>
        <w:rPr>
          <w:rFonts w:cs="Arial" w:hint="cs"/>
          <w:rtl/>
        </w:rPr>
        <w:t>.</w:t>
      </w:r>
      <w:r w:rsidRPr="00565719">
        <w:rPr>
          <w:rFonts w:cs="Arial"/>
          <w:rtl/>
        </w:rPr>
        <w:t xml:space="preserve"> אלמא מורדת אין לה לא עיקר ולא תוספת</w:t>
      </w:r>
      <w:r>
        <w:rPr>
          <w:rFonts w:cs="Arial" w:hint="cs"/>
          <w:rtl/>
        </w:rPr>
        <w:t>.</w:t>
      </w:r>
      <w:r w:rsidRPr="00565719">
        <w:rPr>
          <w:rFonts w:cs="Arial"/>
          <w:rtl/>
        </w:rPr>
        <w:t xml:space="preserve"> הדין הוא דינא דמורדת דנהיגין רבנן במתיבתא מכמה שני עד השתא</w:t>
      </w:r>
      <w:r>
        <w:rPr>
          <w:rFonts w:cs="Arial" w:hint="cs"/>
          <w:rtl/>
        </w:rPr>
        <w:t>.</w:t>
      </w:r>
      <w:r w:rsidRPr="00565719">
        <w:rPr>
          <w:rFonts w:cs="Arial"/>
          <w:rtl/>
        </w:rPr>
        <w:t xml:space="preserve"> אבל ודאי הדין תקנתא ליתא אלא היכא דאימרדת איתתא בבעלה ובעיא לאפוקי מיניה מחמת דלא בעי' ליה</w:t>
      </w:r>
      <w:r>
        <w:rPr>
          <w:rFonts w:cs="Arial" w:hint="cs"/>
          <w:rtl/>
        </w:rPr>
        <w:t>,</w:t>
      </w:r>
      <w:r w:rsidRPr="00565719">
        <w:rPr>
          <w:rFonts w:cs="Arial"/>
          <w:rtl/>
        </w:rPr>
        <w:t xml:space="preserve"> אבל היכא דאתמרעא</w:t>
      </w:r>
      <w:r>
        <w:rPr>
          <w:rFonts w:cs="Arial" w:hint="cs"/>
          <w:sz w:val="16"/>
          <w:szCs w:val="16"/>
          <w:rtl/>
        </w:rPr>
        <w:t xml:space="preserve"> {חלתה}</w:t>
      </w:r>
      <w:r w:rsidRPr="00565719">
        <w:rPr>
          <w:rFonts w:cs="Arial"/>
          <w:rtl/>
        </w:rPr>
        <w:t xml:space="preserve"> או היכא דאיכא עלה חשש מותא ובעיא למיפק מבעלה כי היכי דלא לירות לה </w:t>
      </w:r>
      <w:r>
        <w:rPr>
          <w:rFonts w:cs="Arial" w:hint="cs"/>
          <w:rtl/>
        </w:rPr>
        <w:t xml:space="preserve">- </w:t>
      </w:r>
      <w:r w:rsidRPr="00565719">
        <w:rPr>
          <w:rFonts w:cs="Arial"/>
          <w:rtl/>
        </w:rPr>
        <w:t>ליתא לההיא תקנתא ולא עבדינן בה עובדא</w:t>
      </w:r>
      <w:r>
        <w:rPr>
          <w:rFonts w:cs="Arial" w:hint="cs"/>
          <w:rtl/>
        </w:rPr>
        <w:t>.</w:t>
      </w:r>
      <w:r w:rsidRPr="00697C4E">
        <w:rPr>
          <w:rtl/>
        </w:rPr>
        <w:t xml:space="preserve"> </w:t>
      </w:r>
    </w:p>
    <w:p w14:paraId="61E7BF42" w14:textId="77777777" w:rsidR="002E5BAD" w:rsidRDefault="002E5BAD" w:rsidP="002E5BAD">
      <w:pPr>
        <w:pStyle w:val="ab"/>
        <w:numPr>
          <w:ilvl w:val="0"/>
          <w:numId w:val="158"/>
        </w:numPr>
        <w:rPr>
          <w:rFonts w:cs="Arial"/>
        </w:rPr>
      </w:pPr>
      <w:r>
        <w:rPr>
          <w:rFonts w:cs="Arial" w:hint="cs"/>
          <w:rtl/>
        </w:rPr>
        <w:t xml:space="preserve">רמב"ם </w:t>
      </w:r>
      <w:r>
        <w:rPr>
          <w:rFonts w:cs="Arial" w:hint="cs"/>
          <w:sz w:val="16"/>
          <w:szCs w:val="16"/>
          <w:rtl/>
        </w:rPr>
        <w:t>(פי"ד הי"ד)</w:t>
      </w:r>
      <w:r>
        <w:rPr>
          <w:rFonts w:cs="Arial" w:hint="cs"/>
          <w:rtl/>
        </w:rPr>
        <w:t xml:space="preserve">- </w:t>
      </w:r>
      <w:r w:rsidRPr="00534969">
        <w:rPr>
          <w:rFonts w:cs="Arial"/>
          <w:rtl/>
        </w:rPr>
        <w:t>ואמרו הגאונים שיש להם בבבל מנהגות אחרות במורדת, ולא פשטו אותן המנהגות ברוב ישראל ורבים וגדולים חולקין עליהם ברוב המקומות ובדין התלמוד ראוי לתפוש ולדון.</w:t>
      </w:r>
    </w:p>
    <w:p w14:paraId="12A12E02" w14:textId="77777777" w:rsidR="002E5BAD" w:rsidRDefault="002E5BAD" w:rsidP="002E5BAD">
      <w:pPr>
        <w:pStyle w:val="ab"/>
        <w:numPr>
          <w:ilvl w:val="0"/>
          <w:numId w:val="158"/>
        </w:numPr>
        <w:rPr>
          <w:rFonts w:cs="Arial"/>
        </w:rPr>
      </w:pPr>
      <w:r>
        <w:rPr>
          <w:rFonts w:cs="Arial"/>
          <w:rtl/>
        </w:rPr>
        <w:lastRenderedPageBreak/>
        <w:t xml:space="preserve">רז"ה </w:t>
      </w:r>
      <w:r w:rsidRPr="00697C4E">
        <w:rPr>
          <w:rFonts w:cs="Arial"/>
          <w:sz w:val="16"/>
          <w:szCs w:val="16"/>
          <w:rtl/>
        </w:rPr>
        <w:t>(כז.)</w:t>
      </w:r>
      <w:r>
        <w:rPr>
          <w:rFonts w:cs="Arial" w:hint="cs"/>
          <w:rtl/>
        </w:rPr>
        <w:t xml:space="preserve"> רמב"ן </w:t>
      </w:r>
      <w:r w:rsidRPr="00697C4E">
        <w:rPr>
          <w:rFonts w:cs="Arial"/>
          <w:sz w:val="16"/>
          <w:szCs w:val="16"/>
          <w:rtl/>
        </w:rPr>
        <w:t xml:space="preserve">(סג: ד"ה ובמקצת) </w:t>
      </w:r>
      <w:r w:rsidRPr="00C414B1">
        <w:rPr>
          <w:rFonts w:cs="Arial"/>
          <w:rtl/>
        </w:rPr>
        <w:t>רשב"א</w:t>
      </w:r>
      <w:r>
        <w:rPr>
          <w:rStyle w:val="a7"/>
          <w:rFonts w:cs="Arial"/>
          <w:rtl/>
        </w:rPr>
        <w:footnoteReference w:id="1326"/>
      </w:r>
      <w:r w:rsidRPr="00C414B1">
        <w:rPr>
          <w:rFonts w:cs="Arial"/>
          <w:rtl/>
        </w:rPr>
        <w:t xml:space="preserve"> </w:t>
      </w:r>
      <w:r w:rsidRPr="00C414B1">
        <w:rPr>
          <w:rFonts w:cs="Arial" w:hint="cs"/>
          <w:sz w:val="16"/>
          <w:szCs w:val="16"/>
          <w:rtl/>
        </w:rPr>
        <w:t>(ח"א סי' אלף קצב)</w:t>
      </w:r>
      <w:r w:rsidRPr="00606E18">
        <w:rPr>
          <w:rFonts w:cs="Arial" w:hint="cs"/>
          <w:rtl/>
        </w:rPr>
        <w:t xml:space="preserve"> </w:t>
      </w:r>
      <w:r>
        <w:rPr>
          <w:rFonts w:cs="Arial" w:hint="cs"/>
          <w:rtl/>
        </w:rPr>
        <w:t xml:space="preserve">רא"ש </w:t>
      </w:r>
      <w:r w:rsidRPr="00F66083">
        <w:rPr>
          <w:rFonts w:cs="Arial"/>
          <w:sz w:val="16"/>
          <w:szCs w:val="16"/>
          <w:rtl/>
        </w:rPr>
        <w:t xml:space="preserve">(כלל מג </w:t>
      </w:r>
      <w:r>
        <w:rPr>
          <w:rFonts w:cs="Arial" w:hint="cs"/>
          <w:sz w:val="16"/>
          <w:szCs w:val="16"/>
          <w:rtl/>
        </w:rPr>
        <w:t>סי' ח, וסי' יב</w:t>
      </w:r>
      <w:r w:rsidRPr="00F66083">
        <w:rPr>
          <w:rFonts w:cs="Arial"/>
          <w:sz w:val="16"/>
          <w:szCs w:val="16"/>
          <w:rtl/>
        </w:rPr>
        <w:t>)</w:t>
      </w:r>
      <w:r w:rsidRPr="00606E18">
        <w:rPr>
          <w:rFonts w:cs="Arial"/>
          <w:rtl/>
        </w:rPr>
        <w:t xml:space="preserve"> </w:t>
      </w:r>
      <w:r>
        <w:rPr>
          <w:rFonts w:cs="Arial"/>
          <w:rtl/>
        </w:rPr>
        <w:t>ר"ן</w:t>
      </w:r>
      <w:r>
        <w:rPr>
          <w:rStyle w:val="a7"/>
          <w:rFonts w:cs="Arial"/>
          <w:rtl/>
        </w:rPr>
        <w:footnoteReference w:id="1327"/>
      </w:r>
      <w:r>
        <w:rPr>
          <w:rFonts w:cs="Arial"/>
          <w:rtl/>
        </w:rPr>
        <w:t xml:space="preserve"> </w:t>
      </w:r>
      <w:r w:rsidRPr="009459D3">
        <w:rPr>
          <w:rFonts w:cs="Arial" w:hint="cs"/>
          <w:sz w:val="16"/>
          <w:szCs w:val="16"/>
          <w:rtl/>
        </w:rPr>
        <w:t>(</w:t>
      </w:r>
      <w:r w:rsidRPr="009459D3">
        <w:rPr>
          <w:rFonts w:cs="Arial"/>
          <w:sz w:val="16"/>
          <w:szCs w:val="16"/>
          <w:rtl/>
        </w:rPr>
        <w:t>כז:)</w:t>
      </w:r>
      <w:r>
        <w:rPr>
          <w:rFonts w:cs="Arial" w:hint="cs"/>
          <w:rtl/>
        </w:rPr>
        <w:t xml:space="preserve"> ו</w:t>
      </w:r>
      <w:r>
        <w:rPr>
          <w:rFonts w:cs="Arial"/>
          <w:rtl/>
        </w:rPr>
        <w:t>ריב"ש</w:t>
      </w:r>
      <w:r>
        <w:rPr>
          <w:rStyle w:val="a7"/>
          <w:rFonts w:cs="Arial"/>
          <w:rtl/>
        </w:rPr>
        <w:footnoteReference w:id="1328"/>
      </w:r>
      <w:r w:rsidRPr="00606E18">
        <w:rPr>
          <w:rFonts w:cs="Arial"/>
          <w:sz w:val="16"/>
          <w:szCs w:val="16"/>
          <w:rtl/>
        </w:rPr>
        <w:t xml:space="preserve"> (סי' קד)</w:t>
      </w:r>
      <w:r>
        <w:rPr>
          <w:rFonts w:cs="Arial" w:hint="cs"/>
          <w:rtl/>
        </w:rPr>
        <w:t xml:space="preserve">- </w:t>
      </w:r>
      <w:r w:rsidRPr="009A227D">
        <w:rPr>
          <w:rFonts w:cs="Arial"/>
          <w:rtl/>
        </w:rPr>
        <w:t>אותה תקנה לא פשטה בכל הארצות</w:t>
      </w:r>
      <w:r>
        <w:rPr>
          <w:rFonts w:cs="Arial" w:hint="cs"/>
          <w:rtl/>
        </w:rPr>
        <w:t>,</w:t>
      </w:r>
      <w:r w:rsidRPr="009A227D">
        <w:rPr>
          <w:rFonts w:cs="Arial"/>
          <w:rtl/>
        </w:rPr>
        <w:t xml:space="preserve"> ואף אם יש מקומות שנהגו לכוף לא נהגו מנהג זה על פי תקנת הגאונים כגון שבשעה שתקנו הגאונים את התקנה ששלחוה לאותן המקומות וקיבלו אותה עליהם ואם כן היה הדבר ידוע על פי הקבלה דור אחר דור היאך קיבלו עליהם תקנה זו בציווי הגאונים כי תקנה קבועה כזאת אם קיבלוה עליהם לא היתה עומדת לישכח מפי דורות הבאים אלא אני רואה שבאלו הארצות רוב הגיונם בספרי הרי"ף ז"ל ולפי שראו כפייה זו כתובה בהלכות (כז.) נהגו ביש מקומות לדון כן</w:t>
      </w:r>
      <w:r>
        <w:rPr>
          <w:rFonts w:cs="Arial" w:hint="cs"/>
          <w:rtl/>
        </w:rPr>
        <w:t>.</w:t>
      </w:r>
      <w:r w:rsidRPr="009A227D">
        <w:rPr>
          <w:rFonts w:cs="Arial"/>
          <w:rtl/>
        </w:rPr>
        <w:t xml:space="preserve"> ועוד אני אומר שהגאונים שתקנו התקנה תקנוה לפי הדור ההוא שהיה נראה להם לפי צורך השעה בשביל בנות ישראל</w:t>
      </w:r>
      <w:r>
        <w:rPr>
          <w:rFonts w:cs="Arial" w:hint="cs"/>
          <w:rtl/>
        </w:rPr>
        <w:t>,</w:t>
      </w:r>
      <w:r w:rsidRPr="009A227D">
        <w:rPr>
          <w:rFonts w:cs="Arial"/>
          <w:rtl/>
        </w:rPr>
        <w:t xml:space="preserve"> והאידנא נראה הענין בהיפך בנות ישראל בדור הזה שחצניות הן ואם תוכל האשה להפקיע את עצמה מתחת בעלה באומרת לא בעינא ליה לא הנחת בת לאברהם אבינו יושבת תחת בעלה ויתנו עיניהן באחר וימרדו בבעליהן</w:t>
      </w:r>
      <w:r>
        <w:rPr>
          <w:rFonts w:cs="Arial" w:hint="cs"/>
          <w:rtl/>
        </w:rPr>
        <w:t>,</w:t>
      </w:r>
      <w:r w:rsidRPr="009A227D">
        <w:rPr>
          <w:rFonts w:cs="Arial"/>
          <w:rtl/>
        </w:rPr>
        <w:t xml:space="preserve"> על כן טוב להרחיק הכפייה</w:t>
      </w:r>
      <w:r>
        <w:rPr>
          <w:rFonts w:cs="Arial" w:hint="cs"/>
          <w:sz w:val="16"/>
          <w:szCs w:val="16"/>
          <w:rtl/>
        </w:rPr>
        <w:t xml:space="preserve"> (ל' הרא"ש [בסי' ח])</w:t>
      </w:r>
      <w:r>
        <w:rPr>
          <w:rFonts w:cs="Arial" w:hint="cs"/>
          <w:rtl/>
        </w:rPr>
        <w:t>.</w:t>
      </w:r>
      <w:r w:rsidRPr="004D76B2">
        <w:rPr>
          <w:rFonts w:cs="Arial"/>
          <w:rtl/>
        </w:rPr>
        <w:t xml:space="preserve"> </w:t>
      </w:r>
      <w:r w:rsidRPr="00897A64">
        <w:rPr>
          <w:rFonts w:cs="Arial"/>
          <w:rtl/>
        </w:rPr>
        <w:t>והסכימו חכמי אשכנז וצרפת שבטענת מאיס עלי אין לכוף לבעל לגרש לכן יזהר כל דיין שלא לכוף לגרש בטענת מאיס עלי וכן אין כופין אותה להיות אצלו</w:t>
      </w:r>
      <w:r>
        <w:rPr>
          <w:rFonts w:cs="Arial" w:hint="cs"/>
          <w:sz w:val="16"/>
          <w:szCs w:val="16"/>
          <w:rtl/>
        </w:rPr>
        <w:t xml:space="preserve"> (ל' הטור בשם הרא"ש)</w:t>
      </w:r>
      <w:r>
        <w:rPr>
          <w:rStyle w:val="a7"/>
          <w:rFonts w:cs="Arial"/>
          <w:rtl/>
        </w:rPr>
        <w:footnoteReference w:id="1329"/>
      </w:r>
      <w:r>
        <w:rPr>
          <w:rFonts w:cs="Arial" w:hint="cs"/>
          <w:rtl/>
        </w:rPr>
        <w:t>.</w:t>
      </w:r>
      <w:r w:rsidRPr="004A1C38">
        <w:rPr>
          <w:rFonts w:cs="Arial" w:hint="cs"/>
          <w:color w:val="00B0F0"/>
          <w:rtl/>
        </w:rPr>
        <w:t xml:space="preserve"> (וכ"פ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4A1C38">
        <w:rPr>
          <w:rFonts w:cs="Arial" w:hint="cs"/>
          <w:color w:val="00B0F0"/>
          <w:rtl/>
        </w:rPr>
        <w:t>)</w:t>
      </w:r>
    </w:p>
    <w:p w14:paraId="4C6EACD6" w14:textId="77777777" w:rsidR="002E5BAD" w:rsidRPr="00F639B7" w:rsidRDefault="002E5BAD" w:rsidP="002E5BAD">
      <w:pPr>
        <w:pStyle w:val="ab"/>
        <w:numPr>
          <w:ilvl w:val="0"/>
          <w:numId w:val="158"/>
        </w:numPr>
        <w:rPr>
          <w:rFonts w:cs="Arial"/>
        </w:rPr>
      </w:pPr>
      <w:r w:rsidRPr="00897A64">
        <w:rPr>
          <w:rFonts w:cs="Arial"/>
          <w:rtl/>
        </w:rPr>
        <w:t xml:space="preserve">רא"ש </w:t>
      </w:r>
      <w:r w:rsidRPr="00164C05">
        <w:rPr>
          <w:rFonts w:cs="Arial" w:hint="cs"/>
          <w:sz w:val="16"/>
          <w:szCs w:val="16"/>
          <w:rtl/>
        </w:rPr>
        <w:t xml:space="preserve">(פ"ה </w:t>
      </w:r>
      <w:r w:rsidRPr="00164C05">
        <w:rPr>
          <w:rFonts w:cs="Arial"/>
          <w:sz w:val="16"/>
          <w:szCs w:val="16"/>
          <w:rtl/>
        </w:rPr>
        <w:t>סי' לה)</w:t>
      </w:r>
      <w:r>
        <w:rPr>
          <w:rFonts w:cs="Arial" w:hint="cs"/>
          <w:rtl/>
        </w:rPr>
        <w:t xml:space="preserve">- </w:t>
      </w:r>
      <w:r w:rsidRPr="00FD0328">
        <w:rPr>
          <w:rFonts w:cs="Arial"/>
          <w:rtl/>
        </w:rPr>
        <w:t>ואפשר לפי שראו הקלקול בבנות ישראל וכי משהו להו תריסר ירחי שתא תולות עצמן בעובדי כוכבים ויוצאות לתרבות רעה בטלו שהייה ונתנו רשות לבעל לגרשה מיד בלא שהייה אבל לא שיכפוהו לגרשה</w:t>
      </w:r>
      <w:r>
        <w:rPr>
          <w:rStyle w:val="a7"/>
          <w:rFonts w:cs="Arial"/>
          <w:rtl/>
        </w:rPr>
        <w:footnoteReference w:id="1330"/>
      </w:r>
      <w:r>
        <w:rPr>
          <w:rFonts w:cs="Arial" w:hint="cs"/>
          <w:rtl/>
        </w:rPr>
        <w:t>,</w:t>
      </w:r>
      <w:r w:rsidRPr="00FD0328">
        <w:rPr>
          <w:rFonts w:cs="Arial"/>
          <w:rtl/>
        </w:rPr>
        <w:t xml:space="preserve"> דאף במונע ממנה תשמיש או מזונות אין כופין אותו להוציא כדאיתא בירושלמי אין מעשין אלא לפסולות כ"ש כשהיא מונעת לעצמה</w:t>
      </w:r>
      <w:r>
        <w:rPr>
          <w:rFonts w:cs="Arial" w:hint="cs"/>
          <w:rtl/>
        </w:rPr>
        <w:t>,</w:t>
      </w:r>
      <w:r w:rsidRPr="00FD0328">
        <w:rPr>
          <w:rFonts w:cs="Arial"/>
          <w:rtl/>
        </w:rPr>
        <w:t xml:space="preserve"> שלא תקנו להרבות ממזרין בישראל</w:t>
      </w:r>
      <w:r>
        <w:rPr>
          <w:rStyle w:val="a7"/>
          <w:rFonts w:cs="Arial"/>
          <w:rtl/>
        </w:rPr>
        <w:footnoteReference w:id="1331"/>
      </w:r>
      <w:r w:rsidRPr="00FD0328">
        <w:rPr>
          <w:rFonts w:cs="Arial"/>
          <w:rtl/>
        </w:rPr>
        <w:t xml:space="preserve"> מוטב שבנות ישראל הרעות יתגרשו ולא שיוסיפו רעה על רעתן.</w:t>
      </w:r>
      <w:r w:rsidRPr="00F639B7">
        <w:rPr>
          <w:rFonts w:cs="Arial"/>
          <w:rtl/>
        </w:rPr>
        <w:t xml:space="preserve"> </w:t>
      </w:r>
    </w:p>
    <w:p w14:paraId="4CE96ABA" w14:textId="77777777" w:rsidR="002E5BAD" w:rsidRDefault="002E5BAD" w:rsidP="002E5BAD">
      <w:pPr>
        <w:pStyle w:val="ab"/>
        <w:numPr>
          <w:ilvl w:val="0"/>
          <w:numId w:val="158"/>
        </w:numPr>
        <w:rPr>
          <w:rFonts w:cs="Arial"/>
        </w:rPr>
      </w:pPr>
      <w:r>
        <w:rPr>
          <w:rFonts w:cs="Arial" w:hint="cs"/>
          <w:rtl/>
        </w:rPr>
        <w:t xml:space="preserve">מהר"ם </w:t>
      </w:r>
      <w:r>
        <w:rPr>
          <w:rFonts w:cs="Arial" w:hint="cs"/>
          <w:sz w:val="16"/>
          <w:szCs w:val="16"/>
          <w:rtl/>
        </w:rPr>
        <w:t>(ספר סיני וליקוטים סי' תקסב, וכ"כ המרדכי בשמו [כתובות סי' קפו])</w:t>
      </w:r>
      <w:r>
        <w:rPr>
          <w:rFonts w:cs="Arial" w:hint="cs"/>
          <w:rtl/>
        </w:rPr>
        <w:t xml:space="preserve">- </w:t>
      </w:r>
      <w:r w:rsidRPr="009C7606">
        <w:rPr>
          <w:rFonts w:cs="Arial"/>
          <w:rtl/>
        </w:rPr>
        <w:t>ששאלת על ענין המורדת, דיינינן דינא דמורדת כמו שכתבו הרי"ף זצ"ל</w:t>
      </w:r>
      <w:r w:rsidRPr="0047162F">
        <w:rPr>
          <w:rFonts w:cs="Arial"/>
          <w:sz w:val="16"/>
          <w:szCs w:val="16"/>
          <w:rtl/>
        </w:rPr>
        <w:t xml:space="preserve"> </w:t>
      </w:r>
      <w:r w:rsidRPr="0047162F">
        <w:rPr>
          <w:rFonts w:cs="Arial" w:hint="cs"/>
          <w:sz w:val="16"/>
          <w:szCs w:val="16"/>
          <w:rtl/>
        </w:rPr>
        <w:t>(</w:t>
      </w:r>
      <w:r w:rsidRPr="0047162F">
        <w:rPr>
          <w:rFonts w:cs="Arial"/>
          <w:sz w:val="16"/>
          <w:szCs w:val="16"/>
          <w:rtl/>
        </w:rPr>
        <w:t>כתובות כז</w:t>
      </w:r>
      <w:r w:rsidRPr="0047162F">
        <w:rPr>
          <w:rFonts w:cs="Arial" w:hint="cs"/>
          <w:sz w:val="16"/>
          <w:szCs w:val="16"/>
          <w:rtl/>
        </w:rPr>
        <w:t>.)</w:t>
      </w:r>
      <w:r w:rsidRPr="0047162F">
        <w:rPr>
          <w:rFonts w:cs="Arial"/>
          <w:sz w:val="16"/>
          <w:szCs w:val="16"/>
          <w:rtl/>
        </w:rPr>
        <w:t xml:space="preserve"> </w:t>
      </w:r>
      <w:r w:rsidRPr="009C7606">
        <w:rPr>
          <w:rFonts w:cs="Arial"/>
          <w:rtl/>
        </w:rPr>
        <w:t>ורוב הגאונים ע"ה. סוף דבר</w:t>
      </w:r>
      <w:r>
        <w:rPr>
          <w:rFonts w:cs="Arial" w:hint="cs"/>
          <w:rtl/>
        </w:rPr>
        <w:t>...</w:t>
      </w:r>
      <w:r w:rsidRPr="009C7606">
        <w:rPr>
          <w:rFonts w:cs="Arial"/>
          <w:rtl/>
        </w:rPr>
        <w:t xml:space="preserve"> מכל מקום לדידן דלא נהגו לכופו לגרש</w:t>
      </w:r>
      <w:r>
        <w:rPr>
          <w:rFonts w:cs="Arial" w:hint="cs"/>
          <w:rtl/>
        </w:rPr>
        <w:t>..</w:t>
      </w:r>
      <w:r w:rsidRPr="009C7606">
        <w:rPr>
          <w:rFonts w:cs="Arial"/>
          <w:rtl/>
        </w:rPr>
        <w:t>. ופעמים רבות בא כזה מעשה ודננו כך, דיהבינן לה מה דעיילא, ומעגנינן לה עד שתתפייס להיות עמו או עד שיתפייס הוא ליתן גט</w:t>
      </w:r>
      <w:r>
        <w:rPr>
          <w:rStyle w:val="a7"/>
          <w:rFonts w:cs="Arial"/>
          <w:rtl/>
        </w:rPr>
        <w:footnoteReference w:id="1332"/>
      </w:r>
      <w:r w:rsidRPr="009C7606">
        <w:rPr>
          <w:rFonts w:cs="Arial"/>
          <w:rtl/>
        </w:rPr>
        <w:t>.</w:t>
      </w:r>
    </w:p>
    <w:p w14:paraId="31B04B5F" w14:textId="77777777" w:rsidR="002E5BAD" w:rsidRPr="000F6886" w:rsidRDefault="002E5BAD" w:rsidP="002E5BAD">
      <w:pPr>
        <w:ind w:left="360"/>
        <w:rPr>
          <w:rFonts w:cs="Arial"/>
          <w:u w:val="dotted"/>
        </w:rPr>
      </w:pPr>
      <w:r w:rsidRPr="000F6886">
        <w:rPr>
          <w:rFonts w:cs="Arial" w:hint="cs"/>
          <w:u w:val="dotted"/>
          <w:rtl/>
        </w:rPr>
        <w:t>האם דנים לפי תקנת הגאונים לפחות לעניין ממון:</w:t>
      </w:r>
    </w:p>
    <w:p w14:paraId="53484145" w14:textId="77777777" w:rsidR="002E5BAD" w:rsidRPr="00050974" w:rsidRDefault="002E5BAD" w:rsidP="002E5BAD">
      <w:pPr>
        <w:pStyle w:val="ab"/>
        <w:numPr>
          <w:ilvl w:val="0"/>
          <w:numId w:val="158"/>
        </w:numPr>
      </w:pPr>
      <w:r>
        <w:rPr>
          <w:rFonts w:cs="Arial" w:hint="cs"/>
          <w:rtl/>
        </w:rPr>
        <w:lastRenderedPageBreak/>
        <w:t xml:space="preserve">ב"י- </w:t>
      </w:r>
      <w:r>
        <w:rPr>
          <w:rStyle w:val="a7"/>
          <w:rFonts w:cs="Arial"/>
          <w:rtl/>
        </w:rPr>
        <w:footnoteReference w:id="1333"/>
      </w:r>
      <w:r w:rsidRPr="006F6BB1">
        <w:rPr>
          <w:rFonts w:cs="Arial"/>
          <w:rtl/>
        </w:rPr>
        <w:t>אף על פי שבענין לכפות לגרש לא קיימא לן כדינא דמתיבתא מכל מקום בענין ממונא [איפשר] דנקטינן בההוא דינא וכמו שכתב</w:t>
      </w:r>
      <w:r>
        <w:rPr>
          <w:rFonts w:cs="Arial" w:hint="cs"/>
          <w:sz w:val="16"/>
          <w:szCs w:val="16"/>
          <w:rtl/>
        </w:rPr>
        <w:t xml:space="preserve"> {הטור}</w:t>
      </w:r>
      <w:r w:rsidRPr="006F6BB1">
        <w:rPr>
          <w:rFonts w:cs="Arial"/>
          <w:rtl/>
        </w:rPr>
        <w:t xml:space="preserve"> בסמוך שכך היה דן ר"מ ז"ל ומשום הכי כתב אחר דברי הרמב"ם ז"ל אבל רי"ף ז"ל כתב</w:t>
      </w:r>
      <w:r>
        <w:rPr>
          <w:rFonts w:cs="Arial" w:hint="cs"/>
          <w:rtl/>
        </w:rPr>
        <w:t>,</w:t>
      </w:r>
      <w:r w:rsidRPr="006F6BB1">
        <w:rPr>
          <w:rFonts w:cs="Arial"/>
          <w:rtl/>
        </w:rPr>
        <w:t xml:space="preserve"> לומר דאף על פי שכתב הרמב"ם שבדין התלמוד יש לדון גם בענין הממון רי"ף כתב דינא דמתיבתא שהוא שלא כדברי התלמוד</w:t>
      </w:r>
      <w:r>
        <w:rPr>
          <w:rFonts w:cs="Arial" w:hint="cs"/>
          <w:rtl/>
        </w:rPr>
        <w:t>,</w:t>
      </w:r>
      <w:r w:rsidRPr="006F6BB1">
        <w:rPr>
          <w:rFonts w:cs="Arial"/>
          <w:rtl/>
        </w:rPr>
        <w:t xml:space="preserve"> ור"מ</w:t>
      </w:r>
      <w:r>
        <w:rPr>
          <w:rStyle w:val="a7"/>
          <w:rFonts w:cs="Arial"/>
          <w:rtl/>
        </w:rPr>
        <w:footnoteReference w:id="1334"/>
      </w:r>
      <w:r w:rsidRPr="006F6BB1">
        <w:rPr>
          <w:rFonts w:cs="Arial"/>
          <w:rtl/>
        </w:rPr>
        <w:t xml:space="preserve"> היה דן כדינא דמתיבתא לענין הממון</w:t>
      </w:r>
      <w:r>
        <w:rPr>
          <w:rStyle w:val="a7"/>
          <w:rFonts w:cs="Arial"/>
          <w:rtl/>
        </w:rPr>
        <w:footnoteReference w:id="1335"/>
      </w:r>
      <w:r w:rsidRPr="006F6BB1">
        <w:rPr>
          <w:rFonts w:cs="Arial"/>
          <w:rtl/>
        </w:rPr>
        <w:t xml:space="preserve">. </w:t>
      </w:r>
    </w:p>
    <w:p w14:paraId="15FCD208" w14:textId="77777777" w:rsidR="002E5BAD" w:rsidRPr="00050974" w:rsidRDefault="002E5BAD" w:rsidP="002E5BAD">
      <w:pPr>
        <w:ind w:left="360"/>
        <w:rPr>
          <w:u w:val="dotted"/>
        </w:rPr>
      </w:pPr>
      <w:r w:rsidRPr="00050974">
        <w:rPr>
          <w:rFonts w:hint="cs"/>
          <w:u w:val="dotted"/>
          <w:rtl/>
        </w:rPr>
        <w:t xml:space="preserve">לרי"ף </w:t>
      </w:r>
      <w:r w:rsidRPr="00050974">
        <w:rPr>
          <w:u w:val="dotted"/>
          <w:rtl/>
        </w:rPr>
        <w:t>–</w:t>
      </w:r>
      <w:r w:rsidRPr="00050974">
        <w:rPr>
          <w:rFonts w:hint="cs"/>
          <w:u w:val="dotted"/>
          <w:rtl/>
        </w:rPr>
        <w:t xml:space="preserve"> מה הדין אם כפו אותו להוציא ומתה האשה קודם שהוציא, האם בע</w:t>
      </w:r>
      <w:r>
        <w:rPr>
          <w:rFonts w:hint="cs"/>
          <w:u w:val="dotted"/>
          <w:rtl/>
        </w:rPr>
        <w:t>ל</w:t>
      </w:r>
      <w:r w:rsidRPr="00050974">
        <w:rPr>
          <w:rFonts w:hint="cs"/>
          <w:u w:val="dotted"/>
          <w:rtl/>
        </w:rPr>
        <w:t>ה יורש אותה:</w:t>
      </w:r>
    </w:p>
    <w:p w14:paraId="1F1227D8" w14:textId="77777777" w:rsidR="002E5BAD" w:rsidRPr="00050974" w:rsidRDefault="002E5BAD" w:rsidP="002E5BAD">
      <w:pPr>
        <w:pStyle w:val="ab"/>
        <w:numPr>
          <w:ilvl w:val="0"/>
          <w:numId w:val="158"/>
        </w:numPr>
        <w:rPr>
          <w:rFonts w:cs="Arial"/>
        </w:rPr>
      </w:pPr>
      <w:r>
        <w:rPr>
          <w:rFonts w:cs="Arial" w:hint="cs"/>
          <w:rtl/>
        </w:rPr>
        <w:t xml:space="preserve">רי"ף </w:t>
      </w:r>
      <w:r>
        <w:rPr>
          <w:rFonts w:cs="Arial" w:hint="cs"/>
          <w:sz w:val="16"/>
          <w:szCs w:val="16"/>
          <w:rtl/>
        </w:rPr>
        <w:t>(כז.)</w:t>
      </w:r>
      <w:r>
        <w:rPr>
          <w:rFonts w:cs="Arial" w:hint="cs"/>
          <w:rtl/>
        </w:rPr>
        <w:t xml:space="preserve">- </w:t>
      </w:r>
      <w:r w:rsidRPr="00697C4E">
        <w:rPr>
          <w:rFonts w:cs="Arial"/>
          <w:rtl/>
        </w:rPr>
        <w:t>ולדברי הכל כל מאן דכייפינן ליה לאפוקי</w:t>
      </w:r>
      <w:r>
        <w:rPr>
          <w:rFonts w:cs="Arial" w:hint="cs"/>
          <w:rtl/>
        </w:rPr>
        <w:t>,</w:t>
      </w:r>
      <w:r w:rsidRPr="00697C4E">
        <w:rPr>
          <w:rFonts w:cs="Arial"/>
          <w:rtl/>
        </w:rPr>
        <w:t xml:space="preserve"> בין מעיקר דינא כדתנן </w:t>
      </w:r>
      <w:r>
        <w:rPr>
          <w:rFonts w:cs="Arial" w:hint="cs"/>
          <w:rtl/>
        </w:rPr>
        <w:t>(עז.)</w:t>
      </w:r>
      <w:r w:rsidRPr="00697C4E">
        <w:rPr>
          <w:rFonts w:cs="Arial"/>
          <w:rtl/>
        </w:rPr>
        <w:t xml:space="preserve"> אלו שכופין אותן להוציא ומאי דדמו להו</w:t>
      </w:r>
      <w:r>
        <w:rPr>
          <w:rFonts w:cs="Arial" w:hint="cs"/>
          <w:rtl/>
        </w:rPr>
        <w:t>,</w:t>
      </w:r>
      <w:r w:rsidRPr="00697C4E">
        <w:rPr>
          <w:rFonts w:cs="Arial"/>
          <w:rtl/>
        </w:rPr>
        <w:t xml:space="preserve"> בין מעיקר דתקנתא</w:t>
      </w:r>
      <w:r>
        <w:rPr>
          <w:rFonts w:cs="Arial" w:hint="cs"/>
          <w:rtl/>
        </w:rPr>
        <w:t>,</w:t>
      </w:r>
      <w:r w:rsidRPr="00697C4E">
        <w:rPr>
          <w:rFonts w:cs="Arial"/>
          <w:rtl/>
        </w:rPr>
        <w:t xml:space="preserve"> אי מיתא לה איתתא מקמי דתיפוק מיניה דבעל בגט </w:t>
      </w:r>
      <w:r>
        <w:rPr>
          <w:rFonts w:cs="Arial" w:hint="cs"/>
          <w:rtl/>
        </w:rPr>
        <w:t xml:space="preserve">- </w:t>
      </w:r>
      <w:r w:rsidRPr="00697C4E">
        <w:rPr>
          <w:rFonts w:cs="Arial"/>
          <w:rtl/>
        </w:rPr>
        <w:t>בעלה ירית לה דלא מיפקע ירושה דבעל אלא בגירושין גמורין</w:t>
      </w:r>
      <w:r>
        <w:rPr>
          <w:rFonts w:cs="Arial" w:hint="cs"/>
          <w:rtl/>
        </w:rPr>
        <w:t>.</w:t>
      </w:r>
      <w:r w:rsidRPr="00697C4E">
        <w:rPr>
          <w:rFonts w:cs="Arial"/>
          <w:rtl/>
        </w:rPr>
        <w:t xml:space="preserve"> וכן</w:t>
      </w:r>
      <w:r>
        <w:rPr>
          <w:rFonts w:cs="Arial" w:hint="cs"/>
          <w:rtl/>
        </w:rPr>
        <w:t xml:space="preserve"> הלכתא.</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168F4005" w14:textId="77777777" w:rsidR="002E5BAD" w:rsidRPr="009C7606" w:rsidRDefault="002E5BAD" w:rsidP="002E5BAD">
      <w:pPr>
        <w:rPr>
          <w:rFonts w:cs="Arial"/>
          <w:sz w:val="16"/>
          <w:szCs w:val="16"/>
        </w:rPr>
      </w:pPr>
      <w:r w:rsidRPr="009C7606">
        <w:rPr>
          <w:rFonts w:cs="Arial" w:hint="cs"/>
          <w:u w:val="single"/>
          <w:rtl/>
        </w:rPr>
        <w:t>בדורות הללו שאין נושאים שתי נשים האם אפשר לא להשהות י"ב חודש את האומרת מאיס:</w:t>
      </w:r>
      <w:r>
        <w:rPr>
          <w:rFonts w:cs="Arial" w:hint="cs"/>
          <w:sz w:val="16"/>
          <w:szCs w:val="16"/>
          <w:rtl/>
        </w:rPr>
        <w:t xml:space="preserve">  (דרכ"מ אות יא)</w:t>
      </w:r>
    </w:p>
    <w:p w14:paraId="1097BC49" w14:textId="77777777" w:rsidR="002E5BAD" w:rsidRDefault="002E5BAD" w:rsidP="002E5BAD">
      <w:pPr>
        <w:pStyle w:val="ab"/>
        <w:numPr>
          <w:ilvl w:val="0"/>
          <w:numId w:val="158"/>
        </w:numPr>
        <w:rPr>
          <w:rFonts w:cs="Arial"/>
        </w:rPr>
      </w:pPr>
      <w:r w:rsidRPr="005741DC">
        <w:rPr>
          <w:rFonts w:cs="Arial"/>
          <w:rtl/>
        </w:rPr>
        <w:t xml:space="preserve">ראב"ן </w:t>
      </w:r>
      <w:r w:rsidRPr="009C7606">
        <w:rPr>
          <w:rFonts w:cs="Arial"/>
          <w:sz w:val="16"/>
          <w:szCs w:val="16"/>
          <w:rtl/>
        </w:rPr>
        <w:t>(כתובות רסא ע"ג סוד"ה המורדת</w:t>
      </w:r>
      <w:r w:rsidRPr="009C7606">
        <w:rPr>
          <w:rFonts w:cs="Arial" w:hint="cs"/>
          <w:sz w:val="16"/>
          <w:szCs w:val="16"/>
          <w:rtl/>
        </w:rPr>
        <w:t>, כ"כ בשמו המרדכי סי' קפו</w:t>
      </w:r>
      <w:r w:rsidRPr="009C7606">
        <w:rPr>
          <w:rFonts w:cs="Arial"/>
          <w:sz w:val="16"/>
          <w:szCs w:val="16"/>
          <w:rtl/>
        </w:rPr>
        <w:t>)</w:t>
      </w:r>
      <w:r>
        <w:rPr>
          <w:rFonts w:cs="Arial" w:hint="cs"/>
          <w:rtl/>
        </w:rPr>
        <w:t>-</w:t>
      </w:r>
      <w:r w:rsidRPr="005741DC">
        <w:rPr>
          <w:rFonts w:cs="Arial"/>
          <w:rtl/>
        </w:rPr>
        <w:t xml:space="preserve"> בדורות הללו שאין אדם נושא שתי נשים ביחד לא משהינן לה</w:t>
      </w:r>
      <w:r>
        <w:rPr>
          <w:rFonts w:cs="Arial" w:hint="cs"/>
          <w:rtl/>
        </w:rPr>
        <w:t>,</w:t>
      </w:r>
      <w:r w:rsidRPr="005741DC">
        <w:rPr>
          <w:rFonts w:cs="Arial"/>
          <w:rtl/>
        </w:rPr>
        <w:t xml:space="preserve"> ואם בשביל הנשים שתוסרנה קנסינן לה להתיר לו לישא אשה אחרת והיא תשב ותתעגן</w:t>
      </w:r>
      <w:r>
        <w:rPr>
          <w:rFonts w:cs="Arial" w:hint="cs"/>
          <w:rtl/>
        </w:rPr>
        <w:t>.</w:t>
      </w:r>
    </w:p>
    <w:p w14:paraId="281F0667" w14:textId="77777777" w:rsidR="002E5BAD" w:rsidRDefault="002E5BAD" w:rsidP="002E5BAD">
      <w:pPr>
        <w:pStyle w:val="ab"/>
        <w:numPr>
          <w:ilvl w:val="0"/>
          <w:numId w:val="158"/>
        </w:numPr>
        <w:rPr>
          <w:rFonts w:cs="Arial"/>
        </w:rPr>
      </w:pPr>
      <w:r w:rsidRPr="005741DC">
        <w:rPr>
          <w:rFonts w:cs="Arial"/>
          <w:rtl/>
        </w:rPr>
        <w:t xml:space="preserve">רשב"א </w:t>
      </w:r>
      <w:r w:rsidRPr="0026469F">
        <w:rPr>
          <w:rFonts w:cs="Arial"/>
          <w:sz w:val="16"/>
          <w:szCs w:val="16"/>
          <w:rtl/>
        </w:rPr>
        <w:t>(ח"א סי</w:t>
      </w:r>
      <w:r w:rsidRPr="0026469F">
        <w:rPr>
          <w:rFonts w:cs="Arial" w:hint="cs"/>
          <w:sz w:val="16"/>
          <w:szCs w:val="16"/>
          <w:rtl/>
        </w:rPr>
        <w:t>'</w:t>
      </w:r>
      <w:r w:rsidRPr="0026469F">
        <w:rPr>
          <w:rFonts w:cs="Arial"/>
          <w:sz w:val="16"/>
          <w:szCs w:val="16"/>
          <w:rtl/>
        </w:rPr>
        <w:t xml:space="preserve"> תתס</w:t>
      </w:r>
      <w:r w:rsidRPr="0026469F">
        <w:rPr>
          <w:rFonts w:cs="Arial" w:hint="cs"/>
          <w:sz w:val="16"/>
          <w:szCs w:val="16"/>
          <w:rtl/>
        </w:rPr>
        <w:t>)</w:t>
      </w:r>
      <w:r w:rsidRPr="005741DC">
        <w:rPr>
          <w:rFonts w:cs="Arial"/>
          <w:rtl/>
        </w:rPr>
        <w:t xml:space="preserve"> </w:t>
      </w:r>
      <w:r>
        <w:rPr>
          <w:rFonts w:cs="Arial" w:hint="cs"/>
          <w:rtl/>
        </w:rPr>
        <w:t xml:space="preserve">י"א </w:t>
      </w:r>
      <w:r w:rsidRPr="0026469F">
        <w:rPr>
          <w:rFonts w:cs="Arial" w:hint="cs"/>
          <w:sz w:val="16"/>
          <w:szCs w:val="16"/>
          <w:rtl/>
        </w:rPr>
        <w:t xml:space="preserve">(הביאו ההגמ"ר </w:t>
      </w:r>
      <w:r w:rsidRPr="0026469F">
        <w:rPr>
          <w:rFonts w:cs="Arial"/>
          <w:sz w:val="16"/>
          <w:szCs w:val="16"/>
          <w:rtl/>
        </w:rPr>
        <w:t>סי' רצ)</w:t>
      </w:r>
      <w:r w:rsidRPr="0026469F">
        <w:rPr>
          <w:rFonts w:cs="Arial" w:hint="cs"/>
          <w:rtl/>
        </w:rPr>
        <w:t xml:space="preserve"> </w:t>
      </w:r>
      <w:r>
        <w:rPr>
          <w:rFonts w:cs="Arial" w:hint="cs"/>
          <w:rtl/>
        </w:rPr>
        <w:t>ו</w:t>
      </w:r>
      <w:r w:rsidRPr="005741DC">
        <w:rPr>
          <w:rFonts w:cs="Arial"/>
          <w:rtl/>
        </w:rPr>
        <w:t xml:space="preserve">מהרי"ק </w:t>
      </w:r>
      <w:r w:rsidRPr="0026469F">
        <w:rPr>
          <w:rFonts w:cs="Arial" w:hint="cs"/>
          <w:sz w:val="16"/>
          <w:szCs w:val="16"/>
          <w:rtl/>
        </w:rPr>
        <w:t>(</w:t>
      </w:r>
      <w:r w:rsidRPr="0026469F">
        <w:rPr>
          <w:rFonts w:cs="Arial"/>
          <w:sz w:val="16"/>
          <w:szCs w:val="16"/>
          <w:rtl/>
        </w:rPr>
        <w:t>שורש סג ענף ה)</w:t>
      </w:r>
      <w:r>
        <w:rPr>
          <w:rFonts w:cs="Arial" w:hint="cs"/>
          <w:rtl/>
        </w:rPr>
        <w:t xml:space="preserve">- </w:t>
      </w:r>
      <w:r w:rsidRPr="005741DC">
        <w:rPr>
          <w:rFonts w:cs="Arial"/>
          <w:rtl/>
        </w:rPr>
        <w:t>אין מתירין לו לישא אשה אחרת</w:t>
      </w:r>
      <w:r>
        <w:rPr>
          <w:rStyle w:val="a7"/>
          <w:rFonts w:cs="Arial"/>
          <w:rtl/>
        </w:rPr>
        <w:footnoteReference w:id="1336"/>
      </w:r>
      <w:r>
        <w:rPr>
          <w:rFonts w:cs="Arial" w:hint="cs"/>
          <w:rtl/>
        </w:rPr>
        <w:t>.</w:t>
      </w:r>
      <w:r w:rsidRPr="005741DC">
        <w:rPr>
          <w:rFonts w:cs="Arial"/>
          <w:rtl/>
        </w:rPr>
        <w:t xml:space="preserve"> </w:t>
      </w:r>
      <w:r w:rsidRPr="0026469F">
        <w:rPr>
          <w:rFonts w:cs="Arial" w:hint="cs"/>
          <w:color w:val="00B0F0"/>
          <w:rtl/>
        </w:rPr>
        <w:t>(וכ"פ הרמ"א)</w:t>
      </w:r>
    </w:p>
    <w:p w14:paraId="494554A4" w14:textId="77777777" w:rsidR="002E5BAD" w:rsidRPr="009C7606" w:rsidRDefault="002E5BAD" w:rsidP="002E5BAD">
      <w:pPr>
        <w:pStyle w:val="ab"/>
        <w:numPr>
          <w:ilvl w:val="0"/>
          <w:numId w:val="158"/>
        </w:numPr>
        <w:rPr>
          <w:rFonts w:cs="Arial"/>
        </w:rPr>
      </w:pPr>
      <w:r w:rsidRPr="005741DC">
        <w:rPr>
          <w:rFonts w:cs="Arial"/>
          <w:rtl/>
        </w:rPr>
        <w:t xml:space="preserve">ראבי"ה </w:t>
      </w:r>
      <w:r>
        <w:rPr>
          <w:rFonts w:cs="Arial" w:hint="cs"/>
          <w:sz w:val="16"/>
          <w:szCs w:val="16"/>
          <w:rtl/>
        </w:rPr>
        <w:t>(כ"כ בשמו המרדכי שם)</w:t>
      </w:r>
      <w:r>
        <w:rPr>
          <w:rFonts w:cs="Arial" w:hint="cs"/>
          <w:rtl/>
        </w:rPr>
        <w:t xml:space="preserve">- </w:t>
      </w:r>
      <w:r w:rsidRPr="005741DC">
        <w:rPr>
          <w:rFonts w:cs="Arial"/>
          <w:rtl/>
        </w:rPr>
        <w:t>אחרי אשר ראינו בזה פלוגתא דרבוותא חכמי הדור יתנו לב לפי הענין להעמיד דבר על אופניו שלא תצאנה בנות ישראל לתרבות רעה ח"ו וכו'</w:t>
      </w:r>
      <w:r>
        <w:rPr>
          <w:rFonts w:cs="Arial" w:hint="cs"/>
          <w:rtl/>
        </w:rPr>
        <w:t>.</w:t>
      </w:r>
      <w:r w:rsidRPr="005741DC">
        <w:rPr>
          <w:rFonts w:cs="Arial"/>
          <w:rtl/>
        </w:rPr>
        <w:t xml:space="preserve"> </w:t>
      </w:r>
    </w:p>
    <w:p w14:paraId="03CCEC67" w14:textId="77777777" w:rsidR="002E5BAD" w:rsidRPr="00DA0FBD" w:rsidRDefault="002E5BAD" w:rsidP="002E5BAD">
      <w:pPr>
        <w:rPr>
          <w:rFonts w:cs="Arial"/>
          <w:u w:val="single"/>
        </w:rPr>
      </w:pPr>
      <w:r w:rsidRPr="00DA0FBD">
        <w:rPr>
          <w:rFonts w:cs="Arial" w:hint="cs"/>
          <w:u w:val="single"/>
          <w:rtl/>
        </w:rPr>
        <w:t xml:space="preserve">מקומות שנוהגים לפסוק ע"פ הרמב"ם </w:t>
      </w:r>
      <w:r w:rsidRPr="00DA0FBD">
        <w:rPr>
          <w:rFonts w:cs="Arial"/>
          <w:u w:val="single"/>
          <w:rtl/>
        </w:rPr>
        <w:t>–</w:t>
      </w:r>
      <w:r w:rsidRPr="00DA0FBD">
        <w:rPr>
          <w:rFonts w:cs="Arial" w:hint="cs"/>
          <w:u w:val="single"/>
          <w:rtl/>
        </w:rPr>
        <w:t xml:space="preserve"> כיצד דנין להם בדין מורדת:</w:t>
      </w:r>
    </w:p>
    <w:p w14:paraId="6795D035" w14:textId="77777777" w:rsidR="002E5BAD" w:rsidRPr="00C139A5" w:rsidRDefault="002E5BAD" w:rsidP="002E5BAD">
      <w:pPr>
        <w:pStyle w:val="ab"/>
        <w:numPr>
          <w:ilvl w:val="0"/>
          <w:numId w:val="158"/>
        </w:numPr>
        <w:rPr>
          <w:rFonts w:cs="Arial"/>
        </w:rPr>
      </w:pPr>
      <w:r>
        <w:rPr>
          <w:rFonts w:cs="Arial" w:hint="cs"/>
          <w:rtl/>
        </w:rPr>
        <w:t>תשב"ץ</w:t>
      </w:r>
      <w:r>
        <w:rPr>
          <w:rFonts w:cs="Arial" w:hint="cs"/>
          <w:sz w:val="16"/>
          <w:szCs w:val="16"/>
          <w:rtl/>
        </w:rPr>
        <w:t xml:space="preserve"> (ח"ב סי' רנו, וכן בח"ד [חוט המשולש</w:t>
      </w:r>
      <w:r>
        <w:rPr>
          <w:rStyle w:val="a7"/>
          <w:rFonts w:cs="Arial"/>
          <w:sz w:val="16"/>
          <w:szCs w:val="16"/>
          <w:rtl/>
        </w:rPr>
        <w:footnoteReference w:id="1337"/>
      </w:r>
      <w:r>
        <w:rPr>
          <w:rFonts w:cs="Arial" w:hint="cs"/>
          <w:sz w:val="16"/>
          <w:szCs w:val="16"/>
          <w:rtl/>
        </w:rPr>
        <w:t>] טור ג סי' לה ד"ה ומ"מ ראיתי)</w:t>
      </w:r>
      <w:r>
        <w:rPr>
          <w:rFonts w:cs="Arial" w:hint="cs"/>
          <w:rtl/>
        </w:rPr>
        <w:t>-</w:t>
      </w:r>
      <w:r w:rsidRPr="00DA0FBD">
        <w:rPr>
          <w:rFonts w:cs="Arial"/>
          <w:rtl/>
        </w:rPr>
        <w:t xml:space="preserve"> </w:t>
      </w:r>
      <w:r w:rsidRPr="00C139A5">
        <w:rPr>
          <w:rFonts w:cs="Arial"/>
          <w:rtl/>
        </w:rPr>
        <w:t>עוד שאלת</w:t>
      </w:r>
      <w:r>
        <w:rPr>
          <w:rFonts w:cs="Arial" w:hint="cs"/>
          <w:rtl/>
        </w:rPr>
        <w:t>...</w:t>
      </w:r>
      <w:r w:rsidRPr="00C139A5">
        <w:rPr>
          <w:rFonts w:cs="Arial"/>
          <w:rtl/>
        </w:rPr>
        <w:t xml:space="preserve"> אנא אדוני תודיעני במקום שקבלו עליהם לדון על פי פסקי הרב ז"ל אם יעשו אותו לגרש בטענת מאיס עלי ואם יכופו לגרש אם אין הבעל רוצה לתת גט אלא על תנאי כגון שלא תנשאי או תתני או תשמשי היוכל או יכריחוהו לגרש בלא שום תנאי</w:t>
      </w:r>
      <w:r>
        <w:rPr>
          <w:rFonts w:cs="Arial" w:hint="cs"/>
          <w:rtl/>
        </w:rPr>
        <w:t>.</w:t>
      </w:r>
      <w:r w:rsidRPr="00C139A5">
        <w:rPr>
          <w:rFonts w:cs="Arial"/>
          <w:rtl/>
        </w:rPr>
        <w:t xml:space="preserve"> תשובה</w:t>
      </w:r>
      <w:r>
        <w:rPr>
          <w:rFonts w:cs="Arial" w:hint="cs"/>
          <w:rtl/>
        </w:rPr>
        <w:t>-..</w:t>
      </w:r>
      <w:r w:rsidRPr="00C139A5">
        <w:rPr>
          <w:rFonts w:cs="Arial"/>
          <w:rtl/>
        </w:rPr>
        <w:t>. ולענין דינא דמורדת ששאלת אם יש לכוף לגרש על פי ספרי הרמב"ם ז"ל במקומות שנהגו לדון על פי ספריו. כבר ידעת איך החמירו האחרוני' ז"ל בזה וקראו על הכופה שהוא מרבה ממזרים בעולם וא"כ מי הוא זה אשר מלאו לבו לעשו' מעשה בדבר</w:t>
      </w:r>
      <w:r>
        <w:rPr>
          <w:rFonts w:cs="Arial" w:hint="cs"/>
          <w:rtl/>
        </w:rPr>
        <w:t>.</w:t>
      </w:r>
      <w:r w:rsidRPr="00C139A5">
        <w:rPr>
          <w:rFonts w:cs="Arial"/>
          <w:rtl/>
        </w:rPr>
        <w:t xml:space="preserve"> ובמקומנו זה מיום שנתישבו בו הסכמנו לדון על פי ספרי הרמב"ם ז"ל מלבד קצת דברים אחד מהם דין מורדת. ודע כי זה לו קרוב לשלשים שנה בא דין מורדת ליד מורי הקדוש ר' אפרים וידאל ז"ל ואמרו לו קצת ממנהיגי הקהל שיכוף ע"פ ספרי הרמב"ם ז"ל כי כן היתה הסכמת הקהל ההוא</w:t>
      </w:r>
      <w:r>
        <w:rPr>
          <w:rFonts w:cs="Arial" w:hint="cs"/>
          <w:rtl/>
        </w:rPr>
        <w:t>,</w:t>
      </w:r>
      <w:r w:rsidRPr="00C139A5">
        <w:rPr>
          <w:rFonts w:cs="Arial"/>
          <w:rtl/>
        </w:rPr>
        <w:t xml:space="preserve"> והוא ז"ל חקר הדבר ואמרו לו כי מעולם לא נעשה מעשה בכפיה שם</w:t>
      </w:r>
      <w:r>
        <w:rPr>
          <w:rFonts w:cs="Arial" w:hint="cs"/>
          <w:rtl/>
        </w:rPr>
        <w:t>.</w:t>
      </w:r>
      <w:r w:rsidRPr="00C139A5">
        <w:rPr>
          <w:rFonts w:cs="Arial"/>
          <w:rtl/>
        </w:rPr>
        <w:t xml:space="preserve"> והוא נמלך עמי אם יש כח ביד הצבור להסכים על כיוצא בזה</w:t>
      </w:r>
      <w:r>
        <w:rPr>
          <w:rFonts w:cs="Arial" w:hint="cs"/>
          <w:rtl/>
        </w:rPr>
        <w:t>.</w:t>
      </w:r>
      <w:r w:rsidRPr="00C139A5">
        <w:rPr>
          <w:rFonts w:cs="Arial"/>
          <w:rtl/>
        </w:rPr>
        <w:t xml:space="preserve"> ואני אמרתי לא כי אין הצבור רשאין להסכים בעניני אישות מפני חומר הערוה ושראוי לו לדון על פי הסכמת האחרונים ז"ל</w:t>
      </w:r>
      <w:r>
        <w:rPr>
          <w:rFonts w:cs="Arial" w:hint="cs"/>
          <w:rtl/>
        </w:rPr>
        <w:t>.</w:t>
      </w:r>
      <w:r w:rsidRPr="00C139A5">
        <w:rPr>
          <w:rFonts w:cs="Arial"/>
          <w:rtl/>
        </w:rPr>
        <w:t xml:space="preserve"> והוא ז"ל אמר לי כי יותר מעשרים שנה הי' באותו פרק שהוא שאל בזה לרבו הרב ר' נסים ז"ל והשיב לו כדברי ושמחתי. מ"מ זה הוא לכתחל' אבל אם נעש' מעש' במקומו' שנוהגין על פי ספריו ז"ל כ' הרא"ש ז"ל שאין מחזירין הדבר. ואני אומר דהיינו אם נשאת שלא תצא. אבל להתיר' לינשא לכתחל' הדבר קשה. ונר' לי לדון להלכ' שהדין שוה בכל המקומו' שלא תנשא ואם נשאת שלא תצא</w:t>
      </w:r>
      <w:r>
        <w:rPr>
          <w:rStyle w:val="a7"/>
          <w:rFonts w:cs="Arial"/>
          <w:rtl/>
        </w:rPr>
        <w:footnoteReference w:id="1338"/>
      </w:r>
      <w:r w:rsidRPr="00C139A5">
        <w:rPr>
          <w:rFonts w:cs="Arial" w:hint="cs"/>
          <w:rtl/>
        </w:rPr>
        <w:t>.</w:t>
      </w:r>
    </w:p>
    <w:p w14:paraId="79616235" w14:textId="77777777" w:rsidR="002E5BAD" w:rsidRPr="00504C02" w:rsidRDefault="002E5BAD" w:rsidP="002E5BAD">
      <w:pPr>
        <w:rPr>
          <w:rFonts w:cs="Arial"/>
        </w:rPr>
      </w:pPr>
      <w:r w:rsidRPr="00504C02">
        <w:rPr>
          <w:rFonts w:cs="Arial"/>
          <w:u w:val="single"/>
          <w:rtl/>
        </w:rPr>
        <w:t xml:space="preserve">בני עיר אחת קיבלו עליהם </w:t>
      </w:r>
      <w:r w:rsidRPr="00504C02">
        <w:rPr>
          <w:rFonts w:cs="Arial" w:hint="cs"/>
          <w:u w:val="single"/>
          <w:rtl/>
        </w:rPr>
        <w:t>לפסוק ע"פ</w:t>
      </w:r>
      <w:r w:rsidRPr="00504C02">
        <w:rPr>
          <w:rFonts w:cs="Arial"/>
          <w:u w:val="single"/>
          <w:rtl/>
        </w:rPr>
        <w:t xml:space="preserve"> הרמב"ם</w:t>
      </w:r>
      <w:r w:rsidRPr="00504C02">
        <w:rPr>
          <w:rFonts w:cs="Arial" w:hint="cs"/>
          <w:u w:val="single"/>
          <w:rtl/>
        </w:rPr>
        <w:t>,</w:t>
      </w:r>
      <w:r w:rsidRPr="00504C02">
        <w:rPr>
          <w:rFonts w:cs="Arial"/>
          <w:u w:val="single"/>
          <w:rtl/>
        </w:rPr>
        <w:t xml:space="preserve"> ואחד מ</w:t>
      </w:r>
      <w:r w:rsidRPr="00504C02">
        <w:rPr>
          <w:rFonts w:cs="Arial" w:hint="cs"/>
          <w:u w:val="single"/>
          <w:rtl/>
        </w:rPr>
        <w:t xml:space="preserve">עיר אחרת </w:t>
      </w:r>
      <w:r w:rsidRPr="00504C02">
        <w:rPr>
          <w:rFonts w:cs="Arial"/>
          <w:u w:val="single"/>
          <w:rtl/>
        </w:rPr>
        <w:t xml:space="preserve">קידש </w:t>
      </w:r>
      <w:r w:rsidRPr="00504C02">
        <w:rPr>
          <w:rFonts w:cs="Arial" w:hint="cs"/>
          <w:u w:val="single"/>
          <w:rtl/>
        </w:rPr>
        <w:t xml:space="preserve">שם </w:t>
      </w:r>
      <w:r w:rsidRPr="00504C02">
        <w:rPr>
          <w:rFonts w:cs="Arial"/>
          <w:u w:val="single"/>
          <w:rtl/>
        </w:rPr>
        <w:t>אשה</w:t>
      </w:r>
      <w:r w:rsidRPr="00504C02">
        <w:rPr>
          <w:rFonts w:cs="Arial" w:hint="cs"/>
          <w:u w:val="single"/>
          <w:rtl/>
        </w:rPr>
        <w:t>, וטענה מאיס:</w:t>
      </w:r>
    </w:p>
    <w:p w14:paraId="28018D1B" w14:textId="77777777" w:rsidR="002E5BAD" w:rsidRDefault="002E5BAD" w:rsidP="002E5BAD">
      <w:pPr>
        <w:pStyle w:val="ab"/>
        <w:numPr>
          <w:ilvl w:val="0"/>
          <w:numId w:val="158"/>
        </w:numPr>
        <w:rPr>
          <w:rFonts w:cs="Arial"/>
        </w:rPr>
      </w:pPr>
      <w:r w:rsidRPr="00504C02">
        <w:rPr>
          <w:rFonts w:cs="Arial"/>
          <w:rtl/>
        </w:rPr>
        <w:lastRenderedPageBreak/>
        <w:t xml:space="preserve">ר"ן </w:t>
      </w:r>
      <w:r w:rsidRPr="00504C02">
        <w:rPr>
          <w:rFonts w:cs="Arial"/>
          <w:sz w:val="16"/>
          <w:szCs w:val="16"/>
          <w:rtl/>
        </w:rPr>
        <w:t>(סי' סב)</w:t>
      </w:r>
      <w:r>
        <w:rPr>
          <w:rFonts w:cs="Arial" w:hint="cs"/>
          <w:rtl/>
        </w:rPr>
        <w:t xml:space="preserve">- שאלת </w:t>
      </w:r>
      <w:r w:rsidRPr="00504C02">
        <w:rPr>
          <w:rFonts w:cs="Arial"/>
          <w:rtl/>
        </w:rPr>
        <w:t>על בני עיר אחת שקיבלו עליהם להתנהג בכל הוראותיהם על פי הרמב"ם ובא אחד מחוץ לעיר וקידש אשה שם והלך לו והיא רוצה להתגרש ממנו בטענת מאיס עלי</w:t>
      </w:r>
      <w:r w:rsidRPr="00504C02">
        <w:rPr>
          <w:rFonts w:cs="Arial" w:hint="cs"/>
          <w:rtl/>
        </w:rPr>
        <w:t>. תושבה-</w:t>
      </w:r>
      <w:r w:rsidRPr="00504C02">
        <w:rPr>
          <w:rFonts w:cs="Arial"/>
          <w:rtl/>
        </w:rPr>
        <w:t xml:space="preserve"> מיראי הוראה אני</w:t>
      </w:r>
      <w:r w:rsidRPr="00504C02">
        <w:rPr>
          <w:rFonts w:cs="Arial" w:hint="cs"/>
          <w:rtl/>
        </w:rPr>
        <w:t>,</w:t>
      </w:r>
      <w:r w:rsidRPr="00504C02">
        <w:rPr>
          <w:rFonts w:cs="Arial"/>
          <w:rtl/>
        </w:rPr>
        <w:t xml:space="preserve"> לפי שזה בשעה שקידש לא היה מאנשי אותה העיר והרשות היה בידו להוציא את אשתו מעיר לעיר כיוצא בה</w:t>
      </w:r>
      <w:r w:rsidRPr="00504C02">
        <w:rPr>
          <w:rFonts w:cs="Arial" w:hint="cs"/>
          <w:rtl/>
        </w:rPr>
        <w:t>,</w:t>
      </w:r>
      <w:r w:rsidRPr="00504C02">
        <w:rPr>
          <w:rFonts w:cs="Arial"/>
          <w:rtl/>
        </w:rPr>
        <w:t xml:space="preserve"> ולפיכך אין כח ביד אנשי אותה העיר לכופו להתנהג בתקנותיהם</w:t>
      </w:r>
      <w:r w:rsidRPr="00504C02">
        <w:rPr>
          <w:rFonts w:cs="Arial" w:hint="cs"/>
          <w:rtl/>
        </w:rPr>
        <w:t>.</w:t>
      </w:r>
    </w:p>
    <w:p w14:paraId="5E8F1667" w14:textId="77777777" w:rsidR="002E5BAD" w:rsidRPr="00504C02" w:rsidRDefault="002E5BAD" w:rsidP="002E5BAD">
      <w:pPr>
        <w:rPr>
          <w:rFonts w:cs="Arial"/>
          <w:u w:val="single"/>
        </w:rPr>
      </w:pPr>
      <w:r w:rsidRPr="00504C02">
        <w:rPr>
          <w:rFonts w:cs="Arial" w:hint="cs"/>
          <w:u w:val="single"/>
          <w:rtl/>
        </w:rPr>
        <w:t xml:space="preserve">לסוברים שאין כופים לגרש בטענת מאיס </w:t>
      </w:r>
      <w:r w:rsidRPr="00504C02">
        <w:rPr>
          <w:rFonts w:cs="Arial"/>
          <w:u w:val="single"/>
          <w:rtl/>
        </w:rPr>
        <w:t>–</w:t>
      </w:r>
      <w:r w:rsidRPr="00504C02">
        <w:rPr>
          <w:rFonts w:cs="Arial" w:hint="cs"/>
          <w:u w:val="single"/>
          <w:rtl/>
        </w:rPr>
        <w:t xml:space="preserve"> מה הדין אם ה</w:t>
      </w:r>
      <w:r w:rsidRPr="00504C02">
        <w:rPr>
          <w:rFonts w:cs="Arial"/>
          <w:u w:val="single"/>
          <w:rtl/>
        </w:rPr>
        <w:t xml:space="preserve">אשה טענה </w:t>
      </w:r>
      <w:r w:rsidRPr="00504C02">
        <w:rPr>
          <w:rFonts w:cs="Arial" w:hint="cs"/>
          <w:u w:val="single"/>
          <w:rtl/>
        </w:rPr>
        <w:t xml:space="preserve">שכבר </w:t>
      </w:r>
      <w:r w:rsidRPr="00504C02">
        <w:rPr>
          <w:rFonts w:cs="Arial"/>
          <w:u w:val="single"/>
          <w:rtl/>
        </w:rPr>
        <w:t xml:space="preserve">קודם </w:t>
      </w:r>
      <w:r w:rsidRPr="00504C02">
        <w:rPr>
          <w:rFonts w:cs="Arial" w:hint="cs"/>
          <w:u w:val="single"/>
          <w:rtl/>
        </w:rPr>
        <w:t>ה</w:t>
      </w:r>
      <w:r w:rsidRPr="00504C02">
        <w:rPr>
          <w:rFonts w:cs="Arial"/>
          <w:u w:val="single"/>
          <w:rtl/>
        </w:rPr>
        <w:t>נישואין היתה מואסת אותו</w:t>
      </w:r>
      <w:r w:rsidRPr="00504C02">
        <w:rPr>
          <w:rFonts w:cs="Arial" w:hint="cs"/>
          <w:u w:val="single"/>
          <w:rtl/>
        </w:rPr>
        <w:t>:</w:t>
      </w:r>
    </w:p>
    <w:p w14:paraId="325B6634" w14:textId="77777777" w:rsidR="002E5BAD" w:rsidRDefault="002E5BAD" w:rsidP="002E5BAD">
      <w:pPr>
        <w:pStyle w:val="ab"/>
        <w:numPr>
          <w:ilvl w:val="0"/>
          <w:numId w:val="158"/>
        </w:numPr>
        <w:rPr>
          <w:rFonts w:cs="Arial"/>
        </w:rPr>
      </w:pPr>
      <w:r w:rsidRPr="00504C02">
        <w:rPr>
          <w:rFonts w:cs="Arial"/>
          <w:rtl/>
        </w:rPr>
        <w:t>רשב"ש</w:t>
      </w:r>
      <w:r w:rsidRPr="00504C02">
        <w:rPr>
          <w:rFonts w:cs="Arial"/>
          <w:sz w:val="16"/>
          <w:szCs w:val="16"/>
          <w:rtl/>
        </w:rPr>
        <w:t xml:space="preserve"> </w:t>
      </w:r>
      <w:r w:rsidRPr="00504C02">
        <w:rPr>
          <w:rFonts w:cs="Arial" w:hint="cs"/>
          <w:sz w:val="16"/>
          <w:szCs w:val="16"/>
          <w:rtl/>
        </w:rPr>
        <w:t>(</w:t>
      </w:r>
      <w:r w:rsidRPr="00504C02">
        <w:rPr>
          <w:rFonts w:cs="Arial"/>
          <w:sz w:val="16"/>
          <w:szCs w:val="16"/>
          <w:rtl/>
        </w:rPr>
        <w:t>סי' צג)</w:t>
      </w:r>
      <w:r w:rsidRPr="00504C02">
        <w:rPr>
          <w:rFonts w:cs="Arial" w:hint="cs"/>
          <w:rtl/>
        </w:rPr>
        <w:t>-</w:t>
      </w:r>
      <w:r w:rsidRPr="00504C02">
        <w:rPr>
          <w:rFonts w:cs="Arial"/>
          <w:rtl/>
        </w:rPr>
        <w:t xml:space="preserve"> אשה שטענה מאיס עלי שקודם נישואין היתה מואסת אותו ואמה השיאתה לו בעל כרחה נראה דאפילו לאומ</w:t>
      </w:r>
      <w:r w:rsidRPr="00504C02">
        <w:rPr>
          <w:rFonts w:cs="Arial" w:hint="cs"/>
          <w:rtl/>
        </w:rPr>
        <w:t>רים</w:t>
      </w:r>
      <w:r w:rsidRPr="00504C02">
        <w:rPr>
          <w:rFonts w:cs="Arial"/>
          <w:rtl/>
        </w:rPr>
        <w:t xml:space="preserve"> שאין כופין לגרש בטענת מאיס עלי יודו בזה שמה שאמרו שלא לכוף משום דחיישינן שמא עיניה נתנה באחר אם הדבר מפורסם שבעל כרחה נישאת לו נסתלקה חששא זו דהא ה"ר מאיר כשהיתה נותנת האשה טענה ואמתלאה לדבריה למה הוא מאוס עליה היה כופה לגרשה</w:t>
      </w:r>
      <w:r w:rsidRPr="00504C02">
        <w:rPr>
          <w:rFonts w:cs="Arial" w:hint="cs"/>
          <w:rtl/>
        </w:rPr>
        <w:t>... ו</w:t>
      </w:r>
      <w:r w:rsidRPr="00504C02">
        <w:rPr>
          <w:rFonts w:cs="Arial"/>
          <w:rtl/>
        </w:rPr>
        <w:t>לענין מעשה לא הי</w:t>
      </w:r>
      <w:r w:rsidRPr="00504C02">
        <w:rPr>
          <w:rFonts w:cs="Arial" w:hint="cs"/>
          <w:rtl/>
        </w:rPr>
        <w:t>יתי</w:t>
      </w:r>
      <w:r w:rsidRPr="00504C02">
        <w:rPr>
          <w:rFonts w:cs="Arial"/>
          <w:rtl/>
        </w:rPr>
        <w:t xml:space="preserve"> מיקל בכך. וגם מהרי"ק בשורש כ"ט ובשורש ס"ג (ענף ד) כתב מה שכתבת דאין לנו לכוף לגרש</w:t>
      </w:r>
      <w:r w:rsidRPr="00504C02">
        <w:rPr>
          <w:rFonts w:cs="Arial" w:hint="cs"/>
          <w:rtl/>
        </w:rPr>
        <w:t>,</w:t>
      </w:r>
      <w:r w:rsidRPr="00504C02">
        <w:rPr>
          <w:rFonts w:cs="Arial"/>
          <w:rtl/>
        </w:rPr>
        <w:t xml:space="preserve"> פשיטא שכן הוא</w:t>
      </w:r>
      <w:r w:rsidRPr="00504C02">
        <w:rPr>
          <w:rFonts w:cs="Arial" w:hint="cs"/>
          <w:rtl/>
        </w:rPr>
        <w:t>,</w:t>
      </w:r>
      <w:r w:rsidRPr="00504C02">
        <w:rPr>
          <w:rFonts w:cs="Arial"/>
          <w:rtl/>
        </w:rPr>
        <w:t xml:space="preserve"> וזהו דבר פשוט שכן הסכימו כל הפוסקים האחרונים</w:t>
      </w:r>
      <w:r>
        <w:rPr>
          <w:rFonts w:cs="Arial" w:hint="cs"/>
          <w:rtl/>
        </w:rPr>
        <w:t>.</w:t>
      </w:r>
    </w:p>
    <w:p w14:paraId="776CAB3C" w14:textId="77777777" w:rsidR="002E5BAD" w:rsidRDefault="002E5BAD" w:rsidP="002E5BAD">
      <w:pPr>
        <w:rPr>
          <w:rtl/>
        </w:rPr>
      </w:pPr>
      <w:r w:rsidRPr="00D01043">
        <w:rPr>
          <w:rFonts w:cs="Arial" w:hint="cs"/>
          <w:b/>
          <w:bCs/>
          <w:rtl/>
        </w:rPr>
        <w:t xml:space="preserve">כתובות </w:t>
      </w:r>
      <w:r>
        <w:rPr>
          <w:rFonts w:cs="Arial" w:hint="cs"/>
          <w:b/>
          <w:bCs/>
          <w:sz w:val="16"/>
          <w:szCs w:val="16"/>
          <w:rtl/>
        </w:rPr>
        <w:t xml:space="preserve">(פ' אף על פי) </w:t>
      </w:r>
      <w:r w:rsidRPr="00D01043">
        <w:rPr>
          <w:rFonts w:cs="Arial" w:hint="cs"/>
          <w:b/>
          <w:bCs/>
          <w:rtl/>
        </w:rPr>
        <w:t>סג ע"א</w:t>
      </w:r>
      <w:r>
        <w:rPr>
          <w:rFonts w:cs="Arial" w:hint="cs"/>
          <w:b/>
          <w:bCs/>
          <w:rtl/>
        </w:rPr>
        <w:t>:</w:t>
      </w:r>
      <w:r w:rsidRPr="00D01043">
        <w:rPr>
          <w:rFonts w:cs="Arial"/>
          <w:rtl/>
        </w:rPr>
        <w:t xml:space="preserve"> מורדת ממאי? </w:t>
      </w:r>
      <w:r w:rsidRPr="00D01043">
        <w:rPr>
          <w:rFonts w:cs="Arial"/>
          <w:u w:val="single"/>
          <w:rtl/>
        </w:rPr>
        <w:t>רב הונא אמר</w:t>
      </w:r>
      <w:r w:rsidRPr="00D01043">
        <w:rPr>
          <w:rFonts w:cs="Arial"/>
          <w:rtl/>
        </w:rPr>
        <w:t>: מתשמיש המטה</w:t>
      </w:r>
      <w:r>
        <w:rPr>
          <w:rFonts w:cs="Arial" w:hint="cs"/>
          <w:rtl/>
        </w:rPr>
        <w:t>.</w:t>
      </w:r>
      <w:r w:rsidRPr="00D01043">
        <w:rPr>
          <w:rFonts w:cs="Arial"/>
          <w:rtl/>
        </w:rPr>
        <w:t xml:space="preserve"> </w:t>
      </w:r>
      <w:r w:rsidRPr="00D01043">
        <w:rPr>
          <w:rFonts w:cs="Arial"/>
          <w:u w:val="single"/>
          <w:rtl/>
        </w:rPr>
        <w:t>ר' יוסי ברבי חנינא אמר</w:t>
      </w:r>
      <w:r w:rsidRPr="00D01043">
        <w:rPr>
          <w:rFonts w:cs="Arial"/>
          <w:rtl/>
        </w:rPr>
        <w:t>: ממלאכה.</w:t>
      </w:r>
      <w:r>
        <w:rPr>
          <w:rFonts w:cs="Arial" w:hint="cs"/>
          <w:rtl/>
        </w:rPr>
        <w:t>..</w:t>
      </w:r>
      <w:r w:rsidRPr="00D01043">
        <w:rPr>
          <w:rFonts w:cs="Arial"/>
          <w:rtl/>
        </w:rPr>
        <w:t xml:space="preserve"> מיתבי: אחת לי ארוסה ונשואה, ואפי' נדה, ואפילו חולה, ואפי' שומרת יבם</w:t>
      </w:r>
      <w:r>
        <w:rPr>
          <w:rFonts w:cs="Arial" w:hint="cs"/>
          <w:rtl/>
        </w:rPr>
        <w:t>...</w:t>
      </w:r>
      <w:r>
        <w:rPr>
          <w:rFonts w:cs="Arial" w:hint="cs"/>
          <w:sz w:val="14"/>
          <w:szCs w:val="14"/>
          <w:rtl/>
        </w:rPr>
        <w:t xml:space="preserve"> (סג:)</w:t>
      </w:r>
      <w:r w:rsidRPr="00D01043">
        <w:rPr>
          <w:rFonts w:cs="Arial"/>
          <w:rtl/>
        </w:rPr>
        <w:t xml:space="preserve"> </w:t>
      </w:r>
      <w:r w:rsidRPr="00D01043">
        <w:rPr>
          <w:rFonts w:cs="Arial"/>
          <w:u w:val="single"/>
          <w:rtl/>
        </w:rPr>
        <w:t>אמר ליה ר' חייא בר יוסף לשמואל</w:t>
      </w:r>
      <w:r w:rsidRPr="00D01043">
        <w:rPr>
          <w:rFonts w:cs="Arial"/>
          <w:rtl/>
        </w:rPr>
        <w:t xml:space="preserve">: נדה בת תשמיש היא? </w:t>
      </w:r>
      <w:r w:rsidRPr="00D01043">
        <w:rPr>
          <w:rFonts w:cs="Arial"/>
          <w:u w:val="single"/>
          <w:rtl/>
        </w:rPr>
        <w:t>אמר ליה</w:t>
      </w:r>
      <w:r w:rsidRPr="00D01043">
        <w:rPr>
          <w:rFonts w:cs="Arial"/>
          <w:rtl/>
        </w:rPr>
        <w:t>: אינו דומה מי שיש לו פת בסלו למי שאין לו פת בסלו.</w:t>
      </w:r>
    </w:p>
    <w:p w14:paraId="1EF20E8A" w14:textId="77777777" w:rsidR="002E5BAD" w:rsidRPr="00E6113D" w:rsidRDefault="002E5BAD" w:rsidP="002E5BAD">
      <w:pPr>
        <w:rPr>
          <w:rFonts w:cs="Arial"/>
          <w:u w:val="single"/>
        </w:rPr>
      </w:pPr>
      <w:r w:rsidRPr="00E6113D">
        <w:rPr>
          <w:rFonts w:cs="Arial" w:hint="cs"/>
          <w:u w:val="single"/>
          <w:rtl/>
        </w:rPr>
        <w:t xml:space="preserve">אשה שמורדת </w:t>
      </w:r>
      <w:r>
        <w:rPr>
          <w:rFonts w:cs="Arial" w:hint="cs"/>
          <w:u w:val="single"/>
          <w:rtl/>
        </w:rPr>
        <w:t xml:space="preserve">מתשמיש </w:t>
      </w:r>
      <w:r w:rsidRPr="00E6113D">
        <w:rPr>
          <w:rFonts w:cs="Arial" w:hint="cs"/>
          <w:u w:val="single"/>
          <w:rtl/>
        </w:rPr>
        <w:t>בזמן שגם ככה אי אפשר לשמש:</w:t>
      </w:r>
    </w:p>
    <w:p w14:paraId="472493C8" w14:textId="77777777" w:rsidR="002E5BAD" w:rsidRDefault="002E5BAD" w:rsidP="002E5BAD">
      <w:pPr>
        <w:pStyle w:val="ab"/>
        <w:numPr>
          <w:ilvl w:val="0"/>
          <w:numId w:val="158"/>
        </w:numPr>
        <w:rPr>
          <w:rFonts w:cs="Arial"/>
        </w:rPr>
      </w:pPr>
      <w:r>
        <w:rPr>
          <w:rFonts w:cs="Arial" w:hint="cs"/>
          <w:rtl/>
        </w:rPr>
        <w:t xml:space="preserve">טור- </w:t>
      </w:r>
      <w:r w:rsidRPr="00897A64">
        <w:rPr>
          <w:rFonts w:cs="Arial"/>
          <w:rtl/>
        </w:rPr>
        <w:t>אפי' נדה וחולה שאינן בנות תשמיש</w:t>
      </w:r>
      <w:r>
        <w:rPr>
          <w:rStyle w:val="a7"/>
          <w:rFonts w:cs="Arial"/>
          <w:rtl/>
        </w:rPr>
        <w:footnoteReference w:id="1339"/>
      </w:r>
      <w:r w:rsidRPr="00897A64">
        <w:rPr>
          <w:rFonts w:cs="Arial"/>
          <w:rtl/>
        </w:rPr>
        <w:t xml:space="preserve"> ומורדות בימי נדותן וחוליין</w:t>
      </w:r>
      <w:r>
        <w:rPr>
          <w:rFonts w:cs="Arial" w:hint="cs"/>
          <w:rtl/>
        </w:rPr>
        <w:t>,</w:t>
      </w:r>
      <w:r w:rsidRPr="00897A64">
        <w:rPr>
          <w:rFonts w:cs="Arial"/>
          <w:rtl/>
        </w:rPr>
        <w:t xml:space="preserve"> או שבעלה ספן שאין עתה זמן עונתה </w:t>
      </w:r>
      <w:r>
        <w:rPr>
          <w:rFonts w:cs="Arial" w:hint="cs"/>
          <w:rtl/>
        </w:rPr>
        <w:t xml:space="preserve">- </w:t>
      </w:r>
      <w:r w:rsidRPr="00897A64">
        <w:rPr>
          <w:rFonts w:cs="Arial"/>
          <w:rtl/>
        </w:rPr>
        <w:t>בכולן דינן כשאר מורדת</w:t>
      </w:r>
      <w:r>
        <w:rPr>
          <w:rStyle w:val="a7"/>
          <w:rFonts w:cs="Arial"/>
          <w:rtl/>
        </w:rPr>
        <w:footnoteReference w:id="1340"/>
      </w:r>
      <w:r>
        <w:rPr>
          <w:rFonts w:cs="Arial" w:hint="cs"/>
          <w:rtl/>
        </w:rPr>
        <w:t>.</w:t>
      </w:r>
      <w:r w:rsidRPr="00897A64">
        <w:rPr>
          <w:rFonts w:cs="Arial"/>
          <w:rtl/>
        </w:rPr>
        <w:t xml:space="preserve"> וכן ארוסה שאינה רוצה לינשא </w:t>
      </w:r>
      <w:r>
        <w:rPr>
          <w:rFonts w:cs="Arial" w:hint="cs"/>
          <w:rtl/>
        </w:rPr>
        <w:t xml:space="preserve">- </w:t>
      </w:r>
      <w:r w:rsidRPr="00897A64">
        <w:rPr>
          <w:rFonts w:cs="Arial"/>
          <w:rtl/>
        </w:rPr>
        <w:t>דינה כשאר מורדת</w:t>
      </w:r>
      <w:r>
        <w:rPr>
          <w:rStyle w:val="a7"/>
          <w:rFonts w:cs="Arial"/>
          <w:rtl/>
        </w:rPr>
        <w:footnoteReference w:id="1341"/>
      </w:r>
      <w:r>
        <w:rPr>
          <w:rFonts w:cs="Arial" w:hint="cs"/>
          <w:rtl/>
        </w:rPr>
        <w:t>.</w:t>
      </w:r>
      <w:r w:rsidRPr="00897A64">
        <w:rPr>
          <w:rFonts w:cs="Arial"/>
          <w:rtl/>
        </w:rPr>
        <w:t xml:space="preserve"> </w:t>
      </w:r>
    </w:p>
    <w:p w14:paraId="61463CB7" w14:textId="77777777" w:rsidR="002E5BAD" w:rsidRDefault="002E5BAD" w:rsidP="002E5BAD">
      <w:pPr>
        <w:pStyle w:val="ab"/>
        <w:numPr>
          <w:ilvl w:val="0"/>
          <w:numId w:val="158"/>
        </w:numPr>
        <w:rPr>
          <w:rFonts w:cs="Arial"/>
        </w:rPr>
      </w:pPr>
      <w:r>
        <w:rPr>
          <w:rFonts w:cs="Arial" w:hint="cs"/>
          <w:rtl/>
        </w:rPr>
        <w:t xml:space="preserve">רמב"ם </w:t>
      </w:r>
      <w:r>
        <w:rPr>
          <w:rFonts w:cs="Arial" w:hint="cs"/>
          <w:sz w:val="16"/>
          <w:szCs w:val="16"/>
          <w:rtl/>
        </w:rPr>
        <w:t>(פי"ד הי"א-יב)</w:t>
      </w:r>
      <w:r>
        <w:rPr>
          <w:rFonts w:cs="Arial" w:hint="cs"/>
          <w:rtl/>
        </w:rPr>
        <w:t xml:space="preserve">- </w:t>
      </w:r>
      <w:r w:rsidRPr="00DB1490">
        <w:rPr>
          <w:rFonts w:cs="Arial"/>
          <w:rtl/>
        </w:rPr>
        <w:t>כסדר הזה עושין לה אם מרדה כדי לצערו, ואפילו היתה נדה או חולה שאינה ראויה לתשמיש</w:t>
      </w:r>
      <w:r>
        <w:rPr>
          <w:rFonts w:cs="Arial" w:hint="cs"/>
          <w:rtl/>
        </w:rPr>
        <w:t>,</w:t>
      </w:r>
      <w:r w:rsidRPr="00DB1490">
        <w:rPr>
          <w:rFonts w:cs="Arial"/>
          <w:rtl/>
        </w:rPr>
        <w:t xml:space="preserve"> ואפילו היה בעלה מלח שעונתו לששה חדשים</w:t>
      </w:r>
      <w:r>
        <w:rPr>
          <w:rStyle w:val="a7"/>
          <w:rFonts w:cs="Arial"/>
          <w:rtl/>
        </w:rPr>
        <w:footnoteReference w:id="1342"/>
      </w:r>
      <w:r>
        <w:rPr>
          <w:rFonts w:cs="Arial" w:hint="cs"/>
          <w:rtl/>
        </w:rPr>
        <w:t>,</w:t>
      </w:r>
      <w:r w:rsidRPr="00DB1490">
        <w:rPr>
          <w:rFonts w:cs="Arial"/>
          <w:rtl/>
        </w:rPr>
        <w:t xml:space="preserve"> ואפילו יש לו אשה אחרת. וכן ארוסה שהגיע זמנה להנשא ומרדה כדי לצערו ולא נשאת הרי זו מורדת מתשמיש</w:t>
      </w:r>
      <w:r>
        <w:rPr>
          <w:rFonts w:cs="Arial" w:hint="cs"/>
          <w:rtl/>
        </w:rPr>
        <w:t xml:space="preserve">. </w:t>
      </w:r>
      <w:r w:rsidRPr="0013364A">
        <w:rPr>
          <w:rFonts w:cs="Arial" w:hint="cs"/>
          <w:color w:val="E36C0A" w:themeColor="accent6" w:themeShade="BF"/>
          <w:rtl/>
        </w:rPr>
        <w:t>(וכ"פ בשו"ע)</w:t>
      </w:r>
    </w:p>
    <w:p w14:paraId="5E94293F" w14:textId="77777777" w:rsidR="002E5BAD" w:rsidRPr="001806F1" w:rsidRDefault="002E5BAD" w:rsidP="002E5BAD">
      <w:pPr>
        <w:rPr>
          <w:rFonts w:cs="Arial"/>
        </w:rPr>
      </w:pPr>
      <w:r w:rsidRPr="00D01043">
        <w:rPr>
          <w:rFonts w:cs="Arial" w:hint="cs"/>
          <w:b/>
          <w:bCs/>
          <w:rtl/>
        </w:rPr>
        <w:t xml:space="preserve">כתובות </w:t>
      </w:r>
      <w:r>
        <w:rPr>
          <w:rFonts w:cs="Arial" w:hint="cs"/>
          <w:b/>
          <w:bCs/>
          <w:sz w:val="16"/>
          <w:szCs w:val="16"/>
          <w:rtl/>
        </w:rPr>
        <w:t xml:space="preserve">(פ' אף על פי) </w:t>
      </w:r>
      <w:r w:rsidRPr="00D01043">
        <w:rPr>
          <w:rFonts w:cs="Arial" w:hint="cs"/>
          <w:b/>
          <w:bCs/>
          <w:rtl/>
        </w:rPr>
        <w:t>ס</w:t>
      </w:r>
      <w:r>
        <w:rPr>
          <w:rFonts w:cs="Arial" w:hint="cs"/>
          <w:b/>
          <w:bCs/>
          <w:rtl/>
        </w:rPr>
        <w:t>ד</w:t>
      </w:r>
      <w:r w:rsidRPr="00D01043">
        <w:rPr>
          <w:rFonts w:cs="Arial" w:hint="cs"/>
          <w:b/>
          <w:bCs/>
          <w:rtl/>
        </w:rPr>
        <w:t xml:space="preserve"> ע"א</w:t>
      </w:r>
      <w:r>
        <w:rPr>
          <w:rFonts w:cs="Arial" w:hint="cs"/>
          <w:b/>
          <w:bCs/>
          <w:rtl/>
        </w:rPr>
        <w:t>:</w:t>
      </w:r>
      <w:r>
        <w:rPr>
          <w:rFonts w:cs="Arial" w:hint="cs"/>
          <w:rtl/>
        </w:rPr>
        <w:t xml:space="preserve"> </w:t>
      </w:r>
      <w:r w:rsidRPr="001806F1">
        <w:rPr>
          <w:rFonts w:cs="Arial"/>
          <w:u w:val="single"/>
          <w:rtl/>
        </w:rPr>
        <w:t>אמר רב טובי בר קיסנא אמר שמואל</w:t>
      </w:r>
      <w:r w:rsidRPr="001806F1">
        <w:rPr>
          <w:rFonts w:cs="Arial"/>
          <w:rtl/>
        </w:rPr>
        <w:t>: כותבין אגרת מרד על ארוסה, ואין כותבין אגרת מרד על שומרת יבם. מיתיבי: אחת לי ארוסה ונשואה, אפילו נדה, אפילו חולה, ואפילו שומרת יבם! לא קשיא: כאן שתבע הוא, כאן שתבעה היא, דאמר רב תחליפא בר אבימי אמר שמואל: תבע הוא - נזקקין לו, תבעה היא - אין נזקקין לה. במאי אוקימתא להא דשמואל? בשתבעה היא, האי כותבין אגרת מרד על ארוסה, לארוסה מיבעי ליה! הא לא קשיא, תני: לארוסה. מאי שנא שומרת יבם דלא? דאמרינן לה זיל לא מפקדת, ארוסה נמי, נימא לה זיל לא מפקדת. אלא בבאה מחמת טענה, דאמרה בעינא חוטרא לידא ומרה לקבורה, ה"נ שומרת יבם בבאה מחמת טענה! אלא אידי ואידי שתבע הוא, ולא קשיא: כאן לחלוץ, וכאן לייבם, דאמר ר' פדת אמר ר' יוחנן: תבע לחלוץ - נזקקין לו, תבע לייבם - אין נזקקין לו. מאי שנא לייבם דלא? דאמרינן ליה, זיל ונסיב איתתא אחריתי, לחלוץ נמי, נימא ליה זיל ונסיב איתתא אחריתי! אלא דאמר כיון דאגידא בי לא קא יהבו לי אחריתי, הכא נמי כיון דאגידא בי לא קא יהבו לי אחריתי: אלא אידי ואידי שתבע לייבם, ולא קשיא: כאן כמשנה ראשונה, כאן כמשנה אחרונה, דתנן: מצות יבום קודמת למצות חליצה בראשונה שהיו מתכוונין לשום מצוה, עכשיו שאין מתכוונין לשום מצוה, אמרו: מצות חליצה קודמת למצות יבום.</w:t>
      </w:r>
      <w:r w:rsidRPr="00B529AC">
        <w:rPr>
          <w:rFonts w:cs="Arial"/>
          <w:sz w:val="16"/>
          <w:szCs w:val="16"/>
          <w:rtl/>
        </w:rPr>
        <w:t xml:space="preserve"> </w:t>
      </w:r>
      <w:r>
        <w:rPr>
          <w:rFonts w:cs="Arial" w:hint="cs"/>
          <w:sz w:val="16"/>
          <w:szCs w:val="16"/>
          <w:rtl/>
        </w:rPr>
        <w:t>(</w:t>
      </w:r>
      <w:r w:rsidRPr="00B529AC">
        <w:rPr>
          <w:rFonts w:cs="Arial"/>
          <w:sz w:val="16"/>
          <w:szCs w:val="16"/>
          <w:rtl/>
        </w:rPr>
        <w:t>וכתב הרי"ף (כז:) וליתא למשנה אחרונה כדאיתא בפרק החולץ (יבמות לט:) וכיון שכן בטיל ליה מימרא דשמואל וכן פי' הרמב"ם בפרק י"ד מהלכות אישות (הי"ב) שכותבין אגרת מרד על שומרת יבם. והרא"ש (סי' לו) כתב ואני כתבתי בפרק החולץ (סי' יז) בשם ר"ת (תוס' יבמות לט: ד"ה אמר) דהלכה כמשנה אחרונה ואיתא נמי להא דשמואל עכ"ל</w:t>
      </w:r>
      <w:r>
        <w:rPr>
          <w:rFonts w:cs="Arial" w:hint="cs"/>
          <w:sz w:val="16"/>
          <w:szCs w:val="16"/>
          <w:rtl/>
        </w:rPr>
        <w:t>, ב"י)</w:t>
      </w:r>
    </w:p>
    <w:p w14:paraId="74FF3DE2" w14:textId="77777777" w:rsidR="002E5BAD" w:rsidRPr="001806F1" w:rsidRDefault="002E5BAD" w:rsidP="002E5BAD">
      <w:pPr>
        <w:rPr>
          <w:rFonts w:cs="Arial"/>
          <w:u w:val="single"/>
        </w:rPr>
      </w:pPr>
      <w:r w:rsidRPr="001806F1">
        <w:rPr>
          <w:rFonts w:cs="Arial"/>
          <w:u w:val="single"/>
          <w:rtl/>
        </w:rPr>
        <w:t>שומרת יבם שאינה רוצה להתייבם</w:t>
      </w:r>
      <w:r>
        <w:rPr>
          <w:rFonts w:cs="Arial" w:hint="cs"/>
          <w:u w:val="single"/>
          <w:rtl/>
        </w:rPr>
        <w:t xml:space="preserve"> </w:t>
      </w:r>
      <w:r>
        <w:rPr>
          <w:rFonts w:cs="Arial"/>
          <w:u w:val="single"/>
          <w:rtl/>
        </w:rPr>
        <w:t>–</w:t>
      </w:r>
      <w:r>
        <w:rPr>
          <w:rFonts w:cs="Arial" w:hint="cs"/>
          <w:u w:val="single"/>
          <w:rtl/>
        </w:rPr>
        <w:t xml:space="preserve"> האם חשיבא מורדת</w:t>
      </w:r>
      <w:r w:rsidRPr="001806F1">
        <w:rPr>
          <w:rFonts w:cs="Arial" w:hint="cs"/>
          <w:u w:val="single"/>
          <w:rtl/>
        </w:rPr>
        <w:t>:</w:t>
      </w:r>
      <w:r w:rsidRPr="001806F1">
        <w:rPr>
          <w:rFonts w:cs="Arial"/>
          <w:u w:val="single"/>
          <w:rtl/>
        </w:rPr>
        <w:t xml:space="preserve"> </w:t>
      </w:r>
    </w:p>
    <w:p w14:paraId="7EF60BCC" w14:textId="77777777" w:rsidR="002E5BAD" w:rsidRDefault="002E5BAD" w:rsidP="002E5BAD">
      <w:pPr>
        <w:pStyle w:val="ab"/>
        <w:numPr>
          <w:ilvl w:val="0"/>
          <w:numId w:val="158"/>
        </w:numPr>
        <w:rPr>
          <w:rFonts w:cs="Arial"/>
        </w:rPr>
      </w:pPr>
      <w:r>
        <w:rPr>
          <w:rFonts w:cs="Arial" w:hint="cs"/>
          <w:rtl/>
        </w:rPr>
        <w:t xml:space="preserve">רי"ף </w:t>
      </w:r>
      <w:r w:rsidRPr="00B529AC">
        <w:rPr>
          <w:rFonts w:cs="Arial"/>
          <w:sz w:val="16"/>
          <w:szCs w:val="16"/>
          <w:rtl/>
        </w:rPr>
        <w:t xml:space="preserve">(כז:) </w:t>
      </w:r>
      <w:r>
        <w:rPr>
          <w:rFonts w:cs="Arial" w:hint="cs"/>
          <w:rtl/>
        </w:rPr>
        <w:t>ו</w:t>
      </w:r>
      <w:r w:rsidRPr="00897A64">
        <w:rPr>
          <w:rFonts w:cs="Arial"/>
          <w:rtl/>
        </w:rPr>
        <w:t>רמב"ם</w:t>
      </w:r>
      <w:r>
        <w:rPr>
          <w:rFonts w:cs="Arial" w:hint="cs"/>
          <w:sz w:val="16"/>
          <w:szCs w:val="16"/>
          <w:rtl/>
        </w:rPr>
        <w:t xml:space="preserve"> (פי"ד מאישות הי"ב)</w:t>
      </w:r>
      <w:r>
        <w:rPr>
          <w:rFonts w:cs="Arial" w:hint="cs"/>
          <w:rtl/>
        </w:rPr>
        <w:t xml:space="preserve">- וכן </w:t>
      </w:r>
      <w:r w:rsidRPr="00DB1490">
        <w:rPr>
          <w:rFonts w:cs="Arial"/>
          <w:rtl/>
        </w:rPr>
        <w:t xml:space="preserve">יבמה שלא רצת להתיבם כדי לצערו </w:t>
      </w:r>
      <w:r>
        <w:rPr>
          <w:rFonts w:cs="Arial" w:hint="cs"/>
          <w:rtl/>
        </w:rPr>
        <w:t xml:space="preserve">- </w:t>
      </w:r>
      <w:r w:rsidRPr="00DB1490">
        <w:rPr>
          <w:rFonts w:cs="Arial"/>
          <w:rtl/>
        </w:rPr>
        <w:t>כסדר הזה עושין להן</w:t>
      </w:r>
      <w:r>
        <w:rPr>
          <w:rStyle w:val="a7"/>
          <w:rFonts w:cs="Arial"/>
          <w:rtl/>
        </w:rPr>
        <w:footnoteReference w:id="1343"/>
      </w:r>
      <w:r>
        <w:rPr>
          <w:rFonts w:cs="Arial" w:hint="cs"/>
          <w:sz w:val="16"/>
          <w:szCs w:val="16"/>
          <w:rtl/>
        </w:rPr>
        <w:t xml:space="preserve"> (ל' הרמב"ם)</w:t>
      </w:r>
      <w:r>
        <w:rPr>
          <w:rFonts w:cs="Arial" w:hint="cs"/>
          <w:rtl/>
        </w:rPr>
        <w:t>.</w:t>
      </w:r>
      <w:r w:rsidRPr="00897A64">
        <w:rPr>
          <w:rFonts w:cs="Arial"/>
          <w:rtl/>
        </w:rPr>
        <w:t xml:space="preserve"> </w:t>
      </w:r>
    </w:p>
    <w:p w14:paraId="402F8553" w14:textId="77777777" w:rsidR="002E5BAD" w:rsidRDefault="002E5BAD" w:rsidP="002E5BAD">
      <w:pPr>
        <w:pStyle w:val="ab"/>
        <w:numPr>
          <w:ilvl w:val="0"/>
          <w:numId w:val="158"/>
        </w:numPr>
        <w:rPr>
          <w:rFonts w:cs="Arial"/>
        </w:rPr>
      </w:pPr>
      <w:r w:rsidRPr="00897A64">
        <w:rPr>
          <w:rFonts w:cs="Arial"/>
          <w:rtl/>
        </w:rPr>
        <w:t>ר"ת</w:t>
      </w:r>
      <w:r>
        <w:rPr>
          <w:rFonts w:cs="Arial" w:hint="cs"/>
          <w:rtl/>
        </w:rPr>
        <w:t xml:space="preserve"> </w:t>
      </w:r>
      <w:r w:rsidRPr="00B529AC">
        <w:rPr>
          <w:rFonts w:cs="Arial"/>
          <w:sz w:val="16"/>
          <w:szCs w:val="16"/>
          <w:rtl/>
        </w:rPr>
        <w:t>(תוס' יבמות לט: ד"ה אמר)</w:t>
      </w:r>
      <w:r w:rsidRPr="00897A64">
        <w:rPr>
          <w:rFonts w:cs="Arial"/>
          <w:rtl/>
        </w:rPr>
        <w:t xml:space="preserve"> </w:t>
      </w:r>
      <w:r>
        <w:rPr>
          <w:rFonts w:cs="Arial" w:hint="cs"/>
          <w:rtl/>
        </w:rPr>
        <w:t>ורא"ש</w:t>
      </w:r>
      <w:r w:rsidRPr="00331055">
        <w:rPr>
          <w:rFonts w:cs="Arial"/>
          <w:sz w:val="16"/>
          <w:szCs w:val="16"/>
          <w:rtl/>
        </w:rPr>
        <w:t xml:space="preserve"> </w:t>
      </w:r>
      <w:r>
        <w:rPr>
          <w:rFonts w:cs="Arial" w:hint="cs"/>
          <w:sz w:val="16"/>
          <w:szCs w:val="16"/>
          <w:rtl/>
        </w:rPr>
        <w:t xml:space="preserve">(פ' </w:t>
      </w:r>
      <w:r w:rsidRPr="00B529AC">
        <w:rPr>
          <w:rFonts w:cs="Arial"/>
          <w:sz w:val="16"/>
          <w:szCs w:val="16"/>
          <w:rtl/>
        </w:rPr>
        <w:t>החולץ סי' יז)</w:t>
      </w:r>
      <w:r>
        <w:rPr>
          <w:rFonts w:cs="Arial" w:hint="cs"/>
          <w:rtl/>
        </w:rPr>
        <w:t xml:space="preserve">- </w:t>
      </w:r>
      <w:r w:rsidRPr="00897A64">
        <w:rPr>
          <w:rFonts w:cs="Arial"/>
          <w:rtl/>
        </w:rPr>
        <w:t>מצות חליצה קודמת לפיכך אין דינה כמורדת</w:t>
      </w:r>
      <w:r>
        <w:rPr>
          <w:rFonts w:cs="Arial" w:hint="cs"/>
          <w:sz w:val="16"/>
          <w:szCs w:val="16"/>
          <w:rtl/>
        </w:rPr>
        <w:t xml:space="preserve"> (ל' הטור בשם ר"ת)</w:t>
      </w:r>
      <w:r>
        <w:rPr>
          <w:rFonts w:cs="Arial" w:hint="cs"/>
          <w:rtl/>
        </w:rPr>
        <w:t>.</w:t>
      </w:r>
    </w:p>
    <w:p w14:paraId="7A1A9080" w14:textId="77777777" w:rsidR="002E5BAD" w:rsidRPr="00331055" w:rsidRDefault="002E5BAD" w:rsidP="002E5BAD">
      <w:pPr>
        <w:ind w:left="360"/>
        <w:rPr>
          <w:rFonts w:cs="Arial"/>
          <w:u w:val="dotted"/>
        </w:rPr>
      </w:pPr>
      <w:r w:rsidRPr="00331055">
        <w:rPr>
          <w:rFonts w:cs="Arial" w:hint="cs"/>
          <w:u w:val="dotted"/>
          <w:rtl/>
        </w:rPr>
        <w:lastRenderedPageBreak/>
        <w:t xml:space="preserve">לרי"ף וסיעתו </w:t>
      </w:r>
      <w:r w:rsidRPr="00331055">
        <w:rPr>
          <w:rFonts w:cs="Arial"/>
          <w:u w:val="dotted"/>
          <w:rtl/>
        </w:rPr>
        <w:t>–</w:t>
      </w:r>
      <w:r w:rsidRPr="00331055">
        <w:rPr>
          <w:rFonts w:cs="Arial" w:hint="cs"/>
          <w:u w:val="dotted"/>
          <w:rtl/>
        </w:rPr>
        <w:t xml:space="preserve"> מה הדין אם היבמה אסרה על עצמה את היבם</w:t>
      </w:r>
      <w:r>
        <w:rPr>
          <w:rFonts w:cs="Arial" w:hint="cs"/>
          <w:u w:val="dotted"/>
          <w:rtl/>
        </w:rPr>
        <w:t xml:space="preserve"> מהדין</w:t>
      </w:r>
      <w:r w:rsidRPr="00331055">
        <w:rPr>
          <w:rFonts w:cs="Arial" w:hint="cs"/>
          <w:u w:val="dotted"/>
          <w:rtl/>
        </w:rPr>
        <w:t>:</w:t>
      </w:r>
    </w:p>
    <w:p w14:paraId="6826660C" w14:textId="77777777" w:rsidR="002E5BAD" w:rsidRDefault="002E5BAD" w:rsidP="002E5BAD">
      <w:pPr>
        <w:pStyle w:val="ab"/>
        <w:numPr>
          <w:ilvl w:val="0"/>
          <w:numId w:val="158"/>
        </w:numPr>
      </w:pPr>
      <w:r w:rsidRPr="00331055">
        <w:rPr>
          <w:rFonts w:cs="Arial"/>
          <w:rtl/>
        </w:rPr>
        <w:t xml:space="preserve">רשב"א </w:t>
      </w:r>
      <w:r w:rsidRPr="00331055">
        <w:rPr>
          <w:rFonts w:cs="Arial" w:hint="cs"/>
          <w:sz w:val="16"/>
          <w:szCs w:val="16"/>
          <w:rtl/>
        </w:rPr>
        <w:t>(</w:t>
      </w:r>
      <w:r w:rsidRPr="00331055">
        <w:rPr>
          <w:rFonts w:cs="Arial"/>
          <w:sz w:val="16"/>
          <w:szCs w:val="16"/>
          <w:rtl/>
        </w:rPr>
        <w:t>סי</w:t>
      </w:r>
      <w:r w:rsidRPr="00331055">
        <w:rPr>
          <w:rFonts w:cs="Arial" w:hint="cs"/>
          <w:sz w:val="16"/>
          <w:szCs w:val="16"/>
          <w:rtl/>
        </w:rPr>
        <w:t xml:space="preserve">' </w:t>
      </w:r>
      <w:r w:rsidRPr="00331055">
        <w:rPr>
          <w:rFonts w:cs="Arial"/>
          <w:sz w:val="16"/>
          <w:szCs w:val="16"/>
          <w:rtl/>
        </w:rPr>
        <w:t xml:space="preserve">אלף </w:t>
      </w:r>
      <w:r w:rsidRPr="00331055">
        <w:rPr>
          <w:rFonts w:cs="Arial" w:hint="cs"/>
          <w:sz w:val="16"/>
          <w:szCs w:val="16"/>
          <w:rtl/>
        </w:rPr>
        <w:t>ר</w:t>
      </w:r>
      <w:r w:rsidRPr="00331055">
        <w:rPr>
          <w:rFonts w:cs="Arial"/>
          <w:sz w:val="16"/>
          <w:szCs w:val="16"/>
          <w:rtl/>
        </w:rPr>
        <w:t>ב</w:t>
      </w:r>
      <w:r w:rsidRPr="00331055">
        <w:rPr>
          <w:rFonts w:cs="Arial" w:hint="cs"/>
          <w:sz w:val="16"/>
          <w:szCs w:val="16"/>
          <w:rtl/>
        </w:rPr>
        <w:t>)</w:t>
      </w:r>
      <w:r>
        <w:rPr>
          <w:rFonts w:cs="Arial" w:hint="cs"/>
          <w:rtl/>
        </w:rPr>
        <w:t>-</w:t>
      </w:r>
      <w:r w:rsidRPr="00331055">
        <w:rPr>
          <w:rFonts w:cs="Arial"/>
          <w:rtl/>
        </w:rPr>
        <w:t xml:space="preserve"> </w:t>
      </w:r>
      <w:r>
        <w:rPr>
          <w:rFonts w:cs="Arial" w:hint="cs"/>
          <w:rtl/>
        </w:rPr>
        <w:t xml:space="preserve">שאלת </w:t>
      </w:r>
      <w:r w:rsidRPr="00331055">
        <w:rPr>
          <w:rFonts w:cs="Arial"/>
          <w:rtl/>
        </w:rPr>
        <w:t>על העושה מאמר ביבמתו</w:t>
      </w:r>
      <w:r>
        <w:rPr>
          <w:rFonts w:cs="Arial" w:hint="cs"/>
          <w:rtl/>
        </w:rPr>
        <w:t>,</w:t>
      </w:r>
      <w:r w:rsidRPr="00331055">
        <w:rPr>
          <w:rFonts w:cs="Arial"/>
          <w:rtl/>
        </w:rPr>
        <w:t xml:space="preserve"> וחזרה וקיבלה מאמר מאחיו</w:t>
      </w:r>
      <w:r>
        <w:rPr>
          <w:rFonts w:cs="Arial" w:hint="cs"/>
          <w:rtl/>
        </w:rPr>
        <w:t>,</w:t>
      </w:r>
      <w:r w:rsidRPr="00331055">
        <w:rPr>
          <w:rFonts w:cs="Arial"/>
          <w:rtl/>
        </w:rPr>
        <w:t xml:space="preserve"> ואסרה עצמה על שניהם</w:t>
      </w:r>
      <w:r>
        <w:rPr>
          <w:rFonts w:cs="Arial" w:hint="cs"/>
          <w:rtl/>
        </w:rPr>
        <w:t>,</w:t>
      </w:r>
      <w:r w:rsidRPr="00331055">
        <w:rPr>
          <w:rFonts w:cs="Arial"/>
          <w:rtl/>
        </w:rPr>
        <w:t xml:space="preserve"> אי דיינינן לה כמורדת</w:t>
      </w:r>
      <w:r>
        <w:rPr>
          <w:rFonts w:cs="Arial" w:hint="cs"/>
          <w:rtl/>
        </w:rPr>
        <w:t>.</w:t>
      </w:r>
      <w:r w:rsidRPr="00331055">
        <w:rPr>
          <w:rFonts w:cs="Arial"/>
          <w:rtl/>
        </w:rPr>
        <w:t xml:space="preserve"> </w:t>
      </w:r>
      <w:r>
        <w:rPr>
          <w:rFonts w:cs="Arial" w:hint="cs"/>
          <w:rtl/>
        </w:rPr>
        <w:t xml:space="preserve">תשובה- </w:t>
      </w:r>
      <w:r w:rsidRPr="00331055">
        <w:rPr>
          <w:rFonts w:cs="Arial"/>
          <w:rtl/>
        </w:rPr>
        <w:t>אין אגרת מרד אלא כדי שתחזור בה ותתייבם לו</w:t>
      </w:r>
      <w:r>
        <w:rPr>
          <w:rFonts w:cs="Arial" w:hint="cs"/>
          <w:rtl/>
        </w:rPr>
        <w:t>,</w:t>
      </w:r>
      <w:r w:rsidRPr="00331055">
        <w:rPr>
          <w:rFonts w:cs="Arial"/>
          <w:rtl/>
        </w:rPr>
        <w:t xml:space="preserve"> אבל זו שנאסרה על האחים למה כותבין עליה</w:t>
      </w:r>
      <w:r>
        <w:rPr>
          <w:rFonts w:cs="Arial" w:hint="cs"/>
          <w:rtl/>
        </w:rPr>
        <w:t>,</w:t>
      </w:r>
      <w:r w:rsidRPr="00331055">
        <w:rPr>
          <w:rFonts w:cs="Arial"/>
          <w:rtl/>
        </w:rPr>
        <w:t xml:space="preserve"> והא אי אפשר להתייבם לו מעתה. </w:t>
      </w:r>
    </w:p>
    <w:p w14:paraId="2425DBC3" w14:textId="77777777" w:rsidR="002E5BAD" w:rsidRPr="001B1490" w:rsidRDefault="002E5BAD" w:rsidP="002E5BAD">
      <w:pPr>
        <w:ind w:left="360"/>
        <w:rPr>
          <w:rFonts w:cs="Arial"/>
          <w:u w:val="dotted"/>
        </w:rPr>
      </w:pPr>
      <w:r w:rsidRPr="001B1490">
        <w:rPr>
          <w:rFonts w:cs="Arial" w:hint="cs"/>
          <w:u w:val="dotted"/>
          <w:rtl/>
        </w:rPr>
        <w:t xml:space="preserve">לרי"ף וסיעתו </w:t>
      </w:r>
      <w:r w:rsidRPr="001B1490">
        <w:rPr>
          <w:rFonts w:cs="Arial"/>
          <w:u w:val="dotted"/>
          <w:rtl/>
        </w:rPr>
        <w:t>–</w:t>
      </w:r>
      <w:r w:rsidRPr="001B1490">
        <w:rPr>
          <w:rFonts w:cs="Arial" w:hint="cs"/>
          <w:u w:val="dotted"/>
          <w:rtl/>
        </w:rPr>
        <w:t xml:space="preserve"> מה הדין אם היבמה אסרה על עצמה את היבם </w:t>
      </w:r>
      <w:r>
        <w:rPr>
          <w:rFonts w:cs="Arial" w:hint="cs"/>
          <w:u w:val="dotted"/>
          <w:rtl/>
        </w:rPr>
        <w:t>בנדר</w:t>
      </w:r>
      <w:r w:rsidRPr="001B1490">
        <w:rPr>
          <w:rFonts w:cs="Arial" w:hint="cs"/>
          <w:u w:val="dotted"/>
          <w:rtl/>
        </w:rPr>
        <w:t>:</w:t>
      </w:r>
    </w:p>
    <w:p w14:paraId="5B6C95EA" w14:textId="77777777" w:rsidR="002E5BAD" w:rsidRDefault="002E5BAD" w:rsidP="002E5BAD">
      <w:pPr>
        <w:pStyle w:val="ab"/>
        <w:numPr>
          <w:ilvl w:val="0"/>
          <w:numId w:val="158"/>
        </w:numPr>
        <w:rPr>
          <w:rtl/>
        </w:rPr>
      </w:pPr>
      <w:r w:rsidRPr="00331055">
        <w:rPr>
          <w:rFonts w:cs="Arial"/>
          <w:rtl/>
        </w:rPr>
        <w:t xml:space="preserve">ר"ן </w:t>
      </w:r>
      <w:r w:rsidRPr="00331055">
        <w:rPr>
          <w:rFonts w:cs="Arial"/>
          <w:sz w:val="16"/>
          <w:szCs w:val="16"/>
          <w:rtl/>
        </w:rPr>
        <w:t>(שו"ת סי' כא-כב)</w:t>
      </w:r>
      <w:r>
        <w:rPr>
          <w:rFonts w:cs="Arial" w:hint="cs"/>
          <w:rtl/>
        </w:rPr>
        <w:t>-</w:t>
      </w:r>
      <w:r w:rsidRPr="00331055">
        <w:rPr>
          <w:rFonts w:cs="Arial"/>
          <w:rtl/>
        </w:rPr>
        <w:t xml:space="preserve"> ש</w:t>
      </w:r>
      <w:r>
        <w:rPr>
          <w:rFonts w:cs="Arial" w:hint="cs"/>
          <w:rtl/>
        </w:rPr>
        <w:t>אלת</w:t>
      </w:r>
      <w:r w:rsidRPr="00331055">
        <w:rPr>
          <w:rFonts w:cs="Arial"/>
          <w:rtl/>
        </w:rPr>
        <w:t xml:space="preserve"> על אשה שבראותה שהכביד החולי על בעלה</w:t>
      </w:r>
      <w:r>
        <w:rPr>
          <w:rFonts w:cs="Arial" w:hint="cs"/>
          <w:rtl/>
        </w:rPr>
        <w:t>,</w:t>
      </w:r>
      <w:r w:rsidRPr="00331055">
        <w:rPr>
          <w:rFonts w:cs="Arial"/>
          <w:rtl/>
        </w:rPr>
        <w:t xml:space="preserve"> בלי שום קטטה ומריבה נדרה הנאה מיבמיה</w:t>
      </w:r>
      <w:r>
        <w:rPr>
          <w:rFonts w:cs="Arial" w:hint="cs"/>
          <w:rtl/>
        </w:rPr>
        <w:t>,</w:t>
      </w:r>
      <w:r w:rsidRPr="00331055">
        <w:rPr>
          <w:rFonts w:cs="Arial"/>
          <w:rtl/>
        </w:rPr>
        <w:t xml:space="preserve"> אם דינה כמורדת</w:t>
      </w:r>
      <w:r>
        <w:rPr>
          <w:rFonts w:cs="Arial" w:hint="cs"/>
          <w:rtl/>
        </w:rPr>
        <w:t>.</w:t>
      </w:r>
      <w:r w:rsidRPr="00331055">
        <w:rPr>
          <w:rFonts w:cs="Arial"/>
          <w:rtl/>
        </w:rPr>
        <w:t xml:space="preserve"> </w:t>
      </w:r>
      <w:r>
        <w:rPr>
          <w:rFonts w:cs="Arial" w:hint="cs"/>
          <w:rtl/>
        </w:rPr>
        <w:t xml:space="preserve">תשובה- </w:t>
      </w:r>
      <w:r w:rsidRPr="00331055">
        <w:rPr>
          <w:rFonts w:cs="Arial"/>
          <w:rtl/>
        </w:rPr>
        <w:t>מחלוקת בין הראשונים אם כותבין אגרת מרד על שומרת יבם והרי"ף והרמב"ם וגדולי האחרונים הסכימו שכותבין וכן ראוי להורות ולדון הלכה למעשה</w:t>
      </w:r>
      <w:r>
        <w:rPr>
          <w:rStyle w:val="a7"/>
          <w:rFonts w:cs="Arial"/>
          <w:rtl/>
        </w:rPr>
        <w:footnoteReference w:id="1344"/>
      </w:r>
      <w:r>
        <w:rPr>
          <w:rFonts w:cs="Arial" w:hint="cs"/>
          <w:rtl/>
        </w:rPr>
        <w:t>.</w:t>
      </w:r>
      <w:r w:rsidRPr="00331055">
        <w:rPr>
          <w:rFonts w:cs="Arial"/>
          <w:rtl/>
        </w:rPr>
        <w:t xml:space="preserve"> ואם כן זו ששנינו בפרק בית שמאי (יבמות קיא:) אם נתכוונה לכך אפילו בחיי בעלה מבקשין ממנו שיחלוץ לה אף לענין שתהא דינה כמורדת איתניא</w:t>
      </w:r>
      <w:r>
        <w:rPr>
          <w:rFonts w:cs="Arial" w:hint="cs"/>
          <w:rtl/>
        </w:rPr>
        <w:t>.</w:t>
      </w:r>
      <w:r w:rsidRPr="00331055">
        <w:rPr>
          <w:rFonts w:cs="Arial"/>
          <w:rtl/>
        </w:rPr>
        <w:t xml:space="preserve"> ובנדון שלפנינו אין ספק שהדבר מוכיח שנתכוונה לכך</w:t>
      </w:r>
      <w:r>
        <w:rPr>
          <w:rFonts w:cs="Arial" w:hint="cs"/>
          <w:rtl/>
        </w:rPr>
        <w:t>,</w:t>
      </w:r>
      <w:r w:rsidRPr="00331055">
        <w:rPr>
          <w:rFonts w:cs="Arial"/>
          <w:rtl/>
        </w:rPr>
        <w:t xml:space="preserve"> וכיון שכן </w:t>
      </w:r>
      <w:r>
        <w:rPr>
          <w:rFonts w:cs="Arial" w:hint="cs"/>
          <w:rtl/>
        </w:rPr>
        <w:t xml:space="preserve">- </w:t>
      </w:r>
      <w:r w:rsidRPr="00331055">
        <w:rPr>
          <w:rFonts w:cs="Arial"/>
          <w:rtl/>
        </w:rPr>
        <w:t>דינה כמורדת והפסידה עיקר כתובה ותוספת ונכסי צאן ברזל שאינם קיימים</w:t>
      </w:r>
      <w:r>
        <w:rPr>
          <w:rFonts w:cs="Arial" w:hint="cs"/>
          <w:rtl/>
        </w:rPr>
        <w:t>,</w:t>
      </w:r>
      <w:r w:rsidRPr="00331055">
        <w:rPr>
          <w:rFonts w:cs="Arial"/>
          <w:rtl/>
        </w:rPr>
        <w:t xml:space="preserve"> ולענין בלאותיה הקיימים אם תפסתן לא הפסידתן לפי שזו כמורדת האומרת מאיס עלי</w:t>
      </w:r>
      <w:r>
        <w:rPr>
          <w:rStyle w:val="a7"/>
          <w:rFonts w:cs="Arial"/>
          <w:rtl/>
        </w:rPr>
        <w:footnoteReference w:id="1345"/>
      </w:r>
      <w:r>
        <w:rPr>
          <w:rFonts w:cs="Arial" w:hint="cs"/>
          <w:rtl/>
        </w:rPr>
        <w:t>.</w:t>
      </w:r>
      <w:r w:rsidRPr="00331055">
        <w:rPr>
          <w:rFonts w:cs="Arial"/>
          <w:rtl/>
        </w:rPr>
        <w:t xml:space="preserve"> ולענין ממון שהניח הבעל ביד שליש לאחריות כתובתה נראה לי שאפילו הוא מממון הנדוניא אין לו דין בלאות הקיימים כלל</w:t>
      </w:r>
      <w:r>
        <w:rPr>
          <w:rFonts w:cs="Arial" w:hint="cs"/>
          <w:rtl/>
        </w:rPr>
        <w:t>,</w:t>
      </w:r>
      <w:r w:rsidRPr="00331055">
        <w:rPr>
          <w:rFonts w:cs="Arial"/>
          <w:rtl/>
        </w:rPr>
        <w:t xml:space="preserve"> שממון הנדוניא אין לו עליו אלא שעבוד בלבד והבעל דוחה אותה ממנו כמו שרוצה ואין כאן משום שבח בית אביה</w:t>
      </w:r>
      <w:r>
        <w:rPr>
          <w:rFonts w:cs="Arial" w:hint="cs"/>
          <w:rtl/>
        </w:rPr>
        <w:t>,</w:t>
      </w:r>
      <w:r w:rsidRPr="00331055">
        <w:rPr>
          <w:rFonts w:cs="Arial"/>
          <w:rtl/>
        </w:rPr>
        <w:t xml:space="preserve"> וכל שכן בנדון שלפנינו שאין מוכיח מעסק האחריות שהיה מממון הנדוניא שאיני מספק שאפילו תפסה יוציאנו מידה</w:t>
      </w:r>
      <w:r>
        <w:rPr>
          <w:rFonts w:cs="Arial" w:hint="cs"/>
          <w:rtl/>
        </w:rPr>
        <w:t>.</w:t>
      </w:r>
    </w:p>
    <w:p w14:paraId="6FC0162F" w14:textId="77777777" w:rsidR="002E5BAD" w:rsidRPr="00BF55D8" w:rsidRDefault="002E5BAD" w:rsidP="002E5BAD">
      <w:pPr>
        <w:rPr>
          <w:rFonts w:cs="Arial"/>
          <w:u w:val="single"/>
        </w:rPr>
      </w:pPr>
      <w:r w:rsidRPr="00BF55D8">
        <w:rPr>
          <w:rFonts w:cs="Arial"/>
          <w:u w:val="single"/>
          <w:rtl/>
        </w:rPr>
        <w:t xml:space="preserve">האומרת מאיס עלי ורוצה אני להתגרש </w:t>
      </w:r>
      <w:r w:rsidRPr="00BF55D8">
        <w:rPr>
          <w:rFonts w:cs="Arial"/>
          <w:b/>
          <w:bCs/>
          <w:u w:val="single"/>
          <w:rtl/>
        </w:rPr>
        <w:t>וליטול כתובה</w:t>
      </w:r>
      <w:r w:rsidRPr="00BF55D8">
        <w:rPr>
          <w:rFonts w:cs="Arial" w:hint="cs"/>
          <w:u w:val="single"/>
          <w:rtl/>
        </w:rPr>
        <w:t>:</w:t>
      </w:r>
    </w:p>
    <w:p w14:paraId="372003A8" w14:textId="77777777" w:rsidR="002E5BAD" w:rsidRDefault="002E5BAD" w:rsidP="002E5BAD">
      <w:pPr>
        <w:pStyle w:val="ab"/>
        <w:numPr>
          <w:ilvl w:val="0"/>
          <w:numId w:val="158"/>
        </w:numPr>
        <w:rPr>
          <w:rFonts w:cs="Arial"/>
        </w:rPr>
      </w:pPr>
      <w:r w:rsidRPr="00BF55D8">
        <w:rPr>
          <w:rFonts w:cs="Arial" w:hint="cs"/>
          <w:rtl/>
        </w:rPr>
        <w:t xml:space="preserve">ר"ן </w:t>
      </w:r>
      <w:r w:rsidRPr="00BF55D8">
        <w:rPr>
          <w:rFonts w:cs="Arial" w:hint="cs"/>
          <w:sz w:val="16"/>
          <w:szCs w:val="16"/>
          <w:rtl/>
        </w:rPr>
        <w:t>(בתשו' סי' יג)</w:t>
      </w:r>
      <w:r w:rsidRPr="00BF55D8">
        <w:rPr>
          <w:rFonts w:cs="Arial" w:hint="cs"/>
          <w:rtl/>
        </w:rPr>
        <w:t xml:space="preserve">- </w:t>
      </w:r>
      <w:r w:rsidRPr="00BF55D8">
        <w:rPr>
          <w:rFonts w:cs="Arial"/>
          <w:rtl/>
        </w:rPr>
        <w:t>ודעו עוד שהאומרת מאיס עלי שדנין אותה על פי המשפטים האלה דוקא באומרת מאיס עלי ואיני רוצה בו ולא בכתובתו</w:t>
      </w:r>
      <w:r>
        <w:rPr>
          <w:rFonts w:cs="Arial" w:hint="cs"/>
          <w:rtl/>
        </w:rPr>
        <w:t>,</w:t>
      </w:r>
      <w:r w:rsidRPr="00BF55D8">
        <w:rPr>
          <w:rFonts w:cs="Arial"/>
          <w:rtl/>
        </w:rPr>
        <w:t xml:space="preserve"> אבל האומרת מאיס עלי ורוצה אני להתגרש וליטול כתובה חוששין שמא עיניה נתנה באחר </w:t>
      </w:r>
      <w:r>
        <w:rPr>
          <w:rFonts w:cs="Arial" w:hint="cs"/>
          <w:rtl/>
        </w:rPr>
        <w:t xml:space="preserve">- </w:t>
      </w:r>
      <w:r w:rsidRPr="00BF55D8">
        <w:rPr>
          <w:rFonts w:cs="Arial"/>
          <w:rtl/>
        </w:rPr>
        <w:t>וחזר דינה לדין המורדת</w:t>
      </w:r>
      <w:r>
        <w:rPr>
          <w:rFonts w:cs="Arial" w:hint="cs"/>
          <w:rtl/>
        </w:rPr>
        <w:t>.</w:t>
      </w:r>
      <w:r w:rsidRPr="00BF55D8">
        <w:rPr>
          <w:rFonts w:cs="Arial"/>
          <w:rtl/>
        </w:rPr>
        <w:t xml:space="preserve"> וכן פירש"י גבי </w:t>
      </w:r>
      <w:r>
        <w:rPr>
          <w:rFonts w:cs="Arial" w:hint="cs"/>
          <w:rtl/>
        </w:rPr>
        <w:t>'</w:t>
      </w:r>
      <w:r w:rsidRPr="00BF55D8">
        <w:rPr>
          <w:rFonts w:cs="Arial"/>
          <w:rtl/>
        </w:rPr>
        <w:t>ה</w:t>
      </w:r>
      <w:r w:rsidRPr="00BF55D8">
        <w:rPr>
          <w:rFonts w:cs="Arial" w:hint="cs"/>
          <w:rtl/>
        </w:rPr>
        <w:t>יכ</w:t>
      </w:r>
      <w:r>
        <w:rPr>
          <w:rFonts w:cs="Arial" w:hint="cs"/>
          <w:rtl/>
        </w:rPr>
        <w:t>י</w:t>
      </w:r>
      <w:r w:rsidRPr="00BF55D8">
        <w:rPr>
          <w:rFonts w:cs="Arial" w:hint="cs"/>
          <w:rtl/>
        </w:rPr>
        <w:t xml:space="preserve"> דמי</w:t>
      </w:r>
      <w:r w:rsidRPr="00BF55D8">
        <w:rPr>
          <w:rFonts w:cs="Arial"/>
          <w:rtl/>
        </w:rPr>
        <w:t xml:space="preserve"> מורדת דאמרה בעינא ליה ומצערנא ליה אמרה מאיס עלי לא כייפינן לה</w:t>
      </w:r>
      <w:r>
        <w:rPr>
          <w:rFonts w:cs="Arial" w:hint="cs"/>
          <w:rtl/>
        </w:rPr>
        <w:t>'</w:t>
      </w:r>
      <w:r w:rsidRPr="00BF55D8">
        <w:rPr>
          <w:rFonts w:cs="Arial"/>
          <w:rtl/>
        </w:rPr>
        <w:t xml:space="preserve"> וכתב רש"י שם ה"ד מורדת דכופין ופוחתין לה מכתובתה דאמרה בעינא ליה ומצערנא ליה שיש לכופה על ידי פחיתת כתובה אבל אמרה מאיס עלי לא הוא ולא כתובתו לא כייפינן לה ע"כ</w:t>
      </w:r>
      <w:r>
        <w:rPr>
          <w:rFonts w:cs="Arial" w:hint="cs"/>
          <w:rtl/>
        </w:rPr>
        <w:t>.</w:t>
      </w:r>
      <w:r w:rsidRPr="00BF55D8">
        <w:rPr>
          <w:rFonts w:cs="Arial"/>
          <w:rtl/>
        </w:rPr>
        <w:t xml:space="preserve"> הא באומרת רוצה אני להתגרש וליטול כתובה </w:t>
      </w:r>
      <w:r>
        <w:rPr>
          <w:rFonts w:cs="Arial" w:hint="cs"/>
          <w:rtl/>
        </w:rPr>
        <w:t xml:space="preserve">- </w:t>
      </w:r>
      <w:r w:rsidRPr="00BF55D8">
        <w:rPr>
          <w:rFonts w:cs="Arial"/>
          <w:rtl/>
        </w:rPr>
        <w:t xml:space="preserve">כופין אותו על ידי פחיתת כתובה כדין המורדת וכן דעת הרשב"א בתשובה. </w:t>
      </w:r>
      <w:r w:rsidRPr="0087405A">
        <w:rPr>
          <w:rFonts w:cs="Arial" w:hint="cs"/>
          <w:color w:val="00B0F0"/>
          <w:rtl/>
        </w:rPr>
        <w:t>(וכ"פ הרמ"א)</w:t>
      </w:r>
    </w:p>
    <w:p w14:paraId="6239242A" w14:textId="77777777" w:rsidR="002E5BAD" w:rsidRPr="009A51F3" w:rsidRDefault="002E5BAD" w:rsidP="002E5BAD">
      <w:pPr>
        <w:rPr>
          <w:rFonts w:cs="Arial"/>
          <w:u w:val="single"/>
        </w:rPr>
      </w:pPr>
      <w:r>
        <w:rPr>
          <w:rFonts w:cs="Arial" w:hint="cs"/>
          <w:u w:val="single"/>
          <w:rtl/>
        </w:rPr>
        <w:t>ארוסה ש</w:t>
      </w:r>
      <w:r w:rsidRPr="009A51F3">
        <w:rPr>
          <w:rFonts w:cs="Arial" w:hint="cs"/>
          <w:u w:val="single"/>
          <w:rtl/>
        </w:rPr>
        <w:t xml:space="preserve">מרדה </w:t>
      </w:r>
      <w:r>
        <w:rPr>
          <w:rFonts w:cs="Arial" w:hint="cs"/>
          <w:u w:val="single"/>
          <w:rtl/>
        </w:rPr>
        <w:t>ו</w:t>
      </w:r>
      <w:r w:rsidRPr="009A51F3">
        <w:rPr>
          <w:rFonts w:cs="Arial" w:hint="cs"/>
          <w:u w:val="single"/>
          <w:rtl/>
        </w:rPr>
        <w:t xml:space="preserve">נשא </w:t>
      </w:r>
      <w:r>
        <w:rPr>
          <w:rFonts w:cs="Arial" w:hint="cs"/>
          <w:u w:val="single"/>
          <w:rtl/>
        </w:rPr>
        <w:t xml:space="preserve">הארוס </w:t>
      </w:r>
      <w:r w:rsidRPr="009A51F3">
        <w:rPr>
          <w:rFonts w:cs="Arial" w:hint="cs"/>
          <w:u w:val="single"/>
          <w:rtl/>
        </w:rPr>
        <w:t xml:space="preserve">אחת אחרת עליה </w:t>
      </w:r>
      <w:r w:rsidRPr="009A51F3">
        <w:rPr>
          <w:rFonts w:cs="Arial"/>
          <w:u w:val="single"/>
          <w:rtl/>
        </w:rPr>
        <w:t>–</w:t>
      </w:r>
      <w:r w:rsidRPr="009A51F3">
        <w:rPr>
          <w:rFonts w:cs="Arial" w:hint="cs"/>
          <w:u w:val="single"/>
          <w:rtl/>
        </w:rPr>
        <w:t xml:space="preserve"> האם כופים אותו להוציא:</w:t>
      </w:r>
      <w:r w:rsidRPr="009A51F3">
        <w:rPr>
          <w:rFonts w:cs="Arial" w:hint="cs"/>
          <w:sz w:val="16"/>
          <w:szCs w:val="16"/>
          <w:rtl/>
        </w:rPr>
        <w:t xml:space="preserve"> </w:t>
      </w:r>
      <w:r>
        <w:rPr>
          <w:rFonts w:cs="Arial" w:hint="cs"/>
          <w:sz w:val="16"/>
          <w:szCs w:val="16"/>
          <w:rtl/>
        </w:rPr>
        <w:t xml:space="preserve"> </w:t>
      </w:r>
      <w:r w:rsidRPr="009A51F3">
        <w:rPr>
          <w:rFonts w:cs="Arial" w:hint="cs"/>
          <w:sz w:val="16"/>
          <w:szCs w:val="16"/>
          <w:rtl/>
        </w:rPr>
        <w:t>(דרכ"מ אות יט)</w:t>
      </w:r>
    </w:p>
    <w:p w14:paraId="452D3AD2" w14:textId="77777777" w:rsidR="002E5BAD" w:rsidRDefault="002E5BAD" w:rsidP="002E5BAD">
      <w:pPr>
        <w:pStyle w:val="ab"/>
        <w:numPr>
          <w:ilvl w:val="0"/>
          <w:numId w:val="158"/>
        </w:numPr>
        <w:rPr>
          <w:rFonts w:cs="Arial"/>
        </w:rPr>
      </w:pPr>
      <w:r w:rsidRPr="00A74C2B">
        <w:rPr>
          <w:rFonts w:cs="Arial"/>
          <w:rtl/>
        </w:rPr>
        <w:t xml:space="preserve">מהרי"ק </w:t>
      </w:r>
      <w:r w:rsidRPr="009A51F3">
        <w:rPr>
          <w:rFonts w:cs="Arial" w:hint="cs"/>
          <w:sz w:val="16"/>
          <w:szCs w:val="16"/>
          <w:rtl/>
        </w:rPr>
        <w:t>(</w:t>
      </w:r>
      <w:r w:rsidRPr="009A51F3">
        <w:rPr>
          <w:rFonts w:cs="Arial"/>
          <w:sz w:val="16"/>
          <w:szCs w:val="16"/>
          <w:rtl/>
        </w:rPr>
        <w:t>שורש כט</w:t>
      </w:r>
      <w:r>
        <w:rPr>
          <w:rFonts w:cs="Arial" w:hint="cs"/>
          <w:sz w:val="16"/>
          <w:szCs w:val="16"/>
          <w:rtl/>
        </w:rPr>
        <w:t>, ועי' בשורש סג</w:t>
      </w:r>
      <w:r w:rsidRPr="009A51F3">
        <w:rPr>
          <w:rFonts w:cs="Arial" w:hint="cs"/>
          <w:sz w:val="16"/>
          <w:szCs w:val="16"/>
          <w:rtl/>
        </w:rPr>
        <w:t>)</w:t>
      </w:r>
      <w:r>
        <w:rPr>
          <w:rFonts w:cs="Arial" w:hint="cs"/>
          <w:rtl/>
        </w:rPr>
        <w:t>-</w:t>
      </w:r>
      <w:r w:rsidRPr="00A74C2B">
        <w:rPr>
          <w:rFonts w:cs="Arial"/>
          <w:rtl/>
        </w:rPr>
        <w:t xml:space="preserve"> היכא דמרדה והוא לקח אשה אחרת אין כופין אותו להוציאה משום חרם ר"ג אלא אמרינן היא עשתה שלא כהוגן וכו'</w:t>
      </w:r>
      <w:r>
        <w:rPr>
          <w:rFonts w:cs="Arial" w:hint="cs"/>
          <w:rtl/>
        </w:rPr>
        <w:t>.</w:t>
      </w:r>
      <w:r w:rsidRPr="00E305A0">
        <w:rPr>
          <w:rFonts w:cs="Arial" w:hint="cs"/>
          <w:color w:val="00B0F0"/>
          <w:rtl/>
        </w:rPr>
        <w:t xml:space="preserve"> </w:t>
      </w:r>
      <w:r w:rsidRPr="0087405A">
        <w:rPr>
          <w:rFonts w:cs="Arial" w:hint="cs"/>
          <w:color w:val="00B0F0"/>
          <w:rtl/>
        </w:rPr>
        <w:t>(וכ"פ הרמ"א)</w:t>
      </w:r>
    </w:p>
    <w:p w14:paraId="733662C7" w14:textId="77777777" w:rsidR="002E5BAD" w:rsidRPr="00CD759E" w:rsidRDefault="002E5BAD" w:rsidP="002E5BAD">
      <w:pPr>
        <w:rPr>
          <w:rFonts w:cs="Arial"/>
          <w:u w:val="single"/>
        </w:rPr>
      </w:pPr>
      <w:r w:rsidRPr="00CD759E">
        <w:rPr>
          <w:rFonts w:cs="Arial" w:hint="cs"/>
          <w:u w:val="single"/>
          <w:rtl/>
        </w:rPr>
        <w:t>אשה ש</w:t>
      </w:r>
      <w:r>
        <w:rPr>
          <w:rFonts w:cs="Arial" w:hint="cs"/>
          <w:u w:val="single"/>
          <w:rtl/>
        </w:rPr>
        <w:t>בעלה ה</w:t>
      </w:r>
      <w:r w:rsidRPr="00CD759E">
        <w:rPr>
          <w:rFonts w:cs="Arial" w:hint="cs"/>
          <w:u w:val="single"/>
          <w:rtl/>
        </w:rPr>
        <w:t>ניח</w:t>
      </w:r>
      <w:r>
        <w:rPr>
          <w:rFonts w:cs="Arial" w:hint="cs"/>
          <w:u w:val="single"/>
          <w:rtl/>
        </w:rPr>
        <w:t xml:space="preserve"> אותה בבית אביו ויצא מן העיר, וחלתה, ולוותה לרפואתה ומזונותיה, ודורשת מבעלה לשלם:</w:t>
      </w:r>
    </w:p>
    <w:p w14:paraId="087859FE" w14:textId="77777777" w:rsidR="002E5BAD" w:rsidRDefault="002E5BAD" w:rsidP="002E5BAD">
      <w:pPr>
        <w:pStyle w:val="ab"/>
        <w:numPr>
          <w:ilvl w:val="0"/>
          <w:numId w:val="158"/>
        </w:numPr>
        <w:rPr>
          <w:rFonts w:cs="Arial"/>
        </w:rPr>
      </w:pPr>
      <w:r w:rsidRPr="00CD759E">
        <w:rPr>
          <w:rFonts w:cs="Arial"/>
          <w:rtl/>
        </w:rPr>
        <w:t xml:space="preserve">רשב"א </w:t>
      </w:r>
      <w:r w:rsidRPr="00CD759E">
        <w:rPr>
          <w:rFonts w:cs="Arial" w:hint="cs"/>
          <w:sz w:val="16"/>
          <w:szCs w:val="16"/>
          <w:rtl/>
        </w:rPr>
        <w:t>(</w:t>
      </w:r>
      <w:r>
        <w:rPr>
          <w:rFonts w:cs="Arial" w:hint="cs"/>
          <w:sz w:val="16"/>
          <w:szCs w:val="16"/>
          <w:rtl/>
        </w:rPr>
        <w:t>בשו"ת החדשות מכת"י סי' קעח-קעט</w:t>
      </w:r>
      <w:r w:rsidRPr="00CD759E">
        <w:rPr>
          <w:rFonts w:cs="Arial" w:hint="cs"/>
          <w:sz w:val="16"/>
          <w:szCs w:val="16"/>
          <w:rtl/>
        </w:rPr>
        <w:t>)</w:t>
      </w:r>
      <w:r>
        <w:rPr>
          <w:rFonts w:cs="Arial" w:hint="cs"/>
          <w:rtl/>
        </w:rPr>
        <w:t>-</w:t>
      </w:r>
      <w:r w:rsidRPr="00CD759E">
        <w:rPr>
          <w:rFonts w:cs="Arial"/>
          <w:rtl/>
        </w:rPr>
        <w:t xml:space="preserve"> אשה שהניח</w:t>
      </w:r>
      <w:r>
        <w:rPr>
          <w:rFonts w:cs="Arial" w:hint="cs"/>
          <w:rtl/>
        </w:rPr>
        <w:t xml:space="preserve"> אותה</w:t>
      </w:r>
      <w:r w:rsidRPr="00CD759E">
        <w:rPr>
          <w:rFonts w:cs="Arial"/>
          <w:rtl/>
        </w:rPr>
        <w:t xml:space="preserve"> בעלה בבית אביו והלך חוץ לעיר</w:t>
      </w:r>
      <w:r>
        <w:rPr>
          <w:rFonts w:cs="Arial" w:hint="cs"/>
          <w:rtl/>
        </w:rPr>
        <w:t>,</w:t>
      </w:r>
      <w:r w:rsidRPr="00CD759E">
        <w:rPr>
          <w:rFonts w:cs="Arial"/>
          <w:rtl/>
        </w:rPr>
        <w:t xml:space="preserve"> וחלתה והלכה לבית אביה ולותה למזונותיה ולרפואתה </w:t>
      </w:r>
      <w:r>
        <w:rPr>
          <w:rFonts w:cs="Arial" w:hint="cs"/>
          <w:rtl/>
        </w:rPr>
        <w:t xml:space="preserve">- </w:t>
      </w:r>
      <w:r w:rsidRPr="00CD759E">
        <w:rPr>
          <w:rFonts w:cs="Arial"/>
          <w:rtl/>
        </w:rPr>
        <w:t>הדין עמה וכל שלותה לצורך מזונותיה ורפואתה בעוד שלא היה בעלה בעיר בודאי חייב הבעל לשלם מה שלותה</w:t>
      </w:r>
      <w:r>
        <w:rPr>
          <w:rFonts w:cs="Arial" w:hint="cs"/>
          <w:rtl/>
        </w:rPr>
        <w:t>,</w:t>
      </w:r>
      <w:r w:rsidRPr="00CD759E">
        <w:rPr>
          <w:rFonts w:cs="Arial"/>
          <w:rtl/>
        </w:rPr>
        <w:t xml:space="preserve"> ואפילו לחנן</w:t>
      </w:r>
      <w:r>
        <w:rPr>
          <w:rFonts w:cs="Arial" w:hint="cs"/>
          <w:rtl/>
        </w:rPr>
        <w:t>.</w:t>
      </w:r>
      <w:r w:rsidRPr="00CD759E">
        <w:rPr>
          <w:rFonts w:cs="Arial"/>
          <w:rtl/>
        </w:rPr>
        <w:t xml:space="preserve"> ואפילו לאחר שבא בעלה אם עדיין חולה ואינה זנה ומפרנסה ועמדה ולותה </w:t>
      </w:r>
      <w:r>
        <w:rPr>
          <w:rFonts w:cs="Arial" w:hint="cs"/>
          <w:rtl/>
        </w:rPr>
        <w:t xml:space="preserve">- </w:t>
      </w:r>
      <w:r w:rsidRPr="00CD759E">
        <w:rPr>
          <w:rFonts w:cs="Arial"/>
          <w:rtl/>
        </w:rPr>
        <w:t>חייב לפרוע מה שלותה בין למזונותיה בין לרפואתה הדומה למזונות דהיינו שאין לה קצבה</w:t>
      </w:r>
      <w:r>
        <w:rPr>
          <w:rFonts w:cs="Arial" w:hint="cs"/>
          <w:rtl/>
        </w:rPr>
        <w:t>.</w:t>
      </w:r>
      <w:r w:rsidRPr="00CD759E">
        <w:rPr>
          <w:rFonts w:cs="Arial"/>
          <w:rtl/>
        </w:rPr>
        <w:t xml:space="preserve"> ומה שטען שהוא לא שלחה מביתו</w:t>
      </w:r>
      <w:r>
        <w:rPr>
          <w:rFonts w:cs="Arial" w:hint="cs"/>
          <w:rtl/>
        </w:rPr>
        <w:t>,</w:t>
      </w:r>
      <w:r w:rsidRPr="00CD759E">
        <w:rPr>
          <w:rFonts w:cs="Arial"/>
          <w:rtl/>
        </w:rPr>
        <w:t xml:space="preserve"> אינה טענה</w:t>
      </w:r>
      <w:r>
        <w:rPr>
          <w:rFonts w:cs="Arial" w:hint="cs"/>
          <w:rtl/>
        </w:rPr>
        <w:t>,</w:t>
      </w:r>
      <w:r w:rsidRPr="00CD759E">
        <w:rPr>
          <w:rFonts w:cs="Arial"/>
          <w:rtl/>
        </w:rPr>
        <w:t xml:space="preserve"> שהרי הוצרכה לצאת אצל אביה שמשתדל ברפואתה</w:t>
      </w:r>
      <w:r>
        <w:rPr>
          <w:rFonts w:cs="Arial" w:hint="cs"/>
          <w:rtl/>
        </w:rPr>
        <w:t>.</w:t>
      </w:r>
      <w:r w:rsidRPr="00CD759E">
        <w:rPr>
          <w:rFonts w:cs="Arial"/>
          <w:rtl/>
        </w:rPr>
        <w:t xml:space="preserve"> ואפילו היה חמיה משתדל ברפאותה</w:t>
      </w:r>
      <w:r>
        <w:rPr>
          <w:rFonts w:cs="Arial" w:hint="cs"/>
          <w:rtl/>
        </w:rPr>
        <w:t>,</w:t>
      </w:r>
      <w:r w:rsidRPr="00CD759E">
        <w:rPr>
          <w:rFonts w:cs="Arial"/>
          <w:rtl/>
        </w:rPr>
        <w:t xml:space="preserve"> מה הנאה יש לראובן בין עומדת כאן בין עומדת כאן והיא אינה מורדת</w:t>
      </w:r>
      <w:r>
        <w:rPr>
          <w:rFonts w:cs="Arial" w:hint="cs"/>
          <w:rtl/>
        </w:rPr>
        <w:t>.</w:t>
      </w:r>
      <w:r w:rsidRPr="00CD759E">
        <w:rPr>
          <w:rFonts w:cs="Arial"/>
          <w:rtl/>
        </w:rPr>
        <w:t xml:space="preserve"> ואי משום מלאכה</w:t>
      </w:r>
      <w:r>
        <w:rPr>
          <w:rFonts w:cs="Arial" w:hint="cs"/>
          <w:rtl/>
        </w:rPr>
        <w:t>,</w:t>
      </w:r>
      <w:r w:rsidRPr="00CD759E">
        <w:rPr>
          <w:rFonts w:cs="Arial"/>
          <w:rtl/>
        </w:rPr>
        <w:t xml:space="preserve"> חולה לאו בת מלאכה היא</w:t>
      </w:r>
      <w:r>
        <w:rPr>
          <w:rFonts w:cs="Arial" w:hint="cs"/>
          <w:rtl/>
        </w:rPr>
        <w:t>.</w:t>
      </w:r>
      <w:r w:rsidRPr="00CD759E">
        <w:rPr>
          <w:rFonts w:cs="Arial"/>
          <w:rtl/>
        </w:rPr>
        <w:t xml:space="preserve"> אבל אם לאחר שבא ראובן ונתרפאת אף על פי שאינה מורדת מתשמיש אם אינה רוצה לשוב לו ולעשות לו דברים שהיא חייבת לעשות לבעלה</w:t>
      </w:r>
      <w:r>
        <w:rPr>
          <w:rFonts w:cs="Arial" w:hint="cs"/>
          <w:rtl/>
        </w:rPr>
        <w:t>,</w:t>
      </w:r>
      <w:r w:rsidRPr="00CD759E">
        <w:rPr>
          <w:rFonts w:cs="Arial"/>
          <w:rtl/>
        </w:rPr>
        <w:t xml:space="preserve"> ולפי מה שהיא אשה כי יש נשים שמכניסות לבעל שפחות ויש שאינן מכניסות וכפי מה שיש לו עליה מהמלאכות הקטנות כעושה מטתו ומרחצת פניו ידיו ורגליו</w:t>
      </w:r>
      <w:r>
        <w:rPr>
          <w:rFonts w:cs="Arial" w:hint="cs"/>
          <w:rtl/>
        </w:rPr>
        <w:t>,</w:t>
      </w:r>
      <w:r w:rsidRPr="00CD759E">
        <w:rPr>
          <w:rFonts w:cs="Arial"/>
          <w:rtl/>
        </w:rPr>
        <w:t xml:space="preserve"> מעכב מהמזונות כנגד שכר מי שישמשנו באותן מלאכות או שוכר עליה ממקום אחר</w:t>
      </w:r>
      <w:r>
        <w:rPr>
          <w:rFonts w:cs="Arial" w:hint="cs"/>
          <w:rtl/>
        </w:rPr>
        <w:t>,</w:t>
      </w:r>
      <w:r w:rsidRPr="00CD759E">
        <w:rPr>
          <w:rFonts w:cs="Arial"/>
          <w:rtl/>
        </w:rPr>
        <w:t xml:space="preserve"> הא יתר מכאן לא</w:t>
      </w:r>
      <w:r>
        <w:rPr>
          <w:rFonts w:cs="Arial" w:hint="cs"/>
          <w:rtl/>
        </w:rPr>
        <w:t>.</w:t>
      </w:r>
      <w:r w:rsidRPr="00CD759E">
        <w:rPr>
          <w:rFonts w:cs="Arial"/>
          <w:rtl/>
        </w:rPr>
        <w:t xml:space="preserve"> ואף על גב דקיימא לן כמאן דאמר מורדת מתשמיש ולא ממלאכה היינו דלא קנסינן בטרפעיקין</w:t>
      </w:r>
      <w:r>
        <w:rPr>
          <w:rFonts w:cs="Arial" w:hint="cs"/>
          <w:rtl/>
        </w:rPr>
        <w:t>,</w:t>
      </w:r>
      <w:r w:rsidRPr="00CD759E">
        <w:rPr>
          <w:rFonts w:cs="Arial"/>
          <w:rtl/>
        </w:rPr>
        <w:t xml:space="preserve"> אבל מסתברא שאם ירצה שוכר עליה מי שישמשנו</w:t>
      </w:r>
      <w:r>
        <w:rPr>
          <w:rFonts w:cs="Arial" w:hint="cs"/>
          <w:rtl/>
        </w:rPr>
        <w:t>.</w:t>
      </w:r>
      <w:r w:rsidRPr="00CD759E">
        <w:rPr>
          <w:rFonts w:cs="Arial"/>
          <w:rtl/>
        </w:rPr>
        <w:t xml:space="preserve"> ואף על פי שראיתי לראשונים ז"ל שאמרו שאין קונסין אותה בממון אלא שמשמתין אותה</w:t>
      </w:r>
      <w:r>
        <w:rPr>
          <w:rFonts w:cs="Arial" w:hint="cs"/>
          <w:rtl/>
        </w:rPr>
        <w:t>,</w:t>
      </w:r>
      <w:r w:rsidRPr="00CD759E">
        <w:rPr>
          <w:rFonts w:cs="Arial"/>
          <w:rtl/>
        </w:rPr>
        <w:t xml:space="preserve"> נראה בעיני שלא אמרו אלא שאין קונסין אותה בקנס השנוי במורדת אלא אם רצה לשכור מי שישמשנו עושה ואם אינו רוצה לשכור מנדין אותה עד שתשוב</w:t>
      </w:r>
      <w:r>
        <w:rPr>
          <w:rFonts w:cs="Arial" w:hint="cs"/>
          <w:rtl/>
        </w:rPr>
        <w:t>.</w:t>
      </w:r>
      <w:r w:rsidRPr="00CD759E">
        <w:rPr>
          <w:rFonts w:cs="Arial"/>
          <w:rtl/>
        </w:rPr>
        <w:t xml:space="preserve"> ואם אינה רוצה לעשות וליתן לבעלה מעשה ידיה אין לה מזונות</w:t>
      </w:r>
      <w:r>
        <w:rPr>
          <w:rFonts w:cs="Arial" w:hint="cs"/>
          <w:rtl/>
        </w:rPr>
        <w:t>,</w:t>
      </w:r>
      <w:r w:rsidRPr="00CD759E">
        <w:rPr>
          <w:rFonts w:cs="Arial"/>
          <w:rtl/>
        </w:rPr>
        <w:t xml:space="preserve"> ואף על פי שהמזונות עיקר כבר תקנו לבעל מעשה ידיה תחת מזונות</w:t>
      </w:r>
      <w:r>
        <w:rPr>
          <w:rFonts w:cs="Arial" w:hint="cs"/>
          <w:rtl/>
        </w:rPr>
        <w:t>.</w:t>
      </w:r>
      <w:r w:rsidRPr="00CD759E">
        <w:rPr>
          <w:rFonts w:cs="Arial"/>
          <w:rtl/>
        </w:rPr>
        <w:t xml:space="preserve"> ואם היא אינה רוצה לעשות תפסיד מזונות</w:t>
      </w:r>
      <w:r>
        <w:rPr>
          <w:rFonts w:cs="Arial" w:hint="cs"/>
          <w:rtl/>
        </w:rPr>
        <w:t>,</w:t>
      </w:r>
      <w:r w:rsidRPr="00CD759E">
        <w:rPr>
          <w:rFonts w:cs="Arial"/>
          <w:rtl/>
        </w:rPr>
        <w:t xml:space="preserve"> שאין לך נזונת ואומרת איני </w:t>
      </w:r>
      <w:r w:rsidRPr="00CD759E">
        <w:rPr>
          <w:rFonts w:cs="Arial"/>
          <w:rtl/>
        </w:rPr>
        <w:lastRenderedPageBreak/>
        <w:t>עושה</w:t>
      </w:r>
      <w:r>
        <w:rPr>
          <w:rFonts w:cs="Arial" w:hint="cs"/>
          <w:rtl/>
        </w:rPr>
        <w:t>.</w:t>
      </w:r>
      <w:r w:rsidRPr="00CD759E">
        <w:rPr>
          <w:rFonts w:cs="Arial"/>
          <w:rtl/>
        </w:rPr>
        <w:t xml:space="preserve"> ואפילו עושה ואינה משמשת באותן מלאכות קטנות השנויות במשנתינו (נט:) והוא צריך לשכור מי שישמשנו בהם</w:t>
      </w:r>
      <w:r>
        <w:rPr>
          <w:rFonts w:cs="Arial" w:hint="cs"/>
          <w:rtl/>
        </w:rPr>
        <w:t>,</w:t>
      </w:r>
      <w:r w:rsidRPr="00CD759E">
        <w:rPr>
          <w:rFonts w:cs="Arial"/>
          <w:rtl/>
        </w:rPr>
        <w:t xml:space="preserve"> שוכר עליה כמו שאמר</w:t>
      </w:r>
      <w:r>
        <w:rPr>
          <w:rFonts w:cs="Arial" w:hint="cs"/>
          <w:rtl/>
        </w:rPr>
        <w:t>,</w:t>
      </w:r>
      <w:r w:rsidRPr="00CD759E">
        <w:rPr>
          <w:rFonts w:cs="Arial"/>
          <w:rtl/>
        </w:rPr>
        <w:t xml:space="preserve"> אבל תפסיד מזונותיה לא. ולפי שלא נתבאר לי מלשון השאלה מה שהיא טוענת שתשוב לבית בעלה אם יביאה אל ביתו ויפרע מה שלותה</w:t>
      </w:r>
      <w:r>
        <w:rPr>
          <w:rFonts w:cs="Arial" w:hint="cs"/>
          <w:rtl/>
        </w:rPr>
        <w:t>,</w:t>
      </w:r>
      <w:r w:rsidRPr="00CD759E">
        <w:rPr>
          <w:rFonts w:cs="Arial"/>
          <w:rtl/>
        </w:rPr>
        <w:t xml:space="preserve"> ונסתפקתי אם היא מתעכבת בלבד מחמת שהוא אינו קורא לה</w:t>
      </w:r>
      <w:r>
        <w:rPr>
          <w:rFonts w:cs="Arial" w:hint="cs"/>
          <w:rtl/>
        </w:rPr>
        <w:t>,</w:t>
      </w:r>
      <w:r w:rsidRPr="00CD759E">
        <w:rPr>
          <w:rFonts w:cs="Arial"/>
          <w:rtl/>
        </w:rPr>
        <w:t xml:space="preserve"> או שאינה רוצה לשוב אליו עד שיפרע מה שלותה ואחר כך יביאנה ואז תשוב אליו. על כן אני אומר שאם מחמת שהוא אינו רוצה להביאה ולקרוא לה</w:t>
      </w:r>
      <w:r>
        <w:rPr>
          <w:rFonts w:cs="Arial" w:hint="cs"/>
          <w:rtl/>
        </w:rPr>
        <w:t>,</w:t>
      </w:r>
      <w:r w:rsidRPr="00CD759E">
        <w:rPr>
          <w:rFonts w:cs="Arial"/>
          <w:rtl/>
        </w:rPr>
        <w:t xml:space="preserve">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w:t>
      </w:r>
      <w:r>
        <w:rPr>
          <w:rFonts w:cs="Arial" w:hint="cs"/>
          <w:rtl/>
        </w:rPr>
        <w:t>.</w:t>
      </w:r>
      <w:r w:rsidRPr="00CD759E">
        <w:rPr>
          <w:rFonts w:cs="Arial"/>
          <w:rtl/>
        </w:rPr>
        <w:t xml:space="preserve"> ועוד שאם יבוא הוא אצלה אינה מונעתו מכלום</w:t>
      </w:r>
      <w:r>
        <w:rPr>
          <w:rFonts w:cs="Arial" w:hint="cs"/>
          <w:rtl/>
        </w:rPr>
        <w:t>.</w:t>
      </w:r>
      <w:r w:rsidRPr="00CD759E">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 וכל זה שאבדה מזונות במרדה זהו לדעת הר"מ ז"ל והרי"ף ז"ל אבל מעיקר הגמרא אינו נראה כן שלא נראה כן בגמרא בשום מקום ואין במורדת אלא פחת כתובה בלבד ומזונות ומעשה ידיה שהם זה כנגד זה שאם אמרה איני עושה אינה נזונת ומדרבנן. ומכל מקום הטענה שתלה עצמו עליה מי שאומר שהדין עמה שכל שלא הפסידה כתובה לא הפסידה מזונות וכדמשמע בפרק יש מותרות </w:t>
      </w:r>
      <w:r>
        <w:rPr>
          <w:rFonts w:cs="Arial" w:hint="cs"/>
          <w:rtl/>
        </w:rPr>
        <w:t xml:space="preserve">- </w:t>
      </w:r>
      <w:r w:rsidRPr="00CD759E">
        <w:rPr>
          <w:rFonts w:cs="Arial"/>
          <w:rtl/>
        </w:rPr>
        <w:t>לא דק</w:t>
      </w:r>
      <w:r>
        <w:rPr>
          <w:rFonts w:cs="Arial" w:hint="cs"/>
          <w:rtl/>
        </w:rPr>
        <w:t>,</w:t>
      </w:r>
      <w:r w:rsidRPr="00CD759E">
        <w:rPr>
          <w:rFonts w:cs="Arial"/>
          <w:rtl/>
        </w:rPr>
        <w:t xml:space="preserve"> דלא אמרו שם אלא בפסולות אבל בכשרות יש אומרת איני נזונת ואיני עושה שיש לה כתובה ואין לה מזונות ומוחלת כתובה לבעלה שיש לה מזונות בחייו ואין לה כתובה עד שיחזור ויכתוב לה. ולענין מה שאמרת אם צריכה להראות כתובתה לפני בית דין כשתובעת מזונות אלו מבעלה מסתברא שאינה צריכה להראות שהרי יושבת תחת בעלה וחזקה של זו שיש לה כתובה ומזונות עד שיטעון הבעל בריא שמכרה או מחלה לו כתובתה ולא עוד אלא אפילו מכרה או מחלה כתובתה לבעלה יש לה מזונות בחייו דעד כאן לא אמרו (נג.) המוחלת כתובתה לבעלה אין לה מזונות אלא מזונות שלאחר מיתה ומן היתומים לפי שהם מתנאי כתובה אבל מן הבעל אית לה שאין מזונות אלו מתנאי כתובה אלא מדאורייתא</w:t>
      </w:r>
      <w:r>
        <w:rPr>
          <w:rFonts w:cs="Arial" w:hint="cs"/>
          <w:rtl/>
        </w:rPr>
        <w:t>,</w:t>
      </w:r>
      <w:r w:rsidRPr="00CD759E">
        <w:rPr>
          <w:rFonts w:cs="Arial"/>
          <w:rtl/>
        </w:rPr>
        <w:t xml:space="preserve"> ואף רש"י כן פירש (נג. ד"ה אין)</w:t>
      </w:r>
      <w:r>
        <w:rPr>
          <w:rFonts w:cs="Arial" w:hint="cs"/>
          <w:rtl/>
        </w:rPr>
        <w:t>,</w:t>
      </w:r>
      <w:r w:rsidRPr="00CD759E">
        <w:rPr>
          <w:rFonts w:cs="Arial"/>
          <w:rtl/>
        </w:rPr>
        <w:t xml:space="preserve"> לפיכך עד שיביא הבעל ראיה שמחלה לו המזונות בפירוש חייב ואפילו במזונות שעברו אם לא טען בבריא אין טוענין לו ואפילו טען הוא חייב שבועת היסת דלא גרע ממלוה על פה וכופר בכל דמחייב מדרב נחמן (שבועות מ:) וכל שכן במזונות העתידין שאינו נאמן עד שיביא ראיה והיינו נמי טעמיה דרב דאמר בפרק שני דייני גזירות (קז.) פוסקין מזונות לאשת איש משום דאפילו אתי בעל ואמר התפסתיה צררי למזונות העתידים אינו נאמן דאם כן אין לך אשה נזונת משל בעלה ולא מן היתומים ואף הרי"ף כתב כן בתשובה שהבעל שאמר לאשה התפסתיך צררי אי נמי את מחלת לי מזוני אינו נאמן והיא נאמנת בלא שבועה</w:t>
      </w:r>
      <w:r>
        <w:rPr>
          <w:rStyle w:val="a7"/>
          <w:rFonts w:cs="Arial"/>
          <w:rtl/>
        </w:rPr>
        <w:footnoteReference w:id="1346"/>
      </w:r>
      <w:r>
        <w:rPr>
          <w:rFonts w:cs="Arial" w:hint="cs"/>
          <w:rtl/>
        </w:rPr>
        <w:t>.</w:t>
      </w:r>
      <w:r w:rsidRPr="00CD759E">
        <w:rPr>
          <w:rFonts w:cs="Arial"/>
          <w:rtl/>
        </w:rPr>
        <w:t xml:space="preserve"> </w:t>
      </w:r>
    </w:p>
    <w:p w14:paraId="0C2115C1" w14:textId="77777777" w:rsidR="002E5BAD" w:rsidRPr="006F6BB1" w:rsidRDefault="002E5BAD" w:rsidP="002E5BAD">
      <w:pPr>
        <w:rPr>
          <w:rFonts w:cs="Arial"/>
          <w:u w:val="single"/>
        </w:rPr>
      </w:pPr>
      <w:r w:rsidRPr="006F6BB1">
        <w:rPr>
          <w:rFonts w:cs="Arial" w:hint="cs"/>
          <w:u w:val="single"/>
          <w:rtl/>
        </w:rPr>
        <w:t>אשה שמרדה בבעלה וחלתה אח"כ:</w:t>
      </w:r>
    </w:p>
    <w:p w14:paraId="6C4C5498" w14:textId="77777777" w:rsidR="002E5BAD" w:rsidRDefault="002E5BAD" w:rsidP="002E5BAD">
      <w:pPr>
        <w:pStyle w:val="ab"/>
        <w:numPr>
          <w:ilvl w:val="0"/>
          <w:numId w:val="158"/>
        </w:numPr>
        <w:rPr>
          <w:rFonts w:cs="Arial"/>
        </w:rPr>
      </w:pPr>
      <w:r w:rsidRPr="006F6BB1">
        <w:rPr>
          <w:rFonts w:cs="Arial"/>
          <w:rtl/>
        </w:rPr>
        <w:t>מרדכי</w:t>
      </w:r>
      <w:r w:rsidRPr="006F6BB1">
        <w:rPr>
          <w:rFonts w:cs="Arial"/>
          <w:sz w:val="16"/>
          <w:szCs w:val="16"/>
          <w:rtl/>
        </w:rPr>
        <w:t xml:space="preserve"> </w:t>
      </w:r>
      <w:r w:rsidRPr="006F6BB1">
        <w:rPr>
          <w:rFonts w:cs="Arial" w:hint="cs"/>
          <w:sz w:val="16"/>
          <w:szCs w:val="16"/>
          <w:rtl/>
        </w:rPr>
        <w:t>(</w:t>
      </w:r>
      <w:r w:rsidRPr="006F6BB1">
        <w:rPr>
          <w:rFonts w:cs="Arial"/>
          <w:sz w:val="16"/>
          <w:szCs w:val="16"/>
          <w:rtl/>
        </w:rPr>
        <w:t>פ</w:t>
      </w:r>
      <w:r w:rsidRPr="006F6BB1">
        <w:rPr>
          <w:rFonts w:cs="Arial" w:hint="cs"/>
          <w:sz w:val="16"/>
          <w:szCs w:val="16"/>
          <w:rtl/>
        </w:rPr>
        <w:t>'</w:t>
      </w:r>
      <w:r w:rsidRPr="006F6BB1">
        <w:rPr>
          <w:rFonts w:cs="Arial"/>
          <w:sz w:val="16"/>
          <w:szCs w:val="16"/>
          <w:rtl/>
        </w:rPr>
        <w:t xml:space="preserve"> אף על פי סי' קפד)</w:t>
      </w:r>
      <w:r w:rsidRPr="006F6BB1">
        <w:rPr>
          <w:rFonts w:cs="Arial"/>
          <w:rtl/>
        </w:rPr>
        <w:t xml:space="preserve"> </w:t>
      </w:r>
      <w:r w:rsidRPr="006F6BB1">
        <w:rPr>
          <w:rFonts w:cs="Arial" w:hint="cs"/>
          <w:rtl/>
        </w:rPr>
        <w:t>בשם</w:t>
      </w:r>
      <w:r w:rsidRPr="006F6BB1">
        <w:rPr>
          <w:rFonts w:cs="Arial"/>
          <w:rtl/>
        </w:rPr>
        <w:t xml:space="preserve"> ראבי"ה</w:t>
      </w:r>
      <w:r w:rsidRPr="006F6BB1">
        <w:rPr>
          <w:rFonts w:cs="Arial" w:hint="cs"/>
          <w:rtl/>
        </w:rPr>
        <w:t>-</w:t>
      </w:r>
      <w:r w:rsidRPr="006F6BB1">
        <w:rPr>
          <w:rFonts w:cs="Arial"/>
          <w:rtl/>
        </w:rPr>
        <w:t xml:space="preserve"> אשה המורדת על בעלה ושוב חלתה אף על פי שמאותו חולי אינה שוה לבעלה אפילו הכי איבדה מזונותיה וראיה מירושלמי דקידושין (פ"א ה"ב ו.) דפסק דגבי עבד עברי דברח ואחר כך חלה מדמה ליה התם למורדת. </w:t>
      </w:r>
    </w:p>
    <w:p w14:paraId="47562FFF" w14:textId="77777777" w:rsidR="002E5BAD" w:rsidRPr="006F6BB1" w:rsidRDefault="002E5BAD" w:rsidP="002E5BAD">
      <w:pPr>
        <w:rPr>
          <w:rFonts w:cs="Arial"/>
          <w:u w:val="single"/>
        </w:rPr>
      </w:pPr>
      <w:r w:rsidRPr="006F6BB1">
        <w:rPr>
          <w:rFonts w:cs="Arial" w:hint="cs"/>
          <w:u w:val="single"/>
          <w:rtl/>
        </w:rPr>
        <w:t xml:space="preserve">מי שהתרצה להנשא לחולה </w:t>
      </w:r>
      <w:r w:rsidRPr="006F6BB1">
        <w:rPr>
          <w:rFonts w:cs="Arial"/>
          <w:u w:val="single"/>
          <w:rtl/>
        </w:rPr>
        <w:t>–</w:t>
      </w:r>
      <w:r w:rsidRPr="006F6BB1">
        <w:rPr>
          <w:rFonts w:cs="Arial" w:hint="cs"/>
          <w:u w:val="single"/>
          <w:rtl/>
        </w:rPr>
        <w:t xml:space="preserve"> ואינה רוצה לטבול מחמת חוליה:</w:t>
      </w:r>
    </w:p>
    <w:p w14:paraId="507C2F50" w14:textId="77777777" w:rsidR="002E5BAD" w:rsidRDefault="002E5BAD" w:rsidP="002E5BAD">
      <w:pPr>
        <w:pStyle w:val="ab"/>
        <w:numPr>
          <w:ilvl w:val="0"/>
          <w:numId w:val="158"/>
        </w:numPr>
        <w:rPr>
          <w:rFonts w:cs="Arial"/>
        </w:rPr>
      </w:pPr>
      <w:r w:rsidRPr="006F6BB1">
        <w:rPr>
          <w:rFonts w:cs="Arial"/>
          <w:rtl/>
        </w:rPr>
        <w:t>מרדכי</w:t>
      </w:r>
      <w:r w:rsidRPr="006F6BB1">
        <w:rPr>
          <w:rFonts w:cs="Arial"/>
          <w:sz w:val="16"/>
          <w:szCs w:val="16"/>
          <w:rtl/>
        </w:rPr>
        <w:t xml:space="preserve"> </w:t>
      </w:r>
      <w:r w:rsidRPr="006F6BB1">
        <w:rPr>
          <w:rFonts w:cs="Arial" w:hint="cs"/>
          <w:sz w:val="16"/>
          <w:szCs w:val="16"/>
          <w:rtl/>
        </w:rPr>
        <w:t>(</w:t>
      </w:r>
      <w:r w:rsidRPr="006F6BB1">
        <w:rPr>
          <w:rFonts w:cs="Arial"/>
          <w:sz w:val="16"/>
          <w:szCs w:val="16"/>
          <w:rtl/>
        </w:rPr>
        <w:t>פ</w:t>
      </w:r>
      <w:r w:rsidRPr="006F6BB1">
        <w:rPr>
          <w:rFonts w:cs="Arial" w:hint="cs"/>
          <w:sz w:val="16"/>
          <w:szCs w:val="16"/>
          <w:rtl/>
        </w:rPr>
        <w:t>'</w:t>
      </w:r>
      <w:r w:rsidRPr="006F6BB1">
        <w:rPr>
          <w:rFonts w:cs="Arial"/>
          <w:sz w:val="16"/>
          <w:szCs w:val="16"/>
          <w:rtl/>
        </w:rPr>
        <w:t xml:space="preserve"> אף על פי סי' קפד)</w:t>
      </w:r>
      <w:r w:rsidRPr="006F6BB1">
        <w:rPr>
          <w:rFonts w:cs="Arial"/>
          <w:rtl/>
        </w:rPr>
        <w:t xml:space="preserve"> </w:t>
      </w:r>
      <w:r w:rsidRPr="006F6BB1">
        <w:rPr>
          <w:rFonts w:cs="Arial" w:hint="cs"/>
          <w:rtl/>
        </w:rPr>
        <w:t>בשם</w:t>
      </w:r>
      <w:r w:rsidRPr="006F6BB1">
        <w:rPr>
          <w:rFonts w:cs="Arial"/>
          <w:rtl/>
        </w:rPr>
        <w:t xml:space="preserve"> </w:t>
      </w:r>
      <w:r w:rsidRPr="006F6BB1">
        <w:rPr>
          <w:rFonts w:cs="Arial" w:hint="cs"/>
          <w:rtl/>
        </w:rPr>
        <w:t>מהר"ם-</w:t>
      </w:r>
      <w:r w:rsidRPr="006F6BB1">
        <w:rPr>
          <w:rFonts w:cs="Arial"/>
          <w:rtl/>
        </w:rPr>
        <w:t xml:space="preserve"> </w:t>
      </w:r>
      <w:r w:rsidRPr="006F6BB1">
        <w:rPr>
          <w:rFonts w:cs="Arial" w:hint="cs"/>
          <w:rtl/>
        </w:rPr>
        <w:t xml:space="preserve">על </w:t>
      </w:r>
      <w:r w:rsidRPr="006F6BB1">
        <w:rPr>
          <w:rFonts w:cs="Arial"/>
          <w:rtl/>
        </w:rPr>
        <w:t>ראובן שאמר לחמיו תן לי זוגתי אם חולה היא אף על פי כן יש לה לטבול ואם אינה רוצה לטבול ולשמש הויא מורדת</w:t>
      </w:r>
      <w:r w:rsidRPr="006F6BB1">
        <w:rPr>
          <w:rFonts w:cs="Arial" w:hint="cs"/>
          <w:rtl/>
        </w:rPr>
        <w:t>.</w:t>
      </w:r>
    </w:p>
    <w:p w14:paraId="472FFC8F" w14:textId="77777777" w:rsidR="002E5BAD" w:rsidRPr="007D5147" w:rsidRDefault="002E5BAD" w:rsidP="002E5BAD">
      <w:r w:rsidRPr="00164B97">
        <w:rPr>
          <w:rFonts w:cs="Arial" w:hint="cs"/>
          <w:u w:val="single"/>
          <w:rtl/>
        </w:rPr>
        <w:t>איש שקידש את אשתו ברמאות והיא</w:t>
      </w:r>
      <w:r>
        <w:rPr>
          <w:rFonts w:cs="Arial" w:hint="cs"/>
          <w:u w:val="single"/>
          <w:rtl/>
        </w:rPr>
        <w:t xml:space="preserve"> אינה חפצה בו ולכן </w:t>
      </w:r>
      <w:r w:rsidRPr="00164B97">
        <w:rPr>
          <w:rFonts w:cs="Arial" w:hint="cs"/>
          <w:u w:val="single"/>
          <w:rtl/>
        </w:rPr>
        <w:t>מורדת</w:t>
      </w:r>
      <w:r>
        <w:rPr>
          <w:rFonts w:cs="Arial" w:hint="cs"/>
          <w:u w:val="single"/>
          <w:rtl/>
        </w:rPr>
        <w:t xml:space="preserve"> מתשמיש</w:t>
      </w:r>
      <w:r w:rsidRPr="00164B97">
        <w:rPr>
          <w:rFonts w:cs="Arial" w:hint="cs"/>
          <w:u w:val="single"/>
          <w:rtl/>
        </w:rPr>
        <w:t>:</w:t>
      </w:r>
      <w:r>
        <w:rPr>
          <w:rFonts w:cs="Arial" w:hint="cs"/>
          <w:rtl/>
        </w:rPr>
        <w:t xml:space="preserve">  </w:t>
      </w:r>
      <w:r w:rsidRPr="00164B97">
        <w:rPr>
          <w:rFonts w:cs="Arial" w:hint="cs"/>
          <w:sz w:val="16"/>
          <w:szCs w:val="16"/>
          <w:rtl/>
        </w:rPr>
        <w:t xml:space="preserve">(דרכ"מ אות </w:t>
      </w:r>
      <w:r w:rsidRPr="00164B97">
        <w:rPr>
          <w:rFonts w:cs="Arial"/>
          <w:sz w:val="16"/>
          <w:szCs w:val="16"/>
          <w:rtl/>
        </w:rPr>
        <w:t xml:space="preserve">יב) </w:t>
      </w:r>
    </w:p>
    <w:p w14:paraId="16F8D464" w14:textId="77777777" w:rsidR="002E5BAD" w:rsidRPr="007D5147" w:rsidRDefault="002E5BAD" w:rsidP="002E5BAD">
      <w:pPr>
        <w:pStyle w:val="ab"/>
        <w:numPr>
          <w:ilvl w:val="0"/>
          <w:numId w:val="158"/>
        </w:numPr>
      </w:pPr>
      <w:r w:rsidRPr="00A74C2B">
        <w:rPr>
          <w:rFonts w:cs="Arial"/>
          <w:rtl/>
        </w:rPr>
        <w:t xml:space="preserve">רא"ש </w:t>
      </w:r>
      <w:r w:rsidRPr="00164B97">
        <w:rPr>
          <w:rFonts w:cs="Arial" w:hint="cs"/>
          <w:sz w:val="16"/>
          <w:szCs w:val="16"/>
          <w:rtl/>
        </w:rPr>
        <w:t>(</w:t>
      </w:r>
      <w:r w:rsidRPr="00164B97">
        <w:rPr>
          <w:rFonts w:cs="Arial"/>
          <w:sz w:val="16"/>
          <w:szCs w:val="16"/>
          <w:rtl/>
        </w:rPr>
        <w:t>כלל לה ס</w:t>
      </w:r>
      <w:r w:rsidRPr="00164B97">
        <w:rPr>
          <w:rFonts w:cs="Arial" w:hint="cs"/>
          <w:sz w:val="16"/>
          <w:szCs w:val="16"/>
          <w:rtl/>
        </w:rPr>
        <w:t>"ס א)</w:t>
      </w:r>
      <w:r w:rsidRPr="00164B97">
        <w:rPr>
          <w:rFonts w:cs="Arial"/>
          <w:sz w:val="16"/>
          <w:szCs w:val="16"/>
          <w:rtl/>
        </w:rPr>
        <w:t xml:space="preserve"> </w:t>
      </w:r>
      <w:r>
        <w:rPr>
          <w:rFonts w:cs="Arial" w:hint="cs"/>
          <w:rtl/>
        </w:rPr>
        <w:t>ו</w:t>
      </w:r>
      <w:r w:rsidRPr="00A74C2B">
        <w:rPr>
          <w:rFonts w:cs="Arial"/>
          <w:rtl/>
        </w:rPr>
        <w:t xml:space="preserve">מהרי"ו </w:t>
      </w:r>
      <w:r w:rsidRPr="00164B97">
        <w:rPr>
          <w:rFonts w:cs="Arial" w:hint="cs"/>
          <w:sz w:val="16"/>
          <w:szCs w:val="16"/>
          <w:rtl/>
        </w:rPr>
        <w:t>(</w:t>
      </w:r>
      <w:r w:rsidRPr="00164B97">
        <w:rPr>
          <w:rFonts w:cs="Arial"/>
          <w:sz w:val="16"/>
          <w:szCs w:val="16"/>
          <w:rtl/>
        </w:rPr>
        <w:t>סי</w:t>
      </w:r>
      <w:r w:rsidRPr="00164B97">
        <w:rPr>
          <w:rFonts w:cs="Arial" w:hint="cs"/>
          <w:sz w:val="16"/>
          <w:szCs w:val="16"/>
          <w:rtl/>
        </w:rPr>
        <w:t>'</w:t>
      </w:r>
      <w:r w:rsidRPr="00164B97">
        <w:rPr>
          <w:rFonts w:cs="Arial"/>
          <w:sz w:val="16"/>
          <w:szCs w:val="16"/>
          <w:rtl/>
        </w:rPr>
        <w:t xml:space="preserve"> קלז</w:t>
      </w:r>
      <w:r w:rsidRPr="00164B97">
        <w:rPr>
          <w:rFonts w:cs="Arial" w:hint="cs"/>
          <w:sz w:val="16"/>
          <w:szCs w:val="16"/>
          <w:rtl/>
        </w:rPr>
        <w:t>)</w:t>
      </w:r>
      <w:r>
        <w:rPr>
          <w:rFonts w:cs="Arial" w:hint="cs"/>
          <w:rtl/>
        </w:rPr>
        <w:t xml:space="preserve">- </w:t>
      </w:r>
      <w:r w:rsidRPr="00A74C2B">
        <w:rPr>
          <w:rFonts w:cs="Arial"/>
          <w:rtl/>
        </w:rPr>
        <w:t>מיהו אם קדשה ברמאות ועשה שלא כהוגן והיא מורדת בו יש לסמוך ארבותינו האומרים שכופין אותו לגרש</w:t>
      </w:r>
      <w:r>
        <w:rPr>
          <w:rStyle w:val="a7"/>
          <w:rFonts w:cs="Arial"/>
          <w:rtl/>
        </w:rPr>
        <w:footnoteReference w:id="1347"/>
      </w:r>
      <w:r>
        <w:rPr>
          <w:rFonts w:cs="Arial" w:hint="cs"/>
          <w:sz w:val="16"/>
          <w:szCs w:val="16"/>
          <w:rtl/>
        </w:rPr>
        <w:t xml:space="preserve"> (ל' הדרכ"מ בשם הרא"ש)</w:t>
      </w:r>
      <w:r>
        <w:rPr>
          <w:rFonts w:cs="Arial" w:hint="cs"/>
          <w:rtl/>
        </w:rPr>
        <w:t>.</w:t>
      </w:r>
    </w:p>
    <w:p w14:paraId="62F8BD05" w14:textId="77777777" w:rsidR="002E5BAD" w:rsidRPr="007D5147" w:rsidRDefault="002E5BAD" w:rsidP="002E5BAD">
      <w:r w:rsidRPr="00164B97">
        <w:rPr>
          <w:rFonts w:cs="Arial" w:hint="cs"/>
          <w:u w:val="single"/>
          <w:rtl/>
        </w:rPr>
        <w:t xml:space="preserve">איש שקידש את אשתו </w:t>
      </w:r>
      <w:r>
        <w:rPr>
          <w:rFonts w:cs="Arial" w:hint="cs"/>
          <w:u w:val="single"/>
          <w:rtl/>
        </w:rPr>
        <w:t xml:space="preserve">ואינה חפצה בו </w:t>
      </w:r>
      <w:r>
        <w:rPr>
          <w:rFonts w:cs="Arial"/>
          <w:u w:val="single"/>
          <w:rtl/>
        </w:rPr>
        <w:t>–</w:t>
      </w:r>
      <w:r>
        <w:rPr>
          <w:rFonts w:cs="Arial" w:hint="cs"/>
          <w:u w:val="single"/>
          <w:rtl/>
        </w:rPr>
        <w:t xml:space="preserve"> והאיש נתפס אצל הגוים</w:t>
      </w:r>
      <w:r w:rsidRPr="00164B97">
        <w:rPr>
          <w:rFonts w:cs="Arial" w:hint="cs"/>
          <w:u w:val="single"/>
          <w:rtl/>
        </w:rPr>
        <w:t>:</w:t>
      </w:r>
      <w:r>
        <w:rPr>
          <w:rFonts w:cs="Arial" w:hint="cs"/>
          <w:rtl/>
        </w:rPr>
        <w:t xml:space="preserve">  </w:t>
      </w:r>
      <w:r w:rsidRPr="00164B97">
        <w:rPr>
          <w:rFonts w:cs="Arial" w:hint="cs"/>
          <w:sz w:val="16"/>
          <w:szCs w:val="16"/>
          <w:rtl/>
        </w:rPr>
        <w:t xml:space="preserve">(דרכ"מ אות </w:t>
      </w:r>
      <w:r w:rsidRPr="00164B97">
        <w:rPr>
          <w:rFonts w:cs="Arial"/>
          <w:sz w:val="16"/>
          <w:szCs w:val="16"/>
          <w:rtl/>
        </w:rPr>
        <w:t xml:space="preserve">יב) </w:t>
      </w:r>
    </w:p>
    <w:p w14:paraId="7B784799" w14:textId="77777777" w:rsidR="002E5BAD" w:rsidRPr="007D5147" w:rsidRDefault="002E5BAD" w:rsidP="002E5BAD">
      <w:pPr>
        <w:pStyle w:val="ab"/>
        <w:numPr>
          <w:ilvl w:val="0"/>
          <w:numId w:val="158"/>
        </w:numPr>
      </w:pPr>
      <w:r>
        <w:rPr>
          <w:rFonts w:cs="Arial" w:hint="cs"/>
          <w:rtl/>
        </w:rPr>
        <w:t>הגמ"ר</w:t>
      </w:r>
      <w:r w:rsidRPr="00A74C2B">
        <w:rPr>
          <w:rFonts w:cs="Arial"/>
          <w:rtl/>
        </w:rPr>
        <w:t xml:space="preserve"> </w:t>
      </w:r>
      <w:r w:rsidRPr="00164B97">
        <w:rPr>
          <w:rFonts w:cs="Arial" w:hint="cs"/>
          <w:sz w:val="16"/>
          <w:szCs w:val="16"/>
          <w:rtl/>
        </w:rPr>
        <w:t>(</w:t>
      </w:r>
      <w:r w:rsidRPr="00164B97">
        <w:rPr>
          <w:rFonts w:cs="Arial"/>
          <w:sz w:val="16"/>
          <w:szCs w:val="16"/>
          <w:rtl/>
        </w:rPr>
        <w:t>גיטין</w:t>
      </w:r>
      <w:r w:rsidRPr="00164B97">
        <w:rPr>
          <w:rFonts w:cs="Arial" w:hint="cs"/>
          <w:sz w:val="16"/>
          <w:szCs w:val="16"/>
          <w:rtl/>
        </w:rPr>
        <w:t xml:space="preserve"> </w:t>
      </w:r>
      <w:r w:rsidRPr="00164B97">
        <w:rPr>
          <w:rFonts w:cs="Arial"/>
          <w:sz w:val="16"/>
          <w:szCs w:val="16"/>
          <w:rtl/>
        </w:rPr>
        <w:t>סי' תסט)</w:t>
      </w:r>
      <w:r>
        <w:rPr>
          <w:rFonts w:cs="Arial" w:hint="cs"/>
          <w:rtl/>
        </w:rPr>
        <w:t>-</w:t>
      </w:r>
      <w:r w:rsidRPr="00A74C2B">
        <w:rPr>
          <w:rFonts w:cs="Arial"/>
          <w:rtl/>
        </w:rPr>
        <w:t xml:space="preserve"> אומר רבינו תם שאם קידש אשה ואינה חפצה בו אף על גב דאין כופין אותו לגרש אך אם נתפס יכולין לומר לו לא נעזור לך לצאת עד שתגרש דאין זה כפייה רק שאין עוזרים לו</w:t>
      </w:r>
      <w:r>
        <w:rPr>
          <w:rFonts w:cs="Arial" w:hint="cs"/>
          <w:rtl/>
        </w:rPr>
        <w:t>.</w:t>
      </w:r>
    </w:p>
    <w:p w14:paraId="505FB02B" w14:textId="77777777" w:rsidR="002E5BAD" w:rsidRPr="007F1F00" w:rsidRDefault="002E5BAD" w:rsidP="002E5BAD">
      <w:pPr>
        <w:rPr>
          <w:rFonts w:cs="Arial"/>
          <w:u w:val="single"/>
          <w:rtl/>
        </w:rPr>
      </w:pPr>
      <w:r w:rsidRPr="007F1F00">
        <w:rPr>
          <w:rFonts w:cs="Arial" w:hint="cs"/>
          <w:u w:val="single"/>
          <w:rtl/>
        </w:rPr>
        <w:t>מורדת תבע</w:t>
      </w:r>
      <w:r>
        <w:rPr>
          <w:rFonts w:cs="Arial" w:hint="cs"/>
          <w:u w:val="single"/>
          <w:rtl/>
        </w:rPr>
        <w:t>ה</w:t>
      </w:r>
      <w:r w:rsidRPr="007F1F00">
        <w:rPr>
          <w:rFonts w:cs="Arial" w:hint="cs"/>
          <w:u w:val="single"/>
          <w:rtl/>
        </w:rPr>
        <w:t xml:space="preserve"> גט ע"פ מנהג מקומם, ואמר לה בעלה הביאי כתובתיך ו</w:t>
      </w:r>
      <w:r>
        <w:rPr>
          <w:rFonts w:cs="Arial" w:hint="cs"/>
          <w:u w:val="single"/>
          <w:rtl/>
        </w:rPr>
        <w:t>אעשה כ</w:t>
      </w:r>
      <w:r w:rsidRPr="007F1F00">
        <w:rPr>
          <w:rFonts w:cs="Arial" w:hint="cs"/>
          <w:u w:val="single"/>
          <w:rtl/>
        </w:rPr>
        <w:t>פס</w:t>
      </w:r>
      <w:r>
        <w:rPr>
          <w:rFonts w:cs="Arial" w:hint="cs"/>
          <w:u w:val="single"/>
          <w:rtl/>
        </w:rPr>
        <w:t>י</w:t>
      </w:r>
      <w:r w:rsidRPr="007F1F00">
        <w:rPr>
          <w:rFonts w:cs="Arial" w:hint="cs"/>
          <w:u w:val="single"/>
          <w:rtl/>
        </w:rPr>
        <w:t>ק</w:t>
      </w:r>
      <w:r>
        <w:rPr>
          <w:rFonts w:cs="Arial" w:hint="cs"/>
          <w:u w:val="single"/>
          <w:rtl/>
        </w:rPr>
        <w:t>ת</w:t>
      </w:r>
      <w:r w:rsidRPr="007F1F00">
        <w:rPr>
          <w:rFonts w:cs="Arial" w:hint="cs"/>
          <w:u w:val="single"/>
          <w:rtl/>
        </w:rPr>
        <w:t xml:space="preserve"> ב"ד</w:t>
      </w:r>
      <w:r>
        <w:rPr>
          <w:rFonts w:cs="Arial" w:hint="cs"/>
          <w:u w:val="single"/>
          <w:rtl/>
        </w:rPr>
        <w:t xml:space="preserve"> </w:t>
      </w:r>
      <w:r w:rsidRPr="007F1F00">
        <w:rPr>
          <w:rFonts w:cs="Arial"/>
          <w:u w:val="single"/>
          <w:rtl/>
        </w:rPr>
        <w:t>–</w:t>
      </w:r>
      <w:r w:rsidRPr="007F1F00">
        <w:rPr>
          <w:rFonts w:cs="Arial" w:hint="cs"/>
          <w:u w:val="single"/>
          <w:rtl/>
        </w:rPr>
        <w:t xml:space="preserve"> והיא רוצה </w:t>
      </w:r>
      <w:r>
        <w:rPr>
          <w:rFonts w:cs="Arial" w:hint="cs"/>
          <w:u w:val="single"/>
          <w:rtl/>
        </w:rPr>
        <w:t xml:space="preserve">עכשיו </w:t>
      </w:r>
      <w:r w:rsidRPr="007F1F00">
        <w:rPr>
          <w:rFonts w:cs="Arial" w:hint="cs"/>
          <w:u w:val="single"/>
          <w:rtl/>
        </w:rPr>
        <w:t>רק גט:</w:t>
      </w:r>
    </w:p>
    <w:p w14:paraId="01F63791" w14:textId="77777777" w:rsidR="002E5BAD" w:rsidRDefault="002E5BAD" w:rsidP="002E5BAD">
      <w:pPr>
        <w:pStyle w:val="ab"/>
        <w:numPr>
          <w:ilvl w:val="0"/>
          <w:numId w:val="158"/>
        </w:numPr>
      </w:pPr>
      <w:r w:rsidRPr="006F6BB1">
        <w:rPr>
          <w:rFonts w:cs="Arial"/>
          <w:rtl/>
        </w:rPr>
        <w:lastRenderedPageBreak/>
        <w:t xml:space="preserve">רשב"א </w:t>
      </w:r>
      <w:r>
        <w:rPr>
          <w:rFonts w:cs="Arial" w:hint="cs"/>
          <w:rtl/>
        </w:rPr>
        <w:t xml:space="preserve">- </w:t>
      </w:r>
      <w:r w:rsidRPr="006F6BB1">
        <w:rPr>
          <w:rFonts w:cs="Arial"/>
          <w:rtl/>
        </w:rPr>
        <w:t>ש</w:t>
      </w:r>
      <w:r>
        <w:rPr>
          <w:rFonts w:cs="Arial" w:hint="cs"/>
          <w:rtl/>
        </w:rPr>
        <w:t>אלת</w:t>
      </w:r>
      <w:r w:rsidRPr="006F6BB1">
        <w:rPr>
          <w:rFonts w:cs="Arial"/>
          <w:rtl/>
        </w:rPr>
        <w:t xml:space="preserve"> על מורדת התובעת גט לפי מנהג מקומם ואמר לה הבא כתובתיך ומה שידינו בית דין על פי התקנה או על פי התלמוד אפרע לך מיד שאין אני מוצא קונה לנכסי בעוד ששטר כתובתיך קיים והיא אומרת איני רוצה לתבוע חובי עכשיו ואיני תובעת אלא גט </w:t>
      </w:r>
      <w:r>
        <w:rPr>
          <w:rFonts w:cs="Arial" w:hint="cs"/>
          <w:rtl/>
        </w:rPr>
        <w:t xml:space="preserve">- </w:t>
      </w:r>
      <w:r w:rsidRPr="006F6BB1">
        <w:rPr>
          <w:rFonts w:cs="Arial"/>
          <w:rtl/>
        </w:rPr>
        <w:t>הדין עם הבעל</w:t>
      </w:r>
      <w:r>
        <w:rPr>
          <w:rFonts w:cs="Arial" w:hint="cs"/>
          <w:rtl/>
        </w:rPr>
        <w:t>.</w:t>
      </w:r>
    </w:p>
    <w:p w14:paraId="5DBE7643" w14:textId="77777777" w:rsidR="002E5BAD" w:rsidRPr="001806F1" w:rsidRDefault="002E5BAD" w:rsidP="002E5BAD">
      <w:pPr>
        <w:rPr>
          <w:rFonts w:cs="Arial"/>
          <w:u w:val="single"/>
          <w:rtl/>
        </w:rPr>
      </w:pPr>
      <w:r w:rsidRPr="001806F1">
        <w:rPr>
          <w:rFonts w:cs="Arial" w:hint="cs"/>
          <w:u w:val="single"/>
          <w:rtl/>
        </w:rPr>
        <w:t xml:space="preserve">ארוסה שאומרת שהארוס שלה מורד </w:t>
      </w:r>
      <w:r w:rsidRPr="001806F1">
        <w:rPr>
          <w:rFonts w:cs="Arial"/>
          <w:u w:val="single"/>
          <w:rtl/>
        </w:rPr>
        <w:t>–</w:t>
      </w:r>
      <w:r w:rsidRPr="001806F1">
        <w:rPr>
          <w:rFonts w:cs="Arial" w:hint="cs"/>
          <w:u w:val="single"/>
          <w:rtl/>
        </w:rPr>
        <w:t xml:space="preserve"> האם צריכה לבוא בטענה:</w:t>
      </w:r>
    </w:p>
    <w:p w14:paraId="6ECBD835" w14:textId="77777777" w:rsidR="002E5BAD" w:rsidRPr="00331055" w:rsidRDefault="002E5BAD" w:rsidP="002E5BAD">
      <w:pPr>
        <w:pStyle w:val="ab"/>
        <w:numPr>
          <w:ilvl w:val="0"/>
          <w:numId w:val="161"/>
        </w:numPr>
      </w:pPr>
      <w:r w:rsidRPr="001806F1">
        <w:rPr>
          <w:rFonts w:cs="Arial" w:hint="cs"/>
          <w:rtl/>
        </w:rPr>
        <w:t xml:space="preserve">רי"ו </w:t>
      </w:r>
      <w:r w:rsidRPr="001806F1">
        <w:rPr>
          <w:rFonts w:cs="Arial" w:hint="cs"/>
          <w:sz w:val="16"/>
          <w:szCs w:val="16"/>
          <w:rtl/>
        </w:rPr>
        <w:t>(</w:t>
      </w:r>
      <w:r w:rsidRPr="001806F1">
        <w:rPr>
          <w:rFonts w:cs="Arial"/>
          <w:sz w:val="16"/>
          <w:szCs w:val="16"/>
          <w:rtl/>
        </w:rPr>
        <w:t>מישרים נכ"ג ח"ח סא ע"א)</w:t>
      </w:r>
      <w:r w:rsidRPr="001806F1">
        <w:rPr>
          <w:rFonts w:cs="Arial" w:hint="cs"/>
          <w:rtl/>
        </w:rPr>
        <w:t>-</w:t>
      </w:r>
      <w:r w:rsidRPr="001806F1">
        <w:rPr>
          <w:rFonts w:cs="Arial"/>
          <w:rtl/>
        </w:rPr>
        <w:t xml:space="preserve"> כותבין אגרת מרד לארוסה על הארוס אם אינו רוצה לישא אחר שהגיע הזמן ודוקא בבאה מחמת טענה דאמרה בעינא חוטרא לידא וכו'</w:t>
      </w:r>
      <w:r w:rsidRPr="001806F1">
        <w:rPr>
          <w:rFonts w:cs="Arial" w:hint="cs"/>
          <w:rtl/>
        </w:rPr>
        <w:t>,</w:t>
      </w:r>
      <w:r w:rsidRPr="001806F1">
        <w:rPr>
          <w:rFonts w:cs="Arial"/>
          <w:rtl/>
        </w:rPr>
        <w:t xml:space="preserve"> כי אשת איש אם הוא מורד אינה צריכה טענה מאחר שהוא משועבד לעונה</w:t>
      </w:r>
      <w:r w:rsidRPr="001806F1">
        <w:rPr>
          <w:rFonts w:cs="Arial" w:hint="cs"/>
          <w:rtl/>
        </w:rPr>
        <w:t>.</w:t>
      </w:r>
    </w:p>
    <w:p w14:paraId="1D32615E" w14:textId="77777777" w:rsidR="002E5BAD" w:rsidRDefault="002E5BAD" w:rsidP="002E5BAD">
      <w:pPr>
        <w:rPr>
          <w:rFonts w:cs="Arial"/>
          <w:rtl/>
        </w:rPr>
      </w:pPr>
      <w:r w:rsidRPr="007F1F00">
        <w:rPr>
          <w:rFonts w:cs="Arial"/>
          <w:u w:val="single"/>
          <w:rtl/>
        </w:rPr>
        <w:t>איש אחד שתפס כל מה שהיה לאשתו ואמר שהיא מורדת</w:t>
      </w:r>
      <w:r w:rsidRPr="007F1F00">
        <w:rPr>
          <w:rFonts w:cs="Arial" w:hint="cs"/>
          <w:u w:val="single"/>
          <w:rtl/>
        </w:rPr>
        <w:t>:</w:t>
      </w:r>
      <w:r>
        <w:rPr>
          <w:rFonts w:cs="Arial" w:hint="cs"/>
          <w:rtl/>
        </w:rPr>
        <w:t xml:space="preserve"> </w:t>
      </w:r>
      <w:r w:rsidRPr="007F1F00">
        <w:rPr>
          <w:rFonts w:cs="Arial" w:hint="cs"/>
          <w:sz w:val="16"/>
          <w:szCs w:val="16"/>
          <w:rtl/>
        </w:rPr>
        <w:t xml:space="preserve">(דרכ"מ אות </w:t>
      </w:r>
      <w:r w:rsidRPr="007F1F00">
        <w:rPr>
          <w:rFonts w:cs="Arial"/>
          <w:sz w:val="16"/>
          <w:szCs w:val="16"/>
          <w:rtl/>
        </w:rPr>
        <w:t xml:space="preserve">ו) </w:t>
      </w:r>
    </w:p>
    <w:p w14:paraId="30CE0D38" w14:textId="77777777" w:rsidR="002E5BAD" w:rsidRPr="004C33D1" w:rsidRDefault="002E5BAD" w:rsidP="002E5BAD">
      <w:pPr>
        <w:pStyle w:val="ab"/>
        <w:numPr>
          <w:ilvl w:val="0"/>
          <w:numId w:val="160"/>
        </w:numPr>
        <w:rPr>
          <w:rtl/>
        </w:rPr>
      </w:pPr>
      <w:r w:rsidRPr="007F1F00">
        <w:rPr>
          <w:rFonts w:cs="Arial"/>
          <w:rtl/>
        </w:rPr>
        <w:t xml:space="preserve">מהרי"ק </w:t>
      </w:r>
      <w:r w:rsidRPr="007F1F00">
        <w:rPr>
          <w:rFonts w:cs="Arial" w:hint="cs"/>
          <w:sz w:val="16"/>
          <w:szCs w:val="16"/>
          <w:rtl/>
        </w:rPr>
        <w:t>(</w:t>
      </w:r>
      <w:r w:rsidRPr="007F1F00">
        <w:rPr>
          <w:rFonts w:cs="Arial"/>
          <w:sz w:val="16"/>
          <w:szCs w:val="16"/>
          <w:rtl/>
        </w:rPr>
        <w:t>שורש נז</w:t>
      </w:r>
      <w:r w:rsidRPr="007F1F00">
        <w:rPr>
          <w:rFonts w:cs="Arial" w:hint="cs"/>
          <w:sz w:val="16"/>
          <w:szCs w:val="16"/>
          <w:rtl/>
        </w:rPr>
        <w:t>)</w:t>
      </w:r>
      <w:r w:rsidRPr="007F1F00">
        <w:rPr>
          <w:rFonts w:cs="Arial" w:hint="cs"/>
          <w:rtl/>
        </w:rPr>
        <w:t>-</w:t>
      </w:r>
      <w:r w:rsidRPr="007F1F00">
        <w:rPr>
          <w:rFonts w:cs="Arial"/>
          <w:rtl/>
        </w:rPr>
        <w:t xml:space="preserve"> על איש אחד שתפס כל מה שהיה לאשתו ואמר שהיא מורדת ופסק דאינו נאמן אלא עליו להביא ראיה שאין אשתו נוהגת כשורה הן על פי עדים גמורים הן על פי שכנים ושכנות ובלבד שלא יהיו השכנים ההם קרובים אבל בלאו הכי אינו נאמן אלא צריך להחזיר הכל למקום שלקח ואפילו מה שהכניס הוא ואח"כ ידונו ביחד וכו'</w:t>
      </w:r>
      <w:r>
        <w:rPr>
          <w:rStyle w:val="a7"/>
          <w:rFonts w:cs="Arial"/>
          <w:rtl/>
        </w:rPr>
        <w:footnoteReference w:id="1348"/>
      </w:r>
      <w:r>
        <w:rPr>
          <w:rFonts w:cs="Arial" w:hint="cs"/>
          <w:rtl/>
        </w:rPr>
        <w:t>.</w:t>
      </w:r>
    </w:p>
    <w:p w14:paraId="6BDDEE6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C1046E1" w14:textId="77777777" w:rsidR="002E5BAD" w:rsidRDefault="002E5BAD" w:rsidP="002E5BAD">
      <w:pPr>
        <w:rPr>
          <w:rtl/>
        </w:rPr>
      </w:pPr>
      <w:r>
        <w:rPr>
          <w:rFonts w:cs="Arial"/>
          <w:rtl/>
        </w:rPr>
        <w:t>האשה שמנעה בעלה מתשמיש, היא הנקראת מורדת</w:t>
      </w:r>
      <w:r>
        <w:rPr>
          <w:rFonts w:cs="Arial" w:hint="cs"/>
          <w:rtl/>
        </w:rPr>
        <w:t>.</w:t>
      </w:r>
      <w:r>
        <w:rPr>
          <w:rFonts w:cs="Arial"/>
          <w:rtl/>
        </w:rPr>
        <w:t xml:space="preserve"> ושואלין אותה מפני מה מרדה, אם אמרה: מאסתיהו ואיני יכולה להבעל לו מדעתי, </w:t>
      </w:r>
      <w:r>
        <w:rPr>
          <w:rFonts w:cs="Arial" w:hint="cs"/>
          <w:sz w:val="18"/>
          <w:szCs w:val="18"/>
          <w:rtl/>
        </w:rPr>
        <w:t xml:space="preserve">[הגה] </w:t>
      </w:r>
      <w:r w:rsidRPr="004C403E">
        <w:rPr>
          <w:rFonts w:cs="Arial"/>
          <w:sz w:val="18"/>
          <w:szCs w:val="18"/>
          <w:rtl/>
        </w:rPr>
        <w:t>ודוקא שמבקשת גט בלא כתובה, אבל אם אומרת: יתן לי גט וכתובתי, חיישינן שמא נתנה עיניה באחר, ויש לה דין מורדת דבעינא ומצערנא ליה (ר"ן)</w:t>
      </w:r>
      <w:r>
        <w:rPr>
          <w:rFonts w:cs="Arial"/>
          <w:rtl/>
        </w:rPr>
        <w:t xml:space="preserve">, אם רצה הבעל לגרשה אין לה כתובה כלל, ותטול בלאותיה הקיימים, בין מנכסים שהכניסה לבעלה ונתחייב באחריותן, בין נכסי מילוג שלא נתחייב באחריותן, ואינה נוטלת משל בעלה כלום, ואפילו מנעל שברגליה ומטפחת שבראשה שלקחם לה, פושטת ונותנה, וכל מה שנתן לה מתנה מחזרת אותו. </w:t>
      </w:r>
      <w:r>
        <w:rPr>
          <w:rFonts w:cs="Arial" w:hint="cs"/>
          <w:sz w:val="18"/>
          <w:szCs w:val="18"/>
          <w:rtl/>
        </w:rPr>
        <w:t xml:space="preserve">[הגה] </w:t>
      </w:r>
      <w:r w:rsidRPr="004C403E">
        <w:rPr>
          <w:rFonts w:cs="Arial"/>
          <w:sz w:val="18"/>
          <w:szCs w:val="18"/>
          <w:rtl/>
        </w:rPr>
        <w:t xml:space="preserve">וי"א דאף מנכסי צאן ברזל אינה נוטלת אלא מה שתפסה. וי"א דאפילו </w:t>
      </w:r>
      <w:r>
        <w:rPr>
          <w:rFonts w:cs="Arial"/>
          <w:sz w:val="18"/>
          <w:szCs w:val="18"/>
          <w:rtl/>
        </w:rPr>
        <w:t>נכסי מלוג</w:t>
      </w:r>
      <w:r w:rsidRPr="004C403E">
        <w:rPr>
          <w:rFonts w:cs="Arial"/>
          <w:sz w:val="18"/>
          <w:szCs w:val="18"/>
          <w:rtl/>
        </w:rPr>
        <w:t xml:space="preserve"> אינה נוטלת אלא מה שתפסה (ב"י בשם הר"ן שכ"כ בשם הרשב"א).</w:t>
      </w:r>
      <w:r>
        <w:rPr>
          <w:rFonts w:cs="Arial"/>
          <w:rtl/>
        </w:rPr>
        <w:t xml:space="preserve"> ואם מרדה מתחת בעלה כדי לצערו, ואמרה: הריני מצערת אותו בכך, מפני שעשה לי כך וכך, או מפני שקללני, או מפני שעשה עמי מריבה וכיוצא בדברים אלו, שולחין לה מב</w:t>
      </w:r>
      <w:r>
        <w:rPr>
          <w:rFonts w:cs="Arial" w:hint="cs"/>
          <w:rtl/>
        </w:rPr>
        <w:t xml:space="preserve">ית </w:t>
      </w:r>
      <w:r>
        <w:rPr>
          <w:rFonts w:cs="Arial"/>
          <w:rtl/>
        </w:rPr>
        <w:t>ד</w:t>
      </w:r>
      <w:r>
        <w:rPr>
          <w:rFonts w:cs="Arial" w:hint="cs"/>
          <w:rtl/>
        </w:rPr>
        <w:t>ין</w:t>
      </w:r>
      <w:r>
        <w:rPr>
          <w:rFonts w:cs="Arial"/>
          <w:rtl/>
        </w:rPr>
        <w:t xml:space="preserve"> ואומרים לה: הוי יודעת שאם את עומדת במרדך, אפילו כתובתיך ק' מנה הפסדת אותם. ואחר כך מכריזין עליה בבתי כנסיות ובתי מדרשות, בכל יום, ד' שבתות זו אחר זו. </w:t>
      </w:r>
      <w:r>
        <w:rPr>
          <w:rFonts w:cs="Arial" w:hint="cs"/>
          <w:sz w:val="18"/>
          <w:szCs w:val="18"/>
          <w:rtl/>
        </w:rPr>
        <w:t xml:space="preserve">[הגה] </w:t>
      </w:r>
      <w:r w:rsidRPr="004C403E">
        <w:rPr>
          <w:rFonts w:cs="Arial"/>
          <w:sz w:val="18"/>
          <w:szCs w:val="18"/>
          <w:rtl/>
        </w:rPr>
        <w:t>וי"א דא"צ להכריז בכל יום, אלא ד' שבתות ממש (הר"ן והגה</w:t>
      </w:r>
      <w:r>
        <w:rPr>
          <w:rFonts w:cs="Arial" w:hint="cs"/>
          <w:sz w:val="18"/>
          <w:szCs w:val="18"/>
          <w:rtl/>
        </w:rPr>
        <w:t>"מ, וכ"מ</w:t>
      </w:r>
      <w:r w:rsidRPr="004C403E">
        <w:rPr>
          <w:rFonts w:cs="Arial"/>
          <w:sz w:val="18"/>
          <w:szCs w:val="18"/>
          <w:rtl/>
        </w:rPr>
        <w:t xml:space="preserve"> לשון הטור), וכן נ"ל עיקר.</w:t>
      </w:r>
      <w:r>
        <w:rPr>
          <w:rFonts w:cs="Arial"/>
          <w:rtl/>
        </w:rPr>
        <w:t xml:space="preserve"> ואומרים: פלונית מרדה על בעלה. ואחר ההכרזה שולחין לה ב</w:t>
      </w:r>
      <w:r>
        <w:rPr>
          <w:rFonts w:cs="Arial" w:hint="cs"/>
          <w:rtl/>
        </w:rPr>
        <w:t xml:space="preserve">ית </w:t>
      </w:r>
      <w:r>
        <w:rPr>
          <w:rFonts w:cs="Arial"/>
          <w:rtl/>
        </w:rPr>
        <w:t>ד</w:t>
      </w:r>
      <w:r>
        <w:rPr>
          <w:rFonts w:cs="Arial" w:hint="cs"/>
          <w:rtl/>
        </w:rPr>
        <w:t>ין</w:t>
      </w:r>
      <w:r>
        <w:rPr>
          <w:rFonts w:cs="Arial"/>
          <w:rtl/>
        </w:rPr>
        <w:t xml:space="preserve"> פעם שנית: אם את עומדת במרדך הפסדת כתובתיך, אם עמדה במרדה ולא חזרה, נמלכין בה ותאבד כתובתה, ולא יהיה לה כתובתה כלל</w:t>
      </w:r>
      <w:r>
        <w:rPr>
          <w:rFonts w:cs="Arial" w:hint="cs"/>
          <w:rtl/>
        </w:rPr>
        <w:t>.</w:t>
      </w:r>
      <w:r>
        <w:rPr>
          <w:rFonts w:cs="Arial"/>
          <w:rtl/>
        </w:rPr>
        <w:t xml:space="preserve"> ואין נותנים לה גט עד י"ב חדש</w:t>
      </w:r>
      <w:r>
        <w:rPr>
          <w:rFonts w:cs="Arial" w:hint="cs"/>
          <w:rtl/>
        </w:rPr>
        <w:t>,</w:t>
      </w:r>
      <w:r>
        <w:rPr>
          <w:rFonts w:cs="Arial"/>
          <w:rtl/>
        </w:rPr>
        <w:t xml:space="preserve"> ואין לה מזונות כל י"ב חדש, </w:t>
      </w:r>
      <w:r>
        <w:rPr>
          <w:rFonts w:cs="Arial" w:hint="cs"/>
          <w:sz w:val="18"/>
          <w:szCs w:val="18"/>
          <w:rtl/>
        </w:rPr>
        <w:t xml:space="preserve">[הגה] </w:t>
      </w:r>
      <w:r w:rsidRPr="004C403E">
        <w:rPr>
          <w:rFonts w:cs="Arial"/>
          <w:sz w:val="18"/>
          <w:szCs w:val="18"/>
          <w:rtl/>
        </w:rPr>
        <w:t xml:space="preserve">ואפילו היא מעוברת (ב"י בשם </w:t>
      </w:r>
      <w:r>
        <w:rPr>
          <w:rFonts w:cs="Arial" w:hint="cs"/>
          <w:sz w:val="18"/>
          <w:szCs w:val="18"/>
          <w:rtl/>
        </w:rPr>
        <w:t>תשו'</w:t>
      </w:r>
      <w:r w:rsidRPr="004C403E">
        <w:rPr>
          <w:rFonts w:cs="Arial"/>
          <w:sz w:val="18"/>
          <w:szCs w:val="18"/>
          <w:rtl/>
        </w:rPr>
        <w:t xml:space="preserve"> רשב"א)</w:t>
      </w:r>
      <w:r w:rsidRPr="004C403E">
        <w:rPr>
          <w:rFonts w:cs="Arial" w:hint="cs"/>
          <w:sz w:val="18"/>
          <w:szCs w:val="18"/>
          <w:rtl/>
        </w:rPr>
        <w:t>.</w:t>
      </w:r>
      <w:r w:rsidRPr="004C403E">
        <w:rPr>
          <w:rFonts w:cs="Arial"/>
          <w:sz w:val="18"/>
          <w:szCs w:val="18"/>
          <w:rtl/>
        </w:rPr>
        <w:t xml:space="preserve"> ומעשה ידיה שלה, אבל נוטל פירות (טור</w:t>
      </w:r>
      <w:r w:rsidRPr="00B83963">
        <w:rPr>
          <w:rFonts w:cs="Arial"/>
          <w:sz w:val="18"/>
          <w:szCs w:val="18"/>
          <w:rtl/>
        </w:rPr>
        <w:t xml:space="preserve">); </w:t>
      </w:r>
      <w:r w:rsidRPr="00B83963">
        <w:rPr>
          <w:rFonts w:cs="Arial"/>
          <w:rtl/>
        </w:rPr>
        <w:t>ואם מתה קודם הגט, בעלה יורשה</w:t>
      </w:r>
      <w:r w:rsidRPr="00B83963">
        <w:rPr>
          <w:rFonts w:cs="Arial"/>
          <w:sz w:val="18"/>
          <w:szCs w:val="18"/>
          <w:rtl/>
        </w:rPr>
        <w:t xml:space="preserve"> </w:t>
      </w:r>
      <w:r>
        <w:rPr>
          <w:rFonts w:cs="Arial" w:hint="cs"/>
          <w:sz w:val="18"/>
          <w:szCs w:val="18"/>
          <w:rtl/>
        </w:rPr>
        <w:t xml:space="preserve">[הגה] </w:t>
      </w:r>
      <w:r w:rsidRPr="004C403E">
        <w:rPr>
          <w:rFonts w:cs="Arial"/>
          <w:sz w:val="18"/>
          <w:szCs w:val="18"/>
          <w:rtl/>
        </w:rPr>
        <w:t>וחייב בפדיונה וקבורתה (טור)</w:t>
      </w:r>
      <w:r>
        <w:rPr>
          <w:rFonts w:cs="Arial" w:hint="cs"/>
          <w:sz w:val="18"/>
          <w:szCs w:val="18"/>
          <w:rtl/>
        </w:rPr>
        <w:t>.</w:t>
      </w:r>
      <w:r w:rsidRPr="004C403E">
        <w:rPr>
          <w:rFonts w:cs="Arial"/>
          <w:sz w:val="18"/>
          <w:szCs w:val="18"/>
          <w:rtl/>
        </w:rPr>
        <w:t xml:space="preserve"> ולאחר י"ב חדש אין לבעל עליה כלום, וכן היא עליו</w:t>
      </w:r>
      <w:r>
        <w:rPr>
          <w:rFonts w:cs="Arial" w:hint="cs"/>
          <w:sz w:val="18"/>
          <w:szCs w:val="18"/>
          <w:rtl/>
        </w:rPr>
        <w:t>,</w:t>
      </w:r>
      <w:r w:rsidRPr="004C403E">
        <w:rPr>
          <w:rFonts w:cs="Arial"/>
          <w:sz w:val="18"/>
          <w:szCs w:val="18"/>
          <w:rtl/>
        </w:rPr>
        <w:t xml:space="preserve"> מאחר שאבדה הכתובה, אין לה כל תנאי כתובה, מאחר שיוכל לגרשה בלא כתובה והוא מעכבה מרצונו (דברי הרב וכ</w:t>
      </w:r>
      <w:r>
        <w:rPr>
          <w:rFonts w:cs="Arial" w:hint="cs"/>
          <w:sz w:val="18"/>
          <w:szCs w:val="18"/>
          <w:rtl/>
        </w:rPr>
        <w:t>"מ</w:t>
      </w:r>
      <w:r w:rsidRPr="004C403E">
        <w:rPr>
          <w:rFonts w:cs="Arial"/>
          <w:sz w:val="18"/>
          <w:szCs w:val="18"/>
          <w:rtl/>
        </w:rPr>
        <w:t xml:space="preserve"> במהרי"ל סי</w:t>
      </w:r>
      <w:r>
        <w:rPr>
          <w:rFonts w:cs="Arial" w:hint="cs"/>
          <w:sz w:val="18"/>
          <w:szCs w:val="18"/>
          <w:rtl/>
        </w:rPr>
        <w:t>'</w:t>
      </w:r>
      <w:r w:rsidRPr="004C403E">
        <w:rPr>
          <w:rFonts w:cs="Arial"/>
          <w:sz w:val="18"/>
          <w:szCs w:val="18"/>
          <w:rtl/>
        </w:rPr>
        <w:t xml:space="preserve"> כ).</w:t>
      </w:r>
      <w:r>
        <w:rPr>
          <w:rFonts w:cs="Arial"/>
          <w:rtl/>
        </w:rPr>
        <w:t xml:space="preserve"> כסדר הזה עושין לה, אם מרדה כדי לצערו</w:t>
      </w:r>
      <w:r>
        <w:rPr>
          <w:rFonts w:cs="Arial" w:hint="cs"/>
          <w:rtl/>
        </w:rPr>
        <w:t>.</w:t>
      </w:r>
      <w:r>
        <w:rPr>
          <w:rFonts w:cs="Arial"/>
          <w:rtl/>
        </w:rPr>
        <w:t xml:space="preserve"> </w:t>
      </w:r>
      <w:r>
        <w:rPr>
          <w:rFonts w:cs="Arial" w:hint="cs"/>
          <w:sz w:val="18"/>
          <w:szCs w:val="18"/>
          <w:rtl/>
        </w:rPr>
        <w:t xml:space="preserve">[הגה] </w:t>
      </w:r>
      <w:r w:rsidRPr="00B83963">
        <w:rPr>
          <w:rFonts w:cs="Arial"/>
          <w:sz w:val="18"/>
          <w:szCs w:val="18"/>
          <w:rtl/>
        </w:rPr>
        <w:t xml:space="preserve">ולאחר י"ב חדש לא מהני חזרתה, אלא אבדה כתובתה, ואם רוצה לקיימה, צריך לכתוב לה כתובה אחרת. אבל תוך י"ב חדש יכולה לחזור בה, ויש לה כתובה. ואם מת תוך י"ב חדש, יש לה כתובה מן היורשים (כל זה בר"ן). ואם רוצה לגרשה תוך י"ב חדש נותן לה </w:t>
      </w:r>
      <w:r>
        <w:rPr>
          <w:rFonts w:cs="Arial"/>
          <w:sz w:val="18"/>
          <w:szCs w:val="18"/>
          <w:rtl/>
        </w:rPr>
        <w:t>צאן ברזל</w:t>
      </w:r>
      <w:r w:rsidRPr="00B83963">
        <w:rPr>
          <w:rFonts w:cs="Arial"/>
          <w:sz w:val="18"/>
          <w:szCs w:val="18"/>
          <w:rtl/>
        </w:rPr>
        <w:t xml:space="preserve"> שלה, וכתובתה </w:t>
      </w:r>
      <w:r>
        <w:rPr>
          <w:rStyle w:val="a7"/>
          <w:rFonts w:cs="Arial"/>
          <w:sz w:val="18"/>
          <w:szCs w:val="18"/>
          <w:rtl/>
        </w:rPr>
        <w:footnoteReference w:id="1349"/>
      </w:r>
      <w:r>
        <w:rPr>
          <w:rFonts w:cs="Arial" w:hint="cs"/>
          <w:sz w:val="18"/>
          <w:szCs w:val="18"/>
          <w:rtl/>
        </w:rPr>
        <w:t>[אבל לא]</w:t>
      </w:r>
      <w:r w:rsidRPr="00B83963">
        <w:rPr>
          <w:rFonts w:cs="Arial"/>
          <w:sz w:val="18"/>
          <w:szCs w:val="18"/>
          <w:rtl/>
        </w:rPr>
        <w:t xml:space="preserve"> מה שכתב לה (ב"י בשם תש</w:t>
      </w:r>
      <w:r>
        <w:rPr>
          <w:rFonts w:cs="Arial" w:hint="cs"/>
          <w:sz w:val="18"/>
          <w:szCs w:val="18"/>
          <w:rtl/>
        </w:rPr>
        <w:t>ו'</w:t>
      </w:r>
      <w:r w:rsidRPr="00B83963">
        <w:rPr>
          <w:rFonts w:cs="Arial"/>
          <w:sz w:val="18"/>
          <w:szCs w:val="18"/>
          <w:rtl/>
        </w:rPr>
        <w:t xml:space="preserve"> הרשב"א). וי"א דבזמן הזה שאין נושאין שתי נשים, לא משהינן לה י"ב חדש אם רוצה לגרשה, ואם אינה רוצה, מתירין לו לישא אחרת (מרדכי בשם ראב"ן). ויש חולקין שאין להתיר לו לישא אחרת (שם בהג</w:t>
      </w:r>
      <w:r>
        <w:rPr>
          <w:rFonts w:cs="Arial" w:hint="cs"/>
          <w:sz w:val="18"/>
          <w:szCs w:val="18"/>
          <w:rtl/>
        </w:rPr>
        <w:t>מ"ר</w:t>
      </w:r>
      <w:r w:rsidRPr="00B83963">
        <w:rPr>
          <w:rFonts w:cs="Arial"/>
          <w:sz w:val="18"/>
          <w:szCs w:val="18"/>
          <w:rtl/>
        </w:rPr>
        <w:t xml:space="preserve"> ותשובת הרשב"א סי</w:t>
      </w:r>
      <w:r>
        <w:rPr>
          <w:rFonts w:cs="Arial" w:hint="cs"/>
          <w:sz w:val="18"/>
          <w:szCs w:val="18"/>
          <w:rtl/>
        </w:rPr>
        <w:t>'</w:t>
      </w:r>
      <w:r w:rsidRPr="00B83963">
        <w:rPr>
          <w:rFonts w:cs="Arial"/>
          <w:sz w:val="18"/>
          <w:szCs w:val="18"/>
          <w:rtl/>
        </w:rPr>
        <w:t xml:space="preserve"> תתס</w:t>
      </w:r>
      <w:r>
        <w:rPr>
          <w:rFonts w:cs="Arial" w:hint="cs"/>
          <w:sz w:val="18"/>
          <w:szCs w:val="18"/>
          <w:rtl/>
        </w:rPr>
        <w:t>,</w:t>
      </w:r>
      <w:r w:rsidRPr="00B83963">
        <w:rPr>
          <w:rFonts w:cs="Arial"/>
          <w:sz w:val="18"/>
          <w:szCs w:val="18"/>
          <w:rtl/>
        </w:rPr>
        <w:t xml:space="preserve"> ומהרי"ק שורש סג), וכן עיקר. ודוקא בנשואה, אבל ארוסה המורדת על בעלה ואינה רוצה להכנס לו, יגרשנה בעל כרחה, או ישא אחרת, ומתירין לו (שם). ונ"ל דוקא תוך י"ב חדש, אבל לאחר י"ב חדש אם הוא רוצה לגרש צריכה לקבל ממנו בעל כרחה, או מתירין לו לישא</w:t>
      </w:r>
      <w:r>
        <w:rPr>
          <w:rStyle w:val="a7"/>
          <w:rFonts w:cs="Arial"/>
          <w:sz w:val="18"/>
          <w:szCs w:val="18"/>
          <w:rtl/>
        </w:rPr>
        <w:footnoteReference w:id="1350"/>
      </w:r>
      <w:r w:rsidRPr="00B83963">
        <w:rPr>
          <w:rFonts w:cs="Arial"/>
          <w:sz w:val="18"/>
          <w:szCs w:val="18"/>
          <w:rtl/>
        </w:rPr>
        <w:t xml:space="preserve"> אחרת, דאין כח ביד האשה לעגנו לעולם</w:t>
      </w:r>
      <w:r>
        <w:rPr>
          <w:rStyle w:val="a7"/>
          <w:rFonts w:cs="Arial"/>
          <w:sz w:val="18"/>
          <w:szCs w:val="18"/>
          <w:rtl/>
        </w:rPr>
        <w:footnoteReference w:id="1351"/>
      </w:r>
      <w:r w:rsidRPr="00B83963">
        <w:rPr>
          <w:rFonts w:cs="Arial"/>
          <w:sz w:val="18"/>
          <w:szCs w:val="18"/>
          <w:rtl/>
        </w:rPr>
        <w:t>, וכן נראה להורות. וי"א</w:t>
      </w:r>
      <w:r>
        <w:rPr>
          <w:rStyle w:val="a7"/>
          <w:rFonts w:cs="Arial"/>
          <w:sz w:val="18"/>
          <w:szCs w:val="18"/>
          <w:rtl/>
        </w:rPr>
        <w:footnoteReference w:id="1352"/>
      </w:r>
      <w:r w:rsidRPr="00B83963">
        <w:rPr>
          <w:rFonts w:cs="Arial"/>
          <w:sz w:val="18"/>
          <w:szCs w:val="18"/>
          <w:rtl/>
        </w:rPr>
        <w:t xml:space="preserve"> דאפילו תוך י"ב חדש אם עבר ונשא אחרת מחמת מרידתה, אין כופין לגרש (מהרי"ק שורש כט)</w:t>
      </w:r>
      <w:r>
        <w:rPr>
          <w:rFonts w:cs="Arial" w:hint="cs"/>
          <w:sz w:val="18"/>
          <w:szCs w:val="18"/>
          <w:rtl/>
        </w:rPr>
        <w:t>.</w:t>
      </w:r>
      <w:r>
        <w:rPr>
          <w:rFonts w:cs="Arial"/>
          <w:rtl/>
        </w:rPr>
        <w:t xml:space="preserve"> ואפילו היתה נדה או חולה שאינה ראויה לתשמיש</w:t>
      </w:r>
      <w:r>
        <w:rPr>
          <w:rFonts w:cs="Arial" w:hint="cs"/>
          <w:rtl/>
        </w:rPr>
        <w:t>.</w:t>
      </w:r>
      <w:r w:rsidRPr="00B83963">
        <w:rPr>
          <w:rFonts w:cs="Arial"/>
          <w:sz w:val="18"/>
          <w:szCs w:val="18"/>
          <w:rtl/>
        </w:rPr>
        <w:t xml:space="preserve"> </w:t>
      </w:r>
      <w:r>
        <w:rPr>
          <w:rFonts w:cs="Arial" w:hint="cs"/>
          <w:sz w:val="18"/>
          <w:szCs w:val="18"/>
          <w:rtl/>
        </w:rPr>
        <w:t xml:space="preserve">[הגה] </w:t>
      </w:r>
      <w:r w:rsidRPr="00B83963">
        <w:rPr>
          <w:rFonts w:cs="Arial"/>
          <w:sz w:val="18"/>
          <w:szCs w:val="18"/>
          <w:rtl/>
        </w:rPr>
        <w:t>ואין חילוק בין התחילה למרוד קודם חליה או אח"כ (ר"ן, וכ</w:t>
      </w:r>
      <w:r>
        <w:rPr>
          <w:rFonts w:cs="Arial" w:hint="cs"/>
          <w:sz w:val="18"/>
          <w:szCs w:val="18"/>
          <w:rtl/>
        </w:rPr>
        <w:t>"מ</w:t>
      </w:r>
      <w:r w:rsidRPr="00B83963">
        <w:rPr>
          <w:rFonts w:cs="Arial"/>
          <w:sz w:val="18"/>
          <w:szCs w:val="18"/>
          <w:rtl/>
        </w:rPr>
        <w:t xml:space="preserve"> במרדכי בשם ראבי"ה ובהגהות אלפסי), ויש חולקים (שם בשם מוהר"ם)</w:t>
      </w:r>
      <w:r>
        <w:rPr>
          <w:rFonts w:cs="Arial" w:hint="cs"/>
          <w:sz w:val="18"/>
          <w:szCs w:val="18"/>
          <w:rtl/>
        </w:rPr>
        <w:t>.</w:t>
      </w:r>
      <w:r w:rsidRPr="00B83963">
        <w:rPr>
          <w:rFonts w:cs="Arial"/>
          <w:sz w:val="18"/>
          <w:szCs w:val="18"/>
          <w:rtl/>
        </w:rPr>
        <w:t xml:space="preserve"> </w:t>
      </w:r>
      <w:r>
        <w:rPr>
          <w:rFonts w:cs="Arial"/>
          <w:rtl/>
        </w:rPr>
        <w:t>ואפילו היה בעלה מלח שעונתו לששה חדשים, ואפילו יש לו אשה אחרת. וכן ארוסה שהגיע זמנה לינשא, ומרדה כדי לצערו ולא נשאת, הרי זו מורדת מתשמיש. וי</w:t>
      </w:r>
      <w:r>
        <w:rPr>
          <w:rFonts w:cs="Arial" w:hint="cs"/>
          <w:rtl/>
        </w:rPr>
        <w:t xml:space="preserve">ש </w:t>
      </w:r>
      <w:r>
        <w:rPr>
          <w:rFonts w:cs="Arial"/>
          <w:rtl/>
        </w:rPr>
        <w:t>א</w:t>
      </w:r>
      <w:r>
        <w:rPr>
          <w:rFonts w:cs="Arial" w:hint="cs"/>
          <w:rtl/>
        </w:rPr>
        <w:t>ומרים</w:t>
      </w:r>
      <w:r>
        <w:rPr>
          <w:rFonts w:cs="Arial"/>
          <w:rtl/>
        </w:rPr>
        <w:t xml:space="preserve"> שגם יבמה שלא רצתה להתייבם כדי לצערו, כסדר הזה עושין לה. </w:t>
      </w:r>
    </w:p>
    <w:p w14:paraId="577BEEA4" w14:textId="77777777" w:rsidR="002E5BAD" w:rsidRDefault="002E5BAD" w:rsidP="002E5BAD">
      <w:pPr>
        <w:rPr>
          <w:rtl/>
        </w:rPr>
      </w:pPr>
    </w:p>
    <w:p w14:paraId="487EFFAA" w14:textId="77777777" w:rsidR="002E5BAD" w:rsidRDefault="002E5BAD" w:rsidP="002E5BAD">
      <w:pPr>
        <w:pStyle w:val="2"/>
        <w:rPr>
          <w:rtl/>
        </w:rPr>
      </w:pPr>
      <w:r>
        <w:rPr>
          <w:rtl/>
        </w:rPr>
        <w:lastRenderedPageBreak/>
        <w:t>סעיף ג</w:t>
      </w:r>
      <w:r>
        <w:rPr>
          <w:rFonts w:hint="cs"/>
          <w:rtl/>
        </w:rPr>
        <w:t>: עם איזה נכסים יוצאת המורדת.</w:t>
      </w:r>
    </w:p>
    <w:p w14:paraId="4B2300C9" w14:textId="77777777" w:rsidR="002E5BAD" w:rsidRDefault="002E5BAD" w:rsidP="002E5BAD">
      <w:pPr>
        <w:rPr>
          <w:rtl/>
        </w:rPr>
      </w:pPr>
      <w:r>
        <w:rPr>
          <w:rFonts w:hint="cs"/>
          <w:rtl/>
        </w:rPr>
        <w:t>עיין במקורות בסעיף ב.</w:t>
      </w:r>
    </w:p>
    <w:p w14:paraId="18E20BAB" w14:textId="77777777" w:rsidR="002E5BAD" w:rsidRPr="007D5147" w:rsidRDefault="002E5BAD" w:rsidP="002E5BAD">
      <w:r w:rsidRPr="00164B97">
        <w:rPr>
          <w:rFonts w:cs="Arial" w:hint="cs"/>
          <w:u w:val="single"/>
          <w:rtl/>
        </w:rPr>
        <w:t>איש שקידש את אשתו ברמאות והיא</w:t>
      </w:r>
      <w:r>
        <w:rPr>
          <w:rFonts w:cs="Arial" w:hint="cs"/>
          <w:u w:val="single"/>
          <w:rtl/>
        </w:rPr>
        <w:t xml:space="preserve"> אינה חפצה בו ולכן </w:t>
      </w:r>
      <w:r w:rsidRPr="00164B97">
        <w:rPr>
          <w:rFonts w:cs="Arial" w:hint="cs"/>
          <w:u w:val="single"/>
          <w:rtl/>
        </w:rPr>
        <w:t>מורדת</w:t>
      </w:r>
      <w:r>
        <w:rPr>
          <w:rFonts w:cs="Arial" w:hint="cs"/>
          <w:u w:val="single"/>
          <w:rtl/>
        </w:rPr>
        <w:t xml:space="preserve"> מתשמיש</w:t>
      </w:r>
      <w:r w:rsidRPr="00164B97">
        <w:rPr>
          <w:rFonts w:cs="Arial" w:hint="cs"/>
          <w:u w:val="single"/>
          <w:rtl/>
        </w:rPr>
        <w:t>:</w:t>
      </w:r>
      <w:r>
        <w:rPr>
          <w:rFonts w:cs="Arial" w:hint="cs"/>
          <w:rtl/>
        </w:rPr>
        <w:t xml:space="preserve">  </w:t>
      </w:r>
      <w:r w:rsidRPr="00164B97">
        <w:rPr>
          <w:rFonts w:cs="Arial" w:hint="cs"/>
          <w:sz w:val="16"/>
          <w:szCs w:val="16"/>
          <w:rtl/>
        </w:rPr>
        <w:t xml:space="preserve">(דרכ"מ אות </w:t>
      </w:r>
      <w:r w:rsidRPr="00164B97">
        <w:rPr>
          <w:rFonts w:cs="Arial"/>
          <w:sz w:val="16"/>
          <w:szCs w:val="16"/>
          <w:rtl/>
        </w:rPr>
        <w:t xml:space="preserve">יב) </w:t>
      </w:r>
    </w:p>
    <w:p w14:paraId="32E66122" w14:textId="77777777" w:rsidR="002E5BAD" w:rsidRPr="00937ED7" w:rsidRDefault="002E5BAD" w:rsidP="002E5BAD">
      <w:pPr>
        <w:pStyle w:val="ab"/>
        <w:numPr>
          <w:ilvl w:val="0"/>
          <w:numId w:val="158"/>
        </w:numPr>
        <w:rPr>
          <w:rtl/>
        </w:rPr>
      </w:pPr>
      <w:r w:rsidRPr="00A74C2B">
        <w:rPr>
          <w:rFonts w:cs="Arial"/>
          <w:rtl/>
        </w:rPr>
        <w:t xml:space="preserve">רא"ש </w:t>
      </w:r>
      <w:r w:rsidRPr="00164B97">
        <w:rPr>
          <w:rFonts w:cs="Arial" w:hint="cs"/>
          <w:sz w:val="16"/>
          <w:szCs w:val="16"/>
          <w:rtl/>
        </w:rPr>
        <w:t>(</w:t>
      </w:r>
      <w:r w:rsidRPr="00164B97">
        <w:rPr>
          <w:rFonts w:cs="Arial"/>
          <w:sz w:val="16"/>
          <w:szCs w:val="16"/>
          <w:rtl/>
        </w:rPr>
        <w:t>כלל לה ס</w:t>
      </w:r>
      <w:r w:rsidRPr="00164B97">
        <w:rPr>
          <w:rFonts w:cs="Arial" w:hint="cs"/>
          <w:sz w:val="16"/>
          <w:szCs w:val="16"/>
          <w:rtl/>
        </w:rPr>
        <w:t>"ס א)</w:t>
      </w:r>
      <w:r w:rsidRPr="00164B97">
        <w:rPr>
          <w:rFonts w:cs="Arial"/>
          <w:sz w:val="16"/>
          <w:szCs w:val="16"/>
          <w:rtl/>
        </w:rPr>
        <w:t xml:space="preserve"> </w:t>
      </w:r>
      <w:r>
        <w:rPr>
          <w:rFonts w:cs="Arial" w:hint="cs"/>
          <w:rtl/>
        </w:rPr>
        <w:t>ו</w:t>
      </w:r>
      <w:r w:rsidRPr="00A74C2B">
        <w:rPr>
          <w:rFonts w:cs="Arial"/>
          <w:rtl/>
        </w:rPr>
        <w:t xml:space="preserve">מהרי"ו </w:t>
      </w:r>
      <w:r w:rsidRPr="00164B97">
        <w:rPr>
          <w:rFonts w:cs="Arial" w:hint="cs"/>
          <w:sz w:val="16"/>
          <w:szCs w:val="16"/>
          <w:rtl/>
        </w:rPr>
        <w:t>(</w:t>
      </w:r>
      <w:r w:rsidRPr="00164B97">
        <w:rPr>
          <w:rFonts w:cs="Arial"/>
          <w:sz w:val="16"/>
          <w:szCs w:val="16"/>
          <w:rtl/>
        </w:rPr>
        <w:t>סי</w:t>
      </w:r>
      <w:r w:rsidRPr="00164B97">
        <w:rPr>
          <w:rFonts w:cs="Arial" w:hint="cs"/>
          <w:sz w:val="16"/>
          <w:szCs w:val="16"/>
          <w:rtl/>
        </w:rPr>
        <w:t>'</w:t>
      </w:r>
      <w:r w:rsidRPr="00164B97">
        <w:rPr>
          <w:rFonts w:cs="Arial"/>
          <w:sz w:val="16"/>
          <w:szCs w:val="16"/>
          <w:rtl/>
        </w:rPr>
        <w:t xml:space="preserve"> קלז</w:t>
      </w:r>
      <w:r w:rsidRPr="00164B97">
        <w:rPr>
          <w:rFonts w:cs="Arial" w:hint="cs"/>
          <w:sz w:val="16"/>
          <w:szCs w:val="16"/>
          <w:rtl/>
        </w:rPr>
        <w:t>)</w:t>
      </w:r>
      <w:r>
        <w:rPr>
          <w:rFonts w:cs="Arial" w:hint="cs"/>
          <w:rtl/>
        </w:rPr>
        <w:t xml:space="preserve">- </w:t>
      </w:r>
      <w:r w:rsidRPr="00A74C2B">
        <w:rPr>
          <w:rFonts w:cs="Arial"/>
          <w:rtl/>
        </w:rPr>
        <w:t>מיהו אם קדשה ברמאות ועשה שלא כהוגן והיא מורדת בו יש לסמוך ארבותינו האומרים שכופין אותו לגרש</w:t>
      </w:r>
      <w:r>
        <w:rPr>
          <w:rStyle w:val="a7"/>
          <w:rFonts w:cs="Arial"/>
          <w:rtl/>
        </w:rPr>
        <w:footnoteReference w:id="1353"/>
      </w:r>
      <w:r>
        <w:rPr>
          <w:rFonts w:cs="Arial" w:hint="cs"/>
          <w:sz w:val="16"/>
          <w:szCs w:val="16"/>
          <w:rtl/>
        </w:rPr>
        <w:t xml:space="preserve"> (ל' הדרכ"מ בשם הרא"ש)</w:t>
      </w:r>
      <w:r>
        <w:rPr>
          <w:rFonts w:cs="Arial" w:hint="cs"/>
          <w:rtl/>
        </w:rPr>
        <w:t>.</w:t>
      </w:r>
      <w:r w:rsidRPr="00050974">
        <w:rPr>
          <w:rFonts w:cs="Arial" w:hint="cs"/>
          <w:color w:val="00B0F0"/>
          <w:rtl/>
        </w:rPr>
        <w:t xml:space="preserve"> </w:t>
      </w:r>
      <w:r w:rsidRPr="0087405A">
        <w:rPr>
          <w:rFonts w:cs="Arial" w:hint="cs"/>
          <w:color w:val="00B0F0"/>
          <w:rtl/>
        </w:rPr>
        <w:t>(וכ"פ הרמ"א)</w:t>
      </w:r>
    </w:p>
    <w:p w14:paraId="4B29302A" w14:textId="77777777" w:rsidR="002E5BAD" w:rsidRPr="004C69FE" w:rsidRDefault="002E5BAD" w:rsidP="002E5BAD">
      <w:pPr>
        <w:rPr>
          <w:rFonts w:cs="Arial"/>
          <w:u w:val="single"/>
        </w:rPr>
      </w:pPr>
      <w:r w:rsidRPr="004C69FE">
        <w:rPr>
          <w:rFonts w:cs="Arial" w:hint="cs"/>
          <w:u w:val="single"/>
          <w:rtl/>
        </w:rPr>
        <w:t xml:space="preserve">האם מלבושים שהכניסה הכלה עליה יכולים להחשב מנכסי צאן ברזל: </w:t>
      </w:r>
    </w:p>
    <w:p w14:paraId="06299ACC" w14:textId="77777777" w:rsidR="002E5BAD" w:rsidRDefault="002E5BAD" w:rsidP="002E5BAD">
      <w:pPr>
        <w:pStyle w:val="ab"/>
        <w:numPr>
          <w:ilvl w:val="0"/>
          <w:numId w:val="158"/>
        </w:numPr>
        <w:rPr>
          <w:rFonts w:cs="Arial"/>
        </w:rPr>
      </w:pPr>
      <w:r w:rsidRPr="004C69FE">
        <w:rPr>
          <w:rFonts w:cs="Arial" w:hint="cs"/>
          <w:rtl/>
        </w:rPr>
        <w:t xml:space="preserve">רא"ש </w:t>
      </w:r>
      <w:r w:rsidRPr="004C69FE">
        <w:rPr>
          <w:rFonts w:cs="Arial" w:hint="cs"/>
          <w:sz w:val="16"/>
          <w:szCs w:val="16"/>
          <w:rtl/>
        </w:rPr>
        <w:t>(</w:t>
      </w:r>
      <w:r w:rsidRPr="00164C05">
        <w:rPr>
          <w:rFonts w:cs="Arial"/>
          <w:sz w:val="16"/>
          <w:szCs w:val="16"/>
          <w:rtl/>
        </w:rPr>
        <w:t>כלל מג סי</w:t>
      </w:r>
      <w:r w:rsidRPr="00164C05">
        <w:rPr>
          <w:rFonts w:cs="Arial" w:hint="cs"/>
          <w:sz w:val="16"/>
          <w:szCs w:val="16"/>
          <w:rtl/>
        </w:rPr>
        <w:t>'</w:t>
      </w:r>
      <w:r w:rsidRPr="00164C05">
        <w:rPr>
          <w:rFonts w:cs="Arial"/>
          <w:sz w:val="16"/>
          <w:szCs w:val="16"/>
          <w:rtl/>
        </w:rPr>
        <w:t xml:space="preserve"> ט</w:t>
      </w:r>
      <w:r w:rsidRPr="004C69FE">
        <w:rPr>
          <w:rFonts w:cs="Arial" w:hint="cs"/>
          <w:sz w:val="16"/>
          <w:szCs w:val="16"/>
          <w:rtl/>
        </w:rPr>
        <w:t>, כ"כ הטור בשמו)</w:t>
      </w:r>
      <w:r w:rsidRPr="004C69FE">
        <w:rPr>
          <w:rFonts w:cs="Arial" w:hint="cs"/>
          <w:rtl/>
        </w:rPr>
        <w:t xml:space="preserve">- </w:t>
      </w:r>
      <w:r w:rsidRPr="004C69FE">
        <w:rPr>
          <w:rFonts w:cs="Arial"/>
          <w:rtl/>
        </w:rPr>
        <w:t>אשה שהכניסה לבעלה מלבושים לבושים עליה אין אני קורא בהם נכסי צאן ברזל שאין דרך לשום המלבושים שעל הכלה</w:t>
      </w:r>
      <w:r w:rsidRPr="004C69FE">
        <w:rPr>
          <w:rFonts w:cs="Arial" w:hint="cs"/>
          <w:rtl/>
        </w:rPr>
        <w:t>.</w:t>
      </w:r>
      <w:r w:rsidRPr="004C69FE">
        <w:rPr>
          <w:rFonts w:cs="Arial"/>
          <w:rtl/>
        </w:rPr>
        <w:t xml:space="preserve"> ונכסי צאן ברזל היינו שומא שהאשה מכנסת לבעלה</w:t>
      </w:r>
      <w:r w:rsidRPr="004C69FE">
        <w:rPr>
          <w:rFonts w:cs="Arial" w:hint="cs"/>
          <w:rtl/>
        </w:rPr>
        <w:t>.</w:t>
      </w:r>
      <w:r w:rsidRPr="00050974">
        <w:rPr>
          <w:rFonts w:cs="Arial" w:hint="cs"/>
          <w:color w:val="00B0F0"/>
          <w:rtl/>
        </w:rPr>
        <w:t xml:space="preserve"> </w:t>
      </w:r>
      <w:r w:rsidRPr="0087405A">
        <w:rPr>
          <w:rFonts w:cs="Arial" w:hint="cs"/>
          <w:color w:val="00B0F0"/>
          <w:rtl/>
        </w:rPr>
        <w:t>(וכ"פ הרמ"א)</w:t>
      </w:r>
    </w:p>
    <w:p w14:paraId="052427EE"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71C8231" w14:textId="77777777" w:rsidR="002E5BAD" w:rsidRDefault="002E5BAD" w:rsidP="002E5BAD">
      <w:pPr>
        <w:rPr>
          <w:rtl/>
        </w:rPr>
      </w:pPr>
      <w:r>
        <w:rPr>
          <w:rFonts w:cs="Arial"/>
          <w:rtl/>
        </w:rPr>
        <w:t>המורדת הזאת, כשהיא יוצאת אחר י"ב חדש בלא כתובה, תחזיר כל דבר שהוא של בעל, אבל נכסים שהכניסה לו, ובלאותיה קיימים, אם תפסה אין מוציאין מידה</w:t>
      </w:r>
      <w:r>
        <w:rPr>
          <w:rFonts w:cs="Arial" w:hint="cs"/>
          <w:rtl/>
        </w:rPr>
        <w:t>.</w:t>
      </w:r>
      <w:r>
        <w:rPr>
          <w:rFonts w:cs="Arial"/>
          <w:rtl/>
        </w:rPr>
        <w:t xml:space="preserve"> ואם לא תפסה אין נותנין לה</w:t>
      </w:r>
      <w:r>
        <w:rPr>
          <w:rFonts w:cs="Arial" w:hint="cs"/>
          <w:rtl/>
        </w:rPr>
        <w:t>.</w:t>
      </w:r>
      <w:r>
        <w:rPr>
          <w:rFonts w:cs="Arial"/>
          <w:rtl/>
        </w:rPr>
        <w:t xml:space="preserve"> </w:t>
      </w:r>
      <w:r>
        <w:rPr>
          <w:rFonts w:cs="Arial" w:hint="cs"/>
          <w:sz w:val="18"/>
          <w:szCs w:val="18"/>
          <w:rtl/>
        </w:rPr>
        <w:t xml:space="preserve">[הגה] </w:t>
      </w:r>
      <w:r w:rsidRPr="00BD29D0">
        <w:rPr>
          <w:rFonts w:cs="Arial"/>
          <w:sz w:val="18"/>
          <w:szCs w:val="18"/>
          <w:rtl/>
        </w:rPr>
        <w:t>וקרקעות של צאן ברזל היא נוטלתן (טור)</w:t>
      </w:r>
      <w:r>
        <w:rPr>
          <w:rFonts w:cs="Arial"/>
          <w:rtl/>
        </w:rPr>
        <w:t xml:space="preserve">, וכן כל מה שאבד מנכסיה שקבל הבעל אחריותן עליו, אינו משלם לה כלום. </w:t>
      </w:r>
      <w:r w:rsidRPr="00BD29D0">
        <w:rPr>
          <w:rFonts w:cs="Arial"/>
          <w:sz w:val="18"/>
          <w:szCs w:val="18"/>
          <w:rtl/>
        </w:rPr>
        <w:t>הגה: וכל זה בנכסי צאן ברזל, אבל נכסי מלוג שלה, ברשותה הם והיא נוטלתן (טור). וי"א דכל זה באינה נותנת אמתלא וטעם לדבריה למה אומרת מאיס עלי; אבל בנותנת אמתלא לדבריה, כגון שאומרת שאינו הולך בדרך ישרה</w:t>
      </w:r>
      <w:r>
        <w:rPr>
          <w:rFonts w:cs="Arial" w:hint="cs"/>
          <w:sz w:val="18"/>
          <w:szCs w:val="18"/>
          <w:rtl/>
        </w:rPr>
        <w:t>,</w:t>
      </w:r>
      <w:r w:rsidRPr="00BD29D0">
        <w:rPr>
          <w:rFonts w:cs="Arial"/>
          <w:sz w:val="18"/>
          <w:szCs w:val="18"/>
          <w:rtl/>
        </w:rPr>
        <w:t xml:space="preserve"> ומכלה ממונו וכיוצא בזה, אז דיינינן לה כדינא שתקנו הגאונים (טור בשם מהר"ם) ונקרא דינא דמתיבתא, שהבעל צריך להחזיר לה כל מה שהכניסה לו בנדונייתא, דהיינו צאן ברזל אם הם בעין וראויין למלאכתם הראשונה נוטלת הכל כמו שהוא, ואם אינן ראוין למלאכתם הראשונה, וכל שכן אם נגנבו או נאבדו, צריך הבעל לשלם הכל</w:t>
      </w:r>
      <w:r>
        <w:rPr>
          <w:rFonts w:cs="Arial" w:hint="cs"/>
          <w:sz w:val="18"/>
          <w:szCs w:val="18"/>
          <w:rtl/>
        </w:rPr>
        <w:t>.</w:t>
      </w:r>
      <w:r w:rsidRPr="00BD29D0">
        <w:rPr>
          <w:rFonts w:cs="Arial"/>
          <w:sz w:val="18"/>
          <w:szCs w:val="18"/>
          <w:rtl/>
        </w:rPr>
        <w:t xml:space="preserve"> ו</w:t>
      </w:r>
      <w:r>
        <w:rPr>
          <w:rFonts w:cs="Arial"/>
          <w:sz w:val="18"/>
          <w:szCs w:val="18"/>
          <w:rtl/>
        </w:rPr>
        <w:t>נכסי מלוג</w:t>
      </w:r>
      <w:r w:rsidRPr="00BD29D0">
        <w:rPr>
          <w:rFonts w:cs="Arial"/>
          <w:sz w:val="18"/>
          <w:szCs w:val="18"/>
          <w:rtl/>
        </w:rPr>
        <w:t xml:space="preserve"> שלה, אם הם בעין או דבר הבא מכחם, נוטלתן, אבל אם כלו לגמרי אין הבעל צריך לשלם (דינא דמתיבתא טור בשם הרי"ף), אבל כל מה שנתן לה או כתב לה אינה נוטלת כלום, ואפילו תפסה צריכה להחזיר (מרדכי פ' אף על פי). ואין כופין אותו לגרש, ולא אותה להיות אצלו (טור ב</w:t>
      </w:r>
      <w:r>
        <w:rPr>
          <w:rFonts w:cs="Arial" w:hint="cs"/>
          <w:sz w:val="18"/>
          <w:szCs w:val="18"/>
          <w:rtl/>
        </w:rPr>
        <w:t>שם הרא"ש בתשו'</w:t>
      </w:r>
      <w:r w:rsidRPr="00BD29D0">
        <w:rPr>
          <w:rFonts w:cs="Arial"/>
          <w:sz w:val="18"/>
          <w:szCs w:val="18"/>
          <w:rtl/>
        </w:rPr>
        <w:t>). ואם עשה שלא כהוגן שקדשה ברמאות ובתחבולות, כופין אותו לגרש (הרא"ש כלל ל"ה). וי"א עוד דמטילין חרם (טור בשם מוהר"ם). אם בני אדם למדוה למרוד, או שעושה כך משום כעס וקטטה, או להוציא ממונו ממנו, אז אפילו מה שתפסה מנכסיה נוטלין מידה ומחזירין לבעל (מרדכי פ' אף על פי). ואין חילוק בין אם תפסה או לא, אלא בטוענת מאיס ואינה נותנת אמתלא מבוררת לדבריה, אבל מ"מ נותנת אמתלא ואין בזה רמאות</w:t>
      </w:r>
      <w:r>
        <w:rPr>
          <w:rFonts w:cs="Arial" w:hint="cs"/>
          <w:sz w:val="18"/>
          <w:szCs w:val="18"/>
          <w:rtl/>
        </w:rPr>
        <w:t xml:space="preserve"> (הגמ"ר).</w:t>
      </w:r>
      <w:r w:rsidRPr="00BD29D0">
        <w:rPr>
          <w:rFonts w:cs="Arial"/>
          <w:sz w:val="18"/>
          <w:szCs w:val="18"/>
          <w:rtl/>
        </w:rPr>
        <w:t xml:space="preserve"> והב"ד ידונו בזה לפי ראות עיניהם</w:t>
      </w:r>
      <w:r>
        <w:rPr>
          <w:rFonts w:cs="Arial" w:hint="cs"/>
          <w:sz w:val="18"/>
          <w:szCs w:val="18"/>
          <w:rtl/>
        </w:rPr>
        <w:t>,</w:t>
      </w:r>
      <w:r w:rsidRPr="00BD29D0">
        <w:rPr>
          <w:rFonts w:cs="Arial"/>
          <w:sz w:val="18"/>
          <w:szCs w:val="18"/>
          <w:rtl/>
        </w:rPr>
        <w:t xml:space="preserve"> ויכולין להשביע אותה על כך, אם טוענת באמת מאיס עלי (מהרי"ו סי</w:t>
      </w:r>
      <w:r>
        <w:rPr>
          <w:rFonts w:cs="Arial" w:hint="cs"/>
          <w:sz w:val="18"/>
          <w:szCs w:val="18"/>
          <w:rtl/>
        </w:rPr>
        <w:t xml:space="preserve">' </w:t>
      </w:r>
      <w:r w:rsidRPr="00BD29D0">
        <w:rPr>
          <w:rFonts w:cs="Arial"/>
          <w:sz w:val="18"/>
          <w:szCs w:val="18"/>
          <w:rtl/>
        </w:rPr>
        <w:t>כ)</w:t>
      </w:r>
      <w:r>
        <w:rPr>
          <w:rFonts w:cs="Arial" w:hint="cs"/>
          <w:sz w:val="18"/>
          <w:szCs w:val="18"/>
          <w:rtl/>
        </w:rPr>
        <w:t>.</w:t>
      </w:r>
      <w:r w:rsidRPr="00BD29D0">
        <w:rPr>
          <w:rFonts w:cs="Arial"/>
          <w:sz w:val="18"/>
          <w:szCs w:val="18"/>
          <w:rtl/>
        </w:rPr>
        <w:t xml:space="preserve"> וכן ראוי להורות. וכל זמן שלא נתן גט, אין לו כפייה ונגישה עליה, אבל מ"מ אין לה ליתן משלה לאחרים, ויכול למחות בה, דאם מתה ירשנה (שם). אפילו במקום שכופין אותו לגרש, במורדת, אם מתה קודם שגרשה, יורש אותה, דאין ירושתה נפקעת אלא בגירושין (טור בשם גאון). אם אביה תפס מנדוניא שהכניסה לבעלה, מהני כאלו תפסה היא בעצמה (מרדכי </w:t>
      </w:r>
      <w:r>
        <w:rPr>
          <w:rFonts w:cs="Arial" w:hint="cs"/>
          <w:sz w:val="18"/>
          <w:szCs w:val="18"/>
          <w:rtl/>
        </w:rPr>
        <w:t xml:space="preserve">והגה"מ </w:t>
      </w:r>
      <w:r w:rsidRPr="00BD29D0">
        <w:rPr>
          <w:rFonts w:cs="Arial"/>
          <w:sz w:val="18"/>
          <w:szCs w:val="18"/>
          <w:rtl/>
        </w:rPr>
        <w:t xml:space="preserve">בשם תשובת מוהר"ם). הבגדים שהכניסה הכלה אין להם דין </w:t>
      </w:r>
      <w:r>
        <w:rPr>
          <w:rFonts w:cs="Arial"/>
          <w:sz w:val="18"/>
          <w:szCs w:val="18"/>
          <w:rtl/>
        </w:rPr>
        <w:t>צאן ברזל</w:t>
      </w:r>
      <w:r w:rsidRPr="00BD29D0">
        <w:rPr>
          <w:rFonts w:cs="Arial"/>
          <w:sz w:val="18"/>
          <w:szCs w:val="18"/>
          <w:rtl/>
        </w:rPr>
        <w:t xml:space="preserve">, ואין </w:t>
      </w:r>
      <w:r>
        <w:rPr>
          <w:rFonts w:cs="Arial"/>
          <w:sz w:val="18"/>
          <w:szCs w:val="18"/>
          <w:rtl/>
        </w:rPr>
        <w:t>צאן ברזל</w:t>
      </w:r>
      <w:r w:rsidRPr="00BD29D0">
        <w:rPr>
          <w:rFonts w:cs="Arial"/>
          <w:sz w:val="18"/>
          <w:szCs w:val="18"/>
          <w:rtl/>
        </w:rPr>
        <w:t xml:space="preserve"> אלא השומא שמכנסת האשה לבעלה (טור בשם הרא"ש).</w:t>
      </w:r>
      <w:r>
        <w:rPr>
          <w:rFonts w:cs="Arial"/>
          <w:rtl/>
        </w:rPr>
        <w:t xml:space="preserve"> </w:t>
      </w:r>
    </w:p>
    <w:p w14:paraId="7BBB7C7F" w14:textId="77777777" w:rsidR="002E5BAD" w:rsidRPr="00393142" w:rsidRDefault="002E5BAD" w:rsidP="002E5BAD">
      <w:pPr>
        <w:rPr>
          <w:color w:val="FF0000"/>
          <w:rtl/>
        </w:rPr>
      </w:pPr>
      <w:r w:rsidRPr="00393142">
        <w:rPr>
          <w:rFonts w:hint="cs"/>
          <w:color w:val="FF0000"/>
          <w:rtl/>
        </w:rPr>
        <w:t>לא למדתי פת"ש ח"מ וב"ש על סעיפים א-ג</w:t>
      </w:r>
    </w:p>
    <w:p w14:paraId="62A40726" w14:textId="77777777" w:rsidR="002E5BAD" w:rsidRDefault="002E5BAD" w:rsidP="002E5BAD">
      <w:pPr>
        <w:rPr>
          <w:rtl/>
        </w:rPr>
      </w:pPr>
    </w:p>
    <w:p w14:paraId="49B3361D" w14:textId="77777777" w:rsidR="002E5BAD" w:rsidRDefault="002E5BAD" w:rsidP="002E5BAD">
      <w:pPr>
        <w:pStyle w:val="2"/>
        <w:rPr>
          <w:rtl/>
        </w:rPr>
      </w:pPr>
      <w:r>
        <w:rPr>
          <w:rtl/>
        </w:rPr>
        <w:t>סעיף ד</w:t>
      </w:r>
      <w:r>
        <w:rPr>
          <w:rFonts w:hint="cs"/>
          <w:rtl/>
        </w:rPr>
        <w:t xml:space="preserve">: הבעל אומר 'היא מורדת' והאשה אומרת 'איני מורדת' </w:t>
      </w:r>
      <w:r>
        <w:rPr>
          <w:rFonts w:hint="cs"/>
          <w:sz w:val="18"/>
          <w:szCs w:val="18"/>
          <w:rtl/>
        </w:rPr>
        <w:t>(וכן להפך)</w:t>
      </w:r>
      <w:r>
        <w:rPr>
          <w:rFonts w:hint="cs"/>
          <w:rtl/>
        </w:rPr>
        <w:t>.</w:t>
      </w:r>
    </w:p>
    <w:p w14:paraId="7B2FD34B" w14:textId="77777777" w:rsidR="002E5BAD" w:rsidRDefault="002E5BAD" w:rsidP="002E5BAD">
      <w:pPr>
        <w:rPr>
          <w:sz w:val="16"/>
          <w:szCs w:val="16"/>
          <w:rtl/>
        </w:rPr>
      </w:pPr>
      <w:r w:rsidRPr="005B2FE8">
        <w:rPr>
          <w:rFonts w:cs="Arial" w:hint="cs"/>
          <w:b/>
          <w:bCs/>
          <w:rtl/>
        </w:rPr>
        <w:t xml:space="preserve">ירושלמי נדרים פי"א הי"ב: </w:t>
      </w:r>
      <w:r w:rsidRPr="005B2FE8">
        <w:rPr>
          <w:rFonts w:cs="Arial"/>
          <w:u w:val="double"/>
          <w:rtl/>
        </w:rPr>
        <w:t>מתני'</w:t>
      </w:r>
      <w:r>
        <w:rPr>
          <w:rFonts w:cs="Arial" w:hint="cs"/>
          <w:rtl/>
        </w:rPr>
        <w:t>:</w:t>
      </w:r>
      <w:r w:rsidRPr="005B2FE8">
        <w:rPr>
          <w:rFonts w:cs="Arial"/>
          <w:rtl/>
        </w:rPr>
        <w:t xml:space="preserve"> בראשונה היו אומרי' שלש נשים יוצאות ונוטלות כתוב'</w:t>
      </w:r>
      <w:r>
        <w:rPr>
          <w:rFonts w:cs="Arial" w:hint="cs"/>
          <w:rtl/>
        </w:rPr>
        <w:t>,</w:t>
      </w:r>
      <w:r w:rsidRPr="005B2FE8">
        <w:rPr>
          <w:rFonts w:cs="Arial"/>
          <w:rtl/>
        </w:rPr>
        <w:t xml:space="preserve"> האומרת טמאה אני לך</w:t>
      </w:r>
      <w:r>
        <w:rPr>
          <w:rFonts w:cs="Arial" w:hint="cs"/>
          <w:rtl/>
        </w:rPr>
        <w:t>,</w:t>
      </w:r>
      <w:r w:rsidRPr="005B2FE8">
        <w:rPr>
          <w:rFonts w:cs="Arial"/>
          <w:rtl/>
        </w:rPr>
        <w:t xml:space="preserve"> שמים ביני לבינך</w:t>
      </w:r>
      <w:r>
        <w:rPr>
          <w:rFonts w:cs="Arial" w:hint="cs"/>
          <w:rtl/>
        </w:rPr>
        <w:t>,</w:t>
      </w:r>
      <w:r w:rsidRPr="005B2FE8">
        <w:rPr>
          <w:rFonts w:cs="Arial"/>
          <w:rtl/>
        </w:rPr>
        <w:t xml:space="preserve"> ונטולה אני מן היהודים</w:t>
      </w:r>
      <w:r>
        <w:rPr>
          <w:rFonts w:cs="Arial" w:hint="cs"/>
          <w:rtl/>
        </w:rPr>
        <w:t>.</w:t>
      </w:r>
      <w:r w:rsidRPr="005B2FE8">
        <w:rPr>
          <w:rFonts w:cs="Arial"/>
          <w:rtl/>
        </w:rPr>
        <w:t xml:space="preserve"> חזרו לומר שלא תהא אשה נותנת עיניה באחר ומקלקלת על בעלה</w:t>
      </w:r>
      <w:r>
        <w:rPr>
          <w:rFonts w:cs="Arial" w:hint="cs"/>
          <w:rtl/>
        </w:rPr>
        <w:t>,</w:t>
      </w:r>
      <w:r w:rsidRPr="005B2FE8">
        <w:rPr>
          <w:rFonts w:cs="Arial"/>
          <w:rtl/>
        </w:rPr>
        <w:t xml:space="preserve"> האומרת טמאה אני לך תביא ראייה לדבריה</w:t>
      </w:r>
      <w:r>
        <w:rPr>
          <w:rFonts w:cs="Arial" w:hint="cs"/>
          <w:rtl/>
        </w:rPr>
        <w:t>,</w:t>
      </w:r>
      <w:r w:rsidRPr="005B2FE8">
        <w:rPr>
          <w:rFonts w:cs="Arial"/>
          <w:rtl/>
        </w:rPr>
        <w:t xml:space="preserve"> שמים ביני לבינך יעשו דרך בקשה</w:t>
      </w:r>
      <w:r>
        <w:rPr>
          <w:rFonts w:cs="Arial" w:hint="cs"/>
          <w:rtl/>
        </w:rPr>
        <w:t>,</w:t>
      </w:r>
      <w:r w:rsidRPr="005B2FE8">
        <w:rPr>
          <w:rFonts w:cs="Arial"/>
          <w:rtl/>
        </w:rPr>
        <w:t xml:space="preserve"> ונטולה אני מן היהודים יפר חלקו ומשמשתו ותהא נטולה מן היהודים</w:t>
      </w:r>
      <w:r>
        <w:rPr>
          <w:rFonts w:cs="Arial" w:hint="cs"/>
          <w:rtl/>
        </w:rPr>
        <w:t>.</w:t>
      </w:r>
      <w:r w:rsidRPr="005B2FE8">
        <w:rPr>
          <w:rFonts w:cs="Arial"/>
          <w:rtl/>
        </w:rPr>
        <w:t xml:space="preserve"> </w:t>
      </w:r>
      <w:r>
        <w:rPr>
          <w:rFonts w:cs="Arial" w:hint="cs"/>
          <w:rtl/>
        </w:rPr>
        <w:t xml:space="preserve">     </w:t>
      </w:r>
      <w:r w:rsidRPr="005B2FE8">
        <w:rPr>
          <w:rFonts w:cs="Arial"/>
          <w:u w:val="double"/>
          <w:rtl/>
        </w:rPr>
        <w:t>גמ'</w:t>
      </w:r>
      <w:r>
        <w:rPr>
          <w:rFonts w:cs="Arial" w:hint="cs"/>
          <w:rtl/>
        </w:rPr>
        <w:t>:</w:t>
      </w:r>
      <w:r w:rsidRPr="005B2FE8">
        <w:rPr>
          <w:rFonts w:cs="Arial"/>
          <w:rtl/>
        </w:rPr>
        <w:t xml:space="preserve"> שמים ביני לבינך. כמא דשמיא רחיקין מן ארעא כן תהא האי איתתא רחיקא מן ההוא גברא. יעשו דרך בקשה. </w:t>
      </w:r>
      <w:r w:rsidRPr="005B2FE8">
        <w:rPr>
          <w:rFonts w:cs="Arial"/>
          <w:u w:val="single"/>
          <w:rtl/>
        </w:rPr>
        <w:t>אמר רב הונא</w:t>
      </w:r>
      <w:r>
        <w:rPr>
          <w:rFonts w:cs="Arial" w:hint="cs"/>
          <w:rtl/>
        </w:rPr>
        <w:t>:</w:t>
      </w:r>
      <w:r w:rsidRPr="005B2FE8">
        <w:rPr>
          <w:rFonts w:cs="Arial"/>
          <w:rtl/>
        </w:rPr>
        <w:t xml:space="preserve"> יעשו סעודה והן מתרגלין לבוא דרך סעודה</w:t>
      </w:r>
      <w:r w:rsidRPr="00872C45">
        <w:rPr>
          <w:rFonts w:cs="Arial"/>
          <w:rtl/>
        </w:rPr>
        <w:t>.</w:t>
      </w:r>
      <w:r>
        <w:rPr>
          <w:rFonts w:cs="Arial" w:hint="cs"/>
          <w:rtl/>
        </w:rPr>
        <w:t xml:space="preserve"> </w:t>
      </w:r>
      <w:r>
        <w:rPr>
          <w:rFonts w:cs="Arial" w:hint="cs"/>
          <w:sz w:val="16"/>
          <w:szCs w:val="16"/>
          <w:rtl/>
        </w:rPr>
        <w:t>(ומשנה זו מובאת בבבלי בסוף נדרים (צ:), ושם מתפרש דמה שאמרה 'השמים בינו לבינה' היינו שאינו יורה כחץ, וזהו שלא כפירוש הירושלמי, ואעפ"כ למד הרמב"ם מהירושלמי</w:t>
      </w:r>
      <w:r w:rsidRPr="00C1620F">
        <w:rPr>
          <w:rFonts w:cs="Arial"/>
          <w:rtl/>
        </w:rPr>
        <w:t xml:space="preserve"> </w:t>
      </w:r>
      <w:r w:rsidRPr="00C1620F">
        <w:rPr>
          <w:rFonts w:cs="Arial"/>
          <w:sz w:val="16"/>
          <w:szCs w:val="16"/>
          <w:rtl/>
        </w:rPr>
        <w:t>שאף בטוענת שאינו עמה והוא מכחיש יעשו פשרה</w:t>
      </w:r>
      <w:r>
        <w:rPr>
          <w:rFonts w:cs="Arial" w:hint="cs"/>
          <w:sz w:val="16"/>
          <w:szCs w:val="16"/>
          <w:rtl/>
        </w:rPr>
        <w:t>.</w:t>
      </w:r>
      <w:r w:rsidRPr="00C1620F">
        <w:rPr>
          <w:rFonts w:cs="Arial"/>
          <w:sz w:val="16"/>
          <w:szCs w:val="16"/>
          <w:rtl/>
        </w:rPr>
        <w:t xml:space="preserve"> והראב"ד השיג על הרמב"ם בדין זה</w:t>
      </w:r>
      <w:r>
        <w:rPr>
          <w:rFonts w:cs="Arial" w:hint="cs"/>
          <w:sz w:val="16"/>
          <w:szCs w:val="16"/>
          <w:rtl/>
        </w:rPr>
        <w:t>.</w:t>
      </w:r>
      <w:r w:rsidRPr="00C1620F">
        <w:rPr>
          <w:rFonts w:cs="Arial"/>
          <w:sz w:val="16"/>
          <w:szCs w:val="16"/>
          <w:rtl/>
        </w:rPr>
        <w:t xml:space="preserve"> והרב המגיד טען בעד</w:t>
      </w:r>
      <w:r>
        <w:rPr>
          <w:rFonts w:cs="Arial" w:hint="cs"/>
          <w:sz w:val="16"/>
          <w:szCs w:val="16"/>
          <w:rtl/>
        </w:rPr>
        <w:t xml:space="preserve"> הרמב"ם, ע"פ הה"מ)</w:t>
      </w:r>
    </w:p>
    <w:p w14:paraId="74C9DF80" w14:textId="77777777" w:rsidR="002E5BAD" w:rsidRPr="00E52E9A" w:rsidRDefault="002E5BAD" w:rsidP="002E5BAD">
      <w:pPr>
        <w:rPr>
          <w:rFonts w:cs="Arial"/>
          <w:rtl/>
        </w:rPr>
      </w:pPr>
      <w:r>
        <w:rPr>
          <w:rFonts w:cs="Arial" w:hint="cs"/>
          <w:b/>
          <w:bCs/>
          <w:rtl/>
        </w:rPr>
        <w:t xml:space="preserve">נדה </w:t>
      </w:r>
      <w:r>
        <w:rPr>
          <w:rFonts w:cs="Arial" w:hint="cs"/>
          <w:b/>
          <w:bCs/>
          <w:sz w:val="16"/>
          <w:szCs w:val="16"/>
          <w:rtl/>
        </w:rPr>
        <w:t xml:space="preserve">(פ' כל היד [פ"ב]) </w:t>
      </w:r>
      <w:r>
        <w:rPr>
          <w:rFonts w:cs="Arial" w:hint="cs"/>
          <w:b/>
          <w:bCs/>
          <w:rtl/>
        </w:rPr>
        <w:t xml:space="preserve">טז ע"ב: </w:t>
      </w:r>
      <w:r w:rsidRPr="006A5634">
        <w:rPr>
          <w:rFonts w:cs="Arial"/>
          <w:u w:val="single"/>
          <w:rtl/>
        </w:rPr>
        <w:t>אמר רבי שמעון בן יוחאי</w:t>
      </w:r>
      <w:r w:rsidRPr="00C1620F">
        <w:rPr>
          <w:rFonts w:cs="Arial"/>
          <w:rtl/>
        </w:rPr>
        <w:t>: ארבעה דברים הקדוש ברוך הוא שונאן ואני איני אוהבן; הנכנס לביתו פתאום, ואצ"ל - לבית חבירו, והאוחז באמה ומשתין מים,</w:t>
      </w:r>
      <w:r w:rsidRPr="006A5634">
        <w:rPr>
          <w:rtl/>
        </w:rPr>
        <w:t xml:space="preserve"> </w:t>
      </w:r>
      <w:r>
        <w:rPr>
          <w:rFonts w:hint="cs"/>
          <w:sz w:val="14"/>
          <w:szCs w:val="14"/>
          <w:rtl/>
        </w:rPr>
        <w:t xml:space="preserve">(יז.) </w:t>
      </w:r>
      <w:r w:rsidRPr="006A5634">
        <w:rPr>
          <w:rFonts w:cs="Arial"/>
          <w:rtl/>
        </w:rPr>
        <w:t xml:space="preserve">ומשתין מים ערום לפני מטתו, והמשמש מטתו בפני כל חי. </w:t>
      </w:r>
      <w:r w:rsidRPr="006A5634">
        <w:rPr>
          <w:rFonts w:cs="Arial"/>
          <w:u w:val="single"/>
          <w:rtl/>
        </w:rPr>
        <w:t>אמר ליה רב יהודה לשמואל</w:t>
      </w:r>
      <w:r w:rsidRPr="006A5634">
        <w:rPr>
          <w:rFonts w:cs="Arial"/>
          <w:rtl/>
        </w:rPr>
        <w:t>: ואפי' לפני עכברים? א"ל: שיננא, לא, אלא כגון של בית פלוני - שמשמשין מטותיהן בפני עבדיהם ושפחותיהם. ואינהו מאי דרוש? שבו לכם פה עם החמור. עַם הדומה לחמור.</w:t>
      </w:r>
      <w:r w:rsidRPr="006A5634">
        <w:rPr>
          <w:rtl/>
        </w:rPr>
        <w:t xml:space="preserve"> </w:t>
      </w:r>
      <w:r w:rsidRPr="006A5634">
        <w:rPr>
          <w:rFonts w:cs="Arial"/>
          <w:rtl/>
        </w:rPr>
        <w:t>רבה בר רב הונא מקרקש זגי דכילתא, אביי באלי דידבי, רבא באלי פרוחי.</w:t>
      </w:r>
    </w:p>
    <w:p w14:paraId="7F902A0E" w14:textId="77777777" w:rsidR="002E5BAD" w:rsidRPr="004F4727" w:rsidRDefault="002E5BAD" w:rsidP="002E5BAD">
      <w:pPr>
        <w:rPr>
          <w:rFonts w:cs="Arial"/>
          <w:u w:val="single"/>
        </w:rPr>
      </w:pPr>
      <w:r w:rsidRPr="004F4727">
        <w:rPr>
          <w:rFonts w:cs="Arial"/>
          <w:u w:val="single"/>
          <w:rtl/>
        </w:rPr>
        <w:t xml:space="preserve">הוא אומר </w:t>
      </w:r>
      <w:r>
        <w:rPr>
          <w:rFonts w:cs="Arial" w:hint="cs"/>
          <w:u w:val="single"/>
          <w:rtl/>
        </w:rPr>
        <w:t>'</w:t>
      </w:r>
      <w:r w:rsidRPr="004F4727">
        <w:rPr>
          <w:rFonts w:cs="Arial"/>
          <w:u w:val="single"/>
          <w:rtl/>
        </w:rPr>
        <w:t>מורדת</w:t>
      </w:r>
      <w:r>
        <w:rPr>
          <w:rFonts w:cs="Arial" w:hint="cs"/>
          <w:u w:val="single"/>
          <w:rtl/>
        </w:rPr>
        <w:t xml:space="preserve"> היא</w:t>
      </w:r>
      <w:r w:rsidRPr="004F4727">
        <w:rPr>
          <w:rFonts w:cs="Arial"/>
          <w:u w:val="single"/>
          <w:rtl/>
        </w:rPr>
        <w:t xml:space="preserve"> מתשמיש</w:t>
      </w:r>
      <w:r>
        <w:rPr>
          <w:rFonts w:cs="Arial" w:hint="cs"/>
          <w:u w:val="single"/>
          <w:rtl/>
        </w:rPr>
        <w:t>'</w:t>
      </w:r>
      <w:r w:rsidRPr="004F4727">
        <w:rPr>
          <w:rFonts w:cs="Arial"/>
          <w:u w:val="single"/>
          <w:rtl/>
        </w:rPr>
        <w:t xml:space="preserve"> והיא אומרת </w:t>
      </w:r>
      <w:r>
        <w:rPr>
          <w:rFonts w:cs="Arial" w:hint="cs"/>
          <w:u w:val="single"/>
          <w:rtl/>
        </w:rPr>
        <w:t>'</w:t>
      </w:r>
      <w:r w:rsidRPr="004F4727">
        <w:rPr>
          <w:rFonts w:cs="Arial"/>
          <w:u w:val="single"/>
          <w:rtl/>
        </w:rPr>
        <w:t>כדרך כל הארץ אני עמו</w:t>
      </w:r>
      <w:r>
        <w:rPr>
          <w:rFonts w:cs="Arial" w:hint="cs"/>
          <w:u w:val="single"/>
          <w:rtl/>
        </w:rPr>
        <w:t>'</w:t>
      </w:r>
      <w:r>
        <w:rPr>
          <w:rFonts w:cs="Arial" w:hint="cs"/>
          <w:sz w:val="16"/>
          <w:szCs w:val="16"/>
          <w:u w:val="single"/>
          <w:rtl/>
        </w:rPr>
        <w:t xml:space="preserve"> (וכן להפך)</w:t>
      </w:r>
      <w:r w:rsidRPr="004F4727">
        <w:rPr>
          <w:rFonts w:cs="Arial" w:hint="cs"/>
          <w:u w:val="single"/>
          <w:rtl/>
        </w:rPr>
        <w:t>:</w:t>
      </w:r>
    </w:p>
    <w:p w14:paraId="58AA6554" w14:textId="77777777" w:rsidR="002E5BAD" w:rsidRDefault="002E5BAD" w:rsidP="002E5BAD">
      <w:pPr>
        <w:pStyle w:val="ab"/>
        <w:numPr>
          <w:ilvl w:val="0"/>
          <w:numId w:val="158"/>
        </w:numPr>
        <w:rPr>
          <w:rFonts w:cs="Arial"/>
        </w:rPr>
      </w:pPr>
      <w:r w:rsidRPr="00897A64">
        <w:rPr>
          <w:rFonts w:cs="Arial"/>
          <w:rtl/>
        </w:rPr>
        <w:lastRenderedPageBreak/>
        <w:t>רמב"ם</w:t>
      </w:r>
      <w:r>
        <w:rPr>
          <w:rFonts w:cs="Arial" w:hint="cs"/>
          <w:rtl/>
        </w:rPr>
        <w:t xml:space="preserve"> </w:t>
      </w:r>
      <w:r>
        <w:rPr>
          <w:rFonts w:cs="Arial" w:hint="cs"/>
          <w:sz w:val="16"/>
          <w:szCs w:val="16"/>
          <w:rtl/>
        </w:rPr>
        <w:t>(פי"ד הט"ז)</w:t>
      </w:r>
      <w:r>
        <w:rPr>
          <w:rFonts w:cs="Arial" w:hint="cs"/>
          <w:rtl/>
        </w:rPr>
        <w:t xml:space="preserve"> וטור-</w:t>
      </w:r>
      <w:r w:rsidRPr="00897A64">
        <w:rPr>
          <w:rFonts w:cs="Arial"/>
          <w:rtl/>
        </w:rPr>
        <w:t xml:space="preserve"> </w:t>
      </w:r>
      <w:r w:rsidRPr="00DB1490">
        <w:rPr>
          <w:rFonts w:cs="Arial"/>
          <w:rtl/>
        </w:rPr>
        <w:t>איש ואשתו שבאו לבית דין הוא אומר זו מורדת מתשמיש והיא אומרת לא כי אלא כדרך כל הארץ אני עמו, וכן אם טענה היא ואמרה שהוא מורד מתשמיש והוא אומר לא כי אלא כדרך כל הארץ אני עמה, מחרימין בתחלה על מי שהוא מורד ולא יודה בבית דין, ואחר כך אם לא הודו אומרין להם התיחדו בפני עדים, נתיחדו ועדיין הם טוענין מבקשין מן הנטען ועושין פשרה כפי כח הדיין, אבל לבעול בפני בני אדם אי אפשר לפי שאסור לבעול בפני כל בריה</w:t>
      </w:r>
      <w:r>
        <w:rPr>
          <w:rFonts w:cs="Arial" w:hint="cs"/>
          <w:sz w:val="16"/>
          <w:szCs w:val="16"/>
          <w:rtl/>
        </w:rPr>
        <w:t xml:space="preserve"> (ל' הרמב"ם)</w:t>
      </w:r>
      <w:r>
        <w:rPr>
          <w:rStyle w:val="a7"/>
          <w:rFonts w:cs="Arial"/>
          <w:rtl/>
        </w:rPr>
        <w:footnoteReference w:id="1354"/>
      </w:r>
      <w:r>
        <w:rPr>
          <w:rFonts w:cs="Arial" w:hint="cs"/>
          <w:rtl/>
        </w:rPr>
        <w:t>.</w:t>
      </w:r>
      <w:r w:rsidRPr="00485E7A">
        <w:rPr>
          <w:rFonts w:hint="cs"/>
          <w:color w:val="E36C0A" w:themeColor="accent6" w:themeShade="BF"/>
          <w:rtl/>
        </w:rPr>
        <w:t xml:space="preserve"> </w:t>
      </w:r>
      <w:r w:rsidRPr="007B74FB">
        <w:rPr>
          <w:rFonts w:hint="cs"/>
          <w:color w:val="E36C0A" w:themeColor="accent6" w:themeShade="BF"/>
          <w:rtl/>
        </w:rPr>
        <w:t>(וכ"פ בשו"ע)</w:t>
      </w:r>
    </w:p>
    <w:p w14:paraId="1BFE264D" w14:textId="77777777" w:rsidR="002E5BAD" w:rsidRPr="00897A64" w:rsidRDefault="002E5BAD" w:rsidP="002E5BAD">
      <w:pPr>
        <w:pStyle w:val="ab"/>
        <w:numPr>
          <w:ilvl w:val="0"/>
          <w:numId w:val="158"/>
        </w:numPr>
        <w:rPr>
          <w:rFonts w:cs="Arial"/>
          <w:rtl/>
        </w:rPr>
      </w:pPr>
      <w:r>
        <w:rPr>
          <w:rFonts w:cs="Arial" w:hint="cs"/>
          <w:rtl/>
        </w:rPr>
        <w:t>ראב"</w:t>
      </w:r>
      <w:r w:rsidRPr="00C1620F">
        <w:rPr>
          <w:rFonts w:cs="Arial" w:hint="cs"/>
          <w:rtl/>
        </w:rPr>
        <w:t>ד</w:t>
      </w:r>
      <w:r>
        <w:rPr>
          <w:rFonts w:cs="Arial" w:hint="cs"/>
          <w:rtl/>
        </w:rPr>
        <w:t xml:space="preserve"> </w:t>
      </w:r>
      <w:r>
        <w:rPr>
          <w:rFonts w:cs="Arial" w:hint="cs"/>
          <w:sz w:val="16"/>
          <w:szCs w:val="16"/>
          <w:rtl/>
        </w:rPr>
        <w:t>(שם בהשגות)</w:t>
      </w:r>
      <w:r>
        <w:rPr>
          <w:rFonts w:cs="Arial" w:hint="cs"/>
          <w:rtl/>
        </w:rPr>
        <w:t xml:space="preserve">- </w:t>
      </w:r>
      <w:r w:rsidRPr="00C1620F">
        <w:rPr>
          <w:rFonts w:cs="Arial"/>
          <w:rtl/>
        </w:rPr>
        <w:t>אין אני רואה בכאן פשרה לדיין ומשנתנו היא (סוף נדרים) השמים בינו לבינה ואמרו בירושלמי כמא דשמיא רחיקין מן ארעא תהא האי אתתא רחיקא מן ההוא גברא כלומר שהוא פרוש ממנה וכן אמרו באגדה שרה אמנו אמרה לאברהם אבינו השמים בינו לבינה שהרחיקה בשביל הגר ואם כמשנה ראשונה הרי האמינוה מפני שיכולה לומר אינו יורה כחץ ואם כמשנה אחרונה הרי אמרו יעשו סעודה והן מתרגלין זה עם זה ואין כאן מקום לחרמות מפני שהוא גנאי להן</w:t>
      </w:r>
      <w:r>
        <w:rPr>
          <w:rStyle w:val="a7"/>
          <w:rFonts w:cs="Arial"/>
          <w:rtl/>
        </w:rPr>
        <w:footnoteReference w:id="1355"/>
      </w:r>
      <w:r w:rsidRPr="00C1620F">
        <w:rPr>
          <w:rFonts w:cs="Arial"/>
          <w:rtl/>
        </w:rPr>
        <w:t>.</w:t>
      </w:r>
    </w:p>
    <w:p w14:paraId="0010293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709391C" w14:textId="77777777" w:rsidR="002E5BAD" w:rsidRDefault="002E5BAD" w:rsidP="002E5BAD">
      <w:pPr>
        <w:rPr>
          <w:rtl/>
        </w:rPr>
      </w:pPr>
      <w:r>
        <w:rPr>
          <w:rFonts w:cs="Arial"/>
          <w:rtl/>
        </w:rPr>
        <w:t>איש ואשתו שבאו לב</w:t>
      </w:r>
      <w:r>
        <w:rPr>
          <w:rFonts w:cs="Arial" w:hint="cs"/>
          <w:rtl/>
        </w:rPr>
        <w:t xml:space="preserve">ית </w:t>
      </w:r>
      <w:r>
        <w:rPr>
          <w:rFonts w:cs="Arial"/>
          <w:rtl/>
        </w:rPr>
        <w:t>ד</w:t>
      </w:r>
      <w:r>
        <w:rPr>
          <w:rFonts w:cs="Arial" w:hint="cs"/>
          <w:rtl/>
        </w:rPr>
        <w:t>ין</w:t>
      </w:r>
      <w:r>
        <w:rPr>
          <w:rFonts w:cs="Arial"/>
          <w:rtl/>
        </w:rPr>
        <w:t>, הוא אומר: זו מורדת מתשמיש, והיא אומרת: לא כי אלא כדרך כל הארץ אני עמו</w:t>
      </w:r>
      <w:r>
        <w:rPr>
          <w:rFonts w:cs="Arial" w:hint="cs"/>
          <w:rtl/>
        </w:rPr>
        <w:t>,</w:t>
      </w:r>
      <w:r>
        <w:rPr>
          <w:rFonts w:cs="Arial"/>
          <w:rtl/>
        </w:rPr>
        <w:t xml:space="preserve"> וכן אם טענה היא ואמרה שהוא מורד מתשמיש, והוא אומר: לא כי אלא כדרך כל הארץ אני עמה, מחרימין תחלה על מי שהוא מורד ולא יודה בב</w:t>
      </w:r>
      <w:r>
        <w:rPr>
          <w:rFonts w:cs="Arial" w:hint="cs"/>
          <w:rtl/>
        </w:rPr>
        <w:t xml:space="preserve">ית </w:t>
      </w:r>
      <w:r>
        <w:rPr>
          <w:rFonts w:cs="Arial"/>
          <w:rtl/>
        </w:rPr>
        <w:t>ד</w:t>
      </w:r>
      <w:r>
        <w:rPr>
          <w:rFonts w:cs="Arial" w:hint="cs"/>
          <w:rtl/>
        </w:rPr>
        <w:t>ין</w:t>
      </w:r>
      <w:r>
        <w:rPr>
          <w:rFonts w:cs="Arial"/>
          <w:rtl/>
        </w:rPr>
        <w:t>, ואח</w:t>
      </w:r>
      <w:r>
        <w:rPr>
          <w:rFonts w:cs="Arial" w:hint="cs"/>
          <w:rtl/>
        </w:rPr>
        <w:t xml:space="preserve">ר </w:t>
      </w:r>
      <w:r>
        <w:rPr>
          <w:rFonts w:cs="Arial"/>
          <w:rtl/>
        </w:rPr>
        <w:t>כ</w:t>
      </w:r>
      <w:r>
        <w:rPr>
          <w:rFonts w:cs="Arial" w:hint="cs"/>
          <w:rtl/>
        </w:rPr>
        <w:t>ך</w:t>
      </w:r>
      <w:r>
        <w:rPr>
          <w:rFonts w:cs="Arial"/>
          <w:rtl/>
        </w:rPr>
        <w:t xml:space="preserve">, אם לא הודו, אומרים להם: התייחדו בפני עדים. נתייחדו ועדיין הם טוענים, מבקשים מן הנטען ועושין פשרה כפי כח הדיין. </w:t>
      </w:r>
    </w:p>
    <w:p w14:paraId="07E0A7C4" w14:textId="77777777" w:rsidR="002E5BAD" w:rsidRDefault="002E5BAD" w:rsidP="002E5BAD">
      <w:pPr>
        <w:rPr>
          <w:rtl/>
        </w:rPr>
      </w:pPr>
    </w:p>
    <w:p w14:paraId="5090BB00" w14:textId="77777777" w:rsidR="002E5BAD" w:rsidRDefault="002E5BAD" w:rsidP="002E5BAD">
      <w:pPr>
        <w:pStyle w:val="2"/>
        <w:rPr>
          <w:rtl/>
        </w:rPr>
      </w:pPr>
      <w:r>
        <w:rPr>
          <w:rtl/>
        </w:rPr>
        <w:t>סעיף ה</w:t>
      </w:r>
      <w:r>
        <w:rPr>
          <w:rFonts w:hint="cs"/>
          <w:rtl/>
        </w:rPr>
        <w:t>: ארוסה שטוענת 'מאיס', האם אביה צריך עדיין ליתן את הנדוניא.</w:t>
      </w:r>
    </w:p>
    <w:p w14:paraId="5B62CA81" w14:textId="77777777" w:rsidR="002E5BAD" w:rsidRPr="007B74FB" w:rsidRDefault="002E5BAD" w:rsidP="002E5BAD">
      <w:pPr>
        <w:rPr>
          <w:u w:val="single"/>
          <w:rtl/>
        </w:rPr>
      </w:pPr>
      <w:r w:rsidRPr="007B74FB">
        <w:rPr>
          <w:rFonts w:hint="cs"/>
          <w:u w:val="single"/>
          <w:rtl/>
        </w:rPr>
        <w:t>ארוסה שטוענת 'מאיס', האם אביה צריך עדיין ליתן את הנדוניא</w:t>
      </w:r>
      <w:r>
        <w:rPr>
          <w:rFonts w:hint="cs"/>
          <w:u w:val="single"/>
          <w:rtl/>
        </w:rPr>
        <w:t xml:space="preserve"> שהתחייב ליתן לחתן</w:t>
      </w:r>
      <w:r w:rsidRPr="007B74FB">
        <w:rPr>
          <w:rFonts w:hint="cs"/>
          <w:u w:val="single"/>
          <w:rtl/>
        </w:rPr>
        <w:t>:</w:t>
      </w:r>
    </w:p>
    <w:p w14:paraId="77FFA6E1" w14:textId="77777777" w:rsidR="002E5BAD" w:rsidRPr="004C33D1" w:rsidRDefault="002E5BAD" w:rsidP="002E5BAD">
      <w:pPr>
        <w:pStyle w:val="ab"/>
        <w:numPr>
          <w:ilvl w:val="0"/>
          <w:numId w:val="158"/>
        </w:numPr>
        <w:rPr>
          <w:rtl/>
        </w:rPr>
      </w:pPr>
      <w:r w:rsidRPr="007B74FB">
        <w:rPr>
          <w:rFonts w:cs="Arial" w:hint="cs"/>
          <w:rtl/>
        </w:rPr>
        <w:t xml:space="preserve">טור </w:t>
      </w:r>
      <w:r w:rsidRPr="007B74FB">
        <w:rPr>
          <w:rFonts w:cs="Arial" w:hint="cs"/>
          <w:sz w:val="16"/>
          <w:szCs w:val="16"/>
          <w:rtl/>
        </w:rPr>
        <w:t>(בסי' קנד)</w:t>
      </w:r>
      <w:r w:rsidRPr="007B74FB">
        <w:rPr>
          <w:rFonts w:cs="Arial" w:hint="cs"/>
          <w:rtl/>
        </w:rPr>
        <w:t xml:space="preserve">- </w:t>
      </w:r>
      <w:r w:rsidRPr="007B74FB">
        <w:rPr>
          <w:rFonts w:cs="Arial"/>
          <w:rtl/>
        </w:rPr>
        <w:t>ואם היא ארוסה ואינה רוצה לינשא בטענת מאיס עלי ואביה פסק ליתן עליה ממון והארוס שואל מה שפסק ודאי כיון שבתו אינה רוצה לינשא לו אינו חייב ליתן שלא פסק לו אלא ע"מ שתינשא לו והיא אינה ברשותו לכופה שתינשא לו</w:t>
      </w:r>
      <w:r>
        <w:rPr>
          <w:rStyle w:val="a7"/>
          <w:rFonts w:cs="Arial"/>
          <w:rtl/>
        </w:rPr>
        <w:footnoteReference w:id="1356"/>
      </w:r>
      <w:r w:rsidRPr="007B74FB">
        <w:rPr>
          <w:rFonts w:cs="Arial" w:hint="cs"/>
          <w:rtl/>
        </w:rPr>
        <w:t>.</w:t>
      </w:r>
      <w:r>
        <w:rPr>
          <w:rFonts w:hint="cs"/>
          <w:rtl/>
        </w:rPr>
        <w:t xml:space="preserve"> </w:t>
      </w:r>
      <w:r w:rsidRPr="007B74FB">
        <w:rPr>
          <w:rFonts w:hint="cs"/>
          <w:color w:val="E36C0A" w:themeColor="accent6" w:themeShade="BF"/>
          <w:rtl/>
        </w:rPr>
        <w:t>(וכ"פ בשו"ע)</w:t>
      </w:r>
    </w:p>
    <w:p w14:paraId="25B1F4C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7087DFD" w14:textId="77777777" w:rsidR="002E5BAD" w:rsidRPr="000D2069" w:rsidRDefault="002E5BAD" w:rsidP="002E5BAD">
      <w:pPr>
        <w:rPr>
          <w:rtl/>
        </w:rPr>
        <w:sectPr w:rsidR="002E5BAD" w:rsidRPr="000D2069" w:rsidSect="00A347B3">
          <w:headerReference w:type="default" r:id="rId33"/>
          <w:footnotePr>
            <w:numRestart w:val="eachPage"/>
          </w:footnotePr>
          <w:pgSz w:w="11906" w:h="16838"/>
          <w:pgMar w:top="720" w:right="1134" w:bottom="720" w:left="1134" w:header="0" w:footer="0" w:gutter="0"/>
          <w:cols w:space="720"/>
          <w:bidi/>
          <w:rtlGutter/>
          <w:docGrid w:linePitch="360"/>
        </w:sectPr>
      </w:pPr>
      <w:r>
        <w:rPr>
          <w:rFonts w:cs="Arial"/>
          <w:rtl/>
        </w:rPr>
        <w:t>ארוסה שאינה רוצה לינשא בטענת מאיס עלי, אין אביה חייב ליתן לו מה שפסק ליתן לו בנדונייתא</w:t>
      </w:r>
      <w:r>
        <w:rPr>
          <w:rStyle w:val="a7"/>
          <w:rFonts w:cs="Arial"/>
          <w:rtl/>
        </w:rPr>
        <w:footnoteReference w:id="1357"/>
      </w:r>
      <w:r>
        <w:rPr>
          <w:rFonts w:cs="Arial"/>
          <w:rtl/>
        </w:rPr>
        <w:t>.</w:t>
      </w:r>
    </w:p>
    <w:p w14:paraId="5BD62AE0" w14:textId="77777777" w:rsidR="002E5BAD" w:rsidRDefault="002E5BAD" w:rsidP="002E5BAD">
      <w:pPr>
        <w:pStyle w:val="1"/>
        <w:rPr>
          <w:rtl/>
        </w:rPr>
      </w:pPr>
      <w:r>
        <w:rPr>
          <w:rFonts w:hint="cs"/>
          <w:rtl/>
        </w:rPr>
        <w:lastRenderedPageBreak/>
        <w:t>סימן עח:</w:t>
      </w:r>
      <w:r w:rsidRPr="00C12B74">
        <w:rPr>
          <w:rtl/>
        </w:rPr>
        <w:t xml:space="preserve"> </w:t>
      </w:r>
      <w:r>
        <w:rPr>
          <w:rFonts w:cs="Arial"/>
          <w:rtl/>
        </w:rPr>
        <w:t xml:space="preserve">חיוב פדיונה, ובו ח' סעיפים. </w:t>
      </w:r>
    </w:p>
    <w:p w14:paraId="4237B6A8" w14:textId="77777777" w:rsidR="002E5BAD" w:rsidRDefault="002E5BAD" w:rsidP="002E5BAD">
      <w:pPr>
        <w:pStyle w:val="2"/>
        <w:rPr>
          <w:rtl/>
        </w:rPr>
      </w:pPr>
      <w:r>
        <w:rPr>
          <w:rtl/>
        </w:rPr>
        <w:t>סעיף א</w:t>
      </w:r>
      <w:r>
        <w:rPr>
          <w:rFonts w:hint="cs"/>
          <w:rtl/>
        </w:rPr>
        <w:t>: חיוב פדיונה.</w:t>
      </w:r>
    </w:p>
    <w:p w14:paraId="6E67185B" w14:textId="77777777" w:rsidR="002E5BAD" w:rsidRPr="002C478C"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F42A20">
        <w:rPr>
          <w:rFonts w:cs="Arial"/>
          <w:rtl/>
        </w:rPr>
        <w:t xml:space="preserve"> לא כתב לה כתובה - בתולה גובה מאתים ואלמנה מנה, מפני שהוא תנאי בית דין.</w:t>
      </w:r>
      <w:r>
        <w:rPr>
          <w:rFonts w:cs="Arial" w:hint="cs"/>
          <w:rtl/>
        </w:rPr>
        <w:t>.</w:t>
      </w:r>
      <w:r w:rsidRPr="00F42A20">
        <w:rPr>
          <w:rFonts w:cs="Arial"/>
          <w:rtl/>
        </w:rPr>
        <w:t>. לא כתב לה אם תשתבאי אפרקינך ואותבינך לי לאינתו, ובכהנת אהדרינך למדינתך - חייב, שהוא תנאי בית דין. נשבית - חייב לפדותה, ואם אמר הרי גיטה וכתובתה ותפדה את עצמה - אינו רשאי. לקתה - חייב לרפאותה, אמר הרי גיטה וכתובתה תרפא את עצמה - רשאי.</w:t>
      </w:r>
    </w:p>
    <w:p w14:paraId="041E4649" w14:textId="77777777" w:rsidR="002E5BAD" w:rsidRPr="002C478C" w:rsidRDefault="002E5BAD" w:rsidP="002E5BAD">
      <w:pPr>
        <w:rPr>
          <w:u w:val="single"/>
          <w:rtl/>
        </w:rPr>
      </w:pPr>
      <w:r w:rsidRPr="002C478C">
        <w:rPr>
          <w:rFonts w:hint="cs"/>
          <w:u w:val="single"/>
          <w:rtl/>
        </w:rPr>
        <w:t>חיוב פדיונה:</w:t>
      </w:r>
    </w:p>
    <w:p w14:paraId="187B0F4D" w14:textId="77777777" w:rsidR="002E5BAD" w:rsidRDefault="002E5BAD" w:rsidP="002E5BAD">
      <w:pPr>
        <w:pStyle w:val="ab"/>
        <w:numPr>
          <w:ilvl w:val="0"/>
          <w:numId w:val="158"/>
        </w:numPr>
      </w:pPr>
      <w:r>
        <w:rPr>
          <w:rFonts w:cs="Arial" w:hint="cs"/>
          <w:rtl/>
        </w:rPr>
        <w:t xml:space="preserve">טור- </w:t>
      </w:r>
      <w:r w:rsidRPr="00825FED">
        <w:rPr>
          <w:rFonts w:cs="Arial"/>
          <w:rtl/>
        </w:rPr>
        <w:t>בפדיונה כיצד</w:t>
      </w:r>
      <w:r>
        <w:rPr>
          <w:rFonts w:cs="Arial" w:hint="cs"/>
          <w:rtl/>
        </w:rPr>
        <w:t>,</w:t>
      </w:r>
      <w:r w:rsidRPr="00825FED">
        <w:rPr>
          <w:rFonts w:cs="Arial"/>
          <w:rtl/>
        </w:rPr>
        <w:t xml:space="preserve"> נשבית </w:t>
      </w:r>
      <w:r>
        <w:rPr>
          <w:rFonts w:cs="Arial" w:hint="cs"/>
          <w:rtl/>
        </w:rPr>
        <w:t xml:space="preserve">- </w:t>
      </w:r>
      <w:r w:rsidRPr="00825FED">
        <w:rPr>
          <w:rFonts w:cs="Arial"/>
          <w:rtl/>
        </w:rPr>
        <w:t>חייב לפדותה</w:t>
      </w:r>
      <w:r>
        <w:rPr>
          <w:rFonts w:cs="Arial" w:hint="cs"/>
          <w:rtl/>
        </w:rPr>
        <w:t>,</w:t>
      </w:r>
      <w:r w:rsidRPr="00825FED">
        <w:rPr>
          <w:rFonts w:cs="Arial"/>
          <w:rtl/>
        </w:rPr>
        <w:t xml:space="preserve"> ואינו יכול לומר הרי זה גיטך וכתובתיך ותפדה את עצמך</w:t>
      </w:r>
      <w:r>
        <w:rPr>
          <w:rFonts w:cs="Arial" w:hint="cs"/>
          <w:rtl/>
        </w:rPr>
        <w:t>.</w:t>
      </w:r>
      <w:r w:rsidRPr="00825FED">
        <w:rPr>
          <w:rFonts w:cs="Arial"/>
          <w:rtl/>
        </w:rPr>
        <w:t xml:space="preserve"> ואפי' אם יאמר איני פודך ולא אטול פירותיך</w:t>
      </w:r>
      <w:r>
        <w:rPr>
          <w:rFonts w:cs="Arial" w:hint="cs"/>
          <w:rtl/>
        </w:rPr>
        <w:t xml:space="preserve"> -</w:t>
      </w:r>
      <w:r w:rsidRPr="00825FED">
        <w:rPr>
          <w:rFonts w:cs="Arial"/>
          <w:rtl/>
        </w:rPr>
        <w:t xml:space="preserve"> אין שומעין לו</w:t>
      </w:r>
      <w:r>
        <w:rPr>
          <w:rStyle w:val="a7"/>
          <w:rFonts w:cs="Arial"/>
          <w:rtl/>
        </w:rPr>
        <w:footnoteReference w:id="1358"/>
      </w:r>
      <w:r>
        <w:rPr>
          <w:rFonts w:cs="Arial" w:hint="cs"/>
          <w:rtl/>
        </w:rPr>
        <w:t>,</w:t>
      </w:r>
      <w:r w:rsidRPr="00825FED">
        <w:rPr>
          <w:rFonts w:cs="Arial"/>
          <w:rtl/>
        </w:rPr>
        <w:t xml:space="preserve"> אע</w:t>
      </w:r>
      <w:r>
        <w:rPr>
          <w:rFonts w:cs="Arial" w:hint="cs"/>
          <w:rtl/>
        </w:rPr>
        <w:t>"</w:t>
      </w:r>
      <w:r w:rsidRPr="00825FED">
        <w:rPr>
          <w:rFonts w:cs="Arial"/>
          <w:rtl/>
        </w:rPr>
        <w:t>פ שתקנו פרקונה תחת פירות שאוכל משלה אפ"ה אין שומעין לו אלא צריך לפדותה</w:t>
      </w:r>
      <w:r>
        <w:rPr>
          <w:rStyle w:val="a7"/>
          <w:rFonts w:cs="Arial"/>
          <w:rtl/>
        </w:rPr>
        <w:footnoteReference w:id="1359"/>
      </w:r>
      <w:r>
        <w:rPr>
          <w:rFonts w:cs="Arial" w:hint="cs"/>
          <w:rtl/>
        </w:rPr>
        <w:t>.</w:t>
      </w:r>
      <w:r w:rsidRPr="00825FED">
        <w:rPr>
          <w:rFonts w:cs="Arial"/>
          <w:rtl/>
        </w:rPr>
        <w:t xml:space="preserve"> </w:t>
      </w:r>
      <w:r w:rsidRPr="007B74FB">
        <w:rPr>
          <w:rFonts w:hint="cs"/>
          <w:color w:val="E36C0A" w:themeColor="accent6" w:themeShade="BF"/>
          <w:rtl/>
        </w:rPr>
        <w:t>(וכ"פ בשו"ע)</w:t>
      </w:r>
    </w:p>
    <w:p w14:paraId="4406B9F7" w14:textId="77777777" w:rsidR="002E5BAD" w:rsidRPr="001967C9" w:rsidRDefault="002E5BAD" w:rsidP="002E5BAD">
      <w:pPr>
        <w:ind w:left="360"/>
        <w:rPr>
          <w:rFonts w:cs="Arial"/>
        </w:rPr>
      </w:pPr>
      <w:r w:rsidRPr="001967C9">
        <w:rPr>
          <w:rFonts w:hint="cs"/>
          <w:u w:val="dotted"/>
          <w:rtl/>
        </w:rPr>
        <w:t xml:space="preserve">ומה הדין אם אמר </w:t>
      </w:r>
      <w:r w:rsidRPr="001967C9">
        <w:rPr>
          <w:rFonts w:hint="cs"/>
          <w:b/>
          <w:bCs/>
          <w:u w:val="dotted"/>
          <w:rtl/>
        </w:rPr>
        <w:t>קודם אירוסין</w:t>
      </w:r>
      <w:r>
        <w:rPr>
          <w:rFonts w:hint="cs"/>
          <w:u w:val="dotted"/>
          <w:rtl/>
        </w:rPr>
        <w:t xml:space="preserve"> 'איני נוטל פירות ואיני פודה אותה':</w:t>
      </w:r>
      <w:r w:rsidRPr="001967C9">
        <w:rPr>
          <w:rFonts w:cs="Arial" w:hint="cs"/>
          <w:rtl/>
        </w:rPr>
        <w:t xml:space="preserve"> </w:t>
      </w:r>
    </w:p>
    <w:p w14:paraId="51190D06" w14:textId="77777777" w:rsidR="002E5BAD" w:rsidRPr="002C478C" w:rsidRDefault="002E5BAD" w:rsidP="002E5BAD">
      <w:pPr>
        <w:pStyle w:val="ab"/>
        <w:numPr>
          <w:ilvl w:val="0"/>
          <w:numId w:val="158"/>
        </w:numPr>
      </w:pPr>
      <w:r>
        <w:rPr>
          <w:rFonts w:cs="Arial" w:hint="cs"/>
          <w:rtl/>
        </w:rPr>
        <w:t xml:space="preserve">רשב"ם </w:t>
      </w:r>
      <w:r>
        <w:rPr>
          <w:rFonts w:cs="Arial" w:hint="cs"/>
          <w:sz w:val="16"/>
          <w:szCs w:val="16"/>
          <w:rtl/>
        </w:rPr>
        <w:t>(מט: ד"ה כדרב הונא)</w:t>
      </w:r>
      <w:r>
        <w:rPr>
          <w:rFonts w:cs="Arial" w:hint="cs"/>
          <w:rtl/>
        </w:rPr>
        <w:t xml:space="preserve">- </w:t>
      </w:r>
      <w:r w:rsidRPr="001967C9">
        <w:rPr>
          <w:rFonts w:cs="Arial"/>
          <w:rtl/>
        </w:rPr>
        <w:t>וה"ה לפירות של נכסי מלוג שתקנו חכמים לבעל פירותיה תחת פרקונה כ"ש וכ"ש שאם אמר איני מקבל עלי תקנת פרקונה ואיני חושש בפירות נכסי מלוג שתקנו לי דמועיל התנאי בעודה ארוסה שעדיין לא זכה בקרקעותיה לפירות</w:t>
      </w:r>
      <w:r>
        <w:rPr>
          <w:rFonts w:hint="cs"/>
          <w:rtl/>
        </w:rPr>
        <w:t xml:space="preserve">. </w:t>
      </w:r>
      <w:r>
        <w:rPr>
          <w:rFonts w:hint="cs"/>
          <w:color w:val="FF0000"/>
          <w:rtl/>
        </w:rPr>
        <w:t>הוספתי אח"כ צ"ע אם יש חולק</w:t>
      </w:r>
    </w:p>
    <w:p w14:paraId="49158648"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9CD4F99" w14:textId="77777777" w:rsidR="002E5BAD" w:rsidRDefault="002E5BAD" w:rsidP="002E5BAD">
      <w:pPr>
        <w:rPr>
          <w:rtl/>
        </w:rPr>
      </w:pPr>
      <w:r>
        <w:rPr>
          <w:rFonts w:cs="Arial"/>
          <w:rtl/>
        </w:rPr>
        <w:t>פדיונה כיצד, נשבית, חייב לפדותה ואינו יכול לומר לה: הרי גיטך וכתובתיך ופדי את עצמך</w:t>
      </w:r>
      <w:r>
        <w:rPr>
          <w:rFonts w:cs="Arial" w:hint="cs"/>
          <w:rtl/>
        </w:rPr>
        <w:t>.</w:t>
      </w:r>
      <w:r>
        <w:rPr>
          <w:rFonts w:cs="Arial"/>
          <w:rtl/>
        </w:rPr>
        <w:t xml:space="preserve"> ואפילו אם יאמר: איני פודך ולא אטול פירות, אין שומעין לו</w:t>
      </w:r>
      <w:r>
        <w:rPr>
          <w:rStyle w:val="a7"/>
          <w:rFonts w:cs="Arial"/>
          <w:rtl/>
        </w:rPr>
        <w:footnoteReference w:id="1360"/>
      </w:r>
      <w:r>
        <w:rPr>
          <w:rFonts w:cs="Arial"/>
          <w:rtl/>
        </w:rPr>
        <w:t xml:space="preserve">, אלא חייב לפדותה. </w:t>
      </w:r>
    </w:p>
    <w:p w14:paraId="34737973" w14:textId="77777777" w:rsidR="002E5BAD" w:rsidRPr="00A813FA" w:rsidRDefault="002E5BAD" w:rsidP="002E5BAD">
      <w:pPr>
        <w:rPr>
          <w:rFonts w:cs="Arial"/>
          <w:sz w:val="16"/>
          <w:szCs w:val="16"/>
          <w:rtl/>
        </w:rPr>
      </w:pPr>
      <w:r w:rsidRPr="00A813FA">
        <w:rPr>
          <w:rFonts w:cs="Arial" w:hint="cs"/>
          <w:u w:val="single"/>
          <w:rtl/>
        </w:rPr>
        <w:t>אשה שנשבית בגלל פשיעתה:</w:t>
      </w:r>
      <w:r>
        <w:rPr>
          <w:rFonts w:cs="Arial" w:hint="cs"/>
          <w:rtl/>
        </w:rPr>
        <w:t xml:space="preserve"> </w:t>
      </w:r>
    </w:p>
    <w:p w14:paraId="4D06F496" w14:textId="77777777" w:rsidR="002E5BAD" w:rsidRPr="00A813FA" w:rsidRDefault="002E5BAD" w:rsidP="002E5BAD">
      <w:pPr>
        <w:pStyle w:val="ab"/>
        <w:numPr>
          <w:ilvl w:val="0"/>
          <w:numId w:val="158"/>
        </w:numPr>
      </w:pPr>
      <w:r w:rsidRPr="00A813FA">
        <w:rPr>
          <w:rFonts w:cs="Arial"/>
          <w:rtl/>
        </w:rPr>
        <w:t>גאוני ק"ק פפ</w:t>
      </w:r>
      <w:r>
        <w:rPr>
          <w:rFonts w:cs="Arial" w:hint="cs"/>
          <w:rtl/>
        </w:rPr>
        <w:t>"ד</w:t>
      </w:r>
      <w:r>
        <w:rPr>
          <w:rFonts w:cs="Arial" w:hint="cs"/>
          <w:sz w:val="16"/>
          <w:szCs w:val="16"/>
          <w:rtl/>
        </w:rPr>
        <w:t xml:space="preserve"> (כ"כ הב"מ בשמם)</w:t>
      </w:r>
      <w:r w:rsidRPr="00D95516">
        <w:rPr>
          <w:rFonts w:cs="Arial" w:hint="cs"/>
          <w:rtl/>
        </w:rPr>
        <w:t xml:space="preserve"> </w:t>
      </w:r>
      <w:r w:rsidRPr="00A813FA">
        <w:rPr>
          <w:rFonts w:cs="Arial"/>
          <w:rtl/>
        </w:rPr>
        <w:t xml:space="preserve">מעיל צדקה </w:t>
      </w:r>
      <w:r w:rsidRPr="00D95516">
        <w:rPr>
          <w:rFonts w:cs="Arial" w:hint="cs"/>
          <w:sz w:val="16"/>
          <w:szCs w:val="16"/>
          <w:rtl/>
        </w:rPr>
        <w:t>(</w:t>
      </w:r>
      <w:r w:rsidRPr="00D95516">
        <w:rPr>
          <w:rFonts w:cs="Arial"/>
          <w:sz w:val="16"/>
          <w:szCs w:val="16"/>
          <w:rtl/>
        </w:rPr>
        <w:t>סי' טו</w:t>
      </w:r>
      <w:r w:rsidRPr="00D95516">
        <w:rPr>
          <w:rFonts w:cs="Arial" w:hint="cs"/>
          <w:sz w:val="16"/>
          <w:szCs w:val="16"/>
          <w:rtl/>
        </w:rPr>
        <w:t>)</w:t>
      </w:r>
      <w:r>
        <w:rPr>
          <w:rFonts w:cs="Arial" w:hint="cs"/>
          <w:rtl/>
        </w:rPr>
        <w:t xml:space="preserve"> בית יעקב </w:t>
      </w:r>
      <w:r>
        <w:rPr>
          <w:rFonts w:cs="Arial" w:hint="cs"/>
          <w:sz w:val="16"/>
          <w:szCs w:val="16"/>
          <w:rtl/>
        </w:rPr>
        <w:t xml:space="preserve">(כ"כ הראש פינה בשמו) </w:t>
      </w:r>
      <w:r>
        <w:rPr>
          <w:rFonts w:cs="Arial" w:hint="cs"/>
          <w:rtl/>
        </w:rPr>
        <w:t xml:space="preserve">וראש פינה </w:t>
      </w:r>
      <w:r>
        <w:rPr>
          <w:rFonts w:cs="Arial" w:hint="cs"/>
          <w:sz w:val="16"/>
          <w:szCs w:val="16"/>
          <w:rtl/>
        </w:rPr>
        <w:t>(על השו"ע כאן)</w:t>
      </w:r>
      <w:r>
        <w:rPr>
          <w:rFonts w:cs="Arial" w:hint="cs"/>
          <w:rtl/>
        </w:rPr>
        <w:t xml:space="preserve">- הא דחייב לפדותה הוא </w:t>
      </w:r>
      <w:r w:rsidRPr="00A813FA">
        <w:rPr>
          <w:rFonts w:cs="Arial"/>
          <w:rtl/>
        </w:rPr>
        <w:t>דוקא אם נשבית ממילא אבל אם נשבית בשביל שגנבה אין מחוייב כלל הבעל לפדות</w:t>
      </w:r>
      <w:r w:rsidRPr="00A813FA">
        <w:rPr>
          <w:rFonts w:cs="Arial" w:hint="cs"/>
          <w:rtl/>
        </w:rPr>
        <w:t>ה</w:t>
      </w:r>
      <w:r>
        <w:rPr>
          <w:rFonts w:cs="Arial" w:hint="cs"/>
          <w:rtl/>
        </w:rPr>
        <w:t>.</w:t>
      </w:r>
    </w:p>
    <w:p w14:paraId="1EE20718" w14:textId="77777777" w:rsidR="002E5BAD" w:rsidRDefault="002E5BAD" w:rsidP="002E5BAD">
      <w:pPr>
        <w:pStyle w:val="ab"/>
        <w:numPr>
          <w:ilvl w:val="0"/>
          <w:numId w:val="158"/>
        </w:numPr>
      </w:pPr>
      <w:r>
        <w:rPr>
          <w:rFonts w:cs="Arial" w:hint="cs"/>
          <w:rtl/>
        </w:rPr>
        <w:t xml:space="preserve">בית מאיר </w:t>
      </w:r>
      <w:r>
        <w:rPr>
          <w:rFonts w:cs="Arial" w:hint="cs"/>
          <w:sz w:val="16"/>
          <w:szCs w:val="16"/>
          <w:rtl/>
        </w:rPr>
        <w:t>(על השו"ע כאן, הביאו הפת"ש [סק"א])</w:t>
      </w:r>
      <w:r>
        <w:rPr>
          <w:rFonts w:cs="Arial" w:hint="cs"/>
          <w:rtl/>
        </w:rPr>
        <w:t xml:space="preserve">- </w:t>
      </w:r>
      <w:r w:rsidRPr="00A813FA">
        <w:rPr>
          <w:rFonts w:cs="Arial"/>
          <w:rtl/>
        </w:rPr>
        <w:t>אפי' נשבית מכח גרמא שלה בשביל שגנבה מ"מ חייב לפדותה</w:t>
      </w:r>
      <w:r>
        <w:rPr>
          <w:rFonts w:cs="Arial" w:hint="cs"/>
          <w:rtl/>
        </w:rPr>
        <w:t>.</w:t>
      </w:r>
      <w:r w:rsidRPr="00A813FA">
        <w:rPr>
          <w:rFonts w:cs="Arial"/>
          <w:rtl/>
        </w:rPr>
        <w:t xml:space="preserve"> וכן גבי רפואתה אף אם אכלה בפשיעת' דברים המזיקים לתאוות' עד שחלתה מ"מ חייב ברפואת</w:t>
      </w:r>
      <w:r>
        <w:rPr>
          <w:rFonts w:cs="Arial" w:hint="cs"/>
          <w:rtl/>
        </w:rPr>
        <w:t>ה</w:t>
      </w:r>
      <w:r>
        <w:rPr>
          <w:rStyle w:val="a7"/>
          <w:rFonts w:cs="Arial"/>
          <w:rtl/>
        </w:rPr>
        <w:footnoteReference w:id="1361"/>
      </w:r>
      <w:r w:rsidRPr="00A813FA">
        <w:rPr>
          <w:rFonts w:cs="Arial"/>
          <w:rtl/>
        </w:rPr>
        <w:t xml:space="preserve">. </w:t>
      </w:r>
    </w:p>
    <w:p w14:paraId="6036ED12" w14:textId="77777777" w:rsidR="002E5BAD" w:rsidRDefault="002E5BAD" w:rsidP="002E5BAD">
      <w:pPr>
        <w:pStyle w:val="ab"/>
        <w:numPr>
          <w:ilvl w:val="0"/>
          <w:numId w:val="158"/>
        </w:numPr>
        <w:rPr>
          <w:rtl/>
        </w:rPr>
      </w:pPr>
      <w:r>
        <w:rPr>
          <w:rFonts w:hint="cs"/>
          <w:rtl/>
        </w:rPr>
        <w:t xml:space="preserve">כתב סופר </w:t>
      </w:r>
      <w:r>
        <w:rPr>
          <w:rFonts w:hint="cs"/>
          <w:sz w:val="16"/>
          <w:szCs w:val="16"/>
          <w:rtl/>
        </w:rPr>
        <w:t>(אהע"ז סי' מו)</w:t>
      </w:r>
      <w:r>
        <w:rPr>
          <w:rFonts w:hint="cs"/>
          <w:rtl/>
        </w:rPr>
        <w:t>-</w:t>
      </w:r>
      <w:r w:rsidRPr="00D0366F">
        <w:rPr>
          <w:rtl/>
        </w:rPr>
        <w:t xml:space="preserve"> </w:t>
      </w:r>
      <w:r w:rsidRPr="00D0366F">
        <w:rPr>
          <w:rFonts w:cs="Arial"/>
          <w:rtl/>
        </w:rPr>
        <w:t>אם אשת ישראל היא שנשבית ע"י גרמא שלה, נשאר לנו בספיקא דדינא ואין להוציא ממנו בפ"ר, ובפעם שני אינה יכולה לומר לו תן לי כתובתי או פדאני, דאין מוציאים מיד המוחזק מספק, ואם תפסה, עד כדי כתובתה אין מוציאים ממנה, אבל יוכל לומר לה אפי' בפ"ר יהי' זה לכתובתה ותפדה עצמה, ואם תפסה יותר מכדי כתובתה לפדות עצמה כשדמי פדיה עולים יותר או אפי' דמי פדיה פחות אינו יכול לומר לה החזיר לי מה שתפסת יותר מכתובתך דתוכל לומר לו אולי אתה מחויב לפדאני משלך וא"א לו לנכות דמי הפדי' מכתובתה ותחזיק בכתובתה לעצמה ופודת עצמה ביותר מכדי כתובתה מספק שמא מחויב הוא לפדותה משלו</w:t>
      </w:r>
      <w:r>
        <w:rPr>
          <w:rFonts w:cs="Arial" w:hint="cs"/>
          <w:rtl/>
        </w:rPr>
        <w:t>.</w:t>
      </w:r>
    </w:p>
    <w:p w14:paraId="3631C513" w14:textId="77777777" w:rsidR="002E5BAD" w:rsidRDefault="002E5BAD" w:rsidP="002E5BAD">
      <w:pPr>
        <w:rPr>
          <w:rtl/>
        </w:rPr>
      </w:pPr>
    </w:p>
    <w:p w14:paraId="2E623535" w14:textId="77777777" w:rsidR="002E5BAD" w:rsidRDefault="002E5BAD" w:rsidP="002E5BAD">
      <w:pPr>
        <w:pStyle w:val="2"/>
        <w:rPr>
          <w:rtl/>
        </w:rPr>
      </w:pPr>
      <w:r>
        <w:rPr>
          <w:rtl/>
        </w:rPr>
        <w:t>סעיף ב</w:t>
      </w:r>
      <w:r>
        <w:rPr>
          <w:rFonts w:hint="cs"/>
          <w:rtl/>
        </w:rPr>
        <w:t>: פדיונה כשדורשים יותר משוויה.</w:t>
      </w:r>
    </w:p>
    <w:p w14:paraId="089FFACA" w14:textId="77777777" w:rsidR="002E5BAD" w:rsidRPr="006577D2" w:rsidRDefault="002E5BAD" w:rsidP="002E5BAD">
      <w:pPr>
        <w:rPr>
          <w:rtl/>
        </w:rPr>
      </w:pPr>
      <w:r w:rsidRPr="006577D2">
        <w:rPr>
          <w:rFonts w:cs="Arial" w:hint="cs"/>
          <w:b/>
          <w:bCs/>
          <w:rtl/>
        </w:rPr>
        <w:t xml:space="preserve">גיטין </w:t>
      </w:r>
      <w:r>
        <w:rPr>
          <w:rFonts w:cs="Arial" w:hint="cs"/>
          <w:b/>
          <w:bCs/>
          <w:sz w:val="16"/>
          <w:szCs w:val="16"/>
          <w:rtl/>
        </w:rPr>
        <w:t>(פ' השולח)</w:t>
      </w:r>
      <w:r>
        <w:rPr>
          <w:rFonts w:cs="Arial" w:hint="cs"/>
          <w:b/>
          <w:bCs/>
          <w:rtl/>
        </w:rPr>
        <w:t xml:space="preserve"> </w:t>
      </w:r>
      <w:r w:rsidRPr="006577D2">
        <w:rPr>
          <w:rFonts w:cs="Arial" w:hint="cs"/>
          <w:b/>
          <w:bCs/>
          <w:rtl/>
        </w:rPr>
        <w:t xml:space="preserve">מה ע"א: </w:t>
      </w:r>
      <w:r w:rsidRPr="006577D2">
        <w:rPr>
          <w:rFonts w:cs="Arial"/>
          <w:u w:val="double"/>
          <w:rtl/>
        </w:rPr>
        <w:t>מתני'</w:t>
      </w:r>
      <w:r>
        <w:rPr>
          <w:rFonts w:cs="Arial" w:hint="cs"/>
          <w:rtl/>
        </w:rPr>
        <w:t>:</w:t>
      </w:r>
      <w:r w:rsidRPr="006577D2">
        <w:rPr>
          <w:rFonts w:cs="Arial"/>
          <w:rtl/>
        </w:rPr>
        <w:t xml:space="preserve"> אין פודין את השבויין יתר על כדי דמיהן, מפני תיקון העול</w:t>
      </w:r>
      <w:r>
        <w:rPr>
          <w:rFonts w:cs="Arial" w:hint="cs"/>
          <w:rtl/>
        </w:rPr>
        <w:t>ם.</w:t>
      </w:r>
      <w:r w:rsidRPr="006577D2">
        <w:rPr>
          <w:rFonts w:cs="Arial"/>
          <w:rtl/>
        </w:rPr>
        <w:t xml:space="preserve"> ואין מבריחין את השבויין, מפני תיקון העולם</w:t>
      </w:r>
      <w:r>
        <w:rPr>
          <w:rStyle w:val="a7"/>
          <w:rFonts w:cs="Arial"/>
          <w:rtl/>
        </w:rPr>
        <w:footnoteReference w:id="1362"/>
      </w:r>
      <w:r>
        <w:rPr>
          <w:rFonts w:cs="Arial" w:hint="cs"/>
          <w:rtl/>
        </w:rPr>
        <w:t>.</w:t>
      </w:r>
      <w:r w:rsidRPr="006577D2">
        <w:rPr>
          <w:rFonts w:cs="Arial"/>
          <w:rtl/>
        </w:rPr>
        <w:t xml:space="preserve"> </w:t>
      </w:r>
      <w:r w:rsidRPr="006577D2">
        <w:rPr>
          <w:rFonts w:cs="Arial"/>
          <w:u w:val="single"/>
          <w:rtl/>
        </w:rPr>
        <w:t>רשב"ג אומר</w:t>
      </w:r>
      <w:r w:rsidRPr="006577D2">
        <w:rPr>
          <w:rFonts w:cs="Arial"/>
          <w:rtl/>
        </w:rPr>
        <w:t>: מפני תקנת השבויין.</w:t>
      </w:r>
    </w:p>
    <w:p w14:paraId="7C64C443" w14:textId="77777777" w:rsidR="002E5BAD" w:rsidRDefault="002E5BAD" w:rsidP="002E5BAD">
      <w:pPr>
        <w:rPr>
          <w:rFonts w:cs="Arial"/>
          <w:rtl/>
        </w:rPr>
      </w:pPr>
      <w:r w:rsidRPr="00AB0AB9">
        <w:rPr>
          <w:rFonts w:cs="Arial" w:hint="cs"/>
          <w:b/>
          <w:bCs/>
          <w:rtl/>
        </w:rPr>
        <w:lastRenderedPageBreak/>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א</w:t>
      </w:r>
      <w:r w:rsidRPr="00AB0AB9">
        <w:rPr>
          <w:rFonts w:cs="Arial" w:hint="cs"/>
          <w:b/>
          <w:bCs/>
          <w:rtl/>
        </w:rPr>
        <w:t xml:space="preserve">: </w:t>
      </w:r>
      <w:r w:rsidRPr="00146FB6">
        <w:rPr>
          <w:rFonts w:cs="Arial"/>
          <w:rtl/>
        </w:rPr>
        <w:t>תנו רבנן: נשבית, והיו מבקשין ממנו עד עשרה בדמיה - פעם ראשונה פודה, מכאן ואילך, רצה - פודה, רצה - אינו פודה</w:t>
      </w:r>
      <w:r>
        <w:rPr>
          <w:rFonts w:cs="Arial" w:hint="cs"/>
          <w:rtl/>
        </w:rPr>
        <w:t>.</w:t>
      </w:r>
      <w:r w:rsidRPr="00146FB6">
        <w:rPr>
          <w:rFonts w:cs="Arial"/>
          <w:rtl/>
        </w:rPr>
        <w:t xml:space="preserve"> </w:t>
      </w:r>
      <w:r w:rsidRPr="00146FB6">
        <w:rPr>
          <w:rFonts w:cs="Arial"/>
          <w:u w:val="single"/>
          <w:rtl/>
        </w:rPr>
        <w:t>רבן שמעון בן גמליאל אומר</w:t>
      </w:r>
      <w:r w:rsidRPr="00146FB6">
        <w:rPr>
          <w:rFonts w:cs="Arial"/>
          <w:rtl/>
        </w:rPr>
        <w:t xml:space="preserve">: </w:t>
      </w:r>
      <w:r>
        <w:rPr>
          <w:rFonts w:cs="Arial" w:hint="cs"/>
          <w:sz w:val="14"/>
          <w:szCs w:val="14"/>
          <w:rtl/>
        </w:rPr>
        <w:t xml:space="preserve">(נב:) </w:t>
      </w:r>
      <w:r w:rsidRPr="00146FB6">
        <w:rPr>
          <w:rFonts w:cs="Arial"/>
          <w:rtl/>
        </w:rPr>
        <w:t>אין פודין את השבויין יותר על כדי דמיהם, מפני תקון העולם. הא בכדי דמיהן פודין, אף על גב דפרקונה יותר על כתובתה</w:t>
      </w:r>
      <w:r>
        <w:rPr>
          <w:rFonts w:cs="Arial" w:hint="cs"/>
          <w:rtl/>
        </w:rPr>
        <w:t>.</w:t>
      </w:r>
      <w:r w:rsidRPr="00146FB6">
        <w:rPr>
          <w:rFonts w:cs="Arial"/>
          <w:rtl/>
        </w:rPr>
        <w:t xml:space="preserve"> ורמינהי: נשבית, והיו מבקשין ממנו עד עשרה בכתובתה - פעם ראשונה פודה, מכאן ואילך, רצה - פודה, רצה - אינו פודה</w:t>
      </w:r>
      <w:r>
        <w:rPr>
          <w:rFonts w:cs="Arial" w:hint="cs"/>
          <w:rtl/>
        </w:rPr>
        <w:t xml:space="preserve">, </w:t>
      </w:r>
      <w:r>
        <w:rPr>
          <w:rStyle w:val="a7"/>
          <w:rFonts w:cs="Arial"/>
          <w:rtl/>
        </w:rPr>
        <w:footnoteReference w:id="1363"/>
      </w:r>
      <w:r>
        <w:rPr>
          <w:rFonts w:cs="Arial" w:hint="cs"/>
          <w:rtl/>
        </w:rPr>
        <w:t>[דברי רבי].</w:t>
      </w:r>
      <w:r w:rsidRPr="00146FB6">
        <w:rPr>
          <w:rFonts w:cs="Arial"/>
          <w:rtl/>
        </w:rPr>
        <w:t xml:space="preserve"> </w:t>
      </w:r>
      <w:r w:rsidRPr="00146FB6">
        <w:rPr>
          <w:rFonts w:cs="Arial"/>
          <w:u w:val="single"/>
          <w:rtl/>
        </w:rPr>
        <w:t>ר"ש בן גמליאל אומר</w:t>
      </w:r>
      <w:r w:rsidRPr="00146FB6">
        <w:rPr>
          <w:rFonts w:cs="Arial"/>
          <w:rtl/>
        </w:rPr>
        <w:t xml:space="preserve">: אם היה פרקונה כנגד כתובתה - פודה, אם לאו - אינו פודה! רבן שמעון בן גמליאל תרי קולי אית ליה. </w:t>
      </w:r>
    </w:p>
    <w:p w14:paraId="40CA36FA" w14:textId="77777777" w:rsidR="002E5BAD" w:rsidRPr="00146FB6" w:rsidRDefault="002E5BAD" w:rsidP="002E5BAD">
      <w:pPr>
        <w:rPr>
          <w:u w:val="single"/>
          <w:rtl/>
        </w:rPr>
      </w:pPr>
      <w:r w:rsidRPr="00146FB6">
        <w:rPr>
          <w:rFonts w:hint="cs"/>
          <w:u w:val="single"/>
          <w:rtl/>
        </w:rPr>
        <w:t>האם האיש חייב לפדות את אשתו כשדורשים ממנו יותר משוויה:</w:t>
      </w:r>
    </w:p>
    <w:p w14:paraId="28ABD962" w14:textId="77777777" w:rsidR="002E5BAD" w:rsidRDefault="002E5BAD" w:rsidP="002E5BAD">
      <w:pPr>
        <w:pStyle w:val="ab"/>
        <w:numPr>
          <w:ilvl w:val="0"/>
          <w:numId w:val="158"/>
        </w:numPr>
      </w:pPr>
      <w:r>
        <w:rPr>
          <w:rFonts w:cs="Arial" w:hint="cs"/>
          <w:rtl/>
        </w:rPr>
        <w:t xml:space="preserve">רמ"ה </w:t>
      </w:r>
      <w:r>
        <w:rPr>
          <w:rFonts w:cs="Arial" w:hint="cs"/>
          <w:sz w:val="16"/>
          <w:szCs w:val="16"/>
          <w:rtl/>
        </w:rPr>
        <w:t>(כ"כ הרא"ש בשמו)</w:t>
      </w:r>
      <w:r>
        <w:rPr>
          <w:rFonts w:cs="Arial" w:hint="cs"/>
          <w:rtl/>
        </w:rPr>
        <w:t xml:space="preserve"> רא"ש </w:t>
      </w:r>
      <w:r w:rsidRPr="00C65A3A">
        <w:rPr>
          <w:rFonts w:cs="Arial"/>
          <w:sz w:val="16"/>
          <w:szCs w:val="16"/>
          <w:rtl/>
        </w:rPr>
        <w:t>(כתובות שם סי' כב)</w:t>
      </w:r>
      <w:r>
        <w:rPr>
          <w:rFonts w:cs="Arial" w:hint="cs"/>
          <w:rtl/>
        </w:rPr>
        <w:t xml:space="preserve"> וטור-</w:t>
      </w:r>
      <w:r w:rsidRPr="00825FED">
        <w:rPr>
          <w:rFonts w:cs="Arial"/>
          <w:rtl/>
        </w:rPr>
        <w:t xml:space="preserve"> </w:t>
      </w:r>
      <w:r w:rsidRPr="00694CEB">
        <w:rPr>
          <w:rFonts w:cs="Arial"/>
          <w:rtl/>
        </w:rPr>
        <w:t>צריך לפדותה</w:t>
      </w:r>
      <w:r w:rsidRPr="00694CEB">
        <w:rPr>
          <w:rFonts w:cs="Arial" w:hint="cs"/>
          <w:rtl/>
        </w:rPr>
        <w:t>...</w:t>
      </w:r>
      <w:r w:rsidRPr="00694CEB">
        <w:rPr>
          <w:rFonts w:cs="Arial"/>
          <w:rtl/>
        </w:rPr>
        <w:t xml:space="preserve"> </w:t>
      </w:r>
      <w:r>
        <w:rPr>
          <w:rFonts w:cs="Arial" w:hint="cs"/>
          <w:rtl/>
        </w:rPr>
        <w:t xml:space="preserve">אפי' </w:t>
      </w:r>
      <w:r w:rsidRPr="00694CEB">
        <w:rPr>
          <w:rFonts w:cs="Arial"/>
          <w:rtl/>
        </w:rPr>
        <w:t>יותר מכדי שויה</w:t>
      </w:r>
      <w:r w:rsidRPr="00694CEB">
        <w:rPr>
          <w:rFonts w:cs="Arial" w:hint="cs"/>
          <w:rtl/>
        </w:rPr>
        <w:t>...</w:t>
      </w:r>
      <w:r w:rsidRPr="00694CEB">
        <w:rPr>
          <w:rFonts w:cs="Arial"/>
          <w:rtl/>
        </w:rPr>
        <w:t xml:space="preserve"> ואינו חייב לפדותה אלא פעם אחת נשבית שנית</w:t>
      </w:r>
      <w:r w:rsidRPr="00694CEB">
        <w:rPr>
          <w:rFonts w:cs="Arial" w:hint="cs"/>
          <w:rtl/>
        </w:rPr>
        <w:t xml:space="preserve">... - </w:t>
      </w:r>
      <w:r w:rsidRPr="00694CEB">
        <w:rPr>
          <w:rFonts w:cs="Arial"/>
          <w:rtl/>
        </w:rPr>
        <w:t>אינו חייב בפדיונה כלל</w:t>
      </w:r>
      <w:r>
        <w:rPr>
          <w:rStyle w:val="a7"/>
          <w:rFonts w:cs="Arial"/>
          <w:rtl/>
        </w:rPr>
        <w:footnoteReference w:id="1364"/>
      </w:r>
      <w:r w:rsidRPr="00694CEB">
        <w:rPr>
          <w:rFonts w:cs="Arial" w:hint="cs"/>
          <w:sz w:val="16"/>
          <w:szCs w:val="16"/>
          <w:rtl/>
        </w:rPr>
        <w:t xml:space="preserve"> (ל' הטור)</w:t>
      </w:r>
      <w:r w:rsidRPr="00694CEB">
        <w:rPr>
          <w:rFonts w:cs="Arial" w:hint="cs"/>
          <w:rtl/>
        </w:rPr>
        <w:t>.</w:t>
      </w:r>
      <w:r>
        <w:rPr>
          <w:rFonts w:hint="cs"/>
          <w:rtl/>
        </w:rPr>
        <w:t xml:space="preserve"> </w:t>
      </w:r>
      <w:r w:rsidRPr="00694CEB">
        <w:rPr>
          <w:rFonts w:hint="cs"/>
          <w:color w:val="00B0F0"/>
          <w:rtl/>
        </w:rPr>
        <w:t>(וכ"פ הרמ"א</w:t>
      </w:r>
      <w:r>
        <w:rPr>
          <w:rFonts w:hint="cs"/>
          <w:color w:val="00B0F0"/>
          <w:sz w:val="16"/>
          <w:szCs w:val="16"/>
          <w:rtl/>
        </w:rPr>
        <w:t xml:space="preserve"> </w:t>
      </w:r>
      <w:r w:rsidRPr="00694CEB">
        <w:rPr>
          <w:rFonts w:hint="cs"/>
          <w:color w:val="000000" w:themeColor="text1"/>
          <w:sz w:val="16"/>
          <w:szCs w:val="16"/>
          <w:rtl/>
        </w:rPr>
        <w:t>[</w:t>
      </w:r>
      <w:r>
        <w:rPr>
          <w:rFonts w:hint="cs"/>
          <w:color w:val="000000" w:themeColor="text1"/>
          <w:sz w:val="16"/>
          <w:szCs w:val="16"/>
          <w:rtl/>
        </w:rPr>
        <w:t>כאן ובסע' הבא</w:t>
      </w:r>
      <w:r w:rsidRPr="00694CEB">
        <w:rPr>
          <w:rFonts w:hint="cs"/>
          <w:color w:val="000000" w:themeColor="text1"/>
          <w:sz w:val="16"/>
          <w:szCs w:val="16"/>
          <w:rtl/>
        </w:rPr>
        <w:t>]</w:t>
      </w:r>
      <w:r w:rsidRPr="00694CEB">
        <w:rPr>
          <w:rFonts w:hint="cs"/>
          <w:color w:val="00B0F0"/>
          <w:rtl/>
        </w:rPr>
        <w:t>)</w:t>
      </w:r>
    </w:p>
    <w:p w14:paraId="63BF3FCB" w14:textId="77777777" w:rsidR="002E5BAD" w:rsidRPr="00C65A3A" w:rsidRDefault="002E5BAD" w:rsidP="002E5BAD">
      <w:pPr>
        <w:pStyle w:val="ab"/>
        <w:numPr>
          <w:ilvl w:val="0"/>
          <w:numId w:val="158"/>
        </w:numPr>
        <w:rPr>
          <w:rtl/>
        </w:rPr>
      </w:pPr>
      <w:r>
        <w:rPr>
          <w:rFonts w:cs="Arial" w:hint="cs"/>
          <w:rtl/>
        </w:rPr>
        <w:t>רי"ף</w:t>
      </w:r>
      <w:r>
        <w:rPr>
          <w:rFonts w:cs="Arial" w:hint="cs"/>
          <w:sz w:val="16"/>
          <w:szCs w:val="16"/>
          <w:rtl/>
        </w:rPr>
        <w:t xml:space="preserve"> (יט.)</w:t>
      </w:r>
      <w:r>
        <w:rPr>
          <w:rFonts w:cs="Arial" w:hint="cs"/>
          <w:rtl/>
        </w:rPr>
        <w:t xml:space="preserve"> ורמב"ם </w:t>
      </w:r>
      <w:r w:rsidRPr="00723480">
        <w:rPr>
          <w:rFonts w:cs="Arial"/>
          <w:sz w:val="16"/>
          <w:szCs w:val="16"/>
          <w:rtl/>
        </w:rPr>
        <w:t>(פי"ד מאישות הי"ט)</w:t>
      </w:r>
      <w:r>
        <w:rPr>
          <w:rFonts w:cs="Arial" w:hint="cs"/>
          <w:rtl/>
        </w:rPr>
        <w:t xml:space="preserve">- </w:t>
      </w:r>
      <w:r w:rsidRPr="00723480">
        <w:rPr>
          <w:rFonts w:cs="Arial"/>
          <w:rtl/>
        </w:rPr>
        <w:t>אין מחייבין את הבעל לפדות את אשתו ביתר על דמיה אלא כמה שהיא שוה כשאר השבויות</w:t>
      </w:r>
      <w:r>
        <w:rPr>
          <w:rStyle w:val="a7"/>
          <w:rFonts w:cs="Arial"/>
          <w:rtl/>
        </w:rPr>
        <w:footnoteReference w:id="1365"/>
      </w:r>
      <w:r>
        <w:rPr>
          <w:rFonts w:cs="Arial" w:hint="cs"/>
          <w:rtl/>
        </w:rPr>
        <w:t>.</w:t>
      </w:r>
      <w:r w:rsidRPr="00723480">
        <w:rPr>
          <w:rFonts w:cs="Arial"/>
          <w:rtl/>
        </w:rPr>
        <w:t xml:space="preserve"> </w:t>
      </w:r>
      <w:r w:rsidRPr="007B74FB">
        <w:rPr>
          <w:rFonts w:hint="cs"/>
          <w:color w:val="E36C0A" w:themeColor="accent6" w:themeShade="BF"/>
          <w:rtl/>
        </w:rPr>
        <w:t>(וכ"פ בשו"ע)</w:t>
      </w:r>
    </w:p>
    <w:p w14:paraId="3AFF3B9E" w14:textId="77777777" w:rsidR="002E5BAD" w:rsidRPr="00C65A3A" w:rsidRDefault="002E5BAD" w:rsidP="002E5BAD">
      <w:pPr>
        <w:rPr>
          <w:rFonts w:cs="Arial"/>
          <w:u w:val="single"/>
          <w:rtl/>
        </w:rPr>
      </w:pPr>
      <w:r w:rsidRPr="00C65A3A">
        <w:rPr>
          <w:rFonts w:cs="Arial" w:hint="cs"/>
          <w:u w:val="single"/>
          <w:rtl/>
        </w:rPr>
        <w:t xml:space="preserve">איש ואישה שנשבו אצל שבאים שונים </w:t>
      </w:r>
      <w:r w:rsidRPr="00C65A3A">
        <w:rPr>
          <w:rFonts w:cs="Arial"/>
          <w:u w:val="single"/>
          <w:rtl/>
        </w:rPr>
        <w:t>–</w:t>
      </w:r>
      <w:r w:rsidRPr="00C65A3A">
        <w:rPr>
          <w:rFonts w:cs="Arial" w:hint="cs"/>
          <w:u w:val="single"/>
          <w:rtl/>
        </w:rPr>
        <w:t xml:space="preserve"> את מי פודים קודם מהממון של הבעל:</w:t>
      </w:r>
    </w:p>
    <w:p w14:paraId="6C9EF350" w14:textId="77777777" w:rsidR="002E5BAD" w:rsidRPr="00825FED" w:rsidRDefault="002E5BAD" w:rsidP="002E5BAD">
      <w:pPr>
        <w:pStyle w:val="ab"/>
        <w:numPr>
          <w:ilvl w:val="0"/>
          <w:numId w:val="163"/>
        </w:numPr>
        <w:rPr>
          <w:rtl/>
        </w:rPr>
      </w:pPr>
      <w:r>
        <w:rPr>
          <w:rFonts w:cs="Arial" w:hint="cs"/>
          <w:rtl/>
        </w:rPr>
        <w:t xml:space="preserve">מהר"ם </w:t>
      </w:r>
      <w:r w:rsidRPr="00C65A3A">
        <w:rPr>
          <w:rFonts w:cs="Arial" w:hint="cs"/>
          <w:sz w:val="16"/>
          <w:szCs w:val="16"/>
          <w:rtl/>
        </w:rPr>
        <w:t>(</w:t>
      </w:r>
      <w:r w:rsidRPr="00C65A3A">
        <w:rPr>
          <w:rFonts w:cs="Arial"/>
          <w:sz w:val="16"/>
          <w:szCs w:val="16"/>
          <w:rtl/>
        </w:rPr>
        <w:t>ספר סיני וליקוטים סי</w:t>
      </w:r>
      <w:r w:rsidRPr="00C65A3A">
        <w:rPr>
          <w:rFonts w:cs="Arial" w:hint="cs"/>
          <w:sz w:val="16"/>
          <w:szCs w:val="16"/>
          <w:rtl/>
        </w:rPr>
        <w:t>'</w:t>
      </w:r>
      <w:r w:rsidRPr="00C65A3A">
        <w:rPr>
          <w:rFonts w:cs="Arial"/>
          <w:sz w:val="16"/>
          <w:szCs w:val="16"/>
          <w:rtl/>
        </w:rPr>
        <w:t xml:space="preserve"> תקלג</w:t>
      </w:r>
      <w:r w:rsidRPr="00C65A3A">
        <w:rPr>
          <w:rFonts w:cs="Arial" w:hint="cs"/>
          <w:sz w:val="16"/>
          <w:szCs w:val="16"/>
          <w:rtl/>
        </w:rPr>
        <w:t>, וכ"כ בשמו ההגמ"ר [</w:t>
      </w:r>
      <w:r w:rsidRPr="00C65A3A">
        <w:rPr>
          <w:rFonts w:cs="Arial"/>
          <w:sz w:val="16"/>
          <w:szCs w:val="16"/>
          <w:rtl/>
        </w:rPr>
        <w:t>כתובות סי' רפח</w:t>
      </w:r>
      <w:r w:rsidRPr="00C65A3A">
        <w:rPr>
          <w:rFonts w:cs="Arial" w:hint="cs"/>
          <w:sz w:val="16"/>
          <w:szCs w:val="16"/>
          <w:rtl/>
        </w:rPr>
        <w:t>]</w:t>
      </w:r>
      <w:r w:rsidRPr="00C65A3A">
        <w:rPr>
          <w:rFonts w:cs="Arial"/>
          <w:sz w:val="16"/>
          <w:szCs w:val="16"/>
          <w:rtl/>
        </w:rPr>
        <w:t>)</w:t>
      </w:r>
      <w:r>
        <w:rPr>
          <w:rFonts w:cs="Arial" w:hint="cs"/>
          <w:rtl/>
        </w:rPr>
        <w:t xml:space="preserve">- </w:t>
      </w:r>
      <w:r w:rsidRPr="00C65A3A">
        <w:rPr>
          <w:rFonts w:cs="Arial"/>
          <w:rtl/>
        </w:rPr>
        <w:t>ראובן נתפס וגם אשתו נתפסה מצד אחר</w:t>
      </w:r>
      <w:r>
        <w:rPr>
          <w:rFonts w:cs="Arial" w:hint="cs"/>
          <w:rtl/>
        </w:rPr>
        <w:t>,</w:t>
      </w:r>
      <w:r w:rsidRPr="00C65A3A">
        <w:rPr>
          <w:rFonts w:cs="Arial"/>
          <w:rtl/>
        </w:rPr>
        <w:t xml:space="preserve"> ומייסרין אותה</w:t>
      </w:r>
      <w:r>
        <w:rPr>
          <w:rFonts w:cs="Arial" w:hint="cs"/>
          <w:rtl/>
        </w:rPr>
        <w:t>,</w:t>
      </w:r>
      <w:r w:rsidRPr="00C65A3A">
        <w:rPr>
          <w:rFonts w:cs="Arial"/>
          <w:rtl/>
        </w:rPr>
        <w:t xml:space="preserve"> ועמדו קרוביה ופשרו בעבורה</w:t>
      </w:r>
      <w:r>
        <w:rPr>
          <w:rFonts w:cs="Arial" w:hint="cs"/>
          <w:rtl/>
        </w:rPr>
        <w:t>,</w:t>
      </w:r>
      <w:r w:rsidRPr="00C65A3A">
        <w:rPr>
          <w:rFonts w:cs="Arial"/>
          <w:rtl/>
        </w:rPr>
        <w:t xml:space="preserve"> אם יכולים להוציא דמי פדיונה מיד שמעון שיש בידו פקדון אחד משל ראובן בעלה</w:t>
      </w:r>
      <w:r>
        <w:rPr>
          <w:rFonts w:cs="Arial" w:hint="cs"/>
          <w:rtl/>
        </w:rPr>
        <w:t>,</w:t>
      </w:r>
      <w:r w:rsidRPr="00C65A3A">
        <w:rPr>
          <w:rFonts w:cs="Arial"/>
          <w:rtl/>
        </w:rPr>
        <w:t xml:space="preserve"> מי אמרינן כל כמה שלא נתפשר איהו גופיה עם השבאי ולא נודע כמה יעלו דמי פדיונו ואם יפדנה תחלה אז לא יוכל לפדות עצמו חייו קודמין לשל אשתו או לא</w:t>
      </w:r>
      <w:r>
        <w:rPr>
          <w:rFonts w:cs="Arial" w:hint="cs"/>
          <w:rtl/>
        </w:rPr>
        <w:t xml:space="preserve">. תשובה- </w:t>
      </w:r>
      <w:r w:rsidRPr="00C65A3A">
        <w:rPr>
          <w:rFonts w:cs="Arial"/>
          <w:rtl/>
        </w:rPr>
        <w:t>להוציא מבית השביה אשתו עדיפא</w:t>
      </w:r>
      <w:r>
        <w:rPr>
          <w:rStyle w:val="a7"/>
          <w:rFonts w:cs="Arial"/>
          <w:rtl/>
        </w:rPr>
        <w:footnoteReference w:id="1366"/>
      </w:r>
      <w:r w:rsidRPr="00C65A3A">
        <w:rPr>
          <w:rFonts w:cs="Arial"/>
          <w:rtl/>
        </w:rPr>
        <w:t xml:space="preserve"> כדתנן בסוף הוריות (יג.)</w:t>
      </w:r>
      <w:r>
        <w:rPr>
          <w:rFonts w:cs="Arial" w:hint="cs"/>
          <w:rtl/>
        </w:rPr>
        <w:t>,</w:t>
      </w:r>
      <w:r w:rsidRPr="00C65A3A">
        <w:rPr>
          <w:rFonts w:cs="Arial"/>
          <w:rtl/>
        </w:rPr>
        <w:t xml:space="preserve"> ואם שניהם עומדים לקלקלה כלומר שרגילים במשכב זכור האיש קודם לאשה</w:t>
      </w:r>
      <w:r>
        <w:rPr>
          <w:rStyle w:val="a7"/>
          <w:rFonts w:cs="Arial"/>
          <w:rtl/>
        </w:rPr>
        <w:footnoteReference w:id="1367"/>
      </w:r>
      <w:r>
        <w:rPr>
          <w:rFonts w:cs="Arial" w:hint="cs"/>
          <w:sz w:val="12"/>
          <w:szCs w:val="12"/>
          <w:rtl/>
        </w:rPr>
        <w:t xml:space="preserve"> </w:t>
      </w:r>
      <w:r>
        <w:rPr>
          <w:rFonts w:cs="Arial" w:hint="cs"/>
          <w:sz w:val="16"/>
          <w:szCs w:val="16"/>
          <w:rtl/>
        </w:rPr>
        <w:t>(ל' ההגמ"ר בשמו)</w:t>
      </w:r>
      <w:r w:rsidRPr="00C65A3A">
        <w:rPr>
          <w:rFonts w:cs="Arial" w:hint="cs"/>
          <w:rtl/>
        </w:rPr>
        <w:t>.</w:t>
      </w:r>
    </w:p>
    <w:p w14:paraId="28E938E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637CA1C" w14:textId="77777777" w:rsidR="002E5BAD" w:rsidRDefault="002E5BAD" w:rsidP="002E5BAD">
      <w:pPr>
        <w:rPr>
          <w:rtl/>
        </w:rPr>
      </w:pPr>
      <w:r>
        <w:rPr>
          <w:rFonts w:cs="Arial"/>
          <w:rtl/>
        </w:rPr>
        <w:t>אין מחייבים</w:t>
      </w:r>
      <w:r>
        <w:rPr>
          <w:rStyle w:val="a7"/>
          <w:rFonts w:cs="Arial"/>
          <w:rtl/>
        </w:rPr>
        <w:footnoteReference w:id="1368"/>
      </w:r>
      <w:r>
        <w:rPr>
          <w:rFonts w:cs="Arial"/>
          <w:rtl/>
        </w:rPr>
        <w:t xml:space="preserve"> את הבעל לפדות את אשתו יותר על דמיה, אלא כמו שהיא שוה</w:t>
      </w:r>
      <w:r>
        <w:rPr>
          <w:rFonts w:cs="Arial" w:hint="cs"/>
          <w:rtl/>
        </w:rPr>
        <w:t>,</w:t>
      </w:r>
      <w:r>
        <w:rPr>
          <w:rFonts w:cs="Arial"/>
          <w:rtl/>
        </w:rPr>
        <w:t xml:space="preserve"> כשאר השבויות. </w:t>
      </w:r>
      <w:r w:rsidRPr="00825FED">
        <w:rPr>
          <w:rFonts w:cs="Arial" w:hint="cs"/>
          <w:sz w:val="18"/>
          <w:szCs w:val="18"/>
          <w:rtl/>
        </w:rPr>
        <w:t xml:space="preserve">[הגה] </w:t>
      </w:r>
      <w:r w:rsidRPr="00825FED">
        <w:rPr>
          <w:rFonts w:cs="Arial"/>
          <w:sz w:val="18"/>
          <w:szCs w:val="18"/>
          <w:rtl/>
        </w:rPr>
        <w:t>וי"א דאשתו כגופו דמי, ויכול</w:t>
      </w:r>
      <w:r>
        <w:rPr>
          <w:rStyle w:val="a7"/>
          <w:rFonts w:cs="Arial"/>
          <w:sz w:val="18"/>
          <w:szCs w:val="18"/>
          <w:rtl/>
        </w:rPr>
        <w:footnoteReference w:id="1369"/>
      </w:r>
      <w:r w:rsidRPr="00825FED">
        <w:rPr>
          <w:rFonts w:cs="Arial"/>
          <w:sz w:val="18"/>
          <w:szCs w:val="18"/>
          <w:rtl/>
        </w:rPr>
        <w:t xml:space="preserve"> לפדות בכל אשר לו</w:t>
      </w:r>
      <w:r>
        <w:rPr>
          <w:rStyle w:val="a7"/>
          <w:rFonts w:cs="Arial"/>
          <w:sz w:val="18"/>
          <w:szCs w:val="18"/>
          <w:rtl/>
        </w:rPr>
        <w:footnoteReference w:id="1370"/>
      </w:r>
      <w:r>
        <w:rPr>
          <w:rFonts w:cs="Arial" w:hint="cs"/>
          <w:sz w:val="18"/>
          <w:szCs w:val="18"/>
          <w:rtl/>
        </w:rPr>
        <w:t xml:space="preserve"> </w:t>
      </w:r>
      <w:r w:rsidRPr="00825FED">
        <w:rPr>
          <w:rFonts w:cs="Arial"/>
          <w:sz w:val="18"/>
          <w:szCs w:val="18"/>
          <w:rtl/>
        </w:rPr>
        <w:t xml:space="preserve">(טור והרא"ש בשם הרמ"ה). </w:t>
      </w:r>
    </w:p>
    <w:p w14:paraId="75515AC0" w14:textId="77777777" w:rsidR="002E5BAD" w:rsidRDefault="002E5BAD" w:rsidP="002E5BAD">
      <w:pPr>
        <w:rPr>
          <w:rtl/>
        </w:rPr>
      </w:pPr>
    </w:p>
    <w:p w14:paraId="4D137BFF" w14:textId="77777777" w:rsidR="002E5BAD" w:rsidRDefault="002E5BAD" w:rsidP="002E5BAD">
      <w:pPr>
        <w:pStyle w:val="2"/>
        <w:rPr>
          <w:rtl/>
        </w:rPr>
      </w:pPr>
      <w:r>
        <w:rPr>
          <w:rtl/>
        </w:rPr>
        <w:t>סעיף ג</w:t>
      </w:r>
      <w:r>
        <w:rPr>
          <w:rFonts w:hint="cs"/>
          <w:rtl/>
        </w:rPr>
        <w:t>:</w:t>
      </w:r>
      <w:r w:rsidRPr="00F44CF9">
        <w:rPr>
          <w:rFonts w:hint="cs"/>
          <w:rtl/>
        </w:rPr>
        <w:t xml:space="preserve"> </w:t>
      </w:r>
      <w:r>
        <w:rPr>
          <w:rFonts w:hint="cs"/>
          <w:rtl/>
        </w:rPr>
        <w:t>פדיונה כשדורשים יותר מכתובתה.</w:t>
      </w:r>
    </w:p>
    <w:p w14:paraId="7F88D666"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ב</w:t>
      </w:r>
      <w:r w:rsidRPr="00AB0AB9">
        <w:rPr>
          <w:rFonts w:cs="Arial" w:hint="cs"/>
          <w:b/>
          <w:bCs/>
          <w:rtl/>
        </w:rPr>
        <w:t xml:space="preserve">: </w:t>
      </w:r>
      <w:r w:rsidRPr="00146FB6">
        <w:rPr>
          <w:rFonts w:cs="Arial"/>
          <w:rtl/>
        </w:rPr>
        <w:t>ורמינהי: נשבית, והיו מבקשין ממנו עד עשרה בכתובתה - פעם ראשונה פודה, מכאן ואילך, רצה - פודה, רצה - אינו פודה</w:t>
      </w:r>
      <w:r>
        <w:rPr>
          <w:rFonts w:cs="Arial" w:hint="cs"/>
          <w:rtl/>
        </w:rPr>
        <w:t xml:space="preserve">, </w:t>
      </w:r>
      <w:r>
        <w:rPr>
          <w:rStyle w:val="a7"/>
          <w:rFonts w:cs="Arial"/>
          <w:rtl/>
        </w:rPr>
        <w:footnoteReference w:id="1371"/>
      </w:r>
      <w:r>
        <w:rPr>
          <w:rFonts w:cs="Arial" w:hint="cs"/>
          <w:rtl/>
        </w:rPr>
        <w:t>[דברי רבי].</w:t>
      </w:r>
      <w:r w:rsidRPr="00146FB6">
        <w:rPr>
          <w:rFonts w:cs="Arial"/>
          <w:rtl/>
        </w:rPr>
        <w:t xml:space="preserve"> </w:t>
      </w:r>
      <w:r w:rsidRPr="00146FB6">
        <w:rPr>
          <w:rFonts w:cs="Arial"/>
          <w:u w:val="single"/>
          <w:rtl/>
        </w:rPr>
        <w:t>ר"ש בן גמליאל אומר</w:t>
      </w:r>
      <w:r w:rsidRPr="00146FB6">
        <w:rPr>
          <w:rFonts w:cs="Arial"/>
          <w:rtl/>
        </w:rPr>
        <w:t>: אם היה פרקונה כנגד כתובתה - פודה, אם לאו - אינו פודה</w:t>
      </w:r>
      <w:r>
        <w:rPr>
          <w:rFonts w:cs="Arial" w:hint="cs"/>
          <w:rtl/>
        </w:rPr>
        <w:t>.</w:t>
      </w:r>
      <w:r w:rsidRPr="00146FB6">
        <w:rPr>
          <w:rFonts w:cs="Arial"/>
          <w:rtl/>
        </w:rPr>
        <w:t xml:space="preserve"> </w:t>
      </w:r>
      <w:r>
        <w:rPr>
          <w:rFonts w:cs="Arial" w:hint="cs"/>
          <w:sz w:val="16"/>
          <w:szCs w:val="16"/>
          <w:rtl/>
        </w:rPr>
        <w:t>(</w:t>
      </w:r>
      <w:r w:rsidRPr="00ED51F5">
        <w:rPr>
          <w:rFonts w:cs="Arial"/>
          <w:sz w:val="16"/>
          <w:szCs w:val="16"/>
          <w:rtl/>
        </w:rPr>
        <w:t>ופסק הרי"ף (יט.) כרבי וכן פירש הרמב"ם בפי"ד (שם) וכתב שאפילו אין לו אלא כדי פדיונה חייב לפדותה. וכתב הרא"ש (שם) ואע"ג דקיי"ל הלכה כרבי מחבירו</w:t>
      </w:r>
      <w:r w:rsidRPr="00ED51F5">
        <w:rPr>
          <w:rFonts w:cs="Arial" w:hint="cs"/>
          <w:sz w:val="16"/>
          <w:szCs w:val="16"/>
          <w:rtl/>
        </w:rPr>
        <w:t>,</w:t>
      </w:r>
      <w:r w:rsidRPr="00ED51F5">
        <w:rPr>
          <w:rFonts w:cs="Arial"/>
          <w:sz w:val="16"/>
          <w:szCs w:val="16"/>
          <w:rtl/>
        </w:rPr>
        <w:t xml:space="preserve"> ורשב"ג אביו היה</w:t>
      </w:r>
      <w:r w:rsidRPr="00ED51F5">
        <w:rPr>
          <w:rFonts w:cs="Arial" w:hint="cs"/>
          <w:sz w:val="16"/>
          <w:szCs w:val="16"/>
          <w:rtl/>
        </w:rPr>
        <w:t>,</w:t>
      </w:r>
      <w:r w:rsidRPr="00ED51F5">
        <w:rPr>
          <w:rFonts w:cs="Arial"/>
          <w:sz w:val="16"/>
          <w:szCs w:val="16"/>
          <w:rtl/>
        </w:rPr>
        <w:t xml:space="preserve"> מתניתין דייקא כרבי דקתני סתם </w:t>
      </w:r>
      <w:r w:rsidRPr="00ED51F5">
        <w:rPr>
          <w:rFonts w:cs="Arial" w:hint="cs"/>
          <w:sz w:val="16"/>
          <w:szCs w:val="16"/>
          <w:rtl/>
        </w:rPr>
        <w:t>'</w:t>
      </w:r>
      <w:r w:rsidRPr="00ED51F5">
        <w:rPr>
          <w:rFonts w:cs="Arial"/>
          <w:sz w:val="16"/>
          <w:szCs w:val="16"/>
          <w:rtl/>
        </w:rPr>
        <w:t>נשבית חייב לפדותה</w:t>
      </w:r>
      <w:r w:rsidRPr="00ED51F5">
        <w:rPr>
          <w:rFonts w:cs="Arial" w:hint="cs"/>
          <w:sz w:val="16"/>
          <w:szCs w:val="16"/>
          <w:rtl/>
        </w:rPr>
        <w:t>' -</w:t>
      </w:r>
      <w:r w:rsidRPr="00ED51F5">
        <w:rPr>
          <w:rFonts w:cs="Arial"/>
          <w:sz w:val="16"/>
          <w:szCs w:val="16"/>
          <w:rtl/>
        </w:rPr>
        <w:t xml:space="preserve"> בכל מקום שנשבית</w:t>
      </w:r>
      <w:r w:rsidRPr="00ED51F5">
        <w:rPr>
          <w:rFonts w:cs="Arial" w:hint="cs"/>
          <w:sz w:val="16"/>
          <w:szCs w:val="16"/>
          <w:rtl/>
        </w:rPr>
        <w:t>,</w:t>
      </w:r>
      <w:r w:rsidRPr="00ED51F5">
        <w:rPr>
          <w:rFonts w:cs="Arial"/>
          <w:sz w:val="16"/>
          <w:szCs w:val="16"/>
          <w:rtl/>
        </w:rPr>
        <w:t xml:space="preserve"> אפילו ביותר מכתובתה. וכתב עוד הא דקאמר </w:t>
      </w:r>
      <w:r w:rsidRPr="00ED51F5">
        <w:rPr>
          <w:rFonts w:cs="Arial" w:hint="cs"/>
          <w:sz w:val="16"/>
          <w:szCs w:val="16"/>
          <w:rtl/>
        </w:rPr>
        <w:t>'</w:t>
      </w:r>
      <w:r w:rsidRPr="00ED51F5">
        <w:rPr>
          <w:rFonts w:cs="Arial"/>
          <w:sz w:val="16"/>
          <w:szCs w:val="16"/>
          <w:rtl/>
        </w:rPr>
        <w:t>רצה אינו פודה</w:t>
      </w:r>
      <w:r w:rsidRPr="00ED51F5">
        <w:rPr>
          <w:rFonts w:cs="Arial" w:hint="cs"/>
          <w:sz w:val="16"/>
          <w:szCs w:val="16"/>
          <w:rtl/>
        </w:rPr>
        <w:t>'</w:t>
      </w:r>
      <w:r w:rsidRPr="00ED51F5">
        <w:rPr>
          <w:rFonts w:cs="Arial"/>
          <w:sz w:val="16"/>
          <w:szCs w:val="16"/>
          <w:rtl/>
        </w:rPr>
        <w:t xml:space="preserve"> פירש רש"י (נב</w:t>
      </w:r>
      <w:r>
        <w:rPr>
          <w:rFonts w:cs="Arial" w:hint="cs"/>
          <w:sz w:val="16"/>
          <w:szCs w:val="16"/>
          <w:rtl/>
        </w:rPr>
        <w:t>.</w:t>
      </w:r>
      <w:r w:rsidRPr="00ED51F5">
        <w:rPr>
          <w:rFonts w:cs="Arial"/>
          <w:sz w:val="16"/>
          <w:szCs w:val="16"/>
          <w:rtl/>
        </w:rPr>
        <w:t xml:space="preserve"> ד"ה רצה) אינו פודה כלל דלא תקינו לאשה אלא פדיון אחד</w:t>
      </w:r>
      <w:r w:rsidRPr="00ED51F5">
        <w:rPr>
          <w:rFonts w:cs="Arial" w:hint="cs"/>
          <w:sz w:val="16"/>
          <w:szCs w:val="16"/>
          <w:rtl/>
        </w:rPr>
        <w:t>.</w:t>
      </w:r>
      <w:r w:rsidRPr="00ED51F5">
        <w:rPr>
          <w:rFonts w:cs="Arial"/>
          <w:sz w:val="16"/>
          <w:szCs w:val="16"/>
          <w:rtl/>
        </w:rPr>
        <w:t xml:space="preserve"> וי"מ ביתר מכדי כתובתה</w:t>
      </w:r>
      <w:r w:rsidRPr="00ED51F5">
        <w:rPr>
          <w:rFonts w:cs="Arial" w:hint="cs"/>
          <w:sz w:val="16"/>
          <w:szCs w:val="16"/>
          <w:rtl/>
        </w:rPr>
        <w:t>.</w:t>
      </w:r>
      <w:r w:rsidRPr="00ED51F5">
        <w:rPr>
          <w:rFonts w:cs="Arial"/>
          <w:sz w:val="16"/>
          <w:szCs w:val="16"/>
          <w:rtl/>
        </w:rPr>
        <w:t xml:space="preserve"> ומסתבר כפרש"י דמאי שנא פדיון ראשון מפדיון שני</w:t>
      </w:r>
      <w:r w:rsidRPr="00ED51F5">
        <w:rPr>
          <w:rFonts w:cs="Arial" w:hint="cs"/>
          <w:sz w:val="16"/>
          <w:szCs w:val="16"/>
          <w:rtl/>
        </w:rPr>
        <w:t>,</w:t>
      </w:r>
      <w:r w:rsidRPr="00ED51F5">
        <w:rPr>
          <w:rFonts w:cs="Arial"/>
          <w:sz w:val="16"/>
          <w:szCs w:val="16"/>
          <w:rtl/>
        </w:rPr>
        <w:t xml:space="preserve"> אם חייבוהו חכמים בפרקונה לעולם</w:t>
      </w:r>
      <w:r w:rsidRPr="00ED51F5">
        <w:rPr>
          <w:rFonts w:cs="Arial" w:hint="cs"/>
          <w:sz w:val="16"/>
          <w:szCs w:val="16"/>
          <w:rtl/>
        </w:rPr>
        <w:t>,</w:t>
      </w:r>
      <w:r w:rsidRPr="00ED51F5">
        <w:rPr>
          <w:rFonts w:cs="Arial"/>
          <w:sz w:val="16"/>
          <w:szCs w:val="16"/>
          <w:rtl/>
        </w:rPr>
        <w:t xml:space="preserve"> כי היכי דבפדיון ראשון עבדי טפל חמור מן העיקר</w:t>
      </w:r>
      <w:r w:rsidRPr="00ED51F5">
        <w:rPr>
          <w:rFonts w:cs="Arial" w:hint="cs"/>
          <w:sz w:val="16"/>
          <w:szCs w:val="16"/>
          <w:rtl/>
        </w:rPr>
        <w:t>,</w:t>
      </w:r>
      <w:r w:rsidRPr="00ED51F5">
        <w:rPr>
          <w:rFonts w:cs="Arial"/>
          <w:sz w:val="16"/>
          <w:szCs w:val="16"/>
          <w:rtl/>
        </w:rPr>
        <w:t xml:space="preserve"> הוא הדין בפדיון שני</w:t>
      </w:r>
      <w:r>
        <w:rPr>
          <w:rFonts w:cs="Arial" w:hint="cs"/>
          <w:sz w:val="16"/>
          <w:szCs w:val="16"/>
          <w:rtl/>
        </w:rPr>
        <w:t xml:space="preserve"> </w:t>
      </w:r>
      <w:r w:rsidRPr="00196BE0">
        <w:rPr>
          <w:rFonts w:cs="Arial" w:hint="cs"/>
          <w:sz w:val="14"/>
          <w:szCs w:val="14"/>
          <w:rtl/>
        </w:rPr>
        <w:t>[עכ"ל הרא"ש]</w:t>
      </w:r>
      <w:r>
        <w:rPr>
          <w:rFonts w:cs="Arial" w:hint="cs"/>
          <w:sz w:val="16"/>
          <w:szCs w:val="16"/>
          <w:rtl/>
        </w:rPr>
        <w:t>, ב"י)</w:t>
      </w:r>
    </w:p>
    <w:p w14:paraId="3F96156B" w14:textId="77777777" w:rsidR="002E5BAD" w:rsidRPr="00F44CF9" w:rsidRDefault="002E5BAD" w:rsidP="002E5BAD">
      <w:pPr>
        <w:rPr>
          <w:u w:val="single"/>
          <w:rtl/>
        </w:rPr>
      </w:pPr>
      <w:r w:rsidRPr="00146FB6">
        <w:rPr>
          <w:rFonts w:hint="cs"/>
          <w:u w:val="single"/>
          <w:rtl/>
        </w:rPr>
        <w:t xml:space="preserve">האם האיש חייב לפדות את אשתו כשדורשים ממנו יותר </w:t>
      </w:r>
      <w:r>
        <w:rPr>
          <w:rFonts w:hint="cs"/>
          <w:u w:val="single"/>
          <w:rtl/>
        </w:rPr>
        <w:t>מכתובתה</w:t>
      </w:r>
      <w:r w:rsidRPr="00146FB6">
        <w:rPr>
          <w:rFonts w:hint="cs"/>
          <w:u w:val="single"/>
          <w:rtl/>
        </w:rPr>
        <w:t>:</w:t>
      </w:r>
    </w:p>
    <w:p w14:paraId="7BC08834" w14:textId="77777777" w:rsidR="002E5BAD" w:rsidRDefault="002E5BAD" w:rsidP="002E5BAD">
      <w:pPr>
        <w:pStyle w:val="ab"/>
        <w:numPr>
          <w:ilvl w:val="0"/>
          <w:numId w:val="162"/>
        </w:numPr>
      </w:pPr>
      <w:r w:rsidRPr="00723480">
        <w:rPr>
          <w:rFonts w:cs="Arial" w:hint="cs"/>
          <w:rtl/>
        </w:rPr>
        <w:t xml:space="preserve">רמב"ם </w:t>
      </w:r>
      <w:r w:rsidRPr="00723480">
        <w:rPr>
          <w:rFonts w:cs="Arial"/>
          <w:sz w:val="16"/>
          <w:szCs w:val="16"/>
          <w:rtl/>
        </w:rPr>
        <w:t>(פי"ד מאישות הי"ט)</w:t>
      </w:r>
      <w:r w:rsidRPr="00723480">
        <w:rPr>
          <w:rFonts w:cs="Arial" w:hint="cs"/>
          <w:rtl/>
        </w:rPr>
        <w:t xml:space="preserve">- </w:t>
      </w:r>
      <w:r w:rsidRPr="00723480">
        <w:rPr>
          <w:rFonts w:cs="Arial"/>
          <w:rtl/>
        </w:rPr>
        <w:t xml:space="preserve">היו דמיה יתר על כדי כתובתה ואמר הריני מגרשה וזו כתובתה ותלך ותפדה את עצמה </w:t>
      </w:r>
      <w:r>
        <w:rPr>
          <w:rFonts w:cs="Arial" w:hint="cs"/>
          <w:rtl/>
        </w:rPr>
        <w:t xml:space="preserve">- </w:t>
      </w:r>
      <w:r w:rsidRPr="00723480">
        <w:rPr>
          <w:rFonts w:cs="Arial"/>
          <w:rtl/>
        </w:rPr>
        <w:t>אין שומעין לו</w:t>
      </w:r>
      <w:r>
        <w:rPr>
          <w:rFonts w:cs="Arial" w:hint="cs"/>
          <w:rtl/>
        </w:rPr>
        <w:t>,</w:t>
      </w:r>
      <w:r w:rsidRPr="00723480">
        <w:rPr>
          <w:rFonts w:cs="Arial"/>
          <w:rtl/>
        </w:rPr>
        <w:t xml:space="preserve"> אלא כופין אותו ופודה אותה אפילו היו דמיה עד עשרה בכתובתה</w:t>
      </w:r>
      <w:r>
        <w:rPr>
          <w:rFonts w:cs="Arial" w:hint="cs"/>
          <w:rtl/>
        </w:rPr>
        <w:t>,</w:t>
      </w:r>
      <w:r w:rsidRPr="00723480">
        <w:rPr>
          <w:rFonts w:cs="Arial"/>
          <w:rtl/>
        </w:rPr>
        <w:t xml:space="preserve"> ואפילו אין לו אלא כדי פדיונה</w:t>
      </w:r>
      <w:r>
        <w:rPr>
          <w:rFonts w:cs="Arial" w:hint="cs"/>
          <w:rtl/>
        </w:rPr>
        <w:t>.</w:t>
      </w:r>
      <w:r w:rsidRPr="00723480">
        <w:rPr>
          <w:rFonts w:cs="Arial"/>
          <w:rtl/>
        </w:rPr>
        <w:t xml:space="preserve"> במה דברים אמורים </w:t>
      </w:r>
      <w:r>
        <w:rPr>
          <w:rFonts w:cs="Arial" w:hint="cs"/>
          <w:rtl/>
        </w:rPr>
        <w:t xml:space="preserve">- </w:t>
      </w:r>
      <w:r w:rsidRPr="00723480">
        <w:rPr>
          <w:rFonts w:cs="Arial"/>
          <w:rtl/>
        </w:rPr>
        <w:t>בפעם ראשונה</w:t>
      </w:r>
      <w:r>
        <w:rPr>
          <w:rFonts w:cs="Arial" w:hint="cs"/>
          <w:rtl/>
        </w:rPr>
        <w:t>,</w:t>
      </w:r>
      <w:r w:rsidRPr="00723480">
        <w:rPr>
          <w:rFonts w:cs="Arial"/>
          <w:rtl/>
        </w:rPr>
        <w:t xml:space="preserve"> אבל אם פדאה ונשבית פעם שנייה ורצה לגרשה </w:t>
      </w:r>
      <w:r>
        <w:rPr>
          <w:rFonts w:cs="Arial" w:hint="cs"/>
          <w:rtl/>
        </w:rPr>
        <w:t xml:space="preserve">- </w:t>
      </w:r>
      <w:r w:rsidRPr="00723480">
        <w:rPr>
          <w:rFonts w:cs="Arial"/>
          <w:rtl/>
        </w:rPr>
        <w:t>הרי זה מגרש</w:t>
      </w:r>
      <w:r>
        <w:rPr>
          <w:rStyle w:val="a7"/>
          <w:rFonts w:cs="Arial"/>
          <w:rtl/>
        </w:rPr>
        <w:footnoteReference w:id="1372"/>
      </w:r>
      <w:r w:rsidRPr="00723480">
        <w:rPr>
          <w:rFonts w:cs="Arial"/>
          <w:rtl/>
        </w:rPr>
        <w:t xml:space="preserve"> ויתן כתובה והיא תפדה את עצמה</w:t>
      </w:r>
      <w:r>
        <w:rPr>
          <w:rFonts w:cs="Arial" w:hint="cs"/>
          <w:sz w:val="16"/>
          <w:szCs w:val="16"/>
          <w:rtl/>
        </w:rPr>
        <w:t xml:space="preserve"> (ל' הרמב"ם)</w:t>
      </w:r>
      <w:r w:rsidRPr="00723480">
        <w:rPr>
          <w:rFonts w:cs="Arial" w:hint="cs"/>
          <w:rtl/>
        </w:rPr>
        <w:t>.</w:t>
      </w:r>
      <w:r w:rsidRPr="00723480">
        <w:rPr>
          <w:rFonts w:cs="Arial"/>
          <w:rtl/>
        </w:rPr>
        <w:t xml:space="preserve"> </w:t>
      </w:r>
      <w:r w:rsidRPr="007B74FB">
        <w:rPr>
          <w:rFonts w:hint="cs"/>
          <w:color w:val="E36C0A" w:themeColor="accent6" w:themeShade="BF"/>
          <w:rtl/>
        </w:rPr>
        <w:t>(וכ"פ בשו"ע)</w:t>
      </w:r>
    </w:p>
    <w:p w14:paraId="24362708" w14:textId="77777777" w:rsidR="002E5BAD" w:rsidRDefault="002E5BAD" w:rsidP="002E5BAD">
      <w:pPr>
        <w:pStyle w:val="ab"/>
        <w:numPr>
          <w:ilvl w:val="0"/>
          <w:numId w:val="162"/>
        </w:numPr>
        <w:rPr>
          <w:rtl/>
        </w:rPr>
      </w:pPr>
      <w:r>
        <w:rPr>
          <w:rFonts w:cs="Arial" w:hint="cs"/>
          <w:rtl/>
        </w:rPr>
        <w:lastRenderedPageBreak/>
        <w:t xml:space="preserve">רא"ש </w:t>
      </w:r>
      <w:r>
        <w:rPr>
          <w:rFonts w:cs="Arial" w:hint="cs"/>
          <w:sz w:val="16"/>
          <w:szCs w:val="16"/>
          <w:rtl/>
        </w:rPr>
        <w:t>(</w:t>
      </w:r>
      <w:r w:rsidRPr="00AA5BF9">
        <w:rPr>
          <w:rFonts w:hint="cs"/>
          <w:sz w:val="16"/>
          <w:szCs w:val="16"/>
          <w:rtl/>
        </w:rPr>
        <w:t>פ"ד סי' כב</w:t>
      </w:r>
      <w:r>
        <w:rPr>
          <w:rFonts w:cs="Arial" w:hint="cs"/>
          <w:sz w:val="16"/>
          <w:szCs w:val="16"/>
          <w:rtl/>
        </w:rPr>
        <w:t>)</w:t>
      </w:r>
      <w:r>
        <w:rPr>
          <w:rFonts w:cs="Arial" w:hint="cs"/>
          <w:rtl/>
        </w:rPr>
        <w:t xml:space="preserve"> וטור- </w:t>
      </w:r>
      <w:r w:rsidRPr="00AA5BF9">
        <w:rPr>
          <w:rFonts w:cs="Arial"/>
          <w:rtl/>
        </w:rPr>
        <w:t>בפדיונה כיצד</w:t>
      </w:r>
      <w:r>
        <w:rPr>
          <w:rFonts w:cs="Arial" w:hint="cs"/>
          <w:rtl/>
        </w:rPr>
        <w:t>,</w:t>
      </w:r>
      <w:r w:rsidRPr="00AA5BF9">
        <w:rPr>
          <w:rFonts w:cs="Arial"/>
          <w:rtl/>
        </w:rPr>
        <w:t xml:space="preserve"> נשבית חייב לפדותה</w:t>
      </w:r>
      <w:r>
        <w:rPr>
          <w:rFonts w:cs="Arial" w:hint="cs"/>
          <w:rtl/>
        </w:rPr>
        <w:t>...</w:t>
      </w:r>
      <w:r w:rsidRPr="00AA5BF9">
        <w:rPr>
          <w:rFonts w:cs="Arial"/>
          <w:rtl/>
        </w:rPr>
        <w:t xml:space="preserve"> אפילו אם פדיונה עולה יותר מכתובתה</w:t>
      </w:r>
      <w:r>
        <w:rPr>
          <w:rFonts w:cs="Arial" w:hint="cs"/>
          <w:rtl/>
        </w:rPr>
        <w:t>...</w:t>
      </w:r>
      <w:r w:rsidRPr="00AA5BF9">
        <w:rPr>
          <w:rFonts w:cs="Arial"/>
          <w:rtl/>
        </w:rPr>
        <w:t xml:space="preserve"> ואינו חייב לפדותה אלא פעם אחת</w:t>
      </w:r>
      <w:r>
        <w:rPr>
          <w:rFonts w:cs="Arial" w:hint="cs"/>
          <w:rtl/>
        </w:rPr>
        <w:t>,</w:t>
      </w:r>
      <w:r w:rsidRPr="00AA5BF9">
        <w:rPr>
          <w:rFonts w:cs="Arial"/>
          <w:rtl/>
        </w:rPr>
        <w:t xml:space="preserve"> נשבית שנית</w:t>
      </w:r>
      <w:r>
        <w:rPr>
          <w:rFonts w:cs="Arial" w:hint="cs"/>
          <w:rtl/>
        </w:rPr>
        <w:t xml:space="preserve"> -...</w:t>
      </w:r>
      <w:r w:rsidRPr="00AA5BF9">
        <w:rPr>
          <w:rFonts w:cs="Arial"/>
          <w:rtl/>
        </w:rPr>
        <w:t xml:space="preserve"> אינו חייב בפדיונה כלל</w:t>
      </w:r>
      <w:r>
        <w:rPr>
          <w:rFonts w:cs="Arial" w:hint="cs"/>
          <w:sz w:val="16"/>
          <w:szCs w:val="16"/>
          <w:rtl/>
        </w:rPr>
        <w:t xml:space="preserve"> (ל' הטור)</w:t>
      </w:r>
      <w:r>
        <w:rPr>
          <w:rFonts w:cs="Arial" w:hint="cs"/>
          <w:rtl/>
        </w:rPr>
        <w:t>.</w:t>
      </w:r>
    </w:p>
    <w:p w14:paraId="4C84265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4C08A11" w14:textId="77777777" w:rsidR="002E5BAD" w:rsidRDefault="002E5BAD" w:rsidP="002E5BAD">
      <w:pPr>
        <w:rPr>
          <w:rtl/>
        </w:rPr>
      </w:pPr>
      <w:r>
        <w:rPr>
          <w:rFonts w:cs="Arial"/>
          <w:rtl/>
        </w:rPr>
        <w:t>היו דמיה יותר על כדי כתובתה, ואמר: הריני מגרשה וזו כתובתה ותלך ותפדה את עצמה, אין שומעין לו, אלא כופין אותו ופודה אותה אפילו היו דמיה עד י' בכתובתה</w:t>
      </w:r>
      <w:r>
        <w:rPr>
          <w:rStyle w:val="a7"/>
          <w:rFonts w:cs="Arial"/>
          <w:rtl/>
        </w:rPr>
        <w:footnoteReference w:id="1373"/>
      </w:r>
      <w:r>
        <w:rPr>
          <w:rFonts w:cs="Arial" w:hint="cs"/>
          <w:rtl/>
        </w:rPr>
        <w:t>.</w:t>
      </w:r>
      <w:r>
        <w:rPr>
          <w:rFonts w:cs="Arial"/>
          <w:rtl/>
        </w:rPr>
        <w:t xml:space="preserve"> ואפילו אין לו אלא כדי פדיונה.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בפעם ראשונה</w:t>
      </w:r>
      <w:r>
        <w:rPr>
          <w:rFonts w:cs="Arial" w:hint="cs"/>
          <w:rtl/>
        </w:rPr>
        <w:t>,</w:t>
      </w:r>
      <w:r>
        <w:rPr>
          <w:rFonts w:cs="Arial"/>
          <w:rtl/>
        </w:rPr>
        <w:t xml:space="preserve"> אבל אם פדאה ונשבית פעם שנייה, ורצה לגרשה, מגרשה ונותן לה כתובתה והיא תפדה את עצמה</w:t>
      </w:r>
      <w:r>
        <w:rPr>
          <w:rFonts w:cs="Arial" w:hint="cs"/>
          <w:rtl/>
        </w:rPr>
        <w:t>.</w:t>
      </w:r>
      <w:r w:rsidRPr="00825FED">
        <w:rPr>
          <w:rFonts w:cs="Arial"/>
          <w:sz w:val="18"/>
          <w:szCs w:val="18"/>
          <w:rtl/>
        </w:rPr>
        <w:t xml:space="preserve"> </w:t>
      </w:r>
      <w:r>
        <w:rPr>
          <w:rFonts w:cs="Arial" w:hint="cs"/>
          <w:sz w:val="18"/>
          <w:szCs w:val="18"/>
          <w:rtl/>
        </w:rPr>
        <w:t xml:space="preserve">[הגה] </w:t>
      </w:r>
      <w:r w:rsidRPr="00825FED">
        <w:rPr>
          <w:rFonts w:cs="Arial"/>
          <w:sz w:val="18"/>
          <w:szCs w:val="18"/>
          <w:rtl/>
        </w:rPr>
        <w:t>אבל בלאו הכי אינו חייב לפדותה בפעם שניה</w:t>
      </w:r>
      <w:r>
        <w:rPr>
          <w:rStyle w:val="a7"/>
          <w:rFonts w:cs="Arial"/>
          <w:sz w:val="18"/>
          <w:szCs w:val="18"/>
          <w:rtl/>
        </w:rPr>
        <w:footnoteReference w:id="1374"/>
      </w:r>
      <w:r w:rsidRPr="00825FED">
        <w:rPr>
          <w:rFonts w:cs="Arial"/>
          <w:sz w:val="18"/>
          <w:szCs w:val="18"/>
          <w:rtl/>
        </w:rPr>
        <w:t xml:space="preserve"> (ב"י).</w:t>
      </w:r>
      <w:r>
        <w:rPr>
          <w:rFonts w:cs="Arial"/>
          <w:rtl/>
        </w:rPr>
        <w:t xml:space="preserve"> </w:t>
      </w:r>
    </w:p>
    <w:p w14:paraId="697D5E34" w14:textId="77777777" w:rsidR="002E5BAD" w:rsidRDefault="002E5BAD" w:rsidP="002E5BAD">
      <w:pPr>
        <w:rPr>
          <w:rtl/>
        </w:rPr>
      </w:pPr>
    </w:p>
    <w:p w14:paraId="0993DB4B" w14:textId="77777777" w:rsidR="002E5BAD" w:rsidRDefault="002E5BAD" w:rsidP="002E5BAD">
      <w:pPr>
        <w:pStyle w:val="2"/>
        <w:rPr>
          <w:rtl/>
        </w:rPr>
      </w:pPr>
      <w:r>
        <w:rPr>
          <w:rtl/>
        </w:rPr>
        <w:t>סעיף ד</w:t>
      </w:r>
      <w:r>
        <w:rPr>
          <w:rFonts w:hint="cs"/>
          <w:rtl/>
        </w:rPr>
        <w:t xml:space="preserve">: </w:t>
      </w:r>
      <w:r>
        <w:rPr>
          <w:rFonts w:cs="Arial"/>
          <w:rtl/>
        </w:rPr>
        <w:t>מי שנשבית אשתו והוא במדינת הים</w:t>
      </w:r>
      <w:r>
        <w:rPr>
          <w:rFonts w:cs="Arial" w:hint="cs"/>
          <w:rtl/>
        </w:rPr>
        <w:t>.</w:t>
      </w:r>
    </w:p>
    <w:p w14:paraId="08507D07" w14:textId="77777777" w:rsidR="002E5BAD" w:rsidRPr="005712AA" w:rsidRDefault="002E5BAD" w:rsidP="002E5BAD">
      <w:pPr>
        <w:rPr>
          <w:u w:val="single"/>
          <w:rtl/>
        </w:rPr>
      </w:pPr>
      <w:r w:rsidRPr="005712AA">
        <w:rPr>
          <w:rFonts w:cs="Arial"/>
          <w:u w:val="single"/>
          <w:rtl/>
        </w:rPr>
        <w:t>מי שנשבית אשתו והוא במדינת הים</w:t>
      </w:r>
      <w:r w:rsidRPr="005712AA">
        <w:rPr>
          <w:rFonts w:hint="cs"/>
          <w:u w:val="single"/>
          <w:rtl/>
        </w:rPr>
        <w:t>:</w:t>
      </w:r>
    </w:p>
    <w:p w14:paraId="12D9328A" w14:textId="77777777" w:rsidR="002E5BAD" w:rsidRDefault="002E5BAD" w:rsidP="002E5BAD">
      <w:pPr>
        <w:pStyle w:val="ab"/>
        <w:numPr>
          <w:ilvl w:val="0"/>
          <w:numId w:val="158"/>
        </w:numPr>
      </w:pPr>
      <w:r>
        <w:rPr>
          <w:rFonts w:cs="Arial" w:hint="cs"/>
          <w:rtl/>
        </w:rPr>
        <w:t xml:space="preserve">רמב"ם </w:t>
      </w:r>
      <w:r>
        <w:rPr>
          <w:rFonts w:cs="Arial" w:hint="cs"/>
          <w:sz w:val="16"/>
          <w:szCs w:val="16"/>
          <w:rtl/>
        </w:rPr>
        <w:t>(פי"ד ה"כ)</w:t>
      </w:r>
      <w:r>
        <w:rPr>
          <w:rFonts w:cs="Arial" w:hint="cs"/>
          <w:rtl/>
        </w:rPr>
        <w:t xml:space="preserve"> וטור- </w:t>
      </w:r>
      <w:r w:rsidRPr="005712AA">
        <w:rPr>
          <w:rFonts w:cs="Arial"/>
          <w:rtl/>
        </w:rPr>
        <w:t>מי שנשבית אשתו והוא במדינת הים בית דין יורדין לנכסיו ומוכרין בהכרזה ופודין אותה כדרך שהבעל פודה</w:t>
      </w:r>
      <w:r>
        <w:rPr>
          <w:rStyle w:val="a7"/>
          <w:rFonts w:cs="Arial"/>
          <w:rtl/>
        </w:rPr>
        <w:footnoteReference w:id="1375"/>
      </w:r>
      <w:r>
        <w:rPr>
          <w:rFonts w:cs="Arial" w:hint="cs"/>
          <w:sz w:val="16"/>
          <w:szCs w:val="16"/>
          <w:rtl/>
        </w:rPr>
        <w:t xml:space="preserve"> (ל' הרמב"ם)</w:t>
      </w:r>
      <w:r w:rsidRPr="005712AA">
        <w:rPr>
          <w:rFonts w:cs="Arial"/>
          <w:rtl/>
        </w:rPr>
        <w:t>.</w:t>
      </w:r>
      <w:r w:rsidRPr="005712AA">
        <w:rPr>
          <w:rFonts w:hint="cs"/>
          <w:color w:val="E36C0A" w:themeColor="accent6" w:themeShade="BF"/>
          <w:rtl/>
        </w:rPr>
        <w:t xml:space="preserve"> </w:t>
      </w:r>
      <w:r w:rsidRPr="007B74FB">
        <w:rPr>
          <w:rFonts w:hint="cs"/>
          <w:color w:val="E36C0A" w:themeColor="accent6" w:themeShade="BF"/>
          <w:rtl/>
        </w:rPr>
        <w:t>(וכ"פ בשו"ע)</w:t>
      </w:r>
    </w:p>
    <w:p w14:paraId="31748611" w14:textId="77777777" w:rsidR="002E5BAD" w:rsidRPr="00567396" w:rsidRDefault="002E5BAD" w:rsidP="002E5BAD">
      <w:pPr>
        <w:rPr>
          <w:u w:val="single"/>
        </w:rPr>
      </w:pPr>
      <w:r w:rsidRPr="00567396">
        <w:rPr>
          <w:rFonts w:hint="cs"/>
          <w:u w:val="single"/>
          <w:rtl/>
        </w:rPr>
        <w:t>פדיון אשה שנאסרה על בעלה בשביה:</w:t>
      </w:r>
    </w:p>
    <w:p w14:paraId="5E47FAEA" w14:textId="77777777" w:rsidR="002E5BAD" w:rsidRPr="002C478C" w:rsidRDefault="002E5BAD" w:rsidP="002E5BAD">
      <w:pPr>
        <w:pStyle w:val="ab"/>
        <w:numPr>
          <w:ilvl w:val="0"/>
          <w:numId w:val="158"/>
        </w:numPr>
        <w:rPr>
          <w:rtl/>
        </w:rPr>
      </w:pPr>
      <w:r w:rsidRPr="005712AA">
        <w:rPr>
          <w:rFonts w:cs="Arial" w:hint="cs"/>
          <w:rtl/>
        </w:rPr>
        <w:t xml:space="preserve">רי"ו </w:t>
      </w:r>
      <w:r w:rsidRPr="005712AA">
        <w:rPr>
          <w:rFonts w:cs="Arial" w:hint="cs"/>
          <w:sz w:val="16"/>
          <w:szCs w:val="16"/>
          <w:rtl/>
        </w:rPr>
        <w:t>(</w:t>
      </w:r>
      <w:r w:rsidRPr="005712AA">
        <w:rPr>
          <w:rFonts w:cs="Arial"/>
          <w:sz w:val="16"/>
          <w:szCs w:val="16"/>
          <w:rtl/>
        </w:rPr>
        <w:t>מישרים נכ"ג ח"ה נז ע"ד)</w:t>
      </w:r>
      <w:r w:rsidRPr="005712AA">
        <w:rPr>
          <w:rFonts w:cs="Arial" w:hint="cs"/>
          <w:rtl/>
        </w:rPr>
        <w:t>-</w:t>
      </w:r>
      <w:r w:rsidRPr="005712AA">
        <w:rPr>
          <w:rFonts w:cs="Arial"/>
          <w:rtl/>
        </w:rPr>
        <w:t xml:space="preserve"> לפי פירוש רש"י ושאר מפרשים בפרק נערה שנתפתתה (נא:) על ההיא דשבויי מלכות הרי הן כשבויין אין לך שבויה מותרת לבעלה אלא אותה שנשבית למלך או לסטים אבל נשבית ביד אדם גדול ועשיר אסורה לבעלה ומאחר שהיא אסורה אין חייב לפדותה ולפי שאר מפרשים כל השבויות שלנו בזמן הזה כולן מותרות לבעליהן</w:t>
      </w:r>
      <w:r>
        <w:rPr>
          <w:rStyle w:val="a7"/>
          <w:rFonts w:cs="Arial"/>
          <w:rtl/>
        </w:rPr>
        <w:footnoteReference w:id="1376"/>
      </w:r>
      <w:r w:rsidRPr="005712AA">
        <w:rPr>
          <w:rFonts w:cs="Arial" w:hint="cs"/>
          <w:rtl/>
        </w:rPr>
        <w:t>.</w:t>
      </w:r>
    </w:p>
    <w:p w14:paraId="0A71BA7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80AA6A4" w14:textId="77777777" w:rsidR="002E5BAD" w:rsidRDefault="002E5BAD" w:rsidP="002E5BAD">
      <w:pPr>
        <w:rPr>
          <w:rtl/>
        </w:rPr>
      </w:pPr>
      <w:r>
        <w:rPr>
          <w:rFonts w:cs="Arial"/>
          <w:rtl/>
        </w:rPr>
        <w:t>מי שנשבית אשתו והוא במדינת הים, ב</w:t>
      </w:r>
      <w:r>
        <w:rPr>
          <w:rFonts w:cs="Arial" w:hint="cs"/>
          <w:rtl/>
        </w:rPr>
        <w:t xml:space="preserve">ית </w:t>
      </w:r>
      <w:r>
        <w:rPr>
          <w:rFonts w:cs="Arial"/>
          <w:rtl/>
        </w:rPr>
        <w:t>ד</w:t>
      </w:r>
      <w:r>
        <w:rPr>
          <w:rFonts w:cs="Arial" w:hint="cs"/>
          <w:rtl/>
        </w:rPr>
        <w:t>ין</w:t>
      </w:r>
      <w:r>
        <w:rPr>
          <w:rFonts w:cs="Arial"/>
          <w:rtl/>
        </w:rPr>
        <w:t xml:space="preserve"> יורדים לנכסיו ומוכרין בהכרזה, ופודין אותה כדרך שהבעל פודה</w:t>
      </w:r>
      <w:r>
        <w:rPr>
          <w:rFonts w:cs="Arial" w:hint="cs"/>
          <w:rtl/>
        </w:rPr>
        <w:t>.</w:t>
      </w:r>
      <w:r>
        <w:rPr>
          <w:rFonts w:cs="Arial"/>
          <w:rtl/>
        </w:rPr>
        <w:t xml:space="preserve"> </w:t>
      </w:r>
      <w:r w:rsidRPr="005712AA">
        <w:rPr>
          <w:rFonts w:cs="Arial"/>
          <w:sz w:val="18"/>
          <w:szCs w:val="18"/>
          <w:rtl/>
        </w:rPr>
        <w:t>(אם הוא ואשתו בשביה עיין ביו"ד סימן רנ"ב).</w:t>
      </w:r>
      <w:r>
        <w:rPr>
          <w:rFonts w:cs="Arial"/>
          <w:rtl/>
        </w:rPr>
        <w:t xml:space="preserve"> </w:t>
      </w:r>
    </w:p>
    <w:p w14:paraId="5BA7CBC0" w14:textId="77777777" w:rsidR="002E5BAD" w:rsidRDefault="002E5BAD" w:rsidP="002E5BAD">
      <w:pPr>
        <w:rPr>
          <w:rtl/>
        </w:rPr>
      </w:pPr>
    </w:p>
    <w:p w14:paraId="4F406D59" w14:textId="77777777" w:rsidR="002E5BAD" w:rsidRDefault="002E5BAD" w:rsidP="002E5BAD">
      <w:pPr>
        <w:pStyle w:val="2"/>
        <w:rPr>
          <w:rtl/>
        </w:rPr>
      </w:pPr>
      <w:r>
        <w:rPr>
          <w:rtl/>
        </w:rPr>
        <w:t>סעיף ה</w:t>
      </w:r>
      <w:r>
        <w:rPr>
          <w:rFonts w:hint="cs"/>
          <w:rtl/>
        </w:rPr>
        <w:t>: הדיר את אשתו בנדר שמחייבו לגרשה ונשבתה לפני שגרשה.</w:t>
      </w:r>
    </w:p>
    <w:p w14:paraId="75AFDF0C" w14:textId="77777777" w:rsidR="002E5BAD" w:rsidRPr="00485132"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ב</w:t>
      </w:r>
      <w:r w:rsidRPr="00AB0AB9">
        <w:rPr>
          <w:rFonts w:cs="Arial" w:hint="cs"/>
          <w:b/>
          <w:bCs/>
          <w:rtl/>
        </w:rPr>
        <w:t xml:space="preserve">: </w:t>
      </w:r>
      <w:r w:rsidRPr="00485132">
        <w:rPr>
          <w:rFonts w:cs="Arial"/>
          <w:u w:val="single"/>
          <w:rtl/>
        </w:rPr>
        <w:t>אמר אביי</w:t>
      </w:r>
      <w:r w:rsidRPr="00485132">
        <w:rPr>
          <w:rFonts w:cs="Arial"/>
          <w:rtl/>
        </w:rPr>
        <w:t>: אלמנה לכ"ג - חייב לפדותה, שאני קורא בה: ובכהנת אהדרינך למדינתך</w:t>
      </w:r>
      <w:r>
        <w:rPr>
          <w:rFonts w:cs="Arial" w:hint="cs"/>
          <w:rtl/>
        </w:rPr>
        <w:t>.</w:t>
      </w:r>
      <w:r w:rsidRPr="00485132">
        <w:rPr>
          <w:rFonts w:cs="Arial"/>
          <w:rtl/>
        </w:rPr>
        <w:t xml:space="preserve"> </w:t>
      </w:r>
      <w:r>
        <w:rPr>
          <w:rFonts w:cs="Arial" w:hint="cs"/>
          <w:sz w:val="14"/>
          <w:szCs w:val="14"/>
          <w:rtl/>
        </w:rPr>
        <w:t xml:space="preserve">(נב.) </w:t>
      </w:r>
      <w:r w:rsidRPr="00485132">
        <w:rPr>
          <w:rFonts w:cs="Arial"/>
          <w:rtl/>
        </w:rPr>
        <w:t xml:space="preserve">ממזרת ונתינה לישראל - אינו חייב לפדותה, שאין אני קורא בה ואותבינך לי לאנתו. </w:t>
      </w:r>
      <w:r w:rsidRPr="00891804">
        <w:rPr>
          <w:rFonts w:cs="Arial"/>
          <w:u w:val="single"/>
          <w:rtl/>
        </w:rPr>
        <w:t>רבא אמר</w:t>
      </w:r>
      <w:r w:rsidRPr="00485132">
        <w:rPr>
          <w:rFonts w:cs="Arial"/>
          <w:rtl/>
        </w:rPr>
        <w:t xml:space="preserve">: כל שאיסור שבייה גורם לה - חייב לפדותה, איסור דבר אחר גורם לה - אינו חייב לפדותה. לימא כתנאי: המדיר את אשתו ונשבית, </w:t>
      </w:r>
      <w:r w:rsidRPr="00485132">
        <w:rPr>
          <w:rFonts w:cs="Arial"/>
          <w:u w:val="single"/>
          <w:rtl/>
        </w:rPr>
        <w:t>רבי אליעזר אומר</w:t>
      </w:r>
      <w:r w:rsidRPr="00485132">
        <w:rPr>
          <w:rFonts w:cs="Arial"/>
          <w:rtl/>
        </w:rPr>
        <w:t xml:space="preserve">: פודה ונותן לה כתובתה, </w:t>
      </w:r>
      <w:r w:rsidRPr="00485132">
        <w:rPr>
          <w:rFonts w:cs="Arial"/>
          <w:u w:val="single"/>
          <w:rtl/>
        </w:rPr>
        <w:t>רבי יהושע אומר</w:t>
      </w:r>
      <w:r w:rsidRPr="00485132">
        <w:rPr>
          <w:rFonts w:cs="Arial"/>
          <w:rtl/>
        </w:rPr>
        <w:t>: נותן לה כתובתה ואינו פודה</w:t>
      </w:r>
      <w:r>
        <w:rPr>
          <w:rFonts w:cs="Arial" w:hint="cs"/>
          <w:rtl/>
        </w:rPr>
        <w:t>.</w:t>
      </w:r>
      <w:r w:rsidRPr="00485132">
        <w:rPr>
          <w:rFonts w:cs="Arial"/>
          <w:rtl/>
        </w:rPr>
        <w:t xml:space="preserve"> </w:t>
      </w:r>
      <w:r w:rsidRPr="009B34C7">
        <w:rPr>
          <w:rFonts w:cs="Arial"/>
          <w:u w:val="single"/>
          <w:rtl/>
        </w:rPr>
        <w:t>אמר רבי נתן</w:t>
      </w:r>
      <w:r>
        <w:rPr>
          <w:rFonts w:cs="Arial" w:hint="cs"/>
          <w:rtl/>
        </w:rPr>
        <w:t>:</w:t>
      </w:r>
      <w:r w:rsidRPr="00485132">
        <w:rPr>
          <w:rFonts w:cs="Arial"/>
          <w:rtl/>
        </w:rPr>
        <w:t xml:space="preserve"> שאלתי את סומכוס</w:t>
      </w:r>
      <w:r>
        <w:rPr>
          <w:rFonts w:cs="Arial" w:hint="cs"/>
          <w:rtl/>
        </w:rPr>
        <w:t>,</w:t>
      </w:r>
      <w:r w:rsidRPr="00485132">
        <w:rPr>
          <w:rFonts w:cs="Arial"/>
          <w:rtl/>
        </w:rPr>
        <w:t xml:space="preserve"> כשאמר רבי יהושע נותן לה כתובתה ואינו פודה, כשהדירה ולבסוף נשבית, או בנשבית ולבסוף הדירה? </w:t>
      </w:r>
      <w:r w:rsidRPr="009B34C7">
        <w:rPr>
          <w:rFonts w:cs="Arial"/>
          <w:u w:val="single"/>
          <w:rtl/>
        </w:rPr>
        <w:t>ואמר לי</w:t>
      </w:r>
      <w:r w:rsidRPr="00485132">
        <w:rPr>
          <w:rFonts w:cs="Arial"/>
          <w:rtl/>
        </w:rPr>
        <w:t>: לא שמעתי, ונראין דברים שהדירה ולבסוף נשבית, דאי אמרת נשבית ולבסוף הדירה אתי לאיערומי</w:t>
      </w:r>
      <w:r>
        <w:rPr>
          <w:rFonts w:hint="cs"/>
          <w:rtl/>
        </w:rPr>
        <w:t>.</w:t>
      </w:r>
    </w:p>
    <w:p w14:paraId="770CC8E4" w14:textId="77777777" w:rsidR="002E5BAD" w:rsidRPr="00567396" w:rsidRDefault="002E5BAD" w:rsidP="002E5BAD">
      <w:pPr>
        <w:rPr>
          <w:u w:val="single"/>
          <w:rtl/>
        </w:rPr>
      </w:pPr>
      <w:r w:rsidRPr="00567396">
        <w:rPr>
          <w:rFonts w:hint="cs"/>
          <w:u w:val="single"/>
          <w:rtl/>
        </w:rPr>
        <w:t>הדיר את אשתו בנדר שמחייבו לגרשה ונשבתה לפני שגרשה:</w:t>
      </w:r>
    </w:p>
    <w:p w14:paraId="4083C4A5" w14:textId="77777777" w:rsidR="002E5BAD" w:rsidRPr="00120A70" w:rsidRDefault="002E5BAD" w:rsidP="002E5BAD">
      <w:pPr>
        <w:pStyle w:val="ab"/>
        <w:numPr>
          <w:ilvl w:val="0"/>
          <w:numId w:val="158"/>
        </w:numPr>
        <w:rPr>
          <w:rtl/>
        </w:rPr>
      </w:pPr>
      <w:r>
        <w:rPr>
          <w:rFonts w:cs="Arial" w:hint="cs"/>
          <w:rtl/>
        </w:rPr>
        <w:lastRenderedPageBreak/>
        <w:t xml:space="preserve">טור- </w:t>
      </w:r>
      <w:r w:rsidRPr="00891804">
        <w:rPr>
          <w:rFonts w:cs="Arial"/>
          <w:rtl/>
        </w:rPr>
        <w:t>כתב הרמב"ם</w:t>
      </w:r>
      <w:r>
        <w:rPr>
          <w:rStyle w:val="a7"/>
          <w:rFonts w:cs="Arial"/>
          <w:rtl/>
        </w:rPr>
        <w:footnoteReference w:id="1377"/>
      </w:r>
      <w:r>
        <w:rPr>
          <w:rFonts w:cs="Arial" w:hint="cs"/>
          <w:rtl/>
        </w:rPr>
        <w:t xml:space="preserve"> </w:t>
      </w:r>
      <w:r>
        <w:rPr>
          <w:rFonts w:cs="Arial" w:hint="cs"/>
          <w:sz w:val="16"/>
          <w:szCs w:val="16"/>
          <w:rtl/>
        </w:rPr>
        <w:t>(פי"ד הכ"א)</w:t>
      </w:r>
      <w:r w:rsidRPr="00891804">
        <w:rPr>
          <w:rFonts w:cs="Arial"/>
          <w:rtl/>
        </w:rPr>
        <w:t xml:space="preserve"> המדיר את אשתו נדר שהוא חייב בגללו לגרשה וליתן לה כתובתה ונשבית אחר שהדירה </w:t>
      </w:r>
      <w:r>
        <w:rPr>
          <w:rFonts w:cs="Arial" w:hint="cs"/>
          <w:rtl/>
        </w:rPr>
        <w:t xml:space="preserve">- </w:t>
      </w:r>
      <w:r w:rsidRPr="00891804">
        <w:rPr>
          <w:rFonts w:cs="Arial"/>
          <w:rtl/>
        </w:rPr>
        <w:t>אינו חייב לפדותה</w:t>
      </w:r>
      <w:r>
        <w:rPr>
          <w:rFonts w:cs="Arial" w:hint="cs"/>
          <w:rtl/>
        </w:rPr>
        <w:t>,</w:t>
      </w:r>
      <w:r w:rsidRPr="00891804">
        <w:rPr>
          <w:rFonts w:cs="Arial"/>
          <w:rtl/>
        </w:rPr>
        <w:t xml:space="preserve"> שבשעה שהדירה נתחייב לגרשה וליתן לה כתובה</w:t>
      </w:r>
      <w:r>
        <w:rPr>
          <w:rFonts w:cs="Arial" w:hint="cs"/>
          <w:rtl/>
        </w:rPr>
        <w:t xml:space="preserve">. </w:t>
      </w:r>
      <w:r w:rsidRPr="007B74FB">
        <w:rPr>
          <w:rFonts w:hint="cs"/>
          <w:color w:val="E36C0A" w:themeColor="accent6" w:themeShade="BF"/>
          <w:rtl/>
        </w:rPr>
        <w:t>(וכ"פ בשו"ע)</w:t>
      </w:r>
    </w:p>
    <w:p w14:paraId="1A1BC47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64D9B05" w14:textId="77777777" w:rsidR="002E5BAD" w:rsidRDefault="002E5BAD" w:rsidP="002E5BAD">
      <w:pPr>
        <w:rPr>
          <w:rtl/>
        </w:rPr>
      </w:pPr>
      <w:r>
        <w:rPr>
          <w:rFonts w:cs="Arial"/>
          <w:rtl/>
        </w:rPr>
        <w:t>המדיר את אשתו נדר שהוא חייב בגללו לגרשה וליתן כתובתה, ונשבית אחר שהדירה</w:t>
      </w:r>
      <w:r>
        <w:rPr>
          <w:rStyle w:val="a7"/>
          <w:rFonts w:cs="Arial"/>
          <w:rtl/>
        </w:rPr>
        <w:footnoteReference w:id="1378"/>
      </w:r>
      <w:r>
        <w:rPr>
          <w:rFonts w:cs="Arial"/>
          <w:rtl/>
        </w:rPr>
        <w:t xml:space="preserve">, אינו חייב לפדותה, שמשעה שהדירה נתחייב לגרשה וליתן לה כתובתה. </w:t>
      </w:r>
    </w:p>
    <w:p w14:paraId="5A40DDB7" w14:textId="77777777" w:rsidR="002E5BAD" w:rsidRDefault="002E5BAD" w:rsidP="002E5BAD">
      <w:pPr>
        <w:rPr>
          <w:rtl/>
        </w:rPr>
      </w:pPr>
    </w:p>
    <w:p w14:paraId="05869997" w14:textId="77777777" w:rsidR="002E5BAD" w:rsidRDefault="002E5BAD" w:rsidP="002E5BAD">
      <w:pPr>
        <w:pStyle w:val="2"/>
        <w:rPr>
          <w:rtl/>
        </w:rPr>
      </w:pPr>
      <w:r>
        <w:rPr>
          <w:rtl/>
        </w:rPr>
        <w:t>סעיף ו</w:t>
      </w:r>
      <w:r>
        <w:rPr>
          <w:rFonts w:hint="cs"/>
          <w:rtl/>
        </w:rPr>
        <w:t>: כהן שאשתו נשבית.</w:t>
      </w:r>
    </w:p>
    <w:p w14:paraId="17BEDCBF" w14:textId="77777777" w:rsidR="002E5BAD" w:rsidRPr="009110AE"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9B34C7">
        <w:rPr>
          <w:rFonts w:cs="Arial" w:hint="cs"/>
          <w:u w:val="double"/>
          <w:rtl/>
        </w:rPr>
        <w:t>מתני'</w:t>
      </w:r>
      <w:r>
        <w:rPr>
          <w:rFonts w:cs="Arial" w:hint="cs"/>
          <w:rtl/>
        </w:rPr>
        <w:t xml:space="preserve">:... </w:t>
      </w:r>
      <w:r w:rsidRPr="009B34C7">
        <w:rPr>
          <w:rFonts w:cs="Arial"/>
          <w:rtl/>
        </w:rPr>
        <w:t xml:space="preserve">לא כתב לה אם תשתבאי אפרקינך ואותבינך לי לאינתו, ובכהנת אהדרינך למדינתך - חייב, שהוא תנאי בית דין. </w:t>
      </w:r>
      <w:r>
        <w:rPr>
          <w:rFonts w:cs="Arial" w:hint="cs"/>
          <w:rtl/>
        </w:rPr>
        <w:t xml:space="preserve">   </w:t>
      </w:r>
      <w:r w:rsidRPr="009110AE">
        <w:rPr>
          <w:rFonts w:cs="Arial" w:hint="cs"/>
          <w:u w:val="double"/>
          <w:rtl/>
        </w:rPr>
        <w:t>גמ'</w:t>
      </w:r>
      <w:r w:rsidRPr="009110AE">
        <w:rPr>
          <w:rFonts w:cs="Arial" w:hint="cs"/>
          <w:sz w:val="14"/>
          <w:szCs w:val="14"/>
          <w:u w:val="double"/>
          <w:rtl/>
        </w:rPr>
        <w:t>(נא:)</w:t>
      </w:r>
      <w:r w:rsidRPr="009110AE">
        <w:rPr>
          <w:rFonts w:cs="Arial" w:hint="cs"/>
          <w:u w:val="double"/>
          <w:rtl/>
        </w:rPr>
        <w:t>:</w:t>
      </w:r>
      <w:r w:rsidRPr="009110AE">
        <w:rPr>
          <w:rtl/>
        </w:rPr>
        <w:t xml:space="preserve"> </w:t>
      </w:r>
      <w:r w:rsidRPr="009110AE">
        <w:rPr>
          <w:rFonts w:cs="Arial"/>
          <w:rtl/>
        </w:rPr>
        <w:t>ובכהנת אהדרינך למדינתך וכו'. אמר אביי: אלמנה לכ"ג - חייב לפדותה, שאני קורא בה: ובכהנת אהדרינך למדינתך</w:t>
      </w:r>
      <w:r>
        <w:rPr>
          <w:rFonts w:cs="Arial" w:hint="cs"/>
          <w:rtl/>
        </w:rPr>
        <w:t>.</w:t>
      </w:r>
      <w:r>
        <w:rPr>
          <w:rFonts w:cs="Arial" w:hint="cs"/>
          <w:sz w:val="14"/>
          <w:szCs w:val="14"/>
          <w:rtl/>
        </w:rPr>
        <w:t xml:space="preserve"> (נב.) </w:t>
      </w:r>
      <w:r w:rsidRPr="00485132">
        <w:rPr>
          <w:rFonts w:cs="Arial"/>
          <w:rtl/>
        </w:rPr>
        <w:t xml:space="preserve">ממזרת ונתינה לישראל - אינו חייב לפדותה, שאין אני קורא בה ואותבינך לי לאנתו. </w:t>
      </w:r>
      <w:r w:rsidRPr="00891804">
        <w:rPr>
          <w:rFonts w:cs="Arial"/>
          <w:u w:val="single"/>
          <w:rtl/>
        </w:rPr>
        <w:t>רבא אמר</w:t>
      </w:r>
      <w:r w:rsidRPr="00485132">
        <w:rPr>
          <w:rFonts w:cs="Arial"/>
          <w:rtl/>
        </w:rPr>
        <w:t>: כל שאיסור שבייה גורם לה - חייב לפדותה, איסור דבר אחר גורם לה - אינו חייב לפדותה.</w:t>
      </w:r>
      <w:r w:rsidRPr="009110AE">
        <w:rPr>
          <w:rFonts w:cs="Arial"/>
          <w:rtl/>
        </w:rPr>
        <w:t xml:space="preserve"> </w:t>
      </w:r>
      <w:r>
        <w:rPr>
          <w:rFonts w:cs="Arial" w:hint="cs"/>
          <w:sz w:val="16"/>
          <w:szCs w:val="16"/>
          <w:rtl/>
        </w:rPr>
        <w:t>(</w:t>
      </w:r>
      <w:r w:rsidRPr="009110AE">
        <w:rPr>
          <w:rFonts w:cs="Arial"/>
          <w:sz w:val="16"/>
          <w:szCs w:val="16"/>
          <w:rtl/>
        </w:rPr>
        <w:t>וידוע דהלכה כרבא וכן פסקו הפוסקים</w:t>
      </w:r>
      <w:r w:rsidRPr="009110AE">
        <w:rPr>
          <w:rFonts w:cs="Arial" w:hint="cs"/>
          <w:sz w:val="16"/>
          <w:szCs w:val="16"/>
          <w:rtl/>
        </w:rPr>
        <w:t>, ב"י)</w:t>
      </w:r>
    </w:p>
    <w:p w14:paraId="10274948" w14:textId="77777777" w:rsidR="002E5BAD" w:rsidRPr="002F1FC8" w:rsidRDefault="002E5BAD" w:rsidP="002E5BAD">
      <w:pPr>
        <w:rPr>
          <w:u w:val="single"/>
          <w:rtl/>
        </w:rPr>
      </w:pPr>
      <w:r w:rsidRPr="002F1FC8">
        <w:rPr>
          <w:rFonts w:hint="cs"/>
          <w:u w:val="single"/>
          <w:rtl/>
        </w:rPr>
        <w:t xml:space="preserve">כהן שאשתו נשבית </w:t>
      </w:r>
      <w:r w:rsidRPr="002F1FC8">
        <w:rPr>
          <w:u w:val="single"/>
          <w:rtl/>
        </w:rPr>
        <w:t>–</w:t>
      </w:r>
      <w:r w:rsidRPr="002F1FC8">
        <w:rPr>
          <w:rFonts w:hint="cs"/>
          <w:u w:val="single"/>
          <w:rtl/>
        </w:rPr>
        <w:t xml:space="preserve"> האם חייב לפדותה:</w:t>
      </w:r>
    </w:p>
    <w:p w14:paraId="4E3303FB" w14:textId="77777777" w:rsidR="002E5BAD" w:rsidRPr="008B03CA" w:rsidRDefault="002E5BAD" w:rsidP="002E5BAD">
      <w:pPr>
        <w:pStyle w:val="ab"/>
        <w:numPr>
          <w:ilvl w:val="0"/>
          <w:numId w:val="158"/>
        </w:numPr>
      </w:pPr>
      <w:r>
        <w:rPr>
          <w:rFonts w:cs="Arial" w:hint="cs"/>
          <w:rtl/>
        </w:rPr>
        <w:t xml:space="preserve">טור- </w:t>
      </w:r>
      <w:r w:rsidRPr="00825FED">
        <w:rPr>
          <w:rFonts w:cs="Arial"/>
          <w:rtl/>
        </w:rPr>
        <w:t xml:space="preserve">כהן שנשבית אשתו </w:t>
      </w:r>
      <w:r>
        <w:rPr>
          <w:rFonts w:cs="Arial" w:hint="cs"/>
          <w:rtl/>
        </w:rPr>
        <w:t xml:space="preserve">- </w:t>
      </w:r>
      <w:r w:rsidRPr="00825FED">
        <w:rPr>
          <w:rFonts w:cs="Arial"/>
          <w:rtl/>
        </w:rPr>
        <w:t>חייב לפדותה אף על פי שאסורה לו</w:t>
      </w:r>
      <w:r>
        <w:rPr>
          <w:rFonts w:cs="Arial" w:hint="cs"/>
          <w:rtl/>
        </w:rPr>
        <w:t>,</w:t>
      </w:r>
      <w:r w:rsidRPr="00825FED">
        <w:rPr>
          <w:rFonts w:cs="Arial"/>
          <w:rtl/>
        </w:rPr>
        <w:t xml:space="preserve"> כיון שמתחלתה היתה מותרת ואיסור שבויה גרם לה ליאסר חייב לפדותה ומחזירה לבית אביה אפי' הוא בעיר אחרת</w:t>
      </w:r>
      <w:r>
        <w:rPr>
          <w:rFonts w:cs="Arial" w:hint="cs"/>
          <w:rtl/>
        </w:rPr>
        <w:t>,</w:t>
      </w:r>
      <w:r w:rsidRPr="00825FED">
        <w:rPr>
          <w:rFonts w:cs="Arial"/>
          <w:rtl/>
        </w:rPr>
        <w:t xml:space="preserve"> ונותן לה כתובתה</w:t>
      </w:r>
      <w:r>
        <w:rPr>
          <w:rFonts w:cs="Arial" w:hint="cs"/>
          <w:rtl/>
        </w:rPr>
        <w:t>.</w:t>
      </w:r>
      <w:r w:rsidRPr="00825FED">
        <w:rPr>
          <w:rFonts w:cs="Arial"/>
          <w:rtl/>
        </w:rPr>
        <w:t xml:space="preserve"> </w:t>
      </w:r>
    </w:p>
    <w:p w14:paraId="162C9033" w14:textId="77777777" w:rsidR="002E5BAD" w:rsidRDefault="002E5BAD" w:rsidP="002E5BAD">
      <w:pPr>
        <w:pStyle w:val="ab"/>
        <w:numPr>
          <w:ilvl w:val="0"/>
          <w:numId w:val="158"/>
        </w:numPr>
      </w:pPr>
      <w:r>
        <w:rPr>
          <w:rFonts w:cs="Arial" w:hint="cs"/>
          <w:rtl/>
        </w:rPr>
        <w:t xml:space="preserve">רמב"ם </w:t>
      </w:r>
      <w:r>
        <w:rPr>
          <w:rFonts w:cs="Arial" w:hint="cs"/>
          <w:sz w:val="16"/>
          <w:szCs w:val="16"/>
          <w:rtl/>
        </w:rPr>
        <w:t>(פי"ד הי"ח)</w:t>
      </w:r>
      <w:r>
        <w:rPr>
          <w:rFonts w:cs="Arial" w:hint="cs"/>
          <w:rtl/>
        </w:rPr>
        <w:t xml:space="preserve">- </w:t>
      </w:r>
      <w:r w:rsidRPr="009B34C7">
        <w:rPr>
          <w:rFonts w:cs="Arial"/>
          <w:rtl/>
        </w:rPr>
        <w:t xml:space="preserve">נשבית חייב לפדותה, ואם היה כהן שכבר נאסרה עליו </w:t>
      </w:r>
      <w:r>
        <w:rPr>
          <w:rFonts w:cs="Arial" w:hint="cs"/>
          <w:rtl/>
        </w:rPr>
        <w:t xml:space="preserve">- </w:t>
      </w:r>
      <w:r w:rsidRPr="009B34C7">
        <w:rPr>
          <w:rFonts w:cs="Arial"/>
          <w:rtl/>
        </w:rPr>
        <w:t>פודה אותה ומחזירה לבית אביה, אפילו היה בעיר אחרת מטפל בה עד שמחזירה למדינתה ומגרשה ונותן לה כל כתובתה</w:t>
      </w:r>
      <w:r>
        <w:rPr>
          <w:rFonts w:cs="Arial" w:hint="cs"/>
          <w:rtl/>
        </w:rPr>
        <w:t>.</w:t>
      </w:r>
      <w:r w:rsidRPr="009B34C7">
        <w:rPr>
          <w:rFonts w:cs="Arial"/>
          <w:rtl/>
        </w:rPr>
        <w:t xml:space="preserve"> היה בעלה ישראל שהשבויה מותרת לו</w:t>
      </w:r>
      <w:r>
        <w:rPr>
          <w:rStyle w:val="a7"/>
          <w:rtl/>
        </w:rPr>
        <w:footnoteReference w:id="1379"/>
      </w:r>
      <w:r>
        <w:rPr>
          <w:rFonts w:cs="Arial" w:hint="cs"/>
          <w:rtl/>
        </w:rPr>
        <w:t>,</w:t>
      </w:r>
      <w:r w:rsidRPr="009B34C7">
        <w:rPr>
          <w:rFonts w:cs="Arial"/>
          <w:rtl/>
        </w:rPr>
        <w:t xml:space="preserve"> מחזירה לו לאשה כמות שהיתה</w:t>
      </w:r>
      <w:r>
        <w:rPr>
          <w:rFonts w:cs="Arial" w:hint="cs"/>
          <w:rtl/>
        </w:rPr>
        <w:t>,</w:t>
      </w:r>
      <w:r w:rsidRPr="009B34C7">
        <w:rPr>
          <w:rFonts w:cs="Arial"/>
          <w:rtl/>
        </w:rPr>
        <w:t xml:space="preserve"> ואם רצה אחר כך מגרשה ונותן לה כתובתה.</w:t>
      </w:r>
      <w:r>
        <w:rPr>
          <w:rFonts w:cs="Arial" w:hint="cs"/>
          <w:rtl/>
        </w:rPr>
        <w:t xml:space="preserve"> </w:t>
      </w:r>
      <w:r w:rsidRPr="007B74FB">
        <w:rPr>
          <w:rFonts w:hint="cs"/>
          <w:color w:val="E36C0A" w:themeColor="accent6" w:themeShade="BF"/>
          <w:rtl/>
        </w:rPr>
        <w:t>(וכ"פ בשו"ע)</w:t>
      </w:r>
    </w:p>
    <w:p w14:paraId="46A4AA1A" w14:textId="77777777" w:rsidR="002E5BAD" w:rsidRPr="008B03CA" w:rsidRDefault="002E5BAD" w:rsidP="002E5BAD">
      <w:pPr>
        <w:ind w:left="360"/>
        <w:rPr>
          <w:u w:val="dotted"/>
        </w:rPr>
      </w:pPr>
      <w:r w:rsidRPr="008B03CA">
        <w:rPr>
          <w:rFonts w:hint="cs"/>
          <w:u w:val="dotted"/>
          <w:rtl/>
        </w:rPr>
        <w:t>ומה הדין אם נשא אותה באיסור:</w:t>
      </w:r>
    </w:p>
    <w:p w14:paraId="361E7C6A" w14:textId="77777777" w:rsidR="002E5BAD" w:rsidRDefault="002E5BAD" w:rsidP="002E5BAD">
      <w:pPr>
        <w:pStyle w:val="ab"/>
        <w:numPr>
          <w:ilvl w:val="0"/>
          <w:numId w:val="158"/>
        </w:numPr>
      </w:pPr>
      <w:r>
        <w:rPr>
          <w:rFonts w:cs="Arial" w:hint="cs"/>
          <w:rtl/>
        </w:rPr>
        <w:t xml:space="preserve">טור- </w:t>
      </w:r>
      <w:r w:rsidRPr="009B34C7">
        <w:rPr>
          <w:rFonts w:cs="Arial"/>
          <w:rtl/>
        </w:rPr>
        <w:t xml:space="preserve">אבל אם נשאת לו באיסור כגון אלמנה לכ"ג גרושה וחלוצה לכהן הדיוט ממזרת ונתינה לישראל </w:t>
      </w:r>
      <w:r>
        <w:rPr>
          <w:rFonts w:cs="Arial" w:hint="cs"/>
          <w:rtl/>
        </w:rPr>
        <w:t xml:space="preserve">- </w:t>
      </w:r>
      <w:r w:rsidRPr="009B34C7">
        <w:rPr>
          <w:rFonts w:cs="Arial"/>
          <w:rtl/>
        </w:rPr>
        <w:t>אינו חייב לפדותה</w:t>
      </w:r>
      <w:r>
        <w:rPr>
          <w:rFonts w:cs="Arial" w:hint="cs"/>
          <w:rtl/>
        </w:rPr>
        <w:t>.</w:t>
      </w:r>
    </w:p>
    <w:p w14:paraId="4A97C799" w14:textId="77777777" w:rsidR="002E5BAD" w:rsidRPr="00825FED" w:rsidRDefault="002E5BAD" w:rsidP="002E5BAD">
      <w:pPr>
        <w:pStyle w:val="ab"/>
        <w:numPr>
          <w:ilvl w:val="0"/>
          <w:numId w:val="158"/>
        </w:numPr>
        <w:rPr>
          <w:rtl/>
        </w:rPr>
      </w:pPr>
      <w:r>
        <w:rPr>
          <w:rFonts w:cs="Arial" w:hint="cs"/>
          <w:rtl/>
        </w:rPr>
        <w:t xml:space="preserve">רמב"ם </w:t>
      </w:r>
      <w:r>
        <w:rPr>
          <w:rFonts w:cs="Arial" w:hint="cs"/>
          <w:sz w:val="16"/>
          <w:szCs w:val="16"/>
          <w:rtl/>
        </w:rPr>
        <w:t>(פי"ד היכ"ב)</w:t>
      </w:r>
      <w:r>
        <w:rPr>
          <w:rFonts w:cs="Arial" w:hint="cs"/>
          <w:rtl/>
        </w:rPr>
        <w:t>-</w:t>
      </w:r>
      <w:r>
        <w:rPr>
          <w:rFonts w:hint="cs"/>
          <w:rtl/>
        </w:rPr>
        <w:t xml:space="preserve"> </w:t>
      </w:r>
      <w:r w:rsidRPr="008B03CA">
        <w:rPr>
          <w:rFonts w:cs="Arial"/>
          <w:rtl/>
        </w:rPr>
        <w:t xml:space="preserve">האשה שהיתה אסורה על בעלה מאיסורי לאוין ונשבית </w:t>
      </w:r>
      <w:r>
        <w:rPr>
          <w:rFonts w:cs="Arial" w:hint="cs"/>
          <w:rtl/>
        </w:rPr>
        <w:t xml:space="preserve">- </w:t>
      </w:r>
      <w:r w:rsidRPr="008B03CA">
        <w:rPr>
          <w:rFonts w:cs="Arial"/>
          <w:rtl/>
        </w:rPr>
        <w:t>אינו חייב לפדותה</w:t>
      </w:r>
      <w:r>
        <w:rPr>
          <w:rStyle w:val="a7"/>
          <w:rtl/>
        </w:rPr>
        <w:footnoteReference w:id="1380"/>
      </w:r>
      <w:r w:rsidRPr="008B03CA">
        <w:rPr>
          <w:rFonts w:cs="Arial"/>
          <w:rtl/>
        </w:rPr>
        <w:t xml:space="preserve"> אלא נותן לה כתובתה והיא תפדה את עצמה</w:t>
      </w:r>
      <w:r>
        <w:rPr>
          <w:rFonts w:cs="Arial" w:hint="cs"/>
          <w:rtl/>
        </w:rPr>
        <w:t>.</w:t>
      </w:r>
      <w:r w:rsidRPr="008B03CA">
        <w:rPr>
          <w:rFonts w:cs="Arial"/>
          <w:rtl/>
        </w:rPr>
        <w:t xml:space="preserve"> והלא השבויה אסורה לכהן והרי הוא פודה אותה, מפני שלא היתה אסורה מקודם ואיסור השביה הוא שגרם לה</w:t>
      </w:r>
      <w:r>
        <w:rPr>
          <w:rFonts w:cs="Arial" w:hint="cs"/>
          <w:rtl/>
        </w:rPr>
        <w:t xml:space="preserve">. </w:t>
      </w:r>
      <w:r w:rsidRPr="007B74FB">
        <w:rPr>
          <w:rFonts w:hint="cs"/>
          <w:color w:val="E36C0A" w:themeColor="accent6" w:themeShade="BF"/>
          <w:rtl/>
        </w:rPr>
        <w:t>(וכ"פ בשו"ע</w:t>
      </w:r>
      <w:r>
        <w:rPr>
          <w:rFonts w:hint="cs"/>
          <w:color w:val="E36C0A" w:themeColor="accent6" w:themeShade="BF"/>
          <w:sz w:val="16"/>
          <w:szCs w:val="16"/>
          <w:rtl/>
        </w:rPr>
        <w:t xml:space="preserve"> </w:t>
      </w:r>
      <w:r w:rsidRPr="000628DF">
        <w:rPr>
          <w:rFonts w:hint="cs"/>
          <w:color w:val="000000" w:themeColor="text1"/>
          <w:sz w:val="16"/>
          <w:szCs w:val="16"/>
          <w:rtl/>
        </w:rPr>
        <w:t>[</w:t>
      </w:r>
      <w:r>
        <w:rPr>
          <w:rFonts w:hint="cs"/>
          <w:color w:val="000000" w:themeColor="text1"/>
          <w:sz w:val="16"/>
          <w:szCs w:val="16"/>
          <w:rtl/>
        </w:rPr>
        <w:t>בסע' הבא</w:t>
      </w:r>
      <w:r w:rsidRPr="000628DF">
        <w:rPr>
          <w:rFonts w:hint="cs"/>
          <w:color w:val="000000" w:themeColor="text1"/>
          <w:sz w:val="16"/>
          <w:szCs w:val="16"/>
          <w:rtl/>
        </w:rPr>
        <w:t>]</w:t>
      </w:r>
      <w:r w:rsidRPr="007B74FB">
        <w:rPr>
          <w:rFonts w:hint="cs"/>
          <w:color w:val="E36C0A" w:themeColor="accent6" w:themeShade="BF"/>
          <w:rtl/>
        </w:rPr>
        <w:t>)</w:t>
      </w:r>
    </w:p>
    <w:p w14:paraId="3BD1114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E916CD8" w14:textId="77777777" w:rsidR="002E5BAD" w:rsidRDefault="002E5BAD" w:rsidP="002E5BAD">
      <w:pPr>
        <w:rPr>
          <w:rFonts w:cs="Arial"/>
          <w:rtl/>
        </w:rPr>
      </w:pPr>
      <w:r>
        <w:rPr>
          <w:rFonts w:cs="Arial"/>
          <w:rtl/>
        </w:rPr>
        <w:lastRenderedPageBreak/>
        <w:t>כהן שנשבית אשתו, אף על פי שנאסרה עליו, הואיל ומקודם היתה מותרת לו פודה ומחזירה לבית אביה</w:t>
      </w:r>
      <w:r>
        <w:rPr>
          <w:rFonts w:cs="Arial" w:hint="cs"/>
          <w:rtl/>
        </w:rPr>
        <w:t>,</w:t>
      </w:r>
      <w:r>
        <w:rPr>
          <w:rFonts w:cs="Arial"/>
          <w:rtl/>
        </w:rPr>
        <w:t xml:space="preserve"> אפילו היה בעיר אחרת מיטפל לה עד שמחזירה למדינתה, ומגרשה ונותן לה כל כתובתה. ואם היה בעלה ישראל, שהשבויה מותרת לו, מחזירה לו לאשה כמו שהיתה, ואם רצה אח</w:t>
      </w:r>
      <w:r>
        <w:rPr>
          <w:rFonts w:cs="Arial" w:hint="cs"/>
          <w:rtl/>
        </w:rPr>
        <w:t xml:space="preserve">ר </w:t>
      </w:r>
      <w:r>
        <w:rPr>
          <w:rFonts w:cs="Arial"/>
          <w:rtl/>
        </w:rPr>
        <w:t>כ</w:t>
      </w:r>
      <w:r>
        <w:rPr>
          <w:rFonts w:cs="Arial" w:hint="cs"/>
          <w:rtl/>
        </w:rPr>
        <w:t>ך</w:t>
      </w:r>
      <w:r>
        <w:rPr>
          <w:rFonts w:cs="Arial"/>
          <w:rtl/>
        </w:rPr>
        <w:t xml:space="preserve"> מגרשה ונותן לה כתובתה.</w:t>
      </w:r>
      <w:r w:rsidRPr="00120A70">
        <w:rPr>
          <w:rFonts w:cs="Arial"/>
          <w:sz w:val="18"/>
          <w:szCs w:val="18"/>
          <w:rtl/>
        </w:rPr>
        <w:t xml:space="preserve"> </w:t>
      </w:r>
      <w:r>
        <w:rPr>
          <w:rFonts w:cs="Arial" w:hint="cs"/>
          <w:sz w:val="18"/>
          <w:szCs w:val="18"/>
          <w:rtl/>
        </w:rPr>
        <w:t xml:space="preserve">[הגה] </w:t>
      </w:r>
      <w:r w:rsidRPr="00120A70">
        <w:rPr>
          <w:rFonts w:cs="Arial"/>
          <w:sz w:val="18"/>
          <w:szCs w:val="18"/>
          <w:rtl/>
        </w:rPr>
        <w:t>שבויה שנאסרה אף לבעלה ישראל, שחוששים שמא נבעלה ברצון, כדרך שנתבאר סימן ז', אין בעלה חייב לפדותה</w:t>
      </w:r>
      <w:r>
        <w:rPr>
          <w:rStyle w:val="a7"/>
          <w:rFonts w:cs="Arial"/>
          <w:sz w:val="18"/>
          <w:szCs w:val="18"/>
          <w:rtl/>
        </w:rPr>
        <w:footnoteReference w:id="1381"/>
      </w:r>
      <w:r w:rsidRPr="00120A70">
        <w:rPr>
          <w:rFonts w:cs="Arial"/>
          <w:sz w:val="18"/>
          <w:szCs w:val="18"/>
          <w:rtl/>
        </w:rPr>
        <w:t xml:space="preserve"> (הר"ן פ' נערה ור"י נ"ג).</w:t>
      </w:r>
      <w:r>
        <w:rPr>
          <w:rFonts w:cs="Arial"/>
          <w:rtl/>
        </w:rPr>
        <w:t xml:space="preserve"> </w:t>
      </w:r>
    </w:p>
    <w:p w14:paraId="0C098B50" w14:textId="77777777" w:rsidR="002E5BAD" w:rsidRPr="00371891" w:rsidRDefault="002E5BAD" w:rsidP="002E5BAD">
      <w:pPr>
        <w:rPr>
          <w:u w:val="single"/>
          <w:rtl/>
        </w:rPr>
      </w:pPr>
      <w:r w:rsidRPr="00371891">
        <w:rPr>
          <w:rFonts w:hint="cs"/>
          <w:u w:val="single"/>
          <w:rtl/>
        </w:rPr>
        <w:t>אשה שנשבית ולקח אותה השבאי לו לאשה:</w:t>
      </w:r>
    </w:p>
    <w:p w14:paraId="653244AB" w14:textId="77777777" w:rsidR="002E5BAD" w:rsidRPr="00371891" w:rsidRDefault="002E5BAD" w:rsidP="002E5BAD">
      <w:pPr>
        <w:pStyle w:val="ab"/>
        <w:numPr>
          <w:ilvl w:val="0"/>
          <w:numId w:val="164"/>
        </w:numPr>
      </w:pPr>
      <w:r>
        <w:rPr>
          <w:rFonts w:cs="Arial" w:hint="cs"/>
          <w:rtl/>
        </w:rPr>
        <w:t xml:space="preserve">ט"ז </w:t>
      </w:r>
      <w:r>
        <w:rPr>
          <w:rFonts w:cs="Arial" w:hint="cs"/>
          <w:sz w:val="16"/>
          <w:szCs w:val="16"/>
          <w:rtl/>
        </w:rPr>
        <w:t>(סק"ב)</w:t>
      </w:r>
      <w:r>
        <w:rPr>
          <w:rFonts w:cs="Arial" w:hint="cs"/>
          <w:rtl/>
        </w:rPr>
        <w:t xml:space="preserve">- </w:t>
      </w:r>
      <w:r w:rsidRPr="00371891">
        <w:rPr>
          <w:rFonts w:cs="Arial"/>
          <w:rtl/>
        </w:rPr>
        <w:t>בתשובה סי' י"ב כתבתי בהוכחות וראיות שאם השבאי נשאה לאשה נאסרה על בעלה ואף על פי שתחילה בשעת הנשואין היה לה אונס ע"כ אין עליו חיוב לפדותה</w:t>
      </w:r>
      <w:r>
        <w:rPr>
          <w:rFonts w:cs="Arial" w:hint="cs"/>
          <w:rtl/>
        </w:rPr>
        <w:t>.</w:t>
      </w:r>
    </w:p>
    <w:p w14:paraId="54812E55" w14:textId="77777777" w:rsidR="002E5BAD" w:rsidRDefault="002E5BAD" w:rsidP="002E5BAD">
      <w:pPr>
        <w:pStyle w:val="ab"/>
        <w:numPr>
          <w:ilvl w:val="0"/>
          <w:numId w:val="164"/>
        </w:numPr>
        <w:rPr>
          <w:rtl/>
        </w:rPr>
      </w:pPr>
      <w:r>
        <w:rPr>
          <w:rFonts w:cs="Arial" w:hint="cs"/>
          <w:rtl/>
        </w:rPr>
        <w:t xml:space="preserve">ב"ש </w:t>
      </w:r>
      <w:r>
        <w:rPr>
          <w:rFonts w:cs="Arial" w:hint="cs"/>
          <w:sz w:val="16"/>
          <w:szCs w:val="16"/>
          <w:rtl/>
        </w:rPr>
        <w:t>(סק"ז)</w:t>
      </w:r>
      <w:r>
        <w:rPr>
          <w:rFonts w:cs="Arial" w:hint="cs"/>
          <w:rtl/>
        </w:rPr>
        <w:t xml:space="preserve">- </w:t>
      </w:r>
      <w:r w:rsidRPr="00371891">
        <w:rPr>
          <w:rFonts w:cs="Arial"/>
          <w:rtl/>
        </w:rPr>
        <w:t>הנה בסוגיא זו דף נ"א מבואר לרש"י כשנשבית ביד השר דהיא סבורה שישא אותה לאשה אז היא אסורה לבעלה כי נבעלת לו ברצון אז אינו חייב לפדותה</w:t>
      </w:r>
      <w:r>
        <w:rPr>
          <w:rFonts w:cs="Arial" w:hint="cs"/>
          <w:rtl/>
        </w:rPr>
        <w:t>,</w:t>
      </w:r>
      <w:r w:rsidRPr="00371891">
        <w:rPr>
          <w:rFonts w:cs="Arial"/>
          <w:rtl/>
        </w:rPr>
        <w:t xml:space="preserve"> וכ' ב"ח היינו דוקא כשידוע דנבעלה לו</w:t>
      </w:r>
      <w:r>
        <w:rPr>
          <w:rFonts w:cs="Arial" w:hint="cs"/>
          <w:rtl/>
        </w:rPr>
        <w:t>,</w:t>
      </w:r>
      <w:r w:rsidRPr="00371891">
        <w:rPr>
          <w:rFonts w:cs="Arial"/>
          <w:rtl/>
        </w:rPr>
        <w:t xml:space="preserve"> אבל אם א</w:t>
      </w:r>
      <w:r>
        <w:rPr>
          <w:rFonts w:cs="Arial" w:hint="cs"/>
          <w:rtl/>
        </w:rPr>
        <w:t>ינו ידוע</w:t>
      </w:r>
      <w:r w:rsidRPr="00371891">
        <w:rPr>
          <w:rFonts w:cs="Arial"/>
          <w:rtl/>
        </w:rPr>
        <w:t xml:space="preserve"> אמרי</w:t>
      </w:r>
      <w:r>
        <w:rPr>
          <w:rFonts w:cs="Arial" w:hint="cs"/>
          <w:rtl/>
        </w:rPr>
        <w:t>נן</w:t>
      </w:r>
      <w:r w:rsidRPr="00371891">
        <w:rPr>
          <w:rFonts w:cs="Arial"/>
          <w:rtl/>
        </w:rPr>
        <w:t xml:space="preserve"> דלא בא עליה אלא אמרינן דשבה אותה כדי למוכרה או כדי לפדותה דרובן הכי עבדי</w:t>
      </w:r>
      <w:r>
        <w:rPr>
          <w:rFonts w:cs="Arial" w:hint="cs"/>
          <w:rtl/>
        </w:rPr>
        <w:t>.</w:t>
      </w:r>
      <w:r w:rsidRPr="00371891">
        <w:rPr>
          <w:rFonts w:cs="Arial"/>
          <w:rtl/>
        </w:rPr>
        <w:t xml:space="preserve"> מיהו אף על גב דהוא כתב דין זה בפשיטות צ"ע למעשה אם תלינן לקולא</w:t>
      </w:r>
      <w:r>
        <w:rPr>
          <w:rFonts w:cs="Arial" w:hint="cs"/>
          <w:rtl/>
        </w:rPr>
        <w:t>,</w:t>
      </w:r>
      <w:r w:rsidRPr="00371891">
        <w:rPr>
          <w:rFonts w:cs="Arial"/>
          <w:rtl/>
        </w:rPr>
        <w:t xml:space="preserve"> דהא בסי' זה מבואר דחיישינן שמא נבעלה</w:t>
      </w:r>
      <w:r>
        <w:rPr>
          <w:rFonts w:cs="Arial" w:hint="cs"/>
          <w:rtl/>
        </w:rPr>
        <w:t>,</w:t>
      </w:r>
      <w:r w:rsidRPr="00371891">
        <w:rPr>
          <w:rFonts w:cs="Arial"/>
          <w:rtl/>
        </w:rPr>
        <w:t xml:space="preserve"> והר"ן ס"ל כל שאין לה מציל אפילו אם נשבית להשר מותר</w:t>
      </w:r>
      <w:r>
        <w:rPr>
          <w:rFonts w:cs="Arial" w:hint="cs"/>
          <w:rtl/>
        </w:rPr>
        <w:t>ת</w:t>
      </w:r>
      <w:r w:rsidRPr="00371891">
        <w:rPr>
          <w:rFonts w:cs="Arial"/>
          <w:rtl/>
        </w:rPr>
        <w:t xml:space="preserve"> לבעלה דאפילו אם בא עליה היא נבעלה באונס אלא היכא דאפשר לה לצווח ולא צוחה אז רגלים לדבר דהיא מרוצה אבל במקום דאין לה מציל מה היה לה לצווח</w:t>
      </w:r>
      <w:r>
        <w:rPr>
          <w:rFonts w:cs="Arial" w:hint="cs"/>
          <w:rtl/>
        </w:rPr>
        <w:t>.</w:t>
      </w:r>
      <w:r w:rsidRPr="00371891">
        <w:rPr>
          <w:rFonts w:cs="Arial"/>
          <w:rtl/>
        </w:rPr>
        <w:t xml:space="preserve"> ורי"ו הביא שני דיעות הללו ולא הכריע ביניהם</w:t>
      </w:r>
      <w:r>
        <w:rPr>
          <w:rFonts w:cs="Arial" w:hint="cs"/>
          <w:rtl/>
        </w:rPr>
        <w:t>.</w:t>
      </w:r>
      <w:r w:rsidRPr="00371891">
        <w:rPr>
          <w:rFonts w:cs="Arial"/>
          <w:rtl/>
        </w:rPr>
        <w:t xml:space="preserve"> וב"ח פסק כהר"ן</w:t>
      </w:r>
      <w:r>
        <w:rPr>
          <w:rFonts w:cs="Arial" w:hint="cs"/>
          <w:rtl/>
        </w:rPr>
        <w:t>.</w:t>
      </w:r>
      <w:r w:rsidRPr="00371891">
        <w:rPr>
          <w:rFonts w:cs="Arial"/>
          <w:rtl/>
        </w:rPr>
        <w:t xml:space="preserve"> וצ"ע</w:t>
      </w:r>
      <w:r>
        <w:rPr>
          <w:rFonts w:cs="Arial" w:hint="cs"/>
          <w:rtl/>
        </w:rPr>
        <w:t>.</w:t>
      </w:r>
      <w:r w:rsidRPr="00371891">
        <w:rPr>
          <w:rFonts w:cs="Arial"/>
          <w:rtl/>
        </w:rPr>
        <w:t xml:space="preserve"> וכ' ב"ח היכא דאיכא שני עדים דשבאי לקח אותה לאשה והבינו מדברי האש</w:t>
      </w:r>
      <w:r>
        <w:rPr>
          <w:rFonts w:cs="Arial" w:hint="cs"/>
          <w:rtl/>
        </w:rPr>
        <w:t>ה</w:t>
      </w:r>
      <w:r w:rsidRPr="00371891">
        <w:rPr>
          <w:rFonts w:cs="Arial"/>
          <w:rtl/>
        </w:rPr>
        <w:t xml:space="preserve"> שאינ</w:t>
      </w:r>
      <w:r>
        <w:rPr>
          <w:rFonts w:cs="Arial" w:hint="cs"/>
          <w:rtl/>
        </w:rPr>
        <w:t>ה</w:t>
      </w:r>
      <w:r w:rsidRPr="00371891">
        <w:rPr>
          <w:rFonts w:cs="Arial"/>
          <w:rtl/>
        </w:rPr>
        <w:t xml:space="preserve"> חפיצה שיפדו אות</w:t>
      </w:r>
      <w:r>
        <w:rPr>
          <w:rFonts w:cs="Arial" w:hint="cs"/>
          <w:rtl/>
        </w:rPr>
        <w:t>ה</w:t>
      </w:r>
      <w:r w:rsidRPr="00371891">
        <w:rPr>
          <w:rFonts w:cs="Arial"/>
          <w:rtl/>
        </w:rPr>
        <w:t xml:space="preserve"> אז בודאי נבעלת לו ברצון ואסורה לבעלה ואין חייב לפדות</w:t>
      </w:r>
      <w:r>
        <w:rPr>
          <w:rFonts w:cs="Arial" w:hint="cs"/>
          <w:rtl/>
        </w:rPr>
        <w:t>ה</w:t>
      </w:r>
      <w:r w:rsidRPr="00371891">
        <w:rPr>
          <w:rFonts w:cs="Arial"/>
          <w:rtl/>
        </w:rPr>
        <w:t xml:space="preserve"> ומותר לישא אשה אחרת וא"צ לזכות לה גט וא"צ ליחד לה הכתובה מיהו במקום דנוהגים ליבם צריך לזכות לה גט מטעם שכתב בד"מ סימן א'</w:t>
      </w:r>
      <w:r>
        <w:rPr>
          <w:rFonts w:cs="Arial" w:hint="cs"/>
          <w:rtl/>
        </w:rPr>
        <w:t>.</w:t>
      </w:r>
    </w:p>
    <w:p w14:paraId="7ADB6764" w14:textId="77777777" w:rsidR="002E5BAD" w:rsidRDefault="002E5BAD" w:rsidP="002E5BAD">
      <w:pPr>
        <w:rPr>
          <w:rtl/>
        </w:rPr>
      </w:pPr>
    </w:p>
    <w:p w14:paraId="4E1A527A" w14:textId="77777777" w:rsidR="002E5BAD" w:rsidRDefault="002E5BAD" w:rsidP="002E5BAD">
      <w:pPr>
        <w:pStyle w:val="2"/>
        <w:rPr>
          <w:rtl/>
        </w:rPr>
      </w:pPr>
      <w:r>
        <w:rPr>
          <w:rtl/>
        </w:rPr>
        <w:t>סעיף ז</w:t>
      </w:r>
      <w:r>
        <w:rPr>
          <w:rFonts w:hint="cs"/>
          <w:rtl/>
        </w:rPr>
        <w:t>: אשה שהיתה אסורה על בעלה.</w:t>
      </w:r>
    </w:p>
    <w:p w14:paraId="62DAE291" w14:textId="77777777" w:rsidR="002E5BAD" w:rsidRPr="00120A70" w:rsidRDefault="002E5BAD" w:rsidP="002E5BAD">
      <w:pPr>
        <w:rPr>
          <w:rtl/>
        </w:rPr>
      </w:pPr>
      <w:r>
        <w:rPr>
          <w:rFonts w:hint="cs"/>
          <w:rtl/>
        </w:rPr>
        <w:t>עיין במקורות בסעיף ו.</w:t>
      </w:r>
    </w:p>
    <w:p w14:paraId="0232C32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0744C0F" w14:textId="77777777" w:rsidR="002E5BAD" w:rsidRDefault="002E5BAD" w:rsidP="002E5BAD">
      <w:pPr>
        <w:rPr>
          <w:rFonts w:cs="Arial"/>
          <w:rtl/>
        </w:rPr>
      </w:pPr>
      <w:r>
        <w:rPr>
          <w:rFonts w:cs="Arial"/>
          <w:rtl/>
        </w:rPr>
        <w:t>האשה שהיתה אסורה על בעלה, מחייבי לאוין</w:t>
      </w:r>
      <w:r>
        <w:rPr>
          <w:rStyle w:val="a7"/>
          <w:rFonts w:cs="Arial"/>
          <w:rtl/>
        </w:rPr>
        <w:footnoteReference w:id="1382"/>
      </w:r>
      <w:r>
        <w:rPr>
          <w:rFonts w:cs="Arial"/>
          <w:rtl/>
        </w:rPr>
        <w:t xml:space="preserve">, ונשבית, אינו חייב לפדותה אלא נותן לה כתובתה והיא תפדה את עצמה. </w:t>
      </w:r>
      <w:r w:rsidRPr="00120A70">
        <w:rPr>
          <w:rFonts w:cs="Arial" w:hint="cs"/>
          <w:sz w:val="18"/>
          <w:szCs w:val="18"/>
          <w:rtl/>
        </w:rPr>
        <w:t xml:space="preserve">[הגה] </w:t>
      </w:r>
      <w:r w:rsidRPr="00120A70">
        <w:rPr>
          <w:rFonts w:cs="Arial"/>
          <w:sz w:val="18"/>
          <w:szCs w:val="18"/>
          <w:rtl/>
        </w:rPr>
        <w:t>ומשלם לה</w:t>
      </w:r>
      <w:r>
        <w:rPr>
          <w:rStyle w:val="a7"/>
          <w:rFonts w:cs="Arial"/>
          <w:sz w:val="18"/>
          <w:szCs w:val="18"/>
          <w:rtl/>
        </w:rPr>
        <w:footnoteReference w:id="1383"/>
      </w:r>
      <w:r w:rsidRPr="00120A70">
        <w:rPr>
          <w:rFonts w:cs="Arial"/>
          <w:sz w:val="18"/>
          <w:szCs w:val="18"/>
          <w:rtl/>
        </w:rPr>
        <w:t xml:space="preserve"> הפירות שאכל מנכסיה</w:t>
      </w:r>
      <w:r>
        <w:rPr>
          <w:rStyle w:val="a7"/>
          <w:rFonts w:cs="Arial"/>
          <w:sz w:val="18"/>
          <w:szCs w:val="18"/>
          <w:rtl/>
        </w:rPr>
        <w:footnoteReference w:id="1384"/>
      </w:r>
      <w:r w:rsidRPr="00120A70">
        <w:rPr>
          <w:rFonts w:cs="Arial"/>
          <w:sz w:val="18"/>
          <w:szCs w:val="18"/>
          <w:rtl/>
        </w:rPr>
        <w:t xml:space="preserve"> (הר"ן פרק אלמנה ניזונת).</w:t>
      </w:r>
      <w:r>
        <w:rPr>
          <w:rFonts w:cs="Arial"/>
          <w:rtl/>
        </w:rPr>
        <w:t xml:space="preserve"> </w:t>
      </w:r>
    </w:p>
    <w:p w14:paraId="3896C673" w14:textId="77777777" w:rsidR="002E5BAD" w:rsidRDefault="002E5BAD" w:rsidP="002E5BAD">
      <w:pPr>
        <w:rPr>
          <w:rtl/>
        </w:rPr>
      </w:pPr>
    </w:p>
    <w:p w14:paraId="0B480305" w14:textId="77777777" w:rsidR="002E5BAD" w:rsidRDefault="002E5BAD" w:rsidP="002E5BAD">
      <w:pPr>
        <w:pStyle w:val="2"/>
        <w:rPr>
          <w:rtl/>
        </w:rPr>
      </w:pPr>
      <w:r>
        <w:rPr>
          <w:rtl/>
        </w:rPr>
        <w:t>סעיף ח</w:t>
      </w:r>
      <w:r>
        <w:rPr>
          <w:rFonts w:hint="cs"/>
          <w:rtl/>
        </w:rPr>
        <w:t>: פדיון אלמנתו מנכסיו.</w:t>
      </w:r>
    </w:p>
    <w:p w14:paraId="64A8971A" w14:textId="77777777" w:rsidR="002E5BAD" w:rsidRPr="00481B24"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481B24">
        <w:rPr>
          <w:rFonts w:cs="Arial"/>
          <w:rtl/>
        </w:rPr>
        <w:t xml:space="preserve">נשבית - חייב לפדותה וכו'. ת"ר: נשבית בחיי בעלה ואח"כ מת בעלה, הכיר בה בעלה - יורשין חייבין לפדותה, לא הכיר בה בעלה - אין יורשין חייבין לפדותה. לוי סבר למיעבד עובדא כי הא מתניתא, </w:t>
      </w:r>
      <w:r w:rsidRPr="00481B24">
        <w:rPr>
          <w:rFonts w:cs="Arial"/>
          <w:u w:val="single"/>
          <w:rtl/>
        </w:rPr>
        <w:t>א"ל רב</w:t>
      </w:r>
      <w:r>
        <w:rPr>
          <w:rFonts w:cs="Arial" w:hint="cs"/>
          <w:rtl/>
        </w:rPr>
        <w:t>:</w:t>
      </w:r>
      <w:r w:rsidRPr="00481B24">
        <w:rPr>
          <w:rFonts w:cs="Arial"/>
          <w:rtl/>
        </w:rPr>
        <w:t xml:space="preserve"> הכי אמר חביבי</w:t>
      </w:r>
      <w:r>
        <w:rPr>
          <w:rFonts w:cs="Arial" w:hint="cs"/>
          <w:rtl/>
        </w:rPr>
        <w:t>-</w:t>
      </w:r>
      <w:r w:rsidRPr="00481B24">
        <w:rPr>
          <w:rFonts w:cs="Arial"/>
          <w:rtl/>
        </w:rPr>
        <w:t xml:space="preserve"> לית הלכתא כי הא מתניתא, אלא כי הא דתניא: נשבית לאחר מיתת בעלה - אין היתומין חייבין לפדותה</w:t>
      </w:r>
      <w:r>
        <w:rPr>
          <w:rFonts w:cs="Arial" w:hint="cs"/>
          <w:rtl/>
        </w:rPr>
        <w:t>.</w:t>
      </w:r>
      <w:r w:rsidRPr="00481B24">
        <w:rPr>
          <w:rFonts w:cs="Arial"/>
          <w:rtl/>
        </w:rPr>
        <w:t xml:space="preserve"> ולא עוד, אלא אפילו נשבית בחיי בעלה ואחר כך מת בעלה - אין היתומין חייבין לפדותה, שאין אני קורא בה ואותבינך לאינתו.</w:t>
      </w:r>
      <w:r w:rsidRPr="002F72EE">
        <w:rPr>
          <w:rFonts w:cs="Arial"/>
          <w:rtl/>
        </w:rPr>
        <w:t xml:space="preserve"> </w:t>
      </w:r>
      <w:r w:rsidRPr="002F72EE">
        <w:rPr>
          <w:rFonts w:cs="Arial" w:hint="cs"/>
          <w:sz w:val="16"/>
          <w:szCs w:val="16"/>
          <w:rtl/>
        </w:rPr>
        <w:t>(</w:t>
      </w:r>
      <w:r w:rsidRPr="002F72EE">
        <w:rPr>
          <w:rFonts w:cs="Arial"/>
          <w:sz w:val="16"/>
          <w:szCs w:val="16"/>
          <w:rtl/>
        </w:rPr>
        <w:t>וכתב הרי"ף (יט.) הילכך לית להו פירי</w:t>
      </w:r>
      <w:r w:rsidRPr="002F72EE">
        <w:rPr>
          <w:rFonts w:cs="Arial" w:hint="cs"/>
          <w:sz w:val="16"/>
          <w:szCs w:val="16"/>
          <w:rtl/>
        </w:rPr>
        <w:t>,</w:t>
      </w:r>
      <w:r w:rsidRPr="002F72EE">
        <w:rPr>
          <w:rFonts w:cs="Arial"/>
          <w:sz w:val="16"/>
          <w:szCs w:val="16"/>
          <w:rtl/>
        </w:rPr>
        <w:t xml:space="preserve"> דכי תקינו רבנן פירות לבעל תחת פרקונה הוא דתקינו</w:t>
      </w:r>
      <w:r w:rsidRPr="002F72EE">
        <w:rPr>
          <w:rFonts w:cs="Arial" w:hint="cs"/>
          <w:sz w:val="16"/>
          <w:szCs w:val="16"/>
          <w:rtl/>
        </w:rPr>
        <w:t>,</w:t>
      </w:r>
      <w:r w:rsidRPr="002F72EE">
        <w:rPr>
          <w:rFonts w:cs="Arial"/>
          <w:sz w:val="16"/>
          <w:szCs w:val="16"/>
          <w:rtl/>
        </w:rPr>
        <w:t xml:space="preserve"> והני כיון דלא מחייבי בפרקונה לית להו פירי. וכתב הרא"ש (סי' כב)</w:t>
      </w:r>
      <w:r>
        <w:rPr>
          <w:rFonts w:cs="Arial" w:hint="cs"/>
          <w:sz w:val="16"/>
          <w:szCs w:val="16"/>
          <w:rtl/>
        </w:rPr>
        <w:t>, ב"י)</w:t>
      </w:r>
    </w:p>
    <w:p w14:paraId="32B9BACE" w14:textId="77777777" w:rsidR="002E5BAD" w:rsidRPr="00E41D2C" w:rsidRDefault="002E5BAD" w:rsidP="002E5BAD">
      <w:pPr>
        <w:rPr>
          <w:u w:val="single"/>
          <w:rtl/>
        </w:rPr>
      </w:pPr>
      <w:r w:rsidRPr="00E41D2C">
        <w:rPr>
          <w:rFonts w:hint="cs"/>
          <w:u w:val="single"/>
          <w:rtl/>
        </w:rPr>
        <w:t xml:space="preserve">האם </w:t>
      </w:r>
      <w:r>
        <w:rPr>
          <w:rFonts w:hint="cs"/>
          <w:u w:val="single"/>
          <w:rtl/>
        </w:rPr>
        <w:t>פ</w:t>
      </w:r>
      <w:r w:rsidRPr="00E41D2C">
        <w:rPr>
          <w:rFonts w:hint="cs"/>
          <w:u w:val="single"/>
          <w:rtl/>
        </w:rPr>
        <w:t>ודים את אלמנתו מנכסיו:</w:t>
      </w:r>
    </w:p>
    <w:p w14:paraId="1A403C11" w14:textId="77777777" w:rsidR="002E5BAD" w:rsidRPr="00393142" w:rsidRDefault="002E5BAD" w:rsidP="002E5BAD">
      <w:pPr>
        <w:pStyle w:val="ab"/>
        <w:numPr>
          <w:ilvl w:val="0"/>
          <w:numId w:val="158"/>
        </w:numPr>
        <w:rPr>
          <w:rtl/>
        </w:rPr>
      </w:pPr>
      <w:r>
        <w:rPr>
          <w:rFonts w:cs="Arial" w:hint="cs"/>
          <w:rtl/>
        </w:rPr>
        <w:t xml:space="preserve">טור- </w:t>
      </w:r>
      <w:r w:rsidRPr="00825FED">
        <w:rPr>
          <w:rFonts w:cs="Arial"/>
          <w:rtl/>
        </w:rPr>
        <w:t>אין חיוב פדיונה עליו אלא בחייו</w:t>
      </w:r>
      <w:r>
        <w:rPr>
          <w:rFonts w:cs="Arial" w:hint="cs"/>
          <w:rtl/>
        </w:rPr>
        <w:t>,</w:t>
      </w:r>
      <w:r w:rsidRPr="00825FED">
        <w:rPr>
          <w:rFonts w:cs="Arial"/>
          <w:rtl/>
        </w:rPr>
        <w:t xml:space="preserve"> אבל אלמנתו </w:t>
      </w:r>
      <w:r>
        <w:rPr>
          <w:rFonts w:cs="Arial" w:hint="cs"/>
          <w:rtl/>
        </w:rPr>
        <w:t xml:space="preserve">- </w:t>
      </w:r>
      <w:r w:rsidRPr="00825FED">
        <w:rPr>
          <w:rFonts w:cs="Arial"/>
          <w:rtl/>
        </w:rPr>
        <w:t>אינה נפדית מנכסיו</w:t>
      </w:r>
      <w:r>
        <w:rPr>
          <w:rFonts w:cs="Arial" w:hint="cs"/>
          <w:rtl/>
        </w:rPr>
        <w:t>,</w:t>
      </w:r>
      <w:r w:rsidRPr="00825FED">
        <w:rPr>
          <w:rFonts w:cs="Arial"/>
          <w:rtl/>
        </w:rPr>
        <w:t xml:space="preserve"> לא מיבעיא אם נשבית אחר מותו</w:t>
      </w:r>
      <w:r>
        <w:rPr>
          <w:rFonts w:cs="Arial" w:hint="cs"/>
          <w:rtl/>
        </w:rPr>
        <w:t>,</w:t>
      </w:r>
      <w:r w:rsidRPr="00825FED">
        <w:rPr>
          <w:rFonts w:cs="Arial"/>
          <w:rtl/>
        </w:rPr>
        <w:t xml:space="preserve"> אלא אפי' נשבית בחייו ולא הספיק לפדותה עד שמת </w:t>
      </w:r>
      <w:r>
        <w:rPr>
          <w:rFonts w:cs="Arial" w:hint="cs"/>
          <w:rtl/>
        </w:rPr>
        <w:t xml:space="preserve">- </w:t>
      </w:r>
      <w:r w:rsidRPr="00825FED">
        <w:rPr>
          <w:rFonts w:cs="Arial"/>
          <w:rtl/>
        </w:rPr>
        <w:t>אין היורשין חייבין לפדותה</w:t>
      </w:r>
      <w:r>
        <w:rPr>
          <w:rFonts w:cs="Arial" w:hint="cs"/>
          <w:rtl/>
        </w:rPr>
        <w:t>,</w:t>
      </w:r>
      <w:r w:rsidRPr="00825FED">
        <w:rPr>
          <w:rFonts w:cs="Arial"/>
          <w:rtl/>
        </w:rPr>
        <w:t xml:space="preserve"> ואפי' אם היא זקוקה ליבם</w:t>
      </w:r>
      <w:r>
        <w:rPr>
          <w:rFonts w:cs="Arial" w:hint="cs"/>
          <w:rtl/>
        </w:rPr>
        <w:t>,</w:t>
      </w:r>
      <w:r w:rsidRPr="00825FED">
        <w:rPr>
          <w:rFonts w:cs="Arial"/>
          <w:rtl/>
        </w:rPr>
        <w:t xml:space="preserve"> אלא נפדית משל עצמה או תטול כתובתה ותפדה את עצמה</w:t>
      </w:r>
      <w:r>
        <w:rPr>
          <w:rFonts w:cs="Arial" w:hint="cs"/>
          <w:rtl/>
        </w:rPr>
        <w:t>.</w:t>
      </w:r>
    </w:p>
    <w:p w14:paraId="2D4D19BD" w14:textId="77777777" w:rsidR="002E5BAD" w:rsidRDefault="002E5BAD" w:rsidP="002E5BAD">
      <w:pPr>
        <w:rPr>
          <w:rFonts w:cs="Arial"/>
          <w:rtl/>
        </w:rPr>
      </w:pPr>
      <w:r w:rsidRPr="002F72EE">
        <w:rPr>
          <w:rFonts w:cs="Arial" w:hint="cs"/>
          <w:u w:val="single"/>
          <w:rtl/>
        </w:rPr>
        <w:lastRenderedPageBreak/>
        <w:t xml:space="preserve">מי שלא חייב לפדות את אשתו </w:t>
      </w:r>
      <w:r w:rsidRPr="002F72EE">
        <w:rPr>
          <w:rFonts w:cs="Arial"/>
          <w:u w:val="single"/>
          <w:rtl/>
        </w:rPr>
        <w:t>–</w:t>
      </w:r>
      <w:r w:rsidRPr="002F72EE">
        <w:rPr>
          <w:rFonts w:cs="Arial" w:hint="cs"/>
          <w:u w:val="single"/>
          <w:rtl/>
        </w:rPr>
        <w:t xml:space="preserve"> האם יכול לאכול פירותיה:</w:t>
      </w:r>
    </w:p>
    <w:p w14:paraId="01E13F08" w14:textId="77777777" w:rsidR="002E5BAD" w:rsidRPr="002F72EE" w:rsidRDefault="002E5BAD" w:rsidP="002E5BAD">
      <w:pPr>
        <w:pStyle w:val="ab"/>
        <w:numPr>
          <w:ilvl w:val="0"/>
          <w:numId w:val="158"/>
        </w:numPr>
      </w:pPr>
      <w:r w:rsidRPr="002F72EE">
        <w:rPr>
          <w:rFonts w:cs="Arial"/>
          <w:rtl/>
        </w:rPr>
        <w:t xml:space="preserve">רי"ף </w:t>
      </w:r>
      <w:r w:rsidRPr="002F72EE">
        <w:rPr>
          <w:rFonts w:cs="Arial"/>
          <w:sz w:val="16"/>
          <w:szCs w:val="16"/>
          <w:rtl/>
        </w:rPr>
        <w:t>(יט.)</w:t>
      </w:r>
      <w:r w:rsidRPr="002F72EE">
        <w:rPr>
          <w:rFonts w:cs="Arial"/>
          <w:rtl/>
        </w:rPr>
        <w:t xml:space="preserve"> </w:t>
      </w:r>
      <w:r>
        <w:rPr>
          <w:rFonts w:cs="Arial" w:hint="cs"/>
          <w:rtl/>
        </w:rPr>
        <w:t>ו</w:t>
      </w:r>
      <w:r w:rsidRPr="002F72EE">
        <w:rPr>
          <w:rFonts w:cs="Arial"/>
          <w:rtl/>
        </w:rPr>
        <w:t xml:space="preserve">רא"ש </w:t>
      </w:r>
      <w:r w:rsidRPr="002F72EE">
        <w:rPr>
          <w:rFonts w:cs="Arial"/>
          <w:sz w:val="16"/>
          <w:szCs w:val="16"/>
          <w:rtl/>
        </w:rPr>
        <w:t>(סי' כב)</w:t>
      </w:r>
      <w:r>
        <w:rPr>
          <w:rFonts w:cs="Arial" w:hint="cs"/>
          <w:rtl/>
        </w:rPr>
        <w:t>-</w:t>
      </w:r>
      <w:r w:rsidRPr="002F72EE">
        <w:rPr>
          <w:rFonts w:cs="Arial"/>
          <w:rtl/>
        </w:rPr>
        <w:t xml:space="preserve"> לית להו פירי</w:t>
      </w:r>
      <w:r w:rsidRPr="002F72EE">
        <w:rPr>
          <w:rFonts w:cs="Arial" w:hint="cs"/>
          <w:rtl/>
        </w:rPr>
        <w:t>,</w:t>
      </w:r>
      <w:r w:rsidRPr="002F72EE">
        <w:rPr>
          <w:rFonts w:cs="Arial"/>
          <w:rtl/>
        </w:rPr>
        <w:t xml:space="preserve"> דכי תקינו רבנן פירות לבעל תחת פרקונה הוא דתקינו</w:t>
      </w:r>
      <w:r w:rsidRPr="002F72EE">
        <w:rPr>
          <w:rFonts w:cs="Arial" w:hint="cs"/>
          <w:rtl/>
        </w:rPr>
        <w:t>,</w:t>
      </w:r>
      <w:r w:rsidRPr="002F72EE">
        <w:rPr>
          <w:rFonts w:cs="Arial"/>
          <w:rtl/>
        </w:rPr>
        <w:t xml:space="preserve"> והני כיון דלא מחייבי בפרקונה לית להו פירי</w:t>
      </w:r>
      <w:r>
        <w:rPr>
          <w:rFonts w:cs="Arial" w:hint="cs"/>
          <w:sz w:val="16"/>
          <w:szCs w:val="16"/>
          <w:rtl/>
        </w:rPr>
        <w:t xml:space="preserve"> (ל' הרי"ף)</w:t>
      </w:r>
      <w:r w:rsidRPr="002F72EE">
        <w:rPr>
          <w:rFonts w:cs="Arial"/>
          <w:rtl/>
        </w:rPr>
        <w:t xml:space="preserve">. </w:t>
      </w:r>
    </w:p>
    <w:p w14:paraId="393BC171" w14:textId="77777777" w:rsidR="002E5BAD" w:rsidRPr="002F72EE" w:rsidRDefault="002E5BAD" w:rsidP="002E5BAD">
      <w:pPr>
        <w:ind w:left="360"/>
        <w:rPr>
          <w:u w:val="dotted"/>
        </w:rPr>
      </w:pPr>
      <w:r w:rsidRPr="002F72EE">
        <w:rPr>
          <w:rFonts w:hint="cs"/>
          <w:u w:val="dotted"/>
          <w:rtl/>
        </w:rPr>
        <w:t>ומה הדין ביבם:</w:t>
      </w:r>
    </w:p>
    <w:p w14:paraId="4478D3FC" w14:textId="77777777" w:rsidR="002E5BAD" w:rsidRPr="00120A70" w:rsidRDefault="002E5BAD" w:rsidP="002E5BAD">
      <w:pPr>
        <w:pStyle w:val="ab"/>
        <w:numPr>
          <w:ilvl w:val="0"/>
          <w:numId w:val="158"/>
        </w:numPr>
        <w:rPr>
          <w:rtl/>
        </w:rPr>
      </w:pPr>
      <w:r w:rsidRPr="002F72EE">
        <w:rPr>
          <w:rFonts w:cs="Arial"/>
          <w:rtl/>
        </w:rPr>
        <w:t xml:space="preserve">רא"ש </w:t>
      </w:r>
      <w:r w:rsidRPr="002F72EE">
        <w:rPr>
          <w:rFonts w:cs="Arial"/>
          <w:sz w:val="16"/>
          <w:szCs w:val="16"/>
          <w:rtl/>
        </w:rPr>
        <w:t>(סי' כב)</w:t>
      </w:r>
      <w:r w:rsidRPr="002F72EE">
        <w:rPr>
          <w:rFonts w:cs="Arial" w:hint="cs"/>
          <w:rtl/>
        </w:rPr>
        <w:t>-</w:t>
      </w:r>
      <w:r w:rsidRPr="002F72EE">
        <w:rPr>
          <w:rFonts w:cs="Arial"/>
          <w:rtl/>
        </w:rPr>
        <w:t xml:space="preserve"> וכן יבם נמי לא אכיל פירי ואינו חייב בפרקונה</w:t>
      </w:r>
      <w:r w:rsidRPr="002F72EE">
        <w:rPr>
          <w:rFonts w:cs="Arial" w:hint="cs"/>
          <w:rtl/>
        </w:rPr>
        <w:t>,</w:t>
      </w:r>
      <w:r w:rsidRPr="002F72EE">
        <w:rPr>
          <w:rFonts w:cs="Arial"/>
          <w:rtl/>
        </w:rPr>
        <w:t xml:space="preserve"> ואית ספרים דגרסי שאין היבמים חייבים לפדותה</w:t>
      </w:r>
      <w:r w:rsidRPr="002F72EE">
        <w:rPr>
          <w:rFonts w:cs="Arial" w:hint="cs"/>
          <w:rtl/>
        </w:rPr>
        <w:t>,</w:t>
      </w:r>
      <w:r w:rsidRPr="002F72EE">
        <w:rPr>
          <w:rFonts w:cs="Arial"/>
          <w:rtl/>
        </w:rPr>
        <w:t xml:space="preserve"> וכן גורס הרי"ף</w:t>
      </w:r>
      <w:r w:rsidRPr="002F72EE">
        <w:rPr>
          <w:rFonts w:cs="Arial" w:hint="cs"/>
          <w:rtl/>
        </w:rPr>
        <w:t>.</w:t>
      </w:r>
      <w:r w:rsidRPr="002F72EE">
        <w:rPr>
          <w:rFonts w:cs="Arial"/>
          <w:rtl/>
        </w:rPr>
        <w:t xml:space="preserve"> והא דיבם לא אכיל פירות היינו בנכסים שנפלו לה כשהיא שומרת יבם</w:t>
      </w:r>
      <w:r w:rsidRPr="002F72EE">
        <w:rPr>
          <w:rFonts w:cs="Arial" w:hint="cs"/>
          <w:rtl/>
        </w:rPr>
        <w:t>,</w:t>
      </w:r>
      <w:r w:rsidRPr="002F72EE">
        <w:rPr>
          <w:rFonts w:cs="Arial"/>
          <w:rtl/>
        </w:rPr>
        <w:t xml:space="preserve"> אבל נכסים</w:t>
      </w:r>
      <w:r w:rsidRPr="002F72EE">
        <w:rPr>
          <w:rFonts w:cs="Arial" w:hint="cs"/>
          <w:rtl/>
        </w:rPr>
        <w:t xml:space="preserve"> </w:t>
      </w:r>
      <w:r w:rsidRPr="002F72EE">
        <w:rPr>
          <w:rFonts w:cs="Arial"/>
          <w:rtl/>
        </w:rPr>
        <w:t xml:space="preserve">שנפלו לה כשהיא תחתיו דבעל </w:t>
      </w:r>
      <w:r w:rsidRPr="002F72EE">
        <w:rPr>
          <w:rFonts w:cs="Arial" w:hint="cs"/>
          <w:rtl/>
        </w:rPr>
        <w:t xml:space="preserve">- </w:t>
      </w:r>
      <w:r w:rsidRPr="002F72EE">
        <w:rPr>
          <w:rFonts w:cs="Arial"/>
          <w:rtl/>
        </w:rPr>
        <w:t>אכיל יבם פירי לרבא דאמר בר</w:t>
      </w:r>
      <w:r w:rsidRPr="002F72EE">
        <w:rPr>
          <w:rFonts w:cs="Arial" w:hint="cs"/>
          <w:rtl/>
        </w:rPr>
        <w:t>"</w:t>
      </w:r>
      <w:r w:rsidRPr="002F72EE">
        <w:rPr>
          <w:rFonts w:cs="Arial"/>
          <w:rtl/>
        </w:rPr>
        <w:t>פ הכותב (פג.) דידו עדיפא מידה כדמוכח בפרק החולץ (יבמות לט.)</w:t>
      </w:r>
      <w:r w:rsidRPr="002F72EE">
        <w:rPr>
          <w:rFonts w:cs="Arial" w:hint="cs"/>
          <w:rtl/>
        </w:rPr>
        <w:t>,</w:t>
      </w:r>
      <w:r w:rsidRPr="002F72EE">
        <w:rPr>
          <w:rFonts w:cs="Arial"/>
          <w:rtl/>
        </w:rPr>
        <w:t xml:space="preserve"> ומיהו לא מחייב בפרקונה כל זמן שלא כנסה דלא קרינא ביה ואותבינך לי לאנתו</w:t>
      </w:r>
      <w:r>
        <w:rPr>
          <w:rStyle w:val="a7"/>
          <w:rFonts w:cs="Arial"/>
          <w:rtl/>
        </w:rPr>
        <w:footnoteReference w:id="1385"/>
      </w:r>
      <w:r>
        <w:rPr>
          <w:rFonts w:hint="cs"/>
          <w:rtl/>
        </w:rPr>
        <w:t xml:space="preserve">. (וכ"כ ח"מ </w:t>
      </w:r>
      <w:r>
        <w:rPr>
          <w:rFonts w:hint="cs"/>
          <w:sz w:val="16"/>
          <w:szCs w:val="16"/>
          <w:rtl/>
        </w:rPr>
        <w:t xml:space="preserve">[סקי"ב] </w:t>
      </w:r>
      <w:r>
        <w:rPr>
          <w:rFonts w:hint="cs"/>
          <w:rtl/>
        </w:rPr>
        <w:t>וב"ש</w:t>
      </w:r>
      <w:r>
        <w:rPr>
          <w:rFonts w:hint="cs"/>
          <w:sz w:val="16"/>
          <w:szCs w:val="16"/>
          <w:rtl/>
        </w:rPr>
        <w:t xml:space="preserve"> [סקי"א]</w:t>
      </w:r>
      <w:r>
        <w:rPr>
          <w:rFonts w:hint="cs"/>
          <w:rtl/>
        </w:rPr>
        <w:t>)</w:t>
      </w:r>
    </w:p>
    <w:p w14:paraId="6A69436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34BFD51" w14:textId="77777777" w:rsidR="002E5BAD" w:rsidRPr="000D2069" w:rsidRDefault="002E5BAD" w:rsidP="002E5BAD">
      <w:pPr>
        <w:rPr>
          <w:rtl/>
        </w:rPr>
        <w:sectPr w:rsidR="002E5BAD" w:rsidRPr="000D2069" w:rsidSect="00A347B3">
          <w:headerReference w:type="default" r:id="rId34"/>
          <w:footnotePr>
            <w:numRestart w:val="eachPage"/>
          </w:footnotePr>
          <w:pgSz w:w="11906" w:h="16838"/>
          <w:pgMar w:top="720" w:right="1134" w:bottom="720" w:left="1134" w:header="0" w:footer="0" w:gutter="0"/>
          <w:cols w:space="720"/>
          <w:bidi/>
          <w:rtlGutter/>
          <w:docGrid w:linePitch="360"/>
        </w:sectPr>
      </w:pPr>
      <w:r>
        <w:rPr>
          <w:rFonts w:cs="Arial"/>
          <w:rtl/>
        </w:rPr>
        <w:t>אין חיוב פדיונה עליו אלא בחייו, אבל אלמנותו אינה נפדית מנכסיו</w:t>
      </w:r>
      <w:r>
        <w:rPr>
          <w:rFonts w:cs="Arial" w:hint="cs"/>
          <w:rtl/>
        </w:rPr>
        <w:t>,</w:t>
      </w:r>
      <w:r>
        <w:rPr>
          <w:rFonts w:cs="Arial"/>
          <w:rtl/>
        </w:rPr>
        <w:t xml:space="preserve"> אפילו נשבית בחייו ולא הספיק לפדותה עד שמת, אין היורשים חייבין לפדותה</w:t>
      </w:r>
      <w:r>
        <w:rPr>
          <w:rStyle w:val="a7"/>
          <w:rFonts w:cs="Arial"/>
          <w:rtl/>
        </w:rPr>
        <w:footnoteReference w:id="1386"/>
      </w:r>
      <w:r>
        <w:rPr>
          <w:rFonts w:cs="Arial"/>
          <w:rtl/>
        </w:rPr>
        <w:t>, ואפילו היא זקוקה ליבם, אלא נפדית משל עצמה או תטול כתובתה ותפדה את עצמה.</w:t>
      </w:r>
    </w:p>
    <w:p w14:paraId="7541F506" w14:textId="77777777" w:rsidR="002E5BAD" w:rsidRDefault="002E5BAD" w:rsidP="002E5BAD">
      <w:pPr>
        <w:pStyle w:val="1"/>
        <w:rPr>
          <w:rtl/>
        </w:rPr>
      </w:pPr>
      <w:r>
        <w:rPr>
          <w:rFonts w:hint="cs"/>
          <w:rtl/>
        </w:rPr>
        <w:lastRenderedPageBreak/>
        <w:t>סימן עט:</w:t>
      </w:r>
      <w:r w:rsidRPr="00C12B74">
        <w:rPr>
          <w:rtl/>
        </w:rPr>
        <w:t xml:space="preserve"> </w:t>
      </w:r>
      <w:r>
        <w:rPr>
          <w:rFonts w:cs="Arial"/>
          <w:rtl/>
        </w:rPr>
        <w:t xml:space="preserve">חיוב רפואתה, ובו ג' סעיפים. </w:t>
      </w:r>
    </w:p>
    <w:p w14:paraId="7E61D6E5" w14:textId="77777777" w:rsidR="002E5BAD" w:rsidRDefault="002E5BAD" w:rsidP="002E5BAD">
      <w:pPr>
        <w:pStyle w:val="2"/>
        <w:rPr>
          <w:rtl/>
        </w:rPr>
      </w:pPr>
      <w:r>
        <w:rPr>
          <w:rtl/>
        </w:rPr>
        <w:t>סעיף א</w:t>
      </w:r>
      <w:r>
        <w:rPr>
          <w:rFonts w:hint="cs"/>
          <w:rtl/>
        </w:rPr>
        <w:t>: חיוב רפואתה.</w:t>
      </w:r>
    </w:p>
    <w:p w14:paraId="0A7E08CE"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AF4F10">
        <w:rPr>
          <w:rtl/>
        </w:rPr>
        <w:t xml:space="preserve"> </w:t>
      </w:r>
      <w:r w:rsidRPr="00AF4F10">
        <w:rPr>
          <w:rFonts w:cs="Arial"/>
          <w:rtl/>
        </w:rPr>
        <w:t>לקתה - חייב לרפאותה</w:t>
      </w:r>
      <w:r>
        <w:rPr>
          <w:rFonts w:cs="Arial" w:hint="cs"/>
          <w:rtl/>
        </w:rPr>
        <w:t>..</w:t>
      </w:r>
      <w:r w:rsidRPr="00AF4F10">
        <w:rPr>
          <w:rFonts w:cs="Arial"/>
          <w:rtl/>
        </w:rPr>
        <w:t>.</w:t>
      </w:r>
      <w:r w:rsidRPr="00AF4F10">
        <w:rPr>
          <w:rtl/>
        </w:rPr>
        <w:t xml:space="preserve"> </w:t>
      </w:r>
      <w:r>
        <w:rPr>
          <w:rFonts w:cs="Arial" w:hint="cs"/>
          <w:rtl/>
        </w:rPr>
        <w:t xml:space="preserve">     </w:t>
      </w:r>
      <w:r w:rsidRPr="00AF4F10">
        <w:rPr>
          <w:rFonts w:cs="Arial" w:hint="cs"/>
          <w:u w:val="double"/>
          <w:rtl/>
        </w:rPr>
        <w:t>גמ'</w:t>
      </w:r>
      <w:r w:rsidRPr="00AF4F10">
        <w:rPr>
          <w:rFonts w:cs="Arial" w:hint="cs"/>
          <w:sz w:val="14"/>
          <w:szCs w:val="14"/>
          <w:u w:val="double"/>
          <w:rtl/>
        </w:rPr>
        <w:t>(נב:)</w:t>
      </w:r>
      <w:r w:rsidRPr="00AF4F10">
        <w:rPr>
          <w:rFonts w:cs="Arial" w:hint="cs"/>
          <w:u w:val="double"/>
          <w:rtl/>
        </w:rPr>
        <w:t>:</w:t>
      </w:r>
      <w:r>
        <w:rPr>
          <w:rFonts w:cs="Arial" w:hint="cs"/>
          <w:rtl/>
        </w:rPr>
        <w:t xml:space="preserve"> </w:t>
      </w:r>
      <w:r w:rsidRPr="00AF4F10">
        <w:rPr>
          <w:rFonts w:cs="Arial"/>
          <w:rtl/>
        </w:rPr>
        <w:t>לקתה - חייב לרפאותה. תנו רבנן: אלמנה ניזונת מנכסי יתומין, וצריכה רפואה - הרי היא כמזונות</w:t>
      </w:r>
      <w:r>
        <w:rPr>
          <w:rStyle w:val="a7"/>
          <w:rFonts w:cs="Arial"/>
          <w:rtl/>
        </w:rPr>
        <w:footnoteReference w:id="1387"/>
      </w:r>
      <w:r>
        <w:rPr>
          <w:rFonts w:cs="Arial" w:hint="cs"/>
          <w:rtl/>
        </w:rPr>
        <w:t>.</w:t>
      </w:r>
      <w:r w:rsidRPr="00AF4F10">
        <w:rPr>
          <w:rFonts w:cs="Arial"/>
          <w:rtl/>
        </w:rPr>
        <w:t xml:space="preserve"> </w:t>
      </w:r>
      <w:r w:rsidRPr="00FB5C17">
        <w:rPr>
          <w:rFonts w:cs="Arial"/>
          <w:u w:val="single"/>
          <w:rtl/>
        </w:rPr>
        <w:t>רבן שמעון בן גמליאל אומר</w:t>
      </w:r>
      <w:r w:rsidRPr="00AF4F10">
        <w:rPr>
          <w:rFonts w:cs="Arial"/>
          <w:rtl/>
        </w:rPr>
        <w:t>: רפואה שיש לה קצבה - נתרפאת מכתובתה</w:t>
      </w:r>
      <w:r>
        <w:rPr>
          <w:rStyle w:val="a7"/>
          <w:rFonts w:cs="Arial"/>
          <w:rtl/>
        </w:rPr>
        <w:footnoteReference w:id="1388"/>
      </w:r>
      <w:r w:rsidRPr="00AF4F10">
        <w:rPr>
          <w:rFonts w:cs="Arial"/>
          <w:rtl/>
        </w:rPr>
        <w:t>, שאין לה קצבה - הרי היא כמזונות. אמר רבי יוחנן: עשו הקזת דם בארץ ישראל כרפואה שאין לה קצבה. קריביה דרבי יוחנן הוה להו איתת אבא דהות צריכה רפואה כל יומא, אתו לקמיה דר' יוחנן, אמר להו: איזילו קוצו ליה מידי לרופא</w:t>
      </w:r>
      <w:r>
        <w:rPr>
          <w:rStyle w:val="a7"/>
          <w:rFonts w:cs="Arial"/>
          <w:rtl/>
        </w:rPr>
        <w:footnoteReference w:id="1389"/>
      </w:r>
      <w:r w:rsidRPr="00AF4F10">
        <w:rPr>
          <w:rFonts w:cs="Arial"/>
          <w:rtl/>
        </w:rPr>
        <w:t>. אמר רבי יוחנן: עשינו עצמינו כעורכי הדיינין</w:t>
      </w:r>
      <w:r>
        <w:rPr>
          <w:rStyle w:val="a7"/>
          <w:rFonts w:cs="Arial"/>
          <w:rtl/>
        </w:rPr>
        <w:footnoteReference w:id="1390"/>
      </w:r>
      <w:r w:rsidRPr="00AF4F10">
        <w:rPr>
          <w:rFonts w:cs="Arial"/>
          <w:rtl/>
        </w:rPr>
        <w:t>. מעיקרא מאי סבר, ולבסוף מאי סבר? מעיקרא סבר: ומבשרך לא תתעלם, ולבסוף סבר: אדם חשוב שאני.</w:t>
      </w:r>
      <w:r w:rsidRPr="00F81064">
        <w:rPr>
          <w:rFonts w:cs="Arial" w:hint="cs"/>
          <w:sz w:val="16"/>
          <w:szCs w:val="16"/>
          <w:rtl/>
        </w:rPr>
        <w:t xml:space="preserve"> (</w:t>
      </w:r>
      <w:r w:rsidRPr="00F81064">
        <w:rPr>
          <w:rFonts w:cs="Arial"/>
          <w:sz w:val="16"/>
          <w:szCs w:val="16"/>
          <w:rtl/>
        </w:rPr>
        <w:t>וכתב הרא"ש (סי' כג) עשו הקזת דם בארץ ישראל וכו' לפי שבארץ ישראל היו רגילים להקיז דם תדיר ואין להם קצבה הוא כמזונות אבל רפואה שיש לה קצבה דמיא לפרקונה דאתו בבת אחת וכי היכי דאין היורשין חייבין בפרקונה הכי נמי לא מחייבי בה ופסקו הפוסקים הלכה כרשב"ג. וכתב הר"ן (יט. ד"ה גמ' רוצה) דטעמא משום דרבי יוחנן קאי כוותיה</w:t>
      </w:r>
      <w:r>
        <w:rPr>
          <w:rFonts w:cs="Arial" w:hint="cs"/>
          <w:sz w:val="16"/>
          <w:szCs w:val="16"/>
          <w:rtl/>
        </w:rPr>
        <w:t>, ב"י)</w:t>
      </w:r>
    </w:p>
    <w:p w14:paraId="202472D2" w14:textId="77777777" w:rsidR="002E5BAD" w:rsidRDefault="002E5BAD" w:rsidP="002E5BAD">
      <w:pPr>
        <w:rPr>
          <w:rtl/>
        </w:rPr>
      </w:pPr>
      <w:r w:rsidRPr="003319C5">
        <w:rPr>
          <w:rFonts w:cs="Arial"/>
          <w:b/>
          <w:bCs/>
          <w:rtl/>
        </w:rPr>
        <w:t>ירושלמי בבא בתרא פ</w:t>
      </w:r>
      <w:r w:rsidRPr="003319C5">
        <w:rPr>
          <w:rFonts w:cs="Arial" w:hint="cs"/>
          <w:b/>
          <w:bCs/>
          <w:rtl/>
        </w:rPr>
        <w:t xml:space="preserve">"ט ה"ד: </w:t>
      </w:r>
      <w:r w:rsidRPr="003319C5">
        <w:rPr>
          <w:rFonts w:cs="Arial"/>
          <w:rtl/>
        </w:rPr>
        <w:t>תני</w:t>
      </w:r>
      <w:r>
        <w:rPr>
          <w:rFonts w:cs="Arial" w:hint="cs"/>
          <w:rtl/>
        </w:rPr>
        <w:t>,</w:t>
      </w:r>
      <w:r w:rsidRPr="003319C5">
        <w:rPr>
          <w:rFonts w:cs="Arial"/>
          <w:rtl/>
        </w:rPr>
        <w:t xml:space="preserve"> </w:t>
      </w:r>
      <w:r w:rsidRPr="003319C5">
        <w:rPr>
          <w:rFonts w:cs="Arial"/>
          <w:u w:val="single"/>
          <w:rtl/>
        </w:rPr>
        <w:t>רשב"ג אומר</w:t>
      </w:r>
      <w:r>
        <w:rPr>
          <w:rFonts w:cs="Arial" w:hint="cs"/>
          <w:rtl/>
        </w:rPr>
        <w:t>:</w:t>
      </w:r>
      <w:r w:rsidRPr="003319C5">
        <w:rPr>
          <w:rFonts w:cs="Arial"/>
          <w:rtl/>
        </w:rPr>
        <w:t xml:space="preserve"> כל מכה שיש לה קיצה</w:t>
      </w:r>
      <w:r>
        <w:rPr>
          <w:rStyle w:val="a7"/>
          <w:rFonts w:cs="Arial"/>
          <w:rtl/>
        </w:rPr>
        <w:footnoteReference w:id="1391"/>
      </w:r>
      <w:r w:rsidRPr="003319C5">
        <w:rPr>
          <w:rFonts w:cs="Arial"/>
          <w:rtl/>
        </w:rPr>
        <w:t xml:space="preserve"> </w:t>
      </w:r>
      <w:r>
        <w:rPr>
          <w:rFonts w:cs="Arial" w:hint="cs"/>
          <w:rtl/>
        </w:rPr>
        <w:t xml:space="preserve">- </w:t>
      </w:r>
      <w:r w:rsidRPr="003319C5">
        <w:rPr>
          <w:rFonts w:cs="Arial"/>
          <w:rtl/>
        </w:rPr>
        <w:t>מתרפא מכתובתה</w:t>
      </w:r>
      <w:r>
        <w:rPr>
          <w:rFonts w:cs="Arial" w:hint="cs"/>
          <w:rtl/>
        </w:rPr>
        <w:t>.</w:t>
      </w:r>
      <w:r w:rsidRPr="003319C5">
        <w:rPr>
          <w:rFonts w:cs="Arial"/>
          <w:rtl/>
        </w:rPr>
        <w:t xml:space="preserve"> שאין לה קיצה </w:t>
      </w:r>
      <w:r>
        <w:rPr>
          <w:rFonts w:cs="Arial" w:hint="cs"/>
          <w:rtl/>
        </w:rPr>
        <w:t xml:space="preserve">- </w:t>
      </w:r>
      <w:r w:rsidRPr="003319C5">
        <w:rPr>
          <w:rFonts w:cs="Arial"/>
          <w:rtl/>
        </w:rPr>
        <w:t>מתרפא מן הנכסים. כהדא קריבתיה דר' שמעון בר ווא</w:t>
      </w:r>
      <w:r>
        <w:rPr>
          <w:rFonts w:cs="Arial" w:hint="cs"/>
          <w:rtl/>
        </w:rPr>
        <w:t>,</w:t>
      </w:r>
      <w:r w:rsidRPr="003319C5">
        <w:rPr>
          <w:rFonts w:cs="Arial"/>
          <w:rtl/>
        </w:rPr>
        <w:t xml:space="preserve"> הוות חששה עיינה</w:t>
      </w:r>
      <w:r>
        <w:rPr>
          <w:rStyle w:val="a7"/>
          <w:rFonts w:cs="Arial"/>
          <w:rtl/>
        </w:rPr>
        <w:footnoteReference w:id="1392"/>
      </w:r>
      <w:r>
        <w:rPr>
          <w:rFonts w:cs="Arial" w:hint="cs"/>
          <w:rtl/>
        </w:rPr>
        <w:t>,</w:t>
      </w:r>
      <w:r w:rsidRPr="003319C5">
        <w:rPr>
          <w:rFonts w:cs="Arial"/>
          <w:rtl/>
        </w:rPr>
        <w:t xml:space="preserve"> אתת גבי ר' יוחנן</w:t>
      </w:r>
      <w:r>
        <w:rPr>
          <w:rFonts w:cs="Arial" w:hint="cs"/>
          <w:rtl/>
        </w:rPr>
        <w:t>,</w:t>
      </w:r>
      <w:r w:rsidRPr="003319C5">
        <w:rPr>
          <w:rFonts w:cs="Arial"/>
          <w:rtl/>
        </w:rPr>
        <w:t xml:space="preserve"> </w:t>
      </w:r>
      <w:r w:rsidRPr="003319C5">
        <w:rPr>
          <w:rFonts w:cs="Arial"/>
          <w:u w:val="single"/>
          <w:rtl/>
        </w:rPr>
        <w:t>אמר לה</w:t>
      </w:r>
      <w:r>
        <w:rPr>
          <w:rFonts w:cs="Arial" w:hint="cs"/>
          <w:rtl/>
        </w:rPr>
        <w:t>:</w:t>
      </w:r>
      <w:r w:rsidRPr="003319C5">
        <w:rPr>
          <w:rFonts w:cs="Arial"/>
          <w:rtl/>
        </w:rPr>
        <w:t xml:space="preserve"> קציץ הוא אהין אסייך</w:t>
      </w:r>
      <w:r>
        <w:rPr>
          <w:rFonts w:cs="Arial" w:hint="cs"/>
          <w:rtl/>
        </w:rPr>
        <w:t>,</w:t>
      </w:r>
      <w:r w:rsidRPr="003319C5">
        <w:rPr>
          <w:rFonts w:cs="Arial"/>
          <w:rtl/>
        </w:rPr>
        <w:t xml:space="preserve"> אין קציץ</w:t>
      </w:r>
      <w:r>
        <w:rPr>
          <w:rStyle w:val="a7"/>
          <w:rFonts w:cs="Arial"/>
          <w:rtl/>
        </w:rPr>
        <w:footnoteReference w:id="1393"/>
      </w:r>
      <w:r w:rsidRPr="003319C5">
        <w:rPr>
          <w:rFonts w:cs="Arial"/>
          <w:rtl/>
        </w:rPr>
        <w:t xml:space="preserve"> </w:t>
      </w:r>
      <w:r>
        <w:rPr>
          <w:rFonts w:cs="Arial" w:hint="cs"/>
          <w:rtl/>
        </w:rPr>
        <w:t xml:space="preserve">- </w:t>
      </w:r>
      <w:r w:rsidRPr="003319C5">
        <w:rPr>
          <w:rFonts w:cs="Arial"/>
          <w:rtl/>
        </w:rPr>
        <w:t>מן פרניך</w:t>
      </w:r>
      <w:r>
        <w:rPr>
          <w:rStyle w:val="a7"/>
          <w:rFonts w:cs="Arial"/>
          <w:rtl/>
        </w:rPr>
        <w:footnoteReference w:id="1394"/>
      </w:r>
      <w:r w:rsidRPr="003319C5">
        <w:rPr>
          <w:rFonts w:cs="Arial"/>
          <w:rtl/>
        </w:rPr>
        <w:t xml:space="preserve">. אין לא קציץ </w:t>
      </w:r>
      <w:r>
        <w:rPr>
          <w:rFonts w:cs="Arial" w:hint="cs"/>
          <w:rtl/>
        </w:rPr>
        <w:t xml:space="preserve">- </w:t>
      </w:r>
      <w:r w:rsidRPr="003319C5">
        <w:rPr>
          <w:rFonts w:cs="Arial"/>
          <w:rtl/>
        </w:rPr>
        <w:t>בעליך יהיב ליך.</w:t>
      </w:r>
    </w:p>
    <w:p w14:paraId="3155ADAB" w14:textId="77777777" w:rsidR="002E5BAD" w:rsidRPr="00AF4F10" w:rsidRDefault="002E5BAD" w:rsidP="002E5BAD">
      <w:pPr>
        <w:rPr>
          <w:u w:val="single"/>
          <w:rtl/>
        </w:rPr>
      </w:pPr>
      <w:r w:rsidRPr="00AF4F10">
        <w:rPr>
          <w:rFonts w:hint="cs"/>
          <w:u w:val="single"/>
          <w:rtl/>
        </w:rPr>
        <w:t>חיוב רפואתה</w:t>
      </w:r>
      <w:r>
        <w:rPr>
          <w:rFonts w:hint="cs"/>
          <w:u w:val="single"/>
          <w:rtl/>
        </w:rPr>
        <w:t xml:space="preserve"> -</w:t>
      </w:r>
      <w:r w:rsidRPr="00AF4F10">
        <w:rPr>
          <w:rFonts w:hint="cs"/>
          <w:u w:val="single"/>
          <w:rtl/>
        </w:rPr>
        <w:t xml:space="preserve"> כיצד:</w:t>
      </w:r>
    </w:p>
    <w:p w14:paraId="3EF4489F" w14:textId="77777777" w:rsidR="002E5BAD" w:rsidRPr="00AF4F10" w:rsidRDefault="002E5BAD" w:rsidP="002E5BAD">
      <w:pPr>
        <w:pStyle w:val="ab"/>
        <w:numPr>
          <w:ilvl w:val="0"/>
          <w:numId w:val="158"/>
        </w:numPr>
      </w:pPr>
      <w:r>
        <w:rPr>
          <w:rFonts w:cs="Arial" w:hint="cs"/>
          <w:rtl/>
        </w:rPr>
        <w:t xml:space="preserve">רמב"ם </w:t>
      </w:r>
      <w:r>
        <w:rPr>
          <w:rFonts w:cs="Arial" w:hint="cs"/>
          <w:sz w:val="16"/>
          <w:szCs w:val="16"/>
          <w:rtl/>
        </w:rPr>
        <w:t xml:space="preserve">(פי"ח ה"ה) </w:t>
      </w:r>
      <w:r>
        <w:rPr>
          <w:rFonts w:cs="Arial" w:hint="cs"/>
          <w:rtl/>
        </w:rPr>
        <w:t xml:space="preserve">רא"ש </w:t>
      </w:r>
      <w:r w:rsidRPr="00F81064">
        <w:rPr>
          <w:rFonts w:cs="Arial"/>
          <w:sz w:val="16"/>
          <w:szCs w:val="16"/>
          <w:rtl/>
        </w:rPr>
        <w:t xml:space="preserve">(סי' כג) </w:t>
      </w:r>
      <w:r w:rsidRPr="00C65959">
        <w:rPr>
          <w:rFonts w:cs="Arial" w:hint="cs"/>
          <w:rtl/>
        </w:rPr>
        <w:t>טור</w:t>
      </w:r>
      <w:r w:rsidRPr="00F81064">
        <w:rPr>
          <w:rFonts w:cs="Arial"/>
          <w:rtl/>
        </w:rPr>
        <w:t xml:space="preserve"> </w:t>
      </w:r>
      <w:r>
        <w:rPr>
          <w:rFonts w:cs="Arial" w:hint="cs"/>
          <w:rtl/>
        </w:rPr>
        <w:t>ו</w:t>
      </w:r>
      <w:r>
        <w:rPr>
          <w:rFonts w:cs="Arial"/>
          <w:rtl/>
        </w:rPr>
        <w:t xml:space="preserve">ר"ן </w:t>
      </w:r>
      <w:r w:rsidRPr="00F81064">
        <w:rPr>
          <w:rFonts w:cs="Arial"/>
          <w:sz w:val="16"/>
          <w:szCs w:val="16"/>
          <w:rtl/>
        </w:rPr>
        <w:t>(יט. ד"ה גמ' רוצה)</w:t>
      </w:r>
      <w:r w:rsidRPr="00C65959">
        <w:rPr>
          <w:rFonts w:cs="Arial" w:hint="cs"/>
          <w:rtl/>
        </w:rPr>
        <w:t xml:space="preserve">- </w:t>
      </w:r>
      <w:r w:rsidRPr="00C65959">
        <w:rPr>
          <w:rFonts w:cs="Arial"/>
          <w:rtl/>
        </w:rPr>
        <w:t>רפואתה כיצד</w:t>
      </w:r>
      <w:r>
        <w:rPr>
          <w:rFonts w:cs="Arial" w:hint="cs"/>
          <w:rtl/>
        </w:rPr>
        <w:t>,</w:t>
      </w:r>
      <w:r w:rsidRPr="00C65959">
        <w:rPr>
          <w:rFonts w:cs="Arial"/>
          <w:rtl/>
        </w:rPr>
        <w:t xml:space="preserve"> לקתה </w:t>
      </w:r>
      <w:r>
        <w:rPr>
          <w:rFonts w:cs="Arial" w:hint="cs"/>
          <w:rtl/>
        </w:rPr>
        <w:t xml:space="preserve">- </w:t>
      </w:r>
      <w:r w:rsidRPr="00C65959">
        <w:rPr>
          <w:rFonts w:cs="Arial"/>
          <w:rtl/>
        </w:rPr>
        <w:t>חייב לרפאותה</w:t>
      </w:r>
      <w:r>
        <w:rPr>
          <w:rFonts w:cs="Arial" w:hint="cs"/>
          <w:rtl/>
        </w:rPr>
        <w:t>,</w:t>
      </w:r>
      <w:r w:rsidRPr="00C65959">
        <w:rPr>
          <w:rFonts w:cs="Arial"/>
          <w:rtl/>
        </w:rPr>
        <w:t xml:space="preserve"> בין רפואה שיש לה קצבה בין רפואה שאין לה קצבה</w:t>
      </w:r>
      <w:r>
        <w:rPr>
          <w:rFonts w:cs="Arial" w:hint="cs"/>
          <w:rtl/>
        </w:rPr>
        <w:t>.</w:t>
      </w:r>
      <w:r w:rsidRPr="00C65959">
        <w:rPr>
          <w:rFonts w:cs="Arial"/>
          <w:rtl/>
        </w:rPr>
        <w:t xml:space="preserve"> </w:t>
      </w:r>
      <w:r w:rsidRPr="00AF4F10">
        <w:rPr>
          <w:rFonts w:cs="Arial"/>
          <w:rtl/>
        </w:rPr>
        <w:t>אבל אלמנתו אינה מתרפאת מנכסיו אלא ברפואה שאין לה קצבה</w:t>
      </w:r>
      <w:r w:rsidRPr="00AF4F10">
        <w:rPr>
          <w:rFonts w:cs="Arial" w:hint="cs"/>
          <w:rtl/>
        </w:rPr>
        <w:t>,</w:t>
      </w:r>
      <w:r w:rsidRPr="00AF4F10">
        <w:rPr>
          <w:rFonts w:cs="Arial"/>
          <w:rtl/>
        </w:rPr>
        <w:t xml:space="preserve"> שדומה למזונות</w:t>
      </w:r>
      <w:r w:rsidRPr="00AF4F10">
        <w:rPr>
          <w:rFonts w:cs="Arial" w:hint="cs"/>
          <w:rtl/>
        </w:rPr>
        <w:t>,</w:t>
      </w:r>
      <w:r w:rsidRPr="00AF4F10">
        <w:rPr>
          <w:rFonts w:cs="Arial"/>
          <w:rtl/>
        </w:rPr>
        <w:t xml:space="preserve"> אבל אם יש לה קצבה דומה לפדיונה ואין חייבין בה</w:t>
      </w:r>
      <w:r>
        <w:rPr>
          <w:rStyle w:val="a7"/>
          <w:rFonts w:cs="Arial"/>
          <w:rtl/>
        </w:rPr>
        <w:footnoteReference w:id="1395"/>
      </w:r>
      <w:r w:rsidRPr="00AF4F10">
        <w:rPr>
          <w:rFonts w:cs="Arial"/>
          <w:rtl/>
        </w:rPr>
        <w:t xml:space="preserve"> כמו שאין חייבין בפדיונה</w:t>
      </w:r>
      <w:r>
        <w:rPr>
          <w:rFonts w:cs="Arial" w:hint="cs"/>
          <w:sz w:val="16"/>
          <w:szCs w:val="16"/>
          <w:rtl/>
        </w:rPr>
        <w:t xml:space="preserve"> (ל' הטור)</w:t>
      </w:r>
      <w:r w:rsidRPr="00AF4F10">
        <w:rPr>
          <w:rFonts w:cs="Arial" w:hint="cs"/>
          <w:rtl/>
        </w:rPr>
        <w:t>.</w:t>
      </w:r>
      <w:r w:rsidRPr="00AF4F10">
        <w:rPr>
          <w:rFonts w:cs="Arial"/>
          <w:rtl/>
        </w:rPr>
        <w:t xml:space="preserve"> </w:t>
      </w:r>
      <w:r w:rsidRPr="00EC5ABC">
        <w:rPr>
          <w:rFonts w:hint="cs"/>
          <w:color w:val="E36C0A" w:themeColor="accent6" w:themeShade="BF"/>
          <w:rtl/>
        </w:rPr>
        <w:t>(וכ"פ בשו"ע)</w:t>
      </w:r>
    </w:p>
    <w:p w14:paraId="3C92CAE3" w14:textId="77777777" w:rsidR="002E5BAD" w:rsidRPr="00F81064" w:rsidRDefault="002E5BAD" w:rsidP="002E5BAD">
      <w:pPr>
        <w:pStyle w:val="ab"/>
        <w:numPr>
          <w:ilvl w:val="0"/>
          <w:numId w:val="158"/>
        </w:numPr>
        <w:rPr>
          <w:rtl/>
        </w:rPr>
      </w:pPr>
      <w:r w:rsidRPr="00C65959">
        <w:rPr>
          <w:rFonts w:cs="Arial"/>
          <w:rtl/>
        </w:rPr>
        <w:t>בהעי</w:t>
      </w:r>
      <w:r>
        <w:rPr>
          <w:rFonts w:cs="Arial" w:hint="cs"/>
          <w:rtl/>
        </w:rPr>
        <w:t>"</w:t>
      </w:r>
      <w:r w:rsidRPr="00C65959">
        <w:rPr>
          <w:rFonts w:cs="Arial"/>
          <w:rtl/>
        </w:rPr>
        <w:t>ט</w:t>
      </w:r>
      <w:r>
        <w:rPr>
          <w:rFonts w:cs="Arial" w:hint="cs"/>
          <w:rtl/>
        </w:rPr>
        <w:t xml:space="preserve"> </w:t>
      </w:r>
      <w:r w:rsidRPr="00F81064">
        <w:rPr>
          <w:rFonts w:cs="Arial"/>
          <w:sz w:val="16"/>
          <w:szCs w:val="16"/>
          <w:rtl/>
        </w:rPr>
        <w:t>(אות כ כתובות לז ע"ב ח"א)</w:t>
      </w:r>
      <w:r>
        <w:rPr>
          <w:rFonts w:cs="Arial" w:hint="cs"/>
          <w:rtl/>
        </w:rPr>
        <w:t xml:space="preserve">- </w:t>
      </w:r>
      <w:r w:rsidRPr="003319C5">
        <w:rPr>
          <w:rFonts w:cs="Arial"/>
          <w:rtl/>
        </w:rPr>
        <w:t>רשב"ג אמר רפואה שיש לה קצבה נתרפאת מכתובתה ושאין לה קצבה הרי כמזונות. והילכתא כותיה</w:t>
      </w:r>
      <w:r>
        <w:rPr>
          <w:rFonts w:cs="Arial" w:hint="cs"/>
          <w:rtl/>
        </w:rPr>
        <w:t>,</w:t>
      </w:r>
      <w:r w:rsidRPr="003319C5">
        <w:rPr>
          <w:rFonts w:cs="Arial"/>
          <w:rtl/>
        </w:rPr>
        <w:t xml:space="preserve"> ו</w:t>
      </w:r>
      <w:r>
        <w:rPr>
          <w:rFonts w:cs="Arial" w:hint="cs"/>
          <w:rtl/>
        </w:rPr>
        <w:t>מ</w:t>
      </w:r>
      <w:r w:rsidRPr="00293DC3">
        <w:rPr>
          <w:rFonts w:cs="Arial"/>
          <w:rtl/>
        </w:rPr>
        <w:t>סתברא הוא הדין בחיי בעלה מדגרסי' בירושלמי בפרק מי שמת קריבתיה דר' שמי בר אבא חששה עיניה</w:t>
      </w:r>
      <w:r>
        <w:rPr>
          <w:rFonts w:cs="Arial" w:hint="cs"/>
          <w:rtl/>
        </w:rPr>
        <w:t xml:space="preserve"> וכו'.</w:t>
      </w:r>
      <w:r w:rsidRPr="00C65959">
        <w:rPr>
          <w:rFonts w:cs="Arial"/>
          <w:rtl/>
        </w:rPr>
        <w:t xml:space="preserve"> </w:t>
      </w:r>
    </w:p>
    <w:p w14:paraId="667E391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361CE6D" w14:textId="77777777" w:rsidR="002E5BAD" w:rsidRDefault="002E5BAD" w:rsidP="002E5BAD">
      <w:pPr>
        <w:rPr>
          <w:rtl/>
        </w:rPr>
      </w:pPr>
      <w:r>
        <w:rPr>
          <w:rFonts w:cs="Arial"/>
          <w:rtl/>
        </w:rPr>
        <w:t>רפואתה כיצד, לקתה, חייב לרפאותה</w:t>
      </w:r>
      <w:r>
        <w:rPr>
          <w:rStyle w:val="a7"/>
          <w:rFonts w:cs="Arial"/>
          <w:rtl/>
        </w:rPr>
        <w:footnoteReference w:id="1396"/>
      </w:r>
      <w:r>
        <w:rPr>
          <w:rFonts w:cs="Arial"/>
          <w:rtl/>
        </w:rPr>
        <w:t>, בין רפואה שיש לה קצבה</w:t>
      </w:r>
      <w:r>
        <w:rPr>
          <w:rStyle w:val="a7"/>
          <w:rFonts w:cs="Arial"/>
          <w:rtl/>
        </w:rPr>
        <w:footnoteReference w:id="1397"/>
      </w:r>
      <w:r>
        <w:rPr>
          <w:rFonts w:cs="Arial"/>
          <w:rtl/>
        </w:rPr>
        <w:t xml:space="preserve"> בין רפואה שאין לה קצבה</w:t>
      </w:r>
      <w:r>
        <w:rPr>
          <w:rFonts w:cs="Arial" w:hint="cs"/>
          <w:rtl/>
        </w:rPr>
        <w:t>.</w:t>
      </w:r>
      <w:r>
        <w:rPr>
          <w:rFonts w:cs="Arial"/>
          <w:rtl/>
        </w:rPr>
        <w:t xml:space="preserve"> אבל אלמנתו אינה מתרפאת מנכסיו, אלא ברפואה שאין לה קצבה</w:t>
      </w:r>
      <w:r>
        <w:rPr>
          <w:rStyle w:val="a7"/>
          <w:rFonts w:cs="Arial"/>
          <w:rtl/>
        </w:rPr>
        <w:footnoteReference w:id="1398"/>
      </w:r>
      <w:r>
        <w:rPr>
          <w:rFonts w:cs="Arial"/>
          <w:rtl/>
        </w:rPr>
        <w:t>, שהיא דומה למזונות</w:t>
      </w:r>
      <w:r>
        <w:rPr>
          <w:rStyle w:val="a7"/>
          <w:rFonts w:cs="Arial"/>
          <w:rtl/>
        </w:rPr>
        <w:footnoteReference w:id="1399"/>
      </w:r>
      <w:r>
        <w:rPr>
          <w:rFonts w:cs="Arial"/>
          <w:rtl/>
        </w:rPr>
        <w:t xml:space="preserve">. </w:t>
      </w:r>
    </w:p>
    <w:p w14:paraId="2A38EA9D" w14:textId="77777777" w:rsidR="002E5BAD" w:rsidRPr="00F81064" w:rsidRDefault="002E5BAD" w:rsidP="002E5BAD">
      <w:pPr>
        <w:rPr>
          <w:u w:val="single"/>
          <w:rtl/>
        </w:rPr>
      </w:pPr>
      <w:r w:rsidRPr="00F81064">
        <w:rPr>
          <w:rFonts w:hint="cs"/>
          <w:u w:val="single"/>
          <w:rtl/>
        </w:rPr>
        <w:lastRenderedPageBreak/>
        <w:t xml:space="preserve">אשה שחלתה מחמת פשיעתה: </w:t>
      </w:r>
    </w:p>
    <w:p w14:paraId="648D59A8" w14:textId="77777777" w:rsidR="002E5BAD" w:rsidRPr="00F71203" w:rsidRDefault="002E5BAD" w:rsidP="002E5BAD">
      <w:pPr>
        <w:pStyle w:val="ab"/>
        <w:numPr>
          <w:ilvl w:val="0"/>
          <w:numId w:val="165"/>
        </w:numPr>
      </w:pPr>
      <w:r>
        <w:rPr>
          <w:rFonts w:hint="cs"/>
          <w:rtl/>
        </w:rPr>
        <w:t xml:space="preserve">ריטב"א </w:t>
      </w:r>
      <w:r w:rsidRPr="00F71203">
        <w:rPr>
          <w:rFonts w:hint="cs"/>
          <w:sz w:val="16"/>
          <w:szCs w:val="16"/>
          <w:rtl/>
        </w:rPr>
        <w:t>(כתובות נא. ד"ה לקתה</w:t>
      </w:r>
      <w:r>
        <w:rPr>
          <w:rFonts w:hint="cs"/>
          <w:sz w:val="16"/>
          <w:szCs w:val="16"/>
          <w:rtl/>
        </w:rPr>
        <w:t>, וכ"כ בשטמ"ק, הביאו הפת"ש בסי' עח סק"א</w:t>
      </w:r>
      <w:r w:rsidRPr="00F71203">
        <w:rPr>
          <w:rFonts w:hint="cs"/>
          <w:sz w:val="16"/>
          <w:szCs w:val="16"/>
          <w:rtl/>
        </w:rPr>
        <w:t>)</w:t>
      </w:r>
      <w:r>
        <w:rPr>
          <w:rFonts w:hint="cs"/>
          <w:sz w:val="16"/>
          <w:szCs w:val="16"/>
          <w:rtl/>
        </w:rPr>
        <w:t xml:space="preserve"> </w:t>
      </w:r>
      <w:r>
        <w:rPr>
          <w:rFonts w:cs="Arial" w:hint="cs"/>
          <w:rtl/>
        </w:rPr>
        <w:t xml:space="preserve">וראש פינה </w:t>
      </w:r>
      <w:r>
        <w:rPr>
          <w:rFonts w:cs="Arial" w:hint="cs"/>
          <w:sz w:val="16"/>
          <w:szCs w:val="16"/>
          <w:rtl/>
        </w:rPr>
        <w:t>(על השו"ע בסי' עח סע' א)</w:t>
      </w:r>
      <w:r>
        <w:rPr>
          <w:rFonts w:hint="cs"/>
          <w:rtl/>
        </w:rPr>
        <w:t xml:space="preserve">- </w:t>
      </w:r>
      <w:r w:rsidRPr="00F71203">
        <w:rPr>
          <w:rFonts w:cs="Arial"/>
          <w:rtl/>
        </w:rPr>
        <w:t>פירש רבינו דלהכי קתני לקתה ולא קתני חלתה, לאשמועינן שאם חלתה בפשיעותא אינו חייב לרפאותה</w:t>
      </w:r>
      <w:r>
        <w:rPr>
          <w:rStyle w:val="a7"/>
          <w:rFonts w:cs="Arial"/>
          <w:rtl/>
        </w:rPr>
        <w:footnoteReference w:id="1400"/>
      </w:r>
      <w:r>
        <w:rPr>
          <w:rFonts w:cs="Arial" w:hint="cs"/>
          <w:sz w:val="16"/>
          <w:szCs w:val="16"/>
          <w:rtl/>
        </w:rPr>
        <w:t xml:space="preserve"> (ל' הריטב"א)</w:t>
      </w:r>
      <w:r>
        <w:rPr>
          <w:rFonts w:cs="Arial" w:hint="cs"/>
          <w:rtl/>
        </w:rPr>
        <w:t>.</w:t>
      </w:r>
    </w:p>
    <w:p w14:paraId="1DB56CF5" w14:textId="77777777" w:rsidR="002E5BAD" w:rsidRDefault="002E5BAD" w:rsidP="002E5BAD">
      <w:pPr>
        <w:pStyle w:val="ab"/>
        <w:numPr>
          <w:ilvl w:val="0"/>
          <w:numId w:val="165"/>
        </w:numPr>
      </w:pPr>
      <w:r>
        <w:rPr>
          <w:rFonts w:hint="cs"/>
          <w:rtl/>
        </w:rPr>
        <w:t xml:space="preserve">כתב סופר </w:t>
      </w:r>
      <w:r w:rsidRPr="00F81064">
        <w:rPr>
          <w:rFonts w:hint="cs"/>
          <w:sz w:val="16"/>
          <w:szCs w:val="16"/>
          <w:rtl/>
        </w:rPr>
        <w:t>(אהע"ז סי' מו)</w:t>
      </w:r>
      <w:r>
        <w:rPr>
          <w:rFonts w:hint="cs"/>
          <w:rtl/>
        </w:rPr>
        <w:t xml:space="preserve">- </w:t>
      </w:r>
      <w:r w:rsidRPr="00F81064">
        <w:rPr>
          <w:rFonts w:cs="Arial"/>
          <w:rtl/>
        </w:rPr>
        <w:t xml:space="preserve">אם חלתה מחמת פשיעתה שאכלה הרבה עד שחלתה וה"ה כשלא שמרה נפשה מצינים ופחים </w:t>
      </w:r>
      <w:r>
        <w:rPr>
          <w:rFonts w:cs="Arial" w:hint="cs"/>
          <w:rtl/>
        </w:rPr>
        <w:t xml:space="preserve">- </w:t>
      </w:r>
      <w:r w:rsidRPr="00F81064">
        <w:rPr>
          <w:rFonts w:cs="Arial"/>
          <w:rtl/>
        </w:rPr>
        <w:t>חייב לרפאותה בין רפואה שיש לה קצבה לאין לה</w:t>
      </w:r>
      <w:r>
        <w:rPr>
          <w:rFonts w:cs="Arial" w:hint="cs"/>
          <w:rtl/>
        </w:rPr>
        <w:t>,</w:t>
      </w:r>
      <w:r w:rsidRPr="00F81064">
        <w:rPr>
          <w:rFonts w:cs="Arial"/>
          <w:rtl/>
        </w:rPr>
        <w:t xml:space="preserve"> ע"פ אבני מלואי' שחולק הב"ש, ודבריו נראים, וכן היורשים מחויבים לרפאותה רפואה שאין לה קצבה</w:t>
      </w:r>
      <w:r w:rsidRPr="00F81064">
        <w:rPr>
          <w:rFonts w:cs="Arial" w:hint="cs"/>
          <w:rtl/>
        </w:rPr>
        <w:t>.</w:t>
      </w:r>
    </w:p>
    <w:p w14:paraId="5421AE32" w14:textId="77777777" w:rsidR="002E5BAD" w:rsidRDefault="002E5BAD" w:rsidP="002E5BAD">
      <w:pPr>
        <w:pStyle w:val="ab"/>
        <w:numPr>
          <w:ilvl w:val="0"/>
          <w:numId w:val="158"/>
        </w:numPr>
        <w:rPr>
          <w:rtl/>
        </w:rPr>
      </w:pPr>
      <w:r>
        <w:rPr>
          <w:rFonts w:cs="Arial" w:hint="cs"/>
          <w:rtl/>
        </w:rPr>
        <w:t xml:space="preserve">בית מאיר </w:t>
      </w:r>
      <w:r>
        <w:rPr>
          <w:rFonts w:cs="Arial" w:hint="cs"/>
          <w:sz w:val="16"/>
          <w:szCs w:val="16"/>
          <w:rtl/>
        </w:rPr>
        <w:t>(על השו"ע כאן, הביאו הפת"ש [סק"א])</w:t>
      </w:r>
      <w:r>
        <w:rPr>
          <w:rFonts w:cs="Arial" w:hint="cs"/>
          <w:rtl/>
        </w:rPr>
        <w:t xml:space="preserve">- </w:t>
      </w:r>
      <w:r w:rsidRPr="00A813FA">
        <w:rPr>
          <w:rFonts w:cs="Arial"/>
          <w:rtl/>
        </w:rPr>
        <w:t>אף אם אכלה בפשיעת</w:t>
      </w:r>
      <w:r>
        <w:rPr>
          <w:rFonts w:cs="Arial" w:hint="cs"/>
          <w:rtl/>
        </w:rPr>
        <w:t>ה</w:t>
      </w:r>
      <w:r w:rsidRPr="00A813FA">
        <w:rPr>
          <w:rFonts w:cs="Arial"/>
          <w:rtl/>
        </w:rPr>
        <w:t xml:space="preserve"> דברים המזיקים לתאוות</w:t>
      </w:r>
      <w:r>
        <w:rPr>
          <w:rFonts w:cs="Arial" w:hint="cs"/>
          <w:rtl/>
        </w:rPr>
        <w:t>ה</w:t>
      </w:r>
      <w:r w:rsidRPr="00A813FA">
        <w:rPr>
          <w:rFonts w:cs="Arial"/>
          <w:rtl/>
        </w:rPr>
        <w:t xml:space="preserve"> עד שחלתה מ"מ חייב ברפואת</w:t>
      </w:r>
      <w:r>
        <w:rPr>
          <w:rFonts w:cs="Arial" w:hint="cs"/>
          <w:rtl/>
        </w:rPr>
        <w:t>ה</w:t>
      </w:r>
      <w:r w:rsidRPr="00A813FA">
        <w:rPr>
          <w:rFonts w:cs="Arial"/>
          <w:rtl/>
        </w:rPr>
        <w:t xml:space="preserve">. </w:t>
      </w:r>
    </w:p>
    <w:p w14:paraId="2B24A109" w14:textId="77777777" w:rsidR="002E5BAD" w:rsidRDefault="002E5BAD" w:rsidP="002E5BAD">
      <w:pPr>
        <w:rPr>
          <w:rtl/>
        </w:rPr>
      </w:pPr>
    </w:p>
    <w:p w14:paraId="3742AD30" w14:textId="77777777" w:rsidR="002E5BAD" w:rsidRDefault="002E5BAD" w:rsidP="002E5BAD">
      <w:pPr>
        <w:pStyle w:val="2"/>
        <w:rPr>
          <w:rtl/>
        </w:rPr>
      </w:pPr>
      <w:r>
        <w:rPr>
          <w:rtl/>
        </w:rPr>
        <w:t>סעיף ב</w:t>
      </w:r>
      <w:r>
        <w:rPr>
          <w:rFonts w:hint="cs"/>
          <w:rtl/>
        </w:rPr>
        <w:t>: יורשים שרוצים לקצוב עם הרופא קצבה לרפואתה.</w:t>
      </w:r>
    </w:p>
    <w:p w14:paraId="13FAD8E4"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"ב</w:t>
      </w:r>
      <w:r w:rsidRPr="00AB0AB9">
        <w:rPr>
          <w:rFonts w:cs="Arial" w:hint="cs"/>
          <w:b/>
          <w:bCs/>
          <w:rtl/>
        </w:rPr>
        <w:t xml:space="preserve">: </w:t>
      </w:r>
      <w:r w:rsidRPr="00AF4F10">
        <w:rPr>
          <w:rFonts w:cs="Arial"/>
          <w:rtl/>
        </w:rPr>
        <w:t xml:space="preserve">קריביה דרבי יוחנן הוה להו איתת אבא דהות צריכה רפואה כל יומא, אתו לקמיה דר' יוחנן, </w:t>
      </w:r>
      <w:r w:rsidRPr="00EC5ABC">
        <w:rPr>
          <w:rFonts w:cs="Arial"/>
          <w:u w:val="single"/>
          <w:rtl/>
        </w:rPr>
        <w:t>אמר להו</w:t>
      </w:r>
      <w:r w:rsidRPr="00AF4F10">
        <w:rPr>
          <w:rFonts w:cs="Arial"/>
          <w:rtl/>
        </w:rPr>
        <w:t>: איזילו קוצו ליה מידי לרופא</w:t>
      </w:r>
      <w:r>
        <w:rPr>
          <w:rStyle w:val="a7"/>
          <w:rFonts w:cs="Arial"/>
          <w:rtl/>
        </w:rPr>
        <w:footnoteReference w:id="1401"/>
      </w:r>
      <w:r w:rsidRPr="00AF4F10">
        <w:rPr>
          <w:rFonts w:cs="Arial"/>
          <w:rtl/>
        </w:rPr>
        <w:t xml:space="preserve">. </w:t>
      </w:r>
      <w:r w:rsidRPr="00EC5ABC">
        <w:rPr>
          <w:rFonts w:cs="Arial"/>
          <w:u w:val="single"/>
          <w:rtl/>
        </w:rPr>
        <w:t>אמר רבי יוחנן</w:t>
      </w:r>
      <w:r w:rsidRPr="00AF4F10">
        <w:rPr>
          <w:rFonts w:cs="Arial"/>
          <w:rtl/>
        </w:rPr>
        <w:t>: עשינו עצמינו כעורכי הדיינין</w:t>
      </w:r>
      <w:r>
        <w:rPr>
          <w:rStyle w:val="a7"/>
          <w:rFonts w:cs="Arial"/>
          <w:rtl/>
        </w:rPr>
        <w:footnoteReference w:id="1402"/>
      </w:r>
      <w:r w:rsidRPr="00AF4F10">
        <w:rPr>
          <w:rFonts w:cs="Arial"/>
          <w:rtl/>
        </w:rPr>
        <w:t>. מעיקרא מאי סבר, ולבסוף מאי סבר? מעיקרא סבר: ומבשרך לא תתעלם, ולבסוף סבר: אדם חשוב שאני.</w:t>
      </w:r>
      <w:r w:rsidRPr="00EC5ABC">
        <w:rPr>
          <w:rFonts w:cs="Arial"/>
          <w:sz w:val="16"/>
          <w:szCs w:val="16"/>
          <w:rtl/>
        </w:rPr>
        <w:t xml:space="preserve"> </w:t>
      </w:r>
      <w:r>
        <w:rPr>
          <w:rFonts w:cs="Arial" w:hint="cs"/>
          <w:sz w:val="16"/>
          <w:szCs w:val="16"/>
          <w:rtl/>
        </w:rPr>
        <w:t>(</w:t>
      </w:r>
      <w:r w:rsidRPr="00EC5ABC">
        <w:rPr>
          <w:rFonts w:cs="Arial"/>
          <w:sz w:val="16"/>
          <w:szCs w:val="16"/>
          <w:rtl/>
        </w:rPr>
        <w:t xml:space="preserve">וכתב הרא"ש (שם) דהכי איתא בירושלמי (שם) שאם היורשים רוצים לקצוץ עם הרופא והיא אינה רוצה שיקצצו </w:t>
      </w:r>
      <w:r w:rsidRPr="00EC5ABC">
        <w:rPr>
          <w:rFonts w:cs="Arial" w:hint="cs"/>
          <w:sz w:val="16"/>
          <w:szCs w:val="16"/>
          <w:rtl/>
        </w:rPr>
        <w:t xml:space="preserve">- </w:t>
      </w:r>
      <w:r w:rsidRPr="00EC5ABC">
        <w:rPr>
          <w:rFonts w:cs="Arial"/>
          <w:sz w:val="16"/>
          <w:szCs w:val="16"/>
          <w:rtl/>
        </w:rPr>
        <w:t>להם שומעים</w:t>
      </w:r>
      <w:r>
        <w:rPr>
          <w:rFonts w:cs="Arial" w:hint="cs"/>
          <w:sz w:val="16"/>
          <w:szCs w:val="16"/>
          <w:rtl/>
        </w:rPr>
        <w:t>, ב"י)</w:t>
      </w:r>
    </w:p>
    <w:p w14:paraId="195F5D20" w14:textId="77777777" w:rsidR="002E5BAD" w:rsidRDefault="002E5BAD" w:rsidP="002E5BAD">
      <w:pPr>
        <w:rPr>
          <w:rtl/>
        </w:rPr>
      </w:pPr>
      <w:r w:rsidRPr="003319C5">
        <w:rPr>
          <w:rFonts w:cs="Arial"/>
          <w:b/>
          <w:bCs/>
          <w:rtl/>
        </w:rPr>
        <w:t>ירושלמי בבא בתרא פ</w:t>
      </w:r>
      <w:r w:rsidRPr="003319C5">
        <w:rPr>
          <w:rFonts w:cs="Arial" w:hint="cs"/>
          <w:b/>
          <w:bCs/>
          <w:rtl/>
        </w:rPr>
        <w:t xml:space="preserve">"ט ה"ד: </w:t>
      </w:r>
      <w:r w:rsidRPr="003319C5">
        <w:rPr>
          <w:rFonts w:cs="Arial"/>
          <w:rtl/>
        </w:rPr>
        <w:t>תני</w:t>
      </w:r>
      <w:r>
        <w:rPr>
          <w:rFonts w:cs="Arial" w:hint="cs"/>
          <w:rtl/>
        </w:rPr>
        <w:t>,</w:t>
      </w:r>
      <w:r w:rsidRPr="003319C5">
        <w:rPr>
          <w:rFonts w:cs="Arial"/>
          <w:rtl/>
        </w:rPr>
        <w:t xml:space="preserve"> </w:t>
      </w:r>
      <w:r w:rsidRPr="003319C5">
        <w:rPr>
          <w:rFonts w:cs="Arial"/>
          <w:u w:val="single"/>
          <w:rtl/>
        </w:rPr>
        <w:t>רשב"ג אומר</w:t>
      </w:r>
      <w:r>
        <w:rPr>
          <w:rFonts w:cs="Arial" w:hint="cs"/>
          <w:rtl/>
        </w:rPr>
        <w:t>:</w:t>
      </w:r>
      <w:r w:rsidRPr="003319C5">
        <w:rPr>
          <w:rFonts w:cs="Arial"/>
          <w:rtl/>
        </w:rPr>
        <w:t xml:space="preserve"> כל מכה שיש לה קיצה</w:t>
      </w:r>
      <w:r>
        <w:rPr>
          <w:rStyle w:val="a7"/>
          <w:rFonts w:cs="Arial"/>
          <w:rtl/>
        </w:rPr>
        <w:footnoteReference w:id="1403"/>
      </w:r>
      <w:r w:rsidRPr="003319C5">
        <w:rPr>
          <w:rFonts w:cs="Arial"/>
          <w:rtl/>
        </w:rPr>
        <w:t xml:space="preserve"> </w:t>
      </w:r>
      <w:r>
        <w:rPr>
          <w:rFonts w:cs="Arial" w:hint="cs"/>
          <w:rtl/>
        </w:rPr>
        <w:t xml:space="preserve">- </w:t>
      </w:r>
      <w:r w:rsidRPr="003319C5">
        <w:rPr>
          <w:rFonts w:cs="Arial"/>
          <w:rtl/>
        </w:rPr>
        <w:t>מתרפא מכתובתה</w:t>
      </w:r>
      <w:r>
        <w:rPr>
          <w:rFonts w:cs="Arial" w:hint="cs"/>
          <w:rtl/>
        </w:rPr>
        <w:t>.</w:t>
      </w:r>
      <w:r w:rsidRPr="003319C5">
        <w:rPr>
          <w:rFonts w:cs="Arial"/>
          <w:rtl/>
        </w:rPr>
        <w:t xml:space="preserve"> שאין לה קיצה </w:t>
      </w:r>
      <w:r>
        <w:rPr>
          <w:rFonts w:cs="Arial" w:hint="cs"/>
          <w:rtl/>
        </w:rPr>
        <w:t xml:space="preserve">- </w:t>
      </w:r>
      <w:r w:rsidRPr="003319C5">
        <w:rPr>
          <w:rFonts w:cs="Arial"/>
          <w:rtl/>
        </w:rPr>
        <w:t>מתרפא מן הנכסים. כהדא קריבתיה דר' שמעון בר ווא</w:t>
      </w:r>
      <w:r>
        <w:rPr>
          <w:rFonts w:cs="Arial" w:hint="cs"/>
          <w:rtl/>
        </w:rPr>
        <w:t>,</w:t>
      </w:r>
      <w:r w:rsidRPr="003319C5">
        <w:rPr>
          <w:rFonts w:cs="Arial"/>
          <w:rtl/>
        </w:rPr>
        <w:t xml:space="preserve"> הוות חששה עיינה</w:t>
      </w:r>
      <w:r>
        <w:rPr>
          <w:rStyle w:val="a7"/>
          <w:rFonts w:cs="Arial"/>
          <w:rtl/>
        </w:rPr>
        <w:footnoteReference w:id="1404"/>
      </w:r>
      <w:r>
        <w:rPr>
          <w:rFonts w:cs="Arial" w:hint="cs"/>
          <w:rtl/>
        </w:rPr>
        <w:t>,</w:t>
      </w:r>
      <w:r w:rsidRPr="003319C5">
        <w:rPr>
          <w:rFonts w:cs="Arial"/>
          <w:rtl/>
        </w:rPr>
        <w:t xml:space="preserve"> אתת גבי ר' יוחנן</w:t>
      </w:r>
      <w:r>
        <w:rPr>
          <w:rFonts w:cs="Arial" w:hint="cs"/>
          <w:rtl/>
        </w:rPr>
        <w:t>,</w:t>
      </w:r>
      <w:r w:rsidRPr="003319C5">
        <w:rPr>
          <w:rFonts w:cs="Arial"/>
          <w:rtl/>
        </w:rPr>
        <w:t xml:space="preserve"> </w:t>
      </w:r>
      <w:r w:rsidRPr="003319C5">
        <w:rPr>
          <w:rFonts w:cs="Arial"/>
          <w:u w:val="single"/>
          <w:rtl/>
        </w:rPr>
        <w:t>אמר לה</w:t>
      </w:r>
      <w:r>
        <w:rPr>
          <w:rFonts w:cs="Arial" w:hint="cs"/>
          <w:rtl/>
        </w:rPr>
        <w:t>:</w:t>
      </w:r>
      <w:r w:rsidRPr="003319C5">
        <w:rPr>
          <w:rFonts w:cs="Arial"/>
          <w:rtl/>
        </w:rPr>
        <w:t xml:space="preserve"> קציץ הוא אהין אסייך</w:t>
      </w:r>
      <w:r>
        <w:rPr>
          <w:rFonts w:cs="Arial" w:hint="cs"/>
          <w:rtl/>
        </w:rPr>
        <w:t>,</w:t>
      </w:r>
      <w:r w:rsidRPr="003319C5">
        <w:rPr>
          <w:rFonts w:cs="Arial"/>
          <w:rtl/>
        </w:rPr>
        <w:t xml:space="preserve"> אין קציץ</w:t>
      </w:r>
      <w:r>
        <w:rPr>
          <w:rStyle w:val="a7"/>
          <w:rFonts w:cs="Arial"/>
          <w:rtl/>
        </w:rPr>
        <w:footnoteReference w:id="1405"/>
      </w:r>
      <w:r w:rsidRPr="003319C5">
        <w:rPr>
          <w:rFonts w:cs="Arial"/>
          <w:rtl/>
        </w:rPr>
        <w:t xml:space="preserve"> </w:t>
      </w:r>
      <w:r>
        <w:rPr>
          <w:rFonts w:cs="Arial" w:hint="cs"/>
          <w:rtl/>
        </w:rPr>
        <w:t xml:space="preserve">- </w:t>
      </w:r>
      <w:r w:rsidRPr="003319C5">
        <w:rPr>
          <w:rFonts w:cs="Arial"/>
          <w:rtl/>
        </w:rPr>
        <w:t>מן פרניך</w:t>
      </w:r>
      <w:r>
        <w:rPr>
          <w:rStyle w:val="a7"/>
          <w:rFonts w:cs="Arial"/>
          <w:rtl/>
        </w:rPr>
        <w:footnoteReference w:id="1406"/>
      </w:r>
      <w:r w:rsidRPr="003319C5">
        <w:rPr>
          <w:rFonts w:cs="Arial"/>
          <w:rtl/>
        </w:rPr>
        <w:t xml:space="preserve">. אין לא קציץ </w:t>
      </w:r>
      <w:r>
        <w:rPr>
          <w:rFonts w:cs="Arial" w:hint="cs"/>
          <w:rtl/>
        </w:rPr>
        <w:t xml:space="preserve">- </w:t>
      </w:r>
      <w:r w:rsidRPr="003319C5">
        <w:rPr>
          <w:rFonts w:cs="Arial"/>
          <w:rtl/>
        </w:rPr>
        <w:t>בעליך יהיב ליך.</w:t>
      </w:r>
    </w:p>
    <w:p w14:paraId="7A84543C" w14:textId="77777777" w:rsidR="002E5BAD" w:rsidRPr="00EC5ABC" w:rsidRDefault="002E5BAD" w:rsidP="002E5BAD">
      <w:pPr>
        <w:rPr>
          <w:u w:val="single"/>
          <w:rtl/>
        </w:rPr>
      </w:pPr>
      <w:r w:rsidRPr="00EC5ABC">
        <w:rPr>
          <w:rFonts w:hint="cs"/>
          <w:u w:val="single"/>
          <w:rtl/>
        </w:rPr>
        <w:t>יורשים שרוצים לקצוב עם הרופא קצבה לרפואתה</w:t>
      </w:r>
      <w:r>
        <w:rPr>
          <w:rFonts w:hint="cs"/>
          <w:u w:val="single"/>
          <w:rtl/>
        </w:rPr>
        <w:t xml:space="preserve"> ובכך תחשב מחלתה לדבר שיש לו קצבה</w:t>
      </w:r>
      <w:r w:rsidRPr="00EC5ABC">
        <w:rPr>
          <w:rFonts w:hint="cs"/>
          <w:u w:val="single"/>
          <w:rtl/>
        </w:rPr>
        <w:t>:</w:t>
      </w:r>
    </w:p>
    <w:p w14:paraId="41A08A2B" w14:textId="77777777" w:rsidR="002E5BAD" w:rsidRPr="000B20B3" w:rsidRDefault="002E5BAD" w:rsidP="002E5BAD">
      <w:pPr>
        <w:pStyle w:val="ab"/>
        <w:numPr>
          <w:ilvl w:val="0"/>
          <w:numId w:val="158"/>
        </w:numPr>
      </w:pPr>
      <w:r>
        <w:rPr>
          <w:rFonts w:cs="Arial" w:hint="cs"/>
          <w:rtl/>
        </w:rPr>
        <w:t xml:space="preserve">טור- </w:t>
      </w:r>
      <w:r w:rsidRPr="00C65959">
        <w:rPr>
          <w:rFonts w:cs="Arial"/>
          <w:rtl/>
        </w:rPr>
        <w:t>רוצים היורשים לקצוב עם הרופא כדי שיהא לו קצבה ויפטרו ממנה</w:t>
      </w:r>
      <w:r>
        <w:rPr>
          <w:rFonts w:cs="Arial" w:hint="cs"/>
          <w:rtl/>
        </w:rPr>
        <w:t xml:space="preserve"> -</w:t>
      </w:r>
      <w:r w:rsidRPr="00C65959">
        <w:rPr>
          <w:rFonts w:cs="Arial"/>
          <w:rtl/>
        </w:rPr>
        <w:t xml:space="preserve"> הרשות בידם</w:t>
      </w:r>
      <w:r>
        <w:rPr>
          <w:rFonts w:cs="Arial" w:hint="cs"/>
          <w:rtl/>
        </w:rPr>
        <w:t>.</w:t>
      </w:r>
      <w:r w:rsidRPr="00C65959">
        <w:rPr>
          <w:rFonts w:cs="Arial"/>
          <w:rtl/>
        </w:rPr>
        <w:t xml:space="preserve"> </w:t>
      </w:r>
      <w:r w:rsidRPr="00EC5ABC">
        <w:rPr>
          <w:rFonts w:hint="cs"/>
          <w:color w:val="E36C0A" w:themeColor="accent6" w:themeShade="BF"/>
          <w:rtl/>
        </w:rPr>
        <w:t>(וכ"פ בשו"ע)</w:t>
      </w:r>
    </w:p>
    <w:p w14:paraId="46E15D9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ECFB4F5" w14:textId="77777777" w:rsidR="002E5BAD" w:rsidRDefault="002E5BAD" w:rsidP="002E5BAD">
      <w:pPr>
        <w:rPr>
          <w:rtl/>
        </w:rPr>
      </w:pPr>
      <w:r>
        <w:rPr>
          <w:rFonts w:cs="Arial"/>
          <w:rtl/>
        </w:rPr>
        <w:t xml:space="preserve">רצו היורשין לקצוב עם הרופא, כדי שיהיה לה קצבה ויפטרו ממנה, הרשות בידם. </w:t>
      </w:r>
    </w:p>
    <w:p w14:paraId="115DEBB4" w14:textId="77777777" w:rsidR="002E5BAD" w:rsidRDefault="002E5BAD" w:rsidP="002E5BAD">
      <w:pPr>
        <w:rPr>
          <w:rtl/>
        </w:rPr>
      </w:pPr>
    </w:p>
    <w:p w14:paraId="5B2823EB" w14:textId="77777777" w:rsidR="002E5BAD" w:rsidRDefault="002E5BAD" w:rsidP="002E5BAD">
      <w:pPr>
        <w:pStyle w:val="2"/>
        <w:rPr>
          <w:rtl/>
        </w:rPr>
      </w:pPr>
      <w:r>
        <w:rPr>
          <w:rtl/>
        </w:rPr>
        <w:t>סעיף ג</w:t>
      </w:r>
      <w:r>
        <w:rPr>
          <w:rFonts w:hint="cs"/>
          <w:rtl/>
        </w:rPr>
        <w:t>: בעל שרוצה לגרש אשתו החולה וליתן לה כתובתה.</w:t>
      </w:r>
    </w:p>
    <w:p w14:paraId="2DF6CBCF" w14:textId="77777777" w:rsidR="002E5BAD" w:rsidRPr="00E126A9"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AF4F10">
        <w:rPr>
          <w:rtl/>
        </w:rPr>
        <w:t xml:space="preserve"> </w:t>
      </w:r>
      <w:r w:rsidRPr="00AF4F10">
        <w:rPr>
          <w:rFonts w:cs="Arial"/>
          <w:rtl/>
        </w:rPr>
        <w:t>לקתה - חייב לרפאותה, אמר הרי גיטה וכתובתה תרפא את עצמה - רשאי.</w:t>
      </w:r>
      <w:r w:rsidRPr="00E126A9">
        <w:rPr>
          <w:rFonts w:cs="Arial"/>
          <w:rtl/>
        </w:rPr>
        <w:t xml:space="preserve"> </w:t>
      </w:r>
      <w:r>
        <w:rPr>
          <w:rFonts w:cs="Arial" w:hint="cs"/>
          <w:sz w:val="16"/>
          <w:szCs w:val="16"/>
          <w:rtl/>
        </w:rPr>
        <w:t>(</w:t>
      </w:r>
      <w:r w:rsidRPr="00E126A9">
        <w:rPr>
          <w:rFonts w:cs="Arial"/>
          <w:sz w:val="16"/>
          <w:szCs w:val="16"/>
          <w:rtl/>
        </w:rPr>
        <w:t>וכתבו התוספות (נב: ד"ה אמר) דטעמא משום דרפואה בכלל מזונות</w:t>
      </w:r>
      <w:r w:rsidRPr="00E126A9">
        <w:rPr>
          <w:rFonts w:cs="Arial" w:hint="cs"/>
          <w:sz w:val="16"/>
          <w:szCs w:val="16"/>
          <w:rtl/>
        </w:rPr>
        <w:t>,</w:t>
      </w:r>
      <w:r w:rsidRPr="00E126A9">
        <w:rPr>
          <w:rFonts w:cs="Arial"/>
          <w:sz w:val="16"/>
          <w:szCs w:val="16"/>
          <w:rtl/>
        </w:rPr>
        <w:t xml:space="preserve"> והרי קיבלה כנגד מעשה ידיה שעד עכשיו</w:t>
      </w:r>
      <w:r w:rsidRPr="00E126A9">
        <w:rPr>
          <w:rFonts w:cs="Arial" w:hint="cs"/>
          <w:sz w:val="16"/>
          <w:szCs w:val="16"/>
          <w:rtl/>
        </w:rPr>
        <w:t>.</w:t>
      </w:r>
      <w:r w:rsidRPr="00E126A9">
        <w:rPr>
          <w:rFonts w:cs="Arial"/>
          <w:sz w:val="16"/>
          <w:szCs w:val="16"/>
          <w:rtl/>
        </w:rPr>
        <w:t xml:space="preserve"> אבל אינו רשאי לומר תקבל את גיטה ותפדה את עצמה</w:t>
      </w:r>
      <w:r w:rsidRPr="00E126A9">
        <w:rPr>
          <w:rFonts w:cs="Arial" w:hint="cs"/>
          <w:sz w:val="16"/>
          <w:szCs w:val="16"/>
          <w:rtl/>
        </w:rPr>
        <w:t>,</w:t>
      </w:r>
      <w:r w:rsidRPr="00E126A9">
        <w:rPr>
          <w:rFonts w:cs="Arial"/>
          <w:sz w:val="16"/>
          <w:szCs w:val="16"/>
          <w:rtl/>
        </w:rPr>
        <w:t xml:space="preserve"> לפי שלא קיבלה תשלום מפירות שאכל עד עכשיו</w:t>
      </w:r>
      <w:r>
        <w:rPr>
          <w:rFonts w:cs="Arial" w:hint="cs"/>
          <w:sz w:val="16"/>
          <w:szCs w:val="16"/>
          <w:rtl/>
        </w:rPr>
        <w:t>, ב"י)</w:t>
      </w:r>
    </w:p>
    <w:p w14:paraId="6FF58B14" w14:textId="77777777" w:rsidR="002E5BAD" w:rsidRPr="00EC5ABC" w:rsidRDefault="002E5BAD" w:rsidP="002E5BAD">
      <w:pPr>
        <w:rPr>
          <w:u w:val="single"/>
          <w:rtl/>
        </w:rPr>
      </w:pPr>
      <w:r w:rsidRPr="00EC5ABC">
        <w:rPr>
          <w:rFonts w:hint="cs"/>
          <w:u w:val="single"/>
          <w:rtl/>
        </w:rPr>
        <w:t>בעל שרוצה לגרש אשתו החולה וליתן לה כתובתה:</w:t>
      </w:r>
    </w:p>
    <w:p w14:paraId="39E57806" w14:textId="77777777" w:rsidR="002E5BAD" w:rsidRPr="00B11643" w:rsidRDefault="002E5BAD" w:rsidP="002E5BAD">
      <w:pPr>
        <w:pStyle w:val="ab"/>
        <w:numPr>
          <w:ilvl w:val="0"/>
          <w:numId w:val="158"/>
        </w:numPr>
      </w:pPr>
      <w:r>
        <w:rPr>
          <w:rFonts w:cs="Arial" w:hint="cs"/>
          <w:rtl/>
        </w:rPr>
        <w:t xml:space="preserve">טור- </w:t>
      </w:r>
      <w:r w:rsidRPr="00C65959">
        <w:rPr>
          <w:rFonts w:cs="Arial"/>
          <w:rtl/>
        </w:rPr>
        <w:t>אם ראה הבעל שהחולי ארוך וא</w:t>
      </w:r>
      <w:r>
        <w:rPr>
          <w:rFonts w:cs="Arial" w:hint="cs"/>
          <w:rtl/>
        </w:rPr>
        <w:t xml:space="preserve">מר </w:t>
      </w:r>
      <w:r w:rsidRPr="00C65959">
        <w:rPr>
          <w:rFonts w:cs="Arial"/>
          <w:rtl/>
        </w:rPr>
        <w:t>ל</w:t>
      </w:r>
      <w:r>
        <w:rPr>
          <w:rFonts w:cs="Arial" w:hint="cs"/>
          <w:rtl/>
        </w:rPr>
        <w:t>ה</w:t>
      </w:r>
      <w:r w:rsidRPr="00C65959">
        <w:rPr>
          <w:rFonts w:cs="Arial"/>
          <w:rtl/>
        </w:rPr>
        <w:t xml:space="preserve"> </w:t>
      </w:r>
      <w:r>
        <w:rPr>
          <w:rFonts w:cs="Arial" w:hint="cs"/>
          <w:rtl/>
        </w:rPr>
        <w:t>'</w:t>
      </w:r>
      <w:r w:rsidRPr="00C65959">
        <w:rPr>
          <w:rFonts w:cs="Arial"/>
          <w:rtl/>
        </w:rPr>
        <w:t>ה</w:t>
      </w:r>
      <w:r>
        <w:rPr>
          <w:rFonts w:cs="Arial" w:hint="cs"/>
          <w:rtl/>
        </w:rPr>
        <w:t xml:space="preserve">רי </w:t>
      </w:r>
      <w:r w:rsidRPr="00C65959">
        <w:rPr>
          <w:rFonts w:cs="Arial"/>
          <w:rtl/>
        </w:rPr>
        <w:t>ז</w:t>
      </w:r>
      <w:r>
        <w:rPr>
          <w:rFonts w:cs="Arial" w:hint="cs"/>
          <w:rtl/>
        </w:rPr>
        <w:t>ה</w:t>
      </w:r>
      <w:r w:rsidRPr="00C65959">
        <w:rPr>
          <w:rFonts w:cs="Arial"/>
          <w:rtl/>
        </w:rPr>
        <w:t xml:space="preserve"> גיטך וכתובתיך ורפאי את עצמך</w:t>
      </w:r>
      <w:r>
        <w:rPr>
          <w:rFonts w:cs="Arial" w:hint="cs"/>
          <w:rtl/>
        </w:rPr>
        <w:t>'</w:t>
      </w:r>
      <w:r w:rsidRPr="00C65959">
        <w:rPr>
          <w:rFonts w:cs="Arial"/>
          <w:rtl/>
        </w:rPr>
        <w:t xml:space="preserve"> </w:t>
      </w:r>
      <w:r>
        <w:rPr>
          <w:rFonts w:cs="Arial" w:hint="cs"/>
          <w:rtl/>
        </w:rPr>
        <w:t xml:space="preserve">- </w:t>
      </w:r>
      <w:r w:rsidRPr="00C65959">
        <w:rPr>
          <w:rFonts w:cs="Arial"/>
          <w:rtl/>
        </w:rPr>
        <w:t>רשאי</w:t>
      </w:r>
      <w:r>
        <w:rPr>
          <w:rFonts w:cs="Arial" w:hint="cs"/>
          <w:rtl/>
        </w:rPr>
        <w:t>.</w:t>
      </w:r>
      <w:r w:rsidRPr="00C65959">
        <w:rPr>
          <w:rFonts w:cs="Arial"/>
          <w:rtl/>
        </w:rPr>
        <w:t xml:space="preserve"> </w:t>
      </w:r>
    </w:p>
    <w:p w14:paraId="333A5E77" w14:textId="77777777" w:rsidR="002E5BAD" w:rsidRPr="00B11643" w:rsidRDefault="002E5BAD" w:rsidP="002E5BAD">
      <w:pPr>
        <w:ind w:left="360"/>
        <w:rPr>
          <w:u w:val="dotted"/>
          <w:rtl/>
        </w:rPr>
      </w:pPr>
      <w:r w:rsidRPr="00B11643">
        <w:rPr>
          <w:rFonts w:hint="cs"/>
          <w:u w:val="dotted"/>
          <w:rtl/>
        </w:rPr>
        <w:t xml:space="preserve">האם רשאי הבעל להציב לה תנאי 'או שתתרפאי מכתובתך או שאגרשך': </w:t>
      </w:r>
    </w:p>
    <w:p w14:paraId="6146BE5D" w14:textId="77777777" w:rsidR="002E5BAD" w:rsidRDefault="002E5BAD" w:rsidP="002E5BAD">
      <w:pPr>
        <w:pStyle w:val="ab"/>
        <w:numPr>
          <w:ilvl w:val="0"/>
          <w:numId w:val="158"/>
        </w:numPr>
      </w:pPr>
      <w:r w:rsidRPr="00C65959">
        <w:rPr>
          <w:rFonts w:cs="Arial"/>
          <w:rtl/>
        </w:rPr>
        <w:lastRenderedPageBreak/>
        <w:t>רמב"ם</w:t>
      </w:r>
      <w:r>
        <w:rPr>
          <w:rFonts w:cs="Arial" w:hint="cs"/>
          <w:rtl/>
        </w:rPr>
        <w:t xml:space="preserve"> </w:t>
      </w:r>
      <w:r>
        <w:rPr>
          <w:rFonts w:cs="Arial" w:hint="cs"/>
          <w:sz w:val="16"/>
          <w:szCs w:val="16"/>
          <w:rtl/>
        </w:rPr>
        <w:t>(פי"ד הי"ז)</w:t>
      </w:r>
      <w:r>
        <w:rPr>
          <w:rFonts w:cs="Arial" w:hint="cs"/>
          <w:rtl/>
        </w:rPr>
        <w:t xml:space="preserve"> רא"ש </w:t>
      </w:r>
      <w:r>
        <w:rPr>
          <w:rFonts w:cs="Arial" w:hint="cs"/>
          <w:sz w:val="16"/>
          <w:szCs w:val="16"/>
          <w:rtl/>
        </w:rPr>
        <w:t>(כ"כ הב"ש [סק"ד] בשמו)</w:t>
      </w:r>
      <w:r>
        <w:rPr>
          <w:rFonts w:cs="Arial" w:hint="cs"/>
          <w:rtl/>
        </w:rPr>
        <w:t xml:space="preserve"> וטור-</w:t>
      </w:r>
      <w:r w:rsidRPr="00C65959">
        <w:rPr>
          <w:rFonts w:cs="Arial"/>
          <w:rtl/>
        </w:rPr>
        <w:t xml:space="preserve"> </w:t>
      </w:r>
      <w:r w:rsidRPr="00B11643">
        <w:rPr>
          <w:rFonts w:cs="Arial"/>
          <w:rtl/>
        </w:rPr>
        <w:t xml:space="preserve">ראה שהחולי ארוך ויפסיד ממון הרבה לרפואה ואמר לה </w:t>
      </w:r>
      <w:r>
        <w:rPr>
          <w:rFonts w:cs="Arial" w:hint="cs"/>
          <w:rtl/>
        </w:rPr>
        <w:t>'</w:t>
      </w:r>
      <w:r w:rsidRPr="00B11643">
        <w:rPr>
          <w:rFonts w:cs="Arial"/>
          <w:rtl/>
        </w:rPr>
        <w:t>הרי כתובתיך מונחת או רפאי עצמך מכתובתיך או הריני מגרשך ונותן כתובה והולך</w:t>
      </w:r>
      <w:r>
        <w:rPr>
          <w:rFonts w:cs="Arial" w:hint="cs"/>
          <w:rtl/>
        </w:rPr>
        <w:t>' -</w:t>
      </w:r>
      <w:r w:rsidRPr="00B11643">
        <w:rPr>
          <w:rFonts w:cs="Arial"/>
          <w:rtl/>
        </w:rPr>
        <w:t xml:space="preserve"> שומעין לו, ואין ראוי לעשות כן מפני דרך ארץ </w:t>
      </w:r>
      <w:r>
        <w:rPr>
          <w:rFonts w:cs="Arial" w:hint="cs"/>
          <w:sz w:val="16"/>
          <w:szCs w:val="16"/>
          <w:rtl/>
        </w:rPr>
        <w:t>(ל' הרמב"ם)</w:t>
      </w:r>
      <w:r>
        <w:rPr>
          <w:rFonts w:cs="Arial" w:hint="cs"/>
          <w:rtl/>
        </w:rPr>
        <w:t>.</w:t>
      </w:r>
      <w:r w:rsidRPr="0081407D">
        <w:rPr>
          <w:rFonts w:hint="cs"/>
          <w:color w:val="E36C0A" w:themeColor="accent6" w:themeShade="BF"/>
          <w:rtl/>
        </w:rPr>
        <w:t xml:space="preserve"> </w:t>
      </w:r>
      <w:r w:rsidRPr="00EC5ABC">
        <w:rPr>
          <w:rFonts w:hint="cs"/>
          <w:color w:val="E36C0A" w:themeColor="accent6" w:themeShade="BF"/>
          <w:rtl/>
        </w:rPr>
        <w:t>(וכ"פ בשו"ע)</w:t>
      </w:r>
    </w:p>
    <w:p w14:paraId="7201EC65" w14:textId="77777777" w:rsidR="002E5BAD" w:rsidRPr="00C65959" w:rsidRDefault="002E5BAD" w:rsidP="002E5BAD">
      <w:pPr>
        <w:pStyle w:val="ab"/>
        <w:numPr>
          <w:ilvl w:val="0"/>
          <w:numId w:val="158"/>
        </w:numPr>
        <w:rPr>
          <w:rtl/>
        </w:rPr>
      </w:pPr>
      <w:r>
        <w:rPr>
          <w:rFonts w:cs="Arial"/>
          <w:rtl/>
        </w:rPr>
        <w:t xml:space="preserve">רשב"א </w:t>
      </w:r>
      <w:r w:rsidRPr="0081407D">
        <w:rPr>
          <w:rFonts w:cs="Arial"/>
          <w:sz w:val="16"/>
          <w:szCs w:val="16"/>
          <w:rtl/>
        </w:rPr>
        <w:t>(נב: ד"ה אמר</w:t>
      </w:r>
      <w:r>
        <w:rPr>
          <w:rFonts w:cs="Arial" w:hint="cs"/>
          <w:sz w:val="16"/>
          <w:szCs w:val="16"/>
          <w:rtl/>
        </w:rPr>
        <w:t>, הביאו הה"מ [שם]</w:t>
      </w:r>
      <w:r w:rsidRPr="0081407D">
        <w:rPr>
          <w:rFonts w:cs="Arial"/>
          <w:sz w:val="16"/>
          <w:szCs w:val="16"/>
          <w:rtl/>
        </w:rPr>
        <w:t>)</w:t>
      </w:r>
      <w:r w:rsidRPr="0081407D">
        <w:rPr>
          <w:rFonts w:cs="Arial"/>
          <w:rtl/>
        </w:rPr>
        <w:t xml:space="preserve"> </w:t>
      </w:r>
      <w:r>
        <w:rPr>
          <w:rFonts w:cs="Arial"/>
          <w:rtl/>
        </w:rPr>
        <w:t xml:space="preserve">ור"ן </w:t>
      </w:r>
      <w:r w:rsidRPr="0081407D">
        <w:rPr>
          <w:rFonts w:cs="Arial" w:hint="cs"/>
          <w:sz w:val="16"/>
          <w:szCs w:val="16"/>
          <w:rtl/>
        </w:rPr>
        <w:t>(</w:t>
      </w:r>
      <w:r w:rsidRPr="0081407D">
        <w:rPr>
          <w:rFonts w:cs="Arial"/>
          <w:sz w:val="16"/>
          <w:szCs w:val="16"/>
          <w:rtl/>
        </w:rPr>
        <w:t>פרק נערה שנתפתתה יט. ד"ה מתני')</w:t>
      </w:r>
      <w:r>
        <w:rPr>
          <w:rFonts w:cs="Arial" w:hint="cs"/>
          <w:rtl/>
        </w:rPr>
        <w:t>-</w:t>
      </w:r>
      <w:r>
        <w:rPr>
          <w:rFonts w:cs="Arial"/>
          <w:rtl/>
        </w:rPr>
        <w:t xml:space="preserve"> תניא בספרי </w:t>
      </w:r>
      <w:r w:rsidRPr="0081407D">
        <w:rPr>
          <w:rFonts w:cs="Arial"/>
          <w:sz w:val="16"/>
          <w:szCs w:val="16"/>
          <w:rtl/>
        </w:rPr>
        <w:t>(כי תצא פסקא ריד)</w:t>
      </w:r>
      <w:r>
        <w:rPr>
          <w:rFonts w:cs="Arial"/>
          <w:rtl/>
        </w:rPr>
        <w:t xml:space="preserve"> ושלחתה לנפשה </w:t>
      </w:r>
      <w:r w:rsidRPr="0081407D">
        <w:rPr>
          <w:rFonts w:cs="Arial"/>
          <w:sz w:val="16"/>
          <w:szCs w:val="16"/>
          <w:rtl/>
        </w:rPr>
        <w:t xml:space="preserve">(דברים כא יד) </w:t>
      </w:r>
      <w:r>
        <w:rPr>
          <w:rFonts w:cs="Arial"/>
          <w:rtl/>
        </w:rPr>
        <w:t>מלמד שאם היתה חולה תמתין לה עד שתתרפא</w:t>
      </w:r>
      <w:r>
        <w:rPr>
          <w:rFonts w:cs="Arial" w:hint="cs"/>
          <w:rtl/>
        </w:rPr>
        <w:t>,</w:t>
      </w:r>
      <w:r>
        <w:rPr>
          <w:rFonts w:cs="Arial"/>
          <w:rtl/>
        </w:rPr>
        <w:t xml:space="preserve"> ופירשה הראב"ד במוטלת על המטה</w:t>
      </w:r>
      <w:r>
        <w:rPr>
          <w:rFonts w:cs="Arial" w:hint="cs"/>
          <w:rtl/>
        </w:rPr>
        <w:t>.</w:t>
      </w:r>
      <w:r>
        <w:rPr>
          <w:rFonts w:cs="Arial"/>
          <w:rtl/>
        </w:rPr>
        <w:t xml:space="preserve"> </w:t>
      </w:r>
      <w:r w:rsidRPr="0081407D">
        <w:rPr>
          <w:rFonts w:cs="Arial"/>
          <w:rtl/>
        </w:rPr>
        <w:t xml:space="preserve">וכיון דביפת תואר אמרו </w:t>
      </w:r>
      <w:r>
        <w:rPr>
          <w:rFonts w:cs="Arial"/>
          <w:rtl/>
        </w:rPr>
        <w:t>–</w:t>
      </w:r>
      <w:r>
        <w:rPr>
          <w:rFonts w:cs="Arial" w:hint="cs"/>
          <w:rtl/>
        </w:rPr>
        <w:t xml:space="preserve"> </w:t>
      </w:r>
      <w:r w:rsidRPr="0081407D">
        <w:rPr>
          <w:rFonts w:cs="Arial"/>
          <w:rtl/>
        </w:rPr>
        <w:t>כ</w:t>
      </w:r>
      <w:r>
        <w:rPr>
          <w:rFonts w:cs="Arial" w:hint="cs"/>
          <w:rtl/>
        </w:rPr>
        <w:t xml:space="preserve">ל </w:t>
      </w:r>
      <w:r w:rsidRPr="0081407D">
        <w:rPr>
          <w:rFonts w:cs="Arial"/>
          <w:rtl/>
        </w:rPr>
        <w:t>ש</w:t>
      </w:r>
      <w:r>
        <w:rPr>
          <w:rFonts w:cs="Arial" w:hint="cs"/>
          <w:rtl/>
        </w:rPr>
        <w:t>כן</w:t>
      </w:r>
      <w:r w:rsidRPr="0081407D">
        <w:rPr>
          <w:rFonts w:cs="Arial"/>
          <w:rtl/>
        </w:rPr>
        <w:t xml:space="preserve"> בבנות ישראל הקדושות שאם היא מוטלת על המטה שאינו יכול לגרשה עד שתתרפא</w:t>
      </w:r>
      <w:r>
        <w:rPr>
          <w:rFonts w:cs="Arial" w:hint="cs"/>
          <w:rtl/>
        </w:rPr>
        <w:t>,</w:t>
      </w:r>
      <w:r w:rsidRPr="0081407D">
        <w:rPr>
          <w:rFonts w:cs="Arial"/>
          <w:rtl/>
        </w:rPr>
        <w:t xml:space="preserve"> ומתני' בשאינה מוטלת על המטה</w:t>
      </w:r>
      <w:r>
        <w:rPr>
          <w:rFonts w:cs="Arial" w:hint="cs"/>
          <w:sz w:val="16"/>
          <w:szCs w:val="16"/>
          <w:rtl/>
        </w:rPr>
        <w:t xml:space="preserve"> (ל' הרשב"א)</w:t>
      </w:r>
      <w:r>
        <w:rPr>
          <w:rStyle w:val="a7"/>
          <w:rtl/>
        </w:rPr>
        <w:footnoteReference w:id="1407"/>
      </w:r>
      <w:r>
        <w:rPr>
          <w:rFonts w:hint="cs"/>
          <w:rtl/>
        </w:rPr>
        <w:t>.</w:t>
      </w:r>
    </w:p>
    <w:p w14:paraId="4ED6CD2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18887AA" w14:textId="77777777" w:rsidR="002E5BAD" w:rsidRPr="000D2069" w:rsidRDefault="002E5BAD" w:rsidP="002E5BAD">
      <w:pPr>
        <w:rPr>
          <w:rtl/>
        </w:rPr>
        <w:sectPr w:rsidR="002E5BAD" w:rsidRPr="000D2069" w:rsidSect="00A347B3">
          <w:headerReference w:type="default" r:id="rId35"/>
          <w:footnotePr>
            <w:numRestart w:val="eachPage"/>
          </w:footnotePr>
          <w:pgSz w:w="11906" w:h="16838"/>
          <w:pgMar w:top="720" w:right="1134" w:bottom="720" w:left="1134" w:header="0" w:footer="0" w:gutter="0"/>
          <w:cols w:space="720"/>
          <w:bidi/>
          <w:rtlGutter/>
          <w:docGrid w:linePitch="360"/>
        </w:sectPr>
      </w:pPr>
      <w:r>
        <w:rPr>
          <w:rFonts w:cs="Arial"/>
          <w:rtl/>
        </w:rPr>
        <w:t>אם ראה הבעל שהחולי ארוך</w:t>
      </w:r>
      <w:r>
        <w:rPr>
          <w:rStyle w:val="a7"/>
          <w:rFonts w:cs="Arial"/>
          <w:rtl/>
        </w:rPr>
        <w:footnoteReference w:id="1408"/>
      </w:r>
      <w:r>
        <w:rPr>
          <w:rFonts w:cs="Arial"/>
          <w:rtl/>
        </w:rPr>
        <w:t>, יכול לומר לה: הרי כתובתיך מונחת, או רפאי עצמך מכתובתיך או הריני מגרשך ונותן כתובה</w:t>
      </w:r>
      <w:r>
        <w:rPr>
          <w:rStyle w:val="a7"/>
          <w:rFonts w:cs="Arial"/>
          <w:rtl/>
        </w:rPr>
        <w:footnoteReference w:id="1409"/>
      </w:r>
      <w:r>
        <w:rPr>
          <w:rFonts w:cs="Arial" w:hint="cs"/>
          <w:rtl/>
        </w:rPr>
        <w:t>.</w:t>
      </w:r>
      <w:r>
        <w:rPr>
          <w:rFonts w:cs="Arial"/>
          <w:rtl/>
        </w:rPr>
        <w:t xml:space="preserve"> ואין ראוי לעשות כן מפני דרך ארץ.</w:t>
      </w:r>
    </w:p>
    <w:p w14:paraId="0DC95755" w14:textId="77777777" w:rsidR="002E5BAD" w:rsidRDefault="002E5BAD" w:rsidP="002E5BAD">
      <w:pPr>
        <w:pStyle w:val="1"/>
        <w:rPr>
          <w:rtl/>
        </w:rPr>
      </w:pPr>
      <w:r>
        <w:rPr>
          <w:rFonts w:hint="cs"/>
          <w:rtl/>
        </w:rPr>
        <w:lastRenderedPageBreak/>
        <w:t>סימן פ:</w:t>
      </w:r>
      <w:r w:rsidRPr="00C12B74">
        <w:rPr>
          <w:rtl/>
        </w:rPr>
        <w:t xml:space="preserve"> </w:t>
      </w:r>
      <w:r>
        <w:rPr>
          <w:rFonts w:cs="Arial"/>
          <w:rtl/>
        </w:rPr>
        <w:t xml:space="preserve">מעשה ידיה שהיא חייבת לבעלה, ודיני מניקה ושאינה רוצה לעשות מלאכה, ובו י"ח סעיפים. </w:t>
      </w:r>
    </w:p>
    <w:p w14:paraId="002811CD" w14:textId="77777777" w:rsidR="002E5BAD" w:rsidRDefault="002E5BAD" w:rsidP="002E5BAD">
      <w:pPr>
        <w:pStyle w:val="2"/>
        <w:rPr>
          <w:rtl/>
        </w:rPr>
      </w:pPr>
      <w:r>
        <w:rPr>
          <w:rtl/>
        </w:rPr>
        <w:t>סעיף א</w:t>
      </w:r>
      <w:r>
        <w:rPr>
          <w:rFonts w:hint="cs"/>
          <w:rtl/>
        </w:rPr>
        <w:t>: מעשה ידיה שהיא חייבת לבעלה.</w:t>
      </w:r>
    </w:p>
    <w:p w14:paraId="1C3FA89C"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(ר"פ מציאת האשה)</w:t>
      </w:r>
      <w:r w:rsidRPr="00AB0AB9">
        <w:rPr>
          <w:rFonts w:cs="Arial" w:hint="cs"/>
          <w:b/>
          <w:bCs/>
          <w:rtl/>
        </w:rPr>
        <w:t xml:space="preserve"> </w:t>
      </w:r>
      <w:r>
        <w:rPr>
          <w:rFonts w:cs="Arial" w:hint="cs"/>
          <w:b/>
          <w:bCs/>
          <w:rtl/>
        </w:rPr>
        <w:t>סה</w:t>
      </w:r>
      <w:r w:rsidRPr="00AB0AB9">
        <w:rPr>
          <w:rFonts w:cs="Arial" w:hint="cs"/>
          <w:b/>
          <w:bCs/>
          <w:rtl/>
        </w:rPr>
        <w:t xml:space="preserve"> ע"ב: </w:t>
      </w:r>
      <w:r w:rsidRPr="00390A65">
        <w:rPr>
          <w:rFonts w:cs="Arial"/>
          <w:u w:val="double"/>
          <w:rtl/>
        </w:rPr>
        <w:t>מתני'</w:t>
      </w:r>
      <w:r>
        <w:rPr>
          <w:rFonts w:cs="Arial" w:hint="cs"/>
          <w:rtl/>
        </w:rPr>
        <w:t>:</w:t>
      </w:r>
      <w:r w:rsidRPr="00104E5F">
        <w:rPr>
          <w:rFonts w:cs="Arial"/>
          <w:rtl/>
        </w:rPr>
        <w:t xml:space="preserve"> מציאת האשה ומעשה ידיה לבעלה</w:t>
      </w:r>
      <w:r>
        <w:rPr>
          <w:rFonts w:hint="cs"/>
          <w:rtl/>
        </w:rPr>
        <w:t>.</w:t>
      </w:r>
    </w:p>
    <w:p w14:paraId="513438EC"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 טוחנת, ואופה, ומכבסת, מבשלת, ומניקה את בנה, מצעת לו המטה, ועושה בצמר.</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rtl/>
        </w:rPr>
        <w:t>:</w:t>
      </w:r>
      <w:r>
        <w:rPr>
          <w:rFonts w:cs="Arial"/>
          <w:rtl/>
        </w:rPr>
        <w:t xml:space="preserve"> טוחנת ס"ד</w:t>
      </w:r>
      <w:r>
        <w:rPr>
          <w:rStyle w:val="a7"/>
          <w:rFonts w:cs="Arial"/>
          <w:rtl/>
        </w:rPr>
        <w:footnoteReference w:id="1410"/>
      </w:r>
      <w:r>
        <w:rPr>
          <w:rFonts w:cs="Arial"/>
          <w:rtl/>
        </w:rPr>
        <w:t>? אלא אימא: מטחנת</w:t>
      </w:r>
      <w:r>
        <w:rPr>
          <w:rStyle w:val="a7"/>
          <w:rFonts w:cs="Arial"/>
          <w:rtl/>
        </w:rPr>
        <w:footnoteReference w:id="1411"/>
      </w:r>
      <w:r>
        <w:rPr>
          <w:rFonts w:cs="Arial"/>
          <w:rtl/>
        </w:rPr>
        <w:t>. ואיבעית אימא</w:t>
      </w:r>
      <w:r>
        <w:rPr>
          <w:rStyle w:val="a7"/>
          <w:rFonts w:cs="Arial"/>
          <w:rtl/>
        </w:rPr>
        <w:footnoteReference w:id="1412"/>
      </w:r>
      <w:r>
        <w:rPr>
          <w:rFonts w:cs="Arial"/>
          <w:rtl/>
        </w:rPr>
        <w:t>: בריחיא דידא</w:t>
      </w:r>
      <w:r>
        <w:rPr>
          <w:rStyle w:val="a7"/>
          <w:rFonts w:cs="Arial"/>
          <w:rtl/>
        </w:rPr>
        <w:footnoteReference w:id="1413"/>
      </w:r>
      <w:r>
        <w:rPr>
          <w:rFonts w:cs="Arial"/>
          <w:rtl/>
        </w:rPr>
        <w:t>.</w:t>
      </w:r>
      <w:r>
        <w:rPr>
          <w:rFonts w:hint="cs"/>
          <w:rtl/>
        </w:rPr>
        <w:t xml:space="preserve">.. </w:t>
      </w:r>
      <w:r>
        <w:rPr>
          <w:rFonts w:hint="cs"/>
          <w:sz w:val="14"/>
          <w:szCs w:val="14"/>
          <w:rtl/>
        </w:rPr>
        <w:t xml:space="preserve">(סא:) </w:t>
      </w:r>
      <w:r w:rsidRPr="00F92E28">
        <w:rPr>
          <w:rFonts w:cs="Arial"/>
          <w:rtl/>
        </w:rPr>
        <w:t>ועושה בצמר. בצמר אין, בפשתים לא, מתני' מני? ר' יהודה היא</w:t>
      </w:r>
      <w:r>
        <w:rPr>
          <w:rFonts w:cs="Arial" w:hint="cs"/>
          <w:rtl/>
        </w:rPr>
        <w:t>,</w:t>
      </w:r>
      <w:r w:rsidRPr="00F92E28">
        <w:rPr>
          <w:rFonts w:cs="Arial"/>
          <w:rtl/>
        </w:rPr>
        <w:t xml:space="preserve"> דתניא: אינו כופה לא לעמוד לפני אביו, ולא לעמוד לפני בנו, ולא ליתן תבן לפני בהמתו, אבל כופה ליתן תבן לפני בקרו</w:t>
      </w:r>
      <w:r>
        <w:rPr>
          <w:rFonts w:cs="Arial" w:hint="cs"/>
          <w:rtl/>
        </w:rPr>
        <w:t>.</w:t>
      </w:r>
      <w:r w:rsidRPr="00F92E28">
        <w:rPr>
          <w:rFonts w:cs="Arial"/>
          <w:rtl/>
        </w:rPr>
        <w:t xml:space="preserve"> </w:t>
      </w:r>
      <w:r w:rsidRPr="00F92E28">
        <w:rPr>
          <w:rFonts w:cs="Arial"/>
          <w:u w:val="single"/>
          <w:rtl/>
        </w:rPr>
        <w:t>רבי יהודה אומר</w:t>
      </w:r>
      <w:r w:rsidRPr="00F92E28">
        <w:rPr>
          <w:rFonts w:cs="Arial"/>
          <w:rtl/>
        </w:rPr>
        <w:t>: אף אינו כופה לעשות בפשתן, מפני שפשתן מסריח את הפה ומשרבט את השפתים. והני מילי בכיתנא רומאה.</w:t>
      </w:r>
      <w:r>
        <w:rPr>
          <w:rFonts w:hint="cs"/>
          <w:rtl/>
        </w:rPr>
        <w:t xml:space="preserve">.. </w:t>
      </w:r>
      <w:r w:rsidRPr="001C664D">
        <w:rPr>
          <w:rFonts w:cs="Arial"/>
          <w:rtl/>
        </w:rPr>
        <w:t xml:space="preserve">ר' אליעזר אומר: אפילו הכניסה לו מאה שפחות. </w:t>
      </w:r>
      <w:r w:rsidRPr="001C664D">
        <w:rPr>
          <w:rFonts w:cs="Arial"/>
          <w:u w:val="single"/>
          <w:rtl/>
        </w:rPr>
        <w:t>אמר רב מלכיו אמר רב אדא בר אהבה</w:t>
      </w:r>
      <w:r w:rsidRPr="001C664D">
        <w:rPr>
          <w:rFonts w:cs="Arial"/>
          <w:rtl/>
        </w:rPr>
        <w:t>: הלכה כרבי אליעזר</w:t>
      </w:r>
      <w:r>
        <w:rPr>
          <w:rFonts w:cs="Arial" w:hint="cs"/>
          <w:rtl/>
        </w:rPr>
        <w:t>..</w:t>
      </w:r>
      <w:r w:rsidRPr="001C664D">
        <w:rPr>
          <w:rFonts w:cs="Arial"/>
          <w:rtl/>
        </w:rPr>
        <w:t>.</w:t>
      </w:r>
      <w:r w:rsidRPr="00D04A54">
        <w:rPr>
          <w:rtl/>
        </w:rPr>
        <w:t xml:space="preserve"> </w:t>
      </w:r>
      <w:r w:rsidRPr="00D04A54">
        <w:rPr>
          <w:rFonts w:cs="Arial"/>
          <w:rtl/>
        </w:rPr>
        <w:t>רשב"ג אומר וכו'. היינו תנא קמא</w:t>
      </w:r>
      <w:r>
        <w:rPr>
          <w:rStyle w:val="a7"/>
          <w:rFonts w:cs="Arial"/>
          <w:rtl/>
        </w:rPr>
        <w:footnoteReference w:id="1414"/>
      </w:r>
      <w:r w:rsidRPr="00D04A54">
        <w:rPr>
          <w:rFonts w:cs="Arial"/>
          <w:rtl/>
        </w:rPr>
        <w:t>! איכא בינייהו, דמיטללא בגורייתא קיטנייתא ונדרשיר</w:t>
      </w:r>
      <w:r>
        <w:rPr>
          <w:rStyle w:val="a7"/>
          <w:rFonts w:cs="Arial"/>
          <w:rtl/>
        </w:rPr>
        <w:footnoteReference w:id="1415"/>
      </w:r>
      <w:r w:rsidRPr="00D04A54">
        <w:rPr>
          <w:rFonts w:cs="Arial"/>
          <w:rtl/>
        </w:rPr>
        <w:t>.</w:t>
      </w:r>
    </w:p>
    <w:p w14:paraId="5B788C33"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סד</w:t>
      </w:r>
      <w:r w:rsidRPr="00AB0AB9">
        <w:rPr>
          <w:rFonts w:cs="Arial" w:hint="cs"/>
          <w:b/>
          <w:bCs/>
          <w:rtl/>
        </w:rPr>
        <w:t xml:space="preserve"> ע"ב: </w:t>
      </w:r>
      <w:r w:rsidRPr="00390A65">
        <w:rPr>
          <w:rFonts w:cs="Arial"/>
          <w:u w:val="double"/>
          <w:rtl/>
        </w:rPr>
        <w:t>מתני'</w:t>
      </w:r>
      <w:r>
        <w:rPr>
          <w:rFonts w:cs="Arial" w:hint="cs"/>
          <w:rtl/>
        </w:rPr>
        <w:t xml:space="preserve">: </w:t>
      </w:r>
      <w:r w:rsidRPr="00F92E28">
        <w:rPr>
          <w:rFonts w:cs="Arial"/>
          <w:rtl/>
        </w:rPr>
        <w:t>המשרה את אשתו על ידי שליש</w:t>
      </w:r>
      <w:r>
        <w:rPr>
          <w:rFonts w:cs="Arial" w:hint="cs"/>
          <w:rtl/>
        </w:rPr>
        <w:t>...</w:t>
      </w:r>
      <w:r w:rsidRPr="00F92E28">
        <w:rPr>
          <w:rFonts w:cs="Arial"/>
          <w:rtl/>
        </w:rPr>
        <w:t xml:space="preserve"> נותן לה מעה כסף לצורכה.</w:t>
      </w:r>
      <w:r>
        <w:rPr>
          <w:rFonts w:cs="Arial" w:hint="cs"/>
          <w:rtl/>
        </w:rPr>
        <w:t>..</w:t>
      </w:r>
      <w:r w:rsidRPr="00F92E28">
        <w:rPr>
          <w:rFonts w:cs="Arial"/>
          <w:rtl/>
        </w:rPr>
        <w:t xml:space="preserve">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ואם היתה מניקה - פוחתין לה ממעשה ידיה</w:t>
      </w:r>
      <w:r>
        <w:rPr>
          <w:rFonts w:cs="Arial" w:hint="cs"/>
          <w:rtl/>
        </w:rPr>
        <w:t>,</w:t>
      </w:r>
      <w:r w:rsidRPr="00F92E28">
        <w:rPr>
          <w:rFonts w:cs="Arial"/>
          <w:rtl/>
        </w:rPr>
        <w:t xml:space="preserve"> ומוסיפין לה על מזונותיה. במה דברים אמורים - בעני שבישראל, אבל במכובד הכל לפי כבודו.</w:t>
      </w:r>
    </w:p>
    <w:p w14:paraId="3AA771E5" w14:textId="77777777" w:rsidR="002E5BAD" w:rsidRPr="00D4035D" w:rsidRDefault="002E5BAD" w:rsidP="002E5BAD">
      <w:pPr>
        <w:rPr>
          <w:rFonts w:cs="Arial"/>
          <w:rtl/>
        </w:rPr>
      </w:pPr>
      <w:r w:rsidRPr="001C664D">
        <w:rPr>
          <w:rFonts w:cs="Arial" w:hint="cs"/>
          <w:b/>
          <w:bCs/>
          <w:rtl/>
        </w:rPr>
        <w:t xml:space="preserve">תוספתא כתובות פ"ה ה"ד: </w:t>
      </w:r>
      <w:r w:rsidRPr="001C664D">
        <w:rPr>
          <w:rFonts w:cs="Arial"/>
          <w:rtl/>
        </w:rPr>
        <w:t>מלאכות שהאשה עושה לבעלה</w:t>
      </w:r>
      <w:r>
        <w:rPr>
          <w:rFonts w:cs="Arial" w:hint="cs"/>
          <w:rtl/>
        </w:rPr>
        <w:t>,</w:t>
      </w:r>
      <w:r w:rsidRPr="001C664D">
        <w:rPr>
          <w:rFonts w:cs="Arial"/>
          <w:rtl/>
        </w:rPr>
        <w:t xml:space="preserve"> שבעה גופי מלאכות מנו</w:t>
      </w:r>
      <w:r>
        <w:rPr>
          <w:rFonts w:cs="Arial" w:hint="cs"/>
          <w:rtl/>
        </w:rPr>
        <w:t>,</w:t>
      </w:r>
      <w:r w:rsidRPr="001C664D">
        <w:rPr>
          <w:rFonts w:cs="Arial"/>
          <w:rtl/>
        </w:rPr>
        <w:t xml:space="preserve"> ושאר לא הוצרכו לימנות</w:t>
      </w:r>
      <w:r>
        <w:rPr>
          <w:rFonts w:cs="Arial" w:hint="cs"/>
          <w:rtl/>
        </w:rPr>
        <w:t>.</w:t>
      </w:r>
      <w:r w:rsidRPr="001C664D">
        <w:rPr>
          <w:rFonts w:cs="Arial"/>
          <w:rtl/>
        </w:rPr>
        <w:t xml:space="preserve"> הכניסה לו בין משלו ובין משלה לא טוחנת ולא אופה ולא מכבסת</w:t>
      </w:r>
      <w:r>
        <w:rPr>
          <w:rFonts w:cs="Arial" w:hint="cs"/>
          <w:rtl/>
        </w:rPr>
        <w:t>.</w:t>
      </w:r>
      <w:r w:rsidRPr="001C664D">
        <w:rPr>
          <w:rFonts w:cs="Arial"/>
          <w:rtl/>
        </w:rPr>
        <w:t xml:space="preserve"> כופה לעשות לבנו ולבתה לאחיו ולאחיה ולהטיל לפני בהמתו</w:t>
      </w:r>
      <w:r>
        <w:rPr>
          <w:rFonts w:cs="Arial" w:hint="cs"/>
          <w:rtl/>
        </w:rPr>
        <w:t>.</w:t>
      </w:r>
      <w:r w:rsidRPr="001C664D">
        <w:rPr>
          <w:rFonts w:cs="Arial"/>
          <w:rtl/>
        </w:rPr>
        <w:t xml:space="preserve"> מקום שנהגו שלא לעשות אחת מכל אילו </w:t>
      </w:r>
      <w:r>
        <w:rPr>
          <w:rFonts w:cs="Arial" w:hint="cs"/>
          <w:rtl/>
        </w:rPr>
        <w:t xml:space="preserve">- </w:t>
      </w:r>
      <w:r w:rsidRPr="001C664D">
        <w:rPr>
          <w:rFonts w:cs="Arial"/>
          <w:rtl/>
        </w:rPr>
        <w:t>אינו יכול לכופה</w:t>
      </w:r>
      <w:r>
        <w:rPr>
          <w:rStyle w:val="a7"/>
          <w:rFonts w:cs="Arial"/>
          <w:rtl/>
        </w:rPr>
        <w:footnoteReference w:id="1416"/>
      </w:r>
      <w:r>
        <w:rPr>
          <w:rFonts w:cs="Arial" w:hint="cs"/>
          <w:rtl/>
        </w:rPr>
        <w:t>...</w:t>
      </w:r>
    </w:p>
    <w:p w14:paraId="44C93136" w14:textId="77777777" w:rsidR="002E5BAD" w:rsidRPr="00867395" w:rsidRDefault="002E5BAD" w:rsidP="002E5BAD">
      <w:pPr>
        <w:rPr>
          <w:u w:val="single"/>
          <w:rtl/>
        </w:rPr>
      </w:pPr>
      <w:r>
        <w:rPr>
          <w:rFonts w:hint="cs"/>
          <w:u w:val="single"/>
          <w:rtl/>
        </w:rPr>
        <w:t>מעשה ידיה לבעלה - כיצד</w:t>
      </w:r>
      <w:r w:rsidRPr="00867395">
        <w:rPr>
          <w:rFonts w:hint="cs"/>
          <w:u w:val="single"/>
          <w:rtl/>
        </w:rPr>
        <w:t>:</w:t>
      </w:r>
    </w:p>
    <w:p w14:paraId="7571C858" w14:textId="77777777" w:rsidR="002E5BAD" w:rsidRPr="00693219" w:rsidRDefault="002E5BAD" w:rsidP="002E5BAD">
      <w:pPr>
        <w:pStyle w:val="ab"/>
        <w:numPr>
          <w:ilvl w:val="0"/>
          <w:numId w:val="166"/>
        </w:numPr>
      </w:pPr>
      <w:r>
        <w:rPr>
          <w:rFonts w:cs="Arial" w:hint="cs"/>
          <w:rtl/>
        </w:rPr>
        <w:t xml:space="preserve">טור- </w:t>
      </w:r>
      <w:r w:rsidRPr="000A7A9C">
        <w:rPr>
          <w:rFonts w:cs="Arial"/>
          <w:rtl/>
        </w:rPr>
        <w:t>מעשה ידי האשה לבעלה</w:t>
      </w:r>
      <w:r>
        <w:rPr>
          <w:rFonts w:cs="Arial" w:hint="cs"/>
          <w:rtl/>
        </w:rPr>
        <w:t>.</w:t>
      </w:r>
      <w:r w:rsidRPr="000A7A9C">
        <w:rPr>
          <w:rFonts w:cs="Arial"/>
          <w:rtl/>
        </w:rPr>
        <w:t xml:space="preserve"> ומה הן מעשה ידיה שחייבת בהן</w:t>
      </w:r>
      <w:r>
        <w:rPr>
          <w:rFonts w:cs="Arial" w:hint="cs"/>
          <w:rtl/>
        </w:rPr>
        <w:t>,</w:t>
      </w:r>
      <w:r w:rsidRPr="000A7A9C">
        <w:rPr>
          <w:rFonts w:cs="Arial"/>
          <w:rtl/>
        </w:rPr>
        <w:t xml:space="preserve"> כדתנן</w:t>
      </w:r>
      <w:r>
        <w:rPr>
          <w:rFonts w:cs="Arial" w:hint="cs"/>
          <w:rtl/>
        </w:rPr>
        <w:t>,</w:t>
      </w:r>
      <w:r w:rsidRPr="000A7A9C">
        <w:rPr>
          <w:rFonts w:cs="Arial"/>
          <w:rtl/>
        </w:rPr>
        <w:t xml:space="preserve"> אלו מלאכות שהאשה עושה לבעלה</w:t>
      </w:r>
      <w:r>
        <w:rPr>
          <w:rFonts w:cs="Arial" w:hint="cs"/>
          <w:rtl/>
        </w:rPr>
        <w:t>,</w:t>
      </w:r>
      <w:r w:rsidRPr="000A7A9C">
        <w:rPr>
          <w:rFonts w:cs="Arial"/>
          <w:rtl/>
        </w:rPr>
        <w:t xml:space="preserve"> טוחנת</w:t>
      </w:r>
      <w:r>
        <w:rPr>
          <w:rStyle w:val="a7"/>
          <w:rFonts w:cs="Arial"/>
          <w:rtl/>
        </w:rPr>
        <w:footnoteReference w:id="1417"/>
      </w:r>
      <w:r>
        <w:rPr>
          <w:rFonts w:cs="Arial" w:hint="cs"/>
          <w:rtl/>
        </w:rPr>
        <w:t>,</w:t>
      </w:r>
      <w:r w:rsidRPr="000A7A9C">
        <w:rPr>
          <w:rFonts w:cs="Arial"/>
          <w:rtl/>
        </w:rPr>
        <w:t xml:space="preserve"> פירוש יושבת בריחים</w:t>
      </w:r>
      <w:r>
        <w:rPr>
          <w:rFonts w:cs="Arial" w:hint="cs"/>
          <w:rtl/>
        </w:rPr>
        <w:t>.</w:t>
      </w:r>
      <w:r w:rsidRPr="000A7A9C">
        <w:rPr>
          <w:rFonts w:cs="Arial"/>
          <w:rtl/>
        </w:rPr>
        <w:t xml:space="preserve"> ושומרת</w:t>
      </w:r>
      <w:r>
        <w:rPr>
          <w:rFonts w:cs="Arial" w:hint="cs"/>
          <w:rtl/>
        </w:rPr>
        <w:t>.</w:t>
      </w:r>
      <w:r w:rsidRPr="000A7A9C">
        <w:rPr>
          <w:rFonts w:cs="Arial"/>
          <w:rtl/>
        </w:rPr>
        <w:t xml:space="preserve"> ומחמרת אחר החמור</w:t>
      </w:r>
      <w:r>
        <w:rPr>
          <w:rFonts w:cs="Arial" w:hint="cs"/>
          <w:rtl/>
        </w:rPr>
        <w:t>.</w:t>
      </w:r>
      <w:r w:rsidRPr="000A7A9C">
        <w:rPr>
          <w:rFonts w:cs="Arial"/>
          <w:rtl/>
        </w:rPr>
        <w:t xml:space="preserve"> ובמקום שדרך לטחון בריחים של יד</w:t>
      </w:r>
      <w:r>
        <w:rPr>
          <w:rFonts w:cs="Arial" w:hint="cs"/>
          <w:rtl/>
        </w:rPr>
        <w:t>,</w:t>
      </w:r>
      <w:r w:rsidRPr="000A7A9C">
        <w:rPr>
          <w:rFonts w:cs="Arial"/>
          <w:rtl/>
        </w:rPr>
        <w:t xml:space="preserve"> טוחנת בידה</w:t>
      </w:r>
      <w:r>
        <w:rPr>
          <w:rFonts w:cs="Arial" w:hint="cs"/>
          <w:rtl/>
        </w:rPr>
        <w:t>.</w:t>
      </w:r>
      <w:r w:rsidRPr="000A7A9C">
        <w:rPr>
          <w:rFonts w:cs="Arial"/>
          <w:rtl/>
        </w:rPr>
        <w:t xml:space="preserve"> ואופה הפת</w:t>
      </w:r>
      <w:r>
        <w:rPr>
          <w:rFonts w:cs="Arial" w:hint="cs"/>
          <w:rtl/>
        </w:rPr>
        <w:t>.</w:t>
      </w:r>
      <w:r w:rsidRPr="000A7A9C">
        <w:rPr>
          <w:rFonts w:cs="Arial"/>
          <w:rtl/>
        </w:rPr>
        <w:t xml:space="preserve"> ומבשלת התבשיל</w:t>
      </w:r>
      <w:r>
        <w:rPr>
          <w:rFonts w:cs="Arial" w:hint="cs"/>
          <w:rtl/>
        </w:rPr>
        <w:t>.</w:t>
      </w:r>
      <w:r w:rsidRPr="000A7A9C">
        <w:rPr>
          <w:rFonts w:cs="Arial"/>
          <w:rtl/>
        </w:rPr>
        <w:t xml:space="preserve"> ומכבסת הבגדים</w:t>
      </w:r>
      <w:r>
        <w:rPr>
          <w:rFonts w:cs="Arial" w:hint="cs"/>
          <w:rtl/>
        </w:rPr>
        <w:t>.</w:t>
      </w:r>
      <w:r w:rsidRPr="000A7A9C">
        <w:rPr>
          <w:rFonts w:cs="Arial"/>
          <w:rtl/>
        </w:rPr>
        <w:t xml:space="preserve"> ומניקה את בנה</w:t>
      </w:r>
      <w:r>
        <w:rPr>
          <w:rFonts w:cs="Arial" w:hint="cs"/>
          <w:rtl/>
        </w:rPr>
        <w:t>.</w:t>
      </w:r>
      <w:r w:rsidRPr="00390A65">
        <w:rPr>
          <w:rFonts w:cs="Arial" w:hint="cs"/>
          <w:rtl/>
        </w:rPr>
        <w:t xml:space="preserve"> </w:t>
      </w:r>
      <w:r w:rsidRPr="00390A65">
        <w:rPr>
          <w:rFonts w:cs="Arial"/>
          <w:rtl/>
        </w:rPr>
        <w:t>ומצעת לו המטה</w:t>
      </w:r>
      <w:r w:rsidRPr="00390A65">
        <w:rPr>
          <w:rFonts w:cs="Arial" w:hint="cs"/>
          <w:rtl/>
        </w:rPr>
        <w:t>.</w:t>
      </w:r>
      <w:r w:rsidRPr="00390A65">
        <w:rPr>
          <w:rFonts w:cs="Arial"/>
          <w:rtl/>
        </w:rPr>
        <w:t xml:space="preserve"> ועושה בצמר או בכל מיני פשתן</w:t>
      </w:r>
      <w:r w:rsidRPr="00390A65">
        <w:rPr>
          <w:rFonts w:cs="Arial" w:hint="cs"/>
          <w:rtl/>
        </w:rPr>
        <w:t>,</w:t>
      </w:r>
      <w:r w:rsidRPr="00390A65">
        <w:rPr>
          <w:rFonts w:cs="Arial"/>
          <w:rtl/>
        </w:rPr>
        <w:t xml:space="preserve"> בר מכיתנא רומאה</w:t>
      </w:r>
      <w:r>
        <w:rPr>
          <w:rStyle w:val="a7"/>
          <w:rFonts w:cs="Arial"/>
          <w:rtl/>
        </w:rPr>
        <w:footnoteReference w:id="1418"/>
      </w:r>
      <w:r w:rsidRPr="00390A65">
        <w:rPr>
          <w:rFonts w:cs="Arial"/>
          <w:rtl/>
        </w:rPr>
        <w:t xml:space="preserve"> שהוא מזיק לפה ולשפתים</w:t>
      </w:r>
      <w:r w:rsidRPr="00390A65">
        <w:rPr>
          <w:rFonts w:cs="Arial" w:hint="cs"/>
          <w:rtl/>
        </w:rPr>
        <w:t>.</w:t>
      </w:r>
      <w:r w:rsidRPr="00390A65">
        <w:rPr>
          <w:rFonts w:cs="Arial"/>
          <w:rtl/>
        </w:rPr>
        <w:t xml:space="preserve"> וכמה עושה לשבוע</w:t>
      </w:r>
      <w:r w:rsidRPr="00390A65">
        <w:rPr>
          <w:rFonts w:cs="Arial" w:hint="cs"/>
          <w:rtl/>
        </w:rPr>
        <w:t>,</w:t>
      </w:r>
      <w:r w:rsidRPr="00390A65">
        <w:rPr>
          <w:rFonts w:cs="Arial"/>
          <w:rtl/>
        </w:rPr>
        <w:t xml:space="preserve"> משקל ה' סלעים שתי ביהודה שהן עשר בגליל</w:t>
      </w:r>
      <w:r w:rsidRPr="00390A65">
        <w:rPr>
          <w:rFonts w:cs="Arial" w:hint="cs"/>
          <w:rtl/>
        </w:rPr>
        <w:t>.</w:t>
      </w:r>
      <w:r w:rsidRPr="00390A65">
        <w:rPr>
          <w:rFonts w:cs="Arial"/>
          <w:rtl/>
        </w:rPr>
        <w:t xml:space="preserve"> וזה השיעור</w:t>
      </w:r>
      <w:r>
        <w:rPr>
          <w:rStyle w:val="a7"/>
          <w:rFonts w:cs="Arial"/>
          <w:rtl/>
        </w:rPr>
        <w:footnoteReference w:id="1419"/>
      </w:r>
      <w:r w:rsidRPr="00390A65">
        <w:rPr>
          <w:rFonts w:cs="Arial"/>
          <w:rtl/>
        </w:rPr>
        <w:t xml:space="preserve"> </w:t>
      </w:r>
      <w:r>
        <w:rPr>
          <w:rFonts w:cs="Arial" w:hint="cs"/>
          <w:sz w:val="16"/>
          <w:szCs w:val="16"/>
          <w:rtl/>
        </w:rPr>
        <w:t>{שנתנו בצמר}</w:t>
      </w:r>
      <w:r>
        <w:rPr>
          <w:rFonts w:cs="Arial" w:hint="cs"/>
          <w:rtl/>
        </w:rPr>
        <w:t xml:space="preserve"> </w:t>
      </w:r>
      <w:r w:rsidRPr="00390A65">
        <w:rPr>
          <w:rFonts w:cs="Arial"/>
          <w:rtl/>
        </w:rPr>
        <w:t xml:space="preserve">לא נתנו אלא במשרה אשתו על ידי שליש </w:t>
      </w:r>
      <w:r w:rsidRPr="00390A65">
        <w:rPr>
          <w:rFonts w:cs="Arial"/>
          <w:rtl/>
        </w:rPr>
        <w:lastRenderedPageBreak/>
        <w:t>שאינה עמו בבית ואין עושה לו שום דבר</w:t>
      </w:r>
      <w:r w:rsidRPr="00390A65">
        <w:rPr>
          <w:rFonts w:cs="Arial" w:hint="cs"/>
          <w:rtl/>
        </w:rPr>
        <w:t>,</w:t>
      </w:r>
      <w:r w:rsidRPr="00390A65">
        <w:rPr>
          <w:rFonts w:cs="Arial"/>
          <w:rtl/>
        </w:rPr>
        <w:t xml:space="preserve"> אבל אם היא עמו בבית ועושה כל צרכי הבית אינה חייבת לעשות כ"כ אלא לפי המנהג שדרך נשים לעשות</w:t>
      </w:r>
      <w:r w:rsidRPr="00390A65">
        <w:rPr>
          <w:rFonts w:cs="Arial" w:hint="cs"/>
          <w:rtl/>
        </w:rPr>
        <w:t>.</w:t>
      </w:r>
    </w:p>
    <w:p w14:paraId="291FCF1B" w14:textId="77777777" w:rsidR="002E5BAD" w:rsidRPr="00B25F6F" w:rsidRDefault="002E5BAD" w:rsidP="002E5BAD">
      <w:pPr>
        <w:pStyle w:val="ab"/>
        <w:numPr>
          <w:ilvl w:val="0"/>
          <w:numId w:val="166"/>
        </w:numPr>
      </w:pP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א</w:t>
      </w:r>
      <w:r>
        <w:rPr>
          <w:rFonts w:cs="Arial" w:hint="cs"/>
          <w:sz w:val="16"/>
          <w:szCs w:val="16"/>
          <w:rtl/>
        </w:rPr>
        <w:t>)</w:t>
      </w:r>
      <w:r>
        <w:rPr>
          <w:rFonts w:cs="Arial" w:hint="cs"/>
          <w:rtl/>
        </w:rPr>
        <w:t xml:space="preserve">- </w:t>
      </w:r>
      <w:r>
        <w:rPr>
          <w:rFonts w:cs="Arial"/>
          <w:rtl/>
        </w:rPr>
        <w:t>מציאת האשה ומעשה ידיה לבעלה,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w:t>
      </w:r>
      <w:r>
        <w:rPr>
          <w:rStyle w:val="a7"/>
          <w:rFonts w:cs="Arial"/>
          <w:rtl/>
        </w:rPr>
        <w:footnoteReference w:id="1420"/>
      </w:r>
      <w:r>
        <w:rPr>
          <w:rFonts w:cs="Arial"/>
          <w:rtl/>
        </w:rPr>
        <w:t xml:space="preserve">, שהפשתן מזיק את הפה ואת השפתים, והטווי היא המלאכה המיוחדת לנשים שנאמר </w:t>
      </w:r>
      <w:r w:rsidRPr="000C6D57">
        <w:rPr>
          <w:rFonts w:cs="Arial" w:hint="cs"/>
          <w:sz w:val="16"/>
          <w:szCs w:val="16"/>
          <w:rtl/>
        </w:rPr>
        <w:t>(</w:t>
      </w:r>
      <w:r w:rsidRPr="000C6D57">
        <w:rPr>
          <w:rFonts w:cs="Arial"/>
          <w:sz w:val="16"/>
          <w:szCs w:val="16"/>
          <w:rtl/>
        </w:rPr>
        <w:t>שמות לה כה</w:t>
      </w:r>
      <w:r w:rsidRPr="000C6D57">
        <w:rPr>
          <w:rFonts w:cs="Arial" w:hint="cs"/>
          <w:sz w:val="16"/>
          <w:szCs w:val="16"/>
          <w:rtl/>
        </w:rPr>
        <w:t>)</w:t>
      </w:r>
      <w:r>
        <w:rPr>
          <w:rFonts w:cs="Arial"/>
          <w:rtl/>
        </w:rPr>
        <w:t xml:space="preserve"> וכל אשה חכמת לב בידיה טוו.</w:t>
      </w:r>
      <w:r>
        <w:rPr>
          <w:rFonts w:hint="cs"/>
          <w:rtl/>
        </w:rPr>
        <w:t xml:space="preserve"> </w:t>
      </w:r>
      <w:r w:rsidRPr="00EC5ABC">
        <w:rPr>
          <w:rFonts w:hint="cs"/>
          <w:color w:val="E36C0A" w:themeColor="accent6" w:themeShade="BF"/>
          <w:rtl/>
        </w:rPr>
        <w:t>(וכ"פ בשו"ע)</w:t>
      </w:r>
    </w:p>
    <w:p w14:paraId="44591174"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סה</w:t>
      </w:r>
      <w:r w:rsidRPr="00AB0AB9">
        <w:rPr>
          <w:rFonts w:cs="Arial" w:hint="cs"/>
          <w:b/>
          <w:bCs/>
          <w:rtl/>
        </w:rPr>
        <w:t xml:space="preserve"> ע"</w:t>
      </w:r>
      <w:r>
        <w:rPr>
          <w:rFonts w:cs="Arial" w:hint="cs"/>
          <w:b/>
          <w:bCs/>
          <w:rtl/>
        </w:rPr>
        <w:t>ב</w:t>
      </w:r>
      <w:r w:rsidRPr="00AB0AB9">
        <w:rPr>
          <w:rFonts w:cs="Arial" w:hint="cs"/>
          <w:b/>
          <w:bCs/>
          <w:rtl/>
        </w:rPr>
        <w:t>:</w:t>
      </w:r>
      <w:r>
        <w:rPr>
          <w:rFonts w:cs="Arial" w:hint="cs"/>
          <w:rtl/>
        </w:rPr>
        <w:t xml:space="preserve"> </w:t>
      </w:r>
      <w:r w:rsidRPr="003A6A82">
        <w:rPr>
          <w:rFonts w:cs="Arial"/>
          <w:u w:val="single"/>
          <w:rtl/>
        </w:rPr>
        <w:t>תני תנא קמיה דרבא</w:t>
      </w:r>
      <w:r w:rsidRPr="003A6A82">
        <w:rPr>
          <w:rFonts w:cs="Arial"/>
          <w:rtl/>
        </w:rPr>
        <w:t xml:space="preserve">: מציאת האשה לעצמה, </w:t>
      </w:r>
      <w:r w:rsidRPr="003A6A82">
        <w:rPr>
          <w:rFonts w:cs="Arial"/>
          <w:u w:val="single"/>
          <w:rtl/>
        </w:rPr>
        <w:t>רבי עקיבא אומר</w:t>
      </w:r>
      <w:r w:rsidRPr="003A6A82">
        <w:rPr>
          <w:rFonts w:cs="Arial"/>
          <w:rtl/>
        </w:rPr>
        <w:t xml:space="preserve">: לבעלה. </w:t>
      </w:r>
      <w:r w:rsidRPr="003A6A82">
        <w:rPr>
          <w:rFonts w:cs="Arial"/>
          <w:u w:val="single"/>
          <w:rtl/>
        </w:rPr>
        <w:t>אמר ליה</w:t>
      </w:r>
      <w:r w:rsidRPr="003A6A82">
        <w:rPr>
          <w:rFonts w:cs="Arial"/>
          <w:rtl/>
        </w:rPr>
        <w:t>: השתא ומה העדפה,</w:t>
      </w:r>
      <w:r>
        <w:rPr>
          <w:rFonts w:cs="Arial" w:hint="cs"/>
          <w:rtl/>
        </w:rPr>
        <w:t xml:space="preserve"> </w:t>
      </w:r>
      <w:r>
        <w:rPr>
          <w:rFonts w:cs="Arial" w:hint="cs"/>
          <w:sz w:val="14"/>
          <w:szCs w:val="14"/>
          <w:rtl/>
        </w:rPr>
        <w:t>(סו.)</w:t>
      </w:r>
      <w:r w:rsidRPr="003A6A82">
        <w:rPr>
          <w:rFonts w:cs="Arial"/>
          <w:rtl/>
        </w:rPr>
        <w:t xml:space="preserve"> דמעשה ידיה</w:t>
      </w:r>
      <w:r>
        <w:rPr>
          <w:rStyle w:val="a7"/>
          <w:rFonts w:cs="Arial"/>
          <w:rtl/>
        </w:rPr>
        <w:footnoteReference w:id="1421"/>
      </w:r>
      <w:r w:rsidRPr="003A6A82">
        <w:rPr>
          <w:rFonts w:cs="Arial"/>
          <w:rtl/>
        </w:rPr>
        <w:t xml:space="preserve"> היא, אמר רבי עקיבא לעצמה, מציאתה לא כ"ש! </w:t>
      </w:r>
      <w:r w:rsidRPr="00104E5F">
        <w:rPr>
          <w:rFonts w:cs="Arial"/>
          <w:rtl/>
        </w:rPr>
        <w:t>דתנן: קונם שאני עושה לפיך</w:t>
      </w:r>
      <w:r>
        <w:rPr>
          <w:rStyle w:val="a7"/>
          <w:rFonts w:cs="Arial"/>
          <w:rtl/>
        </w:rPr>
        <w:footnoteReference w:id="1422"/>
      </w:r>
      <w:r w:rsidRPr="00104E5F">
        <w:rPr>
          <w:rFonts w:cs="Arial"/>
          <w:rtl/>
        </w:rPr>
        <w:t xml:space="preserve"> - אינו צריך להפר</w:t>
      </w:r>
      <w:r>
        <w:rPr>
          <w:rStyle w:val="a7"/>
          <w:rFonts w:cs="Arial"/>
          <w:rtl/>
        </w:rPr>
        <w:footnoteReference w:id="1423"/>
      </w:r>
      <w:r w:rsidRPr="00104E5F">
        <w:rPr>
          <w:rFonts w:cs="Arial"/>
          <w:rtl/>
        </w:rPr>
        <w:t xml:space="preserve">, </w:t>
      </w:r>
      <w:r w:rsidRPr="003A6A82">
        <w:rPr>
          <w:rFonts w:cs="Arial"/>
          <w:u w:val="single"/>
          <w:rtl/>
        </w:rPr>
        <w:t>רבי עקיבא אומר</w:t>
      </w:r>
      <w:r w:rsidRPr="00104E5F">
        <w:rPr>
          <w:rFonts w:cs="Arial"/>
          <w:rtl/>
        </w:rPr>
        <w:t>: יפר, שמא תעדיף</w:t>
      </w:r>
      <w:r>
        <w:rPr>
          <w:rStyle w:val="a7"/>
          <w:rFonts w:cs="Arial"/>
          <w:rtl/>
        </w:rPr>
        <w:footnoteReference w:id="1424"/>
      </w:r>
      <w:r w:rsidRPr="00104E5F">
        <w:rPr>
          <w:rFonts w:cs="Arial"/>
          <w:rtl/>
        </w:rPr>
        <w:t xml:space="preserve"> עליו יותר מן הראוי לו! אלא איפוך: מציאת האשה לבעלה, רבי עקיבא אומר: לעצמה. והא כי אתא רבין אמר רבי יוחנן: בהעדפה שלא על ידי הדחק</w:t>
      </w:r>
      <w:r>
        <w:rPr>
          <w:rStyle w:val="a7"/>
          <w:rFonts w:cs="Arial"/>
          <w:rtl/>
        </w:rPr>
        <w:footnoteReference w:id="1425"/>
      </w:r>
      <w:r w:rsidRPr="00104E5F">
        <w:rPr>
          <w:rFonts w:cs="Arial"/>
          <w:rtl/>
        </w:rPr>
        <w:t xml:space="preserve"> - כולי עלמא לא פליגי דבעל הוי</w:t>
      </w:r>
      <w:r>
        <w:rPr>
          <w:rStyle w:val="a7"/>
          <w:rFonts w:cs="Arial"/>
          <w:rtl/>
        </w:rPr>
        <w:footnoteReference w:id="1426"/>
      </w:r>
      <w:r w:rsidRPr="00104E5F">
        <w:rPr>
          <w:rFonts w:cs="Arial"/>
          <w:rtl/>
        </w:rPr>
        <w:t>, כי פליגי - בהעדפה שעל ידי הדחק</w:t>
      </w:r>
      <w:r>
        <w:rPr>
          <w:rStyle w:val="a7"/>
          <w:rFonts w:cs="Arial"/>
          <w:rtl/>
        </w:rPr>
        <w:footnoteReference w:id="1427"/>
      </w:r>
      <w:r w:rsidRPr="00104E5F">
        <w:rPr>
          <w:rFonts w:cs="Arial"/>
          <w:rtl/>
        </w:rPr>
        <w:t xml:space="preserve">, </w:t>
      </w:r>
      <w:r w:rsidRPr="007E3C6C">
        <w:rPr>
          <w:rFonts w:cs="Arial"/>
          <w:u w:val="single"/>
          <w:rtl/>
        </w:rPr>
        <w:t>תנא קמא סבר</w:t>
      </w:r>
      <w:r w:rsidRPr="00104E5F">
        <w:rPr>
          <w:rFonts w:cs="Arial"/>
          <w:rtl/>
        </w:rPr>
        <w:t xml:space="preserve">: לבעלה, </w:t>
      </w:r>
      <w:r w:rsidRPr="007E3C6C">
        <w:rPr>
          <w:rFonts w:cs="Arial"/>
          <w:u w:val="single"/>
          <w:rtl/>
        </w:rPr>
        <w:t>ורבי עקיבא סבר</w:t>
      </w:r>
      <w:r w:rsidRPr="00104E5F">
        <w:rPr>
          <w:rFonts w:cs="Arial"/>
          <w:rtl/>
        </w:rPr>
        <w:t xml:space="preserve">: לעצמה! </w:t>
      </w:r>
      <w:r w:rsidRPr="007E3C6C">
        <w:rPr>
          <w:rFonts w:cs="Arial"/>
          <w:u w:val="single"/>
          <w:rtl/>
        </w:rPr>
        <w:t>אמר רב פפא</w:t>
      </w:r>
      <w:r w:rsidRPr="00104E5F">
        <w:rPr>
          <w:rFonts w:cs="Arial"/>
          <w:rtl/>
        </w:rPr>
        <w:t>: מציאתה - כהעדפה שעל ידי הדחק דמי</w:t>
      </w:r>
      <w:r>
        <w:rPr>
          <w:rStyle w:val="a7"/>
          <w:rFonts w:cs="Arial"/>
          <w:rtl/>
        </w:rPr>
        <w:footnoteReference w:id="1428"/>
      </w:r>
      <w:r w:rsidRPr="00104E5F">
        <w:rPr>
          <w:rFonts w:cs="Arial"/>
          <w:rtl/>
        </w:rPr>
        <w:t xml:space="preserve">, פלוגתא דרבי עקיבא ורבנן. </w:t>
      </w:r>
      <w:r w:rsidRPr="007E3C6C">
        <w:rPr>
          <w:rFonts w:cs="Arial"/>
          <w:u w:val="single"/>
          <w:rtl/>
        </w:rPr>
        <w:t>בעי רב פפא</w:t>
      </w:r>
      <w:r w:rsidRPr="00104E5F">
        <w:rPr>
          <w:rFonts w:cs="Arial"/>
          <w:rtl/>
        </w:rPr>
        <w:t xml:space="preserve">: עשתה לו שתים בבת אחת, מהו? </w:t>
      </w:r>
      <w:r w:rsidRPr="007E3C6C">
        <w:rPr>
          <w:rFonts w:cs="Arial"/>
          <w:u w:val="single"/>
          <w:rtl/>
        </w:rPr>
        <w:t>בעי רבינא</w:t>
      </w:r>
      <w:r w:rsidRPr="00104E5F">
        <w:rPr>
          <w:rFonts w:cs="Arial"/>
          <w:rtl/>
        </w:rPr>
        <w:t>: שלשה או ד' בבת אחת</w:t>
      </w:r>
      <w:r>
        <w:rPr>
          <w:rStyle w:val="a7"/>
          <w:rFonts w:cs="Arial"/>
          <w:rtl/>
        </w:rPr>
        <w:footnoteReference w:id="1429"/>
      </w:r>
      <w:r w:rsidRPr="00104E5F">
        <w:rPr>
          <w:rFonts w:cs="Arial"/>
          <w:rtl/>
        </w:rPr>
        <w:t>, מהו</w:t>
      </w:r>
      <w:r>
        <w:rPr>
          <w:rStyle w:val="a7"/>
          <w:rFonts w:cs="Arial"/>
          <w:rtl/>
        </w:rPr>
        <w:footnoteReference w:id="1430"/>
      </w:r>
      <w:r w:rsidRPr="00104E5F">
        <w:rPr>
          <w:rFonts w:cs="Arial"/>
          <w:rtl/>
        </w:rPr>
        <w:t xml:space="preserve">? תיקו. </w:t>
      </w:r>
    </w:p>
    <w:p w14:paraId="27FF7665" w14:textId="77777777" w:rsidR="002E5BAD" w:rsidRPr="00E55B2F" w:rsidRDefault="002E5BAD" w:rsidP="002E5BAD">
      <w:pPr>
        <w:rPr>
          <w:u w:val="single"/>
        </w:rPr>
      </w:pPr>
      <w:r w:rsidRPr="00E55B2F">
        <w:rPr>
          <w:rFonts w:hint="cs"/>
          <w:u w:val="single"/>
          <w:rtl/>
        </w:rPr>
        <w:t>אשה שדחקה עצמה ועשתה יותר ממה שהיא חייבת:</w:t>
      </w:r>
    </w:p>
    <w:p w14:paraId="0E6DBFB6" w14:textId="77777777" w:rsidR="002E5BAD" w:rsidRDefault="002E5BAD" w:rsidP="002E5BAD">
      <w:pPr>
        <w:pStyle w:val="ab"/>
        <w:numPr>
          <w:ilvl w:val="0"/>
          <w:numId w:val="166"/>
        </w:numPr>
      </w:pPr>
      <w:r>
        <w:rPr>
          <w:rFonts w:cs="Arial" w:hint="cs"/>
          <w:rtl/>
        </w:rPr>
        <w:t xml:space="preserve">רב האי </w:t>
      </w:r>
      <w:r>
        <w:rPr>
          <w:rFonts w:cs="Arial" w:hint="cs"/>
          <w:sz w:val="16"/>
          <w:szCs w:val="16"/>
          <w:rtl/>
        </w:rPr>
        <w:t>(כ"כ בשמו הרי"ף והרא"ש)</w:t>
      </w:r>
      <w:r>
        <w:rPr>
          <w:rFonts w:cs="Arial" w:hint="cs"/>
          <w:rtl/>
        </w:rPr>
        <w:t xml:space="preserve"> רי"ף </w:t>
      </w:r>
      <w:r>
        <w:rPr>
          <w:rFonts w:cs="Arial" w:hint="cs"/>
          <w:sz w:val="16"/>
          <w:szCs w:val="16"/>
          <w:rtl/>
        </w:rPr>
        <w:t xml:space="preserve">(כד רע"א, כח סוע"ב) </w:t>
      </w: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ב</w:t>
      </w:r>
      <w:r>
        <w:rPr>
          <w:rFonts w:cs="Arial" w:hint="cs"/>
          <w:sz w:val="16"/>
          <w:szCs w:val="16"/>
          <w:rtl/>
        </w:rPr>
        <w:t xml:space="preserve">) </w:t>
      </w:r>
      <w:r>
        <w:rPr>
          <w:rFonts w:cs="Arial" w:hint="cs"/>
          <w:rtl/>
        </w:rPr>
        <w:t>ו</w:t>
      </w:r>
      <w:r>
        <w:rPr>
          <w:rFonts w:cs="Arial"/>
          <w:rtl/>
        </w:rPr>
        <w:t xml:space="preserve">רא"ש </w:t>
      </w:r>
      <w:r w:rsidRPr="007E3C6C">
        <w:rPr>
          <w:rFonts w:cs="Arial"/>
          <w:sz w:val="16"/>
          <w:szCs w:val="16"/>
          <w:rtl/>
        </w:rPr>
        <w:t>(</w:t>
      </w:r>
      <w:r>
        <w:rPr>
          <w:rFonts w:cs="Arial" w:hint="cs"/>
          <w:sz w:val="16"/>
          <w:szCs w:val="16"/>
          <w:rtl/>
        </w:rPr>
        <w:t xml:space="preserve">פ"ה סי' טו, פ"ו </w:t>
      </w:r>
      <w:r w:rsidRPr="007E3C6C">
        <w:rPr>
          <w:rFonts w:cs="Arial"/>
          <w:sz w:val="16"/>
          <w:szCs w:val="16"/>
          <w:rtl/>
        </w:rPr>
        <w:t>סי' ב)</w:t>
      </w:r>
      <w:r>
        <w:rPr>
          <w:rFonts w:cs="Arial" w:hint="cs"/>
          <w:rtl/>
        </w:rPr>
        <w:t xml:space="preserve">- </w:t>
      </w:r>
      <w:r w:rsidRPr="00E55B2F">
        <w:rPr>
          <w:rFonts w:cs="Arial"/>
          <w:rtl/>
        </w:rPr>
        <w:t>בהעדפה שע"י הדחק</w:t>
      </w:r>
      <w:r>
        <w:rPr>
          <w:rStyle w:val="a7"/>
          <w:rFonts w:cs="Arial"/>
          <w:rtl/>
        </w:rPr>
        <w:footnoteReference w:id="1431"/>
      </w:r>
      <w:r>
        <w:rPr>
          <w:rFonts w:cs="Arial" w:hint="cs"/>
          <w:rtl/>
        </w:rPr>
        <w:t>...-</w:t>
      </w:r>
      <w:r w:rsidRPr="00E55B2F">
        <w:rPr>
          <w:rFonts w:cs="Arial"/>
          <w:rtl/>
        </w:rPr>
        <w:t xml:space="preserve"> הלכה כת"ק</w:t>
      </w:r>
      <w:r>
        <w:rPr>
          <w:rStyle w:val="a7"/>
          <w:rFonts w:cs="Arial"/>
          <w:rtl/>
        </w:rPr>
        <w:footnoteReference w:id="1432"/>
      </w:r>
      <w:r>
        <w:rPr>
          <w:rFonts w:cs="Arial" w:hint="cs"/>
          <w:sz w:val="16"/>
          <w:szCs w:val="16"/>
          <w:rtl/>
        </w:rPr>
        <w:t xml:space="preserve"> (ל' הרי"ף והרא"ש)</w:t>
      </w:r>
      <w:r>
        <w:rPr>
          <w:rFonts w:cs="Arial" w:hint="cs"/>
          <w:rtl/>
        </w:rPr>
        <w:t xml:space="preserve">, לכן, </w:t>
      </w:r>
      <w:r w:rsidRPr="000C6D57">
        <w:rPr>
          <w:rFonts w:cs="Arial"/>
          <w:rtl/>
        </w:rPr>
        <w:t xml:space="preserve">דחקה עצמה ועשת יתר מן הראוי לה </w:t>
      </w:r>
      <w:r>
        <w:rPr>
          <w:rFonts w:cs="Arial" w:hint="cs"/>
          <w:rtl/>
        </w:rPr>
        <w:t xml:space="preserve">- </w:t>
      </w:r>
      <w:r w:rsidRPr="000C6D57">
        <w:rPr>
          <w:rFonts w:cs="Arial"/>
          <w:rtl/>
        </w:rPr>
        <w:t>המותר לבעל</w:t>
      </w:r>
      <w:r>
        <w:rPr>
          <w:rFonts w:cs="Arial" w:hint="cs"/>
          <w:sz w:val="16"/>
          <w:szCs w:val="16"/>
          <w:rtl/>
        </w:rPr>
        <w:t xml:space="preserve"> (ל' הרמב"ם)</w:t>
      </w:r>
      <w:r w:rsidRPr="000C6D57">
        <w:rPr>
          <w:rFonts w:cs="Arial"/>
          <w:rtl/>
        </w:rPr>
        <w:t xml:space="preserve">. </w:t>
      </w:r>
      <w:r w:rsidRPr="00EC5ABC">
        <w:rPr>
          <w:rFonts w:hint="cs"/>
          <w:color w:val="E36C0A" w:themeColor="accent6" w:themeShade="BF"/>
          <w:rtl/>
        </w:rPr>
        <w:t>(וכ"פ בשו"ע)</w:t>
      </w:r>
      <w:r w:rsidRPr="00E55B2F">
        <w:rPr>
          <w:rtl/>
        </w:rPr>
        <w:t xml:space="preserve"> </w:t>
      </w:r>
    </w:p>
    <w:p w14:paraId="23605361" w14:textId="77777777" w:rsidR="002E5BAD" w:rsidRDefault="002E5BAD" w:rsidP="002E5BAD">
      <w:pPr>
        <w:pStyle w:val="ab"/>
        <w:numPr>
          <w:ilvl w:val="0"/>
          <w:numId w:val="166"/>
        </w:numPr>
      </w:pPr>
      <w:r>
        <w:rPr>
          <w:rFonts w:hint="cs"/>
          <w:rtl/>
        </w:rPr>
        <w:t>ר"ח</w:t>
      </w:r>
      <w:r>
        <w:rPr>
          <w:rFonts w:hint="cs"/>
          <w:sz w:val="16"/>
          <w:szCs w:val="16"/>
          <w:rtl/>
        </w:rPr>
        <w:t xml:space="preserve"> (כ"כ בשמו הרא"ש הטור והר"ן)</w:t>
      </w:r>
      <w:r>
        <w:rPr>
          <w:rFonts w:hint="cs"/>
          <w:rtl/>
        </w:rPr>
        <w:t xml:space="preserve">- </w:t>
      </w:r>
      <w:r w:rsidRPr="000C6D57">
        <w:rPr>
          <w:rFonts w:cs="Arial"/>
          <w:rtl/>
        </w:rPr>
        <w:t xml:space="preserve">דחקה עצמה ועשת יתר מן הראוי לה </w:t>
      </w:r>
      <w:r>
        <w:rPr>
          <w:rFonts w:cs="Arial" w:hint="cs"/>
          <w:rtl/>
        </w:rPr>
        <w:t xml:space="preserve">- </w:t>
      </w:r>
      <w:r w:rsidRPr="000C6D57">
        <w:rPr>
          <w:rFonts w:cs="Arial"/>
          <w:rtl/>
        </w:rPr>
        <w:t xml:space="preserve">המותר </w:t>
      </w:r>
      <w:r>
        <w:rPr>
          <w:rFonts w:hint="cs"/>
          <w:rtl/>
        </w:rPr>
        <w:t>לעצמה, כרבי עקיבא.</w:t>
      </w:r>
    </w:p>
    <w:p w14:paraId="416B74CC" w14:textId="77777777" w:rsidR="002E5BAD" w:rsidRPr="004E61B7" w:rsidRDefault="002E5BAD" w:rsidP="002E5BAD">
      <w:pPr>
        <w:ind w:left="360"/>
        <w:rPr>
          <w:rFonts w:cs="Arial"/>
          <w:u w:val="dotted"/>
          <w:rtl/>
        </w:rPr>
      </w:pPr>
      <w:r>
        <w:rPr>
          <w:rFonts w:cs="Arial" w:hint="cs"/>
          <w:u w:val="dotted"/>
          <w:rtl/>
        </w:rPr>
        <w:t xml:space="preserve">ומה הדין </w:t>
      </w:r>
      <w:r w:rsidRPr="004E61B7">
        <w:rPr>
          <w:rFonts w:cs="Arial" w:hint="cs"/>
          <w:u w:val="dotted"/>
          <w:rtl/>
        </w:rPr>
        <w:t xml:space="preserve">אם </w:t>
      </w:r>
      <w:r w:rsidRPr="004E61B7">
        <w:rPr>
          <w:rFonts w:cs="Arial"/>
          <w:u w:val="dotted"/>
          <w:rtl/>
        </w:rPr>
        <w:t>עושה ב' וג' מלאכות ביחד</w:t>
      </w:r>
      <w:r w:rsidRPr="004E61B7">
        <w:rPr>
          <w:rFonts w:cs="Arial" w:hint="cs"/>
          <w:u w:val="dotted"/>
          <w:rtl/>
        </w:rPr>
        <w:t xml:space="preserve">: </w:t>
      </w:r>
    </w:p>
    <w:p w14:paraId="526C97AA" w14:textId="77777777" w:rsidR="002E5BAD" w:rsidRPr="004B36AC" w:rsidRDefault="002E5BAD" w:rsidP="002E5BAD">
      <w:pPr>
        <w:pStyle w:val="ab"/>
        <w:numPr>
          <w:ilvl w:val="0"/>
          <w:numId w:val="168"/>
        </w:numPr>
      </w:pPr>
      <w:r>
        <w:rPr>
          <w:rFonts w:cs="Arial" w:hint="cs"/>
          <w:rtl/>
        </w:rPr>
        <w:t xml:space="preserve">(רי"ף ורמב"ם </w:t>
      </w:r>
      <w:r>
        <w:rPr>
          <w:rFonts w:cs="Arial" w:hint="cs"/>
          <w:sz w:val="16"/>
          <w:szCs w:val="16"/>
          <w:rtl/>
        </w:rPr>
        <w:t>להבנת הב"ש [סק"ב]</w:t>
      </w:r>
      <w:r>
        <w:rPr>
          <w:rFonts w:hint="cs"/>
          <w:rtl/>
        </w:rPr>
        <w:t xml:space="preserve">)- </w:t>
      </w:r>
      <w:r w:rsidRPr="004B36AC">
        <w:rPr>
          <w:rFonts w:cs="Arial"/>
          <w:rtl/>
        </w:rPr>
        <w:t>הן שעשתה בלילה הן שעשתה ב' וג' מלאכות בפעם אחת הכל נקר</w:t>
      </w:r>
      <w:r>
        <w:rPr>
          <w:rFonts w:cs="Arial" w:hint="cs"/>
          <w:rtl/>
        </w:rPr>
        <w:t>א</w:t>
      </w:r>
      <w:r w:rsidRPr="004B36AC">
        <w:rPr>
          <w:rFonts w:cs="Arial"/>
          <w:rtl/>
        </w:rPr>
        <w:t xml:space="preserve"> מחמת דחק</w:t>
      </w:r>
      <w:r>
        <w:rPr>
          <w:rFonts w:cs="Arial" w:hint="cs"/>
          <w:sz w:val="16"/>
          <w:szCs w:val="16"/>
          <w:rtl/>
        </w:rPr>
        <w:t xml:space="preserve"> (ל' הב"ש בשמם)</w:t>
      </w:r>
      <w:r>
        <w:rPr>
          <w:rFonts w:cs="Arial" w:hint="cs"/>
          <w:rtl/>
        </w:rPr>
        <w:t>.</w:t>
      </w:r>
    </w:p>
    <w:p w14:paraId="2B0341A1" w14:textId="77777777" w:rsidR="002E5BAD" w:rsidRPr="004E61B7" w:rsidRDefault="002E5BAD" w:rsidP="002E5BAD">
      <w:pPr>
        <w:pStyle w:val="ab"/>
        <w:numPr>
          <w:ilvl w:val="0"/>
          <w:numId w:val="168"/>
        </w:numPr>
      </w:pPr>
      <w:r>
        <w:rPr>
          <w:rFonts w:cs="Arial" w:hint="cs"/>
          <w:rtl/>
        </w:rPr>
        <w:t>רב האי</w:t>
      </w:r>
      <w:r>
        <w:rPr>
          <w:rFonts w:cs="Arial" w:hint="cs"/>
          <w:sz w:val="16"/>
          <w:szCs w:val="16"/>
          <w:rtl/>
        </w:rPr>
        <w:t xml:space="preserve"> (כ"כ הרא"ש [פ"ו סי' ב] והטור בשמו)</w:t>
      </w:r>
      <w:r>
        <w:rPr>
          <w:rFonts w:cs="Arial" w:hint="cs"/>
          <w:rtl/>
        </w:rPr>
        <w:t>- כיון דסלקא בתיקו הוי לעצמה</w:t>
      </w:r>
      <w:r>
        <w:rPr>
          <w:rStyle w:val="a7"/>
          <w:rFonts w:cs="Arial"/>
          <w:rtl/>
        </w:rPr>
        <w:footnoteReference w:id="1433"/>
      </w:r>
      <w:r>
        <w:rPr>
          <w:rFonts w:cs="Arial" w:hint="cs"/>
          <w:rtl/>
        </w:rPr>
        <w:t xml:space="preserve"> </w:t>
      </w:r>
      <w:r>
        <w:rPr>
          <w:rFonts w:cs="Arial" w:hint="cs"/>
          <w:sz w:val="16"/>
          <w:szCs w:val="16"/>
          <w:rtl/>
        </w:rPr>
        <w:t>(ל' הרא"ש בשמו)</w:t>
      </w:r>
      <w:r>
        <w:rPr>
          <w:rFonts w:cs="Arial" w:hint="cs"/>
          <w:rtl/>
        </w:rPr>
        <w:t>.</w:t>
      </w:r>
      <w:r>
        <w:rPr>
          <w:rFonts w:hint="cs"/>
          <w:rtl/>
        </w:rPr>
        <w:t xml:space="preserve"> (וכ"כ הח"מ</w:t>
      </w:r>
      <w:r>
        <w:rPr>
          <w:rStyle w:val="a7"/>
          <w:rtl/>
        </w:rPr>
        <w:footnoteReference w:id="1434"/>
      </w:r>
      <w:r>
        <w:rPr>
          <w:rFonts w:hint="cs"/>
          <w:sz w:val="16"/>
          <w:szCs w:val="16"/>
          <w:rtl/>
        </w:rPr>
        <w:t xml:space="preserve"> [סק"ב]</w:t>
      </w:r>
      <w:r>
        <w:rPr>
          <w:rFonts w:hint="cs"/>
          <w:rtl/>
        </w:rPr>
        <w:t>)</w:t>
      </w:r>
    </w:p>
    <w:p w14:paraId="36F99468" w14:textId="77777777" w:rsidR="002E5BAD" w:rsidRPr="000D281E" w:rsidRDefault="002E5BAD" w:rsidP="002E5BAD">
      <w:pPr>
        <w:pStyle w:val="ab"/>
        <w:numPr>
          <w:ilvl w:val="0"/>
          <w:numId w:val="168"/>
        </w:numPr>
      </w:pPr>
      <w:r w:rsidRPr="004E61B7">
        <w:rPr>
          <w:rFonts w:cs="Arial"/>
          <w:rtl/>
        </w:rPr>
        <w:lastRenderedPageBreak/>
        <w:t>ר"ח</w:t>
      </w:r>
      <w:r>
        <w:rPr>
          <w:rFonts w:cs="Arial" w:hint="cs"/>
          <w:sz w:val="16"/>
          <w:szCs w:val="16"/>
          <w:rtl/>
        </w:rPr>
        <w:t xml:space="preserve"> (כ"כ הרא"ש [שם] והטור בשמו)</w:t>
      </w:r>
      <w:r>
        <w:rPr>
          <w:rFonts w:cs="Arial" w:hint="cs"/>
          <w:rtl/>
        </w:rPr>
        <w:t xml:space="preserve">- </w:t>
      </w:r>
      <w:r w:rsidRPr="004E61B7">
        <w:rPr>
          <w:rFonts w:cs="Arial"/>
          <w:rtl/>
        </w:rPr>
        <w:t>לא הוי המותר לבעל אלא במותר שלא ע"י הדחק אבל בכל שדחקה בין שעושה בלילה או שעשתה ב' וג' מלאכות ביחד הכל לעצמה</w:t>
      </w:r>
      <w:r>
        <w:rPr>
          <w:rStyle w:val="a7"/>
          <w:rFonts w:cs="Arial"/>
          <w:rtl/>
        </w:rPr>
        <w:footnoteReference w:id="1435"/>
      </w:r>
      <w:r>
        <w:rPr>
          <w:rFonts w:cs="Arial" w:hint="cs"/>
          <w:sz w:val="16"/>
          <w:szCs w:val="16"/>
          <w:rtl/>
        </w:rPr>
        <w:t xml:space="preserve"> (ל' הטור בשמו)</w:t>
      </w:r>
      <w:r>
        <w:rPr>
          <w:rStyle w:val="a7"/>
          <w:rFonts w:cs="Arial"/>
          <w:rtl/>
        </w:rPr>
        <w:footnoteReference w:id="1436"/>
      </w:r>
      <w:r>
        <w:rPr>
          <w:rFonts w:cs="Arial" w:hint="cs"/>
          <w:rtl/>
        </w:rPr>
        <w:t>.</w:t>
      </w:r>
    </w:p>
    <w:p w14:paraId="1FBF283C" w14:textId="77777777" w:rsidR="002E5BAD" w:rsidRPr="003E7259" w:rsidRDefault="002E5BAD" w:rsidP="002E5BAD">
      <w:pPr>
        <w:ind w:left="360"/>
        <w:rPr>
          <w:u w:val="dotted"/>
        </w:rPr>
      </w:pPr>
      <w:r w:rsidRPr="003E7259">
        <w:rPr>
          <w:rFonts w:hint="cs"/>
          <w:u w:val="dotted"/>
          <w:rtl/>
        </w:rPr>
        <w:t>האם יכולה האשה לומר איני נוטלת מעה כסף ואיני נותנת את המותר:</w:t>
      </w:r>
    </w:p>
    <w:p w14:paraId="03774018" w14:textId="77777777" w:rsidR="002E5BAD" w:rsidRPr="002800E3" w:rsidRDefault="002E5BAD" w:rsidP="002E5BAD">
      <w:pPr>
        <w:pStyle w:val="ab"/>
        <w:numPr>
          <w:ilvl w:val="0"/>
          <w:numId w:val="166"/>
        </w:numPr>
      </w:pPr>
      <w:r w:rsidRPr="000A7A9C">
        <w:rPr>
          <w:rFonts w:cs="Arial"/>
          <w:rtl/>
        </w:rPr>
        <w:t>ה"ר יונה</w:t>
      </w:r>
      <w:r>
        <w:rPr>
          <w:rFonts w:cs="Arial" w:hint="cs"/>
          <w:sz w:val="16"/>
          <w:szCs w:val="16"/>
          <w:rtl/>
        </w:rPr>
        <w:t xml:space="preserve"> (כ"כ הטור בשמו)</w:t>
      </w:r>
      <w:r>
        <w:rPr>
          <w:rFonts w:cs="Arial" w:hint="cs"/>
          <w:rtl/>
        </w:rPr>
        <w:t>-</w:t>
      </w:r>
      <w:r w:rsidRPr="000A7A9C">
        <w:rPr>
          <w:rFonts w:cs="Arial"/>
          <w:rtl/>
        </w:rPr>
        <w:t xml:space="preserve"> דוקא בעיקר מעשה ידיה</w:t>
      </w:r>
      <w:r>
        <w:rPr>
          <w:rFonts w:cs="Arial" w:hint="cs"/>
          <w:rtl/>
        </w:rPr>
        <w:t>,</w:t>
      </w:r>
      <w:r w:rsidRPr="000A7A9C">
        <w:rPr>
          <w:rFonts w:cs="Arial"/>
          <w:rtl/>
        </w:rPr>
        <w:t xml:space="preserve"> אבל המותר על ה' סלעים שהוא שלו ותקנו לה כנגדו מעה כסף </w:t>
      </w:r>
      <w:r>
        <w:rPr>
          <w:rFonts w:cs="Arial" w:hint="cs"/>
          <w:rtl/>
        </w:rPr>
        <w:t xml:space="preserve">- </w:t>
      </w:r>
      <w:r w:rsidRPr="000A7A9C">
        <w:rPr>
          <w:rFonts w:cs="Arial"/>
          <w:rtl/>
        </w:rPr>
        <w:t>אינה יכולה לומר איני נוטלת מעה כסף ואיני נותנת מותר</w:t>
      </w:r>
      <w:r>
        <w:rPr>
          <w:rFonts w:cs="Arial" w:hint="cs"/>
          <w:rtl/>
        </w:rPr>
        <w:t>,</w:t>
      </w:r>
      <w:r w:rsidRPr="000A7A9C">
        <w:rPr>
          <w:rFonts w:cs="Arial"/>
          <w:rtl/>
        </w:rPr>
        <w:t xml:space="preserve"> לפי שתקנו לו מותר משום חינא ובתר הכי תקנו לה כנגדו מעה כסף</w:t>
      </w:r>
      <w:r>
        <w:rPr>
          <w:rFonts w:cs="Arial" w:hint="cs"/>
          <w:rtl/>
        </w:rPr>
        <w:t>.</w:t>
      </w:r>
      <w:r w:rsidRPr="000A7A9C">
        <w:rPr>
          <w:rFonts w:cs="Arial"/>
          <w:rtl/>
        </w:rPr>
        <w:t xml:space="preserve"> </w:t>
      </w:r>
    </w:p>
    <w:p w14:paraId="10E29856" w14:textId="77777777" w:rsidR="002E5BAD" w:rsidRDefault="002E5BAD" w:rsidP="002E5BAD">
      <w:pPr>
        <w:pStyle w:val="ab"/>
        <w:numPr>
          <w:ilvl w:val="0"/>
          <w:numId w:val="166"/>
        </w:numPr>
        <w:rPr>
          <w:rtl/>
        </w:rPr>
      </w:pPr>
      <w:r>
        <w:rPr>
          <w:rFonts w:cs="Arial" w:hint="cs"/>
          <w:rtl/>
        </w:rPr>
        <w:t xml:space="preserve">רב אחא גאון </w:t>
      </w:r>
      <w:r w:rsidRPr="002800E3">
        <w:rPr>
          <w:rFonts w:cs="Arial" w:hint="cs"/>
          <w:sz w:val="16"/>
          <w:szCs w:val="16"/>
          <w:rtl/>
        </w:rPr>
        <w:t>(</w:t>
      </w:r>
      <w:r w:rsidRPr="002800E3">
        <w:rPr>
          <w:rFonts w:cs="Arial"/>
          <w:sz w:val="16"/>
          <w:szCs w:val="16"/>
          <w:rtl/>
        </w:rPr>
        <w:t>בשאילתות פרשת ואלה המשפטים שאילתא ס</w:t>
      </w:r>
      <w:r w:rsidRPr="002800E3">
        <w:rPr>
          <w:rFonts w:cs="Arial" w:hint="cs"/>
          <w:sz w:val="16"/>
          <w:szCs w:val="16"/>
          <w:rtl/>
        </w:rPr>
        <w:t xml:space="preserve">) </w:t>
      </w:r>
      <w:r w:rsidRPr="000A7A9C">
        <w:rPr>
          <w:rFonts w:cs="Arial"/>
          <w:rtl/>
        </w:rPr>
        <w:t>רמ"ה</w:t>
      </w:r>
      <w:r>
        <w:rPr>
          <w:rFonts w:cs="Arial" w:hint="cs"/>
          <w:sz w:val="16"/>
          <w:szCs w:val="16"/>
          <w:rtl/>
        </w:rPr>
        <w:t xml:space="preserve"> (כ"כ הטור בשמו)</w:t>
      </w:r>
      <w:r w:rsidRPr="002800E3">
        <w:rPr>
          <w:rFonts w:cs="Arial"/>
          <w:rtl/>
        </w:rPr>
        <w:t xml:space="preserve"> </w:t>
      </w:r>
      <w:r>
        <w:rPr>
          <w:rFonts w:cs="Arial" w:hint="cs"/>
          <w:rtl/>
        </w:rPr>
        <w:t>ו</w:t>
      </w:r>
      <w:r w:rsidRPr="000A7A9C">
        <w:rPr>
          <w:rFonts w:cs="Arial"/>
          <w:rtl/>
        </w:rPr>
        <w:t>ר"ן</w:t>
      </w:r>
      <w:r>
        <w:rPr>
          <w:rFonts w:cs="Arial" w:hint="cs"/>
          <w:rtl/>
        </w:rPr>
        <w:t xml:space="preserve"> </w:t>
      </w:r>
      <w:r w:rsidRPr="002800E3">
        <w:rPr>
          <w:rFonts w:cs="Arial" w:hint="cs"/>
          <w:sz w:val="16"/>
          <w:szCs w:val="16"/>
          <w:rtl/>
        </w:rPr>
        <w:t>(</w:t>
      </w:r>
      <w:r w:rsidRPr="002800E3">
        <w:rPr>
          <w:rFonts w:cs="Arial"/>
          <w:sz w:val="16"/>
          <w:szCs w:val="16"/>
          <w:rtl/>
        </w:rPr>
        <w:t>פ</w:t>
      </w:r>
      <w:r w:rsidRPr="002800E3">
        <w:rPr>
          <w:rFonts w:cs="Arial" w:hint="cs"/>
          <w:sz w:val="16"/>
          <w:szCs w:val="16"/>
          <w:rtl/>
        </w:rPr>
        <w:t>'</w:t>
      </w:r>
      <w:r w:rsidRPr="002800E3">
        <w:rPr>
          <w:rFonts w:cs="Arial"/>
          <w:sz w:val="16"/>
          <w:szCs w:val="16"/>
          <w:rtl/>
        </w:rPr>
        <w:t xml:space="preserve"> אף על פי </w:t>
      </w:r>
      <w:r w:rsidRPr="002800E3">
        <w:rPr>
          <w:rFonts w:cs="Arial" w:hint="cs"/>
          <w:sz w:val="16"/>
          <w:szCs w:val="16"/>
          <w:rtl/>
        </w:rPr>
        <w:t>כד. ד"ה וגרסינן</w:t>
      </w:r>
      <w:r w:rsidRPr="002800E3">
        <w:rPr>
          <w:rFonts w:cs="Arial"/>
          <w:sz w:val="16"/>
          <w:szCs w:val="16"/>
          <w:rtl/>
        </w:rPr>
        <w:t>)</w:t>
      </w:r>
      <w:r>
        <w:rPr>
          <w:rFonts w:cs="Arial" w:hint="cs"/>
          <w:rtl/>
        </w:rPr>
        <w:t xml:space="preserve">- </w:t>
      </w:r>
      <w:r w:rsidRPr="000A7A9C">
        <w:rPr>
          <w:rFonts w:cs="Arial"/>
          <w:rtl/>
        </w:rPr>
        <w:t>גם במותר יכולה לומר איני נוטלת מעה כסף ואיני נותנת מותר</w:t>
      </w:r>
      <w:r>
        <w:rPr>
          <w:rStyle w:val="a7"/>
          <w:rFonts w:cs="Arial"/>
          <w:rtl/>
        </w:rPr>
        <w:footnoteReference w:id="1437"/>
      </w:r>
      <w:r>
        <w:rPr>
          <w:rFonts w:cs="Arial" w:hint="cs"/>
          <w:sz w:val="16"/>
          <w:szCs w:val="16"/>
          <w:rtl/>
        </w:rPr>
        <w:t xml:space="preserve"> (ל' הטור בשם הרמ"ה)</w:t>
      </w:r>
      <w:r>
        <w:rPr>
          <w:rFonts w:cs="Arial" w:hint="cs"/>
          <w:rtl/>
        </w:rPr>
        <w:t>.</w:t>
      </w:r>
      <w:r w:rsidRPr="005D608E">
        <w:rPr>
          <w:rFonts w:hint="cs"/>
          <w:color w:val="00B0F0"/>
          <w:rtl/>
        </w:rPr>
        <w:t xml:space="preserve"> (וכ"פ הרמ"א)</w:t>
      </w:r>
    </w:p>
    <w:p w14:paraId="5FFAD6E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5128C6C" w14:textId="77777777" w:rsidR="002E5BAD" w:rsidRDefault="002E5BAD" w:rsidP="002E5BAD">
      <w:pPr>
        <w:rPr>
          <w:rFonts w:cs="Arial"/>
          <w:sz w:val="18"/>
          <w:szCs w:val="18"/>
          <w:rtl/>
        </w:rPr>
      </w:pPr>
      <w:r>
        <w:rPr>
          <w:rFonts w:cs="Arial"/>
          <w:rtl/>
        </w:rPr>
        <w:t>מעשה ידיה לבעלה</w:t>
      </w:r>
      <w:r>
        <w:rPr>
          <w:rStyle w:val="a7"/>
          <w:rFonts w:cs="Arial"/>
          <w:rtl/>
        </w:rPr>
        <w:footnoteReference w:id="1438"/>
      </w:r>
      <w:r>
        <w:rPr>
          <w:rFonts w:cs="Arial"/>
          <w:rtl/>
        </w:rPr>
        <w:t>, כיצד, הכל כמנהג המדינה</w:t>
      </w:r>
      <w:r>
        <w:rPr>
          <w:rFonts w:cs="Arial" w:hint="cs"/>
          <w:rtl/>
        </w:rPr>
        <w:t>,</w:t>
      </w:r>
      <w:r>
        <w:rPr>
          <w:rFonts w:cs="Arial"/>
          <w:rtl/>
        </w:rPr>
        <w:t xml:space="preserve"> מקום שדרכן לארוג, אורגת</w:t>
      </w:r>
      <w:r>
        <w:rPr>
          <w:rFonts w:cs="Arial" w:hint="cs"/>
          <w:rtl/>
        </w:rPr>
        <w:t>.</w:t>
      </w:r>
      <w:r>
        <w:rPr>
          <w:rFonts w:cs="Arial"/>
          <w:rtl/>
        </w:rPr>
        <w:t xml:space="preserve"> לרקום, רוקמת</w:t>
      </w:r>
      <w:r>
        <w:rPr>
          <w:rFonts w:cs="Arial" w:hint="cs"/>
          <w:rtl/>
        </w:rPr>
        <w:t>.</w:t>
      </w:r>
      <w:r>
        <w:rPr>
          <w:rFonts w:cs="Arial"/>
          <w:rtl/>
        </w:rPr>
        <w:t xml:space="preserve"> לטוות צמר או פשתים, טווה</w:t>
      </w:r>
      <w:r>
        <w:rPr>
          <w:rFonts w:cs="Arial" w:hint="cs"/>
          <w:rtl/>
        </w:rPr>
        <w:t>.</w:t>
      </w:r>
      <w:r>
        <w:rPr>
          <w:rFonts w:cs="Arial"/>
          <w:rtl/>
        </w:rPr>
        <w:t xml:space="preserve"> ואם לא היה דרך נשי העיר לעשות כל המלאכות האלו</w:t>
      </w:r>
      <w:r>
        <w:rPr>
          <w:rStyle w:val="a7"/>
          <w:rFonts w:cs="Arial"/>
          <w:rtl/>
        </w:rPr>
        <w:footnoteReference w:id="1439"/>
      </w:r>
      <w:r>
        <w:rPr>
          <w:rFonts w:cs="Arial"/>
          <w:rtl/>
        </w:rPr>
        <w:t xml:space="preserve">, אינו כופה אלא לטוות הצמר בלבד. דחקה עצמה ועשתה יותר מהראוי לה, המותר לבעל. </w:t>
      </w:r>
      <w:r w:rsidRPr="004D0526">
        <w:rPr>
          <w:rFonts w:cs="Arial"/>
          <w:sz w:val="18"/>
          <w:szCs w:val="18"/>
          <w:rtl/>
        </w:rPr>
        <w:t>הגה: ודוקא שנותן לה מעה כסף כל שבוע</w:t>
      </w:r>
      <w:r>
        <w:rPr>
          <w:rStyle w:val="a7"/>
          <w:rFonts w:cs="Arial"/>
          <w:sz w:val="18"/>
          <w:szCs w:val="18"/>
          <w:rtl/>
        </w:rPr>
        <w:footnoteReference w:id="1440"/>
      </w:r>
      <w:r w:rsidRPr="004D0526">
        <w:rPr>
          <w:rFonts w:cs="Arial"/>
          <w:sz w:val="18"/>
          <w:szCs w:val="18"/>
          <w:rtl/>
        </w:rPr>
        <w:t>, כמו שנתבאר לעיל סימן ע'. ויכולה אשה לומר: איני נוטלת מעה כסף ואיני נותן המותר</w:t>
      </w:r>
      <w:r>
        <w:rPr>
          <w:rFonts w:cs="Arial" w:hint="cs"/>
          <w:sz w:val="18"/>
          <w:szCs w:val="18"/>
          <w:rtl/>
        </w:rPr>
        <w:t>,</w:t>
      </w:r>
      <w:r w:rsidRPr="004D0526">
        <w:rPr>
          <w:rFonts w:cs="Arial"/>
          <w:sz w:val="18"/>
          <w:szCs w:val="18"/>
          <w:rtl/>
        </w:rPr>
        <w:t xml:space="preserve"> אבל הבעל לא יוכל לומר כן (טור בשם הרמ"ה וכ"כ הר"ן </w:t>
      </w:r>
      <w:r>
        <w:rPr>
          <w:rFonts w:cs="Arial" w:hint="cs"/>
          <w:sz w:val="18"/>
          <w:szCs w:val="18"/>
          <w:rtl/>
        </w:rPr>
        <w:t>ו</w:t>
      </w:r>
      <w:r w:rsidRPr="004D0526">
        <w:rPr>
          <w:rFonts w:cs="Arial"/>
          <w:sz w:val="18"/>
          <w:szCs w:val="18"/>
          <w:rtl/>
        </w:rPr>
        <w:t>השאלתות</w:t>
      </w:r>
      <w:r>
        <w:rPr>
          <w:rFonts w:cs="Arial" w:hint="cs"/>
          <w:sz w:val="18"/>
          <w:szCs w:val="18"/>
          <w:rtl/>
        </w:rPr>
        <w:t>)</w:t>
      </w:r>
      <w:r w:rsidRPr="004D0526">
        <w:rPr>
          <w:rFonts w:cs="Arial"/>
          <w:sz w:val="18"/>
          <w:szCs w:val="18"/>
          <w:rtl/>
        </w:rPr>
        <w:t xml:space="preserve">. </w:t>
      </w:r>
    </w:p>
    <w:p w14:paraId="23A1C96D" w14:textId="77777777" w:rsidR="002E5BAD" w:rsidRPr="00E47041" w:rsidRDefault="002E5BAD" w:rsidP="002E5BAD">
      <w:pPr>
        <w:rPr>
          <w:u w:val="single"/>
          <w:rtl/>
        </w:rPr>
      </w:pPr>
      <w:r w:rsidRPr="00E47041">
        <w:rPr>
          <w:rFonts w:cs="Arial" w:hint="cs"/>
          <w:u w:val="single"/>
          <w:rtl/>
        </w:rPr>
        <w:t>אשה שמפר</w:t>
      </w:r>
      <w:r>
        <w:rPr>
          <w:rFonts w:cs="Arial" w:hint="cs"/>
          <w:u w:val="single"/>
          <w:rtl/>
        </w:rPr>
        <w:t>ס</w:t>
      </w:r>
      <w:r w:rsidRPr="00E47041">
        <w:rPr>
          <w:rFonts w:cs="Arial" w:hint="cs"/>
          <w:u w:val="single"/>
          <w:rtl/>
        </w:rPr>
        <w:t xml:space="preserve">נת את בעלה </w:t>
      </w:r>
      <w:r w:rsidRPr="00E47041">
        <w:rPr>
          <w:rFonts w:cs="Arial"/>
          <w:u w:val="single"/>
          <w:rtl/>
        </w:rPr>
        <w:t>–</w:t>
      </w:r>
      <w:r w:rsidRPr="00E47041">
        <w:rPr>
          <w:rFonts w:cs="Arial" w:hint="cs"/>
          <w:u w:val="single"/>
          <w:rtl/>
        </w:rPr>
        <w:t xml:space="preserve"> מעשה ידיה למי:</w:t>
      </w:r>
    </w:p>
    <w:p w14:paraId="10B92B4C" w14:textId="77777777" w:rsidR="002E5BAD" w:rsidRPr="00E47041" w:rsidRDefault="002E5BAD" w:rsidP="002E5BAD">
      <w:pPr>
        <w:pStyle w:val="ab"/>
        <w:numPr>
          <w:ilvl w:val="0"/>
          <w:numId w:val="171"/>
        </w:numPr>
      </w:pPr>
      <w:r w:rsidRPr="00066AA5">
        <w:rPr>
          <w:rFonts w:cs="Arial" w:hint="cs"/>
          <w:rtl/>
        </w:rPr>
        <w:t>באה"ט</w:t>
      </w:r>
      <w:r w:rsidRPr="00066AA5">
        <w:rPr>
          <w:rFonts w:cs="Arial" w:hint="cs"/>
          <w:sz w:val="16"/>
          <w:szCs w:val="16"/>
          <w:rtl/>
        </w:rPr>
        <w:t xml:space="preserve"> (סק"א)</w:t>
      </w:r>
      <w:r w:rsidRPr="00066AA5">
        <w:rPr>
          <w:rFonts w:cs="Arial" w:hint="cs"/>
          <w:rtl/>
        </w:rPr>
        <w:t>-</w:t>
      </w:r>
      <w:r w:rsidRPr="00066AA5">
        <w:rPr>
          <w:rFonts w:cs="Arial"/>
          <w:rtl/>
        </w:rPr>
        <w:t xml:space="preserve"> נשים הללו גבירות ונכנסות בחצירות שרי המלכים והמה כאניות סוחר להביא טרף לביתם ומכלכלים את בעליהם </w:t>
      </w:r>
      <w:r>
        <w:rPr>
          <w:rFonts w:cs="Arial" w:hint="cs"/>
          <w:rtl/>
        </w:rPr>
        <w:t xml:space="preserve">- </w:t>
      </w:r>
      <w:r w:rsidRPr="00066AA5">
        <w:rPr>
          <w:rFonts w:cs="Arial"/>
          <w:rtl/>
        </w:rPr>
        <w:t>מעשה ידיהם לבעליהן</w:t>
      </w:r>
      <w:r>
        <w:rPr>
          <w:rStyle w:val="a7"/>
          <w:rFonts w:cs="Arial"/>
          <w:rtl/>
        </w:rPr>
        <w:footnoteReference w:id="1441"/>
      </w:r>
      <w:r>
        <w:rPr>
          <w:rFonts w:cs="Arial" w:hint="cs"/>
          <w:rtl/>
        </w:rPr>
        <w:t>,</w:t>
      </w:r>
      <w:r w:rsidRPr="00066AA5">
        <w:rPr>
          <w:rFonts w:cs="Arial"/>
          <w:rtl/>
        </w:rPr>
        <w:t xml:space="preserve"> מהרי"ט</w:t>
      </w:r>
      <w:r>
        <w:rPr>
          <w:rStyle w:val="a7"/>
          <w:rFonts w:cs="Arial"/>
          <w:rtl/>
        </w:rPr>
        <w:footnoteReference w:id="1442"/>
      </w:r>
      <w:r w:rsidRPr="00066AA5">
        <w:rPr>
          <w:rFonts w:cs="Arial"/>
          <w:rtl/>
        </w:rPr>
        <w:t xml:space="preserve"> ח"ב חח"מ סי' סז.</w:t>
      </w:r>
    </w:p>
    <w:p w14:paraId="2ABECE24" w14:textId="77777777" w:rsidR="002E5BAD" w:rsidRPr="00E47041" w:rsidRDefault="002E5BAD" w:rsidP="002E5BAD">
      <w:pPr>
        <w:rPr>
          <w:u w:val="single"/>
        </w:rPr>
      </w:pPr>
      <w:r w:rsidRPr="00E47041">
        <w:rPr>
          <w:rFonts w:hint="cs"/>
          <w:u w:val="single"/>
          <w:rtl/>
        </w:rPr>
        <w:lastRenderedPageBreak/>
        <w:t>מגורשת ואינה מגורשת, וכן שכ"מ שנתן לאשתו גט על תנאי:</w:t>
      </w:r>
    </w:p>
    <w:p w14:paraId="74F6F226" w14:textId="77777777" w:rsidR="002E5BAD" w:rsidRDefault="002E5BAD" w:rsidP="002E5BAD">
      <w:pPr>
        <w:pStyle w:val="ab"/>
        <w:numPr>
          <w:ilvl w:val="0"/>
          <w:numId w:val="171"/>
        </w:numPr>
        <w:rPr>
          <w:rtl/>
        </w:rPr>
      </w:pPr>
      <w:r w:rsidRPr="00066AA5">
        <w:rPr>
          <w:rFonts w:cs="Arial" w:hint="cs"/>
          <w:rtl/>
        </w:rPr>
        <w:t>באה"ט</w:t>
      </w:r>
      <w:r w:rsidRPr="00066AA5">
        <w:rPr>
          <w:rFonts w:cs="Arial" w:hint="cs"/>
          <w:sz w:val="16"/>
          <w:szCs w:val="16"/>
          <w:rtl/>
        </w:rPr>
        <w:t xml:space="preserve"> (סק"א)</w:t>
      </w:r>
      <w:r w:rsidRPr="00066AA5">
        <w:rPr>
          <w:rFonts w:cs="Arial" w:hint="cs"/>
          <w:rtl/>
        </w:rPr>
        <w:t>-</w:t>
      </w:r>
      <w:r w:rsidRPr="00066AA5">
        <w:rPr>
          <w:rFonts w:cs="Arial"/>
          <w:rtl/>
        </w:rPr>
        <w:t xml:space="preserve"> מגורשת ואינה מגורשת וכן ש"מ שנתן גט לאשתו בתנאי מעכשיו אף על פי שחייב במזונותיה </w:t>
      </w:r>
      <w:r>
        <w:rPr>
          <w:rFonts w:cs="Arial" w:hint="cs"/>
          <w:rtl/>
        </w:rPr>
        <w:t xml:space="preserve">- </w:t>
      </w:r>
      <w:r w:rsidRPr="00066AA5">
        <w:rPr>
          <w:rFonts w:cs="Arial"/>
          <w:rtl/>
        </w:rPr>
        <w:t>מעשה ידיה שלה</w:t>
      </w:r>
      <w:r>
        <w:rPr>
          <w:rFonts w:cs="Arial" w:hint="cs"/>
          <w:rtl/>
        </w:rPr>
        <w:t>,</w:t>
      </w:r>
      <w:r w:rsidRPr="00066AA5">
        <w:rPr>
          <w:rFonts w:cs="Arial"/>
          <w:rtl/>
        </w:rPr>
        <w:t xml:space="preserve"> הרא"ם ח"א סי' ל"ד</w:t>
      </w:r>
      <w:r>
        <w:rPr>
          <w:rFonts w:cs="Arial" w:hint="cs"/>
          <w:rtl/>
        </w:rPr>
        <w:t>.</w:t>
      </w:r>
    </w:p>
    <w:p w14:paraId="40B4890D" w14:textId="77777777" w:rsidR="002E5BAD" w:rsidRPr="004A5CA6" w:rsidRDefault="002E5BAD" w:rsidP="002E5BAD">
      <w:pPr>
        <w:rPr>
          <w:sz w:val="16"/>
          <w:szCs w:val="16"/>
          <w:u w:val="single"/>
          <w:rtl/>
        </w:rPr>
      </w:pPr>
      <w:r w:rsidRPr="004A5CA6">
        <w:rPr>
          <w:rFonts w:hint="cs"/>
          <w:u w:val="single"/>
          <w:rtl/>
        </w:rPr>
        <w:t xml:space="preserve">זוג שהתחתנו ומקבלים מזונות מאבי הכלה לשנים הראשונות, והכלה עושה מלאכה </w:t>
      </w:r>
      <w:r w:rsidRPr="004A5CA6">
        <w:rPr>
          <w:u w:val="single"/>
          <w:rtl/>
        </w:rPr>
        <w:t>–</w:t>
      </w:r>
      <w:r w:rsidRPr="004A5CA6">
        <w:rPr>
          <w:rFonts w:hint="cs"/>
          <w:u w:val="single"/>
          <w:rtl/>
        </w:rPr>
        <w:t xml:space="preserve"> מעשה ידיה למי:</w:t>
      </w:r>
      <w:r w:rsidRPr="004A5CA6">
        <w:rPr>
          <w:rFonts w:hint="cs"/>
          <w:sz w:val="16"/>
          <w:szCs w:val="16"/>
          <w:rtl/>
        </w:rPr>
        <w:t xml:space="preserve"> (פת"ש סק"א)</w:t>
      </w:r>
    </w:p>
    <w:p w14:paraId="68FA8B44" w14:textId="77777777" w:rsidR="002E5BAD" w:rsidRDefault="002E5BAD" w:rsidP="002E5BAD">
      <w:pPr>
        <w:pStyle w:val="ab"/>
        <w:numPr>
          <w:ilvl w:val="0"/>
          <w:numId w:val="166"/>
        </w:numPr>
        <w:rPr>
          <w:rtl/>
        </w:rPr>
      </w:pPr>
      <w:r w:rsidRPr="004A5CA6">
        <w:rPr>
          <w:rFonts w:cs="Arial"/>
          <w:rtl/>
        </w:rPr>
        <w:t xml:space="preserve">גבעת שאול </w:t>
      </w:r>
      <w:r w:rsidRPr="004A5CA6">
        <w:rPr>
          <w:rFonts w:cs="Arial" w:hint="cs"/>
          <w:sz w:val="16"/>
          <w:szCs w:val="16"/>
          <w:rtl/>
        </w:rPr>
        <w:t>(</w:t>
      </w:r>
      <w:r w:rsidRPr="004A5CA6">
        <w:rPr>
          <w:rFonts w:cs="Arial"/>
          <w:sz w:val="16"/>
          <w:szCs w:val="16"/>
          <w:rtl/>
        </w:rPr>
        <w:t>סי' לג</w:t>
      </w:r>
      <w:r w:rsidRPr="004A5CA6">
        <w:rPr>
          <w:rFonts w:cs="Arial" w:hint="cs"/>
          <w:sz w:val="16"/>
          <w:szCs w:val="16"/>
          <w:rtl/>
        </w:rPr>
        <w:t>)</w:t>
      </w:r>
      <w:r w:rsidRPr="004A5CA6">
        <w:rPr>
          <w:rFonts w:cs="Arial" w:hint="cs"/>
          <w:rtl/>
        </w:rPr>
        <w:t>-</w:t>
      </w:r>
      <w:r w:rsidRPr="004A5CA6">
        <w:rPr>
          <w:rFonts w:cs="Arial"/>
          <w:rtl/>
        </w:rPr>
        <w:t xml:space="preserve"> </w:t>
      </w:r>
      <w:r w:rsidRPr="004A5CA6">
        <w:rPr>
          <w:rFonts w:cs="Arial" w:hint="cs"/>
          <w:rtl/>
        </w:rPr>
        <w:t xml:space="preserve">נשאלתי על </w:t>
      </w:r>
      <w:r w:rsidRPr="004A5CA6">
        <w:rPr>
          <w:rFonts w:cs="Arial"/>
          <w:rtl/>
        </w:rPr>
        <w:t>ראובן השיא לבנו את בת שמעון והתחייבו עצמם בק"ס ליתן מזונות להזוג כמה שנים כנהוג במדינותינו ובתוך משך זמן המזונות שזנו אותן אביהן עסקה אשת בן ראובן במלאכ' והרויחה מעשה ידיה למי אביהן ודאי לא זכה בהן אך יש לספק אם זכה בהן הבעל דהא מ"י תקנו תחת מזונות והרי אינה ניזונת משל בעל. והשואל הביא ראיה דזכה בהן הבעל מדברי הרמב"ם פ"ג מהל' עבדים דין ב' בעבד עברי שהאדון חייב במזונות אשתו אף שנשאה אחר המכירה. ואפ"ה מ"י ומציאתה לבעלה כמבואר שם. הוא ז"ל השיב לו דאין מדברי הרמב"ם ראיה דשם מה שהאדון נותן המזונות לאשת העבד הוא מכח מ"י של בעלה העבד דהא אם מת העבד אינו נותן מזונות לאשתו משא"כ הכא דהמזונו' הוא מחמת חוב ואף אם מת הבן מחוייב ליתן לכלתו עד תשלום הזמן כמ"ש הב"ש בסי' קי"ד (עמ"ש שם סק"א). אמנם להלכה הדין עמו דברור הוא כל היכא דמ"י שלה זכה בהן הבעל מתנאי כתובה וכן הוא להדיא בהרא"ש ר"פ הנושא בשם הירושלמי והובא בב"י סי' קי"ד בקיצור וגם המ"מ בפכ"ג מה"א דין י"ח הביא ג"כ דברי הירוש' הזה דמי שפסק לזון את כלתו זנה ומעשה ידיה של בנו. ואין לחלק בין פוסק לכלתו או לבתו דמאי שנא</w:t>
      </w:r>
      <w:r>
        <w:rPr>
          <w:rFonts w:hint="cs"/>
          <w:rtl/>
        </w:rPr>
        <w:t>.</w:t>
      </w:r>
    </w:p>
    <w:p w14:paraId="6EBD9DD8" w14:textId="77777777" w:rsidR="002E5BAD" w:rsidRDefault="002E5BAD" w:rsidP="002E5BAD">
      <w:pPr>
        <w:rPr>
          <w:rtl/>
        </w:rPr>
      </w:pPr>
    </w:p>
    <w:p w14:paraId="7B5D681E" w14:textId="77777777" w:rsidR="002E5BAD" w:rsidRDefault="002E5BAD" w:rsidP="002E5BAD">
      <w:pPr>
        <w:pStyle w:val="2"/>
        <w:rPr>
          <w:rtl/>
        </w:rPr>
      </w:pPr>
      <w:r>
        <w:rPr>
          <w:rtl/>
        </w:rPr>
        <w:t>סעיף ב</w:t>
      </w:r>
      <w:r>
        <w:rPr>
          <w:rFonts w:hint="cs"/>
          <w:rtl/>
        </w:rPr>
        <w:t>: חיוב מעשה ידיה באשה שיש לה הרבה ממון/שפחות.</w:t>
      </w:r>
    </w:p>
    <w:p w14:paraId="49704274" w14:textId="77777777" w:rsidR="002E5BAD" w:rsidRPr="00986CA6"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1C664D">
        <w:rPr>
          <w:rFonts w:cs="Arial"/>
          <w:rtl/>
        </w:rPr>
        <w:t xml:space="preserve">ר' אליעזר אומר: אפילו הכניסה לו מאה שפחות. </w:t>
      </w:r>
      <w:r w:rsidRPr="001C664D">
        <w:rPr>
          <w:rFonts w:cs="Arial"/>
          <w:u w:val="single"/>
          <w:rtl/>
        </w:rPr>
        <w:t>אמר רב מלכיו אמר רב אדא בר אהבה</w:t>
      </w:r>
      <w:r w:rsidRPr="001C664D">
        <w:rPr>
          <w:rFonts w:cs="Arial"/>
          <w:rtl/>
        </w:rPr>
        <w:t>: הלכה כרבי אליעזר</w:t>
      </w:r>
      <w:r>
        <w:rPr>
          <w:rFonts w:cs="Arial" w:hint="cs"/>
          <w:rtl/>
        </w:rPr>
        <w:t>..</w:t>
      </w:r>
      <w:r w:rsidRPr="001C664D">
        <w:rPr>
          <w:rFonts w:cs="Arial"/>
          <w:rtl/>
        </w:rPr>
        <w:t>.</w:t>
      </w:r>
      <w:r w:rsidRPr="00D04A54">
        <w:rPr>
          <w:rtl/>
        </w:rPr>
        <w:t xml:space="preserve"> </w:t>
      </w:r>
      <w:r w:rsidRPr="00D04A54">
        <w:rPr>
          <w:rFonts w:cs="Arial"/>
          <w:rtl/>
        </w:rPr>
        <w:t>רשב"ג אומר וכו'. היינו תנא קמא</w:t>
      </w:r>
      <w:r>
        <w:rPr>
          <w:rStyle w:val="a7"/>
          <w:rFonts w:cs="Arial"/>
          <w:rtl/>
        </w:rPr>
        <w:footnoteReference w:id="1443"/>
      </w:r>
      <w:r w:rsidRPr="00D04A54">
        <w:rPr>
          <w:rFonts w:cs="Arial"/>
          <w:rtl/>
        </w:rPr>
        <w:t>! איכא בינייהו, דמיטללא בגורייתא קיטנייתא ונדרשיר</w:t>
      </w:r>
      <w:r>
        <w:rPr>
          <w:rStyle w:val="a7"/>
          <w:rFonts w:cs="Arial"/>
          <w:rtl/>
        </w:rPr>
        <w:footnoteReference w:id="1444"/>
      </w:r>
      <w:r w:rsidRPr="00D04A54">
        <w:rPr>
          <w:rFonts w:cs="Arial"/>
          <w:rtl/>
        </w:rPr>
        <w:t>.</w:t>
      </w:r>
    </w:p>
    <w:p w14:paraId="72B24A35" w14:textId="77777777" w:rsidR="002E5BAD" w:rsidRPr="00D04A54" w:rsidRDefault="002E5BAD" w:rsidP="002E5BAD">
      <w:pPr>
        <w:rPr>
          <w:u w:val="single"/>
        </w:rPr>
      </w:pPr>
      <w:r w:rsidRPr="00D04A54">
        <w:rPr>
          <w:rFonts w:hint="cs"/>
          <w:u w:val="single"/>
          <w:rtl/>
        </w:rPr>
        <w:t xml:space="preserve">אשה שיש לה הרבה ממון/שפחות </w:t>
      </w:r>
      <w:r w:rsidRPr="00D04A54">
        <w:rPr>
          <w:u w:val="single"/>
          <w:rtl/>
        </w:rPr>
        <w:t>–</w:t>
      </w:r>
      <w:r w:rsidRPr="00D04A54">
        <w:rPr>
          <w:rFonts w:hint="cs"/>
          <w:u w:val="single"/>
          <w:rtl/>
        </w:rPr>
        <w:t xml:space="preserve"> האם חייבת במלאכות הנ"ל:</w:t>
      </w:r>
    </w:p>
    <w:p w14:paraId="3CD5CCF0" w14:textId="77777777" w:rsidR="002E5BAD" w:rsidRPr="001C664D" w:rsidRDefault="002E5BAD" w:rsidP="002E5BAD">
      <w:pPr>
        <w:pStyle w:val="ab"/>
        <w:numPr>
          <w:ilvl w:val="0"/>
          <w:numId w:val="166"/>
        </w:numPr>
      </w:pPr>
      <w:r>
        <w:rPr>
          <w:rFonts w:cs="Arial" w:hint="cs"/>
          <w:rtl/>
        </w:rPr>
        <w:t xml:space="preserve">טור- </w:t>
      </w:r>
      <w:r w:rsidRPr="000A7A9C">
        <w:rPr>
          <w:rFonts w:cs="Arial"/>
          <w:rtl/>
        </w:rPr>
        <w:t>וכן צריכה לעשות בצמר אפי' יש לה כמה שפחות שהבטלה מביאה לידי זימה</w:t>
      </w:r>
      <w:r>
        <w:rPr>
          <w:rFonts w:cs="Arial" w:hint="cs"/>
          <w:rtl/>
        </w:rPr>
        <w:t>.</w:t>
      </w:r>
      <w:r w:rsidRPr="000A7A9C">
        <w:rPr>
          <w:rFonts w:cs="Arial"/>
          <w:rtl/>
        </w:rPr>
        <w:t xml:space="preserve"> </w:t>
      </w:r>
    </w:p>
    <w:p w14:paraId="7123EC6D" w14:textId="77777777" w:rsidR="002E5BAD" w:rsidRDefault="002E5BAD" w:rsidP="002E5BAD">
      <w:pPr>
        <w:pStyle w:val="ab"/>
        <w:numPr>
          <w:ilvl w:val="0"/>
          <w:numId w:val="166"/>
        </w:numPr>
      </w:pP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ב</w:t>
      </w:r>
      <w:r>
        <w:rPr>
          <w:rFonts w:cs="Arial" w:hint="cs"/>
          <w:sz w:val="16"/>
          <w:szCs w:val="16"/>
          <w:rtl/>
        </w:rPr>
        <w:t>)</w:t>
      </w:r>
      <w:r>
        <w:rPr>
          <w:rFonts w:cs="Arial" w:hint="cs"/>
          <w:rtl/>
        </w:rPr>
        <w:t xml:space="preserve">- </w:t>
      </w:r>
      <w:r w:rsidRPr="000C6D57">
        <w:rPr>
          <w:rFonts w:cs="Arial"/>
          <w:rtl/>
        </w:rPr>
        <w:t>היה לו ולה ממון הרבה אפילו היו להן כמה שפחות אינה יושבת לבטלה בלא מלאכה שהבטלה מביאה לידי זמה, אבל אין כופין אותה לעשות מלאכה כל היום כולו אלא לפי רוב הממון ממעטת במלאכה.</w:t>
      </w:r>
      <w:r w:rsidRPr="0081407D">
        <w:rPr>
          <w:rFonts w:hint="cs"/>
          <w:color w:val="E36C0A" w:themeColor="accent6" w:themeShade="BF"/>
          <w:rtl/>
        </w:rPr>
        <w:t xml:space="preserve"> </w:t>
      </w:r>
      <w:r w:rsidRPr="00EC5ABC">
        <w:rPr>
          <w:rFonts w:hint="cs"/>
          <w:color w:val="E36C0A" w:themeColor="accent6" w:themeShade="BF"/>
          <w:rtl/>
        </w:rPr>
        <w:t>(וכ"פ בשו"ע)</w:t>
      </w:r>
    </w:p>
    <w:p w14:paraId="0A31F841" w14:textId="77777777" w:rsidR="002E5BAD" w:rsidRPr="00E73332" w:rsidRDefault="002E5BAD" w:rsidP="002E5BAD">
      <w:pPr>
        <w:ind w:left="360"/>
        <w:rPr>
          <w:sz w:val="16"/>
          <w:szCs w:val="16"/>
          <w:u w:val="single"/>
        </w:rPr>
      </w:pPr>
      <w:r w:rsidRPr="001B4F87">
        <w:rPr>
          <w:rFonts w:hint="cs"/>
          <w:u w:val="dotted"/>
          <w:rtl/>
        </w:rPr>
        <w:t>כש</w:t>
      </w:r>
      <w:r>
        <w:rPr>
          <w:rFonts w:hint="cs"/>
          <w:u w:val="dotted"/>
          <w:rtl/>
        </w:rPr>
        <w:t>מ</w:t>
      </w:r>
      <w:r w:rsidRPr="001B4F87">
        <w:rPr>
          <w:rFonts w:hint="cs"/>
          <w:u w:val="dotted"/>
          <w:rtl/>
        </w:rPr>
        <w:t>חייבים אותה לעבוד כדי שלא תבוא לידי זימה</w:t>
      </w:r>
      <w:r>
        <w:rPr>
          <w:rFonts w:hint="cs"/>
          <w:u w:val="dotted"/>
          <w:rtl/>
        </w:rPr>
        <w:t xml:space="preserve"> כנ"ל</w:t>
      </w:r>
      <w:r w:rsidRPr="001B4F87">
        <w:rPr>
          <w:rFonts w:hint="cs"/>
          <w:u w:val="dotted"/>
          <w:rtl/>
        </w:rPr>
        <w:t xml:space="preserve"> </w:t>
      </w:r>
      <w:r w:rsidRPr="001B4F87">
        <w:rPr>
          <w:u w:val="dotted"/>
          <w:rtl/>
        </w:rPr>
        <w:t>–</w:t>
      </w:r>
      <w:r w:rsidRPr="001B4F87">
        <w:rPr>
          <w:rFonts w:hint="cs"/>
          <w:u w:val="dotted"/>
          <w:rtl/>
        </w:rPr>
        <w:t xml:space="preserve"> למי שייכים </w:t>
      </w:r>
      <w:r>
        <w:rPr>
          <w:rFonts w:hint="cs"/>
          <w:u w:val="dotted"/>
          <w:rtl/>
        </w:rPr>
        <w:t>מ</w:t>
      </w:r>
      <w:r w:rsidRPr="001B4F87">
        <w:rPr>
          <w:rFonts w:hint="cs"/>
          <w:u w:val="dotted"/>
          <w:rtl/>
        </w:rPr>
        <w:t>עשה ידיה:</w:t>
      </w:r>
      <w:r w:rsidRPr="00E73332">
        <w:rPr>
          <w:rFonts w:hint="cs"/>
          <w:sz w:val="16"/>
          <w:szCs w:val="16"/>
          <w:rtl/>
        </w:rPr>
        <w:t xml:space="preserve"> (</w:t>
      </w:r>
      <w:r>
        <w:rPr>
          <w:rFonts w:hint="cs"/>
          <w:sz w:val="16"/>
          <w:szCs w:val="16"/>
          <w:rtl/>
        </w:rPr>
        <w:t>דרכ"מ [כאן אות ד] וב"י [סוף סי' פא])</w:t>
      </w:r>
    </w:p>
    <w:p w14:paraId="3A0D8365" w14:textId="77777777" w:rsidR="002E5BAD" w:rsidRPr="004D0526" w:rsidRDefault="002E5BAD" w:rsidP="002E5BAD">
      <w:pPr>
        <w:pStyle w:val="ab"/>
        <w:numPr>
          <w:ilvl w:val="0"/>
          <w:numId w:val="166"/>
        </w:numPr>
        <w:rPr>
          <w:rtl/>
        </w:rPr>
      </w:pPr>
      <w:r>
        <w:rPr>
          <w:rFonts w:cs="Arial" w:hint="cs"/>
          <w:rtl/>
        </w:rPr>
        <w:t xml:space="preserve">רשב"א </w:t>
      </w:r>
      <w:r>
        <w:rPr>
          <w:rFonts w:cs="Arial" w:hint="cs"/>
          <w:sz w:val="16"/>
          <w:szCs w:val="16"/>
          <w:rtl/>
        </w:rPr>
        <w:t>(סא. דיבור ראשון)</w:t>
      </w:r>
      <w:r>
        <w:rPr>
          <w:rFonts w:cs="Arial" w:hint="cs"/>
          <w:rtl/>
        </w:rPr>
        <w:t xml:space="preserve">- </w:t>
      </w:r>
      <w:r w:rsidRPr="00D54E0D">
        <w:rPr>
          <w:rFonts w:cs="Arial"/>
          <w:rtl/>
        </w:rPr>
        <w:t>שמא מלאכתה דידה הויא דהא טעמא אינו אלא משום שלא תבא לידי זימה וכל שעושה בין לעצמה בין לאחרים אזל ליה ההוא טעמא, ומסתברא דלא עדיף מהעדפה שע"י הדחק דהויא דבעל אף על פי שעושה מרצונה ולא מתורת חיוב</w:t>
      </w:r>
      <w:r>
        <w:rPr>
          <w:rStyle w:val="a7"/>
          <w:rFonts w:cs="Arial"/>
          <w:rtl/>
        </w:rPr>
        <w:footnoteReference w:id="1445"/>
      </w:r>
      <w:r w:rsidRPr="00D54E0D">
        <w:rPr>
          <w:rFonts w:cs="Arial"/>
          <w:rtl/>
        </w:rPr>
        <w:t>.</w:t>
      </w:r>
      <w:r w:rsidRPr="00D54E0D">
        <w:rPr>
          <w:rFonts w:cs="Arial" w:hint="cs"/>
          <w:rtl/>
        </w:rPr>
        <w:t xml:space="preserve"> </w:t>
      </w:r>
    </w:p>
    <w:p w14:paraId="337692D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6ECBB3D" w14:textId="77777777" w:rsidR="002E5BAD" w:rsidRDefault="002E5BAD" w:rsidP="002E5BAD">
      <w:pPr>
        <w:rPr>
          <w:rtl/>
        </w:rPr>
      </w:pPr>
      <w:r>
        <w:rPr>
          <w:rFonts w:cs="Arial"/>
          <w:rtl/>
        </w:rPr>
        <w:t>היה לו ממון הרבה, אפילו היה לה כמה שפחות, אינה יושבת לבטלה בלא מלאכה, שהבטלה מביאה לידי זמה</w:t>
      </w:r>
      <w:r>
        <w:rPr>
          <w:rFonts w:cs="Arial" w:hint="cs"/>
          <w:rtl/>
        </w:rPr>
        <w:t>.</w:t>
      </w:r>
      <w:r>
        <w:rPr>
          <w:rFonts w:cs="Arial"/>
          <w:rtl/>
        </w:rPr>
        <w:t xml:space="preserve"> אבל אין כופין אותה לעשות מלאכה כל היום כולו, אלא לפי רוב הממון ממעטת במלאכה. </w:t>
      </w:r>
    </w:p>
    <w:p w14:paraId="22D811A4" w14:textId="77777777" w:rsidR="002E5BAD" w:rsidRDefault="002E5BAD" w:rsidP="002E5BAD">
      <w:pPr>
        <w:rPr>
          <w:rtl/>
        </w:rPr>
      </w:pPr>
    </w:p>
    <w:p w14:paraId="56298B6E" w14:textId="77777777" w:rsidR="002E5BAD" w:rsidRDefault="002E5BAD" w:rsidP="002E5BAD">
      <w:pPr>
        <w:pStyle w:val="2"/>
        <w:rPr>
          <w:rtl/>
        </w:rPr>
      </w:pPr>
      <w:r>
        <w:rPr>
          <w:rtl/>
        </w:rPr>
        <w:t>סעיף ג</w:t>
      </w:r>
      <w:r>
        <w:rPr>
          <w:rFonts w:hint="cs"/>
          <w:rtl/>
        </w:rPr>
        <w:t>:</w:t>
      </w:r>
      <w:r w:rsidRPr="00986CA6">
        <w:rPr>
          <w:rFonts w:cs="Arial"/>
          <w:rtl/>
        </w:rPr>
        <w:t xml:space="preserve"> </w:t>
      </w:r>
      <w:r>
        <w:rPr>
          <w:rFonts w:cs="Arial"/>
          <w:rtl/>
        </w:rPr>
        <w:t>המדיר את אשתו שלא תעשה מלאכה</w:t>
      </w:r>
      <w:r>
        <w:rPr>
          <w:rFonts w:hint="cs"/>
          <w:rtl/>
        </w:rPr>
        <w:t>.</w:t>
      </w:r>
    </w:p>
    <w:p w14:paraId="12D6E669" w14:textId="77777777" w:rsidR="002E5BAD" w:rsidRPr="00EC687D" w:rsidRDefault="002E5BAD" w:rsidP="002E5BAD">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D04A54">
        <w:rPr>
          <w:rFonts w:cs="Arial"/>
          <w:rtl/>
        </w:rPr>
        <w:t>רשב"ג אומר וכו'. היינו תנא קמא</w:t>
      </w:r>
      <w:r>
        <w:rPr>
          <w:rStyle w:val="a7"/>
          <w:rFonts w:cs="Arial"/>
          <w:rtl/>
        </w:rPr>
        <w:footnoteReference w:id="1446"/>
      </w:r>
      <w:r w:rsidRPr="00D04A54">
        <w:rPr>
          <w:rFonts w:cs="Arial"/>
          <w:rtl/>
        </w:rPr>
        <w:t>! איכא בינייהו, דמיטללא בגורייתא קיטנייתא ונדרשיר</w:t>
      </w:r>
      <w:r>
        <w:rPr>
          <w:rStyle w:val="a7"/>
          <w:rFonts w:cs="Arial"/>
          <w:rtl/>
        </w:rPr>
        <w:footnoteReference w:id="1447"/>
      </w:r>
      <w:r w:rsidRPr="00D04A54">
        <w:rPr>
          <w:rFonts w:cs="Arial"/>
          <w:rtl/>
        </w:rPr>
        <w:t>.</w:t>
      </w:r>
      <w:r w:rsidRPr="00E73332">
        <w:rPr>
          <w:rtl/>
        </w:rPr>
        <w:t xml:space="preserve"> </w:t>
      </w:r>
      <w:r w:rsidRPr="00E73332">
        <w:rPr>
          <w:rFonts w:cs="Arial" w:hint="cs"/>
          <w:sz w:val="16"/>
          <w:szCs w:val="16"/>
          <w:rtl/>
        </w:rPr>
        <w:t>(</w:t>
      </w:r>
      <w:r w:rsidRPr="00E73332">
        <w:rPr>
          <w:rFonts w:cs="Arial"/>
          <w:sz w:val="16"/>
          <w:szCs w:val="16"/>
          <w:rtl/>
        </w:rPr>
        <w:t>למאן דאמר שהבטלה מביאה לידי זימה הא נמי מביאה לידי זימה ולמאן דאמר מביאה לידי שעמום הא אין מביאה לידי שעמום וכבר אפסיקא הלכתא כרבי אליעזר דחייש לזימה</w:t>
      </w:r>
      <w:r>
        <w:rPr>
          <w:rFonts w:cs="Arial" w:hint="cs"/>
          <w:sz w:val="16"/>
          <w:szCs w:val="16"/>
          <w:rtl/>
        </w:rPr>
        <w:t xml:space="preserve">, רי"ף (כה:). </w:t>
      </w:r>
      <w:r w:rsidRPr="00E73332">
        <w:rPr>
          <w:rFonts w:cs="Arial"/>
          <w:sz w:val="16"/>
          <w:szCs w:val="16"/>
          <w:rtl/>
        </w:rPr>
        <w:t>הילכך מדיר את אשתו ממלאכה אף על פי שהיא רשאה לטייל בגורייתא ונרדשיר יוציא ויתן כתובה</w:t>
      </w:r>
      <w:r>
        <w:rPr>
          <w:rFonts w:cs="Arial" w:hint="cs"/>
          <w:sz w:val="16"/>
          <w:szCs w:val="16"/>
          <w:rtl/>
        </w:rPr>
        <w:t>, ר"ן (כה: ד"ה וכבר). וכ"פ הרמב"ם (פכ"א ה"ג). אך הרא"ש (פ"ה ס"ס כז) כתב על דברי הרי"ף ד</w:t>
      </w:r>
      <w:r w:rsidRPr="00804695">
        <w:rPr>
          <w:rFonts w:cs="Arial"/>
          <w:sz w:val="16"/>
          <w:szCs w:val="16"/>
          <w:rtl/>
        </w:rPr>
        <w:t>אינה ראיה כל כך</w:t>
      </w:r>
      <w:r>
        <w:rPr>
          <w:rFonts w:cs="Arial" w:hint="cs"/>
          <w:sz w:val="16"/>
          <w:szCs w:val="16"/>
          <w:rtl/>
        </w:rPr>
        <w:t xml:space="preserve"> הא ד</w:t>
      </w:r>
      <w:r w:rsidRPr="00EC687D">
        <w:rPr>
          <w:rFonts w:cs="Arial"/>
          <w:sz w:val="16"/>
          <w:szCs w:val="16"/>
          <w:rtl/>
        </w:rPr>
        <w:t>כבר איפסיק הלכתא כר' אליעזר</w:t>
      </w:r>
      <w:r>
        <w:rPr>
          <w:rFonts w:cs="Arial" w:hint="cs"/>
          <w:sz w:val="16"/>
          <w:szCs w:val="16"/>
          <w:rtl/>
        </w:rPr>
        <w:t>.</w:t>
      </w:r>
      <w:r w:rsidRPr="00804695">
        <w:rPr>
          <w:rFonts w:cs="Arial"/>
          <w:sz w:val="16"/>
          <w:szCs w:val="16"/>
          <w:rtl/>
        </w:rPr>
        <w:t xml:space="preserve"> דפסיק הלכתא כרבי אליעזר במאי דפליג אתנא קמא</w:t>
      </w:r>
      <w:r>
        <w:rPr>
          <w:rFonts w:cs="Arial" w:hint="cs"/>
          <w:sz w:val="16"/>
          <w:szCs w:val="16"/>
          <w:rtl/>
        </w:rPr>
        <w:t>,</w:t>
      </w:r>
      <w:r w:rsidRPr="00804695">
        <w:rPr>
          <w:rFonts w:cs="Arial"/>
          <w:sz w:val="16"/>
          <w:szCs w:val="16"/>
          <w:rtl/>
        </w:rPr>
        <w:t xml:space="preserve"> אבל במאי דפליג ארשב"ג כ"מ ששנה רשב"ג הלכה כמותו</w:t>
      </w:r>
      <w:r>
        <w:rPr>
          <w:rFonts w:cs="Arial" w:hint="cs"/>
          <w:sz w:val="16"/>
          <w:szCs w:val="16"/>
          <w:rtl/>
        </w:rPr>
        <w:t>)</w:t>
      </w:r>
    </w:p>
    <w:p w14:paraId="59520FC0" w14:textId="77777777" w:rsidR="002E5BAD" w:rsidRPr="006B455F" w:rsidRDefault="002E5BAD" w:rsidP="002E5BAD">
      <w:pPr>
        <w:rPr>
          <w:rFonts w:cs="Arial"/>
          <w:u w:val="single"/>
          <w:rtl/>
        </w:rPr>
      </w:pPr>
      <w:r w:rsidRPr="006B455F">
        <w:rPr>
          <w:rFonts w:cs="Arial"/>
          <w:u w:val="single"/>
          <w:rtl/>
        </w:rPr>
        <w:t>המדיר את אשתו שלא תעשה מלאכה</w:t>
      </w:r>
      <w:r w:rsidRPr="006B455F">
        <w:rPr>
          <w:rFonts w:cs="Arial" w:hint="cs"/>
          <w:u w:val="single"/>
          <w:rtl/>
        </w:rPr>
        <w:t>:</w:t>
      </w:r>
    </w:p>
    <w:p w14:paraId="3C332F23" w14:textId="77777777" w:rsidR="002E5BAD" w:rsidRDefault="002E5BAD" w:rsidP="002E5BAD">
      <w:pPr>
        <w:pStyle w:val="ab"/>
        <w:numPr>
          <w:ilvl w:val="0"/>
          <w:numId w:val="166"/>
        </w:numPr>
        <w:rPr>
          <w:rFonts w:cs="Arial"/>
        </w:rPr>
      </w:pPr>
      <w:r>
        <w:rPr>
          <w:rFonts w:cs="Arial" w:hint="cs"/>
          <w:rtl/>
        </w:rPr>
        <w:t xml:space="preserve">טור- </w:t>
      </w:r>
      <w:r w:rsidRPr="004A7B98">
        <w:rPr>
          <w:rFonts w:cs="Arial"/>
          <w:rtl/>
        </w:rPr>
        <w:t xml:space="preserve">המדיר את אשתו שלא תעשה מלאכה </w:t>
      </w:r>
      <w:r>
        <w:rPr>
          <w:rFonts w:cs="Arial" w:hint="cs"/>
          <w:rtl/>
        </w:rPr>
        <w:t xml:space="preserve">- </w:t>
      </w:r>
      <w:r w:rsidRPr="004A7B98">
        <w:rPr>
          <w:rFonts w:cs="Arial"/>
          <w:rtl/>
        </w:rPr>
        <w:t>יוציא ויתן כתובה</w:t>
      </w:r>
      <w:r>
        <w:rPr>
          <w:rFonts w:cs="Arial" w:hint="cs"/>
          <w:rtl/>
        </w:rPr>
        <w:t>.</w:t>
      </w:r>
      <w:r w:rsidRPr="004A7B98">
        <w:rPr>
          <w:rFonts w:cs="Arial"/>
          <w:rtl/>
        </w:rPr>
        <w:t xml:space="preserve"> </w:t>
      </w:r>
      <w:r w:rsidRPr="00EC5ABC">
        <w:rPr>
          <w:rFonts w:hint="cs"/>
          <w:color w:val="E36C0A" w:themeColor="accent6" w:themeShade="BF"/>
          <w:rtl/>
        </w:rPr>
        <w:t>(וכ"פ בשו"ע)</w:t>
      </w:r>
    </w:p>
    <w:p w14:paraId="12A42B42" w14:textId="77777777" w:rsidR="002E5BAD" w:rsidRPr="0051329A" w:rsidRDefault="002E5BAD" w:rsidP="002E5BAD">
      <w:pPr>
        <w:ind w:left="360"/>
        <w:rPr>
          <w:rFonts w:cs="Arial"/>
        </w:rPr>
      </w:pPr>
      <w:r w:rsidRPr="0051329A">
        <w:rPr>
          <w:rFonts w:cs="Arial" w:hint="cs"/>
          <w:u w:val="dotted"/>
          <w:rtl/>
        </w:rPr>
        <w:t>ומה הדין אם התיר לה מלאכה כל שהיא:</w:t>
      </w:r>
    </w:p>
    <w:p w14:paraId="3F1C38C7" w14:textId="77777777" w:rsidR="002E5BAD" w:rsidRDefault="002E5BAD" w:rsidP="002E5BAD">
      <w:pPr>
        <w:pStyle w:val="ab"/>
        <w:numPr>
          <w:ilvl w:val="0"/>
          <w:numId w:val="169"/>
        </w:numPr>
      </w:pPr>
      <w:r>
        <w:rPr>
          <w:rFonts w:cs="Arial" w:hint="cs"/>
          <w:rtl/>
        </w:rPr>
        <w:t xml:space="preserve">רי"ף </w:t>
      </w:r>
      <w:r>
        <w:rPr>
          <w:rFonts w:cs="Arial" w:hint="cs"/>
          <w:sz w:val="16"/>
          <w:szCs w:val="16"/>
          <w:rtl/>
        </w:rPr>
        <w:t>(כה:)</w:t>
      </w:r>
      <w:r>
        <w:rPr>
          <w:rFonts w:cs="Arial" w:hint="cs"/>
          <w:rtl/>
        </w:rPr>
        <w:t xml:space="preserve"> </w:t>
      </w:r>
      <w:r w:rsidRPr="00986CA6">
        <w:rPr>
          <w:rFonts w:cs="Arial" w:hint="cs"/>
          <w:rtl/>
        </w:rPr>
        <w:t xml:space="preserve">רמב"ם </w:t>
      </w:r>
      <w:r w:rsidRPr="00986CA6">
        <w:rPr>
          <w:rFonts w:cs="Arial" w:hint="cs"/>
          <w:sz w:val="16"/>
          <w:szCs w:val="16"/>
          <w:rtl/>
        </w:rPr>
        <w:t>(פכ"א ה"ג)</w:t>
      </w:r>
      <w:r>
        <w:rPr>
          <w:rFonts w:cs="Arial" w:hint="cs"/>
          <w:rtl/>
        </w:rPr>
        <w:t xml:space="preserve"> ור"ן </w:t>
      </w:r>
      <w:r>
        <w:rPr>
          <w:rFonts w:cs="Arial" w:hint="cs"/>
          <w:sz w:val="16"/>
          <w:szCs w:val="16"/>
          <w:rtl/>
        </w:rPr>
        <w:t>(כה: ד"ה וכבר)</w:t>
      </w:r>
      <w:r w:rsidRPr="00986CA6">
        <w:rPr>
          <w:rFonts w:cs="Arial" w:hint="cs"/>
          <w:rtl/>
        </w:rPr>
        <w:t xml:space="preserve">- </w:t>
      </w:r>
      <w:r w:rsidRPr="00986CA6">
        <w:rPr>
          <w:rFonts w:cs="Arial"/>
          <w:rtl/>
        </w:rPr>
        <w:t xml:space="preserve">המדיר את אשתו שלא תעשה מלאכה כלל </w:t>
      </w:r>
      <w:r>
        <w:rPr>
          <w:rFonts w:cs="Arial" w:hint="cs"/>
          <w:rtl/>
        </w:rPr>
        <w:t xml:space="preserve">- </w:t>
      </w:r>
      <w:r w:rsidRPr="00986CA6">
        <w:rPr>
          <w:rFonts w:cs="Arial"/>
          <w:rtl/>
        </w:rPr>
        <w:t>יוציא ויתן כתובה, שהבטלה מביאה לידי זמה</w:t>
      </w:r>
      <w:r>
        <w:rPr>
          <w:rFonts w:cs="Arial" w:hint="cs"/>
          <w:sz w:val="16"/>
          <w:szCs w:val="16"/>
          <w:rtl/>
        </w:rPr>
        <w:t xml:space="preserve"> (ל' הרמב"ם)</w:t>
      </w:r>
      <w:r w:rsidRPr="00986CA6">
        <w:rPr>
          <w:rFonts w:cs="Arial"/>
          <w:rtl/>
        </w:rPr>
        <w:t>.</w:t>
      </w:r>
      <w:r w:rsidRPr="00986CA6">
        <w:rPr>
          <w:rFonts w:hint="cs"/>
          <w:color w:val="E36C0A" w:themeColor="accent6" w:themeShade="BF"/>
          <w:rtl/>
        </w:rPr>
        <w:t xml:space="preserve"> </w:t>
      </w:r>
      <w:r w:rsidRPr="00EC5ABC">
        <w:rPr>
          <w:rFonts w:hint="cs"/>
          <w:color w:val="E36C0A" w:themeColor="accent6" w:themeShade="BF"/>
          <w:rtl/>
        </w:rPr>
        <w:t>(וכ"פ בשו"ע)</w:t>
      </w:r>
    </w:p>
    <w:p w14:paraId="38BAEDCE" w14:textId="77777777" w:rsidR="002E5BAD" w:rsidRPr="004D0526" w:rsidRDefault="002E5BAD" w:rsidP="002E5BAD">
      <w:pPr>
        <w:pStyle w:val="ab"/>
        <w:numPr>
          <w:ilvl w:val="0"/>
          <w:numId w:val="169"/>
        </w:numPr>
        <w:rPr>
          <w:rtl/>
        </w:rPr>
      </w:pPr>
      <w:r w:rsidRPr="00EC687D">
        <w:rPr>
          <w:rFonts w:cs="Arial" w:hint="cs"/>
          <w:rtl/>
        </w:rPr>
        <w:t>רא"ש</w:t>
      </w:r>
      <w:r>
        <w:rPr>
          <w:rFonts w:cs="Arial" w:hint="cs"/>
          <w:sz w:val="16"/>
          <w:szCs w:val="16"/>
          <w:rtl/>
        </w:rPr>
        <w:t xml:space="preserve"> (פ"ה ס"ס כז, הביאו הטור בס"ס פא)</w:t>
      </w:r>
      <w:r>
        <w:rPr>
          <w:rFonts w:hint="cs"/>
          <w:rtl/>
        </w:rPr>
        <w:t xml:space="preserve">- </w:t>
      </w:r>
      <w:r w:rsidRPr="00EC687D">
        <w:rPr>
          <w:rFonts w:cs="Arial"/>
          <w:rtl/>
        </w:rPr>
        <w:t>התיר לה מלאכה כל שהוא כגון לשחק בכלבים וכיוצא בהן</w:t>
      </w:r>
      <w:r>
        <w:rPr>
          <w:rFonts w:cs="Arial" w:hint="cs"/>
          <w:rtl/>
        </w:rPr>
        <w:t>...- לא יוציא</w:t>
      </w:r>
      <w:r>
        <w:rPr>
          <w:rFonts w:cs="Arial" w:hint="cs"/>
          <w:sz w:val="16"/>
          <w:szCs w:val="16"/>
          <w:rtl/>
        </w:rPr>
        <w:t xml:space="preserve"> (ל' הטור בשם הרא"ש)</w:t>
      </w:r>
      <w:r>
        <w:rPr>
          <w:rFonts w:cs="Arial" w:hint="cs"/>
          <w:rtl/>
        </w:rPr>
        <w:t>.</w:t>
      </w:r>
    </w:p>
    <w:p w14:paraId="7641C48F"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41EA227" w14:textId="77777777" w:rsidR="002E5BAD" w:rsidRDefault="002E5BAD" w:rsidP="002E5BAD">
      <w:pPr>
        <w:rPr>
          <w:rtl/>
        </w:rPr>
      </w:pPr>
      <w:r>
        <w:rPr>
          <w:rFonts w:cs="Arial"/>
          <w:rtl/>
        </w:rPr>
        <w:t>המדיר</w:t>
      </w:r>
      <w:r>
        <w:rPr>
          <w:rStyle w:val="a7"/>
          <w:rFonts w:cs="Arial"/>
          <w:rtl/>
        </w:rPr>
        <w:footnoteReference w:id="1448"/>
      </w:r>
      <w:r>
        <w:rPr>
          <w:rFonts w:cs="Arial"/>
          <w:rtl/>
        </w:rPr>
        <w:t xml:space="preserve"> את אשתו שלא תעשה מלאכה</w:t>
      </w:r>
      <w:r>
        <w:rPr>
          <w:rStyle w:val="a7"/>
          <w:rFonts w:cs="Arial"/>
          <w:rtl/>
        </w:rPr>
        <w:footnoteReference w:id="1449"/>
      </w:r>
      <w:r>
        <w:rPr>
          <w:rFonts w:cs="Arial"/>
          <w:rtl/>
        </w:rPr>
        <w:t xml:space="preserve">, יוציא ויתן כתובה, שהבטלה מביאה לידי זימה. </w:t>
      </w:r>
    </w:p>
    <w:p w14:paraId="363F83EA" w14:textId="77777777" w:rsidR="002E5BAD" w:rsidRDefault="002E5BAD" w:rsidP="002E5BAD">
      <w:pPr>
        <w:rPr>
          <w:rtl/>
        </w:rPr>
      </w:pPr>
    </w:p>
    <w:p w14:paraId="3DB4885E" w14:textId="77777777" w:rsidR="002E5BAD" w:rsidRDefault="002E5BAD" w:rsidP="002E5BAD">
      <w:pPr>
        <w:pStyle w:val="2"/>
        <w:rPr>
          <w:rtl/>
        </w:rPr>
      </w:pPr>
      <w:r>
        <w:rPr>
          <w:rtl/>
        </w:rPr>
        <w:t>סעיף ד</w:t>
      </w:r>
      <w:r>
        <w:rPr>
          <w:rFonts w:hint="cs"/>
          <w:rtl/>
        </w:rPr>
        <w:t>: מלאכות שכל אשה צריכה לעשות לבעלה.</w:t>
      </w:r>
    </w:p>
    <w:p w14:paraId="51E04840" w14:textId="77777777" w:rsidR="002E5BAD" w:rsidRDefault="002E5BAD" w:rsidP="002E5BAD">
      <w:pPr>
        <w:rPr>
          <w:rtl/>
        </w:rPr>
      </w:pPr>
      <w:r w:rsidRPr="001901C7">
        <w:rPr>
          <w:rFonts w:cs="Arial" w:hint="cs"/>
          <w:b/>
          <w:bCs/>
          <w:rtl/>
        </w:rPr>
        <w:t>ירושלמי כתובות פ"ה ה"ו:</w:t>
      </w:r>
      <w:r>
        <w:rPr>
          <w:rFonts w:cs="Arial" w:hint="cs"/>
          <w:rtl/>
        </w:rPr>
        <w:t xml:space="preserve"> </w:t>
      </w:r>
      <w:r w:rsidRPr="001901C7">
        <w:rPr>
          <w:rFonts w:cs="Arial"/>
          <w:u w:val="double"/>
          <w:rtl/>
        </w:rPr>
        <w:t>מתני'</w:t>
      </w:r>
      <w:r>
        <w:rPr>
          <w:rFonts w:cs="Arial" w:hint="cs"/>
          <w:rtl/>
        </w:rPr>
        <w:t>:</w:t>
      </w:r>
      <w:r w:rsidRPr="00A9300B">
        <w:rPr>
          <w:rFonts w:cs="Arial"/>
          <w:rtl/>
        </w:rPr>
        <w:t xml:space="preserve"> אילו מלאכות שהאשה עושה לבעלה טוחנת ואופה ומכבסת ומבשלת ומיניקה את בנה ומצעת המיטה ועושה בצמר</w:t>
      </w:r>
      <w:r>
        <w:rPr>
          <w:rFonts w:cs="Arial" w:hint="cs"/>
          <w:rtl/>
        </w:rPr>
        <w:t xml:space="preserve">...   </w:t>
      </w:r>
      <w:r w:rsidRPr="00A9300B">
        <w:rPr>
          <w:rFonts w:cs="Arial"/>
          <w:rtl/>
        </w:rPr>
        <w:t xml:space="preserve"> </w:t>
      </w:r>
      <w:r w:rsidRPr="001901C7">
        <w:rPr>
          <w:rFonts w:cs="Arial"/>
          <w:u w:val="double"/>
          <w:rtl/>
        </w:rPr>
        <w:t>גמ'</w:t>
      </w:r>
      <w:r>
        <w:rPr>
          <w:rFonts w:cs="Arial" w:hint="cs"/>
          <w:rtl/>
        </w:rPr>
        <w:t>:</w:t>
      </w:r>
      <w:r w:rsidRPr="00A9300B">
        <w:rPr>
          <w:rFonts w:cs="Arial"/>
          <w:rtl/>
        </w:rPr>
        <w:t xml:space="preserve"> תני שבעה גופי מלאכות מנו והשאר לא צרכו חכמים למנותן.</w:t>
      </w:r>
      <w:r w:rsidRPr="001901C7">
        <w:rPr>
          <w:rFonts w:cs="Arial"/>
          <w:sz w:val="16"/>
          <w:szCs w:val="16"/>
          <w:rtl/>
        </w:rPr>
        <w:t xml:space="preserve"> </w:t>
      </w:r>
      <w:r>
        <w:rPr>
          <w:rFonts w:cs="Arial" w:hint="cs"/>
          <w:sz w:val="16"/>
          <w:szCs w:val="16"/>
          <w:rtl/>
        </w:rPr>
        <w:t>(וכתבוהו הרא"ש (פ"ה ר"ס יז)</w:t>
      </w:r>
      <w:r w:rsidRPr="001901C7">
        <w:rPr>
          <w:rFonts w:cs="Arial"/>
          <w:sz w:val="16"/>
          <w:szCs w:val="16"/>
          <w:rtl/>
        </w:rPr>
        <w:t xml:space="preserve"> </w:t>
      </w:r>
      <w:r>
        <w:rPr>
          <w:rFonts w:cs="Arial" w:hint="cs"/>
          <w:sz w:val="16"/>
          <w:szCs w:val="16"/>
          <w:rtl/>
        </w:rPr>
        <w:t>ו</w:t>
      </w:r>
      <w:r w:rsidRPr="001901C7">
        <w:rPr>
          <w:rFonts w:cs="Arial"/>
          <w:sz w:val="16"/>
          <w:szCs w:val="16"/>
          <w:rtl/>
        </w:rPr>
        <w:t>הר"ן (כד. ד"ה מתני')</w:t>
      </w:r>
      <w:r>
        <w:rPr>
          <w:rFonts w:cs="Arial" w:hint="cs"/>
          <w:sz w:val="16"/>
          <w:szCs w:val="16"/>
          <w:rtl/>
        </w:rPr>
        <w:t>,</w:t>
      </w:r>
      <w:r w:rsidRPr="001901C7">
        <w:rPr>
          <w:rFonts w:cs="Arial"/>
          <w:sz w:val="16"/>
          <w:szCs w:val="16"/>
          <w:rtl/>
        </w:rPr>
        <w:t xml:space="preserve"> ופי</w:t>
      </w:r>
      <w:r>
        <w:rPr>
          <w:rFonts w:cs="Arial" w:hint="cs"/>
          <w:sz w:val="16"/>
          <w:szCs w:val="16"/>
          <w:rtl/>
        </w:rPr>
        <w:t>רש הר"ן-</w:t>
      </w:r>
      <w:r w:rsidRPr="001901C7">
        <w:rPr>
          <w:rFonts w:cs="Arial"/>
          <w:sz w:val="16"/>
          <w:szCs w:val="16"/>
          <w:rtl/>
        </w:rPr>
        <w:t xml:space="preserve"> כלומר דיש מלאכות אחרות קטנות שהיא חייבת בהן כגון מוזגת לו את הכוס ונותנת תבן לפני בהמתו וכיוצא בהן כדאיתא בגמרא</w:t>
      </w:r>
      <w:r>
        <w:rPr>
          <w:rFonts w:cs="Arial" w:hint="cs"/>
          <w:sz w:val="16"/>
          <w:szCs w:val="16"/>
          <w:rtl/>
        </w:rPr>
        <w:t>)</w:t>
      </w:r>
    </w:p>
    <w:p w14:paraId="2440B1BE" w14:textId="77777777" w:rsidR="002E5BAD" w:rsidRPr="00400677" w:rsidRDefault="002E5BAD" w:rsidP="002E5BAD">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ע"ב: </w:t>
      </w:r>
      <w:r w:rsidRPr="004B0A46">
        <w:rPr>
          <w:rFonts w:cs="Arial"/>
          <w:rtl/>
        </w:rPr>
        <w:t>דתניא: אינו כופה לא לעמוד</w:t>
      </w:r>
      <w:r>
        <w:rPr>
          <w:rStyle w:val="a7"/>
          <w:rFonts w:cs="Arial"/>
          <w:rtl/>
        </w:rPr>
        <w:footnoteReference w:id="1450"/>
      </w:r>
      <w:r w:rsidRPr="004B0A46">
        <w:rPr>
          <w:rFonts w:cs="Arial"/>
          <w:rtl/>
        </w:rPr>
        <w:t xml:space="preserve"> לפני אביו, ולא לעמוד לפני בנו</w:t>
      </w:r>
      <w:r>
        <w:rPr>
          <w:rFonts w:cs="Arial" w:hint="cs"/>
          <w:rtl/>
        </w:rPr>
        <w:t>...</w:t>
      </w:r>
      <w:r w:rsidRPr="003F7C7C">
        <w:rPr>
          <w:rFonts w:cs="Arial" w:hint="cs"/>
          <w:sz w:val="16"/>
          <w:szCs w:val="16"/>
          <w:rtl/>
        </w:rPr>
        <w:t xml:space="preserve"> (</w:t>
      </w:r>
      <w:r w:rsidRPr="003F7C7C">
        <w:rPr>
          <w:rFonts w:cs="Arial"/>
          <w:sz w:val="16"/>
          <w:szCs w:val="16"/>
          <w:rtl/>
        </w:rPr>
        <w:t>משמע הא לפניו כופה לעמוד</w:t>
      </w:r>
      <w:r>
        <w:rPr>
          <w:rFonts w:cs="Arial" w:hint="cs"/>
          <w:sz w:val="16"/>
          <w:szCs w:val="16"/>
          <w:rtl/>
        </w:rPr>
        <w:t xml:space="preserve">, ב"י. אך הה"מ (פכ"א) </w:t>
      </w:r>
      <w:r w:rsidRPr="00F819D1">
        <w:rPr>
          <w:rFonts w:cs="Arial"/>
          <w:sz w:val="16"/>
          <w:szCs w:val="16"/>
          <w:rtl/>
        </w:rPr>
        <w:t>דק"ו הוא מהצעת המט</w:t>
      </w:r>
      <w:r>
        <w:rPr>
          <w:rFonts w:cs="Arial" w:hint="cs"/>
          <w:sz w:val="16"/>
          <w:szCs w:val="16"/>
          <w:rtl/>
        </w:rPr>
        <w:t>ה. וכתב הח"מ (סקי"א) דאילו היו לומדים מגמרא זו כדברי הב"י היינו אומרים דרק ענייה משרתת את בעלה. לכן, יש ללמוד את החיוב לשרת ממה שכתב הה"מ (</w:t>
      </w:r>
      <w:r w:rsidRPr="00F819D1">
        <w:rPr>
          <w:rFonts w:cs="Arial"/>
          <w:sz w:val="16"/>
          <w:szCs w:val="16"/>
          <w:rtl/>
        </w:rPr>
        <w:t>פכ"א</w:t>
      </w:r>
      <w:r>
        <w:rPr>
          <w:rFonts w:cs="Arial" w:hint="cs"/>
          <w:sz w:val="16"/>
          <w:szCs w:val="16"/>
          <w:rtl/>
        </w:rPr>
        <w:t xml:space="preserve">), דמינה </w:t>
      </w:r>
      <w:r w:rsidRPr="00F819D1">
        <w:rPr>
          <w:rFonts w:cs="Arial"/>
          <w:sz w:val="16"/>
          <w:szCs w:val="16"/>
          <w:rtl/>
        </w:rPr>
        <w:t>ילי</w:t>
      </w:r>
      <w:r>
        <w:rPr>
          <w:rFonts w:cs="Arial" w:hint="cs"/>
          <w:sz w:val="16"/>
          <w:szCs w:val="16"/>
          <w:rtl/>
        </w:rPr>
        <w:t>פינן</w:t>
      </w:r>
      <w:r w:rsidRPr="00F819D1">
        <w:rPr>
          <w:rFonts w:cs="Arial"/>
          <w:sz w:val="16"/>
          <w:szCs w:val="16"/>
          <w:rtl/>
        </w:rPr>
        <w:t xml:space="preserve"> דכל אשה צריכה לעשות שירות קטן לבעלה </w:t>
      </w:r>
      <w:r>
        <w:rPr>
          <w:rFonts w:cs="Arial" w:hint="cs"/>
          <w:sz w:val="16"/>
          <w:szCs w:val="16"/>
          <w:rtl/>
        </w:rPr>
        <w:t>ד</w:t>
      </w:r>
      <w:r w:rsidRPr="00F819D1">
        <w:rPr>
          <w:rFonts w:cs="Arial"/>
          <w:sz w:val="16"/>
          <w:szCs w:val="16"/>
          <w:rtl/>
        </w:rPr>
        <w:t>ק"ו</w:t>
      </w:r>
      <w:r>
        <w:rPr>
          <w:rFonts w:cs="Arial" w:hint="cs"/>
          <w:sz w:val="16"/>
          <w:szCs w:val="16"/>
          <w:rtl/>
        </w:rPr>
        <w:t xml:space="preserve"> הוא</w:t>
      </w:r>
      <w:r w:rsidRPr="00F819D1">
        <w:rPr>
          <w:rFonts w:cs="Arial"/>
          <w:sz w:val="16"/>
          <w:szCs w:val="16"/>
          <w:rtl/>
        </w:rPr>
        <w:t xml:space="preserve"> מהצעת מטתו מכ"ש להושיט לו כלי אחד</w:t>
      </w:r>
      <w:r>
        <w:rPr>
          <w:rFonts w:cs="Arial" w:hint="cs"/>
          <w:sz w:val="16"/>
          <w:szCs w:val="16"/>
          <w:rtl/>
        </w:rPr>
        <w:t>)</w:t>
      </w:r>
    </w:p>
    <w:p w14:paraId="60EF8E7A" w14:textId="77777777" w:rsidR="002E5BAD" w:rsidRDefault="002E5BAD" w:rsidP="002E5BAD">
      <w:pPr>
        <w:rPr>
          <w:rtl/>
        </w:rPr>
      </w:pPr>
      <w:r w:rsidRPr="001901C7">
        <w:rPr>
          <w:rFonts w:cs="Arial" w:hint="cs"/>
          <w:b/>
          <w:bCs/>
          <w:rtl/>
        </w:rPr>
        <w:t>ירושלמי כתובות פ"ה ה"ו:</w:t>
      </w:r>
      <w:r>
        <w:rPr>
          <w:rFonts w:cs="Arial" w:hint="cs"/>
          <w:rtl/>
        </w:rPr>
        <w:t xml:space="preserve"> </w:t>
      </w:r>
      <w:r w:rsidRPr="00604FDD">
        <w:rPr>
          <w:rFonts w:cs="Arial"/>
          <w:u w:val="single"/>
          <w:rtl/>
        </w:rPr>
        <w:t>רב הונא אמר</w:t>
      </w:r>
      <w:r>
        <w:rPr>
          <w:rFonts w:cs="Arial" w:hint="cs"/>
          <w:rtl/>
        </w:rPr>
        <w:t>:</w:t>
      </w:r>
      <w:r w:rsidRPr="00604FDD">
        <w:rPr>
          <w:rFonts w:cs="Arial"/>
          <w:rtl/>
        </w:rPr>
        <w:t xml:space="preserve"> אפילו הכניסה לו מאה שפחות כופה לעשות לו דברים של יחיד</w:t>
      </w:r>
      <w:r>
        <w:rPr>
          <w:rFonts w:cs="Arial" w:hint="cs"/>
          <w:rtl/>
        </w:rPr>
        <w:t>.</w:t>
      </w:r>
      <w:r w:rsidRPr="00604FDD">
        <w:rPr>
          <w:rFonts w:cs="Arial"/>
          <w:rtl/>
        </w:rPr>
        <w:t xml:space="preserve"> מהו דברים של יחיד</w:t>
      </w:r>
      <w:r>
        <w:rPr>
          <w:rFonts w:cs="Arial" w:hint="cs"/>
          <w:rtl/>
        </w:rPr>
        <w:t>,</w:t>
      </w:r>
      <w:r w:rsidRPr="00604FDD">
        <w:rPr>
          <w:rFonts w:cs="Arial"/>
          <w:rtl/>
        </w:rPr>
        <w:t xml:space="preserve"> סכת לו את גופו</w:t>
      </w:r>
      <w:r>
        <w:rPr>
          <w:rFonts w:cs="Arial" w:hint="cs"/>
          <w:rtl/>
        </w:rPr>
        <w:t>,</w:t>
      </w:r>
      <w:r w:rsidRPr="00604FDD">
        <w:rPr>
          <w:rFonts w:cs="Arial"/>
          <w:rtl/>
        </w:rPr>
        <w:t xml:space="preserve"> ומרחצת לו את רגליו</w:t>
      </w:r>
      <w:r>
        <w:rPr>
          <w:rFonts w:cs="Arial" w:hint="cs"/>
          <w:rtl/>
        </w:rPr>
        <w:t>,</w:t>
      </w:r>
      <w:r w:rsidRPr="00604FDD">
        <w:rPr>
          <w:rFonts w:cs="Arial"/>
          <w:rtl/>
        </w:rPr>
        <w:t xml:space="preserve"> ומוזגת לו את הכוס</w:t>
      </w:r>
      <w:r>
        <w:rPr>
          <w:rFonts w:cs="Arial" w:hint="cs"/>
          <w:rtl/>
        </w:rPr>
        <w:t>.</w:t>
      </w:r>
      <w:r w:rsidRPr="00604FDD">
        <w:rPr>
          <w:rFonts w:cs="Arial"/>
          <w:rtl/>
        </w:rPr>
        <w:t xml:space="preserve"> למה</w:t>
      </w:r>
      <w:r>
        <w:rPr>
          <w:rFonts w:cs="Arial" w:hint="cs"/>
          <w:rtl/>
        </w:rPr>
        <w:t xml:space="preserve">? </w:t>
      </w:r>
      <w:r w:rsidRPr="00604FDD">
        <w:rPr>
          <w:rFonts w:cs="Arial"/>
          <w:rtl/>
        </w:rPr>
        <w:t>משום שהיא חייבת לעשות לו</w:t>
      </w:r>
      <w:r>
        <w:rPr>
          <w:rFonts w:cs="Arial" w:hint="cs"/>
          <w:rtl/>
        </w:rPr>
        <w:t>,</w:t>
      </w:r>
      <w:r w:rsidRPr="00604FDD">
        <w:rPr>
          <w:rFonts w:cs="Arial"/>
          <w:rtl/>
        </w:rPr>
        <w:t xml:space="preserve"> או משום שאינן ראויין להשתמש בשפחה</w:t>
      </w:r>
      <w:r>
        <w:rPr>
          <w:rFonts w:cs="Arial" w:hint="cs"/>
          <w:rtl/>
        </w:rPr>
        <w:t>.</w:t>
      </w:r>
      <w:r w:rsidRPr="00604FDD">
        <w:rPr>
          <w:rFonts w:cs="Arial"/>
          <w:rtl/>
        </w:rPr>
        <w:t xml:space="preserve"> מה נפק מן ביניהון</w:t>
      </w:r>
      <w:r>
        <w:rPr>
          <w:rFonts w:cs="Arial" w:hint="cs"/>
          <w:rtl/>
        </w:rPr>
        <w:t>?</w:t>
      </w:r>
      <w:r w:rsidRPr="00604FDD">
        <w:rPr>
          <w:rFonts w:cs="Arial"/>
          <w:rtl/>
        </w:rPr>
        <w:t xml:space="preserve"> הכניסה לו עבדים</w:t>
      </w:r>
      <w:r>
        <w:rPr>
          <w:rFonts w:cs="Arial" w:hint="cs"/>
          <w:rtl/>
        </w:rPr>
        <w:t>.</w:t>
      </w:r>
      <w:r w:rsidRPr="00604FDD">
        <w:rPr>
          <w:rFonts w:cs="Arial"/>
          <w:rtl/>
        </w:rPr>
        <w:t xml:space="preserve"> אין תימר משום שאין ראויין להשתמש בשפחה </w:t>
      </w:r>
      <w:r>
        <w:rPr>
          <w:rFonts w:cs="Arial" w:hint="cs"/>
          <w:rtl/>
        </w:rPr>
        <w:t xml:space="preserve">- </w:t>
      </w:r>
      <w:r w:rsidRPr="00604FDD">
        <w:rPr>
          <w:rFonts w:cs="Arial"/>
          <w:rtl/>
        </w:rPr>
        <w:t>הרי הכניסה לו עבדים</w:t>
      </w:r>
      <w:r>
        <w:rPr>
          <w:rFonts w:cs="Arial" w:hint="cs"/>
          <w:rtl/>
        </w:rPr>
        <w:t xml:space="preserve">, </w:t>
      </w:r>
      <w:r w:rsidRPr="00604FDD">
        <w:rPr>
          <w:rFonts w:cs="Arial"/>
          <w:rtl/>
        </w:rPr>
        <w:t>הוי לית טעמא</w:t>
      </w:r>
      <w:r>
        <w:rPr>
          <w:rStyle w:val="a7"/>
          <w:rFonts w:cs="Arial"/>
          <w:rtl/>
        </w:rPr>
        <w:footnoteReference w:id="1451"/>
      </w:r>
      <w:r>
        <w:rPr>
          <w:rFonts w:cs="Arial" w:hint="cs"/>
          <w:rtl/>
        </w:rPr>
        <w:t>,</w:t>
      </w:r>
      <w:r w:rsidRPr="00604FDD">
        <w:rPr>
          <w:rFonts w:cs="Arial"/>
          <w:rtl/>
        </w:rPr>
        <w:t xml:space="preserve"> משום שהיא חייבת לו</w:t>
      </w:r>
      <w:r>
        <w:rPr>
          <w:rStyle w:val="a7"/>
          <w:rFonts w:cs="Arial"/>
          <w:rtl/>
        </w:rPr>
        <w:footnoteReference w:id="1452"/>
      </w:r>
      <w:r>
        <w:rPr>
          <w:rFonts w:cs="Arial" w:hint="cs"/>
          <w:rtl/>
        </w:rPr>
        <w:t>.</w:t>
      </w:r>
      <w:r w:rsidRPr="00604FDD">
        <w:rPr>
          <w:rFonts w:cs="Arial"/>
          <w:rtl/>
        </w:rPr>
        <w:t xml:space="preserve"> </w:t>
      </w:r>
      <w:r w:rsidRPr="00FE7204">
        <w:rPr>
          <w:rFonts w:cs="Arial"/>
          <w:u w:val="single"/>
          <w:rtl/>
        </w:rPr>
        <w:t>ר' אבודימא בצפרין בעי קומי ר' מנא</w:t>
      </w:r>
      <w:r>
        <w:rPr>
          <w:rFonts w:cs="Arial" w:hint="cs"/>
          <w:rtl/>
        </w:rPr>
        <w:t>:</w:t>
      </w:r>
      <w:r w:rsidRPr="00604FDD">
        <w:rPr>
          <w:rFonts w:cs="Arial"/>
          <w:rtl/>
        </w:rPr>
        <w:t xml:space="preserve"> לא מסתברא</w:t>
      </w:r>
      <w:r>
        <w:rPr>
          <w:rStyle w:val="a7"/>
          <w:rFonts w:cs="Arial"/>
          <w:rtl/>
        </w:rPr>
        <w:footnoteReference w:id="1453"/>
      </w:r>
      <w:r w:rsidRPr="00604FDD">
        <w:rPr>
          <w:rFonts w:cs="Arial"/>
          <w:rtl/>
        </w:rPr>
        <w:t xml:space="preserve"> משום שהיא חייבת לו</w:t>
      </w:r>
      <w:r>
        <w:rPr>
          <w:rFonts w:cs="Arial" w:hint="cs"/>
          <w:rtl/>
        </w:rPr>
        <w:t>.</w:t>
      </w:r>
      <w:r w:rsidRPr="00604FDD">
        <w:rPr>
          <w:rFonts w:cs="Arial"/>
          <w:rtl/>
        </w:rPr>
        <w:t xml:space="preserve"> </w:t>
      </w:r>
      <w:r w:rsidRPr="00FE7204">
        <w:rPr>
          <w:rFonts w:cs="Arial"/>
          <w:u w:val="single"/>
          <w:rtl/>
        </w:rPr>
        <w:t>אמר לו</w:t>
      </w:r>
      <w:r>
        <w:rPr>
          <w:rFonts w:cs="Arial" w:hint="cs"/>
          <w:rtl/>
        </w:rPr>
        <w:t>:</w:t>
      </w:r>
      <w:r w:rsidRPr="00604FDD">
        <w:rPr>
          <w:rFonts w:cs="Arial"/>
          <w:rtl/>
        </w:rPr>
        <w:t xml:space="preserve"> אוף אנא סבר כן</w:t>
      </w:r>
      <w:r>
        <w:rPr>
          <w:rStyle w:val="a7"/>
          <w:rFonts w:cs="Arial"/>
          <w:rtl/>
        </w:rPr>
        <w:footnoteReference w:id="1454"/>
      </w:r>
      <w:r>
        <w:rPr>
          <w:rFonts w:cs="Arial" w:hint="cs"/>
          <w:rtl/>
        </w:rPr>
        <w:t>,</w:t>
      </w:r>
      <w:r w:rsidRPr="00604FDD">
        <w:rPr>
          <w:rFonts w:cs="Arial"/>
          <w:rtl/>
        </w:rPr>
        <w:t xml:space="preserve"> ותני כן</w:t>
      </w:r>
      <w:r>
        <w:rPr>
          <w:rStyle w:val="a7"/>
          <w:rFonts w:cs="Arial"/>
          <w:rtl/>
        </w:rPr>
        <w:footnoteReference w:id="1455"/>
      </w:r>
      <w:r w:rsidRPr="00604FDD">
        <w:rPr>
          <w:rFonts w:cs="Arial"/>
          <w:rtl/>
        </w:rPr>
        <w:t xml:space="preserve"> כופה לעשות בצמר אבל לא בפשתן מפני </w:t>
      </w:r>
      <w:r w:rsidRPr="00604FDD">
        <w:rPr>
          <w:rFonts w:cs="Arial"/>
          <w:rtl/>
        </w:rPr>
        <w:lastRenderedPageBreak/>
        <w:t>שהיא מסרחת את הפה ומשלבקת את השפיות</w:t>
      </w:r>
      <w:r>
        <w:rPr>
          <w:rStyle w:val="a7"/>
          <w:rFonts w:cs="Arial"/>
          <w:rtl/>
        </w:rPr>
        <w:footnoteReference w:id="1456"/>
      </w:r>
      <w:r>
        <w:rPr>
          <w:rFonts w:cs="Arial" w:hint="cs"/>
          <w:rtl/>
        </w:rPr>
        <w:t>.</w:t>
      </w:r>
      <w:r w:rsidRPr="00E768A8">
        <w:rPr>
          <w:rFonts w:cs="Arial"/>
          <w:sz w:val="16"/>
          <w:szCs w:val="16"/>
          <w:rtl/>
        </w:rPr>
        <w:t xml:space="preserve"> </w:t>
      </w:r>
      <w:r>
        <w:rPr>
          <w:rFonts w:cs="Arial" w:hint="cs"/>
          <w:sz w:val="16"/>
          <w:szCs w:val="16"/>
          <w:rtl/>
        </w:rPr>
        <w:t>(</w:t>
      </w:r>
      <w:r w:rsidRPr="00E768A8">
        <w:rPr>
          <w:rFonts w:cs="Arial"/>
          <w:sz w:val="16"/>
          <w:szCs w:val="16"/>
          <w:rtl/>
        </w:rPr>
        <w:t>וכתב ה</w:t>
      </w:r>
      <w:r>
        <w:rPr>
          <w:rFonts w:cs="Arial" w:hint="cs"/>
          <w:sz w:val="16"/>
          <w:szCs w:val="16"/>
          <w:rtl/>
        </w:rPr>
        <w:t>ה"מ</w:t>
      </w:r>
      <w:r w:rsidRPr="00E768A8">
        <w:rPr>
          <w:rFonts w:cs="Arial"/>
          <w:sz w:val="16"/>
          <w:szCs w:val="16"/>
          <w:rtl/>
        </w:rPr>
        <w:t xml:space="preserve"> </w:t>
      </w:r>
      <w:r>
        <w:rPr>
          <w:rFonts w:cs="Arial" w:hint="cs"/>
          <w:sz w:val="16"/>
          <w:szCs w:val="16"/>
          <w:rtl/>
        </w:rPr>
        <w:t>דבדברי ה</w:t>
      </w:r>
      <w:r w:rsidRPr="00E768A8">
        <w:rPr>
          <w:rFonts w:cs="Arial"/>
          <w:sz w:val="16"/>
          <w:szCs w:val="16"/>
          <w:rtl/>
        </w:rPr>
        <w:t xml:space="preserve">ירושלמי (סה"ו) </w:t>
      </w:r>
      <w:r>
        <w:rPr>
          <w:rFonts w:cs="Arial" w:hint="cs"/>
          <w:sz w:val="16"/>
          <w:szCs w:val="16"/>
          <w:rtl/>
        </w:rPr>
        <w:t xml:space="preserve">הללו </w:t>
      </w:r>
      <w:r w:rsidRPr="00E768A8">
        <w:rPr>
          <w:rFonts w:cs="Arial"/>
          <w:sz w:val="16"/>
          <w:szCs w:val="16"/>
          <w:rtl/>
        </w:rPr>
        <w:t>מפורש שאפילו הכניסה לו עבדים חייבת לו בדברים אלו</w:t>
      </w:r>
      <w:r>
        <w:rPr>
          <w:rFonts w:cs="Arial" w:hint="cs"/>
          <w:sz w:val="16"/>
          <w:szCs w:val="16"/>
          <w:rtl/>
        </w:rPr>
        <w:t>)</w:t>
      </w:r>
    </w:p>
    <w:p w14:paraId="6139D0F5" w14:textId="77777777" w:rsidR="002E5BAD" w:rsidRPr="001D1949" w:rsidRDefault="002E5BAD" w:rsidP="002E5BAD">
      <w:pPr>
        <w:rPr>
          <w:u w:val="single"/>
          <w:rtl/>
        </w:rPr>
      </w:pPr>
      <w:r w:rsidRPr="001D1949">
        <w:rPr>
          <w:rFonts w:hint="cs"/>
          <w:u w:val="single"/>
          <w:rtl/>
        </w:rPr>
        <w:t>מלאכות שכל אשה צריכה לעשות לבעלה:</w:t>
      </w:r>
    </w:p>
    <w:p w14:paraId="021243C3" w14:textId="77777777" w:rsidR="002E5BAD" w:rsidRPr="004B0A46" w:rsidRDefault="002E5BAD" w:rsidP="002E5BAD">
      <w:pPr>
        <w:pStyle w:val="ab"/>
        <w:numPr>
          <w:ilvl w:val="0"/>
          <w:numId w:val="166"/>
        </w:numPr>
      </w:pPr>
      <w:r>
        <w:rPr>
          <w:rFonts w:cs="Arial" w:hint="cs"/>
          <w:rtl/>
        </w:rPr>
        <w:t xml:space="preserve">טור- </w:t>
      </w:r>
      <w:r w:rsidRPr="000A7A9C">
        <w:rPr>
          <w:rFonts w:cs="Arial"/>
          <w:rtl/>
        </w:rPr>
        <w:t>ירושלמי שבעה גופי מלאכות מנו חכמים והשאר לא הוצרכו למנות</w:t>
      </w:r>
      <w:r>
        <w:rPr>
          <w:rFonts w:cs="Arial" w:hint="cs"/>
          <w:rtl/>
        </w:rPr>
        <w:t>,</w:t>
      </w:r>
      <w:r w:rsidRPr="000A7A9C">
        <w:rPr>
          <w:rFonts w:cs="Arial"/>
          <w:rtl/>
        </w:rPr>
        <w:t xml:space="preserve"> דפשיטא שצריכה לעשות כל צרכי הבית ולעמוד לפני בעלה לשרתו</w:t>
      </w:r>
      <w:r>
        <w:rPr>
          <w:rFonts w:cs="Arial" w:hint="cs"/>
          <w:rtl/>
        </w:rPr>
        <w:t>.</w:t>
      </w:r>
      <w:r w:rsidRPr="000A7A9C">
        <w:rPr>
          <w:rFonts w:cs="Arial"/>
          <w:rtl/>
        </w:rPr>
        <w:t xml:space="preserve"> אבל אינה צריכה לשרת לא לבנו ולא לאביו</w:t>
      </w:r>
      <w:r>
        <w:rPr>
          <w:rFonts w:cs="Arial" w:hint="cs"/>
          <w:sz w:val="16"/>
          <w:szCs w:val="16"/>
          <w:rtl/>
        </w:rPr>
        <w:t xml:space="preserve"> (ל' הטור)</w:t>
      </w:r>
      <w:r>
        <w:rPr>
          <w:rFonts w:cs="Arial" w:hint="cs"/>
          <w:rtl/>
        </w:rPr>
        <w:t>.</w:t>
      </w:r>
    </w:p>
    <w:p w14:paraId="11BE53E1" w14:textId="77777777" w:rsidR="002E5BAD" w:rsidRDefault="002E5BAD" w:rsidP="002E5BAD">
      <w:pPr>
        <w:pStyle w:val="ab"/>
        <w:numPr>
          <w:ilvl w:val="0"/>
          <w:numId w:val="166"/>
        </w:numPr>
      </w:pPr>
      <w:r>
        <w:rPr>
          <w:rFonts w:cs="Arial" w:hint="cs"/>
          <w:rtl/>
        </w:rPr>
        <w:t xml:space="preserve">רמב"ם </w:t>
      </w:r>
      <w:r>
        <w:rPr>
          <w:rFonts w:cs="Arial" w:hint="cs"/>
          <w:sz w:val="16"/>
          <w:szCs w:val="16"/>
          <w:rtl/>
        </w:rPr>
        <w:t>(פכ"א ה"ג)</w:t>
      </w:r>
      <w:r>
        <w:rPr>
          <w:rFonts w:cs="Arial" w:hint="cs"/>
          <w:rtl/>
        </w:rPr>
        <w:t xml:space="preserve">- </w:t>
      </w:r>
      <w:r w:rsidRPr="004B0A46">
        <w:rPr>
          <w:rFonts w:cs="Arial"/>
          <w:rtl/>
        </w:rPr>
        <w:t>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r>
        <w:rPr>
          <w:rFonts w:cs="Arial" w:hint="cs"/>
          <w:rtl/>
        </w:rPr>
        <w:t>.</w:t>
      </w:r>
      <w:r>
        <w:rPr>
          <w:rFonts w:hint="cs"/>
          <w:rtl/>
        </w:rPr>
        <w:t xml:space="preserve"> </w:t>
      </w:r>
      <w:r w:rsidRPr="00EC5ABC">
        <w:rPr>
          <w:rFonts w:hint="cs"/>
          <w:color w:val="E36C0A" w:themeColor="accent6" w:themeShade="BF"/>
          <w:rtl/>
        </w:rPr>
        <w:t>(וכ"פ בשו"ע)</w:t>
      </w:r>
    </w:p>
    <w:p w14:paraId="4DA48F85" w14:textId="77777777" w:rsidR="002E5BAD" w:rsidRPr="00672512" w:rsidRDefault="002E5BAD" w:rsidP="002E5BAD">
      <w:pPr>
        <w:ind w:left="360"/>
        <w:rPr>
          <w:u w:val="dotted"/>
        </w:rPr>
      </w:pPr>
      <w:r w:rsidRPr="00672512">
        <w:rPr>
          <w:rFonts w:hint="cs"/>
          <w:u w:val="dotted"/>
          <w:rtl/>
        </w:rPr>
        <w:t>האם אינה צריכה לשרת את בנו או אביו אפילו כשהם סמוכים על שולחנו:</w:t>
      </w:r>
    </w:p>
    <w:p w14:paraId="3D22B550" w14:textId="77777777" w:rsidR="002E5BAD" w:rsidRDefault="002E5BAD" w:rsidP="002E5BAD">
      <w:pPr>
        <w:pStyle w:val="ab"/>
        <w:numPr>
          <w:ilvl w:val="0"/>
          <w:numId w:val="166"/>
        </w:numPr>
        <w:rPr>
          <w:rtl/>
        </w:rPr>
      </w:pPr>
      <w:r>
        <w:rPr>
          <w:rFonts w:cs="Arial"/>
          <w:rtl/>
        </w:rPr>
        <w:t xml:space="preserve">ר"ן </w:t>
      </w:r>
      <w:r w:rsidRPr="00672512">
        <w:rPr>
          <w:rFonts w:cs="Arial"/>
          <w:sz w:val="16"/>
          <w:szCs w:val="16"/>
          <w:rtl/>
        </w:rPr>
        <w:t>(כה: ד"ה אין)</w:t>
      </w:r>
      <w:r>
        <w:rPr>
          <w:rFonts w:cs="Arial" w:hint="cs"/>
          <w:rtl/>
        </w:rPr>
        <w:t>-</w:t>
      </w:r>
      <w:r>
        <w:rPr>
          <w:rFonts w:cs="Arial"/>
          <w:rtl/>
        </w:rPr>
        <w:t xml:space="preserve"> </w:t>
      </w:r>
      <w:r>
        <w:rPr>
          <w:rFonts w:cs="Arial" w:hint="cs"/>
          <w:rtl/>
        </w:rPr>
        <w:t xml:space="preserve">הא </w:t>
      </w:r>
      <w:r w:rsidRPr="004B0A46">
        <w:rPr>
          <w:rFonts w:cs="Arial"/>
          <w:rtl/>
        </w:rPr>
        <w:t>דתניא אינו כופה לא לעמוד לפני אביו, ולא לעמוד לפני בנו</w:t>
      </w:r>
      <w:r>
        <w:rPr>
          <w:rFonts w:cs="Arial"/>
          <w:rtl/>
        </w:rPr>
        <w:t xml:space="preserve"> </w:t>
      </w:r>
      <w:r>
        <w:rPr>
          <w:rFonts w:cs="Arial" w:hint="cs"/>
          <w:rtl/>
        </w:rPr>
        <w:t xml:space="preserve">- </w:t>
      </w:r>
      <w:r>
        <w:rPr>
          <w:rFonts w:cs="Arial"/>
          <w:rtl/>
        </w:rPr>
        <w:t>בשאין סמוכין על שלחנו מיירי</w:t>
      </w:r>
      <w:r>
        <w:rPr>
          <w:rFonts w:cs="Arial" w:hint="cs"/>
          <w:rtl/>
        </w:rPr>
        <w:t>,</w:t>
      </w:r>
      <w:r>
        <w:rPr>
          <w:rFonts w:cs="Arial"/>
          <w:rtl/>
        </w:rPr>
        <w:t xml:space="preserve"> דאילו בסמוכין </w:t>
      </w:r>
      <w:r>
        <w:rPr>
          <w:rFonts w:cs="Arial" w:hint="cs"/>
          <w:rtl/>
        </w:rPr>
        <w:t xml:space="preserve">- </w:t>
      </w:r>
      <w:r>
        <w:rPr>
          <w:rFonts w:cs="Arial"/>
          <w:rtl/>
        </w:rPr>
        <w:t>חייבת</w:t>
      </w:r>
      <w:r>
        <w:rPr>
          <w:rFonts w:cs="Arial" w:hint="cs"/>
          <w:rtl/>
        </w:rPr>
        <w:t>,</w:t>
      </w:r>
      <w:r>
        <w:rPr>
          <w:rFonts w:cs="Arial"/>
          <w:rtl/>
        </w:rPr>
        <w:t xml:space="preserve"> מדאמרינן לעיל בגמרא (סא.) קמי אורחי ופרחי מאן טרח</w:t>
      </w:r>
      <w:r>
        <w:rPr>
          <w:rFonts w:cs="Arial" w:hint="cs"/>
          <w:rtl/>
        </w:rPr>
        <w:t>,</w:t>
      </w:r>
      <w:r>
        <w:rPr>
          <w:rFonts w:cs="Arial"/>
          <w:rtl/>
        </w:rPr>
        <w:t xml:space="preserve"> דמשמע שהיא חייבת לטרוח לפני כל בני הבית הסמוכים עליו</w:t>
      </w:r>
      <w:r>
        <w:rPr>
          <w:rFonts w:hint="cs"/>
          <w:rtl/>
        </w:rPr>
        <w:t xml:space="preserve">. </w:t>
      </w:r>
      <w:r w:rsidRPr="00672512">
        <w:rPr>
          <w:rFonts w:hint="cs"/>
          <w:color w:val="00B0F0"/>
          <w:rtl/>
        </w:rPr>
        <w:t>(וכ"</w:t>
      </w:r>
      <w:r>
        <w:rPr>
          <w:rFonts w:hint="cs"/>
          <w:color w:val="00B0F0"/>
          <w:rtl/>
        </w:rPr>
        <w:t>כ</w:t>
      </w:r>
      <w:r w:rsidRPr="00672512">
        <w:rPr>
          <w:rFonts w:hint="cs"/>
          <w:color w:val="00B0F0"/>
          <w:rtl/>
        </w:rPr>
        <w:t xml:space="preserve"> הרמ"א)</w:t>
      </w:r>
    </w:p>
    <w:p w14:paraId="7792894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BA9C3CF" w14:textId="77777777" w:rsidR="002E5BAD" w:rsidRDefault="002E5BAD" w:rsidP="002E5BAD">
      <w:pPr>
        <w:rPr>
          <w:rFonts w:cs="Arial"/>
          <w:rtl/>
        </w:rPr>
      </w:pPr>
      <w:r>
        <w:rPr>
          <w:rFonts w:cs="Arial"/>
          <w:rtl/>
        </w:rPr>
        <w:t>וכן</w:t>
      </w:r>
      <w:r>
        <w:rPr>
          <w:rStyle w:val="a7"/>
          <w:rFonts w:cs="Arial"/>
          <w:rtl/>
        </w:rPr>
        <w:footnoteReference w:id="1457"/>
      </w:r>
      <w:r>
        <w:rPr>
          <w:rFonts w:cs="Arial"/>
          <w:rtl/>
        </w:rPr>
        <w:t xml:space="preserve"> כל אשה רוחצת לבעלה פניו ידיו ורגליו</w:t>
      </w:r>
      <w:r>
        <w:rPr>
          <w:rFonts w:cs="Arial" w:hint="cs"/>
          <w:rtl/>
        </w:rPr>
        <w:t>.</w:t>
      </w:r>
      <w:r>
        <w:rPr>
          <w:rFonts w:cs="Arial"/>
          <w:rtl/>
        </w:rPr>
        <w:t xml:space="preserve"> ומוזגת לו את הכוס</w:t>
      </w:r>
      <w:r>
        <w:rPr>
          <w:rFonts w:cs="Arial" w:hint="cs"/>
          <w:rtl/>
        </w:rPr>
        <w:t>.</w:t>
      </w:r>
      <w:r>
        <w:rPr>
          <w:rFonts w:cs="Arial"/>
          <w:rtl/>
        </w:rPr>
        <w:t xml:space="preserve"> ומצעת לו את המטה</w:t>
      </w:r>
      <w:r>
        <w:rPr>
          <w:rFonts w:cs="Arial" w:hint="cs"/>
          <w:rtl/>
        </w:rPr>
        <w:t>.</w:t>
      </w:r>
      <w:r>
        <w:rPr>
          <w:rFonts w:cs="Arial"/>
          <w:rtl/>
        </w:rPr>
        <w:t xml:space="preserve"> </w:t>
      </w:r>
      <w:r>
        <w:rPr>
          <w:rFonts w:cs="Arial" w:hint="cs"/>
          <w:sz w:val="18"/>
          <w:szCs w:val="18"/>
          <w:rtl/>
        </w:rPr>
        <w:t xml:space="preserve">[הגה] </w:t>
      </w:r>
      <w:r w:rsidRPr="004D0526">
        <w:rPr>
          <w:rFonts w:cs="Arial"/>
          <w:sz w:val="18"/>
          <w:szCs w:val="18"/>
          <w:rtl/>
        </w:rPr>
        <w:t>וי"א דמחוייבת להציע כל מטות הבית (המ"מ ור"ן)</w:t>
      </w:r>
      <w:r>
        <w:rPr>
          <w:rFonts w:cs="Arial" w:hint="cs"/>
          <w:rtl/>
        </w:rPr>
        <w:t>.</w:t>
      </w:r>
      <w:r>
        <w:rPr>
          <w:rFonts w:cs="Arial"/>
          <w:rtl/>
        </w:rPr>
        <w:t xml:space="preserve"> ועומדת ומשמשת בפני בעלה, כגון שתתן לו מים או כלי או שתטול מלפניו, וכיוצא בדברים אלו</w:t>
      </w:r>
      <w:r>
        <w:rPr>
          <w:rFonts w:cs="Arial" w:hint="cs"/>
          <w:rtl/>
        </w:rPr>
        <w:t>.</w:t>
      </w:r>
      <w:r>
        <w:rPr>
          <w:rFonts w:cs="Arial"/>
          <w:rtl/>
        </w:rPr>
        <w:t xml:space="preserve"> אבל אינה עומדת ומשמשת בפני אביו או בפני בנו</w:t>
      </w:r>
      <w:r>
        <w:rPr>
          <w:rFonts w:cs="Arial" w:hint="cs"/>
          <w:rtl/>
        </w:rPr>
        <w:t>.</w:t>
      </w:r>
      <w:r>
        <w:rPr>
          <w:rFonts w:cs="Arial"/>
          <w:rtl/>
        </w:rPr>
        <w:t xml:space="preserve"> </w:t>
      </w:r>
      <w:r>
        <w:rPr>
          <w:rFonts w:cs="Arial" w:hint="cs"/>
          <w:sz w:val="18"/>
          <w:szCs w:val="18"/>
          <w:rtl/>
        </w:rPr>
        <w:t xml:space="preserve">[הגה] </w:t>
      </w:r>
      <w:r w:rsidRPr="004D0526">
        <w:rPr>
          <w:rFonts w:cs="Arial"/>
          <w:sz w:val="18"/>
          <w:szCs w:val="18"/>
          <w:rtl/>
        </w:rPr>
        <w:t>וי"א דוקא באינן סמוכין על שלחן בעלה</w:t>
      </w:r>
      <w:r>
        <w:rPr>
          <w:rStyle w:val="a7"/>
          <w:rFonts w:cs="Arial"/>
          <w:sz w:val="18"/>
          <w:szCs w:val="18"/>
          <w:rtl/>
        </w:rPr>
        <w:footnoteReference w:id="1458"/>
      </w:r>
      <w:r w:rsidRPr="004D0526">
        <w:rPr>
          <w:rFonts w:cs="Arial"/>
          <w:sz w:val="18"/>
          <w:szCs w:val="18"/>
          <w:rtl/>
        </w:rPr>
        <w:t xml:space="preserve"> (ב"י בשם הר"ן).</w:t>
      </w:r>
    </w:p>
    <w:p w14:paraId="4AC9B3A4" w14:textId="77777777" w:rsidR="002E5BAD" w:rsidRPr="0069056B" w:rsidRDefault="002E5BAD" w:rsidP="002E5BAD">
      <w:pPr>
        <w:rPr>
          <w:rFonts w:cs="Arial"/>
          <w:u w:val="single"/>
          <w:rtl/>
        </w:rPr>
      </w:pPr>
      <w:r w:rsidRPr="0069056B">
        <w:rPr>
          <w:rFonts w:cs="Arial" w:hint="cs"/>
          <w:u w:val="single"/>
          <w:rtl/>
        </w:rPr>
        <w:t xml:space="preserve">האם גם אשה עשירה חייבת </w:t>
      </w:r>
      <w:r>
        <w:rPr>
          <w:rFonts w:cs="Arial" w:hint="cs"/>
          <w:u w:val="single"/>
          <w:rtl/>
        </w:rPr>
        <w:t xml:space="preserve">להציע </w:t>
      </w:r>
      <w:r w:rsidRPr="0069056B">
        <w:rPr>
          <w:rFonts w:cs="Arial" w:hint="cs"/>
          <w:u w:val="single"/>
          <w:rtl/>
        </w:rPr>
        <w:t>כל מטות הבית:</w:t>
      </w:r>
    </w:p>
    <w:p w14:paraId="36FD7372" w14:textId="77777777" w:rsidR="002E5BAD" w:rsidRDefault="002E5BAD" w:rsidP="002E5BAD">
      <w:pPr>
        <w:pStyle w:val="ab"/>
        <w:numPr>
          <w:ilvl w:val="0"/>
          <w:numId w:val="166"/>
        </w:numPr>
        <w:rPr>
          <w:rFonts w:cs="Arial"/>
        </w:rPr>
      </w:pPr>
      <w:r>
        <w:rPr>
          <w:rFonts w:cs="Arial" w:hint="cs"/>
          <w:rtl/>
        </w:rPr>
        <w:t xml:space="preserve">ח"מ </w:t>
      </w:r>
      <w:r w:rsidRPr="0069056B">
        <w:rPr>
          <w:rFonts w:cs="Arial" w:hint="cs"/>
          <w:sz w:val="16"/>
          <w:szCs w:val="16"/>
          <w:rtl/>
        </w:rPr>
        <w:t>(סק"י)</w:t>
      </w:r>
      <w:r>
        <w:rPr>
          <w:rFonts w:cs="Arial" w:hint="cs"/>
          <w:rtl/>
        </w:rPr>
        <w:t xml:space="preserve">- </w:t>
      </w:r>
      <w:r w:rsidRPr="00672512">
        <w:rPr>
          <w:rFonts w:cs="Arial"/>
          <w:rtl/>
        </w:rPr>
        <w:t>לא מצאתי מי שכתב דעשירה צריכה להציע כל מטות</w:t>
      </w:r>
      <w:r>
        <w:rPr>
          <w:rFonts w:cs="Arial" w:hint="cs"/>
          <w:rtl/>
        </w:rPr>
        <w:t>,</w:t>
      </w:r>
      <w:r w:rsidRPr="00672512">
        <w:rPr>
          <w:rFonts w:cs="Arial"/>
          <w:rtl/>
        </w:rPr>
        <w:t xml:space="preserve"> דאינה מחוייבת רק להציע לו שהוא דבר חבה</w:t>
      </w:r>
      <w:r>
        <w:rPr>
          <w:rFonts w:cs="Arial" w:hint="cs"/>
          <w:rtl/>
        </w:rPr>
        <w:t>,</w:t>
      </w:r>
      <w:r w:rsidRPr="00672512">
        <w:rPr>
          <w:rFonts w:cs="Arial"/>
          <w:rtl/>
        </w:rPr>
        <w:t xml:space="preserve"> אבל בעניה יש אומרים שצריכה להציע כל המטות ולהטריח עצמה בהפוך כרים וכסתו</w:t>
      </w:r>
      <w:r>
        <w:rPr>
          <w:rFonts w:cs="Arial" w:hint="cs"/>
          <w:rtl/>
        </w:rPr>
        <w:t>ת</w:t>
      </w:r>
      <w:r>
        <w:rPr>
          <w:rStyle w:val="a7"/>
          <w:rFonts w:cs="Arial"/>
          <w:rtl/>
        </w:rPr>
        <w:footnoteReference w:id="1459"/>
      </w:r>
      <w:r>
        <w:rPr>
          <w:rFonts w:cs="Arial" w:hint="cs"/>
          <w:rtl/>
        </w:rPr>
        <w:t>...</w:t>
      </w:r>
      <w:r w:rsidRPr="00854903">
        <w:rPr>
          <w:rFonts w:cs="Arial"/>
          <w:rtl/>
        </w:rPr>
        <w:t xml:space="preserve"> </w:t>
      </w:r>
      <w:r w:rsidRPr="00672512">
        <w:rPr>
          <w:rFonts w:cs="Arial"/>
          <w:rtl/>
        </w:rPr>
        <w:t>וכ"כ הרב מהרמ"א בעצמו בהג"ה לקמן בסעי' ח' דאינה מצעת רק מטתו</w:t>
      </w:r>
      <w:r>
        <w:rPr>
          <w:rFonts w:cs="Arial" w:hint="cs"/>
          <w:rtl/>
        </w:rPr>
        <w:t>,</w:t>
      </w:r>
      <w:r w:rsidRPr="00672512">
        <w:rPr>
          <w:rFonts w:cs="Arial"/>
          <w:rtl/>
        </w:rPr>
        <w:t xml:space="preserve"> והי"א זה הי</w:t>
      </w:r>
      <w:r>
        <w:rPr>
          <w:rFonts w:cs="Arial" w:hint="cs"/>
          <w:rtl/>
        </w:rPr>
        <w:t>ה</w:t>
      </w:r>
      <w:r w:rsidRPr="00672512">
        <w:rPr>
          <w:rFonts w:cs="Arial"/>
          <w:rtl/>
        </w:rPr>
        <w:t xml:space="preserve"> ראוי להיות במקומו בסעי' ו' דחשיב שם ששה מלאכות שהעניות חייבו</w:t>
      </w:r>
      <w:r>
        <w:rPr>
          <w:rFonts w:cs="Arial" w:hint="cs"/>
          <w:rtl/>
        </w:rPr>
        <w:t>ת</w:t>
      </w:r>
      <w:r w:rsidRPr="00672512">
        <w:rPr>
          <w:rFonts w:cs="Arial"/>
          <w:rtl/>
        </w:rPr>
        <w:t xml:space="preserve"> לבעליהן</w:t>
      </w:r>
      <w:r>
        <w:rPr>
          <w:rFonts w:cs="Arial" w:hint="cs"/>
          <w:rtl/>
        </w:rPr>
        <w:t>.</w:t>
      </w:r>
      <w:r w:rsidRPr="00672512">
        <w:rPr>
          <w:rFonts w:cs="Arial"/>
          <w:rtl/>
        </w:rPr>
        <w:t xml:space="preserve"> </w:t>
      </w:r>
      <w:r>
        <w:rPr>
          <w:rFonts w:cs="Arial" w:hint="cs"/>
          <w:rtl/>
        </w:rPr>
        <w:t>(וכ"פ ישועות יעקב</w:t>
      </w:r>
      <w:r>
        <w:rPr>
          <w:rFonts w:cs="Arial" w:hint="cs"/>
          <w:sz w:val="16"/>
          <w:szCs w:val="16"/>
          <w:rtl/>
        </w:rPr>
        <w:t xml:space="preserve"> [סק"ו]</w:t>
      </w:r>
      <w:r>
        <w:rPr>
          <w:rFonts w:cs="Arial" w:hint="cs"/>
          <w:rtl/>
        </w:rPr>
        <w:t>)</w:t>
      </w:r>
    </w:p>
    <w:p w14:paraId="3442A03A" w14:textId="77777777" w:rsidR="002E5BAD" w:rsidRPr="0069056B" w:rsidRDefault="002E5BAD" w:rsidP="002E5BAD">
      <w:pPr>
        <w:pStyle w:val="ab"/>
        <w:numPr>
          <w:ilvl w:val="0"/>
          <w:numId w:val="166"/>
        </w:numPr>
        <w:rPr>
          <w:rFonts w:cs="Arial"/>
          <w:rtl/>
        </w:rPr>
      </w:pPr>
      <w:r w:rsidRPr="0069056B">
        <w:rPr>
          <w:rFonts w:cs="Arial" w:hint="cs"/>
          <w:rtl/>
        </w:rPr>
        <w:t xml:space="preserve">ב"ש </w:t>
      </w:r>
      <w:r w:rsidRPr="0069056B">
        <w:rPr>
          <w:rFonts w:cs="Arial" w:hint="cs"/>
          <w:sz w:val="16"/>
          <w:szCs w:val="16"/>
          <w:rtl/>
        </w:rPr>
        <w:t>(סק"ו)</w:t>
      </w:r>
      <w:r w:rsidRPr="0069056B">
        <w:rPr>
          <w:rFonts w:cs="Arial" w:hint="cs"/>
          <w:rtl/>
        </w:rPr>
        <w:t xml:space="preserve">- </w:t>
      </w:r>
      <w:r>
        <w:rPr>
          <w:rStyle w:val="a7"/>
          <w:rFonts w:cs="Arial"/>
          <w:rtl/>
        </w:rPr>
        <w:footnoteReference w:id="1460"/>
      </w:r>
      <w:r w:rsidRPr="0069056B">
        <w:rPr>
          <w:rFonts w:cs="Arial"/>
          <w:rtl/>
        </w:rPr>
        <w:t>חייבת למצעת כל המטות אפי' עשירה דהכניס</w:t>
      </w:r>
      <w:r>
        <w:rPr>
          <w:rFonts w:cs="Arial" w:hint="cs"/>
          <w:rtl/>
        </w:rPr>
        <w:t>ה</w:t>
      </w:r>
      <w:r w:rsidRPr="0069056B">
        <w:rPr>
          <w:rFonts w:cs="Arial"/>
          <w:rtl/>
        </w:rPr>
        <w:t xml:space="preserve"> ג' שפחות</w:t>
      </w:r>
      <w:r>
        <w:rPr>
          <w:rStyle w:val="a7"/>
          <w:rFonts w:cs="Arial"/>
          <w:rtl/>
        </w:rPr>
        <w:footnoteReference w:id="1461"/>
      </w:r>
      <w:r>
        <w:rPr>
          <w:rFonts w:cs="Arial" w:hint="cs"/>
          <w:rtl/>
        </w:rPr>
        <w:t>.</w:t>
      </w:r>
      <w:r w:rsidRPr="0069056B">
        <w:rPr>
          <w:rFonts w:cs="Arial"/>
          <w:rtl/>
        </w:rPr>
        <w:t xml:space="preserve"> </w:t>
      </w:r>
    </w:p>
    <w:p w14:paraId="7B09934E" w14:textId="77777777" w:rsidR="002E5BAD" w:rsidRDefault="002E5BAD" w:rsidP="002E5BAD">
      <w:pPr>
        <w:rPr>
          <w:rtl/>
        </w:rPr>
      </w:pPr>
      <w:r>
        <w:rPr>
          <w:rFonts w:cs="Arial"/>
          <w:rtl/>
        </w:rPr>
        <w:t xml:space="preserve"> </w:t>
      </w:r>
    </w:p>
    <w:p w14:paraId="3965070E" w14:textId="77777777" w:rsidR="002E5BAD" w:rsidRDefault="002E5BAD" w:rsidP="002E5BAD">
      <w:pPr>
        <w:pStyle w:val="2"/>
        <w:rPr>
          <w:rtl/>
        </w:rPr>
      </w:pPr>
      <w:r>
        <w:rPr>
          <w:rtl/>
        </w:rPr>
        <w:t>סעיף ה</w:t>
      </w:r>
      <w:r>
        <w:rPr>
          <w:rFonts w:hint="cs"/>
          <w:rtl/>
        </w:rPr>
        <w:t>: המלאכות הנ"ל באשה שיש לה שפחות.</w:t>
      </w:r>
    </w:p>
    <w:p w14:paraId="73CC7754"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w:t>
      </w:r>
      <w:r w:rsidRPr="00B35BDB">
        <w:rPr>
          <w:rFonts w:cs="Arial"/>
          <w:rtl/>
        </w:rPr>
        <w:lastRenderedPageBreak/>
        <w:t>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אפי' הכניסה לו מאה שפחות - כופה לעשות בצמר, שהבטלה מביאה לידי זימה</w:t>
      </w:r>
      <w:r>
        <w:rPr>
          <w:rFonts w:cs="Arial" w:hint="cs"/>
          <w:rtl/>
        </w:rPr>
        <w:t>..</w:t>
      </w:r>
      <w:r w:rsidRPr="00B35BDB">
        <w:rPr>
          <w:rFonts w:cs="Arial"/>
          <w:rtl/>
        </w:rPr>
        <w:t>.</w:t>
      </w:r>
      <w:r>
        <w:rPr>
          <w:rFonts w:cs="Arial" w:hint="cs"/>
          <w:rtl/>
        </w:rPr>
        <w:t xml:space="preserve">       </w:t>
      </w:r>
      <w:r w:rsidRPr="00C04A10">
        <w:rPr>
          <w:rFonts w:cs="Arial" w:hint="cs"/>
          <w:u w:val="double"/>
          <w:rtl/>
        </w:rPr>
        <w:t>גמ'</w:t>
      </w:r>
      <w:r w:rsidRPr="00C04A10">
        <w:rPr>
          <w:rFonts w:cs="Arial" w:hint="cs"/>
          <w:sz w:val="14"/>
          <w:szCs w:val="14"/>
          <w:u w:val="double"/>
          <w:rtl/>
        </w:rPr>
        <w:t>(סא.)</w:t>
      </w:r>
      <w:r w:rsidRPr="00C04A10">
        <w:rPr>
          <w:rFonts w:cs="Arial" w:hint="cs"/>
          <w:u w:val="double"/>
          <w:rtl/>
        </w:rPr>
        <w:t>:</w:t>
      </w:r>
      <w:r>
        <w:rPr>
          <w:rFonts w:cs="Arial" w:hint="cs"/>
          <w:rtl/>
        </w:rPr>
        <w:t xml:space="preserve"> </w:t>
      </w:r>
      <w:r w:rsidRPr="0038747A">
        <w:rPr>
          <w:rFonts w:cs="Arial"/>
          <w:rtl/>
        </w:rPr>
        <w:t xml:space="preserve">ארבע - יושבת בקתדרא. </w:t>
      </w:r>
      <w:r w:rsidRPr="009C4A6E">
        <w:rPr>
          <w:rFonts w:cs="Arial"/>
          <w:u w:val="single"/>
          <w:rtl/>
        </w:rPr>
        <w:t>אמר רב יצחק בר חנניא אמר רב הונא</w:t>
      </w:r>
      <w:r w:rsidRPr="0038747A">
        <w:rPr>
          <w:rFonts w:cs="Arial"/>
          <w:rtl/>
        </w:rPr>
        <w:t>: אף על פי שאמרו יושבת בקתדרא, אבל מוזגת לו כוס, ומצעת לו את המטה, ומרחצת לו פניו ידיו ורגליו.</w:t>
      </w:r>
    </w:p>
    <w:p w14:paraId="060ACA27" w14:textId="77777777" w:rsidR="002E5BAD" w:rsidRPr="00273A55" w:rsidRDefault="002E5BAD" w:rsidP="002E5BAD">
      <w:pPr>
        <w:rPr>
          <w:sz w:val="16"/>
          <w:szCs w:val="16"/>
          <w:rtl/>
        </w:rPr>
      </w:pPr>
      <w:r w:rsidRPr="001901C7">
        <w:rPr>
          <w:rFonts w:cs="Arial" w:hint="cs"/>
          <w:b/>
          <w:bCs/>
          <w:rtl/>
        </w:rPr>
        <w:t>ירושלמי כתובות פ"ה ה"ו:</w:t>
      </w:r>
      <w:r>
        <w:rPr>
          <w:rFonts w:cs="Arial" w:hint="cs"/>
          <w:rtl/>
        </w:rPr>
        <w:t xml:space="preserve"> </w:t>
      </w:r>
      <w:r w:rsidRPr="00604FDD">
        <w:rPr>
          <w:rFonts w:cs="Arial"/>
          <w:u w:val="single"/>
          <w:rtl/>
        </w:rPr>
        <w:t>רב הונא אמר</w:t>
      </w:r>
      <w:r>
        <w:rPr>
          <w:rFonts w:cs="Arial" w:hint="cs"/>
          <w:rtl/>
        </w:rPr>
        <w:t>:</w:t>
      </w:r>
      <w:r w:rsidRPr="003B333A">
        <w:rPr>
          <w:rFonts w:cs="Arial"/>
          <w:rtl/>
        </w:rPr>
        <w:t xml:space="preserve"> אפילו הכניסה לו מאה שפחות כופה לעשות לו דברים של יחיד מהו דברים של יחיד סכת לו את גופו ומרחצת לו את רגליו ומוזגת לו את הכוס</w:t>
      </w:r>
      <w:r>
        <w:rPr>
          <w:rFonts w:hint="cs"/>
          <w:rtl/>
        </w:rPr>
        <w:t xml:space="preserve">. </w:t>
      </w:r>
    </w:p>
    <w:p w14:paraId="66F9FEBA" w14:textId="77777777" w:rsidR="002E5BAD" w:rsidRPr="0004676C" w:rsidRDefault="002E5BAD" w:rsidP="002E5BAD">
      <w:pPr>
        <w:rPr>
          <w:rtl/>
        </w:rPr>
      </w:pPr>
      <w:r w:rsidRPr="0004676C">
        <w:rPr>
          <w:rFonts w:hint="cs"/>
          <w:u w:val="single"/>
          <w:rtl/>
        </w:rPr>
        <w:t>קשה</w:t>
      </w:r>
      <w:r>
        <w:rPr>
          <w:rFonts w:hint="cs"/>
          <w:u w:val="single"/>
          <w:rtl/>
        </w:rPr>
        <w:t xml:space="preserve"> על דברי רב הונא</w:t>
      </w:r>
      <w:r>
        <w:rPr>
          <w:rFonts w:hint="cs"/>
          <w:sz w:val="16"/>
          <w:szCs w:val="16"/>
          <w:u w:val="single"/>
          <w:rtl/>
        </w:rPr>
        <w:t xml:space="preserve"> (בבבלי ובירושלמי)</w:t>
      </w:r>
      <w:r w:rsidRPr="0004676C">
        <w:rPr>
          <w:rFonts w:hint="cs"/>
          <w:u w:val="single"/>
          <w:rtl/>
        </w:rPr>
        <w:t>, דהרי כתוב במשנה שאם הכניסה לו שלש שפחות אינה מצעת לו את המטה:</w:t>
      </w:r>
    </w:p>
    <w:p w14:paraId="1FAE0721" w14:textId="77777777" w:rsidR="002E5BAD" w:rsidRPr="0004676C" w:rsidRDefault="002E5BAD" w:rsidP="002E5BAD">
      <w:pPr>
        <w:pStyle w:val="ab"/>
        <w:numPr>
          <w:ilvl w:val="0"/>
          <w:numId w:val="170"/>
        </w:numPr>
      </w:pPr>
      <w:r w:rsidRPr="0004676C">
        <w:rPr>
          <w:rtl/>
        </w:rPr>
        <w:t xml:space="preserve">רש"י </w:t>
      </w:r>
      <w:r w:rsidRPr="0004676C">
        <w:rPr>
          <w:rFonts w:hint="cs"/>
          <w:sz w:val="16"/>
          <w:szCs w:val="16"/>
          <w:rtl/>
        </w:rPr>
        <w:t xml:space="preserve">(סא. ד"ה </w:t>
      </w:r>
      <w:r w:rsidRPr="0004676C">
        <w:rPr>
          <w:sz w:val="16"/>
          <w:szCs w:val="16"/>
          <w:rtl/>
        </w:rPr>
        <w:t>אבל מוזגת לו כוס ומצעת לו מטה</w:t>
      </w:r>
      <w:r w:rsidRPr="0004676C">
        <w:rPr>
          <w:rFonts w:hint="cs"/>
          <w:sz w:val="16"/>
          <w:szCs w:val="16"/>
          <w:rtl/>
        </w:rPr>
        <w:t>)</w:t>
      </w:r>
      <w:r>
        <w:rPr>
          <w:rFonts w:hint="cs"/>
          <w:rtl/>
        </w:rPr>
        <w:t xml:space="preserve"> וטור</w:t>
      </w:r>
      <w:r>
        <w:rPr>
          <w:rStyle w:val="a7"/>
          <w:rFonts w:cs="Arial"/>
          <w:rtl/>
        </w:rPr>
        <w:footnoteReference w:id="1462"/>
      </w:r>
      <w:r w:rsidRPr="0004676C">
        <w:rPr>
          <w:rFonts w:hint="cs"/>
          <w:rtl/>
        </w:rPr>
        <w:t xml:space="preserve">- </w:t>
      </w:r>
      <w:r w:rsidRPr="0004676C">
        <w:rPr>
          <w:rFonts w:hint="cs"/>
          <w:sz w:val="16"/>
          <w:szCs w:val="16"/>
          <w:rtl/>
        </w:rPr>
        <w:t xml:space="preserve">{רב הונא אמר שצריכה-} </w:t>
      </w:r>
      <w:r w:rsidRPr="0004676C">
        <w:rPr>
          <w:rtl/>
        </w:rPr>
        <w:t>לפרוס סדין ולבדין</w:t>
      </w:r>
      <w:r w:rsidRPr="0004676C">
        <w:rPr>
          <w:rFonts w:hint="cs"/>
          <w:rtl/>
        </w:rPr>
        <w:t>,</w:t>
      </w:r>
      <w:r w:rsidRPr="0004676C">
        <w:rPr>
          <w:rtl/>
        </w:rPr>
        <w:t xml:space="preserve"> דבר שאינו של טורח</w:t>
      </w:r>
      <w:r w:rsidRPr="0004676C">
        <w:rPr>
          <w:rFonts w:hint="cs"/>
          <w:rtl/>
        </w:rPr>
        <w:t>,</w:t>
      </w:r>
      <w:r w:rsidRPr="0004676C">
        <w:rPr>
          <w:rtl/>
        </w:rPr>
        <w:t xml:space="preserve"> ומשום דמילי דחיבה נינהו כדי שתתחבב עליו</w:t>
      </w:r>
      <w:r w:rsidRPr="0004676C">
        <w:rPr>
          <w:rFonts w:hint="cs"/>
          <w:rtl/>
        </w:rPr>
        <w:t>.</w:t>
      </w:r>
      <w:r w:rsidRPr="0004676C">
        <w:rPr>
          <w:rtl/>
        </w:rPr>
        <w:t xml:space="preserve"> ולא דמי למצעת דמתניתין דהוי דבר של טורח ובכפיה</w:t>
      </w:r>
      <w:r w:rsidRPr="0004676C">
        <w:rPr>
          <w:rFonts w:hint="cs"/>
          <w:rtl/>
        </w:rPr>
        <w:t>,</w:t>
      </w:r>
      <w:r w:rsidRPr="0004676C">
        <w:rPr>
          <w:rtl/>
        </w:rPr>
        <w:t xml:space="preserve"> הני לא כפי לה אלא חכמים השיאוה עצה טובה להנהיג זאת בישראל</w:t>
      </w:r>
      <w:r>
        <w:rPr>
          <w:rStyle w:val="a7"/>
          <w:rFonts w:cs="Arial"/>
          <w:rtl/>
        </w:rPr>
        <w:footnoteReference w:id="1463"/>
      </w:r>
      <w:r w:rsidRPr="0004676C">
        <w:rPr>
          <w:rFonts w:cs="Arial"/>
          <w:rtl/>
        </w:rPr>
        <w:t xml:space="preserve">. </w:t>
      </w:r>
    </w:p>
    <w:p w14:paraId="7254437E" w14:textId="77777777" w:rsidR="002E5BAD" w:rsidRDefault="002E5BAD" w:rsidP="002E5BAD">
      <w:pPr>
        <w:pStyle w:val="ab"/>
        <w:numPr>
          <w:ilvl w:val="0"/>
          <w:numId w:val="170"/>
        </w:numPr>
      </w:pPr>
      <w:r>
        <w:rPr>
          <w:rFonts w:cs="Arial" w:hint="cs"/>
          <w:rtl/>
        </w:rPr>
        <w:t xml:space="preserve">ר"ת </w:t>
      </w:r>
      <w:r>
        <w:rPr>
          <w:rFonts w:cs="Arial" w:hint="cs"/>
          <w:sz w:val="16"/>
          <w:szCs w:val="16"/>
          <w:rtl/>
        </w:rPr>
        <w:t>(כ"כ המרדכי בשמו [סי' קפב])</w:t>
      </w:r>
      <w:r>
        <w:rPr>
          <w:rFonts w:cs="Arial" w:hint="cs"/>
          <w:rtl/>
        </w:rPr>
        <w:t xml:space="preserve"> מרדכי </w:t>
      </w:r>
      <w:r>
        <w:rPr>
          <w:rFonts w:cs="Arial" w:hint="cs"/>
          <w:sz w:val="16"/>
          <w:szCs w:val="16"/>
          <w:rtl/>
        </w:rPr>
        <w:t xml:space="preserve">(סי' קפב) </w:t>
      </w:r>
      <w:r>
        <w:rPr>
          <w:rFonts w:cs="Arial" w:hint="cs"/>
          <w:rtl/>
        </w:rPr>
        <w:t>ויש אומרים</w:t>
      </w:r>
      <w:r w:rsidRPr="0004676C">
        <w:rPr>
          <w:rFonts w:cs="Arial"/>
          <w:rtl/>
        </w:rPr>
        <w:t xml:space="preserve"> </w:t>
      </w:r>
      <w:r>
        <w:rPr>
          <w:rFonts w:cs="Arial" w:hint="cs"/>
          <w:sz w:val="16"/>
          <w:szCs w:val="16"/>
          <w:rtl/>
        </w:rPr>
        <w:t>(כ"כ בשמם הה"מ [פכ"א ה"ה] והר"ן [כה. ד"ה צערא דידה])</w:t>
      </w:r>
      <w:r>
        <w:rPr>
          <w:rFonts w:cs="Arial" w:hint="cs"/>
          <w:rtl/>
        </w:rPr>
        <w:t xml:space="preserve">- </w:t>
      </w:r>
      <w:r w:rsidRPr="0004676C">
        <w:rPr>
          <w:rFonts w:cs="Arial"/>
          <w:rtl/>
        </w:rPr>
        <w:t>מתניתין להציע המטות כולן</w:t>
      </w:r>
      <w:r>
        <w:rPr>
          <w:rFonts w:cs="Arial" w:hint="cs"/>
          <w:rtl/>
        </w:rPr>
        <w:t>,</w:t>
      </w:r>
      <w:r w:rsidRPr="0004676C">
        <w:rPr>
          <w:rFonts w:cs="Arial"/>
          <w:rtl/>
        </w:rPr>
        <w:t xml:space="preserve"> אבל הכא להציע מטתו בלבד</w:t>
      </w:r>
      <w:r>
        <w:rPr>
          <w:rFonts w:cs="Arial" w:hint="cs"/>
          <w:rtl/>
        </w:rPr>
        <w:t>.</w:t>
      </w:r>
      <w:r w:rsidRPr="0004676C">
        <w:rPr>
          <w:rFonts w:cs="Arial"/>
          <w:rtl/>
        </w:rPr>
        <w:t xml:space="preserve"> ובמתניתין לא גרסינן </w:t>
      </w:r>
      <w:r>
        <w:rPr>
          <w:rFonts w:cs="Arial" w:hint="cs"/>
          <w:rtl/>
        </w:rPr>
        <w:t>'</w:t>
      </w:r>
      <w:r w:rsidRPr="0004676C">
        <w:rPr>
          <w:rFonts w:cs="Arial"/>
          <w:rtl/>
        </w:rPr>
        <w:t>ומצעת לו</w:t>
      </w:r>
      <w:r>
        <w:rPr>
          <w:rFonts w:cs="Arial" w:hint="cs"/>
          <w:rtl/>
        </w:rPr>
        <w:t>'</w:t>
      </w:r>
      <w:r w:rsidRPr="0004676C">
        <w:rPr>
          <w:rFonts w:cs="Arial"/>
          <w:rtl/>
        </w:rPr>
        <w:t xml:space="preserve"> אלא </w:t>
      </w:r>
      <w:r>
        <w:rPr>
          <w:rFonts w:cs="Arial" w:hint="cs"/>
          <w:rtl/>
        </w:rPr>
        <w:t>'</w:t>
      </w:r>
      <w:r w:rsidRPr="0004676C">
        <w:rPr>
          <w:rFonts w:cs="Arial"/>
          <w:rtl/>
        </w:rPr>
        <w:t>ומצעת את המטה</w:t>
      </w:r>
      <w:r>
        <w:rPr>
          <w:rFonts w:cs="Arial" w:hint="cs"/>
          <w:rtl/>
        </w:rPr>
        <w:t>'</w:t>
      </w:r>
      <w:r w:rsidRPr="0004676C">
        <w:rPr>
          <w:rFonts w:cs="Arial"/>
          <w:rtl/>
        </w:rPr>
        <w:t xml:space="preserve"> והכא גרסינן </w:t>
      </w:r>
      <w:r>
        <w:rPr>
          <w:rFonts w:cs="Arial" w:hint="cs"/>
          <w:rtl/>
        </w:rPr>
        <w:t>'</w:t>
      </w:r>
      <w:r w:rsidRPr="0004676C">
        <w:rPr>
          <w:rFonts w:cs="Arial"/>
          <w:rtl/>
        </w:rPr>
        <w:t>ומצעת לו</w:t>
      </w:r>
      <w:r>
        <w:rPr>
          <w:rFonts w:cs="Arial" w:hint="cs"/>
          <w:rtl/>
        </w:rPr>
        <w:t>'</w:t>
      </w:r>
      <w:r w:rsidRPr="0004676C">
        <w:rPr>
          <w:rFonts w:cs="Arial"/>
          <w:rtl/>
        </w:rPr>
        <w:t xml:space="preserve"> בלבד</w:t>
      </w:r>
      <w:r>
        <w:rPr>
          <w:rFonts w:cs="Arial" w:hint="cs"/>
          <w:sz w:val="16"/>
          <w:szCs w:val="16"/>
          <w:rtl/>
        </w:rPr>
        <w:t xml:space="preserve"> (ל' הר"ן בשמם)</w:t>
      </w:r>
      <w:r w:rsidRPr="0004676C">
        <w:rPr>
          <w:rFonts w:cs="Arial" w:hint="cs"/>
          <w:rtl/>
        </w:rPr>
        <w:t>.</w:t>
      </w:r>
      <w:r w:rsidRPr="0004676C">
        <w:rPr>
          <w:rFonts w:cs="Arial"/>
          <w:rtl/>
        </w:rPr>
        <w:t xml:space="preserve"> </w:t>
      </w:r>
    </w:p>
    <w:p w14:paraId="25AE360E" w14:textId="77777777" w:rsidR="002E5BAD" w:rsidRPr="00646B86" w:rsidRDefault="002E5BAD" w:rsidP="002E5BAD">
      <w:pPr>
        <w:pStyle w:val="ab"/>
        <w:numPr>
          <w:ilvl w:val="0"/>
          <w:numId w:val="170"/>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Pr="0004676C">
        <w:rPr>
          <w:rFonts w:cs="Arial"/>
          <w:sz w:val="16"/>
          <w:szCs w:val="16"/>
          <w:rtl/>
        </w:rPr>
        <w:t>ג-ז</w:t>
      </w:r>
      <w:r>
        <w:rPr>
          <w:rFonts w:cs="Arial" w:hint="cs"/>
          <w:sz w:val="16"/>
          <w:szCs w:val="16"/>
          <w:rtl/>
        </w:rPr>
        <w:t>, להב' הה"מ והב"י</w:t>
      </w:r>
      <w:r w:rsidRPr="0004676C">
        <w:rPr>
          <w:rFonts w:cs="Arial"/>
          <w:sz w:val="16"/>
          <w:szCs w:val="16"/>
          <w:rtl/>
        </w:rPr>
        <w:t>)</w:t>
      </w:r>
      <w:r w:rsidRPr="0004676C">
        <w:rPr>
          <w:rFonts w:cs="Arial" w:hint="cs"/>
          <w:rtl/>
        </w:rPr>
        <w:t>-</w:t>
      </w:r>
      <w:r w:rsidRPr="00DC4762">
        <w:rPr>
          <w:rFonts w:cs="Arial"/>
          <w:rtl/>
        </w:rPr>
        <w:t>אע</w:t>
      </w:r>
      <w:r>
        <w:rPr>
          <w:rFonts w:cs="Arial" w:hint="cs"/>
          <w:rtl/>
        </w:rPr>
        <w:t>"</w:t>
      </w:r>
      <w:r w:rsidRPr="00DC4762">
        <w:rPr>
          <w:rFonts w:cs="Arial"/>
          <w:rtl/>
        </w:rPr>
        <w:t>פ שמן הדין היה ראוי שתשב בקתדרא כמו ששנינו במתניתין</w:t>
      </w:r>
      <w:r>
        <w:rPr>
          <w:rFonts w:hint="cs"/>
          <w:sz w:val="16"/>
          <w:szCs w:val="16"/>
          <w:rtl/>
        </w:rPr>
        <w:t xml:space="preserve"> (ל' הה"מ)</w:t>
      </w:r>
      <w:r>
        <w:rPr>
          <w:rFonts w:hint="cs"/>
          <w:rtl/>
        </w:rPr>
        <w:t xml:space="preserve"> </w:t>
      </w:r>
      <w:r>
        <w:rPr>
          <w:rtl/>
        </w:rPr>
        <w:t>–</w:t>
      </w:r>
      <w:r w:rsidRPr="00AE32B4">
        <w:rPr>
          <w:rFonts w:cs="Arial"/>
          <w:rtl/>
        </w:rPr>
        <w:t xml:space="preserve"> </w:t>
      </w:r>
      <w:r w:rsidRPr="00DC4762">
        <w:rPr>
          <w:rFonts w:cs="Arial"/>
          <w:rtl/>
        </w:rPr>
        <w:t xml:space="preserve">אזדא ליה הא דקתני בה </w:t>
      </w:r>
      <w:r>
        <w:rPr>
          <w:rFonts w:cs="Arial" w:hint="cs"/>
          <w:rtl/>
        </w:rPr>
        <w:t>'</w:t>
      </w:r>
      <w:r w:rsidRPr="00DC4762">
        <w:rPr>
          <w:rFonts w:cs="Arial"/>
          <w:rtl/>
        </w:rPr>
        <w:t>אינה מצעת את המטה</w:t>
      </w:r>
      <w:r>
        <w:rPr>
          <w:rFonts w:cs="Arial" w:hint="cs"/>
          <w:rtl/>
        </w:rPr>
        <w:t>'</w:t>
      </w:r>
      <w:r w:rsidRPr="00DC4762">
        <w:rPr>
          <w:rFonts w:cs="Arial"/>
          <w:rtl/>
        </w:rPr>
        <w:t xml:space="preserve"> מהא דאמר רב הונא </w:t>
      </w:r>
      <w:r>
        <w:rPr>
          <w:rFonts w:cs="Arial" w:hint="cs"/>
          <w:rtl/>
        </w:rPr>
        <w:t>'</w:t>
      </w:r>
      <w:r w:rsidRPr="00DC4762">
        <w:rPr>
          <w:rFonts w:cs="Arial"/>
          <w:rtl/>
        </w:rPr>
        <w:t>אע</w:t>
      </w:r>
      <w:r>
        <w:rPr>
          <w:rFonts w:cs="Arial" w:hint="cs"/>
          <w:rtl/>
        </w:rPr>
        <w:t>"</w:t>
      </w:r>
      <w:r w:rsidRPr="00DC4762">
        <w:rPr>
          <w:rFonts w:cs="Arial"/>
          <w:rtl/>
        </w:rPr>
        <w:t>פ שאמרו יושבת בקתדרא וכו' ומצעת לו את המטה</w:t>
      </w:r>
      <w:r>
        <w:rPr>
          <w:rFonts w:cs="Arial" w:hint="cs"/>
          <w:rtl/>
        </w:rPr>
        <w:t>'</w:t>
      </w:r>
      <w:r>
        <w:rPr>
          <w:rFonts w:cs="Arial" w:hint="cs"/>
          <w:sz w:val="16"/>
          <w:szCs w:val="16"/>
          <w:rtl/>
        </w:rPr>
        <w:t xml:space="preserve"> (ל' הב"י)</w:t>
      </w:r>
      <w:r>
        <w:rPr>
          <w:rFonts w:cs="Arial" w:hint="cs"/>
          <w:rtl/>
        </w:rPr>
        <w:t xml:space="preserve">. </w:t>
      </w:r>
      <w:r w:rsidRPr="00BF69BA">
        <w:rPr>
          <w:rFonts w:hint="cs"/>
          <w:color w:val="E36C0A" w:themeColor="accent6" w:themeShade="BF"/>
          <w:rtl/>
        </w:rPr>
        <w:t>(וכ"פ בשו"ע)</w:t>
      </w:r>
    </w:p>
    <w:p w14:paraId="275C858A" w14:textId="77777777" w:rsidR="002E5BAD" w:rsidRPr="00B65C55" w:rsidRDefault="002E5BAD" w:rsidP="002E5BAD">
      <w:pPr>
        <w:rPr>
          <w:b/>
          <w:bCs/>
          <w:u w:val="single"/>
        </w:rPr>
      </w:pPr>
      <w:r w:rsidRPr="00B65C55">
        <w:rPr>
          <w:rFonts w:hint="cs"/>
          <w:u w:val="single"/>
          <w:rtl/>
        </w:rPr>
        <w:t>המלאכות הנ"ל</w:t>
      </w:r>
      <w:r w:rsidRPr="00B65C55">
        <w:rPr>
          <w:rFonts w:hint="cs"/>
          <w:sz w:val="16"/>
          <w:szCs w:val="16"/>
          <w:u w:val="single"/>
          <w:rtl/>
        </w:rPr>
        <w:t xml:space="preserve"> (בסע' </w:t>
      </w:r>
      <w:r>
        <w:rPr>
          <w:rFonts w:hint="cs"/>
          <w:sz w:val="16"/>
          <w:szCs w:val="16"/>
          <w:u w:val="single"/>
          <w:rtl/>
        </w:rPr>
        <w:t>ד</w:t>
      </w:r>
      <w:r w:rsidRPr="00B65C55">
        <w:rPr>
          <w:rFonts w:hint="cs"/>
          <w:sz w:val="16"/>
          <w:szCs w:val="16"/>
          <w:u w:val="single"/>
          <w:rtl/>
        </w:rPr>
        <w:t>)</w:t>
      </w:r>
      <w:r w:rsidRPr="00B65C55">
        <w:rPr>
          <w:rFonts w:hint="cs"/>
          <w:u w:val="single"/>
          <w:rtl/>
        </w:rPr>
        <w:t xml:space="preserve"> </w:t>
      </w:r>
      <w:r>
        <w:rPr>
          <w:rFonts w:hint="cs"/>
          <w:u w:val="single"/>
          <w:rtl/>
        </w:rPr>
        <w:t>באשה</w:t>
      </w:r>
      <w:r w:rsidRPr="00B65C55">
        <w:rPr>
          <w:rFonts w:hint="cs"/>
          <w:u w:val="single"/>
          <w:rtl/>
        </w:rPr>
        <w:t xml:space="preserve"> שיש לה שפחות:</w:t>
      </w:r>
    </w:p>
    <w:p w14:paraId="237BB96E" w14:textId="77777777" w:rsidR="002E5BAD" w:rsidRPr="004D0526" w:rsidRDefault="002E5BAD" w:rsidP="002E5BAD">
      <w:pPr>
        <w:pStyle w:val="ab"/>
        <w:numPr>
          <w:ilvl w:val="0"/>
          <w:numId w:val="170"/>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Pr="0004676C">
        <w:rPr>
          <w:rFonts w:cs="Arial"/>
          <w:sz w:val="16"/>
          <w:szCs w:val="16"/>
          <w:rtl/>
        </w:rPr>
        <w:t>ג-</w:t>
      </w:r>
      <w:r>
        <w:rPr>
          <w:rFonts w:cs="Arial" w:hint="cs"/>
          <w:sz w:val="16"/>
          <w:szCs w:val="16"/>
          <w:rtl/>
        </w:rPr>
        <w:t>ד</w:t>
      </w:r>
      <w:r w:rsidRPr="0004676C">
        <w:rPr>
          <w:rFonts w:cs="Arial"/>
          <w:sz w:val="16"/>
          <w:szCs w:val="16"/>
          <w:rtl/>
        </w:rPr>
        <w:t>)</w:t>
      </w:r>
      <w:r w:rsidRPr="0004676C">
        <w:rPr>
          <w:rFonts w:cs="Arial" w:hint="cs"/>
          <w:rtl/>
        </w:rPr>
        <w:t>-</w:t>
      </w:r>
      <w:r w:rsidRPr="0004676C">
        <w:rPr>
          <w:rFonts w:cs="Arial"/>
          <w:rtl/>
        </w:rPr>
        <w:t xml:space="preserve"> </w:t>
      </w:r>
      <w:r w:rsidRPr="00695839">
        <w:rPr>
          <w:rFonts w:cs="Arial"/>
          <w:rtl/>
        </w:rPr>
        <w:t>וכן כל אשה רוחצת לבעלה פניו ידיו ורגליו ומוזגת לו את הכוס ומצעת לו את המטה</w:t>
      </w:r>
      <w:r>
        <w:rPr>
          <w:rStyle w:val="a7"/>
          <w:rFonts w:cs="Arial"/>
          <w:rtl/>
        </w:rPr>
        <w:footnoteReference w:id="1464"/>
      </w:r>
      <w:r w:rsidRPr="00695839">
        <w:rPr>
          <w:rFonts w:cs="Arial"/>
          <w:rtl/>
        </w:rPr>
        <w:t xml:space="preserve"> ועומדת ומשמשת בפני בעלה כגון שתתן לו מים או כלי או תטול מלפניו וכיוצא בדברים אלו</w:t>
      </w:r>
      <w:r w:rsidRPr="00695839">
        <w:rPr>
          <w:rFonts w:cs="Arial" w:hint="cs"/>
          <w:rtl/>
        </w:rPr>
        <w:t>..</w:t>
      </w:r>
      <w:r w:rsidRPr="00695839">
        <w:rPr>
          <w:rFonts w:cs="Arial"/>
          <w:rtl/>
        </w:rPr>
        <w:t>. ומלאכות אלו עושה אותן היא בעצמה ואפילו היו להן כמה שפחות אין עושין מלאכות אלו לבעל אלא אשתו</w:t>
      </w:r>
      <w:r>
        <w:rPr>
          <w:rStyle w:val="a7"/>
          <w:rFonts w:cs="Arial"/>
          <w:rtl/>
        </w:rPr>
        <w:footnoteReference w:id="1465"/>
      </w:r>
      <w:r w:rsidRPr="00695839">
        <w:rPr>
          <w:rFonts w:cs="Arial"/>
          <w:rtl/>
        </w:rPr>
        <w:t>.</w:t>
      </w:r>
      <w:r>
        <w:rPr>
          <w:rFonts w:hint="cs"/>
          <w:rtl/>
        </w:rPr>
        <w:t xml:space="preserve"> </w:t>
      </w:r>
      <w:r w:rsidRPr="00BF69BA">
        <w:rPr>
          <w:rFonts w:hint="cs"/>
          <w:color w:val="E36C0A" w:themeColor="accent6" w:themeShade="BF"/>
          <w:rtl/>
        </w:rPr>
        <w:t>(וכ"פ בשו"ע)</w:t>
      </w:r>
    </w:p>
    <w:p w14:paraId="5C85709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63C996A" w14:textId="77777777" w:rsidR="002E5BAD" w:rsidRDefault="002E5BAD" w:rsidP="002E5BAD">
      <w:pPr>
        <w:rPr>
          <w:rFonts w:cs="Arial"/>
          <w:sz w:val="18"/>
          <w:szCs w:val="18"/>
          <w:rtl/>
        </w:rPr>
      </w:pPr>
      <w:r>
        <w:rPr>
          <w:rFonts w:cs="Arial"/>
          <w:rtl/>
        </w:rPr>
        <w:t>מלאכות אלו עושה אותן היא בעצמה</w:t>
      </w:r>
      <w:r>
        <w:rPr>
          <w:rStyle w:val="a7"/>
          <w:rFonts w:cs="Arial"/>
          <w:rtl/>
        </w:rPr>
        <w:footnoteReference w:id="1466"/>
      </w:r>
      <w:r>
        <w:rPr>
          <w:rFonts w:cs="Arial"/>
          <w:rtl/>
        </w:rPr>
        <w:t xml:space="preserve">, ואפילו היה לה כמה שפחות אין עושין מלאכות אלו לבעל, אלא אשתו. </w:t>
      </w:r>
      <w:r w:rsidRPr="004D0526">
        <w:rPr>
          <w:rFonts w:cs="Arial"/>
          <w:sz w:val="18"/>
          <w:szCs w:val="18"/>
          <w:rtl/>
        </w:rPr>
        <w:t>(ויש מחלוקת בהצעת המטה</w:t>
      </w:r>
      <w:r>
        <w:rPr>
          <w:rStyle w:val="a7"/>
          <w:rFonts w:cs="Arial"/>
          <w:sz w:val="18"/>
          <w:szCs w:val="18"/>
          <w:rtl/>
        </w:rPr>
        <w:footnoteReference w:id="1467"/>
      </w:r>
      <w:r w:rsidRPr="004D0526">
        <w:rPr>
          <w:rFonts w:cs="Arial"/>
          <w:sz w:val="18"/>
          <w:szCs w:val="18"/>
          <w:rtl/>
        </w:rPr>
        <w:t xml:space="preserve">, ועיין למטה סעיף ח'). </w:t>
      </w:r>
    </w:p>
    <w:p w14:paraId="5DD61B19" w14:textId="77777777" w:rsidR="002E5BAD" w:rsidRDefault="002E5BAD" w:rsidP="002E5BAD">
      <w:pPr>
        <w:rPr>
          <w:rtl/>
        </w:rPr>
      </w:pPr>
    </w:p>
    <w:p w14:paraId="79DA72A2" w14:textId="77777777" w:rsidR="002E5BAD" w:rsidRDefault="002E5BAD" w:rsidP="002E5BAD">
      <w:pPr>
        <w:pStyle w:val="2"/>
        <w:rPr>
          <w:rtl/>
        </w:rPr>
      </w:pPr>
      <w:r>
        <w:rPr>
          <w:rtl/>
        </w:rPr>
        <w:t>סעיף ו</w:t>
      </w:r>
      <w:r>
        <w:rPr>
          <w:rFonts w:hint="cs"/>
          <w:rtl/>
        </w:rPr>
        <w:t>: מלאכות נוספות שהאשה עושה לבעלה בזמן שהם עניים.</w:t>
      </w:r>
    </w:p>
    <w:p w14:paraId="4C6CA7EA"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ע"ב: </w:t>
      </w:r>
      <w:r w:rsidRPr="00F92E28">
        <w:rPr>
          <w:rFonts w:cs="Arial"/>
          <w:rtl/>
        </w:rPr>
        <w:t>דתניא: אינו כופה לא לעמוד לפני אביו, ולא לעמוד לפני בנו, ולא ליתן תבן לפני בהמתו, אבל כופה ליתן תבן לפני בקרו</w:t>
      </w:r>
      <w:r>
        <w:rPr>
          <w:rFonts w:cs="Arial" w:hint="cs"/>
          <w:rtl/>
        </w:rPr>
        <w:t>.</w:t>
      </w:r>
      <w:r w:rsidRPr="002F5520">
        <w:rPr>
          <w:rFonts w:cs="Arial"/>
          <w:sz w:val="16"/>
          <w:szCs w:val="16"/>
          <w:rtl/>
        </w:rPr>
        <w:t xml:space="preserve"> </w:t>
      </w:r>
      <w:r>
        <w:rPr>
          <w:rFonts w:cs="Arial" w:hint="cs"/>
          <w:sz w:val="16"/>
          <w:szCs w:val="16"/>
          <w:rtl/>
        </w:rPr>
        <w:t>(</w:t>
      </w:r>
      <w:r w:rsidRPr="002F5520">
        <w:rPr>
          <w:rFonts w:cs="Arial"/>
          <w:sz w:val="16"/>
          <w:szCs w:val="16"/>
          <w:rtl/>
        </w:rPr>
        <w:t>והרי"ף (כה:) גורס בהפך</w:t>
      </w:r>
      <w:r w:rsidRPr="002F5520">
        <w:rPr>
          <w:rFonts w:cs="Arial" w:hint="cs"/>
          <w:sz w:val="16"/>
          <w:szCs w:val="16"/>
          <w:rtl/>
        </w:rPr>
        <w:t>:</w:t>
      </w:r>
      <w:r w:rsidRPr="002F5520">
        <w:rPr>
          <w:rFonts w:cs="Arial"/>
          <w:sz w:val="16"/>
          <w:szCs w:val="16"/>
          <w:rtl/>
        </w:rPr>
        <w:t xml:space="preserve"> </w:t>
      </w:r>
      <w:r w:rsidRPr="002F5520">
        <w:rPr>
          <w:rFonts w:cs="Arial" w:hint="cs"/>
          <w:sz w:val="16"/>
          <w:szCs w:val="16"/>
          <w:rtl/>
        </w:rPr>
        <w:t>'</w:t>
      </w:r>
      <w:r w:rsidRPr="002F5520">
        <w:rPr>
          <w:rFonts w:cs="Arial"/>
          <w:sz w:val="16"/>
          <w:szCs w:val="16"/>
          <w:rtl/>
        </w:rPr>
        <w:t>ולא ליתן תבן לפני בקרו אבל כופה ליתן תבן לפני בהמתו</w:t>
      </w:r>
      <w:r w:rsidRPr="002F5520">
        <w:rPr>
          <w:rFonts w:cs="Arial" w:hint="cs"/>
          <w:sz w:val="16"/>
          <w:szCs w:val="16"/>
          <w:rtl/>
        </w:rPr>
        <w:t>'</w:t>
      </w:r>
      <w:r>
        <w:rPr>
          <w:rFonts w:cs="Arial" w:hint="cs"/>
          <w:sz w:val="16"/>
          <w:szCs w:val="16"/>
          <w:rtl/>
        </w:rPr>
        <w:t>.</w:t>
      </w:r>
      <w:r w:rsidRPr="002F5520">
        <w:rPr>
          <w:rFonts w:cs="Arial" w:hint="cs"/>
          <w:sz w:val="16"/>
          <w:szCs w:val="16"/>
          <w:rtl/>
        </w:rPr>
        <w:t xml:space="preserve"> </w:t>
      </w:r>
      <w:r w:rsidRPr="002F5520">
        <w:rPr>
          <w:rFonts w:cs="Arial"/>
          <w:sz w:val="16"/>
          <w:szCs w:val="16"/>
          <w:rtl/>
        </w:rPr>
        <w:t>וכתב עליו הרא"ש (סי' כו) לפני בהמתו שהוא רוכב עליה</w:t>
      </w:r>
      <w:r>
        <w:rPr>
          <w:rFonts w:cs="Arial" w:hint="cs"/>
          <w:sz w:val="16"/>
          <w:szCs w:val="16"/>
          <w:rtl/>
        </w:rPr>
        <w:t>,</w:t>
      </w:r>
      <w:r w:rsidRPr="002F5520">
        <w:rPr>
          <w:rFonts w:cs="Arial" w:hint="cs"/>
          <w:sz w:val="16"/>
          <w:szCs w:val="16"/>
          <w:rtl/>
        </w:rPr>
        <w:t xml:space="preserve"> ב"י</w:t>
      </w:r>
      <w:r>
        <w:rPr>
          <w:rFonts w:cs="Arial" w:hint="cs"/>
          <w:sz w:val="16"/>
          <w:szCs w:val="16"/>
          <w:rtl/>
        </w:rPr>
        <w:t xml:space="preserve">. וגם הרמב"ם (פכ"א ה"ה) גרס כהרי"ף. והביא עוד הב"י את דברי </w:t>
      </w:r>
      <w:r w:rsidRPr="002F2941">
        <w:rPr>
          <w:rFonts w:cs="Arial"/>
          <w:sz w:val="16"/>
          <w:szCs w:val="16"/>
          <w:rtl/>
        </w:rPr>
        <w:t xml:space="preserve">הר"ן (שם) </w:t>
      </w:r>
      <w:r>
        <w:rPr>
          <w:rFonts w:cs="Arial" w:hint="cs"/>
          <w:sz w:val="16"/>
          <w:szCs w:val="16"/>
          <w:rtl/>
        </w:rPr>
        <w:t xml:space="preserve">וז"ל- </w:t>
      </w:r>
      <w:r w:rsidRPr="002F2941">
        <w:rPr>
          <w:rFonts w:cs="Arial"/>
          <w:sz w:val="16"/>
          <w:szCs w:val="16"/>
          <w:rtl/>
        </w:rPr>
        <w:t xml:space="preserve">ואיכא למידק מדתניא בפרק בתרא דנדרים (פא:) קונם שלא אתן תבן לפני בהמתך ולפני בקרך </w:t>
      </w:r>
      <w:r w:rsidRPr="002F2941">
        <w:rPr>
          <w:rFonts w:cs="Arial" w:hint="cs"/>
          <w:sz w:val="16"/>
          <w:szCs w:val="16"/>
          <w:rtl/>
        </w:rPr>
        <w:t xml:space="preserve">- </w:t>
      </w:r>
      <w:r w:rsidRPr="002F2941">
        <w:rPr>
          <w:rFonts w:cs="Arial"/>
          <w:sz w:val="16"/>
          <w:szCs w:val="16"/>
          <w:rtl/>
        </w:rPr>
        <w:t>אינו יכול להפר</w:t>
      </w:r>
      <w:r w:rsidRPr="002F2941">
        <w:rPr>
          <w:rFonts w:cs="Arial" w:hint="cs"/>
          <w:sz w:val="16"/>
          <w:szCs w:val="16"/>
          <w:rtl/>
        </w:rPr>
        <w:t>.</w:t>
      </w:r>
      <w:r w:rsidRPr="002F2941">
        <w:rPr>
          <w:rFonts w:cs="Arial"/>
          <w:sz w:val="16"/>
          <w:szCs w:val="16"/>
          <w:rtl/>
        </w:rPr>
        <w:t xml:space="preserve"> ואי משעבדא ליה ליתן לפני בהמתו או לפני בקרו אמאי אינו יכול להפר</w:t>
      </w:r>
      <w:r w:rsidRPr="002F2941">
        <w:rPr>
          <w:rFonts w:cs="Arial" w:hint="cs"/>
          <w:sz w:val="16"/>
          <w:szCs w:val="16"/>
          <w:rtl/>
        </w:rPr>
        <w:t>,</w:t>
      </w:r>
      <w:r w:rsidRPr="002F2941">
        <w:rPr>
          <w:rFonts w:cs="Arial"/>
          <w:sz w:val="16"/>
          <w:szCs w:val="16"/>
          <w:rtl/>
        </w:rPr>
        <w:t xml:space="preserve"> אדרבה לא היה צריך להפר דכיון דמשעבדא ליה לא חייל נדרה</w:t>
      </w:r>
      <w:r w:rsidRPr="002F2941">
        <w:rPr>
          <w:rFonts w:cs="Arial" w:hint="cs"/>
          <w:sz w:val="16"/>
          <w:szCs w:val="16"/>
          <w:rtl/>
        </w:rPr>
        <w:t>.</w:t>
      </w:r>
      <w:r w:rsidRPr="002F2941">
        <w:rPr>
          <w:rFonts w:cs="Arial"/>
          <w:sz w:val="16"/>
          <w:szCs w:val="16"/>
          <w:rtl/>
        </w:rPr>
        <w:t xml:space="preserve"> י"ל דהכא בשלא הכניסה לו שפחות והתם כשהכניסה לו שפחות</w:t>
      </w:r>
      <w:r w:rsidRPr="002F2941">
        <w:rPr>
          <w:rFonts w:cs="Arial" w:hint="cs"/>
          <w:sz w:val="16"/>
          <w:szCs w:val="16"/>
          <w:rtl/>
        </w:rPr>
        <w:t>.</w:t>
      </w:r>
      <w:r w:rsidRPr="002F2941">
        <w:rPr>
          <w:rFonts w:cs="Arial"/>
          <w:sz w:val="16"/>
          <w:szCs w:val="16"/>
          <w:rtl/>
        </w:rPr>
        <w:t xml:space="preserve"> וכך נראה מדברי הרמב"ם שמנה נותנת תבן לפני בהמתו בעניות בפכ"א מהלכות אישות</w:t>
      </w:r>
      <w:r>
        <w:rPr>
          <w:rFonts w:cs="Arial" w:hint="cs"/>
          <w:sz w:val="14"/>
          <w:szCs w:val="14"/>
          <w:rtl/>
        </w:rPr>
        <w:t xml:space="preserve"> [עכ"ל הר"ן]</w:t>
      </w:r>
      <w:r w:rsidRPr="002F5520">
        <w:rPr>
          <w:rFonts w:cs="Arial" w:hint="cs"/>
          <w:sz w:val="16"/>
          <w:szCs w:val="16"/>
          <w:rtl/>
        </w:rPr>
        <w:t>)</w:t>
      </w:r>
    </w:p>
    <w:p w14:paraId="7F72879B" w14:textId="77777777" w:rsidR="002E5BAD" w:rsidRPr="002F5520" w:rsidRDefault="002E5BAD" w:rsidP="002E5BAD">
      <w:pPr>
        <w:rPr>
          <w:u w:val="single"/>
          <w:rtl/>
        </w:rPr>
      </w:pPr>
      <w:r>
        <w:rPr>
          <w:rFonts w:hint="cs"/>
          <w:u w:val="single"/>
          <w:rtl/>
        </w:rPr>
        <w:t>לפני מה אשתו צריכה ליתן תבן</w:t>
      </w:r>
      <w:r w:rsidRPr="002F5520">
        <w:rPr>
          <w:rFonts w:hint="cs"/>
          <w:u w:val="single"/>
          <w:rtl/>
        </w:rPr>
        <w:t>:</w:t>
      </w:r>
    </w:p>
    <w:p w14:paraId="67C95013" w14:textId="77777777" w:rsidR="002E5BAD" w:rsidRPr="002F5520" w:rsidRDefault="002E5BAD" w:rsidP="002E5BAD">
      <w:pPr>
        <w:pStyle w:val="ab"/>
        <w:numPr>
          <w:ilvl w:val="0"/>
          <w:numId w:val="166"/>
        </w:numPr>
        <w:rPr>
          <w:rFonts w:cs="Arial"/>
        </w:rPr>
      </w:pPr>
      <w:r>
        <w:rPr>
          <w:rFonts w:cs="Arial" w:hint="cs"/>
          <w:rtl/>
        </w:rPr>
        <w:t xml:space="preserve">רי"ף </w:t>
      </w:r>
      <w:r w:rsidRPr="002F5520">
        <w:rPr>
          <w:rFonts w:cs="Arial"/>
          <w:sz w:val="16"/>
          <w:szCs w:val="16"/>
          <w:rtl/>
        </w:rPr>
        <w:t>(כה:)</w:t>
      </w:r>
      <w:r>
        <w:rPr>
          <w:rFonts w:cs="Arial" w:hint="cs"/>
          <w:rtl/>
        </w:rPr>
        <w:t xml:space="preserve">- </w:t>
      </w:r>
      <w:r w:rsidRPr="002F5520">
        <w:rPr>
          <w:rFonts w:cs="Arial"/>
          <w:rtl/>
        </w:rPr>
        <w:t>צריכה ליתן לפני בהמתו המיוחדת לו למרכבתו</w:t>
      </w:r>
      <w:r>
        <w:rPr>
          <w:rFonts w:cs="Arial" w:hint="cs"/>
          <w:rtl/>
        </w:rPr>
        <w:t>,</w:t>
      </w:r>
      <w:r w:rsidRPr="002F5520">
        <w:rPr>
          <w:rFonts w:cs="Arial"/>
          <w:rtl/>
        </w:rPr>
        <w:t xml:space="preserve"> אבל לא לפני שאר בהמות ולא לבקר וצאן שלו</w:t>
      </w:r>
      <w:r>
        <w:rPr>
          <w:rFonts w:cs="Arial" w:hint="cs"/>
          <w:sz w:val="16"/>
          <w:szCs w:val="16"/>
          <w:rtl/>
        </w:rPr>
        <w:t xml:space="preserve"> (ל' הטור בשמו)</w:t>
      </w:r>
      <w:r w:rsidRPr="002F5520">
        <w:rPr>
          <w:rFonts w:cs="Arial" w:hint="cs"/>
          <w:rtl/>
        </w:rPr>
        <w:t>.</w:t>
      </w:r>
    </w:p>
    <w:p w14:paraId="3111D207" w14:textId="77777777" w:rsidR="002E5BAD" w:rsidRDefault="002E5BAD" w:rsidP="002E5BAD">
      <w:pPr>
        <w:pStyle w:val="ab"/>
        <w:numPr>
          <w:ilvl w:val="0"/>
          <w:numId w:val="166"/>
        </w:numPr>
        <w:rPr>
          <w:rtl/>
        </w:rPr>
      </w:pPr>
      <w:r w:rsidRPr="00BF69BA">
        <w:rPr>
          <w:rFonts w:cs="Arial"/>
          <w:rtl/>
        </w:rPr>
        <w:lastRenderedPageBreak/>
        <w:t xml:space="preserve">רש"י </w:t>
      </w:r>
      <w:r w:rsidRPr="002F5520">
        <w:rPr>
          <w:rFonts w:cs="Arial" w:hint="cs"/>
          <w:sz w:val="16"/>
          <w:szCs w:val="16"/>
          <w:rtl/>
        </w:rPr>
        <w:t>(</w:t>
      </w:r>
      <w:r>
        <w:rPr>
          <w:rFonts w:cs="Arial" w:hint="cs"/>
          <w:sz w:val="16"/>
          <w:szCs w:val="16"/>
          <w:rtl/>
        </w:rPr>
        <w:t>ד"ה בהמתו</w:t>
      </w:r>
      <w:r w:rsidRPr="002F5520">
        <w:rPr>
          <w:rFonts w:cs="Arial" w:hint="cs"/>
          <w:sz w:val="16"/>
          <w:szCs w:val="16"/>
          <w:rtl/>
        </w:rPr>
        <w:t>)</w:t>
      </w:r>
      <w:r>
        <w:rPr>
          <w:rFonts w:cs="Arial" w:hint="cs"/>
          <w:rtl/>
        </w:rPr>
        <w:t xml:space="preserve">- </w:t>
      </w:r>
      <w:r w:rsidRPr="002F5520">
        <w:rPr>
          <w:rFonts w:cs="Arial"/>
          <w:rtl/>
        </w:rPr>
        <w:t>סוס וחמור שהן מזויינין וצוהלים לרביעה</w:t>
      </w:r>
      <w:r>
        <w:rPr>
          <w:rFonts w:cs="Arial" w:hint="cs"/>
          <w:rtl/>
        </w:rPr>
        <w:t>,</w:t>
      </w:r>
      <w:r w:rsidRPr="002F5520">
        <w:rPr>
          <w:rFonts w:cs="Arial"/>
          <w:rtl/>
        </w:rPr>
        <w:t xml:space="preserve"> אבל בקר אינו להוט אחר רביעת אשה ואין יצרו ניכר כל כך לפיכך אין אשה נסתית לו</w:t>
      </w:r>
      <w:r>
        <w:rPr>
          <w:rFonts w:cs="Arial" w:hint="cs"/>
          <w:rtl/>
        </w:rPr>
        <w:t>.</w:t>
      </w:r>
      <w:r w:rsidRPr="002F5520">
        <w:rPr>
          <w:rFonts w:cs="Arial"/>
          <w:rtl/>
        </w:rPr>
        <w:t xml:space="preserve"> ואני שמעתי בקרו נקבות בהמתו זכרים</w:t>
      </w:r>
      <w:r w:rsidRPr="00BF69BA">
        <w:rPr>
          <w:rFonts w:cs="Arial"/>
          <w:rtl/>
        </w:rPr>
        <w:t xml:space="preserve">. </w:t>
      </w:r>
    </w:p>
    <w:p w14:paraId="13B32A51" w14:textId="77777777" w:rsidR="002E5BAD" w:rsidRPr="00B65C55"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p>
    <w:p w14:paraId="5B6B1BBF" w14:textId="77777777" w:rsidR="002E5BAD" w:rsidRPr="00B65C55" w:rsidRDefault="002E5BAD" w:rsidP="002E5BAD">
      <w:pPr>
        <w:rPr>
          <w:u w:val="single"/>
          <w:rtl/>
        </w:rPr>
      </w:pPr>
      <w:r w:rsidRPr="00B65C55">
        <w:rPr>
          <w:rFonts w:hint="cs"/>
          <w:u w:val="single"/>
          <w:rtl/>
        </w:rPr>
        <w:t>מלאכות נוספות שהאשה עושה</w:t>
      </w:r>
      <w:r>
        <w:rPr>
          <w:rFonts w:hint="cs"/>
          <w:u w:val="single"/>
          <w:rtl/>
        </w:rPr>
        <w:t xml:space="preserve"> לבעלה</w:t>
      </w:r>
      <w:r w:rsidRPr="00B65C55">
        <w:rPr>
          <w:rFonts w:hint="cs"/>
          <w:u w:val="single"/>
          <w:rtl/>
        </w:rPr>
        <w:t xml:space="preserve"> בזמן שהם עניים:</w:t>
      </w:r>
    </w:p>
    <w:p w14:paraId="371462AD" w14:textId="77777777" w:rsidR="002E5BAD" w:rsidRDefault="002E5BAD" w:rsidP="002E5BAD">
      <w:pPr>
        <w:pStyle w:val="ab"/>
        <w:numPr>
          <w:ilvl w:val="0"/>
          <w:numId w:val="170"/>
        </w:num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Pr>
          <w:rFonts w:cs="Arial" w:hint="cs"/>
          <w:sz w:val="16"/>
          <w:szCs w:val="16"/>
          <w:rtl/>
        </w:rPr>
        <w:t>ה</w:t>
      </w:r>
      <w:r w:rsidRPr="0004676C">
        <w:rPr>
          <w:rFonts w:cs="Arial"/>
          <w:sz w:val="16"/>
          <w:szCs w:val="16"/>
          <w:rtl/>
        </w:rPr>
        <w:t>)</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 ואלו הן</w:t>
      </w:r>
      <w:r>
        <w:rPr>
          <w:rStyle w:val="a7"/>
          <w:rFonts w:cs="Arial"/>
          <w:rtl/>
        </w:rPr>
        <w:footnoteReference w:id="1468"/>
      </w:r>
      <w:r w:rsidRPr="00695839">
        <w:rPr>
          <w:rFonts w:cs="Arial"/>
          <w:rtl/>
        </w:rPr>
        <w:t>: אופה את הפת בתנור, ועזרא תיקן שתהיה אשה משכמת ואופה כדי שתהיה הפת מצויה לעניים, ומבשלת את התבשילין ומכבסת את הבגדים, ומניקה את בנה, ונותנת תבן לפני בהמתו אבל לא לפני בקרו, ומטחנת.</w:t>
      </w:r>
      <w:r>
        <w:rPr>
          <w:rFonts w:hint="cs"/>
          <w:rtl/>
        </w:rPr>
        <w:t xml:space="preserve"> </w:t>
      </w:r>
      <w:r w:rsidRPr="00BF69BA">
        <w:rPr>
          <w:rFonts w:hint="cs"/>
          <w:color w:val="E36C0A" w:themeColor="accent6" w:themeShade="BF"/>
          <w:rtl/>
        </w:rPr>
        <w:t>(וכ"פ בשו"ע)</w:t>
      </w:r>
    </w:p>
    <w:p w14:paraId="241A5D18" w14:textId="77777777" w:rsidR="002E5BAD" w:rsidRPr="004D0526" w:rsidRDefault="002E5BAD" w:rsidP="002E5BAD">
      <w:pPr>
        <w:rPr>
          <w:rtl/>
        </w:rPr>
      </w:pPr>
      <w:r>
        <w:rPr>
          <w:rFonts w:cs="Arial" w:hint="cs"/>
          <w:b/>
          <w:bCs/>
          <w:rtl/>
        </w:rPr>
        <w:t xml:space="preserve">ירושלמי כתובות פ"ה ה"ו: </w:t>
      </w:r>
      <w:r w:rsidRPr="00EE0F3A">
        <w:rPr>
          <w:rFonts w:cs="Arial"/>
          <w:rtl/>
        </w:rPr>
        <w:t xml:space="preserve">מניקה את בנה. </w:t>
      </w:r>
      <w:r w:rsidRPr="00EE0F3A">
        <w:rPr>
          <w:rFonts w:cs="Arial"/>
          <w:u w:val="single"/>
          <w:rtl/>
        </w:rPr>
        <w:t>אמר רבי חגיי</w:t>
      </w:r>
      <w:r>
        <w:rPr>
          <w:rFonts w:cs="Arial" w:hint="cs"/>
          <w:rtl/>
        </w:rPr>
        <w:t>:</w:t>
      </w:r>
      <w:r w:rsidRPr="00EE0F3A">
        <w:rPr>
          <w:rFonts w:cs="Arial"/>
          <w:rtl/>
        </w:rPr>
        <w:t xml:space="preserve"> לא אמר אלא בנה</w:t>
      </w:r>
      <w:r>
        <w:rPr>
          <w:rFonts w:cs="Arial" w:hint="cs"/>
          <w:rtl/>
        </w:rPr>
        <w:t>,</w:t>
      </w:r>
      <w:r w:rsidRPr="00EE0F3A">
        <w:rPr>
          <w:rFonts w:cs="Arial"/>
          <w:rtl/>
        </w:rPr>
        <w:t xml:space="preserve"> הא תאומים</w:t>
      </w:r>
      <w:r>
        <w:rPr>
          <w:rFonts w:cs="Arial" w:hint="cs"/>
          <w:rtl/>
        </w:rPr>
        <w:t xml:space="preserve"> </w:t>
      </w:r>
      <w:r w:rsidRPr="00EE0F3A">
        <w:rPr>
          <w:rFonts w:cs="Arial"/>
          <w:rtl/>
        </w:rPr>
        <w:t>לא</w:t>
      </w:r>
      <w:r>
        <w:rPr>
          <w:rFonts w:cs="Arial" w:hint="cs"/>
          <w:rtl/>
        </w:rPr>
        <w:t xml:space="preserve">? </w:t>
      </w:r>
      <w:r w:rsidRPr="00EE0F3A">
        <w:rPr>
          <w:rFonts w:cs="Arial"/>
          <w:rtl/>
        </w:rPr>
        <w:t>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 ולא האשה כופה את בעלה שתניק בן חבירתה</w:t>
      </w:r>
      <w:r>
        <w:rPr>
          <w:rFonts w:hint="cs"/>
          <w:rtl/>
        </w:rPr>
        <w:t>.</w:t>
      </w:r>
      <w:r w:rsidRPr="00C219A3">
        <w:rPr>
          <w:rtl/>
        </w:rPr>
        <w:t xml:space="preserve"> </w:t>
      </w:r>
      <w:r w:rsidRPr="00C219A3">
        <w:rPr>
          <w:rFonts w:cs="Arial" w:hint="cs"/>
          <w:sz w:val="16"/>
          <w:szCs w:val="16"/>
          <w:rtl/>
        </w:rPr>
        <w:t>(</w:t>
      </w:r>
      <w:r w:rsidRPr="008C039C">
        <w:rPr>
          <w:rFonts w:cs="Arial"/>
          <w:sz w:val="16"/>
          <w:szCs w:val="16"/>
          <w:rtl/>
        </w:rPr>
        <w:t>ו</w:t>
      </w:r>
      <w:r>
        <w:rPr>
          <w:rFonts w:cs="Arial" w:hint="cs"/>
          <w:sz w:val="16"/>
          <w:szCs w:val="16"/>
          <w:rtl/>
        </w:rPr>
        <w:t>כתב ה</w:t>
      </w:r>
      <w:r w:rsidRPr="008C039C">
        <w:rPr>
          <w:rFonts w:cs="Arial" w:hint="cs"/>
          <w:sz w:val="16"/>
          <w:szCs w:val="16"/>
          <w:rtl/>
        </w:rPr>
        <w:t xml:space="preserve">רא"ש </w:t>
      </w:r>
      <w:r w:rsidRPr="008C039C">
        <w:rPr>
          <w:rFonts w:cs="Arial"/>
          <w:sz w:val="16"/>
          <w:szCs w:val="16"/>
          <w:rtl/>
        </w:rPr>
        <w:t>(סי' יז)</w:t>
      </w:r>
      <w:r>
        <w:rPr>
          <w:rFonts w:cs="Arial" w:hint="cs"/>
          <w:sz w:val="16"/>
          <w:szCs w:val="16"/>
          <w:rtl/>
        </w:rPr>
        <w:t xml:space="preserve"> דהכי </w:t>
      </w:r>
      <w:r w:rsidRPr="008C039C">
        <w:rPr>
          <w:rFonts w:cs="Arial"/>
          <w:sz w:val="16"/>
          <w:szCs w:val="16"/>
          <w:rtl/>
        </w:rPr>
        <w:t>פ</w:t>
      </w:r>
      <w:r>
        <w:rPr>
          <w:rFonts w:cs="Arial" w:hint="cs"/>
          <w:sz w:val="16"/>
          <w:szCs w:val="16"/>
          <w:rtl/>
        </w:rPr>
        <w:t>ירושו-</w:t>
      </w:r>
      <w:r w:rsidRPr="008C039C">
        <w:rPr>
          <w:rFonts w:cs="Arial"/>
          <w:sz w:val="16"/>
          <w:szCs w:val="16"/>
          <w:rtl/>
        </w:rPr>
        <w:t xml:space="preserve"> </w:t>
      </w:r>
      <w:r>
        <w:rPr>
          <w:rFonts w:cs="Arial" w:hint="cs"/>
          <w:sz w:val="16"/>
          <w:szCs w:val="16"/>
          <w:rtl/>
        </w:rPr>
        <w:t>'</w:t>
      </w:r>
      <w:r w:rsidRPr="008C039C">
        <w:rPr>
          <w:rFonts w:cs="Arial"/>
          <w:sz w:val="16"/>
          <w:szCs w:val="16"/>
          <w:rtl/>
        </w:rPr>
        <w:t>הא תאומים לא</w:t>
      </w:r>
      <w:r>
        <w:rPr>
          <w:rFonts w:cs="Arial" w:hint="cs"/>
          <w:sz w:val="16"/>
          <w:szCs w:val="16"/>
          <w:rtl/>
        </w:rPr>
        <w:t>'</w:t>
      </w:r>
      <w:r w:rsidRPr="008C039C">
        <w:rPr>
          <w:rFonts w:cs="Arial"/>
          <w:sz w:val="16"/>
          <w:szCs w:val="16"/>
          <w:rtl/>
        </w:rPr>
        <w:t xml:space="preserve"> בתמיה</w:t>
      </w:r>
      <w:r>
        <w:rPr>
          <w:rFonts w:cs="Arial" w:hint="cs"/>
          <w:sz w:val="16"/>
          <w:szCs w:val="16"/>
          <w:rtl/>
        </w:rPr>
        <w:t>,</w:t>
      </w:r>
      <w:r w:rsidRPr="008C039C">
        <w:rPr>
          <w:rFonts w:cs="Arial"/>
          <w:sz w:val="16"/>
          <w:szCs w:val="16"/>
          <w:rtl/>
        </w:rPr>
        <w:t xml:space="preserve"> והלא יכולה להניק שניהם למה לא תניקם אלא ודאי חייבת להניק שניהם</w:t>
      </w:r>
      <w:r w:rsidRPr="008C039C">
        <w:rPr>
          <w:rFonts w:cs="Arial" w:hint="cs"/>
          <w:sz w:val="16"/>
          <w:szCs w:val="16"/>
          <w:rtl/>
        </w:rPr>
        <w:t>,</w:t>
      </w:r>
      <w:r w:rsidRPr="008C039C">
        <w:rPr>
          <w:rFonts w:cs="Arial"/>
          <w:sz w:val="16"/>
          <w:szCs w:val="16"/>
          <w:rtl/>
        </w:rPr>
        <w:t xml:space="preserve"> ואם כן </w:t>
      </w:r>
      <w:r>
        <w:rPr>
          <w:rFonts w:cs="Arial" w:hint="cs"/>
          <w:sz w:val="16"/>
          <w:szCs w:val="16"/>
          <w:rtl/>
        </w:rPr>
        <w:t>'</w:t>
      </w:r>
      <w:r w:rsidRPr="008C039C">
        <w:rPr>
          <w:rFonts w:cs="Arial"/>
          <w:sz w:val="16"/>
          <w:szCs w:val="16"/>
          <w:rtl/>
        </w:rPr>
        <w:t>למה אמרו בנה</w:t>
      </w:r>
      <w:r>
        <w:rPr>
          <w:rFonts w:cs="Arial" w:hint="cs"/>
          <w:sz w:val="16"/>
          <w:szCs w:val="16"/>
          <w:rtl/>
        </w:rPr>
        <w:t>'</w:t>
      </w:r>
      <w:r w:rsidRPr="008C039C">
        <w:rPr>
          <w:rFonts w:cs="Arial"/>
          <w:sz w:val="16"/>
          <w:szCs w:val="16"/>
          <w:rtl/>
        </w:rPr>
        <w:t xml:space="preserve"> למעוטי בן חבירתה ואפילו הוא בן בעלה</w:t>
      </w:r>
      <w:r>
        <w:rPr>
          <w:rFonts w:cs="Arial" w:hint="cs"/>
          <w:sz w:val="16"/>
          <w:szCs w:val="16"/>
          <w:rtl/>
        </w:rPr>
        <w:t>. עכ"ל.</w:t>
      </w:r>
      <w:r w:rsidRPr="008C039C">
        <w:rPr>
          <w:rFonts w:cs="Arial"/>
          <w:sz w:val="16"/>
          <w:szCs w:val="16"/>
          <w:rtl/>
        </w:rPr>
        <w:t xml:space="preserve"> והר"ן (כד. ד"ה ירושלמי) כתב על דברי הירושלמי כלומר למה אמרו בנה ולא אמרו את הבן דש"מ דדוקא בן אבל תאומים לא לאשמועינן דדוקא בנה ולא בן חבירתה כלומר שאם מת בנה אינה חייבת להניק בשכר וכן נמי אינה חייבת להניק בן שיש לו מאשה אחרת וכן נמי הבעל מעכב עליה מלהניק בן חבירתה עם בנה עכ"ל</w:t>
      </w:r>
      <w:r>
        <w:rPr>
          <w:rFonts w:cs="Arial" w:hint="cs"/>
          <w:sz w:val="16"/>
          <w:szCs w:val="16"/>
          <w:rtl/>
        </w:rPr>
        <w:t xml:space="preserve">, ב"י. </w:t>
      </w:r>
      <w:r w:rsidRPr="00DF7D38">
        <w:rPr>
          <w:rFonts w:cs="Arial" w:hint="cs"/>
          <w:color w:val="00B0F0"/>
          <w:sz w:val="16"/>
          <w:szCs w:val="16"/>
          <w:rtl/>
        </w:rPr>
        <w:t>וכ"פ הרמ"א</w:t>
      </w:r>
      <w:r w:rsidRPr="008C039C">
        <w:rPr>
          <w:rFonts w:cs="Arial" w:hint="cs"/>
          <w:sz w:val="16"/>
          <w:szCs w:val="16"/>
          <w:rtl/>
        </w:rPr>
        <w:t>)</w:t>
      </w:r>
    </w:p>
    <w:p w14:paraId="227217D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E088C50" w14:textId="77777777" w:rsidR="002E5BAD" w:rsidRDefault="002E5BAD" w:rsidP="002E5BAD">
      <w:pPr>
        <w:rPr>
          <w:rtl/>
        </w:rPr>
      </w:pPr>
      <w:r>
        <w:rPr>
          <w:rFonts w:cs="Arial"/>
          <w:rtl/>
        </w:rPr>
        <w:t>יש מלאכות שהאשה עושה לבעלה בזמן שהם עניים, ואלו הם: מטחנת</w:t>
      </w:r>
      <w:r>
        <w:rPr>
          <w:rStyle w:val="a7"/>
          <w:rFonts w:cs="Arial"/>
          <w:rtl/>
        </w:rPr>
        <w:footnoteReference w:id="1469"/>
      </w:r>
      <w:r>
        <w:rPr>
          <w:rFonts w:cs="Arial"/>
          <w:rtl/>
        </w:rPr>
        <w:t xml:space="preserve">, ואופה, ומכבסת, ומבשלת, ומניקה את בנה, ונותנת תבן לפני בהמתו, אבל לא לפני בקרו. </w:t>
      </w:r>
      <w:r w:rsidRPr="004D0526">
        <w:rPr>
          <w:rFonts w:cs="Arial"/>
          <w:sz w:val="18"/>
          <w:szCs w:val="18"/>
          <w:rtl/>
        </w:rPr>
        <w:t xml:space="preserve">הגה: מת בנה, אינה מחוייבת להניק בשכר וליתן לו השכר, וכן בנו מאשה אחרת, אינה מחוייבת להניקו (הר"ן פרק אף על פי). </w:t>
      </w:r>
    </w:p>
    <w:p w14:paraId="78FB954D" w14:textId="77777777" w:rsidR="002E5BAD" w:rsidRDefault="002E5BAD" w:rsidP="002E5BAD">
      <w:pPr>
        <w:rPr>
          <w:rtl/>
        </w:rPr>
      </w:pPr>
    </w:p>
    <w:p w14:paraId="669BACAC" w14:textId="77777777" w:rsidR="002E5BAD" w:rsidRDefault="002E5BAD" w:rsidP="002E5BAD">
      <w:pPr>
        <w:pStyle w:val="2"/>
        <w:rPr>
          <w:rtl/>
        </w:rPr>
      </w:pPr>
      <w:r>
        <w:rPr>
          <w:rtl/>
        </w:rPr>
        <w:t>סעיף ז</w:t>
      </w:r>
      <w:r>
        <w:rPr>
          <w:rFonts w:hint="cs"/>
          <w:rtl/>
        </w:rPr>
        <w:t xml:space="preserve">: היה לו או הכניסה לו שפחה אחת, או שיש לה/לו ממון לקנות שפחה. </w:t>
      </w:r>
    </w:p>
    <w:p w14:paraId="7D3C2C81" w14:textId="77777777" w:rsidR="002E5BAD" w:rsidRPr="00813DF5"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 xml:space="preserve">.       </w:t>
      </w:r>
      <w:r w:rsidRPr="00C04A10">
        <w:rPr>
          <w:rFonts w:cs="Arial" w:hint="cs"/>
          <w:u w:val="double"/>
          <w:rtl/>
        </w:rPr>
        <w:t>גמ'</w:t>
      </w:r>
      <w:r w:rsidRPr="00C04A10">
        <w:rPr>
          <w:rFonts w:cs="Arial" w:hint="cs"/>
          <w:sz w:val="14"/>
          <w:szCs w:val="14"/>
          <w:u w:val="double"/>
          <w:rtl/>
        </w:rPr>
        <w:t>(סא.)</w:t>
      </w:r>
      <w:r w:rsidRPr="00C04A10">
        <w:rPr>
          <w:rFonts w:cs="Arial" w:hint="cs"/>
          <w:u w:val="double"/>
          <w:rtl/>
        </w:rPr>
        <w:t>:</w:t>
      </w:r>
      <w:r>
        <w:rPr>
          <w:rFonts w:cs="Arial" w:hint="cs"/>
          <w:rtl/>
        </w:rPr>
        <w:t xml:space="preserve"> </w:t>
      </w:r>
      <w:r w:rsidRPr="005B7097">
        <w:rPr>
          <w:rFonts w:cs="Arial"/>
          <w:rtl/>
        </w:rPr>
        <w:t>הכניסה לו שפחה וכו'.</w:t>
      </w:r>
      <w:r>
        <w:rPr>
          <w:rFonts w:cs="Arial" w:hint="cs"/>
          <w:rtl/>
        </w:rPr>
        <w:t>..</w:t>
      </w:r>
      <w:r w:rsidRPr="005B7097">
        <w:rPr>
          <w:rFonts w:cs="Arial"/>
          <w:rtl/>
        </w:rPr>
        <w:t xml:space="preserve"> </w:t>
      </w:r>
      <w:r w:rsidRPr="00806434">
        <w:rPr>
          <w:rFonts w:cs="Arial"/>
          <w:u w:val="single"/>
          <w:rtl/>
        </w:rPr>
        <w:t>א"ר חנא ואיתימא ר' שמואל בר נחמני</w:t>
      </w:r>
      <w:r w:rsidRPr="005B7097">
        <w:rPr>
          <w:rFonts w:cs="Arial"/>
          <w:rtl/>
        </w:rPr>
        <w:t>: לא הכניסה לו ממש, אלא כיון שראויה להכניס</w:t>
      </w:r>
      <w:r>
        <w:rPr>
          <w:rStyle w:val="a7"/>
          <w:rFonts w:cs="Arial"/>
          <w:rtl/>
        </w:rPr>
        <w:footnoteReference w:id="1470"/>
      </w:r>
      <w:r w:rsidRPr="005B7097">
        <w:rPr>
          <w:rFonts w:cs="Arial"/>
          <w:rtl/>
        </w:rPr>
        <w:t xml:space="preserve"> אף על פי שלא הכניסה. תנא: אחד שהכניסה לו</w:t>
      </w:r>
      <w:r>
        <w:rPr>
          <w:rFonts w:cs="Arial" w:hint="cs"/>
          <w:rtl/>
        </w:rPr>
        <w:t xml:space="preserve">, </w:t>
      </w:r>
      <w:r w:rsidRPr="005B7097">
        <w:rPr>
          <w:rFonts w:cs="Arial"/>
          <w:rtl/>
        </w:rPr>
        <w:t>ואחד שצמצמה לו משלה</w:t>
      </w:r>
      <w:r>
        <w:rPr>
          <w:rStyle w:val="a7"/>
          <w:rFonts w:cs="Arial"/>
          <w:rtl/>
        </w:rPr>
        <w:footnoteReference w:id="1471"/>
      </w:r>
      <w:r>
        <w:rPr>
          <w:rFonts w:cs="Arial" w:hint="cs"/>
          <w:rtl/>
        </w:rPr>
        <w:t>.</w:t>
      </w:r>
      <w:r w:rsidRPr="00DC4762">
        <w:rPr>
          <w:rFonts w:cs="Arial"/>
          <w:rtl/>
        </w:rPr>
        <w:t xml:space="preserve"> </w:t>
      </w:r>
    </w:p>
    <w:p w14:paraId="088451E5" w14:textId="77777777" w:rsidR="002E5BAD" w:rsidRPr="00287172" w:rsidRDefault="002E5BAD" w:rsidP="002E5BAD">
      <w:pPr>
        <w:rPr>
          <w:u w:val="single"/>
          <w:rtl/>
        </w:rPr>
      </w:pPr>
      <w:r w:rsidRPr="00287172">
        <w:rPr>
          <w:rFonts w:hint="cs"/>
          <w:u w:val="single"/>
          <w:rtl/>
        </w:rPr>
        <w:t>היה לו או הכניסה לו שפחה אחת, או שיש לה/לו ממון לקנות שפחה:</w:t>
      </w:r>
    </w:p>
    <w:p w14:paraId="57466993" w14:textId="77777777" w:rsidR="002E5BAD" w:rsidRDefault="002E5BAD" w:rsidP="002E5BAD">
      <w:pPr>
        <w:pStyle w:val="ab"/>
        <w:numPr>
          <w:ilvl w:val="0"/>
          <w:numId w:val="170"/>
        </w:num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Pr>
          <w:rFonts w:cs="Arial" w:hint="cs"/>
          <w:sz w:val="16"/>
          <w:szCs w:val="16"/>
          <w:rtl/>
        </w:rPr>
        <w:t>ה</w:t>
      </w:r>
      <w:r w:rsidRPr="0004676C">
        <w:rPr>
          <w:rFonts w:cs="Arial"/>
          <w:sz w:val="16"/>
          <w:szCs w:val="16"/>
          <w:rtl/>
        </w:rPr>
        <w:t>-ז)</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w:t>
      </w:r>
      <w:r w:rsidRPr="00695839">
        <w:rPr>
          <w:rFonts w:cs="Arial" w:hint="cs"/>
          <w:rtl/>
        </w:rPr>
        <w:t>..</w:t>
      </w:r>
      <w:r w:rsidRPr="00695839">
        <w:rPr>
          <w:rFonts w:cs="Arial"/>
          <w:rtl/>
        </w:rPr>
        <w:t>. במה דברים אמורים בעניים</w:t>
      </w:r>
      <w:r>
        <w:rPr>
          <w:rFonts w:cs="Arial" w:hint="cs"/>
          <w:rtl/>
        </w:rPr>
        <w:t>,</w:t>
      </w:r>
      <w:r w:rsidRPr="00695839">
        <w:rPr>
          <w:rFonts w:cs="Arial"/>
          <w:rtl/>
        </w:rPr>
        <w:t xml:space="preserve"> אבל אם הכניסה לו שפחה אחת או נכסים שראוין לקנות מהן שפחה אחת או שהיתה לו שפחה</w:t>
      </w:r>
      <w:r>
        <w:rPr>
          <w:rStyle w:val="a7"/>
          <w:rFonts w:cs="Arial"/>
          <w:rtl/>
        </w:rPr>
        <w:footnoteReference w:id="1472"/>
      </w:r>
      <w:r w:rsidRPr="00695839">
        <w:rPr>
          <w:rFonts w:cs="Arial"/>
          <w:rtl/>
        </w:rPr>
        <w:t xml:space="preserve"> אחת או שהיה לו ממון כדי לקנות ממנו שפחה אחת </w:t>
      </w:r>
      <w:r>
        <w:rPr>
          <w:rFonts w:cs="Arial" w:hint="cs"/>
          <w:rtl/>
        </w:rPr>
        <w:t xml:space="preserve">- </w:t>
      </w:r>
      <w:r w:rsidRPr="00695839">
        <w:rPr>
          <w:rFonts w:cs="Arial"/>
          <w:rtl/>
        </w:rPr>
        <w:t>אינה מטחנת ולא אופה ולא מכבסת ולא נותנת תבן לפני בהמתו</w:t>
      </w:r>
      <w:r>
        <w:rPr>
          <w:rFonts w:cs="Arial" w:hint="cs"/>
          <w:sz w:val="16"/>
          <w:szCs w:val="16"/>
          <w:rtl/>
        </w:rPr>
        <w:t xml:space="preserve"> (ל' הרמב"ם)</w:t>
      </w:r>
      <w:r w:rsidRPr="00695839">
        <w:rPr>
          <w:rFonts w:cs="Arial"/>
          <w:rtl/>
        </w:rPr>
        <w:t xml:space="preserve">. </w:t>
      </w:r>
      <w:r w:rsidRPr="00C20E03">
        <w:rPr>
          <w:rFonts w:hint="cs"/>
          <w:color w:val="E36C0A" w:themeColor="accent6" w:themeShade="BF"/>
          <w:rtl/>
        </w:rPr>
        <w:t>(וכ"פ בשו"ע)</w:t>
      </w:r>
    </w:p>
    <w:p w14:paraId="434D0CC3" w14:textId="77777777" w:rsidR="002E5BAD" w:rsidRPr="00B65C55" w:rsidRDefault="002E5BAD" w:rsidP="002E5BAD">
      <w:pPr>
        <w:pStyle w:val="ab"/>
        <w:numPr>
          <w:ilvl w:val="0"/>
          <w:numId w:val="170"/>
        </w:numPr>
        <w:rPr>
          <w:rtl/>
        </w:rPr>
      </w:pPr>
      <w:r>
        <w:rPr>
          <w:rFonts w:cs="Arial" w:hint="cs"/>
          <w:rtl/>
        </w:rPr>
        <w:t xml:space="preserve">טור- </w:t>
      </w:r>
      <w:r w:rsidRPr="00FC30B6">
        <w:rPr>
          <w:rFonts w:cs="Arial"/>
          <w:rtl/>
        </w:rPr>
        <w:t>הכניסה לו שפחה אחת או דמים שראוי לקנותה מהן או שמצאה לו שפחה או דמים לקנותה אינה טוחנת ואינה אופה ואינה מכבסת</w:t>
      </w:r>
      <w:r>
        <w:rPr>
          <w:rFonts w:hint="cs"/>
          <w:rtl/>
        </w:rPr>
        <w:t>.</w:t>
      </w:r>
    </w:p>
    <w:p w14:paraId="7DEF5EF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31A360A" w14:textId="77777777" w:rsidR="002E5BAD" w:rsidRDefault="002E5BAD" w:rsidP="002E5BAD">
      <w:pPr>
        <w:rPr>
          <w:rtl/>
        </w:rPr>
      </w:pPr>
      <w:r>
        <w:rPr>
          <w:rFonts w:cs="Arial"/>
          <w:rtl/>
        </w:rPr>
        <w:lastRenderedPageBreak/>
        <w:t>הכניסה לו שפחה אחת, או נכסים</w:t>
      </w:r>
      <w:r>
        <w:rPr>
          <w:rStyle w:val="a7"/>
          <w:rFonts w:cs="Arial"/>
          <w:rtl/>
        </w:rPr>
        <w:footnoteReference w:id="1473"/>
      </w:r>
      <w:r>
        <w:rPr>
          <w:rFonts w:cs="Arial"/>
          <w:rtl/>
        </w:rPr>
        <w:t xml:space="preserve"> שראוי לקנות מהן שפחה אחת, או שהיה לו ממון כדי לקנות ממנו שפחה אחת, אינה מטחנת ולא אופה ולא מכבסת ולא נותנת תבן</w:t>
      </w:r>
      <w:r>
        <w:rPr>
          <w:rStyle w:val="a7"/>
          <w:rFonts w:cs="Arial"/>
          <w:rtl/>
        </w:rPr>
        <w:footnoteReference w:id="1474"/>
      </w:r>
      <w:r>
        <w:rPr>
          <w:rFonts w:cs="Arial"/>
          <w:rtl/>
        </w:rPr>
        <w:t xml:space="preserve"> לפני בהמתו. </w:t>
      </w:r>
    </w:p>
    <w:p w14:paraId="7F980C73" w14:textId="77777777" w:rsidR="002E5BAD" w:rsidRPr="00313EFE" w:rsidRDefault="002E5BAD" w:rsidP="002E5BAD">
      <w:pPr>
        <w:rPr>
          <w:u w:val="single"/>
          <w:rtl/>
        </w:rPr>
      </w:pPr>
      <w:r w:rsidRPr="00313EFE">
        <w:rPr>
          <w:rFonts w:hint="cs"/>
          <w:u w:val="single"/>
          <w:rtl/>
        </w:rPr>
        <w:t>יש לבעל כסף לקנות שפחה, אך אינו רוצה לקנות</w:t>
      </w:r>
      <w:r>
        <w:rPr>
          <w:rFonts w:hint="cs"/>
          <w:u w:val="single"/>
          <w:rtl/>
        </w:rPr>
        <w:t>, ועוד מקרים בעניין זה</w:t>
      </w:r>
      <w:r w:rsidRPr="00313EFE">
        <w:rPr>
          <w:rFonts w:hint="cs"/>
          <w:u w:val="single"/>
          <w:rtl/>
        </w:rPr>
        <w:t>:</w:t>
      </w:r>
    </w:p>
    <w:p w14:paraId="07228A6C" w14:textId="77777777" w:rsidR="002E5BAD" w:rsidRPr="005A004E" w:rsidRDefault="002E5BAD" w:rsidP="002E5BAD">
      <w:pPr>
        <w:pStyle w:val="ab"/>
        <w:numPr>
          <w:ilvl w:val="0"/>
          <w:numId w:val="172"/>
        </w:numPr>
        <w:rPr>
          <w:rFonts w:cs="Arial"/>
        </w:rPr>
      </w:pPr>
      <w:r>
        <w:rPr>
          <w:rFonts w:cs="Arial" w:hint="cs"/>
          <w:rtl/>
        </w:rPr>
        <w:t xml:space="preserve">רדב"ז </w:t>
      </w:r>
      <w:r>
        <w:rPr>
          <w:rFonts w:cs="Arial" w:hint="cs"/>
          <w:sz w:val="16"/>
          <w:szCs w:val="16"/>
          <w:rtl/>
        </w:rPr>
        <w:t>(ח"א סי' שיח)</w:t>
      </w:r>
      <w:r>
        <w:rPr>
          <w:rFonts w:cs="Arial" w:hint="cs"/>
          <w:rtl/>
        </w:rPr>
        <w:t xml:space="preserve">- </w:t>
      </w:r>
      <w:r w:rsidRPr="005A004E">
        <w:rPr>
          <w:rFonts w:cs="Arial"/>
          <w:rtl/>
        </w:rPr>
        <w:t>שאלת ממני אודיעך דעתי בראובן שנשא אשה והכניסה לו נדוניא שיש בה לקנות שפחה ואינה רוצה לעשות המלאכות שהאשה חייבת לעשות לבעלה אם כופין זה את זה לקנות שפחה או לא. תשובה</w:t>
      </w:r>
      <w:r>
        <w:rPr>
          <w:rFonts w:cs="Arial" w:hint="cs"/>
          <w:rtl/>
        </w:rPr>
        <w:t>-</w:t>
      </w:r>
      <w:r w:rsidRPr="005A004E">
        <w:rPr>
          <w:rFonts w:cs="Arial"/>
          <w:rtl/>
        </w:rPr>
        <w:t xml:space="preserve"> אם הבעל יש לו ממון וראוי לקנות שפחה הדבר ברור שאינו כופה אותה לעשות המלאכות דהיינו טוחנת ואופה ומכבסת ונותנת תבן לפני בהמתו שהרי אומרת לו יש לך ממון שאתה ראוי לקנות שפחה ואם הוא טוען איני רוצה לקנות אין כופין אותו לקנות ואין כופין אותה לעשות המלאכות</w:t>
      </w:r>
      <w:r>
        <w:rPr>
          <w:rStyle w:val="a7"/>
          <w:rFonts w:cs="Arial"/>
          <w:rtl/>
        </w:rPr>
        <w:footnoteReference w:id="1475"/>
      </w:r>
      <w:r>
        <w:rPr>
          <w:rFonts w:cs="Arial" w:hint="cs"/>
          <w:rtl/>
        </w:rPr>
        <w:t>.</w:t>
      </w:r>
      <w:r w:rsidRPr="005A004E">
        <w:rPr>
          <w:rFonts w:cs="Arial"/>
          <w:rtl/>
        </w:rPr>
        <w:t xml:space="preserve"> ואם היא אומרת לקנות מהנדוניא והוא אומר איני רוצה שמא תמות ואני חייב באחריות הנדוניא הדין עמה שהרי יכולה היא לומר איני רוצה שתשיאני שם רע בשכנותי שאין צרכי הבית מתוקנים ומיתה לא שכיחא טפי מגניבה ואבידה הילכך כופין אותו וקונה שפחה מהנדוניא והוי כאלו הכניסה אותה עמה</w:t>
      </w:r>
      <w:r>
        <w:rPr>
          <w:rFonts w:cs="Arial" w:hint="cs"/>
          <w:rtl/>
        </w:rPr>
        <w:t>.</w:t>
      </w:r>
      <w:r w:rsidRPr="005A004E">
        <w:rPr>
          <w:rFonts w:cs="Arial"/>
          <w:rtl/>
        </w:rPr>
        <w:t xml:space="preserve"> ואם הבעל אין לו ממון שראוי לקנות לו שפחה אף על גב שיש לו כדי שפחה אין כופין אותו לקנות במה שבידו שפחה וישאל על הפתחים ומ"מ כיון שהכניסה לו נדוניא רבה שיש בה כדי לקנות ממקצתה שפחה אין כופה אותה לעשות מלאכה ואם היא אומרת לקנות מהנדוניא לה שומעין וכדכתיבנא. ואם הוא אומר לקנות והיא אומרת שלא לקנות </w:t>
      </w:r>
      <w:r>
        <w:rPr>
          <w:rFonts w:cs="Arial" w:hint="cs"/>
          <w:rtl/>
        </w:rPr>
        <w:t xml:space="preserve">- </w:t>
      </w:r>
      <w:r w:rsidRPr="005A004E">
        <w:rPr>
          <w:rFonts w:cs="Arial"/>
          <w:rtl/>
        </w:rPr>
        <w:t>לו שומעין</w:t>
      </w:r>
      <w:r>
        <w:rPr>
          <w:rStyle w:val="a7"/>
          <w:rFonts w:cs="Arial"/>
          <w:rtl/>
        </w:rPr>
        <w:footnoteReference w:id="1476"/>
      </w:r>
      <w:r>
        <w:rPr>
          <w:rFonts w:cs="Arial" w:hint="cs"/>
          <w:rtl/>
        </w:rPr>
        <w:t>,</w:t>
      </w:r>
      <w:r w:rsidRPr="005A004E">
        <w:rPr>
          <w:rFonts w:cs="Arial"/>
          <w:rtl/>
        </w:rPr>
        <w:t xml:space="preserve"> כיון שאין לו מי יעשה לו מלאכות הנזכר ואחריות הנדוניא עליו מאי איכפת לה זה נהנה וזה אינו חסר הוא</w:t>
      </w:r>
      <w:r>
        <w:rPr>
          <w:rFonts w:cs="Arial" w:hint="cs"/>
          <w:rtl/>
        </w:rPr>
        <w:t>.</w:t>
      </w:r>
      <w:r w:rsidRPr="005A004E">
        <w:rPr>
          <w:rFonts w:cs="Arial"/>
          <w:rtl/>
        </w:rPr>
        <w:t xml:space="preserve"> אבל מה שיש להסתפק אם היא לא הכניסה נדוניא וגם הוא עני אבל בני משפחתו דרכם להיות להם שפחות דקי"ל עולה עמו ואינה יורדת עמו אם כופה אותה לעשות המלאכות הנזכר כיון דשניהם עניים: או דלמא אמרינן אפילו בזה עולה עמו ואינו יורדות /ואינה יורדת/ עמו. ובירושלמי משמע דאפילו בהא אמרינן עולה עמו ואינו יורדת עמו דגרסינן התם אמר רב שמואל לא סוף דבר שהכניסה אלא אפילו ראויה היא להכניס בהא דתניא אשתו עולה עמו ואינה יורדת עמו הילכך מסתברא לי דבין אם בני משפחתה דרכם להשתמש בשפחות או בני משפחתו אינו כופה אותה לעשות המלאכות הנזכר ואין דין משנתינו אלא בששניהם עניים ובני משפחתם עניים</w:t>
      </w:r>
      <w:r>
        <w:rPr>
          <w:rFonts w:cs="Arial" w:hint="cs"/>
          <w:rtl/>
        </w:rPr>
        <w:t>.</w:t>
      </w:r>
    </w:p>
    <w:p w14:paraId="5325016A" w14:textId="77777777" w:rsidR="002E5BAD" w:rsidRDefault="002E5BAD" w:rsidP="002E5BAD">
      <w:pPr>
        <w:rPr>
          <w:rtl/>
        </w:rPr>
      </w:pPr>
    </w:p>
    <w:p w14:paraId="4DB4117B" w14:textId="77777777" w:rsidR="002E5BAD" w:rsidRDefault="002E5BAD" w:rsidP="002E5BAD">
      <w:pPr>
        <w:pStyle w:val="2"/>
        <w:rPr>
          <w:rtl/>
        </w:rPr>
      </w:pPr>
      <w:r>
        <w:rPr>
          <w:rtl/>
        </w:rPr>
        <w:t>סעיף ח</w:t>
      </w:r>
      <w:r>
        <w:rPr>
          <w:rFonts w:hint="cs"/>
          <w:rtl/>
        </w:rPr>
        <w:t>:</w:t>
      </w:r>
      <w:r w:rsidRPr="00646B86">
        <w:rPr>
          <w:rFonts w:hint="cs"/>
          <w:rtl/>
        </w:rPr>
        <w:t xml:space="preserve"> </w:t>
      </w:r>
      <w:r>
        <w:rPr>
          <w:rFonts w:hint="cs"/>
          <w:rtl/>
        </w:rPr>
        <w:t>היה לו או הכניסה לו שתי שפחות, או שיש לה/לו ממון לקנות שתי שפחות.</w:t>
      </w:r>
    </w:p>
    <w:p w14:paraId="100F6A96"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אפי' הכניסה לו מאה שפחות - כופה לעשות בצמר, שהבטלה מביאה לידי זימה</w:t>
      </w:r>
      <w:r>
        <w:rPr>
          <w:rFonts w:cs="Arial" w:hint="cs"/>
          <w:rtl/>
        </w:rPr>
        <w:t>..</w:t>
      </w:r>
      <w:r w:rsidRPr="00B35BDB">
        <w:rPr>
          <w:rFonts w:cs="Arial"/>
          <w:rtl/>
        </w:rPr>
        <w:t>.</w:t>
      </w:r>
      <w:r>
        <w:rPr>
          <w:rFonts w:cs="Arial" w:hint="cs"/>
          <w:rtl/>
        </w:rPr>
        <w:t xml:space="preserve">       </w:t>
      </w:r>
      <w:r w:rsidRPr="00C04A10">
        <w:rPr>
          <w:rFonts w:cs="Arial" w:hint="cs"/>
          <w:u w:val="double"/>
          <w:rtl/>
        </w:rPr>
        <w:t>גמ'</w:t>
      </w:r>
      <w:r w:rsidRPr="00C04A10">
        <w:rPr>
          <w:rFonts w:cs="Arial" w:hint="cs"/>
          <w:sz w:val="14"/>
          <w:szCs w:val="14"/>
          <w:u w:val="double"/>
          <w:rtl/>
        </w:rPr>
        <w:t>(סא.)</w:t>
      </w:r>
      <w:r w:rsidRPr="00C04A10">
        <w:rPr>
          <w:rFonts w:cs="Arial" w:hint="cs"/>
          <w:u w:val="double"/>
          <w:rtl/>
        </w:rPr>
        <w:t>:</w:t>
      </w:r>
      <w:r>
        <w:rPr>
          <w:rFonts w:cs="Arial" w:hint="cs"/>
          <w:rtl/>
        </w:rPr>
        <w:t xml:space="preserve"> </w:t>
      </w:r>
      <w:r w:rsidRPr="0038747A">
        <w:rPr>
          <w:rFonts w:cs="Arial"/>
          <w:rtl/>
        </w:rPr>
        <w:t xml:space="preserve">ארבע - יושבת בקתדרא. </w:t>
      </w:r>
      <w:r w:rsidRPr="009C4A6E">
        <w:rPr>
          <w:rFonts w:cs="Arial"/>
          <w:u w:val="single"/>
          <w:rtl/>
        </w:rPr>
        <w:t>אמר רב יצחק בר חנניא אמר רב הונא</w:t>
      </w:r>
      <w:r w:rsidRPr="0038747A">
        <w:rPr>
          <w:rFonts w:cs="Arial"/>
          <w:rtl/>
        </w:rPr>
        <w:t>: אף על פי שאמרו יושבת בקתדרא, אבל מוזגת לו כוס, ומצעת לו את המטה, ומרחצת לו פניו ידיו ורגליו.</w:t>
      </w:r>
    </w:p>
    <w:p w14:paraId="3A78BA3C" w14:textId="77777777" w:rsidR="002E5BAD" w:rsidRPr="00646B86" w:rsidRDefault="002E5BAD" w:rsidP="002E5BAD">
      <w:pPr>
        <w:rPr>
          <w:u w:val="single"/>
          <w:rtl/>
        </w:rPr>
      </w:pPr>
      <w:r w:rsidRPr="00646B86">
        <w:rPr>
          <w:rFonts w:hint="cs"/>
          <w:u w:val="single"/>
          <w:rtl/>
        </w:rPr>
        <w:t>היה לו או הכניסה לו שתי שפחות, או שיש לה/לו ממון לקנות שתי שפחות:</w:t>
      </w:r>
    </w:p>
    <w:p w14:paraId="448D5D0C" w14:textId="77777777" w:rsidR="002E5BAD" w:rsidRPr="00B65C55" w:rsidRDefault="002E5BAD" w:rsidP="002E5BAD">
      <w:pPr>
        <w:pStyle w:val="ab"/>
        <w:numPr>
          <w:ilvl w:val="0"/>
          <w:numId w:val="170"/>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Pr>
          <w:rFonts w:cs="Arial" w:hint="cs"/>
          <w:sz w:val="16"/>
          <w:szCs w:val="16"/>
          <w:rtl/>
        </w:rPr>
        <w:t>ה</w:t>
      </w:r>
      <w:r w:rsidRPr="0004676C">
        <w:rPr>
          <w:rFonts w:cs="Arial"/>
          <w:sz w:val="16"/>
          <w:szCs w:val="16"/>
          <w:rtl/>
        </w:rPr>
        <w:t>-</w:t>
      </w:r>
      <w:r>
        <w:rPr>
          <w:rFonts w:cs="Arial" w:hint="cs"/>
          <w:sz w:val="16"/>
          <w:szCs w:val="16"/>
          <w:rtl/>
        </w:rPr>
        <w:t>ו</w:t>
      </w:r>
      <w:r w:rsidRPr="0004676C">
        <w:rPr>
          <w:rFonts w:cs="Arial"/>
          <w:sz w:val="16"/>
          <w:szCs w:val="16"/>
          <w:rtl/>
        </w:rPr>
        <w:t>)</w:t>
      </w:r>
      <w:r>
        <w:rPr>
          <w:rFonts w:cs="Arial" w:hint="cs"/>
          <w:rtl/>
        </w:rPr>
        <w:t xml:space="preserve"> וטור</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w:t>
      </w:r>
      <w:r w:rsidRPr="00695839">
        <w:rPr>
          <w:rFonts w:cs="Arial" w:hint="cs"/>
          <w:rtl/>
        </w:rPr>
        <w:t>..</w:t>
      </w:r>
      <w:r w:rsidRPr="00695839">
        <w:rPr>
          <w:rFonts w:cs="Arial"/>
          <w:rtl/>
        </w:rPr>
        <w:t>.</w:t>
      </w:r>
      <w:r w:rsidRPr="00695839">
        <w:rPr>
          <w:rFonts w:cs="Arial" w:hint="cs"/>
          <w:rtl/>
        </w:rPr>
        <w:t xml:space="preserve"> </w:t>
      </w:r>
      <w:r w:rsidRPr="00695839">
        <w:rPr>
          <w:rFonts w:cs="Arial"/>
          <w:rtl/>
        </w:rPr>
        <w:t>במה דברים אמורים בעניים</w:t>
      </w:r>
      <w:r>
        <w:rPr>
          <w:rFonts w:cs="Arial" w:hint="cs"/>
          <w:rtl/>
        </w:rPr>
        <w:t>,</w:t>
      </w:r>
      <w:r w:rsidRPr="00695839">
        <w:rPr>
          <w:rFonts w:cs="Arial"/>
          <w:rtl/>
        </w:rPr>
        <w:t xml:space="preserve"> אבל אם</w:t>
      </w:r>
      <w:r>
        <w:rPr>
          <w:rFonts w:cs="Arial" w:hint="cs"/>
          <w:rtl/>
        </w:rPr>
        <w:t>...</w:t>
      </w:r>
      <w:r w:rsidRPr="00695839">
        <w:rPr>
          <w:rFonts w:cs="Arial"/>
          <w:rtl/>
        </w:rPr>
        <w:t xml:space="preserve"> הכניסה לו שתי שפחות או נכסים הראויין לקנות מהן שתי שפחות או שהיו לו שתי שפחות או שהיה ראוי לקנות שתי שפחות </w:t>
      </w:r>
      <w:r>
        <w:rPr>
          <w:rFonts w:cs="Arial" w:hint="cs"/>
          <w:rtl/>
        </w:rPr>
        <w:t xml:space="preserve">- </w:t>
      </w:r>
      <w:r w:rsidRPr="00695839">
        <w:rPr>
          <w:rFonts w:cs="Arial"/>
          <w:rtl/>
        </w:rPr>
        <w:t>אינה מבשלת ואינה מניקה את בנה אלא נותנת אותו לשפחה להניק</w:t>
      </w:r>
      <w:r>
        <w:rPr>
          <w:rStyle w:val="a7"/>
          <w:rFonts w:cs="Arial"/>
          <w:rtl/>
        </w:rPr>
        <w:footnoteReference w:id="1477"/>
      </w:r>
      <w:r>
        <w:rPr>
          <w:rFonts w:cs="Arial" w:hint="cs"/>
          <w:sz w:val="16"/>
          <w:szCs w:val="16"/>
          <w:rtl/>
        </w:rPr>
        <w:t xml:space="preserve"> (ל' הרמב"ם)</w:t>
      </w:r>
      <w:r w:rsidRPr="00695839">
        <w:rPr>
          <w:rFonts w:cs="Arial"/>
          <w:rtl/>
        </w:rPr>
        <w:t>.</w:t>
      </w:r>
      <w:r>
        <w:rPr>
          <w:rFonts w:hint="cs"/>
          <w:rtl/>
        </w:rPr>
        <w:t xml:space="preserve"> </w:t>
      </w:r>
      <w:r w:rsidRPr="00BF69BA">
        <w:rPr>
          <w:rFonts w:hint="cs"/>
          <w:color w:val="E36C0A" w:themeColor="accent6" w:themeShade="BF"/>
          <w:rtl/>
        </w:rPr>
        <w:t>(וכ"פ בשו"ע)</w:t>
      </w:r>
    </w:p>
    <w:p w14:paraId="7E37799C" w14:textId="77777777" w:rsidR="002E5BAD" w:rsidRPr="00646B86" w:rsidRDefault="002E5BAD" w:rsidP="002E5BAD">
      <w:pPr>
        <w:rPr>
          <w:u w:val="single"/>
          <w:rtl/>
        </w:rPr>
      </w:pPr>
      <w:r w:rsidRPr="00646B86">
        <w:rPr>
          <w:rFonts w:hint="cs"/>
          <w:u w:val="single"/>
          <w:rtl/>
        </w:rPr>
        <w:t xml:space="preserve">הכניסה לו שלש שפחות </w:t>
      </w:r>
      <w:r w:rsidRPr="00646B86">
        <w:rPr>
          <w:u w:val="single"/>
          <w:rtl/>
        </w:rPr>
        <w:t>–</w:t>
      </w:r>
      <w:r w:rsidRPr="00646B86">
        <w:rPr>
          <w:rFonts w:hint="cs"/>
          <w:u w:val="single"/>
          <w:rtl/>
        </w:rPr>
        <w:t xml:space="preserve"> האם חייבת עדיין בהצעת המטה:</w:t>
      </w:r>
    </w:p>
    <w:p w14:paraId="31415739" w14:textId="77777777" w:rsidR="002E5BAD" w:rsidRPr="00287172" w:rsidRDefault="002E5BAD" w:rsidP="002E5BAD">
      <w:pPr>
        <w:pStyle w:val="ab"/>
        <w:numPr>
          <w:ilvl w:val="0"/>
          <w:numId w:val="170"/>
        </w:numPr>
        <w:rPr>
          <w:rtl/>
        </w:rPr>
      </w:pPr>
      <w:r>
        <w:rPr>
          <w:rFonts w:hint="cs"/>
          <w:rtl/>
        </w:rPr>
        <w:t>עיין במקורות בסעיף ה.</w:t>
      </w:r>
    </w:p>
    <w:p w14:paraId="32BC01CC"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719DABA6" w14:textId="77777777" w:rsidR="002E5BAD" w:rsidRDefault="002E5BAD" w:rsidP="002E5BAD">
      <w:pPr>
        <w:rPr>
          <w:rtl/>
        </w:rPr>
      </w:pPr>
      <w:r>
        <w:rPr>
          <w:rFonts w:cs="Arial"/>
          <w:rtl/>
        </w:rPr>
        <w:t xml:space="preserve">הכניסה לו שתי שפחות, או נכסים הראוים לקנות מהם שתי שפחות, או שהיו לו שתי שפחות, או שהיה ראוי לקנות שתי שפחות, אינה מבשלת ואינה מניקה את בנה. </w:t>
      </w:r>
      <w:r w:rsidRPr="004D0526">
        <w:rPr>
          <w:rFonts w:cs="Arial"/>
          <w:sz w:val="18"/>
          <w:szCs w:val="18"/>
          <w:rtl/>
        </w:rPr>
        <w:t>הגה: הכניסה לו שלש שפחות, או ממון, או שיש לו ממון שיכול לקנות או לשכור, אינה מצעת המטות, רק מטתו (הר"ן בשם י"מ</w:t>
      </w:r>
      <w:r>
        <w:rPr>
          <w:rFonts w:cs="Arial" w:hint="cs"/>
          <w:sz w:val="18"/>
          <w:szCs w:val="18"/>
          <w:rtl/>
        </w:rPr>
        <w:t>).</w:t>
      </w:r>
      <w:r w:rsidRPr="004D0526">
        <w:rPr>
          <w:rFonts w:cs="Arial"/>
          <w:sz w:val="18"/>
          <w:szCs w:val="18"/>
          <w:rtl/>
        </w:rPr>
        <w:t xml:space="preserve"> י"א דאף מטתו אינה מצעת, רק בפריסת סדינין, ומסדרת לו מטתו שהוא דרך חיבה, וכל אשה תעשה זה אפילו יש לה כמה שפחות (טור).</w:t>
      </w:r>
      <w:r>
        <w:rPr>
          <w:rFonts w:cs="Arial"/>
          <w:rtl/>
        </w:rPr>
        <w:t xml:space="preserve"> </w:t>
      </w:r>
    </w:p>
    <w:p w14:paraId="48CEF684" w14:textId="77777777" w:rsidR="002E5BAD" w:rsidRDefault="002E5BAD" w:rsidP="002E5BAD">
      <w:pPr>
        <w:rPr>
          <w:rtl/>
        </w:rPr>
      </w:pPr>
    </w:p>
    <w:p w14:paraId="46D3FF7E" w14:textId="77777777" w:rsidR="002E5BAD" w:rsidRDefault="002E5BAD" w:rsidP="002E5BAD">
      <w:pPr>
        <w:pStyle w:val="2"/>
        <w:rPr>
          <w:rtl/>
        </w:rPr>
      </w:pPr>
      <w:r>
        <w:rPr>
          <w:rtl/>
        </w:rPr>
        <w:t>סעיף ט</w:t>
      </w:r>
      <w:r>
        <w:rPr>
          <w:rFonts w:hint="cs"/>
          <w:rtl/>
        </w:rPr>
        <w:t xml:space="preserve">: </w:t>
      </w:r>
      <w:r w:rsidRPr="000E736B">
        <w:rPr>
          <w:rFonts w:cs="Arial"/>
          <w:rtl/>
        </w:rPr>
        <w:t xml:space="preserve">היא אומרת </w:t>
      </w:r>
      <w:r>
        <w:rPr>
          <w:rFonts w:cs="Arial" w:hint="cs"/>
          <w:rtl/>
        </w:rPr>
        <w:t>'</w:t>
      </w:r>
      <w:r w:rsidRPr="000E736B">
        <w:rPr>
          <w:rFonts w:cs="Arial"/>
          <w:rtl/>
        </w:rPr>
        <w:t>ראוי הוא לשכור</w:t>
      </w:r>
      <w:r>
        <w:rPr>
          <w:rFonts w:cs="Arial" w:hint="cs"/>
          <w:rtl/>
        </w:rPr>
        <w:t>/</w:t>
      </w:r>
      <w:r w:rsidRPr="000E736B">
        <w:rPr>
          <w:rFonts w:cs="Arial"/>
          <w:rtl/>
        </w:rPr>
        <w:t>לקנות שפחה</w:t>
      </w:r>
      <w:r>
        <w:rPr>
          <w:rFonts w:cs="Arial" w:hint="cs"/>
          <w:rtl/>
        </w:rPr>
        <w:t>'</w:t>
      </w:r>
      <w:r w:rsidRPr="000E736B">
        <w:rPr>
          <w:rFonts w:cs="Arial"/>
          <w:rtl/>
        </w:rPr>
        <w:t xml:space="preserve"> והוא אומר </w:t>
      </w:r>
      <w:r>
        <w:rPr>
          <w:rFonts w:cs="Arial" w:hint="cs"/>
          <w:rtl/>
        </w:rPr>
        <w:t>'</w:t>
      </w:r>
      <w:r w:rsidRPr="000E736B">
        <w:rPr>
          <w:rFonts w:cs="Arial"/>
          <w:rtl/>
        </w:rPr>
        <w:t>איני ראוי</w:t>
      </w:r>
      <w:r>
        <w:rPr>
          <w:rFonts w:cs="Arial" w:hint="cs"/>
          <w:rtl/>
        </w:rPr>
        <w:t>'.</w:t>
      </w:r>
    </w:p>
    <w:p w14:paraId="4DFD60EF" w14:textId="77777777" w:rsidR="002E5BAD" w:rsidRPr="0041366C" w:rsidRDefault="002E5BAD" w:rsidP="002E5BAD">
      <w:pPr>
        <w:rPr>
          <w:u w:val="single"/>
          <w:rtl/>
        </w:rPr>
      </w:pPr>
      <w:r w:rsidRPr="000E736B">
        <w:rPr>
          <w:rFonts w:cs="Arial"/>
          <w:u w:val="single"/>
          <w:rtl/>
        </w:rPr>
        <w:t xml:space="preserve">היא אומרת </w:t>
      </w:r>
      <w:r w:rsidRPr="000E736B">
        <w:rPr>
          <w:rFonts w:cs="Arial" w:hint="cs"/>
          <w:u w:val="single"/>
          <w:rtl/>
        </w:rPr>
        <w:t>'</w:t>
      </w:r>
      <w:r w:rsidRPr="000E736B">
        <w:rPr>
          <w:rFonts w:cs="Arial"/>
          <w:u w:val="single"/>
          <w:rtl/>
        </w:rPr>
        <w:t>ראוי הוא לשכור</w:t>
      </w:r>
      <w:r w:rsidRPr="000E736B">
        <w:rPr>
          <w:rFonts w:cs="Arial" w:hint="cs"/>
          <w:u w:val="single"/>
          <w:rtl/>
        </w:rPr>
        <w:t>/</w:t>
      </w:r>
      <w:r w:rsidRPr="000E736B">
        <w:rPr>
          <w:rFonts w:cs="Arial"/>
          <w:u w:val="single"/>
          <w:rtl/>
        </w:rPr>
        <w:t>לקנות שפחה</w:t>
      </w:r>
      <w:r w:rsidRPr="000E736B">
        <w:rPr>
          <w:rFonts w:cs="Arial" w:hint="cs"/>
          <w:u w:val="single"/>
          <w:rtl/>
        </w:rPr>
        <w:t>'</w:t>
      </w:r>
      <w:r w:rsidRPr="000E736B">
        <w:rPr>
          <w:rFonts w:cs="Arial"/>
          <w:u w:val="single"/>
          <w:rtl/>
        </w:rPr>
        <w:t xml:space="preserve"> והוא אומר </w:t>
      </w:r>
      <w:r w:rsidRPr="000E736B">
        <w:rPr>
          <w:rFonts w:cs="Arial" w:hint="cs"/>
          <w:u w:val="single"/>
          <w:rtl/>
        </w:rPr>
        <w:t>'</w:t>
      </w:r>
      <w:r w:rsidRPr="000E736B">
        <w:rPr>
          <w:rFonts w:cs="Arial"/>
          <w:u w:val="single"/>
          <w:rtl/>
        </w:rPr>
        <w:t>איני ראוי</w:t>
      </w:r>
      <w:r w:rsidRPr="000E736B">
        <w:rPr>
          <w:rFonts w:cs="Arial" w:hint="cs"/>
          <w:u w:val="single"/>
          <w:rtl/>
        </w:rPr>
        <w:t>'</w:t>
      </w:r>
      <w:r w:rsidRPr="00F4316E">
        <w:rPr>
          <w:rFonts w:hint="cs"/>
          <w:u w:val="single"/>
          <w:rtl/>
        </w:rPr>
        <w:t>:</w:t>
      </w:r>
    </w:p>
    <w:p w14:paraId="0C7C9AB4" w14:textId="77777777" w:rsidR="002E5BAD" w:rsidRPr="0060187B" w:rsidRDefault="002E5BAD" w:rsidP="002E5BAD">
      <w:pPr>
        <w:pStyle w:val="ab"/>
        <w:numPr>
          <w:ilvl w:val="0"/>
          <w:numId w:val="166"/>
        </w:numPr>
        <w:rPr>
          <w:rtl/>
        </w:rPr>
      </w:pPr>
      <w:r>
        <w:rPr>
          <w:rFonts w:cs="Arial" w:hint="cs"/>
          <w:rtl/>
        </w:rPr>
        <w:t xml:space="preserve">רמב"ם </w:t>
      </w:r>
      <w:r>
        <w:rPr>
          <w:rFonts w:cs="Arial" w:hint="cs"/>
          <w:sz w:val="16"/>
          <w:szCs w:val="16"/>
          <w:rtl/>
        </w:rPr>
        <w:t>(פכ"א הט"ו)</w:t>
      </w:r>
      <w:r>
        <w:rPr>
          <w:rFonts w:cs="Arial" w:hint="cs"/>
          <w:rtl/>
        </w:rPr>
        <w:t xml:space="preserve"> וטור- </w:t>
      </w:r>
      <w:r w:rsidRPr="0060187B">
        <w:rPr>
          <w:rFonts w:cs="Arial"/>
          <w:rtl/>
        </w:rPr>
        <w:t>היא אומרת ראוי הוא לשכור או לקנות שפחה והוא אומר איני ראוי</w:t>
      </w:r>
      <w:r>
        <w:rPr>
          <w:rFonts w:cs="Arial" w:hint="cs"/>
          <w:rtl/>
        </w:rPr>
        <w:t xml:space="preserve"> -</w:t>
      </w:r>
      <w:r w:rsidRPr="0060187B">
        <w:rPr>
          <w:rFonts w:cs="Arial"/>
          <w:rtl/>
        </w:rPr>
        <w:t xml:space="preserve"> עליה להביא ראיה</w:t>
      </w:r>
      <w:r>
        <w:rPr>
          <w:rStyle w:val="a7"/>
          <w:rFonts w:cs="Arial"/>
          <w:rtl/>
        </w:rPr>
        <w:footnoteReference w:id="1478"/>
      </w:r>
      <w:r>
        <w:rPr>
          <w:rFonts w:cs="Arial" w:hint="cs"/>
          <w:rtl/>
        </w:rPr>
        <w:t>,</w:t>
      </w:r>
      <w:r w:rsidRPr="0060187B">
        <w:rPr>
          <w:rFonts w:cs="Arial"/>
          <w:rtl/>
        </w:rPr>
        <w:t xml:space="preserve"> ואין כאן מקום לשבועה</w:t>
      </w:r>
      <w:r>
        <w:rPr>
          <w:rStyle w:val="a7"/>
          <w:rFonts w:cs="Arial"/>
          <w:rtl/>
        </w:rPr>
        <w:footnoteReference w:id="1479"/>
      </w:r>
      <w:r>
        <w:rPr>
          <w:rFonts w:cs="Arial" w:hint="cs"/>
          <w:sz w:val="16"/>
          <w:szCs w:val="16"/>
          <w:rtl/>
        </w:rPr>
        <w:t xml:space="preserve"> (ל' הרמב"ם)</w:t>
      </w:r>
      <w:r>
        <w:rPr>
          <w:rFonts w:cs="Arial" w:hint="cs"/>
          <w:rtl/>
        </w:rPr>
        <w:t>.</w:t>
      </w:r>
      <w:r w:rsidRPr="000A7A9C">
        <w:rPr>
          <w:rFonts w:cs="Arial"/>
          <w:rtl/>
        </w:rPr>
        <w:t xml:space="preserve"> </w:t>
      </w:r>
      <w:r w:rsidRPr="00BF69BA">
        <w:rPr>
          <w:rFonts w:hint="cs"/>
          <w:color w:val="E36C0A" w:themeColor="accent6" w:themeShade="BF"/>
          <w:rtl/>
        </w:rPr>
        <w:t>(וכ"פ בשו"ע)</w:t>
      </w:r>
    </w:p>
    <w:p w14:paraId="234791C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BAF72F5" w14:textId="77777777" w:rsidR="002E5BAD" w:rsidRDefault="002E5BAD" w:rsidP="002E5BAD">
      <w:pPr>
        <w:rPr>
          <w:rtl/>
        </w:rPr>
      </w:pPr>
      <w:r>
        <w:rPr>
          <w:rFonts w:cs="Arial"/>
          <w:rtl/>
        </w:rPr>
        <w:t xml:space="preserve">היא אומרת: ראוי הוא לקנות, או לשכור שפחה, והוא אומר שאינו ראוי, עליה להביא ראיה. </w:t>
      </w:r>
    </w:p>
    <w:p w14:paraId="64D9CC4F" w14:textId="77777777" w:rsidR="002E5BAD" w:rsidRDefault="002E5BAD" w:rsidP="002E5BAD">
      <w:pPr>
        <w:rPr>
          <w:rtl/>
        </w:rPr>
      </w:pPr>
    </w:p>
    <w:p w14:paraId="127FF274" w14:textId="77777777" w:rsidR="002E5BAD" w:rsidRDefault="002E5BAD" w:rsidP="002E5BAD">
      <w:pPr>
        <w:pStyle w:val="2"/>
        <w:rPr>
          <w:rtl/>
        </w:rPr>
      </w:pPr>
      <w:r>
        <w:rPr>
          <w:rtl/>
        </w:rPr>
        <w:t>סעיף י</w:t>
      </w:r>
      <w:r>
        <w:rPr>
          <w:rFonts w:hint="cs"/>
          <w:rtl/>
        </w:rPr>
        <w:t>: חיוב מלאכה כשאין דרך משפחתם לעשות כן.</w:t>
      </w:r>
    </w:p>
    <w:p w14:paraId="51851A5D"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 xml:space="preserve">: </w:t>
      </w:r>
      <w:r w:rsidRPr="00344295">
        <w:rPr>
          <w:rFonts w:cs="Arial"/>
          <w:u w:val="single"/>
          <w:rtl/>
        </w:rPr>
        <w:t>אמר רב הונא</w:t>
      </w:r>
      <w:r>
        <w:rPr>
          <w:rFonts w:cs="Arial" w:hint="cs"/>
          <w:u w:val="single"/>
          <w:rtl/>
        </w:rPr>
        <w:t>:</w:t>
      </w:r>
      <w:r>
        <w:rPr>
          <w:rFonts w:cs="Arial" w:hint="cs"/>
          <w:rtl/>
        </w:rPr>
        <w:t xml:space="preserve"> </w:t>
      </w:r>
      <w:r w:rsidRPr="00344295">
        <w:rPr>
          <w:rFonts w:cs="Arial"/>
          <w:rtl/>
        </w:rPr>
        <w:t>בדק לן רב הונא בר חיננא</w:t>
      </w:r>
      <w:r>
        <w:rPr>
          <w:rFonts w:cs="Arial" w:hint="cs"/>
          <w:rtl/>
        </w:rPr>
        <w:t>,</w:t>
      </w:r>
      <w:r w:rsidRPr="00344295">
        <w:rPr>
          <w:rFonts w:cs="Arial"/>
          <w:rtl/>
        </w:rPr>
        <w:t xml:space="preserve"> היא אומרת להניק והוא אומר שלא להניק - שומעין לה, צערא דידה הוא</w:t>
      </w:r>
      <w:r>
        <w:rPr>
          <w:rStyle w:val="a7"/>
          <w:rFonts w:cs="Arial"/>
          <w:rtl/>
        </w:rPr>
        <w:footnoteReference w:id="1480"/>
      </w:r>
      <w:r>
        <w:rPr>
          <w:rFonts w:cs="Arial" w:hint="cs"/>
          <w:rtl/>
        </w:rPr>
        <w:t>.</w:t>
      </w:r>
      <w:r w:rsidRPr="00344295">
        <w:rPr>
          <w:rFonts w:cs="Arial"/>
          <w:rtl/>
        </w:rPr>
        <w:t xml:space="preserve"> הוא אומר להניק והיא אומרת שלא להניק, מהו? כל היכא דלאו אורחה</w:t>
      </w:r>
      <w:r>
        <w:rPr>
          <w:rStyle w:val="a7"/>
          <w:rFonts w:cs="Arial"/>
          <w:rtl/>
        </w:rPr>
        <w:footnoteReference w:id="1481"/>
      </w:r>
      <w:r>
        <w:rPr>
          <w:rFonts w:cs="Arial" w:hint="cs"/>
          <w:rtl/>
        </w:rPr>
        <w:t xml:space="preserve"> -</w:t>
      </w:r>
      <w:r w:rsidRPr="00344295">
        <w:rPr>
          <w:rFonts w:cs="Arial"/>
          <w:rtl/>
        </w:rPr>
        <w:t xml:space="preserve"> שומעין לה</w:t>
      </w:r>
      <w:r>
        <w:rPr>
          <w:rFonts w:cs="Arial" w:hint="cs"/>
          <w:rtl/>
        </w:rPr>
        <w:t>.</w:t>
      </w:r>
      <w:r w:rsidRPr="00344295">
        <w:rPr>
          <w:rFonts w:cs="Arial"/>
          <w:rtl/>
        </w:rPr>
        <w:t xml:space="preserve"> היא אורחה והוא לאו אורחיה, מאי</w:t>
      </w:r>
      <w:r>
        <w:rPr>
          <w:rFonts w:cs="Arial" w:hint="cs"/>
          <w:rtl/>
        </w:rPr>
        <w:t>,</w:t>
      </w:r>
      <w:r w:rsidRPr="00344295">
        <w:rPr>
          <w:rFonts w:cs="Arial"/>
          <w:rtl/>
        </w:rPr>
        <w:t xml:space="preserve"> בתר דידיה אזלינן או בתר דידה אזלינן? ופשיטנא ליה מהא: עולה עמו ואינה יורדת עמו. </w:t>
      </w:r>
      <w:r w:rsidRPr="00344295">
        <w:rPr>
          <w:rFonts w:cs="Arial"/>
          <w:u w:val="single"/>
          <w:rtl/>
        </w:rPr>
        <w:t>אמר רב הונא</w:t>
      </w:r>
      <w:r w:rsidRPr="00344295">
        <w:rPr>
          <w:rFonts w:cs="Arial"/>
          <w:rtl/>
        </w:rPr>
        <w:t xml:space="preserve">: מאי קראה? והיא בעולת בעל, בעלייתו של בעל ולא בירידתו של בעל. </w:t>
      </w:r>
      <w:r w:rsidRPr="00344295">
        <w:rPr>
          <w:rFonts w:cs="Arial"/>
          <w:u w:val="single"/>
          <w:rtl/>
        </w:rPr>
        <w:t>ר' אלעזר אמר</w:t>
      </w:r>
      <w:r>
        <w:rPr>
          <w:rFonts w:cs="Arial" w:hint="cs"/>
          <w:rtl/>
        </w:rPr>
        <w:t>:</w:t>
      </w:r>
      <w:r w:rsidRPr="00344295">
        <w:rPr>
          <w:rFonts w:cs="Arial"/>
          <w:rtl/>
        </w:rPr>
        <w:t xml:space="preserve"> מהכא</w:t>
      </w:r>
      <w:r>
        <w:rPr>
          <w:rFonts w:cs="Arial" w:hint="cs"/>
          <w:rtl/>
        </w:rPr>
        <w:t>,</w:t>
      </w:r>
      <w:r w:rsidRPr="00344295">
        <w:rPr>
          <w:rFonts w:cs="Arial"/>
          <w:rtl/>
        </w:rPr>
        <w:t xml:space="preserve"> כי היא היתה אם כל חי, לחיים ניתנה ולא לצער ניתנה. </w:t>
      </w:r>
    </w:p>
    <w:p w14:paraId="7A5153E6" w14:textId="77777777" w:rsidR="002E5BAD" w:rsidRDefault="002E5BAD" w:rsidP="002E5BAD">
      <w:pPr>
        <w:rPr>
          <w:rFonts w:cs="Arial"/>
          <w:rtl/>
        </w:rPr>
      </w:pPr>
      <w:r w:rsidRPr="001C664D">
        <w:rPr>
          <w:rFonts w:cs="Arial" w:hint="cs"/>
          <w:b/>
          <w:bCs/>
          <w:rtl/>
        </w:rPr>
        <w:t xml:space="preserve">תוספתא כתובות פ"ה ה"ד: </w:t>
      </w:r>
      <w:r w:rsidRPr="001C664D">
        <w:rPr>
          <w:rFonts w:cs="Arial"/>
          <w:rtl/>
        </w:rPr>
        <w:t>מלאכות שהאשה עושה לבעלה</w:t>
      </w:r>
      <w:r>
        <w:rPr>
          <w:rFonts w:cs="Arial" w:hint="cs"/>
          <w:rtl/>
        </w:rPr>
        <w:t>,</w:t>
      </w:r>
      <w:r w:rsidRPr="001C664D">
        <w:rPr>
          <w:rFonts w:cs="Arial"/>
          <w:rtl/>
        </w:rPr>
        <w:t xml:space="preserve"> שבעה גופי מלאכות מנו</w:t>
      </w:r>
      <w:r>
        <w:rPr>
          <w:rFonts w:cs="Arial" w:hint="cs"/>
          <w:rtl/>
        </w:rPr>
        <w:t>,</w:t>
      </w:r>
      <w:r w:rsidRPr="001C664D">
        <w:rPr>
          <w:rFonts w:cs="Arial"/>
          <w:rtl/>
        </w:rPr>
        <w:t xml:space="preserve"> ושאר לא הוצרכו לימנות</w:t>
      </w:r>
      <w:r>
        <w:rPr>
          <w:rFonts w:cs="Arial" w:hint="cs"/>
          <w:rtl/>
        </w:rPr>
        <w:t>.</w:t>
      </w:r>
      <w:r w:rsidRPr="001C664D">
        <w:rPr>
          <w:rFonts w:cs="Arial"/>
          <w:rtl/>
        </w:rPr>
        <w:t xml:space="preserve"> הכניסה לו בין משלו ובין משלה לא טוחנת ולא אופה ולא מכבסת</w:t>
      </w:r>
      <w:r>
        <w:rPr>
          <w:rFonts w:cs="Arial" w:hint="cs"/>
          <w:rtl/>
        </w:rPr>
        <w:t>.</w:t>
      </w:r>
      <w:r w:rsidRPr="001C664D">
        <w:rPr>
          <w:rFonts w:cs="Arial"/>
          <w:rtl/>
        </w:rPr>
        <w:t xml:space="preserve"> כופה לעשות לבנו ולבתה לאחיו ולאחיה ולהטיל לפני בהמתו</w:t>
      </w:r>
      <w:r>
        <w:rPr>
          <w:rFonts w:cs="Arial" w:hint="cs"/>
          <w:rtl/>
        </w:rPr>
        <w:t>.</w:t>
      </w:r>
      <w:r w:rsidRPr="001C664D">
        <w:rPr>
          <w:rFonts w:cs="Arial"/>
          <w:rtl/>
        </w:rPr>
        <w:t xml:space="preserve"> מקום שנהגו שלא לעשות אחת מכל אילו </w:t>
      </w:r>
      <w:r>
        <w:rPr>
          <w:rFonts w:cs="Arial" w:hint="cs"/>
          <w:rtl/>
        </w:rPr>
        <w:t xml:space="preserve">- </w:t>
      </w:r>
      <w:r w:rsidRPr="001C664D">
        <w:rPr>
          <w:rFonts w:cs="Arial"/>
          <w:rtl/>
        </w:rPr>
        <w:t>אינו יכול לכופה</w:t>
      </w:r>
      <w:r>
        <w:rPr>
          <w:rStyle w:val="a7"/>
          <w:rFonts w:cs="Arial"/>
          <w:rtl/>
        </w:rPr>
        <w:footnoteReference w:id="1482"/>
      </w:r>
      <w:r>
        <w:rPr>
          <w:rFonts w:cs="Arial" w:hint="cs"/>
          <w:rtl/>
        </w:rPr>
        <w:t>...</w:t>
      </w:r>
    </w:p>
    <w:p w14:paraId="1D0C90E6" w14:textId="77777777" w:rsidR="002E5BAD" w:rsidRPr="00652E6A" w:rsidRDefault="002E5BAD" w:rsidP="002E5BAD">
      <w:pPr>
        <w:rPr>
          <w:u w:val="single"/>
          <w:rtl/>
        </w:rPr>
      </w:pPr>
      <w:r w:rsidRPr="00652E6A">
        <w:rPr>
          <w:rFonts w:hint="cs"/>
          <w:u w:val="single"/>
          <w:rtl/>
        </w:rPr>
        <w:t>חיוב מלאכ</w:t>
      </w:r>
      <w:r>
        <w:rPr>
          <w:rFonts w:hint="cs"/>
          <w:u w:val="single"/>
          <w:rtl/>
        </w:rPr>
        <w:t>ה</w:t>
      </w:r>
      <w:r w:rsidRPr="00652E6A">
        <w:rPr>
          <w:rFonts w:hint="cs"/>
          <w:u w:val="single"/>
          <w:rtl/>
        </w:rPr>
        <w:t xml:space="preserve"> כשאין דרך משפחתם לעשות כן:</w:t>
      </w:r>
    </w:p>
    <w:p w14:paraId="061F823A" w14:textId="77777777" w:rsidR="002E5BAD" w:rsidRPr="004C0CB6" w:rsidRDefault="002E5BAD" w:rsidP="002E5BAD">
      <w:pPr>
        <w:pStyle w:val="ab"/>
        <w:numPr>
          <w:ilvl w:val="0"/>
          <w:numId w:val="166"/>
        </w:numPr>
      </w:pPr>
      <w:r>
        <w:rPr>
          <w:rFonts w:cs="Arial" w:hint="cs"/>
          <w:rtl/>
        </w:rPr>
        <w:t xml:space="preserve">טור- </w:t>
      </w:r>
      <w:r w:rsidRPr="000A7A9C">
        <w:rPr>
          <w:rFonts w:cs="Arial"/>
          <w:rtl/>
        </w:rPr>
        <w:t>וכל אלו המלאכות אין מחייבין אותה לא מכולן ולא במקצתן אא"כ יהיה דרך משפחתו ומשפחתה לעשותן</w:t>
      </w:r>
      <w:r>
        <w:rPr>
          <w:rFonts w:cs="Arial" w:hint="cs"/>
          <w:rtl/>
        </w:rPr>
        <w:t>,</w:t>
      </w:r>
      <w:r w:rsidRPr="000A7A9C">
        <w:rPr>
          <w:rFonts w:cs="Arial"/>
          <w:rtl/>
        </w:rPr>
        <w:t xml:space="preserve"> אבל אם אין דרכן לעשותן </w:t>
      </w:r>
      <w:r>
        <w:rPr>
          <w:rFonts w:cs="Arial" w:hint="cs"/>
          <w:rtl/>
        </w:rPr>
        <w:t xml:space="preserve">- </w:t>
      </w:r>
      <w:r w:rsidRPr="000A7A9C">
        <w:rPr>
          <w:rFonts w:cs="Arial"/>
          <w:rtl/>
        </w:rPr>
        <w:t>אינה חייבת בהן</w:t>
      </w:r>
      <w:r>
        <w:rPr>
          <w:rFonts w:cs="Arial" w:hint="cs"/>
          <w:rtl/>
        </w:rPr>
        <w:t>.</w:t>
      </w:r>
      <w:r w:rsidRPr="003810EC">
        <w:rPr>
          <w:rFonts w:hint="cs"/>
          <w:color w:val="E36C0A" w:themeColor="accent6" w:themeShade="BF"/>
          <w:rtl/>
        </w:rPr>
        <w:t xml:space="preserve"> </w:t>
      </w:r>
      <w:r w:rsidRPr="00BF69BA">
        <w:rPr>
          <w:rFonts w:hint="cs"/>
          <w:color w:val="E36C0A" w:themeColor="accent6" w:themeShade="BF"/>
          <w:rtl/>
        </w:rPr>
        <w:t>(וכ"פ בשו"ע)</w:t>
      </w:r>
    </w:p>
    <w:p w14:paraId="01D3A72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FC0C3A9" w14:textId="77777777" w:rsidR="002E5BAD" w:rsidRDefault="002E5BAD" w:rsidP="002E5BAD">
      <w:pPr>
        <w:rPr>
          <w:rtl/>
        </w:rPr>
      </w:pPr>
      <w:r>
        <w:rPr>
          <w:rFonts w:cs="Arial"/>
          <w:rtl/>
        </w:rPr>
        <w:lastRenderedPageBreak/>
        <w:t>כל אלו המלאכות</w:t>
      </w:r>
      <w:r>
        <w:rPr>
          <w:rStyle w:val="a7"/>
          <w:rFonts w:cs="Arial"/>
          <w:rtl/>
        </w:rPr>
        <w:footnoteReference w:id="1483"/>
      </w:r>
      <w:r>
        <w:rPr>
          <w:rFonts w:cs="Arial"/>
          <w:rtl/>
        </w:rPr>
        <w:t xml:space="preserve"> אין מחייבים אותה, א</w:t>
      </w:r>
      <w:r>
        <w:rPr>
          <w:rFonts w:cs="Arial" w:hint="cs"/>
          <w:rtl/>
        </w:rPr>
        <w:t>ל</w:t>
      </w:r>
      <w:r>
        <w:rPr>
          <w:rFonts w:cs="Arial"/>
          <w:rtl/>
        </w:rPr>
        <w:t>א</w:t>
      </w:r>
      <w:r>
        <w:rPr>
          <w:rFonts w:cs="Arial" w:hint="cs"/>
          <w:rtl/>
        </w:rPr>
        <w:t xml:space="preserve"> אם </w:t>
      </w:r>
      <w:r>
        <w:rPr>
          <w:rFonts w:cs="Arial"/>
          <w:rtl/>
        </w:rPr>
        <w:t>כ</w:t>
      </w:r>
      <w:r>
        <w:rPr>
          <w:rFonts w:cs="Arial" w:hint="cs"/>
          <w:rtl/>
        </w:rPr>
        <w:t>ן</w:t>
      </w:r>
      <w:r>
        <w:rPr>
          <w:rFonts w:cs="Arial"/>
          <w:rtl/>
        </w:rPr>
        <w:t xml:space="preserve"> יהיה דרך משפחתו ומשפחתה לעשותן. </w:t>
      </w:r>
    </w:p>
    <w:p w14:paraId="111EF63A" w14:textId="77777777" w:rsidR="002E5BAD" w:rsidRDefault="002E5BAD" w:rsidP="002E5BAD">
      <w:pPr>
        <w:rPr>
          <w:rtl/>
        </w:rPr>
      </w:pPr>
    </w:p>
    <w:p w14:paraId="6BD8D2A7" w14:textId="77777777" w:rsidR="002E5BAD" w:rsidRDefault="002E5BAD" w:rsidP="002E5BAD">
      <w:pPr>
        <w:pStyle w:val="2"/>
        <w:rPr>
          <w:rtl/>
        </w:rPr>
      </w:pPr>
      <w:r>
        <w:rPr>
          <w:rtl/>
        </w:rPr>
        <w:t>סעיף יא</w:t>
      </w:r>
      <w:r>
        <w:rPr>
          <w:rFonts w:hint="cs"/>
          <w:rtl/>
        </w:rPr>
        <w:t>: מלאכה לאשה מניקה.</w:t>
      </w:r>
    </w:p>
    <w:p w14:paraId="78164AB9" w14:textId="77777777" w:rsidR="002E5BAD" w:rsidRDefault="002E5BAD" w:rsidP="002E5BAD">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סד ע"ב: </w:t>
      </w:r>
      <w:r w:rsidRPr="00A60730">
        <w:rPr>
          <w:rFonts w:cs="Arial"/>
          <w:u w:val="double"/>
          <w:rtl/>
        </w:rPr>
        <w:t>מתני'</w:t>
      </w:r>
      <w:r w:rsidRPr="00A60730">
        <w:rPr>
          <w:rFonts w:cs="Arial" w:hint="cs"/>
          <w:rtl/>
        </w:rPr>
        <w:t>:</w:t>
      </w:r>
      <w:r w:rsidRPr="00A60730">
        <w:rPr>
          <w:rFonts w:cs="Arial"/>
          <w:rtl/>
        </w:rPr>
        <w:t xml:space="preserve"> המשרה את אשתו על ידי שליש</w:t>
      </w:r>
      <w:r w:rsidRPr="00A60730">
        <w:rPr>
          <w:rFonts w:cs="Arial" w:hint="cs"/>
          <w:rtl/>
        </w:rPr>
        <w:t xml:space="preserve">... </w:t>
      </w:r>
      <w:r w:rsidRPr="00A60730">
        <w:rPr>
          <w:rFonts w:cs="Arial"/>
          <w:rtl/>
        </w:rPr>
        <w:t>ואם היתה מניקה - פוחתין לה ממעשה ידיה ומוסיפין לה על מזונותיה.</w:t>
      </w:r>
      <w:r w:rsidRPr="00A60730">
        <w:rPr>
          <w:rFonts w:cs="Arial" w:hint="cs"/>
          <w:rtl/>
        </w:rPr>
        <w:t xml:space="preserve">..      </w:t>
      </w:r>
      <w:r w:rsidRPr="00A60730">
        <w:rPr>
          <w:rFonts w:cs="Arial" w:hint="cs"/>
          <w:u w:val="double"/>
          <w:rtl/>
        </w:rPr>
        <w:t>גמ'</w:t>
      </w:r>
      <w:r w:rsidRPr="00A60730">
        <w:rPr>
          <w:rFonts w:cs="Arial" w:hint="cs"/>
          <w:sz w:val="14"/>
          <w:szCs w:val="14"/>
          <w:u w:val="double"/>
          <w:rtl/>
        </w:rPr>
        <w:t>(סה:)</w:t>
      </w:r>
      <w:r w:rsidRPr="00A60730">
        <w:rPr>
          <w:rFonts w:cs="Arial" w:hint="cs"/>
          <w:u w:val="double"/>
          <w:rtl/>
        </w:rPr>
        <w:t>:</w:t>
      </w:r>
      <w:r w:rsidRPr="00A60730">
        <w:rPr>
          <w:rFonts w:cs="Arial"/>
          <w:rtl/>
        </w:rPr>
        <w:t xml:space="preserve"> ואם היתה מניקה</w:t>
      </w:r>
      <w:r w:rsidRPr="00A60730">
        <w:rPr>
          <w:rFonts w:cs="Arial" w:hint="cs"/>
          <w:rtl/>
        </w:rPr>
        <w:t>..</w:t>
      </w:r>
      <w:r w:rsidRPr="00A60730">
        <w:rPr>
          <w:rFonts w:cs="Arial"/>
          <w:rtl/>
        </w:rPr>
        <w:t xml:space="preserve">. </w:t>
      </w:r>
      <w:r w:rsidRPr="00A60730">
        <w:rPr>
          <w:rFonts w:cs="Arial"/>
          <w:u w:val="single"/>
          <w:rtl/>
        </w:rPr>
        <w:t>אמר רבי יהושע בן לוי</w:t>
      </w:r>
      <w:r w:rsidRPr="00A60730">
        <w:rPr>
          <w:rFonts w:cs="Arial"/>
          <w:rtl/>
        </w:rPr>
        <w:t>: מוסיפין לה יין, שהיין יפה לחלב.</w:t>
      </w:r>
      <w:r w:rsidRPr="00A96332">
        <w:rPr>
          <w:rFonts w:cs="Arial"/>
          <w:rtl/>
        </w:rPr>
        <w:t xml:space="preserve"> </w:t>
      </w:r>
      <w:r>
        <w:rPr>
          <w:rFonts w:cs="Arial" w:hint="cs"/>
          <w:sz w:val="16"/>
          <w:szCs w:val="16"/>
          <w:rtl/>
        </w:rPr>
        <w:t>(</w:t>
      </w:r>
      <w:r w:rsidRPr="00A96332">
        <w:rPr>
          <w:rFonts w:cs="Arial"/>
          <w:sz w:val="16"/>
          <w:szCs w:val="16"/>
          <w:rtl/>
        </w:rPr>
        <w:t>ומשמע לרבינו</w:t>
      </w:r>
      <w:r>
        <w:rPr>
          <w:rFonts w:cs="Arial" w:hint="cs"/>
          <w:sz w:val="14"/>
          <w:szCs w:val="14"/>
          <w:rtl/>
        </w:rPr>
        <w:t xml:space="preserve"> {הטור}</w:t>
      </w:r>
      <w:r w:rsidRPr="00A96332">
        <w:rPr>
          <w:rFonts w:cs="Arial"/>
          <w:sz w:val="16"/>
          <w:szCs w:val="16"/>
          <w:rtl/>
        </w:rPr>
        <w:t xml:space="preserve"> דלדוגמא נקט יין ולפיכך כתב כגון יין וכיוצא בו</w:t>
      </w:r>
      <w:r>
        <w:rPr>
          <w:rFonts w:cs="Arial" w:hint="cs"/>
          <w:sz w:val="16"/>
          <w:szCs w:val="16"/>
          <w:rtl/>
        </w:rPr>
        <w:t>,</w:t>
      </w:r>
      <w:r w:rsidRPr="00A96332">
        <w:rPr>
          <w:rFonts w:cs="Arial"/>
          <w:sz w:val="16"/>
          <w:szCs w:val="16"/>
          <w:rtl/>
        </w:rPr>
        <w:t xml:space="preserve"> וכך הם דברי הרמב"ם בפכ"א (הי"א)</w:t>
      </w:r>
      <w:r w:rsidRPr="00A96332">
        <w:rPr>
          <w:rFonts w:cs="Arial" w:hint="cs"/>
          <w:sz w:val="16"/>
          <w:szCs w:val="16"/>
          <w:rtl/>
        </w:rPr>
        <w:t>, ב"י)</w:t>
      </w:r>
    </w:p>
    <w:p w14:paraId="0A3D975E" w14:textId="77777777" w:rsidR="002E5BAD" w:rsidRDefault="002E5BAD" w:rsidP="002E5BAD">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96332">
        <w:rPr>
          <w:rFonts w:cs="Arial"/>
          <w:rtl/>
        </w:rPr>
        <w:t>תנו רבנן: הרי שנתנו לה בן להניק - הרי זו לא תניק עמו לא בנה ולא בן חברתה, פסקה קימעא</w:t>
      </w:r>
      <w:r>
        <w:rPr>
          <w:rStyle w:val="a7"/>
          <w:rFonts w:cs="Arial"/>
          <w:rtl/>
        </w:rPr>
        <w:footnoteReference w:id="1484"/>
      </w:r>
      <w:r w:rsidRPr="00A96332">
        <w:rPr>
          <w:rFonts w:cs="Arial"/>
          <w:rtl/>
        </w:rPr>
        <w:t xml:space="preserve"> אוכלת הרבה</w:t>
      </w:r>
      <w:r>
        <w:rPr>
          <w:rStyle w:val="a7"/>
          <w:rFonts w:cs="Arial"/>
          <w:rtl/>
        </w:rPr>
        <w:footnoteReference w:id="1485"/>
      </w:r>
      <w:r w:rsidRPr="00A96332">
        <w:rPr>
          <w:rFonts w:cs="Arial"/>
          <w:rtl/>
        </w:rPr>
        <w:t>, לא תאכל עמו דברים הרעים לחלב.</w:t>
      </w:r>
      <w:r>
        <w:rPr>
          <w:rFonts w:cs="Arial" w:hint="cs"/>
          <w:rtl/>
        </w:rPr>
        <w:t>.</w:t>
      </w:r>
      <w:r w:rsidRPr="00A96332">
        <w:rPr>
          <w:rFonts w:cs="Arial"/>
          <w:rtl/>
        </w:rPr>
        <w:t xml:space="preserve">. פסקה קימעא אוכלת הרבה. מהיכא? </w:t>
      </w:r>
      <w:r w:rsidRPr="00A96332">
        <w:rPr>
          <w:rFonts w:cs="Arial"/>
          <w:u w:val="single"/>
          <w:rtl/>
        </w:rPr>
        <w:t>אמר רב ששת</w:t>
      </w:r>
      <w:r w:rsidRPr="00A96332">
        <w:rPr>
          <w:rFonts w:cs="Arial"/>
          <w:rtl/>
        </w:rPr>
        <w:t>: משלה.</w:t>
      </w:r>
    </w:p>
    <w:p w14:paraId="77E4A3DF" w14:textId="77777777" w:rsidR="002E5BAD" w:rsidRPr="00A60730" w:rsidRDefault="002E5BAD" w:rsidP="002E5BAD">
      <w:pPr>
        <w:rPr>
          <w:rFonts w:cs="Arial"/>
          <w:u w:val="single"/>
          <w:rtl/>
        </w:rPr>
      </w:pPr>
      <w:r w:rsidRPr="00A60730">
        <w:rPr>
          <w:rFonts w:hint="cs"/>
          <w:u w:val="single"/>
          <w:rtl/>
        </w:rPr>
        <w:t>מלאכה לאשה מניקה</w:t>
      </w:r>
      <w:r w:rsidRPr="00A60730">
        <w:rPr>
          <w:rFonts w:cs="Arial" w:hint="cs"/>
          <w:u w:val="single"/>
          <w:rtl/>
        </w:rPr>
        <w:t>:</w:t>
      </w:r>
    </w:p>
    <w:p w14:paraId="196FA118" w14:textId="77777777" w:rsidR="002E5BAD" w:rsidRDefault="002E5BAD" w:rsidP="002E5BAD">
      <w:pPr>
        <w:pStyle w:val="ab"/>
        <w:numPr>
          <w:ilvl w:val="0"/>
          <w:numId w:val="166"/>
        </w:numPr>
      </w:pPr>
      <w:r>
        <w:rPr>
          <w:rFonts w:cs="Arial" w:hint="cs"/>
          <w:rtl/>
        </w:rPr>
        <w:t xml:space="preserve">רמב"ם </w:t>
      </w:r>
      <w:r>
        <w:rPr>
          <w:rFonts w:cs="Arial" w:hint="cs"/>
          <w:sz w:val="16"/>
          <w:szCs w:val="16"/>
          <w:rtl/>
        </w:rPr>
        <w:t>(פכ"א הי"א)</w:t>
      </w:r>
      <w:r>
        <w:rPr>
          <w:rFonts w:cs="Arial" w:hint="cs"/>
          <w:rtl/>
        </w:rPr>
        <w:t xml:space="preserve">- </w:t>
      </w:r>
      <w:r w:rsidRPr="00A96332">
        <w:rPr>
          <w:rFonts w:cs="Arial"/>
          <w:rtl/>
        </w:rPr>
        <w:t>האשה כל זמן שהיא מניקה את בנה פוחתין לה ממעשה ידיה ומוסיפין לה על מזונותיה יין ודברים שיפין לחלב</w:t>
      </w:r>
      <w:r>
        <w:rPr>
          <w:rFonts w:cs="Arial" w:hint="cs"/>
          <w:rtl/>
        </w:rPr>
        <w:t>.</w:t>
      </w:r>
      <w:r w:rsidRPr="000A7A9C">
        <w:rPr>
          <w:rFonts w:cs="Arial"/>
          <w:rtl/>
        </w:rPr>
        <w:t xml:space="preserve"> </w:t>
      </w:r>
      <w:r w:rsidRPr="00BF69BA">
        <w:rPr>
          <w:rFonts w:hint="cs"/>
          <w:color w:val="E36C0A" w:themeColor="accent6" w:themeShade="BF"/>
          <w:rtl/>
        </w:rPr>
        <w:t>(וכ"פ בשו"ע)</w:t>
      </w:r>
    </w:p>
    <w:p w14:paraId="6A83CB97" w14:textId="77777777" w:rsidR="002E5BAD" w:rsidRPr="00A96332" w:rsidRDefault="002E5BAD" w:rsidP="002E5BAD">
      <w:pPr>
        <w:pStyle w:val="ab"/>
        <w:numPr>
          <w:ilvl w:val="0"/>
          <w:numId w:val="166"/>
        </w:numPr>
      </w:pPr>
      <w:r>
        <w:rPr>
          <w:rFonts w:cs="Arial" w:hint="cs"/>
          <w:rtl/>
        </w:rPr>
        <w:t xml:space="preserve">טור- </w:t>
      </w:r>
      <w:r w:rsidRPr="003341B1">
        <w:rPr>
          <w:rFonts w:cs="Arial"/>
          <w:rtl/>
        </w:rPr>
        <w:t>אם היא מניקה פוחתין לה ממעשה ידיה ומוסיפין לה על מזונותיה ונותנין לה דברים היפים לחלב כגון יין וכיוצא בו</w:t>
      </w:r>
      <w:r>
        <w:rPr>
          <w:rFonts w:hint="cs"/>
          <w:rtl/>
        </w:rPr>
        <w:t>.</w:t>
      </w:r>
    </w:p>
    <w:p w14:paraId="5D2650B2" w14:textId="77777777" w:rsidR="002E5BAD" w:rsidRPr="00A96332" w:rsidRDefault="002E5BAD" w:rsidP="002E5BAD">
      <w:pPr>
        <w:ind w:left="360"/>
        <w:rPr>
          <w:u w:val="dotted"/>
        </w:rPr>
      </w:pPr>
      <w:r w:rsidRPr="00A96332">
        <w:rPr>
          <w:rFonts w:hint="cs"/>
          <w:u w:val="dotted"/>
          <w:rtl/>
        </w:rPr>
        <w:t>ומה הדין אם לא הוסיפו לה על מזונותיה:</w:t>
      </w:r>
    </w:p>
    <w:p w14:paraId="21F2ABA3" w14:textId="77777777" w:rsidR="002E5BAD" w:rsidRPr="00DC4762" w:rsidRDefault="002E5BAD" w:rsidP="002E5BAD">
      <w:pPr>
        <w:pStyle w:val="ab"/>
        <w:numPr>
          <w:ilvl w:val="0"/>
          <w:numId w:val="166"/>
        </w:numPr>
        <w:rPr>
          <w:rtl/>
        </w:rPr>
      </w:pPr>
      <w:r>
        <w:rPr>
          <w:rFonts w:cs="Arial" w:hint="cs"/>
          <w:rtl/>
        </w:rPr>
        <w:t xml:space="preserve">טור- </w:t>
      </w:r>
      <w:r w:rsidRPr="000A7A9C">
        <w:rPr>
          <w:rFonts w:cs="Arial"/>
          <w:rtl/>
        </w:rPr>
        <w:t>לא הוסיפו לה על מזונותיה</w:t>
      </w:r>
      <w:r>
        <w:rPr>
          <w:rFonts w:cs="Arial" w:hint="cs"/>
          <w:rtl/>
        </w:rPr>
        <w:t xml:space="preserve">, </w:t>
      </w:r>
      <w:r w:rsidRPr="000A7A9C">
        <w:rPr>
          <w:rFonts w:cs="Arial"/>
          <w:rtl/>
        </w:rPr>
        <w:t>צריכה לאכול משלה אם יש לה</w:t>
      </w:r>
      <w:r>
        <w:rPr>
          <w:rStyle w:val="a7"/>
          <w:rFonts w:cs="Arial"/>
          <w:rtl/>
        </w:rPr>
        <w:footnoteReference w:id="1486"/>
      </w:r>
      <w:r>
        <w:rPr>
          <w:rFonts w:cs="Arial" w:hint="cs"/>
          <w:rtl/>
        </w:rPr>
        <w:t>.</w:t>
      </w:r>
      <w:r w:rsidRPr="000A7A9C">
        <w:rPr>
          <w:rFonts w:cs="Arial"/>
          <w:rtl/>
        </w:rPr>
        <w:t xml:space="preserve"> </w:t>
      </w:r>
      <w:r w:rsidRPr="00A96332">
        <w:rPr>
          <w:rFonts w:hint="cs"/>
          <w:color w:val="00B0F0"/>
          <w:rtl/>
        </w:rPr>
        <w:t>(וכ"פ הרמ"א)</w:t>
      </w:r>
    </w:p>
    <w:p w14:paraId="75AF401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F399A53" w14:textId="77777777" w:rsidR="002E5BAD" w:rsidRDefault="002E5BAD" w:rsidP="002E5BAD">
      <w:pPr>
        <w:rPr>
          <w:rFonts w:cs="Arial"/>
          <w:sz w:val="18"/>
          <w:szCs w:val="18"/>
          <w:rtl/>
        </w:rPr>
      </w:pPr>
      <w:r>
        <w:rPr>
          <w:rFonts w:cs="Arial"/>
          <w:rtl/>
        </w:rPr>
        <w:t>כל זמן שהיא מניקה את בנה, פוחתין לה ממעשה ידיה ומוסיפין לה על מזונותיה</w:t>
      </w:r>
      <w:r>
        <w:rPr>
          <w:rStyle w:val="a7"/>
          <w:rFonts w:cs="Arial"/>
          <w:rtl/>
        </w:rPr>
        <w:footnoteReference w:id="1487"/>
      </w:r>
      <w:r>
        <w:rPr>
          <w:rFonts w:cs="Arial"/>
          <w:rtl/>
        </w:rPr>
        <w:t xml:space="preserve"> יין ודברים שיפים לחלב</w:t>
      </w:r>
      <w:r>
        <w:rPr>
          <w:rFonts w:cs="Arial" w:hint="cs"/>
          <w:rtl/>
        </w:rPr>
        <w:t>.</w:t>
      </w:r>
      <w:r>
        <w:rPr>
          <w:rFonts w:cs="Arial"/>
          <w:rtl/>
        </w:rPr>
        <w:t xml:space="preserve"> </w:t>
      </w:r>
      <w:r>
        <w:rPr>
          <w:rFonts w:cs="Arial" w:hint="cs"/>
          <w:sz w:val="18"/>
          <w:szCs w:val="18"/>
          <w:rtl/>
        </w:rPr>
        <w:t xml:space="preserve">[הגה] </w:t>
      </w:r>
      <w:r w:rsidRPr="004D0526">
        <w:rPr>
          <w:rFonts w:cs="Arial"/>
          <w:sz w:val="18"/>
          <w:szCs w:val="18"/>
          <w:rtl/>
        </w:rPr>
        <w:t>לא הוסיפו לה, צריכה לאכול משלה</w:t>
      </w:r>
      <w:r>
        <w:rPr>
          <w:rStyle w:val="a7"/>
          <w:rFonts w:cs="Arial"/>
          <w:sz w:val="18"/>
          <w:szCs w:val="18"/>
          <w:rtl/>
        </w:rPr>
        <w:footnoteReference w:id="1488"/>
      </w:r>
      <w:r w:rsidRPr="004D0526">
        <w:rPr>
          <w:rFonts w:cs="Arial"/>
          <w:sz w:val="18"/>
          <w:szCs w:val="18"/>
          <w:rtl/>
        </w:rPr>
        <w:t xml:space="preserve">, אם יש לה (טור). </w:t>
      </w:r>
    </w:p>
    <w:p w14:paraId="3FE24D60" w14:textId="77777777" w:rsidR="002E5BAD" w:rsidRDefault="002E5BAD" w:rsidP="002E5BAD">
      <w:pPr>
        <w:rPr>
          <w:rtl/>
        </w:rPr>
      </w:pPr>
    </w:p>
    <w:p w14:paraId="67BF32F1" w14:textId="77777777" w:rsidR="002E5BAD" w:rsidRDefault="002E5BAD" w:rsidP="002E5BAD">
      <w:pPr>
        <w:pStyle w:val="2"/>
        <w:rPr>
          <w:rtl/>
        </w:rPr>
      </w:pPr>
      <w:r>
        <w:rPr>
          <w:rtl/>
        </w:rPr>
        <w:t>סעיף יב</w:t>
      </w:r>
      <w:r>
        <w:rPr>
          <w:rFonts w:hint="cs"/>
          <w:rtl/>
        </w:rPr>
        <w:t>: מינקת שרוצה לאכול מאכלים הרעים לחלב.</w:t>
      </w:r>
    </w:p>
    <w:p w14:paraId="2D1223F0" w14:textId="77777777" w:rsidR="002E5BAD" w:rsidRPr="00EB5A75" w:rsidRDefault="002E5BAD" w:rsidP="002E5BAD">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96332">
        <w:rPr>
          <w:rFonts w:cs="Arial"/>
          <w:rtl/>
        </w:rPr>
        <w:t>תנו רבנן: הרי שנתנו לה בן להניק - הרי זו לא תניק עמו לא בנה ולא בן חברתה, פסקה קימעא</w:t>
      </w:r>
      <w:r>
        <w:rPr>
          <w:rStyle w:val="a7"/>
          <w:rFonts w:cs="Arial"/>
          <w:rtl/>
        </w:rPr>
        <w:footnoteReference w:id="1489"/>
      </w:r>
      <w:r w:rsidRPr="00A96332">
        <w:rPr>
          <w:rFonts w:cs="Arial"/>
          <w:rtl/>
        </w:rPr>
        <w:t xml:space="preserve"> אוכלת הרבה</w:t>
      </w:r>
      <w:r>
        <w:rPr>
          <w:rStyle w:val="a7"/>
          <w:rFonts w:cs="Arial"/>
          <w:rtl/>
        </w:rPr>
        <w:footnoteReference w:id="1490"/>
      </w:r>
      <w:r w:rsidRPr="00A96332">
        <w:rPr>
          <w:rFonts w:cs="Arial"/>
          <w:rtl/>
        </w:rPr>
        <w:t>, לא תאכל עמו דברים הרעים לחלב.</w:t>
      </w:r>
      <w:r>
        <w:rPr>
          <w:rFonts w:cs="Arial" w:hint="cs"/>
          <w:rtl/>
        </w:rPr>
        <w:t>.</w:t>
      </w:r>
      <w:r w:rsidRPr="00A96332">
        <w:rPr>
          <w:rFonts w:cs="Arial"/>
          <w:rtl/>
        </w:rPr>
        <w:t xml:space="preserve">. פסקה קימעא אוכלת הרבה. מהיכא? </w:t>
      </w:r>
      <w:r w:rsidRPr="00A96332">
        <w:rPr>
          <w:rFonts w:cs="Arial"/>
          <w:u w:val="single"/>
          <w:rtl/>
        </w:rPr>
        <w:t>אמר רב ששת</w:t>
      </w:r>
      <w:r w:rsidRPr="00A96332">
        <w:rPr>
          <w:rFonts w:cs="Arial"/>
          <w:rtl/>
        </w:rPr>
        <w:t>: משלה.</w:t>
      </w:r>
    </w:p>
    <w:p w14:paraId="2BF9869B" w14:textId="77777777" w:rsidR="002E5BAD" w:rsidRPr="00EB5A75" w:rsidRDefault="002E5BAD" w:rsidP="002E5BAD">
      <w:pPr>
        <w:rPr>
          <w:u w:val="single"/>
          <w:rtl/>
        </w:rPr>
      </w:pPr>
      <w:r w:rsidRPr="006E3BCF">
        <w:rPr>
          <w:rFonts w:hint="cs"/>
          <w:u w:val="single"/>
          <w:rtl/>
        </w:rPr>
        <w:t>מינקת שרוצה לאכול מאכלים הרעים לחלב</w:t>
      </w:r>
      <w:r w:rsidRPr="00EB5A75">
        <w:rPr>
          <w:rFonts w:hint="cs"/>
          <w:u w:val="single"/>
          <w:rtl/>
        </w:rPr>
        <w:t>:</w:t>
      </w:r>
    </w:p>
    <w:p w14:paraId="1EADA8AD" w14:textId="77777777" w:rsidR="002E5BAD" w:rsidRDefault="002E5BAD" w:rsidP="002E5BAD">
      <w:pPr>
        <w:pStyle w:val="ab"/>
        <w:numPr>
          <w:ilvl w:val="0"/>
          <w:numId w:val="166"/>
        </w:numPr>
        <w:rPr>
          <w:rFonts w:cs="Arial"/>
        </w:rPr>
      </w:pPr>
      <w:r>
        <w:rPr>
          <w:rFonts w:cs="Arial" w:hint="cs"/>
          <w:rtl/>
        </w:rPr>
        <w:t xml:space="preserve">רמב"ם </w:t>
      </w:r>
      <w:r>
        <w:rPr>
          <w:rFonts w:cs="Arial" w:hint="cs"/>
          <w:sz w:val="16"/>
          <w:szCs w:val="16"/>
          <w:rtl/>
        </w:rPr>
        <w:t>(פכ"א הי"א)</w:t>
      </w:r>
      <w:r>
        <w:rPr>
          <w:rFonts w:cs="Arial" w:hint="cs"/>
          <w:rtl/>
        </w:rPr>
        <w:t xml:space="preserve">- </w:t>
      </w:r>
      <w:r w:rsidRPr="00A60730">
        <w:rPr>
          <w:rFonts w:cs="Arial"/>
          <w:rtl/>
        </w:rPr>
        <w:t xml:space="preserve">האשה כל זמן שהיא מניקה את בנה פוחתין לה ממעשה ידיה ומוסיפין לה על מזונותיה יין ודברים שיפין לחלב, פסקו לה מזונות הראויות לה והרי היא מתאוה לאכול יתר או לאכול מאכלות אחרות </w:t>
      </w:r>
      <w:r w:rsidRPr="00A60730">
        <w:rPr>
          <w:rFonts w:cs="Arial"/>
          <w:rtl/>
        </w:rPr>
        <w:lastRenderedPageBreak/>
        <w:t xml:space="preserve">מפני חלי התאוה שיש לה בבטנה </w:t>
      </w:r>
      <w:r>
        <w:rPr>
          <w:rFonts w:cs="Arial" w:hint="cs"/>
          <w:rtl/>
        </w:rPr>
        <w:t xml:space="preserve">- </w:t>
      </w:r>
      <w:r w:rsidRPr="00A60730">
        <w:rPr>
          <w:rFonts w:cs="Arial"/>
          <w:rtl/>
        </w:rPr>
        <w:t>הרי זו אוכלת משלה כל מה שתרצה</w:t>
      </w:r>
      <w:r>
        <w:rPr>
          <w:rStyle w:val="a7"/>
          <w:rFonts w:cs="Arial"/>
          <w:rtl/>
        </w:rPr>
        <w:footnoteReference w:id="1491"/>
      </w:r>
      <w:r>
        <w:rPr>
          <w:rFonts w:cs="Arial" w:hint="cs"/>
          <w:rtl/>
        </w:rPr>
        <w:t>,</w:t>
      </w:r>
      <w:r w:rsidRPr="00A60730">
        <w:rPr>
          <w:rFonts w:cs="Arial"/>
          <w:rtl/>
        </w:rPr>
        <w:t xml:space="preserve"> ואין הבעל יכול לעכב ולומר שאם תאכל יתר מדאי או תאכל מאכל רע ימות הולד</w:t>
      </w:r>
      <w:r>
        <w:rPr>
          <w:rFonts w:cs="Arial" w:hint="cs"/>
          <w:rtl/>
        </w:rPr>
        <w:t>,</w:t>
      </w:r>
      <w:r w:rsidRPr="00A60730">
        <w:rPr>
          <w:rFonts w:cs="Arial"/>
          <w:rtl/>
        </w:rPr>
        <w:t xml:space="preserve"> מפני שצער גופה קודם</w:t>
      </w:r>
      <w:r>
        <w:rPr>
          <w:rStyle w:val="a7"/>
          <w:rFonts w:cs="Arial"/>
          <w:rtl/>
        </w:rPr>
        <w:footnoteReference w:id="1492"/>
      </w:r>
      <w:r w:rsidRPr="00A60730">
        <w:rPr>
          <w:rFonts w:cs="Arial"/>
          <w:rtl/>
        </w:rPr>
        <w:t>.</w:t>
      </w:r>
    </w:p>
    <w:p w14:paraId="072CA973" w14:textId="77777777" w:rsidR="002E5BAD" w:rsidRPr="006E3BCF" w:rsidRDefault="002E5BAD" w:rsidP="002E5BAD">
      <w:pPr>
        <w:pStyle w:val="ab"/>
        <w:numPr>
          <w:ilvl w:val="0"/>
          <w:numId w:val="166"/>
        </w:numPr>
        <w:rPr>
          <w:rFonts w:cs="Arial"/>
          <w:rtl/>
        </w:rPr>
      </w:pPr>
      <w:r>
        <w:rPr>
          <w:rFonts w:cs="Arial" w:hint="cs"/>
          <w:rtl/>
        </w:rPr>
        <w:t>טור- הבעל יכול לעכבה מלאכול דברים הרעים לחלב</w:t>
      </w:r>
      <w:r w:rsidRPr="006D571C">
        <w:rPr>
          <w:rFonts w:cs="Arial" w:hint="cs"/>
          <w:rtl/>
        </w:rPr>
        <w:t>.</w:t>
      </w:r>
      <w:r w:rsidRPr="006D571C">
        <w:rPr>
          <w:rFonts w:cs="Arial"/>
          <w:rtl/>
        </w:rPr>
        <w:t xml:space="preserve"> </w:t>
      </w:r>
      <w:r w:rsidRPr="006E3BCF">
        <w:rPr>
          <w:rFonts w:cs="Arial" w:hint="cs"/>
          <w:color w:val="E36C0A" w:themeColor="accent6" w:themeShade="BF"/>
          <w:rtl/>
        </w:rPr>
        <w:t>(וכ"פ בשו"ע)</w:t>
      </w:r>
    </w:p>
    <w:p w14:paraId="576D67E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B373168" w14:textId="77777777" w:rsidR="002E5BAD" w:rsidRDefault="002E5BAD" w:rsidP="002E5BAD">
      <w:pPr>
        <w:rPr>
          <w:rtl/>
        </w:rPr>
      </w:pPr>
      <w:r>
        <w:rPr>
          <w:rFonts w:cs="Arial"/>
          <w:rtl/>
        </w:rPr>
        <w:t>פסקו לה מזונות הראויים לה, והרי היא מתאוה לאכול יותר, או לאכול מאכלות אחרות, יש מי שאומר שאין הבעל יכול לעכב מפני סכנת הולד, שצער גופה קודם</w:t>
      </w:r>
      <w:r>
        <w:rPr>
          <w:rFonts w:cs="Arial" w:hint="cs"/>
          <w:rtl/>
        </w:rPr>
        <w:t>.</w:t>
      </w:r>
      <w:r>
        <w:rPr>
          <w:rFonts w:cs="Arial"/>
          <w:rtl/>
        </w:rPr>
        <w:t xml:space="preserve"> ויש מי שאומר שיכול לעכב. </w:t>
      </w:r>
    </w:p>
    <w:p w14:paraId="2F6F1044" w14:textId="77777777" w:rsidR="002E5BAD" w:rsidRDefault="002E5BAD" w:rsidP="002E5BAD">
      <w:pPr>
        <w:rPr>
          <w:rtl/>
        </w:rPr>
      </w:pPr>
    </w:p>
    <w:p w14:paraId="52CFBDFE" w14:textId="77777777" w:rsidR="002E5BAD" w:rsidRDefault="002E5BAD" w:rsidP="002E5BAD">
      <w:pPr>
        <w:pStyle w:val="2"/>
        <w:rPr>
          <w:rtl/>
        </w:rPr>
      </w:pPr>
      <w:r>
        <w:rPr>
          <w:rtl/>
        </w:rPr>
        <w:t>סעיף יג</w:t>
      </w:r>
      <w:r>
        <w:rPr>
          <w:rFonts w:hint="cs"/>
          <w:rtl/>
        </w:rPr>
        <w:t>: הנקת תאומים.</w:t>
      </w:r>
    </w:p>
    <w:p w14:paraId="06B8A972" w14:textId="77777777" w:rsidR="002E5BAD" w:rsidRPr="00EE0F3A" w:rsidRDefault="002E5BAD" w:rsidP="002E5BAD">
      <w:pPr>
        <w:rPr>
          <w:rtl/>
        </w:rPr>
      </w:pPr>
      <w:r w:rsidRPr="008C039C">
        <w:rPr>
          <w:rFonts w:cs="Arial"/>
          <w:b/>
          <w:bCs/>
          <w:rtl/>
        </w:rPr>
        <w:t>ירושלמי כתובות פ"ה ה"ו</w:t>
      </w:r>
      <w:r>
        <w:rPr>
          <w:rFonts w:cs="Arial" w:hint="cs"/>
          <w:b/>
          <w:bCs/>
          <w:sz w:val="16"/>
          <w:szCs w:val="16"/>
          <w:rtl/>
        </w:rPr>
        <w:t xml:space="preserve"> (גירסת הרי"ף)</w:t>
      </w:r>
      <w:r w:rsidRPr="008C039C">
        <w:rPr>
          <w:rFonts w:cs="Arial" w:hint="cs"/>
          <w:b/>
          <w:bCs/>
          <w:rtl/>
        </w:rPr>
        <w:t>:</w:t>
      </w:r>
      <w:r>
        <w:rPr>
          <w:rFonts w:cs="Arial"/>
          <w:rtl/>
        </w:rPr>
        <w:t xml:space="preserve"> </w:t>
      </w:r>
      <w:r w:rsidRPr="008C039C">
        <w:rPr>
          <w:rFonts w:cs="Arial"/>
          <w:u w:val="single"/>
          <w:rtl/>
        </w:rPr>
        <w:t>אמר רבי חנינא</w:t>
      </w:r>
      <w:r>
        <w:rPr>
          <w:rFonts w:cs="Arial" w:hint="cs"/>
          <w:rtl/>
        </w:rPr>
        <w:t>:</w:t>
      </w:r>
      <w:r>
        <w:rPr>
          <w:rFonts w:cs="Arial"/>
          <w:rtl/>
        </w:rPr>
        <w:t xml:space="preserve"> לא אמרו אלא אחד אבל תאומים לא ולא בן חבירתה.</w:t>
      </w:r>
    </w:p>
    <w:p w14:paraId="75492AAA" w14:textId="77777777" w:rsidR="002E5BAD" w:rsidRDefault="002E5BAD" w:rsidP="002E5BAD">
      <w:pPr>
        <w:rPr>
          <w:rtl/>
        </w:rPr>
      </w:pPr>
      <w:r>
        <w:rPr>
          <w:rFonts w:cs="Arial" w:hint="cs"/>
          <w:b/>
          <w:bCs/>
          <w:rtl/>
        </w:rPr>
        <w:t>ירושלמי כתובות פ"ה ה"ו</w:t>
      </w:r>
      <w:r>
        <w:rPr>
          <w:rFonts w:cs="Arial" w:hint="cs"/>
          <w:b/>
          <w:bCs/>
          <w:sz w:val="16"/>
          <w:szCs w:val="16"/>
          <w:rtl/>
        </w:rPr>
        <w:t xml:space="preserve"> (גירסת הרא"ש וגירסתנו)</w:t>
      </w:r>
      <w:r>
        <w:rPr>
          <w:rFonts w:cs="Arial" w:hint="cs"/>
          <w:b/>
          <w:bCs/>
          <w:rtl/>
        </w:rPr>
        <w:t xml:space="preserve">: </w:t>
      </w:r>
      <w:r w:rsidRPr="00EE0F3A">
        <w:rPr>
          <w:rFonts w:cs="Arial"/>
          <w:rtl/>
        </w:rPr>
        <w:t xml:space="preserve">מניקה את בנה. </w:t>
      </w:r>
      <w:r w:rsidRPr="00EE0F3A">
        <w:rPr>
          <w:rFonts w:cs="Arial"/>
          <w:u w:val="single"/>
          <w:rtl/>
        </w:rPr>
        <w:t>אמר רבי חגיי</w:t>
      </w:r>
      <w:r>
        <w:rPr>
          <w:rFonts w:cs="Arial" w:hint="cs"/>
          <w:rtl/>
        </w:rPr>
        <w:t>:</w:t>
      </w:r>
      <w:r w:rsidRPr="00EE0F3A">
        <w:rPr>
          <w:rFonts w:cs="Arial"/>
          <w:rtl/>
        </w:rPr>
        <w:t xml:space="preserve"> לא אמר אלא בנה</w:t>
      </w:r>
      <w:r>
        <w:rPr>
          <w:rFonts w:cs="Arial" w:hint="cs"/>
          <w:rtl/>
        </w:rPr>
        <w:t>,</w:t>
      </w:r>
      <w:r w:rsidRPr="00EE0F3A">
        <w:rPr>
          <w:rFonts w:cs="Arial"/>
          <w:rtl/>
        </w:rPr>
        <w:t xml:space="preserve"> הא תאומים</w:t>
      </w:r>
      <w:r>
        <w:rPr>
          <w:rFonts w:cs="Arial" w:hint="cs"/>
          <w:rtl/>
        </w:rPr>
        <w:t xml:space="preserve"> </w:t>
      </w:r>
      <w:r w:rsidRPr="00EE0F3A">
        <w:rPr>
          <w:rFonts w:cs="Arial"/>
          <w:rtl/>
        </w:rPr>
        <w:t>לא</w:t>
      </w:r>
      <w:r>
        <w:rPr>
          <w:rFonts w:cs="Arial" w:hint="cs"/>
          <w:rtl/>
        </w:rPr>
        <w:t xml:space="preserve">? </w:t>
      </w:r>
      <w:r w:rsidRPr="00EE0F3A">
        <w:rPr>
          <w:rFonts w:cs="Arial"/>
          <w:rtl/>
        </w:rPr>
        <w:t>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 ולא האשה כופה את בעלה שתניק בן חבירתה</w:t>
      </w:r>
      <w:r>
        <w:rPr>
          <w:rFonts w:hint="cs"/>
          <w:rtl/>
        </w:rPr>
        <w:t>.</w:t>
      </w:r>
      <w:r w:rsidRPr="008C039C">
        <w:rPr>
          <w:rFonts w:cs="Arial" w:hint="cs"/>
          <w:sz w:val="16"/>
          <w:szCs w:val="16"/>
          <w:rtl/>
        </w:rPr>
        <w:t xml:space="preserve"> (</w:t>
      </w:r>
      <w:r w:rsidRPr="008C039C">
        <w:rPr>
          <w:rFonts w:cs="Arial"/>
          <w:sz w:val="16"/>
          <w:szCs w:val="16"/>
          <w:rtl/>
        </w:rPr>
        <w:t>ו</w:t>
      </w:r>
      <w:r>
        <w:rPr>
          <w:rFonts w:cs="Arial" w:hint="cs"/>
          <w:sz w:val="16"/>
          <w:szCs w:val="16"/>
          <w:rtl/>
        </w:rPr>
        <w:t>כתב ה</w:t>
      </w:r>
      <w:r w:rsidRPr="008C039C">
        <w:rPr>
          <w:rFonts w:cs="Arial" w:hint="cs"/>
          <w:sz w:val="16"/>
          <w:szCs w:val="16"/>
          <w:rtl/>
        </w:rPr>
        <w:t xml:space="preserve">רא"ש </w:t>
      </w:r>
      <w:r w:rsidRPr="008C039C">
        <w:rPr>
          <w:rFonts w:cs="Arial"/>
          <w:sz w:val="16"/>
          <w:szCs w:val="16"/>
          <w:rtl/>
        </w:rPr>
        <w:t>(סי' יז)</w:t>
      </w:r>
      <w:r>
        <w:rPr>
          <w:rFonts w:cs="Arial" w:hint="cs"/>
          <w:sz w:val="16"/>
          <w:szCs w:val="16"/>
          <w:rtl/>
        </w:rPr>
        <w:t xml:space="preserve"> דהכי </w:t>
      </w:r>
      <w:r w:rsidRPr="008C039C">
        <w:rPr>
          <w:rFonts w:cs="Arial"/>
          <w:sz w:val="16"/>
          <w:szCs w:val="16"/>
          <w:rtl/>
        </w:rPr>
        <w:t>פ</w:t>
      </w:r>
      <w:r>
        <w:rPr>
          <w:rFonts w:cs="Arial" w:hint="cs"/>
          <w:sz w:val="16"/>
          <w:szCs w:val="16"/>
          <w:rtl/>
        </w:rPr>
        <w:t>ירושו-</w:t>
      </w:r>
      <w:r w:rsidRPr="008C039C">
        <w:rPr>
          <w:rFonts w:cs="Arial"/>
          <w:sz w:val="16"/>
          <w:szCs w:val="16"/>
          <w:rtl/>
        </w:rPr>
        <w:t xml:space="preserve"> </w:t>
      </w:r>
      <w:r>
        <w:rPr>
          <w:rFonts w:cs="Arial" w:hint="cs"/>
          <w:sz w:val="16"/>
          <w:szCs w:val="16"/>
          <w:rtl/>
        </w:rPr>
        <w:t>'</w:t>
      </w:r>
      <w:r w:rsidRPr="008C039C">
        <w:rPr>
          <w:rFonts w:cs="Arial"/>
          <w:sz w:val="16"/>
          <w:szCs w:val="16"/>
          <w:rtl/>
        </w:rPr>
        <w:t>הא תאומים לא</w:t>
      </w:r>
      <w:r>
        <w:rPr>
          <w:rFonts w:cs="Arial" w:hint="cs"/>
          <w:sz w:val="16"/>
          <w:szCs w:val="16"/>
          <w:rtl/>
        </w:rPr>
        <w:t>'</w:t>
      </w:r>
      <w:r w:rsidRPr="008C039C">
        <w:rPr>
          <w:rFonts w:cs="Arial"/>
          <w:sz w:val="16"/>
          <w:szCs w:val="16"/>
          <w:rtl/>
        </w:rPr>
        <w:t xml:space="preserve"> בתמיה</w:t>
      </w:r>
      <w:r>
        <w:rPr>
          <w:rFonts w:cs="Arial" w:hint="cs"/>
          <w:sz w:val="16"/>
          <w:szCs w:val="16"/>
          <w:rtl/>
        </w:rPr>
        <w:t>,</w:t>
      </w:r>
      <w:r w:rsidRPr="008C039C">
        <w:rPr>
          <w:rFonts w:cs="Arial"/>
          <w:sz w:val="16"/>
          <w:szCs w:val="16"/>
          <w:rtl/>
        </w:rPr>
        <w:t xml:space="preserve"> והלא יכולה להניק שניהם למה לא תניקם אלא ודאי חייבת להניק שניהם</w:t>
      </w:r>
      <w:r w:rsidRPr="008C039C">
        <w:rPr>
          <w:rFonts w:cs="Arial" w:hint="cs"/>
          <w:sz w:val="16"/>
          <w:szCs w:val="16"/>
          <w:rtl/>
        </w:rPr>
        <w:t>,</w:t>
      </w:r>
      <w:r w:rsidRPr="008C039C">
        <w:rPr>
          <w:rFonts w:cs="Arial"/>
          <w:sz w:val="16"/>
          <w:szCs w:val="16"/>
          <w:rtl/>
        </w:rPr>
        <w:t xml:space="preserve"> ואם כן </w:t>
      </w:r>
      <w:r>
        <w:rPr>
          <w:rFonts w:cs="Arial" w:hint="cs"/>
          <w:sz w:val="16"/>
          <w:szCs w:val="16"/>
          <w:rtl/>
        </w:rPr>
        <w:t>'</w:t>
      </w:r>
      <w:r w:rsidRPr="008C039C">
        <w:rPr>
          <w:rFonts w:cs="Arial"/>
          <w:sz w:val="16"/>
          <w:szCs w:val="16"/>
          <w:rtl/>
        </w:rPr>
        <w:t>למה אמרו בנה</w:t>
      </w:r>
      <w:r>
        <w:rPr>
          <w:rFonts w:cs="Arial" w:hint="cs"/>
          <w:sz w:val="16"/>
          <w:szCs w:val="16"/>
          <w:rtl/>
        </w:rPr>
        <w:t>'</w:t>
      </w:r>
      <w:r w:rsidRPr="008C039C">
        <w:rPr>
          <w:rFonts w:cs="Arial"/>
          <w:sz w:val="16"/>
          <w:szCs w:val="16"/>
          <w:rtl/>
        </w:rPr>
        <w:t xml:space="preserve"> למעוטי בן חבירתה ואפילו הוא בן בעלה</w:t>
      </w:r>
      <w:r>
        <w:rPr>
          <w:rFonts w:cs="Arial" w:hint="cs"/>
          <w:sz w:val="16"/>
          <w:szCs w:val="16"/>
          <w:rtl/>
        </w:rPr>
        <w:t>. עכ"ל.</w:t>
      </w:r>
      <w:r w:rsidRPr="008C039C">
        <w:rPr>
          <w:rFonts w:cs="Arial"/>
          <w:sz w:val="16"/>
          <w:szCs w:val="16"/>
          <w:rtl/>
        </w:rPr>
        <w:t xml:space="preserve"> והר"ן (כד. ד"ה ירושלמי) כתב על דברי הירושלמי כלומר למה אמרו בנה ולא אמרו את הבן דש"מ דדוקא בן אבל תאומים לא</w:t>
      </w:r>
      <w:r>
        <w:rPr>
          <w:rFonts w:cs="Arial" w:hint="cs"/>
          <w:sz w:val="16"/>
          <w:szCs w:val="16"/>
          <w:rtl/>
        </w:rPr>
        <w:t>,</w:t>
      </w:r>
      <w:r w:rsidRPr="008C039C">
        <w:rPr>
          <w:rFonts w:cs="Arial"/>
          <w:sz w:val="16"/>
          <w:szCs w:val="16"/>
          <w:rtl/>
        </w:rPr>
        <w:t xml:space="preserve"> לאשמועינן דדוקא בנה ולא בן חבירתה</w:t>
      </w:r>
      <w:r>
        <w:rPr>
          <w:rFonts w:cs="Arial" w:hint="cs"/>
          <w:sz w:val="16"/>
          <w:szCs w:val="16"/>
          <w:rtl/>
        </w:rPr>
        <w:t>,</w:t>
      </w:r>
      <w:r w:rsidRPr="008C039C">
        <w:rPr>
          <w:rFonts w:cs="Arial"/>
          <w:sz w:val="16"/>
          <w:szCs w:val="16"/>
          <w:rtl/>
        </w:rPr>
        <w:t xml:space="preserve"> כלומר שאם מת בנה אינה חייבת להניק בשכר</w:t>
      </w:r>
      <w:r>
        <w:rPr>
          <w:rFonts w:cs="Arial" w:hint="cs"/>
          <w:sz w:val="16"/>
          <w:szCs w:val="16"/>
          <w:rtl/>
        </w:rPr>
        <w:t>,</w:t>
      </w:r>
      <w:r w:rsidRPr="008C039C">
        <w:rPr>
          <w:rFonts w:cs="Arial"/>
          <w:sz w:val="16"/>
          <w:szCs w:val="16"/>
          <w:rtl/>
        </w:rPr>
        <w:t xml:space="preserve"> וכן נמי אינה חייבת להניק בן שיש לו מאשה אחרת</w:t>
      </w:r>
      <w:r>
        <w:rPr>
          <w:rFonts w:cs="Arial" w:hint="cs"/>
          <w:sz w:val="16"/>
          <w:szCs w:val="16"/>
          <w:rtl/>
        </w:rPr>
        <w:t>,</w:t>
      </w:r>
      <w:r w:rsidRPr="008C039C">
        <w:rPr>
          <w:rFonts w:cs="Arial"/>
          <w:sz w:val="16"/>
          <w:szCs w:val="16"/>
          <w:rtl/>
        </w:rPr>
        <w:t xml:space="preserve"> וכן נמי הבעל מעכב עליה מלהניק בן חבירתה עם בנה עכ"ל</w:t>
      </w:r>
      <w:r>
        <w:rPr>
          <w:rFonts w:cs="Arial" w:hint="cs"/>
          <w:sz w:val="16"/>
          <w:szCs w:val="16"/>
          <w:rtl/>
        </w:rPr>
        <w:t>, ב"י</w:t>
      </w:r>
      <w:r w:rsidRPr="008C039C">
        <w:rPr>
          <w:rFonts w:cs="Arial" w:hint="cs"/>
          <w:sz w:val="16"/>
          <w:szCs w:val="16"/>
          <w:rtl/>
        </w:rPr>
        <w:t>)</w:t>
      </w:r>
    </w:p>
    <w:p w14:paraId="12F6BB10" w14:textId="77777777" w:rsidR="002E5BAD" w:rsidRPr="00186208" w:rsidRDefault="002E5BAD" w:rsidP="002E5BAD">
      <w:pPr>
        <w:rPr>
          <w:u w:val="single"/>
          <w:rtl/>
        </w:rPr>
      </w:pPr>
      <w:r w:rsidRPr="00186208">
        <w:rPr>
          <w:rFonts w:hint="cs"/>
          <w:u w:val="single"/>
          <w:rtl/>
        </w:rPr>
        <w:t xml:space="preserve">ילדה תאומים </w:t>
      </w:r>
      <w:r w:rsidRPr="00186208">
        <w:rPr>
          <w:u w:val="single"/>
          <w:rtl/>
        </w:rPr>
        <w:t>–</w:t>
      </w:r>
      <w:r w:rsidRPr="00186208">
        <w:rPr>
          <w:rFonts w:hint="cs"/>
          <w:u w:val="single"/>
          <w:rtl/>
        </w:rPr>
        <w:t xml:space="preserve"> האם היא חייבת להניק את שניהם:</w:t>
      </w:r>
    </w:p>
    <w:p w14:paraId="1E731FAB" w14:textId="77777777" w:rsidR="002E5BAD" w:rsidRPr="00EE0F3A" w:rsidRDefault="002E5BAD" w:rsidP="002E5BAD">
      <w:pPr>
        <w:pStyle w:val="ab"/>
        <w:numPr>
          <w:ilvl w:val="0"/>
          <w:numId w:val="166"/>
        </w:numPr>
      </w:pPr>
      <w:r w:rsidRPr="000A7A9C">
        <w:rPr>
          <w:rFonts w:cs="Arial"/>
          <w:rtl/>
        </w:rPr>
        <w:t>רי"ף</w:t>
      </w:r>
      <w:r>
        <w:rPr>
          <w:rFonts w:cs="Arial" w:hint="cs"/>
          <w:rtl/>
        </w:rPr>
        <w:t xml:space="preserve"> </w:t>
      </w:r>
      <w:r w:rsidRPr="00EE0F3A">
        <w:rPr>
          <w:rFonts w:cs="Arial"/>
          <w:sz w:val="16"/>
          <w:szCs w:val="16"/>
          <w:rtl/>
        </w:rPr>
        <w:t>(כד.)</w:t>
      </w:r>
      <w:r>
        <w:rPr>
          <w:rFonts w:cs="Arial" w:hint="cs"/>
          <w:sz w:val="16"/>
          <w:szCs w:val="16"/>
          <w:rtl/>
        </w:rPr>
        <w:t xml:space="preserve"> </w:t>
      </w:r>
      <w:r>
        <w:rPr>
          <w:rFonts w:cs="Arial" w:hint="cs"/>
          <w:rtl/>
        </w:rPr>
        <w:t>ורמב"ם</w:t>
      </w:r>
      <w:r>
        <w:rPr>
          <w:rFonts w:cs="Arial" w:hint="cs"/>
          <w:sz w:val="16"/>
          <w:szCs w:val="16"/>
          <w:rtl/>
        </w:rPr>
        <w:t xml:space="preserve"> (פכ"א הי"ב)</w:t>
      </w:r>
      <w:r>
        <w:rPr>
          <w:rFonts w:cs="Arial" w:hint="cs"/>
          <w:rtl/>
        </w:rPr>
        <w:t xml:space="preserve">- </w:t>
      </w:r>
      <w:r w:rsidRPr="00EE0F3A">
        <w:rPr>
          <w:rFonts w:cs="Arial"/>
          <w:rtl/>
        </w:rPr>
        <w:t>ילדה תאומים אין כופין אותה להניק שניהם אלא מניקה אחד ושוכר הבעל מניקה לשני</w:t>
      </w:r>
      <w:r>
        <w:rPr>
          <w:rFonts w:cs="Arial" w:hint="cs"/>
          <w:rtl/>
        </w:rPr>
        <w:t xml:space="preserve"> </w:t>
      </w:r>
      <w:r>
        <w:rPr>
          <w:rFonts w:cs="Arial" w:hint="cs"/>
          <w:sz w:val="16"/>
          <w:szCs w:val="16"/>
          <w:rtl/>
        </w:rPr>
        <w:t>(ל' הרמב"ם)</w:t>
      </w:r>
      <w:r>
        <w:rPr>
          <w:rFonts w:cs="Arial" w:hint="cs"/>
          <w:rtl/>
        </w:rPr>
        <w:t>.</w:t>
      </w:r>
      <w:r w:rsidRPr="00A658B6">
        <w:rPr>
          <w:rFonts w:cs="Arial" w:hint="cs"/>
          <w:color w:val="E36C0A" w:themeColor="accent6" w:themeShade="BF"/>
          <w:rtl/>
        </w:rPr>
        <w:t xml:space="preserve"> </w:t>
      </w:r>
      <w:r w:rsidRPr="006E3BCF">
        <w:rPr>
          <w:rFonts w:cs="Arial" w:hint="cs"/>
          <w:color w:val="E36C0A" w:themeColor="accent6" w:themeShade="BF"/>
          <w:rtl/>
        </w:rPr>
        <w:t>(וכ"פ בשו"ע)</w:t>
      </w:r>
    </w:p>
    <w:p w14:paraId="4192A835" w14:textId="77777777" w:rsidR="002E5BAD" w:rsidRDefault="002E5BAD" w:rsidP="002E5BAD">
      <w:pPr>
        <w:pStyle w:val="ab"/>
        <w:numPr>
          <w:ilvl w:val="0"/>
          <w:numId w:val="166"/>
        </w:numPr>
        <w:rPr>
          <w:rtl/>
        </w:rPr>
      </w:pPr>
      <w:r>
        <w:rPr>
          <w:rFonts w:cs="Arial" w:hint="cs"/>
          <w:rtl/>
        </w:rPr>
        <w:t xml:space="preserve">רא"ש </w:t>
      </w:r>
      <w:r w:rsidRPr="008C039C">
        <w:rPr>
          <w:rFonts w:cs="Arial"/>
          <w:sz w:val="16"/>
          <w:szCs w:val="16"/>
          <w:rtl/>
        </w:rPr>
        <w:t>(סי' יז)</w:t>
      </w:r>
      <w:r>
        <w:rPr>
          <w:rFonts w:cs="Arial" w:hint="cs"/>
          <w:rtl/>
        </w:rPr>
        <w:t xml:space="preserve">- </w:t>
      </w:r>
      <w:r w:rsidRPr="000A7A9C">
        <w:rPr>
          <w:rFonts w:cs="Arial"/>
          <w:rtl/>
        </w:rPr>
        <w:t>אם יכולה להניק שניהם צריכה להניק שניהם</w:t>
      </w:r>
      <w:r>
        <w:rPr>
          <w:rFonts w:cs="Arial" w:hint="cs"/>
          <w:rtl/>
        </w:rPr>
        <w:t>.</w:t>
      </w:r>
      <w:r w:rsidRPr="000A7A9C">
        <w:rPr>
          <w:rFonts w:cs="Arial"/>
          <w:rtl/>
        </w:rPr>
        <w:t xml:space="preserve"> אבל אם יש לו בן מאשה אחרת אינה חייבת להניקו</w:t>
      </w:r>
      <w:r>
        <w:rPr>
          <w:rFonts w:cs="Arial" w:hint="cs"/>
          <w:sz w:val="16"/>
          <w:szCs w:val="16"/>
          <w:rtl/>
        </w:rPr>
        <w:t xml:space="preserve"> (ל' הטור בשמו)</w:t>
      </w:r>
      <w:r>
        <w:rPr>
          <w:rFonts w:cs="Arial" w:hint="cs"/>
          <w:rtl/>
        </w:rPr>
        <w:t>.</w:t>
      </w:r>
      <w:r w:rsidRPr="00A658B6">
        <w:rPr>
          <w:rFonts w:hint="cs"/>
          <w:color w:val="00B0F0"/>
          <w:rtl/>
        </w:rPr>
        <w:t xml:space="preserve"> </w:t>
      </w:r>
      <w:r w:rsidRPr="00A96332">
        <w:rPr>
          <w:rFonts w:hint="cs"/>
          <w:color w:val="00B0F0"/>
          <w:rtl/>
        </w:rPr>
        <w:t>(וכ"פ הרמ"א)</w:t>
      </w:r>
    </w:p>
    <w:p w14:paraId="324BBED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EE5F450" w14:textId="77777777" w:rsidR="002E5BAD" w:rsidRDefault="002E5BAD" w:rsidP="002E5BAD">
      <w:pPr>
        <w:rPr>
          <w:rtl/>
        </w:rPr>
      </w:pPr>
      <w:r>
        <w:rPr>
          <w:rFonts w:cs="Arial"/>
          <w:rtl/>
        </w:rPr>
        <w:t>ילדה תאומים, אין כופין אותה להניק שניהם, אלא מניקה אחד ושוכר הבעל מניקה לשני</w:t>
      </w:r>
      <w:r>
        <w:rPr>
          <w:rFonts w:cs="Arial" w:hint="cs"/>
          <w:rtl/>
        </w:rPr>
        <w:t>.</w:t>
      </w:r>
      <w:r>
        <w:rPr>
          <w:rFonts w:cs="Arial"/>
          <w:rtl/>
        </w:rPr>
        <w:t xml:space="preserve"> </w:t>
      </w:r>
      <w:r>
        <w:rPr>
          <w:rFonts w:cs="Arial" w:hint="cs"/>
          <w:sz w:val="18"/>
          <w:szCs w:val="18"/>
          <w:rtl/>
        </w:rPr>
        <w:t xml:space="preserve">[הגה] </w:t>
      </w:r>
      <w:r w:rsidRPr="004D0526">
        <w:rPr>
          <w:rFonts w:cs="Arial"/>
          <w:sz w:val="18"/>
          <w:szCs w:val="18"/>
          <w:rtl/>
        </w:rPr>
        <w:t>וי"א דמניקה שניהם</w:t>
      </w:r>
      <w:r>
        <w:rPr>
          <w:rStyle w:val="a7"/>
          <w:rFonts w:cs="Arial"/>
          <w:sz w:val="18"/>
          <w:szCs w:val="18"/>
          <w:rtl/>
        </w:rPr>
        <w:footnoteReference w:id="1493"/>
      </w:r>
      <w:r w:rsidRPr="004D0526">
        <w:rPr>
          <w:rFonts w:cs="Arial"/>
          <w:sz w:val="18"/>
          <w:szCs w:val="18"/>
          <w:rtl/>
        </w:rPr>
        <w:t xml:space="preserve"> (טור בשם הרא"ש). </w:t>
      </w:r>
    </w:p>
    <w:p w14:paraId="76DA543C" w14:textId="77777777" w:rsidR="002E5BAD" w:rsidRPr="00EE1BFB" w:rsidRDefault="002E5BAD" w:rsidP="002E5BAD">
      <w:pPr>
        <w:rPr>
          <w:rFonts w:cs="Arial"/>
          <w:sz w:val="16"/>
          <w:szCs w:val="16"/>
          <w:rtl/>
        </w:rPr>
      </w:pPr>
      <w:r w:rsidRPr="00EE1BFB">
        <w:rPr>
          <w:rFonts w:cs="Arial"/>
          <w:u w:val="single"/>
          <w:rtl/>
        </w:rPr>
        <w:t>מת הבעל תוך זמן ההנקה והאלמנה רוצה ללכת לעיר אחרת</w:t>
      </w:r>
      <w:r w:rsidRPr="00EE1BFB">
        <w:rPr>
          <w:rFonts w:cs="Arial" w:hint="cs"/>
          <w:u w:val="single"/>
          <w:rtl/>
        </w:rPr>
        <w:t>:</w:t>
      </w:r>
      <w:r w:rsidRPr="00EE1BFB">
        <w:rPr>
          <w:rFonts w:cs="Arial"/>
          <w:rtl/>
        </w:rPr>
        <w:t xml:space="preserve"> </w:t>
      </w:r>
      <w:r>
        <w:rPr>
          <w:rFonts w:cs="Arial" w:hint="cs"/>
          <w:sz w:val="16"/>
          <w:szCs w:val="16"/>
          <w:rtl/>
        </w:rPr>
        <w:t>(באה"ט סקט"ו)</w:t>
      </w:r>
    </w:p>
    <w:p w14:paraId="30DE8453" w14:textId="77777777" w:rsidR="002E5BAD" w:rsidRPr="00EE1BFB" w:rsidRDefault="002E5BAD" w:rsidP="002E5BAD">
      <w:pPr>
        <w:pStyle w:val="ab"/>
        <w:numPr>
          <w:ilvl w:val="0"/>
          <w:numId w:val="173"/>
        </w:numPr>
      </w:pPr>
      <w:r w:rsidRPr="00EE1BFB">
        <w:rPr>
          <w:rFonts w:cs="Arial"/>
          <w:rtl/>
        </w:rPr>
        <w:t xml:space="preserve">מהריב"ל </w:t>
      </w:r>
      <w:r w:rsidRPr="00EE1BFB">
        <w:rPr>
          <w:rFonts w:cs="Arial" w:hint="cs"/>
          <w:sz w:val="16"/>
          <w:szCs w:val="16"/>
          <w:rtl/>
        </w:rPr>
        <w:t>(</w:t>
      </w:r>
      <w:r w:rsidRPr="00EE1BFB">
        <w:rPr>
          <w:rFonts w:cs="Arial"/>
          <w:sz w:val="16"/>
          <w:szCs w:val="16"/>
          <w:rtl/>
        </w:rPr>
        <w:t>ח"א כלל יא סי</w:t>
      </w:r>
      <w:r w:rsidRPr="00EE1BFB">
        <w:rPr>
          <w:rFonts w:cs="Arial" w:hint="cs"/>
          <w:sz w:val="16"/>
          <w:szCs w:val="16"/>
          <w:rtl/>
        </w:rPr>
        <w:t>'</w:t>
      </w:r>
      <w:r w:rsidRPr="00EE1BFB">
        <w:rPr>
          <w:rFonts w:cs="Arial"/>
          <w:sz w:val="16"/>
          <w:szCs w:val="16"/>
          <w:rtl/>
        </w:rPr>
        <w:t xml:space="preserve"> נו</w:t>
      </w:r>
      <w:r w:rsidRPr="00EE1BFB">
        <w:rPr>
          <w:rFonts w:cs="Arial" w:hint="cs"/>
          <w:sz w:val="16"/>
          <w:szCs w:val="16"/>
          <w:rtl/>
        </w:rPr>
        <w:t>)</w:t>
      </w:r>
      <w:r>
        <w:rPr>
          <w:rFonts w:cs="Arial" w:hint="cs"/>
          <w:rtl/>
        </w:rPr>
        <w:t>-</w:t>
      </w:r>
      <w:r w:rsidRPr="00EE1BFB">
        <w:rPr>
          <w:rFonts w:cs="Arial"/>
          <w:rtl/>
        </w:rPr>
        <w:t xml:space="preserve"> אין כופין אותה שתשב באותו העיר לזון את בנה. </w:t>
      </w:r>
    </w:p>
    <w:p w14:paraId="638727D0" w14:textId="77777777" w:rsidR="002E5BAD" w:rsidRDefault="002E5BAD" w:rsidP="002E5BAD">
      <w:pPr>
        <w:pStyle w:val="ab"/>
        <w:numPr>
          <w:ilvl w:val="0"/>
          <w:numId w:val="173"/>
        </w:numPr>
        <w:rPr>
          <w:rtl/>
        </w:rPr>
      </w:pPr>
      <w:r w:rsidRPr="00EE1BFB">
        <w:rPr>
          <w:rFonts w:cs="Arial"/>
          <w:rtl/>
        </w:rPr>
        <w:t xml:space="preserve">רשד"ם </w:t>
      </w:r>
      <w:r w:rsidRPr="00977430">
        <w:rPr>
          <w:rFonts w:cs="Arial" w:hint="cs"/>
          <w:sz w:val="16"/>
          <w:szCs w:val="16"/>
          <w:rtl/>
        </w:rPr>
        <w:t>(</w:t>
      </w:r>
      <w:r w:rsidRPr="00977430">
        <w:rPr>
          <w:rFonts w:cs="Arial"/>
          <w:sz w:val="16"/>
          <w:szCs w:val="16"/>
          <w:rtl/>
        </w:rPr>
        <w:t>חא"ה סי' קכג</w:t>
      </w:r>
      <w:r w:rsidRPr="00977430">
        <w:rPr>
          <w:rFonts w:cs="Arial" w:hint="cs"/>
          <w:sz w:val="16"/>
          <w:szCs w:val="16"/>
          <w:rtl/>
        </w:rPr>
        <w:t xml:space="preserve">) </w:t>
      </w:r>
      <w:r>
        <w:rPr>
          <w:rFonts w:cs="Arial" w:hint="cs"/>
          <w:rtl/>
        </w:rPr>
        <w:t xml:space="preserve">ורדב"ז </w:t>
      </w:r>
      <w:r>
        <w:rPr>
          <w:rFonts w:cs="Arial" w:hint="cs"/>
          <w:sz w:val="16"/>
          <w:szCs w:val="16"/>
          <w:rtl/>
        </w:rPr>
        <w:t>(כ"כ הבאה"ט בשמו, עיין כנה"ג)</w:t>
      </w:r>
      <w:r>
        <w:rPr>
          <w:rFonts w:cs="Arial" w:hint="cs"/>
          <w:rtl/>
        </w:rPr>
        <w:t xml:space="preserve">- </w:t>
      </w:r>
      <w:r w:rsidRPr="00EE1BFB">
        <w:rPr>
          <w:rFonts w:cs="Arial"/>
          <w:rtl/>
        </w:rPr>
        <w:t>כופין אותה לשבת באותה העיר עד זמן ההנקה</w:t>
      </w:r>
      <w:r>
        <w:rPr>
          <w:rFonts w:cs="Arial" w:hint="cs"/>
          <w:rtl/>
        </w:rPr>
        <w:t xml:space="preserve">. </w:t>
      </w:r>
    </w:p>
    <w:p w14:paraId="530F313A" w14:textId="77777777" w:rsidR="002E5BAD" w:rsidRDefault="002E5BAD" w:rsidP="002E5BAD">
      <w:pPr>
        <w:rPr>
          <w:rtl/>
        </w:rPr>
      </w:pPr>
    </w:p>
    <w:p w14:paraId="08E04FAC" w14:textId="77777777" w:rsidR="002E5BAD" w:rsidRDefault="002E5BAD" w:rsidP="002E5BAD">
      <w:pPr>
        <w:pStyle w:val="2"/>
        <w:rPr>
          <w:rtl/>
        </w:rPr>
      </w:pPr>
      <w:r>
        <w:rPr>
          <w:rtl/>
        </w:rPr>
        <w:lastRenderedPageBreak/>
        <w:t>סעיף יד</w:t>
      </w:r>
      <w:r>
        <w:rPr>
          <w:rFonts w:hint="cs"/>
          <w:rtl/>
        </w:rPr>
        <w:t>: רצתה להניק עוד בן בנוסף לבנם.</w:t>
      </w:r>
    </w:p>
    <w:p w14:paraId="205D258B" w14:textId="77777777" w:rsidR="002E5BAD" w:rsidRDefault="002E5BAD" w:rsidP="002E5BAD">
      <w:pPr>
        <w:rPr>
          <w:rtl/>
        </w:rPr>
      </w:pPr>
      <w:r>
        <w:rPr>
          <w:rFonts w:cs="Arial" w:hint="cs"/>
          <w:b/>
          <w:bCs/>
          <w:rtl/>
        </w:rPr>
        <w:t xml:space="preserve">ירושלמי כתובות פ"ה ה"ו: </w:t>
      </w:r>
      <w:r w:rsidRPr="00EE0F3A">
        <w:rPr>
          <w:rFonts w:cs="Arial"/>
          <w:rtl/>
        </w:rPr>
        <w:t>מניקה את בנה.</w:t>
      </w:r>
      <w:r>
        <w:rPr>
          <w:rFonts w:cs="Arial" w:hint="cs"/>
          <w:rtl/>
        </w:rPr>
        <w:t>..</w:t>
      </w:r>
      <w:r w:rsidRPr="00EE0F3A">
        <w:rPr>
          <w:rFonts w:cs="Arial"/>
          <w:rtl/>
        </w:rPr>
        <w:t xml:space="preserve"> 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w:t>
      </w:r>
      <w:r>
        <w:rPr>
          <w:rFonts w:cs="Arial" w:hint="cs"/>
          <w:rtl/>
        </w:rPr>
        <w:t>,</w:t>
      </w:r>
      <w:r w:rsidRPr="00EE0F3A">
        <w:rPr>
          <w:rFonts w:cs="Arial"/>
          <w:rtl/>
        </w:rPr>
        <w:t xml:space="preserve"> ולא האשה כופה את בעלה שתניק בן חבירתה</w:t>
      </w:r>
      <w:r>
        <w:rPr>
          <w:rFonts w:hint="cs"/>
          <w:rtl/>
        </w:rPr>
        <w:t>.</w:t>
      </w:r>
      <w:r w:rsidRPr="008C039C">
        <w:rPr>
          <w:rFonts w:cs="Arial" w:hint="cs"/>
          <w:sz w:val="16"/>
          <w:szCs w:val="16"/>
          <w:rtl/>
        </w:rPr>
        <w:t xml:space="preserve"> </w:t>
      </w:r>
    </w:p>
    <w:p w14:paraId="307617D8" w14:textId="77777777" w:rsidR="002E5BAD" w:rsidRDefault="002E5BAD" w:rsidP="002E5BAD">
      <w:pPr>
        <w:rPr>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658B6">
        <w:rPr>
          <w:rFonts w:cs="Arial"/>
          <w:rtl/>
        </w:rPr>
        <w:t>תנו רבנן: הרי שנתנו לה בן להניק - הרי זו לא תניק עמו לא בנה ולא בן חברתה, פסקה קימעא אוכלת הרבה, לא תאכל עמו דברים הרעים לחלב. השתא בנה אמרת לא, בן חברתה מיבעיא? מהו דתימא, בנה הוא דחייס עילויה ממציא ליה טפי, אבל בן חברתה, אי לאו דהוה לה מותר לא הוה ממציא ליה, קא משמע לן.</w:t>
      </w:r>
    </w:p>
    <w:p w14:paraId="3D7D84D9" w14:textId="77777777" w:rsidR="002E5BAD" w:rsidRPr="00E42BA2" w:rsidRDefault="002E5BAD" w:rsidP="002E5BAD">
      <w:pPr>
        <w:rPr>
          <w:u w:val="single"/>
          <w:rtl/>
        </w:rPr>
      </w:pPr>
      <w:r w:rsidRPr="00E42BA2">
        <w:rPr>
          <w:rFonts w:cs="Arial"/>
          <w:u w:val="single"/>
          <w:rtl/>
        </w:rPr>
        <w:t>רצתה להניק בן חבירתה עם ב</w:t>
      </w:r>
      <w:r w:rsidRPr="00E42BA2">
        <w:rPr>
          <w:rFonts w:cs="Arial" w:hint="cs"/>
          <w:u w:val="single"/>
          <w:rtl/>
        </w:rPr>
        <w:t>נם:</w:t>
      </w:r>
    </w:p>
    <w:p w14:paraId="135E4856" w14:textId="77777777" w:rsidR="002E5BAD" w:rsidRPr="00E42BA2" w:rsidRDefault="002E5BAD" w:rsidP="002E5BAD">
      <w:pPr>
        <w:pStyle w:val="ab"/>
        <w:numPr>
          <w:ilvl w:val="0"/>
          <w:numId w:val="167"/>
        </w:numPr>
      </w:pPr>
      <w:r>
        <w:rPr>
          <w:rFonts w:cs="Arial" w:hint="cs"/>
          <w:rtl/>
        </w:rPr>
        <w:t>רמב"ם</w:t>
      </w:r>
      <w:r>
        <w:rPr>
          <w:rFonts w:cs="Arial" w:hint="cs"/>
          <w:sz w:val="16"/>
          <w:szCs w:val="16"/>
          <w:rtl/>
        </w:rPr>
        <w:t xml:space="preserve"> (פכ"א הי"ב)</w:t>
      </w:r>
      <w:r>
        <w:rPr>
          <w:rFonts w:cs="Arial" w:hint="cs"/>
          <w:rtl/>
        </w:rPr>
        <w:t xml:space="preserve"> וטור- </w:t>
      </w:r>
      <w:r w:rsidRPr="00EE0F3A">
        <w:rPr>
          <w:rFonts w:cs="Arial"/>
          <w:rtl/>
        </w:rPr>
        <w:t xml:space="preserve">הרי שרצת האשה להניק בן חבירתה עם בנה </w:t>
      </w:r>
      <w:r>
        <w:rPr>
          <w:rFonts w:cs="Arial" w:hint="cs"/>
          <w:rtl/>
        </w:rPr>
        <w:t xml:space="preserve">- </w:t>
      </w:r>
      <w:r w:rsidRPr="00EE0F3A">
        <w:rPr>
          <w:rFonts w:cs="Arial"/>
          <w:rtl/>
        </w:rPr>
        <w:t>הבעל מעכב</w:t>
      </w:r>
      <w:r>
        <w:rPr>
          <w:rFonts w:cs="Arial" w:hint="cs"/>
          <w:rtl/>
        </w:rPr>
        <w:t>,</w:t>
      </w:r>
      <w:r w:rsidRPr="00EE0F3A">
        <w:rPr>
          <w:rFonts w:cs="Arial"/>
          <w:rtl/>
        </w:rPr>
        <w:t xml:space="preserve"> ואינו מניחה אלא להניק בנו בלבד</w:t>
      </w:r>
      <w:r>
        <w:rPr>
          <w:rFonts w:cs="Arial" w:hint="cs"/>
          <w:sz w:val="16"/>
          <w:szCs w:val="16"/>
          <w:rtl/>
        </w:rPr>
        <w:t xml:space="preserve"> (ל' הרמב"ם)</w:t>
      </w:r>
      <w:r>
        <w:rPr>
          <w:rFonts w:cs="Arial" w:hint="cs"/>
          <w:rtl/>
        </w:rPr>
        <w:t>.</w:t>
      </w:r>
      <w:r w:rsidRPr="00A658B6">
        <w:rPr>
          <w:rFonts w:cs="Arial" w:hint="cs"/>
          <w:color w:val="E36C0A" w:themeColor="accent6" w:themeShade="BF"/>
          <w:rtl/>
        </w:rPr>
        <w:t xml:space="preserve"> </w:t>
      </w:r>
      <w:r w:rsidRPr="006E3BCF">
        <w:rPr>
          <w:rFonts w:cs="Arial" w:hint="cs"/>
          <w:color w:val="E36C0A" w:themeColor="accent6" w:themeShade="BF"/>
          <w:rtl/>
        </w:rPr>
        <w:t>(וכ"פ בשו"ע)</w:t>
      </w:r>
    </w:p>
    <w:p w14:paraId="2309B401" w14:textId="77777777" w:rsidR="002E5BAD" w:rsidRPr="00E42BA2" w:rsidRDefault="002E5BAD" w:rsidP="002E5BAD">
      <w:pPr>
        <w:ind w:left="360"/>
        <w:rPr>
          <w:u w:val="dotted"/>
        </w:rPr>
      </w:pPr>
      <w:r w:rsidRPr="00E42BA2">
        <w:rPr>
          <w:rFonts w:hint="cs"/>
          <w:u w:val="dotted"/>
          <w:rtl/>
        </w:rPr>
        <w:t>ומה הדין אם זה בנה מאיש אחר:</w:t>
      </w:r>
    </w:p>
    <w:p w14:paraId="464B5D02" w14:textId="77777777" w:rsidR="002E5BAD" w:rsidRPr="005A54B7" w:rsidRDefault="002E5BAD" w:rsidP="002E5BAD">
      <w:pPr>
        <w:pStyle w:val="ab"/>
        <w:numPr>
          <w:ilvl w:val="0"/>
          <w:numId w:val="167"/>
        </w:numPr>
        <w:rPr>
          <w:rtl/>
        </w:rPr>
      </w:pPr>
      <w:r>
        <w:rPr>
          <w:rFonts w:cs="Arial" w:hint="cs"/>
          <w:rtl/>
        </w:rPr>
        <w:t xml:space="preserve">טור- </w:t>
      </w:r>
      <w:r w:rsidRPr="000A7A9C">
        <w:rPr>
          <w:rFonts w:cs="Arial"/>
          <w:rtl/>
        </w:rPr>
        <w:t>נ"ל דאפילו על בנה שיש לה מאיש אחר מעכב</w:t>
      </w:r>
      <w:r>
        <w:rPr>
          <w:rFonts w:cs="Arial" w:hint="cs"/>
          <w:rtl/>
        </w:rPr>
        <w:t>,</w:t>
      </w:r>
      <w:r w:rsidRPr="000A7A9C">
        <w:rPr>
          <w:rFonts w:cs="Arial"/>
          <w:rtl/>
        </w:rPr>
        <w:t xml:space="preserve"> דתניא </w:t>
      </w:r>
      <w:r>
        <w:rPr>
          <w:rFonts w:cs="Arial" w:hint="cs"/>
          <w:rtl/>
        </w:rPr>
        <w:t>'</w:t>
      </w:r>
      <w:r w:rsidRPr="000A7A9C">
        <w:rPr>
          <w:rFonts w:cs="Arial"/>
          <w:rtl/>
        </w:rPr>
        <w:t>הרי שנתנו לה בן להניק לא תניק עמו לא בן חבירתה ולא בנה</w:t>
      </w:r>
      <w:r>
        <w:rPr>
          <w:rFonts w:cs="Arial" w:hint="cs"/>
          <w:rtl/>
        </w:rPr>
        <w:t>',</w:t>
      </w:r>
      <w:r w:rsidRPr="000A7A9C">
        <w:rPr>
          <w:rFonts w:cs="Arial"/>
          <w:rtl/>
        </w:rPr>
        <w:t xml:space="preserve"> ואין חילוק בין אם נתנו לה בן להניק בין אם מניקה בן בעלה</w:t>
      </w:r>
      <w:r>
        <w:rPr>
          <w:rStyle w:val="a7"/>
          <w:rFonts w:cs="Arial"/>
          <w:rtl/>
        </w:rPr>
        <w:footnoteReference w:id="1494"/>
      </w:r>
      <w:r>
        <w:rPr>
          <w:rFonts w:cs="Arial" w:hint="cs"/>
          <w:rtl/>
        </w:rPr>
        <w:t xml:space="preserve">. </w:t>
      </w:r>
      <w:r w:rsidRPr="00A96332">
        <w:rPr>
          <w:rFonts w:hint="cs"/>
          <w:color w:val="00B0F0"/>
          <w:rtl/>
        </w:rPr>
        <w:t>(וכ"פ הרמ"א)</w:t>
      </w:r>
    </w:p>
    <w:p w14:paraId="543BFCF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C64E833" w14:textId="77777777" w:rsidR="002E5BAD" w:rsidRDefault="002E5BAD" w:rsidP="002E5BAD">
      <w:pPr>
        <w:rPr>
          <w:rFonts w:cs="Arial"/>
          <w:rtl/>
        </w:rPr>
      </w:pPr>
      <w:r>
        <w:rPr>
          <w:rFonts w:cs="Arial"/>
          <w:rtl/>
        </w:rPr>
        <w:t>הרי שרצתה להניק בן חברתה עם בנה, הבעל מעכב</w:t>
      </w:r>
      <w:r>
        <w:rPr>
          <w:rFonts w:cs="Arial" w:hint="cs"/>
          <w:rtl/>
        </w:rPr>
        <w:t>.</w:t>
      </w:r>
      <w:r w:rsidRPr="004D0526">
        <w:rPr>
          <w:rFonts w:cs="Arial"/>
          <w:sz w:val="18"/>
          <w:szCs w:val="18"/>
          <w:rtl/>
        </w:rPr>
        <w:t xml:space="preserve"> </w:t>
      </w:r>
      <w:r>
        <w:rPr>
          <w:rFonts w:cs="Arial" w:hint="cs"/>
          <w:sz w:val="18"/>
          <w:szCs w:val="18"/>
          <w:rtl/>
        </w:rPr>
        <w:t xml:space="preserve">[הגה] </w:t>
      </w:r>
      <w:r w:rsidRPr="004D0526">
        <w:rPr>
          <w:rFonts w:cs="Arial"/>
          <w:sz w:val="18"/>
          <w:szCs w:val="18"/>
          <w:rtl/>
        </w:rPr>
        <w:t>ואפילו בנה מאיש אחר הוא</w:t>
      </w:r>
      <w:r>
        <w:rPr>
          <w:rFonts w:cs="Arial" w:hint="cs"/>
          <w:sz w:val="18"/>
          <w:szCs w:val="18"/>
          <w:rtl/>
        </w:rPr>
        <w:t>,</w:t>
      </w:r>
      <w:r w:rsidRPr="004D0526">
        <w:rPr>
          <w:rFonts w:cs="Arial"/>
          <w:sz w:val="18"/>
          <w:szCs w:val="18"/>
          <w:rtl/>
        </w:rPr>
        <w:t xml:space="preserve"> יכול לעכב (טור).</w:t>
      </w:r>
    </w:p>
    <w:p w14:paraId="662CBD26" w14:textId="77777777" w:rsidR="002E5BAD" w:rsidRPr="00977430" w:rsidRDefault="002E5BAD" w:rsidP="002E5BAD">
      <w:pPr>
        <w:rPr>
          <w:rFonts w:cs="Arial"/>
          <w:u w:val="single"/>
          <w:rtl/>
        </w:rPr>
      </w:pPr>
      <w:r w:rsidRPr="00977430">
        <w:rPr>
          <w:rFonts w:cs="Arial" w:hint="cs"/>
          <w:u w:val="single"/>
          <w:rtl/>
        </w:rPr>
        <w:t xml:space="preserve">אין לה בן ורוצה להניק בן חבירתה </w:t>
      </w:r>
      <w:r w:rsidRPr="00977430">
        <w:rPr>
          <w:rFonts w:cs="Arial"/>
          <w:u w:val="single"/>
          <w:rtl/>
        </w:rPr>
        <w:t>–</w:t>
      </w:r>
      <w:r w:rsidRPr="00977430">
        <w:rPr>
          <w:rFonts w:cs="Arial" w:hint="cs"/>
          <w:u w:val="single"/>
          <w:rtl/>
        </w:rPr>
        <w:t xml:space="preserve"> האם בעלה יכול לעכב:</w:t>
      </w:r>
    </w:p>
    <w:p w14:paraId="5D6145BA" w14:textId="77777777" w:rsidR="002E5BAD" w:rsidRDefault="002E5BAD" w:rsidP="002E5BAD">
      <w:pPr>
        <w:pStyle w:val="ab"/>
        <w:numPr>
          <w:ilvl w:val="0"/>
          <w:numId w:val="167"/>
        </w:numPr>
        <w:rPr>
          <w:rFonts w:cs="Arial"/>
        </w:rPr>
      </w:pPr>
      <w:r w:rsidRPr="002471E8">
        <w:rPr>
          <w:rFonts w:cs="Arial" w:hint="cs"/>
          <w:rtl/>
        </w:rPr>
        <w:t xml:space="preserve">ב"ש </w:t>
      </w:r>
      <w:r w:rsidRPr="002471E8">
        <w:rPr>
          <w:rFonts w:cs="Arial" w:hint="cs"/>
          <w:sz w:val="16"/>
          <w:szCs w:val="16"/>
          <w:rtl/>
        </w:rPr>
        <w:t>(סקי"ז)</w:t>
      </w:r>
      <w:r w:rsidRPr="002471E8">
        <w:rPr>
          <w:rFonts w:cs="Arial" w:hint="cs"/>
          <w:rtl/>
        </w:rPr>
        <w:t>-</w:t>
      </w:r>
      <w:r w:rsidRPr="002471E8">
        <w:rPr>
          <w:rFonts w:cs="Arial"/>
          <w:rtl/>
        </w:rPr>
        <w:t xml:space="preserve"> משמע </w:t>
      </w:r>
      <w:r w:rsidRPr="002471E8">
        <w:rPr>
          <w:rFonts w:cs="Arial" w:hint="cs"/>
          <w:sz w:val="16"/>
          <w:szCs w:val="16"/>
          <w:rtl/>
        </w:rPr>
        <w:t>{מדברי הרמב"ם והשו"ע שכתבו 'עם בנה'}</w:t>
      </w:r>
      <w:r w:rsidRPr="002471E8">
        <w:rPr>
          <w:rFonts w:cs="Arial" w:hint="cs"/>
          <w:rtl/>
        </w:rPr>
        <w:t xml:space="preserve"> </w:t>
      </w:r>
      <w:r w:rsidRPr="002471E8">
        <w:rPr>
          <w:rFonts w:cs="Arial"/>
          <w:rtl/>
        </w:rPr>
        <w:t>אם אין לה בן אין הבעל מעכב לה</w:t>
      </w:r>
      <w:r>
        <w:rPr>
          <w:rStyle w:val="a7"/>
          <w:rFonts w:cs="Arial"/>
          <w:rtl/>
        </w:rPr>
        <w:footnoteReference w:id="1495"/>
      </w:r>
      <w:r w:rsidRPr="002471E8">
        <w:rPr>
          <w:rFonts w:cs="Arial" w:hint="cs"/>
          <w:rtl/>
        </w:rPr>
        <w:t>.</w:t>
      </w:r>
    </w:p>
    <w:p w14:paraId="77BCD220" w14:textId="77777777" w:rsidR="002E5BAD" w:rsidRDefault="002E5BAD" w:rsidP="002E5BAD">
      <w:pPr>
        <w:pStyle w:val="ab"/>
        <w:numPr>
          <w:ilvl w:val="0"/>
          <w:numId w:val="167"/>
        </w:numPr>
        <w:rPr>
          <w:rFonts w:cs="Arial"/>
        </w:rPr>
      </w:pPr>
      <w:r>
        <w:rPr>
          <w:rFonts w:cs="Arial" w:hint="cs"/>
          <w:rtl/>
        </w:rPr>
        <w:t xml:space="preserve">ח"מ </w:t>
      </w:r>
      <w:r>
        <w:rPr>
          <w:rFonts w:cs="Arial" w:hint="cs"/>
          <w:sz w:val="16"/>
          <w:szCs w:val="16"/>
          <w:rtl/>
        </w:rPr>
        <w:t>(סקכ"ד)</w:t>
      </w:r>
      <w:r>
        <w:rPr>
          <w:rFonts w:cs="Arial" w:hint="cs"/>
          <w:rtl/>
        </w:rPr>
        <w:t xml:space="preserve">- </w:t>
      </w:r>
      <w:r w:rsidRPr="002471E8">
        <w:rPr>
          <w:rFonts w:cs="Arial"/>
          <w:rtl/>
        </w:rPr>
        <w:t xml:space="preserve">בירושל' אמרו סתם </w:t>
      </w:r>
      <w:r>
        <w:rPr>
          <w:rFonts w:cs="Arial" w:hint="cs"/>
          <w:rtl/>
        </w:rPr>
        <w:t>'</w:t>
      </w:r>
      <w:r w:rsidRPr="002471E8">
        <w:rPr>
          <w:rFonts w:cs="Arial"/>
          <w:rtl/>
        </w:rPr>
        <w:t>אין האיש כופה את אשתו להניק בנו של חבירו ולא האשה כופה את בעלה שתניק בנה של חברתה</w:t>
      </w:r>
      <w:r>
        <w:rPr>
          <w:rFonts w:cs="Arial" w:hint="cs"/>
          <w:rtl/>
        </w:rPr>
        <w:t>'</w:t>
      </w:r>
      <w:r w:rsidRPr="002471E8">
        <w:rPr>
          <w:rFonts w:cs="Arial"/>
          <w:rtl/>
        </w:rPr>
        <w:t xml:space="preserve"> משמע דסיפ</w:t>
      </w:r>
      <w:r>
        <w:rPr>
          <w:rFonts w:cs="Arial" w:hint="cs"/>
          <w:rtl/>
        </w:rPr>
        <w:t>א</w:t>
      </w:r>
      <w:r w:rsidRPr="002471E8">
        <w:rPr>
          <w:rFonts w:cs="Arial"/>
          <w:rtl/>
        </w:rPr>
        <w:t xml:space="preserve"> דומיא דריש</w:t>
      </w:r>
      <w:r>
        <w:rPr>
          <w:rFonts w:cs="Arial" w:hint="cs"/>
          <w:rtl/>
        </w:rPr>
        <w:t>א</w:t>
      </w:r>
      <w:r w:rsidRPr="002471E8">
        <w:rPr>
          <w:rFonts w:cs="Arial"/>
          <w:rtl/>
        </w:rPr>
        <w:t xml:space="preserve"> אף שאין לה בן</w:t>
      </w:r>
      <w:r>
        <w:rPr>
          <w:rStyle w:val="a7"/>
          <w:rFonts w:cs="Arial"/>
          <w:rtl/>
        </w:rPr>
        <w:footnoteReference w:id="1496"/>
      </w:r>
      <w:r>
        <w:rPr>
          <w:rFonts w:cs="Arial" w:hint="cs"/>
          <w:rtl/>
        </w:rPr>
        <w:t>.</w:t>
      </w:r>
    </w:p>
    <w:p w14:paraId="21D6027F" w14:textId="77777777" w:rsidR="002E5BAD" w:rsidRPr="002471E8" w:rsidRDefault="002E5BAD" w:rsidP="002E5BAD">
      <w:pPr>
        <w:rPr>
          <w:rFonts w:cs="Arial"/>
          <w:rtl/>
        </w:rPr>
      </w:pPr>
    </w:p>
    <w:p w14:paraId="2A2A9921" w14:textId="77777777" w:rsidR="002E5BAD" w:rsidRDefault="002E5BAD" w:rsidP="002E5BAD">
      <w:pPr>
        <w:pStyle w:val="2"/>
        <w:rPr>
          <w:rtl/>
        </w:rPr>
      </w:pPr>
      <w:r>
        <w:rPr>
          <w:rtl/>
        </w:rPr>
        <w:t>סעיף טו</w:t>
      </w:r>
      <w:r>
        <w:rPr>
          <w:rFonts w:hint="cs"/>
          <w:rtl/>
        </w:rPr>
        <w:t>: מורדת ממלאכה.</w:t>
      </w:r>
    </w:p>
    <w:p w14:paraId="3F415C68" w14:textId="77777777" w:rsidR="002E5BAD" w:rsidRDefault="002E5BAD" w:rsidP="002E5BAD">
      <w:pPr>
        <w:rPr>
          <w:rFonts w:cs="Arial"/>
          <w:sz w:val="16"/>
          <w:szCs w:val="16"/>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ע"א</w:t>
      </w:r>
      <w:r w:rsidRPr="005A6BAC">
        <w:rPr>
          <w:rFonts w:cs="Arial"/>
          <w:b/>
          <w:bCs/>
          <w:rtl/>
        </w:rPr>
        <w:t>:</w:t>
      </w:r>
      <w:r w:rsidRPr="005A6BAC">
        <w:rPr>
          <w:rFonts w:cs="Arial" w:hint="cs"/>
          <w:rtl/>
        </w:rPr>
        <w:t xml:space="preserve"> </w:t>
      </w:r>
      <w:r w:rsidRPr="005A6BAC">
        <w:rPr>
          <w:rFonts w:cs="Arial"/>
          <w:u w:val="double"/>
          <w:rtl/>
        </w:rPr>
        <w:t>מתני'</w:t>
      </w:r>
      <w:r w:rsidRPr="005A6BAC">
        <w:rPr>
          <w:rFonts w:cs="Arial" w:hint="cs"/>
          <w:rtl/>
        </w:rPr>
        <w:t>:</w:t>
      </w:r>
      <w:r w:rsidRPr="005A6BAC">
        <w:rPr>
          <w:rtl/>
        </w:rPr>
        <w:t xml:space="preserve"> </w:t>
      </w:r>
      <w:r w:rsidRPr="005A6BAC">
        <w:rPr>
          <w:rFonts w:cs="Arial"/>
          <w:rtl/>
        </w:rPr>
        <w:t>המורדת על בעלה</w:t>
      </w:r>
      <w:r>
        <w:rPr>
          <w:rFonts w:cs="Arial" w:hint="cs"/>
          <w:rtl/>
        </w:rPr>
        <w:t>...</w:t>
      </w:r>
      <w:r w:rsidRPr="005A6BAC">
        <w:rPr>
          <w:rFonts w:cs="Arial" w:hint="cs"/>
          <w:rtl/>
        </w:rPr>
        <w:t xml:space="preserve">        </w:t>
      </w:r>
      <w:r w:rsidRPr="005A6BAC">
        <w:rPr>
          <w:rFonts w:cs="Arial" w:hint="cs"/>
          <w:u w:val="double"/>
          <w:rtl/>
        </w:rPr>
        <w:t>גמ'</w:t>
      </w:r>
      <w:r w:rsidRPr="005A6BAC">
        <w:rPr>
          <w:rFonts w:cs="Arial" w:hint="cs"/>
          <w:rtl/>
        </w:rPr>
        <w:t>:</w:t>
      </w:r>
      <w:r w:rsidRPr="003D067B">
        <w:rPr>
          <w:rtl/>
        </w:rPr>
        <w:t xml:space="preserve"> </w:t>
      </w:r>
      <w:r w:rsidRPr="005A6BAC">
        <w:rPr>
          <w:rFonts w:cs="Arial"/>
          <w:rtl/>
        </w:rPr>
        <w:t xml:space="preserve">מורדת ממאי? </w:t>
      </w:r>
      <w:r w:rsidRPr="005A6BAC">
        <w:rPr>
          <w:rFonts w:cs="Arial"/>
          <w:u w:val="single"/>
          <w:rtl/>
        </w:rPr>
        <w:t>רב הונא אמר</w:t>
      </w:r>
      <w:r w:rsidRPr="005A6BAC">
        <w:rPr>
          <w:rFonts w:cs="Arial"/>
          <w:rtl/>
        </w:rPr>
        <w:t>: מתשמיש המטה</w:t>
      </w:r>
      <w:r w:rsidRPr="005A6BAC">
        <w:rPr>
          <w:rFonts w:cs="Arial" w:hint="cs"/>
          <w:rtl/>
        </w:rPr>
        <w:t>.</w:t>
      </w:r>
      <w:r w:rsidRPr="005A6BAC">
        <w:rPr>
          <w:rFonts w:cs="Arial"/>
          <w:rtl/>
        </w:rPr>
        <w:t xml:space="preserve"> </w:t>
      </w:r>
      <w:r w:rsidRPr="005A6BAC">
        <w:rPr>
          <w:rFonts w:cs="Arial"/>
          <w:u w:val="single"/>
          <w:rtl/>
        </w:rPr>
        <w:t>ר' יוסי ברבי חנינא אמר</w:t>
      </w:r>
      <w:r w:rsidRPr="005A6BAC">
        <w:rPr>
          <w:rFonts w:cs="Arial"/>
          <w:rtl/>
        </w:rPr>
        <w:t>: ממלאכה.</w:t>
      </w:r>
      <w:r>
        <w:rPr>
          <w:rFonts w:cs="Arial" w:hint="cs"/>
          <w:rtl/>
        </w:rPr>
        <w:t>..</w:t>
      </w:r>
      <w:r w:rsidRPr="005A6BAC">
        <w:rPr>
          <w:rFonts w:cs="Arial"/>
          <w:rtl/>
        </w:rPr>
        <w:t xml:space="preserve"> </w:t>
      </w:r>
      <w:r>
        <w:rPr>
          <w:rFonts w:cs="Arial" w:hint="cs"/>
          <w:sz w:val="14"/>
          <w:szCs w:val="14"/>
          <w:rtl/>
        </w:rPr>
        <w:t xml:space="preserve">(סג:) </w:t>
      </w:r>
      <w:r w:rsidRPr="002C438C">
        <w:rPr>
          <w:rFonts w:cs="Arial"/>
          <w:rtl/>
        </w:rPr>
        <w:t>מתשמיש - כולי עלמא לא פליגי דהויא מורדת</w:t>
      </w:r>
      <w:r>
        <w:rPr>
          <w:rStyle w:val="a7"/>
          <w:rFonts w:cs="Arial"/>
          <w:rtl/>
        </w:rPr>
        <w:footnoteReference w:id="1497"/>
      </w:r>
      <w:r w:rsidRPr="002C438C">
        <w:rPr>
          <w:rFonts w:cs="Arial"/>
          <w:rtl/>
        </w:rPr>
        <w:t>, כי פליגי - ממלאכה, מר סבר: ממלאכה לא הויא מורדת, ומר סבר: ממלאכה נמי הויא מורדת.</w:t>
      </w:r>
      <w:r>
        <w:rPr>
          <w:rFonts w:cs="Arial" w:hint="cs"/>
          <w:rtl/>
        </w:rPr>
        <w:t xml:space="preserve"> </w:t>
      </w:r>
      <w:r w:rsidRPr="00C65089">
        <w:rPr>
          <w:rFonts w:cs="Arial" w:hint="cs"/>
          <w:sz w:val="16"/>
          <w:szCs w:val="16"/>
          <w:rtl/>
        </w:rPr>
        <w:t>(</w:t>
      </w:r>
      <w:r w:rsidRPr="00C65089">
        <w:rPr>
          <w:rFonts w:cs="Arial"/>
          <w:sz w:val="16"/>
          <w:szCs w:val="16"/>
          <w:rtl/>
        </w:rPr>
        <w:t>והלכתא כרב הונא</w:t>
      </w:r>
      <w:r>
        <w:rPr>
          <w:rFonts w:cs="Arial" w:hint="cs"/>
          <w:sz w:val="16"/>
          <w:szCs w:val="16"/>
          <w:rtl/>
        </w:rPr>
        <w:t>,</w:t>
      </w:r>
      <w:r w:rsidRPr="00C65089">
        <w:rPr>
          <w:rFonts w:cs="Arial"/>
          <w:sz w:val="16"/>
          <w:szCs w:val="16"/>
          <w:rtl/>
        </w:rPr>
        <w:t xml:space="preserve"> דאמרינן לקמן </w:t>
      </w:r>
      <w:r w:rsidRPr="00C65089">
        <w:rPr>
          <w:rFonts w:cs="Arial" w:hint="cs"/>
          <w:sz w:val="16"/>
          <w:szCs w:val="16"/>
          <w:rtl/>
        </w:rPr>
        <w:t>(סג:)</w:t>
      </w:r>
      <w:r w:rsidRPr="00C65089">
        <w:rPr>
          <w:rFonts w:cs="Arial"/>
          <w:sz w:val="16"/>
          <w:szCs w:val="16"/>
          <w:rtl/>
        </w:rPr>
        <w:t xml:space="preserve"> </w:t>
      </w:r>
      <w:r>
        <w:rPr>
          <w:rFonts w:cs="Arial" w:hint="cs"/>
          <w:sz w:val="16"/>
          <w:szCs w:val="16"/>
          <w:rtl/>
        </w:rPr>
        <w:t>'</w:t>
      </w:r>
      <w:r w:rsidRPr="00C65089">
        <w:rPr>
          <w:rFonts w:cs="Arial"/>
          <w:sz w:val="16"/>
          <w:szCs w:val="16"/>
          <w:rtl/>
        </w:rPr>
        <w:t>היכי דמיא מורדת אמר אמימר דאמרה בעינא ליה ומצערנא ליה</w:t>
      </w:r>
      <w:r>
        <w:rPr>
          <w:rFonts w:cs="Arial" w:hint="cs"/>
          <w:sz w:val="16"/>
          <w:szCs w:val="16"/>
          <w:rtl/>
        </w:rPr>
        <w:t>',</w:t>
      </w:r>
      <w:r w:rsidRPr="00C65089">
        <w:rPr>
          <w:rFonts w:cs="Arial"/>
          <w:sz w:val="16"/>
          <w:szCs w:val="16"/>
          <w:rtl/>
        </w:rPr>
        <w:t xml:space="preserve"> שמע מינה דמתשמיש הויא מורדת כרב הונא</w:t>
      </w:r>
      <w:r w:rsidRPr="00C65089">
        <w:rPr>
          <w:rFonts w:cs="Arial" w:hint="cs"/>
          <w:sz w:val="16"/>
          <w:szCs w:val="16"/>
          <w:rtl/>
        </w:rPr>
        <w:t>, רי"ף (כו:)</w:t>
      </w:r>
      <w:r>
        <w:rPr>
          <w:rFonts w:cs="Arial" w:hint="cs"/>
          <w:sz w:val="16"/>
          <w:szCs w:val="16"/>
          <w:rtl/>
        </w:rPr>
        <w:t>. והראב"ד (הביאו הרשב"א סד. ד"ה ולענין פסק) כתב שאין זו ראיה והביא ראיה אחרת. והרשב"א כתב על ראייתו של הראב"ד שאין זו ראיה והביא ראיה אחרת. ומדברי כולם נלמד שאין למורדת ממלאכה דין מורדת, ולכן לא שייך כל מה שאמרו חכמים במשנה שקונסים אותה. אם כן מה עושים לה כדי לחייבה לעשות את המלאכות שחייבת בהם, בזה נחלקו הראשונים לקמן</w:t>
      </w:r>
      <w:r w:rsidRPr="00C65089">
        <w:rPr>
          <w:rFonts w:cs="Arial" w:hint="cs"/>
          <w:sz w:val="16"/>
          <w:szCs w:val="16"/>
          <w:rtl/>
        </w:rPr>
        <w:t>)</w:t>
      </w:r>
    </w:p>
    <w:p w14:paraId="4982DE51" w14:textId="77777777" w:rsidR="002E5BAD" w:rsidRPr="00C65089" w:rsidRDefault="002E5BAD" w:rsidP="002E5BAD">
      <w:pPr>
        <w:rPr>
          <w:rFonts w:cs="Arial"/>
          <w:u w:val="single"/>
          <w:rtl/>
        </w:rPr>
      </w:pPr>
      <w:r w:rsidRPr="00C65089">
        <w:rPr>
          <w:rFonts w:cs="Arial" w:hint="cs"/>
          <w:u w:val="single"/>
          <w:rtl/>
        </w:rPr>
        <w:t>המורדת ממלאכה:</w:t>
      </w:r>
    </w:p>
    <w:p w14:paraId="3C97AFC7" w14:textId="77777777" w:rsidR="002E5BAD" w:rsidRPr="00365D98" w:rsidRDefault="002E5BAD" w:rsidP="002E5BAD">
      <w:pPr>
        <w:pStyle w:val="ab"/>
        <w:numPr>
          <w:ilvl w:val="0"/>
          <w:numId w:val="166"/>
        </w:numPr>
      </w:pPr>
      <w:r>
        <w:rPr>
          <w:rFonts w:cs="Arial" w:hint="cs"/>
          <w:rtl/>
        </w:rPr>
        <w:lastRenderedPageBreak/>
        <w:t xml:space="preserve">רמב"ם </w:t>
      </w:r>
      <w:r>
        <w:rPr>
          <w:rFonts w:cs="Arial" w:hint="cs"/>
          <w:sz w:val="16"/>
          <w:szCs w:val="16"/>
          <w:rtl/>
        </w:rPr>
        <w:t>(פכ"א ה"י)</w:t>
      </w:r>
      <w:r w:rsidRPr="00B80EBF">
        <w:rPr>
          <w:rFonts w:cs="Arial"/>
          <w:rtl/>
        </w:rPr>
        <w:t xml:space="preserve"> </w:t>
      </w:r>
      <w:r>
        <w:rPr>
          <w:rFonts w:cs="Arial"/>
          <w:rtl/>
        </w:rPr>
        <w:t xml:space="preserve">רמב"ן </w:t>
      </w:r>
      <w:r w:rsidRPr="00B80EBF">
        <w:rPr>
          <w:rFonts w:cs="Arial"/>
          <w:sz w:val="16"/>
          <w:szCs w:val="16"/>
          <w:rtl/>
        </w:rPr>
        <w:t>(סג. ד"ה מורדת)</w:t>
      </w:r>
      <w:r>
        <w:rPr>
          <w:rFonts w:cs="Arial" w:hint="cs"/>
          <w:rtl/>
        </w:rPr>
        <w:t xml:space="preserve"> והה"מ</w:t>
      </w:r>
      <w:r>
        <w:rPr>
          <w:rFonts w:cs="Arial" w:hint="cs"/>
          <w:sz w:val="16"/>
          <w:szCs w:val="16"/>
          <w:rtl/>
        </w:rPr>
        <w:t xml:space="preserve"> (שם)</w:t>
      </w:r>
      <w:r>
        <w:rPr>
          <w:rFonts w:cs="Arial" w:hint="cs"/>
          <w:rtl/>
        </w:rPr>
        <w:t xml:space="preserve">- </w:t>
      </w:r>
      <w:r w:rsidRPr="00365D98">
        <w:rPr>
          <w:rFonts w:cs="Arial"/>
          <w:rtl/>
        </w:rPr>
        <w:t xml:space="preserve">כל אשה שתמנע מלעשות מלאכה מן המלאכות שהיא חייבת לעשותן </w:t>
      </w:r>
      <w:r>
        <w:rPr>
          <w:rFonts w:cs="Arial" w:hint="cs"/>
          <w:rtl/>
        </w:rPr>
        <w:t xml:space="preserve">- </w:t>
      </w:r>
      <w:r w:rsidRPr="00365D98">
        <w:rPr>
          <w:rFonts w:cs="Arial"/>
          <w:rtl/>
        </w:rPr>
        <w:t>כופין אותה ועושה אפילו בשוט</w:t>
      </w:r>
      <w:r>
        <w:rPr>
          <w:rStyle w:val="a7"/>
          <w:rFonts w:cs="Arial"/>
          <w:rtl/>
        </w:rPr>
        <w:footnoteReference w:id="1498"/>
      </w:r>
      <w:r>
        <w:rPr>
          <w:rFonts w:cs="Arial" w:hint="cs"/>
          <w:sz w:val="16"/>
          <w:szCs w:val="16"/>
          <w:rtl/>
        </w:rPr>
        <w:t xml:space="preserve"> (ל' הרמב"ם)</w:t>
      </w:r>
      <w:r w:rsidRPr="00365D98">
        <w:rPr>
          <w:rFonts w:cs="Arial"/>
          <w:rtl/>
        </w:rPr>
        <w:t xml:space="preserve">. </w:t>
      </w:r>
    </w:p>
    <w:p w14:paraId="223F43C8" w14:textId="77777777" w:rsidR="002E5BAD" w:rsidRPr="00365D98" w:rsidRDefault="002E5BAD" w:rsidP="002E5BAD">
      <w:pPr>
        <w:pStyle w:val="ab"/>
        <w:numPr>
          <w:ilvl w:val="0"/>
          <w:numId w:val="166"/>
        </w:numPr>
      </w:pPr>
      <w:r>
        <w:rPr>
          <w:rFonts w:cs="Arial" w:hint="cs"/>
          <w:rtl/>
        </w:rPr>
        <w:t>ראב"ד</w:t>
      </w:r>
      <w:r>
        <w:rPr>
          <w:rFonts w:cs="Arial" w:hint="cs"/>
          <w:sz w:val="16"/>
          <w:szCs w:val="16"/>
          <w:rtl/>
        </w:rPr>
        <w:t xml:space="preserve"> (שם בהשגות)</w:t>
      </w:r>
      <w:r>
        <w:rPr>
          <w:rFonts w:cs="Arial" w:hint="cs"/>
          <w:rtl/>
        </w:rPr>
        <w:t>-</w:t>
      </w:r>
      <w:r w:rsidRPr="00365D98">
        <w:rPr>
          <w:rFonts w:cs="Arial"/>
          <w:rtl/>
        </w:rPr>
        <w:t xml:space="preserve"> מעולם לא שמעתי יסור שוטים לנשים אלא שממעט לה צרכיה ומזונותיה עד שתכנע.</w:t>
      </w:r>
    </w:p>
    <w:p w14:paraId="70180501" w14:textId="77777777" w:rsidR="002E5BAD" w:rsidRPr="00233322" w:rsidRDefault="002E5BAD" w:rsidP="002E5BAD">
      <w:pPr>
        <w:pStyle w:val="ab"/>
        <w:numPr>
          <w:ilvl w:val="0"/>
          <w:numId w:val="166"/>
        </w:numPr>
      </w:pPr>
      <w:r w:rsidRPr="000A7A9C">
        <w:rPr>
          <w:rFonts w:cs="Arial"/>
          <w:rtl/>
        </w:rPr>
        <w:t>רא"ש</w:t>
      </w:r>
      <w:r>
        <w:rPr>
          <w:rFonts w:cs="Arial" w:hint="cs"/>
          <w:sz w:val="16"/>
          <w:szCs w:val="16"/>
          <w:rtl/>
        </w:rPr>
        <w:t xml:space="preserve"> (פ"ה סי' לא, כ"כ הטור הטור בשמו)</w:t>
      </w:r>
      <w:r>
        <w:rPr>
          <w:rFonts w:cs="Arial" w:hint="cs"/>
          <w:rtl/>
        </w:rPr>
        <w:t xml:space="preserve">- </w:t>
      </w:r>
      <w:r w:rsidRPr="000A7A9C">
        <w:rPr>
          <w:rFonts w:cs="Arial"/>
          <w:rtl/>
        </w:rPr>
        <w:t>אין כופין אותה דקי"ל כרב הונא דאמר אשה יכולה לומר לבעל איני ניזונית ואיני עושה</w:t>
      </w:r>
      <w:r>
        <w:rPr>
          <w:rFonts w:cs="Arial" w:hint="cs"/>
          <w:rtl/>
        </w:rPr>
        <w:t>,</w:t>
      </w:r>
      <w:r w:rsidRPr="000A7A9C">
        <w:rPr>
          <w:rFonts w:cs="Arial"/>
          <w:rtl/>
        </w:rPr>
        <w:t xml:space="preserve"> לפיכך אם תרצה לא תעשה ולא תזון</w:t>
      </w:r>
      <w:r>
        <w:rPr>
          <w:rFonts w:cs="Arial" w:hint="cs"/>
          <w:sz w:val="16"/>
          <w:szCs w:val="16"/>
          <w:rtl/>
        </w:rPr>
        <w:t xml:space="preserve"> (ל' הטור בשם הרא"ש)</w:t>
      </w:r>
      <w:r>
        <w:rPr>
          <w:rFonts w:cs="Arial" w:hint="cs"/>
          <w:rtl/>
        </w:rPr>
        <w:t>.</w:t>
      </w:r>
      <w:r w:rsidRPr="000A7A9C">
        <w:rPr>
          <w:rFonts w:cs="Arial"/>
          <w:rtl/>
        </w:rPr>
        <w:t xml:space="preserve"> </w:t>
      </w:r>
    </w:p>
    <w:p w14:paraId="6484DDCA" w14:textId="77777777" w:rsidR="002E5BAD" w:rsidRPr="00C65089" w:rsidRDefault="002E5BAD" w:rsidP="002E5BAD">
      <w:pPr>
        <w:pStyle w:val="ab"/>
        <w:numPr>
          <w:ilvl w:val="0"/>
          <w:numId w:val="166"/>
        </w:numPr>
      </w:pPr>
      <w:r>
        <w:rPr>
          <w:rFonts w:cs="Arial"/>
          <w:rtl/>
        </w:rPr>
        <w:t xml:space="preserve">רשב"א </w:t>
      </w:r>
      <w:r w:rsidRPr="00C65089">
        <w:rPr>
          <w:rFonts w:cs="Arial"/>
          <w:sz w:val="16"/>
          <w:szCs w:val="16"/>
          <w:rtl/>
        </w:rPr>
        <w:t>(סד. סוד"ה ולענין פסק)</w:t>
      </w:r>
      <w:r>
        <w:rPr>
          <w:rFonts w:cs="Arial" w:hint="cs"/>
          <w:rtl/>
        </w:rPr>
        <w:t xml:space="preserve"> ור"ן </w:t>
      </w:r>
      <w:r w:rsidRPr="008A085F">
        <w:rPr>
          <w:rFonts w:cs="Arial"/>
          <w:sz w:val="16"/>
          <w:szCs w:val="16"/>
          <w:rtl/>
        </w:rPr>
        <w:t>(כו: ד"ה גמ'</w:t>
      </w:r>
      <w:r>
        <w:rPr>
          <w:rFonts w:cs="Arial" w:hint="cs"/>
          <w:sz w:val="16"/>
          <w:szCs w:val="16"/>
          <w:rtl/>
        </w:rPr>
        <w:t>, וכ"כ בשם הגאונים</w:t>
      </w:r>
      <w:r w:rsidRPr="008A085F">
        <w:rPr>
          <w:rFonts w:cs="Arial"/>
          <w:sz w:val="16"/>
          <w:szCs w:val="16"/>
          <w:rtl/>
        </w:rPr>
        <w:t>)</w:t>
      </w:r>
      <w:r>
        <w:rPr>
          <w:rFonts w:cs="Arial" w:hint="cs"/>
          <w:rtl/>
        </w:rPr>
        <w:t>-</w:t>
      </w:r>
      <w:r>
        <w:rPr>
          <w:rFonts w:cs="Arial"/>
          <w:rtl/>
        </w:rPr>
        <w:t xml:space="preserve"> </w:t>
      </w:r>
      <w:r w:rsidRPr="001D642C">
        <w:rPr>
          <w:rFonts w:cs="Arial"/>
          <w:rtl/>
        </w:rPr>
        <w:t xml:space="preserve">באומרת </w:t>
      </w:r>
      <w:r>
        <w:rPr>
          <w:rFonts w:cs="Arial" w:hint="cs"/>
          <w:rtl/>
        </w:rPr>
        <w:t>'</w:t>
      </w:r>
      <w:r w:rsidRPr="001D642C">
        <w:rPr>
          <w:rFonts w:cs="Arial"/>
          <w:rtl/>
        </w:rPr>
        <w:t>איני עושה</w:t>
      </w:r>
      <w:r>
        <w:rPr>
          <w:rFonts w:cs="Arial" w:hint="cs"/>
          <w:rtl/>
        </w:rPr>
        <w:t>'</w:t>
      </w:r>
      <w:r w:rsidRPr="001D642C">
        <w:rPr>
          <w:rFonts w:cs="Arial"/>
          <w:rtl/>
        </w:rPr>
        <w:t xml:space="preserve"> כופה אותה בשוט או שאינו זנה או ב"ד מוכרין לו מכתובתה בטובת הנאה כדי שישכור עליה עבד או שפחה לשמשו </w:t>
      </w:r>
      <w:r>
        <w:rPr>
          <w:rFonts w:cs="Arial" w:hint="cs"/>
          <w:sz w:val="16"/>
          <w:szCs w:val="16"/>
          <w:rtl/>
        </w:rPr>
        <w:t>(ל' הרשב"א)</w:t>
      </w:r>
      <w:r>
        <w:rPr>
          <w:rFonts w:cs="Arial" w:hint="cs"/>
          <w:rtl/>
        </w:rPr>
        <w:t>.</w:t>
      </w:r>
      <w:r>
        <w:rPr>
          <w:rFonts w:cs="Arial"/>
          <w:rtl/>
        </w:rPr>
        <w:t xml:space="preserve"> </w:t>
      </w:r>
    </w:p>
    <w:p w14:paraId="583D73E9" w14:textId="77777777" w:rsidR="002E5BAD" w:rsidRPr="00561C12" w:rsidRDefault="002E5BAD" w:rsidP="002E5BAD">
      <w:pPr>
        <w:pStyle w:val="ab"/>
        <w:numPr>
          <w:ilvl w:val="0"/>
          <w:numId w:val="166"/>
        </w:numPr>
        <w:rPr>
          <w:rtl/>
        </w:rPr>
      </w:pPr>
      <w:r>
        <w:rPr>
          <w:rFonts w:cs="Arial"/>
          <w:rtl/>
        </w:rPr>
        <w:t>מקצת ראשונים</w:t>
      </w:r>
      <w:r>
        <w:rPr>
          <w:rFonts w:cs="Arial" w:hint="cs"/>
          <w:sz w:val="16"/>
          <w:szCs w:val="16"/>
          <w:rtl/>
        </w:rPr>
        <w:t xml:space="preserve"> (כ"כ בשמם הה"מ [שם] והר"ן [</w:t>
      </w:r>
      <w:r w:rsidRPr="008A0FC9">
        <w:rPr>
          <w:rFonts w:cs="Arial"/>
          <w:sz w:val="16"/>
          <w:szCs w:val="16"/>
          <w:rtl/>
        </w:rPr>
        <w:t>כ</w:t>
      </w:r>
      <w:r>
        <w:rPr>
          <w:rFonts w:cs="Arial" w:hint="cs"/>
          <w:sz w:val="16"/>
          <w:szCs w:val="16"/>
          <w:rtl/>
        </w:rPr>
        <w:t>ו</w:t>
      </w:r>
      <w:r w:rsidRPr="008A0FC9">
        <w:rPr>
          <w:rFonts w:cs="Arial"/>
          <w:sz w:val="16"/>
          <w:szCs w:val="16"/>
          <w:rtl/>
        </w:rPr>
        <w:t>: ד"ה גמ'</w:t>
      </w:r>
      <w:r>
        <w:rPr>
          <w:rFonts w:cs="Arial" w:hint="cs"/>
          <w:sz w:val="16"/>
          <w:szCs w:val="16"/>
          <w:rtl/>
        </w:rPr>
        <w:t>]</w:t>
      </w:r>
      <w:r w:rsidRPr="008A0FC9">
        <w:rPr>
          <w:rFonts w:cs="Arial"/>
          <w:sz w:val="16"/>
          <w:szCs w:val="16"/>
          <w:rtl/>
        </w:rPr>
        <w:t xml:space="preserve">) </w:t>
      </w:r>
      <w:r>
        <w:rPr>
          <w:rFonts w:cs="Arial" w:hint="cs"/>
          <w:rtl/>
        </w:rPr>
        <w:t xml:space="preserve">- </w:t>
      </w:r>
      <w:r>
        <w:rPr>
          <w:rFonts w:cs="Arial"/>
          <w:rtl/>
        </w:rPr>
        <w:t>משמתין אותה</w:t>
      </w:r>
      <w:r>
        <w:rPr>
          <w:rStyle w:val="a7"/>
          <w:rFonts w:cs="Arial"/>
          <w:rtl/>
        </w:rPr>
        <w:footnoteReference w:id="1499"/>
      </w:r>
      <w:r>
        <w:rPr>
          <w:rFonts w:cs="Arial" w:hint="cs"/>
          <w:rtl/>
        </w:rPr>
        <w:t>.</w:t>
      </w:r>
    </w:p>
    <w:p w14:paraId="48949034" w14:textId="77777777" w:rsidR="002E5BAD" w:rsidRPr="008A085F" w:rsidRDefault="002E5BAD" w:rsidP="002E5BAD">
      <w:pPr>
        <w:rPr>
          <w:rFonts w:cs="Arial"/>
          <w:u w:val="single"/>
          <w:rtl/>
        </w:rPr>
      </w:pPr>
      <w:r w:rsidRPr="008A085F">
        <w:rPr>
          <w:rFonts w:cs="Arial" w:hint="cs"/>
          <w:u w:val="single"/>
          <w:rtl/>
        </w:rPr>
        <w:t xml:space="preserve">אשה שאמרה </w:t>
      </w:r>
      <w:r>
        <w:rPr>
          <w:rFonts w:cs="Arial" w:hint="cs"/>
          <w:u w:val="single"/>
          <w:rtl/>
        </w:rPr>
        <w:t>'</w:t>
      </w:r>
      <w:r w:rsidRPr="008A085F">
        <w:rPr>
          <w:rFonts w:cs="Arial" w:hint="cs"/>
          <w:u w:val="single"/>
          <w:rtl/>
        </w:rPr>
        <w:t>איני ניזונת ואיני עושה</w:t>
      </w:r>
      <w:r>
        <w:rPr>
          <w:rFonts w:cs="Arial" w:hint="cs"/>
          <w:u w:val="single"/>
          <w:rtl/>
        </w:rPr>
        <w:t>'</w:t>
      </w:r>
      <w:r w:rsidRPr="008A085F">
        <w:rPr>
          <w:rFonts w:cs="Arial" w:hint="cs"/>
          <w:u w:val="single"/>
          <w:rtl/>
        </w:rPr>
        <w:t xml:space="preserve"> </w:t>
      </w:r>
      <w:r w:rsidRPr="008A085F">
        <w:rPr>
          <w:rFonts w:cs="Arial"/>
          <w:u w:val="single"/>
          <w:rtl/>
        </w:rPr>
        <w:t>–</w:t>
      </w:r>
      <w:r w:rsidRPr="008A085F">
        <w:rPr>
          <w:rFonts w:cs="Arial" w:hint="cs"/>
          <w:u w:val="single"/>
          <w:rtl/>
        </w:rPr>
        <w:t xml:space="preserve"> ורוצה לחזור בה:</w:t>
      </w:r>
    </w:p>
    <w:p w14:paraId="066CFD93" w14:textId="77777777" w:rsidR="002E5BAD" w:rsidRPr="008A0FC9" w:rsidRDefault="002E5BAD" w:rsidP="002E5BAD">
      <w:pPr>
        <w:pStyle w:val="ab"/>
        <w:numPr>
          <w:ilvl w:val="0"/>
          <w:numId w:val="174"/>
        </w:numPr>
      </w:pPr>
      <w:r w:rsidRPr="008A085F">
        <w:rPr>
          <w:rFonts w:cs="Arial"/>
          <w:rtl/>
        </w:rPr>
        <w:t xml:space="preserve">ר"ן </w:t>
      </w:r>
      <w:r w:rsidRPr="008A0FC9">
        <w:rPr>
          <w:rFonts w:cs="Arial"/>
          <w:sz w:val="16"/>
          <w:szCs w:val="16"/>
          <w:rtl/>
        </w:rPr>
        <w:t xml:space="preserve">(כג: ד"ה גמ') </w:t>
      </w:r>
      <w:r w:rsidRPr="008A085F">
        <w:rPr>
          <w:rFonts w:cs="Arial"/>
          <w:rtl/>
        </w:rPr>
        <w:t xml:space="preserve">בשם הרא"ה </w:t>
      </w:r>
      <w:r w:rsidRPr="008A0FC9">
        <w:rPr>
          <w:rFonts w:cs="Arial"/>
          <w:sz w:val="16"/>
          <w:szCs w:val="16"/>
          <w:rtl/>
        </w:rPr>
        <w:t>(נח: ד"ה אמר)</w:t>
      </w:r>
      <w:r>
        <w:rPr>
          <w:rFonts w:cs="Arial" w:hint="cs"/>
          <w:rtl/>
        </w:rPr>
        <w:t xml:space="preserve">- </w:t>
      </w:r>
      <w:r w:rsidRPr="008A085F">
        <w:rPr>
          <w:rFonts w:cs="Arial"/>
          <w:rtl/>
        </w:rPr>
        <w:t xml:space="preserve">כל שאמרה איני נזונת ואיני עושה כבר נתבטלה תקנתא ושוב אינה יכולה לומר </w:t>
      </w:r>
      <w:r w:rsidRPr="008A085F">
        <w:rPr>
          <w:rFonts w:cs="Arial" w:hint="cs"/>
          <w:rtl/>
        </w:rPr>
        <w:t>'</w:t>
      </w:r>
      <w:r w:rsidRPr="008A085F">
        <w:rPr>
          <w:rFonts w:cs="Arial"/>
          <w:rtl/>
        </w:rPr>
        <w:t>נזונת אני ועושה</w:t>
      </w:r>
      <w:r w:rsidRPr="008A085F">
        <w:rPr>
          <w:rFonts w:cs="Arial" w:hint="cs"/>
          <w:rtl/>
        </w:rPr>
        <w:t>',</w:t>
      </w:r>
      <w:r w:rsidRPr="008A085F">
        <w:rPr>
          <w:rFonts w:cs="Arial"/>
          <w:rtl/>
        </w:rPr>
        <w:t xml:space="preserve"> שאינו בדין שיהא הרשות בידה לשנות הדבר כל פעם כמו שתרצה</w:t>
      </w:r>
      <w:r w:rsidRPr="008A085F">
        <w:rPr>
          <w:rFonts w:cs="Arial" w:hint="cs"/>
          <w:rtl/>
        </w:rPr>
        <w:t>,</w:t>
      </w:r>
      <w:r w:rsidRPr="008A085F">
        <w:rPr>
          <w:rFonts w:cs="Arial"/>
          <w:rtl/>
        </w:rPr>
        <w:t xml:space="preserve"> שאם כן כשלא תמצא מלאכה תרצה להיות נזונת וכשתמצא תאמר איני נזונת ולקתה מדת הדין</w:t>
      </w:r>
      <w:r w:rsidRPr="008A085F">
        <w:rPr>
          <w:rFonts w:cs="Arial" w:hint="cs"/>
          <w:rtl/>
        </w:rPr>
        <w:t>,</w:t>
      </w:r>
      <w:r w:rsidRPr="008A085F">
        <w:rPr>
          <w:rFonts w:cs="Arial"/>
          <w:rtl/>
        </w:rPr>
        <w:t xml:space="preserve"> אלא ודאי מיד שאמרה אי אפשי בתקנת חכמים הפסידה ושוב אין לה מזונות</w:t>
      </w:r>
      <w:r w:rsidRPr="008A085F">
        <w:rPr>
          <w:rFonts w:cs="Arial" w:hint="cs"/>
          <w:rtl/>
        </w:rPr>
        <w:t>,</w:t>
      </w:r>
      <w:r w:rsidRPr="008A085F">
        <w:rPr>
          <w:rFonts w:cs="Arial"/>
          <w:rtl/>
        </w:rPr>
        <w:t xml:space="preserve"> והוא הדין נמי דאין לה כסות דכסות בכלל מזונות הוא. </w:t>
      </w:r>
    </w:p>
    <w:p w14:paraId="1E48AC59" w14:textId="77777777" w:rsidR="002E5BAD" w:rsidRPr="00DC4762" w:rsidRDefault="002E5BAD" w:rsidP="002E5BAD">
      <w:pPr>
        <w:pStyle w:val="ab"/>
        <w:numPr>
          <w:ilvl w:val="0"/>
          <w:numId w:val="174"/>
        </w:numPr>
        <w:rPr>
          <w:rtl/>
        </w:rPr>
      </w:pPr>
      <w:r>
        <w:rPr>
          <w:rFonts w:cs="Arial" w:hint="cs"/>
          <w:rtl/>
        </w:rPr>
        <w:t xml:space="preserve">רי"ו </w:t>
      </w:r>
      <w:r w:rsidRPr="008A0FC9">
        <w:rPr>
          <w:rFonts w:cs="Arial" w:hint="cs"/>
          <w:sz w:val="16"/>
          <w:szCs w:val="16"/>
          <w:rtl/>
        </w:rPr>
        <w:t>(</w:t>
      </w:r>
      <w:r w:rsidRPr="008A0FC9">
        <w:rPr>
          <w:rFonts w:cs="Arial"/>
          <w:sz w:val="16"/>
          <w:szCs w:val="16"/>
          <w:rtl/>
        </w:rPr>
        <w:t>מישרים נכ"ג ח"ה נז ע"ד)</w:t>
      </w:r>
      <w:r w:rsidRPr="008A085F">
        <w:rPr>
          <w:rFonts w:cs="Arial"/>
          <w:rtl/>
        </w:rPr>
        <w:t xml:space="preserve"> בשם המפרשים</w:t>
      </w:r>
      <w:r>
        <w:rPr>
          <w:rFonts w:cs="Arial" w:hint="cs"/>
          <w:rtl/>
        </w:rPr>
        <w:t>-</w:t>
      </w:r>
      <w:r w:rsidRPr="008A085F">
        <w:rPr>
          <w:rFonts w:cs="Arial"/>
          <w:rtl/>
        </w:rPr>
        <w:t xml:space="preserve"> יכולה לחזור בה כל זמן שתרצה</w:t>
      </w:r>
      <w:r w:rsidRPr="008A085F">
        <w:rPr>
          <w:rFonts w:cs="Arial" w:hint="cs"/>
          <w:rtl/>
        </w:rPr>
        <w:t>.</w:t>
      </w:r>
    </w:p>
    <w:p w14:paraId="650891C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4CE132F" w14:textId="77777777" w:rsidR="002E5BAD" w:rsidRDefault="002E5BAD" w:rsidP="002E5BAD">
      <w:pPr>
        <w:rPr>
          <w:rtl/>
        </w:rPr>
      </w:pPr>
      <w:r>
        <w:rPr>
          <w:rFonts w:cs="Arial"/>
          <w:rtl/>
        </w:rPr>
        <w:t xml:space="preserve">כל אשה שתמנע מלעשות מלאכה ממלאכות שהיא חייבת לעשותן, כופין אותה לעשות. </w:t>
      </w:r>
      <w:r w:rsidRPr="004D0526">
        <w:rPr>
          <w:rFonts w:cs="Arial"/>
          <w:sz w:val="18"/>
          <w:szCs w:val="18"/>
          <w:rtl/>
        </w:rPr>
        <w:t>הגה: ואינו זנה עד שתעשה</w:t>
      </w:r>
      <w:r>
        <w:rPr>
          <w:rFonts w:cs="Arial" w:hint="cs"/>
          <w:sz w:val="18"/>
          <w:szCs w:val="18"/>
          <w:rtl/>
        </w:rPr>
        <w:t>,</w:t>
      </w:r>
      <w:r w:rsidRPr="004D0526">
        <w:rPr>
          <w:rFonts w:cs="Arial"/>
          <w:sz w:val="18"/>
          <w:szCs w:val="18"/>
          <w:rtl/>
        </w:rPr>
        <w:t xml:space="preserve"> וכן</w:t>
      </w:r>
      <w:r>
        <w:rPr>
          <w:rStyle w:val="a7"/>
          <w:rFonts w:cs="Arial"/>
          <w:sz w:val="18"/>
          <w:szCs w:val="18"/>
          <w:rtl/>
        </w:rPr>
        <w:footnoteReference w:id="1500"/>
      </w:r>
      <w:r w:rsidRPr="004D0526">
        <w:rPr>
          <w:rFonts w:cs="Arial"/>
          <w:sz w:val="18"/>
          <w:szCs w:val="18"/>
          <w:rtl/>
        </w:rPr>
        <w:t xml:space="preserve"> ב"ד משמתין אותה </w:t>
      </w:r>
      <w:r>
        <w:rPr>
          <w:rFonts w:cs="Arial" w:hint="cs"/>
          <w:sz w:val="18"/>
          <w:szCs w:val="18"/>
          <w:rtl/>
        </w:rPr>
        <w:t xml:space="preserve">(מקצת ראשונים), </w:t>
      </w:r>
      <w:r w:rsidRPr="004D0526">
        <w:rPr>
          <w:rFonts w:cs="Arial"/>
          <w:sz w:val="18"/>
          <w:szCs w:val="18"/>
          <w:rtl/>
        </w:rPr>
        <w:t>או מוכרין כתובתה לשכור עליה עבד או שפחה (רשב"א</w:t>
      </w:r>
      <w:r>
        <w:rPr>
          <w:rFonts w:cs="Arial" w:hint="cs"/>
          <w:sz w:val="18"/>
          <w:szCs w:val="18"/>
          <w:rtl/>
        </w:rPr>
        <w:t xml:space="preserve"> ור"ן</w:t>
      </w:r>
      <w:r w:rsidRPr="004D0526">
        <w:rPr>
          <w:rFonts w:cs="Arial"/>
          <w:sz w:val="18"/>
          <w:szCs w:val="18"/>
          <w:rtl/>
        </w:rPr>
        <w:t>)</w:t>
      </w:r>
      <w:r>
        <w:rPr>
          <w:rFonts w:cs="Arial" w:hint="cs"/>
          <w:sz w:val="18"/>
          <w:szCs w:val="18"/>
          <w:rtl/>
        </w:rPr>
        <w:t>.</w:t>
      </w:r>
      <w:r w:rsidRPr="004D0526">
        <w:rPr>
          <w:rFonts w:cs="Arial"/>
          <w:sz w:val="18"/>
          <w:szCs w:val="18"/>
          <w:rtl/>
        </w:rPr>
        <w:t xml:space="preserve"> וי"א דהיו כופין אותה בשוטים (רמב"ם</w:t>
      </w:r>
      <w:r>
        <w:rPr>
          <w:rFonts w:cs="Arial" w:hint="cs"/>
          <w:sz w:val="18"/>
          <w:szCs w:val="18"/>
          <w:rtl/>
        </w:rPr>
        <w:t xml:space="preserve"> ורמב"ן</w:t>
      </w:r>
      <w:r w:rsidRPr="004D0526">
        <w:rPr>
          <w:rFonts w:cs="Arial"/>
          <w:sz w:val="18"/>
          <w:szCs w:val="18"/>
          <w:rtl/>
        </w:rPr>
        <w:t>)</w:t>
      </w:r>
      <w:r>
        <w:rPr>
          <w:rFonts w:cs="Arial" w:hint="cs"/>
          <w:sz w:val="18"/>
          <w:szCs w:val="18"/>
          <w:rtl/>
        </w:rPr>
        <w:t>.</w:t>
      </w:r>
      <w:r w:rsidRPr="004D0526">
        <w:rPr>
          <w:rFonts w:cs="Arial"/>
          <w:sz w:val="18"/>
          <w:szCs w:val="18"/>
          <w:rtl/>
        </w:rPr>
        <w:t xml:space="preserve"> וכל זה באומרת: איני עושה וניזונית</w:t>
      </w:r>
      <w:r>
        <w:rPr>
          <w:rFonts w:cs="Arial" w:hint="cs"/>
          <w:sz w:val="18"/>
          <w:szCs w:val="18"/>
          <w:rtl/>
        </w:rPr>
        <w:t>,</w:t>
      </w:r>
      <w:r w:rsidRPr="004D0526">
        <w:rPr>
          <w:rFonts w:cs="Arial"/>
          <w:sz w:val="18"/>
          <w:szCs w:val="18"/>
          <w:rtl/>
        </w:rPr>
        <w:t xml:space="preserve"> אבל אם אומרת: איני ניזונית ואיני עושה, הרשות בידה</w:t>
      </w:r>
      <w:r>
        <w:rPr>
          <w:rStyle w:val="a7"/>
          <w:rFonts w:cs="Arial"/>
          <w:sz w:val="18"/>
          <w:szCs w:val="18"/>
          <w:rtl/>
        </w:rPr>
        <w:footnoteReference w:id="1501"/>
      </w:r>
      <w:r w:rsidRPr="004D0526">
        <w:rPr>
          <w:rFonts w:cs="Arial"/>
          <w:sz w:val="18"/>
          <w:szCs w:val="18"/>
          <w:rtl/>
        </w:rPr>
        <w:t xml:space="preserve"> (ב"י </w:t>
      </w:r>
      <w:r>
        <w:rPr>
          <w:rFonts w:cs="Arial" w:hint="cs"/>
          <w:sz w:val="18"/>
          <w:szCs w:val="18"/>
          <w:rtl/>
        </w:rPr>
        <w:t xml:space="preserve">בחד שינויא </w:t>
      </w:r>
      <w:r w:rsidRPr="004D0526">
        <w:rPr>
          <w:rFonts w:cs="Arial"/>
          <w:sz w:val="18"/>
          <w:szCs w:val="18"/>
          <w:rtl/>
        </w:rPr>
        <w:t>לדעת הרמב"ם</w:t>
      </w:r>
      <w:r>
        <w:rPr>
          <w:rFonts w:cs="Arial" w:hint="cs"/>
          <w:sz w:val="18"/>
          <w:szCs w:val="18"/>
          <w:rtl/>
        </w:rPr>
        <w:t>,</w:t>
      </w:r>
      <w:r w:rsidRPr="004D0526">
        <w:rPr>
          <w:rFonts w:cs="Arial"/>
          <w:sz w:val="18"/>
          <w:szCs w:val="18"/>
          <w:rtl/>
        </w:rPr>
        <w:t xml:space="preserve"> </w:t>
      </w:r>
      <w:r>
        <w:rPr>
          <w:rFonts w:cs="Arial" w:hint="cs"/>
          <w:sz w:val="18"/>
          <w:szCs w:val="18"/>
          <w:rtl/>
        </w:rPr>
        <w:t xml:space="preserve">רא"ש </w:t>
      </w:r>
      <w:r w:rsidRPr="004D0526">
        <w:rPr>
          <w:rFonts w:cs="Arial"/>
          <w:sz w:val="18"/>
          <w:szCs w:val="18"/>
          <w:rtl/>
        </w:rPr>
        <w:t>ור"ן), וכמו שנתבאר לעיל סימן ס"ט</w:t>
      </w:r>
      <w:r>
        <w:rPr>
          <w:rFonts w:cs="Arial" w:hint="cs"/>
          <w:sz w:val="18"/>
          <w:szCs w:val="18"/>
          <w:rtl/>
        </w:rPr>
        <w:t>.</w:t>
      </w:r>
      <w:r w:rsidRPr="004D0526">
        <w:rPr>
          <w:rFonts w:cs="Arial"/>
          <w:sz w:val="18"/>
          <w:szCs w:val="18"/>
          <w:rtl/>
        </w:rPr>
        <w:t xml:space="preserve"> וי"א דאפילו באומרת: איני ניזונית ואיני עושה, צריכה לעשות צרכי הבית</w:t>
      </w:r>
      <w:r>
        <w:rPr>
          <w:rStyle w:val="a7"/>
          <w:rFonts w:cs="Arial"/>
          <w:sz w:val="18"/>
          <w:szCs w:val="18"/>
          <w:rtl/>
        </w:rPr>
        <w:footnoteReference w:id="1502"/>
      </w:r>
      <w:r w:rsidRPr="004D0526">
        <w:rPr>
          <w:rFonts w:cs="Arial"/>
          <w:sz w:val="18"/>
          <w:szCs w:val="18"/>
          <w:rtl/>
        </w:rPr>
        <w:t>, ולזה כופין אותה אע</w:t>
      </w:r>
      <w:r>
        <w:rPr>
          <w:rFonts w:cs="Arial" w:hint="cs"/>
          <w:sz w:val="18"/>
          <w:szCs w:val="18"/>
          <w:rtl/>
        </w:rPr>
        <w:t>"</w:t>
      </w:r>
      <w:r w:rsidRPr="004D0526">
        <w:rPr>
          <w:rFonts w:cs="Arial"/>
          <w:sz w:val="18"/>
          <w:szCs w:val="18"/>
          <w:rtl/>
        </w:rPr>
        <w:t>פ שאינה ניזונית (ב"י ל</w:t>
      </w:r>
      <w:r>
        <w:rPr>
          <w:rFonts w:cs="Arial" w:hint="cs"/>
          <w:sz w:val="18"/>
          <w:szCs w:val="18"/>
          <w:rtl/>
        </w:rPr>
        <w:t>אידך שינויא ב</w:t>
      </w:r>
      <w:r w:rsidRPr="004D0526">
        <w:rPr>
          <w:rFonts w:cs="Arial"/>
          <w:sz w:val="18"/>
          <w:szCs w:val="18"/>
          <w:rtl/>
        </w:rPr>
        <w:t xml:space="preserve">דעת הרמב"ם). </w:t>
      </w:r>
    </w:p>
    <w:p w14:paraId="40C29DE8" w14:textId="77777777" w:rsidR="002E5BAD" w:rsidRPr="00274C11" w:rsidRDefault="002E5BAD" w:rsidP="002E5BAD">
      <w:pPr>
        <w:rPr>
          <w:u w:val="single"/>
          <w:rtl/>
        </w:rPr>
      </w:pPr>
      <w:r w:rsidRPr="00274C11">
        <w:rPr>
          <w:rFonts w:hint="cs"/>
          <w:u w:val="single"/>
          <w:rtl/>
        </w:rPr>
        <w:lastRenderedPageBreak/>
        <w:t xml:space="preserve">הניקה הולד עד שהכיר בה </w:t>
      </w:r>
      <w:r w:rsidRPr="00274C11">
        <w:rPr>
          <w:u w:val="single"/>
          <w:rtl/>
        </w:rPr>
        <w:t>–</w:t>
      </w:r>
      <w:r w:rsidRPr="00274C11">
        <w:rPr>
          <w:rFonts w:hint="cs"/>
          <w:u w:val="single"/>
          <w:rtl/>
        </w:rPr>
        <w:t xml:space="preserve"> ועכשיו אומרת 'איני ניזונת ואיני עושה':</w:t>
      </w:r>
    </w:p>
    <w:p w14:paraId="0530B117" w14:textId="77777777" w:rsidR="002E5BAD" w:rsidRPr="00274C11" w:rsidRDefault="002E5BAD" w:rsidP="002E5BAD">
      <w:pPr>
        <w:pStyle w:val="ab"/>
        <w:numPr>
          <w:ilvl w:val="0"/>
          <w:numId w:val="176"/>
        </w:numPr>
        <w:rPr>
          <w:rFonts w:cs="Arial"/>
          <w:rtl/>
        </w:rPr>
      </w:pPr>
      <w:r>
        <w:rPr>
          <w:rFonts w:hint="cs"/>
          <w:rtl/>
        </w:rPr>
        <w:t xml:space="preserve">פת"ש </w:t>
      </w:r>
      <w:r w:rsidRPr="00274C11">
        <w:rPr>
          <w:rFonts w:hint="cs"/>
          <w:sz w:val="16"/>
          <w:szCs w:val="16"/>
          <w:rtl/>
        </w:rPr>
        <w:t>(סק"ט)</w:t>
      </w:r>
      <w:r>
        <w:rPr>
          <w:rFonts w:hint="cs"/>
          <w:rtl/>
        </w:rPr>
        <w:t xml:space="preserve">- </w:t>
      </w:r>
      <w:r w:rsidRPr="00274C11">
        <w:rPr>
          <w:rFonts w:cs="Arial" w:hint="cs"/>
          <w:rtl/>
        </w:rPr>
        <w:t xml:space="preserve">מה שכתב הב"ש </w:t>
      </w:r>
      <w:r w:rsidRPr="00274C11">
        <w:rPr>
          <w:rFonts w:cs="Arial" w:hint="cs"/>
          <w:sz w:val="16"/>
          <w:szCs w:val="16"/>
          <w:rtl/>
        </w:rPr>
        <w:t>(סקכ"א, והבאה"ט סק"כ)</w:t>
      </w:r>
      <w:r w:rsidRPr="00274C11">
        <w:rPr>
          <w:rFonts w:cs="Arial" w:hint="cs"/>
          <w:rtl/>
        </w:rPr>
        <w:t xml:space="preserve"> ד</w:t>
      </w:r>
      <w:r w:rsidRPr="00274C11">
        <w:rPr>
          <w:rFonts w:cs="Arial"/>
          <w:rtl/>
        </w:rPr>
        <w:t>במקום פלוגתא היא פטורה</w:t>
      </w:r>
      <w:r w:rsidRPr="00274C11">
        <w:rPr>
          <w:rFonts w:cs="Arial" w:hint="cs"/>
          <w:rtl/>
        </w:rPr>
        <w:t xml:space="preserve">, </w:t>
      </w:r>
      <w:r w:rsidRPr="00274C11">
        <w:rPr>
          <w:rFonts w:cs="Arial"/>
          <w:rtl/>
        </w:rPr>
        <w:t>משמע דהוא מטעם קים לי. ולפ"ז נלע"ד היכא שכבר הניק</w:t>
      </w:r>
      <w:r w:rsidRPr="00274C11">
        <w:rPr>
          <w:rFonts w:cs="Arial" w:hint="cs"/>
          <w:rtl/>
        </w:rPr>
        <w:t>ה</w:t>
      </w:r>
      <w:r w:rsidRPr="00274C11">
        <w:rPr>
          <w:rFonts w:cs="Arial"/>
          <w:rtl/>
        </w:rPr>
        <w:t xml:space="preserve"> הולד עד שמכירה</w:t>
      </w:r>
      <w:r w:rsidRPr="00274C11">
        <w:rPr>
          <w:rFonts w:cs="Arial" w:hint="cs"/>
          <w:rtl/>
        </w:rPr>
        <w:t>,</w:t>
      </w:r>
      <w:r w:rsidRPr="00274C11">
        <w:rPr>
          <w:rFonts w:cs="Arial"/>
          <w:rtl/>
        </w:rPr>
        <w:t xml:space="preserve"> כיון דלכל הדיעות היא מחוייבת להניקו מפני סכנת הולד כדלקמן סי' פ"ב ס"ה אלא שלדעת תוס' והרא"ש מחוייב הבעל ליתן לה שכר</w:t>
      </w:r>
      <w:r w:rsidRPr="00274C11">
        <w:rPr>
          <w:rFonts w:cs="Arial" w:hint="cs"/>
          <w:rtl/>
        </w:rPr>
        <w:t>,</w:t>
      </w:r>
      <w:r w:rsidRPr="00274C11">
        <w:rPr>
          <w:rFonts w:cs="Arial"/>
          <w:rtl/>
        </w:rPr>
        <w:t xml:space="preserve"> א"כ יכול הבעל לומר בהיפך קים לי כהר"ן דהיא מחוייבת להניק בלא שכר</w:t>
      </w:r>
      <w:r w:rsidRPr="00274C11">
        <w:rPr>
          <w:rFonts w:cs="Arial" w:hint="cs"/>
          <w:rtl/>
        </w:rPr>
        <w:t>,</w:t>
      </w:r>
      <w:r w:rsidRPr="00274C11">
        <w:rPr>
          <w:rFonts w:cs="Arial"/>
          <w:rtl/>
        </w:rPr>
        <w:t xml:space="preserve"> ודוגמא לזה מצינו בגמרא דב"ב דף כ"ד ע"ב ע"ש</w:t>
      </w:r>
      <w:r w:rsidRPr="00274C11">
        <w:rPr>
          <w:rFonts w:cs="Arial" w:hint="cs"/>
          <w:rtl/>
        </w:rPr>
        <w:t>,</w:t>
      </w:r>
      <w:r w:rsidRPr="00274C11">
        <w:rPr>
          <w:rFonts w:cs="Arial"/>
          <w:rtl/>
        </w:rPr>
        <w:t xml:space="preserve"> וצ"ע</w:t>
      </w:r>
      <w:r w:rsidRPr="00274C11">
        <w:rPr>
          <w:rFonts w:cs="Arial" w:hint="cs"/>
          <w:rtl/>
        </w:rPr>
        <w:t>.</w:t>
      </w:r>
    </w:p>
    <w:p w14:paraId="380670BC" w14:textId="77777777" w:rsidR="002E5BAD" w:rsidRDefault="002E5BAD" w:rsidP="002E5BAD">
      <w:pPr>
        <w:rPr>
          <w:rtl/>
        </w:rPr>
      </w:pPr>
    </w:p>
    <w:p w14:paraId="6A1FAAAB" w14:textId="77777777" w:rsidR="002E5BAD" w:rsidRDefault="002E5BAD" w:rsidP="002E5BAD">
      <w:pPr>
        <w:pStyle w:val="2"/>
        <w:rPr>
          <w:rtl/>
        </w:rPr>
      </w:pPr>
      <w:r>
        <w:rPr>
          <w:rtl/>
        </w:rPr>
        <w:t>סעיף טז</w:t>
      </w:r>
      <w:r>
        <w:rPr>
          <w:rFonts w:hint="cs"/>
          <w:rtl/>
        </w:rPr>
        <w:t>: הבעל טוען שאינה עושה מלאכה, והיא טוענת שכן.</w:t>
      </w:r>
    </w:p>
    <w:p w14:paraId="5BE3622C" w14:textId="77777777" w:rsidR="002E5BAD" w:rsidRPr="008A0FC9" w:rsidRDefault="002E5BAD" w:rsidP="002E5BAD">
      <w:pPr>
        <w:rPr>
          <w:u w:val="single"/>
          <w:rtl/>
        </w:rPr>
      </w:pPr>
      <w:r w:rsidRPr="008A0FC9">
        <w:rPr>
          <w:rFonts w:hint="cs"/>
          <w:u w:val="single"/>
          <w:rtl/>
        </w:rPr>
        <w:t>הבעל טוען שאינה עושה מלאכה, והיא טוענת שכן:</w:t>
      </w:r>
    </w:p>
    <w:p w14:paraId="3D3A1C15" w14:textId="77777777" w:rsidR="002E5BAD" w:rsidRPr="008A0FC9" w:rsidRDefault="002E5BAD" w:rsidP="002E5BAD">
      <w:pPr>
        <w:pStyle w:val="ab"/>
        <w:numPr>
          <w:ilvl w:val="0"/>
          <w:numId w:val="175"/>
        </w:numPr>
        <w:rPr>
          <w:rtl/>
        </w:rPr>
      </w:pPr>
      <w:r w:rsidRPr="008A0FC9">
        <w:rPr>
          <w:rFonts w:cs="Arial" w:hint="cs"/>
          <w:rtl/>
        </w:rPr>
        <w:t xml:space="preserve">רמב"ם </w:t>
      </w:r>
      <w:r w:rsidRPr="008A0FC9">
        <w:rPr>
          <w:rFonts w:cs="Arial" w:hint="cs"/>
          <w:sz w:val="16"/>
          <w:szCs w:val="16"/>
          <w:rtl/>
        </w:rPr>
        <w:t>(פכ"א ה"י)</w:t>
      </w:r>
      <w:r>
        <w:rPr>
          <w:rFonts w:cs="Arial" w:hint="cs"/>
          <w:rtl/>
        </w:rPr>
        <w:t xml:space="preserve"> וטור</w:t>
      </w:r>
      <w:r w:rsidRPr="008A0FC9">
        <w:rPr>
          <w:rFonts w:cs="Arial" w:hint="cs"/>
          <w:rtl/>
        </w:rPr>
        <w:t xml:space="preserve">- </w:t>
      </w:r>
      <w:r w:rsidRPr="008A0FC9">
        <w:rPr>
          <w:rFonts w:cs="Arial"/>
          <w:rtl/>
        </w:rPr>
        <w:t xml:space="preserve">טען הוא שאינה עושה והיא אומרת שאינה נמנעת מלעשות </w:t>
      </w:r>
      <w:r>
        <w:rPr>
          <w:rFonts w:cs="Arial" w:hint="cs"/>
          <w:rtl/>
        </w:rPr>
        <w:t xml:space="preserve">- </w:t>
      </w:r>
      <w:r w:rsidRPr="008A0FC9">
        <w:rPr>
          <w:rFonts w:cs="Arial"/>
          <w:rtl/>
        </w:rPr>
        <w:t>מושיבין אשה ביניהן או שכנים, ודבר זה כפי מה שיראה הדיין שאפשר בדבר</w:t>
      </w:r>
      <w:r>
        <w:rPr>
          <w:rFonts w:cs="Arial" w:hint="cs"/>
          <w:sz w:val="16"/>
          <w:szCs w:val="16"/>
          <w:rtl/>
        </w:rPr>
        <w:t xml:space="preserve"> (ל' הרמב"ם)</w:t>
      </w:r>
      <w:r w:rsidRPr="008A0FC9">
        <w:rPr>
          <w:rFonts w:cs="Arial"/>
          <w:rtl/>
        </w:rPr>
        <w:t>.</w:t>
      </w:r>
      <w:r w:rsidRPr="00561C12">
        <w:rPr>
          <w:rFonts w:cs="Arial" w:hint="cs"/>
          <w:color w:val="E36C0A" w:themeColor="accent6" w:themeShade="BF"/>
          <w:rtl/>
        </w:rPr>
        <w:t xml:space="preserve"> </w:t>
      </w:r>
      <w:r w:rsidRPr="006E3BCF">
        <w:rPr>
          <w:rFonts w:cs="Arial" w:hint="cs"/>
          <w:color w:val="E36C0A" w:themeColor="accent6" w:themeShade="BF"/>
          <w:rtl/>
        </w:rPr>
        <w:t>(וכ"פ בשו"ע)</w:t>
      </w:r>
    </w:p>
    <w:p w14:paraId="7954334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E3F5ED1" w14:textId="77777777" w:rsidR="002E5BAD" w:rsidRDefault="002E5BAD" w:rsidP="002E5BAD">
      <w:pPr>
        <w:rPr>
          <w:rtl/>
        </w:rPr>
      </w:pPr>
      <w:r>
        <w:rPr>
          <w:rFonts w:cs="Arial"/>
          <w:rtl/>
        </w:rPr>
        <w:t>טען הוא שאינה עושה, והיא אומרת שאינה נמנעת מלעשות, מושיבין אשה ביניהם</w:t>
      </w:r>
      <w:r>
        <w:rPr>
          <w:rStyle w:val="a7"/>
          <w:rFonts w:cs="Arial"/>
          <w:rtl/>
        </w:rPr>
        <w:footnoteReference w:id="1503"/>
      </w:r>
      <w:r>
        <w:rPr>
          <w:rFonts w:cs="Arial"/>
          <w:rtl/>
        </w:rPr>
        <w:t xml:space="preserve">, או שכנים. </w:t>
      </w:r>
    </w:p>
    <w:p w14:paraId="50254ADF" w14:textId="77777777" w:rsidR="002E5BAD" w:rsidRDefault="002E5BAD" w:rsidP="002E5BAD">
      <w:pPr>
        <w:rPr>
          <w:rtl/>
        </w:rPr>
      </w:pPr>
    </w:p>
    <w:p w14:paraId="41B629C6" w14:textId="77777777" w:rsidR="002E5BAD" w:rsidRDefault="002E5BAD" w:rsidP="002E5BAD">
      <w:pPr>
        <w:pStyle w:val="2"/>
        <w:rPr>
          <w:rtl/>
        </w:rPr>
      </w:pPr>
      <w:r>
        <w:rPr>
          <w:rtl/>
        </w:rPr>
        <w:t>סעיף יז</w:t>
      </w:r>
      <w:r>
        <w:rPr>
          <w:rFonts w:hint="cs"/>
          <w:rtl/>
        </w:rPr>
        <w:t>:</w:t>
      </w:r>
      <w:r w:rsidRPr="00860AF7">
        <w:rPr>
          <w:rFonts w:cs="Arial"/>
          <w:rtl/>
        </w:rPr>
        <w:t xml:space="preserve"> </w:t>
      </w:r>
      <w:r w:rsidRPr="00561C12">
        <w:rPr>
          <w:rFonts w:cs="Arial"/>
          <w:rtl/>
        </w:rPr>
        <w:t>אשה ששברה כלים בעת שעושה מלאכותיה</w:t>
      </w:r>
      <w:r>
        <w:rPr>
          <w:rFonts w:cs="Arial" w:hint="cs"/>
          <w:rtl/>
        </w:rPr>
        <w:t>.</w:t>
      </w:r>
    </w:p>
    <w:p w14:paraId="046D65D4" w14:textId="77777777" w:rsidR="002E5BAD" w:rsidRPr="00860AF7" w:rsidRDefault="002E5BAD" w:rsidP="002E5BAD">
      <w:pPr>
        <w:rPr>
          <w:rtl/>
        </w:rPr>
      </w:pPr>
      <w:r>
        <w:rPr>
          <w:rFonts w:cs="Arial" w:hint="cs"/>
          <w:b/>
          <w:bCs/>
          <w:rtl/>
        </w:rPr>
        <w:t xml:space="preserve">ירושלמי </w:t>
      </w:r>
      <w:r w:rsidRPr="00860AF7">
        <w:rPr>
          <w:rFonts w:cs="Arial" w:hint="cs"/>
          <w:b/>
          <w:bCs/>
          <w:rtl/>
        </w:rPr>
        <w:t xml:space="preserve">כתובות פ"ט ה"ד: </w:t>
      </w:r>
      <w:r w:rsidRPr="00860AF7">
        <w:rPr>
          <w:rFonts w:cs="Arial"/>
          <w:rtl/>
        </w:rPr>
        <w:t>שיברה את הכלים</w:t>
      </w:r>
      <w:r>
        <w:rPr>
          <w:rFonts w:cs="Arial" w:hint="cs"/>
          <w:rtl/>
        </w:rPr>
        <w:t>,</w:t>
      </w:r>
      <w:r w:rsidRPr="00860AF7">
        <w:rPr>
          <w:rFonts w:cs="Arial"/>
          <w:rtl/>
        </w:rPr>
        <w:t xml:space="preserve"> מה את עבד לה</w:t>
      </w:r>
      <w:r>
        <w:rPr>
          <w:rFonts w:cs="Arial" w:hint="cs"/>
          <w:rtl/>
        </w:rPr>
        <w:t>,</w:t>
      </w:r>
      <w:r w:rsidRPr="00860AF7">
        <w:rPr>
          <w:rFonts w:cs="Arial"/>
          <w:rtl/>
        </w:rPr>
        <w:t xml:space="preserve"> כשומרת חנם או כשומרת שכר</w:t>
      </w:r>
      <w:r>
        <w:rPr>
          <w:rFonts w:cs="Arial" w:hint="cs"/>
          <w:rtl/>
        </w:rPr>
        <w:t>?</w:t>
      </w:r>
      <w:r w:rsidRPr="00860AF7">
        <w:rPr>
          <w:rFonts w:cs="Arial"/>
          <w:rtl/>
        </w:rPr>
        <w:t xml:space="preserve"> מסתברא מיעבדינה כשומרת שכר</w:t>
      </w:r>
      <w:r>
        <w:rPr>
          <w:rFonts w:cs="Arial" w:hint="cs"/>
          <w:rtl/>
        </w:rPr>
        <w:t>.</w:t>
      </w:r>
      <w:r w:rsidRPr="00860AF7">
        <w:rPr>
          <w:rFonts w:cs="Arial"/>
          <w:rtl/>
        </w:rPr>
        <w:t xml:space="preserve"> </w:t>
      </w:r>
      <w:r w:rsidRPr="00634AE3">
        <w:rPr>
          <w:rFonts w:cs="Arial"/>
          <w:u w:val="single"/>
          <w:rtl/>
        </w:rPr>
        <w:t>אמרין</w:t>
      </w:r>
      <w:r>
        <w:rPr>
          <w:rFonts w:cs="Arial" w:hint="cs"/>
          <w:rtl/>
        </w:rPr>
        <w:t>:</w:t>
      </w:r>
      <w:r w:rsidRPr="00860AF7">
        <w:rPr>
          <w:rFonts w:cs="Arial"/>
          <w:rtl/>
        </w:rPr>
        <w:t xml:space="preserve"> אפילו כשומרת חנם אינה</w:t>
      </w:r>
      <w:r>
        <w:rPr>
          <w:rFonts w:cs="Arial" w:hint="cs"/>
          <w:rtl/>
        </w:rPr>
        <w:t>,</w:t>
      </w:r>
      <w:r w:rsidRPr="00860AF7">
        <w:rPr>
          <w:rFonts w:cs="Arial"/>
          <w:rtl/>
        </w:rPr>
        <w:t xml:space="preserve"> אם אומר את כן אין שלום בתוך ביתו לעולם</w:t>
      </w:r>
      <w:r>
        <w:rPr>
          <w:rFonts w:hint="cs"/>
          <w:rtl/>
        </w:rPr>
        <w:t>.</w:t>
      </w:r>
    </w:p>
    <w:p w14:paraId="73E821C5" w14:textId="77777777" w:rsidR="002E5BAD" w:rsidRPr="00860AF7" w:rsidRDefault="002E5BAD" w:rsidP="002E5BAD">
      <w:pPr>
        <w:rPr>
          <w:u w:val="single"/>
          <w:rtl/>
        </w:rPr>
      </w:pPr>
      <w:r w:rsidRPr="00860AF7">
        <w:rPr>
          <w:rFonts w:cs="Arial"/>
          <w:u w:val="single"/>
          <w:rtl/>
        </w:rPr>
        <w:t>אשה ששברה כלים בעת שעושה מלאכותיה</w:t>
      </w:r>
      <w:r w:rsidRPr="00860AF7">
        <w:rPr>
          <w:rFonts w:hint="cs"/>
          <w:u w:val="single"/>
          <w:rtl/>
        </w:rPr>
        <w:t>:</w:t>
      </w:r>
    </w:p>
    <w:p w14:paraId="2B6485C4" w14:textId="77777777" w:rsidR="002E5BAD" w:rsidRDefault="002E5BAD" w:rsidP="002E5BAD">
      <w:pPr>
        <w:pStyle w:val="ab"/>
        <w:numPr>
          <w:ilvl w:val="0"/>
          <w:numId w:val="166"/>
        </w:numPr>
      </w:pPr>
      <w:r>
        <w:rPr>
          <w:rFonts w:cs="Arial" w:hint="cs"/>
          <w:rtl/>
        </w:rPr>
        <w:t xml:space="preserve">רמב"ם </w:t>
      </w:r>
      <w:r>
        <w:rPr>
          <w:rFonts w:cs="Arial" w:hint="cs"/>
          <w:sz w:val="16"/>
          <w:szCs w:val="16"/>
          <w:rtl/>
        </w:rPr>
        <w:t xml:space="preserve">(פכ"א ה"ט) </w:t>
      </w:r>
      <w:r>
        <w:rPr>
          <w:rFonts w:cs="Arial" w:hint="cs"/>
          <w:rtl/>
        </w:rPr>
        <w:t xml:space="preserve">וטור- </w:t>
      </w:r>
      <w:r w:rsidRPr="00561C12">
        <w:rPr>
          <w:rFonts w:cs="Arial"/>
          <w:rtl/>
        </w:rPr>
        <w:t>האשה ששברה כלים בעת שעושה מלאכותיה בתוך ביתה פטורה, ואין זה מן הדין אלא תקנה</w:t>
      </w:r>
      <w:r>
        <w:rPr>
          <w:rStyle w:val="a7"/>
          <w:rFonts w:cs="Arial"/>
          <w:rtl/>
        </w:rPr>
        <w:footnoteReference w:id="1504"/>
      </w:r>
      <w:r w:rsidRPr="00561C12">
        <w:rPr>
          <w:rFonts w:cs="Arial"/>
          <w:rtl/>
        </w:rPr>
        <w:t>, שאם אין אתה אומר כן אין שלום בתוך הבית לעולם אלא נמצאת נזהרת ונמנעת מרוב המלאכות ונמצאת קטטה ביניהם</w:t>
      </w:r>
      <w:r>
        <w:rPr>
          <w:rFonts w:cs="Arial" w:hint="cs"/>
          <w:sz w:val="16"/>
          <w:szCs w:val="16"/>
          <w:rtl/>
        </w:rPr>
        <w:t xml:space="preserve"> (ל' הרמב"ם)</w:t>
      </w:r>
      <w:r w:rsidRPr="00561C12">
        <w:rPr>
          <w:rFonts w:cs="Arial"/>
          <w:rtl/>
        </w:rPr>
        <w:t>.</w:t>
      </w:r>
      <w:r>
        <w:rPr>
          <w:rFonts w:cs="Arial" w:hint="cs"/>
          <w:rtl/>
        </w:rPr>
        <w:t xml:space="preserve"> </w:t>
      </w:r>
      <w:r w:rsidRPr="006E3BCF">
        <w:rPr>
          <w:rFonts w:cs="Arial" w:hint="cs"/>
          <w:color w:val="E36C0A" w:themeColor="accent6" w:themeShade="BF"/>
          <w:rtl/>
        </w:rPr>
        <w:t>(וכ"פ בשו"ע)</w:t>
      </w:r>
    </w:p>
    <w:p w14:paraId="4A6C8C24" w14:textId="77777777" w:rsidR="002E5BAD" w:rsidRDefault="002E5BAD" w:rsidP="002E5BAD">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w:t>
      </w:r>
      <w:r>
        <w:rPr>
          <w:rFonts w:cs="Arial" w:hint="cs"/>
          <w:b/>
          <w:bCs/>
          <w:rtl/>
        </w:rPr>
        <w:t>א</w:t>
      </w:r>
      <w:r w:rsidRPr="005A6BAC">
        <w:rPr>
          <w:rFonts w:cs="Arial" w:hint="cs"/>
          <w:b/>
          <w:bCs/>
          <w:rtl/>
        </w:rPr>
        <w:t xml:space="preserve"> ע"א</w:t>
      </w:r>
      <w:r w:rsidRPr="005A6BAC">
        <w:rPr>
          <w:rFonts w:cs="Arial"/>
          <w:b/>
          <w:bCs/>
          <w:rtl/>
        </w:rPr>
        <w:t>:</w:t>
      </w:r>
      <w:r w:rsidRPr="005A6BAC">
        <w:rPr>
          <w:rFonts w:cs="Arial" w:hint="cs"/>
          <w:rtl/>
        </w:rPr>
        <w:t xml:space="preserve"> </w:t>
      </w:r>
      <w:r w:rsidRPr="00860AF7">
        <w:rPr>
          <w:rFonts w:cs="Arial"/>
          <w:u w:val="single"/>
          <w:rtl/>
        </w:rPr>
        <w:t>אמר רב יצחק בר חנניא אמר רב הונא</w:t>
      </w:r>
      <w:r w:rsidRPr="00860AF7">
        <w:rPr>
          <w:rFonts w:cs="Arial"/>
          <w:rtl/>
        </w:rPr>
        <w:t xml:space="preserve">: כל מלאכות שהאשה עושה לבעלה - נדה עושה לבעלה, חוץ ממזיגת הכוס, והצעת המטה, והרחצת פניו ידיו ורגליו. והצעת המטה, </w:t>
      </w:r>
      <w:r w:rsidRPr="00860AF7">
        <w:rPr>
          <w:rFonts w:cs="Arial"/>
          <w:u w:val="single"/>
          <w:rtl/>
        </w:rPr>
        <w:t>אמר רבא</w:t>
      </w:r>
      <w:r w:rsidRPr="00860AF7">
        <w:rPr>
          <w:rFonts w:cs="Arial"/>
          <w:rtl/>
        </w:rPr>
        <w:t>: לא אמרן אלא בפניו, אבל שלא בפניו לית לן בה. ומזיגת הכוס. שמואל, מחלפא ליה דביתהו בידא דשמאלא. אביי, מנחא ליה אפומא דכובא. רבא, אבי סדיא. רב פפא, אשרשיפא.</w:t>
      </w:r>
    </w:p>
    <w:p w14:paraId="4149160C" w14:textId="77777777" w:rsidR="002E5BAD" w:rsidRPr="00860AF7" w:rsidRDefault="002E5BAD" w:rsidP="002E5BAD">
      <w:pPr>
        <w:rPr>
          <w:u w:val="single"/>
        </w:rPr>
      </w:pPr>
      <w:r w:rsidRPr="00860AF7">
        <w:rPr>
          <w:rFonts w:hint="cs"/>
          <w:u w:val="single"/>
          <w:rtl/>
        </w:rPr>
        <w:t>המלאכות שעושה אשה לבעלה בזמן שהיא נדה:</w:t>
      </w:r>
    </w:p>
    <w:p w14:paraId="2BDFA373" w14:textId="77777777" w:rsidR="002E5BAD" w:rsidRPr="00DC4762" w:rsidRDefault="002E5BAD" w:rsidP="002E5BAD">
      <w:pPr>
        <w:pStyle w:val="ab"/>
        <w:numPr>
          <w:ilvl w:val="0"/>
          <w:numId w:val="166"/>
        </w:numPr>
        <w:rPr>
          <w:rtl/>
        </w:rPr>
      </w:pPr>
      <w:r>
        <w:rPr>
          <w:rFonts w:cs="Arial" w:hint="cs"/>
          <w:rtl/>
        </w:rPr>
        <w:t xml:space="preserve">טור- </w:t>
      </w:r>
      <w:r w:rsidRPr="000A7A9C">
        <w:rPr>
          <w:rFonts w:cs="Arial"/>
          <w:rtl/>
        </w:rPr>
        <w:t>כל המלאכות שהאשה עושה לבעלה נדה עושה לבעלה חוץ מהצעת המטה בפניו</w:t>
      </w:r>
      <w:r>
        <w:rPr>
          <w:rFonts w:cs="Arial" w:hint="cs"/>
          <w:rtl/>
        </w:rPr>
        <w:t>,</w:t>
      </w:r>
      <w:r w:rsidRPr="000A7A9C">
        <w:rPr>
          <w:rFonts w:cs="Arial"/>
          <w:rtl/>
        </w:rPr>
        <w:t xml:space="preserve"> אבל שלא בפניו מותר</w:t>
      </w:r>
      <w:r>
        <w:rPr>
          <w:rFonts w:cs="Arial" w:hint="cs"/>
          <w:rtl/>
        </w:rPr>
        <w:t>.</w:t>
      </w:r>
      <w:r w:rsidRPr="000A7A9C">
        <w:rPr>
          <w:rFonts w:cs="Arial"/>
          <w:rtl/>
        </w:rPr>
        <w:t xml:space="preserve"> ולא תמזוג לו כוס אפי' להניחו בפניו על השלחן אם לא שינתה כגון ביד שמאל או תניחנו על הארץ או על ד"א</w:t>
      </w:r>
      <w:r>
        <w:rPr>
          <w:rFonts w:cs="Arial" w:hint="cs"/>
          <w:rtl/>
        </w:rPr>
        <w:t>.</w:t>
      </w:r>
      <w:r w:rsidRPr="000A7A9C">
        <w:rPr>
          <w:rFonts w:cs="Arial"/>
          <w:rtl/>
        </w:rPr>
        <w:t xml:space="preserve"> ולא תצוק לו מים לרחוץ פניו ידיו ורגליו</w:t>
      </w:r>
      <w:r>
        <w:rPr>
          <w:rFonts w:cs="Arial" w:hint="cs"/>
          <w:rtl/>
        </w:rPr>
        <w:t>.</w:t>
      </w:r>
      <w:r w:rsidRPr="000A7A9C">
        <w:rPr>
          <w:rFonts w:cs="Arial"/>
          <w:rtl/>
        </w:rPr>
        <w:t xml:space="preserve"> ואסור ליקח שום דבר מידו לידה או ליתנו לידה</w:t>
      </w:r>
      <w:r>
        <w:rPr>
          <w:rStyle w:val="a7"/>
          <w:rFonts w:cs="Arial"/>
          <w:rtl/>
        </w:rPr>
        <w:footnoteReference w:id="1505"/>
      </w:r>
      <w:r>
        <w:rPr>
          <w:rFonts w:cs="Arial" w:hint="cs"/>
          <w:rtl/>
        </w:rPr>
        <w:t>.</w:t>
      </w:r>
      <w:r w:rsidRPr="000A7A9C">
        <w:rPr>
          <w:rFonts w:cs="Arial"/>
          <w:rtl/>
        </w:rPr>
        <w:t xml:space="preserve"> </w:t>
      </w:r>
    </w:p>
    <w:p w14:paraId="3D8E4B7E"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6F2FD03" w14:textId="77777777" w:rsidR="002E5BAD" w:rsidRDefault="002E5BAD" w:rsidP="002E5BAD">
      <w:pPr>
        <w:rPr>
          <w:rtl/>
        </w:rPr>
      </w:pPr>
      <w:r>
        <w:rPr>
          <w:rFonts w:cs="Arial"/>
          <w:rtl/>
        </w:rPr>
        <w:t>האשה ששברה כלים בעת</w:t>
      </w:r>
      <w:r>
        <w:rPr>
          <w:rStyle w:val="a7"/>
          <w:rFonts w:cs="Arial"/>
          <w:rtl/>
        </w:rPr>
        <w:footnoteReference w:id="1506"/>
      </w:r>
      <w:r>
        <w:rPr>
          <w:rFonts w:cs="Arial"/>
          <w:rtl/>
        </w:rPr>
        <w:t xml:space="preserve"> שעשתה מלאכותיה בתוך ביתה, פטורה. </w:t>
      </w:r>
    </w:p>
    <w:p w14:paraId="02E12693" w14:textId="77777777" w:rsidR="002E5BAD" w:rsidRDefault="002E5BAD" w:rsidP="002E5BAD">
      <w:pPr>
        <w:rPr>
          <w:rtl/>
        </w:rPr>
      </w:pPr>
    </w:p>
    <w:p w14:paraId="129177A6" w14:textId="77777777" w:rsidR="002E5BAD" w:rsidRDefault="002E5BAD" w:rsidP="002E5BAD">
      <w:pPr>
        <w:pStyle w:val="2"/>
        <w:rPr>
          <w:rtl/>
        </w:rPr>
      </w:pPr>
      <w:r>
        <w:rPr>
          <w:rtl/>
        </w:rPr>
        <w:t>סעיף יח</w:t>
      </w:r>
      <w:r>
        <w:rPr>
          <w:rFonts w:hint="cs"/>
          <w:rtl/>
        </w:rPr>
        <w:t>: התנה עם אשתו שאין לה מזונות ושאין לו את מעשה ידיה, וחזר אח"כ והתחייב לה.</w:t>
      </w:r>
    </w:p>
    <w:p w14:paraId="71A7CF28" w14:textId="77777777" w:rsidR="002E5BAD" w:rsidRPr="009C039A" w:rsidRDefault="002E5BAD" w:rsidP="002E5BAD">
      <w:pPr>
        <w:rPr>
          <w:u w:val="single"/>
          <w:rtl/>
        </w:rPr>
      </w:pPr>
      <w:r w:rsidRPr="009C039A">
        <w:rPr>
          <w:rFonts w:hint="cs"/>
          <w:u w:val="single"/>
          <w:rtl/>
        </w:rPr>
        <w:t>התנה עם אשתו שאין לה מזונות ושאין לו את מעשה ידיה, וחזר אח"כ והתחייב לה:</w:t>
      </w:r>
    </w:p>
    <w:p w14:paraId="4DC316AF" w14:textId="77777777" w:rsidR="002E5BAD" w:rsidRDefault="002E5BAD" w:rsidP="002E5BAD">
      <w:pPr>
        <w:pStyle w:val="ab"/>
        <w:numPr>
          <w:ilvl w:val="0"/>
          <w:numId w:val="166"/>
        </w:numPr>
      </w:pPr>
      <w:r w:rsidRPr="008A0FC9">
        <w:rPr>
          <w:rFonts w:cs="Arial"/>
          <w:rtl/>
        </w:rPr>
        <w:t>ריב"ש</w:t>
      </w:r>
      <w:r w:rsidRPr="008A0FC9">
        <w:rPr>
          <w:rFonts w:cs="Arial"/>
          <w:sz w:val="16"/>
          <w:szCs w:val="16"/>
          <w:rtl/>
        </w:rPr>
        <w:t xml:space="preserve"> </w:t>
      </w:r>
      <w:r w:rsidRPr="008A0FC9">
        <w:rPr>
          <w:rFonts w:cs="Arial" w:hint="cs"/>
          <w:sz w:val="16"/>
          <w:szCs w:val="16"/>
          <w:rtl/>
        </w:rPr>
        <w:t>(</w:t>
      </w:r>
      <w:r w:rsidRPr="008A0FC9">
        <w:rPr>
          <w:rFonts w:cs="Arial"/>
          <w:sz w:val="16"/>
          <w:szCs w:val="16"/>
          <w:rtl/>
        </w:rPr>
        <w:t>סי</w:t>
      </w:r>
      <w:r w:rsidRPr="008A0FC9">
        <w:rPr>
          <w:rFonts w:cs="Arial" w:hint="cs"/>
          <w:sz w:val="16"/>
          <w:szCs w:val="16"/>
          <w:rtl/>
        </w:rPr>
        <w:t>'</w:t>
      </w:r>
      <w:r w:rsidRPr="008A0FC9">
        <w:rPr>
          <w:rFonts w:cs="Arial"/>
          <w:sz w:val="16"/>
          <w:szCs w:val="16"/>
          <w:rtl/>
        </w:rPr>
        <w:t xml:space="preserve"> תפ</w:t>
      </w:r>
      <w:r w:rsidRPr="008A0FC9">
        <w:rPr>
          <w:rFonts w:cs="Arial" w:hint="cs"/>
          <w:sz w:val="16"/>
          <w:szCs w:val="16"/>
          <w:rtl/>
        </w:rPr>
        <w:t>)</w:t>
      </w:r>
      <w:r w:rsidRPr="008A0FC9">
        <w:rPr>
          <w:rFonts w:cs="Arial" w:hint="cs"/>
          <w:rtl/>
        </w:rPr>
        <w:t>-</w:t>
      </w:r>
      <w:r w:rsidRPr="008A0FC9">
        <w:rPr>
          <w:rFonts w:cs="Arial"/>
          <w:rtl/>
        </w:rPr>
        <w:t xml:space="preserve"> האיש שהתנה עם אשתו שלא יתחייב במזונותיה וכן היא לא תתחייב לו במעשה ידיה</w:t>
      </w:r>
      <w:r>
        <w:rPr>
          <w:rFonts w:cs="Arial" w:hint="cs"/>
          <w:rtl/>
        </w:rPr>
        <w:t>,</w:t>
      </w:r>
      <w:r w:rsidRPr="008A0FC9">
        <w:rPr>
          <w:rFonts w:cs="Arial"/>
          <w:rtl/>
        </w:rPr>
        <w:t xml:space="preserve"> אם אח"כ רצה הוא לתת לה במתנה ונתחייב לה במזונותיה</w:t>
      </w:r>
      <w:r>
        <w:rPr>
          <w:rFonts w:cs="Arial" w:hint="cs"/>
          <w:rtl/>
        </w:rPr>
        <w:t>,</w:t>
      </w:r>
      <w:r w:rsidRPr="008A0FC9">
        <w:rPr>
          <w:rFonts w:cs="Arial"/>
          <w:rtl/>
        </w:rPr>
        <w:t xml:space="preserve"> כיון שאינה אוכלת בתקנת חכמים אלא מן הדין מכח המתנה </w:t>
      </w:r>
      <w:r>
        <w:rPr>
          <w:rFonts w:cs="Arial" w:hint="cs"/>
          <w:rtl/>
        </w:rPr>
        <w:t xml:space="preserve">- </w:t>
      </w:r>
      <w:r w:rsidRPr="008A0FC9">
        <w:rPr>
          <w:rFonts w:cs="Arial"/>
          <w:rtl/>
        </w:rPr>
        <w:t>ליכא למימר מעשה ידיה שלו משום איבה</w:t>
      </w:r>
      <w:r>
        <w:rPr>
          <w:rFonts w:cs="Arial" w:hint="cs"/>
          <w:rtl/>
        </w:rPr>
        <w:t>,</w:t>
      </w:r>
      <w:r w:rsidRPr="008A0FC9">
        <w:rPr>
          <w:rFonts w:cs="Arial"/>
          <w:rtl/>
        </w:rPr>
        <w:t xml:space="preserve"> דליתיה להאי טעמא אלא כשאוכלת מן התקנה ולא מן הדין</w:t>
      </w:r>
      <w:r>
        <w:rPr>
          <w:rFonts w:cs="Arial" w:hint="cs"/>
          <w:rtl/>
        </w:rPr>
        <w:t>.</w:t>
      </w:r>
    </w:p>
    <w:p w14:paraId="504A19CE" w14:textId="77777777" w:rsidR="002E5BAD" w:rsidRPr="00576485" w:rsidRDefault="002E5BAD" w:rsidP="002E5BAD">
      <w:pPr>
        <w:rPr>
          <w:u w:val="single"/>
        </w:rPr>
      </w:pPr>
      <w:r w:rsidRPr="00576485">
        <w:rPr>
          <w:rFonts w:cs="Arial"/>
          <w:u w:val="single"/>
          <w:rtl/>
        </w:rPr>
        <w:t>אשה ששתקה ולא תבעה מזונות</w:t>
      </w:r>
      <w:r w:rsidRPr="00576485">
        <w:rPr>
          <w:rFonts w:cs="Arial" w:hint="cs"/>
          <w:u w:val="single"/>
          <w:rtl/>
        </w:rPr>
        <w:t>/</w:t>
      </w:r>
      <w:r w:rsidRPr="00576485">
        <w:rPr>
          <w:rFonts w:cs="Arial"/>
          <w:u w:val="single"/>
          <w:rtl/>
        </w:rPr>
        <w:t>מעה כסף</w:t>
      </w:r>
      <w:r w:rsidRPr="00576485">
        <w:rPr>
          <w:rFonts w:hint="cs"/>
          <w:u w:val="single"/>
          <w:rtl/>
        </w:rPr>
        <w:t xml:space="preserve"> </w:t>
      </w:r>
      <w:r w:rsidRPr="00576485">
        <w:rPr>
          <w:u w:val="single"/>
          <w:rtl/>
        </w:rPr>
        <w:t>–</w:t>
      </w:r>
      <w:r w:rsidRPr="00576485">
        <w:rPr>
          <w:rFonts w:hint="cs"/>
          <w:u w:val="single"/>
          <w:rtl/>
        </w:rPr>
        <w:t xml:space="preserve"> האם מעשה ידיה/המותר שלה:</w:t>
      </w:r>
    </w:p>
    <w:p w14:paraId="45CCD2B2" w14:textId="77777777" w:rsidR="002E5BAD" w:rsidRPr="000A7A9C" w:rsidRDefault="002E5BAD" w:rsidP="002E5BAD">
      <w:pPr>
        <w:pStyle w:val="ab"/>
        <w:numPr>
          <w:ilvl w:val="0"/>
          <w:numId w:val="166"/>
        </w:numPr>
        <w:rPr>
          <w:rt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Pr="00513959">
        <w:rPr>
          <w:rFonts w:cs="Arial"/>
          <w:sz w:val="16"/>
          <w:szCs w:val="16"/>
          <w:rtl/>
        </w:rPr>
        <w:t>סי' ג)</w:t>
      </w:r>
      <w:r>
        <w:rPr>
          <w:rFonts w:cs="Arial" w:hint="cs"/>
          <w:rtl/>
        </w:rPr>
        <w:t xml:space="preserve"> וטור</w:t>
      </w:r>
      <w:r>
        <w:rPr>
          <w:rFonts w:cs="Arial" w:hint="cs"/>
          <w:sz w:val="16"/>
          <w:szCs w:val="16"/>
          <w:rtl/>
        </w:rPr>
        <w:t xml:space="preserve"> (סי' ע)</w:t>
      </w:r>
      <w:r>
        <w:rPr>
          <w:rFonts w:cs="Arial" w:hint="cs"/>
          <w:rtl/>
        </w:rPr>
        <w:t xml:space="preserve">- </w:t>
      </w:r>
      <w:r w:rsidRPr="009826B1">
        <w:rPr>
          <w:rFonts w:cs="Arial"/>
          <w:rtl/>
        </w:rPr>
        <w:t>ונותן לה מעה כסף לשבוע לצורך דברים קטנים</w:t>
      </w:r>
      <w:r>
        <w:rPr>
          <w:rFonts w:cs="Arial" w:hint="cs"/>
          <w:rtl/>
        </w:rPr>
        <w:t>,</w:t>
      </w:r>
      <w:r w:rsidRPr="009826B1">
        <w:rPr>
          <w:rFonts w:cs="Arial"/>
          <w:rtl/>
        </w:rPr>
        <w:t xml:space="preserve"> ואם אינו נותנו לה</w:t>
      </w:r>
      <w:r>
        <w:rPr>
          <w:rStyle w:val="a7"/>
          <w:rFonts w:cs="Arial"/>
          <w:rtl/>
        </w:rPr>
        <w:footnoteReference w:id="1507"/>
      </w:r>
      <w:r w:rsidRPr="009826B1">
        <w:rPr>
          <w:rFonts w:cs="Arial"/>
          <w:rtl/>
        </w:rPr>
        <w:t xml:space="preserve"> מה שעשתה מותר על המעשה ידיה הקצוב שחייבת לתת לו</w:t>
      </w:r>
      <w:r>
        <w:rPr>
          <w:rFonts w:cs="Arial" w:hint="cs"/>
          <w:rtl/>
        </w:rPr>
        <w:t>...</w:t>
      </w:r>
      <w:r>
        <w:rPr>
          <w:rFonts w:cs="Arial" w:hint="cs"/>
          <w:sz w:val="16"/>
          <w:szCs w:val="16"/>
          <w:rtl/>
        </w:rPr>
        <w:t xml:space="preserve"> </w:t>
      </w:r>
      <w:r>
        <w:rPr>
          <w:rFonts w:cs="Arial" w:hint="cs"/>
          <w:rtl/>
        </w:rPr>
        <w:t xml:space="preserve">- </w:t>
      </w:r>
      <w:r w:rsidRPr="009826B1">
        <w:rPr>
          <w:rFonts w:cs="Arial"/>
          <w:rtl/>
        </w:rPr>
        <w:t>הוא שלה</w:t>
      </w:r>
      <w:r>
        <w:rPr>
          <w:rFonts w:hint="cs"/>
          <w:sz w:val="16"/>
          <w:szCs w:val="16"/>
          <w:rtl/>
        </w:rPr>
        <w:t xml:space="preserve"> </w:t>
      </w:r>
      <w:r w:rsidRPr="00576485">
        <w:rPr>
          <w:rFonts w:hint="cs"/>
          <w:sz w:val="16"/>
          <w:szCs w:val="16"/>
          <w:rtl/>
        </w:rPr>
        <w:t>(ל' הטור)</w:t>
      </w:r>
      <w:r>
        <w:rPr>
          <w:rFonts w:cs="Arial" w:hint="cs"/>
          <w:rtl/>
        </w:rPr>
        <w:t>.</w:t>
      </w:r>
    </w:p>
    <w:p w14:paraId="5DBBCEDA" w14:textId="77777777" w:rsidR="002E5BAD" w:rsidRPr="00827F1B" w:rsidRDefault="002E5BAD" w:rsidP="002E5BAD">
      <w:pPr>
        <w:rPr>
          <w:u w:val="single"/>
        </w:rPr>
      </w:pPr>
      <w:r w:rsidRPr="00827F1B">
        <w:rPr>
          <w:rFonts w:hint="cs"/>
          <w:u w:val="single"/>
          <w:rtl/>
        </w:rPr>
        <w:t xml:space="preserve">אשה שאינה עושה את מלאכות הבית שמוטלות עליה </w:t>
      </w:r>
      <w:r w:rsidRPr="00827F1B">
        <w:rPr>
          <w:u w:val="single"/>
          <w:rtl/>
        </w:rPr>
        <w:t>–</w:t>
      </w:r>
      <w:r w:rsidRPr="00827F1B">
        <w:rPr>
          <w:rFonts w:hint="cs"/>
          <w:u w:val="single"/>
          <w:rtl/>
        </w:rPr>
        <w:t xml:space="preserve"> ובעלה רוצה להוריד ממזונותיה כדי לשכור מי שתעשה:</w:t>
      </w:r>
    </w:p>
    <w:p w14:paraId="08FB7962" w14:textId="77777777" w:rsidR="002E5BAD" w:rsidRPr="00E17CFB" w:rsidRDefault="002E5BAD" w:rsidP="002E5BAD">
      <w:pPr>
        <w:pStyle w:val="ab"/>
        <w:numPr>
          <w:ilvl w:val="0"/>
          <w:numId w:val="136"/>
        </w:numPr>
      </w:pPr>
      <w:r w:rsidRPr="000E571B">
        <w:rPr>
          <w:rFonts w:cs="Arial"/>
          <w:rtl/>
        </w:rPr>
        <w:t>רשב"א</w:t>
      </w:r>
      <w:r w:rsidRPr="000E571B">
        <w:rPr>
          <w:rFonts w:cs="Arial"/>
          <w:sz w:val="16"/>
          <w:szCs w:val="16"/>
          <w:rtl/>
        </w:rPr>
        <w:t xml:space="preserve"> </w:t>
      </w:r>
      <w:r w:rsidRPr="000E571B">
        <w:rPr>
          <w:rFonts w:cs="Arial" w:hint="cs"/>
          <w:sz w:val="16"/>
          <w:szCs w:val="16"/>
          <w:rtl/>
        </w:rPr>
        <w:t>(</w:t>
      </w:r>
      <w:r w:rsidRPr="000E571B">
        <w:rPr>
          <w:rFonts w:cs="Arial"/>
          <w:sz w:val="16"/>
          <w:szCs w:val="16"/>
          <w:rtl/>
        </w:rPr>
        <w:t>בתשו</w:t>
      </w:r>
      <w:r w:rsidRPr="000E571B">
        <w:rPr>
          <w:rFonts w:cs="Arial" w:hint="cs"/>
          <w:sz w:val="16"/>
          <w:szCs w:val="16"/>
          <w:rtl/>
        </w:rPr>
        <w:t>', הביאה הב"י בסי' עז)</w:t>
      </w:r>
      <w:r>
        <w:rPr>
          <w:rFonts w:cs="Arial" w:hint="cs"/>
          <w:rtl/>
        </w:rPr>
        <w:t>-</w:t>
      </w:r>
      <w:r w:rsidRPr="000E571B">
        <w:rPr>
          <w:rFonts w:cs="Arial"/>
          <w:rtl/>
        </w:rPr>
        <w:t xml:space="preserve"> אשה שהניחה בעלה בבית אביו והלך חוץ לעיר וחלתה והלכה לבית אביה ולותה למזונותיה ולרפואתה</w:t>
      </w:r>
      <w:r>
        <w:rPr>
          <w:rFonts w:cs="Arial" w:hint="cs"/>
          <w:rtl/>
        </w:rPr>
        <w:t>.</w:t>
      </w:r>
      <w:r w:rsidRPr="000E571B">
        <w:rPr>
          <w:rFonts w:cs="Arial"/>
          <w:rtl/>
        </w:rPr>
        <w:t xml:space="preserve"> הדין עמה</w:t>
      </w:r>
      <w:r>
        <w:rPr>
          <w:rFonts w:cs="Arial" w:hint="cs"/>
          <w:rtl/>
        </w:rPr>
        <w:t>,</w:t>
      </w:r>
      <w:r w:rsidRPr="000E571B">
        <w:rPr>
          <w:rFonts w:cs="Arial"/>
          <w:rtl/>
        </w:rPr>
        <w:t xml:space="preserve"> וכל שלותה לצורך מזונותיה ורפואתה בעוד שלא היה בעלה בעיר בודאי חייב הבעל לשלם מה שלותה</w:t>
      </w:r>
      <w:r>
        <w:rPr>
          <w:rFonts w:cs="Arial" w:hint="cs"/>
          <w:rtl/>
        </w:rPr>
        <w:t>,</w:t>
      </w:r>
      <w:r w:rsidRPr="000E571B">
        <w:rPr>
          <w:rFonts w:cs="Arial"/>
          <w:rtl/>
        </w:rPr>
        <w:t xml:space="preserve"> ואפילו לחנן ואפילו לאחר שבא בעלה אם עדיין חולה ואינה זנה ומפרנסה ועמדה ולותה חייב לפרוע מה שלותה בין למזונותיה בין לרפואתה הדומה למזונות דהיינו שאין לה קצבה</w:t>
      </w:r>
      <w:r>
        <w:rPr>
          <w:rFonts w:cs="Arial" w:hint="cs"/>
          <w:rtl/>
        </w:rPr>
        <w:t>.</w:t>
      </w:r>
      <w:r w:rsidRPr="000E571B">
        <w:rPr>
          <w:rFonts w:cs="Arial"/>
          <w:rtl/>
        </w:rPr>
        <w:t xml:space="preserve"> ומה שטען שהוא לא שלחה מביתו אינה טענה שהרי הוצרכה לצאת אצל אביה שמשתדל ברפואתה</w:t>
      </w:r>
      <w:r>
        <w:rPr>
          <w:rFonts w:cs="Arial" w:hint="cs"/>
          <w:rtl/>
        </w:rPr>
        <w:t>,</w:t>
      </w:r>
      <w:r w:rsidRPr="000E571B">
        <w:rPr>
          <w:rFonts w:cs="Arial"/>
          <w:rtl/>
        </w:rPr>
        <w:t xml:space="preserve"> ואפילו היה חמיה משתדל ברפאותה מה הנאה יש לראובן בין עומדת כאן בין עומדת כאן והיא אינה מורדת</w:t>
      </w:r>
      <w:r>
        <w:rPr>
          <w:rFonts w:cs="Arial" w:hint="cs"/>
          <w:rtl/>
        </w:rPr>
        <w:t>,</w:t>
      </w:r>
      <w:r w:rsidRPr="000E571B">
        <w:rPr>
          <w:rFonts w:cs="Arial"/>
          <w:rtl/>
        </w:rPr>
        <w:t xml:space="preserve"> ואי משום מלאכה חולה לאו בת מלאכה היא</w:t>
      </w:r>
      <w:r>
        <w:rPr>
          <w:rFonts w:cs="Arial" w:hint="cs"/>
          <w:rtl/>
        </w:rPr>
        <w:t>.</w:t>
      </w:r>
      <w:r w:rsidRPr="000E571B">
        <w:rPr>
          <w:rFonts w:cs="Arial"/>
          <w:rtl/>
        </w:rPr>
        <w:t xml:space="preserve"> אבל אם לאחר שבא ראובן ונתרפאת אף על פי שאינה מורדת מתשמיש אם אינה רוצה לשוב לו ולעשות לו דברים שהיא חייבת לעשות לבעלה ולפי מה שהיא אשה</w:t>
      </w:r>
      <w:r>
        <w:rPr>
          <w:rFonts w:cs="Arial" w:hint="cs"/>
          <w:rtl/>
        </w:rPr>
        <w:t>,</w:t>
      </w:r>
      <w:r w:rsidRPr="000E571B">
        <w:rPr>
          <w:rFonts w:cs="Arial"/>
          <w:rtl/>
        </w:rPr>
        <w:t xml:space="preserve"> כי יש נשים שמכניסות לבעל שפחות ויש שאינן מכניסות</w:t>
      </w:r>
      <w:r>
        <w:rPr>
          <w:rFonts w:cs="Arial" w:hint="cs"/>
          <w:rtl/>
        </w:rPr>
        <w:t>,</w:t>
      </w:r>
      <w:r w:rsidRPr="000E571B">
        <w:rPr>
          <w:rFonts w:cs="Arial"/>
          <w:rtl/>
        </w:rPr>
        <w:t xml:space="preserve"> וכפי מה שיש לו עליה מהמלאכות הקטנות כעושה מטתו ומרחצת פניו ידיו ורגליו מעכב מהמזונות כנגד שכר מי שישמשנו באותן מלאכות או שוכר עליה ממקום אחר</w:t>
      </w:r>
      <w:r>
        <w:rPr>
          <w:rFonts w:cs="Arial" w:hint="cs"/>
          <w:rtl/>
        </w:rPr>
        <w:t>,</w:t>
      </w:r>
      <w:r w:rsidRPr="000E571B">
        <w:rPr>
          <w:rFonts w:cs="Arial"/>
          <w:rtl/>
        </w:rPr>
        <w:t xml:space="preserve"> הא יתר מכאן לא</w:t>
      </w:r>
      <w:r>
        <w:rPr>
          <w:rFonts w:cs="Arial" w:hint="cs"/>
          <w:rtl/>
        </w:rPr>
        <w:t>...</w:t>
      </w:r>
      <w:r w:rsidRPr="000E571B">
        <w:rPr>
          <w:rFonts w:cs="Arial"/>
          <w:rtl/>
        </w:rPr>
        <w:t xml:space="preserve"> ואם אינה רוצה לעשות וליתן לבעלה מעשה ידיה אין לה מזונות ואף על פי שהמזונות עיקר כבר תקנו לבעל מעשה ידיה תחת מזונות ואם היא אינה רוצה לעשות תפסיד מזונות שאין לך נזונת ואומרת איני עושה</w:t>
      </w:r>
      <w:r>
        <w:rPr>
          <w:rFonts w:cs="Arial" w:hint="cs"/>
          <w:rtl/>
        </w:rPr>
        <w:t>.</w:t>
      </w:r>
      <w:r w:rsidRPr="000E571B">
        <w:rPr>
          <w:rFonts w:cs="Arial"/>
          <w:rtl/>
        </w:rPr>
        <w:t xml:space="preserve"> ואפילו עושה ואינה משמשת באותן מלאכות קטנות השנויות במשנתינו (נט:) והוא צריך לשכור מי שישמשנו בהם </w:t>
      </w:r>
      <w:r>
        <w:rPr>
          <w:rFonts w:cs="Arial" w:hint="cs"/>
          <w:rtl/>
        </w:rPr>
        <w:t xml:space="preserve">- </w:t>
      </w:r>
      <w:r w:rsidRPr="000E571B">
        <w:rPr>
          <w:rFonts w:cs="Arial"/>
          <w:rtl/>
        </w:rPr>
        <w:t>שוכר עליה כמו שאמר אבל תפסיד מזונותיה לא. ולפי שלא נתבאר לי מלשון השאלה מה שהיא טוענת שתשוב לבית בעלה אם יביאה אל ביתו ויפרע מה שלותה</w:t>
      </w:r>
      <w:r>
        <w:rPr>
          <w:rFonts w:cs="Arial" w:hint="cs"/>
          <w:rtl/>
        </w:rPr>
        <w:t>,</w:t>
      </w:r>
      <w:r w:rsidRPr="000E571B">
        <w:rPr>
          <w:rFonts w:cs="Arial"/>
          <w:rtl/>
        </w:rPr>
        <w:t xml:space="preserve"> ונסתפקתי אם היא מתעכבת בלבד מחמת שהוא אינו קורא לה או שאינה רוצה לשוב אליו עד שיפרע מה שלותה ואחר כך יביאנה ואז תשוב אליו. על כן אני אומר שאם מחמת שהוא אינו רוצה להביאה ולקרוא לה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 ועוד שאם יבוא הוא אצלה אינה מונעתו מכלום</w:t>
      </w:r>
      <w:r>
        <w:rPr>
          <w:rFonts w:cs="Arial" w:hint="cs"/>
          <w:rtl/>
        </w:rPr>
        <w:t>.</w:t>
      </w:r>
      <w:r w:rsidRPr="000E571B">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w:t>
      </w:r>
      <w:r>
        <w:rPr>
          <w:rFonts w:cs="Arial" w:hint="cs"/>
          <w:rtl/>
        </w:rPr>
        <w:t>.</w:t>
      </w:r>
      <w:r w:rsidRPr="000E571B">
        <w:rPr>
          <w:rFonts w:cs="Arial"/>
          <w:rtl/>
        </w:rPr>
        <w:t xml:space="preserve"> וכל זה שאבדה מזונות במרדה זהו לדעת הר"מ ז"ל והרי"ף ז"ל</w:t>
      </w:r>
      <w:r>
        <w:rPr>
          <w:rFonts w:cs="Arial" w:hint="cs"/>
          <w:rtl/>
        </w:rPr>
        <w:t>,</w:t>
      </w:r>
      <w:r w:rsidRPr="000E571B">
        <w:rPr>
          <w:rFonts w:cs="Arial"/>
          <w:rtl/>
        </w:rPr>
        <w:t xml:space="preserve"> אבל מעיקר הגמרא אינו נראה כן</w:t>
      </w:r>
      <w:r>
        <w:rPr>
          <w:rFonts w:cs="Arial" w:hint="cs"/>
          <w:rtl/>
        </w:rPr>
        <w:t>,</w:t>
      </w:r>
      <w:r w:rsidRPr="000E571B">
        <w:rPr>
          <w:rFonts w:cs="Arial"/>
          <w:rtl/>
        </w:rPr>
        <w:t xml:space="preserve"> שלא נראה כן בגמרא בשום מקום ואין במורדת אלא פחת כתובה בלבד ומזונות ומעשה ידיה שהם זה כנגד זה</w:t>
      </w:r>
      <w:r>
        <w:rPr>
          <w:rFonts w:cs="Arial" w:hint="cs"/>
          <w:rtl/>
        </w:rPr>
        <w:t>,</w:t>
      </w:r>
      <w:r w:rsidRPr="000E571B">
        <w:rPr>
          <w:rFonts w:cs="Arial"/>
          <w:rtl/>
        </w:rPr>
        <w:t xml:space="preserve"> שאם אמרה איני עושה אינה נזונת ומדרבנן.</w:t>
      </w:r>
      <w:r>
        <w:rPr>
          <w:rFonts w:hint="cs"/>
          <w:rtl/>
        </w:rPr>
        <w:t xml:space="preserve"> </w:t>
      </w:r>
      <w:r w:rsidRPr="00827F1B">
        <w:rPr>
          <w:rFonts w:hint="cs"/>
          <w:color w:val="00B0F0"/>
          <w:rtl/>
        </w:rPr>
        <w:t>(וכ"פ הרמ"א)</w:t>
      </w:r>
    </w:p>
    <w:p w14:paraId="326C659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38131AA" w14:textId="77777777" w:rsidR="002E5BAD" w:rsidRPr="00F12350" w:rsidRDefault="002E5BAD" w:rsidP="002E5BAD">
      <w:pPr>
        <w:rPr>
          <w:rFonts w:cs="Arial"/>
          <w:sz w:val="18"/>
          <w:szCs w:val="18"/>
          <w:rtl/>
        </w:rPr>
      </w:pPr>
      <w:r>
        <w:rPr>
          <w:rFonts w:cs="Arial"/>
          <w:rtl/>
        </w:rPr>
        <w:t>מי שהתנה עם אשתו שלא יתחייב במזונותיה וכן היא לא תתחייב לו במעשה ידיה, אם אחר כך רצה ונתחייב הוא לתת לה (במתנה) מזונותיה, אין מעשה ידיה שלו</w:t>
      </w:r>
      <w:r>
        <w:rPr>
          <w:rStyle w:val="a7"/>
          <w:rFonts w:cs="Arial"/>
          <w:rtl/>
        </w:rPr>
        <w:footnoteReference w:id="1508"/>
      </w:r>
      <w:r>
        <w:rPr>
          <w:rFonts w:cs="Arial"/>
          <w:rtl/>
        </w:rPr>
        <w:t xml:space="preserve">. </w:t>
      </w:r>
      <w:r w:rsidRPr="004D0526">
        <w:rPr>
          <w:rFonts w:cs="Arial"/>
          <w:sz w:val="18"/>
          <w:szCs w:val="18"/>
          <w:rtl/>
        </w:rPr>
        <w:t xml:space="preserve">הגה: אשה ששתקה ולא תבעה מזונות ולא מעה כסף, מן הסתם מעשה ידיה עם </w:t>
      </w:r>
      <w:r w:rsidRPr="004D0526">
        <w:rPr>
          <w:rFonts w:cs="Arial"/>
          <w:sz w:val="18"/>
          <w:szCs w:val="18"/>
          <w:rtl/>
        </w:rPr>
        <w:lastRenderedPageBreak/>
        <w:t>המותר שלה, ולא אמרינן שמחלה מעשה ידיה (ר"ן</w:t>
      </w:r>
      <w:r>
        <w:rPr>
          <w:rFonts w:cs="Arial" w:hint="cs"/>
          <w:sz w:val="18"/>
          <w:szCs w:val="18"/>
          <w:rtl/>
        </w:rPr>
        <w:t xml:space="preserve"> ורמב"ן</w:t>
      </w:r>
      <w:r w:rsidRPr="004D0526">
        <w:rPr>
          <w:rFonts w:cs="Arial"/>
          <w:sz w:val="18"/>
          <w:szCs w:val="18"/>
          <w:rtl/>
        </w:rPr>
        <w:t>)</w:t>
      </w:r>
      <w:r>
        <w:rPr>
          <w:rFonts w:cs="Arial" w:hint="cs"/>
          <w:sz w:val="18"/>
          <w:szCs w:val="18"/>
          <w:rtl/>
        </w:rPr>
        <w:t>.</w:t>
      </w:r>
      <w:r w:rsidRPr="004D0526">
        <w:rPr>
          <w:rFonts w:cs="Arial"/>
          <w:sz w:val="18"/>
          <w:szCs w:val="18"/>
          <w:rtl/>
        </w:rPr>
        <w:t xml:space="preserve"> אבל מה שאינו מספיק לה, אין הבעל צריך לשלם לה</w:t>
      </w:r>
      <w:r>
        <w:rPr>
          <w:rStyle w:val="a7"/>
          <w:rFonts w:cs="Arial"/>
          <w:sz w:val="18"/>
          <w:szCs w:val="18"/>
          <w:rtl/>
        </w:rPr>
        <w:footnoteReference w:id="1509"/>
      </w:r>
      <w:r w:rsidRPr="004D0526">
        <w:rPr>
          <w:rFonts w:cs="Arial"/>
          <w:sz w:val="18"/>
          <w:szCs w:val="18"/>
          <w:rtl/>
        </w:rPr>
        <w:t>, דודאי מחלה. אשה שהלכה מבית בעלה מכח קטטה, ואינה רוצה לשוב לביתו עד שיקרא לה בעלה, לא הפסידה משום זה מזונותיה, דבושה ממנו לשוב, מאחר שיצאת בלא רשותו ואינו מראה לה פנים, ואם הוא יבא אצלה אינה מונעתו מכלום, אבל אם אינה רוצה לבא אצלו עד שיפרע מה שלותה, אבדה מזונותיה, דהוי כמורדת, דכל מורדת טענה אית לה. וכל אשה יש לה מזונות אף על פי שאין כתובתה בידה, ואינו נאמן לומר שמחלה לו, רק בראיה ברורה</w:t>
      </w:r>
      <w:r>
        <w:rPr>
          <w:rFonts w:cs="Arial" w:hint="cs"/>
          <w:sz w:val="18"/>
          <w:szCs w:val="18"/>
          <w:rtl/>
        </w:rPr>
        <w:t>.</w:t>
      </w:r>
      <w:r w:rsidRPr="004D0526">
        <w:rPr>
          <w:rFonts w:cs="Arial"/>
          <w:sz w:val="18"/>
          <w:szCs w:val="18"/>
          <w:rtl/>
        </w:rPr>
        <w:t xml:space="preserve"> ואפילו על מזונות שעברו, אם לא טען לא טענינן ליה, וצריך לישבע שמחלה לו (כל זה בתשובת הרשב"א הובאה בב"י סי' עז)</w:t>
      </w:r>
      <w:r>
        <w:rPr>
          <w:rFonts w:cs="Arial" w:hint="cs"/>
          <w:sz w:val="18"/>
          <w:szCs w:val="18"/>
          <w:rtl/>
        </w:rPr>
        <w:t>.</w:t>
      </w:r>
    </w:p>
    <w:p w14:paraId="0E5AECE6" w14:textId="77777777" w:rsidR="002E5BAD" w:rsidRPr="000D2069" w:rsidRDefault="002E5BAD" w:rsidP="002E5BAD">
      <w:pPr>
        <w:rPr>
          <w:rtl/>
        </w:rPr>
        <w:sectPr w:rsidR="002E5BAD" w:rsidRPr="000D2069" w:rsidSect="00A347B3">
          <w:headerReference w:type="default" r:id="rId36"/>
          <w:footnotePr>
            <w:numRestart w:val="eachPage"/>
          </w:footnotePr>
          <w:pgSz w:w="11906" w:h="16838"/>
          <w:pgMar w:top="720" w:right="1134" w:bottom="720" w:left="1134" w:header="0" w:footer="0" w:gutter="0"/>
          <w:cols w:space="720"/>
          <w:bidi/>
          <w:rtlGutter/>
          <w:docGrid w:linePitch="360"/>
        </w:sectPr>
      </w:pPr>
    </w:p>
    <w:p w14:paraId="513EF87D" w14:textId="77777777" w:rsidR="002E5BAD" w:rsidRDefault="002E5BAD" w:rsidP="002E5BAD">
      <w:pPr>
        <w:pStyle w:val="1"/>
        <w:rPr>
          <w:rtl/>
        </w:rPr>
      </w:pPr>
      <w:r>
        <w:rPr>
          <w:rFonts w:hint="cs"/>
          <w:rtl/>
        </w:rPr>
        <w:lastRenderedPageBreak/>
        <w:t>סימן פא:</w:t>
      </w:r>
      <w:r w:rsidRPr="00C12B74">
        <w:rPr>
          <w:rtl/>
        </w:rPr>
        <w:t xml:space="preserve"> </w:t>
      </w:r>
      <w:r>
        <w:rPr>
          <w:rFonts w:cs="Arial"/>
          <w:rtl/>
        </w:rPr>
        <w:t xml:space="preserve">המקדיש מעשה ידי אשתו, ובו ב' סעיפים. </w:t>
      </w:r>
    </w:p>
    <w:p w14:paraId="77CFB171" w14:textId="77777777" w:rsidR="002E5BAD" w:rsidRDefault="002E5BAD" w:rsidP="002E5BAD">
      <w:pPr>
        <w:pStyle w:val="2"/>
        <w:rPr>
          <w:rtl/>
        </w:rPr>
      </w:pPr>
      <w:r>
        <w:rPr>
          <w:rtl/>
        </w:rPr>
        <w:t>סעיף א</w:t>
      </w:r>
      <w:r>
        <w:rPr>
          <w:rFonts w:hint="cs"/>
          <w:rtl/>
        </w:rPr>
        <w:t>:</w:t>
      </w:r>
      <w:r w:rsidRPr="00702703">
        <w:rPr>
          <w:rFonts w:cs="Arial"/>
          <w:rtl/>
        </w:rPr>
        <w:t xml:space="preserve"> </w:t>
      </w:r>
      <w:r w:rsidRPr="004A7B98">
        <w:rPr>
          <w:rFonts w:cs="Arial"/>
          <w:rtl/>
        </w:rPr>
        <w:t>המקדיש מעשה ידי אשתו</w:t>
      </w:r>
      <w:r>
        <w:rPr>
          <w:rFonts w:hint="cs"/>
          <w:rtl/>
        </w:rPr>
        <w:t>.</w:t>
      </w:r>
    </w:p>
    <w:p w14:paraId="75D73AAD" w14:textId="77777777" w:rsidR="002E5BAD" w:rsidRDefault="002E5BAD" w:rsidP="002E5BAD">
      <w:pPr>
        <w:rPr>
          <w:rFonts w:cs="Arial"/>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Pr>
          <w:rFonts w:cs="Arial" w:hint="cs"/>
          <w:b/>
          <w:bCs/>
          <w:rtl/>
        </w:rPr>
        <w:t>נח</w:t>
      </w:r>
      <w:r w:rsidRPr="005A6BAC">
        <w:rPr>
          <w:rFonts w:cs="Arial" w:hint="cs"/>
          <w:b/>
          <w:bCs/>
          <w:rtl/>
        </w:rPr>
        <w:t xml:space="preserve"> ע"</w:t>
      </w:r>
      <w:r>
        <w:rPr>
          <w:rFonts w:cs="Arial" w:hint="cs"/>
          <w:b/>
          <w:bCs/>
          <w:rtl/>
        </w:rPr>
        <w:t>ב</w:t>
      </w:r>
      <w:r w:rsidRPr="005A6BAC">
        <w:rPr>
          <w:rFonts w:cs="Arial"/>
          <w:b/>
          <w:bCs/>
          <w:rtl/>
        </w:rPr>
        <w:t>:</w:t>
      </w:r>
      <w:r w:rsidRPr="005A6BAC">
        <w:rPr>
          <w:rFonts w:cs="Arial" w:hint="cs"/>
          <w:rtl/>
        </w:rPr>
        <w:t xml:space="preserve"> </w:t>
      </w:r>
      <w:r w:rsidRPr="00410ECD">
        <w:rPr>
          <w:rFonts w:cs="Arial"/>
          <w:u w:val="double"/>
          <w:rtl/>
        </w:rPr>
        <w:t>מתני'</w:t>
      </w:r>
      <w:r>
        <w:rPr>
          <w:rFonts w:cs="Arial" w:hint="cs"/>
          <w:rtl/>
        </w:rPr>
        <w:t>:</w:t>
      </w:r>
      <w:r w:rsidRPr="00410ECD">
        <w:rPr>
          <w:rFonts w:cs="Arial"/>
          <w:rtl/>
        </w:rPr>
        <w:t xml:space="preserve"> המקדיש מעשה ידי אשתו</w:t>
      </w:r>
      <w:r>
        <w:rPr>
          <w:rStyle w:val="a7"/>
          <w:rFonts w:cs="Arial"/>
          <w:rtl/>
        </w:rPr>
        <w:footnoteReference w:id="1510"/>
      </w:r>
      <w:r w:rsidRPr="00410ECD">
        <w:rPr>
          <w:rFonts w:cs="Arial"/>
          <w:rtl/>
        </w:rPr>
        <w:t xml:space="preserve"> - הרי זו עושה ואוכלת</w:t>
      </w:r>
      <w:r>
        <w:rPr>
          <w:rStyle w:val="a7"/>
          <w:rFonts w:cs="Arial"/>
          <w:rtl/>
        </w:rPr>
        <w:footnoteReference w:id="1511"/>
      </w:r>
      <w:r w:rsidRPr="00410ECD">
        <w:rPr>
          <w:rFonts w:cs="Arial"/>
          <w:rtl/>
        </w:rPr>
        <w:t>. המותר</w:t>
      </w:r>
      <w:r>
        <w:rPr>
          <w:rStyle w:val="a7"/>
          <w:rFonts w:cs="Arial"/>
          <w:rtl/>
        </w:rPr>
        <w:footnoteReference w:id="1512"/>
      </w:r>
      <w:r w:rsidRPr="00410ECD">
        <w:rPr>
          <w:rFonts w:cs="Arial"/>
          <w:rtl/>
        </w:rPr>
        <w:t xml:space="preserve"> - </w:t>
      </w:r>
      <w:r w:rsidRPr="00410ECD">
        <w:rPr>
          <w:rFonts w:cs="Arial"/>
          <w:u w:val="single"/>
          <w:rtl/>
        </w:rPr>
        <w:t>רבי מאיר אומר</w:t>
      </w:r>
      <w:r w:rsidRPr="00410ECD">
        <w:rPr>
          <w:rFonts w:cs="Arial"/>
          <w:rtl/>
        </w:rPr>
        <w:t xml:space="preserve">: הקדש, </w:t>
      </w:r>
      <w:r w:rsidRPr="00410ECD">
        <w:rPr>
          <w:rFonts w:cs="Arial"/>
          <w:u w:val="single"/>
          <w:rtl/>
        </w:rPr>
        <w:t>רבי יוחנן הסנדלר אומר</w:t>
      </w:r>
      <w:r w:rsidRPr="00410ECD">
        <w:rPr>
          <w:rFonts w:cs="Arial"/>
          <w:rtl/>
        </w:rPr>
        <w:t xml:space="preserve">: חולין. </w:t>
      </w:r>
      <w:r>
        <w:rPr>
          <w:rFonts w:cs="Arial" w:hint="cs"/>
          <w:rtl/>
        </w:rPr>
        <w:t xml:space="preserve">      </w:t>
      </w:r>
      <w:r w:rsidRPr="00410ECD">
        <w:rPr>
          <w:rFonts w:cs="Arial" w:hint="cs"/>
          <w:u w:val="double"/>
          <w:rtl/>
        </w:rPr>
        <w:t>גמ'</w:t>
      </w:r>
      <w:r>
        <w:rPr>
          <w:rFonts w:cs="Arial" w:hint="cs"/>
          <w:sz w:val="14"/>
          <w:szCs w:val="14"/>
          <w:u w:val="double"/>
          <w:rtl/>
        </w:rPr>
        <w:t>(נט.)</w:t>
      </w:r>
      <w:r w:rsidRPr="00410ECD">
        <w:rPr>
          <w:rFonts w:cs="Arial" w:hint="cs"/>
          <w:u w:val="double"/>
          <w:rtl/>
        </w:rPr>
        <w:t>:</w:t>
      </w:r>
      <w:r w:rsidRPr="00410ECD">
        <w:rPr>
          <w:rtl/>
        </w:rPr>
        <w:t xml:space="preserve"> </w:t>
      </w:r>
      <w:r w:rsidRPr="00410ECD">
        <w:rPr>
          <w:rFonts w:cs="Arial"/>
          <w:u w:val="single"/>
          <w:rtl/>
        </w:rPr>
        <w:t>אמר שמואל</w:t>
      </w:r>
      <w:r w:rsidRPr="00410ECD">
        <w:rPr>
          <w:rFonts w:cs="Arial"/>
          <w:rtl/>
        </w:rPr>
        <w:t>: הלכה כרבי יוחנן הסנדלר</w:t>
      </w:r>
      <w:r>
        <w:rPr>
          <w:rStyle w:val="a7"/>
          <w:rFonts w:cs="Arial"/>
          <w:rtl/>
        </w:rPr>
        <w:footnoteReference w:id="1513"/>
      </w:r>
      <w:r w:rsidRPr="00410ECD">
        <w:rPr>
          <w:rFonts w:cs="Arial"/>
          <w:rtl/>
        </w:rPr>
        <w:t>.</w:t>
      </w:r>
      <w:r>
        <w:rPr>
          <w:rFonts w:cs="Arial" w:hint="cs"/>
          <w:rtl/>
        </w:rPr>
        <w:t xml:space="preserve"> </w:t>
      </w:r>
      <w:r w:rsidRPr="00465A3A">
        <w:rPr>
          <w:rFonts w:cs="Arial"/>
          <w:rtl/>
        </w:rPr>
        <w:t>ומי אמר שמואל הכי? והתנן: קונם שאני עושה לפיך</w:t>
      </w:r>
      <w:r>
        <w:rPr>
          <w:rStyle w:val="a7"/>
          <w:rFonts w:cs="Arial"/>
          <w:rtl/>
        </w:rPr>
        <w:footnoteReference w:id="1514"/>
      </w:r>
      <w:r w:rsidRPr="00465A3A">
        <w:rPr>
          <w:rFonts w:cs="Arial"/>
          <w:rtl/>
        </w:rPr>
        <w:t xml:space="preserve"> - אינו צריך להפר</w:t>
      </w:r>
      <w:r>
        <w:rPr>
          <w:rStyle w:val="a7"/>
          <w:rFonts w:cs="Arial"/>
          <w:rtl/>
        </w:rPr>
        <w:footnoteReference w:id="1515"/>
      </w:r>
      <w:r w:rsidRPr="00465A3A">
        <w:rPr>
          <w:rFonts w:cs="Arial"/>
          <w:rtl/>
        </w:rPr>
        <w:t xml:space="preserve">, </w:t>
      </w:r>
      <w:r w:rsidRPr="005E64C1">
        <w:rPr>
          <w:rFonts w:cs="Arial"/>
          <w:u w:val="single"/>
          <w:rtl/>
        </w:rPr>
        <w:t>רבי עקיבא אומר</w:t>
      </w:r>
      <w:r w:rsidRPr="00465A3A">
        <w:rPr>
          <w:rFonts w:cs="Arial"/>
          <w:rtl/>
        </w:rPr>
        <w:t>: יפר, שמא תעדיף עליו</w:t>
      </w:r>
      <w:r>
        <w:rPr>
          <w:rStyle w:val="a7"/>
          <w:rFonts w:cs="Arial"/>
          <w:rtl/>
        </w:rPr>
        <w:footnoteReference w:id="1516"/>
      </w:r>
      <w:r w:rsidRPr="00465A3A">
        <w:rPr>
          <w:rFonts w:cs="Arial"/>
          <w:rtl/>
        </w:rPr>
        <w:t xml:space="preserve"> יתר מן הראוי לו, </w:t>
      </w:r>
      <w:r w:rsidRPr="005E64C1">
        <w:rPr>
          <w:rFonts w:cs="Arial"/>
          <w:u w:val="single"/>
          <w:rtl/>
        </w:rPr>
        <w:t>רבי יוחנן בן נורי אמר</w:t>
      </w:r>
      <w:r w:rsidRPr="00465A3A">
        <w:rPr>
          <w:rFonts w:cs="Arial"/>
          <w:rtl/>
        </w:rPr>
        <w:t>:</w:t>
      </w:r>
      <w:r>
        <w:rPr>
          <w:rStyle w:val="a7"/>
          <w:rFonts w:cs="Arial"/>
          <w:rtl/>
        </w:rPr>
        <w:footnoteReference w:id="1517"/>
      </w:r>
      <w:r w:rsidRPr="00465A3A">
        <w:rPr>
          <w:rFonts w:cs="Arial"/>
          <w:rtl/>
        </w:rPr>
        <w:t xml:space="preserve"> יפר, שמא יגרשנה</w:t>
      </w:r>
      <w:r>
        <w:rPr>
          <w:rStyle w:val="a7"/>
          <w:rFonts w:cs="Arial"/>
          <w:rtl/>
        </w:rPr>
        <w:footnoteReference w:id="1518"/>
      </w:r>
      <w:r w:rsidRPr="00465A3A">
        <w:rPr>
          <w:rFonts w:cs="Arial"/>
          <w:rtl/>
        </w:rPr>
        <w:t xml:space="preserve"> ותהא אסורה לחזור</w:t>
      </w:r>
      <w:r>
        <w:rPr>
          <w:rStyle w:val="a7"/>
          <w:rFonts w:cs="Arial"/>
          <w:rtl/>
        </w:rPr>
        <w:footnoteReference w:id="1519"/>
      </w:r>
      <w:r>
        <w:rPr>
          <w:rFonts w:cs="Arial" w:hint="cs"/>
          <w:rtl/>
        </w:rPr>
        <w:t>.</w:t>
      </w:r>
      <w:r w:rsidRPr="00465A3A">
        <w:rPr>
          <w:rFonts w:cs="Arial"/>
          <w:rtl/>
        </w:rPr>
        <w:t xml:space="preserve"> </w:t>
      </w:r>
      <w:r w:rsidRPr="002200E5">
        <w:rPr>
          <w:rFonts w:cs="Arial"/>
          <w:u w:val="single"/>
          <w:rtl/>
        </w:rPr>
        <w:t>ואמר שמואל</w:t>
      </w:r>
      <w:r w:rsidRPr="00465A3A">
        <w:rPr>
          <w:rFonts w:cs="Arial"/>
          <w:rtl/>
        </w:rPr>
        <w:t>: הלכה כרבי יוחנן בן נורי</w:t>
      </w:r>
      <w:r>
        <w:rPr>
          <w:rStyle w:val="a7"/>
          <w:rFonts w:cs="Arial"/>
          <w:rtl/>
        </w:rPr>
        <w:footnoteReference w:id="1520"/>
      </w:r>
      <w:r w:rsidRPr="00465A3A">
        <w:rPr>
          <w:rFonts w:cs="Arial"/>
          <w:rtl/>
        </w:rPr>
        <w:t>!</w:t>
      </w:r>
      <w:r>
        <w:rPr>
          <w:rFonts w:cs="Arial" w:hint="cs"/>
          <w:rtl/>
        </w:rPr>
        <w:t>...</w:t>
      </w:r>
      <w:r w:rsidRPr="00465A3A">
        <w:rPr>
          <w:rFonts w:cs="Arial"/>
          <w:rtl/>
        </w:rPr>
        <w:t xml:space="preserve"> </w:t>
      </w:r>
      <w:r w:rsidRPr="005E64C1">
        <w:rPr>
          <w:rFonts w:cs="Arial"/>
          <w:u w:val="single"/>
          <w:rtl/>
        </w:rPr>
        <w:t>אלא אמר רב הונא בריה דרב יהושע</w:t>
      </w:r>
      <w:r w:rsidRPr="00465A3A">
        <w:rPr>
          <w:rFonts w:cs="Arial"/>
          <w:rtl/>
        </w:rPr>
        <w:t xml:space="preserve">: באומרת </w:t>
      </w:r>
      <w:r>
        <w:rPr>
          <w:rFonts w:cs="Arial" w:hint="cs"/>
          <w:rtl/>
        </w:rPr>
        <w:t>'</w:t>
      </w:r>
      <w:r w:rsidRPr="00465A3A">
        <w:rPr>
          <w:rFonts w:cs="Arial"/>
          <w:rtl/>
        </w:rPr>
        <w:t>יקדשו ידי לעושיהם</w:t>
      </w:r>
      <w:r>
        <w:rPr>
          <w:rFonts w:cs="Arial" w:hint="cs"/>
          <w:rtl/>
        </w:rPr>
        <w:t>'</w:t>
      </w:r>
      <w:r w:rsidRPr="00465A3A">
        <w:rPr>
          <w:rFonts w:cs="Arial"/>
          <w:rtl/>
        </w:rPr>
        <w:t xml:space="preserve">, דידים איתנהו בעולם. וכי קאמרה הכי מי מקדש? הא משעבדא ליה! דאמרה </w:t>
      </w:r>
      <w:r>
        <w:rPr>
          <w:rFonts w:cs="Arial" w:hint="cs"/>
          <w:rtl/>
        </w:rPr>
        <w:t>'</w:t>
      </w:r>
      <w:r w:rsidRPr="00465A3A">
        <w:rPr>
          <w:rFonts w:cs="Arial"/>
          <w:rtl/>
        </w:rPr>
        <w:t>לכי מיגרשה</w:t>
      </w:r>
      <w:r>
        <w:rPr>
          <w:rFonts w:cs="Arial" w:hint="cs"/>
          <w:rtl/>
        </w:rPr>
        <w:t>'</w:t>
      </w:r>
      <w:r w:rsidRPr="00465A3A">
        <w:rPr>
          <w:rFonts w:cs="Arial"/>
          <w:rtl/>
        </w:rPr>
        <w:t>. ומי איכא מידי, דאילו השתא לא קדיש ולקמיה קדיש</w:t>
      </w:r>
      <w:r>
        <w:rPr>
          <w:rStyle w:val="a7"/>
          <w:rFonts w:cs="Arial"/>
          <w:rtl/>
        </w:rPr>
        <w:footnoteReference w:id="1521"/>
      </w:r>
      <w:r w:rsidRPr="00465A3A">
        <w:rPr>
          <w:rFonts w:cs="Arial"/>
          <w:rtl/>
        </w:rPr>
        <w:t>?</w:t>
      </w:r>
      <w:r>
        <w:rPr>
          <w:rFonts w:cs="Arial" w:hint="cs"/>
          <w:rtl/>
        </w:rPr>
        <w:t>...</w:t>
      </w:r>
      <w:r w:rsidRPr="00465A3A">
        <w:rPr>
          <w:rFonts w:cs="Arial"/>
          <w:rtl/>
        </w:rPr>
        <w:t xml:space="preserve"> </w:t>
      </w:r>
      <w:r>
        <w:rPr>
          <w:rFonts w:cs="Arial" w:hint="cs"/>
          <w:sz w:val="14"/>
          <w:szCs w:val="14"/>
          <w:rtl/>
        </w:rPr>
        <w:t xml:space="preserve">(נט:) </w:t>
      </w:r>
      <w:r w:rsidRPr="00003C37">
        <w:rPr>
          <w:rFonts w:cs="Arial"/>
          <w:u w:val="single"/>
          <w:rtl/>
        </w:rPr>
        <w:t>אלא אמר רב אשי</w:t>
      </w:r>
      <w:r w:rsidRPr="00465A3A">
        <w:rPr>
          <w:rFonts w:cs="Arial"/>
          <w:rtl/>
        </w:rPr>
        <w:t>: קונמות קא אמרת? שאני קונמות, דקדושת הגוף נינהו</w:t>
      </w:r>
      <w:r>
        <w:rPr>
          <w:rStyle w:val="a7"/>
          <w:rFonts w:cs="Arial"/>
          <w:rtl/>
        </w:rPr>
        <w:footnoteReference w:id="1522"/>
      </w:r>
      <w:r>
        <w:rPr>
          <w:rFonts w:cs="Arial" w:hint="cs"/>
          <w:rtl/>
        </w:rPr>
        <w:t>,</w:t>
      </w:r>
      <w:r w:rsidRPr="00465A3A">
        <w:rPr>
          <w:rFonts w:cs="Arial"/>
          <w:rtl/>
        </w:rPr>
        <w:t xml:space="preserve"> וכדרבא, דאמר רבא: הקדש</w:t>
      </w:r>
      <w:r>
        <w:rPr>
          <w:rStyle w:val="a7"/>
          <w:rFonts w:cs="Arial"/>
          <w:rtl/>
        </w:rPr>
        <w:footnoteReference w:id="1523"/>
      </w:r>
      <w:r w:rsidRPr="00465A3A">
        <w:rPr>
          <w:rFonts w:cs="Arial"/>
          <w:rtl/>
        </w:rPr>
        <w:t>, חמץ</w:t>
      </w:r>
      <w:r>
        <w:rPr>
          <w:rStyle w:val="a7"/>
          <w:rFonts w:cs="Arial"/>
          <w:rtl/>
        </w:rPr>
        <w:footnoteReference w:id="1524"/>
      </w:r>
      <w:r w:rsidRPr="00465A3A">
        <w:rPr>
          <w:rFonts w:cs="Arial"/>
          <w:rtl/>
        </w:rPr>
        <w:t>, ושחרור</w:t>
      </w:r>
      <w:r>
        <w:rPr>
          <w:rStyle w:val="a7"/>
          <w:rFonts w:cs="Arial"/>
          <w:rtl/>
        </w:rPr>
        <w:footnoteReference w:id="1525"/>
      </w:r>
      <w:r w:rsidRPr="00465A3A">
        <w:rPr>
          <w:rFonts w:cs="Arial"/>
          <w:rtl/>
        </w:rPr>
        <w:t xml:space="preserve"> - מפקיעין מידי שיעבוד. ונקדשו מהשתא</w:t>
      </w:r>
      <w:r>
        <w:rPr>
          <w:rStyle w:val="a7"/>
          <w:rFonts w:cs="Arial"/>
          <w:rtl/>
        </w:rPr>
        <w:footnoteReference w:id="1526"/>
      </w:r>
      <w:r w:rsidRPr="00465A3A">
        <w:rPr>
          <w:rFonts w:cs="Arial"/>
          <w:rtl/>
        </w:rPr>
        <w:t>! אלמוה רבנן לשיעבודיה דבעל</w:t>
      </w:r>
      <w:r>
        <w:rPr>
          <w:rStyle w:val="a7"/>
          <w:rFonts w:cs="Arial"/>
          <w:rtl/>
        </w:rPr>
        <w:footnoteReference w:id="1527"/>
      </w:r>
      <w:r w:rsidRPr="00465A3A">
        <w:rPr>
          <w:rFonts w:cs="Arial"/>
          <w:rtl/>
        </w:rPr>
        <w:t>, כי היכי דלא תיקדש מהשתא.</w:t>
      </w:r>
      <w:r>
        <w:rPr>
          <w:rFonts w:cs="Arial" w:hint="cs"/>
          <w:rtl/>
        </w:rPr>
        <w:t xml:space="preserve"> </w:t>
      </w:r>
    </w:p>
    <w:p w14:paraId="5CF2FE26" w14:textId="77777777" w:rsidR="002E5BAD" w:rsidRPr="00702703" w:rsidRDefault="002E5BAD" w:rsidP="002E5BAD">
      <w:pPr>
        <w:rPr>
          <w:u w:val="single"/>
          <w:rtl/>
        </w:rPr>
      </w:pPr>
      <w:r w:rsidRPr="00702703">
        <w:rPr>
          <w:rFonts w:cs="Arial"/>
          <w:u w:val="single"/>
          <w:rtl/>
        </w:rPr>
        <w:t>המקדיש מעשה ידי אשתו</w:t>
      </w:r>
      <w:r w:rsidRPr="00702703">
        <w:rPr>
          <w:rFonts w:hint="cs"/>
          <w:u w:val="single"/>
          <w:rtl/>
        </w:rPr>
        <w:t>:</w:t>
      </w:r>
    </w:p>
    <w:p w14:paraId="710CE905" w14:textId="77777777" w:rsidR="002E5BAD" w:rsidRDefault="002E5BAD" w:rsidP="002E5BAD">
      <w:pPr>
        <w:pStyle w:val="ab"/>
        <w:numPr>
          <w:ilvl w:val="0"/>
          <w:numId w:val="166"/>
        </w:numPr>
        <w:rPr>
          <w:rFonts w:cs="Arial"/>
        </w:rPr>
      </w:pPr>
      <w:r w:rsidRPr="004A7B98">
        <w:rPr>
          <w:rFonts w:cs="Arial" w:hint="cs"/>
          <w:rtl/>
        </w:rPr>
        <w:t xml:space="preserve">טור- </w:t>
      </w:r>
      <w:r w:rsidRPr="004A7B98">
        <w:rPr>
          <w:rFonts w:cs="Arial"/>
          <w:rtl/>
        </w:rPr>
        <w:t>המקדיש מעשה ידי אשתו אין ההקדש חל</w:t>
      </w:r>
      <w:r>
        <w:rPr>
          <w:rFonts w:cs="Arial" w:hint="cs"/>
          <w:rtl/>
        </w:rPr>
        <w:t>.</w:t>
      </w:r>
      <w:r w:rsidRPr="004A7B98">
        <w:rPr>
          <w:rFonts w:cs="Arial"/>
          <w:rtl/>
        </w:rPr>
        <w:t xml:space="preserve"> לא מיבעיא על עיקר מעשה ידיה שאינו חל שהרי אינו ברשותו</w:t>
      </w:r>
      <w:r>
        <w:rPr>
          <w:rFonts w:cs="Arial" w:hint="cs"/>
          <w:rtl/>
        </w:rPr>
        <w:t>,</w:t>
      </w:r>
      <w:r w:rsidRPr="004A7B98">
        <w:rPr>
          <w:rFonts w:cs="Arial"/>
          <w:rtl/>
        </w:rPr>
        <w:t xml:space="preserve"> שאם תרצה לא תעשה ולא תיזון</w:t>
      </w:r>
      <w:r>
        <w:rPr>
          <w:rFonts w:cs="Arial" w:hint="cs"/>
          <w:rtl/>
        </w:rPr>
        <w:t>,</w:t>
      </w:r>
      <w:r w:rsidRPr="004A7B98">
        <w:rPr>
          <w:rFonts w:cs="Arial"/>
          <w:rtl/>
        </w:rPr>
        <w:t xml:space="preserve"> אלא אפילו על המותר שהוא שלו על כרחה </w:t>
      </w:r>
      <w:r>
        <w:rPr>
          <w:rFonts w:cs="Arial" w:hint="cs"/>
          <w:rtl/>
        </w:rPr>
        <w:t>כ</w:t>
      </w:r>
      <w:r w:rsidRPr="004A7B98">
        <w:rPr>
          <w:rFonts w:cs="Arial"/>
          <w:rtl/>
        </w:rPr>
        <w:t>דפי</w:t>
      </w:r>
      <w:r>
        <w:rPr>
          <w:rFonts w:cs="Arial" w:hint="cs"/>
          <w:rtl/>
        </w:rPr>
        <w:t>רשתי</w:t>
      </w:r>
      <w:r w:rsidRPr="004A7B98">
        <w:rPr>
          <w:rFonts w:cs="Arial"/>
          <w:rtl/>
        </w:rPr>
        <w:t xml:space="preserve"> אינו חל</w:t>
      </w:r>
      <w:r>
        <w:rPr>
          <w:rFonts w:cs="Arial" w:hint="cs"/>
          <w:rtl/>
        </w:rPr>
        <w:t>,</w:t>
      </w:r>
      <w:r w:rsidRPr="004A7B98">
        <w:rPr>
          <w:rFonts w:cs="Arial"/>
          <w:rtl/>
        </w:rPr>
        <w:t xml:space="preserve"> שאין אדם מקדיש דבר שלא בא לעולם</w:t>
      </w:r>
      <w:r>
        <w:rPr>
          <w:rFonts w:cs="Arial" w:hint="cs"/>
          <w:rtl/>
        </w:rPr>
        <w:t>.</w:t>
      </w:r>
      <w:r w:rsidRPr="004A7B98">
        <w:rPr>
          <w:rFonts w:cs="Arial"/>
          <w:rtl/>
        </w:rPr>
        <w:t xml:space="preserve"> </w:t>
      </w:r>
      <w:r w:rsidRPr="00702703">
        <w:rPr>
          <w:rFonts w:cs="Arial" w:hint="cs"/>
          <w:color w:val="E36C0A" w:themeColor="accent6" w:themeShade="BF"/>
          <w:rtl/>
        </w:rPr>
        <w:t>(וכ"פ בשו"ע</w:t>
      </w:r>
      <w:r>
        <w:rPr>
          <w:rFonts w:cs="Arial" w:hint="cs"/>
          <w:color w:val="E36C0A" w:themeColor="accent6" w:themeShade="BF"/>
          <w:rtl/>
        </w:rPr>
        <w:t>)</w:t>
      </w:r>
    </w:p>
    <w:p w14:paraId="17545044" w14:textId="77777777" w:rsidR="002E5BAD" w:rsidRPr="00C53332" w:rsidRDefault="002E5BAD" w:rsidP="002E5BAD">
      <w:pPr>
        <w:ind w:left="360"/>
        <w:rPr>
          <w:rFonts w:cs="Arial"/>
          <w:u w:val="dotted"/>
        </w:rPr>
      </w:pPr>
      <w:r w:rsidRPr="00C53332">
        <w:rPr>
          <w:rFonts w:cs="Arial" w:hint="cs"/>
          <w:u w:val="dotted"/>
          <w:rtl/>
        </w:rPr>
        <w:t>ומה הדין אם אמר לה 'יקדשו ידיך לעושיהן':</w:t>
      </w:r>
    </w:p>
    <w:p w14:paraId="18980677" w14:textId="77777777" w:rsidR="002E5BAD" w:rsidRDefault="002E5BAD" w:rsidP="002E5BAD">
      <w:pPr>
        <w:pStyle w:val="ab"/>
        <w:numPr>
          <w:ilvl w:val="0"/>
          <w:numId w:val="166"/>
        </w:numPr>
        <w:rPr>
          <w:rFonts w:cs="Arial"/>
        </w:rPr>
      </w:pPr>
      <w:r>
        <w:rPr>
          <w:rFonts w:cs="Arial" w:hint="cs"/>
          <w:rtl/>
        </w:rPr>
        <w:t>רמב"ם</w:t>
      </w:r>
      <w:r>
        <w:rPr>
          <w:rFonts w:cs="Arial" w:hint="cs"/>
          <w:sz w:val="16"/>
          <w:szCs w:val="16"/>
          <w:rtl/>
        </w:rPr>
        <w:t xml:space="preserve"> (פ"ו מערכין הכ"ו והכ"ח)</w:t>
      </w:r>
      <w:r>
        <w:rPr>
          <w:rFonts w:cs="Arial" w:hint="cs"/>
          <w:rtl/>
        </w:rPr>
        <w:t xml:space="preserve">- </w:t>
      </w:r>
      <w:r w:rsidRPr="00C53332">
        <w:rPr>
          <w:rFonts w:cs="Arial"/>
          <w:rtl/>
        </w:rPr>
        <w:t xml:space="preserve">אין אדם מקדיש דבר שלא בא לעולם, כיצד מה שתעלה מצודתי מן הים קדש, מה שתוציא שדה זו מן הפירות חרם </w:t>
      </w:r>
      <w:r>
        <w:rPr>
          <w:rFonts w:cs="Arial" w:hint="cs"/>
          <w:rtl/>
        </w:rPr>
        <w:t xml:space="preserve">- </w:t>
      </w:r>
      <w:r w:rsidRPr="00C53332">
        <w:rPr>
          <w:rFonts w:cs="Arial"/>
          <w:rtl/>
        </w:rPr>
        <w:t>לא אמר כלום</w:t>
      </w:r>
      <w:r>
        <w:rPr>
          <w:rFonts w:cs="Arial" w:hint="cs"/>
          <w:rtl/>
        </w:rPr>
        <w:t>..</w:t>
      </w:r>
      <w:r w:rsidRPr="00C53332">
        <w:rPr>
          <w:rFonts w:cs="Arial"/>
          <w:rtl/>
        </w:rPr>
        <w:t>.</w:t>
      </w:r>
      <w:r w:rsidRPr="00C53332">
        <w:rPr>
          <w:rtl/>
        </w:rPr>
        <w:t xml:space="preserve"> </w:t>
      </w:r>
      <w:r w:rsidRPr="00C53332">
        <w:rPr>
          <w:rFonts w:cs="Arial"/>
          <w:rtl/>
        </w:rPr>
        <w:t xml:space="preserve">וכן המקדיש מעשה ידי אשתו </w:t>
      </w:r>
      <w:r>
        <w:rPr>
          <w:rFonts w:cs="Arial" w:hint="cs"/>
          <w:rtl/>
        </w:rPr>
        <w:t xml:space="preserve">- </w:t>
      </w:r>
      <w:r w:rsidRPr="00C53332">
        <w:rPr>
          <w:rFonts w:cs="Arial"/>
          <w:rtl/>
        </w:rPr>
        <w:t>הרי זו עושה ואוכלת והמותר חולין</w:t>
      </w:r>
      <w:r>
        <w:rPr>
          <w:rFonts w:cs="Arial" w:hint="cs"/>
          <w:rtl/>
        </w:rPr>
        <w:t>.</w:t>
      </w:r>
      <w:r w:rsidRPr="00C53332">
        <w:rPr>
          <w:rFonts w:cs="Arial"/>
          <w:rtl/>
        </w:rPr>
        <w:t xml:space="preserve"> אמר לה </w:t>
      </w:r>
      <w:r>
        <w:rPr>
          <w:rFonts w:cs="Arial" w:hint="cs"/>
          <w:rtl/>
        </w:rPr>
        <w:t>'</w:t>
      </w:r>
      <w:r w:rsidRPr="00C53332">
        <w:rPr>
          <w:rFonts w:cs="Arial"/>
          <w:rtl/>
        </w:rPr>
        <w:t>יקדשו ידיך לעושיהן</w:t>
      </w:r>
      <w:r>
        <w:rPr>
          <w:rFonts w:cs="Arial" w:hint="cs"/>
          <w:rtl/>
        </w:rPr>
        <w:t>',</w:t>
      </w:r>
      <w:r w:rsidRPr="00C53332">
        <w:rPr>
          <w:rFonts w:cs="Arial"/>
          <w:rtl/>
        </w:rPr>
        <w:t xml:space="preserve"> הואיל והן משועבדין לו </w:t>
      </w:r>
      <w:r>
        <w:rPr>
          <w:rFonts w:cs="Arial" w:hint="cs"/>
          <w:rtl/>
        </w:rPr>
        <w:t xml:space="preserve">- </w:t>
      </w:r>
      <w:r w:rsidRPr="00C53332">
        <w:rPr>
          <w:rFonts w:cs="Arial"/>
          <w:rtl/>
        </w:rPr>
        <w:t>הרי כל מעשה ידיה קדש</w:t>
      </w:r>
      <w:r>
        <w:rPr>
          <w:rFonts w:cs="Arial" w:hint="cs"/>
          <w:rtl/>
        </w:rPr>
        <w:t>.</w:t>
      </w:r>
      <w:r w:rsidRPr="00C53332">
        <w:rPr>
          <w:rFonts w:cs="Arial"/>
          <w:rtl/>
        </w:rPr>
        <w:t xml:space="preserve"> הא למה זה דומה לאומר </w:t>
      </w:r>
      <w:r>
        <w:rPr>
          <w:rFonts w:cs="Arial" w:hint="cs"/>
          <w:rtl/>
        </w:rPr>
        <w:t>'</w:t>
      </w:r>
      <w:r w:rsidRPr="00C53332">
        <w:rPr>
          <w:rFonts w:cs="Arial"/>
          <w:rtl/>
        </w:rPr>
        <w:t>אילן זה קדש</w:t>
      </w:r>
      <w:r>
        <w:rPr>
          <w:rFonts w:cs="Arial" w:hint="cs"/>
          <w:rtl/>
        </w:rPr>
        <w:t>'</w:t>
      </w:r>
      <w:r w:rsidRPr="00C53332">
        <w:rPr>
          <w:rFonts w:cs="Arial"/>
          <w:rtl/>
        </w:rPr>
        <w:t xml:space="preserve"> שכל פירות שיעשה להבא קדש, וכן כל כיוצא בזה.</w:t>
      </w:r>
      <w:r w:rsidRPr="007F6DB4">
        <w:rPr>
          <w:rFonts w:cs="Arial" w:hint="cs"/>
          <w:color w:val="E36C0A" w:themeColor="accent6" w:themeShade="BF"/>
          <w:rtl/>
        </w:rPr>
        <w:t xml:space="preserve"> </w:t>
      </w:r>
      <w:r w:rsidRPr="00702703">
        <w:rPr>
          <w:rFonts w:cs="Arial" w:hint="cs"/>
          <w:color w:val="E36C0A" w:themeColor="accent6" w:themeShade="BF"/>
          <w:rtl/>
        </w:rPr>
        <w:t>(וכ"פ בשו"ע</w:t>
      </w:r>
      <w:r>
        <w:rPr>
          <w:rFonts w:cs="Arial" w:hint="cs"/>
          <w:color w:val="E36C0A" w:themeColor="accent6" w:themeShade="BF"/>
          <w:rtl/>
        </w:rPr>
        <w:t>)</w:t>
      </w:r>
    </w:p>
    <w:p w14:paraId="1B3CBAD4" w14:textId="77777777" w:rsidR="002E5BAD" w:rsidRPr="0042435E" w:rsidRDefault="002E5BAD" w:rsidP="002E5BAD">
      <w:pPr>
        <w:pStyle w:val="ab"/>
        <w:numPr>
          <w:ilvl w:val="0"/>
          <w:numId w:val="166"/>
        </w:numPr>
      </w:pPr>
      <w:r w:rsidRPr="0042435E">
        <w:rPr>
          <w:rFonts w:cs="Arial"/>
          <w:rtl/>
        </w:rPr>
        <w:lastRenderedPageBreak/>
        <w:t xml:space="preserve">ר"ן </w:t>
      </w:r>
      <w:r w:rsidRPr="0042435E">
        <w:rPr>
          <w:rFonts w:cs="Arial"/>
          <w:sz w:val="16"/>
          <w:szCs w:val="16"/>
          <w:rtl/>
        </w:rPr>
        <w:t>(כג: ד"ה גמ')</w:t>
      </w:r>
      <w:r w:rsidRPr="0042435E">
        <w:rPr>
          <w:rFonts w:cs="Arial" w:hint="cs"/>
          <w:rtl/>
        </w:rPr>
        <w:t xml:space="preserve">- </w:t>
      </w:r>
      <w:r>
        <w:rPr>
          <w:rStyle w:val="a7"/>
          <w:rFonts w:cs="Arial"/>
          <w:rtl/>
        </w:rPr>
        <w:footnoteReference w:id="1528"/>
      </w:r>
      <w:r w:rsidRPr="0042435E">
        <w:rPr>
          <w:rFonts w:cs="Arial"/>
          <w:rtl/>
        </w:rPr>
        <w:t xml:space="preserve">לדידן דקיי"ל לקמן (קז:) דיכולה אשה </w:t>
      </w:r>
      <w:r w:rsidRPr="0042435E">
        <w:rPr>
          <w:rFonts w:cs="Arial" w:hint="cs"/>
          <w:rtl/>
        </w:rPr>
        <w:t>לומר איני ניזונת ואיני עושה</w:t>
      </w:r>
      <w:r w:rsidRPr="0042435E">
        <w:rPr>
          <w:rFonts w:cs="Arial"/>
          <w:rtl/>
        </w:rPr>
        <w:t xml:space="preserve"> אפילו כי אמר הכי </w:t>
      </w:r>
      <w:r w:rsidRPr="0042435E">
        <w:rPr>
          <w:rFonts w:cs="Arial" w:hint="cs"/>
          <w:sz w:val="16"/>
          <w:szCs w:val="16"/>
          <w:rtl/>
        </w:rPr>
        <w:t xml:space="preserve">{'יקדשו ידיך לעושיהן'} </w:t>
      </w:r>
      <w:r w:rsidRPr="0042435E">
        <w:rPr>
          <w:rFonts w:cs="Arial" w:hint="cs"/>
          <w:rtl/>
        </w:rPr>
        <w:t xml:space="preserve">- </w:t>
      </w:r>
      <w:r w:rsidRPr="0042435E">
        <w:rPr>
          <w:rFonts w:cs="Arial"/>
          <w:rtl/>
        </w:rPr>
        <w:t>לא מהני</w:t>
      </w:r>
      <w:r w:rsidRPr="0042435E">
        <w:rPr>
          <w:rFonts w:cs="Arial" w:hint="cs"/>
          <w:rtl/>
        </w:rPr>
        <w:t>,</w:t>
      </w:r>
      <w:r w:rsidRPr="0042435E">
        <w:rPr>
          <w:rFonts w:cs="Arial"/>
          <w:rtl/>
        </w:rPr>
        <w:t xml:space="preserve"> כיון דלאו דידיה נינהו כיון שהיא יכולה להפקיעם משעבודו</w:t>
      </w:r>
      <w:r>
        <w:rPr>
          <w:rStyle w:val="a7"/>
          <w:rFonts w:cs="Arial"/>
          <w:rtl/>
        </w:rPr>
        <w:footnoteReference w:id="1529"/>
      </w:r>
      <w:r w:rsidRPr="0042435E">
        <w:rPr>
          <w:rFonts w:cs="Arial" w:hint="cs"/>
          <w:rtl/>
        </w:rPr>
        <w:t>.</w:t>
      </w:r>
      <w:r>
        <w:rPr>
          <w:rFonts w:cs="Arial" w:hint="cs"/>
          <w:rtl/>
        </w:rPr>
        <w:t xml:space="preserve"> </w:t>
      </w:r>
      <w:r w:rsidRPr="0042435E">
        <w:rPr>
          <w:rFonts w:cs="Arial" w:hint="cs"/>
          <w:color w:val="00B0F0"/>
          <w:rtl/>
        </w:rPr>
        <w:t>(וכ"פ הרמ"א)</w:t>
      </w:r>
    </w:p>
    <w:p w14:paraId="03D82851" w14:textId="77777777" w:rsidR="002E5BAD" w:rsidRPr="001F6116" w:rsidRDefault="002E5BAD" w:rsidP="002E5BAD">
      <w:pPr>
        <w:rPr>
          <w:rFonts w:cs="Arial"/>
          <w:u w:val="single"/>
        </w:rPr>
      </w:pPr>
      <w:r w:rsidRPr="006B455F">
        <w:rPr>
          <w:rFonts w:cs="Arial" w:hint="cs"/>
          <w:u w:val="single"/>
          <w:rtl/>
        </w:rPr>
        <w:t>אשה שאסרה מעשה ידיה על בעלה</w:t>
      </w:r>
      <w:r w:rsidRPr="001F6116">
        <w:rPr>
          <w:rFonts w:cs="Arial" w:hint="cs"/>
          <w:u w:val="single"/>
          <w:rtl/>
        </w:rPr>
        <w:t>:</w:t>
      </w:r>
    </w:p>
    <w:p w14:paraId="168F61FA" w14:textId="77777777" w:rsidR="002E5BAD" w:rsidRDefault="002E5BAD" w:rsidP="002E5BAD">
      <w:pPr>
        <w:pStyle w:val="ab"/>
        <w:numPr>
          <w:ilvl w:val="0"/>
          <w:numId w:val="166"/>
        </w:numPr>
        <w:rPr>
          <w:rFonts w:cs="Arial"/>
        </w:rPr>
      </w:pPr>
      <w:r>
        <w:rPr>
          <w:rFonts w:cs="Arial" w:hint="cs"/>
          <w:rtl/>
        </w:rPr>
        <w:t xml:space="preserve">רא"ש </w:t>
      </w:r>
      <w:r w:rsidRPr="00702703">
        <w:rPr>
          <w:rFonts w:cs="Arial" w:hint="cs"/>
          <w:sz w:val="16"/>
          <w:szCs w:val="16"/>
          <w:rtl/>
        </w:rPr>
        <w:t>(</w:t>
      </w:r>
      <w:r w:rsidRPr="00702703">
        <w:rPr>
          <w:rFonts w:cs="Arial"/>
          <w:sz w:val="16"/>
          <w:szCs w:val="16"/>
          <w:rtl/>
        </w:rPr>
        <w:t>בפסקיו שם סי' טו</w:t>
      </w:r>
      <w:r w:rsidRPr="00702703">
        <w:rPr>
          <w:rFonts w:cs="Arial" w:hint="cs"/>
          <w:sz w:val="16"/>
          <w:szCs w:val="16"/>
          <w:rtl/>
        </w:rPr>
        <w:t>,</w:t>
      </w:r>
      <w:r w:rsidRPr="00702703">
        <w:rPr>
          <w:rFonts w:cs="Arial"/>
          <w:sz w:val="16"/>
          <w:szCs w:val="16"/>
          <w:rtl/>
        </w:rPr>
        <w:t xml:space="preserve"> ופרק בתרא דנדרים</w:t>
      </w:r>
      <w:r w:rsidRPr="00702703">
        <w:rPr>
          <w:rFonts w:cs="Arial" w:hint="cs"/>
          <w:sz w:val="16"/>
          <w:szCs w:val="16"/>
          <w:rtl/>
        </w:rPr>
        <w:t>)</w:t>
      </w:r>
      <w:r w:rsidRPr="00702703">
        <w:rPr>
          <w:rFonts w:cs="Arial"/>
          <w:sz w:val="16"/>
          <w:szCs w:val="16"/>
          <w:rtl/>
        </w:rPr>
        <w:t xml:space="preserve"> </w:t>
      </w:r>
      <w:r>
        <w:rPr>
          <w:rFonts w:cs="Arial" w:hint="cs"/>
          <w:rtl/>
        </w:rPr>
        <w:t xml:space="preserve">וטור- </w:t>
      </w:r>
      <w:r w:rsidRPr="004A7B98">
        <w:rPr>
          <w:rFonts w:cs="Arial"/>
          <w:rtl/>
        </w:rPr>
        <w:t>ואם היא אסרה מעשה ידיה עליו</w:t>
      </w:r>
      <w:r>
        <w:rPr>
          <w:rFonts w:cs="Arial" w:hint="cs"/>
          <w:rtl/>
        </w:rPr>
        <w:t>,</w:t>
      </w:r>
      <w:r w:rsidRPr="004A7B98">
        <w:rPr>
          <w:rFonts w:cs="Arial"/>
          <w:rtl/>
        </w:rPr>
        <w:t xml:space="preserve"> כגון שאומרת </w:t>
      </w:r>
      <w:r>
        <w:rPr>
          <w:rFonts w:cs="Arial" w:hint="cs"/>
          <w:rtl/>
        </w:rPr>
        <w:t>'</w:t>
      </w:r>
      <w:r w:rsidRPr="004A7B98">
        <w:rPr>
          <w:rFonts w:cs="Arial"/>
          <w:rtl/>
        </w:rPr>
        <w:t>קונם מה שאני עושה לפיך</w:t>
      </w:r>
      <w:r>
        <w:rPr>
          <w:rFonts w:cs="Arial" w:hint="cs"/>
          <w:rtl/>
        </w:rPr>
        <w:t>'</w:t>
      </w:r>
      <w:r w:rsidRPr="004A7B98">
        <w:rPr>
          <w:rFonts w:cs="Arial"/>
          <w:rtl/>
        </w:rPr>
        <w:t xml:space="preserve"> וכגון שאומרת </w:t>
      </w:r>
      <w:r>
        <w:rPr>
          <w:rFonts w:cs="Arial" w:hint="cs"/>
          <w:rtl/>
        </w:rPr>
        <w:t>'</w:t>
      </w:r>
      <w:r w:rsidRPr="004A7B98">
        <w:rPr>
          <w:rFonts w:cs="Arial"/>
          <w:rtl/>
        </w:rPr>
        <w:t>יתקדשו ידי לעושיהן</w:t>
      </w:r>
      <w:r>
        <w:rPr>
          <w:rFonts w:cs="Arial" w:hint="cs"/>
          <w:rtl/>
        </w:rPr>
        <w:t>'</w:t>
      </w:r>
      <w:r>
        <w:rPr>
          <w:rStyle w:val="a7"/>
          <w:rFonts w:cs="Arial"/>
          <w:rtl/>
        </w:rPr>
        <w:footnoteReference w:id="1530"/>
      </w:r>
      <w:r w:rsidRPr="004A7B98">
        <w:rPr>
          <w:rFonts w:cs="Arial"/>
          <w:rtl/>
        </w:rPr>
        <w:t xml:space="preserve"> דהשתא לא הוי דבר שאינו בעולם</w:t>
      </w:r>
      <w:r>
        <w:rPr>
          <w:rFonts w:cs="Arial" w:hint="cs"/>
          <w:rtl/>
        </w:rPr>
        <w:t>,</w:t>
      </w:r>
      <w:r w:rsidRPr="004A7B98">
        <w:rPr>
          <w:rFonts w:cs="Arial"/>
          <w:rtl/>
        </w:rPr>
        <w:t xml:space="preserve"> שידיה ישנן בעולם </w:t>
      </w:r>
      <w:r>
        <w:rPr>
          <w:rFonts w:cs="Arial" w:hint="cs"/>
          <w:rtl/>
        </w:rPr>
        <w:t xml:space="preserve">- </w:t>
      </w:r>
      <w:r w:rsidRPr="004A7B98">
        <w:rPr>
          <w:rFonts w:cs="Arial"/>
          <w:rtl/>
        </w:rPr>
        <w:t>יפר</w:t>
      </w:r>
      <w:r>
        <w:rPr>
          <w:rFonts w:cs="Arial" w:hint="cs"/>
          <w:rtl/>
        </w:rPr>
        <w:t>,</w:t>
      </w:r>
      <w:r w:rsidRPr="004A7B98">
        <w:rPr>
          <w:rFonts w:cs="Arial"/>
          <w:rtl/>
        </w:rPr>
        <w:t xml:space="preserve"> שהוא מדברים שבינו לבינה אף על פי שאין הנדר חל לאוסרם עליו שהרי הם שלו ואפילו המותר</w:t>
      </w:r>
      <w:r>
        <w:rPr>
          <w:rFonts w:cs="Arial" w:hint="cs"/>
          <w:rtl/>
        </w:rPr>
        <w:t>,</w:t>
      </w:r>
      <w:r w:rsidRPr="004A7B98">
        <w:rPr>
          <w:rFonts w:cs="Arial"/>
          <w:rtl/>
        </w:rPr>
        <w:t xml:space="preserve"> מ"מ כיון שאם יגרשנה יחול הנדר ותיאסר עליו חשיב דברים שבינו לבינה</w:t>
      </w:r>
      <w:r>
        <w:rPr>
          <w:rFonts w:cs="Arial" w:hint="cs"/>
          <w:rtl/>
        </w:rPr>
        <w:t>.</w:t>
      </w:r>
      <w:r w:rsidRPr="004A7B98">
        <w:rPr>
          <w:rFonts w:cs="Arial"/>
          <w:rtl/>
        </w:rPr>
        <w:t xml:space="preserve"> </w:t>
      </w:r>
    </w:p>
    <w:p w14:paraId="15AE704A" w14:textId="77777777" w:rsidR="002E5BAD" w:rsidRDefault="002E5BAD" w:rsidP="002E5BAD">
      <w:pPr>
        <w:pStyle w:val="ab"/>
        <w:numPr>
          <w:ilvl w:val="0"/>
          <w:numId w:val="166"/>
        </w:numPr>
        <w:rPr>
          <w:rFonts w:cs="Arial"/>
        </w:rPr>
      </w:pPr>
      <w:r>
        <w:rPr>
          <w:rFonts w:cs="Arial" w:hint="cs"/>
          <w:rtl/>
        </w:rPr>
        <w:t xml:space="preserve">רמב"ם </w:t>
      </w:r>
      <w:r>
        <w:rPr>
          <w:rFonts w:cs="Arial" w:hint="cs"/>
          <w:sz w:val="16"/>
          <w:szCs w:val="16"/>
          <w:rtl/>
        </w:rPr>
        <w:t>(פי"ב מנדרים ה"י)</w:t>
      </w:r>
      <w:r>
        <w:rPr>
          <w:rFonts w:cs="Arial" w:hint="cs"/>
          <w:rtl/>
        </w:rPr>
        <w:t xml:space="preserve">- </w:t>
      </w:r>
      <w:r w:rsidRPr="00E42E2E">
        <w:rPr>
          <w:rFonts w:cs="Arial"/>
          <w:rtl/>
        </w:rPr>
        <w:t xml:space="preserve">אמרה יקדשו ידי לעושיהן או שנדרה שלא יהנה במעשה ידיה </w:t>
      </w:r>
      <w:r>
        <w:rPr>
          <w:rFonts w:cs="Arial" w:hint="cs"/>
          <w:rtl/>
        </w:rPr>
        <w:t xml:space="preserve">- </w:t>
      </w:r>
      <w:r w:rsidRPr="00E42E2E">
        <w:rPr>
          <w:rFonts w:cs="Arial"/>
          <w:rtl/>
        </w:rPr>
        <w:t>אינו נאסר במעשה ידיה</w:t>
      </w:r>
      <w:r>
        <w:rPr>
          <w:rFonts w:cs="Arial" w:hint="cs"/>
          <w:rtl/>
        </w:rPr>
        <w:t>,</w:t>
      </w:r>
      <w:r w:rsidRPr="00E42E2E">
        <w:rPr>
          <w:rFonts w:cs="Arial"/>
          <w:rtl/>
        </w:rPr>
        <w:t xml:space="preserve"> מפני שידיה משועבדין לו</w:t>
      </w:r>
      <w:r>
        <w:rPr>
          <w:rFonts w:cs="Arial" w:hint="cs"/>
          <w:rtl/>
        </w:rPr>
        <w:t>.</w:t>
      </w:r>
      <w:r w:rsidRPr="00E42E2E">
        <w:rPr>
          <w:rFonts w:cs="Arial"/>
          <w:rtl/>
        </w:rPr>
        <w:t xml:space="preserve"> שאע"פ שאמרו השחרור והחמץ וההקדש מפקיעין השעבוד</w:t>
      </w:r>
      <w:r>
        <w:rPr>
          <w:rFonts w:cs="Arial" w:hint="cs"/>
          <w:rtl/>
        </w:rPr>
        <w:t>,</w:t>
      </w:r>
      <w:r w:rsidRPr="00E42E2E">
        <w:rPr>
          <w:rFonts w:cs="Arial"/>
          <w:rtl/>
        </w:rPr>
        <w:t xml:space="preserve"> חכמים עשו חזוק לשעבוד הבעל שאינה יכולה להפקיעו מפני שהוא מדבריהם, אבל צריך הוא להפר שמא יגרשנה ותהיה אסורה לחזור לו</w:t>
      </w:r>
      <w:r>
        <w:rPr>
          <w:rStyle w:val="a7"/>
          <w:rFonts w:cs="Arial"/>
          <w:rtl/>
        </w:rPr>
        <w:footnoteReference w:id="1531"/>
      </w:r>
      <w:r w:rsidRPr="00E42E2E">
        <w:rPr>
          <w:rFonts w:cs="Arial"/>
          <w:rtl/>
        </w:rPr>
        <w:t>.</w:t>
      </w:r>
      <w:r>
        <w:rPr>
          <w:rFonts w:cs="Arial" w:hint="cs"/>
          <w:rtl/>
        </w:rPr>
        <w:t xml:space="preserve"> </w:t>
      </w:r>
      <w:r w:rsidRPr="00702703">
        <w:rPr>
          <w:rFonts w:cs="Arial" w:hint="cs"/>
          <w:color w:val="E36C0A" w:themeColor="accent6" w:themeShade="BF"/>
          <w:rtl/>
        </w:rPr>
        <w:t>(וכ"פ בשו"ע</w:t>
      </w:r>
      <w:r w:rsidRPr="00702703">
        <w:rPr>
          <w:rFonts w:cs="Arial" w:hint="cs"/>
          <w:color w:val="E36C0A" w:themeColor="accent6" w:themeShade="BF"/>
          <w:sz w:val="16"/>
          <w:szCs w:val="16"/>
          <w:rtl/>
        </w:rPr>
        <w:t xml:space="preserve"> </w:t>
      </w:r>
      <w:r>
        <w:rPr>
          <w:rFonts w:cs="Arial" w:hint="cs"/>
          <w:sz w:val="16"/>
          <w:szCs w:val="16"/>
          <w:rtl/>
        </w:rPr>
        <w:t>[בסע' הבא]</w:t>
      </w:r>
      <w:r w:rsidRPr="00702703">
        <w:rPr>
          <w:rFonts w:cs="Arial" w:hint="cs"/>
          <w:color w:val="E36C0A" w:themeColor="accent6" w:themeShade="BF"/>
          <w:rtl/>
        </w:rPr>
        <w:t>)</w:t>
      </w:r>
    </w:p>
    <w:p w14:paraId="601690C3" w14:textId="77777777" w:rsidR="002E5BAD" w:rsidRPr="00EC687D" w:rsidRDefault="002E5BAD" w:rsidP="002E5BAD">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D04A54">
        <w:rPr>
          <w:rFonts w:cs="Arial"/>
          <w:rtl/>
        </w:rPr>
        <w:t>רשב"ג אומר וכו'. היינו תנא קמא</w:t>
      </w:r>
      <w:r>
        <w:rPr>
          <w:rStyle w:val="a7"/>
          <w:rFonts w:cs="Arial"/>
          <w:rtl/>
        </w:rPr>
        <w:footnoteReference w:id="1532"/>
      </w:r>
      <w:r w:rsidRPr="00D04A54">
        <w:rPr>
          <w:rFonts w:cs="Arial"/>
          <w:rtl/>
        </w:rPr>
        <w:t>! איכא בינייהו, דמיטללא בגורייתא קיטנייתא ונדרשיר</w:t>
      </w:r>
      <w:r>
        <w:rPr>
          <w:rStyle w:val="a7"/>
          <w:rFonts w:cs="Arial"/>
          <w:rtl/>
        </w:rPr>
        <w:footnoteReference w:id="1533"/>
      </w:r>
      <w:r w:rsidRPr="00D04A54">
        <w:rPr>
          <w:rFonts w:cs="Arial"/>
          <w:rtl/>
        </w:rPr>
        <w:t>.</w:t>
      </w:r>
      <w:r w:rsidRPr="00E73332">
        <w:rPr>
          <w:rtl/>
        </w:rPr>
        <w:t xml:space="preserve"> </w:t>
      </w:r>
      <w:r w:rsidRPr="00E73332">
        <w:rPr>
          <w:rFonts w:cs="Arial" w:hint="cs"/>
          <w:sz w:val="16"/>
          <w:szCs w:val="16"/>
          <w:rtl/>
        </w:rPr>
        <w:t>(</w:t>
      </w:r>
      <w:r w:rsidRPr="00E73332">
        <w:rPr>
          <w:rFonts w:cs="Arial"/>
          <w:sz w:val="16"/>
          <w:szCs w:val="16"/>
          <w:rtl/>
        </w:rPr>
        <w:t>למאן דאמר שהבטלה מביאה לידי זימה הא נמי מביאה לידי זימה ולמאן דאמר מביאה לידי שעמום הא אין מביאה לידי שעמום וכבר אפסיקא הלכתא כרבי אליעזר דחייש לזימה</w:t>
      </w:r>
      <w:r>
        <w:rPr>
          <w:rFonts w:cs="Arial" w:hint="cs"/>
          <w:sz w:val="16"/>
          <w:szCs w:val="16"/>
          <w:rtl/>
        </w:rPr>
        <w:t xml:space="preserve">, רי"ף (כה:). </w:t>
      </w:r>
      <w:r w:rsidRPr="00E73332">
        <w:rPr>
          <w:rFonts w:cs="Arial"/>
          <w:sz w:val="16"/>
          <w:szCs w:val="16"/>
          <w:rtl/>
        </w:rPr>
        <w:t>הילכך מדיר את אשתו ממלאכה אף על פי שהיא רשאה לטייל בגורייתא ונרדשיר יוציא ויתן כתובה</w:t>
      </w:r>
      <w:r>
        <w:rPr>
          <w:rFonts w:cs="Arial" w:hint="cs"/>
          <w:sz w:val="16"/>
          <w:szCs w:val="16"/>
          <w:rtl/>
        </w:rPr>
        <w:t>, ר"ן (כה: ד"ה וכבר). וכ"פ הרמב"ם (פכ"א ה"ג, כן הסביר הב"י דבריו). אך הרא"ש (פ"ה ס"ס כז) כתב על דברי הרי"ף ד</w:t>
      </w:r>
      <w:r w:rsidRPr="00804695">
        <w:rPr>
          <w:rFonts w:cs="Arial"/>
          <w:sz w:val="16"/>
          <w:szCs w:val="16"/>
          <w:rtl/>
        </w:rPr>
        <w:t>אינה ראיה כל כך</w:t>
      </w:r>
      <w:r>
        <w:rPr>
          <w:rFonts w:cs="Arial" w:hint="cs"/>
          <w:sz w:val="16"/>
          <w:szCs w:val="16"/>
          <w:rtl/>
        </w:rPr>
        <w:t xml:space="preserve"> הא ד</w:t>
      </w:r>
      <w:r w:rsidRPr="00EC687D">
        <w:rPr>
          <w:rFonts w:cs="Arial"/>
          <w:sz w:val="16"/>
          <w:szCs w:val="16"/>
          <w:rtl/>
        </w:rPr>
        <w:t>כבר איפסיק הלכתא כר' אליעזר</w:t>
      </w:r>
      <w:r>
        <w:rPr>
          <w:rFonts w:cs="Arial" w:hint="cs"/>
          <w:sz w:val="16"/>
          <w:szCs w:val="16"/>
          <w:rtl/>
        </w:rPr>
        <w:t>.</w:t>
      </w:r>
      <w:r w:rsidRPr="00804695">
        <w:rPr>
          <w:rFonts w:cs="Arial"/>
          <w:sz w:val="16"/>
          <w:szCs w:val="16"/>
          <w:rtl/>
        </w:rPr>
        <w:t xml:space="preserve"> דפסיק הלכתא כרבי אליעזר במאי דפליג אתנא קמא</w:t>
      </w:r>
      <w:r>
        <w:rPr>
          <w:rFonts w:cs="Arial" w:hint="cs"/>
          <w:sz w:val="16"/>
          <w:szCs w:val="16"/>
          <w:rtl/>
        </w:rPr>
        <w:t>,</w:t>
      </w:r>
      <w:r w:rsidRPr="00804695">
        <w:rPr>
          <w:rFonts w:cs="Arial"/>
          <w:sz w:val="16"/>
          <w:szCs w:val="16"/>
          <w:rtl/>
        </w:rPr>
        <w:t xml:space="preserve"> אבל במאי דפליג ארשב"ג כ</w:t>
      </w:r>
      <w:r>
        <w:rPr>
          <w:rFonts w:cs="Arial" w:hint="cs"/>
          <w:sz w:val="16"/>
          <w:szCs w:val="16"/>
          <w:rtl/>
        </w:rPr>
        <w:t xml:space="preserve">ל </w:t>
      </w:r>
      <w:r w:rsidRPr="00804695">
        <w:rPr>
          <w:rFonts w:cs="Arial"/>
          <w:sz w:val="16"/>
          <w:szCs w:val="16"/>
          <w:rtl/>
        </w:rPr>
        <w:t>מ</w:t>
      </w:r>
      <w:r>
        <w:rPr>
          <w:rFonts w:cs="Arial" w:hint="cs"/>
          <w:sz w:val="16"/>
          <w:szCs w:val="16"/>
          <w:rtl/>
        </w:rPr>
        <w:t>קום</w:t>
      </w:r>
      <w:r w:rsidRPr="00804695">
        <w:rPr>
          <w:rFonts w:cs="Arial"/>
          <w:sz w:val="16"/>
          <w:szCs w:val="16"/>
          <w:rtl/>
        </w:rPr>
        <w:t xml:space="preserve"> ששנה רשב"ג הלכה כמותו</w:t>
      </w:r>
      <w:r>
        <w:rPr>
          <w:rFonts w:cs="Arial" w:hint="cs"/>
          <w:sz w:val="16"/>
          <w:szCs w:val="16"/>
          <w:rtl/>
        </w:rPr>
        <w:t>)</w:t>
      </w:r>
    </w:p>
    <w:p w14:paraId="5CBC666D" w14:textId="77777777" w:rsidR="002E5BAD" w:rsidRPr="006B455F" w:rsidRDefault="002E5BAD" w:rsidP="002E5BAD">
      <w:pPr>
        <w:rPr>
          <w:rFonts w:cs="Arial"/>
          <w:u w:val="single"/>
          <w:rtl/>
        </w:rPr>
      </w:pPr>
      <w:r w:rsidRPr="006B455F">
        <w:rPr>
          <w:rFonts w:cs="Arial"/>
          <w:u w:val="single"/>
          <w:rtl/>
        </w:rPr>
        <w:t>המדיר את אשתו שלא תעשה מלאכה</w:t>
      </w:r>
      <w:r w:rsidRPr="006B455F">
        <w:rPr>
          <w:rFonts w:cs="Arial" w:hint="cs"/>
          <w:u w:val="single"/>
          <w:rtl/>
        </w:rPr>
        <w:t>:</w:t>
      </w:r>
    </w:p>
    <w:p w14:paraId="42B2386B" w14:textId="77777777" w:rsidR="002E5BAD" w:rsidRDefault="002E5BAD" w:rsidP="002E5BAD">
      <w:pPr>
        <w:pStyle w:val="ab"/>
        <w:numPr>
          <w:ilvl w:val="0"/>
          <w:numId w:val="166"/>
        </w:numPr>
        <w:rPr>
          <w:rFonts w:cs="Arial"/>
        </w:rPr>
      </w:pPr>
      <w:r>
        <w:rPr>
          <w:rFonts w:cs="Arial" w:hint="cs"/>
          <w:rtl/>
        </w:rPr>
        <w:t xml:space="preserve">טור- </w:t>
      </w:r>
      <w:r w:rsidRPr="004A7B98">
        <w:rPr>
          <w:rFonts w:cs="Arial"/>
          <w:rtl/>
        </w:rPr>
        <w:t xml:space="preserve">המדיר את אשתו שלא תעשה מלאכה </w:t>
      </w:r>
      <w:r>
        <w:rPr>
          <w:rFonts w:cs="Arial" w:hint="cs"/>
          <w:rtl/>
        </w:rPr>
        <w:t xml:space="preserve">- </w:t>
      </w:r>
      <w:r w:rsidRPr="004A7B98">
        <w:rPr>
          <w:rFonts w:cs="Arial"/>
          <w:rtl/>
        </w:rPr>
        <w:t>יוציא ויתן כתובה</w:t>
      </w:r>
      <w:r>
        <w:rPr>
          <w:rFonts w:cs="Arial" w:hint="cs"/>
          <w:rtl/>
        </w:rPr>
        <w:t>.</w:t>
      </w:r>
      <w:r w:rsidRPr="004A7B98">
        <w:rPr>
          <w:rFonts w:cs="Arial"/>
          <w:rtl/>
        </w:rPr>
        <w:t xml:space="preserve"> </w:t>
      </w:r>
      <w:r w:rsidRPr="00EC5ABC">
        <w:rPr>
          <w:rFonts w:hint="cs"/>
          <w:color w:val="E36C0A" w:themeColor="accent6" w:themeShade="BF"/>
          <w:rtl/>
        </w:rPr>
        <w:t>(וכ"פ בשו"ע</w:t>
      </w:r>
      <w:r>
        <w:rPr>
          <w:rFonts w:hint="cs"/>
          <w:color w:val="E36C0A" w:themeColor="accent6" w:themeShade="BF"/>
          <w:rtl/>
        </w:rPr>
        <w:t xml:space="preserve"> </w:t>
      </w:r>
      <w:r w:rsidRPr="0051329A">
        <w:rPr>
          <w:rFonts w:hint="cs"/>
          <w:color w:val="000000" w:themeColor="text1"/>
          <w:sz w:val="16"/>
          <w:szCs w:val="16"/>
          <w:rtl/>
        </w:rPr>
        <w:t>[</w:t>
      </w:r>
      <w:r>
        <w:rPr>
          <w:rFonts w:hint="cs"/>
          <w:color w:val="000000" w:themeColor="text1"/>
          <w:sz w:val="16"/>
          <w:szCs w:val="16"/>
          <w:rtl/>
        </w:rPr>
        <w:t>בסי' פ ס"ג</w:t>
      </w:r>
      <w:r w:rsidRPr="0051329A">
        <w:rPr>
          <w:rFonts w:hint="cs"/>
          <w:color w:val="000000" w:themeColor="text1"/>
          <w:sz w:val="16"/>
          <w:szCs w:val="16"/>
          <w:rtl/>
        </w:rPr>
        <w:t>]</w:t>
      </w:r>
      <w:r w:rsidRPr="00EC5ABC">
        <w:rPr>
          <w:rFonts w:hint="cs"/>
          <w:color w:val="E36C0A" w:themeColor="accent6" w:themeShade="BF"/>
          <w:rtl/>
        </w:rPr>
        <w:t>)</w:t>
      </w:r>
    </w:p>
    <w:p w14:paraId="4A2B2C06" w14:textId="77777777" w:rsidR="002E5BAD" w:rsidRPr="0051329A" w:rsidRDefault="002E5BAD" w:rsidP="002E5BAD">
      <w:pPr>
        <w:ind w:left="360"/>
        <w:rPr>
          <w:rFonts w:cs="Arial"/>
        </w:rPr>
      </w:pPr>
      <w:r w:rsidRPr="0051329A">
        <w:rPr>
          <w:rFonts w:cs="Arial" w:hint="cs"/>
          <w:u w:val="dotted"/>
          <w:rtl/>
        </w:rPr>
        <w:t>ומה הדין אם התיר לה מלאכה כל שהיא:</w:t>
      </w:r>
    </w:p>
    <w:p w14:paraId="7544C322" w14:textId="77777777" w:rsidR="002E5BAD" w:rsidRDefault="002E5BAD" w:rsidP="002E5BAD">
      <w:pPr>
        <w:pStyle w:val="ab"/>
        <w:numPr>
          <w:ilvl w:val="0"/>
          <w:numId w:val="169"/>
        </w:numPr>
      </w:pPr>
      <w:r>
        <w:rPr>
          <w:rFonts w:cs="Arial" w:hint="cs"/>
          <w:rtl/>
        </w:rPr>
        <w:t xml:space="preserve">רי"ף </w:t>
      </w:r>
      <w:r>
        <w:rPr>
          <w:rFonts w:cs="Arial" w:hint="cs"/>
          <w:sz w:val="16"/>
          <w:szCs w:val="16"/>
          <w:rtl/>
        </w:rPr>
        <w:t>(כה:)</w:t>
      </w:r>
      <w:r>
        <w:rPr>
          <w:rFonts w:cs="Arial" w:hint="cs"/>
          <w:rtl/>
        </w:rPr>
        <w:t xml:space="preserve"> </w:t>
      </w:r>
      <w:r w:rsidRPr="00986CA6">
        <w:rPr>
          <w:rFonts w:cs="Arial" w:hint="cs"/>
          <w:rtl/>
        </w:rPr>
        <w:t xml:space="preserve">רמב"ם </w:t>
      </w:r>
      <w:r w:rsidRPr="00986CA6">
        <w:rPr>
          <w:rFonts w:cs="Arial" w:hint="cs"/>
          <w:sz w:val="16"/>
          <w:szCs w:val="16"/>
          <w:rtl/>
        </w:rPr>
        <w:t>(פכ"א ה"ג)</w:t>
      </w:r>
      <w:r>
        <w:rPr>
          <w:rFonts w:cs="Arial" w:hint="cs"/>
          <w:rtl/>
        </w:rPr>
        <w:t xml:space="preserve"> ור"ן </w:t>
      </w:r>
      <w:r>
        <w:rPr>
          <w:rFonts w:cs="Arial" w:hint="cs"/>
          <w:sz w:val="16"/>
          <w:szCs w:val="16"/>
          <w:rtl/>
        </w:rPr>
        <w:t>(כה: ד"ה וכבר)</w:t>
      </w:r>
      <w:r w:rsidRPr="00986CA6">
        <w:rPr>
          <w:rFonts w:cs="Arial" w:hint="cs"/>
          <w:rtl/>
        </w:rPr>
        <w:t xml:space="preserve">- </w:t>
      </w:r>
      <w:r w:rsidRPr="00986CA6">
        <w:rPr>
          <w:rFonts w:cs="Arial"/>
          <w:rtl/>
        </w:rPr>
        <w:t xml:space="preserve">המדיר את אשתו שלא תעשה מלאכה כלל </w:t>
      </w:r>
      <w:r>
        <w:rPr>
          <w:rFonts w:cs="Arial" w:hint="cs"/>
          <w:rtl/>
        </w:rPr>
        <w:t xml:space="preserve">- </w:t>
      </w:r>
      <w:r w:rsidRPr="00986CA6">
        <w:rPr>
          <w:rFonts w:cs="Arial"/>
          <w:rtl/>
        </w:rPr>
        <w:t>יוציא ויתן כתובה, שהבטלה מביאה לידי זמה</w:t>
      </w:r>
      <w:r>
        <w:rPr>
          <w:rFonts w:cs="Arial" w:hint="cs"/>
          <w:sz w:val="16"/>
          <w:szCs w:val="16"/>
          <w:rtl/>
        </w:rPr>
        <w:t xml:space="preserve"> (ל' הרמב"ם)</w:t>
      </w:r>
      <w:r w:rsidRPr="00986CA6">
        <w:rPr>
          <w:rFonts w:cs="Arial"/>
          <w:rtl/>
        </w:rPr>
        <w:t>.</w:t>
      </w:r>
      <w:r w:rsidRPr="00986CA6">
        <w:rPr>
          <w:rFonts w:hint="cs"/>
          <w:color w:val="E36C0A" w:themeColor="accent6" w:themeShade="BF"/>
          <w:rtl/>
        </w:rPr>
        <w:t xml:space="preserve"> </w:t>
      </w:r>
      <w:r w:rsidRPr="00EC5ABC">
        <w:rPr>
          <w:rFonts w:hint="cs"/>
          <w:color w:val="E36C0A" w:themeColor="accent6" w:themeShade="BF"/>
          <w:rtl/>
        </w:rPr>
        <w:t>(וכ"פ בשו"ע</w:t>
      </w:r>
      <w:r>
        <w:rPr>
          <w:rFonts w:hint="cs"/>
          <w:color w:val="E36C0A" w:themeColor="accent6" w:themeShade="BF"/>
          <w:sz w:val="16"/>
          <w:szCs w:val="16"/>
          <w:rtl/>
        </w:rPr>
        <w:t xml:space="preserve"> </w:t>
      </w:r>
      <w:r w:rsidRPr="0051329A">
        <w:rPr>
          <w:rFonts w:hint="cs"/>
          <w:color w:val="000000" w:themeColor="text1"/>
          <w:sz w:val="16"/>
          <w:szCs w:val="16"/>
          <w:rtl/>
        </w:rPr>
        <w:t>[</w:t>
      </w:r>
      <w:r>
        <w:rPr>
          <w:rFonts w:hint="cs"/>
          <w:color w:val="000000" w:themeColor="text1"/>
          <w:sz w:val="16"/>
          <w:szCs w:val="16"/>
          <w:rtl/>
        </w:rPr>
        <w:t>בסי' פ ס"ג</w:t>
      </w:r>
      <w:r w:rsidRPr="0051329A">
        <w:rPr>
          <w:rFonts w:hint="cs"/>
          <w:color w:val="000000" w:themeColor="text1"/>
          <w:sz w:val="16"/>
          <w:szCs w:val="16"/>
          <w:rtl/>
        </w:rPr>
        <w:t>]</w:t>
      </w:r>
      <w:r w:rsidRPr="00EC5ABC">
        <w:rPr>
          <w:rFonts w:hint="cs"/>
          <w:color w:val="E36C0A" w:themeColor="accent6" w:themeShade="BF"/>
          <w:rtl/>
        </w:rPr>
        <w:t>)</w:t>
      </w:r>
    </w:p>
    <w:p w14:paraId="69FEF133" w14:textId="77777777" w:rsidR="002E5BAD" w:rsidRPr="001267E5" w:rsidRDefault="002E5BAD" w:rsidP="002E5BAD">
      <w:pPr>
        <w:pStyle w:val="ab"/>
        <w:numPr>
          <w:ilvl w:val="0"/>
          <w:numId w:val="169"/>
        </w:numPr>
      </w:pPr>
      <w:r w:rsidRPr="00EC687D">
        <w:rPr>
          <w:rFonts w:cs="Arial" w:hint="cs"/>
          <w:rtl/>
        </w:rPr>
        <w:t>רא"ש</w:t>
      </w:r>
      <w:r>
        <w:rPr>
          <w:rFonts w:cs="Arial" w:hint="cs"/>
          <w:sz w:val="16"/>
          <w:szCs w:val="16"/>
          <w:rtl/>
        </w:rPr>
        <w:t xml:space="preserve"> (פ"ה ס"ס כז, הביאו הטור בס"ס פא)</w:t>
      </w:r>
      <w:r>
        <w:rPr>
          <w:rFonts w:hint="cs"/>
          <w:rtl/>
        </w:rPr>
        <w:t xml:space="preserve">- </w:t>
      </w:r>
      <w:r w:rsidRPr="00EC687D">
        <w:rPr>
          <w:rFonts w:cs="Arial"/>
          <w:rtl/>
        </w:rPr>
        <w:t>התיר לה מלאכה כל שהוא כגון לשחק בכלבים וכיוצא בהן</w:t>
      </w:r>
      <w:r>
        <w:rPr>
          <w:rFonts w:cs="Arial" w:hint="cs"/>
          <w:rtl/>
        </w:rPr>
        <w:t>...- לא יוציא</w:t>
      </w:r>
      <w:r>
        <w:rPr>
          <w:rFonts w:cs="Arial" w:hint="cs"/>
          <w:sz w:val="16"/>
          <w:szCs w:val="16"/>
          <w:rtl/>
        </w:rPr>
        <w:t xml:space="preserve"> (ל' הטור בשם הרא"ש)</w:t>
      </w:r>
      <w:r>
        <w:rPr>
          <w:rFonts w:cs="Arial" w:hint="cs"/>
          <w:rtl/>
        </w:rPr>
        <w:t>.</w:t>
      </w:r>
    </w:p>
    <w:p w14:paraId="7478297C" w14:textId="77777777" w:rsidR="002E5BAD" w:rsidRPr="001267E5" w:rsidRDefault="002E5BAD" w:rsidP="002E5BAD">
      <w:pPr>
        <w:ind w:left="360"/>
        <w:rPr>
          <w:u w:val="dotted"/>
        </w:rPr>
      </w:pPr>
      <w:r w:rsidRPr="001267E5">
        <w:rPr>
          <w:rFonts w:hint="cs"/>
          <w:u w:val="dotted"/>
          <w:rtl/>
        </w:rPr>
        <w:t>האם</w:t>
      </w:r>
      <w:r>
        <w:rPr>
          <w:rFonts w:hint="cs"/>
          <w:u w:val="dotted"/>
          <w:rtl/>
        </w:rPr>
        <w:t xml:space="preserve"> בכה"ג</w:t>
      </w:r>
      <w:r w:rsidRPr="001267E5">
        <w:rPr>
          <w:rFonts w:hint="cs"/>
          <w:u w:val="dotted"/>
          <w:rtl/>
        </w:rPr>
        <w:t xml:space="preserve"> </w:t>
      </w:r>
      <w:r w:rsidRPr="00C80240">
        <w:rPr>
          <w:rFonts w:hint="cs"/>
          <w:sz w:val="16"/>
          <w:szCs w:val="16"/>
          <w:u w:val="dotted"/>
          <w:rtl/>
        </w:rPr>
        <w:t>(שעושה רק כדי שלא תבוא לידי זימה</w:t>
      </w:r>
      <w:r>
        <w:rPr>
          <w:rFonts w:hint="cs"/>
          <w:sz w:val="16"/>
          <w:szCs w:val="16"/>
          <w:u w:val="dotted"/>
          <w:rtl/>
        </w:rPr>
        <w:t>)</w:t>
      </w:r>
      <w:r>
        <w:rPr>
          <w:rFonts w:hint="cs"/>
          <w:u w:val="dotted"/>
          <w:rtl/>
        </w:rPr>
        <w:t xml:space="preserve"> </w:t>
      </w:r>
      <w:r w:rsidRPr="001267E5">
        <w:rPr>
          <w:rFonts w:hint="cs"/>
          <w:u w:val="dotted"/>
          <w:rtl/>
        </w:rPr>
        <w:t xml:space="preserve">מעשי ידיה עדיין שייכים לבעלה: </w:t>
      </w:r>
    </w:p>
    <w:p w14:paraId="40DC72D5" w14:textId="77777777" w:rsidR="002E5BAD" w:rsidRPr="00C80240" w:rsidRDefault="002E5BAD" w:rsidP="002E5BAD">
      <w:pPr>
        <w:pStyle w:val="ab"/>
        <w:numPr>
          <w:ilvl w:val="0"/>
          <w:numId w:val="169"/>
        </w:numPr>
      </w:pPr>
      <w:r w:rsidRPr="001267E5">
        <w:rPr>
          <w:rFonts w:cs="Arial"/>
          <w:rtl/>
        </w:rPr>
        <w:t xml:space="preserve">ר"ן </w:t>
      </w:r>
      <w:r w:rsidRPr="00C80240">
        <w:rPr>
          <w:rFonts w:cs="Arial"/>
          <w:sz w:val="16"/>
          <w:szCs w:val="16"/>
          <w:rtl/>
        </w:rPr>
        <w:t>(כה: ד"ה הלכה)</w:t>
      </w:r>
      <w:r>
        <w:rPr>
          <w:rFonts w:cs="Arial" w:hint="cs"/>
          <w:rtl/>
        </w:rPr>
        <w:t xml:space="preserve">- הלכה כר' אליעזר </w:t>
      </w:r>
      <w:r w:rsidRPr="001267E5">
        <w:rPr>
          <w:rFonts w:cs="Arial"/>
          <w:rtl/>
        </w:rPr>
        <w:t>ומיהו משמע שאינה חייבת לעשות משקל חמש סלעים אלא כדי שלא תהא יושבת ובטלה</w:t>
      </w:r>
      <w:r>
        <w:rPr>
          <w:rFonts w:cs="Arial" w:hint="cs"/>
          <w:rtl/>
        </w:rPr>
        <w:t>,</w:t>
      </w:r>
      <w:r w:rsidRPr="001267E5">
        <w:rPr>
          <w:rFonts w:cs="Arial"/>
          <w:rtl/>
        </w:rPr>
        <w:t xml:space="preserve"> ויש אומרים דמלאכתה </w:t>
      </w:r>
      <w:r>
        <w:rPr>
          <w:rFonts w:cs="Arial" w:hint="cs"/>
          <w:rtl/>
        </w:rPr>
        <w:t xml:space="preserve">- </w:t>
      </w:r>
      <w:r w:rsidRPr="001267E5">
        <w:rPr>
          <w:rFonts w:cs="Arial"/>
          <w:rtl/>
        </w:rPr>
        <w:t>דידה הויא</w:t>
      </w:r>
      <w:r>
        <w:rPr>
          <w:rFonts w:cs="Arial" w:hint="cs"/>
          <w:rtl/>
        </w:rPr>
        <w:t>,</w:t>
      </w:r>
      <w:r w:rsidRPr="001267E5">
        <w:rPr>
          <w:rFonts w:cs="Arial"/>
          <w:rtl/>
        </w:rPr>
        <w:t xml:space="preserve"> דכיון שאין מחייבין אותה אלא כדי שלא תבא לידי </w:t>
      </w:r>
      <w:r w:rsidRPr="001267E5">
        <w:rPr>
          <w:rFonts w:cs="Arial"/>
          <w:rtl/>
        </w:rPr>
        <w:lastRenderedPageBreak/>
        <w:t>זימה כל שעושה בין לאחרים בין לעצמה אזל ליה ההוא טעמא</w:t>
      </w:r>
      <w:r>
        <w:rPr>
          <w:rFonts w:cs="Arial" w:hint="cs"/>
          <w:rtl/>
        </w:rPr>
        <w:t>.</w:t>
      </w:r>
      <w:r w:rsidRPr="001267E5">
        <w:rPr>
          <w:rFonts w:cs="Arial"/>
          <w:rtl/>
        </w:rPr>
        <w:t xml:space="preserve"> אבל הרשב"א ז"ל </w:t>
      </w:r>
      <w:r w:rsidRPr="00C80240">
        <w:rPr>
          <w:rFonts w:cs="Arial"/>
          <w:sz w:val="16"/>
          <w:szCs w:val="16"/>
          <w:rtl/>
        </w:rPr>
        <w:t>(סא. ד"ה מתני')</w:t>
      </w:r>
      <w:r>
        <w:rPr>
          <w:rFonts w:cs="Arial" w:hint="cs"/>
          <w:rtl/>
        </w:rPr>
        <w:t xml:space="preserve"> </w:t>
      </w:r>
      <w:r w:rsidRPr="001267E5">
        <w:rPr>
          <w:rFonts w:cs="Arial"/>
          <w:rtl/>
        </w:rPr>
        <w:t>כתב דמסתברא דלא עדיף מהעדפה דעל ידי הדחק דהויא דבעל אף על פי שעושה מרצונה ולא מתורת חיוב</w:t>
      </w:r>
      <w:r>
        <w:rPr>
          <w:rFonts w:cs="Arial" w:hint="cs"/>
          <w:rtl/>
        </w:rPr>
        <w:t>.</w:t>
      </w:r>
      <w:r w:rsidRPr="001267E5">
        <w:rPr>
          <w:rFonts w:cs="Arial"/>
          <w:rtl/>
        </w:rPr>
        <w:t xml:space="preserve"> ולא ידעתי מהו</w:t>
      </w:r>
      <w:r>
        <w:rPr>
          <w:rFonts w:cs="Arial" w:hint="cs"/>
          <w:rtl/>
        </w:rPr>
        <w:t>,</w:t>
      </w:r>
      <w:r w:rsidRPr="001267E5">
        <w:rPr>
          <w:rFonts w:cs="Arial"/>
          <w:rtl/>
        </w:rPr>
        <w:t xml:space="preserve"> דכל העדפה ברצונה נעשית ואעפ"כ הקנוה לבעל תחת מעה כסף</w:t>
      </w:r>
      <w:r>
        <w:rPr>
          <w:rFonts w:cs="Arial" w:hint="cs"/>
          <w:rtl/>
        </w:rPr>
        <w:t>,</w:t>
      </w:r>
      <w:r w:rsidRPr="001267E5">
        <w:rPr>
          <w:rFonts w:cs="Arial"/>
          <w:rtl/>
        </w:rPr>
        <w:t xml:space="preserve"> ואפילו העדפה שע"י הדחק למי שפוסק כן</w:t>
      </w:r>
      <w:r>
        <w:rPr>
          <w:rFonts w:cs="Arial" w:hint="cs"/>
          <w:rtl/>
        </w:rPr>
        <w:t>,</w:t>
      </w:r>
      <w:r w:rsidRPr="001267E5">
        <w:rPr>
          <w:rFonts w:cs="Arial"/>
          <w:rtl/>
        </w:rPr>
        <w:t xml:space="preserve"> ומה ענין זה לכאן</w:t>
      </w:r>
      <w:r>
        <w:rPr>
          <w:rFonts w:cs="Arial" w:hint="cs"/>
          <w:rtl/>
        </w:rPr>
        <w:t>.</w:t>
      </w:r>
      <w:r w:rsidRPr="001267E5">
        <w:rPr>
          <w:rFonts w:cs="Arial"/>
          <w:rtl/>
        </w:rPr>
        <w:t xml:space="preserve"> אבל קרוב הדבר לומר שאם תהא מלאכתה לעצמה כיון שלא תצטריך לחשוב עם הבעל תתבטל ותבא לידי זימה</w:t>
      </w:r>
      <w:r>
        <w:rPr>
          <w:rFonts w:hint="cs"/>
          <w:rtl/>
        </w:rPr>
        <w:t>.</w:t>
      </w:r>
    </w:p>
    <w:p w14:paraId="642E27B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9B6D5F2" w14:textId="77777777" w:rsidR="002E5BAD" w:rsidRDefault="002E5BAD" w:rsidP="002E5BAD">
      <w:pPr>
        <w:rPr>
          <w:rtl/>
        </w:rPr>
      </w:pPr>
      <w:r>
        <w:rPr>
          <w:rFonts w:cs="Arial"/>
          <w:rtl/>
        </w:rPr>
        <w:t>המקדיש מעשה ידי אשתו, הרי זו עושה ואוכלת</w:t>
      </w:r>
      <w:r>
        <w:rPr>
          <w:rStyle w:val="a7"/>
          <w:rFonts w:cs="Arial"/>
          <w:rtl/>
        </w:rPr>
        <w:footnoteReference w:id="1534"/>
      </w:r>
      <w:r>
        <w:rPr>
          <w:rFonts w:cs="Arial"/>
          <w:rtl/>
        </w:rPr>
        <w:t>, והמותר חולי</w:t>
      </w:r>
      <w:r>
        <w:rPr>
          <w:rStyle w:val="a7"/>
          <w:rFonts w:cs="Arial"/>
          <w:rtl/>
        </w:rPr>
        <w:footnoteReference w:id="1535"/>
      </w:r>
      <w:r>
        <w:rPr>
          <w:rFonts w:cs="Arial"/>
          <w:rtl/>
        </w:rPr>
        <w:t>ן. אמר לה: יקדשו ידיך לעושיהן, הרי כל מעשה ידיה קדש</w:t>
      </w:r>
      <w:r>
        <w:rPr>
          <w:rStyle w:val="a7"/>
          <w:rFonts w:cs="Arial"/>
          <w:rtl/>
        </w:rPr>
        <w:footnoteReference w:id="1536"/>
      </w:r>
      <w:r>
        <w:rPr>
          <w:rFonts w:cs="Arial"/>
          <w:rtl/>
        </w:rPr>
        <w:t xml:space="preserve">. </w:t>
      </w:r>
      <w:r>
        <w:rPr>
          <w:rFonts w:cs="Arial" w:hint="cs"/>
          <w:sz w:val="18"/>
          <w:szCs w:val="18"/>
          <w:rtl/>
        </w:rPr>
        <w:t xml:space="preserve">[הגה] </w:t>
      </w:r>
      <w:r w:rsidRPr="006C75BB">
        <w:rPr>
          <w:rFonts w:cs="Arial"/>
          <w:sz w:val="18"/>
          <w:szCs w:val="18"/>
          <w:rtl/>
        </w:rPr>
        <w:t>וי"א דאינו קדש, דהרי היא יכולה לומר: איני ניזונית ואיני עושה (הר"ן פרק אף על פי, וכן משמע לשון הטור).</w:t>
      </w:r>
      <w:r>
        <w:rPr>
          <w:rFonts w:cs="Arial"/>
          <w:rtl/>
        </w:rPr>
        <w:t xml:space="preserve"> </w:t>
      </w:r>
    </w:p>
    <w:p w14:paraId="563A9AC6" w14:textId="77777777" w:rsidR="002E5BAD" w:rsidRDefault="002E5BAD" w:rsidP="002E5BAD">
      <w:pPr>
        <w:rPr>
          <w:rtl/>
        </w:rPr>
      </w:pPr>
    </w:p>
    <w:p w14:paraId="2150936B" w14:textId="77777777" w:rsidR="002E5BAD" w:rsidRDefault="002E5BAD" w:rsidP="002E5BAD">
      <w:pPr>
        <w:pStyle w:val="2"/>
        <w:rPr>
          <w:rtl/>
        </w:rPr>
      </w:pPr>
      <w:r>
        <w:rPr>
          <w:rtl/>
        </w:rPr>
        <w:t>סעיף ב</w:t>
      </w:r>
      <w:r>
        <w:rPr>
          <w:rFonts w:hint="cs"/>
          <w:rtl/>
        </w:rPr>
        <w:t xml:space="preserve">: </w:t>
      </w:r>
      <w:r w:rsidRPr="006B455F">
        <w:rPr>
          <w:rFonts w:cs="Arial" w:hint="cs"/>
          <w:rtl/>
        </w:rPr>
        <w:t>אשה שאסרה מעשה ידיה על בעלה</w:t>
      </w:r>
      <w:r>
        <w:rPr>
          <w:rFonts w:hint="cs"/>
          <w:rtl/>
        </w:rPr>
        <w:t>.</w:t>
      </w:r>
    </w:p>
    <w:p w14:paraId="2B344285" w14:textId="77777777" w:rsidR="002E5BAD" w:rsidRPr="006C75BB" w:rsidRDefault="002E5BAD" w:rsidP="002E5BAD">
      <w:pPr>
        <w:rPr>
          <w:rtl/>
        </w:rPr>
      </w:pPr>
      <w:r>
        <w:rPr>
          <w:rFonts w:hint="cs"/>
          <w:rtl/>
        </w:rPr>
        <w:t>עיין במקורות בסעיף הקודם.</w:t>
      </w:r>
    </w:p>
    <w:p w14:paraId="0EE8A93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EB01546" w14:textId="77777777" w:rsidR="002E5BAD" w:rsidRPr="000D2069" w:rsidRDefault="002E5BAD" w:rsidP="002E5BAD">
      <w:pPr>
        <w:rPr>
          <w:rtl/>
        </w:rPr>
        <w:sectPr w:rsidR="002E5BAD" w:rsidRPr="000D2069" w:rsidSect="00A347B3">
          <w:headerReference w:type="default" r:id="rId37"/>
          <w:footnotePr>
            <w:numRestart w:val="eachPage"/>
          </w:footnotePr>
          <w:pgSz w:w="11906" w:h="16838"/>
          <w:pgMar w:top="720" w:right="1134" w:bottom="720" w:left="1134" w:header="0" w:footer="0" w:gutter="0"/>
          <w:cols w:space="720"/>
          <w:bidi/>
          <w:rtlGutter/>
          <w:docGrid w:linePitch="360"/>
        </w:sectPr>
      </w:pPr>
      <w:r>
        <w:rPr>
          <w:rFonts w:cs="Arial"/>
          <w:rtl/>
        </w:rPr>
        <w:t>האשה שאמרה: יקדשו ידי לעושיהן, או שנדרה שלא יהנה ממעשה ידיה, אינו נאסר במעשה ידיה, מפני שידיה משועבדים לו</w:t>
      </w:r>
      <w:r>
        <w:rPr>
          <w:rFonts w:cs="Arial" w:hint="cs"/>
          <w:rtl/>
        </w:rPr>
        <w:t>.</w:t>
      </w:r>
      <w:r>
        <w:rPr>
          <w:rFonts w:cs="Arial"/>
          <w:rtl/>
        </w:rPr>
        <w:t xml:space="preserve"> אבל צריך הוא להפר לה, שמא יגרשנה</w:t>
      </w:r>
      <w:r>
        <w:rPr>
          <w:rStyle w:val="a7"/>
          <w:rFonts w:cs="Arial"/>
          <w:rtl/>
        </w:rPr>
        <w:footnoteReference w:id="1537"/>
      </w:r>
      <w:r>
        <w:rPr>
          <w:rFonts w:cs="Arial"/>
          <w:rtl/>
        </w:rPr>
        <w:t xml:space="preserve"> ותהיה אסורה לחזור לו.</w:t>
      </w:r>
    </w:p>
    <w:p w14:paraId="142CC8B1" w14:textId="77777777" w:rsidR="002E5BAD" w:rsidRDefault="002E5BAD" w:rsidP="002E5BAD">
      <w:pPr>
        <w:pStyle w:val="1"/>
        <w:rPr>
          <w:rtl/>
        </w:rPr>
      </w:pPr>
      <w:r>
        <w:rPr>
          <w:rFonts w:hint="cs"/>
          <w:rtl/>
        </w:rPr>
        <w:lastRenderedPageBreak/>
        <w:t>סימן פב:</w:t>
      </w:r>
      <w:r w:rsidRPr="00C12B74">
        <w:rPr>
          <w:rtl/>
        </w:rPr>
        <w:t xml:space="preserve"> </w:t>
      </w:r>
      <w:r>
        <w:rPr>
          <w:rFonts w:cs="Arial"/>
          <w:rtl/>
        </w:rPr>
        <w:t xml:space="preserve">נדרה שלא להניק, ודין מניקה שנתגרשה, ובו ח' סעיפים. </w:t>
      </w:r>
    </w:p>
    <w:p w14:paraId="151BF2DD" w14:textId="77777777" w:rsidR="002E5BAD" w:rsidRDefault="002E5BAD" w:rsidP="002E5BAD">
      <w:pPr>
        <w:pStyle w:val="2"/>
        <w:rPr>
          <w:rtl/>
        </w:rPr>
      </w:pPr>
      <w:r>
        <w:rPr>
          <w:rtl/>
        </w:rPr>
        <w:t>סעיף א</w:t>
      </w:r>
      <w:r>
        <w:rPr>
          <w:rFonts w:hint="cs"/>
          <w:rtl/>
        </w:rPr>
        <w:t>: נדרה שלא להניק את בנה.</w:t>
      </w:r>
    </w:p>
    <w:p w14:paraId="6C40C37A"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sidRPr="00695385">
        <w:rPr>
          <w:rFonts w:cs="Arial"/>
          <w:rtl/>
        </w:rPr>
        <w:t xml:space="preserve"> ואלו מלאכות שהאשה עושה לבעלה</w:t>
      </w:r>
      <w:r>
        <w:rPr>
          <w:rFonts w:cs="Arial" w:hint="cs"/>
          <w:rtl/>
        </w:rPr>
        <w:t>...</w:t>
      </w:r>
      <w:r w:rsidRPr="00695385">
        <w:rPr>
          <w:rFonts w:cs="Arial"/>
          <w:rtl/>
        </w:rPr>
        <w:t xml:space="preserve"> ומניקה את בנה</w:t>
      </w:r>
      <w:r>
        <w:rPr>
          <w:rFonts w:cs="Arial" w:hint="cs"/>
          <w:rtl/>
        </w:rPr>
        <w:t xml:space="preserve">... </w:t>
      </w:r>
      <w:r w:rsidRPr="00695385">
        <w:rPr>
          <w:rFonts w:cs="Arial"/>
          <w:rtl/>
        </w:rPr>
        <w:t>הכניסה לו שפחה</w:t>
      </w:r>
      <w:r>
        <w:rPr>
          <w:rFonts w:cs="Arial" w:hint="cs"/>
          <w:rtl/>
        </w:rPr>
        <w:t xml:space="preserve">... </w:t>
      </w:r>
      <w:r w:rsidRPr="00695385">
        <w:rPr>
          <w:rFonts w:cs="Arial"/>
          <w:rtl/>
        </w:rPr>
        <w:t>שתים - אין מבשלת ואין מניקה את בנה</w:t>
      </w:r>
      <w:r>
        <w:rPr>
          <w:rFonts w:cs="Arial" w:hint="cs"/>
          <w:rtl/>
        </w:rPr>
        <w:t xml:space="preserve">...       </w:t>
      </w:r>
      <w:r w:rsidRPr="00695385">
        <w:rPr>
          <w:rtl/>
        </w:rPr>
        <w:t xml:space="preserve"> </w:t>
      </w:r>
      <w:r w:rsidRPr="00695385">
        <w:rPr>
          <w:rFonts w:cs="Arial" w:hint="cs"/>
          <w:u w:val="double"/>
          <w:rtl/>
        </w:rPr>
        <w:t>גמ'</w:t>
      </w:r>
      <w:r>
        <w:rPr>
          <w:rFonts w:cs="Arial" w:hint="cs"/>
          <w:rtl/>
        </w:rPr>
        <w:t xml:space="preserve">: </w:t>
      </w:r>
      <w:r w:rsidRPr="00695385">
        <w:rPr>
          <w:rFonts w:cs="Arial"/>
          <w:rtl/>
        </w:rPr>
        <w:t>ומניקה את בנה. לימא, מתניתין דלא כבית שמאי</w:t>
      </w:r>
      <w:r>
        <w:rPr>
          <w:rFonts w:cs="Arial" w:hint="cs"/>
          <w:rtl/>
        </w:rPr>
        <w:t>.</w:t>
      </w:r>
      <w:r w:rsidRPr="00695385">
        <w:rPr>
          <w:rFonts w:cs="Arial"/>
          <w:rtl/>
        </w:rPr>
        <w:t xml:space="preserve"> דתניא: נדרה שלא להניק את בנה, </w:t>
      </w:r>
      <w:r w:rsidRPr="00695385">
        <w:rPr>
          <w:rFonts w:cs="Arial"/>
          <w:u w:val="single"/>
          <w:rtl/>
        </w:rPr>
        <w:t>בש"א</w:t>
      </w:r>
      <w:r w:rsidRPr="00695385">
        <w:rPr>
          <w:rFonts w:cs="Arial"/>
          <w:rtl/>
        </w:rPr>
        <w:t xml:space="preserve">: שומטת דד מפיו, </w:t>
      </w:r>
      <w:r w:rsidRPr="00695385">
        <w:rPr>
          <w:rFonts w:cs="Arial"/>
          <w:u w:val="single"/>
          <w:rtl/>
        </w:rPr>
        <w:t>בה"א</w:t>
      </w:r>
      <w:r w:rsidRPr="00695385">
        <w:rPr>
          <w:rFonts w:cs="Arial"/>
          <w:rtl/>
        </w:rPr>
        <w:t>: כופה ומניקתו</w:t>
      </w:r>
      <w:r>
        <w:rPr>
          <w:rFonts w:cs="Arial" w:hint="cs"/>
          <w:rtl/>
        </w:rPr>
        <w:t>.</w:t>
      </w:r>
      <w:r w:rsidRPr="007B430E">
        <w:rPr>
          <w:rFonts w:cs="Arial" w:hint="cs"/>
          <w:sz w:val="16"/>
          <w:szCs w:val="16"/>
          <w:rtl/>
        </w:rPr>
        <w:t xml:space="preserve"> (</w:t>
      </w:r>
      <w:r w:rsidRPr="007B430E">
        <w:rPr>
          <w:rFonts w:cs="Arial"/>
          <w:sz w:val="16"/>
          <w:szCs w:val="16"/>
          <w:rtl/>
        </w:rPr>
        <w:t>וידוע דהלכה כבית הלל</w:t>
      </w:r>
      <w:r>
        <w:rPr>
          <w:rFonts w:cs="Arial" w:hint="cs"/>
          <w:sz w:val="16"/>
          <w:szCs w:val="16"/>
          <w:rtl/>
        </w:rPr>
        <w:t>,</w:t>
      </w:r>
      <w:r w:rsidRPr="007B430E">
        <w:rPr>
          <w:rFonts w:cs="Arial"/>
          <w:sz w:val="16"/>
          <w:szCs w:val="16"/>
          <w:rtl/>
        </w:rPr>
        <w:t xml:space="preserve"> ושיעור זמן היניקה דהוי כ"ד חדש מסקנא דגמ' שם (ס:)</w:t>
      </w:r>
      <w:r w:rsidRPr="007B430E">
        <w:rPr>
          <w:rFonts w:cs="Arial" w:hint="cs"/>
          <w:sz w:val="16"/>
          <w:szCs w:val="16"/>
          <w:rtl/>
        </w:rPr>
        <w:t>, ב"י)</w:t>
      </w:r>
    </w:p>
    <w:p w14:paraId="0B980C32" w14:textId="77777777" w:rsidR="002E5BAD" w:rsidRPr="00F4316E" w:rsidRDefault="002E5BAD" w:rsidP="002E5BAD">
      <w:pPr>
        <w:rPr>
          <w:u w:val="single"/>
          <w:rtl/>
        </w:rPr>
      </w:pPr>
      <w:r w:rsidRPr="00F4316E">
        <w:rPr>
          <w:rFonts w:hint="cs"/>
          <w:u w:val="single"/>
          <w:rtl/>
        </w:rPr>
        <w:t>נדרה שלא להניק את בנה:</w:t>
      </w:r>
    </w:p>
    <w:p w14:paraId="63188ACA" w14:textId="77777777" w:rsidR="002E5BAD" w:rsidRDefault="002E5BAD" w:rsidP="002E5BAD">
      <w:pPr>
        <w:pStyle w:val="ab"/>
        <w:numPr>
          <w:ilvl w:val="0"/>
          <w:numId w:val="166"/>
        </w:numPr>
      </w:pPr>
      <w:r>
        <w:rPr>
          <w:rFonts w:cs="Arial" w:hint="cs"/>
          <w:rtl/>
        </w:rPr>
        <w:t xml:space="preserve">רמב"ם </w:t>
      </w:r>
      <w:r>
        <w:rPr>
          <w:rFonts w:cs="Arial" w:hint="cs"/>
          <w:sz w:val="16"/>
          <w:szCs w:val="16"/>
          <w:rtl/>
        </w:rPr>
        <w:t>(פכ"א מאישות הי"ג)</w:t>
      </w:r>
      <w:r>
        <w:rPr>
          <w:rFonts w:cs="Arial" w:hint="cs"/>
          <w:rtl/>
        </w:rPr>
        <w:t xml:space="preserve"> ו</w:t>
      </w:r>
      <w:r w:rsidRPr="001941C7">
        <w:rPr>
          <w:rFonts w:cs="Arial" w:hint="cs"/>
          <w:rtl/>
        </w:rPr>
        <w:t xml:space="preserve">טור- </w:t>
      </w:r>
      <w:r w:rsidRPr="001941C7">
        <w:rPr>
          <w:rFonts w:cs="Arial"/>
          <w:rtl/>
        </w:rPr>
        <w:t xml:space="preserve">נדרה שלא להניק בנו </w:t>
      </w:r>
      <w:r>
        <w:rPr>
          <w:rFonts w:cs="Arial" w:hint="cs"/>
          <w:rtl/>
        </w:rPr>
        <w:t xml:space="preserve">- </w:t>
      </w:r>
      <w:r w:rsidRPr="001941C7">
        <w:rPr>
          <w:rFonts w:cs="Arial"/>
          <w:rtl/>
        </w:rPr>
        <w:t>אינו חל</w:t>
      </w:r>
      <w:r>
        <w:rPr>
          <w:rFonts w:cs="Arial" w:hint="cs"/>
          <w:rtl/>
        </w:rPr>
        <w:t>,</w:t>
      </w:r>
      <w:r w:rsidRPr="001941C7">
        <w:rPr>
          <w:rFonts w:cs="Arial"/>
          <w:rtl/>
        </w:rPr>
        <w:t xml:space="preserve"> שהרי חייבת להניקו עד שישלמו לו כ"ד חרשים</w:t>
      </w:r>
      <w:r>
        <w:rPr>
          <w:rFonts w:cs="Arial" w:hint="cs"/>
          <w:sz w:val="16"/>
          <w:szCs w:val="16"/>
          <w:rtl/>
        </w:rPr>
        <w:t xml:space="preserve"> (ל' הטור)</w:t>
      </w:r>
      <w:r>
        <w:rPr>
          <w:rFonts w:cs="Arial" w:hint="cs"/>
          <w:rtl/>
        </w:rPr>
        <w:t>.</w:t>
      </w:r>
      <w:r w:rsidRPr="001941C7">
        <w:rPr>
          <w:rFonts w:cs="Arial"/>
          <w:rtl/>
        </w:rPr>
        <w:t xml:space="preserve"> </w:t>
      </w:r>
      <w:r w:rsidRPr="007B430E">
        <w:rPr>
          <w:rFonts w:hint="cs"/>
          <w:color w:val="E36C0A" w:themeColor="accent6" w:themeShade="BF"/>
          <w:rtl/>
        </w:rPr>
        <w:t>(וכ"פ בשו"ע)</w:t>
      </w:r>
    </w:p>
    <w:p w14:paraId="3F91632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7961ECB" w14:textId="77777777" w:rsidR="002E5BAD" w:rsidRDefault="002E5BAD" w:rsidP="002E5BAD">
      <w:pPr>
        <w:rPr>
          <w:rtl/>
        </w:rPr>
      </w:pPr>
      <w:r>
        <w:rPr>
          <w:rFonts w:cs="Arial"/>
          <w:rtl/>
        </w:rPr>
        <w:t>נדרה שלא להניק את בנה, כופין אותה</w:t>
      </w:r>
      <w:r>
        <w:rPr>
          <w:rStyle w:val="a7"/>
          <w:rFonts w:cs="Arial"/>
          <w:rtl/>
        </w:rPr>
        <w:footnoteReference w:id="1538"/>
      </w:r>
      <w:r>
        <w:rPr>
          <w:rFonts w:cs="Arial"/>
          <w:rtl/>
        </w:rPr>
        <w:t xml:space="preserve"> ומניקתו עד שיהיה בן כ"ד חדש, אחד הזכר ואחד הנקבה. </w:t>
      </w:r>
    </w:p>
    <w:p w14:paraId="65283819" w14:textId="77777777" w:rsidR="002E5BAD" w:rsidRPr="000603E4" w:rsidRDefault="002E5BAD" w:rsidP="002E5BAD">
      <w:pPr>
        <w:rPr>
          <w:rFonts w:cs="Arial"/>
          <w:u w:val="single"/>
          <w:rtl/>
        </w:rPr>
      </w:pPr>
      <w:r w:rsidRPr="000603E4">
        <w:rPr>
          <w:rFonts w:cs="Arial" w:hint="cs"/>
          <w:u w:val="single"/>
          <w:rtl/>
        </w:rPr>
        <w:t>אשה ש</w:t>
      </w:r>
      <w:r w:rsidRPr="000603E4">
        <w:rPr>
          <w:rFonts w:cs="Arial"/>
          <w:u w:val="single"/>
          <w:rtl/>
        </w:rPr>
        <w:t xml:space="preserve">אסרה על עצמה </w:t>
      </w:r>
      <w:r w:rsidRPr="000603E4">
        <w:rPr>
          <w:rFonts w:cs="Arial" w:hint="cs"/>
          <w:u w:val="single"/>
          <w:rtl/>
        </w:rPr>
        <w:t xml:space="preserve">את </w:t>
      </w:r>
      <w:r w:rsidRPr="000603E4">
        <w:rPr>
          <w:rFonts w:cs="Arial"/>
          <w:u w:val="single"/>
          <w:rtl/>
        </w:rPr>
        <w:t xml:space="preserve">הנאת </w:t>
      </w:r>
      <w:r w:rsidRPr="000603E4">
        <w:rPr>
          <w:rFonts w:cs="Arial" w:hint="cs"/>
          <w:u w:val="single"/>
          <w:rtl/>
        </w:rPr>
        <w:t>ה</w:t>
      </w:r>
      <w:r w:rsidRPr="000603E4">
        <w:rPr>
          <w:rFonts w:cs="Arial"/>
          <w:u w:val="single"/>
          <w:rtl/>
        </w:rPr>
        <w:t>הנקה</w:t>
      </w:r>
      <w:r w:rsidRPr="000603E4">
        <w:rPr>
          <w:rFonts w:cs="Arial" w:hint="cs"/>
          <w:u w:val="single"/>
          <w:rtl/>
        </w:rPr>
        <w:t>:</w:t>
      </w:r>
      <w:r w:rsidRPr="000603E4">
        <w:rPr>
          <w:rFonts w:cs="Arial"/>
          <w:u w:val="single"/>
          <w:rtl/>
        </w:rPr>
        <w:t xml:space="preserve"> </w:t>
      </w:r>
    </w:p>
    <w:p w14:paraId="52FCF591" w14:textId="77777777" w:rsidR="002E5BAD" w:rsidRDefault="002E5BAD" w:rsidP="002E5BAD">
      <w:pPr>
        <w:pStyle w:val="ab"/>
        <w:numPr>
          <w:ilvl w:val="0"/>
          <w:numId w:val="166"/>
        </w:numPr>
      </w:pPr>
      <w:r w:rsidRPr="000603E4">
        <w:rPr>
          <w:rFonts w:cs="Arial" w:hint="cs"/>
          <w:rtl/>
        </w:rPr>
        <w:t xml:space="preserve">ח"מ </w:t>
      </w:r>
      <w:r w:rsidRPr="000603E4">
        <w:rPr>
          <w:rFonts w:cs="Arial" w:hint="cs"/>
          <w:sz w:val="16"/>
          <w:szCs w:val="16"/>
          <w:rtl/>
        </w:rPr>
        <w:t>(סק"א)</w:t>
      </w:r>
      <w:r w:rsidRPr="000603E4">
        <w:rPr>
          <w:rFonts w:cs="Arial" w:hint="cs"/>
          <w:rtl/>
        </w:rPr>
        <w:t xml:space="preserve">- </w:t>
      </w:r>
      <w:r w:rsidRPr="000603E4">
        <w:rPr>
          <w:rFonts w:cs="Arial"/>
          <w:rtl/>
        </w:rPr>
        <w:t>בעניה נמי יש חילוק אם נדרה שאסרה הנאת הנקה על עצמה שהיא נהנת בהנקה כדאמרי' בגמרא דף ס"א משום דרבוי החלב צער הוא לה אז הנדר חל וצריכה לשכור לו מנקת</w:t>
      </w:r>
      <w:r>
        <w:rPr>
          <w:rFonts w:cs="Arial" w:hint="cs"/>
          <w:rtl/>
        </w:rPr>
        <w:t>.</w:t>
      </w:r>
      <w:r w:rsidRPr="000603E4">
        <w:rPr>
          <w:rFonts w:cs="Arial"/>
          <w:rtl/>
        </w:rPr>
        <w:t xml:space="preserve"> אבל אם אסרה הנאת יניקתה עליו אין הנדר חל דהא משעבד' ליה</w:t>
      </w:r>
      <w:r>
        <w:rPr>
          <w:rFonts w:cs="Arial" w:hint="cs"/>
          <w:rtl/>
        </w:rPr>
        <w:t>,</w:t>
      </w:r>
      <w:r w:rsidRPr="000603E4">
        <w:rPr>
          <w:rFonts w:cs="Arial"/>
          <w:rtl/>
        </w:rPr>
        <w:t xml:space="preserve"> כ"כ בתוס' </w:t>
      </w:r>
      <w:r w:rsidRPr="000603E4">
        <w:rPr>
          <w:rFonts w:cs="Arial" w:hint="cs"/>
          <w:sz w:val="16"/>
          <w:szCs w:val="16"/>
          <w:rtl/>
        </w:rPr>
        <w:t xml:space="preserve">(נט: </w:t>
      </w:r>
      <w:r w:rsidRPr="000603E4">
        <w:rPr>
          <w:rFonts w:cs="Arial"/>
          <w:sz w:val="16"/>
          <w:szCs w:val="16"/>
          <w:rtl/>
        </w:rPr>
        <w:t>ד"ה כגון שנדר</w:t>
      </w:r>
      <w:r w:rsidRPr="000603E4">
        <w:rPr>
          <w:rFonts w:cs="Arial" w:hint="cs"/>
          <w:sz w:val="16"/>
          <w:szCs w:val="16"/>
          <w:rtl/>
        </w:rPr>
        <w:t>ה)</w:t>
      </w:r>
      <w:r w:rsidRPr="000603E4">
        <w:rPr>
          <w:rFonts w:cs="Arial"/>
          <w:sz w:val="16"/>
          <w:szCs w:val="16"/>
          <w:rtl/>
        </w:rPr>
        <w:t xml:space="preserve"> </w:t>
      </w:r>
      <w:r w:rsidRPr="000603E4">
        <w:rPr>
          <w:rFonts w:cs="Arial"/>
          <w:rtl/>
        </w:rPr>
        <w:t>וכן הוא בהג"ה ע"ש</w:t>
      </w:r>
      <w:r w:rsidRPr="000603E4">
        <w:rPr>
          <w:rFonts w:cs="Arial" w:hint="cs"/>
          <w:rtl/>
        </w:rPr>
        <w:t>.</w:t>
      </w:r>
    </w:p>
    <w:p w14:paraId="4D659763" w14:textId="77777777" w:rsidR="002E5BAD" w:rsidRDefault="002E5BAD" w:rsidP="002E5BAD">
      <w:pPr>
        <w:pStyle w:val="ab"/>
        <w:numPr>
          <w:ilvl w:val="0"/>
          <w:numId w:val="166"/>
        </w:numPr>
      </w:pPr>
      <w:r>
        <w:rPr>
          <w:rFonts w:cs="Arial" w:hint="cs"/>
          <w:rtl/>
        </w:rPr>
        <w:t xml:space="preserve">ב"ש </w:t>
      </w:r>
      <w:r>
        <w:rPr>
          <w:rFonts w:cs="Arial" w:hint="cs"/>
          <w:sz w:val="16"/>
          <w:szCs w:val="16"/>
          <w:rtl/>
        </w:rPr>
        <w:t>(סק"א)</w:t>
      </w:r>
      <w:r>
        <w:rPr>
          <w:rFonts w:cs="Arial" w:hint="cs"/>
          <w:rtl/>
        </w:rPr>
        <w:t xml:space="preserve">- </w:t>
      </w:r>
      <w:r w:rsidRPr="00483EA1">
        <w:rPr>
          <w:rFonts w:cs="Arial"/>
          <w:rtl/>
        </w:rPr>
        <w:t xml:space="preserve">אם אסרה הנאת הנקה עליה </w:t>
      </w:r>
      <w:r>
        <w:rPr>
          <w:rFonts w:cs="Arial" w:hint="cs"/>
          <w:rtl/>
        </w:rPr>
        <w:t xml:space="preserve">- </w:t>
      </w:r>
      <w:r w:rsidRPr="00483EA1">
        <w:rPr>
          <w:rFonts w:cs="Arial"/>
          <w:rtl/>
        </w:rPr>
        <w:t>חל הנדר אפילו אם היא עניה</w:t>
      </w:r>
      <w:r>
        <w:rPr>
          <w:rFonts w:cs="Arial" w:hint="cs"/>
          <w:rtl/>
        </w:rPr>
        <w:t>...</w:t>
      </w:r>
      <w:r w:rsidRPr="00483EA1">
        <w:rPr>
          <w:rFonts w:cs="Arial"/>
          <w:rtl/>
        </w:rPr>
        <w:t xml:space="preserve"> ואם אמרה הנאת הנקה עלי חל הנדר כמ"ש והוא לא היפר והיה יכול להפר</w:t>
      </w:r>
      <w:r>
        <w:rPr>
          <w:rFonts w:cs="Arial" w:hint="cs"/>
          <w:rtl/>
        </w:rPr>
        <w:t>,</w:t>
      </w:r>
      <w:r w:rsidRPr="00483EA1">
        <w:rPr>
          <w:rFonts w:cs="Arial"/>
          <w:rtl/>
        </w:rPr>
        <w:t xml:space="preserve"> נראה דאז אין שום חיוב עליה</w:t>
      </w:r>
      <w:r>
        <w:rPr>
          <w:rFonts w:cs="Arial" w:hint="cs"/>
          <w:rtl/>
        </w:rPr>
        <w:t>,</w:t>
      </w:r>
      <w:r w:rsidRPr="00483EA1">
        <w:rPr>
          <w:rFonts w:cs="Arial"/>
          <w:rtl/>
        </w:rPr>
        <w:t xml:space="preserve"> כיון שהוא לא היפר קי"ל הוא נותן אצבע בין שיניה והוא חייב שכר הנקה</w:t>
      </w:r>
      <w:r>
        <w:rPr>
          <w:rStyle w:val="a7"/>
          <w:rFonts w:cs="Arial"/>
          <w:rtl/>
        </w:rPr>
        <w:footnoteReference w:id="1539"/>
      </w:r>
      <w:r>
        <w:rPr>
          <w:rFonts w:cs="Arial" w:hint="cs"/>
          <w:rtl/>
        </w:rPr>
        <w:t>.</w:t>
      </w:r>
    </w:p>
    <w:p w14:paraId="4D6D9764" w14:textId="77777777" w:rsidR="002E5BAD" w:rsidRPr="00A9123C" w:rsidRDefault="002E5BAD" w:rsidP="002E5BAD">
      <w:pPr>
        <w:rPr>
          <w:sz w:val="16"/>
          <w:szCs w:val="16"/>
          <w:u w:val="single"/>
        </w:rPr>
      </w:pPr>
      <w:r w:rsidRPr="00A9123C">
        <w:rPr>
          <w:rFonts w:hint="cs"/>
          <w:u w:val="single"/>
          <w:rtl/>
        </w:rPr>
        <w:t xml:space="preserve">אשה שמתו כמה בניה מחמת הנקתה </w:t>
      </w:r>
      <w:r>
        <w:rPr>
          <w:u w:val="single"/>
          <w:rtl/>
        </w:rPr>
        <w:t>–</w:t>
      </w:r>
      <w:r>
        <w:rPr>
          <w:rFonts w:hint="cs"/>
          <w:u w:val="single"/>
          <w:rtl/>
        </w:rPr>
        <w:t xml:space="preserve"> האם אוסרים עליה להניק את בניה:</w:t>
      </w:r>
      <w:r w:rsidRPr="00A9123C">
        <w:rPr>
          <w:rFonts w:hint="cs"/>
          <w:sz w:val="16"/>
          <w:szCs w:val="16"/>
          <w:rtl/>
        </w:rPr>
        <w:t xml:space="preserve">  (פת"ש סק"א)</w:t>
      </w:r>
    </w:p>
    <w:p w14:paraId="0055BCC9" w14:textId="77777777" w:rsidR="002E5BAD" w:rsidRDefault="002E5BAD" w:rsidP="002E5BAD">
      <w:pPr>
        <w:pStyle w:val="ab"/>
        <w:numPr>
          <w:ilvl w:val="0"/>
          <w:numId w:val="166"/>
        </w:numPr>
        <w:rPr>
          <w:rtl/>
        </w:rPr>
      </w:pPr>
      <w:r>
        <w:rPr>
          <w:rFonts w:cs="Arial" w:hint="cs"/>
          <w:rtl/>
        </w:rPr>
        <w:t xml:space="preserve">חת"ס </w:t>
      </w:r>
      <w:r w:rsidRPr="00A9123C">
        <w:rPr>
          <w:rFonts w:cs="Arial" w:hint="cs"/>
          <w:sz w:val="16"/>
          <w:szCs w:val="16"/>
          <w:rtl/>
        </w:rPr>
        <w:t>(</w:t>
      </w:r>
      <w:r w:rsidRPr="00A9123C">
        <w:rPr>
          <w:rFonts w:cs="Arial"/>
          <w:sz w:val="16"/>
          <w:szCs w:val="16"/>
          <w:rtl/>
        </w:rPr>
        <w:t>סי' קלו</w:t>
      </w:r>
      <w:r w:rsidRPr="00A9123C">
        <w:rPr>
          <w:rFonts w:cs="Arial" w:hint="cs"/>
          <w:sz w:val="16"/>
          <w:szCs w:val="16"/>
          <w:rtl/>
        </w:rPr>
        <w:t>)</w:t>
      </w:r>
      <w:r>
        <w:rPr>
          <w:rFonts w:cs="Arial" w:hint="cs"/>
          <w:rtl/>
        </w:rPr>
        <w:t>-</w:t>
      </w:r>
      <w:r w:rsidRPr="00CA741A">
        <w:rPr>
          <w:rFonts w:cs="Arial"/>
          <w:rtl/>
        </w:rPr>
        <w:t xml:space="preserve"> בענין אשה שהוחזקה למות בני' ע"י הנקתה ועתה עומדת על פרקי לידה וקשה לו להבעל לשכור מינקת מדוחק פרנסתו אי אסור לו להניח אשתו להניק.</w:t>
      </w:r>
      <w:r>
        <w:rPr>
          <w:rFonts w:cs="Arial" w:hint="cs"/>
          <w:rtl/>
        </w:rPr>
        <w:t xml:space="preserve">.. </w:t>
      </w:r>
      <w:r w:rsidRPr="00CA741A">
        <w:rPr>
          <w:rFonts w:cs="Arial"/>
          <w:rtl/>
        </w:rPr>
        <w:t xml:space="preserve">בתשו' ח"צ </w:t>
      </w:r>
      <w:r>
        <w:rPr>
          <w:rFonts w:cs="Arial" w:hint="cs"/>
          <w:rtl/>
        </w:rPr>
        <w:t>(</w:t>
      </w:r>
      <w:r w:rsidRPr="00CA741A">
        <w:rPr>
          <w:rFonts w:cs="Arial"/>
          <w:rtl/>
        </w:rPr>
        <w:t>סי' סד</w:t>
      </w:r>
      <w:r>
        <w:rPr>
          <w:rFonts w:cs="Arial" w:hint="cs"/>
          <w:rtl/>
        </w:rPr>
        <w:t>-</w:t>
      </w:r>
      <w:r w:rsidRPr="00CA741A">
        <w:rPr>
          <w:rFonts w:cs="Arial"/>
          <w:rtl/>
        </w:rPr>
        <w:t>סה</w:t>
      </w:r>
      <w:r>
        <w:rPr>
          <w:rFonts w:cs="Arial" w:hint="cs"/>
          <w:rtl/>
        </w:rPr>
        <w:t xml:space="preserve">, </w:t>
      </w:r>
      <w:r w:rsidRPr="00CA741A">
        <w:rPr>
          <w:rFonts w:cs="Arial"/>
          <w:rtl/>
        </w:rPr>
        <w:t>הובא בקצרה בבה"ט לעיל סי' יג סקכ"א) מבואר דפשיטא ליה וכן להגאון מו"ה אברהם ברודא ז"ל דלולא עדות הרופא שחלב</w:t>
      </w:r>
      <w:r>
        <w:rPr>
          <w:rFonts w:cs="Arial" w:hint="cs"/>
          <w:rtl/>
        </w:rPr>
        <w:t>ה</w:t>
      </w:r>
      <w:r w:rsidRPr="00CA741A">
        <w:rPr>
          <w:rFonts w:cs="Arial"/>
          <w:rtl/>
        </w:rPr>
        <w:t xml:space="preserve"> ארסיי לא הוה אסרינן לה להניק מחמת חזקה לחוד. והטעם דפשיטא להו להני גאונים כך דלא נימא הכא חזקה כמו במילה וקטלנית צ"ל דהוא ע"פ דברי הרא"ש בתשובה כלל י"ג סי' ח' בענין מי שנשא ב' נשים ומתו שתיהן מן ההריון אם יש לחוש שהוא קטלן כו' (הובא בקצרה בב"י לעיל ס"ס ט') דמבואר מדבריו דכל שלא הוזכר בש"ס אין לנו לחוש דחזקה דלא הוו שתקי חז"ל להזהירנו על חיי נפש. ואפילו לדעת הר"ר מנחם שהובא ביו"ד סי' רס"ג ס"ב גבי מילה שלמד מסברא דתלוי גם באב היינו דשם איכא ק"ו לתלות באב יותר וא"כ י"ל דחז"ל סמכו על הק"ו אבל הכא נהפוך הוא דמי לימא לן שמתו מחמת חלב כלל אף על גב דאחרי' שהניקו ממינקת חיו דילמא מ"מ מקרה הוא והני מתו בעון אבותם ולא הני כו' וליכא למילף הך ממילה וקטלנית וא"כ כיון שלא הזכירו חז"ל ולא היה להם על מה לסמוך ש"מ דליכא מאן דחש לזה. וכל זה היינו צריכים אי היה כאן חזקה אבל באמת (בנדון השאלה כפי שהובא שם באורך) אין כאן חזקה כלל כי הילד הא' לא מת והב' מת והג' לא מת והד' מת נמצא אפי' נימא תרי זימני הוי חזקה אין כאן חזקה בצירוף אלא בסירוגין וכיוצא בזה לא שמענו בענינים כאלו והחמישי שמת אחר היותו בן ג' שני' אין לתלות בהנקה אחר שכבר חלפו ימי הנקה אדרבה הוא מפסיק בין הד' שמת ובין התאומה שמתה אחריו כו' היות לדעתי צריך עדות רופאים מומחים אם חלבה ארסיי או לא ולא יוודע זה עד שתלד ותניק איזה שבועות ואז יוכל הרופא לשפוט ואם יאמר שהחלב ארסיי מהימן לאסור הדד על הילד. וה"מ אם יהי' יכולת ביד ב"ד להוציא ממון </w:t>
      </w:r>
      <w:r w:rsidRPr="00CA741A">
        <w:rPr>
          <w:rFonts w:cs="Arial"/>
          <w:rtl/>
        </w:rPr>
        <w:lastRenderedPageBreak/>
        <w:t>מהבעל לשכור מינקת ולירד לנכסיו כדרך שכופים לפרנס בניו הקטנים זה צ"ע כו' ונהי דהב"ד יחושו על ספק נפשות ולא יניחו התינוק לינק מ"מ מן הבעל אינם יכולים להוציא אלא ישכרו לו מינקת מקופת הצבור כו'</w:t>
      </w:r>
      <w:r>
        <w:rPr>
          <w:rFonts w:cs="Arial" w:hint="cs"/>
          <w:rtl/>
        </w:rPr>
        <w:t>.</w:t>
      </w:r>
    </w:p>
    <w:p w14:paraId="74381C3F" w14:textId="77777777" w:rsidR="002E5BAD" w:rsidRDefault="002E5BAD" w:rsidP="002E5BAD">
      <w:pPr>
        <w:rPr>
          <w:rtl/>
        </w:rPr>
      </w:pPr>
    </w:p>
    <w:p w14:paraId="27A083B1" w14:textId="77777777" w:rsidR="002E5BAD" w:rsidRDefault="002E5BAD" w:rsidP="002E5BAD">
      <w:pPr>
        <w:pStyle w:val="2"/>
        <w:rPr>
          <w:rtl/>
        </w:rPr>
      </w:pPr>
      <w:r>
        <w:rPr>
          <w:rtl/>
        </w:rPr>
        <w:t>סעיף ב</w:t>
      </w:r>
      <w:r>
        <w:rPr>
          <w:rFonts w:hint="cs"/>
          <w:rtl/>
        </w:rPr>
        <w:t>:</w:t>
      </w:r>
      <w:r w:rsidRPr="00F4316E">
        <w:rPr>
          <w:rFonts w:hint="cs"/>
          <w:rtl/>
        </w:rPr>
        <w:t xml:space="preserve"> היא </w:t>
      </w:r>
      <w:r>
        <w:rPr>
          <w:rFonts w:hint="cs"/>
          <w:rtl/>
        </w:rPr>
        <w:t>אומרת</w:t>
      </w:r>
      <w:r w:rsidRPr="00F4316E">
        <w:rPr>
          <w:rFonts w:hint="cs"/>
          <w:rtl/>
        </w:rPr>
        <w:t xml:space="preserve"> להניק והוא </w:t>
      </w:r>
      <w:r>
        <w:rPr>
          <w:rFonts w:hint="cs"/>
          <w:rtl/>
        </w:rPr>
        <w:t>אומר</w:t>
      </w:r>
      <w:r w:rsidRPr="00F4316E">
        <w:rPr>
          <w:rFonts w:hint="cs"/>
          <w:rtl/>
        </w:rPr>
        <w:t xml:space="preserve"> </w:t>
      </w:r>
      <w:r>
        <w:rPr>
          <w:rFonts w:hint="cs"/>
          <w:rtl/>
        </w:rPr>
        <w:t>שלא להניק.</w:t>
      </w:r>
    </w:p>
    <w:p w14:paraId="53E8E741" w14:textId="77777777" w:rsidR="002E5BAD" w:rsidRPr="007B430E"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7B430E">
        <w:rPr>
          <w:rFonts w:cs="Arial"/>
          <w:u w:val="single"/>
          <w:rtl/>
        </w:rPr>
        <w:t>אמר רב הונא</w:t>
      </w:r>
      <w:r>
        <w:rPr>
          <w:rFonts w:cs="Arial" w:hint="cs"/>
          <w:rtl/>
        </w:rPr>
        <w:t>:</w:t>
      </w:r>
      <w:r w:rsidRPr="007B430E">
        <w:rPr>
          <w:rFonts w:cs="Arial"/>
          <w:rtl/>
        </w:rPr>
        <w:t xml:space="preserve"> בדק לן רב הונא בר חיננא</w:t>
      </w:r>
      <w:r>
        <w:rPr>
          <w:rFonts w:cs="Arial" w:hint="cs"/>
          <w:rtl/>
        </w:rPr>
        <w:t>,</w:t>
      </w:r>
      <w:r w:rsidRPr="007B430E">
        <w:rPr>
          <w:rFonts w:cs="Arial"/>
          <w:rtl/>
        </w:rPr>
        <w:t xml:space="preserve"> היא אומרת להניק והוא אומר שלא להניק - שומעין לה, צערא דידה הוא</w:t>
      </w:r>
      <w:r>
        <w:rPr>
          <w:rFonts w:cs="Arial" w:hint="cs"/>
          <w:rtl/>
        </w:rPr>
        <w:t>.</w:t>
      </w:r>
      <w:r w:rsidRPr="007B430E">
        <w:rPr>
          <w:rFonts w:cs="Arial"/>
          <w:rtl/>
        </w:rPr>
        <w:t xml:space="preserve"> </w:t>
      </w:r>
    </w:p>
    <w:p w14:paraId="28FC8D2B" w14:textId="77777777" w:rsidR="002E5BAD" w:rsidRPr="000E736B" w:rsidRDefault="002E5BAD" w:rsidP="002E5BAD">
      <w:pPr>
        <w:rPr>
          <w:u w:val="single"/>
        </w:rPr>
      </w:pPr>
      <w:r w:rsidRPr="000E736B">
        <w:rPr>
          <w:rFonts w:hint="cs"/>
          <w:u w:val="single"/>
          <w:rtl/>
        </w:rPr>
        <w:t>היא אומרת להניק והוא אומר שלא להניק:</w:t>
      </w:r>
    </w:p>
    <w:p w14:paraId="7BC07B51" w14:textId="77777777" w:rsidR="002E5BAD" w:rsidRPr="00782C6B" w:rsidRDefault="002E5BAD" w:rsidP="002E5BAD">
      <w:pPr>
        <w:pStyle w:val="ab"/>
        <w:numPr>
          <w:ilvl w:val="0"/>
          <w:numId w:val="166"/>
        </w:numPr>
        <w:rPr>
          <w:rtl/>
        </w:rPr>
      </w:pPr>
      <w:r>
        <w:rPr>
          <w:rFonts w:cs="Arial" w:hint="cs"/>
          <w:rtl/>
        </w:rPr>
        <w:t>רמב"ם</w:t>
      </w:r>
      <w:r>
        <w:rPr>
          <w:rStyle w:val="a7"/>
          <w:rFonts w:cs="Arial"/>
          <w:rtl/>
        </w:rPr>
        <w:footnoteReference w:id="1540"/>
      </w:r>
      <w:r>
        <w:rPr>
          <w:rFonts w:cs="Arial" w:hint="cs"/>
          <w:sz w:val="16"/>
          <w:szCs w:val="16"/>
          <w:rtl/>
        </w:rPr>
        <w:t xml:space="preserve"> (פכ"א מאישות הי"ג)</w:t>
      </w:r>
      <w:r>
        <w:rPr>
          <w:rFonts w:cs="Arial" w:hint="cs"/>
          <w:rtl/>
        </w:rPr>
        <w:t xml:space="preserve"> וטור- </w:t>
      </w:r>
      <w:r w:rsidRPr="001941C7">
        <w:rPr>
          <w:rFonts w:cs="Arial"/>
          <w:rtl/>
        </w:rPr>
        <w:t>ואם היא אומרת אני אניק</w:t>
      </w:r>
      <w:r>
        <w:rPr>
          <w:rFonts w:cs="Arial" w:hint="cs"/>
          <w:rtl/>
        </w:rPr>
        <w:t>,</w:t>
      </w:r>
      <w:r w:rsidRPr="001941C7">
        <w:rPr>
          <w:rFonts w:cs="Arial"/>
          <w:rtl/>
        </w:rPr>
        <w:t xml:space="preserve"> והוא אינו רוצה שתניק כדי שלא תתנוול </w:t>
      </w:r>
      <w:r>
        <w:rPr>
          <w:rFonts w:cs="Arial" w:hint="cs"/>
          <w:rtl/>
        </w:rPr>
        <w:t xml:space="preserve">- </w:t>
      </w:r>
      <w:r w:rsidRPr="001941C7">
        <w:rPr>
          <w:rFonts w:cs="Arial"/>
          <w:rtl/>
        </w:rPr>
        <w:t>שומעין לה</w:t>
      </w:r>
      <w:r>
        <w:rPr>
          <w:rFonts w:cs="Arial" w:hint="cs"/>
          <w:rtl/>
        </w:rPr>
        <w:t>,</w:t>
      </w:r>
      <w:r w:rsidRPr="001941C7">
        <w:rPr>
          <w:rFonts w:cs="Arial"/>
          <w:rtl/>
        </w:rPr>
        <w:t xml:space="preserve"> שהחלב מצער אותה</w:t>
      </w:r>
      <w:r>
        <w:rPr>
          <w:rFonts w:cs="Arial" w:hint="cs"/>
          <w:sz w:val="16"/>
          <w:szCs w:val="16"/>
          <w:rtl/>
        </w:rPr>
        <w:t xml:space="preserve"> (ל' הטור)</w:t>
      </w:r>
      <w:r>
        <w:rPr>
          <w:rFonts w:cs="Arial" w:hint="cs"/>
          <w:rtl/>
        </w:rPr>
        <w:t>.</w:t>
      </w:r>
      <w:r w:rsidRPr="000E736B">
        <w:rPr>
          <w:rFonts w:hint="cs"/>
          <w:color w:val="E36C0A" w:themeColor="accent6" w:themeShade="BF"/>
          <w:rtl/>
        </w:rPr>
        <w:t xml:space="preserve"> </w:t>
      </w:r>
      <w:r w:rsidRPr="007B430E">
        <w:rPr>
          <w:rFonts w:hint="cs"/>
          <w:color w:val="E36C0A" w:themeColor="accent6" w:themeShade="BF"/>
          <w:rtl/>
        </w:rPr>
        <w:t>(וכ"פ בשו"ע)</w:t>
      </w:r>
    </w:p>
    <w:p w14:paraId="2247C45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64334DD" w14:textId="77777777" w:rsidR="002E5BAD" w:rsidRDefault="002E5BAD" w:rsidP="002E5BAD">
      <w:pPr>
        <w:rPr>
          <w:rtl/>
        </w:rPr>
      </w:pPr>
      <w:r>
        <w:rPr>
          <w:rFonts w:cs="Arial"/>
          <w:rtl/>
        </w:rPr>
        <w:t>היא אומרת: אני אניק את בני, והוא אינו רוצה, שומעין לה</w:t>
      </w:r>
      <w:r>
        <w:rPr>
          <w:rStyle w:val="a7"/>
          <w:rFonts w:cs="Arial"/>
          <w:rtl/>
        </w:rPr>
        <w:footnoteReference w:id="1541"/>
      </w:r>
      <w:r>
        <w:rPr>
          <w:rFonts w:cs="Arial"/>
          <w:rtl/>
        </w:rPr>
        <w:t xml:space="preserve">. </w:t>
      </w:r>
    </w:p>
    <w:p w14:paraId="4B4FC92B" w14:textId="77777777" w:rsidR="002E5BAD" w:rsidRDefault="002E5BAD" w:rsidP="002E5BAD">
      <w:pPr>
        <w:rPr>
          <w:rtl/>
        </w:rPr>
      </w:pPr>
    </w:p>
    <w:p w14:paraId="4EE54A04" w14:textId="77777777" w:rsidR="002E5BAD" w:rsidRDefault="002E5BAD" w:rsidP="002E5BAD">
      <w:pPr>
        <w:pStyle w:val="2"/>
        <w:rPr>
          <w:rtl/>
        </w:rPr>
      </w:pPr>
      <w:r>
        <w:rPr>
          <w:rtl/>
        </w:rPr>
        <w:t>סעיף ג</w:t>
      </w:r>
      <w:r>
        <w:rPr>
          <w:rFonts w:hint="cs"/>
          <w:rtl/>
        </w:rPr>
        <w:t xml:space="preserve">: </w:t>
      </w:r>
      <w:r w:rsidRPr="007B430E">
        <w:rPr>
          <w:rFonts w:cs="Arial"/>
          <w:rtl/>
        </w:rPr>
        <w:t>הוא אומר להניק והיא אומרת שלא להניק</w:t>
      </w:r>
      <w:r>
        <w:rPr>
          <w:rFonts w:hint="cs"/>
          <w:rtl/>
        </w:rPr>
        <w:t>.</w:t>
      </w:r>
    </w:p>
    <w:p w14:paraId="4D555BA9" w14:textId="77777777" w:rsidR="002E5BAD" w:rsidRPr="007B430E"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7B430E">
        <w:rPr>
          <w:rFonts w:cs="Arial"/>
          <w:u w:val="single"/>
          <w:rtl/>
        </w:rPr>
        <w:t>אמר רב הונא</w:t>
      </w:r>
      <w:r>
        <w:rPr>
          <w:rFonts w:cs="Arial" w:hint="cs"/>
          <w:rtl/>
        </w:rPr>
        <w:t>:</w:t>
      </w:r>
      <w:r w:rsidRPr="007B430E">
        <w:rPr>
          <w:rFonts w:cs="Arial"/>
          <w:rtl/>
        </w:rPr>
        <w:t xml:space="preserve"> בדק לן רב הונא בר חיננא</w:t>
      </w:r>
      <w:r>
        <w:rPr>
          <w:rFonts w:cs="Arial" w:hint="cs"/>
          <w:rtl/>
        </w:rPr>
        <w:t>,</w:t>
      </w:r>
      <w:r w:rsidRPr="007B430E">
        <w:rPr>
          <w:rFonts w:cs="Arial"/>
          <w:rtl/>
        </w:rPr>
        <w:t xml:space="preserve"> היא אומרת להניק והוא אומר שלא להניק - שומעין לה, צערא דידה הוא</w:t>
      </w:r>
      <w:r>
        <w:rPr>
          <w:rFonts w:cs="Arial" w:hint="cs"/>
          <w:rtl/>
        </w:rPr>
        <w:t>.</w:t>
      </w:r>
      <w:r w:rsidRPr="007B430E">
        <w:rPr>
          <w:rFonts w:cs="Arial"/>
          <w:rtl/>
        </w:rPr>
        <w:t xml:space="preserve"> הוא אומר להניק והיא אומרת שלא להניק, מהו? כל היכא דלאו אורחה שומעין לה, היא אורחה והוא לאו אורחיה, מאי? בתר דידיה אזלינן, או בתר דידה אזלינן? ופשיטנא ליה מהא: עולה עמו ואינה יורדת עמו.</w:t>
      </w:r>
    </w:p>
    <w:p w14:paraId="5EAA44EC" w14:textId="77777777" w:rsidR="002E5BAD" w:rsidRPr="000E736B" w:rsidRDefault="002E5BAD" w:rsidP="002E5BAD">
      <w:pPr>
        <w:rPr>
          <w:u w:val="single"/>
          <w:rtl/>
        </w:rPr>
      </w:pPr>
      <w:r w:rsidRPr="000E736B">
        <w:rPr>
          <w:rFonts w:cs="Arial"/>
          <w:u w:val="single"/>
          <w:rtl/>
        </w:rPr>
        <w:t>הוא אומר להניק והיא אומרת שלא להניק</w:t>
      </w:r>
      <w:r w:rsidRPr="000E736B">
        <w:rPr>
          <w:rFonts w:hint="cs"/>
          <w:u w:val="single"/>
          <w:rtl/>
        </w:rPr>
        <w:t>:</w:t>
      </w:r>
    </w:p>
    <w:p w14:paraId="45230C78" w14:textId="77777777" w:rsidR="002E5BAD" w:rsidRPr="000E736B" w:rsidRDefault="002E5BAD" w:rsidP="002E5BAD">
      <w:pPr>
        <w:pStyle w:val="ab"/>
        <w:numPr>
          <w:ilvl w:val="0"/>
          <w:numId w:val="166"/>
        </w:numPr>
        <w:rPr>
          <w:rtl/>
        </w:rPr>
      </w:pPr>
      <w:r>
        <w:rPr>
          <w:rFonts w:cs="Arial" w:hint="cs"/>
          <w:rtl/>
        </w:rPr>
        <w:t>רמב"ם</w:t>
      </w:r>
      <w:r>
        <w:rPr>
          <w:rFonts w:cs="Arial" w:hint="cs"/>
          <w:sz w:val="16"/>
          <w:szCs w:val="16"/>
          <w:rtl/>
        </w:rPr>
        <w:t xml:space="preserve"> (פכ"א מאישות הי"ד)</w:t>
      </w:r>
      <w:r w:rsidRPr="000E736B">
        <w:rPr>
          <w:rFonts w:cs="Arial" w:hint="cs"/>
          <w:rtl/>
        </w:rPr>
        <w:t xml:space="preserve"> </w:t>
      </w:r>
      <w:r>
        <w:rPr>
          <w:rFonts w:cs="Arial" w:hint="cs"/>
          <w:rtl/>
        </w:rPr>
        <w:t>וטור</w:t>
      </w:r>
      <w:r>
        <w:rPr>
          <w:rStyle w:val="a7"/>
          <w:rFonts w:cs="Arial"/>
          <w:rtl/>
        </w:rPr>
        <w:footnoteReference w:id="1542"/>
      </w:r>
      <w:r>
        <w:rPr>
          <w:rFonts w:cs="Arial" w:hint="cs"/>
          <w:rtl/>
        </w:rPr>
        <w:t xml:space="preserve">- </w:t>
      </w:r>
      <w:r w:rsidRPr="000E736B">
        <w:rPr>
          <w:rFonts w:cs="Arial"/>
          <w:rtl/>
        </w:rPr>
        <w:t>היתה ענייה שהיא חייבת להניק את בנה</w:t>
      </w:r>
      <w:r>
        <w:rPr>
          <w:rFonts w:cs="Arial" w:hint="cs"/>
          <w:rtl/>
        </w:rPr>
        <w:t>,</w:t>
      </w:r>
      <w:r w:rsidRPr="000E736B">
        <w:rPr>
          <w:rFonts w:cs="Arial"/>
          <w:rtl/>
        </w:rPr>
        <w:t xml:space="preserve"> והרי הוא עשיר שראוי לו שלא תניק אשתו</w:t>
      </w:r>
      <w:r>
        <w:rPr>
          <w:rFonts w:cs="Arial" w:hint="cs"/>
          <w:rtl/>
        </w:rPr>
        <w:t>,</w:t>
      </w:r>
      <w:r w:rsidRPr="000E736B">
        <w:rPr>
          <w:rFonts w:cs="Arial"/>
          <w:rtl/>
        </w:rPr>
        <w:t xml:space="preserve"> אף על פי שאין לו שפחות אם לא רצת להניק </w:t>
      </w:r>
      <w:r>
        <w:rPr>
          <w:rFonts w:cs="Arial" w:hint="cs"/>
          <w:rtl/>
        </w:rPr>
        <w:t xml:space="preserve">- </w:t>
      </w:r>
      <w:r w:rsidRPr="000E736B">
        <w:rPr>
          <w:rFonts w:cs="Arial"/>
          <w:rtl/>
        </w:rPr>
        <w:t>שוכר מניקה או קונה שפחה</w:t>
      </w:r>
      <w:r>
        <w:rPr>
          <w:rFonts w:cs="Arial" w:hint="cs"/>
          <w:rtl/>
        </w:rPr>
        <w:t>,</w:t>
      </w:r>
      <w:r w:rsidRPr="000E736B">
        <w:rPr>
          <w:rFonts w:cs="Arial"/>
          <w:rtl/>
        </w:rPr>
        <w:t xml:space="preserve"> מפני שהאשה עולה עם בעלה ואינה יורדת</w:t>
      </w:r>
      <w:r>
        <w:rPr>
          <w:rFonts w:cs="Arial" w:hint="cs"/>
          <w:sz w:val="16"/>
          <w:szCs w:val="16"/>
          <w:rtl/>
        </w:rPr>
        <w:t xml:space="preserve"> (ל' הרמב"ם)</w:t>
      </w:r>
      <w:r>
        <w:rPr>
          <w:rFonts w:cs="Arial" w:hint="cs"/>
          <w:rtl/>
        </w:rPr>
        <w:t>.</w:t>
      </w:r>
      <w:r w:rsidRPr="000E736B">
        <w:rPr>
          <w:rFonts w:hint="cs"/>
          <w:color w:val="E36C0A" w:themeColor="accent6" w:themeShade="BF"/>
          <w:rtl/>
        </w:rPr>
        <w:t xml:space="preserve"> </w:t>
      </w:r>
      <w:r w:rsidRPr="007B430E">
        <w:rPr>
          <w:rFonts w:hint="cs"/>
          <w:color w:val="E36C0A" w:themeColor="accent6" w:themeShade="BF"/>
          <w:rtl/>
        </w:rPr>
        <w:t>(וכ"פ בשו"ע)</w:t>
      </w:r>
    </w:p>
    <w:p w14:paraId="6CA21F4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297A04C" w14:textId="77777777" w:rsidR="002E5BAD" w:rsidRDefault="002E5BAD" w:rsidP="002E5BAD">
      <w:pPr>
        <w:rPr>
          <w:rtl/>
        </w:rPr>
      </w:pPr>
      <w:r>
        <w:rPr>
          <w:rFonts w:cs="Arial"/>
          <w:rtl/>
        </w:rPr>
        <w:t>היתה ענייה שחייבת להניק את בנה, והוא עשיר שראוי לו שלא תניק אשתו, אם רצתה, שוכר מניקה או קונה שפחה, מפני שעולה עמו ואינה יורדת</w:t>
      </w:r>
      <w:r>
        <w:rPr>
          <w:rStyle w:val="a7"/>
          <w:rFonts w:cs="Arial"/>
          <w:rtl/>
        </w:rPr>
        <w:footnoteReference w:id="1543"/>
      </w:r>
      <w:r>
        <w:rPr>
          <w:rFonts w:cs="Arial"/>
          <w:rtl/>
        </w:rPr>
        <w:t xml:space="preserve">. </w:t>
      </w:r>
    </w:p>
    <w:p w14:paraId="2DED367D" w14:textId="77777777" w:rsidR="002E5BAD" w:rsidRDefault="002E5BAD" w:rsidP="002E5BAD">
      <w:pPr>
        <w:rPr>
          <w:rtl/>
        </w:rPr>
      </w:pPr>
    </w:p>
    <w:p w14:paraId="005019B4" w14:textId="77777777" w:rsidR="002E5BAD" w:rsidRDefault="002E5BAD" w:rsidP="002E5BAD">
      <w:pPr>
        <w:pStyle w:val="2"/>
        <w:rPr>
          <w:rtl/>
        </w:rPr>
      </w:pPr>
      <w:r>
        <w:rPr>
          <w:rtl/>
        </w:rPr>
        <w:t>סעיף ד</w:t>
      </w:r>
      <w:r>
        <w:rPr>
          <w:rFonts w:hint="cs"/>
          <w:rtl/>
        </w:rPr>
        <w:t xml:space="preserve">: </w:t>
      </w:r>
      <w:r w:rsidRPr="000E736B">
        <w:rPr>
          <w:rFonts w:cs="Arial"/>
          <w:rtl/>
        </w:rPr>
        <w:t xml:space="preserve">היא אומרת </w:t>
      </w:r>
      <w:r>
        <w:rPr>
          <w:rFonts w:cs="Arial" w:hint="cs"/>
          <w:rtl/>
        </w:rPr>
        <w:t>'</w:t>
      </w:r>
      <w:r w:rsidRPr="000E736B">
        <w:rPr>
          <w:rFonts w:cs="Arial"/>
          <w:rtl/>
        </w:rPr>
        <w:t>ראוי הוא לשכור</w:t>
      </w:r>
      <w:r>
        <w:rPr>
          <w:rFonts w:cs="Arial" w:hint="cs"/>
          <w:rtl/>
        </w:rPr>
        <w:t>/</w:t>
      </w:r>
      <w:r w:rsidRPr="000E736B">
        <w:rPr>
          <w:rFonts w:cs="Arial"/>
          <w:rtl/>
        </w:rPr>
        <w:t>לקנות שפחה</w:t>
      </w:r>
      <w:r>
        <w:rPr>
          <w:rFonts w:cs="Arial" w:hint="cs"/>
          <w:rtl/>
        </w:rPr>
        <w:t>'</w:t>
      </w:r>
      <w:r w:rsidRPr="000E736B">
        <w:rPr>
          <w:rFonts w:cs="Arial"/>
          <w:rtl/>
        </w:rPr>
        <w:t xml:space="preserve"> והוא אומר </w:t>
      </w:r>
      <w:r>
        <w:rPr>
          <w:rFonts w:cs="Arial" w:hint="cs"/>
          <w:rtl/>
        </w:rPr>
        <w:t>'</w:t>
      </w:r>
      <w:r w:rsidRPr="000E736B">
        <w:rPr>
          <w:rFonts w:cs="Arial"/>
          <w:rtl/>
        </w:rPr>
        <w:t>איני ראוי</w:t>
      </w:r>
      <w:r>
        <w:rPr>
          <w:rFonts w:cs="Arial" w:hint="cs"/>
          <w:rtl/>
        </w:rPr>
        <w:t>'.</w:t>
      </w:r>
    </w:p>
    <w:p w14:paraId="1BF6BC06" w14:textId="77777777" w:rsidR="002E5BAD" w:rsidRPr="00F4316E" w:rsidRDefault="002E5BAD" w:rsidP="002E5BAD">
      <w:pPr>
        <w:rPr>
          <w:u w:val="single"/>
        </w:rPr>
      </w:pPr>
      <w:r w:rsidRPr="000E736B">
        <w:rPr>
          <w:rFonts w:cs="Arial"/>
          <w:u w:val="single"/>
          <w:rtl/>
        </w:rPr>
        <w:t xml:space="preserve">היא אומרת </w:t>
      </w:r>
      <w:r w:rsidRPr="000E736B">
        <w:rPr>
          <w:rFonts w:cs="Arial" w:hint="cs"/>
          <w:u w:val="single"/>
          <w:rtl/>
        </w:rPr>
        <w:t>'</w:t>
      </w:r>
      <w:r w:rsidRPr="000E736B">
        <w:rPr>
          <w:rFonts w:cs="Arial"/>
          <w:u w:val="single"/>
          <w:rtl/>
        </w:rPr>
        <w:t>ראוי הוא לשכור</w:t>
      </w:r>
      <w:r w:rsidRPr="000E736B">
        <w:rPr>
          <w:rFonts w:cs="Arial" w:hint="cs"/>
          <w:u w:val="single"/>
          <w:rtl/>
        </w:rPr>
        <w:t>/</w:t>
      </w:r>
      <w:r w:rsidRPr="000E736B">
        <w:rPr>
          <w:rFonts w:cs="Arial"/>
          <w:u w:val="single"/>
          <w:rtl/>
        </w:rPr>
        <w:t>לקנות שפחה</w:t>
      </w:r>
      <w:r w:rsidRPr="000E736B">
        <w:rPr>
          <w:rFonts w:cs="Arial" w:hint="cs"/>
          <w:u w:val="single"/>
          <w:rtl/>
        </w:rPr>
        <w:t>'</w:t>
      </w:r>
      <w:r w:rsidRPr="000E736B">
        <w:rPr>
          <w:rFonts w:cs="Arial"/>
          <w:u w:val="single"/>
          <w:rtl/>
        </w:rPr>
        <w:t xml:space="preserve"> והוא אומר </w:t>
      </w:r>
      <w:r w:rsidRPr="000E736B">
        <w:rPr>
          <w:rFonts w:cs="Arial" w:hint="cs"/>
          <w:u w:val="single"/>
          <w:rtl/>
        </w:rPr>
        <w:t>'</w:t>
      </w:r>
      <w:r w:rsidRPr="000E736B">
        <w:rPr>
          <w:rFonts w:cs="Arial"/>
          <w:u w:val="single"/>
          <w:rtl/>
        </w:rPr>
        <w:t>איני ראוי</w:t>
      </w:r>
      <w:r w:rsidRPr="000E736B">
        <w:rPr>
          <w:rFonts w:cs="Arial" w:hint="cs"/>
          <w:u w:val="single"/>
          <w:rtl/>
        </w:rPr>
        <w:t>'</w:t>
      </w:r>
      <w:r w:rsidRPr="00F4316E">
        <w:rPr>
          <w:rFonts w:hint="cs"/>
          <w:u w:val="single"/>
          <w:rtl/>
        </w:rPr>
        <w:t>:</w:t>
      </w:r>
    </w:p>
    <w:p w14:paraId="6397FD68" w14:textId="77777777" w:rsidR="002E5BAD" w:rsidRPr="00782C6B" w:rsidRDefault="002E5BAD" w:rsidP="002E5BAD">
      <w:pPr>
        <w:pStyle w:val="ab"/>
        <w:numPr>
          <w:ilvl w:val="0"/>
          <w:numId w:val="166"/>
        </w:numPr>
        <w:rPr>
          <w:rtl/>
        </w:rPr>
      </w:pPr>
      <w:r>
        <w:rPr>
          <w:rFonts w:cs="Arial" w:hint="cs"/>
          <w:rtl/>
        </w:rPr>
        <w:t xml:space="preserve">רמב"ם </w:t>
      </w:r>
      <w:r>
        <w:rPr>
          <w:rFonts w:cs="Arial" w:hint="cs"/>
          <w:sz w:val="16"/>
          <w:szCs w:val="16"/>
          <w:rtl/>
        </w:rPr>
        <w:t>(פכ"א הט"ו)</w:t>
      </w:r>
      <w:r>
        <w:rPr>
          <w:rFonts w:cs="Arial" w:hint="cs"/>
          <w:rtl/>
        </w:rPr>
        <w:t xml:space="preserve">- </w:t>
      </w:r>
      <w:r w:rsidRPr="000E736B">
        <w:rPr>
          <w:rFonts w:cs="Arial"/>
          <w:rtl/>
        </w:rPr>
        <w:t>היא אומרת ראוי הוא לשכור או לקנות שפחה והוא אומר איני ראוי, עליה להביא ראיה ואין כאן מקום לשבועה.</w:t>
      </w:r>
      <w:r w:rsidRPr="000E736B">
        <w:rPr>
          <w:rFonts w:hint="cs"/>
          <w:color w:val="E36C0A" w:themeColor="accent6" w:themeShade="BF"/>
          <w:rtl/>
        </w:rPr>
        <w:t xml:space="preserve"> </w:t>
      </w:r>
      <w:r w:rsidRPr="007B430E">
        <w:rPr>
          <w:rFonts w:hint="cs"/>
          <w:color w:val="E36C0A" w:themeColor="accent6" w:themeShade="BF"/>
          <w:rtl/>
        </w:rPr>
        <w:t>(וכ"פ בשו"ע)</w:t>
      </w:r>
    </w:p>
    <w:p w14:paraId="58E17518"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5C55EC4A" w14:textId="77777777" w:rsidR="002E5BAD" w:rsidRDefault="002E5BAD" w:rsidP="002E5BAD">
      <w:pPr>
        <w:rPr>
          <w:rtl/>
        </w:rPr>
      </w:pPr>
      <w:r>
        <w:rPr>
          <w:rFonts w:cs="Arial"/>
          <w:rtl/>
        </w:rPr>
        <w:t>היא אומרת: ראוי לשכור או לקנות שפחה, והוא אומר: איני ראוי, עליה להביא ראיה</w:t>
      </w:r>
      <w:r>
        <w:rPr>
          <w:rStyle w:val="a7"/>
          <w:rFonts w:cs="Arial"/>
          <w:rtl/>
        </w:rPr>
        <w:footnoteReference w:id="1544"/>
      </w:r>
      <w:r>
        <w:rPr>
          <w:rFonts w:cs="Arial"/>
          <w:rtl/>
        </w:rPr>
        <w:t xml:space="preserve">. </w:t>
      </w:r>
    </w:p>
    <w:p w14:paraId="6756B32A" w14:textId="77777777" w:rsidR="002E5BAD" w:rsidRDefault="002E5BAD" w:rsidP="002E5BAD">
      <w:pPr>
        <w:rPr>
          <w:rtl/>
        </w:rPr>
      </w:pPr>
    </w:p>
    <w:p w14:paraId="04243BC3" w14:textId="77777777" w:rsidR="002E5BAD" w:rsidRDefault="002E5BAD" w:rsidP="002E5BAD">
      <w:pPr>
        <w:pStyle w:val="2"/>
        <w:rPr>
          <w:rtl/>
        </w:rPr>
      </w:pPr>
      <w:r>
        <w:rPr>
          <w:rtl/>
        </w:rPr>
        <w:t>סעיף ה</w:t>
      </w:r>
      <w:r>
        <w:rPr>
          <w:rFonts w:hint="cs"/>
          <w:rtl/>
        </w:rPr>
        <w:t xml:space="preserve">: </w:t>
      </w:r>
      <w:r w:rsidRPr="004C57C6">
        <w:rPr>
          <w:rFonts w:hint="cs"/>
          <w:rtl/>
        </w:rPr>
        <w:t>נתגרשה ויש לה בן יונק</w:t>
      </w:r>
      <w:r>
        <w:rPr>
          <w:rFonts w:hint="cs"/>
          <w:rtl/>
        </w:rPr>
        <w:t>.</w:t>
      </w:r>
    </w:p>
    <w:p w14:paraId="7D1551B9" w14:textId="77777777" w:rsidR="002E5BAD" w:rsidRPr="00F2115F" w:rsidRDefault="002E5BAD" w:rsidP="002E5BAD">
      <w:pPr>
        <w:rPr>
          <w:rFonts w:cs="Arial"/>
          <w:rtl/>
        </w:rPr>
      </w:pPr>
      <w:r w:rsidRPr="00F2115F">
        <w:rPr>
          <w:rFonts w:cs="Arial" w:hint="cs"/>
          <w:b/>
          <w:bCs/>
          <w:rtl/>
        </w:rPr>
        <w:t xml:space="preserve">ירושלמי כתובות פ"ה ה"ו: </w:t>
      </w:r>
      <w:r w:rsidRPr="00F2115F">
        <w:rPr>
          <w:rFonts w:cs="Arial"/>
          <w:rtl/>
        </w:rPr>
        <w:t>נדרה שלא להניק את בנה ב"ש אומרים שומטין את הדד מתוך פיו וב"ה אומרים כופין אותה נתגרשה אין כופין אותה במה דברים אמורים בזמן שאינו מכירה אבל אם היה מכירה כופין אותה ונותנין לה שכרה שתניק את בנה כמה יהא לו ויהא מכירה ר' ירמיה בשם רב שלשה חדשים והוה רבי זעירא מסתכל ביה אמר ליה מה את מסתכל בי נימר לך מן ההיא דשמואל דאמר שמואל שלשה ימים שמואל כדעתיה שמואל אמר חכים אנא לחייתא דילדין לי ר' יהושע בן לוי אמר חכים אנא לגזורה דגזרין לי ר' יוחנן אמר חכים אנא לנשייא דצבתין עם אימא</w:t>
      </w:r>
      <w:r w:rsidRPr="00F2115F">
        <w:rPr>
          <w:rFonts w:cs="Arial" w:hint="cs"/>
          <w:rtl/>
        </w:rPr>
        <w:t>.</w:t>
      </w:r>
    </w:p>
    <w:p w14:paraId="35ED14A7"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w:t>
      </w:r>
      <w:r>
        <w:rPr>
          <w:rFonts w:cs="Arial" w:hint="cs"/>
          <w:b/>
          <w:bCs/>
          <w:rtl/>
        </w:rPr>
        <w:t>ב</w:t>
      </w:r>
      <w:r w:rsidRPr="00AB0AB9">
        <w:rPr>
          <w:rFonts w:cs="Arial" w:hint="cs"/>
          <w:b/>
          <w:bCs/>
          <w:rtl/>
        </w:rPr>
        <w:t>:</w:t>
      </w:r>
      <w:r w:rsidRPr="009C7F6A">
        <w:rPr>
          <w:rFonts w:cs="Arial"/>
          <w:rtl/>
        </w:rPr>
        <w:t xml:space="preserve"> דתניא: נדרה שלא להניק את בנה, </w:t>
      </w:r>
      <w:r w:rsidRPr="00160E1F">
        <w:rPr>
          <w:rFonts w:cs="Arial"/>
          <w:u w:val="single"/>
          <w:rtl/>
        </w:rPr>
        <w:t>בש"א</w:t>
      </w:r>
      <w:r w:rsidRPr="009C7F6A">
        <w:rPr>
          <w:rFonts w:cs="Arial"/>
          <w:rtl/>
        </w:rPr>
        <w:t xml:space="preserve">: שומטת דד מפיו, </w:t>
      </w:r>
      <w:r w:rsidRPr="00160E1F">
        <w:rPr>
          <w:rFonts w:cs="Arial"/>
          <w:u w:val="single"/>
          <w:rtl/>
        </w:rPr>
        <w:t>בה"א</w:t>
      </w:r>
      <w:r w:rsidRPr="009C7F6A">
        <w:rPr>
          <w:rFonts w:cs="Arial"/>
          <w:rtl/>
        </w:rPr>
        <w:t>: כופה ומניקתו, נתגרשה - אינו כופה, ואם היה מכירה - נותן לה שכרה וכופה ומניקתו, מפני הסכנה</w:t>
      </w:r>
      <w:r>
        <w:rPr>
          <w:rFonts w:cs="Arial" w:hint="cs"/>
          <w:rtl/>
        </w:rPr>
        <w:t>...</w:t>
      </w:r>
      <w:r w:rsidRPr="009C7F6A">
        <w:rPr>
          <w:rFonts w:cs="Arial"/>
          <w:rtl/>
        </w:rPr>
        <w:t xml:space="preserve"> אם היה מכירה.</w:t>
      </w:r>
      <w:r>
        <w:rPr>
          <w:rFonts w:hint="cs"/>
          <w:sz w:val="14"/>
          <w:szCs w:val="14"/>
          <w:rtl/>
        </w:rPr>
        <w:t xml:space="preserve"> (ס.)</w:t>
      </w:r>
      <w:r w:rsidRPr="00160E1F">
        <w:rPr>
          <w:rtl/>
        </w:rPr>
        <w:t xml:space="preserve"> </w:t>
      </w:r>
      <w:r w:rsidRPr="00160E1F">
        <w:rPr>
          <w:rFonts w:cs="Arial"/>
          <w:rtl/>
        </w:rPr>
        <w:t>עד כמה</w:t>
      </w:r>
      <w:r>
        <w:rPr>
          <w:rStyle w:val="a7"/>
          <w:rFonts w:cs="Arial"/>
          <w:rtl/>
        </w:rPr>
        <w:footnoteReference w:id="1545"/>
      </w:r>
      <w:r w:rsidRPr="00160E1F">
        <w:rPr>
          <w:rFonts w:cs="Arial"/>
          <w:rtl/>
        </w:rPr>
        <w:t xml:space="preserve">? </w:t>
      </w:r>
      <w:r w:rsidRPr="00160E1F">
        <w:rPr>
          <w:rFonts w:cs="Arial"/>
          <w:u w:val="single"/>
          <w:rtl/>
        </w:rPr>
        <w:t>אמר רבא אמר רב ירמיה בר אבא אמר רב</w:t>
      </w:r>
      <w:r w:rsidRPr="00160E1F">
        <w:rPr>
          <w:rFonts w:cs="Arial"/>
          <w:rtl/>
        </w:rPr>
        <w:t xml:space="preserve">: שלשה חדשים, </w:t>
      </w:r>
      <w:r w:rsidRPr="00160E1F">
        <w:rPr>
          <w:rFonts w:cs="Arial"/>
          <w:u w:val="single"/>
          <w:rtl/>
        </w:rPr>
        <w:t>ושמואל אמר</w:t>
      </w:r>
      <w:r w:rsidRPr="00160E1F">
        <w:rPr>
          <w:rFonts w:cs="Arial"/>
          <w:rtl/>
        </w:rPr>
        <w:t xml:space="preserve">: שלשים יום, </w:t>
      </w:r>
      <w:r w:rsidRPr="00160E1F">
        <w:rPr>
          <w:rFonts w:cs="Arial"/>
          <w:u w:val="single"/>
          <w:rtl/>
        </w:rPr>
        <w:t>ורבי יצחק אמר ר' יוחנן</w:t>
      </w:r>
      <w:r w:rsidRPr="00160E1F">
        <w:rPr>
          <w:rFonts w:cs="Arial"/>
          <w:rtl/>
        </w:rPr>
        <w:t xml:space="preserve">: חמשים יום. </w:t>
      </w:r>
      <w:r w:rsidRPr="00160E1F">
        <w:rPr>
          <w:rFonts w:cs="Arial"/>
          <w:u w:val="single"/>
          <w:rtl/>
        </w:rPr>
        <w:t>אמר רב שימי בר אביי</w:t>
      </w:r>
      <w:r w:rsidRPr="00160E1F">
        <w:rPr>
          <w:rFonts w:cs="Arial"/>
          <w:rtl/>
        </w:rPr>
        <w:t>: הלכה כרבי יצחק שאמר משום רבי יוחנן. בשלמא רב ורבי יוחנן, כל חד וחד כי חורפיה</w:t>
      </w:r>
      <w:r>
        <w:rPr>
          <w:rStyle w:val="a7"/>
          <w:rFonts w:cs="Arial"/>
          <w:rtl/>
        </w:rPr>
        <w:footnoteReference w:id="1546"/>
      </w:r>
      <w:r w:rsidRPr="00160E1F">
        <w:rPr>
          <w:rFonts w:cs="Arial"/>
          <w:rtl/>
        </w:rPr>
        <w:t xml:space="preserve">, אלא לשמואל, כי האי גוונא מי משכחת לה? </w:t>
      </w:r>
      <w:r w:rsidRPr="00160E1F">
        <w:rPr>
          <w:rFonts w:cs="Arial"/>
          <w:u w:val="single"/>
          <w:rtl/>
        </w:rPr>
        <w:t>כי אתא רמי בר יחזקאל אמר</w:t>
      </w:r>
      <w:r w:rsidRPr="00160E1F">
        <w:rPr>
          <w:rFonts w:cs="Arial"/>
          <w:rtl/>
        </w:rPr>
        <w:t>: לא תציתינהו להני כללי דכייל יהודה אחי משמיה דשמואל, הכי אמר שמואל: כל זמן שמכירה</w:t>
      </w:r>
      <w:r>
        <w:rPr>
          <w:rStyle w:val="a7"/>
          <w:rFonts w:cs="Arial"/>
          <w:rtl/>
        </w:rPr>
        <w:footnoteReference w:id="1547"/>
      </w:r>
      <w:r w:rsidRPr="00160E1F">
        <w:rPr>
          <w:rFonts w:cs="Arial"/>
          <w:rtl/>
        </w:rPr>
        <w:t>. ההיא דאתאי לקמיה דשמואל, אמר ליה לרב דימי בר יוסף: זיל בדקה. אזל אותבה בדרי דנשי, ושקליה לברה וקמהדר ליה עלייהו, כי מטא לגבה הות קא מסוי לאפה, כבשתנהי לעינה מיניה, אמר לה: נטף עיניך, קום דרי בריך.</w:t>
      </w:r>
      <w:r w:rsidRPr="00903CC4">
        <w:rPr>
          <w:rtl/>
        </w:rPr>
        <w:t xml:space="preserve"> </w:t>
      </w:r>
      <w:r w:rsidRPr="00903CC4">
        <w:rPr>
          <w:rFonts w:cs="Arial"/>
          <w:rtl/>
        </w:rPr>
        <w:t xml:space="preserve">סומא מנא ידע? </w:t>
      </w:r>
      <w:r w:rsidRPr="00903CC4">
        <w:rPr>
          <w:rFonts w:cs="Arial"/>
          <w:u w:val="single"/>
          <w:rtl/>
        </w:rPr>
        <w:t>אמר רב אשי</w:t>
      </w:r>
      <w:r w:rsidRPr="00903CC4">
        <w:rPr>
          <w:rFonts w:cs="Arial"/>
          <w:rtl/>
        </w:rPr>
        <w:t>: בריחא ובטעמא.</w:t>
      </w:r>
      <w:r>
        <w:rPr>
          <w:rFonts w:cs="Arial" w:hint="cs"/>
          <w:rtl/>
        </w:rPr>
        <w:t xml:space="preserve"> </w:t>
      </w:r>
      <w:r w:rsidRPr="004C57C6">
        <w:rPr>
          <w:rFonts w:cs="Arial" w:hint="cs"/>
          <w:sz w:val="16"/>
          <w:szCs w:val="16"/>
          <w:rtl/>
        </w:rPr>
        <w:t>(</w:t>
      </w:r>
      <w:r w:rsidRPr="004C57C6">
        <w:rPr>
          <w:rFonts w:cs="Arial"/>
          <w:sz w:val="16"/>
          <w:szCs w:val="16"/>
          <w:rtl/>
        </w:rPr>
        <w:t>ופסקו הרי"ף (כד:) והרא"ש (סי' יז) כרבי יצחק שאמר משום רבי יוחנן</w:t>
      </w:r>
      <w:r>
        <w:rPr>
          <w:rFonts w:cs="Arial" w:hint="cs"/>
          <w:sz w:val="16"/>
          <w:szCs w:val="16"/>
          <w:rtl/>
        </w:rPr>
        <w:t>, ב"י. אך הרמב"ם (פכ"א הט"ז) פסק כהא דאמר רמי בר יחזקאל בשם שמואל)</w:t>
      </w:r>
    </w:p>
    <w:p w14:paraId="633E1A9D" w14:textId="77777777" w:rsidR="002E5BAD" w:rsidRPr="00782C6B" w:rsidRDefault="002E5BAD" w:rsidP="002E5BAD">
      <w:pPr>
        <w:rPr>
          <w:u w:val="single"/>
        </w:rPr>
      </w:pPr>
      <w:r w:rsidRPr="004C57C6">
        <w:rPr>
          <w:rFonts w:hint="cs"/>
          <w:u w:val="single"/>
          <w:rtl/>
        </w:rPr>
        <w:t>נתגרשה ויש לה בן יונק</w:t>
      </w:r>
      <w:r w:rsidRPr="00782C6B">
        <w:rPr>
          <w:rFonts w:hint="cs"/>
          <w:u w:val="single"/>
          <w:rtl/>
        </w:rPr>
        <w:t>:</w:t>
      </w:r>
    </w:p>
    <w:p w14:paraId="608FF1F8" w14:textId="77777777" w:rsidR="002E5BAD" w:rsidRPr="00F4316E" w:rsidRDefault="002E5BAD" w:rsidP="002E5BAD">
      <w:pPr>
        <w:pStyle w:val="ab"/>
        <w:numPr>
          <w:ilvl w:val="0"/>
          <w:numId w:val="166"/>
        </w:numPr>
      </w:pPr>
      <w:r w:rsidRPr="00F2115F">
        <w:rPr>
          <w:rFonts w:cs="Arial"/>
          <w:rtl/>
        </w:rPr>
        <w:t>רא"ש</w:t>
      </w:r>
      <w:r>
        <w:rPr>
          <w:rStyle w:val="a7"/>
          <w:rFonts w:cs="Arial"/>
          <w:rtl/>
        </w:rPr>
        <w:footnoteReference w:id="1548"/>
      </w:r>
      <w:r w:rsidRPr="00F2115F">
        <w:rPr>
          <w:rFonts w:cs="Arial"/>
          <w:rtl/>
        </w:rPr>
        <w:t xml:space="preserve"> </w:t>
      </w:r>
      <w:r w:rsidRPr="00F2115F">
        <w:rPr>
          <w:rFonts w:cs="Arial" w:hint="cs"/>
          <w:sz w:val="16"/>
          <w:szCs w:val="16"/>
          <w:rtl/>
        </w:rPr>
        <w:t>(פ"ה סי' יז)</w:t>
      </w:r>
      <w:r>
        <w:rPr>
          <w:rFonts w:cs="Arial" w:hint="cs"/>
          <w:rtl/>
        </w:rPr>
        <w:t xml:space="preserve"> וטור- </w:t>
      </w:r>
      <w:r w:rsidRPr="001941C7">
        <w:rPr>
          <w:rFonts w:cs="Arial"/>
          <w:rtl/>
        </w:rPr>
        <w:t>נתגרשה</w:t>
      </w:r>
      <w:r>
        <w:rPr>
          <w:rFonts w:cs="Arial" w:hint="cs"/>
          <w:rtl/>
        </w:rPr>
        <w:t xml:space="preserve">, </w:t>
      </w:r>
      <w:r w:rsidRPr="001941C7">
        <w:rPr>
          <w:rFonts w:cs="Arial"/>
          <w:rtl/>
        </w:rPr>
        <w:t>אינה חייבת להניקו</w:t>
      </w:r>
      <w:r>
        <w:rPr>
          <w:rFonts w:cs="Arial" w:hint="cs"/>
          <w:rtl/>
        </w:rPr>
        <w:t>,</w:t>
      </w:r>
      <w:r w:rsidRPr="001941C7">
        <w:rPr>
          <w:rFonts w:cs="Arial"/>
          <w:rtl/>
        </w:rPr>
        <w:t xml:space="preserve"> אא"כ מכירה שאינו רוצה לינק מאחרת אז כופין אותה</w:t>
      </w:r>
      <w:r>
        <w:rPr>
          <w:rFonts w:cs="Arial" w:hint="cs"/>
          <w:rtl/>
        </w:rPr>
        <w:t>,</w:t>
      </w:r>
      <w:r w:rsidRPr="001941C7">
        <w:rPr>
          <w:rFonts w:cs="Arial"/>
          <w:rtl/>
        </w:rPr>
        <w:t xml:space="preserve"> ונותן לה שכרה ומניקתו</w:t>
      </w:r>
      <w:r>
        <w:rPr>
          <w:rFonts w:cs="Arial" w:hint="cs"/>
          <w:rtl/>
        </w:rPr>
        <w:t>.</w:t>
      </w:r>
      <w:r w:rsidRPr="001941C7">
        <w:rPr>
          <w:rFonts w:cs="Arial"/>
          <w:rtl/>
        </w:rPr>
        <w:t xml:space="preserve"> ובתוך נ' יום ללידתו ודאי הוא בחזקת שאינו מכירה וא"צ לבדוק אם מכירה</w:t>
      </w:r>
      <w:r>
        <w:rPr>
          <w:rFonts w:cs="Arial" w:hint="cs"/>
          <w:rtl/>
        </w:rPr>
        <w:t>,</w:t>
      </w:r>
      <w:r w:rsidRPr="001941C7">
        <w:rPr>
          <w:rFonts w:cs="Arial"/>
          <w:rtl/>
        </w:rPr>
        <w:t xml:space="preserve"> ואפי' אם נראה כאילו אינו רוצה לינק מאחרת</w:t>
      </w:r>
      <w:r>
        <w:rPr>
          <w:rFonts w:cs="Arial" w:hint="cs"/>
          <w:rtl/>
        </w:rPr>
        <w:t>,</w:t>
      </w:r>
      <w:r w:rsidRPr="001941C7">
        <w:rPr>
          <w:rFonts w:cs="Arial"/>
          <w:rtl/>
        </w:rPr>
        <w:t xml:space="preserve"> אקראי בעלמא הוא ולא בעי בדיקה</w:t>
      </w:r>
      <w:r>
        <w:rPr>
          <w:rFonts w:cs="Arial" w:hint="cs"/>
          <w:rtl/>
        </w:rPr>
        <w:t>.</w:t>
      </w:r>
      <w:r w:rsidRPr="001941C7">
        <w:rPr>
          <w:rFonts w:cs="Arial"/>
          <w:rtl/>
        </w:rPr>
        <w:t xml:space="preserve"> ו</w:t>
      </w:r>
      <w:r>
        <w:rPr>
          <w:rFonts w:cs="Arial" w:hint="cs"/>
          <w:rtl/>
        </w:rPr>
        <w:t>ב</w:t>
      </w:r>
      <w:r w:rsidRPr="001941C7">
        <w:rPr>
          <w:rFonts w:cs="Arial"/>
          <w:rtl/>
        </w:rPr>
        <w:t>ן נ' ואילך אם אינו רוצה לינק מאחרת צריך לבדוק אחריו</w:t>
      </w:r>
      <w:r>
        <w:rPr>
          <w:rFonts w:cs="Arial" w:hint="cs"/>
          <w:rtl/>
        </w:rPr>
        <w:t>,</w:t>
      </w:r>
      <w:r w:rsidRPr="001941C7">
        <w:rPr>
          <w:rFonts w:cs="Arial"/>
          <w:rtl/>
        </w:rPr>
        <w:t xml:space="preserve"> אם הוא מכירה </w:t>
      </w:r>
      <w:r>
        <w:rPr>
          <w:rFonts w:cs="Arial" w:hint="cs"/>
          <w:rtl/>
        </w:rPr>
        <w:t xml:space="preserve">- </w:t>
      </w:r>
      <w:r w:rsidRPr="001941C7">
        <w:rPr>
          <w:rFonts w:cs="Arial"/>
          <w:rtl/>
        </w:rPr>
        <w:t>כופין אותה</w:t>
      </w:r>
      <w:r>
        <w:rPr>
          <w:rFonts w:cs="Arial" w:hint="cs"/>
          <w:rtl/>
        </w:rPr>
        <w:t>,</w:t>
      </w:r>
      <w:r w:rsidRPr="001941C7">
        <w:rPr>
          <w:rFonts w:cs="Arial"/>
          <w:rtl/>
        </w:rPr>
        <w:t xml:space="preserve"> אבל אם רוצה לינק מאחרת </w:t>
      </w:r>
      <w:r>
        <w:rPr>
          <w:rFonts w:cs="Arial" w:hint="cs"/>
          <w:rtl/>
        </w:rPr>
        <w:t xml:space="preserve">- </w:t>
      </w:r>
      <w:r w:rsidRPr="001941C7">
        <w:rPr>
          <w:rFonts w:cs="Arial"/>
          <w:rtl/>
        </w:rPr>
        <w:t>אפי' בן שנה אין כופין אותה</w:t>
      </w:r>
      <w:r>
        <w:rPr>
          <w:rFonts w:cs="Arial" w:hint="cs"/>
          <w:rtl/>
        </w:rPr>
        <w:t>.</w:t>
      </w:r>
      <w:r w:rsidRPr="001941C7">
        <w:rPr>
          <w:rFonts w:cs="Arial"/>
          <w:rtl/>
        </w:rPr>
        <w:t xml:space="preserve"> ואם אינו רוצה לינק מאחרת כלל </w:t>
      </w:r>
      <w:r>
        <w:rPr>
          <w:rFonts w:cs="Arial" w:hint="cs"/>
          <w:rtl/>
        </w:rPr>
        <w:t xml:space="preserve">- </w:t>
      </w:r>
      <w:r w:rsidRPr="001941C7">
        <w:rPr>
          <w:rFonts w:cs="Arial"/>
          <w:rtl/>
        </w:rPr>
        <w:t>אפילו קטן הרבה כופה ומניקתו מפני הסכנה</w:t>
      </w:r>
      <w:r>
        <w:rPr>
          <w:rFonts w:cs="Arial" w:hint="cs"/>
          <w:sz w:val="16"/>
          <w:szCs w:val="16"/>
          <w:rtl/>
        </w:rPr>
        <w:t xml:space="preserve"> (ל' הטור)</w:t>
      </w:r>
      <w:r>
        <w:rPr>
          <w:rFonts w:cs="Arial" w:hint="cs"/>
          <w:rtl/>
        </w:rPr>
        <w:t>.</w:t>
      </w:r>
      <w:r w:rsidRPr="001941C7">
        <w:rPr>
          <w:rFonts w:cs="Arial"/>
          <w:rtl/>
        </w:rPr>
        <w:t xml:space="preserve"> </w:t>
      </w:r>
    </w:p>
    <w:p w14:paraId="0D429761" w14:textId="77777777" w:rsidR="002E5BAD" w:rsidRPr="00804320" w:rsidRDefault="002E5BAD" w:rsidP="002E5BAD">
      <w:pPr>
        <w:pStyle w:val="ab"/>
        <w:numPr>
          <w:ilvl w:val="0"/>
          <w:numId w:val="177"/>
        </w:numPr>
        <w:rPr>
          <w:rFonts w:cs="Arial"/>
        </w:rPr>
      </w:pPr>
      <w:r w:rsidRPr="00804320">
        <w:rPr>
          <w:rFonts w:cs="Arial"/>
          <w:rtl/>
        </w:rPr>
        <w:t xml:space="preserve">רמב"ם </w:t>
      </w:r>
      <w:r w:rsidRPr="00804320">
        <w:rPr>
          <w:rFonts w:cs="Arial" w:hint="cs"/>
          <w:sz w:val="16"/>
          <w:szCs w:val="16"/>
          <w:rtl/>
        </w:rPr>
        <w:t>(פכ"א הט"ז)</w:t>
      </w:r>
      <w:r w:rsidRPr="00804320">
        <w:rPr>
          <w:rFonts w:cs="Arial" w:hint="cs"/>
          <w:rtl/>
        </w:rPr>
        <w:t xml:space="preserve">- </w:t>
      </w:r>
      <w:r w:rsidRPr="00804320">
        <w:rPr>
          <w:rFonts w:cs="Arial"/>
          <w:rtl/>
        </w:rPr>
        <w:t>האשה שנתגרשה אין כופין אותה להניק, אלא אם רצת נותן לה שכרה ומניקתו</w:t>
      </w:r>
      <w:r w:rsidRPr="00804320">
        <w:rPr>
          <w:rFonts w:cs="Arial" w:hint="cs"/>
          <w:rtl/>
        </w:rPr>
        <w:t>,</w:t>
      </w:r>
      <w:r w:rsidRPr="00804320">
        <w:rPr>
          <w:rFonts w:cs="Arial"/>
          <w:rtl/>
        </w:rPr>
        <w:t xml:space="preserve"> ואם לא רצת נותנת לו את בנו והוא מטפל בו</w:t>
      </w:r>
      <w:r w:rsidRPr="00804320">
        <w:rPr>
          <w:rFonts w:cs="Arial" w:hint="cs"/>
          <w:rtl/>
        </w:rPr>
        <w:t>.</w:t>
      </w:r>
      <w:r w:rsidRPr="00804320">
        <w:rPr>
          <w:rFonts w:cs="Arial"/>
          <w:rtl/>
        </w:rPr>
        <w:t xml:space="preserve"> במה דברים אמורים שלא הניקה אותו עד שהכירה, אבל אם הכירה ואפילו היה סומא </w:t>
      </w:r>
      <w:r w:rsidRPr="00804320">
        <w:rPr>
          <w:rFonts w:cs="Arial" w:hint="cs"/>
          <w:rtl/>
        </w:rPr>
        <w:t xml:space="preserve">- </w:t>
      </w:r>
      <w:r w:rsidRPr="00804320">
        <w:rPr>
          <w:rFonts w:cs="Arial"/>
          <w:rtl/>
        </w:rPr>
        <w:t>אין מפרישין אותו מאמו מפני סכנת הולד</w:t>
      </w:r>
      <w:r w:rsidRPr="00804320">
        <w:rPr>
          <w:rFonts w:cs="Arial" w:hint="cs"/>
          <w:rtl/>
        </w:rPr>
        <w:t>,</w:t>
      </w:r>
      <w:r w:rsidRPr="00804320">
        <w:rPr>
          <w:rFonts w:cs="Arial"/>
          <w:rtl/>
        </w:rPr>
        <w:t xml:space="preserve"> אלא כופין אותה ומניקה אותו בשכר עד עשרים וארבעה חדש</w:t>
      </w:r>
      <w:r>
        <w:rPr>
          <w:rStyle w:val="a7"/>
          <w:rFonts w:cs="Arial"/>
          <w:rtl/>
        </w:rPr>
        <w:footnoteReference w:id="1549"/>
      </w:r>
      <w:r w:rsidRPr="00804320">
        <w:rPr>
          <w:rFonts w:cs="Arial"/>
          <w:rtl/>
        </w:rPr>
        <w:t xml:space="preserve">. </w:t>
      </w:r>
      <w:r w:rsidRPr="007B430E">
        <w:rPr>
          <w:rFonts w:hint="cs"/>
          <w:color w:val="E36C0A" w:themeColor="accent6" w:themeShade="BF"/>
          <w:rtl/>
        </w:rPr>
        <w:t>(וכ"פ בשו"ע)</w:t>
      </w:r>
    </w:p>
    <w:p w14:paraId="4EB62760" w14:textId="77777777" w:rsidR="002E5BAD" w:rsidRPr="00BA354F" w:rsidRDefault="002E5BAD" w:rsidP="002E5BAD">
      <w:pPr>
        <w:ind w:left="360"/>
        <w:rPr>
          <w:rFonts w:cs="Arial"/>
          <w:u w:val="dotted"/>
        </w:rPr>
      </w:pPr>
      <w:r w:rsidRPr="00BA354F">
        <w:rPr>
          <w:rFonts w:cs="Arial" w:hint="cs"/>
          <w:u w:val="dotted"/>
          <w:rtl/>
        </w:rPr>
        <w:t>ומה הדין אם הוא לא מוצא מינקה או שאין כסף לשכור מניקה:</w:t>
      </w:r>
    </w:p>
    <w:p w14:paraId="3D115E20" w14:textId="77777777" w:rsidR="002E5BAD" w:rsidRDefault="002E5BAD" w:rsidP="002E5BAD">
      <w:pPr>
        <w:pStyle w:val="ab"/>
        <w:numPr>
          <w:ilvl w:val="0"/>
          <w:numId w:val="178"/>
        </w:numPr>
        <w:rPr>
          <w:rFonts w:cs="Arial"/>
        </w:rPr>
      </w:pPr>
      <w:r w:rsidRPr="00C83ED4">
        <w:rPr>
          <w:rFonts w:cs="Arial" w:hint="cs"/>
          <w:rtl/>
        </w:rPr>
        <w:t xml:space="preserve">רי"ו </w:t>
      </w:r>
      <w:r w:rsidRPr="00C83ED4">
        <w:rPr>
          <w:rFonts w:cs="Arial"/>
          <w:sz w:val="16"/>
          <w:szCs w:val="16"/>
          <w:rtl/>
        </w:rPr>
        <w:t>(מישרים נכ"ג ח"ה נח ע"א)</w:t>
      </w:r>
      <w:r w:rsidRPr="00C83ED4">
        <w:rPr>
          <w:rFonts w:cs="Arial" w:hint="cs"/>
          <w:rtl/>
        </w:rPr>
        <w:t>-</w:t>
      </w:r>
      <w:r w:rsidRPr="00C83ED4">
        <w:rPr>
          <w:rFonts w:cs="Arial"/>
          <w:rtl/>
        </w:rPr>
        <w:t xml:space="preserve"> הא דנתגרשה אינו כופה דוקא כשמוצא מניקה אבל אינו מוצא או שאין לו שכר המניקה כופה ומניקתו אפילו אינו מכירה</w:t>
      </w:r>
      <w:r w:rsidRPr="00C83ED4">
        <w:rPr>
          <w:rFonts w:cs="Arial" w:hint="cs"/>
          <w:rtl/>
        </w:rPr>
        <w:t>.</w:t>
      </w:r>
      <w:r>
        <w:rPr>
          <w:rFonts w:cs="Arial" w:hint="cs"/>
          <w:rtl/>
        </w:rPr>
        <w:t xml:space="preserve"> </w:t>
      </w:r>
      <w:r w:rsidRPr="00BA354F">
        <w:rPr>
          <w:rFonts w:cs="Arial" w:hint="cs"/>
          <w:color w:val="00B0F0"/>
          <w:rtl/>
        </w:rPr>
        <w:t>(וכ"פ הרמ"א)</w:t>
      </w:r>
    </w:p>
    <w:p w14:paraId="5E54B9B4" w14:textId="77777777" w:rsidR="002E5BAD" w:rsidRPr="006C5126" w:rsidRDefault="002E5BAD" w:rsidP="002E5BAD">
      <w:pPr>
        <w:rPr>
          <w:rFonts w:cs="Arial"/>
          <w:u w:val="single"/>
        </w:rPr>
      </w:pPr>
      <w:r w:rsidRPr="006C5126">
        <w:rPr>
          <w:rFonts w:cs="Arial" w:hint="cs"/>
          <w:u w:val="single"/>
          <w:rtl/>
        </w:rPr>
        <w:t>אשה לא נשואה ילדה</w:t>
      </w:r>
      <w:r>
        <w:rPr>
          <w:rFonts w:cs="Arial" w:hint="cs"/>
          <w:u w:val="single"/>
          <w:rtl/>
        </w:rPr>
        <w:t xml:space="preserve"> בן</w:t>
      </w:r>
      <w:r w:rsidRPr="006C5126">
        <w:rPr>
          <w:rFonts w:cs="Arial" w:hint="cs"/>
          <w:u w:val="single"/>
          <w:rtl/>
        </w:rPr>
        <w:t>, ונתן אותו אביו למינקת, והאשה השכירה עצמה להניק בן אחר, והמינקת של בנה הלכה:</w:t>
      </w:r>
    </w:p>
    <w:p w14:paraId="7365248D" w14:textId="77777777" w:rsidR="002E5BAD" w:rsidRPr="00C83ED4" w:rsidRDefault="002E5BAD" w:rsidP="002E5BAD">
      <w:pPr>
        <w:pStyle w:val="ab"/>
        <w:numPr>
          <w:ilvl w:val="0"/>
          <w:numId w:val="178"/>
        </w:numPr>
        <w:rPr>
          <w:rFonts w:cs="Arial"/>
          <w:rtl/>
        </w:rPr>
      </w:pPr>
      <w:r w:rsidRPr="00C83ED4">
        <w:rPr>
          <w:rFonts w:cs="Arial"/>
          <w:rtl/>
        </w:rPr>
        <w:t xml:space="preserve">רא"ש </w:t>
      </w:r>
      <w:r w:rsidRPr="00C83ED4">
        <w:rPr>
          <w:rFonts w:cs="Arial" w:hint="cs"/>
          <w:sz w:val="16"/>
          <w:szCs w:val="16"/>
          <w:rtl/>
        </w:rPr>
        <w:t>(</w:t>
      </w:r>
      <w:r w:rsidRPr="00C83ED4">
        <w:rPr>
          <w:rFonts w:cs="Arial"/>
          <w:sz w:val="16"/>
          <w:szCs w:val="16"/>
          <w:rtl/>
        </w:rPr>
        <w:t>כלל יז סי</w:t>
      </w:r>
      <w:r w:rsidRPr="00C83ED4">
        <w:rPr>
          <w:rFonts w:cs="Arial" w:hint="cs"/>
          <w:sz w:val="16"/>
          <w:szCs w:val="16"/>
          <w:rtl/>
        </w:rPr>
        <w:t>'</w:t>
      </w:r>
      <w:r w:rsidRPr="00C83ED4">
        <w:rPr>
          <w:rFonts w:cs="Arial"/>
          <w:sz w:val="16"/>
          <w:szCs w:val="16"/>
          <w:rtl/>
        </w:rPr>
        <w:t xml:space="preserve"> ז</w:t>
      </w:r>
      <w:r w:rsidRPr="00C83ED4">
        <w:rPr>
          <w:rFonts w:cs="Arial" w:hint="cs"/>
          <w:sz w:val="16"/>
          <w:szCs w:val="16"/>
          <w:rtl/>
        </w:rPr>
        <w:t>)</w:t>
      </w:r>
      <w:r w:rsidRPr="00C83ED4">
        <w:rPr>
          <w:rFonts w:cs="Arial" w:hint="cs"/>
          <w:rtl/>
        </w:rPr>
        <w:t>-</w:t>
      </w:r>
      <w:r w:rsidRPr="00C83ED4">
        <w:rPr>
          <w:rFonts w:cs="Arial"/>
          <w:rtl/>
        </w:rPr>
        <w:t xml:space="preserve"> </w:t>
      </w:r>
      <w:r>
        <w:rPr>
          <w:rFonts w:cs="Arial" w:hint="cs"/>
          <w:rtl/>
        </w:rPr>
        <w:t xml:space="preserve">שאלת על </w:t>
      </w:r>
      <w:r w:rsidRPr="00C83ED4">
        <w:rPr>
          <w:rFonts w:cs="Arial"/>
          <w:rtl/>
        </w:rPr>
        <w:t>רחל שהיתה מעוברת מראובן</w:t>
      </w:r>
      <w:r>
        <w:rPr>
          <w:rFonts w:cs="Arial" w:hint="cs"/>
          <w:rtl/>
        </w:rPr>
        <w:t>.</w:t>
      </w:r>
      <w:r w:rsidRPr="00C83ED4">
        <w:rPr>
          <w:rFonts w:cs="Arial"/>
          <w:rtl/>
        </w:rPr>
        <w:t xml:space="preserve"> אח</w:t>
      </w:r>
      <w:r>
        <w:rPr>
          <w:rFonts w:cs="Arial" w:hint="cs"/>
          <w:rtl/>
        </w:rPr>
        <w:t>"</w:t>
      </w:r>
      <w:r w:rsidRPr="00C83ED4">
        <w:rPr>
          <w:rFonts w:cs="Arial"/>
          <w:rtl/>
        </w:rPr>
        <w:t>כ קדשה</w:t>
      </w:r>
      <w:r>
        <w:rPr>
          <w:rFonts w:cs="Arial" w:hint="cs"/>
          <w:rtl/>
        </w:rPr>
        <w:t>,</w:t>
      </w:r>
      <w:r w:rsidRPr="00C83ED4">
        <w:rPr>
          <w:rFonts w:cs="Arial"/>
          <w:rtl/>
        </w:rPr>
        <w:t xml:space="preserve"> וילדה בן ונתן הוא הבן למניקה</w:t>
      </w:r>
      <w:r>
        <w:rPr>
          <w:rFonts w:cs="Arial" w:hint="cs"/>
          <w:rtl/>
        </w:rPr>
        <w:t>.</w:t>
      </w:r>
      <w:r w:rsidRPr="00C83ED4">
        <w:rPr>
          <w:rFonts w:cs="Arial"/>
          <w:rtl/>
        </w:rPr>
        <w:t xml:space="preserve"> אח</w:t>
      </w:r>
      <w:r>
        <w:rPr>
          <w:rFonts w:cs="Arial" w:hint="cs"/>
          <w:rtl/>
        </w:rPr>
        <w:t>"</w:t>
      </w:r>
      <w:r w:rsidRPr="00C83ED4">
        <w:rPr>
          <w:rFonts w:cs="Arial"/>
          <w:rtl/>
        </w:rPr>
        <w:t>כ הלך ממנה לעיר אחרת</w:t>
      </w:r>
      <w:r>
        <w:rPr>
          <w:rFonts w:cs="Arial" w:hint="cs"/>
          <w:rtl/>
        </w:rPr>
        <w:t>,</w:t>
      </w:r>
      <w:r w:rsidRPr="00C83ED4">
        <w:rPr>
          <w:rFonts w:cs="Arial"/>
          <w:rtl/>
        </w:rPr>
        <w:t xml:space="preserve"> והיא השכירה עצמה לבעל הבית אחר להיות מניקת</w:t>
      </w:r>
      <w:r>
        <w:rPr>
          <w:rFonts w:cs="Arial" w:hint="cs"/>
          <w:rtl/>
        </w:rPr>
        <w:t>,</w:t>
      </w:r>
      <w:r w:rsidRPr="00C83ED4">
        <w:rPr>
          <w:rFonts w:cs="Arial"/>
          <w:rtl/>
        </w:rPr>
        <w:t xml:space="preserve"> וקבלה עליה להניק בנו </w:t>
      </w:r>
      <w:r w:rsidRPr="00C83ED4">
        <w:rPr>
          <w:rFonts w:cs="Arial"/>
          <w:rtl/>
        </w:rPr>
        <w:lastRenderedPageBreak/>
        <w:t>עד זמן ידוע</w:t>
      </w:r>
      <w:r>
        <w:rPr>
          <w:rFonts w:cs="Arial" w:hint="cs"/>
          <w:rtl/>
        </w:rPr>
        <w:t>.</w:t>
      </w:r>
      <w:r w:rsidRPr="00C83ED4">
        <w:rPr>
          <w:rFonts w:cs="Arial"/>
          <w:rtl/>
        </w:rPr>
        <w:t xml:space="preserve"> ואחר שהכירה התינוק ואינו רוצה לינק מאחרת משכה ידה המניקת שמניקה את בנה מלהניקו מפני שהלך אביו לעיר אחרת ואין מי יפרענה</w:t>
      </w:r>
      <w:r>
        <w:rPr>
          <w:rFonts w:cs="Arial" w:hint="cs"/>
          <w:rtl/>
        </w:rPr>
        <w:t>.</w:t>
      </w:r>
      <w:r w:rsidRPr="00C83ED4">
        <w:rPr>
          <w:rFonts w:cs="Arial"/>
          <w:rtl/>
        </w:rPr>
        <w:t xml:space="preserve"> ואומרים לה שתניק את בנה</w:t>
      </w:r>
      <w:r>
        <w:rPr>
          <w:rFonts w:cs="Arial" w:hint="cs"/>
          <w:rtl/>
        </w:rPr>
        <w:t>,</w:t>
      </w:r>
      <w:r w:rsidRPr="00C83ED4">
        <w:rPr>
          <w:rFonts w:cs="Arial"/>
          <w:rtl/>
        </w:rPr>
        <w:t xml:space="preserve"> והיא אומרת שאינה יכולה כיון שהיא משועבדת להניק בן בעל הבית</w:t>
      </w:r>
      <w:r>
        <w:rPr>
          <w:rFonts w:cs="Arial" w:hint="cs"/>
          <w:rtl/>
        </w:rPr>
        <w:t>.</w:t>
      </w:r>
      <w:r w:rsidRPr="00C83ED4">
        <w:rPr>
          <w:rFonts w:cs="Arial"/>
          <w:rtl/>
        </w:rPr>
        <w:t xml:space="preserve"> וגם בעל הבית שלה אומר שלא יניחנה כי כבר פרע לה שכרה וגם שבנו מסוכן שאינו יונק מאחרת ואין דוחים נפש מפני נפש</w:t>
      </w:r>
      <w:r>
        <w:rPr>
          <w:rFonts w:cs="Arial" w:hint="cs"/>
          <w:rtl/>
        </w:rPr>
        <w:t>.</w:t>
      </w:r>
      <w:r w:rsidRPr="00C83ED4">
        <w:rPr>
          <w:rFonts w:cs="Arial"/>
          <w:rtl/>
        </w:rPr>
        <w:t xml:space="preserve"> ועוד שאינה משועבדת לו להניק בנה כיון שאינה אשתו בחופה וקידושין</w:t>
      </w:r>
      <w:r>
        <w:rPr>
          <w:rFonts w:cs="Arial" w:hint="cs"/>
          <w:rtl/>
        </w:rPr>
        <w:t>.</w:t>
      </w:r>
      <w:r w:rsidRPr="00C83ED4">
        <w:rPr>
          <w:rFonts w:cs="Arial"/>
          <w:rtl/>
        </w:rPr>
        <w:t xml:space="preserve"> </w:t>
      </w:r>
      <w:r>
        <w:rPr>
          <w:rFonts w:cs="Arial" w:hint="cs"/>
          <w:rtl/>
        </w:rPr>
        <w:t>תשובה-</w:t>
      </w:r>
      <w:r w:rsidRPr="00C83ED4">
        <w:rPr>
          <w:rFonts w:cs="Arial"/>
          <w:rtl/>
        </w:rPr>
        <w:t xml:space="preserve"> הדין עם אבי התינוק</w:t>
      </w:r>
      <w:r>
        <w:rPr>
          <w:rFonts w:cs="Arial" w:hint="cs"/>
          <w:rtl/>
        </w:rPr>
        <w:t>,</w:t>
      </w:r>
      <w:r w:rsidRPr="00C83ED4">
        <w:rPr>
          <w:rFonts w:cs="Arial"/>
          <w:rtl/>
        </w:rPr>
        <w:t xml:space="preserve"> כי היא שעבדה עצמה להניקו ומחוייבת להניק שלא להמית התינוק ואינה מצווה להניק את בנה</w:t>
      </w:r>
      <w:r>
        <w:rPr>
          <w:rFonts w:cs="Arial" w:hint="cs"/>
          <w:rtl/>
        </w:rPr>
        <w:t>,</w:t>
      </w:r>
      <w:r w:rsidRPr="00C83ED4">
        <w:rPr>
          <w:rFonts w:cs="Arial"/>
          <w:rtl/>
        </w:rPr>
        <w:t xml:space="preserve"> ואפילו היתה נשואה כיון שאבי הבן אינו מעלה לה מזונות אי איפשר לה למות ברעב</w:t>
      </w:r>
      <w:r>
        <w:rPr>
          <w:rFonts w:cs="Arial" w:hint="cs"/>
          <w:rtl/>
        </w:rPr>
        <w:t>,</w:t>
      </w:r>
      <w:r w:rsidRPr="00C83ED4">
        <w:rPr>
          <w:rFonts w:cs="Arial"/>
          <w:rtl/>
        </w:rPr>
        <w:t xml:space="preserve"> כל שכן זאת שאינה נשואה ואינה משועבדת לו להניק את בנו</w:t>
      </w:r>
      <w:r>
        <w:rPr>
          <w:rFonts w:cs="Arial" w:hint="cs"/>
          <w:rtl/>
        </w:rPr>
        <w:t>,</w:t>
      </w:r>
      <w:r w:rsidRPr="00C83ED4">
        <w:rPr>
          <w:rFonts w:cs="Arial"/>
          <w:rtl/>
        </w:rPr>
        <w:t xml:space="preserve"> ועוד שבנה כבר הורגל לינק מאשה אחרת והתינוק הורגל בחלבה ולא יינק מאחרת ואין דוחין נפש מפני נפש</w:t>
      </w:r>
      <w:r>
        <w:rPr>
          <w:rFonts w:cs="Arial" w:hint="cs"/>
          <w:rtl/>
        </w:rPr>
        <w:t>.</w:t>
      </w:r>
      <w:r w:rsidRPr="00C83ED4">
        <w:rPr>
          <w:rFonts w:cs="Arial"/>
          <w:rtl/>
        </w:rPr>
        <w:t xml:space="preserve"> אלא בית דין ישכירו לו מניקת ויכופו אבי הבן לפרוע השכר</w:t>
      </w:r>
      <w:r>
        <w:rPr>
          <w:rFonts w:cs="Arial" w:hint="cs"/>
          <w:rtl/>
        </w:rPr>
        <w:t>.</w:t>
      </w:r>
      <w:r w:rsidRPr="00C83ED4">
        <w:rPr>
          <w:rFonts w:cs="Arial"/>
          <w:rtl/>
        </w:rPr>
        <w:t xml:space="preserve"> ואם לא יוכלו בית דין לכופו יפרעו בית דין השכר</w:t>
      </w:r>
      <w:r>
        <w:rPr>
          <w:rFonts w:cs="Arial" w:hint="cs"/>
          <w:rtl/>
        </w:rPr>
        <w:t>.</w:t>
      </w:r>
      <w:r w:rsidRPr="00BA354F">
        <w:rPr>
          <w:rFonts w:cs="Arial" w:hint="cs"/>
          <w:color w:val="00B0F0"/>
          <w:rtl/>
        </w:rPr>
        <w:t xml:space="preserve"> (וכ"פ הרמ"א)</w:t>
      </w:r>
    </w:p>
    <w:p w14:paraId="0A382039" w14:textId="77777777" w:rsidR="002E5BAD" w:rsidRPr="004C57C6" w:rsidRDefault="002E5BAD" w:rsidP="002E5BAD">
      <w:pPr>
        <w:rPr>
          <w:rFonts w:cs="Arial"/>
          <w:sz w:val="16"/>
          <w:szCs w:val="16"/>
          <w:u w:val="single"/>
          <w:rtl/>
        </w:rPr>
      </w:pPr>
      <w:r w:rsidRPr="004C57C6">
        <w:rPr>
          <w:rFonts w:cs="Arial"/>
          <w:u w:val="single"/>
          <w:rtl/>
        </w:rPr>
        <w:t>אשה נכרית שקיבלה בן להניק והניקתו עד שהוא מכירה</w:t>
      </w:r>
      <w:r w:rsidRPr="004C57C6">
        <w:rPr>
          <w:rFonts w:cs="Arial" w:hint="cs"/>
          <w:u w:val="single"/>
          <w:rtl/>
        </w:rPr>
        <w:t>:</w:t>
      </w:r>
      <w:r w:rsidRPr="004C57C6">
        <w:rPr>
          <w:rFonts w:cs="Arial" w:hint="cs"/>
          <w:sz w:val="16"/>
          <w:szCs w:val="16"/>
          <w:rtl/>
        </w:rPr>
        <w:t xml:space="preserve">  (דרכ"מ אות א)</w:t>
      </w:r>
    </w:p>
    <w:p w14:paraId="2638ECDF" w14:textId="77777777" w:rsidR="002E5BAD" w:rsidRDefault="002E5BAD" w:rsidP="002E5BAD">
      <w:pPr>
        <w:pStyle w:val="ab"/>
        <w:numPr>
          <w:ilvl w:val="0"/>
          <w:numId w:val="178"/>
        </w:numPr>
        <w:rPr>
          <w:rFonts w:cs="Arial"/>
        </w:rPr>
      </w:pPr>
      <w:r w:rsidRPr="004C57C6">
        <w:rPr>
          <w:rFonts w:cs="Arial" w:hint="cs"/>
          <w:rtl/>
        </w:rPr>
        <w:t xml:space="preserve">שלט"ג </w:t>
      </w:r>
      <w:r w:rsidRPr="004C57C6">
        <w:rPr>
          <w:rFonts w:cs="Arial" w:hint="cs"/>
          <w:sz w:val="16"/>
          <w:szCs w:val="16"/>
          <w:rtl/>
        </w:rPr>
        <w:t>(</w:t>
      </w:r>
      <w:r w:rsidRPr="004C57C6">
        <w:rPr>
          <w:rFonts w:cs="Arial"/>
          <w:sz w:val="16"/>
          <w:szCs w:val="16"/>
          <w:rtl/>
        </w:rPr>
        <w:t>כד: אות ב)</w:t>
      </w:r>
      <w:r w:rsidRPr="004C57C6">
        <w:rPr>
          <w:rFonts w:cs="Arial" w:hint="cs"/>
          <w:rtl/>
        </w:rPr>
        <w:t xml:space="preserve"> בשם </w:t>
      </w:r>
      <w:r w:rsidRPr="004C57C6">
        <w:rPr>
          <w:rFonts w:cs="Arial"/>
          <w:rtl/>
        </w:rPr>
        <w:t>ריא"ז</w:t>
      </w:r>
      <w:r w:rsidRPr="004C57C6">
        <w:rPr>
          <w:rFonts w:cs="Arial"/>
          <w:sz w:val="16"/>
          <w:szCs w:val="16"/>
          <w:rtl/>
        </w:rPr>
        <w:t xml:space="preserve"> (פסקי ריא"ז עמ' רא)</w:t>
      </w:r>
      <w:r w:rsidRPr="004C57C6">
        <w:rPr>
          <w:rFonts w:cs="Arial" w:hint="cs"/>
          <w:rtl/>
        </w:rPr>
        <w:t>-</w:t>
      </w:r>
      <w:r w:rsidRPr="004C57C6">
        <w:rPr>
          <w:rFonts w:cs="Arial"/>
          <w:rtl/>
        </w:rPr>
        <w:t xml:space="preserve"> נראה דאפילו אשה נכרית שקיבלה בן להניק והניקתו עד שהוא מכירה כופין אותה להניק בשכר מפני סכנת הולד</w:t>
      </w:r>
      <w:r w:rsidRPr="004C57C6">
        <w:rPr>
          <w:rFonts w:cs="Arial" w:hint="cs"/>
          <w:rtl/>
        </w:rPr>
        <w:t>.</w:t>
      </w:r>
      <w:r w:rsidRPr="00BA354F">
        <w:rPr>
          <w:rFonts w:cs="Arial" w:hint="cs"/>
          <w:color w:val="00B0F0"/>
          <w:rtl/>
        </w:rPr>
        <w:t xml:space="preserve"> (וכ"פ הרמ"א)</w:t>
      </w:r>
    </w:p>
    <w:p w14:paraId="70E3E96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27DC558" w14:textId="77777777" w:rsidR="002E5BAD" w:rsidRDefault="002E5BAD" w:rsidP="002E5BAD">
      <w:pPr>
        <w:rPr>
          <w:rtl/>
        </w:rPr>
      </w:pPr>
      <w:r>
        <w:rPr>
          <w:rFonts w:cs="Arial"/>
          <w:rtl/>
        </w:rPr>
        <w:t>האשה שנתגרשה, אין כופין אותה להניק את בנה</w:t>
      </w:r>
      <w:r>
        <w:rPr>
          <w:rFonts w:cs="Arial" w:hint="cs"/>
          <w:rtl/>
        </w:rPr>
        <w:t>.</w:t>
      </w:r>
      <w:r>
        <w:rPr>
          <w:rFonts w:cs="Arial"/>
          <w:rtl/>
        </w:rPr>
        <w:t xml:space="preserve"> אלא</w:t>
      </w:r>
      <w:r>
        <w:rPr>
          <w:rFonts w:cs="Arial" w:hint="cs"/>
          <w:rtl/>
        </w:rPr>
        <w:t>,</w:t>
      </w:r>
      <w:r>
        <w:rPr>
          <w:rFonts w:cs="Arial"/>
          <w:rtl/>
        </w:rPr>
        <w:t xml:space="preserve"> אם רצתה, נותן לה שכרה ומניקתו</w:t>
      </w:r>
      <w:r>
        <w:rPr>
          <w:rFonts w:cs="Arial" w:hint="cs"/>
          <w:rtl/>
        </w:rPr>
        <w:t>.</w:t>
      </w:r>
      <w:r>
        <w:rPr>
          <w:rFonts w:cs="Arial"/>
          <w:rtl/>
        </w:rPr>
        <w:t xml:space="preserve"> ואם לא רצתה, נותנת לו את בנו והוא מטפל בו. ב</w:t>
      </w:r>
      <w:r>
        <w:rPr>
          <w:rFonts w:cs="Arial" w:hint="cs"/>
          <w:rtl/>
        </w:rPr>
        <w:t xml:space="preserve">מה דברים </w:t>
      </w:r>
      <w:r>
        <w:rPr>
          <w:rFonts w:cs="Arial"/>
          <w:rtl/>
        </w:rPr>
        <w:t>א</w:t>
      </w:r>
      <w:r>
        <w:rPr>
          <w:rFonts w:cs="Arial" w:hint="cs"/>
          <w:rtl/>
        </w:rPr>
        <w:t>מורים</w:t>
      </w:r>
      <w:r>
        <w:rPr>
          <w:rFonts w:cs="Arial"/>
          <w:rtl/>
        </w:rPr>
        <w:t xml:space="preserve">, שלא הניקה אותו עד שהכירה, אבל אם הכירה </w:t>
      </w:r>
      <w:r>
        <w:rPr>
          <w:rFonts w:cs="Arial" w:hint="cs"/>
          <w:sz w:val="18"/>
          <w:szCs w:val="18"/>
          <w:rtl/>
        </w:rPr>
        <w:t xml:space="preserve">[הגה] </w:t>
      </w:r>
      <w:r w:rsidRPr="00782C6B">
        <w:rPr>
          <w:rFonts w:cs="Arial"/>
          <w:sz w:val="18"/>
          <w:szCs w:val="18"/>
          <w:rtl/>
        </w:rPr>
        <w:t>ואינו רוצה להניק מאחרת (טור)</w:t>
      </w:r>
      <w:r>
        <w:rPr>
          <w:rFonts w:cs="Arial"/>
          <w:rtl/>
        </w:rPr>
        <w:t xml:space="preserve">, אפילו הוא סומא, אין מפרישין אותו, מפני סכנת הולד, אלא כופין אותה ומינקתו עד כ"ד חדש. </w:t>
      </w:r>
      <w:r w:rsidRPr="00782C6B">
        <w:rPr>
          <w:rFonts w:cs="Arial"/>
          <w:sz w:val="18"/>
          <w:szCs w:val="18"/>
          <w:rtl/>
        </w:rPr>
        <w:t>הגה: והוא נותן לה שכר הנקה (טור). וי"א דאפילו אשה אחרת, שהניקה ולד עד שמכירה, כופין אותה ומניקה אותו בשכר, מפני סכנת הולד (</w:t>
      </w:r>
      <w:r>
        <w:rPr>
          <w:rFonts w:cs="Arial" w:hint="cs"/>
          <w:sz w:val="18"/>
          <w:szCs w:val="18"/>
          <w:rtl/>
        </w:rPr>
        <w:t>שלט"ג</w:t>
      </w:r>
      <w:r w:rsidRPr="00782C6B">
        <w:rPr>
          <w:rFonts w:cs="Arial"/>
          <w:sz w:val="18"/>
          <w:szCs w:val="18"/>
          <w:rtl/>
        </w:rPr>
        <w:t>). וי"א הא דגרושה אינה מחוייבת להניק אם אינו מכירה, היינו כשמוצא מינקת אחרת ויש לו להשכיר, אבל אם אין לו, כופה אותה ומניקתו</w:t>
      </w:r>
      <w:r>
        <w:rPr>
          <w:rStyle w:val="a7"/>
          <w:rFonts w:cs="Arial"/>
          <w:sz w:val="18"/>
          <w:szCs w:val="18"/>
          <w:rtl/>
        </w:rPr>
        <w:footnoteReference w:id="1550"/>
      </w:r>
      <w:r w:rsidRPr="00782C6B">
        <w:rPr>
          <w:rFonts w:cs="Arial"/>
          <w:sz w:val="18"/>
          <w:szCs w:val="18"/>
          <w:rtl/>
        </w:rPr>
        <w:t xml:space="preserve"> (רי</w:t>
      </w:r>
      <w:r>
        <w:rPr>
          <w:rFonts w:cs="Arial" w:hint="cs"/>
          <w:sz w:val="18"/>
          <w:szCs w:val="18"/>
          <w:rtl/>
        </w:rPr>
        <w:t>"ו</w:t>
      </w:r>
      <w:r w:rsidRPr="00782C6B">
        <w:rPr>
          <w:rFonts w:cs="Arial"/>
          <w:sz w:val="18"/>
          <w:szCs w:val="18"/>
          <w:rtl/>
        </w:rPr>
        <w:t>)</w:t>
      </w:r>
      <w:r>
        <w:rPr>
          <w:rFonts w:cs="Arial" w:hint="cs"/>
          <w:sz w:val="18"/>
          <w:szCs w:val="18"/>
          <w:rtl/>
        </w:rPr>
        <w:t>.</w:t>
      </w:r>
      <w:r w:rsidRPr="00782C6B">
        <w:rPr>
          <w:rFonts w:cs="Arial"/>
          <w:sz w:val="18"/>
          <w:szCs w:val="18"/>
          <w:rtl/>
        </w:rPr>
        <w:t xml:space="preserve"> אבל אם השכירה כבר עצמה לאחרים, ואותו ולד מכירה, אין דוחין אותו ולד מפני בנה</w:t>
      </w:r>
      <w:r>
        <w:rPr>
          <w:rStyle w:val="a7"/>
          <w:rFonts w:cs="Arial"/>
          <w:sz w:val="18"/>
          <w:szCs w:val="18"/>
          <w:rtl/>
        </w:rPr>
        <w:footnoteReference w:id="1551"/>
      </w:r>
      <w:r w:rsidRPr="00782C6B">
        <w:rPr>
          <w:rFonts w:cs="Arial"/>
          <w:sz w:val="18"/>
          <w:szCs w:val="18"/>
          <w:rtl/>
        </w:rPr>
        <w:t>, אלא ב"ד משכירין לבנה מניקה אחרת (רא"ש).</w:t>
      </w:r>
      <w:r>
        <w:rPr>
          <w:rFonts w:cs="Arial"/>
          <w:rtl/>
        </w:rPr>
        <w:t xml:space="preserve"> </w:t>
      </w:r>
    </w:p>
    <w:p w14:paraId="5E08B255" w14:textId="77777777" w:rsidR="002E5BAD" w:rsidRDefault="002E5BAD" w:rsidP="002E5BAD">
      <w:pPr>
        <w:rPr>
          <w:rFonts w:cs="Arial"/>
          <w:rtl/>
        </w:rPr>
      </w:pPr>
      <w:r w:rsidRPr="001012D8">
        <w:rPr>
          <w:rFonts w:cs="Arial"/>
          <w:u w:val="single"/>
          <w:rtl/>
        </w:rPr>
        <w:t>מינקת חבירו שעברו כ"ד חודש וה</w:t>
      </w:r>
      <w:r w:rsidRPr="001012D8">
        <w:rPr>
          <w:rFonts w:cs="Arial" w:hint="cs"/>
          <w:u w:val="single"/>
          <w:rtl/>
        </w:rPr>
        <w:t>י</w:t>
      </w:r>
      <w:r w:rsidRPr="001012D8">
        <w:rPr>
          <w:rFonts w:cs="Arial"/>
          <w:u w:val="single"/>
          <w:rtl/>
        </w:rPr>
        <w:t>לד חולה</w:t>
      </w:r>
      <w:r>
        <w:rPr>
          <w:rFonts w:cs="Arial" w:hint="cs"/>
          <w:u w:val="single"/>
          <w:rtl/>
        </w:rPr>
        <w:t>,</w:t>
      </w:r>
      <w:r w:rsidRPr="001012D8">
        <w:rPr>
          <w:rFonts w:cs="Arial"/>
          <w:u w:val="single"/>
          <w:rtl/>
        </w:rPr>
        <w:t xml:space="preserve"> ו</w:t>
      </w:r>
      <w:r>
        <w:rPr>
          <w:rFonts w:cs="Arial" w:hint="cs"/>
          <w:u w:val="single"/>
          <w:rtl/>
        </w:rPr>
        <w:t xml:space="preserve">יהיה מסוכן </w:t>
      </w:r>
      <w:r w:rsidRPr="001012D8">
        <w:rPr>
          <w:rFonts w:cs="Arial"/>
          <w:u w:val="single"/>
          <w:rtl/>
        </w:rPr>
        <w:t>אם תגמלהו</w:t>
      </w:r>
      <w:r w:rsidRPr="001012D8">
        <w:rPr>
          <w:rFonts w:cs="Arial" w:hint="cs"/>
          <w:u w:val="single"/>
          <w:rtl/>
        </w:rPr>
        <w:t>,</w:t>
      </w:r>
      <w:r w:rsidRPr="001012D8">
        <w:rPr>
          <w:rFonts w:cs="Arial"/>
          <w:u w:val="single"/>
          <w:rtl/>
        </w:rPr>
        <w:t xml:space="preserve"> ואי</w:t>
      </w:r>
      <w:r w:rsidRPr="001012D8">
        <w:rPr>
          <w:rFonts w:cs="Arial" w:hint="cs"/>
          <w:u w:val="single"/>
          <w:rtl/>
        </w:rPr>
        <w:t>נו</w:t>
      </w:r>
      <w:r w:rsidRPr="001012D8">
        <w:rPr>
          <w:rFonts w:cs="Arial"/>
          <w:u w:val="single"/>
          <w:rtl/>
        </w:rPr>
        <w:t xml:space="preserve"> רוצה לינק מאחרת</w:t>
      </w:r>
      <w:r w:rsidRPr="001012D8">
        <w:rPr>
          <w:rFonts w:cs="Arial" w:hint="cs"/>
          <w:u w:val="single"/>
          <w:rtl/>
        </w:rPr>
        <w:t>:</w:t>
      </w:r>
      <w:r w:rsidRPr="00BA354F">
        <w:rPr>
          <w:rFonts w:cs="Arial"/>
          <w:rtl/>
        </w:rPr>
        <w:t xml:space="preserve"> </w:t>
      </w:r>
      <w:r w:rsidRPr="001012D8">
        <w:rPr>
          <w:rFonts w:cs="Arial" w:hint="cs"/>
          <w:sz w:val="16"/>
          <w:szCs w:val="16"/>
          <w:rtl/>
        </w:rPr>
        <w:t>(פת"ש סק"ב)</w:t>
      </w:r>
    </w:p>
    <w:p w14:paraId="0EAE6057" w14:textId="77777777" w:rsidR="002E5BAD" w:rsidRDefault="002E5BAD" w:rsidP="002E5BAD">
      <w:pPr>
        <w:pStyle w:val="ab"/>
        <w:numPr>
          <w:ilvl w:val="0"/>
          <w:numId w:val="178"/>
        </w:numPr>
      </w:pPr>
      <w:r w:rsidRPr="001012D8">
        <w:rPr>
          <w:rFonts w:cs="Arial"/>
          <w:rtl/>
        </w:rPr>
        <w:t xml:space="preserve">רדב"ז </w:t>
      </w:r>
      <w:r w:rsidRPr="001012D8">
        <w:rPr>
          <w:rFonts w:cs="Arial" w:hint="cs"/>
          <w:sz w:val="16"/>
          <w:szCs w:val="16"/>
          <w:rtl/>
        </w:rPr>
        <w:t>(</w:t>
      </w:r>
      <w:r w:rsidRPr="001012D8">
        <w:rPr>
          <w:rFonts w:cs="Arial"/>
          <w:sz w:val="16"/>
          <w:szCs w:val="16"/>
          <w:rtl/>
        </w:rPr>
        <w:t>ח"א סי</w:t>
      </w:r>
      <w:r w:rsidRPr="001012D8">
        <w:rPr>
          <w:rFonts w:cs="Arial" w:hint="cs"/>
          <w:sz w:val="16"/>
          <w:szCs w:val="16"/>
          <w:rtl/>
        </w:rPr>
        <w:t>'</w:t>
      </w:r>
      <w:r w:rsidRPr="001012D8">
        <w:rPr>
          <w:rFonts w:cs="Arial"/>
          <w:sz w:val="16"/>
          <w:szCs w:val="16"/>
          <w:rtl/>
        </w:rPr>
        <w:t xml:space="preserve"> שמט</w:t>
      </w:r>
      <w:r w:rsidRPr="001012D8">
        <w:rPr>
          <w:rFonts w:cs="Arial" w:hint="cs"/>
          <w:sz w:val="16"/>
          <w:szCs w:val="16"/>
          <w:rtl/>
        </w:rPr>
        <w:t>)</w:t>
      </w:r>
      <w:r w:rsidRPr="001012D8">
        <w:rPr>
          <w:rFonts w:cs="Arial" w:hint="cs"/>
          <w:rtl/>
        </w:rPr>
        <w:t>-</w:t>
      </w:r>
      <w:r w:rsidRPr="001012D8">
        <w:rPr>
          <w:rFonts w:cs="Arial"/>
          <w:rtl/>
        </w:rPr>
        <w:t xml:space="preserve"> מינקת חבירו שעברו כ"ד חודש והולד חולה וחלש ואם תגמלהו יבא לידי סכנה ואין הולד רוצה לינק מאחרת</w:t>
      </w:r>
      <w:r>
        <w:rPr>
          <w:rFonts w:cs="Arial" w:hint="cs"/>
          <w:rtl/>
        </w:rPr>
        <w:t>,</w:t>
      </w:r>
      <w:r w:rsidRPr="001012D8">
        <w:rPr>
          <w:rFonts w:cs="Arial"/>
          <w:rtl/>
        </w:rPr>
        <w:t xml:space="preserve"> אם כופין אותה להניקו מפני הסכנה</w:t>
      </w:r>
      <w:r>
        <w:rPr>
          <w:rFonts w:cs="Arial" w:hint="cs"/>
          <w:rtl/>
        </w:rPr>
        <w:t>,</w:t>
      </w:r>
      <w:r w:rsidRPr="001012D8">
        <w:rPr>
          <w:rFonts w:cs="Arial"/>
          <w:rtl/>
        </w:rPr>
        <w:t xml:space="preserve"> ואם יכולה לומר אני רוצה להנשא. </w:t>
      </w:r>
      <w:r w:rsidRPr="001012D8">
        <w:rPr>
          <w:rFonts w:cs="Arial" w:hint="cs"/>
          <w:rtl/>
        </w:rPr>
        <w:t>תשובה-</w:t>
      </w:r>
      <w:r w:rsidRPr="001012D8">
        <w:rPr>
          <w:rFonts w:cs="Arial"/>
          <w:rtl/>
        </w:rPr>
        <w:t xml:space="preserve"> אם הולד יש לו אב</w:t>
      </w:r>
      <w:r w:rsidRPr="001012D8">
        <w:rPr>
          <w:rFonts w:cs="Arial" w:hint="cs"/>
          <w:rtl/>
        </w:rPr>
        <w:t>,</w:t>
      </w:r>
      <w:r w:rsidRPr="001012D8">
        <w:rPr>
          <w:rFonts w:cs="Arial"/>
          <w:rtl/>
        </w:rPr>
        <w:t xml:space="preserve"> כופין אותו לרצותה במעות עד שיבריא הולד ויגמל</w:t>
      </w:r>
      <w:r w:rsidRPr="001012D8">
        <w:rPr>
          <w:rFonts w:cs="Arial" w:hint="cs"/>
          <w:rtl/>
        </w:rPr>
        <w:t>.</w:t>
      </w:r>
      <w:r w:rsidRPr="001012D8">
        <w:rPr>
          <w:rFonts w:cs="Arial"/>
          <w:rtl/>
        </w:rPr>
        <w:t xml:space="preserve"> ואם אין לו אב או שהוא עני</w:t>
      </w:r>
      <w:r w:rsidRPr="001012D8">
        <w:rPr>
          <w:rFonts w:cs="Arial" w:hint="cs"/>
          <w:rtl/>
        </w:rPr>
        <w:t>,</w:t>
      </w:r>
      <w:r w:rsidRPr="001012D8">
        <w:rPr>
          <w:rFonts w:cs="Arial"/>
          <w:rtl/>
        </w:rPr>
        <w:t xml:space="preserve"> מצותו בכל ישראל ונותנין לה ממון עד שתתרצה משום הצלת נפשות</w:t>
      </w:r>
      <w:r w:rsidRPr="001012D8">
        <w:rPr>
          <w:rFonts w:cs="Arial" w:hint="cs"/>
          <w:rtl/>
        </w:rPr>
        <w:t>.</w:t>
      </w:r>
      <w:r w:rsidRPr="001012D8">
        <w:rPr>
          <w:rFonts w:cs="Arial"/>
          <w:rtl/>
        </w:rPr>
        <w:t xml:space="preserve"> ואם לא נתרצית</w:t>
      </w:r>
      <w:r w:rsidRPr="001012D8">
        <w:rPr>
          <w:rFonts w:cs="Arial" w:hint="cs"/>
          <w:rtl/>
        </w:rPr>
        <w:t>,</w:t>
      </w:r>
      <w:r w:rsidRPr="001012D8">
        <w:rPr>
          <w:rFonts w:cs="Arial"/>
          <w:rtl/>
        </w:rPr>
        <w:t xml:space="preserve"> מתירין אותה לינשא ולא תגמלנו מפני הסכנ</w:t>
      </w:r>
      <w:r w:rsidRPr="001012D8">
        <w:rPr>
          <w:rFonts w:cs="Arial" w:hint="cs"/>
          <w:rtl/>
        </w:rPr>
        <w:t>ה.</w:t>
      </w:r>
      <w:r w:rsidRPr="001012D8">
        <w:rPr>
          <w:rFonts w:cs="Arial"/>
          <w:rtl/>
        </w:rPr>
        <w:t xml:space="preserve"> ואם אינה רוצה</w:t>
      </w:r>
      <w:r w:rsidRPr="001012D8">
        <w:rPr>
          <w:rFonts w:cs="Arial" w:hint="cs"/>
          <w:rtl/>
        </w:rPr>
        <w:t>,</w:t>
      </w:r>
      <w:r w:rsidRPr="001012D8">
        <w:rPr>
          <w:rFonts w:cs="Arial"/>
          <w:rtl/>
        </w:rPr>
        <w:t xml:space="preserve"> כופין אותה להניקו בשכר</w:t>
      </w:r>
      <w:r w:rsidRPr="001012D8">
        <w:rPr>
          <w:rFonts w:cs="Arial" w:hint="cs"/>
          <w:rtl/>
        </w:rPr>
        <w:t>,</w:t>
      </w:r>
      <w:r w:rsidRPr="001012D8">
        <w:rPr>
          <w:rFonts w:cs="Arial"/>
          <w:rtl/>
        </w:rPr>
        <w:t xml:space="preserve"> שהרי מצוה זו מוטלת עליה לבדה להחיותו</w:t>
      </w:r>
      <w:r w:rsidRPr="001012D8">
        <w:rPr>
          <w:rFonts w:cs="Arial" w:hint="cs"/>
          <w:rtl/>
        </w:rPr>
        <w:t>.</w:t>
      </w:r>
      <w:r w:rsidRPr="001012D8">
        <w:rPr>
          <w:rFonts w:cs="Arial"/>
          <w:rtl/>
        </w:rPr>
        <w:t xml:space="preserve"> והכל הוא לפי אומד הרופאים שיאמרו שאם תגמלהו יבא לידי ספק נפשות</w:t>
      </w:r>
      <w:r w:rsidRPr="001012D8">
        <w:rPr>
          <w:rFonts w:cs="Arial" w:hint="cs"/>
          <w:rtl/>
        </w:rPr>
        <w:t>.</w:t>
      </w:r>
    </w:p>
    <w:p w14:paraId="52B2ADF0" w14:textId="77777777" w:rsidR="002E5BAD" w:rsidRDefault="002E5BAD" w:rsidP="002E5BAD">
      <w:pPr>
        <w:rPr>
          <w:rtl/>
        </w:rPr>
      </w:pPr>
    </w:p>
    <w:p w14:paraId="2BC7C334" w14:textId="77777777" w:rsidR="002E5BAD" w:rsidRDefault="002E5BAD" w:rsidP="002E5BAD">
      <w:pPr>
        <w:pStyle w:val="2"/>
        <w:rPr>
          <w:rtl/>
        </w:rPr>
      </w:pPr>
      <w:r>
        <w:rPr>
          <w:rtl/>
        </w:rPr>
        <w:t>סעיף ו</w:t>
      </w:r>
      <w:r>
        <w:rPr>
          <w:rFonts w:hint="cs"/>
          <w:rtl/>
        </w:rPr>
        <w:t>: מזונות לגרושה או מעוברת.</w:t>
      </w:r>
    </w:p>
    <w:p w14:paraId="299874C3" w14:textId="77777777" w:rsidR="002E5BAD" w:rsidRPr="00685AED" w:rsidRDefault="002E5BAD" w:rsidP="002E5BAD">
      <w:pPr>
        <w:rPr>
          <w:u w:val="single"/>
          <w:rtl/>
        </w:rPr>
      </w:pPr>
      <w:r>
        <w:rPr>
          <w:rFonts w:hint="cs"/>
          <w:u w:val="single"/>
          <w:rtl/>
        </w:rPr>
        <w:t xml:space="preserve">חיוב </w:t>
      </w:r>
      <w:r w:rsidRPr="00685AED">
        <w:rPr>
          <w:rFonts w:hint="cs"/>
          <w:u w:val="single"/>
          <w:rtl/>
        </w:rPr>
        <w:t>מזונות לגרושה או מעוברת:</w:t>
      </w:r>
    </w:p>
    <w:p w14:paraId="58C432A2" w14:textId="77777777" w:rsidR="002E5BAD" w:rsidRPr="00685AED" w:rsidRDefault="002E5BAD" w:rsidP="002E5BAD">
      <w:pPr>
        <w:pStyle w:val="ab"/>
        <w:numPr>
          <w:ilvl w:val="0"/>
          <w:numId w:val="178"/>
        </w:numPr>
        <w:rPr>
          <w:rFonts w:cs="Arial"/>
          <w:rtl/>
        </w:rPr>
      </w:pPr>
      <w:r w:rsidRPr="00685AED">
        <w:rPr>
          <w:rFonts w:cs="Arial" w:hint="cs"/>
          <w:rtl/>
        </w:rPr>
        <w:t xml:space="preserve">רמב"ם </w:t>
      </w:r>
      <w:r w:rsidRPr="00685AED">
        <w:rPr>
          <w:rFonts w:cs="Arial"/>
          <w:sz w:val="16"/>
          <w:szCs w:val="16"/>
          <w:rtl/>
        </w:rPr>
        <w:t>(</w:t>
      </w:r>
      <w:r w:rsidRPr="00685AED">
        <w:rPr>
          <w:rFonts w:cs="Arial" w:hint="cs"/>
          <w:sz w:val="16"/>
          <w:szCs w:val="16"/>
          <w:rtl/>
        </w:rPr>
        <w:t xml:space="preserve">פכ"א </w:t>
      </w:r>
      <w:r w:rsidRPr="00685AED">
        <w:rPr>
          <w:rFonts w:cs="Arial"/>
          <w:sz w:val="16"/>
          <w:szCs w:val="16"/>
          <w:rtl/>
        </w:rPr>
        <w:t>הי"ז)</w:t>
      </w:r>
      <w:r w:rsidRPr="00685AED">
        <w:rPr>
          <w:rFonts w:cs="Arial" w:hint="cs"/>
          <w:rtl/>
        </w:rPr>
        <w:t xml:space="preserve">- </w:t>
      </w:r>
      <w:r w:rsidRPr="00685AED">
        <w:rPr>
          <w:rFonts w:cs="Arial"/>
          <w:rtl/>
        </w:rPr>
        <w:t>הגרושה אין לה מזונות אף על פי שהיא מניקה את בנה אבל נותן לה יתר על שכרה דברים שהקטן צריך להן מכסות ומאכל ומשקה וסיכה וכיוצא בזה, אבל המעוברת אין לה כלום.</w:t>
      </w:r>
      <w:r w:rsidRPr="00685AED">
        <w:rPr>
          <w:rFonts w:hint="cs"/>
          <w:color w:val="E36C0A" w:themeColor="accent6" w:themeShade="BF"/>
          <w:rtl/>
        </w:rPr>
        <w:t xml:space="preserve"> </w:t>
      </w:r>
      <w:r w:rsidRPr="007B430E">
        <w:rPr>
          <w:rFonts w:hint="cs"/>
          <w:color w:val="E36C0A" w:themeColor="accent6" w:themeShade="BF"/>
          <w:rtl/>
        </w:rPr>
        <w:t>(וכ"פ בשו"ע)</w:t>
      </w:r>
    </w:p>
    <w:p w14:paraId="79D749D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3399B65" w14:textId="77777777" w:rsidR="002E5BAD" w:rsidRDefault="002E5BAD" w:rsidP="002E5BAD">
      <w:pPr>
        <w:rPr>
          <w:rtl/>
        </w:rPr>
      </w:pPr>
      <w:r>
        <w:rPr>
          <w:rFonts w:cs="Arial"/>
          <w:rtl/>
        </w:rPr>
        <w:t>הגרושה אין לה מזונות, אף על פי שהיא מניקה את בנה, אבל נותן לה יותר על שכרה דברים שהקטן צריך להם</w:t>
      </w:r>
      <w:r>
        <w:rPr>
          <w:rStyle w:val="a7"/>
          <w:rFonts w:cs="Arial"/>
          <w:rtl/>
        </w:rPr>
        <w:footnoteReference w:id="1552"/>
      </w:r>
      <w:r>
        <w:rPr>
          <w:rFonts w:cs="Arial"/>
          <w:rtl/>
        </w:rPr>
        <w:t>, מכסות ומאכל ומשקה וסיכה וכיוצא בזה</w:t>
      </w:r>
      <w:r>
        <w:rPr>
          <w:rFonts w:cs="Arial" w:hint="cs"/>
          <w:rtl/>
        </w:rPr>
        <w:t>.</w:t>
      </w:r>
      <w:r>
        <w:rPr>
          <w:rFonts w:cs="Arial"/>
          <w:rtl/>
        </w:rPr>
        <w:t xml:space="preserve"> אבל המעוברת, אין לה כלום. </w:t>
      </w:r>
    </w:p>
    <w:p w14:paraId="640B521F" w14:textId="77777777" w:rsidR="002E5BAD" w:rsidRDefault="002E5BAD" w:rsidP="002E5BAD">
      <w:pPr>
        <w:rPr>
          <w:rtl/>
        </w:rPr>
      </w:pPr>
    </w:p>
    <w:p w14:paraId="215A66B3" w14:textId="77777777" w:rsidR="002E5BAD" w:rsidRDefault="002E5BAD" w:rsidP="002E5BAD">
      <w:pPr>
        <w:pStyle w:val="2"/>
        <w:rPr>
          <w:rtl/>
        </w:rPr>
      </w:pPr>
      <w:r>
        <w:rPr>
          <w:rtl/>
        </w:rPr>
        <w:lastRenderedPageBreak/>
        <w:t>סעיף ז</w:t>
      </w:r>
      <w:r>
        <w:rPr>
          <w:rFonts w:hint="cs"/>
          <w:rtl/>
        </w:rPr>
        <w:t>: ברשות מי הילד לאחר שנגמל.</w:t>
      </w:r>
    </w:p>
    <w:p w14:paraId="2422A909" w14:textId="77777777" w:rsidR="002E5BAD" w:rsidRDefault="002E5BAD" w:rsidP="002E5BAD">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פ' אף על פי</w:t>
      </w:r>
      <w:r w:rsidRPr="003E00A2">
        <w:rPr>
          <w:rFonts w:cs="Arial" w:hint="cs"/>
          <w:b/>
          <w:bCs/>
          <w:sz w:val="16"/>
          <w:szCs w:val="16"/>
          <w:rtl/>
        </w:rPr>
        <w:t xml:space="preserve">) </w:t>
      </w:r>
      <w:r w:rsidRPr="003E00A2">
        <w:rPr>
          <w:rFonts w:cs="Arial" w:hint="cs"/>
          <w:b/>
          <w:bCs/>
          <w:rtl/>
        </w:rPr>
        <w:t xml:space="preserve">סה ע"ב: </w:t>
      </w:r>
      <w:r w:rsidRPr="003E00A2">
        <w:rPr>
          <w:rFonts w:cs="Arial"/>
          <w:u w:val="single"/>
          <w:rtl/>
        </w:rPr>
        <w:t>דרש רבי עולא רבה אפיתחא דבי נשיאה</w:t>
      </w:r>
      <w:r w:rsidRPr="003E00A2">
        <w:rPr>
          <w:rFonts w:cs="Arial"/>
          <w:rtl/>
        </w:rPr>
        <w:t>: אף על פי שאמרו אין אדם זן את בניו ובנותיו כשהן קטנים, אבל זן קטני קטנים. עד כמה? עד בן שש</w:t>
      </w:r>
      <w:r>
        <w:rPr>
          <w:rFonts w:cs="Arial" w:hint="cs"/>
          <w:rtl/>
        </w:rPr>
        <w:t>.</w:t>
      </w:r>
      <w:r w:rsidRPr="003E00A2">
        <w:rPr>
          <w:rFonts w:cs="Arial"/>
          <w:rtl/>
        </w:rPr>
        <w:t xml:space="preserve"> כדרב אסי, </w:t>
      </w:r>
      <w:r w:rsidRPr="003E00A2">
        <w:rPr>
          <w:rFonts w:cs="Arial"/>
          <w:u w:val="single"/>
          <w:rtl/>
        </w:rPr>
        <w:t>דאמר רב אסי</w:t>
      </w:r>
      <w:r w:rsidRPr="003E00A2">
        <w:rPr>
          <w:rFonts w:cs="Arial"/>
          <w:rtl/>
        </w:rPr>
        <w:t>: קטן בן שש יוצא בעירוב אמו</w:t>
      </w:r>
      <w:r>
        <w:rPr>
          <w:rStyle w:val="a7"/>
          <w:rFonts w:cs="Arial"/>
          <w:rtl/>
        </w:rPr>
        <w:footnoteReference w:id="1553"/>
      </w:r>
      <w:r w:rsidRPr="003E00A2">
        <w:rPr>
          <w:rFonts w:cs="Arial"/>
          <w:rtl/>
        </w:rPr>
        <w:t>. ממאי? מדקתני: היתה מניקה - פוחתין לה ממעשה ידיה ומוסיפין לה על מזונותיה; מ"ט? לאו משום דבעי למיכל בהדה.</w:t>
      </w:r>
    </w:p>
    <w:p w14:paraId="60BB8719" w14:textId="77777777" w:rsidR="002E5BAD" w:rsidRDefault="002E5BAD" w:rsidP="002E5BAD">
      <w:pPr>
        <w:rPr>
          <w:rtl/>
        </w:rPr>
      </w:pPr>
      <w:r w:rsidRPr="00216C4D">
        <w:rPr>
          <w:rFonts w:cs="Arial" w:hint="cs"/>
          <w:b/>
          <w:bCs/>
          <w:rtl/>
        </w:rPr>
        <w:t xml:space="preserve">ערובין </w:t>
      </w:r>
      <w:r>
        <w:rPr>
          <w:rFonts w:cs="Arial" w:hint="cs"/>
          <w:b/>
          <w:bCs/>
          <w:sz w:val="16"/>
          <w:szCs w:val="16"/>
          <w:rtl/>
        </w:rPr>
        <w:t xml:space="preserve">(פ' חלון) </w:t>
      </w:r>
      <w:r w:rsidRPr="00216C4D">
        <w:rPr>
          <w:rFonts w:cs="Arial" w:hint="cs"/>
          <w:b/>
          <w:bCs/>
          <w:rtl/>
        </w:rPr>
        <w:t xml:space="preserve">פב ע"א: </w:t>
      </w:r>
      <w:r w:rsidRPr="00107AF4">
        <w:rPr>
          <w:rFonts w:cs="Arial"/>
          <w:u w:val="single"/>
          <w:rtl/>
        </w:rPr>
        <w:t>אמר רב אסי</w:t>
      </w:r>
      <w:r w:rsidRPr="00216C4D">
        <w:rPr>
          <w:rFonts w:cs="Arial"/>
          <w:rtl/>
        </w:rPr>
        <w:t>: קטן בן שש יוצא בעירוב אמו.</w:t>
      </w:r>
      <w:r>
        <w:rPr>
          <w:rFonts w:cs="Arial" w:hint="cs"/>
          <w:rtl/>
        </w:rPr>
        <w:t>..</w:t>
      </w:r>
      <w:r>
        <w:rPr>
          <w:rFonts w:cs="Arial" w:hint="cs"/>
          <w:sz w:val="14"/>
          <w:szCs w:val="14"/>
          <w:rtl/>
        </w:rPr>
        <w:t xml:space="preserve"> (פב:)</w:t>
      </w:r>
      <w:r w:rsidRPr="00165F2F">
        <w:rPr>
          <w:rtl/>
        </w:rPr>
        <w:t xml:space="preserve"> </w:t>
      </w:r>
      <w:r w:rsidRPr="00107AF4">
        <w:rPr>
          <w:rFonts w:cs="Arial"/>
          <w:u w:val="single"/>
          <w:rtl/>
        </w:rPr>
        <w:t>אמר רב יהושע בריה דרב אידי</w:t>
      </w:r>
      <w:r w:rsidRPr="00165F2F">
        <w:rPr>
          <w:rFonts w:cs="Arial"/>
          <w:rtl/>
        </w:rPr>
        <w:t>: כי קאמר רב אסי - כגון שעירב עליו אביו לצפון, ואמו לדרום. דאפילו בר שש נמי, בצוותא דאמיה ניחא ליה.</w:t>
      </w:r>
      <w:r>
        <w:rPr>
          <w:rFonts w:hint="cs"/>
          <w:rtl/>
        </w:rPr>
        <w:t>..</w:t>
      </w:r>
      <w:r w:rsidRPr="00107AF4">
        <w:rPr>
          <w:rtl/>
        </w:rPr>
        <w:t xml:space="preserve"> </w:t>
      </w:r>
      <w:r w:rsidRPr="00107AF4">
        <w:rPr>
          <w:rFonts w:cs="Arial"/>
          <w:u w:val="single"/>
          <w:rtl/>
        </w:rPr>
        <w:t>אמר לך רב אסי</w:t>
      </w:r>
      <w:r w:rsidRPr="00107AF4">
        <w:rPr>
          <w:rFonts w:cs="Arial"/>
          <w:rtl/>
        </w:rPr>
        <w:t>: עד ועד בכלל.</w:t>
      </w:r>
    </w:p>
    <w:p w14:paraId="153AB934"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הנושא)</w:t>
      </w:r>
      <w:r w:rsidRPr="00AB0AB9">
        <w:rPr>
          <w:rFonts w:cs="Arial" w:hint="cs"/>
          <w:b/>
          <w:bCs/>
          <w:rtl/>
        </w:rPr>
        <w:t xml:space="preserve"> </w:t>
      </w:r>
      <w:r>
        <w:rPr>
          <w:rFonts w:cs="Arial" w:hint="cs"/>
          <w:b/>
          <w:bCs/>
          <w:rtl/>
        </w:rPr>
        <w:t>קא</w:t>
      </w:r>
      <w:r w:rsidRPr="00AB0AB9">
        <w:rPr>
          <w:rFonts w:cs="Arial" w:hint="cs"/>
          <w:b/>
          <w:bCs/>
          <w:rtl/>
        </w:rPr>
        <w:t xml:space="preserve"> ע"</w:t>
      </w:r>
      <w:r>
        <w:rPr>
          <w:rFonts w:cs="Arial" w:hint="cs"/>
          <w:b/>
          <w:bCs/>
          <w:rtl/>
        </w:rPr>
        <w:t>ב</w:t>
      </w:r>
      <w:r w:rsidRPr="00AB0AB9">
        <w:rPr>
          <w:rFonts w:cs="Arial" w:hint="cs"/>
          <w:b/>
          <w:bCs/>
          <w:rtl/>
        </w:rPr>
        <w:t>:</w:t>
      </w:r>
      <w:r w:rsidRPr="009C7F6A">
        <w:rPr>
          <w:rFonts w:cs="Arial"/>
          <w:rtl/>
        </w:rPr>
        <w:t xml:space="preserve"> </w:t>
      </w:r>
      <w:r w:rsidRPr="00816056">
        <w:rPr>
          <w:rFonts w:cs="Arial"/>
          <w:u w:val="double"/>
          <w:rtl/>
        </w:rPr>
        <w:t>מתני'</w:t>
      </w:r>
      <w:r w:rsidRPr="00816056">
        <w:rPr>
          <w:rFonts w:cs="Arial" w:hint="cs"/>
          <w:u w:val="double"/>
          <w:rtl/>
        </w:rPr>
        <w:t>:</w:t>
      </w:r>
      <w:r w:rsidRPr="00816056">
        <w:rPr>
          <w:rFonts w:cs="Arial"/>
          <w:rtl/>
        </w:rPr>
        <w:t xml:space="preserve"> הנושא את האשה, ופסקה עמו כדי שיזון את בתה חמש שנים - חייב לזונה חמש שנים. ניסת לאחר, ופסקה עמו כדי שיזון את בתה חמש שנים - חייב לזונה חמש שנים. לא יאמר הראשון לכשתבא אצלי אזונה, אלא מוליך לה מזונותיה למקום שאמה.</w:t>
      </w:r>
      <w:r>
        <w:rPr>
          <w:rFonts w:cs="Arial" w:hint="cs"/>
          <w:rtl/>
        </w:rPr>
        <w:t>..</w:t>
      </w:r>
      <w:r w:rsidRPr="00816056">
        <w:rPr>
          <w:rFonts w:cs="Arial"/>
          <w:rtl/>
        </w:rPr>
        <w:t xml:space="preserve"> </w:t>
      </w:r>
      <w:r>
        <w:rPr>
          <w:rFonts w:cs="Arial" w:hint="cs"/>
          <w:rtl/>
        </w:rPr>
        <w:t xml:space="preserve">      </w:t>
      </w:r>
      <w:r w:rsidRPr="00816056">
        <w:rPr>
          <w:rFonts w:cs="Arial" w:hint="cs"/>
          <w:u w:val="double"/>
          <w:rtl/>
        </w:rPr>
        <w:t>גמ'</w:t>
      </w:r>
      <w:r w:rsidRPr="00816056">
        <w:rPr>
          <w:rFonts w:cs="Arial" w:hint="cs"/>
          <w:sz w:val="14"/>
          <w:szCs w:val="14"/>
          <w:u w:val="double"/>
          <w:rtl/>
        </w:rPr>
        <w:t>(ק</w:t>
      </w:r>
      <w:r>
        <w:rPr>
          <w:rFonts w:cs="Arial" w:hint="cs"/>
          <w:sz w:val="14"/>
          <w:szCs w:val="14"/>
          <w:u w:val="double"/>
          <w:rtl/>
        </w:rPr>
        <w:t>ב</w:t>
      </w:r>
      <w:r w:rsidRPr="00816056">
        <w:rPr>
          <w:rFonts w:cs="Arial" w:hint="cs"/>
          <w:sz w:val="14"/>
          <w:szCs w:val="14"/>
          <w:u w:val="double"/>
          <w:rtl/>
        </w:rPr>
        <w:t>:)</w:t>
      </w:r>
      <w:r w:rsidRPr="00816056">
        <w:rPr>
          <w:rFonts w:cs="Arial" w:hint="cs"/>
          <w:u w:val="double"/>
          <w:rtl/>
        </w:rPr>
        <w:t>:</w:t>
      </w:r>
      <w:r>
        <w:rPr>
          <w:rFonts w:cs="Arial" w:hint="cs"/>
          <w:rtl/>
        </w:rPr>
        <w:t xml:space="preserve"> </w:t>
      </w:r>
      <w:r w:rsidRPr="00816056">
        <w:rPr>
          <w:rFonts w:cs="Arial"/>
          <w:rtl/>
        </w:rPr>
        <w:t xml:space="preserve">לא יאמר הראשון. </w:t>
      </w:r>
      <w:r w:rsidRPr="00816056">
        <w:rPr>
          <w:rFonts w:cs="Arial"/>
          <w:u w:val="single"/>
          <w:rtl/>
        </w:rPr>
        <w:t>אמר רב חסדא</w:t>
      </w:r>
      <w:r w:rsidRPr="00816056">
        <w:rPr>
          <w:rFonts w:cs="Arial"/>
          <w:rtl/>
        </w:rPr>
        <w:t xml:space="preserve">: זאת אומרת, בת אצל אמה. ממאי דבגדולה עסקינן? דלמא בקטנה עסקינן, ומשום מעשה שהיה! דתניא: מי שמת והניח בן קטן לאמו, יורשי האב אומרים יהא גדל אצלנו, ואמו אומרת יהא בני גדל אצלי - מניחין אותו אצל אמו ואין מניחין אותו אצל ראוי ליורשו, מעשה היה ושחטוהו </w:t>
      </w:r>
      <w:r>
        <w:rPr>
          <w:rFonts w:cs="Arial" w:hint="cs"/>
          <w:rtl/>
        </w:rPr>
        <w:t>[</w:t>
      </w:r>
      <w:r w:rsidRPr="00816056">
        <w:rPr>
          <w:rFonts w:cs="Arial"/>
          <w:rtl/>
        </w:rPr>
        <w:t>ער"ה</w:t>
      </w:r>
      <w:r>
        <w:rPr>
          <w:rFonts w:cs="Arial" w:hint="cs"/>
          <w:rtl/>
        </w:rPr>
        <w:t>]</w:t>
      </w:r>
      <w:r>
        <w:rPr>
          <w:rStyle w:val="a7"/>
          <w:rFonts w:cs="Arial"/>
          <w:rtl/>
        </w:rPr>
        <w:footnoteReference w:id="1554"/>
      </w:r>
      <w:r w:rsidRPr="00816056">
        <w:rPr>
          <w:rFonts w:cs="Arial"/>
          <w:rtl/>
        </w:rPr>
        <w:t xml:space="preserve">! אם כן, ליתני למקום שהיא, </w:t>
      </w:r>
      <w:r>
        <w:rPr>
          <w:rFonts w:cs="Arial" w:hint="cs"/>
          <w:sz w:val="14"/>
          <w:szCs w:val="14"/>
          <w:rtl/>
        </w:rPr>
        <w:t>(קג.)</w:t>
      </w:r>
      <w:r>
        <w:rPr>
          <w:rFonts w:cs="Arial" w:hint="cs"/>
          <w:rtl/>
        </w:rPr>
        <w:t xml:space="preserve"> </w:t>
      </w:r>
      <w:r w:rsidRPr="00816056">
        <w:rPr>
          <w:rFonts w:cs="Arial"/>
          <w:rtl/>
        </w:rPr>
        <w:t>מאי למקום שאמה? שמעת מינה, בת אצל האם, לא שנא גדולה ולא שנא קטנה.</w:t>
      </w:r>
    </w:p>
    <w:p w14:paraId="08DFC1AE" w14:textId="77777777" w:rsidR="002E5BAD" w:rsidRDefault="002E5BAD" w:rsidP="002E5BAD">
      <w:pPr>
        <w:rPr>
          <w:u w:val="single"/>
          <w:rtl/>
        </w:rPr>
      </w:pPr>
      <w:r w:rsidRPr="00816056">
        <w:rPr>
          <w:rFonts w:hint="cs"/>
          <w:u w:val="single"/>
          <w:rtl/>
        </w:rPr>
        <w:t>ברשות מי הילד לאחר שנגמל:</w:t>
      </w:r>
    </w:p>
    <w:p w14:paraId="0B15F61F" w14:textId="77777777" w:rsidR="002E5BAD" w:rsidRDefault="002E5BAD" w:rsidP="002E5BAD">
      <w:pPr>
        <w:pStyle w:val="ab"/>
        <w:numPr>
          <w:ilvl w:val="0"/>
          <w:numId w:val="178"/>
        </w:numPr>
      </w:pPr>
      <w:r>
        <w:rPr>
          <w:rFonts w:cs="Arial" w:hint="cs"/>
          <w:rtl/>
        </w:rPr>
        <w:t xml:space="preserve">רא"ש </w:t>
      </w:r>
      <w:r>
        <w:rPr>
          <w:rFonts w:cs="Arial" w:hint="cs"/>
          <w:sz w:val="16"/>
          <w:szCs w:val="16"/>
          <w:rtl/>
        </w:rPr>
        <w:t>(פי"ב סי' ד)</w:t>
      </w:r>
      <w:r>
        <w:rPr>
          <w:rFonts w:cs="Arial" w:hint="cs"/>
          <w:rtl/>
        </w:rPr>
        <w:t xml:space="preserve"> וטור- </w:t>
      </w:r>
      <w:r w:rsidRPr="005D40EA">
        <w:rPr>
          <w:rFonts w:cs="Arial"/>
          <w:rtl/>
        </w:rPr>
        <w:t>לאחר שיגמל הנער י</w:t>
      </w:r>
      <w:r>
        <w:rPr>
          <w:rFonts w:cs="Arial" w:hint="cs"/>
          <w:rtl/>
        </w:rPr>
        <w:t xml:space="preserve">ש </w:t>
      </w:r>
      <w:r w:rsidRPr="005D40EA">
        <w:rPr>
          <w:rFonts w:cs="Arial"/>
          <w:rtl/>
        </w:rPr>
        <w:t>א</w:t>
      </w:r>
      <w:r>
        <w:rPr>
          <w:rFonts w:cs="Arial" w:hint="cs"/>
          <w:rtl/>
        </w:rPr>
        <w:t>ומרים</w:t>
      </w:r>
      <w:r w:rsidRPr="005D40EA">
        <w:rPr>
          <w:rFonts w:cs="Arial"/>
          <w:rtl/>
        </w:rPr>
        <w:t xml:space="preserve"> שברשות האב אם</w:t>
      </w:r>
      <w:r>
        <w:rPr>
          <w:rFonts w:cs="Arial" w:hint="cs"/>
          <w:rtl/>
        </w:rPr>
        <w:t>,</w:t>
      </w:r>
      <w:r w:rsidRPr="001941C7">
        <w:rPr>
          <w:rFonts w:cs="Arial"/>
          <w:rtl/>
        </w:rPr>
        <w:t xml:space="preserve"> אם ירצה יקחנו אצלו ואם ירצה יניחנו עמה</w:t>
      </w:r>
      <w:r>
        <w:rPr>
          <w:rFonts w:cs="Arial" w:hint="cs"/>
          <w:rtl/>
        </w:rPr>
        <w:t>,</w:t>
      </w:r>
      <w:r w:rsidRPr="001941C7">
        <w:rPr>
          <w:rFonts w:cs="Arial"/>
          <w:rtl/>
        </w:rPr>
        <w:t xml:space="preserve"> דהא דאמרי' בת אצל האם </w:t>
      </w:r>
      <w:r>
        <w:rPr>
          <w:rFonts w:cs="Arial" w:hint="cs"/>
          <w:rtl/>
        </w:rPr>
        <w:t xml:space="preserve">- </w:t>
      </w:r>
      <w:r w:rsidRPr="001941C7">
        <w:rPr>
          <w:rFonts w:cs="Arial"/>
          <w:rtl/>
        </w:rPr>
        <w:t>היינו דוקא באלמנה לא שבקינן לה בהדי קרובי אביה שראויין ליורשה</w:t>
      </w:r>
      <w:r>
        <w:rPr>
          <w:rFonts w:cs="Arial" w:hint="cs"/>
          <w:rtl/>
        </w:rPr>
        <w:t>,</w:t>
      </w:r>
      <w:r w:rsidRPr="001941C7">
        <w:rPr>
          <w:rFonts w:cs="Arial"/>
          <w:rtl/>
        </w:rPr>
        <w:t xml:space="preserve"> א</w:t>
      </w:r>
      <w:r>
        <w:rPr>
          <w:rFonts w:cs="Arial" w:hint="cs"/>
          <w:rtl/>
        </w:rPr>
        <w:t>ב</w:t>
      </w:r>
      <w:r w:rsidRPr="001941C7">
        <w:rPr>
          <w:rFonts w:cs="Arial"/>
          <w:rtl/>
        </w:rPr>
        <w:t>ל בגרושה שבקינן לה אצל אביה</w:t>
      </w:r>
      <w:r>
        <w:rPr>
          <w:rFonts w:cs="Arial" w:hint="cs"/>
          <w:sz w:val="16"/>
          <w:szCs w:val="16"/>
          <w:rtl/>
        </w:rPr>
        <w:t xml:space="preserve"> (ל' הטור)</w:t>
      </w:r>
      <w:r>
        <w:rPr>
          <w:rFonts w:cs="Arial" w:hint="cs"/>
          <w:rtl/>
        </w:rPr>
        <w:t xml:space="preserve">. </w:t>
      </w:r>
      <w:r w:rsidRPr="005D40EA">
        <w:rPr>
          <w:rFonts w:cs="Arial"/>
          <w:rtl/>
        </w:rPr>
        <w:t>וה"ר מאיר הלוי ז"ל כתב שראה בתשובת הגאונים דה"ה בגרושה והביא ראיה ממתני' דהנושא את האשה סתמא קתני ומשמע בין גרושה בין אלמנה ועלה קתני למקום שהיא אמה לאשמועי' דהבת אצל האם אפילו בבת גרושה נמי</w:t>
      </w:r>
      <w:r w:rsidRPr="005D40EA">
        <w:rPr>
          <w:rFonts w:cs="Arial" w:hint="cs"/>
          <w:sz w:val="16"/>
          <w:szCs w:val="16"/>
          <w:rtl/>
        </w:rPr>
        <w:t xml:space="preserve"> (ל' הרא"ש</w:t>
      </w:r>
      <w:r>
        <w:rPr>
          <w:rStyle w:val="a7"/>
          <w:rFonts w:cs="Arial"/>
          <w:sz w:val="16"/>
          <w:szCs w:val="16"/>
          <w:rtl/>
        </w:rPr>
        <w:footnoteReference w:id="1555"/>
      </w:r>
      <w:r w:rsidRPr="005D40EA">
        <w:rPr>
          <w:rFonts w:cs="Arial" w:hint="cs"/>
          <w:sz w:val="16"/>
          <w:szCs w:val="16"/>
          <w:rtl/>
        </w:rPr>
        <w:t>)</w:t>
      </w:r>
      <w:r>
        <w:rPr>
          <w:rFonts w:hint="cs"/>
          <w:rtl/>
        </w:rPr>
        <w:t>.</w:t>
      </w:r>
    </w:p>
    <w:p w14:paraId="648FC8CB" w14:textId="77777777" w:rsidR="002E5BAD" w:rsidRDefault="002E5BAD" w:rsidP="002E5BAD">
      <w:pPr>
        <w:pStyle w:val="ab"/>
        <w:numPr>
          <w:ilvl w:val="0"/>
          <w:numId w:val="178"/>
        </w:numPr>
        <w:rPr>
          <w:rFonts w:cs="Arial"/>
        </w:rPr>
      </w:pPr>
      <w:r>
        <w:rPr>
          <w:rFonts w:cs="Arial" w:hint="cs"/>
          <w:rtl/>
        </w:rPr>
        <w:t xml:space="preserve">רמב"ם </w:t>
      </w:r>
      <w:r>
        <w:rPr>
          <w:rFonts w:cs="Arial" w:hint="cs"/>
          <w:sz w:val="16"/>
          <w:szCs w:val="16"/>
          <w:rtl/>
        </w:rPr>
        <w:t>(פכ"א הי"ז-יח)</w:t>
      </w:r>
      <w:r>
        <w:rPr>
          <w:rFonts w:cs="Arial" w:hint="cs"/>
          <w:rtl/>
        </w:rPr>
        <w:t xml:space="preserve">- </w:t>
      </w:r>
      <w:r w:rsidRPr="00F60D6E">
        <w:rPr>
          <w:rFonts w:cs="Arial"/>
          <w:rtl/>
        </w:rPr>
        <w:t>שלמו חדשיו</w:t>
      </w:r>
      <w:r>
        <w:rPr>
          <w:rStyle w:val="a7"/>
          <w:rFonts w:cs="Arial"/>
          <w:rtl/>
        </w:rPr>
        <w:footnoteReference w:id="1556"/>
      </w:r>
      <w:r w:rsidRPr="00F60D6E">
        <w:rPr>
          <w:rFonts w:cs="Arial"/>
          <w:rtl/>
        </w:rPr>
        <w:t xml:space="preserve"> וגמלתו</w:t>
      </w:r>
      <w:r>
        <w:rPr>
          <w:rFonts w:cs="Arial" w:hint="cs"/>
          <w:rtl/>
        </w:rPr>
        <w:t>,</w:t>
      </w:r>
      <w:r w:rsidRPr="00F60D6E">
        <w:rPr>
          <w:rFonts w:cs="Arial"/>
          <w:rtl/>
        </w:rPr>
        <w:t xml:space="preserve"> אם רצת המגורשת שיהיה בנה אצלה אין מפרישין אותו ממנה עד שיהיה בן שש שנים גמורות</w:t>
      </w:r>
      <w:r>
        <w:rPr>
          <w:rStyle w:val="a7"/>
          <w:rFonts w:cs="Arial"/>
          <w:rtl/>
        </w:rPr>
        <w:footnoteReference w:id="1557"/>
      </w:r>
      <w:r>
        <w:rPr>
          <w:rFonts w:cs="Arial" w:hint="cs"/>
          <w:rtl/>
        </w:rPr>
        <w:t>,</w:t>
      </w:r>
      <w:r w:rsidRPr="00F60D6E">
        <w:rPr>
          <w:rFonts w:cs="Arial"/>
          <w:rtl/>
        </w:rPr>
        <w:t xml:space="preserve"> אלא כופין את אביו ונותן לו מזונות והוא אצל אמו</w:t>
      </w:r>
      <w:r>
        <w:rPr>
          <w:rStyle w:val="a7"/>
          <w:rFonts w:cs="Arial"/>
          <w:rtl/>
        </w:rPr>
        <w:footnoteReference w:id="1558"/>
      </w:r>
      <w:r w:rsidRPr="00F60D6E">
        <w:rPr>
          <w:rFonts w:cs="Arial"/>
          <w:rtl/>
        </w:rPr>
        <w:t xml:space="preserve">, ואחר שש שנים יש לאב לומר </w:t>
      </w:r>
      <w:r>
        <w:rPr>
          <w:rFonts w:cs="Arial" w:hint="cs"/>
          <w:rtl/>
        </w:rPr>
        <w:t>'</w:t>
      </w:r>
      <w:r w:rsidRPr="00F60D6E">
        <w:rPr>
          <w:rFonts w:cs="Arial"/>
          <w:rtl/>
        </w:rPr>
        <w:t>אם הוא אצלי אתן לו מזונות ואם הוא אצל אמו איני נותן לו כלום</w:t>
      </w:r>
      <w:r>
        <w:rPr>
          <w:rFonts w:cs="Arial" w:hint="cs"/>
          <w:rtl/>
        </w:rPr>
        <w:t>'.</w:t>
      </w:r>
      <w:r w:rsidRPr="00F60D6E">
        <w:rPr>
          <w:rFonts w:cs="Arial"/>
          <w:rtl/>
        </w:rPr>
        <w:t xml:space="preserve"> והבת אצל אמה לעולם ואפילו לאחר שש. </w:t>
      </w:r>
      <w:r w:rsidRPr="00200ED0">
        <w:rPr>
          <w:rFonts w:cs="Arial"/>
          <w:rtl/>
        </w:rPr>
        <w:t>כיצד</w:t>
      </w:r>
      <w:r>
        <w:rPr>
          <w:rFonts w:cs="Arial" w:hint="cs"/>
          <w:rtl/>
        </w:rPr>
        <w:t>,</w:t>
      </w:r>
      <w:r w:rsidRPr="00200ED0">
        <w:rPr>
          <w:rFonts w:cs="Arial"/>
          <w:rtl/>
        </w:rPr>
        <w:t xml:space="preserve"> היה האב ראוי לצדקה</w:t>
      </w:r>
      <w:r>
        <w:rPr>
          <w:rFonts w:cs="Arial" w:hint="cs"/>
          <w:rtl/>
        </w:rPr>
        <w:t>,</w:t>
      </w:r>
      <w:r w:rsidRPr="00200ED0">
        <w:rPr>
          <w:rFonts w:cs="Arial"/>
          <w:rtl/>
        </w:rPr>
        <w:t xml:space="preserve"> מוציאין ממנו הראוי לו בעל כרחו וזנין אותה והיא אצל אמה</w:t>
      </w:r>
      <w:r>
        <w:rPr>
          <w:rFonts w:cs="Arial" w:hint="cs"/>
          <w:rtl/>
        </w:rPr>
        <w:t>.</w:t>
      </w:r>
      <w:r w:rsidRPr="00200ED0">
        <w:rPr>
          <w:rFonts w:cs="Arial"/>
          <w:rtl/>
        </w:rPr>
        <w:t xml:space="preserve"> ואפילו נשאת האם לאחר</w:t>
      </w:r>
      <w:r>
        <w:rPr>
          <w:rFonts w:cs="Arial" w:hint="cs"/>
          <w:rtl/>
        </w:rPr>
        <w:t>,</w:t>
      </w:r>
      <w:r w:rsidRPr="00200ED0">
        <w:rPr>
          <w:rFonts w:cs="Arial"/>
          <w:rtl/>
        </w:rPr>
        <w:t xml:space="preserve"> בתה אצלה</w:t>
      </w:r>
      <w:r>
        <w:rPr>
          <w:rFonts w:cs="Arial" w:hint="cs"/>
          <w:rtl/>
        </w:rPr>
        <w:t>,</w:t>
      </w:r>
      <w:r w:rsidRPr="00200ED0">
        <w:rPr>
          <w:rFonts w:cs="Arial"/>
          <w:rtl/>
        </w:rPr>
        <w:t xml:space="preserve"> ואביה זן אותה משום צדקה עד שימות האב ותזון מנכסיו אחר מותו בתנאי כתובה והיא אצל אמה</w:t>
      </w:r>
      <w:r>
        <w:rPr>
          <w:rFonts w:cs="Arial" w:hint="cs"/>
          <w:rtl/>
        </w:rPr>
        <w:t>.</w:t>
      </w:r>
      <w:r w:rsidRPr="00200ED0">
        <w:rPr>
          <w:rFonts w:cs="Arial"/>
          <w:rtl/>
        </w:rPr>
        <w:t xml:space="preserve"> </w:t>
      </w:r>
      <w:r w:rsidRPr="007B430E">
        <w:rPr>
          <w:rFonts w:hint="cs"/>
          <w:color w:val="E36C0A" w:themeColor="accent6" w:themeShade="BF"/>
          <w:rtl/>
        </w:rPr>
        <w:t>(וכ"פ בשו"ע)</w:t>
      </w:r>
    </w:p>
    <w:p w14:paraId="7B170329" w14:textId="77777777" w:rsidR="002E5BAD" w:rsidRPr="0054244A" w:rsidRDefault="002E5BAD" w:rsidP="002E5BAD">
      <w:pPr>
        <w:rPr>
          <w:rFonts w:cs="Arial"/>
          <w:u w:val="single"/>
          <w:rtl/>
        </w:rPr>
      </w:pPr>
      <w:r w:rsidRPr="0054244A">
        <w:rPr>
          <w:rFonts w:cs="Arial" w:hint="cs"/>
          <w:u w:val="single"/>
          <w:rtl/>
        </w:rPr>
        <w:t>אלמנה שיש לה בנים ובנות, והיא רוצה שהם יהיו אצלה</w:t>
      </w:r>
      <w:r>
        <w:rPr>
          <w:rFonts w:cs="Arial" w:hint="cs"/>
          <w:u w:val="single"/>
          <w:rtl/>
        </w:rPr>
        <w:t>,</w:t>
      </w:r>
      <w:r w:rsidRPr="0054244A">
        <w:rPr>
          <w:rFonts w:cs="Arial" w:hint="cs"/>
          <w:u w:val="single"/>
          <w:rtl/>
        </w:rPr>
        <w:t xml:space="preserve"> והאפוטרופסים רוצים שיבואו אצלם:</w:t>
      </w:r>
    </w:p>
    <w:p w14:paraId="3CE13FEB" w14:textId="77777777" w:rsidR="002E5BAD" w:rsidRPr="0054244A" w:rsidRDefault="002E5BAD" w:rsidP="002E5BAD">
      <w:pPr>
        <w:pStyle w:val="ab"/>
        <w:numPr>
          <w:ilvl w:val="0"/>
          <w:numId w:val="179"/>
        </w:numPr>
        <w:rPr>
          <w:rFonts w:cs="Arial"/>
          <w:rtl/>
        </w:rPr>
      </w:pPr>
      <w:r w:rsidRPr="0054244A">
        <w:rPr>
          <w:rFonts w:cs="Arial" w:hint="cs"/>
          <w:rtl/>
        </w:rPr>
        <w:t>רשב"א</w:t>
      </w:r>
      <w:r w:rsidRPr="0054244A">
        <w:rPr>
          <w:rFonts w:cs="Arial"/>
          <w:rtl/>
        </w:rPr>
        <w:t xml:space="preserve"> </w:t>
      </w:r>
      <w:r w:rsidRPr="0054244A">
        <w:rPr>
          <w:rFonts w:cs="Arial"/>
          <w:sz w:val="16"/>
          <w:szCs w:val="16"/>
          <w:rtl/>
        </w:rPr>
        <w:t>(במיוחסות סי</w:t>
      </w:r>
      <w:r w:rsidRPr="0054244A">
        <w:rPr>
          <w:rFonts w:cs="Arial" w:hint="cs"/>
          <w:sz w:val="16"/>
          <w:szCs w:val="16"/>
          <w:rtl/>
        </w:rPr>
        <w:t>'</w:t>
      </w:r>
      <w:r w:rsidRPr="0054244A">
        <w:rPr>
          <w:rFonts w:cs="Arial"/>
          <w:sz w:val="16"/>
          <w:szCs w:val="16"/>
          <w:rtl/>
        </w:rPr>
        <w:t xml:space="preserve"> לח</w:t>
      </w:r>
      <w:r w:rsidRPr="0054244A">
        <w:rPr>
          <w:rFonts w:cs="Arial" w:hint="cs"/>
          <w:sz w:val="16"/>
          <w:szCs w:val="16"/>
          <w:rtl/>
        </w:rPr>
        <w:t>)</w:t>
      </w:r>
      <w:r w:rsidRPr="0054244A">
        <w:rPr>
          <w:rFonts w:cs="Arial" w:hint="cs"/>
          <w:rtl/>
        </w:rPr>
        <w:t>-</w:t>
      </w:r>
      <w:r w:rsidRPr="0054244A">
        <w:rPr>
          <w:rFonts w:cs="Arial"/>
          <w:rtl/>
        </w:rPr>
        <w:t xml:space="preserve"> שאלה ראובן שמת והניח בנים והאלמנה תובעת מן האפוטרופסים מזונות מחמת היתומים בניה. והאפוטרופוסים אומרים יבואו היתומים אצלנו ונפרנס השנים מהם משלנו. והאחרים נקל עליהם מן ההוצאה. והאלמנה אומרת איני רוצה שיהיו בני אצל אחרים אלא אצלי. ואף על פי שהאפוטרופסים קרובים הם ואינם ראויים לירש. הדין עם מי</w:t>
      </w:r>
      <w:r w:rsidRPr="0054244A">
        <w:rPr>
          <w:rFonts w:cs="Arial" w:hint="cs"/>
          <w:rtl/>
        </w:rPr>
        <w:t xml:space="preserve">. </w:t>
      </w:r>
      <w:r w:rsidRPr="0054244A">
        <w:rPr>
          <w:rFonts w:cs="Arial"/>
          <w:rtl/>
        </w:rPr>
        <w:t>תשובה</w:t>
      </w:r>
      <w:r w:rsidRPr="0054244A">
        <w:rPr>
          <w:rFonts w:cs="Arial" w:hint="cs"/>
          <w:rtl/>
        </w:rPr>
        <w:t>-</w:t>
      </w:r>
      <w:r w:rsidRPr="0054244A">
        <w:rPr>
          <w:rFonts w:cs="Arial"/>
          <w:rtl/>
        </w:rPr>
        <w:t xml:space="preserve"> הבת לעולם אצל האם ואפילו נשאת האם לא שנא גדולה או קטנה כדאיתא פרק הנושא (קב:). והטעם כדי שתרגיל האם לבת ותלמדה דרך נשים ושלא תרגיל עצמה בפריצות. אבל הבן יותר ראוי להיות אצל האנשים הקרובים. שהם ירגילוהו וילמדוהו דרך הלמוד. ודרך אנשים יותר מן האם. שבני האלמנה דרכם דרך זר. ולא אמרו שלא יהא הבן אצל קרוב אלא בעודו קטן ואצל </w:t>
      </w:r>
      <w:r w:rsidRPr="0054244A">
        <w:rPr>
          <w:rFonts w:cs="Arial"/>
          <w:rtl/>
        </w:rPr>
        <w:lastRenderedPageBreak/>
        <w:t>מי שראוי ליורשו ומשום מעשה שהיה. וכדתניא ריש פרק הנושא (קב</w:t>
      </w:r>
      <w:r w:rsidRPr="0054244A">
        <w:rPr>
          <w:rFonts w:cs="Arial" w:hint="cs"/>
          <w:rtl/>
        </w:rPr>
        <w:t>.</w:t>
      </w:r>
      <w:r w:rsidRPr="0054244A">
        <w:rPr>
          <w:rFonts w:cs="Arial"/>
          <w:rtl/>
        </w:rPr>
        <w:t>) מי שמת והניח בן קטן לאמו יורשי האב אומרים יהא גדל אצלנו ואמו אומרת יהא גדל אצלי. אין מניחים אותו אצל מי שראוי ליורשו. מעשה היה ושחטוהו ער</w:t>
      </w:r>
      <w:r>
        <w:rPr>
          <w:rFonts w:cs="Arial" w:hint="cs"/>
          <w:rtl/>
        </w:rPr>
        <w:t>"פ</w:t>
      </w:r>
      <w:r w:rsidRPr="0054244A">
        <w:rPr>
          <w:rFonts w:cs="Arial"/>
          <w:rtl/>
        </w:rPr>
        <w:t>. אלמא דוקא קטן ואצל מי שראוי ליורשו. הא כל שאין קטן שאין בו חשש רציחה וא"נ קטן אצל קרוב שאינו ראוי ליורשו מניחים אותו אצל הקרובים ולא אצל האם. ולעולם צריך לדקדק בכלל לדברים אלו אחר מה שיראה בעיני ב"ד בכל מקום ומקום שיש בו יותר תיקון ליתומים. שב"ד אביהם של יתומים לחזור אחר תקונן</w:t>
      </w:r>
      <w:r w:rsidRPr="0054244A">
        <w:rPr>
          <w:rFonts w:cs="Arial" w:hint="cs"/>
          <w:rtl/>
        </w:rPr>
        <w:t>.</w:t>
      </w:r>
    </w:p>
    <w:p w14:paraId="285DF64F" w14:textId="77777777" w:rsidR="002E5BAD" w:rsidRPr="00685AED" w:rsidRDefault="002E5BAD" w:rsidP="002E5BAD">
      <w:pPr>
        <w:rPr>
          <w:u w:val="single"/>
          <w:rtl/>
        </w:rPr>
      </w:pPr>
      <w:r w:rsidRPr="00685AED">
        <w:rPr>
          <w:rFonts w:cs="Arial"/>
          <w:u w:val="single"/>
          <w:rtl/>
        </w:rPr>
        <w:t>תינוק שמתה אמו</w:t>
      </w:r>
      <w:r>
        <w:rPr>
          <w:rFonts w:cs="Arial" w:hint="cs"/>
          <w:u w:val="single"/>
          <w:rtl/>
        </w:rPr>
        <w:t>,</w:t>
      </w:r>
      <w:r w:rsidRPr="00685AED">
        <w:rPr>
          <w:rFonts w:cs="Arial"/>
          <w:u w:val="single"/>
          <w:rtl/>
        </w:rPr>
        <w:t xml:space="preserve"> ורוצה אם אמו לגדלו ולשכור לו מניקת</w:t>
      </w:r>
      <w:r>
        <w:rPr>
          <w:rFonts w:cs="Arial" w:hint="cs"/>
          <w:u w:val="single"/>
          <w:rtl/>
        </w:rPr>
        <w:t>,</w:t>
      </w:r>
      <w:r w:rsidRPr="00685AED">
        <w:rPr>
          <w:rFonts w:cs="Arial"/>
          <w:u w:val="single"/>
          <w:rtl/>
        </w:rPr>
        <w:t xml:space="preserve"> ואביו אינו רוצה</w:t>
      </w:r>
      <w:r w:rsidRPr="00685AED">
        <w:rPr>
          <w:rFonts w:hint="cs"/>
          <w:u w:val="single"/>
          <w:rtl/>
        </w:rPr>
        <w:t>:</w:t>
      </w:r>
    </w:p>
    <w:p w14:paraId="37BF09AB" w14:textId="77777777" w:rsidR="002E5BAD" w:rsidRPr="00685AED" w:rsidRDefault="002E5BAD" w:rsidP="002E5BAD">
      <w:pPr>
        <w:pStyle w:val="ab"/>
        <w:numPr>
          <w:ilvl w:val="0"/>
          <w:numId w:val="178"/>
        </w:numPr>
        <w:rPr>
          <w:rtl/>
        </w:rPr>
      </w:pPr>
      <w:r w:rsidRPr="00C83ED4">
        <w:rPr>
          <w:rFonts w:cs="Arial"/>
          <w:rtl/>
        </w:rPr>
        <w:t xml:space="preserve">תשב"ץ </w:t>
      </w:r>
      <w:r w:rsidRPr="00C83ED4">
        <w:rPr>
          <w:rFonts w:cs="Arial" w:hint="cs"/>
          <w:sz w:val="16"/>
          <w:szCs w:val="16"/>
          <w:rtl/>
        </w:rPr>
        <w:t>(</w:t>
      </w:r>
      <w:r w:rsidRPr="00C83ED4">
        <w:rPr>
          <w:rFonts w:cs="Arial"/>
          <w:sz w:val="16"/>
          <w:szCs w:val="16"/>
          <w:rtl/>
        </w:rPr>
        <w:t>ח"א סי' מ)</w:t>
      </w:r>
      <w:r w:rsidRPr="00C83ED4">
        <w:rPr>
          <w:rFonts w:cs="Arial" w:hint="cs"/>
          <w:rtl/>
        </w:rPr>
        <w:t>-</w:t>
      </w:r>
      <w:r w:rsidRPr="00C83ED4">
        <w:rPr>
          <w:rFonts w:cs="Arial"/>
          <w:rtl/>
        </w:rPr>
        <w:t xml:space="preserve"> על תינוק שמתה אמו ורוצה אם אמו לגדלו ולשכור לו מניקת ואביו אינו רוצה </w:t>
      </w:r>
      <w:r>
        <w:rPr>
          <w:rFonts w:cs="Arial" w:hint="cs"/>
          <w:rtl/>
        </w:rPr>
        <w:t xml:space="preserve">- </w:t>
      </w:r>
      <w:r w:rsidRPr="00C83ED4">
        <w:rPr>
          <w:rFonts w:cs="Arial"/>
          <w:rtl/>
        </w:rPr>
        <w:t>הדין עם האב</w:t>
      </w:r>
      <w:r>
        <w:rPr>
          <w:rFonts w:cs="Arial" w:hint="cs"/>
          <w:rtl/>
        </w:rPr>
        <w:t>.</w:t>
      </w:r>
      <w:r w:rsidRPr="00685AED">
        <w:rPr>
          <w:rFonts w:cs="Arial" w:hint="cs"/>
          <w:color w:val="00B0F0"/>
          <w:rtl/>
        </w:rPr>
        <w:t xml:space="preserve"> </w:t>
      </w:r>
      <w:r w:rsidRPr="00BA354F">
        <w:rPr>
          <w:rFonts w:cs="Arial" w:hint="cs"/>
          <w:color w:val="00B0F0"/>
          <w:rtl/>
        </w:rPr>
        <w:t>(וכ"פ הרמ"א)</w:t>
      </w:r>
    </w:p>
    <w:p w14:paraId="36E2BE36" w14:textId="77777777" w:rsidR="002E5BAD" w:rsidRDefault="002E5BAD" w:rsidP="002E5BAD">
      <w:pPr>
        <w:rPr>
          <w:rFonts w:cs="Arial"/>
          <w:rtl/>
        </w:rPr>
      </w:pPr>
      <w:r w:rsidRPr="00C64B72">
        <w:rPr>
          <w:rFonts w:cs="Arial" w:hint="cs"/>
          <w:u w:val="single"/>
          <w:rtl/>
        </w:rPr>
        <w:t>בית דין שנראה להם שיהיה טוב יותר לבת להיות אצל אחיה ולא אצל אמה:</w:t>
      </w:r>
      <w:r>
        <w:rPr>
          <w:rFonts w:cs="Arial" w:hint="cs"/>
          <w:rtl/>
        </w:rPr>
        <w:t xml:space="preserve"> </w:t>
      </w:r>
      <w:r w:rsidRPr="00C64B72">
        <w:rPr>
          <w:rFonts w:cs="Arial"/>
          <w:sz w:val="16"/>
          <w:szCs w:val="16"/>
          <w:rtl/>
        </w:rPr>
        <w:t>(</w:t>
      </w:r>
      <w:r w:rsidRPr="00C64B72">
        <w:rPr>
          <w:rFonts w:cs="Arial" w:hint="cs"/>
          <w:sz w:val="16"/>
          <w:szCs w:val="16"/>
          <w:rtl/>
        </w:rPr>
        <w:t xml:space="preserve">דרכ"מ אות </w:t>
      </w:r>
      <w:r w:rsidRPr="00C64B72">
        <w:rPr>
          <w:rFonts w:cs="Arial"/>
          <w:sz w:val="16"/>
          <w:szCs w:val="16"/>
          <w:rtl/>
        </w:rPr>
        <w:t>ב)</w:t>
      </w:r>
    </w:p>
    <w:p w14:paraId="33A7F655" w14:textId="77777777" w:rsidR="002E5BAD" w:rsidRPr="00C64B72" w:rsidRDefault="002E5BAD" w:rsidP="002E5BAD">
      <w:pPr>
        <w:pStyle w:val="ab"/>
        <w:numPr>
          <w:ilvl w:val="0"/>
          <w:numId w:val="180"/>
        </w:numPr>
        <w:rPr>
          <w:rFonts w:cs="Arial"/>
          <w:rtl/>
        </w:rPr>
      </w:pPr>
      <w:r w:rsidRPr="00C64B72">
        <w:rPr>
          <w:rFonts w:cs="Arial"/>
          <w:rtl/>
        </w:rPr>
        <w:t xml:space="preserve">מהר"ם פאדו"ה </w:t>
      </w:r>
      <w:r w:rsidRPr="00C64B72">
        <w:rPr>
          <w:rFonts w:cs="Arial" w:hint="cs"/>
          <w:sz w:val="16"/>
          <w:szCs w:val="16"/>
          <w:rtl/>
        </w:rPr>
        <w:t>(</w:t>
      </w:r>
      <w:r w:rsidRPr="00C64B72">
        <w:rPr>
          <w:rFonts w:cs="Arial"/>
          <w:sz w:val="16"/>
          <w:szCs w:val="16"/>
          <w:rtl/>
        </w:rPr>
        <w:t>סי</w:t>
      </w:r>
      <w:r w:rsidRPr="00C64B72">
        <w:rPr>
          <w:rFonts w:cs="Arial" w:hint="cs"/>
          <w:sz w:val="16"/>
          <w:szCs w:val="16"/>
          <w:rtl/>
        </w:rPr>
        <w:t>'</w:t>
      </w:r>
      <w:r w:rsidRPr="00C64B72">
        <w:rPr>
          <w:rFonts w:cs="Arial"/>
          <w:sz w:val="16"/>
          <w:szCs w:val="16"/>
          <w:rtl/>
        </w:rPr>
        <w:t xml:space="preserve"> נג</w:t>
      </w:r>
      <w:r w:rsidRPr="00C64B72">
        <w:rPr>
          <w:rFonts w:cs="Arial" w:hint="cs"/>
          <w:sz w:val="16"/>
          <w:szCs w:val="16"/>
          <w:rtl/>
        </w:rPr>
        <w:t>)</w:t>
      </w:r>
      <w:r w:rsidRPr="00C64B72">
        <w:rPr>
          <w:rFonts w:cs="Arial" w:hint="cs"/>
          <w:rtl/>
        </w:rPr>
        <w:t>-</w:t>
      </w:r>
      <w:r w:rsidRPr="00C64B72">
        <w:rPr>
          <w:rFonts w:cs="Arial"/>
          <w:rtl/>
        </w:rPr>
        <w:t xml:space="preserve"> אף על גב דאמרינן הבת אצל האם לעולם היינו דוקא אם נראה לב"ד שטוב לה לשבת עם אמה אז צריכין אפילו יתומים ליתן לה מזונותיה אצל אמה</w:t>
      </w:r>
      <w:r w:rsidRPr="00C64B72">
        <w:rPr>
          <w:rFonts w:cs="Arial" w:hint="cs"/>
          <w:rtl/>
        </w:rPr>
        <w:t>,</w:t>
      </w:r>
      <w:r w:rsidRPr="00C64B72">
        <w:rPr>
          <w:rFonts w:cs="Arial"/>
          <w:rtl/>
        </w:rPr>
        <w:t xml:space="preserve"> אבל אם נראה שטוב לה יותר בבית אחיה אין אמה יכולה לכופן שתהיה עמה וכו'</w:t>
      </w:r>
      <w:r w:rsidRPr="00C64B72">
        <w:rPr>
          <w:rFonts w:cs="Arial" w:hint="cs"/>
          <w:rtl/>
        </w:rPr>
        <w:t>.</w:t>
      </w:r>
      <w:r w:rsidRPr="00685AED">
        <w:rPr>
          <w:rFonts w:cs="Arial" w:hint="cs"/>
          <w:color w:val="00B0F0"/>
          <w:rtl/>
        </w:rPr>
        <w:t xml:space="preserve"> </w:t>
      </w:r>
      <w:r w:rsidRPr="00BA354F">
        <w:rPr>
          <w:rFonts w:cs="Arial" w:hint="cs"/>
          <w:color w:val="00B0F0"/>
          <w:rtl/>
        </w:rPr>
        <w:t>(וכ"פ הרמ"א)</w:t>
      </w:r>
    </w:p>
    <w:p w14:paraId="4DA1F71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9920460" w14:textId="77777777" w:rsidR="002E5BAD" w:rsidRDefault="002E5BAD" w:rsidP="002E5BAD">
      <w:pPr>
        <w:rPr>
          <w:rtl/>
        </w:rPr>
      </w:pPr>
      <w:r>
        <w:rPr>
          <w:rFonts w:cs="Arial"/>
          <w:rtl/>
        </w:rPr>
        <w:t>שלמו חדשיו וגמלתו, אם רצתה המגורשת שיהיה בנה אצלה, אין מפרישין אותו ממנה</w:t>
      </w:r>
      <w:r>
        <w:rPr>
          <w:rStyle w:val="a7"/>
          <w:rFonts w:cs="Arial"/>
          <w:rtl/>
        </w:rPr>
        <w:footnoteReference w:id="1559"/>
      </w:r>
      <w:r>
        <w:rPr>
          <w:rFonts w:cs="Arial"/>
          <w:rtl/>
        </w:rPr>
        <w:t xml:space="preserve"> עד שיהיה בן שש שנים גמורות, אלא כופין את אביו ונותן לו מזונות והוא אצל אמו</w:t>
      </w:r>
      <w:r>
        <w:rPr>
          <w:rFonts w:cs="Arial" w:hint="cs"/>
          <w:rtl/>
        </w:rPr>
        <w:t>.</w:t>
      </w:r>
      <w:r>
        <w:rPr>
          <w:rFonts w:cs="Arial"/>
          <w:rtl/>
        </w:rPr>
        <w:t xml:space="preserve"> ואחר </w:t>
      </w:r>
      <w:r>
        <w:rPr>
          <w:rFonts w:cs="Arial" w:hint="cs"/>
          <w:rtl/>
        </w:rPr>
        <w:t>שש</w:t>
      </w:r>
      <w:r>
        <w:rPr>
          <w:rFonts w:cs="Arial"/>
          <w:rtl/>
        </w:rPr>
        <w:t xml:space="preserve"> שנים יש לאב לומר: אם אינו אצלי לא אתן לו מזונות</w:t>
      </w:r>
      <w:r>
        <w:rPr>
          <w:rStyle w:val="a7"/>
          <w:rFonts w:cs="Arial"/>
          <w:rtl/>
        </w:rPr>
        <w:footnoteReference w:id="1560"/>
      </w:r>
      <w:r>
        <w:rPr>
          <w:rFonts w:cs="Arial"/>
          <w:rtl/>
        </w:rPr>
        <w:t>. והבת אצל אמה</w:t>
      </w:r>
      <w:r>
        <w:rPr>
          <w:rStyle w:val="a7"/>
          <w:rFonts w:cs="Arial"/>
          <w:rtl/>
        </w:rPr>
        <w:footnoteReference w:id="1561"/>
      </w:r>
      <w:r>
        <w:rPr>
          <w:rFonts w:cs="Arial"/>
          <w:rtl/>
        </w:rPr>
        <w:t xml:space="preserve"> לעולם</w:t>
      </w:r>
      <w:r>
        <w:rPr>
          <w:rStyle w:val="a7"/>
          <w:rFonts w:cs="Arial"/>
          <w:rtl/>
        </w:rPr>
        <w:footnoteReference w:id="1562"/>
      </w:r>
      <w:r>
        <w:rPr>
          <w:rFonts w:cs="Arial"/>
          <w:rtl/>
        </w:rPr>
        <w:t xml:space="preserve">, ואפילו לאחר </w:t>
      </w:r>
      <w:r>
        <w:rPr>
          <w:rFonts w:cs="Arial" w:hint="cs"/>
          <w:rtl/>
        </w:rPr>
        <w:t>שש</w:t>
      </w:r>
      <w:r>
        <w:rPr>
          <w:rFonts w:cs="Arial"/>
          <w:rtl/>
        </w:rPr>
        <w:t>. כיצד, היה האב ראוי לצדקה, מוציאין ממנו הראוי לה בעל כרחו, וזנין אותה והיא אצל אמה</w:t>
      </w:r>
      <w:r>
        <w:rPr>
          <w:rFonts w:cs="Arial" w:hint="cs"/>
          <w:rtl/>
        </w:rPr>
        <w:t>.</w:t>
      </w:r>
      <w:r>
        <w:rPr>
          <w:rFonts w:cs="Arial"/>
          <w:rtl/>
        </w:rPr>
        <w:t xml:space="preserve"> ואפילו נשאת האם לאחר, בתה אצלה ואביה זן אותה משום צדקה, עד שימות האב ותיזון אח</w:t>
      </w:r>
      <w:r>
        <w:rPr>
          <w:rFonts w:cs="Arial" w:hint="cs"/>
          <w:rtl/>
        </w:rPr>
        <w:t xml:space="preserve">ר </w:t>
      </w:r>
      <w:r>
        <w:rPr>
          <w:rFonts w:cs="Arial"/>
          <w:rtl/>
        </w:rPr>
        <w:t>כ</w:t>
      </w:r>
      <w:r>
        <w:rPr>
          <w:rFonts w:cs="Arial" w:hint="cs"/>
          <w:rtl/>
        </w:rPr>
        <w:t>ך</w:t>
      </w:r>
      <w:r>
        <w:rPr>
          <w:rFonts w:cs="Arial"/>
          <w:rtl/>
        </w:rPr>
        <w:t xml:space="preserve"> מנכסיו בתנאי כתובתה והיא אצל אמה. </w:t>
      </w:r>
      <w:r w:rsidRPr="00782C6B">
        <w:rPr>
          <w:rFonts w:cs="Arial"/>
          <w:sz w:val="18"/>
          <w:szCs w:val="18"/>
          <w:rtl/>
        </w:rPr>
        <w:t>הגה: ודוקא שנראה לב"ד שטוב לבת להיות עם אמה, אבל אם נראה להם שטוב לה יותר לישב עם בית אביה, אין האם יכולה לכוף שתהיה עמה</w:t>
      </w:r>
      <w:r>
        <w:rPr>
          <w:rStyle w:val="a7"/>
          <w:rFonts w:cs="Arial"/>
          <w:sz w:val="18"/>
          <w:szCs w:val="18"/>
          <w:rtl/>
        </w:rPr>
        <w:footnoteReference w:id="1563"/>
      </w:r>
      <w:r w:rsidRPr="00782C6B">
        <w:rPr>
          <w:rFonts w:cs="Arial"/>
          <w:sz w:val="18"/>
          <w:szCs w:val="18"/>
          <w:rtl/>
        </w:rPr>
        <w:t xml:space="preserve"> (ר"מ פדוואה). מתה האם, אין אם אמה יכולה לכוף שיהיו הבנים עמה</w:t>
      </w:r>
      <w:r>
        <w:rPr>
          <w:rStyle w:val="a7"/>
          <w:rFonts w:cs="Arial"/>
          <w:sz w:val="18"/>
          <w:szCs w:val="18"/>
          <w:rtl/>
        </w:rPr>
        <w:footnoteReference w:id="1564"/>
      </w:r>
      <w:r w:rsidRPr="00782C6B">
        <w:rPr>
          <w:rFonts w:cs="Arial"/>
          <w:sz w:val="18"/>
          <w:szCs w:val="18"/>
          <w:rtl/>
        </w:rPr>
        <w:t xml:space="preserve"> </w:t>
      </w:r>
      <w:r>
        <w:rPr>
          <w:rFonts w:cs="Arial" w:hint="cs"/>
          <w:sz w:val="18"/>
          <w:szCs w:val="18"/>
          <w:rtl/>
        </w:rPr>
        <w:t>(</w:t>
      </w:r>
      <w:r w:rsidRPr="00782C6B">
        <w:rPr>
          <w:rFonts w:cs="Arial"/>
          <w:sz w:val="18"/>
          <w:szCs w:val="18"/>
          <w:rtl/>
        </w:rPr>
        <w:t>רשב"ץ).</w:t>
      </w:r>
      <w:r>
        <w:rPr>
          <w:rFonts w:cs="Arial"/>
          <w:rtl/>
        </w:rPr>
        <w:t xml:space="preserve"> </w:t>
      </w:r>
    </w:p>
    <w:p w14:paraId="51BEC5D8" w14:textId="77777777" w:rsidR="002E5BAD" w:rsidRPr="00E31FD6" w:rsidRDefault="002E5BAD" w:rsidP="002E5BAD">
      <w:pPr>
        <w:rPr>
          <w:sz w:val="16"/>
          <w:szCs w:val="16"/>
          <w:rtl/>
        </w:rPr>
      </w:pPr>
      <w:r w:rsidRPr="00E31FD6">
        <w:rPr>
          <w:rFonts w:hint="cs"/>
          <w:u w:val="single"/>
          <w:rtl/>
        </w:rPr>
        <w:t xml:space="preserve">בני זוג שהתגרשו וכל אחד גר בעיר אחרת </w:t>
      </w:r>
      <w:r w:rsidRPr="00E31FD6">
        <w:rPr>
          <w:u w:val="single"/>
          <w:rtl/>
        </w:rPr>
        <w:t>–</w:t>
      </w:r>
      <w:r w:rsidRPr="00E31FD6">
        <w:rPr>
          <w:rFonts w:hint="cs"/>
          <w:u w:val="single"/>
          <w:rtl/>
        </w:rPr>
        <w:t xml:space="preserve"> אצל מי יהיו הבנים כשהם פחות מגיל שש:</w:t>
      </w:r>
      <w:r>
        <w:rPr>
          <w:rFonts w:hint="cs"/>
          <w:sz w:val="16"/>
          <w:szCs w:val="16"/>
          <w:rtl/>
        </w:rPr>
        <w:t xml:space="preserve">   (פת"ש סק"ד)</w:t>
      </w:r>
    </w:p>
    <w:p w14:paraId="1EB8C9AF" w14:textId="77777777" w:rsidR="002E5BAD" w:rsidRDefault="002E5BAD" w:rsidP="002E5BAD">
      <w:pPr>
        <w:pStyle w:val="ab"/>
        <w:numPr>
          <w:ilvl w:val="0"/>
          <w:numId w:val="180"/>
        </w:numPr>
      </w:pPr>
      <w:r w:rsidRPr="00E31FD6">
        <w:rPr>
          <w:rFonts w:cs="Arial"/>
          <w:rtl/>
        </w:rPr>
        <w:lastRenderedPageBreak/>
        <w:t>נו"ב</w:t>
      </w:r>
      <w:r w:rsidRPr="00E31FD6">
        <w:rPr>
          <w:rFonts w:cs="Arial"/>
          <w:sz w:val="16"/>
          <w:szCs w:val="16"/>
          <w:rtl/>
        </w:rPr>
        <w:t xml:space="preserve"> </w:t>
      </w:r>
      <w:r w:rsidRPr="00E31FD6">
        <w:rPr>
          <w:rFonts w:cs="Arial" w:hint="cs"/>
          <w:sz w:val="16"/>
          <w:szCs w:val="16"/>
          <w:rtl/>
        </w:rPr>
        <w:t>(</w:t>
      </w:r>
      <w:r w:rsidRPr="00E31FD6">
        <w:rPr>
          <w:rFonts w:cs="Arial"/>
          <w:sz w:val="16"/>
          <w:szCs w:val="16"/>
          <w:rtl/>
        </w:rPr>
        <w:t>תניינא ס"ס פט</w:t>
      </w:r>
      <w:r w:rsidRPr="00E31FD6">
        <w:rPr>
          <w:rFonts w:cs="Arial" w:hint="cs"/>
          <w:sz w:val="16"/>
          <w:szCs w:val="16"/>
          <w:rtl/>
        </w:rPr>
        <w:t>)</w:t>
      </w:r>
      <w:r>
        <w:rPr>
          <w:rFonts w:cs="Arial" w:hint="cs"/>
          <w:rtl/>
        </w:rPr>
        <w:t>-</w:t>
      </w:r>
      <w:r w:rsidRPr="00E31FD6">
        <w:rPr>
          <w:rFonts w:cs="Arial"/>
          <w:rtl/>
        </w:rPr>
        <w:t xml:space="preserve"> הלכה למעשה שאם אחר הגירושין אין המגרש והמתגרשת בעיר אחת אז הדין שישאר הבן אצל האב אפילו פחות מבן שש כדי לחנכו וללמדו תורה</w:t>
      </w:r>
      <w:r>
        <w:rPr>
          <w:rStyle w:val="a7"/>
          <w:rFonts w:cs="Arial"/>
          <w:rtl/>
        </w:rPr>
        <w:footnoteReference w:id="1565"/>
      </w:r>
      <w:r>
        <w:rPr>
          <w:rFonts w:cs="Arial" w:hint="cs"/>
          <w:rtl/>
        </w:rPr>
        <w:t>.</w:t>
      </w:r>
    </w:p>
    <w:p w14:paraId="321E0CBA" w14:textId="77777777" w:rsidR="002E5BAD" w:rsidRPr="002A0D59" w:rsidRDefault="002E5BAD" w:rsidP="002E5BAD">
      <w:pPr>
        <w:rPr>
          <w:sz w:val="16"/>
          <w:szCs w:val="16"/>
        </w:rPr>
      </w:pPr>
      <w:r>
        <w:rPr>
          <w:rFonts w:hint="cs"/>
          <w:u w:val="single"/>
          <w:rtl/>
        </w:rPr>
        <w:t xml:space="preserve">מי שגרש את אשתו ויש לו בת ממנה, והיא אצלה, והתחילה האם לזנות </w:t>
      </w:r>
      <w:r>
        <w:rPr>
          <w:u w:val="single"/>
          <w:rtl/>
        </w:rPr>
        <w:t>–</w:t>
      </w:r>
      <w:r>
        <w:rPr>
          <w:rFonts w:hint="cs"/>
          <w:u w:val="single"/>
          <w:rtl/>
        </w:rPr>
        <w:t xml:space="preserve"> האם יכול להוציאה</w:t>
      </w:r>
      <w:r w:rsidRPr="002A0D59">
        <w:rPr>
          <w:rFonts w:hint="cs"/>
          <w:u w:val="single"/>
          <w:rtl/>
        </w:rPr>
        <w:t>:</w:t>
      </w:r>
      <w:r w:rsidRPr="002A0D59">
        <w:rPr>
          <w:rFonts w:hint="cs"/>
          <w:sz w:val="16"/>
          <w:szCs w:val="16"/>
          <w:rtl/>
        </w:rPr>
        <w:t xml:space="preserve">   (פת"ש סק"</w:t>
      </w:r>
      <w:r>
        <w:rPr>
          <w:rFonts w:hint="cs"/>
          <w:sz w:val="16"/>
          <w:szCs w:val="16"/>
          <w:rtl/>
        </w:rPr>
        <w:t>ו</w:t>
      </w:r>
      <w:r w:rsidRPr="002A0D59">
        <w:rPr>
          <w:rFonts w:hint="cs"/>
          <w:sz w:val="16"/>
          <w:szCs w:val="16"/>
          <w:rtl/>
        </w:rPr>
        <w:t>)</w:t>
      </w:r>
    </w:p>
    <w:p w14:paraId="45DB005B" w14:textId="77777777" w:rsidR="002E5BAD" w:rsidRPr="00F214BD" w:rsidRDefault="002E5BAD" w:rsidP="002E5BAD">
      <w:pPr>
        <w:pStyle w:val="ab"/>
        <w:numPr>
          <w:ilvl w:val="0"/>
          <w:numId w:val="180"/>
        </w:numPr>
        <w:rPr>
          <w:rFonts w:cs="Arial"/>
        </w:rPr>
      </w:pPr>
      <w:r w:rsidRPr="002A0D59">
        <w:rPr>
          <w:rFonts w:cs="Arial"/>
          <w:rtl/>
        </w:rPr>
        <w:t>רדב"ז</w:t>
      </w:r>
      <w:r w:rsidRPr="00F214BD">
        <w:rPr>
          <w:rFonts w:cs="Arial"/>
          <w:sz w:val="16"/>
          <w:szCs w:val="16"/>
          <w:rtl/>
        </w:rPr>
        <w:t xml:space="preserve"> </w:t>
      </w:r>
      <w:r w:rsidRPr="00F214BD">
        <w:rPr>
          <w:rFonts w:cs="Arial" w:hint="cs"/>
          <w:sz w:val="16"/>
          <w:szCs w:val="16"/>
          <w:rtl/>
        </w:rPr>
        <w:t>(</w:t>
      </w:r>
      <w:r w:rsidRPr="00F214BD">
        <w:rPr>
          <w:rFonts w:cs="Arial"/>
          <w:sz w:val="16"/>
          <w:szCs w:val="16"/>
          <w:rtl/>
        </w:rPr>
        <w:t>ח"א סי</w:t>
      </w:r>
      <w:r w:rsidRPr="00F214BD">
        <w:rPr>
          <w:rFonts w:cs="Arial" w:hint="cs"/>
          <w:sz w:val="16"/>
          <w:szCs w:val="16"/>
          <w:rtl/>
        </w:rPr>
        <w:t>'</w:t>
      </w:r>
      <w:r w:rsidRPr="00F214BD">
        <w:rPr>
          <w:rFonts w:cs="Arial"/>
          <w:sz w:val="16"/>
          <w:szCs w:val="16"/>
          <w:rtl/>
        </w:rPr>
        <w:t xml:space="preserve"> רסג</w:t>
      </w:r>
      <w:r>
        <w:rPr>
          <w:rFonts w:cs="Arial" w:hint="cs"/>
          <w:sz w:val="16"/>
          <w:szCs w:val="16"/>
          <w:rtl/>
        </w:rPr>
        <w:t xml:space="preserve"> ובסי' שס</w:t>
      </w:r>
      <w:r w:rsidRPr="00F214BD">
        <w:rPr>
          <w:rFonts w:cs="Arial" w:hint="cs"/>
          <w:sz w:val="16"/>
          <w:szCs w:val="16"/>
          <w:rtl/>
        </w:rPr>
        <w:t>)</w:t>
      </w:r>
      <w:r>
        <w:rPr>
          <w:rFonts w:cs="Arial" w:hint="cs"/>
          <w:rtl/>
        </w:rPr>
        <w:t>-</w:t>
      </w:r>
      <w:r w:rsidRPr="002A0D59">
        <w:rPr>
          <w:rFonts w:cs="Arial"/>
          <w:rtl/>
        </w:rPr>
        <w:t xml:space="preserve"> </w:t>
      </w:r>
      <w:r w:rsidRPr="00F214BD">
        <w:rPr>
          <w:rFonts w:cs="Arial"/>
          <w:rtl/>
        </w:rPr>
        <w:t>שאלת ממני אודיעך דעתי בראובן שגירש את אשתו ויש לו ממנה בת</w:t>
      </w:r>
      <w:r>
        <w:rPr>
          <w:rFonts w:cs="Arial" w:hint="cs"/>
          <w:rtl/>
        </w:rPr>
        <w:t>,</w:t>
      </w:r>
      <w:r w:rsidRPr="00F214BD">
        <w:rPr>
          <w:rFonts w:cs="Arial"/>
          <w:rtl/>
        </w:rPr>
        <w:t xml:space="preserve"> והרי היא בת שבעה והיא אצל אמה</w:t>
      </w:r>
      <w:r>
        <w:rPr>
          <w:rFonts w:cs="Arial" w:hint="cs"/>
          <w:rtl/>
        </w:rPr>
        <w:t>.</w:t>
      </w:r>
      <w:r w:rsidRPr="00F214BD">
        <w:rPr>
          <w:rFonts w:cs="Arial"/>
          <w:rtl/>
        </w:rPr>
        <w:t xml:space="preserve"> וזינתה אמה וילדה מ</w:t>
      </w:r>
      <w:r>
        <w:rPr>
          <w:rFonts w:cs="Arial" w:hint="cs"/>
          <w:rtl/>
        </w:rPr>
        <w:t>ִ</w:t>
      </w:r>
      <w:r w:rsidRPr="00F214BD">
        <w:rPr>
          <w:rFonts w:cs="Arial"/>
          <w:rtl/>
        </w:rPr>
        <w:t>ז</w:t>
      </w:r>
      <w:r>
        <w:rPr>
          <w:rFonts w:cs="Arial" w:hint="cs"/>
          <w:rtl/>
        </w:rPr>
        <w:t>ְ</w:t>
      </w:r>
      <w:r w:rsidRPr="00F214BD">
        <w:rPr>
          <w:rFonts w:cs="Arial"/>
          <w:rtl/>
        </w:rPr>
        <w:t>נו</w:t>
      </w:r>
      <w:r>
        <w:rPr>
          <w:rFonts w:cs="Arial" w:hint="cs"/>
          <w:rtl/>
        </w:rPr>
        <w:t>ּ</w:t>
      </w:r>
      <w:r w:rsidRPr="00F214BD">
        <w:rPr>
          <w:rFonts w:cs="Arial"/>
          <w:rtl/>
        </w:rPr>
        <w:t>ת</w:t>
      </w:r>
      <w:r>
        <w:rPr>
          <w:rFonts w:cs="Arial" w:hint="cs"/>
          <w:rtl/>
        </w:rPr>
        <w:t>,</w:t>
      </w:r>
      <w:r w:rsidRPr="00F214BD">
        <w:rPr>
          <w:rFonts w:cs="Arial"/>
          <w:rtl/>
        </w:rPr>
        <w:t xml:space="preserve"> וכיון שראה ראובן כן רוצה לקחת את בתו מאצלה שלא תלמד מעשה אמה.</w:t>
      </w:r>
      <w:r>
        <w:rPr>
          <w:rFonts w:cs="Arial" w:hint="cs"/>
          <w:rtl/>
        </w:rPr>
        <w:t xml:space="preserve"> </w:t>
      </w:r>
      <w:r w:rsidRPr="00F214BD">
        <w:rPr>
          <w:rFonts w:cs="Arial"/>
          <w:rtl/>
        </w:rPr>
        <w:t>תשובה</w:t>
      </w:r>
      <w:r>
        <w:rPr>
          <w:rFonts w:cs="Arial" w:hint="cs"/>
          <w:rtl/>
        </w:rPr>
        <w:t>-</w:t>
      </w:r>
      <w:r w:rsidRPr="00F214BD">
        <w:rPr>
          <w:rFonts w:cs="Arial"/>
          <w:rtl/>
        </w:rPr>
        <w:t xml:space="preserve"> הדבר ברור שהדין עם ראובן</w:t>
      </w:r>
      <w:r>
        <w:rPr>
          <w:rFonts w:cs="Arial" w:hint="cs"/>
          <w:rtl/>
        </w:rPr>
        <w:t>,</w:t>
      </w:r>
      <w:r w:rsidRPr="00F214BD">
        <w:rPr>
          <w:rFonts w:cs="Arial"/>
          <w:rtl/>
        </w:rPr>
        <w:t xml:space="preserve"> דהא טעמא דאמרו ז"ל הבת אצל אמה משום דבצוותא דאמה ניחא לה</w:t>
      </w:r>
      <w:r>
        <w:rPr>
          <w:rFonts w:cs="Arial" w:hint="cs"/>
          <w:rtl/>
        </w:rPr>
        <w:t>,</w:t>
      </w:r>
      <w:r w:rsidRPr="00F214BD">
        <w:rPr>
          <w:rFonts w:cs="Arial"/>
          <w:rtl/>
        </w:rPr>
        <w:t xml:space="preserve"> והכא אנן סהדי דלא ניחא ליה בצוותא דאמה</w:t>
      </w:r>
      <w:r>
        <w:rPr>
          <w:rFonts w:cs="Arial" w:hint="cs"/>
          <w:rtl/>
        </w:rPr>
        <w:t>.</w:t>
      </w:r>
      <w:r w:rsidRPr="00F214BD">
        <w:rPr>
          <w:rFonts w:cs="Arial"/>
          <w:rtl/>
        </w:rPr>
        <w:t xml:space="preserve"> ואפי' תאמר אצל אמי אני רוצה</w:t>
      </w:r>
      <w:r>
        <w:rPr>
          <w:rFonts w:cs="Arial" w:hint="cs"/>
          <w:rtl/>
        </w:rPr>
        <w:t>,</w:t>
      </w:r>
      <w:r w:rsidRPr="00F214BD">
        <w:rPr>
          <w:rFonts w:cs="Arial"/>
          <w:rtl/>
        </w:rPr>
        <w:t xml:space="preserve"> אין שומעין לה</w:t>
      </w:r>
      <w:r>
        <w:rPr>
          <w:rFonts w:cs="Arial" w:hint="cs"/>
          <w:rtl/>
        </w:rPr>
        <w:t>,</w:t>
      </w:r>
      <w:r w:rsidRPr="00F214BD">
        <w:rPr>
          <w:rFonts w:cs="Arial"/>
          <w:rtl/>
        </w:rPr>
        <w:t xml:space="preserve"> דחיישינן שמא תהיה נגררת אחר אמה</w:t>
      </w:r>
      <w:r>
        <w:rPr>
          <w:rFonts w:cs="Arial" w:hint="cs"/>
          <w:rtl/>
        </w:rPr>
        <w:t>,</w:t>
      </w:r>
      <w:r w:rsidRPr="00F214BD">
        <w:rPr>
          <w:rFonts w:cs="Arial"/>
          <w:rtl/>
        </w:rPr>
        <w:t xml:space="preserve"> וכ"ש שכבר היא בת שבע וטועמות טעם ביאה. וגדולה מזו אני אומר שאפי' לא היה ראובן אביה חי ובאים קרובים לקחת אותם</w:t>
      </w:r>
      <w:r>
        <w:rPr>
          <w:rFonts w:cs="Arial" w:hint="cs"/>
          <w:rtl/>
        </w:rPr>
        <w:t>,</w:t>
      </w:r>
      <w:r w:rsidRPr="00F214BD">
        <w:rPr>
          <w:rFonts w:cs="Arial"/>
          <w:rtl/>
        </w:rPr>
        <w:t xml:space="preserve"> שומעין להם. ולא זו בלבד אלא אפי' אין שם קרובים</w:t>
      </w:r>
      <w:r>
        <w:rPr>
          <w:rFonts w:cs="Arial" w:hint="cs"/>
          <w:rtl/>
        </w:rPr>
        <w:t>,</w:t>
      </w:r>
      <w:r w:rsidRPr="00F214BD">
        <w:rPr>
          <w:rFonts w:cs="Arial"/>
          <w:rtl/>
        </w:rPr>
        <w:t xml:space="preserve"> ב"ד אביהם של יתומים וחייבין להוציאה מעם אמה ולהפקידה בבית אחר מהכשרים כפי ראות עיניהם</w:t>
      </w:r>
      <w:r>
        <w:rPr>
          <w:rFonts w:cs="Arial" w:hint="cs"/>
          <w:rtl/>
        </w:rPr>
        <w:t>,</w:t>
      </w:r>
      <w:r w:rsidRPr="00F214BD">
        <w:rPr>
          <w:rFonts w:cs="Arial"/>
          <w:rtl/>
        </w:rPr>
        <w:t xml:space="preserve"> מק"ו מממונם</w:t>
      </w:r>
      <w:r>
        <w:rPr>
          <w:rFonts w:cs="Arial" w:hint="cs"/>
          <w:rtl/>
        </w:rPr>
        <w:t>,</w:t>
      </w:r>
      <w:r w:rsidRPr="00F214BD">
        <w:rPr>
          <w:rFonts w:cs="Arial"/>
          <w:rtl/>
        </w:rPr>
        <w:t xml:space="preserve"> ואם חייבין לפקח על ממונם כ"ש על עצמם שלא יצאו לתרבות רעה</w:t>
      </w:r>
      <w:r>
        <w:rPr>
          <w:rFonts w:cs="Arial" w:hint="cs"/>
          <w:rtl/>
        </w:rPr>
        <w:t>,</w:t>
      </w:r>
      <w:r w:rsidRPr="00F214BD">
        <w:rPr>
          <w:rFonts w:cs="Arial"/>
          <w:rtl/>
        </w:rPr>
        <w:t xml:space="preserve"> והדבר מוסכם אצל השכל כי מעשה אבות יעשו בנים וכאמה כן בתה</w:t>
      </w:r>
      <w:r>
        <w:rPr>
          <w:rFonts w:cs="Arial" w:hint="cs"/>
          <w:rtl/>
        </w:rPr>
        <w:t>,</w:t>
      </w:r>
      <w:r w:rsidRPr="00F214BD">
        <w:rPr>
          <w:rFonts w:cs="Arial"/>
          <w:rtl/>
        </w:rPr>
        <w:t xml:space="preserve"> כ"ש בעריות שהלב חומד אותם וקרובה להתהפך לדרך אמה ולא היה כדאי לישאל עליו</w:t>
      </w:r>
      <w:r>
        <w:rPr>
          <w:rFonts w:cs="Arial" w:hint="cs"/>
          <w:sz w:val="16"/>
          <w:szCs w:val="16"/>
          <w:rtl/>
        </w:rPr>
        <w:t xml:space="preserve"> (עכ"ל בסי' רסג)</w:t>
      </w:r>
      <w:r w:rsidRPr="00F214BD">
        <w:rPr>
          <w:rFonts w:cs="Arial"/>
          <w:rtl/>
        </w:rPr>
        <w:t>.</w:t>
      </w:r>
      <w:r w:rsidRPr="00F214BD">
        <w:rPr>
          <w:rtl/>
        </w:rPr>
        <w:t xml:space="preserve"> </w:t>
      </w:r>
      <w:r w:rsidRPr="00F214BD">
        <w:rPr>
          <w:rFonts w:cs="Arial"/>
          <w:rtl/>
        </w:rPr>
        <w:t>ו</w:t>
      </w:r>
      <w:r>
        <w:rPr>
          <w:rFonts w:cs="Arial" w:hint="cs"/>
          <w:rtl/>
        </w:rPr>
        <w:t xml:space="preserve">כן אם </w:t>
      </w:r>
      <w:r w:rsidRPr="00F214BD">
        <w:rPr>
          <w:rFonts w:cs="Arial"/>
          <w:rtl/>
        </w:rPr>
        <w:t xml:space="preserve">האם פרוצה או שפרוצים נכנסים לביתה הרשות ביד קרובים לקחתה מאצלה </w:t>
      </w:r>
      <w:r>
        <w:rPr>
          <w:rFonts w:cs="Arial" w:hint="cs"/>
          <w:sz w:val="16"/>
          <w:szCs w:val="16"/>
          <w:rtl/>
        </w:rPr>
        <w:t>(עכ"ל בסי' שס)</w:t>
      </w:r>
      <w:r w:rsidRPr="00F214BD">
        <w:rPr>
          <w:rFonts w:cs="Arial"/>
          <w:rtl/>
        </w:rPr>
        <w:t xml:space="preserve">.  </w:t>
      </w:r>
    </w:p>
    <w:p w14:paraId="7DA97327" w14:textId="77777777" w:rsidR="002E5BAD" w:rsidRPr="002A0D59" w:rsidRDefault="002E5BAD" w:rsidP="002E5BAD">
      <w:pPr>
        <w:rPr>
          <w:sz w:val="16"/>
          <w:szCs w:val="16"/>
        </w:rPr>
      </w:pPr>
      <w:r>
        <w:rPr>
          <w:rFonts w:hint="cs"/>
          <w:u w:val="single"/>
          <w:rtl/>
        </w:rPr>
        <w:t>מי שמתה אשתו והשאירה לו תינוק חולה, והתינוק אצל אם אמו, ורוצה האב לקחתו ואינו ראוי לטפל בו</w:t>
      </w:r>
      <w:r w:rsidRPr="002A0D59">
        <w:rPr>
          <w:rFonts w:hint="cs"/>
          <w:u w:val="single"/>
          <w:rtl/>
        </w:rPr>
        <w:t>:</w:t>
      </w:r>
      <w:r w:rsidRPr="002A0D59">
        <w:rPr>
          <w:rFonts w:hint="cs"/>
          <w:sz w:val="16"/>
          <w:szCs w:val="16"/>
          <w:rtl/>
        </w:rPr>
        <w:t xml:space="preserve">   (פת"ש סק"</w:t>
      </w:r>
      <w:r>
        <w:rPr>
          <w:rFonts w:hint="cs"/>
          <w:sz w:val="16"/>
          <w:szCs w:val="16"/>
          <w:rtl/>
        </w:rPr>
        <w:t>ז</w:t>
      </w:r>
      <w:r w:rsidRPr="002A0D59">
        <w:rPr>
          <w:rFonts w:hint="cs"/>
          <w:sz w:val="16"/>
          <w:szCs w:val="16"/>
          <w:rtl/>
        </w:rPr>
        <w:t>)</w:t>
      </w:r>
    </w:p>
    <w:p w14:paraId="68B3A609" w14:textId="77777777" w:rsidR="002E5BAD" w:rsidRPr="00FB67FE" w:rsidRDefault="002E5BAD" w:rsidP="002E5BAD">
      <w:pPr>
        <w:pStyle w:val="ab"/>
        <w:numPr>
          <w:ilvl w:val="0"/>
          <w:numId w:val="180"/>
        </w:numPr>
        <w:rPr>
          <w:rFonts w:cs="Arial"/>
        </w:rPr>
      </w:pPr>
      <w:r w:rsidRPr="00FB67FE">
        <w:rPr>
          <w:rFonts w:cs="Arial"/>
          <w:rtl/>
        </w:rPr>
        <w:t xml:space="preserve">רדב"ז </w:t>
      </w:r>
      <w:r w:rsidRPr="00FB67FE">
        <w:rPr>
          <w:rFonts w:cs="Arial" w:hint="cs"/>
          <w:sz w:val="16"/>
          <w:szCs w:val="16"/>
          <w:rtl/>
        </w:rPr>
        <w:t>(</w:t>
      </w:r>
      <w:r w:rsidRPr="00FB67FE">
        <w:rPr>
          <w:rFonts w:cs="Arial"/>
          <w:sz w:val="16"/>
          <w:szCs w:val="16"/>
          <w:rtl/>
        </w:rPr>
        <w:t>ח"א סי' קכ</w:t>
      </w:r>
      <w:r w:rsidRPr="00FB67FE">
        <w:rPr>
          <w:rFonts w:cs="Arial" w:hint="cs"/>
          <w:sz w:val="16"/>
          <w:szCs w:val="16"/>
          <w:rtl/>
        </w:rPr>
        <w:t>ג)</w:t>
      </w:r>
      <w:r w:rsidRPr="00FB67FE">
        <w:rPr>
          <w:rFonts w:cs="Arial" w:hint="cs"/>
          <w:rtl/>
        </w:rPr>
        <w:t xml:space="preserve">- </w:t>
      </w:r>
      <w:r w:rsidRPr="00FB67FE">
        <w:rPr>
          <w:rFonts w:cs="Arial"/>
          <w:rtl/>
        </w:rPr>
        <w:t>שאלת ממני בראובן שמתה אשתו והניחה לו בן קטן יונק חולה והוא אצל אם אמו</w:t>
      </w:r>
      <w:r>
        <w:rPr>
          <w:rFonts w:cs="Arial" w:hint="cs"/>
          <w:rtl/>
        </w:rPr>
        <w:t>,</w:t>
      </w:r>
      <w:r w:rsidRPr="00FB67FE">
        <w:rPr>
          <w:rFonts w:cs="Arial"/>
          <w:rtl/>
        </w:rPr>
        <w:t xml:space="preserve"> ורצה ראובן לקחת אותו</w:t>
      </w:r>
      <w:r>
        <w:rPr>
          <w:rFonts w:cs="Arial" w:hint="cs"/>
          <w:rtl/>
        </w:rPr>
        <w:t>,</w:t>
      </w:r>
      <w:r w:rsidRPr="00FB67FE">
        <w:rPr>
          <w:rFonts w:cs="Arial"/>
          <w:rtl/>
        </w:rPr>
        <w:t xml:space="preserve"> והוא לא נשא אשה והוא עני ובזמן שיוצא לחוץ מניח את הבן אצל השכני</w:t>
      </w:r>
      <w:r>
        <w:rPr>
          <w:rFonts w:cs="Arial" w:hint="cs"/>
          <w:rtl/>
        </w:rPr>
        <w:t>ם.</w:t>
      </w:r>
      <w:r w:rsidRPr="00FB67FE">
        <w:rPr>
          <w:rFonts w:cs="Arial"/>
          <w:rtl/>
        </w:rPr>
        <w:t xml:space="preserve"> אם טוב שיעמוד הבן אצל אם אמו או אצל אביו. תשובה</w:t>
      </w:r>
      <w:r>
        <w:rPr>
          <w:rFonts w:cs="Arial" w:hint="cs"/>
          <w:rtl/>
        </w:rPr>
        <w:t>-</w:t>
      </w:r>
      <w:r w:rsidRPr="00FB67FE">
        <w:rPr>
          <w:rFonts w:cs="Arial"/>
          <w:rtl/>
        </w:rPr>
        <w:t xml:space="preserve"> הדבר ברור שהבן אצל אמו אמרו ולא אצל אם אמו</w:t>
      </w:r>
      <w:r>
        <w:rPr>
          <w:rFonts w:cs="Arial" w:hint="cs"/>
          <w:rtl/>
        </w:rPr>
        <w:t>,</w:t>
      </w:r>
      <w:r w:rsidRPr="00FB67FE">
        <w:rPr>
          <w:rFonts w:cs="Arial"/>
          <w:rtl/>
        </w:rPr>
        <w:t xml:space="preserve"> אבל אם ראו ב"ד שתקנת הולד שיעמוד אצל אם אמו לפי שהיא מרחמת עליו יותר מאחרים</w:t>
      </w:r>
      <w:r>
        <w:rPr>
          <w:rFonts w:cs="Arial" w:hint="cs"/>
          <w:rtl/>
        </w:rPr>
        <w:t>,</w:t>
      </w:r>
      <w:r w:rsidRPr="00FB67FE">
        <w:rPr>
          <w:rFonts w:cs="Arial"/>
          <w:rtl/>
        </w:rPr>
        <w:t xml:space="preserve"> מניחים אותו אצל אם אמו</w:t>
      </w:r>
      <w:r>
        <w:rPr>
          <w:rFonts w:cs="Arial" w:hint="cs"/>
          <w:rtl/>
        </w:rPr>
        <w:t>.</w:t>
      </w:r>
      <w:r w:rsidRPr="00FB67FE">
        <w:rPr>
          <w:rFonts w:cs="Arial"/>
          <w:rtl/>
        </w:rPr>
        <w:t xml:space="preserve"> ואעפ"י שיאמר ראובן תנו לי בני ואני אעשה מה שארצה ואם ימות ימות</w:t>
      </w:r>
      <w:r>
        <w:rPr>
          <w:rFonts w:cs="Arial" w:hint="cs"/>
          <w:rtl/>
        </w:rPr>
        <w:t>,</w:t>
      </w:r>
      <w:r w:rsidRPr="00FB67FE">
        <w:rPr>
          <w:rFonts w:cs="Arial"/>
          <w:rtl/>
        </w:rPr>
        <w:t xml:space="preserve"> אין שומעין לו</w:t>
      </w:r>
      <w:r>
        <w:rPr>
          <w:rFonts w:cs="Arial" w:hint="cs"/>
          <w:rtl/>
        </w:rPr>
        <w:t>.</w:t>
      </w:r>
      <w:r w:rsidRPr="00FB67FE">
        <w:rPr>
          <w:rFonts w:cs="Arial"/>
          <w:rtl/>
        </w:rPr>
        <w:t xml:space="preserve"> ולא מבעיא אם מניחו בבית שכניו או בבית אחרים בזמן שהוא יוצא למלאכתו כאשר בא בשאלה</w:t>
      </w:r>
      <w:r>
        <w:rPr>
          <w:rFonts w:cs="Arial" w:hint="cs"/>
          <w:rtl/>
        </w:rPr>
        <w:t>,</w:t>
      </w:r>
      <w:r w:rsidRPr="00FB67FE">
        <w:rPr>
          <w:rFonts w:cs="Arial"/>
          <w:rtl/>
        </w:rPr>
        <w:t xml:space="preserve"> דפשיטא דאם אמו קודמת לאחרים</w:t>
      </w:r>
      <w:r>
        <w:rPr>
          <w:rFonts w:cs="Arial" w:hint="cs"/>
          <w:rtl/>
        </w:rPr>
        <w:t>,</w:t>
      </w:r>
      <w:r w:rsidRPr="00FB67FE">
        <w:rPr>
          <w:rFonts w:cs="Arial"/>
          <w:rtl/>
        </w:rPr>
        <w:t xml:space="preserve"> אלא אפי' שרוצה האב לעמוד אצלו תמיד אין שומעין לו כיון שנתברר לב"ד שתקנתו של ולד שיהיה אצל אם אמו וזה שוטה הוא שרוצה להרוג את בנו.</w:t>
      </w:r>
      <w:r>
        <w:rPr>
          <w:rFonts w:cs="Arial" w:hint="cs"/>
          <w:rtl/>
        </w:rPr>
        <w:t>..</w:t>
      </w:r>
      <w:r w:rsidRPr="00FB67FE">
        <w:rPr>
          <w:rFonts w:cs="Arial"/>
          <w:rtl/>
        </w:rPr>
        <w:t xml:space="preserve"> </w:t>
      </w:r>
    </w:p>
    <w:p w14:paraId="4EF5A5AC" w14:textId="77777777" w:rsidR="002E5BAD" w:rsidRDefault="002E5BAD" w:rsidP="002E5BAD">
      <w:pPr>
        <w:rPr>
          <w:rtl/>
        </w:rPr>
      </w:pPr>
    </w:p>
    <w:p w14:paraId="40E1A1BC" w14:textId="77777777" w:rsidR="002E5BAD" w:rsidRDefault="002E5BAD" w:rsidP="002E5BAD">
      <w:pPr>
        <w:pStyle w:val="2"/>
        <w:rPr>
          <w:rtl/>
        </w:rPr>
      </w:pPr>
      <w:r>
        <w:rPr>
          <w:rtl/>
        </w:rPr>
        <w:t>סעיף ח</w:t>
      </w:r>
      <w:r>
        <w:rPr>
          <w:rFonts w:hint="cs"/>
          <w:rtl/>
        </w:rPr>
        <w:t>:</w:t>
      </w:r>
      <w:r w:rsidRPr="00200ED0">
        <w:rPr>
          <w:rFonts w:cs="Arial" w:hint="cs"/>
          <w:rtl/>
        </w:rPr>
        <w:t xml:space="preserve"> אשה שלא רוצה שילדיה יהיו אצלה</w:t>
      </w:r>
      <w:r>
        <w:rPr>
          <w:rFonts w:hint="cs"/>
          <w:rtl/>
        </w:rPr>
        <w:t>.</w:t>
      </w:r>
    </w:p>
    <w:p w14:paraId="2B067281" w14:textId="77777777" w:rsidR="002E5BAD" w:rsidRPr="00200ED0" w:rsidRDefault="002E5BAD" w:rsidP="002E5BAD">
      <w:pPr>
        <w:rPr>
          <w:rFonts w:cs="Arial"/>
          <w:u w:val="single"/>
        </w:rPr>
      </w:pPr>
      <w:r w:rsidRPr="00200ED0">
        <w:rPr>
          <w:rFonts w:cs="Arial" w:hint="cs"/>
          <w:u w:val="single"/>
          <w:rtl/>
        </w:rPr>
        <w:t>אשה שלא רוצה שילדיה יהיו אצלה:</w:t>
      </w:r>
    </w:p>
    <w:p w14:paraId="31638419" w14:textId="77777777" w:rsidR="002E5BAD" w:rsidRPr="00200ED0" w:rsidRDefault="002E5BAD" w:rsidP="002E5BAD">
      <w:pPr>
        <w:pStyle w:val="ab"/>
        <w:numPr>
          <w:ilvl w:val="0"/>
          <w:numId w:val="178"/>
        </w:numPr>
        <w:rPr>
          <w:rFonts w:cs="Arial"/>
          <w:rtl/>
        </w:rPr>
      </w:pPr>
      <w:r>
        <w:rPr>
          <w:rFonts w:cs="Arial" w:hint="cs"/>
          <w:rtl/>
        </w:rPr>
        <w:t xml:space="preserve">רמב"ם </w:t>
      </w:r>
      <w:r>
        <w:rPr>
          <w:rFonts w:cs="Arial" w:hint="cs"/>
          <w:sz w:val="16"/>
          <w:szCs w:val="16"/>
          <w:rtl/>
        </w:rPr>
        <w:t>(פכ"א הי"ח)</w:t>
      </w:r>
      <w:r>
        <w:rPr>
          <w:rFonts w:cs="Arial" w:hint="cs"/>
          <w:rtl/>
        </w:rPr>
        <w:t xml:space="preserve">- </w:t>
      </w:r>
      <w:r w:rsidRPr="00200ED0">
        <w:rPr>
          <w:rFonts w:cs="Arial"/>
          <w:rtl/>
        </w:rPr>
        <w:t>ואם לא רצת האם שיהיו בניה אצלה אחר שגמלתן</w:t>
      </w:r>
      <w:r>
        <w:rPr>
          <w:rFonts w:cs="Arial" w:hint="cs"/>
          <w:rtl/>
        </w:rPr>
        <w:t>,</w:t>
      </w:r>
      <w:r w:rsidRPr="00200ED0">
        <w:rPr>
          <w:rFonts w:cs="Arial"/>
          <w:rtl/>
        </w:rPr>
        <w:t xml:space="preserve"> אחד זכרים ואחד נקבות</w:t>
      </w:r>
      <w:r>
        <w:rPr>
          <w:rFonts w:cs="Arial" w:hint="cs"/>
          <w:rtl/>
        </w:rPr>
        <w:t>,</w:t>
      </w:r>
      <w:r w:rsidRPr="00200ED0">
        <w:rPr>
          <w:rFonts w:cs="Arial"/>
          <w:rtl/>
        </w:rPr>
        <w:t xml:space="preserve"> הרשות בידה</w:t>
      </w:r>
      <w:r>
        <w:rPr>
          <w:rFonts w:cs="Arial" w:hint="cs"/>
          <w:rtl/>
        </w:rPr>
        <w:t>,</w:t>
      </w:r>
      <w:r w:rsidRPr="00200ED0">
        <w:rPr>
          <w:rFonts w:cs="Arial"/>
          <w:rtl/>
        </w:rPr>
        <w:t xml:space="preserve"> ונותנת אותן לאביהן</w:t>
      </w:r>
      <w:r>
        <w:rPr>
          <w:rFonts w:cs="Arial" w:hint="cs"/>
          <w:rtl/>
        </w:rPr>
        <w:t>,</w:t>
      </w:r>
      <w:r w:rsidRPr="00200ED0">
        <w:rPr>
          <w:rFonts w:cs="Arial"/>
          <w:rtl/>
        </w:rPr>
        <w:t xml:space="preserve"> או משלכת אותן לקהל אם אין להן אב והן מטפלין בהן.</w:t>
      </w:r>
      <w:r w:rsidRPr="00685AED">
        <w:rPr>
          <w:rFonts w:hint="cs"/>
          <w:color w:val="E36C0A" w:themeColor="accent6" w:themeShade="BF"/>
          <w:rtl/>
        </w:rPr>
        <w:t xml:space="preserve"> </w:t>
      </w:r>
      <w:r w:rsidRPr="007B430E">
        <w:rPr>
          <w:rFonts w:hint="cs"/>
          <w:color w:val="E36C0A" w:themeColor="accent6" w:themeShade="BF"/>
          <w:rtl/>
        </w:rPr>
        <w:t>(וכ"פ בשו"ע)</w:t>
      </w:r>
    </w:p>
    <w:p w14:paraId="51CF86A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16C9646" w14:textId="77777777" w:rsidR="002E5BAD" w:rsidRPr="000D2069" w:rsidRDefault="002E5BAD" w:rsidP="002E5BAD">
      <w:pPr>
        <w:rPr>
          <w:rtl/>
        </w:rPr>
        <w:sectPr w:rsidR="002E5BAD" w:rsidRPr="000D2069" w:rsidSect="00A347B3">
          <w:headerReference w:type="default" r:id="rId38"/>
          <w:footnotePr>
            <w:numRestart w:val="eachPage"/>
          </w:footnotePr>
          <w:pgSz w:w="11906" w:h="16838"/>
          <w:pgMar w:top="720" w:right="1134" w:bottom="720" w:left="1134" w:header="0" w:footer="0" w:gutter="0"/>
          <w:cols w:space="720"/>
          <w:bidi/>
          <w:rtlGutter/>
          <w:docGrid w:linePitch="360"/>
        </w:sectPr>
      </w:pPr>
      <w:r>
        <w:rPr>
          <w:rFonts w:cs="Arial"/>
          <w:rtl/>
        </w:rPr>
        <w:t>אם לא רצתה האם שיהיו בניה עמה אחר שגמלתן, אחד זכרים ואחד נקבות, הרשות בידה, ונותנת אותם לאביהם, או משלכת אותם לקהל</w:t>
      </w:r>
      <w:r>
        <w:rPr>
          <w:rStyle w:val="a7"/>
          <w:rFonts w:cs="Arial"/>
          <w:rtl/>
        </w:rPr>
        <w:footnoteReference w:id="1566"/>
      </w:r>
      <w:r>
        <w:rPr>
          <w:rFonts w:cs="Arial"/>
          <w:rtl/>
        </w:rPr>
        <w:t xml:space="preserve"> אם אין להם אב, והם מטפלים בהם, אחד זכרים ואחד נקבות.</w:t>
      </w:r>
    </w:p>
    <w:p w14:paraId="5DCDAF5A" w14:textId="77777777" w:rsidR="002E5BAD" w:rsidRDefault="002E5BAD" w:rsidP="002E5BAD">
      <w:pPr>
        <w:pStyle w:val="1"/>
        <w:rPr>
          <w:rtl/>
        </w:rPr>
      </w:pPr>
      <w:r>
        <w:rPr>
          <w:rFonts w:hint="cs"/>
          <w:rtl/>
        </w:rPr>
        <w:lastRenderedPageBreak/>
        <w:t>סימן פג:</w:t>
      </w:r>
      <w:r w:rsidRPr="00C12B74">
        <w:rPr>
          <w:rtl/>
        </w:rPr>
        <w:t xml:space="preserve"> </w:t>
      </w:r>
      <w:r>
        <w:rPr>
          <w:rFonts w:cs="Arial"/>
          <w:rtl/>
        </w:rPr>
        <w:t xml:space="preserve">חבלת אשת איש למי הוא, ובו ב' סעיפים. </w:t>
      </w:r>
    </w:p>
    <w:p w14:paraId="36CD0B2E" w14:textId="77777777" w:rsidR="002E5BAD" w:rsidRDefault="002E5BAD" w:rsidP="002E5BAD">
      <w:pPr>
        <w:pStyle w:val="2"/>
        <w:rPr>
          <w:rtl/>
        </w:rPr>
      </w:pPr>
      <w:r>
        <w:rPr>
          <w:rtl/>
        </w:rPr>
        <w:t>סעיף א</w:t>
      </w:r>
      <w:r>
        <w:rPr>
          <w:rFonts w:hint="cs"/>
          <w:rtl/>
        </w:rPr>
        <w:t>: אשת איש שחבלו בה.</w:t>
      </w:r>
    </w:p>
    <w:p w14:paraId="7332A45F" w14:textId="77777777" w:rsidR="002E5BAD" w:rsidRPr="00755AE8" w:rsidRDefault="002E5BAD" w:rsidP="002E5BAD">
      <w:pPr>
        <w:rPr>
          <w:rFonts w:cs="Arial"/>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 וירושתה - הוא אוכל פירות בחייה, בושתה ופגמה שלה</w:t>
      </w:r>
      <w:r>
        <w:rPr>
          <w:rFonts w:cs="Arial" w:hint="cs"/>
          <w:rtl/>
        </w:rPr>
        <w:t>.</w:t>
      </w:r>
      <w:r w:rsidRPr="00E142C1">
        <w:rPr>
          <w:rFonts w:cs="Arial"/>
          <w:rtl/>
        </w:rPr>
        <w:t xml:space="preserve"> </w:t>
      </w:r>
      <w:r w:rsidRPr="00E142C1">
        <w:rPr>
          <w:rFonts w:cs="Arial"/>
          <w:u w:val="single"/>
          <w:rtl/>
        </w:rPr>
        <w:t>רבי יהודה בן בתירא אומר</w:t>
      </w:r>
      <w:r w:rsidRPr="00E142C1">
        <w:rPr>
          <w:rFonts w:cs="Arial"/>
          <w:rtl/>
        </w:rPr>
        <w:t>: בזמן שבסתר - לה שני חלקים ולו אחד, ובזמן שבגלוי - לו שני חלקים ולה אחד</w:t>
      </w:r>
      <w:r>
        <w:rPr>
          <w:rStyle w:val="a7"/>
          <w:rFonts w:cs="Arial"/>
          <w:rtl/>
        </w:rPr>
        <w:footnoteReference w:id="1567"/>
      </w:r>
      <w:r>
        <w:rPr>
          <w:rFonts w:cs="Arial" w:hint="cs"/>
          <w:rtl/>
        </w:rPr>
        <w:t>.</w:t>
      </w:r>
      <w:r w:rsidRPr="00E142C1">
        <w:rPr>
          <w:rFonts w:cs="Arial"/>
          <w:rtl/>
        </w:rPr>
        <w:t xml:space="preserve"> שלו ינתן מיד, ושלה ילקח בהן קרקע והוא אוכל פירות. </w:t>
      </w:r>
      <w:r w:rsidRPr="00755AE8">
        <w:rPr>
          <w:rFonts w:cs="Arial" w:hint="cs"/>
          <w:sz w:val="16"/>
          <w:szCs w:val="16"/>
          <w:rtl/>
        </w:rPr>
        <w:t>(</w:t>
      </w:r>
      <w:r w:rsidRPr="00755AE8">
        <w:rPr>
          <w:rFonts w:cs="Arial"/>
          <w:sz w:val="16"/>
          <w:szCs w:val="16"/>
          <w:rtl/>
        </w:rPr>
        <w:t>וכתב הרא"ש (סי' א) הא דלא תנא שבת דמילתא דפשיטא היא דהוי דבעל</w:t>
      </w:r>
      <w:r w:rsidRPr="00755AE8">
        <w:rPr>
          <w:rFonts w:cs="Arial" w:hint="cs"/>
          <w:sz w:val="16"/>
          <w:szCs w:val="16"/>
          <w:rtl/>
        </w:rPr>
        <w:t>,</w:t>
      </w:r>
      <w:r w:rsidRPr="00755AE8">
        <w:rPr>
          <w:rFonts w:cs="Arial"/>
          <w:sz w:val="16"/>
          <w:szCs w:val="16"/>
          <w:rtl/>
        </w:rPr>
        <w:t xml:space="preserve"> שהיא מתבטלת ממעשה ידיה</w:t>
      </w:r>
      <w:r w:rsidRPr="00755AE8">
        <w:rPr>
          <w:rFonts w:cs="Arial" w:hint="cs"/>
          <w:sz w:val="16"/>
          <w:szCs w:val="16"/>
          <w:rtl/>
        </w:rPr>
        <w:t>.</w:t>
      </w:r>
      <w:r w:rsidRPr="00755AE8">
        <w:rPr>
          <w:rFonts w:cs="Arial"/>
          <w:sz w:val="16"/>
          <w:szCs w:val="16"/>
          <w:rtl/>
        </w:rPr>
        <w:t xml:space="preserve"> וצער</w:t>
      </w:r>
      <w:r w:rsidRPr="00755AE8">
        <w:rPr>
          <w:rFonts w:cs="Arial" w:hint="cs"/>
          <w:sz w:val="16"/>
          <w:szCs w:val="16"/>
          <w:rtl/>
        </w:rPr>
        <w:t>,</w:t>
      </w:r>
      <w:r w:rsidRPr="00755AE8">
        <w:rPr>
          <w:rFonts w:cs="Arial"/>
          <w:sz w:val="16"/>
          <w:szCs w:val="16"/>
          <w:rtl/>
        </w:rPr>
        <w:t xml:space="preserve"> פשיטא דהוי דידה כדאמרינן בפרק החובל צערא דגופא לא תקינו ליה רבנן</w:t>
      </w:r>
      <w:r>
        <w:rPr>
          <w:rFonts w:cs="Arial" w:hint="cs"/>
          <w:sz w:val="16"/>
          <w:szCs w:val="16"/>
          <w:rtl/>
        </w:rPr>
        <w:t>..., ב"י)</w:t>
      </w:r>
    </w:p>
    <w:p w14:paraId="78D8C758" w14:textId="77777777" w:rsidR="002E5BAD" w:rsidRDefault="002E5BAD" w:rsidP="002E5BAD">
      <w:pPr>
        <w:rPr>
          <w:rFonts w:cs="Arial"/>
          <w:rtl/>
        </w:rPr>
      </w:pPr>
      <w:r w:rsidRPr="00C11BB8">
        <w:rPr>
          <w:rFonts w:cs="Arial" w:hint="cs"/>
          <w:b/>
          <w:bCs/>
          <w:rtl/>
        </w:rPr>
        <w:t xml:space="preserve">בבא קמא </w:t>
      </w:r>
      <w:r w:rsidRPr="00C11BB8">
        <w:rPr>
          <w:rFonts w:cs="Arial" w:hint="cs"/>
          <w:b/>
          <w:bCs/>
          <w:sz w:val="16"/>
          <w:szCs w:val="16"/>
          <w:rtl/>
        </w:rPr>
        <w:t>(</w:t>
      </w:r>
      <w:r>
        <w:rPr>
          <w:rFonts w:cs="Arial" w:hint="cs"/>
          <w:b/>
          <w:bCs/>
          <w:sz w:val="16"/>
          <w:szCs w:val="16"/>
          <w:rtl/>
        </w:rPr>
        <w:t>ר"פ החובל</w:t>
      </w:r>
      <w:r w:rsidRPr="00C11BB8">
        <w:rPr>
          <w:rFonts w:cs="Arial" w:hint="cs"/>
          <w:b/>
          <w:bCs/>
          <w:sz w:val="16"/>
          <w:szCs w:val="16"/>
          <w:rtl/>
        </w:rPr>
        <w:t>)</w:t>
      </w:r>
      <w:r w:rsidRPr="00C11BB8">
        <w:rPr>
          <w:rFonts w:cs="Arial" w:hint="cs"/>
          <w:b/>
          <w:bCs/>
          <w:rtl/>
        </w:rPr>
        <w:t xml:space="preserve"> פג ע"א: </w:t>
      </w:r>
      <w:r w:rsidRPr="00C11BB8">
        <w:rPr>
          <w:rFonts w:cs="Arial"/>
          <w:u w:val="double"/>
          <w:rtl/>
        </w:rPr>
        <w:t>מתני'</w:t>
      </w:r>
      <w:r>
        <w:rPr>
          <w:rFonts w:cs="Arial" w:hint="cs"/>
          <w:rtl/>
        </w:rPr>
        <w:t>:</w:t>
      </w:r>
      <w:r w:rsidRPr="00C11BB8">
        <w:rPr>
          <w:rFonts w:cs="Arial"/>
          <w:rtl/>
        </w:rPr>
        <w:t xml:space="preserve"> החובל בחבירו - חייב עליו משום חמשה דברים: בנזק, בצער, בריפוי, בשבת, ובושת. בנזק כיצד? סימא את עינו, קטע את ידו, שיבר את רגלו, רואין אותו כאילו הוא עבד נמכר בשוק, ושמין כמה היה יפה וכמה הוא יפה. צער - כואו בשפוד או במסמר, ואפילו על ציפורנו מקום שאינו עושה חבורה, אומדין כמה אדם כיוצא בזה רוצה ליטול להיות מצטער כך. ריפוי - הכהו חייב לרפאותו</w:t>
      </w:r>
      <w:r>
        <w:rPr>
          <w:rFonts w:cs="Arial" w:hint="cs"/>
          <w:rtl/>
        </w:rPr>
        <w:t>.</w:t>
      </w:r>
      <w:r w:rsidRPr="00C11BB8">
        <w:rPr>
          <w:rFonts w:cs="Arial"/>
          <w:rtl/>
        </w:rPr>
        <w:t xml:space="preserve"> עלה בו צמחים, אם מחמת המכה - חייב, שלא מחמת המכה - פטור</w:t>
      </w:r>
      <w:r>
        <w:rPr>
          <w:rFonts w:cs="Arial" w:hint="cs"/>
          <w:rtl/>
        </w:rPr>
        <w:t>.</w:t>
      </w:r>
      <w:r w:rsidRPr="00C11BB8">
        <w:rPr>
          <w:rFonts w:cs="Arial"/>
          <w:rtl/>
        </w:rPr>
        <w:t xml:space="preserve"> חייתה ונסתרה חייתה ונסתרה - חייב לרפאותו, חייתה כל צורכה - אינו חייב לרפאותו. שבת</w:t>
      </w:r>
      <w:r>
        <w:rPr>
          <w:rStyle w:val="a7"/>
          <w:rFonts w:cs="Arial"/>
          <w:rtl/>
        </w:rPr>
        <w:footnoteReference w:id="1568"/>
      </w:r>
      <w:r w:rsidRPr="00C11BB8">
        <w:rPr>
          <w:rFonts w:cs="Arial"/>
          <w:rtl/>
        </w:rPr>
        <w:t xml:space="preserve"> - רואין אותו כאילו הוא שומר קישואין, שכבר נתן לו דמי ידו ודמי רגלו. בושת - הכל לפי המבייש והמתבייש.</w:t>
      </w:r>
      <w:r>
        <w:rPr>
          <w:rFonts w:cs="Arial" w:hint="cs"/>
          <w:rtl/>
        </w:rPr>
        <w:t xml:space="preserve">        </w:t>
      </w:r>
    </w:p>
    <w:p w14:paraId="2F647E78" w14:textId="77777777" w:rsidR="002E5BAD" w:rsidRPr="00755AE8" w:rsidRDefault="002E5BAD" w:rsidP="002E5BAD">
      <w:pPr>
        <w:rPr>
          <w:rFonts w:cs="Arial"/>
          <w:rtl/>
        </w:rPr>
      </w:pPr>
      <w:r w:rsidRPr="00C11BB8">
        <w:rPr>
          <w:rFonts w:cs="Arial" w:hint="cs"/>
          <w:b/>
          <w:bCs/>
          <w:rtl/>
        </w:rPr>
        <w:t xml:space="preserve">בבא קמא </w:t>
      </w:r>
      <w:r w:rsidRPr="00C11BB8">
        <w:rPr>
          <w:rFonts w:cs="Arial" w:hint="cs"/>
          <w:b/>
          <w:bCs/>
          <w:sz w:val="16"/>
          <w:szCs w:val="16"/>
          <w:rtl/>
        </w:rPr>
        <w:t>(</w:t>
      </w:r>
      <w:r>
        <w:rPr>
          <w:rFonts w:cs="Arial" w:hint="cs"/>
          <w:b/>
          <w:bCs/>
          <w:sz w:val="16"/>
          <w:szCs w:val="16"/>
          <w:rtl/>
        </w:rPr>
        <w:t>פ' החובל</w:t>
      </w:r>
      <w:r w:rsidRPr="00C11BB8">
        <w:rPr>
          <w:rFonts w:cs="Arial" w:hint="cs"/>
          <w:b/>
          <w:bCs/>
          <w:sz w:val="16"/>
          <w:szCs w:val="16"/>
          <w:rtl/>
        </w:rPr>
        <w:t>)</w:t>
      </w:r>
      <w:r w:rsidRPr="00C11BB8">
        <w:rPr>
          <w:rFonts w:cs="Arial" w:hint="cs"/>
          <w:b/>
          <w:bCs/>
          <w:rtl/>
        </w:rPr>
        <w:t xml:space="preserve"> פ</w:t>
      </w:r>
      <w:r>
        <w:rPr>
          <w:rFonts w:cs="Arial" w:hint="cs"/>
          <w:b/>
          <w:bCs/>
          <w:rtl/>
        </w:rPr>
        <w:t>ו</w:t>
      </w:r>
      <w:r w:rsidRPr="00C11BB8">
        <w:rPr>
          <w:rFonts w:cs="Arial" w:hint="cs"/>
          <w:b/>
          <w:bCs/>
          <w:rtl/>
        </w:rPr>
        <w:t xml:space="preserve"> ע"א:</w:t>
      </w:r>
      <w:r>
        <w:rPr>
          <w:rFonts w:cs="Arial" w:hint="cs"/>
          <w:b/>
          <w:bCs/>
          <w:rtl/>
        </w:rPr>
        <w:t xml:space="preserve"> </w:t>
      </w:r>
      <w:r w:rsidRPr="004C599D">
        <w:rPr>
          <w:rFonts w:cs="Arial"/>
          <w:rtl/>
        </w:rPr>
        <w:t xml:space="preserve">דאתמר: הכהו על ידו וצמתה וסופה לחזור - </w:t>
      </w:r>
      <w:r w:rsidRPr="004C599D">
        <w:rPr>
          <w:rFonts w:cs="Arial"/>
          <w:u w:val="single"/>
          <w:rtl/>
        </w:rPr>
        <w:t>אביי אמר</w:t>
      </w:r>
      <w:r w:rsidRPr="004C599D">
        <w:rPr>
          <w:rFonts w:cs="Arial"/>
          <w:rtl/>
        </w:rPr>
        <w:t>: נותן לו שבת גדולה</w:t>
      </w:r>
      <w:r>
        <w:rPr>
          <w:rStyle w:val="a7"/>
          <w:rFonts w:cs="Arial"/>
          <w:rtl/>
        </w:rPr>
        <w:footnoteReference w:id="1569"/>
      </w:r>
      <w:r w:rsidRPr="004C599D">
        <w:rPr>
          <w:rFonts w:cs="Arial"/>
          <w:rtl/>
        </w:rPr>
        <w:t xml:space="preserve"> ושבת קטנה</w:t>
      </w:r>
      <w:r>
        <w:rPr>
          <w:rStyle w:val="a7"/>
          <w:rFonts w:cs="Arial"/>
          <w:rtl/>
        </w:rPr>
        <w:footnoteReference w:id="1570"/>
      </w:r>
      <w:r w:rsidRPr="004C599D">
        <w:rPr>
          <w:rFonts w:cs="Arial"/>
          <w:rtl/>
        </w:rPr>
        <w:t xml:space="preserve">, </w:t>
      </w:r>
      <w:r w:rsidRPr="004C599D">
        <w:rPr>
          <w:rFonts w:cs="Arial"/>
          <w:u w:val="single"/>
          <w:rtl/>
        </w:rPr>
        <w:t>ורבא אמר</w:t>
      </w:r>
      <w:r w:rsidRPr="004C599D">
        <w:rPr>
          <w:rFonts w:cs="Arial"/>
          <w:rtl/>
        </w:rPr>
        <w:t>: אינו נותן לו אלא דמי שבתו שבכל יום ויום</w:t>
      </w:r>
      <w:r>
        <w:rPr>
          <w:rStyle w:val="a7"/>
          <w:rFonts w:cs="Arial"/>
          <w:rtl/>
        </w:rPr>
        <w:footnoteReference w:id="1571"/>
      </w:r>
      <w:r w:rsidRPr="004C599D">
        <w:rPr>
          <w:rFonts w:cs="Arial"/>
          <w:rtl/>
        </w:rPr>
        <w:t>.</w:t>
      </w:r>
      <w:r>
        <w:rPr>
          <w:rFonts w:cs="Arial" w:hint="cs"/>
          <w:rtl/>
        </w:rPr>
        <w:t xml:space="preserve"> </w:t>
      </w:r>
      <w:r w:rsidRPr="00D2158C">
        <w:rPr>
          <w:rFonts w:cs="Arial" w:hint="cs"/>
          <w:sz w:val="16"/>
          <w:szCs w:val="16"/>
          <w:rtl/>
        </w:rPr>
        <w:t>(</w:t>
      </w:r>
      <w:r w:rsidRPr="00D2158C">
        <w:rPr>
          <w:rFonts w:cs="Arial"/>
          <w:sz w:val="16"/>
          <w:szCs w:val="16"/>
          <w:rtl/>
        </w:rPr>
        <w:t>וידוע דהלכה כרבא וכבר כתב רבינו דינים אלו בארוכה בטור חושן משפט סימן ת"כ</w:t>
      </w:r>
      <w:r>
        <w:rPr>
          <w:rFonts w:cs="Arial" w:hint="cs"/>
          <w:sz w:val="16"/>
          <w:szCs w:val="16"/>
          <w:rtl/>
        </w:rPr>
        <w:t>, ב"י)</w:t>
      </w:r>
    </w:p>
    <w:p w14:paraId="3D54930B" w14:textId="77777777" w:rsidR="002E5BAD" w:rsidRPr="0092024D" w:rsidRDefault="002E5BAD" w:rsidP="002E5BAD">
      <w:pPr>
        <w:rPr>
          <w:u w:val="single"/>
          <w:rtl/>
        </w:rPr>
      </w:pPr>
      <w:r w:rsidRPr="0092024D">
        <w:rPr>
          <w:rFonts w:cs="Arial"/>
          <w:u w:val="single"/>
          <w:rtl/>
        </w:rPr>
        <w:t>אשת איש שחבלו בה</w:t>
      </w:r>
      <w:r>
        <w:rPr>
          <w:rStyle w:val="a7"/>
          <w:rFonts w:cs="Arial"/>
          <w:u w:val="single"/>
          <w:rtl/>
        </w:rPr>
        <w:footnoteReference w:id="1572"/>
      </w:r>
      <w:r w:rsidRPr="0092024D">
        <w:rPr>
          <w:rFonts w:hint="cs"/>
          <w:u w:val="single"/>
          <w:rtl/>
        </w:rPr>
        <w:t>:</w:t>
      </w:r>
    </w:p>
    <w:p w14:paraId="7099D17A" w14:textId="77777777" w:rsidR="002E5BAD" w:rsidRPr="0092024D" w:rsidRDefault="002E5BAD" w:rsidP="002E5BAD">
      <w:pPr>
        <w:ind w:left="360"/>
        <w:rPr>
          <w:u w:val="dotted"/>
        </w:rPr>
      </w:pPr>
      <w:r w:rsidRPr="0092024D">
        <w:rPr>
          <w:rFonts w:hint="cs"/>
          <w:u w:val="dotted"/>
          <w:rtl/>
        </w:rPr>
        <w:t>שבת</w:t>
      </w:r>
      <w:r>
        <w:rPr>
          <w:rFonts w:hint="cs"/>
          <w:u w:val="dotted"/>
          <w:rtl/>
        </w:rPr>
        <w:t xml:space="preserve"> צער וריפוי</w:t>
      </w:r>
      <w:r w:rsidRPr="0092024D">
        <w:rPr>
          <w:rFonts w:hint="cs"/>
          <w:u w:val="dotted"/>
          <w:rtl/>
        </w:rPr>
        <w:t>:</w:t>
      </w:r>
    </w:p>
    <w:p w14:paraId="58063645" w14:textId="77777777" w:rsidR="002E5BAD" w:rsidRDefault="002E5BAD" w:rsidP="002E5BAD">
      <w:pPr>
        <w:pStyle w:val="ab"/>
        <w:numPr>
          <w:ilvl w:val="0"/>
          <w:numId w:val="178"/>
        </w:numPr>
      </w:pPr>
      <w:r>
        <w:rPr>
          <w:rFonts w:cs="Arial" w:hint="cs"/>
          <w:rtl/>
        </w:rPr>
        <w:t>רא"ש</w:t>
      </w:r>
      <w:r w:rsidRPr="00D95442">
        <w:rPr>
          <w:rFonts w:cs="Arial" w:hint="cs"/>
          <w:sz w:val="16"/>
          <w:szCs w:val="16"/>
          <w:rtl/>
        </w:rPr>
        <w:t xml:space="preserve"> </w:t>
      </w:r>
      <w:r w:rsidRPr="00D95442">
        <w:rPr>
          <w:rFonts w:cs="Arial"/>
          <w:sz w:val="16"/>
          <w:szCs w:val="16"/>
          <w:rtl/>
        </w:rPr>
        <w:t>(</w:t>
      </w:r>
      <w:r>
        <w:rPr>
          <w:rFonts w:cs="Arial" w:hint="cs"/>
          <w:sz w:val="16"/>
          <w:szCs w:val="16"/>
          <w:rtl/>
        </w:rPr>
        <w:t xml:space="preserve">כתובות פ' מציאת האשה </w:t>
      </w:r>
      <w:r w:rsidRPr="00D95442">
        <w:rPr>
          <w:rFonts w:cs="Arial"/>
          <w:sz w:val="16"/>
          <w:szCs w:val="16"/>
          <w:rtl/>
        </w:rPr>
        <w:t>סי' א)</w:t>
      </w:r>
      <w:r w:rsidRPr="00D95442">
        <w:rPr>
          <w:rFonts w:cs="Arial"/>
          <w:rtl/>
        </w:rPr>
        <w:t xml:space="preserve"> </w:t>
      </w:r>
      <w:r>
        <w:rPr>
          <w:rFonts w:cs="Arial" w:hint="cs"/>
          <w:rtl/>
        </w:rPr>
        <w:t>ו</w:t>
      </w:r>
      <w:r w:rsidRPr="006265B1">
        <w:rPr>
          <w:rFonts w:cs="Arial" w:hint="cs"/>
          <w:rtl/>
        </w:rPr>
        <w:t xml:space="preserve">טור- </w:t>
      </w:r>
      <w:r w:rsidRPr="006265B1">
        <w:rPr>
          <w:rFonts w:cs="Arial"/>
          <w:rtl/>
        </w:rPr>
        <w:t>אשת איש שחבלו בה</w:t>
      </w:r>
      <w:r>
        <w:rPr>
          <w:rFonts w:cs="Arial" w:hint="cs"/>
          <w:rtl/>
        </w:rPr>
        <w:t>,</w:t>
      </w:r>
      <w:r w:rsidRPr="006265B1">
        <w:rPr>
          <w:rFonts w:cs="Arial"/>
          <w:rtl/>
        </w:rPr>
        <w:t xml:space="preserve"> השבת לבעלה</w:t>
      </w:r>
      <w:r>
        <w:rPr>
          <w:rFonts w:cs="Arial" w:hint="cs"/>
          <w:rtl/>
        </w:rPr>
        <w:t>,</w:t>
      </w:r>
      <w:r w:rsidRPr="006265B1">
        <w:rPr>
          <w:rFonts w:cs="Arial"/>
          <w:rtl/>
        </w:rPr>
        <w:t xml:space="preserve"> כיון שמעשה ידיה שלו והרי היא מתבטלת ממעשה ידיה</w:t>
      </w:r>
      <w:r>
        <w:rPr>
          <w:rFonts w:cs="Arial" w:hint="cs"/>
          <w:rtl/>
        </w:rPr>
        <w:t>.</w:t>
      </w:r>
      <w:r w:rsidRPr="006265B1">
        <w:rPr>
          <w:rFonts w:cs="Arial"/>
          <w:rtl/>
        </w:rPr>
        <w:t xml:space="preserve"> ולא כל מה שמתבטלת ממלאכתה הראשונה</w:t>
      </w:r>
      <w:r>
        <w:rPr>
          <w:rFonts w:cs="Arial" w:hint="cs"/>
          <w:rtl/>
        </w:rPr>
        <w:t>,</w:t>
      </w:r>
      <w:r w:rsidRPr="006265B1">
        <w:rPr>
          <w:rFonts w:cs="Arial"/>
          <w:rtl/>
        </w:rPr>
        <w:t xml:space="preserve"> שאם היתה טווה מתחילה וחתך ידיה והרי אינה ראויה אלא לשמור קישואין</w:t>
      </w:r>
      <w:r>
        <w:rPr>
          <w:rFonts w:cs="Arial" w:hint="cs"/>
          <w:rtl/>
        </w:rPr>
        <w:t>,</w:t>
      </w:r>
      <w:r w:rsidRPr="006265B1">
        <w:rPr>
          <w:rFonts w:cs="Arial"/>
          <w:rtl/>
        </w:rPr>
        <w:t xml:space="preserve"> היינו בכלל פגם שהוא נזק והוא שלו</w:t>
      </w:r>
      <w:r>
        <w:rPr>
          <w:rStyle w:val="a7"/>
          <w:rFonts w:cs="Arial"/>
          <w:rtl/>
        </w:rPr>
        <w:footnoteReference w:id="1573"/>
      </w:r>
      <w:r>
        <w:rPr>
          <w:rFonts w:cs="Arial" w:hint="cs"/>
          <w:rtl/>
        </w:rPr>
        <w:t>,</w:t>
      </w:r>
      <w:r w:rsidRPr="006265B1">
        <w:rPr>
          <w:rFonts w:cs="Arial"/>
          <w:rtl/>
        </w:rPr>
        <w:t xml:space="preserve"> אלא נותן לו כל ימי חליה ביטול של שמירת קישואין</w:t>
      </w:r>
      <w:r>
        <w:rPr>
          <w:rFonts w:cs="Arial" w:hint="cs"/>
          <w:rtl/>
        </w:rPr>
        <w:t>.</w:t>
      </w:r>
      <w:r w:rsidRPr="006265B1">
        <w:rPr>
          <w:rFonts w:cs="Arial"/>
          <w:rtl/>
        </w:rPr>
        <w:t xml:space="preserve"> ואם חבלו בה ולא איפחיתא מכספה</w:t>
      </w:r>
      <w:r>
        <w:rPr>
          <w:rFonts w:cs="Arial" w:hint="cs"/>
          <w:rtl/>
        </w:rPr>
        <w:t>,</w:t>
      </w:r>
      <w:r w:rsidRPr="006265B1">
        <w:rPr>
          <w:rFonts w:cs="Arial"/>
          <w:rtl/>
        </w:rPr>
        <w:t xml:space="preserve"> כגון שצמתה ידה וסופה לחזור</w:t>
      </w:r>
      <w:r>
        <w:rPr>
          <w:rFonts w:cs="Arial" w:hint="cs"/>
          <w:rtl/>
        </w:rPr>
        <w:t>,</w:t>
      </w:r>
      <w:r w:rsidRPr="006265B1">
        <w:rPr>
          <w:rFonts w:cs="Arial"/>
          <w:rtl/>
        </w:rPr>
        <w:t xml:space="preserve"> אין כאן אלא שבת לחוד</w:t>
      </w:r>
      <w:r>
        <w:rPr>
          <w:rFonts w:cs="Arial" w:hint="cs"/>
          <w:rtl/>
        </w:rPr>
        <w:t>,</w:t>
      </w:r>
      <w:r w:rsidRPr="006265B1">
        <w:rPr>
          <w:rFonts w:cs="Arial"/>
          <w:rtl/>
        </w:rPr>
        <w:t xml:space="preserve"> ואותו כולו של הבעל</w:t>
      </w:r>
      <w:r>
        <w:rPr>
          <w:rFonts w:cs="Arial" w:hint="cs"/>
          <w:rtl/>
        </w:rPr>
        <w:t>,</w:t>
      </w:r>
      <w:r w:rsidRPr="006265B1">
        <w:rPr>
          <w:rFonts w:cs="Arial"/>
          <w:rtl/>
        </w:rPr>
        <w:t xml:space="preserve"> והצער שלה</w:t>
      </w:r>
      <w:r>
        <w:rPr>
          <w:rFonts w:cs="Arial" w:hint="cs"/>
          <w:rtl/>
        </w:rPr>
        <w:t>.</w:t>
      </w:r>
      <w:r w:rsidRPr="006265B1">
        <w:rPr>
          <w:rFonts w:cs="Arial"/>
          <w:rtl/>
        </w:rPr>
        <w:t xml:space="preserve"> ואם אמדוה שתתרפא בה' ימים ועבדו לה סמא חריפא ואיתסית בתלתא יומי היינו בכלל הצער שציערה עצמה בסם חריף כדי להשתכר המותר והוא שלה</w:t>
      </w:r>
      <w:r>
        <w:rPr>
          <w:rFonts w:cs="Arial" w:hint="cs"/>
          <w:rtl/>
        </w:rPr>
        <w:t>.</w:t>
      </w:r>
      <w:r w:rsidRPr="006265B1">
        <w:rPr>
          <w:rFonts w:cs="Arial"/>
          <w:rtl/>
        </w:rPr>
        <w:t xml:space="preserve"> </w:t>
      </w:r>
      <w:r>
        <w:rPr>
          <w:rFonts w:cs="Arial" w:hint="cs"/>
          <w:rtl/>
        </w:rPr>
        <w:t>ו</w:t>
      </w:r>
      <w:r w:rsidRPr="006265B1">
        <w:rPr>
          <w:rFonts w:cs="Arial"/>
          <w:rtl/>
        </w:rPr>
        <w:t>הריפוי ינתן לרופא לרפאותה</w:t>
      </w:r>
      <w:r>
        <w:rPr>
          <w:rFonts w:cs="Arial" w:hint="cs"/>
          <w:sz w:val="16"/>
          <w:szCs w:val="16"/>
          <w:rtl/>
        </w:rPr>
        <w:t xml:space="preserve"> (ל' הטור)</w:t>
      </w:r>
      <w:r>
        <w:rPr>
          <w:rFonts w:cs="Arial" w:hint="cs"/>
          <w:rtl/>
        </w:rPr>
        <w:t>.</w:t>
      </w:r>
    </w:p>
    <w:p w14:paraId="015CE623" w14:textId="77777777" w:rsidR="002E5BAD" w:rsidRDefault="002E5BAD" w:rsidP="002E5BAD">
      <w:pPr>
        <w:pStyle w:val="ab"/>
        <w:numPr>
          <w:ilvl w:val="0"/>
          <w:numId w:val="178"/>
        </w:numPr>
        <w:rPr>
          <w:rtl/>
        </w:rPr>
      </w:pPr>
      <w:r>
        <w:rPr>
          <w:rFonts w:cs="Arial" w:hint="cs"/>
          <w:rtl/>
        </w:rPr>
        <w:t xml:space="preserve">רמב"ם </w:t>
      </w:r>
      <w:r>
        <w:rPr>
          <w:rFonts w:cs="Arial" w:hint="cs"/>
          <w:sz w:val="16"/>
          <w:szCs w:val="16"/>
          <w:rtl/>
        </w:rPr>
        <w:t>(פ"ד מחובל ומזיק הט"ו)</w:t>
      </w:r>
      <w:r>
        <w:rPr>
          <w:rFonts w:cs="Arial" w:hint="cs"/>
          <w:rtl/>
        </w:rPr>
        <w:t xml:space="preserve">- </w:t>
      </w:r>
      <w:r>
        <w:rPr>
          <w:rFonts w:cs="Arial"/>
          <w:rtl/>
        </w:rPr>
        <w:t>החובל באשת איש השבת והרפוי לבעלה</w:t>
      </w:r>
      <w:r>
        <w:rPr>
          <w:rStyle w:val="a7"/>
          <w:rFonts w:cs="Arial"/>
          <w:rtl/>
        </w:rPr>
        <w:footnoteReference w:id="1574"/>
      </w:r>
      <w:r>
        <w:rPr>
          <w:rFonts w:cs="Arial"/>
          <w:rtl/>
        </w:rPr>
        <w:t xml:space="preserve"> והצער שלה</w:t>
      </w:r>
      <w:r>
        <w:rPr>
          <w:rFonts w:cs="Arial" w:hint="cs"/>
          <w:rtl/>
        </w:rPr>
        <w:t>.</w:t>
      </w:r>
      <w:r w:rsidRPr="00D06CE2">
        <w:rPr>
          <w:rFonts w:hint="cs"/>
          <w:color w:val="E36C0A" w:themeColor="accent6" w:themeShade="BF"/>
          <w:rtl/>
        </w:rPr>
        <w:t xml:space="preserve"> </w:t>
      </w:r>
      <w:r w:rsidRPr="007B430E">
        <w:rPr>
          <w:rFonts w:hint="cs"/>
          <w:color w:val="E36C0A" w:themeColor="accent6" w:themeShade="BF"/>
          <w:rtl/>
        </w:rPr>
        <w:t>(וכ"פ בשו"ע)</w:t>
      </w:r>
    </w:p>
    <w:p w14:paraId="63F583DC" w14:textId="77777777" w:rsidR="002E5BAD" w:rsidRPr="00245718" w:rsidRDefault="002E5BAD" w:rsidP="002E5BAD">
      <w:pPr>
        <w:ind w:left="360"/>
        <w:rPr>
          <w:u w:val="dotted"/>
        </w:rPr>
      </w:pPr>
      <w:r w:rsidRPr="0092024D">
        <w:rPr>
          <w:rFonts w:hint="cs"/>
          <w:u w:val="dotted"/>
          <w:rtl/>
        </w:rPr>
        <w:t xml:space="preserve">בושת </w:t>
      </w:r>
      <w:r>
        <w:rPr>
          <w:rFonts w:hint="cs"/>
          <w:u w:val="dotted"/>
          <w:rtl/>
        </w:rPr>
        <w:t>ונזק</w:t>
      </w:r>
      <w:r w:rsidRPr="0092024D">
        <w:rPr>
          <w:rFonts w:hint="cs"/>
          <w:u w:val="dotted"/>
          <w:rtl/>
        </w:rPr>
        <w:t>:</w:t>
      </w:r>
    </w:p>
    <w:p w14:paraId="5CD08323" w14:textId="77777777" w:rsidR="002E5BAD" w:rsidRDefault="002E5BAD" w:rsidP="002E5BAD">
      <w:pPr>
        <w:pStyle w:val="ab"/>
        <w:numPr>
          <w:ilvl w:val="0"/>
          <w:numId w:val="178"/>
        </w:numPr>
      </w:pPr>
      <w:r>
        <w:rPr>
          <w:rFonts w:cs="Arial" w:hint="cs"/>
          <w:rtl/>
        </w:rPr>
        <w:t xml:space="preserve">רמב"ם </w:t>
      </w:r>
      <w:r>
        <w:rPr>
          <w:rFonts w:cs="Arial" w:hint="cs"/>
          <w:sz w:val="16"/>
          <w:szCs w:val="16"/>
          <w:rtl/>
        </w:rPr>
        <w:t>(פ"ד מחובל ומזיק הט"ו)</w:t>
      </w:r>
      <w:r>
        <w:rPr>
          <w:rFonts w:cs="Arial" w:hint="cs"/>
          <w:rtl/>
        </w:rPr>
        <w:t xml:space="preserve"> וטור- </w:t>
      </w:r>
      <w:r>
        <w:rPr>
          <w:rFonts w:cs="Arial"/>
          <w:rtl/>
        </w:rPr>
        <w:t>הבושת והנזק אם בגלוי הוא</w:t>
      </w:r>
      <w:r>
        <w:rPr>
          <w:rFonts w:cs="Arial" w:hint="cs"/>
          <w:rtl/>
        </w:rPr>
        <w:t>,</w:t>
      </w:r>
      <w:r>
        <w:rPr>
          <w:rFonts w:cs="Arial"/>
          <w:rtl/>
        </w:rPr>
        <w:t xml:space="preserve"> כגון שחבל בפניה ובצוארה או בידיה וזרועותיה </w:t>
      </w:r>
      <w:r>
        <w:rPr>
          <w:rFonts w:cs="Arial" w:hint="cs"/>
          <w:rtl/>
        </w:rPr>
        <w:t xml:space="preserve">- </w:t>
      </w:r>
      <w:r>
        <w:rPr>
          <w:rFonts w:cs="Arial"/>
          <w:rtl/>
        </w:rPr>
        <w:t>השליש שלה ושני שלישים לבעל, ואם בסתר הוא הנזק</w:t>
      </w:r>
      <w:r>
        <w:rPr>
          <w:rFonts w:cs="Arial" w:hint="cs"/>
          <w:rtl/>
        </w:rPr>
        <w:t xml:space="preserve"> -</w:t>
      </w:r>
      <w:r>
        <w:rPr>
          <w:rFonts w:cs="Arial"/>
          <w:rtl/>
        </w:rPr>
        <w:t xml:space="preserve"> השליש לבעל ושני שלישים לאשה</w:t>
      </w:r>
      <w:r>
        <w:rPr>
          <w:rFonts w:cs="Arial" w:hint="cs"/>
          <w:rtl/>
        </w:rPr>
        <w:t>.</w:t>
      </w:r>
      <w:r>
        <w:rPr>
          <w:rFonts w:cs="Arial"/>
          <w:rtl/>
        </w:rPr>
        <w:t xml:space="preserve"> של בעל נותנין לו מיד</w:t>
      </w:r>
      <w:r>
        <w:rPr>
          <w:rFonts w:cs="Arial" w:hint="cs"/>
          <w:rtl/>
        </w:rPr>
        <w:t>,</w:t>
      </w:r>
      <w:r>
        <w:rPr>
          <w:rFonts w:cs="Arial"/>
          <w:rtl/>
        </w:rPr>
        <w:t xml:space="preserve"> ושל אשה ילקח בהן קרקע והבעל אוכל פירות</w:t>
      </w:r>
      <w:r>
        <w:rPr>
          <w:rFonts w:cs="Arial" w:hint="cs"/>
          <w:sz w:val="16"/>
          <w:szCs w:val="16"/>
          <w:rtl/>
        </w:rPr>
        <w:t xml:space="preserve"> (ל' הרמב"ם)</w:t>
      </w:r>
      <w:r>
        <w:rPr>
          <w:rFonts w:cs="Arial"/>
          <w:rtl/>
        </w:rPr>
        <w:t>.</w:t>
      </w:r>
      <w:r w:rsidRPr="00D06CE2">
        <w:rPr>
          <w:rFonts w:hint="cs"/>
          <w:color w:val="E36C0A" w:themeColor="accent6" w:themeShade="BF"/>
          <w:rtl/>
        </w:rPr>
        <w:t xml:space="preserve"> </w:t>
      </w:r>
      <w:r w:rsidRPr="007B430E">
        <w:rPr>
          <w:rFonts w:hint="cs"/>
          <w:color w:val="E36C0A" w:themeColor="accent6" w:themeShade="BF"/>
          <w:rtl/>
        </w:rPr>
        <w:t>(וכ"פ בשו"ע)</w:t>
      </w:r>
    </w:p>
    <w:p w14:paraId="4643B074" w14:textId="77777777" w:rsidR="002E5BAD" w:rsidRPr="005E62CB" w:rsidRDefault="002E5BAD" w:rsidP="002E5BAD">
      <w:pPr>
        <w:ind w:left="360"/>
        <w:rPr>
          <w:u w:val="dotted"/>
        </w:rPr>
      </w:pPr>
      <w:r w:rsidRPr="005E62CB">
        <w:rPr>
          <w:rFonts w:hint="cs"/>
          <w:u w:val="dotted"/>
          <w:rtl/>
        </w:rPr>
        <w:t xml:space="preserve">האם יש הבדל </w:t>
      </w:r>
      <w:r>
        <w:rPr>
          <w:rFonts w:hint="cs"/>
          <w:u w:val="dotted"/>
          <w:rtl/>
        </w:rPr>
        <w:t xml:space="preserve">בכל הנ"ל </w:t>
      </w:r>
      <w:r w:rsidRPr="005E62CB">
        <w:rPr>
          <w:rFonts w:hint="cs"/>
          <w:u w:val="dotted"/>
          <w:rtl/>
        </w:rPr>
        <w:t>בין שאחר חבל בה לבין שבעלה חבל בה:</w:t>
      </w:r>
    </w:p>
    <w:p w14:paraId="2DD52AB5" w14:textId="77777777" w:rsidR="002E5BAD" w:rsidRPr="004C5E9C" w:rsidRDefault="002E5BAD" w:rsidP="002E5BAD">
      <w:pPr>
        <w:pStyle w:val="ab"/>
        <w:numPr>
          <w:ilvl w:val="0"/>
          <w:numId w:val="178"/>
        </w:numPr>
      </w:pPr>
      <w:r>
        <w:rPr>
          <w:rFonts w:cs="Arial" w:hint="cs"/>
          <w:rtl/>
        </w:rPr>
        <w:lastRenderedPageBreak/>
        <w:t xml:space="preserve">רמב"ם </w:t>
      </w:r>
      <w:r>
        <w:rPr>
          <w:rFonts w:cs="Arial" w:hint="cs"/>
          <w:sz w:val="16"/>
          <w:szCs w:val="16"/>
          <w:rtl/>
        </w:rPr>
        <w:t>(פ"ד מחובל ומזיק הט"ז)</w:t>
      </w:r>
      <w:r>
        <w:rPr>
          <w:rFonts w:cs="Arial" w:hint="cs"/>
          <w:rtl/>
        </w:rPr>
        <w:t xml:space="preserve">- </w:t>
      </w:r>
      <w:r>
        <w:rPr>
          <w:rFonts w:cs="Arial"/>
          <w:rtl/>
        </w:rPr>
        <w:t>במה דברים אמורים בשחבלו בה אחרים</w:t>
      </w:r>
      <w:r>
        <w:rPr>
          <w:rFonts w:cs="Arial" w:hint="cs"/>
          <w:rtl/>
        </w:rPr>
        <w:t>,</w:t>
      </w:r>
      <w:r>
        <w:rPr>
          <w:rFonts w:cs="Arial"/>
          <w:rtl/>
        </w:rPr>
        <w:t xml:space="preserve"> אבל הבעל שחבל באשתו </w:t>
      </w:r>
      <w:r>
        <w:rPr>
          <w:rFonts w:cs="Arial" w:hint="cs"/>
          <w:rtl/>
        </w:rPr>
        <w:t xml:space="preserve">- </w:t>
      </w:r>
      <w:r>
        <w:rPr>
          <w:rFonts w:cs="Arial"/>
          <w:rtl/>
        </w:rPr>
        <w:t>חייב לשלם לה מיד כל הנזק והצער וכל הבושת</w:t>
      </w:r>
      <w:r>
        <w:rPr>
          <w:rFonts w:cs="Arial" w:hint="cs"/>
          <w:rtl/>
        </w:rPr>
        <w:t>,</w:t>
      </w:r>
      <w:r>
        <w:rPr>
          <w:rFonts w:cs="Arial"/>
          <w:rtl/>
        </w:rPr>
        <w:t xml:space="preserve"> והכל שלה ואין לבעל בהן פירות</w:t>
      </w:r>
      <w:r>
        <w:rPr>
          <w:rStyle w:val="a7"/>
          <w:rFonts w:cs="Arial"/>
          <w:rtl/>
        </w:rPr>
        <w:footnoteReference w:id="1575"/>
      </w:r>
      <w:r>
        <w:rPr>
          <w:rFonts w:cs="Arial"/>
          <w:rtl/>
        </w:rPr>
        <w:t xml:space="preserve">, ואם רצתה ליתן הדמים לאחר </w:t>
      </w:r>
      <w:r>
        <w:rPr>
          <w:rFonts w:cs="Arial" w:hint="cs"/>
          <w:rtl/>
        </w:rPr>
        <w:t xml:space="preserve">- </w:t>
      </w:r>
      <w:r>
        <w:rPr>
          <w:rFonts w:cs="Arial"/>
          <w:rtl/>
        </w:rPr>
        <w:t>נותנת, וכזה הורו הגאונים, והבעל מרפא אותה כדרך שמרפא כל חליה</w:t>
      </w:r>
      <w:r>
        <w:rPr>
          <w:rFonts w:cs="Arial" w:hint="cs"/>
          <w:rtl/>
        </w:rPr>
        <w:t>.</w:t>
      </w:r>
      <w:r w:rsidRPr="006265B1">
        <w:rPr>
          <w:rFonts w:cs="Arial"/>
          <w:rtl/>
        </w:rPr>
        <w:t xml:space="preserve"> </w:t>
      </w:r>
      <w:r w:rsidRPr="007B430E">
        <w:rPr>
          <w:rFonts w:hint="cs"/>
          <w:color w:val="E36C0A" w:themeColor="accent6" w:themeShade="BF"/>
          <w:rtl/>
        </w:rPr>
        <w:t>(וכ"פ בשו"ע)</w:t>
      </w:r>
    </w:p>
    <w:p w14:paraId="65D4300D" w14:textId="77777777" w:rsidR="002E5BAD" w:rsidRPr="006E41FE" w:rsidRDefault="002E5BAD" w:rsidP="002E5BAD">
      <w:pPr>
        <w:pStyle w:val="ab"/>
        <w:numPr>
          <w:ilvl w:val="0"/>
          <w:numId w:val="178"/>
        </w:numPr>
      </w:pPr>
      <w:r>
        <w:rPr>
          <w:rFonts w:cs="Arial"/>
          <w:rtl/>
        </w:rPr>
        <w:t>ראב"ד</w:t>
      </w:r>
      <w:r>
        <w:rPr>
          <w:rStyle w:val="a7"/>
          <w:rFonts w:cs="Arial"/>
          <w:rtl/>
        </w:rPr>
        <w:footnoteReference w:id="1576"/>
      </w:r>
      <w:r>
        <w:rPr>
          <w:rFonts w:cs="Arial" w:hint="cs"/>
          <w:rtl/>
        </w:rPr>
        <w:t xml:space="preserve"> </w:t>
      </w:r>
      <w:r>
        <w:rPr>
          <w:rFonts w:cs="Arial" w:hint="cs"/>
          <w:sz w:val="16"/>
          <w:szCs w:val="16"/>
          <w:rtl/>
        </w:rPr>
        <w:t>(בהשגות שם)</w:t>
      </w:r>
      <w:r>
        <w:rPr>
          <w:rFonts w:cs="Arial" w:hint="cs"/>
          <w:rtl/>
        </w:rPr>
        <w:t xml:space="preserve"> וטור </w:t>
      </w:r>
      <w:r>
        <w:rPr>
          <w:rFonts w:cs="Arial" w:hint="cs"/>
          <w:sz w:val="16"/>
          <w:szCs w:val="16"/>
          <w:rtl/>
        </w:rPr>
        <w:t>(סי' פה סי"א)</w:t>
      </w:r>
      <w:r>
        <w:rPr>
          <w:rFonts w:cs="Arial" w:hint="cs"/>
          <w:rtl/>
        </w:rPr>
        <w:t>-</w:t>
      </w:r>
      <w:r>
        <w:rPr>
          <w:rFonts w:cs="Arial"/>
          <w:rtl/>
        </w:rPr>
        <w:t xml:space="preserve"> </w:t>
      </w:r>
      <w:r w:rsidRPr="007A228B">
        <w:rPr>
          <w:rFonts w:cs="Arial"/>
          <w:rtl/>
        </w:rPr>
        <w:t>כתבו הגאונים הבעל שחבל באשתו שמתחייב לה חלקה בבושתה ובפגמה קנסו אותו שאין לו בו כלום ואינו אוכל פירותיהם</w:t>
      </w:r>
      <w:r>
        <w:rPr>
          <w:rFonts w:cs="Arial" w:hint="cs"/>
          <w:rtl/>
        </w:rPr>
        <w:t xml:space="preserve"> </w:t>
      </w:r>
      <w:r>
        <w:rPr>
          <w:rFonts w:cs="Arial" w:hint="cs"/>
          <w:sz w:val="16"/>
          <w:szCs w:val="16"/>
          <w:rtl/>
        </w:rPr>
        <w:t>(ל' הטור)</w:t>
      </w:r>
      <w:r>
        <w:rPr>
          <w:rFonts w:cs="Arial" w:hint="cs"/>
          <w:rtl/>
        </w:rPr>
        <w:t>.</w:t>
      </w:r>
    </w:p>
    <w:p w14:paraId="18445BCF" w14:textId="77777777" w:rsidR="002E5BAD" w:rsidRPr="005E62CB" w:rsidRDefault="002E5BAD" w:rsidP="002E5BAD">
      <w:pPr>
        <w:ind w:left="360"/>
        <w:rPr>
          <w:u w:val="dotted"/>
        </w:rPr>
      </w:pPr>
      <w:r w:rsidRPr="005E62CB">
        <w:rPr>
          <w:rFonts w:hint="cs"/>
          <w:u w:val="dotted"/>
          <w:rtl/>
        </w:rPr>
        <w:t>האם יכולה האשה למחול למכה:</w:t>
      </w:r>
    </w:p>
    <w:p w14:paraId="1182DC0F" w14:textId="77777777" w:rsidR="002E5BAD" w:rsidRPr="004C5E9C" w:rsidRDefault="002E5BAD" w:rsidP="002E5BAD">
      <w:pPr>
        <w:pStyle w:val="ab"/>
        <w:numPr>
          <w:ilvl w:val="0"/>
          <w:numId w:val="178"/>
        </w:numPr>
      </w:pPr>
      <w:r>
        <w:rPr>
          <w:rFonts w:cs="Arial" w:hint="cs"/>
          <w:rtl/>
        </w:rPr>
        <w:t xml:space="preserve">רא"ש </w:t>
      </w:r>
      <w:r>
        <w:rPr>
          <w:rFonts w:cs="Arial" w:hint="cs"/>
          <w:sz w:val="16"/>
          <w:szCs w:val="16"/>
          <w:rtl/>
        </w:rPr>
        <w:t>(כלל מ סי' א)</w:t>
      </w:r>
      <w:r>
        <w:rPr>
          <w:rFonts w:cs="Arial" w:hint="cs"/>
          <w:rtl/>
        </w:rPr>
        <w:t xml:space="preserve"> וטור-</w:t>
      </w:r>
      <w:r w:rsidRPr="006265B1">
        <w:rPr>
          <w:rFonts w:cs="Arial"/>
          <w:rtl/>
        </w:rPr>
        <w:t xml:space="preserve"> אינה יכולה למחול לא על חלקה ולא על חלקו</w:t>
      </w:r>
      <w:r>
        <w:rPr>
          <w:rFonts w:cs="Arial" w:hint="cs"/>
          <w:rtl/>
        </w:rPr>
        <w:t>,</w:t>
      </w:r>
      <w:r w:rsidRPr="006265B1">
        <w:rPr>
          <w:rFonts w:cs="Arial"/>
          <w:rtl/>
        </w:rPr>
        <w:t xml:space="preserve"> ואם מחלה אינה מחילה</w:t>
      </w:r>
      <w:r>
        <w:rPr>
          <w:rStyle w:val="a7"/>
          <w:rFonts w:cs="Arial"/>
          <w:rtl/>
        </w:rPr>
        <w:footnoteReference w:id="1577"/>
      </w:r>
      <w:r>
        <w:rPr>
          <w:rFonts w:cs="Arial" w:hint="cs"/>
          <w:rtl/>
        </w:rPr>
        <w:t>.</w:t>
      </w:r>
      <w:r w:rsidRPr="006265B1">
        <w:rPr>
          <w:rFonts w:cs="Arial"/>
          <w:rtl/>
        </w:rPr>
        <w:t xml:space="preserve"> ומ"מ אינו יכול לתובעו אלא בהרשאתה</w:t>
      </w:r>
      <w:r>
        <w:rPr>
          <w:rStyle w:val="a7"/>
          <w:rFonts w:cs="Arial"/>
          <w:rtl/>
        </w:rPr>
        <w:footnoteReference w:id="1578"/>
      </w:r>
      <w:r>
        <w:rPr>
          <w:rFonts w:cs="Arial" w:hint="cs"/>
          <w:sz w:val="16"/>
          <w:szCs w:val="16"/>
          <w:rtl/>
        </w:rPr>
        <w:t xml:space="preserve"> (ל' הטור)</w:t>
      </w:r>
      <w:r>
        <w:rPr>
          <w:rFonts w:cs="Arial" w:hint="cs"/>
          <w:rtl/>
        </w:rPr>
        <w:t>.</w:t>
      </w:r>
      <w:r>
        <w:rPr>
          <w:rFonts w:hint="cs"/>
          <w:color w:val="E36C0A" w:themeColor="accent6" w:themeShade="BF"/>
          <w:rtl/>
        </w:rPr>
        <w:t xml:space="preserve"> </w:t>
      </w:r>
      <w:r w:rsidRPr="007B430E">
        <w:rPr>
          <w:rFonts w:hint="cs"/>
          <w:color w:val="E36C0A" w:themeColor="accent6" w:themeShade="BF"/>
          <w:rtl/>
        </w:rPr>
        <w:t>(וכ"פ בשו"ע)</w:t>
      </w:r>
    </w:p>
    <w:p w14:paraId="6440E657" w14:textId="77777777" w:rsidR="002E5BAD" w:rsidRPr="005E62CB" w:rsidRDefault="002E5BAD" w:rsidP="002E5BAD">
      <w:pPr>
        <w:rPr>
          <w:u w:val="single"/>
        </w:rPr>
      </w:pPr>
      <w:r w:rsidRPr="005E62CB">
        <w:rPr>
          <w:rFonts w:hint="cs"/>
          <w:u w:val="single"/>
          <w:rtl/>
        </w:rPr>
        <w:t>אשת איש שחרפו אותה בדברים:</w:t>
      </w:r>
    </w:p>
    <w:p w14:paraId="28D18EF8" w14:textId="77777777" w:rsidR="002E5BAD" w:rsidRPr="00315DDC" w:rsidRDefault="002E5BAD" w:rsidP="002E5BAD">
      <w:pPr>
        <w:pStyle w:val="ab"/>
        <w:numPr>
          <w:ilvl w:val="0"/>
          <w:numId w:val="178"/>
        </w:numPr>
        <w:rPr>
          <w:rtl/>
        </w:rPr>
      </w:pPr>
      <w:r>
        <w:rPr>
          <w:rFonts w:cs="Arial" w:hint="cs"/>
          <w:rtl/>
        </w:rPr>
        <w:t xml:space="preserve">טור- </w:t>
      </w:r>
      <w:r w:rsidRPr="006265B1">
        <w:rPr>
          <w:rFonts w:cs="Arial"/>
          <w:rtl/>
        </w:rPr>
        <w:t>וכן אם חירף אותה שום אדם בדברים</w:t>
      </w:r>
      <w:r>
        <w:rPr>
          <w:rFonts w:cs="Arial" w:hint="cs"/>
          <w:rtl/>
        </w:rPr>
        <w:t>,</w:t>
      </w:r>
      <w:r w:rsidRPr="006265B1">
        <w:rPr>
          <w:rFonts w:cs="Arial"/>
          <w:rtl/>
        </w:rPr>
        <w:t xml:space="preserve"> בגלוי לו שני חלקים</w:t>
      </w:r>
      <w:r>
        <w:rPr>
          <w:rFonts w:cs="Arial" w:hint="cs"/>
          <w:rtl/>
        </w:rPr>
        <w:t>,</w:t>
      </w:r>
      <w:r w:rsidRPr="006265B1">
        <w:rPr>
          <w:rFonts w:cs="Arial"/>
          <w:rtl/>
        </w:rPr>
        <w:t xml:space="preserve"> ולה</w:t>
      </w:r>
      <w:r>
        <w:rPr>
          <w:rFonts w:cs="Arial" w:hint="cs"/>
          <w:rtl/>
        </w:rPr>
        <w:t xml:space="preserve"> </w:t>
      </w:r>
      <w:r w:rsidRPr="006265B1">
        <w:rPr>
          <w:rFonts w:cs="Arial"/>
          <w:rtl/>
        </w:rPr>
        <w:t>חלק אחד</w:t>
      </w:r>
      <w:r>
        <w:rPr>
          <w:rFonts w:cs="Arial" w:hint="cs"/>
          <w:rtl/>
        </w:rPr>
        <w:t>,</w:t>
      </w:r>
      <w:r w:rsidRPr="006265B1">
        <w:rPr>
          <w:rFonts w:cs="Arial"/>
          <w:rtl/>
        </w:rPr>
        <w:t xml:space="preserve"> ואם חרפה בסתר </w:t>
      </w:r>
      <w:r>
        <w:rPr>
          <w:rFonts w:cs="Arial" w:hint="cs"/>
          <w:rtl/>
        </w:rPr>
        <w:t xml:space="preserve">- </w:t>
      </w:r>
      <w:r w:rsidRPr="006265B1">
        <w:rPr>
          <w:rFonts w:cs="Arial"/>
          <w:rtl/>
        </w:rPr>
        <w:t>לה שני חלקים ולו חלק א'</w:t>
      </w:r>
      <w:r>
        <w:rPr>
          <w:rStyle w:val="a7"/>
          <w:rFonts w:cs="Arial"/>
          <w:rtl/>
        </w:rPr>
        <w:footnoteReference w:id="1579"/>
      </w:r>
      <w:r>
        <w:rPr>
          <w:rFonts w:cs="Arial" w:hint="cs"/>
          <w:rtl/>
        </w:rPr>
        <w:t>.</w:t>
      </w:r>
    </w:p>
    <w:p w14:paraId="0A66812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974C24E" w14:textId="77777777" w:rsidR="002E5BAD" w:rsidRDefault="002E5BAD" w:rsidP="002E5BAD">
      <w:pPr>
        <w:rPr>
          <w:rtl/>
        </w:rPr>
      </w:pPr>
      <w:r>
        <w:rPr>
          <w:rFonts w:cs="Arial"/>
          <w:rtl/>
        </w:rPr>
        <w:t>החובל באשת איש, השבת</w:t>
      </w:r>
      <w:r>
        <w:rPr>
          <w:rStyle w:val="a7"/>
          <w:rFonts w:cs="Arial"/>
          <w:rtl/>
        </w:rPr>
        <w:footnoteReference w:id="1580"/>
      </w:r>
      <w:r>
        <w:rPr>
          <w:rFonts w:cs="Arial"/>
          <w:rtl/>
        </w:rPr>
        <w:t xml:space="preserve"> והריפוי</w:t>
      </w:r>
      <w:r>
        <w:rPr>
          <w:rStyle w:val="a7"/>
          <w:rFonts w:cs="Arial"/>
          <w:rtl/>
        </w:rPr>
        <w:footnoteReference w:id="1581"/>
      </w:r>
      <w:r>
        <w:rPr>
          <w:rFonts w:cs="Arial"/>
          <w:rtl/>
        </w:rPr>
        <w:t xml:space="preserve"> לבעלה</w:t>
      </w:r>
      <w:r>
        <w:rPr>
          <w:rFonts w:cs="Arial" w:hint="cs"/>
          <w:rtl/>
        </w:rPr>
        <w:t>.</w:t>
      </w:r>
      <w:r>
        <w:rPr>
          <w:rFonts w:cs="Arial"/>
          <w:rtl/>
        </w:rPr>
        <w:t xml:space="preserve"> והצער, שלה</w:t>
      </w:r>
      <w:r>
        <w:rPr>
          <w:rStyle w:val="a7"/>
          <w:rFonts w:cs="Arial"/>
          <w:rtl/>
        </w:rPr>
        <w:footnoteReference w:id="1582"/>
      </w:r>
      <w:r>
        <w:rPr>
          <w:rFonts w:cs="Arial" w:hint="cs"/>
          <w:rtl/>
        </w:rPr>
        <w:t>.</w:t>
      </w:r>
      <w:r>
        <w:rPr>
          <w:rFonts w:cs="Arial"/>
          <w:rtl/>
        </w:rPr>
        <w:t xml:space="preserve"> והבשת והנזק, אם בגלוי הוא, כגון שחבל בפניה ובצוארה או בידה וזרועותיה, השליש שלה</w:t>
      </w:r>
      <w:r>
        <w:rPr>
          <w:rFonts w:cs="Arial" w:hint="cs"/>
          <w:rtl/>
        </w:rPr>
        <w:t>,</w:t>
      </w:r>
      <w:r>
        <w:rPr>
          <w:rFonts w:cs="Arial"/>
          <w:rtl/>
        </w:rPr>
        <w:t xml:space="preserve"> ושני שלישים לבעל</w:t>
      </w:r>
      <w:r>
        <w:rPr>
          <w:rFonts w:cs="Arial" w:hint="cs"/>
          <w:rtl/>
        </w:rPr>
        <w:t>.</w:t>
      </w:r>
      <w:r>
        <w:rPr>
          <w:rFonts w:cs="Arial"/>
          <w:rtl/>
        </w:rPr>
        <w:t xml:space="preserve"> ואם בסתר הוא הנזק, השליש לבעל ו</w:t>
      </w:r>
      <w:r>
        <w:rPr>
          <w:rFonts w:cs="Arial" w:hint="cs"/>
          <w:rtl/>
        </w:rPr>
        <w:t>שני</w:t>
      </w:r>
      <w:r>
        <w:rPr>
          <w:rFonts w:cs="Arial"/>
          <w:rtl/>
        </w:rPr>
        <w:t xml:space="preserve"> שלישים לאשה. של בעל, נותנין לו מיד</w:t>
      </w:r>
      <w:r>
        <w:rPr>
          <w:rFonts w:cs="Arial" w:hint="cs"/>
          <w:rtl/>
        </w:rPr>
        <w:t>.</w:t>
      </w:r>
      <w:r>
        <w:rPr>
          <w:rFonts w:cs="Arial"/>
          <w:rtl/>
        </w:rPr>
        <w:t xml:space="preserve"> ושל אשה, ילקח בהם קרקע והבעל אוכל פירות</w:t>
      </w:r>
      <w:r>
        <w:rPr>
          <w:rStyle w:val="a7"/>
          <w:rFonts w:cs="Arial"/>
          <w:rtl/>
        </w:rPr>
        <w:footnoteReference w:id="1583"/>
      </w:r>
      <w:r>
        <w:rPr>
          <w:rFonts w:cs="Arial"/>
          <w:rtl/>
        </w:rPr>
        <w:t>. ואינה יכולה למחול, לא על חלקו ולא על חלקה</w:t>
      </w:r>
      <w:r>
        <w:rPr>
          <w:rStyle w:val="a7"/>
          <w:rFonts w:cs="Arial"/>
          <w:rtl/>
        </w:rPr>
        <w:footnoteReference w:id="1584"/>
      </w:r>
      <w:r>
        <w:rPr>
          <w:rFonts w:cs="Arial" w:hint="cs"/>
          <w:rtl/>
        </w:rPr>
        <w:t>.</w:t>
      </w:r>
      <w:r>
        <w:rPr>
          <w:rFonts w:cs="Arial"/>
          <w:rtl/>
        </w:rPr>
        <w:t xml:space="preserve"> ואם מחלה, אינה מחילה, ומ</w:t>
      </w:r>
      <w:r>
        <w:rPr>
          <w:rFonts w:cs="Arial" w:hint="cs"/>
          <w:rtl/>
        </w:rPr>
        <w:t xml:space="preserve">כל </w:t>
      </w:r>
      <w:r>
        <w:rPr>
          <w:rFonts w:cs="Arial"/>
          <w:rtl/>
        </w:rPr>
        <w:t>מ</w:t>
      </w:r>
      <w:r>
        <w:rPr>
          <w:rFonts w:cs="Arial" w:hint="cs"/>
          <w:rtl/>
        </w:rPr>
        <w:t>קום</w:t>
      </w:r>
      <w:r>
        <w:rPr>
          <w:rFonts w:cs="Arial"/>
          <w:rtl/>
        </w:rPr>
        <w:t xml:space="preserve"> אינו יכול לתבוע חלקה אלא בהרשאתה</w:t>
      </w:r>
      <w:r>
        <w:rPr>
          <w:rStyle w:val="a7"/>
          <w:rFonts w:cs="Arial"/>
          <w:rtl/>
        </w:rPr>
        <w:footnoteReference w:id="1585"/>
      </w:r>
      <w:r>
        <w:rPr>
          <w:rFonts w:cs="Arial"/>
          <w:rtl/>
        </w:rPr>
        <w:t>. ב</w:t>
      </w:r>
      <w:r>
        <w:rPr>
          <w:rFonts w:cs="Arial" w:hint="cs"/>
          <w:rtl/>
        </w:rPr>
        <w:t>מה דברים אמורים</w:t>
      </w:r>
      <w:r>
        <w:rPr>
          <w:rFonts w:cs="Arial"/>
          <w:rtl/>
        </w:rPr>
        <w:t xml:space="preserve">, </w:t>
      </w:r>
      <w:r>
        <w:rPr>
          <w:rFonts w:cs="Arial"/>
          <w:rtl/>
        </w:rPr>
        <w:lastRenderedPageBreak/>
        <w:t>כשחבלו בה אחרים, אבל הבעל שחבל באשתו חייב לשלם לה מיד כל הנזק וכל הבשת והצער</w:t>
      </w:r>
      <w:r>
        <w:rPr>
          <w:rStyle w:val="a7"/>
          <w:rFonts w:cs="Arial"/>
          <w:rtl/>
        </w:rPr>
        <w:footnoteReference w:id="1586"/>
      </w:r>
      <w:r>
        <w:rPr>
          <w:rFonts w:cs="Arial"/>
          <w:rtl/>
        </w:rPr>
        <w:t>, והכל שלה, ואין לבעל בהם פירות. ואם רצתה ליתן הדמים לאחר, נותנת</w:t>
      </w:r>
      <w:r>
        <w:rPr>
          <w:rStyle w:val="a7"/>
          <w:rFonts w:cs="Arial"/>
          <w:rtl/>
        </w:rPr>
        <w:footnoteReference w:id="1587"/>
      </w:r>
      <w:r>
        <w:rPr>
          <w:rFonts w:cs="Arial" w:hint="cs"/>
          <w:rtl/>
        </w:rPr>
        <w:t>.</w:t>
      </w:r>
      <w:r>
        <w:rPr>
          <w:rFonts w:cs="Arial"/>
          <w:rtl/>
        </w:rPr>
        <w:t xml:space="preserve"> והבעל מרפא אותה כדרך שמרפא כל חוליה. </w:t>
      </w:r>
      <w:r w:rsidRPr="00315DDC">
        <w:rPr>
          <w:rFonts w:cs="Arial"/>
          <w:sz w:val="18"/>
          <w:szCs w:val="18"/>
          <w:rtl/>
        </w:rPr>
        <w:t>הגה: חירף אותה שום אדם בדברים, אף על פי שהמבייש בדברים פטור, אם פייסוה בממון (ד"ע), אם חרפוה בגלוי</w:t>
      </w:r>
      <w:r>
        <w:rPr>
          <w:rStyle w:val="a7"/>
          <w:rFonts w:cs="Arial"/>
          <w:sz w:val="18"/>
          <w:szCs w:val="18"/>
          <w:rtl/>
        </w:rPr>
        <w:footnoteReference w:id="1588"/>
      </w:r>
      <w:r w:rsidRPr="00315DDC">
        <w:rPr>
          <w:rFonts w:cs="Arial"/>
          <w:sz w:val="18"/>
          <w:szCs w:val="18"/>
          <w:rtl/>
        </w:rPr>
        <w:t xml:space="preserve"> לו ב' חלקים ולה חלק א'</w:t>
      </w:r>
      <w:r>
        <w:rPr>
          <w:rFonts w:cs="Arial" w:hint="cs"/>
          <w:sz w:val="18"/>
          <w:szCs w:val="18"/>
          <w:rtl/>
        </w:rPr>
        <w:t>,</w:t>
      </w:r>
      <w:r w:rsidRPr="00315DDC">
        <w:rPr>
          <w:rFonts w:cs="Arial"/>
          <w:sz w:val="18"/>
          <w:szCs w:val="18"/>
          <w:rtl/>
        </w:rPr>
        <w:t xml:space="preserve"> ואם בסתר, לה ב' חלקים ולו חלק א' (טור).</w:t>
      </w:r>
      <w:r>
        <w:rPr>
          <w:rFonts w:cs="Arial"/>
          <w:rtl/>
        </w:rPr>
        <w:t xml:space="preserve"> </w:t>
      </w:r>
    </w:p>
    <w:p w14:paraId="2F4EF2B8" w14:textId="77777777" w:rsidR="002E5BAD" w:rsidRDefault="002E5BAD" w:rsidP="002E5BAD">
      <w:pPr>
        <w:rPr>
          <w:rtl/>
        </w:rPr>
      </w:pPr>
    </w:p>
    <w:p w14:paraId="02C24228" w14:textId="77777777" w:rsidR="002E5BAD" w:rsidRDefault="002E5BAD" w:rsidP="002E5BAD">
      <w:pPr>
        <w:pStyle w:val="2"/>
        <w:rPr>
          <w:rtl/>
        </w:rPr>
      </w:pPr>
      <w:r>
        <w:rPr>
          <w:rtl/>
        </w:rPr>
        <w:t>סעיף ב</w:t>
      </w:r>
      <w:r>
        <w:rPr>
          <w:rFonts w:hint="cs"/>
          <w:rtl/>
        </w:rPr>
        <w:t>: הזיק את אשתו בתשמיש המטה.</w:t>
      </w:r>
    </w:p>
    <w:p w14:paraId="7170ACAE" w14:textId="77777777" w:rsidR="002E5BAD" w:rsidRPr="006C3616" w:rsidRDefault="002E5BAD" w:rsidP="002E5BAD">
      <w:pPr>
        <w:rPr>
          <w:u w:val="single"/>
          <w:rtl/>
        </w:rPr>
      </w:pPr>
      <w:r w:rsidRPr="006C3616">
        <w:rPr>
          <w:rFonts w:cs="Arial"/>
          <w:u w:val="single"/>
          <w:rtl/>
        </w:rPr>
        <w:t>המזיק אשתו בתשמיש המטה</w:t>
      </w:r>
      <w:r w:rsidRPr="006C3616">
        <w:rPr>
          <w:rFonts w:hint="cs"/>
          <w:u w:val="single"/>
          <w:rtl/>
        </w:rPr>
        <w:t>:</w:t>
      </w:r>
    </w:p>
    <w:p w14:paraId="0A9D793E" w14:textId="77777777" w:rsidR="002E5BAD" w:rsidRPr="00315DDC" w:rsidRDefault="002E5BAD" w:rsidP="002E5BAD">
      <w:pPr>
        <w:pStyle w:val="ab"/>
        <w:numPr>
          <w:ilvl w:val="0"/>
          <w:numId w:val="178"/>
        </w:numPr>
        <w:rPr>
          <w:rtl/>
        </w:rPr>
      </w:pPr>
      <w:r w:rsidRPr="006C3616">
        <w:rPr>
          <w:rFonts w:cs="Arial" w:hint="cs"/>
          <w:rtl/>
        </w:rPr>
        <w:t>רמב"ם</w:t>
      </w:r>
      <w:r>
        <w:rPr>
          <w:rFonts w:cs="Arial" w:hint="cs"/>
          <w:rtl/>
        </w:rPr>
        <w:t xml:space="preserve"> </w:t>
      </w:r>
      <w:r>
        <w:rPr>
          <w:rFonts w:cs="Arial" w:hint="cs"/>
          <w:sz w:val="16"/>
          <w:szCs w:val="16"/>
          <w:rtl/>
        </w:rPr>
        <w:t>(פ"ד מחובל ומזיק הי"ז)</w:t>
      </w:r>
      <w:r>
        <w:rPr>
          <w:rFonts w:cs="Arial" w:hint="cs"/>
          <w:rtl/>
        </w:rPr>
        <w:t>-</w:t>
      </w:r>
      <w:r w:rsidRPr="006C3616">
        <w:rPr>
          <w:rFonts w:cs="Arial" w:hint="cs"/>
          <w:rtl/>
        </w:rPr>
        <w:t xml:space="preserve"> </w:t>
      </w:r>
      <w:r w:rsidRPr="006C3616">
        <w:rPr>
          <w:rFonts w:cs="Arial"/>
          <w:rtl/>
        </w:rPr>
        <w:t>והמזיק אשתו בתשמיש המטה חייב בנזקיה.</w:t>
      </w:r>
      <w:r w:rsidRPr="00D06CE2">
        <w:rPr>
          <w:rFonts w:hint="cs"/>
          <w:color w:val="E36C0A" w:themeColor="accent6" w:themeShade="BF"/>
          <w:rtl/>
        </w:rPr>
        <w:t xml:space="preserve"> </w:t>
      </w:r>
      <w:r w:rsidRPr="007B430E">
        <w:rPr>
          <w:rFonts w:hint="cs"/>
          <w:color w:val="E36C0A" w:themeColor="accent6" w:themeShade="BF"/>
          <w:rtl/>
        </w:rPr>
        <w:t>(וכ"פ בשו"ע)</w:t>
      </w:r>
    </w:p>
    <w:p w14:paraId="5640E47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28971C4" w14:textId="77777777" w:rsidR="002E5BAD" w:rsidRPr="000D2069" w:rsidRDefault="002E5BAD" w:rsidP="002E5BAD">
      <w:pPr>
        <w:rPr>
          <w:rtl/>
        </w:rPr>
        <w:sectPr w:rsidR="002E5BAD" w:rsidRPr="000D2069" w:rsidSect="00A347B3">
          <w:headerReference w:type="default" r:id="rId39"/>
          <w:footnotePr>
            <w:numRestart w:val="eachPage"/>
          </w:footnotePr>
          <w:pgSz w:w="11906" w:h="16838"/>
          <w:pgMar w:top="720" w:right="1134" w:bottom="720" w:left="1134" w:header="0" w:footer="0" w:gutter="0"/>
          <w:cols w:space="720"/>
          <w:bidi/>
          <w:rtlGutter/>
          <w:docGrid w:linePitch="360"/>
        </w:sectPr>
      </w:pPr>
      <w:r>
        <w:rPr>
          <w:rFonts w:cs="Arial"/>
          <w:rtl/>
        </w:rPr>
        <w:t>המזיק את אשתו בתשמיש המטה, חייב בנזקיה</w:t>
      </w:r>
      <w:r>
        <w:rPr>
          <w:rStyle w:val="a7"/>
          <w:rFonts w:cs="Arial"/>
          <w:rtl/>
        </w:rPr>
        <w:footnoteReference w:id="1589"/>
      </w:r>
      <w:r>
        <w:rPr>
          <w:rFonts w:cs="Arial"/>
          <w:rtl/>
        </w:rPr>
        <w:t>.</w:t>
      </w:r>
    </w:p>
    <w:p w14:paraId="3DDE1916" w14:textId="77777777" w:rsidR="002E5BAD" w:rsidRDefault="002E5BAD" w:rsidP="002E5BAD">
      <w:pPr>
        <w:pStyle w:val="1"/>
        <w:rPr>
          <w:rtl/>
        </w:rPr>
      </w:pPr>
      <w:r>
        <w:rPr>
          <w:rFonts w:hint="cs"/>
          <w:rtl/>
        </w:rPr>
        <w:lastRenderedPageBreak/>
        <w:t>סימן פד:</w:t>
      </w:r>
      <w:r w:rsidRPr="00C12B74">
        <w:rPr>
          <w:rtl/>
        </w:rPr>
        <w:t xml:space="preserve"> </w:t>
      </w:r>
      <w:r>
        <w:rPr>
          <w:rFonts w:cs="Arial"/>
          <w:rtl/>
        </w:rPr>
        <w:t xml:space="preserve">דין מציאת האשה, ובו סעיף אחד. </w:t>
      </w:r>
    </w:p>
    <w:p w14:paraId="0C753344" w14:textId="77777777" w:rsidR="002E5BAD" w:rsidRDefault="002E5BAD" w:rsidP="002E5BAD">
      <w:pPr>
        <w:pStyle w:val="2"/>
        <w:rPr>
          <w:rtl/>
        </w:rPr>
      </w:pPr>
      <w:r>
        <w:rPr>
          <w:rtl/>
        </w:rPr>
        <w:t>סעיף א</w:t>
      </w:r>
    </w:p>
    <w:p w14:paraId="073C7C1E" w14:textId="77777777" w:rsidR="002E5BAD" w:rsidRDefault="002E5BAD" w:rsidP="002E5BAD">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w:t>
      </w:r>
      <w:r>
        <w:rPr>
          <w:rFonts w:hint="cs"/>
          <w:rtl/>
        </w:rPr>
        <w:t>...</w:t>
      </w:r>
      <w:r w:rsidRPr="00863928">
        <w:rPr>
          <w:rtl/>
        </w:rPr>
        <w:t xml:space="preserve"> </w:t>
      </w:r>
      <w:r>
        <w:rPr>
          <w:rFonts w:hint="cs"/>
          <w:rtl/>
        </w:rPr>
        <w:t xml:space="preserve">      </w:t>
      </w:r>
      <w:r w:rsidRPr="00863928">
        <w:rPr>
          <w:rFonts w:hint="cs"/>
          <w:u w:val="double"/>
          <w:rtl/>
        </w:rPr>
        <w:t>גמ'</w:t>
      </w:r>
      <w:r w:rsidRPr="00863928">
        <w:rPr>
          <w:rFonts w:hint="cs"/>
          <w:sz w:val="14"/>
          <w:szCs w:val="14"/>
          <w:u w:val="double"/>
          <w:rtl/>
        </w:rPr>
        <w:t>(סו.)</w:t>
      </w:r>
      <w:r w:rsidRPr="00863928">
        <w:rPr>
          <w:rFonts w:hint="cs"/>
          <w:u w:val="double"/>
          <w:rtl/>
        </w:rPr>
        <w:t>:</w:t>
      </w:r>
      <w:r>
        <w:rPr>
          <w:rFonts w:hint="cs"/>
          <w:rtl/>
        </w:rPr>
        <w:t xml:space="preserve"> </w:t>
      </w:r>
      <w:r w:rsidRPr="00863928">
        <w:rPr>
          <w:rFonts w:cs="Arial"/>
          <w:u w:val="single"/>
          <w:rtl/>
        </w:rPr>
        <w:t>אמר רב פפא</w:t>
      </w:r>
      <w:r w:rsidRPr="00863928">
        <w:rPr>
          <w:rFonts w:cs="Arial"/>
          <w:rtl/>
        </w:rPr>
        <w:t>: מציאתה - כהעדפה שעל ידי הדחק דמי</w:t>
      </w:r>
      <w:r>
        <w:rPr>
          <w:rStyle w:val="a7"/>
          <w:rFonts w:cs="Arial"/>
          <w:rtl/>
        </w:rPr>
        <w:footnoteReference w:id="1590"/>
      </w:r>
      <w:r>
        <w:rPr>
          <w:rFonts w:hint="cs"/>
          <w:rtl/>
        </w:rPr>
        <w:t>.</w:t>
      </w:r>
    </w:p>
    <w:p w14:paraId="36723828" w14:textId="77777777" w:rsidR="002E5BAD" w:rsidRPr="00050C17" w:rsidRDefault="002E5BAD" w:rsidP="002E5BAD">
      <w:pPr>
        <w:rPr>
          <w:rFonts w:cs="Arial"/>
          <w:rtl/>
        </w:rPr>
      </w:pPr>
      <w:r>
        <w:rPr>
          <w:rFonts w:cs="Arial" w:hint="cs"/>
          <w:b/>
          <w:bCs/>
          <w:rtl/>
        </w:rPr>
        <w:t>בבא מציעא</w:t>
      </w:r>
      <w:r w:rsidRPr="003E00A2">
        <w:rPr>
          <w:rFonts w:cs="Arial" w:hint="cs"/>
          <w:b/>
          <w:bCs/>
          <w:rtl/>
        </w:rPr>
        <w:t xml:space="preserve"> </w:t>
      </w:r>
      <w:r w:rsidRPr="003E00A2">
        <w:rPr>
          <w:rFonts w:cs="Arial" w:hint="cs"/>
          <w:b/>
          <w:bCs/>
          <w:sz w:val="16"/>
          <w:szCs w:val="16"/>
          <w:rtl/>
        </w:rPr>
        <w:t>(</w:t>
      </w:r>
      <w:r>
        <w:rPr>
          <w:rFonts w:cs="Arial" w:hint="cs"/>
          <w:b/>
          <w:bCs/>
          <w:sz w:val="16"/>
          <w:szCs w:val="16"/>
          <w:rtl/>
        </w:rPr>
        <w:t>פ"ק</w:t>
      </w:r>
      <w:r w:rsidRPr="003E00A2">
        <w:rPr>
          <w:rFonts w:cs="Arial" w:hint="cs"/>
          <w:b/>
          <w:bCs/>
          <w:sz w:val="16"/>
          <w:szCs w:val="16"/>
          <w:rtl/>
        </w:rPr>
        <w:t xml:space="preserve">) </w:t>
      </w:r>
      <w:r>
        <w:rPr>
          <w:rFonts w:cs="Arial" w:hint="cs"/>
          <w:b/>
          <w:bCs/>
          <w:rtl/>
        </w:rPr>
        <w:t>יב</w:t>
      </w:r>
      <w:r w:rsidRPr="003E00A2">
        <w:rPr>
          <w:rFonts w:cs="Arial" w:hint="cs"/>
          <w:b/>
          <w:bCs/>
          <w:rtl/>
        </w:rPr>
        <w:t xml:space="preserve"> ע"</w:t>
      </w:r>
      <w:r>
        <w:rPr>
          <w:rFonts w:cs="Arial" w:hint="cs"/>
          <w:b/>
          <w:bCs/>
          <w:rtl/>
        </w:rPr>
        <w:t>א</w:t>
      </w:r>
      <w:r w:rsidRPr="003E00A2">
        <w:rPr>
          <w:rFonts w:cs="Arial" w:hint="cs"/>
          <w:b/>
          <w:bCs/>
          <w:rtl/>
        </w:rPr>
        <w:t xml:space="preserve">: </w:t>
      </w:r>
      <w:r w:rsidRPr="00E142C1">
        <w:rPr>
          <w:rFonts w:cs="Arial"/>
          <w:u w:val="double"/>
          <w:rtl/>
        </w:rPr>
        <w:t>מ</w:t>
      </w:r>
      <w:r>
        <w:rPr>
          <w:rFonts w:cs="Arial" w:hint="cs"/>
          <w:u w:val="double"/>
          <w:rtl/>
        </w:rPr>
        <w:t>שנה</w:t>
      </w:r>
      <w:r>
        <w:rPr>
          <w:rFonts w:cs="Arial" w:hint="cs"/>
          <w:rtl/>
        </w:rPr>
        <w:t xml:space="preserve">:.. </w:t>
      </w:r>
      <w:r>
        <w:rPr>
          <w:rFonts w:cs="Arial"/>
          <w:rtl/>
        </w:rPr>
        <w:t>מציאת אשתו - הרי אלו שלו.</w:t>
      </w:r>
      <w:r>
        <w:rPr>
          <w:rFonts w:cs="Arial" w:hint="cs"/>
          <w:rtl/>
        </w:rPr>
        <w:t>...</w:t>
      </w:r>
      <w:r>
        <w:rPr>
          <w:rFonts w:cs="Arial"/>
          <w:rtl/>
        </w:rPr>
        <w:t xml:space="preserve"> מציאת אשתו שגירשה אף על פי שלא נתן כתובה - הרי אלו שלהן. </w:t>
      </w:r>
      <w:r>
        <w:rPr>
          <w:rFonts w:hint="cs"/>
          <w:rtl/>
        </w:rPr>
        <w:t xml:space="preserve">       </w:t>
      </w:r>
      <w:r w:rsidRPr="00863928">
        <w:rPr>
          <w:rFonts w:cs="Arial"/>
          <w:u w:val="double"/>
          <w:rtl/>
        </w:rPr>
        <w:t>גמרא</w:t>
      </w:r>
      <w:r>
        <w:rPr>
          <w:rFonts w:cs="Arial" w:hint="cs"/>
          <w:sz w:val="14"/>
          <w:szCs w:val="14"/>
          <w:u w:val="double"/>
          <w:rtl/>
        </w:rPr>
        <w:t>(יב:)</w:t>
      </w:r>
      <w:r>
        <w:rPr>
          <w:rFonts w:cs="Arial" w:hint="cs"/>
          <w:u w:val="double"/>
          <w:rtl/>
        </w:rPr>
        <w:t>:</w:t>
      </w:r>
      <w:r>
        <w:rPr>
          <w:rFonts w:cs="Arial"/>
          <w:rtl/>
        </w:rPr>
        <w:t xml:space="preserve"> </w:t>
      </w:r>
      <w:r w:rsidRPr="004C03CA">
        <w:rPr>
          <w:rFonts w:cs="Arial"/>
          <w:rtl/>
        </w:rPr>
        <w:t>מציאת אשתו. גירשה, פשיטא! הכא במאי עסקינן - במגורשת ואינה מגורשת</w:t>
      </w:r>
      <w:r>
        <w:rPr>
          <w:rStyle w:val="a7"/>
          <w:rFonts w:cs="Arial"/>
          <w:rtl/>
        </w:rPr>
        <w:footnoteReference w:id="1591"/>
      </w:r>
      <w:r w:rsidRPr="004C03CA">
        <w:rPr>
          <w:rFonts w:cs="Arial"/>
          <w:rtl/>
        </w:rPr>
        <w:t xml:space="preserve">. </w:t>
      </w:r>
      <w:r w:rsidRPr="004C03CA">
        <w:rPr>
          <w:rFonts w:cs="Arial"/>
          <w:u w:val="single"/>
          <w:rtl/>
        </w:rPr>
        <w:t>דאמר רבי זירא אמר שמואל</w:t>
      </w:r>
      <w:r w:rsidRPr="004C03CA">
        <w:rPr>
          <w:rFonts w:cs="Arial"/>
          <w:rtl/>
        </w:rPr>
        <w:t>: כל מקום שאמרו חכמים מגורשת ואינה מגורשת - בעלה חייב במזונותיה</w:t>
      </w:r>
      <w:r>
        <w:rPr>
          <w:rStyle w:val="a7"/>
          <w:rFonts w:cs="Arial"/>
          <w:rtl/>
        </w:rPr>
        <w:footnoteReference w:id="1592"/>
      </w:r>
      <w:r w:rsidRPr="004C03CA">
        <w:rPr>
          <w:rFonts w:cs="Arial"/>
          <w:rtl/>
        </w:rPr>
        <w:t xml:space="preserve">. טעמא מאי אמור רבנן מציאת אשה לבעלה - כי היכי דלא תיהוי לה איבה, הכא - אית לה איבה ואיבה. </w:t>
      </w:r>
    </w:p>
    <w:p w14:paraId="56E12548" w14:textId="77777777" w:rsidR="002E5BAD" w:rsidRPr="00C11907" w:rsidRDefault="002E5BAD" w:rsidP="002E5BAD">
      <w:pPr>
        <w:rPr>
          <w:u w:val="single"/>
          <w:rtl/>
        </w:rPr>
      </w:pPr>
      <w:r w:rsidRPr="00C11907">
        <w:rPr>
          <w:rFonts w:hint="cs"/>
          <w:u w:val="single"/>
          <w:rtl/>
        </w:rPr>
        <w:t xml:space="preserve">מציאת האשה </w:t>
      </w:r>
      <w:r w:rsidRPr="00C11907">
        <w:rPr>
          <w:u w:val="single"/>
          <w:rtl/>
        </w:rPr>
        <w:t>–</w:t>
      </w:r>
      <w:r w:rsidRPr="00C11907">
        <w:rPr>
          <w:rFonts w:hint="cs"/>
          <w:u w:val="single"/>
          <w:rtl/>
        </w:rPr>
        <w:t xml:space="preserve"> למי:</w:t>
      </w:r>
    </w:p>
    <w:p w14:paraId="16601154" w14:textId="77777777" w:rsidR="002E5BAD" w:rsidRPr="0067570D" w:rsidRDefault="002E5BAD" w:rsidP="002E5BAD">
      <w:pPr>
        <w:pStyle w:val="ab"/>
        <w:numPr>
          <w:ilvl w:val="0"/>
          <w:numId w:val="178"/>
        </w:numPr>
      </w:pPr>
      <w:r w:rsidRPr="00FC70DE">
        <w:rPr>
          <w:rFonts w:cs="Arial" w:hint="cs"/>
          <w:rtl/>
        </w:rPr>
        <w:t xml:space="preserve">טור- </w:t>
      </w:r>
      <w:r w:rsidRPr="00FC70DE">
        <w:rPr>
          <w:rFonts w:cs="Arial"/>
          <w:rtl/>
        </w:rPr>
        <w:t>מציאת האשה לבעלה</w:t>
      </w:r>
      <w:r>
        <w:rPr>
          <w:rFonts w:cs="Arial" w:hint="cs"/>
          <w:rtl/>
        </w:rPr>
        <w:t>,</w:t>
      </w:r>
      <w:r w:rsidRPr="00FC70DE">
        <w:rPr>
          <w:rFonts w:cs="Arial"/>
          <w:rtl/>
        </w:rPr>
        <w:t xml:space="preserve"> אפי' דחקה עצמה עד שמצאה אותה</w:t>
      </w:r>
      <w:r>
        <w:rPr>
          <w:rFonts w:cs="Arial" w:hint="cs"/>
          <w:rtl/>
        </w:rPr>
        <w:t>.</w:t>
      </w:r>
      <w:r w:rsidRPr="00FC70DE">
        <w:rPr>
          <w:rFonts w:cs="Arial"/>
          <w:rtl/>
        </w:rPr>
        <w:t xml:space="preserve"> ודוקא אשת איש ודאי</w:t>
      </w:r>
      <w:r>
        <w:rPr>
          <w:rFonts w:cs="Arial" w:hint="cs"/>
          <w:rtl/>
        </w:rPr>
        <w:t>,</w:t>
      </w:r>
      <w:r w:rsidRPr="00FC70DE">
        <w:rPr>
          <w:rFonts w:cs="Arial"/>
          <w:rtl/>
        </w:rPr>
        <w:t xml:space="preserve"> אבל ספק מגורשת כגון שזרק לה גט ספק קרוב לו ספק קרוב לה</w:t>
      </w:r>
      <w:r>
        <w:rPr>
          <w:rFonts w:cs="Arial" w:hint="cs"/>
          <w:rtl/>
        </w:rPr>
        <w:t>,</w:t>
      </w:r>
      <w:r w:rsidRPr="00FC70DE">
        <w:rPr>
          <w:rFonts w:cs="Arial"/>
          <w:rtl/>
        </w:rPr>
        <w:t xml:space="preserve"> אף על פי שחייב במזונותיה </w:t>
      </w:r>
      <w:r>
        <w:rPr>
          <w:rFonts w:cs="Arial" w:hint="cs"/>
          <w:rtl/>
        </w:rPr>
        <w:t xml:space="preserve">- </w:t>
      </w:r>
      <w:r w:rsidRPr="00FC70DE">
        <w:rPr>
          <w:rFonts w:cs="Arial"/>
          <w:rtl/>
        </w:rPr>
        <w:t>מציאתה לעצמה</w:t>
      </w:r>
      <w:r>
        <w:rPr>
          <w:rFonts w:cs="Arial" w:hint="cs"/>
          <w:rtl/>
        </w:rPr>
        <w:t>.</w:t>
      </w:r>
      <w:r w:rsidRPr="007B430E">
        <w:rPr>
          <w:rFonts w:hint="cs"/>
          <w:color w:val="E36C0A" w:themeColor="accent6" w:themeShade="BF"/>
          <w:rtl/>
        </w:rPr>
        <w:t xml:space="preserve"> (וכ"פ בשו"ע)</w:t>
      </w:r>
    </w:p>
    <w:p w14:paraId="7E8572A4" w14:textId="77777777" w:rsidR="002E5BAD" w:rsidRPr="00863928" w:rsidRDefault="002E5BAD" w:rsidP="002E5BAD">
      <w:pPr>
        <w:ind w:left="360"/>
        <w:rPr>
          <w:u w:val="dotted"/>
        </w:rPr>
      </w:pPr>
      <w:r>
        <w:rPr>
          <w:rFonts w:hint="cs"/>
          <w:u w:val="dotted"/>
          <w:rtl/>
        </w:rPr>
        <w:t>ומה הדין כשה</w:t>
      </w:r>
      <w:r w:rsidRPr="00863928">
        <w:rPr>
          <w:rFonts w:hint="cs"/>
          <w:u w:val="dotted"/>
          <w:rtl/>
        </w:rPr>
        <w:t xml:space="preserve">אשה </w:t>
      </w:r>
      <w:r>
        <w:rPr>
          <w:rFonts w:hint="cs"/>
          <w:u w:val="dotted"/>
          <w:rtl/>
        </w:rPr>
        <w:t xml:space="preserve">הנשואה </w:t>
      </w:r>
      <w:r w:rsidRPr="00863928">
        <w:rPr>
          <w:rFonts w:hint="cs"/>
          <w:u w:val="dotted"/>
          <w:rtl/>
        </w:rPr>
        <w:t>אינה ניזונת:</w:t>
      </w:r>
    </w:p>
    <w:p w14:paraId="608C0772" w14:textId="77777777" w:rsidR="002E5BAD" w:rsidRPr="00C11907" w:rsidRDefault="002E5BAD" w:rsidP="002E5BAD">
      <w:pPr>
        <w:pStyle w:val="ab"/>
        <w:numPr>
          <w:ilvl w:val="0"/>
          <w:numId w:val="178"/>
        </w:numPr>
      </w:pPr>
      <w:r w:rsidRPr="00FC70DE">
        <w:rPr>
          <w:rFonts w:cs="Arial"/>
          <w:rtl/>
        </w:rPr>
        <w:t>רמ"ה</w:t>
      </w:r>
      <w:r>
        <w:rPr>
          <w:rFonts w:cs="Arial" w:hint="cs"/>
          <w:sz w:val="16"/>
          <w:szCs w:val="16"/>
          <w:rtl/>
        </w:rPr>
        <w:t xml:space="preserve"> (כ"כ הטור בשמו)</w:t>
      </w:r>
      <w:r>
        <w:rPr>
          <w:rFonts w:cs="Arial" w:hint="cs"/>
          <w:rtl/>
        </w:rPr>
        <w:t>-</w:t>
      </w:r>
      <w:r w:rsidRPr="00FC70DE">
        <w:rPr>
          <w:rFonts w:cs="Arial"/>
          <w:rtl/>
        </w:rPr>
        <w:t xml:space="preserve"> הא דמציאתה לבעלה דוקא בניזונת</w:t>
      </w:r>
      <w:r>
        <w:rPr>
          <w:rFonts w:cs="Arial" w:hint="cs"/>
          <w:rtl/>
        </w:rPr>
        <w:t>,</w:t>
      </w:r>
      <w:r w:rsidRPr="00FC70DE">
        <w:rPr>
          <w:rFonts w:cs="Arial"/>
          <w:rtl/>
        </w:rPr>
        <w:t xml:space="preserve"> אבל אם אינה ניזונת </w:t>
      </w:r>
      <w:r>
        <w:rPr>
          <w:rFonts w:cs="Arial" w:hint="cs"/>
          <w:rtl/>
        </w:rPr>
        <w:t xml:space="preserve">- </w:t>
      </w:r>
      <w:r w:rsidRPr="00FC70DE">
        <w:rPr>
          <w:rFonts w:cs="Arial"/>
          <w:rtl/>
        </w:rPr>
        <w:t>מציאתה לעצמה</w:t>
      </w:r>
      <w:r>
        <w:rPr>
          <w:rFonts w:cs="Arial" w:hint="cs"/>
          <w:sz w:val="16"/>
          <w:szCs w:val="16"/>
          <w:rtl/>
        </w:rPr>
        <w:t xml:space="preserve"> (ל' הטור בשמו)</w:t>
      </w:r>
      <w:r>
        <w:rPr>
          <w:rFonts w:cs="Arial" w:hint="cs"/>
          <w:rtl/>
        </w:rPr>
        <w:t>.</w:t>
      </w:r>
      <w:r w:rsidRPr="00FC70DE">
        <w:rPr>
          <w:rFonts w:cs="Arial"/>
          <w:rtl/>
        </w:rPr>
        <w:t xml:space="preserve"> </w:t>
      </w:r>
    </w:p>
    <w:p w14:paraId="770682A4" w14:textId="77777777" w:rsidR="002E5BAD" w:rsidRDefault="002E5BAD" w:rsidP="002E5BAD">
      <w:pPr>
        <w:pStyle w:val="ab"/>
        <w:rPr>
          <w:rtl/>
        </w:rPr>
      </w:pPr>
      <w:r w:rsidRPr="00FC70DE">
        <w:rPr>
          <w:rFonts w:cs="Arial"/>
          <w:rtl/>
        </w:rPr>
        <w:t>רא"ש</w:t>
      </w:r>
      <w:r>
        <w:rPr>
          <w:rStyle w:val="a7"/>
          <w:rFonts w:cs="Arial"/>
          <w:rtl/>
        </w:rPr>
        <w:footnoteReference w:id="1593"/>
      </w:r>
      <w:r>
        <w:rPr>
          <w:rFonts w:cs="Arial" w:hint="cs"/>
          <w:sz w:val="16"/>
          <w:szCs w:val="16"/>
          <w:rtl/>
        </w:rPr>
        <w:t xml:space="preserve"> (פ"ו סי' א)</w:t>
      </w:r>
      <w:r>
        <w:rPr>
          <w:rFonts w:cs="Arial" w:hint="cs"/>
          <w:rtl/>
        </w:rPr>
        <w:t>-</w:t>
      </w:r>
      <w:r w:rsidRPr="00FC70DE">
        <w:rPr>
          <w:rFonts w:cs="Arial"/>
          <w:rtl/>
        </w:rPr>
        <w:t xml:space="preserve"> לא משכחת אינה ניזונת אלא באומרת איני ניזונת ואיני עושה או שאמר לה בעלה צאי מעשה ידיך במזונותיך</w:t>
      </w:r>
      <w:r>
        <w:rPr>
          <w:rFonts w:cs="Arial" w:hint="cs"/>
          <w:rtl/>
        </w:rPr>
        <w:t>,</w:t>
      </w:r>
      <w:r w:rsidRPr="00FC70DE">
        <w:rPr>
          <w:rFonts w:cs="Arial"/>
          <w:rtl/>
        </w:rPr>
        <w:t xml:space="preserve"> וכיון שהרשות בידם לומר כן הוי כניזונת ומציאתה לבעלה</w:t>
      </w:r>
      <w:r>
        <w:rPr>
          <w:rStyle w:val="a7"/>
          <w:rFonts w:cs="Arial"/>
          <w:rtl/>
        </w:rPr>
        <w:footnoteReference w:id="1594"/>
      </w:r>
      <w:r>
        <w:rPr>
          <w:rFonts w:cs="Arial" w:hint="cs"/>
          <w:rtl/>
        </w:rPr>
        <w:t xml:space="preserve"> </w:t>
      </w:r>
      <w:r>
        <w:rPr>
          <w:rFonts w:cs="Arial" w:hint="cs"/>
          <w:sz w:val="16"/>
          <w:szCs w:val="16"/>
          <w:rtl/>
        </w:rPr>
        <w:t>(ל' הטור בשמו)</w:t>
      </w:r>
      <w:r>
        <w:rPr>
          <w:rFonts w:cs="Arial" w:hint="cs"/>
          <w:rtl/>
        </w:rPr>
        <w:t>.</w:t>
      </w:r>
    </w:p>
    <w:p w14:paraId="4FCED2C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C79DAD0" w14:textId="77777777" w:rsidR="002E5BAD" w:rsidRPr="007A3469" w:rsidRDefault="002E5BAD" w:rsidP="002E5BAD">
      <w:pPr>
        <w:rPr>
          <w:rtl/>
        </w:rPr>
        <w:sectPr w:rsidR="002E5BAD" w:rsidRPr="007A3469" w:rsidSect="00A347B3">
          <w:headerReference w:type="default" r:id="rId40"/>
          <w:footnotePr>
            <w:numRestart w:val="eachPage"/>
          </w:footnotePr>
          <w:pgSz w:w="11906" w:h="16838"/>
          <w:pgMar w:top="720" w:right="1134" w:bottom="720" w:left="1134" w:header="0" w:footer="0" w:gutter="0"/>
          <w:cols w:space="720"/>
          <w:bidi/>
          <w:rtlGutter/>
          <w:docGrid w:linePitch="360"/>
        </w:sectPr>
      </w:pPr>
      <w:r>
        <w:rPr>
          <w:rFonts w:cs="Arial"/>
          <w:rtl/>
        </w:rPr>
        <w:t>מציאת האשה, לבעלה</w:t>
      </w:r>
      <w:r>
        <w:rPr>
          <w:rStyle w:val="a7"/>
          <w:rFonts w:cs="Arial"/>
          <w:rtl/>
        </w:rPr>
        <w:footnoteReference w:id="1595"/>
      </w:r>
      <w:r>
        <w:rPr>
          <w:rFonts w:cs="Arial" w:hint="cs"/>
          <w:rtl/>
        </w:rPr>
        <w:t>.</w:t>
      </w:r>
      <w:r>
        <w:rPr>
          <w:rFonts w:cs="Arial"/>
          <w:rtl/>
        </w:rPr>
        <w:t xml:space="preserve"> ואם היא ספק מגורשת, מציאתה לעצמה.</w:t>
      </w:r>
    </w:p>
    <w:p w14:paraId="79CC3D51" w14:textId="77777777" w:rsidR="002E5BAD" w:rsidRDefault="002E5BAD" w:rsidP="002E5BAD">
      <w:pPr>
        <w:pStyle w:val="1"/>
        <w:rPr>
          <w:rtl/>
        </w:rPr>
      </w:pPr>
      <w:r>
        <w:rPr>
          <w:rFonts w:hint="cs"/>
          <w:rtl/>
        </w:rPr>
        <w:lastRenderedPageBreak/>
        <w:t>סימן פה:</w:t>
      </w:r>
      <w:r w:rsidRPr="00C12B74">
        <w:rPr>
          <w:rtl/>
        </w:rPr>
        <w:t xml:space="preserve"> </w:t>
      </w:r>
      <w:r>
        <w:rPr>
          <w:rFonts w:cs="Arial"/>
          <w:rtl/>
        </w:rPr>
        <w:t xml:space="preserve">דין נכסי מלוג וצאן ברזל, ובו י"ט סעיפים. </w:t>
      </w:r>
    </w:p>
    <w:p w14:paraId="2B5951E0" w14:textId="77777777" w:rsidR="002E5BAD" w:rsidRDefault="002E5BAD" w:rsidP="002E5BAD">
      <w:pPr>
        <w:pStyle w:val="2"/>
        <w:rPr>
          <w:rtl/>
        </w:rPr>
      </w:pPr>
      <w:r>
        <w:rPr>
          <w:rtl/>
        </w:rPr>
        <w:t>סעיף א</w:t>
      </w:r>
      <w:r>
        <w:rPr>
          <w:rFonts w:hint="cs"/>
          <w:rtl/>
        </w:rPr>
        <w:t>: האיש אוכל פירותיה תחת פדיונה.</w:t>
      </w:r>
    </w:p>
    <w:p w14:paraId="1CA6C52F"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 תנו רבנן:</w:t>
      </w:r>
      <w:r>
        <w:rPr>
          <w:rFonts w:cs="Arial" w:hint="cs"/>
          <w:rtl/>
        </w:rPr>
        <w:t>...</w:t>
      </w:r>
      <w:r w:rsidRPr="00AB0AB9">
        <w:rPr>
          <w:rFonts w:cs="Arial"/>
          <w:rtl/>
        </w:rPr>
        <w:t xml:space="preserve"> תיקנו מזונותיה תחת מעשה ידיה, ופירקונה תחת פירות</w:t>
      </w:r>
      <w:r>
        <w:rPr>
          <w:rStyle w:val="a7"/>
          <w:rFonts w:cs="Arial"/>
          <w:rtl/>
        </w:rPr>
        <w:footnoteReference w:id="1596"/>
      </w:r>
      <w:r w:rsidRPr="00AB0AB9">
        <w:rPr>
          <w:rFonts w:cs="Arial"/>
          <w:rtl/>
        </w:rPr>
        <w:t>, וקבורתה תחת כתובתה</w:t>
      </w:r>
      <w:r>
        <w:rPr>
          <w:rStyle w:val="a7"/>
          <w:rFonts w:cs="Arial"/>
          <w:rtl/>
        </w:rPr>
        <w:footnoteReference w:id="1597"/>
      </w:r>
      <w:r w:rsidRPr="00AB0AB9">
        <w:rPr>
          <w:rFonts w:cs="Arial"/>
          <w:rtl/>
        </w:rPr>
        <w:t>, לפיכך בעל אוכל פירות. מאי לפיכך? מהו דתימא מיכל לא נכלינהו אנוחי ננחינהו, דאם כן מימנע ולא פריק, קמ"ל דהא עדיפא, זימנין דלא מלו</w:t>
      </w:r>
      <w:r>
        <w:rPr>
          <w:rStyle w:val="a7"/>
          <w:rFonts w:cs="Arial"/>
          <w:rtl/>
        </w:rPr>
        <w:footnoteReference w:id="1598"/>
      </w:r>
      <w:r w:rsidRPr="00AB0AB9">
        <w:rPr>
          <w:rFonts w:cs="Arial"/>
          <w:rtl/>
        </w:rPr>
        <w:t xml:space="preserve"> ופריק לה מדידיה. ואיפוך אנא</w:t>
      </w:r>
      <w:r>
        <w:rPr>
          <w:rStyle w:val="a7"/>
          <w:rFonts w:cs="Arial"/>
          <w:rtl/>
        </w:rPr>
        <w:footnoteReference w:id="1599"/>
      </w:r>
      <w:r w:rsidRPr="00AB0AB9">
        <w:rPr>
          <w:rFonts w:cs="Arial"/>
          <w:rtl/>
        </w:rPr>
        <w:t xml:space="preserve">! </w:t>
      </w:r>
      <w:r w:rsidRPr="009919C0">
        <w:rPr>
          <w:rFonts w:cs="Arial"/>
          <w:u w:val="single"/>
          <w:rtl/>
        </w:rPr>
        <w:t>אמר אביי</w:t>
      </w:r>
      <w:r w:rsidRPr="00AB0AB9">
        <w:rPr>
          <w:rFonts w:cs="Arial"/>
          <w:rtl/>
        </w:rPr>
        <w:t>: תיקנו מצוי למצוי, ושאינו מצוי לשאינו מצוי</w:t>
      </w:r>
      <w:r>
        <w:rPr>
          <w:rStyle w:val="a7"/>
          <w:rFonts w:cs="Arial"/>
          <w:rtl/>
        </w:rPr>
        <w:footnoteReference w:id="1600"/>
      </w:r>
      <w:r w:rsidRPr="00AB0AB9">
        <w:rPr>
          <w:rFonts w:cs="Arial"/>
          <w:rtl/>
        </w:rPr>
        <w:t>.</w:t>
      </w:r>
    </w:p>
    <w:p w14:paraId="44E76880" w14:textId="77777777" w:rsidR="002E5BAD" w:rsidRDefault="002E5BAD" w:rsidP="002E5BAD">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 וירושתה - הוא אוכל פירות בחייה</w:t>
      </w:r>
      <w:r>
        <w:rPr>
          <w:rFonts w:cs="Arial" w:hint="cs"/>
          <w:rtl/>
        </w:rPr>
        <w:t>..</w:t>
      </w:r>
      <w:r w:rsidRPr="00E142C1">
        <w:rPr>
          <w:rFonts w:cs="Arial"/>
          <w:rtl/>
        </w:rPr>
        <w:t>.</w:t>
      </w:r>
    </w:p>
    <w:p w14:paraId="7CA0DAD3" w14:textId="77777777" w:rsidR="002E5BAD" w:rsidRPr="00422CA3" w:rsidRDefault="002E5BAD" w:rsidP="002E5BAD">
      <w:pPr>
        <w:rPr>
          <w:u w:val="single"/>
          <w:rtl/>
        </w:rPr>
      </w:pPr>
      <w:r w:rsidRPr="00422CA3">
        <w:rPr>
          <w:rFonts w:hint="cs"/>
          <w:u w:val="single"/>
          <w:rtl/>
        </w:rPr>
        <w:t>אכילת פירות תחת פדיונה:</w:t>
      </w:r>
    </w:p>
    <w:p w14:paraId="41F7D92C" w14:textId="77777777" w:rsidR="002E5BAD" w:rsidRPr="00187A95" w:rsidRDefault="002E5BAD" w:rsidP="002E5BAD">
      <w:pPr>
        <w:pStyle w:val="ab"/>
        <w:numPr>
          <w:ilvl w:val="0"/>
          <w:numId w:val="178"/>
        </w:numPr>
      </w:pPr>
      <w:r>
        <w:rPr>
          <w:rFonts w:cs="Arial" w:hint="cs"/>
          <w:rtl/>
        </w:rPr>
        <w:t xml:space="preserve">תוס' רמב"ם </w:t>
      </w:r>
      <w:r w:rsidRPr="00422CA3">
        <w:rPr>
          <w:rFonts w:cs="Arial"/>
          <w:rtl/>
        </w:rPr>
        <w:t xml:space="preserve">רמב"ן רשב"א רא"ש </w:t>
      </w:r>
      <w:r>
        <w:rPr>
          <w:rFonts w:cs="Arial" w:hint="cs"/>
          <w:rtl/>
        </w:rPr>
        <w:t>טור והה"מ</w:t>
      </w:r>
      <w:r>
        <w:rPr>
          <w:rStyle w:val="a7"/>
          <w:rFonts w:cs="Arial"/>
          <w:rtl/>
        </w:rPr>
        <w:footnoteReference w:id="1601"/>
      </w:r>
      <w:r>
        <w:rPr>
          <w:rFonts w:cs="Arial" w:hint="cs"/>
          <w:rtl/>
        </w:rPr>
        <w:t xml:space="preserve"> </w:t>
      </w:r>
      <w:r w:rsidRPr="00422CA3">
        <w:rPr>
          <w:rFonts w:cs="Arial" w:hint="cs"/>
          <w:sz w:val="16"/>
          <w:szCs w:val="16"/>
          <w:rtl/>
        </w:rPr>
        <w:t>(</w:t>
      </w:r>
      <w:r>
        <w:rPr>
          <w:rFonts w:cs="Arial" w:hint="cs"/>
          <w:sz w:val="16"/>
          <w:szCs w:val="16"/>
          <w:rtl/>
        </w:rPr>
        <w:t>שם</w:t>
      </w:r>
      <w:r w:rsidRPr="00422CA3">
        <w:rPr>
          <w:rFonts w:cs="Arial"/>
          <w:sz w:val="16"/>
          <w:szCs w:val="16"/>
          <w:rtl/>
        </w:rPr>
        <w:t>)</w:t>
      </w:r>
      <w:r>
        <w:rPr>
          <w:rStyle w:val="a7"/>
          <w:rFonts w:cs="Arial"/>
          <w:rtl/>
        </w:rPr>
        <w:footnoteReference w:id="1602"/>
      </w:r>
      <w:r>
        <w:rPr>
          <w:rFonts w:cs="Arial" w:hint="cs"/>
          <w:rtl/>
        </w:rPr>
        <w:t xml:space="preserve">- </w:t>
      </w:r>
      <w:r w:rsidRPr="007A228B">
        <w:rPr>
          <w:rFonts w:cs="Arial"/>
          <w:rtl/>
        </w:rPr>
        <w:t>האיש אוכל פירות של נכסי אשתו כל זמן שהיא תחתיו</w:t>
      </w:r>
      <w:r>
        <w:rPr>
          <w:rFonts w:cs="Arial" w:hint="cs"/>
          <w:rtl/>
        </w:rPr>
        <w:t>,</w:t>
      </w:r>
      <w:r w:rsidRPr="007A228B">
        <w:rPr>
          <w:rFonts w:cs="Arial"/>
          <w:rtl/>
        </w:rPr>
        <w:t xml:space="preserve"> ותקנת חכמים הוא שתקנו לו זה תחת פדיונה שחייבוהו לפדותה</w:t>
      </w:r>
      <w:r>
        <w:rPr>
          <w:rFonts w:cs="Arial" w:hint="cs"/>
          <w:rtl/>
        </w:rPr>
        <w:t>.</w:t>
      </w:r>
      <w:r w:rsidRPr="007A228B">
        <w:rPr>
          <w:rFonts w:cs="Arial"/>
          <w:rtl/>
        </w:rPr>
        <w:t xml:space="preserve"> </w:t>
      </w:r>
      <w:r>
        <w:rPr>
          <w:rFonts w:cs="Arial" w:hint="cs"/>
          <w:rtl/>
        </w:rPr>
        <w:t>ו</w:t>
      </w:r>
      <w:r w:rsidRPr="00035A9C">
        <w:rPr>
          <w:rFonts w:cs="Arial"/>
          <w:rtl/>
        </w:rPr>
        <w:t xml:space="preserve">אם אמר איני חפץ בפירותיה ולא אפדנה </w:t>
      </w:r>
      <w:r w:rsidRPr="00035A9C">
        <w:rPr>
          <w:rFonts w:cs="Arial" w:hint="cs"/>
          <w:rtl/>
        </w:rPr>
        <w:t xml:space="preserve">- </w:t>
      </w:r>
      <w:r w:rsidRPr="00035A9C">
        <w:rPr>
          <w:rFonts w:cs="Arial"/>
          <w:rtl/>
        </w:rPr>
        <w:t>אין שומעין לו</w:t>
      </w:r>
      <w:r w:rsidRPr="00035A9C">
        <w:rPr>
          <w:rFonts w:cs="Arial" w:hint="cs"/>
          <w:rtl/>
        </w:rPr>
        <w:t>,</w:t>
      </w:r>
      <w:r w:rsidRPr="00035A9C">
        <w:rPr>
          <w:rFonts w:cs="Arial"/>
          <w:rtl/>
        </w:rPr>
        <w:t xml:space="preserve"> דשמא לא יספיקו דמי פירותיה לפדיונה</w:t>
      </w:r>
      <w:r w:rsidRPr="00035A9C">
        <w:rPr>
          <w:rFonts w:cs="Arial" w:hint="cs"/>
          <w:rtl/>
        </w:rPr>
        <w:t>.</w:t>
      </w:r>
      <w:r w:rsidRPr="00035A9C">
        <w:rPr>
          <w:rFonts w:cs="Arial"/>
          <w:rtl/>
        </w:rPr>
        <w:t xml:space="preserve"> ואע</w:t>
      </w:r>
      <w:r w:rsidRPr="00035A9C">
        <w:rPr>
          <w:rFonts w:cs="Arial" w:hint="cs"/>
          <w:rtl/>
        </w:rPr>
        <w:t>"</w:t>
      </w:r>
      <w:r w:rsidRPr="00035A9C">
        <w:rPr>
          <w:rFonts w:cs="Arial"/>
          <w:rtl/>
        </w:rPr>
        <w:t>פ שהתקנה לטובתה א</w:t>
      </w:r>
      <w:r w:rsidRPr="00035A9C">
        <w:rPr>
          <w:rFonts w:cs="Arial" w:hint="cs"/>
          <w:rtl/>
        </w:rPr>
        <w:t xml:space="preserve">ם </w:t>
      </w:r>
      <w:r w:rsidRPr="00035A9C">
        <w:rPr>
          <w:rFonts w:cs="Arial"/>
          <w:rtl/>
        </w:rPr>
        <w:t>ת</w:t>
      </w:r>
      <w:r w:rsidRPr="00035A9C">
        <w:rPr>
          <w:rFonts w:cs="Arial" w:hint="cs"/>
          <w:rtl/>
        </w:rPr>
        <w:t>אמר</w:t>
      </w:r>
      <w:r w:rsidRPr="00035A9C">
        <w:rPr>
          <w:rFonts w:cs="Arial"/>
          <w:rtl/>
        </w:rPr>
        <w:t xml:space="preserve"> איני חפצה בה </w:t>
      </w:r>
      <w:r w:rsidRPr="00035A9C">
        <w:rPr>
          <w:rFonts w:cs="Arial" w:hint="cs"/>
          <w:rtl/>
        </w:rPr>
        <w:t xml:space="preserve">- </w:t>
      </w:r>
      <w:r w:rsidRPr="00035A9C">
        <w:rPr>
          <w:rFonts w:cs="Arial"/>
          <w:rtl/>
        </w:rPr>
        <w:t>אין שומעין לה</w:t>
      </w:r>
      <w:r w:rsidRPr="00035A9C">
        <w:rPr>
          <w:rFonts w:cs="Arial" w:hint="cs"/>
          <w:rtl/>
        </w:rPr>
        <w:t>,</w:t>
      </w:r>
      <w:r w:rsidRPr="00035A9C">
        <w:rPr>
          <w:rFonts w:cs="Arial"/>
          <w:rtl/>
        </w:rPr>
        <w:t xml:space="preserve"> כדי שלא תתערב בין ה</w:t>
      </w:r>
      <w:r w:rsidRPr="00035A9C">
        <w:rPr>
          <w:rFonts w:cs="Arial" w:hint="cs"/>
          <w:rtl/>
        </w:rPr>
        <w:t>גוים</w:t>
      </w:r>
      <w:r w:rsidRPr="00035A9C">
        <w:rPr>
          <w:rFonts w:cs="Arial" w:hint="cs"/>
          <w:sz w:val="16"/>
          <w:szCs w:val="16"/>
          <w:rtl/>
        </w:rPr>
        <w:t xml:space="preserve"> (ל' הטור)</w:t>
      </w:r>
      <w:r w:rsidRPr="00035A9C">
        <w:rPr>
          <w:rFonts w:cs="Arial" w:hint="cs"/>
          <w:rtl/>
        </w:rPr>
        <w:t>.</w:t>
      </w:r>
      <w:r w:rsidRPr="00035A9C">
        <w:rPr>
          <w:rFonts w:cs="Arial"/>
          <w:rtl/>
        </w:rPr>
        <w:t xml:space="preserve"> </w:t>
      </w:r>
      <w:r w:rsidRPr="007B430E">
        <w:rPr>
          <w:rFonts w:hint="cs"/>
          <w:color w:val="E36C0A" w:themeColor="accent6" w:themeShade="BF"/>
          <w:rtl/>
        </w:rPr>
        <w:t>(וכ"פ בשו"ע)</w:t>
      </w:r>
    </w:p>
    <w:p w14:paraId="5C534506" w14:textId="77777777" w:rsidR="002E5BAD" w:rsidRPr="00422CA3" w:rsidRDefault="002E5BAD" w:rsidP="002E5BAD">
      <w:pPr>
        <w:ind w:left="360"/>
        <w:rPr>
          <w:rFonts w:cs="Arial"/>
          <w:u w:val="dotted"/>
          <w:rtl/>
        </w:rPr>
      </w:pPr>
      <w:r w:rsidRPr="00422CA3">
        <w:rPr>
          <w:rFonts w:cs="Arial" w:hint="cs"/>
          <w:u w:val="dotted"/>
          <w:rtl/>
        </w:rPr>
        <w:t>האם האיש או האשה יכולים להיפטר באיזו דרך מתקנה זו</w:t>
      </w:r>
      <w:r>
        <w:rPr>
          <w:rFonts w:cs="Arial" w:hint="cs"/>
          <w:sz w:val="16"/>
          <w:szCs w:val="16"/>
          <w:u w:val="dotted"/>
          <w:rtl/>
        </w:rPr>
        <w:t xml:space="preserve"> (כגון אם מתנים כן קודם הנישואין)</w:t>
      </w:r>
      <w:r w:rsidRPr="00422CA3">
        <w:rPr>
          <w:rFonts w:cs="Arial" w:hint="cs"/>
          <w:u w:val="dotted"/>
          <w:rtl/>
        </w:rPr>
        <w:t xml:space="preserve">: </w:t>
      </w:r>
    </w:p>
    <w:p w14:paraId="018BE16F" w14:textId="77777777" w:rsidR="002E5BAD" w:rsidRPr="00422CA3" w:rsidRDefault="002E5BAD" w:rsidP="002E5BAD">
      <w:pPr>
        <w:pStyle w:val="ab"/>
        <w:numPr>
          <w:ilvl w:val="0"/>
          <w:numId w:val="178"/>
        </w:numPr>
      </w:pPr>
      <w:r w:rsidRPr="006C4118">
        <w:rPr>
          <w:rFonts w:cs="Arial"/>
          <w:rtl/>
        </w:rPr>
        <w:t xml:space="preserve">רשב"ם </w:t>
      </w:r>
      <w:r w:rsidRPr="00422CA3">
        <w:rPr>
          <w:rFonts w:cs="Arial" w:hint="cs"/>
          <w:sz w:val="16"/>
          <w:szCs w:val="16"/>
          <w:rtl/>
        </w:rPr>
        <w:t>(</w:t>
      </w:r>
      <w:r w:rsidRPr="00422CA3">
        <w:rPr>
          <w:rFonts w:cs="Arial"/>
          <w:sz w:val="16"/>
          <w:szCs w:val="16"/>
          <w:rtl/>
        </w:rPr>
        <w:t>פרק חזקת ב"ב מט:</w:t>
      </w:r>
      <w:r w:rsidRPr="00422CA3">
        <w:rPr>
          <w:rFonts w:cs="Arial" w:hint="cs"/>
          <w:sz w:val="16"/>
          <w:szCs w:val="16"/>
          <w:rtl/>
        </w:rPr>
        <w:t xml:space="preserve"> </w:t>
      </w:r>
      <w:r w:rsidRPr="00422CA3">
        <w:rPr>
          <w:rFonts w:cs="Arial"/>
          <w:sz w:val="16"/>
          <w:szCs w:val="16"/>
          <w:rtl/>
        </w:rPr>
        <w:t>ד"ה כדרב הונא)</w:t>
      </w:r>
      <w:r>
        <w:rPr>
          <w:rFonts w:cs="Arial" w:hint="cs"/>
          <w:rtl/>
        </w:rPr>
        <w:t>-</w:t>
      </w:r>
      <w:r w:rsidRPr="006C4118">
        <w:rPr>
          <w:rFonts w:cs="Arial"/>
          <w:rtl/>
        </w:rPr>
        <w:t xml:space="preserve"> אם אמר כן בעודה ארוסה מועיל התנאי</w:t>
      </w:r>
      <w:r>
        <w:rPr>
          <w:rStyle w:val="a7"/>
          <w:rFonts w:cs="Arial"/>
          <w:rtl/>
        </w:rPr>
        <w:footnoteReference w:id="1603"/>
      </w:r>
      <w:r>
        <w:rPr>
          <w:rFonts w:cs="Arial" w:hint="cs"/>
          <w:rtl/>
        </w:rPr>
        <w:t>.</w:t>
      </w:r>
      <w:r w:rsidRPr="006C4118">
        <w:rPr>
          <w:rFonts w:cs="Arial"/>
          <w:rtl/>
        </w:rPr>
        <w:t xml:space="preserve"> </w:t>
      </w:r>
    </w:p>
    <w:p w14:paraId="6E54022A" w14:textId="77777777" w:rsidR="002E5BAD" w:rsidRPr="00422CA3" w:rsidRDefault="002E5BAD" w:rsidP="002E5BAD">
      <w:pPr>
        <w:pStyle w:val="ab"/>
        <w:numPr>
          <w:ilvl w:val="0"/>
          <w:numId w:val="178"/>
        </w:numPr>
      </w:pPr>
      <w:r>
        <w:rPr>
          <w:rFonts w:cs="Arial" w:hint="cs"/>
          <w:rtl/>
        </w:rPr>
        <w:t xml:space="preserve">תוס' </w:t>
      </w:r>
      <w:r w:rsidRPr="00422CA3">
        <w:rPr>
          <w:rFonts w:cs="Arial"/>
          <w:sz w:val="16"/>
          <w:szCs w:val="16"/>
          <w:rtl/>
        </w:rPr>
        <w:t>(</w:t>
      </w:r>
      <w:r>
        <w:rPr>
          <w:rFonts w:cs="Arial" w:hint="cs"/>
          <w:sz w:val="16"/>
          <w:szCs w:val="16"/>
          <w:rtl/>
        </w:rPr>
        <w:t>ב"ב מט:</w:t>
      </w:r>
      <w:r w:rsidRPr="00422CA3">
        <w:rPr>
          <w:rFonts w:cs="Arial"/>
          <w:sz w:val="16"/>
          <w:szCs w:val="16"/>
          <w:rtl/>
        </w:rPr>
        <w:t xml:space="preserve"> ד"ה יכולה)</w:t>
      </w:r>
      <w:r w:rsidRPr="00B0447A">
        <w:rPr>
          <w:rFonts w:cs="Arial"/>
          <w:rtl/>
        </w:rPr>
        <w:t xml:space="preserve"> </w:t>
      </w:r>
      <w:r>
        <w:rPr>
          <w:rFonts w:cs="Arial" w:hint="cs"/>
          <w:rtl/>
        </w:rPr>
        <w:t xml:space="preserve">רמב"ם </w:t>
      </w:r>
      <w:r w:rsidRPr="00422CA3">
        <w:rPr>
          <w:rFonts w:cs="Arial" w:hint="cs"/>
          <w:sz w:val="16"/>
          <w:szCs w:val="16"/>
          <w:rtl/>
        </w:rPr>
        <w:t>(</w:t>
      </w:r>
      <w:r>
        <w:rPr>
          <w:rFonts w:cs="Arial" w:hint="cs"/>
          <w:sz w:val="16"/>
          <w:szCs w:val="16"/>
          <w:rtl/>
        </w:rPr>
        <w:t>שם</w:t>
      </w:r>
      <w:r w:rsidRPr="00422CA3">
        <w:rPr>
          <w:rFonts w:cs="Arial"/>
          <w:sz w:val="16"/>
          <w:szCs w:val="16"/>
          <w:rtl/>
        </w:rPr>
        <w:t>)</w:t>
      </w:r>
      <w:r>
        <w:rPr>
          <w:rFonts w:cs="Arial" w:hint="cs"/>
          <w:rtl/>
        </w:rPr>
        <w:t xml:space="preserve"> </w:t>
      </w:r>
      <w:r w:rsidRPr="00422CA3">
        <w:rPr>
          <w:rFonts w:cs="Arial"/>
          <w:rtl/>
        </w:rPr>
        <w:t xml:space="preserve">רמב"ן </w:t>
      </w:r>
      <w:r w:rsidRPr="00B0447A">
        <w:rPr>
          <w:rFonts w:cs="Arial"/>
          <w:sz w:val="16"/>
          <w:szCs w:val="16"/>
          <w:rtl/>
        </w:rPr>
        <w:t>(</w:t>
      </w:r>
      <w:r>
        <w:rPr>
          <w:rFonts w:cs="Arial" w:hint="cs"/>
          <w:sz w:val="16"/>
          <w:szCs w:val="16"/>
          <w:rtl/>
        </w:rPr>
        <w:t>שם</w:t>
      </w:r>
      <w:r w:rsidRPr="00B0447A">
        <w:rPr>
          <w:rFonts w:cs="Arial"/>
          <w:sz w:val="16"/>
          <w:szCs w:val="16"/>
          <w:rtl/>
        </w:rPr>
        <w:t xml:space="preserve">) </w:t>
      </w:r>
      <w:r w:rsidRPr="00422CA3">
        <w:rPr>
          <w:rFonts w:cs="Arial"/>
          <w:rtl/>
        </w:rPr>
        <w:t xml:space="preserve">רשב"א </w:t>
      </w:r>
      <w:r w:rsidRPr="00B0447A">
        <w:rPr>
          <w:rFonts w:cs="Arial"/>
          <w:sz w:val="16"/>
          <w:szCs w:val="16"/>
          <w:rtl/>
        </w:rPr>
        <w:t>(שם)</w:t>
      </w:r>
      <w:r w:rsidRPr="00B0447A">
        <w:rPr>
          <w:rFonts w:cs="Arial" w:hint="cs"/>
          <w:rtl/>
        </w:rPr>
        <w:t xml:space="preserve"> </w:t>
      </w:r>
      <w:r>
        <w:rPr>
          <w:rFonts w:cs="Arial" w:hint="cs"/>
          <w:rtl/>
        </w:rPr>
        <w:t>והה"מ</w:t>
      </w:r>
      <w:r>
        <w:rPr>
          <w:rStyle w:val="a7"/>
          <w:rFonts w:cs="Arial"/>
          <w:rtl/>
        </w:rPr>
        <w:footnoteReference w:id="1604"/>
      </w:r>
      <w:r>
        <w:rPr>
          <w:rFonts w:cs="Arial" w:hint="cs"/>
          <w:rtl/>
        </w:rPr>
        <w:t xml:space="preserve"> </w:t>
      </w:r>
      <w:r w:rsidRPr="00422CA3">
        <w:rPr>
          <w:rFonts w:cs="Arial" w:hint="cs"/>
          <w:sz w:val="16"/>
          <w:szCs w:val="16"/>
          <w:rtl/>
        </w:rPr>
        <w:t>(</w:t>
      </w:r>
      <w:r>
        <w:rPr>
          <w:rFonts w:cs="Arial" w:hint="cs"/>
          <w:sz w:val="16"/>
          <w:szCs w:val="16"/>
          <w:rtl/>
        </w:rPr>
        <w:t>שם</w:t>
      </w:r>
      <w:r w:rsidRPr="00422CA3">
        <w:rPr>
          <w:rFonts w:cs="Arial"/>
          <w:sz w:val="16"/>
          <w:szCs w:val="16"/>
          <w:rtl/>
        </w:rPr>
        <w:t>)</w:t>
      </w:r>
      <w:r>
        <w:rPr>
          <w:rFonts w:cs="Arial" w:hint="cs"/>
          <w:rtl/>
        </w:rPr>
        <w:t>- אינו מועיל.</w:t>
      </w:r>
      <w:r w:rsidRPr="00035A9C">
        <w:rPr>
          <w:rFonts w:hint="cs"/>
          <w:color w:val="E36C0A" w:themeColor="accent6" w:themeShade="BF"/>
          <w:rtl/>
        </w:rPr>
        <w:t xml:space="preserve"> </w:t>
      </w:r>
      <w:r w:rsidRPr="007B430E">
        <w:rPr>
          <w:rFonts w:hint="cs"/>
          <w:color w:val="E36C0A" w:themeColor="accent6" w:themeShade="BF"/>
          <w:rtl/>
        </w:rPr>
        <w:t>(וכ"פ בשו"ע)</w:t>
      </w:r>
    </w:p>
    <w:p w14:paraId="27E3F0DC" w14:textId="77777777" w:rsidR="002E5BAD" w:rsidRPr="006C4118" w:rsidRDefault="002E5BAD" w:rsidP="002E5BAD">
      <w:pPr>
        <w:rPr>
          <w:u w:val="single"/>
        </w:rPr>
      </w:pPr>
      <w:r w:rsidRPr="006C4118">
        <w:rPr>
          <w:rFonts w:hint="cs"/>
          <w:u w:val="single"/>
          <w:rtl/>
        </w:rPr>
        <w:t xml:space="preserve">אשה שהכניסה לבעלה </w:t>
      </w:r>
      <w:r w:rsidRPr="006C4118">
        <w:rPr>
          <w:rFonts w:hint="cs"/>
          <w:sz w:val="16"/>
          <w:szCs w:val="16"/>
          <w:u w:val="single"/>
          <w:rtl/>
        </w:rPr>
        <w:t>(בנישואין</w:t>
      </w:r>
      <w:r>
        <w:rPr>
          <w:rFonts w:hint="cs"/>
          <w:sz w:val="16"/>
          <w:szCs w:val="16"/>
          <w:u w:val="single"/>
          <w:rtl/>
        </w:rPr>
        <w:t>)</w:t>
      </w:r>
      <w:r w:rsidRPr="006C4118">
        <w:rPr>
          <w:rFonts w:hint="cs"/>
          <w:u w:val="single"/>
          <w:rtl/>
        </w:rPr>
        <w:t xml:space="preserve"> </w:t>
      </w:r>
      <w:r>
        <w:rPr>
          <w:rFonts w:hint="cs"/>
          <w:u w:val="single"/>
          <w:rtl/>
        </w:rPr>
        <w:t>מלוה</w:t>
      </w:r>
      <w:r w:rsidRPr="006C4118">
        <w:rPr>
          <w:rFonts w:hint="cs"/>
          <w:u w:val="single"/>
          <w:rtl/>
        </w:rPr>
        <w:t xml:space="preserve"> </w:t>
      </w:r>
      <w:r>
        <w:rPr>
          <w:rFonts w:hint="cs"/>
          <w:sz w:val="16"/>
          <w:szCs w:val="16"/>
          <w:u w:val="single"/>
          <w:rtl/>
        </w:rPr>
        <w:t xml:space="preserve">(בשט"ח/בע"פ) </w:t>
      </w:r>
      <w:r w:rsidRPr="006C4118">
        <w:rPr>
          <w:rFonts w:hint="cs"/>
          <w:u w:val="single"/>
          <w:rtl/>
        </w:rPr>
        <w:t>לזכותה:</w:t>
      </w:r>
    </w:p>
    <w:p w14:paraId="6E9BE0A4" w14:textId="77777777" w:rsidR="002E5BAD" w:rsidRDefault="002E5BAD" w:rsidP="002E5BAD">
      <w:pPr>
        <w:pStyle w:val="ab"/>
        <w:numPr>
          <w:ilvl w:val="0"/>
          <w:numId w:val="178"/>
        </w:numPr>
        <w:rPr>
          <w:rtl/>
        </w:rPr>
      </w:pPr>
      <w:r w:rsidRPr="00187A95">
        <w:rPr>
          <w:rFonts w:cs="Arial"/>
          <w:rtl/>
        </w:rPr>
        <w:t>ספר התרומות</w:t>
      </w:r>
      <w:r w:rsidRPr="006C4118">
        <w:rPr>
          <w:rFonts w:cs="Arial"/>
          <w:sz w:val="16"/>
          <w:szCs w:val="16"/>
          <w:rtl/>
        </w:rPr>
        <w:t xml:space="preserve"> </w:t>
      </w:r>
      <w:r w:rsidRPr="006C4118">
        <w:rPr>
          <w:rFonts w:cs="Arial" w:hint="cs"/>
          <w:sz w:val="16"/>
          <w:szCs w:val="16"/>
          <w:rtl/>
        </w:rPr>
        <w:t>(</w:t>
      </w:r>
      <w:r w:rsidRPr="006C4118">
        <w:rPr>
          <w:rFonts w:cs="Arial"/>
          <w:sz w:val="16"/>
          <w:szCs w:val="16"/>
          <w:rtl/>
        </w:rPr>
        <w:t>שער נא ח"ו סי' ב)</w:t>
      </w:r>
      <w:r w:rsidRPr="00187A95">
        <w:rPr>
          <w:rFonts w:cs="Arial" w:hint="cs"/>
          <w:rtl/>
        </w:rPr>
        <w:t xml:space="preserve">- </w:t>
      </w:r>
      <w:r w:rsidRPr="00187A95">
        <w:rPr>
          <w:rFonts w:cs="Arial"/>
          <w:rtl/>
        </w:rPr>
        <w:t>המכנסת שטר חוב לבעלה</w:t>
      </w:r>
      <w:r w:rsidRPr="00187A95">
        <w:rPr>
          <w:rFonts w:cs="Arial" w:hint="cs"/>
          <w:rtl/>
        </w:rPr>
        <w:t>,</w:t>
      </w:r>
      <w:r w:rsidRPr="00187A95">
        <w:rPr>
          <w:rFonts w:cs="Arial"/>
          <w:rtl/>
        </w:rPr>
        <w:t xml:space="preserve"> אין צריך כתיבה ומסירה</w:t>
      </w:r>
      <w:r w:rsidRPr="00187A95">
        <w:rPr>
          <w:rFonts w:cs="Arial" w:hint="cs"/>
          <w:rtl/>
        </w:rPr>
        <w:t>.</w:t>
      </w:r>
      <w:r w:rsidRPr="00187A95">
        <w:rPr>
          <w:rFonts w:cs="Arial"/>
          <w:rtl/>
        </w:rPr>
        <w:t xml:space="preserve"> ומכנסת מלוה על פה לבעלה</w:t>
      </w:r>
      <w:r w:rsidRPr="00187A95">
        <w:rPr>
          <w:rFonts w:cs="Arial" w:hint="cs"/>
          <w:rtl/>
        </w:rPr>
        <w:t>,</w:t>
      </w:r>
      <w:r w:rsidRPr="00187A95">
        <w:rPr>
          <w:rFonts w:cs="Arial"/>
          <w:rtl/>
        </w:rPr>
        <w:t xml:space="preserve"> אין צריך מעמד שלשתן</w:t>
      </w:r>
      <w:r w:rsidRPr="00187A95">
        <w:rPr>
          <w:rFonts w:cs="Arial" w:hint="cs"/>
          <w:rtl/>
        </w:rPr>
        <w:t>,</w:t>
      </w:r>
      <w:r w:rsidRPr="00187A95">
        <w:rPr>
          <w:rFonts w:cs="Arial"/>
          <w:rtl/>
        </w:rPr>
        <w:t xml:space="preserve"> דה"ל דברים הנקנים באמירה מדרב גידל (שם קב.)</w:t>
      </w:r>
      <w:r w:rsidRPr="00187A95">
        <w:rPr>
          <w:rFonts w:cs="Arial" w:hint="cs"/>
          <w:rtl/>
        </w:rPr>
        <w:t>,</w:t>
      </w:r>
      <w:r w:rsidRPr="00187A95">
        <w:rPr>
          <w:rFonts w:cs="Arial"/>
          <w:rtl/>
        </w:rPr>
        <w:t xml:space="preserve"> ועוד שרבותינו תקנו שהבעל יזכה בפירות</w:t>
      </w:r>
      <w:r w:rsidRPr="00187A95">
        <w:rPr>
          <w:rFonts w:cs="Arial" w:hint="cs"/>
          <w:rtl/>
        </w:rPr>
        <w:t>,</w:t>
      </w:r>
      <w:r w:rsidRPr="00187A95">
        <w:rPr>
          <w:rFonts w:cs="Arial"/>
          <w:rtl/>
        </w:rPr>
        <w:t xml:space="preserve"> הילכך בכל מה שיש לאשה ידו כידה</w:t>
      </w:r>
      <w:r w:rsidRPr="00187A95">
        <w:rPr>
          <w:rFonts w:cs="Arial" w:hint="cs"/>
          <w:rtl/>
        </w:rPr>
        <w:t>.</w:t>
      </w:r>
    </w:p>
    <w:p w14:paraId="6D05E0A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589124F" w14:textId="77777777" w:rsidR="002E5BAD" w:rsidRDefault="002E5BAD" w:rsidP="002E5BAD">
      <w:pPr>
        <w:rPr>
          <w:rtl/>
        </w:rPr>
      </w:pPr>
      <w:r>
        <w:rPr>
          <w:rFonts w:cs="Arial"/>
          <w:rtl/>
        </w:rPr>
        <w:t xml:space="preserve">פירותיה כיצד, תקנו שיאכל פירות נכסי אשתו תחת פדיונה שחייבוהו לפדותה. ואם אמר: איני חפץ בפירותיה ולא אפדה, אין שומעין לו. וכן אם אמרה היא: איני חפצה בתקנה זו, אין שומעין לה. </w:t>
      </w:r>
    </w:p>
    <w:p w14:paraId="469022DC" w14:textId="77777777" w:rsidR="002E5BAD" w:rsidRDefault="002E5BAD" w:rsidP="002E5BAD">
      <w:pPr>
        <w:rPr>
          <w:rtl/>
        </w:rPr>
      </w:pPr>
    </w:p>
    <w:p w14:paraId="22963AAC" w14:textId="77777777" w:rsidR="002E5BAD" w:rsidRDefault="002E5BAD" w:rsidP="002E5BAD">
      <w:pPr>
        <w:pStyle w:val="2"/>
        <w:rPr>
          <w:rtl/>
        </w:rPr>
      </w:pPr>
      <w:r>
        <w:rPr>
          <w:rtl/>
        </w:rPr>
        <w:lastRenderedPageBreak/>
        <w:t>סעיף ב</w:t>
      </w:r>
      <w:r>
        <w:rPr>
          <w:rFonts w:hint="cs"/>
          <w:rtl/>
        </w:rPr>
        <w:t>: נכסי מלוג ונכסי צאן ברזל.</w:t>
      </w:r>
    </w:p>
    <w:p w14:paraId="7855AFC6" w14:textId="77777777" w:rsidR="002E5BAD" w:rsidRDefault="002E5BAD" w:rsidP="002E5BAD">
      <w:pPr>
        <w:rPr>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52467B">
        <w:rPr>
          <w:rFonts w:cs="Arial"/>
          <w:u w:val="double"/>
          <w:rtl/>
        </w:rPr>
        <w:t>מתני'</w:t>
      </w:r>
      <w:r>
        <w:rPr>
          <w:rFonts w:cs="Arial" w:hint="cs"/>
          <w:rtl/>
        </w:rPr>
        <w:t>:</w:t>
      </w:r>
      <w:r w:rsidRPr="0052467B">
        <w:rPr>
          <w:rFonts w:cs="Arial"/>
          <w:rtl/>
        </w:rPr>
        <w:t xml:space="preserve"> אלמנה לכהן גדול, גרושה וחלוצה לכהן הדיוט, הכניסה לו עבדי מלוג</w:t>
      </w:r>
      <w:r>
        <w:rPr>
          <w:rStyle w:val="a7"/>
          <w:rFonts w:cs="Arial"/>
          <w:rtl/>
        </w:rPr>
        <w:footnoteReference w:id="1605"/>
      </w:r>
      <w:r w:rsidRPr="0052467B">
        <w:rPr>
          <w:rFonts w:cs="Arial"/>
          <w:rtl/>
        </w:rPr>
        <w:t xml:space="preserve"> ועבדי צאן ברזל, עבדי מלוג לא יאכלו</w:t>
      </w:r>
      <w:r>
        <w:rPr>
          <w:rStyle w:val="a7"/>
          <w:rFonts w:cs="Arial"/>
          <w:rtl/>
        </w:rPr>
        <w:footnoteReference w:id="1606"/>
      </w:r>
      <w:r w:rsidRPr="0052467B">
        <w:rPr>
          <w:rFonts w:cs="Arial"/>
          <w:rtl/>
        </w:rPr>
        <w:t xml:space="preserve"> בתרומה, עבדי צאן ברזל יאכלו. ואלו הן עבדי מלוג: אם מתו - מתו לה, ואם הותירו - הותירו לה, אף על פי שהוא חייב במזונותן - הרי אלו לא יאכלו בתרומה. ואלו הן עבדי צאן ברזל: אם מתו - מתו לו, ואם הותירו - הותירו לו, הואיל והוא חייב באחריותן - הרי אלו יאכלו בתרומה.</w:t>
      </w:r>
      <w:r>
        <w:rPr>
          <w:rFonts w:cs="Arial" w:hint="cs"/>
          <w:rtl/>
        </w:rPr>
        <w:t>..</w:t>
      </w:r>
    </w:p>
    <w:p w14:paraId="0A45303A" w14:textId="77777777" w:rsidR="002E5BAD" w:rsidRPr="00EB63AD" w:rsidRDefault="002E5BAD" w:rsidP="002E5BAD">
      <w:pPr>
        <w:rPr>
          <w:u w:val="single"/>
          <w:rtl/>
        </w:rPr>
      </w:pPr>
      <w:r w:rsidRPr="00EB63AD">
        <w:rPr>
          <w:rFonts w:hint="cs"/>
          <w:u w:val="single"/>
          <w:rtl/>
        </w:rPr>
        <w:t>נכסי מלוג ונכסי צאן ברזל:</w:t>
      </w:r>
    </w:p>
    <w:p w14:paraId="1B57C6C3" w14:textId="77777777" w:rsidR="002E5BAD" w:rsidRDefault="002E5BAD" w:rsidP="002E5BAD">
      <w:pPr>
        <w:pStyle w:val="ab"/>
        <w:numPr>
          <w:ilvl w:val="0"/>
          <w:numId w:val="178"/>
        </w:numPr>
      </w:pPr>
      <w:r>
        <w:rPr>
          <w:rFonts w:cs="Arial" w:hint="cs"/>
          <w:rtl/>
        </w:rPr>
        <w:t xml:space="preserve">טור- </w:t>
      </w:r>
      <w:r w:rsidRPr="007A228B">
        <w:rPr>
          <w:rFonts w:cs="Arial"/>
          <w:rtl/>
        </w:rPr>
        <w:t>אלא אוכל מכל נכסיה</w:t>
      </w:r>
      <w:r>
        <w:rPr>
          <w:rFonts w:cs="Arial" w:hint="cs"/>
          <w:rtl/>
        </w:rPr>
        <w:t>,</w:t>
      </w:r>
      <w:r w:rsidRPr="007A228B">
        <w:rPr>
          <w:rFonts w:cs="Arial"/>
          <w:rtl/>
        </w:rPr>
        <w:t xml:space="preserve"> ששני מיני נכסים יש לה</w:t>
      </w:r>
      <w:r>
        <w:rPr>
          <w:rFonts w:cs="Arial" w:hint="cs"/>
          <w:rtl/>
        </w:rPr>
        <w:t>,</w:t>
      </w:r>
      <w:r w:rsidRPr="007A228B">
        <w:rPr>
          <w:rFonts w:cs="Arial"/>
          <w:rtl/>
        </w:rPr>
        <w:t xml:space="preserve"> נכסי מלוג ונכסי צאן ברזל</w:t>
      </w:r>
      <w:r>
        <w:rPr>
          <w:rFonts w:cs="Arial" w:hint="cs"/>
          <w:rtl/>
        </w:rPr>
        <w:t>.</w:t>
      </w:r>
      <w:r w:rsidRPr="007A228B">
        <w:rPr>
          <w:rFonts w:cs="Arial"/>
          <w:rtl/>
        </w:rPr>
        <w:t xml:space="preserve"> נכסי צאן ברזל הם שמכנסת לו ושמין אותם וכותבין אותם בכתובתה ודא נדוניא דהנעלת ליה בגדים ותכשיטים</w:t>
      </w:r>
      <w:r>
        <w:rPr>
          <w:rFonts w:cs="Arial" w:hint="cs"/>
          <w:rtl/>
        </w:rPr>
        <w:t>,</w:t>
      </w:r>
      <w:r w:rsidRPr="007A228B">
        <w:rPr>
          <w:rFonts w:cs="Arial"/>
          <w:rtl/>
        </w:rPr>
        <w:t xml:space="preserve"> ומקבל עליו אחריות</w:t>
      </w:r>
      <w:r>
        <w:rPr>
          <w:rFonts w:cs="Arial" w:hint="cs"/>
          <w:rtl/>
        </w:rPr>
        <w:t>,</w:t>
      </w:r>
      <w:r w:rsidRPr="007A228B">
        <w:rPr>
          <w:rFonts w:cs="Arial"/>
          <w:rtl/>
        </w:rPr>
        <w:t xml:space="preserve"> שאם הם עבדים ובהמה ומתו </w:t>
      </w:r>
      <w:r>
        <w:rPr>
          <w:rFonts w:cs="Arial" w:hint="cs"/>
          <w:rtl/>
        </w:rPr>
        <w:t xml:space="preserve">- </w:t>
      </w:r>
      <w:r w:rsidRPr="007A228B">
        <w:rPr>
          <w:rFonts w:cs="Arial"/>
          <w:rtl/>
        </w:rPr>
        <w:t>מתו לו</w:t>
      </w:r>
      <w:r>
        <w:rPr>
          <w:rFonts w:cs="Arial" w:hint="cs"/>
          <w:rtl/>
        </w:rPr>
        <w:t>,</w:t>
      </w:r>
      <w:r w:rsidRPr="007A228B">
        <w:rPr>
          <w:rFonts w:cs="Arial"/>
          <w:rtl/>
        </w:rPr>
        <w:t xml:space="preserve"> ואם הותירו </w:t>
      </w:r>
      <w:r>
        <w:rPr>
          <w:rFonts w:cs="Arial" w:hint="cs"/>
          <w:rtl/>
        </w:rPr>
        <w:t xml:space="preserve">- </w:t>
      </w:r>
      <w:r w:rsidRPr="007A228B">
        <w:rPr>
          <w:rFonts w:cs="Arial"/>
          <w:rtl/>
        </w:rPr>
        <w:t>הותירו לו</w:t>
      </w:r>
      <w:r>
        <w:rPr>
          <w:rFonts w:cs="Arial" w:hint="cs"/>
          <w:rtl/>
        </w:rPr>
        <w:t>,</w:t>
      </w:r>
      <w:r w:rsidRPr="007A228B">
        <w:rPr>
          <w:rFonts w:cs="Arial"/>
          <w:rtl/>
        </w:rPr>
        <w:t xml:space="preserve"> ואם הם מטלטלים ופיחתו או הותירו או נגנבו או נאבדו </w:t>
      </w:r>
      <w:r>
        <w:rPr>
          <w:rFonts w:cs="Arial" w:hint="cs"/>
          <w:rtl/>
        </w:rPr>
        <w:t xml:space="preserve">- </w:t>
      </w:r>
      <w:r w:rsidRPr="007A228B">
        <w:rPr>
          <w:rFonts w:cs="Arial"/>
          <w:rtl/>
        </w:rPr>
        <w:t>הכל הוא באחריותו</w:t>
      </w:r>
      <w:r>
        <w:rPr>
          <w:rFonts w:cs="Arial" w:hint="cs"/>
          <w:rtl/>
        </w:rPr>
        <w:t>.</w:t>
      </w:r>
      <w:r w:rsidRPr="007A228B">
        <w:rPr>
          <w:rFonts w:cs="Arial"/>
          <w:rtl/>
        </w:rPr>
        <w:t xml:space="preserve"> ואם אינו מקבלן עליו באחריות אז נקראין נ</w:t>
      </w:r>
      <w:r>
        <w:rPr>
          <w:rFonts w:cs="Arial" w:hint="cs"/>
          <w:rtl/>
        </w:rPr>
        <w:t xml:space="preserve">כסי </w:t>
      </w:r>
      <w:r w:rsidRPr="007A228B">
        <w:rPr>
          <w:rFonts w:cs="Arial"/>
          <w:rtl/>
        </w:rPr>
        <w:t>מ</w:t>
      </w:r>
      <w:r>
        <w:rPr>
          <w:rFonts w:cs="Arial" w:hint="cs"/>
          <w:rtl/>
        </w:rPr>
        <w:t xml:space="preserve">לוג, </w:t>
      </w:r>
      <w:r w:rsidRPr="007A228B">
        <w:rPr>
          <w:rFonts w:cs="Arial"/>
          <w:rtl/>
        </w:rPr>
        <w:t xml:space="preserve">ואם פחתו או הותירו או נגנבו או נאבדו </w:t>
      </w:r>
      <w:r>
        <w:rPr>
          <w:rFonts w:cs="Arial" w:hint="cs"/>
          <w:rtl/>
        </w:rPr>
        <w:t xml:space="preserve">- </w:t>
      </w:r>
      <w:r w:rsidRPr="007A228B">
        <w:rPr>
          <w:rFonts w:cs="Arial"/>
          <w:rtl/>
        </w:rPr>
        <w:t>אז הכל באחריותה</w:t>
      </w:r>
      <w:r>
        <w:rPr>
          <w:rFonts w:cs="Arial" w:hint="cs"/>
          <w:rtl/>
        </w:rPr>
        <w:t>.</w:t>
      </w:r>
      <w:r w:rsidRPr="007A228B">
        <w:rPr>
          <w:rFonts w:cs="Arial"/>
          <w:rtl/>
        </w:rPr>
        <w:t xml:space="preserve"> </w:t>
      </w:r>
    </w:p>
    <w:p w14:paraId="1170E855" w14:textId="77777777" w:rsidR="002E5BAD" w:rsidRDefault="002E5BAD" w:rsidP="002E5BAD">
      <w:pPr>
        <w:pStyle w:val="ab"/>
        <w:numPr>
          <w:ilvl w:val="0"/>
          <w:numId w:val="178"/>
        </w:numPr>
      </w:pPr>
      <w:r w:rsidRPr="00BA73D9">
        <w:rPr>
          <w:rFonts w:cs="Arial" w:hint="cs"/>
          <w:rtl/>
        </w:rPr>
        <w:t xml:space="preserve">רמב"ם </w:t>
      </w:r>
      <w:r w:rsidRPr="00BA73D9">
        <w:rPr>
          <w:rFonts w:cs="Arial" w:hint="cs"/>
          <w:sz w:val="16"/>
          <w:szCs w:val="16"/>
          <w:rtl/>
        </w:rPr>
        <w:t>(פט"ז מאישות ה"א-ב)</w:t>
      </w:r>
      <w:r w:rsidRPr="00BA73D9">
        <w:rPr>
          <w:rFonts w:cs="Arial" w:hint="cs"/>
          <w:rtl/>
        </w:rPr>
        <w:t xml:space="preserve">- </w:t>
      </w:r>
      <w:r w:rsidRPr="00BA73D9">
        <w:rPr>
          <w:rFonts w:cs="Arial"/>
          <w:rtl/>
        </w:rPr>
        <w:t>הנכסים שמכנסת האשה לבעלה בין קרקע בין מטלטלין בין עבדים אף על פי שהן נכתבין בשטר כתובה אינן נקראין כתובה</w:t>
      </w:r>
      <w:r>
        <w:rPr>
          <w:rFonts w:cs="Arial" w:hint="cs"/>
          <w:rtl/>
        </w:rPr>
        <w:t>,</w:t>
      </w:r>
      <w:r w:rsidRPr="00BA73D9">
        <w:rPr>
          <w:rFonts w:cs="Arial"/>
          <w:rtl/>
        </w:rPr>
        <w:t xml:space="preserve"> אלא נדוניא שמם</w:t>
      </w:r>
      <w:r>
        <w:rPr>
          <w:rFonts w:cs="Arial" w:hint="cs"/>
          <w:rtl/>
        </w:rPr>
        <w:t>.</w:t>
      </w:r>
      <w:r w:rsidRPr="00BA73D9">
        <w:rPr>
          <w:rFonts w:cs="Arial"/>
          <w:rtl/>
        </w:rPr>
        <w:t xml:space="preserve"> ואם קיבל הבעל אחריות הנדוניא עליו ונעשית ברשותו</w:t>
      </w:r>
      <w:r>
        <w:rPr>
          <w:rFonts w:cs="Arial" w:hint="cs"/>
          <w:rtl/>
        </w:rPr>
        <w:t>,</w:t>
      </w:r>
      <w:r w:rsidRPr="00BA73D9">
        <w:rPr>
          <w:rFonts w:cs="Arial"/>
          <w:rtl/>
        </w:rPr>
        <w:t xml:space="preserve"> אם פחתה פחתה לו ואם הותירה הותירה לו</w:t>
      </w:r>
      <w:r>
        <w:rPr>
          <w:rFonts w:cs="Arial" w:hint="cs"/>
          <w:rtl/>
        </w:rPr>
        <w:t>,</w:t>
      </w:r>
      <w:r w:rsidRPr="00BA73D9">
        <w:rPr>
          <w:rFonts w:cs="Arial"/>
          <w:rtl/>
        </w:rPr>
        <w:t xml:space="preserve"> הרי זו נקראת נכסי צאן ברזל</w:t>
      </w:r>
      <w:r>
        <w:rPr>
          <w:rFonts w:cs="Arial" w:hint="cs"/>
          <w:rtl/>
        </w:rPr>
        <w:t>.</w:t>
      </w:r>
      <w:r w:rsidRPr="00BA73D9">
        <w:rPr>
          <w:rFonts w:cs="Arial"/>
          <w:rtl/>
        </w:rPr>
        <w:t xml:space="preserve"> ואם לא קיבל אחריות הנדוניא עליו</w:t>
      </w:r>
      <w:r>
        <w:rPr>
          <w:rFonts w:cs="Arial" w:hint="cs"/>
          <w:rtl/>
        </w:rPr>
        <w:t>,</w:t>
      </w:r>
      <w:r w:rsidRPr="00BA73D9">
        <w:rPr>
          <w:rFonts w:cs="Arial"/>
          <w:rtl/>
        </w:rPr>
        <w:t xml:space="preserve"> אלא הרי היא ברשות האשה אם פחתה פחתה לה ואם הותירה הותירה לה</w:t>
      </w:r>
      <w:r>
        <w:rPr>
          <w:rFonts w:cs="Arial" w:hint="cs"/>
          <w:rtl/>
        </w:rPr>
        <w:t>,</w:t>
      </w:r>
      <w:r w:rsidRPr="00BA73D9">
        <w:rPr>
          <w:rFonts w:cs="Arial"/>
          <w:rtl/>
        </w:rPr>
        <w:t xml:space="preserve"> הרי זו נקראת נכסי מלוג. וכן כל נכסים שיש לאשה שלא הכניסה אותן לבעלה ולא כתבה אותן בכתובה אלא נשארו לה לעצמה, או נפלו לה בירושה אחר שנתארסה או נתנו לה במתנה, הכל נקראין נכסי מלוג שכולן ברשותה הן, ואין נקרא כתובה אלא עיקר כתובה שהוא מאה או מאתים עם התוספת בלבד.</w:t>
      </w:r>
    </w:p>
    <w:p w14:paraId="338DAEEA" w14:textId="77777777" w:rsidR="002E5BAD" w:rsidRPr="00E84812" w:rsidRDefault="002E5BAD" w:rsidP="002E5BAD">
      <w:pPr>
        <w:ind w:left="360"/>
        <w:rPr>
          <w:u w:val="dotted"/>
        </w:rPr>
      </w:pPr>
      <w:r w:rsidRPr="00E84812">
        <w:rPr>
          <w:rFonts w:hint="cs"/>
          <w:u w:val="dotted"/>
          <w:rtl/>
        </w:rPr>
        <w:t>הם יש הבדל בין נדוניא לכתובה:</w:t>
      </w:r>
    </w:p>
    <w:p w14:paraId="5D7C1D06" w14:textId="77777777" w:rsidR="002E5BAD" w:rsidRPr="002479DC" w:rsidRDefault="002E5BAD" w:rsidP="002E5BAD">
      <w:pPr>
        <w:pStyle w:val="ab"/>
        <w:numPr>
          <w:ilvl w:val="0"/>
          <w:numId w:val="178"/>
        </w:numPr>
      </w:pPr>
      <w:r>
        <w:rPr>
          <w:rFonts w:cs="Arial" w:hint="cs"/>
          <w:rtl/>
        </w:rPr>
        <w:t xml:space="preserve">רמב"ם </w:t>
      </w:r>
      <w:r>
        <w:rPr>
          <w:rFonts w:cs="Arial" w:hint="cs"/>
          <w:sz w:val="16"/>
          <w:szCs w:val="16"/>
          <w:rtl/>
        </w:rPr>
        <w:t>(שם, להב' הה"מ [שם] והרשב"א)</w:t>
      </w:r>
      <w:r>
        <w:rPr>
          <w:rFonts w:cs="Arial" w:hint="cs"/>
          <w:rtl/>
        </w:rPr>
        <w:t>-</w:t>
      </w:r>
      <w:r w:rsidRPr="00E84812">
        <w:rPr>
          <w:rFonts w:cs="Arial"/>
          <w:rtl/>
        </w:rPr>
        <w:t xml:space="preserve"> אין הנדוניא בכלל כתובה לשום דבר אלא לדברים שביאר רבינו בפירוש שהיא ככתובה אבל בכל מה שסתם הוא ז"ל דין הנדוניא כדין חוב בעלמא</w:t>
      </w:r>
      <w:r>
        <w:rPr>
          <w:rFonts w:cs="Arial" w:hint="cs"/>
          <w:sz w:val="16"/>
          <w:szCs w:val="16"/>
        </w:rPr>
        <w:t xml:space="preserve"> </w:t>
      </w:r>
      <w:r>
        <w:rPr>
          <w:rFonts w:cs="Arial" w:hint="cs"/>
          <w:sz w:val="16"/>
          <w:szCs w:val="16"/>
          <w:rtl/>
        </w:rPr>
        <w:t>(ל' הה"מ)</w:t>
      </w:r>
      <w:r>
        <w:rPr>
          <w:rStyle w:val="a7"/>
          <w:rFonts w:cs="Arial"/>
          <w:rtl/>
        </w:rPr>
        <w:footnoteReference w:id="1607"/>
      </w:r>
      <w:r>
        <w:rPr>
          <w:rFonts w:cs="Arial" w:hint="cs"/>
          <w:rtl/>
        </w:rPr>
        <w:t>.</w:t>
      </w:r>
      <w:r w:rsidRPr="00E84812">
        <w:rPr>
          <w:rFonts w:cs="Arial"/>
          <w:rtl/>
        </w:rPr>
        <w:t xml:space="preserve"> </w:t>
      </w:r>
    </w:p>
    <w:p w14:paraId="7D725D19" w14:textId="77777777" w:rsidR="002E5BAD" w:rsidRPr="00593A0D" w:rsidRDefault="002E5BAD" w:rsidP="002E5BAD">
      <w:pPr>
        <w:pStyle w:val="ab"/>
        <w:numPr>
          <w:ilvl w:val="0"/>
          <w:numId w:val="178"/>
        </w:numPr>
      </w:pPr>
      <w:r w:rsidRPr="00E84812">
        <w:rPr>
          <w:rFonts w:cs="Arial"/>
          <w:rtl/>
        </w:rPr>
        <w:t xml:space="preserve">רמב"ן </w:t>
      </w:r>
      <w:r w:rsidRPr="00593A0D">
        <w:rPr>
          <w:rFonts w:cs="Arial" w:hint="cs"/>
          <w:sz w:val="16"/>
          <w:szCs w:val="16"/>
          <w:rtl/>
        </w:rPr>
        <w:t>(כתובות נד: ד"ה והא</w:t>
      </w:r>
      <w:r>
        <w:rPr>
          <w:rFonts w:cs="Arial" w:hint="cs"/>
          <w:sz w:val="16"/>
          <w:szCs w:val="16"/>
          <w:rtl/>
        </w:rPr>
        <w:t>, הביאו הה"מ</w:t>
      </w:r>
      <w:r w:rsidRPr="00593A0D">
        <w:rPr>
          <w:rFonts w:cs="Arial" w:hint="cs"/>
          <w:sz w:val="16"/>
          <w:szCs w:val="16"/>
          <w:rtl/>
        </w:rPr>
        <w:t>)</w:t>
      </w:r>
      <w:r>
        <w:rPr>
          <w:rFonts w:cs="Arial" w:hint="cs"/>
          <w:rtl/>
        </w:rPr>
        <w:t xml:space="preserve">- </w:t>
      </w:r>
      <w:r w:rsidRPr="00593A0D">
        <w:rPr>
          <w:rFonts w:cs="Arial"/>
          <w:rtl/>
        </w:rPr>
        <w:t>נדוניא כתובה שמה בכל מקום</w:t>
      </w:r>
      <w:r>
        <w:rPr>
          <w:rFonts w:cs="Arial" w:hint="cs"/>
          <w:rtl/>
        </w:rPr>
        <w:t>...</w:t>
      </w:r>
      <w:r w:rsidRPr="00593A0D">
        <w:rPr>
          <w:rFonts w:cs="Arial"/>
          <w:rtl/>
        </w:rPr>
        <w:t xml:space="preserve"> הלכך כל דיני כתובה דמנה מאתים </w:t>
      </w:r>
      <w:r>
        <w:rPr>
          <w:rFonts w:cs="Arial" w:hint="cs"/>
          <w:rtl/>
        </w:rPr>
        <w:t>כ</w:t>
      </w:r>
      <w:r w:rsidRPr="00593A0D">
        <w:rPr>
          <w:rFonts w:cs="Arial"/>
          <w:rtl/>
        </w:rPr>
        <w:t>נכסי צאן ברזל, ומיהו דוקא בדליתנהו ובאה לגבות מנכסיו בשעבוד דכתובה אבל היכי דאיתנהו לא שאפילו זנתה לא הפסידה בלאותי' הקיימין דנכסי צאן ברזל</w:t>
      </w:r>
      <w:r>
        <w:rPr>
          <w:rFonts w:cs="Arial" w:hint="cs"/>
          <w:rtl/>
        </w:rPr>
        <w:t>.</w:t>
      </w:r>
      <w:r w:rsidRPr="00593A0D">
        <w:rPr>
          <w:rFonts w:cs="Arial"/>
          <w:rtl/>
        </w:rPr>
        <w:t xml:space="preserve"> </w:t>
      </w:r>
    </w:p>
    <w:p w14:paraId="276A73D5" w14:textId="77777777" w:rsidR="002E5BAD" w:rsidRPr="00B31293" w:rsidRDefault="002E5BAD" w:rsidP="002E5BAD">
      <w:pPr>
        <w:pStyle w:val="ab"/>
        <w:numPr>
          <w:ilvl w:val="0"/>
          <w:numId w:val="178"/>
        </w:numPr>
        <w:rPr>
          <w:rtl/>
        </w:rPr>
      </w:pPr>
      <w:r w:rsidRPr="00E84812">
        <w:rPr>
          <w:rFonts w:cs="Arial"/>
          <w:rtl/>
        </w:rPr>
        <w:t>רשב"</w:t>
      </w:r>
      <w:r>
        <w:rPr>
          <w:rFonts w:cs="Arial" w:hint="cs"/>
          <w:rtl/>
        </w:rPr>
        <w:t>א</w:t>
      </w:r>
      <w:r w:rsidRPr="004C5DE2">
        <w:rPr>
          <w:rFonts w:cs="Arial" w:hint="cs"/>
          <w:sz w:val="16"/>
          <w:szCs w:val="16"/>
          <w:rtl/>
        </w:rPr>
        <w:t xml:space="preserve"> </w:t>
      </w:r>
      <w:r>
        <w:rPr>
          <w:rFonts w:cs="Arial" w:hint="cs"/>
          <w:sz w:val="16"/>
          <w:szCs w:val="16"/>
          <w:rtl/>
        </w:rPr>
        <w:t>(כ"כ הה"מ בשמו)</w:t>
      </w:r>
      <w:r>
        <w:rPr>
          <w:rFonts w:cs="Arial" w:hint="cs"/>
          <w:rtl/>
        </w:rPr>
        <w:t xml:space="preserve">- </w:t>
      </w:r>
      <w:r w:rsidRPr="00E84812">
        <w:rPr>
          <w:rFonts w:cs="Arial"/>
          <w:rtl/>
        </w:rPr>
        <w:t>ודאי הנדוניא בכלל לשון הכתובה</w:t>
      </w:r>
      <w:r>
        <w:rPr>
          <w:rFonts w:cs="Arial" w:hint="cs"/>
          <w:rtl/>
        </w:rPr>
        <w:t>,</w:t>
      </w:r>
      <w:r w:rsidRPr="00E84812">
        <w:rPr>
          <w:rFonts w:cs="Arial"/>
          <w:rtl/>
        </w:rPr>
        <w:t xml:space="preserve"> ונפקא מינה למוכרת ומוחלת דמשום לישנא אתינן לה כלומר שבכלל מה שאמרה כתובתי מכורה לך מחולה לך היא אפילו הנדוניא</w:t>
      </w:r>
      <w:r>
        <w:rPr>
          <w:rFonts w:cs="Arial" w:hint="cs"/>
          <w:rtl/>
        </w:rPr>
        <w:t>,</w:t>
      </w:r>
      <w:r w:rsidRPr="00E84812">
        <w:rPr>
          <w:rFonts w:cs="Arial"/>
          <w:rtl/>
        </w:rPr>
        <w:t xml:space="preserve"> שהכל נקרא כתובה והלשון כולל אותם</w:t>
      </w:r>
      <w:r>
        <w:rPr>
          <w:rFonts w:cs="Arial" w:hint="cs"/>
          <w:rtl/>
        </w:rPr>
        <w:t>.</w:t>
      </w:r>
      <w:r w:rsidRPr="00E84812">
        <w:rPr>
          <w:rFonts w:cs="Arial"/>
          <w:rtl/>
        </w:rPr>
        <w:t xml:space="preserve"> אבל לדיניהם</w:t>
      </w:r>
      <w:r>
        <w:rPr>
          <w:rFonts w:cs="Arial" w:hint="cs"/>
          <w:rtl/>
        </w:rPr>
        <w:t>,</w:t>
      </w:r>
      <w:r w:rsidRPr="00E84812">
        <w:rPr>
          <w:rFonts w:cs="Arial"/>
          <w:rtl/>
        </w:rPr>
        <w:t xml:space="preserve"> בכל מה שאין הלשון גורם </w:t>
      </w:r>
      <w:r>
        <w:rPr>
          <w:rFonts w:cs="Arial" w:hint="cs"/>
          <w:rtl/>
        </w:rPr>
        <w:t xml:space="preserve">- </w:t>
      </w:r>
      <w:r w:rsidRPr="00E84812">
        <w:rPr>
          <w:rFonts w:cs="Arial"/>
          <w:rtl/>
        </w:rPr>
        <w:t>אין הנדוניא בכלל העיקר</w:t>
      </w:r>
      <w:r>
        <w:rPr>
          <w:rFonts w:cs="Arial" w:hint="cs"/>
          <w:rtl/>
        </w:rPr>
        <w:t>,</w:t>
      </w:r>
      <w:r w:rsidRPr="00E84812">
        <w:rPr>
          <w:rFonts w:cs="Arial"/>
          <w:rtl/>
        </w:rPr>
        <w:t xml:space="preserve"> דהתם שנו קולי דכתובה משום דמדידיה יהיב לה</w:t>
      </w:r>
      <w:r>
        <w:rPr>
          <w:rFonts w:cs="Arial" w:hint="cs"/>
          <w:rtl/>
        </w:rPr>
        <w:t>,</w:t>
      </w:r>
      <w:r w:rsidRPr="00E84812">
        <w:rPr>
          <w:rFonts w:cs="Arial"/>
          <w:rtl/>
        </w:rPr>
        <w:t xml:space="preserve"> ונדוניא משלה היא ולמה נקל יותר משאר חובות דעלמא</w:t>
      </w:r>
      <w:r>
        <w:rPr>
          <w:rFonts w:cs="Arial" w:hint="cs"/>
          <w:sz w:val="16"/>
          <w:szCs w:val="16"/>
          <w:rtl/>
        </w:rPr>
        <w:t xml:space="preserve"> (ל' הה"מ בשמו)</w:t>
      </w:r>
      <w:r w:rsidRPr="00E84812">
        <w:rPr>
          <w:rFonts w:cs="Arial"/>
          <w:rtl/>
        </w:rPr>
        <w:t>.</w:t>
      </w:r>
    </w:p>
    <w:p w14:paraId="39EA6DA6" w14:textId="77777777" w:rsidR="002E5BAD" w:rsidRPr="00BA73D9" w:rsidRDefault="002E5BAD" w:rsidP="002E5BAD">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פ' השואל</w:t>
      </w:r>
      <w:r w:rsidRPr="00253C68">
        <w:rPr>
          <w:rFonts w:cs="Arial" w:hint="cs"/>
          <w:b/>
          <w:bCs/>
          <w:sz w:val="16"/>
          <w:szCs w:val="16"/>
          <w:rtl/>
        </w:rPr>
        <w:t xml:space="preserve">) </w:t>
      </w:r>
      <w:r>
        <w:rPr>
          <w:rFonts w:cs="Arial" w:hint="cs"/>
          <w:b/>
          <w:bCs/>
          <w:rtl/>
        </w:rPr>
        <w:t xml:space="preserve">צו ע"א: </w:t>
      </w:r>
      <w:r w:rsidRPr="00253C68">
        <w:rPr>
          <w:rFonts w:cs="Arial"/>
          <w:u w:val="single"/>
          <w:rtl/>
        </w:rPr>
        <w:t>בעי רמי בר חמא</w:t>
      </w:r>
      <w:r w:rsidRPr="00253C68">
        <w:rPr>
          <w:rFonts w:cs="Arial"/>
          <w:rtl/>
        </w:rPr>
        <w:t>: בעל בנכסי אשתו</w:t>
      </w:r>
      <w:r>
        <w:rPr>
          <w:rFonts w:cs="Arial" w:hint="cs"/>
          <w:rtl/>
        </w:rPr>
        <w:t xml:space="preserve"> </w:t>
      </w:r>
      <w:r>
        <w:rPr>
          <w:rFonts w:cs="Arial" w:hint="cs"/>
          <w:sz w:val="14"/>
          <w:szCs w:val="14"/>
          <w:rtl/>
        </w:rPr>
        <w:t>(צו:)</w:t>
      </w:r>
      <w:r w:rsidRPr="00253C68">
        <w:rPr>
          <w:rFonts w:cs="Arial"/>
          <w:rtl/>
        </w:rPr>
        <w:t xml:space="preserve"> שואל הוי או שוכר הוי? </w:t>
      </w:r>
      <w:r w:rsidRPr="00253C68">
        <w:rPr>
          <w:rFonts w:cs="Arial"/>
          <w:u w:val="single"/>
          <w:rtl/>
        </w:rPr>
        <w:t>אמר רבא</w:t>
      </w:r>
      <w:r w:rsidRPr="00253C68">
        <w:rPr>
          <w:rFonts w:cs="Arial"/>
          <w:rtl/>
        </w:rPr>
        <w:t>: לפום חורפא שבשתא. מה נפשך, אי שואל הוי - שאלה בבעלים היא, אי שוכר הוי - שכירות בבעלים היא.</w:t>
      </w:r>
      <w:r>
        <w:rPr>
          <w:rFonts w:cs="Arial" w:hint="cs"/>
          <w:rtl/>
        </w:rPr>
        <w:t>..</w:t>
      </w:r>
      <w:r w:rsidRPr="00253C68">
        <w:rPr>
          <w:rFonts w:cs="Arial"/>
          <w:rtl/>
        </w:rPr>
        <w:t xml:space="preserve"> אלא, כי קא מיבעיא לרמי בר חמא כגון דאגרא איהי פרה מעלמא, והדר נסבה. ואליבא דרבנן דאמרי שואל משלם לשוכר - לא תיבעי לך, דודאי שאילה בבעלים היא. כי תיבעי לך - אליבא דרבי יוסי, דאמר: תחזיר פרה לבעלים הראשונים - מאי, שואל הוי או שוכר הוי? </w:t>
      </w:r>
      <w:r w:rsidRPr="00253C68">
        <w:rPr>
          <w:rFonts w:cs="Arial"/>
          <w:u w:val="single"/>
          <w:rtl/>
        </w:rPr>
        <w:t>אמר רבא</w:t>
      </w:r>
      <w:r w:rsidRPr="00253C68">
        <w:rPr>
          <w:rFonts w:cs="Arial"/>
          <w:rtl/>
        </w:rPr>
        <w:t>: בעל לא שואל הוי ולא שוכר הוי, אלא לוקח הוי, מדרבי יוסי ברבי חנינא. דאמר רבי יוסי ברבי חנינא: באושא התקינו: האשה שמכרה בנכסי מלוג בחיי בעלה ומתה - הבעל מוציא מיד הלקוחות.</w:t>
      </w:r>
    </w:p>
    <w:p w14:paraId="717D46C7" w14:textId="77777777" w:rsidR="002E5BAD" w:rsidRPr="00B31293" w:rsidRDefault="002E5BAD" w:rsidP="002E5BAD">
      <w:pPr>
        <w:rPr>
          <w:u w:val="single"/>
        </w:rPr>
      </w:pPr>
      <w:r w:rsidRPr="00B31293">
        <w:rPr>
          <w:rFonts w:hint="cs"/>
          <w:u w:val="single"/>
          <w:rtl/>
        </w:rPr>
        <w:t xml:space="preserve">בעל שפשע בנכסי מלוג </w:t>
      </w:r>
      <w:r w:rsidRPr="00B31293">
        <w:rPr>
          <w:u w:val="single"/>
          <w:rtl/>
        </w:rPr>
        <w:t>–</w:t>
      </w:r>
      <w:r w:rsidRPr="00B31293">
        <w:rPr>
          <w:rFonts w:hint="cs"/>
          <w:u w:val="single"/>
          <w:rtl/>
        </w:rPr>
        <w:t xml:space="preserve"> האם חייב עכשיו באחריותן:</w:t>
      </w:r>
    </w:p>
    <w:p w14:paraId="6E113973" w14:textId="77777777" w:rsidR="002E5BAD" w:rsidRDefault="002E5BAD" w:rsidP="002E5BAD">
      <w:pPr>
        <w:pStyle w:val="ab"/>
        <w:numPr>
          <w:ilvl w:val="0"/>
          <w:numId w:val="178"/>
        </w:numPr>
      </w:pPr>
      <w:r>
        <w:rPr>
          <w:rFonts w:cs="Arial" w:hint="cs"/>
          <w:rtl/>
        </w:rPr>
        <w:t>טור-</w:t>
      </w:r>
      <w:r w:rsidRPr="007A228B">
        <w:rPr>
          <w:rFonts w:cs="Arial"/>
          <w:rtl/>
        </w:rPr>
        <w:t xml:space="preserve"> </w:t>
      </w:r>
      <w:r>
        <w:rPr>
          <w:rFonts w:cs="Arial" w:hint="cs"/>
          <w:rtl/>
        </w:rPr>
        <w:t xml:space="preserve">ופירש ר"י </w:t>
      </w:r>
      <w:r w:rsidRPr="007A228B">
        <w:rPr>
          <w:rFonts w:cs="Arial"/>
          <w:rtl/>
        </w:rPr>
        <w:t>אם פשע בהם ונאבדו בפשיעה פטור שהיא עמו במלאכתו ופשיעה בבעלים פטור</w:t>
      </w:r>
      <w:r>
        <w:rPr>
          <w:rStyle w:val="a7"/>
          <w:rFonts w:cs="Arial"/>
          <w:rtl/>
        </w:rPr>
        <w:footnoteReference w:id="1608"/>
      </w:r>
      <w:r>
        <w:rPr>
          <w:rFonts w:cs="Arial" w:hint="cs"/>
          <w:rtl/>
        </w:rPr>
        <w:t>.</w:t>
      </w:r>
      <w:r w:rsidRPr="007A228B">
        <w:rPr>
          <w:rFonts w:cs="Arial"/>
          <w:rtl/>
        </w:rPr>
        <w:t xml:space="preserve"> </w:t>
      </w:r>
      <w:r w:rsidRPr="007B430E">
        <w:rPr>
          <w:rFonts w:hint="cs"/>
          <w:color w:val="E36C0A" w:themeColor="accent6" w:themeShade="BF"/>
          <w:rtl/>
        </w:rPr>
        <w:t>(וכ"פ בשו"ע)</w:t>
      </w:r>
    </w:p>
    <w:p w14:paraId="25D5E60B"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19E6F1D1" w14:textId="77777777" w:rsidR="002E5BAD" w:rsidRDefault="002E5BAD" w:rsidP="002E5BAD">
      <w:pPr>
        <w:rPr>
          <w:rtl/>
        </w:rPr>
      </w:pPr>
      <w:r>
        <w:rPr>
          <w:rFonts w:cs="Arial"/>
          <w:rtl/>
        </w:rPr>
        <w:t>נכסי צאן ברזל</w:t>
      </w:r>
      <w:r>
        <w:rPr>
          <w:rStyle w:val="a7"/>
          <w:rFonts w:cs="Arial"/>
          <w:rtl/>
        </w:rPr>
        <w:footnoteReference w:id="1609"/>
      </w:r>
      <w:r>
        <w:rPr>
          <w:rFonts w:cs="Arial"/>
          <w:rtl/>
        </w:rPr>
        <w:t xml:space="preserve"> </w:t>
      </w:r>
      <w:r>
        <w:rPr>
          <w:rFonts w:cs="Arial" w:hint="cs"/>
          <w:sz w:val="18"/>
          <w:szCs w:val="18"/>
          <w:rtl/>
        </w:rPr>
        <w:t xml:space="preserve">[הגה] </w:t>
      </w:r>
      <w:r w:rsidRPr="00F46615">
        <w:rPr>
          <w:rFonts w:cs="Arial"/>
          <w:sz w:val="18"/>
          <w:szCs w:val="18"/>
          <w:rtl/>
        </w:rPr>
        <w:t>הם הנדוניא דהנעלת ליה בגדים</w:t>
      </w:r>
      <w:r>
        <w:rPr>
          <w:rStyle w:val="a7"/>
          <w:rFonts w:cs="Arial"/>
          <w:sz w:val="18"/>
          <w:szCs w:val="18"/>
          <w:rtl/>
        </w:rPr>
        <w:footnoteReference w:id="1610"/>
      </w:r>
      <w:r w:rsidRPr="00F46615">
        <w:rPr>
          <w:rFonts w:cs="Arial"/>
          <w:sz w:val="18"/>
          <w:szCs w:val="18"/>
          <w:rtl/>
        </w:rPr>
        <w:t xml:space="preserve"> או בהמה ועבדים</w:t>
      </w:r>
      <w:r>
        <w:rPr>
          <w:rStyle w:val="a7"/>
          <w:rFonts w:cs="Arial"/>
          <w:sz w:val="18"/>
          <w:szCs w:val="18"/>
          <w:rtl/>
        </w:rPr>
        <w:footnoteReference w:id="1611"/>
      </w:r>
      <w:r w:rsidRPr="00F46615">
        <w:rPr>
          <w:rFonts w:cs="Arial"/>
          <w:sz w:val="18"/>
          <w:szCs w:val="18"/>
          <w:rtl/>
        </w:rPr>
        <w:t xml:space="preserve"> ומקבל עליו אחריות (טור)</w:t>
      </w:r>
      <w:r>
        <w:rPr>
          <w:rFonts w:cs="Arial"/>
          <w:rtl/>
        </w:rPr>
        <w:t>, אם מתו, מתו לו</w:t>
      </w:r>
      <w:r>
        <w:rPr>
          <w:rFonts w:cs="Arial" w:hint="cs"/>
          <w:rtl/>
        </w:rPr>
        <w:t>.</w:t>
      </w:r>
      <w:r>
        <w:rPr>
          <w:rFonts w:cs="Arial"/>
          <w:rtl/>
        </w:rPr>
        <w:t xml:space="preserve"> ואם הותירו, הותירו לו</w:t>
      </w:r>
      <w:r>
        <w:rPr>
          <w:rFonts w:cs="Arial" w:hint="cs"/>
          <w:rtl/>
        </w:rPr>
        <w:t>.</w:t>
      </w:r>
      <w:r>
        <w:rPr>
          <w:rFonts w:cs="Arial"/>
          <w:rtl/>
        </w:rPr>
        <w:t xml:space="preserve"> וכן אם פחתו או נגנבו או אבדו, הכל לו. ונכסי מלוג</w:t>
      </w:r>
      <w:r>
        <w:rPr>
          <w:rStyle w:val="a7"/>
          <w:rFonts w:cs="Arial"/>
          <w:rtl/>
        </w:rPr>
        <w:footnoteReference w:id="1612"/>
      </w:r>
      <w:r>
        <w:rPr>
          <w:rFonts w:cs="Arial"/>
          <w:rtl/>
        </w:rPr>
        <w:t xml:space="preserve"> </w:t>
      </w:r>
      <w:r>
        <w:rPr>
          <w:rFonts w:cs="Arial" w:hint="cs"/>
          <w:sz w:val="18"/>
          <w:szCs w:val="18"/>
          <w:rtl/>
        </w:rPr>
        <w:t xml:space="preserve">[הגה] </w:t>
      </w:r>
      <w:r w:rsidRPr="00F46615">
        <w:rPr>
          <w:rFonts w:cs="Arial"/>
          <w:sz w:val="18"/>
          <w:szCs w:val="18"/>
          <w:rtl/>
        </w:rPr>
        <w:t>הם נכסים שאינם באחריותו</w:t>
      </w:r>
      <w:r>
        <w:rPr>
          <w:rStyle w:val="a7"/>
          <w:rFonts w:cs="Arial"/>
          <w:sz w:val="18"/>
          <w:szCs w:val="18"/>
          <w:rtl/>
        </w:rPr>
        <w:footnoteReference w:id="1613"/>
      </w:r>
      <w:r w:rsidRPr="00F46615">
        <w:rPr>
          <w:rFonts w:cs="Arial"/>
          <w:sz w:val="18"/>
          <w:szCs w:val="18"/>
          <w:rtl/>
        </w:rPr>
        <w:t xml:space="preserve"> (טור)</w:t>
      </w:r>
      <w:r>
        <w:rPr>
          <w:rFonts w:cs="Arial"/>
          <w:rtl/>
        </w:rPr>
        <w:t>, אם מתו או הותירו או פחתו או נגנבו או נאבדו, הכל לה, שאין לבעל בהם אלא אכילת פירות</w:t>
      </w:r>
      <w:r>
        <w:rPr>
          <w:rStyle w:val="a7"/>
          <w:rFonts w:cs="Arial"/>
          <w:rtl/>
        </w:rPr>
        <w:footnoteReference w:id="1614"/>
      </w:r>
      <w:r>
        <w:rPr>
          <w:rFonts w:cs="Arial" w:hint="cs"/>
          <w:rtl/>
        </w:rPr>
        <w:t>.</w:t>
      </w:r>
      <w:r>
        <w:rPr>
          <w:rFonts w:cs="Arial"/>
          <w:rtl/>
        </w:rPr>
        <w:t xml:space="preserve"> ואם פשע הבעל בנכסי מלוג, ונאבדו, פטור, מפני שהיא עמו במלאכתו והוי פשיעה בבעלים. </w:t>
      </w:r>
      <w:r w:rsidRPr="00F46615">
        <w:rPr>
          <w:rFonts w:cs="Arial"/>
          <w:sz w:val="18"/>
          <w:szCs w:val="18"/>
          <w:rtl/>
        </w:rPr>
        <w:t xml:space="preserve">הגה: ע"ל סימן ע"ז סעיף ג' כתבתי דין בגדי אשה אם מקרי </w:t>
      </w:r>
      <w:r>
        <w:rPr>
          <w:rFonts w:cs="Arial"/>
          <w:sz w:val="18"/>
          <w:szCs w:val="18"/>
          <w:rtl/>
        </w:rPr>
        <w:t>צאן ברזל</w:t>
      </w:r>
      <w:r w:rsidRPr="00F46615">
        <w:rPr>
          <w:rFonts w:cs="Arial"/>
          <w:sz w:val="18"/>
          <w:szCs w:val="18"/>
          <w:rtl/>
        </w:rPr>
        <w:t xml:space="preserve"> או </w:t>
      </w:r>
      <w:r>
        <w:rPr>
          <w:rFonts w:cs="Arial"/>
          <w:sz w:val="18"/>
          <w:szCs w:val="18"/>
          <w:rtl/>
        </w:rPr>
        <w:t>נכסי מלוג</w:t>
      </w:r>
      <w:r>
        <w:rPr>
          <w:rStyle w:val="a7"/>
          <w:rFonts w:cs="Arial"/>
          <w:sz w:val="18"/>
          <w:szCs w:val="18"/>
          <w:rtl/>
        </w:rPr>
        <w:footnoteReference w:id="1615"/>
      </w:r>
      <w:r w:rsidRPr="00F46615">
        <w:rPr>
          <w:rFonts w:cs="Arial"/>
          <w:sz w:val="18"/>
          <w:szCs w:val="18"/>
          <w:rtl/>
        </w:rPr>
        <w:t>. השדה שהבעל שם לה בכתובתה, דינו כ</w:t>
      </w:r>
      <w:r>
        <w:rPr>
          <w:rFonts w:cs="Arial"/>
          <w:sz w:val="18"/>
          <w:szCs w:val="18"/>
          <w:rtl/>
        </w:rPr>
        <w:t>צאן ברזל</w:t>
      </w:r>
      <w:r>
        <w:rPr>
          <w:rStyle w:val="a7"/>
          <w:rFonts w:cs="Arial"/>
          <w:sz w:val="18"/>
          <w:szCs w:val="18"/>
          <w:rtl/>
        </w:rPr>
        <w:footnoteReference w:id="1616"/>
      </w:r>
      <w:r w:rsidRPr="00F46615">
        <w:rPr>
          <w:rFonts w:cs="Arial"/>
          <w:sz w:val="18"/>
          <w:szCs w:val="18"/>
          <w:rtl/>
        </w:rPr>
        <w:t xml:space="preserve"> (רא"ש</w:t>
      </w:r>
      <w:r w:rsidRPr="00EB63AD">
        <w:rPr>
          <w:rtl/>
        </w:rPr>
        <w:t xml:space="preserve"> </w:t>
      </w:r>
      <w:r w:rsidRPr="00EB63AD">
        <w:rPr>
          <w:rFonts w:cs="Arial"/>
          <w:sz w:val="18"/>
          <w:szCs w:val="18"/>
          <w:rtl/>
        </w:rPr>
        <w:t>כלל לח סי' ו</w:t>
      </w:r>
      <w:r>
        <w:rPr>
          <w:rFonts w:cs="Arial" w:hint="cs"/>
          <w:sz w:val="18"/>
          <w:szCs w:val="18"/>
          <w:rtl/>
        </w:rPr>
        <w:t>, הובא לקמן בסי' קיח</w:t>
      </w:r>
      <w:r w:rsidRPr="00F46615">
        <w:rPr>
          <w:rFonts w:cs="Arial"/>
          <w:sz w:val="18"/>
          <w:szCs w:val="18"/>
          <w:rtl/>
        </w:rPr>
        <w:t xml:space="preserve">) (וע"ל סימן צ' סעיף ט"ז). </w:t>
      </w:r>
    </w:p>
    <w:p w14:paraId="4BD78CC8" w14:textId="77777777" w:rsidR="002E5BAD" w:rsidRDefault="002E5BAD" w:rsidP="002E5BAD">
      <w:pPr>
        <w:rPr>
          <w:rtl/>
        </w:rPr>
      </w:pPr>
    </w:p>
    <w:p w14:paraId="2740B4CB" w14:textId="77777777" w:rsidR="002E5BAD" w:rsidRDefault="002E5BAD" w:rsidP="002E5BAD">
      <w:pPr>
        <w:pStyle w:val="2"/>
      </w:pPr>
      <w:r>
        <w:rPr>
          <w:rtl/>
        </w:rPr>
        <w:t>סעיף ג</w:t>
      </w:r>
      <w:r>
        <w:rPr>
          <w:rFonts w:hint="cs"/>
          <w:rtl/>
        </w:rPr>
        <w:t>: נכסי צאן ברזל שלא שמו אותם או שלא קיבל אחריותם בפירוש.</w:t>
      </w:r>
    </w:p>
    <w:p w14:paraId="786484F1" w14:textId="77777777" w:rsidR="002E5BAD" w:rsidRPr="009836F3" w:rsidRDefault="002E5BAD" w:rsidP="002E5BAD">
      <w:pPr>
        <w:rPr>
          <w:u w:val="single"/>
          <w:rtl/>
        </w:rPr>
      </w:pPr>
      <w:r w:rsidRPr="009836F3">
        <w:rPr>
          <w:rFonts w:hint="cs"/>
          <w:u w:val="single"/>
          <w:rtl/>
        </w:rPr>
        <w:t>נכסי צאן ברזל שלא שמו אותם או שלא קיבל אחריותם בפירוש:</w:t>
      </w:r>
    </w:p>
    <w:p w14:paraId="434D1068" w14:textId="77777777" w:rsidR="002E5BAD" w:rsidRPr="007D2995" w:rsidRDefault="002E5BAD" w:rsidP="002E5BAD">
      <w:pPr>
        <w:pStyle w:val="ab"/>
        <w:numPr>
          <w:ilvl w:val="0"/>
          <w:numId w:val="178"/>
        </w:numPr>
      </w:pPr>
      <w:r>
        <w:rPr>
          <w:rFonts w:cs="Arial" w:hint="cs"/>
          <w:rtl/>
        </w:rPr>
        <w:t xml:space="preserve">רבינו </w:t>
      </w:r>
      <w:r w:rsidRPr="007A228B">
        <w:rPr>
          <w:rFonts w:cs="Arial"/>
          <w:rtl/>
        </w:rPr>
        <w:t>אפרים</w:t>
      </w:r>
      <w:r>
        <w:rPr>
          <w:rFonts w:cs="Arial" w:hint="cs"/>
          <w:sz w:val="16"/>
          <w:szCs w:val="16"/>
          <w:rtl/>
        </w:rPr>
        <w:t xml:space="preserve"> (כ"כ הטור בשמו)</w:t>
      </w:r>
      <w:r>
        <w:rPr>
          <w:rFonts w:cs="Arial" w:hint="cs"/>
          <w:rtl/>
        </w:rPr>
        <w:t xml:space="preserve"> ורמב"ם </w:t>
      </w:r>
      <w:r>
        <w:rPr>
          <w:rFonts w:cs="Arial" w:hint="cs"/>
          <w:sz w:val="16"/>
          <w:szCs w:val="16"/>
          <w:rtl/>
        </w:rPr>
        <w:t>(פט"ז ה"א)</w:t>
      </w:r>
      <w:r>
        <w:rPr>
          <w:rFonts w:cs="Arial" w:hint="cs"/>
          <w:rtl/>
        </w:rPr>
        <w:t xml:space="preserve">- </w:t>
      </w:r>
      <w:r w:rsidRPr="007A228B">
        <w:rPr>
          <w:rFonts w:cs="Arial"/>
          <w:rtl/>
        </w:rPr>
        <w:t>נכסי צאן ברזל לא מחייב בסתמא באחריותן עד דשיימינהו עליה בדמים קצובים</w:t>
      </w:r>
      <w:r>
        <w:rPr>
          <w:rFonts w:cs="Arial" w:hint="cs"/>
          <w:rtl/>
        </w:rPr>
        <w:t>.</w:t>
      </w:r>
      <w:r w:rsidRPr="007A228B">
        <w:rPr>
          <w:rFonts w:cs="Arial"/>
          <w:rtl/>
        </w:rPr>
        <w:t xml:space="preserve"> בד"א</w:t>
      </w:r>
      <w:r>
        <w:rPr>
          <w:rFonts w:cs="Arial" w:hint="cs"/>
          <w:rtl/>
        </w:rPr>
        <w:t>,</w:t>
      </w:r>
      <w:r w:rsidRPr="007A228B">
        <w:rPr>
          <w:rFonts w:cs="Arial"/>
          <w:rtl/>
        </w:rPr>
        <w:t xml:space="preserve"> בסתמא</w:t>
      </w:r>
      <w:r>
        <w:rPr>
          <w:rFonts w:cs="Arial" w:hint="cs"/>
          <w:rtl/>
        </w:rPr>
        <w:t>,</w:t>
      </w:r>
      <w:r w:rsidRPr="007A228B">
        <w:rPr>
          <w:rFonts w:cs="Arial"/>
          <w:rtl/>
        </w:rPr>
        <w:t xml:space="preserve"> אבל אם קבל אחריותן בפירוש אף על גב דלא שיימינהו עליה חייב באחריותן</w:t>
      </w:r>
      <w:r>
        <w:rPr>
          <w:rFonts w:cs="Arial" w:hint="cs"/>
          <w:sz w:val="16"/>
          <w:szCs w:val="16"/>
          <w:rtl/>
        </w:rPr>
        <w:t xml:space="preserve"> (ל' הטור בשם ר' אפרים)</w:t>
      </w:r>
      <w:r>
        <w:rPr>
          <w:rFonts w:cs="Arial" w:hint="cs"/>
          <w:rtl/>
        </w:rPr>
        <w:t>.</w:t>
      </w:r>
      <w:r w:rsidRPr="007A228B">
        <w:rPr>
          <w:rFonts w:cs="Arial"/>
          <w:rtl/>
        </w:rPr>
        <w:t xml:space="preserve"> </w:t>
      </w:r>
      <w:r w:rsidRPr="007B430E">
        <w:rPr>
          <w:rFonts w:hint="cs"/>
          <w:color w:val="E36C0A" w:themeColor="accent6" w:themeShade="BF"/>
          <w:rtl/>
        </w:rPr>
        <w:t>(וכ"פ בשו"ע)</w:t>
      </w:r>
    </w:p>
    <w:p w14:paraId="7E7B2D2F" w14:textId="77777777" w:rsidR="002E5BAD" w:rsidRPr="00121234" w:rsidRDefault="002E5BAD" w:rsidP="002E5BAD">
      <w:pPr>
        <w:pStyle w:val="ab"/>
        <w:numPr>
          <w:ilvl w:val="0"/>
          <w:numId w:val="178"/>
        </w:numPr>
      </w:pPr>
      <w:r>
        <w:rPr>
          <w:rFonts w:cs="Arial" w:hint="cs"/>
          <w:rtl/>
        </w:rPr>
        <w:t>בהעי"ט</w:t>
      </w:r>
      <w:r>
        <w:rPr>
          <w:rFonts w:cs="Arial" w:hint="cs"/>
          <w:sz w:val="16"/>
          <w:szCs w:val="16"/>
          <w:rtl/>
        </w:rPr>
        <w:t xml:space="preserve"> (כ"כ הטור בשמו)</w:t>
      </w:r>
      <w:r>
        <w:rPr>
          <w:rFonts w:cs="Arial" w:hint="cs"/>
          <w:rtl/>
        </w:rPr>
        <w:t xml:space="preserve">- </w:t>
      </w:r>
      <w:r w:rsidRPr="007A228B">
        <w:rPr>
          <w:rFonts w:cs="Arial"/>
          <w:rtl/>
        </w:rPr>
        <w:t>כתבינהו בכתובה אף על גב דלא כתב אחריות כמאן דכתוב דמי אע</w:t>
      </w:r>
      <w:r>
        <w:rPr>
          <w:rFonts w:cs="Arial" w:hint="cs"/>
          <w:rtl/>
        </w:rPr>
        <w:t>"</w:t>
      </w:r>
      <w:r w:rsidRPr="007A228B">
        <w:rPr>
          <w:rFonts w:cs="Arial"/>
          <w:rtl/>
        </w:rPr>
        <w:t>ג דלא שיימינהו</w:t>
      </w:r>
      <w:r>
        <w:rPr>
          <w:rFonts w:cs="Arial" w:hint="cs"/>
          <w:sz w:val="16"/>
          <w:szCs w:val="16"/>
          <w:rtl/>
        </w:rPr>
        <w:t xml:space="preserve"> (ל' הטור בשמו)</w:t>
      </w:r>
      <w:r>
        <w:rPr>
          <w:rFonts w:cs="Arial" w:hint="cs"/>
          <w:rtl/>
        </w:rPr>
        <w:t>.</w:t>
      </w:r>
      <w:r w:rsidRPr="007A228B">
        <w:rPr>
          <w:rFonts w:cs="Arial"/>
          <w:rtl/>
        </w:rPr>
        <w:t xml:space="preserve"> </w:t>
      </w:r>
    </w:p>
    <w:p w14:paraId="5681683F"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D89229C" w14:textId="77777777" w:rsidR="002E5BAD" w:rsidRDefault="002E5BAD" w:rsidP="002E5BAD">
      <w:pPr>
        <w:rPr>
          <w:rtl/>
        </w:rPr>
      </w:pPr>
      <w:r>
        <w:rPr>
          <w:rFonts w:cs="Arial"/>
          <w:rtl/>
        </w:rPr>
        <w:t>יש מי שאומר דנכסי צאן ברזל אינו חייב באחריותן א</w:t>
      </w:r>
      <w:r>
        <w:rPr>
          <w:rFonts w:cs="Arial" w:hint="cs"/>
          <w:rtl/>
        </w:rPr>
        <w:t xml:space="preserve">לא אם </w:t>
      </w:r>
      <w:r>
        <w:rPr>
          <w:rFonts w:cs="Arial"/>
          <w:rtl/>
        </w:rPr>
        <w:t>כ</w:t>
      </w:r>
      <w:r>
        <w:rPr>
          <w:rFonts w:cs="Arial" w:hint="cs"/>
          <w:rtl/>
        </w:rPr>
        <w:t>ן</w:t>
      </w:r>
      <w:r>
        <w:rPr>
          <w:rFonts w:cs="Arial"/>
          <w:rtl/>
        </w:rPr>
        <w:t xml:space="preserve"> שמו אותם עליו בדמים קצובים, או שקבל אחריותן</w:t>
      </w:r>
      <w:r>
        <w:rPr>
          <w:rStyle w:val="a7"/>
          <w:rFonts w:cs="Arial"/>
          <w:rtl/>
        </w:rPr>
        <w:footnoteReference w:id="1617"/>
      </w:r>
      <w:r>
        <w:rPr>
          <w:rFonts w:cs="Arial"/>
          <w:rtl/>
        </w:rPr>
        <w:t xml:space="preserve"> בפירוש. ויש מי שאומר שמאחר שכתבם בכתובה, נתחייב באחריותם אף על פי שלא שמו אותם ולא נתחייב באחריותם, והראשון עיקר. </w:t>
      </w:r>
    </w:p>
    <w:p w14:paraId="51019FD3" w14:textId="77777777" w:rsidR="002E5BAD" w:rsidRDefault="002E5BAD" w:rsidP="002E5BAD">
      <w:pPr>
        <w:rPr>
          <w:rtl/>
        </w:rPr>
      </w:pPr>
    </w:p>
    <w:p w14:paraId="465D43BC" w14:textId="77777777" w:rsidR="002E5BAD" w:rsidRPr="009836F3" w:rsidRDefault="002E5BAD" w:rsidP="002E5BAD">
      <w:pPr>
        <w:pStyle w:val="2"/>
        <w:rPr>
          <w:rtl/>
        </w:rPr>
      </w:pPr>
      <w:r>
        <w:rPr>
          <w:rtl/>
        </w:rPr>
        <w:lastRenderedPageBreak/>
        <w:t>סעיף ד</w:t>
      </w:r>
      <w:r>
        <w:rPr>
          <w:rFonts w:hint="cs"/>
          <w:rtl/>
        </w:rPr>
        <w:t>:</w:t>
      </w:r>
      <w:r w:rsidRPr="00BE044A">
        <w:rPr>
          <w:rFonts w:cs="Arial"/>
          <w:rtl/>
        </w:rPr>
        <w:t xml:space="preserve"> </w:t>
      </w:r>
      <w:r>
        <w:rPr>
          <w:rFonts w:cs="Arial"/>
          <w:rtl/>
        </w:rPr>
        <w:t>בעל הבא לדון עם אחד על נכסי אשתו</w:t>
      </w:r>
      <w:r>
        <w:rPr>
          <w:rFonts w:cs="Arial" w:hint="cs"/>
          <w:rtl/>
        </w:rPr>
        <w:t>.</w:t>
      </w:r>
    </w:p>
    <w:p w14:paraId="02FC5439" w14:textId="77777777" w:rsidR="002E5BAD" w:rsidRDefault="002E5BAD" w:rsidP="002E5BAD">
      <w:pPr>
        <w:rPr>
          <w:rFonts w:cs="Arial"/>
          <w:rtl/>
        </w:rPr>
      </w:pPr>
      <w:r w:rsidRPr="007C367E">
        <w:rPr>
          <w:rFonts w:cs="Arial" w:hint="cs"/>
          <w:b/>
          <w:bCs/>
          <w:rtl/>
        </w:rPr>
        <w:t xml:space="preserve">גיטין </w:t>
      </w:r>
      <w:r>
        <w:rPr>
          <w:rFonts w:cs="Arial" w:hint="cs"/>
          <w:b/>
          <w:bCs/>
          <w:sz w:val="16"/>
          <w:szCs w:val="16"/>
          <w:rtl/>
        </w:rPr>
        <w:t xml:space="preserve">(ס"פ השולח) </w:t>
      </w:r>
      <w:r w:rsidRPr="007C367E">
        <w:rPr>
          <w:rFonts w:cs="Arial" w:hint="cs"/>
          <w:b/>
          <w:bCs/>
          <w:rtl/>
        </w:rPr>
        <w:t xml:space="preserve">מח ע"ב: </w:t>
      </w:r>
      <w:r w:rsidRPr="007C367E">
        <w:rPr>
          <w:rFonts w:cs="Arial"/>
          <w:u w:val="single"/>
          <w:rtl/>
        </w:rPr>
        <w:t>אמר אביי</w:t>
      </w:r>
      <w:r>
        <w:rPr>
          <w:rFonts w:cs="Arial" w:hint="cs"/>
          <w:rtl/>
        </w:rPr>
        <w:t>:</w:t>
      </w:r>
      <w:r w:rsidRPr="007C367E">
        <w:rPr>
          <w:rFonts w:cs="Arial"/>
          <w:rtl/>
        </w:rPr>
        <w:t xml:space="preserve"> נקטינן</w:t>
      </w:r>
      <w:r>
        <w:rPr>
          <w:rFonts w:cs="Arial" w:hint="cs"/>
          <w:rtl/>
        </w:rPr>
        <w:t>,</w:t>
      </w:r>
      <w:r w:rsidRPr="007C367E">
        <w:rPr>
          <w:rFonts w:cs="Arial"/>
          <w:rtl/>
        </w:rPr>
        <w:t xml:space="preserve"> בעל בנכסי אשתו צריך הרשאה</w:t>
      </w:r>
      <w:r>
        <w:rPr>
          <w:rStyle w:val="a7"/>
          <w:rFonts w:cs="Arial"/>
          <w:rtl/>
        </w:rPr>
        <w:footnoteReference w:id="1618"/>
      </w:r>
      <w:r w:rsidRPr="007C367E">
        <w:rPr>
          <w:rFonts w:cs="Arial"/>
          <w:rtl/>
        </w:rPr>
        <w:t>. ולא אמרן אלא דלא נחית</w:t>
      </w:r>
      <w:r>
        <w:rPr>
          <w:rStyle w:val="a7"/>
          <w:rFonts w:cs="Arial"/>
          <w:rtl/>
        </w:rPr>
        <w:footnoteReference w:id="1619"/>
      </w:r>
      <w:r w:rsidRPr="007C367E">
        <w:rPr>
          <w:rFonts w:cs="Arial"/>
          <w:rtl/>
        </w:rPr>
        <w:t xml:space="preserve"> אפירי, אבל נחית אפירי, מיגו דמשתעי דינא אפירי - משתעי דינא אגופא. </w:t>
      </w:r>
    </w:p>
    <w:p w14:paraId="2537C8C7" w14:textId="77777777" w:rsidR="002E5BAD" w:rsidRPr="00BE044A" w:rsidRDefault="002E5BAD" w:rsidP="002E5BAD">
      <w:pPr>
        <w:rPr>
          <w:rFonts w:cs="Arial"/>
          <w:u w:val="single"/>
          <w:rtl/>
        </w:rPr>
      </w:pPr>
      <w:r w:rsidRPr="00BE044A">
        <w:rPr>
          <w:rFonts w:cs="Arial"/>
          <w:u w:val="single"/>
          <w:rtl/>
        </w:rPr>
        <w:t>בעל הבא לדון עם אחד על נכסי אשתו</w:t>
      </w:r>
      <w:r w:rsidRPr="00BE044A">
        <w:rPr>
          <w:rFonts w:cs="Arial" w:hint="cs"/>
          <w:u w:val="single"/>
          <w:rtl/>
        </w:rPr>
        <w:t>:</w:t>
      </w:r>
    </w:p>
    <w:p w14:paraId="681E4B5E" w14:textId="77777777" w:rsidR="002E5BAD" w:rsidRPr="00121234" w:rsidRDefault="002E5BAD" w:rsidP="002E5BAD">
      <w:pPr>
        <w:pStyle w:val="ab"/>
        <w:numPr>
          <w:ilvl w:val="0"/>
          <w:numId w:val="178"/>
        </w:numPr>
      </w:pPr>
      <w:r>
        <w:rPr>
          <w:rFonts w:cs="Arial" w:hint="cs"/>
          <w:rtl/>
        </w:rPr>
        <w:t xml:space="preserve">רמב"ם </w:t>
      </w:r>
      <w:r>
        <w:rPr>
          <w:rFonts w:cs="Arial" w:hint="cs"/>
          <w:sz w:val="16"/>
          <w:szCs w:val="16"/>
          <w:rtl/>
        </w:rPr>
        <w:t>(</w:t>
      </w:r>
      <w:r w:rsidRPr="00BE044A">
        <w:rPr>
          <w:rFonts w:cs="Arial"/>
          <w:sz w:val="16"/>
          <w:szCs w:val="16"/>
          <w:rtl/>
        </w:rPr>
        <w:t>פ"ג מהל</w:t>
      </w:r>
      <w:r>
        <w:rPr>
          <w:rFonts w:cs="Arial" w:hint="cs"/>
          <w:sz w:val="16"/>
          <w:szCs w:val="16"/>
          <w:rtl/>
        </w:rPr>
        <w:t>'</w:t>
      </w:r>
      <w:r w:rsidRPr="00BE044A">
        <w:rPr>
          <w:rFonts w:cs="Arial"/>
          <w:sz w:val="16"/>
          <w:szCs w:val="16"/>
          <w:rtl/>
        </w:rPr>
        <w:t xml:space="preserve"> שלוחין ושותפין ה"ד)</w:t>
      </w:r>
      <w:r>
        <w:rPr>
          <w:rFonts w:cs="Arial" w:hint="cs"/>
          <w:rtl/>
        </w:rPr>
        <w:t xml:space="preserve"> וטור</w:t>
      </w:r>
      <w:r>
        <w:rPr>
          <w:rStyle w:val="a7"/>
          <w:rFonts w:cs="Arial"/>
          <w:rtl/>
        </w:rPr>
        <w:footnoteReference w:id="1620"/>
      </w:r>
      <w:r>
        <w:rPr>
          <w:rFonts w:cs="Arial" w:hint="cs"/>
          <w:rtl/>
        </w:rPr>
        <w:t xml:space="preserve">- </w:t>
      </w:r>
      <w:r w:rsidRPr="00E461BC">
        <w:rPr>
          <w:rFonts w:cs="Arial"/>
          <w:rtl/>
        </w:rPr>
        <w:t>הבעל בנכסי אשתו צריך הרשאה</w:t>
      </w:r>
      <w:r>
        <w:rPr>
          <w:rFonts w:cs="Arial" w:hint="cs"/>
          <w:rtl/>
        </w:rPr>
        <w:t>.</w:t>
      </w:r>
      <w:r w:rsidRPr="00E461BC">
        <w:rPr>
          <w:rFonts w:cs="Arial"/>
          <w:rtl/>
        </w:rPr>
        <w:t xml:space="preserve"> ואם יש פירות בקרקע</w:t>
      </w:r>
      <w:r>
        <w:rPr>
          <w:rFonts w:cs="Arial" w:hint="cs"/>
          <w:rtl/>
        </w:rPr>
        <w:t>,</w:t>
      </w:r>
      <w:r w:rsidRPr="00E461BC">
        <w:rPr>
          <w:rFonts w:cs="Arial"/>
          <w:rtl/>
        </w:rPr>
        <w:t xml:space="preserve"> מתוך שיש לדון על הפירות שהרי הן שלו</w:t>
      </w:r>
      <w:r>
        <w:rPr>
          <w:rFonts w:cs="Arial" w:hint="cs"/>
          <w:rtl/>
        </w:rPr>
        <w:t xml:space="preserve"> -</w:t>
      </w:r>
      <w:r w:rsidRPr="00E461BC">
        <w:rPr>
          <w:rFonts w:cs="Arial"/>
          <w:rtl/>
        </w:rPr>
        <w:t xml:space="preserve"> דן על העיקר ואין צריך הרשאה מאשתו</w:t>
      </w:r>
      <w:r>
        <w:rPr>
          <w:rFonts w:cs="Arial" w:hint="cs"/>
          <w:rtl/>
        </w:rPr>
        <w:t>,</w:t>
      </w:r>
      <w:r w:rsidRPr="00E461BC">
        <w:rPr>
          <w:rFonts w:cs="Arial"/>
          <w:rtl/>
        </w:rPr>
        <w:t xml:space="preserve"> שאם אין לו קרקע אין לו פירות</w:t>
      </w:r>
      <w:r>
        <w:rPr>
          <w:rFonts w:cs="Arial" w:hint="cs"/>
          <w:sz w:val="16"/>
          <w:szCs w:val="16"/>
          <w:rtl/>
        </w:rPr>
        <w:t xml:space="preserve"> (ל' הרמב"ם)</w:t>
      </w:r>
      <w:r w:rsidRPr="00E461BC">
        <w:rPr>
          <w:rFonts w:cs="Arial"/>
          <w:rtl/>
        </w:rPr>
        <w:t xml:space="preserve">. </w:t>
      </w:r>
      <w:r w:rsidRPr="007B430E">
        <w:rPr>
          <w:rFonts w:hint="cs"/>
          <w:color w:val="E36C0A" w:themeColor="accent6" w:themeShade="BF"/>
          <w:rtl/>
        </w:rPr>
        <w:t>(וכ"פ בשו"ע)</w:t>
      </w:r>
    </w:p>
    <w:p w14:paraId="6D3E3428" w14:textId="77777777" w:rsidR="002E5BAD" w:rsidRPr="00627343" w:rsidRDefault="002E5BAD" w:rsidP="002E5BAD">
      <w:pPr>
        <w:rPr>
          <w:u w:val="single"/>
        </w:rPr>
      </w:pPr>
      <w:r w:rsidRPr="00627343">
        <w:rPr>
          <w:rFonts w:hint="cs"/>
          <w:u w:val="single"/>
          <w:rtl/>
        </w:rPr>
        <w:t xml:space="preserve">כשיש </w:t>
      </w:r>
      <w:r>
        <w:rPr>
          <w:rFonts w:hint="cs"/>
          <w:u w:val="single"/>
          <w:rtl/>
        </w:rPr>
        <w:t>פירות בקרקע</w:t>
      </w:r>
      <w:r w:rsidRPr="00627343">
        <w:rPr>
          <w:rFonts w:hint="cs"/>
          <w:u w:val="single"/>
          <w:rtl/>
        </w:rPr>
        <w:t xml:space="preserve"> </w:t>
      </w:r>
      <w:r w:rsidRPr="00627343">
        <w:rPr>
          <w:u w:val="single"/>
          <w:rtl/>
        </w:rPr>
        <w:t>–</w:t>
      </w:r>
      <w:r w:rsidRPr="00627343">
        <w:rPr>
          <w:rFonts w:hint="cs"/>
          <w:u w:val="single"/>
          <w:rtl/>
        </w:rPr>
        <w:t xml:space="preserve"> האם יכול </w:t>
      </w:r>
      <w:r>
        <w:rPr>
          <w:rFonts w:hint="cs"/>
          <w:u w:val="single"/>
          <w:rtl/>
        </w:rPr>
        <w:t xml:space="preserve">הבעל </w:t>
      </w:r>
      <w:r w:rsidRPr="00627343">
        <w:rPr>
          <w:rFonts w:hint="cs"/>
          <w:u w:val="single"/>
          <w:rtl/>
        </w:rPr>
        <w:t>לעשות גם פשרה</w:t>
      </w:r>
      <w:r>
        <w:rPr>
          <w:rFonts w:hint="cs"/>
          <w:u w:val="single"/>
          <w:rtl/>
        </w:rPr>
        <w:t xml:space="preserve"> בלא הרשאה מאשתו</w:t>
      </w:r>
      <w:r w:rsidRPr="00627343">
        <w:rPr>
          <w:rFonts w:hint="cs"/>
          <w:u w:val="single"/>
          <w:rtl/>
        </w:rPr>
        <w:t>:</w:t>
      </w:r>
    </w:p>
    <w:p w14:paraId="0663C8AA" w14:textId="77777777" w:rsidR="002E5BAD" w:rsidRPr="001C326D" w:rsidRDefault="002E5BAD" w:rsidP="002E5BAD">
      <w:pPr>
        <w:pStyle w:val="ab"/>
        <w:numPr>
          <w:ilvl w:val="0"/>
          <w:numId w:val="178"/>
        </w:numPr>
        <w:rPr>
          <w:rtl/>
        </w:rPr>
      </w:pPr>
      <w:r w:rsidRPr="00627343">
        <w:rPr>
          <w:rFonts w:cs="Arial"/>
          <w:rtl/>
        </w:rPr>
        <w:t xml:space="preserve">ריב"ש </w:t>
      </w:r>
      <w:r w:rsidRPr="00627343">
        <w:rPr>
          <w:rFonts w:cs="Arial" w:hint="cs"/>
          <w:sz w:val="16"/>
          <w:szCs w:val="16"/>
          <w:rtl/>
        </w:rPr>
        <w:t>(</w:t>
      </w:r>
      <w:r w:rsidRPr="00627343">
        <w:rPr>
          <w:rFonts w:cs="Arial"/>
          <w:sz w:val="16"/>
          <w:szCs w:val="16"/>
          <w:rtl/>
        </w:rPr>
        <w:t>סי</w:t>
      </w:r>
      <w:r w:rsidRPr="00627343">
        <w:rPr>
          <w:rFonts w:cs="Arial" w:hint="cs"/>
          <w:sz w:val="16"/>
          <w:szCs w:val="16"/>
          <w:rtl/>
        </w:rPr>
        <w:t>'</w:t>
      </w:r>
      <w:r w:rsidRPr="00627343">
        <w:rPr>
          <w:rFonts w:cs="Arial"/>
          <w:sz w:val="16"/>
          <w:szCs w:val="16"/>
          <w:rtl/>
        </w:rPr>
        <w:t xml:space="preserve"> תצו</w:t>
      </w:r>
      <w:r w:rsidRPr="00627343">
        <w:rPr>
          <w:rFonts w:cs="Arial" w:hint="cs"/>
          <w:sz w:val="16"/>
          <w:szCs w:val="16"/>
          <w:rtl/>
        </w:rPr>
        <w:t>)</w:t>
      </w:r>
      <w:r>
        <w:rPr>
          <w:rFonts w:cs="Arial" w:hint="cs"/>
          <w:rtl/>
        </w:rPr>
        <w:t>-</w:t>
      </w:r>
      <w:r w:rsidRPr="00627343">
        <w:rPr>
          <w:rFonts w:cs="Arial"/>
          <w:rtl/>
        </w:rPr>
        <w:t xml:space="preserve"> הא דאין צריך הרשאה היינו לדון אבל לעשות פשרה </w:t>
      </w:r>
      <w:r>
        <w:rPr>
          <w:rFonts w:cs="Arial" w:hint="cs"/>
          <w:rtl/>
        </w:rPr>
        <w:t xml:space="preserve">- </w:t>
      </w:r>
      <w:r w:rsidRPr="00627343">
        <w:rPr>
          <w:rFonts w:cs="Arial"/>
          <w:rtl/>
        </w:rPr>
        <w:t>צריך הרשאה</w:t>
      </w:r>
      <w:r>
        <w:rPr>
          <w:rFonts w:cs="Arial" w:hint="cs"/>
          <w:rtl/>
        </w:rPr>
        <w:t>.</w:t>
      </w:r>
      <w:r w:rsidRPr="00627343">
        <w:rPr>
          <w:rFonts w:hint="cs"/>
          <w:color w:val="00B0F0"/>
          <w:rtl/>
        </w:rPr>
        <w:t xml:space="preserve"> (וכ"פ הרמ"א)</w:t>
      </w:r>
    </w:p>
    <w:p w14:paraId="3D15C50D" w14:textId="77777777" w:rsidR="002E5BAD" w:rsidRPr="00E461BC" w:rsidRDefault="002E5BAD" w:rsidP="002E5BAD">
      <w:pPr>
        <w:rPr>
          <w:rFonts w:cs="Arial"/>
          <w:u w:val="single"/>
          <w:rtl/>
        </w:rPr>
      </w:pPr>
      <w:r w:rsidRPr="00E461BC">
        <w:rPr>
          <w:rFonts w:cs="Arial"/>
          <w:u w:val="single"/>
          <w:rtl/>
        </w:rPr>
        <w:t xml:space="preserve">בעל </w:t>
      </w:r>
      <w:r w:rsidRPr="00E461BC">
        <w:rPr>
          <w:rFonts w:cs="Arial" w:hint="cs"/>
          <w:u w:val="single"/>
          <w:rtl/>
        </w:rPr>
        <w:t>ש</w:t>
      </w:r>
      <w:r w:rsidRPr="00E461BC">
        <w:rPr>
          <w:rFonts w:cs="Arial"/>
          <w:u w:val="single"/>
          <w:rtl/>
        </w:rPr>
        <w:t>בא לדון מחמת מעות מזומנים שיש לאשתו ביד אחר</w:t>
      </w:r>
      <w:r w:rsidRPr="00E461BC">
        <w:rPr>
          <w:rFonts w:cs="Arial" w:hint="cs"/>
          <w:u w:val="single"/>
          <w:rtl/>
        </w:rPr>
        <w:t>:</w:t>
      </w:r>
    </w:p>
    <w:p w14:paraId="07354C68" w14:textId="77777777" w:rsidR="002E5BAD" w:rsidRDefault="002E5BAD" w:rsidP="002E5BAD">
      <w:pPr>
        <w:pStyle w:val="ab"/>
        <w:numPr>
          <w:ilvl w:val="0"/>
          <w:numId w:val="178"/>
        </w:numPr>
      </w:pPr>
      <w:r w:rsidRPr="00627343">
        <w:rPr>
          <w:rFonts w:cs="Arial" w:hint="cs"/>
          <w:rtl/>
        </w:rPr>
        <w:t xml:space="preserve">תרוה"ד </w:t>
      </w:r>
      <w:r w:rsidRPr="00627343">
        <w:rPr>
          <w:rFonts w:cs="Arial" w:hint="cs"/>
          <w:sz w:val="16"/>
          <w:szCs w:val="16"/>
          <w:rtl/>
        </w:rPr>
        <w:t>(</w:t>
      </w:r>
      <w:r w:rsidRPr="00627343">
        <w:rPr>
          <w:rFonts w:cs="Arial"/>
          <w:sz w:val="16"/>
          <w:szCs w:val="16"/>
          <w:rtl/>
        </w:rPr>
        <w:t>סי</w:t>
      </w:r>
      <w:r w:rsidRPr="00627343">
        <w:rPr>
          <w:rFonts w:cs="Arial" w:hint="cs"/>
          <w:sz w:val="16"/>
          <w:szCs w:val="16"/>
          <w:rtl/>
        </w:rPr>
        <w:t>'</w:t>
      </w:r>
      <w:r w:rsidRPr="00627343">
        <w:rPr>
          <w:rFonts w:cs="Arial"/>
          <w:sz w:val="16"/>
          <w:szCs w:val="16"/>
          <w:rtl/>
        </w:rPr>
        <w:t xml:space="preserve"> שיב</w:t>
      </w:r>
      <w:r w:rsidRPr="00627343">
        <w:rPr>
          <w:rFonts w:cs="Arial" w:hint="cs"/>
          <w:sz w:val="16"/>
          <w:szCs w:val="16"/>
          <w:rtl/>
        </w:rPr>
        <w:t>)</w:t>
      </w:r>
      <w:r w:rsidRPr="00627343">
        <w:rPr>
          <w:rFonts w:cs="Arial" w:hint="cs"/>
          <w:rtl/>
        </w:rPr>
        <w:t xml:space="preserve">- </w:t>
      </w:r>
      <w:r w:rsidRPr="00627343">
        <w:rPr>
          <w:rFonts w:cs="Arial"/>
          <w:rtl/>
        </w:rPr>
        <w:t xml:space="preserve">אם הבעל בא לדון מחמת מעות מזומנים שיש לאשתו ביד אחר </w:t>
      </w:r>
      <w:r w:rsidRPr="00627343">
        <w:rPr>
          <w:rFonts w:cs="Arial" w:hint="cs"/>
          <w:rtl/>
        </w:rPr>
        <w:t xml:space="preserve">- </w:t>
      </w:r>
      <w:r w:rsidRPr="00627343">
        <w:rPr>
          <w:rFonts w:cs="Arial"/>
          <w:rtl/>
        </w:rPr>
        <w:t>אין צריך הרשאה דמעות מזומנים כאילו הוי פירות בארעא דמי</w:t>
      </w:r>
      <w:r>
        <w:rPr>
          <w:rStyle w:val="a7"/>
          <w:rFonts w:cs="Arial"/>
          <w:rtl/>
        </w:rPr>
        <w:footnoteReference w:id="1621"/>
      </w:r>
      <w:r w:rsidRPr="00627343">
        <w:rPr>
          <w:rFonts w:cs="Arial"/>
          <w:rtl/>
        </w:rPr>
        <w:t xml:space="preserve">. </w:t>
      </w:r>
      <w:r w:rsidRPr="00627343">
        <w:rPr>
          <w:rFonts w:hint="cs"/>
          <w:color w:val="00B0F0"/>
          <w:rtl/>
        </w:rPr>
        <w:t>(וכ"פ הרמ"א)</w:t>
      </w:r>
    </w:p>
    <w:p w14:paraId="22C0EC9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E4199F9" w14:textId="77777777" w:rsidR="002E5BAD" w:rsidRDefault="002E5BAD" w:rsidP="002E5BAD">
      <w:pPr>
        <w:rPr>
          <w:rFonts w:cs="Arial"/>
          <w:rtl/>
        </w:rPr>
      </w:pPr>
      <w:r>
        <w:rPr>
          <w:rFonts w:cs="Arial"/>
          <w:rtl/>
        </w:rPr>
        <w:t>בעל הבא לדון עם אחד על נכסי אשתו, צריך הרשאה. ואם יש פירות בקרקע</w:t>
      </w:r>
      <w:r>
        <w:rPr>
          <w:rStyle w:val="a7"/>
          <w:rFonts w:cs="Arial"/>
          <w:rtl/>
        </w:rPr>
        <w:footnoteReference w:id="1622"/>
      </w:r>
      <w:r>
        <w:rPr>
          <w:rFonts w:cs="Arial"/>
          <w:rtl/>
        </w:rPr>
        <w:t>, מתוך שיש לו לדון על הפירות שהם שלו, דן על העיקר</w:t>
      </w:r>
      <w:r>
        <w:rPr>
          <w:rStyle w:val="a7"/>
          <w:rFonts w:cs="Arial"/>
          <w:rtl/>
        </w:rPr>
        <w:footnoteReference w:id="1623"/>
      </w:r>
      <w:r>
        <w:rPr>
          <w:rFonts w:cs="Arial"/>
          <w:rtl/>
        </w:rPr>
        <w:t xml:space="preserve">, ואינו צריך הרשאה מאשתו, שאם אין לה קרקע אין לו פירות. </w:t>
      </w:r>
      <w:r w:rsidRPr="00F46615">
        <w:rPr>
          <w:rFonts w:cs="Arial"/>
          <w:sz w:val="18"/>
          <w:szCs w:val="18"/>
          <w:rtl/>
        </w:rPr>
        <w:t>הגה: דוקא לדון, אבל לעשות פשרה, צריך הרשאה</w:t>
      </w:r>
      <w:r>
        <w:rPr>
          <w:rStyle w:val="a7"/>
          <w:rFonts w:cs="Arial"/>
          <w:sz w:val="18"/>
          <w:szCs w:val="18"/>
          <w:rtl/>
        </w:rPr>
        <w:footnoteReference w:id="1624"/>
      </w:r>
      <w:r w:rsidRPr="00F46615">
        <w:rPr>
          <w:rFonts w:cs="Arial"/>
          <w:sz w:val="18"/>
          <w:szCs w:val="18"/>
          <w:rtl/>
        </w:rPr>
        <w:t xml:space="preserve"> (ריב"ש סי</w:t>
      </w:r>
      <w:r>
        <w:rPr>
          <w:rFonts w:cs="Arial" w:hint="cs"/>
          <w:sz w:val="18"/>
          <w:szCs w:val="18"/>
          <w:rtl/>
        </w:rPr>
        <w:t>'</w:t>
      </w:r>
      <w:r w:rsidRPr="00F46615">
        <w:rPr>
          <w:rFonts w:cs="Arial"/>
          <w:sz w:val="18"/>
          <w:szCs w:val="18"/>
          <w:rtl/>
        </w:rPr>
        <w:t xml:space="preserve"> תצו). בא לדון על מעות מזומנים של אשתו</w:t>
      </w:r>
      <w:r>
        <w:rPr>
          <w:rStyle w:val="a7"/>
          <w:rFonts w:cs="Arial"/>
          <w:sz w:val="18"/>
          <w:szCs w:val="18"/>
          <w:rtl/>
        </w:rPr>
        <w:footnoteReference w:id="1625"/>
      </w:r>
      <w:r w:rsidRPr="00F46615">
        <w:rPr>
          <w:rFonts w:cs="Arial"/>
          <w:sz w:val="18"/>
          <w:szCs w:val="18"/>
          <w:rtl/>
        </w:rPr>
        <w:t>, אינו צריך הרשאה, דהוי כאלו היו פירות בקרקע (ת"ה סי</w:t>
      </w:r>
      <w:r>
        <w:rPr>
          <w:rFonts w:cs="Arial" w:hint="cs"/>
          <w:sz w:val="18"/>
          <w:szCs w:val="18"/>
          <w:rtl/>
        </w:rPr>
        <w:t>'</w:t>
      </w:r>
      <w:r w:rsidRPr="00F46615">
        <w:rPr>
          <w:rFonts w:cs="Arial"/>
          <w:sz w:val="18"/>
          <w:szCs w:val="18"/>
          <w:rtl/>
        </w:rPr>
        <w:t xml:space="preserve"> שיב) (ועיין בח"ה סימן קכ"ב).</w:t>
      </w:r>
    </w:p>
    <w:p w14:paraId="15BCD0FB" w14:textId="77777777" w:rsidR="002E5BAD" w:rsidRDefault="002E5BAD" w:rsidP="002E5BAD">
      <w:pPr>
        <w:rPr>
          <w:rtl/>
        </w:rPr>
      </w:pPr>
      <w:r>
        <w:rPr>
          <w:rFonts w:cs="Arial"/>
          <w:rtl/>
        </w:rPr>
        <w:t xml:space="preserve"> </w:t>
      </w:r>
    </w:p>
    <w:p w14:paraId="07A9F9C4" w14:textId="77777777" w:rsidR="002E5BAD" w:rsidRDefault="002E5BAD" w:rsidP="002E5BAD">
      <w:pPr>
        <w:pStyle w:val="2"/>
        <w:rPr>
          <w:rtl/>
        </w:rPr>
      </w:pPr>
      <w:r>
        <w:rPr>
          <w:rtl/>
        </w:rPr>
        <w:lastRenderedPageBreak/>
        <w:t>סעיף ה</w:t>
      </w:r>
      <w:r>
        <w:rPr>
          <w:rFonts w:hint="cs"/>
          <w:rtl/>
        </w:rPr>
        <w:t>: אשה השאילה פרה של נכסי מלוג, ובעלה נשאל עמה.</w:t>
      </w:r>
    </w:p>
    <w:p w14:paraId="1EDF79BF" w14:textId="77777777" w:rsidR="002E5BAD" w:rsidRPr="00F85A82" w:rsidRDefault="002E5BAD" w:rsidP="002E5BAD">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ר"פ השואל</w:t>
      </w:r>
      <w:r w:rsidRPr="00253C68">
        <w:rPr>
          <w:rFonts w:cs="Arial" w:hint="cs"/>
          <w:b/>
          <w:bCs/>
          <w:sz w:val="16"/>
          <w:szCs w:val="16"/>
          <w:rtl/>
        </w:rPr>
        <w:t xml:space="preserve">) </w:t>
      </w:r>
      <w:r>
        <w:rPr>
          <w:rFonts w:cs="Arial" w:hint="cs"/>
          <w:b/>
          <w:bCs/>
          <w:rtl/>
        </w:rPr>
        <w:t>צו ע"א:</w:t>
      </w:r>
      <w:r w:rsidRPr="00F85A82">
        <w:rPr>
          <w:rtl/>
        </w:rPr>
        <w:t xml:space="preserve"> </w:t>
      </w:r>
      <w:r w:rsidRPr="00F85A82">
        <w:rPr>
          <w:rFonts w:cs="Arial"/>
          <w:rtl/>
        </w:rPr>
        <w:t>שאל מהאשה</w:t>
      </w:r>
      <w:r>
        <w:rPr>
          <w:rStyle w:val="a7"/>
          <w:rFonts w:cs="Arial"/>
          <w:rtl/>
        </w:rPr>
        <w:footnoteReference w:id="1626"/>
      </w:r>
      <w:r w:rsidRPr="00F85A82">
        <w:rPr>
          <w:rFonts w:cs="Arial"/>
          <w:rtl/>
        </w:rPr>
        <w:t xml:space="preserve"> ונשאל בעלה</w:t>
      </w:r>
      <w:r>
        <w:rPr>
          <w:rStyle w:val="a7"/>
          <w:rFonts w:cs="Arial"/>
          <w:rtl/>
        </w:rPr>
        <w:footnoteReference w:id="1627"/>
      </w:r>
      <w:r w:rsidRPr="00F85A82">
        <w:rPr>
          <w:rFonts w:cs="Arial"/>
          <w:rtl/>
        </w:rPr>
        <w:t>, אשה ששאלה ונשאל לבעל, מהו? קנין פירות</w:t>
      </w:r>
      <w:r>
        <w:rPr>
          <w:rStyle w:val="a7"/>
          <w:rFonts w:cs="Arial"/>
          <w:rtl/>
        </w:rPr>
        <w:footnoteReference w:id="1628"/>
      </w:r>
      <w:r w:rsidRPr="00F85A82">
        <w:rPr>
          <w:rFonts w:cs="Arial"/>
          <w:rtl/>
        </w:rPr>
        <w:t xml:space="preserve"> כקנין גוף דמי או לא?</w:t>
      </w:r>
      <w:r>
        <w:rPr>
          <w:rFonts w:cs="Arial" w:hint="cs"/>
          <w:rtl/>
        </w:rPr>
        <w:t>...</w:t>
      </w:r>
      <w:r w:rsidRPr="00F85A82">
        <w:rPr>
          <w:rFonts w:cs="Arial"/>
          <w:rtl/>
        </w:rPr>
        <w:t xml:space="preserve"> </w:t>
      </w:r>
      <w:r w:rsidRPr="00F85A82">
        <w:rPr>
          <w:rFonts w:cs="Arial"/>
          <w:u w:val="single"/>
          <w:rtl/>
        </w:rPr>
        <w:t>אמר ליה רב אחא בריה דרב אויא לרב אשי</w:t>
      </w:r>
      <w:r w:rsidRPr="00F85A82">
        <w:rPr>
          <w:rFonts w:cs="Arial"/>
          <w:rtl/>
        </w:rPr>
        <w:t>: בעל - פלוגתא דרבי יוחנן וריש לקיש</w:t>
      </w:r>
      <w:r>
        <w:rPr>
          <w:rFonts w:cs="Arial" w:hint="cs"/>
          <w:rtl/>
        </w:rPr>
        <w:t xml:space="preserve">... </w:t>
      </w:r>
      <w:r w:rsidRPr="00F85A82">
        <w:rPr>
          <w:rFonts w:cs="Arial"/>
          <w:rtl/>
        </w:rPr>
        <w:t>דאיתמר: המוכר שדהו לחבירו לפירות</w:t>
      </w:r>
      <w:r>
        <w:rPr>
          <w:rStyle w:val="a7"/>
          <w:rFonts w:cs="Arial"/>
          <w:rtl/>
        </w:rPr>
        <w:footnoteReference w:id="1629"/>
      </w:r>
      <w:r w:rsidRPr="00F85A82">
        <w:rPr>
          <w:rFonts w:cs="Arial"/>
          <w:rtl/>
        </w:rPr>
        <w:t xml:space="preserve">, </w:t>
      </w:r>
      <w:r w:rsidRPr="00AD3F4C">
        <w:rPr>
          <w:rFonts w:cs="Arial"/>
          <w:u w:val="single"/>
          <w:rtl/>
        </w:rPr>
        <w:t>רבי יוחנן אומר</w:t>
      </w:r>
      <w:r w:rsidRPr="00F85A82">
        <w:rPr>
          <w:rFonts w:cs="Arial"/>
          <w:rtl/>
        </w:rPr>
        <w:t xml:space="preserve">: מביא וקורא, </w:t>
      </w:r>
      <w:r w:rsidRPr="00AD3F4C">
        <w:rPr>
          <w:rFonts w:cs="Arial"/>
          <w:u w:val="single"/>
          <w:rtl/>
        </w:rPr>
        <w:t>ריש לקיש אומר</w:t>
      </w:r>
      <w:r w:rsidRPr="00F85A82">
        <w:rPr>
          <w:rFonts w:cs="Arial"/>
          <w:rtl/>
        </w:rPr>
        <w:t>: מביא ואינו קורא. רבי יוחנן אומר: מביא וקורא, קנין פירות כקנין הגוף דמי. וריש לקיש אומר: מביא ואינו קורא, קנין פירות לאו כקנין הגוף דמי.</w:t>
      </w:r>
      <w:r w:rsidRPr="00AD3F4C">
        <w:rPr>
          <w:rFonts w:cs="Arial"/>
          <w:sz w:val="16"/>
          <w:szCs w:val="16"/>
          <w:rtl/>
        </w:rPr>
        <w:t xml:space="preserve"> </w:t>
      </w:r>
      <w:r>
        <w:rPr>
          <w:rFonts w:cs="Arial" w:hint="cs"/>
          <w:sz w:val="16"/>
          <w:szCs w:val="16"/>
          <w:rtl/>
        </w:rPr>
        <w:t>(</w:t>
      </w:r>
      <w:r w:rsidRPr="00AD3F4C">
        <w:rPr>
          <w:rFonts w:cs="Arial"/>
          <w:sz w:val="16"/>
          <w:szCs w:val="16"/>
          <w:rtl/>
        </w:rPr>
        <w:t>וכתבו הרי"ף (נה.) והרא"ש (סו"ס א) וקיימא לן בהא כריש לקיש והכי אמרינן בריש פרק החולץ (יבמות לו:) דהא הויא חד מתלת דהוי הלכתא כריש לקיש</w:t>
      </w:r>
      <w:r>
        <w:rPr>
          <w:rFonts w:cs="Arial" w:hint="cs"/>
          <w:sz w:val="16"/>
          <w:szCs w:val="16"/>
          <w:rtl/>
        </w:rPr>
        <w:t>, ב"י)</w:t>
      </w:r>
    </w:p>
    <w:p w14:paraId="7E4E47EF" w14:textId="77777777" w:rsidR="002E5BAD" w:rsidRPr="00F85A82" w:rsidRDefault="002E5BAD" w:rsidP="002E5BAD">
      <w:pPr>
        <w:rPr>
          <w:u w:val="single"/>
          <w:rtl/>
        </w:rPr>
      </w:pPr>
      <w:r w:rsidRPr="00F85A82">
        <w:rPr>
          <w:rFonts w:hint="cs"/>
          <w:u w:val="single"/>
          <w:rtl/>
        </w:rPr>
        <w:t>אשה השאילה פרה של נכסי מלוג, ובעלה נשאל עמה:</w:t>
      </w:r>
    </w:p>
    <w:p w14:paraId="1C2A9AD5" w14:textId="77777777" w:rsidR="002E5BAD" w:rsidRDefault="002E5BAD" w:rsidP="002E5BAD">
      <w:pPr>
        <w:pStyle w:val="ab"/>
        <w:numPr>
          <w:ilvl w:val="0"/>
          <w:numId w:val="178"/>
        </w:numPr>
      </w:pPr>
      <w:r>
        <w:rPr>
          <w:rFonts w:cs="Arial" w:hint="cs"/>
          <w:rtl/>
        </w:rPr>
        <w:t xml:space="preserve">טור- </w:t>
      </w:r>
      <w:r w:rsidRPr="007A228B">
        <w:rPr>
          <w:rFonts w:cs="Arial"/>
          <w:rtl/>
        </w:rPr>
        <w:t>ואע</w:t>
      </w:r>
      <w:r>
        <w:rPr>
          <w:rFonts w:cs="Arial" w:hint="cs"/>
          <w:rtl/>
        </w:rPr>
        <w:t>"</w:t>
      </w:r>
      <w:r w:rsidRPr="007A228B">
        <w:rPr>
          <w:rFonts w:cs="Arial"/>
          <w:rtl/>
        </w:rPr>
        <w:t>פ שאוכל פירותיהם אינו כבעליו לענין שאלה בבעלים</w:t>
      </w:r>
      <w:r>
        <w:rPr>
          <w:rFonts w:cs="Arial" w:hint="cs"/>
          <w:rtl/>
        </w:rPr>
        <w:t>,</w:t>
      </w:r>
      <w:r w:rsidRPr="007A228B">
        <w:rPr>
          <w:rFonts w:cs="Arial"/>
          <w:rtl/>
        </w:rPr>
        <w:t xml:space="preserve"> שאם יש לה פרה של נכסי מלוג והשאילה</w:t>
      </w:r>
      <w:r>
        <w:rPr>
          <w:rStyle w:val="a7"/>
          <w:rFonts w:cs="Arial"/>
          <w:rtl/>
        </w:rPr>
        <w:footnoteReference w:id="1630"/>
      </w:r>
      <w:r w:rsidRPr="007A228B">
        <w:rPr>
          <w:rFonts w:cs="Arial"/>
          <w:rtl/>
        </w:rPr>
        <w:t xml:space="preserve"> לאחר</w:t>
      </w:r>
      <w:r>
        <w:rPr>
          <w:rFonts w:cs="Arial" w:hint="cs"/>
          <w:rtl/>
        </w:rPr>
        <w:t>,</w:t>
      </w:r>
      <w:r w:rsidRPr="007A228B">
        <w:rPr>
          <w:rFonts w:cs="Arial"/>
          <w:rtl/>
        </w:rPr>
        <w:t xml:space="preserve"> ונשאל עמה </w:t>
      </w:r>
      <w:r>
        <w:rPr>
          <w:rFonts w:cs="Arial" w:hint="cs"/>
          <w:rtl/>
        </w:rPr>
        <w:t xml:space="preserve">- </w:t>
      </w:r>
      <w:r w:rsidRPr="007A228B">
        <w:rPr>
          <w:rFonts w:cs="Arial"/>
          <w:rtl/>
        </w:rPr>
        <w:t>לא חשיב שאלה בבעלים</w:t>
      </w:r>
      <w:r>
        <w:rPr>
          <w:rFonts w:cs="Arial" w:hint="cs"/>
          <w:rtl/>
        </w:rPr>
        <w:t>.</w:t>
      </w:r>
      <w:r w:rsidRPr="007A228B">
        <w:rPr>
          <w:rFonts w:cs="Arial"/>
          <w:rtl/>
        </w:rPr>
        <w:t xml:space="preserve"> </w:t>
      </w:r>
      <w:r w:rsidRPr="007B430E">
        <w:rPr>
          <w:rFonts w:hint="cs"/>
          <w:color w:val="E36C0A" w:themeColor="accent6" w:themeShade="BF"/>
          <w:rtl/>
        </w:rPr>
        <w:t>(וכ"פ בשו"ע)</w:t>
      </w:r>
    </w:p>
    <w:p w14:paraId="29828C5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04F7AFE" w14:textId="77777777" w:rsidR="002E5BAD" w:rsidRDefault="002E5BAD" w:rsidP="002E5BAD">
      <w:pPr>
        <w:rPr>
          <w:rtl/>
        </w:rPr>
      </w:pPr>
      <w:r>
        <w:rPr>
          <w:rFonts w:cs="Arial"/>
          <w:rtl/>
        </w:rPr>
        <w:t xml:space="preserve">השאילה האשה לאחר פרה של נכסי מלוג, ונשאל בעלה עמה, לא הוי שאלה בבעלים, דקנין פירות לאו כקנין הגוף דמי. (עיין בח"ה ס' שמ"ו). </w:t>
      </w:r>
    </w:p>
    <w:p w14:paraId="542E2662" w14:textId="77777777" w:rsidR="002E5BAD" w:rsidRDefault="002E5BAD" w:rsidP="002E5BAD">
      <w:pPr>
        <w:rPr>
          <w:rtl/>
        </w:rPr>
      </w:pPr>
    </w:p>
    <w:p w14:paraId="09835BB7" w14:textId="77777777" w:rsidR="002E5BAD" w:rsidRDefault="002E5BAD" w:rsidP="002E5BAD">
      <w:pPr>
        <w:pStyle w:val="2"/>
        <w:rPr>
          <w:rtl/>
        </w:rPr>
      </w:pPr>
      <w:r>
        <w:rPr>
          <w:rtl/>
        </w:rPr>
        <w:t>סעיף ו</w:t>
      </w:r>
      <w:r>
        <w:rPr>
          <w:rFonts w:hint="cs"/>
          <w:rtl/>
        </w:rPr>
        <w:t>:</w:t>
      </w:r>
      <w:r w:rsidRPr="00B41346">
        <w:rPr>
          <w:rFonts w:cs="Arial"/>
          <w:rtl/>
        </w:rPr>
        <w:t xml:space="preserve"> </w:t>
      </w:r>
      <w:r>
        <w:rPr>
          <w:rFonts w:cs="Arial"/>
          <w:rtl/>
        </w:rPr>
        <w:t>אשה שאלה</w:t>
      </w:r>
      <w:r>
        <w:rPr>
          <w:rFonts w:cs="Arial" w:hint="cs"/>
          <w:rtl/>
        </w:rPr>
        <w:t>/שכרה</w:t>
      </w:r>
      <w:r>
        <w:rPr>
          <w:rFonts w:cs="Arial"/>
          <w:rtl/>
        </w:rPr>
        <w:t xml:space="preserve"> פרה, ואח</w:t>
      </w:r>
      <w:r>
        <w:rPr>
          <w:rFonts w:cs="Arial" w:hint="cs"/>
          <w:rtl/>
        </w:rPr>
        <w:t>"</w:t>
      </w:r>
      <w:r>
        <w:rPr>
          <w:rFonts w:cs="Arial"/>
          <w:rtl/>
        </w:rPr>
        <w:t>כ נשאת</w:t>
      </w:r>
      <w:r>
        <w:rPr>
          <w:rFonts w:cs="Arial" w:hint="cs"/>
          <w:rtl/>
        </w:rPr>
        <w:t>,</w:t>
      </w:r>
      <w:r>
        <w:rPr>
          <w:rFonts w:cs="Arial"/>
          <w:rtl/>
        </w:rPr>
        <w:t xml:space="preserve"> ומתה</w:t>
      </w:r>
      <w:r>
        <w:rPr>
          <w:rFonts w:cs="Arial" w:hint="cs"/>
          <w:rtl/>
        </w:rPr>
        <w:t xml:space="preserve"> הפרה.</w:t>
      </w:r>
    </w:p>
    <w:p w14:paraId="0F62345B" w14:textId="77777777" w:rsidR="002E5BAD" w:rsidRPr="00BA73D9" w:rsidRDefault="002E5BAD" w:rsidP="002E5BAD">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פ' השואל</w:t>
      </w:r>
      <w:r w:rsidRPr="00253C68">
        <w:rPr>
          <w:rFonts w:cs="Arial" w:hint="cs"/>
          <w:b/>
          <w:bCs/>
          <w:sz w:val="16"/>
          <w:szCs w:val="16"/>
          <w:rtl/>
        </w:rPr>
        <w:t xml:space="preserve">) </w:t>
      </w:r>
      <w:r>
        <w:rPr>
          <w:rFonts w:cs="Arial" w:hint="cs"/>
          <w:b/>
          <w:bCs/>
          <w:rtl/>
        </w:rPr>
        <w:t xml:space="preserve">צו ע"א: </w:t>
      </w:r>
      <w:r w:rsidRPr="00253C68">
        <w:rPr>
          <w:rFonts w:cs="Arial"/>
          <w:u w:val="single"/>
          <w:rtl/>
        </w:rPr>
        <w:t>בעי רמי בר חמא</w:t>
      </w:r>
      <w:r w:rsidRPr="00253C68">
        <w:rPr>
          <w:rFonts w:cs="Arial"/>
          <w:rtl/>
        </w:rPr>
        <w:t>: בעל בנכסי אשתו</w:t>
      </w:r>
      <w:r>
        <w:rPr>
          <w:rFonts w:cs="Arial" w:hint="cs"/>
          <w:rtl/>
        </w:rPr>
        <w:t xml:space="preserve"> </w:t>
      </w:r>
      <w:r>
        <w:rPr>
          <w:rFonts w:cs="Arial" w:hint="cs"/>
          <w:sz w:val="14"/>
          <w:szCs w:val="14"/>
          <w:rtl/>
        </w:rPr>
        <w:t>(צו:)</w:t>
      </w:r>
      <w:r w:rsidRPr="00253C68">
        <w:rPr>
          <w:rFonts w:cs="Arial"/>
          <w:rtl/>
        </w:rPr>
        <w:t xml:space="preserve"> שואל הוי</w:t>
      </w:r>
      <w:r>
        <w:rPr>
          <w:rStyle w:val="a7"/>
          <w:rFonts w:cs="Arial"/>
          <w:rtl/>
        </w:rPr>
        <w:footnoteReference w:id="1631"/>
      </w:r>
      <w:r w:rsidRPr="00253C68">
        <w:rPr>
          <w:rFonts w:cs="Arial"/>
          <w:rtl/>
        </w:rPr>
        <w:t xml:space="preserve"> או שוכר הוי? </w:t>
      </w:r>
      <w:r w:rsidRPr="00253C68">
        <w:rPr>
          <w:rFonts w:cs="Arial"/>
          <w:u w:val="single"/>
          <w:rtl/>
        </w:rPr>
        <w:t>אמר רבא</w:t>
      </w:r>
      <w:r w:rsidRPr="00253C68">
        <w:rPr>
          <w:rFonts w:cs="Arial"/>
          <w:rtl/>
        </w:rPr>
        <w:t>: לפום חורפא שבשתא. מה נפשך, אי שואל הוי - שאלה בבעלים היא</w:t>
      </w:r>
      <w:r>
        <w:rPr>
          <w:rStyle w:val="a7"/>
          <w:rFonts w:cs="Arial"/>
          <w:rtl/>
        </w:rPr>
        <w:footnoteReference w:id="1632"/>
      </w:r>
      <w:r w:rsidRPr="00253C68">
        <w:rPr>
          <w:rFonts w:cs="Arial"/>
          <w:rtl/>
        </w:rPr>
        <w:t>, אי שוכר הוי - שכירות בבעלים היא.</w:t>
      </w:r>
      <w:r>
        <w:rPr>
          <w:rFonts w:cs="Arial" w:hint="cs"/>
          <w:rtl/>
        </w:rPr>
        <w:t>..</w:t>
      </w:r>
      <w:r w:rsidRPr="00253C68">
        <w:rPr>
          <w:rFonts w:cs="Arial"/>
          <w:rtl/>
        </w:rPr>
        <w:t xml:space="preserve"> אלא, כי קא מיבעיא לרמי בר חמא כגון דאגרא</w:t>
      </w:r>
      <w:r>
        <w:rPr>
          <w:rStyle w:val="a7"/>
          <w:rFonts w:cs="Arial"/>
          <w:rtl/>
        </w:rPr>
        <w:footnoteReference w:id="1633"/>
      </w:r>
      <w:r w:rsidRPr="00253C68">
        <w:rPr>
          <w:rFonts w:cs="Arial"/>
          <w:rtl/>
        </w:rPr>
        <w:t xml:space="preserve"> איהי פרה מעלמא, והדר נסבה</w:t>
      </w:r>
      <w:r>
        <w:rPr>
          <w:rStyle w:val="a7"/>
          <w:rFonts w:cs="Arial"/>
          <w:rtl/>
        </w:rPr>
        <w:footnoteReference w:id="1634"/>
      </w:r>
      <w:r w:rsidRPr="00253C68">
        <w:rPr>
          <w:rFonts w:cs="Arial"/>
          <w:rtl/>
        </w:rPr>
        <w:t>. ואליבא דרבנן</w:t>
      </w:r>
      <w:r>
        <w:rPr>
          <w:rStyle w:val="a7"/>
          <w:rFonts w:cs="Arial"/>
          <w:rtl/>
        </w:rPr>
        <w:footnoteReference w:id="1635"/>
      </w:r>
      <w:r w:rsidRPr="00253C68">
        <w:rPr>
          <w:rFonts w:cs="Arial"/>
          <w:rtl/>
        </w:rPr>
        <w:t xml:space="preserve"> דאמרי שואל משלם לשוכר - לא תיבעי לך, דודאי שאילה בבעלים היא. כי תיבעי לך - אליבא דרבי יוסי, דאמר: תחזיר פרה לבעלים הראשונים - מאי, שואל הוי או שוכר הוי? </w:t>
      </w:r>
      <w:r w:rsidRPr="00253C68">
        <w:rPr>
          <w:rFonts w:cs="Arial"/>
          <w:u w:val="single"/>
          <w:rtl/>
        </w:rPr>
        <w:t>אמר רבא</w:t>
      </w:r>
      <w:r w:rsidRPr="00253C68">
        <w:rPr>
          <w:rFonts w:cs="Arial"/>
          <w:rtl/>
        </w:rPr>
        <w:t>: בעל לא שואל הוי ולא שוכר הוי, אלא לוקח הוי</w:t>
      </w:r>
      <w:r>
        <w:rPr>
          <w:rStyle w:val="a7"/>
          <w:rFonts w:cs="Arial"/>
          <w:rtl/>
        </w:rPr>
        <w:footnoteReference w:id="1636"/>
      </w:r>
      <w:r w:rsidRPr="00253C68">
        <w:rPr>
          <w:rFonts w:cs="Arial"/>
          <w:rtl/>
        </w:rPr>
        <w:t>, מדרבי יוסי ברבי חנינא. דאמר רבי יוסי ברבי חנינא: באושא התקינו: האשה שמכרה בנכסי מלוג בחיי בעלה ומתה</w:t>
      </w:r>
      <w:r>
        <w:rPr>
          <w:rStyle w:val="a7"/>
          <w:rFonts w:cs="Arial"/>
          <w:rtl/>
        </w:rPr>
        <w:footnoteReference w:id="1637"/>
      </w:r>
      <w:r w:rsidRPr="00253C68">
        <w:rPr>
          <w:rFonts w:cs="Arial"/>
          <w:rtl/>
        </w:rPr>
        <w:t xml:space="preserve"> - הבעל מוציא מיד הלקוחות</w:t>
      </w:r>
      <w:r>
        <w:rPr>
          <w:rStyle w:val="a7"/>
          <w:rFonts w:cs="Arial"/>
          <w:rtl/>
        </w:rPr>
        <w:footnoteReference w:id="1638"/>
      </w:r>
      <w:r w:rsidRPr="00253C68">
        <w:rPr>
          <w:rFonts w:cs="Arial"/>
          <w:rtl/>
        </w:rPr>
        <w:t>.</w:t>
      </w:r>
    </w:p>
    <w:p w14:paraId="457F355D" w14:textId="77777777" w:rsidR="002E5BAD" w:rsidRPr="00B41346" w:rsidRDefault="002E5BAD" w:rsidP="002E5BAD">
      <w:pPr>
        <w:rPr>
          <w:u w:val="single"/>
        </w:rPr>
      </w:pPr>
      <w:r w:rsidRPr="00B41346">
        <w:rPr>
          <w:rFonts w:cs="Arial"/>
          <w:u w:val="single"/>
          <w:rtl/>
        </w:rPr>
        <w:t>שכרה</w:t>
      </w:r>
      <w:r>
        <w:rPr>
          <w:rFonts w:cs="Arial" w:hint="cs"/>
          <w:u w:val="single"/>
          <w:rtl/>
        </w:rPr>
        <w:t>/שאלה</w:t>
      </w:r>
      <w:r w:rsidRPr="00B41346">
        <w:rPr>
          <w:rFonts w:cs="Arial"/>
          <w:u w:val="single"/>
          <w:rtl/>
        </w:rPr>
        <w:t xml:space="preserve"> פרה מאחר</w:t>
      </w:r>
      <w:r w:rsidRPr="00B41346">
        <w:rPr>
          <w:rFonts w:cs="Arial" w:hint="cs"/>
          <w:u w:val="single"/>
          <w:rtl/>
        </w:rPr>
        <w:t>,</w:t>
      </w:r>
      <w:r w:rsidRPr="00B41346">
        <w:rPr>
          <w:rFonts w:cs="Arial"/>
          <w:u w:val="single"/>
          <w:rtl/>
        </w:rPr>
        <w:t xml:space="preserve"> וניסת</w:t>
      </w:r>
      <w:r w:rsidRPr="00B41346">
        <w:rPr>
          <w:rFonts w:cs="Arial" w:hint="cs"/>
          <w:u w:val="single"/>
          <w:rtl/>
        </w:rPr>
        <w:t>,</w:t>
      </w:r>
      <w:r w:rsidRPr="00B41346">
        <w:rPr>
          <w:rFonts w:cs="Arial"/>
          <w:u w:val="single"/>
          <w:rtl/>
        </w:rPr>
        <w:t xml:space="preserve"> ומתה</w:t>
      </w:r>
      <w:r>
        <w:rPr>
          <w:rFonts w:cs="Arial" w:hint="cs"/>
          <w:u w:val="single"/>
          <w:rtl/>
        </w:rPr>
        <w:t xml:space="preserve"> הפרה</w:t>
      </w:r>
      <w:r w:rsidRPr="00B41346">
        <w:rPr>
          <w:rFonts w:hint="cs"/>
          <w:u w:val="single"/>
          <w:rtl/>
        </w:rPr>
        <w:t>:</w:t>
      </w:r>
    </w:p>
    <w:p w14:paraId="3C2F145E" w14:textId="77777777" w:rsidR="002E5BAD" w:rsidRPr="000343CE" w:rsidRDefault="002E5BAD" w:rsidP="002E5BAD">
      <w:pPr>
        <w:pStyle w:val="ab"/>
        <w:numPr>
          <w:ilvl w:val="0"/>
          <w:numId w:val="178"/>
        </w:numPr>
        <w:rPr>
          <w:rFonts w:cs="Arial"/>
        </w:rPr>
      </w:pPr>
      <w:r>
        <w:rPr>
          <w:rFonts w:cs="Arial" w:hint="cs"/>
          <w:rtl/>
        </w:rPr>
        <w:t>טור</w:t>
      </w:r>
      <w:r>
        <w:rPr>
          <w:rFonts w:cs="Arial" w:hint="cs"/>
          <w:sz w:val="16"/>
          <w:szCs w:val="16"/>
          <w:rtl/>
        </w:rPr>
        <w:t xml:space="preserve"> (סי' שמו ס"כ</w:t>
      </w:r>
      <w:r>
        <w:rPr>
          <w:rStyle w:val="a7"/>
          <w:rFonts w:cs="Arial"/>
          <w:sz w:val="16"/>
          <w:szCs w:val="16"/>
          <w:rtl/>
        </w:rPr>
        <w:footnoteReference w:id="1639"/>
      </w:r>
      <w:r>
        <w:rPr>
          <w:rFonts w:cs="Arial" w:hint="cs"/>
          <w:sz w:val="16"/>
          <w:szCs w:val="16"/>
          <w:rtl/>
        </w:rPr>
        <w:t>)</w:t>
      </w:r>
      <w:r>
        <w:rPr>
          <w:rFonts w:cs="Arial" w:hint="cs"/>
          <w:rtl/>
        </w:rPr>
        <w:t xml:space="preserve">- </w:t>
      </w:r>
      <w:r w:rsidRPr="000343CE">
        <w:rPr>
          <w:rFonts w:cs="Arial"/>
          <w:rtl/>
        </w:rPr>
        <w:t>אפי' שכרה פרה מאחר ואח"כ נשאת לו ומתה או אפילו פשע בה ונגנבה פטור מפני שהוא חשוב בה כלוקח והיא חייבת לשלם לכשתתאלמן או תתגרש</w:t>
      </w:r>
      <w:r>
        <w:rPr>
          <w:rFonts w:cs="Arial" w:hint="cs"/>
          <w:rtl/>
        </w:rPr>
        <w:t>...</w:t>
      </w:r>
      <w:r w:rsidRPr="000343CE">
        <w:rPr>
          <w:rFonts w:cs="Arial"/>
          <w:rtl/>
        </w:rPr>
        <w:t xml:space="preserve"> כתב ר"י אף על גב דבעל בנכסי אשתו הוי לוקח יש לו דין שומר חנם וגבי בעל בנכסי אשתו לא נפקא מינה שאפי' אם פשע בהן ונגנבו פטור דהוי </w:t>
      </w:r>
      <w:r w:rsidRPr="000343CE">
        <w:rPr>
          <w:rFonts w:cs="Arial"/>
          <w:rtl/>
        </w:rPr>
        <w:lastRenderedPageBreak/>
        <w:t>פשיעה בבעלים</w:t>
      </w:r>
      <w:r>
        <w:rPr>
          <w:rFonts w:cs="Arial" w:hint="cs"/>
          <w:rtl/>
        </w:rPr>
        <w:t>.</w:t>
      </w:r>
      <w:r w:rsidRPr="000343CE">
        <w:rPr>
          <w:rFonts w:cs="Arial"/>
          <w:rtl/>
        </w:rPr>
        <w:t xml:space="preserve"> ומיהו נפקא מינה ללוקח בהמה לשלשים יום דלא שואל הוי ולא שוכר דבלשון מקח לקחה והוא שומר חנם עליה</w:t>
      </w:r>
      <w:r w:rsidRPr="000343CE">
        <w:rPr>
          <w:rFonts w:cs="Arial" w:hint="cs"/>
          <w:rtl/>
        </w:rPr>
        <w:t xml:space="preserve">. </w:t>
      </w:r>
      <w:r w:rsidRPr="000343CE">
        <w:rPr>
          <w:rFonts w:cs="Arial"/>
          <w:rtl/>
        </w:rPr>
        <w:t>וכל אלו החילוקים של שאלה בבעלים נוהגין גם כן בכל שאר השומרים</w:t>
      </w:r>
      <w:r>
        <w:rPr>
          <w:rFonts w:cs="Arial" w:hint="cs"/>
          <w:rtl/>
        </w:rPr>
        <w:t>.</w:t>
      </w:r>
    </w:p>
    <w:p w14:paraId="752D1CFB" w14:textId="77777777" w:rsidR="002E5BAD" w:rsidRPr="002A3E55" w:rsidRDefault="002E5BAD" w:rsidP="002E5BAD">
      <w:pPr>
        <w:pStyle w:val="ab"/>
        <w:numPr>
          <w:ilvl w:val="0"/>
          <w:numId w:val="178"/>
        </w:numPr>
      </w:pPr>
      <w:r>
        <w:rPr>
          <w:rFonts w:cs="Arial" w:hint="cs"/>
          <w:rtl/>
        </w:rPr>
        <w:t>רמב"ם</w:t>
      </w:r>
      <w:r>
        <w:rPr>
          <w:rFonts w:cs="Arial" w:hint="cs"/>
          <w:sz w:val="16"/>
          <w:szCs w:val="16"/>
          <w:rtl/>
        </w:rPr>
        <w:t xml:space="preserve"> (הל' שאלה ופקדון פ"ב הי"א)</w:t>
      </w:r>
      <w:r>
        <w:rPr>
          <w:rFonts w:cs="Arial" w:hint="cs"/>
          <w:rtl/>
        </w:rPr>
        <w:t xml:space="preserve">- </w:t>
      </w:r>
      <w:r w:rsidRPr="00B41346">
        <w:rPr>
          <w:rFonts w:cs="Arial"/>
          <w:rtl/>
        </w:rPr>
        <w:t>אשה ששאלה</w:t>
      </w:r>
      <w:r>
        <w:rPr>
          <w:rStyle w:val="a7"/>
          <w:rFonts w:cs="Arial"/>
          <w:rtl/>
        </w:rPr>
        <w:footnoteReference w:id="1640"/>
      </w:r>
      <w:r>
        <w:rPr>
          <w:rFonts w:cs="Arial" w:hint="cs"/>
          <w:rtl/>
        </w:rPr>
        <w:t>,</w:t>
      </w:r>
      <w:r w:rsidRPr="00B41346">
        <w:rPr>
          <w:rFonts w:cs="Arial"/>
          <w:rtl/>
        </w:rPr>
        <w:t xml:space="preserve"> ואח"כ נשאת</w:t>
      </w:r>
      <w:r>
        <w:rPr>
          <w:rFonts w:cs="Arial" w:hint="cs"/>
          <w:rtl/>
        </w:rPr>
        <w:t>,</w:t>
      </w:r>
      <w:r w:rsidRPr="00B41346">
        <w:rPr>
          <w:rFonts w:cs="Arial"/>
          <w:rtl/>
        </w:rPr>
        <w:t xml:space="preserve"> הרי הבעל כלוקח ממנה</w:t>
      </w:r>
      <w:r>
        <w:rPr>
          <w:rFonts w:cs="Arial" w:hint="cs"/>
          <w:rtl/>
        </w:rPr>
        <w:t>,</w:t>
      </w:r>
      <w:r w:rsidRPr="00B41346">
        <w:rPr>
          <w:rFonts w:cs="Arial"/>
          <w:rtl/>
        </w:rPr>
        <w:t xml:space="preserve"> ואינו לא ש</w:t>
      </w:r>
      <w:r>
        <w:rPr>
          <w:rFonts w:cs="Arial" w:hint="cs"/>
          <w:rtl/>
        </w:rPr>
        <w:t xml:space="preserve">ומר </w:t>
      </w:r>
      <w:r w:rsidRPr="00B41346">
        <w:rPr>
          <w:rFonts w:cs="Arial"/>
          <w:rtl/>
        </w:rPr>
        <w:t>ש</w:t>
      </w:r>
      <w:r>
        <w:rPr>
          <w:rFonts w:cs="Arial" w:hint="cs"/>
          <w:rtl/>
        </w:rPr>
        <w:t>כר</w:t>
      </w:r>
      <w:r w:rsidRPr="00B41346">
        <w:rPr>
          <w:rFonts w:cs="Arial"/>
          <w:rtl/>
        </w:rPr>
        <w:t xml:space="preserve"> ולא שואל, לפיכך אם היתה דבר השאלה בהמה</w:t>
      </w:r>
      <w:r>
        <w:rPr>
          <w:rFonts w:cs="Arial" w:hint="cs"/>
          <w:rtl/>
        </w:rPr>
        <w:t>,</w:t>
      </w:r>
      <w:r w:rsidRPr="00B41346">
        <w:rPr>
          <w:rFonts w:cs="Arial"/>
          <w:rtl/>
        </w:rPr>
        <w:t xml:space="preserve"> ומתה </w:t>
      </w:r>
      <w:r>
        <w:rPr>
          <w:rFonts w:cs="Arial" w:hint="cs"/>
          <w:rtl/>
        </w:rPr>
        <w:t xml:space="preserve">- </w:t>
      </w:r>
      <w:r w:rsidRPr="00B41346">
        <w:rPr>
          <w:rFonts w:cs="Arial"/>
          <w:rtl/>
        </w:rPr>
        <w:t>הבעל פטור אף על פי שהוא משתמש בה כל ימי שאלתה</w:t>
      </w:r>
      <w:r>
        <w:rPr>
          <w:rFonts w:cs="Arial" w:hint="cs"/>
          <w:rtl/>
        </w:rPr>
        <w:t>,</w:t>
      </w:r>
      <w:r w:rsidRPr="00B41346">
        <w:rPr>
          <w:rFonts w:cs="Arial"/>
          <w:rtl/>
        </w:rPr>
        <w:t xml:space="preserve"> אפילו פשע</w:t>
      </w:r>
      <w:r>
        <w:rPr>
          <w:rFonts w:cs="Arial" w:hint="cs"/>
          <w:rtl/>
        </w:rPr>
        <w:t>,</w:t>
      </w:r>
      <w:r w:rsidRPr="00B41346">
        <w:rPr>
          <w:rFonts w:cs="Arial"/>
          <w:rtl/>
        </w:rPr>
        <w:t xml:space="preserve"> מפני שהוא כלוקח</w:t>
      </w:r>
      <w:r>
        <w:rPr>
          <w:rFonts w:cs="Arial" w:hint="cs"/>
          <w:rtl/>
        </w:rPr>
        <w:t>,</w:t>
      </w:r>
      <w:r w:rsidRPr="00B41346">
        <w:rPr>
          <w:rFonts w:cs="Arial"/>
          <w:rtl/>
        </w:rPr>
        <w:t xml:space="preserve"> והאשה חייבת לשלם כשיהיה לה ממון</w:t>
      </w:r>
      <w:r>
        <w:rPr>
          <w:rFonts w:cs="Arial" w:hint="cs"/>
          <w:rtl/>
        </w:rPr>
        <w:t>.</w:t>
      </w:r>
      <w:r w:rsidRPr="00B41346">
        <w:rPr>
          <w:rFonts w:cs="Arial"/>
          <w:rtl/>
        </w:rPr>
        <w:t xml:space="preserve"> ואם הודיעה את בעלה שהיא שאולה </w:t>
      </w:r>
      <w:r>
        <w:rPr>
          <w:rFonts w:cs="Arial"/>
          <w:rtl/>
        </w:rPr>
        <w:t>–</w:t>
      </w:r>
      <w:r>
        <w:rPr>
          <w:rFonts w:cs="Arial" w:hint="cs"/>
          <w:rtl/>
        </w:rPr>
        <w:t xml:space="preserve"> </w:t>
      </w:r>
      <w:r w:rsidRPr="00B41346">
        <w:rPr>
          <w:rFonts w:cs="Arial"/>
          <w:rtl/>
        </w:rPr>
        <w:t>ה</w:t>
      </w:r>
      <w:r>
        <w:rPr>
          <w:rFonts w:cs="Arial" w:hint="cs"/>
          <w:rtl/>
        </w:rPr>
        <w:t xml:space="preserve">רי </w:t>
      </w:r>
      <w:r w:rsidRPr="00B41346">
        <w:rPr>
          <w:rFonts w:cs="Arial"/>
          <w:rtl/>
        </w:rPr>
        <w:t>ז</w:t>
      </w:r>
      <w:r>
        <w:rPr>
          <w:rFonts w:cs="Arial" w:hint="cs"/>
          <w:rtl/>
        </w:rPr>
        <w:t>ה</w:t>
      </w:r>
      <w:r w:rsidRPr="00B41346">
        <w:rPr>
          <w:rFonts w:cs="Arial"/>
          <w:rtl/>
        </w:rPr>
        <w:t xml:space="preserve"> נכנס תחתיה</w:t>
      </w:r>
      <w:r>
        <w:rPr>
          <w:rStyle w:val="a7"/>
          <w:rFonts w:cs="Arial"/>
          <w:rtl/>
        </w:rPr>
        <w:footnoteReference w:id="1641"/>
      </w:r>
      <w:r>
        <w:rPr>
          <w:rFonts w:cs="Arial" w:hint="cs"/>
          <w:rtl/>
        </w:rPr>
        <w:t>.</w:t>
      </w:r>
      <w:r w:rsidRPr="00B41346">
        <w:rPr>
          <w:rFonts w:cs="Arial"/>
          <w:rtl/>
        </w:rPr>
        <w:t xml:space="preserve"> </w:t>
      </w:r>
      <w:r w:rsidRPr="00137671">
        <w:rPr>
          <w:rFonts w:cs="Arial"/>
          <w:rtl/>
        </w:rPr>
        <w:t>כל שאמרנו שהיא שאלה בבעלים</w:t>
      </w:r>
      <w:r w:rsidRPr="00137671">
        <w:rPr>
          <w:rFonts w:cs="Arial" w:hint="cs"/>
          <w:rtl/>
        </w:rPr>
        <w:t xml:space="preserve"> -</w:t>
      </w:r>
      <w:r w:rsidRPr="00137671">
        <w:rPr>
          <w:rFonts w:cs="Arial"/>
          <w:rtl/>
        </w:rPr>
        <w:t xml:space="preserve"> כך אם היה שוכר או נושא שכר</w:t>
      </w:r>
      <w:r w:rsidRPr="00137671">
        <w:rPr>
          <w:rFonts w:cs="Arial" w:hint="cs"/>
          <w:rtl/>
        </w:rPr>
        <w:t xml:space="preserve"> </w:t>
      </w:r>
      <w:r w:rsidRPr="00137671">
        <w:rPr>
          <w:rFonts w:cs="Arial"/>
          <w:rtl/>
        </w:rPr>
        <w:t>הרי היא שכירות בבעלים ופטור</w:t>
      </w:r>
      <w:r w:rsidRPr="00137671">
        <w:rPr>
          <w:rFonts w:cs="Arial" w:hint="cs"/>
          <w:rtl/>
        </w:rPr>
        <w:t>.</w:t>
      </w:r>
      <w:r w:rsidRPr="00137671">
        <w:rPr>
          <w:rFonts w:cs="Arial"/>
          <w:rtl/>
        </w:rPr>
        <w:t xml:space="preserve"> וכל שאינה שאלה בבעלים </w:t>
      </w:r>
      <w:r w:rsidRPr="00137671">
        <w:rPr>
          <w:rFonts w:cs="Arial" w:hint="cs"/>
          <w:rtl/>
        </w:rPr>
        <w:t xml:space="preserve">- </w:t>
      </w:r>
      <w:r w:rsidRPr="00137671">
        <w:rPr>
          <w:rFonts w:cs="Arial"/>
          <w:rtl/>
        </w:rPr>
        <w:t>כך אינה שכירות בבעלים</w:t>
      </w:r>
      <w:r w:rsidRPr="00137671">
        <w:rPr>
          <w:rFonts w:cs="Arial" w:hint="cs"/>
          <w:rtl/>
        </w:rPr>
        <w:t>.</w:t>
      </w:r>
      <w:r w:rsidRPr="00137671">
        <w:rPr>
          <w:rFonts w:cs="Arial"/>
          <w:rtl/>
        </w:rPr>
        <w:t xml:space="preserve"> וכל שהוא ספק בשאלה כך הוא ספק בשכירות. </w:t>
      </w:r>
      <w:r w:rsidRPr="00137671">
        <w:rPr>
          <w:rFonts w:hint="cs"/>
          <w:color w:val="E36C0A" w:themeColor="accent6" w:themeShade="BF"/>
          <w:rtl/>
        </w:rPr>
        <w:t>(וכ"פ בשו"ע)</w:t>
      </w:r>
    </w:p>
    <w:p w14:paraId="5EBDCA4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2062B29" w14:textId="77777777" w:rsidR="002E5BAD" w:rsidRDefault="002E5BAD" w:rsidP="002E5BAD">
      <w:pPr>
        <w:rPr>
          <w:rtl/>
        </w:rPr>
      </w:pPr>
      <w:r>
        <w:rPr>
          <w:rFonts w:cs="Arial"/>
          <w:rtl/>
        </w:rPr>
        <w:t>אשה ששאלה פרה, ואח</w:t>
      </w:r>
      <w:r>
        <w:rPr>
          <w:rFonts w:cs="Arial" w:hint="cs"/>
          <w:rtl/>
        </w:rPr>
        <w:t xml:space="preserve">ר </w:t>
      </w:r>
      <w:r>
        <w:rPr>
          <w:rFonts w:cs="Arial"/>
          <w:rtl/>
        </w:rPr>
        <w:t>כ</w:t>
      </w:r>
      <w:r>
        <w:rPr>
          <w:rFonts w:cs="Arial" w:hint="cs"/>
          <w:rtl/>
        </w:rPr>
        <w:t>ך</w:t>
      </w:r>
      <w:r>
        <w:rPr>
          <w:rFonts w:cs="Arial"/>
          <w:rtl/>
        </w:rPr>
        <w:t xml:space="preserve"> נשאת</w:t>
      </w:r>
      <w:r>
        <w:rPr>
          <w:rFonts w:cs="Arial" w:hint="cs"/>
          <w:rtl/>
        </w:rPr>
        <w:t>,</w:t>
      </w:r>
      <w:r>
        <w:rPr>
          <w:rFonts w:cs="Arial"/>
          <w:rtl/>
        </w:rPr>
        <w:t xml:space="preserve"> ומתה, הבעל אף על פי שהוא משתמש בה כל ימי שאילתה, פטור, אפילו פשע, מפני שהוא כלוקח</w:t>
      </w:r>
      <w:r>
        <w:rPr>
          <w:rStyle w:val="a7"/>
          <w:rFonts w:cs="Arial"/>
          <w:rtl/>
        </w:rPr>
        <w:footnoteReference w:id="1642"/>
      </w:r>
      <w:r>
        <w:rPr>
          <w:rFonts w:cs="Arial"/>
          <w:rtl/>
        </w:rPr>
        <w:t>, והאשה חייבת לשלם כשיהיה לה ממון. ואם הודיעה את בעלה שהיא שאולה, ה</w:t>
      </w:r>
      <w:r>
        <w:rPr>
          <w:rFonts w:cs="Arial" w:hint="cs"/>
          <w:rtl/>
        </w:rPr>
        <w:t xml:space="preserve">רי </w:t>
      </w:r>
      <w:r>
        <w:rPr>
          <w:rFonts w:cs="Arial"/>
          <w:rtl/>
        </w:rPr>
        <w:t>ז</w:t>
      </w:r>
      <w:r>
        <w:rPr>
          <w:rFonts w:cs="Arial" w:hint="cs"/>
          <w:rtl/>
        </w:rPr>
        <w:t>ה</w:t>
      </w:r>
      <w:r>
        <w:rPr>
          <w:rFonts w:cs="Arial"/>
          <w:rtl/>
        </w:rPr>
        <w:t xml:space="preserve"> נכנס תחתיה</w:t>
      </w:r>
      <w:r>
        <w:rPr>
          <w:rStyle w:val="a7"/>
          <w:rFonts w:cs="Arial"/>
          <w:rtl/>
        </w:rPr>
        <w:footnoteReference w:id="1643"/>
      </w:r>
      <w:r>
        <w:rPr>
          <w:rFonts w:cs="Arial"/>
          <w:rtl/>
        </w:rPr>
        <w:t xml:space="preserve">. </w:t>
      </w:r>
    </w:p>
    <w:p w14:paraId="31B2992A" w14:textId="77777777" w:rsidR="002E5BAD" w:rsidRDefault="002E5BAD" w:rsidP="002E5BAD">
      <w:pPr>
        <w:rPr>
          <w:rtl/>
        </w:rPr>
      </w:pPr>
    </w:p>
    <w:p w14:paraId="2BAAAEDC" w14:textId="77777777" w:rsidR="002E5BAD" w:rsidRDefault="002E5BAD" w:rsidP="002E5BAD">
      <w:pPr>
        <w:pStyle w:val="2"/>
        <w:rPr>
          <w:rtl/>
        </w:rPr>
      </w:pPr>
      <w:r>
        <w:rPr>
          <w:rtl/>
        </w:rPr>
        <w:t>סעיף ז</w:t>
      </w:r>
      <w:r>
        <w:rPr>
          <w:rFonts w:hint="cs"/>
          <w:rtl/>
        </w:rPr>
        <w:t>: נכסים שבאו לידה לאחר שנשאה.</w:t>
      </w:r>
    </w:p>
    <w:p w14:paraId="4E02F627" w14:textId="77777777" w:rsidR="002E5BAD" w:rsidRDefault="002E5BAD" w:rsidP="002E5BA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(ר"פ מציאת האשה)</w:t>
      </w:r>
      <w:r w:rsidRPr="00AB0AB9">
        <w:rPr>
          <w:rFonts w:cs="Arial" w:hint="cs"/>
          <w:b/>
          <w:bCs/>
          <w:rtl/>
        </w:rPr>
        <w:t xml:space="preserve"> </w:t>
      </w:r>
      <w:r>
        <w:rPr>
          <w:rFonts w:cs="Arial" w:hint="cs"/>
          <w:b/>
          <w:bCs/>
          <w:rtl/>
        </w:rPr>
        <w:t>סה</w:t>
      </w:r>
      <w:r w:rsidRPr="00AB0AB9">
        <w:rPr>
          <w:rFonts w:cs="Arial" w:hint="cs"/>
          <w:b/>
          <w:bCs/>
          <w:rtl/>
        </w:rPr>
        <w:t xml:space="preserve"> ע"ב: </w:t>
      </w:r>
      <w:r w:rsidRPr="00390A65">
        <w:rPr>
          <w:rFonts w:cs="Arial"/>
          <w:u w:val="double"/>
          <w:rtl/>
        </w:rPr>
        <w:t>מתני'</w:t>
      </w:r>
      <w:r>
        <w:rPr>
          <w:rFonts w:cs="Arial" w:hint="cs"/>
          <w:rtl/>
        </w:rPr>
        <w:t>:</w:t>
      </w:r>
      <w:r w:rsidRPr="00104E5F">
        <w:rPr>
          <w:rFonts w:cs="Arial"/>
          <w:rtl/>
        </w:rPr>
        <w:t xml:space="preserve"> </w:t>
      </w:r>
      <w:r>
        <w:rPr>
          <w:rFonts w:cs="Arial" w:hint="cs"/>
          <w:rtl/>
        </w:rPr>
        <w:t>מ</w:t>
      </w:r>
      <w:r w:rsidRPr="00A715B2">
        <w:rPr>
          <w:rFonts w:cs="Arial"/>
          <w:rtl/>
        </w:rPr>
        <w:t>ציאת האשה ומעשה ידיה לבעלה, וירושתה - הוא אוכל פירות בחייה, בושתה ופגמה שלה</w:t>
      </w:r>
      <w:r>
        <w:rPr>
          <w:rFonts w:cs="Arial" w:hint="cs"/>
          <w:rtl/>
        </w:rPr>
        <w:t>..</w:t>
      </w:r>
      <w:r w:rsidRPr="00A715B2">
        <w:rPr>
          <w:rFonts w:cs="Arial"/>
          <w:rtl/>
        </w:rPr>
        <w:t>.</w:t>
      </w:r>
    </w:p>
    <w:p w14:paraId="62AA13E7" w14:textId="77777777" w:rsidR="002E5BAD" w:rsidRDefault="002E5BAD" w:rsidP="002E5BAD">
      <w:pPr>
        <w:rPr>
          <w:rFonts w:cs="Arial"/>
          <w:rtl/>
        </w:rPr>
      </w:pPr>
      <w:r w:rsidRPr="008E4222">
        <w:rPr>
          <w:rFonts w:cs="Arial" w:hint="cs"/>
          <w:b/>
          <w:bCs/>
          <w:rtl/>
        </w:rPr>
        <w:t xml:space="preserve">כתובות </w:t>
      </w:r>
      <w:r>
        <w:rPr>
          <w:rFonts w:cs="Arial" w:hint="cs"/>
          <w:b/>
          <w:bCs/>
          <w:sz w:val="16"/>
          <w:szCs w:val="16"/>
          <w:rtl/>
        </w:rPr>
        <w:t xml:space="preserve">(ר"פ האשה שנפלו) </w:t>
      </w:r>
      <w:r w:rsidRPr="008E4222">
        <w:rPr>
          <w:rFonts w:cs="Arial" w:hint="cs"/>
          <w:b/>
          <w:bCs/>
          <w:rtl/>
        </w:rPr>
        <w:t>ע</w:t>
      </w:r>
      <w:r>
        <w:rPr>
          <w:rFonts w:cs="Arial" w:hint="cs"/>
          <w:b/>
          <w:bCs/>
          <w:rtl/>
        </w:rPr>
        <w:t>ח</w:t>
      </w:r>
      <w:r w:rsidRPr="008E4222">
        <w:rPr>
          <w:rFonts w:cs="Arial" w:hint="cs"/>
          <w:b/>
          <w:bCs/>
          <w:rtl/>
        </w:rPr>
        <w:t xml:space="preserve"> ע"א:</w:t>
      </w:r>
      <w:r>
        <w:rPr>
          <w:rFonts w:cs="Arial" w:hint="cs"/>
          <w:rtl/>
        </w:rPr>
        <w:t xml:space="preserve"> </w:t>
      </w:r>
      <w:r w:rsidRPr="00493909">
        <w:rPr>
          <w:rFonts w:cs="Arial"/>
          <w:u w:val="double"/>
          <w:rtl/>
        </w:rPr>
        <w:t>מתני'</w:t>
      </w:r>
      <w:r>
        <w:rPr>
          <w:rFonts w:cs="Arial" w:hint="cs"/>
          <w:rtl/>
        </w:rPr>
        <w:t>:</w:t>
      </w:r>
      <w:r w:rsidRPr="008E4222">
        <w:rPr>
          <w:rFonts w:cs="Arial"/>
          <w:rtl/>
        </w:rPr>
        <w:t xml:space="preserve"> האשה שנפלו לה נכסים</w:t>
      </w:r>
      <w:r>
        <w:rPr>
          <w:rFonts w:cs="Arial" w:hint="cs"/>
          <w:rtl/>
        </w:rPr>
        <w:t>...</w:t>
      </w:r>
      <w:r w:rsidRPr="008E4222">
        <w:rPr>
          <w:rFonts w:cs="Arial"/>
          <w:rtl/>
        </w:rPr>
        <w:t xml:space="preserve"> נפלו לה משנשאת, אלו ואלו מודים, שאם מכרה ונתנה - שהבעל מוציא מיד הלקוחות.</w:t>
      </w:r>
      <w:r w:rsidRPr="00024CFE">
        <w:rPr>
          <w:rtl/>
        </w:rPr>
        <w:t xml:space="preserve"> </w:t>
      </w:r>
      <w:r w:rsidRPr="00024CFE">
        <w:rPr>
          <w:rFonts w:cs="Arial"/>
          <w:rtl/>
        </w:rPr>
        <w:t xml:space="preserve">עד שלא נשאת ונשאת, </w:t>
      </w:r>
      <w:r w:rsidRPr="00024CFE">
        <w:rPr>
          <w:rFonts w:cs="Arial"/>
          <w:u w:val="single"/>
          <w:rtl/>
        </w:rPr>
        <w:t>ר"ג אומר</w:t>
      </w:r>
      <w:r w:rsidRPr="00024CFE">
        <w:rPr>
          <w:rFonts w:cs="Arial"/>
          <w:rtl/>
        </w:rPr>
        <w:t xml:space="preserve">: אם מכרה ונתנה - קיים. </w:t>
      </w:r>
      <w:r w:rsidRPr="00024CFE">
        <w:rPr>
          <w:rFonts w:cs="Arial"/>
          <w:u w:val="single"/>
          <w:rtl/>
        </w:rPr>
        <w:t>א"ר חנינא בן עקביא</w:t>
      </w:r>
      <w:r>
        <w:rPr>
          <w:rFonts w:cs="Arial" w:hint="cs"/>
          <w:rtl/>
        </w:rPr>
        <w:t>:</w:t>
      </w:r>
      <w:r w:rsidRPr="00024CFE">
        <w:rPr>
          <w:rFonts w:cs="Arial"/>
          <w:rtl/>
        </w:rPr>
        <w:t xml:space="preserve"> אמרו לפני ר"ג</w:t>
      </w:r>
      <w:r>
        <w:rPr>
          <w:rFonts w:cs="Arial" w:hint="cs"/>
          <w:rtl/>
        </w:rPr>
        <w:t>,</w:t>
      </w:r>
      <w:r w:rsidRPr="00024CFE">
        <w:rPr>
          <w:rFonts w:cs="Arial"/>
          <w:rtl/>
        </w:rPr>
        <w:t xml:space="preserve"> הואיל וזכה באשה לא יזכה בנכסים? אמר להם: על החדשים אנו בושים, אלא שאתם מגלגלין עלינו הישנים. </w:t>
      </w:r>
      <w:r w:rsidRPr="00024CFE">
        <w:rPr>
          <w:rFonts w:cs="Arial"/>
          <w:u w:val="single"/>
          <w:rtl/>
        </w:rPr>
        <w:t>ר"ש</w:t>
      </w:r>
      <w:r>
        <w:rPr>
          <w:rFonts w:cs="Arial" w:hint="cs"/>
          <w:rtl/>
        </w:rPr>
        <w:t>:</w:t>
      </w:r>
      <w:r w:rsidRPr="00024CFE">
        <w:rPr>
          <w:rFonts w:cs="Arial"/>
          <w:rtl/>
        </w:rPr>
        <w:t xml:space="preserve"> חולק בין נכסים לנכסים, נכסים הידועין לבעל לא תמכור, ואם מכרה ונתנה - בטל, שאינן ידועין לבעל לא תמכור, ואם מכרה ונתנה - קיים.</w:t>
      </w:r>
      <w:r>
        <w:rPr>
          <w:rFonts w:cs="Arial" w:hint="cs"/>
          <w:rtl/>
        </w:rPr>
        <w:t xml:space="preserve"> </w:t>
      </w:r>
    </w:p>
    <w:p w14:paraId="31CA67AD" w14:textId="77777777" w:rsidR="002E5BAD" w:rsidRDefault="002E5BAD" w:rsidP="002E5BAD">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Pr="004602D6">
        <w:rPr>
          <w:rFonts w:cs="Arial"/>
          <w:rtl/>
        </w:rPr>
        <w:t xml:space="preserve">ההיא איתתא דבעיא דתברחינהו לנכסה מגברה, כתבתינהו לברתה, אינסיבה ואיגרשה, </w:t>
      </w:r>
      <w:r w:rsidRPr="004602D6">
        <w:rPr>
          <w:rFonts w:cs="Arial" w:hint="cs"/>
          <w:sz w:val="14"/>
          <w:szCs w:val="14"/>
          <w:rtl/>
        </w:rPr>
        <w:t>(עט.)</w:t>
      </w:r>
      <w:r>
        <w:rPr>
          <w:rFonts w:cs="Arial" w:hint="cs"/>
          <w:rtl/>
        </w:rPr>
        <w:t xml:space="preserve"> </w:t>
      </w:r>
      <w:r w:rsidRPr="004602D6">
        <w:rPr>
          <w:rFonts w:cs="Arial"/>
          <w:rtl/>
        </w:rPr>
        <w:t>אתאי לקמיה דרב נחמן</w:t>
      </w:r>
      <w:r>
        <w:rPr>
          <w:rStyle w:val="a7"/>
          <w:rFonts w:cs="Arial"/>
          <w:rtl/>
        </w:rPr>
        <w:footnoteReference w:id="1644"/>
      </w:r>
      <w:r w:rsidRPr="004602D6">
        <w:rPr>
          <w:rFonts w:cs="Arial"/>
          <w:rtl/>
        </w:rPr>
        <w:t xml:space="preserve">, קרעיה ר"נ לשטרא. אזל רב ענן לקמיה דמר עוקבא, </w:t>
      </w:r>
      <w:r w:rsidRPr="00784C1E">
        <w:rPr>
          <w:rFonts w:cs="Arial"/>
          <w:u w:val="single"/>
          <w:rtl/>
        </w:rPr>
        <w:t>א"ל</w:t>
      </w:r>
      <w:r w:rsidRPr="004602D6">
        <w:rPr>
          <w:rFonts w:cs="Arial"/>
          <w:rtl/>
        </w:rPr>
        <w:t xml:space="preserve">: חזי מר, נחמן </w:t>
      </w:r>
      <w:r w:rsidRPr="004602D6">
        <w:rPr>
          <w:rFonts w:cs="Arial"/>
          <w:rtl/>
        </w:rPr>
        <w:lastRenderedPageBreak/>
        <w:t>חקלאה</w:t>
      </w:r>
      <w:r>
        <w:rPr>
          <w:rStyle w:val="a7"/>
          <w:rFonts w:cs="Arial"/>
          <w:rtl/>
        </w:rPr>
        <w:footnoteReference w:id="1645"/>
      </w:r>
      <w:r w:rsidRPr="004602D6">
        <w:rPr>
          <w:rFonts w:cs="Arial"/>
          <w:rtl/>
        </w:rPr>
        <w:t xml:space="preserve"> היכי מקרע שטרי דאינשי! </w:t>
      </w:r>
      <w:r w:rsidRPr="00784C1E">
        <w:rPr>
          <w:rFonts w:cs="Arial"/>
          <w:u w:val="single"/>
          <w:rtl/>
        </w:rPr>
        <w:t>א"ל</w:t>
      </w:r>
      <w:r w:rsidRPr="004602D6">
        <w:rPr>
          <w:rFonts w:cs="Arial"/>
          <w:rtl/>
        </w:rPr>
        <w:t xml:space="preserve">: אימא לי איזי גופא דעובדא היכי הוה, </w:t>
      </w:r>
      <w:r w:rsidRPr="00B26A8D">
        <w:rPr>
          <w:rFonts w:cs="Arial"/>
          <w:u w:val="single"/>
          <w:rtl/>
        </w:rPr>
        <w:t>א"ל</w:t>
      </w:r>
      <w:r w:rsidRPr="004602D6">
        <w:rPr>
          <w:rFonts w:cs="Arial"/>
          <w:rtl/>
        </w:rPr>
        <w:t xml:space="preserve">: הכי והכי הוה. </w:t>
      </w:r>
      <w:r w:rsidRPr="00784C1E">
        <w:rPr>
          <w:rFonts w:cs="Arial"/>
          <w:u w:val="single"/>
          <w:rtl/>
        </w:rPr>
        <w:t>א"ל</w:t>
      </w:r>
      <w:r w:rsidRPr="004602D6">
        <w:rPr>
          <w:rFonts w:cs="Arial"/>
          <w:rtl/>
        </w:rPr>
        <w:t xml:space="preserve">: שטר מברחת קא אמרת? </w:t>
      </w:r>
      <w:r w:rsidRPr="00784C1E">
        <w:rPr>
          <w:rFonts w:cs="Arial"/>
          <w:u w:val="single"/>
          <w:rtl/>
        </w:rPr>
        <w:t>הכי א"ר חנילאי בר אידי אמר שמואל</w:t>
      </w:r>
      <w:r w:rsidRPr="004602D6">
        <w:rPr>
          <w:rFonts w:cs="Arial"/>
          <w:rtl/>
        </w:rPr>
        <w:t>: מורה הוראה אני, אם יבא שטר מברחת לידי</w:t>
      </w:r>
      <w:r>
        <w:rPr>
          <w:rStyle w:val="a7"/>
          <w:rFonts w:cs="Arial"/>
          <w:rtl/>
        </w:rPr>
        <w:footnoteReference w:id="1646"/>
      </w:r>
      <w:r w:rsidRPr="004602D6">
        <w:rPr>
          <w:rFonts w:cs="Arial"/>
          <w:rtl/>
        </w:rPr>
        <w:t xml:space="preserve"> אקרענו. </w:t>
      </w:r>
      <w:r w:rsidRPr="00784C1E">
        <w:rPr>
          <w:rFonts w:cs="Arial"/>
          <w:u w:val="single"/>
          <w:rtl/>
        </w:rPr>
        <w:t>א"ל</w:t>
      </w:r>
      <w:r>
        <w:rPr>
          <w:rStyle w:val="a7"/>
          <w:rFonts w:cs="Arial"/>
          <w:u w:val="single"/>
          <w:rtl/>
        </w:rPr>
        <w:footnoteReference w:id="1647"/>
      </w:r>
      <w:r w:rsidRPr="00784C1E">
        <w:rPr>
          <w:rFonts w:cs="Arial"/>
          <w:u w:val="single"/>
          <w:rtl/>
        </w:rPr>
        <w:t xml:space="preserve"> רבא לרב נחמן</w:t>
      </w:r>
      <w:r w:rsidRPr="004602D6">
        <w:rPr>
          <w:rFonts w:cs="Arial"/>
          <w:rtl/>
        </w:rPr>
        <w:t>: טעמא מאי</w:t>
      </w:r>
      <w:r>
        <w:rPr>
          <w:rStyle w:val="a7"/>
          <w:rFonts w:cs="Arial"/>
          <w:rtl/>
        </w:rPr>
        <w:footnoteReference w:id="1648"/>
      </w:r>
      <w:r w:rsidRPr="004602D6">
        <w:rPr>
          <w:rFonts w:cs="Arial"/>
          <w:rtl/>
        </w:rPr>
        <w:t>? דלא שביק איניש נפשיה ויהיב לאחריני</w:t>
      </w:r>
      <w:r>
        <w:rPr>
          <w:rStyle w:val="a7"/>
          <w:rFonts w:cs="Arial"/>
          <w:rtl/>
        </w:rPr>
        <w:footnoteReference w:id="1649"/>
      </w:r>
      <w:r w:rsidRPr="004602D6">
        <w:rPr>
          <w:rFonts w:cs="Arial"/>
          <w:rtl/>
        </w:rPr>
        <w:t>, ה"מ</w:t>
      </w:r>
      <w:r>
        <w:rPr>
          <w:rStyle w:val="a7"/>
          <w:rFonts w:cs="Arial"/>
          <w:rtl/>
        </w:rPr>
        <w:footnoteReference w:id="1650"/>
      </w:r>
      <w:r w:rsidRPr="004602D6">
        <w:rPr>
          <w:rFonts w:cs="Arial"/>
          <w:rtl/>
        </w:rPr>
        <w:t xml:space="preserve"> לאחריני, אבל לברתה יהיבא</w:t>
      </w:r>
      <w:r>
        <w:rPr>
          <w:rStyle w:val="a7"/>
          <w:rFonts w:cs="Arial"/>
          <w:rtl/>
        </w:rPr>
        <w:footnoteReference w:id="1651"/>
      </w:r>
      <w:r w:rsidRPr="004602D6">
        <w:rPr>
          <w:rFonts w:cs="Arial"/>
          <w:rtl/>
        </w:rPr>
        <w:t>! אפ"ה, במקום ברתה נפשה עדיפא לה. מיתיבי: הרוצה שתבריח נכסיה מבעלה, כיצד היא עושה? כותבת שטר פסים</w:t>
      </w:r>
      <w:r>
        <w:rPr>
          <w:rStyle w:val="a7"/>
          <w:rFonts w:cs="Arial"/>
          <w:rtl/>
        </w:rPr>
        <w:footnoteReference w:id="1652"/>
      </w:r>
      <w:r w:rsidRPr="004602D6">
        <w:rPr>
          <w:rFonts w:cs="Arial"/>
          <w:rtl/>
        </w:rPr>
        <w:t xml:space="preserve"> לאחרים, </w:t>
      </w:r>
      <w:r w:rsidRPr="00784C1E">
        <w:rPr>
          <w:rFonts w:cs="Arial"/>
          <w:u w:val="single"/>
          <w:rtl/>
        </w:rPr>
        <w:t>דברי רשב"ג</w:t>
      </w:r>
      <w:r>
        <w:rPr>
          <w:rFonts w:cs="Arial" w:hint="cs"/>
          <w:rtl/>
        </w:rPr>
        <w:t>.</w:t>
      </w:r>
      <w:r w:rsidRPr="004602D6">
        <w:rPr>
          <w:rFonts w:cs="Arial"/>
          <w:rtl/>
        </w:rPr>
        <w:t xml:space="preserve"> </w:t>
      </w:r>
      <w:r w:rsidRPr="00784C1E">
        <w:rPr>
          <w:rFonts w:cs="Arial"/>
          <w:u w:val="single"/>
          <w:rtl/>
        </w:rPr>
        <w:t>וחכ"א</w:t>
      </w:r>
      <w:r w:rsidRPr="004602D6">
        <w:rPr>
          <w:rFonts w:cs="Arial"/>
          <w:rtl/>
        </w:rPr>
        <w:t>: רצה</w:t>
      </w:r>
      <w:r>
        <w:rPr>
          <w:rStyle w:val="a7"/>
          <w:rFonts w:cs="Arial"/>
          <w:rtl/>
        </w:rPr>
        <w:footnoteReference w:id="1653"/>
      </w:r>
      <w:r w:rsidRPr="004602D6">
        <w:rPr>
          <w:rFonts w:cs="Arial"/>
          <w:rtl/>
        </w:rPr>
        <w:t xml:space="preserve"> מצחק בה</w:t>
      </w:r>
      <w:r>
        <w:rPr>
          <w:rStyle w:val="a7"/>
          <w:rFonts w:cs="Arial"/>
          <w:rtl/>
        </w:rPr>
        <w:footnoteReference w:id="1654"/>
      </w:r>
      <w:r w:rsidRPr="004602D6">
        <w:rPr>
          <w:rFonts w:cs="Arial"/>
          <w:rtl/>
        </w:rPr>
        <w:t>, עד שתכתוב</w:t>
      </w:r>
      <w:r>
        <w:rPr>
          <w:rStyle w:val="a7"/>
          <w:rFonts w:cs="Arial"/>
          <w:rtl/>
        </w:rPr>
        <w:footnoteReference w:id="1655"/>
      </w:r>
      <w:r w:rsidRPr="004602D6">
        <w:rPr>
          <w:rFonts w:cs="Arial"/>
          <w:rtl/>
        </w:rPr>
        <w:t xml:space="preserve"> לו מהיום ולכשארצה</w:t>
      </w:r>
      <w:r>
        <w:rPr>
          <w:rFonts w:cs="Arial" w:hint="cs"/>
          <w:rtl/>
        </w:rPr>
        <w:t>.</w:t>
      </w:r>
      <w:r w:rsidRPr="004602D6">
        <w:rPr>
          <w:rFonts w:cs="Arial"/>
          <w:rtl/>
        </w:rPr>
        <w:t xml:space="preserve"> טעמא דכתבה ליה הכי, הא לא כתבה ליה הכי - קננהי לוקח</w:t>
      </w:r>
      <w:r>
        <w:rPr>
          <w:rStyle w:val="a7"/>
          <w:rFonts w:cs="Arial"/>
          <w:rtl/>
        </w:rPr>
        <w:footnoteReference w:id="1656"/>
      </w:r>
      <w:r w:rsidRPr="004602D6">
        <w:rPr>
          <w:rFonts w:cs="Arial"/>
          <w:rtl/>
        </w:rPr>
        <w:t xml:space="preserve">! </w:t>
      </w:r>
      <w:r w:rsidRPr="00784C1E">
        <w:rPr>
          <w:rFonts w:cs="Arial"/>
          <w:u w:val="single"/>
          <w:rtl/>
        </w:rPr>
        <w:t>א"ר זירא</w:t>
      </w:r>
      <w:r>
        <w:rPr>
          <w:rFonts w:cs="Arial" w:hint="cs"/>
          <w:rtl/>
        </w:rPr>
        <w:t>:</w:t>
      </w:r>
      <w:r w:rsidRPr="004602D6">
        <w:rPr>
          <w:rFonts w:cs="Arial"/>
          <w:rtl/>
        </w:rPr>
        <w:t xml:space="preserve"> לא קשיא</w:t>
      </w:r>
      <w:r>
        <w:rPr>
          <w:rFonts w:cs="Arial" w:hint="cs"/>
          <w:rtl/>
        </w:rPr>
        <w:t>,</w:t>
      </w:r>
      <w:r w:rsidRPr="004602D6">
        <w:rPr>
          <w:rFonts w:cs="Arial"/>
          <w:rtl/>
        </w:rPr>
        <w:t xml:space="preserve"> הא בכולה</w:t>
      </w:r>
      <w:r>
        <w:rPr>
          <w:rStyle w:val="a7"/>
          <w:rFonts w:cs="Arial"/>
          <w:rtl/>
        </w:rPr>
        <w:footnoteReference w:id="1657"/>
      </w:r>
      <w:r w:rsidRPr="004602D6">
        <w:rPr>
          <w:rFonts w:cs="Arial"/>
          <w:rtl/>
        </w:rPr>
        <w:t>, הא במקצתה. ואי לא קננהי לוקח, ניקנינהו בעל</w:t>
      </w:r>
      <w:r>
        <w:rPr>
          <w:rStyle w:val="a7"/>
          <w:rFonts w:cs="Arial"/>
          <w:rtl/>
        </w:rPr>
        <w:footnoteReference w:id="1658"/>
      </w:r>
      <w:r w:rsidRPr="004602D6">
        <w:rPr>
          <w:rFonts w:cs="Arial"/>
          <w:rtl/>
        </w:rPr>
        <w:t xml:space="preserve">! </w:t>
      </w:r>
      <w:r w:rsidRPr="00784C1E">
        <w:rPr>
          <w:rFonts w:cs="Arial"/>
          <w:u w:val="single"/>
          <w:rtl/>
        </w:rPr>
        <w:t>אמר אביי</w:t>
      </w:r>
      <w:r w:rsidRPr="004602D6">
        <w:rPr>
          <w:rFonts w:cs="Arial"/>
          <w:rtl/>
        </w:rPr>
        <w:t>: עשאום כנכסים שאין ידועין</w:t>
      </w:r>
      <w:r>
        <w:rPr>
          <w:rStyle w:val="a7"/>
          <w:rFonts w:cs="Arial"/>
          <w:rtl/>
        </w:rPr>
        <w:footnoteReference w:id="1659"/>
      </w:r>
      <w:r w:rsidRPr="004602D6">
        <w:rPr>
          <w:rFonts w:cs="Arial"/>
          <w:rtl/>
        </w:rPr>
        <w:t xml:space="preserve"> לבעל, ואליבא דר"ש.</w:t>
      </w:r>
      <w:r>
        <w:rPr>
          <w:rFonts w:cs="Arial" w:hint="cs"/>
          <w:rtl/>
        </w:rPr>
        <w:t xml:space="preserve"> </w:t>
      </w:r>
      <w:r w:rsidRPr="00A55E91">
        <w:rPr>
          <w:rFonts w:cs="Arial" w:hint="cs"/>
          <w:sz w:val="16"/>
          <w:szCs w:val="16"/>
          <w:rtl/>
        </w:rPr>
        <w:t>(ומכאן כתב הטור ד</w:t>
      </w:r>
      <w:r w:rsidRPr="00A55E91">
        <w:rPr>
          <w:rFonts w:cs="Arial"/>
          <w:sz w:val="16"/>
          <w:szCs w:val="16"/>
          <w:rtl/>
        </w:rPr>
        <w:t>אם נתנה מתנה לאחר קודם שניסת</w:t>
      </w:r>
      <w:r w:rsidRPr="00A55E91">
        <w:rPr>
          <w:rFonts w:cs="Arial" w:hint="cs"/>
          <w:sz w:val="16"/>
          <w:szCs w:val="16"/>
          <w:rtl/>
        </w:rPr>
        <w:t>... -</w:t>
      </w:r>
      <w:r w:rsidRPr="00A55E91">
        <w:rPr>
          <w:rFonts w:cs="Arial"/>
          <w:sz w:val="16"/>
          <w:szCs w:val="16"/>
          <w:rtl/>
        </w:rPr>
        <w:t xml:space="preserve"> אין הבעל אוכל פירות</w:t>
      </w:r>
      <w:r w:rsidRPr="00A55E91">
        <w:rPr>
          <w:rFonts w:cs="Arial" w:hint="cs"/>
          <w:sz w:val="16"/>
          <w:szCs w:val="16"/>
          <w:rtl/>
        </w:rPr>
        <w:t>)</w:t>
      </w:r>
    </w:p>
    <w:p w14:paraId="3CF81AC2" w14:textId="77777777" w:rsidR="002E5BAD" w:rsidRDefault="002E5BAD" w:rsidP="002E5BAD">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 xml:space="preserve">עט ע"א: </w:t>
      </w:r>
      <w:r w:rsidRPr="00493909">
        <w:rPr>
          <w:rFonts w:cs="Arial"/>
          <w:u w:val="double"/>
          <w:rtl/>
        </w:rPr>
        <w:t>מתני'</w:t>
      </w:r>
      <w:r>
        <w:rPr>
          <w:rFonts w:cs="Arial" w:hint="cs"/>
          <w:rtl/>
        </w:rPr>
        <w:t>:</w:t>
      </w:r>
      <w:r w:rsidRPr="008E4222">
        <w:rPr>
          <w:rFonts w:cs="Arial"/>
          <w:rtl/>
        </w:rPr>
        <w:t xml:space="preserve"> נפלו לה כספים - ילקח בהן קרקע והוא אוכל פירות</w:t>
      </w:r>
      <w:r>
        <w:rPr>
          <w:rFonts w:cs="Arial" w:hint="cs"/>
          <w:rtl/>
        </w:rPr>
        <w:t>..</w:t>
      </w:r>
      <w:r w:rsidRPr="008E4222">
        <w:rPr>
          <w:rFonts w:cs="Arial"/>
          <w:rtl/>
        </w:rPr>
        <w:t xml:space="preserve">. </w:t>
      </w:r>
    </w:p>
    <w:p w14:paraId="15276630" w14:textId="77777777" w:rsidR="002E5BAD" w:rsidRDefault="002E5BAD" w:rsidP="002E5BAD">
      <w:pPr>
        <w:rPr>
          <w:rFonts w:cs="Arial"/>
          <w:rtl/>
        </w:rPr>
      </w:pPr>
      <w:r w:rsidRPr="004602D6">
        <w:rPr>
          <w:rFonts w:cs="Arial" w:hint="cs"/>
          <w:b/>
          <w:bCs/>
          <w:rtl/>
        </w:rPr>
        <w:t xml:space="preserve">בבא קמא </w:t>
      </w:r>
      <w:r>
        <w:rPr>
          <w:rFonts w:cs="Arial" w:hint="cs"/>
          <w:b/>
          <w:bCs/>
          <w:sz w:val="16"/>
          <w:szCs w:val="16"/>
          <w:rtl/>
        </w:rPr>
        <w:t xml:space="preserve">(פ' החובל) </w:t>
      </w:r>
      <w:r w:rsidRPr="004602D6">
        <w:rPr>
          <w:rFonts w:cs="Arial" w:hint="cs"/>
          <w:b/>
          <w:bCs/>
          <w:rtl/>
        </w:rPr>
        <w:t xml:space="preserve">פט ע"א: </w:t>
      </w:r>
      <w:r w:rsidRPr="004602D6">
        <w:rPr>
          <w:rFonts w:cs="Arial"/>
          <w:u w:val="single"/>
          <w:rtl/>
        </w:rPr>
        <w:t>אמר רבא</w:t>
      </w:r>
      <w:r>
        <w:rPr>
          <w:rFonts w:cs="Arial" w:hint="cs"/>
          <w:rtl/>
        </w:rPr>
        <w:t>:</w:t>
      </w:r>
      <w:r w:rsidRPr="004602D6">
        <w:rPr>
          <w:rFonts w:cs="Arial"/>
          <w:rtl/>
        </w:rPr>
        <w:t xml:space="preserve"> הלכתא</w:t>
      </w:r>
      <w:r>
        <w:rPr>
          <w:rFonts w:cs="Arial" w:hint="cs"/>
          <w:rtl/>
        </w:rPr>
        <w:t>,</w:t>
      </w:r>
      <w:r w:rsidRPr="004602D6">
        <w:rPr>
          <w:rFonts w:cs="Arial"/>
          <w:rtl/>
        </w:rPr>
        <w:t xml:space="preserve"> טובת הנאה לאשה, ואין הבעל אוכל פירות</w:t>
      </w:r>
      <w:r>
        <w:rPr>
          <w:rFonts w:cs="Arial" w:hint="cs"/>
          <w:rtl/>
        </w:rPr>
        <w:t>.</w:t>
      </w:r>
      <w:r w:rsidRPr="004602D6">
        <w:rPr>
          <w:rFonts w:cs="Arial"/>
          <w:rtl/>
        </w:rPr>
        <w:t xml:space="preserve"> מאי טעמא? פירא תקינו ליה רבנן, פירא דפירא לא תקינו ליה רבנן.</w:t>
      </w:r>
    </w:p>
    <w:p w14:paraId="2387ED85" w14:textId="77777777" w:rsidR="002E5BAD" w:rsidRPr="00972886" w:rsidRDefault="002E5BAD" w:rsidP="002E5BAD">
      <w:pPr>
        <w:rPr>
          <w:u w:val="single"/>
          <w:rtl/>
        </w:rPr>
      </w:pPr>
      <w:r w:rsidRPr="00972886">
        <w:rPr>
          <w:rFonts w:hint="cs"/>
          <w:u w:val="single"/>
          <w:rtl/>
        </w:rPr>
        <w:t>נכסים שבאו לידה לאחר שנשאה:</w:t>
      </w:r>
    </w:p>
    <w:p w14:paraId="30AFD5FE" w14:textId="77777777" w:rsidR="002E5BAD" w:rsidRDefault="002E5BAD" w:rsidP="002E5BAD">
      <w:pPr>
        <w:pStyle w:val="ab"/>
        <w:numPr>
          <w:ilvl w:val="0"/>
          <w:numId w:val="178"/>
        </w:numPr>
      </w:pPr>
      <w:r>
        <w:rPr>
          <w:rFonts w:cs="Arial" w:hint="cs"/>
          <w:rtl/>
        </w:rPr>
        <w:t xml:space="preserve">טור- </w:t>
      </w:r>
      <w:r w:rsidRPr="007A228B">
        <w:rPr>
          <w:rFonts w:cs="Arial"/>
          <w:rtl/>
        </w:rPr>
        <w:t>באו לידה אחר שנשאה</w:t>
      </w:r>
      <w:r>
        <w:rPr>
          <w:rFonts w:cs="Arial" w:hint="cs"/>
          <w:rtl/>
        </w:rPr>
        <w:t>,</w:t>
      </w:r>
      <w:r w:rsidRPr="007A228B">
        <w:rPr>
          <w:rFonts w:cs="Arial"/>
          <w:rtl/>
        </w:rPr>
        <w:t xml:space="preserve"> בין שבאו לידה בירושה</w:t>
      </w:r>
      <w:r>
        <w:rPr>
          <w:rFonts w:cs="Arial" w:hint="cs"/>
          <w:rtl/>
        </w:rPr>
        <w:t>,</w:t>
      </w:r>
      <w:r w:rsidRPr="007A228B">
        <w:rPr>
          <w:rFonts w:cs="Arial"/>
          <w:rtl/>
        </w:rPr>
        <w:t xml:space="preserve"> או שניתנו לה במתנה</w:t>
      </w:r>
      <w:r>
        <w:rPr>
          <w:rFonts w:cs="Arial" w:hint="cs"/>
          <w:rtl/>
        </w:rPr>
        <w:t>,</w:t>
      </w:r>
      <w:r w:rsidRPr="007A228B">
        <w:rPr>
          <w:rFonts w:cs="Arial"/>
          <w:rtl/>
        </w:rPr>
        <w:t xml:space="preserve"> או שחבלו בה ונתנו לה חלקה בבושתה ופגמה </w:t>
      </w:r>
      <w:r>
        <w:rPr>
          <w:rFonts w:cs="Arial" w:hint="cs"/>
          <w:rtl/>
        </w:rPr>
        <w:t xml:space="preserve">- </w:t>
      </w:r>
      <w:r w:rsidRPr="007A228B">
        <w:rPr>
          <w:rFonts w:cs="Arial"/>
          <w:rtl/>
        </w:rPr>
        <w:t>נקראים נכסי מלוג</w:t>
      </w:r>
      <w:r>
        <w:rPr>
          <w:rFonts w:cs="Arial" w:hint="cs"/>
          <w:rtl/>
        </w:rPr>
        <w:t>,</w:t>
      </w:r>
      <w:r w:rsidRPr="007A228B">
        <w:rPr>
          <w:rFonts w:cs="Arial"/>
          <w:rtl/>
        </w:rPr>
        <w:t xml:space="preserve"> </w:t>
      </w:r>
      <w:r>
        <w:rPr>
          <w:rFonts w:cs="Arial" w:hint="cs"/>
          <w:rtl/>
        </w:rPr>
        <w:t>כ</w:t>
      </w:r>
      <w:r w:rsidRPr="007A228B">
        <w:rPr>
          <w:rFonts w:cs="Arial"/>
          <w:rtl/>
        </w:rPr>
        <w:t>אותן שהכניסה לו ולא קבלם באחריות</w:t>
      </w:r>
      <w:r>
        <w:rPr>
          <w:rFonts w:cs="Arial" w:hint="cs"/>
          <w:rtl/>
        </w:rPr>
        <w:t>.</w:t>
      </w:r>
      <w:r w:rsidRPr="007A228B">
        <w:rPr>
          <w:rFonts w:cs="Arial"/>
          <w:rtl/>
        </w:rPr>
        <w:t xml:space="preserve"> חוץ מאשה שמכרה כתובתה ונדוניתה בטובת הנאה</w:t>
      </w:r>
      <w:r>
        <w:rPr>
          <w:rFonts w:cs="Arial" w:hint="cs"/>
          <w:rtl/>
        </w:rPr>
        <w:t>,</w:t>
      </w:r>
      <w:r w:rsidRPr="007A228B">
        <w:rPr>
          <w:rFonts w:cs="Arial"/>
          <w:rtl/>
        </w:rPr>
        <w:t xml:space="preserve"> פירוש בדבר מועט</w:t>
      </w:r>
      <w:r>
        <w:rPr>
          <w:rFonts w:cs="Arial" w:hint="cs"/>
          <w:rtl/>
        </w:rPr>
        <w:t>,</w:t>
      </w:r>
      <w:r w:rsidRPr="007A228B">
        <w:rPr>
          <w:rFonts w:cs="Arial"/>
          <w:rtl/>
        </w:rPr>
        <w:t xml:space="preserve"> שאם תתאלמן או תתגרש שיקחם הלוקח אותן הדמים אין הבעל אוכל פירותיהן</w:t>
      </w:r>
      <w:r>
        <w:rPr>
          <w:rFonts w:cs="Arial" w:hint="cs"/>
          <w:rtl/>
        </w:rPr>
        <w:t>.</w:t>
      </w:r>
      <w:r w:rsidRPr="007A228B">
        <w:rPr>
          <w:rFonts w:cs="Arial"/>
          <w:rtl/>
        </w:rPr>
        <w:t xml:space="preserve"> וכן אם נתנה מתנה לאחר קודם שניסת</w:t>
      </w:r>
      <w:r>
        <w:rPr>
          <w:rFonts w:cs="Arial" w:hint="cs"/>
          <w:rtl/>
        </w:rPr>
        <w:t>,</w:t>
      </w:r>
      <w:r w:rsidRPr="007A228B">
        <w:rPr>
          <w:rFonts w:cs="Arial"/>
          <w:rtl/>
        </w:rPr>
        <w:t xml:space="preserve"> אף על פי שאין המתנה מתנה כדלקמן</w:t>
      </w:r>
      <w:r>
        <w:rPr>
          <w:rFonts w:cs="Arial" w:hint="cs"/>
          <w:rtl/>
        </w:rPr>
        <w:t>,</w:t>
      </w:r>
      <w:r w:rsidRPr="007A228B">
        <w:rPr>
          <w:rFonts w:cs="Arial"/>
          <w:rtl/>
        </w:rPr>
        <w:t xml:space="preserve"> אפ"ה אין הבעל אוכל פירות</w:t>
      </w:r>
      <w:r>
        <w:rPr>
          <w:rFonts w:cs="Arial" w:hint="cs"/>
          <w:rtl/>
        </w:rPr>
        <w:t>.</w:t>
      </w:r>
      <w:r w:rsidRPr="007A228B">
        <w:rPr>
          <w:rFonts w:cs="Arial"/>
          <w:rtl/>
        </w:rPr>
        <w:t xml:space="preserve"> </w:t>
      </w:r>
      <w:r w:rsidRPr="00137671">
        <w:rPr>
          <w:rFonts w:hint="cs"/>
          <w:color w:val="E36C0A" w:themeColor="accent6" w:themeShade="BF"/>
          <w:rtl/>
        </w:rPr>
        <w:t>(וכ"פ בשו"ע)</w:t>
      </w:r>
    </w:p>
    <w:p w14:paraId="64B14079" w14:textId="77777777" w:rsidR="002E5BAD" w:rsidRPr="00182F34" w:rsidRDefault="002E5BAD" w:rsidP="002E5BAD">
      <w:pPr>
        <w:rPr>
          <w:rFonts w:cs="Arial"/>
          <w:rtl/>
        </w:rPr>
      </w:pPr>
      <w:r w:rsidRPr="00182F34">
        <w:rPr>
          <w:rFonts w:cs="Arial" w:hint="cs"/>
          <w:b/>
          <w:bCs/>
          <w:rtl/>
        </w:rPr>
        <w:t>גיטין</w:t>
      </w:r>
      <w:r w:rsidRPr="00182F34">
        <w:rPr>
          <w:rFonts w:cs="Arial" w:hint="cs"/>
          <w:b/>
          <w:bCs/>
          <w:sz w:val="16"/>
          <w:szCs w:val="16"/>
          <w:rtl/>
        </w:rPr>
        <w:t xml:space="preserve"> (פ' הזורק)</w:t>
      </w:r>
      <w:r w:rsidRPr="00182F34">
        <w:rPr>
          <w:rFonts w:cs="Arial" w:hint="cs"/>
          <w:b/>
          <w:bCs/>
          <w:rtl/>
        </w:rPr>
        <w:t xml:space="preserve"> עז ע"ב: </w:t>
      </w:r>
      <w:r w:rsidRPr="00182F34">
        <w:rPr>
          <w:rFonts w:cs="Arial"/>
          <w:rtl/>
        </w:rPr>
        <w:t xml:space="preserve">ההוא שכיב מרע דכתב לה גיטא לדביתהו בהדי פניא דמעלי שבתא ולא הספיק למיתביה לה, למחר תקף ליה עלמא, </w:t>
      </w:r>
      <w:r w:rsidRPr="00182F34">
        <w:rPr>
          <w:rFonts w:cs="Arial"/>
          <w:u w:val="single"/>
          <w:rtl/>
        </w:rPr>
        <w:t>אתו לקמיה דרבא, אמר להו</w:t>
      </w:r>
      <w:r w:rsidRPr="00182F34">
        <w:rPr>
          <w:rFonts w:cs="Arial"/>
          <w:rtl/>
        </w:rPr>
        <w:t xml:space="preserve">: זילו אמרו ליה ליקניה ניהלה לההוא דוכתא דיתיב ביה גיטא, ותיזל איהי ותיחוד ותפתח ותחזיק ביה, דתנן: נעל, גדר, פרץ כל שהוא - הרי זו חזקה. </w:t>
      </w:r>
      <w:r w:rsidRPr="00182F34">
        <w:rPr>
          <w:rFonts w:cs="Arial"/>
          <w:u w:val="single"/>
          <w:rtl/>
        </w:rPr>
        <w:t>אמר ליה רב עיליש לרבא</w:t>
      </w:r>
      <w:r w:rsidRPr="00182F34">
        <w:rPr>
          <w:rFonts w:cs="Arial"/>
          <w:rtl/>
        </w:rPr>
        <w:t>: מה שקנתה אשה קנה בעלה! איכסיף.</w:t>
      </w:r>
      <w:r w:rsidRPr="00182F34">
        <w:rPr>
          <w:rFonts w:cs="Arial" w:hint="cs"/>
          <w:rtl/>
        </w:rPr>
        <w:t>..</w:t>
      </w:r>
      <w:r w:rsidRPr="00182F34">
        <w:rPr>
          <w:rFonts w:cs="Arial"/>
          <w:rtl/>
        </w:rPr>
        <w:t xml:space="preserve"> </w:t>
      </w:r>
    </w:p>
    <w:p w14:paraId="7F033B91" w14:textId="77777777" w:rsidR="002E5BAD" w:rsidRDefault="002E5BAD" w:rsidP="002E5BAD">
      <w:pPr>
        <w:rPr>
          <w:rFonts w:cs="Arial"/>
          <w:rtl/>
        </w:rPr>
      </w:pPr>
      <w:r w:rsidRPr="004602D6">
        <w:rPr>
          <w:rFonts w:cs="Arial" w:hint="cs"/>
          <w:b/>
          <w:bCs/>
          <w:rtl/>
        </w:rPr>
        <w:t xml:space="preserve">בבא </w:t>
      </w:r>
      <w:r>
        <w:rPr>
          <w:rFonts w:cs="Arial" w:hint="cs"/>
          <w:b/>
          <w:bCs/>
          <w:rtl/>
        </w:rPr>
        <w:t>בתרא</w:t>
      </w:r>
      <w:r w:rsidRPr="004602D6">
        <w:rPr>
          <w:rFonts w:cs="Arial" w:hint="cs"/>
          <w:b/>
          <w:bCs/>
          <w:rtl/>
        </w:rPr>
        <w:t xml:space="preserve"> </w:t>
      </w:r>
      <w:r>
        <w:rPr>
          <w:rFonts w:cs="Arial" w:hint="cs"/>
          <w:b/>
          <w:bCs/>
          <w:sz w:val="16"/>
          <w:szCs w:val="16"/>
          <w:rtl/>
        </w:rPr>
        <w:t xml:space="preserve">(פ' חזקת) </w:t>
      </w:r>
      <w:r>
        <w:rPr>
          <w:rFonts w:cs="Arial" w:hint="cs"/>
          <w:b/>
          <w:bCs/>
          <w:rtl/>
        </w:rPr>
        <w:t>נא</w:t>
      </w:r>
      <w:r w:rsidRPr="004602D6">
        <w:rPr>
          <w:rFonts w:cs="Arial" w:hint="cs"/>
          <w:b/>
          <w:bCs/>
          <w:rtl/>
        </w:rPr>
        <w:t xml:space="preserve"> ע"</w:t>
      </w:r>
      <w:r>
        <w:rPr>
          <w:rFonts w:cs="Arial" w:hint="cs"/>
          <w:b/>
          <w:bCs/>
          <w:rtl/>
        </w:rPr>
        <w:t>ב</w:t>
      </w:r>
      <w:r w:rsidRPr="004602D6">
        <w:rPr>
          <w:rFonts w:cs="Arial" w:hint="cs"/>
          <w:b/>
          <w:bCs/>
          <w:rtl/>
        </w:rPr>
        <w:t>:</w:t>
      </w:r>
      <w:r>
        <w:rPr>
          <w:rFonts w:cs="Arial" w:hint="cs"/>
          <w:rtl/>
        </w:rPr>
        <w:t xml:space="preserve"> </w:t>
      </w:r>
      <w:r w:rsidRPr="00F34153">
        <w:rPr>
          <w:rFonts w:cs="Arial"/>
          <w:u w:val="single"/>
          <w:rtl/>
        </w:rPr>
        <w:t>אמר רב</w:t>
      </w:r>
      <w:r w:rsidRPr="00F34153">
        <w:rPr>
          <w:rFonts w:cs="Arial"/>
          <w:rtl/>
        </w:rPr>
        <w:t>: המוכר שדה לאשתו - קנתה, והבעל אוכל פירות, במתנה - קנתה, ואין הבעל אוכל פירות</w:t>
      </w:r>
      <w:r>
        <w:rPr>
          <w:rFonts w:cs="Arial" w:hint="cs"/>
          <w:rtl/>
        </w:rPr>
        <w:t>.</w:t>
      </w:r>
      <w:r w:rsidRPr="00F34153">
        <w:rPr>
          <w:rFonts w:cs="Arial"/>
          <w:rtl/>
        </w:rPr>
        <w:t xml:space="preserve"> </w:t>
      </w:r>
      <w:r w:rsidRPr="00F34153">
        <w:rPr>
          <w:rFonts w:cs="Arial"/>
          <w:u w:val="single"/>
          <w:rtl/>
        </w:rPr>
        <w:t>ורבי אלעזר אמר</w:t>
      </w:r>
      <w:r w:rsidRPr="00F34153">
        <w:rPr>
          <w:rFonts w:cs="Arial"/>
          <w:rtl/>
        </w:rPr>
        <w:t xml:space="preserve">: אחד זה ואחד זה - קנתה, ואין הבעל אוכל פירות. </w:t>
      </w:r>
      <w:r w:rsidRPr="00F34153">
        <w:rPr>
          <w:rFonts w:cs="Arial"/>
          <w:u w:val="single"/>
          <w:rtl/>
        </w:rPr>
        <w:t>עבד רב חסדא</w:t>
      </w:r>
      <w:r w:rsidRPr="00F34153">
        <w:rPr>
          <w:rFonts w:cs="Arial"/>
          <w:rtl/>
        </w:rPr>
        <w:t xml:space="preserve"> עובדא כרבי אלעזר. </w:t>
      </w:r>
      <w:r w:rsidRPr="00F34153">
        <w:rPr>
          <w:rFonts w:cs="Arial"/>
          <w:u w:val="single"/>
          <w:rtl/>
        </w:rPr>
        <w:t>אמרו ליה רבן עוקבא ורבן נחמיה בני בנתיה דרב לרב חסדא</w:t>
      </w:r>
      <w:r w:rsidRPr="00F34153">
        <w:rPr>
          <w:rFonts w:cs="Arial"/>
          <w:rtl/>
        </w:rPr>
        <w:t xml:space="preserve">: שביק מר רברבי ועביד כזוטרי? </w:t>
      </w:r>
      <w:r w:rsidRPr="00F34153">
        <w:rPr>
          <w:rFonts w:cs="Arial"/>
          <w:u w:val="single"/>
          <w:rtl/>
        </w:rPr>
        <w:t>א"ל</w:t>
      </w:r>
      <w:r w:rsidRPr="00F34153">
        <w:rPr>
          <w:rFonts w:cs="Arial"/>
          <w:rtl/>
        </w:rPr>
        <w:t xml:space="preserve">: ואנא נמי כרברבי עבדי, דכי אתא רבין אמר ר' יוחנן: אחד זה ואחד זה - קנתה, ואין הבעל אוכל פירות. </w:t>
      </w:r>
      <w:r w:rsidRPr="00F34153">
        <w:rPr>
          <w:rFonts w:cs="Arial"/>
          <w:u w:val="single"/>
          <w:rtl/>
        </w:rPr>
        <w:t>אמר רבא</w:t>
      </w:r>
      <w:r>
        <w:rPr>
          <w:rFonts w:cs="Arial" w:hint="cs"/>
          <w:rtl/>
        </w:rPr>
        <w:t>:</w:t>
      </w:r>
      <w:r w:rsidRPr="00F34153">
        <w:rPr>
          <w:rFonts w:cs="Arial"/>
          <w:rtl/>
        </w:rPr>
        <w:t xml:space="preserve"> הלכתא</w:t>
      </w:r>
      <w:r>
        <w:rPr>
          <w:rFonts w:cs="Arial" w:hint="cs"/>
          <w:rtl/>
        </w:rPr>
        <w:t>,</w:t>
      </w:r>
      <w:r w:rsidRPr="00F34153">
        <w:rPr>
          <w:rFonts w:cs="Arial"/>
          <w:rtl/>
        </w:rPr>
        <w:t xml:space="preserve"> המוכר שדה לאשתו - לא קנתה, והבעל אוכל פירות</w:t>
      </w:r>
      <w:r>
        <w:rPr>
          <w:rFonts w:cs="Arial" w:hint="cs"/>
          <w:rtl/>
        </w:rPr>
        <w:t>.</w:t>
      </w:r>
      <w:r w:rsidRPr="00F34153">
        <w:rPr>
          <w:rFonts w:cs="Arial"/>
          <w:rtl/>
        </w:rPr>
        <w:t xml:space="preserve"> במתנה - קנתה, ואין הבעל אוכל פירות. </w:t>
      </w:r>
      <w:r>
        <w:rPr>
          <w:rFonts w:cs="Arial" w:hint="cs"/>
          <w:sz w:val="16"/>
          <w:szCs w:val="16"/>
          <w:rtl/>
        </w:rPr>
        <w:t>(</w:t>
      </w:r>
      <w:r w:rsidRPr="00182F34">
        <w:rPr>
          <w:rFonts w:cs="Arial"/>
          <w:sz w:val="16"/>
          <w:szCs w:val="16"/>
          <w:rtl/>
        </w:rPr>
        <w:t>ו</w:t>
      </w:r>
      <w:r>
        <w:rPr>
          <w:rFonts w:cs="Arial" w:hint="cs"/>
          <w:sz w:val="16"/>
          <w:szCs w:val="16"/>
          <w:rtl/>
        </w:rPr>
        <w:t>כתב ה</w:t>
      </w:r>
      <w:r w:rsidRPr="00182F34">
        <w:rPr>
          <w:rFonts w:cs="Arial" w:hint="cs"/>
          <w:sz w:val="16"/>
          <w:szCs w:val="16"/>
          <w:rtl/>
        </w:rPr>
        <w:t>רא"ש</w:t>
      </w:r>
      <w:r w:rsidRPr="00182F34">
        <w:rPr>
          <w:rFonts w:cs="Arial"/>
          <w:sz w:val="16"/>
          <w:szCs w:val="16"/>
          <w:rtl/>
        </w:rPr>
        <w:t xml:space="preserve"> (</w:t>
      </w:r>
      <w:r w:rsidRPr="00182F34">
        <w:rPr>
          <w:rFonts w:cs="Arial" w:hint="cs"/>
          <w:sz w:val="16"/>
          <w:szCs w:val="16"/>
          <w:rtl/>
        </w:rPr>
        <w:t xml:space="preserve">ב"ב פ"ג </w:t>
      </w:r>
      <w:r w:rsidRPr="00182F34">
        <w:rPr>
          <w:rFonts w:cs="Arial"/>
          <w:sz w:val="16"/>
          <w:szCs w:val="16"/>
          <w:rtl/>
        </w:rPr>
        <w:t>סי' נד)</w:t>
      </w:r>
      <w:r>
        <w:rPr>
          <w:rFonts w:cs="Arial" w:hint="cs"/>
          <w:sz w:val="16"/>
          <w:szCs w:val="16"/>
          <w:rtl/>
        </w:rPr>
        <w:t xml:space="preserve"> ד</w:t>
      </w:r>
      <w:r w:rsidRPr="00182F34">
        <w:rPr>
          <w:rFonts w:cs="Arial"/>
          <w:sz w:val="16"/>
          <w:szCs w:val="16"/>
          <w:rtl/>
        </w:rPr>
        <w:t>קשה מהא דאמרינן בפרק הזורק (גיטין עז:) ההוא שכיב מרע דכתב גיטא לדביתהו אתא לקמיה דרבא אמר ליקנייה לההוא דוכתא דמנח ביה גיטא אמר ליה רב עיליש מה שקנתה אשה קנה בעלה איכסיף רבא</w:t>
      </w:r>
      <w:r>
        <w:rPr>
          <w:rFonts w:cs="Arial" w:hint="cs"/>
          <w:sz w:val="16"/>
          <w:szCs w:val="16"/>
          <w:rtl/>
        </w:rPr>
        <w:t>,</w:t>
      </w:r>
      <w:r w:rsidRPr="00182F34">
        <w:rPr>
          <w:rFonts w:cs="Arial" w:hint="cs"/>
          <w:sz w:val="16"/>
          <w:szCs w:val="16"/>
          <w:rtl/>
        </w:rPr>
        <w:t xml:space="preserve"> </w:t>
      </w:r>
      <w:r w:rsidRPr="00182F34">
        <w:rPr>
          <w:rFonts w:cs="Arial"/>
          <w:sz w:val="16"/>
          <w:szCs w:val="16"/>
          <w:rtl/>
        </w:rPr>
        <w:t>ואמאי איכסיף והא במתנה אין הבעל אוכל פירות ואם כן לא קנה בעלה</w:t>
      </w:r>
      <w:r w:rsidRPr="00182F34">
        <w:rPr>
          <w:rFonts w:cs="Arial" w:hint="cs"/>
          <w:sz w:val="16"/>
          <w:szCs w:val="16"/>
          <w:rtl/>
        </w:rPr>
        <w:t>.</w:t>
      </w:r>
      <w:r w:rsidRPr="00182F34">
        <w:rPr>
          <w:rFonts w:cs="Arial"/>
          <w:sz w:val="16"/>
          <w:szCs w:val="16"/>
          <w:rtl/>
        </w:rPr>
        <w:t xml:space="preserve"> ויש מתרצים דשאני התם שלא היתה מתנה גמורה אלא שאלה בעלמא עד שתתגרש</w:t>
      </w:r>
      <w:r w:rsidRPr="00182F34">
        <w:rPr>
          <w:rFonts w:cs="Arial" w:hint="cs"/>
          <w:sz w:val="16"/>
          <w:szCs w:val="16"/>
          <w:rtl/>
        </w:rPr>
        <w:t>.</w:t>
      </w:r>
      <w:r w:rsidRPr="00182F34">
        <w:rPr>
          <w:rFonts w:cs="Arial"/>
          <w:sz w:val="16"/>
          <w:szCs w:val="16"/>
          <w:rtl/>
        </w:rPr>
        <w:t xml:space="preserve"> ולא מסתבר לי</w:t>
      </w:r>
      <w:r w:rsidRPr="00182F34">
        <w:rPr>
          <w:rFonts w:cs="Arial" w:hint="cs"/>
          <w:sz w:val="16"/>
          <w:szCs w:val="16"/>
          <w:rtl/>
        </w:rPr>
        <w:t>.</w:t>
      </w:r>
      <w:r w:rsidRPr="00182F34">
        <w:rPr>
          <w:rFonts w:cs="Arial"/>
          <w:sz w:val="16"/>
          <w:szCs w:val="16"/>
          <w:rtl/>
        </w:rPr>
        <w:t xml:space="preserve"> ור"ת תירץ דזכיית הבעל אין תלויה באכילת פירות</w:t>
      </w:r>
      <w:r w:rsidRPr="00182F34">
        <w:rPr>
          <w:rFonts w:cs="Arial" w:hint="cs"/>
          <w:sz w:val="16"/>
          <w:szCs w:val="16"/>
          <w:rtl/>
        </w:rPr>
        <w:t>,</w:t>
      </w:r>
      <w:r w:rsidRPr="00182F34">
        <w:rPr>
          <w:rFonts w:cs="Arial"/>
          <w:sz w:val="16"/>
          <w:szCs w:val="16"/>
          <w:rtl/>
        </w:rPr>
        <w:t xml:space="preserve"> דהא רבא (יבמות לו.) סבר כריש לקיש דקנין פירות לאו כקנין הגוף דמי</w:t>
      </w:r>
      <w:r w:rsidRPr="00182F34">
        <w:rPr>
          <w:rFonts w:cs="Arial" w:hint="cs"/>
          <w:sz w:val="16"/>
          <w:szCs w:val="16"/>
          <w:rtl/>
        </w:rPr>
        <w:t>.</w:t>
      </w:r>
      <w:r w:rsidRPr="00182F34">
        <w:rPr>
          <w:rFonts w:cs="Arial"/>
          <w:sz w:val="16"/>
          <w:szCs w:val="16"/>
          <w:rtl/>
        </w:rPr>
        <w:t xml:space="preserve"> אם כן אפילו יש לבעל פירות אין מפקיע קנין הגוף של האשה</w:t>
      </w:r>
      <w:r w:rsidRPr="00182F34">
        <w:rPr>
          <w:rFonts w:cs="Arial" w:hint="cs"/>
          <w:sz w:val="16"/>
          <w:szCs w:val="16"/>
          <w:rtl/>
        </w:rPr>
        <w:t>,</w:t>
      </w:r>
      <w:r w:rsidRPr="00182F34">
        <w:rPr>
          <w:rFonts w:cs="Arial"/>
          <w:sz w:val="16"/>
          <w:szCs w:val="16"/>
          <w:rtl/>
        </w:rPr>
        <w:t xml:space="preserve"> אלא בהא תליא הזכייה</w:t>
      </w:r>
      <w:r w:rsidRPr="00182F34">
        <w:rPr>
          <w:rFonts w:cs="Arial" w:hint="cs"/>
          <w:sz w:val="16"/>
          <w:szCs w:val="16"/>
          <w:rtl/>
        </w:rPr>
        <w:t xml:space="preserve">  -</w:t>
      </w:r>
      <w:r w:rsidRPr="00182F34">
        <w:rPr>
          <w:rFonts w:cs="Arial"/>
          <w:sz w:val="16"/>
          <w:szCs w:val="16"/>
          <w:rtl/>
        </w:rPr>
        <w:t xml:space="preserve"> כיון דאם מכרה ונתנה בטל</w:t>
      </w:r>
      <w:r w:rsidRPr="00182F34">
        <w:rPr>
          <w:rFonts w:cs="Arial" w:hint="cs"/>
          <w:sz w:val="16"/>
          <w:szCs w:val="16"/>
          <w:rtl/>
        </w:rPr>
        <w:t>.</w:t>
      </w:r>
      <w:r w:rsidRPr="00182F34">
        <w:rPr>
          <w:rFonts w:cs="Arial"/>
          <w:sz w:val="16"/>
          <w:szCs w:val="16"/>
          <w:rtl/>
        </w:rPr>
        <w:t xml:space="preserve"> דהכי מסתבר</w:t>
      </w:r>
      <w:r w:rsidRPr="00182F34">
        <w:rPr>
          <w:rFonts w:cs="Arial" w:hint="cs"/>
          <w:sz w:val="16"/>
          <w:szCs w:val="16"/>
          <w:rtl/>
        </w:rPr>
        <w:t>,</w:t>
      </w:r>
      <w:r w:rsidRPr="00182F34">
        <w:rPr>
          <w:rFonts w:cs="Arial"/>
          <w:sz w:val="16"/>
          <w:szCs w:val="16"/>
          <w:rtl/>
        </w:rPr>
        <w:t xml:space="preserve"> דאע"ג שנתן לה בעין יפה שאפילו הפירות לא יאכל</w:t>
      </w:r>
      <w:r w:rsidRPr="00182F34">
        <w:rPr>
          <w:rFonts w:cs="Arial" w:hint="cs"/>
          <w:sz w:val="16"/>
          <w:szCs w:val="16"/>
          <w:rtl/>
        </w:rPr>
        <w:t>,</w:t>
      </w:r>
      <w:r w:rsidRPr="00182F34">
        <w:rPr>
          <w:rFonts w:cs="Arial"/>
          <w:sz w:val="16"/>
          <w:szCs w:val="16"/>
          <w:rtl/>
        </w:rPr>
        <w:t xml:space="preserve"> מכל מקום אין רוצה שיצא הקרקע מלפניו</w:t>
      </w:r>
      <w:r w:rsidRPr="00182F34">
        <w:rPr>
          <w:rFonts w:cs="Arial" w:hint="cs"/>
          <w:sz w:val="16"/>
          <w:szCs w:val="16"/>
          <w:rtl/>
        </w:rPr>
        <w:t>,</w:t>
      </w:r>
      <w:r w:rsidRPr="00182F34">
        <w:rPr>
          <w:rFonts w:cs="Arial"/>
          <w:sz w:val="16"/>
          <w:szCs w:val="16"/>
          <w:rtl/>
        </w:rPr>
        <w:t xml:space="preserve"> אלא נתן לה בעין יפה שתהנה מן הפירות כל ימיה ואחר מותה יחזור לידו</w:t>
      </w:r>
      <w:r w:rsidRPr="00182F34">
        <w:rPr>
          <w:rFonts w:cs="Arial" w:hint="cs"/>
          <w:sz w:val="16"/>
          <w:szCs w:val="16"/>
          <w:rtl/>
        </w:rPr>
        <w:t>.</w:t>
      </w:r>
      <w:r w:rsidRPr="00182F34">
        <w:rPr>
          <w:rFonts w:cs="Arial"/>
          <w:sz w:val="16"/>
          <w:szCs w:val="16"/>
          <w:rtl/>
        </w:rPr>
        <w:t xml:space="preserve"> ועוד מטעם אחר חשוב קנוי לבעל</w:t>
      </w:r>
      <w:r w:rsidRPr="00182F34">
        <w:rPr>
          <w:rFonts w:cs="Arial" w:hint="cs"/>
          <w:sz w:val="16"/>
          <w:szCs w:val="16"/>
          <w:rtl/>
        </w:rPr>
        <w:t>,</w:t>
      </w:r>
      <w:r w:rsidRPr="00182F34">
        <w:rPr>
          <w:rFonts w:cs="Arial"/>
          <w:sz w:val="16"/>
          <w:szCs w:val="16"/>
          <w:rtl/>
        </w:rPr>
        <w:t xml:space="preserve"> דנהי דאין הפירות הגדלים בשדה שלו</w:t>
      </w:r>
      <w:r w:rsidRPr="00182F34">
        <w:rPr>
          <w:rFonts w:cs="Arial" w:hint="cs"/>
          <w:sz w:val="16"/>
          <w:szCs w:val="16"/>
          <w:rtl/>
        </w:rPr>
        <w:t>,</w:t>
      </w:r>
      <w:r w:rsidRPr="00182F34">
        <w:rPr>
          <w:rFonts w:cs="Arial"/>
          <w:sz w:val="16"/>
          <w:szCs w:val="16"/>
          <w:rtl/>
        </w:rPr>
        <w:t xml:space="preserve"> מכל מקום נכסי מלוג הוא כמו נפלו לה נכסים ממקום אחר</w:t>
      </w:r>
      <w:r w:rsidRPr="00182F34">
        <w:rPr>
          <w:rFonts w:cs="Arial" w:hint="cs"/>
          <w:sz w:val="16"/>
          <w:szCs w:val="16"/>
          <w:rtl/>
        </w:rPr>
        <w:t>,</w:t>
      </w:r>
      <w:r w:rsidRPr="00182F34">
        <w:rPr>
          <w:rFonts w:cs="Arial"/>
          <w:sz w:val="16"/>
          <w:szCs w:val="16"/>
          <w:rtl/>
        </w:rPr>
        <w:t xml:space="preserve"> וילקח בהן קרקע ויאכל הבעל פירות</w:t>
      </w:r>
      <w:r w:rsidRPr="00182F34">
        <w:rPr>
          <w:rFonts w:cs="Arial" w:hint="cs"/>
          <w:sz w:val="16"/>
          <w:szCs w:val="16"/>
          <w:rtl/>
        </w:rPr>
        <w:t>,</w:t>
      </w:r>
      <w:r w:rsidRPr="00182F34">
        <w:rPr>
          <w:rFonts w:cs="Arial"/>
          <w:sz w:val="16"/>
          <w:szCs w:val="16"/>
          <w:rtl/>
        </w:rPr>
        <w:t xml:space="preserve"> וכיון דיש לו שייכות בשדה לפירי פירות חשוב קנוי לו</w:t>
      </w:r>
      <w:r>
        <w:rPr>
          <w:rFonts w:cs="Arial" w:hint="cs"/>
          <w:sz w:val="16"/>
          <w:szCs w:val="16"/>
          <w:rtl/>
        </w:rPr>
        <w:t xml:space="preserve"> עכ"ל)</w:t>
      </w:r>
    </w:p>
    <w:p w14:paraId="3A11332B" w14:textId="77777777" w:rsidR="002E5BAD" w:rsidRPr="0054417F" w:rsidRDefault="002E5BAD" w:rsidP="002E5BAD">
      <w:pPr>
        <w:rPr>
          <w:u w:val="single"/>
        </w:rPr>
      </w:pPr>
      <w:r w:rsidRPr="0054417F">
        <w:rPr>
          <w:rFonts w:hint="cs"/>
          <w:u w:val="single"/>
          <w:rtl/>
        </w:rPr>
        <w:t>בעל שנתן מתנה לאשתו:</w:t>
      </w:r>
    </w:p>
    <w:p w14:paraId="40E4DE73" w14:textId="77777777" w:rsidR="002E5BAD" w:rsidRPr="0070753A" w:rsidRDefault="002E5BAD" w:rsidP="002E5BAD">
      <w:pPr>
        <w:pStyle w:val="ab"/>
        <w:numPr>
          <w:ilvl w:val="0"/>
          <w:numId w:val="178"/>
        </w:numPr>
      </w:pPr>
      <w:r>
        <w:rPr>
          <w:rFonts w:cs="Arial" w:hint="cs"/>
          <w:rtl/>
        </w:rPr>
        <w:lastRenderedPageBreak/>
        <w:t xml:space="preserve">טור- </w:t>
      </w:r>
      <w:r w:rsidRPr="007A228B">
        <w:rPr>
          <w:rFonts w:cs="Arial"/>
          <w:rtl/>
        </w:rPr>
        <w:t>וכן הבעל שנתן מתנה לאשתו בין קרקע בין מטלטלים</w:t>
      </w:r>
      <w:r>
        <w:rPr>
          <w:rFonts w:cs="Arial" w:hint="cs"/>
          <w:rtl/>
        </w:rPr>
        <w:t>,</w:t>
      </w:r>
      <w:r w:rsidRPr="007A228B">
        <w:rPr>
          <w:rFonts w:cs="Arial"/>
          <w:rtl/>
        </w:rPr>
        <w:t xml:space="preserve"> קנתה</w:t>
      </w:r>
      <w:r>
        <w:rPr>
          <w:rFonts w:cs="Arial" w:hint="cs"/>
          <w:rtl/>
        </w:rPr>
        <w:t>,</w:t>
      </w:r>
      <w:r w:rsidRPr="007A228B">
        <w:rPr>
          <w:rFonts w:cs="Arial"/>
          <w:rtl/>
        </w:rPr>
        <w:t xml:space="preserve"> ואין הבעל אוכל פירות</w:t>
      </w:r>
      <w:r>
        <w:rPr>
          <w:rFonts w:cs="Arial" w:hint="cs"/>
          <w:rtl/>
        </w:rPr>
        <w:t>.</w:t>
      </w:r>
      <w:r w:rsidRPr="007A228B">
        <w:rPr>
          <w:rFonts w:cs="Arial"/>
          <w:rtl/>
        </w:rPr>
        <w:t xml:space="preserve"> </w:t>
      </w:r>
      <w:r w:rsidRPr="00137671">
        <w:rPr>
          <w:rFonts w:hint="cs"/>
          <w:color w:val="E36C0A" w:themeColor="accent6" w:themeShade="BF"/>
          <w:rtl/>
        </w:rPr>
        <w:t>(וכ"פ בשו"ע)</w:t>
      </w:r>
    </w:p>
    <w:p w14:paraId="2736B5D9" w14:textId="77777777" w:rsidR="002E5BAD" w:rsidRPr="0070753A" w:rsidRDefault="002E5BAD" w:rsidP="002E5BAD">
      <w:pPr>
        <w:ind w:left="360"/>
        <w:rPr>
          <w:u w:val="dotted"/>
        </w:rPr>
      </w:pPr>
      <w:r w:rsidRPr="0070753A">
        <w:rPr>
          <w:rFonts w:hint="cs"/>
          <w:u w:val="dotted"/>
          <w:rtl/>
        </w:rPr>
        <w:t>האם יכולה האשה למכור או לתת במתנה את מה שקיבלה מבעלה:</w:t>
      </w:r>
    </w:p>
    <w:p w14:paraId="78EB1806" w14:textId="77777777" w:rsidR="002E5BAD" w:rsidRPr="00A715B2" w:rsidRDefault="002E5BAD" w:rsidP="002E5BAD">
      <w:pPr>
        <w:pStyle w:val="ab"/>
        <w:numPr>
          <w:ilvl w:val="0"/>
          <w:numId w:val="178"/>
        </w:numPr>
      </w:pPr>
      <w:r>
        <w:rPr>
          <w:rFonts w:cs="Arial" w:hint="cs"/>
          <w:rtl/>
        </w:rPr>
        <w:t xml:space="preserve">גאונים </w:t>
      </w:r>
      <w:r>
        <w:rPr>
          <w:rFonts w:cs="Arial" w:hint="cs"/>
          <w:sz w:val="16"/>
          <w:szCs w:val="16"/>
          <w:rtl/>
        </w:rPr>
        <w:t>(כ"כ הרמב"ן בשמם)</w:t>
      </w:r>
      <w:r>
        <w:rPr>
          <w:rFonts w:cs="Arial" w:hint="cs"/>
          <w:rtl/>
        </w:rPr>
        <w:t xml:space="preserve"> רמב"ן</w:t>
      </w:r>
      <w:r>
        <w:rPr>
          <w:rStyle w:val="a7"/>
          <w:rFonts w:cs="Arial"/>
          <w:rtl/>
        </w:rPr>
        <w:footnoteReference w:id="1660"/>
      </w:r>
      <w:r>
        <w:rPr>
          <w:rFonts w:cs="Arial" w:hint="cs"/>
          <w:rtl/>
        </w:rPr>
        <w:t xml:space="preserve"> </w:t>
      </w:r>
      <w:r>
        <w:rPr>
          <w:rFonts w:cs="Arial" w:hint="cs"/>
          <w:sz w:val="16"/>
          <w:szCs w:val="16"/>
          <w:rtl/>
        </w:rPr>
        <w:t>(ב"ב נא: ד"ה אלא ודאי)</w:t>
      </w:r>
      <w:r>
        <w:rPr>
          <w:rFonts w:cs="Arial" w:hint="cs"/>
          <w:rtl/>
        </w:rPr>
        <w:t xml:space="preserve"> רא"ש </w:t>
      </w:r>
      <w:r>
        <w:rPr>
          <w:rFonts w:cs="Arial" w:hint="cs"/>
          <w:sz w:val="16"/>
          <w:szCs w:val="16"/>
          <w:rtl/>
        </w:rPr>
        <w:t>(ב"ב פ"ג סי' נד)</w:t>
      </w:r>
      <w:r>
        <w:rPr>
          <w:rFonts w:cs="Arial" w:hint="cs"/>
          <w:rtl/>
        </w:rPr>
        <w:t xml:space="preserve"> טור נמוק"י </w:t>
      </w:r>
      <w:r w:rsidRPr="00FA2EA4">
        <w:rPr>
          <w:rFonts w:cs="Arial"/>
          <w:sz w:val="16"/>
          <w:szCs w:val="16"/>
          <w:rtl/>
        </w:rPr>
        <w:t>(</w:t>
      </w:r>
      <w:r>
        <w:rPr>
          <w:rFonts w:cs="Arial" w:hint="cs"/>
          <w:sz w:val="16"/>
          <w:szCs w:val="16"/>
          <w:rtl/>
        </w:rPr>
        <w:t xml:space="preserve">ב"ב </w:t>
      </w:r>
      <w:r w:rsidRPr="00FA2EA4">
        <w:rPr>
          <w:rFonts w:cs="Arial"/>
          <w:sz w:val="16"/>
          <w:szCs w:val="16"/>
          <w:rtl/>
        </w:rPr>
        <w:t>כז: דיבור ראשון)</w:t>
      </w:r>
      <w:r>
        <w:rPr>
          <w:rFonts w:cs="Arial" w:hint="cs"/>
          <w:rtl/>
        </w:rPr>
        <w:t xml:space="preserve">- </w:t>
      </w:r>
      <w:r w:rsidRPr="007A228B">
        <w:rPr>
          <w:rFonts w:cs="Arial"/>
          <w:rtl/>
        </w:rPr>
        <w:t>ומיהו אינה יכולה למכור מה שנתן לה ולא ליתנו לאחר אלא ישאר בידה</w:t>
      </w:r>
      <w:r>
        <w:rPr>
          <w:rFonts w:cs="Arial" w:hint="cs"/>
          <w:rtl/>
        </w:rPr>
        <w:t>,</w:t>
      </w:r>
      <w:r w:rsidRPr="007A228B">
        <w:rPr>
          <w:rFonts w:cs="Arial"/>
          <w:rtl/>
        </w:rPr>
        <w:t xml:space="preserve"> ואם תמות ירשנה</w:t>
      </w:r>
      <w:r>
        <w:rPr>
          <w:rFonts w:cs="Arial" w:hint="cs"/>
          <w:rtl/>
        </w:rPr>
        <w:t>,</w:t>
      </w:r>
      <w:r w:rsidRPr="007A228B">
        <w:rPr>
          <w:rFonts w:cs="Arial"/>
          <w:rtl/>
        </w:rPr>
        <w:t xml:space="preserve"> והפירות שיוצאין לה ממנו דינן כשאר נכסי מלוג וימכרו וילקח בהן קרקע והוא אוכל פירות</w:t>
      </w:r>
      <w:r>
        <w:rPr>
          <w:rFonts w:cs="Arial" w:hint="cs"/>
          <w:sz w:val="16"/>
          <w:szCs w:val="16"/>
          <w:rtl/>
        </w:rPr>
        <w:t xml:space="preserve"> (ל' הטור)</w:t>
      </w:r>
      <w:r>
        <w:rPr>
          <w:rFonts w:cs="Arial" w:hint="cs"/>
          <w:rtl/>
        </w:rPr>
        <w:t>.</w:t>
      </w:r>
      <w:r w:rsidRPr="007A228B">
        <w:rPr>
          <w:rFonts w:cs="Arial"/>
          <w:rtl/>
        </w:rPr>
        <w:t xml:space="preserve"> </w:t>
      </w:r>
      <w:r w:rsidRPr="00137671">
        <w:rPr>
          <w:rFonts w:hint="cs"/>
          <w:color w:val="E36C0A" w:themeColor="accent6" w:themeShade="BF"/>
          <w:rtl/>
        </w:rPr>
        <w:t>(וכ"פ בשו"ע)</w:t>
      </w:r>
    </w:p>
    <w:p w14:paraId="6E05A858" w14:textId="77777777" w:rsidR="002E5BAD" w:rsidRPr="00605FD6" w:rsidRDefault="002E5BAD" w:rsidP="002E5BAD">
      <w:pPr>
        <w:pStyle w:val="ab"/>
        <w:numPr>
          <w:ilvl w:val="0"/>
          <w:numId w:val="178"/>
        </w:numPr>
        <w:rPr>
          <w:rtl/>
        </w:rPr>
      </w:pPr>
      <w:r w:rsidRPr="007A228B">
        <w:rPr>
          <w:rFonts w:cs="Arial"/>
          <w:rtl/>
        </w:rPr>
        <w:t>רמ"ה</w:t>
      </w:r>
      <w:r>
        <w:rPr>
          <w:rFonts w:cs="Arial" w:hint="cs"/>
          <w:sz w:val="16"/>
          <w:szCs w:val="16"/>
          <w:rtl/>
        </w:rPr>
        <w:t xml:space="preserve"> (כ"כ הטור בשמו)</w:t>
      </w:r>
      <w:r>
        <w:rPr>
          <w:rFonts w:cs="Arial" w:hint="cs"/>
          <w:rtl/>
        </w:rPr>
        <w:t xml:space="preserve">- </w:t>
      </w:r>
      <w:r w:rsidRPr="007A228B">
        <w:rPr>
          <w:rFonts w:cs="Arial"/>
          <w:rtl/>
        </w:rPr>
        <w:t xml:space="preserve">אם מכרה או נתנה </w:t>
      </w:r>
      <w:r>
        <w:rPr>
          <w:rFonts w:cs="Arial" w:hint="cs"/>
          <w:rtl/>
        </w:rPr>
        <w:t xml:space="preserve">- </w:t>
      </w:r>
      <w:r w:rsidRPr="007A228B">
        <w:rPr>
          <w:rFonts w:cs="Arial"/>
          <w:rtl/>
        </w:rPr>
        <w:t>קיים</w:t>
      </w:r>
      <w:r>
        <w:rPr>
          <w:rFonts w:cs="Arial" w:hint="cs"/>
          <w:rtl/>
        </w:rPr>
        <w:t>,</w:t>
      </w:r>
      <w:r w:rsidRPr="007A228B">
        <w:rPr>
          <w:rFonts w:cs="Arial"/>
          <w:rtl/>
        </w:rPr>
        <w:t xml:space="preserve"> כיון שאין לו פירות</w:t>
      </w:r>
      <w:r>
        <w:rPr>
          <w:rStyle w:val="a7"/>
          <w:rFonts w:cs="Arial"/>
          <w:rtl/>
        </w:rPr>
        <w:footnoteReference w:id="1661"/>
      </w:r>
      <w:r>
        <w:rPr>
          <w:rFonts w:cs="Arial" w:hint="cs"/>
          <w:rtl/>
        </w:rPr>
        <w:t>.</w:t>
      </w:r>
      <w:r w:rsidRPr="007A228B">
        <w:rPr>
          <w:rFonts w:cs="Arial"/>
          <w:rtl/>
        </w:rPr>
        <w:t xml:space="preserve"> </w:t>
      </w:r>
      <w:r w:rsidRPr="0070753A">
        <w:rPr>
          <w:rFonts w:cs="Arial"/>
          <w:rtl/>
        </w:rPr>
        <w:t xml:space="preserve">ואם מתה עד שלא מכרה </w:t>
      </w:r>
      <w:r w:rsidRPr="0070753A">
        <w:rPr>
          <w:rFonts w:cs="Arial" w:hint="cs"/>
          <w:rtl/>
        </w:rPr>
        <w:t xml:space="preserve">- </w:t>
      </w:r>
      <w:r w:rsidRPr="0070753A">
        <w:rPr>
          <w:rFonts w:cs="Arial"/>
          <w:rtl/>
        </w:rPr>
        <w:t>יורשה אפי' אקני לה ע"מ שלא ליורשה</w:t>
      </w:r>
      <w:r>
        <w:rPr>
          <w:rStyle w:val="a7"/>
          <w:rFonts w:cs="Arial"/>
          <w:rtl/>
        </w:rPr>
        <w:footnoteReference w:id="1662"/>
      </w:r>
      <w:r w:rsidRPr="0070753A">
        <w:rPr>
          <w:rFonts w:cs="Arial" w:hint="cs"/>
          <w:rtl/>
        </w:rPr>
        <w:t>.</w:t>
      </w:r>
      <w:r w:rsidRPr="0070753A">
        <w:rPr>
          <w:rFonts w:cs="Arial"/>
          <w:rtl/>
        </w:rPr>
        <w:t xml:space="preserve"> </w:t>
      </w:r>
    </w:p>
    <w:p w14:paraId="6A18361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DDF455A" w14:textId="77777777" w:rsidR="002E5BAD" w:rsidRDefault="002E5BAD" w:rsidP="002E5BAD">
      <w:pPr>
        <w:rPr>
          <w:rtl/>
        </w:rPr>
      </w:pPr>
      <w:r>
        <w:rPr>
          <w:rFonts w:cs="Arial"/>
          <w:rtl/>
        </w:rPr>
        <w:t xml:space="preserve">באו לידה </w:t>
      </w:r>
      <w:r w:rsidRPr="00D65D96">
        <w:rPr>
          <w:rFonts w:cs="Arial"/>
          <w:sz w:val="18"/>
          <w:szCs w:val="18"/>
          <w:rtl/>
        </w:rPr>
        <w:t xml:space="preserve">(נכסים) </w:t>
      </w:r>
      <w:r>
        <w:rPr>
          <w:rFonts w:cs="Arial"/>
          <w:rtl/>
        </w:rPr>
        <w:t>אחר שנשאת, בין שבאו לידה בירושה, או שניתנו לה במתנה</w:t>
      </w:r>
      <w:r>
        <w:rPr>
          <w:rStyle w:val="a7"/>
          <w:rFonts w:cs="Arial"/>
          <w:rtl/>
        </w:rPr>
        <w:footnoteReference w:id="1663"/>
      </w:r>
      <w:r>
        <w:rPr>
          <w:rFonts w:cs="Arial"/>
          <w:rtl/>
        </w:rPr>
        <w:t>, או שחבלו בה</w:t>
      </w:r>
      <w:r>
        <w:rPr>
          <w:rStyle w:val="a7"/>
          <w:rFonts w:cs="Arial"/>
          <w:rtl/>
        </w:rPr>
        <w:footnoteReference w:id="1664"/>
      </w:r>
      <w:r>
        <w:rPr>
          <w:rFonts w:cs="Arial"/>
          <w:rtl/>
        </w:rPr>
        <w:t xml:space="preserve"> ונתנו לה חלקה בבושתה ופגמה, נקראים נכסי מלוג, והרי הם כאותם שהכניסה לו ולא קבלם באחריות. אבל אם מכרה כתובתה ונדונייתה, אותם הדמים אין הבעל אוכל פירותיהם. וכן אם נתנה מתנה לאחר קודם שנשאת, כדי להבריח מבעלה, אף על פי שאין מתנתה מתנה, אין הבעל אוכל פירות. וכן הבעל שנתן מתנה לאשתו, בין קרקע בין מטלטלין, קנתה, ואין הבעל אוכל פירות. ומיהו אינה יכולה למכור</w:t>
      </w:r>
      <w:r>
        <w:rPr>
          <w:rStyle w:val="a7"/>
          <w:rFonts w:cs="Arial"/>
          <w:rtl/>
        </w:rPr>
        <w:footnoteReference w:id="1665"/>
      </w:r>
      <w:r>
        <w:rPr>
          <w:rFonts w:cs="Arial"/>
          <w:rtl/>
        </w:rPr>
        <w:t xml:space="preserve"> מה שנתן לה</w:t>
      </w:r>
      <w:r>
        <w:rPr>
          <w:rStyle w:val="a7"/>
          <w:rFonts w:cs="Arial"/>
          <w:rtl/>
        </w:rPr>
        <w:footnoteReference w:id="1666"/>
      </w:r>
      <w:r>
        <w:rPr>
          <w:rFonts w:cs="Arial"/>
          <w:rtl/>
        </w:rPr>
        <w:t xml:space="preserve">, ולא ליתנו לאחר, אלא ישאר בידה, ואם תמות ירשנה, והפירות שיוצאין לה ממנה דינם כשאר נכסי מלוג, וימכרו וילקח בהם קרקע והוא אוכל פירות. </w:t>
      </w:r>
    </w:p>
    <w:p w14:paraId="39746E5B" w14:textId="77777777" w:rsidR="002E5BAD" w:rsidRDefault="002E5BAD" w:rsidP="002E5BAD">
      <w:pPr>
        <w:rPr>
          <w:rtl/>
        </w:rPr>
      </w:pPr>
    </w:p>
    <w:p w14:paraId="42BA58AC" w14:textId="77777777" w:rsidR="002E5BAD" w:rsidRDefault="002E5BAD" w:rsidP="002E5BAD">
      <w:pPr>
        <w:pStyle w:val="2"/>
        <w:rPr>
          <w:rtl/>
        </w:rPr>
      </w:pPr>
      <w:r>
        <w:rPr>
          <w:rtl/>
        </w:rPr>
        <w:t>סעיף ח</w:t>
      </w:r>
      <w:r>
        <w:rPr>
          <w:rFonts w:hint="cs"/>
          <w:rtl/>
        </w:rPr>
        <w:t>: נתן לה בעלה מתנה בעודה ארוסה.</w:t>
      </w:r>
    </w:p>
    <w:p w14:paraId="01E8A07F" w14:textId="77777777" w:rsidR="002E5BAD" w:rsidRPr="00D56151" w:rsidRDefault="002E5BAD" w:rsidP="002E5BAD">
      <w:pPr>
        <w:rPr>
          <w:u w:val="single"/>
          <w:rtl/>
        </w:rPr>
      </w:pPr>
      <w:r w:rsidRPr="00D56151">
        <w:rPr>
          <w:rFonts w:hint="cs"/>
          <w:u w:val="single"/>
          <w:rtl/>
        </w:rPr>
        <w:t>נתן לה בעלה מתנה בעודה ארוסה:</w:t>
      </w:r>
    </w:p>
    <w:p w14:paraId="5461CBBA" w14:textId="77777777" w:rsidR="002E5BAD" w:rsidRPr="000214D5" w:rsidRDefault="002E5BAD" w:rsidP="002E5BAD">
      <w:pPr>
        <w:pStyle w:val="ab"/>
        <w:numPr>
          <w:ilvl w:val="0"/>
          <w:numId w:val="178"/>
        </w:numPr>
      </w:pPr>
      <w:r>
        <w:rPr>
          <w:rFonts w:cs="Arial" w:hint="cs"/>
          <w:rtl/>
        </w:rPr>
        <w:t xml:space="preserve">רמ"ה </w:t>
      </w:r>
      <w:r>
        <w:rPr>
          <w:rFonts w:cs="Arial" w:hint="cs"/>
          <w:sz w:val="16"/>
          <w:szCs w:val="16"/>
          <w:rtl/>
        </w:rPr>
        <w:t>(כ"כ הטור והב"י בשמו)</w:t>
      </w:r>
      <w:r>
        <w:rPr>
          <w:rFonts w:cs="Arial" w:hint="cs"/>
          <w:rtl/>
        </w:rPr>
        <w:t xml:space="preserve"> וטור- </w:t>
      </w:r>
      <w:r w:rsidRPr="007A228B">
        <w:rPr>
          <w:rFonts w:cs="Arial"/>
          <w:rtl/>
        </w:rPr>
        <w:t>והני מילי שאינו אוכל פירות כשנתן לה אחר הנישואין</w:t>
      </w:r>
      <w:r>
        <w:rPr>
          <w:rFonts w:cs="Arial" w:hint="cs"/>
          <w:rtl/>
        </w:rPr>
        <w:t>,</w:t>
      </w:r>
      <w:r w:rsidRPr="007A228B">
        <w:rPr>
          <w:rFonts w:cs="Arial"/>
          <w:rtl/>
        </w:rPr>
        <w:t xml:space="preserve"> אבל אם נתן לה קודם הנישואין אחר שידוכין ואירוסין</w:t>
      </w:r>
      <w:r>
        <w:rPr>
          <w:rFonts w:cs="Arial" w:hint="cs"/>
          <w:rtl/>
        </w:rPr>
        <w:t>,</w:t>
      </w:r>
      <w:r w:rsidRPr="007A228B">
        <w:rPr>
          <w:rFonts w:cs="Arial"/>
          <w:rtl/>
        </w:rPr>
        <w:t xml:space="preserve"> אפילו אם פירש במתנה בין קודם נישואין בין אחר נישואין</w:t>
      </w:r>
      <w:r>
        <w:rPr>
          <w:rFonts w:cs="Arial" w:hint="cs"/>
          <w:rtl/>
        </w:rPr>
        <w:t>,</w:t>
      </w:r>
      <w:r w:rsidRPr="007A228B">
        <w:rPr>
          <w:rFonts w:cs="Arial"/>
          <w:rtl/>
        </w:rPr>
        <w:t xml:space="preserve"> כיון שנשאה </w:t>
      </w:r>
      <w:r>
        <w:rPr>
          <w:rFonts w:cs="Arial" w:hint="cs"/>
          <w:rtl/>
        </w:rPr>
        <w:t xml:space="preserve">- </w:t>
      </w:r>
      <w:r w:rsidRPr="007A228B">
        <w:rPr>
          <w:rFonts w:cs="Arial"/>
          <w:rtl/>
        </w:rPr>
        <w:t>אהניא ליה זכות הנישואין עליה דהאי ארעא כדמהניא אשאר נכסי לזכות בפירותיהן</w:t>
      </w:r>
      <w:r>
        <w:rPr>
          <w:rFonts w:cs="Arial" w:hint="cs"/>
          <w:rtl/>
        </w:rPr>
        <w:t>,</w:t>
      </w:r>
      <w:r w:rsidRPr="007A228B">
        <w:rPr>
          <w:rFonts w:cs="Arial"/>
          <w:rtl/>
        </w:rPr>
        <w:t xml:space="preserve"> והוי כשאר נכסי מלוג שאוכל הפירות</w:t>
      </w:r>
      <w:r>
        <w:rPr>
          <w:rFonts w:cs="Arial" w:hint="cs"/>
          <w:rtl/>
        </w:rPr>
        <w:t>.</w:t>
      </w:r>
      <w:r w:rsidRPr="007A228B">
        <w:rPr>
          <w:rFonts w:cs="Arial"/>
          <w:rtl/>
        </w:rPr>
        <w:t xml:space="preserve"> הלכך אם נתנה ומכרה </w:t>
      </w:r>
      <w:r>
        <w:rPr>
          <w:rFonts w:cs="Arial" w:hint="cs"/>
          <w:rtl/>
        </w:rPr>
        <w:t xml:space="preserve">- </w:t>
      </w:r>
      <w:r w:rsidRPr="007A228B">
        <w:rPr>
          <w:rFonts w:cs="Arial"/>
          <w:rtl/>
        </w:rPr>
        <w:t>בטל</w:t>
      </w:r>
      <w:r>
        <w:rPr>
          <w:rFonts w:cs="Arial" w:hint="cs"/>
          <w:rtl/>
        </w:rPr>
        <w:t>.</w:t>
      </w:r>
      <w:r w:rsidRPr="007A228B">
        <w:rPr>
          <w:rFonts w:cs="Arial"/>
          <w:rtl/>
        </w:rPr>
        <w:t xml:space="preserve"> ואם נתאלמנה או נתגרשה </w:t>
      </w:r>
      <w:r>
        <w:rPr>
          <w:rFonts w:cs="Arial" w:hint="cs"/>
          <w:rtl/>
        </w:rPr>
        <w:t xml:space="preserve">- </w:t>
      </w:r>
      <w:r w:rsidRPr="007A228B">
        <w:rPr>
          <w:rFonts w:cs="Arial"/>
          <w:rtl/>
        </w:rPr>
        <w:t>שקלה להאי ארעא לבד מכתובתה</w:t>
      </w:r>
      <w:r>
        <w:rPr>
          <w:rFonts w:cs="Arial" w:hint="cs"/>
          <w:rtl/>
        </w:rPr>
        <w:t>.</w:t>
      </w:r>
      <w:r w:rsidRPr="007A228B">
        <w:rPr>
          <w:rFonts w:cs="Arial"/>
          <w:rtl/>
        </w:rPr>
        <w:t xml:space="preserve"> ודוקא שנתאלמנה או נתגרשה מן הנישואין</w:t>
      </w:r>
      <w:r>
        <w:rPr>
          <w:rFonts w:cs="Arial" w:hint="cs"/>
          <w:rtl/>
        </w:rPr>
        <w:t>,</w:t>
      </w:r>
      <w:r w:rsidRPr="007A228B">
        <w:rPr>
          <w:rFonts w:cs="Arial"/>
          <w:rtl/>
        </w:rPr>
        <w:t xml:space="preserve"> אבל מן האירוסין לית לה</w:t>
      </w:r>
      <w:r>
        <w:rPr>
          <w:rFonts w:cs="Arial" w:hint="cs"/>
          <w:rtl/>
        </w:rPr>
        <w:t>,</w:t>
      </w:r>
      <w:r w:rsidRPr="007A228B">
        <w:rPr>
          <w:rFonts w:cs="Arial"/>
          <w:rtl/>
        </w:rPr>
        <w:t xml:space="preserve"> שלא כ</w:t>
      </w:r>
      <w:r>
        <w:rPr>
          <w:rFonts w:cs="Arial" w:hint="cs"/>
          <w:rtl/>
        </w:rPr>
        <w:t>תב</w:t>
      </w:r>
      <w:r w:rsidRPr="007A228B">
        <w:rPr>
          <w:rFonts w:cs="Arial"/>
          <w:rtl/>
        </w:rPr>
        <w:t xml:space="preserve"> לה אלא ע"מ לכונסה</w:t>
      </w:r>
      <w:r>
        <w:rPr>
          <w:rFonts w:cs="Arial" w:hint="cs"/>
          <w:rtl/>
        </w:rPr>
        <w:t>.</w:t>
      </w:r>
      <w:r w:rsidRPr="007A228B">
        <w:rPr>
          <w:rFonts w:cs="Arial"/>
          <w:rtl/>
        </w:rPr>
        <w:t xml:space="preserve"> ואפי</w:t>
      </w:r>
      <w:r>
        <w:rPr>
          <w:rFonts w:cs="Arial" w:hint="cs"/>
          <w:rtl/>
        </w:rPr>
        <w:t>לו</w:t>
      </w:r>
      <w:r w:rsidRPr="007A228B">
        <w:rPr>
          <w:rFonts w:cs="Arial"/>
          <w:rtl/>
        </w:rPr>
        <w:t xml:space="preserve"> נתאלמנה או נתגרשה מן הנישואין</w:t>
      </w:r>
      <w:r>
        <w:rPr>
          <w:rFonts w:cs="Arial" w:hint="cs"/>
          <w:rtl/>
        </w:rPr>
        <w:t xml:space="preserve"> -</w:t>
      </w:r>
      <w:r w:rsidRPr="007A228B">
        <w:rPr>
          <w:rFonts w:cs="Arial"/>
          <w:rtl/>
        </w:rPr>
        <w:t xml:space="preserve"> דוקא שלא מתוך מרדה</w:t>
      </w:r>
      <w:r>
        <w:rPr>
          <w:rFonts w:cs="Arial" w:hint="cs"/>
          <w:rtl/>
        </w:rPr>
        <w:t>,</w:t>
      </w:r>
      <w:r w:rsidRPr="007A228B">
        <w:rPr>
          <w:rFonts w:cs="Arial"/>
          <w:rtl/>
        </w:rPr>
        <w:t xml:space="preserve"> אבל נתאלמנה או נתגרשה </w:t>
      </w:r>
      <w:r w:rsidRPr="007A228B">
        <w:rPr>
          <w:rFonts w:cs="Arial"/>
          <w:rtl/>
        </w:rPr>
        <w:lastRenderedPageBreak/>
        <w:t xml:space="preserve">מתוך מרדה לאחר שכתבו עליה אגרת מרד שהפסידה כל כתובתה </w:t>
      </w:r>
      <w:r>
        <w:rPr>
          <w:rFonts w:cs="Arial" w:hint="cs"/>
          <w:rtl/>
        </w:rPr>
        <w:t xml:space="preserve">- </w:t>
      </w:r>
      <w:r w:rsidRPr="007A228B">
        <w:rPr>
          <w:rFonts w:cs="Arial"/>
          <w:rtl/>
        </w:rPr>
        <w:t>הפסידה כל מה שנתן לה</w:t>
      </w:r>
      <w:r>
        <w:rPr>
          <w:rFonts w:cs="Arial" w:hint="cs"/>
          <w:sz w:val="16"/>
          <w:szCs w:val="16"/>
          <w:rtl/>
        </w:rPr>
        <w:t xml:space="preserve"> (ל' הטור בשמו)</w:t>
      </w:r>
      <w:r>
        <w:rPr>
          <w:rFonts w:cs="Arial" w:hint="cs"/>
          <w:rtl/>
        </w:rPr>
        <w:t>.</w:t>
      </w:r>
      <w:r w:rsidRPr="007A228B">
        <w:rPr>
          <w:rFonts w:cs="Arial"/>
          <w:rtl/>
        </w:rPr>
        <w:t xml:space="preserve"> </w:t>
      </w:r>
      <w:r w:rsidRPr="00137671">
        <w:rPr>
          <w:rFonts w:hint="cs"/>
          <w:color w:val="E36C0A" w:themeColor="accent6" w:themeShade="BF"/>
          <w:rtl/>
        </w:rPr>
        <w:t>(וכ"פ בשו"ע)</w:t>
      </w:r>
    </w:p>
    <w:p w14:paraId="46D18320" w14:textId="77777777" w:rsidR="002E5BAD" w:rsidRPr="000214D5" w:rsidRDefault="002E5BAD" w:rsidP="002E5BAD">
      <w:pPr>
        <w:rPr>
          <w:u w:val="single"/>
        </w:rPr>
      </w:pPr>
      <w:r w:rsidRPr="000214D5">
        <w:rPr>
          <w:rFonts w:hint="cs"/>
          <w:u w:val="single"/>
          <w:rtl/>
        </w:rPr>
        <w:t>מי שכתב לאשתו שטר חוב בשעת נישואין:</w:t>
      </w:r>
    </w:p>
    <w:p w14:paraId="6EA04A53" w14:textId="77777777" w:rsidR="002E5BAD" w:rsidRPr="001C326D" w:rsidRDefault="002E5BAD" w:rsidP="002E5BAD">
      <w:pPr>
        <w:pStyle w:val="ab"/>
        <w:numPr>
          <w:ilvl w:val="0"/>
          <w:numId w:val="178"/>
        </w:numPr>
        <w:rPr>
          <w:rtl/>
        </w:rPr>
      </w:pPr>
      <w:r w:rsidRPr="000214D5">
        <w:rPr>
          <w:rFonts w:cs="Arial" w:hint="cs"/>
          <w:rtl/>
        </w:rPr>
        <w:t xml:space="preserve">טור </w:t>
      </w:r>
      <w:r w:rsidRPr="000214D5">
        <w:rPr>
          <w:rFonts w:cs="Arial" w:hint="cs"/>
          <w:sz w:val="16"/>
          <w:szCs w:val="16"/>
          <w:rtl/>
        </w:rPr>
        <w:t>(</w:t>
      </w:r>
      <w:r w:rsidRPr="000214D5">
        <w:rPr>
          <w:rFonts w:cs="Arial"/>
          <w:sz w:val="16"/>
          <w:szCs w:val="16"/>
          <w:rtl/>
        </w:rPr>
        <w:t>סי</w:t>
      </w:r>
      <w:r w:rsidRPr="000214D5">
        <w:rPr>
          <w:rFonts w:cs="Arial" w:hint="cs"/>
          <w:sz w:val="16"/>
          <w:szCs w:val="16"/>
          <w:rtl/>
        </w:rPr>
        <w:t>'</w:t>
      </w:r>
      <w:r w:rsidRPr="000214D5">
        <w:rPr>
          <w:rFonts w:cs="Arial"/>
          <w:sz w:val="16"/>
          <w:szCs w:val="16"/>
          <w:rtl/>
        </w:rPr>
        <w:t xml:space="preserve"> קיח</w:t>
      </w:r>
      <w:r w:rsidRPr="000214D5">
        <w:rPr>
          <w:rFonts w:cs="Arial" w:hint="cs"/>
          <w:sz w:val="16"/>
          <w:szCs w:val="16"/>
          <w:rtl/>
        </w:rPr>
        <w:t>, הביאו הב"י)</w:t>
      </w:r>
      <w:r w:rsidRPr="000214D5">
        <w:rPr>
          <w:rFonts w:cs="Arial" w:hint="cs"/>
          <w:rtl/>
        </w:rPr>
        <w:t xml:space="preserve">- </w:t>
      </w:r>
      <w:r w:rsidRPr="000214D5">
        <w:rPr>
          <w:rFonts w:cs="Arial"/>
          <w:rtl/>
        </w:rPr>
        <w:t>יש נוהגים לכתוב שטר חוב לנשותיהם בשעת נישואין</w:t>
      </w:r>
      <w:r>
        <w:rPr>
          <w:rFonts w:cs="Arial" w:hint="cs"/>
          <w:rtl/>
        </w:rPr>
        <w:t>,</w:t>
      </w:r>
      <w:r w:rsidRPr="000214D5">
        <w:rPr>
          <w:rFonts w:cs="Arial"/>
          <w:rtl/>
        </w:rPr>
        <w:t xml:space="preserve"> שמחייבין עצמם בסכום ידוע וקורין לו נדוניא</w:t>
      </w:r>
      <w:r>
        <w:rPr>
          <w:rFonts w:cs="Arial" w:hint="cs"/>
          <w:rtl/>
        </w:rPr>
        <w:t>,</w:t>
      </w:r>
      <w:r w:rsidRPr="000214D5">
        <w:rPr>
          <w:rFonts w:cs="Arial"/>
          <w:rtl/>
        </w:rPr>
        <w:t xml:space="preserve"> ויכולה לגבותו בכל עת שתרצה</w:t>
      </w:r>
      <w:r>
        <w:rPr>
          <w:rFonts w:cs="Arial" w:hint="cs"/>
          <w:rtl/>
        </w:rPr>
        <w:t>.</w:t>
      </w:r>
      <w:r w:rsidRPr="000214D5">
        <w:rPr>
          <w:rFonts w:cs="Arial"/>
          <w:rtl/>
        </w:rPr>
        <w:t xml:space="preserve"> וכתב אדוני אבי הרא"ש ז"ל (שו"ת כלל לט סי' ג) דיש לו דין נכסי מלוג שמנחת החוב ביד בעלה כל זמן שהיא רוצה וכשתרצה תגבנו וילקח בהן קרקע והוא אוכל פירות</w:t>
      </w:r>
      <w:r w:rsidRPr="000214D5">
        <w:rPr>
          <w:rFonts w:cs="Arial" w:hint="cs"/>
          <w:rtl/>
        </w:rPr>
        <w:t>.</w:t>
      </w:r>
      <w:r w:rsidRPr="000214D5">
        <w:rPr>
          <w:rFonts w:cs="Arial"/>
          <w:rtl/>
        </w:rPr>
        <w:t xml:space="preserve"> ולא דמי להא דאמרינן (ב"ב נא:) הנותן מתנה לאשתו קנתה ואין הבעל אוכל פירות</w:t>
      </w:r>
      <w:r w:rsidRPr="000214D5">
        <w:rPr>
          <w:rFonts w:cs="Arial" w:hint="cs"/>
          <w:rtl/>
        </w:rPr>
        <w:t>,</w:t>
      </w:r>
      <w:r w:rsidRPr="000214D5">
        <w:rPr>
          <w:rFonts w:cs="Arial"/>
          <w:rtl/>
        </w:rPr>
        <w:t xml:space="preserve"> דהתם מיירי שנתן לה אחר שנשאה</w:t>
      </w:r>
      <w:r w:rsidRPr="000214D5">
        <w:rPr>
          <w:rFonts w:cs="Arial" w:hint="cs"/>
          <w:rtl/>
        </w:rPr>
        <w:t>,</w:t>
      </w:r>
      <w:r w:rsidRPr="000214D5">
        <w:rPr>
          <w:rFonts w:cs="Arial"/>
          <w:rtl/>
        </w:rPr>
        <w:t xml:space="preserve"> שבעין יפה נותן לה ואינו משייר לעצמו כלום</w:t>
      </w:r>
      <w:r w:rsidRPr="000214D5">
        <w:rPr>
          <w:rFonts w:cs="Arial" w:hint="cs"/>
          <w:rtl/>
        </w:rPr>
        <w:t>,</w:t>
      </w:r>
      <w:r w:rsidRPr="000214D5">
        <w:rPr>
          <w:rFonts w:cs="Arial"/>
          <w:rtl/>
        </w:rPr>
        <w:t xml:space="preserve"> אבל מתנה שכותב לה קודם שישאנה היא באחת משלש שדות שהכניס לה שום משלו (שם מט:)</w:t>
      </w:r>
      <w:r w:rsidRPr="000214D5">
        <w:rPr>
          <w:rFonts w:cs="Arial" w:hint="cs"/>
          <w:rtl/>
        </w:rPr>
        <w:t>,</w:t>
      </w:r>
      <w:r w:rsidRPr="000214D5">
        <w:rPr>
          <w:rFonts w:cs="Arial"/>
          <w:rtl/>
        </w:rPr>
        <w:t xml:space="preserve"> אלא שאותם נקראים שעבוד כתובה</w:t>
      </w:r>
      <w:r w:rsidRPr="000214D5">
        <w:rPr>
          <w:rFonts w:cs="Arial" w:hint="cs"/>
          <w:rtl/>
        </w:rPr>
        <w:t>,</w:t>
      </w:r>
      <w:r w:rsidRPr="000214D5">
        <w:rPr>
          <w:rFonts w:cs="Arial"/>
          <w:rtl/>
        </w:rPr>
        <w:t xml:space="preserve"> ובחוב זה יש לה יפוי כח יותר שתוכל לגבות בכל עת שתרצה וכשתגבנו יחזור נכסי מלוג</w:t>
      </w:r>
      <w:r w:rsidRPr="000214D5">
        <w:rPr>
          <w:rFonts w:cs="Arial" w:hint="cs"/>
          <w:rtl/>
        </w:rPr>
        <w:t>.</w:t>
      </w:r>
    </w:p>
    <w:p w14:paraId="16503AF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EF36728" w14:textId="77777777" w:rsidR="002E5BAD" w:rsidRDefault="002E5BAD" w:rsidP="002E5BAD">
      <w:pPr>
        <w:rPr>
          <w:rtl/>
        </w:rPr>
      </w:pPr>
      <w:r>
        <w:rPr>
          <w:rFonts w:cs="Arial"/>
          <w:rtl/>
        </w:rPr>
        <w:t>ב</w:t>
      </w:r>
      <w:r>
        <w:rPr>
          <w:rFonts w:cs="Arial" w:hint="cs"/>
          <w:rtl/>
        </w:rPr>
        <w:t>מה דברים אמורים</w:t>
      </w:r>
      <w:r>
        <w:rPr>
          <w:rFonts w:cs="Arial"/>
          <w:rtl/>
        </w:rPr>
        <w:t xml:space="preserve"> שאינו אוכל פירות המתנה, כשנתן לה אחר שנשאת. אבל אם נתן לה בעודה ארוסה, כיון שנשאה, זכה במתנה זו כשאר נכסי מלוג, ואוכל פירותיה. ואם מן הנשואין נתאלמנה</w:t>
      </w:r>
      <w:r>
        <w:rPr>
          <w:rFonts w:cs="Arial" w:hint="cs"/>
          <w:rtl/>
        </w:rPr>
        <w:t>,</w:t>
      </w:r>
      <w:r>
        <w:rPr>
          <w:rFonts w:cs="Arial"/>
          <w:rtl/>
        </w:rPr>
        <w:t xml:space="preserve"> או נתגרשה שלא מחמת מרדה, נוטלת מתנה זו חוץ מכתובתה. </w:t>
      </w:r>
    </w:p>
    <w:p w14:paraId="7AC9374E" w14:textId="77777777" w:rsidR="002E5BAD" w:rsidRDefault="002E5BAD" w:rsidP="002E5BAD">
      <w:pPr>
        <w:rPr>
          <w:rtl/>
        </w:rPr>
      </w:pPr>
    </w:p>
    <w:p w14:paraId="145B9A02" w14:textId="77777777" w:rsidR="002E5BAD" w:rsidRDefault="002E5BAD" w:rsidP="002E5BAD">
      <w:pPr>
        <w:pStyle w:val="2"/>
        <w:rPr>
          <w:rtl/>
        </w:rPr>
      </w:pPr>
      <w:r>
        <w:rPr>
          <w:rtl/>
        </w:rPr>
        <w:t>סעיף ט</w:t>
      </w:r>
      <w:r>
        <w:rPr>
          <w:rFonts w:hint="cs"/>
          <w:rtl/>
        </w:rPr>
        <w:t>: המוכר קרקע לאשתו.</w:t>
      </w:r>
    </w:p>
    <w:p w14:paraId="192FFD25" w14:textId="77777777" w:rsidR="002E5BAD" w:rsidRDefault="002E5BAD" w:rsidP="002E5BAD">
      <w:r w:rsidRPr="004602D6">
        <w:rPr>
          <w:rFonts w:cs="Arial" w:hint="cs"/>
          <w:b/>
          <w:bCs/>
          <w:rtl/>
        </w:rPr>
        <w:t xml:space="preserve">בבא </w:t>
      </w:r>
      <w:r>
        <w:rPr>
          <w:rFonts w:cs="Arial" w:hint="cs"/>
          <w:b/>
          <w:bCs/>
          <w:rtl/>
        </w:rPr>
        <w:t>בתרא</w:t>
      </w:r>
      <w:r w:rsidRPr="004602D6">
        <w:rPr>
          <w:rFonts w:cs="Arial" w:hint="cs"/>
          <w:b/>
          <w:bCs/>
          <w:rtl/>
        </w:rPr>
        <w:t xml:space="preserve"> </w:t>
      </w:r>
      <w:r>
        <w:rPr>
          <w:rFonts w:cs="Arial" w:hint="cs"/>
          <w:b/>
          <w:bCs/>
          <w:sz w:val="16"/>
          <w:szCs w:val="16"/>
          <w:rtl/>
        </w:rPr>
        <w:t xml:space="preserve">(פ' חזקת) </w:t>
      </w:r>
      <w:r>
        <w:rPr>
          <w:rFonts w:cs="Arial" w:hint="cs"/>
          <w:b/>
          <w:bCs/>
          <w:rtl/>
        </w:rPr>
        <w:t>נא</w:t>
      </w:r>
      <w:r w:rsidRPr="004602D6">
        <w:rPr>
          <w:rFonts w:cs="Arial" w:hint="cs"/>
          <w:b/>
          <w:bCs/>
          <w:rtl/>
        </w:rPr>
        <w:t xml:space="preserve"> ע"</w:t>
      </w:r>
      <w:r>
        <w:rPr>
          <w:rFonts w:cs="Arial" w:hint="cs"/>
          <w:b/>
          <w:bCs/>
          <w:rtl/>
        </w:rPr>
        <w:t>ב</w:t>
      </w:r>
      <w:r w:rsidRPr="004602D6">
        <w:rPr>
          <w:rFonts w:cs="Arial" w:hint="cs"/>
          <w:b/>
          <w:bCs/>
          <w:rtl/>
        </w:rPr>
        <w:t>:</w:t>
      </w:r>
      <w:r>
        <w:rPr>
          <w:rFonts w:cs="Arial" w:hint="cs"/>
          <w:rtl/>
        </w:rPr>
        <w:t xml:space="preserve"> </w:t>
      </w:r>
      <w:r w:rsidRPr="00F34153">
        <w:rPr>
          <w:rFonts w:cs="Arial"/>
          <w:u w:val="single"/>
          <w:rtl/>
        </w:rPr>
        <w:t>אמר רב</w:t>
      </w:r>
      <w:r w:rsidRPr="00F34153">
        <w:rPr>
          <w:rFonts w:cs="Arial"/>
          <w:rtl/>
        </w:rPr>
        <w:t>: המוכר שדה לאשתו - קנתה, והבעל אוכל פירות, במתנה - קנתה, ואין הבעל אוכל פירות</w:t>
      </w:r>
      <w:r>
        <w:rPr>
          <w:rFonts w:cs="Arial" w:hint="cs"/>
          <w:rtl/>
        </w:rPr>
        <w:t>.</w:t>
      </w:r>
      <w:r w:rsidRPr="00F34153">
        <w:rPr>
          <w:rFonts w:cs="Arial"/>
          <w:rtl/>
        </w:rPr>
        <w:t xml:space="preserve"> </w:t>
      </w:r>
      <w:r w:rsidRPr="00F34153">
        <w:rPr>
          <w:rFonts w:cs="Arial"/>
          <w:u w:val="single"/>
          <w:rtl/>
        </w:rPr>
        <w:t>ורבי אלעזר אמר</w:t>
      </w:r>
      <w:r w:rsidRPr="00F34153">
        <w:rPr>
          <w:rFonts w:cs="Arial"/>
          <w:rtl/>
        </w:rPr>
        <w:t xml:space="preserve">: אחד זה ואחד זה - קנתה, ואין הבעל אוכל פירות. </w:t>
      </w:r>
      <w:r w:rsidRPr="00F34153">
        <w:rPr>
          <w:rFonts w:cs="Arial"/>
          <w:u w:val="single"/>
          <w:rtl/>
        </w:rPr>
        <w:t>עבד רב חסדא</w:t>
      </w:r>
      <w:r w:rsidRPr="00F34153">
        <w:rPr>
          <w:rFonts w:cs="Arial"/>
          <w:rtl/>
        </w:rPr>
        <w:t xml:space="preserve"> עובדא כרבי אלעזר. </w:t>
      </w:r>
      <w:r w:rsidRPr="00F34153">
        <w:rPr>
          <w:rFonts w:cs="Arial"/>
          <w:u w:val="single"/>
          <w:rtl/>
        </w:rPr>
        <w:t>אמרו ליה רבן עוקבא ורבן נחמיה בני בנתיה דרב לרב חסדא</w:t>
      </w:r>
      <w:r w:rsidRPr="00F34153">
        <w:rPr>
          <w:rFonts w:cs="Arial"/>
          <w:rtl/>
        </w:rPr>
        <w:t xml:space="preserve">: שביק מר רברבי ועביד כזוטרי? </w:t>
      </w:r>
      <w:r w:rsidRPr="00F34153">
        <w:rPr>
          <w:rFonts w:cs="Arial"/>
          <w:u w:val="single"/>
          <w:rtl/>
        </w:rPr>
        <w:t>א"ל</w:t>
      </w:r>
      <w:r w:rsidRPr="00F34153">
        <w:rPr>
          <w:rFonts w:cs="Arial"/>
          <w:rtl/>
        </w:rPr>
        <w:t xml:space="preserve">: ואנא נמי כרברבי עבדי, דכי אתא רבין אמר ר' יוחנן: אחד זה ואחד זה - קנתה, ואין הבעל אוכל פירות. </w:t>
      </w:r>
      <w:r w:rsidRPr="00F34153">
        <w:rPr>
          <w:rFonts w:cs="Arial"/>
          <w:u w:val="single"/>
          <w:rtl/>
        </w:rPr>
        <w:t>אמר רבא</w:t>
      </w:r>
      <w:r>
        <w:rPr>
          <w:rFonts w:cs="Arial" w:hint="cs"/>
          <w:rtl/>
        </w:rPr>
        <w:t>:</w:t>
      </w:r>
      <w:r w:rsidRPr="00F34153">
        <w:rPr>
          <w:rFonts w:cs="Arial"/>
          <w:rtl/>
        </w:rPr>
        <w:t xml:space="preserve"> הלכתא</w:t>
      </w:r>
      <w:r>
        <w:rPr>
          <w:rFonts w:cs="Arial" w:hint="cs"/>
          <w:rtl/>
        </w:rPr>
        <w:t>,</w:t>
      </w:r>
      <w:r w:rsidRPr="00F34153">
        <w:rPr>
          <w:rFonts w:cs="Arial"/>
          <w:rtl/>
        </w:rPr>
        <w:t xml:space="preserve"> המוכר שדה לאשתו - לא קנתה, והבעל אוכל פירות</w:t>
      </w:r>
      <w:r>
        <w:rPr>
          <w:rFonts w:cs="Arial" w:hint="cs"/>
          <w:rtl/>
        </w:rPr>
        <w:t>.</w:t>
      </w:r>
      <w:r w:rsidRPr="00F34153">
        <w:rPr>
          <w:rFonts w:cs="Arial"/>
          <w:rtl/>
        </w:rPr>
        <w:t xml:space="preserve"> במתנה - קנתה, ואין הבעל אוכל פירות.</w:t>
      </w:r>
      <w:r w:rsidRPr="002F00EE">
        <w:rPr>
          <w:rtl/>
        </w:rPr>
        <w:t xml:space="preserve"> </w:t>
      </w:r>
      <w:r w:rsidRPr="002F00EE">
        <w:rPr>
          <w:rFonts w:cs="Arial"/>
          <w:rtl/>
        </w:rPr>
        <w:t>תרתי</w:t>
      </w:r>
      <w:r>
        <w:rPr>
          <w:rStyle w:val="a7"/>
          <w:rFonts w:cs="Arial"/>
          <w:rtl/>
        </w:rPr>
        <w:footnoteReference w:id="1667"/>
      </w:r>
      <w:r w:rsidRPr="002F00EE">
        <w:rPr>
          <w:rFonts w:cs="Arial"/>
          <w:rtl/>
        </w:rPr>
        <w:t>? לא קשיא: כאן במעות טמונין</w:t>
      </w:r>
      <w:r>
        <w:rPr>
          <w:rStyle w:val="a7"/>
          <w:rFonts w:cs="Arial"/>
          <w:rtl/>
        </w:rPr>
        <w:footnoteReference w:id="1668"/>
      </w:r>
      <w:r w:rsidRPr="002F00EE">
        <w:rPr>
          <w:rFonts w:cs="Arial"/>
          <w:rtl/>
        </w:rPr>
        <w:t>,</w:t>
      </w:r>
      <w:r w:rsidRPr="00155053">
        <w:rPr>
          <w:rStyle w:val="a7"/>
          <w:rFonts w:cs="Arial"/>
          <w:rtl/>
        </w:rPr>
        <w:t xml:space="preserve"> </w:t>
      </w:r>
      <w:r w:rsidRPr="002F00EE">
        <w:rPr>
          <w:rFonts w:cs="Arial"/>
          <w:rtl/>
        </w:rPr>
        <w:t>כאן במעות שאין טמונין</w:t>
      </w:r>
      <w:r>
        <w:rPr>
          <w:rStyle w:val="a7"/>
          <w:rFonts w:cs="Arial"/>
          <w:rtl/>
        </w:rPr>
        <w:footnoteReference w:id="1669"/>
      </w:r>
      <w:r w:rsidRPr="002F00EE">
        <w:rPr>
          <w:rFonts w:cs="Arial"/>
          <w:rtl/>
        </w:rPr>
        <w:t xml:space="preserve">, </w:t>
      </w:r>
      <w:r w:rsidRPr="002F00EE">
        <w:rPr>
          <w:rFonts w:cs="Arial"/>
          <w:u w:val="single"/>
          <w:rtl/>
        </w:rPr>
        <w:t>דאמר רב יהודה</w:t>
      </w:r>
      <w:r w:rsidRPr="002F00EE">
        <w:rPr>
          <w:rFonts w:cs="Arial"/>
          <w:rtl/>
        </w:rPr>
        <w:t>: מעות טמונין - לא קנתה, מעות שאינן טמונין - קנתה.</w:t>
      </w:r>
      <w:r>
        <w:rPr>
          <w:rFonts w:hint="cs"/>
          <w:rtl/>
        </w:rPr>
        <w:t xml:space="preserve"> </w:t>
      </w:r>
    </w:p>
    <w:p w14:paraId="610F33AE" w14:textId="77777777" w:rsidR="002E5BAD" w:rsidRPr="002F00EE" w:rsidRDefault="002E5BAD" w:rsidP="002E5BAD">
      <w:pPr>
        <w:rPr>
          <w:u w:val="single"/>
          <w:rtl/>
        </w:rPr>
      </w:pPr>
      <w:r w:rsidRPr="002F00EE">
        <w:rPr>
          <w:rFonts w:hint="cs"/>
          <w:u w:val="single"/>
          <w:rtl/>
        </w:rPr>
        <w:t>המוכר קרקע לאשתו:</w:t>
      </w:r>
    </w:p>
    <w:p w14:paraId="1F3E7FBE" w14:textId="77777777" w:rsidR="002E5BAD" w:rsidRDefault="002E5BAD" w:rsidP="002E5BAD">
      <w:pPr>
        <w:pStyle w:val="ab"/>
        <w:numPr>
          <w:ilvl w:val="0"/>
          <w:numId w:val="178"/>
        </w:numPr>
      </w:pPr>
      <w:r>
        <w:rPr>
          <w:rFonts w:cs="Arial" w:hint="cs"/>
          <w:rtl/>
        </w:rPr>
        <w:t xml:space="preserve">טור- </w:t>
      </w:r>
      <w:r w:rsidRPr="007A228B">
        <w:rPr>
          <w:rFonts w:cs="Arial"/>
          <w:rtl/>
        </w:rPr>
        <w:t>מכר לה קרקע</w:t>
      </w:r>
      <w:r>
        <w:rPr>
          <w:rFonts w:cs="Arial" w:hint="cs"/>
          <w:rtl/>
        </w:rPr>
        <w:t>,</w:t>
      </w:r>
      <w:r w:rsidRPr="007A228B">
        <w:rPr>
          <w:rFonts w:cs="Arial"/>
          <w:rtl/>
        </w:rPr>
        <w:t xml:space="preserve"> אם היו המעות שקנתה בהן הקרקע גלויים וידועים לו</w:t>
      </w:r>
      <w:r>
        <w:rPr>
          <w:rFonts w:cs="Arial" w:hint="cs"/>
          <w:rtl/>
        </w:rPr>
        <w:t xml:space="preserve"> -</w:t>
      </w:r>
      <w:r w:rsidRPr="007A228B">
        <w:rPr>
          <w:rFonts w:cs="Arial"/>
          <w:rtl/>
        </w:rPr>
        <w:t xml:space="preserve"> קנתה</w:t>
      </w:r>
      <w:r>
        <w:rPr>
          <w:rFonts w:cs="Arial" w:hint="cs"/>
          <w:rtl/>
        </w:rPr>
        <w:t>,</w:t>
      </w:r>
      <w:r w:rsidRPr="007A228B">
        <w:rPr>
          <w:rFonts w:cs="Arial"/>
          <w:rtl/>
        </w:rPr>
        <w:t xml:space="preserve"> והבעל אוכל פירות</w:t>
      </w:r>
      <w:r>
        <w:rPr>
          <w:rFonts w:cs="Arial" w:hint="cs"/>
          <w:rtl/>
        </w:rPr>
        <w:t>.</w:t>
      </w:r>
      <w:r w:rsidRPr="007A228B">
        <w:rPr>
          <w:rFonts w:cs="Arial"/>
          <w:rtl/>
        </w:rPr>
        <w:t xml:space="preserve"> ואם לא היו המעות גלוים לו </w:t>
      </w:r>
      <w:r>
        <w:rPr>
          <w:rFonts w:cs="Arial" w:hint="cs"/>
          <w:rtl/>
        </w:rPr>
        <w:t xml:space="preserve">- </w:t>
      </w:r>
      <w:r w:rsidRPr="007A228B">
        <w:rPr>
          <w:rFonts w:cs="Arial"/>
          <w:rtl/>
        </w:rPr>
        <w:t>לא קנתה</w:t>
      </w:r>
      <w:r>
        <w:rPr>
          <w:rFonts w:cs="Arial" w:hint="cs"/>
          <w:rtl/>
        </w:rPr>
        <w:t>,</w:t>
      </w:r>
      <w:r w:rsidRPr="007A228B">
        <w:rPr>
          <w:rFonts w:cs="Arial"/>
          <w:rtl/>
        </w:rPr>
        <w:t xml:space="preserve"> שלא כיון במכירתו אלא להוציא המעות מידה</w:t>
      </w:r>
      <w:r>
        <w:rPr>
          <w:rFonts w:cs="Arial" w:hint="cs"/>
          <w:rtl/>
        </w:rPr>
        <w:t>,</w:t>
      </w:r>
      <w:r w:rsidRPr="007A228B">
        <w:rPr>
          <w:rFonts w:cs="Arial"/>
          <w:rtl/>
        </w:rPr>
        <w:t xml:space="preserve"> וכיון שנתגלו לו יקחם</w:t>
      </w:r>
      <w:r>
        <w:rPr>
          <w:rStyle w:val="a7"/>
          <w:rFonts w:cs="Arial"/>
          <w:rtl/>
        </w:rPr>
        <w:footnoteReference w:id="1670"/>
      </w:r>
      <w:r w:rsidRPr="007A228B">
        <w:rPr>
          <w:rFonts w:cs="Arial"/>
          <w:rtl/>
        </w:rPr>
        <w:t xml:space="preserve"> עם הקרקע</w:t>
      </w:r>
      <w:r>
        <w:rPr>
          <w:rFonts w:cs="Arial" w:hint="cs"/>
          <w:rtl/>
        </w:rPr>
        <w:t>.</w:t>
      </w:r>
      <w:r>
        <w:rPr>
          <w:rFonts w:hint="cs"/>
          <w:rtl/>
        </w:rPr>
        <w:t xml:space="preserve"> </w:t>
      </w:r>
      <w:r w:rsidRPr="009853E1">
        <w:rPr>
          <w:rFonts w:hint="cs"/>
          <w:color w:val="00B0F0"/>
          <w:rtl/>
        </w:rPr>
        <w:t>(וכ"פ הרמ"א)</w:t>
      </w:r>
    </w:p>
    <w:p w14:paraId="3BB75438" w14:textId="77777777" w:rsidR="002E5BAD" w:rsidRDefault="002E5BAD" w:rsidP="002E5BAD">
      <w:pPr>
        <w:pStyle w:val="ab"/>
        <w:numPr>
          <w:ilvl w:val="0"/>
          <w:numId w:val="178"/>
        </w:numPr>
      </w:pPr>
      <w:r>
        <w:rPr>
          <w:rFonts w:cs="Arial" w:hint="cs"/>
          <w:rtl/>
        </w:rPr>
        <w:t xml:space="preserve">רמב"ם </w:t>
      </w:r>
      <w:r>
        <w:rPr>
          <w:rFonts w:cs="Arial" w:hint="cs"/>
          <w:sz w:val="16"/>
          <w:szCs w:val="16"/>
          <w:rtl/>
        </w:rPr>
        <w:t>(פכ"ב מאישות הכ"ט)</w:t>
      </w:r>
      <w:r>
        <w:rPr>
          <w:rFonts w:cs="Arial" w:hint="cs"/>
          <w:rtl/>
        </w:rPr>
        <w:t xml:space="preserve">- </w:t>
      </w:r>
      <w:r w:rsidRPr="00155053">
        <w:rPr>
          <w:rFonts w:cs="Arial"/>
          <w:rtl/>
        </w:rPr>
        <w:t xml:space="preserve">המוכר קרקע לאשתו, אם היו המעות שלקחה בהן את הקרקע מבעלה גלויין וידועין לבעל </w:t>
      </w:r>
      <w:r>
        <w:rPr>
          <w:rFonts w:cs="Arial" w:hint="cs"/>
          <w:rtl/>
        </w:rPr>
        <w:t xml:space="preserve">- </w:t>
      </w:r>
      <w:r w:rsidRPr="00155053">
        <w:rPr>
          <w:rFonts w:cs="Arial"/>
          <w:rtl/>
        </w:rPr>
        <w:t>קנת</w:t>
      </w:r>
      <w:r>
        <w:rPr>
          <w:rFonts w:cs="Arial" w:hint="cs"/>
          <w:rtl/>
        </w:rPr>
        <w:t>,</w:t>
      </w:r>
      <w:r w:rsidRPr="00155053">
        <w:rPr>
          <w:rFonts w:cs="Arial"/>
          <w:rtl/>
        </w:rPr>
        <w:t xml:space="preserve"> והבעל אוכל פירות אותה קרקע</w:t>
      </w:r>
      <w:r>
        <w:rPr>
          <w:rFonts w:cs="Arial" w:hint="cs"/>
          <w:rtl/>
        </w:rPr>
        <w:t>.</w:t>
      </w:r>
      <w:r w:rsidRPr="00155053">
        <w:rPr>
          <w:rFonts w:cs="Arial"/>
          <w:rtl/>
        </w:rPr>
        <w:t xml:space="preserve"> ואם היו מעות טמונין </w:t>
      </w:r>
      <w:r>
        <w:rPr>
          <w:rFonts w:cs="Arial" w:hint="cs"/>
          <w:rtl/>
        </w:rPr>
        <w:t xml:space="preserve">- </w:t>
      </w:r>
      <w:r w:rsidRPr="00155053">
        <w:rPr>
          <w:rFonts w:cs="Arial"/>
          <w:rtl/>
        </w:rPr>
        <w:t>לא קנת</w:t>
      </w:r>
      <w:r>
        <w:rPr>
          <w:rFonts w:cs="Arial" w:hint="cs"/>
          <w:rtl/>
        </w:rPr>
        <w:t>,</w:t>
      </w:r>
      <w:r w:rsidRPr="00155053">
        <w:rPr>
          <w:rFonts w:cs="Arial"/>
          <w:rtl/>
        </w:rPr>
        <w:t xml:space="preserve"> שהבעל אומר לא מכרתי אלא כדי להראות המעות שטמנה, ואותן המעות שנראו ילקח בהן קרקע והבעל אוכל פירות</w:t>
      </w:r>
      <w:r>
        <w:rPr>
          <w:rStyle w:val="a7"/>
          <w:rFonts w:cs="Arial"/>
          <w:rtl/>
        </w:rPr>
        <w:footnoteReference w:id="1671"/>
      </w:r>
      <w:r w:rsidRPr="00155053">
        <w:rPr>
          <w:rFonts w:cs="Arial"/>
          <w:rtl/>
        </w:rPr>
        <w:t>.</w:t>
      </w:r>
      <w:r>
        <w:rPr>
          <w:rFonts w:cs="Arial" w:hint="cs"/>
          <w:rtl/>
        </w:rPr>
        <w:t xml:space="preserve"> </w:t>
      </w:r>
      <w:r w:rsidRPr="00137671">
        <w:rPr>
          <w:rFonts w:hint="cs"/>
          <w:color w:val="E36C0A" w:themeColor="accent6" w:themeShade="BF"/>
          <w:rtl/>
        </w:rPr>
        <w:t>(וכ"פ בשו"ע)</w:t>
      </w:r>
    </w:p>
    <w:p w14:paraId="0326CB07" w14:textId="77777777" w:rsidR="002E5BAD" w:rsidRPr="004F3EEF" w:rsidRDefault="002E5BAD" w:rsidP="002E5BAD">
      <w:pPr>
        <w:ind w:left="360"/>
        <w:rPr>
          <w:u w:val="dotted"/>
        </w:rPr>
      </w:pPr>
      <w:r>
        <w:rPr>
          <w:rFonts w:hint="cs"/>
          <w:u w:val="dotted"/>
          <w:rtl/>
        </w:rPr>
        <w:lastRenderedPageBreak/>
        <w:t>לטור וסיעתו - האם מדובר שהבעל טוען טענת ברי או שמא</w:t>
      </w:r>
      <w:r w:rsidRPr="004F3EEF">
        <w:rPr>
          <w:rFonts w:hint="cs"/>
          <w:u w:val="dotted"/>
          <w:rtl/>
        </w:rPr>
        <w:t>:</w:t>
      </w:r>
    </w:p>
    <w:p w14:paraId="0247877D" w14:textId="77777777" w:rsidR="002E5BAD" w:rsidRDefault="002E5BAD" w:rsidP="002E5BAD">
      <w:pPr>
        <w:pStyle w:val="ab"/>
        <w:numPr>
          <w:ilvl w:val="0"/>
          <w:numId w:val="178"/>
        </w:numPr>
      </w:pPr>
      <w:r w:rsidRPr="007A228B">
        <w:rPr>
          <w:rFonts w:cs="Arial"/>
          <w:rtl/>
        </w:rPr>
        <w:t xml:space="preserve">ה"ר יונה </w:t>
      </w:r>
      <w:r w:rsidRPr="00C10D4B">
        <w:rPr>
          <w:rFonts w:cs="Arial"/>
          <w:sz w:val="16"/>
          <w:szCs w:val="16"/>
          <w:rtl/>
        </w:rPr>
        <w:t>(בעליותיו ב"ב נא: סוד"ה ת"ר)</w:t>
      </w:r>
      <w:r>
        <w:rPr>
          <w:rFonts w:cs="Arial" w:hint="cs"/>
          <w:rtl/>
        </w:rPr>
        <w:t>-</w:t>
      </w:r>
      <w:r w:rsidRPr="007A228B">
        <w:rPr>
          <w:rFonts w:cs="Arial"/>
          <w:rtl/>
        </w:rPr>
        <w:t xml:space="preserve"> דוקא דקא טען טענת ברי דידי אינון</w:t>
      </w:r>
      <w:r>
        <w:rPr>
          <w:rFonts w:cs="Arial" w:hint="cs"/>
          <w:rtl/>
        </w:rPr>
        <w:t>,</w:t>
      </w:r>
      <w:r w:rsidRPr="007A228B">
        <w:rPr>
          <w:rFonts w:cs="Arial"/>
          <w:rtl/>
        </w:rPr>
        <w:t xml:space="preserve"> אבל אי טענה איהי טענת ברי שהן שלה והוא טוען טענת שמא </w:t>
      </w:r>
      <w:r>
        <w:rPr>
          <w:rFonts w:cs="Arial" w:hint="cs"/>
          <w:rtl/>
        </w:rPr>
        <w:t xml:space="preserve">- </w:t>
      </w:r>
      <w:r w:rsidRPr="007A228B">
        <w:rPr>
          <w:rFonts w:cs="Arial"/>
          <w:rtl/>
        </w:rPr>
        <w:t>צריך להחזירם לה</w:t>
      </w:r>
      <w:r>
        <w:rPr>
          <w:rFonts w:cs="Arial" w:hint="cs"/>
          <w:rtl/>
        </w:rPr>
        <w:t>,</w:t>
      </w:r>
      <w:r w:rsidRPr="007A228B">
        <w:rPr>
          <w:rFonts w:cs="Arial"/>
          <w:rtl/>
        </w:rPr>
        <w:t xml:space="preserve"> דכי אמרינן לגלויי זוזי הוא דבעי היינו דוקא בטוען ברי כך וכך יש לה משלי</w:t>
      </w:r>
      <w:r>
        <w:rPr>
          <w:rFonts w:cs="Arial" w:hint="cs"/>
          <w:rtl/>
        </w:rPr>
        <w:t>,</w:t>
      </w:r>
      <w:r w:rsidRPr="007A228B">
        <w:rPr>
          <w:rFonts w:cs="Arial"/>
          <w:rtl/>
        </w:rPr>
        <w:t xml:space="preserve"> אבל כשטוען שמא</w:t>
      </w:r>
      <w:r>
        <w:rPr>
          <w:rFonts w:cs="Arial" w:hint="cs"/>
          <w:rtl/>
        </w:rPr>
        <w:t xml:space="preserve"> </w:t>
      </w:r>
      <w:r w:rsidRPr="007A228B">
        <w:rPr>
          <w:rFonts w:cs="Arial"/>
          <w:rtl/>
        </w:rPr>
        <w:t>צריך להחזירם לה</w:t>
      </w:r>
      <w:r>
        <w:rPr>
          <w:rFonts w:cs="Arial" w:hint="cs"/>
          <w:rtl/>
        </w:rPr>
        <w:t>,</w:t>
      </w:r>
      <w:r w:rsidRPr="007A228B">
        <w:rPr>
          <w:rFonts w:cs="Arial"/>
          <w:rtl/>
        </w:rPr>
        <w:t xml:space="preserve"> וילקח בהם קרקע והוא אוכל פירות</w:t>
      </w:r>
      <w:r>
        <w:rPr>
          <w:rFonts w:cs="Arial" w:hint="cs"/>
          <w:sz w:val="16"/>
          <w:szCs w:val="16"/>
          <w:rtl/>
        </w:rPr>
        <w:t xml:space="preserve"> (ל' הטור בשמו)</w:t>
      </w:r>
      <w:r>
        <w:rPr>
          <w:rFonts w:cs="Arial" w:hint="cs"/>
          <w:rtl/>
        </w:rPr>
        <w:t>.</w:t>
      </w:r>
    </w:p>
    <w:p w14:paraId="0D2585E1" w14:textId="77777777" w:rsidR="002E5BAD" w:rsidRPr="0075102A" w:rsidRDefault="002E5BAD" w:rsidP="002E5BAD">
      <w:pPr>
        <w:ind w:left="360"/>
        <w:rPr>
          <w:u w:val="dotted"/>
        </w:rPr>
      </w:pPr>
      <w:r w:rsidRPr="0075102A">
        <w:rPr>
          <w:rFonts w:hint="cs"/>
          <w:u w:val="dotted"/>
          <w:rtl/>
        </w:rPr>
        <w:t xml:space="preserve">אשה </w:t>
      </w:r>
      <w:r>
        <w:rPr>
          <w:rFonts w:hint="cs"/>
          <w:u w:val="dotted"/>
          <w:rtl/>
        </w:rPr>
        <w:t>ש</w:t>
      </w:r>
      <w:r w:rsidRPr="0075102A">
        <w:rPr>
          <w:rFonts w:hint="cs"/>
          <w:u w:val="dotted"/>
          <w:rtl/>
        </w:rPr>
        <w:t>טוענת שהמעות שלה:</w:t>
      </w:r>
    </w:p>
    <w:p w14:paraId="738DCD71" w14:textId="77777777" w:rsidR="002E5BAD" w:rsidRDefault="002E5BAD" w:rsidP="002E5BAD">
      <w:pPr>
        <w:pStyle w:val="ab"/>
        <w:numPr>
          <w:ilvl w:val="0"/>
          <w:numId w:val="178"/>
        </w:numPr>
        <w:rPr>
          <w:rtl/>
        </w:rPr>
      </w:pPr>
      <w:r>
        <w:rPr>
          <w:rFonts w:cs="Arial"/>
          <w:rtl/>
        </w:rPr>
        <w:t xml:space="preserve">רמב"ן </w:t>
      </w:r>
      <w:r w:rsidRPr="0075102A">
        <w:rPr>
          <w:rFonts w:cs="Arial" w:hint="cs"/>
          <w:sz w:val="16"/>
          <w:szCs w:val="16"/>
          <w:rtl/>
        </w:rPr>
        <w:t>(</w:t>
      </w:r>
      <w:r w:rsidRPr="0075102A">
        <w:rPr>
          <w:rFonts w:cs="Arial"/>
          <w:sz w:val="16"/>
          <w:szCs w:val="16"/>
          <w:rtl/>
        </w:rPr>
        <w:t>פ</w:t>
      </w:r>
      <w:r w:rsidRPr="0075102A">
        <w:rPr>
          <w:rFonts w:cs="Arial" w:hint="cs"/>
          <w:sz w:val="16"/>
          <w:szCs w:val="16"/>
          <w:rtl/>
        </w:rPr>
        <w:t>'</w:t>
      </w:r>
      <w:r w:rsidRPr="0075102A">
        <w:rPr>
          <w:rFonts w:cs="Arial"/>
          <w:sz w:val="16"/>
          <w:szCs w:val="16"/>
          <w:rtl/>
        </w:rPr>
        <w:t xml:space="preserve"> חזקת הבתים נא: סוד"ה מן האשה)</w:t>
      </w:r>
      <w:r>
        <w:rPr>
          <w:rFonts w:cs="Arial" w:hint="cs"/>
          <w:rtl/>
        </w:rPr>
        <w:t>-</w:t>
      </w:r>
      <w:r>
        <w:rPr>
          <w:rFonts w:cs="Arial"/>
          <w:rtl/>
        </w:rPr>
        <w:t xml:space="preserve"> והא דאמרינן במעות טמונים </w:t>
      </w:r>
      <w:r>
        <w:rPr>
          <w:rFonts w:cs="Arial" w:hint="cs"/>
          <w:rtl/>
        </w:rPr>
        <w:t>'</w:t>
      </w:r>
      <w:r>
        <w:rPr>
          <w:rFonts w:cs="Arial"/>
          <w:rtl/>
        </w:rPr>
        <w:t>לא קנתה</w:t>
      </w:r>
      <w:r>
        <w:rPr>
          <w:rFonts w:cs="Arial" w:hint="cs"/>
          <w:rtl/>
        </w:rPr>
        <w:t>' -</w:t>
      </w:r>
      <w:r>
        <w:rPr>
          <w:rFonts w:cs="Arial"/>
          <w:rtl/>
        </w:rPr>
        <w:t xml:space="preserve"> כלל קאמרינן</w:t>
      </w:r>
      <w:r>
        <w:rPr>
          <w:rFonts w:cs="Arial" w:hint="cs"/>
          <w:rtl/>
        </w:rPr>
        <w:t>,</w:t>
      </w:r>
      <w:r>
        <w:rPr>
          <w:rFonts w:cs="Arial"/>
          <w:rtl/>
        </w:rPr>
        <w:t xml:space="preserve"> ואפילו בטוענת שלי הם</w:t>
      </w:r>
      <w:r>
        <w:rPr>
          <w:rFonts w:cs="Arial" w:hint="cs"/>
          <w:rtl/>
        </w:rPr>
        <w:t>.</w:t>
      </w:r>
      <w:r>
        <w:rPr>
          <w:rFonts w:cs="Arial"/>
          <w:rtl/>
        </w:rPr>
        <w:t xml:space="preserve"> ולאו למימרא דמצי אמר איהו שלי הם</w:t>
      </w:r>
      <w:r>
        <w:rPr>
          <w:rFonts w:cs="Arial" w:hint="cs"/>
          <w:rtl/>
        </w:rPr>
        <w:t>,</w:t>
      </w:r>
      <w:r>
        <w:rPr>
          <w:rFonts w:cs="Arial"/>
          <w:rtl/>
        </w:rPr>
        <w:t xml:space="preserve"> אלא שאם לא טענה איהי במתנה נתנו לי</w:t>
      </w:r>
      <w:r>
        <w:rPr>
          <w:rFonts w:cs="Arial" w:hint="cs"/>
          <w:rtl/>
        </w:rPr>
        <w:t xml:space="preserve"> -</w:t>
      </w:r>
      <w:r>
        <w:rPr>
          <w:rFonts w:cs="Arial"/>
          <w:rtl/>
        </w:rPr>
        <w:t xml:space="preserve"> אין מוציאין מידו</w:t>
      </w:r>
      <w:r>
        <w:rPr>
          <w:rFonts w:cs="Arial" w:hint="cs"/>
          <w:rtl/>
        </w:rPr>
        <w:t>,</w:t>
      </w:r>
      <w:r>
        <w:rPr>
          <w:rFonts w:cs="Arial"/>
          <w:rtl/>
        </w:rPr>
        <w:t xml:space="preserve"> ובין שטענה ובין שלא טענה </w:t>
      </w:r>
      <w:r>
        <w:rPr>
          <w:rFonts w:cs="Arial" w:hint="cs"/>
          <w:rtl/>
        </w:rPr>
        <w:t xml:space="preserve">- </w:t>
      </w:r>
      <w:r>
        <w:rPr>
          <w:rFonts w:cs="Arial"/>
          <w:rtl/>
        </w:rPr>
        <w:t>המכר בטל</w:t>
      </w:r>
      <w:r>
        <w:rPr>
          <w:rFonts w:cs="Arial" w:hint="cs"/>
          <w:rtl/>
        </w:rPr>
        <w:t>,</w:t>
      </w:r>
      <w:r>
        <w:rPr>
          <w:rFonts w:cs="Arial"/>
          <w:rtl/>
        </w:rPr>
        <w:t xml:space="preserve"> דאיהו לגלויי זוזי הוא דעבד</w:t>
      </w:r>
      <w:r>
        <w:rPr>
          <w:rFonts w:cs="Arial" w:hint="cs"/>
          <w:rtl/>
        </w:rPr>
        <w:t>,</w:t>
      </w:r>
      <w:r>
        <w:rPr>
          <w:rFonts w:cs="Arial"/>
          <w:rtl/>
        </w:rPr>
        <w:t xml:space="preserve"> ועדיין הוא טוען דשלו הן</w:t>
      </w:r>
      <w:r>
        <w:rPr>
          <w:rFonts w:cs="Arial" w:hint="cs"/>
          <w:rtl/>
        </w:rPr>
        <w:t>.</w:t>
      </w:r>
      <w:r>
        <w:rPr>
          <w:rFonts w:cs="Arial"/>
          <w:rtl/>
        </w:rPr>
        <w:t xml:space="preserve"> וכן הא דתניא לוה מן האשה וגרשה</w:t>
      </w:r>
      <w:r>
        <w:rPr>
          <w:rFonts w:cs="Arial" w:hint="cs"/>
          <w:rtl/>
        </w:rPr>
        <w:t>,</w:t>
      </w:r>
      <w:r>
        <w:rPr>
          <w:rFonts w:cs="Arial"/>
          <w:rtl/>
        </w:rPr>
        <w:t xml:space="preserve"> מן העבד ונשתחרר</w:t>
      </w:r>
      <w:r>
        <w:rPr>
          <w:rFonts w:cs="Arial" w:hint="cs"/>
          <w:rtl/>
        </w:rPr>
        <w:t xml:space="preserve"> -</w:t>
      </w:r>
      <w:r>
        <w:rPr>
          <w:rFonts w:cs="Arial"/>
          <w:rtl/>
        </w:rPr>
        <w:t xml:space="preserve"> אין לה עליו כלום</w:t>
      </w:r>
      <w:r>
        <w:rPr>
          <w:rFonts w:cs="Arial" w:hint="cs"/>
          <w:rtl/>
        </w:rPr>
        <w:t>,</w:t>
      </w:r>
      <w:r>
        <w:rPr>
          <w:rFonts w:cs="Arial"/>
          <w:rtl/>
        </w:rPr>
        <w:t xml:space="preserve"> הכי קאמר </w:t>
      </w:r>
      <w:r>
        <w:rPr>
          <w:rFonts w:cs="Arial" w:hint="cs"/>
          <w:rtl/>
        </w:rPr>
        <w:t xml:space="preserve">- </w:t>
      </w:r>
      <w:r>
        <w:rPr>
          <w:rFonts w:cs="Arial"/>
          <w:rtl/>
        </w:rPr>
        <w:t>אין יכולין לומר הואיל ושעבדת עצמך ונטלת בתורת הלואה הרי נתחייבת</w:t>
      </w:r>
      <w:r>
        <w:rPr>
          <w:rFonts w:cs="Arial" w:hint="cs"/>
          <w:rtl/>
        </w:rPr>
        <w:t>,</w:t>
      </w:r>
      <w:r>
        <w:rPr>
          <w:rFonts w:cs="Arial"/>
          <w:rtl/>
        </w:rPr>
        <w:t xml:space="preserve"> משום דקים לן דלגלויי זוזי הוא דעבד</w:t>
      </w:r>
      <w:r>
        <w:rPr>
          <w:rFonts w:cs="Arial" w:hint="cs"/>
          <w:rtl/>
        </w:rPr>
        <w:t>.</w:t>
      </w:r>
      <w:r>
        <w:rPr>
          <w:rFonts w:cs="Arial"/>
          <w:rtl/>
        </w:rPr>
        <w:t xml:space="preserve"> אבל אם טענה האשה דשלה היו</w:t>
      </w:r>
      <w:r>
        <w:rPr>
          <w:rFonts w:cs="Arial" w:hint="cs"/>
          <w:rtl/>
        </w:rPr>
        <w:t>,</w:t>
      </w:r>
      <w:r>
        <w:rPr>
          <w:rFonts w:cs="Arial"/>
          <w:rtl/>
        </w:rPr>
        <w:t xml:space="preserve"> אם אינה נושאת ונותנת בתוך הבית </w:t>
      </w:r>
      <w:r>
        <w:rPr>
          <w:rFonts w:cs="Arial" w:hint="cs"/>
          <w:rtl/>
        </w:rPr>
        <w:t xml:space="preserve">- </w:t>
      </w:r>
      <w:r>
        <w:rPr>
          <w:rFonts w:cs="Arial"/>
          <w:rtl/>
        </w:rPr>
        <w:t>הדין עמה</w:t>
      </w:r>
      <w:r>
        <w:rPr>
          <w:rFonts w:cs="Arial" w:hint="cs"/>
          <w:rtl/>
        </w:rPr>
        <w:t>.</w:t>
      </w:r>
      <w:r>
        <w:rPr>
          <w:rFonts w:cs="Arial"/>
          <w:rtl/>
        </w:rPr>
        <w:t xml:space="preserve"> ויש שסוברים דבמכר כיון שתפס הבעל המעות מן הסתם שלו הן</w:t>
      </w:r>
      <w:r>
        <w:rPr>
          <w:rFonts w:cs="Arial" w:hint="cs"/>
          <w:rtl/>
        </w:rPr>
        <w:t>,</w:t>
      </w:r>
      <w:r>
        <w:rPr>
          <w:rFonts w:cs="Arial"/>
          <w:rtl/>
        </w:rPr>
        <w:t xml:space="preserve"> ושוב אינה נאמנת לומר נכסי מלוג הם שאילו בעודם בידה טענה נאמנת</w:t>
      </w:r>
      <w:r>
        <w:rPr>
          <w:rFonts w:cs="Arial" w:hint="cs"/>
          <w:rtl/>
        </w:rPr>
        <w:t>,</w:t>
      </w:r>
      <w:r>
        <w:rPr>
          <w:rFonts w:cs="Arial"/>
          <w:rtl/>
        </w:rPr>
        <w:t xml:space="preserve"> וליכא למימר לגלויי זוזי הוא דעבד</w:t>
      </w:r>
      <w:r>
        <w:rPr>
          <w:rFonts w:cs="Arial" w:hint="cs"/>
          <w:rtl/>
        </w:rPr>
        <w:t>.</w:t>
      </w:r>
      <w:r w:rsidRPr="007A228B">
        <w:rPr>
          <w:rFonts w:cs="Arial"/>
          <w:rtl/>
        </w:rPr>
        <w:t xml:space="preserve"> </w:t>
      </w:r>
    </w:p>
    <w:p w14:paraId="220F4FE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079D957" w14:textId="77777777" w:rsidR="002E5BAD" w:rsidRDefault="002E5BAD" w:rsidP="002E5BAD">
      <w:pPr>
        <w:rPr>
          <w:rtl/>
        </w:rPr>
      </w:pPr>
      <w:r>
        <w:rPr>
          <w:rFonts w:cs="Arial"/>
          <w:rtl/>
        </w:rPr>
        <w:t>המוכר קרקע</w:t>
      </w:r>
      <w:r>
        <w:rPr>
          <w:rStyle w:val="a7"/>
          <w:rFonts w:cs="Arial"/>
          <w:rtl/>
        </w:rPr>
        <w:footnoteReference w:id="1672"/>
      </w:r>
      <w:r>
        <w:rPr>
          <w:rFonts w:cs="Arial"/>
          <w:rtl/>
        </w:rPr>
        <w:t xml:space="preserve"> לאשתו, אם היו המעות שלקחה בהם את הקרקע מהבעל גלוים</w:t>
      </w:r>
      <w:r>
        <w:rPr>
          <w:rStyle w:val="a7"/>
          <w:rFonts w:cs="Arial"/>
          <w:rtl/>
        </w:rPr>
        <w:footnoteReference w:id="1673"/>
      </w:r>
      <w:r>
        <w:rPr>
          <w:rFonts w:cs="Arial"/>
          <w:rtl/>
        </w:rPr>
        <w:t xml:space="preserve"> וידועים לבעל, קנתה</w:t>
      </w:r>
      <w:r>
        <w:rPr>
          <w:rStyle w:val="a7"/>
          <w:rFonts w:cs="Arial"/>
          <w:rtl/>
        </w:rPr>
        <w:footnoteReference w:id="1674"/>
      </w:r>
      <w:r>
        <w:rPr>
          <w:rFonts w:cs="Arial"/>
          <w:rtl/>
        </w:rPr>
        <w:t>, והבעל אוכל פירות אותו קרקע. ואם היו המעות טמונים, לא קנתה, שהבעל אומר: לא מכרתי אלא כדי להראות המעות שטמנה, ואותם המעות שנראו ילקח בהם קרקע</w:t>
      </w:r>
      <w:r>
        <w:rPr>
          <w:rStyle w:val="a7"/>
          <w:rFonts w:cs="Arial"/>
          <w:rtl/>
        </w:rPr>
        <w:footnoteReference w:id="1675"/>
      </w:r>
      <w:r>
        <w:rPr>
          <w:rFonts w:cs="Arial"/>
          <w:rtl/>
        </w:rPr>
        <w:t xml:space="preserve"> והבעל אוכל פירות. </w:t>
      </w:r>
      <w:r w:rsidRPr="00F46615">
        <w:rPr>
          <w:rFonts w:cs="Arial"/>
          <w:sz w:val="18"/>
          <w:szCs w:val="18"/>
          <w:rtl/>
        </w:rPr>
        <w:t>הגה: וי"א דאם טוען ברי שהמעות שלו, הרי הם שלו לגמרי</w:t>
      </w:r>
      <w:r>
        <w:rPr>
          <w:rStyle w:val="a7"/>
          <w:rFonts w:cs="Arial"/>
          <w:sz w:val="18"/>
          <w:szCs w:val="18"/>
          <w:rtl/>
        </w:rPr>
        <w:footnoteReference w:id="1676"/>
      </w:r>
      <w:r w:rsidRPr="00F46615">
        <w:rPr>
          <w:rFonts w:cs="Arial"/>
          <w:sz w:val="18"/>
          <w:szCs w:val="18"/>
          <w:rtl/>
        </w:rPr>
        <w:t xml:space="preserve"> (וכן משמע מלשון הטור). </w:t>
      </w:r>
    </w:p>
    <w:p w14:paraId="1D93B8D2" w14:textId="77777777" w:rsidR="002E5BAD" w:rsidRDefault="002E5BAD" w:rsidP="002E5BAD">
      <w:pPr>
        <w:rPr>
          <w:rtl/>
        </w:rPr>
      </w:pPr>
    </w:p>
    <w:p w14:paraId="47261E70" w14:textId="77777777" w:rsidR="002E5BAD" w:rsidRDefault="002E5BAD" w:rsidP="002E5BAD">
      <w:pPr>
        <w:pStyle w:val="2"/>
        <w:rPr>
          <w:rtl/>
        </w:rPr>
      </w:pPr>
      <w:r>
        <w:rPr>
          <w:rtl/>
        </w:rPr>
        <w:t>סעיף י</w:t>
      </w:r>
      <w:r>
        <w:rPr>
          <w:rFonts w:hint="cs"/>
          <w:rtl/>
        </w:rPr>
        <w:t>: הוא אומר 'טמונים היו', והיא אומרים 'לא היו טמונים'.</w:t>
      </w:r>
    </w:p>
    <w:p w14:paraId="1C6A99D6" w14:textId="77777777" w:rsidR="002E5BAD" w:rsidRPr="009B5759" w:rsidRDefault="002E5BAD" w:rsidP="002E5BAD">
      <w:pPr>
        <w:rPr>
          <w:u w:val="single"/>
          <w:rtl/>
        </w:rPr>
      </w:pPr>
      <w:r w:rsidRPr="009B5759">
        <w:rPr>
          <w:rFonts w:hint="cs"/>
          <w:u w:val="single"/>
          <w:rtl/>
        </w:rPr>
        <w:t>הוא אומר 'טמונים היו', והיא אומרים 'לא היו טמונים':</w:t>
      </w:r>
    </w:p>
    <w:p w14:paraId="409C76D7" w14:textId="77777777" w:rsidR="002E5BAD" w:rsidRPr="00605FD6" w:rsidRDefault="002E5BAD" w:rsidP="002E5BAD">
      <w:pPr>
        <w:pStyle w:val="ab"/>
        <w:numPr>
          <w:ilvl w:val="0"/>
          <w:numId w:val="178"/>
        </w:numPr>
      </w:pPr>
      <w:r w:rsidRPr="007A228B">
        <w:rPr>
          <w:rFonts w:cs="Arial"/>
          <w:rtl/>
        </w:rPr>
        <w:t>רמ"ה</w:t>
      </w:r>
      <w:r>
        <w:rPr>
          <w:rFonts w:cs="Arial" w:hint="cs"/>
          <w:rtl/>
        </w:rPr>
        <w:t xml:space="preserve"> </w:t>
      </w:r>
      <w:r w:rsidRPr="00130EF9">
        <w:rPr>
          <w:rFonts w:cs="Arial"/>
          <w:sz w:val="16"/>
          <w:szCs w:val="16"/>
          <w:rtl/>
        </w:rPr>
        <w:t>(שם סו"ס רה</w:t>
      </w:r>
      <w:r>
        <w:rPr>
          <w:rFonts w:cs="Arial" w:hint="cs"/>
          <w:sz w:val="16"/>
          <w:szCs w:val="16"/>
          <w:rtl/>
        </w:rPr>
        <w:t>, כ"כ הטור בשמו</w:t>
      </w:r>
      <w:r w:rsidRPr="00130EF9">
        <w:rPr>
          <w:rFonts w:cs="Arial"/>
          <w:sz w:val="16"/>
          <w:szCs w:val="16"/>
          <w:rtl/>
        </w:rPr>
        <w:t xml:space="preserve">) </w:t>
      </w:r>
      <w:r>
        <w:rPr>
          <w:rFonts w:cs="Arial" w:hint="cs"/>
          <w:rtl/>
        </w:rPr>
        <w:t>וטור-</w:t>
      </w:r>
      <w:r w:rsidRPr="007A228B">
        <w:rPr>
          <w:rFonts w:cs="Arial"/>
          <w:rtl/>
        </w:rPr>
        <w:t xml:space="preserve"> היכא דלא ידעינן אי מעות טמונין הוו אי לא</w:t>
      </w:r>
      <w:r>
        <w:rPr>
          <w:rFonts w:cs="Arial" w:hint="cs"/>
          <w:rtl/>
        </w:rPr>
        <w:t>,</w:t>
      </w:r>
      <w:r w:rsidRPr="007A228B">
        <w:rPr>
          <w:rFonts w:cs="Arial"/>
          <w:rtl/>
        </w:rPr>
        <w:t xml:space="preserve"> הוא אומר טמונים הוו והיא אומרת לאו טמונים היו </w:t>
      </w:r>
      <w:r>
        <w:rPr>
          <w:rFonts w:cs="Arial" w:hint="cs"/>
          <w:rtl/>
        </w:rPr>
        <w:t xml:space="preserve">- </w:t>
      </w:r>
      <w:r w:rsidRPr="007A228B">
        <w:rPr>
          <w:rFonts w:cs="Arial"/>
          <w:rtl/>
        </w:rPr>
        <w:t>עליה להביא ראיה</w:t>
      </w:r>
      <w:r>
        <w:rPr>
          <w:rFonts w:cs="Arial" w:hint="cs"/>
          <w:rtl/>
        </w:rPr>
        <w:t>,</w:t>
      </w:r>
      <w:r w:rsidRPr="007A228B">
        <w:rPr>
          <w:rFonts w:cs="Arial"/>
          <w:rtl/>
        </w:rPr>
        <w:t xml:space="preserve"> דהא קרקע בחזקת בעלה עומדת</w:t>
      </w:r>
      <w:r>
        <w:rPr>
          <w:rFonts w:cs="Arial" w:hint="cs"/>
          <w:rtl/>
        </w:rPr>
        <w:t>,</w:t>
      </w:r>
      <w:r w:rsidRPr="007A228B">
        <w:rPr>
          <w:rFonts w:cs="Arial"/>
          <w:rtl/>
        </w:rPr>
        <w:t xml:space="preserve"> אף על פי שיש לה שטר עליו כל זמן שלא נתברר דלאו מעות טמונים הוו כמי שלא נתקיים השטר דמי</w:t>
      </w:r>
      <w:r>
        <w:rPr>
          <w:rFonts w:cs="Arial" w:hint="cs"/>
          <w:sz w:val="16"/>
          <w:szCs w:val="16"/>
          <w:rtl/>
        </w:rPr>
        <w:t xml:space="preserve"> (ל' הטור בשם הרמ"ה)</w:t>
      </w:r>
      <w:r>
        <w:rPr>
          <w:rFonts w:cs="Arial" w:hint="cs"/>
          <w:rtl/>
        </w:rPr>
        <w:t>.</w:t>
      </w:r>
      <w:r w:rsidRPr="009B5759">
        <w:rPr>
          <w:rFonts w:hint="cs"/>
          <w:color w:val="E36C0A" w:themeColor="accent6" w:themeShade="BF"/>
          <w:rtl/>
        </w:rPr>
        <w:t xml:space="preserve"> </w:t>
      </w:r>
      <w:r w:rsidRPr="00137671">
        <w:rPr>
          <w:rFonts w:hint="cs"/>
          <w:color w:val="E36C0A" w:themeColor="accent6" w:themeShade="BF"/>
          <w:rtl/>
        </w:rPr>
        <w:t>(וכ"פ בשו"ע)</w:t>
      </w:r>
    </w:p>
    <w:p w14:paraId="4D87F69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40CBD13" w14:textId="77777777" w:rsidR="002E5BAD" w:rsidRDefault="002E5BAD" w:rsidP="002E5BAD">
      <w:pPr>
        <w:rPr>
          <w:rFonts w:cs="Arial"/>
          <w:rtl/>
        </w:rPr>
      </w:pPr>
      <w:r>
        <w:rPr>
          <w:rFonts w:cs="Arial"/>
          <w:rtl/>
        </w:rPr>
        <w:t>אם הוא אומר: טמונים היו, והיא אומרת: לא היו, עליה להביא ראיה.</w:t>
      </w:r>
    </w:p>
    <w:p w14:paraId="27BE6C27" w14:textId="77777777" w:rsidR="002E5BAD" w:rsidRDefault="002E5BAD" w:rsidP="002E5BAD">
      <w:pPr>
        <w:rPr>
          <w:rtl/>
        </w:rPr>
      </w:pPr>
      <w:r>
        <w:rPr>
          <w:rFonts w:cs="Arial"/>
          <w:rtl/>
        </w:rPr>
        <w:t xml:space="preserve"> </w:t>
      </w:r>
    </w:p>
    <w:p w14:paraId="4F47DD86" w14:textId="77777777" w:rsidR="002E5BAD" w:rsidRDefault="002E5BAD" w:rsidP="002E5BAD">
      <w:pPr>
        <w:pStyle w:val="2"/>
        <w:rPr>
          <w:rtl/>
        </w:rPr>
      </w:pPr>
      <w:r>
        <w:rPr>
          <w:rtl/>
        </w:rPr>
        <w:lastRenderedPageBreak/>
        <w:t>סעיף יא</w:t>
      </w:r>
      <w:r>
        <w:rPr>
          <w:rFonts w:hint="cs"/>
          <w:rtl/>
        </w:rPr>
        <w:t xml:space="preserve">: הנותן מתנה לאשת איש על מנת שאין לבעלה רשות בה. </w:t>
      </w:r>
    </w:p>
    <w:p w14:paraId="130A30DA" w14:textId="77777777" w:rsidR="002E5BAD" w:rsidRPr="00560CFB" w:rsidRDefault="002E5BAD" w:rsidP="002E5BAD">
      <w:pPr>
        <w:rPr>
          <w:rFonts w:cs="Arial"/>
        </w:rPr>
      </w:pPr>
      <w:r>
        <w:rPr>
          <w:rFonts w:cs="Arial" w:hint="cs"/>
          <w:b/>
          <w:bCs/>
          <w:rtl/>
        </w:rPr>
        <w:t xml:space="preserve">נדרים </w:t>
      </w:r>
      <w:r>
        <w:rPr>
          <w:rFonts w:cs="Arial" w:hint="cs"/>
          <w:b/>
          <w:bCs/>
          <w:sz w:val="16"/>
          <w:szCs w:val="16"/>
          <w:rtl/>
        </w:rPr>
        <w:t>(פ' בתרא)</w:t>
      </w:r>
      <w:r>
        <w:rPr>
          <w:rFonts w:cs="Arial" w:hint="cs"/>
          <w:b/>
          <w:bCs/>
          <w:rtl/>
        </w:rPr>
        <w:t xml:space="preserve"> פח ע"א: </w:t>
      </w:r>
      <w:r w:rsidRPr="00527718">
        <w:rPr>
          <w:rFonts w:cs="Arial"/>
          <w:u w:val="double"/>
          <w:rtl/>
        </w:rPr>
        <w:t>מתני'</w:t>
      </w:r>
      <w:r>
        <w:rPr>
          <w:rFonts w:cs="Arial" w:hint="cs"/>
          <w:rtl/>
        </w:rPr>
        <w:t>:</w:t>
      </w:r>
      <w:r>
        <w:rPr>
          <w:rFonts w:cs="Arial"/>
          <w:rtl/>
        </w:rPr>
        <w:t xml:space="preserve"> המדיר הנאה מחתנו והוא רוצה לתת לבתו מעות, אומר לה: הרי המעות האלו נתונין לך במתנה, ובלבד שלא יהא לבעליך רשות בהן</w:t>
      </w:r>
      <w:r>
        <w:rPr>
          <w:rFonts w:cs="Arial" w:hint="cs"/>
          <w:rtl/>
        </w:rPr>
        <w:t>,</w:t>
      </w:r>
      <w:r>
        <w:rPr>
          <w:rFonts w:cs="Arial"/>
          <w:rtl/>
        </w:rPr>
        <w:t xml:space="preserve"> אלא מה שאת נושאת ונותנת </w:t>
      </w:r>
      <w:r>
        <w:rPr>
          <w:rFonts w:cs="Arial" w:hint="cs"/>
          <w:rtl/>
        </w:rPr>
        <w:t xml:space="preserve">- </w:t>
      </w:r>
      <w:r>
        <w:rPr>
          <w:rFonts w:cs="Arial"/>
          <w:rtl/>
        </w:rPr>
        <w:t xml:space="preserve">בפיך. </w:t>
      </w:r>
      <w:r>
        <w:rPr>
          <w:rFonts w:hint="cs"/>
          <w:rtl/>
        </w:rPr>
        <w:t xml:space="preserve">      </w:t>
      </w:r>
      <w:r w:rsidRPr="00527718">
        <w:rPr>
          <w:rFonts w:cs="Arial"/>
          <w:u w:val="double"/>
          <w:rtl/>
        </w:rPr>
        <w:t>גמ'</w:t>
      </w:r>
      <w:r>
        <w:rPr>
          <w:rFonts w:cs="Arial" w:hint="cs"/>
          <w:rtl/>
        </w:rPr>
        <w:t>:</w:t>
      </w:r>
      <w:r>
        <w:rPr>
          <w:rFonts w:cs="Arial"/>
          <w:rtl/>
        </w:rPr>
        <w:t xml:space="preserve"> </w:t>
      </w:r>
      <w:r w:rsidRPr="00527718">
        <w:rPr>
          <w:rFonts w:cs="Arial"/>
          <w:u w:val="single"/>
          <w:rtl/>
        </w:rPr>
        <w:t>אמר רב</w:t>
      </w:r>
      <w:r>
        <w:rPr>
          <w:rFonts w:cs="Arial"/>
          <w:rtl/>
        </w:rPr>
        <w:t>: לא שנו אלא דאמר לה מה שאת נושאת ונותנת בפיך</w:t>
      </w:r>
      <w:r>
        <w:rPr>
          <w:rStyle w:val="a7"/>
          <w:rFonts w:cs="Arial"/>
          <w:rtl/>
        </w:rPr>
        <w:footnoteReference w:id="1677"/>
      </w:r>
      <w:r>
        <w:rPr>
          <w:rFonts w:cs="Arial"/>
          <w:rtl/>
        </w:rPr>
        <w:t>, אבל אמר מה שתרצי עשי</w:t>
      </w:r>
      <w:r>
        <w:rPr>
          <w:rStyle w:val="a7"/>
          <w:rFonts w:cs="Arial"/>
          <w:rtl/>
        </w:rPr>
        <w:footnoteReference w:id="1678"/>
      </w:r>
      <w:r>
        <w:rPr>
          <w:rFonts w:cs="Arial"/>
          <w:rtl/>
        </w:rPr>
        <w:t xml:space="preserve"> - קנה יתהון בעל</w:t>
      </w:r>
      <w:r>
        <w:rPr>
          <w:rFonts w:cs="Arial" w:hint="cs"/>
          <w:rtl/>
        </w:rPr>
        <w:t>.</w:t>
      </w:r>
      <w:r>
        <w:rPr>
          <w:rFonts w:cs="Arial"/>
          <w:rtl/>
        </w:rPr>
        <w:t xml:space="preserve"> </w:t>
      </w:r>
      <w:r w:rsidRPr="00527718">
        <w:rPr>
          <w:rFonts w:cs="Arial"/>
          <w:u w:val="single"/>
          <w:rtl/>
        </w:rPr>
        <w:t>ושמואל אומר</w:t>
      </w:r>
      <w:r>
        <w:rPr>
          <w:rFonts w:cs="Arial"/>
          <w:rtl/>
        </w:rPr>
        <w:t xml:space="preserve">: אפילו אמר מה שתרצי עשי - לא קנה יתהון בעל. </w:t>
      </w:r>
      <w:r w:rsidRPr="003E0EE6">
        <w:rPr>
          <w:rFonts w:cs="Arial" w:hint="cs"/>
          <w:sz w:val="16"/>
          <w:szCs w:val="16"/>
          <w:rtl/>
        </w:rPr>
        <w:t>(ופירש ה</w:t>
      </w:r>
      <w:r w:rsidRPr="003E0EE6">
        <w:rPr>
          <w:rFonts w:cs="Arial"/>
          <w:sz w:val="16"/>
          <w:szCs w:val="16"/>
          <w:rtl/>
        </w:rPr>
        <w:t>ר"ן</w:t>
      </w:r>
      <w:r w:rsidRPr="003E0EE6">
        <w:rPr>
          <w:rFonts w:cs="Arial" w:hint="cs"/>
          <w:sz w:val="16"/>
          <w:szCs w:val="16"/>
          <w:rtl/>
        </w:rPr>
        <w:t xml:space="preserve"> (</w:t>
      </w:r>
      <w:r w:rsidRPr="003E0EE6">
        <w:rPr>
          <w:rFonts w:cs="Arial"/>
          <w:sz w:val="16"/>
          <w:szCs w:val="16"/>
          <w:rtl/>
        </w:rPr>
        <w:t>פ</w:t>
      </w:r>
      <w:r w:rsidRPr="003E0EE6">
        <w:rPr>
          <w:rFonts w:cs="Arial" w:hint="cs"/>
          <w:sz w:val="16"/>
          <w:szCs w:val="16"/>
          <w:rtl/>
        </w:rPr>
        <w:t>'</w:t>
      </w:r>
      <w:r w:rsidRPr="003E0EE6">
        <w:rPr>
          <w:rFonts w:cs="Arial"/>
          <w:sz w:val="16"/>
          <w:szCs w:val="16"/>
          <w:rtl/>
        </w:rPr>
        <w:t xml:space="preserve"> בתרא </w:t>
      </w:r>
      <w:r w:rsidRPr="003E0EE6">
        <w:rPr>
          <w:rFonts w:cs="Arial" w:hint="cs"/>
          <w:sz w:val="16"/>
          <w:szCs w:val="16"/>
          <w:rtl/>
        </w:rPr>
        <w:t>ד</w:t>
      </w:r>
      <w:r w:rsidRPr="003E0EE6">
        <w:rPr>
          <w:rFonts w:cs="Arial"/>
          <w:sz w:val="16"/>
          <w:szCs w:val="16"/>
          <w:rtl/>
        </w:rPr>
        <w:t>נדרים פח.)</w:t>
      </w:r>
      <w:r w:rsidRPr="003E0EE6">
        <w:rPr>
          <w:rFonts w:cs="Arial" w:hint="cs"/>
          <w:sz w:val="16"/>
          <w:szCs w:val="16"/>
          <w:rtl/>
        </w:rPr>
        <w:t xml:space="preserve"> דהא דאמר רב </w:t>
      </w:r>
      <w:r w:rsidRPr="003E0EE6">
        <w:rPr>
          <w:rFonts w:cs="Arial"/>
          <w:sz w:val="16"/>
          <w:szCs w:val="16"/>
          <w:rtl/>
        </w:rPr>
        <w:t>לא שנו אלא דא"ל מה שאת נותנת לפיך</w:t>
      </w:r>
      <w:r w:rsidRPr="003E0EE6">
        <w:rPr>
          <w:rFonts w:cs="Arial" w:hint="cs"/>
          <w:sz w:val="16"/>
          <w:szCs w:val="16"/>
          <w:rtl/>
        </w:rPr>
        <w:t>,</w:t>
      </w:r>
      <w:r w:rsidRPr="003E0EE6">
        <w:rPr>
          <w:rFonts w:cs="Arial"/>
          <w:sz w:val="16"/>
          <w:szCs w:val="16"/>
          <w:rtl/>
        </w:rPr>
        <w:t xml:space="preserve"> כלומר כלישנא דמתניתין דא"ל תרתי </w:t>
      </w:r>
      <w:r w:rsidRPr="003E0EE6">
        <w:rPr>
          <w:rFonts w:cs="Arial" w:hint="cs"/>
          <w:sz w:val="16"/>
          <w:szCs w:val="16"/>
          <w:rtl/>
        </w:rPr>
        <w:t>'</w:t>
      </w:r>
      <w:r w:rsidRPr="003E0EE6">
        <w:rPr>
          <w:rFonts w:cs="Arial"/>
          <w:sz w:val="16"/>
          <w:szCs w:val="16"/>
          <w:rtl/>
        </w:rPr>
        <w:t>על מנת שאין לבעליך רשות בהם אלא מה שאת נושאת ונותנת לפיך</w:t>
      </w:r>
      <w:r w:rsidRPr="003E0EE6">
        <w:rPr>
          <w:rFonts w:cs="Arial" w:hint="cs"/>
          <w:sz w:val="16"/>
          <w:szCs w:val="16"/>
          <w:rtl/>
        </w:rPr>
        <w:t>',</w:t>
      </w:r>
      <w:r w:rsidRPr="003E0EE6">
        <w:rPr>
          <w:rFonts w:cs="Arial"/>
          <w:sz w:val="16"/>
          <w:szCs w:val="16"/>
          <w:rtl/>
        </w:rPr>
        <w:t xml:space="preserve"> בכי האי גוונא בלחוד הוא דלא קנה יתהון בעל</w:t>
      </w:r>
      <w:r w:rsidRPr="003E0EE6">
        <w:rPr>
          <w:rFonts w:cs="Arial" w:hint="cs"/>
          <w:sz w:val="16"/>
          <w:szCs w:val="16"/>
          <w:rtl/>
        </w:rPr>
        <w:t>.</w:t>
      </w:r>
      <w:r w:rsidRPr="003E0EE6">
        <w:rPr>
          <w:rFonts w:cs="Arial"/>
          <w:sz w:val="16"/>
          <w:szCs w:val="16"/>
          <w:rtl/>
        </w:rPr>
        <w:t xml:space="preserve"> משום ש</w:t>
      </w:r>
      <w:r w:rsidRPr="003E0EE6">
        <w:rPr>
          <w:rFonts w:cs="Arial" w:hint="cs"/>
          <w:sz w:val="16"/>
          <w:szCs w:val="16"/>
          <w:rtl/>
        </w:rPr>
        <w:t>'</w:t>
      </w:r>
      <w:r w:rsidRPr="003E0EE6">
        <w:rPr>
          <w:rFonts w:cs="Arial"/>
          <w:sz w:val="16"/>
          <w:szCs w:val="16"/>
          <w:rtl/>
        </w:rPr>
        <w:t>מה שתרצי עשי</w:t>
      </w:r>
      <w:r w:rsidRPr="003E0EE6">
        <w:rPr>
          <w:rFonts w:cs="Arial" w:hint="cs"/>
          <w:sz w:val="16"/>
          <w:szCs w:val="16"/>
          <w:rtl/>
        </w:rPr>
        <w:t>'</w:t>
      </w:r>
      <w:r w:rsidRPr="003E0EE6">
        <w:rPr>
          <w:rFonts w:cs="Arial"/>
          <w:sz w:val="16"/>
          <w:szCs w:val="16"/>
          <w:rtl/>
        </w:rPr>
        <w:t xml:space="preserve"> לא מהני טפי מ</w:t>
      </w:r>
      <w:r w:rsidRPr="003E0EE6">
        <w:rPr>
          <w:rFonts w:cs="Arial" w:hint="cs"/>
          <w:sz w:val="16"/>
          <w:szCs w:val="16"/>
          <w:rtl/>
        </w:rPr>
        <w:t>'</w:t>
      </w:r>
      <w:r w:rsidRPr="003E0EE6">
        <w:rPr>
          <w:rFonts w:cs="Arial"/>
          <w:sz w:val="16"/>
          <w:szCs w:val="16"/>
          <w:rtl/>
        </w:rPr>
        <w:t>אין לבעליך רשות בהם</w:t>
      </w:r>
      <w:r w:rsidRPr="003E0EE6">
        <w:rPr>
          <w:rFonts w:cs="Arial" w:hint="cs"/>
          <w:sz w:val="16"/>
          <w:szCs w:val="16"/>
          <w:rtl/>
        </w:rPr>
        <w:t>',</w:t>
      </w:r>
      <w:r w:rsidRPr="003E0EE6">
        <w:rPr>
          <w:rFonts w:cs="Arial"/>
          <w:sz w:val="16"/>
          <w:szCs w:val="16"/>
          <w:rtl/>
        </w:rPr>
        <w:t xml:space="preserve"> וכי היכי ד</w:t>
      </w:r>
      <w:r w:rsidRPr="003E0EE6">
        <w:rPr>
          <w:rFonts w:cs="Arial" w:hint="cs"/>
          <w:sz w:val="16"/>
          <w:szCs w:val="16"/>
          <w:rtl/>
        </w:rPr>
        <w:t>'</w:t>
      </w:r>
      <w:r w:rsidRPr="003E0EE6">
        <w:rPr>
          <w:rFonts w:cs="Arial"/>
          <w:sz w:val="16"/>
          <w:szCs w:val="16"/>
          <w:rtl/>
        </w:rPr>
        <w:t>אין לבעליך רשות בהם</w:t>
      </w:r>
      <w:r w:rsidRPr="003E0EE6">
        <w:rPr>
          <w:rFonts w:cs="Arial" w:hint="cs"/>
          <w:sz w:val="16"/>
          <w:szCs w:val="16"/>
          <w:rtl/>
        </w:rPr>
        <w:t>'</w:t>
      </w:r>
      <w:r w:rsidRPr="003E0EE6">
        <w:rPr>
          <w:rFonts w:cs="Arial"/>
          <w:sz w:val="16"/>
          <w:szCs w:val="16"/>
          <w:rtl/>
        </w:rPr>
        <w:t xml:space="preserve"> בלחוד לא מהני כי אמר להו לתרוייהו </w:t>
      </w:r>
      <w:r w:rsidRPr="003E0EE6">
        <w:rPr>
          <w:rFonts w:cs="Arial" w:hint="cs"/>
          <w:sz w:val="16"/>
          <w:szCs w:val="16"/>
          <w:rtl/>
        </w:rPr>
        <w:t xml:space="preserve">- </w:t>
      </w:r>
      <w:r w:rsidRPr="003E0EE6">
        <w:rPr>
          <w:rFonts w:cs="Arial"/>
          <w:sz w:val="16"/>
          <w:szCs w:val="16"/>
          <w:rtl/>
        </w:rPr>
        <w:t>לא מהני</w:t>
      </w:r>
      <w:r w:rsidRPr="003E0EE6">
        <w:rPr>
          <w:rFonts w:cs="Arial" w:hint="cs"/>
          <w:sz w:val="16"/>
          <w:szCs w:val="16"/>
          <w:rtl/>
        </w:rPr>
        <w:t>,</w:t>
      </w:r>
      <w:r w:rsidRPr="003E0EE6">
        <w:rPr>
          <w:rFonts w:cs="Arial"/>
          <w:sz w:val="16"/>
          <w:szCs w:val="16"/>
          <w:rtl/>
        </w:rPr>
        <w:t xml:space="preserve"> דחדא מילתא נינהו</w:t>
      </w:r>
      <w:r w:rsidRPr="003E0EE6">
        <w:rPr>
          <w:rFonts w:cs="Arial" w:hint="cs"/>
          <w:sz w:val="16"/>
          <w:szCs w:val="16"/>
          <w:rtl/>
        </w:rPr>
        <w:t>.</w:t>
      </w:r>
      <w:r w:rsidRPr="003E0EE6">
        <w:rPr>
          <w:rFonts w:cs="Arial"/>
          <w:sz w:val="16"/>
          <w:szCs w:val="16"/>
          <w:rtl/>
        </w:rPr>
        <w:t xml:space="preserve"> ושמואל אמר אפילו אמר מה שתרצי עשי לא קנה יתהון בעל</w:t>
      </w:r>
      <w:r w:rsidRPr="003E0EE6">
        <w:rPr>
          <w:rFonts w:cs="Arial" w:hint="cs"/>
          <w:sz w:val="16"/>
          <w:szCs w:val="16"/>
          <w:rtl/>
        </w:rPr>
        <w:t xml:space="preserve">, </w:t>
      </w:r>
      <w:r w:rsidRPr="003E0EE6">
        <w:rPr>
          <w:rFonts w:cs="Arial"/>
          <w:sz w:val="16"/>
          <w:szCs w:val="16"/>
          <w:rtl/>
        </w:rPr>
        <w:t>לא פליג ארב בפירושא דמתניתין</w:t>
      </w:r>
      <w:r w:rsidRPr="003E0EE6">
        <w:rPr>
          <w:rFonts w:cs="Arial" w:hint="cs"/>
          <w:sz w:val="16"/>
          <w:szCs w:val="16"/>
          <w:rtl/>
        </w:rPr>
        <w:t>,</w:t>
      </w:r>
      <w:r w:rsidRPr="003E0EE6">
        <w:rPr>
          <w:rFonts w:cs="Arial"/>
          <w:sz w:val="16"/>
          <w:szCs w:val="16"/>
          <w:rtl/>
        </w:rPr>
        <w:t xml:space="preserve"> אלא בדינא פליג עליה</w:t>
      </w:r>
      <w:r w:rsidRPr="003E0EE6">
        <w:rPr>
          <w:rFonts w:cs="Arial" w:hint="cs"/>
          <w:sz w:val="16"/>
          <w:szCs w:val="16"/>
          <w:rtl/>
        </w:rPr>
        <w:t>,</w:t>
      </w:r>
      <w:r w:rsidRPr="003E0EE6">
        <w:rPr>
          <w:rFonts w:cs="Arial"/>
          <w:sz w:val="16"/>
          <w:szCs w:val="16"/>
          <w:rtl/>
        </w:rPr>
        <w:t xml:space="preserve"> דסבירא ליה דהלכה כרבנן דפליגי אמתניתין ואמרי דלא אמרינן יד אשה כיד בעלה</w:t>
      </w:r>
      <w:r w:rsidRPr="003E0EE6">
        <w:rPr>
          <w:rFonts w:cs="Arial" w:hint="cs"/>
          <w:sz w:val="16"/>
          <w:szCs w:val="16"/>
          <w:rtl/>
        </w:rPr>
        <w:t>.</w:t>
      </w:r>
      <w:r w:rsidRPr="003E0EE6">
        <w:rPr>
          <w:rFonts w:cs="Arial"/>
          <w:sz w:val="16"/>
          <w:szCs w:val="16"/>
          <w:rtl/>
        </w:rPr>
        <w:t xml:space="preserve"> הילכך אי א"ל </w:t>
      </w:r>
      <w:r w:rsidRPr="003E0EE6">
        <w:rPr>
          <w:rFonts w:cs="Arial" w:hint="cs"/>
          <w:sz w:val="16"/>
          <w:szCs w:val="16"/>
          <w:rtl/>
        </w:rPr>
        <w:t>'</w:t>
      </w:r>
      <w:r w:rsidRPr="003E0EE6">
        <w:rPr>
          <w:rFonts w:cs="Arial"/>
          <w:sz w:val="16"/>
          <w:szCs w:val="16"/>
          <w:rtl/>
        </w:rPr>
        <w:t>מה שתרצי עשי</w:t>
      </w:r>
      <w:r w:rsidRPr="003E0EE6">
        <w:rPr>
          <w:rFonts w:cs="Arial" w:hint="cs"/>
          <w:sz w:val="16"/>
          <w:szCs w:val="16"/>
          <w:rtl/>
        </w:rPr>
        <w:t>',</w:t>
      </w:r>
      <w:r w:rsidRPr="003E0EE6">
        <w:rPr>
          <w:rFonts w:cs="Arial"/>
          <w:sz w:val="16"/>
          <w:szCs w:val="16"/>
          <w:rtl/>
        </w:rPr>
        <w:t xml:space="preserve"> אי נמי </w:t>
      </w:r>
      <w:r w:rsidRPr="003E0EE6">
        <w:rPr>
          <w:rFonts w:cs="Arial" w:hint="cs"/>
          <w:sz w:val="16"/>
          <w:szCs w:val="16"/>
          <w:rtl/>
        </w:rPr>
        <w:t>'</w:t>
      </w:r>
      <w:r w:rsidRPr="003E0EE6">
        <w:rPr>
          <w:rFonts w:cs="Arial"/>
          <w:sz w:val="16"/>
          <w:szCs w:val="16"/>
          <w:rtl/>
        </w:rPr>
        <w:t>על מנת שאין לבעליך רשות בהם</w:t>
      </w:r>
      <w:r w:rsidRPr="003E0EE6">
        <w:rPr>
          <w:rFonts w:cs="Arial" w:hint="cs"/>
          <w:sz w:val="16"/>
          <w:szCs w:val="16"/>
          <w:rtl/>
        </w:rPr>
        <w:t>'</w:t>
      </w:r>
      <w:r w:rsidRPr="003E0EE6">
        <w:rPr>
          <w:rFonts w:cs="Arial"/>
          <w:sz w:val="16"/>
          <w:szCs w:val="16"/>
          <w:rtl/>
        </w:rPr>
        <w:t xml:space="preserve"> בלחוד דכי הדדי נינהו </w:t>
      </w:r>
      <w:r w:rsidRPr="003E0EE6">
        <w:rPr>
          <w:rFonts w:cs="Arial" w:hint="cs"/>
          <w:sz w:val="16"/>
          <w:szCs w:val="16"/>
          <w:rtl/>
        </w:rPr>
        <w:t xml:space="preserve">- </w:t>
      </w:r>
      <w:r w:rsidRPr="003E0EE6">
        <w:rPr>
          <w:rFonts w:cs="Arial"/>
          <w:sz w:val="16"/>
          <w:szCs w:val="16"/>
          <w:rtl/>
        </w:rPr>
        <w:t>מהני</w:t>
      </w:r>
      <w:r w:rsidRPr="003E0EE6">
        <w:rPr>
          <w:rFonts w:cs="Arial" w:hint="cs"/>
          <w:sz w:val="16"/>
          <w:szCs w:val="16"/>
          <w:rtl/>
        </w:rPr>
        <w:t>.</w:t>
      </w:r>
      <w:r>
        <w:rPr>
          <w:rFonts w:cs="Arial" w:hint="cs"/>
          <w:sz w:val="16"/>
          <w:szCs w:val="16"/>
          <w:rtl/>
        </w:rPr>
        <w:t>..</w:t>
      </w:r>
      <w:r w:rsidRPr="003E0EE6">
        <w:rPr>
          <w:rFonts w:cs="Arial"/>
          <w:sz w:val="16"/>
          <w:szCs w:val="16"/>
          <w:rtl/>
        </w:rPr>
        <w:t xml:space="preserve"> והרמב"ם ז"ל</w:t>
      </w:r>
      <w:r w:rsidRPr="003E0EE6">
        <w:rPr>
          <w:rFonts w:cs="Arial" w:hint="cs"/>
          <w:sz w:val="16"/>
          <w:szCs w:val="16"/>
          <w:rtl/>
        </w:rPr>
        <w:t>...</w:t>
      </w:r>
      <w:r w:rsidRPr="003E0EE6">
        <w:rPr>
          <w:rFonts w:cs="Arial"/>
          <w:sz w:val="16"/>
          <w:szCs w:val="16"/>
          <w:rtl/>
        </w:rPr>
        <w:t xml:space="preserve"> מפרש דרב ושמואל בהא פליגי</w:t>
      </w:r>
      <w:r>
        <w:rPr>
          <w:rFonts w:cs="Arial" w:hint="cs"/>
          <w:sz w:val="16"/>
          <w:szCs w:val="16"/>
          <w:rtl/>
        </w:rPr>
        <w:t>,</w:t>
      </w:r>
      <w:r w:rsidRPr="003E0EE6">
        <w:rPr>
          <w:rFonts w:cs="Arial"/>
          <w:sz w:val="16"/>
          <w:szCs w:val="16"/>
          <w:rtl/>
        </w:rPr>
        <w:t xml:space="preserve"> דרב סבר דהא דנקט מתניתין </w:t>
      </w:r>
      <w:r>
        <w:rPr>
          <w:rFonts w:cs="Arial" w:hint="cs"/>
          <w:sz w:val="16"/>
          <w:szCs w:val="16"/>
          <w:rtl/>
        </w:rPr>
        <w:t>'</w:t>
      </w:r>
      <w:r w:rsidRPr="003E0EE6">
        <w:rPr>
          <w:rFonts w:cs="Arial"/>
          <w:sz w:val="16"/>
          <w:szCs w:val="16"/>
          <w:rtl/>
        </w:rPr>
        <w:t>שאת נותנת לפיך</w:t>
      </w:r>
      <w:r>
        <w:rPr>
          <w:rFonts w:cs="Arial" w:hint="cs"/>
          <w:sz w:val="16"/>
          <w:szCs w:val="16"/>
          <w:rtl/>
        </w:rPr>
        <w:t>'</w:t>
      </w:r>
      <w:r w:rsidRPr="003E0EE6">
        <w:rPr>
          <w:rFonts w:cs="Arial"/>
          <w:sz w:val="16"/>
          <w:szCs w:val="16"/>
          <w:rtl/>
        </w:rPr>
        <w:t xml:space="preserve"> דוקא הוא</w:t>
      </w:r>
      <w:r w:rsidRPr="003E0EE6">
        <w:rPr>
          <w:rFonts w:cs="Arial" w:hint="cs"/>
          <w:sz w:val="16"/>
          <w:szCs w:val="16"/>
          <w:rtl/>
        </w:rPr>
        <w:t>,</w:t>
      </w:r>
      <w:r w:rsidRPr="003E0EE6">
        <w:rPr>
          <w:rFonts w:cs="Arial"/>
          <w:sz w:val="16"/>
          <w:szCs w:val="16"/>
          <w:rtl/>
        </w:rPr>
        <w:t xml:space="preserve"> ולישנא אחרינא לא מהני ביה</w:t>
      </w:r>
      <w:r w:rsidRPr="003E0EE6">
        <w:rPr>
          <w:rFonts w:cs="Arial" w:hint="cs"/>
          <w:sz w:val="16"/>
          <w:szCs w:val="16"/>
          <w:rtl/>
        </w:rPr>
        <w:t>,</w:t>
      </w:r>
      <w:r w:rsidRPr="003E0EE6">
        <w:rPr>
          <w:rFonts w:cs="Arial"/>
          <w:sz w:val="16"/>
          <w:szCs w:val="16"/>
          <w:rtl/>
        </w:rPr>
        <w:t xml:space="preserve"> דאי אמר </w:t>
      </w:r>
      <w:r>
        <w:rPr>
          <w:rFonts w:cs="Arial" w:hint="cs"/>
          <w:sz w:val="16"/>
          <w:szCs w:val="16"/>
          <w:rtl/>
        </w:rPr>
        <w:t>'</w:t>
      </w:r>
      <w:r w:rsidRPr="003E0EE6">
        <w:rPr>
          <w:rFonts w:cs="Arial"/>
          <w:sz w:val="16"/>
          <w:szCs w:val="16"/>
          <w:rtl/>
        </w:rPr>
        <w:t>מה שתרצי עשי</w:t>
      </w:r>
      <w:r>
        <w:rPr>
          <w:rFonts w:cs="Arial" w:hint="cs"/>
          <w:sz w:val="16"/>
          <w:szCs w:val="16"/>
          <w:rtl/>
        </w:rPr>
        <w:t>'</w:t>
      </w:r>
      <w:r w:rsidRPr="003E0EE6">
        <w:rPr>
          <w:rFonts w:cs="Arial"/>
          <w:sz w:val="16"/>
          <w:szCs w:val="16"/>
          <w:rtl/>
        </w:rPr>
        <w:t xml:space="preserve"> לא קנה יתהון בעל</w:t>
      </w:r>
      <w:r w:rsidRPr="003E0EE6">
        <w:rPr>
          <w:rFonts w:cs="Arial" w:hint="cs"/>
          <w:sz w:val="16"/>
          <w:szCs w:val="16"/>
          <w:rtl/>
        </w:rPr>
        <w:t>.</w:t>
      </w:r>
      <w:r w:rsidRPr="003E0EE6">
        <w:rPr>
          <w:rFonts w:cs="Arial"/>
          <w:sz w:val="16"/>
          <w:szCs w:val="16"/>
          <w:rtl/>
        </w:rPr>
        <w:t xml:space="preserve"> ושמואל סבר דלאו דוקא</w:t>
      </w:r>
      <w:r w:rsidRPr="003E0EE6">
        <w:rPr>
          <w:rFonts w:cs="Arial" w:hint="cs"/>
          <w:sz w:val="16"/>
          <w:szCs w:val="16"/>
          <w:rtl/>
        </w:rPr>
        <w:t>,</w:t>
      </w:r>
      <w:r w:rsidRPr="003E0EE6">
        <w:rPr>
          <w:rFonts w:cs="Arial"/>
          <w:sz w:val="16"/>
          <w:szCs w:val="16"/>
          <w:rtl/>
        </w:rPr>
        <w:t xml:space="preserve"> דהוא הדין </w:t>
      </w:r>
      <w:r>
        <w:rPr>
          <w:rFonts w:cs="Arial" w:hint="cs"/>
          <w:sz w:val="16"/>
          <w:szCs w:val="16"/>
          <w:rtl/>
        </w:rPr>
        <w:t>'</w:t>
      </w:r>
      <w:r w:rsidRPr="003E0EE6">
        <w:rPr>
          <w:rFonts w:cs="Arial"/>
          <w:sz w:val="16"/>
          <w:szCs w:val="16"/>
          <w:rtl/>
        </w:rPr>
        <w:t>מה שתרצי עשי</w:t>
      </w:r>
      <w:r>
        <w:rPr>
          <w:rFonts w:cs="Arial" w:hint="cs"/>
          <w:sz w:val="16"/>
          <w:szCs w:val="16"/>
          <w:rtl/>
        </w:rPr>
        <w:t>'</w:t>
      </w:r>
      <w:r w:rsidRPr="003E0EE6">
        <w:rPr>
          <w:rFonts w:cs="Arial" w:hint="cs"/>
          <w:sz w:val="16"/>
          <w:szCs w:val="16"/>
          <w:rtl/>
        </w:rPr>
        <w:t>,</w:t>
      </w:r>
      <w:r w:rsidRPr="003E0EE6">
        <w:rPr>
          <w:rFonts w:cs="Arial"/>
          <w:sz w:val="16"/>
          <w:szCs w:val="16"/>
          <w:rtl/>
        </w:rPr>
        <w:t xml:space="preserve"> ומיהו לכולי עלמא תרי לישני בעינן</w:t>
      </w:r>
      <w:r>
        <w:rPr>
          <w:rStyle w:val="a7"/>
          <w:rFonts w:cs="Arial"/>
          <w:sz w:val="16"/>
          <w:szCs w:val="16"/>
          <w:rtl/>
        </w:rPr>
        <w:footnoteReference w:id="1679"/>
      </w:r>
      <w:r w:rsidRPr="003E0EE6">
        <w:rPr>
          <w:rFonts w:cs="Arial" w:hint="cs"/>
          <w:sz w:val="16"/>
          <w:szCs w:val="16"/>
          <w:rtl/>
        </w:rPr>
        <w:t>.</w:t>
      </w:r>
      <w:r w:rsidRPr="003E0EE6">
        <w:rPr>
          <w:rFonts w:cs="Arial"/>
          <w:sz w:val="16"/>
          <w:szCs w:val="16"/>
          <w:rtl/>
        </w:rPr>
        <w:t xml:space="preserve"> והקשו עליו וכי מאי מוסיף במאי דא"ל תו מה שתרצי עשי הא אינו אלא כאומר על מנת שאין לבעליך רשות בהם</w:t>
      </w:r>
      <w:r w:rsidRPr="003E0EE6">
        <w:rPr>
          <w:rFonts w:cs="Arial" w:hint="cs"/>
          <w:sz w:val="16"/>
          <w:szCs w:val="16"/>
          <w:rtl/>
        </w:rPr>
        <w:t>.</w:t>
      </w:r>
      <w:r w:rsidRPr="003E0EE6">
        <w:rPr>
          <w:rFonts w:cs="Arial"/>
          <w:sz w:val="16"/>
          <w:szCs w:val="16"/>
          <w:rtl/>
        </w:rPr>
        <w:t xml:space="preserve"> ונראה לי דהיינו טעמא משום דכי א"ל מה שתרצי עשי לדידה נמי לא יהיב לה לגמרי דנימא לאלתר זכה בהן בעל</w:t>
      </w:r>
      <w:r w:rsidRPr="003E0EE6">
        <w:rPr>
          <w:rFonts w:cs="Arial" w:hint="cs"/>
          <w:sz w:val="16"/>
          <w:szCs w:val="16"/>
          <w:rtl/>
        </w:rPr>
        <w:t>,</w:t>
      </w:r>
      <w:r w:rsidRPr="003E0EE6">
        <w:rPr>
          <w:rFonts w:cs="Arial"/>
          <w:sz w:val="16"/>
          <w:szCs w:val="16"/>
          <w:rtl/>
        </w:rPr>
        <w:t xml:space="preserve"> אלא הרי הוא כאומר לא יהו שלך אלא לאותו דבר שתרצי לעשות בכל שעה ושעה</w:t>
      </w:r>
      <w:r w:rsidRPr="003E0EE6">
        <w:rPr>
          <w:rFonts w:cs="Arial" w:hint="cs"/>
          <w:sz w:val="16"/>
          <w:szCs w:val="16"/>
          <w:rtl/>
        </w:rPr>
        <w:t>,</w:t>
      </w:r>
      <w:r w:rsidRPr="003E0EE6">
        <w:rPr>
          <w:rFonts w:cs="Arial"/>
          <w:sz w:val="16"/>
          <w:szCs w:val="16"/>
          <w:rtl/>
        </w:rPr>
        <w:t xml:space="preserve"> וסבירא ליה לשמואל דכי היכי דמיחד לדבר אחד מיוחד מהני</w:t>
      </w:r>
      <w:r w:rsidRPr="003E0EE6">
        <w:rPr>
          <w:rFonts w:cs="Arial" w:hint="cs"/>
          <w:sz w:val="16"/>
          <w:szCs w:val="16"/>
          <w:rtl/>
        </w:rPr>
        <w:t>,</w:t>
      </w:r>
      <w:r w:rsidRPr="003E0EE6">
        <w:rPr>
          <w:rFonts w:cs="Arial"/>
          <w:sz w:val="16"/>
          <w:szCs w:val="16"/>
          <w:rtl/>
        </w:rPr>
        <w:t xml:space="preserve"> הכי נמי כיון דמיחד לאותו דבר שתרצה לעשות מהן כל שעה ושעה מהני</w:t>
      </w:r>
      <w:r w:rsidRPr="003E0EE6">
        <w:rPr>
          <w:rFonts w:cs="Arial" w:hint="cs"/>
          <w:sz w:val="16"/>
          <w:szCs w:val="16"/>
          <w:rtl/>
        </w:rPr>
        <w:t>,</w:t>
      </w:r>
      <w:r w:rsidRPr="003E0EE6">
        <w:rPr>
          <w:rFonts w:cs="Arial"/>
          <w:sz w:val="16"/>
          <w:szCs w:val="16"/>
          <w:rtl/>
        </w:rPr>
        <w:t xml:space="preserve"> שאין קניה חל אלא באותה שעה שתרצה לעשות בהן איזה דבר לאותו דבר בלחוד</w:t>
      </w:r>
      <w:r w:rsidRPr="003E0EE6">
        <w:rPr>
          <w:rFonts w:cs="Arial" w:hint="cs"/>
          <w:sz w:val="16"/>
          <w:szCs w:val="16"/>
          <w:rtl/>
        </w:rPr>
        <w:t>)</w:t>
      </w:r>
    </w:p>
    <w:p w14:paraId="0900E680" w14:textId="77777777" w:rsidR="002E5BAD" w:rsidRPr="00C41524" w:rsidRDefault="002E5BAD" w:rsidP="002E5BAD">
      <w:pPr>
        <w:rPr>
          <w:u w:val="single"/>
          <w:rtl/>
        </w:rPr>
      </w:pPr>
      <w:r w:rsidRPr="00C41524">
        <w:rPr>
          <w:rFonts w:hint="cs"/>
          <w:u w:val="single"/>
          <w:rtl/>
        </w:rPr>
        <w:t>הנותן מתנה לאשת איש על מנת שאין לבעלה רשות בה:</w:t>
      </w:r>
    </w:p>
    <w:p w14:paraId="02978509" w14:textId="77777777" w:rsidR="002E5BAD" w:rsidRDefault="002E5BAD" w:rsidP="002E5BAD">
      <w:pPr>
        <w:pStyle w:val="ab"/>
        <w:numPr>
          <w:ilvl w:val="0"/>
          <w:numId w:val="178"/>
        </w:numPr>
      </w:pPr>
      <w:r>
        <w:rPr>
          <w:rFonts w:cs="Arial" w:hint="cs"/>
          <w:rtl/>
        </w:rPr>
        <w:t>ר"ת ראב"ד מרדכי רשב"א רא"ש וטור</w:t>
      </w:r>
      <w:r>
        <w:rPr>
          <w:rStyle w:val="a7"/>
          <w:rFonts w:cs="Arial"/>
          <w:rtl/>
        </w:rPr>
        <w:footnoteReference w:id="1680"/>
      </w:r>
      <w:r>
        <w:rPr>
          <w:rFonts w:cs="Arial" w:hint="cs"/>
          <w:rtl/>
        </w:rPr>
        <w:t>-</w:t>
      </w:r>
      <w:r w:rsidRPr="007A228B">
        <w:rPr>
          <w:rFonts w:cs="Arial"/>
          <w:rtl/>
        </w:rPr>
        <w:t xml:space="preserve"> </w:t>
      </w:r>
      <w:r>
        <w:rPr>
          <w:rFonts w:cs="Arial" w:hint="cs"/>
          <w:rtl/>
        </w:rPr>
        <w:t xml:space="preserve">הלכתא </w:t>
      </w:r>
      <w:r w:rsidRPr="006B4DCF">
        <w:rPr>
          <w:rFonts w:cs="Arial"/>
          <w:rtl/>
        </w:rPr>
        <w:t>כרב</w:t>
      </w:r>
      <w:r>
        <w:rPr>
          <w:rFonts w:cs="Arial" w:hint="cs"/>
          <w:rtl/>
        </w:rPr>
        <w:t>,</w:t>
      </w:r>
      <w:r w:rsidRPr="006B4DCF">
        <w:rPr>
          <w:rFonts w:cs="Arial"/>
          <w:rtl/>
        </w:rPr>
        <w:t xml:space="preserve"> משום דגבי נדרים איתשיל קמייהו והוי לה איסורי וקי"ל כרב באיסורי, ועוד דהא אקשינן ופרקינן דשמעתין אליבא דרב דאלמא הלכתא כותיה</w:t>
      </w:r>
      <w:r>
        <w:rPr>
          <w:rFonts w:hint="cs"/>
          <w:sz w:val="16"/>
          <w:szCs w:val="16"/>
          <w:rtl/>
        </w:rPr>
        <w:t xml:space="preserve"> (ל' הרשב"א)</w:t>
      </w:r>
      <w:r>
        <w:rPr>
          <w:rFonts w:hint="cs"/>
          <w:rtl/>
        </w:rPr>
        <w:t>.</w:t>
      </w:r>
    </w:p>
    <w:p w14:paraId="09D75728" w14:textId="77777777" w:rsidR="002E5BAD" w:rsidRPr="00F93ED8" w:rsidRDefault="002E5BAD" w:rsidP="002E5BAD">
      <w:pPr>
        <w:pStyle w:val="ab"/>
        <w:numPr>
          <w:ilvl w:val="0"/>
          <w:numId w:val="178"/>
        </w:numPr>
      </w:pPr>
      <w:r w:rsidRPr="001B4C81">
        <w:rPr>
          <w:rFonts w:cs="Arial"/>
          <w:rtl/>
        </w:rPr>
        <w:t>רב סעדיה גאון</w:t>
      </w:r>
      <w:r>
        <w:rPr>
          <w:rFonts w:cs="Arial" w:hint="cs"/>
          <w:rtl/>
        </w:rPr>
        <w:t xml:space="preserve"> רב עמרם גאון</w:t>
      </w:r>
      <w:r w:rsidRPr="001B4C81">
        <w:rPr>
          <w:rFonts w:hint="cs"/>
          <w:rtl/>
        </w:rPr>
        <w:t xml:space="preserve"> </w:t>
      </w:r>
      <w:r>
        <w:rPr>
          <w:rFonts w:hint="cs"/>
          <w:rtl/>
        </w:rPr>
        <w:t>רמב"ם רמב"ן והה"מ</w:t>
      </w:r>
      <w:r>
        <w:rPr>
          <w:rStyle w:val="a7"/>
          <w:rFonts w:cs="Arial"/>
          <w:rtl/>
        </w:rPr>
        <w:footnoteReference w:id="1681"/>
      </w:r>
      <w:r>
        <w:rPr>
          <w:rFonts w:cs="Arial" w:hint="cs"/>
          <w:rtl/>
        </w:rPr>
        <w:t xml:space="preserve">- </w:t>
      </w:r>
      <w:r>
        <w:rPr>
          <w:rFonts w:cs="Arial"/>
          <w:rtl/>
        </w:rPr>
        <w:t>הלכה כשמואל</w:t>
      </w:r>
      <w:r>
        <w:rPr>
          <w:rFonts w:cs="Arial" w:hint="cs"/>
          <w:rtl/>
        </w:rPr>
        <w:t>,</w:t>
      </w:r>
      <w:r>
        <w:rPr>
          <w:rFonts w:cs="Arial"/>
          <w:rtl/>
        </w:rPr>
        <w:t xml:space="preserve"> דאע</w:t>
      </w:r>
      <w:r>
        <w:rPr>
          <w:rFonts w:cs="Arial" w:hint="cs"/>
          <w:rtl/>
        </w:rPr>
        <w:t>"</w:t>
      </w:r>
      <w:r>
        <w:rPr>
          <w:rFonts w:cs="Arial"/>
          <w:rtl/>
        </w:rPr>
        <w:t>ג דפלוגתייהו הכא לענין איסורא</w:t>
      </w:r>
      <w:r>
        <w:rPr>
          <w:rFonts w:cs="Arial" w:hint="cs"/>
          <w:rtl/>
        </w:rPr>
        <w:t>,</w:t>
      </w:r>
      <w:r>
        <w:rPr>
          <w:rFonts w:cs="Arial"/>
          <w:rtl/>
        </w:rPr>
        <w:t xml:space="preserve"> כיון דעיקר פלוגתייהו בדינא תלי אי אמרינן יד אשה כיד בעלה או לא נקטינן כשמואל דהלכתא כוותיה בדיני</w:t>
      </w:r>
      <w:r>
        <w:rPr>
          <w:rFonts w:cs="Arial" w:hint="cs"/>
          <w:rtl/>
        </w:rPr>
        <w:t>.</w:t>
      </w:r>
      <w:r>
        <w:rPr>
          <w:rFonts w:cs="Arial"/>
          <w:rtl/>
        </w:rPr>
        <w:t xml:space="preserve"> ועוד דרב כרבי מאיר ושמואל כרבנן</w:t>
      </w:r>
      <w:r>
        <w:rPr>
          <w:rFonts w:cs="Arial" w:hint="cs"/>
          <w:rtl/>
        </w:rPr>
        <w:t>,</w:t>
      </w:r>
      <w:r>
        <w:rPr>
          <w:rFonts w:cs="Arial"/>
          <w:rtl/>
        </w:rPr>
        <w:t xml:space="preserve"> הילכך נקטינן כוותיהו</w:t>
      </w:r>
      <w:r>
        <w:rPr>
          <w:rFonts w:cs="Arial" w:hint="cs"/>
          <w:rtl/>
        </w:rPr>
        <w:t>.</w:t>
      </w:r>
      <w:r>
        <w:rPr>
          <w:rFonts w:cs="Arial"/>
          <w:rtl/>
        </w:rPr>
        <w:t xml:space="preserve"> ועוד דסוגיין בעלמא בפרק מי שאמר הריני נזיר </w:t>
      </w:r>
      <w:r w:rsidRPr="00F93ED8">
        <w:rPr>
          <w:rFonts w:cs="Arial"/>
          <w:sz w:val="16"/>
          <w:szCs w:val="16"/>
          <w:rtl/>
        </w:rPr>
        <w:t xml:space="preserve">(נזיר כד:) </w:t>
      </w:r>
      <w:r>
        <w:rPr>
          <w:rFonts w:cs="Arial"/>
          <w:rtl/>
        </w:rPr>
        <w:t xml:space="preserve">ובפרק בן סורר ומורה </w:t>
      </w:r>
      <w:r w:rsidRPr="00F93ED8">
        <w:rPr>
          <w:rFonts w:cs="Arial"/>
          <w:sz w:val="16"/>
          <w:szCs w:val="16"/>
          <w:rtl/>
        </w:rPr>
        <w:t xml:space="preserve">(סנהדרין עא.) </w:t>
      </w:r>
      <w:r>
        <w:rPr>
          <w:rFonts w:cs="Arial"/>
          <w:rtl/>
        </w:rPr>
        <w:t>כשמואל דעל מנת שאין לבעליך רשות בהן בלחוד מהני</w:t>
      </w:r>
      <w:r>
        <w:rPr>
          <w:rFonts w:cs="Arial" w:hint="cs"/>
          <w:sz w:val="16"/>
          <w:szCs w:val="16"/>
          <w:rtl/>
        </w:rPr>
        <w:t xml:space="preserve"> (ל' הר"ן)</w:t>
      </w:r>
      <w:r>
        <w:rPr>
          <w:rFonts w:cs="Arial" w:hint="cs"/>
          <w:rtl/>
        </w:rPr>
        <w:t>.</w:t>
      </w:r>
      <w:r w:rsidRPr="00337B67">
        <w:rPr>
          <w:rFonts w:hint="cs"/>
          <w:color w:val="E36C0A" w:themeColor="accent6" w:themeShade="BF"/>
          <w:rtl/>
        </w:rPr>
        <w:t xml:space="preserve"> </w:t>
      </w:r>
      <w:r w:rsidRPr="00137671">
        <w:rPr>
          <w:rFonts w:hint="cs"/>
          <w:color w:val="E36C0A" w:themeColor="accent6" w:themeShade="BF"/>
          <w:rtl/>
        </w:rPr>
        <w:t>(וכ"פ בשו"ע)</w:t>
      </w:r>
    </w:p>
    <w:p w14:paraId="25374572" w14:textId="77777777" w:rsidR="002E5BAD" w:rsidRPr="00F93ED8" w:rsidRDefault="002E5BAD" w:rsidP="002E5BAD">
      <w:pPr>
        <w:ind w:left="360"/>
        <w:rPr>
          <w:u w:val="dotted"/>
        </w:rPr>
      </w:pPr>
      <w:r w:rsidRPr="00F93ED8">
        <w:rPr>
          <w:rFonts w:hint="cs"/>
          <w:u w:val="dotted"/>
          <w:rtl/>
        </w:rPr>
        <w:t xml:space="preserve">למעשה </w:t>
      </w:r>
      <w:r w:rsidRPr="00F93ED8">
        <w:rPr>
          <w:u w:val="dotted"/>
          <w:rtl/>
        </w:rPr>
        <w:t>–</w:t>
      </w:r>
      <w:r w:rsidRPr="00F93ED8">
        <w:rPr>
          <w:rFonts w:hint="cs"/>
          <w:u w:val="dotted"/>
          <w:rtl/>
        </w:rPr>
        <w:t xml:space="preserve"> הנותן מתנה כנ"ל, האם קנה בעלה:</w:t>
      </w:r>
    </w:p>
    <w:p w14:paraId="546FDB74" w14:textId="77777777" w:rsidR="002E5BAD" w:rsidRDefault="002E5BAD" w:rsidP="002E5BAD">
      <w:pPr>
        <w:pStyle w:val="ab"/>
        <w:numPr>
          <w:ilvl w:val="0"/>
          <w:numId w:val="178"/>
        </w:numPr>
      </w:pPr>
      <w:r>
        <w:rPr>
          <w:rFonts w:cs="Arial" w:hint="cs"/>
          <w:rtl/>
        </w:rPr>
        <w:t>ר"ת ראב"ד מרדכי רשב"א רא"ש וטור</w:t>
      </w:r>
      <w:r>
        <w:rPr>
          <w:rStyle w:val="a7"/>
          <w:rFonts w:cs="Arial"/>
          <w:rtl/>
        </w:rPr>
        <w:footnoteReference w:id="1682"/>
      </w:r>
      <w:r>
        <w:rPr>
          <w:rFonts w:cs="Arial" w:hint="cs"/>
          <w:rtl/>
        </w:rPr>
        <w:t xml:space="preserve">- </w:t>
      </w:r>
      <w:r w:rsidRPr="007A228B">
        <w:rPr>
          <w:rFonts w:cs="Arial"/>
          <w:rtl/>
        </w:rPr>
        <w:t xml:space="preserve">אחר שנתן לה מתנה אפי' אמר לה ע"מ שלא יהא כלום לבעל אני נותן לך </w:t>
      </w:r>
      <w:r>
        <w:rPr>
          <w:rFonts w:cs="Arial" w:hint="cs"/>
          <w:rtl/>
        </w:rPr>
        <w:t xml:space="preserve">- </w:t>
      </w:r>
      <w:r w:rsidRPr="007A228B">
        <w:rPr>
          <w:rFonts w:cs="Arial"/>
          <w:rtl/>
        </w:rPr>
        <w:t>אפ"ה אוכל הפירות</w:t>
      </w:r>
      <w:r>
        <w:rPr>
          <w:rFonts w:cs="Arial" w:hint="cs"/>
          <w:rtl/>
        </w:rPr>
        <w:t>.</w:t>
      </w:r>
      <w:r w:rsidRPr="007A228B">
        <w:rPr>
          <w:rFonts w:cs="Arial"/>
          <w:rtl/>
        </w:rPr>
        <w:t xml:space="preserve"> אא"כ אומר לה ע"מ כך אני נותן לך שלא יהא לבעל בהן כלום אלא שתאכל אותו את</w:t>
      </w:r>
      <w:r>
        <w:rPr>
          <w:rStyle w:val="a7"/>
          <w:rFonts w:cs="Arial"/>
          <w:rtl/>
        </w:rPr>
        <w:footnoteReference w:id="1683"/>
      </w:r>
      <w:r>
        <w:rPr>
          <w:rFonts w:cs="Arial" w:hint="cs"/>
          <w:rtl/>
        </w:rPr>
        <w:t>.</w:t>
      </w:r>
      <w:r w:rsidRPr="007A228B">
        <w:rPr>
          <w:rFonts w:cs="Arial"/>
          <w:rtl/>
        </w:rPr>
        <w:t xml:space="preserve"> </w:t>
      </w:r>
    </w:p>
    <w:p w14:paraId="6242D2CF" w14:textId="77777777" w:rsidR="002E5BAD" w:rsidRDefault="002E5BAD" w:rsidP="002E5BAD">
      <w:pPr>
        <w:pStyle w:val="ab"/>
        <w:numPr>
          <w:ilvl w:val="0"/>
          <w:numId w:val="178"/>
        </w:numPr>
      </w:pPr>
      <w:r>
        <w:rPr>
          <w:rFonts w:cs="Arial" w:hint="cs"/>
          <w:rtl/>
        </w:rPr>
        <w:t xml:space="preserve">רמב"ם </w:t>
      </w:r>
      <w:r>
        <w:rPr>
          <w:rFonts w:cs="Arial" w:hint="cs"/>
          <w:sz w:val="16"/>
          <w:szCs w:val="16"/>
          <w:rtl/>
        </w:rPr>
        <w:t>(פ"ג מזכיה ומתנה הי"ג-יד)</w:t>
      </w:r>
      <w:r>
        <w:rPr>
          <w:rFonts w:cs="Arial" w:hint="cs"/>
          <w:rtl/>
        </w:rPr>
        <w:t xml:space="preserve">- </w:t>
      </w:r>
      <w:r>
        <w:rPr>
          <w:rFonts w:cs="Arial"/>
          <w:rtl/>
        </w:rPr>
        <w:t xml:space="preserve">נתן מתנה לאשה על מנת שאין לבעלה רשות בה, ולעבד על מנת שאין לרבו רשות בו קנה האדון וקנה הבעל, אבל הנותן מתנה לאשה או לעבד והתנה עמהן הנותן בגופה של מתנה שתהיה לכך וכך, לא קנה האדון ולא קנה הבעל. </w:t>
      </w:r>
      <w:r w:rsidRPr="006B4DCF">
        <w:rPr>
          <w:rFonts w:cs="Arial"/>
          <w:rtl/>
        </w:rPr>
        <w:t>כיצד</w:t>
      </w:r>
      <w:r>
        <w:rPr>
          <w:rFonts w:cs="Arial" w:hint="cs"/>
          <w:rtl/>
        </w:rPr>
        <w:t>,</w:t>
      </w:r>
      <w:r w:rsidRPr="006B4DCF">
        <w:rPr>
          <w:rFonts w:cs="Arial"/>
          <w:rtl/>
        </w:rPr>
        <w:t xml:space="preserve"> הנותן מתנה לאשה ואמר לה הרי המעות האלו נתונים לך במתנה על מנת שתלבשי בהן או על מנת שתשתי בהם ותעשי מה שתרצי בלא רשות הבעל, לא קנה הבעל</w:t>
      </w:r>
      <w:r>
        <w:rPr>
          <w:rFonts w:cs="Arial" w:hint="cs"/>
          <w:rtl/>
        </w:rPr>
        <w:t>...</w:t>
      </w:r>
      <w:r w:rsidRPr="006B4DCF">
        <w:rPr>
          <w:rFonts w:cs="Arial"/>
          <w:rtl/>
        </w:rPr>
        <w:t xml:space="preserve"> וכן כל כיוצא בזה.</w:t>
      </w:r>
      <w:r>
        <w:rPr>
          <w:rFonts w:hint="cs"/>
          <w:rtl/>
        </w:rPr>
        <w:t xml:space="preserve"> </w:t>
      </w:r>
      <w:r w:rsidRPr="00137671">
        <w:rPr>
          <w:rFonts w:hint="cs"/>
          <w:color w:val="E36C0A" w:themeColor="accent6" w:themeShade="BF"/>
          <w:rtl/>
        </w:rPr>
        <w:t>(וכ"פ בשו"ע)</w:t>
      </w:r>
    </w:p>
    <w:p w14:paraId="389E334E" w14:textId="77777777" w:rsidR="002E5BAD" w:rsidRDefault="002E5BAD" w:rsidP="002E5BAD">
      <w:pPr>
        <w:pStyle w:val="ab"/>
        <w:numPr>
          <w:ilvl w:val="0"/>
          <w:numId w:val="178"/>
        </w:numPr>
      </w:pPr>
      <w:r>
        <w:rPr>
          <w:rFonts w:hint="cs"/>
          <w:rtl/>
        </w:rPr>
        <w:t xml:space="preserve">רמב"ן </w:t>
      </w:r>
      <w:r w:rsidRPr="001B4C81">
        <w:rPr>
          <w:rFonts w:cs="Arial"/>
          <w:sz w:val="16"/>
          <w:szCs w:val="16"/>
          <w:rtl/>
        </w:rPr>
        <w:t>(קידושין כג: ד"ה ורבי</w:t>
      </w:r>
      <w:r>
        <w:rPr>
          <w:rFonts w:cs="Arial" w:hint="cs"/>
          <w:sz w:val="16"/>
          <w:szCs w:val="16"/>
          <w:rtl/>
        </w:rPr>
        <w:t xml:space="preserve"> וד"ה והא דאמרינן</w:t>
      </w:r>
      <w:r w:rsidRPr="001B4C81">
        <w:rPr>
          <w:rFonts w:cs="Arial"/>
          <w:sz w:val="16"/>
          <w:szCs w:val="16"/>
          <w:rtl/>
        </w:rPr>
        <w:t>)</w:t>
      </w:r>
      <w:r>
        <w:rPr>
          <w:rFonts w:cs="Arial" w:hint="cs"/>
          <w:rtl/>
        </w:rPr>
        <w:t xml:space="preserve">- </w:t>
      </w:r>
      <w:r w:rsidRPr="00D167E1">
        <w:rPr>
          <w:rFonts w:cs="Arial"/>
          <w:rtl/>
        </w:rPr>
        <w:t>באשה אפילו אמר לה על מנת שאין לבעליך רשות בהן קנתה היא ולא קנה הבעל כשמואל דאמר הכי דקיי"ל כוותיה</w:t>
      </w:r>
      <w:r>
        <w:rPr>
          <w:rFonts w:cs="Arial" w:hint="cs"/>
          <w:rtl/>
        </w:rPr>
        <w:t>.</w:t>
      </w:r>
      <w:r>
        <w:rPr>
          <w:rFonts w:hint="cs"/>
          <w:rtl/>
        </w:rPr>
        <w:t>..</w:t>
      </w:r>
      <w:r w:rsidRPr="00302DD6">
        <w:rPr>
          <w:rtl/>
        </w:rPr>
        <w:t xml:space="preserve"> </w:t>
      </w:r>
      <w:r w:rsidRPr="00302DD6">
        <w:rPr>
          <w:rFonts w:cs="Arial"/>
          <w:rtl/>
        </w:rPr>
        <w:t>קיי"ל דאפי' אמר לה מה שתרצי עשי לא קנה אותם בעל שהרי התנה על מנת שאין לבעליך רשות בהם</w:t>
      </w:r>
      <w:r>
        <w:rPr>
          <w:rFonts w:cs="Arial" w:hint="cs"/>
          <w:rtl/>
        </w:rPr>
        <w:t>...</w:t>
      </w:r>
      <w:r w:rsidRPr="00302DD6">
        <w:rPr>
          <w:rFonts w:cs="Arial"/>
          <w:rtl/>
        </w:rPr>
        <w:t xml:space="preserve"> וכן מצאתי למקצת רבותינו הגאונים ז"ל שכך פסק רב סעדיה גאון ז"ל בספר המתנות ורב שמואל הלוי הנגיד ז"ל פסק כן בשם רב עמרם ז"ל</w:t>
      </w:r>
      <w:r>
        <w:rPr>
          <w:rStyle w:val="a7"/>
          <w:rFonts w:cs="Arial"/>
          <w:rtl/>
        </w:rPr>
        <w:footnoteReference w:id="1684"/>
      </w:r>
      <w:r w:rsidRPr="00302DD6">
        <w:rPr>
          <w:rFonts w:cs="Arial"/>
          <w:rtl/>
        </w:rPr>
        <w:t>.</w:t>
      </w:r>
    </w:p>
    <w:p w14:paraId="28230497" w14:textId="77777777" w:rsidR="002E5BAD" w:rsidRPr="00F675F4" w:rsidRDefault="002E5BAD" w:rsidP="002E5BAD">
      <w:pPr>
        <w:pStyle w:val="ab"/>
        <w:numPr>
          <w:ilvl w:val="1"/>
          <w:numId w:val="178"/>
        </w:numPr>
        <w:rPr>
          <w:rFonts w:cs="Arial"/>
          <w:rtl/>
        </w:rPr>
      </w:pPr>
      <w:r w:rsidRPr="00F675F4">
        <w:rPr>
          <w:rFonts w:cs="Arial" w:hint="cs"/>
          <w:rtl/>
        </w:rPr>
        <w:lastRenderedPageBreak/>
        <w:t xml:space="preserve">ב"י </w:t>
      </w:r>
      <w:r w:rsidRPr="00F675F4">
        <w:rPr>
          <w:rFonts w:cs="Arial" w:hint="cs"/>
          <w:sz w:val="16"/>
          <w:szCs w:val="16"/>
          <w:rtl/>
        </w:rPr>
        <w:t>(בבדה"ב)</w:t>
      </w:r>
      <w:r w:rsidRPr="00F675F4">
        <w:rPr>
          <w:rFonts w:cs="Arial" w:hint="cs"/>
          <w:rtl/>
        </w:rPr>
        <w:t xml:space="preserve">- </w:t>
      </w:r>
      <w:r w:rsidRPr="00F675F4">
        <w:rPr>
          <w:rFonts w:cs="Arial"/>
          <w:rtl/>
        </w:rPr>
        <w:t xml:space="preserve">ולענין הלכה כיון דרוב הפוסקים סוברים דהלכה כשמואל </w:t>
      </w:r>
      <w:r>
        <w:rPr>
          <w:rFonts w:cs="Arial" w:hint="cs"/>
          <w:rtl/>
        </w:rPr>
        <w:t xml:space="preserve">- </w:t>
      </w:r>
      <w:r w:rsidRPr="00F675F4">
        <w:rPr>
          <w:rFonts w:cs="Arial"/>
          <w:rtl/>
        </w:rPr>
        <w:t>הכי נקטינן</w:t>
      </w:r>
      <w:r>
        <w:rPr>
          <w:rFonts w:cs="Arial" w:hint="cs"/>
          <w:rtl/>
        </w:rPr>
        <w:t>.</w:t>
      </w:r>
      <w:r w:rsidRPr="00F675F4">
        <w:rPr>
          <w:rFonts w:cs="Arial"/>
          <w:rtl/>
        </w:rPr>
        <w:t xml:space="preserve"> וכן כתב הריב"ש ז"ל</w:t>
      </w:r>
      <w:r>
        <w:rPr>
          <w:rFonts w:cs="Arial" w:hint="cs"/>
          <w:rtl/>
        </w:rPr>
        <w:t xml:space="preserve"> </w:t>
      </w:r>
      <w:r>
        <w:rPr>
          <w:rFonts w:cs="Arial" w:hint="cs"/>
          <w:sz w:val="16"/>
          <w:szCs w:val="16"/>
          <w:rtl/>
        </w:rPr>
        <w:t>(סי' רטו)</w:t>
      </w:r>
      <w:r w:rsidRPr="00F675F4">
        <w:rPr>
          <w:rFonts w:cs="Arial"/>
          <w:rtl/>
        </w:rPr>
        <w:t xml:space="preserve"> שהעיקר כדברי הפוסקים כשמואל</w:t>
      </w:r>
      <w:r>
        <w:rPr>
          <w:rStyle w:val="a7"/>
          <w:rFonts w:cs="Arial"/>
          <w:rtl/>
        </w:rPr>
        <w:footnoteReference w:id="1685"/>
      </w:r>
      <w:r>
        <w:rPr>
          <w:rFonts w:cs="Arial" w:hint="cs"/>
          <w:rtl/>
        </w:rPr>
        <w:t>,</w:t>
      </w:r>
      <w:r w:rsidRPr="00F675F4">
        <w:rPr>
          <w:rFonts w:cs="Arial"/>
          <w:rtl/>
        </w:rPr>
        <w:t xml:space="preserve"> ולרווחא דמילתא יאמר</w:t>
      </w:r>
      <w:r>
        <w:rPr>
          <w:rStyle w:val="a7"/>
          <w:rFonts w:cs="Arial"/>
          <w:rtl/>
        </w:rPr>
        <w:footnoteReference w:id="1686"/>
      </w:r>
      <w:r w:rsidRPr="00F675F4">
        <w:rPr>
          <w:rFonts w:cs="Arial"/>
          <w:rtl/>
        </w:rPr>
        <w:t xml:space="preserve"> </w:t>
      </w:r>
      <w:r>
        <w:rPr>
          <w:rFonts w:cs="Arial" w:hint="cs"/>
          <w:rtl/>
        </w:rPr>
        <w:t>'</w:t>
      </w:r>
      <w:r w:rsidRPr="00F675F4">
        <w:rPr>
          <w:rFonts w:cs="Arial"/>
          <w:rtl/>
        </w:rPr>
        <w:t>על מנת שאין לבעליך רשות בהם אלא מה שתרצי בהם עשי</w:t>
      </w:r>
      <w:r>
        <w:rPr>
          <w:rFonts w:cs="Arial" w:hint="cs"/>
          <w:rtl/>
        </w:rPr>
        <w:t>'</w:t>
      </w:r>
      <w:r w:rsidRPr="00F675F4">
        <w:rPr>
          <w:rFonts w:cs="Arial"/>
          <w:rtl/>
        </w:rPr>
        <w:t xml:space="preserve"> לחוש לדברי הרמב"ם</w:t>
      </w:r>
      <w:r w:rsidRPr="00F675F4">
        <w:rPr>
          <w:rFonts w:cs="Arial" w:hint="cs"/>
          <w:rtl/>
        </w:rPr>
        <w:t>.</w:t>
      </w:r>
      <w:r w:rsidRPr="00F675F4">
        <w:rPr>
          <w:rFonts w:cs="Arial"/>
          <w:rtl/>
        </w:rPr>
        <w:t xml:space="preserve"> </w:t>
      </w:r>
    </w:p>
    <w:p w14:paraId="6273D2BF" w14:textId="77777777" w:rsidR="002E5BAD" w:rsidRPr="00CC3B97" w:rsidRDefault="002E5BAD" w:rsidP="002E5BAD">
      <w:pPr>
        <w:rPr>
          <w:rFonts w:cs="Arial"/>
          <w:u w:val="single"/>
          <w:rtl/>
        </w:rPr>
      </w:pPr>
      <w:r>
        <w:rPr>
          <w:rFonts w:cs="Arial" w:hint="cs"/>
          <w:u w:val="single"/>
          <w:rtl/>
        </w:rPr>
        <w:t xml:space="preserve">אבא שרוצה לתת לבתו מתנה </w:t>
      </w:r>
      <w:r w:rsidRPr="00CC3B97">
        <w:rPr>
          <w:rFonts w:cs="Arial"/>
          <w:u w:val="single"/>
          <w:rtl/>
        </w:rPr>
        <w:t>מהיום ולאחר מיתה</w:t>
      </w:r>
      <w:r>
        <w:rPr>
          <w:rFonts w:cs="Arial" w:hint="cs"/>
          <w:u w:val="single"/>
          <w:rtl/>
        </w:rPr>
        <w:t xml:space="preserve"> בלי שיהיה לבעל רשות בה ולא בפירותיה:</w:t>
      </w:r>
    </w:p>
    <w:p w14:paraId="1068C494" w14:textId="77777777" w:rsidR="002E5BAD" w:rsidRPr="00CC3B97" w:rsidRDefault="002E5BAD" w:rsidP="002E5BAD">
      <w:pPr>
        <w:pStyle w:val="ab"/>
        <w:numPr>
          <w:ilvl w:val="0"/>
          <w:numId w:val="181"/>
        </w:numPr>
        <w:rPr>
          <w:rFonts w:cs="Arial"/>
          <w:rtl/>
        </w:rPr>
      </w:pPr>
      <w:r w:rsidRPr="00CC3B97">
        <w:rPr>
          <w:rFonts w:cs="Arial"/>
          <w:rtl/>
        </w:rPr>
        <w:t xml:space="preserve">רשב"א </w:t>
      </w:r>
      <w:r w:rsidRPr="00CC3B97">
        <w:rPr>
          <w:rFonts w:cs="Arial" w:hint="cs"/>
          <w:sz w:val="16"/>
          <w:szCs w:val="16"/>
          <w:rtl/>
        </w:rPr>
        <w:t>(במיוחסות</w:t>
      </w:r>
      <w:r w:rsidRPr="00CC3B97">
        <w:rPr>
          <w:rFonts w:cs="Arial"/>
          <w:sz w:val="16"/>
          <w:szCs w:val="16"/>
          <w:rtl/>
        </w:rPr>
        <w:t xml:space="preserve"> סי</w:t>
      </w:r>
      <w:r w:rsidRPr="00CC3B97">
        <w:rPr>
          <w:rFonts w:cs="Arial" w:hint="cs"/>
          <w:sz w:val="16"/>
          <w:szCs w:val="16"/>
          <w:rtl/>
        </w:rPr>
        <w:t>'</w:t>
      </w:r>
      <w:r w:rsidRPr="00CC3B97">
        <w:rPr>
          <w:rFonts w:cs="Arial"/>
          <w:sz w:val="16"/>
          <w:szCs w:val="16"/>
          <w:rtl/>
        </w:rPr>
        <w:t xml:space="preserve"> ק</w:t>
      </w:r>
      <w:r>
        <w:rPr>
          <w:rFonts w:cs="Arial" w:hint="cs"/>
          <w:sz w:val="16"/>
          <w:szCs w:val="16"/>
          <w:rtl/>
        </w:rPr>
        <w:t>ו</w:t>
      </w:r>
      <w:r w:rsidRPr="00CC3B97">
        <w:rPr>
          <w:rFonts w:cs="Arial" w:hint="cs"/>
          <w:sz w:val="16"/>
          <w:szCs w:val="16"/>
          <w:rtl/>
        </w:rPr>
        <w:t>)</w:t>
      </w:r>
      <w:r w:rsidRPr="00CC3B97">
        <w:rPr>
          <w:rFonts w:cs="Arial" w:hint="cs"/>
          <w:rtl/>
        </w:rPr>
        <w:t xml:space="preserve">- </w:t>
      </w:r>
      <w:r w:rsidRPr="00CC3B97">
        <w:rPr>
          <w:rFonts w:cs="Arial"/>
          <w:rtl/>
        </w:rPr>
        <w:t>שאלה ראובן יש לו בת יורשת והיא בעולת בעל. ורוצה ליתן לה מחיים או לאחר מיתה כל נכסיו שיש לו או שיהיו לו בשעת מיתתו מקרקעי ושאר נכסים ושט"ח על מנת שלא יזכה הבעל בשום דבר מכל הנכסים לא בגוף ולא בפירות ולא בפירי פירות. ושיהא זה רשות גמורה לתת ולמכור הנכסים כולם או מקצתן לכל מי שתרצה בלא רשות בעלה. ושלא יוכל למחות בידה בשום ענין. הודיעני איך יהיה לשון המתנה. תשובה</w:t>
      </w:r>
      <w:r w:rsidRPr="00CC3B97">
        <w:rPr>
          <w:rFonts w:cs="Arial" w:hint="cs"/>
          <w:rtl/>
        </w:rPr>
        <w:t>-</w:t>
      </w:r>
      <w:r w:rsidRPr="00CC3B97">
        <w:rPr>
          <w:rFonts w:cs="Arial"/>
          <w:rtl/>
        </w:rPr>
        <w:t xml:space="preserve"> תחלת כל דבר יש לך לדעת שאין יכול ליתן במתנה בשום צד נכסים שעתיד לקנות</w:t>
      </w:r>
      <w:r>
        <w:rPr>
          <w:rFonts w:cs="Arial" w:hint="cs"/>
          <w:rtl/>
        </w:rPr>
        <w:t>,</w:t>
      </w:r>
      <w:r w:rsidRPr="00CC3B97">
        <w:rPr>
          <w:rFonts w:cs="Arial"/>
          <w:rtl/>
        </w:rPr>
        <w:t xml:space="preserve"> שאין אדם מקנה דשלב"ל. אבל נכסים ידועים שיש לו</w:t>
      </w:r>
      <w:r>
        <w:rPr>
          <w:rFonts w:cs="Arial" w:hint="cs"/>
          <w:rtl/>
        </w:rPr>
        <w:t>,</w:t>
      </w:r>
      <w:r w:rsidRPr="00CC3B97">
        <w:rPr>
          <w:rFonts w:cs="Arial"/>
          <w:rtl/>
        </w:rPr>
        <w:t xml:space="preserve"> כגון קרקע ומטלטלין</w:t>
      </w:r>
      <w:r>
        <w:rPr>
          <w:rFonts w:cs="Arial" w:hint="cs"/>
          <w:rtl/>
        </w:rPr>
        <w:t>,</w:t>
      </w:r>
      <w:r w:rsidRPr="00CC3B97">
        <w:rPr>
          <w:rFonts w:cs="Arial"/>
          <w:rtl/>
        </w:rPr>
        <w:t xml:space="preserve"> יכול ליתן. ונותן לבתו כל מה שיש לו מעכשיו</w:t>
      </w:r>
      <w:r>
        <w:rPr>
          <w:rFonts w:cs="Arial" w:hint="cs"/>
          <w:rtl/>
        </w:rPr>
        <w:t>,</w:t>
      </w:r>
      <w:r w:rsidRPr="00CC3B97">
        <w:rPr>
          <w:rFonts w:cs="Arial"/>
          <w:rtl/>
        </w:rPr>
        <w:t xml:space="preserve"> א"נ מהיום ולאחר מיתה. </w:t>
      </w:r>
      <w:r w:rsidRPr="00CC3B97">
        <w:rPr>
          <w:rFonts w:cs="Arial" w:hint="cs"/>
          <w:rtl/>
        </w:rPr>
        <w:t>ו</w:t>
      </w:r>
      <w:r w:rsidRPr="00CC3B97">
        <w:rPr>
          <w:rFonts w:cs="Arial"/>
          <w:rtl/>
        </w:rPr>
        <w:t>לא יהיה לאב כלום בגוף הנכסים אלא בפירות לבד. דכל הנותן מהיום ולאחר מיתה גופא מהיום ופירי לאחר מיתה כדאיתא פרק יש נוחלין (קלו</w:t>
      </w:r>
      <w:r w:rsidRPr="00CC3B97">
        <w:rPr>
          <w:rFonts w:cs="Arial" w:hint="cs"/>
          <w:rtl/>
        </w:rPr>
        <w:t>.</w:t>
      </w:r>
      <w:r w:rsidRPr="00CC3B97">
        <w:rPr>
          <w:rFonts w:cs="Arial"/>
          <w:rtl/>
        </w:rPr>
        <w:t xml:space="preserve">). אלא אם לא רצה ליתן לבת אלא מה שישאר מנכסים אחריו אומר </w:t>
      </w:r>
      <w:r>
        <w:rPr>
          <w:rFonts w:cs="Arial" w:hint="cs"/>
          <w:rtl/>
        </w:rPr>
        <w:t>'</w:t>
      </w:r>
      <w:r w:rsidRPr="00CC3B97">
        <w:rPr>
          <w:rFonts w:cs="Arial"/>
          <w:rtl/>
        </w:rPr>
        <w:t>הריני נותן לך כל נכסי אלו מעכשיו ולאחר מיתה</w:t>
      </w:r>
      <w:r>
        <w:rPr>
          <w:rFonts w:cs="Arial" w:hint="cs"/>
          <w:rtl/>
        </w:rPr>
        <w:t>,</w:t>
      </w:r>
      <w:r w:rsidRPr="00CC3B97">
        <w:rPr>
          <w:rFonts w:cs="Arial"/>
          <w:rtl/>
        </w:rPr>
        <w:t xml:space="preserve"> ושיירתי לי במתנה זו שיהא רשות בידי כל ימי חיי למכור בהם ולאכול ולעשות בכולן או במקצתן מה שארצה</w:t>
      </w:r>
      <w:r>
        <w:rPr>
          <w:rFonts w:cs="Arial" w:hint="cs"/>
          <w:rtl/>
        </w:rPr>
        <w:t>,</w:t>
      </w:r>
      <w:r w:rsidRPr="00CC3B97">
        <w:rPr>
          <w:rFonts w:cs="Arial"/>
          <w:rtl/>
        </w:rPr>
        <w:t xml:space="preserve"> ואפילו בגוף הנכסים</w:t>
      </w:r>
      <w:r>
        <w:rPr>
          <w:rFonts w:cs="Arial" w:hint="cs"/>
          <w:rtl/>
        </w:rPr>
        <w:t xml:space="preserve">, </w:t>
      </w:r>
      <w:r w:rsidRPr="00CC3B97">
        <w:rPr>
          <w:rFonts w:cs="Arial"/>
          <w:rtl/>
        </w:rPr>
        <w:t>ומה שישאר מהם אחר פטירתי בין בגוף הנכסים או בפירותיהן או בפירי פירותיהם תטול בתי</w:t>
      </w:r>
      <w:r>
        <w:rPr>
          <w:rFonts w:cs="Arial" w:hint="cs"/>
          <w:rtl/>
        </w:rPr>
        <w:t>,</w:t>
      </w:r>
      <w:r w:rsidRPr="00CC3B97">
        <w:rPr>
          <w:rFonts w:cs="Arial"/>
          <w:rtl/>
        </w:rPr>
        <w:t xml:space="preserve"> לפי שגוף הנכסים ופירותיהן ופירי פירותיהם נתתי לבתי הנזכרת חוץ מן השיור הנזכר ששיירתי לי בהן</w:t>
      </w:r>
      <w:r>
        <w:rPr>
          <w:rFonts w:cs="Arial" w:hint="cs"/>
          <w:rtl/>
        </w:rPr>
        <w:t>'</w:t>
      </w:r>
      <w:r w:rsidRPr="00CC3B97">
        <w:rPr>
          <w:rFonts w:cs="Arial"/>
          <w:rtl/>
        </w:rPr>
        <w:t>. ואם יכתוב כן או כיוצא בזה הרשות בידו לקיים</w:t>
      </w:r>
      <w:r>
        <w:rPr>
          <w:rFonts w:cs="Arial" w:hint="cs"/>
          <w:rtl/>
        </w:rPr>
        <w:t>,</w:t>
      </w:r>
      <w:r w:rsidRPr="00CC3B97">
        <w:rPr>
          <w:rFonts w:cs="Arial"/>
          <w:rtl/>
        </w:rPr>
        <w:t xml:space="preserve"> כיון שנותן מעכשיו ולאחר פטירתו על הדרך שכתבתי. ואם רוצה שלא יהא לבעל רשות בהן יכתוב כן </w:t>
      </w:r>
      <w:r>
        <w:rPr>
          <w:rFonts w:cs="Arial" w:hint="cs"/>
          <w:rtl/>
        </w:rPr>
        <w:t>'</w:t>
      </w:r>
      <w:r w:rsidRPr="00CC3B97">
        <w:rPr>
          <w:rFonts w:cs="Arial"/>
          <w:rtl/>
        </w:rPr>
        <w:t>וע"מ כן נתתי מתנה זו לבתי הנזכרת שלא יהיה במתנה זו רשות לבעלה כלל</w:t>
      </w:r>
      <w:r>
        <w:rPr>
          <w:rFonts w:cs="Arial" w:hint="cs"/>
          <w:rtl/>
        </w:rPr>
        <w:t>,</w:t>
      </w:r>
      <w:r w:rsidRPr="00CC3B97">
        <w:rPr>
          <w:rFonts w:cs="Arial"/>
          <w:rtl/>
        </w:rPr>
        <w:t xml:space="preserve"> לא בגוף הנכסים ולא בפירותיהן ולא בפירי פירותיהן עד עולם</w:t>
      </w:r>
      <w:r>
        <w:rPr>
          <w:rFonts w:cs="Arial" w:hint="cs"/>
          <w:rtl/>
        </w:rPr>
        <w:t>,</w:t>
      </w:r>
      <w:r w:rsidRPr="00CC3B97">
        <w:rPr>
          <w:rFonts w:cs="Arial"/>
          <w:rtl/>
        </w:rPr>
        <w:t xml:space="preserve"> אלא מה שאת נושאת ונותנת לתוך פיהו</w:t>
      </w:r>
      <w:r>
        <w:rPr>
          <w:rFonts w:cs="Arial" w:hint="cs"/>
          <w:rtl/>
        </w:rPr>
        <w:t>,</w:t>
      </w:r>
      <w:r w:rsidRPr="00CC3B97">
        <w:rPr>
          <w:rFonts w:cs="Arial"/>
          <w:rtl/>
        </w:rPr>
        <w:t xml:space="preserve"> ושתלבש ושתהנה בהן</w:t>
      </w:r>
      <w:r>
        <w:rPr>
          <w:rFonts w:cs="Arial" w:hint="cs"/>
          <w:rtl/>
        </w:rPr>
        <w:t>'</w:t>
      </w:r>
      <w:r w:rsidRPr="00CC3B97">
        <w:rPr>
          <w:rFonts w:cs="Arial"/>
          <w:rtl/>
        </w:rPr>
        <w:t xml:space="preserve">. אבל </w:t>
      </w:r>
      <w:r>
        <w:rPr>
          <w:rFonts w:cs="Arial" w:hint="cs"/>
          <w:rtl/>
        </w:rPr>
        <w:t>'</w:t>
      </w:r>
      <w:r w:rsidRPr="00CC3B97">
        <w:rPr>
          <w:rFonts w:cs="Arial"/>
          <w:rtl/>
        </w:rPr>
        <w:t>על מנת שלא יהא רשות לבעלך</w:t>
      </w:r>
      <w:r>
        <w:rPr>
          <w:rFonts w:cs="Arial" w:hint="cs"/>
          <w:rtl/>
        </w:rPr>
        <w:t>'</w:t>
      </w:r>
      <w:r w:rsidRPr="00CC3B97">
        <w:rPr>
          <w:rFonts w:cs="Arial"/>
          <w:rtl/>
        </w:rPr>
        <w:t xml:space="preserve"> לבד אינו מועיל עד שייחד לה דבר. ופלוגתא דרב ושמואל היא (נדרים פח</w:t>
      </w:r>
      <w:r w:rsidRPr="00CC3B97">
        <w:rPr>
          <w:rFonts w:cs="Arial" w:hint="cs"/>
          <w:rtl/>
        </w:rPr>
        <w:t>.</w:t>
      </w:r>
      <w:r w:rsidRPr="00CC3B97">
        <w:rPr>
          <w:rFonts w:cs="Arial"/>
          <w:rtl/>
        </w:rPr>
        <w:t xml:space="preserve">). ואם יש שט"ח צריך לכתוב </w:t>
      </w:r>
      <w:r>
        <w:rPr>
          <w:rFonts w:cs="Arial" w:hint="cs"/>
          <w:rtl/>
        </w:rPr>
        <w:t>'</w:t>
      </w:r>
      <w:r w:rsidRPr="00CC3B97">
        <w:rPr>
          <w:rFonts w:cs="Arial"/>
          <w:rtl/>
        </w:rPr>
        <w:t>וכל שעבודן וכל מה שכתוב בהן</w:t>
      </w:r>
      <w:r>
        <w:rPr>
          <w:rFonts w:cs="Arial" w:hint="cs"/>
          <w:rtl/>
        </w:rPr>
        <w:t>'</w:t>
      </w:r>
      <w:r w:rsidRPr="00CC3B97">
        <w:rPr>
          <w:rFonts w:cs="Arial"/>
          <w:rtl/>
        </w:rPr>
        <w:t>. ודוקא שטרות דזמנן יוצא מזמן המתנה. אבל זמנו יוצא אחר המתנה הן ספק אם נעשו מן הנכסים של מתנה או מנכסים שקנה אחר מכאן. ואפשר לומר גם באלו שקנתה מן הסתם מן הנכסים שהיו כבר נעשו או מפירותיהן נעשו. ומי שיאמר שנכסים אחרים קנה לאחר מכאן עליו להביא ראיה. דודאי כך הדין בכל הנכסים שמצאנו לו לאחר מיתה ולא ידענו אם היו לו כבר או שקנאם אחר מכאן. וכן הסכימו הגאונים ז"ל ומטעם שאמרתי. ומכל מה שכתבתי לסלק זכות הבעל מהם אינו אלא בנותן לבת שאינה יורשת ובין בחיי האב בין אחר מותו אין לה בה כלום אלא מכח מתנה. אבל בבת יורשת לא יועיל לה בחיי האב אלא לאחר מיתה. ולא ששייר שלא יהיה בהן אלא מה שייחד לה עכשיו</w:t>
      </w:r>
      <w:r>
        <w:rPr>
          <w:rFonts w:cs="Arial" w:hint="cs"/>
          <w:rtl/>
        </w:rPr>
        <w:t>,</w:t>
      </w:r>
      <w:r w:rsidRPr="00CC3B97">
        <w:rPr>
          <w:rFonts w:cs="Arial"/>
          <w:rtl/>
        </w:rPr>
        <w:t xml:space="preserve"> דזוכה בכל מכח ירושה</w:t>
      </w:r>
      <w:r>
        <w:rPr>
          <w:rFonts w:cs="Arial" w:hint="cs"/>
          <w:rtl/>
        </w:rPr>
        <w:t>,</w:t>
      </w:r>
      <w:r w:rsidRPr="00CC3B97">
        <w:rPr>
          <w:rFonts w:cs="Arial"/>
          <w:rtl/>
        </w:rPr>
        <w:t xml:space="preserve"> והרי הן לפניה כנכסי מלוג. וגדולה מזו אמרו שאפילו קנה שדה מאביו ומת אביו והקדיש הרי היא כשדה אחוזה ולא כשדה מקנה. ואין אומרין בשעה שהקדישה לא היתה בידו מחמת ירושה אלא מחמת מתנה</w:t>
      </w:r>
      <w:r>
        <w:rPr>
          <w:rFonts w:cs="Arial" w:hint="cs"/>
          <w:rtl/>
        </w:rPr>
        <w:t>,</w:t>
      </w:r>
      <w:r w:rsidRPr="00CC3B97">
        <w:rPr>
          <w:rFonts w:cs="Arial"/>
          <w:rtl/>
        </w:rPr>
        <w:t xml:space="preserve"> לפי שבשעה שמת האב הרי הוא זוכה בכל מה שיהיה בה לאביו. משא"כ בהקדישה ואח"כ מת אביו</w:t>
      </w:r>
      <w:r>
        <w:rPr>
          <w:rFonts w:cs="Arial" w:hint="cs"/>
          <w:rtl/>
        </w:rPr>
        <w:t>,</w:t>
      </w:r>
      <w:r w:rsidRPr="00CC3B97">
        <w:rPr>
          <w:rFonts w:cs="Arial"/>
          <w:rtl/>
        </w:rPr>
        <w:t xml:space="preserve"> והרי היא לפניו בשעת הקדש כשדה מקנה ולא כשדה אחוזה כדעת ר' מאיר. כדתניא בברייתא ומייתינן בשלהי המוכר את הבית (עב:). ואף על גב דפליגי עליה רבי יהודה ורבי שמעון בהא. הא אמר התם בפרק המוכר רבי יהודה ור' שמעון קרא אשכחו ודרוש כדאיתא התם.</w:t>
      </w:r>
      <w:r>
        <w:rPr>
          <w:rFonts w:cs="Arial" w:hint="cs"/>
          <w:rtl/>
        </w:rPr>
        <w:t xml:space="preserve"> </w:t>
      </w:r>
      <w:r w:rsidRPr="00057E6A">
        <w:rPr>
          <w:rFonts w:cs="Arial" w:hint="cs"/>
          <w:color w:val="00B0F0"/>
          <w:rtl/>
        </w:rPr>
        <w:t>(וכ"פ הרמ"א)</w:t>
      </w:r>
    </w:p>
    <w:p w14:paraId="1E4A176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B711973" w14:textId="77777777" w:rsidR="002E5BAD" w:rsidRDefault="002E5BAD" w:rsidP="002E5BAD">
      <w:pPr>
        <w:rPr>
          <w:rtl/>
        </w:rPr>
      </w:pPr>
      <w:r>
        <w:rPr>
          <w:rFonts w:cs="Arial"/>
          <w:rtl/>
        </w:rPr>
        <w:t>נתן לה אחד מתנה ע</w:t>
      </w:r>
      <w:r>
        <w:rPr>
          <w:rFonts w:cs="Arial" w:hint="cs"/>
          <w:rtl/>
        </w:rPr>
        <w:t>ל מנת</w:t>
      </w:r>
      <w:r>
        <w:rPr>
          <w:rFonts w:cs="Arial"/>
          <w:rtl/>
        </w:rPr>
        <w:t xml:space="preserve"> שאין לבעלה רשות בה, קנה הבעל, והרי היא כשאר נ</w:t>
      </w:r>
      <w:r>
        <w:rPr>
          <w:rFonts w:cs="Arial" w:hint="cs"/>
          <w:rtl/>
        </w:rPr>
        <w:t>כסי מלוג</w:t>
      </w:r>
      <w:r>
        <w:rPr>
          <w:rStyle w:val="a7"/>
          <w:rFonts w:cs="Arial"/>
          <w:rtl/>
        </w:rPr>
        <w:footnoteReference w:id="1687"/>
      </w:r>
      <w:r>
        <w:rPr>
          <w:rFonts w:cs="Arial"/>
          <w:rtl/>
        </w:rPr>
        <w:t>, א</w:t>
      </w:r>
      <w:r>
        <w:rPr>
          <w:rFonts w:cs="Arial" w:hint="cs"/>
          <w:rtl/>
        </w:rPr>
        <w:t>לא אם כן</w:t>
      </w:r>
      <w:r>
        <w:rPr>
          <w:rFonts w:cs="Arial"/>
          <w:rtl/>
        </w:rPr>
        <w:t xml:space="preserve"> התנה הנותן בגוף המתנה שיהיה לכך ולכך, כגון שיאמר לה: הרי המעות נתונים לך ע</w:t>
      </w:r>
      <w:r>
        <w:rPr>
          <w:rFonts w:cs="Arial" w:hint="cs"/>
          <w:rtl/>
        </w:rPr>
        <w:t xml:space="preserve">ל </w:t>
      </w:r>
      <w:r>
        <w:rPr>
          <w:rFonts w:cs="Arial"/>
          <w:rtl/>
        </w:rPr>
        <w:t>מ</w:t>
      </w:r>
      <w:r>
        <w:rPr>
          <w:rFonts w:cs="Arial" w:hint="cs"/>
          <w:rtl/>
        </w:rPr>
        <w:t>נת</w:t>
      </w:r>
      <w:r>
        <w:rPr>
          <w:rFonts w:cs="Arial"/>
          <w:rtl/>
        </w:rPr>
        <w:t xml:space="preserve"> שתלבשי בהם או על מנת שתעשי מה </w:t>
      </w:r>
      <w:r>
        <w:rPr>
          <w:rFonts w:cs="Arial"/>
          <w:rtl/>
        </w:rPr>
        <w:lastRenderedPageBreak/>
        <w:t>שתרצי בלא רשות הבעל</w:t>
      </w:r>
      <w:r>
        <w:rPr>
          <w:rStyle w:val="a7"/>
          <w:rFonts w:cs="Arial"/>
          <w:rtl/>
        </w:rPr>
        <w:footnoteReference w:id="1688"/>
      </w:r>
      <w:r>
        <w:rPr>
          <w:rFonts w:cs="Arial"/>
          <w:rtl/>
        </w:rPr>
        <w:t xml:space="preserve">. </w:t>
      </w:r>
      <w:r w:rsidRPr="00F46615">
        <w:rPr>
          <w:rFonts w:cs="Arial"/>
          <w:sz w:val="18"/>
          <w:szCs w:val="18"/>
          <w:rtl/>
        </w:rPr>
        <w:t>הגה: נתן לה אביה מתנה, והתנה באחד מדרכים אלו, ואח"כ מת אביה והיא יורשה אותו, נתבטלה המתנה וזוכה בה הבעל כבשאר נכסי מלוג (</w:t>
      </w:r>
      <w:r>
        <w:rPr>
          <w:rFonts w:cs="Arial" w:hint="cs"/>
          <w:sz w:val="18"/>
          <w:szCs w:val="18"/>
          <w:rtl/>
        </w:rPr>
        <w:t>רשב"א במיוחסות</w:t>
      </w:r>
      <w:r w:rsidRPr="00F46615">
        <w:rPr>
          <w:rFonts w:cs="Arial"/>
          <w:sz w:val="18"/>
          <w:szCs w:val="18"/>
          <w:rtl/>
        </w:rPr>
        <w:t xml:space="preserve"> סי</w:t>
      </w:r>
      <w:r>
        <w:rPr>
          <w:rFonts w:cs="Arial" w:hint="cs"/>
          <w:sz w:val="18"/>
          <w:szCs w:val="18"/>
          <w:rtl/>
        </w:rPr>
        <w:t xml:space="preserve">' </w:t>
      </w:r>
      <w:r w:rsidRPr="00F46615">
        <w:rPr>
          <w:rFonts w:cs="Arial"/>
          <w:sz w:val="18"/>
          <w:szCs w:val="18"/>
          <w:rtl/>
        </w:rPr>
        <w:t xml:space="preserve">קו). </w:t>
      </w:r>
    </w:p>
    <w:p w14:paraId="5CE9FF62" w14:textId="77777777" w:rsidR="002E5BAD" w:rsidRDefault="002E5BAD" w:rsidP="002E5BAD">
      <w:pPr>
        <w:rPr>
          <w:rtl/>
        </w:rPr>
      </w:pPr>
    </w:p>
    <w:p w14:paraId="17F72BB2" w14:textId="77777777" w:rsidR="002E5BAD" w:rsidRDefault="002E5BAD" w:rsidP="002E5BAD">
      <w:pPr>
        <w:pStyle w:val="2"/>
        <w:rPr>
          <w:rtl/>
        </w:rPr>
      </w:pPr>
      <w:r>
        <w:rPr>
          <w:rtl/>
        </w:rPr>
        <w:t>סעיף יב</w:t>
      </w:r>
      <w:r>
        <w:rPr>
          <w:rFonts w:hint="cs"/>
          <w:rtl/>
        </w:rPr>
        <w:t>:</w:t>
      </w:r>
      <w:r w:rsidRPr="000F31AE">
        <w:rPr>
          <w:rFonts w:hint="cs"/>
          <w:rtl/>
        </w:rPr>
        <w:t xml:space="preserve"> מעות/מטלטלין שנמצאו ביד אשה</w:t>
      </w:r>
      <w:r>
        <w:rPr>
          <w:rFonts w:hint="cs"/>
          <w:rtl/>
        </w:rPr>
        <w:t>,</w:t>
      </w:r>
      <w:r w:rsidRPr="000F31AE">
        <w:rPr>
          <w:rFonts w:hint="cs"/>
          <w:rtl/>
        </w:rPr>
        <w:t xml:space="preserve"> </w:t>
      </w:r>
      <w:r>
        <w:rPr>
          <w:rFonts w:hint="cs"/>
          <w:rtl/>
        </w:rPr>
        <w:t>ו</w:t>
      </w:r>
      <w:r w:rsidRPr="000F31AE">
        <w:rPr>
          <w:rFonts w:hint="cs"/>
          <w:rtl/>
        </w:rPr>
        <w:t xml:space="preserve">טוענת 'במתנה ניתנו לי', והוא טוען </w:t>
      </w:r>
      <w:r>
        <w:rPr>
          <w:rFonts w:hint="cs"/>
          <w:rtl/>
        </w:rPr>
        <w:t>שלא.</w:t>
      </w:r>
    </w:p>
    <w:p w14:paraId="0053FE05" w14:textId="77777777" w:rsidR="002E5BAD" w:rsidRDefault="002E5BAD" w:rsidP="002E5BAD">
      <w:pPr>
        <w:rPr>
          <w:rtl/>
        </w:rPr>
      </w:pPr>
      <w:r>
        <w:rPr>
          <w:rFonts w:cs="Arial" w:hint="cs"/>
          <w:b/>
          <w:bCs/>
          <w:rtl/>
        </w:rPr>
        <w:t xml:space="preserve">ירושלמי כתובות פ"ו ה"א: </w:t>
      </w:r>
      <w:r w:rsidRPr="00494E27">
        <w:rPr>
          <w:rFonts w:cs="Arial"/>
          <w:rtl/>
        </w:rPr>
        <w:t>תמן תנינן</w:t>
      </w:r>
      <w:r>
        <w:rPr>
          <w:rFonts w:cs="Arial" w:hint="cs"/>
          <w:rtl/>
        </w:rPr>
        <w:t>:</w:t>
      </w:r>
      <w:r w:rsidRPr="00494E27">
        <w:rPr>
          <w:rFonts w:cs="Arial"/>
          <w:rtl/>
        </w:rPr>
        <w:t xml:space="preserve"> מציאת בנו ובתו הקטנים ועבדו ושפחתו הכנענים ומציאת אשתו הרי אילו שלו</w:t>
      </w:r>
      <w:r>
        <w:rPr>
          <w:rFonts w:cs="Arial" w:hint="cs"/>
          <w:rtl/>
        </w:rPr>
        <w:t>,</w:t>
      </w:r>
      <w:r w:rsidRPr="00494E27">
        <w:rPr>
          <w:rFonts w:cs="Arial"/>
          <w:rtl/>
        </w:rPr>
        <w:t xml:space="preserve"> שהוא יכול לשנותן למלאכה אחרת</w:t>
      </w:r>
      <w:r>
        <w:rPr>
          <w:rFonts w:cs="Arial" w:hint="cs"/>
          <w:rtl/>
        </w:rPr>
        <w:t>.</w:t>
      </w:r>
      <w:r w:rsidRPr="00494E27">
        <w:rPr>
          <w:rFonts w:cs="Arial"/>
          <w:rtl/>
        </w:rPr>
        <w:t xml:space="preserve"> מה טעמא אמרין מציאת בנו ובתו הגדולים ועבדו ושפחתו העברים הרי אילו שלהן</w:t>
      </w:r>
      <w:r>
        <w:rPr>
          <w:rFonts w:cs="Arial" w:hint="cs"/>
          <w:rtl/>
        </w:rPr>
        <w:t>,</w:t>
      </w:r>
      <w:r w:rsidRPr="00494E27">
        <w:rPr>
          <w:rFonts w:cs="Arial"/>
          <w:rtl/>
        </w:rPr>
        <w:t xml:space="preserve"> שאינו יכול לשנותן למלאכה אחרת</w:t>
      </w:r>
      <w:r>
        <w:rPr>
          <w:rFonts w:cs="Arial" w:hint="cs"/>
          <w:rtl/>
        </w:rPr>
        <w:t>.</w:t>
      </w:r>
      <w:r w:rsidRPr="00494E27">
        <w:rPr>
          <w:rFonts w:cs="Arial"/>
          <w:rtl/>
        </w:rPr>
        <w:t xml:space="preserve"> התיבון הרי אשתו אינו יכול לשנותה למלאכה אחרת</w:t>
      </w:r>
      <w:r>
        <w:rPr>
          <w:rFonts w:cs="Arial" w:hint="cs"/>
          <w:rtl/>
        </w:rPr>
        <w:t>,</w:t>
      </w:r>
      <w:r w:rsidRPr="00494E27">
        <w:rPr>
          <w:rFonts w:cs="Arial"/>
          <w:rtl/>
        </w:rPr>
        <w:t xml:space="preserve"> ואת אמר מציאתה שלו</w:t>
      </w:r>
      <w:r>
        <w:rPr>
          <w:rFonts w:cs="Arial" w:hint="cs"/>
          <w:rtl/>
        </w:rPr>
        <w:t>!?</w:t>
      </w:r>
      <w:r w:rsidRPr="00494E27">
        <w:rPr>
          <w:rFonts w:cs="Arial"/>
          <w:rtl/>
        </w:rPr>
        <w:t xml:space="preserve"> </w:t>
      </w:r>
      <w:r w:rsidRPr="00594FA6">
        <w:rPr>
          <w:rFonts w:cs="Arial"/>
          <w:u w:val="single"/>
          <w:rtl/>
        </w:rPr>
        <w:t>אמר רבי יוחנן</w:t>
      </w:r>
      <w:r>
        <w:rPr>
          <w:rFonts w:cs="Arial" w:hint="cs"/>
          <w:rtl/>
        </w:rPr>
        <w:t xml:space="preserve">: </w:t>
      </w:r>
      <w:r w:rsidRPr="00494E27">
        <w:rPr>
          <w:rFonts w:cs="Arial"/>
          <w:rtl/>
        </w:rPr>
        <w:t>טעם אחר יש באשה</w:t>
      </w:r>
      <w:r>
        <w:rPr>
          <w:rFonts w:cs="Arial" w:hint="cs"/>
          <w:rtl/>
        </w:rPr>
        <w:t>,</w:t>
      </w:r>
      <w:r w:rsidRPr="00494E27">
        <w:rPr>
          <w:rFonts w:cs="Arial"/>
          <w:rtl/>
        </w:rPr>
        <w:t xml:space="preserve"> מהו טעם אחר באשה</w:t>
      </w:r>
      <w:r>
        <w:rPr>
          <w:rFonts w:cs="Arial" w:hint="cs"/>
          <w:rtl/>
        </w:rPr>
        <w:t>?</w:t>
      </w:r>
      <w:r w:rsidRPr="00494E27">
        <w:rPr>
          <w:rFonts w:cs="Arial"/>
          <w:rtl/>
        </w:rPr>
        <w:t xml:space="preserve"> </w:t>
      </w:r>
      <w:r w:rsidRPr="00594FA6">
        <w:rPr>
          <w:rFonts w:cs="Arial"/>
          <w:u w:val="single"/>
          <w:rtl/>
        </w:rPr>
        <w:t>אמר רבי חגיי</w:t>
      </w:r>
      <w:r>
        <w:rPr>
          <w:rFonts w:cs="Arial" w:hint="cs"/>
          <w:rtl/>
        </w:rPr>
        <w:t>:</w:t>
      </w:r>
      <w:r w:rsidRPr="00494E27">
        <w:rPr>
          <w:rFonts w:cs="Arial"/>
          <w:rtl/>
        </w:rPr>
        <w:t xml:space="preserve"> מפני קטטה</w:t>
      </w:r>
      <w:r>
        <w:rPr>
          <w:rFonts w:cs="Arial" w:hint="cs"/>
          <w:rtl/>
        </w:rPr>
        <w:t>.</w:t>
      </w:r>
      <w:r w:rsidRPr="00494E27">
        <w:rPr>
          <w:rFonts w:cs="Arial"/>
          <w:rtl/>
        </w:rPr>
        <w:t xml:space="preserve"> </w:t>
      </w:r>
      <w:r w:rsidRPr="00594FA6">
        <w:rPr>
          <w:rFonts w:cs="Arial"/>
          <w:u w:val="single"/>
          <w:rtl/>
        </w:rPr>
        <w:t>ר' יוסי לא אמר כן אלא</w:t>
      </w:r>
      <w:r>
        <w:rPr>
          <w:rFonts w:cs="Arial" w:hint="cs"/>
          <w:rtl/>
        </w:rPr>
        <w:t>:</w:t>
      </w:r>
      <w:r w:rsidRPr="00494E27">
        <w:rPr>
          <w:rFonts w:cs="Arial"/>
          <w:rtl/>
        </w:rPr>
        <w:t xml:space="preserve"> שלא תהא מברחת משל בעלה ואומרת מציאה מצאתי</w:t>
      </w:r>
      <w:r>
        <w:rPr>
          <w:rFonts w:cs="Arial" w:hint="cs"/>
          <w:rtl/>
        </w:rPr>
        <w:t>.</w:t>
      </w:r>
      <w:r w:rsidRPr="00494E27">
        <w:rPr>
          <w:rFonts w:cs="Arial"/>
          <w:rtl/>
        </w:rPr>
        <w:t xml:space="preserve"> הגע עצמך</w:t>
      </w:r>
      <w:r>
        <w:rPr>
          <w:rFonts w:cs="Arial" w:hint="cs"/>
          <w:rtl/>
        </w:rPr>
        <w:t>,</w:t>
      </w:r>
      <w:r w:rsidRPr="00494E27">
        <w:rPr>
          <w:rFonts w:cs="Arial"/>
          <w:rtl/>
        </w:rPr>
        <w:t xml:space="preserve"> שנתן לה אחר מתנה</w:t>
      </w:r>
      <w:r>
        <w:rPr>
          <w:rFonts w:cs="Arial" w:hint="cs"/>
          <w:rtl/>
        </w:rPr>
        <w:t>!</w:t>
      </w:r>
      <w:r w:rsidRPr="00494E27">
        <w:rPr>
          <w:rFonts w:cs="Arial"/>
          <w:rtl/>
        </w:rPr>
        <w:t xml:space="preserve"> קול יוצא למתנה ואין קול יוצא</w:t>
      </w:r>
      <w:r>
        <w:rPr>
          <w:rFonts w:cs="Arial" w:hint="cs"/>
          <w:rtl/>
        </w:rPr>
        <w:t xml:space="preserve"> </w:t>
      </w:r>
      <w:r w:rsidRPr="00494E27">
        <w:rPr>
          <w:rFonts w:cs="Arial"/>
          <w:rtl/>
        </w:rPr>
        <w:t>למציאה</w:t>
      </w:r>
      <w:r>
        <w:rPr>
          <w:rFonts w:cs="Arial" w:hint="cs"/>
          <w:rtl/>
        </w:rPr>
        <w:t>!</w:t>
      </w:r>
    </w:p>
    <w:p w14:paraId="3144BBB1" w14:textId="77777777" w:rsidR="002E5BAD" w:rsidRPr="008D3C30" w:rsidRDefault="002E5BAD" w:rsidP="002E5BAD">
      <w:pPr>
        <w:rPr>
          <w:rFonts w:cs="Arial"/>
          <w:u w:val="single"/>
          <w:rtl/>
        </w:rPr>
      </w:pPr>
      <w:r w:rsidRPr="000F31AE">
        <w:rPr>
          <w:rFonts w:hint="cs"/>
          <w:u w:val="single"/>
          <w:rtl/>
        </w:rPr>
        <w:t>מעות/מטלטלין שנמצאו ביד אשה, היא טוענת 'במתנה ניתנו לי', והוא טוען 'מעשה ידיך הם'</w:t>
      </w:r>
      <w:r w:rsidRPr="008D3C30">
        <w:rPr>
          <w:rFonts w:hint="cs"/>
          <w:u w:val="single"/>
          <w:rtl/>
        </w:rPr>
        <w:t>:</w:t>
      </w:r>
    </w:p>
    <w:p w14:paraId="34E13FC8" w14:textId="77777777" w:rsidR="002E5BAD" w:rsidRDefault="002E5BAD" w:rsidP="002E5BAD">
      <w:pPr>
        <w:pStyle w:val="ab"/>
        <w:numPr>
          <w:ilvl w:val="0"/>
          <w:numId w:val="181"/>
        </w:numPr>
        <w:rPr>
          <w:rFonts w:cs="Arial"/>
        </w:rPr>
      </w:pPr>
      <w:r w:rsidRPr="005C14C9">
        <w:rPr>
          <w:rFonts w:cs="Arial" w:hint="cs"/>
          <w:rtl/>
        </w:rPr>
        <w:t xml:space="preserve">רמב"ם </w:t>
      </w:r>
      <w:r w:rsidRPr="005C14C9">
        <w:rPr>
          <w:rFonts w:cs="Arial" w:hint="cs"/>
          <w:sz w:val="16"/>
          <w:szCs w:val="16"/>
          <w:rtl/>
        </w:rPr>
        <w:t>(פכ"ב מאישות ה"ל)</w:t>
      </w:r>
      <w:r w:rsidRPr="005C14C9">
        <w:rPr>
          <w:rFonts w:cs="Arial" w:hint="cs"/>
          <w:rtl/>
        </w:rPr>
        <w:t xml:space="preserve"> וטור- </w:t>
      </w:r>
      <w:r w:rsidRPr="005C14C9">
        <w:rPr>
          <w:rFonts w:cs="Arial"/>
          <w:rtl/>
        </w:rPr>
        <w:t>הרי שנמצאו מעות או מטלטלין ביד האשה</w:t>
      </w:r>
      <w:r w:rsidRPr="005C14C9">
        <w:rPr>
          <w:rFonts w:cs="Arial" w:hint="cs"/>
          <w:rtl/>
        </w:rPr>
        <w:t>,</w:t>
      </w:r>
      <w:r w:rsidRPr="005C14C9">
        <w:rPr>
          <w:rFonts w:cs="Arial"/>
          <w:rtl/>
        </w:rPr>
        <w:t xml:space="preserve"> היא אומרת במתנה נתנו לי</w:t>
      </w:r>
      <w:r w:rsidRPr="005C14C9">
        <w:rPr>
          <w:rFonts w:cs="Arial" w:hint="cs"/>
          <w:rtl/>
        </w:rPr>
        <w:t>,</w:t>
      </w:r>
      <w:r w:rsidRPr="005C14C9">
        <w:rPr>
          <w:rFonts w:cs="Arial"/>
          <w:rtl/>
        </w:rPr>
        <w:t xml:space="preserve"> והוא אומר ממעשה ידיך הם</w:t>
      </w:r>
      <w:r w:rsidRPr="005C14C9">
        <w:rPr>
          <w:rFonts w:cs="Arial" w:hint="cs"/>
          <w:rtl/>
        </w:rPr>
        <w:t>,</w:t>
      </w:r>
      <w:r w:rsidRPr="005C14C9">
        <w:rPr>
          <w:rFonts w:cs="Arial"/>
          <w:rtl/>
        </w:rPr>
        <w:t xml:space="preserve"> שהם שלי </w:t>
      </w:r>
      <w:r w:rsidRPr="005C14C9">
        <w:rPr>
          <w:rFonts w:cs="Arial" w:hint="cs"/>
          <w:rtl/>
        </w:rPr>
        <w:t xml:space="preserve">- </w:t>
      </w:r>
      <w:r w:rsidRPr="005C14C9">
        <w:rPr>
          <w:rFonts w:cs="Arial"/>
          <w:rtl/>
        </w:rPr>
        <w:t>הרי זו נאמנת</w:t>
      </w:r>
      <w:r>
        <w:rPr>
          <w:rStyle w:val="a7"/>
          <w:rFonts w:cs="Arial"/>
          <w:rtl/>
        </w:rPr>
        <w:footnoteReference w:id="1689"/>
      </w:r>
      <w:r w:rsidRPr="005C14C9">
        <w:rPr>
          <w:rFonts w:cs="Arial"/>
          <w:rtl/>
        </w:rPr>
        <w:t>, ויש לו להחרים</w:t>
      </w:r>
      <w:r>
        <w:rPr>
          <w:rStyle w:val="a7"/>
          <w:rFonts w:cs="Arial"/>
          <w:rtl/>
        </w:rPr>
        <w:footnoteReference w:id="1690"/>
      </w:r>
      <w:r w:rsidRPr="005C14C9">
        <w:rPr>
          <w:rFonts w:cs="Arial"/>
          <w:rtl/>
        </w:rPr>
        <w:t xml:space="preserve"> על מי שטוענת דבר שאינו כן, וילקח בהן קרקע והוא אוכל פירות</w:t>
      </w:r>
      <w:r w:rsidRPr="005C14C9">
        <w:rPr>
          <w:rFonts w:cs="Arial" w:hint="cs"/>
          <w:sz w:val="16"/>
          <w:szCs w:val="16"/>
          <w:rtl/>
        </w:rPr>
        <w:t xml:space="preserve"> (ל' הרמב"ם)</w:t>
      </w:r>
      <w:r w:rsidRPr="005C14C9">
        <w:rPr>
          <w:rFonts w:cs="Arial" w:hint="cs"/>
          <w:rtl/>
        </w:rPr>
        <w:t>.</w:t>
      </w:r>
      <w:r w:rsidRPr="000F31AE">
        <w:rPr>
          <w:rFonts w:hint="cs"/>
          <w:color w:val="E36C0A" w:themeColor="accent6" w:themeShade="BF"/>
          <w:rtl/>
        </w:rPr>
        <w:t xml:space="preserve"> </w:t>
      </w:r>
      <w:r w:rsidRPr="00137671">
        <w:rPr>
          <w:rFonts w:hint="cs"/>
          <w:color w:val="E36C0A" w:themeColor="accent6" w:themeShade="BF"/>
          <w:rtl/>
        </w:rPr>
        <w:t>(וכ"פ בשו"ע)</w:t>
      </w:r>
    </w:p>
    <w:p w14:paraId="4058B2A6" w14:textId="77777777" w:rsidR="002E5BAD" w:rsidRPr="00A376A0" w:rsidRDefault="002E5BAD" w:rsidP="002E5BAD">
      <w:pPr>
        <w:ind w:left="360"/>
        <w:rPr>
          <w:rFonts w:cs="Arial"/>
          <w:u w:val="dotted"/>
        </w:rPr>
      </w:pPr>
      <w:r w:rsidRPr="00A376A0">
        <w:rPr>
          <w:rFonts w:cs="Arial" w:hint="cs"/>
          <w:u w:val="dotted"/>
          <w:rtl/>
        </w:rPr>
        <w:t>ומה הדין אם אמרה 'נתנו לי מתנה על מנת שלא יהיה לבעלי רשות בה':</w:t>
      </w:r>
    </w:p>
    <w:p w14:paraId="25CA5FBA" w14:textId="77777777" w:rsidR="002E5BAD" w:rsidRDefault="002E5BAD" w:rsidP="002E5BAD">
      <w:pPr>
        <w:pStyle w:val="ab"/>
        <w:numPr>
          <w:ilvl w:val="0"/>
          <w:numId w:val="181"/>
        </w:numPr>
        <w:rPr>
          <w:rFonts w:cs="Arial"/>
        </w:rPr>
      </w:pPr>
      <w:r w:rsidRPr="005C14C9">
        <w:rPr>
          <w:rFonts w:cs="Arial" w:hint="cs"/>
          <w:rtl/>
        </w:rPr>
        <w:t xml:space="preserve">רמב"ם </w:t>
      </w:r>
      <w:r w:rsidRPr="005C14C9">
        <w:rPr>
          <w:rFonts w:cs="Arial" w:hint="cs"/>
          <w:sz w:val="16"/>
          <w:szCs w:val="16"/>
          <w:rtl/>
        </w:rPr>
        <w:t>(פכ"ב מאישות ה"ל)</w:t>
      </w:r>
      <w:r w:rsidRPr="005C14C9">
        <w:rPr>
          <w:rFonts w:cs="Arial" w:hint="cs"/>
          <w:rtl/>
        </w:rPr>
        <w:t xml:space="preserve"> </w:t>
      </w:r>
      <w:r>
        <w:rPr>
          <w:rFonts w:cs="Arial"/>
          <w:rtl/>
        </w:rPr>
        <w:t xml:space="preserve">רמב"ן </w:t>
      </w:r>
      <w:r w:rsidRPr="008B1799">
        <w:rPr>
          <w:rFonts w:cs="Arial"/>
          <w:sz w:val="16"/>
          <w:szCs w:val="16"/>
          <w:rtl/>
        </w:rPr>
        <w:t>(חי' ב"ב נא: ד"ה מן האשה)</w:t>
      </w:r>
      <w:r>
        <w:rPr>
          <w:rFonts w:cs="Arial" w:hint="cs"/>
          <w:rtl/>
        </w:rPr>
        <w:t xml:space="preserve"> </w:t>
      </w:r>
      <w:r w:rsidRPr="005C14C9">
        <w:rPr>
          <w:rFonts w:cs="Arial" w:hint="cs"/>
          <w:rtl/>
        </w:rPr>
        <w:t>וטור-</w:t>
      </w:r>
      <w:r>
        <w:rPr>
          <w:rFonts w:cs="Arial" w:hint="cs"/>
          <w:rtl/>
        </w:rPr>
        <w:t xml:space="preserve"> </w:t>
      </w:r>
      <w:r w:rsidRPr="005C14C9">
        <w:rPr>
          <w:rFonts w:cs="Arial"/>
          <w:rtl/>
        </w:rPr>
        <w:t xml:space="preserve">ואם אמרה על מנת כן נתנו לי על מנת שלא יהיה לבעלי רשות בהן אלא אעשה בהן מה שארצה </w:t>
      </w:r>
      <w:r w:rsidRPr="005C14C9">
        <w:rPr>
          <w:rFonts w:cs="Arial" w:hint="cs"/>
          <w:rtl/>
        </w:rPr>
        <w:t xml:space="preserve">- </w:t>
      </w:r>
      <w:r w:rsidRPr="005C14C9">
        <w:rPr>
          <w:rFonts w:cs="Arial"/>
          <w:rtl/>
        </w:rPr>
        <w:t>עליה להביא ראיה, שכל ממון הנמצא ביד האשה בחזקת הבעל הוא שיאכל פירותיו עד שתביא ראיה</w:t>
      </w:r>
      <w:r>
        <w:rPr>
          <w:rStyle w:val="a7"/>
          <w:rFonts w:cs="Arial"/>
          <w:rtl/>
        </w:rPr>
        <w:footnoteReference w:id="1691"/>
      </w:r>
      <w:r w:rsidRPr="005C14C9">
        <w:rPr>
          <w:rFonts w:cs="Arial" w:hint="cs"/>
          <w:sz w:val="16"/>
          <w:szCs w:val="16"/>
          <w:rtl/>
        </w:rPr>
        <w:t xml:space="preserve"> (ל' הרמב"ם)</w:t>
      </w:r>
      <w:r w:rsidRPr="005C14C9">
        <w:rPr>
          <w:rFonts w:cs="Arial"/>
          <w:rtl/>
        </w:rPr>
        <w:t xml:space="preserve">. </w:t>
      </w:r>
      <w:r w:rsidRPr="00137671">
        <w:rPr>
          <w:rFonts w:hint="cs"/>
          <w:color w:val="E36C0A" w:themeColor="accent6" w:themeShade="BF"/>
          <w:rtl/>
        </w:rPr>
        <w:t>(וכ"פ בשו"ע)</w:t>
      </w:r>
    </w:p>
    <w:p w14:paraId="5FC718BE" w14:textId="77777777" w:rsidR="002E5BAD" w:rsidRDefault="002E5BAD" w:rsidP="002E5BAD">
      <w:pPr>
        <w:pStyle w:val="ab"/>
        <w:numPr>
          <w:ilvl w:val="0"/>
          <w:numId w:val="181"/>
        </w:numPr>
        <w:rPr>
          <w:rFonts w:cs="Arial"/>
        </w:rPr>
      </w:pPr>
      <w:r>
        <w:rPr>
          <w:rFonts w:cs="Arial" w:hint="cs"/>
          <w:rtl/>
        </w:rPr>
        <w:t>רשב"א</w:t>
      </w:r>
      <w:r>
        <w:rPr>
          <w:rFonts w:cs="Arial"/>
          <w:rtl/>
        </w:rPr>
        <w:t xml:space="preserve"> </w:t>
      </w:r>
      <w:r w:rsidRPr="00CB751C">
        <w:rPr>
          <w:rFonts w:cs="Arial"/>
          <w:sz w:val="16"/>
          <w:szCs w:val="16"/>
          <w:rtl/>
        </w:rPr>
        <w:t>(ח"ב סי' שצה, ח"ה סי' עב)</w:t>
      </w:r>
      <w:r>
        <w:rPr>
          <w:rFonts w:cs="Arial" w:hint="cs"/>
          <w:rtl/>
        </w:rPr>
        <w:t>-</w:t>
      </w:r>
      <w:r>
        <w:rPr>
          <w:rFonts w:cs="Arial"/>
          <w:rtl/>
        </w:rPr>
        <w:t xml:space="preserve"> כבר ראית בחידושי שאני נוטה לדברי מורי ה"ר יונה </w:t>
      </w:r>
      <w:r w:rsidRPr="00CB751C">
        <w:rPr>
          <w:rFonts w:cs="Arial"/>
          <w:sz w:val="16"/>
          <w:szCs w:val="16"/>
          <w:rtl/>
        </w:rPr>
        <w:t>(עליות דר"י נא: ד"ה ת"ר)</w:t>
      </w:r>
      <w:r>
        <w:rPr>
          <w:rFonts w:cs="Arial"/>
          <w:rtl/>
        </w:rPr>
        <w:t xml:space="preserve"> שקיבל משם ר"י שהיא נאמנת אבל מכל מקום אם למעשה אתה שואל עוד אנו צריכים להתיישב בדבר ומיהו אם היתה נושאת ונותנת בתוך הבית זה נראה לי ברור שאינה נאמנת והרי הם של בעל לגמרי עד שתביא ראיה לדבריה מדתניא (ב"ב נב:) וכן האשה שהיתה נושאת ונותנת בתוך הבית והיו אונות ושטרות יוצאות על שמה ואמרה שלי הן שנפלו לי מבית אבא או מבית אבי אמא עליה להביא ראיה.</w:t>
      </w:r>
    </w:p>
    <w:p w14:paraId="740D175F" w14:textId="77777777" w:rsidR="002E5BAD" w:rsidRDefault="002E5BAD" w:rsidP="002E5BAD">
      <w:pPr>
        <w:pStyle w:val="ab"/>
        <w:numPr>
          <w:ilvl w:val="0"/>
          <w:numId w:val="181"/>
        </w:numPr>
        <w:rPr>
          <w:rFonts w:cs="Arial"/>
        </w:rPr>
      </w:pPr>
      <w:r w:rsidRPr="00183279">
        <w:rPr>
          <w:rFonts w:cs="Arial"/>
          <w:rtl/>
        </w:rPr>
        <w:t>ודעת התוספות (שם: ד"ה קבל) והרא"ש (סי' נה) בדין זה יתבאר בסימן שאחר זה</w:t>
      </w:r>
      <w:r>
        <w:rPr>
          <w:rFonts w:cs="Arial" w:hint="cs"/>
          <w:rtl/>
        </w:rPr>
        <w:t>.</w:t>
      </w:r>
    </w:p>
    <w:p w14:paraId="35469C5C" w14:textId="77777777" w:rsidR="002E5BAD" w:rsidRPr="00A376A0" w:rsidRDefault="002E5BAD" w:rsidP="002E5BAD">
      <w:pPr>
        <w:pStyle w:val="ab"/>
        <w:numPr>
          <w:ilvl w:val="0"/>
          <w:numId w:val="181"/>
        </w:numPr>
        <w:rPr>
          <w:rFonts w:cs="Arial"/>
        </w:rPr>
      </w:pPr>
      <w:r>
        <w:rPr>
          <w:rFonts w:cs="Arial"/>
          <w:rtl/>
        </w:rPr>
        <w:t>תוס</w:t>
      </w:r>
      <w:r>
        <w:rPr>
          <w:rFonts w:cs="Arial" w:hint="cs"/>
          <w:rtl/>
        </w:rPr>
        <w:t>'</w:t>
      </w:r>
      <w:r>
        <w:rPr>
          <w:rFonts w:cs="Arial"/>
          <w:rtl/>
        </w:rPr>
        <w:t xml:space="preserve"> </w:t>
      </w:r>
      <w:r w:rsidRPr="00397029">
        <w:rPr>
          <w:rFonts w:cs="Arial"/>
          <w:sz w:val="16"/>
          <w:szCs w:val="16"/>
          <w:rtl/>
        </w:rPr>
        <w:t xml:space="preserve">(שם: ד"ה קבל) </w:t>
      </w:r>
      <w:r>
        <w:rPr>
          <w:rFonts w:cs="Arial"/>
          <w:rtl/>
        </w:rPr>
        <w:t xml:space="preserve">ורא"ש </w:t>
      </w:r>
      <w:r w:rsidRPr="00397029">
        <w:rPr>
          <w:rFonts w:cs="Arial"/>
          <w:sz w:val="16"/>
          <w:szCs w:val="16"/>
          <w:rtl/>
        </w:rPr>
        <w:t>(סי' נה)</w:t>
      </w:r>
      <w:r>
        <w:rPr>
          <w:rFonts w:cs="Arial" w:hint="cs"/>
          <w:rtl/>
        </w:rPr>
        <w:t>-</w:t>
      </w:r>
      <w:r>
        <w:rPr>
          <w:rFonts w:cs="Arial"/>
          <w:rtl/>
        </w:rPr>
        <w:t xml:space="preserve"> </w:t>
      </w:r>
      <w:r w:rsidRPr="00397029">
        <w:rPr>
          <w:rFonts w:cs="Arial"/>
          <w:rtl/>
        </w:rPr>
        <w:t>נראה דאם אמרה האשה תן לפלוני שהם שלו</w:t>
      </w:r>
      <w:r>
        <w:rPr>
          <w:rFonts w:cs="Arial" w:hint="cs"/>
          <w:rtl/>
        </w:rPr>
        <w:t xml:space="preserve"> -</w:t>
      </w:r>
      <w:r w:rsidRPr="00397029">
        <w:rPr>
          <w:rFonts w:cs="Arial"/>
          <w:rtl/>
        </w:rPr>
        <w:t xml:space="preserve"> דנותן לו</w:t>
      </w:r>
      <w:r>
        <w:rPr>
          <w:rFonts w:cs="Arial" w:hint="cs"/>
          <w:rtl/>
        </w:rPr>
        <w:t>,</w:t>
      </w:r>
      <w:r w:rsidRPr="00397029">
        <w:rPr>
          <w:rFonts w:cs="Arial"/>
          <w:rtl/>
        </w:rPr>
        <w:t xml:space="preserve"> דנאמנת היא במיגו דאי בעיא שקלה איהי מיניה ויהבה ליה</w:t>
      </w:r>
      <w:r>
        <w:rPr>
          <w:rFonts w:cs="Arial" w:hint="cs"/>
          <w:rtl/>
        </w:rPr>
        <w:t>,</w:t>
      </w:r>
      <w:r w:rsidRPr="00397029">
        <w:rPr>
          <w:rFonts w:cs="Arial"/>
          <w:rtl/>
        </w:rPr>
        <w:t xml:space="preserve"> ואפי' אומר הבעל שהממון שלו אין לו כח להוציא מידה</w:t>
      </w:r>
      <w:r>
        <w:rPr>
          <w:rFonts w:cs="Arial" w:hint="cs"/>
          <w:rtl/>
        </w:rPr>
        <w:t>...</w:t>
      </w:r>
      <w:r w:rsidRPr="00397029">
        <w:rPr>
          <w:rFonts w:cs="Arial"/>
          <w:rtl/>
        </w:rPr>
        <w:t xml:space="preserve"> ואם תקף הבעל מידה שוב אינה יכולה להוציא מידו ולומר של פלוני הם</w:t>
      </w:r>
      <w:r>
        <w:rPr>
          <w:rFonts w:cs="Arial" w:hint="cs"/>
          <w:rtl/>
        </w:rPr>
        <w:t>...</w:t>
      </w:r>
      <w:r w:rsidRPr="00397029">
        <w:rPr>
          <w:rFonts w:cs="Arial"/>
          <w:rtl/>
        </w:rPr>
        <w:t xml:space="preserve"> ודוקא במעות טמונות</w:t>
      </w:r>
      <w:r>
        <w:rPr>
          <w:rFonts w:cs="Arial" w:hint="cs"/>
          <w:rtl/>
        </w:rPr>
        <w:t>...</w:t>
      </w:r>
      <w:r w:rsidRPr="00397029">
        <w:rPr>
          <w:rFonts w:cs="Arial"/>
          <w:rtl/>
        </w:rPr>
        <w:t xml:space="preserve"> אבל מעות שאינן טמונות </w:t>
      </w:r>
      <w:r>
        <w:rPr>
          <w:rFonts w:cs="Arial" w:hint="cs"/>
          <w:rtl/>
        </w:rPr>
        <w:t xml:space="preserve">- </w:t>
      </w:r>
      <w:r w:rsidRPr="00397029">
        <w:rPr>
          <w:rFonts w:cs="Arial"/>
          <w:rtl/>
        </w:rPr>
        <w:t>יש לה עליו</w:t>
      </w:r>
      <w:r>
        <w:rPr>
          <w:rFonts w:cs="Arial" w:hint="cs"/>
          <w:rtl/>
        </w:rPr>
        <w:t>,</w:t>
      </w:r>
      <w:r w:rsidRPr="00397029">
        <w:rPr>
          <w:rFonts w:cs="Arial"/>
          <w:rtl/>
        </w:rPr>
        <w:t xml:space="preserve"> וכן אם תקף </w:t>
      </w:r>
      <w:r>
        <w:rPr>
          <w:rFonts w:cs="Arial" w:hint="cs"/>
          <w:rtl/>
        </w:rPr>
        <w:t xml:space="preserve">- </w:t>
      </w:r>
      <w:r w:rsidRPr="00397029">
        <w:rPr>
          <w:rFonts w:cs="Arial"/>
          <w:rtl/>
        </w:rPr>
        <w:t>מוציאין מידו</w:t>
      </w:r>
      <w:r>
        <w:rPr>
          <w:rFonts w:cs="Arial" w:hint="cs"/>
          <w:rtl/>
        </w:rPr>
        <w:t>...</w:t>
      </w:r>
      <w:r w:rsidRPr="00397029">
        <w:rPr>
          <w:rFonts w:cs="Arial"/>
          <w:rtl/>
        </w:rPr>
        <w:t xml:space="preserve"> ואפי' בב"ד</w:t>
      </w:r>
      <w:r>
        <w:rPr>
          <w:rFonts w:cs="Arial" w:hint="cs"/>
          <w:rtl/>
        </w:rPr>
        <w:t>.</w:t>
      </w:r>
      <w:r w:rsidRPr="00397029">
        <w:rPr>
          <w:rFonts w:cs="Arial"/>
          <w:rtl/>
        </w:rPr>
        <w:t xml:space="preserve"> ואם היא נושאת ונותנת בתוך הבית אינה נאמנת לומר לא שלי ולא של פלוני הם</w:t>
      </w:r>
      <w:r>
        <w:rPr>
          <w:rFonts w:cs="Arial" w:hint="cs"/>
          <w:rtl/>
        </w:rPr>
        <w:t>...</w:t>
      </w:r>
      <w:r w:rsidRPr="00397029">
        <w:rPr>
          <w:rFonts w:cs="Arial"/>
          <w:rtl/>
        </w:rPr>
        <w:t xml:space="preserve"> ומיהו היכא שאינה נושאת ונותנת בחיי בעלה וממון בעלה מצוי בידה יש להסתפק אם חשבינן לה כאילו נושאת ונותנת אם לאו</w:t>
      </w:r>
      <w:r>
        <w:rPr>
          <w:rFonts w:cs="Arial" w:hint="cs"/>
          <w:sz w:val="16"/>
          <w:szCs w:val="16"/>
          <w:rtl/>
        </w:rPr>
        <w:t xml:space="preserve"> (ל' התוס')</w:t>
      </w:r>
      <w:r>
        <w:rPr>
          <w:rFonts w:cs="Arial" w:hint="cs"/>
          <w:rtl/>
        </w:rPr>
        <w:t>.</w:t>
      </w:r>
      <w:r w:rsidRPr="000F31AE">
        <w:rPr>
          <w:rFonts w:cs="Arial" w:hint="cs"/>
          <w:color w:val="00B0F0"/>
          <w:rtl/>
        </w:rPr>
        <w:t xml:space="preserve"> </w:t>
      </w:r>
      <w:r w:rsidRPr="00057E6A">
        <w:rPr>
          <w:rFonts w:cs="Arial" w:hint="cs"/>
          <w:color w:val="00B0F0"/>
          <w:rtl/>
        </w:rPr>
        <w:t>(וכ"פ הרמ"א)</w:t>
      </w:r>
      <w:r>
        <w:rPr>
          <w:rFonts w:cs="Arial" w:hint="cs"/>
          <w:rtl/>
        </w:rPr>
        <w:t>?? עיין ב"ש וח"מ</w:t>
      </w:r>
    </w:p>
    <w:p w14:paraId="70E95135" w14:textId="77777777" w:rsidR="002E5BAD" w:rsidRPr="00BE346C" w:rsidRDefault="002E5BAD" w:rsidP="002E5BAD">
      <w:pPr>
        <w:ind w:left="360"/>
        <w:rPr>
          <w:rFonts w:cs="Arial"/>
          <w:u w:val="dotted"/>
        </w:rPr>
      </w:pPr>
      <w:r>
        <w:rPr>
          <w:rFonts w:cs="Arial" w:hint="cs"/>
          <w:u w:val="dotted"/>
          <w:rtl/>
        </w:rPr>
        <w:t xml:space="preserve">ומה הדין אם </w:t>
      </w:r>
      <w:r w:rsidRPr="00BE346C">
        <w:rPr>
          <w:rFonts w:cs="Arial" w:hint="cs"/>
          <w:u w:val="dotted"/>
          <w:rtl/>
        </w:rPr>
        <w:t xml:space="preserve">אמרה לו </w:t>
      </w:r>
      <w:r>
        <w:rPr>
          <w:rFonts w:cs="Arial" w:hint="cs"/>
          <w:u w:val="dotted"/>
          <w:rtl/>
        </w:rPr>
        <w:t>'</w:t>
      </w:r>
      <w:r w:rsidRPr="00BE346C">
        <w:rPr>
          <w:rFonts w:cs="Arial" w:hint="cs"/>
          <w:u w:val="dotted"/>
          <w:rtl/>
        </w:rPr>
        <w:t>אתה נתתם לי מתנה</w:t>
      </w:r>
      <w:r>
        <w:rPr>
          <w:rFonts w:cs="Arial" w:hint="cs"/>
          <w:u w:val="dotted"/>
          <w:rtl/>
        </w:rPr>
        <w:t>'</w:t>
      </w:r>
      <w:r w:rsidRPr="00BE346C">
        <w:rPr>
          <w:rFonts w:cs="Arial" w:hint="cs"/>
          <w:u w:val="dotted"/>
          <w:rtl/>
        </w:rPr>
        <w:t>:</w:t>
      </w:r>
    </w:p>
    <w:p w14:paraId="41DD4BA6" w14:textId="77777777" w:rsidR="002E5BAD" w:rsidRPr="00CB751C" w:rsidRDefault="002E5BAD" w:rsidP="002E5BAD">
      <w:pPr>
        <w:pStyle w:val="ab"/>
        <w:numPr>
          <w:ilvl w:val="0"/>
          <w:numId w:val="181"/>
        </w:numPr>
        <w:rPr>
          <w:rFonts w:cs="Arial"/>
          <w:rtl/>
        </w:rPr>
      </w:pPr>
      <w:r w:rsidRPr="005C14C9">
        <w:rPr>
          <w:rFonts w:cs="Arial" w:hint="cs"/>
          <w:rtl/>
        </w:rPr>
        <w:lastRenderedPageBreak/>
        <w:t xml:space="preserve">רמב"ם </w:t>
      </w:r>
      <w:r w:rsidRPr="005C14C9">
        <w:rPr>
          <w:rFonts w:cs="Arial" w:hint="cs"/>
          <w:sz w:val="16"/>
          <w:szCs w:val="16"/>
          <w:rtl/>
        </w:rPr>
        <w:t>(פכ"ב מאישות הל</w:t>
      </w:r>
      <w:r>
        <w:rPr>
          <w:rFonts w:cs="Arial" w:hint="cs"/>
          <w:sz w:val="16"/>
          <w:szCs w:val="16"/>
          <w:rtl/>
        </w:rPr>
        <w:t>"א</w:t>
      </w:r>
      <w:r w:rsidRPr="005C14C9">
        <w:rPr>
          <w:rFonts w:cs="Arial" w:hint="cs"/>
          <w:sz w:val="16"/>
          <w:szCs w:val="16"/>
          <w:rtl/>
        </w:rPr>
        <w:t>)</w:t>
      </w:r>
      <w:r w:rsidRPr="005C14C9">
        <w:rPr>
          <w:rFonts w:cs="Arial" w:hint="cs"/>
          <w:rtl/>
        </w:rPr>
        <w:t xml:space="preserve"> וטור- </w:t>
      </w:r>
      <w:r w:rsidRPr="005C14C9">
        <w:rPr>
          <w:rFonts w:cs="Arial"/>
          <w:rtl/>
        </w:rPr>
        <w:t xml:space="preserve">אמרה לו אתה נתתם לי מתנה </w:t>
      </w:r>
      <w:r w:rsidRPr="005C14C9">
        <w:rPr>
          <w:rFonts w:cs="Arial" w:hint="cs"/>
          <w:rtl/>
        </w:rPr>
        <w:t xml:space="preserve">- </w:t>
      </w:r>
      <w:r w:rsidRPr="005C14C9">
        <w:rPr>
          <w:rFonts w:cs="Arial"/>
          <w:rtl/>
        </w:rPr>
        <w:t>נשבעת שבועת הסת שנתן לה הבעל</w:t>
      </w:r>
      <w:r>
        <w:rPr>
          <w:rStyle w:val="a7"/>
          <w:rFonts w:cs="Arial"/>
          <w:rtl/>
        </w:rPr>
        <w:footnoteReference w:id="1692"/>
      </w:r>
      <w:r w:rsidRPr="005C14C9">
        <w:rPr>
          <w:rFonts w:cs="Arial" w:hint="cs"/>
          <w:rtl/>
        </w:rPr>
        <w:t>,</w:t>
      </w:r>
      <w:r w:rsidRPr="005C14C9">
        <w:rPr>
          <w:rFonts w:cs="Arial"/>
          <w:rtl/>
        </w:rPr>
        <w:t xml:space="preserve"> ואינו אוכל פירותיהן</w:t>
      </w:r>
      <w:r w:rsidRPr="005C14C9">
        <w:rPr>
          <w:rFonts w:cs="Arial" w:hint="cs"/>
          <w:sz w:val="16"/>
          <w:szCs w:val="16"/>
          <w:rtl/>
        </w:rPr>
        <w:t xml:space="preserve"> (ל' הרמב"ם)</w:t>
      </w:r>
      <w:r w:rsidRPr="005C14C9">
        <w:rPr>
          <w:rFonts w:cs="Arial"/>
          <w:rtl/>
        </w:rPr>
        <w:t>.</w:t>
      </w:r>
      <w:r w:rsidRPr="000F31AE">
        <w:rPr>
          <w:rFonts w:hint="cs"/>
          <w:color w:val="E36C0A" w:themeColor="accent6" w:themeShade="BF"/>
          <w:rtl/>
        </w:rPr>
        <w:t xml:space="preserve"> </w:t>
      </w:r>
      <w:r w:rsidRPr="00137671">
        <w:rPr>
          <w:rFonts w:hint="cs"/>
          <w:color w:val="E36C0A" w:themeColor="accent6" w:themeShade="BF"/>
          <w:rtl/>
        </w:rPr>
        <w:t>(וכ"פ בשו"ע)</w:t>
      </w:r>
    </w:p>
    <w:p w14:paraId="61AC00A3" w14:textId="77777777" w:rsidR="002E5BAD" w:rsidRPr="00CB751C" w:rsidRDefault="002E5BAD" w:rsidP="002E5BAD">
      <w:pPr>
        <w:rPr>
          <w:rFonts w:cs="Arial"/>
          <w:u w:val="single"/>
          <w:rtl/>
        </w:rPr>
      </w:pPr>
      <w:r>
        <w:rPr>
          <w:rFonts w:cs="Arial" w:hint="cs"/>
          <w:u w:val="single"/>
          <w:rtl/>
        </w:rPr>
        <w:t xml:space="preserve">האם </w:t>
      </w:r>
      <w:r w:rsidRPr="00CB751C">
        <w:rPr>
          <w:rFonts w:cs="Arial"/>
          <w:u w:val="single"/>
          <w:rtl/>
        </w:rPr>
        <w:t xml:space="preserve">הבעל נאמן לומר </w:t>
      </w:r>
      <w:r>
        <w:rPr>
          <w:rFonts w:cs="Arial" w:hint="cs"/>
          <w:u w:val="single"/>
          <w:rtl/>
        </w:rPr>
        <w:t>'</w:t>
      </w:r>
      <w:r w:rsidRPr="00CB751C">
        <w:rPr>
          <w:rFonts w:cs="Arial"/>
          <w:u w:val="single"/>
          <w:rtl/>
        </w:rPr>
        <w:t>משלי גנבה או מציאה הן או ממעשה ידיה קימצה</w:t>
      </w:r>
      <w:r>
        <w:rPr>
          <w:rFonts w:cs="Arial" w:hint="cs"/>
          <w:u w:val="single"/>
          <w:rtl/>
        </w:rPr>
        <w:t>':</w:t>
      </w:r>
      <w:r w:rsidRPr="00CB751C">
        <w:rPr>
          <w:rFonts w:cs="Arial"/>
          <w:u w:val="single"/>
          <w:rtl/>
        </w:rPr>
        <w:t xml:space="preserve"> </w:t>
      </w:r>
    </w:p>
    <w:p w14:paraId="1EA1452F" w14:textId="77777777" w:rsidR="002E5BAD" w:rsidRDefault="002E5BAD" w:rsidP="002E5BAD">
      <w:pPr>
        <w:pStyle w:val="ab"/>
        <w:numPr>
          <w:ilvl w:val="0"/>
          <w:numId w:val="181"/>
        </w:numPr>
        <w:rPr>
          <w:rFonts w:cs="Arial"/>
        </w:rPr>
      </w:pPr>
      <w:r w:rsidRPr="00CB751C">
        <w:rPr>
          <w:rFonts w:cs="Arial"/>
          <w:rtl/>
        </w:rPr>
        <w:t>רמב"ן</w:t>
      </w:r>
      <w:r w:rsidRPr="00CB751C">
        <w:rPr>
          <w:rFonts w:cs="Arial"/>
          <w:sz w:val="16"/>
          <w:szCs w:val="16"/>
          <w:rtl/>
        </w:rPr>
        <w:t xml:space="preserve"> </w:t>
      </w:r>
      <w:r w:rsidRPr="00CB751C">
        <w:rPr>
          <w:rFonts w:cs="Arial" w:hint="cs"/>
          <w:sz w:val="16"/>
          <w:szCs w:val="16"/>
          <w:rtl/>
        </w:rPr>
        <w:t>(פ' חזקת ב"ב נא:)</w:t>
      </w:r>
      <w:r w:rsidRPr="00CB751C">
        <w:rPr>
          <w:rFonts w:cs="Arial" w:hint="cs"/>
          <w:rtl/>
        </w:rPr>
        <w:t>-</w:t>
      </w:r>
      <w:r w:rsidRPr="00CB751C">
        <w:rPr>
          <w:rFonts w:cs="Arial"/>
          <w:rtl/>
        </w:rPr>
        <w:t xml:space="preserve"> אין הבעל נאמן לומר משלי גנבה או מציאה הן או ממעשה ידיה קימצה וגוף ופירות שלי</w:t>
      </w:r>
      <w:r w:rsidRPr="00CB751C">
        <w:rPr>
          <w:rFonts w:cs="Arial" w:hint="cs"/>
          <w:rtl/>
        </w:rPr>
        <w:t>,</w:t>
      </w:r>
      <w:r w:rsidRPr="00CB751C">
        <w:rPr>
          <w:rFonts w:cs="Arial"/>
          <w:rtl/>
        </w:rPr>
        <w:t xml:space="preserve"> אלא כנכסי מלוג הן לכל דבר</w:t>
      </w:r>
      <w:r w:rsidRPr="00CB751C">
        <w:rPr>
          <w:rFonts w:cs="Arial" w:hint="cs"/>
          <w:rtl/>
        </w:rPr>
        <w:t>,</w:t>
      </w:r>
      <w:r w:rsidRPr="00CB751C">
        <w:rPr>
          <w:rFonts w:cs="Arial"/>
          <w:rtl/>
        </w:rPr>
        <w:t xml:space="preserve"> גוף שלה ופירות שלו</w:t>
      </w:r>
      <w:r w:rsidRPr="00CB751C">
        <w:rPr>
          <w:rFonts w:cs="Arial" w:hint="cs"/>
          <w:rtl/>
        </w:rPr>
        <w:t>.</w:t>
      </w:r>
      <w:r w:rsidRPr="00CB751C">
        <w:rPr>
          <w:rFonts w:cs="Arial"/>
          <w:rtl/>
        </w:rPr>
        <w:t xml:space="preserve"> ומיהו משמע מדבריו דהני מילי כשאינה נושאת ונותנת בתוך הבית אבל אם היא נושאת ונותנת בתוך הבית </w:t>
      </w:r>
      <w:r w:rsidRPr="00CB751C">
        <w:rPr>
          <w:rFonts w:cs="Arial" w:hint="cs"/>
          <w:rtl/>
        </w:rPr>
        <w:t xml:space="preserve">- </w:t>
      </w:r>
      <w:r w:rsidRPr="00CB751C">
        <w:rPr>
          <w:rFonts w:cs="Arial"/>
          <w:rtl/>
        </w:rPr>
        <w:t>אינה נאמנת</w:t>
      </w:r>
      <w:r>
        <w:rPr>
          <w:rStyle w:val="a7"/>
          <w:rFonts w:cs="Arial"/>
          <w:rtl/>
        </w:rPr>
        <w:footnoteReference w:id="1693"/>
      </w:r>
      <w:r w:rsidRPr="00CB751C">
        <w:rPr>
          <w:rFonts w:cs="Arial"/>
          <w:rtl/>
        </w:rPr>
        <w:t xml:space="preserve">. </w:t>
      </w:r>
    </w:p>
    <w:p w14:paraId="2BE7D8FE" w14:textId="77777777" w:rsidR="002E5BAD" w:rsidRPr="000E56A6" w:rsidRDefault="002E5BAD" w:rsidP="002E5BAD">
      <w:pPr>
        <w:rPr>
          <w:rFonts w:cs="Arial"/>
          <w:sz w:val="16"/>
          <w:szCs w:val="16"/>
          <w:u w:val="single"/>
          <w:rtl/>
        </w:rPr>
      </w:pPr>
      <w:r w:rsidRPr="000E56A6">
        <w:rPr>
          <w:rFonts w:cs="Arial" w:hint="cs"/>
          <w:u w:val="single"/>
          <w:rtl/>
        </w:rPr>
        <w:t>בעל שרוצה להשביע את אשתו על כסף שיש בידה והיא לא מגלה לו:</w:t>
      </w:r>
      <w:r w:rsidRPr="000E56A6">
        <w:rPr>
          <w:rFonts w:cs="Arial" w:hint="cs"/>
          <w:rtl/>
        </w:rPr>
        <w:t xml:space="preserve"> </w:t>
      </w:r>
      <w:r>
        <w:rPr>
          <w:rFonts w:cs="Arial" w:hint="cs"/>
          <w:rtl/>
        </w:rPr>
        <w:t xml:space="preserve"> </w:t>
      </w:r>
      <w:r w:rsidRPr="000E56A6">
        <w:rPr>
          <w:rFonts w:cs="Arial" w:hint="cs"/>
          <w:sz w:val="16"/>
          <w:szCs w:val="16"/>
          <w:rtl/>
        </w:rPr>
        <w:t>(</w:t>
      </w:r>
      <w:r>
        <w:rPr>
          <w:rFonts w:cs="Arial" w:hint="cs"/>
          <w:sz w:val="16"/>
          <w:szCs w:val="16"/>
          <w:rtl/>
        </w:rPr>
        <w:t>ב"י בסוף הסימן)</w:t>
      </w:r>
    </w:p>
    <w:p w14:paraId="787C5599" w14:textId="77777777" w:rsidR="002E5BAD" w:rsidRDefault="002E5BAD" w:rsidP="002E5BAD">
      <w:pPr>
        <w:pStyle w:val="ab"/>
        <w:numPr>
          <w:ilvl w:val="0"/>
          <w:numId w:val="182"/>
        </w:numPr>
        <w:rPr>
          <w:rtl/>
        </w:rPr>
      </w:pPr>
      <w:r w:rsidRPr="00627CE6">
        <w:rPr>
          <w:rFonts w:cs="Arial"/>
          <w:rtl/>
        </w:rPr>
        <w:t xml:space="preserve">רשב"א </w:t>
      </w:r>
      <w:r w:rsidRPr="00431AAE">
        <w:rPr>
          <w:rFonts w:cs="Arial"/>
          <w:sz w:val="16"/>
          <w:szCs w:val="16"/>
          <w:rtl/>
        </w:rPr>
        <w:t>(ח"ב סי' קח)</w:t>
      </w:r>
      <w:r>
        <w:rPr>
          <w:rFonts w:cs="Arial" w:hint="cs"/>
          <w:rtl/>
        </w:rPr>
        <w:t>-</w:t>
      </w:r>
      <w:r w:rsidRPr="00627CE6">
        <w:rPr>
          <w:rFonts w:cs="Arial"/>
          <w:rtl/>
        </w:rPr>
        <w:t xml:space="preserve"> ש</w:t>
      </w:r>
      <w:r>
        <w:rPr>
          <w:rFonts w:cs="Arial" w:hint="cs"/>
          <w:rtl/>
        </w:rPr>
        <w:t xml:space="preserve">אלת </w:t>
      </w:r>
      <w:r w:rsidRPr="00627CE6">
        <w:rPr>
          <w:rFonts w:cs="Arial"/>
          <w:rtl/>
        </w:rPr>
        <w:t>על בת שגנבה מאביה כסף וזהב</w:t>
      </w:r>
      <w:r>
        <w:rPr>
          <w:rFonts w:cs="Arial" w:hint="cs"/>
          <w:rtl/>
        </w:rPr>
        <w:t>,</w:t>
      </w:r>
      <w:r w:rsidRPr="00627CE6">
        <w:rPr>
          <w:rFonts w:cs="Arial"/>
          <w:rtl/>
        </w:rPr>
        <w:t xml:space="preserve"> ולא הכיר בהם הבעל</w:t>
      </w:r>
      <w:r>
        <w:rPr>
          <w:rFonts w:cs="Arial" w:hint="cs"/>
          <w:rtl/>
        </w:rPr>
        <w:t>.</w:t>
      </w:r>
      <w:r w:rsidRPr="00627CE6">
        <w:rPr>
          <w:rFonts w:cs="Arial"/>
          <w:rtl/>
        </w:rPr>
        <w:t xml:space="preserve"> ועכשיו תובע הבעל שתשבע לגלות לו כל מה שיש לה</w:t>
      </w:r>
      <w:r>
        <w:rPr>
          <w:rFonts w:cs="Arial" w:hint="cs"/>
          <w:rtl/>
        </w:rPr>
        <w:t>.</w:t>
      </w:r>
      <w:r w:rsidRPr="00627CE6">
        <w:rPr>
          <w:rFonts w:cs="Arial"/>
          <w:rtl/>
        </w:rPr>
        <w:t xml:space="preserve"> </w:t>
      </w:r>
      <w:r>
        <w:rPr>
          <w:rFonts w:cs="Arial" w:hint="cs"/>
          <w:rtl/>
        </w:rPr>
        <w:t>תשובה-</w:t>
      </w:r>
      <w:r w:rsidRPr="00627CE6">
        <w:rPr>
          <w:rFonts w:cs="Arial"/>
          <w:rtl/>
        </w:rPr>
        <w:t xml:space="preserve"> טענת לאה טענה יפה היא</w:t>
      </w:r>
      <w:r>
        <w:rPr>
          <w:rFonts w:cs="Arial" w:hint="cs"/>
          <w:rtl/>
        </w:rPr>
        <w:t>,</w:t>
      </w:r>
      <w:r w:rsidRPr="00627CE6">
        <w:rPr>
          <w:rFonts w:cs="Arial"/>
          <w:rtl/>
        </w:rPr>
        <w:t xml:space="preserve"> שאין הבעל יכול להשביע את אשתו על הספק על מה שעבר אלא חנונית וחבירותיה השנויים במשנה </w:t>
      </w:r>
      <w:r w:rsidRPr="00764603">
        <w:rPr>
          <w:rFonts w:cs="Arial"/>
          <w:sz w:val="16"/>
          <w:szCs w:val="16"/>
          <w:rtl/>
        </w:rPr>
        <w:t>(כתובות פו:)</w:t>
      </w:r>
      <w:r>
        <w:rPr>
          <w:rFonts w:cs="Arial" w:hint="cs"/>
          <w:rtl/>
        </w:rPr>
        <w:t>,</w:t>
      </w:r>
      <w:r w:rsidRPr="00627CE6">
        <w:rPr>
          <w:rFonts w:cs="Arial"/>
          <w:rtl/>
        </w:rPr>
        <w:t xml:space="preserve"> וכל שכן שאינו יכול להשביעה על העתיד שלא תגנוב ולא תבריח</w:t>
      </w:r>
      <w:r>
        <w:rPr>
          <w:rFonts w:cs="Arial" w:hint="cs"/>
          <w:rtl/>
        </w:rPr>
        <w:t>.</w:t>
      </w:r>
      <w:r w:rsidRPr="00627CE6">
        <w:rPr>
          <w:rFonts w:cs="Arial"/>
          <w:rtl/>
        </w:rPr>
        <w:t xml:space="preserve"> אבל מכל מקום כל מה שיש לאשה יש בו זכות לבעל כדין נכסי מלוג</w:t>
      </w:r>
      <w:r>
        <w:rPr>
          <w:rFonts w:cs="Arial" w:hint="cs"/>
          <w:rtl/>
        </w:rPr>
        <w:t>,</w:t>
      </w:r>
      <w:r w:rsidRPr="00627CE6">
        <w:rPr>
          <w:rFonts w:cs="Arial"/>
          <w:rtl/>
        </w:rPr>
        <w:t xml:space="preserve"> מיהו אין הבעל זוכה בנכסי אשתו לבטל מכרה ומתנתה אלא באותם הידועים לו</w:t>
      </w:r>
      <w:r>
        <w:rPr>
          <w:rFonts w:cs="Arial" w:hint="cs"/>
          <w:rtl/>
        </w:rPr>
        <w:t>,</w:t>
      </w:r>
      <w:r w:rsidRPr="00627CE6">
        <w:rPr>
          <w:rFonts w:cs="Arial"/>
          <w:rtl/>
        </w:rPr>
        <w:t xml:space="preserve"> אבל בשאינם ידועים לו לא</w:t>
      </w:r>
      <w:r>
        <w:rPr>
          <w:rFonts w:cs="Arial" w:hint="cs"/>
          <w:rtl/>
        </w:rPr>
        <w:t>,</w:t>
      </w:r>
      <w:r w:rsidRPr="00627CE6">
        <w:rPr>
          <w:rFonts w:cs="Arial"/>
          <w:rtl/>
        </w:rPr>
        <w:t xml:space="preserve"> דהלכה כרבי שמעון דפרק האשה שנפלו </w:t>
      </w:r>
      <w:r w:rsidRPr="00764603">
        <w:rPr>
          <w:rFonts w:cs="Arial"/>
          <w:sz w:val="16"/>
          <w:szCs w:val="16"/>
          <w:rtl/>
        </w:rPr>
        <w:t>(עח.)</w:t>
      </w:r>
      <w:r>
        <w:rPr>
          <w:rFonts w:cs="Arial" w:hint="cs"/>
          <w:rtl/>
        </w:rPr>
        <w:t>.</w:t>
      </w:r>
      <w:r w:rsidRPr="00627CE6">
        <w:rPr>
          <w:rFonts w:cs="Arial"/>
          <w:rtl/>
        </w:rPr>
        <w:t xml:space="preserve"> ותניא </w:t>
      </w:r>
      <w:r w:rsidRPr="00764603">
        <w:rPr>
          <w:rFonts w:cs="Arial"/>
          <w:sz w:val="16"/>
          <w:szCs w:val="16"/>
          <w:rtl/>
        </w:rPr>
        <w:t xml:space="preserve">(שם:) </w:t>
      </w:r>
      <w:r w:rsidRPr="00627CE6">
        <w:rPr>
          <w:rFonts w:cs="Arial"/>
          <w:rtl/>
        </w:rPr>
        <w:t>אלו הם שאינם ידועים כל היושבת כאן ונפלו לה נכסים במדינת הים</w:t>
      </w:r>
      <w:r>
        <w:rPr>
          <w:rFonts w:cs="Arial" w:hint="cs"/>
          <w:rtl/>
        </w:rPr>
        <w:t>,</w:t>
      </w:r>
      <w:r w:rsidRPr="00627CE6">
        <w:rPr>
          <w:rFonts w:cs="Arial"/>
          <w:rtl/>
        </w:rPr>
        <w:t xml:space="preserve"> ולאו דוקא שנפלו לה במדינת הים אלא הוא הדין אם נפלו לה במקום שהיא ובעלה יושבים שם כל זמן שלא ידע הוא כשנפלו לה ולא הספיק לדעת עד שמכרה או נתנה היא</w:t>
      </w:r>
      <w:r>
        <w:rPr>
          <w:rFonts w:cs="Arial" w:hint="cs"/>
          <w:rtl/>
        </w:rPr>
        <w:t>,</w:t>
      </w:r>
      <w:r w:rsidRPr="00627CE6">
        <w:rPr>
          <w:rFonts w:cs="Arial"/>
          <w:rtl/>
        </w:rPr>
        <w:t xml:space="preserve"> וכן פרא"ם</w:t>
      </w:r>
      <w:r>
        <w:rPr>
          <w:rFonts w:cs="Arial" w:hint="cs"/>
          <w:rtl/>
        </w:rPr>
        <w:t>.</w:t>
      </w:r>
      <w:r w:rsidRPr="00627CE6">
        <w:rPr>
          <w:rFonts w:cs="Arial"/>
          <w:rtl/>
        </w:rPr>
        <w:t xml:space="preserve"> וכן מה שאמרו כשנפלו לה נכסים</w:t>
      </w:r>
      <w:r>
        <w:rPr>
          <w:rFonts w:cs="Arial" w:hint="cs"/>
          <w:rtl/>
        </w:rPr>
        <w:t>,</w:t>
      </w:r>
      <w:r w:rsidRPr="00627CE6">
        <w:rPr>
          <w:rFonts w:cs="Arial"/>
          <w:rtl/>
        </w:rPr>
        <w:t xml:space="preserve"> כלומר בירושה</w:t>
      </w:r>
      <w:r>
        <w:rPr>
          <w:rFonts w:cs="Arial" w:hint="cs"/>
          <w:rtl/>
        </w:rPr>
        <w:t>,</w:t>
      </w:r>
      <w:r w:rsidRPr="00627CE6">
        <w:rPr>
          <w:rFonts w:cs="Arial"/>
          <w:rtl/>
        </w:rPr>
        <w:t xml:space="preserve"> לאו דוקא</w:t>
      </w:r>
      <w:r>
        <w:rPr>
          <w:rFonts w:cs="Arial" w:hint="cs"/>
          <w:rtl/>
        </w:rPr>
        <w:t>,</w:t>
      </w:r>
      <w:r w:rsidRPr="00627CE6">
        <w:rPr>
          <w:rFonts w:cs="Arial"/>
          <w:rtl/>
        </w:rPr>
        <w:t xml:space="preserve"> אלא הוא הדין אפילו ניתנו לה במתנה או שמצאה מציאה</w:t>
      </w:r>
      <w:r>
        <w:rPr>
          <w:rFonts w:cs="Arial" w:hint="cs"/>
          <w:rtl/>
        </w:rPr>
        <w:t>,</w:t>
      </w:r>
      <w:r w:rsidRPr="00627CE6">
        <w:rPr>
          <w:rFonts w:cs="Arial"/>
          <w:rtl/>
        </w:rPr>
        <w:t xml:space="preserve"> זה הכלל כל שיבואו לה ולא ידע בהם הבעל עד שמכרה או נתנה ואפילו לא נתנה אותם במתנה גמורה אלא בהברחה </w:t>
      </w:r>
      <w:r>
        <w:rPr>
          <w:rFonts w:cs="Arial" w:hint="cs"/>
          <w:rtl/>
        </w:rPr>
        <w:t xml:space="preserve">- </w:t>
      </w:r>
      <w:r w:rsidRPr="00627CE6">
        <w:rPr>
          <w:rFonts w:cs="Arial"/>
          <w:rtl/>
        </w:rPr>
        <w:t>אין הבעל מוציא מיד מקבל המתנה</w:t>
      </w:r>
      <w:r>
        <w:rPr>
          <w:rFonts w:cs="Arial" w:hint="cs"/>
          <w:rtl/>
        </w:rPr>
        <w:t>,</w:t>
      </w:r>
      <w:r w:rsidRPr="00627CE6">
        <w:rPr>
          <w:rFonts w:cs="Arial"/>
          <w:rtl/>
        </w:rPr>
        <w:t xml:space="preserve"> וכדתניא הרוצה שתבריח נכסיה מבעלה כיצד היא עושה כותבת שטר פסים לאחר וכו' כדאיתא בפרק</w:t>
      </w:r>
      <w:r>
        <w:rPr>
          <w:rFonts w:cs="Arial" w:hint="cs"/>
          <w:rtl/>
        </w:rPr>
        <w:t>.</w:t>
      </w:r>
      <w:r w:rsidRPr="00627CE6">
        <w:rPr>
          <w:rFonts w:cs="Arial"/>
          <w:rtl/>
        </w:rPr>
        <w:t xml:space="preserve"> ומעתה אשה זו שנתנה לבנותיה קודם שידע בהם הבעל</w:t>
      </w:r>
      <w:r>
        <w:rPr>
          <w:rFonts w:cs="Arial" w:hint="cs"/>
          <w:rtl/>
        </w:rPr>
        <w:t xml:space="preserve"> -</w:t>
      </w:r>
      <w:r w:rsidRPr="00627CE6">
        <w:rPr>
          <w:rFonts w:cs="Arial"/>
          <w:rtl/>
        </w:rPr>
        <w:t xml:space="preserve"> מתנה זו קיימת</w:t>
      </w:r>
      <w:r>
        <w:rPr>
          <w:rFonts w:cs="Arial" w:hint="cs"/>
          <w:rtl/>
        </w:rPr>
        <w:t>,</w:t>
      </w:r>
      <w:r w:rsidRPr="00627CE6">
        <w:rPr>
          <w:rFonts w:cs="Arial"/>
          <w:rtl/>
        </w:rPr>
        <w:t xml:space="preserve"> ומכל מקום אותם פירות ששיירה היא בנכסים עד שתמו</w:t>
      </w:r>
      <w:r>
        <w:rPr>
          <w:rFonts w:cs="Arial" w:hint="cs"/>
          <w:rtl/>
        </w:rPr>
        <w:t>ת</w:t>
      </w:r>
      <w:r w:rsidRPr="00627CE6">
        <w:rPr>
          <w:rFonts w:cs="Arial"/>
          <w:rtl/>
        </w:rPr>
        <w:t xml:space="preserve"> </w:t>
      </w:r>
      <w:r>
        <w:rPr>
          <w:rFonts w:cs="Arial" w:hint="cs"/>
          <w:rtl/>
        </w:rPr>
        <w:t xml:space="preserve">- </w:t>
      </w:r>
      <w:r w:rsidRPr="00627CE6">
        <w:rPr>
          <w:rFonts w:cs="Arial"/>
          <w:rtl/>
        </w:rPr>
        <w:t>זכה בהם הבעל לענין שילקח בהם קרקע והוא אוכל פירות</w:t>
      </w:r>
      <w:r>
        <w:rPr>
          <w:rFonts w:cs="Arial" w:hint="cs"/>
          <w:rtl/>
        </w:rPr>
        <w:t>.</w:t>
      </w:r>
      <w:r w:rsidRPr="00627CE6">
        <w:rPr>
          <w:rFonts w:cs="Arial"/>
          <w:rtl/>
        </w:rPr>
        <w:t xml:space="preserve"> ועוד תדע שאם הודית היא שיש בידה שום ממון</w:t>
      </w:r>
      <w:r>
        <w:rPr>
          <w:rFonts w:cs="Arial" w:hint="cs"/>
          <w:rtl/>
        </w:rPr>
        <w:t>,</w:t>
      </w:r>
      <w:r w:rsidRPr="00627CE6">
        <w:rPr>
          <w:rFonts w:cs="Arial"/>
          <w:rtl/>
        </w:rPr>
        <w:t xml:space="preserve"> וטוענת שהוא פקדון או שנתנו לה אחרים על מנת שאין לבעלה רשות בהם אלא מה שהיא אוכלת וכיוצא בזה </w:t>
      </w:r>
      <w:r>
        <w:rPr>
          <w:rFonts w:cs="Arial" w:hint="cs"/>
          <w:rtl/>
        </w:rPr>
        <w:t xml:space="preserve">- </w:t>
      </w:r>
      <w:r w:rsidRPr="00627CE6">
        <w:rPr>
          <w:rFonts w:cs="Arial"/>
          <w:rtl/>
        </w:rPr>
        <w:t>נאמנת בכל מה שתאמר קודם שנתגלו המעות אפילו בלא שבועה</w:t>
      </w:r>
      <w:r>
        <w:rPr>
          <w:rFonts w:cs="Arial" w:hint="cs"/>
          <w:rtl/>
        </w:rPr>
        <w:t>,</w:t>
      </w:r>
      <w:r w:rsidRPr="00627CE6">
        <w:rPr>
          <w:rFonts w:cs="Arial"/>
          <w:rtl/>
        </w:rPr>
        <w:t xml:space="preserve"> במגו דאי בעיא אמרה אין בידי כלום. ובזמן שאין האשה מודה שאמרנו שאין הבעל יכול להשביעה על הספק</w:t>
      </w:r>
      <w:r>
        <w:rPr>
          <w:rFonts w:cs="Arial" w:hint="cs"/>
          <w:rtl/>
        </w:rPr>
        <w:t>,</w:t>
      </w:r>
      <w:r w:rsidRPr="00627CE6">
        <w:rPr>
          <w:rFonts w:cs="Arial"/>
          <w:rtl/>
        </w:rPr>
        <w:t xml:space="preserve"> אם רצה להחרים חרם סתם על מי שנטל משלו כלום שלא מדעתו </w:t>
      </w:r>
      <w:r>
        <w:rPr>
          <w:rFonts w:cs="Arial" w:hint="cs"/>
          <w:rtl/>
        </w:rPr>
        <w:t xml:space="preserve">- </w:t>
      </w:r>
      <w:r w:rsidRPr="00627CE6">
        <w:rPr>
          <w:rFonts w:cs="Arial"/>
          <w:rtl/>
        </w:rPr>
        <w:t>מחרים</w:t>
      </w:r>
      <w:r>
        <w:rPr>
          <w:rFonts w:cs="Arial" w:hint="cs"/>
          <w:rtl/>
        </w:rPr>
        <w:t>.</w:t>
      </w:r>
      <w:r w:rsidRPr="00627CE6">
        <w:rPr>
          <w:rFonts w:cs="Arial"/>
          <w:rtl/>
        </w:rPr>
        <w:t xml:space="preserve"> ואלא מיהו זה שבא להחרים על כל מי שיש בידו כלום משל אשתו מסתברא שממחין בידו אם רצו</w:t>
      </w:r>
      <w:r>
        <w:rPr>
          <w:rFonts w:cs="Arial" w:hint="cs"/>
          <w:rtl/>
        </w:rPr>
        <w:t>,</w:t>
      </w:r>
      <w:r w:rsidRPr="00627CE6">
        <w:rPr>
          <w:rFonts w:cs="Arial"/>
          <w:rtl/>
        </w:rPr>
        <w:t xml:space="preserve"> לפי שאפילו מי שמקבל מן האשה אינו מחזיר לבעל אלא לאשה וכדאמרינן בפרק חזקת </w:t>
      </w:r>
      <w:r w:rsidRPr="00764603">
        <w:rPr>
          <w:rFonts w:cs="Arial"/>
          <w:sz w:val="16"/>
          <w:szCs w:val="16"/>
          <w:rtl/>
        </w:rPr>
        <w:t>(ב"ב נא:)</w:t>
      </w:r>
      <w:r>
        <w:rPr>
          <w:rFonts w:cs="Arial" w:hint="cs"/>
          <w:rtl/>
        </w:rPr>
        <w:t>,</w:t>
      </w:r>
      <w:r w:rsidRPr="00627CE6">
        <w:rPr>
          <w:rFonts w:cs="Arial"/>
          <w:rtl/>
        </w:rPr>
        <w:t xml:space="preserve"> וכל שאינו חייב להחזיר לבעל למה ישמע קול אלה להגיד לבעל מה שקבל מן האשה</w:t>
      </w:r>
      <w:r>
        <w:rPr>
          <w:rFonts w:cs="Arial" w:hint="cs"/>
          <w:rtl/>
        </w:rPr>
        <w:t>.</w:t>
      </w:r>
      <w:r w:rsidRPr="00627CE6">
        <w:rPr>
          <w:rFonts w:cs="Arial"/>
          <w:rtl/>
        </w:rPr>
        <w:t xml:space="preserve"> גם מרבותי יש שכתבו שנפקד שהחזיר לאשה אין הבעל יכול להוציא מידה כלל אילו אמרה של פלוני הם או ניתנו לי במתנה על מנת שאין לבעלי רשות בהם</w:t>
      </w:r>
      <w:r>
        <w:rPr>
          <w:rFonts w:cs="Arial" w:hint="cs"/>
          <w:rtl/>
        </w:rPr>
        <w:t>,</w:t>
      </w:r>
      <w:r w:rsidRPr="00627CE6">
        <w:rPr>
          <w:rFonts w:cs="Arial"/>
          <w:rtl/>
        </w:rPr>
        <w:t xml:space="preserve"> וכן דעת מורי ה"ר יונה ז"ל </w:t>
      </w:r>
      <w:r w:rsidRPr="00764603">
        <w:rPr>
          <w:rFonts w:cs="Arial"/>
          <w:sz w:val="16"/>
          <w:szCs w:val="16"/>
          <w:rtl/>
        </w:rPr>
        <w:t>(ב"ב נא: ד"ה ת"ר)</w:t>
      </w:r>
      <w:r>
        <w:rPr>
          <w:rFonts w:cs="Arial" w:hint="cs"/>
          <w:rtl/>
        </w:rPr>
        <w:t>,</w:t>
      </w:r>
      <w:r w:rsidRPr="00627CE6">
        <w:rPr>
          <w:rFonts w:cs="Arial"/>
          <w:rtl/>
        </w:rPr>
        <w:t xml:space="preserve"> וכן נראין דברי הרא"ם</w:t>
      </w:r>
      <w:r>
        <w:rPr>
          <w:rFonts w:cs="Arial" w:hint="cs"/>
          <w:rtl/>
        </w:rPr>
        <w:t>.</w:t>
      </w:r>
      <w:r w:rsidRPr="00627CE6">
        <w:rPr>
          <w:rFonts w:cs="Arial"/>
          <w:rtl/>
        </w:rPr>
        <w:t xml:space="preserve"> ולדבריהם כיון דאין זכות לבעל בממון זה כלל לא בקרן ולא בפירות למה יחרים ולמה ישמעו קול אלתו</w:t>
      </w:r>
      <w:r>
        <w:rPr>
          <w:rFonts w:cs="Arial" w:hint="cs"/>
          <w:rtl/>
        </w:rPr>
        <w:t>.</w:t>
      </w:r>
      <w:r w:rsidRPr="00627CE6">
        <w:rPr>
          <w:rFonts w:cs="Arial"/>
          <w:rtl/>
        </w:rPr>
        <w:t xml:space="preserve"> ומכאן נתבאר לך מה ששאלת שאין הנפקדים מחזירין לידו אלא ליד האשה ואע</w:t>
      </w:r>
      <w:r>
        <w:rPr>
          <w:rFonts w:cs="Arial" w:hint="cs"/>
          <w:rtl/>
        </w:rPr>
        <w:t>"</w:t>
      </w:r>
      <w:r w:rsidRPr="00627CE6">
        <w:rPr>
          <w:rFonts w:cs="Arial"/>
          <w:rtl/>
        </w:rPr>
        <w:t>פ שהם מודים שקיבלו ממנה הפקדון</w:t>
      </w:r>
      <w:r>
        <w:rPr>
          <w:rFonts w:cs="Arial" w:hint="cs"/>
          <w:rtl/>
        </w:rPr>
        <w:t>.</w:t>
      </w:r>
    </w:p>
    <w:p w14:paraId="54ECB9CE" w14:textId="77777777" w:rsidR="002E5BAD" w:rsidRPr="006403CA" w:rsidRDefault="002E5BAD" w:rsidP="002E5BAD">
      <w:pPr>
        <w:rPr>
          <w:rFonts w:cs="Arial"/>
        </w:rPr>
      </w:pPr>
      <w:r w:rsidRPr="006403CA">
        <w:rPr>
          <w:rFonts w:cs="Arial"/>
          <w:u w:val="single"/>
          <w:rtl/>
        </w:rPr>
        <w:t>אשה שמרדה על בעלה ויצאה מביתו ותפסה חפצים שלו ואמרה נתתה לי במתנה גמורה</w:t>
      </w:r>
      <w:r w:rsidRPr="006403CA">
        <w:rPr>
          <w:rFonts w:cs="Arial" w:hint="cs"/>
          <w:u w:val="single"/>
          <w:rtl/>
        </w:rPr>
        <w:t>:</w:t>
      </w:r>
      <w:r w:rsidRPr="006403CA">
        <w:rPr>
          <w:rFonts w:cs="Arial"/>
          <w:rtl/>
        </w:rPr>
        <w:t xml:space="preserve"> </w:t>
      </w:r>
      <w:r>
        <w:rPr>
          <w:rFonts w:cs="Arial" w:hint="cs"/>
          <w:rtl/>
        </w:rPr>
        <w:t xml:space="preserve"> </w:t>
      </w:r>
      <w:r w:rsidRPr="006403CA">
        <w:rPr>
          <w:rFonts w:cs="Arial"/>
          <w:sz w:val="16"/>
          <w:szCs w:val="16"/>
          <w:rtl/>
        </w:rPr>
        <w:t>(</w:t>
      </w:r>
      <w:r w:rsidRPr="006403CA">
        <w:rPr>
          <w:rFonts w:cs="Arial" w:hint="cs"/>
          <w:sz w:val="16"/>
          <w:szCs w:val="16"/>
          <w:rtl/>
        </w:rPr>
        <w:t xml:space="preserve">דרכ"מ אות </w:t>
      </w:r>
      <w:r w:rsidRPr="006403CA">
        <w:rPr>
          <w:rFonts w:cs="Arial"/>
          <w:sz w:val="16"/>
          <w:szCs w:val="16"/>
          <w:rtl/>
        </w:rPr>
        <w:t xml:space="preserve">ה) </w:t>
      </w:r>
    </w:p>
    <w:p w14:paraId="18A0EAFB" w14:textId="77777777" w:rsidR="002E5BAD" w:rsidRPr="006403CA" w:rsidRDefault="002E5BAD" w:rsidP="002E5BAD">
      <w:pPr>
        <w:pStyle w:val="ab"/>
        <w:numPr>
          <w:ilvl w:val="0"/>
          <w:numId w:val="181"/>
        </w:numPr>
        <w:rPr>
          <w:rFonts w:cs="Arial"/>
          <w:rtl/>
        </w:rPr>
      </w:pPr>
      <w:r w:rsidRPr="007A228B">
        <w:rPr>
          <w:rFonts w:cs="Arial"/>
          <w:rtl/>
        </w:rPr>
        <w:t xml:space="preserve">מהר"ם </w:t>
      </w:r>
      <w:r w:rsidRPr="006403CA">
        <w:rPr>
          <w:rFonts w:cs="Arial"/>
          <w:sz w:val="16"/>
          <w:szCs w:val="16"/>
          <w:rtl/>
        </w:rPr>
        <w:t>(ד"ק סי</w:t>
      </w:r>
      <w:r w:rsidRPr="006403CA">
        <w:rPr>
          <w:rFonts w:cs="Arial" w:hint="cs"/>
          <w:sz w:val="16"/>
          <w:szCs w:val="16"/>
          <w:rtl/>
        </w:rPr>
        <w:t>'</w:t>
      </w:r>
      <w:r w:rsidRPr="006403CA">
        <w:rPr>
          <w:rFonts w:cs="Arial"/>
          <w:sz w:val="16"/>
          <w:szCs w:val="16"/>
          <w:rtl/>
        </w:rPr>
        <w:t xml:space="preserve"> רסח</w:t>
      </w:r>
      <w:r w:rsidRPr="006403CA">
        <w:rPr>
          <w:rFonts w:cs="Arial" w:hint="cs"/>
          <w:sz w:val="16"/>
          <w:szCs w:val="16"/>
          <w:rtl/>
        </w:rPr>
        <w:t>)</w:t>
      </w:r>
      <w:r>
        <w:rPr>
          <w:rFonts w:cs="Arial" w:hint="cs"/>
          <w:rtl/>
        </w:rPr>
        <w:t>-</w:t>
      </w:r>
      <w:r w:rsidRPr="007A228B">
        <w:rPr>
          <w:rFonts w:cs="Arial"/>
          <w:rtl/>
        </w:rPr>
        <w:t xml:space="preserve"> </w:t>
      </w:r>
      <w:r w:rsidRPr="006403CA">
        <w:rPr>
          <w:rFonts w:cs="Arial"/>
          <w:rtl/>
        </w:rPr>
        <w:t>וששאלתם על האשה שמרדה על בעלה ויצאה מביתו ותפסה חפצים שלו ואמרה נתתה לי במתנה גמורה. וכן האשה לאחר מיתת בעלה אם יכולה לומר</w:t>
      </w:r>
      <w:r>
        <w:rPr>
          <w:rFonts w:cs="Arial" w:hint="cs"/>
          <w:rtl/>
        </w:rPr>
        <w:t xml:space="preserve"> </w:t>
      </w:r>
      <w:r w:rsidRPr="006403CA">
        <w:rPr>
          <w:rFonts w:cs="Arial"/>
          <w:rtl/>
        </w:rPr>
        <w:t xml:space="preserve">בעלי נתן לי אותם. </w:t>
      </w:r>
      <w:r>
        <w:rPr>
          <w:rFonts w:cs="Arial" w:hint="cs"/>
          <w:rtl/>
        </w:rPr>
        <w:t xml:space="preserve">תשובה- </w:t>
      </w:r>
      <w:r w:rsidRPr="006403CA">
        <w:rPr>
          <w:rFonts w:cs="Arial"/>
          <w:rtl/>
        </w:rPr>
        <w:t xml:space="preserve">כל כמה דלא חזינא לחפצים בידיה </w:t>
      </w:r>
      <w:r>
        <w:rPr>
          <w:rFonts w:cs="Arial" w:hint="cs"/>
          <w:rtl/>
        </w:rPr>
        <w:t xml:space="preserve">- </w:t>
      </w:r>
      <w:r w:rsidRPr="006403CA">
        <w:rPr>
          <w:rFonts w:cs="Arial"/>
          <w:rtl/>
        </w:rPr>
        <w:t xml:space="preserve">מהימנה במגו דאי בעיה אמרה לא היו דברים מעולם או החזרתים. אבל כי האי גוונא דחזינן להו בידה, אפילו אין עדים בדבר שאילו החפצים של בעלה, אינה נאמנת לומר שלי הם ולא של פלוני הם. כדתניא בהדיא בפרק חזקת הבתים </w:t>
      </w:r>
      <w:r w:rsidRPr="006403CA">
        <w:rPr>
          <w:rFonts w:cs="Arial" w:hint="cs"/>
          <w:sz w:val="16"/>
          <w:szCs w:val="16"/>
          <w:rtl/>
        </w:rPr>
        <w:t>(</w:t>
      </w:r>
      <w:r w:rsidRPr="006403CA">
        <w:rPr>
          <w:rFonts w:cs="Arial"/>
          <w:sz w:val="16"/>
          <w:szCs w:val="16"/>
          <w:rtl/>
        </w:rPr>
        <w:t>ב"ב נב</w:t>
      </w:r>
      <w:r w:rsidRPr="006403CA">
        <w:rPr>
          <w:rFonts w:cs="Arial" w:hint="cs"/>
          <w:sz w:val="16"/>
          <w:szCs w:val="16"/>
          <w:rtl/>
        </w:rPr>
        <w:t>:)</w:t>
      </w:r>
      <w:r w:rsidRPr="006403CA">
        <w:rPr>
          <w:rFonts w:cs="Arial"/>
          <w:sz w:val="16"/>
          <w:szCs w:val="16"/>
          <w:rtl/>
        </w:rPr>
        <w:t xml:space="preserve"> </w:t>
      </w:r>
      <w:r w:rsidRPr="006403CA">
        <w:rPr>
          <w:rFonts w:cs="Arial"/>
          <w:rtl/>
        </w:rPr>
        <w:t>וכן האשה הנושאת ונותנת בתוך הבית וכולי, עד עליה להביא ראייה</w:t>
      </w:r>
      <w:r>
        <w:rPr>
          <w:rFonts w:cs="Arial" w:hint="cs"/>
          <w:rtl/>
        </w:rPr>
        <w:t>.</w:t>
      </w:r>
      <w:r w:rsidRPr="006403CA">
        <w:rPr>
          <w:rFonts w:cs="Arial" w:hint="cs"/>
          <w:color w:val="00B0F0"/>
          <w:rtl/>
        </w:rPr>
        <w:t xml:space="preserve"> </w:t>
      </w:r>
      <w:r w:rsidRPr="00057E6A">
        <w:rPr>
          <w:rFonts w:cs="Arial" w:hint="cs"/>
          <w:color w:val="00B0F0"/>
          <w:rtl/>
        </w:rPr>
        <w:t>(וכ"פ הרמ"א)</w:t>
      </w:r>
    </w:p>
    <w:p w14:paraId="70635C2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ED3FEA5" w14:textId="77777777" w:rsidR="002E5BAD" w:rsidRDefault="002E5BAD" w:rsidP="002E5BAD">
      <w:pPr>
        <w:rPr>
          <w:rtl/>
        </w:rPr>
      </w:pPr>
      <w:r>
        <w:rPr>
          <w:rFonts w:cs="Arial"/>
          <w:rtl/>
        </w:rPr>
        <w:t>נמצאו ביד האשה מעות או מטלטלין, והיא אומרת: מתנה נתנו לי, והוא אומר: ממעשה ידיך הם</w:t>
      </w:r>
      <w:r>
        <w:rPr>
          <w:rStyle w:val="a7"/>
          <w:rFonts w:cs="Arial"/>
          <w:rtl/>
        </w:rPr>
        <w:footnoteReference w:id="1694"/>
      </w:r>
      <w:r>
        <w:rPr>
          <w:rFonts w:cs="Arial"/>
          <w:rtl/>
        </w:rPr>
        <w:t>, ושלי הם, נאמנת, וילקח בהם קרקע והוא אוכל פירות. ויש לו להחרים על מי שטוען שקר. ואם אמרה: ע</w:t>
      </w:r>
      <w:r>
        <w:rPr>
          <w:rFonts w:cs="Arial" w:hint="cs"/>
          <w:rtl/>
        </w:rPr>
        <w:t xml:space="preserve">ל </w:t>
      </w:r>
      <w:r>
        <w:rPr>
          <w:rFonts w:cs="Arial"/>
          <w:rtl/>
        </w:rPr>
        <w:t>מ</w:t>
      </w:r>
      <w:r>
        <w:rPr>
          <w:rFonts w:cs="Arial" w:hint="cs"/>
          <w:rtl/>
        </w:rPr>
        <w:t>נת</w:t>
      </w:r>
      <w:r>
        <w:rPr>
          <w:rFonts w:cs="Arial"/>
          <w:rtl/>
        </w:rPr>
        <w:t xml:space="preserve"> כן נתנו לי שלא יהא </w:t>
      </w:r>
      <w:r>
        <w:rPr>
          <w:rFonts w:cs="Arial"/>
          <w:rtl/>
        </w:rPr>
        <w:lastRenderedPageBreak/>
        <w:t>לבעלי רשות בהם אלא שאעשה בהם מה שארצה, עליה להביא ראיה</w:t>
      </w:r>
      <w:r>
        <w:rPr>
          <w:rStyle w:val="a7"/>
          <w:rFonts w:cs="Arial"/>
          <w:rtl/>
        </w:rPr>
        <w:footnoteReference w:id="1695"/>
      </w:r>
      <w:r>
        <w:rPr>
          <w:rFonts w:cs="Arial"/>
          <w:rtl/>
        </w:rPr>
        <w:t xml:space="preserve">. </w:t>
      </w:r>
      <w:r w:rsidRPr="00F46615">
        <w:rPr>
          <w:rFonts w:cs="Arial"/>
          <w:sz w:val="18"/>
          <w:szCs w:val="18"/>
          <w:rtl/>
        </w:rPr>
        <w:t>הגה: וי"א הא דאינה נאמנת, דוקא במעות טמונים, אבל במעות שאינן טמונים נאמנת לומר שלי הם</w:t>
      </w:r>
      <w:r>
        <w:rPr>
          <w:rStyle w:val="a7"/>
          <w:rFonts w:cs="Arial"/>
          <w:sz w:val="18"/>
          <w:szCs w:val="18"/>
          <w:rtl/>
        </w:rPr>
        <w:footnoteReference w:id="1696"/>
      </w:r>
      <w:r w:rsidRPr="00F46615">
        <w:rPr>
          <w:rFonts w:cs="Arial"/>
          <w:sz w:val="18"/>
          <w:szCs w:val="18"/>
          <w:rtl/>
        </w:rPr>
        <w:t xml:space="preserve"> (</w:t>
      </w:r>
      <w:r>
        <w:rPr>
          <w:rFonts w:cs="Arial" w:hint="cs"/>
          <w:sz w:val="18"/>
          <w:szCs w:val="18"/>
          <w:rtl/>
        </w:rPr>
        <w:t>ר"ש</w:t>
      </w:r>
      <w:r w:rsidRPr="00F46615">
        <w:rPr>
          <w:rFonts w:cs="Arial"/>
          <w:sz w:val="18"/>
          <w:szCs w:val="18"/>
          <w:rtl/>
        </w:rPr>
        <w:t xml:space="preserve"> ורא"ש</w:t>
      </w:r>
      <w:r>
        <w:rPr>
          <w:rFonts w:cs="Arial" w:hint="cs"/>
          <w:sz w:val="18"/>
          <w:szCs w:val="18"/>
          <w:rtl/>
        </w:rPr>
        <w:t xml:space="preserve"> בסי' הבא</w:t>
      </w:r>
      <w:r w:rsidRPr="00F46615">
        <w:rPr>
          <w:rFonts w:cs="Arial"/>
          <w:sz w:val="18"/>
          <w:szCs w:val="18"/>
          <w:rtl/>
        </w:rPr>
        <w:t>). ודוקא בשאינה נושאת ונותנת</w:t>
      </w:r>
      <w:r>
        <w:rPr>
          <w:rStyle w:val="a7"/>
          <w:rFonts w:cs="Arial"/>
          <w:sz w:val="18"/>
          <w:szCs w:val="18"/>
          <w:rtl/>
        </w:rPr>
        <w:footnoteReference w:id="1697"/>
      </w:r>
      <w:r w:rsidRPr="00F46615">
        <w:rPr>
          <w:rFonts w:cs="Arial"/>
          <w:sz w:val="18"/>
          <w:szCs w:val="18"/>
          <w:rtl/>
        </w:rPr>
        <w:t xml:space="preserve"> תוך הבית (</w:t>
      </w:r>
      <w:r>
        <w:rPr>
          <w:rFonts w:cs="Arial" w:hint="cs"/>
          <w:sz w:val="18"/>
          <w:szCs w:val="18"/>
          <w:rtl/>
        </w:rPr>
        <w:t>שם, וכ"כ ה</w:t>
      </w:r>
      <w:r w:rsidRPr="00F46615">
        <w:rPr>
          <w:rFonts w:cs="Arial"/>
          <w:sz w:val="18"/>
          <w:szCs w:val="18"/>
          <w:rtl/>
        </w:rPr>
        <w:t>רשב"א</w:t>
      </w:r>
      <w:r>
        <w:rPr>
          <w:rFonts w:cs="Arial" w:hint="cs"/>
          <w:sz w:val="18"/>
          <w:szCs w:val="18"/>
          <w:rtl/>
        </w:rPr>
        <w:t>,</w:t>
      </w:r>
      <w:r w:rsidRPr="00F46615">
        <w:rPr>
          <w:rFonts w:cs="Arial"/>
          <w:sz w:val="18"/>
          <w:szCs w:val="18"/>
          <w:rtl/>
        </w:rPr>
        <w:t xml:space="preserve"> וע"ל סי</w:t>
      </w:r>
      <w:r>
        <w:rPr>
          <w:rFonts w:cs="Arial" w:hint="cs"/>
          <w:sz w:val="18"/>
          <w:szCs w:val="18"/>
          <w:rtl/>
        </w:rPr>
        <w:t>'</w:t>
      </w:r>
      <w:r w:rsidRPr="00F46615">
        <w:rPr>
          <w:rFonts w:cs="Arial"/>
          <w:sz w:val="18"/>
          <w:szCs w:val="18"/>
          <w:rtl/>
        </w:rPr>
        <w:t xml:space="preserve"> סו). וי"א דאם לא ראו ממון בידה, ויש לה מגו לומר שאין לה או שהחזירה לו, נאמנת בכל ענין</w:t>
      </w:r>
      <w:r>
        <w:rPr>
          <w:rStyle w:val="a7"/>
          <w:rFonts w:cs="Arial"/>
          <w:sz w:val="18"/>
          <w:szCs w:val="18"/>
          <w:rtl/>
        </w:rPr>
        <w:footnoteReference w:id="1698"/>
      </w:r>
      <w:r w:rsidRPr="00F46615">
        <w:rPr>
          <w:rFonts w:cs="Arial"/>
          <w:sz w:val="18"/>
          <w:szCs w:val="18"/>
          <w:rtl/>
        </w:rPr>
        <w:t xml:space="preserve"> (מהר"ם סי</w:t>
      </w:r>
      <w:r>
        <w:rPr>
          <w:rFonts w:cs="Arial" w:hint="cs"/>
          <w:sz w:val="18"/>
          <w:szCs w:val="18"/>
          <w:rtl/>
        </w:rPr>
        <w:t>'</w:t>
      </w:r>
      <w:r w:rsidRPr="00F46615">
        <w:rPr>
          <w:rFonts w:cs="Arial"/>
          <w:sz w:val="18"/>
          <w:szCs w:val="18"/>
          <w:rtl/>
        </w:rPr>
        <w:t xml:space="preserve"> רפח</w:t>
      </w:r>
      <w:r>
        <w:rPr>
          <w:rFonts w:cs="Arial" w:hint="cs"/>
          <w:sz w:val="18"/>
          <w:szCs w:val="18"/>
          <w:rtl/>
        </w:rPr>
        <w:t>,</w:t>
      </w:r>
      <w:r w:rsidRPr="00F46615">
        <w:rPr>
          <w:rFonts w:cs="Arial"/>
          <w:sz w:val="18"/>
          <w:szCs w:val="18"/>
          <w:rtl/>
        </w:rPr>
        <w:t xml:space="preserve"> ועיין בח</w:t>
      </w:r>
      <w:r>
        <w:rPr>
          <w:rFonts w:cs="Arial" w:hint="cs"/>
          <w:sz w:val="18"/>
          <w:szCs w:val="18"/>
          <w:rtl/>
        </w:rPr>
        <w:t>ו"מ</w:t>
      </w:r>
      <w:r w:rsidRPr="00F46615">
        <w:rPr>
          <w:rFonts w:cs="Arial"/>
          <w:sz w:val="18"/>
          <w:szCs w:val="18"/>
          <w:rtl/>
        </w:rPr>
        <w:t xml:space="preserve"> סי</w:t>
      </w:r>
      <w:r>
        <w:rPr>
          <w:rFonts w:cs="Arial" w:hint="cs"/>
          <w:sz w:val="18"/>
          <w:szCs w:val="18"/>
          <w:rtl/>
        </w:rPr>
        <w:t>'</w:t>
      </w:r>
      <w:r w:rsidRPr="00F46615">
        <w:rPr>
          <w:rFonts w:cs="Arial"/>
          <w:sz w:val="18"/>
          <w:szCs w:val="18"/>
          <w:rtl/>
        </w:rPr>
        <w:t xml:space="preserve"> סב). </w:t>
      </w:r>
      <w:r>
        <w:rPr>
          <w:rFonts w:cs="Arial"/>
          <w:rtl/>
        </w:rPr>
        <w:t>ואם אמרה: אתה נתת לי במתנה</w:t>
      </w:r>
      <w:r>
        <w:rPr>
          <w:rStyle w:val="a7"/>
          <w:rFonts w:cs="Arial"/>
          <w:rtl/>
        </w:rPr>
        <w:footnoteReference w:id="1699"/>
      </w:r>
      <w:r>
        <w:rPr>
          <w:rFonts w:cs="Arial"/>
          <w:rtl/>
        </w:rPr>
        <w:t>, נשבעת שבועת היסת</w:t>
      </w:r>
      <w:r>
        <w:rPr>
          <w:rStyle w:val="a7"/>
          <w:rFonts w:cs="Arial"/>
          <w:rtl/>
        </w:rPr>
        <w:footnoteReference w:id="1700"/>
      </w:r>
      <w:r>
        <w:rPr>
          <w:rFonts w:cs="Arial"/>
          <w:rtl/>
        </w:rPr>
        <w:t xml:space="preserve"> שנתנם לה הבעל</w:t>
      </w:r>
      <w:r>
        <w:rPr>
          <w:rStyle w:val="a7"/>
          <w:rFonts w:cs="Arial"/>
          <w:rtl/>
        </w:rPr>
        <w:footnoteReference w:id="1701"/>
      </w:r>
      <w:r>
        <w:rPr>
          <w:rFonts w:cs="Arial"/>
          <w:rtl/>
        </w:rPr>
        <w:t xml:space="preserve">, ואינו אוכל פירותיהם. </w:t>
      </w:r>
    </w:p>
    <w:p w14:paraId="15DCC0C2" w14:textId="77777777" w:rsidR="002E5BAD" w:rsidRDefault="002E5BAD" w:rsidP="002E5BAD">
      <w:pPr>
        <w:rPr>
          <w:rtl/>
        </w:rPr>
      </w:pPr>
    </w:p>
    <w:p w14:paraId="50DB8A86" w14:textId="77777777" w:rsidR="002E5BAD" w:rsidRDefault="002E5BAD" w:rsidP="002E5BAD">
      <w:pPr>
        <w:pStyle w:val="2"/>
        <w:rPr>
          <w:rtl/>
        </w:rPr>
      </w:pPr>
      <w:r>
        <w:rPr>
          <w:rtl/>
        </w:rPr>
        <w:t>סעיף יג</w:t>
      </w:r>
      <w:r>
        <w:rPr>
          <w:rFonts w:hint="cs"/>
          <w:rtl/>
        </w:rPr>
        <w:t>:</w:t>
      </w:r>
      <w:r>
        <w:rPr>
          <w:rFonts w:cs="Arial" w:hint="cs"/>
          <w:rtl/>
        </w:rPr>
        <w:t xml:space="preserve"> קיבלה </w:t>
      </w:r>
      <w:r w:rsidRPr="007A228B">
        <w:rPr>
          <w:rFonts w:cs="Arial"/>
          <w:rtl/>
        </w:rPr>
        <w:t>ירושה</w:t>
      </w:r>
      <w:r>
        <w:rPr>
          <w:rFonts w:cs="Arial" w:hint="cs"/>
          <w:rtl/>
        </w:rPr>
        <w:t>/</w:t>
      </w:r>
      <w:r w:rsidRPr="007A228B">
        <w:rPr>
          <w:rFonts w:cs="Arial"/>
          <w:rtl/>
        </w:rPr>
        <w:t>מתנה מטלטלים דבר שאינו עושה פירות</w:t>
      </w:r>
      <w:r>
        <w:rPr>
          <w:rFonts w:cs="Arial" w:hint="cs"/>
          <w:rtl/>
        </w:rPr>
        <w:t>.</w:t>
      </w:r>
    </w:p>
    <w:p w14:paraId="115E0B6D" w14:textId="77777777" w:rsidR="002E5BAD" w:rsidRPr="00C2610F" w:rsidRDefault="002E5BAD" w:rsidP="002E5BAD">
      <w:pPr>
        <w:rPr>
          <w:rFonts w:cs="Arial"/>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 xml:space="preserve">עט ע"א: </w:t>
      </w:r>
      <w:r w:rsidRPr="003C240D">
        <w:rPr>
          <w:rFonts w:cs="Arial"/>
          <w:u w:val="double"/>
          <w:rtl/>
        </w:rPr>
        <w:t>מתני</w:t>
      </w:r>
      <w:r w:rsidRPr="003C240D">
        <w:rPr>
          <w:rFonts w:cs="Arial" w:hint="cs"/>
          <w:u w:val="double"/>
          <w:rtl/>
        </w:rPr>
        <w:t>'</w:t>
      </w:r>
      <w:r>
        <w:rPr>
          <w:rFonts w:cs="Arial" w:hint="cs"/>
          <w:rtl/>
        </w:rPr>
        <w:t>:</w:t>
      </w:r>
      <w:r w:rsidRPr="003C240D">
        <w:rPr>
          <w:rFonts w:cs="Arial"/>
          <w:rtl/>
        </w:rPr>
        <w:t xml:space="preserve"> נפלו לה כספים - ילקח בהן קרקע והוא אוכל פירות</w:t>
      </w:r>
      <w:r>
        <w:rPr>
          <w:rStyle w:val="a7"/>
          <w:rFonts w:cs="Arial"/>
          <w:rtl/>
        </w:rPr>
        <w:footnoteReference w:id="1702"/>
      </w:r>
      <w:r>
        <w:rPr>
          <w:rFonts w:cs="Arial" w:hint="cs"/>
          <w:rtl/>
        </w:rPr>
        <w:t>...</w:t>
      </w:r>
      <w:r w:rsidRPr="003C240D">
        <w:rPr>
          <w:rFonts w:cs="Arial"/>
          <w:rtl/>
        </w:rPr>
        <w:t xml:space="preserve"> </w:t>
      </w:r>
      <w:r>
        <w:rPr>
          <w:rFonts w:cs="Arial" w:hint="cs"/>
          <w:rtl/>
        </w:rPr>
        <w:t xml:space="preserve">     </w:t>
      </w:r>
      <w:r w:rsidRPr="003C240D">
        <w:rPr>
          <w:rFonts w:cs="Arial"/>
          <w:u w:val="double"/>
          <w:rtl/>
        </w:rPr>
        <w:t>גמ'</w:t>
      </w:r>
      <w:r>
        <w:rPr>
          <w:rFonts w:cs="Arial" w:hint="cs"/>
          <w:rtl/>
        </w:rPr>
        <w:t>:</w:t>
      </w:r>
      <w:r w:rsidRPr="003C240D">
        <w:rPr>
          <w:rFonts w:cs="Arial"/>
          <w:rtl/>
        </w:rPr>
        <w:t xml:space="preserve"> פשיטא, ארעא</w:t>
      </w:r>
      <w:r>
        <w:rPr>
          <w:rStyle w:val="a7"/>
          <w:rFonts w:cs="Arial"/>
          <w:rtl/>
        </w:rPr>
        <w:footnoteReference w:id="1703"/>
      </w:r>
      <w:r w:rsidRPr="003C240D">
        <w:rPr>
          <w:rFonts w:cs="Arial"/>
          <w:rtl/>
        </w:rPr>
        <w:t xml:space="preserve"> ובתי - ארעא</w:t>
      </w:r>
      <w:r>
        <w:rPr>
          <w:rStyle w:val="a7"/>
          <w:rFonts w:cs="Arial"/>
          <w:rtl/>
        </w:rPr>
        <w:footnoteReference w:id="1704"/>
      </w:r>
      <w:r w:rsidRPr="003C240D">
        <w:rPr>
          <w:rFonts w:cs="Arial"/>
          <w:rtl/>
        </w:rPr>
        <w:t>, בתי ודיקלי - בתי</w:t>
      </w:r>
      <w:r>
        <w:rPr>
          <w:rStyle w:val="a7"/>
          <w:rFonts w:cs="Arial"/>
          <w:rtl/>
        </w:rPr>
        <w:footnoteReference w:id="1705"/>
      </w:r>
      <w:r w:rsidRPr="003C240D">
        <w:rPr>
          <w:rFonts w:cs="Arial"/>
          <w:rtl/>
        </w:rPr>
        <w:t>, דיקלי</w:t>
      </w:r>
      <w:r>
        <w:rPr>
          <w:rStyle w:val="a7"/>
          <w:rFonts w:cs="Arial"/>
          <w:rtl/>
        </w:rPr>
        <w:footnoteReference w:id="1706"/>
      </w:r>
      <w:r w:rsidRPr="003C240D">
        <w:rPr>
          <w:rFonts w:cs="Arial"/>
          <w:rtl/>
        </w:rPr>
        <w:t xml:space="preserve"> ואילני</w:t>
      </w:r>
      <w:r>
        <w:rPr>
          <w:rStyle w:val="a7"/>
          <w:rFonts w:cs="Arial"/>
          <w:rtl/>
        </w:rPr>
        <w:footnoteReference w:id="1707"/>
      </w:r>
      <w:r w:rsidRPr="003C240D">
        <w:rPr>
          <w:rFonts w:cs="Arial"/>
          <w:rtl/>
        </w:rPr>
        <w:t xml:space="preserve"> - דיקלי, אילני וגופני - אילני</w:t>
      </w:r>
      <w:r>
        <w:rPr>
          <w:rStyle w:val="a7"/>
          <w:rFonts w:cs="Arial"/>
          <w:rtl/>
        </w:rPr>
        <w:footnoteReference w:id="1708"/>
      </w:r>
      <w:r>
        <w:rPr>
          <w:rFonts w:cs="Arial" w:hint="cs"/>
          <w:rtl/>
        </w:rPr>
        <w:t>.</w:t>
      </w:r>
      <w:r w:rsidRPr="003C240D">
        <w:rPr>
          <w:rFonts w:cs="Arial"/>
          <w:rtl/>
        </w:rPr>
        <w:t xml:space="preserve"> אבא</w:t>
      </w:r>
      <w:r>
        <w:rPr>
          <w:rStyle w:val="a7"/>
          <w:rFonts w:cs="Arial"/>
          <w:rtl/>
        </w:rPr>
        <w:footnoteReference w:id="1709"/>
      </w:r>
      <w:r w:rsidRPr="003C240D">
        <w:rPr>
          <w:rFonts w:cs="Arial"/>
          <w:rtl/>
        </w:rPr>
        <w:t xml:space="preserve"> זרדתא</w:t>
      </w:r>
      <w:r>
        <w:rPr>
          <w:rStyle w:val="a7"/>
          <w:rFonts w:cs="Arial"/>
          <w:rtl/>
        </w:rPr>
        <w:footnoteReference w:id="1710"/>
      </w:r>
      <w:r w:rsidRPr="003C240D">
        <w:rPr>
          <w:rFonts w:cs="Arial"/>
          <w:rtl/>
        </w:rPr>
        <w:t>, ופירא דכוורי</w:t>
      </w:r>
      <w:r>
        <w:rPr>
          <w:rStyle w:val="a7"/>
          <w:rFonts w:cs="Arial"/>
          <w:rtl/>
        </w:rPr>
        <w:footnoteReference w:id="1711"/>
      </w:r>
      <w:r w:rsidRPr="003C240D">
        <w:rPr>
          <w:rFonts w:cs="Arial"/>
          <w:rtl/>
        </w:rPr>
        <w:t xml:space="preserve"> - אמרי לה: פירא</w:t>
      </w:r>
      <w:r>
        <w:rPr>
          <w:rStyle w:val="a7"/>
          <w:rFonts w:cs="Arial"/>
          <w:rtl/>
        </w:rPr>
        <w:footnoteReference w:id="1712"/>
      </w:r>
      <w:r w:rsidRPr="003C240D">
        <w:rPr>
          <w:rFonts w:cs="Arial"/>
          <w:rtl/>
        </w:rPr>
        <w:t>, ואמרי לה</w:t>
      </w:r>
      <w:r>
        <w:rPr>
          <w:rStyle w:val="a7"/>
          <w:rFonts w:cs="Arial"/>
          <w:rtl/>
        </w:rPr>
        <w:footnoteReference w:id="1713"/>
      </w:r>
      <w:r w:rsidRPr="003C240D">
        <w:rPr>
          <w:rFonts w:cs="Arial"/>
          <w:rtl/>
        </w:rPr>
        <w:t>: קרנא. כללא דמילתא: גזעו מחליף - פירא</w:t>
      </w:r>
      <w:r>
        <w:rPr>
          <w:rStyle w:val="a7"/>
          <w:rFonts w:cs="Arial"/>
          <w:rtl/>
        </w:rPr>
        <w:footnoteReference w:id="1714"/>
      </w:r>
      <w:r w:rsidRPr="003C240D">
        <w:rPr>
          <w:rFonts w:cs="Arial"/>
          <w:rtl/>
        </w:rPr>
        <w:t>, אין גזעו מחליף - קרנא</w:t>
      </w:r>
      <w:r>
        <w:rPr>
          <w:rStyle w:val="a7"/>
          <w:rFonts w:cs="Arial"/>
          <w:rtl/>
        </w:rPr>
        <w:footnoteReference w:id="1715"/>
      </w:r>
      <w:r w:rsidRPr="003C240D">
        <w:rPr>
          <w:rFonts w:cs="Arial"/>
          <w:rtl/>
        </w:rPr>
        <w:t xml:space="preserve">. </w:t>
      </w:r>
      <w:r>
        <w:rPr>
          <w:rFonts w:cs="Arial" w:hint="cs"/>
          <w:rtl/>
        </w:rPr>
        <w:t>[</w:t>
      </w:r>
      <w:r>
        <w:rPr>
          <w:rFonts w:cs="Arial"/>
          <w:rtl/>
        </w:rPr>
        <w:t>נ"א</w:t>
      </w:r>
      <w:r>
        <w:rPr>
          <w:rFonts w:cs="Arial" w:hint="cs"/>
          <w:rtl/>
        </w:rPr>
        <w:t>:</w:t>
      </w:r>
      <w:r>
        <w:rPr>
          <w:rFonts w:cs="Arial"/>
          <w:rtl/>
        </w:rPr>
        <w:t xml:space="preserve"> </w:t>
      </w:r>
      <w:r>
        <w:rPr>
          <w:rFonts w:cs="Arial"/>
          <w:rtl/>
        </w:rPr>
        <w:lastRenderedPageBreak/>
        <w:t xml:space="preserve">גזעו מחליף </w:t>
      </w:r>
      <w:r>
        <w:rPr>
          <w:rFonts w:cs="Arial" w:hint="cs"/>
          <w:rtl/>
        </w:rPr>
        <w:t xml:space="preserve">- </w:t>
      </w:r>
      <w:r>
        <w:rPr>
          <w:rFonts w:cs="Arial"/>
          <w:rtl/>
        </w:rPr>
        <w:t>קרנא</w:t>
      </w:r>
      <w:r>
        <w:rPr>
          <w:rFonts w:cs="Arial" w:hint="cs"/>
          <w:rtl/>
        </w:rPr>
        <w:t>,</w:t>
      </w:r>
      <w:r>
        <w:rPr>
          <w:rFonts w:cs="Arial"/>
          <w:rtl/>
        </w:rPr>
        <w:t xml:space="preserve"> אין גזעו מחליף</w:t>
      </w:r>
      <w:r>
        <w:rPr>
          <w:rFonts w:cs="Arial" w:hint="cs"/>
          <w:rtl/>
        </w:rPr>
        <w:t xml:space="preserve"> -</w:t>
      </w:r>
      <w:r>
        <w:rPr>
          <w:rFonts w:cs="Arial"/>
          <w:rtl/>
        </w:rPr>
        <w:t xml:space="preserve"> פירא</w:t>
      </w:r>
      <w:r>
        <w:rPr>
          <w:rStyle w:val="a7"/>
          <w:rFonts w:cs="Arial"/>
          <w:rtl/>
        </w:rPr>
        <w:footnoteReference w:id="1716"/>
      </w:r>
      <w:r>
        <w:rPr>
          <w:rFonts w:cs="Arial" w:hint="cs"/>
          <w:rtl/>
        </w:rPr>
        <w:t>.]...</w:t>
      </w:r>
      <w:r>
        <w:rPr>
          <w:rFonts w:cs="Arial" w:hint="cs"/>
          <w:sz w:val="14"/>
          <w:szCs w:val="14"/>
          <w:rtl/>
        </w:rPr>
        <w:t xml:space="preserve"> (עט:)</w:t>
      </w:r>
      <w:r w:rsidRPr="003C240D">
        <w:rPr>
          <w:rFonts w:cs="Arial"/>
          <w:rtl/>
        </w:rPr>
        <w:t xml:space="preserve"> </w:t>
      </w:r>
      <w:r w:rsidRPr="00192E85">
        <w:rPr>
          <w:rFonts w:cs="Arial"/>
          <w:u w:val="single"/>
          <w:rtl/>
        </w:rPr>
        <w:t>אמר רבא אמר רב נחמן</w:t>
      </w:r>
      <w:r w:rsidRPr="003C240D">
        <w:rPr>
          <w:rFonts w:cs="Arial"/>
          <w:rtl/>
        </w:rPr>
        <w:t>: הכניסה לו עז לחלבה</w:t>
      </w:r>
      <w:r>
        <w:rPr>
          <w:rStyle w:val="a7"/>
          <w:rFonts w:cs="Arial"/>
          <w:rtl/>
        </w:rPr>
        <w:footnoteReference w:id="1717"/>
      </w:r>
      <w:r w:rsidRPr="003C240D">
        <w:rPr>
          <w:rFonts w:cs="Arial"/>
          <w:rtl/>
        </w:rPr>
        <w:t>, ורחל לגיזתה</w:t>
      </w:r>
      <w:r>
        <w:rPr>
          <w:rStyle w:val="a7"/>
          <w:rFonts w:cs="Arial"/>
          <w:rtl/>
        </w:rPr>
        <w:footnoteReference w:id="1718"/>
      </w:r>
      <w:r w:rsidRPr="003C240D">
        <w:rPr>
          <w:rFonts w:cs="Arial"/>
          <w:rtl/>
        </w:rPr>
        <w:t>, ותרנגולת לביצתה, ודקל לפירותיו - אוכל והולך</w:t>
      </w:r>
      <w:r>
        <w:rPr>
          <w:rStyle w:val="a7"/>
          <w:rFonts w:cs="Arial"/>
          <w:rtl/>
        </w:rPr>
        <w:footnoteReference w:id="1719"/>
      </w:r>
      <w:r w:rsidRPr="003C240D">
        <w:rPr>
          <w:rFonts w:cs="Arial"/>
          <w:rtl/>
        </w:rPr>
        <w:t xml:space="preserve"> עד שתכלה הקרן. </w:t>
      </w:r>
      <w:r w:rsidRPr="00192E85">
        <w:rPr>
          <w:rFonts w:cs="Arial"/>
          <w:u w:val="single"/>
          <w:rtl/>
        </w:rPr>
        <w:t>א"ר נחמן</w:t>
      </w:r>
      <w:r w:rsidRPr="003C240D">
        <w:rPr>
          <w:rFonts w:cs="Arial"/>
          <w:rtl/>
        </w:rPr>
        <w:t>: עיילא ליה גלימא</w:t>
      </w:r>
      <w:r>
        <w:rPr>
          <w:rStyle w:val="a7"/>
          <w:rFonts w:cs="Arial"/>
          <w:rtl/>
        </w:rPr>
        <w:footnoteReference w:id="1720"/>
      </w:r>
      <w:r w:rsidRPr="003C240D">
        <w:rPr>
          <w:rFonts w:cs="Arial"/>
          <w:rtl/>
        </w:rPr>
        <w:t xml:space="preserve"> - פירא הוי</w:t>
      </w:r>
      <w:r>
        <w:rPr>
          <w:rStyle w:val="a7"/>
          <w:rFonts w:cs="Arial"/>
          <w:rtl/>
        </w:rPr>
        <w:footnoteReference w:id="1721"/>
      </w:r>
      <w:r w:rsidRPr="003C240D">
        <w:rPr>
          <w:rFonts w:cs="Arial"/>
          <w:rtl/>
        </w:rPr>
        <w:t>, מכסי ביה ואזיל עד דכליא</w:t>
      </w:r>
      <w:r>
        <w:rPr>
          <w:rStyle w:val="a7"/>
          <w:rFonts w:cs="Arial"/>
          <w:rtl/>
        </w:rPr>
        <w:footnoteReference w:id="1722"/>
      </w:r>
      <w:r w:rsidRPr="003C240D">
        <w:rPr>
          <w:rFonts w:cs="Arial"/>
          <w:rtl/>
        </w:rPr>
        <w:t>. כמאן? כי האי תנא, דתניא: המלח והחול - הרי זה פירות</w:t>
      </w:r>
      <w:r>
        <w:rPr>
          <w:rFonts w:cs="Arial" w:hint="cs"/>
          <w:rtl/>
        </w:rPr>
        <w:t>.</w:t>
      </w:r>
      <w:r w:rsidRPr="003C240D">
        <w:rPr>
          <w:rFonts w:cs="Arial"/>
          <w:rtl/>
        </w:rPr>
        <w:t xml:space="preserve"> פיר של גפרית, מחפורת של צריף - ר"מ אומר: קרן</w:t>
      </w:r>
      <w:r>
        <w:rPr>
          <w:rFonts w:cs="Arial" w:hint="cs"/>
          <w:rtl/>
        </w:rPr>
        <w:t>.</w:t>
      </w:r>
      <w:r w:rsidRPr="003C240D">
        <w:rPr>
          <w:rFonts w:cs="Arial"/>
          <w:rtl/>
        </w:rPr>
        <w:t xml:space="preserve"> וחכ"א: פירות.</w:t>
      </w:r>
    </w:p>
    <w:p w14:paraId="5FE918C8" w14:textId="77777777" w:rsidR="002E5BAD" w:rsidRPr="00EB368B" w:rsidRDefault="002E5BAD" w:rsidP="002E5BAD">
      <w:pPr>
        <w:rPr>
          <w:u w:val="single"/>
          <w:rtl/>
        </w:rPr>
      </w:pPr>
      <w:r w:rsidRPr="00EB368B">
        <w:rPr>
          <w:rFonts w:cs="Arial" w:hint="cs"/>
          <w:u w:val="single"/>
          <w:rtl/>
        </w:rPr>
        <w:t xml:space="preserve">קיבלה </w:t>
      </w:r>
      <w:r w:rsidRPr="00EB368B">
        <w:rPr>
          <w:rFonts w:cs="Arial"/>
          <w:u w:val="single"/>
          <w:rtl/>
        </w:rPr>
        <w:t>ירושה</w:t>
      </w:r>
      <w:r w:rsidRPr="00EB368B">
        <w:rPr>
          <w:rFonts w:cs="Arial" w:hint="cs"/>
          <w:u w:val="single"/>
          <w:rtl/>
        </w:rPr>
        <w:t>/</w:t>
      </w:r>
      <w:r w:rsidRPr="00EB368B">
        <w:rPr>
          <w:rFonts w:cs="Arial"/>
          <w:u w:val="single"/>
          <w:rtl/>
        </w:rPr>
        <w:t>מתנה מטלטלים דבר שאינו עושה פירות</w:t>
      </w:r>
      <w:r w:rsidRPr="00EB368B">
        <w:rPr>
          <w:rFonts w:hint="cs"/>
          <w:u w:val="single"/>
          <w:rtl/>
        </w:rPr>
        <w:t>:</w:t>
      </w:r>
    </w:p>
    <w:p w14:paraId="0C6895BD" w14:textId="77777777" w:rsidR="002E5BAD" w:rsidRDefault="002E5BAD" w:rsidP="002E5BAD">
      <w:pPr>
        <w:pStyle w:val="ab"/>
        <w:numPr>
          <w:ilvl w:val="0"/>
          <w:numId w:val="178"/>
        </w:numPr>
      </w:pPr>
      <w:r>
        <w:rPr>
          <w:rFonts w:cs="Arial" w:hint="cs"/>
          <w:rtl/>
        </w:rPr>
        <w:t>רמב"ם</w:t>
      </w:r>
      <w:r>
        <w:rPr>
          <w:rStyle w:val="a7"/>
          <w:rFonts w:cs="Arial"/>
          <w:rtl/>
        </w:rPr>
        <w:footnoteReference w:id="1723"/>
      </w:r>
      <w:r>
        <w:rPr>
          <w:rFonts w:cs="Arial" w:hint="cs"/>
          <w:rtl/>
        </w:rPr>
        <w:t xml:space="preserve"> </w:t>
      </w:r>
      <w:r>
        <w:rPr>
          <w:rFonts w:cs="Arial" w:hint="cs"/>
          <w:sz w:val="16"/>
          <w:szCs w:val="16"/>
          <w:rtl/>
        </w:rPr>
        <w:t>(פכ"ב מאישות הל"ג)</w:t>
      </w:r>
      <w:r>
        <w:rPr>
          <w:rFonts w:cs="Arial" w:hint="cs"/>
          <w:rtl/>
        </w:rPr>
        <w:t xml:space="preserve"> וטור- </w:t>
      </w:r>
      <w:r w:rsidRPr="007A228B">
        <w:rPr>
          <w:rFonts w:cs="Arial"/>
          <w:rtl/>
        </w:rPr>
        <w:t>כיון שאוכל פירות נכסי אשתו</w:t>
      </w:r>
      <w:r>
        <w:rPr>
          <w:rFonts w:cs="Arial" w:hint="cs"/>
          <w:rtl/>
        </w:rPr>
        <w:t>,</w:t>
      </w:r>
      <w:r w:rsidRPr="007A228B">
        <w:rPr>
          <w:rFonts w:cs="Arial"/>
          <w:rtl/>
        </w:rPr>
        <w:t xml:space="preserve"> אם נפלו לה בירושה או נתנו לה במתנה במטלטלים דבר שאינו עושה פירות </w:t>
      </w:r>
      <w:r>
        <w:rPr>
          <w:rFonts w:cs="Arial" w:hint="cs"/>
          <w:rtl/>
        </w:rPr>
        <w:t xml:space="preserve">- </w:t>
      </w:r>
      <w:r w:rsidRPr="007A228B">
        <w:rPr>
          <w:rFonts w:cs="Arial"/>
          <w:rtl/>
        </w:rPr>
        <w:t>ימכר וילקח בו דבר שעושה פירות</w:t>
      </w:r>
      <w:r>
        <w:rPr>
          <w:rFonts w:cs="Arial" w:hint="cs"/>
          <w:rtl/>
        </w:rPr>
        <w:t>.</w:t>
      </w:r>
      <w:r w:rsidRPr="007A228B">
        <w:rPr>
          <w:rFonts w:cs="Arial"/>
          <w:rtl/>
        </w:rPr>
        <w:t xml:space="preserve"> לפיכך כשבא ליקח בדמים דבר העושה פירות</w:t>
      </w:r>
      <w:r>
        <w:rPr>
          <w:rFonts w:cs="Arial" w:hint="cs"/>
          <w:rtl/>
        </w:rPr>
        <w:t>,</w:t>
      </w:r>
      <w:r w:rsidRPr="007A228B">
        <w:rPr>
          <w:rFonts w:cs="Arial"/>
          <w:rtl/>
        </w:rPr>
        <w:t xml:space="preserve"> רואין דבר שפירותיו מרובים ויציאותיו מועטין וקונין אותו</w:t>
      </w:r>
      <w:r>
        <w:rPr>
          <w:rFonts w:cs="Arial" w:hint="cs"/>
          <w:rtl/>
        </w:rPr>
        <w:t>,</w:t>
      </w:r>
      <w:r w:rsidRPr="007A228B">
        <w:rPr>
          <w:rFonts w:cs="Arial"/>
          <w:rtl/>
        </w:rPr>
        <w:t xml:space="preserve"> בין שיהיה הדבר ברצונו או שלא ברצונו</w:t>
      </w:r>
      <w:r>
        <w:rPr>
          <w:rFonts w:cs="Arial" w:hint="cs"/>
          <w:rtl/>
        </w:rPr>
        <w:t>.</w:t>
      </w:r>
      <w:r w:rsidRPr="007A228B">
        <w:rPr>
          <w:rFonts w:cs="Arial"/>
          <w:rtl/>
        </w:rPr>
        <w:t xml:space="preserve"> כיצד</w:t>
      </w:r>
      <w:r>
        <w:rPr>
          <w:rFonts w:cs="Arial" w:hint="cs"/>
          <w:rtl/>
        </w:rPr>
        <w:t>,</w:t>
      </w:r>
      <w:r w:rsidRPr="007A228B">
        <w:rPr>
          <w:rFonts w:cs="Arial"/>
          <w:rtl/>
        </w:rPr>
        <w:t xml:space="preserve"> אם אחד מהן אומר לקנות קרקע ואחד אומר בית</w:t>
      </w:r>
      <w:r>
        <w:rPr>
          <w:rFonts w:cs="Arial" w:hint="cs"/>
          <w:rtl/>
        </w:rPr>
        <w:t xml:space="preserve"> -</w:t>
      </w:r>
      <w:r w:rsidRPr="007A228B">
        <w:rPr>
          <w:rFonts w:cs="Arial"/>
          <w:rtl/>
        </w:rPr>
        <w:t xml:space="preserve"> שומעין לזה שאומר קרקע</w:t>
      </w:r>
      <w:r>
        <w:rPr>
          <w:rFonts w:cs="Arial" w:hint="cs"/>
          <w:rtl/>
        </w:rPr>
        <w:t>.</w:t>
      </w:r>
      <w:r w:rsidRPr="007A228B">
        <w:rPr>
          <w:rFonts w:cs="Arial"/>
          <w:rtl/>
        </w:rPr>
        <w:t xml:space="preserve"> בתי ודקלי</w:t>
      </w:r>
      <w:r>
        <w:rPr>
          <w:rFonts w:cs="Arial" w:hint="cs"/>
          <w:rtl/>
        </w:rPr>
        <w:t xml:space="preserve"> -</w:t>
      </w:r>
      <w:r w:rsidRPr="007A228B">
        <w:rPr>
          <w:rFonts w:cs="Arial"/>
          <w:rtl/>
        </w:rPr>
        <w:t xml:space="preserve"> בתי</w:t>
      </w:r>
      <w:r>
        <w:rPr>
          <w:rFonts w:cs="Arial" w:hint="cs"/>
          <w:rtl/>
        </w:rPr>
        <w:t>.</w:t>
      </w:r>
      <w:r w:rsidRPr="007A228B">
        <w:rPr>
          <w:rFonts w:cs="Arial"/>
          <w:rtl/>
        </w:rPr>
        <w:t xml:space="preserve"> דקלי ואילני</w:t>
      </w:r>
      <w:r>
        <w:rPr>
          <w:rFonts w:cs="Arial" w:hint="cs"/>
          <w:rtl/>
        </w:rPr>
        <w:t xml:space="preserve"> -</w:t>
      </w:r>
      <w:r w:rsidRPr="007A228B">
        <w:rPr>
          <w:rFonts w:cs="Arial"/>
          <w:rtl/>
        </w:rPr>
        <w:t xml:space="preserve"> דקלי</w:t>
      </w:r>
      <w:r>
        <w:rPr>
          <w:rFonts w:cs="Arial" w:hint="cs"/>
          <w:rtl/>
        </w:rPr>
        <w:t>.</w:t>
      </w:r>
      <w:r w:rsidRPr="007A228B">
        <w:rPr>
          <w:rFonts w:cs="Arial"/>
          <w:rtl/>
        </w:rPr>
        <w:t xml:space="preserve"> אילני וגופני </w:t>
      </w:r>
      <w:r>
        <w:rPr>
          <w:rFonts w:cs="Arial" w:hint="cs"/>
          <w:rtl/>
        </w:rPr>
        <w:t xml:space="preserve">- </w:t>
      </w:r>
      <w:r w:rsidRPr="007A228B">
        <w:rPr>
          <w:rFonts w:cs="Arial"/>
          <w:rtl/>
        </w:rPr>
        <w:t>אילני</w:t>
      </w:r>
      <w:r>
        <w:rPr>
          <w:rFonts w:cs="Arial" w:hint="cs"/>
          <w:rtl/>
        </w:rPr>
        <w:t>.</w:t>
      </w:r>
      <w:r w:rsidRPr="007A228B">
        <w:rPr>
          <w:rFonts w:cs="Arial"/>
          <w:rtl/>
        </w:rPr>
        <w:t xml:space="preserve"> ואין קונין דבר שאין גזעו מחליף</w:t>
      </w:r>
      <w:r>
        <w:rPr>
          <w:rFonts w:cs="Arial" w:hint="cs"/>
          <w:sz w:val="16"/>
          <w:szCs w:val="16"/>
          <w:rtl/>
        </w:rPr>
        <w:t xml:space="preserve"> (ל' הטור)</w:t>
      </w:r>
      <w:r>
        <w:rPr>
          <w:rFonts w:cs="Arial" w:hint="cs"/>
          <w:rtl/>
        </w:rPr>
        <w:t>.</w:t>
      </w:r>
      <w:r w:rsidRPr="007A228B">
        <w:rPr>
          <w:rFonts w:cs="Arial"/>
          <w:rtl/>
        </w:rPr>
        <w:t xml:space="preserve"> </w:t>
      </w:r>
      <w:r w:rsidRPr="00137671">
        <w:rPr>
          <w:rFonts w:hint="cs"/>
          <w:color w:val="E36C0A" w:themeColor="accent6" w:themeShade="BF"/>
          <w:rtl/>
        </w:rPr>
        <w:t>(וכ"פ בשו"ע)</w:t>
      </w:r>
    </w:p>
    <w:p w14:paraId="23452869" w14:textId="77777777" w:rsidR="002E5BAD" w:rsidRPr="009E5A93" w:rsidRDefault="002E5BAD" w:rsidP="002E5BAD">
      <w:pPr>
        <w:ind w:left="360"/>
        <w:rPr>
          <w:u w:val="dotted"/>
        </w:rPr>
      </w:pPr>
      <w:r w:rsidRPr="009E5A93">
        <w:rPr>
          <w:rFonts w:hint="cs"/>
          <w:u w:val="dotted"/>
          <w:rtl/>
        </w:rPr>
        <w:t>נפל לה דבר שגזעו מחליף:</w:t>
      </w:r>
    </w:p>
    <w:p w14:paraId="2F2C1931" w14:textId="77777777" w:rsidR="002E5BAD" w:rsidRPr="00522D78" w:rsidRDefault="002E5BAD" w:rsidP="002E5BAD">
      <w:pPr>
        <w:pStyle w:val="ab"/>
        <w:numPr>
          <w:ilvl w:val="0"/>
          <w:numId w:val="178"/>
        </w:numPr>
      </w:pPr>
      <w:r>
        <w:rPr>
          <w:rFonts w:cs="Arial" w:hint="cs"/>
          <w:rtl/>
        </w:rPr>
        <w:t xml:space="preserve">טור- </w:t>
      </w:r>
      <w:r w:rsidRPr="00522D78">
        <w:rPr>
          <w:rFonts w:cs="Arial"/>
          <w:rtl/>
        </w:rPr>
        <w:t xml:space="preserve">ואם נפל לה דבר שגזעו מחליף </w:t>
      </w:r>
      <w:r w:rsidRPr="00522D78">
        <w:rPr>
          <w:rFonts w:cs="Arial" w:hint="cs"/>
          <w:rtl/>
        </w:rPr>
        <w:t xml:space="preserve">- </w:t>
      </w:r>
      <w:r w:rsidRPr="00522D78">
        <w:rPr>
          <w:rFonts w:cs="Arial"/>
          <w:rtl/>
        </w:rPr>
        <w:t>א"צ למוכרו</w:t>
      </w:r>
      <w:r w:rsidRPr="00522D78">
        <w:rPr>
          <w:rFonts w:cs="Arial" w:hint="cs"/>
          <w:rtl/>
        </w:rPr>
        <w:t>,</w:t>
      </w:r>
      <w:r w:rsidRPr="00522D78">
        <w:rPr>
          <w:rFonts w:cs="Arial"/>
          <w:rtl/>
        </w:rPr>
        <w:t xml:space="preserve"> כיון שגזעו מחליף אוכל הפירות והקרן קיימת לה</w:t>
      </w:r>
      <w:r w:rsidRPr="00522D78">
        <w:rPr>
          <w:rFonts w:cs="Arial" w:hint="cs"/>
          <w:rtl/>
        </w:rPr>
        <w:t>.</w:t>
      </w:r>
    </w:p>
    <w:p w14:paraId="49CF267F" w14:textId="77777777" w:rsidR="002E5BAD" w:rsidRPr="00C2610F" w:rsidRDefault="002E5BAD" w:rsidP="002E5BAD">
      <w:pPr>
        <w:ind w:left="360"/>
        <w:rPr>
          <w:u w:val="dotted"/>
        </w:rPr>
      </w:pPr>
      <w:r w:rsidRPr="00C2610F">
        <w:rPr>
          <w:rFonts w:hint="cs"/>
          <w:u w:val="dotted"/>
          <w:rtl/>
        </w:rPr>
        <w:t>נפל לה דבר שאין גזעו מחליף:</w:t>
      </w:r>
    </w:p>
    <w:p w14:paraId="2B04AABB" w14:textId="77777777" w:rsidR="002E5BAD" w:rsidRDefault="002E5BAD" w:rsidP="002E5BAD">
      <w:pPr>
        <w:pStyle w:val="ab"/>
        <w:numPr>
          <w:ilvl w:val="0"/>
          <w:numId w:val="178"/>
        </w:numPr>
      </w:pPr>
      <w:r>
        <w:rPr>
          <w:rFonts w:cs="Arial" w:hint="cs"/>
          <w:rtl/>
        </w:rPr>
        <w:t xml:space="preserve">טור- </w:t>
      </w:r>
      <w:r w:rsidRPr="00522D78">
        <w:rPr>
          <w:rFonts w:cs="Arial"/>
          <w:rtl/>
        </w:rPr>
        <w:t>ואפי' אין גזעו מחליף</w:t>
      </w:r>
      <w:r w:rsidRPr="00522D78">
        <w:rPr>
          <w:rFonts w:cs="Arial" w:hint="cs"/>
          <w:rtl/>
        </w:rPr>
        <w:t>,</w:t>
      </w:r>
      <w:r w:rsidRPr="00522D78">
        <w:rPr>
          <w:rFonts w:cs="Arial"/>
          <w:rtl/>
        </w:rPr>
        <w:t xml:space="preserve"> אם ישאר קצת מן הקרן </w:t>
      </w:r>
      <w:r w:rsidRPr="00522D78">
        <w:rPr>
          <w:rFonts w:cs="Arial" w:hint="cs"/>
          <w:rtl/>
        </w:rPr>
        <w:t xml:space="preserve">- </w:t>
      </w:r>
      <w:r w:rsidRPr="00522D78">
        <w:rPr>
          <w:rFonts w:cs="Arial"/>
          <w:rtl/>
        </w:rPr>
        <w:t>א"צ למוכרו</w:t>
      </w:r>
      <w:r>
        <w:rPr>
          <w:rStyle w:val="a7"/>
          <w:rFonts w:cs="Arial"/>
          <w:rtl/>
        </w:rPr>
        <w:footnoteReference w:id="1724"/>
      </w:r>
      <w:r w:rsidRPr="00522D78">
        <w:rPr>
          <w:rFonts w:cs="Arial" w:hint="cs"/>
          <w:rtl/>
        </w:rPr>
        <w:t>.</w:t>
      </w:r>
      <w:r w:rsidRPr="00522D78">
        <w:rPr>
          <w:rFonts w:cs="Arial"/>
          <w:rtl/>
        </w:rPr>
        <w:t xml:space="preserve"> כגון שנפל לה אילן שקוצצין אותו לעצים ואין גזעו מחליף </w:t>
      </w:r>
      <w:r w:rsidRPr="00522D78">
        <w:rPr>
          <w:rFonts w:cs="Arial" w:hint="cs"/>
          <w:rtl/>
        </w:rPr>
        <w:t xml:space="preserve">- </w:t>
      </w:r>
      <w:r w:rsidRPr="00522D78">
        <w:rPr>
          <w:rFonts w:cs="Arial"/>
          <w:rtl/>
        </w:rPr>
        <w:t>קוצץ ואוכל</w:t>
      </w:r>
      <w:r w:rsidRPr="00522D78">
        <w:rPr>
          <w:rFonts w:cs="Arial" w:hint="cs"/>
          <w:rtl/>
        </w:rPr>
        <w:t>,</w:t>
      </w:r>
      <w:r w:rsidRPr="00522D78">
        <w:rPr>
          <w:rFonts w:cs="Arial"/>
          <w:rtl/>
        </w:rPr>
        <w:t xml:space="preserve"> כיון שישאר לה המקום</w:t>
      </w:r>
      <w:r w:rsidRPr="00522D78">
        <w:rPr>
          <w:rFonts w:cs="Arial" w:hint="cs"/>
          <w:rtl/>
        </w:rPr>
        <w:t>.</w:t>
      </w:r>
      <w:r w:rsidRPr="00522D78">
        <w:rPr>
          <w:rFonts w:cs="Arial"/>
          <w:rtl/>
        </w:rPr>
        <w:t xml:space="preserve"> וכן אם נפל לה גלימא </w:t>
      </w:r>
      <w:r w:rsidRPr="00522D78">
        <w:rPr>
          <w:rFonts w:cs="Arial" w:hint="cs"/>
          <w:rtl/>
        </w:rPr>
        <w:t xml:space="preserve">- </w:t>
      </w:r>
      <w:r w:rsidRPr="00522D78">
        <w:rPr>
          <w:rFonts w:cs="Arial"/>
          <w:rtl/>
        </w:rPr>
        <w:t>מכסה והולך עד שתכלה</w:t>
      </w:r>
      <w:r w:rsidRPr="00522D78">
        <w:rPr>
          <w:rFonts w:cs="Arial" w:hint="cs"/>
          <w:rtl/>
        </w:rPr>
        <w:t>,</w:t>
      </w:r>
      <w:r w:rsidRPr="00522D78">
        <w:rPr>
          <w:rFonts w:cs="Arial"/>
          <w:rtl/>
        </w:rPr>
        <w:t xml:space="preserve"> כיון שישאר לה השחקים</w:t>
      </w:r>
      <w:r w:rsidRPr="00522D78">
        <w:rPr>
          <w:rFonts w:cs="Arial" w:hint="cs"/>
          <w:rtl/>
        </w:rPr>
        <w:t>.</w:t>
      </w:r>
      <w:r w:rsidRPr="00522D78">
        <w:rPr>
          <w:rFonts w:cs="Arial"/>
          <w:rtl/>
        </w:rPr>
        <w:t xml:space="preserve"> </w:t>
      </w:r>
    </w:p>
    <w:p w14:paraId="6D16A48B" w14:textId="77777777" w:rsidR="002E5BAD" w:rsidRPr="00C2610F" w:rsidRDefault="002E5BAD" w:rsidP="002E5BAD">
      <w:pPr>
        <w:ind w:left="360"/>
        <w:rPr>
          <w:u w:val="dotted"/>
        </w:rPr>
      </w:pPr>
      <w:r w:rsidRPr="00C2610F">
        <w:rPr>
          <w:rFonts w:hint="cs"/>
          <w:u w:val="dotted"/>
          <w:rtl/>
        </w:rPr>
        <w:t>נפלו לה מעות:</w:t>
      </w:r>
    </w:p>
    <w:p w14:paraId="18B355D2" w14:textId="77777777" w:rsidR="002E5BAD" w:rsidRDefault="002E5BAD" w:rsidP="002E5BAD">
      <w:pPr>
        <w:pStyle w:val="ab"/>
        <w:numPr>
          <w:ilvl w:val="0"/>
          <w:numId w:val="178"/>
        </w:numPr>
      </w:pPr>
      <w:r>
        <w:rPr>
          <w:rFonts w:cs="Arial" w:hint="cs"/>
          <w:rtl/>
        </w:rPr>
        <w:t xml:space="preserve">טור- </w:t>
      </w:r>
      <w:r w:rsidRPr="007A228B">
        <w:rPr>
          <w:rFonts w:cs="Arial"/>
          <w:rtl/>
        </w:rPr>
        <w:t>ומ"מ אם נפלו לה מעות ובאים לקנות דבר שעושה פירות</w:t>
      </w:r>
      <w:r>
        <w:rPr>
          <w:rFonts w:cs="Arial" w:hint="cs"/>
          <w:rtl/>
        </w:rPr>
        <w:t>,</w:t>
      </w:r>
      <w:r w:rsidRPr="007A228B">
        <w:rPr>
          <w:rFonts w:cs="Arial"/>
          <w:rtl/>
        </w:rPr>
        <w:t xml:space="preserve"> אין קונין בה גלימא וכיוצא בה</w:t>
      </w:r>
      <w:r>
        <w:rPr>
          <w:rFonts w:cs="Arial" w:hint="cs"/>
          <w:rtl/>
        </w:rPr>
        <w:t>,</w:t>
      </w:r>
      <w:r w:rsidRPr="007A228B">
        <w:rPr>
          <w:rFonts w:cs="Arial"/>
          <w:rtl/>
        </w:rPr>
        <w:t xml:space="preserve"> אלא דבר שגזעו מחליף</w:t>
      </w:r>
      <w:r>
        <w:rPr>
          <w:rStyle w:val="a7"/>
          <w:rFonts w:cs="Arial"/>
          <w:rtl/>
        </w:rPr>
        <w:footnoteReference w:id="1725"/>
      </w:r>
      <w:r>
        <w:rPr>
          <w:rFonts w:cs="Arial" w:hint="cs"/>
          <w:rtl/>
        </w:rPr>
        <w:t>.</w:t>
      </w:r>
      <w:r w:rsidRPr="007A228B">
        <w:rPr>
          <w:rFonts w:cs="Arial"/>
          <w:rtl/>
        </w:rPr>
        <w:t xml:space="preserve"> </w:t>
      </w:r>
    </w:p>
    <w:p w14:paraId="32F00D5E" w14:textId="77777777" w:rsidR="002E5BAD" w:rsidRPr="00BD71E5" w:rsidRDefault="002E5BAD" w:rsidP="002E5BAD">
      <w:pPr>
        <w:rPr>
          <w:u w:val="single"/>
        </w:rPr>
      </w:pPr>
      <w:r w:rsidRPr="00BD71E5">
        <w:rPr>
          <w:rFonts w:hint="cs"/>
          <w:u w:val="single"/>
          <w:rtl/>
        </w:rPr>
        <w:t>הכניסה לו עז לחלבה וכדו':</w:t>
      </w:r>
    </w:p>
    <w:p w14:paraId="3E3D8BD7" w14:textId="77777777" w:rsidR="002E5BAD" w:rsidRDefault="002E5BAD" w:rsidP="002E5BAD">
      <w:pPr>
        <w:pStyle w:val="ab"/>
        <w:numPr>
          <w:ilvl w:val="0"/>
          <w:numId w:val="178"/>
        </w:numPr>
      </w:pPr>
      <w:r>
        <w:rPr>
          <w:rFonts w:cs="Arial" w:hint="cs"/>
          <w:rtl/>
        </w:rPr>
        <w:t xml:space="preserve">רש"י </w:t>
      </w:r>
      <w:r>
        <w:rPr>
          <w:rFonts w:cs="Arial" w:hint="cs"/>
          <w:sz w:val="16"/>
          <w:szCs w:val="16"/>
          <w:rtl/>
        </w:rPr>
        <w:t>(שם ד"ה אוכל והולך)</w:t>
      </w:r>
      <w:r>
        <w:rPr>
          <w:rFonts w:cs="Arial" w:hint="cs"/>
          <w:rtl/>
        </w:rPr>
        <w:t xml:space="preserve"> רא"ש</w:t>
      </w:r>
      <w:r w:rsidRPr="00BD71E5">
        <w:rPr>
          <w:rFonts w:cs="Arial" w:hint="cs"/>
          <w:sz w:val="16"/>
          <w:szCs w:val="16"/>
          <w:rtl/>
        </w:rPr>
        <w:t xml:space="preserve"> </w:t>
      </w:r>
      <w:r w:rsidRPr="00BD71E5">
        <w:rPr>
          <w:rFonts w:cs="Arial"/>
          <w:sz w:val="16"/>
          <w:szCs w:val="16"/>
          <w:rtl/>
        </w:rPr>
        <w:t>(סי' ז</w:t>
      </w:r>
      <w:r>
        <w:rPr>
          <w:rFonts w:cs="Arial" w:hint="cs"/>
          <w:sz w:val="16"/>
          <w:szCs w:val="16"/>
          <w:rtl/>
        </w:rPr>
        <w:t>, כ"כ הטור בשמו</w:t>
      </w:r>
      <w:r w:rsidRPr="00BD71E5">
        <w:rPr>
          <w:rFonts w:cs="Arial"/>
          <w:sz w:val="16"/>
          <w:szCs w:val="16"/>
          <w:rtl/>
        </w:rPr>
        <w:t>)</w:t>
      </w:r>
      <w:r>
        <w:rPr>
          <w:rFonts w:cs="Arial"/>
          <w:rtl/>
        </w:rPr>
        <w:t xml:space="preserve"> </w:t>
      </w:r>
      <w:r>
        <w:rPr>
          <w:rFonts w:cs="Arial" w:hint="cs"/>
          <w:rtl/>
        </w:rPr>
        <w:t xml:space="preserve">וטור- </w:t>
      </w:r>
      <w:r w:rsidRPr="007A228B">
        <w:rPr>
          <w:rFonts w:cs="Arial"/>
          <w:rtl/>
        </w:rPr>
        <w:t>הכניסה לו עז לחלבה</w:t>
      </w:r>
      <w:r>
        <w:rPr>
          <w:rFonts w:cs="Arial" w:hint="cs"/>
          <w:rtl/>
        </w:rPr>
        <w:t>,</w:t>
      </w:r>
      <w:r w:rsidRPr="007A228B">
        <w:rPr>
          <w:rFonts w:cs="Arial"/>
          <w:rtl/>
        </w:rPr>
        <w:t xml:space="preserve"> ורחל לגיזתה</w:t>
      </w:r>
      <w:r>
        <w:rPr>
          <w:rFonts w:cs="Arial" w:hint="cs"/>
          <w:rtl/>
        </w:rPr>
        <w:t>,</w:t>
      </w:r>
      <w:r w:rsidRPr="007A228B">
        <w:rPr>
          <w:rFonts w:cs="Arial"/>
          <w:rtl/>
        </w:rPr>
        <w:t xml:space="preserve"> ותרנגולת לביצתה</w:t>
      </w:r>
      <w:r>
        <w:rPr>
          <w:rFonts w:cs="Arial" w:hint="cs"/>
          <w:rtl/>
        </w:rPr>
        <w:t>,</w:t>
      </w:r>
      <w:r w:rsidRPr="007A228B">
        <w:rPr>
          <w:rFonts w:cs="Arial"/>
          <w:rtl/>
        </w:rPr>
        <w:t xml:space="preserve"> ודקל לפירות </w:t>
      </w:r>
      <w:r>
        <w:rPr>
          <w:rFonts w:cs="Arial" w:hint="cs"/>
          <w:rtl/>
        </w:rPr>
        <w:t xml:space="preserve">- </w:t>
      </w:r>
      <w:r w:rsidRPr="007A228B">
        <w:rPr>
          <w:rFonts w:cs="Arial"/>
          <w:rtl/>
        </w:rPr>
        <w:t>אוכל והולך עד שיכלה</w:t>
      </w:r>
      <w:r>
        <w:rPr>
          <w:rStyle w:val="a7"/>
          <w:rFonts w:cs="Arial"/>
          <w:rtl/>
        </w:rPr>
        <w:footnoteReference w:id="1726"/>
      </w:r>
      <w:r w:rsidRPr="00F71D8A">
        <w:rPr>
          <w:rFonts w:cs="Arial" w:hint="cs"/>
          <w:sz w:val="16"/>
          <w:szCs w:val="16"/>
          <w:rtl/>
        </w:rPr>
        <w:t>(ל' הטור בשם הרא"ש)</w:t>
      </w:r>
      <w:r w:rsidRPr="00F71D8A">
        <w:rPr>
          <w:rFonts w:cs="Arial" w:hint="cs"/>
          <w:rtl/>
        </w:rPr>
        <w:t>.</w:t>
      </w:r>
      <w:r w:rsidRPr="00F71D8A">
        <w:rPr>
          <w:rFonts w:cs="Arial"/>
          <w:rtl/>
        </w:rPr>
        <w:t xml:space="preserve"> </w:t>
      </w:r>
    </w:p>
    <w:p w14:paraId="5A2A95E3" w14:textId="77777777" w:rsidR="002E5BAD" w:rsidRPr="00426F08" w:rsidRDefault="002E5BAD" w:rsidP="002E5BAD">
      <w:pPr>
        <w:pStyle w:val="ab"/>
        <w:numPr>
          <w:ilvl w:val="0"/>
          <w:numId w:val="178"/>
        </w:numPr>
        <w:rPr>
          <w:rtl/>
        </w:rPr>
      </w:pPr>
      <w:r>
        <w:rPr>
          <w:rFonts w:cs="Arial" w:hint="cs"/>
          <w:rtl/>
        </w:rPr>
        <w:t xml:space="preserve">רי"ף </w:t>
      </w:r>
      <w:r>
        <w:rPr>
          <w:rFonts w:cs="Arial" w:hint="cs"/>
          <w:sz w:val="16"/>
          <w:szCs w:val="16"/>
          <w:rtl/>
        </w:rPr>
        <w:t>(לח.)</w:t>
      </w:r>
      <w:r>
        <w:rPr>
          <w:rFonts w:cs="Arial" w:hint="cs"/>
          <w:rtl/>
        </w:rPr>
        <w:t xml:space="preserve"> רמב"ם </w:t>
      </w:r>
      <w:r>
        <w:rPr>
          <w:rFonts w:cs="Arial" w:hint="cs"/>
          <w:sz w:val="16"/>
          <w:szCs w:val="16"/>
          <w:rtl/>
        </w:rPr>
        <w:t>(פכ"ב מאישות הל"ד)</w:t>
      </w:r>
      <w:r w:rsidRPr="00A06F30">
        <w:rPr>
          <w:rFonts w:cs="Arial"/>
          <w:rtl/>
        </w:rPr>
        <w:t xml:space="preserve"> </w:t>
      </w:r>
      <w:r>
        <w:rPr>
          <w:rFonts w:cs="Arial"/>
          <w:rtl/>
        </w:rPr>
        <w:t xml:space="preserve">רשב"א </w:t>
      </w:r>
      <w:r w:rsidRPr="00A06F30">
        <w:rPr>
          <w:rFonts w:cs="Arial"/>
          <w:sz w:val="16"/>
          <w:szCs w:val="16"/>
          <w:rtl/>
        </w:rPr>
        <w:t>(עט: ד"ה אמר</w:t>
      </w:r>
      <w:r>
        <w:rPr>
          <w:rFonts w:cs="Arial" w:hint="cs"/>
          <w:sz w:val="16"/>
          <w:szCs w:val="16"/>
          <w:rtl/>
        </w:rPr>
        <w:t>, כ"כ הה"מ בשמו</w:t>
      </w:r>
      <w:r w:rsidRPr="00A06F30">
        <w:rPr>
          <w:rFonts w:cs="Arial"/>
          <w:sz w:val="16"/>
          <w:szCs w:val="16"/>
          <w:rtl/>
        </w:rPr>
        <w:t>)</w:t>
      </w:r>
      <w:r>
        <w:rPr>
          <w:rFonts w:cs="Arial" w:hint="cs"/>
          <w:rtl/>
        </w:rPr>
        <w:t xml:space="preserve"> והה"מ </w:t>
      </w:r>
      <w:r>
        <w:rPr>
          <w:rFonts w:cs="Arial" w:hint="cs"/>
          <w:sz w:val="16"/>
          <w:szCs w:val="16"/>
          <w:rtl/>
        </w:rPr>
        <w:t>(שם)</w:t>
      </w:r>
      <w:r>
        <w:rPr>
          <w:rFonts w:cs="Arial" w:hint="cs"/>
          <w:rtl/>
        </w:rPr>
        <w:t xml:space="preserve">- </w:t>
      </w:r>
      <w:r>
        <w:rPr>
          <w:rFonts w:cs="Arial"/>
          <w:rtl/>
        </w:rPr>
        <w:t>האשה שהכניסה לבעלה עז לחלבה ורחל לגיזתה ודקל לפירותיו אף על פי שאין לה אלא פירות אלו בלבד</w:t>
      </w:r>
      <w:r>
        <w:rPr>
          <w:rStyle w:val="a7"/>
          <w:rFonts w:cs="Arial"/>
          <w:rtl/>
        </w:rPr>
        <w:footnoteReference w:id="1727"/>
      </w:r>
      <w:r>
        <w:rPr>
          <w:rFonts w:cs="Arial"/>
          <w:rtl/>
        </w:rPr>
        <w:t xml:space="preserve"> הרי זה אוכל והולך עד </w:t>
      </w:r>
      <w:r>
        <w:rPr>
          <w:rFonts w:cs="Arial"/>
          <w:rtl/>
        </w:rPr>
        <w:lastRenderedPageBreak/>
        <w:t>שתכלה הקרן</w:t>
      </w:r>
      <w:r>
        <w:rPr>
          <w:rStyle w:val="a7"/>
          <w:rFonts w:cs="Arial"/>
          <w:rtl/>
        </w:rPr>
        <w:footnoteReference w:id="1728"/>
      </w:r>
      <w:r>
        <w:rPr>
          <w:rFonts w:cs="Arial" w:hint="cs"/>
          <w:rtl/>
        </w:rPr>
        <w:t>.</w:t>
      </w:r>
      <w:r>
        <w:rPr>
          <w:rFonts w:cs="Arial"/>
          <w:rtl/>
        </w:rPr>
        <w:t xml:space="preserve"> וכן אם הכניסה לו כלי תשמיש בתורת נכסי מלוג הרי זה משתמש בהן ולובש ומציע ומכסה עד שיכלה הקרן וכשיגרש אינו חייב לשלם הבליות של נכסי מלוג</w:t>
      </w:r>
      <w:r>
        <w:rPr>
          <w:rFonts w:cs="Arial" w:hint="cs"/>
          <w:sz w:val="16"/>
          <w:szCs w:val="16"/>
          <w:rtl/>
        </w:rPr>
        <w:t xml:space="preserve"> (ל' הרמב"ם)</w:t>
      </w:r>
      <w:r>
        <w:rPr>
          <w:rFonts w:cs="Arial"/>
          <w:rtl/>
        </w:rPr>
        <w:t>.</w:t>
      </w:r>
      <w:r w:rsidRPr="000F31AE">
        <w:rPr>
          <w:rFonts w:hint="cs"/>
          <w:color w:val="E36C0A" w:themeColor="accent6" w:themeShade="BF"/>
          <w:rtl/>
        </w:rPr>
        <w:t xml:space="preserve"> </w:t>
      </w:r>
      <w:r w:rsidRPr="00137671">
        <w:rPr>
          <w:rFonts w:hint="cs"/>
          <w:color w:val="E36C0A" w:themeColor="accent6" w:themeShade="BF"/>
          <w:rtl/>
        </w:rPr>
        <w:t>(וכ"פ בשו"ע)</w:t>
      </w:r>
    </w:p>
    <w:p w14:paraId="2EC51D0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AF851AA" w14:textId="77777777" w:rsidR="002E5BAD" w:rsidRDefault="002E5BAD" w:rsidP="002E5BAD">
      <w:pPr>
        <w:rPr>
          <w:rtl/>
        </w:rPr>
      </w:pPr>
      <w:r>
        <w:rPr>
          <w:rFonts w:cs="Arial"/>
          <w:rtl/>
        </w:rPr>
        <w:t>נכסי מלוג, הבעל אוכל פירות, ואם הם דבר שאינו עושה פירות, ימכר</w:t>
      </w:r>
      <w:r>
        <w:rPr>
          <w:rStyle w:val="a7"/>
          <w:rFonts w:cs="Arial"/>
          <w:rtl/>
        </w:rPr>
        <w:footnoteReference w:id="1729"/>
      </w:r>
      <w:r>
        <w:rPr>
          <w:rFonts w:cs="Arial"/>
          <w:rtl/>
        </w:rPr>
        <w:t xml:space="preserve"> וילקח בו דבר שעושה פירות. ואם הוא אומר: כך וכך ילקח בהם, והיא אומרת: איני לוקחת בהם אלא כך וכך, לוקחים דבר שפירותיו מרובים</w:t>
      </w:r>
      <w:r>
        <w:rPr>
          <w:rStyle w:val="a7"/>
          <w:rFonts w:cs="Arial"/>
          <w:rtl/>
        </w:rPr>
        <w:footnoteReference w:id="1730"/>
      </w:r>
      <w:r>
        <w:rPr>
          <w:rFonts w:cs="Arial"/>
          <w:rtl/>
        </w:rPr>
        <w:t xml:space="preserve"> ויציאתו מועטה, בין שהיה הדבר כרצונו או כרצונה</w:t>
      </w:r>
      <w:r>
        <w:rPr>
          <w:rFonts w:cs="Arial" w:hint="cs"/>
          <w:rtl/>
        </w:rPr>
        <w:t>.</w:t>
      </w:r>
      <w:r>
        <w:rPr>
          <w:rFonts w:cs="Arial"/>
          <w:rtl/>
        </w:rPr>
        <w:t xml:space="preserve"> ואין קונין דבר שאין גזעו מחליף. ואם נפל לה דבר שאין גזעו מחליף, אף על פי שלא ישאר קצת מהקרן, א</w:t>
      </w:r>
      <w:r>
        <w:rPr>
          <w:rFonts w:cs="Arial" w:hint="cs"/>
          <w:rtl/>
        </w:rPr>
        <w:t xml:space="preserve">ין </w:t>
      </w:r>
      <w:r>
        <w:rPr>
          <w:rFonts w:cs="Arial"/>
          <w:rtl/>
        </w:rPr>
        <w:t>צ</w:t>
      </w:r>
      <w:r>
        <w:rPr>
          <w:rFonts w:cs="Arial" w:hint="cs"/>
          <w:rtl/>
        </w:rPr>
        <w:t>ריך</w:t>
      </w:r>
      <w:r>
        <w:rPr>
          <w:rFonts w:cs="Arial"/>
          <w:rtl/>
        </w:rPr>
        <w:t xml:space="preserve"> למוכרו</w:t>
      </w:r>
      <w:r>
        <w:rPr>
          <w:rStyle w:val="a7"/>
          <w:rFonts w:cs="Arial"/>
          <w:rtl/>
        </w:rPr>
        <w:footnoteReference w:id="1731"/>
      </w:r>
      <w:r>
        <w:rPr>
          <w:rFonts w:cs="Arial"/>
          <w:rtl/>
        </w:rPr>
        <w:t>, כגון שהכניסה לו עז לחלבה, רחל לגיזתה, דקל לפירותיו, אף על פי שאין לה אלא פירות אלו בלבד, הרי זה אוכל והולך עד שתכלה הקרן. וכן אם הכניסה לו כלי בתורת נכסי מלוג, ה</w:t>
      </w:r>
      <w:r>
        <w:rPr>
          <w:rFonts w:cs="Arial" w:hint="cs"/>
          <w:rtl/>
        </w:rPr>
        <w:t xml:space="preserve">רי </w:t>
      </w:r>
      <w:r>
        <w:rPr>
          <w:rFonts w:cs="Arial"/>
          <w:rtl/>
        </w:rPr>
        <w:t>ז</w:t>
      </w:r>
      <w:r>
        <w:rPr>
          <w:rFonts w:cs="Arial" w:hint="cs"/>
          <w:rtl/>
        </w:rPr>
        <w:t>ה</w:t>
      </w:r>
      <w:r>
        <w:rPr>
          <w:rFonts w:cs="Arial"/>
          <w:rtl/>
        </w:rPr>
        <w:t xml:space="preserve"> משתמש בהם ולובש ומציע ומכסה, עד שיכלה הקרן, וכשיגרש אינו חייב לשלם הבליות של נכסי מלוג. </w:t>
      </w:r>
    </w:p>
    <w:p w14:paraId="0361CDB7" w14:textId="77777777" w:rsidR="002E5BAD" w:rsidRDefault="002E5BAD" w:rsidP="002E5BAD">
      <w:pPr>
        <w:rPr>
          <w:rtl/>
        </w:rPr>
      </w:pPr>
    </w:p>
    <w:p w14:paraId="5A1D889F" w14:textId="77777777" w:rsidR="002E5BAD" w:rsidRDefault="002E5BAD" w:rsidP="002E5BAD">
      <w:pPr>
        <w:pStyle w:val="2"/>
        <w:rPr>
          <w:rtl/>
        </w:rPr>
      </w:pPr>
      <w:r>
        <w:rPr>
          <w:rtl/>
        </w:rPr>
        <w:t>סעיף יד</w:t>
      </w:r>
      <w:r>
        <w:rPr>
          <w:rFonts w:hint="cs"/>
          <w:rtl/>
        </w:rPr>
        <w:t>:</w:t>
      </w:r>
      <w:r w:rsidRPr="00413E86">
        <w:rPr>
          <w:rFonts w:cs="Arial"/>
          <w:rtl/>
        </w:rPr>
        <w:t xml:space="preserve"> </w:t>
      </w:r>
      <w:r w:rsidRPr="007A228B">
        <w:rPr>
          <w:rFonts w:cs="Arial"/>
          <w:rtl/>
        </w:rPr>
        <w:t>נפלו לה עבדים ושפחות וזקנים</w:t>
      </w:r>
      <w:r>
        <w:rPr>
          <w:rFonts w:cs="Arial" w:hint="cs"/>
          <w:rtl/>
        </w:rPr>
        <w:t xml:space="preserve">, או </w:t>
      </w:r>
      <w:r w:rsidRPr="00120D5D">
        <w:rPr>
          <w:rFonts w:cs="Arial"/>
          <w:rtl/>
        </w:rPr>
        <w:t>זיתים וגפנים זקנים</w:t>
      </w:r>
      <w:r>
        <w:rPr>
          <w:rFonts w:hint="cs"/>
          <w:rtl/>
        </w:rPr>
        <w:t>.</w:t>
      </w:r>
    </w:p>
    <w:p w14:paraId="3A0F1CDF" w14:textId="77777777" w:rsidR="002E5BAD" w:rsidRPr="001253D1" w:rsidRDefault="002E5BAD" w:rsidP="002E5BAD">
      <w:pPr>
        <w:rPr>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ב</w:t>
      </w:r>
      <w:r w:rsidRPr="003C240D">
        <w:rPr>
          <w:rFonts w:cs="Arial" w:hint="cs"/>
          <w:b/>
          <w:bCs/>
          <w:rtl/>
        </w:rPr>
        <w:t xml:space="preserve">: </w:t>
      </w:r>
      <w:r w:rsidRPr="003C240D">
        <w:rPr>
          <w:rFonts w:cs="Arial"/>
          <w:u w:val="double"/>
          <w:rtl/>
        </w:rPr>
        <w:t>מתני</w:t>
      </w:r>
      <w:r w:rsidRPr="003C240D">
        <w:rPr>
          <w:rFonts w:cs="Arial" w:hint="cs"/>
          <w:u w:val="double"/>
          <w:rtl/>
        </w:rPr>
        <w:t>'</w:t>
      </w:r>
      <w:r>
        <w:rPr>
          <w:rFonts w:cs="Arial" w:hint="cs"/>
          <w:rtl/>
        </w:rPr>
        <w:t>:</w:t>
      </w:r>
      <w:r w:rsidRPr="00120D5D">
        <w:rPr>
          <w:rFonts w:cs="Arial"/>
          <w:rtl/>
        </w:rPr>
        <w:t xml:space="preserve"> נפלו לה עבדים ושפחות זקנים - ימכרו, וילקח מהן קרקע והוא אוכל פירות</w:t>
      </w:r>
      <w:r>
        <w:rPr>
          <w:rFonts w:cs="Arial" w:hint="cs"/>
          <w:rtl/>
        </w:rPr>
        <w:t>.</w:t>
      </w:r>
      <w:r w:rsidRPr="00120D5D">
        <w:rPr>
          <w:rFonts w:cs="Arial"/>
          <w:rtl/>
        </w:rPr>
        <w:t xml:space="preserve"> </w:t>
      </w:r>
      <w:r w:rsidRPr="00413E86">
        <w:rPr>
          <w:rFonts w:cs="Arial"/>
          <w:u w:val="single"/>
          <w:rtl/>
        </w:rPr>
        <w:t>רשב"ג אומר</w:t>
      </w:r>
      <w:r w:rsidRPr="00120D5D">
        <w:rPr>
          <w:rFonts w:cs="Arial"/>
          <w:rtl/>
        </w:rPr>
        <w:t>: לא תמכור</w:t>
      </w:r>
      <w:r>
        <w:rPr>
          <w:rStyle w:val="a7"/>
          <w:rFonts w:cs="Arial"/>
          <w:rtl/>
        </w:rPr>
        <w:footnoteReference w:id="1732"/>
      </w:r>
      <w:r w:rsidRPr="00120D5D">
        <w:rPr>
          <w:rFonts w:cs="Arial"/>
          <w:rtl/>
        </w:rPr>
        <w:t>, מפני שהן שבח בית אביה. נפלו לה זיתים וגפנים זקנים - ימכרו, וילקח בהן קרקע והוא אוכל פירות</w:t>
      </w:r>
      <w:r>
        <w:rPr>
          <w:rFonts w:cs="Arial" w:hint="cs"/>
          <w:rtl/>
        </w:rPr>
        <w:t>.</w:t>
      </w:r>
      <w:r w:rsidRPr="00120D5D">
        <w:rPr>
          <w:rFonts w:cs="Arial"/>
          <w:rtl/>
        </w:rPr>
        <w:t xml:space="preserve"> </w:t>
      </w:r>
      <w:r>
        <w:rPr>
          <w:rStyle w:val="a7"/>
          <w:rFonts w:cs="Arial"/>
          <w:rtl/>
        </w:rPr>
        <w:footnoteReference w:id="1733"/>
      </w:r>
      <w:r>
        <w:rPr>
          <w:rFonts w:cs="Arial" w:hint="cs"/>
          <w:u w:val="single"/>
          <w:rtl/>
        </w:rPr>
        <w:t>[</w:t>
      </w:r>
      <w:r w:rsidRPr="00413E86">
        <w:rPr>
          <w:rFonts w:cs="Arial"/>
          <w:u w:val="single"/>
          <w:rtl/>
        </w:rPr>
        <w:t>ר' יהודה אומר</w:t>
      </w:r>
      <w:r>
        <w:rPr>
          <w:rFonts w:cs="Arial" w:hint="cs"/>
          <w:u w:val="single"/>
          <w:rtl/>
        </w:rPr>
        <w:t>]</w:t>
      </w:r>
      <w:r w:rsidRPr="00120D5D">
        <w:rPr>
          <w:rFonts w:cs="Arial"/>
          <w:rtl/>
        </w:rPr>
        <w:t>: לא תמכור, מפני שהן שבח בית אביה</w:t>
      </w:r>
      <w:r>
        <w:rPr>
          <w:rFonts w:cs="Arial" w:hint="cs"/>
          <w:rtl/>
        </w:rPr>
        <w:t>.</w:t>
      </w:r>
      <w:r w:rsidRPr="003C240D">
        <w:rPr>
          <w:rFonts w:cs="Arial"/>
          <w:rtl/>
        </w:rPr>
        <w:t xml:space="preserve"> </w:t>
      </w:r>
      <w:r>
        <w:rPr>
          <w:rFonts w:cs="Arial" w:hint="cs"/>
          <w:rtl/>
        </w:rPr>
        <w:t xml:space="preserve">      </w:t>
      </w:r>
      <w:r w:rsidRPr="003C240D">
        <w:rPr>
          <w:rFonts w:cs="Arial"/>
          <w:u w:val="double"/>
          <w:rtl/>
        </w:rPr>
        <w:t>גמ'</w:t>
      </w:r>
      <w:r>
        <w:rPr>
          <w:rFonts w:cs="Arial" w:hint="cs"/>
          <w:rtl/>
        </w:rPr>
        <w:t>:</w:t>
      </w:r>
      <w:r w:rsidRPr="003C240D">
        <w:rPr>
          <w:rFonts w:cs="Arial"/>
          <w:rtl/>
        </w:rPr>
        <w:t xml:space="preserve"> </w:t>
      </w:r>
      <w:r w:rsidRPr="00413E86">
        <w:rPr>
          <w:rFonts w:cs="Arial"/>
          <w:u w:val="single"/>
          <w:rtl/>
        </w:rPr>
        <w:t>אמר רב כהנא אמר רב</w:t>
      </w:r>
      <w:r w:rsidRPr="00413E86">
        <w:rPr>
          <w:rFonts w:cs="Arial"/>
          <w:rtl/>
        </w:rPr>
        <w:t>: מחלוקת - בשדה שאינה שלה</w:t>
      </w:r>
      <w:r>
        <w:rPr>
          <w:rStyle w:val="a7"/>
          <w:rFonts w:cs="Arial"/>
          <w:rtl/>
        </w:rPr>
        <w:footnoteReference w:id="1734"/>
      </w:r>
      <w:r w:rsidRPr="00413E86">
        <w:rPr>
          <w:rFonts w:cs="Arial"/>
          <w:rtl/>
        </w:rPr>
        <w:t>, אבל בשדה שלה - דברי הכל לא תמכור, מפני שבח בית אביה.</w:t>
      </w:r>
      <w:r>
        <w:rPr>
          <w:rFonts w:cs="Arial" w:hint="cs"/>
          <w:sz w:val="16"/>
          <w:szCs w:val="16"/>
          <w:rtl/>
        </w:rPr>
        <w:t xml:space="preserve"> (</w:t>
      </w:r>
      <w:r w:rsidRPr="001253D1">
        <w:rPr>
          <w:rFonts w:cs="Arial"/>
          <w:sz w:val="16"/>
          <w:szCs w:val="16"/>
          <w:rtl/>
        </w:rPr>
        <w:t>וכתבו הרי"ף (לח:) והרא"ש (סי' ח) מתניתין כשאין עושין כדי טיפולן אבל אם עושים כדי טיפולן לא תמכור מפני שעדיין שבח בית אביה קיים</w:t>
      </w:r>
      <w:r w:rsidRPr="001253D1">
        <w:rPr>
          <w:rFonts w:hint="cs"/>
          <w:sz w:val="16"/>
          <w:szCs w:val="16"/>
          <w:rtl/>
        </w:rPr>
        <w:t>, ב"י)</w:t>
      </w:r>
    </w:p>
    <w:p w14:paraId="70D35A12" w14:textId="77777777" w:rsidR="002E5BAD" w:rsidRPr="00413E86" w:rsidRDefault="002E5BAD" w:rsidP="002E5BAD">
      <w:pPr>
        <w:rPr>
          <w:u w:val="single"/>
          <w:rtl/>
        </w:rPr>
      </w:pPr>
      <w:r w:rsidRPr="00413E86">
        <w:rPr>
          <w:rFonts w:cs="Arial"/>
          <w:u w:val="single"/>
          <w:rtl/>
        </w:rPr>
        <w:t>נפלו לה עבדים ושפחות וזקנים</w:t>
      </w:r>
      <w:r>
        <w:rPr>
          <w:rFonts w:cs="Arial" w:hint="cs"/>
          <w:u w:val="single"/>
          <w:rtl/>
        </w:rPr>
        <w:t xml:space="preserve"> או זיתים וגפנים זקנים</w:t>
      </w:r>
      <w:r w:rsidRPr="00413E86">
        <w:rPr>
          <w:rFonts w:hint="cs"/>
          <w:u w:val="single"/>
          <w:rtl/>
        </w:rPr>
        <w:t>:</w:t>
      </w:r>
    </w:p>
    <w:p w14:paraId="7733542E" w14:textId="77777777" w:rsidR="002E5BAD" w:rsidRPr="009158E5" w:rsidRDefault="002E5BAD" w:rsidP="002E5BAD">
      <w:pPr>
        <w:pStyle w:val="ab"/>
        <w:numPr>
          <w:ilvl w:val="0"/>
          <w:numId w:val="178"/>
        </w:numPr>
      </w:pPr>
      <w:r>
        <w:rPr>
          <w:rFonts w:cs="Arial" w:hint="cs"/>
          <w:rtl/>
        </w:rPr>
        <w:t xml:space="preserve">טור- </w:t>
      </w:r>
      <w:r w:rsidRPr="008B3280">
        <w:rPr>
          <w:rFonts w:cs="Arial"/>
          <w:rtl/>
        </w:rPr>
        <w:t>נפלו לה עבדים ושפחות וזקנים שאין ראוין עוד למלאכה</w:t>
      </w:r>
      <w:r>
        <w:rPr>
          <w:rStyle w:val="a7"/>
          <w:rFonts w:cs="Arial"/>
          <w:rtl/>
        </w:rPr>
        <w:footnoteReference w:id="1735"/>
      </w:r>
      <w:r w:rsidRPr="008B3280">
        <w:rPr>
          <w:rFonts w:cs="Arial"/>
          <w:rtl/>
        </w:rPr>
        <w:t xml:space="preserve"> </w:t>
      </w:r>
      <w:r>
        <w:rPr>
          <w:rFonts w:cs="Arial" w:hint="cs"/>
          <w:rtl/>
        </w:rPr>
        <w:t xml:space="preserve">- </w:t>
      </w:r>
      <w:r w:rsidRPr="008B3280">
        <w:rPr>
          <w:rFonts w:cs="Arial"/>
          <w:rtl/>
        </w:rPr>
        <w:t>ישתמש בהם כמו שהם ואינה יכולה לכופו למוכרן ולקנות בדמיהן קרקע כדי שיתקיים לה הקרן</w:t>
      </w:r>
      <w:r>
        <w:rPr>
          <w:rFonts w:cs="Arial" w:hint="cs"/>
          <w:rtl/>
        </w:rPr>
        <w:t>,</w:t>
      </w:r>
      <w:r w:rsidRPr="008B3280">
        <w:rPr>
          <w:rFonts w:cs="Arial"/>
          <w:rtl/>
        </w:rPr>
        <w:t xml:space="preserve"> ואם ירצה הוא למוכרן ולקנות בהן קרקע אינה יכולה לעכב עליו</w:t>
      </w:r>
      <w:r>
        <w:rPr>
          <w:rStyle w:val="a7"/>
          <w:rFonts w:cs="Arial"/>
          <w:rtl/>
        </w:rPr>
        <w:footnoteReference w:id="1736"/>
      </w:r>
      <w:r>
        <w:rPr>
          <w:rFonts w:cs="Arial" w:hint="cs"/>
          <w:rtl/>
        </w:rPr>
        <w:t>.</w:t>
      </w:r>
      <w:r w:rsidRPr="008B3280">
        <w:rPr>
          <w:rFonts w:cs="Arial"/>
          <w:rtl/>
        </w:rPr>
        <w:t xml:space="preserve"> והרמ"ה כתב כמו שהוא יכול למוכרם בעל כרחה כך היא יכולה למוכרם בע"כ כדי שיתקיים לה הקרן</w:t>
      </w:r>
      <w:r>
        <w:rPr>
          <w:rFonts w:cs="Arial" w:hint="cs"/>
          <w:rtl/>
        </w:rPr>
        <w:t>.</w:t>
      </w:r>
      <w:r w:rsidRPr="008B3280">
        <w:rPr>
          <w:rFonts w:cs="Arial"/>
          <w:rtl/>
        </w:rPr>
        <w:t xml:space="preserve"> וא"א הרא"ש ז"ל כתב כסברא ראשונה</w:t>
      </w:r>
      <w:r w:rsidRPr="009158E5">
        <w:rPr>
          <w:rStyle w:val="a7"/>
          <w:rFonts w:cs="Arial"/>
          <w:rtl/>
        </w:rPr>
        <w:footnoteReference w:id="1737"/>
      </w:r>
      <w:r>
        <w:rPr>
          <w:rFonts w:cs="Arial" w:hint="cs"/>
          <w:rtl/>
        </w:rPr>
        <w:t>...</w:t>
      </w:r>
      <w:r w:rsidRPr="008B3280">
        <w:rPr>
          <w:rFonts w:cs="Arial"/>
          <w:rtl/>
        </w:rPr>
        <w:t xml:space="preserve"> וכיוצא בזה פליגי בנפלו לה זיתים זקנים</w:t>
      </w:r>
      <w:r>
        <w:rPr>
          <w:rFonts w:cs="Arial" w:hint="cs"/>
          <w:rtl/>
        </w:rPr>
        <w:t>.</w:t>
      </w:r>
      <w:r w:rsidRPr="008B3280">
        <w:rPr>
          <w:rFonts w:cs="Arial"/>
          <w:rtl/>
        </w:rPr>
        <w:t xml:space="preserve"> ומדברי א"א הרא"ש ז"ל יראה שפוסק בשניהם כחכמים שאינה יכולה לעכב עליו מלמוכרן</w:t>
      </w:r>
      <w:r>
        <w:rPr>
          <w:rFonts w:cs="Arial" w:hint="cs"/>
          <w:rtl/>
        </w:rPr>
        <w:t>.</w:t>
      </w:r>
      <w:r w:rsidRPr="008B3280">
        <w:rPr>
          <w:rFonts w:cs="Arial"/>
          <w:rtl/>
        </w:rPr>
        <w:t xml:space="preserve"> ודוקא כשאינם נטועים בשדה שלה</w:t>
      </w:r>
      <w:r>
        <w:rPr>
          <w:rFonts w:cs="Arial" w:hint="cs"/>
          <w:rtl/>
        </w:rPr>
        <w:t>,</w:t>
      </w:r>
      <w:r w:rsidRPr="008B3280">
        <w:rPr>
          <w:rFonts w:cs="Arial"/>
          <w:rtl/>
        </w:rPr>
        <w:t xml:space="preserve"> אבל נטועים בשדה שלה או עושין כדי טיפולן יכולה לעכב עליו</w:t>
      </w:r>
      <w:r>
        <w:rPr>
          <w:rFonts w:hint="cs"/>
          <w:rtl/>
        </w:rPr>
        <w:t>.</w:t>
      </w:r>
    </w:p>
    <w:p w14:paraId="07315B6E" w14:textId="77777777" w:rsidR="002E5BAD" w:rsidRPr="00120D5D" w:rsidRDefault="002E5BAD" w:rsidP="002E5BAD">
      <w:pPr>
        <w:pStyle w:val="ab"/>
        <w:numPr>
          <w:ilvl w:val="0"/>
          <w:numId w:val="178"/>
        </w:numPr>
      </w:pPr>
      <w:r w:rsidRPr="007A228B">
        <w:rPr>
          <w:rFonts w:cs="Arial"/>
          <w:rtl/>
        </w:rPr>
        <w:t>רמב"ם</w:t>
      </w:r>
      <w:r>
        <w:rPr>
          <w:rFonts w:cs="Arial" w:hint="cs"/>
          <w:sz w:val="16"/>
          <w:szCs w:val="16"/>
          <w:rtl/>
        </w:rPr>
        <w:t xml:space="preserve"> (פכ"ב מאישות הכ"ג)</w:t>
      </w:r>
      <w:r>
        <w:rPr>
          <w:rFonts w:cs="Arial" w:hint="cs"/>
          <w:rtl/>
        </w:rPr>
        <w:t xml:space="preserve">- </w:t>
      </w:r>
      <w:r w:rsidRPr="00233107">
        <w:rPr>
          <w:rFonts w:cs="Arial"/>
          <w:rtl/>
        </w:rPr>
        <w:t xml:space="preserve">נפלו לה עבדים אף על פי שהן זקנים </w:t>
      </w:r>
      <w:r>
        <w:rPr>
          <w:rFonts w:cs="Arial" w:hint="cs"/>
          <w:rtl/>
        </w:rPr>
        <w:t xml:space="preserve">- </w:t>
      </w:r>
      <w:r w:rsidRPr="00233107">
        <w:rPr>
          <w:rFonts w:cs="Arial"/>
          <w:rtl/>
        </w:rPr>
        <w:t>הרי אלו לא ימכרו</w:t>
      </w:r>
      <w:r>
        <w:rPr>
          <w:rFonts w:cs="Arial" w:hint="cs"/>
          <w:rtl/>
        </w:rPr>
        <w:t>,</w:t>
      </w:r>
      <w:r w:rsidRPr="00233107">
        <w:rPr>
          <w:rFonts w:cs="Arial"/>
          <w:rtl/>
        </w:rPr>
        <w:t xml:space="preserve"> מפני שבח בית אביה</w:t>
      </w:r>
      <w:r>
        <w:rPr>
          <w:rFonts w:cs="Arial" w:hint="cs"/>
          <w:rtl/>
        </w:rPr>
        <w:t>.</w:t>
      </w:r>
      <w:r w:rsidRPr="008B3280">
        <w:rPr>
          <w:rFonts w:cs="Arial"/>
          <w:rtl/>
        </w:rPr>
        <w:t xml:space="preserve"> </w:t>
      </w:r>
      <w:r w:rsidRPr="00233107">
        <w:rPr>
          <w:rFonts w:cs="Arial"/>
          <w:rtl/>
        </w:rPr>
        <w:t xml:space="preserve">נפלו לה זיתים וגפנים ולא היה לה בגוף הקרקע שהאילנות בה כלום, אם עושין כדי טיפולן </w:t>
      </w:r>
      <w:r>
        <w:rPr>
          <w:rFonts w:cs="Arial" w:hint="cs"/>
          <w:rtl/>
        </w:rPr>
        <w:t xml:space="preserve">- </w:t>
      </w:r>
      <w:r w:rsidRPr="00233107">
        <w:rPr>
          <w:rFonts w:cs="Arial"/>
          <w:rtl/>
        </w:rPr>
        <w:t>לא ימכרו</w:t>
      </w:r>
      <w:r>
        <w:rPr>
          <w:rFonts w:cs="Arial" w:hint="cs"/>
          <w:rtl/>
        </w:rPr>
        <w:t>,</w:t>
      </w:r>
      <w:r w:rsidRPr="00233107">
        <w:rPr>
          <w:rFonts w:cs="Arial"/>
          <w:rtl/>
        </w:rPr>
        <w:t xml:space="preserve"> מפני שבח בית אביה</w:t>
      </w:r>
      <w:r>
        <w:rPr>
          <w:rFonts w:cs="Arial" w:hint="cs"/>
          <w:rtl/>
        </w:rPr>
        <w:t>.</w:t>
      </w:r>
      <w:r w:rsidRPr="00233107">
        <w:rPr>
          <w:rFonts w:cs="Arial"/>
          <w:rtl/>
        </w:rPr>
        <w:t xml:space="preserve"> ואם לאו </w:t>
      </w:r>
      <w:r>
        <w:rPr>
          <w:rFonts w:cs="Arial" w:hint="cs"/>
          <w:rtl/>
        </w:rPr>
        <w:t xml:space="preserve">- </w:t>
      </w:r>
      <w:r w:rsidRPr="00233107">
        <w:rPr>
          <w:rFonts w:cs="Arial"/>
          <w:rtl/>
        </w:rPr>
        <w:t>הרי אלו ימכרו</w:t>
      </w:r>
      <w:r>
        <w:rPr>
          <w:rStyle w:val="a7"/>
          <w:rFonts w:cs="Arial"/>
          <w:rtl/>
        </w:rPr>
        <w:footnoteReference w:id="1738"/>
      </w:r>
      <w:r w:rsidRPr="00233107">
        <w:rPr>
          <w:rFonts w:cs="Arial"/>
          <w:rtl/>
        </w:rPr>
        <w:t xml:space="preserve"> לעצים וילקח בהן קרקע והוא אוכל פירות</w:t>
      </w:r>
      <w:r>
        <w:rPr>
          <w:rStyle w:val="a7"/>
          <w:rFonts w:cs="Arial"/>
          <w:rtl/>
        </w:rPr>
        <w:footnoteReference w:id="1739"/>
      </w:r>
      <w:r>
        <w:rPr>
          <w:rFonts w:cs="Arial" w:hint="cs"/>
          <w:rtl/>
        </w:rPr>
        <w:t>.</w:t>
      </w:r>
      <w:r w:rsidRPr="000F31AE">
        <w:rPr>
          <w:rFonts w:hint="cs"/>
          <w:color w:val="E36C0A" w:themeColor="accent6" w:themeShade="BF"/>
          <w:rtl/>
        </w:rPr>
        <w:t xml:space="preserve"> </w:t>
      </w:r>
      <w:r w:rsidRPr="00137671">
        <w:rPr>
          <w:rFonts w:hint="cs"/>
          <w:color w:val="E36C0A" w:themeColor="accent6" w:themeShade="BF"/>
          <w:rtl/>
        </w:rPr>
        <w:t>(וכ"פ בשו"ע)</w:t>
      </w:r>
    </w:p>
    <w:p w14:paraId="0B8D4209"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452B1A27" w14:textId="77777777" w:rsidR="002E5BAD" w:rsidRDefault="002E5BAD" w:rsidP="002E5BAD">
      <w:pPr>
        <w:rPr>
          <w:rtl/>
        </w:rPr>
      </w:pPr>
      <w:r>
        <w:rPr>
          <w:rFonts w:cs="Arial"/>
          <w:rtl/>
        </w:rPr>
        <w:t>נפלו לה עבדים, אף על פי שהם זקנים, לא ימכור, מפני שהם שבח בית אביה</w:t>
      </w:r>
      <w:r>
        <w:rPr>
          <w:rStyle w:val="a7"/>
          <w:rFonts w:cs="Arial"/>
          <w:rtl/>
        </w:rPr>
        <w:footnoteReference w:id="1740"/>
      </w:r>
      <w:r>
        <w:rPr>
          <w:rFonts w:cs="Arial"/>
          <w:rtl/>
        </w:rPr>
        <w:t>. נפלו לה זיתים וגפנים, ולא היו לה בגוף הקרקע שהאילנות בה, כלום, אם עושין כדי טיפולן לא ימכרו, מפני שבח בית אביה</w:t>
      </w:r>
      <w:r>
        <w:rPr>
          <w:rFonts w:cs="Arial" w:hint="cs"/>
          <w:rtl/>
        </w:rPr>
        <w:t>.</w:t>
      </w:r>
      <w:r>
        <w:rPr>
          <w:rFonts w:cs="Arial"/>
          <w:rtl/>
        </w:rPr>
        <w:t xml:space="preserve"> ואם לאו, הרי אלו ימכרו לעצים, וילקח בהם קרקע והוא אוכל פירות. </w:t>
      </w:r>
    </w:p>
    <w:p w14:paraId="21971D91" w14:textId="77777777" w:rsidR="002E5BAD" w:rsidRDefault="002E5BAD" w:rsidP="002E5BAD">
      <w:pPr>
        <w:rPr>
          <w:rtl/>
        </w:rPr>
      </w:pPr>
    </w:p>
    <w:p w14:paraId="3D55FD85" w14:textId="77777777" w:rsidR="002E5BAD" w:rsidRDefault="002E5BAD" w:rsidP="002E5BAD">
      <w:pPr>
        <w:pStyle w:val="2"/>
        <w:rPr>
          <w:rtl/>
        </w:rPr>
      </w:pPr>
      <w:r>
        <w:rPr>
          <w:rtl/>
        </w:rPr>
        <w:t>סעיף טו</w:t>
      </w:r>
      <w:r>
        <w:rPr>
          <w:rFonts w:hint="cs"/>
          <w:rtl/>
        </w:rPr>
        <w:t xml:space="preserve">: </w:t>
      </w:r>
      <w:r w:rsidRPr="007A228B">
        <w:rPr>
          <w:rFonts w:cs="Arial"/>
          <w:rtl/>
        </w:rPr>
        <w:t>נפלו לה פירות תלושין</w:t>
      </w:r>
      <w:r>
        <w:rPr>
          <w:rFonts w:cs="Arial" w:hint="cs"/>
          <w:rtl/>
        </w:rPr>
        <w:t>/מחוברים</w:t>
      </w:r>
      <w:r>
        <w:rPr>
          <w:rFonts w:hint="cs"/>
          <w:rtl/>
        </w:rPr>
        <w:t>.</w:t>
      </w:r>
    </w:p>
    <w:p w14:paraId="26EBB9D9" w14:textId="77777777" w:rsidR="002E5BAD" w:rsidRDefault="002E5BAD" w:rsidP="002E5BAD">
      <w:pPr>
        <w:rPr>
          <w:sz w:val="16"/>
          <w:szCs w:val="16"/>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א</w:t>
      </w:r>
      <w:r w:rsidRPr="003C240D">
        <w:rPr>
          <w:rFonts w:cs="Arial" w:hint="cs"/>
          <w:b/>
          <w:bCs/>
          <w:rtl/>
        </w:rPr>
        <w:t xml:space="preserve">: </w:t>
      </w:r>
      <w:r w:rsidRPr="003C240D">
        <w:rPr>
          <w:rFonts w:cs="Arial"/>
          <w:u w:val="double"/>
          <w:rtl/>
        </w:rPr>
        <w:t>מתני</w:t>
      </w:r>
      <w:r w:rsidRPr="003C240D">
        <w:rPr>
          <w:rFonts w:cs="Arial" w:hint="cs"/>
          <w:u w:val="double"/>
          <w:rtl/>
        </w:rPr>
        <w:t>'</w:t>
      </w:r>
      <w:r>
        <w:rPr>
          <w:rFonts w:cs="Arial" w:hint="cs"/>
          <w:rtl/>
        </w:rPr>
        <w:t>:</w:t>
      </w:r>
      <w:r w:rsidRPr="00B53778">
        <w:rPr>
          <w:rFonts w:cs="Arial"/>
          <w:rtl/>
        </w:rPr>
        <w:t xml:space="preserve"> נפלו לה</w:t>
      </w:r>
      <w:r>
        <w:rPr>
          <w:rFonts w:cs="Arial" w:hint="cs"/>
          <w:rtl/>
        </w:rPr>
        <w:t>...</w:t>
      </w:r>
      <w:r w:rsidRPr="00B53778">
        <w:rPr>
          <w:rFonts w:cs="Arial"/>
          <w:rtl/>
        </w:rPr>
        <w:t xml:space="preserve"> פירות התלושין מן הקרקע - ילקח בהן קרקע והוא אוכל פירות</w:t>
      </w:r>
      <w:r>
        <w:rPr>
          <w:rFonts w:cs="Arial" w:hint="cs"/>
          <w:rtl/>
        </w:rPr>
        <w:t>.</w:t>
      </w:r>
      <w:r w:rsidRPr="00B53778">
        <w:rPr>
          <w:rFonts w:cs="Arial"/>
          <w:rtl/>
        </w:rPr>
        <w:t xml:space="preserve"> פירות המחוברים בקרקע</w:t>
      </w:r>
      <w:r>
        <w:rPr>
          <w:rFonts w:cs="Arial" w:hint="cs"/>
          <w:rtl/>
        </w:rPr>
        <w:t>,</w:t>
      </w:r>
      <w:r w:rsidRPr="00B53778">
        <w:rPr>
          <w:rFonts w:cs="Arial"/>
          <w:rtl/>
        </w:rPr>
        <w:t xml:space="preserve"> </w:t>
      </w:r>
      <w:r w:rsidRPr="00D04389">
        <w:rPr>
          <w:rFonts w:cs="Arial"/>
          <w:u w:val="single"/>
          <w:rtl/>
        </w:rPr>
        <w:t>א"ר מאיר</w:t>
      </w:r>
      <w:r w:rsidRPr="00B53778">
        <w:rPr>
          <w:rFonts w:cs="Arial"/>
          <w:rtl/>
        </w:rPr>
        <w:t>: שמין אותה כמה היא יפה בפירות וכמה היא יפה בלא פירות</w:t>
      </w:r>
      <w:r>
        <w:rPr>
          <w:rStyle w:val="a7"/>
          <w:rFonts w:cs="Arial"/>
          <w:rtl/>
        </w:rPr>
        <w:footnoteReference w:id="1741"/>
      </w:r>
      <w:r w:rsidRPr="00B53778">
        <w:rPr>
          <w:rFonts w:cs="Arial"/>
          <w:rtl/>
        </w:rPr>
        <w:t>, ומותר ילקח בהן קרקע והוא אוכל פירות</w:t>
      </w:r>
      <w:r>
        <w:rPr>
          <w:rFonts w:cs="Arial" w:hint="cs"/>
          <w:rtl/>
        </w:rPr>
        <w:t>.</w:t>
      </w:r>
      <w:r w:rsidRPr="00B53778">
        <w:rPr>
          <w:rFonts w:cs="Arial"/>
          <w:rtl/>
        </w:rPr>
        <w:t xml:space="preserve"> </w:t>
      </w:r>
      <w:r w:rsidRPr="00D04389">
        <w:rPr>
          <w:rFonts w:cs="Arial"/>
          <w:u w:val="single"/>
          <w:rtl/>
        </w:rPr>
        <w:t>וחכ"א</w:t>
      </w:r>
      <w:r>
        <w:rPr>
          <w:rStyle w:val="a7"/>
          <w:rFonts w:cs="Arial"/>
          <w:rtl/>
        </w:rPr>
        <w:footnoteReference w:id="1742"/>
      </w:r>
      <w:r w:rsidRPr="00B53778">
        <w:rPr>
          <w:rFonts w:cs="Arial"/>
          <w:rtl/>
        </w:rPr>
        <w:t>: המחוברים לקרקע - שלו, והתלושין מן הקרקע - שלה, וילקח בהן קרקע והוא אוכל פירות</w:t>
      </w:r>
      <w:r>
        <w:rPr>
          <w:rFonts w:cs="Arial" w:hint="cs"/>
          <w:rtl/>
        </w:rPr>
        <w:t>.</w:t>
      </w:r>
      <w:r w:rsidRPr="00B53778">
        <w:rPr>
          <w:rFonts w:cs="Arial"/>
          <w:rtl/>
        </w:rPr>
        <w:t xml:space="preserve"> </w:t>
      </w:r>
      <w:r w:rsidRPr="00D04389">
        <w:rPr>
          <w:rFonts w:cs="Arial"/>
          <w:u w:val="single"/>
          <w:rtl/>
        </w:rPr>
        <w:t>ר"ש אומר</w:t>
      </w:r>
      <w:r w:rsidRPr="00B53778">
        <w:rPr>
          <w:rFonts w:cs="Arial"/>
          <w:rtl/>
        </w:rPr>
        <w:t>: מקום שיפה כחו בכניסתה - הורע כחו ביציאתה, מקום שהורע כחו בכניסתה - יפה כחו ביציאתה, כיצד? פירות המחוברים לקרקע - בכניסתה שלו, וביציאתה שלה, והתלושין מן הקרקע - בכניסתה שלה, וביציאתה שלו.</w:t>
      </w:r>
      <w:r>
        <w:rPr>
          <w:rFonts w:hint="cs"/>
          <w:rtl/>
        </w:rPr>
        <w:t xml:space="preserve"> </w:t>
      </w:r>
      <w:r>
        <w:rPr>
          <w:rFonts w:hint="cs"/>
          <w:sz w:val="16"/>
          <w:szCs w:val="16"/>
          <w:rtl/>
        </w:rPr>
        <w:t>(והלכה כחמים)</w:t>
      </w:r>
    </w:p>
    <w:p w14:paraId="3C458E34" w14:textId="77777777" w:rsidR="002E5BAD" w:rsidRPr="00D04389" w:rsidRDefault="002E5BAD" w:rsidP="002E5BAD">
      <w:pPr>
        <w:rPr>
          <w:sz w:val="16"/>
          <w:szCs w:val="16"/>
          <w:u w:val="single"/>
          <w:rtl/>
        </w:rPr>
      </w:pPr>
      <w:r w:rsidRPr="00D04389">
        <w:rPr>
          <w:rFonts w:cs="Arial"/>
          <w:u w:val="single"/>
          <w:rtl/>
        </w:rPr>
        <w:t>נפלו לה פירות תלושין</w:t>
      </w:r>
      <w:r w:rsidRPr="00ED6597">
        <w:rPr>
          <w:rFonts w:cs="Arial" w:hint="cs"/>
          <w:u w:val="single"/>
          <w:rtl/>
        </w:rPr>
        <w:t>/מחוברים</w:t>
      </w:r>
      <w:r w:rsidRPr="00D04389">
        <w:rPr>
          <w:rFonts w:cs="Arial" w:hint="cs"/>
          <w:u w:val="single"/>
          <w:rtl/>
        </w:rPr>
        <w:t>:</w:t>
      </w:r>
    </w:p>
    <w:p w14:paraId="536D2899" w14:textId="77777777" w:rsidR="002E5BAD" w:rsidRDefault="002E5BAD" w:rsidP="002E5BAD">
      <w:pPr>
        <w:pStyle w:val="ab"/>
        <w:numPr>
          <w:ilvl w:val="0"/>
          <w:numId w:val="178"/>
        </w:numPr>
      </w:pPr>
      <w:r>
        <w:rPr>
          <w:rFonts w:cs="Arial" w:hint="cs"/>
          <w:rtl/>
        </w:rPr>
        <w:t>רמב"ם</w:t>
      </w:r>
      <w:r>
        <w:rPr>
          <w:rStyle w:val="a7"/>
          <w:rFonts w:cs="Arial"/>
          <w:rtl/>
        </w:rPr>
        <w:footnoteReference w:id="1743"/>
      </w:r>
      <w:r>
        <w:rPr>
          <w:rFonts w:cs="Arial" w:hint="cs"/>
          <w:rtl/>
        </w:rPr>
        <w:t xml:space="preserve"> </w:t>
      </w:r>
      <w:r>
        <w:rPr>
          <w:rFonts w:cs="Arial" w:hint="cs"/>
          <w:sz w:val="16"/>
          <w:szCs w:val="16"/>
          <w:rtl/>
        </w:rPr>
        <w:t>(פכ"ב מאישות הכ"ד)</w:t>
      </w:r>
      <w:r>
        <w:rPr>
          <w:rFonts w:cs="Arial" w:hint="cs"/>
          <w:rtl/>
        </w:rPr>
        <w:t xml:space="preserve"> וטור- </w:t>
      </w:r>
      <w:r w:rsidRPr="007A228B">
        <w:rPr>
          <w:rFonts w:cs="Arial"/>
          <w:rtl/>
        </w:rPr>
        <w:t xml:space="preserve">נפלו לה פירות תלושין </w:t>
      </w:r>
      <w:r>
        <w:rPr>
          <w:rFonts w:cs="Arial" w:hint="cs"/>
          <w:rtl/>
        </w:rPr>
        <w:t xml:space="preserve">- </w:t>
      </w:r>
      <w:r w:rsidRPr="007A228B">
        <w:rPr>
          <w:rFonts w:cs="Arial"/>
          <w:rtl/>
        </w:rPr>
        <w:t>דינם ככספים וימכרו וילקח בהן קרקע</w:t>
      </w:r>
      <w:r>
        <w:rPr>
          <w:rFonts w:cs="Arial" w:hint="cs"/>
          <w:rtl/>
        </w:rPr>
        <w:t>.</w:t>
      </w:r>
      <w:r w:rsidRPr="007A228B">
        <w:rPr>
          <w:rFonts w:cs="Arial"/>
          <w:rtl/>
        </w:rPr>
        <w:t xml:space="preserve"> נפלו לה פירות מחוברים </w:t>
      </w:r>
      <w:r>
        <w:rPr>
          <w:rFonts w:cs="Arial" w:hint="cs"/>
          <w:rtl/>
        </w:rPr>
        <w:t xml:space="preserve">- </w:t>
      </w:r>
      <w:r w:rsidRPr="007A228B">
        <w:rPr>
          <w:rFonts w:cs="Arial"/>
          <w:rtl/>
        </w:rPr>
        <w:t>הרי הן שלו</w:t>
      </w:r>
      <w:r>
        <w:rPr>
          <w:rFonts w:cs="Arial" w:hint="cs"/>
          <w:rtl/>
        </w:rPr>
        <w:t xml:space="preserve"> </w:t>
      </w:r>
      <w:r>
        <w:rPr>
          <w:rFonts w:cs="Arial" w:hint="cs"/>
          <w:sz w:val="16"/>
          <w:szCs w:val="16"/>
          <w:rtl/>
        </w:rPr>
        <w:t>(ל' הטור)</w:t>
      </w:r>
      <w:r>
        <w:rPr>
          <w:rFonts w:cs="Arial" w:hint="cs"/>
          <w:rtl/>
        </w:rPr>
        <w:t>.</w:t>
      </w:r>
      <w:r w:rsidRPr="007A228B">
        <w:rPr>
          <w:rFonts w:cs="Arial"/>
          <w:rtl/>
        </w:rPr>
        <w:t xml:space="preserve"> </w:t>
      </w:r>
      <w:r w:rsidRPr="00137671">
        <w:rPr>
          <w:rFonts w:hint="cs"/>
          <w:color w:val="E36C0A" w:themeColor="accent6" w:themeShade="BF"/>
          <w:rtl/>
        </w:rPr>
        <w:t>(וכ"פ בשו"ע)</w:t>
      </w:r>
    </w:p>
    <w:p w14:paraId="1DBB48E8" w14:textId="77777777" w:rsidR="002E5BAD" w:rsidRPr="00ED6597" w:rsidRDefault="002E5BAD" w:rsidP="002E5BAD">
      <w:pPr>
        <w:ind w:left="360"/>
        <w:rPr>
          <w:u w:val="dotted"/>
        </w:rPr>
      </w:pPr>
      <w:r w:rsidRPr="00ED6597">
        <w:rPr>
          <w:rFonts w:hint="cs"/>
          <w:u w:val="dotted"/>
          <w:rtl/>
        </w:rPr>
        <w:t>ומה הדין אם נפלו לה פירות מחוברים שעומדים ליקצר:</w:t>
      </w:r>
    </w:p>
    <w:p w14:paraId="34E89F29" w14:textId="77777777" w:rsidR="002E5BAD" w:rsidRPr="008C162E" w:rsidRDefault="002E5BAD" w:rsidP="002E5BAD">
      <w:pPr>
        <w:pStyle w:val="ab"/>
        <w:numPr>
          <w:ilvl w:val="0"/>
          <w:numId w:val="178"/>
        </w:numPr>
      </w:pPr>
      <w:r>
        <w:rPr>
          <w:rFonts w:cs="Arial"/>
          <w:rtl/>
        </w:rPr>
        <w:t xml:space="preserve">ה"ר יונה </w:t>
      </w:r>
      <w:r>
        <w:rPr>
          <w:rFonts w:cs="Arial" w:hint="cs"/>
          <w:sz w:val="16"/>
          <w:szCs w:val="16"/>
          <w:rtl/>
        </w:rPr>
        <w:t xml:space="preserve">(כ"כ הרא"ש [שם] בשמו) </w:t>
      </w:r>
      <w:r>
        <w:rPr>
          <w:rFonts w:cs="Arial"/>
          <w:rtl/>
        </w:rPr>
        <w:t xml:space="preserve">רא"ש </w:t>
      </w:r>
      <w:r w:rsidRPr="00D04389">
        <w:rPr>
          <w:rFonts w:cs="Arial"/>
          <w:sz w:val="16"/>
          <w:szCs w:val="16"/>
          <w:rtl/>
        </w:rPr>
        <w:t>(סו"ס ז)</w:t>
      </w:r>
      <w:r>
        <w:rPr>
          <w:rFonts w:cs="Arial" w:hint="cs"/>
          <w:rtl/>
        </w:rPr>
        <w:t xml:space="preserve"> וטור- </w:t>
      </w:r>
      <w:r w:rsidRPr="007A228B">
        <w:rPr>
          <w:rFonts w:cs="Arial"/>
          <w:rtl/>
        </w:rPr>
        <w:t>אפי' הגיע זמנו ליקצר</w:t>
      </w:r>
      <w:r>
        <w:rPr>
          <w:rStyle w:val="a7"/>
          <w:rFonts w:cs="Arial"/>
          <w:rtl/>
        </w:rPr>
        <w:footnoteReference w:id="1744"/>
      </w:r>
      <w:r>
        <w:rPr>
          <w:rFonts w:cs="Arial" w:hint="cs"/>
          <w:rtl/>
        </w:rPr>
        <w:t>,</w:t>
      </w:r>
      <w:r w:rsidRPr="007A228B">
        <w:rPr>
          <w:rFonts w:cs="Arial"/>
          <w:rtl/>
        </w:rPr>
        <w:t xml:space="preserve"> כיון שהן מחוברים זכה בהן</w:t>
      </w:r>
      <w:r>
        <w:rPr>
          <w:rFonts w:cs="Arial" w:hint="cs"/>
          <w:sz w:val="16"/>
          <w:szCs w:val="16"/>
          <w:rtl/>
        </w:rPr>
        <w:t xml:space="preserve"> (ל' הטור)</w:t>
      </w:r>
      <w:r>
        <w:rPr>
          <w:rFonts w:cs="Arial" w:hint="cs"/>
          <w:rtl/>
        </w:rPr>
        <w:t>.</w:t>
      </w:r>
      <w:r w:rsidRPr="008C162E">
        <w:rPr>
          <w:rFonts w:hint="cs"/>
          <w:color w:val="E36C0A" w:themeColor="accent6" w:themeShade="BF"/>
          <w:rtl/>
        </w:rPr>
        <w:t xml:space="preserve"> </w:t>
      </w:r>
      <w:r w:rsidRPr="00137671">
        <w:rPr>
          <w:rFonts w:hint="cs"/>
          <w:color w:val="E36C0A" w:themeColor="accent6" w:themeShade="BF"/>
          <w:rtl/>
        </w:rPr>
        <w:t>(וכ"פ בשו"ע)</w:t>
      </w:r>
    </w:p>
    <w:p w14:paraId="5B2EA82F"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7F6E712" w14:textId="77777777" w:rsidR="002E5BAD" w:rsidRDefault="002E5BAD" w:rsidP="002E5BAD">
      <w:pPr>
        <w:rPr>
          <w:rtl/>
        </w:rPr>
      </w:pPr>
      <w:r>
        <w:rPr>
          <w:rFonts w:cs="Arial"/>
          <w:rtl/>
        </w:rPr>
        <w:t>נפלו לה פירות המחוברים לקרקע, הרי אלו של בעל</w:t>
      </w:r>
      <w:r>
        <w:rPr>
          <w:rStyle w:val="a7"/>
          <w:rFonts w:cs="Arial"/>
          <w:rtl/>
        </w:rPr>
        <w:footnoteReference w:id="1745"/>
      </w:r>
      <w:r>
        <w:rPr>
          <w:rFonts w:cs="Arial" w:hint="cs"/>
          <w:rtl/>
        </w:rPr>
        <w:t>,</w:t>
      </w:r>
      <w:r>
        <w:rPr>
          <w:rFonts w:cs="Arial"/>
          <w:rtl/>
        </w:rPr>
        <w:t xml:space="preserve"> אפילו הגיע זמנן ליקצר</w:t>
      </w:r>
      <w:r>
        <w:rPr>
          <w:rStyle w:val="a7"/>
          <w:rFonts w:cs="Arial"/>
          <w:rtl/>
        </w:rPr>
        <w:footnoteReference w:id="1746"/>
      </w:r>
      <w:r>
        <w:rPr>
          <w:rFonts w:cs="Arial" w:hint="cs"/>
          <w:rtl/>
        </w:rPr>
        <w:t>.</w:t>
      </w:r>
      <w:r>
        <w:rPr>
          <w:rFonts w:cs="Arial"/>
          <w:rtl/>
        </w:rPr>
        <w:t xml:space="preserve"> </w:t>
      </w:r>
      <w:r>
        <w:rPr>
          <w:rStyle w:val="a7"/>
          <w:rFonts w:cs="Arial"/>
          <w:rtl/>
        </w:rPr>
        <w:footnoteReference w:id="1747"/>
      </w:r>
      <w:r>
        <w:rPr>
          <w:rFonts w:cs="Arial" w:hint="cs"/>
          <w:rtl/>
        </w:rPr>
        <w:t>[</w:t>
      </w:r>
      <w:r>
        <w:rPr>
          <w:rFonts w:cs="Arial"/>
          <w:rtl/>
        </w:rPr>
        <w:t>תל</w:t>
      </w:r>
      <w:r>
        <w:rPr>
          <w:rFonts w:cs="Arial" w:hint="cs"/>
          <w:rtl/>
        </w:rPr>
        <w:t>ו</w:t>
      </w:r>
      <w:r>
        <w:rPr>
          <w:rFonts w:cs="Arial"/>
          <w:rtl/>
        </w:rPr>
        <w:t>ש</w:t>
      </w:r>
      <w:r>
        <w:rPr>
          <w:rFonts w:cs="Arial" w:hint="cs"/>
          <w:rtl/>
        </w:rPr>
        <w:t>י</w:t>
      </w:r>
      <w:r>
        <w:rPr>
          <w:rFonts w:cs="Arial"/>
          <w:rtl/>
        </w:rPr>
        <w:t>ם</w:t>
      </w:r>
      <w:r>
        <w:rPr>
          <w:rFonts w:cs="Arial" w:hint="cs"/>
          <w:rtl/>
        </w:rPr>
        <w:t>]</w:t>
      </w:r>
      <w:r>
        <w:rPr>
          <w:rFonts w:cs="Arial"/>
          <w:rtl/>
        </w:rPr>
        <w:t xml:space="preserve"> מהקרקע</w:t>
      </w:r>
      <w:r>
        <w:rPr>
          <w:rFonts w:cs="Arial" w:hint="cs"/>
          <w:rtl/>
        </w:rPr>
        <w:t>,</w:t>
      </w:r>
      <w:r>
        <w:rPr>
          <w:rFonts w:cs="Arial"/>
          <w:rtl/>
        </w:rPr>
        <w:t xml:space="preserve"> שלה, וימכרו, וילקח בהם קרקע והוא אוכל פירות. </w:t>
      </w:r>
      <w:r w:rsidRPr="00F46615">
        <w:rPr>
          <w:rFonts w:cs="Arial"/>
          <w:sz w:val="18"/>
          <w:szCs w:val="18"/>
          <w:rtl/>
        </w:rPr>
        <w:t>הגה: זה אינו, דכל הפירות הנלקטים תחתיו הם שלו לגמרי</w:t>
      </w:r>
      <w:r>
        <w:rPr>
          <w:rFonts w:cs="Arial" w:hint="cs"/>
          <w:sz w:val="18"/>
          <w:szCs w:val="18"/>
          <w:rtl/>
        </w:rPr>
        <w:t>,</w:t>
      </w:r>
      <w:r w:rsidRPr="00F46615">
        <w:rPr>
          <w:rFonts w:cs="Arial"/>
          <w:sz w:val="18"/>
          <w:szCs w:val="18"/>
          <w:rtl/>
        </w:rPr>
        <w:t xml:space="preserve"> ואפשר דטעות נפל בספרים, וכך ראוי להיות: תלושין מן הקרקע הרי הם שלה, ובבא אחריתי היא, וכן הוא ברמב"ם פרק כ"ב דאישות</w:t>
      </w:r>
      <w:r>
        <w:rPr>
          <w:rFonts w:cs="Arial" w:hint="cs"/>
          <w:sz w:val="18"/>
          <w:szCs w:val="18"/>
          <w:rtl/>
        </w:rPr>
        <w:t>.</w:t>
      </w:r>
    </w:p>
    <w:p w14:paraId="460B68C4" w14:textId="77777777" w:rsidR="002E5BAD" w:rsidRDefault="002E5BAD" w:rsidP="002E5BAD">
      <w:pPr>
        <w:rPr>
          <w:rtl/>
        </w:rPr>
      </w:pPr>
    </w:p>
    <w:p w14:paraId="3EBF0F21" w14:textId="77777777" w:rsidR="002E5BAD" w:rsidRDefault="002E5BAD" w:rsidP="002E5BAD">
      <w:pPr>
        <w:pStyle w:val="2"/>
        <w:rPr>
          <w:rtl/>
        </w:rPr>
      </w:pPr>
      <w:r>
        <w:rPr>
          <w:rtl/>
        </w:rPr>
        <w:t>סעיף טז</w:t>
      </w:r>
      <w:r>
        <w:rPr>
          <w:rFonts w:hint="cs"/>
          <w:rtl/>
        </w:rPr>
        <w:t>: מזונות נכסי מלוג על הבעל, ודין ולדות נכסי מלוג.</w:t>
      </w:r>
    </w:p>
    <w:p w14:paraId="42B43C5B" w14:textId="77777777" w:rsidR="002E5BAD" w:rsidRPr="00FE2592" w:rsidRDefault="002E5BAD" w:rsidP="002E5BAD">
      <w:pPr>
        <w:rPr>
          <w:rFonts w:cs="Arial"/>
          <w:rtl/>
        </w:rPr>
      </w:pPr>
      <w:r w:rsidRPr="0059573B">
        <w:rPr>
          <w:rFonts w:cs="Arial" w:hint="cs"/>
          <w:b/>
          <w:bCs/>
          <w:rtl/>
        </w:rPr>
        <w:t xml:space="preserve">יבמות </w:t>
      </w:r>
      <w:r w:rsidRPr="0059573B">
        <w:rPr>
          <w:rFonts w:cs="Arial" w:hint="cs"/>
          <w:b/>
          <w:bCs/>
          <w:sz w:val="16"/>
          <w:szCs w:val="16"/>
          <w:rtl/>
        </w:rPr>
        <w:t xml:space="preserve">(ר"פ אלמנה לכהן גדול) </w:t>
      </w:r>
      <w:r w:rsidRPr="0059573B">
        <w:rPr>
          <w:rFonts w:cs="Arial" w:hint="cs"/>
          <w:b/>
          <w:bCs/>
          <w:rtl/>
        </w:rPr>
        <w:t xml:space="preserve">סו ע"א: </w:t>
      </w:r>
      <w:r w:rsidRPr="0059573B">
        <w:rPr>
          <w:rFonts w:cs="Arial"/>
          <w:u w:val="double"/>
          <w:rtl/>
        </w:rPr>
        <w:t>מתני'</w:t>
      </w:r>
      <w:r>
        <w:rPr>
          <w:rFonts w:cs="Arial" w:hint="cs"/>
          <w:rtl/>
        </w:rPr>
        <w:t xml:space="preserve">:... </w:t>
      </w:r>
      <w:r w:rsidRPr="0059573B">
        <w:rPr>
          <w:rFonts w:cs="Arial"/>
          <w:rtl/>
        </w:rPr>
        <w:t>הכניסה לו עבדי מלוג ועבדי צאן ברזל</w:t>
      </w:r>
      <w:r>
        <w:rPr>
          <w:rFonts w:cs="Arial" w:hint="cs"/>
          <w:rtl/>
        </w:rPr>
        <w:t>..</w:t>
      </w:r>
      <w:r w:rsidRPr="0059573B">
        <w:rPr>
          <w:rFonts w:cs="Arial"/>
          <w:rtl/>
        </w:rPr>
        <w:t>. ואלו הן עבדי מלוג: אם מתו - מתו לה, ואם הותירו - הותירו לה, אף על פי שהוא חייב במזונותן</w:t>
      </w:r>
      <w:r>
        <w:rPr>
          <w:rStyle w:val="a7"/>
          <w:rFonts w:cs="Arial"/>
          <w:rtl/>
        </w:rPr>
        <w:footnoteReference w:id="1748"/>
      </w:r>
      <w:r w:rsidRPr="0059573B">
        <w:rPr>
          <w:rFonts w:cs="Arial"/>
          <w:rtl/>
        </w:rPr>
        <w:t xml:space="preserve"> - הרי אלו לא יאכלו בתרומה.</w:t>
      </w:r>
      <w:r>
        <w:rPr>
          <w:rFonts w:cs="Arial" w:hint="cs"/>
          <w:rtl/>
        </w:rPr>
        <w:t>.</w:t>
      </w:r>
      <w:r w:rsidRPr="0059573B">
        <w:rPr>
          <w:rFonts w:cs="Arial"/>
          <w:rtl/>
        </w:rPr>
        <w:t>.</w:t>
      </w:r>
    </w:p>
    <w:p w14:paraId="177C40F5" w14:textId="77777777" w:rsidR="002E5BAD" w:rsidRPr="0059573B" w:rsidRDefault="002E5BAD" w:rsidP="002E5BAD">
      <w:pPr>
        <w:rPr>
          <w:u w:val="single"/>
          <w:rtl/>
        </w:rPr>
      </w:pPr>
      <w:r w:rsidRPr="0059573B">
        <w:rPr>
          <w:rFonts w:hint="cs"/>
          <w:u w:val="single"/>
          <w:rtl/>
        </w:rPr>
        <w:t>מזונות נכסי מלוג על הבעל:</w:t>
      </w:r>
    </w:p>
    <w:p w14:paraId="14D4BEF0" w14:textId="77777777" w:rsidR="002E5BAD" w:rsidRPr="00730490" w:rsidRDefault="002E5BAD" w:rsidP="002E5BAD">
      <w:pPr>
        <w:pStyle w:val="ab"/>
        <w:numPr>
          <w:ilvl w:val="0"/>
          <w:numId w:val="178"/>
        </w:numPr>
      </w:pPr>
      <w:r>
        <w:rPr>
          <w:rFonts w:cs="Arial" w:hint="cs"/>
          <w:rtl/>
        </w:rPr>
        <w:lastRenderedPageBreak/>
        <w:t xml:space="preserve">טור- </w:t>
      </w:r>
      <w:r w:rsidRPr="007A228B">
        <w:rPr>
          <w:rFonts w:cs="Arial"/>
          <w:rtl/>
        </w:rPr>
        <w:t>עבדים ושפחות ובהמות של נכסי מלוג הבעל חייב במזונותיהם</w:t>
      </w:r>
      <w:r>
        <w:rPr>
          <w:rFonts w:cs="Arial" w:hint="cs"/>
          <w:rtl/>
        </w:rPr>
        <w:t>.</w:t>
      </w:r>
      <w:r w:rsidRPr="007A228B">
        <w:rPr>
          <w:rFonts w:cs="Arial"/>
          <w:rtl/>
        </w:rPr>
        <w:t xml:space="preserve"> </w:t>
      </w:r>
    </w:p>
    <w:p w14:paraId="40ADBF0D" w14:textId="77777777" w:rsidR="002E5BAD" w:rsidRDefault="002E5BAD" w:rsidP="002E5BAD">
      <w:pPr>
        <w:rPr>
          <w:rtl/>
        </w:rPr>
      </w:pPr>
      <w:r w:rsidRPr="003C240D">
        <w:rPr>
          <w:rFonts w:cs="Arial" w:hint="cs"/>
          <w:b/>
          <w:bCs/>
          <w:rtl/>
        </w:rPr>
        <w:t xml:space="preserve">כתובות </w:t>
      </w:r>
      <w:r>
        <w:rPr>
          <w:rFonts w:cs="Arial" w:hint="cs"/>
          <w:b/>
          <w:bCs/>
          <w:sz w:val="16"/>
          <w:szCs w:val="16"/>
          <w:rtl/>
        </w:rPr>
        <w:t xml:space="preserve">(ר"פ הכותב) </w:t>
      </w:r>
      <w:r>
        <w:rPr>
          <w:rFonts w:cs="Arial" w:hint="cs"/>
          <w:b/>
          <w:bCs/>
          <w:rtl/>
        </w:rPr>
        <w:t>פג</w:t>
      </w:r>
      <w:r w:rsidRPr="003C240D">
        <w:rPr>
          <w:rFonts w:cs="Arial" w:hint="cs"/>
          <w:b/>
          <w:bCs/>
          <w:rtl/>
        </w:rPr>
        <w:t xml:space="preserve"> ע"</w:t>
      </w:r>
      <w:r>
        <w:rPr>
          <w:rFonts w:cs="Arial" w:hint="cs"/>
          <w:b/>
          <w:bCs/>
          <w:rtl/>
        </w:rPr>
        <w:t>א</w:t>
      </w:r>
      <w:r w:rsidRPr="003C240D">
        <w:rPr>
          <w:rFonts w:cs="Arial" w:hint="cs"/>
          <w:b/>
          <w:bCs/>
          <w:rtl/>
        </w:rPr>
        <w:t>:</w:t>
      </w:r>
      <w:r>
        <w:rPr>
          <w:rFonts w:cs="Arial" w:hint="cs"/>
          <w:b/>
          <w:bCs/>
          <w:rtl/>
        </w:rPr>
        <w:t xml:space="preserve"> </w:t>
      </w:r>
      <w:r w:rsidRPr="0059573B">
        <w:rPr>
          <w:rFonts w:cs="Arial"/>
          <w:u w:val="double"/>
          <w:rtl/>
        </w:rPr>
        <w:t>מתני'</w:t>
      </w:r>
      <w:r>
        <w:rPr>
          <w:rFonts w:cs="Arial" w:hint="cs"/>
          <w:rtl/>
        </w:rPr>
        <w:t>:</w:t>
      </w:r>
      <w:r w:rsidRPr="00716D27">
        <w:rPr>
          <w:rFonts w:cs="Arial"/>
          <w:rtl/>
        </w:rPr>
        <w:t xml:space="preserve"> הכותב לאשתו</w:t>
      </w:r>
      <w:r>
        <w:rPr>
          <w:rFonts w:cs="Arial" w:hint="cs"/>
          <w:rtl/>
        </w:rPr>
        <w:t>...</w:t>
      </w:r>
      <w:r w:rsidRPr="00716D27">
        <w:rPr>
          <w:rFonts w:cs="Arial"/>
          <w:rtl/>
        </w:rPr>
        <w:t>. כתב לה דין ודברים אין לי בנכסיך ובפירותיהן - הרי זה אינו אוכל פירות בחייה, ואם מתה - יורשה</w:t>
      </w:r>
      <w:r>
        <w:rPr>
          <w:rFonts w:cs="Arial" w:hint="cs"/>
          <w:rtl/>
        </w:rPr>
        <w:t>.</w:t>
      </w:r>
      <w:r w:rsidRPr="00716D27">
        <w:rPr>
          <w:rFonts w:cs="Arial"/>
          <w:rtl/>
        </w:rPr>
        <w:t xml:space="preserve"> </w:t>
      </w:r>
      <w:r w:rsidRPr="00716D27">
        <w:rPr>
          <w:rFonts w:cs="Arial"/>
          <w:u w:val="single"/>
          <w:rtl/>
        </w:rPr>
        <w:t>ר' יהודה אומר</w:t>
      </w:r>
      <w:r w:rsidRPr="00716D27">
        <w:rPr>
          <w:rFonts w:cs="Arial"/>
          <w:rtl/>
        </w:rPr>
        <w:t>: לעולם אוכל פירי פירות, עד שיכתוב לה דין ודברים אין לי בנכסיך ובפירותיהן ובפירי פירותיהן עד עולם.</w:t>
      </w:r>
      <w:r w:rsidRPr="00A018DD">
        <w:rPr>
          <w:rtl/>
        </w:rPr>
        <w:t xml:space="preserve"> </w:t>
      </w:r>
      <w:r>
        <w:rPr>
          <w:rFonts w:hint="cs"/>
          <w:rtl/>
        </w:rPr>
        <w:t xml:space="preserve">     </w:t>
      </w:r>
      <w:r w:rsidRPr="00A018DD">
        <w:rPr>
          <w:rFonts w:hint="cs"/>
          <w:u w:val="double"/>
          <w:rtl/>
        </w:rPr>
        <w:t>גמ'</w:t>
      </w:r>
      <w:r>
        <w:rPr>
          <w:rFonts w:hint="cs"/>
          <w:sz w:val="14"/>
          <w:szCs w:val="14"/>
          <w:u w:val="double"/>
          <w:rtl/>
        </w:rPr>
        <w:t>(פג:)</w:t>
      </w:r>
      <w:r w:rsidRPr="00A018DD">
        <w:rPr>
          <w:rFonts w:hint="cs"/>
          <w:u w:val="double"/>
          <w:rtl/>
        </w:rPr>
        <w:t>:</w:t>
      </w:r>
      <w:r>
        <w:rPr>
          <w:rFonts w:hint="cs"/>
          <w:rtl/>
        </w:rPr>
        <w:t xml:space="preserve"> </w:t>
      </w:r>
      <w:r w:rsidRPr="00A018DD">
        <w:rPr>
          <w:rFonts w:cs="Arial"/>
          <w:rtl/>
        </w:rPr>
        <w:t>רבי יהודה אומר: לעולם הוא אוכל פירי פירות. תנו רבנן: אלו הן פירות, ואלו הן פירי פירות? הכניסה לו קרקע ועשתה פירות - הרי הן פירות, מכר פירות ולקח מהן קרקע ועשתה פירות - הרי הן פירי פירות.</w:t>
      </w:r>
    </w:p>
    <w:p w14:paraId="64872299" w14:textId="77777777" w:rsidR="002E5BAD" w:rsidRDefault="002E5BAD" w:rsidP="002E5BAD">
      <w:pPr>
        <w:rPr>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א</w:t>
      </w:r>
      <w:r w:rsidRPr="003C240D">
        <w:rPr>
          <w:rFonts w:cs="Arial" w:hint="cs"/>
          <w:b/>
          <w:bCs/>
          <w:rtl/>
        </w:rPr>
        <w:t xml:space="preserve">: </w:t>
      </w:r>
      <w:r w:rsidRPr="009905B5">
        <w:rPr>
          <w:rFonts w:cs="Arial"/>
          <w:u w:val="single"/>
          <w:rtl/>
        </w:rPr>
        <w:t>א"ר זירא א"ר אושעיא אמר ר' ינאי</w:t>
      </w:r>
      <w:r>
        <w:rPr>
          <w:rFonts w:cs="Arial" w:hint="cs"/>
          <w:rtl/>
        </w:rPr>
        <w:t>,</w:t>
      </w:r>
      <w:r w:rsidRPr="009905B5">
        <w:rPr>
          <w:rFonts w:cs="Arial"/>
          <w:rtl/>
        </w:rPr>
        <w:t xml:space="preserve"> ואמרי לה</w:t>
      </w:r>
      <w:r>
        <w:rPr>
          <w:rFonts w:cs="Arial" w:hint="cs"/>
          <w:rtl/>
        </w:rPr>
        <w:t>,</w:t>
      </w:r>
      <w:r w:rsidRPr="009905B5">
        <w:rPr>
          <w:rFonts w:cs="Arial"/>
          <w:rtl/>
        </w:rPr>
        <w:t xml:space="preserve"> </w:t>
      </w:r>
      <w:r w:rsidRPr="009905B5">
        <w:rPr>
          <w:rFonts w:cs="Arial"/>
          <w:u w:val="single"/>
          <w:rtl/>
        </w:rPr>
        <w:t>אמר ר' אבא א"ר אושעיא א"ר ינאי</w:t>
      </w:r>
      <w:r w:rsidRPr="009905B5">
        <w:rPr>
          <w:rFonts w:cs="Arial"/>
          <w:rtl/>
        </w:rPr>
        <w:t>: הגונב</w:t>
      </w:r>
      <w:r>
        <w:rPr>
          <w:rFonts w:cs="Arial" w:hint="cs"/>
          <w:sz w:val="14"/>
          <w:szCs w:val="14"/>
          <w:rtl/>
        </w:rPr>
        <w:t xml:space="preserve"> (עט:)</w:t>
      </w:r>
      <w:r w:rsidRPr="009905B5">
        <w:rPr>
          <w:rtl/>
        </w:rPr>
        <w:t xml:space="preserve"> </w:t>
      </w:r>
      <w:r w:rsidRPr="009905B5">
        <w:rPr>
          <w:rFonts w:cs="Arial"/>
          <w:rtl/>
        </w:rPr>
        <w:t>ולד בהמת מלוג - משלם תשלומי כפל לאשה. כמאן? לא כרבנן ולא כחנניה! דתניא: ולד בהמת מלוג - לבעל, ולד שפחת מלוג - לאשה</w:t>
      </w:r>
      <w:r>
        <w:rPr>
          <w:rFonts w:cs="Arial" w:hint="cs"/>
          <w:rtl/>
        </w:rPr>
        <w:t>.</w:t>
      </w:r>
      <w:r w:rsidRPr="009905B5">
        <w:rPr>
          <w:rFonts w:cs="Arial"/>
          <w:rtl/>
        </w:rPr>
        <w:t xml:space="preserve"> </w:t>
      </w:r>
      <w:r w:rsidRPr="00730490">
        <w:rPr>
          <w:rFonts w:cs="Arial"/>
          <w:u w:val="single"/>
          <w:rtl/>
        </w:rPr>
        <w:t>וחנניה בן אחי יאשיה אמר</w:t>
      </w:r>
      <w:r w:rsidRPr="009905B5">
        <w:rPr>
          <w:rFonts w:cs="Arial"/>
          <w:rtl/>
        </w:rPr>
        <w:t>: עשו ולד שפחת מלוג כולד בהמת מלוג! אפי' תימא דברי הכל, פירא תקינו ליה רבנן, פירא דפירא לא תקינו ליה רבנן</w:t>
      </w:r>
      <w:r w:rsidRPr="00730490">
        <w:rPr>
          <w:rFonts w:cs="Arial"/>
          <w:rtl/>
        </w:rPr>
        <w:t>.</w:t>
      </w:r>
    </w:p>
    <w:p w14:paraId="2F472F5C" w14:textId="77777777" w:rsidR="002E5BAD" w:rsidRDefault="002E5BAD" w:rsidP="002E5BAD">
      <w:pPr>
        <w:rPr>
          <w:rtl/>
        </w:rPr>
      </w:pPr>
      <w:r>
        <w:rPr>
          <w:rFonts w:cs="Arial" w:hint="cs"/>
          <w:b/>
          <w:bCs/>
          <w:rtl/>
        </w:rPr>
        <w:t xml:space="preserve">בבא קמא </w:t>
      </w:r>
      <w:r>
        <w:rPr>
          <w:rFonts w:cs="Arial" w:hint="cs"/>
          <w:b/>
          <w:bCs/>
          <w:sz w:val="16"/>
          <w:szCs w:val="16"/>
          <w:rtl/>
        </w:rPr>
        <w:t xml:space="preserve">(פ' החובל) </w:t>
      </w:r>
      <w:r>
        <w:rPr>
          <w:rFonts w:cs="Arial" w:hint="cs"/>
          <w:b/>
          <w:bCs/>
          <w:rtl/>
        </w:rPr>
        <w:t xml:space="preserve">פט ע"א: </w:t>
      </w:r>
      <w:r w:rsidRPr="005C2DC9">
        <w:rPr>
          <w:rFonts w:cs="Arial"/>
          <w:rtl/>
        </w:rPr>
        <w:t>איזהו טובת הנאת כתובתה? אומדין כמה אדם רוצה ליתן בכתובה של זו שאם נתארמלה או נתגרשה, ואם מתה יירשנה בעלה</w:t>
      </w:r>
      <w:r>
        <w:rPr>
          <w:rFonts w:cs="Arial" w:hint="cs"/>
          <w:rtl/>
        </w:rPr>
        <w:t>...</w:t>
      </w:r>
      <w:r w:rsidRPr="005C2DC9">
        <w:rPr>
          <w:rFonts w:cs="Arial"/>
          <w:rtl/>
        </w:rPr>
        <w:t xml:space="preserve"> </w:t>
      </w:r>
      <w:r w:rsidRPr="005C2DC9">
        <w:rPr>
          <w:rFonts w:cs="Arial"/>
          <w:u w:val="single"/>
          <w:rtl/>
        </w:rPr>
        <w:t>אמר אביי</w:t>
      </w:r>
      <w:r w:rsidRPr="005C2DC9">
        <w:rPr>
          <w:rFonts w:cs="Arial"/>
          <w:rtl/>
        </w:rPr>
        <w:t>: טובת הנאה הואיל ואתא לידן, נימא בה מילתא: טובת הנאה לאשה הויא</w:t>
      </w:r>
      <w:r>
        <w:rPr>
          <w:rFonts w:cs="Arial" w:hint="cs"/>
          <w:rtl/>
        </w:rPr>
        <w:t>..</w:t>
      </w:r>
      <w:r w:rsidRPr="005C2DC9">
        <w:rPr>
          <w:rFonts w:cs="Arial"/>
          <w:rtl/>
        </w:rPr>
        <w:t xml:space="preserve">. </w:t>
      </w:r>
      <w:r w:rsidRPr="005C2DC9">
        <w:rPr>
          <w:rFonts w:cs="Arial"/>
          <w:u w:val="single"/>
          <w:rtl/>
        </w:rPr>
        <w:t>אמר רבא</w:t>
      </w:r>
      <w:r>
        <w:rPr>
          <w:rFonts w:cs="Arial" w:hint="cs"/>
          <w:rtl/>
        </w:rPr>
        <w:t>:</w:t>
      </w:r>
      <w:r w:rsidRPr="005C2DC9">
        <w:rPr>
          <w:rFonts w:cs="Arial"/>
          <w:rtl/>
        </w:rPr>
        <w:t xml:space="preserve"> הלכתא</w:t>
      </w:r>
      <w:r>
        <w:rPr>
          <w:rFonts w:cs="Arial" w:hint="cs"/>
          <w:rtl/>
        </w:rPr>
        <w:t>,</w:t>
      </w:r>
      <w:r w:rsidRPr="005C2DC9">
        <w:rPr>
          <w:rFonts w:cs="Arial"/>
          <w:rtl/>
        </w:rPr>
        <w:t xml:space="preserve"> טובת הנאה לאשה, ואין הבעל אוכל פירות; מאי טעמא? פירא תקינו ליה רבנן, פירא דפירא לא תקינו ליה רבנן.</w:t>
      </w:r>
    </w:p>
    <w:p w14:paraId="58F0A5DA" w14:textId="77777777" w:rsidR="002E5BAD" w:rsidRPr="000F2C8D" w:rsidRDefault="002E5BAD" w:rsidP="002E5BAD">
      <w:pPr>
        <w:rPr>
          <w:u w:val="single"/>
          <w:rtl/>
        </w:rPr>
      </w:pPr>
      <w:r>
        <w:rPr>
          <w:rFonts w:hint="cs"/>
          <w:u w:val="single"/>
          <w:rtl/>
        </w:rPr>
        <w:t>קשה, ד</w:t>
      </w:r>
      <w:r w:rsidRPr="000F2C8D">
        <w:rPr>
          <w:rFonts w:hint="cs"/>
          <w:u w:val="single"/>
          <w:rtl/>
        </w:rPr>
        <w:t xml:space="preserve">בר"פ הכותב </w:t>
      </w:r>
      <w:r w:rsidRPr="000F2C8D">
        <w:rPr>
          <w:rFonts w:hint="cs"/>
          <w:sz w:val="16"/>
          <w:szCs w:val="16"/>
          <w:u w:val="single"/>
          <w:rtl/>
        </w:rPr>
        <w:t xml:space="preserve">(כתובות פג.-פג:) </w:t>
      </w:r>
      <w:r w:rsidRPr="000F2C8D">
        <w:rPr>
          <w:rFonts w:hint="cs"/>
          <w:u w:val="single"/>
          <w:rtl/>
        </w:rPr>
        <w:t>מבואר שיש לבעל פירי פירות דנכסי מלוג</w:t>
      </w:r>
      <w:r>
        <w:rPr>
          <w:rFonts w:hint="cs"/>
          <w:u w:val="single"/>
          <w:rtl/>
        </w:rPr>
        <w:t>,</w:t>
      </w:r>
      <w:r w:rsidRPr="000F2C8D">
        <w:rPr>
          <w:rFonts w:hint="cs"/>
          <w:u w:val="single"/>
          <w:rtl/>
        </w:rPr>
        <w:t xml:space="preserve"> ובפ' האשה </w:t>
      </w:r>
      <w:r w:rsidRPr="000F2C8D">
        <w:rPr>
          <w:rFonts w:hint="cs"/>
          <w:sz w:val="16"/>
          <w:szCs w:val="16"/>
          <w:u w:val="single"/>
          <w:rtl/>
        </w:rPr>
        <w:t xml:space="preserve">(שם עט.) </w:t>
      </w:r>
      <w:r w:rsidRPr="000F2C8D">
        <w:rPr>
          <w:rFonts w:hint="cs"/>
          <w:u w:val="single"/>
          <w:rtl/>
        </w:rPr>
        <w:t>מבואר שאין לו:</w:t>
      </w:r>
    </w:p>
    <w:p w14:paraId="23177656" w14:textId="77777777" w:rsidR="002E5BAD" w:rsidRDefault="002E5BAD" w:rsidP="002E5BAD">
      <w:pPr>
        <w:pStyle w:val="ab"/>
        <w:numPr>
          <w:ilvl w:val="0"/>
          <w:numId w:val="178"/>
        </w:numPr>
        <w:rPr>
          <w:rtl/>
        </w:rPr>
      </w:pPr>
      <w:r w:rsidRPr="000F2C8D">
        <w:rPr>
          <w:rFonts w:cs="Arial" w:hint="cs"/>
          <w:rtl/>
        </w:rPr>
        <w:t>רי"ף</w:t>
      </w:r>
      <w:r w:rsidRPr="000F2C8D">
        <w:rPr>
          <w:rFonts w:cs="Arial" w:hint="cs"/>
          <w:sz w:val="16"/>
          <w:szCs w:val="16"/>
          <w:rtl/>
        </w:rPr>
        <w:t xml:space="preserve"> (לו:)</w:t>
      </w:r>
      <w:r>
        <w:rPr>
          <w:rFonts w:hint="cs"/>
          <w:rtl/>
        </w:rPr>
        <w:t xml:space="preserve">- </w:t>
      </w:r>
      <w:r w:rsidRPr="00A018DD">
        <w:rPr>
          <w:rFonts w:cs="Arial"/>
          <w:rtl/>
        </w:rPr>
        <w:t>אמר רבי זירא א"ר ינאי ואמרי לה א"ר זירא א"ר אושעיא א"ר ינאי הגונב ולד בהמת נכסי מלוג משלם תשלומי כפל לאשה לדברי הכל מאי טעמא פירא תקינו ליה רבנן פירא דפירא לא תקינו ליה רבנן</w:t>
      </w:r>
      <w:r>
        <w:rPr>
          <w:rFonts w:cs="Arial" w:hint="cs"/>
          <w:rtl/>
        </w:rPr>
        <w:t>.</w:t>
      </w:r>
      <w:r w:rsidRPr="00A018DD">
        <w:rPr>
          <w:rFonts w:cs="Arial"/>
          <w:rtl/>
        </w:rPr>
        <w:t xml:space="preserve"> ואי קשיא לך הא דתנן ר' יהודה אומר לעולם הוא אוכל פירות וכו' ות"ר אלו הן פירות ואלו הן פירי פירות הכניסה לו קרקע ועשתה לו פירות הרי הן פירות מכר פירות ולקח בהן קרקע ועשה פירות הן הן פירי פירות דאלמא יש לבעל פירי פירות והכא אמרינן פירי תקינו ליה רבנן פירא דפירא לא תקינו ליה רבנן</w:t>
      </w:r>
      <w:r>
        <w:rPr>
          <w:rFonts w:cs="Arial" w:hint="cs"/>
          <w:rtl/>
        </w:rPr>
        <w:t>,</w:t>
      </w:r>
      <w:r w:rsidRPr="00A018DD">
        <w:rPr>
          <w:rFonts w:cs="Arial"/>
          <w:rtl/>
        </w:rPr>
        <w:t xml:space="preserve"> לא קשיא</w:t>
      </w:r>
      <w:r>
        <w:rPr>
          <w:rFonts w:cs="Arial" w:hint="cs"/>
          <w:rtl/>
        </w:rPr>
        <w:t>,</w:t>
      </w:r>
      <w:r w:rsidRPr="00A018DD">
        <w:rPr>
          <w:rFonts w:cs="Arial"/>
          <w:rtl/>
        </w:rPr>
        <w:t xml:space="preserve"> שאני הכא דקא שקיל ליה לפירא גופיה</w:t>
      </w:r>
      <w:r>
        <w:rPr>
          <w:rFonts w:cs="Arial" w:hint="cs"/>
          <w:rtl/>
        </w:rPr>
        <w:t>,</w:t>
      </w:r>
      <w:r w:rsidRPr="00A018DD">
        <w:rPr>
          <w:rFonts w:cs="Arial"/>
          <w:rtl/>
        </w:rPr>
        <w:t xml:space="preserve"> ומש"ה לא שקיל ליה לכפל דה"ל פירא דפירא</w:t>
      </w:r>
      <w:r>
        <w:rPr>
          <w:rFonts w:cs="Arial" w:hint="cs"/>
          <w:rtl/>
        </w:rPr>
        <w:t>.</w:t>
      </w:r>
      <w:r w:rsidRPr="00A018DD">
        <w:rPr>
          <w:rFonts w:cs="Arial"/>
          <w:rtl/>
        </w:rPr>
        <w:t xml:space="preserve"> אבל היכא דזבין ליה לפירי וזבין בהו ארעא</w:t>
      </w:r>
      <w:r>
        <w:rPr>
          <w:rFonts w:cs="Arial" w:hint="cs"/>
          <w:rtl/>
        </w:rPr>
        <w:t>,</w:t>
      </w:r>
      <w:r w:rsidRPr="00A018DD">
        <w:rPr>
          <w:rFonts w:cs="Arial"/>
          <w:rtl/>
        </w:rPr>
        <w:t xml:space="preserve"> אי לא שקיל לפירא אשתכח דלא שקיל לא פירא ולא פירא דפירא</w:t>
      </w:r>
      <w:r>
        <w:rPr>
          <w:rFonts w:cs="Arial" w:hint="cs"/>
          <w:rtl/>
        </w:rPr>
        <w:t>.</w:t>
      </w:r>
      <w:r w:rsidRPr="00A018DD">
        <w:rPr>
          <w:rFonts w:cs="Arial"/>
          <w:rtl/>
        </w:rPr>
        <w:t xml:space="preserve"> הילכך שקיל להו פירא דפירא</w:t>
      </w:r>
      <w:r>
        <w:rPr>
          <w:rFonts w:cs="Arial" w:hint="cs"/>
          <w:rtl/>
        </w:rPr>
        <w:t>,</w:t>
      </w:r>
      <w:r w:rsidRPr="00A018DD">
        <w:rPr>
          <w:rFonts w:cs="Arial"/>
          <w:rtl/>
        </w:rPr>
        <w:t xml:space="preserve"> דבמקום פירא קיימי</w:t>
      </w:r>
      <w:r>
        <w:rPr>
          <w:rFonts w:cs="Arial" w:hint="cs"/>
          <w:rtl/>
        </w:rPr>
        <w:t>.</w:t>
      </w:r>
    </w:p>
    <w:p w14:paraId="5623886C" w14:textId="77777777" w:rsidR="002E5BAD" w:rsidRPr="000F2C8D" w:rsidRDefault="002E5BAD" w:rsidP="002E5BAD">
      <w:pPr>
        <w:pStyle w:val="ab"/>
        <w:numPr>
          <w:ilvl w:val="0"/>
          <w:numId w:val="178"/>
        </w:numPr>
        <w:rPr>
          <w:rtl/>
        </w:rPr>
      </w:pPr>
      <w:r w:rsidRPr="000F2C8D">
        <w:rPr>
          <w:rFonts w:cs="Arial" w:hint="cs"/>
          <w:rtl/>
        </w:rPr>
        <w:t>תוס'</w:t>
      </w:r>
      <w:r>
        <w:rPr>
          <w:rStyle w:val="a7"/>
          <w:rFonts w:cs="Arial"/>
          <w:rtl/>
        </w:rPr>
        <w:footnoteReference w:id="1749"/>
      </w:r>
      <w:r w:rsidRPr="000F2C8D">
        <w:rPr>
          <w:rFonts w:cs="Arial" w:hint="cs"/>
          <w:rtl/>
        </w:rPr>
        <w:t xml:space="preserve"> </w:t>
      </w:r>
      <w:r w:rsidRPr="000F2C8D">
        <w:rPr>
          <w:rFonts w:cs="Arial" w:hint="cs"/>
          <w:sz w:val="16"/>
          <w:szCs w:val="16"/>
          <w:rtl/>
        </w:rPr>
        <w:t>(כתובות עט: ד"ה פירא דפירא)</w:t>
      </w:r>
      <w:r>
        <w:rPr>
          <w:rFonts w:cs="Arial" w:hint="cs"/>
          <w:rtl/>
        </w:rPr>
        <w:t xml:space="preserve"> ו</w:t>
      </w:r>
      <w:r w:rsidRPr="000F2C8D">
        <w:rPr>
          <w:rFonts w:cs="Arial"/>
          <w:rtl/>
        </w:rPr>
        <w:t xml:space="preserve">רא"ש </w:t>
      </w:r>
      <w:r w:rsidRPr="000F2C8D">
        <w:rPr>
          <w:rFonts w:cs="Arial"/>
          <w:sz w:val="16"/>
          <w:szCs w:val="16"/>
          <w:rtl/>
        </w:rPr>
        <w:t>(סי' ו)</w:t>
      </w:r>
      <w:r>
        <w:rPr>
          <w:rFonts w:cs="Arial" w:hint="cs"/>
          <w:rtl/>
        </w:rPr>
        <w:t xml:space="preserve">- </w:t>
      </w:r>
      <w:r w:rsidRPr="000F2C8D">
        <w:rPr>
          <w:rFonts w:cs="Arial"/>
          <w:rtl/>
        </w:rPr>
        <w:t>אמר ר' זירא אמר ר' אושעיא אמר ר' ינאי הגונב ולד בהמת מלוג משלם הכפל לאשה לדברי הכל. מ"ט</w:t>
      </w:r>
      <w:r>
        <w:rPr>
          <w:rFonts w:cs="Arial" w:hint="cs"/>
          <w:rtl/>
        </w:rPr>
        <w:t>,</w:t>
      </w:r>
      <w:r w:rsidRPr="000F2C8D">
        <w:rPr>
          <w:rFonts w:cs="Arial"/>
          <w:rtl/>
        </w:rPr>
        <w:t xml:space="preserve"> פירא תקינו ליה רבנן</w:t>
      </w:r>
      <w:r>
        <w:rPr>
          <w:rFonts w:cs="Arial" w:hint="cs"/>
          <w:rtl/>
        </w:rPr>
        <w:t>,</w:t>
      </w:r>
      <w:r w:rsidRPr="000F2C8D">
        <w:rPr>
          <w:rFonts w:cs="Arial"/>
          <w:rtl/>
        </w:rPr>
        <w:t xml:space="preserve"> פירי דפירא לא תקינו ליה רבנן. פירוש</w:t>
      </w:r>
      <w:r>
        <w:rPr>
          <w:rFonts w:cs="Arial" w:hint="cs"/>
          <w:rtl/>
        </w:rPr>
        <w:t xml:space="preserve"> -</w:t>
      </w:r>
      <w:r w:rsidRPr="000F2C8D">
        <w:rPr>
          <w:rFonts w:cs="Arial"/>
          <w:rtl/>
        </w:rPr>
        <w:t xml:space="preserve"> במידי דאתי מעלמא כגון כפל דולד בהמת מלוג וטובת הנאה דכתובתה בפרק החובל (ב"ק פט.)</w:t>
      </w:r>
      <w:r>
        <w:rPr>
          <w:rFonts w:cs="Arial" w:hint="cs"/>
          <w:rtl/>
        </w:rPr>
        <w:t>.</w:t>
      </w:r>
      <w:r w:rsidRPr="000F2C8D">
        <w:rPr>
          <w:rFonts w:cs="Arial"/>
          <w:rtl/>
        </w:rPr>
        <w:t xml:space="preserve"> אבל פירא דפירא דאתא מגופה כמו ולד בהמת מלוג </w:t>
      </w:r>
      <w:r>
        <w:rPr>
          <w:rFonts w:cs="Arial" w:hint="cs"/>
          <w:rtl/>
        </w:rPr>
        <w:t xml:space="preserve">- </w:t>
      </w:r>
      <w:r w:rsidRPr="000F2C8D">
        <w:rPr>
          <w:rFonts w:cs="Arial"/>
          <w:rtl/>
        </w:rPr>
        <w:t>פשיטא דתקינו ליה רבנן</w:t>
      </w:r>
      <w:r>
        <w:rPr>
          <w:rFonts w:cs="Arial" w:hint="cs"/>
          <w:rtl/>
        </w:rPr>
        <w:t>,</w:t>
      </w:r>
      <w:r w:rsidRPr="000F2C8D">
        <w:rPr>
          <w:rFonts w:cs="Arial"/>
          <w:rtl/>
        </w:rPr>
        <w:t xml:space="preserve"> כדתנן בפרק הכותב (פג.) לעולם הוא אוכל פירות ופירי פירות</w:t>
      </w:r>
      <w:r>
        <w:rPr>
          <w:rStyle w:val="a7"/>
          <w:rFonts w:cs="Arial"/>
          <w:rtl/>
        </w:rPr>
        <w:footnoteReference w:id="1750"/>
      </w:r>
      <w:r>
        <w:rPr>
          <w:rFonts w:cs="Arial" w:hint="cs"/>
          <w:sz w:val="16"/>
          <w:szCs w:val="16"/>
          <w:rtl/>
        </w:rPr>
        <w:t xml:space="preserve"> (ל' הרא"ש)</w:t>
      </w:r>
      <w:r w:rsidRPr="000F2C8D">
        <w:rPr>
          <w:rFonts w:cs="Arial" w:hint="cs"/>
          <w:rtl/>
        </w:rPr>
        <w:t>.</w:t>
      </w:r>
      <w:r w:rsidRPr="000F2C8D">
        <w:rPr>
          <w:rFonts w:cs="Arial"/>
          <w:rtl/>
        </w:rPr>
        <w:t xml:space="preserve"> </w:t>
      </w:r>
    </w:p>
    <w:p w14:paraId="2C358681" w14:textId="77777777" w:rsidR="002E5BAD" w:rsidRPr="00F62F59" w:rsidRDefault="002E5BAD" w:rsidP="002E5BAD">
      <w:pPr>
        <w:pStyle w:val="ab"/>
        <w:numPr>
          <w:ilvl w:val="0"/>
          <w:numId w:val="178"/>
        </w:numPr>
      </w:pPr>
      <w:r w:rsidRPr="000F2C8D">
        <w:rPr>
          <w:rFonts w:cs="Arial"/>
          <w:rtl/>
        </w:rPr>
        <w:t xml:space="preserve">ר"ן </w:t>
      </w:r>
      <w:r w:rsidRPr="00260391">
        <w:rPr>
          <w:rFonts w:cs="Arial"/>
          <w:sz w:val="16"/>
          <w:szCs w:val="16"/>
          <w:rtl/>
        </w:rPr>
        <w:t>(שם ד"ה ורבי חנניה)</w:t>
      </w:r>
      <w:r>
        <w:rPr>
          <w:rFonts w:cs="Arial" w:hint="cs"/>
          <w:rtl/>
        </w:rPr>
        <w:t xml:space="preserve">- </w:t>
      </w:r>
      <w:r>
        <w:rPr>
          <w:rStyle w:val="a7"/>
          <w:rFonts w:cs="Arial"/>
          <w:rtl/>
        </w:rPr>
        <w:footnoteReference w:id="1751"/>
      </w:r>
      <w:r w:rsidRPr="000F2C8D">
        <w:rPr>
          <w:rFonts w:cs="Arial"/>
          <w:rtl/>
        </w:rPr>
        <w:t>ה</w:t>
      </w:r>
      <w:r>
        <w:rPr>
          <w:rFonts w:cs="Arial" w:hint="cs"/>
          <w:rtl/>
        </w:rPr>
        <w:t xml:space="preserve">כי </w:t>
      </w:r>
      <w:r w:rsidRPr="000F2C8D">
        <w:rPr>
          <w:rFonts w:cs="Arial"/>
          <w:rtl/>
        </w:rPr>
        <w:t>ק</w:t>
      </w:r>
      <w:r>
        <w:rPr>
          <w:rFonts w:cs="Arial" w:hint="cs"/>
          <w:rtl/>
        </w:rPr>
        <w:t>אמר,</w:t>
      </w:r>
      <w:r w:rsidRPr="000F2C8D">
        <w:rPr>
          <w:rFonts w:cs="Arial"/>
          <w:rtl/>
        </w:rPr>
        <w:t xml:space="preserve"> פירא תקינו ליה</w:t>
      </w:r>
      <w:r w:rsidRPr="000F2C8D">
        <w:rPr>
          <w:rFonts w:cs="Arial" w:hint="cs"/>
          <w:rtl/>
        </w:rPr>
        <w:t>,</w:t>
      </w:r>
      <w:r w:rsidRPr="000F2C8D">
        <w:rPr>
          <w:rFonts w:cs="Arial"/>
          <w:rtl/>
        </w:rPr>
        <w:t xml:space="preserve"> אבל תרי גווני פירא לא תקינו ליה</w:t>
      </w:r>
      <w:r w:rsidRPr="000F2C8D">
        <w:rPr>
          <w:rFonts w:cs="Arial" w:hint="cs"/>
          <w:rtl/>
        </w:rPr>
        <w:t>.</w:t>
      </w:r>
      <w:r w:rsidRPr="000F2C8D">
        <w:rPr>
          <w:rFonts w:cs="Arial"/>
          <w:rtl/>
        </w:rPr>
        <w:t xml:space="preserve"> כלומר</w:t>
      </w:r>
      <w:r w:rsidRPr="000F2C8D">
        <w:rPr>
          <w:rFonts w:cs="Arial" w:hint="cs"/>
          <w:rtl/>
        </w:rPr>
        <w:t>,</w:t>
      </w:r>
      <w:r w:rsidRPr="000F2C8D">
        <w:rPr>
          <w:rFonts w:cs="Arial"/>
          <w:rtl/>
        </w:rPr>
        <w:t xml:space="preserve"> במה שיוציא מגוף הדבר בפירות או שדרכו לבא מחמתו כגון מעשה העבד ושכר הבתים שהוא דבר המצוי </w:t>
      </w:r>
      <w:r w:rsidRPr="000F2C8D">
        <w:rPr>
          <w:rFonts w:cs="Arial" w:hint="cs"/>
          <w:rtl/>
        </w:rPr>
        <w:t xml:space="preserve">- </w:t>
      </w:r>
      <w:r w:rsidRPr="000F2C8D">
        <w:rPr>
          <w:rFonts w:cs="Arial"/>
          <w:rtl/>
        </w:rPr>
        <w:t>תיקנו לו</w:t>
      </w:r>
      <w:r w:rsidRPr="000F2C8D">
        <w:rPr>
          <w:rFonts w:cs="Arial" w:hint="cs"/>
          <w:rtl/>
        </w:rPr>
        <w:t>,</w:t>
      </w:r>
      <w:r w:rsidRPr="000F2C8D">
        <w:rPr>
          <w:rFonts w:cs="Arial"/>
          <w:rtl/>
        </w:rPr>
        <w:t xml:space="preserve"> אבל לא תיקנו לו דבר שאינו מצוי ככפילא</w:t>
      </w:r>
      <w:r w:rsidRPr="000F2C8D">
        <w:rPr>
          <w:rFonts w:cs="Arial" w:hint="cs"/>
          <w:rtl/>
        </w:rPr>
        <w:t>.</w:t>
      </w:r>
      <w:r w:rsidRPr="000F2C8D">
        <w:rPr>
          <w:rFonts w:cs="Arial"/>
          <w:rtl/>
        </w:rPr>
        <w:t xml:space="preserve"> ומשום הכי אמרינן בפרק החובל (שם) דאשה שמכרה כתובתה בטובת הנאה אין הבעל אוכל פירות</w:t>
      </w:r>
      <w:r w:rsidRPr="000F2C8D">
        <w:rPr>
          <w:rFonts w:cs="Arial" w:hint="cs"/>
          <w:rtl/>
        </w:rPr>
        <w:t>,</w:t>
      </w:r>
      <w:r w:rsidRPr="000F2C8D">
        <w:rPr>
          <w:rFonts w:cs="Arial"/>
          <w:rtl/>
        </w:rPr>
        <w:t xml:space="preserve"> דחד פירא תקינו ליה רבנן</w:t>
      </w:r>
      <w:r w:rsidRPr="000F2C8D">
        <w:rPr>
          <w:rFonts w:cs="Arial" w:hint="cs"/>
          <w:rtl/>
        </w:rPr>
        <w:t>,</w:t>
      </w:r>
      <w:r w:rsidRPr="000F2C8D">
        <w:rPr>
          <w:rFonts w:cs="Arial"/>
          <w:rtl/>
        </w:rPr>
        <w:t xml:space="preserve"> פירא דפירא לא תקינו ליה</w:t>
      </w:r>
      <w:r w:rsidRPr="000F2C8D">
        <w:rPr>
          <w:rFonts w:cs="Arial" w:hint="cs"/>
          <w:rtl/>
        </w:rPr>
        <w:t>.</w:t>
      </w:r>
      <w:r w:rsidRPr="000F2C8D">
        <w:rPr>
          <w:rFonts w:cs="Arial"/>
          <w:rtl/>
        </w:rPr>
        <w:t xml:space="preserve"> כלומר פירות מצויים מן הנכסים תקנו</w:t>
      </w:r>
      <w:r w:rsidRPr="000F2C8D">
        <w:rPr>
          <w:rFonts w:cs="Arial" w:hint="cs"/>
          <w:rtl/>
        </w:rPr>
        <w:t>,</w:t>
      </w:r>
      <w:r w:rsidRPr="000F2C8D">
        <w:rPr>
          <w:rFonts w:cs="Arial"/>
          <w:rtl/>
        </w:rPr>
        <w:t xml:space="preserve"> אבל לא פרי כזה</w:t>
      </w:r>
      <w:r w:rsidRPr="000F2C8D">
        <w:rPr>
          <w:rFonts w:cs="Arial" w:hint="cs"/>
          <w:rtl/>
        </w:rPr>
        <w:t>.</w:t>
      </w:r>
      <w:r w:rsidRPr="000F2C8D">
        <w:rPr>
          <w:rFonts w:cs="Arial"/>
          <w:rtl/>
        </w:rPr>
        <w:t xml:space="preserve"> </w:t>
      </w:r>
    </w:p>
    <w:p w14:paraId="1C75D297" w14:textId="77777777" w:rsidR="002E5BAD" w:rsidRPr="00D93EC1" w:rsidRDefault="002E5BAD" w:rsidP="002E5BAD">
      <w:pPr>
        <w:ind w:left="360"/>
        <w:rPr>
          <w:u w:val="dotted"/>
        </w:rPr>
      </w:pPr>
      <w:r w:rsidRPr="00D93EC1">
        <w:rPr>
          <w:rFonts w:hint="cs"/>
          <w:u w:val="dotted"/>
          <w:rtl/>
        </w:rPr>
        <w:t>למעשה, ולדות נכסי מלוג - למי:</w:t>
      </w:r>
    </w:p>
    <w:p w14:paraId="6F1CA885" w14:textId="77777777" w:rsidR="002E5BAD" w:rsidRPr="0059573B" w:rsidRDefault="002E5BAD" w:rsidP="002E5BAD">
      <w:pPr>
        <w:pStyle w:val="ab"/>
        <w:numPr>
          <w:ilvl w:val="0"/>
          <w:numId w:val="178"/>
        </w:numPr>
      </w:pPr>
      <w:r w:rsidRPr="000F2C8D">
        <w:rPr>
          <w:rFonts w:cs="Arial"/>
          <w:rtl/>
        </w:rPr>
        <w:t xml:space="preserve">רא"ש </w:t>
      </w:r>
      <w:r w:rsidRPr="000F2C8D">
        <w:rPr>
          <w:rFonts w:cs="Arial"/>
          <w:sz w:val="16"/>
          <w:szCs w:val="16"/>
          <w:rtl/>
        </w:rPr>
        <w:t>(סי' ו)</w:t>
      </w:r>
      <w:r>
        <w:rPr>
          <w:rFonts w:cs="Arial" w:hint="cs"/>
          <w:rtl/>
        </w:rPr>
        <w:t xml:space="preserve"> טור ו</w:t>
      </w:r>
      <w:r w:rsidRPr="000F2C8D">
        <w:rPr>
          <w:rFonts w:cs="Arial"/>
          <w:rtl/>
        </w:rPr>
        <w:t xml:space="preserve">ר"ן </w:t>
      </w:r>
      <w:r w:rsidRPr="00260391">
        <w:rPr>
          <w:rFonts w:cs="Arial"/>
          <w:sz w:val="16"/>
          <w:szCs w:val="16"/>
          <w:rtl/>
        </w:rPr>
        <w:t>(שם ד"ה ורבי חנניה)</w:t>
      </w:r>
      <w:r>
        <w:rPr>
          <w:rFonts w:cs="Arial" w:hint="cs"/>
          <w:rtl/>
        </w:rPr>
        <w:t xml:space="preserve">- </w:t>
      </w:r>
      <w:r w:rsidRPr="007A228B">
        <w:rPr>
          <w:rFonts w:cs="Arial"/>
          <w:rtl/>
        </w:rPr>
        <w:t>כמו שמשתמש בהן ואוכל פירותיהן כך נוטל ולדותיהן וולד ולדותיהן עד עולם</w:t>
      </w:r>
      <w:r>
        <w:rPr>
          <w:rFonts w:cs="Arial" w:hint="cs"/>
          <w:rtl/>
        </w:rPr>
        <w:t>...</w:t>
      </w:r>
      <w:r w:rsidRPr="00AB0DC3">
        <w:rPr>
          <w:rFonts w:cs="Arial" w:hint="cs"/>
          <w:rtl/>
        </w:rPr>
        <w:t xml:space="preserve"> </w:t>
      </w:r>
      <w:r>
        <w:rPr>
          <w:rFonts w:cs="Arial" w:hint="cs"/>
          <w:rtl/>
        </w:rPr>
        <w:t>ו</w:t>
      </w:r>
      <w:r w:rsidRPr="007A228B">
        <w:rPr>
          <w:rFonts w:cs="Arial"/>
          <w:rtl/>
        </w:rPr>
        <w:t>דוקא פירי דפירי דאתו מעלמא כגון שמכרה כתובתה בטובת הנאה לא שקיל אבל פירי דפירי דלא אתו מעלמא כגון ולדי ולדות שקיל</w:t>
      </w:r>
      <w:r>
        <w:rPr>
          <w:rFonts w:cs="Arial" w:hint="cs"/>
          <w:sz w:val="16"/>
          <w:szCs w:val="16"/>
          <w:rtl/>
        </w:rPr>
        <w:t xml:space="preserve"> (ל' הטור)</w:t>
      </w:r>
      <w:r>
        <w:rPr>
          <w:rFonts w:cs="Arial" w:hint="cs"/>
          <w:rtl/>
        </w:rPr>
        <w:t>.</w:t>
      </w:r>
      <w:r w:rsidRPr="007A228B">
        <w:rPr>
          <w:rFonts w:cs="Arial"/>
          <w:rtl/>
        </w:rPr>
        <w:t xml:space="preserve"> </w:t>
      </w:r>
    </w:p>
    <w:p w14:paraId="3979E2F7" w14:textId="77777777" w:rsidR="002E5BAD" w:rsidRDefault="002E5BAD" w:rsidP="002E5BAD">
      <w:pPr>
        <w:pStyle w:val="ab"/>
        <w:numPr>
          <w:ilvl w:val="0"/>
          <w:numId w:val="178"/>
        </w:numPr>
      </w:pPr>
      <w:r>
        <w:rPr>
          <w:rFonts w:cs="Arial" w:hint="cs"/>
          <w:rtl/>
        </w:rPr>
        <w:t xml:space="preserve">רי"ף </w:t>
      </w:r>
      <w:r w:rsidRPr="000F2C8D">
        <w:rPr>
          <w:rFonts w:cs="Arial" w:hint="cs"/>
          <w:sz w:val="16"/>
          <w:szCs w:val="16"/>
          <w:rtl/>
        </w:rPr>
        <w:t>(לו:)</w:t>
      </w:r>
      <w:r>
        <w:rPr>
          <w:rFonts w:cs="Arial" w:hint="cs"/>
          <w:rtl/>
        </w:rPr>
        <w:t>-</w:t>
      </w:r>
      <w:r w:rsidRPr="007A228B">
        <w:rPr>
          <w:rFonts w:cs="Arial"/>
          <w:rtl/>
        </w:rPr>
        <w:t xml:space="preserve"> אינו נוטל אלא ולדות ולא ולדי ולדות דפירי דפירי לא תקינו ליה רבנן</w:t>
      </w:r>
      <w:r>
        <w:rPr>
          <w:rFonts w:cs="Arial" w:hint="cs"/>
          <w:rtl/>
        </w:rPr>
        <w:t>,</w:t>
      </w:r>
      <w:r w:rsidRPr="007A228B">
        <w:rPr>
          <w:rFonts w:cs="Arial"/>
          <w:rtl/>
        </w:rPr>
        <w:t xml:space="preserve"> והא דתנן אוכל פירי פירותיהן עד עולם היינו שמכר פירות וקנה בדמיהן קרקע</w:t>
      </w:r>
      <w:r>
        <w:rPr>
          <w:rFonts w:cs="Arial" w:hint="cs"/>
          <w:rtl/>
        </w:rPr>
        <w:t>,</w:t>
      </w:r>
      <w:r w:rsidRPr="007A228B">
        <w:rPr>
          <w:rFonts w:cs="Arial"/>
          <w:rtl/>
        </w:rPr>
        <w:t xml:space="preserve"> דכיון דלא אכל לפירי דיניה דליכול פירי דפירי דקיימי במקום פירי</w:t>
      </w:r>
      <w:r>
        <w:rPr>
          <w:rFonts w:cs="Arial" w:hint="cs"/>
          <w:rtl/>
        </w:rPr>
        <w:t>,</w:t>
      </w:r>
      <w:r w:rsidRPr="007A228B">
        <w:rPr>
          <w:rFonts w:cs="Arial"/>
          <w:rtl/>
        </w:rPr>
        <w:t xml:space="preserve"> אבל אם אוכל פירות</w:t>
      </w:r>
      <w:r>
        <w:rPr>
          <w:rFonts w:cs="Arial" w:hint="cs"/>
          <w:rtl/>
        </w:rPr>
        <w:t>,</w:t>
      </w:r>
      <w:r w:rsidRPr="007A228B">
        <w:rPr>
          <w:rFonts w:cs="Arial"/>
          <w:rtl/>
        </w:rPr>
        <w:t xml:space="preserve"> לא יאכל פירי דפירי</w:t>
      </w:r>
      <w:r>
        <w:rPr>
          <w:rStyle w:val="a7"/>
          <w:rFonts w:cs="Arial"/>
          <w:rtl/>
        </w:rPr>
        <w:footnoteReference w:id="1752"/>
      </w:r>
      <w:r>
        <w:rPr>
          <w:rFonts w:cs="Arial" w:hint="cs"/>
          <w:sz w:val="16"/>
          <w:szCs w:val="16"/>
          <w:rtl/>
        </w:rPr>
        <w:t xml:space="preserve"> (ל' הטור בשמו)</w:t>
      </w:r>
      <w:r>
        <w:rPr>
          <w:rFonts w:cs="Arial" w:hint="cs"/>
          <w:rtl/>
        </w:rPr>
        <w:t>.</w:t>
      </w:r>
      <w:r w:rsidRPr="007A228B">
        <w:rPr>
          <w:rFonts w:cs="Arial"/>
          <w:rtl/>
        </w:rPr>
        <w:t xml:space="preserve"> </w:t>
      </w:r>
    </w:p>
    <w:p w14:paraId="1404DFE5" w14:textId="77777777" w:rsidR="002E5BAD" w:rsidRPr="0059573B" w:rsidRDefault="002E5BAD" w:rsidP="002E5BAD">
      <w:pPr>
        <w:pStyle w:val="ab"/>
        <w:numPr>
          <w:ilvl w:val="0"/>
          <w:numId w:val="178"/>
        </w:numPr>
      </w:pPr>
      <w:r>
        <w:rPr>
          <w:rFonts w:cs="Arial" w:hint="cs"/>
          <w:rtl/>
        </w:rPr>
        <w:lastRenderedPageBreak/>
        <w:t xml:space="preserve">רמב"ם </w:t>
      </w:r>
      <w:r>
        <w:rPr>
          <w:rFonts w:cs="Arial" w:hint="cs"/>
          <w:sz w:val="16"/>
          <w:szCs w:val="16"/>
          <w:rtl/>
        </w:rPr>
        <w:t>(פכ"ב מאישות הכ"ה)</w:t>
      </w:r>
      <w:r>
        <w:rPr>
          <w:rFonts w:cs="Arial" w:hint="cs"/>
          <w:rtl/>
        </w:rPr>
        <w:t xml:space="preserve">- </w:t>
      </w:r>
      <w:r w:rsidRPr="0027408B">
        <w:rPr>
          <w:rFonts w:cs="Arial"/>
          <w:rtl/>
        </w:rPr>
        <w:t>עבדי נכסי מלוג ובהמת נכסי מלוג הבעל חייב במזונותיהן ובכל צרכיהם והן עושין לו והוא אוכל פירותיהם, לפיכך ולד שפחת מלוג לבעל, ולד בהמת מלוג לבעל, ואם גירשה ורצת האשה ליתן דמים וליטול ולד השפחה מפני שבח בית אביה שומעין לה.</w:t>
      </w:r>
      <w:r w:rsidRPr="00695580">
        <w:rPr>
          <w:rFonts w:hint="cs"/>
          <w:color w:val="E36C0A" w:themeColor="accent6" w:themeShade="BF"/>
          <w:rtl/>
        </w:rPr>
        <w:t xml:space="preserve"> </w:t>
      </w:r>
      <w:r w:rsidRPr="00137671">
        <w:rPr>
          <w:rFonts w:hint="cs"/>
          <w:color w:val="E36C0A" w:themeColor="accent6" w:themeShade="BF"/>
          <w:rtl/>
        </w:rPr>
        <w:t>(וכ"פ בשו"ע)</w:t>
      </w:r>
    </w:p>
    <w:p w14:paraId="1A0E1695" w14:textId="77777777" w:rsidR="002E5BAD" w:rsidRPr="00D93EC1" w:rsidRDefault="002E5BAD" w:rsidP="002E5BAD">
      <w:pPr>
        <w:rPr>
          <w:u w:val="single"/>
        </w:rPr>
      </w:pPr>
      <w:r w:rsidRPr="00D93EC1">
        <w:rPr>
          <w:rFonts w:hint="cs"/>
          <w:u w:val="single"/>
          <w:rtl/>
        </w:rPr>
        <w:t xml:space="preserve">ולד בהמת מלוג או בהמת מלוג עצמה שנגנבה, ונמצא הגנב </w:t>
      </w:r>
      <w:r w:rsidRPr="00D93EC1">
        <w:rPr>
          <w:u w:val="single"/>
          <w:rtl/>
        </w:rPr>
        <w:t>–</w:t>
      </w:r>
      <w:r w:rsidRPr="00D93EC1">
        <w:rPr>
          <w:rFonts w:hint="cs"/>
          <w:u w:val="single"/>
          <w:rtl/>
        </w:rPr>
        <w:t xml:space="preserve"> הכפל למי:</w:t>
      </w:r>
    </w:p>
    <w:p w14:paraId="2985030F" w14:textId="77777777" w:rsidR="002E5BAD" w:rsidRDefault="002E5BAD" w:rsidP="002E5BAD">
      <w:pPr>
        <w:pStyle w:val="ab"/>
        <w:numPr>
          <w:ilvl w:val="0"/>
          <w:numId w:val="178"/>
        </w:numPr>
      </w:pPr>
      <w:r w:rsidRPr="000D5ED4">
        <w:rPr>
          <w:rFonts w:cs="Arial"/>
          <w:rtl/>
        </w:rPr>
        <w:t>ריב"ן</w:t>
      </w:r>
      <w:r>
        <w:rPr>
          <w:rStyle w:val="a7"/>
          <w:rFonts w:cs="Arial"/>
          <w:rtl/>
        </w:rPr>
        <w:footnoteReference w:id="1753"/>
      </w:r>
      <w:r w:rsidRPr="000F2C8D">
        <w:rPr>
          <w:rFonts w:cs="Arial" w:hint="cs"/>
          <w:rtl/>
        </w:rPr>
        <w:t xml:space="preserve"> </w:t>
      </w:r>
      <w:r w:rsidRPr="000F2C8D">
        <w:rPr>
          <w:rFonts w:cs="Arial" w:hint="cs"/>
          <w:sz w:val="16"/>
          <w:szCs w:val="16"/>
          <w:rtl/>
        </w:rPr>
        <w:t>(</w:t>
      </w:r>
      <w:r>
        <w:rPr>
          <w:rFonts w:cs="Arial" w:hint="cs"/>
          <w:sz w:val="16"/>
          <w:szCs w:val="16"/>
          <w:rtl/>
        </w:rPr>
        <w:t xml:space="preserve">כ"כ בשמו בתוס' </w:t>
      </w:r>
      <w:r w:rsidRPr="000F2C8D">
        <w:rPr>
          <w:rFonts w:cs="Arial" w:hint="cs"/>
          <w:sz w:val="16"/>
          <w:szCs w:val="16"/>
          <w:rtl/>
        </w:rPr>
        <w:t>כתובות עט: ד"ה פירא דפירא)</w:t>
      </w:r>
      <w:r>
        <w:rPr>
          <w:rFonts w:cs="Arial" w:hint="cs"/>
          <w:rtl/>
        </w:rPr>
        <w:t xml:space="preserve"> </w:t>
      </w:r>
      <w:r w:rsidRPr="000F2C8D">
        <w:rPr>
          <w:rFonts w:cs="Arial"/>
          <w:rtl/>
        </w:rPr>
        <w:t>רא"ש</w:t>
      </w:r>
      <w:r>
        <w:rPr>
          <w:rStyle w:val="a7"/>
          <w:rFonts w:cs="Arial"/>
          <w:rtl/>
        </w:rPr>
        <w:footnoteReference w:id="1754"/>
      </w:r>
      <w:r w:rsidRPr="000F2C8D">
        <w:rPr>
          <w:rFonts w:cs="Arial"/>
          <w:rtl/>
        </w:rPr>
        <w:t xml:space="preserve"> </w:t>
      </w:r>
      <w:r w:rsidRPr="000F2C8D">
        <w:rPr>
          <w:rFonts w:cs="Arial"/>
          <w:sz w:val="16"/>
          <w:szCs w:val="16"/>
          <w:rtl/>
        </w:rPr>
        <w:t>(סי' ו)</w:t>
      </w:r>
      <w:r>
        <w:rPr>
          <w:rFonts w:cs="Arial" w:hint="cs"/>
          <w:rtl/>
        </w:rPr>
        <w:t xml:space="preserve"> טור ו</w:t>
      </w:r>
      <w:r w:rsidRPr="000F2C8D">
        <w:rPr>
          <w:rFonts w:cs="Arial"/>
          <w:rtl/>
        </w:rPr>
        <w:t>ר"ן</w:t>
      </w:r>
      <w:r>
        <w:rPr>
          <w:rStyle w:val="a7"/>
          <w:rFonts w:cs="Arial"/>
          <w:rtl/>
        </w:rPr>
        <w:footnoteReference w:id="1755"/>
      </w:r>
      <w:r w:rsidRPr="000F2C8D">
        <w:rPr>
          <w:rFonts w:cs="Arial"/>
          <w:rtl/>
        </w:rPr>
        <w:t xml:space="preserve"> </w:t>
      </w:r>
      <w:r w:rsidRPr="00260391">
        <w:rPr>
          <w:rFonts w:cs="Arial"/>
          <w:sz w:val="16"/>
          <w:szCs w:val="16"/>
          <w:rtl/>
        </w:rPr>
        <w:t>(שם ד"ה ורבי חנניה)</w:t>
      </w:r>
      <w:r>
        <w:rPr>
          <w:rFonts w:cs="Arial" w:hint="cs"/>
          <w:rtl/>
        </w:rPr>
        <w:t xml:space="preserve">- </w:t>
      </w:r>
      <w:r w:rsidRPr="007A228B">
        <w:rPr>
          <w:rFonts w:cs="Arial"/>
          <w:rtl/>
        </w:rPr>
        <w:t>אע</w:t>
      </w:r>
      <w:r>
        <w:rPr>
          <w:rFonts w:cs="Arial" w:hint="cs"/>
          <w:rtl/>
        </w:rPr>
        <w:t>"</w:t>
      </w:r>
      <w:r w:rsidRPr="007A228B">
        <w:rPr>
          <w:rFonts w:cs="Arial"/>
          <w:rtl/>
        </w:rPr>
        <w:t>פ שהולד הוא לבעל</w:t>
      </w:r>
      <w:r>
        <w:rPr>
          <w:rFonts w:cs="Arial" w:hint="cs"/>
          <w:rtl/>
        </w:rPr>
        <w:t>,</w:t>
      </w:r>
      <w:r w:rsidRPr="007A228B">
        <w:rPr>
          <w:rFonts w:cs="Arial"/>
          <w:rtl/>
        </w:rPr>
        <w:t xml:space="preserve"> אם נגנב ונמצא הגנב </w:t>
      </w:r>
      <w:r>
        <w:rPr>
          <w:rFonts w:cs="Arial" w:hint="cs"/>
          <w:rtl/>
        </w:rPr>
        <w:t xml:space="preserve">- </w:t>
      </w:r>
      <w:r w:rsidRPr="007A228B">
        <w:rPr>
          <w:rFonts w:cs="Arial"/>
          <w:rtl/>
        </w:rPr>
        <w:t>אין הכפל לבעל</w:t>
      </w:r>
      <w:r>
        <w:rPr>
          <w:rFonts w:cs="Arial" w:hint="cs"/>
          <w:rtl/>
        </w:rPr>
        <w:t>,</w:t>
      </w:r>
      <w:r w:rsidRPr="007A228B">
        <w:rPr>
          <w:rFonts w:cs="Arial"/>
          <w:rtl/>
        </w:rPr>
        <w:t xml:space="preserve"> ואפי</w:t>
      </w:r>
      <w:r>
        <w:rPr>
          <w:rFonts w:cs="Arial" w:hint="cs"/>
          <w:rtl/>
        </w:rPr>
        <w:t>לו</w:t>
      </w:r>
      <w:r>
        <w:rPr>
          <w:rStyle w:val="a7"/>
          <w:rFonts w:cs="Arial"/>
          <w:rtl/>
        </w:rPr>
        <w:footnoteReference w:id="1756"/>
      </w:r>
      <w:r w:rsidRPr="007A228B">
        <w:rPr>
          <w:rFonts w:cs="Arial"/>
          <w:rtl/>
        </w:rPr>
        <w:t xml:space="preserve"> האם בעצמה אם נגנבה</w:t>
      </w:r>
      <w:r>
        <w:rPr>
          <w:rFonts w:cs="Arial" w:hint="cs"/>
          <w:rtl/>
        </w:rPr>
        <w:t xml:space="preserve"> -</w:t>
      </w:r>
      <w:r w:rsidRPr="007A228B">
        <w:rPr>
          <w:rFonts w:cs="Arial"/>
          <w:rtl/>
        </w:rPr>
        <w:t xml:space="preserve"> אין הכפל לבעל</w:t>
      </w:r>
      <w:r>
        <w:rPr>
          <w:rFonts w:cs="Arial" w:hint="cs"/>
          <w:sz w:val="16"/>
          <w:szCs w:val="16"/>
          <w:rtl/>
        </w:rPr>
        <w:t xml:space="preserve"> (ל' הטור)</w:t>
      </w:r>
      <w:r>
        <w:rPr>
          <w:rFonts w:cs="Arial" w:hint="cs"/>
          <w:rtl/>
        </w:rPr>
        <w:t>.</w:t>
      </w:r>
      <w:r w:rsidRPr="007A228B">
        <w:rPr>
          <w:rFonts w:cs="Arial"/>
          <w:rtl/>
        </w:rPr>
        <w:t xml:space="preserve"> </w:t>
      </w:r>
    </w:p>
    <w:p w14:paraId="6ED32160" w14:textId="77777777" w:rsidR="002E5BAD" w:rsidRPr="00D93EC1" w:rsidRDefault="002E5BAD" w:rsidP="002E5BAD">
      <w:pPr>
        <w:rPr>
          <w:u w:val="single"/>
        </w:rPr>
      </w:pPr>
      <w:r w:rsidRPr="00D93EC1">
        <w:rPr>
          <w:rFonts w:hint="cs"/>
          <w:u w:val="single"/>
          <w:rtl/>
        </w:rPr>
        <w:t xml:space="preserve">בהמת מלוג שמתה והולד שלה עדיין קיים </w:t>
      </w:r>
      <w:r w:rsidRPr="00D93EC1">
        <w:rPr>
          <w:u w:val="single"/>
          <w:rtl/>
        </w:rPr>
        <w:t>–</w:t>
      </w:r>
      <w:r w:rsidRPr="00D93EC1">
        <w:rPr>
          <w:rFonts w:hint="cs"/>
          <w:u w:val="single"/>
          <w:rtl/>
        </w:rPr>
        <w:t xml:space="preserve"> האם חוזר להיות קרן:</w:t>
      </w:r>
    </w:p>
    <w:p w14:paraId="34B4524B" w14:textId="77777777" w:rsidR="002E5BAD" w:rsidRDefault="002E5BAD" w:rsidP="002E5BAD">
      <w:pPr>
        <w:pStyle w:val="ab"/>
        <w:numPr>
          <w:ilvl w:val="0"/>
          <w:numId w:val="178"/>
        </w:numPr>
        <w:rPr>
          <w:rtl/>
        </w:rPr>
      </w:pPr>
      <w:r w:rsidRPr="00A14E50">
        <w:rPr>
          <w:rFonts w:cs="Arial"/>
          <w:rtl/>
        </w:rPr>
        <w:t xml:space="preserve">בה"ג </w:t>
      </w:r>
      <w:r w:rsidRPr="00A14E50">
        <w:rPr>
          <w:rFonts w:cs="Arial"/>
          <w:sz w:val="16"/>
          <w:szCs w:val="16"/>
          <w:rtl/>
        </w:rPr>
        <w:t>(הלכות גדולות, כתובות סח ע"ד)</w:t>
      </w:r>
      <w:r w:rsidRPr="00A14E50">
        <w:rPr>
          <w:rFonts w:cs="Arial" w:hint="cs"/>
          <w:sz w:val="16"/>
          <w:szCs w:val="16"/>
          <w:rtl/>
        </w:rPr>
        <w:t xml:space="preserve"> </w:t>
      </w:r>
      <w:r>
        <w:rPr>
          <w:rFonts w:cs="Arial" w:hint="cs"/>
          <w:rtl/>
        </w:rPr>
        <w:t>רא"ש</w:t>
      </w:r>
      <w:r>
        <w:rPr>
          <w:rFonts w:cs="Arial" w:hint="cs"/>
          <w:sz w:val="16"/>
          <w:szCs w:val="16"/>
          <w:rtl/>
        </w:rPr>
        <w:t xml:space="preserve"> (שם)</w:t>
      </w:r>
      <w:r>
        <w:rPr>
          <w:rFonts w:cs="Arial" w:hint="cs"/>
          <w:rtl/>
        </w:rPr>
        <w:t xml:space="preserve"> ו</w:t>
      </w:r>
      <w:r w:rsidRPr="00A14E50">
        <w:rPr>
          <w:rFonts w:cs="Arial" w:hint="cs"/>
          <w:rtl/>
        </w:rPr>
        <w:t xml:space="preserve">טור- </w:t>
      </w:r>
      <w:r>
        <w:rPr>
          <w:rFonts w:cs="Arial" w:hint="cs"/>
          <w:rtl/>
        </w:rPr>
        <w:t>ה</w:t>
      </w:r>
      <w:r w:rsidRPr="00A14E50">
        <w:rPr>
          <w:rFonts w:cs="Arial"/>
          <w:rtl/>
        </w:rPr>
        <w:t>יכא דמתו אימותיהן</w:t>
      </w:r>
      <w:r w:rsidRPr="00A14E50">
        <w:rPr>
          <w:rFonts w:cs="Arial" w:hint="cs"/>
          <w:rtl/>
        </w:rPr>
        <w:t>,</w:t>
      </w:r>
      <w:r w:rsidRPr="00A14E50">
        <w:rPr>
          <w:rFonts w:cs="Arial"/>
          <w:rtl/>
        </w:rPr>
        <w:t xml:space="preserve"> ולדות דכל חד וחד במקום אימיה קאי</w:t>
      </w:r>
      <w:r>
        <w:rPr>
          <w:rFonts w:cs="Arial" w:hint="cs"/>
          <w:sz w:val="16"/>
          <w:szCs w:val="16"/>
          <w:rtl/>
        </w:rPr>
        <w:t xml:space="preserve"> (ל' הרא"ש בשם בה"ג)</w:t>
      </w:r>
      <w:r w:rsidRPr="00A14E50">
        <w:rPr>
          <w:rFonts w:cs="Arial"/>
          <w:rtl/>
        </w:rPr>
        <w:t xml:space="preserve">. </w:t>
      </w:r>
    </w:p>
    <w:p w14:paraId="04C5C8D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2B58491" w14:textId="77777777" w:rsidR="002E5BAD" w:rsidRDefault="002E5BAD" w:rsidP="002E5BAD">
      <w:pPr>
        <w:rPr>
          <w:rtl/>
        </w:rPr>
      </w:pPr>
      <w:r>
        <w:rPr>
          <w:rFonts w:cs="Arial"/>
          <w:rtl/>
        </w:rPr>
        <w:t>עבדי נכסי מלוג ובהמות נ</w:t>
      </w:r>
      <w:r>
        <w:rPr>
          <w:rFonts w:cs="Arial" w:hint="cs"/>
          <w:rtl/>
        </w:rPr>
        <w:t xml:space="preserve">כסי </w:t>
      </w:r>
      <w:r>
        <w:rPr>
          <w:rFonts w:cs="Arial"/>
          <w:rtl/>
        </w:rPr>
        <w:t>מ</w:t>
      </w:r>
      <w:r>
        <w:rPr>
          <w:rFonts w:cs="Arial" w:hint="cs"/>
          <w:rtl/>
        </w:rPr>
        <w:t>לוג</w:t>
      </w:r>
      <w:r>
        <w:rPr>
          <w:rFonts w:cs="Arial"/>
          <w:rtl/>
        </w:rPr>
        <w:t>, הבעל חייב במזונותיהם</w:t>
      </w:r>
      <w:r>
        <w:rPr>
          <w:rStyle w:val="a7"/>
          <w:rFonts w:cs="Arial"/>
          <w:rtl/>
        </w:rPr>
        <w:footnoteReference w:id="1757"/>
      </w:r>
      <w:r>
        <w:rPr>
          <w:rFonts w:cs="Arial"/>
          <w:rtl/>
        </w:rPr>
        <w:t xml:space="preserve"> ובכל צרכיהם, והם עושים לו והוא אוכל פירותיהם. לפיכך ולד שפחת מלוג, לבעל</w:t>
      </w:r>
      <w:r>
        <w:rPr>
          <w:rStyle w:val="a7"/>
          <w:rFonts w:cs="Arial"/>
          <w:rtl/>
        </w:rPr>
        <w:footnoteReference w:id="1758"/>
      </w:r>
      <w:r>
        <w:rPr>
          <w:rFonts w:cs="Arial" w:hint="cs"/>
          <w:rtl/>
        </w:rPr>
        <w:t>.</w:t>
      </w:r>
      <w:r>
        <w:rPr>
          <w:rFonts w:cs="Arial"/>
          <w:rtl/>
        </w:rPr>
        <w:t xml:space="preserve"> ולד בהמת מלוג, לבעל</w:t>
      </w:r>
      <w:r>
        <w:rPr>
          <w:rFonts w:cs="Arial" w:hint="cs"/>
          <w:rtl/>
        </w:rPr>
        <w:t>.</w:t>
      </w:r>
      <w:r>
        <w:rPr>
          <w:rFonts w:cs="Arial"/>
          <w:rtl/>
        </w:rPr>
        <w:t xml:space="preserve"> ואם גירשה, ורצתה האשה לתת דמים וליטול ולד השפחה</w:t>
      </w:r>
      <w:r>
        <w:rPr>
          <w:rStyle w:val="a7"/>
          <w:rFonts w:cs="Arial"/>
          <w:rtl/>
        </w:rPr>
        <w:footnoteReference w:id="1759"/>
      </w:r>
      <w:r>
        <w:rPr>
          <w:rFonts w:cs="Arial"/>
          <w:rtl/>
        </w:rPr>
        <w:t xml:space="preserve">, מפני שבח בית אביה, שומעין לה. </w:t>
      </w:r>
    </w:p>
    <w:p w14:paraId="78AB8092" w14:textId="77777777" w:rsidR="002E5BAD" w:rsidRDefault="002E5BAD" w:rsidP="002E5BAD">
      <w:pPr>
        <w:rPr>
          <w:rtl/>
        </w:rPr>
      </w:pPr>
    </w:p>
    <w:p w14:paraId="66704F55" w14:textId="77777777" w:rsidR="002E5BAD" w:rsidRDefault="002E5BAD" w:rsidP="002E5BAD">
      <w:pPr>
        <w:pStyle w:val="2"/>
        <w:rPr>
          <w:rtl/>
        </w:rPr>
      </w:pPr>
      <w:r>
        <w:rPr>
          <w:rtl/>
        </w:rPr>
        <w:t>סעיף יז</w:t>
      </w:r>
      <w:r>
        <w:rPr>
          <w:rFonts w:hint="cs"/>
          <w:rtl/>
        </w:rPr>
        <w:t>: בעל שרוצה למכור קרקע מלוג לפירות.</w:t>
      </w:r>
    </w:p>
    <w:p w14:paraId="7DA0581A" w14:textId="77777777" w:rsidR="002E5BAD" w:rsidRDefault="002E5BAD" w:rsidP="002E5BAD">
      <w:pPr>
        <w:rPr>
          <w:rtl/>
        </w:rPr>
      </w:pPr>
      <w:r w:rsidRPr="003C240D">
        <w:rPr>
          <w:rFonts w:cs="Arial" w:hint="cs"/>
          <w:b/>
          <w:bCs/>
          <w:rtl/>
        </w:rPr>
        <w:t xml:space="preserve">כתובות </w:t>
      </w:r>
      <w:r>
        <w:rPr>
          <w:rFonts w:cs="Arial" w:hint="cs"/>
          <w:b/>
          <w:bCs/>
          <w:sz w:val="16"/>
          <w:szCs w:val="16"/>
          <w:rtl/>
        </w:rPr>
        <w:t xml:space="preserve">(פ' האשה שנפלו) </w:t>
      </w:r>
      <w:r>
        <w:rPr>
          <w:rFonts w:cs="Arial" w:hint="cs"/>
          <w:b/>
          <w:bCs/>
          <w:rtl/>
        </w:rPr>
        <w:t>פ</w:t>
      </w:r>
      <w:r w:rsidRPr="003C240D">
        <w:rPr>
          <w:rFonts w:cs="Arial" w:hint="cs"/>
          <w:b/>
          <w:bCs/>
          <w:rtl/>
        </w:rPr>
        <w:t xml:space="preserve"> ע"</w:t>
      </w:r>
      <w:r>
        <w:rPr>
          <w:rFonts w:cs="Arial" w:hint="cs"/>
          <w:b/>
          <w:bCs/>
          <w:rtl/>
        </w:rPr>
        <w:t>א</w:t>
      </w:r>
      <w:r w:rsidRPr="003C240D">
        <w:rPr>
          <w:rFonts w:cs="Arial" w:hint="cs"/>
          <w:b/>
          <w:bCs/>
          <w:rtl/>
        </w:rPr>
        <w:t xml:space="preserve">: </w:t>
      </w:r>
      <w:r w:rsidRPr="00E93E51">
        <w:rPr>
          <w:rFonts w:cs="Arial"/>
          <w:rtl/>
        </w:rPr>
        <w:t>איבעיא להו: בעל שמכר קרקע לפירות</w:t>
      </w:r>
      <w:r>
        <w:rPr>
          <w:rStyle w:val="a7"/>
          <w:rFonts w:cs="Arial"/>
          <w:rtl/>
        </w:rPr>
        <w:footnoteReference w:id="1760"/>
      </w:r>
      <w:r w:rsidRPr="00E93E51">
        <w:rPr>
          <w:rFonts w:cs="Arial"/>
          <w:rtl/>
        </w:rPr>
        <w:t>, מהו? מי אמרינן מאי דקני אקני, או דלמא כי תקינו ליה רבנן פירות לבעל</w:t>
      </w:r>
      <w:r>
        <w:rPr>
          <w:rFonts w:cs="Arial" w:hint="cs"/>
          <w:sz w:val="14"/>
          <w:szCs w:val="14"/>
          <w:rtl/>
        </w:rPr>
        <w:t xml:space="preserve"> (פ:)</w:t>
      </w:r>
      <w:r w:rsidRPr="00E93E51">
        <w:rPr>
          <w:rFonts w:cs="Arial"/>
          <w:rtl/>
        </w:rPr>
        <w:t xml:space="preserve"> -</w:t>
      </w:r>
      <w:r>
        <w:rPr>
          <w:rFonts w:cs="Arial" w:hint="cs"/>
          <w:rtl/>
        </w:rPr>
        <w:t xml:space="preserve"> </w:t>
      </w:r>
      <w:r w:rsidRPr="00E93E51">
        <w:rPr>
          <w:rFonts w:cs="Arial"/>
          <w:rtl/>
        </w:rPr>
        <w:t>משום רווח ביתא</w:t>
      </w:r>
      <w:r>
        <w:rPr>
          <w:rStyle w:val="a7"/>
          <w:rFonts w:cs="Arial"/>
          <w:rtl/>
        </w:rPr>
        <w:footnoteReference w:id="1761"/>
      </w:r>
      <w:r w:rsidRPr="00E93E51">
        <w:rPr>
          <w:rFonts w:cs="Arial"/>
          <w:rtl/>
        </w:rPr>
        <w:t xml:space="preserve">, אבל לזבוני לא? </w:t>
      </w:r>
      <w:r w:rsidRPr="00E93E51">
        <w:rPr>
          <w:rFonts w:cs="Arial"/>
          <w:u w:val="single"/>
          <w:rtl/>
        </w:rPr>
        <w:t>יהודה מר בר מרימר משמיה דרבא אמר</w:t>
      </w:r>
      <w:r w:rsidRPr="00E93E51">
        <w:rPr>
          <w:rFonts w:cs="Arial"/>
          <w:rtl/>
        </w:rPr>
        <w:t>: מה שעשה עשוי</w:t>
      </w:r>
      <w:r>
        <w:rPr>
          <w:rFonts w:cs="Arial" w:hint="cs"/>
          <w:rtl/>
        </w:rPr>
        <w:t>.</w:t>
      </w:r>
      <w:r w:rsidRPr="00E93E51">
        <w:rPr>
          <w:rFonts w:cs="Arial"/>
          <w:rtl/>
        </w:rPr>
        <w:t xml:space="preserve"> </w:t>
      </w:r>
      <w:r w:rsidRPr="00E93E51">
        <w:rPr>
          <w:rFonts w:cs="Arial"/>
          <w:u w:val="single"/>
          <w:rtl/>
        </w:rPr>
        <w:t>רב פפא אמר משמי' דרבא</w:t>
      </w:r>
      <w:r w:rsidRPr="00E93E51">
        <w:rPr>
          <w:rFonts w:cs="Arial"/>
          <w:rtl/>
        </w:rPr>
        <w:t xml:space="preserve">: לא עשה ולא כלום. </w:t>
      </w:r>
      <w:r w:rsidRPr="00E93E51">
        <w:rPr>
          <w:rFonts w:cs="Arial"/>
          <w:u w:val="single"/>
          <w:rtl/>
        </w:rPr>
        <w:t>אמר רב פפא</w:t>
      </w:r>
      <w:r w:rsidRPr="00E93E51">
        <w:rPr>
          <w:rFonts w:cs="Arial"/>
          <w:rtl/>
        </w:rPr>
        <w:t>: הא דיהודה מר בר מרימר - לאו בפירוש אתמר אלא מכללא אתמר, דההיא איתתא דעיילה ליה לגברא תרתי אמהתא, אזל גברא נסיב איתתא אחריתי עייל לה חדא מנייהו, אתאי לקמיה דרבא, צווחה לא אשגח בה</w:t>
      </w:r>
      <w:r>
        <w:rPr>
          <w:rFonts w:cs="Arial" w:hint="cs"/>
          <w:rtl/>
        </w:rPr>
        <w:t>.</w:t>
      </w:r>
      <w:r w:rsidRPr="00E93E51">
        <w:rPr>
          <w:rFonts w:cs="Arial"/>
          <w:rtl/>
        </w:rPr>
        <w:t xml:space="preserve"> מאן דחזא סבר, משום דסבר: מה שעשה עשוי, ולא היא</w:t>
      </w:r>
      <w:r>
        <w:rPr>
          <w:rStyle w:val="a7"/>
          <w:rFonts w:cs="Arial"/>
          <w:rtl/>
        </w:rPr>
        <w:footnoteReference w:id="1762"/>
      </w:r>
      <w:r w:rsidRPr="00E93E51">
        <w:rPr>
          <w:rFonts w:cs="Arial"/>
          <w:rtl/>
        </w:rPr>
        <w:t>, משום רווח ביתא, והא קא רווח</w:t>
      </w:r>
      <w:r>
        <w:rPr>
          <w:rStyle w:val="a7"/>
          <w:rFonts w:cs="Arial"/>
          <w:rtl/>
        </w:rPr>
        <w:footnoteReference w:id="1763"/>
      </w:r>
      <w:r w:rsidRPr="00E93E51">
        <w:rPr>
          <w:rFonts w:cs="Arial"/>
          <w:rtl/>
        </w:rPr>
        <w:t xml:space="preserve">. והלכתא: בעל שמכר קרקע לפירות - לא עשה ולא כלום. מ"ט? </w:t>
      </w:r>
      <w:r w:rsidRPr="007012B1">
        <w:rPr>
          <w:rFonts w:cs="Arial"/>
          <w:u w:val="single"/>
          <w:rtl/>
        </w:rPr>
        <w:t>אביי אמר</w:t>
      </w:r>
      <w:r w:rsidRPr="00E93E51">
        <w:rPr>
          <w:rFonts w:cs="Arial"/>
          <w:rtl/>
        </w:rPr>
        <w:t>: חיישינן שמא תכסיף</w:t>
      </w:r>
      <w:r>
        <w:rPr>
          <w:rStyle w:val="a7"/>
          <w:rFonts w:cs="Arial"/>
          <w:rtl/>
        </w:rPr>
        <w:footnoteReference w:id="1764"/>
      </w:r>
      <w:r>
        <w:rPr>
          <w:rFonts w:cs="Arial" w:hint="cs"/>
          <w:rtl/>
        </w:rPr>
        <w:t>.</w:t>
      </w:r>
      <w:r w:rsidRPr="00E93E51">
        <w:rPr>
          <w:rFonts w:cs="Arial"/>
          <w:rtl/>
        </w:rPr>
        <w:t xml:space="preserve"> </w:t>
      </w:r>
      <w:r w:rsidRPr="007012B1">
        <w:rPr>
          <w:rFonts w:cs="Arial"/>
          <w:u w:val="single"/>
          <w:rtl/>
        </w:rPr>
        <w:t>רבא אמר</w:t>
      </w:r>
      <w:r w:rsidRPr="00E93E51">
        <w:rPr>
          <w:rFonts w:cs="Arial"/>
          <w:rtl/>
        </w:rPr>
        <w:t>: משום רווח ביתא. מאי בינייהו? איכא בינייהו: ארעא דמקרב למתא</w:t>
      </w:r>
      <w:r>
        <w:rPr>
          <w:rStyle w:val="a7"/>
          <w:rFonts w:cs="Arial"/>
          <w:rtl/>
        </w:rPr>
        <w:footnoteReference w:id="1765"/>
      </w:r>
      <w:r>
        <w:rPr>
          <w:rFonts w:cs="Arial" w:hint="cs"/>
          <w:rtl/>
        </w:rPr>
        <w:t>.</w:t>
      </w:r>
      <w:r w:rsidRPr="00E93E51">
        <w:rPr>
          <w:rFonts w:cs="Arial"/>
          <w:rtl/>
        </w:rPr>
        <w:t xml:space="preserve"> אי נמי, בעל אריס </w:t>
      </w:r>
      <w:r w:rsidRPr="00E93E51">
        <w:rPr>
          <w:rFonts w:cs="Arial"/>
          <w:rtl/>
        </w:rPr>
        <w:lastRenderedPageBreak/>
        <w:t>הוא</w:t>
      </w:r>
      <w:r>
        <w:rPr>
          <w:rStyle w:val="a7"/>
          <w:rFonts w:cs="Arial"/>
          <w:rtl/>
        </w:rPr>
        <w:footnoteReference w:id="1766"/>
      </w:r>
      <w:r>
        <w:rPr>
          <w:rFonts w:cs="Arial" w:hint="cs"/>
          <w:rtl/>
        </w:rPr>
        <w:t>.</w:t>
      </w:r>
      <w:r w:rsidRPr="00E93E51">
        <w:rPr>
          <w:rFonts w:cs="Arial"/>
          <w:rtl/>
        </w:rPr>
        <w:t xml:space="preserve"> אי נמי, זוזי וקא עביד בהו עיסקא</w:t>
      </w:r>
      <w:r>
        <w:rPr>
          <w:rStyle w:val="a7"/>
          <w:rFonts w:cs="Arial"/>
          <w:rtl/>
        </w:rPr>
        <w:footnoteReference w:id="1767"/>
      </w:r>
      <w:r w:rsidRPr="00E93E51">
        <w:rPr>
          <w:rFonts w:cs="Arial"/>
          <w:rtl/>
        </w:rPr>
        <w:t>.</w:t>
      </w:r>
      <w:r w:rsidRPr="007012B1">
        <w:rPr>
          <w:rFonts w:cs="Arial"/>
          <w:rtl/>
        </w:rPr>
        <w:t xml:space="preserve"> </w:t>
      </w:r>
      <w:r w:rsidRPr="007012B1">
        <w:rPr>
          <w:rFonts w:cs="Arial" w:hint="cs"/>
          <w:sz w:val="16"/>
          <w:szCs w:val="16"/>
          <w:rtl/>
        </w:rPr>
        <w:t>(</w:t>
      </w:r>
      <w:r w:rsidRPr="007012B1">
        <w:rPr>
          <w:rFonts w:cs="Arial"/>
          <w:sz w:val="16"/>
          <w:szCs w:val="16"/>
          <w:rtl/>
        </w:rPr>
        <w:t>וידוע דהלכה כרבא. וכתב הרא"ש (סי' יא) על בעיא זו משמע דפשיטא ליה לאחר שליקט הפירות יכול למוכרן</w:t>
      </w:r>
      <w:r>
        <w:rPr>
          <w:rFonts w:cs="Arial" w:hint="cs"/>
          <w:sz w:val="16"/>
          <w:szCs w:val="16"/>
          <w:rtl/>
        </w:rPr>
        <w:t>,</w:t>
      </w:r>
      <w:r w:rsidRPr="007012B1">
        <w:rPr>
          <w:rFonts w:cs="Arial"/>
          <w:sz w:val="16"/>
          <w:szCs w:val="16"/>
          <w:rtl/>
        </w:rPr>
        <w:t xml:space="preserve"> מדלא קא מיבעיא ליה אלא במוכר קרקע לפירות</w:t>
      </w:r>
      <w:r>
        <w:rPr>
          <w:rFonts w:cs="Arial" w:hint="cs"/>
          <w:sz w:val="16"/>
          <w:szCs w:val="16"/>
          <w:rtl/>
        </w:rPr>
        <w:t>.</w:t>
      </w:r>
      <w:r w:rsidRPr="007012B1">
        <w:rPr>
          <w:rFonts w:cs="Arial"/>
          <w:sz w:val="16"/>
          <w:szCs w:val="16"/>
          <w:rtl/>
        </w:rPr>
        <w:t xml:space="preserve"> והיינו טעמא כשמוכר פירות בכל שנה ושנה איכא רווחא בדמים וגם נהנו מן הפירות קודם שמכרן</w:t>
      </w:r>
      <w:r>
        <w:rPr>
          <w:rFonts w:cs="Arial" w:hint="cs"/>
          <w:sz w:val="16"/>
          <w:szCs w:val="16"/>
          <w:rtl/>
        </w:rPr>
        <w:t>,</w:t>
      </w:r>
      <w:r w:rsidRPr="007012B1">
        <w:rPr>
          <w:rFonts w:cs="Arial"/>
          <w:sz w:val="16"/>
          <w:szCs w:val="16"/>
          <w:rtl/>
        </w:rPr>
        <w:t xml:space="preserve"> אבל כשמכר הקרקע לפירות ולשנים מרובים ומקבל הדמים ומוציאין ליכא רווח ביתא מכאן ואילך</w:t>
      </w:r>
      <w:r w:rsidRPr="007012B1">
        <w:rPr>
          <w:rFonts w:cs="Arial" w:hint="cs"/>
          <w:sz w:val="16"/>
          <w:szCs w:val="16"/>
          <w:rtl/>
        </w:rPr>
        <w:t>, ב"י)</w:t>
      </w:r>
    </w:p>
    <w:p w14:paraId="0B60D0B0" w14:textId="77777777" w:rsidR="002E5BAD" w:rsidRPr="007012B1" w:rsidRDefault="002E5BAD" w:rsidP="002E5BAD">
      <w:pPr>
        <w:rPr>
          <w:u w:val="single"/>
          <w:rtl/>
        </w:rPr>
      </w:pPr>
      <w:r w:rsidRPr="00310BCC">
        <w:rPr>
          <w:rFonts w:hint="cs"/>
          <w:u w:val="single"/>
          <w:rtl/>
        </w:rPr>
        <w:t>בעל שרוצה למכור קרקע מלוג לפירות</w:t>
      </w:r>
      <w:r w:rsidRPr="007012B1">
        <w:rPr>
          <w:rFonts w:hint="cs"/>
          <w:u w:val="single"/>
          <w:rtl/>
        </w:rPr>
        <w:t>:</w:t>
      </w:r>
    </w:p>
    <w:p w14:paraId="1C32B181" w14:textId="77777777" w:rsidR="002E5BAD" w:rsidRPr="007A228B" w:rsidRDefault="002E5BAD" w:rsidP="002E5BAD">
      <w:pPr>
        <w:pStyle w:val="ab"/>
        <w:numPr>
          <w:ilvl w:val="0"/>
          <w:numId w:val="178"/>
        </w:numPr>
        <w:rPr>
          <w:rtl/>
        </w:rPr>
      </w:pPr>
      <w:r>
        <w:rPr>
          <w:rFonts w:cs="Arial" w:hint="cs"/>
          <w:rtl/>
        </w:rPr>
        <w:t xml:space="preserve">רא"ש </w:t>
      </w:r>
      <w:r w:rsidRPr="007012B1">
        <w:rPr>
          <w:rFonts w:cs="Arial"/>
          <w:sz w:val="16"/>
          <w:szCs w:val="16"/>
          <w:rtl/>
        </w:rPr>
        <w:t xml:space="preserve">(סי' יא) </w:t>
      </w:r>
      <w:r>
        <w:rPr>
          <w:rFonts w:cs="Arial" w:hint="cs"/>
          <w:rtl/>
        </w:rPr>
        <w:t xml:space="preserve">וטור- </w:t>
      </w:r>
      <w:r w:rsidRPr="007A228B">
        <w:rPr>
          <w:rFonts w:cs="Arial"/>
          <w:rtl/>
        </w:rPr>
        <w:t>ואפי</w:t>
      </w:r>
      <w:r>
        <w:rPr>
          <w:rFonts w:cs="Arial" w:hint="cs"/>
          <w:rtl/>
        </w:rPr>
        <w:t>לו</w:t>
      </w:r>
      <w:r w:rsidRPr="007A228B">
        <w:rPr>
          <w:rFonts w:cs="Arial"/>
          <w:rtl/>
        </w:rPr>
        <w:t xml:space="preserve"> רצה הבעל למכור קרקע של נכסי מלוג לאחר</w:t>
      </w:r>
      <w:r>
        <w:rPr>
          <w:rFonts w:cs="Arial" w:hint="cs"/>
          <w:rtl/>
        </w:rPr>
        <w:t>,</w:t>
      </w:r>
      <w:r w:rsidRPr="007A228B">
        <w:rPr>
          <w:rFonts w:cs="Arial"/>
          <w:rtl/>
        </w:rPr>
        <w:t xml:space="preserve"> שיקח פירותיו לשנים מרובות ומקדים לו המעות</w:t>
      </w:r>
      <w:r>
        <w:rPr>
          <w:rFonts w:cs="Arial" w:hint="cs"/>
          <w:rtl/>
        </w:rPr>
        <w:t xml:space="preserve"> -</w:t>
      </w:r>
      <w:r w:rsidRPr="007A228B">
        <w:rPr>
          <w:rFonts w:cs="Arial"/>
          <w:rtl/>
        </w:rPr>
        <w:t xml:space="preserve"> אין שומעין לו אפי' אם הקרקע קרוב לו ומעיין לו בכל יום שלא יפסידנו הלוקח</w:t>
      </w:r>
      <w:r>
        <w:rPr>
          <w:rFonts w:cs="Arial" w:hint="cs"/>
          <w:rtl/>
        </w:rPr>
        <w:t>,</w:t>
      </w:r>
      <w:r w:rsidRPr="007A228B">
        <w:rPr>
          <w:rFonts w:cs="Arial"/>
          <w:rtl/>
        </w:rPr>
        <w:t xml:space="preserve"> משום רווח ביתא</w:t>
      </w:r>
      <w:r>
        <w:rPr>
          <w:rFonts w:cs="Arial" w:hint="cs"/>
          <w:rtl/>
        </w:rPr>
        <w:t>,</w:t>
      </w:r>
      <w:r w:rsidRPr="007A228B">
        <w:rPr>
          <w:rFonts w:cs="Arial"/>
          <w:rtl/>
        </w:rPr>
        <w:t xml:space="preserve"> פי' שטוב לה יותר שישאר בידו כדי שיהיה הוצאת הבית מרווחת</w:t>
      </w:r>
      <w:r>
        <w:rPr>
          <w:rFonts w:cs="Arial" w:hint="cs"/>
          <w:rtl/>
        </w:rPr>
        <w:t>.</w:t>
      </w:r>
      <w:r w:rsidRPr="007A228B">
        <w:rPr>
          <w:rFonts w:cs="Arial"/>
          <w:rtl/>
        </w:rPr>
        <w:t xml:space="preserve"> שאם מוכר הפירות לשנים מרובות ונוטל הדמים ביחד ליכא רווח ביתא</w:t>
      </w:r>
      <w:r>
        <w:rPr>
          <w:rFonts w:cs="Arial" w:hint="cs"/>
          <w:rtl/>
        </w:rPr>
        <w:t>.</w:t>
      </w:r>
      <w:r w:rsidRPr="007A228B">
        <w:rPr>
          <w:rFonts w:cs="Arial"/>
          <w:rtl/>
        </w:rPr>
        <w:t xml:space="preserve"> אבל יכול למכור הפירות בכל שנה ושנה אחר שלקטן</w:t>
      </w:r>
      <w:r>
        <w:rPr>
          <w:rFonts w:cs="Arial" w:hint="cs"/>
          <w:rtl/>
        </w:rPr>
        <w:t>,</w:t>
      </w:r>
      <w:r w:rsidRPr="007A228B">
        <w:rPr>
          <w:rFonts w:cs="Arial"/>
          <w:rtl/>
        </w:rPr>
        <w:t xml:space="preserve"> דהא איכא רווח ביתא בכל שנה ושנה</w:t>
      </w:r>
      <w:r>
        <w:rPr>
          <w:rFonts w:cs="Arial" w:hint="cs"/>
          <w:rtl/>
        </w:rPr>
        <w:t>.</w:t>
      </w:r>
      <w:r w:rsidRPr="007A228B">
        <w:rPr>
          <w:rFonts w:cs="Arial"/>
          <w:rtl/>
        </w:rPr>
        <w:t xml:space="preserve"> וכן אם ימכור פירותיו לשנים מרובות ועושה סחורה במעות שפיר דמי</w:t>
      </w:r>
      <w:r>
        <w:rPr>
          <w:rFonts w:cs="Arial" w:hint="cs"/>
          <w:sz w:val="16"/>
          <w:szCs w:val="16"/>
          <w:rtl/>
        </w:rPr>
        <w:t xml:space="preserve"> (ל' הטור)</w:t>
      </w:r>
      <w:r>
        <w:rPr>
          <w:rFonts w:cs="Arial" w:hint="cs"/>
          <w:rtl/>
        </w:rPr>
        <w:t>.</w:t>
      </w:r>
      <w:r w:rsidRPr="007A228B">
        <w:rPr>
          <w:rFonts w:cs="Arial"/>
          <w:rtl/>
        </w:rPr>
        <w:t xml:space="preserve"> </w:t>
      </w:r>
      <w:r w:rsidRPr="00137671">
        <w:rPr>
          <w:rFonts w:hint="cs"/>
          <w:color w:val="E36C0A" w:themeColor="accent6" w:themeShade="BF"/>
          <w:rtl/>
        </w:rPr>
        <w:t>(וכ"פ בשו"ע)</w:t>
      </w:r>
    </w:p>
    <w:p w14:paraId="5FD052D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607E08B" w14:textId="77777777" w:rsidR="002E5BAD" w:rsidRDefault="002E5BAD" w:rsidP="002E5BAD">
      <w:pPr>
        <w:rPr>
          <w:rtl/>
        </w:rPr>
      </w:pPr>
      <w:r>
        <w:rPr>
          <w:rFonts w:cs="Arial"/>
          <w:rtl/>
        </w:rPr>
        <w:t>אם רצה הבעל למכור קרקע של נכסי מלוג לאחר, שיקח פירותיו לשנים מרובות, ומקדים לו המעות, אין שומעין לו. אבל יכול למכור הפירות בכל שנה, אחר שליקטן. וכן אם ימכור הפירות לשנים מרובות, ועושה סחורה במעות, שפיר דמי</w:t>
      </w:r>
      <w:r>
        <w:rPr>
          <w:rStyle w:val="a7"/>
          <w:rFonts w:cs="Arial"/>
          <w:rtl/>
        </w:rPr>
        <w:footnoteReference w:id="1768"/>
      </w:r>
      <w:r>
        <w:rPr>
          <w:rFonts w:cs="Arial"/>
          <w:rtl/>
        </w:rPr>
        <w:t xml:space="preserve">. </w:t>
      </w:r>
      <w:r w:rsidRPr="00F46615">
        <w:rPr>
          <w:rFonts w:cs="Arial"/>
          <w:sz w:val="18"/>
          <w:szCs w:val="18"/>
          <w:rtl/>
        </w:rPr>
        <w:t xml:space="preserve">(ואם ב"ח גובה מנדוניית האשה או </w:t>
      </w:r>
      <w:r>
        <w:rPr>
          <w:rFonts w:cs="Arial"/>
          <w:sz w:val="18"/>
          <w:szCs w:val="18"/>
          <w:rtl/>
        </w:rPr>
        <w:t>נכסי מלוג</w:t>
      </w:r>
      <w:r w:rsidRPr="00F46615">
        <w:rPr>
          <w:rFonts w:cs="Arial"/>
          <w:sz w:val="18"/>
          <w:szCs w:val="18"/>
          <w:rtl/>
        </w:rPr>
        <w:t xml:space="preserve"> שלה</w:t>
      </w:r>
      <w:r>
        <w:rPr>
          <w:rStyle w:val="a7"/>
          <w:rFonts w:cs="Arial"/>
          <w:sz w:val="18"/>
          <w:szCs w:val="18"/>
          <w:rtl/>
        </w:rPr>
        <w:footnoteReference w:id="1769"/>
      </w:r>
      <w:r w:rsidRPr="00F46615">
        <w:rPr>
          <w:rFonts w:cs="Arial"/>
          <w:sz w:val="18"/>
          <w:szCs w:val="18"/>
          <w:rtl/>
        </w:rPr>
        <w:t xml:space="preserve"> עיין בח"ה ס' צ"ז). </w:t>
      </w:r>
    </w:p>
    <w:p w14:paraId="073E22CB" w14:textId="77777777" w:rsidR="002E5BAD" w:rsidRDefault="002E5BAD" w:rsidP="002E5BAD">
      <w:pPr>
        <w:rPr>
          <w:rtl/>
        </w:rPr>
      </w:pPr>
    </w:p>
    <w:p w14:paraId="75C9879B" w14:textId="77777777" w:rsidR="002E5BAD" w:rsidRDefault="002E5BAD" w:rsidP="002E5BAD">
      <w:pPr>
        <w:pStyle w:val="2"/>
        <w:rPr>
          <w:rtl/>
        </w:rPr>
      </w:pPr>
      <w:r>
        <w:rPr>
          <w:rtl/>
        </w:rPr>
        <w:t>סעיף יח</w:t>
      </w:r>
      <w:r>
        <w:rPr>
          <w:rFonts w:hint="cs"/>
          <w:rtl/>
        </w:rPr>
        <w:t xml:space="preserve">: בעל שרוצה למכור קרקע מלוג לפירות - והקרקע רחוקה. </w:t>
      </w:r>
    </w:p>
    <w:p w14:paraId="4F64388C" w14:textId="77777777" w:rsidR="002E5BAD" w:rsidRPr="00310BCC" w:rsidRDefault="002E5BAD" w:rsidP="002E5BAD">
      <w:pPr>
        <w:rPr>
          <w:u w:val="single"/>
          <w:rtl/>
        </w:rPr>
      </w:pPr>
      <w:r w:rsidRPr="00310BCC">
        <w:rPr>
          <w:rFonts w:hint="cs"/>
          <w:u w:val="single"/>
          <w:rtl/>
        </w:rPr>
        <w:t>בעל שרוצה למכור קרקע מלוג לפירות - והקרקע רחוקה:</w:t>
      </w:r>
    </w:p>
    <w:p w14:paraId="52DA3AC9" w14:textId="77777777" w:rsidR="002E5BAD" w:rsidRPr="00A45E10" w:rsidRDefault="002E5BAD" w:rsidP="002E5BAD">
      <w:pPr>
        <w:pStyle w:val="ab"/>
        <w:numPr>
          <w:ilvl w:val="0"/>
          <w:numId w:val="178"/>
        </w:numPr>
      </w:pPr>
      <w:r w:rsidRPr="007A228B">
        <w:rPr>
          <w:rFonts w:cs="Arial"/>
          <w:rtl/>
        </w:rPr>
        <w:t xml:space="preserve">רב האי </w:t>
      </w:r>
      <w:r w:rsidRPr="00A45E10">
        <w:rPr>
          <w:rFonts w:cs="Arial"/>
          <w:sz w:val="16"/>
          <w:szCs w:val="16"/>
          <w:rtl/>
        </w:rPr>
        <w:t>(המקח והממכר שער ד</w:t>
      </w:r>
      <w:r>
        <w:rPr>
          <w:rFonts w:cs="Arial" w:hint="cs"/>
          <w:sz w:val="16"/>
          <w:szCs w:val="16"/>
          <w:rtl/>
        </w:rPr>
        <w:t>, הביאוהו הרא"ש והטור</w:t>
      </w:r>
      <w:r w:rsidRPr="00A45E10">
        <w:rPr>
          <w:rFonts w:cs="Arial"/>
          <w:sz w:val="16"/>
          <w:szCs w:val="16"/>
          <w:rtl/>
        </w:rPr>
        <w:t>)</w:t>
      </w:r>
      <w:r>
        <w:rPr>
          <w:rFonts w:cs="Arial" w:hint="cs"/>
          <w:rtl/>
        </w:rPr>
        <w:t xml:space="preserve"> רא"ש </w:t>
      </w:r>
      <w:r>
        <w:rPr>
          <w:rFonts w:cs="Arial" w:hint="cs"/>
          <w:sz w:val="16"/>
          <w:szCs w:val="16"/>
          <w:rtl/>
        </w:rPr>
        <w:t>(פ"ח סי' יא)</w:t>
      </w:r>
      <w:r>
        <w:rPr>
          <w:rFonts w:cs="Arial" w:hint="cs"/>
          <w:rtl/>
        </w:rPr>
        <w:t xml:space="preserve"> וטור- </w:t>
      </w:r>
      <w:r w:rsidRPr="007A228B">
        <w:rPr>
          <w:rFonts w:cs="Arial"/>
          <w:rtl/>
        </w:rPr>
        <w:t xml:space="preserve">אם הקרקע רחוק ומכר לפירות </w:t>
      </w:r>
      <w:r>
        <w:rPr>
          <w:rFonts w:cs="Arial" w:hint="cs"/>
          <w:rtl/>
        </w:rPr>
        <w:t xml:space="preserve">- </w:t>
      </w:r>
      <w:r w:rsidRPr="007A228B">
        <w:rPr>
          <w:rFonts w:cs="Arial"/>
          <w:rtl/>
        </w:rPr>
        <w:t>מכור</w:t>
      </w:r>
      <w:r>
        <w:rPr>
          <w:rFonts w:cs="Arial" w:hint="cs"/>
          <w:rtl/>
        </w:rPr>
        <w:t>,</w:t>
      </w:r>
      <w:r w:rsidRPr="007A228B">
        <w:rPr>
          <w:rFonts w:cs="Arial"/>
          <w:rtl/>
        </w:rPr>
        <w:t xml:space="preserve"> כיון שהוא רחוק ואינו יכול להביא הפירות לבית גם מעיקרא ליכא רווח ביתא</w:t>
      </w:r>
      <w:r>
        <w:rPr>
          <w:rFonts w:cs="Arial" w:hint="cs"/>
          <w:rtl/>
        </w:rPr>
        <w:t>.</w:t>
      </w:r>
      <w:r w:rsidRPr="007A228B">
        <w:rPr>
          <w:rFonts w:cs="Arial"/>
          <w:rtl/>
        </w:rPr>
        <w:t xml:space="preserve"> ואע</w:t>
      </w:r>
      <w:r>
        <w:rPr>
          <w:rFonts w:cs="Arial" w:hint="cs"/>
          <w:rtl/>
        </w:rPr>
        <w:t>"</w:t>
      </w:r>
      <w:r w:rsidRPr="007A228B">
        <w:rPr>
          <w:rFonts w:cs="Arial"/>
          <w:rtl/>
        </w:rPr>
        <w:t>פ שאם היה מוכר הפירות בכל שנה ושנה היה לו רווח ביתא בדמים</w:t>
      </w:r>
      <w:r>
        <w:rPr>
          <w:rFonts w:cs="Arial" w:hint="cs"/>
          <w:rtl/>
        </w:rPr>
        <w:t>,</w:t>
      </w:r>
      <w:r w:rsidRPr="007A228B">
        <w:rPr>
          <w:rFonts w:cs="Arial"/>
          <w:rtl/>
        </w:rPr>
        <w:t xml:space="preserve"> כיון שהוא רחוק ממנו וצריך להוציא יציאות ולטרוח בכל שנה ושנה טוב יותר למוכרו לפירות</w:t>
      </w:r>
      <w:r>
        <w:rPr>
          <w:rFonts w:cs="Arial" w:hint="cs"/>
          <w:sz w:val="16"/>
          <w:szCs w:val="16"/>
          <w:rtl/>
        </w:rPr>
        <w:t xml:space="preserve"> (ל' הטור בשם רב האי)</w:t>
      </w:r>
      <w:r>
        <w:rPr>
          <w:rFonts w:cs="Arial" w:hint="cs"/>
          <w:rtl/>
        </w:rPr>
        <w:t>.</w:t>
      </w:r>
      <w:r w:rsidRPr="007A228B">
        <w:rPr>
          <w:rFonts w:cs="Arial"/>
          <w:rtl/>
        </w:rPr>
        <w:t xml:space="preserve"> </w:t>
      </w:r>
      <w:r w:rsidRPr="00137671">
        <w:rPr>
          <w:rFonts w:hint="cs"/>
          <w:color w:val="E36C0A" w:themeColor="accent6" w:themeShade="BF"/>
          <w:rtl/>
        </w:rPr>
        <w:t>(וכ"פ בשו"ע)</w:t>
      </w:r>
    </w:p>
    <w:p w14:paraId="190E0863" w14:textId="77777777" w:rsidR="002E5BAD" w:rsidRPr="00167ADF" w:rsidRDefault="002E5BAD" w:rsidP="002E5BAD">
      <w:pPr>
        <w:rPr>
          <w:u w:val="single"/>
        </w:rPr>
      </w:pPr>
      <w:r w:rsidRPr="00167ADF">
        <w:rPr>
          <w:rFonts w:cs="Arial"/>
          <w:u w:val="single"/>
          <w:rtl/>
        </w:rPr>
        <w:t xml:space="preserve"> נפלו לה כספים</w:t>
      </w:r>
      <w:r w:rsidRPr="00167ADF">
        <w:rPr>
          <w:rFonts w:hint="cs"/>
          <w:u w:val="single"/>
          <w:rtl/>
        </w:rPr>
        <w:t>, ורוצה הבעל להוציא אותם בעיסקא כדי להרוויח יותר:</w:t>
      </w:r>
    </w:p>
    <w:p w14:paraId="4A648FDC" w14:textId="77777777" w:rsidR="002E5BAD" w:rsidRPr="007A228B" w:rsidRDefault="002E5BAD" w:rsidP="002E5BAD">
      <w:pPr>
        <w:pStyle w:val="ab"/>
        <w:numPr>
          <w:ilvl w:val="0"/>
          <w:numId w:val="178"/>
        </w:numPr>
        <w:rPr>
          <w:rtl/>
        </w:rPr>
      </w:pPr>
      <w:r w:rsidRPr="00A45E10">
        <w:rPr>
          <w:rFonts w:cs="Arial"/>
          <w:rtl/>
        </w:rPr>
        <w:t xml:space="preserve">רשב"א </w:t>
      </w:r>
      <w:r w:rsidRPr="00A45E10">
        <w:rPr>
          <w:rFonts w:cs="Arial"/>
          <w:sz w:val="16"/>
          <w:szCs w:val="16"/>
          <w:rtl/>
        </w:rPr>
        <w:t>(ח"ב סי' שז)</w:t>
      </w:r>
      <w:r>
        <w:rPr>
          <w:rFonts w:cs="Arial" w:hint="cs"/>
          <w:rtl/>
        </w:rPr>
        <w:t>-</w:t>
      </w:r>
      <w:r w:rsidRPr="00A45E10">
        <w:rPr>
          <w:rFonts w:cs="Arial"/>
          <w:rtl/>
        </w:rPr>
        <w:t xml:space="preserve"> נפלו לה כספים ילקח בהם קרקע והוא אוכל פירות</w:t>
      </w:r>
      <w:r>
        <w:rPr>
          <w:rFonts w:cs="Arial" w:hint="cs"/>
          <w:rtl/>
        </w:rPr>
        <w:t>,</w:t>
      </w:r>
      <w:r w:rsidRPr="00A45E10">
        <w:rPr>
          <w:rFonts w:cs="Arial"/>
          <w:rtl/>
        </w:rPr>
        <w:t xml:space="preserve"> ואם אמר הבעל עבידנא עיסקא בזוזי ומרווחנא טובא ואיכא רווח ביתא </w:t>
      </w:r>
      <w:r>
        <w:rPr>
          <w:rFonts w:cs="Arial" w:hint="cs"/>
          <w:rtl/>
        </w:rPr>
        <w:t xml:space="preserve">- </w:t>
      </w:r>
      <w:r w:rsidRPr="00A45E10">
        <w:rPr>
          <w:rFonts w:cs="Arial"/>
          <w:rtl/>
        </w:rPr>
        <w:t>אין שומעין לו</w:t>
      </w:r>
      <w:r>
        <w:rPr>
          <w:rFonts w:cs="Arial" w:hint="cs"/>
          <w:rtl/>
        </w:rPr>
        <w:t>.</w:t>
      </w:r>
      <w:r w:rsidRPr="00A45E10">
        <w:rPr>
          <w:rFonts w:cs="Arial"/>
          <w:rtl/>
        </w:rPr>
        <w:t xml:space="preserve"> ודברי רבא שאמר בזוזי ועביד בהו עיסקא דשומעין לו משום רווח ביתא לא על דרך זה נאמרו אלא על מוכר פירות נכסי מלוג</w:t>
      </w:r>
      <w:r>
        <w:rPr>
          <w:rFonts w:cs="Arial" w:hint="cs"/>
          <w:rtl/>
        </w:rPr>
        <w:t>,</w:t>
      </w:r>
      <w:r w:rsidRPr="00A45E10">
        <w:rPr>
          <w:rFonts w:cs="Arial"/>
          <w:rtl/>
        </w:rPr>
        <w:t xml:space="preserve"> אבל קרן זוזי דנפלו לה בנכסי מלוג </w:t>
      </w:r>
      <w:r>
        <w:rPr>
          <w:rFonts w:cs="Arial" w:hint="cs"/>
          <w:rtl/>
        </w:rPr>
        <w:t xml:space="preserve">- </w:t>
      </w:r>
      <w:r w:rsidRPr="00A45E10">
        <w:rPr>
          <w:rFonts w:cs="Arial"/>
          <w:rtl/>
        </w:rPr>
        <w:t>אין שומעין לו</w:t>
      </w:r>
      <w:r>
        <w:rPr>
          <w:rFonts w:cs="Arial" w:hint="cs"/>
          <w:rtl/>
        </w:rPr>
        <w:t>,</w:t>
      </w:r>
      <w:r w:rsidRPr="00A45E10">
        <w:rPr>
          <w:rFonts w:cs="Arial"/>
          <w:rtl/>
        </w:rPr>
        <w:t xml:space="preserve"> וזה פשוט מאד</w:t>
      </w:r>
      <w:r>
        <w:rPr>
          <w:rFonts w:cs="Arial" w:hint="cs"/>
          <w:rtl/>
        </w:rPr>
        <w:t>.</w:t>
      </w:r>
      <w:r>
        <w:rPr>
          <w:rFonts w:hint="cs"/>
          <w:rtl/>
        </w:rPr>
        <w:t xml:space="preserve"> (וכ"פ הח"מ</w:t>
      </w:r>
      <w:r>
        <w:rPr>
          <w:rFonts w:hint="cs"/>
          <w:sz w:val="16"/>
          <w:szCs w:val="16"/>
          <w:rtl/>
        </w:rPr>
        <w:t xml:space="preserve"> [סקמ"ב]</w:t>
      </w:r>
      <w:r>
        <w:rPr>
          <w:rFonts w:hint="cs"/>
          <w:rtl/>
        </w:rPr>
        <w:t>)</w:t>
      </w:r>
    </w:p>
    <w:p w14:paraId="0EEFD938"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26CFB35" w14:textId="77777777" w:rsidR="002E5BAD" w:rsidRDefault="002E5BAD" w:rsidP="002E5BAD">
      <w:pPr>
        <w:rPr>
          <w:rtl/>
        </w:rPr>
      </w:pPr>
      <w:r>
        <w:rPr>
          <w:rFonts w:cs="Arial"/>
          <w:rtl/>
        </w:rPr>
        <w:t>יש מי שאומר שאם הקרקע רחוק ומכרו לפירות לשנים מרובות מכור</w:t>
      </w:r>
      <w:r>
        <w:rPr>
          <w:rStyle w:val="a7"/>
          <w:rFonts w:cs="Arial"/>
          <w:rtl/>
        </w:rPr>
        <w:footnoteReference w:id="1770"/>
      </w:r>
      <w:r>
        <w:rPr>
          <w:rFonts w:cs="Arial"/>
          <w:rtl/>
        </w:rPr>
        <w:t xml:space="preserve">. </w:t>
      </w:r>
    </w:p>
    <w:p w14:paraId="49EDED21" w14:textId="77777777" w:rsidR="002E5BAD" w:rsidRDefault="002E5BAD" w:rsidP="002E5BAD">
      <w:pPr>
        <w:rPr>
          <w:rtl/>
        </w:rPr>
      </w:pPr>
    </w:p>
    <w:p w14:paraId="47AEF2C4" w14:textId="77777777" w:rsidR="002E5BAD" w:rsidRDefault="002E5BAD" w:rsidP="002E5BAD">
      <w:pPr>
        <w:pStyle w:val="2"/>
        <w:rPr>
          <w:rtl/>
        </w:rPr>
      </w:pPr>
      <w:r>
        <w:rPr>
          <w:rtl/>
        </w:rPr>
        <w:lastRenderedPageBreak/>
        <w:t>סעיף יט</w:t>
      </w:r>
      <w:r>
        <w:rPr>
          <w:rFonts w:hint="cs"/>
          <w:rtl/>
        </w:rPr>
        <w:t xml:space="preserve">: </w:t>
      </w:r>
      <w:r w:rsidRPr="007A228B">
        <w:rPr>
          <w:rFonts w:cs="Arial"/>
          <w:rtl/>
        </w:rPr>
        <w:t>הכניסה לו שתי שפחות</w:t>
      </w:r>
      <w:r>
        <w:rPr>
          <w:rFonts w:cs="Arial" w:hint="cs"/>
          <w:rtl/>
        </w:rPr>
        <w:t>,</w:t>
      </w:r>
      <w:r w:rsidRPr="007A228B">
        <w:rPr>
          <w:rFonts w:cs="Arial"/>
          <w:rtl/>
        </w:rPr>
        <w:t xml:space="preserve"> </w:t>
      </w:r>
      <w:r>
        <w:rPr>
          <w:rFonts w:cs="Arial" w:hint="cs"/>
          <w:rtl/>
        </w:rPr>
        <w:t>ורוצה</w:t>
      </w:r>
      <w:r w:rsidRPr="007A228B">
        <w:rPr>
          <w:rFonts w:cs="Arial"/>
          <w:rtl/>
        </w:rPr>
        <w:t xml:space="preserve"> לייחד אחת מהן לאשה אחרת שיש לו</w:t>
      </w:r>
      <w:r>
        <w:rPr>
          <w:rFonts w:cs="Arial" w:hint="cs"/>
          <w:rtl/>
        </w:rPr>
        <w:t>.</w:t>
      </w:r>
    </w:p>
    <w:p w14:paraId="1DA412A3" w14:textId="77777777" w:rsidR="002E5BAD" w:rsidRPr="006A451E" w:rsidRDefault="002E5BAD" w:rsidP="002E5BAD">
      <w:pPr>
        <w:rPr>
          <w:rFonts w:cs="Arial"/>
          <w:rtl/>
        </w:rPr>
      </w:pPr>
      <w:r w:rsidRPr="003C240D">
        <w:rPr>
          <w:rFonts w:cs="Arial" w:hint="cs"/>
          <w:b/>
          <w:bCs/>
          <w:rtl/>
        </w:rPr>
        <w:t xml:space="preserve">כתובות </w:t>
      </w:r>
      <w:r>
        <w:rPr>
          <w:rFonts w:cs="Arial" w:hint="cs"/>
          <w:b/>
          <w:bCs/>
          <w:sz w:val="16"/>
          <w:szCs w:val="16"/>
          <w:rtl/>
        </w:rPr>
        <w:t xml:space="preserve">(פ' האשה שנפלו) </w:t>
      </w:r>
      <w:r>
        <w:rPr>
          <w:rFonts w:cs="Arial" w:hint="cs"/>
          <w:b/>
          <w:bCs/>
          <w:rtl/>
        </w:rPr>
        <w:t>פ</w:t>
      </w:r>
      <w:r w:rsidRPr="003C240D">
        <w:rPr>
          <w:rFonts w:cs="Arial" w:hint="cs"/>
          <w:b/>
          <w:bCs/>
          <w:rtl/>
        </w:rPr>
        <w:t xml:space="preserve"> ע"</w:t>
      </w:r>
      <w:r>
        <w:rPr>
          <w:rFonts w:cs="Arial" w:hint="cs"/>
          <w:b/>
          <w:bCs/>
          <w:rtl/>
        </w:rPr>
        <w:t>א</w:t>
      </w:r>
      <w:r w:rsidRPr="003C240D">
        <w:rPr>
          <w:rFonts w:cs="Arial" w:hint="cs"/>
          <w:b/>
          <w:bCs/>
          <w:rtl/>
        </w:rPr>
        <w:t xml:space="preserve">: </w:t>
      </w:r>
      <w:r w:rsidRPr="00E93E51">
        <w:rPr>
          <w:rFonts w:cs="Arial"/>
          <w:rtl/>
        </w:rPr>
        <w:t>איבעיא להו: בעל שמכר קרקע לפירות</w:t>
      </w:r>
      <w:r>
        <w:rPr>
          <w:rStyle w:val="a7"/>
          <w:rFonts w:cs="Arial"/>
          <w:rtl/>
        </w:rPr>
        <w:footnoteReference w:id="1771"/>
      </w:r>
      <w:r w:rsidRPr="00E93E51">
        <w:rPr>
          <w:rFonts w:cs="Arial"/>
          <w:rtl/>
        </w:rPr>
        <w:t>, מהו? מי אמרינן מאי דקני אקני, או דלמא כי תקינו ליה רבנן פירות לבעל</w:t>
      </w:r>
      <w:r>
        <w:rPr>
          <w:rFonts w:cs="Arial" w:hint="cs"/>
          <w:sz w:val="14"/>
          <w:szCs w:val="14"/>
          <w:rtl/>
        </w:rPr>
        <w:t xml:space="preserve"> (פ:)</w:t>
      </w:r>
      <w:r w:rsidRPr="00E93E51">
        <w:rPr>
          <w:rFonts w:cs="Arial"/>
          <w:rtl/>
        </w:rPr>
        <w:t xml:space="preserve"> -</w:t>
      </w:r>
      <w:r>
        <w:rPr>
          <w:rFonts w:cs="Arial" w:hint="cs"/>
          <w:rtl/>
        </w:rPr>
        <w:t xml:space="preserve"> </w:t>
      </w:r>
      <w:r w:rsidRPr="00E93E51">
        <w:rPr>
          <w:rFonts w:cs="Arial"/>
          <w:rtl/>
        </w:rPr>
        <w:t>משום רווח ביתא</w:t>
      </w:r>
      <w:r>
        <w:rPr>
          <w:rStyle w:val="a7"/>
          <w:rFonts w:cs="Arial"/>
          <w:rtl/>
        </w:rPr>
        <w:footnoteReference w:id="1772"/>
      </w:r>
      <w:r w:rsidRPr="00E93E51">
        <w:rPr>
          <w:rFonts w:cs="Arial"/>
          <w:rtl/>
        </w:rPr>
        <w:t xml:space="preserve">, אבל לזבוני לא? </w:t>
      </w:r>
      <w:r w:rsidRPr="00E93E51">
        <w:rPr>
          <w:rFonts w:cs="Arial"/>
          <w:u w:val="single"/>
          <w:rtl/>
        </w:rPr>
        <w:t>יהודה מר בר מרימר משמיה דרבא אמר</w:t>
      </w:r>
      <w:r w:rsidRPr="00E93E51">
        <w:rPr>
          <w:rFonts w:cs="Arial"/>
          <w:rtl/>
        </w:rPr>
        <w:t>: מה שעשה עשוי</w:t>
      </w:r>
      <w:r>
        <w:rPr>
          <w:rFonts w:cs="Arial" w:hint="cs"/>
          <w:rtl/>
        </w:rPr>
        <w:t>.</w:t>
      </w:r>
      <w:r w:rsidRPr="00E93E51">
        <w:rPr>
          <w:rFonts w:cs="Arial"/>
          <w:rtl/>
        </w:rPr>
        <w:t xml:space="preserve"> </w:t>
      </w:r>
      <w:r w:rsidRPr="00E93E51">
        <w:rPr>
          <w:rFonts w:cs="Arial"/>
          <w:u w:val="single"/>
          <w:rtl/>
        </w:rPr>
        <w:t>רב פפא אמר משמי' דרבא</w:t>
      </w:r>
      <w:r w:rsidRPr="00E93E51">
        <w:rPr>
          <w:rFonts w:cs="Arial"/>
          <w:rtl/>
        </w:rPr>
        <w:t xml:space="preserve">: לא עשה ולא כלום. </w:t>
      </w:r>
      <w:r w:rsidRPr="00E93E51">
        <w:rPr>
          <w:rFonts w:cs="Arial"/>
          <w:u w:val="single"/>
          <w:rtl/>
        </w:rPr>
        <w:t>אמר רב פפא</w:t>
      </w:r>
      <w:r w:rsidRPr="00E93E51">
        <w:rPr>
          <w:rFonts w:cs="Arial"/>
          <w:rtl/>
        </w:rPr>
        <w:t>: הא דיהודה מר בר מרימר - לאו בפירוש אתמר אלא מכללא אתמר, דההיא איתתא דעיילה ליה לגברא תרתי אמהתא, אזל גברא נסיב איתתא אחריתי עייל לה חדא מנייהו, אתאי לקמיה דרבא, צווחה לא אשגח בה</w:t>
      </w:r>
      <w:r>
        <w:rPr>
          <w:rFonts w:cs="Arial" w:hint="cs"/>
          <w:rtl/>
        </w:rPr>
        <w:t>.</w:t>
      </w:r>
      <w:r w:rsidRPr="00E93E51">
        <w:rPr>
          <w:rFonts w:cs="Arial"/>
          <w:rtl/>
        </w:rPr>
        <w:t xml:space="preserve"> מאן דחזא סבר, משום דסבר: מה שעשה עשוי, ולא היא</w:t>
      </w:r>
      <w:r>
        <w:rPr>
          <w:rStyle w:val="a7"/>
          <w:rFonts w:cs="Arial"/>
          <w:rtl/>
        </w:rPr>
        <w:footnoteReference w:id="1773"/>
      </w:r>
      <w:r w:rsidRPr="00E93E51">
        <w:rPr>
          <w:rFonts w:cs="Arial"/>
          <w:rtl/>
        </w:rPr>
        <w:t>, משום רווח ביתא, והא קא רווח</w:t>
      </w:r>
      <w:r>
        <w:rPr>
          <w:rStyle w:val="a7"/>
          <w:rFonts w:cs="Arial"/>
          <w:rtl/>
        </w:rPr>
        <w:footnoteReference w:id="1774"/>
      </w:r>
      <w:r w:rsidRPr="00E93E51">
        <w:rPr>
          <w:rFonts w:cs="Arial"/>
          <w:rtl/>
        </w:rPr>
        <w:t xml:space="preserve">. </w:t>
      </w:r>
      <w:r>
        <w:rPr>
          <w:rFonts w:cs="Arial" w:hint="cs"/>
          <w:sz w:val="16"/>
          <w:szCs w:val="16"/>
          <w:rtl/>
        </w:rPr>
        <w:t>(</w:t>
      </w:r>
      <w:r w:rsidRPr="00B066A0">
        <w:rPr>
          <w:rFonts w:cs="Arial"/>
          <w:sz w:val="16"/>
          <w:szCs w:val="16"/>
          <w:rtl/>
        </w:rPr>
        <w:t>וכתב הרא"ש (סי' יא)</w:t>
      </w:r>
      <w:r>
        <w:rPr>
          <w:rFonts w:cs="Arial" w:hint="cs"/>
          <w:sz w:val="16"/>
          <w:szCs w:val="16"/>
          <w:rtl/>
        </w:rPr>
        <w:t>-</w:t>
      </w:r>
      <w:r w:rsidRPr="00B066A0">
        <w:rPr>
          <w:rFonts w:cs="Arial"/>
          <w:sz w:val="16"/>
          <w:szCs w:val="16"/>
          <w:rtl/>
        </w:rPr>
        <w:t xml:space="preserve"> פירש הרי"ף (לט.) דהא איכא אחריתי</w:t>
      </w:r>
      <w:r>
        <w:rPr>
          <w:rFonts w:cs="Arial" w:hint="cs"/>
          <w:sz w:val="16"/>
          <w:szCs w:val="16"/>
          <w:rtl/>
        </w:rPr>
        <w:t>.</w:t>
      </w:r>
      <w:r w:rsidRPr="00B066A0">
        <w:rPr>
          <w:rFonts w:cs="Arial"/>
          <w:sz w:val="16"/>
          <w:szCs w:val="16"/>
          <w:rtl/>
        </w:rPr>
        <w:t xml:space="preserve"> ומתוך דבריו משמע שגם היה יכול למכרה לאחר כיון דאיכא אחריתי</w:t>
      </w:r>
      <w:r>
        <w:rPr>
          <w:rFonts w:cs="Arial" w:hint="cs"/>
          <w:sz w:val="16"/>
          <w:szCs w:val="16"/>
          <w:rtl/>
        </w:rPr>
        <w:t>.</w:t>
      </w:r>
      <w:r w:rsidRPr="00B066A0">
        <w:rPr>
          <w:rFonts w:cs="Arial"/>
          <w:sz w:val="16"/>
          <w:szCs w:val="16"/>
          <w:rtl/>
        </w:rPr>
        <w:t xml:space="preserve"> ולא מסתבר כלל</w:t>
      </w:r>
      <w:r>
        <w:rPr>
          <w:rFonts w:cs="Arial" w:hint="cs"/>
          <w:sz w:val="16"/>
          <w:szCs w:val="16"/>
          <w:rtl/>
        </w:rPr>
        <w:t>,</w:t>
      </w:r>
      <w:r w:rsidRPr="00B066A0">
        <w:rPr>
          <w:rFonts w:cs="Arial"/>
          <w:sz w:val="16"/>
          <w:szCs w:val="16"/>
          <w:rtl/>
        </w:rPr>
        <w:t xml:space="preserve"> ולמה ימכור נכסי מלוג שלה דליכא רווח ביתא באחת כי היא רוצה להשתמש בשתיהן</w:t>
      </w:r>
      <w:r>
        <w:rPr>
          <w:rFonts w:cs="Arial" w:hint="cs"/>
          <w:sz w:val="16"/>
          <w:szCs w:val="16"/>
          <w:rtl/>
        </w:rPr>
        <w:t>.</w:t>
      </w:r>
      <w:r w:rsidRPr="00B066A0">
        <w:rPr>
          <w:rFonts w:cs="Arial"/>
          <w:sz w:val="16"/>
          <w:szCs w:val="16"/>
          <w:rtl/>
        </w:rPr>
        <w:t xml:space="preserve"> לכן נראה כפירוש רש"י דמיירי כשהכניס צרתה לביתה והיא משמשת לכל בני הבית כבתחלה אלא שייחד אותה לצרה להיות תדירה לשימושה</w:t>
      </w:r>
      <w:r>
        <w:rPr>
          <w:rFonts w:cs="Arial" w:hint="cs"/>
          <w:sz w:val="16"/>
          <w:szCs w:val="16"/>
          <w:rtl/>
        </w:rPr>
        <w:t>,</w:t>
      </w:r>
      <w:r w:rsidRPr="00B066A0">
        <w:rPr>
          <w:rFonts w:cs="Arial"/>
          <w:sz w:val="16"/>
          <w:szCs w:val="16"/>
          <w:rtl/>
        </w:rPr>
        <w:t xml:space="preserve"> ולא נתמעט ריוח ביתא</w:t>
      </w:r>
      <w:r>
        <w:rPr>
          <w:rFonts w:cs="Arial" w:hint="cs"/>
          <w:sz w:val="16"/>
          <w:szCs w:val="16"/>
          <w:rtl/>
        </w:rPr>
        <w:t>,</w:t>
      </w:r>
      <w:r w:rsidRPr="00B066A0">
        <w:rPr>
          <w:rFonts w:cs="Arial"/>
          <w:sz w:val="16"/>
          <w:szCs w:val="16"/>
          <w:rtl/>
        </w:rPr>
        <w:t xml:space="preserve"> שכן דרך השפחות לשמש לארחי ופרחי ולכל הנכנסים לבית</w:t>
      </w:r>
      <w:r>
        <w:rPr>
          <w:rFonts w:cs="Arial" w:hint="cs"/>
          <w:sz w:val="16"/>
          <w:szCs w:val="16"/>
          <w:rtl/>
        </w:rPr>
        <w:t xml:space="preserve"> [עכ"ל], ב"י)</w:t>
      </w:r>
    </w:p>
    <w:p w14:paraId="3A6BAAFE" w14:textId="77777777" w:rsidR="002E5BAD" w:rsidRPr="006A451E" w:rsidRDefault="002E5BAD" w:rsidP="002E5BAD">
      <w:pPr>
        <w:rPr>
          <w:u w:val="single"/>
          <w:rtl/>
        </w:rPr>
      </w:pPr>
      <w:r w:rsidRPr="006A451E">
        <w:rPr>
          <w:rFonts w:cs="Arial"/>
          <w:u w:val="single"/>
          <w:rtl/>
        </w:rPr>
        <w:t>הכניסה לו שתי שפחות</w:t>
      </w:r>
      <w:r w:rsidRPr="006A451E">
        <w:rPr>
          <w:rFonts w:cs="Arial" w:hint="cs"/>
          <w:u w:val="single"/>
          <w:rtl/>
        </w:rPr>
        <w:t>,</w:t>
      </w:r>
      <w:r w:rsidRPr="006A451E">
        <w:rPr>
          <w:rFonts w:cs="Arial"/>
          <w:u w:val="single"/>
          <w:rtl/>
        </w:rPr>
        <w:t xml:space="preserve"> </w:t>
      </w:r>
      <w:r w:rsidRPr="006A451E">
        <w:rPr>
          <w:rFonts w:cs="Arial" w:hint="cs"/>
          <w:u w:val="single"/>
          <w:rtl/>
        </w:rPr>
        <w:t>ורוצה</w:t>
      </w:r>
      <w:r w:rsidRPr="006A451E">
        <w:rPr>
          <w:rFonts w:cs="Arial"/>
          <w:u w:val="single"/>
          <w:rtl/>
        </w:rPr>
        <w:t xml:space="preserve"> לייחד אחת מהן לאשה אחרת שיש לו</w:t>
      </w:r>
      <w:r w:rsidRPr="006A451E">
        <w:rPr>
          <w:rFonts w:hint="cs"/>
          <w:u w:val="single"/>
          <w:rtl/>
        </w:rPr>
        <w:t>:</w:t>
      </w:r>
    </w:p>
    <w:p w14:paraId="4F8B9974" w14:textId="77777777" w:rsidR="002E5BAD" w:rsidRDefault="002E5BAD" w:rsidP="002E5BAD">
      <w:pPr>
        <w:pStyle w:val="ab"/>
        <w:numPr>
          <w:ilvl w:val="0"/>
          <w:numId w:val="178"/>
        </w:numPr>
      </w:pPr>
      <w:r>
        <w:rPr>
          <w:rFonts w:cs="Arial" w:hint="cs"/>
          <w:rtl/>
        </w:rPr>
        <w:t xml:space="preserve">טור- </w:t>
      </w:r>
      <w:r w:rsidRPr="007A228B">
        <w:rPr>
          <w:rFonts w:cs="Arial"/>
          <w:rtl/>
        </w:rPr>
        <w:t>הכניסה לו שתי שפחות יכול לייחד אחת מהן לאשה אחרת שיש לו שתשמשנה</w:t>
      </w:r>
      <w:r>
        <w:rPr>
          <w:rFonts w:cs="Arial" w:hint="cs"/>
          <w:rtl/>
        </w:rPr>
        <w:t>.</w:t>
      </w:r>
      <w:r w:rsidRPr="007A228B">
        <w:rPr>
          <w:rFonts w:cs="Arial"/>
          <w:rtl/>
        </w:rPr>
        <w:t xml:space="preserve"> </w:t>
      </w:r>
      <w:r w:rsidRPr="00137671">
        <w:rPr>
          <w:rFonts w:hint="cs"/>
          <w:color w:val="E36C0A" w:themeColor="accent6" w:themeShade="BF"/>
          <w:rtl/>
        </w:rPr>
        <w:t>(וכ"פ בשו"ע)</w:t>
      </w:r>
    </w:p>
    <w:p w14:paraId="398AE669" w14:textId="77777777" w:rsidR="002E5BAD" w:rsidRPr="006A451E" w:rsidRDefault="002E5BAD" w:rsidP="002E5BAD">
      <w:pPr>
        <w:ind w:left="360"/>
      </w:pPr>
      <w:r w:rsidRPr="00B066A0">
        <w:rPr>
          <w:rFonts w:hint="cs"/>
          <w:u w:val="dotted"/>
          <w:rtl/>
        </w:rPr>
        <w:t>האם יכול ליחד לאשה האחרת אע"ג שהיא גרה בבית אחר:</w:t>
      </w:r>
    </w:p>
    <w:p w14:paraId="20B619DF" w14:textId="77777777" w:rsidR="002E5BAD" w:rsidRPr="006A451E" w:rsidRDefault="002E5BAD" w:rsidP="002E5BAD">
      <w:pPr>
        <w:pStyle w:val="ab"/>
        <w:numPr>
          <w:ilvl w:val="0"/>
          <w:numId w:val="178"/>
        </w:numPr>
      </w:pPr>
      <w:r>
        <w:rPr>
          <w:rFonts w:cs="Arial" w:hint="cs"/>
          <w:rtl/>
        </w:rPr>
        <w:t xml:space="preserve">רמב"ם </w:t>
      </w:r>
      <w:r>
        <w:rPr>
          <w:rFonts w:cs="Arial" w:hint="cs"/>
          <w:sz w:val="16"/>
          <w:szCs w:val="16"/>
          <w:rtl/>
        </w:rPr>
        <w:t>(פכ"ב הל' לה)</w:t>
      </w:r>
      <w:r>
        <w:rPr>
          <w:rFonts w:cs="Arial" w:hint="cs"/>
          <w:rtl/>
        </w:rPr>
        <w:t xml:space="preserve">- </w:t>
      </w:r>
      <w:r w:rsidRPr="00B066A0">
        <w:rPr>
          <w:rFonts w:cs="Arial"/>
          <w:rtl/>
        </w:rPr>
        <w:t>יש לבעל לכוף מקצת עבדי אשתו ואמהותיה שיהיו משמשין אותו בבית אשה אחרת</w:t>
      </w:r>
      <w:r>
        <w:rPr>
          <w:rStyle w:val="a7"/>
          <w:rFonts w:cs="Arial"/>
          <w:rtl/>
        </w:rPr>
        <w:footnoteReference w:id="1775"/>
      </w:r>
      <w:r w:rsidRPr="00B066A0">
        <w:rPr>
          <w:rFonts w:cs="Arial"/>
          <w:rtl/>
        </w:rPr>
        <w:t xml:space="preserve"> שנשא</w:t>
      </w:r>
      <w:r>
        <w:rPr>
          <w:rFonts w:cs="Arial" w:hint="cs"/>
          <w:rtl/>
        </w:rPr>
        <w:t>,</w:t>
      </w:r>
      <w:r w:rsidRPr="00B066A0">
        <w:rPr>
          <w:rFonts w:cs="Arial"/>
          <w:rtl/>
        </w:rPr>
        <w:t xml:space="preserve"> בין שהיו עבדי מלוג בין שהיו עבדי צאן ברזל, אבל אינו יכול להוליכן לעיר אחרת שלא מדעת אשתו</w:t>
      </w:r>
      <w:r>
        <w:rPr>
          <w:rStyle w:val="a7"/>
          <w:rFonts w:cs="Arial"/>
          <w:rtl/>
        </w:rPr>
        <w:footnoteReference w:id="1776"/>
      </w:r>
      <w:r w:rsidRPr="00B066A0">
        <w:rPr>
          <w:rFonts w:cs="Arial"/>
          <w:rtl/>
        </w:rPr>
        <w:t xml:space="preserve">. </w:t>
      </w:r>
      <w:r w:rsidRPr="00137671">
        <w:rPr>
          <w:rFonts w:hint="cs"/>
          <w:color w:val="E36C0A" w:themeColor="accent6" w:themeShade="BF"/>
          <w:rtl/>
        </w:rPr>
        <w:t>(וכ"פ בשו"ע)</w:t>
      </w:r>
    </w:p>
    <w:p w14:paraId="050B3DAE" w14:textId="77777777" w:rsidR="002E5BAD" w:rsidRPr="007A228B" w:rsidRDefault="002E5BAD" w:rsidP="002E5BAD">
      <w:pPr>
        <w:pStyle w:val="ab"/>
        <w:numPr>
          <w:ilvl w:val="0"/>
          <w:numId w:val="178"/>
        </w:numPr>
        <w:rPr>
          <w:rtl/>
        </w:rPr>
      </w:pPr>
      <w:r>
        <w:rPr>
          <w:rFonts w:cs="Arial" w:hint="cs"/>
          <w:rtl/>
        </w:rPr>
        <w:t>רש"י</w:t>
      </w:r>
      <w:r w:rsidRPr="007A228B">
        <w:rPr>
          <w:rFonts w:cs="Arial"/>
          <w:rtl/>
        </w:rPr>
        <w:t xml:space="preserve"> </w:t>
      </w:r>
      <w:r>
        <w:rPr>
          <w:rFonts w:cs="Arial" w:hint="cs"/>
          <w:sz w:val="16"/>
          <w:szCs w:val="16"/>
          <w:rtl/>
        </w:rPr>
        <w:t xml:space="preserve">(כ"כ הטור בשמו) </w:t>
      </w:r>
      <w:r>
        <w:rPr>
          <w:rFonts w:cs="Arial" w:hint="cs"/>
          <w:rtl/>
        </w:rPr>
        <w:t xml:space="preserve">ורא"ש </w:t>
      </w:r>
      <w:r>
        <w:rPr>
          <w:rFonts w:cs="Arial" w:hint="cs"/>
          <w:sz w:val="16"/>
          <w:szCs w:val="16"/>
          <w:rtl/>
        </w:rPr>
        <w:t>(כ"כ הטור בשמו)</w:t>
      </w:r>
      <w:r>
        <w:rPr>
          <w:rFonts w:cs="Arial" w:hint="cs"/>
          <w:rtl/>
        </w:rPr>
        <w:t xml:space="preserve">- </w:t>
      </w:r>
      <w:r w:rsidRPr="007A228B">
        <w:rPr>
          <w:rFonts w:cs="Arial"/>
          <w:rtl/>
        </w:rPr>
        <w:t>אינו יכול להוציאה מן הבית אלא באותו הבית יכול ליחדה שתשמש לאשתו אחרת</w:t>
      </w:r>
      <w:r>
        <w:rPr>
          <w:rFonts w:cs="Arial" w:hint="cs"/>
          <w:sz w:val="16"/>
          <w:szCs w:val="16"/>
          <w:rtl/>
        </w:rPr>
        <w:t xml:space="preserve"> (ל' הטור בשם רש"י)</w:t>
      </w:r>
      <w:r>
        <w:rPr>
          <w:rFonts w:cs="Arial" w:hint="cs"/>
          <w:rtl/>
        </w:rPr>
        <w:t>.</w:t>
      </w:r>
      <w:r w:rsidRPr="007A228B">
        <w:rPr>
          <w:rFonts w:cs="Arial"/>
          <w:rtl/>
        </w:rPr>
        <w:t xml:space="preserve"> </w:t>
      </w:r>
      <w:r w:rsidRPr="000E56A6">
        <w:rPr>
          <w:rFonts w:hint="cs"/>
          <w:color w:val="00B0F0"/>
          <w:rtl/>
        </w:rPr>
        <w:t>(וכ"פ הרמ"א)</w:t>
      </w:r>
    </w:p>
    <w:p w14:paraId="1B4A027F" w14:textId="77777777" w:rsidR="002E5BAD" w:rsidRPr="00053CAA" w:rsidRDefault="002E5BAD" w:rsidP="002E5BAD">
      <w:pPr>
        <w:rPr>
          <w:rFonts w:cs="Arial"/>
          <w:u w:val="single"/>
          <w:rtl/>
        </w:rPr>
      </w:pPr>
      <w:r w:rsidRPr="00053CAA">
        <w:rPr>
          <w:rFonts w:cs="Arial" w:hint="cs"/>
          <w:u w:val="single"/>
          <w:rtl/>
        </w:rPr>
        <w:t>באלו נכסים של אשתו יכול הבעל להשתמש בבית האשה האחרת</w:t>
      </w:r>
      <w:r>
        <w:rPr>
          <w:rFonts w:cs="Arial" w:hint="cs"/>
          <w:u w:val="single"/>
          <w:rtl/>
        </w:rPr>
        <w:t>,</w:t>
      </w:r>
      <w:r w:rsidRPr="00053CAA">
        <w:rPr>
          <w:rFonts w:cs="Arial" w:hint="cs"/>
          <w:u w:val="single"/>
          <w:rtl/>
        </w:rPr>
        <w:t xml:space="preserve"> או אף להביאם לה:</w:t>
      </w:r>
    </w:p>
    <w:p w14:paraId="014E8427" w14:textId="77777777" w:rsidR="002E5BAD" w:rsidRDefault="002E5BAD" w:rsidP="002E5BAD">
      <w:pPr>
        <w:pStyle w:val="ab"/>
        <w:numPr>
          <w:ilvl w:val="0"/>
          <w:numId w:val="182"/>
        </w:numPr>
        <w:rPr>
          <w:rFonts w:cs="Arial"/>
        </w:rPr>
      </w:pPr>
      <w:r>
        <w:rPr>
          <w:rFonts w:cs="Arial" w:hint="cs"/>
          <w:rtl/>
        </w:rPr>
        <w:t>רשב"ץ</w:t>
      </w:r>
      <w:r w:rsidRPr="00627CE6">
        <w:rPr>
          <w:rFonts w:cs="Arial"/>
          <w:rtl/>
        </w:rPr>
        <w:t xml:space="preserve"> </w:t>
      </w:r>
      <w:r w:rsidRPr="00445F69">
        <w:rPr>
          <w:rFonts w:cs="Arial"/>
          <w:sz w:val="16"/>
          <w:szCs w:val="16"/>
          <w:rtl/>
        </w:rPr>
        <w:t>(ח"א סי' צח)</w:t>
      </w:r>
      <w:r>
        <w:rPr>
          <w:rFonts w:cs="Arial" w:hint="cs"/>
          <w:rtl/>
        </w:rPr>
        <w:t>-</w:t>
      </w:r>
      <w:r w:rsidRPr="00627CE6">
        <w:rPr>
          <w:rFonts w:cs="Arial"/>
          <w:rtl/>
        </w:rPr>
        <w:t xml:space="preserve"> נכסים שהבעל יכול להשתמש בהם מדין פירות כגון גלימא דמיכסי בה עד דבליא </w:t>
      </w:r>
      <w:r>
        <w:rPr>
          <w:rFonts w:cs="Arial" w:hint="cs"/>
          <w:rtl/>
        </w:rPr>
        <w:t xml:space="preserve">- </w:t>
      </w:r>
      <w:r w:rsidRPr="00627CE6">
        <w:rPr>
          <w:rFonts w:cs="Arial"/>
          <w:rtl/>
        </w:rPr>
        <w:t>יכול להשתמש הוא בעצמו בבית אשתו האחרת</w:t>
      </w:r>
      <w:r>
        <w:rPr>
          <w:rFonts w:cs="Arial" w:hint="cs"/>
          <w:rtl/>
        </w:rPr>
        <w:t>,</w:t>
      </w:r>
      <w:r w:rsidRPr="00627CE6">
        <w:rPr>
          <w:rFonts w:cs="Arial"/>
          <w:rtl/>
        </w:rPr>
        <w:t xml:space="preserve"> שזכות פירות שתקנו לו חכמים יכול לאכלם בכל מקום שירצה</w:t>
      </w:r>
      <w:r>
        <w:rPr>
          <w:rFonts w:cs="Arial" w:hint="cs"/>
          <w:rtl/>
        </w:rPr>
        <w:t>.</w:t>
      </w:r>
      <w:r w:rsidRPr="00627CE6">
        <w:rPr>
          <w:rFonts w:cs="Arial"/>
          <w:rtl/>
        </w:rPr>
        <w:t xml:space="preserve"> ואם האשה משתמשת באותם כלים </w:t>
      </w:r>
      <w:r>
        <w:rPr>
          <w:rFonts w:cs="Arial" w:hint="cs"/>
          <w:rtl/>
        </w:rPr>
        <w:t xml:space="preserve">- </w:t>
      </w:r>
      <w:r w:rsidRPr="00627CE6">
        <w:rPr>
          <w:rFonts w:cs="Arial"/>
          <w:rtl/>
        </w:rPr>
        <w:t>היינו עובדא דההיא איתתא דעיילה ליה תרי אמהתא וכו'</w:t>
      </w:r>
      <w:r>
        <w:rPr>
          <w:rFonts w:cs="Arial" w:hint="cs"/>
          <w:rtl/>
        </w:rPr>
        <w:t>.</w:t>
      </w:r>
      <w:r w:rsidRPr="00627CE6">
        <w:rPr>
          <w:rFonts w:cs="Arial"/>
          <w:rtl/>
        </w:rPr>
        <w:t xml:space="preserve"> ואם הם מלבושים ותכשיטין שקנה לה</w:t>
      </w:r>
      <w:r>
        <w:rPr>
          <w:rFonts w:cs="Arial" w:hint="cs"/>
          <w:rtl/>
        </w:rPr>
        <w:t>,</w:t>
      </w:r>
      <w:r w:rsidRPr="00627CE6">
        <w:rPr>
          <w:rFonts w:cs="Arial"/>
          <w:rtl/>
        </w:rPr>
        <w:t xml:space="preserve"> אם היא צריכה להם</w:t>
      </w:r>
      <w:r>
        <w:rPr>
          <w:rFonts w:cs="Arial" w:hint="cs"/>
          <w:rtl/>
        </w:rPr>
        <w:t xml:space="preserve"> -</w:t>
      </w:r>
      <w:r w:rsidRPr="00627CE6">
        <w:rPr>
          <w:rFonts w:cs="Arial"/>
          <w:rtl/>
        </w:rPr>
        <w:t xml:space="preserve"> ודאי אינו יכול להוציאם מביתה</w:t>
      </w:r>
      <w:r>
        <w:rPr>
          <w:rFonts w:cs="Arial" w:hint="cs"/>
          <w:rtl/>
        </w:rPr>
        <w:t>,</w:t>
      </w:r>
      <w:r w:rsidRPr="00627CE6">
        <w:rPr>
          <w:rFonts w:cs="Arial"/>
          <w:rtl/>
        </w:rPr>
        <w:t xml:space="preserve"> ואם אינה צריכה להם כגון שהיא זקנה והם תכשיטי ילדה </w:t>
      </w:r>
      <w:r>
        <w:rPr>
          <w:rFonts w:cs="Arial" w:hint="cs"/>
          <w:rtl/>
        </w:rPr>
        <w:t xml:space="preserve">- </w:t>
      </w:r>
      <w:r w:rsidRPr="00627CE6">
        <w:rPr>
          <w:rFonts w:cs="Arial"/>
          <w:rtl/>
        </w:rPr>
        <w:t>רשאי להוציאם דאדעתא שתניחם בקופסא עד שיכלו ויאכלם סס לא אקני לה</w:t>
      </w:r>
      <w:r w:rsidRPr="00627CE6">
        <w:rPr>
          <w:rFonts w:cs="Arial" w:hint="cs"/>
          <w:rtl/>
        </w:rPr>
        <w:t>.</w:t>
      </w:r>
    </w:p>
    <w:p w14:paraId="3C30809E" w14:textId="77777777" w:rsidR="002E5BAD" w:rsidRPr="000E56A6" w:rsidRDefault="002E5BAD" w:rsidP="002E5BAD">
      <w:pPr>
        <w:rPr>
          <w:rFonts w:cs="Arial"/>
        </w:rPr>
      </w:pPr>
      <w:r w:rsidRPr="001028C9">
        <w:rPr>
          <w:rFonts w:cs="Arial"/>
          <w:u w:val="single"/>
          <w:rtl/>
        </w:rPr>
        <w:t>אשה הכניסה נדוניא לבעלה ו</w:t>
      </w:r>
      <w:r>
        <w:rPr>
          <w:rFonts w:cs="Arial" w:hint="cs"/>
          <w:u w:val="single"/>
          <w:rtl/>
        </w:rPr>
        <w:t xml:space="preserve">היא </w:t>
      </w:r>
      <w:r w:rsidRPr="001028C9">
        <w:rPr>
          <w:rFonts w:cs="Arial"/>
          <w:u w:val="single"/>
          <w:rtl/>
        </w:rPr>
        <w:t>עדיין מונחת ביד אביה</w:t>
      </w:r>
      <w:r w:rsidRPr="001028C9">
        <w:rPr>
          <w:rFonts w:cs="Arial" w:hint="cs"/>
          <w:u w:val="single"/>
          <w:rtl/>
        </w:rPr>
        <w:t>,</w:t>
      </w:r>
      <w:r w:rsidRPr="001028C9">
        <w:rPr>
          <w:rFonts w:cs="Arial"/>
          <w:u w:val="single"/>
          <w:rtl/>
        </w:rPr>
        <w:t xml:space="preserve"> ונשבה בעלה ופדאו אביו</w:t>
      </w:r>
      <w:r>
        <w:rPr>
          <w:rFonts w:cs="Arial" w:hint="cs"/>
          <w:u w:val="single"/>
          <w:rtl/>
        </w:rPr>
        <w:t>:</w:t>
      </w:r>
      <w:r>
        <w:rPr>
          <w:rFonts w:cs="Arial" w:hint="cs"/>
          <w:rtl/>
        </w:rPr>
        <w:t xml:space="preserve"> </w:t>
      </w:r>
      <w:r>
        <w:rPr>
          <w:rFonts w:cs="Arial" w:hint="cs"/>
          <w:sz w:val="16"/>
          <w:szCs w:val="16"/>
          <w:rtl/>
        </w:rPr>
        <w:t xml:space="preserve"> </w:t>
      </w:r>
      <w:r w:rsidRPr="001028C9">
        <w:rPr>
          <w:rFonts w:cs="Arial"/>
          <w:sz w:val="16"/>
          <w:szCs w:val="16"/>
          <w:rtl/>
        </w:rPr>
        <w:t>(</w:t>
      </w:r>
      <w:r w:rsidRPr="001028C9">
        <w:rPr>
          <w:rFonts w:cs="Arial" w:hint="cs"/>
          <w:sz w:val="16"/>
          <w:szCs w:val="16"/>
          <w:rtl/>
        </w:rPr>
        <w:t xml:space="preserve">דרכ"מ אות </w:t>
      </w:r>
      <w:r w:rsidRPr="001028C9">
        <w:rPr>
          <w:rFonts w:cs="Arial"/>
          <w:sz w:val="16"/>
          <w:szCs w:val="16"/>
          <w:rtl/>
        </w:rPr>
        <w:t>ו)</w:t>
      </w:r>
    </w:p>
    <w:p w14:paraId="2BC30CEF" w14:textId="77777777" w:rsidR="002E5BAD" w:rsidRDefault="002E5BAD" w:rsidP="002E5BAD">
      <w:pPr>
        <w:pStyle w:val="ab"/>
        <w:numPr>
          <w:ilvl w:val="0"/>
          <w:numId w:val="182"/>
        </w:numPr>
        <w:rPr>
          <w:rFonts w:cs="Arial"/>
        </w:rPr>
      </w:pPr>
      <w:r w:rsidRPr="007A228B">
        <w:rPr>
          <w:rFonts w:cs="Arial"/>
          <w:rtl/>
        </w:rPr>
        <w:t>מהרי"ו</w:t>
      </w:r>
      <w:r w:rsidRPr="000E56A6">
        <w:rPr>
          <w:rFonts w:cs="Arial"/>
          <w:sz w:val="16"/>
          <w:szCs w:val="16"/>
          <w:rtl/>
        </w:rPr>
        <w:t xml:space="preserve"> (שו"ת מהר"י ווייל סי</w:t>
      </w:r>
      <w:r w:rsidRPr="000E56A6">
        <w:rPr>
          <w:rFonts w:cs="Arial" w:hint="cs"/>
          <w:sz w:val="16"/>
          <w:szCs w:val="16"/>
          <w:rtl/>
        </w:rPr>
        <w:t>'</w:t>
      </w:r>
      <w:r w:rsidRPr="000E56A6">
        <w:rPr>
          <w:rFonts w:cs="Arial"/>
          <w:sz w:val="16"/>
          <w:szCs w:val="16"/>
          <w:rtl/>
        </w:rPr>
        <w:t xml:space="preserve"> עח</w:t>
      </w:r>
      <w:r w:rsidRPr="000E56A6">
        <w:rPr>
          <w:rFonts w:cs="Arial" w:hint="cs"/>
          <w:sz w:val="16"/>
          <w:szCs w:val="16"/>
          <w:rtl/>
        </w:rPr>
        <w:t>)</w:t>
      </w:r>
      <w:r>
        <w:rPr>
          <w:rFonts w:cs="Arial" w:hint="cs"/>
          <w:rtl/>
        </w:rPr>
        <w:t>-</w:t>
      </w:r>
      <w:r w:rsidRPr="007A228B">
        <w:rPr>
          <w:rFonts w:cs="Arial"/>
          <w:rtl/>
        </w:rPr>
        <w:t xml:space="preserve"> אשה שהכניסה נדוניא לבעלה</w:t>
      </w:r>
      <w:r>
        <w:rPr>
          <w:rFonts w:cs="Arial" w:hint="cs"/>
          <w:rtl/>
        </w:rPr>
        <w:t>,</w:t>
      </w:r>
      <w:r w:rsidRPr="007A228B">
        <w:rPr>
          <w:rFonts w:cs="Arial"/>
          <w:rtl/>
        </w:rPr>
        <w:t xml:space="preserve"> ועדיין היא מונחת ביד אביה</w:t>
      </w:r>
      <w:r>
        <w:rPr>
          <w:rFonts w:cs="Arial" w:hint="cs"/>
          <w:rtl/>
        </w:rPr>
        <w:t>,</w:t>
      </w:r>
      <w:r w:rsidRPr="007A228B">
        <w:rPr>
          <w:rFonts w:cs="Arial"/>
          <w:rtl/>
        </w:rPr>
        <w:t xml:space="preserve"> ונשבה בעלה ופדאו אביו</w:t>
      </w:r>
      <w:r>
        <w:rPr>
          <w:rFonts w:cs="Arial" w:hint="cs"/>
          <w:rtl/>
        </w:rPr>
        <w:t xml:space="preserve"> - </w:t>
      </w:r>
      <w:r w:rsidRPr="007A228B">
        <w:rPr>
          <w:rFonts w:cs="Arial"/>
          <w:rtl/>
        </w:rPr>
        <w:t>אין יכול לגבות פדיונו ממעות אלו</w:t>
      </w:r>
      <w:r>
        <w:rPr>
          <w:rFonts w:cs="Arial" w:hint="cs"/>
          <w:rtl/>
        </w:rPr>
        <w:t>,</w:t>
      </w:r>
      <w:r w:rsidRPr="007A228B">
        <w:rPr>
          <w:rFonts w:cs="Arial"/>
          <w:rtl/>
        </w:rPr>
        <w:t xml:space="preserve"> דהא דבעל חוב קודם לאשה היינו בנכסים דידיה</w:t>
      </w:r>
      <w:r>
        <w:rPr>
          <w:rFonts w:cs="Arial" w:hint="cs"/>
          <w:rtl/>
        </w:rPr>
        <w:t>,</w:t>
      </w:r>
      <w:r w:rsidRPr="007A228B">
        <w:rPr>
          <w:rFonts w:cs="Arial"/>
          <w:rtl/>
        </w:rPr>
        <w:t xml:space="preserve"> אבל בנכסים אלו שהן שלה ועדיין מונחים ברשותה אין צריך לשלם מהן</w:t>
      </w:r>
      <w:r>
        <w:rPr>
          <w:rFonts w:cs="Arial" w:hint="cs"/>
          <w:rtl/>
        </w:rPr>
        <w:t>,</w:t>
      </w:r>
      <w:r w:rsidRPr="007A228B">
        <w:rPr>
          <w:rFonts w:cs="Arial"/>
          <w:rtl/>
        </w:rPr>
        <w:t xml:space="preserve"> דהוי כבגדיה שא"צ לשלם מהן לבעל חוב</w:t>
      </w:r>
      <w:r>
        <w:rPr>
          <w:rFonts w:cs="Arial" w:hint="cs"/>
          <w:rtl/>
        </w:rPr>
        <w:t>.</w:t>
      </w:r>
      <w:r w:rsidRPr="007A228B">
        <w:rPr>
          <w:rFonts w:cs="Arial"/>
          <w:rtl/>
        </w:rPr>
        <w:t xml:space="preserve"> ועוד דהוה כמו מורדת דאין מוציאין ממנה נדונייתה במקום שיש לה טענה ואמתלא</w:t>
      </w:r>
      <w:r>
        <w:rPr>
          <w:rFonts w:cs="Arial" w:hint="cs"/>
          <w:rtl/>
        </w:rPr>
        <w:t>.</w:t>
      </w:r>
      <w:r w:rsidRPr="007A228B">
        <w:rPr>
          <w:rFonts w:cs="Arial"/>
          <w:rtl/>
        </w:rPr>
        <w:t xml:space="preserve"> ועוד דתופסת למזונות אף על גב </w:t>
      </w:r>
      <w:r w:rsidRPr="007A228B">
        <w:rPr>
          <w:rFonts w:cs="Arial"/>
          <w:rtl/>
        </w:rPr>
        <w:lastRenderedPageBreak/>
        <w:t>דאין אשה יכולה לתפוס בחיי בעלה מכל מקום בכה"ג בנכסים שהם שלה ומונחים עדיין ברשותה יכולה לתפוס</w:t>
      </w:r>
      <w:r>
        <w:rPr>
          <w:rStyle w:val="a7"/>
          <w:rFonts w:cs="Arial"/>
          <w:rtl/>
        </w:rPr>
        <w:footnoteReference w:id="1777"/>
      </w:r>
      <w:r>
        <w:rPr>
          <w:rFonts w:cs="Arial" w:hint="cs"/>
          <w:rtl/>
        </w:rPr>
        <w:t>.</w:t>
      </w:r>
      <w:r w:rsidRPr="007A228B">
        <w:rPr>
          <w:rFonts w:cs="Arial"/>
          <w:rtl/>
        </w:rPr>
        <w:t xml:space="preserve"> </w:t>
      </w:r>
    </w:p>
    <w:p w14:paraId="74D4027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46F80AD" w14:textId="77777777" w:rsidR="002E5BAD" w:rsidRDefault="002E5BAD" w:rsidP="002E5BAD">
      <w:pPr>
        <w:rPr>
          <w:rFonts w:cs="Arial"/>
          <w:rtl/>
        </w:rPr>
      </w:pPr>
      <w:r>
        <w:rPr>
          <w:rFonts w:cs="Arial"/>
          <w:rtl/>
        </w:rPr>
        <w:t>יש לבעל לכוף מקצת עבדי אשתו ואמהותיה שיהיו משמשים אותו בבית אשה אחרת שנשא</w:t>
      </w:r>
      <w:r>
        <w:rPr>
          <w:rFonts w:cs="Arial" w:hint="cs"/>
          <w:rtl/>
        </w:rPr>
        <w:t>,</w:t>
      </w:r>
      <w:r>
        <w:rPr>
          <w:rFonts w:cs="Arial"/>
          <w:rtl/>
        </w:rPr>
        <w:t xml:space="preserve"> בין שהיו עבדי מלוג בין שהיו עבדי צ</w:t>
      </w:r>
      <w:r>
        <w:rPr>
          <w:rFonts w:cs="Arial" w:hint="cs"/>
          <w:rtl/>
        </w:rPr>
        <w:t xml:space="preserve">אן </w:t>
      </w:r>
      <w:r>
        <w:rPr>
          <w:rFonts w:cs="Arial"/>
          <w:rtl/>
        </w:rPr>
        <w:t>ב</w:t>
      </w:r>
      <w:r>
        <w:rPr>
          <w:rFonts w:cs="Arial" w:hint="cs"/>
          <w:rtl/>
        </w:rPr>
        <w:t>רזל.</w:t>
      </w:r>
      <w:r>
        <w:rPr>
          <w:rFonts w:cs="Arial"/>
          <w:rtl/>
        </w:rPr>
        <w:t xml:space="preserve"> אבל אינו יכול להוליכם לעיר אחרת שלא מדעת אשתו. </w:t>
      </w:r>
      <w:r w:rsidRPr="00F46615">
        <w:rPr>
          <w:rFonts w:cs="Arial"/>
          <w:sz w:val="18"/>
          <w:szCs w:val="18"/>
          <w:rtl/>
        </w:rPr>
        <w:t>הגה: אבל אינו יכול להכריחם שישמשו לאשתו האחרת בבית אחר (טור בשם רש"י ושלזה הסכים הרא"ש)</w:t>
      </w:r>
      <w:r>
        <w:rPr>
          <w:rFonts w:cs="Arial" w:hint="cs"/>
          <w:sz w:val="18"/>
          <w:szCs w:val="18"/>
          <w:rtl/>
        </w:rPr>
        <w:t>.</w:t>
      </w:r>
      <w:r w:rsidRPr="00F46615">
        <w:rPr>
          <w:rFonts w:cs="Arial"/>
          <w:sz w:val="18"/>
          <w:szCs w:val="18"/>
          <w:rtl/>
        </w:rPr>
        <w:t xml:space="preserve"> וי"א דאם הם תכשיטים שאינן ראויין לה, שיכול ליתנם לאחרת דלא הכניסה לו כדי שיכלו ויפסדו ולא ישתמש בהם אדם (ב"י בשם הרשב"ץ).</w:t>
      </w:r>
    </w:p>
    <w:p w14:paraId="44A820A0" w14:textId="77777777" w:rsidR="002E5BAD" w:rsidRDefault="002E5BAD" w:rsidP="002E5BAD">
      <w:pPr>
        <w:rPr>
          <w:rFonts w:cs="Arial"/>
          <w:rtl/>
        </w:rPr>
      </w:pPr>
    </w:p>
    <w:p w14:paraId="00F86150" w14:textId="77777777" w:rsidR="002E5BAD" w:rsidRPr="007A3469" w:rsidRDefault="002E5BAD" w:rsidP="002E5BAD">
      <w:pPr>
        <w:rPr>
          <w:rtl/>
        </w:rPr>
        <w:sectPr w:rsidR="002E5BAD" w:rsidRPr="007A3469" w:rsidSect="00A347B3">
          <w:headerReference w:type="default" r:id="rId41"/>
          <w:footnotePr>
            <w:numRestart w:val="eachPage"/>
          </w:footnotePr>
          <w:pgSz w:w="11906" w:h="16838"/>
          <w:pgMar w:top="720" w:right="1134" w:bottom="720" w:left="1134" w:header="0" w:footer="0" w:gutter="0"/>
          <w:cols w:space="720"/>
          <w:bidi/>
          <w:rtlGutter/>
          <w:docGrid w:linePitch="360"/>
        </w:sectPr>
      </w:pPr>
    </w:p>
    <w:p w14:paraId="53B9DC9B" w14:textId="77777777" w:rsidR="002E5BAD" w:rsidRDefault="002E5BAD" w:rsidP="002E5BAD">
      <w:pPr>
        <w:pStyle w:val="1"/>
        <w:rPr>
          <w:rtl/>
        </w:rPr>
      </w:pPr>
      <w:r>
        <w:rPr>
          <w:rFonts w:hint="cs"/>
          <w:rtl/>
        </w:rPr>
        <w:lastRenderedPageBreak/>
        <w:t>סימן פו:</w:t>
      </w:r>
      <w:r w:rsidRPr="00C12B74">
        <w:rPr>
          <w:rtl/>
        </w:rPr>
        <w:t xml:space="preserve"> </w:t>
      </w:r>
      <w:r>
        <w:rPr>
          <w:rFonts w:cs="Arial"/>
          <w:rtl/>
        </w:rPr>
        <w:t xml:space="preserve">שלא לקבל פקדונות מנשים, עבדים וקטנים, ובו ב' סעיפים. </w:t>
      </w:r>
    </w:p>
    <w:p w14:paraId="1C50F609" w14:textId="77777777" w:rsidR="002E5BAD" w:rsidRDefault="002E5BAD" w:rsidP="002E5BAD">
      <w:pPr>
        <w:pStyle w:val="2"/>
        <w:rPr>
          <w:rtl/>
        </w:rPr>
      </w:pPr>
      <w:r>
        <w:rPr>
          <w:rtl/>
        </w:rPr>
        <w:t>סעיף א</w:t>
      </w:r>
      <w:r>
        <w:rPr>
          <w:rFonts w:hint="cs"/>
          <w:rtl/>
        </w:rPr>
        <w:t>: קבלת פקדון מאשה.</w:t>
      </w:r>
    </w:p>
    <w:p w14:paraId="68FB8066" w14:textId="77777777" w:rsidR="002E5BAD" w:rsidRDefault="002E5BAD" w:rsidP="002E5BAD">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נא ע"ב: </w:t>
      </w:r>
      <w:r w:rsidRPr="001647A9">
        <w:rPr>
          <w:rFonts w:cs="Arial"/>
          <w:rtl/>
        </w:rPr>
        <w:t>ת"ר: אין מקבלין פקדונות לא מן הנשים ולא מן העבדים ולא מן התינוקות</w:t>
      </w:r>
      <w:r>
        <w:rPr>
          <w:rFonts w:cs="Arial" w:hint="cs"/>
          <w:rtl/>
        </w:rPr>
        <w:t>.</w:t>
      </w:r>
      <w:r w:rsidRPr="001647A9">
        <w:rPr>
          <w:rFonts w:cs="Arial"/>
          <w:rtl/>
        </w:rPr>
        <w:t xml:space="preserve"> קבל מן האשה יחזיר לאשה</w:t>
      </w:r>
      <w:r>
        <w:rPr>
          <w:rStyle w:val="a7"/>
          <w:rFonts w:cs="Arial"/>
          <w:rtl/>
        </w:rPr>
        <w:footnoteReference w:id="1778"/>
      </w:r>
      <w:r w:rsidRPr="001647A9">
        <w:rPr>
          <w:rFonts w:cs="Arial"/>
          <w:rtl/>
        </w:rPr>
        <w:t>, ואם מתה - יחזיר לבעלה</w:t>
      </w:r>
      <w:r>
        <w:rPr>
          <w:rStyle w:val="a7"/>
          <w:rFonts w:cs="Arial"/>
          <w:rtl/>
        </w:rPr>
        <w:footnoteReference w:id="1779"/>
      </w:r>
      <w:r>
        <w:rPr>
          <w:rFonts w:cs="Arial" w:hint="cs"/>
          <w:rtl/>
        </w:rPr>
        <w:t>.</w:t>
      </w:r>
      <w:r w:rsidRPr="001647A9">
        <w:rPr>
          <w:rFonts w:cs="Arial"/>
          <w:rtl/>
        </w:rPr>
        <w:t xml:space="preserve"> קבל מן העבד יחזיר לעבד, ואם מת - יחזיר לרבו</w:t>
      </w:r>
      <w:r>
        <w:rPr>
          <w:rStyle w:val="a7"/>
          <w:rFonts w:cs="Arial"/>
          <w:rtl/>
        </w:rPr>
        <w:footnoteReference w:id="1780"/>
      </w:r>
      <w:r>
        <w:rPr>
          <w:rFonts w:cs="Arial" w:hint="cs"/>
          <w:rtl/>
        </w:rPr>
        <w:t>.</w:t>
      </w:r>
      <w:r w:rsidRPr="001647A9">
        <w:rPr>
          <w:rtl/>
        </w:rPr>
        <w:t xml:space="preserve"> </w:t>
      </w:r>
      <w:r>
        <w:rPr>
          <w:rFonts w:hint="cs"/>
          <w:sz w:val="16"/>
          <w:szCs w:val="16"/>
          <w:rtl/>
        </w:rPr>
        <w:t xml:space="preserve">(נג.) </w:t>
      </w:r>
      <w:r w:rsidRPr="001647A9">
        <w:rPr>
          <w:rFonts w:cs="Arial"/>
          <w:rtl/>
        </w:rPr>
        <w:t>קבל מן הקטן</w:t>
      </w:r>
      <w:r>
        <w:rPr>
          <w:rStyle w:val="a7"/>
          <w:rFonts w:cs="Arial"/>
          <w:rtl/>
        </w:rPr>
        <w:footnoteReference w:id="1781"/>
      </w:r>
      <w:r w:rsidRPr="001647A9">
        <w:rPr>
          <w:rFonts w:cs="Arial"/>
          <w:rtl/>
        </w:rPr>
        <w:t xml:space="preserve"> יעשה לו סגולה</w:t>
      </w:r>
      <w:r>
        <w:rPr>
          <w:rStyle w:val="a7"/>
          <w:rFonts w:cs="Arial"/>
          <w:rtl/>
        </w:rPr>
        <w:footnoteReference w:id="1782"/>
      </w:r>
      <w:r w:rsidRPr="001647A9">
        <w:rPr>
          <w:rFonts w:cs="Arial"/>
          <w:rtl/>
        </w:rPr>
        <w:t>, ואם מת - יחזיר ליורשיו</w:t>
      </w:r>
      <w:r>
        <w:rPr>
          <w:rFonts w:cs="Arial" w:hint="cs"/>
          <w:rtl/>
        </w:rPr>
        <w:t>.</w:t>
      </w:r>
      <w:r w:rsidRPr="001647A9">
        <w:rPr>
          <w:rFonts w:cs="Arial"/>
          <w:rtl/>
        </w:rPr>
        <w:t xml:space="preserve"> וכולן שאמרו</w:t>
      </w:r>
      <w:r>
        <w:rPr>
          <w:rStyle w:val="a7"/>
          <w:rFonts w:cs="Arial"/>
          <w:rtl/>
        </w:rPr>
        <w:footnoteReference w:id="1783"/>
      </w:r>
      <w:r w:rsidRPr="001647A9">
        <w:rPr>
          <w:rFonts w:cs="Arial"/>
          <w:rtl/>
        </w:rPr>
        <w:t xml:space="preserve"> בשעת מיתתן</w:t>
      </w:r>
      <w:r>
        <w:rPr>
          <w:rStyle w:val="a7"/>
          <w:rFonts w:cs="Arial"/>
          <w:rtl/>
        </w:rPr>
        <w:footnoteReference w:id="1784"/>
      </w:r>
      <w:r>
        <w:rPr>
          <w:rFonts w:cs="Arial" w:hint="cs"/>
          <w:rtl/>
        </w:rPr>
        <w:t>:</w:t>
      </w:r>
      <w:r w:rsidRPr="001647A9">
        <w:rPr>
          <w:rFonts w:cs="Arial"/>
          <w:rtl/>
        </w:rPr>
        <w:t xml:space="preserve"> של פלוני הן - יעשה כפירושן</w:t>
      </w:r>
      <w:r>
        <w:rPr>
          <w:rStyle w:val="a7"/>
          <w:rFonts w:cs="Arial"/>
          <w:rtl/>
        </w:rPr>
        <w:footnoteReference w:id="1785"/>
      </w:r>
      <w:r w:rsidRPr="001647A9">
        <w:rPr>
          <w:rFonts w:cs="Arial"/>
          <w:rtl/>
        </w:rPr>
        <w:t>, ואם לאו - יעשה פירוש לפירושן</w:t>
      </w:r>
      <w:r>
        <w:rPr>
          <w:rStyle w:val="a7"/>
          <w:rFonts w:cs="Arial"/>
          <w:rtl/>
        </w:rPr>
        <w:footnoteReference w:id="1786"/>
      </w:r>
      <w:r w:rsidRPr="001647A9">
        <w:rPr>
          <w:rFonts w:cs="Arial"/>
          <w:rtl/>
        </w:rPr>
        <w:t>. דביתהו דרבה בר בר חנה כי קא שכבה אמרה: הני כיפי דמרתא ובני ברתא</w:t>
      </w:r>
      <w:r>
        <w:rPr>
          <w:rFonts w:cs="Arial" w:hint="cs"/>
          <w:rtl/>
        </w:rPr>
        <w:t>.</w:t>
      </w:r>
      <w:r w:rsidRPr="001647A9">
        <w:rPr>
          <w:rFonts w:cs="Arial"/>
          <w:rtl/>
        </w:rPr>
        <w:t xml:space="preserve"> אתא לקמיה דרב</w:t>
      </w:r>
      <w:r>
        <w:rPr>
          <w:rFonts w:cs="Arial" w:hint="cs"/>
          <w:rtl/>
        </w:rPr>
        <w:t>.</w:t>
      </w:r>
      <w:r w:rsidRPr="001647A9">
        <w:rPr>
          <w:rFonts w:cs="Arial"/>
          <w:rtl/>
        </w:rPr>
        <w:t xml:space="preserve"> א"ל: אי מהימנא לך</w:t>
      </w:r>
      <w:r>
        <w:rPr>
          <w:rStyle w:val="a7"/>
          <w:rFonts w:cs="Arial"/>
          <w:rtl/>
        </w:rPr>
        <w:footnoteReference w:id="1787"/>
      </w:r>
      <w:r w:rsidRPr="001647A9">
        <w:rPr>
          <w:rFonts w:cs="Arial"/>
          <w:rtl/>
        </w:rPr>
        <w:t xml:space="preserve"> עשה כפירושה, ואי לא - עשה פירוש לפירושה</w:t>
      </w:r>
      <w:r>
        <w:rPr>
          <w:rStyle w:val="a7"/>
          <w:rFonts w:cs="Arial"/>
          <w:rtl/>
        </w:rPr>
        <w:footnoteReference w:id="1788"/>
      </w:r>
      <w:r w:rsidRPr="001647A9">
        <w:rPr>
          <w:rFonts w:cs="Arial"/>
          <w:rtl/>
        </w:rPr>
        <w:t xml:space="preserve">. ואיכא דאמרי, הכי א"ל: אי אמידא לך עשה כפירושה, ואי לא - עשה פירוש לפירושה. מן הקטן - יעשה לו סגולה. מאי סגולה? </w:t>
      </w:r>
      <w:r w:rsidRPr="008C3AED">
        <w:rPr>
          <w:rFonts w:cs="Arial"/>
          <w:u w:val="single"/>
          <w:rtl/>
        </w:rPr>
        <w:t>רב חסדא אמר</w:t>
      </w:r>
      <w:r w:rsidRPr="001647A9">
        <w:rPr>
          <w:rFonts w:cs="Arial"/>
          <w:rtl/>
        </w:rPr>
        <w:t>: ספר תורה</w:t>
      </w:r>
      <w:r>
        <w:rPr>
          <w:rFonts w:cs="Arial" w:hint="cs"/>
          <w:rtl/>
        </w:rPr>
        <w:t>.</w:t>
      </w:r>
      <w:r w:rsidRPr="001647A9">
        <w:rPr>
          <w:rFonts w:cs="Arial"/>
          <w:rtl/>
        </w:rPr>
        <w:t xml:space="preserve"> </w:t>
      </w:r>
      <w:r w:rsidRPr="008C3AED">
        <w:rPr>
          <w:rFonts w:cs="Arial"/>
          <w:u w:val="single"/>
          <w:rtl/>
        </w:rPr>
        <w:t>רבה בר רב הונא אמר</w:t>
      </w:r>
      <w:r w:rsidRPr="001647A9">
        <w:rPr>
          <w:rFonts w:cs="Arial"/>
          <w:rtl/>
        </w:rPr>
        <w:t>: דיקלא דאכל מיניה תמרי</w:t>
      </w:r>
      <w:r>
        <w:rPr>
          <w:rFonts w:cs="Arial" w:hint="cs"/>
          <w:rtl/>
        </w:rPr>
        <w:t>ה</w:t>
      </w:r>
      <w:r w:rsidRPr="001647A9">
        <w:rPr>
          <w:rFonts w:cs="Arial"/>
          <w:rtl/>
        </w:rPr>
        <w:t>.</w:t>
      </w:r>
    </w:p>
    <w:p w14:paraId="1379ADB0" w14:textId="77777777" w:rsidR="002E5BAD" w:rsidRPr="002E67F3" w:rsidRDefault="002E5BAD" w:rsidP="002E5BAD">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נב ע"ב: </w:t>
      </w:r>
      <w:r w:rsidRPr="00B05B26">
        <w:rPr>
          <w:rFonts w:cs="Arial"/>
          <w:rtl/>
        </w:rPr>
        <w:t>דתניא:</w:t>
      </w:r>
      <w:r>
        <w:rPr>
          <w:rFonts w:cs="Arial" w:hint="cs"/>
          <w:rtl/>
        </w:rPr>
        <w:t>...</w:t>
      </w:r>
      <w:r w:rsidRPr="00B05B26">
        <w:rPr>
          <w:rFonts w:cs="Arial"/>
          <w:rtl/>
        </w:rPr>
        <w:t xml:space="preserve"> האשה שהיא נושאת ונותנת בתוך הבית, והיו אונות ושטרות יוצאין על שמה, ואמרה: שלי הן, שנפלו לי מבית אבי אבא או מבית אבי אמא - עליה להביא ראיה.</w:t>
      </w:r>
    </w:p>
    <w:p w14:paraId="3E08EA3E" w14:textId="77777777" w:rsidR="002E5BAD" w:rsidRPr="00A36E95" w:rsidRDefault="002E5BAD" w:rsidP="002E5BAD">
      <w:pPr>
        <w:rPr>
          <w:rtl/>
        </w:rPr>
      </w:pPr>
      <w:r w:rsidRPr="003777FA">
        <w:rPr>
          <w:rFonts w:cs="Arial"/>
          <w:u w:val="single"/>
          <w:rtl/>
        </w:rPr>
        <w:t>אין מקבלי</w:t>
      </w:r>
      <w:r w:rsidRPr="003777FA">
        <w:rPr>
          <w:rFonts w:cs="Arial" w:hint="cs"/>
          <w:u w:val="single"/>
          <w:rtl/>
        </w:rPr>
        <w:t>ן</w:t>
      </w:r>
      <w:r w:rsidRPr="003777FA">
        <w:rPr>
          <w:rFonts w:cs="Arial"/>
          <w:u w:val="single"/>
          <w:rtl/>
        </w:rPr>
        <w:t xml:space="preserve"> פקדונות מן הנשים</w:t>
      </w:r>
      <w:r w:rsidRPr="003777FA">
        <w:rPr>
          <w:rFonts w:cs="Arial" w:hint="cs"/>
          <w:u w:val="single"/>
          <w:rtl/>
        </w:rPr>
        <w:t>/עבדים/קטנים:</w:t>
      </w:r>
    </w:p>
    <w:p w14:paraId="770F13ED" w14:textId="77777777" w:rsidR="002E5BAD" w:rsidRPr="003777FA" w:rsidRDefault="002E5BAD" w:rsidP="002E5BAD">
      <w:pPr>
        <w:pStyle w:val="ab"/>
        <w:numPr>
          <w:ilvl w:val="0"/>
          <w:numId w:val="182"/>
        </w:numPr>
      </w:pPr>
      <w:r>
        <w:rPr>
          <w:rFonts w:cs="Arial" w:hint="cs"/>
          <w:rtl/>
        </w:rPr>
        <w:t xml:space="preserve">רמב"ם </w:t>
      </w:r>
      <w:r>
        <w:rPr>
          <w:rFonts w:cs="Arial" w:hint="cs"/>
          <w:sz w:val="16"/>
          <w:szCs w:val="16"/>
          <w:rtl/>
        </w:rPr>
        <w:t>(פכ"ב מאישות הל"ב)</w:t>
      </w:r>
      <w:r>
        <w:rPr>
          <w:rFonts w:cs="Arial" w:hint="cs"/>
          <w:rtl/>
        </w:rPr>
        <w:t xml:space="preserve"> ו</w:t>
      </w:r>
      <w:r w:rsidRPr="00227F6B">
        <w:rPr>
          <w:rFonts w:cs="Arial" w:hint="cs"/>
          <w:rtl/>
        </w:rPr>
        <w:t xml:space="preserve">טור- </w:t>
      </w:r>
      <w:r w:rsidRPr="00227F6B">
        <w:rPr>
          <w:rFonts w:cs="Arial"/>
          <w:rtl/>
        </w:rPr>
        <w:t>אין מקבלין פקדונות מן הנשים ולא מן העבדים ולא מן הקטנים</w:t>
      </w:r>
      <w:r>
        <w:rPr>
          <w:rFonts w:cs="Arial" w:hint="cs"/>
          <w:rtl/>
        </w:rPr>
        <w:t>,</w:t>
      </w:r>
      <w:r w:rsidRPr="00227F6B">
        <w:rPr>
          <w:rFonts w:cs="Arial"/>
          <w:rtl/>
        </w:rPr>
        <w:t xml:space="preserve"> דסתמא הוא של הבעל ושל האדון ושל האב</w:t>
      </w:r>
      <w:r>
        <w:rPr>
          <w:rFonts w:cs="Arial" w:hint="cs"/>
          <w:rtl/>
        </w:rPr>
        <w:t>,</w:t>
      </w:r>
      <w:r w:rsidRPr="00227F6B">
        <w:rPr>
          <w:rFonts w:cs="Arial"/>
          <w:rtl/>
        </w:rPr>
        <w:t xml:space="preserve"> וכשלא יקבלו מהם יחזירו אותם</w:t>
      </w:r>
      <w:r>
        <w:rPr>
          <w:rFonts w:cs="Arial" w:hint="cs"/>
          <w:sz w:val="16"/>
          <w:szCs w:val="16"/>
          <w:rtl/>
        </w:rPr>
        <w:t xml:space="preserve"> (ל' הטור)</w:t>
      </w:r>
      <w:r>
        <w:rPr>
          <w:rFonts w:cs="Arial" w:hint="cs"/>
          <w:rtl/>
        </w:rPr>
        <w:t>.</w:t>
      </w:r>
      <w:r w:rsidRPr="00227F6B">
        <w:rPr>
          <w:rFonts w:cs="Arial"/>
          <w:rtl/>
        </w:rPr>
        <w:t xml:space="preserve"> </w:t>
      </w:r>
      <w:r w:rsidRPr="009B617A">
        <w:rPr>
          <w:rFonts w:hint="cs"/>
          <w:color w:val="E36C0A" w:themeColor="accent6" w:themeShade="BF"/>
          <w:rtl/>
        </w:rPr>
        <w:t>(וכ"פ בשו"ע)</w:t>
      </w:r>
    </w:p>
    <w:p w14:paraId="187C6F46" w14:textId="77777777" w:rsidR="002E5BAD" w:rsidRPr="003777FA" w:rsidRDefault="002E5BAD" w:rsidP="002E5BAD">
      <w:pPr>
        <w:ind w:left="360"/>
        <w:rPr>
          <w:u w:val="dotted"/>
        </w:rPr>
      </w:pPr>
      <w:r w:rsidRPr="003777FA">
        <w:rPr>
          <w:rFonts w:hint="cs"/>
          <w:u w:val="dotted"/>
          <w:rtl/>
        </w:rPr>
        <w:t>ומה הדין אם עבר וקיבל:</w:t>
      </w:r>
    </w:p>
    <w:p w14:paraId="78C593C9" w14:textId="77777777" w:rsidR="002E5BAD" w:rsidRPr="00952342" w:rsidRDefault="002E5BAD" w:rsidP="002E5BAD">
      <w:pPr>
        <w:pStyle w:val="ab"/>
        <w:numPr>
          <w:ilvl w:val="0"/>
          <w:numId w:val="182"/>
        </w:numPr>
      </w:pPr>
      <w:r>
        <w:rPr>
          <w:rFonts w:cs="Arial" w:hint="cs"/>
          <w:rtl/>
        </w:rPr>
        <w:t xml:space="preserve">רמב"ם </w:t>
      </w:r>
      <w:r>
        <w:rPr>
          <w:rFonts w:cs="Arial" w:hint="cs"/>
          <w:sz w:val="16"/>
          <w:szCs w:val="16"/>
          <w:rtl/>
        </w:rPr>
        <w:t>(פכ"ב מאישות הל"ב, וב</w:t>
      </w:r>
      <w:r w:rsidRPr="002B1BC0">
        <w:rPr>
          <w:rFonts w:cs="Arial"/>
          <w:sz w:val="16"/>
          <w:szCs w:val="16"/>
          <w:rtl/>
        </w:rPr>
        <w:t>פ"ז משאלה ופקדון ה"י</w:t>
      </w:r>
      <w:r>
        <w:rPr>
          <w:rFonts w:cs="Arial" w:hint="cs"/>
          <w:sz w:val="16"/>
          <w:szCs w:val="16"/>
          <w:rtl/>
        </w:rPr>
        <w:t>)</w:t>
      </w:r>
      <w:r>
        <w:rPr>
          <w:rFonts w:cs="Arial" w:hint="cs"/>
          <w:rtl/>
        </w:rPr>
        <w:t xml:space="preserve">- </w:t>
      </w:r>
      <w:r w:rsidRPr="002B1BC0">
        <w:rPr>
          <w:rFonts w:cs="Arial"/>
          <w:rtl/>
        </w:rPr>
        <w:t>אם עבר וקיבל מן האשה יחזיר לאשה, מתה יחזיר לבעלה</w:t>
      </w:r>
      <w:r>
        <w:rPr>
          <w:rFonts w:cs="Arial" w:hint="cs"/>
          <w:rtl/>
        </w:rPr>
        <w:t>.</w:t>
      </w:r>
      <w:r w:rsidRPr="002B1BC0">
        <w:rPr>
          <w:rFonts w:cs="Arial"/>
          <w:rtl/>
        </w:rPr>
        <w:t xml:space="preserve"> קיבל מן העבד יחזיר לעבד</w:t>
      </w:r>
      <w:r>
        <w:rPr>
          <w:rFonts w:cs="Arial" w:hint="cs"/>
          <w:rtl/>
        </w:rPr>
        <w:t>,</w:t>
      </w:r>
      <w:r w:rsidRPr="002B1BC0">
        <w:rPr>
          <w:rFonts w:cs="Arial"/>
          <w:rtl/>
        </w:rPr>
        <w:t xml:space="preserve"> ואם מת יחזיר לרבו</w:t>
      </w:r>
      <w:r>
        <w:rPr>
          <w:rFonts w:cs="Arial" w:hint="cs"/>
          <w:rtl/>
        </w:rPr>
        <w:t>.</w:t>
      </w:r>
      <w:r w:rsidRPr="002B1BC0">
        <w:rPr>
          <w:rFonts w:cs="Arial"/>
          <w:rtl/>
        </w:rPr>
        <w:t xml:space="preserve"> קיבל מן הקטן יקנה לו בו ספר תורה או דבר שאוכל פירותיו</w:t>
      </w:r>
      <w:r>
        <w:rPr>
          <w:rFonts w:cs="Arial" w:hint="cs"/>
          <w:rtl/>
        </w:rPr>
        <w:t>.</w:t>
      </w:r>
      <w:r w:rsidRPr="002B1BC0">
        <w:rPr>
          <w:rFonts w:cs="Arial"/>
          <w:rtl/>
        </w:rPr>
        <w:t xml:space="preserve"> וכולם שאמרו בשעת מיתתן פקדון זה של פלוני הוא</w:t>
      </w:r>
      <w:r>
        <w:rPr>
          <w:rFonts w:cs="Arial" w:hint="cs"/>
          <w:rtl/>
        </w:rPr>
        <w:t>,</w:t>
      </w:r>
      <w:r w:rsidRPr="002B1BC0">
        <w:rPr>
          <w:rFonts w:cs="Arial"/>
          <w:rtl/>
        </w:rPr>
        <w:t xml:space="preserve"> אם היו בחזקת נאמנין אצל זה שהפקדון אצלו יעשה כמו שצוו</w:t>
      </w:r>
      <w:r>
        <w:rPr>
          <w:rFonts w:cs="Arial" w:hint="cs"/>
          <w:rtl/>
        </w:rPr>
        <w:t>,</w:t>
      </w:r>
      <w:r w:rsidRPr="002B1BC0">
        <w:rPr>
          <w:rFonts w:cs="Arial"/>
          <w:rtl/>
        </w:rPr>
        <w:t xml:space="preserve"> ואם לאו יתן ליורשיהם</w:t>
      </w:r>
      <w:r>
        <w:rPr>
          <w:rFonts w:cs="Arial" w:hint="cs"/>
          <w:rtl/>
        </w:rPr>
        <w:t>.</w:t>
      </w:r>
      <w:r w:rsidRPr="009B617A">
        <w:rPr>
          <w:rFonts w:hint="cs"/>
          <w:color w:val="E36C0A" w:themeColor="accent6" w:themeShade="BF"/>
          <w:rtl/>
        </w:rPr>
        <w:t xml:space="preserve"> (וכ"פ בשו"ע)</w:t>
      </w:r>
    </w:p>
    <w:p w14:paraId="4EC39189" w14:textId="77777777" w:rsidR="002E5BAD" w:rsidRDefault="002E5BAD" w:rsidP="002E5BAD">
      <w:pPr>
        <w:pStyle w:val="ab"/>
        <w:numPr>
          <w:ilvl w:val="0"/>
          <w:numId w:val="182"/>
        </w:numPr>
      </w:pPr>
      <w:r>
        <w:rPr>
          <w:rFonts w:cs="Arial"/>
          <w:rtl/>
        </w:rPr>
        <w:t>רא"ש</w:t>
      </w:r>
      <w:r>
        <w:rPr>
          <w:rStyle w:val="a7"/>
          <w:rFonts w:cs="Arial"/>
          <w:rtl/>
        </w:rPr>
        <w:footnoteReference w:id="1789"/>
      </w:r>
      <w:r>
        <w:rPr>
          <w:rFonts w:cs="Arial"/>
          <w:rtl/>
        </w:rPr>
        <w:t xml:space="preserve">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sidRPr="00886E51">
        <w:rPr>
          <w:rFonts w:cs="Arial" w:hint="cs"/>
          <w:sz w:val="16"/>
          <w:szCs w:val="16"/>
          <w:rtl/>
        </w:rPr>
        <w:t xml:space="preserve"> </w:t>
      </w:r>
      <w:r>
        <w:rPr>
          <w:rFonts w:cs="Arial" w:hint="cs"/>
          <w:rtl/>
        </w:rPr>
        <w:t xml:space="preserve">וטור- </w:t>
      </w:r>
      <w:r w:rsidRPr="00227F6B">
        <w:rPr>
          <w:rFonts w:cs="Arial"/>
          <w:rtl/>
        </w:rPr>
        <w:t>עבר וקבל מן האשה</w:t>
      </w:r>
      <w:r>
        <w:rPr>
          <w:rFonts w:cs="Arial" w:hint="cs"/>
          <w:rtl/>
        </w:rPr>
        <w:t xml:space="preserve"> -</w:t>
      </w:r>
      <w:r w:rsidRPr="00227F6B">
        <w:rPr>
          <w:rFonts w:cs="Arial"/>
          <w:rtl/>
        </w:rPr>
        <w:t xml:space="preserve"> יחזיר לאשה</w:t>
      </w:r>
      <w:r>
        <w:rPr>
          <w:rFonts w:cs="Arial" w:hint="cs"/>
          <w:rtl/>
        </w:rPr>
        <w:t>,</w:t>
      </w:r>
      <w:r w:rsidRPr="00227F6B">
        <w:rPr>
          <w:rFonts w:cs="Arial"/>
          <w:rtl/>
        </w:rPr>
        <w:t xml:space="preserve"> אפי</w:t>
      </w:r>
      <w:r>
        <w:rPr>
          <w:rFonts w:cs="Arial" w:hint="cs"/>
          <w:rtl/>
        </w:rPr>
        <w:t>לו</w:t>
      </w:r>
      <w:r w:rsidRPr="00227F6B">
        <w:rPr>
          <w:rFonts w:cs="Arial"/>
          <w:rtl/>
        </w:rPr>
        <w:t xml:space="preserve"> הבעל עומד וצווח ואומר שלי הוא</w:t>
      </w:r>
      <w:r>
        <w:rPr>
          <w:rFonts w:cs="Arial" w:hint="cs"/>
          <w:rtl/>
        </w:rPr>
        <w:t>.</w:t>
      </w:r>
      <w:r w:rsidRPr="00227F6B">
        <w:rPr>
          <w:rFonts w:cs="Arial"/>
          <w:rtl/>
        </w:rPr>
        <w:t xml:space="preserve"> ואם היא אומרת משל פלוני הוא</w:t>
      </w:r>
      <w:r>
        <w:rPr>
          <w:rFonts w:cs="Arial" w:hint="cs"/>
          <w:rtl/>
        </w:rPr>
        <w:t>,</w:t>
      </w:r>
      <w:r w:rsidRPr="00227F6B">
        <w:rPr>
          <w:rFonts w:cs="Arial"/>
          <w:rtl/>
        </w:rPr>
        <w:t xml:space="preserve"> אם היא בריאה </w:t>
      </w:r>
      <w:r>
        <w:rPr>
          <w:rFonts w:cs="Arial" w:hint="cs"/>
          <w:rtl/>
        </w:rPr>
        <w:t xml:space="preserve">- </w:t>
      </w:r>
      <w:r w:rsidRPr="00227F6B">
        <w:rPr>
          <w:rFonts w:cs="Arial"/>
          <w:rtl/>
        </w:rPr>
        <w:t>נאמנת במגו</w:t>
      </w:r>
      <w:r>
        <w:rPr>
          <w:rFonts w:cs="Arial" w:hint="cs"/>
          <w:rtl/>
        </w:rPr>
        <w:t>,</w:t>
      </w:r>
      <w:r w:rsidRPr="00227F6B">
        <w:rPr>
          <w:rFonts w:cs="Arial"/>
          <w:rtl/>
        </w:rPr>
        <w:t xml:space="preserve"> שאם היא רוצה תקחנו ותתנו לו</w:t>
      </w:r>
      <w:r>
        <w:rPr>
          <w:rFonts w:cs="Arial" w:hint="cs"/>
          <w:rtl/>
        </w:rPr>
        <w:t>.</w:t>
      </w:r>
      <w:r w:rsidRPr="00227F6B">
        <w:rPr>
          <w:rFonts w:cs="Arial"/>
          <w:rtl/>
        </w:rPr>
        <w:t xml:space="preserve"> ואם היא חולה</w:t>
      </w:r>
      <w:r>
        <w:rPr>
          <w:rFonts w:cs="Arial" w:hint="cs"/>
          <w:rtl/>
        </w:rPr>
        <w:t>,</w:t>
      </w:r>
      <w:r w:rsidRPr="00227F6B">
        <w:rPr>
          <w:rFonts w:cs="Arial"/>
          <w:rtl/>
        </w:rPr>
        <w:t xml:space="preserve"> אם </w:t>
      </w:r>
      <w:r w:rsidRPr="00227F6B">
        <w:rPr>
          <w:rFonts w:cs="Arial"/>
          <w:rtl/>
        </w:rPr>
        <w:lastRenderedPageBreak/>
        <w:t>היא נאמנת בעיני הנפקד</w:t>
      </w:r>
      <w:r>
        <w:rPr>
          <w:rFonts w:cs="Arial" w:hint="cs"/>
          <w:rtl/>
        </w:rPr>
        <w:t>,</w:t>
      </w:r>
      <w:r w:rsidRPr="00227F6B">
        <w:rPr>
          <w:rFonts w:cs="Arial"/>
          <w:rtl/>
        </w:rPr>
        <w:t xml:space="preserve"> יעשה כדבריה ויתנהו לאותו פלוני אפי</w:t>
      </w:r>
      <w:r>
        <w:rPr>
          <w:rFonts w:cs="Arial" w:hint="cs"/>
          <w:rtl/>
        </w:rPr>
        <w:t>לו</w:t>
      </w:r>
      <w:r w:rsidRPr="00227F6B">
        <w:rPr>
          <w:rFonts w:cs="Arial"/>
          <w:rtl/>
        </w:rPr>
        <w:t xml:space="preserve"> אם הבעל מוחה בידו</w:t>
      </w:r>
      <w:r>
        <w:rPr>
          <w:rStyle w:val="a7"/>
          <w:rFonts w:cs="Arial"/>
          <w:rtl/>
        </w:rPr>
        <w:footnoteReference w:id="1790"/>
      </w:r>
      <w:r>
        <w:rPr>
          <w:rFonts w:cs="Arial" w:hint="cs"/>
          <w:rtl/>
        </w:rPr>
        <w:t>,</w:t>
      </w:r>
      <w:r w:rsidRPr="00227F6B">
        <w:rPr>
          <w:rFonts w:cs="Arial"/>
          <w:rtl/>
        </w:rPr>
        <w:t xml:space="preserve"> ואם לאו</w:t>
      </w:r>
      <w:r>
        <w:rPr>
          <w:rFonts w:cs="Arial" w:hint="cs"/>
          <w:rtl/>
        </w:rPr>
        <w:t>,</w:t>
      </w:r>
      <w:r w:rsidRPr="00227F6B">
        <w:rPr>
          <w:rFonts w:cs="Arial"/>
          <w:rtl/>
        </w:rPr>
        <w:t xml:space="preserve"> יתנהו לבעל</w:t>
      </w:r>
      <w:r>
        <w:rPr>
          <w:rFonts w:cs="Arial" w:hint="cs"/>
          <w:rtl/>
        </w:rPr>
        <w:t>.</w:t>
      </w:r>
      <w:r w:rsidRPr="00227F6B">
        <w:rPr>
          <w:rFonts w:cs="Arial"/>
          <w:rtl/>
        </w:rPr>
        <w:t xml:space="preserve"> </w:t>
      </w:r>
      <w:r w:rsidRPr="00952342">
        <w:rPr>
          <w:rFonts w:cs="Arial"/>
          <w:rtl/>
        </w:rPr>
        <w:t xml:space="preserve">מתה ולא אמרה של מי הוא </w:t>
      </w:r>
      <w:r w:rsidRPr="00952342">
        <w:rPr>
          <w:rFonts w:cs="Arial" w:hint="cs"/>
          <w:rtl/>
        </w:rPr>
        <w:t xml:space="preserve">- </w:t>
      </w:r>
      <w:r w:rsidRPr="00952342">
        <w:rPr>
          <w:rFonts w:cs="Arial"/>
          <w:rtl/>
        </w:rPr>
        <w:t>יתנהו לבעלה</w:t>
      </w:r>
      <w:r>
        <w:rPr>
          <w:rStyle w:val="a7"/>
          <w:rFonts w:cs="Arial"/>
          <w:rtl/>
        </w:rPr>
        <w:footnoteReference w:id="1791"/>
      </w:r>
      <w:r w:rsidRPr="00952342">
        <w:rPr>
          <w:rFonts w:cs="Arial" w:hint="cs"/>
          <w:rtl/>
        </w:rPr>
        <w:t>.</w:t>
      </w:r>
      <w:r w:rsidRPr="00952342">
        <w:rPr>
          <w:rFonts w:cs="Arial"/>
          <w:rtl/>
        </w:rPr>
        <w:t xml:space="preserve"> נתגרשה ואח"כ מתה </w:t>
      </w:r>
      <w:r w:rsidRPr="00952342">
        <w:rPr>
          <w:rFonts w:cs="Arial" w:hint="cs"/>
          <w:rtl/>
        </w:rPr>
        <w:t xml:space="preserve">- </w:t>
      </w:r>
      <w:r w:rsidRPr="00952342">
        <w:rPr>
          <w:rFonts w:cs="Arial"/>
          <w:rtl/>
        </w:rPr>
        <w:t>יתנהו ליורשיה</w:t>
      </w:r>
      <w:r w:rsidRPr="00952342">
        <w:rPr>
          <w:rFonts w:cs="Arial" w:hint="cs"/>
          <w:rtl/>
        </w:rPr>
        <w:t>.</w:t>
      </w:r>
      <w:r w:rsidRPr="00952342">
        <w:rPr>
          <w:rFonts w:cs="Arial"/>
          <w:rtl/>
        </w:rPr>
        <w:t xml:space="preserve"> קבל מהעבד </w:t>
      </w:r>
      <w:r w:rsidRPr="00952342">
        <w:rPr>
          <w:rFonts w:cs="Arial" w:hint="cs"/>
          <w:rtl/>
        </w:rPr>
        <w:t xml:space="preserve">- </w:t>
      </w:r>
      <w:r w:rsidRPr="00952342">
        <w:rPr>
          <w:rFonts w:cs="Arial"/>
          <w:rtl/>
        </w:rPr>
        <w:t>יחזירהו לו</w:t>
      </w:r>
      <w:r>
        <w:rPr>
          <w:rStyle w:val="a7"/>
          <w:rFonts w:cs="Arial"/>
          <w:rtl/>
        </w:rPr>
        <w:footnoteReference w:id="1792"/>
      </w:r>
      <w:r w:rsidRPr="00952342">
        <w:rPr>
          <w:rFonts w:cs="Arial" w:hint="cs"/>
          <w:rtl/>
        </w:rPr>
        <w:t>.</w:t>
      </w:r>
      <w:r w:rsidRPr="00952342">
        <w:rPr>
          <w:rFonts w:cs="Arial"/>
          <w:rtl/>
        </w:rPr>
        <w:t xml:space="preserve"> מת </w:t>
      </w:r>
      <w:r w:rsidRPr="00952342">
        <w:rPr>
          <w:rFonts w:cs="Arial" w:hint="cs"/>
          <w:rtl/>
        </w:rPr>
        <w:t xml:space="preserve">- </w:t>
      </w:r>
      <w:r w:rsidRPr="00952342">
        <w:rPr>
          <w:rFonts w:cs="Arial"/>
          <w:rtl/>
        </w:rPr>
        <w:t>יתנהו לאדון</w:t>
      </w:r>
      <w:r w:rsidRPr="00952342">
        <w:rPr>
          <w:rFonts w:cs="Arial" w:hint="cs"/>
          <w:rtl/>
        </w:rPr>
        <w:t>,</w:t>
      </w:r>
      <w:r w:rsidRPr="00952342">
        <w:rPr>
          <w:rFonts w:cs="Arial"/>
          <w:rtl/>
        </w:rPr>
        <w:t xml:space="preserve"> אפילו נשתחרר קודם שמת</w:t>
      </w:r>
      <w:r w:rsidRPr="00952342">
        <w:rPr>
          <w:rFonts w:cs="Arial" w:hint="cs"/>
          <w:rtl/>
        </w:rPr>
        <w:t>,</w:t>
      </w:r>
      <w:r w:rsidRPr="00952342">
        <w:rPr>
          <w:rFonts w:cs="Arial"/>
          <w:rtl/>
        </w:rPr>
        <w:t xml:space="preserve"> דמסתמא גנבו מבית אדונו</w:t>
      </w:r>
      <w:r w:rsidRPr="00952342">
        <w:rPr>
          <w:rFonts w:cs="Arial" w:hint="cs"/>
          <w:rtl/>
        </w:rPr>
        <w:t>.</w:t>
      </w:r>
      <w:r w:rsidRPr="00952342">
        <w:rPr>
          <w:rFonts w:cs="Arial"/>
          <w:rtl/>
        </w:rPr>
        <w:t xml:space="preserve"> קבל מהקטן </w:t>
      </w:r>
      <w:r w:rsidRPr="00952342">
        <w:rPr>
          <w:rFonts w:cs="Arial" w:hint="cs"/>
          <w:rtl/>
        </w:rPr>
        <w:t xml:space="preserve">- </w:t>
      </w:r>
      <w:r w:rsidRPr="00952342">
        <w:rPr>
          <w:rFonts w:cs="Arial"/>
          <w:rtl/>
        </w:rPr>
        <w:t>יקנה לו בו דקל לאכול פירותיו</w:t>
      </w:r>
      <w:r w:rsidRPr="00952342">
        <w:rPr>
          <w:rFonts w:cs="Arial" w:hint="cs"/>
          <w:rtl/>
        </w:rPr>
        <w:t>.</w:t>
      </w:r>
      <w:r w:rsidRPr="00952342">
        <w:rPr>
          <w:rFonts w:cs="Arial"/>
          <w:rtl/>
        </w:rPr>
        <w:t xml:space="preserve"> מת </w:t>
      </w:r>
      <w:r w:rsidRPr="00952342">
        <w:rPr>
          <w:rFonts w:cs="Arial" w:hint="cs"/>
          <w:rtl/>
        </w:rPr>
        <w:t xml:space="preserve">- </w:t>
      </w:r>
      <w:r w:rsidRPr="00952342">
        <w:rPr>
          <w:rFonts w:cs="Arial"/>
          <w:rtl/>
        </w:rPr>
        <w:t>יחזיר לאביו</w:t>
      </w:r>
      <w:r w:rsidRPr="00952342">
        <w:rPr>
          <w:rFonts w:cs="Arial" w:hint="cs"/>
          <w:sz w:val="16"/>
          <w:szCs w:val="16"/>
          <w:rtl/>
        </w:rPr>
        <w:t xml:space="preserve"> (ל' הטור)</w:t>
      </w:r>
      <w:r w:rsidRPr="00952342">
        <w:rPr>
          <w:rFonts w:cs="Arial" w:hint="cs"/>
          <w:rtl/>
        </w:rPr>
        <w:t>.</w:t>
      </w:r>
      <w:r w:rsidRPr="00952342">
        <w:rPr>
          <w:rFonts w:cs="Arial"/>
          <w:rtl/>
        </w:rPr>
        <w:t xml:space="preserve"> </w:t>
      </w:r>
      <w:r w:rsidRPr="00C22F63">
        <w:rPr>
          <w:rFonts w:hint="cs"/>
          <w:color w:val="00B0F0"/>
          <w:rtl/>
        </w:rPr>
        <w:t>(וכ"פ הרמ"א)</w:t>
      </w:r>
    </w:p>
    <w:p w14:paraId="3FB31700" w14:textId="77777777" w:rsidR="002E5BAD" w:rsidRDefault="002E5BAD" w:rsidP="002E5BAD">
      <w:pPr>
        <w:pStyle w:val="ab"/>
        <w:numPr>
          <w:ilvl w:val="0"/>
          <w:numId w:val="182"/>
        </w:numPr>
      </w:pPr>
      <w:r>
        <w:rPr>
          <w:rFonts w:hint="cs"/>
          <w:rtl/>
        </w:rPr>
        <w:t>רשב"ם</w:t>
      </w:r>
      <w:r>
        <w:rPr>
          <w:rFonts w:hint="cs"/>
          <w:sz w:val="16"/>
          <w:szCs w:val="16"/>
          <w:rtl/>
        </w:rPr>
        <w:t xml:space="preserve"> (נג. ד"ה בשעת מיתתן, וד"ה ה"ג </w:t>
      </w:r>
      <w:r>
        <w:rPr>
          <w:rFonts w:cs="Arial" w:hint="cs"/>
          <w:sz w:val="16"/>
          <w:szCs w:val="16"/>
          <w:rtl/>
        </w:rPr>
        <w:t>ו</w:t>
      </w:r>
      <w:r w:rsidRPr="001C78C5">
        <w:rPr>
          <w:rFonts w:cs="Arial"/>
          <w:sz w:val="16"/>
          <w:szCs w:val="16"/>
          <w:rtl/>
        </w:rPr>
        <w:t>אם לאו</w:t>
      </w:r>
      <w:r>
        <w:rPr>
          <w:rFonts w:cs="Arial" w:hint="cs"/>
          <w:sz w:val="16"/>
          <w:szCs w:val="16"/>
          <w:rtl/>
        </w:rPr>
        <w:t>)</w:t>
      </w:r>
      <w:r>
        <w:rPr>
          <w:rFonts w:hint="cs"/>
          <w:rtl/>
        </w:rPr>
        <w:t xml:space="preserve">- </w:t>
      </w:r>
      <w:r w:rsidRPr="001C78C5">
        <w:rPr>
          <w:rFonts w:cs="Arial"/>
          <w:rtl/>
        </w:rPr>
        <w:t>יחזיר לאשה - ולא לבעל</w:t>
      </w:r>
      <w:r>
        <w:rPr>
          <w:rFonts w:cs="Arial" w:hint="cs"/>
          <w:rtl/>
        </w:rPr>
        <w:t>.</w:t>
      </w:r>
      <w:r w:rsidRPr="001C78C5">
        <w:rPr>
          <w:rFonts w:cs="Arial"/>
          <w:rtl/>
        </w:rPr>
        <w:t xml:space="preserve"> </w:t>
      </w:r>
      <w:r>
        <w:rPr>
          <w:rFonts w:cs="Arial" w:hint="cs"/>
          <w:rtl/>
        </w:rPr>
        <w:t>ואם אמרה 'של פלוני הן'</w:t>
      </w:r>
      <w:r w:rsidRPr="001C78C5">
        <w:rPr>
          <w:rtl/>
        </w:rPr>
        <w:t xml:space="preserve"> </w:t>
      </w:r>
      <w:r>
        <w:rPr>
          <w:rFonts w:hint="cs"/>
          <w:rtl/>
        </w:rPr>
        <w:t xml:space="preserve">- </w:t>
      </w:r>
      <w:r w:rsidRPr="00A014AB">
        <w:rPr>
          <w:rtl/>
        </w:rPr>
        <w:t>יחזיר הנפקד לאותו פלוני שפירש</w:t>
      </w:r>
      <w:r>
        <w:rPr>
          <w:rFonts w:hint="cs"/>
          <w:rtl/>
        </w:rPr>
        <w:t>ה</w:t>
      </w:r>
      <w:r w:rsidRPr="00A014AB">
        <w:rPr>
          <w:rtl/>
        </w:rPr>
        <w:t xml:space="preserve"> לו</w:t>
      </w:r>
      <w:r>
        <w:rPr>
          <w:rFonts w:hint="cs"/>
          <w:rtl/>
        </w:rPr>
        <w:t>,</w:t>
      </w:r>
      <w:r w:rsidRPr="00803062">
        <w:rPr>
          <w:rFonts w:hint="cs"/>
          <w:rtl/>
        </w:rPr>
        <w:t xml:space="preserve"> </w:t>
      </w:r>
      <w:r>
        <w:rPr>
          <w:rFonts w:hint="cs"/>
          <w:rtl/>
        </w:rPr>
        <w:t xml:space="preserve">בין </w:t>
      </w:r>
      <w:r w:rsidRPr="00A014AB">
        <w:rPr>
          <w:rtl/>
        </w:rPr>
        <w:t>כש</w:t>
      </w:r>
      <w:r>
        <w:rPr>
          <w:rFonts w:hint="cs"/>
          <w:rtl/>
        </w:rPr>
        <w:t>היא בשעת מיתה ובין כשהיא</w:t>
      </w:r>
      <w:r w:rsidRPr="00A014AB">
        <w:rPr>
          <w:rtl/>
        </w:rPr>
        <w:t xml:space="preserve"> בריא</w:t>
      </w:r>
      <w:r>
        <w:rPr>
          <w:rFonts w:hint="cs"/>
          <w:rtl/>
        </w:rPr>
        <w:t>ה, ובתנאי שמאמין לה.</w:t>
      </w:r>
      <w:r w:rsidRPr="001C78C5">
        <w:rPr>
          <w:rtl/>
        </w:rPr>
        <w:t xml:space="preserve"> </w:t>
      </w:r>
      <w:r w:rsidRPr="00A014AB">
        <w:rPr>
          <w:rtl/>
        </w:rPr>
        <w:t>וא</w:t>
      </w:r>
      <w:r>
        <w:rPr>
          <w:rFonts w:hint="cs"/>
          <w:rtl/>
        </w:rPr>
        <w:t>ם</w:t>
      </w:r>
      <w:r w:rsidRPr="00A014AB">
        <w:rPr>
          <w:rtl/>
        </w:rPr>
        <w:t xml:space="preserve"> לא </w:t>
      </w:r>
      <w:r>
        <w:rPr>
          <w:rFonts w:hint="cs"/>
          <w:rtl/>
        </w:rPr>
        <w:t>מאמין</w:t>
      </w:r>
      <w:r w:rsidRPr="00A014AB">
        <w:rPr>
          <w:rtl/>
        </w:rPr>
        <w:t xml:space="preserve"> לה ההוא נפקד שהפקדון של אותו פלוני הוא</w:t>
      </w:r>
      <w:r>
        <w:rPr>
          <w:rFonts w:hint="cs"/>
          <w:rtl/>
        </w:rPr>
        <w:t xml:space="preserve"> -</w:t>
      </w:r>
      <w:r w:rsidRPr="00A014AB">
        <w:rPr>
          <w:rtl/>
        </w:rPr>
        <w:t xml:space="preserve"> יעשה הנפקד פירוש אחר לפירושן שיחזיר לבע</w:t>
      </w:r>
      <w:r>
        <w:rPr>
          <w:rFonts w:hint="cs"/>
          <w:rtl/>
        </w:rPr>
        <w:t>ל</w:t>
      </w:r>
      <w:r w:rsidRPr="00A014AB">
        <w:rPr>
          <w:rtl/>
        </w:rPr>
        <w:t xml:space="preserve"> ולא לאותו פלוני</w:t>
      </w:r>
      <w:r>
        <w:rPr>
          <w:rFonts w:hint="cs"/>
          <w:sz w:val="16"/>
          <w:szCs w:val="16"/>
          <w:rtl/>
        </w:rPr>
        <w:t xml:space="preserve"> (ע"פ לשון הרשב"ם)</w:t>
      </w:r>
      <w:r>
        <w:rPr>
          <w:rFonts w:hint="cs"/>
          <w:rtl/>
        </w:rPr>
        <w:t>.</w:t>
      </w:r>
    </w:p>
    <w:p w14:paraId="548639DC" w14:textId="77777777" w:rsidR="002E5BAD" w:rsidRDefault="002E5BAD" w:rsidP="002E5BAD">
      <w:pPr>
        <w:pStyle w:val="ab"/>
        <w:numPr>
          <w:ilvl w:val="0"/>
          <w:numId w:val="182"/>
        </w:numPr>
      </w:pPr>
      <w:r>
        <w:rPr>
          <w:rFonts w:hint="cs"/>
          <w:rtl/>
        </w:rPr>
        <w:t xml:space="preserve">רי"ו </w:t>
      </w:r>
      <w:r w:rsidRPr="002B1BC0">
        <w:rPr>
          <w:rFonts w:cs="Arial"/>
          <w:sz w:val="16"/>
          <w:szCs w:val="16"/>
          <w:rtl/>
        </w:rPr>
        <w:t>(מישרים נכ"ג ח"ו נח ע"ג)</w:t>
      </w:r>
      <w:r>
        <w:rPr>
          <w:rFonts w:hint="cs"/>
          <w:rtl/>
        </w:rPr>
        <w:t xml:space="preserve">- </w:t>
      </w:r>
      <w:r w:rsidRPr="00C224B5">
        <w:rPr>
          <w:rFonts w:cs="Arial"/>
          <w:rtl/>
        </w:rPr>
        <w:t>האשה שאמרה לבעלה בשעת מיתתה כלי פלוני של פלוני הוא תחזירנו לו יראה הבעל אם היא אמודה שיתנו לה מעות בלא רשותו על מנת שלא יהיה לו רשות בהם או אם המפקידים הם אמודים יעשה כמאמרה ואם לא יעכב אצלו</w:t>
      </w:r>
      <w:r>
        <w:rPr>
          <w:rFonts w:hint="cs"/>
          <w:rtl/>
        </w:rPr>
        <w:t>.</w:t>
      </w:r>
    </w:p>
    <w:p w14:paraId="3C66851D" w14:textId="77777777" w:rsidR="002E5BAD" w:rsidRPr="002E67F3" w:rsidRDefault="002E5BAD" w:rsidP="002E5BAD">
      <w:pPr>
        <w:ind w:left="360"/>
        <w:rPr>
          <w:u w:val="dotted"/>
        </w:rPr>
      </w:pPr>
      <w:r w:rsidRPr="002E67F3">
        <w:rPr>
          <w:rFonts w:hint="cs"/>
          <w:u w:val="dotted"/>
          <w:rtl/>
        </w:rPr>
        <w:t>ומה הדין אם האשה נושאת ונותנת בבית:</w:t>
      </w:r>
    </w:p>
    <w:p w14:paraId="440D7B5B" w14:textId="77777777" w:rsidR="002E5BAD" w:rsidRDefault="002E5BAD" w:rsidP="002E5BAD">
      <w:pPr>
        <w:pStyle w:val="ab"/>
        <w:numPr>
          <w:ilvl w:val="0"/>
          <w:numId w:val="182"/>
        </w:numPr>
      </w:pPr>
      <w:r>
        <w:rPr>
          <w:rFonts w:cs="Arial"/>
          <w:rtl/>
        </w:rPr>
        <w:t xml:space="preserve">ריב"ש </w:t>
      </w:r>
      <w:r w:rsidRPr="00525F70">
        <w:rPr>
          <w:rFonts w:cs="Arial" w:hint="cs"/>
          <w:sz w:val="16"/>
          <w:szCs w:val="16"/>
          <w:rtl/>
        </w:rPr>
        <w:t>(</w:t>
      </w:r>
      <w:r w:rsidRPr="00525F70">
        <w:rPr>
          <w:rFonts w:cs="Arial"/>
          <w:sz w:val="16"/>
          <w:szCs w:val="16"/>
          <w:rtl/>
        </w:rPr>
        <w:t>בתשו</w:t>
      </w:r>
      <w:r w:rsidRPr="00525F70">
        <w:rPr>
          <w:rFonts w:cs="Arial" w:hint="cs"/>
          <w:sz w:val="16"/>
          <w:szCs w:val="16"/>
          <w:rtl/>
        </w:rPr>
        <w:t>'</w:t>
      </w:r>
      <w:r w:rsidRPr="00525F70">
        <w:rPr>
          <w:rFonts w:cs="Arial"/>
          <w:sz w:val="16"/>
          <w:szCs w:val="16"/>
          <w:rtl/>
        </w:rPr>
        <w:t xml:space="preserve"> סי</w:t>
      </w:r>
      <w:r w:rsidRPr="00525F70">
        <w:rPr>
          <w:rFonts w:cs="Arial" w:hint="cs"/>
          <w:sz w:val="16"/>
          <w:szCs w:val="16"/>
          <w:rtl/>
        </w:rPr>
        <w:t>'</w:t>
      </w:r>
      <w:r w:rsidRPr="00525F70">
        <w:rPr>
          <w:rFonts w:cs="Arial"/>
          <w:sz w:val="16"/>
          <w:szCs w:val="16"/>
          <w:rtl/>
        </w:rPr>
        <w:t xml:space="preserve"> נ</w:t>
      </w:r>
      <w:r w:rsidRPr="00525F70">
        <w:rPr>
          <w:rFonts w:cs="Arial" w:hint="cs"/>
          <w:sz w:val="16"/>
          <w:szCs w:val="16"/>
          <w:rtl/>
        </w:rPr>
        <w:t>)</w:t>
      </w:r>
      <w:r>
        <w:rPr>
          <w:rFonts w:cs="Arial" w:hint="cs"/>
          <w:rtl/>
        </w:rPr>
        <w:t xml:space="preserve">- </w:t>
      </w:r>
      <w:r w:rsidRPr="00524888">
        <w:rPr>
          <w:rFonts w:cs="Arial"/>
          <w:rtl/>
        </w:rPr>
        <w:t>נראה שאפילו תהא היא נושאת ונותנת בתוך הבית מ"מ יחזיר לאשה</w:t>
      </w:r>
      <w:r>
        <w:rPr>
          <w:rFonts w:cs="Arial" w:hint="cs"/>
          <w:rtl/>
        </w:rPr>
        <w:t>,</w:t>
      </w:r>
      <w:r w:rsidRPr="00524888">
        <w:rPr>
          <w:rFonts w:cs="Arial"/>
          <w:rtl/>
        </w:rPr>
        <w:t xml:space="preserve"> דלמקום שנטל יחזיר. שהרי הרמב"ם ז"ל כתב (בפ"ב מה' מלוה) אין האשה נאמנת לומר על מעות שבידה שהם שלה אלא א"כ הביאה ראיה שהם שלה, ואעפ"כ כתב (בפ"ז מה' שאלה ופקדון) קבל מן האשה יחזיר לאשה אלא שאם מתה יחזיר לבעלה. וגם הרמב"ן ז"ל כן דעתו שאין האשה נאמנת על מעות שבידה לומר שנתנו לה במתנה על מנת שאין לבעלה רשות בהן ואעפ"כ למקום שנטל יחזיר. אלא שאח"כ יכול הבעל לטעון שיש לו בהן אכילת פירות ודינו עם האשה. ואף על פי שאינה דומה לאריסיה דבר זיזא דהתם האריס נאמן מן הטעם הנזכר בירושלמי דאית ב"נ דלא מפרסמא נפשיה</w:t>
      </w:r>
      <w:r>
        <w:rPr>
          <w:rFonts w:cs="Arial" w:hint="cs"/>
          <w:rtl/>
        </w:rPr>
        <w:t>,</w:t>
      </w:r>
      <w:r w:rsidRPr="00524888">
        <w:rPr>
          <w:rFonts w:cs="Arial"/>
          <w:rtl/>
        </w:rPr>
        <w:t xml:space="preserve"> וכאן אין האשה נאמנת לפי סברתם ז"ל</w:t>
      </w:r>
      <w:r>
        <w:rPr>
          <w:rFonts w:cs="Arial" w:hint="cs"/>
          <w:rtl/>
        </w:rPr>
        <w:t>,</w:t>
      </w:r>
      <w:r w:rsidRPr="00524888">
        <w:rPr>
          <w:rFonts w:cs="Arial"/>
          <w:rtl/>
        </w:rPr>
        <w:t xml:space="preserve"> עכ"ז יחזיר לאשה כל שהיא בחיים דלמקום שנטל יחזיר</w:t>
      </w:r>
      <w:r>
        <w:rPr>
          <w:rFonts w:cs="Arial"/>
          <w:rtl/>
        </w:rPr>
        <w:t>.</w:t>
      </w:r>
      <w:r>
        <w:rPr>
          <w:rFonts w:cs="Arial" w:hint="cs"/>
          <w:rtl/>
        </w:rPr>
        <w:t xml:space="preserve"> </w:t>
      </w:r>
      <w:r w:rsidRPr="00D43D3C">
        <w:rPr>
          <w:rFonts w:hint="cs"/>
          <w:color w:val="00B0F0"/>
          <w:rtl/>
        </w:rPr>
        <w:t>(וכ"כ הרמ"א</w:t>
      </w:r>
      <w:r>
        <w:rPr>
          <w:rStyle w:val="a7"/>
          <w:rFonts w:cs="Arial"/>
          <w:rtl/>
        </w:rPr>
        <w:footnoteReference w:id="1793"/>
      </w:r>
      <w:r w:rsidRPr="00D43D3C">
        <w:rPr>
          <w:rFonts w:hint="cs"/>
          <w:color w:val="00B0F0"/>
          <w:rtl/>
        </w:rPr>
        <w:t>)</w:t>
      </w:r>
    </w:p>
    <w:p w14:paraId="54423962" w14:textId="77777777" w:rsidR="002E5BAD" w:rsidRPr="00413778" w:rsidRDefault="002E5BAD" w:rsidP="002E5BAD">
      <w:pPr>
        <w:rPr>
          <w:u w:val="single"/>
        </w:rPr>
      </w:pPr>
      <w:r w:rsidRPr="00413778">
        <w:rPr>
          <w:rFonts w:hint="cs"/>
          <w:u w:val="single"/>
          <w:rtl/>
        </w:rPr>
        <w:t xml:space="preserve">כשהדין הוא שצריך הנפקד להחזיר לאשה, ובמקום זאת החזיר לבעל </w:t>
      </w:r>
      <w:r w:rsidRPr="00413778">
        <w:rPr>
          <w:u w:val="single"/>
          <w:rtl/>
        </w:rPr>
        <w:t>–</w:t>
      </w:r>
      <w:r w:rsidRPr="00413778">
        <w:rPr>
          <w:rFonts w:hint="cs"/>
          <w:u w:val="single"/>
          <w:rtl/>
        </w:rPr>
        <w:t xml:space="preserve"> האם חייב הנפקד לשלם לאשה:</w:t>
      </w:r>
      <w:r w:rsidRPr="00413778">
        <w:rPr>
          <w:rFonts w:cs="Arial" w:hint="cs"/>
          <w:sz w:val="16"/>
          <w:szCs w:val="16"/>
          <w:rtl/>
        </w:rPr>
        <w:t xml:space="preserve"> </w:t>
      </w:r>
      <w:r>
        <w:rPr>
          <w:rFonts w:cs="Arial" w:hint="cs"/>
          <w:sz w:val="16"/>
          <w:szCs w:val="16"/>
          <w:rtl/>
        </w:rPr>
        <w:t>(דרכ"מ אות ב)</w:t>
      </w:r>
    </w:p>
    <w:p w14:paraId="0BA050F4" w14:textId="77777777" w:rsidR="002E5BAD" w:rsidRDefault="002E5BAD" w:rsidP="002E5BAD">
      <w:pPr>
        <w:pStyle w:val="ab"/>
        <w:numPr>
          <w:ilvl w:val="0"/>
          <w:numId w:val="182"/>
        </w:numPr>
      </w:pPr>
      <w:r w:rsidRPr="00410A12">
        <w:rPr>
          <w:rFonts w:cs="Arial"/>
          <w:rtl/>
        </w:rPr>
        <w:t xml:space="preserve">מרדכי </w:t>
      </w:r>
      <w:r w:rsidRPr="00413778">
        <w:rPr>
          <w:rFonts w:cs="Arial" w:hint="cs"/>
          <w:sz w:val="16"/>
          <w:szCs w:val="16"/>
          <w:rtl/>
        </w:rPr>
        <w:t>(</w:t>
      </w:r>
      <w:r w:rsidRPr="00413778">
        <w:rPr>
          <w:rFonts w:cs="Arial"/>
          <w:sz w:val="16"/>
          <w:szCs w:val="16"/>
          <w:rtl/>
        </w:rPr>
        <w:t>פ</w:t>
      </w:r>
      <w:r w:rsidRPr="00413778">
        <w:rPr>
          <w:rFonts w:cs="Arial" w:hint="cs"/>
          <w:sz w:val="16"/>
          <w:szCs w:val="16"/>
          <w:rtl/>
        </w:rPr>
        <w:t>'</w:t>
      </w:r>
      <w:r w:rsidRPr="00413778">
        <w:rPr>
          <w:rFonts w:cs="Arial"/>
          <w:sz w:val="16"/>
          <w:szCs w:val="16"/>
          <w:rtl/>
        </w:rPr>
        <w:t xml:space="preserve"> חזקת הבתים </w:t>
      </w:r>
      <w:r>
        <w:rPr>
          <w:rFonts w:cs="Arial" w:hint="cs"/>
          <w:sz w:val="16"/>
          <w:szCs w:val="16"/>
          <w:rtl/>
        </w:rPr>
        <w:t xml:space="preserve">ב"ב </w:t>
      </w:r>
      <w:r w:rsidRPr="00413778">
        <w:rPr>
          <w:rFonts w:cs="Arial"/>
          <w:sz w:val="16"/>
          <w:szCs w:val="16"/>
          <w:rtl/>
        </w:rPr>
        <w:t>סי' תקמו)</w:t>
      </w:r>
      <w:r>
        <w:rPr>
          <w:rFonts w:cs="Arial" w:hint="cs"/>
          <w:rtl/>
        </w:rPr>
        <w:t xml:space="preserve"> ו</w:t>
      </w:r>
      <w:r w:rsidRPr="00410A12">
        <w:rPr>
          <w:rFonts w:cs="Arial"/>
          <w:rtl/>
        </w:rPr>
        <w:t>הג</w:t>
      </w:r>
      <w:r>
        <w:rPr>
          <w:rFonts w:cs="Arial" w:hint="cs"/>
          <w:rtl/>
        </w:rPr>
        <w:t>ה"מ</w:t>
      </w:r>
      <w:r w:rsidRPr="00410A12">
        <w:rPr>
          <w:rFonts w:cs="Arial"/>
          <w:rtl/>
        </w:rPr>
        <w:t xml:space="preserve"> </w:t>
      </w:r>
      <w:r w:rsidRPr="00413778">
        <w:rPr>
          <w:rFonts w:cs="Arial" w:hint="cs"/>
          <w:sz w:val="16"/>
          <w:szCs w:val="16"/>
          <w:rtl/>
        </w:rPr>
        <w:t>(</w:t>
      </w:r>
      <w:r w:rsidRPr="00413778">
        <w:rPr>
          <w:rFonts w:cs="Arial"/>
          <w:sz w:val="16"/>
          <w:szCs w:val="16"/>
          <w:rtl/>
        </w:rPr>
        <w:t xml:space="preserve">פכ"ב דאישות אות ע) </w:t>
      </w:r>
      <w:r w:rsidRPr="00410A12">
        <w:rPr>
          <w:rFonts w:cs="Arial"/>
          <w:rtl/>
        </w:rPr>
        <w:t xml:space="preserve">בשם ראבי"ה </w:t>
      </w:r>
      <w:r w:rsidRPr="00413778">
        <w:rPr>
          <w:rFonts w:cs="Arial"/>
          <w:sz w:val="16"/>
          <w:szCs w:val="16"/>
          <w:rtl/>
        </w:rPr>
        <w:t>(סי' אלף טז)</w:t>
      </w:r>
      <w:r>
        <w:rPr>
          <w:rFonts w:cs="Arial" w:hint="cs"/>
          <w:rtl/>
        </w:rPr>
        <w:t>-</w:t>
      </w:r>
      <w:r w:rsidRPr="00CA4AFD">
        <w:rPr>
          <w:rtl/>
        </w:rPr>
        <w:t xml:space="preserve"> </w:t>
      </w:r>
      <w:r w:rsidRPr="00CA4AFD">
        <w:rPr>
          <w:rFonts w:cs="Arial"/>
          <w:rtl/>
        </w:rPr>
        <w:t>שאלתי את פי רבותי</w:t>
      </w:r>
      <w:r>
        <w:rPr>
          <w:rFonts w:cs="Arial" w:hint="cs"/>
          <w:rtl/>
        </w:rPr>
        <w:t>,</w:t>
      </w:r>
      <w:r w:rsidRPr="00CA4AFD">
        <w:rPr>
          <w:rFonts w:cs="Arial"/>
          <w:rtl/>
        </w:rPr>
        <w:t xml:space="preserve"> אם הלך הנפקד ונתן לבעל של האשה או לרבו של עבד הפקדון</w:t>
      </w:r>
      <w:r>
        <w:rPr>
          <w:rFonts w:cs="Arial" w:hint="cs"/>
          <w:rtl/>
        </w:rPr>
        <w:t>,</w:t>
      </w:r>
      <w:r w:rsidRPr="00CA4AFD">
        <w:rPr>
          <w:rFonts w:cs="Arial"/>
          <w:rtl/>
        </w:rPr>
        <w:t xml:space="preserve"> אם היתה יכולה להחזיר על הנפקד ולומר לו למה נתת שלי ביד בעלי</w:t>
      </w:r>
      <w:r>
        <w:rPr>
          <w:rFonts w:cs="Arial" w:hint="cs"/>
          <w:rtl/>
        </w:rPr>
        <w:t>.</w:t>
      </w:r>
      <w:r w:rsidRPr="00CA4AFD">
        <w:rPr>
          <w:rFonts w:cs="Arial"/>
          <w:rtl/>
        </w:rPr>
        <w:t xml:space="preserve"> אם הוא יכול לומר איני יודע מסתמא שלא נתן לך שום אדם מתנה ע"מ שאין לבעליך רשות בהן</w:t>
      </w:r>
      <w:r>
        <w:rPr>
          <w:rFonts w:cs="Arial" w:hint="cs"/>
          <w:rtl/>
        </w:rPr>
        <w:t>,</w:t>
      </w:r>
      <w:r w:rsidRPr="00CA4AFD">
        <w:rPr>
          <w:rFonts w:cs="Arial"/>
          <w:rtl/>
        </w:rPr>
        <w:t xml:space="preserve"> וגם נמי</w:t>
      </w:r>
      <w:r>
        <w:rPr>
          <w:rFonts w:cs="Arial" w:hint="cs"/>
          <w:rtl/>
        </w:rPr>
        <w:t xml:space="preserve"> </w:t>
      </w:r>
      <w:r w:rsidRPr="00CA4AFD">
        <w:rPr>
          <w:rFonts w:cs="Arial"/>
          <w:rtl/>
        </w:rPr>
        <w:t>נכסי מלוג אינון שלו הן מן הדין</w:t>
      </w:r>
      <w:r>
        <w:rPr>
          <w:rFonts w:cs="Arial" w:hint="cs"/>
          <w:rtl/>
        </w:rPr>
        <w:t>,</w:t>
      </w:r>
      <w:r w:rsidRPr="00CA4AFD">
        <w:rPr>
          <w:rFonts w:cs="Arial"/>
          <w:rtl/>
        </w:rPr>
        <w:t xml:space="preserve"> דמה שאנו אומרים יחזיר לאשה היינו עצה טובה שיצא מידי ספק</w:t>
      </w:r>
      <w:r>
        <w:rPr>
          <w:rFonts w:cs="Arial" w:hint="cs"/>
          <w:rtl/>
        </w:rPr>
        <w:t>,</w:t>
      </w:r>
      <w:r w:rsidRPr="00CA4AFD">
        <w:rPr>
          <w:rFonts w:cs="Arial"/>
          <w:rtl/>
        </w:rPr>
        <w:t xml:space="preserve"> אבל בדיעבד חזרתו חזרה אם החזיר לבעל דדמיא לרבי נתן מנין לנושה בחבירו וכו' ולא דמי ממש. ולא השיבו לי דבר ברור</w:t>
      </w:r>
      <w:r>
        <w:rPr>
          <w:rFonts w:cs="Arial" w:hint="cs"/>
          <w:rtl/>
        </w:rPr>
        <w:t>,</w:t>
      </w:r>
      <w:r w:rsidRPr="00CA4AFD">
        <w:rPr>
          <w:rFonts w:cs="Arial"/>
          <w:rtl/>
        </w:rPr>
        <w:t xml:space="preserve"> ורפיא בידי</w:t>
      </w:r>
      <w:r>
        <w:rPr>
          <w:rFonts w:cs="Arial" w:hint="cs"/>
          <w:rtl/>
        </w:rPr>
        <w:t>,</w:t>
      </w:r>
      <w:r w:rsidRPr="00CA4AFD">
        <w:rPr>
          <w:rFonts w:cs="Arial"/>
          <w:rtl/>
        </w:rPr>
        <w:t xml:space="preserve"> ויותר נ"ל לפטור הנפקד. גם בזה לבי נוקף אם הנפקד היה חוזר על הבעל ואומר תחזיר לי</w:t>
      </w:r>
      <w:r>
        <w:rPr>
          <w:rFonts w:cs="Arial" w:hint="cs"/>
          <w:rtl/>
        </w:rPr>
        <w:t>,</w:t>
      </w:r>
      <w:r w:rsidRPr="00CA4AFD">
        <w:rPr>
          <w:rFonts w:cs="Arial"/>
          <w:rtl/>
        </w:rPr>
        <w:t xml:space="preserve"> כי שלא כדין נתתיו לך</w:t>
      </w:r>
      <w:r>
        <w:rPr>
          <w:rFonts w:cs="Arial" w:hint="cs"/>
          <w:rtl/>
        </w:rPr>
        <w:t>,</w:t>
      </w:r>
      <w:r w:rsidRPr="00CA4AFD">
        <w:rPr>
          <w:rFonts w:cs="Arial"/>
          <w:rtl/>
        </w:rPr>
        <w:t xml:space="preserve"> אי יכול או לא</w:t>
      </w:r>
      <w:r>
        <w:rPr>
          <w:rFonts w:cs="Arial" w:hint="cs"/>
          <w:rtl/>
        </w:rPr>
        <w:t>,</w:t>
      </w:r>
      <w:r w:rsidRPr="00CA4AFD">
        <w:rPr>
          <w:rFonts w:cs="Arial"/>
          <w:rtl/>
        </w:rPr>
        <w:t xml:space="preserve"> ונראה דאינו יכול</w:t>
      </w:r>
      <w:r w:rsidRPr="00410A12">
        <w:rPr>
          <w:rFonts w:cs="Arial"/>
          <w:rtl/>
        </w:rPr>
        <w:t xml:space="preserve">. </w:t>
      </w:r>
      <w:r w:rsidRPr="00C22F63">
        <w:rPr>
          <w:rFonts w:hint="cs"/>
          <w:color w:val="00B0F0"/>
          <w:rtl/>
        </w:rPr>
        <w:t>(וכ"פ הרמ"א)</w:t>
      </w:r>
    </w:p>
    <w:p w14:paraId="204E46C8" w14:textId="77777777" w:rsidR="002E5BAD" w:rsidRPr="00413778" w:rsidRDefault="002E5BAD" w:rsidP="002E5BAD">
      <w:r w:rsidRPr="00E516EC">
        <w:rPr>
          <w:u w:val="single"/>
          <w:rtl/>
        </w:rPr>
        <w:t>אשה ש</w:t>
      </w:r>
      <w:r>
        <w:rPr>
          <w:rFonts w:hint="cs"/>
          <w:u w:val="single"/>
          <w:rtl/>
        </w:rPr>
        <w:t>הלכה למדינת הים</w:t>
      </w:r>
      <w:r w:rsidRPr="00E516EC">
        <w:rPr>
          <w:rFonts w:hint="cs"/>
          <w:u w:val="single"/>
          <w:rtl/>
        </w:rPr>
        <w:t>,</w:t>
      </w:r>
      <w:r w:rsidRPr="00E516EC">
        <w:rPr>
          <w:u w:val="single"/>
          <w:rtl/>
        </w:rPr>
        <w:t xml:space="preserve"> והבעל תובע ל</w:t>
      </w:r>
      <w:r>
        <w:rPr>
          <w:rFonts w:hint="cs"/>
          <w:u w:val="single"/>
          <w:rtl/>
        </w:rPr>
        <w:t>נפקד</w:t>
      </w:r>
      <w:r w:rsidRPr="00E516EC">
        <w:rPr>
          <w:u w:val="single"/>
          <w:rtl/>
        </w:rPr>
        <w:t xml:space="preserve"> ואמר שאשתו גנב</w:t>
      </w:r>
      <w:r>
        <w:rPr>
          <w:rFonts w:hint="cs"/>
          <w:u w:val="single"/>
          <w:rtl/>
        </w:rPr>
        <w:t>ת</w:t>
      </w:r>
      <w:r w:rsidRPr="00E516EC">
        <w:rPr>
          <w:u w:val="single"/>
          <w:rtl/>
        </w:rPr>
        <w:t>ן לו</w:t>
      </w:r>
      <w:r>
        <w:rPr>
          <w:rFonts w:hint="cs"/>
          <w:u w:val="single"/>
          <w:rtl/>
        </w:rPr>
        <w:t xml:space="preserve"> </w:t>
      </w:r>
      <w:r>
        <w:rPr>
          <w:u w:val="single"/>
          <w:rtl/>
        </w:rPr>
        <w:t>–</w:t>
      </w:r>
      <w:r>
        <w:rPr>
          <w:rFonts w:hint="cs"/>
          <w:u w:val="single"/>
          <w:rtl/>
        </w:rPr>
        <w:t xml:space="preserve"> האם צריך להחזיר לו</w:t>
      </w:r>
      <w:r w:rsidRPr="00E516EC">
        <w:rPr>
          <w:rFonts w:hint="cs"/>
          <w:u w:val="single"/>
          <w:rtl/>
        </w:rPr>
        <w:t>:</w:t>
      </w:r>
      <w:r w:rsidRPr="00E516EC">
        <w:rPr>
          <w:rFonts w:hint="cs"/>
          <w:sz w:val="16"/>
          <w:szCs w:val="16"/>
          <w:rtl/>
        </w:rPr>
        <w:t xml:space="preserve">  (דרכ"מ אות </w:t>
      </w:r>
      <w:r>
        <w:rPr>
          <w:rFonts w:hint="cs"/>
          <w:sz w:val="16"/>
          <w:szCs w:val="16"/>
          <w:rtl/>
        </w:rPr>
        <w:t>ב</w:t>
      </w:r>
      <w:r w:rsidRPr="00E516EC">
        <w:rPr>
          <w:rFonts w:hint="cs"/>
          <w:sz w:val="16"/>
          <w:szCs w:val="16"/>
          <w:rtl/>
        </w:rPr>
        <w:t>)</w:t>
      </w:r>
    </w:p>
    <w:p w14:paraId="75FE2B96" w14:textId="77777777" w:rsidR="002E5BAD" w:rsidRPr="00E516EC" w:rsidRDefault="002E5BAD" w:rsidP="002E5BAD">
      <w:pPr>
        <w:pStyle w:val="ab"/>
        <w:numPr>
          <w:ilvl w:val="0"/>
          <w:numId w:val="182"/>
        </w:numPr>
      </w:pPr>
      <w:r w:rsidRPr="00410A12">
        <w:rPr>
          <w:rFonts w:cs="Arial"/>
          <w:rtl/>
        </w:rPr>
        <w:t xml:space="preserve">מרדכי </w:t>
      </w:r>
      <w:r w:rsidRPr="00413778">
        <w:rPr>
          <w:rFonts w:cs="Arial" w:hint="cs"/>
          <w:sz w:val="16"/>
          <w:szCs w:val="16"/>
          <w:rtl/>
        </w:rPr>
        <w:t>(</w:t>
      </w:r>
      <w:r w:rsidRPr="00413778">
        <w:rPr>
          <w:rFonts w:cs="Arial"/>
          <w:sz w:val="16"/>
          <w:szCs w:val="16"/>
          <w:rtl/>
        </w:rPr>
        <w:t>פ</w:t>
      </w:r>
      <w:r w:rsidRPr="00413778">
        <w:rPr>
          <w:rFonts w:cs="Arial" w:hint="cs"/>
          <w:sz w:val="16"/>
          <w:szCs w:val="16"/>
          <w:rtl/>
        </w:rPr>
        <w:t>'</w:t>
      </w:r>
      <w:r w:rsidRPr="00413778">
        <w:rPr>
          <w:rFonts w:cs="Arial"/>
          <w:sz w:val="16"/>
          <w:szCs w:val="16"/>
          <w:rtl/>
        </w:rPr>
        <w:t xml:space="preserve"> חזקת הבתים סי' תקמו)</w:t>
      </w:r>
      <w:r>
        <w:rPr>
          <w:rFonts w:cs="Arial" w:hint="cs"/>
          <w:rtl/>
        </w:rPr>
        <w:t xml:space="preserve">- </w:t>
      </w:r>
      <w:r w:rsidRPr="00410A12">
        <w:rPr>
          <w:rFonts w:cs="Arial"/>
          <w:rtl/>
        </w:rPr>
        <w:t xml:space="preserve">בזה אני מסתפק אם אשה </w:t>
      </w:r>
      <w:r>
        <w:rPr>
          <w:rFonts w:cs="Arial" w:hint="cs"/>
          <w:rtl/>
        </w:rPr>
        <w:t>ש</w:t>
      </w:r>
      <w:r w:rsidRPr="00410A12">
        <w:rPr>
          <w:rFonts w:cs="Arial"/>
          <w:rtl/>
        </w:rPr>
        <w:t>הלכה למדינת הים והבעל תובע לנפקד ואומר שאשתו גנבם אם מחזירין לו ושאלתי לרבותי ורפיא בידם</w:t>
      </w:r>
      <w:r>
        <w:rPr>
          <w:rStyle w:val="a7"/>
          <w:rFonts w:cs="Arial"/>
          <w:rtl/>
        </w:rPr>
        <w:footnoteReference w:id="1794"/>
      </w:r>
      <w:r>
        <w:rPr>
          <w:rFonts w:cs="Arial" w:hint="cs"/>
          <w:rtl/>
        </w:rPr>
        <w:t>.</w:t>
      </w:r>
    </w:p>
    <w:p w14:paraId="32DB1DE4" w14:textId="77777777" w:rsidR="002E5BAD" w:rsidRPr="000E1371" w:rsidRDefault="002E5BAD" w:rsidP="002E5BAD">
      <w:pPr>
        <w:rPr>
          <w:rFonts w:cs="Arial"/>
          <w:u w:val="single"/>
          <w:rtl/>
        </w:rPr>
      </w:pPr>
      <w:r w:rsidRPr="000E1371">
        <w:rPr>
          <w:rFonts w:cs="Arial" w:hint="cs"/>
          <w:u w:val="single"/>
          <w:rtl/>
        </w:rPr>
        <w:t>עבר והחזיר לקטן:</w:t>
      </w:r>
    </w:p>
    <w:p w14:paraId="1B168C2C" w14:textId="77777777" w:rsidR="002E5BAD" w:rsidRDefault="002E5BAD" w:rsidP="002E5BAD">
      <w:pPr>
        <w:pStyle w:val="ab"/>
        <w:numPr>
          <w:ilvl w:val="0"/>
          <w:numId w:val="182"/>
        </w:numPr>
        <w:rPr>
          <w:rFonts w:cs="Arial"/>
        </w:rPr>
      </w:pPr>
      <w:r w:rsidRPr="000E1371">
        <w:rPr>
          <w:rFonts w:cs="Arial"/>
          <w:rtl/>
        </w:rPr>
        <w:t xml:space="preserve">רשב"א </w:t>
      </w:r>
      <w:r w:rsidRPr="000E1371">
        <w:rPr>
          <w:rFonts w:cs="Arial"/>
          <w:sz w:val="16"/>
          <w:szCs w:val="16"/>
          <w:rtl/>
        </w:rPr>
        <w:t>(נב. ד"ה קטן</w:t>
      </w:r>
      <w:r w:rsidRPr="000E1371">
        <w:rPr>
          <w:rFonts w:cs="Arial" w:hint="cs"/>
          <w:sz w:val="16"/>
          <w:szCs w:val="16"/>
          <w:rtl/>
        </w:rPr>
        <w:t>, וכ"כ בשמו הה"מ [</w:t>
      </w:r>
      <w:r w:rsidRPr="000E1371">
        <w:rPr>
          <w:rFonts w:cs="Arial"/>
          <w:sz w:val="16"/>
          <w:szCs w:val="16"/>
          <w:rtl/>
        </w:rPr>
        <w:t>פ"ז משאלה ופקדון ה"י</w:t>
      </w:r>
      <w:r w:rsidRPr="000E1371">
        <w:rPr>
          <w:rFonts w:cs="Arial" w:hint="cs"/>
          <w:sz w:val="16"/>
          <w:szCs w:val="16"/>
          <w:rtl/>
        </w:rPr>
        <w:t xml:space="preserve">] </w:t>
      </w:r>
      <w:r w:rsidRPr="000E1371">
        <w:rPr>
          <w:rFonts w:cs="Arial"/>
          <w:sz w:val="16"/>
          <w:szCs w:val="16"/>
          <w:rtl/>
        </w:rPr>
        <w:t>ונמוק</w:t>
      </w:r>
      <w:r w:rsidRPr="000E1371">
        <w:rPr>
          <w:rFonts w:cs="Arial" w:hint="cs"/>
          <w:sz w:val="16"/>
          <w:szCs w:val="16"/>
          <w:rtl/>
        </w:rPr>
        <w:t>"</w:t>
      </w:r>
      <w:r w:rsidRPr="000E1371">
        <w:rPr>
          <w:rFonts w:cs="Arial"/>
          <w:sz w:val="16"/>
          <w:szCs w:val="16"/>
          <w:rtl/>
        </w:rPr>
        <w:t>י</w:t>
      </w:r>
      <w:r w:rsidRPr="000E1371">
        <w:rPr>
          <w:rFonts w:cs="Arial" w:hint="cs"/>
          <w:sz w:val="16"/>
          <w:szCs w:val="16"/>
          <w:rtl/>
        </w:rPr>
        <w:t xml:space="preserve"> [כז:]</w:t>
      </w:r>
      <w:r w:rsidRPr="000E1371">
        <w:rPr>
          <w:rFonts w:cs="Arial"/>
          <w:sz w:val="16"/>
          <w:szCs w:val="16"/>
          <w:rtl/>
        </w:rPr>
        <w:t>)</w:t>
      </w:r>
      <w:r w:rsidRPr="000E1371">
        <w:rPr>
          <w:rFonts w:cs="Arial" w:hint="cs"/>
          <w:rtl/>
        </w:rPr>
        <w:t xml:space="preserve">- </w:t>
      </w:r>
      <w:r w:rsidRPr="000E1371">
        <w:rPr>
          <w:rFonts w:cs="Arial"/>
          <w:rtl/>
        </w:rPr>
        <w:t>אם החזיר לקטן אינו חייב</w:t>
      </w:r>
      <w:r>
        <w:rPr>
          <w:rFonts w:cs="Arial" w:hint="cs"/>
          <w:rtl/>
        </w:rPr>
        <w:t>.</w:t>
      </w:r>
      <w:r w:rsidRPr="000E1371">
        <w:rPr>
          <w:rFonts w:cs="Arial"/>
          <w:rtl/>
        </w:rPr>
        <w:t xml:space="preserve"> </w:t>
      </w:r>
    </w:p>
    <w:p w14:paraId="4B0C2D61" w14:textId="77777777" w:rsidR="002E5BAD" w:rsidRPr="008F55F8" w:rsidRDefault="002E5BAD" w:rsidP="002E5BAD">
      <w:pPr>
        <w:rPr>
          <w:rFonts w:cs="Arial"/>
          <w:u w:val="single"/>
        </w:rPr>
      </w:pPr>
      <w:r w:rsidRPr="008F55F8">
        <w:rPr>
          <w:rFonts w:cs="Arial"/>
          <w:u w:val="single"/>
          <w:rtl/>
        </w:rPr>
        <w:t>אשה שקנתה חפצים מבעלה במעות טמונים</w:t>
      </w:r>
      <w:r w:rsidRPr="008F55F8">
        <w:rPr>
          <w:rFonts w:cs="Arial" w:hint="cs"/>
          <w:u w:val="single"/>
          <w:rtl/>
        </w:rPr>
        <w:t>:</w:t>
      </w:r>
    </w:p>
    <w:p w14:paraId="2D35C153" w14:textId="77777777" w:rsidR="002E5BAD" w:rsidRDefault="002E5BAD" w:rsidP="002E5BAD">
      <w:pPr>
        <w:pStyle w:val="ab"/>
        <w:numPr>
          <w:ilvl w:val="0"/>
          <w:numId w:val="182"/>
        </w:numPr>
        <w:rPr>
          <w:rFonts w:cs="Arial"/>
        </w:rPr>
      </w:pPr>
      <w:r w:rsidRPr="008F55F8">
        <w:rPr>
          <w:rFonts w:cs="Arial"/>
          <w:rtl/>
        </w:rPr>
        <w:lastRenderedPageBreak/>
        <w:t xml:space="preserve">רשב"א </w:t>
      </w:r>
      <w:r w:rsidRPr="008F55F8">
        <w:rPr>
          <w:rFonts w:cs="Arial" w:hint="cs"/>
          <w:sz w:val="16"/>
          <w:szCs w:val="16"/>
          <w:rtl/>
        </w:rPr>
        <w:t>(</w:t>
      </w:r>
      <w:r w:rsidRPr="008F55F8">
        <w:rPr>
          <w:rFonts w:cs="Arial"/>
          <w:sz w:val="16"/>
          <w:szCs w:val="16"/>
          <w:rtl/>
        </w:rPr>
        <w:t>סי</w:t>
      </w:r>
      <w:r>
        <w:rPr>
          <w:rFonts w:cs="Arial" w:hint="cs"/>
          <w:sz w:val="16"/>
          <w:szCs w:val="16"/>
          <w:rtl/>
        </w:rPr>
        <w:t>'</w:t>
      </w:r>
      <w:r w:rsidRPr="008F55F8">
        <w:rPr>
          <w:rFonts w:cs="Arial"/>
          <w:sz w:val="16"/>
          <w:szCs w:val="16"/>
          <w:rtl/>
        </w:rPr>
        <w:t xml:space="preserve"> תתקו</w:t>
      </w:r>
      <w:r w:rsidRPr="008F55F8">
        <w:rPr>
          <w:rFonts w:cs="Arial" w:hint="cs"/>
          <w:sz w:val="16"/>
          <w:szCs w:val="16"/>
          <w:rtl/>
        </w:rPr>
        <w:t>)</w:t>
      </w:r>
      <w:r w:rsidRPr="008F55F8">
        <w:rPr>
          <w:rFonts w:cs="Arial" w:hint="cs"/>
          <w:rtl/>
        </w:rPr>
        <w:t>-</w:t>
      </w:r>
      <w:r w:rsidRPr="008F55F8">
        <w:rPr>
          <w:rFonts w:cs="Arial"/>
          <w:rtl/>
        </w:rPr>
        <w:t xml:space="preserve"> אשה שקנתה חפצים מבעלה במעות טמונים</w:t>
      </w:r>
      <w:r w:rsidRPr="008F55F8">
        <w:rPr>
          <w:rFonts w:cs="Arial" w:hint="cs"/>
          <w:rtl/>
        </w:rPr>
        <w:t xml:space="preserve"> - </w:t>
      </w:r>
      <w:r w:rsidRPr="008F55F8">
        <w:rPr>
          <w:rFonts w:cs="Arial"/>
          <w:rtl/>
        </w:rPr>
        <w:t>לא קנתה כלל</w:t>
      </w:r>
      <w:r>
        <w:rPr>
          <w:rFonts w:cs="Arial" w:hint="cs"/>
          <w:rtl/>
        </w:rPr>
        <w:t>,</w:t>
      </w:r>
      <w:r w:rsidRPr="008F55F8">
        <w:rPr>
          <w:rFonts w:cs="Arial"/>
          <w:rtl/>
        </w:rPr>
        <w:t xml:space="preserve"> דלגלויי זוזי הוא דבעי כדאמרינן בפרק חזקת (נא:)</w:t>
      </w:r>
      <w:r>
        <w:rPr>
          <w:rFonts w:cs="Arial" w:hint="cs"/>
          <w:rtl/>
        </w:rPr>
        <w:t>.</w:t>
      </w:r>
      <w:r w:rsidRPr="008F55F8">
        <w:rPr>
          <w:rFonts w:cs="Arial"/>
          <w:rtl/>
        </w:rPr>
        <w:t xml:space="preserve"> הילכך ימכור מה שלקחה וילקח בהם קרקע והוא אוכל פירות</w:t>
      </w:r>
      <w:r>
        <w:rPr>
          <w:rFonts w:cs="Arial" w:hint="cs"/>
          <w:rtl/>
        </w:rPr>
        <w:t>,</w:t>
      </w:r>
      <w:r w:rsidRPr="008F55F8">
        <w:rPr>
          <w:rFonts w:cs="Arial"/>
          <w:rtl/>
        </w:rPr>
        <w:t xml:space="preserve"> אבל לתפסם כולם הבעל לא דאין לו כי אם פירות. </w:t>
      </w:r>
    </w:p>
    <w:p w14:paraId="024653E4" w14:textId="77777777" w:rsidR="002E5BAD" w:rsidRPr="00221953" w:rsidRDefault="002E5BAD" w:rsidP="002E5BAD">
      <w:pPr>
        <w:rPr>
          <w:rFonts w:cs="Arial"/>
          <w:u w:val="single"/>
        </w:rPr>
      </w:pPr>
      <w:r w:rsidRPr="00221953">
        <w:rPr>
          <w:rFonts w:cs="Arial" w:hint="cs"/>
          <w:u w:val="single"/>
          <w:rtl/>
        </w:rPr>
        <w:t xml:space="preserve">מי שהלוה מחברו, </w:t>
      </w:r>
      <w:r>
        <w:rPr>
          <w:rFonts w:cs="Arial" w:hint="cs"/>
          <w:u w:val="single"/>
          <w:rtl/>
        </w:rPr>
        <w:t>ו</w:t>
      </w:r>
      <w:r w:rsidRPr="00221953">
        <w:rPr>
          <w:rFonts w:cs="Arial" w:hint="cs"/>
          <w:u w:val="single"/>
          <w:rtl/>
        </w:rPr>
        <w:t>לא פרע ל</w:t>
      </w:r>
      <w:r>
        <w:rPr>
          <w:rFonts w:cs="Arial" w:hint="cs"/>
          <w:u w:val="single"/>
          <w:rtl/>
        </w:rPr>
        <w:t>ו</w:t>
      </w:r>
      <w:r w:rsidRPr="00221953">
        <w:rPr>
          <w:rFonts w:cs="Arial" w:hint="cs"/>
          <w:u w:val="single"/>
          <w:rtl/>
        </w:rPr>
        <w:t xml:space="preserve"> משם שחברו חייב לאשתו ממון:</w:t>
      </w:r>
    </w:p>
    <w:p w14:paraId="5F0CF0EC" w14:textId="77777777" w:rsidR="002E5BAD" w:rsidRPr="00221953" w:rsidRDefault="002E5BAD" w:rsidP="002E5BAD">
      <w:pPr>
        <w:pStyle w:val="ab"/>
        <w:numPr>
          <w:ilvl w:val="0"/>
          <w:numId w:val="182"/>
        </w:numPr>
        <w:rPr>
          <w:rFonts w:cs="Arial"/>
          <w:rtl/>
        </w:rPr>
      </w:pPr>
      <w:r w:rsidRPr="00221953">
        <w:rPr>
          <w:rFonts w:cs="Arial" w:hint="cs"/>
          <w:rtl/>
        </w:rPr>
        <w:t xml:space="preserve">רי"ו </w:t>
      </w:r>
      <w:r w:rsidRPr="00221953">
        <w:rPr>
          <w:rFonts w:cs="Arial"/>
          <w:sz w:val="16"/>
          <w:szCs w:val="16"/>
          <w:rtl/>
        </w:rPr>
        <w:t>(מישרים נכ"ג ח"ו נח ע"ג)</w:t>
      </w:r>
      <w:r w:rsidRPr="00221953">
        <w:rPr>
          <w:rFonts w:cs="Arial" w:hint="cs"/>
          <w:rtl/>
        </w:rPr>
        <w:t>-</w:t>
      </w:r>
      <w:r w:rsidRPr="00221953">
        <w:rPr>
          <w:rFonts w:cs="Arial"/>
          <w:rtl/>
        </w:rPr>
        <w:t xml:space="preserve"> נשאל הר"מ על ראובן שטוען שהלוה לשמעון כך וכך</w:t>
      </w:r>
      <w:r>
        <w:rPr>
          <w:rFonts w:cs="Arial" w:hint="cs"/>
          <w:rtl/>
        </w:rPr>
        <w:t>,</w:t>
      </w:r>
      <w:r w:rsidRPr="00221953">
        <w:rPr>
          <w:rFonts w:cs="Arial"/>
          <w:rtl/>
        </w:rPr>
        <w:t xml:space="preserve"> ושמעון טוען שכן הוא ושהוא מעכבם בשביל שהיה חייב לאשתו</w:t>
      </w:r>
      <w:r>
        <w:rPr>
          <w:rFonts w:cs="Arial" w:hint="cs"/>
          <w:rtl/>
        </w:rPr>
        <w:t>.</w:t>
      </w:r>
      <w:r w:rsidRPr="00221953">
        <w:rPr>
          <w:rFonts w:cs="Arial"/>
          <w:rtl/>
        </w:rPr>
        <w:t xml:space="preserve"> והשיב</w:t>
      </w:r>
      <w:r>
        <w:rPr>
          <w:rFonts w:cs="Arial" w:hint="cs"/>
          <w:rtl/>
        </w:rPr>
        <w:t>-</w:t>
      </w:r>
      <w:r w:rsidRPr="00221953">
        <w:rPr>
          <w:rFonts w:cs="Arial"/>
          <w:rtl/>
        </w:rPr>
        <w:t xml:space="preserve"> אם אשתו בחיים ואומרת תן לבעלי</w:t>
      </w:r>
      <w:r>
        <w:rPr>
          <w:rFonts w:cs="Arial" w:hint="cs"/>
          <w:rtl/>
        </w:rPr>
        <w:t>,</w:t>
      </w:r>
      <w:r w:rsidRPr="00221953">
        <w:rPr>
          <w:rFonts w:cs="Arial"/>
          <w:rtl/>
        </w:rPr>
        <w:t xml:space="preserve"> יכול לעכב</w:t>
      </w:r>
      <w:r>
        <w:rPr>
          <w:rFonts w:cs="Arial" w:hint="cs"/>
          <w:rtl/>
        </w:rPr>
        <w:t>,</w:t>
      </w:r>
      <w:r w:rsidRPr="00221953">
        <w:rPr>
          <w:rFonts w:cs="Arial"/>
          <w:rtl/>
        </w:rPr>
        <w:t xml:space="preserve"> ואם אחר מיתתה יעשה כפירושה ויתן לבעלה</w:t>
      </w:r>
      <w:r>
        <w:rPr>
          <w:rFonts w:cs="Arial" w:hint="cs"/>
          <w:rtl/>
        </w:rPr>
        <w:t>,</w:t>
      </w:r>
      <w:r w:rsidRPr="00221953">
        <w:rPr>
          <w:rFonts w:cs="Arial"/>
          <w:rtl/>
        </w:rPr>
        <w:t xml:space="preserve"> ואם כן ממה נפשך שלו הוא ויכול לעכב הממון</w:t>
      </w:r>
      <w:r w:rsidRPr="00221953">
        <w:rPr>
          <w:rFonts w:cs="Arial" w:hint="cs"/>
          <w:rtl/>
        </w:rPr>
        <w:t>.</w:t>
      </w:r>
    </w:p>
    <w:p w14:paraId="0E83763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459E1DB" w14:textId="77777777" w:rsidR="002E5BAD" w:rsidRDefault="002E5BAD" w:rsidP="002E5BAD">
      <w:pPr>
        <w:rPr>
          <w:rFonts w:cs="Arial"/>
          <w:rtl/>
        </w:rPr>
      </w:pPr>
      <w:r>
        <w:rPr>
          <w:rFonts w:cs="Arial"/>
          <w:rtl/>
        </w:rPr>
        <w:t>אין מקבלין פקדון מאשת איש</w:t>
      </w:r>
      <w:r>
        <w:rPr>
          <w:rFonts w:cs="Arial" w:hint="cs"/>
          <w:rtl/>
        </w:rPr>
        <w:t>.</w:t>
      </w:r>
      <w:r>
        <w:rPr>
          <w:rFonts w:cs="Arial"/>
          <w:rtl/>
        </w:rPr>
        <w:t xml:space="preserve"> ואם קבל, יחזיר לאשה</w:t>
      </w:r>
      <w:r>
        <w:rPr>
          <w:rStyle w:val="a7"/>
          <w:rFonts w:cs="Arial"/>
          <w:rtl/>
        </w:rPr>
        <w:footnoteReference w:id="1795"/>
      </w:r>
      <w:r>
        <w:rPr>
          <w:rFonts w:cs="Arial"/>
          <w:rtl/>
        </w:rPr>
        <w:t xml:space="preserve">. </w:t>
      </w:r>
      <w:r>
        <w:rPr>
          <w:rFonts w:cs="Arial" w:hint="cs"/>
          <w:sz w:val="18"/>
          <w:szCs w:val="18"/>
          <w:rtl/>
        </w:rPr>
        <w:t xml:space="preserve">[הגה] </w:t>
      </w:r>
      <w:r w:rsidRPr="00183279">
        <w:rPr>
          <w:rFonts w:cs="Arial"/>
          <w:sz w:val="18"/>
          <w:szCs w:val="18"/>
          <w:rtl/>
        </w:rPr>
        <w:t>ואם אמרה: של פלוני הם, נאמנת</w:t>
      </w:r>
      <w:r>
        <w:rPr>
          <w:rStyle w:val="a7"/>
          <w:rFonts w:cs="Arial"/>
          <w:sz w:val="18"/>
          <w:szCs w:val="18"/>
          <w:rtl/>
        </w:rPr>
        <w:footnoteReference w:id="1796"/>
      </w:r>
      <w:r w:rsidRPr="00183279">
        <w:rPr>
          <w:rFonts w:cs="Arial"/>
          <w:sz w:val="18"/>
          <w:szCs w:val="18"/>
          <w:rtl/>
        </w:rPr>
        <w:t xml:space="preserve"> (טור). הלכה האשה למדינת הים, ובא הבעל ותבע מן הנפקד ואומר שאשתו גנבה לו, לא יתנם לו עד שתבא האשה או תמות</w:t>
      </w:r>
      <w:r>
        <w:rPr>
          <w:rStyle w:val="a7"/>
          <w:rFonts w:cs="Arial"/>
          <w:sz w:val="18"/>
          <w:szCs w:val="18"/>
          <w:rtl/>
        </w:rPr>
        <w:footnoteReference w:id="1797"/>
      </w:r>
      <w:r w:rsidRPr="00183279">
        <w:rPr>
          <w:rFonts w:cs="Arial"/>
          <w:sz w:val="18"/>
          <w:szCs w:val="18"/>
          <w:rtl/>
        </w:rPr>
        <w:t>, כן נ"ל</w:t>
      </w:r>
      <w:r>
        <w:rPr>
          <w:rFonts w:cs="Arial" w:hint="cs"/>
          <w:sz w:val="18"/>
          <w:szCs w:val="18"/>
          <w:rtl/>
        </w:rPr>
        <w:t xml:space="preserve"> (ד"ע</w:t>
      </w:r>
      <w:r w:rsidRPr="00183279">
        <w:rPr>
          <w:rFonts w:cs="Arial"/>
          <w:sz w:val="18"/>
          <w:szCs w:val="18"/>
          <w:rtl/>
        </w:rPr>
        <w:t>)</w:t>
      </w:r>
      <w:r>
        <w:rPr>
          <w:rFonts w:cs="Arial" w:hint="cs"/>
          <w:sz w:val="18"/>
          <w:szCs w:val="18"/>
          <w:rtl/>
        </w:rPr>
        <w:t>.</w:t>
      </w:r>
      <w:r w:rsidRPr="00183279">
        <w:rPr>
          <w:rFonts w:cs="Arial"/>
          <w:sz w:val="18"/>
          <w:szCs w:val="18"/>
          <w:rtl/>
        </w:rPr>
        <w:t xml:space="preserve"> </w:t>
      </w:r>
      <w:r>
        <w:rPr>
          <w:rFonts w:cs="Arial"/>
          <w:rtl/>
        </w:rPr>
        <w:t xml:space="preserve">ואם אמרה בשעת מיתתה: של פלוני הם, אם נאמנת לו, יעשה כדבריה; ואם לאו, יתן ליורשיה. </w:t>
      </w:r>
      <w:r>
        <w:rPr>
          <w:rFonts w:cs="Arial" w:hint="cs"/>
          <w:sz w:val="18"/>
          <w:szCs w:val="18"/>
          <w:rtl/>
        </w:rPr>
        <w:t xml:space="preserve">[הגה] </w:t>
      </w:r>
      <w:r w:rsidRPr="00183279">
        <w:rPr>
          <w:rFonts w:cs="Arial"/>
          <w:sz w:val="18"/>
          <w:szCs w:val="18"/>
          <w:rtl/>
        </w:rPr>
        <w:t>וכן אם מתה ולא אמרה כלום</w:t>
      </w:r>
      <w:r>
        <w:rPr>
          <w:rStyle w:val="a7"/>
          <w:rFonts w:cs="Arial"/>
          <w:sz w:val="18"/>
          <w:szCs w:val="18"/>
          <w:rtl/>
        </w:rPr>
        <w:footnoteReference w:id="1798"/>
      </w:r>
      <w:r>
        <w:rPr>
          <w:rFonts w:cs="Arial" w:hint="cs"/>
          <w:sz w:val="18"/>
          <w:szCs w:val="18"/>
          <w:rtl/>
        </w:rPr>
        <w:t xml:space="preserve"> (רשב"ם</w:t>
      </w:r>
      <w:r w:rsidRPr="00183279">
        <w:rPr>
          <w:rFonts w:cs="Arial"/>
          <w:sz w:val="18"/>
          <w:szCs w:val="18"/>
          <w:rtl/>
        </w:rPr>
        <w:t>)</w:t>
      </w:r>
      <w:r>
        <w:rPr>
          <w:rFonts w:cs="Arial"/>
          <w:rtl/>
        </w:rPr>
        <w:t>. ויש מי שאומר שאם היא נושאת ונותנת בתוך הבית</w:t>
      </w:r>
      <w:r>
        <w:rPr>
          <w:rStyle w:val="a7"/>
          <w:rFonts w:cs="Arial"/>
          <w:rtl/>
        </w:rPr>
        <w:footnoteReference w:id="1799"/>
      </w:r>
      <w:r>
        <w:rPr>
          <w:rFonts w:cs="Arial"/>
          <w:rtl/>
        </w:rPr>
        <w:t>, אינה נאמנת לומר של פלוני</w:t>
      </w:r>
      <w:r>
        <w:rPr>
          <w:rStyle w:val="a7"/>
          <w:rFonts w:cs="Arial"/>
          <w:rtl/>
        </w:rPr>
        <w:footnoteReference w:id="1800"/>
      </w:r>
      <w:r>
        <w:rPr>
          <w:rFonts w:cs="Arial"/>
          <w:rtl/>
        </w:rPr>
        <w:t xml:space="preserve"> הם. </w:t>
      </w:r>
      <w:r w:rsidRPr="00183279">
        <w:rPr>
          <w:rFonts w:cs="Arial"/>
          <w:sz w:val="18"/>
          <w:szCs w:val="18"/>
          <w:rtl/>
        </w:rPr>
        <w:t>הגה: מיהו כל זמן שהיא חיה יחזיר לאשה</w:t>
      </w:r>
      <w:r>
        <w:rPr>
          <w:rStyle w:val="a7"/>
          <w:rFonts w:cs="Arial"/>
          <w:sz w:val="18"/>
          <w:szCs w:val="18"/>
          <w:rtl/>
        </w:rPr>
        <w:footnoteReference w:id="1801"/>
      </w:r>
      <w:r w:rsidRPr="00183279">
        <w:rPr>
          <w:rFonts w:cs="Arial"/>
          <w:sz w:val="18"/>
          <w:szCs w:val="18"/>
          <w:rtl/>
        </w:rPr>
        <w:t xml:space="preserve"> (</w:t>
      </w:r>
      <w:r>
        <w:rPr>
          <w:rFonts w:cs="Arial" w:hint="cs"/>
          <w:sz w:val="18"/>
          <w:szCs w:val="18"/>
          <w:rtl/>
        </w:rPr>
        <w:t>ריב"ש</w:t>
      </w:r>
      <w:r w:rsidRPr="00183279">
        <w:rPr>
          <w:rFonts w:cs="Arial"/>
          <w:sz w:val="18"/>
          <w:szCs w:val="18"/>
          <w:rtl/>
        </w:rPr>
        <w:t>), מיהו אם החזיר לבעל, פטור</w:t>
      </w:r>
      <w:r>
        <w:rPr>
          <w:rStyle w:val="a7"/>
          <w:rFonts w:cs="Arial"/>
          <w:sz w:val="18"/>
          <w:szCs w:val="18"/>
          <w:rtl/>
        </w:rPr>
        <w:footnoteReference w:id="1802"/>
      </w:r>
      <w:r w:rsidRPr="00183279">
        <w:rPr>
          <w:rFonts w:cs="Arial"/>
          <w:sz w:val="18"/>
          <w:szCs w:val="18"/>
          <w:rtl/>
        </w:rPr>
        <w:t xml:space="preserve"> הנפקד, אפילו אינה נושאת ונותנת תוך הבית (מרדכי פרק חזקת הבתים).</w:t>
      </w:r>
      <w:r>
        <w:rPr>
          <w:rFonts w:cs="Arial"/>
          <w:rtl/>
        </w:rPr>
        <w:t xml:space="preserve"> </w:t>
      </w:r>
    </w:p>
    <w:p w14:paraId="673A8744" w14:textId="77777777" w:rsidR="002E5BAD" w:rsidRDefault="002E5BAD" w:rsidP="002E5BAD">
      <w:pPr>
        <w:rPr>
          <w:rtl/>
        </w:rPr>
      </w:pPr>
    </w:p>
    <w:p w14:paraId="4B642D72" w14:textId="77777777" w:rsidR="002E5BAD" w:rsidRDefault="002E5BAD" w:rsidP="002E5BAD">
      <w:pPr>
        <w:pStyle w:val="2"/>
        <w:rPr>
          <w:rtl/>
        </w:rPr>
      </w:pPr>
      <w:r>
        <w:rPr>
          <w:rtl/>
        </w:rPr>
        <w:t>סעיף ב</w:t>
      </w:r>
      <w:r>
        <w:rPr>
          <w:rFonts w:hint="cs"/>
          <w:rtl/>
        </w:rPr>
        <w:t>: בעל שלוה מאשתו ואח"כ גירשה.</w:t>
      </w:r>
    </w:p>
    <w:p w14:paraId="5D303DE9" w14:textId="77777777" w:rsidR="002E5BAD" w:rsidRPr="004D4D0D" w:rsidRDefault="002E5BAD" w:rsidP="002E5BAD">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נא ע"א: </w:t>
      </w:r>
      <w:r w:rsidRPr="004D4D0D">
        <w:rPr>
          <w:rFonts w:cs="Arial"/>
          <w:rtl/>
        </w:rPr>
        <w:t>מיתיבי: לוה מן העבד ושחררו, מן האשה וגרשה - אין להן עליו כלום</w:t>
      </w:r>
      <w:r>
        <w:rPr>
          <w:rFonts w:cs="Arial" w:hint="cs"/>
          <w:rtl/>
        </w:rPr>
        <w:t>...</w:t>
      </w:r>
      <w:r w:rsidRPr="004D4D0D">
        <w:rPr>
          <w:rFonts w:cs="Arial"/>
          <w:rtl/>
        </w:rPr>
        <w:t xml:space="preserve"> לגלויי זוזי הוא דבעי</w:t>
      </w:r>
      <w:r>
        <w:rPr>
          <w:rFonts w:cs="Arial" w:hint="cs"/>
          <w:rtl/>
        </w:rPr>
        <w:t>.</w:t>
      </w:r>
    </w:p>
    <w:p w14:paraId="1EC40922" w14:textId="77777777" w:rsidR="002E5BAD" w:rsidRPr="001647A9" w:rsidRDefault="002E5BAD" w:rsidP="002E5BAD">
      <w:pPr>
        <w:rPr>
          <w:u w:val="single"/>
        </w:rPr>
      </w:pPr>
      <w:r w:rsidRPr="001647A9">
        <w:rPr>
          <w:rFonts w:hint="cs"/>
          <w:u w:val="single"/>
          <w:rtl/>
        </w:rPr>
        <w:t xml:space="preserve">בעל שלוה מאשתו ואח"כ גרשה </w:t>
      </w:r>
      <w:r w:rsidRPr="001647A9">
        <w:rPr>
          <w:u w:val="single"/>
          <w:rtl/>
        </w:rPr>
        <w:t>–</w:t>
      </w:r>
      <w:r w:rsidRPr="001647A9">
        <w:rPr>
          <w:rFonts w:hint="cs"/>
          <w:u w:val="single"/>
          <w:rtl/>
        </w:rPr>
        <w:t xml:space="preserve"> האם יכולה להוציאם מידו:</w:t>
      </w:r>
    </w:p>
    <w:p w14:paraId="619F2FFF" w14:textId="77777777" w:rsidR="002E5BAD" w:rsidRDefault="002E5BAD" w:rsidP="002E5BAD">
      <w:pPr>
        <w:pStyle w:val="ab"/>
        <w:numPr>
          <w:ilvl w:val="0"/>
          <w:numId w:val="182"/>
        </w:numPr>
      </w:pPr>
      <w:r>
        <w:rPr>
          <w:rFonts w:cs="Arial" w:hint="cs"/>
          <w:rtl/>
        </w:rPr>
        <w:t xml:space="preserve">טור- </w:t>
      </w:r>
      <w:r w:rsidRPr="00227F6B">
        <w:rPr>
          <w:rFonts w:cs="Arial"/>
          <w:rtl/>
        </w:rPr>
        <w:t>לוה ממנה וגירשה</w:t>
      </w:r>
      <w:r>
        <w:rPr>
          <w:rFonts w:cs="Arial" w:hint="cs"/>
          <w:rtl/>
        </w:rPr>
        <w:t>,</w:t>
      </w:r>
      <w:r w:rsidRPr="00227F6B">
        <w:rPr>
          <w:rFonts w:cs="Arial"/>
          <w:rtl/>
        </w:rPr>
        <w:t xml:space="preserve"> היו המעות טמונים </w:t>
      </w:r>
      <w:r>
        <w:rPr>
          <w:rFonts w:cs="Arial" w:hint="cs"/>
          <w:rtl/>
        </w:rPr>
        <w:t xml:space="preserve">- </w:t>
      </w:r>
      <w:r w:rsidRPr="00227F6B">
        <w:rPr>
          <w:rFonts w:cs="Arial"/>
          <w:rtl/>
        </w:rPr>
        <w:t>אין לה עליו כלום</w:t>
      </w:r>
      <w:r>
        <w:rPr>
          <w:rFonts w:cs="Arial" w:hint="cs"/>
          <w:rtl/>
        </w:rPr>
        <w:t>,</w:t>
      </w:r>
      <w:r w:rsidRPr="00227F6B">
        <w:rPr>
          <w:rFonts w:cs="Arial"/>
          <w:rtl/>
        </w:rPr>
        <w:t xml:space="preserve"> שלא כיון אלא להוציאם מידה</w:t>
      </w:r>
      <w:r>
        <w:rPr>
          <w:rFonts w:cs="Arial" w:hint="cs"/>
          <w:rtl/>
        </w:rPr>
        <w:t>.</w:t>
      </w:r>
      <w:r w:rsidRPr="00227F6B">
        <w:rPr>
          <w:rFonts w:cs="Arial"/>
          <w:rtl/>
        </w:rPr>
        <w:t xml:space="preserve"> לא היו טמונים </w:t>
      </w:r>
      <w:r>
        <w:rPr>
          <w:rFonts w:cs="Arial" w:hint="cs"/>
          <w:rtl/>
        </w:rPr>
        <w:t xml:space="preserve">- </w:t>
      </w:r>
      <w:r w:rsidRPr="00227F6B">
        <w:rPr>
          <w:rFonts w:cs="Arial"/>
          <w:rtl/>
        </w:rPr>
        <w:t>צריך לפורעה</w:t>
      </w:r>
      <w:r>
        <w:rPr>
          <w:rStyle w:val="a7"/>
          <w:rFonts w:cs="Arial"/>
          <w:rtl/>
        </w:rPr>
        <w:footnoteReference w:id="1803"/>
      </w:r>
      <w:r>
        <w:rPr>
          <w:rFonts w:cs="Arial" w:hint="cs"/>
          <w:rtl/>
        </w:rPr>
        <w:t>.</w:t>
      </w:r>
      <w:r w:rsidRPr="00227F6B">
        <w:rPr>
          <w:rFonts w:cs="Arial"/>
          <w:rtl/>
        </w:rPr>
        <w:t xml:space="preserve"> </w:t>
      </w:r>
      <w:r w:rsidRPr="00D43D3C">
        <w:rPr>
          <w:rFonts w:hint="cs"/>
          <w:color w:val="00B0F0"/>
          <w:rtl/>
        </w:rPr>
        <w:t>(וכ"כ הרמ"א)</w:t>
      </w:r>
    </w:p>
    <w:p w14:paraId="330130E4" w14:textId="77777777" w:rsidR="002E5BAD" w:rsidRDefault="002E5BAD" w:rsidP="002E5BAD">
      <w:pPr>
        <w:pStyle w:val="ab"/>
        <w:numPr>
          <w:ilvl w:val="0"/>
          <w:numId w:val="182"/>
        </w:numPr>
      </w:pPr>
      <w:r>
        <w:rPr>
          <w:rFonts w:cs="Arial" w:hint="cs"/>
          <w:rtl/>
        </w:rPr>
        <w:t xml:space="preserve">רמב"ם </w:t>
      </w:r>
      <w:r w:rsidRPr="00890538">
        <w:rPr>
          <w:rFonts w:cs="Arial" w:hint="cs"/>
          <w:sz w:val="16"/>
          <w:szCs w:val="16"/>
          <w:rtl/>
        </w:rPr>
        <w:t>(פ"ב ממלוה ה"ח)</w:t>
      </w:r>
      <w:r w:rsidRPr="009A3E19">
        <w:rPr>
          <w:rtl/>
        </w:rPr>
        <w:t xml:space="preserve"> </w:t>
      </w:r>
      <w:r w:rsidRPr="009A3E19">
        <w:rPr>
          <w:rFonts w:cs="Arial"/>
          <w:rtl/>
        </w:rPr>
        <w:t>ו</w:t>
      </w:r>
      <w:r>
        <w:rPr>
          <w:rFonts w:cs="Arial" w:hint="cs"/>
          <w:rtl/>
        </w:rPr>
        <w:t>ה</w:t>
      </w:r>
      <w:r w:rsidRPr="009A3E19">
        <w:rPr>
          <w:rFonts w:cs="Arial"/>
          <w:rtl/>
        </w:rPr>
        <w:t>ת</w:t>
      </w:r>
      <w:r>
        <w:rPr>
          <w:rFonts w:cs="Arial" w:hint="cs"/>
          <w:rtl/>
        </w:rPr>
        <w:t>רומות</w:t>
      </w:r>
      <w:r w:rsidRPr="009A3E19">
        <w:rPr>
          <w:rFonts w:cs="Arial"/>
          <w:rtl/>
        </w:rPr>
        <w:t xml:space="preserve"> </w:t>
      </w:r>
      <w:r w:rsidRPr="009A3E19">
        <w:rPr>
          <w:rFonts w:cs="Arial" w:hint="cs"/>
          <w:sz w:val="16"/>
          <w:szCs w:val="16"/>
          <w:rtl/>
        </w:rPr>
        <w:t>(</w:t>
      </w:r>
      <w:r w:rsidRPr="009A3E19">
        <w:rPr>
          <w:rFonts w:cs="Arial"/>
          <w:sz w:val="16"/>
          <w:szCs w:val="16"/>
          <w:rtl/>
        </w:rPr>
        <w:t>שער לז</w:t>
      </w:r>
      <w:r w:rsidRPr="009A3E19">
        <w:rPr>
          <w:rFonts w:cs="Arial" w:hint="cs"/>
          <w:sz w:val="16"/>
          <w:szCs w:val="16"/>
          <w:rtl/>
        </w:rPr>
        <w:t>)</w:t>
      </w:r>
      <w:r>
        <w:rPr>
          <w:rFonts w:cs="Arial" w:hint="cs"/>
          <w:rtl/>
        </w:rPr>
        <w:t xml:space="preserve">- </w:t>
      </w:r>
      <w:r w:rsidRPr="00890538">
        <w:rPr>
          <w:rFonts w:cs="Arial"/>
          <w:rtl/>
        </w:rPr>
        <w:t>הרב שלוה מעבדו ואח"כ שחררו או לוה מאשתו ואחר כך גירשה אין להן עליו כלום שכל מה שקנה עבד קנה רבו וכל המעות שביד האשה בחזקת בעלה אלא אם הביאה ראייה שהן מנדונייתה</w:t>
      </w:r>
      <w:r>
        <w:rPr>
          <w:rFonts w:cs="Arial" w:hint="cs"/>
          <w:sz w:val="16"/>
          <w:szCs w:val="16"/>
          <w:rtl/>
        </w:rPr>
        <w:t xml:space="preserve"> (ל' הרמב"ם)</w:t>
      </w:r>
      <w:r w:rsidRPr="00890538">
        <w:rPr>
          <w:rFonts w:cs="Arial"/>
          <w:rtl/>
        </w:rPr>
        <w:t>.</w:t>
      </w:r>
      <w:r>
        <w:rPr>
          <w:rFonts w:cs="Arial" w:hint="cs"/>
          <w:rtl/>
        </w:rPr>
        <w:t xml:space="preserve"> </w:t>
      </w:r>
      <w:r w:rsidRPr="00D43D3C">
        <w:rPr>
          <w:rFonts w:cs="Arial" w:hint="cs"/>
          <w:color w:val="E36C0A" w:themeColor="accent6" w:themeShade="BF"/>
          <w:rtl/>
        </w:rPr>
        <w:t>(וכ"פ בשו"ע)</w:t>
      </w:r>
      <w:r w:rsidRPr="00890538">
        <w:rPr>
          <w:rFonts w:cs="Arial"/>
          <w:rtl/>
        </w:rPr>
        <w:t xml:space="preserve"> </w:t>
      </w:r>
    </w:p>
    <w:p w14:paraId="4FBD59D8" w14:textId="77777777" w:rsidR="002E5BAD" w:rsidRPr="00BB60AD" w:rsidRDefault="002E5BAD" w:rsidP="002E5BAD">
      <w:pPr>
        <w:ind w:left="360"/>
        <w:rPr>
          <w:u w:val="dotted"/>
        </w:rPr>
      </w:pPr>
      <w:r w:rsidRPr="00BB60AD">
        <w:rPr>
          <w:rFonts w:hint="cs"/>
          <w:u w:val="dotted"/>
          <w:rtl/>
        </w:rPr>
        <w:t>ומה הדין אם לוה ממנה בשטר:</w:t>
      </w:r>
      <w:r w:rsidRPr="00BB60AD">
        <w:rPr>
          <w:rFonts w:hint="cs"/>
          <w:sz w:val="16"/>
          <w:szCs w:val="16"/>
          <w:rtl/>
        </w:rPr>
        <w:t xml:space="preserve"> </w:t>
      </w:r>
      <w:r>
        <w:rPr>
          <w:rFonts w:hint="cs"/>
          <w:sz w:val="16"/>
          <w:szCs w:val="16"/>
          <w:rtl/>
        </w:rPr>
        <w:t xml:space="preserve"> (דרכ"מ אות ג)</w:t>
      </w:r>
    </w:p>
    <w:p w14:paraId="2E2C8418" w14:textId="77777777" w:rsidR="002E5BAD" w:rsidRDefault="002E5BAD" w:rsidP="002E5BAD">
      <w:pPr>
        <w:pStyle w:val="ab"/>
        <w:numPr>
          <w:ilvl w:val="0"/>
          <w:numId w:val="182"/>
        </w:numPr>
      </w:pPr>
      <w:r w:rsidRPr="00410A12">
        <w:rPr>
          <w:rFonts w:cs="Arial"/>
          <w:rtl/>
        </w:rPr>
        <w:lastRenderedPageBreak/>
        <w:t>נמוק</w:t>
      </w:r>
      <w:r>
        <w:rPr>
          <w:rFonts w:cs="Arial" w:hint="cs"/>
          <w:rtl/>
        </w:rPr>
        <w:t>"</w:t>
      </w:r>
      <w:r w:rsidRPr="00410A12">
        <w:rPr>
          <w:rFonts w:cs="Arial"/>
          <w:rtl/>
        </w:rPr>
        <w:t xml:space="preserve">י </w:t>
      </w:r>
      <w:r w:rsidRPr="00BB60AD">
        <w:rPr>
          <w:rFonts w:cs="Arial" w:hint="cs"/>
          <w:sz w:val="16"/>
          <w:szCs w:val="16"/>
          <w:rtl/>
        </w:rPr>
        <w:t>(</w:t>
      </w:r>
      <w:r w:rsidRPr="00BB60AD">
        <w:rPr>
          <w:rFonts w:cs="Arial"/>
          <w:sz w:val="16"/>
          <w:szCs w:val="16"/>
          <w:rtl/>
        </w:rPr>
        <w:t>פרק חזקת הבתים כז</w:t>
      </w:r>
      <w:r w:rsidRPr="00BB60AD">
        <w:rPr>
          <w:rFonts w:cs="Arial" w:hint="cs"/>
          <w:sz w:val="16"/>
          <w:szCs w:val="16"/>
          <w:rtl/>
        </w:rPr>
        <w:t>:</w:t>
      </w:r>
      <w:r w:rsidRPr="00BB60AD">
        <w:rPr>
          <w:rFonts w:cs="Arial"/>
          <w:sz w:val="16"/>
          <w:szCs w:val="16"/>
          <w:rtl/>
        </w:rPr>
        <w:t>)</w:t>
      </w:r>
      <w:r>
        <w:rPr>
          <w:rFonts w:cs="Arial" w:hint="cs"/>
          <w:rtl/>
        </w:rPr>
        <w:t xml:space="preserve">- </w:t>
      </w:r>
      <w:r w:rsidRPr="00410A12">
        <w:rPr>
          <w:rFonts w:cs="Arial"/>
          <w:rtl/>
        </w:rPr>
        <w:t>אם לוה ממנה בשטר אין צריך לשלם לה אלא אם כן פירש בשטר שהיו ממעות שאינם טמונים</w:t>
      </w:r>
      <w:r>
        <w:rPr>
          <w:rFonts w:hint="cs"/>
          <w:sz w:val="16"/>
          <w:szCs w:val="16"/>
          <w:rtl/>
        </w:rPr>
        <w:t xml:space="preserve"> (ל' הדרכ"מ בשמו)</w:t>
      </w:r>
      <w:r>
        <w:rPr>
          <w:rFonts w:hint="cs"/>
          <w:rtl/>
        </w:rPr>
        <w:t>.</w:t>
      </w:r>
      <w:r w:rsidRPr="00D36C11">
        <w:rPr>
          <w:rFonts w:hint="cs"/>
          <w:color w:val="00B0F0"/>
          <w:rtl/>
        </w:rPr>
        <w:t xml:space="preserve"> </w:t>
      </w:r>
      <w:r w:rsidRPr="00D43D3C">
        <w:rPr>
          <w:rFonts w:hint="cs"/>
          <w:color w:val="00B0F0"/>
          <w:rtl/>
        </w:rPr>
        <w:t>(וכ"כ הרמ"א)</w:t>
      </w:r>
    </w:p>
    <w:p w14:paraId="7CD45146" w14:textId="77777777" w:rsidR="002E5BAD" w:rsidRPr="00A7075E" w:rsidRDefault="002E5BAD" w:rsidP="002E5BAD">
      <w:pPr>
        <w:ind w:left="360"/>
        <w:rPr>
          <w:u w:val="dotted"/>
        </w:rPr>
      </w:pPr>
      <w:r w:rsidRPr="00A7075E">
        <w:rPr>
          <w:rFonts w:hint="cs"/>
          <w:u w:val="dotted"/>
          <w:rtl/>
        </w:rPr>
        <w:t>ומה הדין אם לקח מאשתו מעות/מטלטלין:</w:t>
      </w:r>
    </w:p>
    <w:p w14:paraId="783EF259" w14:textId="77777777" w:rsidR="002E5BAD" w:rsidRPr="00677349" w:rsidRDefault="002E5BAD" w:rsidP="002E5BAD">
      <w:pPr>
        <w:pStyle w:val="ab"/>
        <w:numPr>
          <w:ilvl w:val="0"/>
          <w:numId w:val="182"/>
        </w:numPr>
      </w:pPr>
      <w:r w:rsidRPr="00227F6B">
        <w:rPr>
          <w:rFonts w:cs="Arial"/>
          <w:rtl/>
        </w:rPr>
        <w:t>ר"י</w:t>
      </w:r>
      <w:r>
        <w:rPr>
          <w:rFonts w:cs="Arial" w:hint="cs"/>
          <w:sz w:val="16"/>
          <w:szCs w:val="16"/>
          <w:rtl/>
        </w:rPr>
        <w:t xml:space="preserve"> (כ"כ הרא"ש הטור בשמו)</w:t>
      </w:r>
      <w:r>
        <w:rPr>
          <w:rFonts w:cs="Arial" w:hint="cs"/>
          <w:rtl/>
        </w:rPr>
        <w:t>-</w:t>
      </w:r>
      <w:r w:rsidRPr="00227F6B">
        <w:rPr>
          <w:rFonts w:cs="Arial"/>
          <w:rtl/>
        </w:rPr>
        <w:t xml:space="preserve"> אם היה לה מעות או מטלטלין ותקפם הבעל </w:t>
      </w:r>
      <w:r>
        <w:rPr>
          <w:rFonts w:cs="Arial" w:hint="cs"/>
          <w:rtl/>
        </w:rPr>
        <w:t xml:space="preserve">- </w:t>
      </w:r>
      <w:r w:rsidRPr="00227F6B">
        <w:rPr>
          <w:rFonts w:cs="Arial"/>
          <w:rtl/>
        </w:rPr>
        <w:t>אינה יכולה להוציאה מידו</w:t>
      </w:r>
      <w:r>
        <w:rPr>
          <w:rFonts w:cs="Arial" w:hint="cs"/>
          <w:rtl/>
        </w:rPr>
        <w:t>,</w:t>
      </w:r>
      <w:r w:rsidRPr="00227F6B">
        <w:rPr>
          <w:rFonts w:cs="Arial"/>
          <w:rtl/>
        </w:rPr>
        <w:t xml:space="preserve"> שאינה נאמנת לומר שלי או של פלוני הן</w:t>
      </w:r>
      <w:r>
        <w:rPr>
          <w:rStyle w:val="a7"/>
          <w:rFonts w:cs="Arial"/>
          <w:rtl/>
        </w:rPr>
        <w:footnoteReference w:id="1804"/>
      </w:r>
      <w:r>
        <w:rPr>
          <w:rFonts w:cs="Arial" w:hint="cs"/>
          <w:sz w:val="16"/>
          <w:szCs w:val="16"/>
          <w:rtl/>
        </w:rPr>
        <w:t xml:space="preserve"> (ל' הטור בשמו)</w:t>
      </w:r>
      <w:r>
        <w:rPr>
          <w:rFonts w:cs="Arial" w:hint="cs"/>
          <w:rtl/>
        </w:rPr>
        <w:t>.</w:t>
      </w:r>
    </w:p>
    <w:p w14:paraId="21E42D5B" w14:textId="77777777" w:rsidR="002E5BAD" w:rsidRPr="00D43D3C" w:rsidRDefault="002E5BAD" w:rsidP="002E5BAD">
      <w:pPr>
        <w:pStyle w:val="ab"/>
        <w:numPr>
          <w:ilvl w:val="0"/>
          <w:numId w:val="182"/>
        </w:numPr>
        <w:rPr>
          <w:rtl/>
        </w:rPr>
      </w:pPr>
      <w:r>
        <w:rPr>
          <w:rFonts w:cs="Arial" w:hint="cs"/>
          <w:rtl/>
        </w:rPr>
        <w:t xml:space="preserve">ר"ש </w:t>
      </w:r>
      <w:r>
        <w:rPr>
          <w:rFonts w:cs="Arial" w:hint="cs"/>
          <w:sz w:val="16"/>
          <w:szCs w:val="16"/>
          <w:rtl/>
        </w:rPr>
        <w:t>(כ"כ הרא"ש הטור בשמו)</w:t>
      </w:r>
      <w:r>
        <w:rPr>
          <w:rFonts w:cs="Arial" w:hint="cs"/>
          <w:rtl/>
        </w:rPr>
        <w:t xml:space="preserve"> ורא"ש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w:t>
      </w:r>
      <w:r>
        <w:rPr>
          <w:rStyle w:val="a7"/>
          <w:rFonts w:cs="Arial"/>
          <w:rtl/>
        </w:rPr>
        <w:footnoteReference w:id="1805"/>
      </w:r>
      <w:r w:rsidRPr="00227F6B">
        <w:rPr>
          <w:rFonts w:cs="Arial"/>
          <w:rtl/>
        </w:rPr>
        <w:t>אם היו המעות טמונים</w:t>
      </w:r>
      <w:r>
        <w:rPr>
          <w:rFonts w:cs="Arial" w:hint="cs"/>
          <w:rtl/>
        </w:rPr>
        <w:t>,</w:t>
      </w:r>
      <w:r w:rsidRPr="00227F6B">
        <w:rPr>
          <w:rFonts w:cs="Arial"/>
          <w:rtl/>
        </w:rPr>
        <w:t xml:space="preserve"> שלא ידע בהן הבעל</w:t>
      </w:r>
      <w:r>
        <w:rPr>
          <w:rFonts w:cs="Arial" w:hint="cs"/>
          <w:rtl/>
        </w:rPr>
        <w:t>,</w:t>
      </w:r>
      <w:r w:rsidRPr="00227F6B">
        <w:rPr>
          <w:rFonts w:cs="Arial"/>
          <w:rtl/>
        </w:rPr>
        <w:t xml:space="preserve"> ותקפם מידה</w:t>
      </w:r>
      <w:r>
        <w:rPr>
          <w:rFonts w:cs="Arial" w:hint="cs"/>
          <w:rtl/>
        </w:rPr>
        <w:t xml:space="preserve"> -</w:t>
      </w:r>
      <w:r w:rsidRPr="00227F6B">
        <w:rPr>
          <w:rFonts w:cs="Arial"/>
          <w:rtl/>
        </w:rPr>
        <w:t xml:space="preserve"> אין מוציאין מידו</w:t>
      </w:r>
      <w:r>
        <w:rPr>
          <w:rFonts w:cs="Arial" w:hint="cs"/>
          <w:rtl/>
        </w:rPr>
        <w:t>.</w:t>
      </w:r>
      <w:r w:rsidRPr="00227F6B">
        <w:rPr>
          <w:rFonts w:cs="Arial"/>
          <w:rtl/>
        </w:rPr>
        <w:t xml:space="preserve"> ואם לא היו טמונים ותקפם הבעל מידה </w:t>
      </w:r>
      <w:r>
        <w:rPr>
          <w:rFonts w:cs="Arial" w:hint="cs"/>
          <w:rtl/>
        </w:rPr>
        <w:t xml:space="preserve">- </w:t>
      </w:r>
      <w:r w:rsidRPr="00227F6B">
        <w:rPr>
          <w:rFonts w:cs="Arial"/>
          <w:rtl/>
        </w:rPr>
        <w:t>מוציאין מידו</w:t>
      </w:r>
      <w:r>
        <w:rPr>
          <w:rFonts w:cs="Arial" w:hint="cs"/>
          <w:rtl/>
        </w:rPr>
        <w:t>,</w:t>
      </w:r>
      <w:r w:rsidRPr="00227F6B">
        <w:rPr>
          <w:rFonts w:cs="Arial"/>
          <w:rtl/>
        </w:rPr>
        <w:t xml:space="preserve"> שנאמנת לומר שלי הם או של פלוני הם</w:t>
      </w:r>
      <w:r>
        <w:rPr>
          <w:rStyle w:val="a7"/>
          <w:rFonts w:cs="Arial"/>
          <w:rtl/>
        </w:rPr>
        <w:footnoteReference w:id="1806"/>
      </w:r>
      <w:r>
        <w:rPr>
          <w:rFonts w:cs="Arial" w:hint="cs"/>
          <w:sz w:val="16"/>
          <w:szCs w:val="16"/>
          <w:rtl/>
        </w:rPr>
        <w:t xml:space="preserve"> (ל' הטור בשם ר"ש)</w:t>
      </w:r>
      <w:r>
        <w:rPr>
          <w:rFonts w:cs="Arial" w:hint="cs"/>
          <w:rtl/>
        </w:rPr>
        <w:t>.</w:t>
      </w:r>
      <w:r w:rsidRPr="00227F6B">
        <w:rPr>
          <w:rFonts w:cs="Arial"/>
          <w:rtl/>
        </w:rPr>
        <w:t xml:space="preserve"> </w:t>
      </w:r>
      <w:r w:rsidRPr="00D43D3C">
        <w:rPr>
          <w:rFonts w:hint="cs"/>
          <w:color w:val="00B0F0"/>
          <w:rtl/>
        </w:rPr>
        <w:t>(וכ"כ הרמ"א)</w:t>
      </w:r>
    </w:p>
    <w:p w14:paraId="49ACBAA0" w14:textId="77777777" w:rsidR="002E5BAD" w:rsidRPr="002E67F3" w:rsidRDefault="002E5BAD" w:rsidP="002E5BAD">
      <w:pPr>
        <w:ind w:left="360"/>
        <w:rPr>
          <w:u w:val="dotted"/>
        </w:rPr>
      </w:pPr>
      <w:r w:rsidRPr="002E67F3">
        <w:rPr>
          <w:rFonts w:hint="cs"/>
          <w:u w:val="dotted"/>
          <w:rtl/>
        </w:rPr>
        <w:t xml:space="preserve">ומה הדין אם האשה נושאת ונותנת בבית </w:t>
      </w:r>
      <w:r w:rsidRPr="002E67F3">
        <w:rPr>
          <w:rFonts w:hint="cs"/>
          <w:sz w:val="16"/>
          <w:szCs w:val="16"/>
          <w:u w:val="dotted"/>
          <w:rtl/>
        </w:rPr>
        <w:t xml:space="preserve">(או שבעלה </w:t>
      </w:r>
      <w:r>
        <w:rPr>
          <w:rFonts w:hint="cs"/>
          <w:sz w:val="16"/>
          <w:szCs w:val="16"/>
          <w:u w:val="dotted"/>
          <w:rtl/>
        </w:rPr>
        <w:t>מאמינה ו</w:t>
      </w:r>
      <w:r w:rsidRPr="002E67F3">
        <w:rPr>
          <w:rFonts w:hint="cs"/>
          <w:sz w:val="16"/>
          <w:szCs w:val="16"/>
          <w:u w:val="dotted"/>
          <w:rtl/>
        </w:rPr>
        <w:t>מפקיד אצלה ממונו</w:t>
      </w:r>
      <w:r>
        <w:rPr>
          <w:rFonts w:hint="cs"/>
          <w:sz w:val="16"/>
          <w:szCs w:val="16"/>
          <w:u w:val="dotted"/>
          <w:rtl/>
        </w:rPr>
        <w:t>)</w:t>
      </w:r>
      <w:r w:rsidRPr="002E67F3">
        <w:rPr>
          <w:rFonts w:hint="cs"/>
          <w:u w:val="dotted"/>
          <w:rtl/>
        </w:rPr>
        <w:t>:</w:t>
      </w:r>
    </w:p>
    <w:p w14:paraId="0280594E" w14:textId="77777777" w:rsidR="002E5BAD" w:rsidRDefault="002E5BAD" w:rsidP="002E5BAD">
      <w:pPr>
        <w:pStyle w:val="ab"/>
        <w:numPr>
          <w:ilvl w:val="0"/>
          <w:numId w:val="182"/>
        </w:numPr>
      </w:pPr>
      <w:r>
        <w:rPr>
          <w:rFonts w:cs="Arial" w:hint="cs"/>
          <w:rtl/>
        </w:rPr>
        <w:t xml:space="preserve">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וטור- </w:t>
      </w:r>
      <w:r w:rsidRPr="00227F6B">
        <w:rPr>
          <w:rFonts w:cs="Arial"/>
          <w:rtl/>
        </w:rPr>
        <w:t>והאשה הנושאת ונותנת בתוך הבית</w:t>
      </w:r>
      <w:r>
        <w:rPr>
          <w:rStyle w:val="a7"/>
          <w:rFonts w:cs="Arial"/>
          <w:rtl/>
        </w:rPr>
        <w:footnoteReference w:id="1807"/>
      </w:r>
      <w:r>
        <w:rPr>
          <w:rFonts w:cs="Arial" w:hint="cs"/>
          <w:rtl/>
        </w:rPr>
        <w:t>,</w:t>
      </w:r>
      <w:r w:rsidRPr="00227F6B">
        <w:rPr>
          <w:rFonts w:cs="Arial"/>
          <w:rtl/>
        </w:rPr>
        <w:t xml:space="preserve"> או אפי' אינה נושאת ונותנת בתוך הבית אלא שהבעל מאמינה ומפקיד מה שיש לו בידה </w:t>
      </w:r>
      <w:r>
        <w:rPr>
          <w:rFonts w:cs="Arial" w:hint="cs"/>
          <w:rtl/>
        </w:rPr>
        <w:t xml:space="preserve">- </w:t>
      </w:r>
      <w:r w:rsidRPr="00227F6B">
        <w:rPr>
          <w:rFonts w:cs="Arial"/>
          <w:rtl/>
        </w:rPr>
        <w:t>אינה נאמנת לומר שלי או של פלוני הוא</w:t>
      </w:r>
      <w:r>
        <w:rPr>
          <w:rStyle w:val="a7"/>
          <w:rFonts w:cs="Arial"/>
          <w:rtl/>
        </w:rPr>
        <w:footnoteReference w:id="1808"/>
      </w:r>
      <w:r>
        <w:rPr>
          <w:rFonts w:cs="Arial" w:hint="cs"/>
          <w:sz w:val="16"/>
          <w:szCs w:val="16"/>
          <w:rtl/>
        </w:rPr>
        <w:t xml:space="preserve"> (ל' הטור)</w:t>
      </w:r>
      <w:r>
        <w:rPr>
          <w:rFonts w:cs="Arial" w:hint="cs"/>
          <w:rtl/>
        </w:rPr>
        <w:t>.</w:t>
      </w:r>
      <w:r w:rsidRPr="00227F6B">
        <w:rPr>
          <w:rFonts w:cs="Arial"/>
          <w:rtl/>
        </w:rPr>
        <w:t xml:space="preserve"> </w:t>
      </w:r>
      <w:r w:rsidRPr="00D43D3C">
        <w:rPr>
          <w:rFonts w:hint="cs"/>
          <w:color w:val="00B0F0"/>
          <w:rtl/>
        </w:rPr>
        <w:t>(וכ"כ הרמ"א)</w:t>
      </w:r>
    </w:p>
    <w:p w14:paraId="10EEBC43" w14:textId="77777777" w:rsidR="002E5BAD" w:rsidRPr="00C03160" w:rsidRDefault="002E5BAD" w:rsidP="002E5BAD">
      <w:pPr>
        <w:ind w:left="360"/>
        <w:rPr>
          <w:u w:val="dotted"/>
        </w:rPr>
      </w:pPr>
      <w:r w:rsidRPr="00C03160">
        <w:rPr>
          <w:rFonts w:hint="cs"/>
          <w:u w:val="dotted"/>
          <w:rtl/>
        </w:rPr>
        <w:t>ומה הדין אם מדובר בשטרי חובות/קרקעות:</w:t>
      </w:r>
    </w:p>
    <w:p w14:paraId="31B90F4A" w14:textId="77777777" w:rsidR="002E5BAD" w:rsidRDefault="002E5BAD" w:rsidP="002E5BAD">
      <w:pPr>
        <w:pStyle w:val="ab"/>
        <w:numPr>
          <w:ilvl w:val="0"/>
          <w:numId w:val="182"/>
        </w:numPr>
      </w:pPr>
      <w:r>
        <w:rPr>
          <w:rFonts w:cs="Arial" w:hint="cs"/>
          <w:rtl/>
        </w:rPr>
        <w:t xml:space="preserve">טור- </w:t>
      </w:r>
      <w:r w:rsidRPr="00227F6B">
        <w:rPr>
          <w:rFonts w:cs="Arial"/>
          <w:rtl/>
        </w:rPr>
        <w:t xml:space="preserve">אבל שטרי חובות וקניית הקרקעות שעשה הבעל על שמה </w:t>
      </w:r>
      <w:r>
        <w:rPr>
          <w:rFonts w:cs="Arial" w:hint="cs"/>
          <w:rtl/>
        </w:rPr>
        <w:t xml:space="preserve">- </w:t>
      </w:r>
      <w:r w:rsidRPr="00227F6B">
        <w:rPr>
          <w:rFonts w:cs="Arial"/>
          <w:rtl/>
        </w:rPr>
        <w:t>הם שלה</w:t>
      </w:r>
      <w:r>
        <w:rPr>
          <w:rFonts w:cs="Arial" w:hint="cs"/>
          <w:rtl/>
        </w:rPr>
        <w:t>.</w:t>
      </w:r>
      <w:r w:rsidRPr="00227F6B">
        <w:rPr>
          <w:rFonts w:cs="Arial"/>
          <w:rtl/>
        </w:rPr>
        <w:t xml:space="preserve"> ואם הם עשוים על שמה ועל שם בעלה </w:t>
      </w:r>
      <w:r>
        <w:rPr>
          <w:rFonts w:cs="Arial" w:hint="cs"/>
          <w:rtl/>
        </w:rPr>
        <w:t xml:space="preserve">- </w:t>
      </w:r>
      <w:r w:rsidRPr="00227F6B">
        <w:rPr>
          <w:rFonts w:cs="Arial"/>
          <w:rtl/>
        </w:rPr>
        <w:t>הם שותפות בין שניהם</w:t>
      </w:r>
      <w:r>
        <w:rPr>
          <w:rStyle w:val="a7"/>
          <w:rFonts w:cs="Arial"/>
          <w:rtl/>
        </w:rPr>
        <w:footnoteReference w:id="1809"/>
      </w:r>
      <w:r>
        <w:rPr>
          <w:rFonts w:cs="Arial" w:hint="cs"/>
          <w:rtl/>
        </w:rPr>
        <w:t>.</w:t>
      </w:r>
      <w:r w:rsidRPr="00952342">
        <w:rPr>
          <w:rFonts w:cs="Arial"/>
          <w:rtl/>
        </w:rPr>
        <w:t xml:space="preserve"> </w:t>
      </w:r>
      <w:r w:rsidRPr="00F04916">
        <w:rPr>
          <w:rFonts w:cs="Arial"/>
          <w:rtl/>
        </w:rPr>
        <w:t xml:space="preserve"> </w:t>
      </w:r>
    </w:p>
    <w:p w14:paraId="238C5629" w14:textId="77777777" w:rsidR="002E5BAD" w:rsidRPr="00E516EC" w:rsidRDefault="002E5BAD" w:rsidP="002E5BAD">
      <w:pPr>
        <w:rPr>
          <w:u w:val="dotted"/>
        </w:rPr>
      </w:pPr>
      <w:r w:rsidRPr="00E516EC">
        <w:rPr>
          <w:u w:val="single"/>
          <w:rtl/>
        </w:rPr>
        <w:t>אשה שמכרה</w:t>
      </w:r>
      <w:r>
        <w:rPr>
          <w:rFonts w:hint="cs"/>
          <w:u w:val="single"/>
          <w:rtl/>
        </w:rPr>
        <w:t>/משכנה</w:t>
      </w:r>
      <w:r w:rsidRPr="00E516EC">
        <w:rPr>
          <w:u w:val="single"/>
          <w:rtl/>
        </w:rPr>
        <w:t xml:space="preserve"> מטלטלין</w:t>
      </w:r>
      <w:r w:rsidRPr="00E516EC">
        <w:rPr>
          <w:rFonts w:hint="cs"/>
          <w:u w:val="single"/>
          <w:rtl/>
        </w:rPr>
        <w:t>,</w:t>
      </w:r>
      <w:r w:rsidRPr="00E516EC">
        <w:rPr>
          <w:u w:val="single"/>
          <w:rtl/>
        </w:rPr>
        <w:t xml:space="preserve"> והבעל תובע לקונה</w:t>
      </w:r>
      <w:r>
        <w:rPr>
          <w:rFonts w:hint="cs"/>
          <w:u w:val="single"/>
          <w:rtl/>
        </w:rPr>
        <w:t>/למלוה</w:t>
      </w:r>
      <w:r w:rsidRPr="00E516EC">
        <w:rPr>
          <w:u w:val="single"/>
          <w:rtl/>
        </w:rPr>
        <w:t xml:space="preserve"> ואמר שאשתו גנב</w:t>
      </w:r>
      <w:r>
        <w:rPr>
          <w:rFonts w:hint="cs"/>
          <w:u w:val="single"/>
          <w:rtl/>
        </w:rPr>
        <w:t>ת</w:t>
      </w:r>
      <w:r w:rsidRPr="00E516EC">
        <w:rPr>
          <w:u w:val="single"/>
          <w:rtl/>
        </w:rPr>
        <w:t>ן לו</w:t>
      </w:r>
      <w:r w:rsidRPr="00E516EC">
        <w:rPr>
          <w:rFonts w:hint="cs"/>
          <w:u w:val="single"/>
          <w:rtl/>
        </w:rPr>
        <w:t>:</w:t>
      </w:r>
      <w:r w:rsidRPr="00E516EC">
        <w:rPr>
          <w:rFonts w:hint="cs"/>
          <w:sz w:val="16"/>
          <w:szCs w:val="16"/>
          <w:rtl/>
        </w:rPr>
        <w:t xml:space="preserve">  (</w:t>
      </w:r>
      <w:r>
        <w:rPr>
          <w:rFonts w:hint="cs"/>
          <w:sz w:val="16"/>
          <w:szCs w:val="16"/>
          <w:rtl/>
        </w:rPr>
        <w:t>ב"י ו</w:t>
      </w:r>
      <w:r w:rsidRPr="00E516EC">
        <w:rPr>
          <w:rFonts w:hint="cs"/>
          <w:sz w:val="16"/>
          <w:szCs w:val="16"/>
          <w:rtl/>
        </w:rPr>
        <w:t>דרכ"מ אות ג)</w:t>
      </w:r>
    </w:p>
    <w:p w14:paraId="59D23949" w14:textId="77777777" w:rsidR="002E5BAD" w:rsidRPr="00E516EC" w:rsidRDefault="002E5BAD" w:rsidP="002E5BAD">
      <w:pPr>
        <w:pStyle w:val="ab"/>
        <w:numPr>
          <w:ilvl w:val="0"/>
          <w:numId w:val="182"/>
        </w:numPr>
      </w:pPr>
      <w:r w:rsidRPr="00410A12">
        <w:rPr>
          <w:rFonts w:cs="Arial"/>
          <w:rtl/>
        </w:rPr>
        <w:t>מרדכי</w:t>
      </w:r>
      <w:r w:rsidRPr="00E516EC">
        <w:rPr>
          <w:rFonts w:cs="Arial"/>
          <w:sz w:val="16"/>
          <w:szCs w:val="16"/>
          <w:rtl/>
        </w:rPr>
        <w:t xml:space="preserve"> </w:t>
      </w:r>
      <w:r>
        <w:rPr>
          <w:rFonts w:cs="Arial" w:hint="cs"/>
          <w:sz w:val="16"/>
          <w:szCs w:val="16"/>
          <w:rtl/>
        </w:rPr>
        <w:t>(</w:t>
      </w:r>
      <w:r w:rsidRPr="00E516EC">
        <w:rPr>
          <w:rFonts w:cs="Arial"/>
          <w:sz w:val="16"/>
          <w:szCs w:val="16"/>
          <w:rtl/>
        </w:rPr>
        <w:t>פרק חזקת סי' תקמו)</w:t>
      </w:r>
      <w:r>
        <w:rPr>
          <w:rFonts w:cs="Arial" w:hint="cs"/>
          <w:rtl/>
        </w:rPr>
        <w:t>-</w:t>
      </w:r>
      <w:r w:rsidRPr="00E516EC">
        <w:rPr>
          <w:rFonts w:cs="Arial"/>
          <w:rtl/>
        </w:rPr>
        <w:t xml:space="preserve"> אשה שמכרה מטלטלין</w:t>
      </w:r>
      <w:r>
        <w:rPr>
          <w:rFonts w:cs="Arial" w:hint="cs"/>
          <w:rtl/>
        </w:rPr>
        <w:t>,</w:t>
      </w:r>
      <w:r w:rsidRPr="00E516EC">
        <w:rPr>
          <w:rFonts w:cs="Arial"/>
          <w:rtl/>
        </w:rPr>
        <w:t xml:space="preserve"> והבעל תובע לקונה ואמר שאשתו גנב</w:t>
      </w:r>
      <w:r>
        <w:rPr>
          <w:rFonts w:cs="Arial" w:hint="cs"/>
          <w:rtl/>
        </w:rPr>
        <w:t>ת</w:t>
      </w:r>
      <w:r w:rsidRPr="00E516EC">
        <w:rPr>
          <w:rFonts w:cs="Arial"/>
          <w:rtl/>
        </w:rPr>
        <w:t>ן לו</w:t>
      </w:r>
      <w:r>
        <w:rPr>
          <w:rFonts w:cs="Arial" w:hint="cs"/>
          <w:rtl/>
        </w:rPr>
        <w:t>,</w:t>
      </w:r>
      <w:r w:rsidRPr="00E516EC">
        <w:rPr>
          <w:rFonts w:cs="Arial"/>
          <w:rtl/>
        </w:rPr>
        <w:t xml:space="preserve"> אם הקונה טוען בברור שהוא יודע שהיה של אשה </w:t>
      </w:r>
      <w:r>
        <w:rPr>
          <w:rFonts w:cs="Arial" w:hint="cs"/>
          <w:rtl/>
        </w:rPr>
        <w:t xml:space="preserve">- </w:t>
      </w:r>
      <w:r w:rsidRPr="00E516EC">
        <w:rPr>
          <w:rFonts w:cs="Arial"/>
          <w:rtl/>
        </w:rPr>
        <w:t>נאמן בשבועה</w:t>
      </w:r>
      <w:r>
        <w:rPr>
          <w:rFonts w:cs="Arial" w:hint="cs"/>
          <w:sz w:val="16"/>
          <w:szCs w:val="16"/>
          <w:rtl/>
        </w:rPr>
        <w:t xml:space="preserve"> (ל' הדרכ"מ בשמו)</w:t>
      </w:r>
      <w:r>
        <w:rPr>
          <w:rFonts w:cs="Arial" w:hint="cs"/>
          <w:rtl/>
        </w:rPr>
        <w:t>.</w:t>
      </w:r>
      <w:r w:rsidRPr="00E516EC">
        <w:rPr>
          <w:rFonts w:cs="Arial"/>
          <w:rtl/>
        </w:rPr>
        <w:t xml:space="preserve"> </w:t>
      </w:r>
    </w:p>
    <w:p w14:paraId="70EC8FEA" w14:textId="77777777" w:rsidR="002E5BAD" w:rsidRDefault="002E5BAD" w:rsidP="002E5BAD">
      <w:pPr>
        <w:pStyle w:val="ab"/>
        <w:numPr>
          <w:ilvl w:val="0"/>
          <w:numId w:val="182"/>
        </w:numPr>
      </w:pPr>
      <w:r>
        <w:rPr>
          <w:rFonts w:cs="Arial" w:hint="cs"/>
          <w:rtl/>
        </w:rPr>
        <w:t xml:space="preserve">הגה"מ </w:t>
      </w:r>
      <w:r w:rsidRPr="00E516EC">
        <w:rPr>
          <w:rFonts w:cs="Arial" w:hint="cs"/>
          <w:sz w:val="16"/>
          <w:szCs w:val="16"/>
          <w:rtl/>
        </w:rPr>
        <w:t>(</w:t>
      </w:r>
      <w:r w:rsidRPr="00E516EC">
        <w:rPr>
          <w:rFonts w:cs="Arial"/>
          <w:sz w:val="16"/>
          <w:szCs w:val="16"/>
          <w:rtl/>
        </w:rPr>
        <w:t>פכ"ב דאישות שם)</w:t>
      </w:r>
      <w:r>
        <w:rPr>
          <w:rFonts w:cs="Arial" w:hint="cs"/>
          <w:rtl/>
        </w:rPr>
        <w:t>-</w:t>
      </w:r>
      <w:r w:rsidRPr="00E516EC">
        <w:rPr>
          <w:rFonts w:cs="Arial"/>
          <w:rtl/>
        </w:rPr>
        <w:t xml:space="preserve"> אין צריך להחזיר כלל אפילו אינו יודע בברור שהוא שלה</w:t>
      </w:r>
      <w:r>
        <w:rPr>
          <w:rFonts w:cs="Arial" w:hint="cs"/>
          <w:rtl/>
        </w:rPr>
        <w:t>,</w:t>
      </w:r>
      <w:r w:rsidRPr="00E516EC">
        <w:rPr>
          <w:rFonts w:cs="Arial"/>
          <w:rtl/>
        </w:rPr>
        <w:t xml:space="preserve"> ואפילו אם הבעל רוצה להחזיר לו דמיו אינו צריך להחזיר</w:t>
      </w:r>
      <w:r>
        <w:rPr>
          <w:rFonts w:cs="Arial" w:hint="cs"/>
          <w:rtl/>
        </w:rPr>
        <w:t>.</w:t>
      </w:r>
      <w:r w:rsidRPr="00E516EC">
        <w:rPr>
          <w:rFonts w:cs="Arial"/>
          <w:rtl/>
        </w:rPr>
        <w:t xml:space="preserve"> </w:t>
      </w:r>
    </w:p>
    <w:p w14:paraId="3E5A0183" w14:textId="77777777" w:rsidR="002E5BAD" w:rsidRPr="00525F70" w:rsidRDefault="002E5BAD" w:rsidP="002E5BAD">
      <w:pPr>
        <w:pStyle w:val="ab"/>
        <w:numPr>
          <w:ilvl w:val="0"/>
          <w:numId w:val="182"/>
        </w:numPr>
        <w:rPr>
          <w:rtl/>
        </w:rPr>
      </w:pPr>
      <w:r>
        <w:rPr>
          <w:rFonts w:cs="Arial" w:hint="cs"/>
          <w:rtl/>
        </w:rPr>
        <w:t xml:space="preserve">רי"ו </w:t>
      </w:r>
      <w:r w:rsidRPr="00E516EC">
        <w:rPr>
          <w:rFonts w:cs="Arial" w:hint="cs"/>
          <w:sz w:val="16"/>
          <w:szCs w:val="16"/>
          <w:rtl/>
        </w:rPr>
        <w:t>(</w:t>
      </w:r>
      <w:r w:rsidRPr="00E516EC">
        <w:rPr>
          <w:rFonts w:cs="Arial"/>
          <w:sz w:val="16"/>
          <w:szCs w:val="16"/>
          <w:rtl/>
        </w:rPr>
        <w:t xml:space="preserve">מישרים נכ"ג </w:t>
      </w:r>
      <w:r w:rsidRPr="00E516EC">
        <w:rPr>
          <w:rFonts w:cs="Arial" w:hint="cs"/>
          <w:sz w:val="16"/>
          <w:szCs w:val="16"/>
          <w:rtl/>
        </w:rPr>
        <w:t>ח"</w:t>
      </w:r>
      <w:r w:rsidRPr="00E516EC">
        <w:rPr>
          <w:rFonts w:cs="Arial"/>
          <w:sz w:val="16"/>
          <w:szCs w:val="16"/>
          <w:rtl/>
        </w:rPr>
        <w:t>ו נח ע"ד)</w:t>
      </w:r>
      <w:r>
        <w:rPr>
          <w:rFonts w:cs="Arial" w:hint="cs"/>
          <w:rtl/>
        </w:rPr>
        <w:t>-</w:t>
      </w:r>
      <w:r w:rsidRPr="00E516EC">
        <w:rPr>
          <w:rFonts w:cs="Arial"/>
          <w:rtl/>
        </w:rPr>
        <w:t xml:space="preserve"> אשה שלותה על משכונות שהיו של בעלה שלא מדעת בעלה </w:t>
      </w:r>
      <w:r>
        <w:rPr>
          <w:rFonts w:cs="Arial" w:hint="cs"/>
          <w:rtl/>
        </w:rPr>
        <w:t xml:space="preserve">- </w:t>
      </w:r>
      <w:r w:rsidRPr="00E516EC">
        <w:rPr>
          <w:rFonts w:cs="Arial"/>
          <w:rtl/>
        </w:rPr>
        <w:t>לא קנאם המלוה ומחזיר אותם לבעל בלא דמים</w:t>
      </w:r>
      <w:r>
        <w:rPr>
          <w:rFonts w:cs="Arial" w:hint="cs"/>
          <w:rtl/>
        </w:rPr>
        <w:t>,</w:t>
      </w:r>
      <w:r w:rsidRPr="00E516EC">
        <w:rPr>
          <w:rFonts w:cs="Arial"/>
          <w:rtl/>
        </w:rPr>
        <w:t xml:space="preserve"> ולא שייך הכא תקנת השוק</w:t>
      </w:r>
      <w:r>
        <w:rPr>
          <w:rFonts w:cs="Arial" w:hint="cs"/>
          <w:rtl/>
        </w:rPr>
        <w:t>.</w:t>
      </w:r>
      <w:r w:rsidRPr="00E516EC">
        <w:rPr>
          <w:rFonts w:cs="Arial"/>
          <w:rtl/>
        </w:rPr>
        <w:t xml:space="preserve"> ודוקא שלא ידע הבעל שמשכנה אותם</w:t>
      </w:r>
      <w:r>
        <w:rPr>
          <w:rFonts w:cs="Arial" w:hint="cs"/>
          <w:rtl/>
        </w:rPr>
        <w:t>,</w:t>
      </w:r>
      <w:r w:rsidRPr="00E516EC">
        <w:rPr>
          <w:rFonts w:cs="Arial"/>
          <w:rtl/>
        </w:rPr>
        <w:t xml:space="preserve"> אבל משכנתם בידיעת הבעל</w:t>
      </w:r>
      <w:r>
        <w:rPr>
          <w:rFonts w:cs="Arial" w:hint="cs"/>
          <w:rtl/>
        </w:rPr>
        <w:t>,</w:t>
      </w:r>
      <w:r w:rsidRPr="00E516EC">
        <w:rPr>
          <w:rFonts w:cs="Arial"/>
          <w:rtl/>
        </w:rPr>
        <w:t xml:space="preserve"> אימא נתרצה</w:t>
      </w:r>
      <w:r>
        <w:rPr>
          <w:rFonts w:cs="Arial" w:hint="cs"/>
          <w:rtl/>
        </w:rPr>
        <w:t>.</w:t>
      </w:r>
      <w:r w:rsidRPr="00E516EC">
        <w:rPr>
          <w:rFonts w:cs="Arial"/>
          <w:rtl/>
        </w:rPr>
        <w:t xml:space="preserve"> ודוקא בידוע שהם של בעל כגון שהאשה נושאת ונותנת בתוך הבית</w:t>
      </w:r>
      <w:r>
        <w:rPr>
          <w:rStyle w:val="a7"/>
          <w:rFonts w:cs="Arial"/>
          <w:rtl/>
        </w:rPr>
        <w:footnoteReference w:id="1810"/>
      </w:r>
      <w:r>
        <w:rPr>
          <w:rFonts w:cs="Arial" w:hint="cs"/>
          <w:rtl/>
        </w:rPr>
        <w:t>.</w:t>
      </w:r>
    </w:p>
    <w:p w14:paraId="1DF8E206" w14:textId="77777777" w:rsidR="002E5BAD" w:rsidRPr="00AF3A54" w:rsidRDefault="002E5BAD" w:rsidP="002E5BAD">
      <w:pPr>
        <w:rPr>
          <w:rFonts w:cs="Arial"/>
          <w:u w:val="single"/>
          <w:rtl/>
        </w:rPr>
      </w:pPr>
      <w:r w:rsidRPr="00AF3A54">
        <w:rPr>
          <w:rFonts w:cs="Arial"/>
          <w:u w:val="single"/>
          <w:rtl/>
        </w:rPr>
        <w:t xml:space="preserve">מי שנתן לבתו </w:t>
      </w:r>
      <w:r>
        <w:rPr>
          <w:rFonts w:cs="Arial" w:hint="cs"/>
          <w:sz w:val="16"/>
          <w:szCs w:val="16"/>
          <w:u w:val="single"/>
          <w:rtl/>
        </w:rPr>
        <w:t>(</w:t>
      </w:r>
      <w:r w:rsidRPr="00F6735C">
        <w:rPr>
          <w:rFonts w:cs="Arial"/>
          <w:sz w:val="16"/>
          <w:szCs w:val="16"/>
          <w:u w:val="single"/>
          <w:rtl/>
        </w:rPr>
        <w:t>או לאחותו</w:t>
      </w:r>
      <w:r>
        <w:rPr>
          <w:rFonts w:cs="Arial" w:hint="cs"/>
          <w:sz w:val="16"/>
          <w:szCs w:val="16"/>
          <w:u w:val="single"/>
          <w:rtl/>
        </w:rPr>
        <w:t>)</w:t>
      </w:r>
      <w:r w:rsidRPr="00F6735C">
        <w:rPr>
          <w:rFonts w:cs="Arial"/>
          <w:sz w:val="16"/>
          <w:szCs w:val="16"/>
          <w:u w:val="single"/>
          <w:rtl/>
        </w:rPr>
        <w:t xml:space="preserve"> </w:t>
      </w:r>
      <w:r w:rsidRPr="00AF3A54">
        <w:rPr>
          <w:rFonts w:cs="Arial"/>
          <w:u w:val="single"/>
          <w:rtl/>
        </w:rPr>
        <w:t>מעות ושטרי חובות על מנת שאין לבעלה רשות בהן</w:t>
      </w:r>
      <w:r w:rsidRPr="00AF3A54">
        <w:rPr>
          <w:rFonts w:cs="Arial" w:hint="cs"/>
          <w:u w:val="single"/>
          <w:rtl/>
        </w:rPr>
        <w:t>:</w:t>
      </w:r>
    </w:p>
    <w:p w14:paraId="7003B514" w14:textId="77777777" w:rsidR="002E5BAD" w:rsidRDefault="002E5BAD" w:rsidP="002E5BAD">
      <w:pPr>
        <w:pStyle w:val="ab"/>
        <w:numPr>
          <w:ilvl w:val="0"/>
          <w:numId w:val="182"/>
        </w:numPr>
        <w:rPr>
          <w:rFonts w:cs="Arial"/>
        </w:rPr>
      </w:pPr>
      <w:r w:rsidRPr="00AF3A54">
        <w:rPr>
          <w:rFonts w:cs="Arial"/>
          <w:rtl/>
        </w:rPr>
        <w:t xml:space="preserve">רשב"א </w:t>
      </w:r>
      <w:r w:rsidRPr="00AF3A54">
        <w:rPr>
          <w:rFonts w:cs="Arial" w:hint="cs"/>
          <w:sz w:val="16"/>
          <w:szCs w:val="16"/>
          <w:rtl/>
        </w:rPr>
        <w:t>(שו"ת החדשות מכת"י סי' רמח)</w:t>
      </w:r>
      <w:r w:rsidRPr="00AF3A54">
        <w:rPr>
          <w:rFonts w:cs="Arial" w:hint="cs"/>
          <w:rtl/>
        </w:rPr>
        <w:t xml:space="preserve">- </w:t>
      </w:r>
      <w:r w:rsidRPr="00AF3A54">
        <w:rPr>
          <w:rFonts w:cs="Arial"/>
          <w:rtl/>
        </w:rPr>
        <w:t>שאלת מי שנתן לבתו או לאחותו מעות ושטרי חובות על מנת שאין לבעלה רשות בהן אלא מה שהיא נותנת לתוך פיה</w:t>
      </w:r>
      <w:r w:rsidRPr="00AF3A54">
        <w:rPr>
          <w:rFonts w:cs="Arial" w:hint="cs"/>
          <w:rtl/>
        </w:rPr>
        <w:t>,</w:t>
      </w:r>
      <w:r w:rsidRPr="00AF3A54">
        <w:rPr>
          <w:rFonts w:cs="Arial"/>
          <w:rtl/>
        </w:rPr>
        <w:t xml:space="preserve"> ועל מנת שכל זמן שירצה יטול הכל לעצמו קרן והריוח בין בחייה בין לאחר מיתה</w:t>
      </w:r>
      <w:r w:rsidRPr="00AF3A54">
        <w:rPr>
          <w:rFonts w:cs="Arial" w:hint="cs"/>
          <w:rtl/>
        </w:rPr>
        <w:t>.</w:t>
      </w:r>
      <w:r w:rsidRPr="00AF3A54">
        <w:rPr>
          <w:rFonts w:cs="Arial"/>
          <w:rtl/>
        </w:rPr>
        <w:t xml:space="preserve"> והיא גם היא עשתה שטר הודאה בכך ושלא היה לה שום ממון בעולם משלה אלא אותן נכסים שנתן לה אביה ויש לה וליורשיה להחזיר כל זמן שירצה</w:t>
      </w:r>
      <w:r w:rsidRPr="00AF3A54">
        <w:rPr>
          <w:rFonts w:cs="Arial" w:hint="cs"/>
          <w:rtl/>
        </w:rPr>
        <w:t>.</w:t>
      </w:r>
      <w:r w:rsidRPr="00AF3A54">
        <w:rPr>
          <w:rFonts w:cs="Arial"/>
          <w:rtl/>
        </w:rPr>
        <w:t xml:space="preserve"> ועכשיו מתה האשה ונמצאו תחת ידה נכסים ושטרי חוב יוצאים על שמה</w:t>
      </w:r>
      <w:r w:rsidRPr="00AF3A54">
        <w:rPr>
          <w:rFonts w:cs="Arial" w:hint="cs"/>
          <w:rtl/>
        </w:rPr>
        <w:t>,</w:t>
      </w:r>
      <w:r w:rsidRPr="00AF3A54">
        <w:rPr>
          <w:rFonts w:cs="Arial"/>
          <w:rtl/>
        </w:rPr>
        <w:t xml:space="preserve"> והאב בא ליטול הכל</w:t>
      </w:r>
      <w:r w:rsidRPr="00AF3A54">
        <w:rPr>
          <w:rFonts w:cs="Arial" w:hint="cs"/>
          <w:rtl/>
        </w:rPr>
        <w:t>,</w:t>
      </w:r>
      <w:r w:rsidRPr="00AF3A54">
        <w:rPr>
          <w:rFonts w:cs="Arial"/>
          <w:rtl/>
        </w:rPr>
        <w:t xml:space="preserve"> והבעל טוען שכל הנכסים משלו או שמסרן לה או שתפס</w:t>
      </w:r>
      <w:r w:rsidRPr="00AF3A54">
        <w:rPr>
          <w:rFonts w:cs="Arial" w:hint="cs"/>
          <w:rtl/>
        </w:rPr>
        <w:t>ת</w:t>
      </w:r>
      <w:r w:rsidRPr="00AF3A54">
        <w:rPr>
          <w:rFonts w:cs="Arial"/>
          <w:rtl/>
        </w:rPr>
        <w:t>ן מן הבית</w:t>
      </w:r>
      <w:r w:rsidRPr="00AF3A54">
        <w:rPr>
          <w:rFonts w:cs="Arial" w:hint="cs"/>
          <w:rtl/>
        </w:rPr>
        <w:t>,</w:t>
      </w:r>
      <w:r w:rsidRPr="00AF3A54">
        <w:rPr>
          <w:rFonts w:cs="Arial"/>
          <w:rtl/>
        </w:rPr>
        <w:t xml:space="preserve"> ואותם נכסים שנתן לה האב נאבדו</w:t>
      </w:r>
      <w:r w:rsidRPr="00AF3A54">
        <w:rPr>
          <w:rFonts w:cs="Arial" w:hint="cs"/>
          <w:rtl/>
        </w:rPr>
        <w:t>.</w:t>
      </w:r>
      <w:r w:rsidRPr="00AF3A54">
        <w:rPr>
          <w:rFonts w:cs="Arial"/>
          <w:rtl/>
        </w:rPr>
        <w:t xml:space="preserve"> הדין עם מי</w:t>
      </w:r>
      <w:r w:rsidRPr="00AF3A54">
        <w:rPr>
          <w:rFonts w:cs="Arial" w:hint="cs"/>
          <w:rtl/>
        </w:rPr>
        <w:t>,</w:t>
      </w:r>
      <w:r w:rsidRPr="00AF3A54">
        <w:rPr>
          <w:rFonts w:cs="Arial"/>
          <w:rtl/>
        </w:rPr>
        <w:t xml:space="preserve"> וכן אם באו לדין בטענות אלו בחייה והיא אומרת כדברי האב מהו. תשובה</w:t>
      </w:r>
      <w:r w:rsidRPr="00AF3A54">
        <w:rPr>
          <w:rFonts w:cs="Arial" w:hint="cs"/>
          <w:rtl/>
        </w:rPr>
        <w:t>-</w:t>
      </w:r>
      <w:r w:rsidRPr="00AF3A54">
        <w:rPr>
          <w:rFonts w:cs="Arial"/>
          <w:rtl/>
        </w:rPr>
        <w:t xml:space="preserve"> כל שאין טוען בריא אלא שמא מן הבית לקחתן נראה פשוט שהדין עם האב</w:t>
      </w:r>
      <w:r w:rsidRPr="00AF3A54">
        <w:rPr>
          <w:rFonts w:cs="Arial" w:hint="cs"/>
          <w:rtl/>
        </w:rPr>
        <w:t>,</w:t>
      </w:r>
      <w:r w:rsidRPr="00AF3A54">
        <w:rPr>
          <w:rFonts w:cs="Arial"/>
          <w:rtl/>
        </w:rPr>
        <w:t xml:space="preserve"> ואפילו לאחר מיתה</w:t>
      </w:r>
      <w:r w:rsidRPr="00AF3A54">
        <w:rPr>
          <w:rFonts w:cs="Arial" w:hint="cs"/>
          <w:rtl/>
        </w:rPr>
        <w:t>,</w:t>
      </w:r>
      <w:r w:rsidRPr="00AF3A54">
        <w:rPr>
          <w:rFonts w:cs="Arial"/>
          <w:rtl/>
        </w:rPr>
        <w:t xml:space="preserve"> כל שכן בחייה שהיא טוענת בריא</w:t>
      </w:r>
      <w:r w:rsidRPr="00AF3A54">
        <w:rPr>
          <w:rFonts w:cs="Arial" w:hint="cs"/>
          <w:rtl/>
        </w:rPr>
        <w:t>,</w:t>
      </w:r>
      <w:r w:rsidRPr="00AF3A54">
        <w:rPr>
          <w:rFonts w:cs="Arial"/>
          <w:rtl/>
        </w:rPr>
        <w:t xml:space="preserve"> וכדתניא בפרק חזקת (נב:) האשה שהיתה נושאת </w:t>
      </w:r>
      <w:r w:rsidRPr="00AF3A54">
        <w:rPr>
          <w:rFonts w:cs="Arial"/>
          <w:rtl/>
        </w:rPr>
        <w:lastRenderedPageBreak/>
        <w:t>ונותנת בתוך הבית והיו אונות ושטרות יוצאות על שמה ואמרה שלי הן מבית אבי אבא עליה להביא ראיה</w:t>
      </w:r>
      <w:r w:rsidRPr="00AF3A54">
        <w:rPr>
          <w:rFonts w:cs="Arial" w:hint="cs"/>
          <w:rtl/>
        </w:rPr>
        <w:t>,</w:t>
      </w:r>
      <w:r w:rsidRPr="00AF3A54">
        <w:rPr>
          <w:rFonts w:cs="Arial"/>
          <w:rtl/>
        </w:rPr>
        <w:t xml:space="preserve"> אלמא כל שיש נכסים ידועים שהיא מתעסקת בהם וטוענת שנכסים אחרים שאינם ידועים נפלו לה אינה נאמנת</w:t>
      </w:r>
      <w:r w:rsidRPr="00AF3A54">
        <w:rPr>
          <w:rFonts w:cs="Arial" w:hint="cs"/>
          <w:rtl/>
        </w:rPr>
        <w:t>,</w:t>
      </w:r>
      <w:r w:rsidRPr="00AF3A54">
        <w:rPr>
          <w:rFonts w:cs="Arial"/>
          <w:rtl/>
        </w:rPr>
        <w:t xml:space="preserve"> שכל שטוען דבר מחודש עליו הראיה</w:t>
      </w:r>
      <w:r w:rsidRPr="00AF3A54">
        <w:rPr>
          <w:rFonts w:cs="Arial" w:hint="cs"/>
          <w:rtl/>
        </w:rPr>
        <w:t>,</w:t>
      </w:r>
      <w:r w:rsidRPr="00AF3A54">
        <w:rPr>
          <w:rFonts w:cs="Arial"/>
          <w:rtl/>
        </w:rPr>
        <w:t xml:space="preserve"> והא נמי דכוותה</w:t>
      </w:r>
      <w:r w:rsidRPr="00AF3A54">
        <w:rPr>
          <w:rFonts w:cs="Arial" w:hint="cs"/>
          <w:rtl/>
        </w:rPr>
        <w:t>,</w:t>
      </w:r>
      <w:r w:rsidRPr="00AF3A54">
        <w:rPr>
          <w:rFonts w:cs="Arial"/>
          <w:rtl/>
        </w:rPr>
        <w:t xml:space="preserve"> וכל שכן</w:t>
      </w:r>
      <w:r w:rsidRPr="00AF3A54">
        <w:rPr>
          <w:rFonts w:cs="Arial" w:hint="cs"/>
          <w:rtl/>
        </w:rPr>
        <w:t>,</w:t>
      </w:r>
      <w:r w:rsidRPr="00AF3A54">
        <w:rPr>
          <w:rFonts w:cs="Arial"/>
          <w:rtl/>
        </w:rPr>
        <w:t xml:space="preserve"> דהתם שהשטרות שיוצאים על שמה מוציאין מחזקתה בטענה זו</w:t>
      </w:r>
      <w:r w:rsidRPr="00AF3A54">
        <w:rPr>
          <w:rFonts w:cs="Arial" w:hint="cs"/>
          <w:rtl/>
        </w:rPr>
        <w:t>,</w:t>
      </w:r>
      <w:r w:rsidRPr="00AF3A54">
        <w:rPr>
          <w:rFonts w:cs="Arial"/>
          <w:rtl/>
        </w:rPr>
        <w:t xml:space="preserve"> כל שכן כאן להעמיד על חזקתה</w:t>
      </w:r>
      <w:r w:rsidRPr="00AF3A54">
        <w:rPr>
          <w:rFonts w:cs="Arial" w:hint="cs"/>
          <w:rtl/>
        </w:rPr>
        <w:t>,</w:t>
      </w:r>
      <w:r w:rsidRPr="00AF3A54">
        <w:rPr>
          <w:rFonts w:cs="Arial"/>
          <w:rtl/>
        </w:rPr>
        <w:t xml:space="preserve"> שהרי יש בידה נכסים ידועים להתעסק שאינם לבעל והבעל שטוען שממה שבבית נטלה עליו להביא ראיה</w:t>
      </w:r>
      <w:r w:rsidRPr="00AF3A54">
        <w:rPr>
          <w:rFonts w:cs="Arial" w:hint="cs"/>
          <w:rtl/>
        </w:rPr>
        <w:t>,</w:t>
      </w:r>
      <w:r w:rsidRPr="00AF3A54">
        <w:rPr>
          <w:rFonts w:cs="Arial"/>
          <w:rtl/>
        </w:rPr>
        <w:t xml:space="preserve"> וכל שכן בטוען </w:t>
      </w:r>
      <w:r w:rsidRPr="00AF3A54">
        <w:rPr>
          <w:rFonts w:cs="Arial" w:hint="cs"/>
          <w:rtl/>
        </w:rPr>
        <w:t xml:space="preserve">בדבר </w:t>
      </w:r>
      <w:r w:rsidRPr="00AF3A54">
        <w:rPr>
          <w:rFonts w:cs="Arial"/>
          <w:rtl/>
        </w:rPr>
        <w:t>שאינו מצוי לומר אותם הראשונים נאבדו ואלו אחרים הם. ומאותה ברייתא דהיו אונות ושטרות יוצאים על שמה היה נראה לכאורה דאפילו בשטוען הבעל בריא</w:t>
      </w:r>
      <w:r w:rsidRPr="00AF3A54">
        <w:rPr>
          <w:rFonts w:cs="Arial" w:hint="cs"/>
          <w:rtl/>
        </w:rPr>
        <w:t>,</w:t>
      </w:r>
      <w:r w:rsidRPr="00AF3A54">
        <w:rPr>
          <w:rFonts w:cs="Arial"/>
          <w:rtl/>
        </w:rPr>
        <w:t xml:space="preserve"> ר"ל שטוען אני הפקדתי בידה מעות ובבריא שטרות אלו נעשו מאותן מעות</w:t>
      </w:r>
      <w:r w:rsidRPr="00AF3A54">
        <w:rPr>
          <w:rFonts w:cs="Arial" w:hint="cs"/>
          <w:rtl/>
        </w:rPr>
        <w:t>,</w:t>
      </w:r>
      <w:r w:rsidRPr="00AF3A54">
        <w:rPr>
          <w:rFonts w:cs="Arial"/>
          <w:rtl/>
        </w:rPr>
        <w:t xml:space="preserve"> אינו נאמן</w:t>
      </w:r>
      <w:r w:rsidRPr="00AF3A54">
        <w:rPr>
          <w:rFonts w:cs="Arial" w:hint="cs"/>
          <w:rtl/>
        </w:rPr>
        <w:t>,</w:t>
      </w:r>
      <w:r w:rsidRPr="00AF3A54">
        <w:rPr>
          <w:rFonts w:cs="Arial"/>
          <w:rtl/>
        </w:rPr>
        <w:t xml:space="preserve"> דהא באשה שהיו אונות ושטרות יוצאות על שמה בריא היא טוענת</w:t>
      </w:r>
      <w:r w:rsidRPr="00AF3A54">
        <w:rPr>
          <w:rFonts w:cs="Arial" w:hint="cs"/>
          <w:rtl/>
        </w:rPr>
        <w:t>,</w:t>
      </w:r>
      <w:r w:rsidRPr="00AF3A54">
        <w:rPr>
          <w:rFonts w:cs="Arial"/>
          <w:rtl/>
        </w:rPr>
        <w:t xml:space="preserve"> ואפילו הכי אינה נאמנת עד שתביא ראיה</w:t>
      </w:r>
      <w:r w:rsidRPr="00AF3A54">
        <w:rPr>
          <w:rFonts w:cs="Arial" w:hint="cs"/>
          <w:rtl/>
        </w:rPr>
        <w:t>.</w:t>
      </w:r>
      <w:r w:rsidRPr="00AF3A54">
        <w:rPr>
          <w:rFonts w:cs="Arial"/>
          <w:rtl/>
        </w:rPr>
        <w:t xml:space="preserve"> אלא שאני חוכך בזה מעט הואיל ויש לבעל נכסים שהיה יכול למסור בידה ואף על פי כן נראה גם בזה שעל הבעל להביא ראיה</w:t>
      </w:r>
      <w:r>
        <w:rPr>
          <w:rStyle w:val="a7"/>
          <w:rFonts w:cs="Arial"/>
          <w:rtl/>
        </w:rPr>
        <w:footnoteReference w:id="1811"/>
      </w:r>
      <w:r w:rsidRPr="00AF3A54">
        <w:rPr>
          <w:rFonts w:cs="Arial"/>
          <w:rtl/>
        </w:rPr>
        <w:t>. והוא הדין בשאלה השניה כי שאלת במפקיד זהובים ביד האשה דה"ה והוא הטעם</w:t>
      </w:r>
      <w:r w:rsidRPr="00AF3A54">
        <w:rPr>
          <w:rFonts w:cs="Arial" w:hint="cs"/>
          <w:rtl/>
        </w:rPr>
        <w:t>,</w:t>
      </w:r>
      <w:r w:rsidRPr="00AF3A54">
        <w:rPr>
          <w:rFonts w:cs="Arial"/>
          <w:rtl/>
        </w:rPr>
        <w:t xml:space="preserve"> אבל מה שאילו היה דבר שבמדה ושבמשקל והיינו מוצאין אותו ברשות היבמה ודאי מוציאין אותו מידו כדי להתלמד במקום אחר אני אומר לך דהא ליתא אלא מימר אמרינן הנך אזול לעלמא והני אחריני נינהו וכדאמרינן בפרק האשה שלום (יבמות קטו:) ההוא גברא דאפקיד שומשמי גבי חבריה וכו' ואסיקנא דלכולי עלמא חיישינן שמא פינן ודקאמר כן וכן הויין אימור אתרמויי אתרמי ליה. </w:t>
      </w:r>
    </w:p>
    <w:p w14:paraId="5946A33F" w14:textId="77777777" w:rsidR="002E5BAD" w:rsidRDefault="002E5BAD" w:rsidP="002E5BAD">
      <w:pPr>
        <w:pStyle w:val="ab"/>
        <w:numPr>
          <w:ilvl w:val="0"/>
          <w:numId w:val="182"/>
        </w:numPr>
        <w:rPr>
          <w:rFonts w:cs="Arial"/>
        </w:rPr>
      </w:pPr>
      <w:r w:rsidRPr="00AF3A54">
        <w:rPr>
          <w:rFonts w:cs="Arial" w:hint="cs"/>
          <w:rtl/>
        </w:rPr>
        <w:t>רשב"א</w:t>
      </w:r>
      <w:r w:rsidRPr="00AF3A54">
        <w:rPr>
          <w:rFonts w:cs="Arial"/>
          <w:rtl/>
        </w:rPr>
        <w:t xml:space="preserve"> </w:t>
      </w:r>
      <w:r w:rsidRPr="00AF3A54">
        <w:rPr>
          <w:rFonts w:cs="Arial"/>
          <w:sz w:val="16"/>
          <w:szCs w:val="16"/>
          <w:rtl/>
        </w:rPr>
        <w:t>(ח"ג סי' קצג)</w:t>
      </w:r>
      <w:r w:rsidRPr="00AF3A54">
        <w:rPr>
          <w:rFonts w:cs="Arial" w:hint="cs"/>
          <w:rtl/>
        </w:rPr>
        <w:t>-</w:t>
      </w:r>
      <w:r w:rsidRPr="00AF3A54">
        <w:rPr>
          <w:rFonts w:cs="Arial"/>
          <w:rtl/>
        </w:rPr>
        <w:t xml:space="preserve"> שאלת</w:t>
      </w:r>
      <w:r>
        <w:rPr>
          <w:rFonts w:cs="Arial" w:hint="cs"/>
          <w:rtl/>
        </w:rPr>
        <w:t>,</w:t>
      </w:r>
      <w:r w:rsidRPr="00AF3A54">
        <w:rPr>
          <w:rFonts w:cs="Arial"/>
          <w:rtl/>
        </w:rPr>
        <w:t xml:space="preserve"> ראובן מתה אשתו בלא בנים ויש בידו הרבה שטרי חוב יוצאים על שמה</w:t>
      </w:r>
      <w:r>
        <w:rPr>
          <w:rFonts w:cs="Arial" w:hint="cs"/>
          <w:rtl/>
        </w:rPr>
        <w:t>.</w:t>
      </w:r>
      <w:r w:rsidRPr="00AF3A54">
        <w:rPr>
          <w:rFonts w:cs="Arial"/>
          <w:rtl/>
        </w:rPr>
        <w:t xml:space="preserve"> וקרוביה תובעים מהבעל אותם שטרי חוב</w:t>
      </w:r>
      <w:r>
        <w:rPr>
          <w:rFonts w:cs="Arial" w:hint="cs"/>
          <w:rtl/>
        </w:rPr>
        <w:t>,</w:t>
      </w:r>
      <w:r w:rsidRPr="00AF3A54">
        <w:rPr>
          <w:rFonts w:cs="Arial"/>
          <w:rtl/>
        </w:rPr>
        <w:t xml:space="preserve"> שאפילו שהבעל יורש את אשתו אינו יורש בראוי ומלוה ראויה היא אצל הבעל</w:t>
      </w:r>
      <w:r>
        <w:rPr>
          <w:rFonts w:cs="Arial" w:hint="cs"/>
          <w:rtl/>
        </w:rPr>
        <w:t>.</w:t>
      </w:r>
      <w:r w:rsidRPr="00AF3A54">
        <w:rPr>
          <w:rFonts w:cs="Arial"/>
          <w:rtl/>
        </w:rPr>
        <w:t xml:space="preserve"> והבעל טוען שמנכסיו נעשו שהיתה מלוה משלו וכותב בשמה</w:t>
      </w:r>
      <w:r>
        <w:rPr>
          <w:rFonts w:cs="Arial" w:hint="cs"/>
          <w:rtl/>
        </w:rPr>
        <w:t>.</w:t>
      </w:r>
      <w:r w:rsidRPr="00AF3A54">
        <w:rPr>
          <w:rFonts w:cs="Arial"/>
          <w:rtl/>
        </w:rPr>
        <w:t xml:space="preserve"> והקרובים אומרים לא כי אלא היא מתנה שנתנו לה ע"מ שאין לבעל רשות בהם. תשובה נראה לי שאין כאן עסק לאותו דין שנחלקו בו גדולי הדורות במלוה אם היא ראויה לבעל</w:t>
      </w:r>
      <w:r>
        <w:rPr>
          <w:rFonts w:cs="Arial" w:hint="cs"/>
          <w:rtl/>
        </w:rPr>
        <w:t>,</w:t>
      </w:r>
      <w:r w:rsidRPr="00AF3A54">
        <w:rPr>
          <w:rFonts w:cs="Arial"/>
          <w:rtl/>
        </w:rPr>
        <w:t xml:space="preserve"> דלא נאמרו דברים הללו אלא במעות מגולין וידועין שאין עסק לבעל בהם כגון שנתנו לה במתנה על מנת שאין לבעל בהם כלום</w:t>
      </w:r>
      <w:r>
        <w:rPr>
          <w:rFonts w:cs="Arial" w:hint="cs"/>
          <w:rtl/>
        </w:rPr>
        <w:t>,</w:t>
      </w:r>
      <w:r w:rsidRPr="00AF3A54">
        <w:rPr>
          <w:rFonts w:cs="Arial"/>
          <w:rtl/>
        </w:rPr>
        <w:t xml:space="preserve"> אי נמי בשטרי חוב שנפלו להם מבית אביה</w:t>
      </w:r>
      <w:r>
        <w:rPr>
          <w:rFonts w:cs="Arial" w:hint="cs"/>
          <w:rtl/>
        </w:rPr>
        <w:t>,</w:t>
      </w:r>
      <w:r w:rsidRPr="00AF3A54">
        <w:rPr>
          <w:rFonts w:cs="Arial"/>
          <w:rtl/>
        </w:rPr>
        <w:t xml:space="preserve"> אי נמי שחייב לה אחר עצמו במנה</w:t>
      </w:r>
      <w:r>
        <w:rPr>
          <w:rFonts w:cs="Arial" w:hint="cs"/>
          <w:rtl/>
        </w:rPr>
        <w:t>,</w:t>
      </w:r>
      <w:r w:rsidRPr="00AF3A54">
        <w:rPr>
          <w:rFonts w:cs="Arial"/>
          <w:rtl/>
        </w:rPr>
        <w:t xml:space="preserve"> אבל כאן דרך אחר יש לו שכל מה שיש לאשה בחזקת הבעל הוא עד שתביא ראיה לדבריה וכדתניא וכן האשה שהיתה נושאת ונותנת בתוך הבית והיו אונות ושטרות יוצאים על שמה וכו'</w:t>
      </w:r>
      <w:r>
        <w:rPr>
          <w:rFonts w:cs="Arial" w:hint="cs"/>
          <w:rtl/>
        </w:rPr>
        <w:t>.</w:t>
      </w:r>
      <w:r w:rsidRPr="00AF3A54">
        <w:rPr>
          <w:rFonts w:cs="Arial"/>
          <w:rtl/>
        </w:rPr>
        <w:t xml:space="preserve"> ואל תשיבני דכשמתה אין יורשיה צריכין להביא ראיה וטוענים להם וכדאיתא התם אמר שמואל מודה לי אבא שאם מת על האחים להביא ראיה</w:t>
      </w:r>
      <w:r>
        <w:rPr>
          <w:rFonts w:cs="Arial" w:hint="cs"/>
          <w:rtl/>
        </w:rPr>
        <w:t>,</w:t>
      </w:r>
      <w:r w:rsidRPr="00AF3A54">
        <w:rPr>
          <w:rFonts w:cs="Arial"/>
          <w:rtl/>
        </w:rPr>
        <w:t xml:space="preserve"> דהתם שאני שאין האחים והיתומים טוענים בריא אבל כאן הבעל טוען בריא</w:t>
      </w:r>
      <w:r>
        <w:rPr>
          <w:rFonts w:cs="Arial" w:hint="cs"/>
          <w:rtl/>
        </w:rPr>
        <w:t>,</w:t>
      </w:r>
      <w:r w:rsidRPr="00AF3A54">
        <w:rPr>
          <w:rFonts w:cs="Arial"/>
          <w:rtl/>
        </w:rPr>
        <w:t xml:space="preserve"> ועוד דהכא שאני שהיא אשה היושבת תחת בעלה וכל אשר בידה או שקנתה או הלותה בחזקת הבעל הוא ואפילו מו הסתם וכל שכן כשהבעל טוען בריא</w:t>
      </w:r>
      <w:r>
        <w:rPr>
          <w:rStyle w:val="a7"/>
          <w:rFonts w:cs="Arial"/>
          <w:rtl/>
        </w:rPr>
        <w:footnoteReference w:id="1812"/>
      </w:r>
      <w:r w:rsidRPr="00AF3A54">
        <w:rPr>
          <w:rFonts w:cs="Arial"/>
          <w:rtl/>
        </w:rPr>
        <w:t>.</w:t>
      </w:r>
      <w:r>
        <w:rPr>
          <w:rFonts w:cs="Arial" w:hint="cs"/>
          <w:rtl/>
        </w:rPr>
        <w:t>.. ו</w:t>
      </w:r>
      <w:r w:rsidRPr="00F464F2">
        <w:rPr>
          <w:rFonts w:cs="Arial"/>
          <w:rtl/>
        </w:rPr>
        <w:t xml:space="preserve">אילו תפס הבעל שטר של מלוה שידוע שנפלה לה מבית אביה וכיוצא בזה אינו נאמן לומר במשכון בא לידי ואפילו בשבועה. </w:t>
      </w:r>
    </w:p>
    <w:p w14:paraId="05F17FC8" w14:textId="77777777" w:rsidR="002E5BAD" w:rsidRPr="00F6735C" w:rsidRDefault="002E5BAD" w:rsidP="002E5BAD">
      <w:pPr>
        <w:rPr>
          <w:rFonts w:cs="Arial"/>
          <w:u w:val="single"/>
        </w:rPr>
      </w:pPr>
      <w:r w:rsidRPr="00F6735C">
        <w:rPr>
          <w:rFonts w:cs="Arial" w:hint="cs"/>
          <w:u w:val="single"/>
          <w:rtl/>
        </w:rPr>
        <w:t xml:space="preserve">בן שהוציא הוצאות על אביו החולה, ונמצאים בידו מטלטלין של אשת אביו </w:t>
      </w:r>
      <w:r w:rsidRPr="00F6735C">
        <w:rPr>
          <w:rFonts w:cs="Arial"/>
          <w:u w:val="single"/>
          <w:rtl/>
        </w:rPr>
        <w:t>–</w:t>
      </w:r>
      <w:r w:rsidRPr="00F6735C">
        <w:rPr>
          <w:rFonts w:cs="Arial" w:hint="cs"/>
          <w:u w:val="single"/>
          <w:rtl/>
        </w:rPr>
        <w:t xml:space="preserve"> האם יכול למכרם בעד הוצאותיו:</w:t>
      </w:r>
    </w:p>
    <w:p w14:paraId="1CBFD19B" w14:textId="77777777" w:rsidR="002E5BAD" w:rsidRDefault="002E5BAD" w:rsidP="00B75458">
      <w:pPr>
        <w:pStyle w:val="ab"/>
        <w:numPr>
          <w:ilvl w:val="0"/>
          <w:numId w:val="192"/>
        </w:numPr>
        <w:rPr>
          <w:rFonts w:cs="Arial"/>
        </w:rPr>
      </w:pPr>
      <w:r w:rsidRPr="00761C13">
        <w:rPr>
          <w:rFonts w:cs="Arial"/>
          <w:rtl/>
        </w:rPr>
        <w:t xml:space="preserve">רשב"א </w:t>
      </w:r>
      <w:r w:rsidRPr="00761C13">
        <w:rPr>
          <w:rFonts w:cs="Arial"/>
          <w:sz w:val="16"/>
          <w:szCs w:val="16"/>
          <w:rtl/>
        </w:rPr>
        <w:t>(</w:t>
      </w:r>
      <w:r w:rsidRPr="00761C13">
        <w:rPr>
          <w:rFonts w:cs="Arial" w:hint="cs"/>
          <w:sz w:val="16"/>
          <w:szCs w:val="16"/>
          <w:rtl/>
        </w:rPr>
        <w:t>ב</w:t>
      </w:r>
      <w:r w:rsidRPr="00761C13">
        <w:rPr>
          <w:rFonts w:cs="Arial"/>
          <w:sz w:val="16"/>
          <w:szCs w:val="16"/>
          <w:rtl/>
        </w:rPr>
        <w:t>מיוחסות סי' סד</w:t>
      </w:r>
      <w:r>
        <w:rPr>
          <w:rFonts w:cs="Arial" w:hint="cs"/>
          <w:sz w:val="16"/>
          <w:szCs w:val="16"/>
          <w:rtl/>
        </w:rPr>
        <w:t>, הביאה הב"י כאן ובסי' פו</w:t>
      </w:r>
      <w:r w:rsidRPr="00761C13">
        <w:rPr>
          <w:rFonts w:cs="Arial"/>
          <w:sz w:val="16"/>
          <w:szCs w:val="16"/>
          <w:rtl/>
        </w:rPr>
        <w:t>)</w:t>
      </w:r>
      <w:r w:rsidRPr="00761C13">
        <w:rPr>
          <w:rFonts w:cs="Arial" w:hint="cs"/>
          <w:rtl/>
        </w:rPr>
        <w:t>-</w:t>
      </w:r>
      <w:r w:rsidRPr="00761C13">
        <w:rPr>
          <w:rFonts w:cs="Arial"/>
          <w:rtl/>
        </w:rPr>
        <w:t xml:space="preserve"> שאלת</w:t>
      </w:r>
      <w:r w:rsidRPr="00761C13">
        <w:rPr>
          <w:rFonts w:cs="Arial" w:hint="cs"/>
          <w:rtl/>
        </w:rPr>
        <w:t>,</w:t>
      </w:r>
      <w:r w:rsidRPr="00761C13">
        <w:rPr>
          <w:rFonts w:cs="Arial"/>
          <w:rtl/>
        </w:rPr>
        <w:t xml:space="preserve"> בראובן שחלה</w:t>
      </w:r>
      <w:r>
        <w:rPr>
          <w:rFonts w:cs="Arial" w:hint="cs"/>
          <w:rtl/>
        </w:rPr>
        <w:t>,</w:t>
      </w:r>
      <w:r w:rsidRPr="00761C13">
        <w:rPr>
          <w:rFonts w:cs="Arial"/>
          <w:rtl/>
        </w:rPr>
        <w:t xml:space="preserve"> והביאו חנוך בנו לתוך ביתו וסיפק צרכיו</w:t>
      </w:r>
      <w:r>
        <w:rPr>
          <w:rFonts w:cs="Arial" w:hint="cs"/>
          <w:rtl/>
        </w:rPr>
        <w:t>,</w:t>
      </w:r>
      <w:r w:rsidRPr="00761C13">
        <w:rPr>
          <w:rFonts w:cs="Arial"/>
          <w:rtl/>
        </w:rPr>
        <w:t xml:space="preserve"> ומת</w:t>
      </w:r>
      <w:r>
        <w:rPr>
          <w:rFonts w:cs="Arial" w:hint="cs"/>
          <w:rtl/>
        </w:rPr>
        <w:t>,</w:t>
      </w:r>
      <w:r w:rsidRPr="00761C13">
        <w:rPr>
          <w:rFonts w:cs="Arial"/>
          <w:rtl/>
        </w:rPr>
        <w:t xml:space="preserve"> וקברו</w:t>
      </w:r>
      <w:r>
        <w:rPr>
          <w:rFonts w:cs="Arial" w:hint="cs"/>
          <w:rtl/>
        </w:rPr>
        <w:t>.</w:t>
      </w:r>
      <w:r w:rsidRPr="00761C13">
        <w:rPr>
          <w:rFonts w:cs="Arial"/>
          <w:rtl/>
        </w:rPr>
        <w:t xml:space="preserve"> ולאה אשתו של ראובן הפקידה מטלטלין ביד חנוך</w:t>
      </w:r>
      <w:r>
        <w:rPr>
          <w:rFonts w:cs="Arial" w:hint="cs"/>
          <w:rtl/>
        </w:rPr>
        <w:t>,</w:t>
      </w:r>
      <w:r w:rsidRPr="00761C13">
        <w:rPr>
          <w:rFonts w:cs="Arial"/>
          <w:rtl/>
        </w:rPr>
        <w:t xml:space="preserve"> ועכשיו תובעת אותם ממנו</w:t>
      </w:r>
      <w:r>
        <w:rPr>
          <w:rFonts w:cs="Arial" w:hint="cs"/>
          <w:rtl/>
        </w:rPr>
        <w:t>.</w:t>
      </w:r>
      <w:r w:rsidRPr="00761C13">
        <w:rPr>
          <w:rFonts w:cs="Arial"/>
          <w:rtl/>
        </w:rPr>
        <w:t xml:space="preserve"> השיב חנוך אני הוצאתי הוצאות על אבי ועל קבורתו ועל תכריכיו ואני תופס אותם בשביל אותם הוצאות</w:t>
      </w:r>
      <w:r>
        <w:rPr>
          <w:rFonts w:cs="Arial" w:hint="cs"/>
          <w:rtl/>
        </w:rPr>
        <w:t>.</w:t>
      </w:r>
      <w:r w:rsidRPr="00761C13">
        <w:rPr>
          <w:rFonts w:cs="Arial"/>
          <w:rtl/>
        </w:rPr>
        <w:t xml:space="preserve"> טענה לאה אותם מטלטלין שלי היו ואין לך לתפוס בשלי</w:t>
      </w:r>
      <w:r>
        <w:rPr>
          <w:rFonts w:cs="Arial" w:hint="cs"/>
          <w:rtl/>
        </w:rPr>
        <w:t>.</w:t>
      </w:r>
      <w:r w:rsidRPr="00761C13">
        <w:rPr>
          <w:rFonts w:cs="Arial"/>
          <w:rtl/>
        </w:rPr>
        <w:t xml:space="preserve"> השיב חנוך איני יודע שהן שלך</w:t>
      </w:r>
      <w:r>
        <w:rPr>
          <w:rFonts w:cs="Arial" w:hint="cs"/>
          <w:rtl/>
        </w:rPr>
        <w:t>,</w:t>
      </w:r>
      <w:r w:rsidRPr="00761C13">
        <w:rPr>
          <w:rFonts w:cs="Arial"/>
          <w:rtl/>
        </w:rPr>
        <w:t xml:space="preserve"> מה שקנתה אשה קנה בעלה. </w:t>
      </w:r>
      <w:r w:rsidRPr="00761C13">
        <w:rPr>
          <w:rFonts w:cs="Arial" w:hint="cs"/>
          <w:rtl/>
        </w:rPr>
        <w:t xml:space="preserve">    </w:t>
      </w:r>
      <w:r w:rsidRPr="00761C13">
        <w:rPr>
          <w:rFonts w:cs="Arial"/>
          <w:rtl/>
        </w:rPr>
        <w:t>תשובה</w:t>
      </w:r>
      <w:r w:rsidRPr="00761C13">
        <w:rPr>
          <w:rFonts w:cs="Arial" w:hint="cs"/>
          <w:rtl/>
        </w:rPr>
        <w:t>-</w:t>
      </w:r>
      <w:r w:rsidRPr="00761C13">
        <w:rPr>
          <w:rFonts w:cs="Arial"/>
          <w:rtl/>
        </w:rPr>
        <w:t xml:space="preserve"> הדין עם לאה מכמה טעמים</w:t>
      </w:r>
      <w:r>
        <w:rPr>
          <w:rFonts w:cs="Arial" w:hint="cs"/>
          <w:rtl/>
        </w:rPr>
        <w:t>.</w:t>
      </w:r>
      <w:r w:rsidRPr="00761C13">
        <w:rPr>
          <w:rFonts w:cs="Arial"/>
          <w:rtl/>
        </w:rPr>
        <w:t xml:space="preserve"> כי מה שטענה שהמטלטלים שלה </w:t>
      </w:r>
      <w:r>
        <w:rPr>
          <w:rFonts w:cs="Arial" w:hint="cs"/>
          <w:rtl/>
        </w:rPr>
        <w:t xml:space="preserve">- </w:t>
      </w:r>
      <w:r w:rsidRPr="00761C13">
        <w:rPr>
          <w:rFonts w:cs="Arial"/>
          <w:rtl/>
        </w:rPr>
        <w:t>נאמנת וצריך להחזיר לה ואפילו היה הבעל קיים</w:t>
      </w:r>
      <w:r>
        <w:rPr>
          <w:rFonts w:cs="Arial" w:hint="cs"/>
          <w:rtl/>
        </w:rPr>
        <w:t xml:space="preserve">, </w:t>
      </w:r>
      <w:r w:rsidRPr="00761C13">
        <w:rPr>
          <w:rFonts w:cs="Arial"/>
          <w:rtl/>
        </w:rPr>
        <w:t>וכדתניא בפרק חזקת (ב"ב נא:) קיבל מן האשה יחזיר לאשה</w:t>
      </w:r>
      <w:r>
        <w:rPr>
          <w:rFonts w:cs="Arial" w:hint="cs"/>
          <w:rtl/>
        </w:rPr>
        <w:t>,</w:t>
      </w:r>
      <w:r w:rsidRPr="00761C13">
        <w:rPr>
          <w:rFonts w:cs="Arial"/>
          <w:rtl/>
        </w:rPr>
        <w:t xml:space="preserve"> וזה אינו יודע שאינם שלה שיתפוס בהם</w:t>
      </w:r>
      <w:r>
        <w:rPr>
          <w:rFonts w:cs="Arial" w:hint="cs"/>
          <w:rtl/>
        </w:rPr>
        <w:t>,</w:t>
      </w:r>
      <w:r w:rsidRPr="00761C13">
        <w:rPr>
          <w:rFonts w:cs="Arial"/>
          <w:rtl/>
        </w:rPr>
        <w:t xml:space="preserve"> אלא איני יודע שהן שלך טען</w:t>
      </w:r>
      <w:r>
        <w:rPr>
          <w:rFonts w:cs="Arial" w:hint="cs"/>
          <w:rtl/>
        </w:rPr>
        <w:t>.</w:t>
      </w:r>
      <w:r w:rsidRPr="00761C13">
        <w:rPr>
          <w:rFonts w:cs="Arial"/>
          <w:rtl/>
        </w:rPr>
        <w:t xml:space="preserve"> ומה שקנתה אשה קנה בעלה שטען</w:t>
      </w:r>
      <w:r>
        <w:rPr>
          <w:rFonts w:cs="Arial" w:hint="cs"/>
          <w:rtl/>
        </w:rPr>
        <w:t>,</w:t>
      </w:r>
      <w:r w:rsidRPr="00761C13">
        <w:rPr>
          <w:rFonts w:cs="Arial"/>
          <w:rtl/>
        </w:rPr>
        <w:t xml:space="preserve"> אינו כלום</w:t>
      </w:r>
      <w:r>
        <w:rPr>
          <w:rFonts w:cs="Arial" w:hint="cs"/>
          <w:rtl/>
        </w:rPr>
        <w:t>,</w:t>
      </w:r>
      <w:r w:rsidRPr="00761C13">
        <w:rPr>
          <w:rFonts w:cs="Arial"/>
          <w:rtl/>
        </w:rPr>
        <w:t xml:space="preserve"> כי שמא נתנו לה אחרים על מנת שאין לבעלה רשות בהם</w:t>
      </w:r>
      <w:r>
        <w:rPr>
          <w:rFonts w:cs="Arial" w:hint="cs"/>
          <w:rtl/>
        </w:rPr>
        <w:t>,</w:t>
      </w:r>
      <w:r w:rsidRPr="00761C13">
        <w:rPr>
          <w:rFonts w:cs="Arial"/>
          <w:rtl/>
        </w:rPr>
        <w:t xml:space="preserve"> והיינו דאמרינן בפרק חזקת קיבל מן האשה יחזיר לאשה</w:t>
      </w:r>
      <w:r>
        <w:rPr>
          <w:rFonts w:cs="Arial" w:hint="cs"/>
          <w:rtl/>
        </w:rPr>
        <w:t>.</w:t>
      </w:r>
      <w:r w:rsidRPr="00761C13">
        <w:rPr>
          <w:rFonts w:cs="Arial"/>
          <w:rtl/>
        </w:rPr>
        <w:t xml:space="preserve"> ועוד דמה שקנתה אשה לא קנה בעלה אלא לפירות</w:t>
      </w:r>
      <w:r>
        <w:rPr>
          <w:rFonts w:cs="Arial" w:hint="cs"/>
          <w:rtl/>
        </w:rPr>
        <w:t>,</w:t>
      </w:r>
      <w:r w:rsidRPr="00761C13">
        <w:rPr>
          <w:rFonts w:cs="Arial"/>
          <w:rtl/>
        </w:rPr>
        <w:t xml:space="preserve"> והרי הוא כנכסי מלוג</w:t>
      </w:r>
      <w:r>
        <w:rPr>
          <w:rFonts w:cs="Arial" w:hint="cs"/>
          <w:rtl/>
        </w:rPr>
        <w:t>,</w:t>
      </w:r>
      <w:r w:rsidRPr="00761C13">
        <w:rPr>
          <w:rFonts w:cs="Arial"/>
          <w:rtl/>
        </w:rPr>
        <w:t xml:space="preserve"> ואם מת הבעל הרי הם שלה לגמרי</w:t>
      </w:r>
      <w:r>
        <w:rPr>
          <w:rFonts w:cs="Arial" w:hint="cs"/>
          <w:rtl/>
        </w:rPr>
        <w:t>.</w:t>
      </w:r>
      <w:r w:rsidRPr="00761C13">
        <w:rPr>
          <w:rFonts w:cs="Arial"/>
          <w:rtl/>
        </w:rPr>
        <w:t xml:space="preserve"> ולא עוד אלא אפילו מטלטלין דאב שנטלן חנוך והוציא הוצאות על אביו ואפילו בצרכי קבורתו</w:t>
      </w:r>
      <w:r>
        <w:rPr>
          <w:rFonts w:cs="Arial" w:hint="cs"/>
          <w:rtl/>
        </w:rPr>
        <w:t>,</w:t>
      </w:r>
      <w:r w:rsidRPr="00761C13">
        <w:rPr>
          <w:rFonts w:cs="Arial"/>
          <w:rtl/>
        </w:rPr>
        <w:t xml:space="preserve"> אם כתב ראובן לאשה מטלטלי אגב מקרקעי האשה מוציאה מידו ואפילו היה מוטל לפניה</w:t>
      </w:r>
      <w:r>
        <w:rPr>
          <w:rFonts w:cs="Arial" w:hint="cs"/>
          <w:rtl/>
        </w:rPr>
        <w:t>.</w:t>
      </w:r>
      <w:r w:rsidRPr="00761C13">
        <w:rPr>
          <w:rFonts w:cs="Arial"/>
          <w:rtl/>
        </w:rPr>
        <w:t xml:space="preserve"> רצתה היא גובה כתובתה והוא נקבר מן הצדקה וכדתניא בתוספתא דכתובות (פ"ט ה"ד)</w:t>
      </w:r>
      <w:r>
        <w:rPr>
          <w:rStyle w:val="a7"/>
          <w:rFonts w:cs="Arial"/>
          <w:rtl/>
        </w:rPr>
        <w:footnoteReference w:id="1813"/>
      </w:r>
      <w:r w:rsidRPr="00761C13">
        <w:rPr>
          <w:rFonts w:cs="Arial"/>
          <w:rtl/>
        </w:rPr>
        <w:t xml:space="preserve">. </w:t>
      </w:r>
    </w:p>
    <w:p w14:paraId="05D8F8C2" w14:textId="77777777" w:rsidR="002E5BAD" w:rsidRPr="009947D1" w:rsidRDefault="002E5BAD" w:rsidP="002E5BAD">
      <w:pPr>
        <w:rPr>
          <w:rFonts w:cs="Arial"/>
          <w:u w:val="single"/>
        </w:rPr>
      </w:pPr>
      <w:r w:rsidRPr="009947D1">
        <w:rPr>
          <w:rFonts w:cs="Arial" w:hint="cs"/>
          <w:u w:val="single"/>
          <w:rtl/>
        </w:rPr>
        <w:t>אדם שמחזיק בחפץ של אשה וטוען שהוא אצל</w:t>
      </w:r>
      <w:r>
        <w:rPr>
          <w:rFonts w:cs="Arial" w:hint="cs"/>
          <w:u w:val="single"/>
          <w:rtl/>
        </w:rPr>
        <w:t>ו</w:t>
      </w:r>
      <w:r w:rsidRPr="009947D1">
        <w:rPr>
          <w:rFonts w:cs="Arial" w:hint="cs"/>
          <w:u w:val="single"/>
          <w:rtl/>
        </w:rPr>
        <w:t xml:space="preserve"> מכח בעלה:</w:t>
      </w:r>
    </w:p>
    <w:p w14:paraId="6FCBEEF5" w14:textId="77777777" w:rsidR="002E5BAD" w:rsidRPr="00844CBF" w:rsidRDefault="002E5BAD" w:rsidP="002E5BAD">
      <w:pPr>
        <w:pStyle w:val="ab"/>
        <w:numPr>
          <w:ilvl w:val="0"/>
          <w:numId w:val="182"/>
        </w:numPr>
        <w:rPr>
          <w:rFonts w:cs="Arial"/>
          <w:rtl/>
        </w:rPr>
      </w:pPr>
      <w:r w:rsidRPr="009947D1">
        <w:rPr>
          <w:rFonts w:cs="Arial"/>
          <w:rtl/>
        </w:rPr>
        <w:lastRenderedPageBreak/>
        <w:t xml:space="preserve">מרדכי </w:t>
      </w:r>
      <w:r w:rsidRPr="009947D1">
        <w:rPr>
          <w:rFonts w:cs="Arial" w:hint="cs"/>
          <w:sz w:val="16"/>
          <w:szCs w:val="16"/>
          <w:rtl/>
        </w:rPr>
        <w:t>(</w:t>
      </w:r>
      <w:r w:rsidRPr="009947D1">
        <w:rPr>
          <w:rFonts w:cs="Arial"/>
          <w:sz w:val="16"/>
          <w:szCs w:val="16"/>
          <w:rtl/>
        </w:rPr>
        <w:t>פרק האשה כתובות סי' רז)</w:t>
      </w:r>
      <w:r w:rsidRPr="009947D1">
        <w:rPr>
          <w:rFonts w:cs="Arial" w:hint="cs"/>
          <w:rtl/>
        </w:rPr>
        <w:t>-</w:t>
      </w:r>
      <w:r w:rsidRPr="009947D1">
        <w:rPr>
          <w:rFonts w:cs="Arial"/>
          <w:rtl/>
        </w:rPr>
        <w:t xml:space="preserve"> אפטרופוס של רחל תבע את לוי </w:t>
      </w:r>
      <w:r w:rsidRPr="009947D1">
        <w:rPr>
          <w:rFonts w:cs="Arial" w:hint="cs"/>
          <w:rtl/>
        </w:rPr>
        <w:t>'</w:t>
      </w:r>
      <w:r w:rsidRPr="009947D1">
        <w:rPr>
          <w:rFonts w:cs="Arial"/>
          <w:rtl/>
        </w:rPr>
        <w:t>רחל השאילה לך שריון עד שלא נשאת ואותו שריון לא היה מהנכסים שהתנת לתת לבעלה</w:t>
      </w:r>
      <w:r w:rsidRPr="009947D1">
        <w:rPr>
          <w:rFonts w:cs="Arial" w:hint="cs"/>
          <w:rtl/>
        </w:rPr>
        <w:t>',</w:t>
      </w:r>
      <w:r w:rsidRPr="009947D1">
        <w:rPr>
          <w:rFonts w:cs="Arial"/>
          <w:rtl/>
        </w:rPr>
        <w:t xml:space="preserve"> ועתה תובעת ללוי שיחזיר לה</w:t>
      </w:r>
      <w:r w:rsidRPr="009947D1">
        <w:rPr>
          <w:rFonts w:cs="Arial" w:hint="cs"/>
          <w:rtl/>
        </w:rPr>
        <w:t>.</w:t>
      </w:r>
      <w:r w:rsidRPr="009947D1">
        <w:rPr>
          <w:rFonts w:cs="Arial"/>
          <w:rtl/>
        </w:rPr>
        <w:t xml:space="preserve"> והוא השיב החזרתיו אך שהוא עתה בידו מכח שמעון בעלה שחייב לי</w:t>
      </w:r>
      <w:r w:rsidRPr="009947D1">
        <w:rPr>
          <w:rFonts w:cs="Arial" w:hint="cs"/>
          <w:rtl/>
        </w:rPr>
        <w:t xml:space="preserve"> -</w:t>
      </w:r>
      <w:r w:rsidRPr="009947D1">
        <w:rPr>
          <w:rFonts w:cs="Arial"/>
          <w:rtl/>
        </w:rPr>
        <w:t xml:space="preserve"> צריך להחזיר</w:t>
      </w:r>
      <w:r>
        <w:rPr>
          <w:rStyle w:val="a7"/>
          <w:rFonts w:cs="Arial"/>
          <w:rtl/>
        </w:rPr>
        <w:footnoteReference w:id="1814"/>
      </w:r>
      <w:r w:rsidRPr="009947D1">
        <w:rPr>
          <w:rFonts w:cs="Arial" w:hint="cs"/>
          <w:rtl/>
        </w:rPr>
        <w:t>.</w:t>
      </w:r>
    </w:p>
    <w:p w14:paraId="7D9B2DF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53EDAB5" w14:textId="77777777" w:rsidR="002E5BAD" w:rsidRPr="00187D17" w:rsidRDefault="002E5BAD" w:rsidP="002E5BAD">
      <w:pPr>
        <w:rPr>
          <w:rFonts w:cs="Arial"/>
          <w:rtl/>
        </w:rPr>
        <w:sectPr w:rsidR="002E5BAD" w:rsidRPr="00187D17" w:rsidSect="00A347B3">
          <w:headerReference w:type="default" r:id="rId42"/>
          <w:footnotePr>
            <w:numRestart w:val="eachPage"/>
          </w:footnotePr>
          <w:pgSz w:w="11906" w:h="16838"/>
          <w:pgMar w:top="720" w:right="1134" w:bottom="720" w:left="1134" w:header="0" w:footer="0" w:gutter="0"/>
          <w:cols w:space="720"/>
          <w:bidi/>
          <w:rtlGutter/>
          <w:docGrid w:linePitch="360"/>
        </w:sectPr>
      </w:pPr>
      <w:r>
        <w:rPr>
          <w:rFonts w:cs="Arial"/>
          <w:rtl/>
        </w:rPr>
        <w:t>הבעל שלוה מהאשה ואחר כך גירשה, אין לה עליו כלום</w:t>
      </w:r>
      <w:r>
        <w:rPr>
          <w:rStyle w:val="a7"/>
          <w:rFonts w:cs="Arial"/>
          <w:rtl/>
        </w:rPr>
        <w:footnoteReference w:id="1815"/>
      </w:r>
      <w:r>
        <w:rPr>
          <w:rFonts w:cs="Arial"/>
          <w:rtl/>
        </w:rPr>
        <w:t xml:space="preserve">. </w:t>
      </w:r>
      <w:r w:rsidRPr="00183279">
        <w:rPr>
          <w:rFonts w:cs="Arial"/>
          <w:sz w:val="18"/>
          <w:szCs w:val="18"/>
          <w:rtl/>
        </w:rPr>
        <w:t>הגה: וכ"ש אם לא גירשה (ד"ע). וי"א</w:t>
      </w:r>
      <w:r>
        <w:rPr>
          <w:rStyle w:val="a7"/>
          <w:rFonts w:cs="Arial"/>
          <w:sz w:val="18"/>
          <w:szCs w:val="18"/>
          <w:rtl/>
        </w:rPr>
        <w:footnoteReference w:id="1816"/>
      </w:r>
      <w:r w:rsidRPr="00183279">
        <w:rPr>
          <w:rFonts w:cs="Arial"/>
          <w:sz w:val="18"/>
          <w:szCs w:val="18"/>
          <w:rtl/>
        </w:rPr>
        <w:t xml:space="preserve"> דוקא אם היו המעות טמונים כשלוה ממנה, אבל לא היו המעות טמונים, ולוה ממנה, צריך לשלם לה</w:t>
      </w:r>
      <w:r>
        <w:rPr>
          <w:rStyle w:val="a7"/>
          <w:rFonts w:cs="Arial"/>
          <w:sz w:val="18"/>
          <w:szCs w:val="18"/>
          <w:rtl/>
        </w:rPr>
        <w:footnoteReference w:id="1817"/>
      </w:r>
      <w:r w:rsidRPr="00183279">
        <w:rPr>
          <w:rFonts w:cs="Arial"/>
          <w:sz w:val="18"/>
          <w:szCs w:val="18"/>
          <w:rtl/>
        </w:rPr>
        <w:t xml:space="preserve"> אפילו</w:t>
      </w:r>
      <w:r>
        <w:rPr>
          <w:rStyle w:val="a7"/>
          <w:rFonts w:cs="Arial"/>
          <w:sz w:val="18"/>
          <w:szCs w:val="18"/>
          <w:rtl/>
        </w:rPr>
        <w:footnoteReference w:id="1818"/>
      </w:r>
      <w:r w:rsidRPr="00183279">
        <w:rPr>
          <w:rFonts w:cs="Arial"/>
          <w:sz w:val="18"/>
          <w:szCs w:val="18"/>
          <w:rtl/>
        </w:rPr>
        <w:t xml:space="preserve"> לאחר שגירשה (טור). וה"ה אם תקפם מידה, דמאחר שלא היו המעות טמונים, נאמנת לומר: שלי</w:t>
      </w:r>
      <w:r>
        <w:rPr>
          <w:rStyle w:val="a7"/>
          <w:rFonts w:cs="Arial"/>
          <w:sz w:val="18"/>
          <w:szCs w:val="18"/>
          <w:rtl/>
        </w:rPr>
        <w:footnoteReference w:id="1819"/>
      </w:r>
      <w:r w:rsidRPr="00183279">
        <w:rPr>
          <w:rFonts w:cs="Arial"/>
          <w:sz w:val="18"/>
          <w:szCs w:val="18"/>
          <w:rtl/>
        </w:rPr>
        <w:t xml:space="preserve"> או של פלוני</w:t>
      </w:r>
      <w:r>
        <w:rPr>
          <w:rStyle w:val="a7"/>
          <w:rFonts w:cs="Arial"/>
          <w:sz w:val="18"/>
          <w:szCs w:val="18"/>
          <w:rtl/>
        </w:rPr>
        <w:footnoteReference w:id="1820"/>
      </w:r>
      <w:r w:rsidRPr="00183279">
        <w:rPr>
          <w:rFonts w:cs="Arial"/>
          <w:sz w:val="18"/>
          <w:szCs w:val="18"/>
          <w:rtl/>
        </w:rPr>
        <w:t xml:space="preserve"> הם (סברת הרב). מיהו אם נושאה ונותנת תוך הבית, או שהבעל מאמינה על שלו, אינה נאמנת</w:t>
      </w:r>
      <w:r>
        <w:rPr>
          <w:rStyle w:val="a7"/>
          <w:rFonts w:cs="Arial"/>
          <w:sz w:val="18"/>
          <w:szCs w:val="18"/>
          <w:rtl/>
        </w:rPr>
        <w:footnoteReference w:id="1821"/>
      </w:r>
      <w:r w:rsidRPr="00183279">
        <w:rPr>
          <w:rFonts w:cs="Arial"/>
          <w:sz w:val="18"/>
          <w:szCs w:val="18"/>
          <w:rtl/>
        </w:rPr>
        <w:t xml:space="preserve"> (טור). (וע' לעיל סי' פ"ה סעיף י"ב). לוה ממנה בשטר, היא אומרת: לא היו המעות טמונים</w:t>
      </w:r>
      <w:r>
        <w:rPr>
          <w:rStyle w:val="a7"/>
          <w:rFonts w:cs="Arial"/>
          <w:sz w:val="18"/>
          <w:szCs w:val="18"/>
          <w:rtl/>
        </w:rPr>
        <w:footnoteReference w:id="1822"/>
      </w:r>
      <w:r w:rsidRPr="00183279">
        <w:rPr>
          <w:rFonts w:cs="Arial"/>
          <w:sz w:val="18"/>
          <w:szCs w:val="18"/>
          <w:rtl/>
        </w:rPr>
        <w:t>, והוא אומר: טמונים היו, עליה להביא ראיה או פטור לשלם (נ</w:t>
      </w:r>
      <w:r>
        <w:rPr>
          <w:rFonts w:cs="Arial" w:hint="cs"/>
          <w:sz w:val="18"/>
          <w:szCs w:val="18"/>
          <w:rtl/>
        </w:rPr>
        <w:t>מוק</w:t>
      </w:r>
      <w:r w:rsidRPr="00183279">
        <w:rPr>
          <w:rFonts w:cs="Arial"/>
          <w:sz w:val="18"/>
          <w:szCs w:val="18"/>
          <w:rtl/>
        </w:rPr>
        <w:t>"י פרק חזקת). ועיין לעיל בח"ה סימן ס"ב אשה שהיו שטרות יוצאין על שמה מה דינן</w:t>
      </w:r>
      <w:r>
        <w:rPr>
          <w:rStyle w:val="a7"/>
          <w:rFonts w:cs="Arial"/>
          <w:sz w:val="18"/>
          <w:szCs w:val="18"/>
          <w:rtl/>
        </w:rPr>
        <w:footnoteReference w:id="1823"/>
      </w:r>
      <w:r w:rsidRPr="00183279">
        <w:rPr>
          <w:rFonts w:cs="Arial"/>
          <w:sz w:val="18"/>
          <w:szCs w:val="18"/>
          <w:rtl/>
        </w:rPr>
        <w:t>. אשה שמכרה או משכנה מטלטלין, אם הקונה או המלוה אינו יודע שהם של בעל, א"צ להחזיר</w:t>
      </w:r>
      <w:r>
        <w:rPr>
          <w:rStyle w:val="a7"/>
          <w:rFonts w:cs="Arial"/>
          <w:sz w:val="18"/>
          <w:szCs w:val="18"/>
          <w:rtl/>
        </w:rPr>
        <w:footnoteReference w:id="1824"/>
      </w:r>
      <w:r w:rsidRPr="00183279">
        <w:rPr>
          <w:rFonts w:cs="Arial"/>
          <w:sz w:val="18"/>
          <w:szCs w:val="18"/>
          <w:rtl/>
        </w:rPr>
        <w:t xml:space="preserve"> אליו, אפילו רוצה הבעל להחזיר לו דמיו וטוען שהיא גנבן לו (הגה</w:t>
      </w:r>
      <w:r>
        <w:rPr>
          <w:rFonts w:cs="Arial" w:hint="cs"/>
          <w:sz w:val="18"/>
          <w:szCs w:val="18"/>
          <w:rtl/>
        </w:rPr>
        <w:t>"מ</w:t>
      </w:r>
      <w:r w:rsidRPr="00183279">
        <w:rPr>
          <w:rFonts w:cs="Arial"/>
          <w:sz w:val="18"/>
          <w:szCs w:val="18"/>
          <w:rtl/>
        </w:rPr>
        <w:t xml:space="preserve"> פכ"ב דאישות). וי"א דאם היא נושאת ונותנת תוך הבית, הבעל נאמן וצריך להחזיר לו בלא דמים</w:t>
      </w:r>
      <w:r>
        <w:rPr>
          <w:rStyle w:val="a7"/>
          <w:rFonts w:cs="Arial"/>
          <w:sz w:val="18"/>
          <w:szCs w:val="18"/>
          <w:rtl/>
        </w:rPr>
        <w:footnoteReference w:id="1825"/>
      </w:r>
      <w:r w:rsidRPr="00183279">
        <w:rPr>
          <w:rFonts w:cs="Arial"/>
          <w:sz w:val="18"/>
          <w:szCs w:val="18"/>
          <w:rtl/>
        </w:rPr>
        <w:t xml:space="preserve"> (רי</w:t>
      </w:r>
      <w:r>
        <w:rPr>
          <w:rFonts w:cs="Arial" w:hint="cs"/>
          <w:sz w:val="18"/>
          <w:szCs w:val="18"/>
          <w:rtl/>
        </w:rPr>
        <w:t>"ו</w:t>
      </w:r>
      <w:r w:rsidRPr="00183279">
        <w:rPr>
          <w:rFonts w:cs="Arial"/>
          <w:sz w:val="18"/>
          <w:szCs w:val="18"/>
          <w:rtl/>
        </w:rPr>
        <w:t xml:space="preserve"> נכ"ב). ונ"ל דוקא בשאין דרכה למשכן או למכור בלא רשות בעלה, אבל אם דרכה בכך, מה שעשתה עשוי</w:t>
      </w:r>
      <w:r>
        <w:rPr>
          <w:rStyle w:val="a7"/>
          <w:rFonts w:cs="Arial"/>
          <w:sz w:val="18"/>
          <w:szCs w:val="18"/>
          <w:rtl/>
        </w:rPr>
        <w:footnoteReference w:id="1826"/>
      </w:r>
      <w:r>
        <w:rPr>
          <w:rFonts w:cs="Arial" w:hint="cs"/>
          <w:sz w:val="18"/>
          <w:szCs w:val="18"/>
          <w:rtl/>
        </w:rPr>
        <w:t>.</w:t>
      </w:r>
      <w:r w:rsidRPr="00183279">
        <w:rPr>
          <w:rFonts w:cs="Arial"/>
          <w:sz w:val="18"/>
          <w:szCs w:val="18"/>
          <w:rtl/>
        </w:rPr>
        <w:t xml:space="preserve"> וכן נראה להורות, וע"ל סימן צ'.</w:t>
      </w:r>
    </w:p>
    <w:p w14:paraId="17592F58" w14:textId="77777777" w:rsidR="002E5BAD" w:rsidRDefault="002E5BAD" w:rsidP="002E5BAD">
      <w:pPr>
        <w:pStyle w:val="1"/>
        <w:rPr>
          <w:rtl/>
        </w:rPr>
      </w:pPr>
      <w:r>
        <w:rPr>
          <w:rFonts w:hint="cs"/>
          <w:rtl/>
        </w:rPr>
        <w:lastRenderedPageBreak/>
        <w:t>סימן פז:</w:t>
      </w:r>
      <w:r w:rsidRPr="00C12B74">
        <w:rPr>
          <w:rtl/>
        </w:rPr>
        <w:t xml:space="preserve"> </w:t>
      </w:r>
      <w:r>
        <w:rPr>
          <w:rFonts w:cs="Arial"/>
          <w:rtl/>
        </w:rPr>
        <w:t xml:space="preserve">שאין חזקה בנכסי אשת איש, ובו ב' סעיפים. </w:t>
      </w:r>
    </w:p>
    <w:p w14:paraId="5379F16C" w14:textId="77777777" w:rsidR="002E5BAD" w:rsidRDefault="002E5BAD" w:rsidP="002E5BAD">
      <w:pPr>
        <w:pStyle w:val="2"/>
        <w:rPr>
          <w:rtl/>
        </w:rPr>
      </w:pPr>
      <w:r>
        <w:rPr>
          <w:rtl/>
        </w:rPr>
        <w:t>סעיף א</w:t>
      </w:r>
      <w:r>
        <w:rPr>
          <w:rFonts w:hint="cs"/>
          <w:rtl/>
        </w:rPr>
        <w:t>: חזקה לאיש בנכסי אשתו.</w:t>
      </w:r>
    </w:p>
    <w:p w14:paraId="082FADC1" w14:textId="77777777" w:rsidR="002E5BAD" w:rsidRDefault="002E5BAD" w:rsidP="002E5BAD">
      <w:pPr>
        <w:rPr>
          <w:rtl/>
        </w:rPr>
      </w:pPr>
      <w:r w:rsidRPr="00313567">
        <w:rPr>
          <w:rFonts w:cs="Arial" w:hint="cs"/>
          <w:b/>
          <w:bCs/>
          <w:rtl/>
        </w:rPr>
        <w:t xml:space="preserve">בבא בתרא </w:t>
      </w:r>
      <w:r>
        <w:rPr>
          <w:rFonts w:cs="Arial" w:hint="cs"/>
          <w:b/>
          <w:bCs/>
          <w:sz w:val="16"/>
          <w:szCs w:val="16"/>
          <w:rtl/>
        </w:rPr>
        <w:t xml:space="preserve">(פ' חזקת) </w:t>
      </w:r>
      <w:r w:rsidRPr="00313567">
        <w:rPr>
          <w:rFonts w:cs="Arial" w:hint="cs"/>
          <w:b/>
          <w:bCs/>
          <w:rtl/>
        </w:rPr>
        <w:t>מב ע"א:</w:t>
      </w:r>
      <w:r>
        <w:rPr>
          <w:rFonts w:cs="Arial" w:hint="cs"/>
          <w:rtl/>
        </w:rPr>
        <w:t xml:space="preserve"> </w:t>
      </w:r>
      <w:r w:rsidRPr="00313567">
        <w:rPr>
          <w:rFonts w:cs="Arial" w:hint="cs"/>
          <w:u w:val="double"/>
          <w:rtl/>
        </w:rPr>
        <w:t>מתני'</w:t>
      </w:r>
      <w:r>
        <w:rPr>
          <w:rFonts w:cs="Arial" w:hint="cs"/>
          <w:rtl/>
        </w:rPr>
        <w:t xml:space="preserve">:... </w:t>
      </w:r>
      <w:r w:rsidRPr="00313567">
        <w:rPr>
          <w:rFonts w:cs="Arial"/>
          <w:rtl/>
        </w:rPr>
        <w:t>לא לאיש חזקה בנכסי אשתו</w:t>
      </w:r>
      <w:r>
        <w:rPr>
          <w:rStyle w:val="a7"/>
          <w:rFonts w:cs="Arial"/>
          <w:rtl/>
        </w:rPr>
        <w:footnoteReference w:id="1827"/>
      </w:r>
      <w:r w:rsidRPr="00313567">
        <w:rPr>
          <w:rFonts w:cs="Arial"/>
          <w:rtl/>
        </w:rPr>
        <w:t>, ולא לאשה חזקה בנכסי בעלה</w:t>
      </w:r>
      <w:r>
        <w:rPr>
          <w:rFonts w:hint="cs"/>
          <w:rtl/>
        </w:rPr>
        <w:t xml:space="preserve">...    </w:t>
      </w:r>
      <w:r w:rsidRPr="00943054">
        <w:rPr>
          <w:rtl/>
        </w:rPr>
        <w:t xml:space="preserve"> </w:t>
      </w:r>
      <w:r w:rsidRPr="00943054">
        <w:rPr>
          <w:rFonts w:cs="Arial" w:hint="cs"/>
          <w:u w:val="double"/>
          <w:rtl/>
        </w:rPr>
        <w:t>גמ'</w:t>
      </w:r>
      <w:r>
        <w:rPr>
          <w:rFonts w:cs="Arial" w:hint="cs"/>
          <w:sz w:val="14"/>
          <w:szCs w:val="14"/>
          <w:u w:val="double"/>
          <w:rtl/>
        </w:rPr>
        <w:t>(מט.)</w:t>
      </w:r>
      <w:r w:rsidRPr="00943054">
        <w:rPr>
          <w:rFonts w:cs="Arial" w:hint="cs"/>
          <w:u w:val="double"/>
          <w:rtl/>
        </w:rPr>
        <w:t>:</w:t>
      </w:r>
      <w:r>
        <w:rPr>
          <w:rFonts w:cs="Arial" w:hint="cs"/>
          <w:rtl/>
        </w:rPr>
        <w:t xml:space="preserve"> </w:t>
      </w:r>
      <w:r w:rsidRPr="00943054">
        <w:rPr>
          <w:rFonts w:cs="Arial"/>
          <w:rtl/>
        </w:rPr>
        <w:t>ולא לאיש חזקה בנכסי אשתו וכו'. פשיטא</w:t>
      </w:r>
      <w:r>
        <w:rPr>
          <w:rStyle w:val="a7"/>
          <w:rFonts w:cs="Arial"/>
          <w:rtl/>
        </w:rPr>
        <w:footnoteReference w:id="1828"/>
      </w:r>
      <w:r w:rsidRPr="00943054">
        <w:rPr>
          <w:rFonts w:cs="Arial"/>
          <w:rtl/>
        </w:rPr>
        <w:t>, כיון דאית ליה לפירא</w:t>
      </w:r>
      <w:r>
        <w:rPr>
          <w:rStyle w:val="a7"/>
          <w:rFonts w:cs="Arial"/>
          <w:rtl/>
        </w:rPr>
        <w:footnoteReference w:id="1829"/>
      </w:r>
      <w:r w:rsidRPr="00943054">
        <w:rPr>
          <w:rFonts w:cs="Arial"/>
          <w:rtl/>
        </w:rPr>
        <w:t xml:space="preserve"> - פירא הוא דקאכיל! לא צריכא, דכתב לה: דין ודברים אין לי</w:t>
      </w:r>
      <w:r>
        <w:rPr>
          <w:rStyle w:val="a7"/>
          <w:rFonts w:cs="Arial"/>
          <w:rtl/>
        </w:rPr>
        <w:footnoteReference w:id="1830"/>
      </w:r>
      <w:r w:rsidRPr="00943054">
        <w:rPr>
          <w:rFonts w:cs="Arial"/>
          <w:rtl/>
        </w:rPr>
        <w:t xml:space="preserve"> בנכסייך. וכי כתב לה מאי הוי? והתניא, האומר לחבירו: דין ודברים אין לי על שדה זו ואין לי עסק בה וידי מסולקות ממנה - לא אמר כלום</w:t>
      </w:r>
      <w:r>
        <w:rPr>
          <w:rStyle w:val="a7"/>
          <w:rFonts w:cs="Arial"/>
          <w:rtl/>
        </w:rPr>
        <w:footnoteReference w:id="1831"/>
      </w:r>
      <w:r w:rsidRPr="00943054">
        <w:rPr>
          <w:rFonts w:cs="Arial"/>
          <w:rtl/>
        </w:rPr>
        <w:t xml:space="preserve">! </w:t>
      </w:r>
      <w:r w:rsidRPr="000255C3">
        <w:rPr>
          <w:rFonts w:cs="Arial"/>
          <w:u w:val="single"/>
          <w:rtl/>
        </w:rPr>
        <w:t>אמרי לה דבי רבי ינאי</w:t>
      </w:r>
      <w:r w:rsidRPr="00943054">
        <w:rPr>
          <w:rFonts w:cs="Arial"/>
          <w:rtl/>
        </w:rPr>
        <w:t>: מתניתין - בכותב לה</w:t>
      </w:r>
      <w:r>
        <w:rPr>
          <w:rStyle w:val="a7"/>
          <w:rFonts w:cs="Arial"/>
          <w:rtl/>
        </w:rPr>
        <w:footnoteReference w:id="1832"/>
      </w:r>
      <w:r w:rsidRPr="00943054">
        <w:rPr>
          <w:rFonts w:cs="Arial"/>
          <w:rtl/>
        </w:rPr>
        <w:t xml:space="preserve"> ועודה ארוסה</w:t>
      </w:r>
      <w:r>
        <w:rPr>
          <w:rStyle w:val="a7"/>
          <w:rFonts w:cs="Arial"/>
          <w:rtl/>
        </w:rPr>
        <w:footnoteReference w:id="1833"/>
      </w:r>
      <w:r w:rsidRPr="00943054">
        <w:rPr>
          <w:rFonts w:cs="Arial"/>
          <w:rtl/>
        </w:rPr>
        <w:t xml:space="preserve">, וכדרב כהנא, </w:t>
      </w:r>
      <w:r w:rsidRPr="000255C3">
        <w:rPr>
          <w:rFonts w:cs="Arial"/>
          <w:u w:val="single"/>
          <w:rtl/>
        </w:rPr>
        <w:t>דאמר רב כהנא</w:t>
      </w:r>
      <w:r w:rsidRPr="00943054">
        <w:rPr>
          <w:rFonts w:cs="Arial"/>
          <w:rtl/>
        </w:rPr>
        <w:t>:</w:t>
      </w:r>
      <w:r w:rsidRPr="000255C3">
        <w:rPr>
          <w:rtl/>
        </w:rPr>
        <w:t xml:space="preserve"> </w:t>
      </w:r>
      <w:r>
        <w:rPr>
          <w:rFonts w:hint="cs"/>
          <w:sz w:val="14"/>
          <w:szCs w:val="14"/>
          <w:rtl/>
        </w:rPr>
        <w:t xml:space="preserve">(מט:) </w:t>
      </w:r>
      <w:r w:rsidRPr="000255C3">
        <w:rPr>
          <w:rFonts w:cs="Arial"/>
          <w:rtl/>
        </w:rPr>
        <w:t>נחלה הבאה לו</w:t>
      </w:r>
      <w:r>
        <w:rPr>
          <w:rStyle w:val="a7"/>
          <w:rFonts w:cs="Arial"/>
          <w:rtl/>
        </w:rPr>
        <w:footnoteReference w:id="1834"/>
      </w:r>
      <w:r w:rsidRPr="000255C3">
        <w:rPr>
          <w:rFonts w:cs="Arial"/>
          <w:rtl/>
        </w:rPr>
        <w:t xml:space="preserve"> לאדם ממקום אחר - אדם מתנה עליה שלא יירשנה, וכדרבא</w:t>
      </w:r>
      <w:r>
        <w:rPr>
          <w:rStyle w:val="a7"/>
          <w:rFonts w:cs="Arial"/>
          <w:rtl/>
        </w:rPr>
        <w:footnoteReference w:id="1835"/>
      </w:r>
      <w:r w:rsidRPr="000255C3">
        <w:rPr>
          <w:rFonts w:cs="Arial"/>
          <w:rtl/>
        </w:rPr>
        <w:t xml:space="preserve">, </w:t>
      </w:r>
      <w:r w:rsidRPr="000255C3">
        <w:rPr>
          <w:rFonts w:cs="Arial"/>
          <w:u w:val="single"/>
          <w:rtl/>
        </w:rPr>
        <w:t>דאמר רבא</w:t>
      </w:r>
      <w:r w:rsidRPr="000255C3">
        <w:rPr>
          <w:rFonts w:cs="Arial"/>
          <w:rtl/>
        </w:rPr>
        <w:t>: כל האומר אי אפשי בתקנת חכמים</w:t>
      </w:r>
      <w:r>
        <w:rPr>
          <w:rStyle w:val="a7"/>
          <w:rFonts w:cs="Arial"/>
          <w:rtl/>
        </w:rPr>
        <w:footnoteReference w:id="1836"/>
      </w:r>
      <w:r w:rsidRPr="000255C3">
        <w:rPr>
          <w:rFonts w:cs="Arial"/>
          <w:rtl/>
        </w:rPr>
        <w:t xml:space="preserve"> כגון זאת - שומעין לו. מאי כגון זאת? כדרב הונא אמר רב, </w:t>
      </w:r>
      <w:r w:rsidRPr="000255C3">
        <w:rPr>
          <w:rFonts w:cs="Arial"/>
          <w:u w:val="single"/>
          <w:rtl/>
        </w:rPr>
        <w:t>דאמר רב הונא אמר רב</w:t>
      </w:r>
      <w:r w:rsidRPr="000255C3">
        <w:rPr>
          <w:rFonts w:cs="Arial"/>
          <w:rtl/>
        </w:rPr>
        <w:t>: יכולה אשה שתאמר לבעלה איני ניזונת ואיני עושה</w:t>
      </w:r>
      <w:r>
        <w:rPr>
          <w:rStyle w:val="a7"/>
          <w:rFonts w:cs="Arial"/>
          <w:rtl/>
        </w:rPr>
        <w:footnoteReference w:id="1837"/>
      </w:r>
      <w:r w:rsidRPr="000255C3">
        <w:rPr>
          <w:rFonts w:cs="Arial"/>
          <w:rtl/>
        </w:rPr>
        <w:t>.</w:t>
      </w:r>
      <w:r w:rsidRPr="000255C3">
        <w:rPr>
          <w:rtl/>
        </w:rPr>
        <w:t xml:space="preserve"> </w:t>
      </w:r>
      <w:r w:rsidRPr="000255C3">
        <w:rPr>
          <w:rFonts w:cs="Arial"/>
          <w:rtl/>
        </w:rPr>
        <w:t>הא ראיה יש</w:t>
      </w:r>
      <w:r>
        <w:rPr>
          <w:rStyle w:val="a7"/>
          <w:rFonts w:cs="Arial"/>
          <w:rtl/>
        </w:rPr>
        <w:footnoteReference w:id="1838"/>
      </w:r>
      <w:r w:rsidRPr="000255C3">
        <w:rPr>
          <w:rFonts w:cs="Arial"/>
          <w:rtl/>
        </w:rPr>
        <w:t>, תימא: נחת רוח עשיתי לבעלי</w:t>
      </w:r>
      <w:r>
        <w:rPr>
          <w:rStyle w:val="a7"/>
          <w:rFonts w:cs="Arial"/>
          <w:rtl/>
        </w:rPr>
        <w:footnoteReference w:id="1839"/>
      </w:r>
      <w:r w:rsidRPr="000255C3">
        <w:rPr>
          <w:rFonts w:cs="Arial"/>
          <w:rtl/>
        </w:rPr>
        <w:t>! מי לא תנן</w:t>
      </w:r>
      <w:r>
        <w:rPr>
          <w:rStyle w:val="a7"/>
          <w:rFonts w:cs="Arial"/>
          <w:rtl/>
        </w:rPr>
        <w:footnoteReference w:id="1840"/>
      </w:r>
      <w:r w:rsidRPr="000255C3">
        <w:rPr>
          <w:rFonts w:cs="Arial"/>
          <w:rtl/>
        </w:rPr>
        <w:t>: לקח מן האיש</w:t>
      </w:r>
      <w:r>
        <w:rPr>
          <w:rStyle w:val="a7"/>
          <w:rFonts w:cs="Arial"/>
          <w:rtl/>
        </w:rPr>
        <w:footnoteReference w:id="1841"/>
      </w:r>
      <w:r w:rsidRPr="000255C3">
        <w:rPr>
          <w:rFonts w:cs="Arial"/>
          <w:rtl/>
        </w:rPr>
        <w:t xml:space="preserve"> וחזר</w:t>
      </w:r>
      <w:r>
        <w:rPr>
          <w:rStyle w:val="a7"/>
          <w:rFonts w:cs="Arial"/>
          <w:rtl/>
        </w:rPr>
        <w:footnoteReference w:id="1842"/>
      </w:r>
      <w:r w:rsidRPr="000255C3">
        <w:rPr>
          <w:rFonts w:cs="Arial"/>
          <w:rtl/>
        </w:rPr>
        <w:t xml:space="preserve"> ולקח מן האשה - מקחו בטל</w:t>
      </w:r>
      <w:r>
        <w:rPr>
          <w:rStyle w:val="a7"/>
          <w:rFonts w:cs="Arial"/>
          <w:rtl/>
        </w:rPr>
        <w:footnoteReference w:id="1843"/>
      </w:r>
      <w:r w:rsidRPr="000255C3">
        <w:rPr>
          <w:rFonts w:cs="Arial"/>
          <w:rtl/>
        </w:rPr>
        <w:t>, אלמא אמרה: נחת רוח עשיתי לבעלי, הכא נמי תימא: נחת רוח עשיתי לבעלי! הא איתמר עלה</w:t>
      </w:r>
      <w:r>
        <w:rPr>
          <w:rStyle w:val="a7"/>
          <w:rFonts w:cs="Arial"/>
          <w:rtl/>
        </w:rPr>
        <w:footnoteReference w:id="1844"/>
      </w:r>
      <w:r w:rsidRPr="000255C3">
        <w:rPr>
          <w:rFonts w:cs="Arial"/>
          <w:rtl/>
        </w:rPr>
        <w:t xml:space="preserve">, </w:t>
      </w:r>
      <w:r w:rsidRPr="007B7C0D">
        <w:rPr>
          <w:rFonts w:cs="Arial"/>
          <w:u w:val="single"/>
          <w:rtl/>
        </w:rPr>
        <w:t>אמר רבה בר רב הונא</w:t>
      </w:r>
      <w:r w:rsidRPr="000255C3">
        <w:rPr>
          <w:rFonts w:cs="Arial"/>
          <w:rtl/>
        </w:rPr>
        <w:t>: לא נצרכה אלא באותן ג' שדות, אחת שכתב לה בכתובתה,</w:t>
      </w:r>
      <w:r w:rsidRPr="00184FB4">
        <w:rPr>
          <w:rtl/>
        </w:rPr>
        <w:t xml:space="preserve"> </w:t>
      </w:r>
      <w:r>
        <w:rPr>
          <w:rFonts w:hint="cs"/>
          <w:sz w:val="14"/>
          <w:szCs w:val="14"/>
          <w:rtl/>
        </w:rPr>
        <w:t xml:space="preserve">(נ.) </w:t>
      </w:r>
      <w:r w:rsidRPr="00184FB4">
        <w:rPr>
          <w:rFonts w:cs="Arial"/>
          <w:rtl/>
        </w:rPr>
        <w:t>ואחת שיחד לה בכתובתה, ואחת שהכניסה לו שום משלה. למעוטי מאי? אילימא למעוטי שאר נכסים, כל שכן דהויא ליה איבה, דאמר לה: עיניך נתת בגירושין ובמיתה! אלא למעוטי נכסי מלוג, האמר אמימר: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דאמר רבי יוסי בר חנינא: באושא התקינו, האשה שמכרה בנכסי מלוג ומתה - הבעל מוצא מיד הלקוחות</w:t>
      </w:r>
      <w:r>
        <w:rPr>
          <w:rFonts w:cs="Arial" w:hint="cs"/>
          <w:rtl/>
        </w:rPr>
        <w:t>.</w:t>
      </w:r>
      <w:r w:rsidRPr="00184FB4">
        <w:rPr>
          <w:rFonts w:cs="Arial"/>
          <w:rtl/>
        </w:rPr>
        <w:t xml:space="preserve"> אבל היכא דזבינו תרוייהו לעלמא</w:t>
      </w:r>
      <w:r>
        <w:rPr>
          <w:rStyle w:val="a7"/>
          <w:rFonts w:cs="Arial"/>
          <w:rtl/>
        </w:rPr>
        <w:footnoteReference w:id="1845"/>
      </w:r>
      <w:r w:rsidRPr="00184FB4">
        <w:rPr>
          <w:rFonts w:cs="Arial"/>
          <w:rtl/>
        </w:rPr>
        <w:t xml:space="preserve">, א"נ זבנה איהי לדידיה - </w:t>
      </w:r>
      <w:r w:rsidRPr="00184FB4">
        <w:rPr>
          <w:rFonts w:cs="Arial"/>
          <w:rtl/>
        </w:rPr>
        <w:lastRenderedPageBreak/>
        <w:t>זבינה זביני</w:t>
      </w:r>
      <w:r>
        <w:rPr>
          <w:rStyle w:val="a7"/>
          <w:rFonts w:cs="Arial"/>
          <w:rtl/>
        </w:rPr>
        <w:footnoteReference w:id="1846"/>
      </w:r>
      <w:r w:rsidRPr="00184FB4">
        <w:rPr>
          <w:rFonts w:cs="Arial"/>
          <w:rtl/>
        </w:rPr>
        <w:t>.</w:t>
      </w:r>
      <w:r>
        <w:rPr>
          <w:rFonts w:cs="Arial" w:hint="cs"/>
          <w:sz w:val="16"/>
          <w:szCs w:val="16"/>
          <w:rtl/>
        </w:rPr>
        <w:t xml:space="preserve"> </w:t>
      </w:r>
      <w:r w:rsidRPr="00A0641E">
        <w:rPr>
          <w:rFonts w:cs="Arial" w:hint="cs"/>
          <w:sz w:val="16"/>
          <w:szCs w:val="16"/>
          <w:rtl/>
        </w:rPr>
        <w:t>(</w:t>
      </w:r>
      <w:r w:rsidRPr="00A0641E">
        <w:rPr>
          <w:rFonts w:cs="Arial"/>
          <w:sz w:val="16"/>
          <w:szCs w:val="16"/>
          <w:rtl/>
        </w:rPr>
        <w:t>וכתב הרא"ש (סי' נג) זבינייהו זביני ולא יכלה למימר נחת רוח עשיתי לבעלי אבל כל נכסי הבעל בין נכסי צאן ברזל בין שאר נכסי הבעל אם לקח מן האיש וחזר ולקח מן האשה בכולהו מציא למימר נחת רוח עשיתי לבעלי עכ"ל. ודברים אלו כתב הרמב"ם בפכ"ב מהלכות אישות (הל' טו - יט)</w:t>
      </w:r>
      <w:r>
        <w:rPr>
          <w:rFonts w:cs="Arial" w:hint="cs"/>
          <w:sz w:val="16"/>
          <w:szCs w:val="16"/>
          <w:rtl/>
        </w:rPr>
        <w:t>, ב"י)</w:t>
      </w:r>
    </w:p>
    <w:p w14:paraId="28297FB6" w14:textId="77777777" w:rsidR="002E5BAD" w:rsidRPr="00943054" w:rsidRDefault="002E5BAD" w:rsidP="002E5BAD">
      <w:pPr>
        <w:rPr>
          <w:u w:val="single"/>
          <w:rtl/>
        </w:rPr>
      </w:pPr>
      <w:r>
        <w:rPr>
          <w:rFonts w:hint="cs"/>
          <w:u w:val="single"/>
          <w:rtl/>
        </w:rPr>
        <w:t>איש שטוען שאשתו מכרה לו קרקע מלוג שלה, ויש לו ג' שני חזקה של אכילת פירות</w:t>
      </w:r>
      <w:r w:rsidRPr="00943054">
        <w:rPr>
          <w:rFonts w:hint="cs"/>
          <w:u w:val="single"/>
          <w:rtl/>
        </w:rPr>
        <w:t>:</w:t>
      </w:r>
    </w:p>
    <w:p w14:paraId="5B151E3D" w14:textId="77777777" w:rsidR="002E5BAD" w:rsidRPr="00AE0367" w:rsidRDefault="002E5BAD" w:rsidP="002E5BAD">
      <w:pPr>
        <w:pStyle w:val="ab"/>
        <w:numPr>
          <w:ilvl w:val="0"/>
          <w:numId w:val="182"/>
        </w:numPr>
      </w:pPr>
      <w:r w:rsidRPr="00AE16D0">
        <w:rPr>
          <w:rFonts w:cs="Arial" w:hint="cs"/>
          <w:rtl/>
        </w:rPr>
        <w:t xml:space="preserve">טור- </w:t>
      </w:r>
      <w:r w:rsidRPr="00AE16D0">
        <w:rPr>
          <w:rFonts w:cs="Arial"/>
          <w:rtl/>
        </w:rPr>
        <w:t>אין לאיש חזקה בנכסי אשתו</w:t>
      </w:r>
      <w:r>
        <w:rPr>
          <w:rFonts w:cs="Arial" w:hint="cs"/>
          <w:rtl/>
        </w:rPr>
        <w:t>.</w:t>
      </w:r>
      <w:r w:rsidRPr="00AE16D0">
        <w:rPr>
          <w:rFonts w:cs="Arial"/>
          <w:rtl/>
        </w:rPr>
        <w:t xml:space="preserve"> אם טוען שמכרה לו מ</w:t>
      </w:r>
      <w:r>
        <w:rPr>
          <w:rFonts w:cs="Arial"/>
          <w:rtl/>
        </w:rPr>
        <w:t>נכסי מלוג</w:t>
      </w:r>
      <w:r w:rsidRPr="00AE16D0">
        <w:rPr>
          <w:rFonts w:cs="Arial"/>
          <w:rtl/>
        </w:rPr>
        <w:t xml:space="preserve"> שלה</w:t>
      </w:r>
      <w:r>
        <w:rPr>
          <w:rFonts w:cs="Arial" w:hint="cs"/>
          <w:rtl/>
        </w:rPr>
        <w:t>,</w:t>
      </w:r>
      <w:r w:rsidRPr="00AE16D0">
        <w:rPr>
          <w:rFonts w:cs="Arial"/>
          <w:rtl/>
        </w:rPr>
        <w:t xml:space="preserve"> ואין לו שטר ואין לו עדים אלא שבא בטענת חזקה שאכל הפירות ג' שנים</w:t>
      </w:r>
      <w:r>
        <w:rPr>
          <w:rFonts w:cs="Arial" w:hint="cs"/>
          <w:rtl/>
        </w:rPr>
        <w:t>,</w:t>
      </w:r>
      <w:r w:rsidRPr="00AE16D0">
        <w:rPr>
          <w:rFonts w:cs="Arial"/>
          <w:rtl/>
        </w:rPr>
        <w:t xml:space="preserve"> אפי' סילק עצמו מפירותיה שכתב לה דין ודברים אין לי בהם דמהני כדלקמן</w:t>
      </w:r>
      <w:r>
        <w:rPr>
          <w:rFonts w:cs="Arial" w:hint="cs"/>
          <w:rtl/>
        </w:rPr>
        <w:t xml:space="preserve"> </w:t>
      </w:r>
      <w:r>
        <w:rPr>
          <w:rFonts w:cs="Arial"/>
          <w:rtl/>
        </w:rPr>
        <w:t>(סי' צב)</w:t>
      </w:r>
      <w:r>
        <w:rPr>
          <w:rFonts w:cs="Arial" w:hint="cs"/>
          <w:rtl/>
        </w:rPr>
        <w:t>,</w:t>
      </w:r>
      <w:r w:rsidRPr="00AE16D0">
        <w:rPr>
          <w:rFonts w:cs="Arial"/>
          <w:rtl/>
        </w:rPr>
        <w:t xml:space="preserve"> אפ"ה </w:t>
      </w:r>
      <w:r>
        <w:rPr>
          <w:rFonts w:cs="Arial"/>
          <w:rtl/>
        </w:rPr>
        <w:t>–</w:t>
      </w:r>
      <w:r>
        <w:rPr>
          <w:rFonts w:cs="Arial" w:hint="cs"/>
          <w:rtl/>
        </w:rPr>
        <w:t xml:space="preserve"> </w:t>
      </w:r>
      <w:r w:rsidRPr="00AE16D0">
        <w:rPr>
          <w:rFonts w:cs="Arial"/>
          <w:rtl/>
        </w:rPr>
        <w:t>אינה חזקה</w:t>
      </w:r>
      <w:r>
        <w:rPr>
          <w:rFonts w:cs="Arial" w:hint="cs"/>
          <w:rtl/>
        </w:rPr>
        <w:t>,</w:t>
      </w:r>
      <w:r w:rsidRPr="00AE16D0">
        <w:rPr>
          <w:rFonts w:cs="Arial"/>
          <w:rtl/>
        </w:rPr>
        <w:t xml:space="preserve"> שאינה חוששת למחות בו</w:t>
      </w:r>
      <w:r>
        <w:rPr>
          <w:rFonts w:cs="Arial" w:hint="cs"/>
          <w:rtl/>
        </w:rPr>
        <w:t>.</w:t>
      </w:r>
      <w:r w:rsidRPr="00AE16D0">
        <w:rPr>
          <w:rFonts w:cs="Arial"/>
          <w:rtl/>
        </w:rPr>
        <w:t xml:space="preserve"> </w:t>
      </w:r>
      <w:r w:rsidRPr="00A6197B">
        <w:rPr>
          <w:rFonts w:hint="cs"/>
          <w:color w:val="E36C0A" w:themeColor="accent6" w:themeShade="BF"/>
          <w:rtl/>
        </w:rPr>
        <w:t>(וכ"פ בשו"ע</w:t>
      </w:r>
      <w:r w:rsidRPr="000B5E6F">
        <w:rPr>
          <w:rFonts w:hint="cs"/>
          <w:color w:val="000000" w:themeColor="text1"/>
          <w:sz w:val="16"/>
          <w:szCs w:val="16"/>
          <w:rtl/>
        </w:rPr>
        <w:t xml:space="preserve"> [כאן ובחו"מ סי' קמט ס"ט]</w:t>
      </w:r>
      <w:r w:rsidRPr="00A6197B">
        <w:rPr>
          <w:rFonts w:hint="cs"/>
          <w:color w:val="E36C0A" w:themeColor="accent6" w:themeShade="BF"/>
          <w:rtl/>
        </w:rPr>
        <w:t>)</w:t>
      </w:r>
    </w:p>
    <w:p w14:paraId="5436020B" w14:textId="77777777" w:rsidR="002E5BAD" w:rsidRPr="00AE0367" w:rsidRDefault="002E5BAD" w:rsidP="002E5BAD">
      <w:pPr>
        <w:ind w:left="360"/>
        <w:rPr>
          <w:u w:val="dotted"/>
        </w:rPr>
      </w:pPr>
      <w:r w:rsidRPr="00AE0367">
        <w:rPr>
          <w:rFonts w:hint="cs"/>
          <w:u w:val="dotted"/>
          <w:rtl/>
        </w:rPr>
        <w:t>ומה הדין אם יש לו עדים שמכרה לו:</w:t>
      </w:r>
    </w:p>
    <w:p w14:paraId="36F951D0" w14:textId="77777777" w:rsidR="002E5BAD" w:rsidRDefault="002E5BAD" w:rsidP="002E5BAD">
      <w:pPr>
        <w:pStyle w:val="ab"/>
        <w:numPr>
          <w:ilvl w:val="0"/>
          <w:numId w:val="182"/>
        </w:numPr>
      </w:pPr>
      <w:r>
        <w:rPr>
          <w:rFonts w:cs="Arial" w:hint="cs"/>
          <w:rtl/>
        </w:rPr>
        <w:t xml:space="preserve">טור- </w:t>
      </w:r>
      <w:r w:rsidRPr="00AE16D0">
        <w:rPr>
          <w:rFonts w:cs="Arial"/>
          <w:rtl/>
        </w:rPr>
        <w:t xml:space="preserve">אבל אם יש עדים שמכרה לו </w:t>
      </w:r>
      <w:r>
        <w:rPr>
          <w:rFonts w:cs="Arial"/>
          <w:rtl/>
        </w:rPr>
        <w:t>–</w:t>
      </w:r>
      <w:r>
        <w:rPr>
          <w:rFonts w:cs="Arial" w:hint="cs"/>
          <w:rtl/>
        </w:rPr>
        <w:t xml:space="preserve"> </w:t>
      </w:r>
      <w:r w:rsidRPr="00AE16D0">
        <w:rPr>
          <w:rFonts w:cs="Arial"/>
          <w:rtl/>
        </w:rPr>
        <w:t>מהני</w:t>
      </w:r>
      <w:r>
        <w:rPr>
          <w:rFonts w:cs="Arial" w:hint="cs"/>
          <w:rtl/>
        </w:rPr>
        <w:t>,</w:t>
      </w:r>
      <w:r w:rsidRPr="00AE16D0">
        <w:rPr>
          <w:rFonts w:cs="Arial"/>
          <w:rtl/>
        </w:rPr>
        <w:t xml:space="preserve"> ודוקא ב</w:t>
      </w:r>
      <w:r>
        <w:rPr>
          <w:rFonts w:cs="Arial"/>
          <w:rtl/>
        </w:rPr>
        <w:t>נכסי מלוג</w:t>
      </w:r>
      <w:r w:rsidRPr="00AE16D0">
        <w:rPr>
          <w:rFonts w:cs="Arial"/>
          <w:rtl/>
        </w:rPr>
        <w:t xml:space="preserve"> אבל לא בנכסי צאן ברזל ולא בשאר נכסים כדלקמן</w:t>
      </w:r>
      <w:r>
        <w:rPr>
          <w:rFonts w:cs="Arial" w:hint="cs"/>
          <w:rtl/>
        </w:rPr>
        <w:t xml:space="preserve"> </w:t>
      </w:r>
      <w:r>
        <w:rPr>
          <w:rFonts w:cs="Arial"/>
          <w:rtl/>
        </w:rPr>
        <w:t>(סי' צ</w:t>
      </w:r>
      <w:r>
        <w:rPr>
          <w:rFonts w:cs="Arial" w:hint="cs"/>
          <w:rtl/>
        </w:rPr>
        <w:t>).</w:t>
      </w:r>
      <w:r w:rsidRPr="00AE0367">
        <w:rPr>
          <w:rFonts w:cs="Arial"/>
          <w:color w:val="FF0000"/>
          <w:rtl/>
        </w:rPr>
        <w:t xml:space="preserve"> </w:t>
      </w:r>
    </w:p>
    <w:p w14:paraId="15C46F08" w14:textId="77777777" w:rsidR="002E5BAD" w:rsidRPr="006F5D70" w:rsidRDefault="002E5BAD" w:rsidP="002E5BAD">
      <w:pPr>
        <w:ind w:left="360"/>
      </w:pPr>
      <w:r w:rsidRPr="006F5D70">
        <w:rPr>
          <w:rFonts w:hint="cs"/>
          <w:u w:val="dotted"/>
          <w:rtl/>
        </w:rPr>
        <w:t xml:space="preserve">ומה הדין </w:t>
      </w:r>
      <w:r>
        <w:rPr>
          <w:rFonts w:hint="cs"/>
          <w:u w:val="dotted"/>
          <w:rtl/>
        </w:rPr>
        <w:t>אם טוען שהקרקע שלו מחמת חזקה אחרת</w:t>
      </w:r>
      <w:r w:rsidRPr="006F5D70">
        <w:rPr>
          <w:rFonts w:hint="cs"/>
          <w:u w:val="dotted"/>
          <w:rtl/>
        </w:rPr>
        <w:t>:</w:t>
      </w:r>
      <w:r>
        <w:rPr>
          <w:rFonts w:hint="cs"/>
          <w:sz w:val="16"/>
          <w:szCs w:val="16"/>
          <w:rtl/>
        </w:rPr>
        <w:t xml:space="preserve">  </w:t>
      </w:r>
      <w:r w:rsidRPr="006F5D70">
        <w:rPr>
          <w:rFonts w:hint="cs"/>
          <w:sz w:val="16"/>
          <w:szCs w:val="16"/>
          <w:rtl/>
        </w:rPr>
        <w:t>(דרכ"מ אות א)</w:t>
      </w:r>
    </w:p>
    <w:p w14:paraId="2BE450E9" w14:textId="77777777" w:rsidR="002E5BAD" w:rsidRPr="007F1954" w:rsidRDefault="002E5BAD" w:rsidP="002E5BAD">
      <w:pPr>
        <w:pStyle w:val="ab"/>
        <w:numPr>
          <w:ilvl w:val="0"/>
          <w:numId w:val="182"/>
        </w:numPr>
      </w:pPr>
      <w:r>
        <w:rPr>
          <w:rFonts w:cs="Arial" w:hint="cs"/>
          <w:rtl/>
        </w:rPr>
        <w:t xml:space="preserve">רי"ו </w:t>
      </w:r>
      <w:r w:rsidRPr="006F5D70">
        <w:rPr>
          <w:rFonts w:cs="Arial" w:hint="cs"/>
          <w:sz w:val="16"/>
          <w:szCs w:val="16"/>
          <w:rtl/>
        </w:rPr>
        <w:t>(</w:t>
      </w:r>
      <w:r w:rsidRPr="006F5D70">
        <w:rPr>
          <w:rFonts w:cs="Arial"/>
          <w:sz w:val="16"/>
          <w:szCs w:val="16"/>
          <w:rtl/>
        </w:rPr>
        <w:t>מישרים נכ"ג ח"ז נט ע"א</w:t>
      </w:r>
      <w:r>
        <w:rPr>
          <w:rFonts w:cs="Arial" w:hint="cs"/>
          <w:sz w:val="16"/>
          <w:szCs w:val="16"/>
          <w:rtl/>
        </w:rPr>
        <w:t>, הב"י שלח לעיין בדבריו</w:t>
      </w:r>
      <w:r w:rsidRPr="006F5D70">
        <w:rPr>
          <w:rFonts w:cs="Arial"/>
          <w:sz w:val="16"/>
          <w:szCs w:val="16"/>
          <w:rtl/>
        </w:rPr>
        <w:t>)</w:t>
      </w:r>
      <w:r>
        <w:rPr>
          <w:rFonts w:cs="Arial" w:hint="cs"/>
          <w:rtl/>
        </w:rPr>
        <w:t>-</w:t>
      </w:r>
      <w:r w:rsidRPr="00AE16D0">
        <w:rPr>
          <w:rFonts w:cs="Arial"/>
          <w:rtl/>
        </w:rPr>
        <w:t xml:space="preserve"> דוקא בדבר שצריך לטעון אתה מכרת לי או נתת לי אבל בדבר שאינו צריך לטענה זו כגון פתיחת חלונות או נזקין שאינם תדירין וכיוצא בהן יש לאיש חזקה בנכסי אשתו כמו אחר בנכסי חביר</w:t>
      </w:r>
      <w:r>
        <w:rPr>
          <w:rFonts w:cs="Arial" w:hint="cs"/>
          <w:rtl/>
        </w:rPr>
        <w:t>ו</w:t>
      </w:r>
      <w:r>
        <w:rPr>
          <w:rStyle w:val="a7"/>
          <w:rFonts w:cs="Arial"/>
          <w:rtl/>
        </w:rPr>
        <w:footnoteReference w:id="1847"/>
      </w:r>
      <w:r>
        <w:rPr>
          <w:rFonts w:cs="Arial" w:hint="cs"/>
          <w:rtl/>
        </w:rPr>
        <w:t>.</w:t>
      </w:r>
      <w:r w:rsidRPr="006F5D70">
        <w:rPr>
          <w:rFonts w:hint="cs"/>
          <w:color w:val="00B0F0"/>
          <w:rtl/>
        </w:rPr>
        <w:t xml:space="preserve"> (וכ"פ הרמ"א</w:t>
      </w:r>
      <w:r>
        <w:rPr>
          <w:rFonts w:hint="cs"/>
          <w:color w:val="00B0F0"/>
          <w:rtl/>
        </w:rPr>
        <w:t xml:space="preserve"> </w:t>
      </w:r>
      <w:r w:rsidRPr="000B5E6F">
        <w:rPr>
          <w:rFonts w:hint="cs"/>
          <w:color w:val="000000" w:themeColor="text1"/>
          <w:sz w:val="16"/>
          <w:szCs w:val="16"/>
          <w:rtl/>
        </w:rPr>
        <w:t>[כאן ובחו"מ סי' קמט ס"ט]</w:t>
      </w:r>
      <w:r w:rsidRPr="006F5D70">
        <w:rPr>
          <w:rFonts w:hint="cs"/>
          <w:color w:val="00B0F0"/>
          <w:rtl/>
        </w:rPr>
        <w:t>)</w:t>
      </w:r>
    </w:p>
    <w:p w14:paraId="7100CDA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6DED67D" w14:textId="77777777" w:rsidR="002E5BAD" w:rsidRDefault="002E5BAD" w:rsidP="002E5BAD">
      <w:pPr>
        <w:rPr>
          <w:rtl/>
        </w:rPr>
      </w:pPr>
      <w:r>
        <w:rPr>
          <w:rFonts w:cs="Arial"/>
          <w:rtl/>
        </w:rPr>
        <w:t>אין לאיש חזקה בנ</w:t>
      </w:r>
      <w:r>
        <w:rPr>
          <w:rFonts w:cs="Arial" w:hint="cs"/>
          <w:rtl/>
        </w:rPr>
        <w:t xml:space="preserve">כסי </w:t>
      </w:r>
      <w:r>
        <w:rPr>
          <w:rFonts w:cs="Arial"/>
          <w:rtl/>
        </w:rPr>
        <w:t>מ</w:t>
      </w:r>
      <w:r>
        <w:rPr>
          <w:rFonts w:cs="Arial" w:hint="cs"/>
          <w:rtl/>
        </w:rPr>
        <w:t>לוג</w:t>
      </w:r>
      <w:r>
        <w:rPr>
          <w:rFonts w:cs="Arial"/>
          <w:rtl/>
        </w:rPr>
        <w:t xml:space="preserve"> של אשתו שאכלם שני חזקה, אף על פי שהתנה עמה שאין לו פירות</w:t>
      </w:r>
      <w:r>
        <w:rPr>
          <w:rStyle w:val="a7"/>
          <w:rFonts w:cs="Arial"/>
          <w:rtl/>
        </w:rPr>
        <w:footnoteReference w:id="1848"/>
      </w:r>
      <w:r>
        <w:rPr>
          <w:rFonts w:cs="Arial"/>
          <w:rtl/>
        </w:rPr>
        <w:t xml:space="preserve"> בנכסיה. וכן אין לאשה חזקה בנכסי בעלה</w:t>
      </w:r>
      <w:r>
        <w:rPr>
          <w:rStyle w:val="a7"/>
          <w:rFonts w:cs="Arial"/>
          <w:rtl/>
        </w:rPr>
        <w:footnoteReference w:id="1849"/>
      </w:r>
      <w:r>
        <w:rPr>
          <w:rFonts w:cs="Arial"/>
          <w:rtl/>
        </w:rPr>
        <w:t>, ע</w:t>
      </w:r>
      <w:r>
        <w:rPr>
          <w:rFonts w:cs="Arial" w:hint="cs"/>
          <w:rtl/>
        </w:rPr>
        <w:t>ל יד</w:t>
      </w:r>
      <w:r>
        <w:rPr>
          <w:rFonts w:cs="Arial"/>
          <w:rtl/>
        </w:rPr>
        <w:t>י שאכלתם שני חזקה</w:t>
      </w:r>
      <w:r>
        <w:rPr>
          <w:rStyle w:val="a7"/>
          <w:rFonts w:cs="Arial"/>
          <w:rtl/>
        </w:rPr>
        <w:footnoteReference w:id="1850"/>
      </w:r>
      <w:r>
        <w:rPr>
          <w:rFonts w:cs="Arial"/>
          <w:rtl/>
        </w:rPr>
        <w:t xml:space="preserve">. </w:t>
      </w:r>
      <w:r w:rsidRPr="00015B40">
        <w:rPr>
          <w:rFonts w:cs="Arial"/>
          <w:sz w:val="18"/>
          <w:szCs w:val="18"/>
          <w:rtl/>
        </w:rPr>
        <w:t>הגה: ודוקא בחזקה כזו, אבל בחזקת נזיקין</w:t>
      </w:r>
      <w:r>
        <w:rPr>
          <w:rStyle w:val="a7"/>
          <w:rFonts w:cs="Arial"/>
          <w:sz w:val="18"/>
          <w:szCs w:val="18"/>
          <w:rtl/>
        </w:rPr>
        <w:footnoteReference w:id="1851"/>
      </w:r>
      <w:r w:rsidRPr="00015B40">
        <w:rPr>
          <w:rFonts w:cs="Arial"/>
          <w:sz w:val="18"/>
          <w:szCs w:val="18"/>
          <w:rtl/>
        </w:rPr>
        <w:t>, כגון פתיחת חלונות וכדומה לזה, יש לאיש חזקה בנכסי אשתו, והוא הדין לאשה על בעלה (רי</w:t>
      </w:r>
      <w:r>
        <w:rPr>
          <w:rFonts w:cs="Arial" w:hint="cs"/>
          <w:sz w:val="18"/>
          <w:szCs w:val="18"/>
          <w:rtl/>
        </w:rPr>
        <w:t>"ו</w:t>
      </w:r>
      <w:r w:rsidRPr="00015B40">
        <w:rPr>
          <w:rFonts w:cs="Arial"/>
          <w:sz w:val="18"/>
          <w:szCs w:val="18"/>
          <w:rtl/>
        </w:rPr>
        <w:t xml:space="preserve"> מישרים נכ"ג ח"ז). וע</w:t>
      </w:r>
      <w:r>
        <w:rPr>
          <w:rFonts w:cs="Arial" w:hint="cs"/>
          <w:sz w:val="18"/>
          <w:szCs w:val="18"/>
          <w:rtl/>
        </w:rPr>
        <w:t>י</w:t>
      </w:r>
      <w:r w:rsidRPr="00015B40">
        <w:rPr>
          <w:rFonts w:cs="Arial"/>
          <w:sz w:val="18"/>
          <w:szCs w:val="18"/>
          <w:rtl/>
        </w:rPr>
        <w:t>' בחו</w:t>
      </w:r>
      <w:r>
        <w:rPr>
          <w:rFonts w:cs="Arial" w:hint="cs"/>
          <w:sz w:val="18"/>
          <w:szCs w:val="18"/>
          <w:rtl/>
        </w:rPr>
        <w:t>"מ</w:t>
      </w:r>
      <w:r w:rsidRPr="00015B40">
        <w:rPr>
          <w:rFonts w:cs="Arial"/>
          <w:sz w:val="18"/>
          <w:szCs w:val="18"/>
          <w:rtl/>
        </w:rPr>
        <w:t xml:space="preserve"> סימן קמ"ט.</w:t>
      </w:r>
      <w:r>
        <w:rPr>
          <w:rFonts w:cs="Arial"/>
          <w:rtl/>
        </w:rPr>
        <w:t xml:space="preserve"> </w:t>
      </w:r>
    </w:p>
    <w:p w14:paraId="6DD74A41" w14:textId="77777777" w:rsidR="002E5BAD" w:rsidRDefault="002E5BAD" w:rsidP="002E5BAD">
      <w:pPr>
        <w:rPr>
          <w:rtl/>
        </w:rPr>
      </w:pPr>
    </w:p>
    <w:p w14:paraId="77489F70" w14:textId="77777777" w:rsidR="002E5BAD" w:rsidRDefault="002E5BAD" w:rsidP="002E5BAD">
      <w:pPr>
        <w:pStyle w:val="2"/>
        <w:rPr>
          <w:rtl/>
        </w:rPr>
      </w:pPr>
      <w:r>
        <w:rPr>
          <w:rtl/>
        </w:rPr>
        <w:t>סעיף ב</w:t>
      </w:r>
      <w:r>
        <w:rPr>
          <w:rFonts w:hint="cs"/>
          <w:rtl/>
        </w:rPr>
        <w:t>: אדם שמחזיק בנכסי אשה נשואה.</w:t>
      </w:r>
    </w:p>
    <w:p w14:paraId="38198765" w14:textId="77777777" w:rsidR="002E5BAD" w:rsidRPr="00A6197B" w:rsidRDefault="002E5BAD" w:rsidP="002E5BAD">
      <w:pPr>
        <w:rPr>
          <w:rtl/>
        </w:rPr>
      </w:pPr>
      <w:r w:rsidRPr="00313567">
        <w:rPr>
          <w:rFonts w:cs="Arial" w:hint="cs"/>
          <w:b/>
          <w:bCs/>
          <w:rtl/>
        </w:rPr>
        <w:t xml:space="preserve">בבא בתרא </w:t>
      </w:r>
      <w:r>
        <w:rPr>
          <w:rFonts w:cs="Arial" w:hint="cs"/>
          <w:b/>
          <w:bCs/>
          <w:sz w:val="16"/>
          <w:szCs w:val="16"/>
          <w:rtl/>
        </w:rPr>
        <w:t xml:space="preserve">(פ' חזקת) </w:t>
      </w:r>
      <w:r>
        <w:rPr>
          <w:rFonts w:cs="Arial" w:hint="cs"/>
          <w:b/>
          <w:bCs/>
          <w:rtl/>
        </w:rPr>
        <w:t>נ</w:t>
      </w:r>
      <w:r w:rsidRPr="00313567">
        <w:rPr>
          <w:rFonts w:cs="Arial" w:hint="cs"/>
          <w:b/>
          <w:bCs/>
          <w:rtl/>
        </w:rPr>
        <w:t xml:space="preserve"> ע"</w:t>
      </w:r>
      <w:r>
        <w:rPr>
          <w:rFonts w:cs="Arial" w:hint="cs"/>
          <w:b/>
          <w:bCs/>
          <w:rtl/>
        </w:rPr>
        <w:t>ב</w:t>
      </w:r>
      <w:r w:rsidRPr="00313567">
        <w:rPr>
          <w:rFonts w:cs="Arial" w:hint="cs"/>
          <w:b/>
          <w:bCs/>
          <w:rtl/>
        </w:rPr>
        <w:t>:</w:t>
      </w:r>
      <w:r>
        <w:rPr>
          <w:rFonts w:cs="Arial" w:hint="cs"/>
          <w:rtl/>
        </w:rPr>
        <w:t xml:space="preserve"> </w:t>
      </w:r>
      <w:r w:rsidRPr="00A6197B">
        <w:rPr>
          <w:rFonts w:cs="Arial"/>
          <w:rtl/>
        </w:rPr>
        <w:t>ולא לאיש חזקה בנכסי אשתו. והאמר רב: אשת איש צריכה למחות, במאן? אילימא באחר, והאמר רב: אין מחזיקין בנכסי אשת איש</w:t>
      </w:r>
      <w:r>
        <w:rPr>
          <w:rStyle w:val="a7"/>
          <w:rFonts w:cs="Arial"/>
          <w:rtl/>
        </w:rPr>
        <w:footnoteReference w:id="1852"/>
      </w:r>
      <w:r w:rsidRPr="00A6197B">
        <w:rPr>
          <w:rFonts w:cs="Arial"/>
          <w:rtl/>
        </w:rPr>
        <w:t>!</w:t>
      </w:r>
      <w:r>
        <w:rPr>
          <w:rFonts w:cs="Arial" w:hint="cs"/>
          <w:rtl/>
        </w:rPr>
        <w:t>...</w:t>
      </w:r>
      <w:r w:rsidRPr="00A6197B">
        <w:rPr>
          <w:rFonts w:cs="Arial"/>
          <w:rtl/>
        </w:rPr>
        <w:t xml:space="preserve"> </w:t>
      </w:r>
      <w:r w:rsidRPr="007A6980">
        <w:rPr>
          <w:rFonts w:cs="Arial"/>
          <w:u w:val="single"/>
          <w:rtl/>
        </w:rPr>
        <w:t>רב יוסף אמר</w:t>
      </w:r>
      <w:r w:rsidRPr="00A6197B">
        <w:rPr>
          <w:rFonts w:cs="Arial"/>
          <w:rtl/>
        </w:rPr>
        <w:t>: לעולם באחר, וכגון שאכלה מקצת חזקה בחיי הבעל</w:t>
      </w:r>
      <w:r>
        <w:rPr>
          <w:rFonts w:cs="Arial" w:hint="cs"/>
          <w:rtl/>
        </w:rPr>
        <w:t>,</w:t>
      </w:r>
      <w:r w:rsidRPr="00A6197B">
        <w:rPr>
          <w:rFonts w:cs="Arial"/>
          <w:rtl/>
        </w:rPr>
        <w:t xml:space="preserve"> ושלש לאחר מיתת הבעל, מיגו דאי בעי אמר ליה: אנא זבינתה מינך, כי א"ל נמי: את זבינתה ליה וזבנה ניהלי - מהימן.</w:t>
      </w:r>
    </w:p>
    <w:p w14:paraId="466C0356" w14:textId="77777777" w:rsidR="002E5BAD" w:rsidRPr="00A6197B" w:rsidRDefault="002E5BAD" w:rsidP="002E5BAD">
      <w:pPr>
        <w:rPr>
          <w:u w:val="single"/>
          <w:rtl/>
        </w:rPr>
      </w:pPr>
      <w:r w:rsidRPr="00A6197B">
        <w:rPr>
          <w:rFonts w:hint="cs"/>
          <w:u w:val="single"/>
          <w:rtl/>
        </w:rPr>
        <w:t>אדם שמחזיק בנכסי אשה נשואה:</w:t>
      </w:r>
    </w:p>
    <w:p w14:paraId="38C8C552" w14:textId="77777777" w:rsidR="002E5BAD" w:rsidRDefault="002E5BAD" w:rsidP="002E5BAD">
      <w:pPr>
        <w:pStyle w:val="ab"/>
        <w:numPr>
          <w:ilvl w:val="0"/>
          <w:numId w:val="182"/>
        </w:numPr>
        <w:rPr>
          <w:rtl/>
        </w:rPr>
      </w:pPr>
      <w:r>
        <w:rPr>
          <w:rFonts w:cs="Arial" w:hint="cs"/>
          <w:rtl/>
        </w:rPr>
        <w:t xml:space="preserve">טור- </w:t>
      </w:r>
      <w:r w:rsidRPr="00AE16D0">
        <w:rPr>
          <w:rFonts w:cs="Arial"/>
          <w:rtl/>
        </w:rPr>
        <w:t xml:space="preserve">ואפי' אחר שמחזיק בנכסיה בחיי בעלה </w:t>
      </w:r>
      <w:r>
        <w:rPr>
          <w:rFonts w:cs="Arial" w:hint="cs"/>
          <w:rtl/>
        </w:rPr>
        <w:t xml:space="preserve">- </w:t>
      </w:r>
      <w:r w:rsidRPr="00AE16D0">
        <w:rPr>
          <w:rFonts w:cs="Arial"/>
          <w:rtl/>
        </w:rPr>
        <w:t>אינה חזקה</w:t>
      </w:r>
      <w:r>
        <w:rPr>
          <w:rFonts w:cs="Arial" w:hint="cs"/>
          <w:rtl/>
        </w:rPr>
        <w:t>,</w:t>
      </w:r>
      <w:r w:rsidRPr="00AE16D0">
        <w:rPr>
          <w:rFonts w:cs="Arial"/>
          <w:rtl/>
        </w:rPr>
        <w:t xml:space="preserve"> שסומכת על בעלה ואינה מוחה אפי' אם כתב לה דין ודברים אין לי בנכסיך</w:t>
      </w:r>
      <w:r>
        <w:rPr>
          <w:rFonts w:cs="Arial" w:hint="cs"/>
          <w:rtl/>
        </w:rPr>
        <w:t>,</w:t>
      </w:r>
      <w:r w:rsidRPr="00AE16D0">
        <w:rPr>
          <w:rFonts w:cs="Arial"/>
          <w:rtl/>
        </w:rPr>
        <w:t xml:space="preserve"> כיון שאם מתה הוא יורשה</w:t>
      </w:r>
      <w:r>
        <w:rPr>
          <w:rFonts w:cs="Arial" w:hint="cs"/>
          <w:rtl/>
        </w:rPr>
        <w:t>.</w:t>
      </w:r>
      <w:r w:rsidRPr="00AE16D0">
        <w:rPr>
          <w:rFonts w:cs="Arial"/>
          <w:rtl/>
        </w:rPr>
        <w:t xml:space="preserve"> אבל אחר שהחזיק בהן ג' שנים אחרי מות בעלה</w:t>
      </w:r>
      <w:r>
        <w:rPr>
          <w:rFonts w:cs="Arial" w:hint="cs"/>
          <w:rtl/>
        </w:rPr>
        <w:t>,</w:t>
      </w:r>
      <w:r w:rsidRPr="00AE16D0">
        <w:rPr>
          <w:rFonts w:cs="Arial"/>
          <w:rtl/>
        </w:rPr>
        <w:t xml:space="preserve"> אפי' אם התחיל להחזיק בהן בחיי בעלה וטען בפני מכרתם לבעליך והוא מכרם לי </w:t>
      </w:r>
      <w:r>
        <w:rPr>
          <w:rFonts w:cs="Arial"/>
          <w:rtl/>
        </w:rPr>
        <w:t>–</w:t>
      </w:r>
      <w:r>
        <w:rPr>
          <w:rFonts w:cs="Arial" w:hint="cs"/>
          <w:rtl/>
        </w:rPr>
        <w:t xml:space="preserve"> </w:t>
      </w:r>
      <w:r w:rsidRPr="00AE16D0">
        <w:rPr>
          <w:rFonts w:cs="Arial"/>
          <w:rtl/>
        </w:rPr>
        <w:t>הויא חזקה</w:t>
      </w:r>
      <w:r>
        <w:rPr>
          <w:rFonts w:cs="Arial" w:hint="cs"/>
          <w:rtl/>
        </w:rPr>
        <w:t>,</w:t>
      </w:r>
      <w:r w:rsidRPr="00AE16D0">
        <w:rPr>
          <w:rFonts w:cs="Arial"/>
          <w:rtl/>
        </w:rPr>
        <w:t xml:space="preserve"> במגו שהיה יכול לומר שקנה ממנה אחרי מות בעלה</w:t>
      </w:r>
      <w:r>
        <w:rPr>
          <w:rFonts w:cs="Arial" w:hint="cs"/>
          <w:rtl/>
        </w:rPr>
        <w:t>,</w:t>
      </w:r>
      <w:r w:rsidRPr="00AE16D0">
        <w:rPr>
          <w:rFonts w:cs="Arial"/>
          <w:rtl/>
        </w:rPr>
        <w:t xml:space="preserve"> ודבר זה מבואר עוד בספר ח</w:t>
      </w:r>
      <w:r>
        <w:rPr>
          <w:rFonts w:cs="Arial" w:hint="cs"/>
          <w:rtl/>
        </w:rPr>
        <w:t xml:space="preserve">ושן </w:t>
      </w:r>
      <w:r w:rsidRPr="00AE16D0">
        <w:rPr>
          <w:rFonts w:cs="Arial"/>
          <w:rtl/>
        </w:rPr>
        <w:t>ה</w:t>
      </w:r>
      <w:r>
        <w:rPr>
          <w:rFonts w:cs="Arial" w:hint="cs"/>
          <w:rtl/>
        </w:rPr>
        <w:t>משפט</w:t>
      </w:r>
      <w:r w:rsidRPr="00AE16D0">
        <w:rPr>
          <w:rFonts w:cs="Arial"/>
          <w:rtl/>
        </w:rPr>
        <w:t xml:space="preserve"> בדיני חזקות</w:t>
      </w:r>
      <w:r>
        <w:rPr>
          <w:rFonts w:cs="Arial" w:hint="cs"/>
          <w:rtl/>
        </w:rPr>
        <w:t>.</w:t>
      </w:r>
      <w:r w:rsidRPr="00AE16D0">
        <w:rPr>
          <w:rFonts w:cs="Arial"/>
          <w:rtl/>
        </w:rPr>
        <w:t xml:space="preserve"> </w:t>
      </w:r>
      <w:r w:rsidRPr="00A6197B">
        <w:rPr>
          <w:rFonts w:hint="cs"/>
          <w:color w:val="E36C0A" w:themeColor="accent6" w:themeShade="BF"/>
          <w:rtl/>
        </w:rPr>
        <w:t>(וכ"פ בשו"ע)</w:t>
      </w:r>
    </w:p>
    <w:p w14:paraId="0946B4C8"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789215E6" w14:textId="77777777" w:rsidR="002E5BAD" w:rsidRDefault="002E5BAD" w:rsidP="002E5BAD">
      <w:pPr>
        <w:rPr>
          <w:rFonts w:cs="Arial"/>
          <w:sz w:val="18"/>
          <w:szCs w:val="18"/>
          <w:rtl/>
        </w:rPr>
      </w:pPr>
      <w:r>
        <w:rPr>
          <w:rFonts w:cs="Arial"/>
          <w:rtl/>
        </w:rPr>
        <w:t>מי שהחזיק בנכסי אשת איש, לא עלתה לו חזקה</w:t>
      </w:r>
      <w:r>
        <w:rPr>
          <w:rStyle w:val="a7"/>
          <w:rFonts w:cs="Arial"/>
          <w:rtl/>
        </w:rPr>
        <w:footnoteReference w:id="1853"/>
      </w:r>
      <w:r>
        <w:rPr>
          <w:rFonts w:cs="Arial"/>
          <w:rtl/>
        </w:rPr>
        <w:t>, א</w:t>
      </w:r>
      <w:r>
        <w:rPr>
          <w:rFonts w:cs="Arial" w:hint="cs"/>
          <w:rtl/>
        </w:rPr>
        <w:t>לא אם כן</w:t>
      </w:r>
      <w:r>
        <w:rPr>
          <w:rFonts w:cs="Arial"/>
          <w:rtl/>
        </w:rPr>
        <w:t xml:space="preserve"> החזיק בהן שלשה שנים אחר מות בעלה. </w:t>
      </w:r>
      <w:r w:rsidRPr="00015B40">
        <w:rPr>
          <w:rFonts w:cs="Arial"/>
          <w:sz w:val="18"/>
          <w:szCs w:val="18"/>
          <w:rtl/>
        </w:rPr>
        <w:t>(ועיין בח"ה סימן קמ"ט).</w:t>
      </w:r>
    </w:p>
    <w:p w14:paraId="175F1011" w14:textId="77777777" w:rsidR="002E5BAD" w:rsidRPr="007E3965" w:rsidRDefault="002E5BAD" w:rsidP="002E5BAD">
      <w:pPr>
        <w:rPr>
          <w:u w:val="single"/>
          <w:rtl/>
        </w:rPr>
      </w:pPr>
      <w:r>
        <w:rPr>
          <w:rFonts w:hint="cs"/>
          <w:u w:val="single"/>
          <w:rtl/>
        </w:rPr>
        <w:t>אדם שהחזיק בשדה של אשת איש ג' שנים בחיי בעלה, ו</w:t>
      </w:r>
      <w:r w:rsidRPr="007E3965">
        <w:rPr>
          <w:rFonts w:hint="cs"/>
          <w:u w:val="single"/>
          <w:rtl/>
        </w:rPr>
        <w:t>בעל</w:t>
      </w:r>
      <w:r>
        <w:rPr>
          <w:rFonts w:hint="cs"/>
          <w:u w:val="single"/>
          <w:rtl/>
        </w:rPr>
        <w:t>ה</w:t>
      </w:r>
      <w:r w:rsidRPr="007E3965">
        <w:rPr>
          <w:rFonts w:hint="cs"/>
          <w:u w:val="single"/>
          <w:rtl/>
        </w:rPr>
        <w:t xml:space="preserve"> סילק את עצמו מפירות אשתו </w:t>
      </w:r>
      <w:r w:rsidRPr="007E3965">
        <w:rPr>
          <w:rFonts w:hint="cs"/>
          <w:b/>
          <w:bCs/>
          <w:u w:val="single"/>
          <w:rtl/>
        </w:rPr>
        <w:t>ומירושתה</w:t>
      </w:r>
      <w:r w:rsidRPr="007E3965">
        <w:rPr>
          <w:rFonts w:hint="cs"/>
          <w:u w:val="single"/>
          <w:rtl/>
        </w:rPr>
        <w:t>:</w:t>
      </w:r>
    </w:p>
    <w:p w14:paraId="34F82B3A" w14:textId="77777777" w:rsidR="002E5BAD" w:rsidRDefault="002E5BAD" w:rsidP="002E5BAD">
      <w:pPr>
        <w:pStyle w:val="ab"/>
        <w:numPr>
          <w:ilvl w:val="0"/>
          <w:numId w:val="182"/>
        </w:numPr>
        <w:rPr>
          <w:rtl/>
        </w:rPr>
      </w:pPr>
      <w:r>
        <w:rPr>
          <w:rFonts w:hint="cs"/>
          <w:rtl/>
        </w:rPr>
        <w:t xml:space="preserve">ח"מ </w:t>
      </w:r>
      <w:r w:rsidRPr="00B13E97">
        <w:rPr>
          <w:rFonts w:hint="cs"/>
          <w:sz w:val="16"/>
          <w:szCs w:val="16"/>
          <w:rtl/>
        </w:rPr>
        <w:t>(סק"ד)</w:t>
      </w:r>
      <w:r>
        <w:rPr>
          <w:rFonts w:hint="cs"/>
          <w:rtl/>
        </w:rPr>
        <w:t xml:space="preserve">- </w:t>
      </w:r>
      <w:r w:rsidRPr="00B13E97">
        <w:rPr>
          <w:rtl/>
        </w:rPr>
        <w:t xml:space="preserve">בטור כתב </w:t>
      </w:r>
      <w:r>
        <w:rPr>
          <w:rFonts w:hint="cs"/>
          <w:rtl/>
        </w:rPr>
        <w:t>'</w:t>
      </w:r>
      <w:r w:rsidRPr="00B13E97">
        <w:rPr>
          <w:rtl/>
        </w:rPr>
        <w:t>אפי</w:t>
      </w:r>
      <w:r>
        <w:rPr>
          <w:rFonts w:hint="cs"/>
          <w:rtl/>
        </w:rPr>
        <w:t>לו</w:t>
      </w:r>
      <w:r w:rsidRPr="00B13E97">
        <w:rPr>
          <w:rtl/>
        </w:rPr>
        <w:t xml:space="preserve"> אם כתב לה אין לי דין ודברים בנכסיך כיון שמתה היא יורשה</w:t>
      </w:r>
      <w:r>
        <w:rPr>
          <w:rFonts w:hint="cs"/>
          <w:rtl/>
        </w:rPr>
        <w:t>'</w:t>
      </w:r>
      <w:r w:rsidRPr="00B13E97">
        <w:rPr>
          <w:rtl/>
        </w:rPr>
        <w:t xml:space="preserve"> משמע להדי</w:t>
      </w:r>
      <w:r>
        <w:rPr>
          <w:rFonts w:hint="cs"/>
          <w:rtl/>
        </w:rPr>
        <w:t>א</w:t>
      </w:r>
      <w:r w:rsidRPr="00B13E97">
        <w:rPr>
          <w:rtl/>
        </w:rPr>
        <w:t xml:space="preserve"> הא אם סילק עצמו גם מירושת</w:t>
      </w:r>
      <w:r>
        <w:rPr>
          <w:rFonts w:hint="cs"/>
          <w:rtl/>
        </w:rPr>
        <w:t>ה</w:t>
      </w:r>
      <w:r w:rsidRPr="00B13E97">
        <w:rPr>
          <w:rtl/>
        </w:rPr>
        <w:t xml:space="preserve"> יש חזקה בנכסי א</w:t>
      </w:r>
      <w:r>
        <w:rPr>
          <w:rFonts w:hint="cs"/>
          <w:rtl/>
        </w:rPr>
        <w:t>שת איש,</w:t>
      </w:r>
      <w:r w:rsidRPr="00B13E97">
        <w:rPr>
          <w:rtl/>
        </w:rPr>
        <w:t xml:space="preserve"> דאין לה לסמוך על בעלה</w:t>
      </w:r>
      <w:r>
        <w:rPr>
          <w:rFonts w:hint="cs"/>
          <w:rtl/>
        </w:rPr>
        <w:t>.</w:t>
      </w:r>
    </w:p>
    <w:p w14:paraId="2F9F1BC0" w14:textId="77777777" w:rsidR="002E5BAD" w:rsidRDefault="002E5BAD" w:rsidP="002E5BAD">
      <w:pPr>
        <w:pStyle w:val="ab"/>
        <w:numPr>
          <w:ilvl w:val="0"/>
          <w:numId w:val="182"/>
        </w:numPr>
        <w:rPr>
          <w:rtl/>
        </w:rPr>
      </w:pPr>
      <w:r>
        <w:rPr>
          <w:rFonts w:hint="cs"/>
          <w:rtl/>
        </w:rPr>
        <w:t xml:space="preserve">ב"ש </w:t>
      </w:r>
      <w:r w:rsidRPr="000B69EF">
        <w:rPr>
          <w:rFonts w:hint="cs"/>
          <w:sz w:val="16"/>
          <w:szCs w:val="16"/>
          <w:rtl/>
        </w:rPr>
        <w:t>(סק"ד)</w:t>
      </w:r>
      <w:r>
        <w:rPr>
          <w:rFonts w:hint="cs"/>
          <w:rtl/>
        </w:rPr>
        <w:t xml:space="preserve">- </w:t>
      </w:r>
      <w:r w:rsidRPr="00B13E97">
        <w:rPr>
          <w:rFonts w:cs="Arial"/>
          <w:rtl/>
        </w:rPr>
        <w:t>מדייק בח"מ</w:t>
      </w:r>
      <w:r>
        <w:rPr>
          <w:rFonts w:cs="Arial" w:hint="cs"/>
          <w:rtl/>
        </w:rPr>
        <w:t xml:space="preserve"> </w:t>
      </w:r>
      <w:r>
        <w:rPr>
          <w:rFonts w:cs="Arial" w:hint="cs"/>
          <w:sz w:val="16"/>
          <w:szCs w:val="16"/>
          <w:rtl/>
        </w:rPr>
        <w:t>(סק"ד)</w:t>
      </w:r>
      <w:r w:rsidRPr="00B13E97">
        <w:rPr>
          <w:rFonts w:cs="Arial"/>
          <w:rtl/>
        </w:rPr>
        <w:t xml:space="preserve"> </w:t>
      </w:r>
      <w:r>
        <w:rPr>
          <w:rFonts w:cs="Arial" w:hint="cs"/>
          <w:rtl/>
        </w:rPr>
        <w:t>ד</w:t>
      </w:r>
      <w:r w:rsidRPr="00B13E97">
        <w:rPr>
          <w:rFonts w:cs="Arial"/>
          <w:rtl/>
        </w:rPr>
        <w:t xml:space="preserve">אם הוא סילק את עצמו מירושה ומפירו' </w:t>
      </w:r>
      <w:r w:rsidRPr="00B13E97">
        <w:rPr>
          <w:rFonts w:cs="Arial" w:hint="cs"/>
          <w:rtl/>
        </w:rPr>
        <w:t xml:space="preserve">- </w:t>
      </w:r>
      <w:r w:rsidRPr="00B13E97">
        <w:rPr>
          <w:rFonts w:cs="Arial"/>
          <w:rtl/>
        </w:rPr>
        <w:t>מחזיקים בנכסים שלה</w:t>
      </w:r>
      <w:r w:rsidRPr="00B13E97">
        <w:rPr>
          <w:rFonts w:cs="Arial" w:hint="cs"/>
          <w:rtl/>
        </w:rPr>
        <w:t>,</w:t>
      </w:r>
      <w:r w:rsidRPr="00B13E97">
        <w:rPr>
          <w:rFonts w:cs="Arial"/>
          <w:rtl/>
        </w:rPr>
        <w:t xml:space="preserve"> דאז אין לו שום הנאה ואינו מוחה</w:t>
      </w:r>
      <w:r w:rsidRPr="00B13E97">
        <w:rPr>
          <w:rFonts w:cs="Arial" w:hint="cs"/>
          <w:rtl/>
        </w:rPr>
        <w:t>.</w:t>
      </w:r>
      <w:r w:rsidRPr="00B13E97">
        <w:rPr>
          <w:rFonts w:cs="Arial"/>
          <w:rtl/>
        </w:rPr>
        <w:t xml:space="preserve"> ולכאורה קשה לפ"ז למה לא אוקמי שם הא דתניא אשת איש צריכה למחות איירי בכה"ג דהבעל סילק את עצמו אף מירושה והחזיק אחר</w:t>
      </w:r>
      <w:r w:rsidRPr="00B13E97">
        <w:rPr>
          <w:rFonts w:cs="Arial" w:hint="cs"/>
          <w:rtl/>
        </w:rPr>
        <w:t>,</w:t>
      </w:r>
      <w:r w:rsidRPr="00B13E97">
        <w:rPr>
          <w:rFonts w:cs="Arial"/>
          <w:rtl/>
        </w:rPr>
        <w:t xml:space="preserve"> ומדלא תירץ כן</w:t>
      </w:r>
      <w:r>
        <w:rPr>
          <w:rStyle w:val="a7"/>
          <w:rFonts w:cs="Arial"/>
          <w:rtl/>
        </w:rPr>
        <w:footnoteReference w:id="1854"/>
      </w:r>
      <w:r w:rsidRPr="00B13E97">
        <w:rPr>
          <w:rFonts w:cs="Arial"/>
          <w:rtl/>
        </w:rPr>
        <w:t xml:space="preserve"> ש"מ אף בכה"ג אין מחזיקין</w:t>
      </w:r>
      <w:r w:rsidRPr="00B13E97">
        <w:rPr>
          <w:rFonts w:cs="Arial" w:hint="cs"/>
          <w:rtl/>
        </w:rPr>
        <w:t>,</w:t>
      </w:r>
      <w:r w:rsidRPr="00B13E97">
        <w:rPr>
          <w:rFonts w:cs="Arial"/>
          <w:rtl/>
        </w:rPr>
        <w:t xml:space="preserve"> וכן משמע מתשו' רשב"א שהביא הב"י בסי' קמ"ט בח"ה דכתב הבעל הוא כאפוטרופס שלה מ"ה היא סומכת עליו</w:t>
      </w:r>
      <w:r w:rsidRPr="00B13E97">
        <w:rPr>
          <w:rFonts w:cs="Arial" w:hint="cs"/>
          <w:rtl/>
        </w:rPr>
        <w:t>,</w:t>
      </w:r>
      <w:r w:rsidRPr="00B13E97">
        <w:rPr>
          <w:rFonts w:cs="Arial"/>
          <w:rtl/>
        </w:rPr>
        <w:t xml:space="preserve"> משמע להדי' אפילו אם אין לו שום הנאה סומכת עליו</w:t>
      </w:r>
      <w:r w:rsidRPr="00B13E97">
        <w:rPr>
          <w:rFonts w:cs="Arial" w:hint="cs"/>
          <w:rtl/>
        </w:rPr>
        <w:t>,</w:t>
      </w:r>
      <w:r w:rsidRPr="00B13E97">
        <w:rPr>
          <w:rFonts w:cs="Arial"/>
          <w:rtl/>
        </w:rPr>
        <w:t xml:space="preserve"> ותוס' הנ"ל דכתבו כיון שאם מתה וכו' ס"ל דא"י לסלק מירושה מ"ה כתבו הטעם דיש לו הנאה דיורש אותה</w:t>
      </w:r>
      <w:r w:rsidRPr="00B13E97">
        <w:rPr>
          <w:rFonts w:cs="Arial" w:hint="cs"/>
          <w:rtl/>
        </w:rPr>
        <w:t>,</w:t>
      </w:r>
      <w:r w:rsidRPr="00B13E97">
        <w:rPr>
          <w:rFonts w:cs="Arial"/>
          <w:rtl/>
        </w:rPr>
        <w:t xml:space="preserve"> אבל באמת אפילו אם אין לו הנאה נמי אין מחזיקים</w:t>
      </w:r>
      <w:r>
        <w:rPr>
          <w:rFonts w:hint="cs"/>
          <w:rtl/>
        </w:rPr>
        <w:t>.</w:t>
      </w:r>
    </w:p>
    <w:p w14:paraId="05F859C3" w14:textId="77777777" w:rsidR="002E5BAD" w:rsidRPr="007A3469" w:rsidRDefault="002E5BAD" w:rsidP="002E5BAD">
      <w:pPr>
        <w:rPr>
          <w:rtl/>
        </w:rPr>
        <w:sectPr w:rsidR="002E5BAD" w:rsidRPr="007A3469" w:rsidSect="00A347B3">
          <w:headerReference w:type="default" r:id="rId43"/>
          <w:footnotePr>
            <w:numRestart w:val="eachPage"/>
          </w:footnotePr>
          <w:pgSz w:w="11906" w:h="16838"/>
          <w:pgMar w:top="720" w:right="1134" w:bottom="720" w:left="1134" w:header="0" w:footer="0" w:gutter="0"/>
          <w:cols w:space="720"/>
          <w:bidi/>
          <w:rtlGutter/>
          <w:docGrid w:linePitch="360"/>
        </w:sectPr>
      </w:pPr>
    </w:p>
    <w:p w14:paraId="23984C7B" w14:textId="77777777" w:rsidR="002E5BAD" w:rsidRDefault="002E5BAD" w:rsidP="002E5BAD">
      <w:pPr>
        <w:pStyle w:val="1"/>
        <w:rPr>
          <w:rtl/>
        </w:rPr>
      </w:pPr>
      <w:r>
        <w:rPr>
          <w:rFonts w:hint="cs"/>
          <w:rtl/>
        </w:rPr>
        <w:lastRenderedPageBreak/>
        <w:t>סימן פח:</w:t>
      </w:r>
      <w:r w:rsidRPr="00C12B74">
        <w:rPr>
          <w:rtl/>
        </w:rPr>
        <w:t xml:space="preserve"> </w:t>
      </w:r>
      <w:r>
        <w:rPr>
          <w:rFonts w:cs="Arial"/>
          <w:rtl/>
        </w:rPr>
        <w:t xml:space="preserve">כל היוצאת מתחת בעלה במיתה או בגט או במיאון נוטלת נכסים, ובו י"ב סעיפים. </w:t>
      </w:r>
    </w:p>
    <w:p w14:paraId="24BADED4" w14:textId="77777777" w:rsidR="002E5BAD" w:rsidRDefault="002E5BAD" w:rsidP="002E5BAD">
      <w:pPr>
        <w:pStyle w:val="2"/>
        <w:rPr>
          <w:rtl/>
        </w:rPr>
      </w:pPr>
      <w:r>
        <w:rPr>
          <w:rtl/>
        </w:rPr>
        <w:t>סעיף א</w:t>
      </w:r>
      <w:r>
        <w:rPr>
          <w:rFonts w:hint="cs"/>
          <w:rtl/>
        </w:rPr>
        <w:t>:</w:t>
      </w:r>
      <w:r w:rsidRPr="00A97378">
        <w:rPr>
          <w:rFonts w:cs="Arial"/>
          <w:rtl/>
        </w:rPr>
        <w:t xml:space="preserve"> </w:t>
      </w:r>
      <w:r w:rsidRPr="00C57802">
        <w:rPr>
          <w:rFonts w:cs="Arial"/>
          <w:rtl/>
        </w:rPr>
        <w:t>אשה שיוצאת מתחת ידי בעלה</w:t>
      </w:r>
      <w:r>
        <w:rPr>
          <w:rFonts w:hint="cs"/>
          <w:rtl/>
        </w:rPr>
        <w:t xml:space="preserve"> נוטלת נכסיה.</w:t>
      </w:r>
    </w:p>
    <w:p w14:paraId="3003442E" w14:textId="77777777" w:rsidR="002E5BAD" w:rsidRDefault="002E5BAD" w:rsidP="002E5BAD">
      <w:pPr>
        <w:rPr>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52467B">
        <w:rPr>
          <w:rFonts w:cs="Arial"/>
          <w:u w:val="double"/>
          <w:rtl/>
        </w:rPr>
        <w:t>מתני'</w:t>
      </w:r>
      <w:r>
        <w:rPr>
          <w:rFonts w:cs="Arial" w:hint="cs"/>
          <w:rtl/>
        </w:rPr>
        <w:t>:</w:t>
      </w:r>
      <w:r w:rsidRPr="0052467B">
        <w:rPr>
          <w:rFonts w:cs="Arial"/>
          <w:rtl/>
        </w:rPr>
        <w:t xml:space="preserve"> אלמנה לכהן גדול, גרושה וחלוצה לכהן הדיוט, הכניסה לו עבדי מלוג</w:t>
      </w:r>
      <w:r>
        <w:rPr>
          <w:rStyle w:val="a7"/>
          <w:rFonts w:cs="Arial"/>
          <w:rtl/>
        </w:rPr>
        <w:footnoteReference w:id="1855"/>
      </w:r>
      <w:r w:rsidRPr="0052467B">
        <w:rPr>
          <w:rFonts w:cs="Arial"/>
          <w:rtl/>
        </w:rPr>
        <w:t xml:space="preserve"> ועבדי צאן ברזל, עבדי מלוג לא יאכלו</w:t>
      </w:r>
      <w:r>
        <w:rPr>
          <w:rStyle w:val="a7"/>
          <w:rFonts w:cs="Arial"/>
          <w:rtl/>
        </w:rPr>
        <w:footnoteReference w:id="1856"/>
      </w:r>
      <w:r w:rsidRPr="0052467B">
        <w:rPr>
          <w:rFonts w:cs="Arial"/>
          <w:rtl/>
        </w:rPr>
        <w:t xml:space="preserve"> בתרומה, עבדי צאן ברזל יאכלו. ואלו הן עבדי מלוג: אם מתו - מתו לה, ואם הותירו - הותירו לה, אף על פי שהוא חייב במזונותן - הרי אלו לא יאכלו בתרומה. ואלו הן עבדי צאן ברזל: אם מתו - מתו לו, ואם הותירו - הותירו לו, הואיל והוא חייב באחריותן - הרי אלו יאכלו בתרומה.</w:t>
      </w:r>
      <w:r>
        <w:rPr>
          <w:rFonts w:cs="Arial" w:hint="cs"/>
          <w:rtl/>
        </w:rPr>
        <w:t>..</w:t>
      </w:r>
      <w:r w:rsidRPr="007A617E">
        <w:rPr>
          <w:rtl/>
        </w:rPr>
        <w:t xml:space="preserve"> </w:t>
      </w:r>
      <w:r>
        <w:rPr>
          <w:rFonts w:cs="Arial" w:hint="cs"/>
          <w:rtl/>
        </w:rPr>
        <w:t xml:space="preserve">     </w:t>
      </w:r>
      <w:r w:rsidRPr="007A617E">
        <w:rPr>
          <w:rFonts w:cs="Arial" w:hint="cs"/>
          <w:u w:val="double"/>
          <w:rtl/>
        </w:rPr>
        <w:t>גמ':</w:t>
      </w:r>
      <w:r>
        <w:rPr>
          <w:rFonts w:cs="Arial" w:hint="cs"/>
          <w:rtl/>
        </w:rPr>
        <w:t xml:space="preserve"> </w:t>
      </w:r>
      <w:r w:rsidRPr="00750751">
        <w:rPr>
          <w:rFonts w:cs="Arial"/>
          <w:rtl/>
        </w:rPr>
        <w:t>איתמר: המכנסת שום לבעלה</w:t>
      </w:r>
      <w:r>
        <w:rPr>
          <w:rStyle w:val="a7"/>
          <w:rFonts w:cs="Arial"/>
          <w:rtl/>
        </w:rPr>
        <w:footnoteReference w:id="1857"/>
      </w:r>
      <w:r w:rsidRPr="00750751">
        <w:rPr>
          <w:rFonts w:cs="Arial"/>
          <w:rtl/>
        </w:rPr>
        <w:t>, היא אומרת כלי אני נוטלת, והוא אומר דמים אני נותן</w:t>
      </w:r>
      <w:r>
        <w:rPr>
          <w:rStyle w:val="a7"/>
          <w:rFonts w:cs="Arial"/>
          <w:rtl/>
        </w:rPr>
        <w:footnoteReference w:id="1858"/>
      </w:r>
      <w:r w:rsidRPr="00750751">
        <w:rPr>
          <w:rFonts w:cs="Arial"/>
          <w:rtl/>
        </w:rPr>
        <w:t xml:space="preserve">, הדין עם מי? </w:t>
      </w:r>
      <w:r w:rsidRPr="00750751">
        <w:rPr>
          <w:rFonts w:cs="Arial"/>
          <w:u w:val="single"/>
          <w:rtl/>
        </w:rPr>
        <w:t>רב יהודה אמר</w:t>
      </w:r>
      <w:r w:rsidRPr="00750751">
        <w:rPr>
          <w:rFonts w:cs="Arial"/>
          <w:rtl/>
        </w:rPr>
        <w:t>:</w:t>
      </w:r>
      <w:r>
        <w:rPr>
          <w:rFonts w:cs="Arial" w:hint="cs"/>
          <w:sz w:val="14"/>
          <w:szCs w:val="14"/>
          <w:rtl/>
        </w:rPr>
        <w:t>(סו:)</w:t>
      </w:r>
      <w:r w:rsidRPr="00750751">
        <w:rPr>
          <w:rtl/>
        </w:rPr>
        <w:t xml:space="preserve"> </w:t>
      </w:r>
      <w:r w:rsidRPr="00750751">
        <w:rPr>
          <w:rFonts w:cs="Arial"/>
          <w:rtl/>
        </w:rPr>
        <w:t>הדין עמה</w:t>
      </w:r>
      <w:r>
        <w:rPr>
          <w:rStyle w:val="a7"/>
          <w:rFonts w:cs="Arial"/>
          <w:rtl/>
        </w:rPr>
        <w:footnoteReference w:id="1859"/>
      </w:r>
      <w:r w:rsidRPr="00750751">
        <w:rPr>
          <w:rFonts w:cs="Arial"/>
          <w:rtl/>
        </w:rPr>
        <w:t xml:space="preserve">, </w:t>
      </w:r>
      <w:r w:rsidRPr="00750751">
        <w:rPr>
          <w:rFonts w:cs="Arial"/>
          <w:u w:val="single"/>
          <w:rtl/>
        </w:rPr>
        <w:t>ור' אמי אמר</w:t>
      </w:r>
      <w:r w:rsidRPr="00750751">
        <w:rPr>
          <w:rFonts w:cs="Arial"/>
          <w:rtl/>
        </w:rPr>
        <w:t>: הדין עמו. רב יהודה אמר הדין עמה, משום שבח בית אביה דידה הוי</w:t>
      </w:r>
      <w:r>
        <w:rPr>
          <w:rFonts w:cs="Arial" w:hint="cs"/>
          <w:rtl/>
        </w:rPr>
        <w:t>.</w:t>
      </w:r>
      <w:r w:rsidRPr="00750751">
        <w:rPr>
          <w:rFonts w:cs="Arial"/>
          <w:rtl/>
        </w:rPr>
        <w:t xml:space="preserve"> ר' אמי אמר הדין עמו, כיון דאמר מר: אם מתו - מתו לו, ואם הותירו - הותירו לו, הואיל וחייב באחריותן - יאכלו.</w:t>
      </w:r>
      <w:r>
        <w:rPr>
          <w:rFonts w:cs="Arial" w:hint="cs"/>
          <w:rtl/>
        </w:rPr>
        <w:t>..</w:t>
      </w:r>
      <w:r w:rsidRPr="00750751">
        <w:rPr>
          <w:rFonts w:cs="Arial"/>
          <w:rtl/>
        </w:rPr>
        <w:t xml:space="preserve"> </w:t>
      </w:r>
      <w:r w:rsidRPr="00ED3532">
        <w:rPr>
          <w:rFonts w:cs="Arial"/>
          <w:u w:val="single"/>
          <w:rtl/>
        </w:rPr>
        <w:t>אמר רבא אמר רב נחמן</w:t>
      </w:r>
      <w:r w:rsidRPr="005661E8">
        <w:rPr>
          <w:rFonts w:cs="Arial"/>
          <w:rtl/>
        </w:rPr>
        <w:t xml:space="preserve">: הלכה כרב יהודה. </w:t>
      </w:r>
      <w:r w:rsidRPr="00ED3532">
        <w:rPr>
          <w:rFonts w:cs="Arial"/>
          <w:u w:val="single"/>
          <w:rtl/>
        </w:rPr>
        <w:t>א"ל רבא לרב נחמן</w:t>
      </w:r>
      <w:r w:rsidRPr="005661E8">
        <w:rPr>
          <w:rFonts w:cs="Arial"/>
          <w:rtl/>
        </w:rPr>
        <w:t>: והתניא כותיה דר' אמי! אף על גב דתניא כותיה דר' אמי, מסתברא טעמא דרב יהודה משום שבח בית אביה.</w:t>
      </w:r>
      <w:r w:rsidRPr="00ED3532">
        <w:rPr>
          <w:rtl/>
        </w:rPr>
        <w:t xml:space="preserve"> </w:t>
      </w:r>
      <w:r w:rsidRPr="00ED3532">
        <w:rPr>
          <w:rFonts w:cs="Arial"/>
          <w:rtl/>
        </w:rPr>
        <w:t xml:space="preserve">ההיא איתתא דעיילה ליה לגברא איצטלא דמילתא בכתובתה, שכיב, שקלוה יתמי ופרסוה אמיתנא, </w:t>
      </w:r>
      <w:r w:rsidRPr="00ED3532">
        <w:rPr>
          <w:rFonts w:cs="Arial"/>
          <w:u w:val="single"/>
          <w:rtl/>
        </w:rPr>
        <w:t>אמר רבא</w:t>
      </w:r>
      <w:r w:rsidRPr="00ED3532">
        <w:rPr>
          <w:rFonts w:cs="Arial"/>
          <w:rtl/>
        </w:rPr>
        <w:t>: קנייה מיתנא</w:t>
      </w:r>
      <w:r>
        <w:rPr>
          <w:rStyle w:val="a7"/>
          <w:rFonts w:cs="Arial"/>
          <w:rtl/>
        </w:rPr>
        <w:footnoteReference w:id="1860"/>
      </w:r>
      <w:r w:rsidRPr="00ED3532">
        <w:rPr>
          <w:rFonts w:cs="Arial"/>
          <w:rtl/>
        </w:rPr>
        <w:t xml:space="preserve">. </w:t>
      </w:r>
      <w:r w:rsidRPr="00ED3532">
        <w:rPr>
          <w:rFonts w:cs="Arial"/>
          <w:u w:val="single"/>
          <w:rtl/>
        </w:rPr>
        <w:t>אמר ליה נאנאי בריה דרב יוסף בריה דרבא לרב כהנא</w:t>
      </w:r>
      <w:r>
        <w:rPr>
          <w:rFonts w:cs="Arial" w:hint="cs"/>
          <w:rtl/>
        </w:rPr>
        <w:t>:</w:t>
      </w:r>
      <w:r w:rsidRPr="00ED3532">
        <w:rPr>
          <w:rFonts w:cs="Arial"/>
          <w:rtl/>
        </w:rPr>
        <w:t xml:space="preserve"> והאמר רבא אמר רב נחמן הלכה כרב יהודה! </w:t>
      </w:r>
      <w:r w:rsidRPr="00ED3532">
        <w:rPr>
          <w:rFonts w:cs="Arial"/>
          <w:u w:val="single"/>
          <w:rtl/>
        </w:rPr>
        <w:t>אמר ליה</w:t>
      </w:r>
      <w:r w:rsidRPr="00ED3532">
        <w:rPr>
          <w:rFonts w:cs="Arial"/>
          <w:rtl/>
        </w:rPr>
        <w:t>: מי לא מודה רב יהודה דמחוסר גוביינא? וכיון דמחוסר גוביינא - ברשותיה קאי</w:t>
      </w:r>
      <w:r>
        <w:rPr>
          <w:rFonts w:cs="Arial" w:hint="cs"/>
          <w:rtl/>
        </w:rPr>
        <w:t>.</w:t>
      </w:r>
      <w:r w:rsidRPr="00ED3532">
        <w:rPr>
          <w:rFonts w:cs="Arial"/>
          <w:rtl/>
        </w:rPr>
        <w:t xml:space="preserve"> רבא לטעמיה, דאמר רבא: הקדש, חמץ</w:t>
      </w:r>
      <w:r>
        <w:rPr>
          <w:rFonts w:cs="Arial" w:hint="cs"/>
          <w:sz w:val="14"/>
          <w:szCs w:val="14"/>
          <w:rtl/>
        </w:rPr>
        <w:t xml:space="preserve"> (סז.)</w:t>
      </w:r>
      <w:r w:rsidRPr="005661E8">
        <w:rPr>
          <w:rFonts w:cs="Arial"/>
          <w:rtl/>
        </w:rPr>
        <w:t xml:space="preserve"> </w:t>
      </w:r>
      <w:r w:rsidRPr="00ED3532">
        <w:rPr>
          <w:rFonts w:cs="Arial"/>
          <w:rtl/>
        </w:rPr>
        <w:t>ושחרור - מפקיעין מידי שעבוד.</w:t>
      </w:r>
      <w:r w:rsidRPr="00750751">
        <w:rPr>
          <w:rFonts w:cs="Arial"/>
          <w:rtl/>
        </w:rPr>
        <w:t xml:space="preserve"> </w:t>
      </w:r>
      <w:r w:rsidRPr="007A617E">
        <w:rPr>
          <w:rFonts w:cs="Arial"/>
          <w:u w:val="single"/>
          <w:rtl/>
        </w:rPr>
        <w:t>א"ר יהודה</w:t>
      </w:r>
      <w:r w:rsidRPr="007A617E">
        <w:rPr>
          <w:rFonts w:cs="Arial"/>
          <w:rtl/>
        </w:rPr>
        <w:t>: הכניסה לו שני כלים באלף זוז, ושבחו ועמדו על שני אלפים, אחד נוטלתו בכתובתה, ואחד נותנת דמים ונוטלתו מפני שבח בית אביה. מאי קא משמע לן? שבח בית אביה דידה הוי, הא אמרה רב יהודה חדא זימנא! מהו דתימא, ה"מ היכא דמטיא למשקל בכתובתה, אבל מיתן דמי ומישקל לא, קמ"ל.</w:t>
      </w:r>
    </w:p>
    <w:p w14:paraId="085B7866" w14:textId="77777777" w:rsidR="002E5BAD" w:rsidRDefault="002E5BAD" w:rsidP="002E5BAD">
      <w:pPr>
        <w:rPr>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Pr>
          <w:rFonts w:cs="Arial" w:hint="cs"/>
          <w:b/>
          <w:bCs/>
          <w:rtl/>
        </w:rPr>
        <w:t>ב</w:t>
      </w:r>
      <w:r w:rsidRPr="00B226F6">
        <w:rPr>
          <w:rFonts w:cs="Arial" w:hint="cs"/>
          <w:b/>
          <w:bCs/>
          <w:rtl/>
        </w:rPr>
        <w:t xml:space="preserve">: </w:t>
      </w:r>
      <w:r>
        <w:rPr>
          <w:rFonts w:cs="Arial" w:hint="cs"/>
          <w:rtl/>
        </w:rPr>
        <w:t>ד</w:t>
      </w:r>
      <w:r w:rsidRPr="00B226F6">
        <w:rPr>
          <w:rFonts w:cs="Arial"/>
          <w:rtl/>
        </w:rPr>
        <w:t>תניא: ולד בהמת מלוג - לבעל, ולד שפחת מלוג - לאשה</w:t>
      </w:r>
      <w:r w:rsidRPr="00B226F6">
        <w:rPr>
          <w:rFonts w:cs="Arial" w:hint="cs"/>
          <w:rtl/>
        </w:rPr>
        <w:t>.</w:t>
      </w:r>
      <w:r w:rsidRPr="00B226F6">
        <w:rPr>
          <w:rFonts w:cs="Arial"/>
          <w:rtl/>
        </w:rPr>
        <w:t xml:space="preserve"> </w:t>
      </w:r>
      <w:r w:rsidRPr="00B226F6">
        <w:rPr>
          <w:rFonts w:cs="Arial"/>
          <w:u w:val="single"/>
          <w:rtl/>
        </w:rPr>
        <w:t>וחנניה בן אחי יאשיה אמר</w:t>
      </w:r>
      <w:r w:rsidRPr="00B226F6">
        <w:rPr>
          <w:rFonts w:cs="Arial"/>
          <w:rtl/>
        </w:rPr>
        <w:t>: עשו ולד שפחת מלוג כולד בהמת מלוג</w:t>
      </w:r>
      <w:r>
        <w:rPr>
          <w:rFonts w:cs="Arial" w:hint="cs"/>
          <w:rtl/>
        </w:rPr>
        <w:t>..</w:t>
      </w:r>
      <w:r w:rsidRPr="00B226F6">
        <w:rPr>
          <w:rFonts w:cs="Arial"/>
          <w:rtl/>
        </w:rPr>
        <w:t>.</w:t>
      </w:r>
      <w:r w:rsidRPr="00B226F6">
        <w:rPr>
          <w:rtl/>
        </w:rPr>
        <w:t xml:space="preserve"> </w:t>
      </w:r>
      <w:r w:rsidRPr="00B226F6">
        <w:rPr>
          <w:rFonts w:cs="Arial"/>
          <w:u w:val="single"/>
          <w:rtl/>
        </w:rPr>
        <w:t>אמר רב הונא בר חייא אמר שמואל</w:t>
      </w:r>
      <w:r w:rsidRPr="00B226F6">
        <w:rPr>
          <w:rFonts w:cs="Arial"/>
          <w:rtl/>
        </w:rPr>
        <w:t xml:space="preserve">: הלכה כחנניה. </w:t>
      </w:r>
      <w:r w:rsidRPr="00B226F6">
        <w:rPr>
          <w:rFonts w:cs="Arial"/>
          <w:u w:val="single"/>
          <w:rtl/>
        </w:rPr>
        <w:t>אמר רבא אמר רב נחמן</w:t>
      </w:r>
      <w:r>
        <w:rPr>
          <w:rFonts w:cs="Arial" w:hint="cs"/>
          <w:rtl/>
        </w:rPr>
        <w:t>:</w:t>
      </w:r>
      <w:r w:rsidRPr="00B226F6">
        <w:rPr>
          <w:rFonts w:cs="Arial"/>
          <w:rtl/>
        </w:rPr>
        <w:t xml:space="preserve"> אף על גב דאמר שמואל הלכה כחנניה, מודה חנניה, שאם נתגרשה - נותנת דמים ונוטלתן, מפני שבח בית אביה.</w:t>
      </w:r>
    </w:p>
    <w:p w14:paraId="382692CF" w14:textId="77777777" w:rsidR="002E5BAD" w:rsidRDefault="002E5BAD" w:rsidP="002E5BAD">
      <w:pPr>
        <w:rPr>
          <w:u w:val="single"/>
          <w:rtl/>
        </w:rPr>
      </w:pPr>
      <w:r w:rsidRPr="00454C92">
        <w:rPr>
          <w:rFonts w:cs="Arial"/>
          <w:u w:val="single"/>
          <w:rtl/>
        </w:rPr>
        <w:t>האשה שיוצאת מתחת ידי בעלה</w:t>
      </w:r>
      <w:r>
        <w:rPr>
          <w:rFonts w:cs="Arial" w:hint="cs"/>
          <w:u w:val="single"/>
          <w:rtl/>
        </w:rPr>
        <w:t xml:space="preserve"> </w:t>
      </w:r>
      <w:r>
        <w:rPr>
          <w:rFonts w:cs="Arial"/>
          <w:u w:val="single"/>
          <w:rtl/>
        </w:rPr>
        <w:t>–</w:t>
      </w:r>
      <w:r>
        <w:rPr>
          <w:rFonts w:cs="Arial" w:hint="cs"/>
          <w:u w:val="single"/>
          <w:rtl/>
        </w:rPr>
        <w:t xml:space="preserve"> מה נוטלת עמה</w:t>
      </w:r>
      <w:r>
        <w:rPr>
          <w:rFonts w:hint="cs"/>
          <w:u w:val="single"/>
          <w:rtl/>
        </w:rPr>
        <w:t>:</w:t>
      </w:r>
    </w:p>
    <w:p w14:paraId="3ADADA0E" w14:textId="77777777" w:rsidR="002E5BAD" w:rsidRDefault="002E5BAD" w:rsidP="002E5BAD">
      <w:pPr>
        <w:pStyle w:val="ab"/>
        <w:numPr>
          <w:ilvl w:val="0"/>
          <w:numId w:val="183"/>
        </w:numPr>
        <w:rPr>
          <w:rFonts w:cs="Arial"/>
        </w:rPr>
      </w:pPr>
      <w:r w:rsidRPr="00C57802">
        <w:rPr>
          <w:rFonts w:cs="Arial" w:hint="cs"/>
          <w:rtl/>
        </w:rPr>
        <w:t xml:space="preserve">טור- </w:t>
      </w:r>
      <w:r w:rsidRPr="00C57802">
        <w:rPr>
          <w:rFonts w:cs="Arial"/>
          <w:rtl/>
        </w:rPr>
        <w:t>האשה שיוצאת מתחת ידי בעלה</w:t>
      </w:r>
      <w:r w:rsidRPr="00C57802">
        <w:rPr>
          <w:rFonts w:cs="Arial" w:hint="cs"/>
          <w:rtl/>
        </w:rPr>
        <w:t>,</w:t>
      </w:r>
      <w:r w:rsidRPr="00C57802">
        <w:rPr>
          <w:rFonts w:cs="Arial"/>
          <w:rtl/>
        </w:rPr>
        <w:t xml:space="preserve"> בין במיתתו בין בגירושין</w:t>
      </w:r>
      <w:r w:rsidRPr="00C57802">
        <w:rPr>
          <w:rFonts w:cs="Arial" w:hint="cs"/>
          <w:rtl/>
        </w:rPr>
        <w:t>,</w:t>
      </w:r>
      <w:r w:rsidRPr="00C57802">
        <w:rPr>
          <w:rFonts w:cs="Arial"/>
          <w:rtl/>
        </w:rPr>
        <w:t xml:space="preserve"> נוטלת כל נכסיה בלא שבועה בין נכסי מלוג בין נכסי צאן ברזל</w:t>
      </w:r>
      <w:r w:rsidRPr="00C57802">
        <w:rPr>
          <w:rFonts w:cs="Arial" w:hint="cs"/>
          <w:rtl/>
        </w:rPr>
        <w:t>,</w:t>
      </w:r>
      <w:r w:rsidRPr="00C57802">
        <w:rPr>
          <w:rFonts w:cs="Arial"/>
          <w:rtl/>
        </w:rPr>
        <w:t xml:space="preserve"> אף על פי שהאלמנה אינה נוטלת כתובתה אלא בשבועה</w:t>
      </w:r>
      <w:r w:rsidRPr="00C57802">
        <w:rPr>
          <w:rFonts w:cs="Arial" w:hint="cs"/>
          <w:rtl/>
        </w:rPr>
        <w:t>,</w:t>
      </w:r>
      <w:r w:rsidRPr="00C57802">
        <w:rPr>
          <w:rFonts w:cs="Arial"/>
          <w:rtl/>
        </w:rPr>
        <w:t xml:space="preserve"> נכסיה נוטלת בלא שבועה</w:t>
      </w:r>
      <w:r w:rsidRPr="00C57802">
        <w:rPr>
          <w:rFonts w:cs="Arial" w:hint="cs"/>
          <w:rtl/>
        </w:rPr>
        <w:t>.</w:t>
      </w:r>
      <w:r>
        <w:rPr>
          <w:rFonts w:cs="Arial" w:hint="cs"/>
          <w:rtl/>
        </w:rPr>
        <w:t xml:space="preserve"> </w:t>
      </w:r>
      <w:r w:rsidRPr="00A6197B">
        <w:rPr>
          <w:rFonts w:hint="cs"/>
          <w:color w:val="E36C0A" w:themeColor="accent6" w:themeShade="BF"/>
          <w:rtl/>
        </w:rPr>
        <w:t>(וכ"פ בשו"ע)</w:t>
      </w:r>
    </w:p>
    <w:p w14:paraId="78EC102B" w14:textId="77777777" w:rsidR="002E5BAD" w:rsidRPr="00DF351A" w:rsidRDefault="002E5BAD" w:rsidP="002E5BAD">
      <w:pPr>
        <w:ind w:left="360"/>
        <w:rPr>
          <w:rFonts w:cs="Arial"/>
          <w:u w:val="dotted"/>
        </w:rPr>
      </w:pPr>
      <w:r>
        <w:rPr>
          <w:rFonts w:cs="Arial" w:hint="cs"/>
          <w:u w:val="dotted"/>
          <w:rtl/>
        </w:rPr>
        <w:t xml:space="preserve">נטילת </w:t>
      </w:r>
      <w:r w:rsidRPr="00DF351A">
        <w:rPr>
          <w:rFonts w:cs="Arial" w:hint="cs"/>
          <w:u w:val="dotted"/>
          <w:rtl/>
        </w:rPr>
        <w:t xml:space="preserve">נכסי מלוג </w:t>
      </w:r>
      <w:r w:rsidRPr="00DF351A">
        <w:rPr>
          <w:rFonts w:cs="Arial"/>
          <w:u w:val="dotted"/>
          <w:rtl/>
        </w:rPr>
        <w:t>–</w:t>
      </w:r>
      <w:r w:rsidRPr="00DF351A">
        <w:rPr>
          <w:rFonts w:cs="Arial" w:hint="cs"/>
          <w:u w:val="dotted"/>
          <w:rtl/>
        </w:rPr>
        <w:t xml:space="preserve"> כיצד:</w:t>
      </w:r>
    </w:p>
    <w:p w14:paraId="13352D99" w14:textId="77777777" w:rsidR="002E5BAD" w:rsidRDefault="002E5BAD" w:rsidP="002E5BAD">
      <w:pPr>
        <w:pStyle w:val="ab"/>
        <w:numPr>
          <w:ilvl w:val="0"/>
          <w:numId w:val="183"/>
        </w:numPr>
        <w:rPr>
          <w:rFonts w:cs="Arial"/>
        </w:rPr>
      </w:pPr>
      <w:r>
        <w:rPr>
          <w:rFonts w:cs="Arial" w:hint="cs"/>
          <w:rtl/>
        </w:rPr>
        <w:t xml:space="preserve">טור- </w:t>
      </w:r>
      <w:r w:rsidRPr="00C57802">
        <w:rPr>
          <w:rFonts w:cs="Arial"/>
          <w:rtl/>
        </w:rPr>
        <w:t>ונכסי מלוג נוטלתן כמו שהן</w:t>
      </w:r>
      <w:r w:rsidRPr="00C57802">
        <w:rPr>
          <w:rFonts w:cs="Arial" w:hint="cs"/>
          <w:rtl/>
        </w:rPr>
        <w:t>,</w:t>
      </w:r>
      <w:r w:rsidRPr="00C57802">
        <w:rPr>
          <w:rFonts w:cs="Arial"/>
          <w:rtl/>
        </w:rPr>
        <w:t xml:space="preserve"> אפי' בלו הרבה ואין ראויים לעשות בהן מעין מלאכה ראשונה</w:t>
      </w:r>
      <w:r>
        <w:rPr>
          <w:rStyle w:val="a7"/>
          <w:rFonts w:cs="Arial"/>
          <w:rtl/>
        </w:rPr>
        <w:footnoteReference w:id="1861"/>
      </w:r>
      <w:r w:rsidRPr="00C57802">
        <w:rPr>
          <w:rFonts w:cs="Arial" w:hint="cs"/>
          <w:rtl/>
        </w:rPr>
        <w:t>.</w:t>
      </w:r>
      <w:r w:rsidRPr="00AE16D0">
        <w:rPr>
          <w:rFonts w:cs="Arial"/>
          <w:rtl/>
        </w:rPr>
        <w:t xml:space="preserve"> </w:t>
      </w:r>
      <w:r w:rsidRPr="00A6197B">
        <w:rPr>
          <w:rFonts w:hint="cs"/>
          <w:color w:val="E36C0A" w:themeColor="accent6" w:themeShade="BF"/>
          <w:rtl/>
        </w:rPr>
        <w:t>(וכ"פ בשו"ע)</w:t>
      </w:r>
    </w:p>
    <w:p w14:paraId="7A22F050" w14:textId="77777777" w:rsidR="002E5BAD" w:rsidRPr="00DF351A" w:rsidRDefault="002E5BAD" w:rsidP="002E5BAD">
      <w:pPr>
        <w:ind w:left="360"/>
        <w:rPr>
          <w:rFonts w:cs="Arial"/>
          <w:u w:val="dotted"/>
        </w:rPr>
      </w:pPr>
      <w:r>
        <w:rPr>
          <w:rFonts w:cs="Arial" w:hint="cs"/>
          <w:u w:val="dotted"/>
          <w:rtl/>
        </w:rPr>
        <w:t xml:space="preserve">נטילת </w:t>
      </w:r>
      <w:r w:rsidRPr="00DF351A">
        <w:rPr>
          <w:rFonts w:cs="Arial" w:hint="cs"/>
          <w:u w:val="dotted"/>
          <w:rtl/>
        </w:rPr>
        <w:t>נכסי צאן ברזל</w:t>
      </w:r>
      <w:r>
        <w:rPr>
          <w:rFonts w:cs="Arial" w:hint="cs"/>
          <w:sz w:val="16"/>
          <w:szCs w:val="16"/>
          <w:u w:val="dotted"/>
          <w:rtl/>
        </w:rPr>
        <w:t xml:space="preserve"> (מדינא דגמרא)</w:t>
      </w:r>
      <w:r w:rsidRPr="00DF351A">
        <w:rPr>
          <w:rFonts w:cs="Arial" w:hint="cs"/>
          <w:u w:val="dotted"/>
          <w:rtl/>
        </w:rPr>
        <w:t xml:space="preserve"> </w:t>
      </w:r>
      <w:r>
        <w:rPr>
          <w:rFonts w:cs="Arial" w:hint="cs"/>
          <w:u w:val="dotted"/>
          <w:rtl/>
        </w:rPr>
        <w:t xml:space="preserve">- </w:t>
      </w:r>
      <w:r w:rsidRPr="00DF351A">
        <w:rPr>
          <w:rFonts w:cs="Arial" w:hint="cs"/>
          <w:u w:val="dotted"/>
          <w:rtl/>
        </w:rPr>
        <w:t>כיצד:</w:t>
      </w:r>
    </w:p>
    <w:p w14:paraId="296A33EF" w14:textId="77777777" w:rsidR="002E5BAD" w:rsidRDefault="002E5BAD" w:rsidP="002E5BAD">
      <w:pPr>
        <w:pStyle w:val="ab"/>
        <w:numPr>
          <w:ilvl w:val="0"/>
          <w:numId w:val="183"/>
        </w:numPr>
        <w:rPr>
          <w:rFonts w:cs="Arial"/>
        </w:rPr>
      </w:pPr>
      <w:r>
        <w:rPr>
          <w:rFonts w:cs="Arial" w:hint="cs"/>
          <w:rtl/>
        </w:rPr>
        <w:t xml:space="preserve">טור- </w:t>
      </w:r>
      <w:r w:rsidRPr="00C57802">
        <w:rPr>
          <w:rFonts w:cs="Arial"/>
          <w:rtl/>
        </w:rPr>
        <w:t>ונכסי צאן ברזל מדינא דגמרא כיון שהם באחריותו נוטלתן כמו ששמו אותן תחלה</w:t>
      </w:r>
      <w:r w:rsidRPr="00C57802">
        <w:rPr>
          <w:rFonts w:cs="Arial" w:hint="cs"/>
          <w:rtl/>
        </w:rPr>
        <w:t>,</w:t>
      </w:r>
      <w:r w:rsidRPr="00C57802">
        <w:rPr>
          <w:rFonts w:cs="Arial"/>
          <w:rtl/>
        </w:rPr>
        <w:t xml:space="preserve"> ואם פחתו משלימין לה כל הפחת</w:t>
      </w:r>
      <w:r w:rsidRPr="00C57802">
        <w:rPr>
          <w:rFonts w:cs="Arial" w:hint="cs"/>
          <w:rtl/>
        </w:rPr>
        <w:t>,</w:t>
      </w:r>
      <w:r w:rsidRPr="00C57802">
        <w:rPr>
          <w:rFonts w:cs="Arial"/>
          <w:rtl/>
        </w:rPr>
        <w:t xml:space="preserve"> וכך אם הותירו בחיי הבעל המותר ליורשים</w:t>
      </w:r>
      <w:r w:rsidRPr="00C57802">
        <w:rPr>
          <w:rFonts w:cs="Arial" w:hint="cs"/>
          <w:rtl/>
        </w:rPr>
        <w:t>,</w:t>
      </w:r>
      <w:r w:rsidRPr="00C57802">
        <w:rPr>
          <w:rFonts w:cs="Arial"/>
          <w:rtl/>
        </w:rPr>
        <w:t xml:space="preserve"> אלא שהיא נותנת דמים ונוטלתן</w:t>
      </w:r>
      <w:r>
        <w:rPr>
          <w:rFonts w:cs="Arial" w:hint="cs"/>
          <w:rtl/>
        </w:rPr>
        <w:t>.</w:t>
      </w:r>
      <w:r w:rsidRPr="0027706B">
        <w:rPr>
          <w:rFonts w:cs="Arial"/>
          <w:rtl/>
        </w:rPr>
        <w:t xml:space="preserve"> </w:t>
      </w:r>
      <w:r w:rsidRPr="00C57802">
        <w:rPr>
          <w:rFonts w:cs="Arial"/>
          <w:rtl/>
        </w:rPr>
        <w:t>כגון אם הכניסה לו שני כלים באלף זוז ושבחו ועמדו על אלפים</w:t>
      </w:r>
      <w:r w:rsidRPr="00C57802">
        <w:rPr>
          <w:rFonts w:cs="Arial" w:hint="cs"/>
          <w:rtl/>
        </w:rPr>
        <w:t>,</w:t>
      </w:r>
      <w:r w:rsidRPr="00C57802">
        <w:rPr>
          <w:rFonts w:cs="Arial"/>
          <w:rtl/>
        </w:rPr>
        <w:t xml:space="preserve"> האחד נוטלתו בלא דמים</w:t>
      </w:r>
      <w:r w:rsidRPr="00C57802">
        <w:rPr>
          <w:rFonts w:cs="Arial" w:hint="cs"/>
          <w:rtl/>
        </w:rPr>
        <w:t>,</w:t>
      </w:r>
      <w:r w:rsidRPr="00C57802">
        <w:rPr>
          <w:rFonts w:cs="Arial"/>
          <w:rtl/>
        </w:rPr>
        <w:t xml:space="preserve"> והשני נותנת דמיו ונ</w:t>
      </w:r>
      <w:r w:rsidRPr="00C57802">
        <w:rPr>
          <w:rFonts w:cs="Arial" w:hint="cs"/>
          <w:rtl/>
        </w:rPr>
        <w:t>ו</w:t>
      </w:r>
      <w:r w:rsidRPr="00C57802">
        <w:rPr>
          <w:rFonts w:cs="Arial"/>
          <w:rtl/>
        </w:rPr>
        <w:t>טלתו</w:t>
      </w:r>
      <w:r w:rsidRPr="00C57802">
        <w:rPr>
          <w:rFonts w:cs="Arial" w:hint="cs"/>
          <w:rtl/>
        </w:rPr>
        <w:t>.</w:t>
      </w:r>
      <w:r w:rsidRPr="00C57802">
        <w:rPr>
          <w:rFonts w:cs="Arial"/>
          <w:rtl/>
        </w:rPr>
        <w:t xml:space="preserve"> וכן </w:t>
      </w:r>
      <w:r w:rsidRPr="00C57802">
        <w:rPr>
          <w:rFonts w:cs="Arial"/>
          <w:rtl/>
        </w:rPr>
        <w:lastRenderedPageBreak/>
        <w:t>הולדות של שפחה ובהמה ונכסי מלוג אע</w:t>
      </w:r>
      <w:r>
        <w:rPr>
          <w:rFonts w:cs="Arial" w:hint="cs"/>
          <w:rtl/>
        </w:rPr>
        <w:t>"</w:t>
      </w:r>
      <w:r w:rsidRPr="00C57802">
        <w:rPr>
          <w:rFonts w:cs="Arial"/>
          <w:rtl/>
        </w:rPr>
        <w:t>פ שהן של הבעל כשיוצאת נותנת דמיהן ונוטלתן</w:t>
      </w:r>
      <w:r>
        <w:rPr>
          <w:rStyle w:val="a7"/>
          <w:rFonts w:cs="Arial"/>
          <w:rtl/>
        </w:rPr>
        <w:footnoteReference w:id="1862"/>
      </w:r>
      <w:r w:rsidRPr="00C57802">
        <w:rPr>
          <w:rFonts w:cs="Arial" w:hint="cs"/>
          <w:rtl/>
        </w:rPr>
        <w:t>.</w:t>
      </w:r>
      <w:r>
        <w:rPr>
          <w:rFonts w:cs="Arial" w:hint="cs"/>
          <w:rtl/>
        </w:rPr>
        <w:t>..</w:t>
      </w:r>
      <w:r w:rsidRPr="00442018">
        <w:rPr>
          <w:rFonts w:cs="Arial"/>
          <w:rtl/>
        </w:rPr>
        <w:t xml:space="preserve"> ומ"מ אם הקדישו היורשים נכסי צאן ברזל שלה אחרי מות אביה או שהיה בגד ופירשו אותו על המת –</w:t>
      </w:r>
      <w:r w:rsidRPr="00442018">
        <w:rPr>
          <w:rFonts w:cs="Arial" w:hint="cs"/>
          <w:rtl/>
        </w:rPr>
        <w:t xml:space="preserve"> </w:t>
      </w:r>
      <w:r w:rsidRPr="00442018">
        <w:rPr>
          <w:rFonts w:cs="Arial"/>
          <w:rtl/>
        </w:rPr>
        <w:t>נאסר</w:t>
      </w:r>
      <w:r w:rsidRPr="00442018">
        <w:rPr>
          <w:rFonts w:cs="Arial" w:hint="cs"/>
          <w:rtl/>
        </w:rPr>
        <w:t>,</w:t>
      </w:r>
      <w:r w:rsidRPr="00442018">
        <w:rPr>
          <w:rFonts w:cs="Arial"/>
          <w:rtl/>
        </w:rPr>
        <w:t xml:space="preserve"> ונותנין לה דמיו</w:t>
      </w:r>
      <w:r>
        <w:rPr>
          <w:rFonts w:cs="Arial" w:hint="cs"/>
          <w:rtl/>
        </w:rPr>
        <w:t>.</w:t>
      </w:r>
      <w:r w:rsidRPr="00442018">
        <w:rPr>
          <w:rFonts w:cs="Arial"/>
          <w:rtl/>
        </w:rPr>
        <w:t xml:space="preserve"> </w:t>
      </w:r>
      <w:r w:rsidRPr="00A6197B">
        <w:rPr>
          <w:rFonts w:hint="cs"/>
          <w:color w:val="E36C0A" w:themeColor="accent6" w:themeShade="BF"/>
          <w:rtl/>
        </w:rPr>
        <w:t>(וכ"פ בשו"ע</w:t>
      </w:r>
      <w:r>
        <w:rPr>
          <w:rFonts w:hint="cs"/>
          <w:color w:val="000000" w:themeColor="text1"/>
          <w:sz w:val="16"/>
          <w:szCs w:val="16"/>
          <w:rtl/>
        </w:rPr>
        <w:t xml:space="preserve"> </w:t>
      </w:r>
      <w:r w:rsidRPr="00A97378">
        <w:rPr>
          <w:rFonts w:hint="cs"/>
          <w:color w:val="000000" w:themeColor="text1"/>
          <w:sz w:val="16"/>
          <w:szCs w:val="16"/>
          <w:rtl/>
        </w:rPr>
        <w:t xml:space="preserve">[בסע' </w:t>
      </w:r>
      <w:r>
        <w:rPr>
          <w:rFonts w:hint="cs"/>
          <w:color w:val="000000" w:themeColor="text1"/>
          <w:sz w:val="16"/>
          <w:szCs w:val="16"/>
          <w:rtl/>
        </w:rPr>
        <w:t>ג ובסע' ה</w:t>
      </w:r>
      <w:r w:rsidRPr="00A97378">
        <w:rPr>
          <w:rFonts w:hint="cs"/>
          <w:color w:val="000000" w:themeColor="text1"/>
          <w:sz w:val="16"/>
          <w:szCs w:val="16"/>
          <w:rtl/>
        </w:rPr>
        <w:t>]</w:t>
      </w:r>
      <w:r w:rsidRPr="00A6197B">
        <w:rPr>
          <w:rFonts w:hint="cs"/>
          <w:color w:val="E36C0A" w:themeColor="accent6" w:themeShade="BF"/>
          <w:rtl/>
        </w:rPr>
        <w:t>)</w:t>
      </w:r>
    </w:p>
    <w:p w14:paraId="6A572FDD" w14:textId="77777777" w:rsidR="002E5BAD" w:rsidRPr="00454C92" w:rsidRDefault="002E5BAD" w:rsidP="002E5BAD">
      <w:pPr>
        <w:ind w:left="360"/>
        <w:rPr>
          <w:rFonts w:cs="Arial"/>
          <w:u w:val="dotted"/>
        </w:rPr>
      </w:pPr>
      <w:r>
        <w:rPr>
          <w:rFonts w:cs="Arial" w:hint="cs"/>
          <w:u w:val="dotted"/>
          <w:rtl/>
        </w:rPr>
        <w:t>מנהג אחר בדין נכסי צאן ברזל:</w:t>
      </w:r>
    </w:p>
    <w:p w14:paraId="2DD41B89" w14:textId="77777777" w:rsidR="002E5BAD" w:rsidRDefault="002E5BAD" w:rsidP="002E5BAD">
      <w:pPr>
        <w:pStyle w:val="ab"/>
        <w:numPr>
          <w:ilvl w:val="0"/>
          <w:numId w:val="183"/>
        </w:numPr>
        <w:rPr>
          <w:rFonts w:cs="Arial"/>
        </w:rPr>
      </w:pPr>
      <w:r w:rsidRPr="00C57802">
        <w:rPr>
          <w:rFonts w:cs="Arial"/>
          <w:rtl/>
        </w:rPr>
        <w:t>רי"ף</w:t>
      </w:r>
      <w:r>
        <w:rPr>
          <w:rStyle w:val="a7"/>
          <w:rFonts w:cs="Arial"/>
          <w:rtl/>
        </w:rPr>
        <w:footnoteReference w:id="1863"/>
      </w:r>
      <w:r w:rsidRPr="00C57802">
        <w:rPr>
          <w:rFonts w:cs="Arial"/>
          <w:rtl/>
        </w:rPr>
        <w:t xml:space="preserve"> </w:t>
      </w:r>
      <w:r w:rsidRPr="00C57802">
        <w:rPr>
          <w:rFonts w:cs="Arial"/>
          <w:sz w:val="16"/>
          <w:szCs w:val="16"/>
          <w:rtl/>
        </w:rPr>
        <w:t>(כא:)</w:t>
      </w:r>
      <w:r>
        <w:rPr>
          <w:rFonts w:cs="Arial" w:hint="cs"/>
          <w:rtl/>
        </w:rPr>
        <w:t xml:space="preserve"> </w:t>
      </w:r>
      <w:r w:rsidRPr="00442018">
        <w:rPr>
          <w:rFonts w:cs="Arial"/>
          <w:rtl/>
        </w:rPr>
        <w:t xml:space="preserve">רמב"ם </w:t>
      </w:r>
      <w:r w:rsidRPr="00442018">
        <w:rPr>
          <w:rFonts w:cs="Arial" w:hint="cs"/>
          <w:sz w:val="16"/>
          <w:szCs w:val="16"/>
          <w:rtl/>
        </w:rPr>
        <w:t>(</w:t>
      </w:r>
      <w:r w:rsidRPr="00442018">
        <w:rPr>
          <w:rFonts w:cs="Arial"/>
          <w:sz w:val="16"/>
          <w:szCs w:val="16"/>
          <w:rtl/>
        </w:rPr>
        <w:t>פכ"ב מאישות הל"ה)</w:t>
      </w:r>
      <w:r>
        <w:rPr>
          <w:rFonts w:cs="Arial" w:hint="cs"/>
          <w:rtl/>
        </w:rPr>
        <w:t xml:space="preserve"> </w:t>
      </w:r>
      <w:r>
        <w:rPr>
          <w:rFonts w:cs="Arial"/>
          <w:rtl/>
        </w:rPr>
        <w:t xml:space="preserve">רא"ש </w:t>
      </w:r>
      <w:r w:rsidRPr="00442018">
        <w:rPr>
          <w:rFonts w:cs="Arial"/>
          <w:sz w:val="16"/>
          <w:szCs w:val="16"/>
          <w:rtl/>
        </w:rPr>
        <w:t>(סי' ג)</w:t>
      </w:r>
      <w:r>
        <w:rPr>
          <w:rFonts w:cs="Arial" w:hint="cs"/>
          <w:rtl/>
        </w:rPr>
        <w:t xml:space="preserve"> וטור- </w:t>
      </w:r>
      <w:r w:rsidRPr="00442018">
        <w:rPr>
          <w:rFonts w:cs="Arial"/>
          <w:rtl/>
        </w:rPr>
        <w:t xml:space="preserve">אלא שנהגו שכל זמן שראוין </w:t>
      </w:r>
      <w:r>
        <w:rPr>
          <w:rFonts w:cs="Arial" w:hint="cs"/>
          <w:sz w:val="16"/>
          <w:szCs w:val="16"/>
          <w:rtl/>
        </w:rPr>
        <w:t xml:space="preserve">{הנצ"ב} </w:t>
      </w:r>
      <w:r w:rsidRPr="00442018">
        <w:rPr>
          <w:rFonts w:cs="Arial"/>
          <w:rtl/>
        </w:rPr>
        <w:t>לעשות בהן מעין מלאכתן ראשונה שנוטלתן כמו שהם</w:t>
      </w:r>
      <w:r w:rsidRPr="00442018">
        <w:rPr>
          <w:rFonts w:cs="Arial" w:hint="cs"/>
          <w:rtl/>
        </w:rPr>
        <w:t>,</w:t>
      </w:r>
      <w:r w:rsidRPr="00442018">
        <w:rPr>
          <w:rFonts w:cs="Arial"/>
          <w:rtl/>
        </w:rPr>
        <w:t xml:space="preserve"> אבל אם אין ראויין למלאכתם ראשונה משלמין לה כל דמיהן</w:t>
      </w:r>
      <w:r w:rsidRPr="00442018">
        <w:rPr>
          <w:rFonts w:cs="Arial" w:hint="cs"/>
          <w:rtl/>
        </w:rPr>
        <w:t>.</w:t>
      </w:r>
      <w:r w:rsidRPr="00442018">
        <w:rPr>
          <w:rFonts w:cs="Arial"/>
          <w:rtl/>
        </w:rPr>
        <w:t xml:space="preserve"> וכ"כ רב אלפס אע"ג דמדינא דגמ' נכסי צאן ברזל שפחתו צריך לשלם כל הפחת אע</w:t>
      </w:r>
      <w:r w:rsidRPr="00442018">
        <w:rPr>
          <w:rFonts w:cs="Arial" w:hint="cs"/>
          <w:rtl/>
        </w:rPr>
        <w:t>"</w:t>
      </w:r>
      <w:r w:rsidRPr="00442018">
        <w:rPr>
          <w:rFonts w:cs="Arial"/>
          <w:rtl/>
        </w:rPr>
        <w:t>ג דראויין למלאכתם ראשונה</w:t>
      </w:r>
      <w:r>
        <w:rPr>
          <w:rFonts w:cs="Arial" w:hint="cs"/>
          <w:rtl/>
        </w:rPr>
        <w:t xml:space="preserve">, </w:t>
      </w:r>
      <w:r w:rsidRPr="00442018">
        <w:rPr>
          <w:rFonts w:cs="Arial"/>
          <w:rtl/>
        </w:rPr>
        <w:t>מ"מ כיון דלא נהוג עלמא הכי כל מאן דמקבל צאן ברזל אדעתא דמנהגא מקבל הלכך לא מקבל אלא לפום מנהגא וכל זמן שראויין למלאכתן ראשונה אין צריך לשלם</w:t>
      </w:r>
      <w:r w:rsidRPr="00442018">
        <w:rPr>
          <w:rFonts w:cs="Arial" w:hint="cs"/>
          <w:rtl/>
        </w:rPr>
        <w:t>.</w:t>
      </w:r>
      <w:r w:rsidRPr="00442018">
        <w:rPr>
          <w:rFonts w:cs="Arial"/>
          <w:rtl/>
        </w:rPr>
        <w:t xml:space="preserve"> ע"כ</w:t>
      </w:r>
      <w:r w:rsidRPr="00442018">
        <w:rPr>
          <w:rFonts w:cs="Arial" w:hint="cs"/>
          <w:rtl/>
        </w:rPr>
        <w:t>.</w:t>
      </w:r>
      <w:r w:rsidRPr="00442018">
        <w:rPr>
          <w:rFonts w:cs="Arial"/>
          <w:rtl/>
        </w:rPr>
        <w:t xml:space="preserve"> אבל בהותירו לא כתב כלל</w:t>
      </w:r>
      <w:r w:rsidRPr="00442018">
        <w:rPr>
          <w:rFonts w:cs="Arial" w:hint="cs"/>
          <w:rtl/>
        </w:rPr>
        <w:t>.</w:t>
      </w:r>
      <w:r w:rsidRPr="00442018">
        <w:rPr>
          <w:rFonts w:cs="Arial"/>
          <w:rtl/>
        </w:rPr>
        <w:t xml:space="preserve"> והרמב"ם הוסיף לומר אף בהותירו</w:t>
      </w:r>
      <w:r w:rsidRPr="00442018">
        <w:rPr>
          <w:rFonts w:cs="Arial" w:hint="cs"/>
          <w:rtl/>
        </w:rPr>
        <w:t>,</w:t>
      </w:r>
      <w:r w:rsidRPr="00442018">
        <w:rPr>
          <w:rFonts w:cs="Arial"/>
          <w:rtl/>
        </w:rPr>
        <w:t xml:space="preserve"> שכתב</w:t>
      </w:r>
      <w:r w:rsidRPr="00442018">
        <w:rPr>
          <w:rFonts w:cs="Arial" w:hint="cs"/>
          <w:rtl/>
        </w:rPr>
        <w:t>-</w:t>
      </w:r>
      <w:r w:rsidRPr="00442018">
        <w:rPr>
          <w:rFonts w:cs="Arial"/>
          <w:rtl/>
        </w:rPr>
        <w:t xml:space="preserve"> הורו הגאונים נכסי צאן ברזל אע</w:t>
      </w:r>
      <w:r w:rsidRPr="00442018">
        <w:rPr>
          <w:rFonts w:cs="Arial" w:hint="cs"/>
          <w:rtl/>
        </w:rPr>
        <w:t>"</w:t>
      </w:r>
      <w:r w:rsidRPr="00442018">
        <w:rPr>
          <w:rFonts w:cs="Arial"/>
          <w:rtl/>
        </w:rPr>
        <w:t>פ שפחיתותן על הבעל</w:t>
      </w:r>
      <w:r w:rsidRPr="00442018">
        <w:rPr>
          <w:rFonts w:cs="Arial" w:hint="cs"/>
          <w:rtl/>
        </w:rPr>
        <w:t>,</w:t>
      </w:r>
      <w:r w:rsidRPr="00442018">
        <w:rPr>
          <w:rFonts w:cs="Arial"/>
          <w:rtl/>
        </w:rPr>
        <w:t xml:space="preserve"> אם הבלאות קיימין ועושין בהן כעין מלאכתן ראשונה נוטלתן כמו שהן</w:t>
      </w:r>
      <w:r w:rsidRPr="00442018">
        <w:rPr>
          <w:rFonts w:cs="Arial" w:hint="cs"/>
          <w:rtl/>
        </w:rPr>
        <w:t>,</w:t>
      </w:r>
      <w:r w:rsidRPr="00442018">
        <w:rPr>
          <w:rFonts w:cs="Arial"/>
          <w:rtl/>
        </w:rPr>
        <w:t xml:space="preserve"> ואם אין ראויין למלאכתן ראשונה הוי כמו שנגנב או שאבד וחייב לשלם דמיהן כמו ששמו אותן בשעת נישואין</w:t>
      </w:r>
      <w:r w:rsidRPr="00442018">
        <w:rPr>
          <w:rFonts w:cs="Arial" w:hint="cs"/>
          <w:rtl/>
        </w:rPr>
        <w:t>,</w:t>
      </w:r>
      <w:r w:rsidRPr="00442018">
        <w:rPr>
          <w:rFonts w:cs="Arial"/>
          <w:rtl/>
        </w:rPr>
        <w:t xml:space="preserve"> ומנהג פשוט הוא</w:t>
      </w:r>
      <w:r w:rsidRPr="00442018">
        <w:rPr>
          <w:rFonts w:cs="Arial" w:hint="cs"/>
          <w:rtl/>
        </w:rPr>
        <w:t>,</w:t>
      </w:r>
      <w:r w:rsidRPr="00442018">
        <w:rPr>
          <w:rFonts w:cs="Arial"/>
          <w:rtl/>
        </w:rPr>
        <w:t xml:space="preserve"> וכל הנושא אשה על מנהג זה הוא מקבל עליו אחריות הנדוניא</w:t>
      </w:r>
      <w:r w:rsidRPr="00442018">
        <w:rPr>
          <w:rFonts w:cs="Arial" w:hint="cs"/>
          <w:rtl/>
        </w:rPr>
        <w:t>,</w:t>
      </w:r>
      <w:r w:rsidRPr="00442018">
        <w:rPr>
          <w:rFonts w:cs="Arial"/>
          <w:rtl/>
        </w:rPr>
        <w:t xml:space="preserve"> וכמו שאינו מקבל הפחת כך אינו מקבל השבח אם הותירו דמיהן לפי מנהג זה ע"כ</w:t>
      </w:r>
      <w:r>
        <w:rPr>
          <w:rFonts w:cs="Arial" w:hint="cs"/>
          <w:sz w:val="16"/>
          <w:szCs w:val="16"/>
          <w:rtl/>
        </w:rPr>
        <w:t xml:space="preserve"> (ל' הטור)</w:t>
      </w:r>
      <w:r w:rsidRPr="00442018">
        <w:rPr>
          <w:rFonts w:cs="Arial" w:hint="cs"/>
          <w:rtl/>
        </w:rPr>
        <w:t>.</w:t>
      </w:r>
      <w:r w:rsidRPr="00442018">
        <w:rPr>
          <w:rFonts w:cs="Arial"/>
          <w:rtl/>
        </w:rPr>
        <w:t xml:space="preserve"> </w:t>
      </w:r>
    </w:p>
    <w:p w14:paraId="3D311FFA" w14:textId="77777777" w:rsidR="002E5BAD" w:rsidRPr="00454C92" w:rsidRDefault="002E5BAD" w:rsidP="002E5BAD">
      <w:pPr>
        <w:ind w:left="360"/>
        <w:rPr>
          <w:rFonts w:cs="Arial"/>
          <w:u w:val="dotted"/>
        </w:rPr>
      </w:pPr>
      <w:r w:rsidRPr="00454C92">
        <w:rPr>
          <w:rFonts w:cs="Arial" w:hint="cs"/>
          <w:u w:val="dotted"/>
          <w:rtl/>
        </w:rPr>
        <w:t>מה הדין במקום שלא נוהגים בו כנ"ל אלא פוסקים כדינא דגמרא:</w:t>
      </w:r>
    </w:p>
    <w:p w14:paraId="20A47F0E" w14:textId="77777777" w:rsidR="002E5BAD" w:rsidRPr="0027706B" w:rsidRDefault="002E5BAD" w:rsidP="002E5BAD">
      <w:pPr>
        <w:pStyle w:val="ab"/>
        <w:numPr>
          <w:ilvl w:val="0"/>
          <w:numId w:val="183"/>
        </w:numPr>
      </w:pPr>
      <w:r>
        <w:rPr>
          <w:rFonts w:cs="Arial" w:hint="cs"/>
          <w:rtl/>
        </w:rPr>
        <w:t xml:space="preserve">ב"י- </w:t>
      </w:r>
      <w:r w:rsidRPr="0027706B">
        <w:rPr>
          <w:rFonts w:cs="Arial"/>
          <w:rtl/>
        </w:rPr>
        <w:t xml:space="preserve">כתב הרב המגיד </w:t>
      </w:r>
      <w:r w:rsidRPr="00454C92">
        <w:rPr>
          <w:rFonts w:cs="Arial" w:hint="cs"/>
          <w:sz w:val="16"/>
          <w:szCs w:val="16"/>
          <w:rtl/>
        </w:rPr>
        <w:t>(פכ"ב מאישות הל"ה)</w:t>
      </w:r>
      <w:r>
        <w:rPr>
          <w:rFonts w:cs="Arial" w:hint="cs"/>
          <w:rtl/>
        </w:rPr>
        <w:t xml:space="preserve"> </w:t>
      </w:r>
      <w:r w:rsidRPr="0027706B">
        <w:rPr>
          <w:rFonts w:cs="Arial"/>
          <w:rtl/>
        </w:rPr>
        <w:t>וידוע שאין מנהג ארצותינו כן אלא כדין התלמוד ונכסי צאן ברזל הרי הן כחוב גמור על הבעל עכ"ל</w:t>
      </w:r>
      <w:r>
        <w:rPr>
          <w:rStyle w:val="a7"/>
          <w:rFonts w:cs="Arial"/>
          <w:rtl/>
        </w:rPr>
        <w:footnoteReference w:id="1864"/>
      </w:r>
      <w:r w:rsidRPr="0027706B">
        <w:rPr>
          <w:rFonts w:cs="Arial"/>
          <w:rtl/>
        </w:rPr>
        <w:t xml:space="preserve">. ונראה לי שאותו מנהג שכתבו הרי"ף והר"מ לא נאמר אלא במקום שנוהגים לכתוב בכתובה </w:t>
      </w:r>
      <w:r>
        <w:rPr>
          <w:rFonts w:cs="Arial" w:hint="cs"/>
          <w:rtl/>
        </w:rPr>
        <w:t>'</w:t>
      </w:r>
      <w:r w:rsidRPr="0027706B">
        <w:rPr>
          <w:rFonts w:cs="Arial"/>
          <w:rtl/>
        </w:rPr>
        <w:t>הכניסה לו כלי פלוני בכך וכך וכלי פלוני בכך וכך</w:t>
      </w:r>
      <w:r>
        <w:rPr>
          <w:rFonts w:cs="Arial" w:hint="cs"/>
          <w:rtl/>
        </w:rPr>
        <w:t>',</w:t>
      </w:r>
      <w:r w:rsidRPr="0027706B">
        <w:rPr>
          <w:rFonts w:cs="Arial"/>
          <w:rtl/>
        </w:rPr>
        <w:t xml:space="preserve"> וכמו שנוהגים עוד היום בני רומניא והמערב</w:t>
      </w:r>
      <w:r>
        <w:rPr>
          <w:rFonts w:cs="Arial" w:hint="cs"/>
          <w:rtl/>
        </w:rPr>
        <w:t>.</w:t>
      </w:r>
      <w:r w:rsidRPr="0027706B">
        <w:rPr>
          <w:rFonts w:cs="Arial"/>
          <w:rtl/>
        </w:rPr>
        <w:t xml:space="preserve"> אבל כגון אנו שאין כותבין בכתובה שום כלי בפרטות אלא כוללים הכל וכותבין </w:t>
      </w:r>
      <w:r>
        <w:rPr>
          <w:rFonts w:cs="Arial" w:hint="cs"/>
          <w:rtl/>
        </w:rPr>
        <w:t>'</w:t>
      </w:r>
      <w:r w:rsidRPr="0027706B">
        <w:rPr>
          <w:rFonts w:cs="Arial"/>
          <w:rtl/>
        </w:rPr>
        <w:t>הכניסה לו בבגדים ותכשיטין סך כך וכך פרחים</w:t>
      </w:r>
      <w:r>
        <w:rPr>
          <w:rFonts w:cs="Arial" w:hint="cs"/>
          <w:rtl/>
        </w:rPr>
        <w:t>'</w:t>
      </w:r>
      <w:r w:rsidRPr="0027706B">
        <w:rPr>
          <w:rFonts w:cs="Arial"/>
          <w:rtl/>
        </w:rPr>
        <w:t xml:space="preserve"> </w:t>
      </w:r>
      <w:r>
        <w:rPr>
          <w:rFonts w:cs="Arial" w:hint="cs"/>
          <w:rtl/>
        </w:rPr>
        <w:t xml:space="preserve">- </w:t>
      </w:r>
      <w:r w:rsidRPr="0027706B">
        <w:rPr>
          <w:rFonts w:cs="Arial"/>
          <w:rtl/>
        </w:rPr>
        <w:t>אין מקום לאותו מנהג כלל</w:t>
      </w:r>
      <w:r w:rsidRPr="0027706B">
        <w:rPr>
          <w:rFonts w:cs="Arial" w:hint="cs"/>
          <w:rtl/>
        </w:rPr>
        <w:t>,</w:t>
      </w:r>
      <w:r w:rsidRPr="0027706B">
        <w:rPr>
          <w:rFonts w:cs="Arial"/>
          <w:rtl/>
        </w:rPr>
        <w:t xml:space="preserve"> וזה דבר ברור. ואחר שנים שכתבתי זה</w:t>
      </w:r>
      <w:r>
        <w:rPr>
          <w:rFonts w:cs="Arial" w:hint="cs"/>
          <w:rtl/>
        </w:rPr>
        <w:t>,</w:t>
      </w:r>
      <w:r w:rsidRPr="0027706B">
        <w:rPr>
          <w:rFonts w:cs="Arial"/>
          <w:rtl/>
        </w:rPr>
        <w:t xml:space="preserve"> קם חכם אחד ופסק כמנהג שכתבו הרי"ף והרמב"ם אף לנוהגים שלא לכתוב שום כלי בפרטות</w:t>
      </w:r>
      <w:r>
        <w:rPr>
          <w:rFonts w:cs="Arial" w:hint="cs"/>
          <w:rtl/>
        </w:rPr>
        <w:t>,</w:t>
      </w:r>
      <w:r w:rsidRPr="0027706B">
        <w:rPr>
          <w:rFonts w:cs="Arial"/>
          <w:rtl/>
        </w:rPr>
        <w:t xml:space="preserve"> וחלקנו עליו</w:t>
      </w:r>
      <w:r>
        <w:rPr>
          <w:rFonts w:cs="Arial" w:hint="cs"/>
          <w:rtl/>
        </w:rPr>
        <w:t>,</w:t>
      </w:r>
      <w:r w:rsidRPr="0027706B">
        <w:rPr>
          <w:rFonts w:cs="Arial"/>
          <w:rtl/>
        </w:rPr>
        <w:t xml:space="preserve"> והוא כתב לחזק דבריו</w:t>
      </w:r>
      <w:r>
        <w:rPr>
          <w:rFonts w:cs="Arial" w:hint="cs"/>
          <w:rtl/>
        </w:rPr>
        <w:t>,</w:t>
      </w:r>
      <w:r w:rsidRPr="0027706B">
        <w:rPr>
          <w:rFonts w:cs="Arial"/>
          <w:rtl/>
        </w:rPr>
        <w:t xml:space="preserve"> ואני כתבתי לסתור כל דבריו</w:t>
      </w:r>
      <w:r>
        <w:rPr>
          <w:rFonts w:cs="Arial" w:hint="cs"/>
          <w:rtl/>
        </w:rPr>
        <w:t>,</w:t>
      </w:r>
      <w:r w:rsidRPr="0027706B">
        <w:rPr>
          <w:rFonts w:cs="Arial"/>
          <w:rtl/>
        </w:rPr>
        <w:t xml:space="preserve"> והסכימו עמי כל חכמי העיר הזאת צפ"ת תבנה ותיכונן במהרה בימינו. והבאתי ראיה מתשובת הריב"ש בסימן כ"א ובסימן ק'</w:t>
      </w:r>
      <w:r w:rsidRPr="0027706B">
        <w:rPr>
          <w:rFonts w:cs="Arial" w:hint="cs"/>
          <w:rtl/>
        </w:rPr>
        <w:t>,</w:t>
      </w:r>
      <w:r w:rsidRPr="0027706B">
        <w:rPr>
          <w:rFonts w:cs="Arial"/>
          <w:rtl/>
        </w:rPr>
        <w:t xml:space="preserve"> כי שם האריך בזה לאשר ולקיים דברי</w:t>
      </w:r>
      <w:r>
        <w:rPr>
          <w:rFonts w:cs="Arial" w:hint="cs"/>
          <w:rtl/>
        </w:rPr>
        <w:t>,</w:t>
      </w:r>
      <w:r w:rsidRPr="0027706B">
        <w:rPr>
          <w:rFonts w:cs="Arial"/>
          <w:rtl/>
        </w:rPr>
        <w:t xml:space="preserve"> עם היותם ברורים בעצמם ופשוטים בטעמם ונימוקם עמם ואינם צריכים חיזוק</w:t>
      </w:r>
      <w:r w:rsidRPr="0027706B">
        <w:rPr>
          <w:rFonts w:cs="Arial" w:hint="cs"/>
          <w:rtl/>
        </w:rPr>
        <w:t>.</w:t>
      </w:r>
      <w:r w:rsidRPr="00AE16D0">
        <w:rPr>
          <w:rFonts w:cs="Arial"/>
          <w:rtl/>
        </w:rPr>
        <w:t xml:space="preserve"> </w:t>
      </w:r>
      <w:r w:rsidRPr="00A6197B">
        <w:rPr>
          <w:rFonts w:hint="cs"/>
          <w:color w:val="E36C0A" w:themeColor="accent6" w:themeShade="BF"/>
          <w:rtl/>
        </w:rPr>
        <w:t>(וכ"פ בשו"ע</w:t>
      </w:r>
      <w:r>
        <w:rPr>
          <w:rFonts w:hint="cs"/>
          <w:color w:val="000000" w:themeColor="text1"/>
          <w:sz w:val="16"/>
          <w:szCs w:val="16"/>
          <w:rtl/>
        </w:rPr>
        <w:t xml:space="preserve"> </w:t>
      </w:r>
      <w:r w:rsidRPr="00A97378">
        <w:rPr>
          <w:rFonts w:hint="cs"/>
          <w:color w:val="000000" w:themeColor="text1"/>
          <w:sz w:val="16"/>
          <w:szCs w:val="16"/>
          <w:rtl/>
        </w:rPr>
        <w:t>[בסע' ב]</w:t>
      </w:r>
      <w:r w:rsidRPr="00A6197B">
        <w:rPr>
          <w:rFonts w:hint="cs"/>
          <w:color w:val="E36C0A" w:themeColor="accent6" w:themeShade="BF"/>
          <w:rtl/>
        </w:rPr>
        <w:t>)</w:t>
      </w:r>
    </w:p>
    <w:p w14:paraId="61AB0FA1" w14:textId="77777777" w:rsidR="002E5BAD" w:rsidRPr="007E3EDE" w:rsidRDefault="002E5BAD" w:rsidP="002E5BAD">
      <w:pPr>
        <w:rPr>
          <w:u w:val="single"/>
        </w:rPr>
      </w:pPr>
      <w:r w:rsidRPr="007E3EDE">
        <w:rPr>
          <w:rFonts w:hint="cs"/>
          <w:u w:val="single"/>
          <w:rtl/>
        </w:rPr>
        <w:t>באלו נכסי צאן ברזל אמר רב יהודה שהדי</w:t>
      </w:r>
      <w:r>
        <w:rPr>
          <w:rFonts w:hint="cs"/>
          <w:u w:val="single"/>
          <w:rtl/>
        </w:rPr>
        <w:t>ן</w:t>
      </w:r>
      <w:r w:rsidRPr="007E3EDE">
        <w:rPr>
          <w:rFonts w:hint="cs"/>
          <w:u w:val="single"/>
          <w:rtl/>
        </w:rPr>
        <w:t xml:space="preserve"> עמה </w:t>
      </w:r>
      <w:r w:rsidRPr="007E3EDE">
        <w:rPr>
          <w:rFonts w:hint="cs"/>
          <w:sz w:val="16"/>
          <w:szCs w:val="16"/>
          <w:u w:val="single"/>
          <w:rtl/>
        </w:rPr>
        <w:t>(ונוטלת אותם משום שבח בית אביה</w:t>
      </w:r>
      <w:r>
        <w:rPr>
          <w:rFonts w:hint="cs"/>
          <w:sz w:val="16"/>
          <w:szCs w:val="16"/>
          <w:u w:val="single"/>
          <w:rtl/>
        </w:rPr>
        <w:t>)</w:t>
      </w:r>
      <w:r w:rsidRPr="007E3EDE">
        <w:rPr>
          <w:rFonts w:hint="cs"/>
          <w:u w:val="single"/>
          <w:rtl/>
        </w:rPr>
        <w:t>:</w:t>
      </w:r>
    </w:p>
    <w:p w14:paraId="7A8381A1" w14:textId="77777777" w:rsidR="002E5BAD" w:rsidRDefault="002E5BAD" w:rsidP="002E5BAD">
      <w:pPr>
        <w:pStyle w:val="ab"/>
        <w:numPr>
          <w:ilvl w:val="0"/>
          <w:numId w:val="183"/>
        </w:numPr>
        <w:rPr>
          <w:rtl/>
        </w:rPr>
      </w:pPr>
      <w:r>
        <w:rPr>
          <w:rFonts w:cs="Arial" w:hint="cs"/>
          <w:rtl/>
        </w:rPr>
        <w:t>ריב"ש</w:t>
      </w:r>
      <w:r w:rsidRPr="007E3EDE">
        <w:rPr>
          <w:rFonts w:cs="Arial" w:hint="cs"/>
          <w:sz w:val="16"/>
          <w:szCs w:val="16"/>
          <w:rtl/>
        </w:rPr>
        <w:t xml:space="preserve"> (סי' שסח)</w:t>
      </w:r>
      <w:r>
        <w:rPr>
          <w:rFonts w:cs="Arial" w:hint="cs"/>
          <w:rtl/>
        </w:rPr>
        <w:t xml:space="preserve">- </w:t>
      </w:r>
      <w:r w:rsidRPr="00844E7D">
        <w:rPr>
          <w:rFonts w:cs="Arial"/>
          <w:rtl/>
        </w:rPr>
        <w:t>זה הדין של רב יהודה איתיה בכל נכסים שהביאה בנדוניא בין מטלטלין בין קרקע והוא הדין לקרקע שהכניס לה שום משלו אף על פי שלא היה מבית אביה כשהיא יוצאה נוטלתו משום שבח בית אביה כיון שקנאתו ממה שהכניסה לו מבית אביה וכן פירש זה הרמב"ן</w:t>
      </w:r>
      <w:r>
        <w:rPr>
          <w:rFonts w:cs="Arial" w:hint="cs"/>
          <w:rtl/>
        </w:rPr>
        <w:t>.</w:t>
      </w:r>
    </w:p>
    <w:p w14:paraId="2210FE2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0F28047" w14:textId="77777777" w:rsidR="002E5BAD" w:rsidRDefault="002E5BAD" w:rsidP="002E5BAD">
      <w:pPr>
        <w:rPr>
          <w:rtl/>
        </w:rPr>
      </w:pPr>
      <w:r>
        <w:rPr>
          <w:rFonts w:cs="Arial"/>
          <w:rtl/>
        </w:rPr>
        <w:t>האשה שיוצאת מתחת יד בעלה, בין במיתה בין בגרושין, נוטלת כל נכסיה בלא שבועה</w:t>
      </w:r>
      <w:r>
        <w:rPr>
          <w:rStyle w:val="a7"/>
          <w:rFonts w:cs="Arial"/>
          <w:rtl/>
        </w:rPr>
        <w:footnoteReference w:id="1865"/>
      </w:r>
      <w:r>
        <w:rPr>
          <w:rFonts w:cs="Arial"/>
          <w:rtl/>
        </w:rPr>
        <w:t xml:space="preserve">, בין נכסי מלוג בין נכסי צאן ברזל, אף על פי שאינה נוטלת כתובתה </w:t>
      </w:r>
      <w:r>
        <w:rPr>
          <w:rFonts w:cs="Arial" w:hint="cs"/>
          <w:sz w:val="18"/>
          <w:szCs w:val="18"/>
          <w:rtl/>
        </w:rPr>
        <w:t xml:space="preserve">[הגה] </w:t>
      </w:r>
      <w:r w:rsidRPr="007A617E">
        <w:rPr>
          <w:rFonts w:cs="Arial"/>
          <w:sz w:val="18"/>
          <w:szCs w:val="18"/>
          <w:rtl/>
        </w:rPr>
        <w:t xml:space="preserve">כשהיא אלמנה (טור) </w:t>
      </w:r>
      <w:r>
        <w:rPr>
          <w:rFonts w:cs="Arial"/>
          <w:rtl/>
        </w:rPr>
        <w:t xml:space="preserve">אלא בשבועה, נכסיה נוטלת בלא שבועה. ונכסי מלוג </w:t>
      </w:r>
      <w:r>
        <w:rPr>
          <w:rFonts w:cs="Arial"/>
          <w:rtl/>
        </w:rPr>
        <w:lastRenderedPageBreak/>
        <w:t>נוטלתן כמו שהם, אפילו בלו הרבה ואין ראוי לעשות בהם מעין מלאכתן ראשונה. ואם אבדו לגמרי</w:t>
      </w:r>
      <w:r>
        <w:rPr>
          <w:rStyle w:val="a7"/>
          <w:rFonts w:cs="Arial"/>
          <w:rtl/>
        </w:rPr>
        <w:footnoteReference w:id="1866"/>
      </w:r>
      <w:r>
        <w:rPr>
          <w:rFonts w:cs="Arial"/>
          <w:rtl/>
        </w:rPr>
        <w:t xml:space="preserve">, אינו משלם לה. ואם הוקרו, הוקרו לה. </w:t>
      </w:r>
      <w:r w:rsidRPr="007A617E">
        <w:rPr>
          <w:rFonts w:cs="Arial"/>
          <w:sz w:val="18"/>
          <w:szCs w:val="18"/>
          <w:rtl/>
        </w:rPr>
        <w:t>(ועיין לקמן סימן צ"ג סעיף א' אם יכולה לתבוע בחיי בעלה).</w:t>
      </w:r>
      <w:r>
        <w:rPr>
          <w:rFonts w:cs="Arial"/>
          <w:rtl/>
        </w:rPr>
        <w:t xml:space="preserve"> </w:t>
      </w:r>
    </w:p>
    <w:p w14:paraId="722FC50F" w14:textId="77777777" w:rsidR="002E5BAD" w:rsidRDefault="002E5BAD" w:rsidP="002E5BAD">
      <w:pPr>
        <w:rPr>
          <w:rtl/>
        </w:rPr>
      </w:pPr>
    </w:p>
    <w:p w14:paraId="2DA7C32B" w14:textId="77777777" w:rsidR="002E5BAD" w:rsidRDefault="002E5BAD" w:rsidP="002E5BAD">
      <w:pPr>
        <w:pStyle w:val="2"/>
        <w:rPr>
          <w:rtl/>
        </w:rPr>
      </w:pPr>
      <w:r>
        <w:rPr>
          <w:rtl/>
        </w:rPr>
        <w:t>סעיף ב</w:t>
      </w:r>
      <w:r>
        <w:rPr>
          <w:rFonts w:hint="cs"/>
          <w:rtl/>
        </w:rPr>
        <w:t>: נטילת נכסי צאן ברזל כיצד.</w:t>
      </w:r>
    </w:p>
    <w:p w14:paraId="17F70B3C" w14:textId="77777777" w:rsidR="002E5BAD" w:rsidRPr="00B13E97" w:rsidRDefault="002E5BAD" w:rsidP="002E5BAD">
      <w:pPr>
        <w:rPr>
          <w:rtl/>
        </w:rPr>
      </w:pPr>
      <w:r>
        <w:rPr>
          <w:rFonts w:hint="cs"/>
          <w:rtl/>
        </w:rPr>
        <w:t>עיין במקורות בסעיף א'.</w:t>
      </w:r>
    </w:p>
    <w:p w14:paraId="7B76C2A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6157F6B" w14:textId="77777777" w:rsidR="002E5BAD" w:rsidRDefault="002E5BAD" w:rsidP="002E5BAD">
      <w:pPr>
        <w:rPr>
          <w:rtl/>
        </w:rPr>
      </w:pPr>
      <w:r>
        <w:rPr>
          <w:rFonts w:cs="Arial"/>
          <w:rtl/>
        </w:rPr>
        <w:t>נכסי צאן ברזל שהם נקראים נדוניא, מן הדין אם פחתו צריך לשלם כל הפחת, אף על פי שראויה למלאכתן ראשונה. אבל נהגו שכל זמן שראויים לעשות מעין מלאכתן ראשונה, אפילו הם בלויין הרבה, נוטלתן כמו שהן</w:t>
      </w:r>
      <w:r>
        <w:rPr>
          <w:rFonts w:cs="Arial" w:hint="cs"/>
          <w:rtl/>
        </w:rPr>
        <w:t>.</w:t>
      </w:r>
      <w:r>
        <w:rPr>
          <w:rFonts w:cs="Arial"/>
          <w:rtl/>
        </w:rPr>
        <w:t xml:space="preserve"> ואם לא היו עושין מעין מלאכתן ראשונה, חייב לשלם דמיהם ששמו עליו בשעת הנשואין</w:t>
      </w:r>
      <w:r>
        <w:rPr>
          <w:rFonts w:cs="Arial" w:hint="cs"/>
          <w:rtl/>
        </w:rPr>
        <w:t>.</w:t>
      </w:r>
      <w:r>
        <w:rPr>
          <w:rFonts w:cs="Arial"/>
          <w:rtl/>
        </w:rPr>
        <w:t xml:space="preserve"> ואם הוקרו, אינה נוטלתן אלא </w:t>
      </w:r>
      <w:r>
        <w:rPr>
          <w:rFonts w:cs="Arial" w:hint="cs"/>
          <w:rtl/>
        </w:rPr>
        <w:t>ב</w:t>
      </w:r>
      <w:r>
        <w:rPr>
          <w:rFonts w:cs="Arial"/>
          <w:rtl/>
        </w:rPr>
        <w:t>שומא ראשונה של שעת הנשואין</w:t>
      </w:r>
      <w:r>
        <w:rPr>
          <w:rStyle w:val="a7"/>
          <w:rFonts w:cs="Arial"/>
          <w:rtl/>
        </w:rPr>
        <w:footnoteReference w:id="1867"/>
      </w:r>
      <w:r>
        <w:rPr>
          <w:rFonts w:cs="Arial"/>
          <w:rtl/>
        </w:rPr>
        <w:t>. ב</w:t>
      </w:r>
      <w:r>
        <w:rPr>
          <w:rFonts w:cs="Arial" w:hint="cs"/>
          <w:rtl/>
        </w:rPr>
        <w:t xml:space="preserve">מה דברים </w:t>
      </w:r>
      <w:r>
        <w:rPr>
          <w:rFonts w:cs="Arial"/>
          <w:rtl/>
        </w:rPr>
        <w:t>א</w:t>
      </w:r>
      <w:r>
        <w:rPr>
          <w:rFonts w:cs="Arial" w:hint="cs"/>
          <w:rtl/>
        </w:rPr>
        <w:t>מורים</w:t>
      </w:r>
      <w:r>
        <w:rPr>
          <w:rFonts w:cs="Arial"/>
          <w:rtl/>
        </w:rPr>
        <w:t>, במקום שנוהגין לכתוב בכתובה: הכניסה לו כלי פלוני בסך כך וכך, וכלי פלוני בסך כך וכך</w:t>
      </w:r>
      <w:r>
        <w:rPr>
          <w:rFonts w:cs="Arial" w:hint="cs"/>
          <w:rtl/>
        </w:rPr>
        <w:t>.ד</w:t>
      </w:r>
      <w:r>
        <w:rPr>
          <w:rFonts w:cs="Arial"/>
          <w:rtl/>
        </w:rPr>
        <w:t xml:space="preserve"> אבל במקום שאין כותבין בכתובה שום כלי בפרטות, אלא כוללים הכל, וכותבין: הכניסה לו בבגדים ותכשיטים סך כך וכך מעות, הרי סך אותן המעות חוב עליו, ואפילו היו הנכסים חדשים חוזרים לשום אותם כמו ששוים עכשיו, ואם פחתו פחתו לו, ואם הותירו הותירו לו, ואין חוששים לשומא ראשונה כלל. </w:t>
      </w:r>
    </w:p>
    <w:p w14:paraId="51C5F91F" w14:textId="77777777" w:rsidR="002E5BAD" w:rsidRDefault="002E5BAD" w:rsidP="002E5BAD">
      <w:pPr>
        <w:rPr>
          <w:rtl/>
        </w:rPr>
      </w:pPr>
    </w:p>
    <w:p w14:paraId="32F2FE84" w14:textId="77777777" w:rsidR="002E5BAD" w:rsidRDefault="002E5BAD" w:rsidP="002E5BAD">
      <w:pPr>
        <w:pStyle w:val="2"/>
        <w:rPr>
          <w:rtl/>
        </w:rPr>
      </w:pPr>
      <w:r>
        <w:rPr>
          <w:rtl/>
        </w:rPr>
        <w:t>סעיף ג</w:t>
      </w:r>
      <w:r>
        <w:rPr>
          <w:rFonts w:hint="cs"/>
          <w:rtl/>
        </w:rPr>
        <w:t xml:space="preserve">: </w:t>
      </w:r>
      <w:r>
        <w:rPr>
          <w:rFonts w:cs="Arial" w:hint="cs"/>
          <w:rtl/>
        </w:rPr>
        <w:t>אשה שרוצה את הכלים שלה, והוא רוצה לתת דמים. דין ולדות מלוג. נצ"ב שהתייקרו.</w:t>
      </w:r>
    </w:p>
    <w:p w14:paraId="2F1AE924" w14:textId="77777777" w:rsidR="002E5BAD" w:rsidRPr="00A97378" w:rsidRDefault="002E5BAD" w:rsidP="002E5BAD">
      <w:pPr>
        <w:rPr>
          <w:rtl/>
        </w:rPr>
      </w:pPr>
      <w:r>
        <w:rPr>
          <w:rFonts w:hint="cs"/>
          <w:rtl/>
        </w:rPr>
        <w:t>עיין במקורות בסעיף א'.</w:t>
      </w:r>
    </w:p>
    <w:p w14:paraId="366EE61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77DDC4B" w14:textId="77777777" w:rsidR="002E5BAD" w:rsidRDefault="002E5BAD" w:rsidP="002E5BAD">
      <w:pPr>
        <w:rPr>
          <w:rtl/>
        </w:rPr>
      </w:pPr>
      <w:r>
        <w:rPr>
          <w:rFonts w:cs="Arial"/>
          <w:rtl/>
        </w:rPr>
        <w:t>אם היא אומרת: כלי אני נוטלת, והוא אומר: דמיה אני נותן, שומעין לה</w:t>
      </w:r>
      <w:r>
        <w:rPr>
          <w:rStyle w:val="a7"/>
          <w:rFonts w:cs="Arial"/>
          <w:rtl/>
        </w:rPr>
        <w:footnoteReference w:id="1868"/>
      </w:r>
      <w:r>
        <w:rPr>
          <w:rFonts w:cs="Arial" w:hint="cs"/>
          <w:rtl/>
        </w:rPr>
        <w:t>,</w:t>
      </w:r>
      <w:r>
        <w:rPr>
          <w:rFonts w:cs="Arial"/>
          <w:rtl/>
        </w:rPr>
        <w:t xml:space="preserve"> והוא שיהיו עושין מעין מלאכתן</w:t>
      </w:r>
      <w:r>
        <w:rPr>
          <w:rStyle w:val="a7"/>
          <w:rFonts w:cs="Arial"/>
          <w:rtl/>
        </w:rPr>
        <w:footnoteReference w:id="1869"/>
      </w:r>
      <w:r>
        <w:rPr>
          <w:rFonts w:cs="Arial" w:hint="cs"/>
          <w:rtl/>
        </w:rPr>
        <w:t>.</w:t>
      </w:r>
      <w:r>
        <w:rPr>
          <w:rFonts w:cs="Arial"/>
          <w:rtl/>
        </w:rPr>
        <w:t xml:space="preserve"> וה</w:t>
      </w:r>
      <w:r>
        <w:rPr>
          <w:rFonts w:cs="Arial" w:hint="cs"/>
          <w:rtl/>
        </w:rPr>
        <w:t xml:space="preserve">וא </w:t>
      </w:r>
      <w:r>
        <w:rPr>
          <w:rFonts w:cs="Arial"/>
          <w:rtl/>
        </w:rPr>
        <w:t>ה</w:t>
      </w:r>
      <w:r>
        <w:rPr>
          <w:rFonts w:cs="Arial" w:hint="cs"/>
          <w:rtl/>
        </w:rPr>
        <w:t>דין</w:t>
      </w:r>
      <w:r>
        <w:rPr>
          <w:rFonts w:cs="Arial"/>
          <w:rtl/>
        </w:rPr>
        <w:t xml:space="preserve"> לולדות של שפחה ובהמה</w:t>
      </w:r>
      <w:r>
        <w:rPr>
          <w:rStyle w:val="a7"/>
          <w:rFonts w:cs="Arial"/>
          <w:rtl/>
        </w:rPr>
        <w:footnoteReference w:id="1870"/>
      </w:r>
      <w:r>
        <w:rPr>
          <w:rFonts w:cs="Arial"/>
          <w:rtl/>
        </w:rPr>
        <w:t xml:space="preserve"> של נכסי מלוג. ולא עוד, אלא אפילו הכניסה לו שני כלים או שתי שפחות בתורת נכסי צאן ברזל, ושמו אותם עליו באלף זוז, והוקרו ועמדו באלפים, נוטלת אחד באלף שלה, והשני אם רצתה לתת דמיו ולנטלו משום שבח בית אביה, שומעין לה. </w:t>
      </w:r>
    </w:p>
    <w:p w14:paraId="1278FE38" w14:textId="77777777" w:rsidR="002E5BAD" w:rsidRDefault="002E5BAD" w:rsidP="002E5BAD">
      <w:pPr>
        <w:rPr>
          <w:rtl/>
        </w:rPr>
      </w:pPr>
    </w:p>
    <w:p w14:paraId="46BD5D12" w14:textId="77777777" w:rsidR="002E5BAD" w:rsidRDefault="002E5BAD" w:rsidP="002E5BAD">
      <w:pPr>
        <w:pStyle w:val="2"/>
        <w:rPr>
          <w:rtl/>
        </w:rPr>
      </w:pPr>
      <w:r>
        <w:rPr>
          <w:rtl/>
        </w:rPr>
        <w:t>סעיף ד</w:t>
      </w:r>
      <w:r>
        <w:rPr>
          <w:rFonts w:hint="cs"/>
          <w:rtl/>
        </w:rPr>
        <w:t xml:space="preserve">: </w:t>
      </w:r>
      <w:r>
        <w:rPr>
          <w:rFonts w:cs="Arial" w:hint="cs"/>
          <w:rtl/>
        </w:rPr>
        <w:t>אשה שאינה רוצה את הכלים שלה (נצ"ב), אלא מעות.</w:t>
      </w:r>
    </w:p>
    <w:p w14:paraId="69A85440" w14:textId="77777777" w:rsidR="002E5BAD" w:rsidRDefault="002E5BAD" w:rsidP="002E5BAD">
      <w:pPr>
        <w:rPr>
          <w:rFonts w:cs="Arial"/>
          <w:rtl/>
        </w:rPr>
      </w:pPr>
      <w:r w:rsidRPr="00844E7D">
        <w:rPr>
          <w:rFonts w:cs="Arial" w:hint="cs"/>
          <w:u w:val="single"/>
          <w:rtl/>
        </w:rPr>
        <w:t>אשה שהכניסה לבעלה נכסי צאן ברזל</w:t>
      </w:r>
      <w:r>
        <w:rPr>
          <w:rFonts w:cs="Arial" w:hint="cs"/>
          <w:u w:val="single"/>
          <w:rtl/>
        </w:rPr>
        <w:t>,</w:t>
      </w:r>
      <w:r w:rsidRPr="00844E7D">
        <w:rPr>
          <w:rFonts w:cs="Arial" w:hint="cs"/>
          <w:u w:val="single"/>
          <w:rtl/>
        </w:rPr>
        <w:t xml:space="preserve"> וכשיצאה</w:t>
      </w:r>
      <w:r>
        <w:rPr>
          <w:rFonts w:cs="Arial" w:hint="cs"/>
          <w:u w:val="single"/>
          <w:rtl/>
        </w:rPr>
        <w:t xml:space="preserve"> בגט</w:t>
      </w:r>
      <w:r w:rsidRPr="00844E7D">
        <w:rPr>
          <w:rFonts w:cs="Arial" w:hint="cs"/>
          <w:u w:val="single"/>
          <w:rtl/>
        </w:rPr>
        <w:t xml:space="preserve"> אינה רוצה ליטלם בחזרה:</w:t>
      </w:r>
    </w:p>
    <w:p w14:paraId="79B51DD9" w14:textId="77777777" w:rsidR="002E5BAD" w:rsidRPr="00115D2A" w:rsidRDefault="002E5BAD" w:rsidP="002E5BAD">
      <w:pPr>
        <w:pStyle w:val="ab"/>
        <w:numPr>
          <w:ilvl w:val="0"/>
          <w:numId w:val="183"/>
        </w:numPr>
        <w:rPr>
          <w:rtl/>
        </w:rPr>
      </w:pPr>
      <w:r w:rsidRPr="00844E7D">
        <w:rPr>
          <w:rFonts w:cs="Arial"/>
          <w:rtl/>
        </w:rPr>
        <w:t xml:space="preserve">ריב"ש </w:t>
      </w:r>
      <w:r w:rsidRPr="00844E7D">
        <w:rPr>
          <w:rFonts w:cs="Arial" w:hint="cs"/>
          <w:sz w:val="16"/>
          <w:szCs w:val="16"/>
          <w:rtl/>
        </w:rPr>
        <w:t>(</w:t>
      </w:r>
      <w:r w:rsidRPr="00844E7D">
        <w:rPr>
          <w:rFonts w:cs="Arial"/>
          <w:sz w:val="16"/>
          <w:szCs w:val="16"/>
          <w:rtl/>
        </w:rPr>
        <w:t>סי</w:t>
      </w:r>
      <w:r w:rsidRPr="00844E7D">
        <w:rPr>
          <w:rFonts w:cs="Arial" w:hint="cs"/>
          <w:sz w:val="16"/>
          <w:szCs w:val="16"/>
          <w:rtl/>
        </w:rPr>
        <w:t>'</w:t>
      </w:r>
      <w:r w:rsidRPr="00844E7D">
        <w:rPr>
          <w:rFonts w:cs="Arial"/>
          <w:sz w:val="16"/>
          <w:szCs w:val="16"/>
          <w:rtl/>
        </w:rPr>
        <w:t xml:space="preserve"> כב וסי</w:t>
      </w:r>
      <w:r w:rsidRPr="00844E7D">
        <w:rPr>
          <w:rFonts w:cs="Arial" w:hint="cs"/>
          <w:sz w:val="16"/>
          <w:szCs w:val="16"/>
          <w:rtl/>
        </w:rPr>
        <w:t>'</w:t>
      </w:r>
      <w:r w:rsidRPr="00844E7D">
        <w:rPr>
          <w:rFonts w:cs="Arial"/>
          <w:sz w:val="16"/>
          <w:szCs w:val="16"/>
          <w:rtl/>
        </w:rPr>
        <w:t xml:space="preserve"> ק</w:t>
      </w:r>
      <w:r w:rsidRPr="00844E7D">
        <w:rPr>
          <w:rFonts w:cs="Arial" w:hint="cs"/>
          <w:sz w:val="16"/>
          <w:szCs w:val="16"/>
          <w:rtl/>
        </w:rPr>
        <w:t>)</w:t>
      </w:r>
      <w:r w:rsidRPr="00844E7D">
        <w:rPr>
          <w:rFonts w:cs="Arial" w:hint="cs"/>
          <w:rtl/>
        </w:rPr>
        <w:t xml:space="preserve">- </w:t>
      </w:r>
      <w:r w:rsidRPr="00844E7D">
        <w:rPr>
          <w:rFonts w:cs="Arial"/>
          <w:rtl/>
        </w:rPr>
        <w:t>אם האשה אינה רוצה כליה</w:t>
      </w:r>
      <w:r>
        <w:rPr>
          <w:rFonts w:cs="Arial" w:hint="cs"/>
          <w:rtl/>
        </w:rPr>
        <w:t>,</w:t>
      </w:r>
      <w:r w:rsidRPr="00844E7D">
        <w:rPr>
          <w:rFonts w:cs="Arial"/>
          <w:rtl/>
        </w:rPr>
        <w:t xml:space="preserve"> א</w:t>
      </w:r>
      <w:r>
        <w:rPr>
          <w:rFonts w:cs="Arial" w:hint="cs"/>
          <w:rtl/>
        </w:rPr>
        <w:t>ע"ג</w:t>
      </w:r>
      <w:r w:rsidRPr="00844E7D">
        <w:rPr>
          <w:rFonts w:cs="Arial"/>
          <w:rtl/>
        </w:rPr>
        <w:t xml:space="preserve"> דאית לבעל מעות יכול לסלקה בכליה</w:t>
      </w:r>
      <w:r>
        <w:rPr>
          <w:rFonts w:cs="Arial" w:hint="cs"/>
          <w:rtl/>
        </w:rPr>
        <w:t>,</w:t>
      </w:r>
      <w:r w:rsidRPr="00844E7D">
        <w:rPr>
          <w:rFonts w:cs="Arial"/>
          <w:rtl/>
        </w:rPr>
        <w:t xml:space="preserve"> דכיון שהמטלטלים ההם מיוחדים לה ואין הבעל רשאי למכרם וגם נוטלתן בלא שבועה הרי הם כאילו הם משכון בידה ואפותיקי</w:t>
      </w:r>
      <w:r>
        <w:rPr>
          <w:rFonts w:cs="Arial" w:hint="cs"/>
          <w:rtl/>
        </w:rPr>
        <w:t>,</w:t>
      </w:r>
      <w:r w:rsidRPr="00844E7D">
        <w:rPr>
          <w:rFonts w:cs="Arial"/>
          <w:rtl/>
        </w:rPr>
        <w:t xml:space="preserve"> ובפרק השולח </w:t>
      </w:r>
      <w:r w:rsidRPr="007E3EDE">
        <w:rPr>
          <w:rFonts w:cs="Arial"/>
          <w:sz w:val="16"/>
          <w:szCs w:val="16"/>
          <w:rtl/>
        </w:rPr>
        <w:t xml:space="preserve">(גיטין מא.) </w:t>
      </w:r>
      <w:r w:rsidRPr="00844E7D">
        <w:rPr>
          <w:rFonts w:cs="Arial"/>
          <w:rtl/>
        </w:rPr>
        <w:t>מוכח שהעושה שדהו אפותיקי סתם לאחרים אינו גובה משאר נכסים אלא אם כן שטפה נהר</w:t>
      </w:r>
      <w:r>
        <w:rPr>
          <w:rFonts w:cs="Arial" w:hint="cs"/>
          <w:rtl/>
        </w:rPr>
        <w:t>,</w:t>
      </w:r>
      <w:r w:rsidRPr="00844E7D">
        <w:rPr>
          <w:rFonts w:cs="Arial"/>
          <w:rtl/>
        </w:rPr>
        <w:t xml:space="preserve"> ולכן כיון שהיא הביאתם מבית אביה ומיוחדים לה ומכלה אותם והוא אינו יכול למכרם נראה דיכול לומר לה טלי כליך</w:t>
      </w:r>
      <w:r>
        <w:rPr>
          <w:rFonts w:cs="Arial" w:hint="cs"/>
          <w:rtl/>
        </w:rPr>
        <w:t>.</w:t>
      </w:r>
      <w:r w:rsidRPr="00844E7D">
        <w:rPr>
          <w:rFonts w:cs="Arial"/>
          <w:rtl/>
        </w:rPr>
        <w:t xml:space="preserve"> אלא שאם פחתו או הוזלו</w:t>
      </w:r>
      <w:r>
        <w:rPr>
          <w:rFonts w:cs="Arial" w:hint="cs"/>
          <w:rtl/>
        </w:rPr>
        <w:t>,</w:t>
      </w:r>
      <w:r w:rsidRPr="00844E7D">
        <w:rPr>
          <w:rFonts w:cs="Arial"/>
          <w:rtl/>
        </w:rPr>
        <w:t xml:space="preserve"> פחתו לו כמו שקיבל עליו</w:t>
      </w:r>
      <w:r>
        <w:rPr>
          <w:rFonts w:cs="Arial" w:hint="cs"/>
          <w:rtl/>
        </w:rPr>
        <w:t>,</w:t>
      </w:r>
      <w:r w:rsidRPr="00844E7D">
        <w:rPr>
          <w:rFonts w:cs="Arial"/>
          <w:rtl/>
        </w:rPr>
        <w:t xml:space="preserve"> וצריך לשלם לה הפחת </w:t>
      </w:r>
      <w:r w:rsidRPr="00844E7D">
        <w:rPr>
          <w:rFonts w:cs="Arial"/>
          <w:rtl/>
        </w:rPr>
        <w:lastRenderedPageBreak/>
        <w:t>במעות אם יש לו דהויא לה במותר כבעלת חוב דעלמא</w:t>
      </w:r>
      <w:r>
        <w:rPr>
          <w:rFonts w:cs="Arial" w:hint="cs"/>
          <w:rtl/>
        </w:rPr>
        <w:t>.</w:t>
      </w:r>
      <w:r w:rsidRPr="00844E7D">
        <w:rPr>
          <w:rFonts w:cs="Arial"/>
          <w:rtl/>
        </w:rPr>
        <w:t xml:space="preserve"> וכן אם אינם עושים מעין מלאכתם הרי הם כאילו נגנבו כדברי הגאונים ואינה לוקחת הבלאות</w:t>
      </w:r>
      <w:r>
        <w:rPr>
          <w:rFonts w:cs="Arial" w:hint="cs"/>
          <w:rtl/>
        </w:rPr>
        <w:t>,</w:t>
      </w:r>
      <w:r w:rsidRPr="00844E7D">
        <w:rPr>
          <w:rFonts w:cs="Arial"/>
          <w:rtl/>
        </w:rPr>
        <w:t xml:space="preserve"> שהרי אין בהם משום שבח בית אביה מעתה</w:t>
      </w:r>
      <w:r>
        <w:rPr>
          <w:rFonts w:cs="Arial" w:hint="cs"/>
          <w:rtl/>
        </w:rPr>
        <w:t>,</w:t>
      </w:r>
      <w:r w:rsidRPr="00844E7D">
        <w:rPr>
          <w:rFonts w:cs="Arial"/>
          <w:rtl/>
        </w:rPr>
        <w:t xml:space="preserve"> וכן הוא אינו יכול לכופה ליטול הבלאות ההם כל שיש לו מעות בעין</w:t>
      </w:r>
      <w:r>
        <w:rPr>
          <w:rFonts w:cs="Arial" w:hint="cs"/>
          <w:rtl/>
        </w:rPr>
        <w:t>,</w:t>
      </w:r>
      <w:r w:rsidRPr="00844E7D">
        <w:rPr>
          <w:rFonts w:cs="Arial"/>
          <w:rtl/>
        </w:rPr>
        <w:t xml:space="preserve"> והרי הם כשאר מטלטלין שלו שאם אין לו מעות יוכל להגבותן לה בשומא דכל מילי מיטב הוא ואפילו סובין</w:t>
      </w:r>
      <w:r>
        <w:rPr>
          <w:rFonts w:cs="Arial" w:hint="cs"/>
          <w:rtl/>
        </w:rPr>
        <w:t>.</w:t>
      </w:r>
      <w:r w:rsidRPr="00844E7D">
        <w:rPr>
          <w:rFonts w:cs="Arial"/>
          <w:rtl/>
        </w:rPr>
        <w:t xml:space="preserve"> זהו מה שנ"ל לפי דין התלמוד</w:t>
      </w:r>
      <w:r>
        <w:rPr>
          <w:rFonts w:cs="Arial" w:hint="cs"/>
          <w:rtl/>
        </w:rPr>
        <w:t>,</w:t>
      </w:r>
      <w:r w:rsidRPr="00844E7D">
        <w:rPr>
          <w:rFonts w:cs="Arial"/>
          <w:rtl/>
        </w:rPr>
        <w:t xml:space="preserve"> אמנם אם יש מנהג אחר פשוט בעיר הולכין אחריו. </w:t>
      </w:r>
      <w:r w:rsidRPr="00A6197B">
        <w:rPr>
          <w:rFonts w:hint="cs"/>
          <w:color w:val="E36C0A" w:themeColor="accent6" w:themeShade="BF"/>
          <w:rtl/>
        </w:rPr>
        <w:t>(וכ"פ בשו"ע)</w:t>
      </w:r>
    </w:p>
    <w:p w14:paraId="3446FEA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2A4FB9B" w14:textId="77777777" w:rsidR="002E5BAD" w:rsidRDefault="002E5BAD" w:rsidP="002E5BAD">
      <w:pPr>
        <w:rPr>
          <w:rtl/>
        </w:rPr>
      </w:pPr>
      <w:r>
        <w:rPr>
          <w:rFonts w:cs="Arial"/>
          <w:rtl/>
        </w:rPr>
        <w:t>אם האשה אינה רוצה כליה, אף ע</w:t>
      </w:r>
      <w:r>
        <w:rPr>
          <w:rFonts w:cs="Arial" w:hint="cs"/>
          <w:rtl/>
        </w:rPr>
        <w:t xml:space="preserve">ל </w:t>
      </w:r>
      <w:r>
        <w:rPr>
          <w:rFonts w:cs="Arial"/>
          <w:rtl/>
        </w:rPr>
        <w:t>פ</w:t>
      </w:r>
      <w:r>
        <w:rPr>
          <w:rFonts w:cs="Arial" w:hint="cs"/>
          <w:rtl/>
        </w:rPr>
        <w:t>י</w:t>
      </w:r>
      <w:r>
        <w:rPr>
          <w:rFonts w:cs="Arial"/>
          <w:rtl/>
        </w:rPr>
        <w:t xml:space="preserve"> שיש לבעל מעות, יכול לסלקה בכליה, והוא שיהיו עושין מעין מלאכתן. </w:t>
      </w:r>
    </w:p>
    <w:p w14:paraId="2E552B19" w14:textId="77777777" w:rsidR="002E5BAD" w:rsidRDefault="002E5BAD" w:rsidP="002E5BAD">
      <w:pPr>
        <w:rPr>
          <w:rtl/>
        </w:rPr>
      </w:pPr>
    </w:p>
    <w:p w14:paraId="146323FE" w14:textId="77777777" w:rsidR="002E5BAD" w:rsidRDefault="002E5BAD" w:rsidP="002E5BAD">
      <w:pPr>
        <w:pStyle w:val="2"/>
        <w:rPr>
          <w:rtl/>
        </w:rPr>
      </w:pPr>
      <w:r>
        <w:rPr>
          <w:rtl/>
        </w:rPr>
        <w:t>סעיף ה</w:t>
      </w:r>
      <w:r>
        <w:rPr>
          <w:rFonts w:hint="cs"/>
          <w:rtl/>
        </w:rPr>
        <w:t>: יורשים שהקדישו נכסי צאן ברזל לאחר מות אביהם.</w:t>
      </w:r>
    </w:p>
    <w:p w14:paraId="3A688CCF" w14:textId="77777777" w:rsidR="002E5BAD" w:rsidRPr="00115D2A" w:rsidRDefault="002E5BAD" w:rsidP="002E5BAD">
      <w:pPr>
        <w:rPr>
          <w:rtl/>
        </w:rPr>
      </w:pPr>
      <w:r>
        <w:rPr>
          <w:rFonts w:hint="cs"/>
          <w:rtl/>
        </w:rPr>
        <w:t>עיין במקורות בסעיף א'.</w:t>
      </w:r>
    </w:p>
    <w:p w14:paraId="57EEAA4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A065D45" w14:textId="77777777" w:rsidR="002E5BAD" w:rsidRDefault="002E5BAD" w:rsidP="002E5BAD">
      <w:pPr>
        <w:rPr>
          <w:rFonts w:cs="Arial"/>
          <w:rtl/>
        </w:rPr>
      </w:pPr>
      <w:r>
        <w:rPr>
          <w:rFonts w:cs="Arial"/>
          <w:rtl/>
        </w:rPr>
        <w:t>אם הקדישו היורשין אחר מות אביהם נכסי צאן ברזל, או שפירשו אותו על המת בענין שנאסר בהנאה, נותנין לה דמיו</w:t>
      </w:r>
      <w:r>
        <w:rPr>
          <w:rStyle w:val="a7"/>
          <w:rFonts w:cs="Arial"/>
          <w:rtl/>
        </w:rPr>
        <w:footnoteReference w:id="1871"/>
      </w:r>
      <w:r>
        <w:rPr>
          <w:rFonts w:cs="Arial"/>
          <w:rtl/>
        </w:rPr>
        <w:t>.</w:t>
      </w:r>
    </w:p>
    <w:p w14:paraId="61352237" w14:textId="77777777" w:rsidR="002E5BAD" w:rsidRDefault="002E5BAD" w:rsidP="002E5BAD">
      <w:pPr>
        <w:rPr>
          <w:rtl/>
        </w:rPr>
      </w:pPr>
      <w:r>
        <w:rPr>
          <w:rFonts w:cs="Arial"/>
          <w:rtl/>
        </w:rPr>
        <w:t xml:space="preserve"> </w:t>
      </w:r>
    </w:p>
    <w:p w14:paraId="4E6E8573" w14:textId="77777777" w:rsidR="002E5BAD" w:rsidRDefault="002E5BAD" w:rsidP="002E5BAD">
      <w:pPr>
        <w:pStyle w:val="2"/>
        <w:rPr>
          <w:rtl/>
        </w:rPr>
      </w:pPr>
      <w:r>
        <w:rPr>
          <w:rtl/>
        </w:rPr>
        <w:t>סעיף ו</w:t>
      </w:r>
      <w:r>
        <w:rPr>
          <w:rFonts w:hint="cs"/>
          <w:rtl/>
        </w:rPr>
        <w:t>:</w:t>
      </w:r>
      <w:r w:rsidRPr="00FB331E">
        <w:rPr>
          <w:rFonts w:cs="Arial"/>
          <w:rtl/>
        </w:rPr>
        <w:t xml:space="preserve"> </w:t>
      </w:r>
      <w:r w:rsidRPr="0019164E">
        <w:rPr>
          <w:rFonts w:cs="Arial"/>
          <w:rtl/>
        </w:rPr>
        <w:t>הכניסה לו קרקע</w:t>
      </w:r>
      <w:r>
        <w:rPr>
          <w:rFonts w:cs="Arial" w:hint="cs"/>
          <w:rtl/>
        </w:rPr>
        <w:t>,</w:t>
      </w:r>
      <w:r w:rsidRPr="0019164E">
        <w:rPr>
          <w:rFonts w:cs="Arial"/>
          <w:rtl/>
        </w:rPr>
        <w:t xml:space="preserve"> וכשיוצאה יש בו פירות מחוברים</w:t>
      </w:r>
      <w:r>
        <w:rPr>
          <w:rFonts w:cs="Arial" w:hint="cs"/>
          <w:rtl/>
        </w:rPr>
        <w:t>.</w:t>
      </w:r>
    </w:p>
    <w:p w14:paraId="01027515" w14:textId="77777777" w:rsidR="002E5BAD" w:rsidRPr="00FB331E" w:rsidRDefault="002E5BAD" w:rsidP="002E5BAD">
      <w:pPr>
        <w:rPr>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Pr>
          <w:rFonts w:cs="Arial" w:hint="cs"/>
          <w:b/>
          <w:bCs/>
          <w:rtl/>
        </w:rPr>
        <w:t>א</w:t>
      </w:r>
      <w:r w:rsidRPr="00B226F6">
        <w:rPr>
          <w:rFonts w:cs="Arial" w:hint="cs"/>
          <w:b/>
          <w:bCs/>
          <w:rtl/>
        </w:rPr>
        <w:t xml:space="preserve">: </w:t>
      </w:r>
      <w:r w:rsidRPr="00FB331E">
        <w:rPr>
          <w:rFonts w:cs="Arial" w:hint="cs"/>
          <w:u w:val="double"/>
          <w:rtl/>
        </w:rPr>
        <w:t>מתני'</w:t>
      </w:r>
      <w:r>
        <w:rPr>
          <w:rFonts w:cs="Arial" w:hint="cs"/>
          <w:rtl/>
        </w:rPr>
        <w:t>:</w:t>
      </w:r>
      <w:r w:rsidRPr="00FB331E">
        <w:rPr>
          <w:rtl/>
        </w:rPr>
        <w:t xml:space="preserve"> </w:t>
      </w:r>
      <w:r w:rsidRPr="00FB331E">
        <w:rPr>
          <w:rFonts w:cs="Arial"/>
          <w:rtl/>
        </w:rPr>
        <w:t>נפלו לה כספים - ילקח בהן קרקע והוא אוכל פירות</w:t>
      </w:r>
      <w:r>
        <w:rPr>
          <w:rFonts w:cs="Arial" w:hint="cs"/>
          <w:rtl/>
        </w:rPr>
        <w:t>.</w:t>
      </w:r>
      <w:r w:rsidRPr="00FB331E">
        <w:rPr>
          <w:rFonts w:cs="Arial"/>
          <w:rtl/>
        </w:rPr>
        <w:t xml:space="preserve"> פירות התלושין מן הקרקע - ילקח בהן קרקע והוא אוכל פירות</w:t>
      </w:r>
      <w:r>
        <w:rPr>
          <w:rFonts w:cs="Arial" w:hint="cs"/>
          <w:rtl/>
        </w:rPr>
        <w:t>.</w:t>
      </w:r>
      <w:r w:rsidRPr="00FB331E">
        <w:rPr>
          <w:rFonts w:cs="Arial"/>
          <w:rtl/>
        </w:rPr>
        <w:t xml:space="preserve"> פירות המחוברים בקרקע</w:t>
      </w:r>
      <w:r>
        <w:rPr>
          <w:rFonts w:cs="Arial" w:hint="cs"/>
          <w:rtl/>
        </w:rPr>
        <w:t>,</w:t>
      </w:r>
      <w:r w:rsidRPr="00FB331E">
        <w:rPr>
          <w:rFonts w:cs="Arial"/>
          <w:rtl/>
        </w:rPr>
        <w:t xml:space="preserve"> </w:t>
      </w:r>
      <w:r w:rsidRPr="008F001E">
        <w:rPr>
          <w:rFonts w:cs="Arial"/>
          <w:u w:val="single"/>
          <w:rtl/>
        </w:rPr>
        <w:t>א"ר מאיר</w:t>
      </w:r>
      <w:r w:rsidRPr="00FB331E">
        <w:rPr>
          <w:rFonts w:cs="Arial"/>
          <w:rtl/>
        </w:rPr>
        <w:t>: שמין אותה כמה היא יפה בפירות וכמה היא יפה בלא פירות, ומותר ילקח בהן קרקע והוא אוכל פירות</w:t>
      </w:r>
      <w:r>
        <w:rPr>
          <w:rFonts w:cs="Arial" w:hint="cs"/>
          <w:rtl/>
        </w:rPr>
        <w:t>.</w:t>
      </w:r>
      <w:r w:rsidRPr="00FB331E">
        <w:rPr>
          <w:rFonts w:cs="Arial"/>
          <w:rtl/>
        </w:rPr>
        <w:t xml:space="preserve"> </w:t>
      </w:r>
      <w:r w:rsidRPr="008F001E">
        <w:rPr>
          <w:rFonts w:cs="Arial"/>
          <w:u w:val="single"/>
          <w:rtl/>
        </w:rPr>
        <w:t>וחכ"א</w:t>
      </w:r>
      <w:r w:rsidRPr="00FB331E">
        <w:rPr>
          <w:rFonts w:cs="Arial"/>
          <w:rtl/>
        </w:rPr>
        <w:t>: המחוברים לקרקע - שלו, והתלושין מן הקרקע - שלה, וילקח בהן קרקע והוא אוכל פירות</w:t>
      </w:r>
      <w:r>
        <w:rPr>
          <w:rFonts w:cs="Arial" w:hint="cs"/>
          <w:rtl/>
        </w:rPr>
        <w:t xml:space="preserve">. </w:t>
      </w:r>
      <w:r w:rsidRPr="00FB331E">
        <w:rPr>
          <w:rFonts w:cs="Arial"/>
          <w:u w:val="single"/>
          <w:rtl/>
        </w:rPr>
        <w:t>ר"ש אומר</w:t>
      </w:r>
      <w:r w:rsidRPr="00FB331E">
        <w:rPr>
          <w:rFonts w:cs="Arial"/>
          <w:rtl/>
        </w:rPr>
        <w:t>: מקום שיפה כחו בכניסתה - הורע כחו ביציאתה, מקום שהורע כחו בכניסתה - יפה כחו ביציאתה, כיצד? פירות המחוברים לקרקע - בכניסתה שלו, וביציאתה שלה, והתלושין מן הקרקע - בכניסתה שלה, וביציאתה שלו.</w:t>
      </w:r>
      <w:r w:rsidRPr="00D74190">
        <w:rPr>
          <w:rtl/>
        </w:rPr>
        <w:t xml:space="preserve"> </w:t>
      </w:r>
      <w:r>
        <w:rPr>
          <w:rFonts w:cs="Arial" w:hint="cs"/>
          <w:rtl/>
        </w:rPr>
        <w:t xml:space="preserve">     </w:t>
      </w:r>
      <w:r w:rsidRPr="00D74190">
        <w:rPr>
          <w:rFonts w:cs="Arial" w:hint="cs"/>
          <w:u w:val="double"/>
          <w:rtl/>
        </w:rPr>
        <w:t>גמ'</w:t>
      </w:r>
      <w:r w:rsidRPr="00D74190">
        <w:rPr>
          <w:rFonts w:cs="Arial" w:hint="cs"/>
          <w:sz w:val="14"/>
          <w:szCs w:val="14"/>
          <w:u w:val="double"/>
          <w:rtl/>
        </w:rPr>
        <w:t>(עט:)</w:t>
      </w:r>
      <w:r w:rsidRPr="00D74190">
        <w:rPr>
          <w:rFonts w:cs="Arial" w:hint="cs"/>
          <w:u w:val="double"/>
          <w:rtl/>
        </w:rPr>
        <w:t>:</w:t>
      </w:r>
      <w:r>
        <w:rPr>
          <w:rFonts w:cs="Arial" w:hint="cs"/>
          <w:rtl/>
        </w:rPr>
        <w:t xml:space="preserve"> </w:t>
      </w:r>
      <w:r w:rsidRPr="00D74190">
        <w:rPr>
          <w:rFonts w:cs="Arial"/>
          <w:rtl/>
        </w:rPr>
        <w:t>ר"ש אומר: מקום שיפה כחו. ר"ש היינו ת"ק</w:t>
      </w:r>
      <w:r>
        <w:rPr>
          <w:rStyle w:val="a7"/>
          <w:rFonts w:cs="Arial"/>
          <w:rtl/>
        </w:rPr>
        <w:footnoteReference w:id="1872"/>
      </w:r>
      <w:r w:rsidRPr="00D74190">
        <w:rPr>
          <w:rFonts w:cs="Arial"/>
          <w:rtl/>
        </w:rPr>
        <w:t xml:space="preserve">! </w:t>
      </w:r>
      <w:r w:rsidRPr="00D74190">
        <w:rPr>
          <w:rFonts w:cs="Arial"/>
          <w:u w:val="single"/>
          <w:rtl/>
        </w:rPr>
        <w:t>אמר רבא</w:t>
      </w:r>
      <w:r w:rsidRPr="00D74190">
        <w:rPr>
          <w:rFonts w:cs="Arial"/>
          <w:rtl/>
        </w:rPr>
        <w:t>: מחוברין בשעת יציאה</w:t>
      </w:r>
      <w:r>
        <w:rPr>
          <w:rStyle w:val="a7"/>
          <w:rFonts w:cs="Arial"/>
          <w:rtl/>
        </w:rPr>
        <w:footnoteReference w:id="1873"/>
      </w:r>
      <w:r w:rsidRPr="00D74190">
        <w:rPr>
          <w:rFonts w:cs="Arial"/>
          <w:rtl/>
        </w:rPr>
        <w:t xml:space="preserve"> איכא בינייהו.</w:t>
      </w:r>
      <w:r w:rsidRPr="00CD0298">
        <w:rPr>
          <w:rFonts w:cs="Arial"/>
          <w:sz w:val="16"/>
          <w:szCs w:val="16"/>
          <w:rtl/>
        </w:rPr>
        <w:t xml:space="preserve"> </w:t>
      </w:r>
      <w:r>
        <w:rPr>
          <w:rFonts w:cs="Arial" w:hint="cs"/>
          <w:sz w:val="16"/>
          <w:szCs w:val="16"/>
          <w:rtl/>
        </w:rPr>
        <w:t>(</w:t>
      </w:r>
      <w:r w:rsidRPr="00CD0298">
        <w:rPr>
          <w:rFonts w:cs="Arial"/>
          <w:sz w:val="16"/>
          <w:szCs w:val="16"/>
          <w:rtl/>
        </w:rPr>
        <w:t>וכתב הרא"ש (סי' ז)</w:t>
      </w:r>
      <w:r>
        <w:rPr>
          <w:rFonts w:cs="Arial" w:hint="cs"/>
          <w:sz w:val="16"/>
          <w:szCs w:val="16"/>
          <w:rtl/>
        </w:rPr>
        <w:t>-</w:t>
      </w:r>
      <w:r w:rsidRPr="00CD0298">
        <w:rPr>
          <w:rFonts w:cs="Arial"/>
          <w:sz w:val="16"/>
          <w:szCs w:val="16"/>
          <w:rtl/>
        </w:rPr>
        <w:t xml:space="preserve"> רבינו חננאל והרי"ף (לח.) פסקו הלכה כר"ש משום דמסתבר טעמיה שמשוה מדותיו בכניסה וביציאה</w:t>
      </w:r>
      <w:r>
        <w:rPr>
          <w:rFonts w:cs="Arial" w:hint="cs"/>
          <w:sz w:val="16"/>
          <w:szCs w:val="16"/>
          <w:rtl/>
        </w:rPr>
        <w:t>,</w:t>
      </w:r>
      <w:r w:rsidRPr="00CD0298">
        <w:rPr>
          <w:rFonts w:cs="Arial"/>
          <w:sz w:val="16"/>
          <w:szCs w:val="16"/>
          <w:rtl/>
        </w:rPr>
        <w:t xml:space="preserve"> והראב"ד (השגות הרי"ף שם) הביא ראיה דהלכה כר"ש</w:t>
      </w:r>
      <w:r>
        <w:rPr>
          <w:rFonts w:cs="Arial" w:hint="cs"/>
          <w:sz w:val="16"/>
          <w:szCs w:val="16"/>
          <w:rtl/>
        </w:rPr>
        <w:t>,</w:t>
      </w:r>
      <w:r w:rsidRPr="00CD0298">
        <w:rPr>
          <w:rFonts w:cs="Arial"/>
          <w:sz w:val="16"/>
          <w:szCs w:val="16"/>
          <w:rtl/>
        </w:rPr>
        <w:t xml:space="preserve"> ובה"ג (הלכות כתובות סח ע"ד) כתב דר"ש לא פליג את"ק אלא מאי דלא פירשו רבנן אתא איהו לפרושי וגריס </w:t>
      </w:r>
      <w:r w:rsidRPr="00CD0298">
        <w:rPr>
          <w:rFonts w:cs="Arial" w:hint="cs"/>
          <w:sz w:val="16"/>
          <w:szCs w:val="16"/>
          <w:rtl/>
        </w:rPr>
        <w:t>'</w:t>
      </w:r>
      <w:r w:rsidRPr="00CD0298">
        <w:rPr>
          <w:rFonts w:cs="Arial"/>
          <w:sz w:val="16"/>
          <w:szCs w:val="16"/>
          <w:rtl/>
        </w:rPr>
        <w:t>מחוברים בשעת יציאה אתא לאשמועינן</w:t>
      </w:r>
      <w:r w:rsidRPr="00CD0298">
        <w:rPr>
          <w:rFonts w:cs="Arial" w:hint="cs"/>
          <w:sz w:val="16"/>
          <w:szCs w:val="16"/>
          <w:rtl/>
        </w:rPr>
        <w:t>'</w:t>
      </w:r>
      <w:r>
        <w:rPr>
          <w:rFonts w:cs="Arial" w:hint="cs"/>
          <w:sz w:val="16"/>
          <w:szCs w:val="16"/>
          <w:rtl/>
        </w:rPr>
        <w:t>)</w:t>
      </w:r>
    </w:p>
    <w:p w14:paraId="5652541C" w14:textId="77777777" w:rsidR="002E5BAD" w:rsidRPr="00FB331E" w:rsidRDefault="002E5BAD" w:rsidP="002E5BAD">
      <w:pPr>
        <w:rPr>
          <w:u w:val="single"/>
          <w:rtl/>
        </w:rPr>
      </w:pPr>
      <w:r w:rsidRPr="00FB331E">
        <w:rPr>
          <w:rFonts w:cs="Arial"/>
          <w:u w:val="single"/>
          <w:rtl/>
        </w:rPr>
        <w:t>הכניסה לו קרקע</w:t>
      </w:r>
      <w:r w:rsidRPr="00FB331E">
        <w:rPr>
          <w:rFonts w:cs="Arial" w:hint="cs"/>
          <w:u w:val="single"/>
          <w:rtl/>
        </w:rPr>
        <w:t>,</w:t>
      </w:r>
      <w:r w:rsidRPr="00FB331E">
        <w:rPr>
          <w:rFonts w:cs="Arial"/>
          <w:u w:val="single"/>
          <w:rtl/>
        </w:rPr>
        <w:t xml:space="preserve"> וכשיוצאה יש בו פירות מחוברים</w:t>
      </w:r>
      <w:r w:rsidRPr="00FB331E">
        <w:rPr>
          <w:rFonts w:hint="cs"/>
          <w:u w:val="single"/>
          <w:rtl/>
        </w:rPr>
        <w:t xml:space="preserve"> </w:t>
      </w:r>
      <w:r w:rsidRPr="00FB331E">
        <w:rPr>
          <w:u w:val="single"/>
          <w:rtl/>
        </w:rPr>
        <w:t>–</w:t>
      </w:r>
      <w:r w:rsidRPr="00FB331E">
        <w:rPr>
          <w:rFonts w:hint="cs"/>
          <w:u w:val="single"/>
          <w:rtl/>
        </w:rPr>
        <w:t xml:space="preserve"> למי הפירות:</w:t>
      </w:r>
    </w:p>
    <w:p w14:paraId="2F7199D4" w14:textId="77777777" w:rsidR="002E5BAD" w:rsidRPr="00FB331E" w:rsidRDefault="002E5BAD" w:rsidP="002E5BAD">
      <w:pPr>
        <w:pStyle w:val="ab"/>
        <w:numPr>
          <w:ilvl w:val="0"/>
          <w:numId w:val="183"/>
        </w:numPr>
      </w:pPr>
      <w:r>
        <w:rPr>
          <w:rFonts w:cs="Arial" w:hint="cs"/>
          <w:rtl/>
        </w:rPr>
        <w:t xml:space="preserve">ר"ח </w:t>
      </w:r>
      <w:r>
        <w:rPr>
          <w:rFonts w:cs="Arial" w:hint="cs"/>
          <w:sz w:val="16"/>
          <w:szCs w:val="16"/>
          <w:rtl/>
        </w:rPr>
        <w:t>(כ"כ הרא"ש בשמו)</w:t>
      </w:r>
      <w:r>
        <w:rPr>
          <w:rFonts w:cs="Arial" w:hint="cs"/>
          <w:rtl/>
        </w:rPr>
        <w:t xml:space="preserve"> רי"ף </w:t>
      </w:r>
      <w:r w:rsidRPr="00CD0298">
        <w:rPr>
          <w:rFonts w:cs="Arial"/>
          <w:sz w:val="16"/>
          <w:szCs w:val="16"/>
          <w:rtl/>
        </w:rPr>
        <w:t>(לח.)</w:t>
      </w:r>
      <w:r>
        <w:rPr>
          <w:rFonts w:cs="Arial" w:hint="cs"/>
          <w:sz w:val="16"/>
          <w:szCs w:val="16"/>
          <w:rtl/>
        </w:rPr>
        <w:t xml:space="preserve"> </w:t>
      </w:r>
      <w:r w:rsidRPr="00CD0298">
        <w:rPr>
          <w:rFonts w:cs="Arial"/>
          <w:rtl/>
        </w:rPr>
        <w:t>רמב"ם</w:t>
      </w:r>
      <w:r w:rsidRPr="00C57E72">
        <w:rPr>
          <w:rFonts w:cs="Arial"/>
          <w:sz w:val="16"/>
          <w:szCs w:val="16"/>
          <w:rtl/>
        </w:rPr>
        <w:t xml:space="preserve"> </w:t>
      </w:r>
      <w:r w:rsidRPr="00C57E72">
        <w:rPr>
          <w:rFonts w:cs="Arial" w:hint="cs"/>
          <w:sz w:val="16"/>
          <w:szCs w:val="16"/>
          <w:rtl/>
        </w:rPr>
        <w:t>(</w:t>
      </w:r>
      <w:r w:rsidRPr="00C57E72">
        <w:rPr>
          <w:rFonts w:cs="Arial"/>
          <w:sz w:val="16"/>
          <w:szCs w:val="16"/>
          <w:rtl/>
        </w:rPr>
        <w:t>פכ"ב הכ"ד)</w:t>
      </w:r>
      <w:r>
        <w:rPr>
          <w:rFonts w:cs="Arial" w:hint="cs"/>
          <w:rtl/>
        </w:rPr>
        <w:t xml:space="preserve"> רא"ש </w:t>
      </w:r>
      <w:r w:rsidRPr="00CD0298">
        <w:rPr>
          <w:rFonts w:cs="Arial"/>
          <w:sz w:val="16"/>
          <w:szCs w:val="16"/>
          <w:rtl/>
        </w:rPr>
        <w:t>(סי' ז)</w:t>
      </w:r>
      <w:r>
        <w:rPr>
          <w:rFonts w:cs="Arial" w:hint="cs"/>
          <w:sz w:val="16"/>
          <w:szCs w:val="16"/>
          <w:rtl/>
        </w:rPr>
        <w:t xml:space="preserve"> </w:t>
      </w:r>
      <w:r>
        <w:rPr>
          <w:rFonts w:cs="Arial" w:hint="cs"/>
          <w:rtl/>
        </w:rPr>
        <w:t xml:space="preserve">וטור- </w:t>
      </w:r>
      <w:r w:rsidRPr="0019164E">
        <w:rPr>
          <w:rFonts w:cs="Arial"/>
          <w:rtl/>
        </w:rPr>
        <w:t>הכניסה לו קרקע</w:t>
      </w:r>
      <w:r>
        <w:rPr>
          <w:rFonts w:cs="Arial" w:hint="cs"/>
          <w:rtl/>
        </w:rPr>
        <w:t>,</w:t>
      </w:r>
      <w:r w:rsidRPr="0019164E">
        <w:rPr>
          <w:rFonts w:cs="Arial"/>
          <w:rtl/>
        </w:rPr>
        <w:t xml:space="preserve"> וכשיוצאה יש בו פירות מחוברים </w:t>
      </w:r>
      <w:r>
        <w:rPr>
          <w:rFonts w:cs="Arial" w:hint="cs"/>
          <w:rtl/>
        </w:rPr>
        <w:t xml:space="preserve">- </w:t>
      </w:r>
      <w:r w:rsidRPr="00C57E72">
        <w:rPr>
          <w:rFonts w:cs="Arial"/>
          <w:rtl/>
        </w:rPr>
        <w:t>נוטלתו עם פירותיו</w:t>
      </w:r>
      <w:r>
        <w:rPr>
          <w:rFonts w:cs="Arial" w:hint="cs"/>
          <w:sz w:val="16"/>
          <w:szCs w:val="16"/>
          <w:rtl/>
        </w:rPr>
        <w:t xml:space="preserve"> (ל' הטור)</w:t>
      </w:r>
      <w:r>
        <w:rPr>
          <w:rFonts w:cs="Arial" w:hint="cs"/>
          <w:rtl/>
        </w:rPr>
        <w:t>.</w:t>
      </w:r>
      <w:r w:rsidRPr="0019164E">
        <w:rPr>
          <w:rFonts w:cs="Arial"/>
          <w:rtl/>
        </w:rPr>
        <w:t xml:space="preserve"> </w:t>
      </w:r>
      <w:r w:rsidRPr="00A6197B">
        <w:rPr>
          <w:rFonts w:hint="cs"/>
          <w:color w:val="E36C0A" w:themeColor="accent6" w:themeShade="BF"/>
          <w:rtl/>
        </w:rPr>
        <w:t>(וכ"פ בשו"ע)</w:t>
      </w:r>
    </w:p>
    <w:p w14:paraId="34272F49" w14:textId="77777777" w:rsidR="002E5BAD" w:rsidRDefault="002E5BAD" w:rsidP="002E5BAD">
      <w:pPr>
        <w:pStyle w:val="ab"/>
        <w:numPr>
          <w:ilvl w:val="0"/>
          <w:numId w:val="183"/>
        </w:numPr>
      </w:pPr>
      <w:r>
        <w:rPr>
          <w:rFonts w:cs="Arial" w:hint="cs"/>
          <w:rtl/>
        </w:rPr>
        <w:t xml:space="preserve">ר"י הלוי </w:t>
      </w:r>
      <w:r>
        <w:rPr>
          <w:rFonts w:cs="Arial" w:hint="cs"/>
          <w:sz w:val="16"/>
          <w:szCs w:val="16"/>
          <w:rtl/>
        </w:rPr>
        <w:t>(כ"כ הרא"ש בשמו)</w:t>
      </w:r>
      <w:r w:rsidRPr="0019164E">
        <w:rPr>
          <w:rFonts w:cs="Arial"/>
          <w:rtl/>
        </w:rPr>
        <w:t xml:space="preserve"> </w:t>
      </w:r>
      <w:r>
        <w:rPr>
          <w:rFonts w:cs="Arial" w:hint="cs"/>
          <w:rtl/>
        </w:rPr>
        <w:t xml:space="preserve">ורמ"ה </w:t>
      </w:r>
      <w:r>
        <w:rPr>
          <w:rFonts w:cs="Arial" w:hint="cs"/>
          <w:sz w:val="16"/>
          <w:szCs w:val="16"/>
          <w:rtl/>
        </w:rPr>
        <w:t>(כ"כ הטור בשמו)</w:t>
      </w:r>
      <w:r>
        <w:rPr>
          <w:rFonts w:cs="Arial" w:hint="cs"/>
          <w:rtl/>
        </w:rPr>
        <w:t xml:space="preserve">- </w:t>
      </w:r>
      <w:r w:rsidRPr="0019164E">
        <w:rPr>
          <w:rFonts w:cs="Arial"/>
          <w:rtl/>
        </w:rPr>
        <w:t>הפירו</w:t>
      </w:r>
      <w:r>
        <w:rPr>
          <w:rFonts w:cs="Arial" w:hint="cs"/>
          <w:rtl/>
        </w:rPr>
        <w:t>ת</w:t>
      </w:r>
      <w:r w:rsidRPr="0019164E">
        <w:rPr>
          <w:rFonts w:cs="Arial"/>
          <w:rtl/>
        </w:rPr>
        <w:t xml:space="preserve"> לבעל</w:t>
      </w:r>
      <w:r>
        <w:rPr>
          <w:rFonts w:cs="Arial" w:hint="cs"/>
          <w:rtl/>
        </w:rPr>
        <w:t>.</w:t>
      </w:r>
      <w:r w:rsidRPr="0019164E">
        <w:rPr>
          <w:rFonts w:cs="Arial"/>
          <w:rtl/>
        </w:rPr>
        <w:t xml:space="preserve"> </w:t>
      </w:r>
    </w:p>
    <w:p w14:paraId="5E4DD21E" w14:textId="77777777" w:rsidR="002E5BAD" w:rsidRPr="00C57E72" w:rsidRDefault="002E5BAD" w:rsidP="002E5BAD">
      <w:pPr>
        <w:ind w:left="360"/>
        <w:rPr>
          <w:u w:val="dotted"/>
        </w:rPr>
      </w:pPr>
      <w:r w:rsidRPr="00C57E72">
        <w:rPr>
          <w:rFonts w:hint="cs"/>
          <w:u w:val="dotted"/>
          <w:rtl/>
        </w:rPr>
        <w:t>ומה הדין אם בפירות גמורים:</w:t>
      </w:r>
    </w:p>
    <w:p w14:paraId="6A82B77E" w14:textId="77777777" w:rsidR="002E5BAD" w:rsidRDefault="002E5BAD" w:rsidP="002E5BAD">
      <w:pPr>
        <w:pStyle w:val="ab"/>
        <w:numPr>
          <w:ilvl w:val="0"/>
          <w:numId w:val="183"/>
        </w:numPr>
      </w:pPr>
      <w:r w:rsidRPr="00CD0298">
        <w:rPr>
          <w:rFonts w:cs="Arial" w:hint="cs"/>
          <w:rtl/>
        </w:rPr>
        <w:lastRenderedPageBreak/>
        <w:t xml:space="preserve">רא"ש </w:t>
      </w:r>
      <w:r w:rsidRPr="00CD0298">
        <w:rPr>
          <w:rFonts w:cs="Arial"/>
          <w:sz w:val="16"/>
          <w:szCs w:val="16"/>
          <w:rtl/>
        </w:rPr>
        <w:t>(סי' ז)</w:t>
      </w:r>
      <w:r>
        <w:rPr>
          <w:rFonts w:cs="Arial" w:hint="cs"/>
          <w:sz w:val="16"/>
          <w:szCs w:val="16"/>
          <w:rtl/>
        </w:rPr>
        <w:t xml:space="preserve"> </w:t>
      </w:r>
      <w:r w:rsidRPr="00CD0298">
        <w:rPr>
          <w:rFonts w:cs="Arial" w:hint="cs"/>
          <w:rtl/>
        </w:rPr>
        <w:t xml:space="preserve">וטור- </w:t>
      </w:r>
      <w:r w:rsidRPr="00CD0298">
        <w:rPr>
          <w:rFonts w:cs="Arial"/>
          <w:rtl/>
        </w:rPr>
        <w:t>מצאתי כתוב בשם ה"ר יונה ז"ל דאפילו בפירות גמורים שהגיעו ליתלש בכניסתה שלו ביציאתה שלה</w:t>
      </w:r>
      <w:r>
        <w:rPr>
          <w:rFonts w:cs="Arial" w:hint="cs"/>
          <w:rtl/>
        </w:rPr>
        <w:t>,</w:t>
      </w:r>
      <w:r w:rsidRPr="00CD0298">
        <w:rPr>
          <w:rFonts w:cs="Arial"/>
          <w:rtl/>
        </w:rPr>
        <w:t xml:space="preserve"> ואע</w:t>
      </w:r>
      <w:r>
        <w:rPr>
          <w:rFonts w:cs="Arial" w:hint="cs"/>
          <w:rtl/>
        </w:rPr>
        <w:t>"</w:t>
      </w:r>
      <w:r w:rsidRPr="00CD0298">
        <w:rPr>
          <w:rFonts w:cs="Arial"/>
          <w:rtl/>
        </w:rPr>
        <w:t>ג דקיי"ל כל העומד ליגדר כגדור דמי שאני הכא דאכילת פירות אינה אלא תקנת חכמים</w:t>
      </w:r>
      <w:r>
        <w:rPr>
          <w:rFonts w:cs="Arial" w:hint="cs"/>
          <w:rtl/>
        </w:rPr>
        <w:t>,</w:t>
      </w:r>
      <w:r w:rsidRPr="00CD0298">
        <w:rPr>
          <w:rFonts w:cs="Arial"/>
          <w:rtl/>
        </w:rPr>
        <w:t xml:space="preserve"> וכן תיקנו פירות הנלקטין בעודה תחתיו שלו</w:t>
      </w:r>
      <w:r>
        <w:rPr>
          <w:rFonts w:cs="Arial" w:hint="cs"/>
          <w:rtl/>
        </w:rPr>
        <w:t>,</w:t>
      </w:r>
      <w:r w:rsidRPr="00CD0298">
        <w:rPr>
          <w:rFonts w:cs="Arial"/>
          <w:rtl/>
        </w:rPr>
        <w:t xml:space="preserve"> וכן מוכח בירושלמי (פ"ח ה"ד)</w:t>
      </w:r>
      <w:r>
        <w:rPr>
          <w:rStyle w:val="a7"/>
          <w:rFonts w:cs="Arial"/>
          <w:rtl/>
        </w:rPr>
        <w:footnoteReference w:id="1874"/>
      </w:r>
      <w:r>
        <w:rPr>
          <w:rFonts w:cs="Arial" w:hint="cs"/>
          <w:sz w:val="16"/>
          <w:szCs w:val="16"/>
          <w:rtl/>
        </w:rPr>
        <w:t xml:space="preserve"> (ל' הרא"ש)</w:t>
      </w:r>
      <w:r w:rsidRPr="00CD0298">
        <w:rPr>
          <w:rFonts w:cs="Arial"/>
          <w:rtl/>
        </w:rPr>
        <w:t xml:space="preserve">. </w:t>
      </w:r>
      <w:r w:rsidRPr="00A6197B">
        <w:rPr>
          <w:rFonts w:hint="cs"/>
          <w:color w:val="E36C0A" w:themeColor="accent6" w:themeShade="BF"/>
          <w:rtl/>
        </w:rPr>
        <w:t>(וכ"פ בשו"ע)</w:t>
      </w:r>
    </w:p>
    <w:p w14:paraId="33C63A83" w14:textId="77777777" w:rsidR="002E5BAD" w:rsidRPr="00B2260B" w:rsidRDefault="002E5BAD" w:rsidP="002E5BAD">
      <w:pPr>
        <w:ind w:left="360"/>
        <w:rPr>
          <w:u w:val="dotted"/>
        </w:rPr>
      </w:pPr>
      <w:r>
        <w:rPr>
          <w:rFonts w:cs="Arial" w:hint="cs"/>
          <w:u w:val="dotted"/>
          <w:rtl/>
        </w:rPr>
        <w:t xml:space="preserve">ומה הדין אם </w:t>
      </w:r>
      <w:r w:rsidRPr="00B2260B">
        <w:rPr>
          <w:rFonts w:cs="Arial"/>
          <w:u w:val="dotted"/>
          <w:rtl/>
        </w:rPr>
        <w:t xml:space="preserve">תלש הבעל </w:t>
      </w:r>
      <w:r>
        <w:rPr>
          <w:rFonts w:cs="Arial" w:hint="cs"/>
          <w:u w:val="dotted"/>
          <w:rtl/>
        </w:rPr>
        <w:t xml:space="preserve">פירות </w:t>
      </w:r>
      <w:r w:rsidRPr="00B2260B">
        <w:rPr>
          <w:rFonts w:cs="Arial"/>
          <w:u w:val="dotted"/>
          <w:rtl/>
        </w:rPr>
        <w:t>קודם הגירושין</w:t>
      </w:r>
      <w:r w:rsidRPr="00B2260B">
        <w:rPr>
          <w:rFonts w:cs="Arial" w:hint="cs"/>
          <w:u w:val="dotted"/>
          <w:rtl/>
        </w:rPr>
        <w:t>:</w:t>
      </w:r>
    </w:p>
    <w:p w14:paraId="56BF6FFB" w14:textId="77777777" w:rsidR="002E5BAD" w:rsidRPr="0019164E" w:rsidRDefault="002E5BAD" w:rsidP="002E5BAD">
      <w:pPr>
        <w:pStyle w:val="ab"/>
        <w:numPr>
          <w:ilvl w:val="0"/>
          <w:numId w:val="183"/>
        </w:numPr>
        <w:rPr>
          <w:rtl/>
        </w:rPr>
      </w:pPr>
      <w:r>
        <w:rPr>
          <w:rFonts w:cs="Arial" w:hint="cs"/>
          <w:rtl/>
        </w:rPr>
        <w:t xml:space="preserve">רא"ש </w:t>
      </w:r>
      <w:r w:rsidRPr="00CD0298">
        <w:rPr>
          <w:rFonts w:cs="Arial"/>
          <w:sz w:val="16"/>
          <w:szCs w:val="16"/>
          <w:rtl/>
        </w:rPr>
        <w:t>(סי' ז)</w:t>
      </w:r>
      <w:r>
        <w:rPr>
          <w:rFonts w:cs="Arial" w:hint="cs"/>
          <w:sz w:val="16"/>
          <w:szCs w:val="16"/>
          <w:rtl/>
        </w:rPr>
        <w:t xml:space="preserve"> </w:t>
      </w:r>
      <w:r>
        <w:rPr>
          <w:rFonts w:cs="Arial" w:hint="cs"/>
          <w:rtl/>
        </w:rPr>
        <w:t xml:space="preserve">וטור- </w:t>
      </w:r>
      <w:r w:rsidRPr="0019164E">
        <w:rPr>
          <w:rFonts w:cs="Arial"/>
          <w:rtl/>
        </w:rPr>
        <w:t>תלשן הבעל קודם הגירושין זכה בהן אפי' לא הגיע זמנם ליקצר</w:t>
      </w:r>
      <w:r>
        <w:rPr>
          <w:rStyle w:val="a7"/>
          <w:rFonts w:cs="Arial"/>
          <w:rtl/>
        </w:rPr>
        <w:footnoteReference w:id="1875"/>
      </w:r>
      <w:r>
        <w:rPr>
          <w:rFonts w:cs="Arial" w:hint="cs"/>
          <w:sz w:val="16"/>
          <w:szCs w:val="16"/>
          <w:rtl/>
        </w:rPr>
        <w:t xml:space="preserve"> (ל' הטור)</w:t>
      </w:r>
      <w:r>
        <w:rPr>
          <w:rFonts w:cs="Arial" w:hint="cs"/>
          <w:rtl/>
        </w:rPr>
        <w:t>.</w:t>
      </w:r>
      <w:r w:rsidRPr="0019164E">
        <w:rPr>
          <w:rFonts w:cs="Arial"/>
          <w:rtl/>
        </w:rPr>
        <w:t xml:space="preserve"> </w:t>
      </w:r>
      <w:r w:rsidRPr="00A6197B">
        <w:rPr>
          <w:rFonts w:hint="cs"/>
          <w:color w:val="E36C0A" w:themeColor="accent6" w:themeShade="BF"/>
          <w:rtl/>
        </w:rPr>
        <w:t>(וכ"פ בשו"ע)</w:t>
      </w:r>
    </w:p>
    <w:p w14:paraId="0937D97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E9E3F36" w14:textId="77777777" w:rsidR="002E5BAD" w:rsidRDefault="002E5BAD" w:rsidP="002E5BAD">
      <w:pPr>
        <w:rPr>
          <w:rtl/>
        </w:rPr>
      </w:pPr>
      <w:r>
        <w:rPr>
          <w:rFonts w:cs="Arial"/>
          <w:rtl/>
        </w:rPr>
        <w:t>הכניסה לו קרקע, וכשיוצאה יש בו פירות מחוברים, נוטלתו עם פירותיו</w:t>
      </w:r>
      <w:r>
        <w:rPr>
          <w:rStyle w:val="a7"/>
          <w:rFonts w:cs="Arial"/>
          <w:rtl/>
        </w:rPr>
        <w:footnoteReference w:id="1876"/>
      </w:r>
      <w:r>
        <w:rPr>
          <w:rFonts w:cs="Arial"/>
          <w:rtl/>
        </w:rPr>
        <w:t xml:space="preserve">, אפילו הגיע זמנן ליקצר. תלשן הבעל קודם הגירושין, הרי הם שלו אפילו לא הגיע זמנם ליקצר. </w:t>
      </w:r>
    </w:p>
    <w:p w14:paraId="57EBCF0F" w14:textId="77777777" w:rsidR="002E5BAD" w:rsidRDefault="002E5BAD" w:rsidP="002E5BAD">
      <w:pPr>
        <w:rPr>
          <w:rtl/>
        </w:rPr>
      </w:pPr>
    </w:p>
    <w:p w14:paraId="0C73677E" w14:textId="77777777" w:rsidR="002E5BAD" w:rsidRDefault="002E5BAD" w:rsidP="002E5BAD">
      <w:pPr>
        <w:pStyle w:val="2"/>
        <w:rPr>
          <w:rtl/>
        </w:rPr>
      </w:pPr>
      <w:r>
        <w:rPr>
          <w:rtl/>
        </w:rPr>
        <w:t>סעיף ז</w:t>
      </w:r>
      <w:r>
        <w:rPr>
          <w:rFonts w:hint="cs"/>
          <w:rtl/>
        </w:rPr>
        <w:t xml:space="preserve">: </w:t>
      </w:r>
      <w:r w:rsidRPr="0019164E">
        <w:rPr>
          <w:rFonts w:cs="Arial"/>
          <w:rtl/>
        </w:rPr>
        <w:t>הוציא הוצאות על נכסי אשתו וגירשה</w:t>
      </w:r>
      <w:r>
        <w:rPr>
          <w:rFonts w:hint="cs"/>
          <w:rtl/>
        </w:rPr>
        <w:t>.</w:t>
      </w:r>
    </w:p>
    <w:p w14:paraId="4255F59C" w14:textId="77777777" w:rsidR="002E5BAD" w:rsidRDefault="002E5BAD" w:rsidP="002E5BAD">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Pr>
          <w:rFonts w:cs="Arial" w:hint="cs"/>
          <w:b/>
          <w:bCs/>
          <w:rtl/>
        </w:rPr>
        <w:t>ב</w:t>
      </w:r>
      <w:r w:rsidRPr="00B226F6">
        <w:rPr>
          <w:rFonts w:cs="Arial" w:hint="cs"/>
          <w:b/>
          <w:bCs/>
          <w:rtl/>
        </w:rPr>
        <w:t xml:space="preserve">: </w:t>
      </w:r>
      <w:r w:rsidRPr="00FB331E">
        <w:rPr>
          <w:rFonts w:cs="Arial" w:hint="cs"/>
          <w:u w:val="double"/>
          <w:rtl/>
        </w:rPr>
        <w:t>מתני'</w:t>
      </w:r>
      <w:r>
        <w:rPr>
          <w:rFonts w:cs="Arial" w:hint="cs"/>
          <w:rtl/>
        </w:rPr>
        <w:t>:</w:t>
      </w:r>
      <w:r w:rsidRPr="00020F5F">
        <w:rPr>
          <w:rFonts w:cs="Arial"/>
          <w:rtl/>
        </w:rPr>
        <w:t xml:space="preserve"> המוציא הוצאות על נכסי אשתו, הוציא הרבה ואכל קימעא, קימעא ואכל הרבה - מה שהוציא הוציא, ומה שאכל אכל</w:t>
      </w:r>
      <w:r>
        <w:rPr>
          <w:rFonts w:cs="Arial" w:hint="cs"/>
          <w:rtl/>
        </w:rPr>
        <w:t>.</w:t>
      </w:r>
      <w:r w:rsidRPr="00020F5F">
        <w:rPr>
          <w:rFonts w:cs="Arial"/>
          <w:rtl/>
        </w:rPr>
        <w:t xml:space="preserve"> הוציא ולא אכל - ישבע כמה הוציא ויטול.</w:t>
      </w:r>
      <w:r>
        <w:rPr>
          <w:rFonts w:cs="Arial" w:hint="cs"/>
          <w:rtl/>
        </w:rPr>
        <w:t xml:space="preserve">      </w:t>
      </w:r>
      <w:r w:rsidRPr="00020F5F">
        <w:rPr>
          <w:rFonts w:cs="Arial"/>
          <w:rtl/>
        </w:rPr>
        <w:t xml:space="preserve"> </w:t>
      </w:r>
      <w:r w:rsidRPr="00020F5F">
        <w:rPr>
          <w:rFonts w:cs="Arial"/>
          <w:u w:val="double"/>
          <w:rtl/>
        </w:rPr>
        <w:t>גמ'</w:t>
      </w:r>
      <w:r>
        <w:rPr>
          <w:rFonts w:cs="Arial" w:hint="cs"/>
          <w:rtl/>
        </w:rPr>
        <w:t>:</w:t>
      </w:r>
      <w:r w:rsidRPr="00020F5F">
        <w:rPr>
          <w:rFonts w:cs="Arial"/>
          <w:rtl/>
        </w:rPr>
        <w:t xml:space="preserve"> וכמה קימעא? </w:t>
      </w:r>
      <w:r w:rsidRPr="00010BCB">
        <w:rPr>
          <w:rFonts w:cs="Arial"/>
          <w:u w:val="single"/>
          <w:rtl/>
        </w:rPr>
        <w:t>אמר רבי אסי</w:t>
      </w:r>
      <w:r w:rsidRPr="00020F5F">
        <w:rPr>
          <w:rFonts w:cs="Arial"/>
          <w:rtl/>
        </w:rPr>
        <w:t xml:space="preserve">: אפילו גרוגרת אחת, והוא שאכלה דרך כבוד. </w:t>
      </w:r>
      <w:r w:rsidRPr="00010BCB">
        <w:rPr>
          <w:rFonts w:cs="Arial"/>
          <w:u w:val="single"/>
          <w:rtl/>
        </w:rPr>
        <w:t>אמר</w:t>
      </w:r>
      <w:r w:rsidRPr="00010BCB">
        <w:rPr>
          <w:rFonts w:hint="cs"/>
          <w:sz w:val="14"/>
          <w:szCs w:val="14"/>
          <w:u w:val="single"/>
          <w:rtl/>
        </w:rPr>
        <w:t xml:space="preserve"> (פ.) </w:t>
      </w:r>
      <w:r w:rsidRPr="00010BCB">
        <w:rPr>
          <w:rFonts w:cs="Arial"/>
          <w:u w:val="single"/>
          <w:rtl/>
        </w:rPr>
        <w:t>רבי אבא אמרי בי רב</w:t>
      </w:r>
      <w:r w:rsidRPr="00010BCB">
        <w:rPr>
          <w:rFonts w:cs="Arial"/>
          <w:rtl/>
        </w:rPr>
        <w:t xml:space="preserve">: אפי' שיגרא דתמרי. </w:t>
      </w:r>
      <w:r w:rsidRPr="00010BCB">
        <w:rPr>
          <w:rFonts w:cs="Arial"/>
          <w:u w:val="single"/>
          <w:rtl/>
        </w:rPr>
        <w:t>בעי רב ביבי</w:t>
      </w:r>
      <w:r>
        <w:rPr>
          <w:rFonts w:cs="Arial" w:hint="cs"/>
          <w:rtl/>
        </w:rPr>
        <w:t>:</w:t>
      </w:r>
      <w:r w:rsidRPr="00010BCB">
        <w:rPr>
          <w:rFonts w:cs="Arial"/>
          <w:rtl/>
        </w:rPr>
        <w:t xml:space="preserve"> חובצא דתמרי, מאי? תיקו. לא אכלה דרך כבוד, מאי? </w:t>
      </w:r>
      <w:r w:rsidRPr="00010BCB">
        <w:rPr>
          <w:rFonts w:cs="Arial"/>
          <w:u w:val="single"/>
          <w:rtl/>
        </w:rPr>
        <w:t>אמר עולא</w:t>
      </w:r>
      <w:r w:rsidRPr="00010BCB">
        <w:rPr>
          <w:rFonts w:cs="Arial"/>
          <w:rtl/>
        </w:rPr>
        <w:t xml:space="preserve">: פליגי בה תרי אמוראי במערבא, </w:t>
      </w:r>
      <w:r w:rsidRPr="00010BCB">
        <w:rPr>
          <w:rFonts w:cs="Arial"/>
          <w:u w:val="single"/>
          <w:rtl/>
        </w:rPr>
        <w:t>חד אמר</w:t>
      </w:r>
      <w:r w:rsidRPr="00010BCB">
        <w:rPr>
          <w:rFonts w:cs="Arial"/>
          <w:rtl/>
        </w:rPr>
        <w:t xml:space="preserve">: בכאיסר, </w:t>
      </w:r>
      <w:r w:rsidRPr="00010BCB">
        <w:rPr>
          <w:rFonts w:cs="Arial"/>
          <w:u w:val="single"/>
          <w:rtl/>
        </w:rPr>
        <w:t>וחד אמר</w:t>
      </w:r>
      <w:r w:rsidRPr="00010BCB">
        <w:rPr>
          <w:rFonts w:cs="Arial"/>
          <w:rtl/>
        </w:rPr>
        <w:t xml:space="preserve">: בכדינר. </w:t>
      </w:r>
      <w:r w:rsidRPr="00010BCB">
        <w:rPr>
          <w:rFonts w:cs="Arial"/>
          <w:u w:val="single"/>
          <w:rtl/>
        </w:rPr>
        <w:t>אמרי דייני דפומבדיתא</w:t>
      </w:r>
      <w:r w:rsidRPr="00010BCB">
        <w:rPr>
          <w:rFonts w:cs="Arial"/>
          <w:rtl/>
        </w:rPr>
        <w:t>: עבד רב יהודה עובדא בחבילי זמורות</w:t>
      </w:r>
      <w:r>
        <w:rPr>
          <w:rStyle w:val="a7"/>
          <w:rFonts w:cs="Arial"/>
          <w:rtl/>
        </w:rPr>
        <w:footnoteReference w:id="1877"/>
      </w:r>
      <w:r w:rsidRPr="00010BCB">
        <w:rPr>
          <w:rFonts w:cs="Arial"/>
          <w:rtl/>
        </w:rPr>
        <w:t xml:space="preserve">. רב יהודה לטעמיה, </w:t>
      </w:r>
      <w:r w:rsidRPr="00010BCB">
        <w:rPr>
          <w:rFonts w:cs="Arial"/>
          <w:u w:val="single"/>
          <w:rtl/>
        </w:rPr>
        <w:t>דאמר רב יהודה</w:t>
      </w:r>
      <w:r w:rsidRPr="00010BCB">
        <w:rPr>
          <w:rFonts w:cs="Arial"/>
          <w:rtl/>
        </w:rPr>
        <w:t>: אכלה ערלה שביעית וכלאים - ה"ז חזקה..</w:t>
      </w:r>
      <w:r>
        <w:rPr>
          <w:rFonts w:cs="Arial" w:hint="cs"/>
          <w:rtl/>
        </w:rPr>
        <w:t xml:space="preserve">. </w:t>
      </w:r>
      <w:r w:rsidRPr="00010BCB">
        <w:rPr>
          <w:rFonts w:cs="Arial"/>
          <w:rtl/>
        </w:rPr>
        <w:t xml:space="preserve">ישבע כמה הוציא ויטול. </w:t>
      </w:r>
      <w:r w:rsidRPr="00010BCB">
        <w:rPr>
          <w:rFonts w:cs="Arial"/>
          <w:u w:val="single"/>
          <w:rtl/>
        </w:rPr>
        <w:t>א"ר אסי</w:t>
      </w:r>
      <w:r w:rsidRPr="00010BCB">
        <w:rPr>
          <w:rFonts w:cs="Arial"/>
          <w:rtl/>
        </w:rPr>
        <w:t xml:space="preserve">: והוא, שיש שבח כנגד הוצאה. למאי הלכתא? </w:t>
      </w:r>
      <w:r w:rsidRPr="00010BCB">
        <w:rPr>
          <w:rFonts w:cs="Arial"/>
          <w:u w:val="single"/>
          <w:rtl/>
        </w:rPr>
        <w:t>אמר אביי</w:t>
      </w:r>
      <w:r w:rsidRPr="00010BCB">
        <w:rPr>
          <w:rFonts w:cs="Arial"/>
          <w:rtl/>
        </w:rPr>
        <w:t xml:space="preserve">: שאם היה שבח יתר על הוצאה, נוטל את ההוצאה בלא שבועה. </w:t>
      </w:r>
      <w:r w:rsidRPr="00010BCB">
        <w:rPr>
          <w:rFonts w:cs="Arial"/>
          <w:u w:val="single"/>
          <w:rtl/>
        </w:rPr>
        <w:t>א"ל רבא</w:t>
      </w:r>
      <w:r w:rsidRPr="00010BCB">
        <w:rPr>
          <w:rFonts w:cs="Arial"/>
          <w:rtl/>
        </w:rPr>
        <w:t xml:space="preserve">: א"כ, אתי לאיערומי! </w:t>
      </w:r>
      <w:r w:rsidRPr="00010BCB">
        <w:rPr>
          <w:rFonts w:cs="Arial"/>
          <w:u w:val="single"/>
          <w:rtl/>
        </w:rPr>
        <w:t>אלא אמר רבא</w:t>
      </w:r>
      <w:r w:rsidRPr="00010BCB">
        <w:rPr>
          <w:rFonts w:cs="Arial"/>
          <w:rtl/>
        </w:rPr>
        <w:t>: שאם היתה הוצאה יתירה על השבח, אין לו אלא הוצאה שיעור שבח, ובשבועה.</w:t>
      </w:r>
    </w:p>
    <w:p w14:paraId="76BC3B48" w14:textId="77777777" w:rsidR="002E5BAD" w:rsidRPr="00B62CB4" w:rsidRDefault="002E5BAD" w:rsidP="002E5BAD">
      <w:pPr>
        <w:rPr>
          <w:rFonts w:cs="Arial"/>
          <w:u w:val="single"/>
          <w:rtl/>
        </w:rPr>
      </w:pPr>
      <w:r w:rsidRPr="00B62CB4">
        <w:rPr>
          <w:rFonts w:cs="Arial"/>
          <w:u w:val="single"/>
          <w:rtl/>
        </w:rPr>
        <w:t>הוציא הוצאות על נכסי אשתו וגירשה</w:t>
      </w:r>
      <w:r w:rsidRPr="00B62CB4">
        <w:rPr>
          <w:rFonts w:cs="Arial" w:hint="cs"/>
          <w:u w:val="single"/>
          <w:rtl/>
        </w:rPr>
        <w:t>:</w:t>
      </w:r>
    </w:p>
    <w:p w14:paraId="2E3B42A7" w14:textId="77777777" w:rsidR="002E5BAD" w:rsidRPr="003556EC" w:rsidRDefault="002E5BAD" w:rsidP="002E5BAD">
      <w:pPr>
        <w:pStyle w:val="ab"/>
        <w:numPr>
          <w:ilvl w:val="0"/>
          <w:numId w:val="183"/>
        </w:numPr>
      </w:pPr>
      <w:r>
        <w:rPr>
          <w:rFonts w:cs="Arial" w:hint="cs"/>
          <w:rtl/>
        </w:rPr>
        <w:t xml:space="preserve">טור- </w:t>
      </w:r>
      <w:r w:rsidRPr="0019164E">
        <w:rPr>
          <w:rFonts w:cs="Arial"/>
          <w:rtl/>
        </w:rPr>
        <w:t>הוציא הוצאות על נכסי אשתו וגירשה</w:t>
      </w:r>
      <w:r>
        <w:rPr>
          <w:rFonts w:cs="Arial" w:hint="cs"/>
          <w:rtl/>
        </w:rPr>
        <w:t>,</w:t>
      </w:r>
      <w:r w:rsidRPr="0019164E">
        <w:rPr>
          <w:rFonts w:cs="Arial"/>
          <w:rtl/>
        </w:rPr>
        <w:t xml:space="preserve"> ולא אכל ולא נהנה מהם כלום</w:t>
      </w:r>
      <w:r>
        <w:rPr>
          <w:rFonts w:cs="Arial" w:hint="cs"/>
          <w:rtl/>
        </w:rPr>
        <w:t>,</w:t>
      </w:r>
      <w:r w:rsidRPr="0019164E">
        <w:rPr>
          <w:rFonts w:cs="Arial"/>
          <w:rtl/>
        </w:rPr>
        <w:t xml:space="preserve"> רואין אם השבח שהשביח יתר על ההוצאה</w:t>
      </w:r>
      <w:r>
        <w:rPr>
          <w:rFonts w:cs="Arial" w:hint="cs"/>
          <w:rtl/>
        </w:rPr>
        <w:t xml:space="preserve"> -</w:t>
      </w:r>
      <w:r w:rsidRPr="0019164E">
        <w:rPr>
          <w:rFonts w:cs="Arial"/>
          <w:rtl/>
        </w:rPr>
        <w:t xml:space="preserve"> ישבע כמה הוציא ויטול</w:t>
      </w:r>
      <w:r>
        <w:rPr>
          <w:rFonts w:cs="Arial" w:hint="cs"/>
          <w:rtl/>
        </w:rPr>
        <w:t>,</w:t>
      </w:r>
      <w:r w:rsidRPr="0019164E">
        <w:rPr>
          <w:rFonts w:cs="Arial"/>
          <w:rtl/>
        </w:rPr>
        <w:t xml:space="preserve"> ואם ההוצאה יתירה על השבח </w:t>
      </w:r>
      <w:r>
        <w:rPr>
          <w:rFonts w:cs="Arial" w:hint="cs"/>
          <w:rtl/>
        </w:rPr>
        <w:t xml:space="preserve">- </w:t>
      </w:r>
      <w:r w:rsidRPr="0019164E">
        <w:rPr>
          <w:rFonts w:cs="Arial"/>
          <w:rtl/>
        </w:rPr>
        <w:t>אין לו אלא כשיעור השבח בשבועה</w:t>
      </w:r>
      <w:r>
        <w:rPr>
          <w:rFonts w:cs="Arial" w:hint="cs"/>
          <w:rtl/>
        </w:rPr>
        <w:t>.</w:t>
      </w:r>
      <w:r w:rsidRPr="0019164E">
        <w:rPr>
          <w:rFonts w:cs="Arial"/>
          <w:rtl/>
        </w:rPr>
        <w:t xml:space="preserve"> בד"א שלא אכל כלל</w:t>
      </w:r>
      <w:r>
        <w:rPr>
          <w:rFonts w:cs="Arial" w:hint="cs"/>
          <w:rtl/>
        </w:rPr>
        <w:t>,</w:t>
      </w:r>
      <w:r w:rsidRPr="0019164E">
        <w:rPr>
          <w:rFonts w:cs="Arial"/>
          <w:rtl/>
        </w:rPr>
        <w:t xml:space="preserve"> אבל אם אכל מהן רב או מעט</w:t>
      </w:r>
      <w:r>
        <w:rPr>
          <w:rFonts w:cs="Arial" w:hint="cs"/>
          <w:rtl/>
        </w:rPr>
        <w:t>,</w:t>
      </w:r>
      <w:r w:rsidRPr="0019164E">
        <w:rPr>
          <w:rFonts w:cs="Arial"/>
          <w:rtl/>
        </w:rPr>
        <w:t xml:space="preserve"> אפי' גרוגרת אחת </w:t>
      </w:r>
      <w:r>
        <w:rPr>
          <w:rFonts w:cs="Arial" w:hint="cs"/>
          <w:rtl/>
        </w:rPr>
        <w:t xml:space="preserve">- </w:t>
      </w:r>
      <w:r w:rsidRPr="0019164E">
        <w:rPr>
          <w:rFonts w:cs="Arial"/>
          <w:rtl/>
        </w:rPr>
        <w:t>מה שהוציא הוציא ומה שאכל אכל</w:t>
      </w:r>
      <w:r>
        <w:rPr>
          <w:rFonts w:cs="Arial" w:hint="cs"/>
          <w:rtl/>
        </w:rPr>
        <w:t>,</w:t>
      </w:r>
      <w:r w:rsidRPr="0019164E">
        <w:rPr>
          <w:rFonts w:cs="Arial"/>
          <w:rtl/>
        </w:rPr>
        <w:t xml:space="preserve"> והוא שאכלה דרך כבוד כדרך איש בביתו</w:t>
      </w:r>
      <w:r>
        <w:rPr>
          <w:rFonts w:cs="Arial" w:hint="cs"/>
          <w:rtl/>
        </w:rPr>
        <w:t>.</w:t>
      </w:r>
      <w:r w:rsidRPr="0019164E">
        <w:rPr>
          <w:rFonts w:cs="Arial"/>
          <w:rtl/>
        </w:rPr>
        <w:t xml:space="preserve"> </w:t>
      </w:r>
      <w:r w:rsidRPr="00A6197B">
        <w:rPr>
          <w:rFonts w:hint="cs"/>
          <w:color w:val="E36C0A" w:themeColor="accent6" w:themeShade="BF"/>
          <w:rtl/>
        </w:rPr>
        <w:t>(וכ"פ בשו"ע)</w:t>
      </w:r>
    </w:p>
    <w:p w14:paraId="3278C022" w14:textId="77777777" w:rsidR="002E5BAD" w:rsidRPr="003556EC" w:rsidRDefault="002E5BAD" w:rsidP="002E5BAD">
      <w:pPr>
        <w:ind w:left="360"/>
        <w:rPr>
          <w:u w:val="dotted"/>
        </w:rPr>
      </w:pPr>
      <w:r w:rsidRPr="003556EC">
        <w:rPr>
          <w:rFonts w:hint="cs"/>
          <w:u w:val="dotted"/>
          <w:rtl/>
        </w:rPr>
        <w:t xml:space="preserve">ומה הדין אם </w:t>
      </w:r>
      <w:r w:rsidRPr="003556EC">
        <w:rPr>
          <w:rFonts w:cs="Arial"/>
          <w:u w:val="dotted"/>
          <w:rtl/>
        </w:rPr>
        <w:t>לא אכלה דרך כבוד</w:t>
      </w:r>
      <w:r w:rsidRPr="003556EC">
        <w:rPr>
          <w:rFonts w:hint="cs"/>
          <w:u w:val="dotted"/>
          <w:rtl/>
        </w:rPr>
        <w:t>:</w:t>
      </w:r>
    </w:p>
    <w:p w14:paraId="5D6FAC6B" w14:textId="77777777" w:rsidR="002E5BAD" w:rsidRPr="003556EC" w:rsidRDefault="002E5BAD" w:rsidP="002E5BAD">
      <w:pPr>
        <w:pStyle w:val="ab"/>
        <w:numPr>
          <w:ilvl w:val="0"/>
          <w:numId w:val="183"/>
        </w:numPr>
      </w:pPr>
      <w:r w:rsidRPr="0019164E">
        <w:rPr>
          <w:rFonts w:cs="Arial"/>
          <w:rtl/>
        </w:rPr>
        <w:t>רמב"ם</w:t>
      </w:r>
      <w:r>
        <w:rPr>
          <w:rFonts w:cs="Arial" w:hint="cs"/>
          <w:rtl/>
        </w:rPr>
        <w:t xml:space="preserve"> </w:t>
      </w:r>
      <w:r>
        <w:rPr>
          <w:rFonts w:cs="Arial" w:hint="cs"/>
          <w:sz w:val="16"/>
          <w:szCs w:val="16"/>
          <w:rtl/>
        </w:rPr>
        <w:t>(</w:t>
      </w:r>
      <w:r w:rsidRPr="003556EC">
        <w:rPr>
          <w:rFonts w:cs="Arial"/>
          <w:sz w:val="16"/>
          <w:szCs w:val="16"/>
          <w:rtl/>
        </w:rPr>
        <w:t>פכ"ג מאישות ה"ח)</w:t>
      </w:r>
      <w:r>
        <w:rPr>
          <w:rFonts w:cs="Arial" w:hint="cs"/>
          <w:rtl/>
        </w:rPr>
        <w:t>-</w:t>
      </w:r>
      <w:r w:rsidRPr="0019164E">
        <w:rPr>
          <w:rFonts w:cs="Arial"/>
          <w:rtl/>
        </w:rPr>
        <w:t xml:space="preserve"> אכל דינר אחד אפילו שלא דרך כבוד ואפילו לא לקח בפירות ממה שהוציא אלא חבילה אחת של זמורות מה שהוציא הוציא ומה שאכל אכל</w:t>
      </w:r>
      <w:r>
        <w:rPr>
          <w:rFonts w:cs="Arial" w:hint="cs"/>
          <w:rtl/>
        </w:rPr>
        <w:t>.</w:t>
      </w:r>
      <w:r w:rsidRPr="0019164E">
        <w:rPr>
          <w:rFonts w:cs="Arial"/>
          <w:rtl/>
        </w:rPr>
        <w:t xml:space="preserve"> </w:t>
      </w:r>
      <w:r w:rsidRPr="00A6197B">
        <w:rPr>
          <w:rFonts w:hint="cs"/>
          <w:color w:val="E36C0A" w:themeColor="accent6" w:themeShade="BF"/>
          <w:rtl/>
        </w:rPr>
        <w:t>(וכ"פ בשו"ע)</w:t>
      </w:r>
    </w:p>
    <w:p w14:paraId="20367D6F" w14:textId="77777777" w:rsidR="002E5BAD" w:rsidRPr="0048190F" w:rsidRDefault="002E5BAD" w:rsidP="002E5BAD">
      <w:pPr>
        <w:pStyle w:val="ab"/>
        <w:numPr>
          <w:ilvl w:val="0"/>
          <w:numId w:val="183"/>
        </w:numPr>
      </w:pPr>
      <w:r w:rsidRPr="0019164E">
        <w:rPr>
          <w:rFonts w:cs="Arial"/>
          <w:rtl/>
        </w:rPr>
        <w:t>רא"ש</w:t>
      </w:r>
      <w:r>
        <w:rPr>
          <w:rFonts w:cs="Arial" w:hint="cs"/>
          <w:rtl/>
        </w:rPr>
        <w:t xml:space="preserve"> </w:t>
      </w:r>
      <w:r w:rsidRPr="003556EC">
        <w:rPr>
          <w:rFonts w:cs="Arial"/>
          <w:sz w:val="16"/>
          <w:szCs w:val="16"/>
          <w:rtl/>
        </w:rPr>
        <w:t>(סי' ט)</w:t>
      </w:r>
      <w:r>
        <w:rPr>
          <w:rFonts w:cs="Arial" w:hint="cs"/>
          <w:rtl/>
        </w:rPr>
        <w:t xml:space="preserve">- </w:t>
      </w:r>
      <w:r w:rsidRPr="0019164E">
        <w:rPr>
          <w:rFonts w:cs="Arial"/>
          <w:rtl/>
        </w:rPr>
        <w:t>כיון דלא יהיב שיעורא לחבילי זמורות מוקמינן לה אפחות שבממון והיינו שוה פרוטה</w:t>
      </w:r>
      <w:r>
        <w:rPr>
          <w:rFonts w:cs="Arial" w:hint="cs"/>
          <w:rtl/>
        </w:rPr>
        <w:t>.</w:t>
      </w:r>
      <w:r w:rsidRPr="008A5284">
        <w:rPr>
          <w:rFonts w:cs="Arial"/>
          <w:rtl/>
        </w:rPr>
        <w:t xml:space="preserve"> </w:t>
      </w:r>
    </w:p>
    <w:p w14:paraId="6576C8C3" w14:textId="77777777" w:rsidR="002E5BAD" w:rsidRPr="00010BCB" w:rsidRDefault="002E5BAD" w:rsidP="002E5BAD">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Pr>
          <w:rFonts w:cs="Arial" w:hint="cs"/>
          <w:b/>
          <w:bCs/>
          <w:rtl/>
        </w:rPr>
        <w:t>פ</w:t>
      </w:r>
      <w:r w:rsidRPr="00B226F6">
        <w:rPr>
          <w:rFonts w:cs="Arial" w:hint="cs"/>
          <w:b/>
          <w:bCs/>
          <w:rtl/>
        </w:rPr>
        <w:t xml:space="preserve"> ע"</w:t>
      </w:r>
      <w:r>
        <w:rPr>
          <w:rFonts w:cs="Arial" w:hint="cs"/>
          <w:b/>
          <w:bCs/>
          <w:rtl/>
        </w:rPr>
        <w:t>א</w:t>
      </w:r>
      <w:r w:rsidRPr="00B226F6">
        <w:rPr>
          <w:rFonts w:cs="Arial" w:hint="cs"/>
          <w:b/>
          <w:bCs/>
          <w:rtl/>
        </w:rPr>
        <w:t xml:space="preserve">: </w:t>
      </w:r>
      <w:r w:rsidRPr="00010BCB">
        <w:rPr>
          <w:rFonts w:cs="Arial"/>
          <w:rtl/>
        </w:rPr>
        <w:t xml:space="preserve">ההיא איתתא דנפלו לה ארבע מאה זוזי בי חוזאי, אזיל גברא אפיק שית מאה אייתי ארבע מאה, בהדי דקאתי איצטריך ליה חד זוזא ושקל מנייהו, אתא לקמיה דר' אמי, </w:t>
      </w:r>
      <w:r w:rsidRPr="00010BCB">
        <w:rPr>
          <w:rFonts w:cs="Arial"/>
          <w:u w:val="single"/>
          <w:rtl/>
        </w:rPr>
        <w:t>א"ל</w:t>
      </w:r>
      <w:r w:rsidRPr="00010BCB">
        <w:rPr>
          <w:rFonts w:cs="Arial"/>
          <w:rtl/>
        </w:rPr>
        <w:t xml:space="preserve">: מה שהוציא הוציא, ומה </w:t>
      </w:r>
      <w:r w:rsidRPr="00010BCB">
        <w:rPr>
          <w:rFonts w:cs="Arial"/>
          <w:rtl/>
        </w:rPr>
        <w:lastRenderedPageBreak/>
        <w:t xml:space="preserve">שאכל אכל. </w:t>
      </w:r>
      <w:r w:rsidRPr="00010BCB">
        <w:rPr>
          <w:rFonts w:cs="Arial"/>
          <w:u w:val="single"/>
          <w:rtl/>
        </w:rPr>
        <w:t>אמרו ליה רבנן לר' אמי</w:t>
      </w:r>
      <w:r w:rsidRPr="00010BCB">
        <w:rPr>
          <w:rFonts w:cs="Arial"/>
          <w:rtl/>
        </w:rPr>
        <w:t xml:space="preserve">: ה"מ היכא דקאכיל פירא, הא קרנא קאכיל והוצאה היא! א"כ, הוה ליה הוציא ולא אכל, ישבע כמה הוציא ויטול. </w:t>
      </w:r>
    </w:p>
    <w:p w14:paraId="1900DEF2" w14:textId="77777777" w:rsidR="002E5BAD" w:rsidRPr="003C6FEA" w:rsidRDefault="002E5BAD" w:rsidP="002E5BAD">
      <w:pPr>
        <w:rPr>
          <w:u w:val="single"/>
          <w:rtl/>
        </w:rPr>
      </w:pPr>
      <w:r w:rsidRPr="003C6FEA">
        <w:rPr>
          <w:rFonts w:cs="Arial"/>
          <w:u w:val="single"/>
          <w:rtl/>
        </w:rPr>
        <w:t>נפלו לה נכסים במקום</w:t>
      </w:r>
      <w:r w:rsidRPr="003C6FEA">
        <w:rPr>
          <w:rFonts w:cs="Arial" w:hint="cs"/>
          <w:u w:val="single"/>
          <w:rtl/>
        </w:rPr>
        <w:t xml:space="preserve"> אחר</w:t>
      </w:r>
      <w:r w:rsidRPr="003C6FEA">
        <w:rPr>
          <w:rFonts w:cs="Arial"/>
          <w:u w:val="single"/>
          <w:rtl/>
        </w:rPr>
        <w:t xml:space="preserve"> </w:t>
      </w:r>
      <w:r w:rsidRPr="003C6FEA">
        <w:rPr>
          <w:rFonts w:cs="Arial" w:hint="cs"/>
          <w:u w:val="single"/>
          <w:rtl/>
        </w:rPr>
        <w:t xml:space="preserve">והוציא </w:t>
      </w:r>
      <w:r w:rsidRPr="003C6FEA">
        <w:rPr>
          <w:rFonts w:cs="Arial"/>
          <w:u w:val="single"/>
          <w:rtl/>
        </w:rPr>
        <w:t xml:space="preserve">הוצאות </w:t>
      </w:r>
      <w:r w:rsidRPr="003C6FEA">
        <w:rPr>
          <w:rFonts w:cs="Arial" w:hint="cs"/>
          <w:u w:val="single"/>
          <w:rtl/>
        </w:rPr>
        <w:t>כדי</w:t>
      </w:r>
      <w:r w:rsidRPr="003C6FEA">
        <w:rPr>
          <w:rFonts w:cs="Arial"/>
          <w:u w:val="single"/>
          <w:rtl/>
        </w:rPr>
        <w:t xml:space="preserve"> </w:t>
      </w:r>
      <w:r w:rsidRPr="003C6FEA">
        <w:rPr>
          <w:rFonts w:cs="Arial" w:hint="cs"/>
          <w:u w:val="single"/>
          <w:rtl/>
        </w:rPr>
        <w:t>ל</w:t>
      </w:r>
      <w:r w:rsidRPr="003C6FEA">
        <w:rPr>
          <w:rFonts w:cs="Arial"/>
          <w:u w:val="single"/>
          <w:rtl/>
        </w:rPr>
        <w:t>הביאן</w:t>
      </w:r>
      <w:r>
        <w:rPr>
          <w:rFonts w:cs="Arial" w:hint="cs"/>
          <w:u w:val="single"/>
          <w:rtl/>
        </w:rPr>
        <w:t>, וגירשה</w:t>
      </w:r>
      <w:r w:rsidRPr="003C6FEA">
        <w:rPr>
          <w:rFonts w:hint="cs"/>
          <w:u w:val="single"/>
          <w:rtl/>
        </w:rPr>
        <w:t>:</w:t>
      </w:r>
    </w:p>
    <w:p w14:paraId="5175B84A" w14:textId="77777777" w:rsidR="002E5BAD" w:rsidRPr="008F7091" w:rsidRDefault="002E5BAD" w:rsidP="002E5BAD">
      <w:pPr>
        <w:pStyle w:val="ab"/>
        <w:numPr>
          <w:ilvl w:val="0"/>
          <w:numId w:val="183"/>
        </w:numPr>
      </w:pPr>
      <w:r w:rsidRPr="0019164E">
        <w:rPr>
          <w:rFonts w:cs="Arial"/>
          <w:rtl/>
        </w:rPr>
        <w:t xml:space="preserve">רמב"ם </w:t>
      </w:r>
      <w:r w:rsidRPr="002E7D61">
        <w:rPr>
          <w:rFonts w:cs="Arial" w:hint="cs"/>
          <w:sz w:val="16"/>
          <w:szCs w:val="16"/>
          <w:rtl/>
        </w:rPr>
        <w:t>(</w:t>
      </w:r>
      <w:r w:rsidRPr="002E7D61">
        <w:rPr>
          <w:rFonts w:cs="Arial"/>
          <w:sz w:val="16"/>
          <w:szCs w:val="16"/>
          <w:rtl/>
        </w:rPr>
        <w:t>פכ"ג מאישות ה"</w:t>
      </w:r>
      <w:r>
        <w:rPr>
          <w:rFonts w:cs="Arial" w:hint="cs"/>
          <w:sz w:val="16"/>
          <w:szCs w:val="16"/>
          <w:rtl/>
        </w:rPr>
        <w:t>ט</w:t>
      </w:r>
      <w:r w:rsidRPr="002E7D61">
        <w:rPr>
          <w:rFonts w:cs="Arial"/>
          <w:sz w:val="16"/>
          <w:szCs w:val="16"/>
          <w:rtl/>
        </w:rPr>
        <w:t>)</w:t>
      </w:r>
      <w:r>
        <w:rPr>
          <w:rFonts w:cs="Arial" w:hint="cs"/>
          <w:rtl/>
        </w:rPr>
        <w:t xml:space="preserve">- </w:t>
      </w:r>
      <w:r w:rsidRPr="008F7091">
        <w:rPr>
          <w:rFonts w:cs="Arial"/>
          <w:rtl/>
        </w:rPr>
        <w:t xml:space="preserve">וכן אם נפלו לה כספים במקום רחוק והוציא עליהן הוצאות עד שהביאן או עד שהוציאן מיד מי שהיו אצלו ולקח בהן קרקע ואכל פירותיה כשיעור </w:t>
      </w:r>
      <w:r>
        <w:rPr>
          <w:rFonts w:cs="Arial" w:hint="cs"/>
          <w:rtl/>
        </w:rPr>
        <w:t xml:space="preserve">- </w:t>
      </w:r>
      <w:r w:rsidRPr="008F7091">
        <w:rPr>
          <w:rFonts w:cs="Arial"/>
          <w:rtl/>
        </w:rPr>
        <w:t>מה שהוציא הוציא ומה שאכל אכל. הוציא ולא אכל או שאכל פחות מכשיעור, שמין כמה השביח ושואלין אותו כמה הוציא, אם השבח יתר על ההוצאה</w:t>
      </w:r>
      <w:r>
        <w:rPr>
          <w:rFonts w:cs="Arial" w:hint="cs"/>
          <w:rtl/>
        </w:rPr>
        <w:t xml:space="preserve"> -</w:t>
      </w:r>
      <w:r w:rsidRPr="008F7091">
        <w:rPr>
          <w:rFonts w:cs="Arial"/>
          <w:rtl/>
        </w:rPr>
        <w:t xml:space="preserve"> ישבע בנקיטת חפץ כמה הוציא ונוטל ההוצאה</w:t>
      </w:r>
      <w:r>
        <w:rPr>
          <w:rFonts w:cs="Arial" w:hint="cs"/>
          <w:rtl/>
        </w:rPr>
        <w:t>,</w:t>
      </w:r>
      <w:r w:rsidRPr="008F7091">
        <w:rPr>
          <w:rFonts w:cs="Arial"/>
          <w:rtl/>
        </w:rPr>
        <w:t xml:space="preserve"> ואם ההוצאה יתירה על השבח </w:t>
      </w:r>
      <w:r>
        <w:rPr>
          <w:rFonts w:cs="Arial" w:hint="cs"/>
          <w:rtl/>
        </w:rPr>
        <w:t xml:space="preserve">- </w:t>
      </w:r>
      <w:r w:rsidRPr="008F7091">
        <w:rPr>
          <w:rFonts w:cs="Arial"/>
          <w:rtl/>
        </w:rPr>
        <w:t xml:space="preserve">אין לו מן ההוצאה אלא כשיעור השבח ובשבועה. </w:t>
      </w:r>
      <w:r w:rsidRPr="00A6197B">
        <w:rPr>
          <w:rFonts w:hint="cs"/>
          <w:color w:val="E36C0A" w:themeColor="accent6" w:themeShade="BF"/>
          <w:rtl/>
        </w:rPr>
        <w:t>(וכ"פ בשו"ע)</w:t>
      </w:r>
    </w:p>
    <w:p w14:paraId="2C2BC893" w14:textId="77777777" w:rsidR="002E5BAD" w:rsidRDefault="002E5BAD" w:rsidP="002E5BAD">
      <w:pPr>
        <w:pStyle w:val="ab"/>
        <w:numPr>
          <w:ilvl w:val="0"/>
          <w:numId w:val="183"/>
        </w:numPr>
      </w:pPr>
      <w:r>
        <w:rPr>
          <w:rFonts w:cs="Arial" w:hint="cs"/>
          <w:rtl/>
        </w:rPr>
        <w:t xml:space="preserve">טור- </w:t>
      </w:r>
      <w:r w:rsidRPr="0019164E">
        <w:rPr>
          <w:rFonts w:cs="Arial"/>
          <w:rtl/>
        </w:rPr>
        <w:t>נפלו לה נכסים במקום אחר</w:t>
      </w:r>
      <w:r>
        <w:rPr>
          <w:rFonts w:cs="Arial" w:hint="cs"/>
          <w:rtl/>
        </w:rPr>
        <w:t>,</w:t>
      </w:r>
      <w:r w:rsidRPr="0019164E">
        <w:rPr>
          <w:rFonts w:cs="Arial"/>
          <w:rtl/>
        </w:rPr>
        <w:t xml:space="preserve"> והלך אחריהם והוציא הוצאות מרובות והביאן</w:t>
      </w:r>
      <w:r>
        <w:rPr>
          <w:rFonts w:cs="Arial" w:hint="cs"/>
          <w:rtl/>
        </w:rPr>
        <w:t>,</w:t>
      </w:r>
      <w:r w:rsidRPr="0019164E">
        <w:rPr>
          <w:rFonts w:cs="Arial"/>
          <w:rtl/>
        </w:rPr>
        <w:t xml:space="preserve"> וגירשה</w:t>
      </w:r>
      <w:r>
        <w:rPr>
          <w:rFonts w:cs="Arial" w:hint="cs"/>
          <w:rtl/>
        </w:rPr>
        <w:t>,</w:t>
      </w:r>
      <w:r w:rsidRPr="0019164E">
        <w:rPr>
          <w:rFonts w:cs="Arial"/>
          <w:rtl/>
        </w:rPr>
        <w:t xml:space="preserve"> אפי' לקח מהן והוציא אין זה כאוכל מן השבח שנדון בו מה שהוציא הוציא ומה שאכל אכל</w:t>
      </w:r>
      <w:r>
        <w:rPr>
          <w:rFonts w:cs="Arial" w:hint="cs"/>
          <w:rtl/>
        </w:rPr>
        <w:t>,</w:t>
      </w:r>
      <w:r w:rsidRPr="0019164E">
        <w:rPr>
          <w:rFonts w:cs="Arial"/>
          <w:rtl/>
        </w:rPr>
        <w:t xml:space="preserve"> שהרי מהקרן לקח</w:t>
      </w:r>
      <w:r>
        <w:rPr>
          <w:rFonts w:cs="Arial" w:hint="cs"/>
          <w:rtl/>
        </w:rPr>
        <w:t>,</w:t>
      </w:r>
      <w:r w:rsidRPr="0019164E">
        <w:rPr>
          <w:rFonts w:cs="Arial"/>
          <w:rtl/>
        </w:rPr>
        <w:t xml:space="preserve"> אלא ישבע כמה הוציא ויטול עד כדי השבח</w:t>
      </w:r>
      <w:r>
        <w:rPr>
          <w:rFonts w:cs="Arial" w:hint="cs"/>
          <w:rtl/>
        </w:rPr>
        <w:t>,</w:t>
      </w:r>
      <w:r w:rsidRPr="0019164E">
        <w:rPr>
          <w:rFonts w:cs="Arial"/>
          <w:rtl/>
        </w:rPr>
        <w:t xml:space="preserve"> דהיינו ששמין אלו המעות כמה שוין כאן יותר ממה שהיו שוין במקום שהיו תחלה</w:t>
      </w:r>
      <w:r>
        <w:rPr>
          <w:rFonts w:cs="Arial" w:hint="cs"/>
          <w:rtl/>
        </w:rPr>
        <w:t>.</w:t>
      </w:r>
      <w:r w:rsidRPr="00260979">
        <w:rPr>
          <w:rFonts w:hint="cs"/>
          <w:color w:val="E36C0A" w:themeColor="accent6" w:themeShade="BF"/>
          <w:rtl/>
        </w:rPr>
        <w:t xml:space="preserve"> </w:t>
      </w:r>
      <w:r w:rsidRPr="00A6197B">
        <w:rPr>
          <w:rFonts w:hint="cs"/>
          <w:color w:val="E36C0A" w:themeColor="accent6" w:themeShade="BF"/>
          <w:rtl/>
        </w:rPr>
        <w:t>(וכ"פ בשו"ע</w:t>
      </w:r>
      <w:r w:rsidRPr="009219CB">
        <w:rPr>
          <w:rStyle w:val="a7"/>
          <w:color w:val="000000" w:themeColor="text1"/>
          <w:rtl/>
        </w:rPr>
        <w:footnoteReference w:id="1878"/>
      </w:r>
      <w:r w:rsidRPr="00260979">
        <w:rPr>
          <w:rFonts w:hint="cs"/>
          <w:color w:val="000000" w:themeColor="text1"/>
          <w:sz w:val="16"/>
          <w:szCs w:val="16"/>
          <w:rtl/>
        </w:rPr>
        <w:t>[</w:t>
      </w:r>
      <w:r>
        <w:rPr>
          <w:rFonts w:hint="cs"/>
          <w:color w:val="000000" w:themeColor="text1"/>
          <w:sz w:val="16"/>
          <w:szCs w:val="16"/>
          <w:rtl/>
        </w:rPr>
        <w:t>בסע' ח</w:t>
      </w:r>
      <w:r w:rsidRPr="00260979">
        <w:rPr>
          <w:rFonts w:hint="cs"/>
          <w:color w:val="000000" w:themeColor="text1"/>
          <w:sz w:val="16"/>
          <w:szCs w:val="16"/>
          <w:rtl/>
        </w:rPr>
        <w:t>]</w:t>
      </w:r>
      <w:r w:rsidRPr="00A6197B">
        <w:rPr>
          <w:rFonts w:hint="cs"/>
          <w:color w:val="E36C0A" w:themeColor="accent6" w:themeShade="BF"/>
          <w:rtl/>
        </w:rPr>
        <w:t>)</w:t>
      </w:r>
    </w:p>
    <w:p w14:paraId="26BA7324" w14:textId="77777777" w:rsidR="002E5BAD" w:rsidRPr="00EC2D06" w:rsidRDefault="002E5BAD" w:rsidP="002E5BAD">
      <w:r w:rsidRPr="00EC2D06">
        <w:rPr>
          <w:rFonts w:cs="Arial" w:hint="cs"/>
          <w:u w:val="single"/>
          <w:rtl/>
        </w:rPr>
        <w:t xml:space="preserve">במקרים שנתבארו לעיל שהבעל נשבע ונוטל </w:t>
      </w:r>
      <w:r w:rsidRPr="00EC2D06">
        <w:rPr>
          <w:rFonts w:cs="Arial"/>
          <w:u w:val="single"/>
          <w:rtl/>
        </w:rPr>
        <w:t>–</w:t>
      </w:r>
      <w:r w:rsidRPr="00EC2D06">
        <w:rPr>
          <w:rFonts w:cs="Arial" w:hint="cs"/>
          <w:u w:val="single"/>
          <w:rtl/>
        </w:rPr>
        <w:t xml:space="preserve"> מה הדין אם אשתו מכחישתו:</w:t>
      </w:r>
      <w:r w:rsidRPr="00EC2D06">
        <w:rPr>
          <w:rFonts w:cs="Arial" w:hint="cs"/>
          <w:sz w:val="16"/>
          <w:szCs w:val="16"/>
          <w:rtl/>
        </w:rPr>
        <w:t xml:space="preserve">  </w:t>
      </w:r>
      <w:r w:rsidRPr="00EC2D06">
        <w:rPr>
          <w:rFonts w:cs="Arial"/>
          <w:sz w:val="16"/>
          <w:szCs w:val="16"/>
          <w:rtl/>
        </w:rPr>
        <w:t>(</w:t>
      </w:r>
      <w:r w:rsidRPr="00EC2D06">
        <w:rPr>
          <w:rFonts w:cs="Arial" w:hint="cs"/>
          <w:sz w:val="16"/>
          <w:szCs w:val="16"/>
          <w:rtl/>
        </w:rPr>
        <w:t xml:space="preserve">דרכ"מ אות </w:t>
      </w:r>
      <w:r w:rsidRPr="00EC2D06">
        <w:rPr>
          <w:rFonts w:cs="Arial"/>
          <w:sz w:val="16"/>
          <w:szCs w:val="16"/>
          <w:rtl/>
        </w:rPr>
        <w:t>ג)</w:t>
      </w:r>
    </w:p>
    <w:p w14:paraId="59DFE758" w14:textId="77777777" w:rsidR="002E5BAD" w:rsidRPr="002E7D61" w:rsidRDefault="002E5BAD" w:rsidP="002E5BAD">
      <w:pPr>
        <w:pStyle w:val="ab"/>
        <w:numPr>
          <w:ilvl w:val="0"/>
          <w:numId w:val="183"/>
        </w:numPr>
      </w:pPr>
      <w:r>
        <w:rPr>
          <w:rFonts w:cs="Arial"/>
          <w:rtl/>
        </w:rPr>
        <w:t xml:space="preserve">מרדכי </w:t>
      </w:r>
      <w:r w:rsidRPr="00EC2D06">
        <w:rPr>
          <w:rFonts w:cs="Arial" w:hint="cs"/>
          <w:sz w:val="16"/>
          <w:szCs w:val="16"/>
          <w:rtl/>
        </w:rPr>
        <w:t>(</w:t>
      </w:r>
      <w:r w:rsidRPr="00EC2D06">
        <w:rPr>
          <w:rFonts w:cs="Arial"/>
          <w:sz w:val="16"/>
          <w:szCs w:val="16"/>
          <w:rtl/>
        </w:rPr>
        <w:t>פ</w:t>
      </w:r>
      <w:r w:rsidRPr="00EC2D06">
        <w:rPr>
          <w:rFonts w:cs="Arial" w:hint="cs"/>
          <w:sz w:val="16"/>
          <w:szCs w:val="16"/>
          <w:rtl/>
        </w:rPr>
        <w:t>'</w:t>
      </w:r>
      <w:r w:rsidRPr="00EC2D06">
        <w:rPr>
          <w:rFonts w:cs="Arial"/>
          <w:sz w:val="16"/>
          <w:szCs w:val="16"/>
          <w:rtl/>
        </w:rPr>
        <w:t xml:space="preserve"> האשה שנפלו</w:t>
      </w:r>
      <w:r w:rsidRPr="00EC2D06">
        <w:rPr>
          <w:rFonts w:cs="Arial" w:hint="cs"/>
          <w:sz w:val="16"/>
          <w:szCs w:val="16"/>
          <w:rtl/>
        </w:rPr>
        <w:t xml:space="preserve"> </w:t>
      </w:r>
      <w:r w:rsidRPr="00EC2D06">
        <w:rPr>
          <w:rFonts w:cs="Arial"/>
          <w:sz w:val="16"/>
          <w:szCs w:val="16"/>
          <w:rtl/>
        </w:rPr>
        <w:t>סי' רט)</w:t>
      </w:r>
      <w:r>
        <w:rPr>
          <w:rFonts w:cs="Arial" w:hint="cs"/>
          <w:rtl/>
        </w:rPr>
        <w:t xml:space="preserve">- </w:t>
      </w:r>
      <w:r>
        <w:rPr>
          <w:rFonts w:cs="Arial"/>
          <w:rtl/>
        </w:rPr>
        <w:t>דוקא שאין האשה מכחישתו</w:t>
      </w:r>
      <w:r>
        <w:rPr>
          <w:rFonts w:cs="Arial" w:hint="cs"/>
          <w:rtl/>
        </w:rPr>
        <w:t>,</w:t>
      </w:r>
      <w:r>
        <w:rPr>
          <w:rFonts w:cs="Arial"/>
          <w:rtl/>
        </w:rPr>
        <w:t xml:space="preserve"> אבל אם מכחישתו </w:t>
      </w:r>
      <w:r>
        <w:rPr>
          <w:rFonts w:cs="Arial" w:hint="cs"/>
          <w:rtl/>
        </w:rPr>
        <w:t xml:space="preserve">- </w:t>
      </w:r>
      <w:r>
        <w:rPr>
          <w:rFonts w:cs="Arial"/>
          <w:rtl/>
        </w:rPr>
        <w:t>אינו נאמן בשבועה</w:t>
      </w:r>
      <w:r>
        <w:rPr>
          <w:rFonts w:cs="Arial" w:hint="cs"/>
          <w:rtl/>
        </w:rPr>
        <w:t>.</w:t>
      </w:r>
      <w:r>
        <w:rPr>
          <w:rFonts w:hint="cs"/>
          <w:rtl/>
        </w:rPr>
        <w:t xml:space="preserve"> </w:t>
      </w:r>
      <w:r w:rsidRPr="00EC2D06">
        <w:rPr>
          <w:rFonts w:hint="cs"/>
          <w:color w:val="00B0F0"/>
          <w:rtl/>
        </w:rPr>
        <w:t>(וכ"פ הרמ"א)</w:t>
      </w:r>
    </w:p>
    <w:p w14:paraId="7DBB0ECE" w14:textId="77777777" w:rsidR="002E5BAD" w:rsidRPr="0048190F" w:rsidRDefault="002E5BAD" w:rsidP="002E5BAD">
      <w:pPr>
        <w:rPr>
          <w:u w:val="single"/>
        </w:rPr>
      </w:pPr>
      <w:r w:rsidRPr="0048190F">
        <w:rPr>
          <w:rFonts w:hint="cs"/>
          <w:u w:val="single"/>
          <w:rtl/>
        </w:rPr>
        <w:t xml:space="preserve">מי שבנה בית על קרקע מלוג של אשתו </w:t>
      </w:r>
      <w:r w:rsidRPr="0048190F">
        <w:rPr>
          <w:u w:val="single"/>
          <w:rtl/>
        </w:rPr>
        <w:t>–</w:t>
      </w:r>
      <w:r w:rsidRPr="0048190F">
        <w:rPr>
          <w:rFonts w:hint="cs"/>
          <w:u w:val="single"/>
          <w:rtl/>
        </w:rPr>
        <w:t xml:space="preserve"> האם נחשב בכלל מי שהוציא הוצאות כנ"ל</w:t>
      </w:r>
      <w:r>
        <w:rPr>
          <w:rFonts w:hint="cs"/>
          <w:u w:val="single"/>
          <w:rtl/>
        </w:rPr>
        <w:t xml:space="preserve"> שמה שהוציא הוציא</w:t>
      </w:r>
      <w:r w:rsidRPr="0048190F">
        <w:rPr>
          <w:rFonts w:hint="cs"/>
          <w:u w:val="single"/>
          <w:rtl/>
        </w:rPr>
        <w:t>:</w:t>
      </w:r>
    </w:p>
    <w:p w14:paraId="0C33EE00" w14:textId="77777777" w:rsidR="002E5BAD" w:rsidRPr="0019164E" w:rsidRDefault="002E5BAD" w:rsidP="002E5BAD">
      <w:pPr>
        <w:pStyle w:val="ab"/>
        <w:numPr>
          <w:ilvl w:val="0"/>
          <w:numId w:val="183"/>
        </w:numPr>
        <w:rPr>
          <w:rtl/>
        </w:rPr>
      </w:pPr>
      <w:r w:rsidRPr="0048190F">
        <w:rPr>
          <w:rFonts w:cs="Arial"/>
          <w:rtl/>
        </w:rPr>
        <w:t xml:space="preserve">מרדכי </w:t>
      </w:r>
      <w:r w:rsidRPr="0048190F">
        <w:rPr>
          <w:rFonts w:cs="Arial" w:hint="cs"/>
          <w:sz w:val="16"/>
          <w:szCs w:val="16"/>
          <w:rtl/>
        </w:rPr>
        <w:t>(כתובות</w:t>
      </w:r>
      <w:r w:rsidRPr="0048190F">
        <w:rPr>
          <w:rFonts w:cs="Arial"/>
          <w:sz w:val="16"/>
          <w:szCs w:val="16"/>
          <w:rtl/>
        </w:rPr>
        <w:t xml:space="preserve"> סי' רט)</w:t>
      </w:r>
      <w:r w:rsidRPr="0048190F">
        <w:rPr>
          <w:rFonts w:cs="Arial" w:hint="cs"/>
          <w:rtl/>
        </w:rPr>
        <w:t xml:space="preserve">- </w:t>
      </w:r>
      <w:r w:rsidRPr="0048190F">
        <w:rPr>
          <w:rFonts w:cs="Arial"/>
          <w:rtl/>
        </w:rPr>
        <w:t>שאלו ראב"ן ורבינו אליקים את רבינו שמואל על אחד שבנה בית על קרקע נכסי מלוג של אשתו ודר בו שנה או יותר</w:t>
      </w:r>
      <w:r>
        <w:rPr>
          <w:rFonts w:cs="Arial" w:hint="cs"/>
          <w:rtl/>
        </w:rPr>
        <w:t>,</w:t>
      </w:r>
      <w:r w:rsidRPr="0048190F">
        <w:rPr>
          <w:rFonts w:cs="Arial"/>
          <w:rtl/>
        </w:rPr>
        <w:t xml:space="preserve"> מי אמרי' כה"ג הוציא ואכל</w:t>
      </w:r>
      <w:r>
        <w:rPr>
          <w:rFonts w:cs="Arial" w:hint="cs"/>
          <w:rtl/>
        </w:rPr>
        <w:t>?</w:t>
      </w:r>
      <w:r w:rsidRPr="0048190F">
        <w:rPr>
          <w:rFonts w:cs="Arial"/>
          <w:rtl/>
        </w:rPr>
        <w:t xml:space="preserve"> וכן לענין בע"ח גובה את השבח</w:t>
      </w:r>
      <w:r>
        <w:rPr>
          <w:rFonts w:cs="Arial" w:hint="cs"/>
          <w:rtl/>
        </w:rPr>
        <w:t>,</w:t>
      </w:r>
      <w:r w:rsidRPr="0048190F">
        <w:rPr>
          <w:rFonts w:cs="Arial"/>
          <w:rtl/>
        </w:rPr>
        <w:t xml:space="preserve"> מי הוי כעין שבח וגובה הוא או לא</w:t>
      </w:r>
      <w:r>
        <w:rPr>
          <w:rFonts w:cs="Arial" w:hint="cs"/>
          <w:rtl/>
        </w:rPr>
        <w:t>.</w:t>
      </w:r>
      <w:r w:rsidRPr="0048190F">
        <w:rPr>
          <w:rFonts w:cs="Arial"/>
          <w:rtl/>
        </w:rPr>
        <w:t xml:space="preserve"> והשיב</w:t>
      </w:r>
      <w:r>
        <w:rPr>
          <w:rFonts w:cs="Arial" w:hint="cs"/>
          <w:rtl/>
        </w:rPr>
        <w:t>-</w:t>
      </w:r>
      <w:r w:rsidRPr="0048190F">
        <w:rPr>
          <w:rFonts w:cs="Arial"/>
          <w:rtl/>
        </w:rPr>
        <w:t xml:space="preserve"> אחר שלא חלקו רבותינו בין יציאה ניכרת לשאינה ניכרת אף אנו אין בידינו לחלוק</w:t>
      </w:r>
      <w:r w:rsidRPr="0048190F">
        <w:rPr>
          <w:rFonts w:cs="Arial" w:hint="cs"/>
          <w:rtl/>
        </w:rPr>
        <w:t>.</w:t>
      </w:r>
      <w:r>
        <w:rPr>
          <w:rFonts w:cs="Arial" w:hint="cs"/>
          <w:rtl/>
        </w:rPr>
        <w:t xml:space="preserve"> (וכ"פ ח"מ וב"ש </w:t>
      </w:r>
      <w:r>
        <w:rPr>
          <w:rFonts w:cs="Arial" w:hint="cs"/>
          <w:sz w:val="16"/>
          <w:szCs w:val="16"/>
          <w:rtl/>
        </w:rPr>
        <w:t>[סקי"א]</w:t>
      </w:r>
      <w:r>
        <w:rPr>
          <w:rFonts w:cs="Arial" w:hint="cs"/>
          <w:rtl/>
        </w:rPr>
        <w:t>)</w:t>
      </w:r>
    </w:p>
    <w:p w14:paraId="3F3E1E8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D2651E0" w14:textId="77777777" w:rsidR="002E5BAD" w:rsidRDefault="002E5BAD" w:rsidP="002E5BAD">
      <w:pPr>
        <w:rPr>
          <w:rtl/>
        </w:rPr>
      </w:pPr>
      <w:r>
        <w:rPr>
          <w:rFonts w:cs="Arial"/>
          <w:rtl/>
        </w:rPr>
        <w:t>הוציא הוצאות על נכסי מלוג של אשתו וגרשה, בין שהוציא מעט ואכל פירות הרבה, בין שהוציא הרבה ואכל פירות מעט, אפילו אכל גרוגרות אחת דרך כבוד, כדרך איש בביתו, או שאכל דינר אפילו שלא דרך כבוד, ואפילו לא לקח בפירות ממה שהוציא אלא חבילה אחת של זמורות</w:t>
      </w:r>
      <w:r>
        <w:rPr>
          <w:rStyle w:val="a7"/>
          <w:rFonts w:cs="Arial"/>
          <w:rtl/>
        </w:rPr>
        <w:footnoteReference w:id="1879"/>
      </w:r>
      <w:r>
        <w:rPr>
          <w:rFonts w:cs="Arial"/>
          <w:rtl/>
        </w:rPr>
        <w:t>, מה שהוציא הוציא ומה שאכל אכל. הוציא ולא אכל, או שאכל פחות מכשיעור, שמין כמה השביחו ושואלין אותו כמה הוציא, אם השבח יותר על ההוצאה, ישבע בנקיטת חפץ כמה הוציא</w:t>
      </w:r>
      <w:r>
        <w:rPr>
          <w:rStyle w:val="a7"/>
          <w:rFonts w:cs="Arial"/>
          <w:rtl/>
        </w:rPr>
        <w:footnoteReference w:id="1880"/>
      </w:r>
      <w:r>
        <w:rPr>
          <w:rFonts w:cs="Arial"/>
          <w:rtl/>
        </w:rPr>
        <w:t xml:space="preserve"> ונוטל ההוצאה</w:t>
      </w:r>
      <w:r>
        <w:rPr>
          <w:rFonts w:cs="Arial" w:hint="cs"/>
          <w:rtl/>
        </w:rPr>
        <w:t>.</w:t>
      </w:r>
      <w:r>
        <w:rPr>
          <w:rFonts w:cs="Arial"/>
          <w:rtl/>
        </w:rPr>
        <w:t xml:space="preserve"> ואם ההוצאה יתירה על השבח, אין לו מההוצאה אלא כשיעור השבח, ובשבועה. וה</w:t>
      </w:r>
      <w:r>
        <w:rPr>
          <w:rFonts w:cs="Arial" w:hint="cs"/>
          <w:rtl/>
        </w:rPr>
        <w:t>וא הדין</w:t>
      </w:r>
      <w:r>
        <w:rPr>
          <w:rFonts w:cs="Arial"/>
          <w:rtl/>
        </w:rPr>
        <w:t xml:space="preserve"> למי שנפלו לה נכסים במקום רחוק והוציא עליהם הוצאות להביאם ולקח בהם קרקע ואכל מהפירות </w:t>
      </w:r>
      <w:r w:rsidRPr="00260979">
        <w:rPr>
          <w:rFonts w:cs="Arial"/>
          <w:color w:val="000000" w:themeColor="text1"/>
          <w:rtl/>
        </w:rPr>
        <w:t>כשיעור או פחות</w:t>
      </w:r>
      <w:r>
        <w:rPr>
          <w:rStyle w:val="a7"/>
          <w:rFonts w:cs="Arial"/>
          <w:rtl/>
        </w:rPr>
        <w:footnoteReference w:id="1881"/>
      </w:r>
      <w:r>
        <w:rPr>
          <w:rFonts w:cs="Arial"/>
          <w:rtl/>
        </w:rPr>
        <w:t>. ואם לא אכל אלא מהקרן, ישבע כמה הוציא, ויטול עד כדי השבח</w:t>
      </w:r>
      <w:r>
        <w:rPr>
          <w:rStyle w:val="a7"/>
          <w:rFonts w:cs="Arial"/>
          <w:rtl/>
        </w:rPr>
        <w:footnoteReference w:id="1882"/>
      </w:r>
      <w:r>
        <w:rPr>
          <w:rFonts w:cs="Arial"/>
          <w:rtl/>
        </w:rPr>
        <w:t xml:space="preserve">. </w:t>
      </w:r>
      <w:r>
        <w:rPr>
          <w:rFonts w:cs="Arial" w:hint="cs"/>
          <w:sz w:val="18"/>
          <w:szCs w:val="18"/>
          <w:rtl/>
        </w:rPr>
        <w:t xml:space="preserve">[הגה] </w:t>
      </w:r>
      <w:r w:rsidRPr="00B62CB4">
        <w:rPr>
          <w:rFonts w:cs="Arial"/>
          <w:sz w:val="18"/>
          <w:szCs w:val="18"/>
          <w:rtl/>
        </w:rPr>
        <w:t>והא דנוטל בשבועה, דוקא כשאין האשה מכחישו, אבל מכחישתו, לא</w:t>
      </w:r>
      <w:r>
        <w:rPr>
          <w:rStyle w:val="a7"/>
          <w:rFonts w:cs="Arial"/>
          <w:sz w:val="18"/>
          <w:szCs w:val="18"/>
          <w:rtl/>
        </w:rPr>
        <w:footnoteReference w:id="1883"/>
      </w:r>
      <w:r w:rsidRPr="00B62CB4">
        <w:rPr>
          <w:rFonts w:cs="Arial"/>
          <w:sz w:val="18"/>
          <w:szCs w:val="18"/>
          <w:rtl/>
        </w:rPr>
        <w:t xml:space="preserve"> (מרדכי פ' האשה שנפלו).</w:t>
      </w:r>
      <w:r>
        <w:rPr>
          <w:rFonts w:cs="Arial"/>
          <w:rtl/>
        </w:rPr>
        <w:t xml:space="preserve"> </w:t>
      </w:r>
    </w:p>
    <w:p w14:paraId="521FCBA0" w14:textId="77777777" w:rsidR="002E5BAD" w:rsidRDefault="002E5BAD" w:rsidP="002E5BAD">
      <w:pPr>
        <w:rPr>
          <w:rtl/>
        </w:rPr>
      </w:pPr>
    </w:p>
    <w:p w14:paraId="28D39D61" w14:textId="77777777" w:rsidR="002E5BAD" w:rsidRDefault="002E5BAD" w:rsidP="002E5BAD">
      <w:pPr>
        <w:pStyle w:val="2"/>
        <w:rPr>
          <w:rtl/>
        </w:rPr>
      </w:pPr>
      <w:r>
        <w:rPr>
          <w:rtl/>
        </w:rPr>
        <w:t>סעיף ח</w:t>
      </w:r>
      <w:r>
        <w:rPr>
          <w:rFonts w:hint="cs"/>
          <w:rtl/>
        </w:rPr>
        <w:t xml:space="preserve">: </w:t>
      </w:r>
      <w:r w:rsidRPr="0019164E">
        <w:rPr>
          <w:rFonts w:cs="Arial"/>
          <w:rtl/>
        </w:rPr>
        <w:t>נפלו לה נכסים במקום</w:t>
      </w:r>
      <w:r>
        <w:rPr>
          <w:rFonts w:cs="Arial" w:hint="cs"/>
          <w:rtl/>
        </w:rPr>
        <w:t xml:space="preserve"> אחר</w:t>
      </w:r>
      <w:r w:rsidRPr="0019164E">
        <w:rPr>
          <w:rFonts w:cs="Arial"/>
          <w:rtl/>
        </w:rPr>
        <w:t xml:space="preserve"> </w:t>
      </w:r>
      <w:r>
        <w:rPr>
          <w:rFonts w:cs="Arial" w:hint="cs"/>
          <w:rtl/>
        </w:rPr>
        <w:t xml:space="preserve">והוציא </w:t>
      </w:r>
      <w:r w:rsidRPr="0019164E">
        <w:rPr>
          <w:rFonts w:cs="Arial"/>
          <w:rtl/>
        </w:rPr>
        <w:t xml:space="preserve">הוצאות </w:t>
      </w:r>
      <w:r>
        <w:rPr>
          <w:rFonts w:cs="Arial" w:hint="cs"/>
          <w:rtl/>
        </w:rPr>
        <w:t>כדי</w:t>
      </w:r>
      <w:r w:rsidRPr="0019164E">
        <w:rPr>
          <w:rFonts w:cs="Arial"/>
          <w:rtl/>
        </w:rPr>
        <w:t xml:space="preserve"> </w:t>
      </w:r>
      <w:r>
        <w:rPr>
          <w:rFonts w:cs="Arial" w:hint="cs"/>
          <w:rtl/>
        </w:rPr>
        <w:t>ל</w:t>
      </w:r>
      <w:r w:rsidRPr="0019164E">
        <w:rPr>
          <w:rFonts w:cs="Arial"/>
          <w:rtl/>
        </w:rPr>
        <w:t>הביאן</w:t>
      </w:r>
      <w:r>
        <w:rPr>
          <w:rFonts w:cs="Arial" w:hint="cs"/>
          <w:rtl/>
        </w:rPr>
        <w:t>.</w:t>
      </w:r>
    </w:p>
    <w:p w14:paraId="59496D6D" w14:textId="77777777" w:rsidR="002E5BAD" w:rsidRPr="009219CB" w:rsidRDefault="002E5BAD" w:rsidP="002E5BAD">
      <w:pPr>
        <w:rPr>
          <w:rtl/>
        </w:rPr>
      </w:pPr>
      <w:r>
        <w:rPr>
          <w:rFonts w:hint="cs"/>
          <w:rtl/>
        </w:rPr>
        <w:t>עיין במקורות בסעיף ז'.</w:t>
      </w:r>
    </w:p>
    <w:p w14:paraId="70F7CA9B"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6D249E9B" w14:textId="77777777" w:rsidR="002E5BAD" w:rsidRDefault="002E5BAD" w:rsidP="002E5BAD">
      <w:pPr>
        <w:rPr>
          <w:rtl/>
        </w:rPr>
      </w:pPr>
      <w:r w:rsidRPr="009219CB">
        <w:rPr>
          <w:rStyle w:val="a7"/>
          <w:color w:val="000000" w:themeColor="text1"/>
          <w:rtl/>
        </w:rPr>
        <w:footnoteReference w:id="1884"/>
      </w:r>
      <w:r>
        <w:rPr>
          <w:rFonts w:cs="Arial"/>
          <w:rtl/>
        </w:rPr>
        <w:t xml:space="preserve">נפלו לה נכסים במקום אחר, והלך אחריהם והוציא הוצאת מרובות והביאן, וגירשה, אפילו לקח מהם והוציא, אין זה כאוכל מהשבח שנדון בו מה שהוציא הוציא ומה שאכל אכל, שהרי מהקרן לקח, אלא ישבע כמה הוציא, ויטול עד כדי השבח, דהיינו ששמין אלו המעות כמה שוין כאן יותר ממה שהיו שוין במקום שהיו תחלה. </w:t>
      </w:r>
    </w:p>
    <w:p w14:paraId="30E59BB7" w14:textId="77777777" w:rsidR="002E5BAD" w:rsidRDefault="002E5BAD" w:rsidP="002E5BAD">
      <w:pPr>
        <w:rPr>
          <w:rtl/>
        </w:rPr>
      </w:pPr>
    </w:p>
    <w:p w14:paraId="73939B9C" w14:textId="77777777" w:rsidR="002E5BAD" w:rsidRDefault="002E5BAD" w:rsidP="002E5BAD">
      <w:pPr>
        <w:pStyle w:val="2"/>
        <w:rPr>
          <w:rtl/>
        </w:rPr>
      </w:pPr>
      <w:r>
        <w:rPr>
          <w:rtl/>
        </w:rPr>
        <w:t>סעיף ט</w:t>
      </w:r>
      <w:r>
        <w:rPr>
          <w:rFonts w:hint="cs"/>
          <w:rtl/>
        </w:rPr>
        <w:t>: הוציא הוצאות ואשתו מורדת.</w:t>
      </w:r>
    </w:p>
    <w:p w14:paraId="00C5B19A" w14:textId="77777777" w:rsidR="002E5BAD" w:rsidRPr="009219CB" w:rsidRDefault="002E5BAD" w:rsidP="002E5BAD">
      <w:pPr>
        <w:rPr>
          <w:u w:val="single"/>
        </w:rPr>
      </w:pPr>
      <w:r>
        <w:rPr>
          <w:rFonts w:hint="cs"/>
          <w:u w:val="single"/>
          <w:rtl/>
        </w:rPr>
        <w:t xml:space="preserve">בעל שהוציא הוצאות כנ"ל ואשתו מורדת ותובעת גט, </w:t>
      </w:r>
      <w:r w:rsidRPr="009219CB">
        <w:rPr>
          <w:rFonts w:hint="cs"/>
          <w:u w:val="single"/>
          <w:rtl/>
        </w:rPr>
        <w:t>והקניטה את בעלה עד שג</w:t>
      </w:r>
      <w:r>
        <w:rPr>
          <w:rFonts w:hint="cs"/>
          <w:u w:val="single"/>
          <w:rtl/>
        </w:rPr>
        <w:t>י</w:t>
      </w:r>
      <w:r w:rsidRPr="009219CB">
        <w:rPr>
          <w:rFonts w:hint="cs"/>
          <w:u w:val="single"/>
          <w:rtl/>
        </w:rPr>
        <w:t>רשה:</w:t>
      </w:r>
    </w:p>
    <w:p w14:paraId="3B3B1339" w14:textId="77777777" w:rsidR="002E5BAD" w:rsidRPr="0019164E" w:rsidRDefault="002E5BAD" w:rsidP="002E5BAD">
      <w:pPr>
        <w:pStyle w:val="ab"/>
        <w:numPr>
          <w:ilvl w:val="0"/>
          <w:numId w:val="183"/>
        </w:numPr>
        <w:rPr>
          <w:rtl/>
        </w:rPr>
      </w:pPr>
      <w:r w:rsidRPr="0019164E">
        <w:rPr>
          <w:rFonts w:cs="Arial"/>
          <w:rtl/>
        </w:rPr>
        <w:t xml:space="preserve">רי"ף </w:t>
      </w:r>
      <w:r w:rsidRPr="002E7D61">
        <w:rPr>
          <w:rFonts w:cs="Arial"/>
          <w:sz w:val="16"/>
          <w:szCs w:val="16"/>
          <w:rtl/>
        </w:rPr>
        <w:t xml:space="preserve">(לט.) </w:t>
      </w:r>
      <w:r w:rsidRPr="0019164E">
        <w:rPr>
          <w:rFonts w:cs="Arial"/>
          <w:rtl/>
        </w:rPr>
        <w:t>רמב"ם</w:t>
      </w:r>
      <w:r>
        <w:rPr>
          <w:rStyle w:val="a7"/>
          <w:rFonts w:cs="Arial"/>
          <w:rtl/>
        </w:rPr>
        <w:footnoteReference w:id="1885"/>
      </w:r>
      <w:r w:rsidRPr="0019164E">
        <w:rPr>
          <w:rFonts w:cs="Arial"/>
          <w:rtl/>
        </w:rPr>
        <w:t xml:space="preserve"> </w:t>
      </w:r>
      <w:r w:rsidRPr="002E7D61">
        <w:rPr>
          <w:rFonts w:cs="Arial" w:hint="cs"/>
          <w:sz w:val="16"/>
          <w:szCs w:val="16"/>
          <w:rtl/>
        </w:rPr>
        <w:t>(</w:t>
      </w:r>
      <w:r w:rsidRPr="002E7D61">
        <w:rPr>
          <w:rFonts w:cs="Arial"/>
          <w:sz w:val="16"/>
          <w:szCs w:val="16"/>
          <w:rtl/>
        </w:rPr>
        <w:t>פכ"ג מאישות ה"י)</w:t>
      </w:r>
      <w:r>
        <w:rPr>
          <w:rFonts w:cs="Arial" w:hint="cs"/>
          <w:rtl/>
        </w:rPr>
        <w:t xml:space="preserve"> </w:t>
      </w:r>
      <w:r w:rsidRPr="0019164E">
        <w:rPr>
          <w:rFonts w:cs="Arial"/>
          <w:rtl/>
        </w:rPr>
        <w:t xml:space="preserve">רא"ש </w:t>
      </w:r>
      <w:r w:rsidRPr="002E7D61">
        <w:rPr>
          <w:rFonts w:cs="Arial"/>
          <w:sz w:val="16"/>
          <w:szCs w:val="16"/>
          <w:rtl/>
        </w:rPr>
        <w:t>(סי' ט)</w:t>
      </w:r>
      <w:r>
        <w:rPr>
          <w:rFonts w:cs="Arial" w:hint="cs"/>
          <w:rtl/>
        </w:rPr>
        <w:t xml:space="preserve"> וטור- </w:t>
      </w:r>
      <w:r w:rsidRPr="0019164E">
        <w:rPr>
          <w:rFonts w:cs="Arial"/>
          <w:rtl/>
        </w:rPr>
        <w:t>בד"א במגרש מדעתו אבל במורדת</w:t>
      </w:r>
      <w:r>
        <w:rPr>
          <w:rStyle w:val="a7"/>
          <w:rFonts w:cs="Arial"/>
          <w:rtl/>
        </w:rPr>
        <w:footnoteReference w:id="1886"/>
      </w:r>
      <w:r w:rsidRPr="0019164E">
        <w:rPr>
          <w:rFonts w:cs="Arial"/>
          <w:rtl/>
        </w:rPr>
        <w:t xml:space="preserve"> שתובעת גט ומקניטתו עד שמגרשה</w:t>
      </w:r>
      <w:r>
        <w:rPr>
          <w:rFonts w:cs="Arial" w:hint="cs"/>
          <w:rtl/>
        </w:rPr>
        <w:t>,</w:t>
      </w:r>
      <w:r w:rsidRPr="0019164E">
        <w:rPr>
          <w:rFonts w:cs="Arial"/>
          <w:rtl/>
        </w:rPr>
        <w:t xml:space="preserve"> בין אכל בין לא אכל אם השבח יותר על ההוצאה ישבע כמה הוציא ויטול</w:t>
      </w:r>
      <w:r>
        <w:rPr>
          <w:rFonts w:cs="Arial" w:hint="cs"/>
          <w:rtl/>
        </w:rPr>
        <w:t>.</w:t>
      </w:r>
      <w:r w:rsidRPr="0019164E">
        <w:rPr>
          <w:rFonts w:cs="Arial"/>
          <w:rtl/>
        </w:rPr>
        <w:t xml:space="preserve"> ואם ההוצאה יתירה על השבח אינו נוטל אלא כשיעור השבח ובשבועה</w:t>
      </w:r>
      <w:r>
        <w:rPr>
          <w:rFonts w:cs="Arial" w:hint="cs"/>
          <w:sz w:val="16"/>
          <w:szCs w:val="16"/>
          <w:rtl/>
        </w:rPr>
        <w:t xml:space="preserve"> (ל' הטור)</w:t>
      </w:r>
      <w:r>
        <w:rPr>
          <w:rFonts w:cs="Arial" w:hint="cs"/>
          <w:rtl/>
        </w:rPr>
        <w:t>.</w:t>
      </w:r>
      <w:r w:rsidRPr="0019164E">
        <w:rPr>
          <w:rFonts w:cs="Arial"/>
          <w:rtl/>
        </w:rPr>
        <w:t xml:space="preserve"> </w:t>
      </w:r>
      <w:r w:rsidRPr="00A6197B">
        <w:rPr>
          <w:rFonts w:hint="cs"/>
          <w:color w:val="E36C0A" w:themeColor="accent6" w:themeShade="BF"/>
          <w:rtl/>
        </w:rPr>
        <w:t>(וכ"פ בשו"ע)</w:t>
      </w:r>
    </w:p>
    <w:p w14:paraId="645D46F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978BEE2" w14:textId="77777777" w:rsidR="002E5BAD" w:rsidRDefault="002E5BAD" w:rsidP="002E5BAD">
      <w:pPr>
        <w:rPr>
          <w:rtl/>
        </w:rPr>
      </w:pPr>
      <w:r>
        <w:rPr>
          <w:rFonts w:cs="Arial"/>
          <w:rtl/>
        </w:rPr>
        <w:t>ב</w:t>
      </w:r>
      <w:r>
        <w:rPr>
          <w:rFonts w:cs="Arial" w:hint="cs"/>
          <w:rtl/>
        </w:rPr>
        <w:t>מה דברים אמורים</w:t>
      </w:r>
      <w:r>
        <w:rPr>
          <w:rFonts w:cs="Arial"/>
          <w:rtl/>
        </w:rPr>
        <w:t>, במגרש מדעתו. אבל אם היא מורדת, בין אכל בין לא אכל, ישבע כמה הוציא ויטול</w:t>
      </w:r>
      <w:r>
        <w:rPr>
          <w:rStyle w:val="a7"/>
          <w:rFonts w:cs="Arial"/>
          <w:rtl/>
        </w:rPr>
        <w:footnoteReference w:id="1887"/>
      </w:r>
      <w:r>
        <w:rPr>
          <w:rFonts w:cs="Arial"/>
          <w:rtl/>
        </w:rPr>
        <w:t xml:space="preserve">. ואם השבח יתר על ההוצאה נוטל ההוצאה, ואם הוצאה יתירה על השבח נוטל את השבח. </w:t>
      </w:r>
    </w:p>
    <w:p w14:paraId="583FCAAD" w14:textId="77777777" w:rsidR="002E5BAD" w:rsidRDefault="002E5BAD" w:rsidP="002E5BAD">
      <w:pPr>
        <w:rPr>
          <w:rtl/>
        </w:rPr>
      </w:pPr>
    </w:p>
    <w:p w14:paraId="224F423D" w14:textId="77777777" w:rsidR="002E5BAD" w:rsidRDefault="002E5BAD" w:rsidP="002E5BAD">
      <w:pPr>
        <w:pStyle w:val="2"/>
        <w:rPr>
          <w:rtl/>
        </w:rPr>
      </w:pPr>
      <w:r>
        <w:rPr>
          <w:rtl/>
        </w:rPr>
        <w:t>סעיף י</w:t>
      </w:r>
      <w:r>
        <w:rPr>
          <w:rFonts w:hint="cs"/>
          <w:rtl/>
        </w:rPr>
        <w:t>:</w:t>
      </w:r>
      <w:r w:rsidRPr="00621D05">
        <w:rPr>
          <w:rFonts w:cs="Arial"/>
          <w:rtl/>
        </w:rPr>
        <w:t xml:space="preserve"> </w:t>
      </w:r>
      <w:r w:rsidRPr="0019164E">
        <w:rPr>
          <w:rFonts w:cs="Arial"/>
          <w:rtl/>
        </w:rPr>
        <w:t>הוציא הוצאות על נכסי אשתו קטנה</w:t>
      </w:r>
      <w:r>
        <w:rPr>
          <w:rFonts w:cs="Arial" w:hint="cs"/>
          <w:rtl/>
        </w:rPr>
        <w:t>, ומיאנה</w:t>
      </w:r>
      <w:r>
        <w:rPr>
          <w:rFonts w:hint="cs"/>
          <w:rtl/>
        </w:rPr>
        <w:t>.</w:t>
      </w:r>
    </w:p>
    <w:p w14:paraId="55ACED82" w14:textId="77777777" w:rsidR="002E5BAD" w:rsidRPr="00010BCB" w:rsidRDefault="002E5BAD" w:rsidP="002E5BAD">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Pr>
          <w:rFonts w:cs="Arial" w:hint="cs"/>
          <w:b/>
          <w:bCs/>
          <w:rtl/>
        </w:rPr>
        <w:t>פ</w:t>
      </w:r>
      <w:r w:rsidRPr="00B226F6">
        <w:rPr>
          <w:rFonts w:cs="Arial" w:hint="cs"/>
          <w:b/>
          <w:bCs/>
          <w:rtl/>
        </w:rPr>
        <w:t xml:space="preserve"> ע"</w:t>
      </w:r>
      <w:r>
        <w:rPr>
          <w:rFonts w:cs="Arial" w:hint="cs"/>
          <w:b/>
          <w:bCs/>
          <w:rtl/>
        </w:rPr>
        <w:t>א</w:t>
      </w:r>
      <w:r w:rsidRPr="00B226F6">
        <w:rPr>
          <w:rFonts w:cs="Arial" w:hint="cs"/>
          <w:b/>
          <w:bCs/>
          <w:rtl/>
        </w:rPr>
        <w:t xml:space="preserve">: </w:t>
      </w:r>
      <w:r>
        <w:rPr>
          <w:rFonts w:cs="Arial" w:hint="cs"/>
          <w:u w:val="single"/>
          <w:rtl/>
        </w:rPr>
        <w:t>ו</w:t>
      </w:r>
      <w:r w:rsidRPr="00010BCB">
        <w:rPr>
          <w:rFonts w:cs="Arial"/>
          <w:u w:val="single"/>
          <w:rtl/>
        </w:rPr>
        <w:t>א"ר יעקב אמר רב חסדא</w:t>
      </w:r>
      <w:r w:rsidRPr="00010BCB">
        <w:rPr>
          <w:rFonts w:cs="Arial"/>
          <w:rtl/>
        </w:rPr>
        <w:t>: המוציא הוצאות על נכסי אשתו קטנה</w:t>
      </w:r>
      <w:r>
        <w:rPr>
          <w:rStyle w:val="a7"/>
          <w:rFonts w:cs="Arial"/>
          <w:rtl/>
        </w:rPr>
        <w:footnoteReference w:id="1888"/>
      </w:r>
      <w:r w:rsidRPr="00010BCB">
        <w:rPr>
          <w:rFonts w:cs="Arial"/>
          <w:rtl/>
        </w:rPr>
        <w:t>, כמוציא על נכסי אחר</w:t>
      </w:r>
      <w:r>
        <w:rPr>
          <w:rStyle w:val="a7"/>
          <w:rFonts w:cs="Arial"/>
          <w:rtl/>
        </w:rPr>
        <w:footnoteReference w:id="1889"/>
      </w:r>
      <w:r w:rsidRPr="00010BCB">
        <w:rPr>
          <w:rFonts w:cs="Arial"/>
          <w:rtl/>
        </w:rPr>
        <w:t xml:space="preserve"> דמי</w:t>
      </w:r>
      <w:r>
        <w:rPr>
          <w:rFonts w:cs="Arial" w:hint="cs"/>
          <w:rtl/>
        </w:rPr>
        <w:t>.</w:t>
      </w:r>
      <w:r w:rsidRPr="00010BCB">
        <w:rPr>
          <w:rFonts w:cs="Arial"/>
          <w:rtl/>
        </w:rPr>
        <w:t xml:space="preserve"> מ"ט? עבדו בה רבנן תקנתא</w:t>
      </w:r>
      <w:r>
        <w:rPr>
          <w:rStyle w:val="a7"/>
          <w:rFonts w:cs="Arial"/>
          <w:rtl/>
        </w:rPr>
        <w:footnoteReference w:id="1890"/>
      </w:r>
      <w:r w:rsidRPr="00010BCB">
        <w:rPr>
          <w:rFonts w:cs="Arial"/>
          <w:rtl/>
        </w:rPr>
        <w:t xml:space="preserve"> כי היכי דלא ניפסדינהו</w:t>
      </w:r>
      <w:r>
        <w:rPr>
          <w:rStyle w:val="a7"/>
          <w:rFonts w:cs="Arial"/>
          <w:rtl/>
        </w:rPr>
        <w:footnoteReference w:id="1891"/>
      </w:r>
      <w:r w:rsidRPr="00010BCB">
        <w:rPr>
          <w:rFonts w:cs="Arial"/>
          <w:rtl/>
        </w:rPr>
        <w:t xml:space="preserve">. </w:t>
      </w:r>
    </w:p>
    <w:p w14:paraId="66207BC7" w14:textId="77777777" w:rsidR="002E5BAD" w:rsidRPr="00621D05" w:rsidRDefault="002E5BAD" w:rsidP="002E5BAD">
      <w:pPr>
        <w:rPr>
          <w:u w:val="single"/>
          <w:rtl/>
        </w:rPr>
      </w:pPr>
      <w:r w:rsidRPr="00621D05">
        <w:rPr>
          <w:rFonts w:cs="Arial"/>
          <w:u w:val="single"/>
          <w:rtl/>
        </w:rPr>
        <w:t>הוציא הוצאות על נכסי אשתו קטנה</w:t>
      </w:r>
      <w:r>
        <w:rPr>
          <w:rFonts w:cs="Arial" w:hint="cs"/>
          <w:u w:val="single"/>
          <w:rtl/>
        </w:rPr>
        <w:t>, ומיאנה</w:t>
      </w:r>
      <w:r w:rsidRPr="00621D05">
        <w:rPr>
          <w:rFonts w:hint="cs"/>
          <w:u w:val="single"/>
          <w:rtl/>
        </w:rPr>
        <w:t>:</w:t>
      </w:r>
    </w:p>
    <w:p w14:paraId="07395C2F" w14:textId="77777777" w:rsidR="002E5BAD" w:rsidRPr="00B52B0A" w:rsidRDefault="002E5BAD" w:rsidP="002E5BAD">
      <w:pPr>
        <w:pStyle w:val="ab"/>
        <w:numPr>
          <w:ilvl w:val="0"/>
          <w:numId w:val="183"/>
        </w:numPr>
      </w:pPr>
      <w:r w:rsidRPr="0019164E">
        <w:rPr>
          <w:rFonts w:cs="Arial"/>
          <w:rtl/>
        </w:rPr>
        <w:t>רא"ש</w:t>
      </w:r>
      <w:r>
        <w:rPr>
          <w:rStyle w:val="a7"/>
          <w:rFonts w:cs="Arial"/>
          <w:rtl/>
        </w:rPr>
        <w:footnoteReference w:id="1892"/>
      </w:r>
      <w:r w:rsidRPr="0019164E">
        <w:rPr>
          <w:rFonts w:cs="Arial"/>
          <w:rtl/>
        </w:rPr>
        <w:t xml:space="preserve"> </w:t>
      </w:r>
      <w:r w:rsidRPr="002E7D61">
        <w:rPr>
          <w:rFonts w:cs="Arial"/>
          <w:sz w:val="16"/>
          <w:szCs w:val="16"/>
          <w:rtl/>
        </w:rPr>
        <w:t>(סי' ט)</w:t>
      </w:r>
      <w:r>
        <w:rPr>
          <w:rFonts w:cs="Arial" w:hint="cs"/>
          <w:rtl/>
        </w:rPr>
        <w:t xml:space="preserve"> וטור- </w:t>
      </w:r>
      <w:r w:rsidRPr="0019164E">
        <w:rPr>
          <w:rFonts w:cs="Arial"/>
          <w:rtl/>
        </w:rPr>
        <w:t>הוציא הוצאות על נכסי אשתו קטנה ומיאנה בו</w:t>
      </w:r>
      <w:r>
        <w:rPr>
          <w:rFonts w:cs="Arial" w:hint="cs"/>
          <w:rtl/>
        </w:rPr>
        <w:t>.</w:t>
      </w:r>
      <w:r w:rsidRPr="0019164E">
        <w:rPr>
          <w:rFonts w:cs="Arial"/>
          <w:rtl/>
        </w:rPr>
        <w:t xml:space="preserve"> אם הוציא ולא אכל או אפי' אכל מעט </w:t>
      </w:r>
      <w:r>
        <w:rPr>
          <w:rFonts w:cs="Arial" w:hint="cs"/>
          <w:rtl/>
        </w:rPr>
        <w:t xml:space="preserve">- </w:t>
      </w:r>
      <w:r w:rsidRPr="0019164E">
        <w:rPr>
          <w:rFonts w:cs="Arial"/>
          <w:rtl/>
        </w:rPr>
        <w:t>שמין לו כשאר אריסי העיר</w:t>
      </w:r>
      <w:r>
        <w:rPr>
          <w:rFonts w:cs="Arial" w:hint="cs"/>
          <w:rtl/>
        </w:rPr>
        <w:t>.</w:t>
      </w:r>
      <w:r w:rsidRPr="0019164E">
        <w:rPr>
          <w:rFonts w:cs="Arial"/>
          <w:rtl/>
        </w:rPr>
        <w:t xml:space="preserve"> ואם חפץ יותר שיטול כשיעור ההוצאה</w:t>
      </w:r>
      <w:r>
        <w:rPr>
          <w:rStyle w:val="a7"/>
          <w:rFonts w:cs="Arial"/>
          <w:rtl/>
        </w:rPr>
        <w:footnoteReference w:id="1893"/>
      </w:r>
      <w:r w:rsidRPr="0019164E">
        <w:rPr>
          <w:rFonts w:cs="Arial"/>
          <w:rtl/>
        </w:rPr>
        <w:t xml:space="preserve"> </w:t>
      </w:r>
      <w:r>
        <w:rPr>
          <w:rFonts w:cs="Arial" w:hint="cs"/>
          <w:rtl/>
        </w:rPr>
        <w:t xml:space="preserve">- </w:t>
      </w:r>
      <w:r w:rsidRPr="0019164E">
        <w:rPr>
          <w:rFonts w:cs="Arial"/>
          <w:rtl/>
        </w:rPr>
        <w:t>הרשות בידו</w:t>
      </w:r>
      <w:r>
        <w:rPr>
          <w:rFonts w:cs="Arial" w:hint="cs"/>
          <w:rtl/>
        </w:rPr>
        <w:t>.</w:t>
      </w:r>
      <w:r w:rsidRPr="0019164E">
        <w:rPr>
          <w:rFonts w:cs="Arial"/>
          <w:rtl/>
        </w:rPr>
        <w:t xml:space="preserve"> ואם אכל הרבה והוציא מעט </w:t>
      </w:r>
      <w:r>
        <w:rPr>
          <w:rFonts w:cs="Arial" w:hint="cs"/>
          <w:rtl/>
        </w:rPr>
        <w:t xml:space="preserve">- </w:t>
      </w:r>
      <w:r w:rsidRPr="0019164E">
        <w:rPr>
          <w:rFonts w:cs="Arial"/>
          <w:rtl/>
        </w:rPr>
        <w:t>מה שהוציא הוציא ומה שאכל אכל</w:t>
      </w:r>
      <w:r>
        <w:rPr>
          <w:rFonts w:cs="Arial" w:hint="cs"/>
          <w:sz w:val="16"/>
          <w:szCs w:val="16"/>
          <w:rtl/>
        </w:rPr>
        <w:t xml:space="preserve"> (ל' הטור)</w:t>
      </w:r>
      <w:r>
        <w:rPr>
          <w:rFonts w:cs="Arial" w:hint="cs"/>
          <w:rtl/>
        </w:rPr>
        <w:t>.</w:t>
      </w:r>
      <w:r w:rsidRPr="0019164E">
        <w:rPr>
          <w:rFonts w:cs="Arial"/>
          <w:rtl/>
        </w:rPr>
        <w:t xml:space="preserve"> </w:t>
      </w:r>
      <w:r w:rsidRPr="00A6197B">
        <w:rPr>
          <w:rFonts w:hint="cs"/>
          <w:color w:val="E36C0A" w:themeColor="accent6" w:themeShade="BF"/>
          <w:rtl/>
        </w:rPr>
        <w:t>(וכ"פ בשו"ע)</w:t>
      </w:r>
    </w:p>
    <w:p w14:paraId="3E923737" w14:textId="77777777" w:rsidR="002E5BAD" w:rsidRPr="00B52B0A" w:rsidRDefault="002E5BAD" w:rsidP="002E5BAD">
      <w:pPr>
        <w:ind w:left="360"/>
        <w:rPr>
          <w:u w:val="dotted"/>
        </w:rPr>
      </w:pPr>
      <w:r w:rsidRPr="00B52B0A">
        <w:rPr>
          <w:rFonts w:hint="cs"/>
          <w:u w:val="dotted"/>
          <w:rtl/>
        </w:rPr>
        <w:t>ומה הדין אם אשתו הקטנה</w:t>
      </w:r>
      <w:r>
        <w:rPr>
          <w:rFonts w:hint="cs"/>
          <w:u w:val="dotted"/>
          <w:rtl/>
        </w:rPr>
        <w:t xml:space="preserve"> יצאה</w:t>
      </w:r>
      <w:r w:rsidRPr="00B52B0A">
        <w:rPr>
          <w:rFonts w:hint="cs"/>
          <w:u w:val="dotted"/>
          <w:rtl/>
        </w:rPr>
        <w:t xml:space="preserve"> בגט</w:t>
      </w:r>
      <w:r>
        <w:rPr>
          <w:rFonts w:hint="cs"/>
          <w:u w:val="dotted"/>
          <w:rtl/>
        </w:rPr>
        <w:t xml:space="preserve"> </w:t>
      </w:r>
      <w:r>
        <w:rPr>
          <w:rFonts w:hint="cs"/>
          <w:sz w:val="16"/>
          <w:szCs w:val="16"/>
          <w:u w:val="dotted"/>
          <w:rtl/>
        </w:rPr>
        <w:t>(ולא במיאון)</w:t>
      </w:r>
      <w:r w:rsidRPr="00B52B0A">
        <w:rPr>
          <w:rFonts w:hint="cs"/>
          <w:u w:val="dotted"/>
          <w:rtl/>
        </w:rPr>
        <w:t>:</w:t>
      </w:r>
    </w:p>
    <w:p w14:paraId="0A5CFF0B" w14:textId="77777777" w:rsidR="002E5BAD" w:rsidRPr="00DD441A" w:rsidRDefault="002E5BAD" w:rsidP="002E5BAD">
      <w:pPr>
        <w:pStyle w:val="ab"/>
        <w:numPr>
          <w:ilvl w:val="0"/>
          <w:numId w:val="183"/>
        </w:numPr>
      </w:pPr>
      <w:r w:rsidRPr="0019164E">
        <w:rPr>
          <w:rFonts w:cs="Arial"/>
          <w:rtl/>
        </w:rPr>
        <w:t>רמ"ה</w:t>
      </w:r>
      <w:r>
        <w:rPr>
          <w:rFonts w:cs="Arial" w:hint="cs"/>
          <w:sz w:val="16"/>
          <w:szCs w:val="16"/>
          <w:rtl/>
        </w:rPr>
        <w:t xml:space="preserve"> (כ"כ הטור בשמו)</w:t>
      </w:r>
      <w:r>
        <w:rPr>
          <w:rFonts w:cs="Arial" w:hint="cs"/>
          <w:rtl/>
        </w:rPr>
        <w:t>-</w:t>
      </w:r>
      <w:r w:rsidRPr="0019164E">
        <w:rPr>
          <w:rFonts w:cs="Arial"/>
          <w:rtl/>
        </w:rPr>
        <w:t xml:space="preserve"> דוקא קטנה ממאנת</w:t>
      </w:r>
      <w:r>
        <w:rPr>
          <w:rFonts w:cs="Arial" w:hint="cs"/>
          <w:rtl/>
        </w:rPr>
        <w:t>,</w:t>
      </w:r>
      <w:r w:rsidRPr="0019164E">
        <w:rPr>
          <w:rFonts w:cs="Arial"/>
          <w:rtl/>
        </w:rPr>
        <w:t xml:space="preserve"> אבל יוצאת בגט דינה כשאר מוציא הוצאות על נכסי אשת</w:t>
      </w:r>
      <w:r>
        <w:rPr>
          <w:rFonts w:cs="Arial" w:hint="cs"/>
          <w:rtl/>
        </w:rPr>
        <w:t>ו</w:t>
      </w:r>
      <w:r>
        <w:rPr>
          <w:rFonts w:cs="Arial" w:hint="cs"/>
          <w:sz w:val="16"/>
          <w:szCs w:val="16"/>
          <w:rtl/>
        </w:rPr>
        <w:t xml:space="preserve"> (ל' הטור בשמו)</w:t>
      </w:r>
      <w:r>
        <w:rPr>
          <w:rFonts w:cs="Arial" w:hint="cs"/>
          <w:rtl/>
        </w:rPr>
        <w:t>.</w:t>
      </w:r>
      <w:r w:rsidRPr="0019164E">
        <w:rPr>
          <w:rFonts w:cs="Arial"/>
          <w:rtl/>
        </w:rPr>
        <w:t xml:space="preserve"> </w:t>
      </w:r>
      <w:r>
        <w:rPr>
          <w:rFonts w:cs="Arial" w:hint="cs"/>
          <w:rtl/>
        </w:rPr>
        <w:t xml:space="preserve">(וכ"פ ח"מ </w:t>
      </w:r>
      <w:r>
        <w:rPr>
          <w:rFonts w:cs="Arial" w:hint="cs"/>
          <w:sz w:val="16"/>
          <w:szCs w:val="16"/>
          <w:rtl/>
        </w:rPr>
        <w:t xml:space="preserve">[סק"כ] </w:t>
      </w:r>
      <w:r>
        <w:rPr>
          <w:rFonts w:cs="Arial" w:hint="cs"/>
          <w:rtl/>
        </w:rPr>
        <w:t xml:space="preserve">וב"ש </w:t>
      </w:r>
      <w:r>
        <w:rPr>
          <w:rFonts w:cs="Arial" w:hint="cs"/>
          <w:sz w:val="16"/>
          <w:szCs w:val="16"/>
          <w:rtl/>
        </w:rPr>
        <w:t>[סקי"ט]</w:t>
      </w:r>
      <w:r>
        <w:rPr>
          <w:rFonts w:cs="Arial" w:hint="cs"/>
          <w:rtl/>
        </w:rPr>
        <w:t>)</w:t>
      </w:r>
    </w:p>
    <w:p w14:paraId="2CB0F61B" w14:textId="77777777" w:rsidR="002E5BAD" w:rsidRDefault="002E5BAD" w:rsidP="002E5BAD">
      <w:pPr>
        <w:rPr>
          <w:rFonts w:cs="Arial"/>
          <w:rtl/>
        </w:rPr>
      </w:pPr>
      <w:r w:rsidRPr="00EA5AFA">
        <w:rPr>
          <w:rFonts w:cs="Arial" w:hint="cs"/>
          <w:u w:val="single"/>
          <w:rtl/>
        </w:rPr>
        <w:lastRenderedPageBreak/>
        <w:t xml:space="preserve">האם שמין לו כאריס גם </w:t>
      </w:r>
      <w:r>
        <w:rPr>
          <w:rFonts w:cs="Arial" w:hint="cs"/>
          <w:u w:val="single"/>
          <w:rtl/>
        </w:rPr>
        <w:t>כש</w:t>
      </w:r>
      <w:r w:rsidRPr="00EA5AFA">
        <w:rPr>
          <w:rFonts w:cs="Arial" w:hint="cs"/>
          <w:u w:val="single"/>
          <w:rtl/>
        </w:rPr>
        <w:t>הוציא הוצאות על שדה שאינה עשויה ליטע:</w:t>
      </w:r>
    </w:p>
    <w:p w14:paraId="1BDE2AA0" w14:textId="77777777" w:rsidR="002E5BAD" w:rsidRDefault="002E5BAD" w:rsidP="002E5BAD">
      <w:pPr>
        <w:pStyle w:val="ab"/>
        <w:numPr>
          <w:ilvl w:val="0"/>
          <w:numId w:val="183"/>
        </w:numPr>
        <w:rPr>
          <w:rtl/>
        </w:rPr>
      </w:pPr>
      <w:r w:rsidRPr="00EA5AFA">
        <w:rPr>
          <w:rFonts w:cs="Arial"/>
          <w:rtl/>
        </w:rPr>
        <w:t xml:space="preserve">ר"ן </w:t>
      </w:r>
      <w:r w:rsidRPr="00EA5AFA">
        <w:rPr>
          <w:rFonts w:cs="Arial"/>
          <w:sz w:val="16"/>
          <w:szCs w:val="16"/>
          <w:rtl/>
        </w:rPr>
        <w:t>(לח: ד"ה גמ' עבד)</w:t>
      </w:r>
      <w:r w:rsidRPr="00EA5AFA">
        <w:rPr>
          <w:rFonts w:cs="Arial" w:hint="cs"/>
          <w:rtl/>
        </w:rPr>
        <w:t>-</w:t>
      </w:r>
      <w:r w:rsidRPr="00EA5AFA">
        <w:rPr>
          <w:rFonts w:cs="Arial"/>
          <w:rtl/>
        </w:rPr>
        <w:t xml:space="preserve"> איפשר היה לומר דכי אמרי' כמוציא על נכסי אחר דמי היינו דאם היה שדה העשויה ליטע שמין לו כאריס</w:t>
      </w:r>
      <w:r>
        <w:rPr>
          <w:rFonts w:cs="Arial" w:hint="cs"/>
          <w:rtl/>
        </w:rPr>
        <w:t>,</w:t>
      </w:r>
      <w:r w:rsidRPr="00EA5AFA">
        <w:rPr>
          <w:rFonts w:cs="Arial"/>
          <w:rtl/>
        </w:rPr>
        <w:t xml:space="preserve"> ואם אינה עשויה ליטע ידו על התחתונה</w:t>
      </w:r>
      <w:r w:rsidRPr="00EA5AFA">
        <w:rPr>
          <w:rFonts w:cs="Arial" w:hint="cs"/>
          <w:rtl/>
        </w:rPr>
        <w:t>.</w:t>
      </w:r>
      <w:r w:rsidRPr="00EA5AFA">
        <w:rPr>
          <w:rFonts w:cs="Arial"/>
          <w:rtl/>
        </w:rPr>
        <w:t xml:space="preserve"> אבל מלשון רש"י נראה שהוא כיורד ברשות בכל השדות</w:t>
      </w:r>
      <w:r w:rsidRPr="00EA5AFA">
        <w:rPr>
          <w:rFonts w:cs="Arial" w:hint="cs"/>
          <w:rtl/>
        </w:rPr>
        <w:t>.</w:t>
      </w:r>
      <w:r w:rsidRPr="00EA5AFA">
        <w:rPr>
          <w:rFonts w:cs="Arial"/>
          <w:rtl/>
        </w:rPr>
        <w:t xml:space="preserve"> ואף הרי"ף (שם) כתב כמוציא על נכסי אחר ברשות דמי</w:t>
      </w:r>
      <w:r w:rsidRPr="00EA5AFA">
        <w:rPr>
          <w:rFonts w:cs="Arial" w:hint="cs"/>
          <w:rtl/>
        </w:rPr>
        <w:t>.</w:t>
      </w:r>
      <w:r w:rsidRPr="00EA5AFA">
        <w:rPr>
          <w:rFonts w:cs="Arial"/>
          <w:rtl/>
        </w:rPr>
        <w:t xml:space="preserve"> ואף הרמב"ם כתב בפרק כ"ג מהלכות אישות (שם) ששמין לו כאריס שהרי ברשות ירד</w:t>
      </w:r>
      <w:r w:rsidRPr="00EA5AFA">
        <w:rPr>
          <w:rFonts w:cs="Arial" w:hint="cs"/>
          <w:rtl/>
        </w:rPr>
        <w:t>.</w:t>
      </w:r>
      <w:r w:rsidRPr="00EA5AFA">
        <w:rPr>
          <w:rFonts w:cs="Arial"/>
          <w:rtl/>
        </w:rPr>
        <w:t xml:space="preserve"> וכתב הרשב"א (פ. ד"ה אמר) איכא למימר דלהקל עליו תקנו</w:t>
      </w:r>
      <w:r w:rsidRPr="00EA5AFA">
        <w:rPr>
          <w:rFonts w:cs="Arial" w:hint="cs"/>
          <w:rtl/>
        </w:rPr>
        <w:t>,</w:t>
      </w:r>
      <w:r w:rsidRPr="00EA5AFA">
        <w:rPr>
          <w:rFonts w:cs="Arial"/>
          <w:rtl/>
        </w:rPr>
        <w:t xml:space="preserve"> ולא להחמיר עליו</w:t>
      </w:r>
      <w:r w:rsidRPr="00EA5AFA">
        <w:rPr>
          <w:rFonts w:cs="Arial" w:hint="cs"/>
          <w:rtl/>
        </w:rPr>
        <w:t>.</w:t>
      </w:r>
      <w:r w:rsidRPr="00EA5AFA">
        <w:rPr>
          <w:rFonts w:cs="Arial"/>
          <w:rtl/>
        </w:rPr>
        <w:t xml:space="preserve"> דאילו הוציא קימעא ואכל הרבה מה שהוציא הוציא ומה שאכל אכל כדין בעל בעלמא</w:t>
      </w:r>
      <w:r w:rsidRPr="00EA5AFA">
        <w:rPr>
          <w:rFonts w:cs="Arial" w:hint="cs"/>
          <w:rtl/>
        </w:rPr>
        <w:t>.</w:t>
      </w:r>
      <w:r w:rsidRPr="00EA5AFA">
        <w:rPr>
          <w:rFonts w:cs="Arial"/>
          <w:rtl/>
        </w:rPr>
        <w:t xml:space="preserve"> אבל הוציא הרבה ואכל קימעא מחשבין לו כאריס דעלמא</w:t>
      </w:r>
      <w:r w:rsidRPr="00EA5AFA">
        <w:rPr>
          <w:rFonts w:cs="Arial" w:hint="cs"/>
          <w:rtl/>
        </w:rPr>
        <w:t>.</w:t>
      </w:r>
    </w:p>
    <w:p w14:paraId="3515F42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64510BB" w14:textId="77777777" w:rsidR="002E5BAD" w:rsidRDefault="002E5BAD" w:rsidP="002E5BAD">
      <w:pPr>
        <w:rPr>
          <w:rtl/>
        </w:rPr>
      </w:pPr>
      <w:r>
        <w:rPr>
          <w:rFonts w:cs="Arial"/>
          <w:rtl/>
        </w:rPr>
        <w:t>המוציא הוצאות על נכסי מלוג של אשתו קטנה ומיאנה בו, רואין כמה אכל וכמה הוציא וכמה השביח, ושמין לו כאריס, שהרי ברשות ירד</w:t>
      </w:r>
      <w:r>
        <w:rPr>
          <w:rStyle w:val="a7"/>
          <w:rFonts w:cs="Arial"/>
          <w:rtl/>
        </w:rPr>
        <w:footnoteReference w:id="1894"/>
      </w:r>
      <w:r>
        <w:rPr>
          <w:rFonts w:cs="Arial"/>
          <w:rtl/>
        </w:rPr>
        <w:t>. ואם הוא רוצה ליטול הוצאה שיעור שבח, שומעין לו</w:t>
      </w:r>
      <w:r>
        <w:rPr>
          <w:rFonts w:cs="Arial" w:hint="cs"/>
          <w:rtl/>
        </w:rPr>
        <w:t>.</w:t>
      </w:r>
      <w:r>
        <w:rPr>
          <w:rFonts w:cs="Arial"/>
          <w:rtl/>
        </w:rPr>
        <w:t xml:space="preserve"> ואם הוציא קימעה ואכל הרבה, מה שאכל אכל. </w:t>
      </w:r>
    </w:p>
    <w:p w14:paraId="429F9A1E" w14:textId="77777777" w:rsidR="002E5BAD" w:rsidRDefault="002E5BAD" w:rsidP="002E5BAD">
      <w:pPr>
        <w:rPr>
          <w:rtl/>
        </w:rPr>
      </w:pPr>
    </w:p>
    <w:p w14:paraId="7FE855F9" w14:textId="77777777" w:rsidR="002E5BAD" w:rsidRDefault="002E5BAD" w:rsidP="002E5BAD">
      <w:pPr>
        <w:pStyle w:val="2"/>
        <w:rPr>
          <w:rtl/>
        </w:rPr>
      </w:pPr>
      <w:r>
        <w:rPr>
          <w:rtl/>
        </w:rPr>
        <w:t>סעיף יא</w:t>
      </w:r>
      <w:r>
        <w:rPr>
          <w:rFonts w:hint="cs"/>
          <w:rtl/>
        </w:rPr>
        <w:t>:</w:t>
      </w:r>
      <w:r w:rsidRPr="00D012E8">
        <w:rPr>
          <w:rFonts w:cs="Arial"/>
          <w:rtl/>
        </w:rPr>
        <w:t xml:space="preserve"> </w:t>
      </w:r>
      <w:r>
        <w:rPr>
          <w:rFonts w:cs="Arial"/>
          <w:rtl/>
        </w:rPr>
        <w:t xml:space="preserve">המוציא הוצאות על נכסי </w:t>
      </w:r>
      <w:r>
        <w:rPr>
          <w:rFonts w:cs="Arial" w:hint="cs"/>
          <w:rtl/>
        </w:rPr>
        <w:t xml:space="preserve">מלוג של </w:t>
      </w:r>
      <w:r>
        <w:rPr>
          <w:rFonts w:cs="Arial"/>
          <w:rtl/>
        </w:rPr>
        <w:t>אשתו, ומת</w:t>
      </w:r>
      <w:r>
        <w:rPr>
          <w:rFonts w:cs="Arial" w:hint="cs"/>
          <w:rtl/>
        </w:rPr>
        <w:t>.</w:t>
      </w:r>
    </w:p>
    <w:p w14:paraId="0F3732F0" w14:textId="77777777" w:rsidR="002E5BAD" w:rsidRDefault="002E5BAD" w:rsidP="002E5BAD">
      <w:pPr>
        <w:rPr>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52467B">
        <w:rPr>
          <w:rFonts w:cs="Arial"/>
          <w:u w:val="double"/>
          <w:rtl/>
        </w:rPr>
        <w:t>מתני'</w:t>
      </w:r>
      <w:r>
        <w:rPr>
          <w:rFonts w:cs="Arial" w:hint="cs"/>
          <w:rtl/>
        </w:rPr>
        <w:t>:</w:t>
      </w:r>
      <w:r w:rsidRPr="0052467B">
        <w:rPr>
          <w:rFonts w:cs="Arial"/>
          <w:rtl/>
        </w:rPr>
        <w:t xml:space="preserve"> אלמנה לכהן גדול</w:t>
      </w:r>
      <w:r>
        <w:rPr>
          <w:rFonts w:cs="Arial" w:hint="cs"/>
          <w:rtl/>
        </w:rPr>
        <w:t>...</w:t>
      </w:r>
      <w:r w:rsidRPr="0052467B">
        <w:rPr>
          <w:rFonts w:cs="Arial"/>
          <w:rtl/>
        </w:rPr>
        <w:t xml:space="preserve"> ואלו הן עבדי צאן ברזל: אם מתו - מתו לו, ואם הותירו - הותירו לו, הואיל והוא חייב באחריותן - הרי אלו יאכלו בתרומה.</w:t>
      </w:r>
      <w:r>
        <w:rPr>
          <w:rFonts w:cs="Arial" w:hint="cs"/>
          <w:rtl/>
        </w:rPr>
        <w:t>..</w:t>
      </w:r>
    </w:p>
    <w:p w14:paraId="53A9CFDE" w14:textId="77777777" w:rsidR="002E5BAD" w:rsidRPr="00D012E8" w:rsidRDefault="002E5BAD" w:rsidP="002E5BAD">
      <w:pPr>
        <w:rPr>
          <w:u w:val="single"/>
          <w:rtl/>
        </w:rPr>
      </w:pPr>
      <w:r w:rsidRPr="00D012E8">
        <w:rPr>
          <w:rFonts w:cs="Arial"/>
          <w:u w:val="single"/>
          <w:rtl/>
        </w:rPr>
        <w:t>המוציא הוצאות על נכסי אשתו, ומת</w:t>
      </w:r>
      <w:r w:rsidRPr="00D012E8">
        <w:rPr>
          <w:rFonts w:hint="cs"/>
          <w:u w:val="single"/>
          <w:rtl/>
        </w:rPr>
        <w:t>:</w:t>
      </w:r>
    </w:p>
    <w:p w14:paraId="349857B5" w14:textId="77777777" w:rsidR="002E5BAD" w:rsidRDefault="002E5BAD" w:rsidP="002E5BAD">
      <w:pPr>
        <w:pStyle w:val="ab"/>
        <w:numPr>
          <w:ilvl w:val="0"/>
          <w:numId w:val="183"/>
        </w:numPr>
      </w:pPr>
      <w:r>
        <w:rPr>
          <w:rFonts w:cs="Arial" w:hint="cs"/>
          <w:rtl/>
        </w:rPr>
        <w:t xml:space="preserve">טור- </w:t>
      </w:r>
      <w:r w:rsidRPr="0019164E">
        <w:rPr>
          <w:rFonts w:cs="Arial"/>
          <w:rtl/>
        </w:rPr>
        <w:t>וגבי אלמנה</w:t>
      </w:r>
      <w:r>
        <w:rPr>
          <w:rFonts w:cs="Arial" w:hint="cs"/>
          <w:rtl/>
        </w:rPr>
        <w:t>,</w:t>
      </w:r>
      <w:r w:rsidRPr="0019164E">
        <w:rPr>
          <w:rFonts w:cs="Arial"/>
          <w:rtl/>
        </w:rPr>
        <w:t xml:space="preserve"> אם נתברר שהוציא ולא אכל </w:t>
      </w:r>
      <w:r>
        <w:rPr>
          <w:rFonts w:cs="Arial" w:hint="cs"/>
          <w:rtl/>
        </w:rPr>
        <w:t xml:space="preserve">- </w:t>
      </w:r>
      <w:r w:rsidRPr="0019164E">
        <w:rPr>
          <w:rFonts w:cs="Arial"/>
          <w:rtl/>
        </w:rPr>
        <w:t>יגבו היתומים מה שנתברר שהוציא</w:t>
      </w:r>
      <w:r>
        <w:rPr>
          <w:rFonts w:cs="Arial" w:hint="cs"/>
          <w:rtl/>
        </w:rPr>
        <w:t>.</w:t>
      </w:r>
      <w:r w:rsidRPr="0019164E">
        <w:rPr>
          <w:rFonts w:cs="Arial"/>
          <w:rtl/>
        </w:rPr>
        <w:t xml:space="preserve"> ואם לא נתברר שהוציא</w:t>
      </w:r>
      <w:r>
        <w:rPr>
          <w:rFonts w:cs="Arial" w:hint="cs"/>
          <w:rtl/>
        </w:rPr>
        <w:t>,</w:t>
      </w:r>
      <w:r w:rsidRPr="0019164E">
        <w:rPr>
          <w:rFonts w:cs="Arial"/>
          <w:rtl/>
        </w:rPr>
        <w:t xml:space="preserve"> או הוציא ולא נתברר כמה הוציא </w:t>
      </w:r>
      <w:r>
        <w:rPr>
          <w:rFonts w:cs="Arial" w:hint="cs"/>
          <w:rtl/>
        </w:rPr>
        <w:t xml:space="preserve">- </w:t>
      </w:r>
      <w:r w:rsidRPr="0019164E">
        <w:rPr>
          <w:rFonts w:cs="Arial"/>
          <w:rtl/>
        </w:rPr>
        <w:t>לא יקחו היורשים כלום</w:t>
      </w:r>
      <w:r>
        <w:rPr>
          <w:rFonts w:cs="Arial" w:hint="cs"/>
          <w:rtl/>
        </w:rPr>
        <w:t>,</w:t>
      </w:r>
      <w:r w:rsidRPr="0019164E">
        <w:rPr>
          <w:rFonts w:cs="Arial"/>
          <w:rtl/>
        </w:rPr>
        <w:t xml:space="preserve"> דליתיה לבעל דלישתבע</w:t>
      </w:r>
      <w:r>
        <w:rPr>
          <w:rFonts w:cs="Arial" w:hint="cs"/>
          <w:rtl/>
        </w:rPr>
        <w:t>,</w:t>
      </w:r>
      <w:r w:rsidRPr="0019164E">
        <w:rPr>
          <w:rFonts w:cs="Arial"/>
          <w:rtl/>
        </w:rPr>
        <w:t xml:space="preserve"> ולבעל הוא דתקון רבנן דליהמניה בשבועה ולא ליורשין</w:t>
      </w:r>
      <w:r>
        <w:rPr>
          <w:rFonts w:cs="Arial" w:hint="cs"/>
          <w:rtl/>
        </w:rPr>
        <w:t xml:space="preserve">. </w:t>
      </w:r>
      <w:r w:rsidRPr="00A6197B">
        <w:rPr>
          <w:rFonts w:hint="cs"/>
          <w:color w:val="E36C0A" w:themeColor="accent6" w:themeShade="BF"/>
          <w:rtl/>
        </w:rPr>
        <w:t>(וכ"</w:t>
      </w:r>
      <w:r>
        <w:rPr>
          <w:rFonts w:hint="cs"/>
          <w:color w:val="E36C0A" w:themeColor="accent6" w:themeShade="BF"/>
          <w:rtl/>
        </w:rPr>
        <w:t>כ</w:t>
      </w:r>
      <w:r w:rsidRPr="00A6197B">
        <w:rPr>
          <w:rFonts w:hint="cs"/>
          <w:color w:val="E36C0A" w:themeColor="accent6" w:themeShade="BF"/>
          <w:rtl/>
        </w:rPr>
        <w:t xml:space="preserve"> בשו"ע)</w:t>
      </w:r>
    </w:p>
    <w:p w14:paraId="53698F59" w14:textId="77777777" w:rsidR="002E5BAD" w:rsidRPr="00D012E8" w:rsidRDefault="002E5BAD" w:rsidP="002E5BAD">
      <w:pPr>
        <w:ind w:left="360"/>
        <w:rPr>
          <w:u w:val="dotted"/>
        </w:rPr>
      </w:pPr>
      <w:r w:rsidRPr="00D012E8">
        <w:rPr>
          <w:rFonts w:hint="cs"/>
          <w:u w:val="dotted"/>
          <w:rtl/>
        </w:rPr>
        <w:t>ומה הדין אם הוציא הוצאות על נכסי צאן ברזל:</w:t>
      </w:r>
    </w:p>
    <w:p w14:paraId="13AD25F2" w14:textId="77777777" w:rsidR="002E5BAD" w:rsidRPr="0019164E" w:rsidRDefault="002E5BAD" w:rsidP="002E5BAD">
      <w:pPr>
        <w:pStyle w:val="ab"/>
        <w:numPr>
          <w:ilvl w:val="0"/>
          <w:numId w:val="183"/>
        </w:numPr>
        <w:rPr>
          <w:rtl/>
        </w:rPr>
      </w:pPr>
      <w:r w:rsidRPr="0019164E">
        <w:rPr>
          <w:rFonts w:cs="Arial"/>
          <w:rtl/>
        </w:rPr>
        <w:t xml:space="preserve">רי"ף </w:t>
      </w:r>
      <w:r w:rsidRPr="007471CA">
        <w:rPr>
          <w:rFonts w:cs="Arial" w:hint="cs"/>
          <w:sz w:val="16"/>
          <w:szCs w:val="16"/>
          <w:rtl/>
        </w:rPr>
        <w:t xml:space="preserve">(פ' האשה שנפלו </w:t>
      </w:r>
      <w:r w:rsidRPr="007471CA">
        <w:rPr>
          <w:rFonts w:cs="Arial"/>
          <w:sz w:val="16"/>
          <w:szCs w:val="16"/>
          <w:rtl/>
        </w:rPr>
        <w:t>לט.</w:t>
      </w:r>
      <w:r w:rsidRPr="007471CA">
        <w:rPr>
          <w:rFonts w:cs="Arial" w:hint="cs"/>
          <w:sz w:val="16"/>
          <w:szCs w:val="16"/>
          <w:rtl/>
        </w:rPr>
        <w:t>)</w:t>
      </w:r>
      <w:r w:rsidRPr="007471CA">
        <w:rPr>
          <w:rFonts w:cs="Arial"/>
          <w:sz w:val="16"/>
          <w:szCs w:val="16"/>
          <w:rtl/>
        </w:rPr>
        <w:t xml:space="preserve"> </w:t>
      </w:r>
      <w:r w:rsidRPr="0019164E">
        <w:rPr>
          <w:rFonts w:cs="Arial"/>
          <w:rtl/>
        </w:rPr>
        <w:t xml:space="preserve">רמב"ם </w:t>
      </w:r>
      <w:r w:rsidRPr="007471CA">
        <w:rPr>
          <w:rFonts w:cs="Arial" w:hint="cs"/>
          <w:sz w:val="16"/>
          <w:szCs w:val="16"/>
          <w:rtl/>
        </w:rPr>
        <w:t>(</w:t>
      </w:r>
      <w:r w:rsidRPr="007471CA">
        <w:rPr>
          <w:rFonts w:cs="Arial"/>
          <w:sz w:val="16"/>
          <w:szCs w:val="16"/>
          <w:rtl/>
        </w:rPr>
        <w:t>פכ"ג מ</w:t>
      </w:r>
      <w:r w:rsidRPr="007471CA">
        <w:rPr>
          <w:rFonts w:cs="Arial" w:hint="cs"/>
          <w:sz w:val="16"/>
          <w:szCs w:val="16"/>
          <w:rtl/>
        </w:rPr>
        <w:t>א</w:t>
      </w:r>
      <w:r w:rsidRPr="007471CA">
        <w:rPr>
          <w:rFonts w:cs="Arial"/>
          <w:sz w:val="16"/>
          <w:szCs w:val="16"/>
          <w:rtl/>
        </w:rPr>
        <w:t>ישות ה"ח)</w:t>
      </w:r>
      <w:r w:rsidRPr="007471CA">
        <w:rPr>
          <w:rFonts w:cs="Arial" w:hint="cs"/>
          <w:sz w:val="16"/>
          <w:szCs w:val="16"/>
          <w:rtl/>
        </w:rPr>
        <w:t xml:space="preserve"> </w:t>
      </w:r>
      <w:r w:rsidRPr="0019164E">
        <w:rPr>
          <w:rFonts w:cs="Arial"/>
          <w:rtl/>
        </w:rPr>
        <w:t xml:space="preserve">רא"ש </w:t>
      </w:r>
      <w:r w:rsidRPr="007471CA">
        <w:rPr>
          <w:rFonts w:cs="Arial" w:hint="cs"/>
          <w:sz w:val="16"/>
          <w:szCs w:val="16"/>
          <w:rtl/>
        </w:rPr>
        <w:t>(פ' האשה שנפלו</w:t>
      </w:r>
      <w:r w:rsidRPr="007471CA">
        <w:rPr>
          <w:rFonts w:cs="Arial"/>
          <w:sz w:val="16"/>
          <w:szCs w:val="16"/>
          <w:rtl/>
        </w:rPr>
        <w:t xml:space="preserve"> סי' ט)</w:t>
      </w:r>
      <w:r w:rsidRPr="007471CA">
        <w:rPr>
          <w:rFonts w:cs="Arial" w:hint="cs"/>
          <w:sz w:val="16"/>
          <w:szCs w:val="16"/>
          <w:rtl/>
        </w:rPr>
        <w:t xml:space="preserve"> </w:t>
      </w:r>
      <w:r>
        <w:rPr>
          <w:rFonts w:cs="Arial" w:hint="cs"/>
          <w:rtl/>
        </w:rPr>
        <w:t xml:space="preserve">וטור- </w:t>
      </w:r>
      <w:r w:rsidRPr="0019164E">
        <w:rPr>
          <w:rFonts w:cs="Arial"/>
          <w:rtl/>
        </w:rPr>
        <w:t>וכל זה אינו אלא בנכסי מלוג</w:t>
      </w:r>
      <w:r>
        <w:rPr>
          <w:rFonts w:cs="Arial" w:hint="cs"/>
          <w:rtl/>
        </w:rPr>
        <w:t>,</w:t>
      </w:r>
      <w:r w:rsidRPr="0019164E">
        <w:rPr>
          <w:rFonts w:cs="Arial"/>
          <w:rtl/>
        </w:rPr>
        <w:t xml:space="preserve"> אכל בנכסי צאן ברזל כל שבח ששבחו</w:t>
      </w:r>
      <w:r>
        <w:rPr>
          <w:rFonts w:cs="Arial" w:hint="cs"/>
          <w:rtl/>
        </w:rPr>
        <w:t>,</w:t>
      </w:r>
      <w:r w:rsidRPr="0019164E">
        <w:rPr>
          <w:rFonts w:cs="Arial"/>
          <w:rtl/>
        </w:rPr>
        <w:t xml:space="preserve"> בין מחמת הוצאה בין שלא מחמת הוצאה </w:t>
      </w:r>
      <w:r>
        <w:rPr>
          <w:rFonts w:cs="Arial" w:hint="cs"/>
          <w:rtl/>
        </w:rPr>
        <w:t xml:space="preserve">- </w:t>
      </w:r>
      <w:r w:rsidRPr="0019164E">
        <w:rPr>
          <w:rFonts w:cs="Arial"/>
          <w:rtl/>
        </w:rPr>
        <w:t>הכל לבעל מדינא דגמרא</w:t>
      </w:r>
      <w:r>
        <w:rPr>
          <w:rFonts w:cs="Arial" w:hint="cs"/>
          <w:rtl/>
        </w:rPr>
        <w:t>.</w:t>
      </w:r>
      <w:r w:rsidRPr="0019164E">
        <w:rPr>
          <w:rFonts w:cs="Arial"/>
          <w:rtl/>
        </w:rPr>
        <w:t xml:space="preserve"> </w:t>
      </w:r>
      <w:r w:rsidRPr="00A6197B">
        <w:rPr>
          <w:rFonts w:hint="cs"/>
          <w:color w:val="E36C0A" w:themeColor="accent6" w:themeShade="BF"/>
          <w:rtl/>
        </w:rPr>
        <w:t>(וכ"פ בשו"ע)</w:t>
      </w:r>
    </w:p>
    <w:p w14:paraId="74957BDE"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5BDF461" w14:textId="77777777" w:rsidR="002E5BAD" w:rsidRDefault="002E5BAD" w:rsidP="002E5BAD">
      <w:pPr>
        <w:rPr>
          <w:rtl/>
        </w:rPr>
      </w:pPr>
      <w:r>
        <w:rPr>
          <w:rFonts w:cs="Arial"/>
          <w:rtl/>
        </w:rPr>
        <w:t>המוציא הוצאות על נכסי מלוג של אשתו, ומת, יש מי שאומר שאם נתברר שהוציא ולא אכל, יגבו היתומים מה שנתברר שהוציא</w:t>
      </w:r>
      <w:r>
        <w:rPr>
          <w:rFonts w:cs="Arial" w:hint="cs"/>
          <w:rtl/>
        </w:rPr>
        <w:t>.</w:t>
      </w:r>
      <w:r>
        <w:rPr>
          <w:rFonts w:cs="Arial"/>
          <w:rtl/>
        </w:rPr>
        <w:t xml:space="preserve"> ואם לא נתברר כמה הוציא, לא יטלו היתומים כלום</w:t>
      </w:r>
      <w:r>
        <w:rPr>
          <w:rStyle w:val="a7"/>
          <w:rFonts w:cs="Arial"/>
          <w:rtl/>
        </w:rPr>
        <w:footnoteReference w:id="1895"/>
      </w:r>
      <w:r>
        <w:rPr>
          <w:rFonts w:cs="Arial"/>
          <w:rtl/>
        </w:rPr>
        <w:t xml:space="preserve">. </w:t>
      </w:r>
    </w:p>
    <w:p w14:paraId="0354E31E" w14:textId="77777777" w:rsidR="002E5BAD" w:rsidRDefault="002E5BAD" w:rsidP="002E5BAD">
      <w:pPr>
        <w:rPr>
          <w:rtl/>
        </w:rPr>
      </w:pPr>
    </w:p>
    <w:p w14:paraId="6A999A03" w14:textId="77777777" w:rsidR="002E5BAD" w:rsidRDefault="002E5BAD" w:rsidP="002E5BAD">
      <w:pPr>
        <w:pStyle w:val="2"/>
        <w:rPr>
          <w:rtl/>
        </w:rPr>
      </w:pPr>
      <w:r>
        <w:rPr>
          <w:rtl/>
        </w:rPr>
        <w:lastRenderedPageBreak/>
        <w:t>סעיף יב</w:t>
      </w:r>
      <w:r>
        <w:rPr>
          <w:rFonts w:hint="cs"/>
          <w:rtl/>
        </w:rPr>
        <w:t>:</w:t>
      </w:r>
      <w:r w:rsidRPr="00EA64B2">
        <w:rPr>
          <w:rFonts w:cs="Arial"/>
          <w:rtl/>
        </w:rPr>
        <w:t xml:space="preserve"> </w:t>
      </w:r>
      <w:r w:rsidRPr="0019164E">
        <w:rPr>
          <w:rFonts w:cs="Arial"/>
          <w:rtl/>
        </w:rPr>
        <w:t>בעל שהוריד אריס בנכסי מלוג של אשתו וג</w:t>
      </w:r>
      <w:r>
        <w:rPr>
          <w:rFonts w:cs="Arial" w:hint="cs"/>
          <w:rtl/>
        </w:rPr>
        <w:t>י</w:t>
      </w:r>
      <w:r w:rsidRPr="0019164E">
        <w:rPr>
          <w:rFonts w:cs="Arial"/>
          <w:rtl/>
        </w:rPr>
        <w:t>רשה</w:t>
      </w:r>
      <w:r>
        <w:rPr>
          <w:rFonts w:hint="cs"/>
          <w:rtl/>
        </w:rPr>
        <w:t>.</w:t>
      </w:r>
    </w:p>
    <w:p w14:paraId="21B65410" w14:textId="77777777" w:rsidR="002E5BAD" w:rsidRDefault="002E5BAD" w:rsidP="002E5BAD">
      <w:pPr>
        <w:rPr>
          <w:rtl/>
        </w:rPr>
      </w:pPr>
      <w:r w:rsidRPr="00B226F6">
        <w:rPr>
          <w:rFonts w:cs="Arial" w:hint="cs"/>
          <w:b/>
          <w:bCs/>
          <w:rtl/>
        </w:rPr>
        <w:t xml:space="preserve">כתובות </w:t>
      </w:r>
      <w:r w:rsidRPr="00B226F6">
        <w:rPr>
          <w:rFonts w:cs="Arial" w:hint="cs"/>
          <w:b/>
          <w:bCs/>
          <w:sz w:val="16"/>
          <w:szCs w:val="16"/>
          <w:rtl/>
        </w:rPr>
        <w:t xml:space="preserve">(פ' האשה שנפלו) </w:t>
      </w:r>
      <w:r>
        <w:rPr>
          <w:rFonts w:cs="Arial" w:hint="cs"/>
          <w:b/>
          <w:bCs/>
          <w:rtl/>
        </w:rPr>
        <w:t>פ</w:t>
      </w:r>
      <w:r w:rsidRPr="00B226F6">
        <w:rPr>
          <w:rFonts w:cs="Arial" w:hint="cs"/>
          <w:b/>
          <w:bCs/>
          <w:rtl/>
        </w:rPr>
        <w:t xml:space="preserve"> ע"</w:t>
      </w:r>
      <w:r>
        <w:rPr>
          <w:rFonts w:cs="Arial" w:hint="cs"/>
          <w:b/>
          <w:bCs/>
          <w:rtl/>
        </w:rPr>
        <w:t>א</w:t>
      </w:r>
      <w:r w:rsidRPr="00B226F6">
        <w:rPr>
          <w:rFonts w:cs="Arial" w:hint="cs"/>
          <w:b/>
          <w:bCs/>
          <w:rtl/>
        </w:rPr>
        <w:t xml:space="preserve">: </w:t>
      </w:r>
      <w:r w:rsidRPr="00EA64B2">
        <w:rPr>
          <w:rFonts w:cs="Arial"/>
          <w:rtl/>
        </w:rPr>
        <w:t>איבעיא להו: בעל שהוריד אריסין</w:t>
      </w:r>
      <w:r>
        <w:rPr>
          <w:rStyle w:val="a7"/>
          <w:rFonts w:cs="Arial"/>
          <w:rtl/>
        </w:rPr>
        <w:footnoteReference w:id="1896"/>
      </w:r>
      <w:r w:rsidRPr="00EA64B2">
        <w:rPr>
          <w:rFonts w:cs="Arial"/>
          <w:rtl/>
        </w:rPr>
        <w:t xml:space="preserve"> תחתיו, מהו</w:t>
      </w:r>
      <w:r>
        <w:rPr>
          <w:rStyle w:val="a7"/>
          <w:rFonts w:cs="Arial"/>
          <w:rtl/>
        </w:rPr>
        <w:footnoteReference w:id="1897"/>
      </w:r>
      <w:r w:rsidRPr="00EA64B2">
        <w:rPr>
          <w:rFonts w:cs="Arial"/>
          <w:rtl/>
        </w:rPr>
        <w:t>? אדעתא דבעל נחית</w:t>
      </w:r>
      <w:r>
        <w:rPr>
          <w:rStyle w:val="a7"/>
          <w:rFonts w:cs="Arial"/>
          <w:rtl/>
        </w:rPr>
        <w:footnoteReference w:id="1898"/>
      </w:r>
      <w:r w:rsidRPr="00EA64B2">
        <w:rPr>
          <w:rFonts w:cs="Arial"/>
          <w:rtl/>
        </w:rPr>
        <w:t>, איסתליק ליה בעל איסתליקו להו, או דלמא אדעתא דארעא נחית, וארעא כי קיימא - לאריסי קיימא</w:t>
      </w:r>
      <w:r>
        <w:rPr>
          <w:rStyle w:val="a7"/>
          <w:rFonts w:cs="Arial"/>
          <w:rtl/>
        </w:rPr>
        <w:footnoteReference w:id="1899"/>
      </w:r>
      <w:r w:rsidRPr="00EA64B2">
        <w:rPr>
          <w:rFonts w:cs="Arial"/>
          <w:rtl/>
        </w:rPr>
        <w:t xml:space="preserve">? </w:t>
      </w:r>
      <w:r w:rsidRPr="00EA64B2">
        <w:rPr>
          <w:rFonts w:cs="Arial"/>
          <w:u w:val="single"/>
          <w:rtl/>
        </w:rPr>
        <w:t>מתקיף לה רבא בר רב חנן</w:t>
      </w:r>
      <w:r w:rsidRPr="00EA64B2">
        <w:rPr>
          <w:rFonts w:cs="Arial"/>
          <w:rtl/>
        </w:rPr>
        <w:t>: מ"ש מהיורד לתוך שדה חבירו ונטעה שלא ברשות, שמין לו וידו על התחתונה</w:t>
      </w:r>
      <w:r>
        <w:rPr>
          <w:rStyle w:val="a7"/>
          <w:rFonts w:cs="Arial"/>
          <w:rtl/>
        </w:rPr>
        <w:footnoteReference w:id="1900"/>
      </w:r>
      <w:r w:rsidRPr="00EA64B2">
        <w:rPr>
          <w:rFonts w:cs="Arial"/>
          <w:rtl/>
        </w:rPr>
        <w:t>? התם ליכא איניש דטרח</w:t>
      </w:r>
      <w:r>
        <w:rPr>
          <w:rStyle w:val="a7"/>
          <w:rFonts w:cs="Arial"/>
          <w:rtl/>
        </w:rPr>
        <w:footnoteReference w:id="1901"/>
      </w:r>
      <w:r w:rsidRPr="00EA64B2">
        <w:rPr>
          <w:rFonts w:cs="Arial"/>
          <w:rtl/>
        </w:rPr>
        <w:t>, הכא איכא בעל</w:t>
      </w:r>
      <w:r>
        <w:rPr>
          <w:rStyle w:val="a7"/>
          <w:rFonts w:cs="Arial"/>
          <w:rtl/>
        </w:rPr>
        <w:footnoteReference w:id="1902"/>
      </w:r>
      <w:r w:rsidRPr="00EA64B2">
        <w:rPr>
          <w:rFonts w:cs="Arial"/>
          <w:rtl/>
        </w:rPr>
        <w:t xml:space="preserve"> דטרח. מאי הוי עלה? </w:t>
      </w:r>
      <w:r w:rsidRPr="00EA64B2">
        <w:rPr>
          <w:rFonts w:cs="Arial"/>
          <w:u w:val="single"/>
          <w:rtl/>
        </w:rPr>
        <w:t>אמר רב הונא בריה דרב יהושע</w:t>
      </w:r>
      <w:r w:rsidRPr="00EA64B2">
        <w:rPr>
          <w:rFonts w:cs="Arial"/>
          <w:rtl/>
        </w:rPr>
        <w:t>: חזינן, אי בעל אריס הוא</w:t>
      </w:r>
      <w:r>
        <w:rPr>
          <w:rStyle w:val="a7"/>
          <w:rFonts w:cs="Arial"/>
          <w:rtl/>
        </w:rPr>
        <w:footnoteReference w:id="1903"/>
      </w:r>
      <w:r w:rsidRPr="00EA64B2">
        <w:rPr>
          <w:rFonts w:cs="Arial"/>
          <w:rtl/>
        </w:rPr>
        <w:t>, איסתלק ליה</w:t>
      </w:r>
      <w:r>
        <w:rPr>
          <w:rStyle w:val="a7"/>
          <w:rFonts w:cs="Arial"/>
          <w:rtl/>
        </w:rPr>
        <w:footnoteReference w:id="1904"/>
      </w:r>
      <w:r w:rsidRPr="00EA64B2">
        <w:rPr>
          <w:rFonts w:cs="Arial"/>
          <w:rtl/>
        </w:rPr>
        <w:t xml:space="preserve"> בעל אסתלקו להו, אי בעל לאו אריס הוא, ארעא לאריסי קיימא. </w:t>
      </w:r>
    </w:p>
    <w:p w14:paraId="6AC3B4AA" w14:textId="77777777" w:rsidR="002E5BAD" w:rsidRPr="00EA64B2" w:rsidRDefault="002E5BAD" w:rsidP="002E5BAD">
      <w:pPr>
        <w:rPr>
          <w:u w:val="single"/>
          <w:rtl/>
        </w:rPr>
      </w:pPr>
      <w:r w:rsidRPr="00EA64B2">
        <w:rPr>
          <w:rFonts w:cs="Arial"/>
          <w:u w:val="single"/>
          <w:rtl/>
        </w:rPr>
        <w:t>בעל שהוריד אריס בנכסי מלוג של אשתו וג</w:t>
      </w:r>
      <w:r w:rsidRPr="00EA64B2">
        <w:rPr>
          <w:rFonts w:cs="Arial" w:hint="cs"/>
          <w:u w:val="single"/>
          <w:rtl/>
        </w:rPr>
        <w:t>י</w:t>
      </w:r>
      <w:r w:rsidRPr="00EA64B2">
        <w:rPr>
          <w:rFonts w:cs="Arial"/>
          <w:u w:val="single"/>
          <w:rtl/>
        </w:rPr>
        <w:t>רשה</w:t>
      </w:r>
      <w:r w:rsidRPr="00EA64B2">
        <w:rPr>
          <w:rFonts w:hint="cs"/>
          <w:u w:val="single"/>
          <w:rtl/>
        </w:rPr>
        <w:t>:</w:t>
      </w:r>
    </w:p>
    <w:p w14:paraId="70F6C934" w14:textId="77777777" w:rsidR="002E5BAD" w:rsidRPr="0019164E" w:rsidRDefault="002E5BAD" w:rsidP="002E5BAD">
      <w:pPr>
        <w:pStyle w:val="ab"/>
        <w:numPr>
          <w:ilvl w:val="0"/>
          <w:numId w:val="183"/>
        </w:numPr>
        <w:rPr>
          <w:rtl/>
        </w:rPr>
      </w:pPr>
      <w:r w:rsidRPr="001A134B">
        <w:rPr>
          <w:rFonts w:cs="Arial"/>
          <w:rtl/>
        </w:rPr>
        <w:t xml:space="preserve">רמב"ם </w:t>
      </w:r>
      <w:r w:rsidRPr="001A134B">
        <w:rPr>
          <w:rFonts w:cs="Arial" w:hint="cs"/>
          <w:sz w:val="16"/>
          <w:szCs w:val="16"/>
          <w:rtl/>
        </w:rPr>
        <w:t>(</w:t>
      </w:r>
      <w:r w:rsidRPr="001A134B">
        <w:rPr>
          <w:rFonts w:cs="Arial"/>
          <w:sz w:val="16"/>
          <w:szCs w:val="16"/>
          <w:rtl/>
        </w:rPr>
        <w:t>פ"י מ</w:t>
      </w:r>
      <w:r w:rsidRPr="001A134B">
        <w:rPr>
          <w:rFonts w:cs="Arial" w:hint="cs"/>
          <w:sz w:val="16"/>
          <w:szCs w:val="16"/>
          <w:rtl/>
        </w:rPr>
        <w:t>ג</w:t>
      </w:r>
      <w:r w:rsidRPr="001A134B">
        <w:rPr>
          <w:rFonts w:cs="Arial"/>
          <w:sz w:val="16"/>
          <w:szCs w:val="16"/>
          <w:rtl/>
        </w:rPr>
        <w:t>זילה הי"ב)</w:t>
      </w:r>
      <w:r w:rsidRPr="001A134B">
        <w:rPr>
          <w:rFonts w:cs="Arial" w:hint="cs"/>
          <w:rtl/>
        </w:rPr>
        <w:t xml:space="preserve">- </w:t>
      </w:r>
      <w:r w:rsidRPr="001A134B">
        <w:rPr>
          <w:rFonts w:cs="Arial"/>
          <w:rtl/>
        </w:rPr>
        <w:t>בעל שהוריד אריסין בנכסי אשתו ואחר כך גירשה</w:t>
      </w:r>
      <w:r>
        <w:rPr>
          <w:rFonts w:cs="Arial" w:hint="cs"/>
          <w:rtl/>
        </w:rPr>
        <w:t>,</w:t>
      </w:r>
      <w:r w:rsidRPr="001A134B">
        <w:rPr>
          <w:rFonts w:cs="Arial"/>
          <w:rtl/>
        </w:rPr>
        <w:t xml:space="preserve"> אם הבעל עצמו אריס נסתלק בעל נסתלקו</w:t>
      </w:r>
      <w:r>
        <w:rPr>
          <w:rFonts w:cs="Arial" w:hint="cs"/>
          <w:rtl/>
        </w:rPr>
        <w:t>,</w:t>
      </w:r>
      <w:r w:rsidRPr="001A134B">
        <w:rPr>
          <w:rFonts w:cs="Arial"/>
          <w:rtl/>
        </w:rPr>
        <w:t xml:space="preserve"> שלא ירדו לה אלא על דעת הבעל</w:t>
      </w:r>
      <w:r>
        <w:rPr>
          <w:rFonts w:cs="Arial" w:hint="cs"/>
          <w:rtl/>
        </w:rPr>
        <w:t>,</w:t>
      </w:r>
      <w:r w:rsidRPr="001A134B">
        <w:rPr>
          <w:rFonts w:cs="Arial"/>
          <w:rtl/>
        </w:rPr>
        <w:t xml:space="preserve"> ושמין להם וידם על התחתונה</w:t>
      </w:r>
      <w:r>
        <w:rPr>
          <w:rFonts w:cs="Arial" w:hint="cs"/>
          <w:rtl/>
        </w:rPr>
        <w:t>.</w:t>
      </w:r>
      <w:r w:rsidRPr="001A134B">
        <w:rPr>
          <w:rFonts w:cs="Arial"/>
          <w:rtl/>
        </w:rPr>
        <w:t xml:space="preserve"> ואם אין הבעל אריס</w:t>
      </w:r>
      <w:r>
        <w:rPr>
          <w:rFonts w:cs="Arial" w:hint="cs"/>
          <w:rtl/>
        </w:rPr>
        <w:t>,</w:t>
      </w:r>
      <w:r w:rsidRPr="001A134B">
        <w:rPr>
          <w:rFonts w:cs="Arial"/>
          <w:rtl/>
        </w:rPr>
        <w:t xml:space="preserve"> על דעת הקרקע ירדו ושמין להם כאריס</w:t>
      </w:r>
      <w:r>
        <w:rPr>
          <w:rFonts w:hint="cs"/>
          <w:rtl/>
        </w:rPr>
        <w:t>.</w:t>
      </w:r>
      <w:r w:rsidRPr="001A134B">
        <w:rPr>
          <w:rFonts w:hint="cs"/>
          <w:color w:val="E36C0A" w:themeColor="accent6" w:themeShade="BF"/>
          <w:rtl/>
        </w:rPr>
        <w:t xml:space="preserve"> </w:t>
      </w:r>
      <w:r w:rsidRPr="00A6197B">
        <w:rPr>
          <w:rFonts w:hint="cs"/>
          <w:color w:val="E36C0A" w:themeColor="accent6" w:themeShade="BF"/>
          <w:rtl/>
        </w:rPr>
        <w:t>(וכ"פ בשו"ע)</w:t>
      </w:r>
    </w:p>
    <w:p w14:paraId="4691BBDD" w14:textId="77777777" w:rsidR="002E5BAD" w:rsidRPr="001A134B" w:rsidRDefault="002E5BAD" w:rsidP="002E5BAD">
      <w:pPr>
        <w:pStyle w:val="ab"/>
        <w:numPr>
          <w:ilvl w:val="0"/>
          <w:numId w:val="183"/>
        </w:numPr>
      </w:pPr>
      <w:r w:rsidRPr="0018560D">
        <w:rPr>
          <w:rFonts w:cs="Arial"/>
          <w:rtl/>
        </w:rPr>
        <w:t>רא"ש</w:t>
      </w:r>
      <w:r>
        <w:rPr>
          <w:rStyle w:val="a7"/>
          <w:rFonts w:cs="Arial"/>
          <w:rtl/>
        </w:rPr>
        <w:footnoteReference w:id="1905"/>
      </w:r>
      <w:r w:rsidRPr="0018560D">
        <w:rPr>
          <w:rFonts w:cs="Arial"/>
          <w:rtl/>
        </w:rPr>
        <w:t xml:space="preserve"> </w:t>
      </w:r>
      <w:r w:rsidRPr="001A134B">
        <w:rPr>
          <w:rFonts w:cs="Arial"/>
          <w:sz w:val="16"/>
          <w:szCs w:val="16"/>
          <w:rtl/>
        </w:rPr>
        <w:t>(סי' י)</w:t>
      </w:r>
      <w:r>
        <w:rPr>
          <w:rFonts w:cs="Arial" w:hint="cs"/>
          <w:rtl/>
        </w:rPr>
        <w:t xml:space="preserve"> וטור- </w:t>
      </w:r>
      <w:r w:rsidRPr="0019164E">
        <w:rPr>
          <w:rFonts w:cs="Arial"/>
          <w:rtl/>
        </w:rPr>
        <w:t>בעל שהוריד אריס בנכסי מלוג של אשתו</w:t>
      </w:r>
      <w:r>
        <w:rPr>
          <w:rFonts w:cs="Arial" w:hint="cs"/>
          <w:rtl/>
        </w:rPr>
        <w:t>,</w:t>
      </w:r>
      <w:r w:rsidRPr="0019164E">
        <w:rPr>
          <w:rFonts w:cs="Arial"/>
          <w:rtl/>
        </w:rPr>
        <w:t xml:space="preserve"> ומגרשה אחר שעבד אותה קודם שיטול חלקו</w:t>
      </w:r>
      <w:r>
        <w:rPr>
          <w:rFonts w:cs="Arial" w:hint="cs"/>
          <w:rtl/>
        </w:rPr>
        <w:t>.</w:t>
      </w:r>
      <w:r w:rsidRPr="0019164E">
        <w:rPr>
          <w:rFonts w:cs="Arial"/>
          <w:rtl/>
        </w:rPr>
        <w:t xml:space="preserve"> אם לא היה יודע שהשדה של האשה </w:t>
      </w:r>
      <w:r>
        <w:rPr>
          <w:rFonts w:cs="Arial" w:hint="cs"/>
          <w:rtl/>
        </w:rPr>
        <w:t xml:space="preserve">- </w:t>
      </w:r>
      <w:r w:rsidRPr="0019164E">
        <w:rPr>
          <w:rFonts w:cs="Arial"/>
          <w:rtl/>
        </w:rPr>
        <w:t>נוטל אריסותו משלם</w:t>
      </w:r>
      <w:r>
        <w:rPr>
          <w:rFonts w:cs="Arial" w:hint="cs"/>
          <w:rtl/>
        </w:rPr>
        <w:t>.</w:t>
      </w:r>
      <w:r w:rsidRPr="0019164E">
        <w:rPr>
          <w:rFonts w:cs="Arial"/>
          <w:rtl/>
        </w:rPr>
        <w:t xml:space="preserve"> ואם יודע שהוא של האשה</w:t>
      </w:r>
      <w:r>
        <w:rPr>
          <w:rFonts w:cs="Arial" w:hint="cs"/>
          <w:rtl/>
        </w:rPr>
        <w:t>,</w:t>
      </w:r>
      <w:r w:rsidRPr="0019164E">
        <w:rPr>
          <w:rFonts w:cs="Arial"/>
          <w:rtl/>
        </w:rPr>
        <w:t xml:space="preserve"> רואין</w:t>
      </w:r>
      <w:r>
        <w:rPr>
          <w:rFonts w:cs="Arial" w:hint="cs"/>
          <w:rtl/>
        </w:rPr>
        <w:t>,</w:t>
      </w:r>
      <w:r w:rsidRPr="0019164E">
        <w:rPr>
          <w:rFonts w:cs="Arial"/>
          <w:rtl/>
        </w:rPr>
        <w:t xml:space="preserve"> אם הבעל אינו יודע בטיב השדה לעבדו</w:t>
      </w:r>
      <w:r>
        <w:rPr>
          <w:rFonts w:cs="Arial" w:hint="cs"/>
          <w:rtl/>
        </w:rPr>
        <w:t xml:space="preserve">, </w:t>
      </w:r>
      <w:r w:rsidRPr="0019164E">
        <w:rPr>
          <w:rFonts w:cs="Arial"/>
          <w:rtl/>
        </w:rPr>
        <w:t xml:space="preserve">אז היה השדה עומד להעמיד בה אריס </w:t>
      </w:r>
      <w:r>
        <w:rPr>
          <w:rFonts w:cs="Arial" w:hint="cs"/>
          <w:rtl/>
        </w:rPr>
        <w:t xml:space="preserve">- </w:t>
      </w:r>
      <w:r w:rsidRPr="0019164E">
        <w:rPr>
          <w:rFonts w:cs="Arial"/>
          <w:rtl/>
        </w:rPr>
        <w:t>ונוטל אריסותו משלם</w:t>
      </w:r>
      <w:r>
        <w:rPr>
          <w:rFonts w:cs="Arial" w:hint="cs"/>
          <w:rtl/>
        </w:rPr>
        <w:t>.</w:t>
      </w:r>
      <w:r w:rsidRPr="0019164E">
        <w:rPr>
          <w:rFonts w:cs="Arial"/>
          <w:rtl/>
        </w:rPr>
        <w:t xml:space="preserve"> ואם הבעל יודע בטיב השדה</w:t>
      </w:r>
      <w:r>
        <w:rPr>
          <w:rFonts w:cs="Arial" w:hint="cs"/>
          <w:rtl/>
        </w:rPr>
        <w:t>,</w:t>
      </w:r>
      <w:r w:rsidRPr="0019164E">
        <w:rPr>
          <w:rFonts w:cs="Arial"/>
          <w:rtl/>
        </w:rPr>
        <w:t xml:space="preserve"> יכולה היא לומר לאריס אף אם לא ירדת בה היה הוא עובדה ולא אתן לך כלום</w:t>
      </w:r>
      <w:r>
        <w:rPr>
          <w:rFonts w:cs="Arial" w:hint="cs"/>
          <w:rtl/>
        </w:rPr>
        <w:t xml:space="preserve"> -</w:t>
      </w:r>
      <w:r w:rsidRPr="0019164E">
        <w:rPr>
          <w:rFonts w:cs="Arial"/>
          <w:rtl/>
        </w:rPr>
        <w:t xml:space="preserve"> ודינו כדין הבעל שהוציא ולא אכל</w:t>
      </w:r>
      <w:r>
        <w:rPr>
          <w:rFonts w:cs="Arial" w:hint="cs"/>
          <w:rtl/>
        </w:rPr>
        <w:t>.</w:t>
      </w:r>
      <w:r w:rsidRPr="0019164E">
        <w:rPr>
          <w:rFonts w:cs="Arial"/>
          <w:rtl/>
        </w:rPr>
        <w:t xml:space="preserve"> וגם הבעל לא יתן לו כלום</w:t>
      </w:r>
      <w:r>
        <w:rPr>
          <w:rFonts w:cs="Arial" w:hint="cs"/>
          <w:rtl/>
        </w:rPr>
        <w:t>,</w:t>
      </w:r>
      <w:r w:rsidRPr="0019164E">
        <w:rPr>
          <w:rFonts w:cs="Arial"/>
          <w:rtl/>
        </w:rPr>
        <w:t xml:space="preserve"> כיון שידע שהיה של האשה ולא התנה</w:t>
      </w:r>
      <w:r>
        <w:rPr>
          <w:rFonts w:cs="Arial" w:hint="cs"/>
          <w:rtl/>
        </w:rPr>
        <w:t>,</w:t>
      </w:r>
      <w:r w:rsidRPr="0019164E">
        <w:rPr>
          <w:rFonts w:cs="Arial"/>
          <w:rtl/>
        </w:rPr>
        <w:t xml:space="preserve"> א"כ אדעתא דהכי נכנס שיסתלק כשיסתלק הבעל</w:t>
      </w:r>
      <w:r>
        <w:rPr>
          <w:rFonts w:cs="Arial" w:hint="cs"/>
          <w:rtl/>
        </w:rPr>
        <w:t>.</w:t>
      </w:r>
      <w:r>
        <w:rPr>
          <w:rFonts w:hint="cs"/>
          <w:rtl/>
        </w:rPr>
        <w:t xml:space="preserve"> </w:t>
      </w:r>
      <w:r w:rsidRPr="001A134B">
        <w:rPr>
          <w:rFonts w:hint="cs"/>
          <w:color w:val="00B0F0"/>
          <w:rtl/>
        </w:rPr>
        <w:t>(וכ"</w:t>
      </w:r>
      <w:r>
        <w:rPr>
          <w:rFonts w:hint="cs"/>
          <w:color w:val="00B0F0"/>
          <w:rtl/>
        </w:rPr>
        <w:t>כ</w:t>
      </w:r>
      <w:r w:rsidRPr="001A134B">
        <w:rPr>
          <w:rFonts w:hint="cs"/>
          <w:color w:val="00B0F0"/>
          <w:rtl/>
        </w:rPr>
        <w:t xml:space="preserve"> הרמ"א)</w:t>
      </w:r>
    </w:p>
    <w:p w14:paraId="5FE0DD6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099D91C" w14:textId="77777777" w:rsidR="002E5BAD" w:rsidRPr="007A3469" w:rsidRDefault="002E5BAD" w:rsidP="002E5BAD">
      <w:pPr>
        <w:rPr>
          <w:rtl/>
        </w:rPr>
        <w:sectPr w:rsidR="002E5BAD" w:rsidRPr="007A3469" w:rsidSect="00A347B3">
          <w:headerReference w:type="default" r:id="rId44"/>
          <w:footnotePr>
            <w:numRestart w:val="eachPage"/>
          </w:footnotePr>
          <w:pgSz w:w="11906" w:h="16838"/>
          <w:pgMar w:top="720" w:right="1134" w:bottom="720" w:left="1134" w:header="0" w:footer="0" w:gutter="0"/>
          <w:cols w:space="720"/>
          <w:bidi/>
          <w:rtlGutter/>
          <w:docGrid w:linePitch="360"/>
        </w:sectPr>
      </w:pPr>
      <w:r>
        <w:rPr>
          <w:rFonts w:cs="Arial"/>
          <w:rtl/>
        </w:rPr>
        <w:t>בעל שהוריד אריסין בנכסי אשתו ואח</w:t>
      </w:r>
      <w:r>
        <w:rPr>
          <w:rFonts w:cs="Arial" w:hint="cs"/>
          <w:rtl/>
        </w:rPr>
        <w:t xml:space="preserve">ר </w:t>
      </w:r>
      <w:r>
        <w:rPr>
          <w:rFonts w:cs="Arial"/>
          <w:rtl/>
        </w:rPr>
        <w:t>כ</w:t>
      </w:r>
      <w:r>
        <w:rPr>
          <w:rFonts w:cs="Arial" w:hint="cs"/>
          <w:rtl/>
        </w:rPr>
        <w:t>ך</w:t>
      </w:r>
      <w:r>
        <w:rPr>
          <w:rFonts w:cs="Arial"/>
          <w:rtl/>
        </w:rPr>
        <w:t xml:space="preserve"> גירשה, אם הבעל עצמו אריס, נסתלק הבעל, נסתלקו, שלא ירדו אלא על דעת הבעל, ושמין להם וידם על התחתונה</w:t>
      </w:r>
      <w:r>
        <w:rPr>
          <w:rStyle w:val="a7"/>
          <w:rFonts w:cs="Arial"/>
          <w:rtl/>
        </w:rPr>
        <w:footnoteReference w:id="1906"/>
      </w:r>
      <w:r>
        <w:rPr>
          <w:rFonts w:cs="Arial"/>
          <w:rtl/>
        </w:rPr>
        <w:t xml:space="preserve">. ואם אין הבעל אריס, על דעת הקרקע ירדו, ושמין להם כאריס. </w:t>
      </w:r>
      <w:r w:rsidRPr="0011307A">
        <w:rPr>
          <w:rFonts w:cs="Arial"/>
          <w:sz w:val="18"/>
          <w:szCs w:val="18"/>
          <w:rtl/>
        </w:rPr>
        <w:t>הגה: וי"א דהיינו דוקא כשידעו שהשדה של אשה, אבל אם לא היו יודעים האריסין שהוא של אשה, נוטלין אריסותיהן בכל ענין</w:t>
      </w:r>
      <w:r>
        <w:rPr>
          <w:rStyle w:val="a7"/>
          <w:rFonts w:cs="Arial"/>
          <w:sz w:val="18"/>
          <w:szCs w:val="18"/>
          <w:rtl/>
        </w:rPr>
        <w:footnoteReference w:id="1907"/>
      </w:r>
      <w:r w:rsidRPr="0011307A">
        <w:rPr>
          <w:rFonts w:cs="Arial"/>
          <w:sz w:val="18"/>
          <w:szCs w:val="18"/>
          <w:rtl/>
        </w:rPr>
        <w:t xml:space="preserve"> (</w:t>
      </w:r>
      <w:r>
        <w:rPr>
          <w:rFonts w:cs="Arial" w:hint="cs"/>
          <w:sz w:val="18"/>
          <w:szCs w:val="18"/>
          <w:rtl/>
        </w:rPr>
        <w:t>טור, וכ"מ ברא"ש)</w:t>
      </w:r>
      <w:r w:rsidRPr="0011307A">
        <w:rPr>
          <w:rFonts w:cs="Arial"/>
          <w:sz w:val="18"/>
          <w:szCs w:val="18"/>
          <w:rtl/>
        </w:rPr>
        <w:t>.</w:t>
      </w:r>
    </w:p>
    <w:p w14:paraId="392ADF37" w14:textId="77777777" w:rsidR="002E5BAD" w:rsidRDefault="002E5BAD" w:rsidP="002E5BAD">
      <w:pPr>
        <w:pStyle w:val="1"/>
        <w:rPr>
          <w:rtl/>
        </w:rPr>
      </w:pPr>
      <w:r>
        <w:rPr>
          <w:rFonts w:hint="cs"/>
          <w:rtl/>
        </w:rPr>
        <w:lastRenderedPageBreak/>
        <w:t>סימן פט:</w:t>
      </w:r>
      <w:r w:rsidRPr="00C12B74">
        <w:rPr>
          <w:rtl/>
        </w:rPr>
        <w:t xml:space="preserve"> </w:t>
      </w:r>
      <w:r>
        <w:rPr>
          <w:rFonts w:cs="Arial"/>
          <w:rtl/>
        </w:rPr>
        <w:t xml:space="preserve">חיוב קבורת אשתו, ובו ד' סעיפים. </w:t>
      </w:r>
    </w:p>
    <w:p w14:paraId="3CC204DE" w14:textId="77777777" w:rsidR="002E5BAD" w:rsidRDefault="002E5BAD" w:rsidP="002E5BAD">
      <w:pPr>
        <w:pStyle w:val="2"/>
        <w:rPr>
          <w:rtl/>
        </w:rPr>
      </w:pPr>
      <w:r>
        <w:rPr>
          <w:rtl/>
        </w:rPr>
        <w:t>סעיף א</w:t>
      </w:r>
      <w:r>
        <w:rPr>
          <w:rFonts w:hint="cs"/>
          <w:rtl/>
        </w:rPr>
        <w:t>:</w:t>
      </w:r>
      <w:r w:rsidRPr="00C61DC9">
        <w:rPr>
          <w:rFonts w:cs="Arial"/>
          <w:rtl/>
        </w:rPr>
        <w:t xml:space="preserve"> </w:t>
      </w:r>
      <w:r>
        <w:rPr>
          <w:rFonts w:cs="Arial"/>
          <w:rtl/>
        </w:rPr>
        <w:t>חיוב קבורת אשתו</w:t>
      </w:r>
      <w:r>
        <w:rPr>
          <w:rFonts w:hint="cs"/>
          <w:rtl/>
        </w:rPr>
        <w:t>.</w:t>
      </w:r>
    </w:p>
    <w:p w14:paraId="7A4181DA" w14:textId="77777777" w:rsidR="002E5BAD" w:rsidRPr="00FB639E" w:rsidRDefault="002E5BAD" w:rsidP="002E5BAD">
      <w:pPr>
        <w:rPr>
          <w:rFonts w:cs="Arial"/>
          <w:u w:val="double"/>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20717C">
        <w:rPr>
          <w:rFonts w:cs="Arial" w:hint="cs"/>
          <w:u w:val="double"/>
          <w:rtl/>
        </w:rPr>
        <w:t>גמ'</w:t>
      </w:r>
      <w:r w:rsidRPr="0020717C">
        <w:rPr>
          <w:rFonts w:cs="Arial" w:hint="cs"/>
          <w:sz w:val="14"/>
          <w:szCs w:val="14"/>
          <w:u w:val="double"/>
          <w:rtl/>
        </w:rPr>
        <w:t>(מח.)</w:t>
      </w:r>
      <w:r w:rsidRPr="0020717C">
        <w:rPr>
          <w:rFonts w:cs="Arial" w:hint="cs"/>
          <w:u w:val="double"/>
          <w:rtl/>
        </w:rPr>
        <w:t>:</w:t>
      </w:r>
      <w:r>
        <w:rPr>
          <w:rFonts w:cs="Arial" w:hint="cs"/>
          <w:rtl/>
        </w:rPr>
        <w:t xml:space="preserve"> </w:t>
      </w:r>
      <w:r w:rsidRPr="00C61DC9">
        <w:rPr>
          <w:rFonts w:cs="Arial"/>
          <w:rtl/>
        </w:rPr>
        <w:t>רבי יהודה אומר: אפילו עני שבישראל וכו'. מכלל דת"ק סבר: הני לא, היכי דמי? אי דאורחה, מ"ט דת"ק דאמר לא? ואי דלאו אורחה, מ"ט דר"י? לא צריכא, כגון דאורחיה דידיה ולאו אורחה דידה, ת"ק סבר: כי אמרינן עולה עמו ואינה יורדת עמו - הני מילי מחיים, אבל לאחר מיתה לא</w:t>
      </w:r>
      <w:r>
        <w:rPr>
          <w:rFonts w:cs="Arial" w:hint="cs"/>
          <w:rtl/>
        </w:rPr>
        <w:t>.</w:t>
      </w:r>
      <w:r w:rsidRPr="00C61DC9">
        <w:rPr>
          <w:rFonts w:cs="Arial"/>
          <w:rtl/>
        </w:rPr>
        <w:t xml:space="preserve"> ורבי יהודה סבר: אפילו לאחר מיתה. </w:t>
      </w:r>
      <w:r w:rsidRPr="00311220">
        <w:rPr>
          <w:rFonts w:cs="Arial"/>
          <w:u w:val="single"/>
          <w:rtl/>
        </w:rPr>
        <w:t>אמר רב חסדא אמר מר עוקבא</w:t>
      </w:r>
      <w:r w:rsidRPr="00C61DC9">
        <w:rPr>
          <w:rFonts w:cs="Arial"/>
          <w:rtl/>
        </w:rPr>
        <w:t>: הלכה כרבי יהודה.</w:t>
      </w:r>
    </w:p>
    <w:p w14:paraId="3E1F73CB" w14:textId="77777777" w:rsidR="002E5BAD" w:rsidRPr="00C61DC9" w:rsidRDefault="002E5BAD" w:rsidP="002E5BAD">
      <w:pPr>
        <w:rPr>
          <w:u w:val="single"/>
          <w:rtl/>
        </w:rPr>
      </w:pPr>
      <w:r w:rsidRPr="00C61DC9">
        <w:rPr>
          <w:rFonts w:cs="Arial"/>
          <w:u w:val="single"/>
          <w:rtl/>
        </w:rPr>
        <w:t>חיוב קבורת אשתו</w:t>
      </w:r>
      <w:r w:rsidRPr="00C61DC9">
        <w:rPr>
          <w:rFonts w:hint="cs"/>
          <w:u w:val="single"/>
          <w:rtl/>
        </w:rPr>
        <w:t>:</w:t>
      </w:r>
    </w:p>
    <w:p w14:paraId="57AA064A" w14:textId="77777777" w:rsidR="002E5BAD" w:rsidRPr="00F856DF" w:rsidRDefault="002E5BAD" w:rsidP="002E5BAD">
      <w:pPr>
        <w:pStyle w:val="ab"/>
        <w:numPr>
          <w:ilvl w:val="0"/>
          <w:numId w:val="184"/>
        </w:numPr>
      </w:pPr>
      <w:r w:rsidRPr="00D37988">
        <w:rPr>
          <w:rFonts w:cs="Arial" w:hint="cs"/>
          <w:rtl/>
        </w:rPr>
        <w:t xml:space="preserve">טור- </w:t>
      </w:r>
      <w:r w:rsidRPr="00D37988">
        <w:rPr>
          <w:rFonts w:cs="Arial"/>
          <w:rtl/>
        </w:rPr>
        <w:t>מתה האשה בחיי הבעל חייב לקוברה ליטפל בה כל צרכי קבורתה</w:t>
      </w:r>
      <w:r>
        <w:rPr>
          <w:rFonts w:cs="Arial" w:hint="cs"/>
          <w:rtl/>
        </w:rPr>
        <w:t>.</w:t>
      </w:r>
      <w:r w:rsidRPr="00D37988">
        <w:rPr>
          <w:rFonts w:cs="Arial"/>
          <w:rtl/>
        </w:rPr>
        <w:t xml:space="preserve"> בכלל זה האבן שנותנין על הקבר</w:t>
      </w:r>
      <w:r>
        <w:rPr>
          <w:rStyle w:val="a7"/>
          <w:rFonts w:cs="Arial"/>
          <w:rtl/>
        </w:rPr>
        <w:footnoteReference w:id="1908"/>
      </w:r>
      <w:r>
        <w:rPr>
          <w:rFonts w:cs="Arial" w:hint="cs"/>
          <w:rtl/>
        </w:rPr>
        <w:t>.</w:t>
      </w:r>
      <w:r w:rsidRPr="00D37988">
        <w:rPr>
          <w:rFonts w:cs="Arial"/>
          <w:rtl/>
        </w:rPr>
        <w:t xml:space="preserve"> ולהספידה</w:t>
      </w:r>
      <w:r>
        <w:rPr>
          <w:rFonts w:cs="Arial" w:hint="cs"/>
          <w:rtl/>
        </w:rPr>
        <w:t>,</w:t>
      </w:r>
      <w:r w:rsidRPr="00D37988">
        <w:rPr>
          <w:rFonts w:cs="Arial"/>
          <w:rtl/>
        </w:rPr>
        <w:t xml:space="preserve"> אפילו עני שבישראל לא יפחות לה משני חלילין ומקוננת אחת</w:t>
      </w:r>
      <w:r>
        <w:rPr>
          <w:rFonts w:cs="Arial" w:hint="cs"/>
          <w:rtl/>
        </w:rPr>
        <w:t>.</w:t>
      </w:r>
      <w:r w:rsidRPr="00D37988">
        <w:rPr>
          <w:rFonts w:cs="Arial"/>
          <w:rtl/>
        </w:rPr>
        <w:t xml:space="preserve"> ועשיר הכל לפי כבודה</w:t>
      </w:r>
      <w:r>
        <w:rPr>
          <w:rFonts w:cs="Arial" w:hint="cs"/>
          <w:rtl/>
        </w:rPr>
        <w:t>.</w:t>
      </w:r>
      <w:r w:rsidRPr="00D37988">
        <w:rPr>
          <w:rFonts w:cs="Arial"/>
          <w:rtl/>
        </w:rPr>
        <w:t xml:space="preserve"> ואם היה כבודו גדול מכבודה צריך לעשות לפי כבודו</w:t>
      </w:r>
      <w:r>
        <w:rPr>
          <w:rFonts w:cs="Arial" w:hint="cs"/>
          <w:rtl/>
        </w:rPr>
        <w:t>,</w:t>
      </w:r>
      <w:r w:rsidRPr="00D37988">
        <w:rPr>
          <w:rFonts w:cs="Arial"/>
          <w:rtl/>
        </w:rPr>
        <w:t xml:space="preserve"> ואפילו לאחר מיתה עולה עמו ואינה יורדת עמו</w:t>
      </w:r>
      <w:r>
        <w:rPr>
          <w:rFonts w:cs="Arial" w:hint="cs"/>
          <w:rtl/>
        </w:rPr>
        <w:t>.</w:t>
      </w:r>
      <w:r w:rsidRPr="00D37988">
        <w:rPr>
          <w:rFonts w:cs="Arial"/>
          <w:rtl/>
        </w:rPr>
        <w:t xml:space="preserve"> </w:t>
      </w:r>
      <w:r w:rsidRPr="00A6197B">
        <w:rPr>
          <w:rFonts w:hint="cs"/>
          <w:color w:val="E36C0A" w:themeColor="accent6" w:themeShade="BF"/>
          <w:rtl/>
        </w:rPr>
        <w:t>(וכ"פ בשו"ע)</w:t>
      </w:r>
    </w:p>
    <w:p w14:paraId="30C03307" w14:textId="77777777" w:rsidR="002E5BAD" w:rsidRPr="00DD441A" w:rsidRDefault="002E5BAD" w:rsidP="002E5BAD">
      <w:pPr>
        <w:pStyle w:val="ab"/>
        <w:numPr>
          <w:ilvl w:val="0"/>
          <w:numId w:val="184"/>
        </w:numPr>
        <w:rPr>
          <w:rtl/>
        </w:rPr>
      </w:pPr>
      <w:r w:rsidRPr="00F856DF">
        <w:rPr>
          <w:rFonts w:cs="Arial"/>
          <w:rtl/>
        </w:rPr>
        <w:t xml:space="preserve">רמב"ם </w:t>
      </w:r>
      <w:r w:rsidRPr="00F856DF">
        <w:rPr>
          <w:rFonts w:cs="Arial" w:hint="cs"/>
          <w:sz w:val="16"/>
          <w:szCs w:val="16"/>
          <w:rtl/>
        </w:rPr>
        <w:t>(</w:t>
      </w:r>
      <w:r w:rsidRPr="00F856DF">
        <w:rPr>
          <w:rFonts w:cs="Arial"/>
          <w:sz w:val="16"/>
          <w:szCs w:val="16"/>
          <w:rtl/>
        </w:rPr>
        <w:t>פי"ד מאישות הכ"ג)</w:t>
      </w:r>
      <w:r>
        <w:rPr>
          <w:rFonts w:cs="Arial" w:hint="cs"/>
          <w:rtl/>
        </w:rPr>
        <w:t>-</w:t>
      </w:r>
      <w:r w:rsidRPr="00F856DF">
        <w:rPr>
          <w:rFonts w:cs="Arial"/>
          <w:rtl/>
        </w:rPr>
        <w:t xml:space="preserve"> מתה אשתו חייב בקבורתה ולעשות לה מספד וקינים כדרך כל המדינה</w:t>
      </w:r>
      <w:r>
        <w:rPr>
          <w:rStyle w:val="a7"/>
          <w:rFonts w:cs="Arial"/>
          <w:rtl/>
        </w:rPr>
        <w:footnoteReference w:id="1909"/>
      </w:r>
      <w:r>
        <w:rPr>
          <w:rFonts w:cs="Arial" w:hint="cs"/>
          <w:rtl/>
        </w:rPr>
        <w:t>.</w:t>
      </w:r>
      <w:r w:rsidRPr="00F856DF">
        <w:rPr>
          <w:rFonts w:cs="Arial"/>
          <w:rtl/>
        </w:rPr>
        <w:t xml:space="preserve"> ואפילו עני שבישראל לא יפחתו לו משני חלילין ומקוננת</w:t>
      </w:r>
      <w:r>
        <w:rPr>
          <w:rFonts w:cs="Arial" w:hint="cs"/>
          <w:rtl/>
        </w:rPr>
        <w:t>.</w:t>
      </w:r>
      <w:r w:rsidRPr="00F856DF">
        <w:rPr>
          <w:rFonts w:cs="Arial"/>
          <w:rtl/>
        </w:rPr>
        <w:t xml:space="preserve"> אם היה עשיר</w:t>
      </w:r>
      <w:r>
        <w:rPr>
          <w:rFonts w:cs="Arial" w:hint="cs"/>
          <w:rtl/>
        </w:rPr>
        <w:t>,</w:t>
      </w:r>
      <w:r w:rsidRPr="00F856DF">
        <w:rPr>
          <w:rFonts w:cs="Arial"/>
          <w:rtl/>
        </w:rPr>
        <w:t xml:space="preserve"> הכל לפי כבודו</w:t>
      </w:r>
      <w:r>
        <w:rPr>
          <w:rFonts w:cs="Arial" w:hint="cs"/>
          <w:rtl/>
        </w:rPr>
        <w:t>.</w:t>
      </w:r>
      <w:r w:rsidRPr="00F856DF">
        <w:rPr>
          <w:rFonts w:cs="Arial"/>
          <w:rtl/>
        </w:rPr>
        <w:t xml:space="preserve"> ואם היה כבודה יותר מכבודו</w:t>
      </w:r>
      <w:r>
        <w:rPr>
          <w:rFonts w:cs="Arial" w:hint="cs"/>
          <w:rtl/>
        </w:rPr>
        <w:t>,</w:t>
      </w:r>
      <w:r w:rsidRPr="00F856DF">
        <w:rPr>
          <w:rFonts w:cs="Arial"/>
          <w:rtl/>
        </w:rPr>
        <w:t xml:space="preserve"> קוברין אותה לפי כבודה</w:t>
      </w:r>
      <w:r>
        <w:rPr>
          <w:rFonts w:cs="Arial" w:hint="cs"/>
          <w:rtl/>
        </w:rPr>
        <w:t>,</w:t>
      </w:r>
      <w:r w:rsidRPr="00F856DF">
        <w:rPr>
          <w:rFonts w:cs="Arial"/>
          <w:rtl/>
        </w:rPr>
        <w:t xml:space="preserve"> שהאשה עולה עם בעלה ואינה יורדת אפילו לאחר מותה</w:t>
      </w:r>
      <w:r>
        <w:rPr>
          <w:rFonts w:cs="Arial" w:hint="cs"/>
          <w:rtl/>
        </w:rPr>
        <w:t>.</w:t>
      </w:r>
      <w:r w:rsidRPr="00F856DF">
        <w:rPr>
          <w:rFonts w:hint="cs"/>
          <w:color w:val="E36C0A" w:themeColor="accent6" w:themeShade="BF"/>
          <w:rtl/>
        </w:rPr>
        <w:t xml:space="preserve"> </w:t>
      </w:r>
      <w:r w:rsidRPr="00A6197B">
        <w:rPr>
          <w:rFonts w:hint="cs"/>
          <w:color w:val="E36C0A" w:themeColor="accent6" w:themeShade="BF"/>
          <w:rtl/>
        </w:rPr>
        <w:t>(וכ"פ בשו"ע)</w:t>
      </w:r>
    </w:p>
    <w:p w14:paraId="58726DD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8EC5980" w14:textId="77777777" w:rsidR="002E5BAD" w:rsidRDefault="002E5BAD" w:rsidP="002E5BAD">
      <w:pPr>
        <w:rPr>
          <w:rtl/>
        </w:rPr>
      </w:pPr>
      <w:r>
        <w:rPr>
          <w:rFonts w:cs="Arial"/>
          <w:rtl/>
        </w:rPr>
        <w:t>מתה האשה בחיי הבעל, חייב לקוברה</w:t>
      </w:r>
      <w:r>
        <w:rPr>
          <w:rStyle w:val="a7"/>
          <w:rFonts w:cs="Arial"/>
          <w:rtl/>
        </w:rPr>
        <w:footnoteReference w:id="1910"/>
      </w:r>
      <w:r>
        <w:rPr>
          <w:rFonts w:cs="Arial"/>
          <w:rtl/>
        </w:rPr>
        <w:t xml:space="preserve"> וליטפל בכל צרכי קבורתה, ובכלל זה האבן שנותנים על הקבר</w:t>
      </w:r>
      <w:r>
        <w:rPr>
          <w:rStyle w:val="a7"/>
          <w:rFonts w:cs="Arial"/>
          <w:rtl/>
        </w:rPr>
        <w:footnoteReference w:id="1911"/>
      </w:r>
      <w:r>
        <w:rPr>
          <w:rFonts w:cs="Arial"/>
          <w:rtl/>
        </w:rPr>
        <w:t>. וכן חייב לעשות לה מספד וקינים, כדרך כל המדינה. ואם דרכם להספיד בחלילין, לא יפחות משני חלילין ומקוננות, אפילו עני שבישראל</w:t>
      </w:r>
      <w:r>
        <w:rPr>
          <w:rFonts w:cs="Arial" w:hint="cs"/>
          <w:rtl/>
        </w:rPr>
        <w:t>.</w:t>
      </w:r>
      <w:r>
        <w:rPr>
          <w:rFonts w:cs="Arial"/>
          <w:rtl/>
        </w:rPr>
        <w:t xml:space="preserve"> ואם היה עשיר, הכל לפי כבודו. ואם היה כבודה יותר מכבודו, קוברים אותה לפי כבודה, שעולה עמו ואינה יורדת. </w:t>
      </w:r>
    </w:p>
    <w:p w14:paraId="5E324429" w14:textId="77777777" w:rsidR="002E5BAD" w:rsidRPr="00601350" w:rsidRDefault="002E5BAD" w:rsidP="002E5BAD">
      <w:pPr>
        <w:rPr>
          <w:u w:val="single"/>
          <w:rtl/>
        </w:rPr>
      </w:pPr>
      <w:r w:rsidRPr="00601350">
        <w:rPr>
          <w:rFonts w:hint="cs"/>
          <w:u w:val="single"/>
          <w:rtl/>
        </w:rPr>
        <w:t>מתה האשה, והיו לבעל בע"ח</w:t>
      </w:r>
      <w:r>
        <w:rPr>
          <w:rFonts w:hint="cs"/>
          <w:u w:val="single"/>
          <w:rtl/>
        </w:rPr>
        <w:t xml:space="preserve"> </w:t>
      </w:r>
      <w:r w:rsidRPr="00601350">
        <w:rPr>
          <w:u w:val="single"/>
          <w:rtl/>
        </w:rPr>
        <w:t>–</w:t>
      </w:r>
      <w:r w:rsidRPr="00601350">
        <w:rPr>
          <w:rFonts w:hint="cs"/>
          <w:u w:val="single"/>
          <w:rtl/>
        </w:rPr>
        <w:t xml:space="preserve"> האם הם יכולים למנוע ממנו את כספי הירושה אע"</w:t>
      </w:r>
      <w:r>
        <w:rPr>
          <w:rFonts w:hint="cs"/>
          <w:u w:val="single"/>
          <w:rtl/>
        </w:rPr>
        <w:t>ג</w:t>
      </w:r>
      <w:r w:rsidRPr="00601350">
        <w:rPr>
          <w:rFonts w:hint="cs"/>
          <w:u w:val="single"/>
          <w:rtl/>
        </w:rPr>
        <w:t xml:space="preserve"> שזה ימנע את קבורתה</w:t>
      </w:r>
      <w:r>
        <w:rPr>
          <w:rFonts w:hint="cs"/>
          <w:u w:val="single"/>
          <w:rtl/>
        </w:rPr>
        <w:t xml:space="preserve"> כראוי</w:t>
      </w:r>
      <w:r w:rsidRPr="00601350">
        <w:rPr>
          <w:rFonts w:hint="cs"/>
          <w:u w:val="single"/>
          <w:rtl/>
        </w:rPr>
        <w:t xml:space="preserve">: </w:t>
      </w:r>
    </w:p>
    <w:p w14:paraId="496DCFBB" w14:textId="77777777" w:rsidR="002E5BAD" w:rsidRDefault="002E5BAD" w:rsidP="002E5BAD">
      <w:pPr>
        <w:pStyle w:val="ab"/>
        <w:numPr>
          <w:ilvl w:val="0"/>
          <w:numId w:val="185"/>
        </w:numPr>
        <w:rPr>
          <w:rtl/>
        </w:rPr>
      </w:pPr>
      <w:r w:rsidRPr="00D67B87">
        <w:rPr>
          <w:rFonts w:cs="Arial"/>
          <w:rtl/>
        </w:rPr>
        <w:t>ס</w:t>
      </w:r>
      <w:r w:rsidRPr="00D67B87">
        <w:rPr>
          <w:rFonts w:cs="Arial" w:hint="cs"/>
          <w:rtl/>
        </w:rPr>
        <w:t>פר</w:t>
      </w:r>
      <w:r w:rsidRPr="00D67B87">
        <w:rPr>
          <w:rFonts w:cs="Arial"/>
          <w:rtl/>
        </w:rPr>
        <w:t xml:space="preserve"> כתובה </w:t>
      </w:r>
      <w:r w:rsidRPr="00D67B87">
        <w:rPr>
          <w:rFonts w:cs="Arial" w:hint="cs"/>
          <w:sz w:val="16"/>
          <w:szCs w:val="16"/>
          <w:rtl/>
        </w:rPr>
        <w:t>(בקו"א, כ"כ הפת"ש [סק"א] בשמו)</w:t>
      </w:r>
      <w:r w:rsidRPr="00D67B87">
        <w:rPr>
          <w:rFonts w:cs="Arial" w:hint="cs"/>
          <w:rtl/>
        </w:rPr>
        <w:t xml:space="preserve">- </w:t>
      </w:r>
      <w:r w:rsidRPr="00D67B87">
        <w:rPr>
          <w:rFonts w:cs="Arial"/>
          <w:rtl/>
        </w:rPr>
        <w:t xml:space="preserve">מלשון רש"י ז"ל </w:t>
      </w:r>
      <w:r w:rsidRPr="00D67B87">
        <w:rPr>
          <w:rFonts w:cs="Arial" w:hint="cs"/>
          <w:sz w:val="16"/>
          <w:szCs w:val="16"/>
          <w:rtl/>
        </w:rPr>
        <w:t>(</w:t>
      </w:r>
      <w:r w:rsidRPr="00D67B87">
        <w:rPr>
          <w:rFonts w:cs="Arial"/>
          <w:sz w:val="16"/>
          <w:szCs w:val="16"/>
          <w:rtl/>
        </w:rPr>
        <w:t>ר"פ אלמנה ניזונת</w:t>
      </w:r>
      <w:r w:rsidRPr="00D67B87">
        <w:rPr>
          <w:rFonts w:cs="Arial" w:hint="cs"/>
          <w:sz w:val="16"/>
          <w:szCs w:val="16"/>
          <w:rtl/>
        </w:rPr>
        <w:t>)</w:t>
      </w:r>
      <w:r>
        <w:rPr>
          <w:rFonts w:cs="Arial" w:hint="cs"/>
          <w:rtl/>
        </w:rPr>
        <w:t xml:space="preserve"> נראה</w:t>
      </w:r>
      <w:r w:rsidRPr="00D67B87">
        <w:rPr>
          <w:rFonts w:cs="Arial"/>
          <w:rtl/>
        </w:rPr>
        <w:t xml:space="preserve"> דקבורתה הוא קודם לירושתה</w:t>
      </w:r>
      <w:r>
        <w:rPr>
          <w:rFonts w:cs="Arial" w:hint="cs"/>
          <w:rtl/>
        </w:rPr>
        <w:t>,</w:t>
      </w:r>
      <w:r w:rsidRPr="00D67B87">
        <w:rPr>
          <w:rFonts w:cs="Arial"/>
          <w:rtl/>
        </w:rPr>
        <w:t xml:space="preserve"> ונ"מ דאם יש עליו בעלי חוב בשטר הקודמין לנישואין </w:t>
      </w:r>
      <w:r>
        <w:rPr>
          <w:rFonts w:cs="Arial" w:hint="cs"/>
          <w:rtl/>
        </w:rPr>
        <w:t xml:space="preserve">- </w:t>
      </w:r>
      <w:r w:rsidRPr="00D67B87">
        <w:rPr>
          <w:rFonts w:cs="Arial"/>
          <w:rtl/>
        </w:rPr>
        <w:t>אינם יכולים לגבות מהנכסים שיורש ולמנוע הוצאות קבורתה לפי כבודו וכבודה כמו בבע"ח דידיה במת הוא</w:t>
      </w:r>
      <w:r>
        <w:rPr>
          <w:rFonts w:cs="Arial" w:hint="cs"/>
          <w:rtl/>
        </w:rPr>
        <w:t>,</w:t>
      </w:r>
      <w:r w:rsidRPr="00D67B87">
        <w:rPr>
          <w:rFonts w:cs="Arial"/>
          <w:rtl/>
        </w:rPr>
        <w:t xml:space="preserve"> שיכולין למנוע הוצאת קבורתו כדאיתא בח</w:t>
      </w:r>
      <w:r>
        <w:rPr>
          <w:rFonts w:cs="Arial" w:hint="cs"/>
          <w:rtl/>
        </w:rPr>
        <w:t>ו</w:t>
      </w:r>
      <w:r w:rsidRPr="00D67B87">
        <w:rPr>
          <w:rFonts w:cs="Arial"/>
          <w:rtl/>
        </w:rPr>
        <w:t>"מ ר"ס ק"ז</w:t>
      </w:r>
      <w:r>
        <w:rPr>
          <w:rFonts w:cs="Arial" w:hint="cs"/>
          <w:rtl/>
        </w:rPr>
        <w:t>.</w:t>
      </w:r>
      <w:r w:rsidRPr="00D67B87">
        <w:rPr>
          <w:rFonts w:cs="Arial"/>
          <w:rtl/>
        </w:rPr>
        <w:t xml:space="preserve"> אבל אם לא ירש ממנה כלום</w:t>
      </w:r>
      <w:r>
        <w:rPr>
          <w:rFonts w:cs="Arial" w:hint="cs"/>
          <w:rtl/>
        </w:rPr>
        <w:t>,</w:t>
      </w:r>
      <w:r w:rsidRPr="00D67B87">
        <w:rPr>
          <w:rFonts w:cs="Arial"/>
          <w:rtl/>
        </w:rPr>
        <w:t xml:space="preserve"> אף שחייב בקבורתה</w:t>
      </w:r>
      <w:r>
        <w:rPr>
          <w:rFonts w:cs="Arial" w:hint="cs"/>
          <w:rtl/>
        </w:rPr>
        <w:t>,</w:t>
      </w:r>
      <w:r w:rsidRPr="00D67B87">
        <w:rPr>
          <w:rFonts w:cs="Arial"/>
          <w:rtl/>
        </w:rPr>
        <w:t xml:space="preserve"> אם יש עליו בע"ח מוקדמים </w:t>
      </w:r>
      <w:r>
        <w:rPr>
          <w:rFonts w:cs="Arial" w:hint="cs"/>
          <w:rtl/>
        </w:rPr>
        <w:t xml:space="preserve">- </w:t>
      </w:r>
      <w:r w:rsidRPr="00D67B87">
        <w:rPr>
          <w:rFonts w:cs="Arial"/>
          <w:rtl/>
        </w:rPr>
        <w:t>יכולים לעכב</w:t>
      </w:r>
      <w:r>
        <w:rPr>
          <w:rFonts w:cs="Arial" w:hint="cs"/>
          <w:rtl/>
        </w:rPr>
        <w:t>.</w:t>
      </w:r>
      <w:r w:rsidRPr="00D67B87">
        <w:rPr>
          <w:rFonts w:cs="Arial"/>
          <w:rtl/>
        </w:rPr>
        <w:t xml:space="preserve"> וכן נראה בפשטות בכל היורשים שהם חייבים לאחרים מצד עצמן</w:t>
      </w:r>
      <w:r>
        <w:rPr>
          <w:rFonts w:cs="Arial" w:hint="cs"/>
          <w:rtl/>
        </w:rPr>
        <w:t>,</w:t>
      </w:r>
      <w:r w:rsidRPr="00D67B87">
        <w:rPr>
          <w:rFonts w:cs="Arial"/>
          <w:rtl/>
        </w:rPr>
        <w:t xml:space="preserve"> אין יכולים הבע"ח לעכב בקבורת אביהם מנכסי אביהם</w:t>
      </w:r>
      <w:r>
        <w:rPr>
          <w:rFonts w:cs="Arial" w:hint="cs"/>
          <w:rtl/>
        </w:rPr>
        <w:t>,</w:t>
      </w:r>
      <w:r w:rsidRPr="00D67B87">
        <w:rPr>
          <w:rFonts w:cs="Arial"/>
          <w:rtl/>
        </w:rPr>
        <w:t xml:space="preserve"> דקבורתו קודם לירושה</w:t>
      </w:r>
      <w:r>
        <w:rPr>
          <w:rFonts w:cs="Arial" w:hint="cs"/>
          <w:rtl/>
        </w:rPr>
        <w:t>.</w:t>
      </w:r>
      <w:r w:rsidRPr="00D67B87">
        <w:rPr>
          <w:rFonts w:cs="Arial"/>
          <w:rtl/>
        </w:rPr>
        <w:t xml:space="preserve"> משא"כ בנכסי היורשים עצמם יכולים לעכב</w:t>
      </w:r>
      <w:r>
        <w:rPr>
          <w:rFonts w:cs="Arial" w:hint="cs"/>
          <w:rtl/>
        </w:rPr>
        <w:t>.</w:t>
      </w:r>
    </w:p>
    <w:p w14:paraId="14C715EC" w14:textId="77777777" w:rsidR="002E5BAD" w:rsidRPr="002C039F" w:rsidRDefault="002E5BAD" w:rsidP="002E5BAD">
      <w:pPr>
        <w:rPr>
          <w:u w:val="single"/>
          <w:rtl/>
        </w:rPr>
      </w:pPr>
      <w:r w:rsidRPr="002C039F">
        <w:rPr>
          <w:rFonts w:hint="cs"/>
          <w:u w:val="single"/>
          <w:rtl/>
        </w:rPr>
        <w:t>מי שקבר את אשתו כהלכה</w:t>
      </w:r>
      <w:r>
        <w:rPr>
          <w:rFonts w:hint="cs"/>
          <w:u w:val="single"/>
          <w:rtl/>
        </w:rPr>
        <w:t xml:space="preserve">, </w:t>
      </w:r>
      <w:r w:rsidRPr="002C039F">
        <w:rPr>
          <w:rFonts w:hint="cs"/>
          <w:u w:val="single"/>
          <w:rtl/>
        </w:rPr>
        <w:t xml:space="preserve">ובאו אנשים והוציאוה מהקבר והפשיטו התכריכים </w:t>
      </w:r>
      <w:r w:rsidRPr="002C039F">
        <w:rPr>
          <w:u w:val="single"/>
          <w:rtl/>
        </w:rPr>
        <w:t>–</w:t>
      </w:r>
      <w:r w:rsidRPr="002C039F">
        <w:rPr>
          <w:rFonts w:hint="cs"/>
          <w:u w:val="single"/>
          <w:rtl/>
        </w:rPr>
        <w:t xml:space="preserve"> האם חייב לדאוג שוב לקבורתה:</w:t>
      </w:r>
    </w:p>
    <w:p w14:paraId="34A0C22C" w14:textId="77777777" w:rsidR="002E5BAD" w:rsidRDefault="002E5BAD" w:rsidP="002E5BAD">
      <w:pPr>
        <w:pStyle w:val="ab"/>
        <w:numPr>
          <w:ilvl w:val="0"/>
          <w:numId w:val="185"/>
        </w:numPr>
        <w:rPr>
          <w:rtl/>
        </w:rPr>
      </w:pPr>
      <w:r>
        <w:rPr>
          <w:rFonts w:cs="Arial" w:hint="cs"/>
          <w:rtl/>
        </w:rPr>
        <w:t xml:space="preserve">פת"ש </w:t>
      </w:r>
      <w:r>
        <w:rPr>
          <w:rFonts w:cs="Arial" w:hint="cs"/>
          <w:sz w:val="16"/>
          <w:szCs w:val="16"/>
          <w:rtl/>
        </w:rPr>
        <w:t>(סק"א)</w:t>
      </w:r>
      <w:r>
        <w:rPr>
          <w:rFonts w:cs="Arial" w:hint="cs"/>
          <w:rtl/>
        </w:rPr>
        <w:t xml:space="preserve">- בספר </w:t>
      </w:r>
      <w:r w:rsidRPr="00601350">
        <w:rPr>
          <w:rFonts w:cs="Arial"/>
          <w:rtl/>
        </w:rPr>
        <w:t xml:space="preserve">כרם שלמה </w:t>
      </w:r>
      <w:r w:rsidRPr="00B0061C">
        <w:rPr>
          <w:rFonts w:cs="Arial" w:hint="cs"/>
          <w:sz w:val="16"/>
          <w:szCs w:val="16"/>
          <w:rtl/>
        </w:rPr>
        <w:t>(סי' פט)</w:t>
      </w:r>
      <w:r w:rsidRPr="00B0061C">
        <w:rPr>
          <w:rFonts w:cs="Arial"/>
          <w:sz w:val="16"/>
          <w:szCs w:val="16"/>
          <w:rtl/>
        </w:rPr>
        <w:t xml:space="preserve"> </w:t>
      </w:r>
      <w:r w:rsidRPr="00601350">
        <w:rPr>
          <w:rFonts w:cs="Arial"/>
          <w:rtl/>
        </w:rPr>
        <w:t xml:space="preserve">הביא בשם תשב"ץ </w:t>
      </w:r>
      <w:r w:rsidRPr="00B0061C">
        <w:rPr>
          <w:rFonts w:cs="Arial" w:hint="cs"/>
          <w:sz w:val="16"/>
          <w:szCs w:val="16"/>
          <w:rtl/>
        </w:rPr>
        <w:t>(</w:t>
      </w:r>
      <w:r w:rsidRPr="00B0061C">
        <w:rPr>
          <w:rFonts w:cs="Arial"/>
          <w:sz w:val="16"/>
          <w:szCs w:val="16"/>
          <w:rtl/>
        </w:rPr>
        <w:t>ח"ב סי' קיא</w:t>
      </w:r>
      <w:r w:rsidRPr="00B0061C">
        <w:rPr>
          <w:rFonts w:cs="Arial" w:hint="cs"/>
          <w:sz w:val="16"/>
          <w:szCs w:val="16"/>
          <w:rtl/>
        </w:rPr>
        <w:t>)</w:t>
      </w:r>
      <w:r w:rsidRPr="00B0061C">
        <w:rPr>
          <w:rFonts w:cs="Arial"/>
          <w:sz w:val="16"/>
          <w:szCs w:val="16"/>
          <w:rtl/>
        </w:rPr>
        <w:t xml:space="preserve"> </w:t>
      </w:r>
      <w:r w:rsidRPr="00601350">
        <w:rPr>
          <w:rFonts w:cs="Arial"/>
          <w:rtl/>
        </w:rPr>
        <w:t xml:space="preserve">דמי שקבר אשתו כדין ואח"כ הוציאוה מקברה חטוטי שכבי והפשיטו התכריכין מעליה אינו חייב לקברה פעם שנית ונלמד בה מנשבית שחייב לפדותה ואם נשבית פעם שניה ורוצה לגרשה ה"ז מגרש ויתן כתובה והיא תפדה עצמה וה"ה לקברה פעם ראשונה שאין קוברה פעם שניה עכ"ל. ובמחכ"ת העתיק שלא כדת דבתשב"ץ עצמו שם מבואר דכן היה דעת השואל אבל הרשב"ץ ז"ל השיב לו דאינו כן אלא לעולם הוא קוברה ואפי' מאה פעמים וכתב דהראיה שהביא </w:t>
      </w:r>
      <w:r w:rsidRPr="00601350">
        <w:rPr>
          <w:rFonts w:cs="Arial"/>
          <w:rtl/>
        </w:rPr>
        <w:lastRenderedPageBreak/>
        <w:t>השואל מנשבית אינה ראיה אא"כ אמר הבעל אינו יורשה כלל והרי כתובתה ויירשוה קרוביה ויקברוה ואפי' הכי אין הנדון דומה שאם יכול לומר כן אל האשה עצמה מ"מ אינו יכול לומר כן לחוב לקרוביה ועוד אפי' פורע כתובתה לקרוביה חייב לקברה שהרי בירושל' אמרו שהאשה שאין לה כתובה הבעל חייב בקבורתה ועוד אפי' בנשבית אינו אומר כן אלא מפני שיכול לגרשה וכיון שגירשה הרי אינה אשתו אינו חייב עוד בפרקונה אבל זאת אשתו מתה וא"א לגרשה עוד ולעולם היא קרויה אשתו עד שיחיו המתים הילכך לעולם חייב לטפל בתכריכים ואפילו מאה פעמים כו'</w:t>
      </w:r>
      <w:r>
        <w:rPr>
          <w:rFonts w:cs="Arial" w:hint="cs"/>
          <w:rtl/>
        </w:rPr>
        <w:t>.</w:t>
      </w:r>
      <w:r>
        <w:rPr>
          <w:rFonts w:hint="cs"/>
          <w:rtl/>
        </w:rPr>
        <w:t xml:space="preserve"> (וכ"פ רעק"א</w:t>
      </w:r>
      <w:r>
        <w:rPr>
          <w:rFonts w:hint="cs"/>
          <w:sz w:val="16"/>
          <w:szCs w:val="16"/>
          <w:rtl/>
        </w:rPr>
        <w:t xml:space="preserve"> [בגליון השו"ע אות א]</w:t>
      </w:r>
      <w:r>
        <w:rPr>
          <w:rFonts w:hint="cs"/>
          <w:rtl/>
        </w:rPr>
        <w:t>)</w:t>
      </w:r>
    </w:p>
    <w:p w14:paraId="1645D7BF" w14:textId="77777777" w:rsidR="002E5BAD" w:rsidRDefault="002E5BAD" w:rsidP="002E5BAD">
      <w:pPr>
        <w:rPr>
          <w:rtl/>
        </w:rPr>
      </w:pPr>
    </w:p>
    <w:p w14:paraId="107271FD" w14:textId="77777777" w:rsidR="002E5BAD" w:rsidRDefault="002E5BAD" w:rsidP="002E5BAD">
      <w:pPr>
        <w:pStyle w:val="2"/>
        <w:rPr>
          <w:rtl/>
        </w:rPr>
      </w:pPr>
      <w:r>
        <w:rPr>
          <w:rtl/>
        </w:rPr>
        <w:t>סעיף ב</w:t>
      </w:r>
      <w:r>
        <w:rPr>
          <w:rFonts w:hint="cs"/>
          <w:rtl/>
        </w:rPr>
        <w:t>: בעל שלא רצה לקבור את אשתו ועמד אחר וקברה.</w:t>
      </w:r>
    </w:p>
    <w:p w14:paraId="118BA1D9" w14:textId="77777777" w:rsidR="002E5BAD" w:rsidRPr="008953CE" w:rsidRDefault="002E5BAD" w:rsidP="002E5BAD">
      <w:pPr>
        <w:rPr>
          <w:rFonts w:cs="Arial"/>
          <w:rtl/>
        </w:rPr>
      </w:pPr>
      <w:r w:rsidRPr="00DA2FD3">
        <w:rPr>
          <w:rFonts w:cs="Arial" w:hint="cs"/>
          <w:b/>
          <w:bCs/>
          <w:rtl/>
        </w:rPr>
        <w:t>ירושלמי כתובות פי"ג ה"ב</w:t>
      </w:r>
      <w:r>
        <w:rPr>
          <w:rStyle w:val="a7"/>
          <w:rFonts w:cs="Arial"/>
          <w:b/>
          <w:bCs/>
          <w:rtl/>
        </w:rPr>
        <w:footnoteReference w:id="1912"/>
      </w:r>
      <w:r w:rsidRPr="00DA2FD3">
        <w:rPr>
          <w:rFonts w:cs="Arial" w:hint="cs"/>
          <w:b/>
          <w:bCs/>
          <w:rtl/>
        </w:rPr>
        <w:t>:</w:t>
      </w:r>
      <w:r>
        <w:rPr>
          <w:rFonts w:cs="Arial" w:hint="cs"/>
          <w:rtl/>
        </w:rPr>
        <w:t xml:space="preserve"> </w:t>
      </w:r>
      <w:r w:rsidRPr="00DC68FF">
        <w:rPr>
          <w:rFonts w:cs="Arial"/>
          <w:rtl/>
        </w:rPr>
        <w:t>דתני מי שהלך למדינת הים ועמד אחר ופירנס את אשתו</w:t>
      </w:r>
      <w:r>
        <w:rPr>
          <w:rFonts w:cs="Arial" w:hint="cs"/>
          <w:rtl/>
        </w:rPr>
        <w:t>,</w:t>
      </w:r>
      <w:r w:rsidRPr="00DC68FF">
        <w:rPr>
          <w:rFonts w:cs="Arial"/>
          <w:rtl/>
        </w:rPr>
        <w:t xml:space="preserve"> </w:t>
      </w:r>
      <w:r w:rsidRPr="00DC68FF">
        <w:rPr>
          <w:rFonts w:cs="Arial"/>
          <w:u w:val="single"/>
          <w:rtl/>
        </w:rPr>
        <w:t>א"ר חגיי</w:t>
      </w:r>
      <w:r>
        <w:rPr>
          <w:rFonts w:cs="Arial" w:hint="cs"/>
          <w:rtl/>
        </w:rPr>
        <w:t>:</w:t>
      </w:r>
      <w:r w:rsidRPr="00DC68FF">
        <w:rPr>
          <w:rFonts w:cs="Arial"/>
          <w:rtl/>
        </w:rPr>
        <w:t xml:space="preserve"> לא אמר אלא אחר הא האב</w:t>
      </w:r>
      <w:r>
        <w:rPr>
          <w:rStyle w:val="a7"/>
          <w:rFonts w:cs="Arial"/>
          <w:rtl/>
        </w:rPr>
        <w:footnoteReference w:id="1913"/>
      </w:r>
      <w:r w:rsidRPr="00DC68FF">
        <w:rPr>
          <w:rFonts w:cs="Arial"/>
          <w:rtl/>
        </w:rPr>
        <w:t xml:space="preserve"> גובה</w:t>
      </w:r>
      <w:r>
        <w:rPr>
          <w:rFonts w:cs="Arial" w:hint="cs"/>
          <w:rtl/>
        </w:rPr>
        <w:t>.</w:t>
      </w:r>
      <w:r w:rsidRPr="00DC68FF">
        <w:rPr>
          <w:rFonts w:cs="Arial"/>
          <w:rtl/>
        </w:rPr>
        <w:t xml:space="preserve"> </w:t>
      </w:r>
      <w:r w:rsidRPr="00DC68FF">
        <w:rPr>
          <w:rFonts w:cs="Arial"/>
          <w:u w:val="single"/>
          <w:rtl/>
        </w:rPr>
        <w:t>ר' יוסי אומר</w:t>
      </w:r>
      <w:r>
        <w:rPr>
          <w:rFonts w:cs="Arial" w:hint="cs"/>
          <w:rtl/>
        </w:rPr>
        <w:t>:</w:t>
      </w:r>
      <w:r w:rsidRPr="00DC68FF">
        <w:rPr>
          <w:rFonts w:cs="Arial"/>
          <w:rtl/>
        </w:rPr>
        <w:t xml:space="preserve"> בין אב בין אחר אינו גובה ואתיין אילין פלוגוותא כהילין פלוגוותא</w:t>
      </w:r>
      <w:r>
        <w:rPr>
          <w:rFonts w:cs="Arial" w:hint="cs"/>
          <w:rtl/>
        </w:rPr>
        <w:t>,</w:t>
      </w:r>
      <w:r w:rsidRPr="00DC68FF">
        <w:rPr>
          <w:rFonts w:cs="Arial"/>
          <w:rtl/>
        </w:rPr>
        <w:t xml:space="preserve"> </w:t>
      </w:r>
      <w:r w:rsidRPr="00B0061C">
        <w:rPr>
          <w:rFonts w:cs="Arial"/>
          <w:rtl/>
        </w:rPr>
        <w:t>דתנינן תמן</w:t>
      </w:r>
      <w:r>
        <w:rPr>
          <w:rFonts w:cs="Arial" w:hint="cs"/>
          <w:rtl/>
        </w:rPr>
        <w:t>:</w:t>
      </w:r>
      <w:r w:rsidRPr="00B0061C">
        <w:rPr>
          <w:rFonts w:cs="Arial"/>
          <w:rtl/>
        </w:rPr>
        <w:t xml:space="preserve"> וזכאי במציאתה ובמעשה ידיה ובהפר נדריה ומקבל גיטה ואינו אוכל פירות בחייה וחייב במזונותיה ובפירקונה ובקבורתה</w:t>
      </w:r>
      <w:r>
        <w:rPr>
          <w:rFonts w:cs="Arial" w:hint="cs"/>
          <w:rtl/>
        </w:rPr>
        <w:t>.</w:t>
      </w:r>
      <w:r w:rsidRPr="00B0061C">
        <w:rPr>
          <w:rFonts w:cs="Arial"/>
          <w:rtl/>
        </w:rPr>
        <w:t xml:space="preserve"> </w:t>
      </w:r>
      <w:r w:rsidRPr="00DA2FD3">
        <w:rPr>
          <w:rFonts w:cs="Arial"/>
          <w:u w:val="single"/>
          <w:rtl/>
        </w:rPr>
        <w:t>אמר ר' חגיי</w:t>
      </w:r>
      <w:r>
        <w:rPr>
          <w:rFonts w:cs="Arial" w:hint="cs"/>
          <w:rtl/>
        </w:rPr>
        <w:t>:</w:t>
      </w:r>
      <w:r w:rsidRPr="00B0061C">
        <w:rPr>
          <w:rFonts w:cs="Arial"/>
          <w:rtl/>
        </w:rPr>
        <w:t xml:space="preserve"> לא אמר אלא האב</w:t>
      </w:r>
      <w:r>
        <w:rPr>
          <w:rFonts w:cs="Arial" w:hint="cs"/>
          <w:rtl/>
        </w:rPr>
        <w:t>,</w:t>
      </w:r>
      <w:r w:rsidRPr="00B0061C">
        <w:rPr>
          <w:rFonts w:cs="Arial"/>
          <w:rtl/>
        </w:rPr>
        <w:t xml:space="preserve"> הא אחר אינו גובה</w:t>
      </w:r>
      <w:r>
        <w:rPr>
          <w:rFonts w:cs="Arial" w:hint="cs"/>
          <w:rtl/>
        </w:rPr>
        <w:t>.</w:t>
      </w:r>
      <w:r w:rsidRPr="00B0061C">
        <w:rPr>
          <w:rFonts w:cs="Arial"/>
          <w:rtl/>
        </w:rPr>
        <w:t xml:space="preserve"> </w:t>
      </w:r>
      <w:r w:rsidRPr="00DA2FD3">
        <w:rPr>
          <w:rFonts w:cs="Arial"/>
          <w:u w:val="single"/>
          <w:rtl/>
        </w:rPr>
        <w:t>ר' יוסי אומר</w:t>
      </w:r>
      <w:r>
        <w:rPr>
          <w:rFonts w:cs="Arial" w:hint="cs"/>
          <w:rtl/>
        </w:rPr>
        <w:t>:</w:t>
      </w:r>
      <w:r w:rsidRPr="00B0061C">
        <w:rPr>
          <w:rFonts w:cs="Arial"/>
          <w:rtl/>
        </w:rPr>
        <w:t xml:space="preserve"> בין אב בין אחר גובה</w:t>
      </w:r>
      <w:r>
        <w:rPr>
          <w:rFonts w:cs="Arial" w:hint="cs"/>
          <w:rtl/>
        </w:rPr>
        <w:t>.</w:t>
      </w:r>
      <w:r w:rsidRPr="00B0061C">
        <w:rPr>
          <w:rFonts w:cs="Arial"/>
          <w:rtl/>
        </w:rPr>
        <w:t xml:space="preserve"> על דעתיה דר' חגיי בין לקבורה בין למזונות האב גובה אחר אינו גובה</w:t>
      </w:r>
      <w:r>
        <w:rPr>
          <w:rFonts w:cs="Arial" w:hint="cs"/>
          <w:rtl/>
        </w:rPr>
        <w:t>.</w:t>
      </w:r>
      <w:r w:rsidRPr="00B0061C">
        <w:rPr>
          <w:rFonts w:cs="Arial"/>
          <w:rtl/>
        </w:rPr>
        <w:t xml:space="preserve"> על דעתיה דר' יוסי לקבורה בין אב בין אחר גובה</w:t>
      </w:r>
      <w:r>
        <w:rPr>
          <w:rFonts w:cs="Arial" w:hint="cs"/>
          <w:rtl/>
        </w:rPr>
        <w:t>,</w:t>
      </w:r>
      <w:r w:rsidRPr="00B0061C">
        <w:rPr>
          <w:rFonts w:cs="Arial"/>
          <w:rtl/>
        </w:rPr>
        <w:t xml:space="preserve"> שלא עלת על דעת שתהא אשתו מושלכת לכלבים</w:t>
      </w:r>
      <w:r>
        <w:rPr>
          <w:rFonts w:cs="Arial" w:hint="cs"/>
          <w:rtl/>
        </w:rPr>
        <w:t>,</w:t>
      </w:r>
      <w:r w:rsidRPr="00B0061C">
        <w:rPr>
          <w:rFonts w:cs="Arial"/>
          <w:rtl/>
        </w:rPr>
        <w:t xml:space="preserve"> ובמזונות בין אב בין אחר אינו גובה</w:t>
      </w:r>
      <w:r>
        <w:rPr>
          <w:rFonts w:hint="cs"/>
          <w:rtl/>
        </w:rPr>
        <w:t>.</w:t>
      </w:r>
      <w:r w:rsidRPr="008953CE">
        <w:rPr>
          <w:rFonts w:cs="Arial"/>
          <w:rtl/>
        </w:rPr>
        <w:t xml:space="preserve"> </w:t>
      </w:r>
      <w:r w:rsidRPr="008953CE">
        <w:rPr>
          <w:rFonts w:cs="Arial" w:hint="cs"/>
          <w:sz w:val="16"/>
          <w:szCs w:val="16"/>
          <w:rtl/>
        </w:rPr>
        <w:t>(</w:t>
      </w:r>
      <w:r w:rsidRPr="008953CE">
        <w:rPr>
          <w:rFonts w:cs="Arial"/>
          <w:sz w:val="16"/>
          <w:szCs w:val="16"/>
          <w:rtl/>
        </w:rPr>
        <w:t xml:space="preserve">וכתב הרב המגיד </w:t>
      </w:r>
      <w:r w:rsidRPr="008953CE">
        <w:rPr>
          <w:rFonts w:cs="Arial" w:hint="cs"/>
          <w:sz w:val="16"/>
          <w:szCs w:val="16"/>
          <w:rtl/>
        </w:rPr>
        <w:t>ד</w:t>
      </w:r>
      <w:r w:rsidRPr="008953CE">
        <w:rPr>
          <w:rFonts w:cs="Arial"/>
          <w:sz w:val="16"/>
          <w:szCs w:val="16"/>
          <w:rtl/>
        </w:rPr>
        <w:t xml:space="preserve">פסק </w:t>
      </w:r>
      <w:r w:rsidRPr="008953CE">
        <w:rPr>
          <w:rFonts w:cs="Arial" w:hint="cs"/>
          <w:sz w:val="16"/>
          <w:szCs w:val="16"/>
          <w:rtl/>
        </w:rPr>
        <w:t>ה</w:t>
      </w:r>
      <w:r w:rsidRPr="008953CE">
        <w:rPr>
          <w:rFonts w:cs="Arial"/>
          <w:sz w:val="16"/>
          <w:szCs w:val="16"/>
          <w:rtl/>
        </w:rPr>
        <w:t xml:space="preserve">רמב"ם </w:t>
      </w:r>
      <w:r w:rsidRPr="008953CE">
        <w:rPr>
          <w:rFonts w:cs="Arial" w:hint="cs"/>
          <w:sz w:val="16"/>
          <w:szCs w:val="16"/>
          <w:rtl/>
        </w:rPr>
        <w:t>(</w:t>
      </w:r>
      <w:r w:rsidRPr="008953CE">
        <w:rPr>
          <w:rFonts w:cs="Arial"/>
          <w:sz w:val="16"/>
          <w:szCs w:val="16"/>
          <w:rtl/>
        </w:rPr>
        <w:t>פי"ד</w:t>
      </w:r>
      <w:r>
        <w:rPr>
          <w:rFonts w:cs="Arial" w:hint="cs"/>
          <w:sz w:val="16"/>
          <w:szCs w:val="16"/>
          <w:rtl/>
        </w:rPr>
        <w:t xml:space="preserve"> מאישות</w:t>
      </w:r>
      <w:r w:rsidRPr="008953CE">
        <w:rPr>
          <w:rFonts w:cs="Arial"/>
          <w:sz w:val="16"/>
          <w:szCs w:val="16"/>
          <w:rtl/>
        </w:rPr>
        <w:t xml:space="preserve"> הכ"ד) כרבי יוסי</w:t>
      </w:r>
      <w:r w:rsidRPr="008953CE">
        <w:rPr>
          <w:rFonts w:cs="Arial" w:hint="cs"/>
          <w:sz w:val="16"/>
          <w:szCs w:val="16"/>
          <w:rtl/>
        </w:rPr>
        <w:t>,</w:t>
      </w:r>
      <w:r w:rsidRPr="008953CE">
        <w:rPr>
          <w:rFonts w:cs="Arial"/>
          <w:sz w:val="16"/>
          <w:szCs w:val="16"/>
          <w:rtl/>
        </w:rPr>
        <w:t xml:space="preserve"> והאריך הרב המגיד בטעם הדבר</w:t>
      </w:r>
      <w:r w:rsidRPr="008953CE">
        <w:rPr>
          <w:rFonts w:cs="Arial" w:hint="cs"/>
          <w:sz w:val="16"/>
          <w:szCs w:val="16"/>
          <w:rtl/>
        </w:rPr>
        <w:t>,</w:t>
      </w:r>
      <w:r w:rsidRPr="008953CE">
        <w:rPr>
          <w:rFonts w:cs="Arial"/>
          <w:sz w:val="16"/>
          <w:szCs w:val="16"/>
          <w:rtl/>
        </w:rPr>
        <w:t xml:space="preserve"> וחלק על הרשב"א (מח. ד"ה אמר) שפסק כרבי חגי</w:t>
      </w:r>
      <w:r>
        <w:rPr>
          <w:rFonts w:cs="Arial" w:hint="cs"/>
          <w:sz w:val="16"/>
          <w:szCs w:val="16"/>
          <w:rtl/>
        </w:rPr>
        <w:t>, ב"י)</w:t>
      </w:r>
      <w:r w:rsidRPr="00D37988">
        <w:rPr>
          <w:rFonts w:cs="Arial"/>
          <w:rtl/>
        </w:rPr>
        <w:t xml:space="preserve"> </w:t>
      </w:r>
    </w:p>
    <w:p w14:paraId="34CCB861" w14:textId="77777777" w:rsidR="002E5BAD" w:rsidRPr="00B0061C" w:rsidRDefault="002E5BAD" w:rsidP="002E5BAD">
      <w:pPr>
        <w:rPr>
          <w:u w:val="single"/>
          <w:rtl/>
        </w:rPr>
      </w:pPr>
      <w:r w:rsidRPr="00B0061C">
        <w:rPr>
          <w:rFonts w:hint="cs"/>
          <w:u w:val="single"/>
          <w:rtl/>
        </w:rPr>
        <w:t>בעל שלא רצה לקבור את אשתו ועמד אחר וקברה:</w:t>
      </w:r>
    </w:p>
    <w:p w14:paraId="2CCA4412" w14:textId="77777777" w:rsidR="002E5BAD" w:rsidRDefault="002E5BAD" w:rsidP="002E5BAD">
      <w:pPr>
        <w:pStyle w:val="ab"/>
        <w:numPr>
          <w:ilvl w:val="0"/>
          <w:numId w:val="184"/>
        </w:numPr>
      </w:pPr>
      <w:r w:rsidRPr="00D37988">
        <w:rPr>
          <w:rFonts w:cs="Arial"/>
          <w:rtl/>
        </w:rPr>
        <w:t xml:space="preserve">רמב"ם </w:t>
      </w:r>
      <w:r w:rsidRPr="008953CE">
        <w:rPr>
          <w:rFonts w:cs="Arial" w:hint="cs"/>
          <w:sz w:val="16"/>
          <w:szCs w:val="16"/>
          <w:rtl/>
        </w:rPr>
        <w:t>(</w:t>
      </w:r>
      <w:r w:rsidRPr="008953CE">
        <w:rPr>
          <w:rFonts w:cs="Arial"/>
          <w:sz w:val="16"/>
          <w:szCs w:val="16"/>
          <w:rtl/>
        </w:rPr>
        <w:t>פי"ד הכ"ד)</w:t>
      </w:r>
      <w:r>
        <w:rPr>
          <w:rFonts w:cs="Arial" w:hint="cs"/>
          <w:rtl/>
        </w:rPr>
        <w:t xml:space="preserve"> וטור- </w:t>
      </w:r>
      <w:r w:rsidRPr="00D37988">
        <w:rPr>
          <w:rFonts w:cs="Arial"/>
          <w:rtl/>
        </w:rPr>
        <w:t>לא רצה לקוברה</w:t>
      </w:r>
      <w:r>
        <w:rPr>
          <w:rFonts w:cs="Arial" w:hint="cs"/>
          <w:rtl/>
        </w:rPr>
        <w:t>,</w:t>
      </w:r>
      <w:r w:rsidRPr="00D37988">
        <w:rPr>
          <w:rFonts w:cs="Arial"/>
          <w:rtl/>
        </w:rPr>
        <w:t xml:space="preserve"> עמד אחד וקברה </w:t>
      </w:r>
      <w:r>
        <w:rPr>
          <w:rFonts w:cs="Arial" w:hint="cs"/>
          <w:rtl/>
        </w:rPr>
        <w:t xml:space="preserve">- </w:t>
      </w:r>
      <w:r w:rsidRPr="00D37988">
        <w:rPr>
          <w:rFonts w:cs="Arial"/>
          <w:rtl/>
        </w:rPr>
        <w:t>בית דין מוציאין ממנו ונותנין לזה</w:t>
      </w:r>
      <w:r>
        <w:rPr>
          <w:rStyle w:val="a7"/>
          <w:rFonts w:cs="Arial"/>
          <w:rtl/>
        </w:rPr>
        <w:footnoteReference w:id="1914"/>
      </w:r>
      <w:r>
        <w:rPr>
          <w:rFonts w:cs="Arial" w:hint="cs"/>
          <w:sz w:val="16"/>
          <w:szCs w:val="16"/>
          <w:rtl/>
        </w:rPr>
        <w:t xml:space="preserve"> (ל' הטור)</w:t>
      </w:r>
      <w:r>
        <w:rPr>
          <w:rFonts w:cs="Arial" w:hint="cs"/>
          <w:rtl/>
        </w:rPr>
        <w:t>.</w:t>
      </w:r>
      <w:r w:rsidRPr="009C0D9B">
        <w:rPr>
          <w:rFonts w:hint="cs"/>
          <w:color w:val="E36C0A" w:themeColor="accent6" w:themeShade="BF"/>
          <w:rtl/>
        </w:rPr>
        <w:t xml:space="preserve"> </w:t>
      </w:r>
      <w:r w:rsidRPr="00A6197B">
        <w:rPr>
          <w:rFonts w:hint="cs"/>
          <w:color w:val="E36C0A" w:themeColor="accent6" w:themeShade="BF"/>
          <w:rtl/>
        </w:rPr>
        <w:t>(וכ"פ בשו"ע)</w:t>
      </w:r>
    </w:p>
    <w:p w14:paraId="66A2306B" w14:textId="77777777" w:rsidR="002E5BAD" w:rsidRDefault="002E5BAD" w:rsidP="002E5BAD">
      <w:pPr>
        <w:pStyle w:val="ab"/>
        <w:numPr>
          <w:ilvl w:val="0"/>
          <w:numId w:val="184"/>
        </w:numPr>
      </w:pPr>
      <w:r>
        <w:rPr>
          <w:rFonts w:hint="cs"/>
          <w:rtl/>
        </w:rPr>
        <w:t xml:space="preserve">רשב"א </w:t>
      </w:r>
      <w:r w:rsidRPr="008953CE">
        <w:rPr>
          <w:rFonts w:cs="Arial"/>
          <w:sz w:val="16"/>
          <w:szCs w:val="16"/>
          <w:rtl/>
        </w:rPr>
        <w:t>(מח. ד"ה אמר)</w:t>
      </w:r>
      <w:r>
        <w:rPr>
          <w:rFonts w:cs="Arial" w:hint="cs"/>
          <w:rtl/>
        </w:rPr>
        <w:t xml:space="preserve"> ור"ן </w:t>
      </w:r>
      <w:r w:rsidRPr="002E0BE8">
        <w:rPr>
          <w:rFonts w:cs="Arial" w:hint="cs"/>
          <w:sz w:val="16"/>
          <w:szCs w:val="16"/>
          <w:rtl/>
        </w:rPr>
        <w:t>(</w:t>
      </w:r>
      <w:r w:rsidRPr="002E0BE8">
        <w:rPr>
          <w:rFonts w:cs="Arial"/>
          <w:sz w:val="16"/>
          <w:szCs w:val="16"/>
          <w:rtl/>
        </w:rPr>
        <w:t>פרק נערה יז. ד"ה וזנין)</w:t>
      </w:r>
      <w:r>
        <w:rPr>
          <w:rFonts w:cs="Arial" w:hint="cs"/>
          <w:rtl/>
        </w:rPr>
        <w:t xml:space="preserve">- </w:t>
      </w:r>
      <w:r w:rsidRPr="002E0BE8">
        <w:rPr>
          <w:rFonts w:cs="Arial"/>
          <w:rtl/>
        </w:rPr>
        <w:t>מ"מ שמעינן מיניה דלכו"ע האב קובר שלא על פי ב"ד וחוזר וגובה מן הבעל, אלא אחר כיון דפלוגתא דאמוראי היא התם ולא ידעינן כמאן, נקיטינן כמאן דאמר אינו גובה דהמוציא מחבירו עליו הראיה</w:t>
      </w:r>
      <w:r>
        <w:rPr>
          <w:rStyle w:val="a7"/>
          <w:rFonts w:cs="Arial"/>
          <w:rtl/>
        </w:rPr>
        <w:footnoteReference w:id="1915"/>
      </w:r>
      <w:r>
        <w:rPr>
          <w:rFonts w:cs="Arial" w:hint="cs"/>
          <w:sz w:val="16"/>
          <w:szCs w:val="16"/>
        </w:rPr>
        <w:t xml:space="preserve"> </w:t>
      </w:r>
      <w:r>
        <w:rPr>
          <w:rFonts w:cs="Arial" w:hint="cs"/>
          <w:sz w:val="16"/>
          <w:szCs w:val="16"/>
          <w:rtl/>
        </w:rPr>
        <w:t>(ל' הרשב"א)</w:t>
      </w:r>
      <w:r w:rsidRPr="002E0BE8">
        <w:rPr>
          <w:rFonts w:cs="Arial"/>
          <w:rtl/>
        </w:rPr>
        <w:t>.</w:t>
      </w:r>
    </w:p>
    <w:p w14:paraId="77285674" w14:textId="77777777" w:rsidR="002E5BAD" w:rsidRPr="009C0D9B" w:rsidRDefault="002E5BAD" w:rsidP="002E5BAD">
      <w:pPr>
        <w:rPr>
          <w:u w:val="single"/>
        </w:rPr>
      </w:pPr>
      <w:r w:rsidRPr="009C0D9B">
        <w:rPr>
          <w:rFonts w:hint="cs"/>
          <w:u w:val="single"/>
          <w:rtl/>
        </w:rPr>
        <w:t xml:space="preserve">מי שלא היו יודעים שיש לו ממון, וקברו את אשתו ממעות צדקה </w:t>
      </w:r>
      <w:r w:rsidRPr="009C0D9B">
        <w:rPr>
          <w:u w:val="single"/>
          <w:rtl/>
        </w:rPr>
        <w:t>–</w:t>
      </w:r>
      <w:r w:rsidRPr="009C0D9B">
        <w:rPr>
          <w:rFonts w:hint="cs"/>
          <w:u w:val="single"/>
          <w:rtl/>
        </w:rPr>
        <w:t xml:space="preserve"> ואח"כ נודע שיש לו ממון:</w:t>
      </w:r>
    </w:p>
    <w:p w14:paraId="61899B52" w14:textId="77777777" w:rsidR="002E5BAD" w:rsidRPr="00D37988" w:rsidRDefault="002E5BAD" w:rsidP="002E5BAD">
      <w:pPr>
        <w:pStyle w:val="ab"/>
        <w:numPr>
          <w:ilvl w:val="0"/>
          <w:numId w:val="184"/>
        </w:numPr>
        <w:rPr>
          <w:rtl/>
        </w:rPr>
      </w:pPr>
      <w:r>
        <w:rPr>
          <w:rFonts w:cs="Arial" w:hint="cs"/>
          <w:rtl/>
        </w:rPr>
        <w:t xml:space="preserve">דרכ"מ </w:t>
      </w:r>
      <w:r w:rsidRPr="009C0D9B">
        <w:rPr>
          <w:rFonts w:cs="Arial" w:hint="cs"/>
          <w:sz w:val="16"/>
          <w:szCs w:val="16"/>
          <w:rtl/>
        </w:rPr>
        <w:t>(אות ג)</w:t>
      </w:r>
      <w:r>
        <w:rPr>
          <w:rFonts w:cs="Arial" w:hint="cs"/>
          <w:rtl/>
        </w:rPr>
        <w:t xml:space="preserve">- </w:t>
      </w:r>
      <w:r w:rsidRPr="00C16802">
        <w:rPr>
          <w:rFonts w:cs="Arial"/>
          <w:rtl/>
        </w:rPr>
        <w:t>מצאתי בהגהות מרדכי בדפוס החדש בשם מוהר"ם באחד שלא היו יודעים לו ממון וקברו אשתו ממעות צדקה</w:t>
      </w:r>
      <w:r>
        <w:rPr>
          <w:rFonts w:cs="Arial" w:hint="cs"/>
          <w:rtl/>
        </w:rPr>
        <w:t>,</w:t>
      </w:r>
      <w:r w:rsidRPr="00C16802">
        <w:rPr>
          <w:rFonts w:cs="Arial"/>
          <w:rtl/>
        </w:rPr>
        <w:t xml:space="preserve"> ואחר כך נודע לו מעות</w:t>
      </w:r>
      <w:r>
        <w:rPr>
          <w:rFonts w:cs="Arial" w:hint="cs"/>
          <w:rtl/>
        </w:rPr>
        <w:t>,</w:t>
      </w:r>
      <w:r w:rsidRPr="00C16802">
        <w:rPr>
          <w:rFonts w:cs="Arial"/>
          <w:rtl/>
        </w:rPr>
        <w:t xml:space="preserve"> ופסק דצריך לשלם אפילו למ"ד אין מוציאין אלא לאב בנדון זה מודה</w:t>
      </w:r>
      <w:r>
        <w:rPr>
          <w:rStyle w:val="a7"/>
          <w:rFonts w:cs="Arial"/>
          <w:rtl/>
        </w:rPr>
        <w:footnoteReference w:id="1916"/>
      </w:r>
      <w:r>
        <w:rPr>
          <w:rFonts w:hint="cs"/>
          <w:rtl/>
        </w:rPr>
        <w:t>. (וכ"פ ב"ש</w:t>
      </w:r>
      <w:r>
        <w:rPr>
          <w:rFonts w:hint="cs"/>
          <w:sz w:val="16"/>
          <w:szCs w:val="16"/>
          <w:rtl/>
        </w:rPr>
        <w:t xml:space="preserve"> [סק"ג]</w:t>
      </w:r>
      <w:r>
        <w:rPr>
          <w:rFonts w:hint="cs"/>
          <w:rtl/>
        </w:rPr>
        <w:t>)</w:t>
      </w:r>
    </w:p>
    <w:p w14:paraId="77188A4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37EB34C" w14:textId="77777777" w:rsidR="002E5BAD" w:rsidRDefault="002E5BAD" w:rsidP="002E5BAD">
      <w:pPr>
        <w:rPr>
          <w:rtl/>
        </w:rPr>
      </w:pPr>
      <w:r>
        <w:rPr>
          <w:rFonts w:cs="Arial"/>
          <w:rtl/>
        </w:rPr>
        <w:t>לא רצה לקוברה, ועמד אחר וקברה, ב</w:t>
      </w:r>
      <w:r>
        <w:rPr>
          <w:rFonts w:cs="Arial" w:hint="cs"/>
          <w:rtl/>
        </w:rPr>
        <w:t xml:space="preserve">ית </w:t>
      </w:r>
      <w:r>
        <w:rPr>
          <w:rFonts w:cs="Arial"/>
          <w:rtl/>
        </w:rPr>
        <w:t>ד</w:t>
      </w:r>
      <w:r>
        <w:rPr>
          <w:rFonts w:cs="Arial" w:hint="cs"/>
          <w:rtl/>
        </w:rPr>
        <w:t>ין</w:t>
      </w:r>
      <w:r>
        <w:rPr>
          <w:rFonts w:cs="Arial"/>
          <w:rtl/>
        </w:rPr>
        <w:t xml:space="preserve"> מוציאין מבעלה ונותנין לזה. </w:t>
      </w:r>
    </w:p>
    <w:p w14:paraId="2EB11FE3" w14:textId="77777777" w:rsidR="002E5BAD" w:rsidRDefault="002E5BAD" w:rsidP="002E5BAD">
      <w:pPr>
        <w:rPr>
          <w:rtl/>
        </w:rPr>
      </w:pPr>
    </w:p>
    <w:p w14:paraId="5C21008F" w14:textId="77777777" w:rsidR="002E5BAD" w:rsidRDefault="002E5BAD" w:rsidP="002E5BAD">
      <w:pPr>
        <w:pStyle w:val="2"/>
        <w:rPr>
          <w:rtl/>
        </w:rPr>
      </w:pPr>
      <w:r>
        <w:rPr>
          <w:rtl/>
        </w:rPr>
        <w:t>סעיף ג</w:t>
      </w:r>
      <w:r>
        <w:rPr>
          <w:rFonts w:hint="cs"/>
          <w:rtl/>
        </w:rPr>
        <w:t>: הלך למדינת הים ומתה אשתו וצריך לקוברה.</w:t>
      </w:r>
    </w:p>
    <w:p w14:paraId="791F5785"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9D0234">
        <w:rPr>
          <w:rFonts w:cs="Arial"/>
          <w:u w:val="single"/>
          <w:rtl/>
        </w:rPr>
        <w:t>אמר רב חייא בר אבין אמר רב הונא</w:t>
      </w:r>
      <w:r w:rsidRPr="009D0234">
        <w:rPr>
          <w:rFonts w:cs="Arial"/>
          <w:rtl/>
        </w:rPr>
        <w:t>: מי שהלך למדינת הים ומתה אשתו, ב"ד יורדין לנכסיו וקוברין אותה לפי כבודו. לפי כבודו ולא לפי כבודה? אימא: אף לפי כבודו, הא קמ"ל: עולה עמו ואינה יורדת עמו ואפילו לאחר מיתה.</w:t>
      </w:r>
    </w:p>
    <w:p w14:paraId="426D86E5" w14:textId="77777777" w:rsidR="002E5BAD" w:rsidRPr="009D0234"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אלמנה ניזונת)</w:t>
      </w:r>
      <w:r w:rsidRPr="00AB0AB9">
        <w:rPr>
          <w:rFonts w:cs="Arial" w:hint="cs"/>
          <w:b/>
          <w:bCs/>
          <w:rtl/>
        </w:rPr>
        <w:t xml:space="preserve"> </w:t>
      </w:r>
      <w:r>
        <w:rPr>
          <w:rFonts w:cs="Arial" w:hint="cs"/>
          <w:b/>
          <w:bCs/>
          <w:rtl/>
        </w:rPr>
        <w:t>ק</w:t>
      </w:r>
      <w:r w:rsidRPr="00AB0AB9">
        <w:rPr>
          <w:rFonts w:cs="Arial" w:hint="cs"/>
          <w:b/>
          <w:bCs/>
          <w:rtl/>
        </w:rPr>
        <w:t xml:space="preserve"> ע"ב:</w:t>
      </w:r>
      <w:r>
        <w:rPr>
          <w:rFonts w:cs="Arial" w:hint="cs"/>
          <w:rtl/>
        </w:rPr>
        <w:t xml:space="preserve"> </w:t>
      </w:r>
      <w:r w:rsidRPr="00444578">
        <w:rPr>
          <w:rFonts w:cs="Arial"/>
          <w:u w:val="single"/>
          <w:rtl/>
        </w:rPr>
        <w:t>דאמרי נהרדעי</w:t>
      </w:r>
      <w:r w:rsidRPr="00444578">
        <w:rPr>
          <w:rFonts w:cs="Arial"/>
          <w:rtl/>
        </w:rPr>
        <w:t>: לכרגא, למזוני, ולקבורה - מזבנינן בלא אכרזתא.</w:t>
      </w:r>
    </w:p>
    <w:p w14:paraId="7EDCE983" w14:textId="77777777" w:rsidR="002E5BAD" w:rsidRPr="009C0D9B" w:rsidRDefault="002E5BAD" w:rsidP="002E5BAD">
      <w:pPr>
        <w:rPr>
          <w:u w:val="single"/>
          <w:rtl/>
        </w:rPr>
      </w:pPr>
      <w:r w:rsidRPr="009C0D9B">
        <w:rPr>
          <w:rFonts w:hint="cs"/>
          <w:u w:val="single"/>
          <w:rtl/>
        </w:rPr>
        <w:lastRenderedPageBreak/>
        <w:t>הלך למדינת הים ומתה אשתו וצריך לקוברה:</w:t>
      </w:r>
    </w:p>
    <w:p w14:paraId="7BF73D20" w14:textId="77777777" w:rsidR="002E5BAD" w:rsidRDefault="002E5BAD" w:rsidP="002E5BAD">
      <w:pPr>
        <w:pStyle w:val="ab"/>
        <w:numPr>
          <w:ilvl w:val="0"/>
          <w:numId w:val="184"/>
        </w:numPr>
      </w:pPr>
      <w:r>
        <w:rPr>
          <w:rFonts w:cs="Arial" w:hint="cs"/>
          <w:rtl/>
        </w:rPr>
        <w:t xml:space="preserve">טור- </w:t>
      </w:r>
      <w:r w:rsidRPr="00D37988">
        <w:rPr>
          <w:rFonts w:cs="Arial"/>
          <w:rtl/>
        </w:rPr>
        <w:t>ואם הלך למדינת הים ומתה בית דין יורדין לנכסיו ומוכרין</w:t>
      </w:r>
      <w:r>
        <w:rPr>
          <w:rStyle w:val="a7"/>
          <w:rFonts w:cs="Arial"/>
          <w:rtl/>
        </w:rPr>
        <w:footnoteReference w:id="1917"/>
      </w:r>
      <w:r w:rsidRPr="00D37988">
        <w:rPr>
          <w:rFonts w:cs="Arial"/>
          <w:rtl/>
        </w:rPr>
        <w:t xml:space="preserve"> וקוברין אותה לפי כבודה</w:t>
      </w:r>
      <w:r>
        <w:rPr>
          <w:rFonts w:cs="Arial" w:hint="cs"/>
          <w:rtl/>
        </w:rPr>
        <w:t>.</w:t>
      </w:r>
    </w:p>
    <w:p w14:paraId="56F0DC40" w14:textId="77777777" w:rsidR="002E5BAD" w:rsidRDefault="002E5BAD" w:rsidP="002E5BAD">
      <w:pPr>
        <w:pStyle w:val="ab"/>
        <w:numPr>
          <w:ilvl w:val="0"/>
          <w:numId w:val="184"/>
        </w:numPr>
      </w:pPr>
      <w:r w:rsidRPr="00D37988">
        <w:rPr>
          <w:rFonts w:cs="Arial"/>
          <w:rtl/>
        </w:rPr>
        <w:t xml:space="preserve">רמב"ם </w:t>
      </w:r>
      <w:r w:rsidRPr="008953CE">
        <w:rPr>
          <w:rFonts w:cs="Arial" w:hint="cs"/>
          <w:sz w:val="16"/>
          <w:szCs w:val="16"/>
          <w:rtl/>
        </w:rPr>
        <w:t>(</w:t>
      </w:r>
      <w:r w:rsidRPr="008953CE">
        <w:rPr>
          <w:rFonts w:cs="Arial"/>
          <w:sz w:val="16"/>
          <w:szCs w:val="16"/>
          <w:rtl/>
        </w:rPr>
        <w:t xml:space="preserve">פי"ד </w:t>
      </w:r>
      <w:r>
        <w:rPr>
          <w:rFonts w:cs="Arial" w:hint="cs"/>
          <w:sz w:val="16"/>
          <w:szCs w:val="16"/>
          <w:rtl/>
        </w:rPr>
        <w:t xml:space="preserve">מאישות </w:t>
      </w:r>
      <w:r w:rsidRPr="008953CE">
        <w:rPr>
          <w:rFonts w:cs="Arial"/>
          <w:sz w:val="16"/>
          <w:szCs w:val="16"/>
          <w:rtl/>
        </w:rPr>
        <w:t>הכ"ד)</w:t>
      </w:r>
      <w:r>
        <w:rPr>
          <w:rFonts w:cs="Arial" w:hint="cs"/>
          <w:rtl/>
        </w:rPr>
        <w:t xml:space="preserve">- </w:t>
      </w:r>
      <w:r w:rsidRPr="009D0234">
        <w:rPr>
          <w:rFonts w:cs="Arial"/>
          <w:rtl/>
        </w:rPr>
        <w:t>היה במדינה אחרת כשמתה אשתו בית דין יורדין לנכסיו ומוכרין בלא הכרזה</w:t>
      </w:r>
      <w:r>
        <w:rPr>
          <w:rStyle w:val="a7"/>
          <w:rFonts w:cs="Arial"/>
          <w:rtl/>
        </w:rPr>
        <w:footnoteReference w:id="1918"/>
      </w:r>
      <w:r w:rsidRPr="009D0234">
        <w:rPr>
          <w:rFonts w:cs="Arial"/>
          <w:rtl/>
        </w:rPr>
        <w:t xml:space="preserve"> וקוברין אותה לפי ממון הבעל ולפי כבודו או לפי כבודה.</w:t>
      </w:r>
    </w:p>
    <w:p w14:paraId="713E652E" w14:textId="77777777" w:rsidR="002E5BAD" w:rsidRPr="000878EF" w:rsidRDefault="002E5BAD" w:rsidP="002E5BAD">
      <w:pPr>
        <w:rPr>
          <w:u w:val="single"/>
        </w:rPr>
      </w:pPr>
      <w:r w:rsidRPr="000878EF">
        <w:rPr>
          <w:rFonts w:hint="cs"/>
          <w:u w:val="single"/>
          <w:rtl/>
        </w:rPr>
        <w:t xml:space="preserve">אדם שהלוה לצורך קבורת אשתו </w:t>
      </w:r>
      <w:r w:rsidRPr="00B64FE5">
        <w:rPr>
          <w:rFonts w:hint="cs"/>
          <w:sz w:val="16"/>
          <w:szCs w:val="16"/>
          <w:u w:val="single"/>
          <w:rtl/>
        </w:rPr>
        <w:t>(או למזונות)</w:t>
      </w:r>
      <w:r w:rsidRPr="000878EF">
        <w:rPr>
          <w:rFonts w:hint="cs"/>
          <w:u w:val="single"/>
          <w:rtl/>
        </w:rPr>
        <w:t xml:space="preserve"> </w:t>
      </w:r>
      <w:r w:rsidRPr="000878EF">
        <w:rPr>
          <w:u w:val="single"/>
          <w:rtl/>
        </w:rPr>
        <w:t>–</w:t>
      </w:r>
      <w:r w:rsidRPr="000878EF">
        <w:rPr>
          <w:rFonts w:hint="cs"/>
          <w:u w:val="single"/>
          <w:rtl/>
        </w:rPr>
        <w:t xml:space="preserve"> כשב"ד באים לפורעו האם מוכרים נכסיו בלא הכרזה:</w:t>
      </w:r>
    </w:p>
    <w:p w14:paraId="01BC7F10" w14:textId="77777777" w:rsidR="002E5BAD" w:rsidRPr="00EB79BF" w:rsidRDefault="002E5BAD" w:rsidP="002E5BAD">
      <w:pPr>
        <w:pStyle w:val="ab"/>
        <w:numPr>
          <w:ilvl w:val="0"/>
          <w:numId w:val="184"/>
        </w:numPr>
      </w:pPr>
      <w:r>
        <w:rPr>
          <w:rFonts w:cs="Arial" w:hint="cs"/>
          <w:rtl/>
        </w:rPr>
        <w:t>הה"מ</w:t>
      </w:r>
      <w:r w:rsidRPr="000878EF">
        <w:rPr>
          <w:rFonts w:cs="Arial" w:hint="cs"/>
          <w:sz w:val="16"/>
          <w:szCs w:val="16"/>
          <w:rtl/>
        </w:rPr>
        <w:t xml:space="preserve"> (</w:t>
      </w:r>
      <w:r w:rsidRPr="008953CE">
        <w:rPr>
          <w:rFonts w:cs="Arial"/>
          <w:sz w:val="16"/>
          <w:szCs w:val="16"/>
          <w:rtl/>
        </w:rPr>
        <w:t xml:space="preserve">פי"ד </w:t>
      </w:r>
      <w:r>
        <w:rPr>
          <w:rFonts w:cs="Arial" w:hint="cs"/>
          <w:sz w:val="16"/>
          <w:szCs w:val="16"/>
          <w:rtl/>
        </w:rPr>
        <w:t xml:space="preserve">מאישות </w:t>
      </w:r>
      <w:r w:rsidRPr="008953CE">
        <w:rPr>
          <w:rFonts w:cs="Arial"/>
          <w:sz w:val="16"/>
          <w:szCs w:val="16"/>
          <w:rtl/>
        </w:rPr>
        <w:t>הכ"ד</w:t>
      </w:r>
      <w:r w:rsidRPr="000878EF">
        <w:rPr>
          <w:rFonts w:cs="Arial" w:hint="cs"/>
          <w:sz w:val="16"/>
          <w:szCs w:val="16"/>
          <w:rtl/>
        </w:rPr>
        <w:t>, הביאו הב"י)</w:t>
      </w:r>
      <w:r>
        <w:rPr>
          <w:rFonts w:cs="Arial" w:hint="cs"/>
          <w:rtl/>
        </w:rPr>
        <w:t xml:space="preserve">- </w:t>
      </w:r>
      <w:r w:rsidRPr="00C16802">
        <w:rPr>
          <w:rFonts w:cs="Arial"/>
          <w:rtl/>
        </w:rPr>
        <w:t>יש מי שהוסיף לפרש</w:t>
      </w:r>
      <w:r>
        <w:rPr>
          <w:rFonts w:cs="Arial" w:hint="cs"/>
          <w:sz w:val="16"/>
          <w:szCs w:val="16"/>
          <w:rtl/>
        </w:rPr>
        <w:t xml:space="preserve"> {את הגמ' שם ק:}</w:t>
      </w:r>
      <w:r w:rsidRPr="00C16802">
        <w:rPr>
          <w:rFonts w:cs="Arial"/>
          <w:rtl/>
        </w:rPr>
        <w:t xml:space="preserve"> שאף הלוה לצורך קבורה או למזונות כשבאין ב"ד לפרעו מוכרין בלא אכרזתא ל' יום כדי שלא תנעול דלת בפני גומלי חסד המלוים לדברים כאלו</w:t>
      </w:r>
      <w:r>
        <w:rPr>
          <w:rFonts w:cs="Arial" w:hint="cs"/>
          <w:rtl/>
        </w:rPr>
        <w:t>.</w:t>
      </w:r>
      <w:r w:rsidRPr="00C16802">
        <w:rPr>
          <w:rFonts w:cs="Arial"/>
          <w:rtl/>
        </w:rPr>
        <w:t xml:space="preserve"> וכן ראוי בכיוצא בזה לעשות</w:t>
      </w:r>
      <w:r>
        <w:rPr>
          <w:rFonts w:cs="Arial" w:hint="cs"/>
          <w:rtl/>
        </w:rPr>
        <w:t>.</w:t>
      </w:r>
      <w:r>
        <w:rPr>
          <w:rFonts w:hint="cs"/>
          <w:rtl/>
        </w:rPr>
        <w:t xml:space="preserve"> (וכ"פ ח"מ </w:t>
      </w:r>
      <w:r w:rsidRPr="00B64FE5">
        <w:rPr>
          <w:rFonts w:hint="cs"/>
          <w:sz w:val="16"/>
          <w:szCs w:val="16"/>
          <w:rtl/>
        </w:rPr>
        <w:t xml:space="preserve">[סק"ג] </w:t>
      </w:r>
      <w:r>
        <w:rPr>
          <w:rFonts w:hint="cs"/>
          <w:rtl/>
        </w:rPr>
        <w:t>וב"ש</w:t>
      </w:r>
      <w:r>
        <w:rPr>
          <w:rStyle w:val="a7"/>
          <w:rtl/>
        </w:rPr>
        <w:footnoteReference w:id="1919"/>
      </w:r>
      <w:r w:rsidRPr="00B64FE5">
        <w:rPr>
          <w:rFonts w:hint="cs"/>
          <w:sz w:val="16"/>
          <w:szCs w:val="16"/>
          <w:rtl/>
        </w:rPr>
        <w:t xml:space="preserve"> [סק"ד]</w:t>
      </w:r>
      <w:r>
        <w:rPr>
          <w:rFonts w:hint="cs"/>
          <w:rtl/>
        </w:rPr>
        <w:t>)</w:t>
      </w:r>
    </w:p>
    <w:p w14:paraId="37634B4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74B9AB0" w14:textId="77777777" w:rsidR="002E5BAD" w:rsidRDefault="002E5BAD" w:rsidP="002E5BAD">
      <w:pPr>
        <w:rPr>
          <w:rtl/>
        </w:rPr>
      </w:pPr>
      <w:r>
        <w:rPr>
          <w:rFonts w:cs="Arial"/>
          <w:rtl/>
        </w:rPr>
        <w:t>היה בעלה במדינה אחרת, ב</w:t>
      </w:r>
      <w:r>
        <w:rPr>
          <w:rFonts w:cs="Arial" w:hint="cs"/>
          <w:rtl/>
        </w:rPr>
        <w:t xml:space="preserve">ית </w:t>
      </w:r>
      <w:r>
        <w:rPr>
          <w:rFonts w:cs="Arial"/>
          <w:rtl/>
        </w:rPr>
        <w:t>ד</w:t>
      </w:r>
      <w:r>
        <w:rPr>
          <w:rFonts w:cs="Arial" w:hint="cs"/>
          <w:rtl/>
        </w:rPr>
        <w:t>ין</w:t>
      </w:r>
      <w:r>
        <w:rPr>
          <w:rFonts w:cs="Arial"/>
          <w:rtl/>
        </w:rPr>
        <w:t xml:space="preserve"> יורדין לנכסיו ומוכרין בלא הכרזה, וקוברין אותה לפי ממון הבעל ולפי כבודו, או לפי כבודה. </w:t>
      </w:r>
    </w:p>
    <w:p w14:paraId="2A7A561D" w14:textId="77777777" w:rsidR="002E5BAD" w:rsidRDefault="002E5BAD" w:rsidP="002E5BAD">
      <w:pPr>
        <w:rPr>
          <w:rtl/>
        </w:rPr>
      </w:pPr>
    </w:p>
    <w:p w14:paraId="324659E6" w14:textId="77777777" w:rsidR="002E5BAD" w:rsidRDefault="002E5BAD" w:rsidP="002E5BAD">
      <w:pPr>
        <w:pStyle w:val="2"/>
        <w:rPr>
          <w:rtl/>
        </w:rPr>
      </w:pPr>
      <w:r>
        <w:rPr>
          <w:rtl/>
        </w:rPr>
        <w:t>סעיף ד</w:t>
      </w:r>
      <w:r>
        <w:rPr>
          <w:rFonts w:hint="cs"/>
          <w:rtl/>
        </w:rPr>
        <w:t>: קבורת אלמנה.</w:t>
      </w:r>
    </w:p>
    <w:p w14:paraId="4FF38B58"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(ר"פ אלמנה ניזונת)</w:t>
      </w:r>
      <w:r w:rsidRPr="00AB0AB9">
        <w:rPr>
          <w:rFonts w:cs="Arial" w:hint="cs"/>
          <w:b/>
          <w:bCs/>
          <w:rtl/>
        </w:rPr>
        <w:t xml:space="preserve"> </w:t>
      </w:r>
      <w:r>
        <w:rPr>
          <w:rFonts w:cs="Arial" w:hint="cs"/>
          <w:b/>
          <w:bCs/>
          <w:rtl/>
        </w:rPr>
        <w:t>צה</w:t>
      </w:r>
      <w:r w:rsidRPr="00AB0AB9">
        <w:rPr>
          <w:rFonts w:cs="Arial" w:hint="cs"/>
          <w:b/>
          <w:bCs/>
          <w:rtl/>
        </w:rPr>
        <w:t xml:space="preserve"> ע"ב:</w:t>
      </w:r>
      <w:r>
        <w:rPr>
          <w:rFonts w:cs="Arial" w:hint="cs"/>
          <w:rtl/>
        </w:rPr>
        <w:t xml:space="preserve"> </w:t>
      </w:r>
      <w:r w:rsidRPr="001974DD">
        <w:rPr>
          <w:rFonts w:cs="Arial"/>
          <w:u w:val="double"/>
          <w:rtl/>
        </w:rPr>
        <w:t>מתני'</w:t>
      </w:r>
      <w:r>
        <w:rPr>
          <w:rFonts w:cs="Arial" w:hint="cs"/>
          <w:rtl/>
        </w:rPr>
        <w:t>:</w:t>
      </w:r>
      <w:r w:rsidRPr="001974DD">
        <w:rPr>
          <w:rFonts w:cs="Arial"/>
          <w:rtl/>
        </w:rPr>
        <w:t xml:space="preserve"> אלמנה ניזונת מנכסי יתומים, מעשה ידיה שלהן, ואין חייבין בקבורתה</w:t>
      </w:r>
      <w:r>
        <w:rPr>
          <w:rStyle w:val="a7"/>
          <w:rFonts w:cs="Arial"/>
          <w:rtl/>
        </w:rPr>
        <w:footnoteReference w:id="1920"/>
      </w:r>
      <w:r>
        <w:rPr>
          <w:rFonts w:cs="Arial" w:hint="cs"/>
          <w:rtl/>
        </w:rPr>
        <w:t>.</w:t>
      </w:r>
      <w:r w:rsidRPr="001974DD">
        <w:rPr>
          <w:rFonts w:cs="Arial"/>
          <w:rtl/>
        </w:rPr>
        <w:t xml:space="preserve"> יורשיה יורשי כתובתה - חייבין בקבורתה.</w:t>
      </w:r>
      <w:r w:rsidRPr="00264A23">
        <w:rPr>
          <w:rtl/>
        </w:rPr>
        <w:t xml:space="preserve"> </w:t>
      </w:r>
      <w:r>
        <w:rPr>
          <w:rFonts w:hint="cs"/>
          <w:rtl/>
        </w:rPr>
        <w:t xml:space="preserve">     </w:t>
      </w:r>
    </w:p>
    <w:p w14:paraId="4D35910D" w14:textId="77777777" w:rsidR="002E5BAD" w:rsidRDefault="002E5BAD" w:rsidP="002E5BAD">
      <w:pPr>
        <w:rPr>
          <w:rtl/>
        </w:rPr>
      </w:pPr>
      <w:r w:rsidRPr="00AB0AB9">
        <w:rPr>
          <w:rFonts w:cs="Arial" w:hint="cs"/>
          <w:b/>
          <w:bCs/>
          <w:rtl/>
        </w:rPr>
        <w:t>כתובות</w:t>
      </w:r>
      <w:r>
        <w:rPr>
          <w:rFonts w:cs="Arial" w:hint="cs"/>
          <w:b/>
          <w:bCs/>
          <w:rtl/>
        </w:rPr>
        <w:t xml:space="preserve"> </w:t>
      </w:r>
      <w:r>
        <w:rPr>
          <w:rFonts w:cs="Arial" w:hint="cs"/>
          <w:b/>
          <w:bCs/>
          <w:sz w:val="16"/>
          <w:szCs w:val="16"/>
          <w:rtl/>
        </w:rPr>
        <w:t>(פ' האשה שנפלו)</w:t>
      </w:r>
      <w:r w:rsidRPr="00AB0AB9">
        <w:rPr>
          <w:rFonts w:cs="Arial" w:hint="cs"/>
          <w:b/>
          <w:bCs/>
          <w:rtl/>
        </w:rPr>
        <w:t xml:space="preserve"> </w:t>
      </w:r>
      <w:r>
        <w:rPr>
          <w:rFonts w:cs="Arial" w:hint="cs"/>
          <w:b/>
          <w:bCs/>
          <w:rtl/>
        </w:rPr>
        <w:t>פא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264A23">
        <w:rPr>
          <w:rFonts w:cs="Arial"/>
          <w:u w:val="single"/>
          <w:rtl/>
        </w:rPr>
        <w:t>אמר אביי</w:t>
      </w:r>
      <w:r>
        <w:rPr>
          <w:rFonts w:cs="Arial" w:hint="cs"/>
          <w:rtl/>
        </w:rPr>
        <w:t>:</w:t>
      </w:r>
      <w:r w:rsidRPr="00264A23">
        <w:rPr>
          <w:rFonts w:cs="Arial"/>
          <w:rtl/>
        </w:rPr>
        <w:t xml:space="preserve"> אף אנן נמי תנינא: אלמנה ניזונת מנכסי יתומין, ומעשה ידיה שלהן, ואין חייבין בקבורתה, יורשיה יורשי כתובתה חייבין בקבורתה</w:t>
      </w:r>
      <w:r>
        <w:rPr>
          <w:rFonts w:cs="Arial" w:hint="cs"/>
          <w:rtl/>
        </w:rPr>
        <w:t>.</w:t>
      </w:r>
      <w:r w:rsidRPr="00264A23">
        <w:rPr>
          <w:rFonts w:cs="Arial"/>
          <w:rtl/>
        </w:rPr>
        <w:t xml:space="preserve"> ואיזוהי אלמנה שיש לה שני יורשין</w:t>
      </w:r>
      <w:r>
        <w:rPr>
          <w:rStyle w:val="a7"/>
          <w:rFonts w:cs="Arial"/>
          <w:rtl/>
        </w:rPr>
        <w:footnoteReference w:id="1921"/>
      </w:r>
      <w:r w:rsidRPr="00264A23">
        <w:rPr>
          <w:rFonts w:cs="Arial"/>
          <w:rtl/>
        </w:rPr>
        <w:t xml:space="preserve">? הוי אומר: זו שומרת יבם. </w:t>
      </w:r>
      <w:r w:rsidRPr="00264A23">
        <w:rPr>
          <w:rFonts w:cs="Arial"/>
          <w:u w:val="single"/>
          <w:rtl/>
        </w:rPr>
        <w:t>אמר רבא</w:t>
      </w:r>
      <w:r>
        <w:rPr>
          <w:rFonts w:cs="Arial" w:hint="cs"/>
          <w:rtl/>
        </w:rPr>
        <w:t>:</w:t>
      </w:r>
      <w:r w:rsidRPr="00264A23">
        <w:rPr>
          <w:rFonts w:cs="Arial"/>
          <w:rtl/>
        </w:rPr>
        <w:t xml:space="preserve"> ולימא: אח אני יורש</w:t>
      </w:r>
      <w:r>
        <w:rPr>
          <w:rStyle w:val="a7"/>
          <w:rFonts w:cs="Arial"/>
          <w:rtl/>
        </w:rPr>
        <w:footnoteReference w:id="1922"/>
      </w:r>
      <w:r w:rsidRPr="00264A23">
        <w:rPr>
          <w:rFonts w:cs="Arial"/>
          <w:rtl/>
        </w:rPr>
        <w:t xml:space="preserve">, אשתו אין אני קובר! </w:t>
      </w:r>
      <w:r w:rsidRPr="00395E1B">
        <w:rPr>
          <w:rFonts w:cs="Arial"/>
          <w:u w:val="single"/>
          <w:rtl/>
        </w:rPr>
        <w:t>אמר ליה אביי</w:t>
      </w:r>
      <w:r w:rsidRPr="00264A23">
        <w:rPr>
          <w:rFonts w:cs="Arial"/>
          <w:rtl/>
        </w:rPr>
        <w:t>: משום דבאין עליו משני צדדין, אם אחיו יורש - יקבור את אשתו</w:t>
      </w:r>
      <w:r>
        <w:rPr>
          <w:rStyle w:val="a7"/>
          <w:rFonts w:cs="Arial"/>
          <w:rtl/>
        </w:rPr>
        <w:footnoteReference w:id="1923"/>
      </w:r>
      <w:r w:rsidRPr="00264A23">
        <w:rPr>
          <w:rFonts w:cs="Arial"/>
          <w:rtl/>
        </w:rPr>
        <w:t>, אם אינו קובר את אשתו - יתן כתובתה</w:t>
      </w:r>
      <w:r>
        <w:rPr>
          <w:rStyle w:val="a7"/>
          <w:rFonts w:cs="Arial"/>
          <w:rtl/>
        </w:rPr>
        <w:footnoteReference w:id="1924"/>
      </w:r>
      <w:r w:rsidRPr="00264A23">
        <w:rPr>
          <w:rFonts w:cs="Arial"/>
          <w:rtl/>
        </w:rPr>
        <w:t>.</w:t>
      </w:r>
    </w:p>
    <w:p w14:paraId="1B0A70A6" w14:textId="77777777" w:rsidR="002E5BAD" w:rsidRPr="001B34BB" w:rsidRDefault="002E5BAD" w:rsidP="002E5BAD">
      <w:pPr>
        <w:rPr>
          <w:u w:val="single"/>
          <w:rtl/>
        </w:rPr>
      </w:pPr>
      <w:r w:rsidRPr="001B34BB">
        <w:rPr>
          <w:rFonts w:hint="cs"/>
          <w:u w:val="single"/>
          <w:rtl/>
        </w:rPr>
        <w:t xml:space="preserve">אלמנה </w:t>
      </w:r>
      <w:r w:rsidRPr="001B34BB">
        <w:rPr>
          <w:u w:val="single"/>
          <w:rtl/>
        </w:rPr>
        <w:t>–</w:t>
      </w:r>
      <w:r w:rsidRPr="001B34BB">
        <w:rPr>
          <w:rFonts w:hint="cs"/>
          <w:u w:val="single"/>
          <w:rtl/>
        </w:rPr>
        <w:t xml:space="preserve"> מנכסי מי היא נקברת:</w:t>
      </w:r>
    </w:p>
    <w:p w14:paraId="7A904A5F" w14:textId="77777777" w:rsidR="002E5BAD" w:rsidRPr="001974DD" w:rsidRDefault="002E5BAD" w:rsidP="002E5BAD">
      <w:pPr>
        <w:pStyle w:val="ab"/>
        <w:numPr>
          <w:ilvl w:val="0"/>
          <w:numId w:val="184"/>
        </w:numPr>
      </w:pPr>
      <w:r>
        <w:rPr>
          <w:rFonts w:cs="Arial" w:hint="cs"/>
          <w:rtl/>
        </w:rPr>
        <w:t xml:space="preserve">תוס' </w:t>
      </w:r>
      <w:r w:rsidRPr="00AC1506">
        <w:rPr>
          <w:rFonts w:cs="Arial" w:hint="cs"/>
          <w:sz w:val="16"/>
          <w:szCs w:val="16"/>
          <w:rtl/>
        </w:rPr>
        <w:t>(צה: ד"ה ואין חייבין</w:t>
      </w:r>
      <w:r>
        <w:rPr>
          <w:rFonts w:cs="Arial" w:hint="cs"/>
          <w:sz w:val="16"/>
          <w:szCs w:val="16"/>
          <w:rtl/>
        </w:rPr>
        <w:t xml:space="preserve">, כ"כ ב"ש [סק"ו] בשמם) </w:t>
      </w:r>
      <w:r>
        <w:rPr>
          <w:rFonts w:cs="Arial" w:hint="cs"/>
          <w:rtl/>
        </w:rPr>
        <w:t xml:space="preserve">ראב"ד </w:t>
      </w:r>
      <w:r>
        <w:rPr>
          <w:rFonts w:cs="Arial" w:hint="cs"/>
          <w:sz w:val="16"/>
          <w:szCs w:val="16"/>
          <w:rtl/>
        </w:rPr>
        <w:t xml:space="preserve">(פי"ח ה"ו) </w:t>
      </w:r>
      <w:r>
        <w:rPr>
          <w:rFonts w:cs="Arial" w:hint="cs"/>
          <w:rtl/>
        </w:rPr>
        <w:t xml:space="preserve">טור ור"ן </w:t>
      </w:r>
      <w:r w:rsidRPr="00A67041">
        <w:rPr>
          <w:rFonts w:cs="Arial"/>
          <w:sz w:val="16"/>
          <w:szCs w:val="16"/>
          <w:rtl/>
        </w:rPr>
        <w:t>(</w:t>
      </w:r>
      <w:r>
        <w:rPr>
          <w:rFonts w:cs="Arial" w:hint="cs"/>
          <w:sz w:val="16"/>
          <w:szCs w:val="16"/>
          <w:rtl/>
        </w:rPr>
        <w:t xml:space="preserve">ר"פ אלמנה </w:t>
      </w:r>
      <w:r w:rsidRPr="00A67041">
        <w:rPr>
          <w:rFonts w:cs="Arial"/>
          <w:sz w:val="16"/>
          <w:szCs w:val="16"/>
          <w:rtl/>
        </w:rPr>
        <w:t xml:space="preserve">נה. ד"ה אלמנה) </w:t>
      </w:r>
      <w:r>
        <w:rPr>
          <w:rFonts w:cs="Arial" w:hint="cs"/>
          <w:rtl/>
        </w:rPr>
        <w:t xml:space="preserve">- </w:t>
      </w:r>
      <w:r w:rsidRPr="00D37988">
        <w:rPr>
          <w:rFonts w:cs="Arial"/>
          <w:rtl/>
        </w:rPr>
        <w:t>בד"א בחייו</w:t>
      </w:r>
      <w:r>
        <w:rPr>
          <w:rFonts w:cs="Arial" w:hint="cs"/>
          <w:rtl/>
        </w:rPr>
        <w:t>,</w:t>
      </w:r>
      <w:r w:rsidRPr="00D37988">
        <w:rPr>
          <w:rFonts w:cs="Arial"/>
          <w:rtl/>
        </w:rPr>
        <w:t xml:space="preserve"> אבל אלמנתו אינה נקברת מנכסיו</w:t>
      </w:r>
      <w:r>
        <w:rPr>
          <w:rFonts w:cs="Arial" w:hint="cs"/>
          <w:rtl/>
        </w:rPr>
        <w:t>,</w:t>
      </w:r>
      <w:r w:rsidRPr="00D37988">
        <w:rPr>
          <w:rFonts w:cs="Arial"/>
          <w:rtl/>
        </w:rPr>
        <w:t xml:space="preserve"> אלא יורשי כתובתה חייבים בקבורתה</w:t>
      </w:r>
      <w:r>
        <w:rPr>
          <w:rFonts w:cs="Arial" w:hint="cs"/>
          <w:sz w:val="16"/>
          <w:szCs w:val="16"/>
          <w:rtl/>
        </w:rPr>
        <w:t xml:space="preserve"> (ל' הטור)</w:t>
      </w:r>
      <w:r w:rsidRPr="001B34BB">
        <w:rPr>
          <w:rFonts w:cs="Arial" w:hint="cs"/>
          <w:rtl/>
        </w:rPr>
        <w:t>.</w:t>
      </w:r>
      <w:r>
        <w:rPr>
          <w:rFonts w:hint="cs"/>
          <w:rtl/>
        </w:rPr>
        <w:t xml:space="preserve"> </w:t>
      </w:r>
      <w:r w:rsidRPr="00A67041">
        <w:rPr>
          <w:rFonts w:hint="cs"/>
          <w:color w:val="E36C0A" w:themeColor="accent6" w:themeShade="BF"/>
          <w:rtl/>
        </w:rPr>
        <w:t>(וכ"פ בשו"ע)</w:t>
      </w:r>
    </w:p>
    <w:p w14:paraId="0C8215F3" w14:textId="77777777" w:rsidR="002E5BAD" w:rsidRPr="00C16802" w:rsidRDefault="002E5BAD" w:rsidP="002E5BAD">
      <w:pPr>
        <w:pStyle w:val="ab"/>
        <w:numPr>
          <w:ilvl w:val="0"/>
          <w:numId w:val="184"/>
        </w:numPr>
        <w:rPr>
          <w:rtl/>
        </w:rPr>
      </w:pPr>
      <w:r>
        <w:rPr>
          <w:rFonts w:cs="Arial"/>
          <w:rtl/>
        </w:rPr>
        <w:t>רמב"ם</w:t>
      </w:r>
      <w:r>
        <w:rPr>
          <w:rFonts w:cs="Arial" w:hint="cs"/>
          <w:rtl/>
        </w:rPr>
        <w:t xml:space="preserve"> </w:t>
      </w:r>
      <w:r w:rsidRPr="001974DD">
        <w:rPr>
          <w:rFonts w:cs="Arial" w:hint="cs"/>
          <w:sz w:val="16"/>
          <w:szCs w:val="16"/>
          <w:rtl/>
        </w:rPr>
        <w:t>(</w:t>
      </w:r>
      <w:r w:rsidRPr="001974DD">
        <w:rPr>
          <w:rFonts w:cs="Arial"/>
          <w:sz w:val="16"/>
          <w:szCs w:val="16"/>
          <w:rtl/>
        </w:rPr>
        <w:t>פי"ח מאישות ה"ו)</w:t>
      </w:r>
      <w:r>
        <w:rPr>
          <w:rFonts w:cs="Arial" w:hint="cs"/>
          <w:rtl/>
        </w:rPr>
        <w:t>-</w:t>
      </w:r>
      <w:r>
        <w:rPr>
          <w:rFonts w:cs="Arial"/>
          <w:rtl/>
        </w:rPr>
        <w:t xml:space="preserve"> מתה האלמנה </w:t>
      </w:r>
      <w:r>
        <w:rPr>
          <w:rFonts w:cs="Arial" w:hint="cs"/>
          <w:rtl/>
        </w:rPr>
        <w:t xml:space="preserve">- </w:t>
      </w:r>
      <w:r>
        <w:rPr>
          <w:rFonts w:cs="Arial"/>
          <w:rtl/>
        </w:rPr>
        <w:t>יורשי הבעל חייבים בקבורתה</w:t>
      </w:r>
      <w:r>
        <w:rPr>
          <w:rFonts w:cs="Arial" w:hint="cs"/>
          <w:rtl/>
        </w:rPr>
        <w:t>.</w:t>
      </w:r>
      <w:r>
        <w:rPr>
          <w:rFonts w:cs="Arial"/>
          <w:rtl/>
        </w:rPr>
        <w:t xml:space="preserve"> ואם נשבעה שבועת אלמנה ואח"כ מתה</w:t>
      </w:r>
      <w:r>
        <w:rPr>
          <w:rFonts w:cs="Arial" w:hint="cs"/>
          <w:rtl/>
        </w:rPr>
        <w:t>,</w:t>
      </w:r>
      <w:r>
        <w:rPr>
          <w:rFonts w:cs="Arial"/>
          <w:rtl/>
        </w:rPr>
        <w:t xml:space="preserve"> יורשיה יורשין כתובתה </w:t>
      </w:r>
      <w:r>
        <w:rPr>
          <w:rFonts w:cs="Arial" w:hint="cs"/>
          <w:rtl/>
        </w:rPr>
        <w:t xml:space="preserve">- </w:t>
      </w:r>
      <w:r>
        <w:rPr>
          <w:rFonts w:cs="Arial"/>
          <w:rtl/>
        </w:rPr>
        <w:t>והן חייבין בקבורתה</w:t>
      </w:r>
      <w:r>
        <w:rPr>
          <w:rFonts w:cs="Arial" w:hint="cs"/>
          <w:rtl/>
        </w:rPr>
        <w:t>,</w:t>
      </w:r>
      <w:r>
        <w:rPr>
          <w:rFonts w:cs="Arial"/>
          <w:rtl/>
        </w:rPr>
        <w:t xml:space="preserve"> אבל לא יורשי הבעל</w:t>
      </w:r>
      <w:r>
        <w:rPr>
          <w:rStyle w:val="a7"/>
          <w:rFonts w:cs="Arial"/>
          <w:rtl/>
        </w:rPr>
        <w:footnoteReference w:id="1925"/>
      </w:r>
      <w:r>
        <w:rPr>
          <w:rFonts w:cs="Arial" w:hint="cs"/>
          <w:rtl/>
        </w:rPr>
        <w:t>.</w:t>
      </w:r>
      <w:r>
        <w:rPr>
          <w:rFonts w:hint="cs"/>
          <w:rtl/>
        </w:rPr>
        <w:t xml:space="preserve"> </w:t>
      </w:r>
      <w:r>
        <w:rPr>
          <w:rFonts w:cs="Arial" w:hint="cs"/>
          <w:rtl/>
        </w:rPr>
        <w:t>(וכ"פ הפנמ"א</w:t>
      </w:r>
      <w:r>
        <w:rPr>
          <w:rStyle w:val="a7"/>
          <w:rFonts w:cs="Arial"/>
          <w:rtl/>
        </w:rPr>
        <w:footnoteReference w:id="1926"/>
      </w:r>
      <w:r w:rsidRPr="00B64FE5">
        <w:rPr>
          <w:rFonts w:cs="Arial"/>
          <w:rtl/>
        </w:rPr>
        <w:t xml:space="preserve"> </w:t>
      </w:r>
      <w:r w:rsidRPr="00F15A26">
        <w:rPr>
          <w:rFonts w:cs="Arial" w:hint="cs"/>
          <w:sz w:val="16"/>
          <w:szCs w:val="16"/>
          <w:rtl/>
        </w:rPr>
        <w:t>[</w:t>
      </w:r>
      <w:r w:rsidRPr="00F15A26">
        <w:rPr>
          <w:rFonts w:cs="Arial"/>
          <w:sz w:val="16"/>
          <w:szCs w:val="16"/>
          <w:rtl/>
        </w:rPr>
        <w:t>ח"ב סי' ס</w:t>
      </w:r>
      <w:r w:rsidRPr="00F15A26">
        <w:rPr>
          <w:rFonts w:cs="Arial" w:hint="cs"/>
          <w:sz w:val="16"/>
          <w:szCs w:val="16"/>
          <w:rtl/>
        </w:rPr>
        <w:t>]</w:t>
      </w:r>
      <w:r>
        <w:rPr>
          <w:rFonts w:cs="Arial" w:hint="cs"/>
          <w:rtl/>
        </w:rPr>
        <w:t>)</w:t>
      </w:r>
    </w:p>
    <w:p w14:paraId="7590D36E" w14:textId="77777777" w:rsidR="002E5BAD" w:rsidRPr="001C0969" w:rsidRDefault="002E5BAD" w:rsidP="002E5BAD">
      <w:pPr>
        <w:ind w:left="360"/>
        <w:rPr>
          <w:rFonts w:cs="Arial"/>
          <w:u w:val="dotted"/>
          <w:rtl/>
        </w:rPr>
      </w:pPr>
      <w:r w:rsidRPr="001C0969">
        <w:rPr>
          <w:rFonts w:cs="Arial" w:hint="cs"/>
          <w:u w:val="dotted"/>
          <w:rtl/>
        </w:rPr>
        <w:t>ל</w:t>
      </w:r>
      <w:r>
        <w:rPr>
          <w:rFonts w:cs="Arial" w:hint="cs"/>
          <w:u w:val="dotted"/>
          <w:rtl/>
        </w:rPr>
        <w:t>תוס'</w:t>
      </w:r>
      <w:r w:rsidRPr="001C0969">
        <w:rPr>
          <w:rFonts w:cs="Arial" w:hint="cs"/>
          <w:u w:val="dotted"/>
          <w:rtl/>
        </w:rPr>
        <w:t xml:space="preserve"> וסיעתו - מה הדין אם </w:t>
      </w:r>
      <w:r>
        <w:rPr>
          <w:rFonts w:cs="Arial" w:hint="cs"/>
          <w:u w:val="dotted"/>
          <w:rtl/>
        </w:rPr>
        <w:t>ה</w:t>
      </w:r>
      <w:r w:rsidRPr="001C0969">
        <w:rPr>
          <w:rFonts w:cs="Arial" w:hint="cs"/>
          <w:u w:val="dotted"/>
          <w:rtl/>
        </w:rPr>
        <w:t>אלמנה ענייה ולא הורישה כלום</w:t>
      </w:r>
      <w:r>
        <w:rPr>
          <w:rFonts w:cs="Arial" w:hint="cs"/>
          <w:u w:val="dotted"/>
          <w:rtl/>
        </w:rPr>
        <w:t xml:space="preserve"> בכתובתה</w:t>
      </w:r>
      <w:r w:rsidRPr="001C0969">
        <w:rPr>
          <w:rFonts w:cs="Arial" w:hint="cs"/>
          <w:u w:val="dotted"/>
          <w:rtl/>
        </w:rPr>
        <w:t>:</w:t>
      </w:r>
    </w:p>
    <w:p w14:paraId="500C2017" w14:textId="77777777" w:rsidR="002E5BAD" w:rsidRPr="00171226" w:rsidRDefault="002E5BAD" w:rsidP="002E5BAD">
      <w:pPr>
        <w:pStyle w:val="ab"/>
        <w:numPr>
          <w:ilvl w:val="0"/>
          <w:numId w:val="184"/>
        </w:numPr>
        <w:rPr>
          <w:rFonts w:cs="Arial"/>
        </w:rPr>
      </w:pPr>
      <w:r w:rsidRPr="00AC1506">
        <w:rPr>
          <w:rFonts w:cs="Arial" w:hint="cs"/>
          <w:rtl/>
        </w:rPr>
        <w:lastRenderedPageBreak/>
        <w:t xml:space="preserve">תוס' </w:t>
      </w:r>
      <w:r w:rsidRPr="00AC1506">
        <w:rPr>
          <w:rFonts w:cs="Arial" w:hint="cs"/>
          <w:sz w:val="16"/>
          <w:szCs w:val="16"/>
          <w:rtl/>
        </w:rPr>
        <w:t>(צה: ד"ה ואין חייבין</w:t>
      </w:r>
      <w:r>
        <w:rPr>
          <w:rFonts w:cs="Arial" w:hint="cs"/>
          <w:sz w:val="16"/>
          <w:szCs w:val="16"/>
          <w:rtl/>
        </w:rPr>
        <w:t>, כ"כ בשמו ח"מ [סק"ג] וב"ש [סק"ה]</w:t>
      </w:r>
      <w:r w:rsidRPr="00AC1506">
        <w:rPr>
          <w:rFonts w:cs="Arial" w:hint="cs"/>
          <w:sz w:val="16"/>
          <w:szCs w:val="16"/>
          <w:rtl/>
        </w:rPr>
        <w:t>)</w:t>
      </w:r>
      <w:r w:rsidRPr="00AC1506">
        <w:rPr>
          <w:rFonts w:cs="Arial" w:hint="cs"/>
          <w:rtl/>
        </w:rPr>
        <w:t xml:space="preserve"> ומהרי"ל</w:t>
      </w:r>
      <w:r>
        <w:rPr>
          <w:rStyle w:val="a7"/>
          <w:rFonts w:cs="Arial"/>
          <w:rtl/>
        </w:rPr>
        <w:footnoteReference w:id="1927"/>
      </w:r>
      <w:r w:rsidRPr="00AC1506">
        <w:rPr>
          <w:rFonts w:cs="Arial" w:hint="cs"/>
          <w:sz w:val="16"/>
          <w:szCs w:val="16"/>
          <w:rtl/>
        </w:rPr>
        <w:t xml:space="preserve"> (סי' סא</w:t>
      </w:r>
      <w:r>
        <w:rPr>
          <w:rFonts w:cs="Arial" w:hint="cs"/>
          <w:sz w:val="16"/>
          <w:szCs w:val="16"/>
          <w:rtl/>
        </w:rPr>
        <w:t>, הביאו ח"מ [סק"ג]</w:t>
      </w:r>
      <w:r w:rsidRPr="00AC1506">
        <w:rPr>
          <w:rFonts w:cs="Arial" w:hint="cs"/>
          <w:sz w:val="16"/>
          <w:szCs w:val="16"/>
          <w:rtl/>
        </w:rPr>
        <w:t>)</w:t>
      </w:r>
      <w:r w:rsidRPr="00AC1506">
        <w:rPr>
          <w:rFonts w:cs="Arial" w:hint="cs"/>
          <w:rtl/>
        </w:rPr>
        <w:t>-</w:t>
      </w:r>
      <w:r w:rsidRPr="00AC1506">
        <w:rPr>
          <w:rFonts w:cs="Arial"/>
          <w:rtl/>
        </w:rPr>
        <w:t xml:space="preserve"> </w:t>
      </w:r>
      <w:r w:rsidRPr="001C0969">
        <w:rPr>
          <w:rFonts w:cs="Arial"/>
          <w:rtl/>
        </w:rPr>
        <w:t>לא פלוג</w:t>
      </w:r>
      <w:r>
        <w:rPr>
          <w:rFonts w:cs="Arial" w:hint="cs"/>
          <w:rtl/>
        </w:rPr>
        <w:t>,</w:t>
      </w:r>
      <w:r w:rsidRPr="001C0969">
        <w:rPr>
          <w:rFonts w:cs="Arial"/>
          <w:rtl/>
        </w:rPr>
        <w:t xml:space="preserve"> לפ"ז אפי' לא הניח כלום מ"מ חייבים בקבורה</w:t>
      </w:r>
      <w:r>
        <w:rPr>
          <w:rStyle w:val="a7"/>
          <w:rFonts w:cs="Arial"/>
          <w:rtl/>
        </w:rPr>
        <w:footnoteReference w:id="1928"/>
      </w:r>
      <w:r>
        <w:rPr>
          <w:rFonts w:cs="Arial" w:hint="cs"/>
          <w:sz w:val="16"/>
          <w:szCs w:val="16"/>
          <w:rtl/>
        </w:rPr>
        <w:t xml:space="preserve"> (ל' הב"ש)</w:t>
      </w:r>
      <w:r>
        <w:rPr>
          <w:rFonts w:cs="Arial" w:hint="cs"/>
          <w:rtl/>
        </w:rPr>
        <w:t>.</w:t>
      </w:r>
    </w:p>
    <w:p w14:paraId="7C37F961" w14:textId="77777777" w:rsidR="002E5BAD" w:rsidRPr="001C0969" w:rsidRDefault="002E5BAD" w:rsidP="002E5BAD">
      <w:pPr>
        <w:rPr>
          <w:rFonts w:cs="Arial"/>
          <w:rtl/>
        </w:rPr>
      </w:pPr>
      <w:r w:rsidRPr="001C0969">
        <w:rPr>
          <w:rFonts w:asciiTheme="minorBidi" w:hAnsiTheme="minorBidi"/>
          <w:b/>
          <w:bCs/>
          <w:color w:val="000000"/>
          <w:sz w:val="28"/>
          <w:szCs w:val="28"/>
          <w:u w:val="single"/>
          <w:rtl/>
        </w:rPr>
        <w:t>שו"ע:</w:t>
      </w:r>
    </w:p>
    <w:p w14:paraId="0A66F514" w14:textId="77777777" w:rsidR="002E5BAD" w:rsidRDefault="002E5BAD" w:rsidP="002E5BAD">
      <w:pPr>
        <w:rPr>
          <w:rFonts w:cs="Arial"/>
          <w:rtl/>
        </w:rPr>
      </w:pPr>
      <w:r>
        <w:rPr>
          <w:rFonts w:cs="Arial"/>
          <w:rtl/>
        </w:rPr>
        <w:t>אלמנה, אינה נקברת מנכסי בעלה, אלא יורשי כתובתה חייבין בקבורתה. ואם מתה קודם שנשבעה שבועת אלמנה, יש מי שאומר שיורשי בעלה חייבין בקבורתה, ולא הודו לו</w:t>
      </w:r>
      <w:r>
        <w:rPr>
          <w:rFonts w:cs="Arial" w:hint="cs"/>
          <w:rtl/>
        </w:rPr>
        <w:t>.</w:t>
      </w:r>
    </w:p>
    <w:p w14:paraId="2AD4B70A" w14:textId="77777777" w:rsidR="002E5BAD" w:rsidRPr="00AC1506" w:rsidRDefault="002E5BAD" w:rsidP="002E5BAD">
      <w:pPr>
        <w:pStyle w:val="ab"/>
        <w:numPr>
          <w:ilvl w:val="0"/>
          <w:numId w:val="186"/>
        </w:numPr>
        <w:rPr>
          <w:rFonts w:cs="Arial"/>
          <w:rtl/>
        </w:rPr>
        <w:sectPr w:rsidR="002E5BAD" w:rsidRPr="00AC1506" w:rsidSect="00A347B3">
          <w:headerReference w:type="default" r:id="rId45"/>
          <w:footnotePr>
            <w:numRestart w:val="eachPage"/>
          </w:footnotePr>
          <w:pgSz w:w="11906" w:h="16838"/>
          <w:pgMar w:top="720" w:right="1134" w:bottom="720" w:left="1134" w:header="0" w:footer="0" w:gutter="0"/>
          <w:cols w:space="720"/>
          <w:bidi/>
          <w:rtlGutter/>
          <w:docGrid w:linePitch="360"/>
        </w:sectPr>
      </w:pPr>
    </w:p>
    <w:p w14:paraId="3D7ECC01" w14:textId="77777777" w:rsidR="002E5BAD" w:rsidRPr="00EB79BF" w:rsidRDefault="002E5BAD" w:rsidP="002E5BAD">
      <w:pPr>
        <w:pStyle w:val="1"/>
        <w:rPr>
          <w:rtl/>
        </w:rPr>
      </w:pPr>
      <w:r>
        <w:rPr>
          <w:rFonts w:hint="cs"/>
          <w:rtl/>
        </w:rPr>
        <w:lastRenderedPageBreak/>
        <w:t>סימן צ:</w:t>
      </w:r>
      <w:r>
        <w:rPr>
          <w:rFonts w:cs="Arial"/>
          <w:rtl/>
        </w:rPr>
        <w:t xml:space="preserve"> </w:t>
      </w:r>
      <w:r w:rsidRPr="00EB79BF">
        <w:rPr>
          <w:rFonts w:cs="Arial"/>
          <w:rtl/>
        </w:rPr>
        <w:t xml:space="preserve">דין הבעל יורש את אשתו, ומה הוא שאינו יורש, מכירת האיש בנכסיו המשועבדים לאשתו, וטענת נחת רוח עשיתי לבעלי, ובו כ' סעיפים. </w:t>
      </w:r>
    </w:p>
    <w:p w14:paraId="4465263E" w14:textId="77777777" w:rsidR="002E5BAD" w:rsidRDefault="002E5BAD" w:rsidP="002E5BAD">
      <w:pPr>
        <w:pStyle w:val="2"/>
        <w:rPr>
          <w:rtl/>
        </w:rPr>
      </w:pPr>
      <w:r>
        <w:rPr>
          <w:rtl/>
        </w:rPr>
        <w:t>סעיף א</w:t>
      </w:r>
      <w:r>
        <w:rPr>
          <w:rFonts w:hint="cs"/>
          <w:rtl/>
        </w:rPr>
        <w:t>: האיש יורש את אשתו.</w:t>
      </w:r>
    </w:p>
    <w:p w14:paraId="7778F73B" w14:textId="77777777" w:rsidR="002E5BAD" w:rsidRDefault="002E5BAD" w:rsidP="002E5BAD">
      <w:pPr>
        <w:rPr>
          <w:rtl/>
        </w:rPr>
      </w:pPr>
      <w:r w:rsidRPr="004E510F">
        <w:rPr>
          <w:rFonts w:cs="Arial"/>
          <w:b/>
          <w:bCs/>
          <w:rtl/>
        </w:rPr>
        <w:t xml:space="preserve">בבא בתרא </w:t>
      </w:r>
      <w:r w:rsidRPr="00BD74BB">
        <w:rPr>
          <w:rFonts w:cs="Arial" w:hint="cs"/>
          <w:b/>
          <w:bCs/>
          <w:sz w:val="16"/>
          <w:szCs w:val="16"/>
          <w:rtl/>
        </w:rPr>
        <w:t>(פ' מי שמת)</w:t>
      </w:r>
      <w:r w:rsidRPr="004E510F">
        <w:rPr>
          <w:rFonts w:cs="Arial" w:hint="cs"/>
          <w:b/>
          <w:bCs/>
          <w:rtl/>
        </w:rPr>
        <w:t xml:space="preserve"> </w:t>
      </w:r>
      <w:r w:rsidRPr="004E510F">
        <w:rPr>
          <w:rFonts w:cs="Arial"/>
          <w:b/>
          <w:bCs/>
          <w:rtl/>
        </w:rPr>
        <w:t>קנח ע</w:t>
      </w:r>
      <w:r w:rsidRPr="004E510F">
        <w:rPr>
          <w:rFonts w:cs="Arial" w:hint="cs"/>
          <w:b/>
          <w:bCs/>
          <w:rtl/>
        </w:rPr>
        <w:t>"א:</w:t>
      </w:r>
      <w:r w:rsidRPr="004E510F">
        <w:rPr>
          <w:rFonts w:cs="Arial"/>
          <w:rtl/>
        </w:rPr>
        <w:t xml:space="preserve"> </w:t>
      </w:r>
      <w:r w:rsidRPr="004E510F">
        <w:rPr>
          <w:rFonts w:cs="Arial"/>
          <w:u w:val="double"/>
          <w:rtl/>
        </w:rPr>
        <w:t>מתני'</w:t>
      </w:r>
      <w:r>
        <w:rPr>
          <w:rFonts w:cs="Arial" w:hint="cs"/>
          <w:rtl/>
        </w:rPr>
        <w:t>:</w:t>
      </w:r>
      <w:r w:rsidRPr="004E510F">
        <w:rPr>
          <w:rFonts w:cs="Arial"/>
          <w:rtl/>
        </w:rPr>
        <w:t xml:space="preserve"> נפל הבית עליו ועל אשתו, יורשי הבעל אומרים: אשה מתה ראשון ואחר כך מת הבעל, יורשי אשה אומרים: בעל מת ראשון ואחר כך מתה אשה</w:t>
      </w:r>
      <w:r>
        <w:rPr>
          <w:rFonts w:cs="Arial" w:hint="cs"/>
          <w:rtl/>
        </w:rPr>
        <w:t>,</w:t>
      </w:r>
      <w:r w:rsidRPr="004E510F">
        <w:rPr>
          <w:rFonts w:cs="Arial"/>
          <w:rtl/>
        </w:rPr>
        <w:t xml:space="preserve"> </w:t>
      </w:r>
      <w:r w:rsidRPr="00BD74BB">
        <w:rPr>
          <w:rFonts w:cs="Arial"/>
          <w:u w:val="single"/>
          <w:rtl/>
        </w:rPr>
        <w:t>בית שמאי אומרים</w:t>
      </w:r>
      <w:r w:rsidRPr="004E510F">
        <w:rPr>
          <w:rFonts w:cs="Arial"/>
          <w:rtl/>
        </w:rPr>
        <w:t>: יחלוקו</w:t>
      </w:r>
      <w:r>
        <w:rPr>
          <w:rFonts w:cs="Arial" w:hint="cs"/>
          <w:rtl/>
        </w:rPr>
        <w:t>.</w:t>
      </w:r>
      <w:r w:rsidRPr="004E510F">
        <w:rPr>
          <w:rFonts w:cs="Arial"/>
          <w:rtl/>
        </w:rPr>
        <w:t xml:space="preserve"> </w:t>
      </w:r>
      <w:r w:rsidRPr="00BD74BB">
        <w:rPr>
          <w:rFonts w:cs="Arial"/>
          <w:u w:val="single"/>
          <w:rtl/>
        </w:rPr>
        <w:t>ובית הלל אומרים</w:t>
      </w:r>
      <w:r w:rsidRPr="004E510F">
        <w:rPr>
          <w:rFonts w:cs="Arial"/>
          <w:rtl/>
        </w:rPr>
        <w:t xml:space="preserve">: נכסים </w:t>
      </w:r>
      <w:r>
        <w:rPr>
          <w:rFonts w:cs="Arial" w:hint="cs"/>
          <w:rtl/>
        </w:rPr>
        <w:t xml:space="preserve">- </w:t>
      </w:r>
      <w:r w:rsidRPr="004E510F">
        <w:rPr>
          <w:rFonts w:cs="Arial"/>
          <w:rtl/>
        </w:rPr>
        <w:t>בחזקתן</w:t>
      </w:r>
      <w:r>
        <w:rPr>
          <w:rStyle w:val="a7"/>
          <w:rFonts w:cs="Arial"/>
          <w:rtl/>
        </w:rPr>
        <w:footnoteReference w:id="1929"/>
      </w:r>
      <w:r>
        <w:rPr>
          <w:rFonts w:cs="Arial" w:hint="cs"/>
          <w:rtl/>
        </w:rPr>
        <w:t>.</w:t>
      </w:r>
      <w:r w:rsidRPr="004E510F">
        <w:rPr>
          <w:rFonts w:cs="Arial"/>
          <w:rtl/>
        </w:rPr>
        <w:t xml:space="preserve"> כתובה - בחזקת יורשי הבעל</w:t>
      </w:r>
      <w:r>
        <w:rPr>
          <w:rStyle w:val="a7"/>
          <w:rFonts w:cs="Arial"/>
          <w:rtl/>
        </w:rPr>
        <w:footnoteReference w:id="1930"/>
      </w:r>
      <w:r>
        <w:rPr>
          <w:rFonts w:cs="Arial" w:hint="cs"/>
          <w:rtl/>
        </w:rPr>
        <w:t>.</w:t>
      </w:r>
      <w:r w:rsidRPr="004E510F">
        <w:rPr>
          <w:rFonts w:cs="Arial"/>
          <w:rtl/>
        </w:rPr>
        <w:t xml:space="preserve"> נכסים הנכנסין והיוצאין עמה</w:t>
      </w:r>
      <w:r>
        <w:rPr>
          <w:rStyle w:val="a7"/>
          <w:rFonts w:cs="Arial"/>
          <w:rtl/>
        </w:rPr>
        <w:footnoteReference w:id="1931"/>
      </w:r>
      <w:r w:rsidRPr="004E510F">
        <w:rPr>
          <w:rFonts w:cs="Arial"/>
          <w:rtl/>
        </w:rPr>
        <w:t xml:space="preserve"> - בחזקת יורשי האב</w:t>
      </w:r>
      <w:r>
        <w:rPr>
          <w:rStyle w:val="a7"/>
          <w:rFonts w:cs="Arial"/>
          <w:rtl/>
        </w:rPr>
        <w:footnoteReference w:id="1932"/>
      </w:r>
      <w:r w:rsidRPr="004E510F">
        <w:rPr>
          <w:rFonts w:cs="Arial"/>
          <w:rtl/>
        </w:rPr>
        <w:t>.</w:t>
      </w:r>
      <w:r>
        <w:rPr>
          <w:rFonts w:hint="cs"/>
          <w:rtl/>
        </w:rPr>
        <w:t xml:space="preserve">     </w:t>
      </w:r>
      <w:r w:rsidRPr="00BD74BB">
        <w:rPr>
          <w:rtl/>
        </w:rPr>
        <w:t xml:space="preserve"> </w:t>
      </w:r>
      <w:r w:rsidRPr="00BD74BB">
        <w:rPr>
          <w:rFonts w:cs="Arial"/>
          <w:u w:val="double"/>
          <w:rtl/>
        </w:rPr>
        <w:t>גמ'</w:t>
      </w:r>
      <w:r>
        <w:rPr>
          <w:rFonts w:cs="Arial" w:hint="cs"/>
          <w:u w:val="double"/>
          <w:rtl/>
        </w:rPr>
        <w:t xml:space="preserve"> </w:t>
      </w:r>
      <w:r>
        <w:rPr>
          <w:rFonts w:cs="Arial" w:hint="cs"/>
          <w:sz w:val="14"/>
          <w:szCs w:val="14"/>
          <w:u w:val="double"/>
          <w:rtl/>
        </w:rPr>
        <w:t>(קנח:)</w:t>
      </w:r>
      <w:r w:rsidRPr="00BD74BB">
        <w:rPr>
          <w:rFonts w:cs="Arial" w:hint="cs"/>
          <w:u w:val="double"/>
          <w:rtl/>
        </w:rPr>
        <w:t>:</w:t>
      </w:r>
      <w:r w:rsidRPr="00BD74BB">
        <w:rPr>
          <w:rFonts w:cs="Arial"/>
          <w:rtl/>
        </w:rPr>
        <w:t xml:space="preserve"> בחזקת מי? </w:t>
      </w:r>
      <w:r w:rsidRPr="00BD74BB">
        <w:rPr>
          <w:rFonts w:cs="Arial"/>
          <w:u w:val="single"/>
          <w:rtl/>
        </w:rPr>
        <w:t>ר' יוחנן אמר</w:t>
      </w:r>
      <w:r w:rsidRPr="00BD74BB">
        <w:rPr>
          <w:rFonts w:cs="Arial"/>
          <w:rtl/>
        </w:rPr>
        <w:t>: בחזקת יורשי הבעל</w:t>
      </w:r>
      <w:r>
        <w:rPr>
          <w:rFonts w:cs="Arial" w:hint="cs"/>
          <w:rtl/>
        </w:rPr>
        <w:t>.</w:t>
      </w:r>
      <w:r w:rsidRPr="00BD74BB">
        <w:rPr>
          <w:rFonts w:cs="Arial"/>
          <w:rtl/>
        </w:rPr>
        <w:t xml:space="preserve"> </w:t>
      </w:r>
      <w:r w:rsidRPr="00BD74BB">
        <w:rPr>
          <w:rFonts w:cs="Arial"/>
          <w:u w:val="single"/>
          <w:rtl/>
        </w:rPr>
        <w:t>ור' אלעזר אמר</w:t>
      </w:r>
      <w:r w:rsidRPr="00BD74BB">
        <w:rPr>
          <w:rFonts w:cs="Arial"/>
          <w:rtl/>
        </w:rPr>
        <w:t>: בחזקת יורשי האשה</w:t>
      </w:r>
      <w:r>
        <w:rPr>
          <w:rFonts w:cs="Arial" w:hint="cs"/>
          <w:rtl/>
        </w:rPr>
        <w:t>.</w:t>
      </w:r>
      <w:r w:rsidRPr="00BD74BB">
        <w:rPr>
          <w:rFonts w:cs="Arial"/>
          <w:rtl/>
        </w:rPr>
        <w:t xml:space="preserve"> </w:t>
      </w:r>
      <w:r w:rsidRPr="00BD74BB">
        <w:rPr>
          <w:rFonts w:cs="Arial"/>
          <w:u w:val="single"/>
          <w:rtl/>
        </w:rPr>
        <w:t>ור' שמעון בן לקיש משום בר קפרא אמר</w:t>
      </w:r>
      <w:r w:rsidRPr="00BD74BB">
        <w:rPr>
          <w:rFonts w:cs="Arial"/>
          <w:rtl/>
        </w:rPr>
        <w:t xml:space="preserve">: יחלוקו. </w:t>
      </w:r>
      <w:r w:rsidRPr="00BD74BB">
        <w:rPr>
          <w:rFonts w:cs="Arial"/>
          <w:u w:val="single"/>
          <w:rtl/>
        </w:rPr>
        <w:t>וכן תני בר קפרא</w:t>
      </w:r>
      <w:r w:rsidRPr="00BD74BB">
        <w:rPr>
          <w:rFonts w:cs="Arial"/>
          <w:rtl/>
        </w:rPr>
        <w:t>: הואיל והללו באין לירש והללו באין לירש - יחלוקו.</w:t>
      </w:r>
      <w:r w:rsidRPr="007C72E9">
        <w:rPr>
          <w:rFonts w:hint="cs"/>
          <w:sz w:val="16"/>
          <w:szCs w:val="16"/>
          <w:rtl/>
        </w:rPr>
        <w:t xml:space="preserve"> (מכאן משמע שהבעל יורש</w:t>
      </w:r>
      <w:r>
        <w:rPr>
          <w:rFonts w:hint="cs"/>
          <w:sz w:val="16"/>
          <w:szCs w:val="16"/>
          <w:rtl/>
        </w:rPr>
        <w:t xml:space="preserve"> את אשתו</w:t>
      </w:r>
      <w:r w:rsidRPr="007C72E9">
        <w:rPr>
          <w:rFonts w:hint="cs"/>
          <w:sz w:val="16"/>
          <w:szCs w:val="16"/>
          <w:rtl/>
        </w:rPr>
        <w:t xml:space="preserve"> בין </w:t>
      </w:r>
      <w:r>
        <w:rPr>
          <w:rFonts w:hint="cs"/>
          <w:sz w:val="16"/>
          <w:szCs w:val="16"/>
          <w:rtl/>
        </w:rPr>
        <w:t>ב</w:t>
      </w:r>
      <w:r w:rsidRPr="007C72E9">
        <w:rPr>
          <w:rFonts w:hint="cs"/>
          <w:sz w:val="16"/>
          <w:szCs w:val="16"/>
          <w:rtl/>
        </w:rPr>
        <w:t xml:space="preserve">נכסי מלוג ובין </w:t>
      </w:r>
      <w:r>
        <w:rPr>
          <w:rFonts w:hint="cs"/>
          <w:sz w:val="16"/>
          <w:szCs w:val="16"/>
          <w:rtl/>
        </w:rPr>
        <w:t>ב</w:t>
      </w:r>
      <w:r w:rsidRPr="007C72E9">
        <w:rPr>
          <w:rFonts w:hint="cs"/>
          <w:sz w:val="16"/>
          <w:szCs w:val="16"/>
          <w:rtl/>
        </w:rPr>
        <w:t>נכסי צאן ברזל</w:t>
      </w:r>
      <w:r>
        <w:rPr>
          <w:rFonts w:hint="cs"/>
          <w:sz w:val="16"/>
          <w:szCs w:val="16"/>
          <w:rtl/>
        </w:rPr>
        <w:t>. וכתב הב"י ד</w:t>
      </w:r>
      <w:r w:rsidRPr="00876B1F">
        <w:rPr>
          <w:sz w:val="16"/>
          <w:szCs w:val="16"/>
          <w:rtl/>
        </w:rPr>
        <w:t>כן משמע בפרק האשה שנפלו ובכמה דוכתי</w:t>
      </w:r>
      <w:r w:rsidRPr="007C72E9">
        <w:rPr>
          <w:rFonts w:hint="cs"/>
          <w:sz w:val="16"/>
          <w:szCs w:val="16"/>
          <w:rtl/>
        </w:rPr>
        <w:t>)</w:t>
      </w:r>
    </w:p>
    <w:p w14:paraId="76B1830C" w14:textId="77777777" w:rsidR="002E5BAD" w:rsidRDefault="002E5BAD" w:rsidP="002E5BAD">
      <w:pPr>
        <w:rPr>
          <w:rtl/>
        </w:rPr>
      </w:pPr>
      <w:r w:rsidRPr="004E510F">
        <w:rPr>
          <w:rFonts w:cs="Arial"/>
          <w:b/>
          <w:bCs/>
          <w:rtl/>
        </w:rPr>
        <w:t xml:space="preserve">בבא בתרא </w:t>
      </w:r>
      <w:r w:rsidRPr="00BD74BB">
        <w:rPr>
          <w:rFonts w:cs="Arial" w:hint="cs"/>
          <w:b/>
          <w:bCs/>
          <w:sz w:val="16"/>
          <w:szCs w:val="16"/>
          <w:rtl/>
        </w:rPr>
        <w:t>(</w:t>
      </w:r>
      <w:r>
        <w:rPr>
          <w:rFonts w:cs="Arial" w:hint="cs"/>
          <w:b/>
          <w:bCs/>
          <w:sz w:val="16"/>
          <w:szCs w:val="16"/>
          <w:rtl/>
        </w:rPr>
        <w:t>ר"</w:t>
      </w:r>
      <w:r w:rsidRPr="00BD74BB">
        <w:rPr>
          <w:rFonts w:cs="Arial" w:hint="cs"/>
          <w:b/>
          <w:bCs/>
          <w:sz w:val="16"/>
          <w:szCs w:val="16"/>
          <w:rtl/>
        </w:rPr>
        <w:t xml:space="preserve">פ </w:t>
      </w:r>
      <w:r>
        <w:rPr>
          <w:rFonts w:cs="Arial" w:hint="cs"/>
          <w:b/>
          <w:bCs/>
          <w:sz w:val="16"/>
          <w:szCs w:val="16"/>
          <w:rtl/>
        </w:rPr>
        <w:t>יש נוחלין</w:t>
      </w:r>
      <w:r w:rsidRPr="00BD74BB">
        <w:rPr>
          <w:rFonts w:cs="Arial" w:hint="cs"/>
          <w:b/>
          <w:bCs/>
          <w:sz w:val="16"/>
          <w:szCs w:val="16"/>
          <w:rtl/>
        </w:rPr>
        <w:t>)</w:t>
      </w:r>
      <w:r w:rsidRPr="004E510F">
        <w:rPr>
          <w:rFonts w:cs="Arial" w:hint="cs"/>
          <w:b/>
          <w:bCs/>
          <w:rtl/>
        </w:rPr>
        <w:t xml:space="preserve"> </w:t>
      </w:r>
      <w:r w:rsidRPr="004E510F">
        <w:rPr>
          <w:rFonts w:cs="Arial"/>
          <w:b/>
          <w:bCs/>
          <w:rtl/>
        </w:rPr>
        <w:t>ק</w:t>
      </w:r>
      <w:r>
        <w:rPr>
          <w:rFonts w:cs="Arial" w:hint="cs"/>
          <w:b/>
          <w:bCs/>
          <w:rtl/>
        </w:rPr>
        <w:t>יג</w:t>
      </w:r>
      <w:r w:rsidRPr="004E510F">
        <w:rPr>
          <w:rFonts w:cs="Arial"/>
          <w:b/>
          <w:bCs/>
          <w:rtl/>
        </w:rPr>
        <w:t xml:space="preserve"> ע</w:t>
      </w:r>
      <w:r w:rsidRPr="004E510F">
        <w:rPr>
          <w:rFonts w:cs="Arial" w:hint="cs"/>
          <w:b/>
          <w:bCs/>
          <w:rtl/>
        </w:rPr>
        <w:t>"</w:t>
      </w:r>
      <w:r w:rsidRPr="006A308B">
        <w:rPr>
          <w:rFonts w:cs="Arial" w:hint="cs"/>
          <w:b/>
          <w:bCs/>
          <w:rtl/>
        </w:rPr>
        <w:t>א:</w:t>
      </w:r>
      <w:r w:rsidRPr="006A308B">
        <w:rPr>
          <w:rFonts w:cs="Arial" w:hint="cs"/>
          <w:rtl/>
        </w:rPr>
        <w:t xml:space="preserve"> </w:t>
      </w:r>
      <w:r w:rsidRPr="006A308B">
        <w:rPr>
          <w:rFonts w:cs="Arial"/>
          <w:u w:val="single"/>
          <w:rtl/>
        </w:rPr>
        <w:t>א"ר אבהו אמר ר' יוחנן אמר רבי ינאי אמר רבי, ומטו בה משמיה דרבי יהושע בן קרחה</w:t>
      </w:r>
      <w:r w:rsidRPr="006A308B">
        <w:rPr>
          <w:rFonts w:cs="Arial"/>
          <w:rtl/>
        </w:rPr>
        <w:t>: מנין לבעל שאינו נוטל בראוי כבמוחזק? שנאמר: ושגוב הוליד את יאיר ויהי לו עשרים ושלש ערים בארץ הגלעד, מנין ליאיר שלא היה לו לשגוב? אלא, מלמד שנשא שגוב אשה ומתה בחיי מורישיה, ומתו מורישיה וירשה יאיר</w:t>
      </w:r>
      <w:r>
        <w:rPr>
          <w:rFonts w:cs="Arial" w:hint="cs"/>
          <w:rtl/>
        </w:rPr>
        <w:t>.</w:t>
      </w:r>
      <w:r w:rsidRPr="006A308B">
        <w:rPr>
          <w:rFonts w:cs="Arial"/>
          <w:rtl/>
        </w:rPr>
        <w:t xml:space="preserve"> ואומר: ואלעזר בן אהרן מת ויקברו וגו', מנין לפנחס שלא היה לו לאלעזר? מלמד שנשא אלעזר אשה ומתה בחיי מורישיה, ומתו מורישיה וירשה פנחס. ומאי ואומר? וכי תימא: יאיר דהוה נסיב איתתא ומתה וירתה, תלמוד לומר: ואלעזר בן אהרן מת. וכי תימא: דנפלה ליה בשדה חרמים, אמר קרא: בנו, נחלה הראויה לו וירשה בנו.</w:t>
      </w:r>
      <w:r>
        <w:rPr>
          <w:rFonts w:hint="cs"/>
          <w:rtl/>
        </w:rPr>
        <w:t>..</w:t>
      </w:r>
      <w:r>
        <w:rPr>
          <w:rFonts w:hint="cs"/>
          <w:sz w:val="14"/>
          <w:szCs w:val="14"/>
          <w:rtl/>
        </w:rPr>
        <w:t>(קכה:)</w:t>
      </w:r>
      <w:r>
        <w:rPr>
          <w:rFonts w:hint="cs"/>
          <w:rtl/>
        </w:rPr>
        <w:t xml:space="preserve"> </w:t>
      </w:r>
      <w:r w:rsidRPr="006A308B">
        <w:rPr>
          <w:rFonts w:cs="Arial"/>
          <w:u w:val="single"/>
          <w:rtl/>
        </w:rPr>
        <w:t>אמר רב פפא</w:t>
      </w:r>
      <w:r>
        <w:rPr>
          <w:rFonts w:cs="Arial" w:hint="cs"/>
          <w:rtl/>
        </w:rPr>
        <w:t>:</w:t>
      </w:r>
      <w:r w:rsidRPr="006A308B">
        <w:rPr>
          <w:rFonts w:cs="Arial"/>
          <w:rtl/>
        </w:rPr>
        <w:t xml:space="preserve"> הלכתא</w:t>
      </w:r>
      <w:r>
        <w:rPr>
          <w:rFonts w:cs="Arial" w:hint="cs"/>
          <w:rtl/>
        </w:rPr>
        <w:t>,</w:t>
      </w:r>
      <w:r w:rsidRPr="006A308B">
        <w:rPr>
          <w:rFonts w:cs="Arial"/>
          <w:rtl/>
        </w:rPr>
        <w:t xml:space="preserve"> אין הבעל נוטל בראוי כבמוחזק</w:t>
      </w:r>
      <w:r>
        <w:rPr>
          <w:rFonts w:cs="Arial" w:hint="cs"/>
          <w:rtl/>
        </w:rPr>
        <w:t>...</w:t>
      </w:r>
    </w:p>
    <w:p w14:paraId="12FD63DD" w14:textId="77777777" w:rsidR="002E5BAD" w:rsidRPr="00E36877" w:rsidRDefault="002E5BAD" w:rsidP="002E5BAD">
      <w:pPr>
        <w:rPr>
          <w:u w:val="single"/>
          <w:rtl/>
        </w:rPr>
      </w:pPr>
      <w:r w:rsidRPr="00E36877">
        <w:rPr>
          <w:rFonts w:hint="cs"/>
          <w:u w:val="single"/>
          <w:rtl/>
        </w:rPr>
        <w:t xml:space="preserve">האיש יורש את אשתו </w:t>
      </w:r>
      <w:r w:rsidRPr="00E36877">
        <w:rPr>
          <w:u w:val="single"/>
          <w:rtl/>
        </w:rPr>
        <w:t>–</w:t>
      </w:r>
      <w:r w:rsidRPr="00E36877">
        <w:rPr>
          <w:rFonts w:hint="cs"/>
          <w:u w:val="single"/>
          <w:rtl/>
        </w:rPr>
        <w:t xml:space="preserve"> כיצד:</w:t>
      </w:r>
    </w:p>
    <w:p w14:paraId="1DECDC8B" w14:textId="77777777" w:rsidR="002E5BAD" w:rsidRDefault="002E5BAD" w:rsidP="002E5BAD">
      <w:pPr>
        <w:pStyle w:val="ab"/>
        <w:numPr>
          <w:ilvl w:val="0"/>
          <w:numId w:val="186"/>
        </w:numPr>
      </w:pPr>
      <w:r w:rsidRPr="00843F99">
        <w:rPr>
          <w:rFonts w:cs="Arial" w:hint="cs"/>
          <w:rtl/>
        </w:rPr>
        <w:t xml:space="preserve">טור- </w:t>
      </w:r>
      <w:r w:rsidRPr="00843F99">
        <w:rPr>
          <w:rFonts w:cs="Arial"/>
          <w:rtl/>
        </w:rPr>
        <w:t>האיש יורש את אשתו שמתה בחייו משנמסרה לו או ליד שלוחו כדפרישית לעיל</w:t>
      </w:r>
      <w:r>
        <w:rPr>
          <w:rFonts w:cs="Arial" w:hint="cs"/>
          <w:rtl/>
        </w:rPr>
        <w:t xml:space="preserve"> (סי' נז).</w:t>
      </w:r>
      <w:r w:rsidRPr="00843F99">
        <w:rPr>
          <w:rFonts w:cs="Arial"/>
          <w:rtl/>
        </w:rPr>
        <w:t xml:space="preserve"> ויורש כל נכסיה בין בנכסי מלוג בין בנכסי צאן ברזל</w:t>
      </w:r>
      <w:r>
        <w:rPr>
          <w:rFonts w:cs="Arial" w:hint="cs"/>
          <w:rtl/>
        </w:rPr>
        <w:t>.</w:t>
      </w:r>
      <w:r w:rsidRPr="00843F99">
        <w:rPr>
          <w:rFonts w:cs="Arial"/>
          <w:rtl/>
        </w:rPr>
        <w:t xml:space="preserve"> בד"א במוחזק לה</w:t>
      </w:r>
      <w:r>
        <w:rPr>
          <w:rFonts w:cs="Arial" w:hint="cs"/>
          <w:rtl/>
        </w:rPr>
        <w:t>,</w:t>
      </w:r>
      <w:r w:rsidRPr="00843F99">
        <w:rPr>
          <w:rFonts w:cs="Arial"/>
          <w:rtl/>
        </w:rPr>
        <w:t xml:space="preserve"> אבל בראוי לה כגון ירושה שראויה לירש ומתה בחיי מורישה</w:t>
      </w:r>
      <w:r>
        <w:rPr>
          <w:rFonts w:cs="Arial" w:hint="cs"/>
          <w:rtl/>
        </w:rPr>
        <w:t>,</w:t>
      </w:r>
      <w:r w:rsidRPr="00843F99">
        <w:rPr>
          <w:rFonts w:cs="Arial"/>
          <w:rtl/>
        </w:rPr>
        <w:t xml:space="preserve"> אינו עומד במקומה לירש</w:t>
      </w:r>
      <w:r>
        <w:rPr>
          <w:rFonts w:cs="Arial" w:hint="cs"/>
          <w:rtl/>
        </w:rPr>
        <w:t>.</w:t>
      </w:r>
      <w:r w:rsidRPr="00843F99">
        <w:rPr>
          <w:rFonts w:cs="Arial"/>
          <w:rtl/>
        </w:rPr>
        <w:t xml:space="preserve"> אבל שבח נוטל במה שיורש ממנה שהרי ברשותו השביח</w:t>
      </w:r>
      <w:r>
        <w:rPr>
          <w:rFonts w:cs="Arial" w:hint="cs"/>
          <w:rtl/>
        </w:rPr>
        <w:t>.</w:t>
      </w:r>
      <w:r w:rsidRPr="00843F99">
        <w:rPr>
          <w:rFonts w:cs="Arial"/>
          <w:rtl/>
        </w:rPr>
        <w:t xml:space="preserve"> </w:t>
      </w:r>
      <w:r w:rsidRPr="001D67C0">
        <w:rPr>
          <w:rFonts w:hint="cs"/>
          <w:color w:val="E36C0A" w:themeColor="accent6" w:themeShade="BF"/>
          <w:rtl/>
        </w:rPr>
        <w:t>(וכ"פ בשו"ע)</w:t>
      </w:r>
    </w:p>
    <w:p w14:paraId="22D5905F" w14:textId="77777777" w:rsidR="002E5BAD" w:rsidRPr="00BA4DA2" w:rsidRDefault="002E5BAD" w:rsidP="002E5BAD">
      <w:pPr>
        <w:rPr>
          <w:u w:val="single"/>
        </w:rPr>
      </w:pPr>
      <w:r w:rsidRPr="00BA4DA2">
        <w:rPr>
          <w:rFonts w:hint="cs"/>
          <w:u w:val="single"/>
          <w:rtl/>
        </w:rPr>
        <w:t>ירושת מלוה אשתו:</w:t>
      </w:r>
    </w:p>
    <w:p w14:paraId="7610581D" w14:textId="77777777" w:rsidR="002E5BAD" w:rsidRPr="00BA4DA2" w:rsidRDefault="002E5BAD" w:rsidP="002E5BAD">
      <w:pPr>
        <w:pStyle w:val="ab"/>
        <w:numPr>
          <w:ilvl w:val="0"/>
          <w:numId w:val="186"/>
        </w:numPr>
      </w:pPr>
      <w:r>
        <w:rPr>
          <w:rFonts w:hint="cs"/>
          <w:rtl/>
        </w:rPr>
        <w:t xml:space="preserve">תוס' </w:t>
      </w:r>
      <w:r w:rsidRPr="00BA4DA2">
        <w:rPr>
          <w:rFonts w:cs="Arial"/>
          <w:sz w:val="16"/>
          <w:szCs w:val="16"/>
          <w:rtl/>
        </w:rPr>
        <w:t>(ב"ב קכה: ד"ה אמר)</w:t>
      </w:r>
      <w:r>
        <w:rPr>
          <w:rFonts w:cs="Arial" w:hint="cs"/>
          <w:rtl/>
        </w:rPr>
        <w:t xml:space="preserve">- </w:t>
      </w:r>
      <w:r>
        <w:rPr>
          <w:rFonts w:cs="Arial"/>
          <w:rtl/>
        </w:rPr>
        <w:t>אינו נוטל ממלות אשתו ואפילו מה שהלותה מנכסי מלוג שלה בעודה תחתיו כדמוכח בפרק שור שנגח ד' וה' (ב"ק מב:) דאין הבעל יורש נזקי אשתו לרבנן משום דהוי כמלוה</w:t>
      </w:r>
      <w:r>
        <w:rPr>
          <w:rFonts w:cs="Arial" w:hint="cs"/>
          <w:rtl/>
        </w:rPr>
        <w:t>.</w:t>
      </w:r>
      <w:r>
        <w:rPr>
          <w:rFonts w:cs="Arial"/>
          <w:rtl/>
        </w:rPr>
        <w:t xml:space="preserve"> ואע</w:t>
      </w:r>
      <w:r>
        <w:rPr>
          <w:rFonts w:cs="Arial" w:hint="cs"/>
          <w:rtl/>
        </w:rPr>
        <w:t>"</w:t>
      </w:r>
      <w:r w:rsidRPr="00E36877">
        <w:rPr>
          <w:rFonts w:cs="Arial"/>
          <w:rtl/>
        </w:rPr>
        <w:t>פ שאם היו באים לידיה בחייה היה בהם דין נכסי מלוג כדקתני במתניתין דמציאת האשה</w:t>
      </w:r>
      <w:r>
        <w:rPr>
          <w:rStyle w:val="a7"/>
          <w:rFonts w:cs="Arial"/>
          <w:rtl/>
        </w:rPr>
        <w:footnoteReference w:id="1933"/>
      </w:r>
      <w:r w:rsidRPr="00E36877">
        <w:rPr>
          <w:rFonts w:cs="Arial"/>
          <w:rtl/>
        </w:rPr>
        <w:t xml:space="preserve"> (כתובות סה:)</w:t>
      </w:r>
      <w:r>
        <w:rPr>
          <w:rFonts w:cs="Arial" w:hint="cs"/>
          <w:sz w:val="16"/>
          <w:szCs w:val="16"/>
          <w:rtl/>
        </w:rPr>
        <w:t xml:space="preserve"> (ל' הרא"ש בשם התוס')</w:t>
      </w:r>
      <w:r w:rsidRPr="00E36877">
        <w:rPr>
          <w:rFonts w:cs="Arial" w:hint="cs"/>
          <w:rtl/>
        </w:rPr>
        <w:t>.</w:t>
      </w:r>
    </w:p>
    <w:p w14:paraId="6C1134F0" w14:textId="77777777" w:rsidR="002E5BAD" w:rsidRDefault="002E5BAD" w:rsidP="002E5BAD">
      <w:pPr>
        <w:pStyle w:val="ab"/>
        <w:numPr>
          <w:ilvl w:val="0"/>
          <w:numId w:val="186"/>
        </w:numPr>
        <w:rPr>
          <w:rtl/>
        </w:rPr>
      </w:pPr>
      <w:r w:rsidRPr="00843F99">
        <w:rPr>
          <w:rFonts w:cs="Arial"/>
          <w:rtl/>
        </w:rPr>
        <w:t>רא"ש</w:t>
      </w:r>
      <w:r>
        <w:rPr>
          <w:rFonts w:cs="Arial" w:hint="cs"/>
          <w:sz w:val="16"/>
          <w:szCs w:val="16"/>
          <w:rtl/>
        </w:rPr>
        <w:t xml:space="preserve"> (סי' יא)</w:t>
      </w:r>
      <w:r>
        <w:rPr>
          <w:rFonts w:cs="Arial" w:hint="cs"/>
          <w:rtl/>
        </w:rPr>
        <w:t>-</w:t>
      </w:r>
      <w:r w:rsidRPr="00843F99">
        <w:rPr>
          <w:rFonts w:cs="Arial"/>
          <w:rtl/>
        </w:rPr>
        <w:t xml:space="preserve"> ודאי מה שהלותה</w:t>
      </w:r>
      <w:r>
        <w:rPr>
          <w:rFonts w:cs="Arial" w:hint="cs"/>
          <w:sz w:val="16"/>
          <w:szCs w:val="16"/>
          <w:rtl/>
        </w:rPr>
        <w:t xml:space="preserve"> {מנכסי מלוג}</w:t>
      </w:r>
      <w:r w:rsidRPr="00843F99">
        <w:rPr>
          <w:rFonts w:cs="Arial"/>
          <w:rtl/>
        </w:rPr>
        <w:t xml:space="preserve"> בעודה תחתיו הוא יורש</w:t>
      </w:r>
      <w:r>
        <w:rPr>
          <w:rFonts w:cs="Arial" w:hint="cs"/>
          <w:rtl/>
        </w:rPr>
        <w:t>,</w:t>
      </w:r>
      <w:r w:rsidRPr="00843F99">
        <w:rPr>
          <w:rFonts w:cs="Arial"/>
          <w:rtl/>
        </w:rPr>
        <w:t xml:space="preserve"> אלא איזו היא מלוה שלה שאינו יורש</w:t>
      </w:r>
      <w:r>
        <w:rPr>
          <w:rFonts w:cs="Arial" w:hint="cs"/>
          <w:rtl/>
        </w:rPr>
        <w:t>,</w:t>
      </w:r>
      <w:r w:rsidRPr="00843F99">
        <w:rPr>
          <w:rFonts w:cs="Arial"/>
          <w:rtl/>
        </w:rPr>
        <w:t xml:space="preserve"> כגון שמתו מורישיו והיה להם מלוה ביד אחרים כשנשאה ומתה קודם שגבתה אותה</w:t>
      </w:r>
      <w:r>
        <w:rPr>
          <w:rFonts w:cs="Arial" w:hint="cs"/>
          <w:rtl/>
        </w:rPr>
        <w:t>,</w:t>
      </w:r>
      <w:r w:rsidRPr="00843F99">
        <w:rPr>
          <w:rFonts w:cs="Arial"/>
          <w:rtl/>
        </w:rPr>
        <w:t xml:space="preserve"> אינו יורש אותה</w:t>
      </w:r>
      <w:r>
        <w:rPr>
          <w:rFonts w:cs="Arial" w:hint="cs"/>
          <w:rtl/>
        </w:rPr>
        <w:t>.</w:t>
      </w:r>
      <w:r w:rsidRPr="00843F99">
        <w:rPr>
          <w:rFonts w:cs="Arial"/>
          <w:rtl/>
        </w:rPr>
        <w:t xml:space="preserve"> וכן אם היה לה מלוה ביד אחרים כשנשאה</w:t>
      </w:r>
      <w:r>
        <w:rPr>
          <w:rFonts w:cs="Arial" w:hint="cs"/>
          <w:rtl/>
        </w:rPr>
        <w:t>,</w:t>
      </w:r>
      <w:r w:rsidRPr="00843F99">
        <w:rPr>
          <w:rFonts w:cs="Arial"/>
          <w:rtl/>
        </w:rPr>
        <w:t xml:space="preserve"> ומתה האשה קודם שגבתה אותה</w:t>
      </w:r>
      <w:r>
        <w:rPr>
          <w:rFonts w:cs="Arial" w:hint="cs"/>
          <w:rtl/>
        </w:rPr>
        <w:t>,</w:t>
      </w:r>
      <w:r w:rsidRPr="00843F99">
        <w:rPr>
          <w:rFonts w:cs="Arial"/>
          <w:rtl/>
        </w:rPr>
        <w:t xml:space="preserve"> אינו יורש אותה</w:t>
      </w:r>
      <w:r>
        <w:rPr>
          <w:rFonts w:cs="Arial" w:hint="cs"/>
          <w:sz w:val="16"/>
          <w:szCs w:val="16"/>
          <w:rtl/>
        </w:rPr>
        <w:t xml:space="preserve"> (ל' הטור בשם הרא"ש)</w:t>
      </w:r>
      <w:r>
        <w:rPr>
          <w:rStyle w:val="a7"/>
          <w:rFonts w:cs="Arial"/>
          <w:rtl/>
        </w:rPr>
        <w:footnoteReference w:id="1934"/>
      </w:r>
      <w:r w:rsidRPr="005F4FCE">
        <w:rPr>
          <w:rFonts w:cs="Arial"/>
          <w:rtl/>
        </w:rPr>
        <w:t xml:space="preserve">. </w:t>
      </w:r>
      <w:r w:rsidRPr="001D67C0">
        <w:rPr>
          <w:rFonts w:hint="cs"/>
          <w:color w:val="E36C0A" w:themeColor="accent6" w:themeShade="BF"/>
          <w:rtl/>
        </w:rPr>
        <w:t>(וכ"פ בשו"ע)</w:t>
      </w:r>
    </w:p>
    <w:p w14:paraId="6B28C44F" w14:textId="77777777" w:rsidR="002E5BAD" w:rsidRPr="00CD250C" w:rsidRDefault="002E5BAD" w:rsidP="002E5BAD">
      <w:pPr>
        <w:pStyle w:val="ab"/>
        <w:numPr>
          <w:ilvl w:val="0"/>
          <w:numId w:val="186"/>
        </w:numPr>
      </w:pPr>
      <w:r w:rsidRPr="00CD250C">
        <w:rPr>
          <w:rFonts w:cs="Arial"/>
          <w:rtl/>
        </w:rPr>
        <w:t xml:space="preserve">רשב"א </w:t>
      </w:r>
      <w:r w:rsidRPr="00CD250C">
        <w:rPr>
          <w:rFonts w:cs="Arial" w:hint="cs"/>
          <w:sz w:val="16"/>
          <w:szCs w:val="16"/>
          <w:rtl/>
        </w:rPr>
        <w:t>(במיוחסות סי' סג)</w:t>
      </w:r>
      <w:r>
        <w:rPr>
          <w:rFonts w:cs="Arial" w:hint="cs"/>
          <w:rtl/>
        </w:rPr>
        <w:t xml:space="preserve">- </w:t>
      </w:r>
      <w:r w:rsidRPr="00CD250C">
        <w:rPr>
          <w:rFonts w:cs="Arial"/>
          <w:rtl/>
        </w:rPr>
        <w:t xml:space="preserve">גרסינן בפרק יש נוחלין </w:t>
      </w:r>
      <w:r>
        <w:rPr>
          <w:rFonts w:cs="Arial" w:hint="cs"/>
          <w:rtl/>
        </w:rPr>
        <w:t xml:space="preserve">(קכה:) </w:t>
      </w:r>
      <w:r w:rsidRPr="00CD250C">
        <w:rPr>
          <w:rFonts w:cs="Arial"/>
          <w:rtl/>
        </w:rPr>
        <w:t xml:space="preserve">אמר רב פפא אין הבכור נוטל במלוה ואין הבעל נוטל בראוי כבמוחזק ואיכא מרבוותא דסברי כיון דפלגינהו ולא אמר אין הבעל והבכור נוטלין בראוי כבמוחזק ש"מ </w:t>
      </w:r>
      <w:r w:rsidRPr="00CD250C">
        <w:rPr>
          <w:rFonts w:cs="Arial"/>
          <w:rtl/>
        </w:rPr>
        <w:lastRenderedPageBreak/>
        <w:t>בעל נוטל בראוי דמלוה</w:t>
      </w:r>
      <w:r>
        <w:rPr>
          <w:rFonts w:cs="Arial" w:hint="cs"/>
          <w:rtl/>
        </w:rPr>
        <w:t>,</w:t>
      </w:r>
      <w:r w:rsidRPr="00CD250C">
        <w:rPr>
          <w:rFonts w:cs="Arial"/>
          <w:rtl/>
        </w:rPr>
        <w:t xml:space="preserve"> וכן דעת הר"י ן' מיגא"ש ז"ל</w:t>
      </w:r>
      <w:r>
        <w:rPr>
          <w:rFonts w:cs="Arial" w:hint="cs"/>
          <w:rtl/>
        </w:rPr>
        <w:t>.</w:t>
      </w:r>
      <w:r w:rsidRPr="00CD250C">
        <w:rPr>
          <w:rFonts w:cs="Arial"/>
          <w:rtl/>
        </w:rPr>
        <w:t xml:space="preserve"> אבל ר"ח והרי"ף אמרו שאף הבעל אינו נוטל במלוה</w:t>
      </w:r>
      <w:r>
        <w:rPr>
          <w:rFonts w:cs="Arial" w:hint="cs"/>
          <w:rtl/>
        </w:rPr>
        <w:t>.</w:t>
      </w:r>
      <w:r w:rsidRPr="00CD250C">
        <w:rPr>
          <w:rFonts w:cs="Arial"/>
          <w:rtl/>
        </w:rPr>
        <w:t xml:space="preserve"> והדיין מה שיראה בעיניו יעשה</w:t>
      </w:r>
      <w:r>
        <w:rPr>
          <w:rFonts w:cs="Arial" w:hint="cs"/>
          <w:rtl/>
        </w:rPr>
        <w:t>.</w:t>
      </w:r>
      <w:r w:rsidRPr="00CD250C">
        <w:rPr>
          <w:rFonts w:cs="Arial"/>
          <w:rtl/>
        </w:rPr>
        <w:t xml:space="preserve"> ובאמת כי רובן של חכמי הדורות הסכימו שאין הבעל נוטל במלוה</w:t>
      </w:r>
      <w:r>
        <w:rPr>
          <w:rFonts w:cs="Arial" w:hint="cs"/>
          <w:rtl/>
        </w:rPr>
        <w:t>,</w:t>
      </w:r>
      <w:r w:rsidRPr="00CD250C">
        <w:rPr>
          <w:rFonts w:cs="Arial"/>
          <w:rtl/>
        </w:rPr>
        <w:t xml:space="preserve"> דראוי הויא אפילו לגבי בעל</w:t>
      </w:r>
      <w:r>
        <w:rPr>
          <w:rFonts w:cs="Arial" w:hint="cs"/>
          <w:rtl/>
        </w:rPr>
        <w:t>.</w:t>
      </w:r>
      <w:r w:rsidRPr="00CD250C">
        <w:rPr>
          <w:rFonts w:cs="Arial"/>
          <w:rtl/>
        </w:rPr>
        <w:t xml:space="preserve"> ומיהו מסתברא דוקא במלוה שנפלה לה בירושה</w:t>
      </w:r>
      <w:r>
        <w:rPr>
          <w:rFonts w:cs="Arial" w:hint="cs"/>
          <w:rtl/>
        </w:rPr>
        <w:t>,</w:t>
      </w:r>
      <w:r w:rsidRPr="00CD250C">
        <w:rPr>
          <w:rFonts w:cs="Arial"/>
          <w:rtl/>
        </w:rPr>
        <w:t xml:space="preserve"> וא"נ במלוה שנעשית ממעות ששיירה לעצמה וכתב לה בעודה ארוסה דין ודברים אין לי בהן</w:t>
      </w:r>
      <w:r>
        <w:rPr>
          <w:rFonts w:cs="Arial" w:hint="cs"/>
          <w:rtl/>
        </w:rPr>
        <w:t>,</w:t>
      </w:r>
      <w:r w:rsidRPr="00CD250C">
        <w:rPr>
          <w:rFonts w:cs="Arial"/>
          <w:rtl/>
        </w:rPr>
        <w:t xml:space="preserve"> וא"נ לאחר נישואין ובשקנו מידו</w:t>
      </w:r>
      <w:r>
        <w:rPr>
          <w:rFonts w:cs="Arial" w:hint="cs"/>
          <w:rtl/>
        </w:rPr>
        <w:t>,</w:t>
      </w:r>
      <w:r w:rsidRPr="00CD250C">
        <w:rPr>
          <w:rFonts w:cs="Arial"/>
          <w:rtl/>
        </w:rPr>
        <w:t xml:space="preserve"> הא לאו הכי הרי זכה הבעל באותן המעות כדין נכסי מלוג ואי אפשר לה להפקיען ממנו</w:t>
      </w:r>
      <w:r>
        <w:rPr>
          <w:rFonts w:cs="Arial" w:hint="cs"/>
          <w:rtl/>
        </w:rPr>
        <w:t>,</w:t>
      </w:r>
      <w:r w:rsidRPr="00CD250C">
        <w:rPr>
          <w:rFonts w:cs="Arial"/>
          <w:rtl/>
        </w:rPr>
        <w:t xml:space="preserve"> דלא גרע מלותה ממכירתה שהבעל מוציא מיד הלקוחות</w:t>
      </w:r>
      <w:r>
        <w:rPr>
          <w:rFonts w:cs="Arial" w:hint="cs"/>
          <w:rtl/>
        </w:rPr>
        <w:t>.</w:t>
      </w:r>
      <w:r w:rsidRPr="00CD250C">
        <w:rPr>
          <w:rFonts w:cs="Arial"/>
          <w:rtl/>
        </w:rPr>
        <w:t xml:space="preserve"> ועוד מסתברא שאפילו היו לה מעות קודם שנתארסה ושיירתם לעצמה בפירוש עד שלא תתארס שלא יהא לבעל בהן כלום</w:t>
      </w:r>
      <w:r>
        <w:rPr>
          <w:rFonts w:cs="Arial" w:hint="cs"/>
          <w:rtl/>
        </w:rPr>
        <w:t>,</w:t>
      </w:r>
      <w:r w:rsidRPr="00CD250C">
        <w:rPr>
          <w:rFonts w:cs="Arial"/>
          <w:rtl/>
        </w:rPr>
        <w:t xml:space="preserve"> לא עשתה כלום</w:t>
      </w:r>
      <w:r>
        <w:rPr>
          <w:rFonts w:cs="Arial" w:hint="cs"/>
          <w:rtl/>
        </w:rPr>
        <w:t>,</w:t>
      </w:r>
      <w:r w:rsidRPr="00CD250C">
        <w:rPr>
          <w:rFonts w:cs="Arial"/>
          <w:rtl/>
        </w:rPr>
        <w:t xml:space="preserve"> דמיד זכה בהן הבעל ממילא כדין נכסי מלוג אלא אם כן כתב לה בעודה ארוסה דין ודברים אין לי בהם</w:t>
      </w:r>
      <w:r>
        <w:rPr>
          <w:rStyle w:val="a7"/>
          <w:rFonts w:cs="Arial"/>
          <w:rtl/>
        </w:rPr>
        <w:footnoteReference w:id="1935"/>
      </w:r>
      <w:r>
        <w:rPr>
          <w:rFonts w:cs="Arial" w:hint="cs"/>
          <w:rtl/>
        </w:rPr>
        <w:t>...</w:t>
      </w:r>
      <w:r w:rsidRPr="00CD250C">
        <w:rPr>
          <w:rFonts w:cs="Arial"/>
          <w:rtl/>
        </w:rPr>
        <w:t xml:space="preserve"> ומלוה שיש לה אצל הבעל</w:t>
      </w:r>
      <w:r>
        <w:rPr>
          <w:rFonts w:cs="Arial" w:hint="cs"/>
          <w:rtl/>
        </w:rPr>
        <w:t>,</w:t>
      </w:r>
      <w:r w:rsidRPr="00CD250C">
        <w:rPr>
          <w:rFonts w:cs="Arial"/>
          <w:rtl/>
        </w:rPr>
        <w:t xml:space="preserve"> כ"ש אם הלוית לו קודם שנישאת שהרי זכה בהן מתחלה כדין נכסי מלוג</w:t>
      </w:r>
      <w:r>
        <w:rPr>
          <w:rFonts w:cs="Arial" w:hint="cs"/>
          <w:rtl/>
        </w:rPr>
        <w:t>,</w:t>
      </w:r>
      <w:r w:rsidRPr="00CD250C">
        <w:rPr>
          <w:rFonts w:cs="Arial"/>
          <w:rtl/>
        </w:rPr>
        <w:t xml:space="preserve"> ואפילו דשיירה לעצמה מעיקרא לפי מה שאמרנו</w:t>
      </w:r>
      <w:r>
        <w:rPr>
          <w:rFonts w:cs="Arial" w:hint="cs"/>
          <w:rtl/>
        </w:rPr>
        <w:t>,</w:t>
      </w:r>
      <w:r w:rsidRPr="00CD250C">
        <w:rPr>
          <w:rFonts w:cs="Arial"/>
          <w:rtl/>
        </w:rPr>
        <w:t xml:space="preserve"> ואפילו כתב לה דין ודברים אין לי בהם</w:t>
      </w:r>
      <w:r>
        <w:rPr>
          <w:rFonts w:cs="Arial" w:hint="cs"/>
          <w:rtl/>
        </w:rPr>
        <w:t>,</w:t>
      </w:r>
      <w:r w:rsidRPr="00CD250C">
        <w:rPr>
          <w:rFonts w:cs="Arial"/>
          <w:rtl/>
        </w:rPr>
        <w:t xml:space="preserve"> אפילו הכי הבעל יורש מחצית אותה מלוה</w:t>
      </w:r>
      <w:r>
        <w:rPr>
          <w:rStyle w:val="a7"/>
          <w:rFonts w:cs="Arial"/>
          <w:rtl/>
        </w:rPr>
        <w:footnoteReference w:id="1936"/>
      </w:r>
      <w:r>
        <w:rPr>
          <w:rFonts w:cs="Arial" w:hint="cs"/>
          <w:rtl/>
        </w:rPr>
        <w:t>...</w:t>
      </w:r>
      <w:r w:rsidRPr="00CD250C">
        <w:rPr>
          <w:rFonts w:cs="Arial"/>
          <w:rtl/>
        </w:rPr>
        <w:t xml:space="preserve"> ואם היה לה משכונה על קרקע</w:t>
      </w:r>
      <w:r>
        <w:rPr>
          <w:rFonts w:cs="Arial" w:hint="cs"/>
          <w:rtl/>
        </w:rPr>
        <w:t>,</w:t>
      </w:r>
      <w:r w:rsidRPr="00CD250C">
        <w:rPr>
          <w:rFonts w:cs="Arial"/>
          <w:rtl/>
        </w:rPr>
        <w:t xml:space="preserve"> אם הוא אתרא דלא מסלקי</w:t>
      </w:r>
      <w:r>
        <w:rPr>
          <w:rFonts w:cs="Arial" w:hint="cs"/>
          <w:rtl/>
        </w:rPr>
        <w:t>,</w:t>
      </w:r>
      <w:r w:rsidRPr="00CD250C">
        <w:rPr>
          <w:rFonts w:cs="Arial"/>
          <w:rtl/>
        </w:rPr>
        <w:t xml:space="preserve"> הבעל נוטל בה</w:t>
      </w:r>
      <w:r>
        <w:rPr>
          <w:rFonts w:cs="Arial" w:hint="cs"/>
          <w:rtl/>
        </w:rPr>
        <w:t>,</w:t>
      </w:r>
      <w:r w:rsidRPr="00CD250C">
        <w:rPr>
          <w:rFonts w:cs="Arial"/>
          <w:rtl/>
        </w:rPr>
        <w:t xml:space="preserve"> לפי שהמשכונה כקנויה אצלה</w:t>
      </w:r>
      <w:r>
        <w:rPr>
          <w:rStyle w:val="a7"/>
          <w:rFonts w:cs="Arial"/>
          <w:rtl/>
        </w:rPr>
        <w:footnoteReference w:id="1937"/>
      </w:r>
      <w:r>
        <w:rPr>
          <w:rFonts w:cs="Arial" w:hint="cs"/>
          <w:sz w:val="16"/>
          <w:szCs w:val="16"/>
          <w:rtl/>
        </w:rPr>
        <w:t xml:space="preserve"> (ל' הרשב"א)</w:t>
      </w:r>
      <w:r>
        <w:rPr>
          <w:rStyle w:val="a7"/>
          <w:rFonts w:cs="Arial"/>
          <w:rtl/>
        </w:rPr>
        <w:footnoteReference w:id="1938"/>
      </w:r>
      <w:r>
        <w:rPr>
          <w:rFonts w:cs="Arial" w:hint="cs"/>
          <w:rtl/>
        </w:rPr>
        <w:t>.</w:t>
      </w:r>
    </w:p>
    <w:p w14:paraId="160004E9" w14:textId="77777777" w:rsidR="002E5BAD" w:rsidRPr="009D20D7" w:rsidRDefault="002E5BAD" w:rsidP="002E5BAD">
      <w:pPr>
        <w:pStyle w:val="ab"/>
        <w:numPr>
          <w:ilvl w:val="1"/>
          <w:numId w:val="186"/>
        </w:numPr>
        <w:rPr>
          <w:rtl/>
        </w:rPr>
      </w:pPr>
      <w:r>
        <w:rPr>
          <w:rFonts w:cs="Arial" w:hint="cs"/>
          <w:rtl/>
        </w:rPr>
        <w:t xml:space="preserve">ב"י </w:t>
      </w:r>
      <w:r>
        <w:rPr>
          <w:rFonts w:cs="Arial" w:hint="cs"/>
          <w:sz w:val="16"/>
          <w:szCs w:val="16"/>
          <w:rtl/>
        </w:rPr>
        <w:t>(בבדה"ב)</w:t>
      </w:r>
      <w:r>
        <w:rPr>
          <w:rFonts w:cs="Arial" w:hint="cs"/>
          <w:rtl/>
        </w:rPr>
        <w:t>-</w:t>
      </w:r>
      <w:r w:rsidRPr="00CD250C">
        <w:rPr>
          <w:rFonts w:cs="Arial"/>
          <w:rtl/>
        </w:rPr>
        <w:t xml:space="preserve"> וכבר נתבאר בדברי הרא"ש והרשב"א שאין בכלל זה מה שהלוית מנכסי מלוג ומסתבר טעמייהו</w:t>
      </w:r>
      <w:r>
        <w:rPr>
          <w:rFonts w:cs="Arial" w:hint="cs"/>
          <w:rtl/>
        </w:rPr>
        <w:t>.</w:t>
      </w:r>
    </w:p>
    <w:p w14:paraId="19C91C03" w14:textId="77777777" w:rsidR="002E5BAD" w:rsidRPr="00CD250C" w:rsidRDefault="002E5BAD" w:rsidP="002E5BAD">
      <w:pPr>
        <w:rPr>
          <w:rFonts w:cs="Arial"/>
          <w:u w:val="single"/>
          <w:rtl/>
        </w:rPr>
      </w:pPr>
      <w:r w:rsidRPr="00CD250C">
        <w:rPr>
          <w:rFonts w:cs="Arial" w:hint="cs"/>
          <w:u w:val="single"/>
          <w:rtl/>
        </w:rPr>
        <w:t xml:space="preserve">מי שנישא לאשה חולה </w:t>
      </w:r>
      <w:r>
        <w:rPr>
          <w:rFonts w:cs="Arial" w:hint="cs"/>
          <w:u w:val="single"/>
          <w:rtl/>
        </w:rPr>
        <w:t>סופנית</w:t>
      </w:r>
      <w:r w:rsidRPr="00CD250C">
        <w:rPr>
          <w:rFonts w:cs="Arial" w:hint="cs"/>
          <w:u w:val="single"/>
          <w:rtl/>
        </w:rPr>
        <w:t xml:space="preserve"> כדי להפקיע קרקע מהקדש:</w:t>
      </w:r>
    </w:p>
    <w:p w14:paraId="53446FDD" w14:textId="77777777" w:rsidR="002E5BAD" w:rsidRDefault="002E5BAD" w:rsidP="002E5BAD">
      <w:pPr>
        <w:pStyle w:val="ab"/>
        <w:numPr>
          <w:ilvl w:val="0"/>
          <w:numId w:val="186"/>
        </w:numPr>
      </w:pPr>
      <w:r w:rsidRPr="00CD250C">
        <w:rPr>
          <w:rFonts w:cs="Arial" w:hint="cs"/>
          <w:rtl/>
        </w:rPr>
        <w:t>ר</w:t>
      </w:r>
      <w:r w:rsidRPr="00CD250C">
        <w:rPr>
          <w:rFonts w:cs="Arial"/>
          <w:rtl/>
        </w:rPr>
        <w:t xml:space="preserve">א"ש </w:t>
      </w:r>
      <w:r w:rsidRPr="00CD250C">
        <w:rPr>
          <w:rFonts w:cs="Arial" w:hint="cs"/>
          <w:sz w:val="16"/>
          <w:szCs w:val="16"/>
          <w:rtl/>
        </w:rPr>
        <w:t xml:space="preserve">(סוף </w:t>
      </w:r>
      <w:r w:rsidRPr="00CD250C">
        <w:rPr>
          <w:rFonts w:cs="Arial"/>
          <w:sz w:val="16"/>
          <w:szCs w:val="16"/>
          <w:rtl/>
        </w:rPr>
        <w:t>כלל נד סי' ב)</w:t>
      </w:r>
      <w:r w:rsidRPr="00CD250C">
        <w:rPr>
          <w:rFonts w:cs="Arial" w:hint="cs"/>
          <w:rtl/>
        </w:rPr>
        <w:t>-</w:t>
      </w:r>
      <w:r w:rsidRPr="00CD250C">
        <w:rPr>
          <w:rFonts w:cs="Arial"/>
          <w:rtl/>
        </w:rPr>
        <w:t xml:space="preserve"> על ראובן שחלק נכסיו והניח קרקע לבתו לנדונייתה בתנאי שאם תמות קודם נישואין שישאר הקרקע להקדש וחלתה חולי מות וכדי להפקיע הקרקע מיד הקדש הלכו קרוביה והושיבוה במטה בחלייה ועשו ז' ברכות כדי שיירשנה ומתה מחולי זה ולא קרב אליה הורני אם יירשנה ונראה דלא משום דלא היתה ראויה לביאה דהוה כנכנסה לחופה ופירסה נדה ועוד דמי להא דאמרינן בעלמא הוא עשה שלא כהוגן וכו' והשיב נראה דאין באותה חופה כלום חדא כמו שכתבת כיון שלא היתה ראויה לביאה ועוד דאזלינן בתר דעת ראובן שרצה לעשות טובה לנשמתו ליתנו להקדש ולא שיירשוהו יורשיו רק שיירו כדי שתנשא בו בתו וכל שכן שלא היה בדעתו שיבוא לידי נכרי על ידי הערמה הילכך אומדנא דמוכח והקרקע הוא הקדש</w:t>
      </w:r>
      <w:r w:rsidRPr="00CD250C">
        <w:rPr>
          <w:rFonts w:cs="Arial" w:hint="cs"/>
          <w:rtl/>
        </w:rPr>
        <w:t>.</w:t>
      </w:r>
    </w:p>
    <w:p w14:paraId="038443C9" w14:textId="77777777" w:rsidR="002E5BAD" w:rsidRPr="003D032F" w:rsidRDefault="002E5BAD" w:rsidP="002E5BAD">
      <w:r w:rsidRPr="007B78F9">
        <w:rPr>
          <w:rFonts w:cs="Arial" w:hint="cs"/>
          <w:u w:val="single"/>
          <w:rtl/>
        </w:rPr>
        <w:t xml:space="preserve">אב עשה </w:t>
      </w:r>
      <w:r w:rsidRPr="007B78F9">
        <w:rPr>
          <w:rFonts w:cs="Arial"/>
          <w:u w:val="single"/>
          <w:rtl/>
        </w:rPr>
        <w:t>שטר חצי זכר</w:t>
      </w:r>
      <w:r w:rsidRPr="007B78F9">
        <w:rPr>
          <w:rFonts w:cs="Arial" w:hint="cs"/>
          <w:u w:val="single"/>
          <w:rtl/>
        </w:rPr>
        <w:t xml:space="preserve"> בתנאי ש</w:t>
      </w:r>
      <w:r w:rsidRPr="007B78F9">
        <w:rPr>
          <w:rFonts w:cs="Arial"/>
          <w:u w:val="single"/>
          <w:rtl/>
        </w:rPr>
        <w:t>אם תלך הבת בלא זרע יתבט</w:t>
      </w:r>
      <w:r w:rsidRPr="007B78F9">
        <w:rPr>
          <w:rFonts w:cs="Arial" w:hint="cs"/>
          <w:u w:val="single"/>
          <w:rtl/>
        </w:rPr>
        <w:t>ל</w:t>
      </w:r>
      <w:r w:rsidRPr="007B78F9">
        <w:rPr>
          <w:rFonts w:cs="Arial"/>
          <w:u w:val="single"/>
          <w:rtl/>
        </w:rPr>
        <w:t xml:space="preserve">, ומתה </w:t>
      </w:r>
      <w:r>
        <w:rPr>
          <w:rFonts w:cs="Arial" w:hint="cs"/>
          <w:u w:val="single"/>
          <w:rtl/>
        </w:rPr>
        <w:t>הבת</w:t>
      </w:r>
      <w:r w:rsidRPr="007B78F9">
        <w:rPr>
          <w:rFonts w:cs="Arial"/>
          <w:u w:val="single"/>
          <w:rtl/>
        </w:rPr>
        <w:t xml:space="preserve"> והניחה זרע</w:t>
      </w:r>
      <w:r w:rsidRPr="007B78F9">
        <w:rPr>
          <w:rFonts w:cs="Arial" w:hint="cs"/>
          <w:u w:val="single"/>
          <w:rtl/>
        </w:rPr>
        <w:t>,</w:t>
      </w:r>
      <w:r w:rsidRPr="007B78F9">
        <w:rPr>
          <w:rFonts w:cs="Arial"/>
          <w:u w:val="single"/>
          <w:rtl/>
        </w:rPr>
        <w:t xml:space="preserve"> ומת הזרע</w:t>
      </w:r>
      <w:r w:rsidRPr="007B78F9">
        <w:rPr>
          <w:rFonts w:cs="Arial" w:hint="cs"/>
          <w:u w:val="single"/>
          <w:rtl/>
        </w:rPr>
        <w:t>:</w:t>
      </w:r>
      <w:r w:rsidRPr="007B78F9">
        <w:rPr>
          <w:rFonts w:cs="Arial"/>
          <w:sz w:val="16"/>
          <w:szCs w:val="16"/>
          <w:rtl/>
        </w:rPr>
        <w:t xml:space="preserve"> </w:t>
      </w:r>
      <w:r>
        <w:rPr>
          <w:rFonts w:cs="Arial" w:hint="cs"/>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r w:rsidRPr="007B78F9">
        <w:rPr>
          <w:rFonts w:cs="Arial"/>
          <w:rtl/>
        </w:rPr>
        <w:t xml:space="preserve"> </w:t>
      </w:r>
    </w:p>
    <w:p w14:paraId="042928FA" w14:textId="77777777" w:rsidR="002E5BAD" w:rsidRDefault="002E5BAD" w:rsidP="002E5BAD">
      <w:pPr>
        <w:pStyle w:val="ab"/>
        <w:numPr>
          <w:ilvl w:val="0"/>
          <w:numId w:val="186"/>
        </w:numPr>
      </w:pPr>
      <w:r w:rsidRPr="00843F99">
        <w:rPr>
          <w:rFonts w:cs="Arial"/>
          <w:rtl/>
        </w:rPr>
        <w:t>מהרי"ו</w:t>
      </w:r>
      <w:r w:rsidRPr="003D032F">
        <w:rPr>
          <w:rFonts w:cs="Arial"/>
          <w:sz w:val="16"/>
          <w:szCs w:val="16"/>
          <w:rtl/>
        </w:rPr>
        <w:t xml:space="preserve"> </w:t>
      </w:r>
      <w:r w:rsidRPr="003D032F">
        <w:rPr>
          <w:rFonts w:cs="Arial" w:hint="cs"/>
          <w:sz w:val="16"/>
          <w:szCs w:val="16"/>
          <w:rtl/>
        </w:rPr>
        <w:t>(</w:t>
      </w:r>
      <w:r w:rsidRPr="003D032F">
        <w:rPr>
          <w:rFonts w:cs="Arial"/>
          <w:sz w:val="16"/>
          <w:szCs w:val="16"/>
          <w:rtl/>
        </w:rPr>
        <w:t>פסקי</w:t>
      </w:r>
      <w:r w:rsidRPr="003D032F">
        <w:rPr>
          <w:rFonts w:cs="Arial" w:hint="cs"/>
          <w:sz w:val="16"/>
          <w:szCs w:val="16"/>
          <w:rtl/>
        </w:rPr>
        <w:t>ם</w:t>
      </w:r>
      <w:r w:rsidRPr="003D032F">
        <w:rPr>
          <w:rFonts w:cs="Arial"/>
          <w:sz w:val="16"/>
          <w:szCs w:val="16"/>
          <w:rtl/>
        </w:rPr>
        <w:t xml:space="preserve"> סי</w:t>
      </w:r>
      <w:r w:rsidRPr="003D032F">
        <w:rPr>
          <w:rFonts w:cs="Arial" w:hint="cs"/>
          <w:sz w:val="16"/>
          <w:szCs w:val="16"/>
          <w:rtl/>
        </w:rPr>
        <w:t>'</w:t>
      </w:r>
      <w:r w:rsidRPr="003D032F">
        <w:rPr>
          <w:rFonts w:cs="Arial"/>
          <w:sz w:val="16"/>
          <w:szCs w:val="16"/>
          <w:rtl/>
        </w:rPr>
        <w:t xml:space="preserve"> </w:t>
      </w:r>
      <w:r w:rsidRPr="003D032F">
        <w:rPr>
          <w:rFonts w:cs="Arial" w:hint="cs"/>
          <w:sz w:val="16"/>
          <w:szCs w:val="16"/>
          <w:rtl/>
        </w:rPr>
        <w:t>טז)</w:t>
      </w:r>
      <w:r>
        <w:rPr>
          <w:rFonts w:cs="Arial" w:hint="cs"/>
          <w:rtl/>
        </w:rPr>
        <w:t>-</w:t>
      </w:r>
      <w:r w:rsidRPr="00843F99">
        <w:rPr>
          <w:rFonts w:cs="Arial"/>
          <w:rtl/>
        </w:rPr>
        <w:t xml:space="preserve"> שטר חצי זכר שכתוב בו ואם בתו תלך לעולמה בלי זרע קיימא אז החוב בטל וכו'</w:t>
      </w:r>
      <w:r>
        <w:rPr>
          <w:rFonts w:cs="Arial" w:hint="cs"/>
          <w:rtl/>
        </w:rPr>
        <w:t>.</w:t>
      </w:r>
      <w:r w:rsidRPr="00843F99">
        <w:rPr>
          <w:rFonts w:cs="Arial"/>
          <w:rtl/>
        </w:rPr>
        <w:t xml:space="preserve"> ומתה הבת בחיי אביה</w:t>
      </w:r>
      <w:r>
        <w:rPr>
          <w:rFonts w:cs="Arial" w:hint="cs"/>
          <w:rtl/>
        </w:rPr>
        <w:t>,</w:t>
      </w:r>
      <w:r w:rsidRPr="00843F99">
        <w:rPr>
          <w:rFonts w:cs="Arial"/>
          <w:rtl/>
        </w:rPr>
        <w:t xml:space="preserve"> והניחה זרע קיימא</w:t>
      </w:r>
      <w:r>
        <w:rPr>
          <w:rFonts w:cs="Arial" w:hint="cs"/>
          <w:rtl/>
        </w:rPr>
        <w:t>.</w:t>
      </w:r>
      <w:r w:rsidRPr="00843F99">
        <w:rPr>
          <w:rFonts w:cs="Arial"/>
          <w:rtl/>
        </w:rPr>
        <w:t xml:space="preserve"> ואחר כך מת הזרע בחיי אבי הבת</w:t>
      </w:r>
      <w:r>
        <w:rPr>
          <w:rFonts w:cs="Arial" w:hint="cs"/>
          <w:rtl/>
        </w:rPr>
        <w:t>,</w:t>
      </w:r>
      <w:r w:rsidRPr="00843F99">
        <w:rPr>
          <w:rFonts w:cs="Arial"/>
          <w:rtl/>
        </w:rPr>
        <w:t xml:space="preserve"> ואחר כך מת האב הזקן אבי הבת</w:t>
      </w:r>
      <w:r>
        <w:rPr>
          <w:rFonts w:cs="Arial" w:hint="cs"/>
          <w:rtl/>
        </w:rPr>
        <w:t xml:space="preserve"> - </w:t>
      </w:r>
      <w:r w:rsidRPr="00843F99">
        <w:rPr>
          <w:rFonts w:cs="Arial"/>
          <w:rtl/>
        </w:rPr>
        <w:t xml:space="preserve"> הבעל יורש זרעו שיורש אמו</w:t>
      </w:r>
      <w:r>
        <w:rPr>
          <w:rFonts w:cs="Arial" w:hint="cs"/>
          <w:rtl/>
        </w:rPr>
        <w:t>,</w:t>
      </w:r>
      <w:r w:rsidRPr="00843F99">
        <w:rPr>
          <w:rFonts w:cs="Arial"/>
          <w:rtl/>
        </w:rPr>
        <w:t xml:space="preserve"> וצריכין לשלם לו כאשר כתוב בשטר</w:t>
      </w:r>
      <w:r>
        <w:rPr>
          <w:rFonts w:cs="Arial" w:hint="cs"/>
          <w:rtl/>
        </w:rPr>
        <w:t>.</w:t>
      </w:r>
      <w:r w:rsidRPr="00843F99">
        <w:rPr>
          <w:rFonts w:cs="Arial"/>
          <w:rtl/>
        </w:rPr>
        <w:t xml:space="preserve"> ולא אזלינן בתר אומדנא לומר שלא היתה כוונת הנותן רק על בתו או על זרעה</w:t>
      </w:r>
      <w:r>
        <w:rPr>
          <w:rStyle w:val="a7"/>
          <w:rFonts w:cs="Arial"/>
          <w:rtl/>
        </w:rPr>
        <w:footnoteReference w:id="1939"/>
      </w:r>
      <w:r>
        <w:rPr>
          <w:rFonts w:cs="Arial" w:hint="cs"/>
          <w:rtl/>
        </w:rPr>
        <w:t>.</w:t>
      </w:r>
      <w:r w:rsidRPr="00843F99">
        <w:rPr>
          <w:rFonts w:cs="Arial"/>
          <w:rtl/>
        </w:rPr>
        <w:t xml:space="preserve"> </w:t>
      </w:r>
      <w:r w:rsidRPr="00F50D8A">
        <w:rPr>
          <w:rFonts w:hint="cs"/>
          <w:color w:val="00B0F0"/>
          <w:rtl/>
        </w:rPr>
        <w:t>(וכ"פ הרמ"א)</w:t>
      </w:r>
    </w:p>
    <w:p w14:paraId="3A159FB7" w14:textId="77777777" w:rsidR="002E5BAD" w:rsidRPr="00F50D8A" w:rsidRDefault="002E5BAD" w:rsidP="002E5BAD">
      <w:pPr>
        <w:rPr>
          <w:u w:val="single"/>
        </w:rPr>
      </w:pPr>
      <w:r w:rsidRPr="00F50D8A">
        <w:rPr>
          <w:rFonts w:cs="Arial"/>
          <w:u w:val="single"/>
          <w:rtl/>
        </w:rPr>
        <w:t>ראובן מת</w:t>
      </w:r>
      <w:r w:rsidRPr="00F50D8A">
        <w:rPr>
          <w:rFonts w:cs="Arial" w:hint="cs"/>
          <w:u w:val="single"/>
          <w:rtl/>
        </w:rPr>
        <w:t>,</w:t>
      </w:r>
      <w:r w:rsidRPr="00F50D8A">
        <w:rPr>
          <w:rFonts w:cs="Arial"/>
          <w:u w:val="single"/>
          <w:rtl/>
        </w:rPr>
        <w:t xml:space="preserve"> והניח אלמנה ושתי בנות</w:t>
      </w:r>
      <w:r>
        <w:rPr>
          <w:rFonts w:cs="Arial" w:hint="cs"/>
          <w:u w:val="single"/>
          <w:rtl/>
        </w:rPr>
        <w:t>,</w:t>
      </w:r>
      <w:r w:rsidRPr="00F50D8A">
        <w:rPr>
          <w:rFonts w:cs="Arial"/>
          <w:u w:val="single"/>
          <w:rtl/>
        </w:rPr>
        <w:t xml:space="preserve"> ומתה </w:t>
      </w:r>
      <w:r>
        <w:rPr>
          <w:rFonts w:cs="Arial" w:hint="cs"/>
          <w:u w:val="single"/>
          <w:rtl/>
        </w:rPr>
        <w:t xml:space="preserve">הבת </w:t>
      </w:r>
      <w:r w:rsidRPr="00F50D8A">
        <w:rPr>
          <w:rFonts w:cs="Arial"/>
          <w:u w:val="single"/>
          <w:rtl/>
        </w:rPr>
        <w:t>הנשואה</w:t>
      </w:r>
      <w:r w:rsidRPr="00F50D8A">
        <w:rPr>
          <w:rFonts w:cs="Arial" w:hint="cs"/>
          <w:u w:val="single"/>
          <w:rtl/>
        </w:rPr>
        <w:t>,</w:t>
      </w:r>
      <w:r w:rsidRPr="00F50D8A">
        <w:rPr>
          <w:rFonts w:cs="Arial"/>
          <w:u w:val="single"/>
          <w:rtl/>
        </w:rPr>
        <w:t xml:space="preserve"> ואח</w:t>
      </w:r>
      <w:r>
        <w:rPr>
          <w:rFonts w:cs="Arial" w:hint="cs"/>
          <w:u w:val="single"/>
          <w:rtl/>
        </w:rPr>
        <w:t>"</w:t>
      </w:r>
      <w:r w:rsidRPr="00F50D8A">
        <w:rPr>
          <w:rFonts w:cs="Arial"/>
          <w:u w:val="single"/>
          <w:rtl/>
        </w:rPr>
        <w:t>כ מתה האם ולא נשבעה על כתובתה</w:t>
      </w:r>
      <w:r w:rsidRPr="00F50D8A">
        <w:rPr>
          <w:rFonts w:hint="cs"/>
          <w:u w:val="single"/>
          <w:rtl/>
        </w:rPr>
        <w:t>:</w:t>
      </w:r>
      <w:r w:rsidRPr="00F50D8A">
        <w:rPr>
          <w:rFonts w:cs="Arial"/>
          <w:sz w:val="16"/>
          <w:szCs w:val="16"/>
          <w:rtl/>
        </w:rPr>
        <w:t xml:space="preserve"> </w:t>
      </w:r>
      <w:r>
        <w:rPr>
          <w:rFonts w:cs="Arial" w:hint="cs"/>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p>
    <w:p w14:paraId="6A9CFF5A" w14:textId="77777777" w:rsidR="002E5BAD" w:rsidRPr="007B78F9" w:rsidRDefault="002E5BAD" w:rsidP="002E5BAD">
      <w:pPr>
        <w:pStyle w:val="ab"/>
        <w:numPr>
          <w:ilvl w:val="0"/>
          <w:numId w:val="186"/>
        </w:numPr>
      </w:pPr>
      <w:r w:rsidRPr="00843F99">
        <w:rPr>
          <w:rFonts w:cs="Arial"/>
          <w:rtl/>
        </w:rPr>
        <w:t xml:space="preserve">מרדכי </w:t>
      </w:r>
      <w:r w:rsidRPr="007B78F9">
        <w:rPr>
          <w:rFonts w:cs="Arial" w:hint="cs"/>
          <w:sz w:val="16"/>
          <w:szCs w:val="16"/>
          <w:rtl/>
        </w:rPr>
        <w:t>(</w:t>
      </w:r>
      <w:r w:rsidRPr="007B78F9">
        <w:rPr>
          <w:rFonts w:cs="Arial"/>
          <w:sz w:val="16"/>
          <w:szCs w:val="16"/>
          <w:rtl/>
        </w:rPr>
        <w:t>פרק כל הנשבעין שבועות סי' תשפ)</w:t>
      </w:r>
      <w:r>
        <w:rPr>
          <w:rFonts w:cs="Arial" w:hint="cs"/>
          <w:rtl/>
        </w:rPr>
        <w:t>-</w:t>
      </w:r>
      <w:r w:rsidRPr="00843F99">
        <w:rPr>
          <w:rFonts w:cs="Arial"/>
          <w:rtl/>
        </w:rPr>
        <w:t xml:space="preserve"> ראובן מת</w:t>
      </w:r>
      <w:r>
        <w:rPr>
          <w:rFonts w:cs="Arial" w:hint="cs"/>
          <w:rtl/>
        </w:rPr>
        <w:t>,</w:t>
      </w:r>
      <w:r w:rsidRPr="00843F99">
        <w:rPr>
          <w:rFonts w:cs="Arial"/>
          <w:rtl/>
        </w:rPr>
        <w:t xml:space="preserve"> והניח אלמנה ושתי בנות</w:t>
      </w:r>
      <w:r>
        <w:rPr>
          <w:rFonts w:cs="Arial" w:hint="cs"/>
          <w:rtl/>
        </w:rPr>
        <w:t>.</w:t>
      </w:r>
      <w:r w:rsidRPr="00843F99">
        <w:rPr>
          <w:rFonts w:cs="Arial"/>
          <w:rtl/>
        </w:rPr>
        <w:t xml:space="preserve"> אחת נשואה</w:t>
      </w:r>
      <w:r>
        <w:rPr>
          <w:rFonts w:cs="Arial" w:hint="cs"/>
          <w:rtl/>
        </w:rPr>
        <w:t>.</w:t>
      </w:r>
      <w:r w:rsidRPr="00843F99">
        <w:rPr>
          <w:rFonts w:cs="Arial"/>
          <w:rtl/>
        </w:rPr>
        <w:t xml:space="preserve"> ומתה הנשואה</w:t>
      </w:r>
      <w:r>
        <w:rPr>
          <w:rFonts w:cs="Arial" w:hint="cs"/>
          <w:rtl/>
        </w:rPr>
        <w:t>,</w:t>
      </w:r>
      <w:r w:rsidRPr="00843F99">
        <w:rPr>
          <w:rFonts w:cs="Arial"/>
          <w:rtl/>
        </w:rPr>
        <w:t xml:space="preserve"> ואחר כך מתה האם ולא נשבעה על כתובתה</w:t>
      </w:r>
      <w:r>
        <w:rPr>
          <w:rFonts w:cs="Arial" w:hint="cs"/>
          <w:rtl/>
        </w:rPr>
        <w:t>.</w:t>
      </w:r>
      <w:r w:rsidRPr="00843F99">
        <w:rPr>
          <w:rFonts w:cs="Arial"/>
          <w:rtl/>
        </w:rPr>
        <w:t xml:space="preserve"> פסק מוהר"ם דהבעל גובה חצי הנכסים</w:t>
      </w:r>
      <w:r>
        <w:rPr>
          <w:rFonts w:cs="Arial" w:hint="cs"/>
          <w:rtl/>
        </w:rPr>
        <w:t>,</w:t>
      </w:r>
      <w:r w:rsidRPr="00843F99">
        <w:rPr>
          <w:rFonts w:cs="Arial"/>
          <w:rtl/>
        </w:rPr>
        <w:t xml:space="preserve"> דמיד שמת ראובן נפלו חצי הנכסים לפני הבת הנשואה ומקרי מוחזק אף על גב שהיו משועבדים לכתובת האלמנה. </w:t>
      </w:r>
    </w:p>
    <w:p w14:paraId="23FD11AA" w14:textId="77777777" w:rsidR="002E5BAD" w:rsidRPr="00F50D8A" w:rsidRDefault="002E5BAD" w:rsidP="002E5BAD">
      <w:pPr>
        <w:rPr>
          <w:u w:val="single"/>
        </w:rPr>
      </w:pPr>
      <w:r w:rsidRPr="00F50D8A">
        <w:rPr>
          <w:rFonts w:cs="Arial" w:hint="cs"/>
          <w:u w:val="single"/>
          <w:rtl/>
        </w:rPr>
        <w:t>מי ש</w:t>
      </w:r>
      <w:r w:rsidRPr="00F50D8A">
        <w:rPr>
          <w:rFonts w:cs="Arial"/>
          <w:u w:val="single"/>
          <w:rtl/>
        </w:rPr>
        <w:t xml:space="preserve">כתב לבתו </w:t>
      </w:r>
      <w:r>
        <w:rPr>
          <w:rFonts w:cs="Arial" w:hint="cs"/>
          <w:u w:val="single"/>
          <w:rtl/>
        </w:rPr>
        <w:t xml:space="preserve">הנשואה </w:t>
      </w:r>
      <w:r w:rsidRPr="00F50D8A">
        <w:rPr>
          <w:rFonts w:cs="Arial"/>
          <w:u w:val="single"/>
          <w:rtl/>
        </w:rPr>
        <w:t>קרקע</w:t>
      </w:r>
      <w:r w:rsidRPr="00F50D8A">
        <w:rPr>
          <w:rFonts w:cs="Arial" w:hint="cs"/>
          <w:u w:val="single"/>
          <w:rtl/>
        </w:rPr>
        <w:t>, הגוף</w:t>
      </w:r>
      <w:r w:rsidRPr="00F50D8A">
        <w:rPr>
          <w:rFonts w:cs="Arial"/>
          <w:u w:val="single"/>
          <w:rtl/>
        </w:rPr>
        <w:t xml:space="preserve"> מהיו</w:t>
      </w:r>
      <w:r w:rsidRPr="00F50D8A">
        <w:rPr>
          <w:rFonts w:cs="Arial" w:hint="cs"/>
          <w:u w:val="single"/>
          <w:rtl/>
        </w:rPr>
        <w:t>ם,</w:t>
      </w:r>
      <w:r w:rsidRPr="00F50D8A">
        <w:rPr>
          <w:rFonts w:cs="Arial"/>
          <w:u w:val="single"/>
          <w:rtl/>
        </w:rPr>
        <w:t xml:space="preserve"> והפירות לאחר מיתה</w:t>
      </w:r>
      <w:r w:rsidRPr="00F50D8A">
        <w:rPr>
          <w:rFonts w:cs="Arial" w:hint="cs"/>
          <w:u w:val="single"/>
          <w:rtl/>
        </w:rPr>
        <w:t>:</w:t>
      </w:r>
      <w:r>
        <w:rPr>
          <w:rFonts w:cs="Arial" w:hint="cs"/>
          <w:sz w:val="16"/>
          <w:szCs w:val="16"/>
          <w:rtl/>
        </w:rPr>
        <w:t xml:space="preserve"> </w:t>
      </w:r>
      <w:r w:rsidRPr="00F50D8A">
        <w:rPr>
          <w:rFonts w:cs="Arial"/>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p>
    <w:p w14:paraId="3E9B64CD" w14:textId="77777777" w:rsidR="002E5BAD" w:rsidRDefault="002E5BAD" w:rsidP="002E5BAD">
      <w:pPr>
        <w:pStyle w:val="ab"/>
        <w:numPr>
          <w:ilvl w:val="0"/>
          <w:numId w:val="186"/>
        </w:numPr>
      </w:pPr>
      <w:r w:rsidRPr="00843F99">
        <w:rPr>
          <w:rFonts w:cs="Arial"/>
          <w:rtl/>
        </w:rPr>
        <w:t xml:space="preserve">מרדכי </w:t>
      </w:r>
      <w:r w:rsidRPr="00F50D8A">
        <w:rPr>
          <w:rFonts w:cs="Arial" w:hint="cs"/>
          <w:sz w:val="16"/>
          <w:szCs w:val="16"/>
          <w:rtl/>
        </w:rPr>
        <w:t>(</w:t>
      </w:r>
      <w:r w:rsidRPr="00F50D8A">
        <w:rPr>
          <w:rFonts w:cs="Arial"/>
          <w:sz w:val="16"/>
          <w:szCs w:val="16"/>
          <w:rtl/>
        </w:rPr>
        <w:t>ר</w:t>
      </w:r>
      <w:r w:rsidRPr="00F50D8A">
        <w:rPr>
          <w:rFonts w:cs="Arial" w:hint="cs"/>
          <w:sz w:val="16"/>
          <w:szCs w:val="16"/>
          <w:rtl/>
        </w:rPr>
        <w:t>"פ</w:t>
      </w:r>
      <w:r w:rsidRPr="00F50D8A">
        <w:rPr>
          <w:rFonts w:cs="Arial"/>
          <w:sz w:val="16"/>
          <w:szCs w:val="16"/>
          <w:rtl/>
        </w:rPr>
        <w:t xml:space="preserve"> יש נוחלין סי' תקעה)</w:t>
      </w:r>
      <w:r>
        <w:rPr>
          <w:rFonts w:cs="Arial" w:hint="cs"/>
          <w:rtl/>
        </w:rPr>
        <w:t>-</w:t>
      </w:r>
      <w:r w:rsidRPr="00843F99">
        <w:rPr>
          <w:rFonts w:cs="Arial"/>
          <w:rtl/>
        </w:rPr>
        <w:t xml:space="preserve"> אם כתב לבתו קרקע מהיום הגוף והפירות לאחר מיתה הבעל יורשה דלא מיקרי ראוי אלא מוחזק</w:t>
      </w:r>
      <w:r>
        <w:rPr>
          <w:rFonts w:cs="Arial" w:hint="cs"/>
          <w:rtl/>
        </w:rPr>
        <w:t>.</w:t>
      </w:r>
      <w:r w:rsidRPr="00F50D8A">
        <w:rPr>
          <w:rFonts w:hint="cs"/>
          <w:color w:val="00B0F0"/>
          <w:rtl/>
        </w:rPr>
        <w:t xml:space="preserve"> (וכ"פ הרמ"א)</w:t>
      </w:r>
    </w:p>
    <w:p w14:paraId="6A76CF3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AF90490" w14:textId="77777777" w:rsidR="002E5BAD" w:rsidRDefault="002E5BAD" w:rsidP="002E5BAD">
      <w:pPr>
        <w:rPr>
          <w:rFonts w:cs="Arial"/>
          <w:rtl/>
        </w:rPr>
      </w:pPr>
      <w:r w:rsidRPr="00EB79BF">
        <w:rPr>
          <w:rFonts w:cs="Arial"/>
          <w:rtl/>
        </w:rPr>
        <w:lastRenderedPageBreak/>
        <w:t>הבעל יורש את אשתו</w:t>
      </w:r>
      <w:r>
        <w:rPr>
          <w:rStyle w:val="a7"/>
          <w:rFonts w:cs="Arial"/>
          <w:rtl/>
        </w:rPr>
        <w:footnoteReference w:id="1940"/>
      </w:r>
      <w:r w:rsidRPr="00EB79BF">
        <w:rPr>
          <w:rFonts w:cs="Arial"/>
          <w:rtl/>
        </w:rPr>
        <w:t>. בין נכסי מלוג בין נכסי צאן ברזל</w:t>
      </w:r>
      <w:r>
        <w:rPr>
          <w:rStyle w:val="a7"/>
          <w:rFonts w:cs="Arial"/>
          <w:rtl/>
        </w:rPr>
        <w:footnoteReference w:id="1941"/>
      </w:r>
      <w:r w:rsidRPr="00EB79BF">
        <w:rPr>
          <w:rFonts w:cs="Arial"/>
          <w:rtl/>
        </w:rPr>
        <w:t>. ב</w:t>
      </w:r>
      <w:r>
        <w:rPr>
          <w:rFonts w:cs="Arial" w:hint="cs"/>
          <w:rtl/>
        </w:rPr>
        <w:t xml:space="preserve">מה </w:t>
      </w:r>
      <w:r w:rsidRPr="00EB79BF">
        <w:rPr>
          <w:rFonts w:cs="Arial"/>
          <w:rtl/>
        </w:rPr>
        <w:t>ד</w:t>
      </w:r>
      <w:r>
        <w:rPr>
          <w:rFonts w:cs="Arial" w:hint="cs"/>
          <w:rtl/>
        </w:rPr>
        <w:t xml:space="preserve">ברים </w:t>
      </w:r>
      <w:r w:rsidRPr="00EB79BF">
        <w:rPr>
          <w:rFonts w:cs="Arial"/>
          <w:rtl/>
        </w:rPr>
        <w:t>א</w:t>
      </w:r>
      <w:r>
        <w:rPr>
          <w:rFonts w:cs="Arial" w:hint="cs"/>
          <w:rtl/>
        </w:rPr>
        <w:t>מורים</w:t>
      </w:r>
      <w:r w:rsidRPr="00EB79BF">
        <w:rPr>
          <w:rFonts w:cs="Arial"/>
          <w:rtl/>
        </w:rPr>
        <w:t>, במוחזק</w:t>
      </w:r>
      <w:r>
        <w:rPr>
          <w:rFonts w:cs="Arial" w:hint="cs"/>
          <w:rtl/>
        </w:rPr>
        <w:t>.</w:t>
      </w:r>
      <w:r w:rsidRPr="00EB79BF">
        <w:rPr>
          <w:rFonts w:cs="Arial"/>
          <w:rtl/>
        </w:rPr>
        <w:t xml:space="preserve"> אבל לא בראוי, כגון ירושה שראויה ליירש, ומתה בחיי מורישה, אינו עומד במקומה לירש. </w:t>
      </w:r>
      <w:r w:rsidRPr="00FA43C3">
        <w:rPr>
          <w:rFonts w:cs="Arial"/>
          <w:sz w:val="18"/>
          <w:szCs w:val="18"/>
          <w:rtl/>
        </w:rPr>
        <w:t>הגה: שטר חצי זכר, שנוהגין בו האידנא שכותב האב לבתו ליטול בירושתו כחלק חצי זכר, ואם תלך הבת בלא זרע קיימא יתבטל החוב, ומתה הבת בחיי אביה והניחה זרע קיימא, ומת הזרע ואחר כך מת אביה</w:t>
      </w:r>
      <w:r>
        <w:rPr>
          <w:rStyle w:val="a7"/>
          <w:rFonts w:cs="Arial"/>
          <w:sz w:val="18"/>
          <w:szCs w:val="18"/>
          <w:rtl/>
        </w:rPr>
        <w:footnoteReference w:id="1942"/>
      </w:r>
      <w:r w:rsidRPr="00FA43C3">
        <w:rPr>
          <w:rFonts w:cs="Arial"/>
          <w:sz w:val="18"/>
          <w:szCs w:val="18"/>
          <w:rtl/>
        </w:rPr>
        <w:t>, הבעל יורש כח אותו השטר</w:t>
      </w:r>
      <w:r>
        <w:rPr>
          <w:rStyle w:val="a7"/>
          <w:rFonts w:cs="Arial"/>
          <w:sz w:val="18"/>
          <w:szCs w:val="18"/>
          <w:rtl/>
        </w:rPr>
        <w:footnoteReference w:id="1943"/>
      </w:r>
      <w:r w:rsidRPr="00FA43C3">
        <w:rPr>
          <w:rFonts w:cs="Arial"/>
          <w:sz w:val="18"/>
          <w:szCs w:val="18"/>
          <w:rtl/>
        </w:rPr>
        <w:t>, מכח זרעו שיירש אמו והוא יורש זרעו (מהרי"ו סי' טז). כתבו לה מורישיה קרקע מחיים ופירות לאחר מיתה</w:t>
      </w:r>
      <w:r>
        <w:rPr>
          <w:rStyle w:val="a7"/>
          <w:rFonts w:cs="Arial"/>
          <w:sz w:val="18"/>
          <w:szCs w:val="18"/>
          <w:rtl/>
        </w:rPr>
        <w:footnoteReference w:id="1944"/>
      </w:r>
      <w:r w:rsidRPr="00FA43C3">
        <w:rPr>
          <w:rFonts w:cs="Arial"/>
          <w:sz w:val="18"/>
          <w:szCs w:val="18"/>
          <w:rtl/>
        </w:rPr>
        <w:t>, הבעל יורש אותה קרקע ממנה (מרדכי ריש יש נוחלין)</w:t>
      </w:r>
      <w:r>
        <w:rPr>
          <w:rFonts w:cs="Arial" w:hint="cs"/>
          <w:rtl/>
        </w:rPr>
        <w:t xml:space="preserve">. </w:t>
      </w:r>
      <w:r w:rsidRPr="00EB79BF">
        <w:rPr>
          <w:rFonts w:cs="Arial"/>
          <w:rtl/>
        </w:rPr>
        <w:t>אבל שבח נוטל במה שיורש ממנה, שהרי ברשותו השביח. ואינו יורש מלוה אשתו</w:t>
      </w:r>
      <w:r>
        <w:rPr>
          <w:rStyle w:val="a7"/>
          <w:rFonts w:cs="Arial"/>
          <w:rtl/>
        </w:rPr>
        <w:footnoteReference w:id="1945"/>
      </w:r>
      <w:r w:rsidRPr="00EB79BF">
        <w:rPr>
          <w:rFonts w:cs="Arial"/>
          <w:rtl/>
        </w:rPr>
        <w:t xml:space="preserve">, כגון שמתו מורישיה והיתה להם מלוה ביד אחרים </w:t>
      </w:r>
      <w:r>
        <w:rPr>
          <w:rStyle w:val="a7"/>
          <w:rFonts w:cs="Arial"/>
          <w:rtl/>
        </w:rPr>
        <w:footnoteReference w:id="1946"/>
      </w:r>
      <w:r w:rsidRPr="00EB79BF">
        <w:rPr>
          <w:rFonts w:cs="Arial"/>
          <w:rtl/>
        </w:rPr>
        <w:t xml:space="preserve">משנשאה, ומתה קודם שגבתה אותם. </w:t>
      </w:r>
      <w:r w:rsidRPr="00FA43C3">
        <w:rPr>
          <w:rFonts w:cs="Arial"/>
          <w:sz w:val="18"/>
          <w:szCs w:val="18"/>
          <w:rtl/>
        </w:rPr>
        <w:t>הגה: אבל אם הניחו מורישיה נכסים, אף על פי שלא גבתה הבת מחיים, ואפילו אם היו משועבדים לכתובת אלמנה</w:t>
      </w:r>
      <w:r>
        <w:rPr>
          <w:rStyle w:val="a7"/>
          <w:rFonts w:cs="Arial"/>
          <w:sz w:val="18"/>
          <w:szCs w:val="18"/>
          <w:rtl/>
        </w:rPr>
        <w:footnoteReference w:id="1947"/>
      </w:r>
      <w:r w:rsidRPr="00FA43C3">
        <w:rPr>
          <w:rFonts w:cs="Arial"/>
          <w:sz w:val="18"/>
          <w:szCs w:val="18"/>
          <w:rtl/>
        </w:rPr>
        <w:t>, נקראים מוחזקים לבת והבעל יורש אותם</w:t>
      </w:r>
      <w:r>
        <w:rPr>
          <w:rStyle w:val="a7"/>
          <w:rFonts w:cs="Arial"/>
          <w:sz w:val="18"/>
          <w:szCs w:val="18"/>
          <w:rtl/>
        </w:rPr>
        <w:footnoteReference w:id="1948"/>
      </w:r>
      <w:r w:rsidRPr="00FA43C3">
        <w:rPr>
          <w:rFonts w:cs="Arial"/>
          <w:sz w:val="18"/>
          <w:szCs w:val="18"/>
          <w:rtl/>
        </w:rPr>
        <w:t xml:space="preserve"> (מרדכי כל הנשבעין). </w:t>
      </w:r>
      <w:r w:rsidRPr="00EB79BF">
        <w:rPr>
          <w:rFonts w:cs="Arial"/>
          <w:rtl/>
        </w:rPr>
        <w:t>וכן אם היה לה מלוה ביד אחרים כשנשאה, ומתה האשה קודם שגבתה אותה</w:t>
      </w:r>
      <w:r>
        <w:rPr>
          <w:rStyle w:val="a7"/>
          <w:rFonts w:cs="Arial"/>
          <w:rtl/>
        </w:rPr>
        <w:footnoteReference w:id="1949"/>
      </w:r>
      <w:r w:rsidRPr="00EB79BF">
        <w:rPr>
          <w:rFonts w:cs="Arial"/>
          <w:rtl/>
        </w:rPr>
        <w:t>, אינו יורשה</w:t>
      </w:r>
      <w:r>
        <w:rPr>
          <w:rStyle w:val="a7"/>
          <w:rFonts w:cs="Arial"/>
          <w:rtl/>
        </w:rPr>
        <w:footnoteReference w:id="1950"/>
      </w:r>
      <w:r>
        <w:rPr>
          <w:rFonts w:cs="Arial" w:hint="cs"/>
          <w:rtl/>
        </w:rPr>
        <w:t>.</w:t>
      </w:r>
      <w:r w:rsidRPr="00EB79BF">
        <w:rPr>
          <w:rFonts w:cs="Arial"/>
          <w:rtl/>
        </w:rPr>
        <w:t xml:space="preserve"> אבל אם הלותה מנכסי מלוג, ומתה קודם שגבתה, בזו יורש אותה בעלה. </w:t>
      </w:r>
      <w:r w:rsidRPr="00FA43C3">
        <w:rPr>
          <w:rFonts w:cs="Arial"/>
          <w:sz w:val="18"/>
          <w:szCs w:val="18"/>
          <w:rtl/>
        </w:rPr>
        <w:t>הגה: כל הנכסים שהיו לאשה שאין לבעלה רשות בהן</w:t>
      </w:r>
      <w:r>
        <w:rPr>
          <w:rStyle w:val="a7"/>
          <w:rFonts w:cs="Arial"/>
          <w:sz w:val="18"/>
          <w:szCs w:val="18"/>
          <w:rtl/>
        </w:rPr>
        <w:footnoteReference w:id="1951"/>
      </w:r>
      <w:r w:rsidRPr="00FA43C3">
        <w:rPr>
          <w:rFonts w:cs="Arial"/>
          <w:sz w:val="18"/>
          <w:szCs w:val="18"/>
          <w:rtl/>
        </w:rPr>
        <w:t>, והלוותה אותן לאחרים, אין הבעל יורש אותן (ב"י בשם תשובת הרשב"א).</w:t>
      </w:r>
    </w:p>
    <w:p w14:paraId="6E310B5C" w14:textId="77777777" w:rsidR="002E5BAD" w:rsidRPr="00EB79BF" w:rsidRDefault="002E5BAD" w:rsidP="002E5BAD">
      <w:pPr>
        <w:rPr>
          <w:rFonts w:cs="Arial"/>
          <w:rtl/>
        </w:rPr>
      </w:pPr>
    </w:p>
    <w:p w14:paraId="6A8DBCC9" w14:textId="77777777" w:rsidR="002E5BAD" w:rsidRDefault="002E5BAD" w:rsidP="002E5BAD">
      <w:pPr>
        <w:pStyle w:val="2"/>
        <w:rPr>
          <w:rtl/>
        </w:rPr>
      </w:pPr>
      <w:r w:rsidRPr="00EB79BF">
        <w:rPr>
          <w:rtl/>
        </w:rPr>
        <w:t>סעיף ב</w:t>
      </w:r>
      <w:r>
        <w:rPr>
          <w:rFonts w:hint="cs"/>
          <w:rtl/>
        </w:rPr>
        <w:t xml:space="preserve">: </w:t>
      </w:r>
      <w:r w:rsidRPr="006262B5">
        <w:rPr>
          <w:rFonts w:cs="Arial"/>
          <w:rtl/>
        </w:rPr>
        <w:t xml:space="preserve">מי שאמר </w:t>
      </w:r>
      <w:r>
        <w:rPr>
          <w:rFonts w:cs="Arial" w:hint="cs"/>
          <w:rtl/>
        </w:rPr>
        <w:t>'</w:t>
      </w:r>
      <w:r w:rsidRPr="006262B5">
        <w:rPr>
          <w:rFonts w:cs="Arial"/>
          <w:rtl/>
        </w:rPr>
        <w:t>נכסי לפלוני ואחריו ליורשי</w:t>
      </w:r>
      <w:r>
        <w:rPr>
          <w:rFonts w:cs="Arial" w:hint="cs"/>
          <w:rtl/>
        </w:rPr>
        <w:t>'</w:t>
      </w:r>
      <w:r>
        <w:rPr>
          <w:rFonts w:hint="cs"/>
          <w:rtl/>
        </w:rPr>
        <w:t>.</w:t>
      </w:r>
    </w:p>
    <w:p w14:paraId="5A90484E" w14:textId="77777777" w:rsidR="002E5BAD" w:rsidRDefault="002E5BAD" w:rsidP="002E5BAD">
      <w:pPr>
        <w:rPr>
          <w:rFonts w:cs="Arial"/>
          <w:rtl/>
        </w:rPr>
      </w:pPr>
      <w:r w:rsidRPr="004E510F">
        <w:rPr>
          <w:rFonts w:cs="Arial"/>
          <w:b/>
          <w:bCs/>
          <w:rtl/>
        </w:rPr>
        <w:t xml:space="preserve">בבא בתרא </w:t>
      </w:r>
      <w:r w:rsidRPr="00BD74BB">
        <w:rPr>
          <w:rFonts w:cs="Arial" w:hint="cs"/>
          <w:b/>
          <w:bCs/>
          <w:sz w:val="16"/>
          <w:szCs w:val="16"/>
          <w:rtl/>
        </w:rPr>
        <w:t>(פ</w:t>
      </w:r>
      <w:r>
        <w:rPr>
          <w:rFonts w:cs="Arial" w:hint="cs"/>
          <w:b/>
          <w:bCs/>
          <w:sz w:val="16"/>
          <w:szCs w:val="16"/>
          <w:rtl/>
        </w:rPr>
        <w:t>'</w:t>
      </w:r>
      <w:r w:rsidRPr="00BD74BB">
        <w:rPr>
          <w:rFonts w:cs="Arial" w:hint="cs"/>
          <w:b/>
          <w:bCs/>
          <w:sz w:val="16"/>
          <w:szCs w:val="16"/>
          <w:rtl/>
        </w:rPr>
        <w:t xml:space="preserve"> </w:t>
      </w:r>
      <w:r>
        <w:rPr>
          <w:rFonts w:cs="Arial" w:hint="cs"/>
          <w:b/>
          <w:bCs/>
          <w:sz w:val="16"/>
          <w:szCs w:val="16"/>
          <w:rtl/>
        </w:rPr>
        <w:t>יש נוחלין</w:t>
      </w:r>
      <w:r w:rsidRPr="00BD74BB">
        <w:rPr>
          <w:rFonts w:cs="Arial" w:hint="cs"/>
          <w:b/>
          <w:bCs/>
          <w:sz w:val="16"/>
          <w:szCs w:val="16"/>
          <w:rtl/>
        </w:rPr>
        <w:t>)</w:t>
      </w:r>
      <w:r w:rsidRPr="004E510F">
        <w:rPr>
          <w:rFonts w:cs="Arial" w:hint="cs"/>
          <w:b/>
          <w:bCs/>
          <w:rtl/>
        </w:rPr>
        <w:t xml:space="preserve"> </w:t>
      </w:r>
      <w:r w:rsidRPr="004E510F">
        <w:rPr>
          <w:rFonts w:cs="Arial"/>
          <w:b/>
          <w:bCs/>
          <w:rtl/>
        </w:rPr>
        <w:t>ק</w:t>
      </w:r>
      <w:r>
        <w:rPr>
          <w:rFonts w:cs="Arial" w:hint="cs"/>
          <w:b/>
          <w:bCs/>
          <w:rtl/>
        </w:rPr>
        <w:t>כה</w:t>
      </w:r>
      <w:r w:rsidRPr="004E510F">
        <w:rPr>
          <w:rFonts w:cs="Arial"/>
          <w:b/>
          <w:bCs/>
          <w:rtl/>
        </w:rPr>
        <w:t xml:space="preserve"> ע</w:t>
      </w:r>
      <w:r w:rsidRPr="004E510F">
        <w:rPr>
          <w:rFonts w:cs="Arial" w:hint="cs"/>
          <w:b/>
          <w:bCs/>
          <w:rtl/>
        </w:rPr>
        <w:t>"</w:t>
      </w:r>
      <w:r w:rsidRPr="006A308B">
        <w:rPr>
          <w:rFonts w:cs="Arial" w:hint="cs"/>
          <w:b/>
          <w:bCs/>
          <w:rtl/>
        </w:rPr>
        <w:t>א:</w:t>
      </w:r>
      <w:r w:rsidRPr="006A308B">
        <w:rPr>
          <w:rFonts w:cs="Arial" w:hint="cs"/>
          <w:rtl/>
        </w:rPr>
        <w:t xml:space="preserve"> </w:t>
      </w:r>
      <w:r w:rsidRPr="009F54DF">
        <w:rPr>
          <w:rFonts w:cs="Arial"/>
          <w:rtl/>
        </w:rPr>
        <w:t xml:space="preserve">דההוא דאמר להו: </w:t>
      </w:r>
      <w:r>
        <w:rPr>
          <w:rFonts w:cs="Arial" w:hint="cs"/>
          <w:sz w:val="14"/>
          <w:szCs w:val="14"/>
          <w:rtl/>
        </w:rPr>
        <w:t xml:space="preserve">(קכה: ) </w:t>
      </w:r>
      <w:r w:rsidRPr="009F54DF">
        <w:rPr>
          <w:rFonts w:cs="Arial"/>
          <w:rtl/>
        </w:rPr>
        <w:t>נכסי לסבתא ובתרה לירתאי, הויא ליה ברתא דהוה נסיבא, שכיבא בחיי בעלה ובחיי סבתא, בתר דשכיבא סבתא אתא בעל קא תבע</w:t>
      </w:r>
      <w:r>
        <w:rPr>
          <w:rFonts w:cs="Arial" w:hint="cs"/>
          <w:rtl/>
        </w:rPr>
        <w:t>.</w:t>
      </w:r>
      <w:r w:rsidRPr="009F54DF">
        <w:rPr>
          <w:rFonts w:cs="Arial"/>
          <w:rtl/>
        </w:rPr>
        <w:t xml:space="preserve"> </w:t>
      </w:r>
      <w:r w:rsidRPr="009F54DF">
        <w:rPr>
          <w:rFonts w:cs="Arial"/>
          <w:u w:val="single"/>
          <w:rtl/>
        </w:rPr>
        <w:t>אמר רב הונא</w:t>
      </w:r>
      <w:r w:rsidRPr="009F54DF">
        <w:rPr>
          <w:rFonts w:cs="Arial"/>
          <w:rtl/>
        </w:rPr>
        <w:t>: לירתי - ואפי' לירתי ירתי</w:t>
      </w:r>
      <w:r>
        <w:rPr>
          <w:rFonts w:cs="Arial" w:hint="cs"/>
          <w:rtl/>
        </w:rPr>
        <w:t>.</w:t>
      </w:r>
      <w:r w:rsidRPr="009F54DF">
        <w:rPr>
          <w:rFonts w:cs="Arial"/>
          <w:rtl/>
        </w:rPr>
        <w:t xml:space="preserve"> </w:t>
      </w:r>
      <w:r w:rsidRPr="009F54DF">
        <w:rPr>
          <w:rFonts w:cs="Arial"/>
          <w:u w:val="single"/>
          <w:rtl/>
        </w:rPr>
        <w:t>ורב ענן אמר</w:t>
      </w:r>
      <w:r w:rsidRPr="009F54DF">
        <w:rPr>
          <w:rFonts w:cs="Arial"/>
          <w:rtl/>
        </w:rPr>
        <w:t xml:space="preserve">: לירתי - ולא לירתי ירתי. </w:t>
      </w:r>
      <w:r w:rsidRPr="009F54DF">
        <w:rPr>
          <w:rFonts w:cs="Arial"/>
          <w:u w:val="single"/>
          <w:rtl/>
        </w:rPr>
        <w:t>שלחו מתם</w:t>
      </w:r>
      <w:r w:rsidRPr="009F54DF">
        <w:rPr>
          <w:rFonts w:cs="Arial"/>
          <w:rtl/>
        </w:rPr>
        <w:t xml:space="preserve">: הלכתא כוותיה דרב ענן ולאו מטעמיה, הלכת' כוותיה דרב ענן - דבעל לא ירית, ולאו מטעמיה - דאילו רב ענן סבר: אף על גב דהוה לי' ברא לברתיה לא ירית, ולא היא, דאילו הוה ליה ברא לברתיה ודאי ירית, ובעל היינו טעמא דלא ירית, משום דהוה ליה ראוי, ואין הבעל נוטל בראוי כבמוחזק. </w:t>
      </w:r>
    </w:p>
    <w:p w14:paraId="6C32B7A4" w14:textId="77777777" w:rsidR="002E5BAD" w:rsidRPr="009F54DF" w:rsidRDefault="002E5BAD" w:rsidP="002E5BAD">
      <w:pPr>
        <w:rPr>
          <w:u w:val="single"/>
          <w:rtl/>
        </w:rPr>
      </w:pPr>
      <w:r w:rsidRPr="009F54DF">
        <w:rPr>
          <w:rFonts w:cs="Arial"/>
          <w:u w:val="single"/>
          <w:rtl/>
        </w:rPr>
        <w:t>מי שאמר נכסי לפלוני ואחריו ליורשי</w:t>
      </w:r>
      <w:r w:rsidRPr="009F54DF">
        <w:rPr>
          <w:rFonts w:hint="cs"/>
          <w:u w:val="single"/>
          <w:rtl/>
        </w:rPr>
        <w:t>:</w:t>
      </w:r>
    </w:p>
    <w:p w14:paraId="70BC1093" w14:textId="77777777" w:rsidR="002E5BAD" w:rsidRPr="006262B5" w:rsidRDefault="002E5BAD" w:rsidP="002E5BAD">
      <w:pPr>
        <w:pStyle w:val="ab"/>
        <w:numPr>
          <w:ilvl w:val="0"/>
          <w:numId w:val="186"/>
        </w:numPr>
        <w:rPr>
          <w:rFonts w:cs="Arial"/>
          <w:rtl/>
        </w:rPr>
      </w:pPr>
      <w:r w:rsidRPr="006262B5">
        <w:rPr>
          <w:rFonts w:cs="Arial" w:hint="cs"/>
          <w:rtl/>
        </w:rPr>
        <w:t xml:space="preserve">טור- </w:t>
      </w:r>
      <w:r w:rsidRPr="006262B5">
        <w:rPr>
          <w:rFonts w:cs="Arial"/>
          <w:rtl/>
        </w:rPr>
        <w:t>מי שאמר נכסי לפלוני ואחריו ליורשי</w:t>
      </w:r>
      <w:r>
        <w:rPr>
          <w:rFonts w:cs="Arial" w:hint="cs"/>
          <w:rtl/>
        </w:rPr>
        <w:t>,</w:t>
      </w:r>
      <w:r w:rsidRPr="006262B5">
        <w:rPr>
          <w:rFonts w:cs="Arial"/>
          <w:rtl/>
        </w:rPr>
        <w:t xml:space="preserve"> קי"ל דה"ה נמי ליורשי יורשיה</w:t>
      </w:r>
      <w:r>
        <w:rPr>
          <w:rFonts w:cs="Arial" w:hint="cs"/>
          <w:rtl/>
        </w:rPr>
        <w:t>.</w:t>
      </w:r>
      <w:r w:rsidRPr="006262B5">
        <w:rPr>
          <w:rFonts w:cs="Arial"/>
          <w:rtl/>
        </w:rPr>
        <w:t xml:space="preserve"> ואם היה לו בת ומתה בחיי אותו פלוני</w:t>
      </w:r>
      <w:r>
        <w:rPr>
          <w:rFonts w:cs="Arial" w:hint="cs"/>
          <w:rtl/>
        </w:rPr>
        <w:t>,</w:t>
      </w:r>
      <w:r w:rsidRPr="006262B5">
        <w:rPr>
          <w:rFonts w:cs="Arial"/>
          <w:rtl/>
        </w:rPr>
        <w:t xml:space="preserve"> וה"ה בן לבת</w:t>
      </w:r>
      <w:r>
        <w:rPr>
          <w:rFonts w:cs="Arial" w:hint="cs"/>
          <w:rtl/>
        </w:rPr>
        <w:t>,</w:t>
      </w:r>
      <w:r w:rsidRPr="006262B5">
        <w:rPr>
          <w:rFonts w:cs="Arial"/>
          <w:rtl/>
        </w:rPr>
        <w:t xml:space="preserve"> הבן עומד במקום אמו לירש לפלוני</w:t>
      </w:r>
      <w:r>
        <w:rPr>
          <w:rFonts w:cs="Arial" w:hint="cs"/>
          <w:rtl/>
        </w:rPr>
        <w:t>.</w:t>
      </w:r>
      <w:r w:rsidRPr="006262B5">
        <w:rPr>
          <w:rFonts w:cs="Arial"/>
          <w:rtl/>
        </w:rPr>
        <w:t xml:space="preserve"> אבל אם אין לבת יורש אלא בעלה</w:t>
      </w:r>
      <w:r>
        <w:rPr>
          <w:rFonts w:cs="Arial" w:hint="cs"/>
          <w:rtl/>
        </w:rPr>
        <w:t>,</w:t>
      </w:r>
      <w:r w:rsidRPr="006262B5">
        <w:rPr>
          <w:rFonts w:cs="Arial"/>
          <w:rtl/>
        </w:rPr>
        <w:t xml:space="preserve"> אינו יורש אותו פלוני</w:t>
      </w:r>
      <w:r>
        <w:rPr>
          <w:rFonts w:cs="Arial" w:hint="cs"/>
          <w:rtl/>
        </w:rPr>
        <w:t>,</w:t>
      </w:r>
      <w:r w:rsidRPr="006262B5">
        <w:rPr>
          <w:rFonts w:cs="Arial"/>
          <w:rtl/>
        </w:rPr>
        <w:t xml:space="preserve"> דהוה ליה ראוי</w:t>
      </w:r>
      <w:r>
        <w:rPr>
          <w:rFonts w:cs="Arial" w:hint="cs"/>
          <w:rtl/>
        </w:rPr>
        <w:t>.</w:t>
      </w:r>
      <w:r w:rsidRPr="006262B5">
        <w:rPr>
          <w:rFonts w:cs="Arial"/>
          <w:rtl/>
        </w:rPr>
        <w:t xml:space="preserve"> ואם אמר מעכשיו נכסי לפלוני ואחריו ליורשי</w:t>
      </w:r>
      <w:r>
        <w:rPr>
          <w:rFonts w:cs="Arial" w:hint="cs"/>
          <w:rtl/>
        </w:rPr>
        <w:t>,</w:t>
      </w:r>
      <w:r w:rsidRPr="006262B5">
        <w:rPr>
          <w:rFonts w:cs="Arial"/>
          <w:rtl/>
        </w:rPr>
        <w:t xml:space="preserve"> הוה ליה מוחזק ובעל הבת יורש</w:t>
      </w:r>
      <w:r>
        <w:rPr>
          <w:rFonts w:cs="Arial" w:hint="cs"/>
          <w:rtl/>
        </w:rPr>
        <w:t>.</w:t>
      </w:r>
      <w:r w:rsidRPr="006262B5">
        <w:rPr>
          <w:rFonts w:cs="Arial"/>
          <w:rtl/>
        </w:rPr>
        <w:t xml:space="preserve"> </w:t>
      </w:r>
      <w:r w:rsidRPr="001D67C0">
        <w:rPr>
          <w:rFonts w:hint="cs"/>
          <w:color w:val="E36C0A" w:themeColor="accent6" w:themeShade="BF"/>
          <w:rtl/>
        </w:rPr>
        <w:t>(וכ"פ בשו"ע)</w:t>
      </w:r>
    </w:p>
    <w:p w14:paraId="79D4DD4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63A9D39" w14:textId="77777777" w:rsidR="002E5BAD" w:rsidRDefault="002E5BAD" w:rsidP="002E5BAD">
      <w:pPr>
        <w:rPr>
          <w:rFonts w:cs="Arial"/>
          <w:rtl/>
        </w:rPr>
      </w:pPr>
      <w:r w:rsidRPr="00EB79BF">
        <w:rPr>
          <w:rFonts w:cs="Arial"/>
          <w:rtl/>
        </w:rPr>
        <w:t>מי שאומר נכסי לפלוני ואחריו ליורשי</w:t>
      </w:r>
      <w:r>
        <w:rPr>
          <w:rFonts w:cs="Arial" w:hint="cs"/>
          <w:rtl/>
        </w:rPr>
        <w:t>.</w:t>
      </w:r>
      <w:r w:rsidRPr="00EB79BF">
        <w:rPr>
          <w:rFonts w:cs="Arial"/>
          <w:rtl/>
        </w:rPr>
        <w:t xml:space="preserve"> דקי</w:t>
      </w:r>
      <w:r>
        <w:rPr>
          <w:rFonts w:cs="Arial" w:hint="cs"/>
          <w:rtl/>
        </w:rPr>
        <w:t xml:space="preserve">ימא </w:t>
      </w:r>
      <w:r w:rsidRPr="00EB79BF">
        <w:rPr>
          <w:rFonts w:cs="Arial"/>
          <w:rtl/>
        </w:rPr>
        <w:t>ל</w:t>
      </w:r>
      <w:r>
        <w:rPr>
          <w:rFonts w:cs="Arial" w:hint="cs"/>
          <w:rtl/>
        </w:rPr>
        <w:t>ן</w:t>
      </w:r>
      <w:r w:rsidRPr="00EB79BF">
        <w:rPr>
          <w:rFonts w:cs="Arial"/>
          <w:rtl/>
        </w:rPr>
        <w:t xml:space="preserve"> הוא הדין ליורשי יורשי, ואם היתה לו בת ומתה בחיי אותו פלוני, והיה בן לבת</w:t>
      </w:r>
      <w:r>
        <w:rPr>
          <w:rStyle w:val="a7"/>
          <w:rFonts w:cs="Arial"/>
          <w:rtl/>
        </w:rPr>
        <w:footnoteReference w:id="1952"/>
      </w:r>
      <w:r w:rsidRPr="00EB79BF">
        <w:rPr>
          <w:rFonts w:cs="Arial"/>
          <w:rtl/>
        </w:rPr>
        <w:t>, הבן עומד במקום אמו ליירש לאותו פלוני. אבל אם אין לבת יורש, אלא בעל, אינו יורש אותו פלוני, דהויא ליה ראוי. ואם אמר: נכסי לפלוני ואחריו מעכשיו ליורשי, הוה ליה מוחזק</w:t>
      </w:r>
      <w:r>
        <w:rPr>
          <w:rStyle w:val="a7"/>
          <w:rFonts w:cs="Arial"/>
          <w:rtl/>
        </w:rPr>
        <w:footnoteReference w:id="1953"/>
      </w:r>
      <w:r w:rsidRPr="00EB79BF">
        <w:rPr>
          <w:rFonts w:cs="Arial"/>
          <w:rtl/>
        </w:rPr>
        <w:t xml:space="preserve">, ובעל הבת יורש. </w:t>
      </w:r>
    </w:p>
    <w:p w14:paraId="41AE9436" w14:textId="77777777" w:rsidR="002E5BAD" w:rsidRPr="005521C1" w:rsidRDefault="002E5BAD" w:rsidP="002E5BAD">
      <w:pPr>
        <w:rPr>
          <w:rFonts w:cs="Arial"/>
          <w:u w:val="single"/>
          <w:rtl/>
        </w:rPr>
      </w:pPr>
      <w:r w:rsidRPr="005521C1">
        <w:rPr>
          <w:rFonts w:cs="Arial"/>
          <w:u w:val="single"/>
          <w:rtl/>
        </w:rPr>
        <w:t>ש</w:t>
      </w:r>
      <w:r w:rsidRPr="005521C1">
        <w:rPr>
          <w:rFonts w:cs="Arial" w:hint="cs"/>
          <w:u w:val="single"/>
          <w:rtl/>
        </w:rPr>
        <w:t>כיב מרע</w:t>
      </w:r>
      <w:r w:rsidRPr="005521C1">
        <w:rPr>
          <w:rFonts w:cs="Arial"/>
          <w:u w:val="single"/>
          <w:rtl/>
        </w:rPr>
        <w:t xml:space="preserve"> שנתן מתנות לאשת איש</w:t>
      </w:r>
      <w:r w:rsidRPr="005521C1">
        <w:rPr>
          <w:rFonts w:cs="Arial" w:hint="cs"/>
          <w:u w:val="single"/>
          <w:rtl/>
        </w:rPr>
        <w:t>,</w:t>
      </w:r>
      <w:r w:rsidRPr="005521C1">
        <w:rPr>
          <w:rFonts w:cs="Arial"/>
          <w:u w:val="single"/>
          <w:rtl/>
        </w:rPr>
        <w:t xml:space="preserve"> ומתה קודם שגבת</w:t>
      </w:r>
      <w:r w:rsidRPr="005521C1">
        <w:rPr>
          <w:rFonts w:cs="Arial" w:hint="cs"/>
          <w:u w:val="single"/>
          <w:rtl/>
        </w:rPr>
        <w:t xml:space="preserve">ה </w:t>
      </w:r>
      <w:r w:rsidRPr="005521C1">
        <w:rPr>
          <w:rFonts w:cs="Arial"/>
          <w:u w:val="single"/>
          <w:rtl/>
        </w:rPr>
        <w:t>–</w:t>
      </w:r>
      <w:r w:rsidRPr="005521C1">
        <w:rPr>
          <w:rFonts w:cs="Arial" w:hint="cs"/>
          <w:u w:val="single"/>
          <w:rtl/>
        </w:rPr>
        <w:t xml:space="preserve"> האם בעלה יורש</w:t>
      </w:r>
      <w:r>
        <w:rPr>
          <w:rFonts w:cs="Arial" w:hint="cs"/>
          <w:u w:val="single"/>
          <w:rtl/>
        </w:rPr>
        <w:t>:</w:t>
      </w:r>
    </w:p>
    <w:p w14:paraId="6178A2DF" w14:textId="77777777" w:rsidR="002E5BAD" w:rsidRPr="005521C1" w:rsidRDefault="002E5BAD" w:rsidP="002E5BAD">
      <w:pPr>
        <w:pStyle w:val="ab"/>
        <w:numPr>
          <w:ilvl w:val="0"/>
          <w:numId w:val="186"/>
        </w:numPr>
        <w:rPr>
          <w:rFonts w:cs="Arial"/>
          <w:rtl/>
        </w:rPr>
      </w:pPr>
      <w:r w:rsidRPr="005521C1">
        <w:rPr>
          <w:rFonts w:cs="Arial" w:hint="cs"/>
          <w:rtl/>
        </w:rPr>
        <w:t>ב"ש</w:t>
      </w:r>
      <w:r w:rsidRPr="005521C1">
        <w:rPr>
          <w:rFonts w:cs="Arial" w:hint="cs"/>
          <w:sz w:val="16"/>
          <w:szCs w:val="16"/>
          <w:rtl/>
        </w:rPr>
        <w:t xml:space="preserve"> (סקי"ג)</w:t>
      </w:r>
      <w:r w:rsidRPr="005521C1">
        <w:rPr>
          <w:rFonts w:cs="Arial" w:hint="cs"/>
          <w:rtl/>
        </w:rPr>
        <w:t xml:space="preserve">- </w:t>
      </w:r>
      <w:r w:rsidRPr="005521C1">
        <w:rPr>
          <w:rFonts w:cs="Arial"/>
          <w:rtl/>
        </w:rPr>
        <w:t>ש</w:t>
      </w:r>
      <w:r>
        <w:rPr>
          <w:rFonts w:cs="Arial" w:hint="cs"/>
          <w:rtl/>
        </w:rPr>
        <w:t>כיב מרע</w:t>
      </w:r>
      <w:r w:rsidRPr="005521C1">
        <w:rPr>
          <w:rFonts w:cs="Arial"/>
          <w:rtl/>
        </w:rPr>
        <w:t xml:space="preserve"> שנתן מתנות ש</w:t>
      </w:r>
      <w:r>
        <w:rPr>
          <w:rFonts w:cs="Arial" w:hint="cs"/>
          <w:rtl/>
        </w:rPr>
        <w:t>כיב מרע</w:t>
      </w:r>
      <w:r w:rsidRPr="005521C1">
        <w:rPr>
          <w:rFonts w:cs="Arial"/>
          <w:rtl/>
        </w:rPr>
        <w:t xml:space="preserve"> לאשת איש</w:t>
      </w:r>
      <w:r>
        <w:rPr>
          <w:rFonts w:cs="Arial" w:hint="cs"/>
          <w:rtl/>
        </w:rPr>
        <w:t>,</w:t>
      </w:r>
      <w:r w:rsidRPr="005521C1">
        <w:rPr>
          <w:rFonts w:cs="Arial"/>
          <w:rtl/>
        </w:rPr>
        <w:t xml:space="preserve"> ומתה קודם שגבת</w:t>
      </w:r>
      <w:r>
        <w:rPr>
          <w:rFonts w:cs="Arial" w:hint="cs"/>
          <w:rtl/>
        </w:rPr>
        <w:t>ה.</w:t>
      </w:r>
      <w:r w:rsidRPr="005521C1">
        <w:rPr>
          <w:rFonts w:cs="Arial"/>
          <w:rtl/>
        </w:rPr>
        <w:t xml:space="preserve"> פסק בסוף תשוב' הרב רבי בצלאל דבעל יורש</w:t>
      </w:r>
      <w:r>
        <w:rPr>
          <w:rStyle w:val="a7"/>
          <w:rFonts w:cs="Arial"/>
          <w:rtl/>
        </w:rPr>
        <w:footnoteReference w:id="1954"/>
      </w:r>
      <w:r>
        <w:rPr>
          <w:rFonts w:cs="Arial" w:hint="cs"/>
          <w:rtl/>
        </w:rPr>
        <w:t>.</w:t>
      </w:r>
      <w:r w:rsidRPr="005521C1">
        <w:rPr>
          <w:rFonts w:cs="Arial"/>
          <w:rtl/>
        </w:rPr>
        <w:t xml:space="preserve"> ויפה פסק אף לדברי המרדכי הנ"ל</w:t>
      </w:r>
      <w:r>
        <w:rPr>
          <w:rFonts w:cs="Arial" w:hint="cs"/>
          <w:rtl/>
        </w:rPr>
        <w:t>,</w:t>
      </w:r>
      <w:r w:rsidRPr="005521C1">
        <w:rPr>
          <w:rFonts w:cs="Arial"/>
          <w:rtl/>
        </w:rPr>
        <w:t xml:space="preserve"> משום דברי ש"מ הם כמסורי</w:t>
      </w:r>
      <w:r>
        <w:rPr>
          <w:rFonts w:cs="Arial" w:hint="cs"/>
          <w:rtl/>
        </w:rPr>
        <w:t>ם</w:t>
      </w:r>
      <w:r w:rsidRPr="005521C1">
        <w:rPr>
          <w:rFonts w:cs="Arial"/>
          <w:rtl/>
        </w:rPr>
        <w:t xml:space="preserve"> דמי</w:t>
      </w:r>
      <w:r>
        <w:rPr>
          <w:rFonts w:cs="Arial" w:hint="cs"/>
          <w:rtl/>
        </w:rPr>
        <w:t>,</w:t>
      </w:r>
      <w:r w:rsidRPr="005521C1">
        <w:rPr>
          <w:rFonts w:cs="Arial"/>
          <w:rtl/>
        </w:rPr>
        <w:t xml:space="preserve"> והיורשים אי</w:t>
      </w:r>
      <w:r>
        <w:rPr>
          <w:rFonts w:cs="Arial" w:hint="cs"/>
          <w:rtl/>
        </w:rPr>
        <w:t>נם יכולים</w:t>
      </w:r>
      <w:r w:rsidRPr="005521C1">
        <w:rPr>
          <w:rFonts w:cs="Arial"/>
          <w:rtl/>
        </w:rPr>
        <w:t xml:space="preserve"> למכור כמ"ש בח</w:t>
      </w:r>
      <w:r>
        <w:rPr>
          <w:rFonts w:cs="Arial" w:hint="cs"/>
          <w:rtl/>
        </w:rPr>
        <w:t>ו"מ</w:t>
      </w:r>
      <w:r w:rsidRPr="005521C1">
        <w:rPr>
          <w:rFonts w:cs="Arial"/>
          <w:rtl/>
        </w:rPr>
        <w:t xml:space="preserve"> סי' רכ"ב</w:t>
      </w:r>
      <w:r>
        <w:rPr>
          <w:rFonts w:cs="Arial" w:hint="cs"/>
          <w:rtl/>
        </w:rPr>
        <w:t>.</w:t>
      </w:r>
    </w:p>
    <w:p w14:paraId="6C0D3B3F" w14:textId="77777777" w:rsidR="002E5BAD" w:rsidRPr="00EB79BF" w:rsidRDefault="002E5BAD" w:rsidP="002E5BAD">
      <w:pPr>
        <w:rPr>
          <w:rFonts w:cs="Arial"/>
          <w:rtl/>
        </w:rPr>
      </w:pPr>
    </w:p>
    <w:p w14:paraId="52A6D1DA" w14:textId="77777777" w:rsidR="002E5BAD" w:rsidRDefault="002E5BAD" w:rsidP="002E5BAD">
      <w:pPr>
        <w:pStyle w:val="2"/>
        <w:rPr>
          <w:rtl/>
        </w:rPr>
      </w:pPr>
      <w:r w:rsidRPr="00EB79BF">
        <w:rPr>
          <w:rtl/>
        </w:rPr>
        <w:t>סעיף ג</w:t>
      </w:r>
      <w:r>
        <w:rPr>
          <w:rFonts w:hint="cs"/>
          <w:rtl/>
        </w:rPr>
        <w:t xml:space="preserve">: </w:t>
      </w:r>
      <w:r>
        <w:rPr>
          <w:rFonts w:cs="Arial" w:hint="cs"/>
          <w:rtl/>
        </w:rPr>
        <w:t xml:space="preserve">נשא </w:t>
      </w:r>
      <w:r w:rsidRPr="00BC2D56">
        <w:rPr>
          <w:rFonts w:cs="Arial"/>
          <w:rtl/>
        </w:rPr>
        <w:t>אשה שהיא אסורה לו</w:t>
      </w:r>
      <w:r>
        <w:rPr>
          <w:rFonts w:cs="Arial" w:hint="cs"/>
          <w:rtl/>
        </w:rPr>
        <w:t>, או קטנה, או חרשת (או שהוא חרש).</w:t>
      </w:r>
    </w:p>
    <w:p w14:paraId="64CD7CAC" w14:textId="77777777" w:rsidR="002E5BAD" w:rsidRDefault="002E5BAD" w:rsidP="002E5BAD">
      <w:pPr>
        <w:rPr>
          <w:rtl/>
        </w:rPr>
      </w:pPr>
      <w:r w:rsidRPr="007D15B6">
        <w:rPr>
          <w:rFonts w:cs="Arial"/>
          <w:b/>
          <w:bCs/>
          <w:rtl/>
        </w:rPr>
        <w:t xml:space="preserve">תוספתא </w:t>
      </w:r>
      <w:r w:rsidRPr="007D15B6">
        <w:rPr>
          <w:rFonts w:cs="Arial" w:hint="cs"/>
          <w:b/>
          <w:bCs/>
          <w:rtl/>
        </w:rPr>
        <w:t xml:space="preserve">יבמות </w:t>
      </w:r>
      <w:r w:rsidRPr="007D15B6">
        <w:rPr>
          <w:rFonts w:cs="Arial"/>
          <w:b/>
          <w:bCs/>
          <w:rtl/>
        </w:rPr>
        <w:t>פ</w:t>
      </w:r>
      <w:r w:rsidRPr="007D15B6">
        <w:rPr>
          <w:rFonts w:cs="Arial" w:hint="cs"/>
          <w:b/>
          <w:bCs/>
          <w:rtl/>
        </w:rPr>
        <w:t>"</w:t>
      </w:r>
      <w:r w:rsidRPr="007D15B6">
        <w:rPr>
          <w:rFonts w:cs="Arial"/>
          <w:b/>
          <w:bCs/>
          <w:rtl/>
        </w:rPr>
        <w:t>ב ה"ג</w:t>
      </w:r>
      <w:r w:rsidRPr="007D15B6">
        <w:rPr>
          <w:rFonts w:cs="Arial" w:hint="cs"/>
          <w:b/>
          <w:bCs/>
          <w:rtl/>
        </w:rPr>
        <w:t xml:space="preserve">: </w:t>
      </w:r>
      <w:r w:rsidRPr="007D15B6">
        <w:rPr>
          <w:rFonts w:cs="Arial"/>
          <w:rtl/>
        </w:rPr>
        <w:t>אלמנה לכהן גדול</w:t>
      </w:r>
      <w:r>
        <w:rPr>
          <w:rFonts w:cs="Arial" w:hint="cs"/>
          <w:rtl/>
        </w:rPr>
        <w:t>,</w:t>
      </w:r>
      <w:r w:rsidRPr="007D15B6">
        <w:rPr>
          <w:rFonts w:cs="Arial"/>
          <w:rtl/>
        </w:rPr>
        <w:t xml:space="preserve"> גרוש</w:t>
      </w:r>
      <w:r>
        <w:rPr>
          <w:rFonts w:cs="Arial" w:hint="cs"/>
          <w:rtl/>
        </w:rPr>
        <w:t>ה</w:t>
      </w:r>
      <w:r w:rsidRPr="007D15B6">
        <w:rPr>
          <w:rFonts w:cs="Arial"/>
          <w:rtl/>
        </w:rPr>
        <w:t xml:space="preserve"> וחלוצה לכהן הדיוט </w:t>
      </w:r>
      <w:r>
        <w:rPr>
          <w:rFonts w:cs="Arial" w:hint="cs"/>
          <w:rtl/>
        </w:rPr>
        <w:t xml:space="preserve">- </w:t>
      </w:r>
      <w:r w:rsidRPr="007D15B6">
        <w:rPr>
          <w:rFonts w:cs="Arial"/>
          <w:rtl/>
        </w:rPr>
        <w:t>הרי הן כאשתו לכל דבר</w:t>
      </w:r>
      <w:r>
        <w:rPr>
          <w:rFonts w:cs="Arial" w:hint="cs"/>
          <w:rtl/>
        </w:rPr>
        <w:t>.</w:t>
      </w:r>
      <w:r w:rsidRPr="007D15B6">
        <w:rPr>
          <w:rFonts w:cs="Arial"/>
          <w:rtl/>
        </w:rPr>
        <w:t xml:space="preserve"> יש להן כתובה ופירות מזונות ובלאיות</w:t>
      </w:r>
      <w:r>
        <w:rPr>
          <w:rFonts w:cs="Arial" w:hint="cs"/>
          <w:rtl/>
        </w:rPr>
        <w:t>,</w:t>
      </w:r>
      <w:r w:rsidRPr="007D15B6">
        <w:rPr>
          <w:rFonts w:cs="Arial"/>
          <w:rtl/>
        </w:rPr>
        <w:t xml:space="preserve"> וזכיי במציאתה ובמעשה ידיה ובהפר נדריה</w:t>
      </w:r>
      <w:r>
        <w:rPr>
          <w:rFonts w:cs="Arial" w:hint="cs"/>
          <w:rtl/>
        </w:rPr>
        <w:t>,</w:t>
      </w:r>
      <w:r w:rsidRPr="007D15B6">
        <w:rPr>
          <w:rFonts w:cs="Arial"/>
          <w:rtl/>
        </w:rPr>
        <w:t xml:space="preserve"> יורשה</w:t>
      </w:r>
      <w:r>
        <w:rPr>
          <w:rFonts w:cs="Arial" w:hint="cs"/>
          <w:rtl/>
        </w:rPr>
        <w:t>,</w:t>
      </w:r>
      <w:r w:rsidRPr="007D15B6">
        <w:rPr>
          <w:rFonts w:cs="Arial"/>
          <w:rtl/>
        </w:rPr>
        <w:t xml:space="preserve"> ואין מיטמא לה</w:t>
      </w:r>
      <w:r>
        <w:rPr>
          <w:rFonts w:cs="Arial" w:hint="cs"/>
          <w:rtl/>
        </w:rPr>
        <w:t>,</w:t>
      </w:r>
      <w:r w:rsidRPr="007D15B6">
        <w:rPr>
          <w:rFonts w:cs="Arial"/>
          <w:rtl/>
        </w:rPr>
        <w:t xml:space="preserve"> יש לו בה קדושין וצריכה הימנו גט</w:t>
      </w:r>
      <w:r>
        <w:rPr>
          <w:rFonts w:cs="Arial" w:hint="cs"/>
          <w:rtl/>
        </w:rPr>
        <w:t>,</w:t>
      </w:r>
      <w:r w:rsidRPr="007D15B6">
        <w:rPr>
          <w:rFonts w:cs="Arial"/>
          <w:rtl/>
        </w:rPr>
        <w:t xml:space="preserve"> היא פסולה והולד פסול</w:t>
      </w:r>
      <w:r>
        <w:rPr>
          <w:rFonts w:cs="Arial" w:hint="cs"/>
          <w:rtl/>
        </w:rPr>
        <w:t>.</w:t>
      </w:r>
    </w:p>
    <w:p w14:paraId="3A34C294" w14:textId="77777777" w:rsidR="002E5BAD" w:rsidRPr="00B41FF4" w:rsidRDefault="002E5BAD" w:rsidP="002E5BAD">
      <w:pPr>
        <w:rPr>
          <w:u w:val="single"/>
          <w:rtl/>
        </w:rPr>
      </w:pPr>
      <w:r w:rsidRPr="00B41FF4">
        <w:rPr>
          <w:rFonts w:cs="Arial"/>
          <w:u w:val="single"/>
          <w:rtl/>
        </w:rPr>
        <w:t>נ</w:t>
      </w:r>
      <w:r w:rsidRPr="00B41FF4">
        <w:rPr>
          <w:rFonts w:cs="Arial" w:hint="cs"/>
          <w:u w:val="single"/>
          <w:rtl/>
        </w:rPr>
        <w:t>ש</w:t>
      </w:r>
      <w:r w:rsidRPr="00B41FF4">
        <w:rPr>
          <w:rFonts w:cs="Arial"/>
          <w:u w:val="single"/>
          <w:rtl/>
        </w:rPr>
        <w:t>א אשה שהיא אסורה לו</w:t>
      </w:r>
      <w:r w:rsidRPr="00B41FF4">
        <w:rPr>
          <w:rFonts w:hint="cs"/>
          <w:u w:val="single"/>
          <w:rtl/>
        </w:rPr>
        <w:t xml:space="preserve"> </w:t>
      </w:r>
      <w:r w:rsidRPr="00B41FF4">
        <w:rPr>
          <w:u w:val="single"/>
          <w:rtl/>
        </w:rPr>
        <w:t>–</w:t>
      </w:r>
      <w:r w:rsidRPr="00B41FF4">
        <w:rPr>
          <w:rFonts w:hint="cs"/>
          <w:u w:val="single"/>
          <w:rtl/>
        </w:rPr>
        <w:t xml:space="preserve"> האם יורש אותה:</w:t>
      </w:r>
    </w:p>
    <w:p w14:paraId="1519776B" w14:textId="77777777" w:rsidR="002E5BAD" w:rsidRDefault="002E5BAD" w:rsidP="002E5BAD">
      <w:pPr>
        <w:pStyle w:val="ab"/>
        <w:numPr>
          <w:ilvl w:val="0"/>
          <w:numId w:val="186"/>
        </w:numPr>
        <w:rPr>
          <w:rFonts w:cs="Aria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Pr="00BC2D56">
        <w:rPr>
          <w:rFonts w:cs="Arial"/>
          <w:rtl/>
        </w:rPr>
        <w:t>הנושא אשה שהיא אסורה לו</w:t>
      </w:r>
      <w:r>
        <w:rPr>
          <w:rFonts w:cs="Arial" w:hint="cs"/>
          <w:rtl/>
        </w:rPr>
        <w:t>,</w:t>
      </w:r>
      <w:r w:rsidRPr="00BC2D56">
        <w:rPr>
          <w:rFonts w:cs="Arial"/>
          <w:rtl/>
        </w:rPr>
        <w:t xml:space="preserve"> הואיל ויש לו בה קידושין</w:t>
      </w:r>
      <w:r>
        <w:rPr>
          <w:rStyle w:val="a7"/>
          <w:rFonts w:cs="Arial"/>
          <w:rtl/>
        </w:rPr>
        <w:footnoteReference w:id="1955"/>
      </w:r>
      <w:r w:rsidRPr="00BC2D56">
        <w:rPr>
          <w:rFonts w:cs="Arial"/>
          <w:rtl/>
        </w:rPr>
        <w:t xml:space="preserve"> אם מתה תחתיו </w:t>
      </w:r>
      <w:r>
        <w:rPr>
          <w:rFonts w:cs="Arial"/>
          <w:rtl/>
        </w:rPr>
        <w:t>–</w:t>
      </w:r>
      <w:r>
        <w:rPr>
          <w:rFonts w:cs="Arial" w:hint="cs"/>
          <w:rtl/>
        </w:rPr>
        <w:t xml:space="preserve"> </w:t>
      </w:r>
      <w:r w:rsidRPr="00BC2D56">
        <w:rPr>
          <w:rFonts w:cs="Arial"/>
          <w:rtl/>
        </w:rPr>
        <w:t>יירשנה</w:t>
      </w:r>
      <w:r>
        <w:rPr>
          <w:rFonts w:cs="Arial" w:hint="cs"/>
          <w:sz w:val="16"/>
          <w:szCs w:val="16"/>
          <w:rtl/>
        </w:rPr>
        <w:t xml:space="preserve"> (ל' הרמב"ם)</w:t>
      </w:r>
      <w:r>
        <w:rPr>
          <w:rFonts w:cs="Arial" w:hint="cs"/>
          <w:rtl/>
        </w:rPr>
        <w:t>.</w:t>
      </w:r>
      <w:r w:rsidRPr="00BC2D56">
        <w:rPr>
          <w:rFonts w:cs="Arial"/>
          <w:rtl/>
        </w:rPr>
        <w:t xml:space="preserve"> </w:t>
      </w:r>
      <w:r w:rsidRPr="001D67C0">
        <w:rPr>
          <w:rFonts w:hint="cs"/>
          <w:color w:val="E36C0A" w:themeColor="accent6" w:themeShade="BF"/>
          <w:rtl/>
        </w:rPr>
        <w:t>(וכ"פ בשו"ע)</w:t>
      </w:r>
    </w:p>
    <w:p w14:paraId="0D06FA92" w14:textId="77777777" w:rsidR="002E5BAD" w:rsidRDefault="002E5BAD" w:rsidP="002E5BAD">
      <w:pPr>
        <w:rPr>
          <w:rtl/>
        </w:rPr>
      </w:pPr>
      <w:r w:rsidRPr="001D5AD0">
        <w:rPr>
          <w:rFonts w:cs="Arial" w:hint="cs"/>
          <w:b/>
          <w:bCs/>
          <w:rtl/>
        </w:rPr>
        <w:t xml:space="preserve">כתובות קא ע"א: </w:t>
      </w:r>
      <w:r w:rsidRPr="001D5AD0">
        <w:rPr>
          <w:rFonts w:cs="Arial"/>
          <w:u w:val="single"/>
          <w:rtl/>
        </w:rPr>
        <w:t>רבי יהושע אומר</w:t>
      </w:r>
      <w:r w:rsidRPr="001D5AD0">
        <w:rPr>
          <w:rFonts w:cs="Arial"/>
          <w:rtl/>
        </w:rPr>
        <w:t>: מעשה קטנה כלום, ובעלה זכאי במציאתה ובמעשה ידיה ובהפרת נדריה, ויורשה ומיטמא לה, כללו של דבר: הרי היא כאשתו לכל דבר - אלא שיוצאה במיאון</w:t>
      </w:r>
      <w:r>
        <w:rPr>
          <w:rFonts w:hint="cs"/>
          <w:rtl/>
        </w:rPr>
        <w:t>.</w:t>
      </w:r>
      <w:r w:rsidRPr="001D5AD0">
        <w:rPr>
          <w:rFonts w:cs="Arial" w:hint="cs"/>
          <w:rtl/>
        </w:rPr>
        <w:t xml:space="preserve"> </w:t>
      </w:r>
      <w:r w:rsidRPr="001D5AD0">
        <w:rPr>
          <w:rFonts w:cs="Arial" w:hint="cs"/>
          <w:sz w:val="16"/>
          <w:szCs w:val="16"/>
          <w:rtl/>
        </w:rPr>
        <w:t>(מכאן שהנושא את הקטנה ומתה תחתיו - יירשנה. וכתב הה"מ (</w:t>
      </w:r>
      <w:r w:rsidRPr="001D5AD0">
        <w:rPr>
          <w:rFonts w:cs="Arial"/>
          <w:sz w:val="16"/>
          <w:szCs w:val="16"/>
          <w:rtl/>
        </w:rPr>
        <w:t>פכ"ב מ</w:t>
      </w:r>
      <w:r w:rsidRPr="001D5AD0">
        <w:rPr>
          <w:rFonts w:cs="Arial" w:hint="cs"/>
          <w:sz w:val="16"/>
          <w:szCs w:val="16"/>
          <w:rtl/>
        </w:rPr>
        <w:t>א</w:t>
      </w:r>
      <w:r w:rsidRPr="001D5AD0">
        <w:rPr>
          <w:rFonts w:cs="Arial"/>
          <w:sz w:val="16"/>
          <w:szCs w:val="16"/>
          <w:rtl/>
        </w:rPr>
        <w:t>ישות ה</w:t>
      </w:r>
      <w:r w:rsidRPr="001D5AD0">
        <w:rPr>
          <w:rFonts w:cs="Arial" w:hint="cs"/>
          <w:sz w:val="16"/>
          <w:szCs w:val="16"/>
          <w:rtl/>
        </w:rPr>
        <w:t>"ד</w:t>
      </w:r>
      <w:r w:rsidRPr="001D5AD0">
        <w:rPr>
          <w:rFonts w:cs="Arial"/>
          <w:sz w:val="16"/>
          <w:szCs w:val="16"/>
          <w:rtl/>
        </w:rPr>
        <w:t>)</w:t>
      </w:r>
      <w:r w:rsidRPr="001D5AD0">
        <w:rPr>
          <w:rFonts w:cs="Arial" w:hint="cs"/>
          <w:sz w:val="16"/>
          <w:szCs w:val="16"/>
          <w:rtl/>
        </w:rPr>
        <w:t xml:space="preserve"> ד</w:t>
      </w:r>
      <w:r w:rsidRPr="001D5AD0">
        <w:rPr>
          <w:rFonts w:cs="Arial"/>
          <w:sz w:val="16"/>
          <w:szCs w:val="16"/>
          <w:rtl/>
        </w:rPr>
        <w:t>זה מבואר בהרבה מקומות (גיטין נה., יבמות פט:, כתובות קא.) ונתבאר בהלכות ביבמות פרק בית שמאי (רי"ף לו:) דקטנה שלא מיאנה ומתה בעלה יורשה</w:t>
      </w:r>
      <w:r w:rsidRPr="001D5AD0">
        <w:rPr>
          <w:rFonts w:cs="Arial" w:hint="cs"/>
          <w:sz w:val="16"/>
          <w:szCs w:val="16"/>
          <w:rtl/>
        </w:rPr>
        <w:t>)</w:t>
      </w:r>
    </w:p>
    <w:p w14:paraId="5FC77D71" w14:textId="77777777" w:rsidR="002E5BAD" w:rsidRPr="001D5AD0" w:rsidRDefault="002E5BAD" w:rsidP="002E5BAD">
      <w:pPr>
        <w:rPr>
          <w:rFonts w:cs="Arial"/>
          <w:u w:val="single"/>
        </w:rPr>
      </w:pPr>
      <w:r w:rsidRPr="001D5AD0">
        <w:rPr>
          <w:rFonts w:cs="Arial" w:hint="cs"/>
          <w:u w:val="single"/>
          <w:rtl/>
        </w:rPr>
        <w:t xml:space="preserve">נשא אשה קטנה </w:t>
      </w:r>
      <w:r w:rsidRPr="001D5AD0">
        <w:rPr>
          <w:rFonts w:cs="Arial"/>
          <w:u w:val="single"/>
          <w:rtl/>
        </w:rPr>
        <w:t>–</w:t>
      </w:r>
      <w:r w:rsidRPr="001D5AD0">
        <w:rPr>
          <w:rFonts w:cs="Arial" w:hint="cs"/>
          <w:u w:val="single"/>
          <w:rtl/>
        </w:rPr>
        <w:t xml:space="preserve"> האם יורש אותה:</w:t>
      </w:r>
    </w:p>
    <w:p w14:paraId="0324400E" w14:textId="77777777" w:rsidR="002E5BAD" w:rsidRDefault="002E5BAD" w:rsidP="002E5BAD">
      <w:pPr>
        <w:pStyle w:val="ab"/>
        <w:numPr>
          <w:ilvl w:val="0"/>
          <w:numId w:val="186"/>
        </w:numPr>
        <w:rPr>
          <w:rFonts w:cs="Arial"/>
        </w:rPr>
      </w:pPr>
      <w:r w:rsidRPr="006262B5">
        <w:rPr>
          <w:rFonts w:cs="Arial"/>
          <w:rtl/>
        </w:rPr>
        <w:lastRenderedPageBreak/>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Pr="00BC2D56">
        <w:rPr>
          <w:rFonts w:cs="Arial"/>
          <w:rtl/>
        </w:rPr>
        <w:t>וכן הנושא את הקטנה</w:t>
      </w:r>
      <w:r>
        <w:rPr>
          <w:rFonts w:cs="Arial" w:hint="cs"/>
          <w:rtl/>
        </w:rPr>
        <w:t>,</w:t>
      </w:r>
      <w:r w:rsidRPr="00BC2D56">
        <w:rPr>
          <w:rFonts w:cs="Arial"/>
          <w:rtl/>
        </w:rPr>
        <w:t xml:space="preserve"> אע</w:t>
      </w:r>
      <w:r>
        <w:rPr>
          <w:rFonts w:cs="Arial" w:hint="cs"/>
          <w:rtl/>
        </w:rPr>
        <w:t>"</w:t>
      </w:r>
      <w:r w:rsidRPr="00BC2D56">
        <w:rPr>
          <w:rFonts w:cs="Arial"/>
          <w:rtl/>
        </w:rPr>
        <w:t>פ שאין קידושיה קידושין גמורים</w:t>
      </w:r>
      <w:r>
        <w:rPr>
          <w:rFonts w:cs="Arial" w:hint="cs"/>
          <w:rtl/>
        </w:rPr>
        <w:t>,</w:t>
      </w:r>
      <w:r w:rsidRPr="00BC2D56">
        <w:rPr>
          <w:rFonts w:cs="Arial"/>
          <w:rtl/>
        </w:rPr>
        <w:t xml:space="preserve"> אם מתה תחתיו </w:t>
      </w:r>
      <w:r>
        <w:rPr>
          <w:rFonts w:cs="Arial"/>
          <w:rtl/>
        </w:rPr>
        <w:t>–</w:t>
      </w:r>
      <w:r>
        <w:rPr>
          <w:rFonts w:cs="Arial" w:hint="cs"/>
          <w:rtl/>
        </w:rPr>
        <w:t xml:space="preserve"> </w:t>
      </w:r>
      <w:r w:rsidRPr="00BC2D56">
        <w:rPr>
          <w:rFonts w:cs="Arial"/>
          <w:rtl/>
        </w:rPr>
        <w:t>יירשנה</w:t>
      </w:r>
      <w:r>
        <w:rPr>
          <w:rFonts w:cs="Arial" w:hint="cs"/>
          <w:sz w:val="16"/>
          <w:szCs w:val="16"/>
          <w:rtl/>
        </w:rPr>
        <w:t xml:space="preserve"> (ל' הרמב"ם)</w:t>
      </w:r>
      <w:r>
        <w:rPr>
          <w:rFonts w:cs="Arial" w:hint="cs"/>
          <w:rtl/>
        </w:rPr>
        <w:t>.</w:t>
      </w:r>
      <w:r w:rsidRPr="00BC2D56">
        <w:rPr>
          <w:rFonts w:cs="Arial"/>
          <w:rtl/>
        </w:rPr>
        <w:t xml:space="preserve"> </w:t>
      </w:r>
      <w:r w:rsidRPr="001D67C0">
        <w:rPr>
          <w:rFonts w:hint="cs"/>
          <w:color w:val="E36C0A" w:themeColor="accent6" w:themeShade="BF"/>
          <w:rtl/>
        </w:rPr>
        <w:t>(וכ"פ בשו"ע)</w:t>
      </w:r>
    </w:p>
    <w:p w14:paraId="20BA110F" w14:textId="77777777" w:rsidR="002E5BAD" w:rsidRPr="0088724C" w:rsidRDefault="002E5BAD" w:rsidP="002E5BAD">
      <w:pPr>
        <w:ind w:left="360"/>
        <w:rPr>
          <w:rFonts w:cs="Arial"/>
          <w:u w:val="dotted"/>
        </w:rPr>
      </w:pPr>
      <w:r w:rsidRPr="0088724C">
        <w:rPr>
          <w:rFonts w:cs="Arial" w:hint="cs"/>
          <w:u w:val="dotted"/>
          <w:rtl/>
        </w:rPr>
        <w:t>ומה הדין אם נשא אשה קטנה שאינה צריכה מיאון:</w:t>
      </w:r>
    </w:p>
    <w:p w14:paraId="1D2D3A3B" w14:textId="77777777" w:rsidR="002E5BAD" w:rsidRDefault="002E5BAD" w:rsidP="002E5BAD">
      <w:pPr>
        <w:pStyle w:val="ab"/>
        <w:numPr>
          <w:ilvl w:val="0"/>
          <w:numId w:val="186"/>
        </w:numPr>
        <w:rPr>
          <w:rFonts w:cs="Arial"/>
        </w:rPr>
      </w:pPr>
      <w:r>
        <w:rPr>
          <w:rFonts w:cs="Arial" w:hint="cs"/>
          <w:rtl/>
        </w:rPr>
        <w:t xml:space="preserve">רמב"ם </w:t>
      </w:r>
      <w:r>
        <w:rPr>
          <w:rFonts w:cs="Arial" w:hint="cs"/>
          <w:sz w:val="16"/>
          <w:szCs w:val="16"/>
          <w:rtl/>
        </w:rPr>
        <w:t>(פ"א מהל' נחלות ה"י)</w:t>
      </w:r>
      <w:r>
        <w:rPr>
          <w:rFonts w:cs="Arial" w:hint="cs"/>
          <w:rtl/>
        </w:rPr>
        <w:t xml:space="preserve">- </w:t>
      </w:r>
      <w:r w:rsidRPr="0088724C">
        <w:rPr>
          <w:rFonts w:cs="Arial"/>
          <w:rtl/>
        </w:rPr>
        <w:t>בעל שנשא קטנה שאינה צריכה מיאון</w:t>
      </w:r>
      <w:r>
        <w:rPr>
          <w:rStyle w:val="a7"/>
          <w:rFonts w:cs="Arial"/>
          <w:rtl/>
        </w:rPr>
        <w:footnoteReference w:id="1956"/>
      </w:r>
      <w:r w:rsidRPr="0088724C">
        <w:rPr>
          <w:rFonts w:cs="Arial"/>
          <w:rtl/>
        </w:rPr>
        <w:t xml:space="preserve"> </w:t>
      </w:r>
      <w:r>
        <w:rPr>
          <w:rFonts w:cs="Arial" w:hint="cs"/>
          <w:rtl/>
        </w:rPr>
        <w:t xml:space="preserve">- </w:t>
      </w:r>
      <w:r w:rsidRPr="0088724C">
        <w:rPr>
          <w:rFonts w:cs="Arial"/>
          <w:rtl/>
        </w:rPr>
        <w:t>אינו יורשה שהרי אין כאן שום אישות</w:t>
      </w:r>
      <w:r>
        <w:rPr>
          <w:rFonts w:cs="Arial" w:hint="cs"/>
          <w:rtl/>
        </w:rPr>
        <w:t>.</w:t>
      </w:r>
    </w:p>
    <w:p w14:paraId="6B1FA260" w14:textId="77777777" w:rsidR="002E5BAD" w:rsidRPr="002172B8" w:rsidRDefault="002E5BAD" w:rsidP="002E5BAD">
      <w:pPr>
        <w:rPr>
          <w:rFonts w:cs="Arial"/>
          <w:u w:val="single"/>
        </w:rPr>
      </w:pPr>
      <w:r w:rsidRPr="002172B8">
        <w:rPr>
          <w:rFonts w:cs="Arial" w:hint="cs"/>
          <w:u w:val="single"/>
          <w:rtl/>
        </w:rPr>
        <w:t>שוטה שנשא פקחת או פקח שנשא שוטה:</w:t>
      </w:r>
    </w:p>
    <w:p w14:paraId="37A53EE0" w14:textId="77777777" w:rsidR="002E5BAD" w:rsidRDefault="002E5BAD" w:rsidP="002E5BAD">
      <w:pPr>
        <w:pStyle w:val="ab"/>
        <w:numPr>
          <w:ilvl w:val="0"/>
          <w:numId w:val="186"/>
        </w:numPr>
        <w:rPr>
          <w:rFonts w:cs="Arial"/>
        </w:rPr>
      </w:pPr>
      <w:r>
        <w:rPr>
          <w:rFonts w:cs="Arial" w:hint="cs"/>
          <w:rtl/>
        </w:rPr>
        <w:t xml:space="preserve">רמב"ם </w:t>
      </w:r>
      <w:r>
        <w:rPr>
          <w:rFonts w:cs="Arial" w:hint="cs"/>
          <w:sz w:val="16"/>
          <w:szCs w:val="16"/>
          <w:rtl/>
        </w:rPr>
        <w:t>(פ"א מהל' נחלות ה"י)</w:t>
      </w:r>
      <w:r>
        <w:rPr>
          <w:rFonts w:cs="Arial" w:hint="cs"/>
          <w:rtl/>
        </w:rPr>
        <w:t xml:space="preserve">- </w:t>
      </w:r>
      <w:r w:rsidRPr="0088724C">
        <w:rPr>
          <w:rFonts w:cs="Arial"/>
          <w:rtl/>
        </w:rPr>
        <w:t>שוטה שנשא פקחת או פקח שנשא שוטה אינו יורשה שהרי לא תקנו חכמים להן נשואין.</w:t>
      </w:r>
    </w:p>
    <w:p w14:paraId="5969F6E8" w14:textId="77777777" w:rsidR="002E5BAD" w:rsidRPr="001D5AD0" w:rsidRDefault="002E5BAD" w:rsidP="002E5BAD">
      <w:pPr>
        <w:rPr>
          <w:rFonts w:cs="Arial"/>
          <w:u w:val="single"/>
        </w:rPr>
      </w:pPr>
      <w:r w:rsidRPr="001D5AD0">
        <w:rPr>
          <w:rFonts w:cs="Arial" w:hint="cs"/>
          <w:u w:val="single"/>
          <w:rtl/>
        </w:rPr>
        <w:t xml:space="preserve">פקח שנשא חרשת או חרש שנשא פקחת </w:t>
      </w:r>
      <w:r w:rsidRPr="001D5AD0">
        <w:rPr>
          <w:rFonts w:cs="Arial"/>
          <w:u w:val="single"/>
          <w:rtl/>
        </w:rPr>
        <w:t>–</w:t>
      </w:r>
      <w:r w:rsidRPr="001D5AD0">
        <w:rPr>
          <w:rFonts w:cs="Arial" w:hint="cs"/>
          <w:u w:val="single"/>
          <w:rtl/>
        </w:rPr>
        <w:t xml:space="preserve"> האם יורש אותה:</w:t>
      </w:r>
    </w:p>
    <w:p w14:paraId="513212D3" w14:textId="77777777" w:rsidR="002E5BAD" w:rsidRDefault="002E5BAD" w:rsidP="002E5BAD">
      <w:pPr>
        <w:pStyle w:val="ab"/>
        <w:numPr>
          <w:ilvl w:val="0"/>
          <w:numId w:val="186"/>
        </w:numPr>
        <w:rPr>
          <w:rFonts w:cs="Aria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Pr="00BC2D56">
        <w:rPr>
          <w:rFonts w:cs="Arial"/>
          <w:rtl/>
        </w:rPr>
        <w:t>אבל הפקח שנשא חרשת</w:t>
      </w:r>
      <w:r>
        <w:rPr>
          <w:rStyle w:val="a7"/>
          <w:rFonts w:cs="Arial"/>
          <w:rtl/>
        </w:rPr>
        <w:footnoteReference w:id="1957"/>
      </w:r>
      <w:r>
        <w:rPr>
          <w:rFonts w:cs="Arial" w:hint="cs"/>
          <w:rtl/>
        </w:rPr>
        <w:t>,</w:t>
      </w:r>
      <w:r w:rsidRPr="00BC2D56">
        <w:rPr>
          <w:rFonts w:cs="Arial"/>
          <w:rtl/>
        </w:rPr>
        <w:t xml:space="preserve"> אם מתה</w:t>
      </w:r>
      <w:r>
        <w:rPr>
          <w:rFonts w:cs="Arial" w:hint="cs"/>
          <w:rtl/>
        </w:rPr>
        <w:t xml:space="preserve"> -</w:t>
      </w:r>
      <w:r w:rsidRPr="00BC2D56">
        <w:rPr>
          <w:rFonts w:cs="Arial"/>
          <w:rtl/>
        </w:rPr>
        <w:t xml:space="preserve"> לא יירשנה</w:t>
      </w:r>
      <w:r>
        <w:rPr>
          <w:rStyle w:val="a7"/>
          <w:rFonts w:cs="Arial"/>
          <w:rtl/>
        </w:rPr>
        <w:footnoteReference w:id="1958"/>
      </w:r>
      <w:r>
        <w:rPr>
          <w:rFonts w:cs="Arial" w:hint="cs"/>
          <w:rtl/>
        </w:rPr>
        <w:t>.</w:t>
      </w:r>
      <w:r w:rsidRPr="00BC2D56">
        <w:rPr>
          <w:rFonts w:cs="Arial"/>
          <w:rtl/>
        </w:rPr>
        <w:t xml:space="preserve"> והחרש שנשא פקחת ומתה </w:t>
      </w:r>
      <w:r>
        <w:rPr>
          <w:rFonts w:cs="Arial" w:hint="cs"/>
          <w:rtl/>
        </w:rPr>
        <w:t xml:space="preserve">- </w:t>
      </w:r>
      <w:r w:rsidRPr="00BC2D56">
        <w:rPr>
          <w:rFonts w:cs="Arial"/>
          <w:rtl/>
        </w:rPr>
        <w:t>יירשנה, שהרי היא בת דעת</w:t>
      </w:r>
      <w:r>
        <w:rPr>
          <w:rFonts w:cs="Arial" w:hint="cs"/>
          <w:rtl/>
        </w:rPr>
        <w:t>,</w:t>
      </w:r>
      <w:r w:rsidRPr="00BC2D56">
        <w:rPr>
          <w:rFonts w:cs="Arial"/>
          <w:rtl/>
        </w:rPr>
        <w:t xml:space="preserve"> ולדעתה נשאת</w:t>
      </w:r>
      <w:r>
        <w:rPr>
          <w:rFonts w:cs="Arial" w:hint="cs"/>
          <w:rtl/>
        </w:rPr>
        <w:t>,</w:t>
      </w:r>
      <w:r w:rsidRPr="00BC2D56">
        <w:rPr>
          <w:rFonts w:cs="Arial"/>
          <w:rtl/>
        </w:rPr>
        <w:t xml:space="preserve"> וזיכתה לו ממונה</w:t>
      </w:r>
      <w:r>
        <w:rPr>
          <w:rStyle w:val="a7"/>
          <w:rFonts w:cs="Arial"/>
          <w:rtl/>
        </w:rPr>
        <w:footnoteReference w:id="1959"/>
      </w:r>
      <w:r>
        <w:rPr>
          <w:rFonts w:cs="Arial" w:hint="cs"/>
          <w:sz w:val="16"/>
          <w:szCs w:val="16"/>
          <w:rtl/>
        </w:rPr>
        <w:t xml:space="preserve"> (ל' הרמב"ם)</w:t>
      </w:r>
      <w:r w:rsidRPr="00BC2D56">
        <w:rPr>
          <w:rFonts w:cs="Arial"/>
          <w:rtl/>
        </w:rPr>
        <w:t xml:space="preserve">. </w:t>
      </w:r>
      <w:r w:rsidRPr="001D67C0">
        <w:rPr>
          <w:rFonts w:hint="cs"/>
          <w:color w:val="E36C0A" w:themeColor="accent6" w:themeShade="BF"/>
          <w:rtl/>
        </w:rPr>
        <w:t>(וכ"פ בשו"ע)</w:t>
      </w:r>
    </w:p>
    <w:p w14:paraId="0908FBC0" w14:textId="77777777" w:rsidR="002E5BAD" w:rsidRDefault="002E5BAD" w:rsidP="002E5BAD">
      <w:pPr>
        <w:pStyle w:val="ab"/>
        <w:numPr>
          <w:ilvl w:val="0"/>
          <w:numId w:val="186"/>
        </w:numPr>
        <w:rPr>
          <w:rFonts w:cs="Arial"/>
        </w:rPr>
      </w:pPr>
      <w:r>
        <w:rPr>
          <w:rFonts w:cs="Arial" w:hint="cs"/>
          <w:rtl/>
        </w:rPr>
        <w:t xml:space="preserve">ראב"ד </w:t>
      </w:r>
      <w:r>
        <w:rPr>
          <w:rFonts w:cs="Arial" w:hint="cs"/>
          <w:sz w:val="16"/>
          <w:szCs w:val="16"/>
          <w:rtl/>
        </w:rPr>
        <w:t>(שם בהשגות)</w:t>
      </w:r>
      <w:r>
        <w:rPr>
          <w:rFonts w:cs="Arial" w:hint="cs"/>
          <w:rtl/>
        </w:rPr>
        <w:t xml:space="preserve">- </w:t>
      </w:r>
      <w:r w:rsidRPr="00BC2D56">
        <w:rPr>
          <w:rFonts w:cs="Arial"/>
          <w:rtl/>
        </w:rPr>
        <w:t>א</w:t>
      </w:r>
      <w:r>
        <w:rPr>
          <w:rFonts w:cs="Arial" w:hint="cs"/>
          <w:rtl/>
        </w:rPr>
        <w:t>מר אברהם</w:t>
      </w:r>
      <w:r w:rsidRPr="00BC2D56">
        <w:rPr>
          <w:rFonts w:cs="Arial"/>
          <w:rtl/>
        </w:rPr>
        <w:t xml:space="preserve"> המחבר הזה למד ירושה מן הכתובה</w:t>
      </w:r>
      <w:r>
        <w:rPr>
          <w:rFonts w:cs="Arial" w:hint="cs"/>
          <w:rtl/>
        </w:rPr>
        <w:t>,</w:t>
      </w:r>
      <w:r w:rsidRPr="00BC2D56">
        <w:rPr>
          <w:rFonts w:cs="Arial"/>
          <w:rtl/>
        </w:rPr>
        <w:t xml:space="preserve"> דכיון דפקח שנשא חרשת לא תקנו לה כתובה מן הסתם</w:t>
      </w:r>
      <w:r>
        <w:rPr>
          <w:rFonts w:cs="Arial" w:hint="cs"/>
          <w:rtl/>
        </w:rPr>
        <w:t>,</w:t>
      </w:r>
      <w:r w:rsidRPr="00BC2D56">
        <w:rPr>
          <w:rFonts w:cs="Arial"/>
          <w:rtl/>
        </w:rPr>
        <w:t xml:space="preserve"> אף כאן אינו יורשה</w:t>
      </w:r>
      <w:r>
        <w:rPr>
          <w:rFonts w:cs="Arial" w:hint="cs"/>
          <w:rtl/>
        </w:rPr>
        <w:t>.</w:t>
      </w:r>
      <w:r w:rsidRPr="00BC2D56">
        <w:rPr>
          <w:rFonts w:cs="Arial"/>
          <w:rtl/>
        </w:rPr>
        <w:t xml:space="preserve"> וא"כ אף חרש שנשא פקחת כך היא</w:t>
      </w:r>
      <w:r>
        <w:rPr>
          <w:rFonts w:cs="Arial" w:hint="cs"/>
          <w:rtl/>
        </w:rPr>
        <w:t>.</w:t>
      </w:r>
      <w:r w:rsidRPr="00BC2D56">
        <w:rPr>
          <w:rFonts w:cs="Arial"/>
          <w:rtl/>
        </w:rPr>
        <w:t xml:space="preserve"> ואי משום שהיא בת דעת ונשאת לו</w:t>
      </w:r>
      <w:r>
        <w:rPr>
          <w:rFonts w:cs="Arial" w:hint="cs"/>
          <w:rtl/>
        </w:rPr>
        <w:t>,</w:t>
      </w:r>
      <w:r w:rsidRPr="00BC2D56">
        <w:rPr>
          <w:rFonts w:cs="Arial"/>
          <w:rtl/>
        </w:rPr>
        <w:t xml:space="preserve"> מה שבידה זכתה לו מה שלאחר מיתה לא זכתה לו</w:t>
      </w:r>
      <w:r>
        <w:rPr>
          <w:rStyle w:val="a7"/>
          <w:rFonts w:cs="Arial"/>
          <w:rtl/>
        </w:rPr>
        <w:footnoteReference w:id="1960"/>
      </w:r>
      <w:r>
        <w:rPr>
          <w:rFonts w:cs="Arial" w:hint="cs"/>
          <w:rtl/>
        </w:rPr>
        <w:t>.</w:t>
      </w:r>
    </w:p>
    <w:p w14:paraId="38AEB916" w14:textId="77777777" w:rsidR="002E5BAD" w:rsidRPr="0095334B" w:rsidRDefault="002E5BAD" w:rsidP="002E5BAD">
      <w:pPr>
        <w:rPr>
          <w:rFonts w:cs="Arial"/>
          <w:u w:val="single"/>
        </w:rPr>
      </w:pPr>
      <w:r w:rsidRPr="0095334B">
        <w:rPr>
          <w:rFonts w:cs="Arial" w:hint="cs"/>
          <w:u w:val="single"/>
          <w:rtl/>
        </w:rPr>
        <w:t>נשא אשה</w:t>
      </w:r>
      <w:r>
        <w:rPr>
          <w:rFonts w:cs="Arial" w:hint="cs"/>
          <w:u w:val="single"/>
          <w:rtl/>
        </w:rPr>
        <w:t>, ולאחר זמן המירה דתה, ומתה</w:t>
      </w:r>
      <w:r w:rsidRPr="0095334B">
        <w:rPr>
          <w:rFonts w:cs="Arial" w:hint="cs"/>
          <w:u w:val="single"/>
          <w:rtl/>
        </w:rPr>
        <w:t xml:space="preserve"> </w:t>
      </w:r>
      <w:r w:rsidRPr="0095334B">
        <w:rPr>
          <w:rFonts w:cs="Arial"/>
          <w:u w:val="single"/>
          <w:rtl/>
        </w:rPr>
        <w:t>–</w:t>
      </w:r>
      <w:r w:rsidRPr="0095334B">
        <w:rPr>
          <w:rFonts w:cs="Arial" w:hint="cs"/>
          <w:u w:val="single"/>
          <w:rtl/>
        </w:rPr>
        <w:t xml:space="preserve"> האם יורש אותה:</w:t>
      </w:r>
    </w:p>
    <w:p w14:paraId="21FF4DA5" w14:textId="77777777" w:rsidR="002E5BAD" w:rsidRPr="0095334B" w:rsidRDefault="002E5BAD" w:rsidP="002E5BAD">
      <w:pPr>
        <w:pStyle w:val="ab"/>
        <w:numPr>
          <w:ilvl w:val="0"/>
          <w:numId w:val="186"/>
        </w:numPr>
        <w:rPr>
          <w:rFonts w:cs="Arial"/>
          <w:rtl/>
        </w:rPr>
      </w:pPr>
      <w:r w:rsidRPr="0095334B">
        <w:rPr>
          <w:rFonts w:cs="Arial" w:hint="cs"/>
          <w:rtl/>
        </w:rPr>
        <w:t xml:space="preserve">ב"י- </w:t>
      </w:r>
      <w:r w:rsidRPr="0095334B">
        <w:rPr>
          <w:rFonts w:cs="Arial"/>
          <w:rtl/>
        </w:rPr>
        <w:t>מצאתי כתוב שהשיב אבי העזרי שהבעל יורש את אשתו המשומדת</w:t>
      </w:r>
      <w:r w:rsidRPr="0095334B">
        <w:rPr>
          <w:rFonts w:cs="Arial" w:hint="cs"/>
          <w:rtl/>
        </w:rPr>
        <w:t>.</w:t>
      </w:r>
      <w:r>
        <w:rPr>
          <w:rFonts w:cs="Arial" w:hint="cs"/>
          <w:rtl/>
        </w:rPr>
        <w:t xml:space="preserve"> </w:t>
      </w:r>
      <w:r w:rsidRPr="0095334B">
        <w:rPr>
          <w:rFonts w:cs="Arial" w:hint="cs"/>
          <w:color w:val="00B0F0"/>
          <w:rtl/>
        </w:rPr>
        <w:t>(וכ"פ הרמ"א)</w:t>
      </w:r>
    </w:p>
    <w:p w14:paraId="5A5285D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AE4525B" w14:textId="77777777" w:rsidR="002E5BAD" w:rsidRDefault="002E5BAD" w:rsidP="002E5BAD">
      <w:pPr>
        <w:rPr>
          <w:rFonts w:cs="Arial"/>
          <w:rtl/>
        </w:rPr>
      </w:pPr>
      <w:r w:rsidRPr="00EB79BF">
        <w:rPr>
          <w:rFonts w:cs="Arial"/>
          <w:rtl/>
        </w:rPr>
        <w:t>הנושא אשה מחייבי לאוין, הואיל וקדושין תופסין בה</w:t>
      </w:r>
      <w:r>
        <w:rPr>
          <w:rStyle w:val="a7"/>
          <w:rFonts w:cs="Arial"/>
          <w:rtl/>
        </w:rPr>
        <w:footnoteReference w:id="1961"/>
      </w:r>
      <w:r w:rsidRPr="00EB79BF">
        <w:rPr>
          <w:rFonts w:cs="Arial"/>
          <w:rtl/>
        </w:rPr>
        <w:t xml:space="preserve">, אם מתה תחתיו, יירשנה. </w:t>
      </w:r>
      <w:r w:rsidRPr="00FA43C3">
        <w:rPr>
          <w:rFonts w:cs="Arial" w:hint="cs"/>
          <w:sz w:val="18"/>
          <w:szCs w:val="18"/>
          <w:rtl/>
        </w:rPr>
        <w:t xml:space="preserve">[הגה] </w:t>
      </w:r>
      <w:r w:rsidRPr="00FA43C3">
        <w:rPr>
          <w:rFonts w:cs="Arial"/>
          <w:sz w:val="18"/>
          <w:szCs w:val="18"/>
          <w:rtl/>
        </w:rPr>
        <w:t>וכן אשה שהמירה, הבעל יורשה (ב"י מ</w:t>
      </w:r>
      <w:r>
        <w:rPr>
          <w:rFonts w:cs="Arial" w:hint="cs"/>
          <w:sz w:val="18"/>
          <w:szCs w:val="18"/>
          <w:rtl/>
        </w:rPr>
        <w:t xml:space="preserve">צא </w:t>
      </w:r>
      <w:r w:rsidRPr="00FA43C3">
        <w:rPr>
          <w:rFonts w:cs="Arial"/>
          <w:sz w:val="18"/>
          <w:szCs w:val="18"/>
          <w:rtl/>
        </w:rPr>
        <w:t>כ</w:t>
      </w:r>
      <w:r>
        <w:rPr>
          <w:rFonts w:cs="Arial" w:hint="cs"/>
          <w:sz w:val="18"/>
          <w:szCs w:val="18"/>
          <w:rtl/>
        </w:rPr>
        <w:t>תוב</w:t>
      </w:r>
      <w:r w:rsidRPr="00FA43C3">
        <w:rPr>
          <w:rFonts w:cs="Arial"/>
          <w:sz w:val="18"/>
          <w:szCs w:val="18"/>
          <w:rtl/>
        </w:rPr>
        <w:t xml:space="preserve"> בשם אבי העזרי).</w:t>
      </w:r>
      <w:r w:rsidRPr="00EB79BF">
        <w:rPr>
          <w:rFonts w:cs="Arial"/>
          <w:rtl/>
        </w:rPr>
        <w:t xml:space="preserve"> וכן הנושא את הקטנה שהיא צריכה מיאון, אף ע</w:t>
      </w:r>
      <w:r>
        <w:rPr>
          <w:rFonts w:cs="Arial" w:hint="cs"/>
          <w:rtl/>
        </w:rPr>
        <w:t xml:space="preserve">ל </w:t>
      </w:r>
      <w:r w:rsidRPr="00EB79BF">
        <w:rPr>
          <w:rFonts w:cs="Arial"/>
          <w:rtl/>
        </w:rPr>
        <w:t>פ</w:t>
      </w:r>
      <w:r>
        <w:rPr>
          <w:rFonts w:cs="Arial" w:hint="cs"/>
          <w:rtl/>
        </w:rPr>
        <w:t>י</w:t>
      </w:r>
      <w:r w:rsidRPr="00EB79BF">
        <w:rPr>
          <w:rFonts w:cs="Arial"/>
          <w:rtl/>
        </w:rPr>
        <w:t xml:space="preserve"> שאין קדושיה קדושין גמורים, אם מתה תחתיו, יירשנה. אבל הפקח שנשא חרשת, אפילו נתפקחה אחר שנשאת</w:t>
      </w:r>
      <w:r>
        <w:rPr>
          <w:rStyle w:val="a7"/>
          <w:rFonts w:cs="Arial"/>
          <w:rtl/>
        </w:rPr>
        <w:footnoteReference w:id="1962"/>
      </w:r>
      <w:r w:rsidRPr="00EB79BF">
        <w:rPr>
          <w:rFonts w:cs="Arial"/>
          <w:rtl/>
        </w:rPr>
        <w:t xml:space="preserve">, אם מתה לא יירשנה. והחרש שנשא פקחת, ומתה, יירשנה, שהרי היא בת דעת ולדעתה נשאת לו וזיכתה לו ממונה. </w:t>
      </w:r>
    </w:p>
    <w:p w14:paraId="14384614" w14:textId="77777777" w:rsidR="002E5BAD" w:rsidRPr="00EB79BF" w:rsidRDefault="002E5BAD" w:rsidP="002E5BAD">
      <w:pPr>
        <w:rPr>
          <w:rFonts w:cs="Arial"/>
          <w:rtl/>
        </w:rPr>
      </w:pPr>
    </w:p>
    <w:p w14:paraId="4DE518A6" w14:textId="77777777" w:rsidR="002E5BAD" w:rsidRDefault="002E5BAD" w:rsidP="002E5BAD">
      <w:pPr>
        <w:pStyle w:val="2"/>
        <w:rPr>
          <w:rtl/>
        </w:rPr>
      </w:pPr>
      <w:r w:rsidRPr="00EB79BF">
        <w:rPr>
          <w:rtl/>
        </w:rPr>
        <w:t>סעיף ד</w:t>
      </w:r>
      <w:r>
        <w:rPr>
          <w:rFonts w:hint="cs"/>
          <w:rtl/>
        </w:rPr>
        <w:t>:</w:t>
      </w:r>
      <w:r w:rsidRPr="00683023">
        <w:rPr>
          <w:rFonts w:cs="Arial"/>
          <w:rtl/>
        </w:rPr>
        <w:t xml:space="preserve"> </w:t>
      </w:r>
      <w:r w:rsidRPr="00BC2D56">
        <w:rPr>
          <w:rFonts w:cs="Arial"/>
          <w:rtl/>
        </w:rPr>
        <w:t>קטנה שנתקדשה לדעת אביה ונשאת שלא לדעת אביה</w:t>
      </w:r>
      <w:r>
        <w:rPr>
          <w:rFonts w:hint="cs"/>
          <w:rtl/>
        </w:rPr>
        <w:t>.</w:t>
      </w:r>
    </w:p>
    <w:p w14:paraId="68EF78A9" w14:textId="77777777" w:rsidR="002E5BAD" w:rsidRDefault="002E5BAD" w:rsidP="002E5BAD">
      <w:pPr>
        <w:rPr>
          <w:rtl/>
        </w:rPr>
      </w:pPr>
      <w:r w:rsidRPr="00683023">
        <w:rPr>
          <w:rFonts w:cs="Arial" w:hint="cs"/>
          <w:b/>
          <w:bCs/>
          <w:rtl/>
        </w:rPr>
        <w:t xml:space="preserve">קידושין </w:t>
      </w:r>
      <w:r>
        <w:rPr>
          <w:rFonts w:cs="Arial" w:hint="cs"/>
          <w:b/>
          <w:bCs/>
          <w:sz w:val="16"/>
          <w:szCs w:val="16"/>
          <w:rtl/>
        </w:rPr>
        <w:t>(פ' האיש המקדש)</w:t>
      </w:r>
      <w:r>
        <w:rPr>
          <w:rFonts w:cs="Arial" w:hint="cs"/>
          <w:b/>
          <w:bCs/>
          <w:rtl/>
        </w:rPr>
        <w:t xml:space="preserve"> </w:t>
      </w:r>
      <w:r w:rsidRPr="00683023">
        <w:rPr>
          <w:rFonts w:cs="Arial" w:hint="cs"/>
          <w:b/>
          <w:bCs/>
          <w:rtl/>
        </w:rPr>
        <w:t xml:space="preserve">מה ע"ב: </w:t>
      </w:r>
      <w:r w:rsidRPr="002172B8">
        <w:rPr>
          <w:rFonts w:cs="Arial"/>
          <w:rtl/>
        </w:rPr>
        <w:t>נתקדשה לדעת אביה, והלך אביה למדינת הים ועמדה ונישאת</w:t>
      </w:r>
      <w:r>
        <w:rPr>
          <w:rFonts w:cs="Arial" w:hint="cs"/>
          <w:rtl/>
        </w:rPr>
        <w:t>.</w:t>
      </w:r>
      <w:r w:rsidRPr="002172B8">
        <w:rPr>
          <w:rFonts w:cs="Arial"/>
          <w:rtl/>
        </w:rPr>
        <w:t xml:space="preserve"> </w:t>
      </w:r>
      <w:r w:rsidRPr="00683023">
        <w:rPr>
          <w:rFonts w:cs="Arial"/>
          <w:u w:val="single"/>
          <w:rtl/>
        </w:rPr>
        <w:t>אמר רב</w:t>
      </w:r>
      <w:r w:rsidRPr="002172B8">
        <w:rPr>
          <w:rFonts w:cs="Arial"/>
          <w:rtl/>
        </w:rPr>
        <w:t>: אוכלת בתרומה עד שיבא אביה וימחה</w:t>
      </w:r>
      <w:r>
        <w:rPr>
          <w:rFonts w:cs="Arial" w:hint="cs"/>
          <w:rtl/>
        </w:rPr>
        <w:t>.</w:t>
      </w:r>
      <w:r w:rsidRPr="002172B8">
        <w:rPr>
          <w:rFonts w:cs="Arial"/>
          <w:rtl/>
        </w:rPr>
        <w:t xml:space="preserve"> </w:t>
      </w:r>
      <w:r w:rsidRPr="00683023">
        <w:rPr>
          <w:rFonts w:cs="Arial"/>
          <w:u w:val="single"/>
          <w:rtl/>
        </w:rPr>
        <w:t>רב אסי אמר</w:t>
      </w:r>
      <w:r w:rsidRPr="002172B8">
        <w:rPr>
          <w:rFonts w:cs="Arial"/>
          <w:rtl/>
        </w:rPr>
        <w:t xml:space="preserve">: אינה אוכלת, שמא יבוא אביה וימחה, ונמצאת זרה אוכלת בתרומה למפרע. הוה עובדא, וחש לה רב להא דרב אסי. </w:t>
      </w:r>
      <w:r w:rsidRPr="00683023">
        <w:rPr>
          <w:rFonts w:cs="Arial"/>
          <w:u w:val="single"/>
          <w:rtl/>
        </w:rPr>
        <w:t>אמר רב שמואל בר רב יצחק</w:t>
      </w:r>
      <w:r w:rsidRPr="002172B8">
        <w:rPr>
          <w:rFonts w:cs="Arial"/>
          <w:rtl/>
        </w:rPr>
        <w:t>: ומודה רב, שאם מתה אינו יורשה, אוקי ממונא בחזקת מריה. נתקדשה לדעת וניסת שלא לדעת, ואביה כאן</w:t>
      </w:r>
      <w:r>
        <w:rPr>
          <w:rFonts w:cs="Arial" w:hint="cs"/>
          <w:rtl/>
        </w:rPr>
        <w:t>.</w:t>
      </w:r>
      <w:r w:rsidRPr="002172B8">
        <w:rPr>
          <w:rFonts w:cs="Arial"/>
          <w:rtl/>
        </w:rPr>
        <w:t xml:space="preserve"> </w:t>
      </w:r>
      <w:r w:rsidRPr="00683023">
        <w:rPr>
          <w:rFonts w:cs="Arial"/>
          <w:u w:val="single"/>
          <w:rtl/>
        </w:rPr>
        <w:t>רב הונא אמר</w:t>
      </w:r>
      <w:r w:rsidRPr="002172B8">
        <w:rPr>
          <w:rFonts w:cs="Arial"/>
          <w:rtl/>
        </w:rPr>
        <w:t>: אינה אוכלת</w:t>
      </w:r>
      <w:r>
        <w:rPr>
          <w:rFonts w:cs="Arial" w:hint="cs"/>
          <w:rtl/>
        </w:rPr>
        <w:t>.</w:t>
      </w:r>
      <w:r w:rsidRPr="002172B8">
        <w:rPr>
          <w:rFonts w:cs="Arial"/>
          <w:rtl/>
        </w:rPr>
        <w:t xml:space="preserve"> </w:t>
      </w:r>
      <w:r w:rsidRPr="00683023">
        <w:rPr>
          <w:rFonts w:cs="Arial"/>
          <w:u w:val="single"/>
          <w:rtl/>
        </w:rPr>
        <w:t>רב ירמיה בר אבא אמ</w:t>
      </w:r>
      <w:r w:rsidRPr="002172B8">
        <w:rPr>
          <w:rFonts w:cs="Arial"/>
          <w:rtl/>
        </w:rPr>
        <w:t>ר: אוכלת. רב הונא אמר: אינה אוכלת, ואפי' לרב דאמר אוכלת, התם הוא דלא איתיה לאב, אבל הכא דאיתיה לאב, האי דאישתיק - מירתח רתח</w:t>
      </w:r>
      <w:r>
        <w:rPr>
          <w:rFonts w:cs="Arial" w:hint="cs"/>
          <w:rtl/>
        </w:rPr>
        <w:t>.</w:t>
      </w:r>
      <w:r w:rsidRPr="002172B8">
        <w:rPr>
          <w:rFonts w:cs="Arial"/>
          <w:rtl/>
        </w:rPr>
        <w:t xml:space="preserve"> רב ירמיה בר אבא אמר: אוכלת, ואפי' לרב אסי דאמר אינה אוכלת, התם הוא דשמא יבוא אביה וימחה, אבל הכא מדשתיק - איתנוחי איתנחא ליה.</w:t>
      </w:r>
    </w:p>
    <w:p w14:paraId="45F4DBDD" w14:textId="77777777" w:rsidR="002E5BAD" w:rsidRPr="00683023" w:rsidRDefault="002E5BAD" w:rsidP="002E5BAD">
      <w:pPr>
        <w:rPr>
          <w:u w:val="single"/>
          <w:rtl/>
        </w:rPr>
      </w:pPr>
      <w:r w:rsidRPr="00683023">
        <w:rPr>
          <w:rFonts w:cs="Arial"/>
          <w:u w:val="single"/>
          <w:rtl/>
        </w:rPr>
        <w:lastRenderedPageBreak/>
        <w:t>קטנה שנתקדשה לדעת אביה ונשאת שלא לדעת אביה</w:t>
      </w:r>
      <w:r w:rsidRPr="00683023">
        <w:rPr>
          <w:rFonts w:hint="cs"/>
          <w:u w:val="single"/>
          <w:rtl/>
        </w:rPr>
        <w:t>:</w:t>
      </w:r>
    </w:p>
    <w:p w14:paraId="5DA37969" w14:textId="77777777" w:rsidR="002E5BAD" w:rsidRPr="00EF50EC" w:rsidRDefault="002E5BAD" w:rsidP="002E5BAD">
      <w:pPr>
        <w:pStyle w:val="ab"/>
        <w:numPr>
          <w:ilvl w:val="0"/>
          <w:numId w:val="186"/>
        </w:numPr>
        <w:rPr>
          <w:rFonts w:cs="Arial"/>
          <w:rt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"ה</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Pr="00BC2D56">
        <w:rPr>
          <w:rFonts w:cs="Arial"/>
          <w:rtl/>
        </w:rPr>
        <w:t>קטנה שנתקדשה לדעת אביה ונשאת שלא לדעת אביה בין בפניו בין שלא בפניו יכול האב למחות כמו שביארנו, ואפילו שתק האב</w:t>
      </w:r>
      <w:r>
        <w:rPr>
          <w:rFonts w:cs="Arial" w:hint="cs"/>
          <w:rtl/>
        </w:rPr>
        <w:t>,</w:t>
      </w:r>
      <w:r w:rsidRPr="00BC2D56">
        <w:rPr>
          <w:rFonts w:cs="Arial"/>
          <w:rtl/>
        </w:rPr>
        <w:t xml:space="preserve"> אם מתה </w:t>
      </w:r>
      <w:r>
        <w:rPr>
          <w:rFonts w:cs="Arial" w:hint="cs"/>
          <w:rtl/>
        </w:rPr>
        <w:t xml:space="preserve">- </w:t>
      </w:r>
      <w:r w:rsidRPr="00BC2D56">
        <w:rPr>
          <w:rFonts w:cs="Arial"/>
          <w:rtl/>
        </w:rPr>
        <w:t>אין הבעל יורשה אלא אם כן רצה האב בנישואיה</w:t>
      </w:r>
      <w:r>
        <w:rPr>
          <w:rStyle w:val="a7"/>
          <w:rFonts w:cs="Arial"/>
          <w:rtl/>
        </w:rPr>
        <w:footnoteReference w:id="1963"/>
      </w:r>
      <w:r>
        <w:rPr>
          <w:rFonts w:cs="Arial" w:hint="cs"/>
          <w:sz w:val="16"/>
          <w:szCs w:val="16"/>
          <w:rtl/>
        </w:rPr>
        <w:t xml:space="preserve"> (ל' הרמב"ם)</w:t>
      </w:r>
      <w:r w:rsidRPr="00BC2D56">
        <w:rPr>
          <w:rFonts w:cs="Arial"/>
          <w:rtl/>
        </w:rPr>
        <w:t xml:space="preserve">. </w:t>
      </w:r>
      <w:r w:rsidRPr="001D67C0">
        <w:rPr>
          <w:rFonts w:hint="cs"/>
          <w:color w:val="E36C0A" w:themeColor="accent6" w:themeShade="BF"/>
          <w:rtl/>
        </w:rPr>
        <w:t>(וכ"פ בשו"ע)</w:t>
      </w:r>
    </w:p>
    <w:p w14:paraId="63759FF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2869302" w14:textId="77777777" w:rsidR="002E5BAD" w:rsidRDefault="002E5BAD" w:rsidP="002E5BAD">
      <w:pPr>
        <w:rPr>
          <w:rFonts w:cs="Arial"/>
          <w:rtl/>
        </w:rPr>
      </w:pPr>
      <w:r w:rsidRPr="00EB79BF">
        <w:rPr>
          <w:rFonts w:cs="Arial"/>
          <w:rtl/>
        </w:rPr>
        <w:t>קטנה שנתקדשה לדעת אביה, ונשאת שלא לדעת אביה, בין בפניו בין שלא בפניו, אפילו שתק האב</w:t>
      </w:r>
      <w:r>
        <w:rPr>
          <w:rStyle w:val="a7"/>
          <w:rFonts w:cs="Arial"/>
          <w:rtl/>
        </w:rPr>
        <w:footnoteReference w:id="1964"/>
      </w:r>
      <w:r w:rsidRPr="00EB79BF">
        <w:rPr>
          <w:rFonts w:cs="Arial"/>
          <w:rtl/>
        </w:rPr>
        <w:t>, אם מתה, אין הבעל יורשה א</w:t>
      </w:r>
      <w:r>
        <w:rPr>
          <w:rFonts w:cs="Arial" w:hint="cs"/>
          <w:rtl/>
        </w:rPr>
        <w:t xml:space="preserve">לא </w:t>
      </w:r>
      <w:r w:rsidRPr="00EB79BF">
        <w:rPr>
          <w:rFonts w:cs="Arial"/>
          <w:rtl/>
        </w:rPr>
        <w:t>א</w:t>
      </w:r>
      <w:r>
        <w:rPr>
          <w:rFonts w:cs="Arial" w:hint="cs"/>
          <w:rtl/>
        </w:rPr>
        <w:t xml:space="preserve">ם </w:t>
      </w:r>
      <w:r w:rsidRPr="00EB79BF">
        <w:rPr>
          <w:rFonts w:cs="Arial"/>
          <w:rtl/>
        </w:rPr>
        <w:t>כ</w:t>
      </w:r>
      <w:r>
        <w:rPr>
          <w:rFonts w:cs="Arial" w:hint="cs"/>
          <w:rtl/>
        </w:rPr>
        <w:t>ן</w:t>
      </w:r>
      <w:r w:rsidRPr="00EB79BF">
        <w:rPr>
          <w:rFonts w:cs="Arial"/>
          <w:rtl/>
        </w:rPr>
        <w:t xml:space="preserve"> רצה האב בנשואים. </w:t>
      </w:r>
    </w:p>
    <w:p w14:paraId="6FC28A1E" w14:textId="77777777" w:rsidR="002E5BAD" w:rsidRPr="00EB79BF" w:rsidRDefault="002E5BAD" w:rsidP="002E5BAD">
      <w:pPr>
        <w:rPr>
          <w:rFonts w:cs="Arial"/>
          <w:rtl/>
        </w:rPr>
      </w:pPr>
    </w:p>
    <w:p w14:paraId="15398B4D" w14:textId="77777777" w:rsidR="002E5BAD" w:rsidRDefault="002E5BAD" w:rsidP="002E5BAD">
      <w:pPr>
        <w:pStyle w:val="2"/>
        <w:rPr>
          <w:rtl/>
        </w:rPr>
      </w:pPr>
      <w:r w:rsidRPr="00EB79BF">
        <w:rPr>
          <w:rtl/>
        </w:rPr>
        <w:t>סעיף ה</w:t>
      </w:r>
      <w:r>
        <w:rPr>
          <w:rFonts w:hint="cs"/>
          <w:rtl/>
        </w:rPr>
        <w:t>: נתגרשה בספק.</w:t>
      </w:r>
    </w:p>
    <w:p w14:paraId="5BA1B9C0" w14:textId="77777777" w:rsidR="002E5BAD" w:rsidRDefault="002E5BAD" w:rsidP="002E5BAD">
      <w:pPr>
        <w:rPr>
          <w:rtl/>
        </w:rPr>
      </w:pPr>
      <w:r w:rsidRPr="00683023">
        <w:rPr>
          <w:rFonts w:cs="Arial" w:hint="cs"/>
          <w:b/>
          <w:bCs/>
          <w:rtl/>
        </w:rPr>
        <w:t xml:space="preserve">קידושין </w:t>
      </w:r>
      <w:r>
        <w:rPr>
          <w:rFonts w:cs="Arial" w:hint="cs"/>
          <w:b/>
          <w:bCs/>
          <w:sz w:val="16"/>
          <w:szCs w:val="16"/>
          <w:rtl/>
        </w:rPr>
        <w:t>(פ' האיש המקדש)</w:t>
      </w:r>
      <w:r>
        <w:rPr>
          <w:rFonts w:cs="Arial" w:hint="cs"/>
          <w:b/>
          <w:bCs/>
          <w:rtl/>
        </w:rPr>
        <w:t xml:space="preserve"> </w:t>
      </w:r>
      <w:r w:rsidRPr="00683023">
        <w:rPr>
          <w:rFonts w:cs="Arial" w:hint="cs"/>
          <w:b/>
          <w:bCs/>
          <w:rtl/>
        </w:rPr>
        <w:t xml:space="preserve">מה ע"ב: </w:t>
      </w:r>
      <w:r w:rsidRPr="002172B8">
        <w:rPr>
          <w:rFonts w:cs="Arial"/>
          <w:rtl/>
        </w:rPr>
        <w:t>נתקדשה לדעת אביה, והלך אביה למדינת הים ועמדה ונישאת</w:t>
      </w:r>
      <w:r>
        <w:rPr>
          <w:rFonts w:cs="Arial" w:hint="cs"/>
          <w:rtl/>
        </w:rPr>
        <w:t>.</w:t>
      </w:r>
      <w:r w:rsidRPr="002172B8">
        <w:rPr>
          <w:rFonts w:cs="Arial"/>
          <w:rtl/>
        </w:rPr>
        <w:t xml:space="preserve"> </w:t>
      </w:r>
      <w:r w:rsidRPr="00683023">
        <w:rPr>
          <w:rFonts w:cs="Arial"/>
          <w:u w:val="single"/>
          <w:rtl/>
        </w:rPr>
        <w:t>אמר רב</w:t>
      </w:r>
      <w:r w:rsidRPr="002172B8">
        <w:rPr>
          <w:rFonts w:cs="Arial"/>
          <w:rtl/>
        </w:rPr>
        <w:t>: אוכלת בתרומה עד שיבא אביה וימחה</w:t>
      </w:r>
      <w:r>
        <w:rPr>
          <w:rFonts w:cs="Arial" w:hint="cs"/>
          <w:rtl/>
        </w:rPr>
        <w:t>.</w:t>
      </w:r>
      <w:r w:rsidRPr="002172B8">
        <w:rPr>
          <w:rFonts w:cs="Arial"/>
          <w:rtl/>
        </w:rPr>
        <w:t xml:space="preserve"> </w:t>
      </w:r>
      <w:r w:rsidRPr="00683023">
        <w:rPr>
          <w:rFonts w:cs="Arial"/>
          <w:u w:val="single"/>
          <w:rtl/>
        </w:rPr>
        <w:t>רב אסי אמר</w:t>
      </w:r>
      <w:r w:rsidRPr="002172B8">
        <w:rPr>
          <w:rFonts w:cs="Arial"/>
          <w:rtl/>
        </w:rPr>
        <w:t xml:space="preserve">: אינה אוכלת, שמא יבוא אביה וימחה, ונמצאת זרה אוכלת בתרומה למפרע. הוה עובדא, וחש לה רב להא דרב אסי. </w:t>
      </w:r>
      <w:r w:rsidRPr="00683023">
        <w:rPr>
          <w:rFonts w:cs="Arial"/>
          <w:u w:val="single"/>
          <w:rtl/>
        </w:rPr>
        <w:t>אמר רב שמואל בר רב יצחק</w:t>
      </w:r>
      <w:r w:rsidRPr="002172B8">
        <w:rPr>
          <w:rFonts w:cs="Arial"/>
          <w:rtl/>
        </w:rPr>
        <w:t>: ומודה רב, שאם מתה אינו יורשה, אוקי ממונא בחזקת מריה.</w:t>
      </w:r>
      <w:r w:rsidRPr="0024428C">
        <w:rPr>
          <w:rFonts w:cs="Arial"/>
          <w:rtl/>
        </w:rPr>
        <w:t xml:space="preserve"> </w:t>
      </w:r>
      <w:r w:rsidRPr="0024428C">
        <w:rPr>
          <w:rFonts w:cs="Arial" w:hint="cs"/>
          <w:sz w:val="16"/>
          <w:szCs w:val="16"/>
          <w:rtl/>
        </w:rPr>
        <w:t>(</w:t>
      </w:r>
      <w:r>
        <w:rPr>
          <w:rFonts w:cs="Arial" w:hint="cs"/>
          <w:sz w:val="16"/>
          <w:szCs w:val="16"/>
          <w:rtl/>
        </w:rPr>
        <w:t xml:space="preserve">הביא הה"מ (הל' נחלות פ"א ה"ט) גמ' זו </w:t>
      </w:r>
      <w:r w:rsidRPr="0024428C">
        <w:rPr>
          <w:rFonts w:cs="Arial"/>
          <w:sz w:val="16"/>
          <w:szCs w:val="16"/>
          <w:rtl/>
        </w:rPr>
        <w:t xml:space="preserve">וכתב </w:t>
      </w:r>
      <w:r>
        <w:rPr>
          <w:rFonts w:cs="Arial" w:hint="cs"/>
          <w:sz w:val="16"/>
          <w:szCs w:val="16"/>
          <w:rtl/>
        </w:rPr>
        <w:t>שמכאן הוכיח ה</w:t>
      </w:r>
      <w:r w:rsidRPr="0024428C">
        <w:rPr>
          <w:rFonts w:cs="Arial"/>
          <w:sz w:val="16"/>
          <w:szCs w:val="16"/>
          <w:rtl/>
        </w:rPr>
        <w:t>ע</w:t>
      </w:r>
      <w:r>
        <w:rPr>
          <w:rFonts w:cs="Arial" w:hint="cs"/>
          <w:sz w:val="16"/>
          <w:szCs w:val="16"/>
          <w:rtl/>
        </w:rPr>
        <w:t>י</w:t>
      </w:r>
      <w:r w:rsidRPr="0024428C">
        <w:rPr>
          <w:rFonts w:cs="Arial"/>
          <w:sz w:val="16"/>
          <w:szCs w:val="16"/>
          <w:rtl/>
        </w:rPr>
        <w:t>טור דכל ספק קדושין וספק גירושין ומתה אין הבעל יורש</w:t>
      </w:r>
      <w:r>
        <w:rPr>
          <w:rFonts w:cs="Arial" w:hint="cs"/>
          <w:sz w:val="16"/>
          <w:szCs w:val="16"/>
          <w:rtl/>
        </w:rPr>
        <w:t>ה,</w:t>
      </w:r>
      <w:r w:rsidRPr="0024428C">
        <w:rPr>
          <w:rFonts w:cs="Arial"/>
          <w:sz w:val="16"/>
          <w:szCs w:val="16"/>
          <w:rtl/>
        </w:rPr>
        <w:t xml:space="preserve"> וכן הוא דעת רבינו</w:t>
      </w:r>
      <w:r>
        <w:rPr>
          <w:rFonts w:cs="Arial" w:hint="cs"/>
          <w:sz w:val="14"/>
          <w:szCs w:val="14"/>
          <w:rtl/>
        </w:rPr>
        <w:t xml:space="preserve"> {הרמב"ם}</w:t>
      </w:r>
      <w:r w:rsidRPr="0024428C">
        <w:rPr>
          <w:rFonts w:cs="Arial" w:hint="cs"/>
          <w:sz w:val="16"/>
          <w:szCs w:val="16"/>
          <w:rtl/>
        </w:rPr>
        <w:t>.</w:t>
      </w:r>
      <w:r w:rsidRPr="0024428C">
        <w:rPr>
          <w:rFonts w:cs="Arial"/>
          <w:sz w:val="16"/>
          <w:szCs w:val="16"/>
          <w:rtl/>
        </w:rPr>
        <w:t xml:space="preserve"> ואין כאן הכרח דאיכא למימר שאני נשואין מגירושין דקודם נשואין ירושתה בחזקת האב ומספק אין מוציאין אותה מחזקתו אבל משנשאת ירושתה בחזקת הבעל ובשביל ספק גירושין איכא למימר דאין מוציאין מחזקתו</w:t>
      </w:r>
      <w:r>
        <w:rPr>
          <w:rFonts w:cs="Arial" w:hint="cs"/>
          <w:sz w:val="16"/>
          <w:szCs w:val="16"/>
          <w:rtl/>
        </w:rPr>
        <w:t>)</w:t>
      </w:r>
    </w:p>
    <w:p w14:paraId="665FDE1A" w14:textId="77777777" w:rsidR="002E5BAD" w:rsidRDefault="002E5BAD" w:rsidP="002E5BAD">
      <w:pPr>
        <w:rPr>
          <w:rtl/>
        </w:rPr>
      </w:pPr>
      <w:r w:rsidRPr="00516217">
        <w:rPr>
          <w:rFonts w:cs="Arial" w:hint="cs"/>
          <w:b/>
          <w:bCs/>
          <w:rtl/>
        </w:rPr>
        <w:t xml:space="preserve">גיטין </w:t>
      </w:r>
      <w:r>
        <w:rPr>
          <w:rFonts w:cs="Arial" w:hint="cs"/>
          <w:b/>
          <w:bCs/>
          <w:sz w:val="16"/>
          <w:szCs w:val="16"/>
          <w:rtl/>
        </w:rPr>
        <w:t>(פ' מי שאחזו)</w:t>
      </w:r>
      <w:r>
        <w:rPr>
          <w:rFonts w:cs="Arial" w:hint="cs"/>
          <w:b/>
          <w:bCs/>
          <w:rtl/>
        </w:rPr>
        <w:t xml:space="preserve"> </w:t>
      </w:r>
      <w:r w:rsidRPr="00516217">
        <w:rPr>
          <w:rFonts w:cs="Arial" w:hint="cs"/>
          <w:b/>
          <w:bCs/>
          <w:rtl/>
        </w:rPr>
        <w:t xml:space="preserve">עג ע"א: </w:t>
      </w:r>
      <w:r w:rsidRPr="00516217">
        <w:rPr>
          <w:rFonts w:cs="Arial"/>
          <w:u w:val="double"/>
          <w:rtl/>
        </w:rPr>
        <w:t>מתני'</w:t>
      </w:r>
      <w:r>
        <w:rPr>
          <w:rFonts w:cs="Arial" w:hint="cs"/>
          <w:rtl/>
        </w:rPr>
        <w:t>:</w:t>
      </w:r>
      <w:r w:rsidRPr="00516217">
        <w:rPr>
          <w:rFonts w:cs="Arial"/>
          <w:rtl/>
        </w:rPr>
        <w:t xml:space="preserve"> </w:t>
      </w:r>
      <w:r>
        <w:rPr>
          <w:rStyle w:val="a7"/>
          <w:rFonts w:cs="Arial"/>
          <w:rtl/>
        </w:rPr>
        <w:footnoteReference w:id="1965"/>
      </w:r>
      <w:r w:rsidRPr="00516217">
        <w:rPr>
          <w:rFonts w:cs="Arial"/>
          <w:rtl/>
        </w:rPr>
        <w:t xml:space="preserve">לא תתייחד עמו אלא בפני עדים, אפי' על פי עבד אפי' ע"פ שפחה, חוץ משפחתה, מפני שלבה גס בה בשפחתה. מה היא באותן הימים? </w:t>
      </w:r>
      <w:r w:rsidRPr="00516217">
        <w:rPr>
          <w:rFonts w:cs="Arial"/>
          <w:u w:val="single"/>
          <w:rtl/>
        </w:rPr>
        <w:t>רבי יהודה אומר</w:t>
      </w:r>
      <w:r w:rsidRPr="00516217">
        <w:rPr>
          <w:rFonts w:cs="Arial"/>
          <w:rtl/>
        </w:rPr>
        <w:t>:</w:t>
      </w:r>
      <w:r w:rsidRPr="00516217">
        <w:rPr>
          <w:rtl/>
        </w:rPr>
        <w:t xml:space="preserve"> </w:t>
      </w:r>
      <w:r>
        <w:rPr>
          <w:rFonts w:cs="Arial" w:hint="cs"/>
          <w:sz w:val="14"/>
          <w:szCs w:val="14"/>
          <w:rtl/>
        </w:rPr>
        <w:t xml:space="preserve">(עג:) </w:t>
      </w:r>
      <w:r w:rsidRPr="00516217">
        <w:rPr>
          <w:rFonts w:cs="Arial"/>
          <w:rtl/>
        </w:rPr>
        <w:t>כאשת איש לכל דבריה</w:t>
      </w:r>
      <w:r>
        <w:rPr>
          <w:rFonts w:cs="Arial" w:hint="cs"/>
          <w:rtl/>
        </w:rPr>
        <w:t>.</w:t>
      </w:r>
      <w:r w:rsidRPr="00516217">
        <w:rPr>
          <w:rFonts w:cs="Arial"/>
          <w:rtl/>
        </w:rPr>
        <w:t xml:space="preserve"> </w:t>
      </w:r>
      <w:r w:rsidRPr="00516217">
        <w:rPr>
          <w:rFonts w:cs="Arial"/>
          <w:u w:val="single"/>
          <w:rtl/>
        </w:rPr>
        <w:t>רבי יוסי אומר</w:t>
      </w:r>
      <w:r w:rsidRPr="00516217">
        <w:rPr>
          <w:rFonts w:cs="Arial"/>
          <w:rtl/>
        </w:rPr>
        <w:t>: מגורשת ואינה מגורשת.</w:t>
      </w:r>
      <w:r>
        <w:rPr>
          <w:rFonts w:hint="cs"/>
          <w:rtl/>
        </w:rPr>
        <w:t xml:space="preserve">       </w:t>
      </w:r>
      <w:r w:rsidRPr="00516217">
        <w:rPr>
          <w:rFonts w:hint="cs"/>
          <w:u w:val="double"/>
          <w:rtl/>
        </w:rPr>
        <w:t>גמ'</w:t>
      </w:r>
      <w:r>
        <w:rPr>
          <w:rFonts w:hint="cs"/>
          <w:rtl/>
        </w:rPr>
        <w:t>:</w:t>
      </w:r>
      <w:r w:rsidRPr="00516217">
        <w:rPr>
          <w:rtl/>
        </w:rPr>
        <w:t xml:space="preserve"> </w:t>
      </w:r>
      <w:r w:rsidRPr="00516217">
        <w:rPr>
          <w:rFonts w:cs="Arial"/>
          <w:rtl/>
        </w:rPr>
        <w:t>תנו רבנן: ימים שבינתים - בעלה זכאי במציאתה ובמעשה ידיה ובהפרת נדריה, ויורשה</w:t>
      </w:r>
      <w:r w:rsidRPr="00516217">
        <w:rPr>
          <w:rtl/>
        </w:rPr>
        <w:t xml:space="preserve"> </w:t>
      </w:r>
      <w:r>
        <w:rPr>
          <w:rFonts w:cs="Arial" w:hint="cs"/>
          <w:sz w:val="14"/>
          <w:szCs w:val="14"/>
          <w:rtl/>
        </w:rPr>
        <w:t xml:space="preserve">(עד.) </w:t>
      </w:r>
      <w:r w:rsidRPr="00516217">
        <w:rPr>
          <w:rFonts w:cs="Arial"/>
          <w:rtl/>
        </w:rPr>
        <w:t xml:space="preserve">ומטמא לה, כללו של דבר: הרי היא כאשתו לכל דבר - אלא שאינה צריכה הימנו גט שני, </w:t>
      </w:r>
      <w:r w:rsidRPr="00516217">
        <w:rPr>
          <w:rFonts w:cs="Arial"/>
          <w:u w:val="single"/>
          <w:rtl/>
        </w:rPr>
        <w:t>דברי ר' יהודה</w:t>
      </w:r>
      <w:r>
        <w:rPr>
          <w:rFonts w:cs="Arial" w:hint="cs"/>
          <w:rtl/>
        </w:rPr>
        <w:t>.</w:t>
      </w:r>
      <w:r w:rsidRPr="00516217">
        <w:rPr>
          <w:rFonts w:cs="Arial"/>
          <w:rtl/>
        </w:rPr>
        <w:t xml:space="preserve"> </w:t>
      </w:r>
      <w:r w:rsidRPr="00516217">
        <w:rPr>
          <w:rFonts w:cs="Arial"/>
          <w:u w:val="single"/>
          <w:rtl/>
        </w:rPr>
        <w:t>ר"מ אומר</w:t>
      </w:r>
      <w:r w:rsidRPr="00516217">
        <w:rPr>
          <w:rFonts w:cs="Arial"/>
          <w:rtl/>
        </w:rPr>
        <w:t>: בעילתה תלויה</w:t>
      </w:r>
      <w:r>
        <w:rPr>
          <w:rFonts w:cs="Arial" w:hint="cs"/>
          <w:rtl/>
        </w:rPr>
        <w:t>.</w:t>
      </w:r>
      <w:r w:rsidRPr="00516217">
        <w:rPr>
          <w:rFonts w:cs="Arial"/>
          <w:rtl/>
        </w:rPr>
        <w:t xml:space="preserve"> </w:t>
      </w:r>
      <w:r w:rsidRPr="00516217">
        <w:rPr>
          <w:rFonts w:cs="Arial"/>
          <w:u w:val="single"/>
          <w:rtl/>
        </w:rPr>
        <w:t>ר' יוסי אומר</w:t>
      </w:r>
      <w:r w:rsidRPr="00516217">
        <w:rPr>
          <w:rFonts w:cs="Arial"/>
          <w:rtl/>
        </w:rPr>
        <w:t>: בעילתה ספק</w:t>
      </w:r>
      <w:r>
        <w:rPr>
          <w:rFonts w:cs="Arial" w:hint="cs"/>
          <w:rtl/>
        </w:rPr>
        <w:t>.</w:t>
      </w:r>
      <w:r w:rsidRPr="00516217">
        <w:rPr>
          <w:rFonts w:cs="Arial"/>
          <w:rtl/>
        </w:rPr>
        <w:t xml:space="preserve"> </w:t>
      </w:r>
      <w:r w:rsidRPr="00516217">
        <w:rPr>
          <w:rFonts w:cs="Arial"/>
          <w:u w:val="single"/>
          <w:rtl/>
        </w:rPr>
        <w:t>וחכ"א</w:t>
      </w:r>
      <w:r w:rsidRPr="00516217">
        <w:rPr>
          <w:rFonts w:cs="Arial"/>
          <w:rtl/>
        </w:rPr>
        <w:t>: מגורשת ואינה מגורשת, ובלבד שימות. מאי איכא בין ר"מ לרבי יוסי? אמר רבי יוחנן: אשם תלוי איכא בינייהו, לר"מ לא מייתי אשם תלוי, ולר' יוסי מייתי אשם תלוי. וחכ"א: מגורשת ואינה מגורשת. חכמים היינו רבי יוסי! איכא בינייהו דרבי זירא, דאמר רבי זירא אמר רבה בר ירמיה אמר שמואל: כל מקום שאמרו חכמים מגורשת ואינה מגורשת - בעלה חייב במזונותיה.</w:t>
      </w:r>
      <w:r w:rsidRPr="00250BC5">
        <w:rPr>
          <w:rFonts w:cs="Arial"/>
          <w:rtl/>
        </w:rPr>
        <w:t xml:space="preserve"> </w:t>
      </w:r>
      <w:r w:rsidRPr="00250BC5">
        <w:rPr>
          <w:rFonts w:cs="Arial" w:hint="cs"/>
          <w:sz w:val="16"/>
          <w:szCs w:val="16"/>
          <w:rtl/>
        </w:rPr>
        <w:t>(</w:t>
      </w:r>
      <w:r>
        <w:rPr>
          <w:rFonts w:cs="Arial" w:hint="cs"/>
          <w:sz w:val="16"/>
          <w:szCs w:val="16"/>
          <w:rtl/>
        </w:rPr>
        <w:t xml:space="preserve">וכתב הה"מ (שם) דמכאן יש קצת ראיה לדברי הרמב"ם שבספק גירושין אין הבעל יורש, שהרי </w:t>
      </w:r>
      <w:r w:rsidRPr="00250BC5">
        <w:rPr>
          <w:rFonts w:cs="Arial"/>
          <w:sz w:val="16"/>
          <w:szCs w:val="16"/>
          <w:rtl/>
        </w:rPr>
        <w:t xml:space="preserve">לא הזכירו </w:t>
      </w:r>
      <w:r>
        <w:rPr>
          <w:rFonts w:cs="Arial" w:hint="cs"/>
          <w:sz w:val="16"/>
          <w:szCs w:val="16"/>
          <w:rtl/>
        </w:rPr>
        <w:t xml:space="preserve">בגמ' </w:t>
      </w:r>
      <w:r w:rsidRPr="00250BC5">
        <w:rPr>
          <w:rFonts w:cs="Arial"/>
          <w:sz w:val="16"/>
          <w:szCs w:val="16"/>
          <w:rtl/>
        </w:rPr>
        <w:t>ירושה לחד מן התנאים אלא לר' יהודה</w:t>
      </w:r>
      <w:r>
        <w:rPr>
          <w:rFonts w:cs="Arial" w:hint="cs"/>
          <w:sz w:val="16"/>
          <w:szCs w:val="16"/>
          <w:rtl/>
        </w:rPr>
        <w:t>,</w:t>
      </w:r>
      <w:r w:rsidRPr="00250BC5">
        <w:rPr>
          <w:rFonts w:cs="Arial"/>
          <w:sz w:val="16"/>
          <w:szCs w:val="16"/>
          <w:rtl/>
        </w:rPr>
        <w:t xml:space="preserve"> משמע דליכא מאן דס"ל יורשה אלא ר' יהודה</w:t>
      </w:r>
      <w:r w:rsidRPr="00250BC5">
        <w:rPr>
          <w:rFonts w:cs="Arial" w:hint="cs"/>
          <w:sz w:val="16"/>
          <w:szCs w:val="16"/>
          <w:rtl/>
        </w:rPr>
        <w:t>.</w:t>
      </w:r>
      <w:r w:rsidRPr="00250BC5">
        <w:rPr>
          <w:rFonts w:cs="Arial"/>
          <w:sz w:val="16"/>
          <w:szCs w:val="16"/>
          <w:rtl/>
        </w:rPr>
        <w:t xml:space="preserve"> והנך תנאי כולהו פליגי אדר' יהודה בכל הדברים שהזכיר</w:t>
      </w:r>
      <w:r w:rsidRPr="00250BC5">
        <w:rPr>
          <w:rFonts w:cs="Arial" w:hint="cs"/>
          <w:sz w:val="16"/>
          <w:szCs w:val="16"/>
          <w:rtl/>
        </w:rPr>
        <w:t>.</w:t>
      </w:r>
      <w:r w:rsidRPr="00250BC5">
        <w:rPr>
          <w:rFonts w:cs="Arial"/>
          <w:sz w:val="16"/>
          <w:szCs w:val="16"/>
          <w:rtl/>
        </w:rPr>
        <w:t xml:space="preserve"> דאי לא</w:t>
      </w:r>
      <w:r w:rsidRPr="00250BC5">
        <w:rPr>
          <w:rFonts w:cs="Arial" w:hint="cs"/>
          <w:sz w:val="16"/>
          <w:szCs w:val="16"/>
          <w:rtl/>
        </w:rPr>
        <w:t>,</w:t>
      </w:r>
      <w:r w:rsidRPr="00250BC5">
        <w:rPr>
          <w:rFonts w:cs="Arial"/>
          <w:sz w:val="16"/>
          <w:szCs w:val="16"/>
          <w:rtl/>
        </w:rPr>
        <w:t xml:space="preserve"> הוה להו לברורי ואיפלוגי בין ירושה לשאר דברים</w:t>
      </w:r>
      <w:r w:rsidRPr="00250BC5">
        <w:rPr>
          <w:rFonts w:cs="Arial" w:hint="cs"/>
          <w:sz w:val="16"/>
          <w:szCs w:val="16"/>
          <w:rtl/>
        </w:rPr>
        <w:t>.</w:t>
      </w:r>
      <w:r w:rsidRPr="00250BC5">
        <w:rPr>
          <w:rFonts w:cs="Arial"/>
          <w:sz w:val="16"/>
          <w:szCs w:val="16"/>
          <w:rtl/>
        </w:rPr>
        <w:t xml:space="preserve"> ועוד דאם איתא דבספק הבעל יורש למה הו"ל לאדכורי לר' יהודה ירושה</w:t>
      </w:r>
      <w:r w:rsidRPr="00250BC5">
        <w:rPr>
          <w:rFonts w:cs="Arial" w:hint="cs"/>
          <w:sz w:val="16"/>
          <w:szCs w:val="16"/>
          <w:rtl/>
        </w:rPr>
        <w:t>,</w:t>
      </w:r>
      <w:r w:rsidRPr="00250BC5">
        <w:rPr>
          <w:rFonts w:cs="Arial"/>
          <w:sz w:val="16"/>
          <w:szCs w:val="16"/>
          <w:rtl/>
        </w:rPr>
        <w:t xml:space="preserve"> השתא ספק יורש</w:t>
      </w:r>
      <w:r w:rsidRPr="00250BC5">
        <w:rPr>
          <w:rFonts w:cs="Arial" w:hint="cs"/>
          <w:sz w:val="16"/>
          <w:szCs w:val="16"/>
          <w:rtl/>
        </w:rPr>
        <w:t>,</w:t>
      </w:r>
      <w:r w:rsidRPr="00250BC5">
        <w:rPr>
          <w:rFonts w:cs="Arial"/>
          <w:sz w:val="16"/>
          <w:szCs w:val="16"/>
          <w:rtl/>
        </w:rPr>
        <w:t xml:space="preserve"> זו לא כ"ש</w:t>
      </w:r>
      <w:r w:rsidRPr="00250BC5">
        <w:rPr>
          <w:rFonts w:cs="Arial" w:hint="cs"/>
          <w:sz w:val="16"/>
          <w:szCs w:val="16"/>
          <w:rtl/>
        </w:rPr>
        <w:t>?</w:t>
      </w:r>
      <w:r w:rsidRPr="00250BC5">
        <w:rPr>
          <w:rFonts w:cs="Arial"/>
          <w:sz w:val="16"/>
          <w:szCs w:val="16"/>
          <w:rtl/>
        </w:rPr>
        <w:t xml:space="preserve"> כיון דכאשת איש חשיב ליה</w:t>
      </w:r>
      <w:r w:rsidRPr="00250BC5">
        <w:rPr>
          <w:rFonts w:cs="Arial" w:hint="cs"/>
          <w:sz w:val="16"/>
          <w:szCs w:val="16"/>
          <w:rtl/>
        </w:rPr>
        <w:t>!.</w:t>
      </w:r>
      <w:r w:rsidRPr="00250BC5">
        <w:rPr>
          <w:rFonts w:cs="Arial"/>
          <w:sz w:val="16"/>
          <w:szCs w:val="16"/>
          <w:rtl/>
        </w:rPr>
        <w:t xml:space="preserve"> כך נ"ל</w:t>
      </w:r>
      <w:r>
        <w:rPr>
          <w:rFonts w:cs="Arial" w:hint="cs"/>
          <w:sz w:val="16"/>
          <w:szCs w:val="16"/>
          <w:rtl/>
        </w:rPr>
        <w:t>)</w:t>
      </w:r>
    </w:p>
    <w:p w14:paraId="06D8861B" w14:textId="77777777" w:rsidR="002E5BAD" w:rsidRPr="002A6C3A" w:rsidRDefault="002E5BAD" w:rsidP="002E5BAD">
      <w:pPr>
        <w:rPr>
          <w:sz w:val="16"/>
          <w:szCs w:val="16"/>
          <w:rtl/>
        </w:rPr>
      </w:pPr>
      <w:r w:rsidRPr="004939AF">
        <w:rPr>
          <w:rFonts w:cs="Arial" w:hint="cs"/>
          <w:b/>
          <w:bCs/>
          <w:rtl/>
        </w:rPr>
        <w:t xml:space="preserve">ירושלמי גיטין פ"ז ה"ד: </w:t>
      </w:r>
      <w:r w:rsidRPr="00235B84">
        <w:rPr>
          <w:rFonts w:cs="Arial"/>
          <w:rtl/>
        </w:rPr>
        <w:t xml:space="preserve">כהדא נתייחדה עמו בפני שנים </w:t>
      </w:r>
      <w:r>
        <w:rPr>
          <w:rFonts w:cs="Arial" w:hint="cs"/>
          <w:rtl/>
        </w:rPr>
        <w:t xml:space="preserve">- </w:t>
      </w:r>
      <w:r w:rsidRPr="00235B84">
        <w:rPr>
          <w:rFonts w:cs="Arial"/>
          <w:rtl/>
        </w:rPr>
        <w:t>צריכה הימינו גט שני</w:t>
      </w:r>
      <w:r>
        <w:rPr>
          <w:rFonts w:cs="Arial" w:hint="cs"/>
          <w:rtl/>
        </w:rPr>
        <w:t>...</w:t>
      </w:r>
      <w:r w:rsidRPr="00235B84">
        <w:rPr>
          <w:rFonts w:cs="Arial"/>
          <w:rtl/>
        </w:rPr>
        <w:t xml:space="preserve"> נתייחדה עמו כדי בעילה </w:t>
      </w:r>
      <w:r>
        <w:rPr>
          <w:rFonts w:cs="Arial" w:hint="cs"/>
          <w:rtl/>
        </w:rPr>
        <w:t xml:space="preserve">- </w:t>
      </w:r>
      <w:r w:rsidRPr="00235B84">
        <w:rPr>
          <w:rFonts w:cs="Arial"/>
          <w:rtl/>
        </w:rPr>
        <w:t xml:space="preserve">חוששין לה משום בעילה ואין חוששין לה משום קידושין. </w:t>
      </w:r>
      <w:r w:rsidRPr="004939AF">
        <w:rPr>
          <w:rFonts w:cs="Arial"/>
          <w:u w:val="single"/>
          <w:rtl/>
        </w:rPr>
        <w:t>רבי יוסי בי רבי יהודה אומר</w:t>
      </w:r>
      <w:r>
        <w:rPr>
          <w:rFonts w:cs="Arial" w:hint="cs"/>
          <w:rtl/>
        </w:rPr>
        <w:t>:</w:t>
      </w:r>
      <w:r w:rsidRPr="00235B84">
        <w:rPr>
          <w:rFonts w:cs="Arial"/>
          <w:rtl/>
        </w:rPr>
        <w:t xml:space="preserve"> אף חוששין לה משום קידושין.</w:t>
      </w:r>
      <w:r>
        <w:rPr>
          <w:rFonts w:cs="Arial" w:hint="cs"/>
          <w:rtl/>
        </w:rPr>
        <w:t>.</w:t>
      </w:r>
      <w:r w:rsidRPr="00235B84">
        <w:rPr>
          <w:rFonts w:cs="Arial"/>
          <w:rtl/>
        </w:rPr>
        <w:t xml:space="preserve">. </w:t>
      </w:r>
      <w:r w:rsidRPr="004939AF">
        <w:rPr>
          <w:rFonts w:cs="Arial"/>
          <w:u w:val="single"/>
          <w:rtl/>
        </w:rPr>
        <w:t>אמר רבי אבין</w:t>
      </w:r>
      <w:r>
        <w:rPr>
          <w:rFonts w:cs="Arial" w:hint="cs"/>
          <w:rtl/>
        </w:rPr>
        <w:t>:</w:t>
      </w:r>
      <w:r w:rsidRPr="00235B84">
        <w:rPr>
          <w:rFonts w:cs="Arial"/>
          <w:rtl/>
        </w:rPr>
        <w:t xml:space="preserve"> אתיא דבית שמאי כרבנין</w:t>
      </w:r>
      <w:r>
        <w:rPr>
          <w:rFonts w:cs="Arial" w:hint="cs"/>
          <w:rtl/>
        </w:rPr>
        <w:t>,</w:t>
      </w:r>
      <w:r w:rsidRPr="00235B84">
        <w:rPr>
          <w:rFonts w:cs="Arial"/>
          <w:rtl/>
        </w:rPr>
        <w:t xml:space="preserve"> ובית הלל כרבי יוסי בי רבי יהודה. ליידא מילה</w:t>
      </w:r>
      <w:r>
        <w:rPr>
          <w:rFonts w:cs="Arial" w:hint="cs"/>
          <w:rtl/>
        </w:rPr>
        <w:t>?</w:t>
      </w:r>
      <w:r w:rsidRPr="00235B84">
        <w:rPr>
          <w:rFonts w:cs="Arial"/>
          <w:rtl/>
        </w:rPr>
        <w:t xml:space="preserve"> </w:t>
      </w:r>
      <w:r w:rsidRPr="004939AF">
        <w:rPr>
          <w:rFonts w:cs="Arial"/>
          <w:u w:val="single"/>
          <w:rtl/>
        </w:rPr>
        <w:t>רבי לעזר אומר</w:t>
      </w:r>
      <w:r>
        <w:rPr>
          <w:rFonts w:cs="Arial" w:hint="cs"/>
          <w:rtl/>
        </w:rPr>
        <w:t>:</w:t>
      </w:r>
      <w:r w:rsidRPr="00235B84">
        <w:rPr>
          <w:rFonts w:cs="Arial"/>
          <w:rtl/>
        </w:rPr>
        <w:t xml:space="preserve"> ליורשה. דתנינן תמן וזכאי במציאתה ובמעשה ידיה ובהפר נדריה. </w:t>
      </w:r>
      <w:r w:rsidRPr="004939AF">
        <w:rPr>
          <w:rFonts w:cs="Arial"/>
          <w:u w:val="single"/>
          <w:rtl/>
        </w:rPr>
        <w:t>אמר ר' זעירא</w:t>
      </w:r>
      <w:r>
        <w:rPr>
          <w:rFonts w:cs="Arial" w:hint="cs"/>
          <w:rtl/>
        </w:rPr>
        <w:t>:</w:t>
      </w:r>
      <w:r w:rsidRPr="00235B84">
        <w:rPr>
          <w:rFonts w:cs="Arial"/>
          <w:rtl/>
        </w:rPr>
        <w:t xml:space="preserve"> זאת אומרת שהיא כאשת איש לכל דבר.</w:t>
      </w:r>
      <w:r>
        <w:rPr>
          <w:rFonts w:hint="cs"/>
          <w:sz w:val="16"/>
          <w:szCs w:val="16"/>
          <w:rtl/>
        </w:rPr>
        <w:t xml:space="preserve"> (ומכאן הוכיח הראב"ד ב-'מכל שכן' שספק מגורשת </w:t>
      </w:r>
      <w:r>
        <w:rPr>
          <w:sz w:val="16"/>
          <w:szCs w:val="16"/>
          <w:rtl/>
        </w:rPr>
        <w:t>–</w:t>
      </w:r>
      <w:r>
        <w:rPr>
          <w:rFonts w:hint="cs"/>
          <w:sz w:val="16"/>
          <w:szCs w:val="16"/>
          <w:rtl/>
        </w:rPr>
        <w:t xml:space="preserve"> בעלה יורשה)</w:t>
      </w:r>
    </w:p>
    <w:p w14:paraId="3B9D7A8C" w14:textId="77777777" w:rsidR="002E5BAD" w:rsidRPr="0006145B" w:rsidRDefault="002E5BAD" w:rsidP="002E5BAD">
      <w:pPr>
        <w:rPr>
          <w:u w:val="single"/>
          <w:rtl/>
        </w:rPr>
      </w:pPr>
      <w:r w:rsidRPr="0006145B">
        <w:rPr>
          <w:rFonts w:cs="Arial"/>
          <w:u w:val="single"/>
          <w:rtl/>
        </w:rPr>
        <w:t>מי שנתגרשה ספק גירושין</w:t>
      </w:r>
      <w:r>
        <w:rPr>
          <w:rFonts w:hint="cs"/>
          <w:u w:val="single"/>
          <w:rtl/>
        </w:rPr>
        <w:t>,</w:t>
      </w:r>
      <w:r w:rsidRPr="0006145B">
        <w:rPr>
          <w:rFonts w:hint="cs"/>
          <w:u w:val="single"/>
          <w:rtl/>
        </w:rPr>
        <w:t xml:space="preserve"> </w:t>
      </w:r>
      <w:r>
        <w:rPr>
          <w:rFonts w:hint="cs"/>
          <w:u w:val="single"/>
          <w:rtl/>
        </w:rPr>
        <w:t xml:space="preserve">ומתה </w:t>
      </w:r>
      <w:r w:rsidRPr="0006145B">
        <w:rPr>
          <w:u w:val="single"/>
          <w:rtl/>
        </w:rPr>
        <w:t>–</w:t>
      </w:r>
      <w:r w:rsidRPr="0006145B">
        <w:rPr>
          <w:rFonts w:hint="cs"/>
          <w:u w:val="single"/>
          <w:rtl/>
        </w:rPr>
        <w:t xml:space="preserve"> האם יורש</w:t>
      </w:r>
      <w:r>
        <w:rPr>
          <w:rFonts w:hint="cs"/>
          <w:u w:val="single"/>
          <w:rtl/>
        </w:rPr>
        <w:t xml:space="preserve"> אותה</w:t>
      </w:r>
      <w:r w:rsidRPr="0006145B">
        <w:rPr>
          <w:rFonts w:hint="cs"/>
          <w:u w:val="single"/>
          <w:rtl/>
        </w:rPr>
        <w:t>:</w:t>
      </w:r>
    </w:p>
    <w:p w14:paraId="2373244E" w14:textId="77777777" w:rsidR="002E5BAD" w:rsidRPr="0006145B" w:rsidRDefault="002E5BAD" w:rsidP="002E5BAD">
      <w:pPr>
        <w:pStyle w:val="ab"/>
        <w:numPr>
          <w:ilvl w:val="0"/>
          <w:numId w:val="186"/>
        </w:numPr>
      </w:pPr>
      <w:r w:rsidRPr="0006145B">
        <w:rPr>
          <w:rFonts w:cs="Arial" w:hint="cs"/>
          <w:rtl/>
        </w:rPr>
        <w:t xml:space="preserve">רמב"ם </w:t>
      </w:r>
      <w:r w:rsidRPr="0006145B">
        <w:rPr>
          <w:rFonts w:cs="Arial" w:hint="cs"/>
          <w:sz w:val="16"/>
          <w:szCs w:val="16"/>
          <w:rtl/>
        </w:rPr>
        <w:t>(הל' נחלות פ"א ה"ט)</w:t>
      </w:r>
      <w:r>
        <w:rPr>
          <w:rFonts w:cs="Arial" w:hint="cs"/>
          <w:rtl/>
        </w:rPr>
        <w:t xml:space="preserve"> והעיטור</w:t>
      </w:r>
      <w:r>
        <w:rPr>
          <w:rFonts w:cs="Arial" w:hint="cs"/>
          <w:sz w:val="16"/>
          <w:szCs w:val="16"/>
          <w:rtl/>
        </w:rPr>
        <w:t xml:space="preserve"> (כ"כ הה"מ בשמו [שם])</w:t>
      </w:r>
      <w:r w:rsidRPr="0006145B">
        <w:rPr>
          <w:rFonts w:cs="Arial" w:hint="cs"/>
          <w:rtl/>
        </w:rPr>
        <w:t xml:space="preserve">- </w:t>
      </w:r>
      <w:r w:rsidRPr="0006145B">
        <w:rPr>
          <w:rFonts w:cs="Arial"/>
          <w:rtl/>
        </w:rPr>
        <w:t xml:space="preserve">מי שנתגרשה ספק גירושין ומתה </w:t>
      </w:r>
      <w:r>
        <w:rPr>
          <w:rFonts w:cs="Arial" w:hint="cs"/>
          <w:rtl/>
        </w:rPr>
        <w:t xml:space="preserve">- </w:t>
      </w:r>
      <w:r w:rsidRPr="0006145B">
        <w:rPr>
          <w:rFonts w:cs="Arial"/>
          <w:rtl/>
        </w:rPr>
        <w:t>אין הבעל יורשה</w:t>
      </w:r>
      <w:r>
        <w:rPr>
          <w:rFonts w:cs="Arial" w:hint="cs"/>
          <w:sz w:val="16"/>
          <w:szCs w:val="16"/>
          <w:rtl/>
        </w:rPr>
        <w:t xml:space="preserve"> (ל' הרמב"ם)</w:t>
      </w:r>
      <w:r w:rsidRPr="0006145B">
        <w:rPr>
          <w:rFonts w:cs="Arial"/>
          <w:rtl/>
        </w:rPr>
        <w:t xml:space="preserve">. </w:t>
      </w:r>
      <w:r w:rsidRPr="001D67C0">
        <w:rPr>
          <w:rFonts w:hint="cs"/>
          <w:color w:val="E36C0A" w:themeColor="accent6" w:themeShade="BF"/>
          <w:rtl/>
        </w:rPr>
        <w:t>(וכ"פ בשו"ע)</w:t>
      </w:r>
    </w:p>
    <w:p w14:paraId="134476D7" w14:textId="77777777" w:rsidR="002E5BAD" w:rsidRDefault="002E5BAD" w:rsidP="002E5BAD">
      <w:pPr>
        <w:pStyle w:val="ab"/>
        <w:numPr>
          <w:ilvl w:val="0"/>
          <w:numId w:val="186"/>
        </w:numPr>
      </w:pPr>
      <w:r w:rsidRPr="0006145B">
        <w:rPr>
          <w:rFonts w:cs="Arial"/>
          <w:rtl/>
        </w:rPr>
        <w:t>ראב"ד</w:t>
      </w:r>
      <w:r>
        <w:rPr>
          <w:rFonts w:cs="Arial" w:hint="cs"/>
          <w:sz w:val="16"/>
          <w:szCs w:val="16"/>
          <w:rtl/>
        </w:rPr>
        <w:t xml:space="preserve"> (בהשגות שם)</w:t>
      </w:r>
      <w:r>
        <w:rPr>
          <w:rFonts w:cs="Arial" w:hint="cs"/>
          <w:rtl/>
        </w:rPr>
        <w:t>-</w:t>
      </w:r>
      <w:r w:rsidRPr="0006145B">
        <w:rPr>
          <w:rFonts w:cs="Arial"/>
          <w:rtl/>
        </w:rPr>
        <w:t xml:space="preserve"> א"א מה שאמרו במס' גיטין בירושלמי נראה שהוא חולק עליו המגרש את אשתו ולנה עמו בפונדקי בית הלל אומרים צריכה ממנו גט שני לאידא מילתא אמר רבי אלעזר לירושה כלומר שהוא יורשה ומה התם בודאי גירשה וספק החזירה יורשה הכא דודאי אשתו היתה וספק גירשה לא כ"</w:t>
      </w:r>
      <w:r>
        <w:rPr>
          <w:rFonts w:cs="Arial" w:hint="cs"/>
          <w:rtl/>
        </w:rPr>
        <w:t>ש</w:t>
      </w:r>
      <w:r>
        <w:rPr>
          <w:rStyle w:val="a7"/>
          <w:rFonts w:cs="Arial"/>
          <w:rtl/>
        </w:rPr>
        <w:footnoteReference w:id="1966"/>
      </w:r>
      <w:r>
        <w:rPr>
          <w:rFonts w:cs="Arial" w:hint="cs"/>
          <w:rtl/>
        </w:rPr>
        <w:t>.</w:t>
      </w:r>
    </w:p>
    <w:p w14:paraId="448FD9EA" w14:textId="77777777" w:rsidR="002E5BAD" w:rsidRPr="00643EFE" w:rsidRDefault="002E5BAD" w:rsidP="002E5BAD">
      <w:pPr>
        <w:pStyle w:val="ab"/>
        <w:numPr>
          <w:ilvl w:val="0"/>
          <w:numId w:val="186"/>
        </w:numPr>
        <w:rPr>
          <w:rtl/>
        </w:rPr>
      </w:pPr>
      <w:r>
        <w:rPr>
          <w:rFonts w:cs="Arial" w:hint="cs"/>
          <w:rtl/>
        </w:rPr>
        <w:lastRenderedPageBreak/>
        <w:t xml:space="preserve">רא"ש </w:t>
      </w:r>
      <w:r>
        <w:rPr>
          <w:rFonts w:cs="Arial" w:hint="cs"/>
          <w:sz w:val="16"/>
          <w:szCs w:val="16"/>
          <w:rtl/>
        </w:rPr>
        <w:t>(סי' טז)</w:t>
      </w:r>
      <w:r>
        <w:rPr>
          <w:rFonts w:cs="Arial" w:hint="cs"/>
          <w:rtl/>
        </w:rPr>
        <w:t xml:space="preserve"> וטור- </w:t>
      </w:r>
      <w:r w:rsidRPr="006262B5">
        <w:rPr>
          <w:rFonts w:cs="Arial"/>
          <w:rtl/>
        </w:rPr>
        <w:t>אין הירושה נפקעת אלא בגירושין גמורים</w:t>
      </w:r>
      <w:r>
        <w:rPr>
          <w:rStyle w:val="a7"/>
          <w:rFonts w:cs="Arial"/>
          <w:rtl/>
        </w:rPr>
        <w:footnoteReference w:id="1967"/>
      </w:r>
      <w:r>
        <w:rPr>
          <w:rFonts w:cs="Arial" w:hint="cs"/>
          <w:sz w:val="16"/>
          <w:szCs w:val="16"/>
          <w:rtl/>
        </w:rPr>
        <w:t xml:space="preserve"> (ל' הטור בשם הרא"ש)</w:t>
      </w:r>
      <w:r>
        <w:rPr>
          <w:rFonts w:cs="Arial" w:hint="cs"/>
          <w:rtl/>
        </w:rPr>
        <w:t>.</w:t>
      </w:r>
      <w:r>
        <w:rPr>
          <w:rFonts w:hint="cs"/>
          <w:rtl/>
        </w:rPr>
        <w:t xml:space="preserve"> (וכ"פ הלבוש</w:t>
      </w:r>
      <w:r>
        <w:rPr>
          <w:rStyle w:val="a7"/>
          <w:rtl/>
        </w:rPr>
        <w:footnoteReference w:id="1968"/>
      </w:r>
      <w:r>
        <w:rPr>
          <w:rFonts w:hint="cs"/>
          <w:rtl/>
        </w:rPr>
        <w:t>)</w:t>
      </w:r>
    </w:p>
    <w:p w14:paraId="5DA7CE9B" w14:textId="77777777" w:rsidR="002E5BAD" w:rsidRDefault="002E5BAD" w:rsidP="002E5BAD">
      <w:pPr>
        <w:rPr>
          <w:rtl/>
        </w:rPr>
      </w:pPr>
      <w:r w:rsidRPr="00F5507E">
        <w:rPr>
          <w:rFonts w:cs="Arial" w:hint="cs"/>
          <w:b/>
          <w:bCs/>
          <w:rtl/>
        </w:rPr>
        <w:t xml:space="preserve">בבא בתרא </w:t>
      </w:r>
      <w:r>
        <w:rPr>
          <w:rFonts w:cs="Arial" w:hint="cs"/>
          <w:b/>
          <w:bCs/>
          <w:sz w:val="16"/>
          <w:szCs w:val="16"/>
          <w:rtl/>
        </w:rPr>
        <w:t xml:space="preserve">(פ' מי שמת) </w:t>
      </w:r>
      <w:r w:rsidRPr="00F5507E">
        <w:rPr>
          <w:rFonts w:cs="Arial" w:hint="cs"/>
          <w:b/>
          <w:bCs/>
          <w:rtl/>
        </w:rPr>
        <w:t xml:space="preserve">קמו ע"א: </w:t>
      </w:r>
      <w:r w:rsidRPr="00F5507E">
        <w:rPr>
          <w:rFonts w:cs="Arial"/>
          <w:u w:val="single"/>
          <w:rtl/>
        </w:rPr>
        <w:t>אמר רב יהודה אמר רב</w:t>
      </w:r>
      <w:r w:rsidRPr="00F5507E">
        <w:rPr>
          <w:rFonts w:cs="Arial"/>
          <w:rtl/>
        </w:rPr>
        <w:t>: מעשה באדם אחד שאמרו לו אשתו תותרנית היא</w:t>
      </w:r>
      <w:r>
        <w:rPr>
          <w:rStyle w:val="a7"/>
          <w:rFonts w:cs="Arial"/>
          <w:rtl/>
        </w:rPr>
        <w:footnoteReference w:id="1969"/>
      </w:r>
      <w:r w:rsidRPr="00F5507E">
        <w:rPr>
          <w:rFonts w:cs="Arial"/>
          <w:rtl/>
        </w:rPr>
        <w:t>, ונכנס אחריה לחורבה לבודקה</w:t>
      </w:r>
      <w:r>
        <w:rPr>
          <w:rStyle w:val="a7"/>
          <w:rFonts w:cs="Arial"/>
          <w:rtl/>
        </w:rPr>
        <w:footnoteReference w:id="1970"/>
      </w:r>
      <w:r>
        <w:rPr>
          <w:rFonts w:cs="Arial" w:hint="cs"/>
          <w:rtl/>
        </w:rPr>
        <w:t>.</w:t>
      </w:r>
      <w:r w:rsidRPr="00F5507E">
        <w:rPr>
          <w:rFonts w:cs="Arial"/>
          <w:rtl/>
        </w:rPr>
        <w:t xml:space="preserve"> אמר לה: ריח צנון אני מריח בגליל</w:t>
      </w:r>
      <w:r>
        <w:rPr>
          <w:rFonts w:cs="Arial" w:hint="cs"/>
          <w:rtl/>
        </w:rPr>
        <w:t>.</w:t>
      </w:r>
      <w:r w:rsidRPr="00F5507E">
        <w:rPr>
          <w:rtl/>
        </w:rPr>
        <w:t xml:space="preserve"> </w:t>
      </w:r>
      <w:r>
        <w:rPr>
          <w:rFonts w:cs="Arial" w:hint="cs"/>
          <w:sz w:val="14"/>
          <w:szCs w:val="14"/>
          <w:rtl/>
        </w:rPr>
        <w:t xml:space="preserve">(קמו:) </w:t>
      </w:r>
      <w:r w:rsidRPr="00F5507E">
        <w:rPr>
          <w:rFonts w:cs="Arial"/>
          <w:rtl/>
        </w:rPr>
        <w:t>אמרה ליה</w:t>
      </w:r>
      <w:r>
        <w:rPr>
          <w:rStyle w:val="a7"/>
          <w:rFonts w:cs="Arial"/>
          <w:rtl/>
        </w:rPr>
        <w:footnoteReference w:id="1971"/>
      </w:r>
      <w:r w:rsidRPr="00F5507E">
        <w:rPr>
          <w:rFonts w:cs="Arial"/>
          <w:rtl/>
        </w:rPr>
        <w:t>: מן יהיב לן מכותבות דיריחו</w:t>
      </w:r>
      <w:r>
        <w:rPr>
          <w:rStyle w:val="a7"/>
          <w:rFonts w:cs="Arial"/>
          <w:rtl/>
        </w:rPr>
        <w:footnoteReference w:id="1972"/>
      </w:r>
      <w:r w:rsidRPr="00F5507E">
        <w:rPr>
          <w:rFonts w:cs="Arial"/>
          <w:rtl/>
        </w:rPr>
        <w:t xml:space="preserve"> ואכלנא ביה! נפל עלה חורבה ומתה</w:t>
      </w:r>
      <w:r>
        <w:rPr>
          <w:rFonts w:cs="Arial" w:hint="cs"/>
          <w:rtl/>
        </w:rPr>
        <w:t>.</w:t>
      </w:r>
      <w:r w:rsidRPr="00F5507E">
        <w:rPr>
          <w:rFonts w:cs="Arial"/>
          <w:rtl/>
        </w:rPr>
        <w:t xml:space="preserve"> אמרו חכמים: הואיל ולא נכנס אחריה אלא לבודקה, מתה - אינו יורשה.</w:t>
      </w:r>
      <w:r w:rsidRPr="00B30A16">
        <w:rPr>
          <w:rFonts w:cs="Arial"/>
          <w:rtl/>
        </w:rPr>
        <w:t xml:space="preserve"> </w:t>
      </w:r>
      <w:r w:rsidRPr="00E96FC6">
        <w:rPr>
          <w:rFonts w:cs="Arial" w:hint="cs"/>
          <w:sz w:val="16"/>
          <w:szCs w:val="16"/>
          <w:rtl/>
        </w:rPr>
        <w:t>(</w:t>
      </w:r>
      <w:r w:rsidRPr="00E96FC6">
        <w:rPr>
          <w:rFonts w:cs="Arial"/>
          <w:sz w:val="16"/>
          <w:szCs w:val="16"/>
          <w:rtl/>
        </w:rPr>
        <w:t>ופרשב"ם דהכי גרסינן</w:t>
      </w:r>
      <w:r>
        <w:rPr>
          <w:rFonts w:cs="Arial" w:hint="cs"/>
          <w:sz w:val="16"/>
          <w:szCs w:val="16"/>
          <w:rtl/>
        </w:rPr>
        <w:t>-</w:t>
      </w:r>
      <w:r w:rsidRPr="00E96FC6">
        <w:rPr>
          <w:rFonts w:cs="Arial"/>
          <w:sz w:val="16"/>
          <w:szCs w:val="16"/>
          <w:rtl/>
        </w:rPr>
        <w:t xml:space="preserve"> </w:t>
      </w:r>
      <w:r>
        <w:rPr>
          <w:rFonts w:cs="Arial" w:hint="cs"/>
          <w:sz w:val="16"/>
          <w:szCs w:val="16"/>
          <w:rtl/>
        </w:rPr>
        <w:t>'</w:t>
      </w:r>
      <w:r w:rsidRPr="00E96FC6">
        <w:rPr>
          <w:rFonts w:cs="Arial"/>
          <w:sz w:val="16"/>
          <w:szCs w:val="16"/>
          <w:rtl/>
        </w:rPr>
        <w:t>הואיל ונכנס אחריה לבודקה</w:t>
      </w:r>
      <w:r>
        <w:rPr>
          <w:rFonts w:cs="Arial" w:hint="cs"/>
          <w:sz w:val="16"/>
          <w:szCs w:val="16"/>
          <w:rtl/>
        </w:rPr>
        <w:t>'</w:t>
      </w:r>
      <w:r w:rsidRPr="00E96FC6">
        <w:rPr>
          <w:rFonts w:cs="Arial" w:hint="cs"/>
          <w:sz w:val="16"/>
          <w:szCs w:val="16"/>
          <w:rtl/>
        </w:rPr>
        <w:t>,</w:t>
      </w:r>
      <w:r w:rsidRPr="00E96FC6">
        <w:rPr>
          <w:rFonts w:cs="Arial"/>
          <w:sz w:val="16"/>
          <w:szCs w:val="16"/>
          <w:rtl/>
        </w:rPr>
        <w:t xml:space="preserve"> בנשואה מיירי</w:t>
      </w:r>
      <w:r w:rsidRPr="00E96FC6">
        <w:rPr>
          <w:rFonts w:cs="Arial" w:hint="cs"/>
          <w:sz w:val="16"/>
          <w:szCs w:val="16"/>
          <w:rtl/>
        </w:rPr>
        <w:t>,</w:t>
      </w:r>
      <w:r w:rsidRPr="00E96FC6">
        <w:rPr>
          <w:rFonts w:cs="Arial"/>
          <w:sz w:val="16"/>
          <w:szCs w:val="16"/>
          <w:rtl/>
        </w:rPr>
        <w:t xml:space="preserve"> דכיון שהיה בדעתו לגרשה אם ימצאנה בעלת מום</w:t>
      </w:r>
      <w:r w:rsidRPr="00E96FC6">
        <w:rPr>
          <w:rFonts w:cs="Arial" w:hint="cs"/>
          <w:sz w:val="16"/>
          <w:szCs w:val="16"/>
          <w:rtl/>
        </w:rPr>
        <w:t>,</w:t>
      </w:r>
      <w:r w:rsidRPr="00E96FC6">
        <w:rPr>
          <w:rFonts w:cs="Arial"/>
          <w:sz w:val="16"/>
          <w:szCs w:val="16"/>
          <w:rtl/>
        </w:rPr>
        <w:t xml:space="preserve"> ובתוך כך מתה קודם שנתפייסו</w:t>
      </w:r>
      <w:r w:rsidRPr="00E96FC6">
        <w:rPr>
          <w:rFonts w:cs="Arial" w:hint="cs"/>
          <w:sz w:val="16"/>
          <w:szCs w:val="16"/>
          <w:rtl/>
        </w:rPr>
        <w:t xml:space="preserve"> -</w:t>
      </w:r>
      <w:r w:rsidRPr="00E96FC6">
        <w:rPr>
          <w:rFonts w:cs="Arial"/>
          <w:sz w:val="16"/>
          <w:szCs w:val="16"/>
          <w:rtl/>
        </w:rPr>
        <w:t xml:space="preserve"> אינו זוכה בירושה</w:t>
      </w:r>
      <w:r w:rsidRPr="00E96FC6">
        <w:rPr>
          <w:rFonts w:cs="Arial" w:hint="cs"/>
          <w:sz w:val="16"/>
          <w:szCs w:val="16"/>
          <w:rtl/>
        </w:rPr>
        <w:t>.</w:t>
      </w:r>
      <w:r w:rsidRPr="00E96FC6">
        <w:rPr>
          <w:rFonts w:cs="Arial"/>
          <w:sz w:val="16"/>
          <w:szCs w:val="16"/>
          <w:rtl/>
        </w:rPr>
        <w:t xml:space="preserve"> ומהכא שמעינן שמי שמתה אשתו ומתוך קטטה יש בדעתו לגרשה שוב אינו יורשה</w:t>
      </w:r>
      <w:r w:rsidRPr="00E96FC6">
        <w:rPr>
          <w:rFonts w:cs="Arial" w:hint="cs"/>
          <w:sz w:val="16"/>
          <w:szCs w:val="16"/>
          <w:rtl/>
        </w:rPr>
        <w:t>.</w:t>
      </w:r>
      <w:r w:rsidRPr="00E96FC6">
        <w:rPr>
          <w:rFonts w:cs="Arial"/>
          <w:sz w:val="16"/>
          <w:szCs w:val="16"/>
          <w:rtl/>
        </w:rPr>
        <w:t xml:space="preserve"> ויש גורסין הואיל ולא נכנס עמה לבוא עליה אלא לבודקה</w:t>
      </w:r>
      <w:r w:rsidRPr="00E96FC6">
        <w:rPr>
          <w:rFonts w:cs="Arial" w:hint="cs"/>
          <w:sz w:val="16"/>
          <w:szCs w:val="16"/>
          <w:rtl/>
        </w:rPr>
        <w:t>,</w:t>
      </w:r>
      <w:r w:rsidRPr="00E96FC6">
        <w:rPr>
          <w:rFonts w:cs="Arial"/>
          <w:sz w:val="16"/>
          <w:szCs w:val="16"/>
          <w:rtl/>
        </w:rPr>
        <w:t xml:space="preserve"> ומוקי לה בארוסה</w:t>
      </w:r>
      <w:r w:rsidRPr="00E96FC6">
        <w:rPr>
          <w:rFonts w:cs="Arial" w:hint="cs"/>
          <w:sz w:val="16"/>
          <w:szCs w:val="16"/>
          <w:rtl/>
        </w:rPr>
        <w:t>.</w:t>
      </w:r>
      <w:r w:rsidRPr="00E96FC6">
        <w:rPr>
          <w:rFonts w:cs="Arial"/>
          <w:sz w:val="16"/>
          <w:szCs w:val="16"/>
          <w:rtl/>
        </w:rPr>
        <w:t xml:space="preserve"> ולא נראה לי</w:t>
      </w:r>
      <w:r w:rsidRPr="00E96FC6">
        <w:rPr>
          <w:rFonts w:cs="Arial" w:hint="cs"/>
          <w:sz w:val="16"/>
          <w:szCs w:val="16"/>
          <w:rtl/>
        </w:rPr>
        <w:t>,</w:t>
      </w:r>
      <w:r w:rsidRPr="00E96FC6">
        <w:rPr>
          <w:rFonts w:cs="Arial"/>
          <w:sz w:val="16"/>
          <w:szCs w:val="16"/>
          <w:rtl/>
        </w:rPr>
        <w:t xml:space="preserve"> דאפילו בא עליה בימי ארוסין קודם הכנסה לחופה לא ירית לה</w:t>
      </w:r>
      <w:r>
        <w:rPr>
          <w:rFonts w:cs="Arial" w:hint="cs"/>
          <w:sz w:val="14"/>
          <w:szCs w:val="14"/>
          <w:rtl/>
        </w:rPr>
        <w:t xml:space="preserve"> {ע"כ דברי רשב"ם}</w:t>
      </w:r>
      <w:r w:rsidRPr="00E96FC6">
        <w:rPr>
          <w:rFonts w:cs="Arial"/>
          <w:sz w:val="16"/>
          <w:szCs w:val="16"/>
          <w:rtl/>
        </w:rPr>
        <w:t>. וכתוב במישרים נכ"ג ח"ח (סא.) ש</w:t>
      </w:r>
      <w:r>
        <w:rPr>
          <w:rFonts w:cs="Arial" w:hint="cs"/>
          <w:sz w:val="16"/>
          <w:szCs w:val="16"/>
          <w:rtl/>
        </w:rPr>
        <w:t>ר"י</w:t>
      </w:r>
      <w:r w:rsidRPr="00E96FC6">
        <w:rPr>
          <w:rFonts w:cs="Arial"/>
          <w:sz w:val="16"/>
          <w:szCs w:val="16"/>
          <w:rtl/>
        </w:rPr>
        <w:t xml:space="preserve"> מיגא"ש (שם ד"ה תתרנית) פירש כפרשב"ם. וכתב הרא"ש (סי' טז) נראה דל"ק</w:t>
      </w:r>
      <w:r>
        <w:rPr>
          <w:rFonts w:cs="Arial" w:hint="cs"/>
          <w:sz w:val="16"/>
          <w:szCs w:val="16"/>
          <w:rtl/>
        </w:rPr>
        <w:t>,</w:t>
      </w:r>
      <w:r w:rsidRPr="00E96FC6">
        <w:rPr>
          <w:rFonts w:cs="Arial"/>
          <w:sz w:val="16"/>
          <w:szCs w:val="16"/>
          <w:rtl/>
        </w:rPr>
        <w:t xml:space="preserve"> דאמרינן בכתובות (מח:) נכנס עמה לחצר</w:t>
      </w:r>
      <w:r w:rsidRPr="00E96FC6">
        <w:rPr>
          <w:rFonts w:cs="Arial" w:hint="cs"/>
          <w:sz w:val="16"/>
          <w:szCs w:val="16"/>
          <w:rtl/>
        </w:rPr>
        <w:t>,</w:t>
      </w:r>
      <w:r w:rsidRPr="00E96FC6">
        <w:rPr>
          <w:rFonts w:cs="Arial"/>
          <w:sz w:val="16"/>
          <w:szCs w:val="16"/>
          <w:rtl/>
        </w:rPr>
        <w:t xml:space="preserve"> סתם חצר דידיה לנישואין</w:t>
      </w:r>
      <w:r w:rsidRPr="00E96FC6">
        <w:rPr>
          <w:rFonts w:cs="Arial" w:hint="cs"/>
          <w:sz w:val="16"/>
          <w:szCs w:val="16"/>
          <w:rtl/>
        </w:rPr>
        <w:t>,</w:t>
      </w:r>
      <w:r w:rsidRPr="00E96FC6">
        <w:rPr>
          <w:rFonts w:cs="Arial"/>
          <w:sz w:val="16"/>
          <w:szCs w:val="16"/>
          <w:rtl/>
        </w:rPr>
        <w:t xml:space="preserve"> וזו החורבה שלו היתה</w:t>
      </w:r>
      <w:r w:rsidRPr="00E96FC6">
        <w:rPr>
          <w:rFonts w:cs="Arial" w:hint="cs"/>
          <w:sz w:val="16"/>
          <w:szCs w:val="16"/>
          <w:rtl/>
        </w:rPr>
        <w:t>,</w:t>
      </w:r>
      <w:r w:rsidRPr="00E96FC6">
        <w:rPr>
          <w:rFonts w:cs="Arial"/>
          <w:sz w:val="16"/>
          <w:szCs w:val="16"/>
          <w:rtl/>
        </w:rPr>
        <w:t xml:space="preserve"> ונכנס עמה לבדקה</w:t>
      </w:r>
      <w:r w:rsidRPr="00E96FC6">
        <w:rPr>
          <w:rFonts w:cs="Arial" w:hint="cs"/>
          <w:sz w:val="16"/>
          <w:szCs w:val="16"/>
          <w:rtl/>
        </w:rPr>
        <w:t>,</w:t>
      </w:r>
      <w:r w:rsidRPr="00E96FC6">
        <w:rPr>
          <w:rFonts w:cs="Arial"/>
          <w:sz w:val="16"/>
          <w:szCs w:val="16"/>
          <w:rtl/>
        </w:rPr>
        <w:t xml:space="preserve"> והוא טוען שנכנס עמה לשם נישואין אם לא ימצאנה תותרנית</w:t>
      </w:r>
      <w:r w:rsidRPr="00E96FC6">
        <w:rPr>
          <w:rFonts w:cs="Arial" w:hint="cs"/>
          <w:sz w:val="16"/>
          <w:szCs w:val="16"/>
          <w:rtl/>
        </w:rPr>
        <w:t>,</w:t>
      </w:r>
      <w:r w:rsidRPr="00E96FC6">
        <w:rPr>
          <w:rFonts w:cs="Arial"/>
          <w:sz w:val="16"/>
          <w:szCs w:val="16"/>
          <w:rtl/>
        </w:rPr>
        <w:t xml:space="preserve"> ולא מצאה בעלת מום והרי היא אשתו וזכה בירושתה</w:t>
      </w:r>
      <w:r w:rsidRPr="00E96FC6">
        <w:rPr>
          <w:rFonts w:cs="Arial" w:hint="cs"/>
          <w:sz w:val="16"/>
          <w:szCs w:val="16"/>
          <w:rtl/>
        </w:rPr>
        <w:t>,</w:t>
      </w:r>
      <w:r w:rsidRPr="00E96FC6">
        <w:rPr>
          <w:rFonts w:cs="Arial"/>
          <w:sz w:val="16"/>
          <w:szCs w:val="16"/>
          <w:rtl/>
        </w:rPr>
        <w:t xml:space="preserve"> ואמרו חכמים הואיל וכניסתו היתה לבדקה לא חשבינן להך כניסה נישואין ואינו יורשה</w:t>
      </w:r>
      <w:r w:rsidRPr="00E96FC6">
        <w:rPr>
          <w:rFonts w:cs="Arial" w:hint="cs"/>
          <w:sz w:val="16"/>
          <w:szCs w:val="16"/>
          <w:rtl/>
        </w:rPr>
        <w:t>.</w:t>
      </w:r>
      <w:r w:rsidRPr="00E96FC6">
        <w:rPr>
          <w:rFonts w:cs="Arial"/>
          <w:sz w:val="16"/>
          <w:szCs w:val="16"/>
          <w:rtl/>
        </w:rPr>
        <w:t xml:space="preserve"> והשתא אין ראיה לפסק רשב"ם</w:t>
      </w:r>
      <w:r w:rsidRPr="00E96FC6">
        <w:rPr>
          <w:rFonts w:cs="Arial" w:hint="cs"/>
          <w:sz w:val="16"/>
          <w:szCs w:val="16"/>
          <w:rtl/>
        </w:rPr>
        <w:t>.</w:t>
      </w:r>
      <w:r w:rsidRPr="00E96FC6">
        <w:rPr>
          <w:rFonts w:cs="Arial"/>
          <w:sz w:val="16"/>
          <w:szCs w:val="16"/>
          <w:rtl/>
        </w:rPr>
        <w:t xml:space="preserve"> ועוד אי האי עובדא בנשואה איירי מה הוצרך ליכנס אחריה לחורבה כדי לבדקה</w:t>
      </w:r>
      <w:r w:rsidRPr="00E96FC6">
        <w:rPr>
          <w:rFonts w:cs="Arial" w:hint="cs"/>
          <w:sz w:val="16"/>
          <w:szCs w:val="16"/>
          <w:rtl/>
        </w:rPr>
        <w:t>,</w:t>
      </w:r>
      <w:r w:rsidRPr="00E96FC6">
        <w:rPr>
          <w:rFonts w:cs="Arial"/>
          <w:sz w:val="16"/>
          <w:szCs w:val="16"/>
          <w:rtl/>
        </w:rPr>
        <w:t xml:space="preserve"> למה לא בדקה בתוך ביתו ע"כ.</w:t>
      </w:r>
      <w:r w:rsidRPr="00D03DE5">
        <w:rPr>
          <w:rtl/>
        </w:rPr>
        <w:t xml:space="preserve"> </w:t>
      </w:r>
      <w:r w:rsidRPr="00D03DE5">
        <w:rPr>
          <w:rFonts w:cs="Arial"/>
          <w:sz w:val="16"/>
          <w:szCs w:val="16"/>
          <w:rtl/>
        </w:rPr>
        <w:t>והתוספות (ב"ב קמו: ד"ה נכנס) כתבו</w:t>
      </w:r>
      <w:r w:rsidRPr="00D03DE5">
        <w:rPr>
          <w:rStyle w:val="a7"/>
          <w:rFonts w:cs="Arial"/>
          <w:sz w:val="16"/>
          <w:szCs w:val="16"/>
          <w:rtl/>
        </w:rPr>
        <w:footnoteReference w:id="1973"/>
      </w:r>
      <w:r w:rsidRPr="00D03DE5">
        <w:rPr>
          <w:rFonts w:cs="Arial"/>
          <w:sz w:val="16"/>
          <w:szCs w:val="16"/>
          <w:rtl/>
        </w:rPr>
        <w:t xml:space="preserve"> כדברי הרא"ש ז"ל</w:t>
      </w:r>
      <w:r>
        <w:rPr>
          <w:rFonts w:cs="Arial" w:hint="cs"/>
          <w:sz w:val="16"/>
          <w:szCs w:val="16"/>
          <w:rtl/>
        </w:rPr>
        <w:t>.</w:t>
      </w:r>
      <w:r w:rsidRPr="00E96FC6">
        <w:rPr>
          <w:rFonts w:cs="Arial"/>
          <w:sz w:val="16"/>
          <w:szCs w:val="16"/>
          <w:rtl/>
        </w:rPr>
        <w:t xml:space="preserve"> ובסימן נ"ז כתבתי תשובת הרא"ש (כלל לז סי' א) שכתב לדחות פרשב"ם</w:t>
      </w:r>
      <w:r w:rsidRPr="00E96FC6">
        <w:rPr>
          <w:rFonts w:cs="Arial" w:hint="cs"/>
          <w:sz w:val="16"/>
          <w:szCs w:val="16"/>
          <w:rtl/>
        </w:rPr>
        <w:t>, ב"י</w:t>
      </w:r>
      <w:r>
        <w:rPr>
          <w:rFonts w:cs="Arial" w:hint="cs"/>
          <w:sz w:val="16"/>
          <w:szCs w:val="16"/>
          <w:rtl/>
        </w:rPr>
        <w:t>)</w:t>
      </w:r>
    </w:p>
    <w:p w14:paraId="09AE0008" w14:textId="77777777" w:rsidR="002E5BAD" w:rsidRPr="00237455" w:rsidRDefault="002E5BAD" w:rsidP="002E5BAD">
      <w:pPr>
        <w:rPr>
          <w:u w:val="single"/>
          <w:rtl/>
        </w:rPr>
      </w:pPr>
      <w:r w:rsidRPr="00237455">
        <w:rPr>
          <w:rFonts w:hint="cs"/>
          <w:u w:val="single"/>
          <w:rtl/>
        </w:rPr>
        <w:t xml:space="preserve">נתן דעתו לגרש את אשתו, ומתה </w:t>
      </w:r>
      <w:r w:rsidRPr="00237455">
        <w:rPr>
          <w:u w:val="single"/>
          <w:rtl/>
        </w:rPr>
        <w:t>–</w:t>
      </w:r>
      <w:r w:rsidRPr="00237455">
        <w:rPr>
          <w:rFonts w:hint="cs"/>
          <w:u w:val="single"/>
          <w:rtl/>
        </w:rPr>
        <w:t xml:space="preserve"> האם יורש אותה:</w:t>
      </w:r>
    </w:p>
    <w:p w14:paraId="7343DFB6" w14:textId="77777777" w:rsidR="002E5BAD" w:rsidRPr="00E33D5F" w:rsidRDefault="002E5BAD" w:rsidP="002E5BAD">
      <w:pPr>
        <w:pStyle w:val="ab"/>
        <w:numPr>
          <w:ilvl w:val="0"/>
          <w:numId w:val="186"/>
        </w:numPr>
      </w:pPr>
      <w:r w:rsidRPr="006262B5">
        <w:rPr>
          <w:rFonts w:cs="Arial"/>
          <w:rtl/>
        </w:rPr>
        <w:t>רשב"ם</w:t>
      </w:r>
      <w:r>
        <w:rPr>
          <w:rFonts w:cs="Arial" w:hint="cs"/>
          <w:sz w:val="16"/>
          <w:szCs w:val="16"/>
          <w:rtl/>
        </w:rPr>
        <w:t xml:space="preserve"> (קמו: ד"ה נפלה עליה)</w:t>
      </w:r>
      <w:r>
        <w:rPr>
          <w:rFonts w:cs="Arial" w:hint="cs"/>
          <w:rtl/>
        </w:rPr>
        <w:t>-</w:t>
      </w:r>
      <w:r w:rsidRPr="006262B5">
        <w:rPr>
          <w:rFonts w:cs="Arial"/>
          <w:rtl/>
        </w:rPr>
        <w:t xml:space="preserve"> אפי' אשתו נשואה שהיא עמו בקטטה ונתן עיניו לגרשה ומתה </w:t>
      </w:r>
      <w:r>
        <w:rPr>
          <w:rFonts w:cs="Arial" w:hint="cs"/>
          <w:rtl/>
        </w:rPr>
        <w:t xml:space="preserve">- </w:t>
      </w:r>
      <w:r w:rsidRPr="006262B5">
        <w:rPr>
          <w:rFonts w:cs="Arial"/>
          <w:rtl/>
        </w:rPr>
        <w:t>אינו יורשה</w:t>
      </w:r>
      <w:r>
        <w:rPr>
          <w:rFonts w:cs="Arial" w:hint="cs"/>
          <w:rtl/>
        </w:rPr>
        <w:t>.</w:t>
      </w:r>
      <w:r w:rsidRPr="006262B5">
        <w:rPr>
          <w:rFonts w:cs="Arial"/>
          <w:rtl/>
        </w:rPr>
        <w:t xml:space="preserve"> </w:t>
      </w:r>
    </w:p>
    <w:p w14:paraId="0DEA3AC9" w14:textId="77777777" w:rsidR="002E5BAD" w:rsidRPr="00347C35" w:rsidRDefault="002E5BAD" w:rsidP="002E5BAD">
      <w:pPr>
        <w:pStyle w:val="ab"/>
        <w:numPr>
          <w:ilvl w:val="0"/>
          <w:numId w:val="186"/>
        </w:numPr>
      </w:pPr>
      <w:r>
        <w:rPr>
          <w:rFonts w:cs="Arial" w:hint="cs"/>
          <w:rtl/>
        </w:rPr>
        <w:t xml:space="preserve">תוס' </w:t>
      </w:r>
      <w:r w:rsidRPr="00B30A16">
        <w:rPr>
          <w:rFonts w:cs="Arial"/>
          <w:sz w:val="16"/>
          <w:szCs w:val="16"/>
          <w:rtl/>
        </w:rPr>
        <w:t>(קמו: ד"ה נכנס)</w:t>
      </w:r>
      <w:r>
        <w:rPr>
          <w:rFonts w:cs="Arial" w:hint="cs"/>
          <w:rtl/>
        </w:rPr>
        <w:t xml:space="preserve"> מרדכי </w:t>
      </w:r>
      <w:r w:rsidRPr="00E96FC6">
        <w:rPr>
          <w:rFonts w:cs="Arial"/>
          <w:sz w:val="16"/>
          <w:szCs w:val="16"/>
          <w:rtl/>
        </w:rPr>
        <w:t>(</w:t>
      </w:r>
      <w:r>
        <w:rPr>
          <w:rFonts w:cs="Arial" w:hint="cs"/>
          <w:sz w:val="16"/>
          <w:szCs w:val="16"/>
          <w:rtl/>
        </w:rPr>
        <w:t xml:space="preserve">ב"ב </w:t>
      </w:r>
      <w:r w:rsidRPr="00E96FC6">
        <w:rPr>
          <w:rFonts w:cs="Arial"/>
          <w:sz w:val="16"/>
          <w:szCs w:val="16"/>
          <w:rtl/>
        </w:rPr>
        <w:t>סי' תריב</w:t>
      </w:r>
      <w:r>
        <w:rPr>
          <w:rFonts w:cs="Arial" w:hint="cs"/>
          <w:sz w:val="16"/>
          <w:szCs w:val="16"/>
          <w:rtl/>
        </w:rPr>
        <w:t>, כ"כ בשמו הדרכ"מ [אות ד]</w:t>
      </w:r>
      <w:r w:rsidRPr="00E96FC6">
        <w:rPr>
          <w:rFonts w:cs="Arial"/>
          <w:sz w:val="16"/>
          <w:szCs w:val="16"/>
          <w:rtl/>
        </w:rPr>
        <w:t>)</w:t>
      </w:r>
      <w:r>
        <w:rPr>
          <w:rFonts w:cs="Arial" w:hint="cs"/>
          <w:rtl/>
        </w:rPr>
        <w:t xml:space="preserve"> רא"ש </w:t>
      </w:r>
      <w:r>
        <w:rPr>
          <w:rFonts w:cs="Arial" w:hint="cs"/>
          <w:sz w:val="16"/>
          <w:szCs w:val="16"/>
          <w:rtl/>
        </w:rPr>
        <w:t>(סי' טז)</w:t>
      </w:r>
      <w:r>
        <w:rPr>
          <w:rFonts w:cs="Arial" w:hint="cs"/>
          <w:rtl/>
        </w:rPr>
        <w:t xml:space="preserve"> וטור- </w:t>
      </w:r>
      <w:r w:rsidRPr="006262B5">
        <w:rPr>
          <w:rFonts w:cs="Arial"/>
          <w:rtl/>
        </w:rPr>
        <w:t>אין הירושה נפקעת אלא בגירושין גמורים</w:t>
      </w:r>
      <w:r>
        <w:rPr>
          <w:rStyle w:val="a7"/>
          <w:rFonts w:cs="Arial"/>
          <w:rtl/>
        </w:rPr>
        <w:footnoteReference w:id="1974"/>
      </w:r>
      <w:r>
        <w:rPr>
          <w:rFonts w:cs="Arial" w:hint="cs"/>
          <w:rtl/>
        </w:rPr>
        <w:t>.</w:t>
      </w:r>
      <w:r w:rsidRPr="006262B5">
        <w:rPr>
          <w:rFonts w:cs="Arial"/>
          <w:rtl/>
        </w:rPr>
        <w:t xml:space="preserve"> </w:t>
      </w:r>
      <w:r w:rsidRPr="00B30A16">
        <w:rPr>
          <w:rFonts w:cs="Arial"/>
          <w:rtl/>
        </w:rPr>
        <w:t>אבל ודאי ארוסתו שאמרו עליה שהיא בעלת מום והכניסה לביתו לבודקה</w:t>
      </w:r>
      <w:r>
        <w:rPr>
          <w:rFonts w:cs="Arial" w:hint="cs"/>
          <w:rtl/>
        </w:rPr>
        <w:t>,</w:t>
      </w:r>
      <w:r w:rsidRPr="00B30A16">
        <w:rPr>
          <w:rFonts w:cs="Arial"/>
          <w:rtl/>
        </w:rPr>
        <w:t xml:space="preserve"> ובתוך כך מתה</w:t>
      </w:r>
      <w:r>
        <w:rPr>
          <w:rFonts w:cs="Arial" w:hint="cs"/>
          <w:rtl/>
        </w:rPr>
        <w:t>,</w:t>
      </w:r>
      <w:r w:rsidRPr="00B30A16">
        <w:rPr>
          <w:rFonts w:cs="Arial"/>
          <w:rtl/>
        </w:rPr>
        <w:t xml:space="preserve"> ואומר שלא מצא בה מום ומבקש ליורשה שאומר שהיה בדעתו בהכנסתה לביתו לשם נישואין</w:t>
      </w:r>
      <w:r>
        <w:rPr>
          <w:rFonts w:cs="Arial" w:hint="cs"/>
          <w:rtl/>
        </w:rPr>
        <w:t>,</w:t>
      </w:r>
      <w:r w:rsidRPr="00B30A16">
        <w:rPr>
          <w:rFonts w:cs="Arial"/>
          <w:rtl/>
        </w:rPr>
        <w:t xml:space="preserve"> דקי"ל סתם חצר דידיה לנישואין </w:t>
      </w:r>
      <w:r>
        <w:rPr>
          <w:rFonts w:cs="Arial" w:hint="cs"/>
          <w:rtl/>
        </w:rPr>
        <w:t xml:space="preserve">- </w:t>
      </w:r>
      <w:r w:rsidRPr="00B30A16">
        <w:rPr>
          <w:rFonts w:cs="Arial"/>
          <w:rtl/>
        </w:rPr>
        <w:t>אינו יורשה</w:t>
      </w:r>
      <w:r>
        <w:rPr>
          <w:rFonts w:cs="Arial" w:hint="cs"/>
          <w:rtl/>
        </w:rPr>
        <w:t>,</w:t>
      </w:r>
      <w:r w:rsidRPr="00B30A16">
        <w:rPr>
          <w:rFonts w:cs="Arial"/>
          <w:rtl/>
        </w:rPr>
        <w:t xml:space="preserve"> דכיון שהכניסה לבודקה לא חשבינן הך כניסה לשם נישואין</w:t>
      </w:r>
      <w:r>
        <w:rPr>
          <w:rFonts w:cs="Arial" w:hint="cs"/>
          <w:sz w:val="16"/>
          <w:szCs w:val="16"/>
          <w:rtl/>
        </w:rPr>
        <w:t xml:space="preserve"> (ל' הטור בשם הרא"ש)</w:t>
      </w:r>
      <w:r w:rsidRPr="00B30A16">
        <w:rPr>
          <w:rFonts w:cs="Arial" w:hint="cs"/>
          <w:rtl/>
        </w:rPr>
        <w:t>.</w:t>
      </w:r>
      <w:r w:rsidRPr="00CD2C4F">
        <w:rPr>
          <w:rFonts w:cs="Arial"/>
          <w:color w:val="00B0F0"/>
          <w:rtl/>
        </w:rPr>
        <w:t xml:space="preserve"> </w:t>
      </w:r>
      <w:r w:rsidRPr="00CD2C4F">
        <w:rPr>
          <w:rFonts w:hint="cs"/>
          <w:color w:val="00B0F0"/>
          <w:rtl/>
        </w:rPr>
        <w:t>(וכ"פ הרמ"א</w:t>
      </w:r>
      <w:r w:rsidRPr="00A768A7">
        <w:rPr>
          <w:rStyle w:val="a7"/>
          <w:color w:val="000000" w:themeColor="text1"/>
          <w:rtl/>
        </w:rPr>
        <w:footnoteReference w:id="1975"/>
      </w:r>
      <w:r w:rsidRPr="00CD2C4F">
        <w:rPr>
          <w:rFonts w:hint="cs"/>
          <w:color w:val="00B0F0"/>
          <w:rtl/>
        </w:rPr>
        <w:t>)</w:t>
      </w:r>
    </w:p>
    <w:p w14:paraId="6DDDF99F" w14:textId="77777777" w:rsidR="002E5BAD" w:rsidRPr="00A85F9C" w:rsidRDefault="002E5BAD" w:rsidP="002E5BAD">
      <w:pPr>
        <w:rPr>
          <w:u w:val="single"/>
        </w:rPr>
      </w:pPr>
      <w:r w:rsidRPr="00A85F9C">
        <w:rPr>
          <w:rFonts w:cs="Arial"/>
          <w:u w:val="single"/>
          <w:rtl/>
        </w:rPr>
        <w:t>הטוען על אשתו שנמצאו בה מומין ומקחו מקח טעות</w:t>
      </w:r>
      <w:r>
        <w:rPr>
          <w:rFonts w:cs="Arial" w:hint="cs"/>
          <w:u w:val="single"/>
          <w:rtl/>
        </w:rPr>
        <w:t xml:space="preserve">, ומתה </w:t>
      </w:r>
      <w:r>
        <w:rPr>
          <w:rFonts w:cs="Arial"/>
          <w:u w:val="single"/>
          <w:rtl/>
        </w:rPr>
        <w:t>–</w:t>
      </w:r>
      <w:r>
        <w:rPr>
          <w:rFonts w:cs="Arial" w:hint="cs"/>
          <w:u w:val="single"/>
          <w:rtl/>
        </w:rPr>
        <w:t xml:space="preserve"> האם יורש אותה:</w:t>
      </w:r>
      <w:r>
        <w:rPr>
          <w:rFonts w:hint="cs"/>
          <w:rtl/>
        </w:rPr>
        <w:t xml:space="preserve"> </w:t>
      </w:r>
      <w:r w:rsidRPr="00F3182B">
        <w:rPr>
          <w:rFonts w:hint="cs"/>
          <w:sz w:val="16"/>
          <w:szCs w:val="16"/>
          <w:rtl/>
        </w:rPr>
        <w:t xml:space="preserve">(דרכ"מ אות </w:t>
      </w:r>
      <w:r>
        <w:rPr>
          <w:rFonts w:hint="cs"/>
          <w:sz w:val="16"/>
          <w:szCs w:val="16"/>
          <w:rtl/>
        </w:rPr>
        <w:t>ד</w:t>
      </w:r>
      <w:r w:rsidRPr="00F3182B">
        <w:rPr>
          <w:rFonts w:hint="cs"/>
          <w:sz w:val="16"/>
          <w:szCs w:val="16"/>
          <w:rtl/>
        </w:rPr>
        <w:t>)</w:t>
      </w:r>
    </w:p>
    <w:p w14:paraId="77BE4956" w14:textId="77777777" w:rsidR="002E5BAD" w:rsidRPr="00D9440F" w:rsidRDefault="002E5BAD" w:rsidP="002E5BAD">
      <w:pPr>
        <w:pStyle w:val="ab"/>
        <w:numPr>
          <w:ilvl w:val="0"/>
          <w:numId w:val="186"/>
        </w:numPr>
        <w:rPr>
          <w:rtl/>
        </w:rPr>
      </w:pPr>
      <w:r w:rsidRPr="00347C35">
        <w:rPr>
          <w:rFonts w:cs="Arial"/>
          <w:rtl/>
        </w:rPr>
        <w:t>תשוב</w:t>
      </w:r>
      <w:r>
        <w:rPr>
          <w:rFonts w:cs="Arial" w:hint="cs"/>
          <w:rtl/>
        </w:rPr>
        <w:t>ות מיימוניות</w:t>
      </w:r>
      <w:r w:rsidRPr="00A85F9C">
        <w:rPr>
          <w:rFonts w:cs="Arial" w:hint="cs"/>
          <w:sz w:val="16"/>
          <w:szCs w:val="16"/>
          <w:rtl/>
        </w:rPr>
        <w:t xml:space="preserve"> (</w:t>
      </w:r>
      <w:r w:rsidRPr="00A85F9C">
        <w:rPr>
          <w:rFonts w:cs="Arial"/>
          <w:sz w:val="16"/>
          <w:szCs w:val="16"/>
          <w:rtl/>
        </w:rPr>
        <w:t>סוף אישות סי</w:t>
      </w:r>
      <w:r w:rsidRPr="00A85F9C">
        <w:rPr>
          <w:rFonts w:cs="Arial" w:hint="cs"/>
          <w:sz w:val="16"/>
          <w:szCs w:val="16"/>
          <w:rtl/>
        </w:rPr>
        <w:t>'</w:t>
      </w:r>
      <w:r w:rsidRPr="00A85F9C">
        <w:rPr>
          <w:rFonts w:cs="Arial"/>
          <w:sz w:val="16"/>
          <w:szCs w:val="16"/>
          <w:rtl/>
        </w:rPr>
        <w:t xml:space="preserve"> לה</w:t>
      </w:r>
      <w:r w:rsidRPr="00A85F9C">
        <w:rPr>
          <w:rFonts w:cs="Arial" w:hint="cs"/>
          <w:sz w:val="16"/>
          <w:szCs w:val="16"/>
          <w:rtl/>
        </w:rPr>
        <w:t>)</w:t>
      </w:r>
      <w:r>
        <w:rPr>
          <w:rFonts w:cs="Arial" w:hint="cs"/>
          <w:rtl/>
        </w:rPr>
        <w:t xml:space="preserve"> ומרדכי </w:t>
      </w:r>
      <w:r>
        <w:rPr>
          <w:rFonts w:cs="Arial" w:hint="cs"/>
          <w:sz w:val="16"/>
          <w:szCs w:val="16"/>
          <w:rtl/>
        </w:rPr>
        <w:t>(ב"ב סוף סי' תריב)</w:t>
      </w:r>
      <w:r>
        <w:rPr>
          <w:rFonts w:cs="Arial" w:hint="cs"/>
          <w:rtl/>
        </w:rPr>
        <w:t>-</w:t>
      </w:r>
      <w:r w:rsidRPr="00347C35">
        <w:rPr>
          <w:rFonts w:cs="Arial"/>
          <w:rtl/>
        </w:rPr>
        <w:t xml:space="preserve"> הטוען על אשתו שנמצאו בה מומין ומקחו מקח טעות</w:t>
      </w:r>
      <w:r>
        <w:rPr>
          <w:rFonts w:cs="Arial" w:hint="cs"/>
          <w:rtl/>
        </w:rPr>
        <w:t>,</w:t>
      </w:r>
      <w:r w:rsidRPr="00347C35">
        <w:rPr>
          <w:rFonts w:cs="Arial"/>
          <w:rtl/>
        </w:rPr>
        <w:t xml:space="preserve"> אם מתה</w:t>
      </w:r>
      <w:r>
        <w:rPr>
          <w:rFonts w:cs="Arial" w:hint="cs"/>
          <w:rtl/>
        </w:rPr>
        <w:t xml:space="preserve"> -</w:t>
      </w:r>
      <w:r w:rsidRPr="00347C35">
        <w:rPr>
          <w:rFonts w:cs="Arial"/>
          <w:rtl/>
        </w:rPr>
        <w:t xml:space="preserve"> אינו יורשה</w:t>
      </w:r>
      <w:r>
        <w:rPr>
          <w:rFonts w:cs="Arial" w:hint="cs"/>
          <w:sz w:val="16"/>
          <w:szCs w:val="16"/>
          <w:rtl/>
        </w:rPr>
        <w:t xml:space="preserve"> (ל' הדרכ"מ בשם התשובות מיימוניות)</w:t>
      </w:r>
      <w:r>
        <w:rPr>
          <w:rFonts w:cs="Arial" w:hint="cs"/>
          <w:rtl/>
        </w:rPr>
        <w:t>.</w:t>
      </w:r>
      <w:r w:rsidRPr="00CD2C4F">
        <w:rPr>
          <w:rFonts w:cs="Arial"/>
          <w:color w:val="00B0F0"/>
          <w:rtl/>
        </w:rPr>
        <w:t xml:space="preserve"> </w:t>
      </w:r>
      <w:r w:rsidRPr="00CD2C4F">
        <w:rPr>
          <w:rFonts w:hint="cs"/>
          <w:color w:val="00B0F0"/>
          <w:rtl/>
        </w:rPr>
        <w:t>(וכ"פ הרמ"א)</w:t>
      </w:r>
    </w:p>
    <w:p w14:paraId="5A105CC1" w14:textId="77777777" w:rsidR="002E5BAD" w:rsidRPr="00F3182B" w:rsidRDefault="002E5BAD" w:rsidP="002E5BAD">
      <w:r w:rsidRPr="00F3182B">
        <w:rPr>
          <w:rFonts w:hint="cs"/>
          <w:u w:val="single"/>
          <w:rtl/>
        </w:rPr>
        <w:t xml:space="preserve">אדם שמורד על אשתו </w:t>
      </w:r>
      <w:r w:rsidRPr="00F3182B">
        <w:rPr>
          <w:rFonts w:hint="cs"/>
          <w:sz w:val="16"/>
          <w:szCs w:val="16"/>
          <w:u w:val="single"/>
          <w:rtl/>
        </w:rPr>
        <w:t>(או מדיר אותה)</w:t>
      </w:r>
      <w:r w:rsidRPr="00F3182B">
        <w:rPr>
          <w:rFonts w:hint="cs"/>
          <w:u w:val="single"/>
          <w:rtl/>
        </w:rPr>
        <w:t xml:space="preserve"> </w:t>
      </w:r>
      <w:r>
        <w:rPr>
          <w:rFonts w:hint="cs"/>
          <w:u w:val="single"/>
          <w:rtl/>
        </w:rPr>
        <w:t xml:space="preserve">- </w:t>
      </w:r>
      <w:r w:rsidRPr="00F3182B">
        <w:rPr>
          <w:rFonts w:hint="cs"/>
          <w:u w:val="single"/>
          <w:rtl/>
        </w:rPr>
        <w:t>הם יורש אותה:</w:t>
      </w:r>
      <w:r>
        <w:rPr>
          <w:rFonts w:hint="cs"/>
          <w:rtl/>
        </w:rPr>
        <w:t xml:space="preserve"> </w:t>
      </w:r>
      <w:r w:rsidRPr="00F3182B">
        <w:rPr>
          <w:rFonts w:hint="cs"/>
          <w:sz w:val="16"/>
          <w:szCs w:val="16"/>
          <w:rtl/>
        </w:rPr>
        <w:t>(דרכ"מ אות ה)</w:t>
      </w:r>
    </w:p>
    <w:p w14:paraId="40C34356" w14:textId="77777777" w:rsidR="002E5BAD" w:rsidRPr="00347C35" w:rsidRDefault="002E5BAD" w:rsidP="002E5BAD">
      <w:pPr>
        <w:pStyle w:val="ab"/>
        <w:numPr>
          <w:ilvl w:val="0"/>
          <w:numId w:val="186"/>
        </w:numPr>
      </w:pPr>
      <w:r w:rsidRPr="00D9440F">
        <w:rPr>
          <w:rFonts w:cs="Arial"/>
          <w:rtl/>
        </w:rPr>
        <w:t>שלט</w:t>
      </w:r>
      <w:r>
        <w:rPr>
          <w:rFonts w:cs="Arial" w:hint="cs"/>
          <w:rtl/>
        </w:rPr>
        <w:t>"</w:t>
      </w:r>
      <w:r w:rsidRPr="00D9440F">
        <w:rPr>
          <w:rFonts w:cs="Arial"/>
          <w:rtl/>
        </w:rPr>
        <w:t xml:space="preserve">ג </w:t>
      </w:r>
      <w:r w:rsidRPr="00A85F9C">
        <w:rPr>
          <w:rFonts w:cs="Arial" w:hint="cs"/>
          <w:sz w:val="16"/>
          <w:szCs w:val="16"/>
          <w:rtl/>
        </w:rPr>
        <w:t>(</w:t>
      </w:r>
      <w:r w:rsidRPr="00A85F9C">
        <w:rPr>
          <w:rFonts w:cs="Arial"/>
          <w:sz w:val="16"/>
          <w:szCs w:val="16"/>
          <w:rtl/>
        </w:rPr>
        <w:t>כתובות כז: אות ב)</w:t>
      </w:r>
      <w:r>
        <w:rPr>
          <w:rFonts w:cs="Arial" w:hint="cs"/>
          <w:rtl/>
        </w:rPr>
        <w:t xml:space="preserve">- </w:t>
      </w:r>
      <w:r w:rsidRPr="00D9440F">
        <w:rPr>
          <w:rFonts w:cs="Arial"/>
          <w:rtl/>
        </w:rPr>
        <w:t xml:space="preserve">אם הוא מורד על אשתו או מדיר אשתו שדינו שיוציאה </w:t>
      </w:r>
      <w:r>
        <w:rPr>
          <w:rFonts w:cs="Arial" w:hint="cs"/>
          <w:rtl/>
        </w:rPr>
        <w:t xml:space="preserve">- </w:t>
      </w:r>
      <w:r w:rsidRPr="00D9440F">
        <w:rPr>
          <w:rFonts w:cs="Arial"/>
          <w:rtl/>
        </w:rPr>
        <w:t>אינו יורשה</w:t>
      </w:r>
      <w:r>
        <w:rPr>
          <w:rStyle w:val="a7"/>
          <w:rFonts w:cs="Arial"/>
          <w:rtl/>
        </w:rPr>
        <w:footnoteReference w:id="1976"/>
      </w:r>
      <w:r>
        <w:rPr>
          <w:rFonts w:cs="Arial" w:hint="cs"/>
          <w:rtl/>
        </w:rPr>
        <w:t>.</w:t>
      </w:r>
      <w:r w:rsidRPr="00CD2C4F">
        <w:rPr>
          <w:rFonts w:cs="Arial"/>
          <w:color w:val="00B0F0"/>
          <w:rtl/>
        </w:rPr>
        <w:t xml:space="preserve"> </w:t>
      </w:r>
      <w:r w:rsidRPr="00CD2C4F">
        <w:rPr>
          <w:rFonts w:hint="cs"/>
          <w:color w:val="00B0F0"/>
          <w:rtl/>
        </w:rPr>
        <w:t>(וכ"</w:t>
      </w:r>
      <w:r>
        <w:rPr>
          <w:rFonts w:hint="cs"/>
          <w:color w:val="00B0F0"/>
          <w:rtl/>
        </w:rPr>
        <w:t>כ</w:t>
      </w:r>
      <w:r w:rsidRPr="00CD2C4F">
        <w:rPr>
          <w:rFonts w:hint="cs"/>
          <w:color w:val="00B0F0"/>
          <w:rtl/>
        </w:rPr>
        <w:t xml:space="preserve"> הרמ"א)</w:t>
      </w:r>
    </w:p>
    <w:p w14:paraId="1DFB1150" w14:textId="77777777" w:rsidR="002E5BAD" w:rsidRDefault="002E5BAD" w:rsidP="002E5BAD">
      <w:pPr>
        <w:rPr>
          <w:rFonts w:cs="Arial"/>
          <w:rtl/>
        </w:rPr>
      </w:pPr>
      <w:r w:rsidRPr="003024E5">
        <w:rPr>
          <w:rFonts w:asciiTheme="minorBidi" w:hAnsiTheme="minorBidi"/>
          <w:b/>
          <w:bCs/>
          <w:color w:val="000000"/>
          <w:sz w:val="28"/>
          <w:szCs w:val="28"/>
          <w:u w:val="single"/>
          <w:rtl/>
        </w:rPr>
        <w:lastRenderedPageBreak/>
        <w:t>שו"ע:</w:t>
      </w:r>
    </w:p>
    <w:p w14:paraId="43D3E016" w14:textId="77777777" w:rsidR="002E5BAD" w:rsidRDefault="002E5BAD" w:rsidP="002E5BAD">
      <w:pPr>
        <w:rPr>
          <w:rFonts w:cs="Arial"/>
          <w:rtl/>
        </w:rPr>
      </w:pPr>
      <w:r w:rsidRPr="00EB79BF">
        <w:rPr>
          <w:rFonts w:cs="Arial"/>
          <w:rtl/>
        </w:rPr>
        <w:t xml:space="preserve">מי שנתגרשה ספק גרושין, ומתה, אין הבעל יורשה. </w:t>
      </w:r>
      <w:r w:rsidRPr="00FA43C3">
        <w:rPr>
          <w:rFonts w:cs="Arial"/>
          <w:sz w:val="18"/>
          <w:szCs w:val="18"/>
          <w:rtl/>
        </w:rPr>
        <w:t>הגה: אבל כל זמן שלא נתגרשה, אע</w:t>
      </w:r>
      <w:r>
        <w:rPr>
          <w:rFonts w:cs="Arial" w:hint="cs"/>
          <w:sz w:val="18"/>
          <w:szCs w:val="18"/>
          <w:rtl/>
        </w:rPr>
        <w:t>"</w:t>
      </w:r>
      <w:r w:rsidRPr="00FA43C3">
        <w:rPr>
          <w:rFonts w:cs="Arial"/>
          <w:sz w:val="18"/>
          <w:szCs w:val="18"/>
          <w:rtl/>
        </w:rPr>
        <w:t>ג שנתן עיניו לגרש, יורשה</w:t>
      </w:r>
      <w:r>
        <w:rPr>
          <w:rStyle w:val="a7"/>
          <w:rFonts w:cs="Arial"/>
          <w:sz w:val="18"/>
          <w:szCs w:val="18"/>
          <w:rtl/>
        </w:rPr>
        <w:footnoteReference w:id="1977"/>
      </w:r>
      <w:r w:rsidRPr="00FA43C3">
        <w:rPr>
          <w:rFonts w:cs="Arial"/>
          <w:sz w:val="18"/>
          <w:szCs w:val="18"/>
          <w:rtl/>
        </w:rPr>
        <w:t xml:space="preserve"> (טור בשם הרא"ש). הטוען על אשתו שהיו בה מומין ומקחו מקח טעות</w:t>
      </w:r>
      <w:r>
        <w:rPr>
          <w:rStyle w:val="a7"/>
          <w:rFonts w:cs="Arial"/>
          <w:sz w:val="18"/>
          <w:szCs w:val="18"/>
          <w:rtl/>
        </w:rPr>
        <w:footnoteReference w:id="1978"/>
      </w:r>
      <w:r w:rsidRPr="00FA43C3">
        <w:rPr>
          <w:rFonts w:cs="Arial"/>
          <w:sz w:val="18"/>
          <w:szCs w:val="18"/>
          <w:rtl/>
        </w:rPr>
        <w:t>, כמו שנתבאר לעיל סי</w:t>
      </w:r>
      <w:r>
        <w:rPr>
          <w:rFonts w:cs="Arial" w:hint="cs"/>
          <w:sz w:val="18"/>
          <w:szCs w:val="18"/>
          <w:rtl/>
        </w:rPr>
        <w:t>'</w:t>
      </w:r>
      <w:r w:rsidRPr="00FA43C3">
        <w:rPr>
          <w:rFonts w:cs="Arial"/>
          <w:sz w:val="18"/>
          <w:szCs w:val="18"/>
          <w:rtl/>
        </w:rPr>
        <w:t xml:space="preserve"> ל"ט, אם מתה אינו יורשה (תשו</w:t>
      </w:r>
      <w:r>
        <w:rPr>
          <w:rFonts w:cs="Arial" w:hint="cs"/>
          <w:sz w:val="18"/>
          <w:szCs w:val="18"/>
          <w:rtl/>
        </w:rPr>
        <w:t>'</w:t>
      </w:r>
      <w:r w:rsidRPr="00FA43C3">
        <w:rPr>
          <w:rFonts w:cs="Arial"/>
          <w:sz w:val="18"/>
          <w:szCs w:val="18"/>
          <w:rtl/>
        </w:rPr>
        <w:t xml:space="preserve"> מיי</w:t>
      </w:r>
      <w:r>
        <w:rPr>
          <w:rFonts w:cs="Arial" w:hint="cs"/>
          <w:sz w:val="18"/>
          <w:szCs w:val="18"/>
          <w:rtl/>
        </w:rPr>
        <w:t>מוניות</w:t>
      </w:r>
      <w:r w:rsidRPr="00FA43C3">
        <w:rPr>
          <w:rFonts w:cs="Arial"/>
          <w:sz w:val="18"/>
          <w:szCs w:val="18"/>
          <w:rtl/>
        </w:rPr>
        <w:t xml:space="preserve"> ומרדכי). אשה שמרדה בבעלה ומתה, בעלה יורשה (כ</w:t>
      </w:r>
      <w:r>
        <w:rPr>
          <w:rFonts w:cs="Arial" w:hint="cs"/>
          <w:sz w:val="18"/>
          <w:szCs w:val="18"/>
          <w:rtl/>
        </w:rPr>
        <w:t>"</w:t>
      </w:r>
      <w:r w:rsidRPr="00FA43C3">
        <w:rPr>
          <w:rFonts w:cs="Arial"/>
          <w:sz w:val="18"/>
          <w:szCs w:val="18"/>
          <w:rtl/>
        </w:rPr>
        <w:t>מ מל' ה</w:t>
      </w:r>
      <w:r>
        <w:rPr>
          <w:rFonts w:cs="Arial" w:hint="cs"/>
          <w:sz w:val="18"/>
          <w:szCs w:val="18"/>
          <w:rtl/>
        </w:rPr>
        <w:t>ה</w:t>
      </w:r>
      <w:r w:rsidRPr="00FA43C3">
        <w:rPr>
          <w:rFonts w:cs="Arial"/>
          <w:sz w:val="18"/>
          <w:szCs w:val="18"/>
          <w:rtl/>
        </w:rPr>
        <w:t>"מ), וע"ל סימן ע"ז. המורד על אשתו או מדירה ואינו נוהג עמה מנהג אישות</w:t>
      </w:r>
      <w:r>
        <w:rPr>
          <w:rStyle w:val="a7"/>
          <w:rFonts w:cs="Arial"/>
          <w:sz w:val="18"/>
          <w:szCs w:val="18"/>
          <w:rtl/>
        </w:rPr>
        <w:footnoteReference w:id="1979"/>
      </w:r>
      <w:r w:rsidRPr="00FA43C3">
        <w:rPr>
          <w:rFonts w:cs="Arial"/>
          <w:sz w:val="18"/>
          <w:szCs w:val="18"/>
          <w:rtl/>
        </w:rPr>
        <w:t>, י"א דאם מתה אינו יורשה (</w:t>
      </w:r>
      <w:r>
        <w:rPr>
          <w:rFonts w:cs="Arial" w:hint="cs"/>
          <w:sz w:val="18"/>
          <w:szCs w:val="18"/>
          <w:rtl/>
        </w:rPr>
        <w:t>שלט"ג</w:t>
      </w:r>
      <w:r w:rsidRPr="00FA43C3">
        <w:rPr>
          <w:rFonts w:cs="Arial"/>
          <w:sz w:val="18"/>
          <w:szCs w:val="18"/>
          <w:rtl/>
        </w:rPr>
        <w:t>).</w:t>
      </w:r>
      <w:r w:rsidRPr="00EB79BF">
        <w:rPr>
          <w:rFonts w:cs="Arial"/>
          <w:rtl/>
        </w:rPr>
        <w:t xml:space="preserve"> </w:t>
      </w:r>
    </w:p>
    <w:p w14:paraId="32488469" w14:textId="77777777" w:rsidR="002E5BAD" w:rsidRPr="00EB79BF" w:rsidRDefault="002E5BAD" w:rsidP="002E5BAD">
      <w:pPr>
        <w:rPr>
          <w:rFonts w:cs="Arial"/>
          <w:rtl/>
        </w:rPr>
      </w:pPr>
    </w:p>
    <w:p w14:paraId="230C7083" w14:textId="77777777" w:rsidR="002E5BAD" w:rsidRDefault="002E5BAD" w:rsidP="002E5BAD">
      <w:pPr>
        <w:pStyle w:val="2"/>
        <w:rPr>
          <w:rtl/>
        </w:rPr>
      </w:pPr>
      <w:r w:rsidRPr="00EB79BF">
        <w:rPr>
          <w:rtl/>
        </w:rPr>
        <w:t>סעיף ו</w:t>
      </w:r>
      <w:r>
        <w:rPr>
          <w:rFonts w:hint="cs"/>
          <w:rtl/>
        </w:rPr>
        <w:t xml:space="preserve">: </w:t>
      </w:r>
      <w:r w:rsidRPr="00EB79BF">
        <w:rPr>
          <w:rFonts w:cs="Arial"/>
          <w:rtl/>
        </w:rPr>
        <w:t>נפל הבית עליו ועל אשתו</w:t>
      </w:r>
      <w:r>
        <w:rPr>
          <w:rFonts w:cs="Arial" w:hint="cs"/>
          <w:rtl/>
        </w:rPr>
        <w:t>,</w:t>
      </w:r>
      <w:r w:rsidRPr="00EB79BF">
        <w:rPr>
          <w:rFonts w:cs="Arial"/>
          <w:rtl/>
        </w:rPr>
        <w:t xml:space="preserve"> </w:t>
      </w:r>
      <w:r>
        <w:rPr>
          <w:rFonts w:cs="Arial" w:hint="cs"/>
          <w:rtl/>
        </w:rPr>
        <w:t>ולא ידוע מי מת קודם</w:t>
      </w:r>
      <w:r w:rsidRPr="00EB79BF">
        <w:rPr>
          <w:rFonts w:cs="Arial"/>
          <w:rtl/>
        </w:rPr>
        <w:t>, ואין לו בנים ממנה</w:t>
      </w:r>
      <w:r>
        <w:rPr>
          <w:rFonts w:cs="Arial" w:hint="cs"/>
          <w:rtl/>
        </w:rPr>
        <w:t>.</w:t>
      </w:r>
    </w:p>
    <w:p w14:paraId="2F450631" w14:textId="77777777" w:rsidR="002E5BAD" w:rsidRPr="007B4753" w:rsidRDefault="002E5BAD" w:rsidP="002E5BAD">
      <w:pPr>
        <w:rPr>
          <w:rtl/>
        </w:rPr>
      </w:pPr>
      <w:r w:rsidRPr="004E510F">
        <w:rPr>
          <w:rFonts w:cs="Arial"/>
          <w:b/>
          <w:bCs/>
          <w:rtl/>
        </w:rPr>
        <w:t xml:space="preserve">בבא בתרא </w:t>
      </w:r>
      <w:r w:rsidRPr="00BD74BB">
        <w:rPr>
          <w:rFonts w:cs="Arial" w:hint="cs"/>
          <w:b/>
          <w:bCs/>
          <w:sz w:val="16"/>
          <w:szCs w:val="16"/>
          <w:rtl/>
        </w:rPr>
        <w:t>(פ' מי שמת)</w:t>
      </w:r>
      <w:r w:rsidRPr="004E510F">
        <w:rPr>
          <w:rFonts w:cs="Arial" w:hint="cs"/>
          <w:b/>
          <w:bCs/>
          <w:rtl/>
        </w:rPr>
        <w:t xml:space="preserve"> </w:t>
      </w:r>
      <w:r w:rsidRPr="004E510F">
        <w:rPr>
          <w:rFonts w:cs="Arial"/>
          <w:b/>
          <w:bCs/>
          <w:rtl/>
        </w:rPr>
        <w:t>קנח ע</w:t>
      </w:r>
      <w:r w:rsidRPr="004E510F">
        <w:rPr>
          <w:rFonts w:cs="Arial" w:hint="cs"/>
          <w:b/>
          <w:bCs/>
          <w:rtl/>
        </w:rPr>
        <w:t>"א:</w:t>
      </w:r>
      <w:r w:rsidRPr="004E510F">
        <w:rPr>
          <w:rFonts w:cs="Arial"/>
          <w:rtl/>
        </w:rPr>
        <w:t xml:space="preserve"> </w:t>
      </w:r>
      <w:r w:rsidRPr="004E510F">
        <w:rPr>
          <w:rFonts w:cs="Arial"/>
          <w:u w:val="double"/>
          <w:rtl/>
        </w:rPr>
        <w:t>מתני'</w:t>
      </w:r>
      <w:r>
        <w:rPr>
          <w:rFonts w:cs="Arial" w:hint="cs"/>
          <w:rtl/>
        </w:rPr>
        <w:t>:</w:t>
      </w:r>
      <w:r w:rsidRPr="004E510F">
        <w:rPr>
          <w:rFonts w:cs="Arial"/>
          <w:rtl/>
        </w:rPr>
        <w:t xml:space="preserve"> נפל הבית עליו ועל אשתו, יורשי הבעל אומרים: אשה מתה ראשון ואחר כך מת הבעל, יורשי אשה אומרים: בעל מת ראשון ואחר כך מתה אשה</w:t>
      </w:r>
      <w:r>
        <w:rPr>
          <w:rFonts w:cs="Arial" w:hint="cs"/>
          <w:rtl/>
        </w:rPr>
        <w:t>,</w:t>
      </w:r>
      <w:r w:rsidRPr="004E510F">
        <w:rPr>
          <w:rFonts w:cs="Arial"/>
          <w:rtl/>
        </w:rPr>
        <w:t xml:space="preserve"> </w:t>
      </w:r>
      <w:r w:rsidRPr="00BD74BB">
        <w:rPr>
          <w:rFonts w:cs="Arial"/>
          <w:u w:val="single"/>
          <w:rtl/>
        </w:rPr>
        <w:t>בית שמאי אומרים</w:t>
      </w:r>
      <w:r w:rsidRPr="004E510F">
        <w:rPr>
          <w:rFonts w:cs="Arial"/>
          <w:rtl/>
        </w:rPr>
        <w:t>: יחלוקו</w:t>
      </w:r>
      <w:r>
        <w:rPr>
          <w:rFonts w:cs="Arial" w:hint="cs"/>
          <w:rtl/>
        </w:rPr>
        <w:t>.</w:t>
      </w:r>
      <w:r w:rsidRPr="004E510F">
        <w:rPr>
          <w:rFonts w:cs="Arial"/>
          <w:rtl/>
        </w:rPr>
        <w:t xml:space="preserve"> </w:t>
      </w:r>
      <w:r w:rsidRPr="00BD74BB">
        <w:rPr>
          <w:rFonts w:cs="Arial"/>
          <w:u w:val="single"/>
          <w:rtl/>
        </w:rPr>
        <w:t>ובית הלל אומרים</w:t>
      </w:r>
      <w:r w:rsidRPr="004E510F">
        <w:rPr>
          <w:rFonts w:cs="Arial"/>
          <w:rtl/>
        </w:rPr>
        <w:t>: נכסים</w:t>
      </w:r>
      <w:r>
        <w:rPr>
          <w:rStyle w:val="a7"/>
          <w:rFonts w:cs="Arial"/>
          <w:rtl/>
        </w:rPr>
        <w:footnoteReference w:id="1980"/>
      </w:r>
      <w:r w:rsidRPr="004E510F">
        <w:rPr>
          <w:rFonts w:cs="Arial"/>
          <w:rtl/>
        </w:rPr>
        <w:t xml:space="preserve"> </w:t>
      </w:r>
      <w:r>
        <w:rPr>
          <w:rFonts w:cs="Arial" w:hint="cs"/>
          <w:rtl/>
        </w:rPr>
        <w:t xml:space="preserve">- </w:t>
      </w:r>
      <w:r w:rsidRPr="004E510F">
        <w:rPr>
          <w:rFonts w:cs="Arial"/>
          <w:rtl/>
        </w:rPr>
        <w:t>בחזקתן</w:t>
      </w:r>
      <w:r>
        <w:rPr>
          <w:rFonts w:cs="Arial" w:hint="cs"/>
          <w:rtl/>
        </w:rPr>
        <w:t>.</w:t>
      </w:r>
      <w:r w:rsidRPr="004E510F">
        <w:rPr>
          <w:rFonts w:cs="Arial"/>
          <w:rtl/>
        </w:rPr>
        <w:t xml:space="preserve"> כתובה</w:t>
      </w:r>
      <w:r>
        <w:rPr>
          <w:rStyle w:val="a7"/>
          <w:rFonts w:cs="Arial"/>
          <w:rtl/>
        </w:rPr>
        <w:footnoteReference w:id="1981"/>
      </w:r>
      <w:r w:rsidRPr="004E510F">
        <w:rPr>
          <w:rFonts w:cs="Arial"/>
          <w:rtl/>
        </w:rPr>
        <w:t xml:space="preserve"> - בחזקת יורשי הבעל</w:t>
      </w:r>
      <w:r>
        <w:rPr>
          <w:rFonts w:cs="Arial" w:hint="cs"/>
          <w:rtl/>
        </w:rPr>
        <w:t>.</w:t>
      </w:r>
      <w:r w:rsidRPr="004E510F">
        <w:rPr>
          <w:rFonts w:cs="Arial"/>
          <w:rtl/>
        </w:rPr>
        <w:t xml:space="preserve"> נכסים הנכנסין והיוצאין עמה</w:t>
      </w:r>
      <w:r>
        <w:rPr>
          <w:rStyle w:val="a7"/>
          <w:rFonts w:cs="Arial"/>
          <w:rtl/>
        </w:rPr>
        <w:footnoteReference w:id="1982"/>
      </w:r>
      <w:r w:rsidRPr="004E510F">
        <w:rPr>
          <w:rFonts w:cs="Arial"/>
          <w:rtl/>
        </w:rPr>
        <w:t xml:space="preserve"> - בחזקת יורשי האב</w:t>
      </w:r>
      <w:r>
        <w:rPr>
          <w:rStyle w:val="a7"/>
          <w:rFonts w:cs="Arial"/>
          <w:rtl/>
        </w:rPr>
        <w:footnoteReference w:id="1983"/>
      </w:r>
      <w:r w:rsidRPr="004E510F">
        <w:rPr>
          <w:rFonts w:cs="Arial"/>
          <w:rtl/>
        </w:rPr>
        <w:t>.</w:t>
      </w:r>
      <w:r>
        <w:rPr>
          <w:rFonts w:hint="cs"/>
          <w:rtl/>
        </w:rPr>
        <w:t xml:space="preserve">     </w:t>
      </w:r>
      <w:r w:rsidRPr="00BD74BB">
        <w:rPr>
          <w:rtl/>
        </w:rPr>
        <w:t xml:space="preserve"> </w:t>
      </w:r>
      <w:r w:rsidRPr="00BD74BB">
        <w:rPr>
          <w:rFonts w:cs="Arial"/>
          <w:u w:val="double"/>
          <w:rtl/>
        </w:rPr>
        <w:t>גמ'</w:t>
      </w:r>
      <w:r>
        <w:rPr>
          <w:rFonts w:cs="Arial" w:hint="cs"/>
          <w:u w:val="double"/>
          <w:rtl/>
        </w:rPr>
        <w:t xml:space="preserve"> </w:t>
      </w:r>
      <w:r>
        <w:rPr>
          <w:rFonts w:cs="Arial" w:hint="cs"/>
          <w:sz w:val="14"/>
          <w:szCs w:val="14"/>
          <w:u w:val="double"/>
          <w:rtl/>
        </w:rPr>
        <w:t>(קנח:)</w:t>
      </w:r>
      <w:r w:rsidRPr="00BD74BB">
        <w:rPr>
          <w:rFonts w:cs="Arial" w:hint="cs"/>
          <w:u w:val="double"/>
          <w:rtl/>
        </w:rPr>
        <w:t>:</w:t>
      </w:r>
      <w:r w:rsidRPr="00BD74BB">
        <w:rPr>
          <w:rFonts w:cs="Arial"/>
          <w:rtl/>
        </w:rPr>
        <w:t xml:space="preserve"> בחזקת מי? </w:t>
      </w:r>
      <w:r w:rsidRPr="00BD74BB">
        <w:rPr>
          <w:rFonts w:cs="Arial"/>
          <w:u w:val="single"/>
          <w:rtl/>
        </w:rPr>
        <w:t>ר' יוחנן אמר</w:t>
      </w:r>
      <w:r w:rsidRPr="00BD74BB">
        <w:rPr>
          <w:rFonts w:cs="Arial"/>
          <w:rtl/>
        </w:rPr>
        <w:t>: בחזקת יורשי הבעל</w:t>
      </w:r>
      <w:r>
        <w:rPr>
          <w:rFonts w:cs="Arial" w:hint="cs"/>
          <w:rtl/>
        </w:rPr>
        <w:t>.</w:t>
      </w:r>
      <w:r w:rsidRPr="00BD74BB">
        <w:rPr>
          <w:rFonts w:cs="Arial"/>
          <w:rtl/>
        </w:rPr>
        <w:t xml:space="preserve"> </w:t>
      </w:r>
      <w:r w:rsidRPr="00BD74BB">
        <w:rPr>
          <w:rFonts w:cs="Arial"/>
          <w:u w:val="single"/>
          <w:rtl/>
        </w:rPr>
        <w:t>ור' אלעזר אמר</w:t>
      </w:r>
      <w:r w:rsidRPr="00BD74BB">
        <w:rPr>
          <w:rFonts w:cs="Arial"/>
          <w:rtl/>
        </w:rPr>
        <w:t>: בחזקת יורשי האשה</w:t>
      </w:r>
      <w:r>
        <w:rPr>
          <w:rFonts w:cs="Arial" w:hint="cs"/>
          <w:rtl/>
        </w:rPr>
        <w:t>.</w:t>
      </w:r>
      <w:r w:rsidRPr="00BD74BB">
        <w:rPr>
          <w:rFonts w:cs="Arial"/>
          <w:rtl/>
        </w:rPr>
        <w:t xml:space="preserve"> </w:t>
      </w:r>
      <w:r w:rsidRPr="00BD74BB">
        <w:rPr>
          <w:rFonts w:cs="Arial"/>
          <w:u w:val="single"/>
          <w:rtl/>
        </w:rPr>
        <w:t>ור' שמעון בן לקיש משום בר קפרא אמר</w:t>
      </w:r>
      <w:r w:rsidRPr="00BD74BB">
        <w:rPr>
          <w:rFonts w:cs="Arial"/>
          <w:rtl/>
        </w:rPr>
        <w:t xml:space="preserve">: יחלוקו. </w:t>
      </w:r>
      <w:r w:rsidRPr="00BD74BB">
        <w:rPr>
          <w:rFonts w:cs="Arial"/>
          <w:u w:val="single"/>
          <w:rtl/>
        </w:rPr>
        <w:t>וכן תני בר קפרא</w:t>
      </w:r>
      <w:r w:rsidRPr="00BD74BB">
        <w:rPr>
          <w:rFonts w:cs="Arial"/>
          <w:rtl/>
        </w:rPr>
        <w:t>: הואיל והללו באין לירש והללו באין לירש - יחלוקו.</w:t>
      </w:r>
      <w:r w:rsidRPr="007C72E9">
        <w:rPr>
          <w:rFonts w:hint="cs"/>
          <w:sz w:val="16"/>
          <w:szCs w:val="16"/>
          <w:rtl/>
        </w:rPr>
        <w:t xml:space="preserve"> (</w:t>
      </w:r>
      <w:r>
        <w:rPr>
          <w:rFonts w:hint="cs"/>
          <w:sz w:val="16"/>
          <w:szCs w:val="16"/>
          <w:rtl/>
        </w:rPr>
        <w:t>ו</w:t>
      </w:r>
      <w:r w:rsidRPr="007B4753">
        <w:rPr>
          <w:rFonts w:cs="Arial"/>
          <w:sz w:val="16"/>
          <w:szCs w:val="16"/>
          <w:rtl/>
        </w:rPr>
        <w:t>פסק הרי"ף (עד:) והרא"ש (סי' לט) והרמב"ם (נחלות פ"ה ה"ו) כבר קפרא</w:t>
      </w:r>
      <w:r w:rsidRPr="007B4753">
        <w:rPr>
          <w:rFonts w:cs="Arial" w:hint="cs"/>
          <w:sz w:val="16"/>
          <w:szCs w:val="16"/>
          <w:rtl/>
        </w:rPr>
        <w:t>, ב"י)</w:t>
      </w:r>
    </w:p>
    <w:p w14:paraId="060B4CE9" w14:textId="77777777" w:rsidR="002E5BAD" w:rsidRPr="00B90A53" w:rsidRDefault="002E5BAD" w:rsidP="002E5BAD">
      <w:pPr>
        <w:rPr>
          <w:u w:val="single"/>
          <w:rtl/>
        </w:rPr>
      </w:pPr>
      <w:r w:rsidRPr="00B90A53">
        <w:rPr>
          <w:rFonts w:cs="Arial"/>
          <w:u w:val="single"/>
          <w:rtl/>
        </w:rPr>
        <w:t>נפל הבית עליו ועל אשתו</w:t>
      </w:r>
      <w:r w:rsidRPr="00B90A53">
        <w:rPr>
          <w:rFonts w:cs="Arial" w:hint="cs"/>
          <w:u w:val="single"/>
          <w:rtl/>
        </w:rPr>
        <w:t>,</w:t>
      </w:r>
      <w:r w:rsidRPr="00B90A53">
        <w:rPr>
          <w:rFonts w:cs="Arial"/>
          <w:u w:val="single"/>
          <w:rtl/>
        </w:rPr>
        <w:t xml:space="preserve"> </w:t>
      </w:r>
      <w:r w:rsidRPr="00B90A53">
        <w:rPr>
          <w:rFonts w:cs="Arial" w:hint="cs"/>
          <w:u w:val="single"/>
          <w:rtl/>
        </w:rPr>
        <w:t>ולא ידוע מי מת קודם</w:t>
      </w:r>
      <w:r w:rsidRPr="00B90A53">
        <w:rPr>
          <w:rFonts w:cs="Arial"/>
          <w:u w:val="single"/>
          <w:rtl/>
        </w:rPr>
        <w:t>, ואין לו בנים ממנה</w:t>
      </w:r>
      <w:r w:rsidRPr="00B90A53">
        <w:rPr>
          <w:rFonts w:hint="cs"/>
          <w:u w:val="single"/>
          <w:rtl/>
        </w:rPr>
        <w:t>:</w:t>
      </w:r>
    </w:p>
    <w:p w14:paraId="7A924894" w14:textId="77777777" w:rsidR="002E5BAD" w:rsidRPr="006262B5" w:rsidRDefault="002E5BAD" w:rsidP="002E5BAD">
      <w:pPr>
        <w:pStyle w:val="ab"/>
        <w:numPr>
          <w:ilvl w:val="0"/>
          <w:numId w:val="186"/>
        </w:numPr>
        <w:rPr>
          <w:rtl/>
        </w:rPr>
      </w:pPr>
      <w:r w:rsidRPr="004D3B08">
        <w:rPr>
          <w:rFonts w:cs="Arial" w:hint="cs"/>
          <w:rtl/>
        </w:rPr>
        <w:t xml:space="preserve">טור- </w:t>
      </w:r>
      <w:r w:rsidRPr="004D3B08">
        <w:rPr>
          <w:rFonts w:cs="Arial"/>
          <w:rtl/>
        </w:rPr>
        <w:t>נפל הבית עליו ועל אשתו ואין ידוע איזה מת תחילה ואין לו בנים ממנה</w:t>
      </w:r>
      <w:r>
        <w:rPr>
          <w:rFonts w:cs="Arial" w:hint="cs"/>
          <w:rtl/>
        </w:rPr>
        <w:t>.</w:t>
      </w:r>
      <w:r w:rsidRPr="004D3B08">
        <w:rPr>
          <w:rFonts w:cs="Arial"/>
          <w:rtl/>
        </w:rPr>
        <w:t xml:space="preserve"> יורשי הבעל אומרים היא מתה תחילה</w:t>
      </w:r>
      <w:r>
        <w:rPr>
          <w:rFonts w:cs="Arial" w:hint="cs"/>
          <w:rtl/>
        </w:rPr>
        <w:t>,</w:t>
      </w:r>
      <w:r w:rsidRPr="004D3B08">
        <w:rPr>
          <w:rFonts w:cs="Arial"/>
          <w:rtl/>
        </w:rPr>
        <w:t xml:space="preserve"> וירשה</w:t>
      </w:r>
      <w:r>
        <w:rPr>
          <w:rFonts w:cs="Arial" w:hint="cs"/>
          <w:rtl/>
        </w:rPr>
        <w:t>,</w:t>
      </w:r>
      <w:r w:rsidRPr="004D3B08">
        <w:rPr>
          <w:rFonts w:cs="Arial"/>
          <w:rtl/>
        </w:rPr>
        <w:t xml:space="preserve"> ואנו נירשנו</w:t>
      </w:r>
      <w:r>
        <w:rPr>
          <w:rFonts w:cs="Arial" w:hint="cs"/>
          <w:rtl/>
        </w:rPr>
        <w:t>.</w:t>
      </w:r>
      <w:r w:rsidRPr="004D3B08">
        <w:rPr>
          <w:rFonts w:cs="Arial"/>
          <w:rtl/>
        </w:rPr>
        <w:t xml:space="preserve"> ויורשי האשה אומרים הבעל מת תחילה</w:t>
      </w:r>
      <w:r>
        <w:rPr>
          <w:rFonts w:cs="Arial" w:hint="cs"/>
          <w:rtl/>
        </w:rPr>
        <w:t>,</w:t>
      </w:r>
      <w:r w:rsidRPr="004D3B08">
        <w:rPr>
          <w:rFonts w:cs="Arial"/>
          <w:rtl/>
        </w:rPr>
        <w:t xml:space="preserve"> וזכתה בכתובתה ונדוניתה</w:t>
      </w:r>
      <w:r>
        <w:rPr>
          <w:rFonts w:cs="Arial" w:hint="cs"/>
          <w:rtl/>
        </w:rPr>
        <w:t>,</w:t>
      </w:r>
      <w:r w:rsidRPr="004D3B08">
        <w:rPr>
          <w:rFonts w:cs="Arial"/>
          <w:rtl/>
        </w:rPr>
        <w:t xml:space="preserve"> ואנו נירש אותה</w:t>
      </w:r>
      <w:r>
        <w:rPr>
          <w:rFonts w:cs="Arial" w:hint="cs"/>
          <w:rtl/>
        </w:rPr>
        <w:t>.</w:t>
      </w:r>
      <w:r w:rsidRPr="004D3B08">
        <w:rPr>
          <w:rFonts w:cs="Arial"/>
          <w:rtl/>
        </w:rPr>
        <w:t xml:space="preserve"> וכגון שייחד לה נכסים לכתובתה שאינה צריכה לישבע</w:t>
      </w:r>
      <w:r>
        <w:rPr>
          <w:rStyle w:val="a7"/>
          <w:rFonts w:cs="Arial"/>
          <w:rtl/>
        </w:rPr>
        <w:footnoteReference w:id="1984"/>
      </w:r>
      <w:r>
        <w:rPr>
          <w:rFonts w:cs="Arial" w:hint="cs"/>
          <w:rtl/>
        </w:rPr>
        <w:t>,</w:t>
      </w:r>
      <w:r w:rsidRPr="004D3B08">
        <w:rPr>
          <w:rFonts w:cs="Arial"/>
          <w:rtl/>
        </w:rPr>
        <w:t xml:space="preserve"> דאם לא כן אפילו מת הבעל תחילה אין יורשין כתובתה</w:t>
      </w:r>
      <w:r>
        <w:rPr>
          <w:rFonts w:cs="Arial" w:hint="cs"/>
          <w:rtl/>
        </w:rPr>
        <w:t>.</w:t>
      </w:r>
      <w:r w:rsidRPr="004D3B08">
        <w:rPr>
          <w:rFonts w:cs="Arial"/>
          <w:rtl/>
        </w:rPr>
        <w:t xml:space="preserve"> יורשי הבעל יורשים עיקר הכתובה והתוספת</w:t>
      </w:r>
      <w:r>
        <w:rPr>
          <w:rFonts w:cs="Arial" w:hint="cs"/>
          <w:rtl/>
        </w:rPr>
        <w:t>,</w:t>
      </w:r>
      <w:r w:rsidRPr="004D3B08">
        <w:rPr>
          <w:rFonts w:cs="Arial"/>
          <w:rtl/>
        </w:rPr>
        <w:t xml:space="preserve"> ויורשי האשה יורשים נכסי מלוג שלה</w:t>
      </w:r>
      <w:r>
        <w:rPr>
          <w:rFonts w:cs="Arial" w:hint="cs"/>
          <w:rtl/>
        </w:rPr>
        <w:t>,</w:t>
      </w:r>
      <w:r w:rsidRPr="004D3B08">
        <w:rPr>
          <w:rFonts w:cs="Arial"/>
          <w:rtl/>
        </w:rPr>
        <w:t xml:space="preserve"> ובנכסי צאן ברזל יחלקו בין שניהם</w:t>
      </w:r>
      <w:r>
        <w:rPr>
          <w:rFonts w:hint="cs"/>
          <w:rtl/>
        </w:rPr>
        <w:t>.</w:t>
      </w:r>
    </w:p>
    <w:p w14:paraId="58F74FF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2C3E730" w14:textId="77777777" w:rsidR="002E5BAD" w:rsidRDefault="002E5BAD" w:rsidP="002E5BAD">
      <w:pPr>
        <w:rPr>
          <w:rFonts w:cs="Arial"/>
          <w:rtl/>
        </w:rPr>
      </w:pPr>
      <w:r w:rsidRPr="00EB79BF">
        <w:rPr>
          <w:rFonts w:cs="Arial"/>
          <w:rtl/>
        </w:rPr>
        <w:lastRenderedPageBreak/>
        <w:t>נפל הבית עליו ועל אשתו. ואין ידוע איזה מהם מת תחלה, ואין לו בנים ממנה</w:t>
      </w:r>
      <w:r>
        <w:rPr>
          <w:rStyle w:val="a7"/>
          <w:rFonts w:cs="Arial"/>
          <w:rtl/>
        </w:rPr>
        <w:footnoteReference w:id="1985"/>
      </w:r>
      <w:r w:rsidRPr="00EB79BF">
        <w:rPr>
          <w:rFonts w:cs="Arial"/>
          <w:rtl/>
        </w:rPr>
        <w:t>, יורשי הבעל יורשין עיקר הכתובה והתוספת</w:t>
      </w:r>
      <w:r>
        <w:rPr>
          <w:rStyle w:val="a7"/>
          <w:rFonts w:cs="Arial"/>
          <w:rtl/>
        </w:rPr>
        <w:footnoteReference w:id="1986"/>
      </w:r>
      <w:r w:rsidRPr="00EB79BF">
        <w:rPr>
          <w:rFonts w:cs="Arial"/>
          <w:rtl/>
        </w:rPr>
        <w:t>, ויורשי אשה יורשין נ</w:t>
      </w:r>
      <w:r>
        <w:rPr>
          <w:rFonts w:cs="Arial" w:hint="cs"/>
          <w:rtl/>
        </w:rPr>
        <w:t xml:space="preserve">כסי </w:t>
      </w:r>
      <w:r w:rsidRPr="00EB79BF">
        <w:rPr>
          <w:rFonts w:cs="Arial"/>
          <w:rtl/>
        </w:rPr>
        <w:t>מ</w:t>
      </w:r>
      <w:r>
        <w:rPr>
          <w:rFonts w:cs="Arial" w:hint="cs"/>
          <w:rtl/>
        </w:rPr>
        <w:t>לוג</w:t>
      </w:r>
      <w:r w:rsidRPr="00EB79BF">
        <w:rPr>
          <w:rFonts w:cs="Arial"/>
          <w:rtl/>
        </w:rPr>
        <w:t>, ובין שניהם חולקים נכסי צ</w:t>
      </w:r>
      <w:r>
        <w:rPr>
          <w:rFonts w:cs="Arial" w:hint="cs"/>
          <w:rtl/>
        </w:rPr>
        <w:t xml:space="preserve">אן </w:t>
      </w:r>
      <w:r w:rsidRPr="00EB79BF">
        <w:rPr>
          <w:rFonts w:cs="Arial"/>
          <w:rtl/>
        </w:rPr>
        <w:t>ב</w:t>
      </w:r>
      <w:r>
        <w:rPr>
          <w:rFonts w:cs="Arial" w:hint="cs"/>
          <w:rtl/>
        </w:rPr>
        <w:t>רזל</w:t>
      </w:r>
      <w:r>
        <w:rPr>
          <w:rStyle w:val="a7"/>
          <w:rFonts w:cs="Arial"/>
          <w:rtl/>
        </w:rPr>
        <w:footnoteReference w:id="1987"/>
      </w:r>
      <w:r w:rsidRPr="00EB79BF">
        <w:rPr>
          <w:rFonts w:cs="Arial"/>
          <w:rtl/>
        </w:rPr>
        <w:t xml:space="preserve">. </w:t>
      </w:r>
    </w:p>
    <w:p w14:paraId="5088ED36" w14:textId="77777777" w:rsidR="002E5BAD" w:rsidRPr="00EB79BF" w:rsidRDefault="002E5BAD" w:rsidP="002E5BAD">
      <w:pPr>
        <w:rPr>
          <w:rFonts w:cs="Arial"/>
          <w:rtl/>
        </w:rPr>
      </w:pPr>
    </w:p>
    <w:p w14:paraId="3001031D" w14:textId="77777777" w:rsidR="002E5BAD" w:rsidRDefault="002E5BAD" w:rsidP="002E5BAD">
      <w:pPr>
        <w:pStyle w:val="2"/>
        <w:rPr>
          <w:rtl/>
        </w:rPr>
      </w:pPr>
      <w:r w:rsidRPr="00EB79BF">
        <w:rPr>
          <w:rtl/>
        </w:rPr>
        <w:t>סעיף ז</w:t>
      </w:r>
      <w:r>
        <w:rPr>
          <w:rFonts w:hint="cs"/>
          <w:rtl/>
        </w:rPr>
        <w:t>: מברחת</w:t>
      </w:r>
      <w:r>
        <w:rPr>
          <w:rFonts w:cs="Arial" w:hint="cs"/>
          <w:rtl/>
        </w:rPr>
        <w:t>.</w:t>
      </w:r>
    </w:p>
    <w:p w14:paraId="31E148DA" w14:textId="77777777" w:rsidR="002E5BAD" w:rsidRDefault="002E5BAD" w:rsidP="002E5BAD">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Pr="004602D6">
        <w:rPr>
          <w:rFonts w:cs="Arial"/>
          <w:rtl/>
        </w:rPr>
        <w:t>ההיא איתתא דבעיא דתברחינהו לנכסה</w:t>
      </w:r>
      <w:r>
        <w:rPr>
          <w:rStyle w:val="a7"/>
          <w:rFonts w:cs="Arial"/>
          <w:rtl/>
        </w:rPr>
        <w:footnoteReference w:id="1988"/>
      </w:r>
      <w:r w:rsidRPr="004602D6">
        <w:rPr>
          <w:rFonts w:cs="Arial"/>
          <w:rtl/>
        </w:rPr>
        <w:t xml:space="preserve"> מגברה, כתבתינהו לברתה, אינסיבה ואיגרשה, </w:t>
      </w:r>
      <w:r w:rsidRPr="004602D6">
        <w:rPr>
          <w:rFonts w:cs="Arial" w:hint="cs"/>
          <w:sz w:val="14"/>
          <w:szCs w:val="14"/>
          <w:rtl/>
        </w:rPr>
        <w:t>(עט.)</w:t>
      </w:r>
      <w:r>
        <w:rPr>
          <w:rFonts w:cs="Arial" w:hint="cs"/>
          <w:rtl/>
        </w:rPr>
        <w:t xml:space="preserve"> </w:t>
      </w:r>
      <w:r w:rsidRPr="004602D6">
        <w:rPr>
          <w:rFonts w:cs="Arial"/>
          <w:rtl/>
        </w:rPr>
        <w:t>אתאי לקמיה דרב נחמן</w:t>
      </w:r>
      <w:r>
        <w:rPr>
          <w:rStyle w:val="a7"/>
          <w:rFonts w:cs="Arial"/>
          <w:rtl/>
        </w:rPr>
        <w:footnoteReference w:id="1989"/>
      </w:r>
      <w:r w:rsidRPr="004602D6">
        <w:rPr>
          <w:rFonts w:cs="Arial"/>
          <w:rtl/>
        </w:rPr>
        <w:t xml:space="preserve">, קרעיה ר"נ לשטרא. אזל רב ענן לקמיה דמר עוקבא, </w:t>
      </w:r>
      <w:r w:rsidRPr="00784C1E">
        <w:rPr>
          <w:rFonts w:cs="Arial"/>
          <w:u w:val="single"/>
          <w:rtl/>
        </w:rPr>
        <w:t>א"ל</w:t>
      </w:r>
      <w:r w:rsidRPr="004602D6">
        <w:rPr>
          <w:rFonts w:cs="Arial"/>
          <w:rtl/>
        </w:rPr>
        <w:t>: חזי מר, נחמן חקלאה</w:t>
      </w:r>
      <w:r>
        <w:rPr>
          <w:rStyle w:val="a7"/>
          <w:rFonts w:cs="Arial"/>
          <w:rtl/>
        </w:rPr>
        <w:footnoteReference w:id="1990"/>
      </w:r>
      <w:r w:rsidRPr="004602D6">
        <w:rPr>
          <w:rFonts w:cs="Arial"/>
          <w:rtl/>
        </w:rPr>
        <w:t xml:space="preserve"> היכי מקרע שטרי דאינשי! </w:t>
      </w:r>
      <w:r w:rsidRPr="00784C1E">
        <w:rPr>
          <w:rFonts w:cs="Arial"/>
          <w:u w:val="single"/>
          <w:rtl/>
        </w:rPr>
        <w:t>א"ל</w:t>
      </w:r>
      <w:r w:rsidRPr="004602D6">
        <w:rPr>
          <w:rFonts w:cs="Arial"/>
          <w:rtl/>
        </w:rPr>
        <w:t xml:space="preserve">: אימא לי איזי גופא דעובדא היכי הוה, </w:t>
      </w:r>
      <w:r w:rsidRPr="00B26A8D">
        <w:rPr>
          <w:rFonts w:cs="Arial"/>
          <w:u w:val="single"/>
          <w:rtl/>
        </w:rPr>
        <w:t>א"ל</w:t>
      </w:r>
      <w:r w:rsidRPr="004602D6">
        <w:rPr>
          <w:rFonts w:cs="Arial"/>
          <w:rtl/>
        </w:rPr>
        <w:t xml:space="preserve">: הכי והכי הוה. </w:t>
      </w:r>
      <w:r w:rsidRPr="00784C1E">
        <w:rPr>
          <w:rFonts w:cs="Arial"/>
          <w:u w:val="single"/>
          <w:rtl/>
        </w:rPr>
        <w:t>א"ל</w:t>
      </w:r>
      <w:r w:rsidRPr="004602D6">
        <w:rPr>
          <w:rFonts w:cs="Arial"/>
          <w:rtl/>
        </w:rPr>
        <w:t xml:space="preserve">: שטר מברחת קא אמרת? </w:t>
      </w:r>
      <w:r w:rsidRPr="00784C1E">
        <w:rPr>
          <w:rFonts w:cs="Arial"/>
          <w:u w:val="single"/>
          <w:rtl/>
        </w:rPr>
        <w:t>הכי א"ר חנילאי בר אידי אמר שמואל</w:t>
      </w:r>
      <w:r w:rsidRPr="004602D6">
        <w:rPr>
          <w:rFonts w:cs="Arial"/>
          <w:rtl/>
        </w:rPr>
        <w:t>: מורה הוראה אני, אם יבא שטר מברחת לידי</w:t>
      </w:r>
      <w:r>
        <w:rPr>
          <w:rStyle w:val="a7"/>
          <w:rFonts w:cs="Arial"/>
          <w:rtl/>
        </w:rPr>
        <w:footnoteReference w:id="1991"/>
      </w:r>
      <w:r w:rsidRPr="004602D6">
        <w:rPr>
          <w:rFonts w:cs="Arial"/>
          <w:rtl/>
        </w:rPr>
        <w:t xml:space="preserve"> אקרענו. </w:t>
      </w:r>
      <w:r w:rsidRPr="00784C1E">
        <w:rPr>
          <w:rFonts w:cs="Arial"/>
          <w:u w:val="single"/>
          <w:rtl/>
        </w:rPr>
        <w:t>א"ל</w:t>
      </w:r>
      <w:r>
        <w:rPr>
          <w:rStyle w:val="a7"/>
          <w:rFonts w:cs="Arial"/>
          <w:u w:val="single"/>
          <w:rtl/>
        </w:rPr>
        <w:footnoteReference w:id="1992"/>
      </w:r>
      <w:r w:rsidRPr="00784C1E">
        <w:rPr>
          <w:rFonts w:cs="Arial"/>
          <w:u w:val="single"/>
          <w:rtl/>
        </w:rPr>
        <w:t xml:space="preserve"> רבא לרב נחמן</w:t>
      </w:r>
      <w:r w:rsidRPr="004602D6">
        <w:rPr>
          <w:rFonts w:cs="Arial"/>
          <w:rtl/>
        </w:rPr>
        <w:t>: טעמא מאי</w:t>
      </w:r>
      <w:r>
        <w:rPr>
          <w:rStyle w:val="a7"/>
          <w:rFonts w:cs="Arial"/>
          <w:rtl/>
        </w:rPr>
        <w:footnoteReference w:id="1993"/>
      </w:r>
      <w:r w:rsidRPr="004602D6">
        <w:rPr>
          <w:rFonts w:cs="Arial"/>
          <w:rtl/>
        </w:rPr>
        <w:t>? דלא שביק איניש נפשיה ויהיב לאחריני</w:t>
      </w:r>
      <w:r>
        <w:rPr>
          <w:rStyle w:val="a7"/>
          <w:rFonts w:cs="Arial"/>
          <w:rtl/>
        </w:rPr>
        <w:footnoteReference w:id="1994"/>
      </w:r>
      <w:r>
        <w:rPr>
          <w:rFonts w:cs="Arial" w:hint="cs"/>
          <w:rtl/>
        </w:rPr>
        <w:t>?</w:t>
      </w:r>
      <w:r w:rsidRPr="004602D6">
        <w:rPr>
          <w:rFonts w:cs="Arial"/>
          <w:rtl/>
        </w:rPr>
        <w:t xml:space="preserve"> ה"מ</w:t>
      </w:r>
      <w:r>
        <w:rPr>
          <w:rStyle w:val="a7"/>
          <w:rFonts w:cs="Arial"/>
          <w:rtl/>
        </w:rPr>
        <w:footnoteReference w:id="1995"/>
      </w:r>
      <w:r w:rsidRPr="004602D6">
        <w:rPr>
          <w:rFonts w:cs="Arial"/>
          <w:rtl/>
        </w:rPr>
        <w:t xml:space="preserve"> לאחריני, אבל לברתה יהיבא</w:t>
      </w:r>
      <w:r>
        <w:rPr>
          <w:rStyle w:val="a7"/>
          <w:rFonts w:cs="Arial"/>
          <w:rtl/>
        </w:rPr>
        <w:footnoteReference w:id="1996"/>
      </w:r>
      <w:r w:rsidRPr="004602D6">
        <w:rPr>
          <w:rFonts w:cs="Arial"/>
          <w:rtl/>
        </w:rPr>
        <w:t>! אפ"ה, במקום ברתה נפשה עדיפא לה. מיתיבי: הרוצה שתבריח נכסיה מבעלה, כיצד היא עושה? כותבת שטר פסים</w:t>
      </w:r>
      <w:r>
        <w:rPr>
          <w:rStyle w:val="a7"/>
          <w:rFonts w:cs="Arial"/>
          <w:rtl/>
        </w:rPr>
        <w:footnoteReference w:id="1997"/>
      </w:r>
      <w:r w:rsidRPr="004602D6">
        <w:rPr>
          <w:rFonts w:cs="Arial"/>
          <w:rtl/>
        </w:rPr>
        <w:t xml:space="preserve"> לאחרים, </w:t>
      </w:r>
      <w:r w:rsidRPr="00784C1E">
        <w:rPr>
          <w:rFonts w:cs="Arial"/>
          <w:u w:val="single"/>
          <w:rtl/>
        </w:rPr>
        <w:t>דברי רשב"ג</w:t>
      </w:r>
      <w:r>
        <w:rPr>
          <w:rFonts w:cs="Arial" w:hint="cs"/>
          <w:rtl/>
        </w:rPr>
        <w:t>.</w:t>
      </w:r>
      <w:r w:rsidRPr="004602D6">
        <w:rPr>
          <w:rFonts w:cs="Arial"/>
          <w:rtl/>
        </w:rPr>
        <w:t xml:space="preserve"> </w:t>
      </w:r>
      <w:r w:rsidRPr="00784C1E">
        <w:rPr>
          <w:rFonts w:cs="Arial"/>
          <w:u w:val="single"/>
          <w:rtl/>
        </w:rPr>
        <w:t>וחכ"א</w:t>
      </w:r>
      <w:r w:rsidRPr="004602D6">
        <w:rPr>
          <w:rFonts w:cs="Arial"/>
          <w:rtl/>
        </w:rPr>
        <w:t>: רצה</w:t>
      </w:r>
      <w:r>
        <w:rPr>
          <w:rStyle w:val="a7"/>
          <w:rFonts w:cs="Arial"/>
          <w:rtl/>
        </w:rPr>
        <w:footnoteReference w:id="1998"/>
      </w:r>
      <w:r w:rsidRPr="004602D6">
        <w:rPr>
          <w:rFonts w:cs="Arial"/>
          <w:rtl/>
        </w:rPr>
        <w:t xml:space="preserve"> מצחק בה</w:t>
      </w:r>
      <w:r>
        <w:rPr>
          <w:rStyle w:val="a7"/>
          <w:rFonts w:cs="Arial"/>
          <w:rtl/>
        </w:rPr>
        <w:footnoteReference w:id="1999"/>
      </w:r>
      <w:r w:rsidRPr="004602D6">
        <w:rPr>
          <w:rFonts w:cs="Arial"/>
          <w:rtl/>
        </w:rPr>
        <w:t>, עד שתכתוב</w:t>
      </w:r>
      <w:r>
        <w:rPr>
          <w:rStyle w:val="a7"/>
          <w:rFonts w:cs="Arial"/>
          <w:rtl/>
        </w:rPr>
        <w:footnoteReference w:id="2000"/>
      </w:r>
      <w:r w:rsidRPr="004602D6">
        <w:rPr>
          <w:rFonts w:cs="Arial"/>
          <w:rtl/>
        </w:rPr>
        <w:t xml:space="preserve"> לו מהיום ולכשארצה</w:t>
      </w:r>
      <w:r>
        <w:rPr>
          <w:rFonts w:cs="Arial" w:hint="cs"/>
          <w:rtl/>
        </w:rPr>
        <w:t>.</w:t>
      </w:r>
      <w:r w:rsidRPr="004602D6">
        <w:rPr>
          <w:rFonts w:cs="Arial"/>
          <w:rtl/>
        </w:rPr>
        <w:t xml:space="preserve"> טעמא דכתבה ליה הכי, הא </w:t>
      </w:r>
      <w:r w:rsidRPr="004602D6">
        <w:rPr>
          <w:rFonts w:cs="Arial"/>
          <w:rtl/>
        </w:rPr>
        <w:lastRenderedPageBreak/>
        <w:t>לא כתבה ליה הכי - קננהי לוקח</w:t>
      </w:r>
      <w:r>
        <w:rPr>
          <w:rStyle w:val="a7"/>
          <w:rFonts w:cs="Arial"/>
          <w:rtl/>
        </w:rPr>
        <w:footnoteReference w:id="2001"/>
      </w:r>
      <w:r w:rsidRPr="004602D6">
        <w:rPr>
          <w:rFonts w:cs="Arial"/>
          <w:rtl/>
        </w:rPr>
        <w:t xml:space="preserve">! </w:t>
      </w:r>
      <w:r w:rsidRPr="00784C1E">
        <w:rPr>
          <w:rFonts w:cs="Arial"/>
          <w:u w:val="single"/>
          <w:rtl/>
        </w:rPr>
        <w:t>א"ר זירא</w:t>
      </w:r>
      <w:r>
        <w:rPr>
          <w:rFonts w:cs="Arial" w:hint="cs"/>
          <w:rtl/>
        </w:rPr>
        <w:t>:</w:t>
      </w:r>
      <w:r w:rsidRPr="004602D6">
        <w:rPr>
          <w:rFonts w:cs="Arial"/>
          <w:rtl/>
        </w:rPr>
        <w:t xml:space="preserve"> לא קשיא</w:t>
      </w:r>
      <w:r>
        <w:rPr>
          <w:rFonts w:cs="Arial" w:hint="cs"/>
          <w:rtl/>
        </w:rPr>
        <w:t>,</w:t>
      </w:r>
      <w:r w:rsidRPr="004602D6">
        <w:rPr>
          <w:rFonts w:cs="Arial"/>
          <w:rtl/>
        </w:rPr>
        <w:t xml:space="preserve"> הא בכולה</w:t>
      </w:r>
      <w:r>
        <w:rPr>
          <w:rStyle w:val="a7"/>
          <w:rFonts w:cs="Arial"/>
          <w:rtl/>
        </w:rPr>
        <w:footnoteReference w:id="2002"/>
      </w:r>
      <w:r w:rsidRPr="004602D6">
        <w:rPr>
          <w:rFonts w:cs="Arial"/>
          <w:rtl/>
        </w:rPr>
        <w:t>, הא במקצתה. ואי לא קננהי לוקח, ניקנינהו בעל</w:t>
      </w:r>
      <w:r>
        <w:rPr>
          <w:rStyle w:val="a7"/>
          <w:rFonts w:cs="Arial"/>
          <w:rtl/>
        </w:rPr>
        <w:footnoteReference w:id="2003"/>
      </w:r>
      <w:r w:rsidRPr="004602D6">
        <w:rPr>
          <w:rFonts w:cs="Arial"/>
          <w:rtl/>
        </w:rPr>
        <w:t xml:space="preserve">! </w:t>
      </w:r>
      <w:r w:rsidRPr="00784C1E">
        <w:rPr>
          <w:rFonts w:cs="Arial"/>
          <w:u w:val="single"/>
          <w:rtl/>
        </w:rPr>
        <w:t>אמר אביי</w:t>
      </w:r>
      <w:r w:rsidRPr="004602D6">
        <w:rPr>
          <w:rFonts w:cs="Arial"/>
          <w:rtl/>
        </w:rPr>
        <w:t>: עשאום כנכסים שאין ידועין</w:t>
      </w:r>
      <w:r>
        <w:rPr>
          <w:rStyle w:val="a7"/>
          <w:rFonts w:cs="Arial"/>
          <w:rtl/>
        </w:rPr>
        <w:footnoteReference w:id="2004"/>
      </w:r>
      <w:r w:rsidRPr="004602D6">
        <w:rPr>
          <w:rFonts w:cs="Arial"/>
          <w:rtl/>
        </w:rPr>
        <w:t xml:space="preserve"> לבעל, ואליבא דר"ש</w:t>
      </w:r>
      <w:r>
        <w:rPr>
          <w:rFonts w:cs="Arial" w:hint="cs"/>
          <w:rtl/>
        </w:rPr>
        <w:t>.</w:t>
      </w:r>
    </w:p>
    <w:p w14:paraId="2AB49A74" w14:textId="77777777" w:rsidR="002E5BAD" w:rsidRPr="00687D10" w:rsidRDefault="002E5BAD" w:rsidP="002E5BAD">
      <w:pPr>
        <w:rPr>
          <w:u w:val="single"/>
          <w:rtl/>
        </w:rPr>
      </w:pPr>
      <w:r w:rsidRPr="00687D10">
        <w:rPr>
          <w:rFonts w:hint="cs"/>
          <w:u w:val="single"/>
          <w:rtl/>
        </w:rPr>
        <w:t>מברחת:</w:t>
      </w:r>
    </w:p>
    <w:p w14:paraId="6D962403" w14:textId="77777777" w:rsidR="002E5BAD" w:rsidRPr="004D3B08" w:rsidRDefault="002E5BAD" w:rsidP="002E5BAD">
      <w:pPr>
        <w:pStyle w:val="ab"/>
        <w:numPr>
          <w:ilvl w:val="0"/>
          <w:numId w:val="186"/>
        </w:numPr>
        <w:rPr>
          <w:rtl/>
        </w:rPr>
      </w:pPr>
      <w:r>
        <w:rPr>
          <w:rFonts w:cs="Arial" w:hint="cs"/>
          <w:rtl/>
        </w:rPr>
        <w:t xml:space="preserve">רמב"ם </w:t>
      </w:r>
      <w:r>
        <w:rPr>
          <w:rFonts w:cs="Arial" w:hint="cs"/>
          <w:sz w:val="16"/>
          <w:szCs w:val="16"/>
          <w:rtl/>
        </w:rPr>
        <w:t>(</w:t>
      </w:r>
      <w:r w:rsidRPr="004A598C">
        <w:rPr>
          <w:rFonts w:cs="Arial" w:hint="cs"/>
          <w:sz w:val="16"/>
          <w:szCs w:val="16"/>
          <w:rtl/>
        </w:rPr>
        <w:t>פכ"ב מאישות ה"ט)</w:t>
      </w:r>
      <w:r>
        <w:rPr>
          <w:rFonts w:cs="Arial" w:hint="cs"/>
          <w:rtl/>
        </w:rPr>
        <w:t xml:space="preserve">- </w:t>
      </w:r>
      <w:r w:rsidRPr="004A598C">
        <w:rPr>
          <w:rFonts w:cs="Arial"/>
          <w:rtl/>
        </w:rPr>
        <w:t>האשה שכתבה כל נכסיה לאחר בין קרוב בין רחוק קודם שתנשא, אף על פי שאם נתגרשה או נתאלמנה תבטל המתנה כמו שיתבאר בהלכות מתנה</w:t>
      </w:r>
      <w:r>
        <w:rPr>
          <w:rStyle w:val="a7"/>
          <w:rFonts w:cs="Arial"/>
          <w:rtl/>
        </w:rPr>
        <w:footnoteReference w:id="2005"/>
      </w:r>
      <w:r w:rsidRPr="004A598C">
        <w:rPr>
          <w:rFonts w:cs="Arial"/>
          <w:rtl/>
        </w:rPr>
        <w:t>, אין הבעל אוכל פירותיהן ואם מתה אינו יורשן, שהרי נתנה אותן קודם שתנשא, וכשתמות בחיי בעלה יקנה מקבל המתנה מתנתו קנין גמור</w:t>
      </w:r>
      <w:r>
        <w:rPr>
          <w:rFonts w:cs="Arial" w:hint="cs"/>
          <w:rtl/>
        </w:rPr>
        <w:t>.</w:t>
      </w:r>
      <w:r w:rsidRPr="004A598C">
        <w:rPr>
          <w:rFonts w:cs="Arial"/>
          <w:rtl/>
        </w:rPr>
        <w:t xml:space="preserve"> ולא עוד אלא אפילו נתנה מקצת נכסיה או כולם קודם נישואיה</w:t>
      </w:r>
      <w:r>
        <w:rPr>
          <w:rFonts w:cs="Arial" w:hint="cs"/>
          <w:rtl/>
        </w:rPr>
        <w:t>,</w:t>
      </w:r>
      <w:r w:rsidRPr="004A598C">
        <w:rPr>
          <w:rFonts w:cs="Arial"/>
          <w:rtl/>
        </w:rPr>
        <w:t xml:space="preserve"> וכתבה למקבל קנה מהיום ולכשארצה</w:t>
      </w:r>
      <w:r>
        <w:rPr>
          <w:rFonts w:cs="Arial" w:hint="cs"/>
          <w:rtl/>
        </w:rPr>
        <w:t>,</w:t>
      </w:r>
      <w:r w:rsidRPr="004A598C">
        <w:rPr>
          <w:rFonts w:cs="Arial"/>
          <w:rtl/>
        </w:rPr>
        <w:t xml:space="preserve"> שהרי לא קנה קנין גמור עד שתרצה </w:t>
      </w:r>
      <w:r>
        <w:rPr>
          <w:rFonts w:cs="Arial" w:hint="cs"/>
          <w:rtl/>
        </w:rPr>
        <w:t xml:space="preserve">- </w:t>
      </w:r>
      <w:r w:rsidRPr="004A598C">
        <w:rPr>
          <w:rFonts w:cs="Arial"/>
          <w:rtl/>
        </w:rPr>
        <w:t>אין הבעל אוכל פירות אותה מתנה ואם מתה אינו יורשה.</w:t>
      </w:r>
      <w:r w:rsidRPr="005C7937">
        <w:rPr>
          <w:rFonts w:hint="cs"/>
          <w:color w:val="E36C0A" w:themeColor="accent6" w:themeShade="BF"/>
          <w:rtl/>
        </w:rPr>
        <w:t xml:space="preserve"> </w:t>
      </w:r>
      <w:r w:rsidRPr="001D67C0">
        <w:rPr>
          <w:rFonts w:hint="cs"/>
          <w:color w:val="E36C0A" w:themeColor="accent6" w:themeShade="BF"/>
          <w:rtl/>
        </w:rPr>
        <w:t>(וכ"פ בשו"ע)</w:t>
      </w:r>
      <w:r>
        <w:rPr>
          <w:rFonts w:hint="cs"/>
          <w:rtl/>
        </w:rPr>
        <w:t xml:space="preserve"> </w:t>
      </w:r>
    </w:p>
    <w:p w14:paraId="33F0790F" w14:textId="77777777" w:rsidR="002E5BAD" w:rsidRPr="001A2DA7" w:rsidRDefault="002E5BAD" w:rsidP="002E5BAD">
      <w:pPr>
        <w:pStyle w:val="ab"/>
        <w:numPr>
          <w:ilvl w:val="0"/>
          <w:numId w:val="186"/>
        </w:numPr>
      </w:pPr>
      <w:r>
        <w:rPr>
          <w:rFonts w:cs="Arial" w:hint="cs"/>
          <w:rtl/>
        </w:rPr>
        <w:t xml:space="preserve">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ו</w:t>
      </w:r>
      <w:r w:rsidRPr="004D3B08">
        <w:rPr>
          <w:rFonts w:cs="Arial" w:hint="cs"/>
          <w:rtl/>
        </w:rPr>
        <w:t xml:space="preserve">טור- </w:t>
      </w:r>
      <w:r w:rsidRPr="004D3B08">
        <w:rPr>
          <w:rFonts w:cs="Arial"/>
          <w:rtl/>
        </w:rPr>
        <w:t>אשה שיש לה נכסים ורוצה לינשא</w:t>
      </w:r>
      <w:r>
        <w:rPr>
          <w:rFonts w:cs="Arial" w:hint="cs"/>
          <w:rtl/>
        </w:rPr>
        <w:t>,</w:t>
      </w:r>
      <w:r w:rsidRPr="004D3B08">
        <w:rPr>
          <w:rFonts w:cs="Arial"/>
          <w:rtl/>
        </w:rPr>
        <w:t xml:space="preserve"> ונתנה במתנה קודם לכן</w:t>
      </w:r>
      <w:r>
        <w:rPr>
          <w:rFonts w:cs="Arial" w:hint="cs"/>
          <w:rtl/>
        </w:rPr>
        <w:t>,</w:t>
      </w:r>
      <w:r w:rsidRPr="004D3B08">
        <w:rPr>
          <w:rFonts w:cs="Arial"/>
          <w:rtl/>
        </w:rPr>
        <w:t xml:space="preserve"> ונישאת </w:t>
      </w:r>
      <w:r>
        <w:rPr>
          <w:rFonts w:cs="Arial" w:hint="cs"/>
          <w:rtl/>
        </w:rPr>
        <w:t xml:space="preserve">- </w:t>
      </w:r>
      <w:r w:rsidRPr="004D3B08">
        <w:rPr>
          <w:rFonts w:cs="Arial"/>
          <w:rtl/>
        </w:rPr>
        <w:t>הבעל אינו זוכה בהם וגם המקבל לא קנאם</w:t>
      </w:r>
      <w:r>
        <w:rPr>
          <w:rFonts w:cs="Arial" w:hint="cs"/>
          <w:rtl/>
        </w:rPr>
        <w:t>,</w:t>
      </w:r>
      <w:r w:rsidRPr="004D3B08">
        <w:rPr>
          <w:rFonts w:cs="Arial"/>
          <w:rtl/>
        </w:rPr>
        <w:t xml:space="preserve"> לא שנא נתנתם לרחוק או לקרוב</w:t>
      </w:r>
      <w:r>
        <w:rPr>
          <w:rFonts w:cs="Arial" w:hint="cs"/>
          <w:rtl/>
        </w:rPr>
        <w:t>,</w:t>
      </w:r>
      <w:r w:rsidRPr="004D3B08">
        <w:rPr>
          <w:rFonts w:cs="Arial"/>
          <w:rtl/>
        </w:rPr>
        <w:t xml:space="preserve"> שלא כוונה אלא להבריחם מבעלה</w:t>
      </w:r>
      <w:r>
        <w:rPr>
          <w:rFonts w:cs="Arial" w:hint="cs"/>
          <w:rtl/>
        </w:rPr>
        <w:t>.</w:t>
      </w:r>
      <w:r w:rsidRPr="004D3B08">
        <w:rPr>
          <w:rFonts w:cs="Arial"/>
          <w:rtl/>
        </w:rPr>
        <w:t xml:space="preserve"> אפי' לא הודיעה לעדים שמכוונת להבריחם רק שידוע שעומדת לינשא או שניסת מיד אחרי המתנה</w:t>
      </w:r>
      <w:r>
        <w:rPr>
          <w:rFonts w:cs="Arial" w:hint="cs"/>
          <w:rtl/>
        </w:rPr>
        <w:t>,</w:t>
      </w:r>
      <w:r w:rsidRPr="004D3B08">
        <w:rPr>
          <w:rFonts w:cs="Arial"/>
          <w:rtl/>
        </w:rPr>
        <w:t xml:space="preserve"> אנו אומרים דעתה שלהבריח כוונה</w:t>
      </w:r>
      <w:r>
        <w:rPr>
          <w:rFonts w:cs="Arial" w:hint="cs"/>
          <w:rtl/>
        </w:rPr>
        <w:t>.</w:t>
      </w:r>
      <w:r w:rsidRPr="004D3B08">
        <w:rPr>
          <w:rFonts w:cs="Arial"/>
          <w:rtl/>
        </w:rPr>
        <w:t xml:space="preserve"> בד"א</w:t>
      </w:r>
      <w:r>
        <w:rPr>
          <w:rFonts w:cs="Arial" w:hint="cs"/>
          <w:rtl/>
        </w:rPr>
        <w:t>,</w:t>
      </w:r>
      <w:r w:rsidRPr="004D3B08">
        <w:rPr>
          <w:rFonts w:cs="Arial"/>
          <w:rtl/>
        </w:rPr>
        <w:t xml:space="preserve"> שלא שיירה לעצמה כדי פרנסתה</w:t>
      </w:r>
      <w:r>
        <w:rPr>
          <w:rStyle w:val="a7"/>
          <w:rFonts w:cs="Arial"/>
          <w:rtl/>
        </w:rPr>
        <w:footnoteReference w:id="2006"/>
      </w:r>
      <w:r>
        <w:rPr>
          <w:rFonts w:cs="Arial" w:hint="cs"/>
          <w:rtl/>
        </w:rPr>
        <w:t>,</w:t>
      </w:r>
      <w:r w:rsidRPr="004D3B08">
        <w:rPr>
          <w:rFonts w:cs="Arial"/>
          <w:rtl/>
        </w:rPr>
        <w:t xml:space="preserve"> אבל אם שיירה כדי פרנסתה </w:t>
      </w:r>
      <w:r>
        <w:rPr>
          <w:rFonts w:cs="Arial" w:hint="cs"/>
          <w:rtl/>
        </w:rPr>
        <w:t xml:space="preserve">- </w:t>
      </w:r>
      <w:r w:rsidRPr="004D3B08">
        <w:rPr>
          <w:rFonts w:cs="Arial"/>
          <w:rtl/>
        </w:rPr>
        <w:t>מתנתה מתנה עד שתכתוב לו היום ולכשארצה</w:t>
      </w:r>
      <w:r>
        <w:rPr>
          <w:rFonts w:cs="Arial" w:hint="cs"/>
          <w:rtl/>
        </w:rPr>
        <w:t>.</w:t>
      </w:r>
      <w:r w:rsidRPr="004D3B08">
        <w:rPr>
          <w:rFonts w:cs="Arial"/>
          <w:rtl/>
        </w:rPr>
        <w:t xml:space="preserve"> פירוש</w:t>
      </w:r>
      <w:r>
        <w:rPr>
          <w:rFonts w:cs="Arial" w:hint="cs"/>
          <w:rtl/>
        </w:rPr>
        <w:t>,</w:t>
      </w:r>
      <w:r w:rsidRPr="004D3B08">
        <w:rPr>
          <w:rFonts w:cs="Arial"/>
          <w:rtl/>
        </w:rPr>
        <w:t xml:space="preserve"> היום תחול זו המתנה</w:t>
      </w:r>
      <w:r>
        <w:rPr>
          <w:rFonts w:cs="Arial" w:hint="cs"/>
          <w:rtl/>
        </w:rPr>
        <w:t>,</w:t>
      </w:r>
      <w:r w:rsidRPr="004D3B08">
        <w:rPr>
          <w:rFonts w:cs="Arial"/>
          <w:rtl/>
        </w:rPr>
        <w:t xml:space="preserve"> ותהיה תלויה ועומדת עד שארצה לקיימה</w:t>
      </w:r>
      <w:r>
        <w:rPr>
          <w:rFonts w:cs="Arial" w:hint="cs"/>
          <w:rtl/>
        </w:rPr>
        <w:t>,</w:t>
      </w:r>
      <w:r w:rsidRPr="004D3B08">
        <w:rPr>
          <w:rFonts w:cs="Arial"/>
          <w:rtl/>
        </w:rPr>
        <w:t xml:space="preserve"> אבל בכל פעם שארצה הרשות בידי לבטלה</w:t>
      </w:r>
      <w:r>
        <w:rPr>
          <w:rFonts w:cs="Arial" w:hint="cs"/>
          <w:rtl/>
        </w:rPr>
        <w:t>.</w:t>
      </w:r>
      <w:r w:rsidRPr="004D3B08">
        <w:rPr>
          <w:rFonts w:cs="Arial"/>
          <w:rtl/>
        </w:rPr>
        <w:t xml:space="preserve"> וכיון שנתנה לו כל נכסיה או מקצתם וכתבה לו היום ולכשארצה</w:t>
      </w:r>
      <w:r>
        <w:rPr>
          <w:rFonts w:cs="Arial" w:hint="cs"/>
          <w:rtl/>
        </w:rPr>
        <w:t>,</w:t>
      </w:r>
      <w:r w:rsidRPr="004D3B08">
        <w:rPr>
          <w:rFonts w:cs="Arial"/>
          <w:rtl/>
        </w:rPr>
        <w:t xml:space="preserve"> אף על פי שהמתנה תלויה עד שתרצה ועדיין לא נגמרה </w:t>
      </w:r>
      <w:r>
        <w:rPr>
          <w:rFonts w:cs="Arial" w:hint="cs"/>
          <w:rtl/>
        </w:rPr>
        <w:t xml:space="preserve">- </w:t>
      </w:r>
      <w:r w:rsidRPr="004D3B08">
        <w:rPr>
          <w:rFonts w:cs="Arial"/>
          <w:rtl/>
        </w:rPr>
        <w:t>אין הבעל אוכל הפירות אלא המקבל</w:t>
      </w:r>
      <w:r>
        <w:rPr>
          <w:rStyle w:val="a7"/>
          <w:rFonts w:cs="Arial"/>
          <w:rtl/>
        </w:rPr>
        <w:footnoteReference w:id="2007"/>
      </w:r>
      <w:r>
        <w:rPr>
          <w:rFonts w:cs="Arial" w:hint="cs"/>
          <w:rtl/>
        </w:rPr>
        <w:t>,</w:t>
      </w:r>
      <w:r w:rsidRPr="004D3B08">
        <w:rPr>
          <w:rFonts w:cs="Arial"/>
          <w:rtl/>
        </w:rPr>
        <w:t xml:space="preserve"> ואם תרצה ליתנם או למוכרם לאחר הרשות בידה</w:t>
      </w:r>
      <w:r>
        <w:rPr>
          <w:rFonts w:cs="Arial" w:hint="cs"/>
          <w:rtl/>
        </w:rPr>
        <w:t>.</w:t>
      </w:r>
      <w:r w:rsidRPr="004D3B08">
        <w:rPr>
          <w:rFonts w:cs="Arial"/>
          <w:rtl/>
        </w:rPr>
        <w:t xml:space="preserve"> אבל כל זמן שלא תמכרם או תתנם לאחר</w:t>
      </w:r>
      <w:r>
        <w:rPr>
          <w:rFonts w:cs="Arial" w:hint="cs"/>
          <w:rtl/>
        </w:rPr>
        <w:t>,</w:t>
      </w:r>
      <w:r w:rsidRPr="004D3B08">
        <w:rPr>
          <w:rFonts w:cs="Arial"/>
          <w:rtl/>
        </w:rPr>
        <w:t xml:space="preserve"> אוכל המקבל הפירות</w:t>
      </w:r>
      <w:r>
        <w:rPr>
          <w:rFonts w:cs="Arial" w:hint="cs"/>
          <w:rtl/>
        </w:rPr>
        <w:t>.</w:t>
      </w:r>
      <w:r w:rsidRPr="004D3B08">
        <w:rPr>
          <w:rFonts w:cs="Arial"/>
          <w:rtl/>
        </w:rPr>
        <w:t xml:space="preserve"> ואם מתה בחיי הבעל</w:t>
      </w:r>
      <w:r>
        <w:rPr>
          <w:rFonts w:cs="Arial" w:hint="cs"/>
          <w:rtl/>
        </w:rPr>
        <w:t>,</w:t>
      </w:r>
      <w:r w:rsidRPr="004D3B08">
        <w:rPr>
          <w:rFonts w:cs="Arial"/>
          <w:rtl/>
        </w:rPr>
        <w:t xml:space="preserve"> תשאר למקבל</w:t>
      </w:r>
      <w:r>
        <w:rPr>
          <w:rStyle w:val="a7"/>
          <w:rFonts w:cs="Arial"/>
          <w:rtl/>
        </w:rPr>
        <w:footnoteReference w:id="2008"/>
      </w:r>
      <w:r>
        <w:rPr>
          <w:rFonts w:cs="Arial" w:hint="cs"/>
          <w:rtl/>
        </w:rPr>
        <w:t>.</w:t>
      </w:r>
      <w:r w:rsidRPr="004D3B08">
        <w:rPr>
          <w:rFonts w:cs="Arial"/>
          <w:rtl/>
        </w:rPr>
        <w:t xml:space="preserve"> מת הבעל בחייה</w:t>
      </w:r>
      <w:r>
        <w:rPr>
          <w:rFonts w:cs="Arial" w:hint="cs"/>
          <w:rtl/>
        </w:rPr>
        <w:t>,</w:t>
      </w:r>
      <w:r w:rsidRPr="004D3B08">
        <w:rPr>
          <w:rFonts w:cs="Arial"/>
          <w:rtl/>
        </w:rPr>
        <w:t xml:space="preserve"> תחזור לידה</w:t>
      </w:r>
      <w:r>
        <w:rPr>
          <w:rFonts w:cs="Arial" w:hint="cs"/>
          <w:sz w:val="16"/>
          <w:szCs w:val="16"/>
          <w:rtl/>
        </w:rPr>
        <w:t xml:space="preserve"> (ל' הטור)</w:t>
      </w:r>
      <w:r>
        <w:rPr>
          <w:rStyle w:val="a7"/>
          <w:rFonts w:cs="Arial"/>
          <w:rtl/>
        </w:rPr>
        <w:footnoteReference w:id="2009"/>
      </w:r>
      <w:r>
        <w:rPr>
          <w:rFonts w:cs="Arial" w:hint="cs"/>
          <w:rtl/>
        </w:rPr>
        <w:t>.</w:t>
      </w:r>
      <w:r w:rsidRPr="004D3B08">
        <w:rPr>
          <w:rFonts w:cs="Arial"/>
          <w:rtl/>
        </w:rPr>
        <w:t xml:space="preserve"> </w:t>
      </w:r>
    </w:p>
    <w:p w14:paraId="2B60F291" w14:textId="77777777" w:rsidR="002E5BAD" w:rsidRPr="001A2DA7" w:rsidRDefault="002E5BAD" w:rsidP="002E5BAD">
      <w:pPr>
        <w:pStyle w:val="ab"/>
        <w:numPr>
          <w:ilvl w:val="0"/>
          <w:numId w:val="186"/>
        </w:numPr>
      </w:pPr>
      <w:r>
        <w:rPr>
          <w:rFonts w:cs="Arial" w:hint="cs"/>
          <w:rtl/>
        </w:rPr>
        <w:t xml:space="preserve">י"א </w:t>
      </w:r>
      <w:r>
        <w:rPr>
          <w:rFonts w:cs="Arial" w:hint="cs"/>
          <w:sz w:val="16"/>
          <w:szCs w:val="16"/>
          <w:rtl/>
        </w:rPr>
        <w:t>(כ"כ הר"ן [לז: ד"ה הא] בשם אחרים אומרים)</w:t>
      </w:r>
      <w:r>
        <w:rPr>
          <w:rFonts w:cs="Arial" w:hint="cs"/>
          <w:rtl/>
        </w:rPr>
        <w:t>-</w:t>
      </w:r>
      <w:r w:rsidRPr="00966159">
        <w:rPr>
          <w:rFonts w:cs="Arial"/>
          <w:rtl/>
        </w:rPr>
        <w:t xml:space="preserve"> </w:t>
      </w:r>
      <w:r w:rsidRPr="00966159">
        <w:rPr>
          <w:rFonts w:cs="Arial" w:hint="cs"/>
          <w:rtl/>
        </w:rPr>
        <w:t>'</w:t>
      </w:r>
      <w:r w:rsidRPr="00966159">
        <w:rPr>
          <w:rFonts w:cs="Arial"/>
          <w:rtl/>
        </w:rPr>
        <w:t>עשאום כנכסים שאינם ידועים לבעל</w:t>
      </w:r>
      <w:r w:rsidRPr="00966159">
        <w:rPr>
          <w:rFonts w:cs="Arial" w:hint="cs"/>
          <w:rtl/>
        </w:rPr>
        <w:t>',</w:t>
      </w:r>
      <w:r w:rsidRPr="00966159">
        <w:rPr>
          <w:rFonts w:cs="Arial"/>
          <w:rtl/>
        </w:rPr>
        <w:t xml:space="preserve"> דינם לגמרי כנכסים שאינם ידועים</w:t>
      </w:r>
      <w:r w:rsidRPr="00966159">
        <w:rPr>
          <w:rFonts w:cs="Arial" w:hint="cs"/>
          <w:rtl/>
        </w:rPr>
        <w:t>,</w:t>
      </w:r>
      <w:r w:rsidRPr="00966159">
        <w:rPr>
          <w:rFonts w:cs="Arial"/>
          <w:rtl/>
        </w:rPr>
        <w:t xml:space="preserve"> שאין הבעל אוכל פירות</w:t>
      </w:r>
      <w:r w:rsidRPr="00966159">
        <w:rPr>
          <w:rFonts w:cs="Arial" w:hint="cs"/>
          <w:rtl/>
        </w:rPr>
        <w:t>.</w:t>
      </w:r>
      <w:r w:rsidRPr="00966159">
        <w:rPr>
          <w:rFonts w:cs="Arial"/>
          <w:rtl/>
        </w:rPr>
        <w:t xml:space="preserve"> ומיהו אם מתה</w:t>
      </w:r>
      <w:r w:rsidRPr="00966159">
        <w:rPr>
          <w:rFonts w:cs="Arial" w:hint="cs"/>
          <w:rtl/>
        </w:rPr>
        <w:t>,</w:t>
      </w:r>
      <w:r w:rsidRPr="00966159">
        <w:rPr>
          <w:rFonts w:cs="Arial"/>
          <w:rtl/>
        </w:rPr>
        <w:t xml:space="preserve"> כל זמן שלא מכרה </w:t>
      </w:r>
      <w:r w:rsidRPr="00966159">
        <w:rPr>
          <w:rFonts w:cs="Arial" w:hint="cs"/>
          <w:rtl/>
        </w:rPr>
        <w:t xml:space="preserve">- </w:t>
      </w:r>
      <w:r w:rsidRPr="00966159">
        <w:rPr>
          <w:rFonts w:cs="Arial"/>
          <w:rtl/>
        </w:rPr>
        <w:t>הבעל יורש אותה</w:t>
      </w:r>
      <w:r w:rsidRPr="00966159">
        <w:rPr>
          <w:rFonts w:cs="Arial" w:hint="cs"/>
          <w:rtl/>
        </w:rPr>
        <w:t>,</w:t>
      </w:r>
      <w:r w:rsidRPr="00966159">
        <w:rPr>
          <w:rFonts w:cs="Arial"/>
          <w:rtl/>
        </w:rPr>
        <w:t xml:space="preserve"> בין במברחת</w:t>
      </w:r>
      <w:r w:rsidRPr="00966159">
        <w:rPr>
          <w:rFonts w:cs="Arial" w:hint="cs"/>
          <w:rtl/>
        </w:rPr>
        <w:t>,</w:t>
      </w:r>
      <w:r w:rsidRPr="00966159">
        <w:rPr>
          <w:rFonts w:cs="Arial"/>
          <w:rtl/>
        </w:rPr>
        <w:t xml:space="preserve"> בין בכותבת מהיום ולכשארצה והבריחה מועלת לה</w:t>
      </w:r>
      <w:r w:rsidRPr="00966159">
        <w:rPr>
          <w:rFonts w:cs="Arial" w:hint="cs"/>
          <w:rtl/>
        </w:rPr>
        <w:t>.</w:t>
      </w:r>
      <w:r w:rsidRPr="00966159">
        <w:rPr>
          <w:rFonts w:cs="Arial"/>
          <w:rtl/>
        </w:rPr>
        <w:t xml:space="preserve"> שאם מוכרת ונותנת </w:t>
      </w:r>
      <w:r w:rsidRPr="00966159">
        <w:rPr>
          <w:rFonts w:cs="Arial" w:hint="cs"/>
          <w:rtl/>
        </w:rPr>
        <w:t xml:space="preserve">- </w:t>
      </w:r>
      <w:r w:rsidRPr="00966159">
        <w:rPr>
          <w:rFonts w:cs="Arial"/>
          <w:rtl/>
        </w:rPr>
        <w:t>קיים כנכסים שאינם ידועים</w:t>
      </w:r>
      <w:r w:rsidRPr="00966159">
        <w:rPr>
          <w:rFonts w:cs="Arial" w:hint="cs"/>
          <w:rtl/>
        </w:rPr>
        <w:t>,</w:t>
      </w:r>
      <w:r w:rsidRPr="00966159">
        <w:rPr>
          <w:rFonts w:cs="Arial"/>
          <w:rtl/>
        </w:rPr>
        <w:t xml:space="preserve"> דיכולה היא ג"כ ליתנם במתנת שכיב מרע שאינם כירושה</w:t>
      </w:r>
      <w:r w:rsidRPr="00966159">
        <w:rPr>
          <w:rFonts w:cs="Arial" w:hint="cs"/>
          <w:rtl/>
        </w:rPr>
        <w:t>,</w:t>
      </w:r>
      <w:r w:rsidRPr="00966159">
        <w:rPr>
          <w:rFonts w:cs="Arial"/>
          <w:rtl/>
        </w:rPr>
        <w:t xml:space="preserve"> אבל כל שלא זכתה אותם לאחר</w:t>
      </w:r>
      <w:r w:rsidRPr="00966159">
        <w:rPr>
          <w:rFonts w:cs="Arial" w:hint="cs"/>
          <w:rtl/>
        </w:rPr>
        <w:t xml:space="preserve"> -</w:t>
      </w:r>
      <w:r w:rsidRPr="00966159">
        <w:rPr>
          <w:rFonts w:cs="Arial"/>
          <w:rtl/>
        </w:rPr>
        <w:t xml:space="preserve"> הבעל יורש אותם</w:t>
      </w:r>
      <w:r>
        <w:rPr>
          <w:rStyle w:val="a7"/>
          <w:rFonts w:cs="Arial"/>
          <w:rtl/>
        </w:rPr>
        <w:footnoteReference w:id="2010"/>
      </w:r>
      <w:r w:rsidRPr="00966159">
        <w:rPr>
          <w:rFonts w:cs="Arial" w:hint="cs"/>
          <w:rtl/>
        </w:rPr>
        <w:t>.</w:t>
      </w:r>
      <w:r w:rsidRPr="00966159">
        <w:rPr>
          <w:rFonts w:cs="Arial"/>
          <w:rtl/>
        </w:rPr>
        <w:t xml:space="preserve"> </w:t>
      </w:r>
    </w:p>
    <w:p w14:paraId="41466E68" w14:textId="77777777" w:rsidR="002E5BAD" w:rsidRPr="00D9440F" w:rsidRDefault="002E5BAD" w:rsidP="002E5BAD">
      <w:pPr>
        <w:pStyle w:val="ab"/>
        <w:numPr>
          <w:ilvl w:val="0"/>
          <w:numId w:val="186"/>
        </w:numPr>
        <w:rPr>
          <w:rtl/>
        </w:rPr>
      </w:pPr>
      <w:r w:rsidRPr="00966159">
        <w:rPr>
          <w:rFonts w:cs="Arial"/>
          <w:rtl/>
        </w:rPr>
        <w:lastRenderedPageBreak/>
        <w:t xml:space="preserve">ר"ן </w:t>
      </w:r>
      <w:r w:rsidRPr="00966159">
        <w:rPr>
          <w:rFonts w:cs="Arial"/>
          <w:sz w:val="16"/>
          <w:szCs w:val="16"/>
          <w:rtl/>
        </w:rPr>
        <w:t>(לז: ד"ה הא)</w:t>
      </w:r>
      <w:r>
        <w:rPr>
          <w:rFonts w:cs="Arial" w:hint="cs"/>
          <w:rtl/>
        </w:rPr>
        <w:t>-</w:t>
      </w:r>
      <w:r w:rsidRPr="00C831CF">
        <w:rPr>
          <w:rFonts w:cs="Arial"/>
          <w:rtl/>
        </w:rPr>
        <w:t xml:space="preserve"> הדבר ברור במברחת שאם מתה </w:t>
      </w:r>
      <w:r>
        <w:rPr>
          <w:rFonts w:cs="Arial" w:hint="cs"/>
          <w:rtl/>
        </w:rPr>
        <w:t xml:space="preserve">- </w:t>
      </w:r>
      <w:r w:rsidRPr="00C831CF">
        <w:rPr>
          <w:rFonts w:cs="Arial"/>
          <w:rtl/>
        </w:rPr>
        <w:t>אין הבעל יורשה שהרי מקבל מתנה זוכה בנכסים</w:t>
      </w:r>
      <w:r>
        <w:rPr>
          <w:rStyle w:val="a7"/>
          <w:rFonts w:cs="Arial"/>
          <w:rtl/>
        </w:rPr>
        <w:footnoteReference w:id="2011"/>
      </w:r>
      <w:r>
        <w:rPr>
          <w:rFonts w:cs="Arial" w:hint="cs"/>
          <w:rtl/>
        </w:rPr>
        <w:t>.</w:t>
      </w:r>
      <w:r w:rsidRPr="00C831CF">
        <w:rPr>
          <w:rFonts w:cs="Arial"/>
          <w:rtl/>
        </w:rPr>
        <w:t xml:space="preserve"> אבל בכותבת לו מהיום ולכשארצה כיון שלא זכה לוקח מעולם</w:t>
      </w:r>
      <w:r>
        <w:rPr>
          <w:rFonts w:cs="Arial" w:hint="cs"/>
          <w:rtl/>
        </w:rPr>
        <w:t>,</w:t>
      </w:r>
      <w:r w:rsidRPr="00C831CF">
        <w:rPr>
          <w:rFonts w:cs="Arial"/>
          <w:rtl/>
        </w:rPr>
        <w:t xml:space="preserve"> נהי דהוו כנכסים שאינן ידועים שהוא סבור שתאמר אין</w:t>
      </w:r>
      <w:r>
        <w:rPr>
          <w:rFonts w:cs="Arial" w:hint="cs"/>
          <w:rtl/>
        </w:rPr>
        <w:t>,</w:t>
      </w:r>
      <w:r w:rsidRPr="00C831CF">
        <w:rPr>
          <w:rFonts w:cs="Arial"/>
          <w:rtl/>
        </w:rPr>
        <w:t xml:space="preserve"> תינח לענין אכילת פירות</w:t>
      </w:r>
      <w:r>
        <w:rPr>
          <w:rFonts w:cs="Arial" w:hint="cs"/>
          <w:rtl/>
        </w:rPr>
        <w:t>,</w:t>
      </w:r>
      <w:r w:rsidRPr="00C831CF">
        <w:rPr>
          <w:rFonts w:cs="Arial"/>
          <w:rtl/>
        </w:rPr>
        <w:t xml:space="preserve"> אבל לענין ירושתה למה לא יירש אותה</w:t>
      </w:r>
      <w:r>
        <w:rPr>
          <w:rFonts w:cs="Arial" w:hint="cs"/>
          <w:rtl/>
        </w:rPr>
        <w:t>,</w:t>
      </w:r>
      <w:r w:rsidRPr="00C831CF">
        <w:rPr>
          <w:rFonts w:cs="Arial"/>
          <w:rtl/>
        </w:rPr>
        <w:t xml:space="preserve"> וכדאמרינן בנכסים שאינן ידועים שאין הבעל אוכל פירות ואעפ"כ נראין הדברים שהבעל יורש אותן כמו שכתבתי במשנתנו</w:t>
      </w:r>
      <w:r>
        <w:rPr>
          <w:rFonts w:cs="Arial" w:hint="cs"/>
          <w:rtl/>
        </w:rPr>
        <w:t>...</w:t>
      </w:r>
      <w:r w:rsidRPr="00C831CF">
        <w:rPr>
          <w:rFonts w:cs="Arial"/>
          <w:rtl/>
        </w:rPr>
        <w:t xml:space="preserve"> וכל שכן למי שסובר </w:t>
      </w:r>
      <w:r w:rsidRPr="00C831CF">
        <w:rPr>
          <w:rFonts w:cs="Arial"/>
          <w:sz w:val="16"/>
          <w:szCs w:val="16"/>
          <w:rtl/>
        </w:rPr>
        <w:t xml:space="preserve">(כתובות פד.) </w:t>
      </w:r>
      <w:r w:rsidRPr="00C831CF">
        <w:rPr>
          <w:rFonts w:cs="Arial"/>
          <w:rtl/>
        </w:rPr>
        <w:t>שירושת הבעל דאורייתא</w:t>
      </w:r>
      <w:r w:rsidRPr="00C831CF">
        <w:rPr>
          <w:rFonts w:cs="Arial" w:hint="cs"/>
          <w:rtl/>
        </w:rPr>
        <w:t>,</w:t>
      </w:r>
      <w:r w:rsidRPr="00C831CF">
        <w:rPr>
          <w:rFonts w:cs="Arial"/>
          <w:rtl/>
        </w:rPr>
        <w:t xml:space="preserve"> שהדבר ברור שאין זה מספיק לעקור ירושתו</w:t>
      </w:r>
      <w:r w:rsidRPr="00C831CF">
        <w:rPr>
          <w:rFonts w:cs="Arial" w:hint="cs"/>
          <w:rtl/>
        </w:rPr>
        <w:t>.</w:t>
      </w:r>
      <w:r w:rsidRPr="00C831CF">
        <w:rPr>
          <w:rFonts w:cs="Arial"/>
          <w:rtl/>
        </w:rPr>
        <w:t xml:space="preserve"> </w:t>
      </w:r>
    </w:p>
    <w:p w14:paraId="46065B6E" w14:textId="77777777" w:rsidR="002E5BAD" w:rsidRPr="00392EFD" w:rsidRDefault="002E5BAD" w:rsidP="002E5BAD">
      <w:pPr>
        <w:ind w:left="360"/>
        <w:rPr>
          <w:u w:val="dotted"/>
        </w:rPr>
      </w:pPr>
      <w:r w:rsidRPr="00392EFD">
        <w:rPr>
          <w:rFonts w:hint="cs"/>
          <w:u w:val="dotted"/>
          <w:rtl/>
        </w:rPr>
        <w:t>ומה הדין אם מת הבעל ומיד אחריו מתה היא:</w:t>
      </w:r>
    </w:p>
    <w:p w14:paraId="7CEE6805" w14:textId="77777777" w:rsidR="002E5BAD" w:rsidRPr="00392EFD" w:rsidRDefault="002E5BAD" w:rsidP="002E5BAD">
      <w:pPr>
        <w:pStyle w:val="ab"/>
        <w:numPr>
          <w:ilvl w:val="0"/>
          <w:numId w:val="186"/>
        </w:numPr>
      </w:pPr>
      <w:r>
        <w:rPr>
          <w:rFonts w:cs="Arial" w:hint="cs"/>
          <w:rtl/>
        </w:rPr>
        <w:t xml:space="preserve">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ו</w:t>
      </w:r>
      <w:r w:rsidRPr="004D3B08">
        <w:rPr>
          <w:rFonts w:cs="Arial" w:hint="cs"/>
          <w:rtl/>
        </w:rPr>
        <w:t xml:space="preserve">טור- </w:t>
      </w:r>
      <w:r w:rsidRPr="004D3B08">
        <w:rPr>
          <w:rFonts w:cs="Arial"/>
          <w:rtl/>
        </w:rPr>
        <w:t>אפי</w:t>
      </w:r>
      <w:r>
        <w:rPr>
          <w:rFonts w:cs="Arial" w:hint="cs"/>
          <w:rtl/>
        </w:rPr>
        <w:t>לו</w:t>
      </w:r>
      <w:r w:rsidRPr="004D3B08">
        <w:rPr>
          <w:rFonts w:cs="Arial"/>
          <w:rtl/>
        </w:rPr>
        <w:t xml:space="preserve"> מתה אחרי מות הבעל מיד קודם שחזרה בה</w:t>
      </w:r>
      <w:r>
        <w:rPr>
          <w:rFonts w:cs="Arial" w:hint="cs"/>
          <w:rtl/>
        </w:rPr>
        <w:t xml:space="preserve">... </w:t>
      </w:r>
      <w:r>
        <w:rPr>
          <w:rFonts w:cs="Arial"/>
          <w:rtl/>
        </w:rPr>
        <w:t>–</w:t>
      </w:r>
      <w:r>
        <w:rPr>
          <w:rFonts w:cs="Arial" w:hint="cs"/>
          <w:rtl/>
        </w:rPr>
        <w:t xml:space="preserve"> תחזור ליורשים</w:t>
      </w:r>
      <w:r>
        <w:rPr>
          <w:rStyle w:val="a7"/>
          <w:rFonts w:cs="Arial"/>
          <w:rtl/>
        </w:rPr>
        <w:footnoteReference w:id="2012"/>
      </w:r>
      <w:r>
        <w:rPr>
          <w:rFonts w:cs="Arial" w:hint="cs"/>
          <w:sz w:val="16"/>
          <w:szCs w:val="16"/>
          <w:rtl/>
        </w:rPr>
        <w:t xml:space="preserve"> (ל' הטור)</w:t>
      </w:r>
      <w:r>
        <w:rPr>
          <w:rFonts w:cs="Arial" w:hint="cs"/>
          <w:rtl/>
        </w:rPr>
        <w:t xml:space="preserve">. (וכ"פ הב"י ח"מ </w:t>
      </w:r>
      <w:r>
        <w:rPr>
          <w:rFonts w:cs="Arial" w:hint="cs"/>
          <w:sz w:val="16"/>
          <w:szCs w:val="16"/>
          <w:rtl/>
        </w:rPr>
        <w:t>[סקכ"ב]</w:t>
      </w:r>
      <w:r w:rsidRPr="006B2D4F">
        <w:rPr>
          <w:rFonts w:cs="Arial" w:hint="cs"/>
          <w:rtl/>
        </w:rPr>
        <w:t xml:space="preserve"> </w:t>
      </w:r>
      <w:r>
        <w:rPr>
          <w:rFonts w:cs="Arial" w:hint="cs"/>
          <w:rtl/>
        </w:rPr>
        <w:t xml:space="preserve">וב"ש </w:t>
      </w:r>
      <w:r>
        <w:rPr>
          <w:rFonts w:cs="Arial" w:hint="cs"/>
          <w:sz w:val="16"/>
          <w:szCs w:val="16"/>
          <w:rtl/>
        </w:rPr>
        <w:t>[סקכ"ט]</w:t>
      </w:r>
      <w:r>
        <w:rPr>
          <w:rFonts w:cs="Arial" w:hint="cs"/>
          <w:rtl/>
        </w:rPr>
        <w:t>)</w:t>
      </w:r>
    </w:p>
    <w:p w14:paraId="61197895" w14:textId="77777777" w:rsidR="002E5BAD" w:rsidRDefault="002E5BAD" w:rsidP="002E5BAD">
      <w:pPr>
        <w:pStyle w:val="ab"/>
        <w:numPr>
          <w:ilvl w:val="0"/>
          <w:numId w:val="186"/>
        </w:numPr>
      </w:pPr>
      <w:r w:rsidRPr="004D3B08">
        <w:rPr>
          <w:rFonts w:cs="Arial"/>
          <w:rtl/>
        </w:rPr>
        <w:t>רמ"ה</w:t>
      </w:r>
      <w:r>
        <w:rPr>
          <w:rFonts w:cs="Arial" w:hint="cs"/>
          <w:sz w:val="16"/>
          <w:szCs w:val="16"/>
          <w:rtl/>
        </w:rPr>
        <w:t xml:space="preserve"> (כ"כ הטור בשמו)</w:t>
      </w:r>
      <w:r>
        <w:rPr>
          <w:rFonts w:cs="Arial" w:hint="cs"/>
          <w:rtl/>
        </w:rPr>
        <w:t xml:space="preserve">- </w:t>
      </w:r>
      <w:r w:rsidRPr="004D3B08">
        <w:rPr>
          <w:rFonts w:cs="Arial"/>
          <w:rtl/>
        </w:rPr>
        <w:t>ישאר למקבל</w:t>
      </w:r>
      <w:r>
        <w:rPr>
          <w:rStyle w:val="a7"/>
          <w:rFonts w:cs="Arial"/>
          <w:rtl/>
        </w:rPr>
        <w:footnoteReference w:id="2013"/>
      </w:r>
      <w:r>
        <w:rPr>
          <w:rFonts w:cs="Arial" w:hint="cs"/>
          <w:rtl/>
        </w:rPr>
        <w:t>.</w:t>
      </w:r>
    </w:p>
    <w:p w14:paraId="2933D435" w14:textId="77777777" w:rsidR="002E5BAD" w:rsidRPr="00966159" w:rsidRDefault="002E5BAD" w:rsidP="002E5BAD">
      <w:pPr>
        <w:ind w:left="360"/>
        <w:rPr>
          <w:u w:val="dotted"/>
        </w:rPr>
      </w:pPr>
      <w:r w:rsidRPr="00966159">
        <w:rPr>
          <w:rFonts w:hint="cs"/>
          <w:u w:val="dotted"/>
          <w:rtl/>
        </w:rPr>
        <w:t>כשכתבה ל</w:t>
      </w:r>
      <w:r>
        <w:rPr>
          <w:rFonts w:hint="cs"/>
          <w:u w:val="dotted"/>
          <w:rtl/>
        </w:rPr>
        <w:t>מקבל</w:t>
      </w:r>
      <w:r w:rsidRPr="00966159">
        <w:rPr>
          <w:rFonts w:hint="cs"/>
          <w:u w:val="dotted"/>
          <w:rtl/>
        </w:rPr>
        <w:t xml:space="preserve"> 'מהיום ולכשארצה'</w:t>
      </w:r>
      <w:r>
        <w:rPr>
          <w:rFonts w:hint="cs"/>
          <w:sz w:val="16"/>
          <w:szCs w:val="16"/>
          <w:u w:val="dotted"/>
          <w:rtl/>
        </w:rPr>
        <w:t xml:space="preserve"> (לפירוש הרמב"ם</w:t>
      </w:r>
      <w:r>
        <w:rPr>
          <w:rStyle w:val="a7"/>
          <w:sz w:val="16"/>
          <w:szCs w:val="16"/>
          <w:u w:val="dotted"/>
          <w:rtl/>
        </w:rPr>
        <w:footnoteReference w:id="2014"/>
      </w:r>
      <w:r>
        <w:rPr>
          <w:rFonts w:hint="cs"/>
          <w:sz w:val="16"/>
          <w:szCs w:val="16"/>
          <w:u w:val="dotted"/>
          <w:rtl/>
        </w:rPr>
        <w:t>)</w:t>
      </w:r>
      <w:r w:rsidRPr="00966159">
        <w:rPr>
          <w:rFonts w:hint="cs"/>
          <w:u w:val="dotted"/>
          <w:rtl/>
        </w:rPr>
        <w:t xml:space="preserve">, ואכל המקבל </w:t>
      </w:r>
      <w:r>
        <w:rPr>
          <w:rFonts w:hint="cs"/>
          <w:u w:val="dotted"/>
          <w:rtl/>
        </w:rPr>
        <w:t>את ה</w:t>
      </w:r>
      <w:r w:rsidRPr="00966159">
        <w:rPr>
          <w:rFonts w:hint="cs"/>
          <w:u w:val="dotted"/>
          <w:rtl/>
        </w:rPr>
        <w:t xml:space="preserve">פירות </w:t>
      </w:r>
      <w:r w:rsidRPr="00966159">
        <w:rPr>
          <w:u w:val="dotted"/>
          <w:rtl/>
        </w:rPr>
        <w:t>–</w:t>
      </w:r>
      <w:r w:rsidRPr="00966159">
        <w:rPr>
          <w:rFonts w:hint="cs"/>
          <w:u w:val="dotted"/>
          <w:rtl/>
        </w:rPr>
        <w:t xml:space="preserve"> האם </w:t>
      </w:r>
      <w:r>
        <w:rPr>
          <w:rFonts w:hint="cs"/>
          <w:u w:val="dotted"/>
          <w:rtl/>
        </w:rPr>
        <w:t>צריך להחזיר לאשה</w:t>
      </w:r>
      <w:r w:rsidRPr="00966159">
        <w:rPr>
          <w:rFonts w:hint="cs"/>
          <w:u w:val="dotted"/>
          <w:rtl/>
        </w:rPr>
        <w:t>:</w:t>
      </w:r>
    </w:p>
    <w:p w14:paraId="4460B432" w14:textId="77777777" w:rsidR="002E5BAD" w:rsidRPr="006B7900" w:rsidRDefault="002E5BAD" w:rsidP="002E5BAD">
      <w:pPr>
        <w:pStyle w:val="ab"/>
        <w:numPr>
          <w:ilvl w:val="0"/>
          <w:numId w:val="186"/>
        </w:numPr>
        <w:rPr>
          <w:rtl/>
        </w:rPr>
      </w:pPr>
      <w:r w:rsidRPr="00966159">
        <w:rPr>
          <w:rFonts w:cs="Arial"/>
          <w:rtl/>
        </w:rPr>
        <w:t xml:space="preserve">ר"ן </w:t>
      </w:r>
      <w:r w:rsidRPr="00966159">
        <w:rPr>
          <w:rFonts w:cs="Arial"/>
          <w:sz w:val="16"/>
          <w:szCs w:val="16"/>
          <w:rtl/>
        </w:rPr>
        <w:t>(לז: ד"ה הא)</w:t>
      </w:r>
      <w:r>
        <w:rPr>
          <w:rFonts w:cs="Arial" w:hint="cs"/>
          <w:rtl/>
        </w:rPr>
        <w:t>-</w:t>
      </w:r>
      <w:r w:rsidRPr="00966159">
        <w:rPr>
          <w:rFonts w:cs="Arial"/>
          <w:rtl/>
        </w:rPr>
        <w:t xml:space="preserve"> ולענין פירות שאכל מקבל מתנה בכתבה לו מהיום ולכשארצה</w:t>
      </w:r>
      <w:r w:rsidRPr="00966159">
        <w:rPr>
          <w:rFonts w:cs="Arial" w:hint="cs"/>
          <w:rtl/>
        </w:rPr>
        <w:t>,</w:t>
      </w:r>
      <w:r w:rsidRPr="00966159">
        <w:rPr>
          <w:rFonts w:cs="Arial"/>
          <w:rtl/>
        </w:rPr>
        <w:t xml:space="preserve"> אף על פי שלא רצתה מעולם נראה שאין מוציאין אותם מידו דמסתמא מחלה להו כיון דברשות קא אכיל</w:t>
      </w:r>
      <w:r w:rsidRPr="00966159">
        <w:rPr>
          <w:rFonts w:cs="Arial" w:hint="cs"/>
          <w:rtl/>
        </w:rPr>
        <w:t>.</w:t>
      </w:r>
      <w:r>
        <w:rPr>
          <w:rFonts w:hint="cs"/>
          <w:rtl/>
        </w:rPr>
        <w:t xml:space="preserve"> (וכ"כ ב"ש</w:t>
      </w:r>
      <w:r>
        <w:rPr>
          <w:rFonts w:hint="cs"/>
          <w:sz w:val="16"/>
          <w:szCs w:val="16"/>
          <w:rtl/>
        </w:rPr>
        <w:t xml:space="preserve"> [סקל"ב]</w:t>
      </w:r>
      <w:r>
        <w:rPr>
          <w:rFonts w:hint="cs"/>
          <w:rtl/>
        </w:rPr>
        <w:t>)</w:t>
      </w:r>
    </w:p>
    <w:p w14:paraId="4CEDABD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4E55FF8" w14:textId="77777777" w:rsidR="002E5BAD" w:rsidRDefault="002E5BAD" w:rsidP="002E5BAD">
      <w:pPr>
        <w:rPr>
          <w:rFonts w:cs="Arial"/>
          <w:rtl/>
        </w:rPr>
      </w:pPr>
      <w:r w:rsidRPr="00EB79BF">
        <w:rPr>
          <w:rFonts w:cs="Arial"/>
          <w:rtl/>
        </w:rPr>
        <w:t>האשה שכתבה כל נכסיה לאחר, בין קרוב בין רחוק, קודם שתנשא</w:t>
      </w:r>
      <w:r>
        <w:rPr>
          <w:rStyle w:val="a7"/>
          <w:rFonts w:cs="Arial"/>
          <w:rtl/>
        </w:rPr>
        <w:footnoteReference w:id="2015"/>
      </w:r>
      <w:r w:rsidRPr="00EB79BF">
        <w:rPr>
          <w:rFonts w:cs="Arial"/>
          <w:rtl/>
        </w:rPr>
        <w:t>, אף על פי שאם נתאלמנה או נתגרשה תבטל המתנה, אין הבעל אוכל פירותיהם, ואם מתה בחייו, אינו יורשה, שהרי נתנה אותם קודם שתנשא</w:t>
      </w:r>
      <w:r>
        <w:rPr>
          <w:rFonts w:cs="Arial" w:hint="cs"/>
          <w:rtl/>
        </w:rPr>
        <w:t>.</w:t>
      </w:r>
      <w:r w:rsidRPr="00EB79BF">
        <w:rPr>
          <w:rFonts w:cs="Arial"/>
          <w:rtl/>
        </w:rPr>
        <w:t xml:space="preserve"> וכשתמות בחיי בעלה, יקנה מקבל המתנה מתנתו קנין גמור. ולא עוד אלא אפילו נתנה מקצת נכסיה או כולם, קודם, וכתבה למקבל מתנה: קנה מהיום ולכשארצה, שהרי לא קנה קנין גמור עד שתרצה, אין הבעל אוכל פירות אותה המתנה, ואם מתה אינו יורשה. </w:t>
      </w:r>
    </w:p>
    <w:p w14:paraId="7E9F8E46" w14:textId="77777777" w:rsidR="002E5BAD" w:rsidRPr="006B49AA" w:rsidRDefault="002E5BAD" w:rsidP="002E5BAD">
      <w:pPr>
        <w:rPr>
          <w:rFonts w:cs="Arial"/>
          <w:u w:val="single"/>
          <w:rtl/>
        </w:rPr>
      </w:pPr>
      <w:r w:rsidRPr="006B49AA">
        <w:rPr>
          <w:rFonts w:cs="Arial" w:hint="cs"/>
          <w:u w:val="single"/>
          <w:rtl/>
        </w:rPr>
        <w:t xml:space="preserve">אשה שהחליטה למכור למישהו אחר את המתנה שנתנה למקבל </w:t>
      </w:r>
      <w:r w:rsidRPr="006B49AA">
        <w:rPr>
          <w:rFonts w:cs="Arial"/>
          <w:u w:val="single"/>
          <w:rtl/>
        </w:rPr>
        <w:t>–</w:t>
      </w:r>
      <w:r w:rsidRPr="006B49AA">
        <w:rPr>
          <w:rFonts w:cs="Arial" w:hint="cs"/>
          <w:u w:val="single"/>
          <w:rtl/>
        </w:rPr>
        <w:t xml:space="preserve"> האם בעת המכירה המתנה הופכת לנכסי מלוג:</w:t>
      </w:r>
    </w:p>
    <w:p w14:paraId="4A2203D2" w14:textId="77777777" w:rsidR="002E5BAD" w:rsidRPr="006B49AA" w:rsidRDefault="002E5BAD" w:rsidP="002E5BAD">
      <w:pPr>
        <w:pStyle w:val="ab"/>
        <w:numPr>
          <w:ilvl w:val="0"/>
          <w:numId w:val="186"/>
        </w:numPr>
        <w:rPr>
          <w:rFonts w:cs="Arial"/>
          <w:rtl/>
        </w:rPr>
      </w:pPr>
      <w:r>
        <w:rPr>
          <w:rFonts w:hint="cs"/>
          <w:rtl/>
        </w:rPr>
        <w:t xml:space="preserve">ב"ש </w:t>
      </w:r>
      <w:r w:rsidRPr="006B49AA">
        <w:rPr>
          <w:rFonts w:hint="cs"/>
          <w:sz w:val="16"/>
          <w:szCs w:val="16"/>
          <w:rtl/>
        </w:rPr>
        <w:t>(סק"ל)</w:t>
      </w:r>
      <w:r>
        <w:rPr>
          <w:rFonts w:hint="cs"/>
          <w:rtl/>
        </w:rPr>
        <w:t xml:space="preserve">- </w:t>
      </w:r>
      <w:r w:rsidRPr="006B49AA">
        <w:rPr>
          <w:rFonts w:cs="Arial"/>
          <w:rtl/>
        </w:rPr>
        <w:t>מבואר בהרא"ש ובטור שיכולה לחזור אפילו בחיי בעלה וליתן לאחר</w:t>
      </w:r>
      <w:r w:rsidRPr="006B49AA">
        <w:rPr>
          <w:rFonts w:cs="Arial" w:hint="cs"/>
          <w:rtl/>
        </w:rPr>
        <w:t>.</w:t>
      </w:r>
      <w:r w:rsidRPr="006B49AA">
        <w:rPr>
          <w:rFonts w:cs="Arial"/>
          <w:rtl/>
        </w:rPr>
        <w:t xml:space="preserve"> וכ</w:t>
      </w:r>
      <w:r w:rsidRPr="006B49AA">
        <w:rPr>
          <w:rFonts w:cs="Arial" w:hint="cs"/>
          <w:rtl/>
        </w:rPr>
        <w:t>"כ הה"מ (</w:t>
      </w:r>
      <w:r w:rsidRPr="006B49AA">
        <w:rPr>
          <w:rFonts w:cs="Arial"/>
          <w:rtl/>
        </w:rPr>
        <w:t>פ"ו ה"ז</w:t>
      </w:r>
      <w:r w:rsidRPr="006B49AA">
        <w:rPr>
          <w:rFonts w:cs="Arial" w:hint="cs"/>
          <w:rtl/>
        </w:rPr>
        <w:t>)</w:t>
      </w:r>
      <w:r w:rsidRPr="006B49AA">
        <w:rPr>
          <w:rFonts w:cs="Arial"/>
          <w:rtl/>
        </w:rPr>
        <w:t xml:space="preserve"> בשם הרשב"א</w:t>
      </w:r>
      <w:r w:rsidRPr="006B49AA">
        <w:rPr>
          <w:rFonts w:cs="Arial" w:hint="cs"/>
          <w:rtl/>
        </w:rPr>
        <w:t>.</w:t>
      </w:r>
      <w:r w:rsidRPr="006B49AA">
        <w:rPr>
          <w:rFonts w:cs="Arial"/>
          <w:rtl/>
        </w:rPr>
        <w:t xml:space="preserve"> וע</w:t>
      </w:r>
      <w:r w:rsidRPr="006B49AA">
        <w:rPr>
          <w:rFonts w:cs="Arial" w:hint="cs"/>
          <w:rtl/>
        </w:rPr>
        <w:t>ל כרחך</w:t>
      </w:r>
      <w:r w:rsidRPr="006B49AA">
        <w:rPr>
          <w:rFonts w:cs="Arial"/>
          <w:rtl/>
        </w:rPr>
        <w:t xml:space="preserve"> </w:t>
      </w:r>
      <w:r w:rsidRPr="006B49AA">
        <w:rPr>
          <w:rFonts w:cs="Arial" w:hint="cs"/>
          <w:rtl/>
        </w:rPr>
        <w:t>ד</w:t>
      </w:r>
      <w:r w:rsidRPr="006B49AA">
        <w:rPr>
          <w:rFonts w:cs="Arial"/>
          <w:rtl/>
        </w:rPr>
        <w:t>איירי בנותנת כל נכסיה סתם</w:t>
      </w:r>
      <w:r w:rsidRPr="006B49AA">
        <w:rPr>
          <w:rFonts w:cs="Arial" w:hint="cs"/>
          <w:rtl/>
        </w:rPr>
        <w:t>,</w:t>
      </w:r>
      <w:r w:rsidRPr="006B49AA">
        <w:rPr>
          <w:rFonts w:cs="Arial"/>
          <w:rtl/>
        </w:rPr>
        <w:t xml:space="preserve"> דאי באמרה מהיום ולכשארצה פשיטא יכולה לחזור</w:t>
      </w:r>
      <w:r w:rsidRPr="006B49AA">
        <w:rPr>
          <w:rFonts w:cs="Arial" w:hint="cs"/>
          <w:rtl/>
        </w:rPr>
        <w:t>.</w:t>
      </w:r>
      <w:r w:rsidRPr="006B49AA">
        <w:rPr>
          <w:rFonts w:cs="Arial"/>
          <w:rtl/>
        </w:rPr>
        <w:t xml:space="preserve"> ונראה אם חזרה נעשה מיד נ</w:t>
      </w:r>
      <w:r w:rsidRPr="006B49AA">
        <w:rPr>
          <w:rFonts w:cs="Arial" w:hint="cs"/>
          <w:rtl/>
        </w:rPr>
        <w:t>כ</w:t>
      </w:r>
      <w:r w:rsidRPr="006B49AA">
        <w:rPr>
          <w:rFonts w:cs="Arial"/>
          <w:rtl/>
        </w:rPr>
        <w:t>"מ</w:t>
      </w:r>
      <w:r w:rsidRPr="006B49AA">
        <w:rPr>
          <w:rFonts w:cs="Arial" w:hint="cs"/>
          <w:rtl/>
        </w:rPr>
        <w:t>,</w:t>
      </w:r>
      <w:r w:rsidRPr="006B49AA">
        <w:rPr>
          <w:rFonts w:cs="Arial"/>
          <w:rtl/>
        </w:rPr>
        <w:t xml:space="preserve"> ואם מכרה אחר כך הוי כאלו מכרה נ</w:t>
      </w:r>
      <w:r w:rsidRPr="006B49AA">
        <w:rPr>
          <w:rFonts w:cs="Arial" w:hint="cs"/>
          <w:rtl/>
        </w:rPr>
        <w:t>כ</w:t>
      </w:r>
      <w:r w:rsidRPr="006B49AA">
        <w:rPr>
          <w:rFonts w:cs="Arial"/>
          <w:rtl/>
        </w:rPr>
        <w:t>"מ</w:t>
      </w:r>
      <w:r w:rsidRPr="006B49AA">
        <w:rPr>
          <w:rFonts w:cs="Arial" w:hint="cs"/>
          <w:rtl/>
        </w:rPr>
        <w:t>.</w:t>
      </w:r>
      <w:r w:rsidRPr="006B49AA">
        <w:rPr>
          <w:rFonts w:cs="Arial"/>
          <w:rtl/>
        </w:rPr>
        <w:t xml:space="preserve"> אא</w:t>
      </w:r>
      <w:r w:rsidRPr="006B49AA">
        <w:rPr>
          <w:rFonts w:cs="Arial" w:hint="cs"/>
          <w:rtl/>
        </w:rPr>
        <w:t>"</w:t>
      </w:r>
      <w:r w:rsidRPr="006B49AA">
        <w:rPr>
          <w:rFonts w:cs="Arial"/>
          <w:rtl/>
        </w:rPr>
        <w:t>כ דחזרה ומכרה ולא ידע הבעל</w:t>
      </w:r>
      <w:r w:rsidRPr="006B49AA">
        <w:rPr>
          <w:rFonts w:cs="Arial" w:hint="cs"/>
          <w:rtl/>
        </w:rPr>
        <w:t>,</w:t>
      </w:r>
      <w:r w:rsidRPr="006B49AA">
        <w:rPr>
          <w:rFonts w:cs="Arial"/>
          <w:rtl/>
        </w:rPr>
        <w:t xml:space="preserve"> אז מכירתה קיימת</w:t>
      </w:r>
      <w:r>
        <w:rPr>
          <w:rFonts w:hint="cs"/>
          <w:rtl/>
        </w:rPr>
        <w:t>.</w:t>
      </w:r>
    </w:p>
    <w:p w14:paraId="15F97AD0" w14:textId="77777777" w:rsidR="002E5BAD" w:rsidRPr="00EB79BF" w:rsidRDefault="002E5BAD" w:rsidP="002E5BAD">
      <w:pPr>
        <w:rPr>
          <w:rFonts w:cs="Arial"/>
          <w:rtl/>
        </w:rPr>
      </w:pPr>
    </w:p>
    <w:p w14:paraId="1EE94A24" w14:textId="77777777" w:rsidR="002E5BAD" w:rsidRDefault="002E5BAD" w:rsidP="002E5BAD">
      <w:pPr>
        <w:pStyle w:val="2"/>
        <w:rPr>
          <w:rtl/>
        </w:rPr>
      </w:pPr>
      <w:r w:rsidRPr="00EB79BF">
        <w:rPr>
          <w:rtl/>
        </w:rPr>
        <w:t>סעיף ח</w:t>
      </w:r>
      <w:r>
        <w:rPr>
          <w:rFonts w:hint="cs"/>
          <w:rtl/>
        </w:rPr>
        <w:t xml:space="preserve">: מברחת שכתבה בשטר 'מתנה גמורה' </w:t>
      </w:r>
      <w:r w:rsidRPr="00643585">
        <w:rPr>
          <w:rFonts w:hint="cs"/>
          <w:sz w:val="20"/>
          <w:szCs w:val="20"/>
          <w:rtl/>
        </w:rPr>
        <w:t>(וכדומה)</w:t>
      </w:r>
      <w:r>
        <w:rPr>
          <w:rFonts w:hint="cs"/>
          <w:rtl/>
        </w:rPr>
        <w:t>.</w:t>
      </w:r>
    </w:p>
    <w:p w14:paraId="76CE12FA" w14:textId="77777777" w:rsidR="002E5BAD" w:rsidRPr="000C40D2" w:rsidRDefault="002E5BAD" w:rsidP="002E5BAD">
      <w:pPr>
        <w:rPr>
          <w:u w:val="single"/>
        </w:rPr>
      </w:pPr>
      <w:r w:rsidRPr="003D120B">
        <w:rPr>
          <w:rFonts w:hint="cs"/>
          <w:u w:val="single"/>
          <w:rtl/>
        </w:rPr>
        <w:t>מברחת שכתבה בשטר 'מתנה גמורה</w:t>
      </w:r>
      <w:r>
        <w:rPr>
          <w:rFonts w:hint="cs"/>
          <w:u w:val="single"/>
          <w:rtl/>
        </w:rPr>
        <w:t>/חלוטה/עולמית' וכדו'</w:t>
      </w:r>
      <w:r w:rsidRPr="003D120B">
        <w:rPr>
          <w:rFonts w:hint="cs"/>
          <w:u w:val="single"/>
          <w:rtl/>
        </w:rPr>
        <w:t>:</w:t>
      </w:r>
      <w:r w:rsidRPr="000C40D2">
        <w:rPr>
          <w:rFonts w:cs="Arial"/>
          <w:rtl/>
        </w:rPr>
        <w:t xml:space="preserve"> </w:t>
      </w:r>
    </w:p>
    <w:p w14:paraId="5ABB0119" w14:textId="77777777" w:rsidR="002E5BAD" w:rsidRDefault="002E5BAD" w:rsidP="002E5BAD">
      <w:pPr>
        <w:pStyle w:val="ab"/>
        <w:numPr>
          <w:ilvl w:val="0"/>
          <w:numId w:val="186"/>
        </w:numPr>
        <w:rPr>
          <w:rFonts w:cs="Arial"/>
        </w:rPr>
      </w:pPr>
      <w:r w:rsidRPr="005F77E3">
        <w:rPr>
          <w:rFonts w:cs="Arial"/>
          <w:rtl/>
        </w:rPr>
        <w:t>רא"</w:t>
      </w:r>
      <w:r>
        <w:rPr>
          <w:rFonts w:cs="Arial" w:hint="cs"/>
          <w:rtl/>
        </w:rPr>
        <w:t>ה</w:t>
      </w:r>
      <w:r>
        <w:rPr>
          <w:rFonts w:cs="Arial" w:hint="cs"/>
          <w:sz w:val="16"/>
          <w:szCs w:val="16"/>
          <w:rtl/>
        </w:rPr>
        <w:t xml:space="preserve"> (כ"כ בשמו הרשב"א [כתובות עט.] והר"ן [לז: סוד"ה הא])</w:t>
      </w:r>
      <w:r>
        <w:rPr>
          <w:rFonts w:cs="Arial" w:hint="cs"/>
          <w:rtl/>
        </w:rPr>
        <w:t xml:space="preserve">- </w:t>
      </w:r>
      <w:r w:rsidRPr="005F77E3">
        <w:rPr>
          <w:rFonts w:cs="Arial"/>
          <w:rtl/>
        </w:rPr>
        <w:t>דינא דמברחת דוקא בשלא כתבה לו מתנה גמורה</w:t>
      </w:r>
      <w:r>
        <w:rPr>
          <w:rFonts w:cs="Arial" w:hint="cs"/>
          <w:rtl/>
        </w:rPr>
        <w:t>,</w:t>
      </w:r>
      <w:r w:rsidRPr="005F77E3">
        <w:rPr>
          <w:rFonts w:cs="Arial"/>
          <w:rtl/>
        </w:rPr>
        <w:t xml:space="preserve"> מתנה חלוטה</w:t>
      </w:r>
      <w:r>
        <w:rPr>
          <w:rFonts w:cs="Arial" w:hint="cs"/>
          <w:rtl/>
        </w:rPr>
        <w:t>,</w:t>
      </w:r>
      <w:r w:rsidRPr="005F77E3">
        <w:rPr>
          <w:rFonts w:cs="Arial"/>
          <w:rtl/>
        </w:rPr>
        <w:t xml:space="preserve"> מתנת עלמין</w:t>
      </w:r>
      <w:r>
        <w:rPr>
          <w:rFonts w:cs="Arial" w:hint="cs"/>
          <w:rtl/>
        </w:rPr>
        <w:t>,</w:t>
      </w:r>
      <w:r w:rsidRPr="005F77E3">
        <w:rPr>
          <w:rFonts w:cs="Arial"/>
          <w:rtl/>
        </w:rPr>
        <w:t xml:space="preserve"> אבל אם כתבה לו כן </w:t>
      </w:r>
      <w:r>
        <w:rPr>
          <w:rFonts w:cs="Arial" w:hint="cs"/>
          <w:rtl/>
        </w:rPr>
        <w:t xml:space="preserve">- </w:t>
      </w:r>
      <w:r w:rsidRPr="005F77E3">
        <w:rPr>
          <w:rFonts w:cs="Arial"/>
          <w:rtl/>
        </w:rPr>
        <w:t>קנה לגמרי</w:t>
      </w:r>
      <w:r>
        <w:rPr>
          <w:rFonts w:cs="Arial" w:hint="cs"/>
          <w:rtl/>
        </w:rPr>
        <w:t>.</w:t>
      </w:r>
      <w:r w:rsidRPr="005C7937">
        <w:rPr>
          <w:rFonts w:hint="cs"/>
          <w:color w:val="E36C0A" w:themeColor="accent6" w:themeShade="BF"/>
          <w:rtl/>
        </w:rPr>
        <w:t xml:space="preserve"> </w:t>
      </w:r>
      <w:r w:rsidRPr="001D67C0">
        <w:rPr>
          <w:rFonts w:hint="cs"/>
          <w:color w:val="E36C0A" w:themeColor="accent6" w:themeShade="BF"/>
          <w:rtl/>
        </w:rPr>
        <w:t>(וכ"פ בשו"ע)</w:t>
      </w:r>
    </w:p>
    <w:p w14:paraId="5325F4B9" w14:textId="77777777" w:rsidR="002E5BAD" w:rsidRPr="000C40D2" w:rsidRDefault="002E5BAD" w:rsidP="002E5BAD">
      <w:pPr>
        <w:ind w:left="360"/>
        <w:rPr>
          <w:rFonts w:cs="Arial"/>
          <w:u w:val="dotted"/>
        </w:rPr>
      </w:pPr>
      <w:r w:rsidRPr="000C40D2">
        <w:rPr>
          <w:rFonts w:cs="Arial" w:hint="cs"/>
          <w:u w:val="dotted"/>
          <w:rtl/>
        </w:rPr>
        <w:t xml:space="preserve">ומה הדין בזמן שנוהגים לכתוב כך בכל השטרות </w:t>
      </w:r>
      <w:r w:rsidRPr="000C40D2">
        <w:rPr>
          <w:rFonts w:cs="Arial"/>
          <w:u w:val="dotted"/>
          <w:rtl/>
        </w:rPr>
        <w:t>–</w:t>
      </w:r>
      <w:r w:rsidRPr="000C40D2">
        <w:rPr>
          <w:rFonts w:cs="Arial" w:hint="cs"/>
          <w:u w:val="dotted"/>
          <w:rtl/>
        </w:rPr>
        <w:t xml:space="preserve"> האם דנים את זה כשופרא דשטרא:</w:t>
      </w:r>
    </w:p>
    <w:p w14:paraId="722A3279" w14:textId="77777777" w:rsidR="002E5BAD" w:rsidRPr="005F77E3" w:rsidRDefault="002E5BAD" w:rsidP="002E5BAD">
      <w:pPr>
        <w:pStyle w:val="ab"/>
        <w:numPr>
          <w:ilvl w:val="0"/>
          <w:numId w:val="186"/>
        </w:numPr>
        <w:rPr>
          <w:rFonts w:cs="Arial"/>
          <w:rtl/>
        </w:rPr>
      </w:pPr>
      <w:r w:rsidRPr="00643585">
        <w:rPr>
          <w:rFonts w:cs="Arial"/>
          <w:rtl/>
        </w:rPr>
        <w:lastRenderedPageBreak/>
        <w:t xml:space="preserve">רשב"א </w:t>
      </w:r>
      <w:r w:rsidRPr="00213D3D">
        <w:rPr>
          <w:rFonts w:cs="Arial"/>
          <w:sz w:val="16"/>
          <w:szCs w:val="16"/>
          <w:rtl/>
        </w:rPr>
        <w:t>(כתובות עט. ד"ה ובשם</w:t>
      </w:r>
      <w:r w:rsidRPr="00213D3D">
        <w:rPr>
          <w:rFonts w:cs="Arial" w:hint="cs"/>
          <w:sz w:val="16"/>
          <w:szCs w:val="16"/>
          <w:rtl/>
        </w:rPr>
        <w:t>, ו</w:t>
      </w:r>
      <w:r>
        <w:rPr>
          <w:rFonts w:cs="Arial" w:hint="cs"/>
          <w:sz w:val="16"/>
          <w:szCs w:val="16"/>
          <w:rtl/>
        </w:rPr>
        <w:t>העתיקו הה"מ [</w:t>
      </w:r>
      <w:r w:rsidRPr="00213D3D">
        <w:rPr>
          <w:rFonts w:cs="Arial" w:hint="cs"/>
          <w:sz w:val="16"/>
          <w:szCs w:val="16"/>
          <w:rtl/>
        </w:rPr>
        <w:t>פ"ו מזכיה ומתנה הי"ב</w:t>
      </w:r>
      <w:r>
        <w:rPr>
          <w:rFonts w:cs="Arial" w:hint="cs"/>
          <w:sz w:val="16"/>
          <w:szCs w:val="16"/>
          <w:rtl/>
        </w:rPr>
        <w:t>] והר"ן [</w:t>
      </w:r>
      <w:r w:rsidRPr="00643585">
        <w:rPr>
          <w:rFonts w:cs="Arial"/>
          <w:sz w:val="16"/>
          <w:szCs w:val="16"/>
          <w:rtl/>
        </w:rPr>
        <w:t xml:space="preserve">לז: </w:t>
      </w:r>
      <w:r w:rsidRPr="00643585">
        <w:rPr>
          <w:rFonts w:cs="Arial" w:hint="cs"/>
          <w:sz w:val="16"/>
          <w:szCs w:val="16"/>
          <w:rtl/>
        </w:rPr>
        <w:t>סו</w:t>
      </w:r>
      <w:r w:rsidRPr="00643585">
        <w:rPr>
          <w:rFonts w:cs="Arial"/>
          <w:sz w:val="16"/>
          <w:szCs w:val="16"/>
          <w:rtl/>
        </w:rPr>
        <w:t>ד"ה הא</w:t>
      </w:r>
      <w:r>
        <w:rPr>
          <w:rFonts w:cs="Arial" w:hint="cs"/>
          <w:sz w:val="16"/>
          <w:szCs w:val="16"/>
          <w:rtl/>
        </w:rPr>
        <w:t>] את לשונו</w:t>
      </w:r>
      <w:r w:rsidRPr="00213D3D">
        <w:rPr>
          <w:rFonts w:cs="Arial"/>
          <w:sz w:val="16"/>
          <w:szCs w:val="16"/>
          <w:rtl/>
        </w:rPr>
        <w:t>)</w:t>
      </w:r>
      <w:r>
        <w:rPr>
          <w:rFonts w:cs="Arial" w:hint="cs"/>
          <w:rtl/>
        </w:rPr>
        <w:t xml:space="preserve">- </w:t>
      </w:r>
      <w:r w:rsidRPr="005F77E3">
        <w:rPr>
          <w:rFonts w:cs="Arial"/>
          <w:rtl/>
        </w:rPr>
        <w:t xml:space="preserve">ויש לדקדק לפי דבריו עכשיו שהכל כותבין כן אם נדון אותו לשופרא דשטרא עד שיכתובו וכך אמרה לנו בפירוש כדרך שעושין בתנאי נאמנות ועל הנאמנות בפירוש, ואני למד מדברי מורי הרב ז"ל שכתב במסכת בבא בתרא (מ' ב') גבי כתבוה בשוקא דכיון שהכל מורגלין לכתוב כן בזמנינו זה אינו צריך לומר בפירוש כן דאילו רצה לכסותה היה מצוה שלא לכתבה בפרהסיא ושלא לכתוב בשטר כן שהרי הוא יודע שכך הן כותבים וכאלו צום בפירוש כתבוה בשוקא הוא ואפשר לדון כאן כן, ונראין הדברים שהכל לפי ראות הדיינין שאי אפשר לומר באשה שתדע בנוסח השטרות שכותבי שטרות מורגלים לכתוב ועד שיעידו שכך אמרה להם בפירוש </w:t>
      </w:r>
      <w:r>
        <w:rPr>
          <w:rFonts w:cs="Arial" w:hint="cs"/>
          <w:rtl/>
        </w:rPr>
        <w:t>[</w:t>
      </w:r>
      <w:r w:rsidRPr="005F77E3">
        <w:rPr>
          <w:rFonts w:cs="Arial"/>
          <w:rtl/>
        </w:rPr>
        <w:t>לא קנה</w:t>
      </w:r>
      <w:r>
        <w:rPr>
          <w:rFonts w:cs="Arial" w:hint="cs"/>
          <w:rtl/>
        </w:rPr>
        <w:t>]</w:t>
      </w:r>
      <w:r>
        <w:rPr>
          <w:rStyle w:val="a7"/>
          <w:rFonts w:cs="Arial"/>
          <w:rtl/>
        </w:rPr>
        <w:footnoteReference w:id="2016"/>
      </w:r>
      <w:r w:rsidRPr="005F77E3">
        <w:rPr>
          <w:rFonts w:cs="Arial"/>
          <w:rtl/>
        </w:rPr>
        <w:t>, ואם רואים שידעה ולא מיחתה אף על פי שלא אמרה להם בפירוש אפשר לומר שתהא מתנתה קיימת</w:t>
      </w:r>
      <w:r>
        <w:rPr>
          <w:rStyle w:val="a7"/>
          <w:rFonts w:cs="Arial"/>
          <w:rtl/>
        </w:rPr>
        <w:footnoteReference w:id="2017"/>
      </w:r>
      <w:r>
        <w:rPr>
          <w:rFonts w:cs="Arial" w:hint="cs"/>
          <w:sz w:val="16"/>
          <w:szCs w:val="16"/>
          <w:rtl/>
        </w:rPr>
        <w:t xml:space="preserve"> (ל' הרשב"א)</w:t>
      </w:r>
      <w:r w:rsidRPr="005F77E3">
        <w:rPr>
          <w:rFonts w:cs="Arial"/>
          <w:rtl/>
        </w:rPr>
        <w:t>.</w:t>
      </w:r>
      <w:r>
        <w:rPr>
          <w:rFonts w:cs="Arial" w:hint="cs"/>
          <w:rtl/>
        </w:rPr>
        <w:t xml:space="preserve"> (וכ"פ ח"מ</w:t>
      </w:r>
      <w:r>
        <w:rPr>
          <w:rFonts w:cs="Arial" w:hint="cs"/>
          <w:sz w:val="16"/>
          <w:szCs w:val="16"/>
          <w:rtl/>
        </w:rPr>
        <w:t xml:space="preserve"> [סקכ"ו]</w:t>
      </w:r>
      <w:r>
        <w:rPr>
          <w:rFonts w:cs="Arial" w:hint="cs"/>
          <w:rtl/>
        </w:rPr>
        <w:t xml:space="preserve"> וב"ש </w:t>
      </w:r>
      <w:r>
        <w:rPr>
          <w:rFonts w:cs="Arial" w:hint="cs"/>
          <w:sz w:val="16"/>
          <w:szCs w:val="16"/>
          <w:rtl/>
        </w:rPr>
        <w:t>[סקל"ד]</w:t>
      </w:r>
      <w:r>
        <w:rPr>
          <w:rFonts w:cs="Arial" w:hint="cs"/>
          <w:rtl/>
        </w:rPr>
        <w:t>)</w:t>
      </w:r>
    </w:p>
    <w:p w14:paraId="57DF40E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ACA660B" w14:textId="77777777" w:rsidR="002E5BAD" w:rsidRDefault="002E5BAD" w:rsidP="002E5BAD">
      <w:pPr>
        <w:rPr>
          <w:rFonts w:cs="Arial"/>
          <w:rtl/>
        </w:rPr>
      </w:pPr>
      <w:r w:rsidRPr="00EB79BF">
        <w:rPr>
          <w:rFonts w:cs="Arial"/>
          <w:rtl/>
        </w:rPr>
        <w:t>יש מי שאומר דדינא דמברחת דוקא בשלא כתבה לו מתנה גמורה, מתנה חלוטה, מתנת עלמין</w:t>
      </w:r>
      <w:r>
        <w:rPr>
          <w:rFonts w:cs="Arial" w:hint="cs"/>
          <w:rtl/>
        </w:rPr>
        <w:t>.</w:t>
      </w:r>
      <w:r w:rsidRPr="00EB79BF">
        <w:rPr>
          <w:rFonts w:cs="Arial"/>
          <w:rtl/>
        </w:rPr>
        <w:t xml:space="preserve"> אבל אם כתבה לו כן, קנה לגמרי. </w:t>
      </w:r>
    </w:p>
    <w:p w14:paraId="31B97256" w14:textId="77777777" w:rsidR="002E5BAD" w:rsidRPr="00EB79BF" w:rsidRDefault="002E5BAD" w:rsidP="002E5BAD">
      <w:pPr>
        <w:rPr>
          <w:rFonts w:cs="Arial"/>
          <w:rtl/>
        </w:rPr>
      </w:pPr>
    </w:p>
    <w:p w14:paraId="32642BE1" w14:textId="77777777" w:rsidR="002E5BAD" w:rsidRDefault="002E5BAD" w:rsidP="002E5BAD">
      <w:pPr>
        <w:pStyle w:val="2"/>
        <w:rPr>
          <w:rtl/>
        </w:rPr>
      </w:pPr>
      <w:r w:rsidRPr="00EB79BF">
        <w:rPr>
          <w:rtl/>
        </w:rPr>
        <w:t>סעיף ט</w:t>
      </w:r>
      <w:r>
        <w:rPr>
          <w:rFonts w:hint="cs"/>
          <w:rtl/>
        </w:rPr>
        <w:t>: אשה שמכרה נכסי מלוג לאחר שנשאת.</w:t>
      </w:r>
    </w:p>
    <w:p w14:paraId="47F41A06" w14:textId="77777777" w:rsidR="002E5BAD" w:rsidRDefault="002E5BAD" w:rsidP="002E5BAD">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Pr="00410069">
        <w:rPr>
          <w:rFonts w:cs="Arial"/>
          <w:u w:val="single"/>
          <w:rtl/>
        </w:rPr>
        <w:t>רב ושמואל דאמרי תרוייהו</w:t>
      </w:r>
      <w:r w:rsidRPr="00410069">
        <w:rPr>
          <w:rFonts w:cs="Arial"/>
          <w:rtl/>
        </w:rPr>
        <w:t xml:space="preserve">: בין שנפלו לה נכסים עד שלא נתארסה, בין שנפלו לה נכסים משנתארסה וניסת - הבעל מוציא מיד הלקוחות. כמאן? דלא כרבי יהודה ולא כר' חנינא בן עקביא! אינהו דאמרי כרבותינו; דתניא, רבותינו חזרו ונמנו: בין שנפלו לה עד שלא תתארס, ובין שנפלו לה משנתארסה וניסת - הבעל מוציא מיד הלקוחות. משניסת, אלו ואלו מודים. לימא, תנינא לתקנת אושא! </w:t>
      </w:r>
      <w:r w:rsidRPr="000D1E98">
        <w:rPr>
          <w:rFonts w:cs="Arial"/>
          <w:u w:val="single"/>
          <w:rtl/>
        </w:rPr>
        <w:t>דא"ר יוסי בר' חנינא</w:t>
      </w:r>
      <w:r w:rsidRPr="00410069">
        <w:rPr>
          <w:rFonts w:cs="Arial"/>
          <w:rtl/>
        </w:rPr>
        <w:t>: באושא התקינו, האשה שמכרה בנכסי מלוג בחיי בעלה ומתה - הבעל מוציא מיד הלקוחות! מתניתין - בחייה ולפירות, תקנת אושא - בגופה של קרקע ולאחר מיתה.</w:t>
      </w:r>
    </w:p>
    <w:p w14:paraId="7A97365C" w14:textId="77777777" w:rsidR="002E5BAD" w:rsidRPr="009D64F8" w:rsidRDefault="002E5BAD" w:rsidP="002E5BAD">
      <w:pPr>
        <w:rPr>
          <w:rFonts w:cs="Arial"/>
          <w:rtl/>
        </w:rPr>
      </w:pPr>
      <w:r>
        <w:rPr>
          <w:rFonts w:cs="Arial" w:hint="cs"/>
          <w:b/>
          <w:bCs/>
          <w:rtl/>
        </w:rPr>
        <w:t xml:space="preserve">ירושלמי כתובות פ"ט ה"א: </w:t>
      </w:r>
      <w:r w:rsidRPr="0053774C">
        <w:rPr>
          <w:rFonts w:cs="Arial"/>
          <w:u w:val="single"/>
          <w:rtl/>
        </w:rPr>
        <w:t>ר' הלל בר פזי בעא קומי ר' יוסי</w:t>
      </w:r>
      <w:r>
        <w:rPr>
          <w:rFonts w:cs="Arial" w:hint="cs"/>
          <w:rtl/>
        </w:rPr>
        <w:t>:...</w:t>
      </w:r>
      <w:r w:rsidRPr="008B3D8B">
        <w:rPr>
          <w:rFonts w:cs="Arial"/>
          <w:rtl/>
        </w:rPr>
        <w:t xml:space="preserve"> מכרה היא ומת הוא</w:t>
      </w:r>
      <w:r>
        <w:rPr>
          <w:rFonts w:cs="Arial" w:hint="cs"/>
          <w:rtl/>
        </w:rPr>
        <w:t>?</w:t>
      </w:r>
      <w:r w:rsidRPr="008B3D8B">
        <w:rPr>
          <w:rFonts w:cs="Arial"/>
          <w:rtl/>
        </w:rPr>
        <w:t xml:space="preserve"> </w:t>
      </w:r>
      <w:r w:rsidRPr="0053774C">
        <w:rPr>
          <w:rFonts w:cs="Arial"/>
          <w:u w:val="single"/>
          <w:rtl/>
        </w:rPr>
        <w:t>אמר ליה</w:t>
      </w:r>
      <w:r>
        <w:rPr>
          <w:rFonts w:cs="Arial" w:hint="cs"/>
          <w:rtl/>
        </w:rPr>
        <w:t>:</w:t>
      </w:r>
      <w:r w:rsidRPr="008B3D8B">
        <w:rPr>
          <w:rFonts w:cs="Arial"/>
          <w:rtl/>
        </w:rPr>
        <w:t xml:space="preserve"> מכרה קיים</w:t>
      </w:r>
      <w:r>
        <w:rPr>
          <w:rFonts w:cs="Arial" w:hint="cs"/>
          <w:rtl/>
        </w:rPr>
        <w:t>.</w:t>
      </w:r>
    </w:p>
    <w:p w14:paraId="160D73FD" w14:textId="77777777" w:rsidR="002E5BAD" w:rsidRPr="003432A1" w:rsidRDefault="002E5BAD" w:rsidP="002E5BAD">
      <w:pPr>
        <w:rPr>
          <w:u w:val="single"/>
          <w:rtl/>
        </w:rPr>
      </w:pPr>
      <w:r w:rsidRPr="003432A1">
        <w:rPr>
          <w:rFonts w:cs="Arial" w:hint="cs"/>
          <w:u w:val="single"/>
          <w:rtl/>
        </w:rPr>
        <w:t>אשה שמכרה נכסי מלוג שלה</w:t>
      </w:r>
      <w:r>
        <w:rPr>
          <w:rFonts w:cs="Arial" w:hint="cs"/>
          <w:u w:val="single"/>
          <w:rtl/>
        </w:rPr>
        <w:t xml:space="preserve"> לאחר שנשאת</w:t>
      </w:r>
      <w:r w:rsidRPr="003432A1">
        <w:rPr>
          <w:rFonts w:cs="Arial" w:hint="cs"/>
          <w:u w:val="single"/>
          <w:rtl/>
        </w:rPr>
        <w:t>:</w:t>
      </w:r>
    </w:p>
    <w:p w14:paraId="1D278176" w14:textId="77777777" w:rsidR="002E5BAD" w:rsidRPr="0006636A" w:rsidRDefault="002E5BAD" w:rsidP="002E5BAD">
      <w:pPr>
        <w:pStyle w:val="ab"/>
        <w:numPr>
          <w:ilvl w:val="0"/>
          <w:numId w:val="186"/>
        </w:numPr>
        <w:rPr>
          <w:rFonts w:cs="Arial"/>
        </w:rPr>
      </w:pPr>
      <w:r>
        <w:rPr>
          <w:rFonts w:cs="Arial" w:hint="cs"/>
          <w:rtl/>
        </w:rPr>
        <w:t>רא"ש</w:t>
      </w:r>
      <w:r>
        <w:rPr>
          <w:rStyle w:val="a7"/>
          <w:rFonts w:cs="Arial"/>
          <w:rtl/>
        </w:rPr>
        <w:footnoteReference w:id="2018"/>
      </w:r>
      <w:r>
        <w:rPr>
          <w:rFonts w:cs="Arial"/>
          <w:rtl/>
        </w:rPr>
        <w:t xml:space="preserve"> </w:t>
      </w:r>
      <w:r w:rsidRPr="009D64F8">
        <w:rPr>
          <w:rFonts w:cs="Arial"/>
          <w:sz w:val="16"/>
          <w:szCs w:val="16"/>
          <w:rtl/>
        </w:rPr>
        <w:t>(</w:t>
      </w:r>
      <w:r w:rsidRPr="009D64F8">
        <w:rPr>
          <w:rFonts w:cs="Arial" w:hint="cs"/>
          <w:sz w:val="16"/>
          <w:szCs w:val="16"/>
          <w:rtl/>
        </w:rPr>
        <w:t xml:space="preserve">כתובות פ"ד </w:t>
      </w:r>
      <w:r w:rsidRPr="009D64F8">
        <w:rPr>
          <w:rFonts w:cs="Arial"/>
          <w:sz w:val="16"/>
          <w:szCs w:val="16"/>
          <w:rtl/>
        </w:rPr>
        <w:t>סי' יז)</w:t>
      </w:r>
      <w:r>
        <w:rPr>
          <w:rFonts w:cs="Arial" w:hint="cs"/>
          <w:rtl/>
        </w:rPr>
        <w:t xml:space="preserve"> ו</w:t>
      </w:r>
      <w:r w:rsidRPr="000C687E">
        <w:rPr>
          <w:rFonts w:cs="Arial" w:hint="cs"/>
          <w:rtl/>
        </w:rPr>
        <w:t xml:space="preserve">טור- </w:t>
      </w:r>
      <w:r w:rsidRPr="000C687E">
        <w:rPr>
          <w:rFonts w:cs="Arial"/>
          <w:rtl/>
        </w:rPr>
        <w:t xml:space="preserve">כיון שהבעל יורש את אשתו </w:t>
      </w:r>
      <w:r>
        <w:rPr>
          <w:rFonts w:cs="Arial" w:hint="cs"/>
          <w:rtl/>
        </w:rPr>
        <w:t xml:space="preserve">- </w:t>
      </w:r>
      <w:r w:rsidRPr="000C687E">
        <w:rPr>
          <w:rFonts w:cs="Arial"/>
          <w:rtl/>
        </w:rPr>
        <w:t>אינה יכולה למכור שום דבר מנכסיה</w:t>
      </w:r>
      <w:r>
        <w:rPr>
          <w:rFonts w:cs="Arial" w:hint="cs"/>
          <w:rtl/>
        </w:rPr>
        <w:t>.</w:t>
      </w:r>
      <w:r w:rsidRPr="000C687E">
        <w:rPr>
          <w:rFonts w:cs="Arial"/>
          <w:rtl/>
        </w:rPr>
        <w:t xml:space="preserve"> ואם מכרה אחר שניסת</w:t>
      </w:r>
      <w:r>
        <w:rPr>
          <w:rFonts w:cs="Arial" w:hint="cs"/>
          <w:rtl/>
        </w:rPr>
        <w:t>,</w:t>
      </w:r>
      <w:r w:rsidRPr="000C687E">
        <w:rPr>
          <w:rFonts w:cs="Arial"/>
          <w:rtl/>
        </w:rPr>
        <w:t xml:space="preserve"> בין אם נפלו לה קודם אירוסין או אחר אירוסין </w:t>
      </w:r>
      <w:r>
        <w:rPr>
          <w:rFonts w:cs="Arial" w:hint="cs"/>
          <w:rtl/>
        </w:rPr>
        <w:t xml:space="preserve">- </w:t>
      </w:r>
      <w:r w:rsidRPr="000C687E">
        <w:rPr>
          <w:rFonts w:cs="Arial"/>
          <w:rtl/>
        </w:rPr>
        <w:t>הבעל מוציא מיד הלקוחות</w:t>
      </w:r>
      <w:r>
        <w:rPr>
          <w:rFonts w:cs="Arial" w:hint="cs"/>
          <w:rtl/>
        </w:rPr>
        <w:t>,</w:t>
      </w:r>
      <w:r w:rsidRPr="000C687E">
        <w:rPr>
          <w:rFonts w:cs="Arial"/>
          <w:rtl/>
        </w:rPr>
        <w:t xml:space="preserve"> שעשו אותו כלוקח בנכסיה והוא לקח תחילה</w:t>
      </w:r>
      <w:r>
        <w:rPr>
          <w:rFonts w:cs="Arial" w:hint="cs"/>
          <w:rtl/>
        </w:rPr>
        <w:t>.</w:t>
      </w:r>
      <w:r w:rsidRPr="000C687E">
        <w:rPr>
          <w:rFonts w:cs="Arial"/>
          <w:rtl/>
        </w:rPr>
        <w:t xml:space="preserve"> לפיכך מכרה בטל לאלתר שהוא מוציא מיד הלוקח הגוף ופירי</w:t>
      </w:r>
      <w:r>
        <w:rPr>
          <w:rFonts w:cs="Arial" w:hint="cs"/>
          <w:rtl/>
        </w:rPr>
        <w:t>.</w:t>
      </w:r>
      <w:r w:rsidRPr="000C687E">
        <w:rPr>
          <w:rFonts w:cs="Arial"/>
          <w:rtl/>
        </w:rPr>
        <w:t xml:space="preserve"> אלא לענין זה הוא מכר</w:t>
      </w:r>
      <w:r>
        <w:rPr>
          <w:rFonts w:cs="Arial" w:hint="cs"/>
          <w:rtl/>
        </w:rPr>
        <w:t>,</w:t>
      </w:r>
      <w:r w:rsidRPr="000C687E">
        <w:rPr>
          <w:rFonts w:cs="Arial"/>
          <w:rtl/>
        </w:rPr>
        <w:t xml:space="preserve"> שאם תתאלמן או תתגרש </w:t>
      </w:r>
      <w:r>
        <w:rPr>
          <w:rFonts w:cs="Arial" w:hint="cs"/>
          <w:rtl/>
        </w:rPr>
        <w:t xml:space="preserve">- </w:t>
      </w:r>
      <w:r w:rsidRPr="000C687E">
        <w:rPr>
          <w:rFonts w:cs="Arial"/>
          <w:rtl/>
        </w:rPr>
        <w:t>יחזור ללוקח</w:t>
      </w:r>
      <w:r>
        <w:rPr>
          <w:rFonts w:cs="Arial" w:hint="cs"/>
          <w:rtl/>
        </w:rPr>
        <w:t>,</w:t>
      </w:r>
      <w:r w:rsidRPr="000C687E">
        <w:rPr>
          <w:rFonts w:cs="Arial"/>
          <w:rtl/>
        </w:rPr>
        <w:t xml:space="preserve"> ואם תמות בחייו </w:t>
      </w:r>
      <w:r>
        <w:rPr>
          <w:rFonts w:cs="Arial" w:hint="cs"/>
          <w:rtl/>
        </w:rPr>
        <w:t xml:space="preserve">- </w:t>
      </w:r>
      <w:r w:rsidRPr="000C687E">
        <w:rPr>
          <w:rFonts w:cs="Arial"/>
          <w:rtl/>
        </w:rPr>
        <w:t>ישאר בידו</w:t>
      </w:r>
      <w:r>
        <w:rPr>
          <w:rFonts w:cs="Arial" w:hint="cs"/>
          <w:sz w:val="16"/>
          <w:szCs w:val="16"/>
          <w:rtl/>
        </w:rPr>
        <w:t xml:space="preserve"> (ל' הטור)</w:t>
      </w:r>
      <w:r>
        <w:rPr>
          <w:rFonts w:cs="Arial" w:hint="cs"/>
          <w:rtl/>
        </w:rPr>
        <w:t>.</w:t>
      </w:r>
      <w:r w:rsidRPr="000A6C7C">
        <w:rPr>
          <w:rFonts w:cs="Arial"/>
          <w:color w:val="00B0F0"/>
          <w:rtl/>
        </w:rPr>
        <w:t xml:space="preserve"> </w:t>
      </w:r>
      <w:r w:rsidRPr="000A6C7C">
        <w:rPr>
          <w:rFonts w:cs="Arial" w:hint="cs"/>
          <w:color w:val="00B0F0"/>
          <w:rtl/>
        </w:rPr>
        <w:t>(וכ"פ הרמ"א)</w:t>
      </w:r>
    </w:p>
    <w:p w14:paraId="0F9E4976" w14:textId="77777777" w:rsidR="002E5BAD" w:rsidRDefault="002E5BAD" w:rsidP="002E5BAD">
      <w:pPr>
        <w:pStyle w:val="ab"/>
        <w:numPr>
          <w:ilvl w:val="0"/>
          <w:numId w:val="186"/>
        </w:numPr>
        <w:rPr>
          <w:rFonts w:cs="Arial"/>
        </w:rPr>
      </w:pPr>
      <w:r w:rsidRPr="000C687E">
        <w:rPr>
          <w:rFonts w:cs="Arial"/>
          <w:rtl/>
        </w:rPr>
        <w:t>רמב"ם</w:t>
      </w:r>
      <w:r>
        <w:rPr>
          <w:rFonts w:cs="Arial" w:hint="cs"/>
          <w:sz w:val="16"/>
          <w:szCs w:val="16"/>
          <w:rtl/>
        </w:rPr>
        <w:t xml:space="preserve"> (פכ"ב מאישות ה"ז)</w:t>
      </w:r>
      <w:r>
        <w:rPr>
          <w:rFonts w:cs="Arial" w:hint="cs"/>
          <w:rtl/>
        </w:rPr>
        <w:t xml:space="preserve">- </w:t>
      </w:r>
      <w:r w:rsidRPr="008B3D8B">
        <w:rPr>
          <w:rFonts w:cs="Arial"/>
          <w:rtl/>
        </w:rPr>
        <w:t>כל נכסים שיש לאשה בין נכסי צאן ברזל בין נכסי מלוג</w:t>
      </w:r>
      <w:r>
        <w:rPr>
          <w:rFonts w:cs="Arial" w:hint="cs"/>
          <w:rtl/>
        </w:rPr>
        <w:t>,</w:t>
      </w:r>
      <w:r w:rsidRPr="008B3D8B">
        <w:rPr>
          <w:rFonts w:cs="Arial"/>
          <w:rtl/>
        </w:rPr>
        <w:t xml:space="preserve"> הבעל אוכל כל פירותיהן בחייה</w:t>
      </w:r>
      <w:r>
        <w:rPr>
          <w:rFonts w:cs="Arial" w:hint="cs"/>
          <w:rtl/>
        </w:rPr>
        <w:t>.</w:t>
      </w:r>
      <w:r w:rsidRPr="008B3D8B">
        <w:rPr>
          <w:rFonts w:cs="Arial"/>
          <w:rtl/>
        </w:rPr>
        <w:t xml:space="preserve"> ואם מתה בחיי בעלה</w:t>
      </w:r>
      <w:r>
        <w:rPr>
          <w:rFonts w:cs="Arial" w:hint="cs"/>
          <w:rtl/>
        </w:rPr>
        <w:t>,</w:t>
      </w:r>
      <w:r w:rsidRPr="008B3D8B">
        <w:rPr>
          <w:rFonts w:cs="Arial"/>
          <w:rtl/>
        </w:rPr>
        <w:t xml:space="preserve"> יורש בעלה הכל</w:t>
      </w:r>
      <w:r>
        <w:rPr>
          <w:rFonts w:cs="Arial" w:hint="cs"/>
          <w:rtl/>
        </w:rPr>
        <w:t>.</w:t>
      </w:r>
      <w:r w:rsidRPr="008B3D8B">
        <w:rPr>
          <w:rFonts w:cs="Arial"/>
          <w:rtl/>
        </w:rPr>
        <w:t xml:space="preserve"> לפיכך אם מכרה האשה נכסי מלוג אחר שנשאת</w:t>
      </w:r>
      <w:r>
        <w:rPr>
          <w:rFonts w:cs="Arial" w:hint="cs"/>
          <w:rtl/>
        </w:rPr>
        <w:t>,</w:t>
      </w:r>
      <w:r w:rsidRPr="008B3D8B">
        <w:rPr>
          <w:rFonts w:cs="Arial"/>
          <w:rtl/>
        </w:rPr>
        <w:t xml:space="preserve"> אף על פי שאותן הנכסים נפלו לה קודם שתתארס</w:t>
      </w:r>
      <w:r>
        <w:rPr>
          <w:rFonts w:cs="Arial" w:hint="cs"/>
          <w:rtl/>
        </w:rPr>
        <w:t>,</w:t>
      </w:r>
      <w:r w:rsidRPr="008B3D8B">
        <w:rPr>
          <w:rFonts w:cs="Arial"/>
          <w:rtl/>
        </w:rPr>
        <w:t xml:space="preserve"> הבעל מוציא הפירות מיד הלקוחות כל ימי חייה, אבל לא גוף הקרקע</w:t>
      </w:r>
      <w:r>
        <w:rPr>
          <w:rStyle w:val="a7"/>
          <w:rFonts w:cs="Arial"/>
          <w:rtl/>
        </w:rPr>
        <w:footnoteReference w:id="2019"/>
      </w:r>
      <w:r>
        <w:rPr>
          <w:rFonts w:cs="Arial" w:hint="cs"/>
          <w:rtl/>
        </w:rPr>
        <w:t>,</w:t>
      </w:r>
      <w:r w:rsidRPr="008B3D8B">
        <w:rPr>
          <w:rFonts w:cs="Arial"/>
          <w:rtl/>
        </w:rPr>
        <w:t xml:space="preserve"> שאין לו כלום בגוף נכסי מלוג עד שתמות. </w:t>
      </w:r>
      <w:r w:rsidRPr="001D67C0">
        <w:rPr>
          <w:rFonts w:hint="cs"/>
          <w:color w:val="E36C0A" w:themeColor="accent6" w:themeShade="BF"/>
          <w:rtl/>
        </w:rPr>
        <w:t>(וכ"פ בשו"ע)</w:t>
      </w:r>
    </w:p>
    <w:p w14:paraId="4674F32E" w14:textId="77777777" w:rsidR="002E5BAD" w:rsidRPr="00175AF5" w:rsidRDefault="002E5BAD" w:rsidP="002E5BAD">
      <w:pPr>
        <w:ind w:left="360"/>
        <w:rPr>
          <w:rFonts w:cs="Arial"/>
          <w:u w:val="dotted"/>
        </w:rPr>
      </w:pPr>
      <w:r>
        <w:rPr>
          <w:rFonts w:cs="Arial" w:hint="cs"/>
          <w:u w:val="dotted"/>
          <w:rtl/>
        </w:rPr>
        <w:t>כש</w:t>
      </w:r>
      <w:r w:rsidRPr="00175AF5">
        <w:rPr>
          <w:rFonts w:cs="Arial" w:hint="cs"/>
          <w:u w:val="dotted"/>
          <w:rtl/>
        </w:rPr>
        <w:t xml:space="preserve">הבעל </w:t>
      </w:r>
      <w:r>
        <w:rPr>
          <w:rFonts w:cs="Arial" w:hint="cs"/>
          <w:u w:val="dotted"/>
          <w:rtl/>
        </w:rPr>
        <w:t>מ</w:t>
      </w:r>
      <w:r w:rsidRPr="00175AF5">
        <w:rPr>
          <w:rFonts w:cs="Arial" w:hint="cs"/>
          <w:u w:val="dotted"/>
          <w:rtl/>
        </w:rPr>
        <w:t>וציא</w:t>
      </w:r>
      <w:r>
        <w:rPr>
          <w:rFonts w:cs="Arial" w:hint="cs"/>
          <w:u w:val="dotted"/>
          <w:rtl/>
        </w:rPr>
        <w:t xml:space="preserve"> את הגוף</w:t>
      </w:r>
      <w:r w:rsidRPr="00175AF5">
        <w:rPr>
          <w:rFonts w:cs="Arial" w:hint="cs"/>
          <w:u w:val="dotted"/>
          <w:rtl/>
        </w:rPr>
        <w:t xml:space="preserve"> מיד הלקוחות </w:t>
      </w:r>
      <w:r w:rsidRPr="00175AF5">
        <w:rPr>
          <w:rFonts w:cs="Arial" w:hint="cs"/>
          <w:sz w:val="16"/>
          <w:szCs w:val="16"/>
          <w:u w:val="dotted"/>
          <w:rtl/>
        </w:rPr>
        <w:t>(לרמב"ם לאחר מות האשה</w:t>
      </w:r>
      <w:r>
        <w:rPr>
          <w:rFonts w:cs="Arial" w:hint="cs"/>
          <w:sz w:val="16"/>
          <w:szCs w:val="16"/>
          <w:u w:val="dotted"/>
          <w:rtl/>
        </w:rPr>
        <w:t>, לרא"ש לאלתר מחיים</w:t>
      </w:r>
      <w:r w:rsidRPr="00175AF5">
        <w:rPr>
          <w:rFonts w:cs="Arial" w:hint="cs"/>
          <w:sz w:val="16"/>
          <w:szCs w:val="16"/>
          <w:u w:val="dotted"/>
          <w:rtl/>
        </w:rPr>
        <w:t>)</w:t>
      </w:r>
      <w:r w:rsidRPr="00175AF5">
        <w:rPr>
          <w:rFonts w:cs="Arial" w:hint="cs"/>
          <w:u w:val="dotted"/>
          <w:rtl/>
        </w:rPr>
        <w:t xml:space="preserve"> </w:t>
      </w:r>
      <w:r w:rsidRPr="00175AF5">
        <w:rPr>
          <w:rFonts w:cs="Arial"/>
          <w:u w:val="dotted"/>
          <w:rtl/>
        </w:rPr>
        <w:t>–</w:t>
      </w:r>
      <w:r w:rsidRPr="00175AF5">
        <w:rPr>
          <w:rFonts w:cs="Arial" w:hint="cs"/>
          <w:u w:val="dotted"/>
          <w:rtl/>
        </w:rPr>
        <w:t xml:space="preserve"> האם הבעל צריך לשלם לל</w:t>
      </w:r>
      <w:r>
        <w:rPr>
          <w:rFonts w:cs="Arial" w:hint="cs"/>
          <w:u w:val="dotted"/>
          <w:rtl/>
        </w:rPr>
        <w:t>ו</w:t>
      </w:r>
      <w:r w:rsidRPr="00175AF5">
        <w:rPr>
          <w:rFonts w:cs="Arial" w:hint="cs"/>
          <w:u w:val="dotted"/>
          <w:rtl/>
        </w:rPr>
        <w:t>קח:</w:t>
      </w:r>
    </w:p>
    <w:p w14:paraId="0FA21836" w14:textId="77777777" w:rsidR="002E5BAD" w:rsidRDefault="002E5BAD" w:rsidP="002E5BAD">
      <w:pPr>
        <w:pStyle w:val="ab"/>
        <w:numPr>
          <w:ilvl w:val="0"/>
          <w:numId w:val="186"/>
        </w:numPr>
        <w:rPr>
          <w:rFonts w:cs="Arial"/>
        </w:rPr>
      </w:pPr>
      <w:r>
        <w:rPr>
          <w:rFonts w:cs="Arial" w:hint="cs"/>
          <w:rtl/>
        </w:rPr>
        <w:lastRenderedPageBreak/>
        <w:t xml:space="preserve">רב האי </w:t>
      </w:r>
      <w:r>
        <w:rPr>
          <w:rFonts w:cs="Arial" w:hint="cs"/>
          <w:sz w:val="16"/>
          <w:szCs w:val="16"/>
          <w:rtl/>
        </w:rPr>
        <w:t>(כ"כ הה"מ [שם] בשמו)</w:t>
      </w:r>
      <w:r>
        <w:rPr>
          <w:rFonts w:cs="Arial" w:hint="cs"/>
          <w:rtl/>
        </w:rPr>
        <w:t xml:space="preserve"> </w:t>
      </w:r>
      <w:r>
        <w:rPr>
          <w:rFonts w:cs="Arial"/>
          <w:rtl/>
        </w:rPr>
        <w:t>רי"ף</w:t>
      </w:r>
      <w:r>
        <w:rPr>
          <w:rStyle w:val="a7"/>
          <w:rFonts w:cs="Arial"/>
          <w:rtl/>
        </w:rPr>
        <w:footnoteReference w:id="2020"/>
      </w:r>
      <w:r>
        <w:rPr>
          <w:rFonts w:cs="Arial"/>
          <w:rtl/>
        </w:rPr>
        <w:t xml:space="preserve"> </w:t>
      </w:r>
      <w:r w:rsidRPr="004D4D43">
        <w:rPr>
          <w:rFonts w:cs="Arial"/>
          <w:sz w:val="16"/>
          <w:szCs w:val="16"/>
          <w:rtl/>
        </w:rPr>
        <w:t>(יח:)</w:t>
      </w:r>
      <w:r>
        <w:rPr>
          <w:rFonts w:cs="Arial" w:hint="cs"/>
          <w:rtl/>
        </w:rPr>
        <w:t xml:space="preserve"> רמב"ם</w:t>
      </w:r>
      <w:r>
        <w:rPr>
          <w:rFonts w:cs="Arial" w:hint="cs"/>
          <w:sz w:val="16"/>
          <w:szCs w:val="16"/>
          <w:rtl/>
        </w:rPr>
        <w:t xml:space="preserve"> (שם)</w:t>
      </w:r>
      <w:r>
        <w:rPr>
          <w:rFonts w:cs="Arial" w:hint="cs"/>
          <w:rtl/>
        </w:rPr>
        <w:t xml:space="preserve"> רשב"א </w:t>
      </w:r>
      <w:r>
        <w:rPr>
          <w:rFonts w:cs="Arial" w:hint="cs"/>
          <w:sz w:val="16"/>
          <w:szCs w:val="16"/>
          <w:rtl/>
        </w:rPr>
        <w:t>(נ.)</w:t>
      </w:r>
      <w:r>
        <w:rPr>
          <w:rFonts w:cs="Arial" w:hint="cs"/>
          <w:rtl/>
        </w:rPr>
        <w:t xml:space="preserve"> ור"ן</w:t>
      </w:r>
      <w:r>
        <w:rPr>
          <w:rFonts w:cs="Arial" w:hint="cs"/>
          <w:sz w:val="16"/>
          <w:szCs w:val="16"/>
          <w:rtl/>
        </w:rPr>
        <w:t xml:space="preserve"> (שם)</w:t>
      </w:r>
      <w:r>
        <w:rPr>
          <w:rFonts w:cs="Arial" w:hint="cs"/>
          <w:rtl/>
        </w:rPr>
        <w:t xml:space="preserve">- </w:t>
      </w:r>
      <w:r w:rsidRPr="008B3D8B">
        <w:rPr>
          <w:rFonts w:cs="Arial"/>
          <w:rtl/>
        </w:rPr>
        <w:t>מתה בחייו</w:t>
      </w:r>
      <w:r>
        <w:rPr>
          <w:rFonts w:cs="Arial" w:hint="cs"/>
          <w:rtl/>
        </w:rPr>
        <w:t>,</w:t>
      </w:r>
      <w:r w:rsidRPr="008B3D8B">
        <w:rPr>
          <w:rFonts w:cs="Arial"/>
          <w:rtl/>
        </w:rPr>
        <w:t xml:space="preserve"> מוציא הגוף מיד הלקוחות בלא דמים</w:t>
      </w:r>
      <w:r>
        <w:rPr>
          <w:rStyle w:val="a7"/>
          <w:rFonts w:cs="Arial"/>
          <w:rtl/>
        </w:rPr>
        <w:footnoteReference w:id="2021"/>
      </w:r>
      <w:r>
        <w:rPr>
          <w:rFonts w:cs="Arial" w:hint="cs"/>
          <w:rtl/>
        </w:rPr>
        <w:t>.</w:t>
      </w:r>
      <w:r w:rsidRPr="008B3D8B">
        <w:rPr>
          <w:rFonts w:cs="Arial"/>
          <w:rtl/>
        </w:rPr>
        <w:t xml:space="preserve"> ואם הדמים שלקחה מן הלקוחות קיימין בעצמן</w:t>
      </w:r>
      <w:r>
        <w:rPr>
          <w:rFonts w:cs="Arial" w:hint="cs"/>
          <w:rtl/>
        </w:rPr>
        <w:t>,</w:t>
      </w:r>
      <w:r w:rsidRPr="008B3D8B">
        <w:rPr>
          <w:rFonts w:cs="Arial"/>
          <w:rtl/>
        </w:rPr>
        <w:t xml:space="preserve"> מחזירן ללקוחות, ואינו יכול לומר שמא מציאה הן</w:t>
      </w:r>
      <w:r>
        <w:rPr>
          <w:rFonts w:cs="Arial" w:hint="cs"/>
          <w:sz w:val="16"/>
          <w:szCs w:val="16"/>
          <w:rtl/>
        </w:rPr>
        <w:t xml:space="preserve"> (ל' הרמב"ם)</w:t>
      </w:r>
      <w:r w:rsidRPr="008B3D8B">
        <w:rPr>
          <w:rFonts w:cs="Arial"/>
          <w:rtl/>
        </w:rPr>
        <w:t xml:space="preserve">. </w:t>
      </w:r>
      <w:r w:rsidRPr="001D67C0">
        <w:rPr>
          <w:rFonts w:hint="cs"/>
          <w:color w:val="E36C0A" w:themeColor="accent6" w:themeShade="BF"/>
          <w:rtl/>
        </w:rPr>
        <w:t>(וכ"פ בשו"ע)</w:t>
      </w:r>
    </w:p>
    <w:p w14:paraId="588783B1" w14:textId="77777777" w:rsidR="002E5BAD" w:rsidRPr="00175AF5" w:rsidRDefault="002E5BAD" w:rsidP="002E5BAD">
      <w:pPr>
        <w:pStyle w:val="ab"/>
        <w:numPr>
          <w:ilvl w:val="0"/>
          <w:numId w:val="186"/>
        </w:numPr>
        <w:rPr>
          <w:rFonts w:cs="Arial"/>
        </w:rPr>
      </w:pPr>
      <w:r>
        <w:rPr>
          <w:rFonts w:cs="Arial" w:hint="cs"/>
          <w:rtl/>
        </w:rPr>
        <w:t>רא"ש</w:t>
      </w:r>
      <w:r>
        <w:rPr>
          <w:rFonts w:cs="Arial" w:hint="cs"/>
          <w:sz w:val="16"/>
          <w:szCs w:val="16"/>
          <w:rtl/>
        </w:rPr>
        <w:t xml:space="preserve"> (שם)</w:t>
      </w:r>
      <w:r>
        <w:rPr>
          <w:rFonts w:cs="Arial" w:hint="cs"/>
          <w:rtl/>
        </w:rPr>
        <w:t xml:space="preserve">- </w:t>
      </w:r>
      <w:r w:rsidRPr="009D64F8">
        <w:rPr>
          <w:rFonts w:cs="Arial"/>
          <w:rtl/>
        </w:rPr>
        <w:t>מוציא בלא דמים</w:t>
      </w:r>
      <w:r>
        <w:rPr>
          <w:rFonts w:cs="Arial" w:hint="cs"/>
          <w:rtl/>
        </w:rPr>
        <w:t>...</w:t>
      </w:r>
      <w:r w:rsidRPr="009D64F8">
        <w:rPr>
          <w:rFonts w:cs="Arial"/>
          <w:rtl/>
        </w:rPr>
        <w:t xml:space="preserve"> ואי איתנהו להנהו דמי דשקלה איתתיה</w:t>
      </w:r>
      <w:r>
        <w:rPr>
          <w:rFonts w:cs="Arial" w:hint="cs"/>
          <w:rtl/>
        </w:rPr>
        <w:t>,</w:t>
      </w:r>
      <w:r w:rsidRPr="009D64F8">
        <w:rPr>
          <w:rFonts w:cs="Arial"/>
          <w:rtl/>
        </w:rPr>
        <w:t xml:space="preserve"> מהדר להו ללוקח</w:t>
      </w:r>
      <w:r>
        <w:rPr>
          <w:rFonts w:cs="Arial" w:hint="cs"/>
          <w:rtl/>
        </w:rPr>
        <w:t>,</w:t>
      </w:r>
      <w:r w:rsidRPr="009D64F8">
        <w:rPr>
          <w:rFonts w:cs="Arial"/>
          <w:rtl/>
        </w:rPr>
        <w:t xml:space="preserve"> דגזל הוו כיון דהמכר לא הוה מכר</w:t>
      </w:r>
      <w:r>
        <w:rPr>
          <w:rFonts w:cs="Arial" w:hint="cs"/>
          <w:rtl/>
        </w:rPr>
        <w:t>.</w:t>
      </w:r>
      <w:r w:rsidRPr="009D64F8">
        <w:rPr>
          <w:rFonts w:cs="Arial"/>
          <w:rtl/>
        </w:rPr>
        <w:t xml:space="preserve"> אם נמצאו מעות בידה</w:t>
      </w:r>
      <w:r>
        <w:rPr>
          <w:rFonts w:cs="Arial" w:hint="cs"/>
          <w:rtl/>
        </w:rPr>
        <w:t>,</w:t>
      </w:r>
      <w:r w:rsidRPr="009D64F8">
        <w:rPr>
          <w:rFonts w:cs="Arial"/>
          <w:rtl/>
        </w:rPr>
        <w:t xml:space="preserve"> אנו תולים שדמי מכר זה הן</w:t>
      </w:r>
      <w:r>
        <w:rPr>
          <w:rFonts w:cs="Arial" w:hint="cs"/>
          <w:rtl/>
        </w:rPr>
        <w:t>,</w:t>
      </w:r>
      <w:r w:rsidRPr="009D64F8">
        <w:rPr>
          <w:rFonts w:cs="Arial"/>
          <w:rtl/>
        </w:rPr>
        <w:t xml:space="preserve"> ולא מצי בעל למימר דילמא מציאה אשכחה</w:t>
      </w:r>
      <w:r>
        <w:rPr>
          <w:rFonts w:cs="Arial" w:hint="cs"/>
          <w:rtl/>
        </w:rPr>
        <w:t xml:space="preserve">. </w:t>
      </w:r>
      <w:r w:rsidRPr="000A6C7C">
        <w:rPr>
          <w:rFonts w:cs="Arial" w:hint="cs"/>
          <w:color w:val="00B0F0"/>
          <w:rtl/>
        </w:rPr>
        <w:t>(וכ"פ הרמ"א)</w:t>
      </w:r>
    </w:p>
    <w:p w14:paraId="61D4005B" w14:textId="77777777" w:rsidR="002E5BAD" w:rsidRDefault="002E5BAD" w:rsidP="002E5BAD">
      <w:pPr>
        <w:pStyle w:val="ab"/>
        <w:numPr>
          <w:ilvl w:val="0"/>
          <w:numId w:val="186"/>
        </w:numPr>
        <w:rPr>
          <w:rFonts w:cs="Arial"/>
        </w:rPr>
      </w:pPr>
      <w:r w:rsidRPr="000C687E">
        <w:rPr>
          <w:rFonts w:cs="Arial"/>
          <w:rtl/>
        </w:rPr>
        <w:t>יש מהגאונים</w:t>
      </w:r>
      <w:r>
        <w:rPr>
          <w:rFonts w:cs="Arial" w:hint="cs"/>
          <w:sz w:val="16"/>
          <w:szCs w:val="16"/>
          <w:rtl/>
        </w:rPr>
        <w:t xml:space="preserve"> (כ"כ הטור והה"מ [שם] בשמם)</w:t>
      </w:r>
      <w:r>
        <w:rPr>
          <w:rFonts w:cs="Arial" w:hint="cs"/>
          <w:rtl/>
        </w:rPr>
        <w:t xml:space="preserve">- </w:t>
      </w:r>
      <w:r w:rsidRPr="000C687E">
        <w:rPr>
          <w:rFonts w:cs="Arial"/>
          <w:rtl/>
        </w:rPr>
        <w:t>הבעל צריך ליתן הדמים ללוקח</w:t>
      </w:r>
      <w:r>
        <w:rPr>
          <w:rFonts w:cs="Arial" w:hint="cs"/>
          <w:rtl/>
        </w:rPr>
        <w:t>,</w:t>
      </w:r>
      <w:r w:rsidRPr="000C687E">
        <w:rPr>
          <w:rFonts w:cs="Arial"/>
          <w:rtl/>
        </w:rPr>
        <w:t xml:space="preserve"> כמו הכיר בה שאינו שלו ולקחה שיש לו דמים</w:t>
      </w:r>
      <w:r>
        <w:rPr>
          <w:rFonts w:cs="Arial" w:hint="cs"/>
          <w:rtl/>
        </w:rPr>
        <w:t>.</w:t>
      </w:r>
      <w:r w:rsidRPr="000C687E">
        <w:rPr>
          <w:rFonts w:cs="Arial"/>
          <w:rtl/>
        </w:rPr>
        <w:t xml:space="preserve"> ולא עוד אלא שאם השביח הלוקח הנכסים</w:t>
      </w:r>
      <w:r>
        <w:rPr>
          <w:rFonts w:cs="Arial" w:hint="cs"/>
          <w:rtl/>
        </w:rPr>
        <w:t xml:space="preserve"> -</w:t>
      </w:r>
      <w:r w:rsidRPr="000C687E">
        <w:rPr>
          <w:rFonts w:cs="Arial"/>
          <w:rtl/>
        </w:rPr>
        <w:t xml:space="preserve"> נוטל השבח</w:t>
      </w:r>
      <w:r>
        <w:rPr>
          <w:rFonts w:cs="Arial" w:hint="cs"/>
          <w:sz w:val="16"/>
          <w:szCs w:val="16"/>
          <w:rtl/>
        </w:rPr>
        <w:t xml:space="preserve"> (ל' הטור בשם הגאונים)</w:t>
      </w:r>
      <w:r>
        <w:rPr>
          <w:rFonts w:cs="Arial" w:hint="cs"/>
          <w:rtl/>
        </w:rPr>
        <w:t>.</w:t>
      </w:r>
      <w:r w:rsidRPr="000C687E">
        <w:rPr>
          <w:rFonts w:cs="Arial"/>
          <w:rtl/>
        </w:rPr>
        <w:t xml:space="preserve"> </w:t>
      </w:r>
    </w:p>
    <w:p w14:paraId="1D1E81D8" w14:textId="77777777" w:rsidR="002E5BAD" w:rsidRDefault="002E5BAD" w:rsidP="002E5BAD">
      <w:pPr>
        <w:pStyle w:val="ab"/>
        <w:numPr>
          <w:ilvl w:val="0"/>
          <w:numId w:val="186"/>
        </w:numPr>
        <w:rPr>
          <w:rFonts w:cs="Arial"/>
        </w:rPr>
      </w:pPr>
      <w:r>
        <w:rPr>
          <w:rFonts w:cs="Arial" w:hint="cs"/>
          <w:rtl/>
        </w:rPr>
        <w:t xml:space="preserve">ר"ח </w:t>
      </w:r>
      <w:r>
        <w:rPr>
          <w:rFonts w:cs="Arial" w:hint="cs"/>
          <w:sz w:val="16"/>
          <w:szCs w:val="16"/>
          <w:rtl/>
        </w:rPr>
        <w:t>(כ"כ הטור בשמו)</w:t>
      </w:r>
      <w:r>
        <w:rPr>
          <w:rFonts w:cs="Arial" w:hint="cs"/>
          <w:rtl/>
        </w:rPr>
        <w:t xml:space="preserve">- </w:t>
      </w:r>
      <w:r w:rsidRPr="000C687E">
        <w:rPr>
          <w:rFonts w:cs="Arial"/>
          <w:rtl/>
        </w:rPr>
        <w:t>נוטלם בלא דמים</w:t>
      </w:r>
      <w:r>
        <w:rPr>
          <w:rFonts w:cs="Arial" w:hint="cs"/>
          <w:rtl/>
        </w:rPr>
        <w:t>.</w:t>
      </w:r>
      <w:r w:rsidRPr="000C687E">
        <w:rPr>
          <w:rFonts w:cs="Arial"/>
          <w:rtl/>
        </w:rPr>
        <w:t xml:space="preserve"> ואי איתנהו לדמי בידה דאשה בעידנא דמתה</w:t>
      </w:r>
      <w:r>
        <w:rPr>
          <w:rFonts w:cs="Arial" w:hint="cs"/>
          <w:rtl/>
        </w:rPr>
        <w:t>,</w:t>
      </w:r>
      <w:r w:rsidRPr="000C687E">
        <w:rPr>
          <w:rFonts w:cs="Arial"/>
          <w:rtl/>
        </w:rPr>
        <w:t xml:space="preserve"> שקלינהו לוקח ולא מצי בעל למימר אחריני נינהו ומציאה אשכחה</w:t>
      </w:r>
      <w:r>
        <w:rPr>
          <w:rFonts w:cs="Arial" w:hint="cs"/>
          <w:rtl/>
        </w:rPr>
        <w:t>.</w:t>
      </w:r>
      <w:r w:rsidRPr="000C687E">
        <w:rPr>
          <w:rFonts w:cs="Arial"/>
          <w:rtl/>
        </w:rPr>
        <w:t xml:space="preserve"> </w:t>
      </w:r>
    </w:p>
    <w:p w14:paraId="36680CB1" w14:textId="77777777" w:rsidR="002E5BAD" w:rsidRDefault="002E5BAD" w:rsidP="002E5BAD">
      <w:pPr>
        <w:pStyle w:val="ab"/>
        <w:numPr>
          <w:ilvl w:val="0"/>
          <w:numId w:val="186"/>
        </w:numPr>
        <w:rPr>
          <w:rFonts w:cs="Arial"/>
        </w:rPr>
      </w:pPr>
      <w:r w:rsidRPr="000C687E">
        <w:rPr>
          <w:rFonts w:cs="Arial"/>
          <w:rtl/>
        </w:rPr>
        <w:t xml:space="preserve">ר' אפרים </w:t>
      </w:r>
      <w:r>
        <w:rPr>
          <w:rFonts w:cs="Arial" w:hint="cs"/>
          <w:sz w:val="16"/>
          <w:szCs w:val="16"/>
          <w:rtl/>
        </w:rPr>
        <w:t>(כ"כ בשמו הרשב"א [נ. סד"ה האשה] הטור</w:t>
      </w:r>
      <w:r w:rsidRPr="008A4B93">
        <w:rPr>
          <w:rFonts w:cs="Arial" w:hint="cs"/>
          <w:sz w:val="16"/>
          <w:szCs w:val="16"/>
          <w:rtl/>
        </w:rPr>
        <w:t xml:space="preserve"> </w:t>
      </w:r>
      <w:r>
        <w:rPr>
          <w:rFonts w:cs="Arial" w:hint="cs"/>
          <w:sz w:val="16"/>
          <w:szCs w:val="16"/>
          <w:rtl/>
        </w:rPr>
        <w:t>הה"מ [פכ"ב מאישות שם] ורי"ו [</w:t>
      </w:r>
      <w:r w:rsidRPr="004D4D43">
        <w:rPr>
          <w:rFonts w:cs="Arial"/>
          <w:sz w:val="16"/>
          <w:szCs w:val="16"/>
          <w:rtl/>
        </w:rPr>
        <w:t>מישרים נכ"ג ח"ד נו ע"ד</w:t>
      </w:r>
      <w:r>
        <w:rPr>
          <w:rFonts w:cs="Arial" w:hint="cs"/>
          <w:sz w:val="16"/>
          <w:szCs w:val="16"/>
          <w:rtl/>
        </w:rPr>
        <w:t>])</w:t>
      </w:r>
      <w:r>
        <w:rPr>
          <w:rFonts w:cs="Arial" w:hint="cs"/>
          <w:rtl/>
        </w:rPr>
        <w:t xml:space="preserve">- </w:t>
      </w:r>
      <w:r w:rsidRPr="000C687E">
        <w:rPr>
          <w:rFonts w:cs="Arial"/>
          <w:rtl/>
        </w:rPr>
        <w:t xml:space="preserve">אפילו הודה הבעל שהם בידו </w:t>
      </w:r>
      <w:r>
        <w:rPr>
          <w:rFonts w:cs="Arial" w:hint="cs"/>
          <w:rtl/>
        </w:rPr>
        <w:t xml:space="preserve">- </w:t>
      </w:r>
      <w:r w:rsidRPr="000C687E">
        <w:rPr>
          <w:rFonts w:cs="Arial"/>
          <w:rtl/>
        </w:rPr>
        <w:t xml:space="preserve">א"צ להחזירם </w:t>
      </w:r>
      <w:r>
        <w:rPr>
          <w:rFonts w:cs="Arial" w:hint="cs"/>
          <w:sz w:val="16"/>
          <w:szCs w:val="16"/>
          <w:rtl/>
        </w:rPr>
        <w:t>(ל' הטור בשמו)</w:t>
      </w:r>
      <w:r>
        <w:rPr>
          <w:rFonts w:cs="Arial" w:hint="cs"/>
          <w:rtl/>
        </w:rPr>
        <w:t>.</w:t>
      </w:r>
      <w:r w:rsidRPr="000C687E">
        <w:rPr>
          <w:rFonts w:cs="Arial"/>
          <w:rtl/>
        </w:rPr>
        <w:t xml:space="preserve"> </w:t>
      </w:r>
    </w:p>
    <w:p w14:paraId="50BBB83E" w14:textId="77777777" w:rsidR="002E5BAD" w:rsidRDefault="002E5BAD" w:rsidP="002E5BAD">
      <w:pPr>
        <w:pStyle w:val="ab"/>
        <w:numPr>
          <w:ilvl w:val="0"/>
          <w:numId w:val="186"/>
        </w:numPr>
        <w:rPr>
          <w:rFonts w:cs="Arial"/>
        </w:rPr>
      </w:pPr>
      <w:r w:rsidRPr="00D9440F">
        <w:rPr>
          <w:rFonts w:cs="Arial"/>
          <w:rtl/>
        </w:rPr>
        <w:t>נמוק</w:t>
      </w:r>
      <w:r>
        <w:rPr>
          <w:rFonts w:cs="Arial" w:hint="cs"/>
          <w:rtl/>
        </w:rPr>
        <w:t>"</w:t>
      </w:r>
      <w:r w:rsidRPr="00D9440F">
        <w:rPr>
          <w:rFonts w:cs="Arial"/>
          <w:rtl/>
        </w:rPr>
        <w:t xml:space="preserve">י </w:t>
      </w:r>
      <w:r w:rsidRPr="0042310B">
        <w:rPr>
          <w:rFonts w:cs="Arial" w:hint="cs"/>
          <w:sz w:val="16"/>
          <w:szCs w:val="16"/>
          <w:rtl/>
        </w:rPr>
        <w:t>(</w:t>
      </w:r>
      <w:r w:rsidRPr="0042310B">
        <w:rPr>
          <w:rFonts w:cs="Arial"/>
          <w:sz w:val="16"/>
          <w:szCs w:val="16"/>
          <w:rtl/>
        </w:rPr>
        <w:t>ס</w:t>
      </w:r>
      <w:r w:rsidRPr="0042310B">
        <w:rPr>
          <w:rFonts w:cs="Arial" w:hint="cs"/>
          <w:sz w:val="16"/>
          <w:szCs w:val="16"/>
          <w:rtl/>
        </w:rPr>
        <w:t>"פ</w:t>
      </w:r>
      <w:r w:rsidRPr="0042310B">
        <w:rPr>
          <w:rFonts w:cs="Arial"/>
          <w:sz w:val="16"/>
          <w:szCs w:val="16"/>
          <w:rtl/>
        </w:rPr>
        <w:t xml:space="preserve"> יש נוחלין סה. סוד"ה שלח</w:t>
      </w:r>
      <w:r w:rsidRPr="0042310B">
        <w:rPr>
          <w:rFonts w:cs="Arial" w:hint="cs"/>
          <w:sz w:val="16"/>
          <w:szCs w:val="16"/>
          <w:rtl/>
        </w:rPr>
        <w:t>, כ"כ בשמו הדרכ"מ [אות ח]</w:t>
      </w:r>
      <w:r w:rsidRPr="0042310B">
        <w:rPr>
          <w:rFonts w:cs="Arial"/>
          <w:sz w:val="16"/>
          <w:szCs w:val="16"/>
          <w:rtl/>
        </w:rPr>
        <w:t>)</w:t>
      </w:r>
      <w:r>
        <w:rPr>
          <w:rFonts w:cs="Arial" w:hint="cs"/>
          <w:rtl/>
        </w:rPr>
        <w:t xml:space="preserve">- </w:t>
      </w:r>
      <w:r w:rsidRPr="00D9440F">
        <w:rPr>
          <w:rFonts w:cs="Arial"/>
          <w:rtl/>
        </w:rPr>
        <w:t>אפילו אם יש לאותו דבר שבא מחמת המעות שנטלן</w:t>
      </w:r>
      <w:r>
        <w:rPr>
          <w:rFonts w:cs="Arial" w:hint="cs"/>
          <w:rtl/>
        </w:rPr>
        <w:t xml:space="preserve"> -</w:t>
      </w:r>
      <w:r w:rsidRPr="00D9440F">
        <w:rPr>
          <w:rFonts w:cs="Arial"/>
          <w:rtl/>
        </w:rPr>
        <w:t xml:space="preserve"> צריך להחזיר ללוקח</w:t>
      </w:r>
      <w:r>
        <w:rPr>
          <w:rStyle w:val="a7"/>
          <w:rFonts w:cs="Arial"/>
          <w:rtl/>
        </w:rPr>
        <w:footnoteReference w:id="2022"/>
      </w:r>
      <w:r>
        <w:rPr>
          <w:rFonts w:cs="Arial" w:hint="cs"/>
          <w:rtl/>
        </w:rPr>
        <w:t>.</w:t>
      </w:r>
      <w:r w:rsidRPr="00D9440F">
        <w:rPr>
          <w:rFonts w:cs="Arial"/>
          <w:rtl/>
        </w:rPr>
        <w:t xml:space="preserve"> וכל שכן אם יש לה נכסים מיוחדים בלא בעלה שצריך לשלם מהן</w:t>
      </w:r>
      <w:r>
        <w:rPr>
          <w:rFonts w:cs="Arial" w:hint="cs"/>
          <w:rtl/>
        </w:rPr>
        <w:t>.</w:t>
      </w:r>
      <w:r w:rsidRPr="00D9440F">
        <w:rPr>
          <w:rFonts w:cs="Arial"/>
          <w:rtl/>
        </w:rPr>
        <w:t xml:space="preserve"> ואם נפלו לה נכסי מלוג אינו טורף מהם</w:t>
      </w:r>
      <w:r>
        <w:rPr>
          <w:rFonts w:cs="Arial" w:hint="cs"/>
          <w:rtl/>
        </w:rPr>
        <w:t>.</w:t>
      </w:r>
    </w:p>
    <w:p w14:paraId="4C980979" w14:textId="77777777" w:rsidR="002E5BAD" w:rsidRPr="00A67AB5" w:rsidRDefault="002E5BAD" w:rsidP="002E5BAD">
      <w:pPr>
        <w:rPr>
          <w:rFonts w:cs="Arial"/>
          <w:u w:val="single"/>
        </w:rPr>
      </w:pPr>
      <w:r w:rsidRPr="00A67AB5">
        <w:rPr>
          <w:rFonts w:cs="Arial" w:hint="cs"/>
          <w:u w:val="single"/>
          <w:rtl/>
        </w:rPr>
        <w:t xml:space="preserve">אשה שמכרה נכסי מלוג </w:t>
      </w:r>
      <w:r w:rsidRPr="00A67AB5">
        <w:rPr>
          <w:rFonts w:cs="Arial"/>
          <w:u w:val="single"/>
          <w:rtl/>
        </w:rPr>
        <w:t>–</w:t>
      </w:r>
      <w:r w:rsidRPr="00A67AB5">
        <w:rPr>
          <w:rFonts w:cs="Arial" w:hint="cs"/>
          <w:u w:val="single"/>
          <w:rtl/>
        </w:rPr>
        <w:t xml:space="preserve"> האם היא יכולה להוציא מיד הלקוחות:</w:t>
      </w:r>
    </w:p>
    <w:p w14:paraId="7FB056D2" w14:textId="77777777" w:rsidR="002E5BAD" w:rsidRPr="008E0760" w:rsidRDefault="002E5BAD" w:rsidP="002E5BAD">
      <w:pPr>
        <w:pStyle w:val="ab"/>
        <w:numPr>
          <w:ilvl w:val="0"/>
          <w:numId w:val="186"/>
        </w:numPr>
        <w:rPr>
          <w:rFonts w:cs="Arial"/>
          <w:rtl/>
        </w:rPr>
      </w:pPr>
      <w:r w:rsidRPr="008E0760">
        <w:rPr>
          <w:rFonts w:cs="Arial"/>
          <w:rtl/>
        </w:rPr>
        <w:t xml:space="preserve">רשב"א </w:t>
      </w:r>
      <w:r w:rsidRPr="008E0760">
        <w:rPr>
          <w:rFonts w:cs="Arial" w:hint="cs"/>
          <w:sz w:val="16"/>
          <w:szCs w:val="16"/>
          <w:rtl/>
        </w:rPr>
        <w:t>(ח"ב סי' שז)</w:t>
      </w:r>
      <w:r>
        <w:rPr>
          <w:rFonts w:cs="Arial" w:hint="cs"/>
          <w:rtl/>
        </w:rPr>
        <w:t xml:space="preserve">- </w:t>
      </w:r>
      <w:r w:rsidRPr="008E0760">
        <w:rPr>
          <w:rFonts w:cs="Arial"/>
          <w:rtl/>
        </w:rPr>
        <w:t>מה שאמרת שאם מכרה היא בנכסי מלוג בחיי בעלה ששניהם מוציאין מיד הלקוחות</w:t>
      </w:r>
      <w:r>
        <w:rPr>
          <w:rFonts w:cs="Arial" w:hint="cs"/>
          <w:rtl/>
        </w:rPr>
        <w:t>,</w:t>
      </w:r>
      <w:r w:rsidRPr="008E0760">
        <w:rPr>
          <w:rFonts w:cs="Arial"/>
          <w:rtl/>
        </w:rPr>
        <w:t xml:space="preserve"> ולומר שאפילו מת הבעל בחייה האשה מוציאה מיד הלקוחות</w:t>
      </w:r>
      <w:r w:rsidRPr="008E0760">
        <w:rPr>
          <w:rFonts w:cs="Arial" w:hint="cs"/>
          <w:rtl/>
        </w:rPr>
        <w:t>,</w:t>
      </w:r>
      <w:r w:rsidRPr="008E0760">
        <w:rPr>
          <w:rFonts w:cs="Arial"/>
          <w:rtl/>
        </w:rPr>
        <w:t xml:space="preserve"> הא ליתא</w:t>
      </w:r>
      <w:r w:rsidRPr="008E0760">
        <w:rPr>
          <w:rFonts w:cs="Arial" w:hint="cs"/>
          <w:rtl/>
        </w:rPr>
        <w:t>,</w:t>
      </w:r>
      <w:r w:rsidRPr="008E0760">
        <w:rPr>
          <w:rFonts w:cs="Arial"/>
          <w:rtl/>
        </w:rPr>
        <w:t xml:space="preserve"> והדברים מוכרעים ממקומם שגוף הנכסים לאשה הן ואין לבעל בהם בחייה אלא אכילת פירות בלבד</w:t>
      </w:r>
      <w:r w:rsidRPr="008E0760">
        <w:rPr>
          <w:rFonts w:cs="Arial" w:hint="cs"/>
          <w:rtl/>
        </w:rPr>
        <w:t>,</w:t>
      </w:r>
      <w:r w:rsidRPr="008E0760">
        <w:rPr>
          <w:rFonts w:cs="Arial"/>
          <w:rtl/>
        </w:rPr>
        <w:t xml:space="preserve"> וזהו שהוצרכו לתקנת אושא לגופה של קרקע ולאחר מיתה</w:t>
      </w:r>
      <w:r w:rsidRPr="008E0760">
        <w:rPr>
          <w:rFonts w:cs="Arial" w:hint="cs"/>
          <w:rtl/>
        </w:rPr>
        <w:t>.</w:t>
      </w:r>
      <w:r w:rsidRPr="008E0760">
        <w:rPr>
          <w:rFonts w:cs="Arial"/>
          <w:rtl/>
        </w:rPr>
        <w:t xml:space="preserve"> ועוד דבהדיא אמרו בירושלמי (כתובות פ"ט ה"א) האיש שמכר בנכסי מלוג בחיי אשתו ומתה בחייו הבעל מוציא מיד הלקוחות למה הדבר דומה לבן שמכר בנכסי אביו ומת האב הבן מוציא מיד הלקוחות והאשה שמכרה בנכסי מלוג בחיי הבעל ומת הבעל אין האשה מוציאה מיד הלקוחות למה הדבר דומה לאב שמכר בנכסיו בחיי הבן ומת הבן אין האב מוציא מיד הלקוחות</w:t>
      </w:r>
      <w:r>
        <w:rPr>
          <w:rFonts w:cs="Arial" w:hint="cs"/>
          <w:rtl/>
        </w:rPr>
        <w:t>.</w:t>
      </w:r>
      <w:r w:rsidRPr="008E0760">
        <w:rPr>
          <w:rFonts w:cs="Arial"/>
          <w:rtl/>
        </w:rPr>
        <w:t xml:space="preserve"> ואל יטעך מה שאמרו בפרק אלמנה לכהן גדול (סו:) מעשה היה ומכרו שניהם לפרנסה ובא מעשה לפני חכמים ואמרו שניהם מוציאין מיד הלקוחות כי זה דרך אחר יש לו והרי"ף כתב משמן של גאונים שלא הוברר הדבר ולא נעשה בו מעשה עכ"ל.</w:t>
      </w:r>
    </w:p>
    <w:p w14:paraId="2AFFBDC3" w14:textId="77777777" w:rsidR="002E5BAD" w:rsidRPr="00F613E0" w:rsidRDefault="002E5BAD" w:rsidP="002E5BAD">
      <w:pPr>
        <w:rPr>
          <w:rFonts w:cs="Arial"/>
          <w:u w:val="single"/>
        </w:rPr>
      </w:pPr>
      <w:r w:rsidRPr="00F613E0">
        <w:rPr>
          <w:rFonts w:cs="Arial"/>
          <w:u w:val="single"/>
          <w:rtl/>
        </w:rPr>
        <w:t xml:space="preserve">אשה שמכרה נכסי מלוג </w:t>
      </w:r>
      <w:r>
        <w:rPr>
          <w:rFonts w:cs="Arial"/>
          <w:u w:val="single"/>
          <w:rtl/>
        </w:rPr>
        <w:t>–</w:t>
      </w:r>
      <w:r>
        <w:rPr>
          <w:rFonts w:cs="Arial" w:hint="cs"/>
          <w:u w:val="single"/>
          <w:rtl/>
        </w:rPr>
        <w:t xml:space="preserve"> </w:t>
      </w:r>
      <w:r w:rsidRPr="00F613E0">
        <w:rPr>
          <w:rFonts w:cs="Arial"/>
          <w:u w:val="single"/>
          <w:rtl/>
        </w:rPr>
        <w:t>ו</w:t>
      </w:r>
      <w:r>
        <w:rPr>
          <w:rFonts w:cs="Arial" w:hint="cs"/>
          <w:u w:val="single"/>
          <w:rtl/>
        </w:rPr>
        <w:t>הבעל רוצה לבנות או לסתור בנכסיה</w:t>
      </w:r>
      <w:r w:rsidRPr="00F613E0">
        <w:rPr>
          <w:rFonts w:cs="Arial" w:hint="cs"/>
          <w:u w:val="single"/>
          <w:rtl/>
        </w:rPr>
        <w:t>:</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301FA4E7" w14:textId="77777777" w:rsidR="002E5BAD" w:rsidRPr="00F613E0" w:rsidRDefault="002E5BAD" w:rsidP="002E5BAD">
      <w:pPr>
        <w:pStyle w:val="ab"/>
        <w:numPr>
          <w:ilvl w:val="0"/>
          <w:numId w:val="186"/>
        </w:numPr>
        <w:rPr>
          <w:rFonts w:cs="Arial"/>
          <w:rtl/>
        </w:rPr>
      </w:pPr>
      <w:r w:rsidRPr="00F613E0">
        <w:rPr>
          <w:rFonts w:cs="Arial"/>
          <w:rtl/>
        </w:rPr>
        <w:t>נמוק</w:t>
      </w:r>
      <w:r w:rsidRPr="00F613E0">
        <w:rPr>
          <w:rFonts w:cs="Arial" w:hint="cs"/>
          <w:rtl/>
        </w:rPr>
        <w:t>"</w:t>
      </w:r>
      <w:r w:rsidRPr="00F613E0">
        <w:rPr>
          <w:rFonts w:cs="Arial"/>
          <w:rtl/>
        </w:rPr>
        <w:t>י</w:t>
      </w:r>
      <w:r w:rsidRPr="00F613E0">
        <w:rPr>
          <w:rFonts w:cs="Arial"/>
          <w:sz w:val="16"/>
          <w:szCs w:val="16"/>
          <w:rtl/>
        </w:rPr>
        <w:t xml:space="preserve"> </w:t>
      </w:r>
      <w:r w:rsidRPr="00F613E0">
        <w:rPr>
          <w:rFonts w:cs="Arial" w:hint="cs"/>
          <w:sz w:val="16"/>
          <w:szCs w:val="16"/>
          <w:rtl/>
        </w:rPr>
        <w:t>(</w:t>
      </w:r>
      <w:r w:rsidRPr="00F613E0">
        <w:rPr>
          <w:rFonts w:cs="Arial"/>
          <w:sz w:val="16"/>
          <w:szCs w:val="16"/>
          <w:rtl/>
        </w:rPr>
        <w:t>פרק חזקת כז סוע"א)</w:t>
      </w:r>
      <w:r w:rsidRPr="00F613E0">
        <w:rPr>
          <w:rFonts w:cs="Arial" w:hint="cs"/>
          <w:rtl/>
        </w:rPr>
        <w:t>-</w:t>
      </w:r>
      <w:r w:rsidRPr="00F613E0">
        <w:rPr>
          <w:rFonts w:cs="Arial"/>
          <w:rtl/>
        </w:rPr>
        <w:t xml:space="preserve"> הואיל ומכירתה בנכסיה קיימת כשתתאלמן או תתגרש אם הבעל רוצה לבנות או לסתור בנכסיה הקונה יכול למחות</w:t>
      </w:r>
      <w:r w:rsidRPr="00F613E0">
        <w:rPr>
          <w:rFonts w:cs="Arial" w:hint="cs"/>
          <w:rtl/>
        </w:rPr>
        <w:t>.</w:t>
      </w:r>
      <w:r w:rsidRPr="00F613E0">
        <w:rPr>
          <w:rFonts w:cs="Arial"/>
          <w:rtl/>
        </w:rPr>
        <w:t xml:space="preserve"> </w:t>
      </w:r>
      <w:r w:rsidRPr="000A6C7C">
        <w:rPr>
          <w:rFonts w:cs="Arial" w:hint="cs"/>
          <w:color w:val="00B0F0"/>
          <w:rtl/>
        </w:rPr>
        <w:t>(וכ"פ הרמ"א)</w:t>
      </w:r>
    </w:p>
    <w:p w14:paraId="4905FB33" w14:textId="77777777" w:rsidR="002E5BAD" w:rsidRPr="005759F3" w:rsidRDefault="002E5BAD" w:rsidP="002E5BAD">
      <w:pPr>
        <w:rPr>
          <w:rFonts w:cs="Arial"/>
          <w:u w:val="single"/>
          <w:rtl/>
        </w:rPr>
      </w:pPr>
      <w:r w:rsidRPr="005759F3">
        <w:rPr>
          <w:rFonts w:cs="Arial" w:hint="cs"/>
          <w:u w:val="single"/>
          <w:rtl/>
        </w:rPr>
        <w:t>אשה ש</w:t>
      </w:r>
      <w:r w:rsidRPr="005759F3">
        <w:rPr>
          <w:rFonts w:cs="Arial"/>
          <w:u w:val="single"/>
          <w:rtl/>
        </w:rPr>
        <w:t>הקדישה נכסי מלוג</w:t>
      </w:r>
      <w:r w:rsidRPr="005759F3">
        <w:rPr>
          <w:rFonts w:cs="Arial" w:hint="cs"/>
          <w:u w:val="single"/>
          <w:rtl/>
        </w:rPr>
        <w:t xml:space="preserve"> שלה:</w:t>
      </w:r>
      <w:r w:rsidRPr="005759F3">
        <w:rPr>
          <w:rFonts w:cs="Arial"/>
          <w:sz w:val="16"/>
          <w:szCs w:val="16"/>
          <w:rtl/>
        </w:rPr>
        <w:t xml:space="preserve"> </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05829FBC" w14:textId="77777777" w:rsidR="002E5BAD" w:rsidRDefault="002E5BAD" w:rsidP="002E5BAD">
      <w:pPr>
        <w:pStyle w:val="ab"/>
        <w:numPr>
          <w:ilvl w:val="0"/>
          <w:numId w:val="186"/>
        </w:numPr>
        <w:rPr>
          <w:rFonts w:cs="Arial"/>
        </w:rPr>
      </w:pPr>
      <w:r w:rsidRPr="005759F3">
        <w:rPr>
          <w:rFonts w:cs="Arial" w:hint="cs"/>
          <w:rtl/>
        </w:rPr>
        <w:t>תרוה"ד</w:t>
      </w:r>
      <w:r w:rsidRPr="005759F3">
        <w:rPr>
          <w:rFonts w:cs="Arial"/>
          <w:rtl/>
        </w:rPr>
        <w:t xml:space="preserve"> </w:t>
      </w:r>
      <w:r w:rsidRPr="005759F3">
        <w:rPr>
          <w:rFonts w:cs="Arial" w:hint="cs"/>
          <w:sz w:val="16"/>
          <w:szCs w:val="16"/>
          <w:rtl/>
        </w:rPr>
        <w:t>(</w:t>
      </w:r>
      <w:r w:rsidRPr="005759F3">
        <w:rPr>
          <w:rFonts w:cs="Arial"/>
          <w:sz w:val="16"/>
          <w:szCs w:val="16"/>
          <w:rtl/>
        </w:rPr>
        <w:t>סי</w:t>
      </w:r>
      <w:r w:rsidRPr="005759F3">
        <w:rPr>
          <w:rFonts w:cs="Arial" w:hint="cs"/>
          <w:sz w:val="16"/>
          <w:szCs w:val="16"/>
          <w:rtl/>
        </w:rPr>
        <w:t>'</w:t>
      </w:r>
      <w:r w:rsidRPr="005759F3">
        <w:rPr>
          <w:rFonts w:cs="Arial"/>
          <w:sz w:val="16"/>
          <w:szCs w:val="16"/>
          <w:rtl/>
        </w:rPr>
        <w:t xml:space="preserve"> רעב</w:t>
      </w:r>
      <w:r w:rsidRPr="005759F3">
        <w:rPr>
          <w:rFonts w:cs="Arial" w:hint="cs"/>
          <w:sz w:val="16"/>
          <w:szCs w:val="16"/>
          <w:rtl/>
        </w:rPr>
        <w:t>)</w:t>
      </w:r>
      <w:r w:rsidRPr="005759F3">
        <w:rPr>
          <w:rFonts w:cs="Arial" w:hint="cs"/>
          <w:rtl/>
        </w:rPr>
        <w:t>-</w:t>
      </w:r>
      <w:r w:rsidRPr="005759F3">
        <w:rPr>
          <w:rFonts w:cs="Arial"/>
          <w:rtl/>
        </w:rPr>
        <w:t xml:space="preserve"> אם הקדישה נכסי מלוג שלה אין ההקדש חל עד שתתגרש או תתאלמן ולא אמרינן בזה הקדש מפקיע מידי שיעבוד</w:t>
      </w:r>
      <w:r>
        <w:rPr>
          <w:rStyle w:val="a7"/>
          <w:rFonts w:cs="Arial"/>
          <w:rtl/>
        </w:rPr>
        <w:footnoteReference w:id="2023"/>
      </w:r>
      <w:r w:rsidRPr="005759F3">
        <w:rPr>
          <w:rFonts w:cs="Arial"/>
          <w:rtl/>
        </w:rPr>
        <w:t xml:space="preserve">. </w:t>
      </w:r>
      <w:r w:rsidRPr="000A6C7C">
        <w:rPr>
          <w:rFonts w:cs="Arial" w:hint="cs"/>
          <w:color w:val="00B0F0"/>
          <w:rtl/>
        </w:rPr>
        <w:t>(וכ"פ הרמ"א)</w:t>
      </w:r>
    </w:p>
    <w:p w14:paraId="7F36985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C7FC993" w14:textId="77777777" w:rsidR="002E5BAD" w:rsidRPr="00FA3C79" w:rsidRDefault="002E5BAD" w:rsidP="002E5BAD">
      <w:pPr>
        <w:rPr>
          <w:rFonts w:cs="Arial"/>
          <w:rtl/>
        </w:rPr>
      </w:pPr>
      <w:r w:rsidRPr="00EB79BF">
        <w:rPr>
          <w:rFonts w:cs="Arial"/>
          <w:rtl/>
        </w:rPr>
        <w:lastRenderedPageBreak/>
        <w:t>האשה שמכרה מנ</w:t>
      </w:r>
      <w:r>
        <w:rPr>
          <w:rFonts w:cs="Arial" w:hint="cs"/>
          <w:rtl/>
        </w:rPr>
        <w:t xml:space="preserve">כסי </w:t>
      </w:r>
      <w:r w:rsidRPr="00EB79BF">
        <w:rPr>
          <w:rFonts w:cs="Arial"/>
          <w:rtl/>
        </w:rPr>
        <w:t>מ</w:t>
      </w:r>
      <w:r>
        <w:rPr>
          <w:rFonts w:cs="Arial" w:hint="cs"/>
          <w:rtl/>
        </w:rPr>
        <w:t>לוג</w:t>
      </w:r>
      <w:r w:rsidRPr="00EB79BF">
        <w:rPr>
          <w:rFonts w:cs="Arial"/>
          <w:rtl/>
        </w:rPr>
        <w:t xml:space="preserve"> אחר שנשאת, אף על פי שאותם הנכסים נפלו לה קודם שתתארס, הבעל מוציא פירות מיד הלקוחות כל ימי חייה, אבל לא גוף הקרקע</w:t>
      </w:r>
      <w:r>
        <w:rPr>
          <w:rStyle w:val="a7"/>
          <w:rFonts w:cs="Arial"/>
          <w:rtl/>
        </w:rPr>
        <w:footnoteReference w:id="2024"/>
      </w:r>
      <w:r>
        <w:rPr>
          <w:rFonts w:cs="Arial" w:hint="cs"/>
          <w:rtl/>
        </w:rPr>
        <w:t>.</w:t>
      </w:r>
      <w:r w:rsidRPr="00EB79BF">
        <w:rPr>
          <w:rFonts w:cs="Arial"/>
          <w:rtl/>
        </w:rPr>
        <w:t xml:space="preserve"> ואם מתה בחייו, מוציא הגוף מיד הלקוחות בלא דמים. </w:t>
      </w:r>
      <w:r>
        <w:rPr>
          <w:rFonts w:cs="Arial" w:hint="cs"/>
          <w:sz w:val="18"/>
          <w:szCs w:val="18"/>
          <w:rtl/>
        </w:rPr>
        <w:t xml:space="preserve">[הגה] </w:t>
      </w:r>
      <w:r w:rsidRPr="00FA43C3">
        <w:rPr>
          <w:rFonts w:cs="Arial"/>
          <w:sz w:val="18"/>
          <w:szCs w:val="18"/>
          <w:rtl/>
        </w:rPr>
        <w:t>וי"א דאף בחייה מוציא גוף הקרקע</w:t>
      </w:r>
      <w:r>
        <w:rPr>
          <w:rStyle w:val="a7"/>
          <w:rFonts w:cs="Arial"/>
          <w:sz w:val="18"/>
          <w:szCs w:val="18"/>
          <w:rtl/>
        </w:rPr>
        <w:footnoteReference w:id="2025"/>
      </w:r>
      <w:r w:rsidRPr="00FA43C3">
        <w:rPr>
          <w:rFonts w:cs="Arial"/>
          <w:sz w:val="18"/>
          <w:szCs w:val="18"/>
          <w:rtl/>
        </w:rPr>
        <w:t xml:space="preserve"> מיד הלוקח בלא דמים</w:t>
      </w:r>
      <w:r>
        <w:rPr>
          <w:rFonts w:cs="Arial" w:hint="cs"/>
          <w:sz w:val="18"/>
          <w:szCs w:val="18"/>
          <w:rtl/>
        </w:rPr>
        <w:t xml:space="preserve"> </w:t>
      </w:r>
      <w:r w:rsidRPr="00FA43C3">
        <w:rPr>
          <w:rFonts w:cs="Arial"/>
          <w:sz w:val="18"/>
          <w:szCs w:val="18"/>
          <w:rtl/>
        </w:rPr>
        <w:t xml:space="preserve">(טור והרא"ש). </w:t>
      </w:r>
      <w:r w:rsidRPr="00EB79BF">
        <w:rPr>
          <w:rFonts w:cs="Arial"/>
          <w:rtl/>
        </w:rPr>
        <w:t>ואם הדמים שלקחה מהלקוחות קיימים בעצמם</w:t>
      </w:r>
      <w:r>
        <w:rPr>
          <w:rStyle w:val="a7"/>
          <w:rFonts w:cs="Arial"/>
          <w:rtl/>
        </w:rPr>
        <w:footnoteReference w:id="2026"/>
      </w:r>
      <w:r w:rsidRPr="00EB79BF">
        <w:rPr>
          <w:rFonts w:cs="Arial"/>
          <w:rtl/>
        </w:rPr>
        <w:t xml:space="preserve">, </w:t>
      </w:r>
      <w:r>
        <w:rPr>
          <w:rFonts w:cs="Arial" w:hint="cs"/>
          <w:sz w:val="18"/>
          <w:szCs w:val="18"/>
          <w:rtl/>
        </w:rPr>
        <w:t xml:space="preserve">[הגה] </w:t>
      </w:r>
      <w:r w:rsidRPr="00FA43C3">
        <w:rPr>
          <w:rFonts w:cs="Arial"/>
          <w:sz w:val="18"/>
          <w:szCs w:val="18"/>
          <w:rtl/>
        </w:rPr>
        <w:t>או שנמצאו מעות בידה ונוכל לתלות שהם אלו (טור בשם הרא"ש)</w:t>
      </w:r>
      <w:r w:rsidRPr="00EB79BF">
        <w:rPr>
          <w:rFonts w:cs="Arial"/>
          <w:rtl/>
        </w:rPr>
        <w:t xml:space="preserve">, מחזירין ללקוחות, ואינו יכול לומר: שמא מציאה הן. </w:t>
      </w:r>
      <w:r w:rsidRPr="00FA43C3">
        <w:rPr>
          <w:rFonts w:cs="Arial"/>
          <w:sz w:val="18"/>
          <w:szCs w:val="18"/>
          <w:rtl/>
        </w:rPr>
        <w:t>הגה: נתאלמנה או נתגרשה, מכרה קיים</w:t>
      </w:r>
      <w:r>
        <w:rPr>
          <w:rStyle w:val="a7"/>
          <w:rFonts w:cs="Arial"/>
          <w:sz w:val="18"/>
          <w:szCs w:val="18"/>
          <w:rtl/>
        </w:rPr>
        <w:footnoteReference w:id="2027"/>
      </w:r>
      <w:r w:rsidRPr="00FA43C3">
        <w:rPr>
          <w:rFonts w:cs="Arial"/>
          <w:sz w:val="18"/>
          <w:szCs w:val="18"/>
          <w:rtl/>
        </w:rPr>
        <w:t xml:space="preserve"> (טור ורוב הפוסקים). וכל ימי חייה, אם הבעל רוצה לבנות או לסתור בקרקע, הלוקח</w:t>
      </w:r>
      <w:r>
        <w:rPr>
          <w:rStyle w:val="a7"/>
          <w:rFonts w:cs="Arial"/>
          <w:sz w:val="18"/>
          <w:szCs w:val="18"/>
          <w:rtl/>
        </w:rPr>
        <w:footnoteReference w:id="2028"/>
      </w:r>
      <w:r w:rsidRPr="00FA43C3">
        <w:rPr>
          <w:rFonts w:cs="Arial"/>
          <w:sz w:val="18"/>
          <w:szCs w:val="18"/>
          <w:rtl/>
        </w:rPr>
        <w:t xml:space="preserve"> יכול למחות</w:t>
      </w:r>
      <w:r>
        <w:rPr>
          <w:rStyle w:val="a7"/>
          <w:rFonts w:cs="Arial"/>
          <w:sz w:val="18"/>
          <w:szCs w:val="18"/>
          <w:rtl/>
        </w:rPr>
        <w:footnoteReference w:id="2029"/>
      </w:r>
      <w:r w:rsidRPr="00FA43C3">
        <w:rPr>
          <w:rFonts w:cs="Arial"/>
          <w:sz w:val="18"/>
          <w:szCs w:val="18"/>
          <w:rtl/>
        </w:rPr>
        <w:t xml:space="preserve"> (נ</w:t>
      </w:r>
      <w:r>
        <w:rPr>
          <w:rFonts w:cs="Arial" w:hint="cs"/>
          <w:sz w:val="18"/>
          <w:szCs w:val="18"/>
          <w:rtl/>
        </w:rPr>
        <w:t>מוק</w:t>
      </w:r>
      <w:r w:rsidRPr="00FA43C3">
        <w:rPr>
          <w:rFonts w:cs="Arial"/>
          <w:sz w:val="18"/>
          <w:szCs w:val="18"/>
          <w:rtl/>
        </w:rPr>
        <w:t>"י). ואין חילוק בין אם מכרה הנכסים או הקדישה אותן</w:t>
      </w:r>
      <w:r>
        <w:rPr>
          <w:rStyle w:val="a7"/>
          <w:rFonts w:cs="Arial"/>
          <w:sz w:val="18"/>
          <w:szCs w:val="18"/>
          <w:rtl/>
        </w:rPr>
        <w:footnoteReference w:id="2030"/>
      </w:r>
      <w:r w:rsidRPr="00FA43C3">
        <w:rPr>
          <w:rFonts w:cs="Arial"/>
          <w:sz w:val="18"/>
          <w:szCs w:val="18"/>
          <w:rtl/>
        </w:rPr>
        <w:t xml:space="preserve"> (ת</w:t>
      </w:r>
      <w:r>
        <w:rPr>
          <w:rFonts w:cs="Arial" w:hint="cs"/>
          <w:sz w:val="18"/>
          <w:szCs w:val="18"/>
          <w:rtl/>
        </w:rPr>
        <w:t>רוה"ד</w:t>
      </w:r>
      <w:r w:rsidRPr="00FA43C3">
        <w:rPr>
          <w:rFonts w:cs="Arial"/>
          <w:sz w:val="18"/>
          <w:szCs w:val="18"/>
          <w:rtl/>
        </w:rPr>
        <w:t>).</w:t>
      </w:r>
      <w:r w:rsidRPr="00EB79BF">
        <w:rPr>
          <w:rFonts w:cs="Arial"/>
          <w:rtl/>
        </w:rPr>
        <w:t xml:space="preserve"> </w:t>
      </w:r>
    </w:p>
    <w:p w14:paraId="7D65099B" w14:textId="77777777" w:rsidR="002E5BAD" w:rsidRPr="00EB79BF" w:rsidRDefault="002E5BAD" w:rsidP="002E5BAD">
      <w:pPr>
        <w:rPr>
          <w:rFonts w:cs="Arial"/>
          <w:rtl/>
        </w:rPr>
      </w:pPr>
    </w:p>
    <w:p w14:paraId="282E6D3B" w14:textId="77777777" w:rsidR="002E5BAD" w:rsidRDefault="002E5BAD" w:rsidP="002E5BAD">
      <w:pPr>
        <w:pStyle w:val="2"/>
        <w:rPr>
          <w:rtl/>
        </w:rPr>
      </w:pPr>
      <w:r w:rsidRPr="00EB79BF">
        <w:rPr>
          <w:rtl/>
        </w:rPr>
        <w:t>סעיף י</w:t>
      </w:r>
      <w:r>
        <w:rPr>
          <w:rFonts w:hint="cs"/>
          <w:rtl/>
        </w:rPr>
        <w:t xml:space="preserve">: בעל שמודה שאשתו מכרה את הנכ"מ ברשותו </w:t>
      </w:r>
      <w:r w:rsidRPr="008A4B93">
        <w:rPr>
          <w:rFonts w:hint="cs"/>
          <w:sz w:val="20"/>
          <w:szCs w:val="20"/>
          <w:rtl/>
        </w:rPr>
        <w:t>(או שיש עדים שהרשה לה)</w:t>
      </w:r>
      <w:r>
        <w:rPr>
          <w:rFonts w:hint="cs"/>
          <w:rtl/>
        </w:rPr>
        <w:t xml:space="preserve">. </w:t>
      </w:r>
    </w:p>
    <w:p w14:paraId="182135E5" w14:textId="77777777" w:rsidR="002E5BAD" w:rsidRPr="008A4B93" w:rsidRDefault="002E5BAD" w:rsidP="002E5BAD">
      <w:pPr>
        <w:rPr>
          <w:u w:val="single"/>
          <w:rtl/>
        </w:rPr>
      </w:pPr>
      <w:r w:rsidRPr="008A4B93">
        <w:rPr>
          <w:rFonts w:hint="cs"/>
          <w:u w:val="single"/>
          <w:rtl/>
        </w:rPr>
        <w:t>בעל שמודה שאשתו מכרה את הנכ</w:t>
      </w:r>
      <w:r>
        <w:rPr>
          <w:rFonts w:hint="cs"/>
          <w:u w:val="single"/>
          <w:rtl/>
        </w:rPr>
        <w:t xml:space="preserve">סי </w:t>
      </w:r>
      <w:r w:rsidRPr="008A4B93">
        <w:rPr>
          <w:rFonts w:hint="cs"/>
          <w:u w:val="single"/>
          <w:rtl/>
        </w:rPr>
        <w:t>מ</w:t>
      </w:r>
      <w:r>
        <w:rPr>
          <w:rFonts w:hint="cs"/>
          <w:u w:val="single"/>
          <w:rtl/>
        </w:rPr>
        <w:t>לוג</w:t>
      </w:r>
      <w:r w:rsidRPr="008A4B93">
        <w:rPr>
          <w:rFonts w:hint="cs"/>
          <w:u w:val="single"/>
          <w:rtl/>
        </w:rPr>
        <w:t xml:space="preserve"> ברשותו </w:t>
      </w:r>
      <w:r w:rsidRPr="008A4B93">
        <w:rPr>
          <w:rFonts w:hint="cs"/>
          <w:sz w:val="16"/>
          <w:szCs w:val="16"/>
          <w:u w:val="single"/>
          <w:rtl/>
        </w:rPr>
        <w:t>(או שיש עדים שהרשה לה)</w:t>
      </w:r>
      <w:r w:rsidRPr="008A4B93">
        <w:rPr>
          <w:rFonts w:hint="cs"/>
          <w:u w:val="single"/>
          <w:rtl/>
        </w:rPr>
        <w:t>:</w:t>
      </w:r>
    </w:p>
    <w:p w14:paraId="4D1D5447" w14:textId="77777777" w:rsidR="002E5BAD" w:rsidRPr="008A4B93" w:rsidRDefault="002E5BAD" w:rsidP="002E5BAD">
      <w:pPr>
        <w:pStyle w:val="ab"/>
        <w:numPr>
          <w:ilvl w:val="0"/>
          <w:numId w:val="186"/>
        </w:numPr>
        <w:rPr>
          <w:rFonts w:cs="Arial"/>
          <w:rtl/>
        </w:rPr>
      </w:pPr>
      <w:r w:rsidRPr="000C687E">
        <w:rPr>
          <w:rFonts w:cs="Arial"/>
          <w:rtl/>
        </w:rPr>
        <w:t xml:space="preserve">ר' אפרים </w:t>
      </w:r>
      <w:r>
        <w:rPr>
          <w:rFonts w:cs="Arial" w:hint="cs"/>
          <w:sz w:val="16"/>
          <w:szCs w:val="16"/>
          <w:rtl/>
        </w:rPr>
        <w:t>(כ"כ בשמו הרשב"א [נ. סד"ה האשה] הטור הה"מ [פכ"ב מאישות שם] ורי"ו [</w:t>
      </w:r>
      <w:r w:rsidRPr="004D4D43">
        <w:rPr>
          <w:rFonts w:cs="Arial"/>
          <w:sz w:val="16"/>
          <w:szCs w:val="16"/>
          <w:rtl/>
        </w:rPr>
        <w:t>מישרים נכ"ג ח"ד נו ע"ד</w:t>
      </w:r>
      <w:r>
        <w:rPr>
          <w:rFonts w:cs="Arial" w:hint="cs"/>
          <w:sz w:val="16"/>
          <w:szCs w:val="16"/>
          <w:rtl/>
        </w:rPr>
        <w:t>])</w:t>
      </w:r>
      <w:r>
        <w:rPr>
          <w:rFonts w:cs="Arial" w:hint="cs"/>
          <w:rtl/>
        </w:rPr>
        <w:t xml:space="preserve">- </w:t>
      </w:r>
      <w:r w:rsidRPr="000C687E">
        <w:rPr>
          <w:rFonts w:cs="Arial"/>
          <w:rtl/>
        </w:rPr>
        <w:t>אם הבעל מודה</w:t>
      </w:r>
      <w:r>
        <w:rPr>
          <w:rFonts w:cs="Arial" w:hint="cs"/>
          <w:rtl/>
        </w:rPr>
        <w:t>,</w:t>
      </w:r>
      <w:r w:rsidRPr="000C687E">
        <w:rPr>
          <w:rFonts w:cs="Arial"/>
          <w:rtl/>
        </w:rPr>
        <w:t xml:space="preserve"> או שיש עדים שברשותו מכרה </w:t>
      </w:r>
      <w:r>
        <w:rPr>
          <w:rFonts w:cs="Arial" w:hint="cs"/>
          <w:rtl/>
        </w:rPr>
        <w:t xml:space="preserve">- </w:t>
      </w:r>
      <w:r w:rsidRPr="000C687E">
        <w:rPr>
          <w:rFonts w:cs="Arial"/>
          <w:rtl/>
        </w:rPr>
        <w:t>אינו מוציא מיד הלקוחות</w:t>
      </w:r>
      <w:r>
        <w:rPr>
          <w:rFonts w:cs="Arial" w:hint="cs"/>
          <w:rtl/>
        </w:rPr>
        <w:t>,</w:t>
      </w:r>
      <w:r w:rsidRPr="000C687E">
        <w:rPr>
          <w:rFonts w:cs="Arial"/>
          <w:rtl/>
        </w:rPr>
        <w:t xml:space="preserve"> דכשלוחו דמיא</w:t>
      </w:r>
      <w:r>
        <w:rPr>
          <w:rFonts w:cs="Arial" w:hint="cs"/>
          <w:rtl/>
        </w:rPr>
        <w:t>,</w:t>
      </w:r>
      <w:r w:rsidRPr="000C687E">
        <w:rPr>
          <w:rFonts w:cs="Arial"/>
          <w:rtl/>
        </w:rPr>
        <w:t xml:space="preserve"> ואי בעי לוקח מחרים עליה דבעל דלא עביד הערמה</w:t>
      </w:r>
      <w:r>
        <w:rPr>
          <w:rFonts w:cs="Arial" w:hint="cs"/>
          <w:rtl/>
        </w:rPr>
        <w:t>.</w:t>
      </w:r>
      <w:r w:rsidRPr="000C687E">
        <w:rPr>
          <w:rFonts w:cs="Arial"/>
          <w:rtl/>
        </w:rPr>
        <w:t xml:space="preserve"> ומאי דמכרה להנאתו ולדעתו אי לא מודה</w:t>
      </w:r>
      <w:r>
        <w:rPr>
          <w:rFonts w:cs="Arial" w:hint="cs"/>
          <w:rtl/>
        </w:rPr>
        <w:t xml:space="preserve"> -</w:t>
      </w:r>
      <w:r w:rsidRPr="000C687E">
        <w:rPr>
          <w:rFonts w:cs="Arial"/>
          <w:rtl/>
        </w:rPr>
        <w:t xml:space="preserve"> אית ליה דינא להחרים סתם בכך</w:t>
      </w:r>
      <w:r>
        <w:rPr>
          <w:rFonts w:cs="Arial" w:hint="cs"/>
          <w:sz w:val="16"/>
          <w:szCs w:val="16"/>
          <w:rtl/>
        </w:rPr>
        <w:t xml:space="preserve"> (ל' הטור בשמו)</w:t>
      </w:r>
      <w:r>
        <w:rPr>
          <w:rFonts w:cs="Arial" w:hint="cs"/>
          <w:rtl/>
        </w:rPr>
        <w:t>.</w:t>
      </w:r>
      <w:r w:rsidRPr="000C687E">
        <w:rPr>
          <w:rFonts w:cs="Arial"/>
          <w:rtl/>
        </w:rPr>
        <w:t xml:space="preserve"> </w:t>
      </w:r>
      <w:r w:rsidRPr="001D67C0">
        <w:rPr>
          <w:rFonts w:hint="cs"/>
          <w:color w:val="E36C0A" w:themeColor="accent6" w:themeShade="BF"/>
          <w:rtl/>
        </w:rPr>
        <w:t>(וכ"פ בשו"ע)</w:t>
      </w:r>
    </w:p>
    <w:p w14:paraId="79370992" w14:textId="77777777" w:rsidR="002E5BAD" w:rsidRDefault="002E5BAD" w:rsidP="002E5BAD">
      <w:pPr>
        <w:rPr>
          <w:rFonts w:cs="Arial"/>
          <w:rtl/>
        </w:rPr>
      </w:pPr>
      <w:r w:rsidRPr="00204ABA">
        <w:rPr>
          <w:rFonts w:cs="Arial"/>
          <w:u w:val="single"/>
          <w:rtl/>
        </w:rPr>
        <w:t>אשה שצותה בשעת מיתתה לתת לפלוני כך וכך ממלבושיה ונתרצה לה הבעל</w:t>
      </w:r>
      <w:r w:rsidRPr="00204ABA">
        <w:rPr>
          <w:rFonts w:cs="Arial" w:hint="cs"/>
          <w:u w:val="single"/>
          <w:rtl/>
        </w:rPr>
        <w:t>:</w:t>
      </w:r>
      <w:r w:rsidRPr="00D9440F">
        <w:rPr>
          <w:rFonts w:cs="Arial"/>
          <w:rtl/>
        </w:rPr>
        <w:t xml:space="preserve"> </w:t>
      </w:r>
    </w:p>
    <w:p w14:paraId="4F7727D0" w14:textId="77777777" w:rsidR="002E5BAD" w:rsidRPr="00AF2FC4" w:rsidRDefault="002E5BAD" w:rsidP="002E5BAD">
      <w:pPr>
        <w:pStyle w:val="ab"/>
        <w:numPr>
          <w:ilvl w:val="0"/>
          <w:numId w:val="186"/>
        </w:numPr>
        <w:rPr>
          <w:rFonts w:cs="Arial"/>
          <w:rtl/>
        </w:rPr>
      </w:pPr>
      <w:r w:rsidRPr="00AF2FC4">
        <w:rPr>
          <w:rFonts w:cs="Arial" w:hint="cs"/>
          <w:rtl/>
        </w:rPr>
        <w:t xml:space="preserve">מהר"ם </w:t>
      </w:r>
      <w:r w:rsidRPr="00AF2FC4">
        <w:rPr>
          <w:rFonts w:cs="Arial" w:hint="cs"/>
          <w:sz w:val="16"/>
          <w:szCs w:val="16"/>
          <w:rtl/>
        </w:rPr>
        <w:t>(</w:t>
      </w:r>
      <w:r w:rsidRPr="00AF2FC4">
        <w:rPr>
          <w:rFonts w:cs="Arial"/>
          <w:sz w:val="16"/>
          <w:szCs w:val="16"/>
          <w:rtl/>
        </w:rPr>
        <w:t>ספר סיני וליקוטים סימן תרא</w:t>
      </w:r>
      <w:r>
        <w:rPr>
          <w:rFonts w:cs="Arial" w:hint="cs"/>
          <w:sz w:val="16"/>
          <w:szCs w:val="16"/>
          <w:rtl/>
        </w:rPr>
        <w:t>, הביאו המרדכי [</w:t>
      </w:r>
      <w:r w:rsidRPr="00AF2FC4">
        <w:rPr>
          <w:rFonts w:cs="Arial"/>
          <w:sz w:val="16"/>
          <w:szCs w:val="16"/>
          <w:rtl/>
        </w:rPr>
        <w:t>ס"פ הזהב ב"מ סי' שיב</w:t>
      </w:r>
      <w:r>
        <w:rPr>
          <w:rFonts w:cs="Arial" w:hint="cs"/>
          <w:sz w:val="16"/>
          <w:szCs w:val="16"/>
          <w:rtl/>
        </w:rPr>
        <w:t>]</w:t>
      </w:r>
      <w:r w:rsidRPr="00AF2FC4">
        <w:rPr>
          <w:rFonts w:cs="Arial"/>
          <w:sz w:val="16"/>
          <w:szCs w:val="16"/>
          <w:rtl/>
        </w:rPr>
        <w:t>)</w:t>
      </w:r>
      <w:r w:rsidRPr="00AF2FC4">
        <w:rPr>
          <w:rFonts w:cs="Arial" w:hint="cs"/>
          <w:rtl/>
        </w:rPr>
        <w:t xml:space="preserve"> - </w:t>
      </w:r>
      <w:r w:rsidRPr="00AF2FC4">
        <w:rPr>
          <w:rFonts w:cs="Arial"/>
          <w:rtl/>
        </w:rPr>
        <w:t>ונשאל לרבינו מאיר על עסק ראובן שטען על שמעון, אשתך שהיתה דודתי בשעת פטירתה צותה לך ליתן לי ממלבושיה ומחפציה כך וכך לאחר מיתה ונתרצית לה, ואעיד לי עדים נאמנים ששמעו מפיך שצותה וניאותה לדבר. והשיב שמעון לראובן בנך בא בהרשאתך ופשרתי עמו, והשאר מחל לי בקניין גמור. והשיב ראובן לא היה דעתי ורצוני בפשרה כי אם בדין. והביא ראובן עדים בפנינו והעידו על פי החרם ששמעו מפי שמעון שהודה בפניהם שנתרצה לזוגתו בצוואתה. והשיב</w:t>
      </w:r>
      <w:r w:rsidRPr="00AF2FC4">
        <w:rPr>
          <w:rFonts w:cs="Arial" w:hint="cs"/>
          <w:rtl/>
        </w:rPr>
        <w:t>-</w:t>
      </w:r>
      <w:r w:rsidRPr="00AF2FC4">
        <w:rPr>
          <w:rFonts w:cs="Arial"/>
          <w:rtl/>
        </w:rPr>
        <w:t xml:space="preserve"> דאם ראובן אינו עני שיש לו מאתיים זוז, יכול שמעון לומר אף על פי שאמרתי שאני רוצה לתת לו עכשיו חוזרני בי, כדאמר פרק הזהב </w:t>
      </w:r>
      <w:r w:rsidRPr="00AF2FC4">
        <w:rPr>
          <w:rFonts w:cs="Arial" w:hint="cs"/>
          <w:rtl/>
        </w:rPr>
        <w:t>(</w:t>
      </w:r>
      <w:r w:rsidRPr="00AF2FC4">
        <w:rPr>
          <w:rFonts w:cs="Arial"/>
          <w:rtl/>
        </w:rPr>
        <w:t>ב"מ מט</w:t>
      </w:r>
      <w:r w:rsidRPr="00AF2FC4">
        <w:rPr>
          <w:rFonts w:cs="Arial" w:hint="cs"/>
          <w:rtl/>
        </w:rPr>
        <w:t>.)</w:t>
      </w:r>
      <w:r w:rsidRPr="00AF2FC4">
        <w:rPr>
          <w:rFonts w:cs="Arial"/>
          <w:rtl/>
        </w:rPr>
        <w:t xml:space="preserve"> האומר לחבירו מתנה אני נותן לך מותר לחזור בו במתנה מרובה, ואפילו במתנה מועטת נמי דנהי דאסור לחזור משום שארית ישראל לא ידברו כזב, מכל מקום אי בעי למיהדר לא מצינו למכפייה לקיים דברו. אבל אם ראובן איש עני הוא שאין לו מאתיים זוז, כופין את שמעון לקיים את דברו, דאמרינן בירושלמי עלה דההיא פרק הזהב </w:t>
      </w:r>
      <w:r w:rsidRPr="00AF2FC4">
        <w:rPr>
          <w:rFonts w:cs="Arial" w:hint="cs"/>
          <w:rtl/>
        </w:rPr>
        <w:t>(</w:t>
      </w:r>
      <w:r w:rsidRPr="00AF2FC4">
        <w:rPr>
          <w:rFonts w:cs="Arial"/>
          <w:rtl/>
        </w:rPr>
        <w:t>ב"מ פ"ד ה"ב</w:t>
      </w:r>
      <w:r w:rsidRPr="00AF2FC4">
        <w:rPr>
          <w:rFonts w:cs="Arial" w:hint="cs"/>
          <w:rtl/>
        </w:rPr>
        <w:t>)</w:t>
      </w:r>
      <w:r w:rsidRPr="00AF2FC4">
        <w:rPr>
          <w:rFonts w:cs="Arial"/>
          <w:rtl/>
        </w:rPr>
        <w:t xml:space="preserve"> הדא דתימא בעשיר אבל בעני נעשה נדר, וכיון דנעשה נדר כופין את שמעון לקיים לו דכתיב ככל היוצא מפיו יעשה, וכמה לאוין וכמה עשין במצות נדרים, ואמרינן בפרק הזרוע </w:t>
      </w:r>
      <w:r w:rsidRPr="00AF2FC4">
        <w:rPr>
          <w:rFonts w:cs="Arial" w:hint="cs"/>
          <w:rtl/>
        </w:rPr>
        <w:t>(</w:t>
      </w:r>
      <w:r w:rsidRPr="00AF2FC4">
        <w:rPr>
          <w:rFonts w:cs="Arial"/>
          <w:rtl/>
        </w:rPr>
        <w:t>חולין קלב</w:t>
      </w:r>
      <w:r w:rsidRPr="00AF2FC4">
        <w:rPr>
          <w:rFonts w:cs="Arial" w:hint="cs"/>
          <w:rtl/>
        </w:rPr>
        <w:t xml:space="preserve">:) </w:t>
      </w:r>
      <w:r w:rsidRPr="00AF2FC4">
        <w:rPr>
          <w:rFonts w:cs="Arial"/>
          <w:rtl/>
        </w:rPr>
        <w:t xml:space="preserve">כל מצות עשה כגון אומרים לו עשה סוכה ואינו עושה כופין </w:t>
      </w:r>
      <w:r w:rsidRPr="00AF2FC4">
        <w:rPr>
          <w:rFonts w:cs="Arial"/>
          <w:rtl/>
        </w:rPr>
        <w:lastRenderedPageBreak/>
        <w:t xml:space="preserve">אותו. ועוד יש בידי תשובה מר"י בר מנחם </w:t>
      </w:r>
      <w:r w:rsidRPr="00AF2FC4">
        <w:rPr>
          <w:rFonts w:cs="Arial" w:hint="cs"/>
          <w:rtl/>
        </w:rPr>
        <w:t>(</w:t>
      </w:r>
      <w:r w:rsidRPr="00AF2FC4">
        <w:rPr>
          <w:rFonts w:cs="Arial"/>
          <w:rtl/>
        </w:rPr>
        <w:t>ד"פ סי' תתקכב</w:t>
      </w:r>
      <w:r w:rsidRPr="00AF2FC4">
        <w:rPr>
          <w:rFonts w:cs="Arial" w:hint="cs"/>
          <w:rtl/>
        </w:rPr>
        <w:t>)</w:t>
      </w:r>
      <w:r w:rsidRPr="00AF2FC4">
        <w:rPr>
          <w:rFonts w:cs="Arial"/>
          <w:rtl/>
        </w:rPr>
        <w:t xml:space="preserve"> שהעיד על רבינו יוסף טוב עלם שהיה מוציא ממון ממי שתקע כף ליתן לחבירו כך וכך</w:t>
      </w:r>
      <w:r w:rsidRPr="00AF2FC4">
        <w:rPr>
          <w:rFonts w:cs="Arial" w:hint="cs"/>
          <w:sz w:val="16"/>
          <w:szCs w:val="16"/>
          <w:rtl/>
        </w:rPr>
        <w:t xml:space="preserve"> (ל' מהר"ם)</w:t>
      </w:r>
      <w:r w:rsidRPr="00AF2FC4">
        <w:rPr>
          <w:rFonts w:cs="Arial"/>
          <w:rtl/>
        </w:rPr>
        <w:t>.</w:t>
      </w:r>
      <w:r w:rsidRPr="00AF2FC4">
        <w:rPr>
          <w:rFonts w:cs="Arial" w:hint="cs"/>
          <w:color w:val="00B0F0"/>
          <w:rtl/>
        </w:rPr>
        <w:t xml:space="preserve"> </w:t>
      </w:r>
      <w:r w:rsidRPr="000A6C7C">
        <w:rPr>
          <w:rFonts w:cs="Arial" w:hint="cs"/>
          <w:color w:val="00B0F0"/>
          <w:rtl/>
        </w:rPr>
        <w:t>(וכ"פ הרמ"א)</w:t>
      </w:r>
    </w:p>
    <w:p w14:paraId="293F477B" w14:textId="77777777" w:rsidR="002E5BAD" w:rsidRPr="00F613E0" w:rsidRDefault="002E5BAD" w:rsidP="002E5BAD">
      <w:pPr>
        <w:rPr>
          <w:rFonts w:cs="Arial"/>
          <w:u w:val="single"/>
        </w:rPr>
      </w:pPr>
      <w:r w:rsidRPr="00F613E0">
        <w:rPr>
          <w:rFonts w:cs="Arial"/>
          <w:u w:val="single"/>
          <w:rtl/>
        </w:rPr>
        <w:t xml:space="preserve">אשה שמכרה נכסי מלוג </w:t>
      </w:r>
      <w:r>
        <w:rPr>
          <w:rFonts w:cs="Arial"/>
          <w:u w:val="single"/>
          <w:rtl/>
        </w:rPr>
        <w:t>–</w:t>
      </w:r>
      <w:r>
        <w:rPr>
          <w:rFonts w:cs="Arial" w:hint="cs"/>
          <w:u w:val="single"/>
          <w:rtl/>
        </w:rPr>
        <w:t xml:space="preserve"> </w:t>
      </w:r>
      <w:r w:rsidRPr="00F613E0">
        <w:rPr>
          <w:rFonts w:cs="Arial"/>
          <w:u w:val="single"/>
          <w:rtl/>
        </w:rPr>
        <w:t>ו</w:t>
      </w:r>
      <w:r>
        <w:rPr>
          <w:rFonts w:cs="Arial" w:hint="cs"/>
          <w:u w:val="single"/>
          <w:rtl/>
        </w:rPr>
        <w:t xml:space="preserve">ראה </w:t>
      </w:r>
      <w:r w:rsidRPr="00F613E0">
        <w:rPr>
          <w:rFonts w:cs="Arial"/>
          <w:u w:val="single"/>
          <w:rtl/>
        </w:rPr>
        <w:t xml:space="preserve">בעלה </w:t>
      </w:r>
      <w:r>
        <w:rPr>
          <w:rFonts w:cs="Arial" w:hint="cs"/>
          <w:u w:val="single"/>
          <w:rtl/>
        </w:rPr>
        <w:t>ו</w:t>
      </w:r>
      <w:r w:rsidRPr="00F613E0">
        <w:rPr>
          <w:rFonts w:cs="Arial"/>
          <w:u w:val="single"/>
          <w:rtl/>
        </w:rPr>
        <w:t>שתק</w:t>
      </w:r>
      <w:r w:rsidRPr="00F613E0">
        <w:rPr>
          <w:rFonts w:cs="Arial" w:hint="cs"/>
          <w:u w:val="single"/>
          <w:rtl/>
        </w:rPr>
        <w:t>:</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7BA60941" w14:textId="77777777" w:rsidR="002E5BAD" w:rsidRPr="00F613E0" w:rsidRDefault="002E5BAD" w:rsidP="002E5BAD">
      <w:pPr>
        <w:pStyle w:val="ab"/>
        <w:numPr>
          <w:ilvl w:val="0"/>
          <w:numId w:val="186"/>
        </w:numPr>
        <w:rPr>
          <w:rFonts w:cs="Arial"/>
          <w:rtl/>
        </w:rPr>
      </w:pPr>
      <w:r w:rsidRPr="00F613E0">
        <w:rPr>
          <w:rFonts w:cs="Arial"/>
          <w:rtl/>
        </w:rPr>
        <w:t xml:space="preserve">רא"ש </w:t>
      </w:r>
      <w:r w:rsidRPr="00F613E0">
        <w:rPr>
          <w:rFonts w:cs="Arial" w:hint="cs"/>
          <w:sz w:val="16"/>
          <w:szCs w:val="16"/>
          <w:rtl/>
        </w:rPr>
        <w:t>(</w:t>
      </w:r>
      <w:r w:rsidRPr="00F613E0">
        <w:rPr>
          <w:rFonts w:cs="Arial"/>
          <w:sz w:val="16"/>
          <w:szCs w:val="16"/>
          <w:rtl/>
        </w:rPr>
        <w:t>כלל מ סי' ב)</w:t>
      </w:r>
      <w:r>
        <w:rPr>
          <w:rFonts w:cs="Arial" w:hint="cs"/>
          <w:rtl/>
        </w:rPr>
        <w:t>-</w:t>
      </w:r>
      <w:r w:rsidRPr="00F613E0">
        <w:rPr>
          <w:rFonts w:cs="Arial"/>
          <w:rtl/>
        </w:rPr>
        <w:t xml:space="preserve"> אשה שמכרה בנכסי מלוג ובעלה שותק לא איבד משום זה זכותו</w:t>
      </w:r>
      <w:r>
        <w:rPr>
          <w:rFonts w:cs="Arial" w:hint="cs"/>
          <w:rtl/>
        </w:rPr>
        <w:t>.</w:t>
      </w:r>
      <w:r w:rsidRPr="00F613E0">
        <w:rPr>
          <w:rFonts w:cs="Arial"/>
          <w:rtl/>
        </w:rPr>
        <w:t xml:space="preserve"> </w:t>
      </w:r>
      <w:r w:rsidRPr="000A6C7C">
        <w:rPr>
          <w:rFonts w:cs="Arial" w:hint="cs"/>
          <w:color w:val="00B0F0"/>
          <w:rtl/>
        </w:rPr>
        <w:t>(וכ"פ הרמ"א)</w:t>
      </w:r>
    </w:p>
    <w:p w14:paraId="2BBDFF1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2EF2424" w14:textId="77777777" w:rsidR="002E5BAD" w:rsidRDefault="002E5BAD" w:rsidP="002E5BAD">
      <w:pPr>
        <w:rPr>
          <w:rFonts w:cs="Arial"/>
          <w:sz w:val="18"/>
          <w:szCs w:val="18"/>
          <w:rtl/>
        </w:rPr>
      </w:pPr>
      <w:r w:rsidRPr="00EB79BF">
        <w:rPr>
          <w:rFonts w:cs="Arial"/>
          <w:rtl/>
        </w:rPr>
        <w:t>ואם הבעל מודה, או שיש עדים</w:t>
      </w:r>
      <w:r>
        <w:rPr>
          <w:rFonts w:cs="Arial" w:hint="cs"/>
          <w:rtl/>
        </w:rPr>
        <w:t>,</w:t>
      </w:r>
      <w:r w:rsidRPr="00EB79BF">
        <w:rPr>
          <w:rFonts w:cs="Arial"/>
          <w:rtl/>
        </w:rPr>
        <w:t xml:space="preserve"> שברשותו מכרה, אינו מוציא מיד הלקוחות, דכשלוחו דמיא</w:t>
      </w:r>
      <w:r>
        <w:rPr>
          <w:rFonts w:cs="Arial" w:hint="cs"/>
          <w:rtl/>
        </w:rPr>
        <w:t>.</w:t>
      </w:r>
      <w:r w:rsidRPr="00EB79BF">
        <w:rPr>
          <w:rFonts w:cs="Arial"/>
          <w:rtl/>
        </w:rPr>
        <w:t xml:space="preserve"> ואי בעי לוקח הי</w:t>
      </w:r>
      <w:r>
        <w:rPr>
          <w:rFonts w:cs="Arial" w:hint="cs"/>
          <w:rtl/>
        </w:rPr>
        <w:t>ה</w:t>
      </w:r>
      <w:r w:rsidRPr="00EB79BF">
        <w:rPr>
          <w:rFonts w:cs="Arial"/>
          <w:rtl/>
        </w:rPr>
        <w:t xml:space="preserve"> מחרים</w:t>
      </w:r>
      <w:r>
        <w:rPr>
          <w:rStyle w:val="a7"/>
          <w:rFonts w:cs="Arial"/>
          <w:rtl/>
        </w:rPr>
        <w:footnoteReference w:id="2031"/>
      </w:r>
      <w:r w:rsidRPr="00EB79BF">
        <w:rPr>
          <w:rFonts w:cs="Arial"/>
          <w:rtl/>
        </w:rPr>
        <w:t xml:space="preserve"> שלא מכרה מדעתו. </w:t>
      </w:r>
      <w:r w:rsidRPr="00FA43C3">
        <w:rPr>
          <w:rFonts w:cs="Arial"/>
          <w:sz w:val="18"/>
          <w:szCs w:val="18"/>
          <w:rtl/>
        </w:rPr>
        <w:t xml:space="preserve">הגה: ראה שמכרה ושתק לה, לא אבד משום זה זכותו </w:t>
      </w:r>
      <w:r>
        <w:rPr>
          <w:rFonts w:cs="Arial" w:hint="cs"/>
          <w:sz w:val="18"/>
          <w:szCs w:val="18"/>
          <w:rtl/>
        </w:rPr>
        <w:t>(</w:t>
      </w:r>
      <w:r w:rsidRPr="00FA43C3">
        <w:rPr>
          <w:rFonts w:cs="Arial"/>
          <w:sz w:val="18"/>
          <w:szCs w:val="18"/>
          <w:rtl/>
        </w:rPr>
        <w:t>רא"ש</w:t>
      </w:r>
      <w:r>
        <w:rPr>
          <w:rFonts w:cs="Arial" w:hint="cs"/>
          <w:sz w:val="18"/>
          <w:szCs w:val="18"/>
          <w:rtl/>
        </w:rPr>
        <w:t xml:space="preserve"> בתשו'</w:t>
      </w:r>
      <w:r w:rsidRPr="00FA43C3">
        <w:rPr>
          <w:rFonts w:cs="Arial"/>
          <w:sz w:val="18"/>
          <w:szCs w:val="18"/>
          <w:rtl/>
        </w:rPr>
        <w:t>)</w:t>
      </w:r>
      <w:r>
        <w:rPr>
          <w:rFonts w:cs="Arial" w:hint="cs"/>
          <w:sz w:val="18"/>
          <w:szCs w:val="18"/>
          <w:rtl/>
        </w:rPr>
        <w:t>.</w:t>
      </w:r>
      <w:r w:rsidRPr="00FA43C3">
        <w:rPr>
          <w:rFonts w:cs="Arial"/>
          <w:sz w:val="18"/>
          <w:szCs w:val="18"/>
          <w:rtl/>
        </w:rPr>
        <w:t xml:space="preserve"> צותה בעת חליה לתת כך וכך ממלבושיה, ונתרצה הבעל</w:t>
      </w:r>
      <w:r>
        <w:rPr>
          <w:rStyle w:val="a7"/>
          <w:rFonts w:cs="Arial"/>
          <w:sz w:val="18"/>
          <w:szCs w:val="18"/>
          <w:rtl/>
        </w:rPr>
        <w:footnoteReference w:id="2032"/>
      </w:r>
      <w:r>
        <w:rPr>
          <w:rFonts w:cs="Arial" w:hint="cs"/>
          <w:sz w:val="18"/>
          <w:szCs w:val="18"/>
          <w:rtl/>
        </w:rPr>
        <w:t>,</w:t>
      </w:r>
      <w:r w:rsidRPr="00FA43C3">
        <w:rPr>
          <w:rFonts w:cs="Arial"/>
          <w:sz w:val="18"/>
          <w:szCs w:val="18"/>
          <w:rtl/>
        </w:rPr>
        <w:t xml:space="preserve"> אם נתנה לעניים, אינו יכול לחזור בו</w:t>
      </w:r>
      <w:r>
        <w:rPr>
          <w:rFonts w:cs="Arial" w:hint="cs"/>
          <w:sz w:val="18"/>
          <w:szCs w:val="18"/>
          <w:rtl/>
        </w:rPr>
        <w:t>.</w:t>
      </w:r>
      <w:r w:rsidRPr="00FA43C3">
        <w:rPr>
          <w:rFonts w:cs="Arial"/>
          <w:sz w:val="18"/>
          <w:szCs w:val="18"/>
          <w:rtl/>
        </w:rPr>
        <w:t xml:space="preserve"> ואם לעשירים, יכול לחזור בו</w:t>
      </w:r>
      <w:r>
        <w:rPr>
          <w:rStyle w:val="a7"/>
          <w:rFonts w:cs="Arial"/>
          <w:sz w:val="18"/>
          <w:szCs w:val="18"/>
          <w:rtl/>
        </w:rPr>
        <w:footnoteReference w:id="2033"/>
      </w:r>
      <w:r w:rsidRPr="00FA43C3">
        <w:rPr>
          <w:rFonts w:cs="Arial"/>
          <w:sz w:val="18"/>
          <w:szCs w:val="18"/>
          <w:rtl/>
        </w:rPr>
        <w:t xml:space="preserve"> (מהר"ם). וע' לעיל סימן פ"ו אם מכרה או משכנה מטלטלים. </w:t>
      </w:r>
    </w:p>
    <w:p w14:paraId="1B4A4150" w14:textId="77777777" w:rsidR="002E5BAD" w:rsidRPr="00EB79BF" w:rsidRDefault="002E5BAD" w:rsidP="002E5BAD">
      <w:pPr>
        <w:rPr>
          <w:rFonts w:cs="Arial"/>
          <w:rtl/>
        </w:rPr>
      </w:pPr>
    </w:p>
    <w:p w14:paraId="0AB85170" w14:textId="77777777" w:rsidR="002E5BAD" w:rsidRDefault="002E5BAD" w:rsidP="002E5BAD">
      <w:pPr>
        <w:pStyle w:val="2"/>
        <w:rPr>
          <w:rtl/>
        </w:rPr>
      </w:pPr>
      <w:r w:rsidRPr="00EB79BF">
        <w:rPr>
          <w:rtl/>
        </w:rPr>
        <w:t>סעיף יא</w:t>
      </w:r>
      <w:r>
        <w:rPr>
          <w:rFonts w:hint="cs"/>
          <w:rtl/>
        </w:rPr>
        <w:t>: אשה שמכרה לאחר שנשאת נכסים שאינם ידועים.</w:t>
      </w:r>
    </w:p>
    <w:p w14:paraId="5C18F214" w14:textId="77777777" w:rsidR="002E5BAD" w:rsidRPr="00984F6F" w:rsidRDefault="002E5BAD" w:rsidP="002E5BAD">
      <w:pPr>
        <w:rPr>
          <w:rFonts w:cs="Arial"/>
          <w:rtl/>
        </w:rPr>
      </w:pPr>
      <w:r w:rsidRPr="00CB7822">
        <w:rPr>
          <w:rFonts w:cs="Arial" w:hint="cs"/>
          <w:b/>
          <w:bCs/>
          <w:rtl/>
        </w:rPr>
        <w:t xml:space="preserve">כתובות </w:t>
      </w:r>
      <w:r w:rsidRPr="00CB7822">
        <w:rPr>
          <w:rFonts w:cs="Arial" w:hint="cs"/>
          <w:b/>
          <w:bCs/>
          <w:sz w:val="16"/>
          <w:szCs w:val="16"/>
          <w:rtl/>
        </w:rPr>
        <w:t xml:space="preserve">(פ' האשה שנפלו) </w:t>
      </w:r>
      <w:r w:rsidRPr="00CB7822">
        <w:rPr>
          <w:rFonts w:cs="Arial" w:hint="cs"/>
          <w:b/>
          <w:bCs/>
          <w:rtl/>
        </w:rPr>
        <w:t>עח ע"</w:t>
      </w:r>
      <w:r>
        <w:rPr>
          <w:rFonts w:cs="Arial" w:hint="cs"/>
          <w:b/>
          <w:bCs/>
          <w:rtl/>
        </w:rPr>
        <w:t>א</w:t>
      </w:r>
      <w:r w:rsidRPr="00CB7822">
        <w:rPr>
          <w:rFonts w:cs="Arial" w:hint="cs"/>
          <w:b/>
          <w:bCs/>
          <w:rtl/>
        </w:rPr>
        <w:t>:</w:t>
      </w:r>
      <w:r w:rsidRPr="00CB7822">
        <w:rPr>
          <w:rFonts w:cs="Arial" w:hint="cs"/>
          <w:rtl/>
        </w:rPr>
        <w:t xml:space="preserve"> </w:t>
      </w:r>
      <w:r w:rsidRPr="000A354D">
        <w:rPr>
          <w:rFonts w:cs="Arial"/>
          <w:u w:val="double"/>
          <w:rtl/>
        </w:rPr>
        <w:t>מתני'</w:t>
      </w:r>
      <w:r>
        <w:rPr>
          <w:rFonts w:cs="Arial" w:hint="cs"/>
          <w:rtl/>
        </w:rPr>
        <w:t>:</w:t>
      </w:r>
      <w:r w:rsidRPr="000A354D">
        <w:rPr>
          <w:rFonts w:cs="Arial"/>
          <w:rtl/>
        </w:rPr>
        <w:t xml:space="preserve"> האשה שנפלו לה נכסים</w:t>
      </w:r>
      <w:r>
        <w:rPr>
          <w:rFonts w:cs="Arial" w:hint="cs"/>
          <w:rtl/>
        </w:rPr>
        <w:t>...</w:t>
      </w:r>
      <w:r w:rsidRPr="00E85B8C">
        <w:rPr>
          <w:rtl/>
        </w:rPr>
        <w:t xml:space="preserve"> </w:t>
      </w:r>
      <w:r w:rsidRPr="00E85B8C">
        <w:rPr>
          <w:rFonts w:cs="Arial"/>
          <w:rtl/>
        </w:rPr>
        <w:t xml:space="preserve">עד שלא נשאת ונשאת, </w:t>
      </w:r>
      <w:r w:rsidRPr="00E85B8C">
        <w:rPr>
          <w:rFonts w:cs="Arial"/>
          <w:u w:val="single"/>
          <w:rtl/>
        </w:rPr>
        <w:t>ר"ג אומר</w:t>
      </w:r>
      <w:r w:rsidRPr="00E85B8C">
        <w:rPr>
          <w:rFonts w:cs="Arial"/>
          <w:rtl/>
        </w:rPr>
        <w:t xml:space="preserve">: אם מכרה ונתנה - קיים. </w:t>
      </w:r>
      <w:r w:rsidRPr="00E85B8C">
        <w:rPr>
          <w:rFonts w:cs="Arial"/>
          <w:u w:val="single"/>
          <w:rtl/>
        </w:rPr>
        <w:t>א"ר חנינא בן עקביא</w:t>
      </w:r>
      <w:r>
        <w:rPr>
          <w:rFonts w:cs="Arial" w:hint="cs"/>
          <w:rtl/>
        </w:rPr>
        <w:t>:</w:t>
      </w:r>
      <w:r w:rsidRPr="00E85B8C">
        <w:rPr>
          <w:rFonts w:cs="Arial"/>
          <w:rtl/>
        </w:rPr>
        <w:t xml:space="preserve"> אמרו לפני ר"ג</w:t>
      </w:r>
      <w:r>
        <w:rPr>
          <w:rFonts w:cs="Arial" w:hint="cs"/>
          <w:rtl/>
        </w:rPr>
        <w:t>,</w:t>
      </w:r>
      <w:r w:rsidRPr="00E85B8C">
        <w:rPr>
          <w:rFonts w:cs="Arial"/>
          <w:rtl/>
        </w:rPr>
        <w:t xml:space="preserve"> הואיל וזכה באשה לא יזכה בנכסים? אמר להם</w:t>
      </w:r>
      <w:r>
        <w:rPr>
          <w:rFonts w:cs="Arial" w:hint="cs"/>
          <w:rtl/>
        </w:rPr>
        <w:t>,</w:t>
      </w:r>
      <w:r w:rsidRPr="00E85B8C">
        <w:rPr>
          <w:rFonts w:cs="Arial"/>
          <w:rtl/>
        </w:rPr>
        <w:t xml:space="preserve"> על החדשים אנו בושים, אלא שאתם מגלגלין עלינו הישנים. ר"ש חולק בין נכסים לנכסים, נכסים הידועין לבעל </w:t>
      </w:r>
      <w:r>
        <w:rPr>
          <w:rFonts w:cs="Arial" w:hint="cs"/>
          <w:rtl/>
        </w:rPr>
        <w:t xml:space="preserve">- </w:t>
      </w:r>
      <w:r w:rsidRPr="00E85B8C">
        <w:rPr>
          <w:rFonts w:cs="Arial"/>
          <w:rtl/>
        </w:rPr>
        <w:t xml:space="preserve">לא תמכור, ואם מכרה ונתנה </w:t>
      </w:r>
      <w:r>
        <w:rPr>
          <w:rFonts w:cs="Arial" w:hint="cs"/>
          <w:rtl/>
        </w:rPr>
        <w:t>-</w:t>
      </w:r>
      <w:r w:rsidRPr="00E85B8C">
        <w:rPr>
          <w:rFonts w:cs="Arial"/>
          <w:rtl/>
        </w:rPr>
        <w:t xml:space="preserve"> בטל</w:t>
      </w:r>
      <w:r>
        <w:rPr>
          <w:rFonts w:cs="Arial" w:hint="cs"/>
          <w:rtl/>
        </w:rPr>
        <w:t>.</w:t>
      </w:r>
      <w:r w:rsidRPr="00E85B8C">
        <w:rPr>
          <w:rFonts w:cs="Arial"/>
          <w:rtl/>
        </w:rPr>
        <w:t xml:space="preserve"> שאינן ידועין לבעל </w:t>
      </w:r>
      <w:r>
        <w:rPr>
          <w:rFonts w:cs="Arial" w:hint="cs"/>
          <w:rtl/>
        </w:rPr>
        <w:t xml:space="preserve">- </w:t>
      </w:r>
      <w:r w:rsidRPr="00E85B8C">
        <w:rPr>
          <w:rFonts w:cs="Arial"/>
          <w:rtl/>
        </w:rPr>
        <w:t>לא תמכור, ואם מכרה ונתנה - קיים</w:t>
      </w:r>
      <w:r>
        <w:rPr>
          <w:rStyle w:val="a7"/>
          <w:rFonts w:cs="Arial"/>
          <w:rtl/>
        </w:rPr>
        <w:footnoteReference w:id="2034"/>
      </w:r>
      <w:r w:rsidRPr="00E85B8C">
        <w:rPr>
          <w:rFonts w:cs="Arial"/>
          <w:rtl/>
        </w:rPr>
        <w:t>.</w:t>
      </w:r>
      <w:r w:rsidRPr="00984F6F">
        <w:rPr>
          <w:rtl/>
        </w:rPr>
        <w:t xml:space="preserve"> </w:t>
      </w:r>
      <w:r>
        <w:rPr>
          <w:rFonts w:hint="cs"/>
          <w:rtl/>
        </w:rPr>
        <w:t xml:space="preserve">         </w:t>
      </w:r>
      <w:r w:rsidRPr="00984F6F">
        <w:rPr>
          <w:rFonts w:hint="cs"/>
          <w:u w:val="double"/>
          <w:rtl/>
        </w:rPr>
        <w:t>גמ'</w:t>
      </w:r>
      <w:r w:rsidRPr="00984F6F">
        <w:rPr>
          <w:rFonts w:hint="cs"/>
          <w:sz w:val="14"/>
          <w:szCs w:val="14"/>
          <w:u w:val="double"/>
          <w:rtl/>
        </w:rPr>
        <w:t>(עח:)</w:t>
      </w:r>
      <w:r w:rsidRPr="00984F6F">
        <w:rPr>
          <w:rFonts w:hint="cs"/>
          <w:u w:val="double"/>
          <w:rtl/>
        </w:rPr>
        <w:t>:</w:t>
      </w:r>
      <w:r>
        <w:rPr>
          <w:rFonts w:hint="cs"/>
          <w:rtl/>
        </w:rPr>
        <w:t xml:space="preserve"> </w:t>
      </w:r>
      <w:r w:rsidRPr="00984F6F">
        <w:rPr>
          <w:rFonts w:cs="Arial"/>
          <w:rtl/>
        </w:rPr>
        <w:t xml:space="preserve">ר"ש חולק בין נכסים. אלו הן ידועין, ואלו הן שאינן ידועין? </w:t>
      </w:r>
      <w:r w:rsidRPr="00984F6F">
        <w:rPr>
          <w:rFonts w:cs="Arial"/>
          <w:u w:val="single"/>
          <w:rtl/>
        </w:rPr>
        <w:t>אמר ר' יוסי ברבי חנינא</w:t>
      </w:r>
      <w:r w:rsidRPr="00984F6F">
        <w:rPr>
          <w:rFonts w:cs="Arial"/>
          <w:rtl/>
        </w:rPr>
        <w:t xml:space="preserve">: ידועין - מקרקעי, שאינן ידועין </w:t>
      </w:r>
      <w:r>
        <w:rPr>
          <w:rFonts w:cs="Arial"/>
          <w:rtl/>
        </w:rPr>
        <w:t>–</w:t>
      </w:r>
      <w:r w:rsidRPr="00984F6F">
        <w:rPr>
          <w:rFonts w:cs="Arial"/>
          <w:rtl/>
        </w:rPr>
        <w:t xml:space="preserve"> מטלטלין</w:t>
      </w:r>
      <w:r>
        <w:rPr>
          <w:rFonts w:cs="Arial" w:hint="cs"/>
          <w:rtl/>
        </w:rPr>
        <w:t>.</w:t>
      </w:r>
      <w:r w:rsidRPr="00984F6F">
        <w:rPr>
          <w:rFonts w:cs="Arial"/>
          <w:rtl/>
        </w:rPr>
        <w:t xml:space="preserve"> </w:t>
      </w:r>
      <w:r w:rsidRPr="00984F6F">
        <w:rPr>
          <w:rFonts w:cs="Arial"/>
          <w:u w:val="single"/>
          <w:rtl/>
        </w:rPr>
        <w:t>ור' יוחנן אמר</w:t>
      </w:r>
      <w:r w:rsidRPr="00984F6F">
        <w:rPr>
          <w:rFonts w:cs="Arial"/>
          <w:rtl/>
        </w:rPr>
        <w:t xml:space="preserve">: אלו ואלו ידועין הן, ואלו הן שאינן ידועין? כל שיושבת כאן ונפלו לה נכסים במדינת הים. תניא נמי הכי: אלו הן שאינן ידועין? כל שיושבת כאן ונפלו לה נכסים במדינת הים. </w:t>
      </w:r>
    </w:p>
    <w:p w14:paraId="440BD28A" w14:textId="77777777" w:rsidR="002E5BAD" w:rsidRPr="00576970" w:rsidRDefault="002E5BAD" w:rsidP="002E5BAD">
      <w:pPr>
        <w:rPr>
          <w:rFonts w:cs="Arial"/>
          <w:u w:val="single"/>
          <w:rtl/>
        </w:rPr>
      </w:pPr>
      <w:r w:rsidRPr="00576970">
        <w:rPr>
          <w:rFonts w:hint="cs"/>
          <w:u w:val="single"/>
          <w:rtl/>
        </w:rPr>
        <w:t>אשה שמכרה לאחר שנשאת נכסים שאינם ידועים:</w:t>
      </w:r>
    </w:p>
    <w:p w14:paraId="1498D9D8" w14:textId="77777777" w:rsidR="002E5BAD" w:rsidRDefault="002E5BAD" w:rsidP="002E5BAD">
      <w:pPr>
        <w:pStyle w:val="ab"/>
        <w:numPr>
          <w:ilvl w:val="0"/>
          <w:numId w:val="186"/>
        </w:numPr>
        <w:rPr>
          <w:rFonts w:cs="Arial"/>
        </w:rPr>
      </w:pPr>
      <w:r>
        <w:rPr>
          <w:rFonts w:cs="Arial" w:hint="cs"/>
          <w:rtl/>
        </w:rPr>
        <w:t xml:space="preserve">טור- </w:t>
      </w:r>
      <w:r w:rsidRPr="000C687E">
        <w:rPr>
          <w:rFonts w:cs="Arial"/>
          <w:rtl/>
        </w:rPr>
        <w:t xml:space="preserve">בד"א </w:t>
      </w:r>
      <w:r w:rsidRPr="00060A73">
        <w:rPr>
          <w:rFonts w:cs="Arial" w:hint="cs"/>
          <w:sz w:val="16"/>
          <w:szCs w:val="16"/>
          <w:rtl/>
        </w:rPr>
        <w:t>{</w:t>
      </w:r>
      <w:r w:rsidRPr="00060A73">
        <w:rPr>
          <w:rFonts w:cs="Arial"/>
          <w:sz w:val="16"/>
          <w:szCs w:val="16"/>
          <w:rtl/>
        </w:rPr>
        <w:t>שאם מכרה משנשאת מוציא הבעל מיד הלקוחות</w:t>
      </w:r>
      <w:r w:rsidRPr="00060A73">
        <w:rPr>
          <w:rFonts w:cs="Arial" w:hint="cs"/>
          <w:sz w:val="16"/>
          <w:szCs w:val="16"/>
          <w:rtl/>
        </w:rPr>
        <w:t>}</w:t>
      </w:r>
      <w:r>
        <w:rPr>
          <w:rFonts w:cs="Arial" w:hint="cs"/>
          <w:rtl/>
        </w:rPr>
        <w:t xml:space="preserve"> - </w:t>
      </w:r>
      <w:r w:rsidRPr="000C687E">
        <w:rPr>
          <w:rFonts w:cs="Arial"/>
          <w:rtl/>
        </w:rPr>
        <w:t>בנכסים ידועים לבעל</w:t>
      </w:r>
      <w:r>
        <w:rPr>
          <w:rFonts w:cs="Arial" w:hint="cs"/>
          <w:rtl/>
        </w:rPr>
        <w:t>.</w:t>
      </w:r>
      <w:r w:rsidRPr="000C687E">
        <w:rPr>
          <w:rFonts w:cs="Arial"/>
          <w:rtl/>
        </w:rPr>
        <w:t xml:space="preserve"> אבל בנכסים שאינן ידועים</w:t>
      </w:r>
      <w:r>
        <w:rPr>
          <w:rFonts w:cs="Arial" w:hint="cs"/>
          <w:rtl/>
        </w:rPr>
        <w:t>,</w:t>
      </w:r>
      <w:r w:rsidRPr="000C687E">
        <w:rPr>
          <w:rFonts w:cs="Arial"/>
          <w:rtl/>
        </w:rPr>
        <w:t xml:space="preserve"> אפילו נפלו לה משניסת</w:t>
      </w:r>
      <w:r>
        <w:rPr>
          <w:rFonts w:cs="Arial" w:hint="cs"/>
          <w:rtl/>
        </w:rPr>
        <w:t>,</w:t>
      </w:r>
      <w:r w:rsidRPr="000C687E">
        <w:rPr>
          <w:rFonts w:cs="Arial"/>
          <w:rtl/>
        </w:rPr>
        <w:t xml:space="preserve"> אם מכרה או נתנה </w:t>
      </w:r>
      <w:r>
        <w:rPr>
          <w:rFonts w:cs="Arial" w:hint="cs"/>
          <w:rtl/>
        </w:rPr>
        <w:t xml:space="preserve">- </w:t>
      </w:r>
      <w:r w:rsidRPr="000C687E">
        <w:rPr>
          <w:rFonts w:cs="Arial"/>
          <w:rtl/>
        </w:rPr>
        <w:t>קיים</w:t>
      </w:r>
      <w:r>
        <w:rPr>
          <w:rFonts w:cs="Arial" w:hint="cs"/>
          <w:rtl/>
        </w:rPr>
        <w:t>,</w:t>
      </w:r>
      <w:r w:rsidRPr="000C687E">
        <w:rPr>
          <w:rFonts w:cs="Arial"/>
          <w:rtl/>
        </w:rPr>
        <w:t xml:space="preserve"> אלא שלכתחילה לא תמכור</w:t>
      </w:r>
      <w:r>
        <w:rPr>
          <w:rFonts w:cs="Arial" w:hint="cs"/>
          <w:rtl/>
        </w:rPr>
        <w:t>.</w:t>
      </w:r>
      <w:r w:rsidRPr="000C687E">
        <w:rPr>
          <w:rFonts w:cs="Arial"/>
          <w:rtl/>
        </w:rPr>
        <w:t xml:space="preserve"> </w:t>
      </w:r>
      <w:r w:rsidRPr="001D67C0">
        <w:rPr>
          <w:rFonts w:hint="cs"/>
          <w:color w:val="E36C0A" w:themeColor="accent6" w:themeShade="BF"/>
          <w:rtl/>
        </w:rPr>
        <w:t>(וכ"פ בשו"ע)</w:t>
      </w:r>
      <w:r w:rsidRPr="00060A73">
        <w:rPr>
          <w:rFonts w:cs="Arial" w:hint="cs"/>
          <w:color w:val="00B0F0"/>
          <w:rtl/>
        </w:rPr>
        <w:t xml:space="preserve"> (וכ"פ הרמ"א)</w:t>
      </w:r>
    </w:p>
    <w:p w14:paraId="46E9E18D" w14:textId="77777777" w:rsidR="002E5BAD" w:rsidRPr="00CD3E12" w:rsidRDefault="002E5BAD" w:rsidP="002E5BAD">
      <w:pPr>
        <w:ind w:left="360"/>
        <w:rPr>
          <w:rFonts w:cs="Arial"/>
          <w:u w:val="dotted"/>
        </w:rPr>
      </w:pPr>
      <w:r w:rsidRPr="00CD3E12">
        <w:rPr>
          <w:rFonts w:cs="Arial" w:hint="cs"/>
          <w:u w:val="dotted"/>
          <w:rtl/>
        </w:rPr>
        <w:t xml:space="preserve">מה הם </w:t>
      </w:r>
      <w:r>
        <w:rPr>
          <w:rFonts w:cs="Arial" w:hint="cs"/>
          <w:u w:val="dotted"/>
          <w:rtl/>
        </w:rPr>
        <w:t>'</w:t>
      </w:r>
      <w:r w:rsidRPr="00CD3E12">
        <w:rPr>
          <w:rFonts w:cs="Arial" w:hint="cs"/>
          <w:u w:val="dotted"/>
          <w:rtl/>
        </w:rPr>
        <w:t>נכסים שאינם ידועים</w:t>
      </w:r>
      <w:r>
        <w:rPr>
          <w:rFonts w:cs="Arial" w:hint="cs"/>
          <w:u w:val="dotted"/>
          <w:rtl/>
        </w:rPr>
        <w:t>'</w:t>
      </w:r>
      <w:r w:rsidRPr="00CD3E12">
        <w:rPr>
          <w:rFonts w:cs="Arial" w:hint="cs"/>
          <w:u w:val="dotted"/>
          <w:rtl/>
        </w:rPr>
        <w:t>:</w:t>
      </w:r>
    </w:p>
    <w:p w14:paraId="157EACE6" w14:textId="77777777" w:rsidR="002E5BAD" w:rsidRDefault="002E5BAD" w:rsidP="002E5BAD">
      <w:pPr>
        <w:pStyle w:val="ab"/>
        <w:numPr>
          <w:ilvl w:val="0"/>
          <w:numId w:val="186"/>
        </w:numPr>
        <w:rPr>
          <w:rFonts w:cs="Arial"/>
        </w:rPr>
      </w:pPr>
      <w:r>
        <w:rPr>
          <w:rFonts w:cs="Arial" w:hint="cs"/>
          <w:rtl/>
        </w:rPr>
        <w:t xml:space="preserve">רא"ש </w:t>
      </w:r>
      <w:r>
        <w:rPr>
          <w:rFonts w:cs="Arial" w:hint="cs"/>
          <w:sz w:val="16"/>
          <w:szCs w:val="16"/>
          <w:rtl/>
        </w:rPr>
        <w:t xml:space="preserve">(כתובות פ"ח סי' א) </w:t>
      </w:r>
      <w:r>
        <w:rPr>
          <w:rFonts w:cs="Arial" w:hint="cs"/>
          <w:rtl/>
        </w:rPr>
        <w:t xml:space="preserve">וטור- </w:t>
      </w:r>
      <w:r w:rsidRPr="000C687E">
        <w:rPr>
          <w:rFonts w:cs="Arial"/>
          <w:rtl/>
        </w:rPr>
        <w:t>ואיזה הן שאין ידועים</w:t>
      </w:r>
      <w:r>
        <w:rPr>
          <w:rFonts w:cs="Arial" w:hint="cs"/>
          <w:rtl/>
        </w:rPr>
        <w:t>,</w:t>
      </w:r>
      <w:r w:rsidRPr="000C687E">
        <w:rPr>
          <w:rFonts w:cs="Arial"/>
          <w:rtl/>
        </w:rPr>
        <w:t xml:space="preserve"> כגון שנפלה לה ירושה במדינת הים</w:t>
      </w:r>
      <w:r>
        <w:rPr>
          <w:rFonts w:cs="Arial" w:hint="cs"/>
          <w:rtl/>
        </w:rPr>
        <w:t>,</w:t>
      </w:r>
      <w:r w:rsidRPr="000C687E">
        <w:rPr>
          <w:rFonts w:cs="Arial"/>
          <w:rtl/>
        </w:rPr>
        <w:t xml:space="preserve"> בין מקרקעי בין מטלטלי</w:t>
      </w:r>
      <w:r>
        <w:rPr>
          <w:rFonts w:cs="Arial" w:hint="cs"/>
          <w:rtl/>
        </w:rPr>
        <w:t>,</w:t>
      </w:r>
      <w:r w:rsidRPr="000C687E">
        <w:rPr>
          <w:rFonts w:cs="Arial"/>
          <w:rtl/>
        </w:rPr>
        <w:t xml:space="preserve"> שאין הבעל מצפה לאותן נכסים</w:t>
      </w:r>
      <w:r>
        <w:rPr>
          <w:rFonts w:cs="Arial" w:hint="cs"/>
          <w:rtl/>
        </w:rPr>
        <w:t>,</w:t>
      </w:r>
      <w:r w:rsidRPr="000C687E">
        <w:rPr>
          <w:rFonts w:cs="Arial"/>
          <w:rtl/>
        </w:rPr>
        <w:t xml:space="preserve"> כגון שמתו מורישיה במדינת הים</w:t>
      </w:r>
      <w:r>
        <w:rPr>
          <w:rStyle w:val="a7"/>
          <w:rFonts w:cs="Arial"/>
          <w:rtl/>
        </w:rPr>
        <w:footnoteReference w:id="2035"/>
      </w:r>
      <w:r w:rsidRPr="000C687E">
        <w:rPr>
          <w:rFonts w:cs="Arial"/>
          <w:rtl/>
        </w:rPr>
        <w:t xml:space="preserve"> ולא הכיר הבעל באותן המורישין</w:t>
      </w:r>
      <w:r>
        <w:rPr>
          <w:rFonts w:cs="Arial" w:hint="cs"/>
          <w:rtl/>
        </w:rPr>
        <w:t>,</w:t>
      </w:r>
      <w:r w:rsidRPr="000C687E">
        <w:rPr>
          <w:rFonts w:cs="Arial"/>
          <w:rtl/>
        </w:rPr>
        <w:t xml:space="preserve"> וכיוצא בזה</w:t>
      </w:r>
      <w:r>
        <w:rPr>
          <w:rFonts w:cs="Arial" w:hint="cs"/>
          <w:rtl/>
        </w:rPr>
        <w:t>.</w:t>
      </w:r>
      <w:r w:rsidRPr="000C687E">
        <w:rPr>
          <w:rFonts w:cs="Arial"/>
          <w:rtl/>
        </w:rPr>
        <w:t xml:space="preserve"> כגון שהיה לאביה נכסים ביד אחר</w:t>
      </w:r>
      <w:r>
        <w:rPr>
          <w:rFonts w:cs="Arial" w:hint="cs"/>
          <w:rtl/>
        </w:rPr>
        <w:t>,</w:t>
      </w:r>
      <w:r w:rsidRPr="000C687E">
        <w:rPr>
          <w:rFonts w:cs="Arial"/>
          <w:rtl/>
        </w:rPr>
        <w:t xml:space="preserve"> ולא נתברר שהיו של אביה עד אחר נישואין</w:t>
      </w:r>
      <w:r>
        <w:rPr>
          <w:rFonts w:cs="Arial" w:hint="cs"/>
          <w:rtl/>
        </w:rPr>
        <w:t>,</w:t>
      </w:r>
      <w:r w:rsidRPr="000C687E">
        <w:rPr>
          <w:rFonts w:cs="Arial"/>
          <w:rtl/>
        </w:rPr>
        <w:t xml:space="preserve"> גם זה לא נשאה על דעת אלו הנכסים</w:t>
      </w:r>
      <w:r>
        <w:rPr>
          <w:rFonts w:cs="Arial" w:hint="cs"/>
          <w:rtl/>
        </w:rPr>
        <w:t>.</w:t>
      </w:r>
      <w:r w:rsidRPr="000C687E">
        <w:rPr>
          <w:rFonts w:cs="Arial"/>
          <w:rtl/>
        </w:rPr>
        <w:t xml:space="preserve"> וגם צריך שלא נודעו לבעל בין נפילה למכירה</w:t>
      </w:r>
      <w:r>
        <w:rPr>
          <w:rFonts w:cs="Arial" w:hint="cs"/>
          <w:rtl/>
        </w:rPr>
        <w:t>,</w:t>
      </w:r>
      <w:r w:rsidRPr="000C687E">
        <w:rPr>
          <w:rFonts w:cs="Arial"/>
          <w:rtl/>
        </w:rPr>
        <w:t xml:space="preserve"> דמיד כשנודעו לבעל נעשו נכסי מלוג</w:t>
      </w:r>
      <w:r>
        <w:rPr>
          <w:rFonts w:cs="Arial" w:hint="cs"/>
          <w:rtl/>
        </w:rPr>
        <w:t>.</w:t>
      </w:r>
      <w:r w:rsidRPr="000C687E">
        <w:rPr>
          <w:rFonts w:cs="Arial"/>
          <w:rtl/>
        </w:rPr>
        <w:t xml:space="preserve"> וכן הפירות שימצאו בידה</w:t>
      </w:r>
      <w:r>
        <w:rPr>
          <w:rFonts w:cs="Arial" w:hint="cs"/>
          <w:rtl/>
        </w:rPr>
        <w:t>,</w:t>
      </w:r>
      <w:r w:rsidRPr="000C687E">
        <w:rPr>
          <w:rFonts w:cs="Arial"/>
          <w:rtl/>
        </w:rPr>
        <w:t xml:space="preserve"> מיד שיודעו לו יהיו נכסי מלוג</w:t>
      </w:r>
      <w:r>
        <w:rPr>
          <w:rFonts w:cs="Arial" w:hint="cs"/>
          <w:rtl/>
        </w:rPr>
        <w:t>,</w:t>
      </w:r>
      <w:r w:rsidRPr="000C687E">
        <w:rPr>
          <w:rFonts w:cs="Arial"/>
          <w:rtl/>
        </w:rPr>
        <w:t xml:space="preserve"> וילקח בהן קרקע והוא אוכל פירות</w:t>
      </w:r>
      <w:r>
        <w:rPr>
          <w:rFonts w:cs="Arial" w:hint="cs"/>
          <w:sz w:val="16"/>
          <w:szCs w:val="16"/>
          <w:rtl/>
        </w:rPr>
        <w:t xml:space="preserve"> (ל' הטור)</w:t>
      </w:r>
      <w:r>
        <w:rPr>
          <w:rFonts w:cs="Arial" w:hint="cs"/>
          <w:rtl/>
        </w:rPr>
        <w:t>.</w:t>
      </w:r>
    </w:p>
    <w:p w14:paraId="37BBC2C1" w14:textId="77777777" w:rsidR="002E5BAD" w:rsidRPr="0044714F" w:rsidRDefault="002E5BAD" w:rsidP="002E5BAD">
      <w:pPr>
        <w:pStyle w:val="ab"/>
        <w:numPr>
          <w:ilvl w:val="0"/>
          <w:numId w:val="186"/>
        </w:numPr>
        <w:rPr>
          <w:rFonts w:cs="Arial"/>
          <w:rtl/>
        </w:rPr>
      </w:pPr>
      <w:r w:rsidRPr="0044714F">
        <w:rPr>
          <w:rFonts w:cs="Arial"/>
          <w:rtl/>
        </w:rPr>
        <w:t xml:space="preserve">רשב"א </w:t>
      </w:r>
      <w:r w:rsidRPr="0044714F">
        <w:rPr>
          <w:rFonts w:cs="Arial"/>
          <w:sz w:val="16"/>
          <w:szCs w:val="16"/>
          <w:rtl/>
        </w:rPr>
        <w:t>(ח"ב סי' קח ד"ה ותנא</w:t>
      </w:r>
      <w:r w:rsidRPr="0044714F">
        <w:rPr>
          <w:rFonts w:cs="Arial" w:hint="cs"/>
          <w:sz w:val="16"/>
          <w:szCs w:val="16"/>
          <w:rtl/>
        </w:rPr>
        <w:t>)</w:t>
      </w:r>
      <w:r w:rsidRPr="0044714F">
        <w:rPr>
          <w:rFonts w:cs="Arial"/>
          <w:rtl/>
        </w:rPr>
        <w:t xml:space="preserve"> </w:t>
      </w:r>
      <w:r w:rsidRPr="0044714F">
        <w:rPr>
          <w:rFonts w:cs="Arial" w:hint="cs"/>
          <w:rtl/>
        </w:rPr>
        <w:t>ו</w:t>
      </w:r>
      <w:r w:rsidRPr="0044714F">
        <w:rPr>
          <w:rFonts w:cs="Arial"/>
          <w:rtl/>
        </w:rPr>
        <w:t xml:space="preserve">ר"ן </w:t>
      </w:r>
      <w:r w:rsidRPr="0044714F">
        <w:rPr>
          <w:rFonts w:cs="Arial" w:hint="cs"/>
          <w:sz w:val="16"/>
          <w:szCs w:val="16"/>
          <w:rtl/>
        </w:rPr>
        <w:t>(</w:t>
      </w:r>
      <w:r w:rsidRPr="0044714F">
        <w:rPr>
          <w:rFonts w:cs="Arial"/>
          <w:sz w:val="16"/>
          <w:szCs w:val="16"/>
          <w:rtl/>
        </w:rPr>
        <w:t>ר</w:t>
      </w:r>
      <w:r w:rsidRPr="0044714F">
        <w:rPr>
          <w:rFonts w:cs="Arial" w:hint="cs"/>
          <w:sz w:val="16"/>
          <w:szCs w:val="16"/>
          <w:rtl/>
        </w:rPr>
        <w:t>"פ</w:t>
      </w:r>
      <w:r w:rsidRPr="0044714F">
        <w:rPr>
          <w:rFonts w:cs="Arial"/>
          <w:sz w:val="16"/>
          <w:szCs w:val="16"/>
          <w:rtl/>
        </w:rPr>
        <w:t xml:space="preserve"> האשה שנפלו לז. ד"ה ונפלו לה נכסים)</w:t>
      </w:r>
      <w:r w:rsidRPr="0044714F">
        <w:rPr>
          <w:rFonts w:cs="Arial" w:hint="cs"/>
          <w:rtl/>
        </w:rPr>
        <w:t>-</w:t>
      </w:r>
      <w:r w:rsidRPr="0044714F">
        <w:rPr>
          <w:rFonts w:cs="Arial"/>
          <w:rtl/>
        </w:rPr>
        <w:t xml:space="preserve"> לאו דוקא שנפלו לה במדינת הים</w:t>
      </w:r>
      <w:r w:rsidRPr="0044714F">
        <w:rPr>
          <w:rFonts w:cs="Arial" w:hint="cs"/>
          <w:rtl/>
        </w:rPr>
        <w:t>,</w:t>
      </w:r>
      <w:r w:rsidRPr="0044714F">
        <w:rPr>
          <w:rFonts w:cs="Arial"/>
          <w:rtl/>
        </w:rPr>
        <w:t xml:space="preserve"> אלא הוא הדין אפילו בשנפלו לה במקום שהיא ובעלה שם</w:t>
      </w:r>
      <w:r w:rsidRPr="0044714F">
        <w:rPr>
          <w:rFonts w:cs="Arial" w:hint="cs"/>
          <w:rtl/>
        </w:rPr>
        <w:t>,</w:t>
      </w:r>
      <w:r w:rsidRPr="0044714F">
        <w:rPr>
          <w:rFonts w:cs="Arial"/>
          <w:rtl/>
        </w:rPr>
        <w:t xml:space="preserve"> כל זמן שלא ידע הוא כשנפלו לה ולא הספיק לדעת עד שמכרה או נתנה היא</w:t>
      </w:r>
      <w:r w:rsidRPr="0044714F">
        <w:rPr>
          <w:rFonts w:cs="Arial" w:hint="cs"/>
          <w:rtl/>
        </w:rPr>
        <w:t>.</w:t>
      </w:r>
      <w:r w:rsidRPr="0044714F">
        <w:rPr>
          <w:rFonts w:cs="Arial"/>
          <w:rtl/>
        </w:rPr>
        <w:t xml:space="preserve"> וכן פירש הר"י ן' מיגא"ש</w:t>
      </w:r>
      <w:r w:rsidRPr="0044714F">
        <w:rPr>
          <w:rFonts w:cs="Arial" w:hint="cs"/>
          <w:rtl/>
        </w:rPr>
        <w:t>.</w:t>
      </w:r>
      <w:r w:rsidRPr="0044714F">
        <w:rPr>
          <w:rFonts w:cs="Arial"/>
          <w:rtl/>
        </w:rPr>
        <w:t xml:space="preserve"> וכן מה שאמרו שנפלו לה נכסים</w:t>
      </w:r>
      <w:r w:rsidRPr="0044714F">
        <w:rPr>
          <w:rFonts w:cs="Arial" w:hint="cs"/>
          <w:rtl/>
        </w:rPr>
        <w:t>,</w:t>
      </w:r>
      <w:r w:rsidRPr="0044714F">
        <w:rPr>
          <w:rFonts w:cs="Arial"/>
          <w:rtl/>
        </w:rPr>
        <w:t xml:space="preserve"> כלומר בירושה</w:t>
      </w:r>
      <w:r w:rsidRPr="0044714F">
        <w:rPr>
          <w:rFonts w:cs="Arial" w:hint="cs"/>
          <w:rtl/>
        </w:rPr>
        <w:t>,</w:t>
      </w:r>
      <w:r w:rsidRPr="0044714F">
        <w:rPr>
          <w:rFonts w:cs="Arial"/>
          <w:rtl/>
        </w:rPr>
        <w:t xml:space="preserve"> לאו דוקא</w:t>
      </w:r>
      <w:r w:rsidRPr="0044714F">
        <w:rPr>
          <w:rFonts w:cs="Arial" w:hint="cs"/>
          <w:rtl/>
        </w:rPr>
        <w:t>.</w:t>
      </w:r>
      <w:r w:rsidRPr="0044714F">
        <w:rPr>
          <w:rFonts w:cs="Arial"/>
          <w:rtl/>
        </w:rPr>
        <w:t xml:space="preserve"> אלא הוא הדין אפילו ניתנו לה במתנה או שמצאה מציאה</w:t>
      </w:r>
      <w:r w:rsidRPr="0044714F">
        <w:rPr>
          <w:rFonts w:cs="Arial" w:hint="cs"/>
          <w:rtl/>
        </w:rPr>
        <w:t>.</w:t>
      </w:r>
      <w:r w:rsidRPr="0044714F">
        <w:rPr>
          <w:rFonts w:cs="Arial"/>
          <w:rtl/>
        </w:rPr>
        <w:t xml:space="preserve"> זה הכלל</w:t>
      </w:r>
      <w:r w:rsidRPr="0044714F">
        <w:rPr>
          <w:rFonts w:cs="Arial" w:hint="cs"/>
          <w:rtl/>
        </w:rPr>
        <w:t>,</w:t>
      </w:r>
      <w:r w:rsidRPr="0044714F">
        <w:rPr>
          <w:rFonts w:cs="Arial"/>
          <w:rtl/>
        </w:rPr>
        <w:t xml:space="preserve"> כל נכסים שיבואו לה ולא ידע בהם הבעל עד שמכרה או נתנה</w:t>
      </w:r>
      <w:r w:rsidRPr="0044714F">
        <w:rPr>
          <w:rFonts w:cs="Arial" w:hint="cs"/>
          <w:rtl/>
        </w:rPr>
        <w:t>,</w:t>
      </w:r>
      <w:r w:rsidRPr="0044714F">
        <w:rPr>
          <w:rFonts w:cs="Arial"/>
          <w:rtl/>
        </w:rPr>
        <w:t xml:space="preserve"> ואפילו לא נתנה אותם במתנה גמורה אלא בהברחה </w:t>
      </w:r>
      <w:r w:rsidRPr="0044714F">
        <w:rPr>
          <w:rFonts w:cs="Arial" w:hint="cs"/>
          <w:rtl/>
        </w:rPr>
        <w:t xml:space="preserve">- </w:t>
      </w:r>
      <w:r w:rsidRPr="0044714F">
        <w:rPr>
          <w:rFonts w:cs="Arial"/>
          <w:rtl/>
        </w:rPr>
        <w:t>אין הבעל מוציא מיד אותו מקבל מתנה</w:t>
      </w:r>
      <w:r w:rsidRPr="0044714F">
        <w:rPr>
          <w:rFonts w:cs="Arial" w:hint="cs"/>
          <w:rtl/>
        </w:rPr>
        <w:t>.</w:t>
      </w:r>
      <w:r w:rsidRPr="0044714F">
        <w:rPr>
          <w:rFonts w:cs="Arial"/>
          <w:rtl/>
        </w:rPr>
        <w:t xml:space="preserve"> וכדתניא (כתובות עט.) הרוצה שתבריח נכסיה מבעלה כיצד היא עושה וכו'</w:t>
      </w:r>
      <w:r w:rsidRPr="0044714F">
        <w:rPr>
          <w:rFonts w:cs="Arial" w:hint="cs"/>
          <w:rtl/>
        </w:rPr>
        <w:t>.</w:t>
      </w:r>
      <w:r w:rsidRPr="0044714F">
        <w:rPr>
          <w:rFonts w:cs="Arial"/>
          <w:rtl/>
        </w:rPr>
        <w:t xml:space="preserve"> ואף על פי שלא קנה מקבל מתנה לגמרי אפילו הכי מתנה זו מוציא' מיד זכות הבעל</w:t>
      </w:r>
      <w:r w:rsidRPr="0044714F">
        <w:rPr>
          <w:rFonts w:cs="Arial" w:hint="cs"/>
          <w:rtl/>
        </w:rPr>
        <w:t>,</w:t>
      </w:r>
      <w:r w:rsidRPr="0044714F">
        <w:rPr>
          <w:rFonts w:cs="Arial"/>
          <w:rtl/>
        </w:rPr>
        <w:t xml:space="preserve"> שאין הבעל אוכל פירות אותם נכסים כיון שלא ידע הבעל באותם נכסים עד שנתנתם היא</w:t>
      </w:r>
      <w:r w:rsidRPr="0044714F">
        <w:rPr>
          <w:rFonts w:cs="Arial" w:hint="cs"/>
          <w:rtl/>
        </w:rPr>
        <w:t>.</w:t>
      </w:r>
      <w:r w:rsidRPr="0044714F">
        <w:rPr>
          <w:rFonts w:cs="Arial"/>
          <w:rtl/>
        </w:rPr>
        <w:t xml:space="preserve"> ומעתה זו שנתנה לבנותיה קודם שידע בהם הבעל </w:t>
      </w:r>
      <w:r w:rsidRPr="0044714F">
        <w:rPr>
          <w:rFonts w:cs="Arial" w:hint="cs"/>
          <w:rtl/>
        </w:rPr>
        <w:t xml:space="preserve">- </w:t>
      </w:r>
      <w:r w:rsidRPr="0044714F">
        <w:rPr>
          <w:rFonts w:cs="Arial"/>
          <w:rtl/>
        </w:rPr>
        <w:t>מתנתה קיימת</w:t>
      </w:r>
      <w:r w:rsidRPr="0044714F">
        <w:rPr>
          <w:rFonts w:cs="Arial" w:hint="cs"/>
          <w:rtl/>
        </w:rPr>
        <w:t>.</w:t>
      </w:r>
      <w:r w:rsidRPr="0044714F">
        <w:rPr>
          <w:rFonts w:cs="Arial"/>
          <w:rtl/>
        </w:rPr>
        <w:t xml:space="preserve"> ומכל מקום אותם פירות ששיירה היא בנכסים עד שתמות </w:t>
      </w:r>
      <w:r w:rsidRPr="0044714F">
        <w:rPr>
          <w:rFonts w:cs="Arial" w:hint="cs"/>
          <w:rtl/>
        </w:rPr>
        <w:t xml:space="preserve">- </w:t>
      </w:r>
      <w:r w:rsidRPr="0044714F">
        <w:rPr>
          <w:rFonts w:cs="Arial"/>
          <w:rtl/>
        </w:rPr>
        <w:t>זכה בהם הבעל</w:t>
      </w:r>
      <w:r w:rsidRPr="0044714F">
        <w:rPr>
          <w:rFonts w:cs="Arial" w:hint="cs"/>
          <w:rtl/>
        </w:rPr>
        <w:t>.</w:t>
      </w:r>
      <w:r w:rsidRPr="0044714F">
        <w:rPr>
          <w:rFonts w:cs="Arial"/>
          <w:rtl/>
        </w:rPr>
        <w:t xml:space="preserve"> ולא שיזכה </w:t>
      </w:r>
      <w:r w:rsidRPr="0044714F">
        <w:rPr>
          <w:rFonts w:cs="Arial"/>
          <w:rtl/>
        </w:rPr>
        <w:lastRenderedPageBreak/>
        <w:t>הבעל בכל הפירות ויכלה אותם</w:t>
      </w:r>
      <w:r w:rsidRPr="0044714F">
        <w:rPr>
          <w:rFonts w:cs="Arial" w:hint="cs"/>
          <w:rtl/>
        </w:rPr>
        <w:t>,</w:t>
      </w:r>
      <w:r w:rsidRPr="0044714F">
        <w:rPr>
          <w:rFonts w:cs="Arial"/>
          <w:rtl/>
        </w:rPr>
        <w:t xml:space="preserve"> לפי שאין הבעל זוכה בגוף נכסי מלוג</w:t>
      </w:r>
      <w:r w:rsidRPr="0044714F">
        <w:rPr>
          <w:rFonts w:cs="Arial" w:hint="cs"/>
          <w:rtl/>
        </w:rPr>
        <w:t>,</w:t>
      </w:r>
      <w:r w:rsidRPr="0044714F">
        <w:rPr>
          <w:rFonts w:cs="Arial"/>
          <w:rtl/>
        </w:rPr>
        <w:t xml:space="preserve"> ותנן נפלו לה נכסים וכו' פירות התלושים מן הקרקע ילקח בהם קרקע והוא אוכל פירות</w:t>
      </w:r>
      <w:r>
        <w:rPr>
          <w:rStyle w:val="a7"/>
          <w:rtl/>
        </w:rPr>
        <w:footnoteReference w:id="2036"/>
      </w:r>
      <w:r w:rsidRPr="0044714F">
        <w:rPr>
          <w:rFonts w:cs="Arial" w:hint="cs"/>
          <w:sz w:val="16"/>
          <w:szCs w:val="16"/>
          <w:rtl/>
        </w:rPr>
        <w:t xml:space="preserve"> (ל' הרשב"א)</w:t>
      </w:r>
      <w:r w:rsidRPr="0044714F">
        <w:rPr>
          <w:rFonts w:cs="Arial" w:hint="cs"/>
          <w:rtl/>
        </w:rPr>
        <w:t>.</w:t>
      </w:r>
      <w:r w:rsidRPr="00817B9C">
        <w:rPr>
          <w:rFonts w:hint="cs"/>
          <w:color w:val="E36C0A" w:themeColor="accent6" w:themeShade="BF"/>
          <w:rtl/>
        </w:rPr>
        <w:t xml:space="preserve"> </w:t>
      </w:r>
    </w:p>
    <w:p w14:paraId="392B3FBA" w14:textId="77777777" w:rsidR="002E5BAD" w:rsidRDefault="002E5BAD" w:rsidP="002E5BAD">
      <w:pPr>
        <w:rPr>
          <w:rFonts w:cs="Arial"/>
          <w:rtl/>
        </w:rPr>
      </w:pPr>
      <w:r w:rsidRPr="00CB7822">
        <w:rPr>
          <w:rFonts w:cs="Arial" w:hint="cs"/>
          <w:b/>
          <w:bCs/>
          <w:rtl/>
        </w:rPr>
        <w:t xml:space="preserve">כתובות </w:t>
      </w:r>
      <w:r w:rsidRPr="00CB7822">
        <w:rPr>
          <w:rFonts w:cs="Arial" w:hint="cs"/>
          <w:b/>
          <w:bCs/>
          <w:sz w:val="16"/>
          <w:szCs w:val="16"/>
          <w:rtl/>
        </w:rPr>
        <w:t xml:space="preserve">(פ' האשה שנפלו) </w:t>
      </w:r>
      <w:r w:rsidRPr="00CB7822">
        <w:rPr>
          <w:rFonts w:cs="Arial" w:hint="cs"/>
          <w:b/>
          <w:bCs/>
          <w:rtl/>
        </w:rPr>
        <w:t>עח ע"</w:t>
      </w:r>
      <w:r>
        <w:rPr>
          <w:rFonts w:cs="Arial" w:hint="cs"/>
          <w:b/>
          <w:bCs/>
          <w:rtl/>
        </w:rPr>
        <w:t>א</w:t>
      </w:r>
      <w:r w:rsidRPr="00CB7822">
        <w:rPr>
          <w:rFonts w:cs="Arial" w:hint="cs"/>
          <w:b/>
          <w:bCs/>
          <w:rtl/>
        </w:rPr>
        <w:t>:</w:t>
      </w:r>
      <w:r w:rsidRPr="00CB7822">
        <w:rPr>
          <w:rFonts w:cs="Arial" w:hint="cs"/>
          <w:rtl/>
        </w:rPr>
        <w:t xml:space="preserve"> </w:t>
      </w:r>
      <w:r w:rsidRPr="000A354D">
        <w:rPr>
          <w:rFonts w:cs="Arial"/>
          <w:u w:val="double"/>
          <w:rtl/>
        </w:rPr>
        <w:t>מתני'</w:t>
      </w:r>
      <w:r>
        <w:rPr>
          <w:rFonts w:cs="Arial" w:hint="cs"/>
          <w:rtl/>
        </w:rPr>
        <w:t>:</w:t>
      </w:r>
      <w:r w:rsidRPr="000A354D">
        <w:rPr>
          <w:rFonts w:cs="Arial"/>
          <w:rtl/>
        </w:rPr>
        <w:t xml:space="preserve"> האשה שנפלו לה נכסים עד שלא תתארס, מודים ב"ש ובית הלל</w:t>
      </w:r>
      <w:r>
        <w:rPr>
          <w:rFonts w:cs="Arial" w:hint="cs"/>
          <w:rtl/>
        </w:rPr>
        <w:t>,</w:t>
      </w:r>
      <w:r w:rsidRPr="000A354D">
        <w:rPr>
          <w:rFonts w:cs="Arial"/>
          <w:rtl/>
        </w:rPr>
        <w:t xml:space="preserve"> שמוכרת ונותנת וקיים. נפלו לה משנתארסה, </w:t>
      </w:r>
      <w:r w:rsidRPr="000A354D">
        <w:rPr>
          <w:rFonts w:cs="Arial"/>
          <w:u w:val="single"/>
          <w:rtl/>
        </w:rPr>
        <w:t>ב"ש אומרים</w:t>
      </w:r>
      <w:r w:rsidRPr="000A354D">
        <w:rPr>
          <w:rFonts w:cs="Arial"/>
          <w:rtl/>
        </w:rPr>
        <w:t>: תמכור</w:t>
      </w:r>
      <w:r>
        <w:rPr>
          <w:rFonts w:cs="Arial" w:hint="cs"/>
          <w:rtl/>
        </w:rPr>
        <w:t>.</w:t>
      </w:r>
      <w:r w:rsidRPr="000A354D">
        <w:rPr>
          <w:rFonts w:cs="Arial"/>
          <w:rtl/>
        </w:rPr>
        <w:t xml:space="preserve"> </w:t>
      </w:r>
      <w:r w:rsidRPr="000A354D">
        <w:rPr>
          <w:rFonts w:cs="Arial"/>
          <w:u w:val="single"/>
          <w:rtl/>
        </w:rPr>
        <w:t>ובית הלל אומרים</w:t>
      </w:r>
      <w:r w:rsidRPr="000A354D">
        <w:rPr>
          <w:rFonts w:cs="Arial"/>
          <w:rtl/>
        </w:rPr>
        <w:t xml:space="preserve">: לא תמכור. אלו ואלו מודים, שאם מכרה ונתנה - קיים. </w:t>
      </w:r>
    </w:p>
    <w:p w14:paraId="4B38A5B3" w14:textId="77777777" w:rsidR="002E5BAD" w:rsidRPr="00152F92" w:rsidRDefault="002E5BAD" w:rsidP="002E5BAD">
      <w:pPr>
        <w:rPr>
          <w:rFonts w:cs="Arial"/>
          <w:u w:val="single"/>
        </w:rPr>
      </w:pPr>
      <w:r>
        <w:rPr>
          <w:rFonts w:cs="Arial" w:hint="cs"/>
          <w:u w:val="single"/>
          <w:rtl/>
        </w:rPr>
        <w:t>ארוסה שמכרה נכסיה</w:t>
      </w:r>
      <w:r w:rsidRPr="00152F92">
        <w:rPr>
          <w:rFonts w:cs="Arial" w:hint="cs"/>
          <w:u w:val="single"/>
          <w:rtl/>
        </w:rPr>
        <w:t>:</w:t>
      </w:r>
    </w:p>
    <w:p w14:paraId="5739A9C7" w14:textId="77777777" w:rsidR="002E5BAD" w:rsidRPr="00CB7822" w:rsidRDefault="002E5BAD" w:rsidP="002E5BAD">
      <w:pPr>
        <w:pStyle w:val="ab"/>
        <w:numPr>
          <w:ilvl w:val="0"/>
          <w:numId w:val="186"/>
        </w:numPr>
        <w:rPr>
          <w:rFonts w:cs="Arial"/>
        </w:rPr>
      </w:pPr>
      <w:r>
        <w:rPr>
          <w:rFonts w:cs="Arial" w:hint="cs"/>
          <w:rtl/>
        </w:rPr>
        <w:t xml:space="preserve">טור- </w:t>
      </w:r>
      <w:r w:rsidRPr="000C687E">
        <w:rPr>
          <w:rFonts w:cs="Arial"/>
          <w:rtl/>
        </w:rPr>
        <w:t xml:space="preserve">נפלו לה קודם שנתארסה ונתארסה </w:t>
      </w:r>
      <w:r>
        <w:rPr>
          <w:rFonts w:cs="Arial" w:hint="cs"/>
          <w:rtl/>
        </w:rPr>
        <w:t xml:space="preserve">- </w:t>
      </w:r>
      <w:r w:rsidRPr="000C687E">
        <w:rPr>
          <w:rFonts w:cs="Arial"/>
          <w:rtl/>
        </w:rPr>
        <w:t>מוכרת לכתחילה</w:t>
      </w:r>
      <w:r>
        <w:rPr>
          <w:rFonts w:cs="Arial" w:hint="cs"/>
          <w:rtl/>
        </w:rPr>
        <w:t>.</w:t>
      </w:r>
      <w:r w:rsidRPr="00CB7822">
        <w:rPr>
          <w:rFonts w:cs="Arial" w:hint="cs"/>
          <w:rtl/>
        </w:rPr>
        <w:t xml:space="preserve"> </w:t>
      </w:r>
      <w:r w:rsidRPr="00CB7822">
        <w:rPr>
          <w:rFonts w:cs="Arial"/>
          <w:rtl/>
        </w:rPr>
        <w:t>נפלו לה משנתארסה</w:t>
      </w:r>
      <w:r>
        <w:rPr>
          <w:rFonts w:cs="Arial" w:hint="cs"/>
          <w:rtl/>
        </w:rPr>
        <w:t>,</w:t>
      </w:r>
      <w:r w:rsidRPr="00CB7822">
        <w:rPr>
          <w:rFonts w:cs="Arial"/>
          <w:rtl/>
        </w:rPr>
        <w:t xml:space="preserve"> לא תמכור לכתחילה בעודה ארוסה</w:t>
      </w:r>
      <w:r w:rsidRPr="00CB7822">
        <w:rPr>
          <w:rFonts w:cs="Arial" w:hint="cs"/>
          <w:rtl/>
        </w:rPr>
        <w:t>,</w:t>
      </w:r>
      <w:r w:rsidRPr="00CB7822">
        <w:rPr>
          <w:rFonts w:cs="Arial"/>
          <w:rtl/>
        </w:rPr>
        <w:t xml:space="preserve"> ואם מכרה ונתנה</w:t>
      </w:r>
      <w:r w:rsidRPr="00CB7822">
        <w:rPr>
          <w:rFonts w:cs="Arial" w:hint="cs"/>
          <w:rtl/>
        </w:rPr>
        <w:t xml:space="preserve"> -</w:t>
      </w:r>
      <w:r w:rsidRPr="00CB7822">
        <w:rPr>
          <w:rFonts w:cs="Arial"/>
          <w:rtl/>
        </w:rPr>
        <w:t xml:space="preserve"> קיים</w:t>
      </w:r>
      <w:r w:rsidRPr="00CB7822">
        <w:rPr>
          <w:rFonts w:cs="Arial" w:hint="cs"/>
          <w:rtl/>
        </w:rPr>
        <w:t>.</w:t>
      </w:r>
      <w:r w:rsidRPr="00060A73">
        <w:rPr>
          <w:rFonts w:cs="Arial"/>
          <w:color w:val="00B0F0"/>
          <w:rtl/>
        </w:rPr>
        <w:t xml:space="preserve"> </w:t>
      </w:r>
      <w:r w:rsidRPr="00060A73">
        <w:rPr>
          <w:rFonts w:cs="Arial" w:hint="cs"/>
          <w:color w:val="00B0F0"/>
          <w:rtl/>
        </w:rPr>
        <w:t>(וכ"פ הרמ"א)</w:t>
      </w:r>
    </w:p>
    <w:p w14:paraId="5A332AC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7FC2ACA" w14:textId="77777777" w:rsidR="002E5BAD" w:rsidRDefault="002E5BAD" w:rsidP="002E5BAD">
      <w:pPr>
        <w:rPr>
          <w:rFonts w:cs="Arial"/>
          <w:rtl/>
        </w:rPr>
      </w:pPr>
      <w:r w:rsidRPr="00EB79BF">
        <w:rPr>
          <w:rFonts w:cs="Arial"/>
          <w:rtl/>
        </w:rPr>
        <w:t>במה דברים אמורים, שאם מכרה משנשאת מוציא הבעל מיד הלקוחות, בנכסים הידועים לבעל. אבל אם נפלו לה נכסים ולא ידע בהם הבעל</w:t>
      </w:r>
      <w:r>
        <w:rPr>
          <w:rFonts w:cs="Arial" w:hint="cs"/>
          <w:rtl/>
        </w:rPr>
        <w:t>,</w:t>
      </w:r>
      <w:r w:rsidRPr="00EB79BF">
        <w:rPr>
          <w:rFonts w:cs="Arial"/>
          <w:rtl/>
        </w:rPr>
        <w:t xml:space="preserve"> לכתחלה לא תמכור</w:t>
      </w:r>
      <w:r>
        <w:rPr>
          <w:rStyle w:val="a7"/>
          <w:rFonts w:cs="Arial"/>
          <w:rtl/>
        </w:rPr>
        <w:footnoteReference w:id="2037"/>
      </w:r>
      <w:r>
        <w:rPr>
          <w:rFonts w:cs="Arial" w:hint="cs"/>
          <w:rtl/>
        </w:rPr>
        <w:t>.</w:t>
      </w:r>
      <w:r w:rsidRPr="00EB79BF">
        <w:rPr>
          <w:rFonts w:cs="Arial"/>
          <w:rtl/>
        </w:rPr>
        <w:t xml:space="preserve"> </w:t>
      </w:r>
      <w:r>
        <w:rPr>
          <w:rFonts w:cs="Arial" w:hint="cs"/>
          <w:sz w:val="18"/>
          <w:szCs w:val="18"/>
          <w:rtl/>
        </w:rPr>
        <w:t xml:space="preserve">[הגה] </w:t>
      </w:r>
      <w:r w:rsidRPr="00FA43C3">
        <w:rPr>
          <w:rFonts w:cs="Arial"/>
          <w:sz w:val="18"/>
          <w:szCs w:val="18"/>
          <w:rtl/>
        </w:rPr>
        <w:t>ואם מכרה אותם קודם שידע בהם מכרה קיים</w:t>
      </w:r>
      <w:r>
        <w:rPr>
          <w:rFonts w:cs="Arial" w:hint="cs"/>
          <w:sz w:val="18"/>
          <w:szCs w:val="18"/>
          <w:rtl/>
        </w:rPr>
        <w:t>.</w:t>
      </w:r>
      <w:r w:rsidRPr="00FA43C3">
        <w:rPr>
          <w:rFonts w:cs="Arial"/>
          <w:sz w:val="18"/>
          <w:szCs w:val="18"/>
          <w:rtl/>
        </w:rPr>
        <w:t xml:space="preserve"> וכן ארוסה לכתחלה לא תמכור נכסים שנפלו לה משנתארסה</w:t>
      </w:r>
      <w:r>
        <w:rPr>
          <w:rFonts w:cs="Arial" w:hint="cs"/>
          <w:sz w:val="18"/>
          <w:szCs w:val="18"/>
          <w:rtl/>
        </w:rPr>
        <w:t>.</w:t>
      </w:r>
      <w:r w:rsidRPr="00EB79BF">
        <w:rPr>
          <w:rFonts w:cs="Arial"/>
          <w:rtl/>
        </w:rPr>
        <w:t xml:space="preserve"> ואם מכרה קודם הנשואין</w:t>
      </w:r>
      <w:r>
        <w:rPr>
          <w:rFonts w:cs="Arial" w:hint="cs"/>
          <w:rtl/>
        </w:rPr>
        <w:t>,</w:t>
      </w:r>
      <w:r w:rsidRPr="00EB79BF">
        <w:rPr>
          <w:rFonts w:cs="Arial"/>
          <w:rtl/>
        </w:rPr>
        <w:t xml:space="preserve"> מכרה קיים</w:t>
      </w:r>
      <w:r>
        <w:rPr>
          <w:rFonts w:cs="Arial" w:hint="cs"/>
          <w:rtl/>
        </w:rPr>
        <w:t>.</w:t>
      </w:r>
      <w:r w:rsidRPr="00EB79BF">
        <w:rPr>
          <w:rFonts w:cs="Arial"/>
          <w:rtl/>
        </w:rPr>
        <w:t xml:space="preserve"> </w:t>
      </w:r>
      <w:r>
        <w:rPr>
          <w:rFonts w:cs="Arial" w:hint="cs"/>
          <w:sz w:val="18"/>
          <w:szCs w:val="18"/>
          <w:rtl/>
        </w:rPr>
        <w:t xml:space="preserve">[הגה] </w:t>
      </w:r>
      <w:r w:rsidRPr="00FA43C3">
        <w:rPr>
          <w:rFonts w:cs="Arial"/>
          <w:sz w:val="18"/>
          <w:szCs w:val="18"/>
          <w:rtl/>
        </w:rPr>
        <w:t>אפילו נכסים הידועים לו</w:t>
      </w:r>
      <w:r w:rsidRPr="00EB79BF">
        <w:rPr>
          <w:rFonts w:cs="Arial"/>
          <w:rtl/>
        </w:rPr>
        <w:t xml:space="preserve">. </w:t>
      </w:r>
    </w:p>
    <w:p w14:paraId="2002912E" w14:textId="77777777" w:rsidR="002E5BAD" w:rsidRPr="00EB79BF" w:rsidRDefault="002E5BAD" w:rsidP="002E5BAD">
      <w:pPr>
        <w:rPr>
          <w:rFonts w:cs="Arial"/>
          <w:rtl/>
        </w:rPr>
      </w:pPr>
    </w:p>
    <w:p w14:paraId="1D8846B0" w14:textId="77777777" w:rsidR="002E5BAD" w:rsidRDefault="002E5BAD" w:rsidP="002E5BAD">
      <w:pPr>
        <w:pStyle w:val="2"/>
        <w:rPr>
          <w:rtl/>
        </w:rPr>
      </w:pPr>
      <w:r w:rsidRPr="00EB79BF">
        <w:rPr>
          <w:rtl/>
        </w:rPr>
        <w:t>סעיף יב</w:t>
      </w:r>
      <w:r>
        <w:rPr>
          <w:rFonts w:hint="cs"/>
          <w:rtl/>
        </w:rPr>
        <w:t>: בעל שנודע לו על נכסים שיש לאשתו.</w:t>
      </w:r>
    </w:p>
    <w:p w14:paraId="100C9187" w14:textId="77777777" w:rsidR="002E5BAD" w:rsidRPr="00910875" w:rsidRDefault="002E5BAD" w:rsidP="002E5BAD">
      <w:pPr>
        <w:rPr>
          <w:u w:val="single"/>
          <w:rtl/>
        </w:rPr>
      </w:pPr>
      <w:r>
        <w:rPr>
          <w:rFonts w:hint="cs"/>
          <w:u w:val="single"/>
          <w:rtl/>
        </w:rPr>
        <w:t>'</w:t>
      </w:r>
      <w:r w:rsidRPr="00910875">
        <w:rPr>
          <w:rFonts w:hint="cs"/>
          <w:u w:val="single"/>
          <w:rtl/>
        </w:rPr>
        <w:t>נכסים שאינם ידועים לבעל</w:t>
      </w:r>
      <w:r>
        <w:rPr>
          <w:rFonts w:hint="cs"/>
          <w:u w:val="single"/>
          <w:rtl/>
        </w:rPr>
        <w:t>'</w:t>
      </w:r>
      <w:r w:rsidRPr="00910875">
        <w:rPr>
          <w:rFonts w:hint="cs"/>
          <w:u w:val="single"/>
          <w:rtl/>
        </w:rPr>
        <w:t xml:space="preserve"> </w:t>
      </w:r>
      <w:r w:rsidRPr="00910875">
        <w:rPr>
          <w:u w:val="single"/>
          <w:rtl/>
        </w:rPr>
        <w:t>–</w:t>
      </w:r>
      <w:r w:rsidRPr="00910875">
        <w:rPr>
          <w:rFonts w:hint="cs"/>
          <w:u w:val="single"/>
          <w:rtl/>
        </w:rPr>
        <w:t xml:space="preserve"> מה דינם לאחר שהם נודעו לבעל:</w:t>
      </w:r>
    </w:p>
    <w:p w14:paraId="4D379560" w14:textId="77777777" w:rsidR="002E5BAD" w:rsidRDefault="002E5BAD" w:rsidP="002E5BAD">
      <w:pPr>
        <w:pStyle w:val="ab"/>
        <w:numPr>
          <w:ilvl w:val="0"/>
          <w:numId w:val="186"/>
        </w:numPr>
      </w:pPr>
      <w:r>
        <w:rPr>
          <w:rFonts w:cs="Arial" w:hint="cs"/>
          <w:rtl/>
        </w:rPr>
        <w:t xml:space="preserve">רא"ש </w:t>
      </w:r>
      <w:r>
        <w:rPr>
          <w:rFonts w:cs="Arial" w:hint="cs"/>
          <w:sz w:val="16"/>
          <w:szCs w:val="16"/>
          <w:rtl/>
        </w:rPr>
        <w:t xml:space="preserve">(כתובות פ"ח סי' א) </w:t>
      </w:r>
      <w:r>
        <w:rPr>
          <w:rFonts w:cs="Arial" w:hint="cs"/>
          <w:rtl/>
        </w:rPr>
        <w:t xml:space="preserve">וטור- נכסים שאינם ידועים לבעל, </w:t>
      </w:r>
      <w:r w:rsidRPr="000C687E">
        <w:rPr>
          <w:rFonts w:cs="Arial"/>
          <w:rtl/>
        </w:rPr>
        <w:t>מיד כשנודעו לבעל נעשו נכסי מלוג</w:t>
      </w:r>
      <w:r>
        <w:rPr>
          <w:rFonts w:cs="Arial" w:hint="cs"/>
          <w:rtl/>
        </w:rPr>
        <w:t>.</w:t>
      </w:r>
      <w:r w:rsidRPr="000C687E">
        <w:rPr>
          <w:rFonts w:cs="Arial"/>
          <w:rtl/>
        </w:rPr>
        <w:t xml:space="preserve"> וכן הפירות שימצאו בידה</w:t>
      </w:r>
      <w:r>
        <w:rPr>
          <w:rFonts w:cs="Arial" w:hint="cs"/>
          <w:rtl/>
        </w:rPr>
        <w:t>,</w:t>
      </w:r>
      <w:r w:rsidRPr="000C687E">
        <w:rPr>
          <w:rFonts w:cs="Arial"/>
          <w:rtl/>
        </w:rPr>
        <w:t xml:space="preserve"> מיד שיודעו לו יהיו נכסי מלוג</w:t>
      </w:r>
      <w:r>
        <w:rPr>
          <w:rFonts w:cs="Arial" w:hint="cs"/>
          <w:rtl/>
        </w:rPr>
        <w:t>,</w:t>
      </w:r>
      <w:r w:rsidRPr="000C687E">
        <w:rPr>
          <w:rFonts w:cs="Arial"/>
          <w:rtl/>
        </w:rPr>
        <w:t xml:space="preserve"> וילקח בהן קרקע והוא אוכל פירות</w:t>
      </w:r>
      <w:r>
        <w:rPr>
          <w:rFonts w:cs="Arial" w:hint="cs"/>
          <w:sz w:val="16"/>
          <w:szCs w:val="16"/>
          <w:rtl/>
        </w:rPr>
        <w:t xml:space="preserve"> (ל' הטור)</w:t>
      </w:r>
      <w:r>
        <w:rPr>
          <w:rFonts w:cs="Arial" w:hint="cs"/>
          <w:rtl/>
        </w:rPr>
        <w:t>.</w:t>
      </w:r>
      <w:r w:rsidRPr="00062818">
        <w:rPr>
          <w:rFonts w:hint="cs"/>
          <w:color w:val="E36C0A" w:themeColor="accent6" w:themeShade="BF"/>
          <w:rtl/>
        </w:rPr>
        <w:t xml:space="preserve"> </w:t>
      </w:r>
      <w:r w:rsidRPr="001D67C0">
        <w:rPr>
          <w:rFonts w:hint="cs"/>
          <w:color w:val="E36C0A" w:themeColor="accent6" w:themeShade="BF"/>
          <w:rtl/>
        </w:rPr>
        <w:t>(וכ"פ בשו"ע)</w:t>
      </w:r>
    </w:p>
    <w:p w14:paraId="686A5997" w14:textId="77777777" w:rsidR="002E5BAD" w:rsidRPr="00062818" w:rsidRDefault="002E5BAD" w:rsidP="002E5BAD">
      <w:pPr>
        <w:rPr>
          <w:u w:val="single"/>
        </w:rPr>
      </w:pPr>
      <w:r w:rsidRPr="00062818">
        <w:rPr>
          <w:u w:val="single"/>
          <w:rtl/>
        </w:rPr>
        <w:t>אשה שאמרה על ירושה שנפלה לה שאביה צוה לתת ממנה לאחרים</w:t>
      </w:r>
      <w:r w:rsidRPr="00062818">
        <w:rPr>
          <w:rFonts w:hint="cs"/>
          <w:u w:val="single"/>
          <w:rtl/>
        </w:rPr>
        <w:t>:</w:t>
      </w:r>
    </w:p>
    <w:p w14:paraId="52FBEE44" w14:textId="77777777" w:rsidR="002E5BAD" w:rsidRDefault="002E5BAD" w:rsidP="002E5BAD">
      <w:pPr>
        <w:pStyle w:val="ab"/>
        <w:numPr>
          <w:ilvl w:val="0"/>
          <w:numId w:val="186"/>
        </w:numPr>
      </w:pPr>
      <w:r w:rsidRPr="00060A73">
        <w:rPr>
          <w:rFonts w:cs="Arial"/>
          <w:rtl/>
        </w:rPr>
        <w:t xml:space="preserve">רשב"א </w:t>
      </w:r>
      <w:r w:rsidRPr="00060A73">
        <w:rPr>
          <w:rFonts w:cs="Arial" w:hint="cs"/>
          <w:sz w:val="16"/>
          <w:szCs w:val="16"/>
          <w:rtl/>
        </w:rPr>
        <w:t>(</w:t>
      </w:r>
      <w:r w:rsidRPr="00060A73">
        <w:rPr>
          <w:rFonts w:cs="Arial"/>
          <w:sz w:val="16"/>
          <w:szCs w:val="16"/>
          <w:rtl/>
        </w:rPr>
        <w:t>ח"ב סי</w:t>
      </w:r>
      <w:r w:rsidRPr="00060A73">
        <w:rPr>
          <w:rFonts w:cs="Arial" w:hint="cs"/>
          <w:sz w:val="16"/>
          <w:szCs w:val="16"/>
          <w:rtl/>
        </w:rPr>
        <w:t>'</w:t>
      </w:r>
      <w:r w:rsidRPr="00060A73">
        <w:rPr>
          <w:rFonts w:cs="Arial"/>
          <w:sz w:val="16"/>
          <w:szCs w:val="16"/>
          <w:rtl/>
        </w:rPr>
        <w:t xml:space="preserve"> שז)</w:t>
      </w:r>
      <w:r w:rsidRPr="00060A73">
        <w:rPr>
          <w:rFonts w:cs="Arial" w:hint="cs"/>
          <w:rtl/>
        </w:rPr>
        <w:t>-</w:t>
      </w:r>
      <w:r w:rsidRPr="00060A73">
        <w:rPr>
          <w:rFonts w:cs="Arial"/>
          <w:rtl/>
        </w:rPr>
        <w:t xml:space="preserve"> </w:t>
      </w:r>
      <w:r w:rsidRPr="00EE7EDC">
        <w:rPr>
          <w:rFonts w:cs="Arial"/>
          <w:rtl/>
        </w:rPr>
        <w:t>שאלת ראובן שמת והיו לו שתי בנות יורשות נשואות לבעל. אחת לשמעון ואחת ללוי. ועמדת אשת לוי והודה בבית דין לשמעון בעל אחותו שאביה צוה לפני מותו שיתנו לו מנכסיו מאה דינרין ואין שם עדים אלא הודאתה בלבד. אם תהיה נאמנת אם לאו</w:t>
      </w:r>
      <w:r w:rsidRPr="00060A73">
        <w:rPr>
          <w:rFonts w:cs="Arial"/>
          <w:rtl/>
        </w:rPr>
        <w:t>.</w:t>
      </w:r>
      <w:r>
        <w:rPr>
          <w:rFonts w:cs="Arial" w:hint="cs"/>
          <w:rtl/>
        </w:rPr>
        <w:t xml:space="preserve"> תשובה-...</w:t>
      </w:r>
      <w:r w:rsidRPr="00EE7EDC">
        <w:rPr>
          <w:rFonts w:cs="Arial"/>
          <w:rtl/>
        </w:rPr>
        <w:t xml:space="preserve"> אם הודאתה זו היתה בב"ד קודם שידע לוי בעלה אם נפלו לה אותם נכסים</w:t>
      </w:r>
      <w:r>
        <w:rPr>
          <w:rFonts w:cs="Arial" w:hint="cs"/>
          <w:rtl/>
        </w:rPr>
        <w:t xml:space="preserve"> -</w:t>
      </w:r>
      <w:r w:rsidRPr="00EE7EDC">
        <w:rPr>
          <w:rFonts w:cs="Arial"/>
          <w:rtl/>
        </w:rPr>
        <w:t xml:space="preserve"> קיי"ל כרבי שמעון דנכסים שאינם ידועים לבעל אם מכרה ונתנה קיים</w:t>
      </w:r>
      <w:r>
        <w:rPr>
          <w:rFonts w:cs="Arial" w:hint="cs"/>
          <w:rtl/>
        </w:rPr>
        <w:t>,</w:t>
      </w:r>
      <w:r w:rsidRPr="00EE7EDC">
        <w:rPr>
          <w:rFonts w:cs="Arial"/>
          <w:rtl/>
        </w:rPr>
        <w:t xml:space="preserve"> והודאתה בבית דין כנתנה דמי</w:t>
      </w:r>
      <w:r>
        <w:rPr>
          <w:rFonts w:cs="Arial" w:hint="cs"/>
          <w:rtl/>
        </w:rPr>
        <w:t>.</w:t>
      </w:r>
      <w:r w:rsidRPr="00EE7EDC">
        <w:rPr>
          <w:rFonts w:cs="Arial"/>
          <w:rtl/>
        </w:rPr>
        <w:t xml:space="preserve"> ואם ידע הבעל קודם הודאתה בבית דין</w:t>
      </w:r>
      <w:r>
        <w:rPr>
          <w:rFonts w:cs="Arial" w:hint="cs"/>
          <w:rtl/>
        </w:rPr>
        <w:t xml:space="preserve"> -</w:t>
      </w:r>
      <w:r w:rsidRPr="00EE7EDC">
        <w:rPr>
          <w:rFonts w:cs="Arial"/>
          <w:rtl/>
        </w:rPr>
        <w:t xml:space="preserve"> אין בדבריה כלום ליתן לשמעון המאה דינרים</w:t>
      </w:r>
      <w:r>
        <w:rPr>
          <w:rFonts w:cs="Arial" w:hint="cs"/>
          <w:rtl/>
        </w:rPr>
        <w:t>.</w:t>
      </w:r>
      <w:r w:rsidRPr="00EE7EDC">
        <w:rPr>
          <w:rFonts w:cs="Arial"/>
          <w:rtl/>
        </w:rPr>
        <w:t xml:space="preserve"> ומכל מקום יש כאן מקום חקירה</w:t>
      </w:r>
      <w:r>
        <w:rPr>
          <w:rFonts w:cs="Arial" w:hint="cs"/>
          <w:rtl/>
        </w:rPr>
        <w:t>,</w:t>
      </w:r>
      <w:r w:rsidRPr="00EE7EDC">
        <w:rPr>
          <w:rFonts w:cs="Arial"/>
          <w:rtl/>
        </w:rPr>
        <w:t xml:space="preserve"> אם מת הבעל בחיי האשה</w:t>
      </w:r>
      <w:r>
        <w:rPr>
          <w:rFonts w:cs="Arial" w:hint="cs"/>
          <w:rtl/>
        </w:rPr>
        <w:t>,</w:t>
      </w:r>
      <w:r w:rsidRPr="00EE7EDC">
        <w:rPr>
          <w:rFonts w:cs="Arial"/>
          <w:rtl/>
        </w:rPr>
        <w:t xml:space="preserve"> אם יגבה שמעון זה מן האשה מחמת הודאתה</w:t>
      </w:r>
      <w:r>
        <w:rPr>
          <w:rFonts w:cs="Arial" w:hint="cs"/>
          <w:rtl/>
        </w:rPr>
        <w:t>.</w:t>
      </w:r>
      <w:r w:rsidRPr="00EE7EDC">
        <w:rPr>
          <w:rFonts w:cs="Arial"/>
          <w:rtl/>
        </w:rPr>
        <w:t xml:space="preserve"> לפי שאיפשר לה לטעון כשהודיתי לך לא היה אלא כדי להפסיד על בעלי וכיון שבאותה שעה לא הייתי נאמנת נתבטלה הודאתי ואינה חוזרת ונעורת עכשיו</w:t>
      </w:r>
      <w:r>
        <w:rPr>
          <w:rFonts w:cs="Arial" w:hint="cs"/>
          <w:rtl/>
        </w:rPr>
        <w:t>.</w:t>
      </w:r>
      <w:r w:rsidRPr="00EE7EDC">
        <w:rPr>
          <w:rFonts w:cs="Arial"/>
          <w:rtl/>
        </w:rPr>
        <w:t xml:space="preserve"> וכעין מה שכתב הראב"ד גבי האומר שטר אמנה הוא זה</w:t>
      </w:r>
      <w:r>
        <w:rPr>
          <w:rFonts w:cs="Arial" w:hint="cs"/>
          <w:rtl/>
        </w:rPr>
        <w:t>.</w:t>
      </w:r>
      <w:r w:rsidRPr="00EE7EDC">
        <w:rPr>
          <w:rFonts w:cs="Arial"/>
          <w:rtl/>
        </w:rPr>
        <w:t xml:space="preserve"> ומכל מקום מסתברא דכאן נאמנת היא</w:t>
      </w:r>
      <w:r>
        <w:rPr>
          <w:rFonts w:cs="Arial" w:hint="cs"/>
          <w:rtl/>
        </w:rPr>
        <w:t>,</w:t>
      </w:r>
      <w:r w:rsidRPr="00EE7EDC">
        <w:rPr>
          <w:rFonts w:cs="Arial"/>
          <w:rtl/>
        </w:rPr>
        <w:t xml:space="preserve"> לפי שקרן נכסי מלוג שלה הוא</w:t>
      </w:r>
      <w:r>
        <w:rPr>
          <w:rFonts w:cs="Arial" w:hint="cs"/>
          <w:rtl/>
        </w:rPr>
        <w:t>,</w:t>
      </w:r>
      <w:r w:rsidRPr="00EE7EDC">
        <w:rPr>
          <w:rFonts w:cs="Arial"/>
          <w:rtl/>
        </w:rPr>
        <w:t xml:space="preserve"> ונאמנת היא עליו</w:t>
      </w:r>
      <w:r>
        <w:rPr>
          <w:rFonts w:cs="Arial" w:hint="cs"/>
          <w:rtl/>
        </w:rPr>
        <w:t>,</w:t>
      </w:r>
      <w:r w:rsidRPr="00EE7EDC">
        <w:rPr>
          <w:rFonts w:cs="Arial"/>
          <w:rtl/>
        </w:rPr>
        <w:t xml:space="preserve"> שאין לבעל בקרן כלום כל שלא מתה האשה בחייו</w:t>
      </w:r>
      <w:r>
        <w:rPr>
          <w:rFonts w:cs="Arial" w:hint="cs"/>
          <w:rtl/>
        </w:rPr>
        <w:t>.</w:t>
      </w:r>
      <w:r w:rsidRPr="00EE7EDC">
        <w:rPr>
          <w:rFonts w:cs="Arial"/>
          <w:rtl/>
        </w:rPr>
        <w:t xml:space="preserve"> וזה נראה לי נכון</w:t>
      </w:r>
      <w:r>
        <w:rPr>
          <w:rFonts w:cs="Arial" w:hint="cs"/>
          <w:rtl/>
        </w:rPr>
        <w:t>.</w:t>
      </w:r>
      <w:r w:rsidRPr="00062818">
        <w:rPr>
          <w:rFonts w:cs="Arial" w:hint="cs"/>
          <w:color w:val="00B0F0"/>
          <w:rtl/>
        </w:rPr>
        <w:t xml:space="preserve"> </w:t>
      </w:r>
      <w:r w:rsidRPr="00060A73">
        <w:rPr>
          <w:rFonts w:cs="Arial" w:hint="cs"/>
          <w:color w:val="00B0F0"/>
          <w:rtl/>
        </w:rPr>
        <w:t>(וכ"פ הרמ"א)</w:t>
      </w:r>
    </w:p>
    <w:p w14:paraId="25F07C93" w14:textId="77777777" w:rsidR="002E5BAD" w:rsidRPr="004F118D" w:rsidRDefault="002E5BAD" w:rsidP="002E5BAD">
      <w:pPr>
        <w:rPr>
          <w:u w:val="single"/>
        </w:rPr>
      </w:pPr>
      <w:r w:rsidRPr="004F118D">
        <w:rPr>
          <w:rFonts w:hint="cs"/>
          <w:u w:val="single"/>
          <w:rtl/>
        </w:rPr>
        <w:t>האם הבעל יורש את הנכסים הלא ידועים של אשתו:</w:t>
      </w:r>
      <w:r w:rsidRPr="004F118D">
        <w:rPr>
          <w:rFonts w:cs="Arial"/>
          <w:sz w:val="16"/>
          <w:szCs w:val="16"/>
          <w:rtl/>
        </w:rPr>
        <w:t xml:space="preserve"> </w:t>
      </w:r>
      <w:r>
        <w:rPr>
          <w:rFonts w:cs="Arial" w:hint="cs"/>
          <w:sz w:val="16"/>
          <w:szCs w:val="16"/>
          <w:rtl/>
        </w:rPr>
        <w:t xml:space="preserve">  </w:t>
      </w:r>
      <w:r w:rsidRPr="004F118D">
        <w:rPr>
          <w:rFonts w:cs="Arial"/>
          <w:sz w:val="16"/>
          <w:szCs w:val="16"/>
          <w:rtl/>
        </w:rPr>
        <w:t>(</w:t>
      </w:r>
      <w:r w:rsidRPr="004F118D">
        <w:rPr>
          <w:rFonts w:cs="Arial" w:hint="cs"/>
          <w:sz w:val="16"/>
          <w:szCs w:val="16"/>
          <w:rtl/>
        </w:rPr>
        <w:t xml:space="preserve">דרכ"מ אות </w:t>
      </w:r>
      <w:r w:rsidRPr="004F118D">
        <w:rPr>
          <w:rFonts w:cs="Arial"/>
          <w:sz w:val="16"/>
          <w:szCs w:val="16"/>
          <w:rtl/>
        </w:rPr>
        <w:t>י)</w:t>
      </w:r>
    </w:p>
    <w:p w14:paraId="15E7CD06" w14:textId="77777777" w:rsidR="002E5BAD" w:rsidRPr="00D9440F" w:rsidRDefault="002E5BAD" w:rsidP="002E5BAD">
      <w:pPr>
        <w:pStyle w:val="ab"/>
        <w:numPr>
          <w:ilvl w:val="0"/>
          <w:numId w:val="186"/>
        </w:numPr>
        <w:rPr>
          <w:rtl/>
        </w:rPr>
      </w:pPr>
      <w:r w:rsidRPr="00D9440F">
        <w:rPr>
          <w:rFonts w:cs="Arial"/>
          <w:rtl/>
        </w:rPr>
        <w:t>ר"ן</w:t>
      </w:r>
      <w:r w:rsidRPr="004F118D">
        <w:rPr>
          <w:rFonts w:cs="Arial"/>
          <w:sz w:val="16"/>
          <w:szCs w:val="16"/>
          <w:rtl/>
        </w:rPr>
        <w:t xml:space="preserve"> </w:t>
      </w:r>
      <w:r w:rsidRPr="004F118D">
        <w:rPr>
          <w:rFonts w:cs="Arial" w:hint="cs"/>
          <w:sz w:val="16"/>
          <w:szCs w:val="16"/>
          <w:rtl/>
        </w:rPr>
        <w:t>(</w:t>
      </w:r>
      <w:r w:rsidRPr="004F118D">
        <w:rPr>
          <w:rFonts w:cs="Arial"/>
          <w:sz w:val="16"/>
          <w:szCs w:val="16"/>
          <w:rtl/>
        </w:rPr>
        <w:t>ריש האשה שנפלו</w:t>
      </w:r>
      <w:r w:rsidRPr="004F118D">
        <w:rPr>
          <w:rFonts w:cs="Arial" w:hint="cs"/>
          <w:sz w:val="16"/>
          <w:szCs w:val="16"/>
          <w:rtl/>
        </w:rPr>
        <w:t xml:space="preserve"> </w:t>
      </w:r>
      <w:r w:rsidRPr="004F118D">
        <w:rPr>
          <w:rFonts w:cs="Arial"/>
          <w:sz w:val="16"/>
          <w:szCs w:val="16"/>
          <w:rtl/>
        </w:rPr>
        <w:t>לז. ד"ה גמ' ידועים)</w:t>
      </w:r>
      <w:r>
        <w:rPr>
          <w:rFonts w:cs="Arial" w:hint="cs"/>
          <w:rtl/>
        </w:rPr>
        <w:t>-</w:t>
      </w:r>
      <w:r w:rsidRPr="00D9440F">
        <w:rPr>
          <w:rFonts w:cs="Arial"/>
          <w:rtl/>
        </w:rPr>
        <w:t xml:space="preserve"> איש יורש נכסי אשתו אע</w:t>
      </w:r>
      <w:r>
        <w:rPr>
          <w:rFonts w:cs="Arial" w:hint="cs"/>
          <w:rtl/>
        </w:rPr>
        <w:t>"</w:t>
      </w:r>
      <w:r w:rsidRPr="00D9440F">
        <w:rPr>
          <w:rFonts w:cs="Arial"/>
          <w:rtl/>
        </w:rPr>
        <w:t>פ שלא היו ידועים לו</w:t>
      </w:r>
      <w:r>
        <w:rPr>
          <w:rStyle w:val="a7"/>
          <w:rFonts w:cs="Arial"/>
          <w:rtl/>
        </w:rPr>
        <w:footnoteReference w:id="2038"/>
      </w:r>
      <w:r>
        <w:rPr>
          <w:rFonts w:cs="Arial" w:hint="cs"/>
          <w:rtl/>
        </w:rPr>
        <w:t>.</w:t>
      </w:r>
      <w:r w:rsidRPr="00D9440F">
        <w:rPr>
          <w:rFonts w:cs="Arial"/>
          <w:rtl/>
        </w:rPr>
        <w:t xml:space="preserve"> </w:t>
      </w:r>
    </w:p>
    <w:p w14:paraId="78B12CCD"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010BB92" w14:textId="77777777" w:rsidR="002E5BAD" w:rsidRDefault="002E5BAD" w:rsidP="002E5BAD">
      <w:pPr>
        <w:rPr>
          <w:rFonts w:cs="Arial"/>
          <w:rtl/>
        </w:rPr>
      </w:pPr>
      <w:r w:rsidRPr="00EB79BF">
        <w:rPr>
          <w:rFonts w:cs="Arial"/>
          <w:rtl/>
        </w:rPr>
        <w:t xml:space="preserve">נכסים שאינם ידועים לבעל, כשיודעו לו, מיד נעשו נכסי מלוג. וכן הפירות שימצאו בידה, מיד שיודעו לו הם נכסי מלוג. </w:t>
      </w:r>
      <w:r w:rsidRPr="00FA43C3">
        <w:rPr>
          <w:rFonts w:cs="Arial"/>
          <w:sz w:val="18"/>
          <w:szCs w:val="18"/>
          <w:rtl/>
        </w:rPr>
        <w:t>הגה: אשה שאמרה על ירושה שנפלה לה שאביה צוה לתת ממנה לאחרים, אם הנכסים ידועים לבעל, אינה נאמנת. מיהו אם מת הבעל, צריכה לקיים הודאתה. ואם הנכסים אינם ידועים, נאמנת (ב"י בשם תשובת הרשב"א).</w:t>
      </w:r>
      <w:r w:rsidRPr="00EB79BF">
        <w:rPr>
          <w:rFonts w:cs="Arial"/>
          <w:rtl/>
        </w:rPr>
        <w:t xml:space="preserve"> </w:t>
      </w:r>
    </w:p>
    <w:p w14:paraId="5CF896B2" w14:textId="77777777" w:rsidR="002E5BAD" w:rsidRPr="00EB79BF" w:rsidRDefault="002E5BAD" w:rsidP="002E5BAD">
      <w:pPr>
        <w:rPr>
          <w:rFonts w:cs="Arial"/>
          <w:rtl/>
        </w:rPr>
      </w:pPr>
    </w:p>
    <w:p w14:paraId="47BA0F84" w14:textId="77777777" w:rsidR="002E5BAD" w:rsidRDefault="002E5BAD" w:rsidP="002E5BAD">
      <w:pPr>
        <w:pStyle w:val="2"/>
        <w:rPr>
          <w:rtl/>
        </w:rPr>
      </w:pPr>
      <w:r w:rsidRPr="00EB79BF">
        <w:rPr>
          <w:rtl/>
        </w:rPr>
        <w:lastRenderedPageBreak/>
        <w:t>סעיף יג</w:t>
      </w:r>
      <w:r>
        <w:rPr>
          <w:rFonts w:hint="cs"/>
          <w:rtl/>
        </w:rPr>
        <w:t>: בעל שמכר נכסי אשתו. ואשה שמכרה נכסי צאן ברזל.</w:t>
      </w:r>
    </w:p>
    <w:p w14:paraId="47F22786" w14:textId="77777777" w:rsidR="002E5BAD" w:rsidRDefault="002E5BAD" w:rsidP="002E5BAD">
      <w:pPr>
        <w:rPr>
          <w:rFonts w:cs="Arial"/>
          <w:rtl/>
        </w:rPr>
      </w:pPr>
      <w:r>
        <w:rPr>
          <w:rFonts w:cs="Arial" w:hint="cs"/>
          <w:b/>
          <w:bCs/>
          <w:rtl/>
        </w:rPr>
        <w:t xml:space="preserve">בבא בתרא </w:t>
      </w:r>
      <w:r w:rsidRPr="0065281E">
        <w:rPr>
          <w:rFonts w:cs="Arial" w:hint="cs"/>
          <w:b/>
          <w:bCs/>
          <w:sz w:val="16"/>
          <w:szCs w:val="16"/>
          <w:rtl/>
        </w:rPr>
        <w:t>(פ' חזקת)</w:t>
      </w:r>
      <w:r>
        <w:rPr>
          <w:rFonts w:cs="Arial" w:hint="cs"/>
          <w:b/>
          <w:bCs/>
          <w:rtl/>
        </w:rPr>
        <w:t xml:space="preserve"> נ ע"א: </w:t>
      </w:r>
      <w:r w:rsidRPr="0065281E">
        <w:rPr>
          <w:rFonts w:cs="Arial"/>
          <w:u w:val="single"/>
          <w:rtl/>
        </w:rPr>
        <w:t>האמר אמימר</w:t>
      </w:r>
      <w:r w:rsidRPr="0065281E">
        <w:rPr>
          <w:rFonts w:cs="Arial"/>
          <w:rtl/>
        </w:rPr>
        <w:t xml:space="preserve">: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w:t>
      </w:r>
      <w:r w:rsidRPr="0065281E">
        <w:rPr>
          <w:rFonts w:cs="Arial"/>
          <w:u w:val="single"/>
          <w:rtl/>
        </w:rPr>
        <w:t>דאמר רבי יוסי בר חנינא</w:t>
      </w:r>
      <w:r w:rsidRPr="0065281E">
        <w:rPr>
          <w:rFonts w:cs="Arial"/>
          <w:rtl/>
        </w:rPr>
        <w:t>: באושא התקינו, האשה שמכרה בנכסי מלוג ומתה - הבעל מוצא מיד הלקוחות</w:t>
      </w:r>
      <w:r>
        <w:rPr>
          <w:rFonts w:cs="Arial" w:hint="cs"/>
          <w:rtl/>
        </w:rPr>
        <w:t>.</w:t>
      </w:r>
      <w:r w:rsidRPr="0065281E">
        <w:rPr>
          <w:rFonts w:cs="Arial"/>
          <w:rtl/>
        </w:rPr>
        <w:t xml:space="preserve"> </w:t>
      </w:r>
    </w:p>
    <w:p w14:paraId="2FE32116" w14:textId="77777777" w:rsidR="002E5BAD" w:rsidRPr="009D64F8" w:rsidRDefault="002E5BAD" w:rsidP="002E5BAD">
      <w:pPr>
        <w:rPr>
          <w:rFonts w:cs="Arial"/>
          <w:rtl/>
        </w:rPr>
      </w:pPr>
      <w:r>
        <w:rPr>
          <w:rFonts w:cs="Arial" w:hint="cs"/>
          <w:b/>
          <w:bCs/>
          <w:rtl/>
        </w:rPr>
        <w:t xml:space="preserve">ירושלמי כתובות פ"ט ה"א: </w:t>
      </w:r>
      <w:r w:rsidRPr="0053774C">
        <w:rPr>
          <w:rFonts w:cs="Arial"/>
          <w:u w:val="single"/>
          <w:rtl/>
        </w:rPr>
        <w:t>ר' הלל בר פזי בעא קומי ר' יוסי</w:t>
      </w:r>
      <w:r>
        <w:rPr>
          <w:rFonts w:cs="Arial" w:hint="cs"/>
          <w:rtl/>
        </w:rPr>
        <w:t xml:space="preserve">: </w:t>
      </w:r>
      <w:r w:rsidRPr="00D6797B">
        <w:rPr>
          <w:rFonts w:cs="Arial"/>
          <w:rtl/>
        </w:rPr>
        <w:t>מכר הוא ומתה היא</w:t>
      </w:r>
      <w:r>
        <w:rPr>
          <w:rFonts w:cs="Arial" w:hint="cs"/>
          <w:rtl/>
        </w:rPr>
        <w:t>?</w:t>
      </w:r>
      <w:r w:rsidRPr="00D6797B">
        <w:rPr>
          <w:rFonts w:cs="Arial"/>
          <w:rtl/>
        </w:rPr>
        <w:t xml:space="preserve"> </w:t>
      </w:r>
      <w:r w:rsidRPr="00D6797B">
        <w:rPr>
          <w:rFonts w:cs="Arial"/>
          <w:u w:val="single"/>
          <w:rtl/>
        </w:rPr>
        <w:t>אמר לו</w:t>
      </w:r>
      <w:r>
        <w:rPr>
          <w:rFonts w:cs="Arial" w:hint="cs"/>
          <w:rtl/>
        </w:rPr>
        <w:t>:</w:t>
      </w:r>
      <w:r w:rsidRPr="00D6797B">
        <w:rPr>
          <w:rFonts w:cs="Arial"/>
          <w:rtl/>
        </w:rPr>
        <w:t xml:space="preserve"> </w:t>
      </w:r>
      <w:r>
        <w:rPr>
          <w:rStyle w:val="a7"/>
          <w:rFonts w:cs="Arial"/>
          <w:rtl/>
        </w:rPr>
        <w:footnoteReference w:id="2039"/>
      </w:r>
      <w:r>
        <w:rPr>
          <w:rFonts w:cs="Arial" w:hint="cs"/>
          <w:rtl/>
        </w:rPr>
        <w:t>[</w:t>
      </w:r>
      <w:r w:rsidRPr="00D6797B">
        <w:rPr>
          <w:rFonts w:cs="Arial"/>
          <w:rtl/>
        </w:rPr>
        <w:t>מכר</w:t>
      </w:r>
      <w:r>
        <w:rPr>
          <w:rFonts w:cs="Arial" w:hint="cs"/>
          <w:rtl/>
        </w:rPr>
        <w:t>ו]</w:t>
      </w:r>
      <w:r w:rsidRPr="00D6797B">
        <w:rPr>
          <w:rFonts w:cs="Arial"/>
          <w:rtl/>
        </w:rPr>
        <w:t xml:space="preserve"> בטל</w:t>
      </w:r>
      <w:r>
        <w:rPr>
          <w:rFonts w:cs="Arial" w:hint="cs"/>
          <w:rtl/>
        </w:rPr>
        <w:t>.</w:t>
      </w:r>
    </w:p>
    <w:p w14:paraId="377927ED" w14:textId="77777777" w:rsidR="002E5BAD" w:rsidRPr="00074620" w:rsidRDefault="002E5BAD" w:rsidP="002E5BAD">
      <w:pPr>
        <w:rPr>
          <w:u w:val="single"/>
          <w:rtl/>
        </w:rPr>
      </w:pPr>
      <w:r w:rsidRPr="00074620">
        <w:rPr>
          <w:rFonts w:hint="cs"/>
          <w:u w:val="single"/>
          <w:rtl/>
        </w:rPr>
        <w:t xml:space="preserve">בעל שמכר נכסי </w:t>
      </w:r>
      <w:r>
        <w:rPr>
          <w:rFonts w:hint="cs"/>
          <w:u w:val="single"/>
          <w:rtl/>
        </w:rPr>
        <w:t>מלוג</w:t>
      </w:r>
      <w:r w:rsidRPr="00074620">
        <w:rPr>
          <w:rFonts w:hint="cs"/>
          <w:u w:val="single"/>
          <w:rtl/>
        </w:rPr>
        <w:t>:</w:t>
      </w:r>
    </w:p>
    <w:p w14:paraId="3DFD8E42" w14:textId="77777777" w:rsidR="002E5BAD" w:rsidRDefault="002E5BAD" w:rsidP="002E5BAD">
      <w:pPr>
        <w:pStyle w:val="ab"/>
        <w:numPr>
          <w:ilvl w:val="0"/>
          <w:numId w:val="186"/>
        </w:numPr>
        <w:rPr>
          <w:rFonts w:cs="Arial"/>
        </w:rPr>
      </w:pPr>
      <w:r>
        <w:rPr>
          <w:rFonts w:cs="Arial" w:hint="cs"/>
          <w:rtl/>
        </w:rPr>
        <w:t>רמב"ם</w:t>
      </w:r>
      <w:r>
        <w:rPr>
          <w:rStyle w:val="a7"/>
          <w:rFonts w:cs="Arial"/>
          <w:rtl/>
        </w:rPr>
        <w:footnoteReference w:id="2040"/>
      </w:r>
      <w:r>
        <w:rPr>
          <w:rFonts w:cs="Arial" w:hint="cs"/>
          <w:rtl/>
        </w:rPr>
        <w:t xml:space="preserve"> </w:t>
      </w:r>
      <w:r w:rsidRPr="0052661D">
        <w:rPr>
          <w:rFonts w:cs="Arial" w:hint="cs"/>
          <w:sz w:val="16"/>
          <w:szCs w:val="16"/>
          <w:rtl/>
        </w:rPr>
        <w:t>(פכ</w:t>
      </w:r>
      <w:r>
        <w:rPr>
          <w:rFonts w:cs="Arial" w:hint="cs"/>
          <w:sz w:val="16"/>
          <w:szCs w:val="16"/>
          <w:rtl/>
        </w:rPr>
        <w:t>"ב מאישות הכ"ב, כן הבין הב"י מדבריו)</w:t>
      </w:r>
      <w:r>
        <w:rPr>
          <w:rFonts w:cs="Arial" w:hint="cs"/>
          <w:rtl/>
        </w:rPr>
        <w:t xml:space="preserve"> </w:t>
      </w:r>
      <w:r>
        <w:rPr>
          <w:rFonts w:cs="Arial"/>
          <w:rtl/>
        </w:rPr>
        <w:t>רא"ש</w:t>
      </w:r>
      <w:r>
        <w:rPr>
          <w:rStyle w:val="a7"/>
          <w:rFonts w:cs="Arial"/>
          <w:rtl/>
        </w:rPr>
        <w:footnoteReference w:id="2041"/>
      </w:r>
      <w:r>
        <w:rPr>
          <w:rFonts w:cs="Arial"/>
          <w:rtl/>
        </w:rPr>
        <w:t xml:space="preserve"> </w:t>
      </w:r>
      <w:r w:rsidRPr="0052661D">
        <w:rPr>
          <w:rFonts w:hint="cs"/>
          <w:sz w:val="16"/>
          <w:szCs w:val="16"/>
          <w:rtl/>
        </w:rPr>
        <w:t>(ב"ב פ"ג סי' נג)</w:t>
      </w:r>
      <w:r>
        <w:rPr>
          <w:rFonts w:cs="Arial" w:hint="cs"/>
          <w:rtl/>
        </w:rPr>
        <w:t xml:space="preserve"> ו</w:t>
      </w:r>
      <w:r w:rsidRPr="008C513A">
        <w:rPr>
          <w:rFonts w:cs="Arial" w:hint="cs"/>
          <w:rtl/>
        </w:rPr>
        <w:t xml:space="preserve">טור- </w:t>
      </w:r>
      <w:r w:rsidRPr="008C513A">
        <w:rPr>
          <w:rFonts w:cs="Arial"/>
          <w:rtl/>
        </w:rPr>
        <w:t>אינו יכול למכור לבדו</w:t>
      </w:r>
      <w:r>
        <w:rPr>
          <w:rFonts w:cs="Arial" w:hint="cs"/>
          <w:rtl/>
        </w:rPr>
        <w:t>.</w:t>
      </w:r>
      <w:r w:rsidRPr="008C513A">
        <w:rPr>
          <w:rFonts w:cs="Arial"/>
          <w:rtl/>
        </w:rPr>
        <w:t xml:space="preserve"> ואם מכר </w:t>
      </w:r>
      <w:r>
        <w:rPr>
          <w:rFonts w:cs="Arial" w:hint="cs"/>
          <w:rtl/>
        </w:rPr>
        <w:t xml:space="preserve">- </w:t>
      </w:r>
      <w:r w:rsidRPr="008C513A">
        <w:rPr>
          <w:rFonts w:cs="Arial"/>
          <w:rtl/>
        </w:rPr>
        <w:t>המכר בטל מיד</w:t>
      </w:r>
      <w:r>
        <w:rPr>
          <w:rFonts w:cs="Arial" w:hint="cs"/>
          <w:sz w:val="16"/>
          <w:szCs w:val="16"/>
          <w:rtl/>
        </w:rPr>
        <w:t xml:space="preserve"> (ל' הטור)</w:t>
      </w:r>
      <w:r>
        <w:rPr>
          <w:rFonts w:cs="Arial" w:hint="cs"/>
          <w:rtl/>
        </w:rPr>
        <w:t>.</w:t>
      </w:r>
      <w:r w:rsidRPr="008C513A">
        <w:rPr>
          <w:rFonts w:cs="Arial"/>
          <w:rtl/>
        </w:rPr>
        <w:t xml:space="preserve"> </w:t>
      </w:r>
      <w:r w:rsidRPr="001D67C0">
        <w:rPr>
          <w:rFonts w:hint="cs"/>
          <w:color w:val="E36C0A" w:themeColor="accent6" w:themeShade="BF"/>
          <w:rtl/>
        </w:rPr>
        <w:t>(וכ"פ בשו"ע)</w:t>
      </w:r>
    </w:p>
    <w:p w14:paraId="434747AD" w14:textId="77777777" w:rsidR="002E5BAD" w:rsidRPr="001B0DE0" w:rsidRDefault="002E5BAD" w:rsidP="002E5BAD">
      <w:pPr>
        <w:ind w:left="360"/>
        <w:rPr>
          <w:rFonts w:cs="Arial"/>
          <w:u w:val="dotted"/>
        </w:rPr>
      </w:pPr>
      <w:r w:rsidRPr="001B0DE0">
        <w:rPr>
          <w:rFonts w:cs="Arial" w:hint="cs"/>
          <w:u w:val="dotted"/>
          <w:rtl/>
        </w:rPr>
        <w:t>האם גם הבעל יכול לערער על המכר:</w:t>
      </w:r>
    </w:p>
    <w:p w14:paraId="20959F8D" w14:textId="77777777" w:rsidR="002E5BAD" w:rsidRPr="00AC2541" w:rsidRDefault="002E5BAD" w:rsidP="002E5BAD">
      <w:pPr>
        <w:pStyle w:val="ab"/>
        <w:numPr>
          <w:ilvl w:val="0"/>
          <w:numId w:val="186"/>
        </w:numPr>
        <w:rPr>
          <w:rFonts w:cs="Arial"/>
        </w:rPr>
      </w:pPr>
      <w:r>
        <w:rPr>
          <w:rFonts w:cs="Arial"/>
          <w:rtl/>
        </w:rPr>
        <w:t xml:space="preserve">רא"ש </w:t>
      </w:r>
      <w:r w:rsidRPr="0052661D">
        <w:rPr>
          <w:rFonts w:hint="cs"/>
          <w:sz w:val="16"/>
          <w:szCs w:val="16"/>
          <w:rtl/>
        </w:rPr>
        <w:t>(ב"ב פ"ג סי' נג)</w:t>
      </w:r>
      <w:r>
        <w:rPr>
          <w:rFonts w:cs="Arial" w:hint="cs"/>
          <w:rtl/>
        </w:rPr>
        <w:t xml:space="preserve"> ו</w:t>
      </w:r>
      <w:r w:rsidRPr="008C513A">
        <w:rPr>
          <w:rFonts w:cs="Arial" w:hint="cs"/>
          <w:rtl/>
        </w:rPr>
        <w:t>טור</w:t>
      </w:r>
      <w:r>
        <w:rPr>
          <w:rFonts w:cs="Arial" w:hint="cs"/>
          <w:rtl/>
        </w:rPr>
        <w:t xml:space="preserve">- </w:t>
      </w:r>
      <w:r w:rsidRPr="008C513A">
        <w:rPr>
          <w:rFonts w:cs="Arial"/>
          <w:rtl/>
        </w:rPr>
        <w:t>ואפי' הוא יכול לערער עליו</w:t>
      </w:r>
      <w:r>
        <w:rPr>
          <w:rStyle w:val="a7"/>
          <w:rFonts w:cs="Arial"/>
          <w:rtl/>
        </w:rPr>
        <w:footnoteReference w:id="2042"/>
      </w:r>
      <w:r>
        <w:rPr>
          <w:rFonts w:cs="Arial" w:hint="cs"/>
          <w:rtl/>
        </w:rPr>
        <w:t>,</w:t>
      </w:r>
      <w:r w:rsidRPr="008C513A">
        <w:rPr>
          <w:rFonts w:cs="Arial"/>
          <w:rtl/>
        </w:rPr>
        <w:t xml:space="preserve"> וכ</w:t>
      </w:r>
      <w:r>
        <w:rPr>
          <w:rFonts w:cs="Arial" w:hint="cs"/>
          <w:rtl/>
        </w:rPr>
        <w:t xml:space="preserve">ל </w:t>
      </w:r>
      <w:r w:rsidRPr="008C513A">
        <w:rPr>
          <w:rFonts w:cs="Arial"/>
          <w:rtl/>
        </w:rPr>
        <w:t>ש</w:t>
      </w:r>
      <w:r>
        <w:rPr>
          <w:rFonts w:cs="Arial" w:hint="cs"/>
          <w:rtl/>
        </w:rPr>
        <w:t>כן</w:t>
      </w:r>
      <w:r w:rsidRPr="008C513A">
        <w:rPr>
          <w:rFonts w:cs="Arial"/>
          <w:rtl/>
        </w:rPr>
        <w:t xml:space="preserve"> היא</w:t>
      </w:r>
      <w:r>
        <w:rPr>
          <w:rFonts w:cs="Arial" w:hint="cs"/>
          <w:sz w:val="16"/>
          <w:szCs w:val="16"/>
          <w:rtl/>
        </w:rPr>
        <w:t xml:space="preserve"> (ל' הטור)</w:t>
      </w:r>
      <w:r>
        <w:rPr>
          <w:rFonts w:cs="Arial" w:hint="cs"/>
          <w:rtl/>
        </w:rPr>
        <w:t>.</w:t>
      </w:r>
      <w:r w:rsidRPr="008C513A">
        <w:rPr>
          <w:rFonts w:cs="Arial"/>
          <w:rtl/>
        </w:rPr>
        <w:t xml:space="preserve"> </w:t>
      </w:r>
      <w:r w:rsidRPr="001D67C0">
        <w:rPr>
          <w:rFonts w:hint="cs"/>
          <w:color w:val="E36C0A" w:themeColor="accent6" w:themeShade="BF"/>
          <w:rtl/>
        </w:rPr>
        <w:t>(וכ"</w:t>
      </w:r>
      <w:r>
        <w:rPr>
          <w:rFonts w:hint="cs"/>
          <w:color w:val="E36C0A" w:themeColor="accent6" w:themeShade="BF"/>
          <w:rtl/>
        </w:rPr>
        <w:t>כ</w:t>
      </w:r>
      <w:r w:rsidRPr="001D67C0">
        <w:rPr>
          <w:rFonts w:hint="cs"/>
          <w:color w:val="E36C0A" w:themeColor="accent6" w:themeShade="BF"/>
          <w:rtl/>
        </w:rPr>
        <w:t xml:space="preserve"> בשו"ע)</w:t>
      </w:r>
    </w:p>
    <w:p w14:paraId="2716A6B0" w14:textId="77777777" w:rsidR="002E5BAD" w:rsidRDefault="002E5BAD" w:rsidP="002E5BAD">
      <w:pPr>
        <w:rPr>
          <w:rFonts w:cs="Arial"/>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226A3D">
        <w:rPr>
          <w:rFonts w:cs="Arial"/>
          <w:rtl/>
        </w:rPr>
        <w:t>תניא כותיה דרב יהודה: המכנסת שום</w:t>
      </w:r>
      <w:r>
        <w:rPr>
          <w:rStyle w:val="a7"/>
          <w:rFonts w:cs="Arial"/>
          <w:rtl/>
        </w:rPr>
        <w:footnoteReference w:id="2043"/>
      </w:r>
      <w:r w:rsidRPr="00226A3D">
        <w:rPr>
          <w:rFonts w:cs="Arial"/>
          <w:rtl/>
        </w:rPr>
        <w:t xml:space="preserve"> לבעלה, אם רצה הבעל למכור - לא ימכור</w:t>
      </w:r>
      <w:r>
        <w:rPr>
          <w:rStyle w:val="a7"/>
          <w:rFonts w:cs="Arial"/>
          <w:rtl/>
        </w:rPr>
        <w:footnoteReference w:id="2044"/>
      </w:r>
      <w:r>
        <w:rPr>
          <w:rFonts w:cs="Arial" w:hint="cs"/>
          <w:rtl/>
        </w:rPr>
        <w:t>.</w:t>
      </w:r>
      <w:r w:rsidRPr="00226A3D">
        <w:rPr>
          <w:rFonts w:cs="Arial"/>
          <w:rtl/>
        </w:rPr>
        <w:t xml:space="preserve"> ולא עוד, אלא אפילו הכניס לה שום משלו, אם רצה הבעל למכור - לא ימכור</w:t>
      </w:r>
      <w:r>
        <w:rPr>
          <w:rFonts w:cs="Arial" w:hint="cs"/>
          <w:rtl/>
        </w:rPr>
        <w:t>.</w:t>
      </w:r>
      <w:r w:rsidRPr="00226A3D">
        <w:rPr>
          <w:rFonts w:cs="Arial"/>
          <w:rtl/>
        </w:rPr>
        <w:t xml:space="preserve"> מכרו שניהם</w:t>
      </w:r>
      <w:r>
        <w:rPr>
          <w:rStyle w:val="a7"/>
          <w:rFonts w:cs="Arial"/>
          <w:rtl/>
        </w:rPr>
        <w:footnoteReference w:id="2045"/>
      </w:r>
      <w:r w:rsidRPr="00226A3D">
        <w:rPr>
          <w:rFonts w:cs="Arial"/>
          <w:rtl/>
        </w:rPr>
        <w:t xml:space="preserve"> לפרנסה</w:t>
      </w:r>
      <w:r>
        <w:rPr>
          <w:rStyle w:val="a7"/>
          <w:rFonts w:cs="Arial"/>
          <w:rtl/>
        </w:rPr>
        <w:footnoteReference w:id="2046"/>
      </w:r>
      <w:r w:rsidRPr="00226A3D">
        <w:rPr>
          <w:rFonts w:cs="Arial"/>
          <w:rtl/>
        </w:rPr>
        <w:t>, זה היה מעשה לפני רשב"ג, ואמר: הבעל מוציא</w:t>
      </w:r>
      <w:r>
        <w:rPr>
          <w:rStyle w:val="a7"/>
          <w:rFonts w:cs="Arial"/>
          <w:rtl/>
        </w:rPr>
        <w:footnoteReference w:id="2047"/>
      </w:r>
      <w:r w:rsidRPr="00226A3D">
        <w:rPr>
          <w:rFonts w:cs="Arial"/>
          <w:rtl/>
        </w:rPr>
        <w:t xml:space="preserve"> מיד הלקוחות. </w:t>
      </w:r>
    </w:p>
    <w:p w14:paraId="2B0565D6" w14:textId="77777777" w:rsidR="002E5BAD" w:rsidRPr="00AC2541" w:rsidRDefault="002E5BAD" w:rsidP="002E5BAD">
      <w:pPr>
        <w:rPr>
          <w:rFonts w:cs="Arial"/>
          <w:u w:val="single"/>
        </w:rPr>
      </w:pPr>
      <w:r w:rsidRPr="00AC2541">
        <w:rPr>
          <w:rFonts w:cs="Arial" w:hint="cs"/>
          <w:u w:val="single"/>
          <w:rtl/>
        </w:rPr>
        <w:t>בעל שמכר נכסי צאן ברזל:</w:t>
      </w:r>
    </w:p>
    <w:p w14:paraId="0920898E" w14:textId="77777777" w:rsidR="002E5BAD" w:rsidRDefault="002E5BAD" w:rsidP="002E5BAD">
      <w:pPr>
        <w:pStyle w:val="ab"/>
        <w:numPr>
          <w:ilvl w:val="0"/>
          <w:numId w:val="186"/>
        </w:numPr>
        <w:rPr>
          <w:rFonts w:cs="Arial"/>
        </w:rPr>
      </w:pPr>
      <w:r>
        <w:rPr>
          <w:rFonts w:cs="Arial" w:hint="cs"/>
          <w:rtl/>
        </w:rPr>
        <w:t xml:space="preserve">רמב"ם </w:t>
      </w:r>
      <w:r w:rsidRPr="0052661D">
        <w:rPr>
          <w:rFonts w:cs="Arial" w:hint="cs"/>
          <w:sz w:val="16"/>
          <w:szCs w:val="16"/>
          <w:rtl/>
        </w:rPr>
        <w:t>(פכ</w:t>
      </w:r>
      <w:r>
        <w:rPr>
          <w:rFonts w:cs="Arial" w:hint="cs"/>
          <w:sz w:val="16"/>
          <w:szCs w:val="16"/>
          <w:rtl/>
        </w:rPr>
        <w:t>"ב מאישות הכ"ב, כן הבין הב"י מדבריו)</w:t>
      </w:r>
      <w:r>
        <w:rPr>
          <w:rFonts w:cs="Arial" w:hint="cs"/>
          <w:rtl/>
        </w:rPr>
        <w:t xml:space="preserve"> </w:t>
      </w:r>
      <w:r>
        <w:rPr>
          <w:rFonts w:cs="Arial"/>
          <w:rtl/>
        </w:rPr>
        <w:t xml:space="preserve">רא"ש </w:t>
      </w:r>
      <w:r w:rsidRPr="0052661D">
        <w:rPr>
          <w:rFonts w:hint="cs"/>
          <w:sz w:val="16"/>
          <w:szCs w:val="16"/>
          <w:rtl/>
        </w:rPr>
        <w:t>(ב"ב פ"ג סי' נג)</w:t>
      </w:r>
      <w:r>
        <w:rPr>
          <w:rFonts w:cs="Arial" w:hint="cs"/>
          <w:rtl/>
        </w:rPr>
        <w:t xml:space="preserve"> ו</w:t>
      </w:r>
      <w:r w:rsidRPr="008C513A">
        <w:rPr>
          <w:rFonts w:cs="Arial" w:hint="cs"/>
          <w:rtl/>
        </w:rPr>
        <w:t>טור</w:t>
      </w:r>
      <w:r>
        <w:rPr>
          <w:rFonts w:cs="Arial" w:hint="cs"/>
          <w:rtl/>
        </w:rPr>
        <w:t xml:space="preserve">- </w:t>
      </w:r>
      <w:r w:rsidRPr="008C513A">
        <w:rPr>
          <w:rFonts w:cs="Arial"/>
          <w:rtl/>
        </w:rPr>
        <w:t>ולא מיבעיא נכסי מלוג שהן באחריותה שאינו יכול למוכרם</w:t>
      </w:r>
      <w:r>
        <w:rPr>
          <w:rFonts w:cs="Arial" w:hint="cs"/>
          <w:rtl/>
        </w:rPr>
        <w:t>,</w:t>
      </w:r>
      <w:r w:rsidRPr="008C513A">
        <w:rPr>
          <w:rFonts w:cs="Arial"/>
          <w:rtl/>
        </w:rPr>
        <w:t xml:space="preserve"> אלא אפי</w:t>
      </w:r>
      <w:r>
        <w:rPr>
          <w:rFonts w:cs="Arial" w:hint="cs"/>
          <w:rtl/>
        </w:rPr>
        <w:t>לו</w:t>
      </w:r>
      <w:r w:rsidRPr="008C513A">
        <w:rPr>
          <w:rFonts w:cs="Arial"/>
          <w:rtl/>
        </w:rPr>
        <w:t xml:space="preserve"> נכסי צאן ברזל</w:t>
      </w:r>
      <w:r>
        <w:rPr>
          <w:rStyle w:val="a7"/>
          <w:rFonts w:cs="Arial"/>
          <w:rtl/>
        </w:rPr>
        <w:footnoteReference w:id="2048"/>
      </w:r>
      <w:r w:rsidRPr="008C513A">
        <w:rPr>
          <w:rFonts w:cs="Arial"/>
          <w:rtl/>
        </w:rPr>
        <w:t xml:space="preserve"> שהם באחריותו אם מכרן לבדו </w:t>
      </w:r>
      <w:r>
        <w:rPr>
          <w:rFonts w:cs="Arial" w:hint="cs"/>
          <w:rtl/>
        </w:rPr>
        <w:t xml:space="preserve">- </w:t>
      </w:r>
      <w:r w:rsidRPr="008C513A">
        <w:rPr>
          <w:rFonts w:cs="Arial"/>
          <w:rtl/>
        </w:rPr>
        <w:t>מכרו בטל</w:t>
      </w:r>
      <w:r>
        <w:rPr>
          <w:rFonts w:cs="Arial" w:hint="cs"/>
          <w:rtl/>
        </w:rPr>
        <w:t>,</w:t>
      </w:r>
      <w:r w:rsidRPr="008C513A">
        <w:rPr>
          <w:rFonts w:cs="Arial"/>
          <w:rtl/>
        </w:rPr>
        <w:t xml:space="preserve"> וכ</w:t>
      </w:r>
      <w:r>
        <w:rPr>
          <w:rFonts w:cs="Arial" w:hint="cs"/>
          <w:rtl/>
        </w:rPr>
        <w:t>ל שכן</w:t>
      </w:r>
      <w:r w:rsidRPr="008C513A">
        <w:rPr>
          <w:rFonts w:cs="Arial"/>
          <w:rtl/>
        </w:rPr>
        <w:t xml:space="preserve"> אם מכרה היא לבדה</w:t>
      </w:r>
      <w:r>
        <w:rPr>
          <w:rFonts w:cs="Arial" w:hint="cs"/>
          <w:sz w:val="16"/>
          <w:szCs w:val="16"/>
          <w:rtl/>
        </w:rPr>
        <w:t xml:space="preserve"> (ל' הטור)</w:t>
      </w:r>
      <w:r>
        <w:rPr>
          <w:rFonts w:cs="Arial" w:hint="cs"/>
          <w:rtl/>
        </w:rPr>
        <w:t>.</w:t>
      </w:r>
    </w:p>
    <w:p w14:paraId="4049B2A6" w14:textId="77777777" w:rsidR="002E5BAD" w:rsidRPr="00074620" w:rsidRDefault="002E5BAD" w:rsidP="002E5BAD">
      <w:pPr>
        <w:ind w:left="360"/>
        <w:rPr>
          <w:rFonts w:cs="Arial"/>
          <w:u w:val="dotted"/>
        </w:rPr>
      </w:pPr>
      <w:r>
        <w:rPr>
          <w:rFonts w:cs="Arial" w:hint="cs"/>
          <w:u w:val="dotted"/>
          <w:rtl/>
        </w:rPr>
        <w:t>כש</w:t>
      </w:r>
      <w:r w:rsidRPr="00074620">
        <w:rPr>
          <w:rFonts w:cs="Arial" w:hint="cs"/>
          <w:u w:val="dotted"/>
          <w:rtl/>
        </w:rPr>
        <w:t xml:space="preserve">מכר הבעל מנכסי צאן ברזל </w:t>
      </w:r>
      <w:r w:rsidRPr="00074620">
        <w:rPr>
          <w:rFonts w:cs="Arial"/>
          <w:u w:val="dotted"/>
          <w:rtl/>
        </w:rPr>
        <w:t>–</w:t>
      </w:r>
      <w:r w:rsidRPr="00074620">
        <w:rPr>
          <w:rFonts w:cs="Arial" w:hint="cs"/>
          <w:u w:val="dotted"/>
          <w:rtl/>
        </w:rPr>
        <w:t xml:space="preserve"> ממתי המכר בטל, לאלתר או לכשתמות:</w:t>
      </w:r>
    </w:p>
    <w:p w14:paraId="66576EA2" w14:textId="77777777" w:rsidR="002E5BAD" w:rsidRDefault="002E5BAD" w:rsidP="002E5BAD">
      <w:pPr>
        <w:pStyle w:val="ab"/>
        <w:numPr>
          <w:ilvl w:val="0"/>
          <w:numId w:val="186"/>
        </w:numPr>
        <w:rPr>
          <w:rFonts w:cs="Arial"/>
        </w:rPr>
      </w:pPr>
      <w:r>
        <w:rPr>
          <w:rFonts w:cs="Arial"/>
          <w:rtl/>
        </w:rPr>
        <w:t>רבינו גרשון</w:t>
      </w:r>
      <w:r>
        <w:rPr>
          <w:rFonts w:cs="Arial" w:hint="cs"/>
          <w:sz w:val="16"/>
          <w:szCs w:val="16"/>
          <w:rtl/>
        </w:rPr>
        <w:t xml:space="preserve"> (כ"כ הרא"ש</w:t>
      </w:r>
      <w:r>
        <w:rPr>
          <w:rStyle w:val="a7"/>
          <w:rFonts w:cs="Arial"/>
          <w:sz w:val="16"/>
          <w:szCs w:val="16"/>
          <w:rtl/>
        </w:rPr>
        <w:footnoteReference w:id="2049"/>
      </w:r>
      <w:r>
        <w:rPr>
          <w:rFonts w:cs="Arial" w:hint="cs"/>
          <w:sz w:val="16"/>
          <w:szCs w:val="16"/>
          <w:rtl/>
        </w:rPr>
        <w:t xml:space="preserve"> </w:t>
      </w:r>
      <w:r>
        <w:rPr>
          <w:rFonts w:cs="Arial" w:hint="cs"/>
          <w:sz w:val="14"/>
          <w:szCs w:val="14"/>
          <w:rtl/>
        </w:rPr>
        <w:t xml:space="preserve">[יבמות פ"ז סי' א] </w:t>
      </w:r>
      <w:r>
        <w:rPr>
          <w:rFonts w:cs="Arial" w:hint="cs"/>
          <w:sz w:val="16"/>
          <w:szCs w:val="16"/>
          <w:rtl/>
        </w:rPr>
        <w:t>בשמו)</w:t>
      </w:r>
      <w:r>
        <w:rPr>
          <w:rFonts w:cs="Arial" w:hint="cs"/>
          <w:rtl/>
        </w:rPr>
        <w:t>-</w:t>
      </w:r>
      <w:r>
        <w:rPr>
          <w:rFonts w:cs="Arial"/>
          <w:rtl/>
        </w:rPr>
        <w:t xml:space="preserve"> אם מכר הבעל עצמו</w:t>
      </w:r>
      <w:r>
        <w:rPr>
          <w:rFonts w:cs="Arial" w:hint="cs"/>
          <w:rtl/>
        </w:rPr>
        <w:t xml:space="preserve">, </w:t>
      </w:r>
      <w:r>
        <w:rPr>
          <w:rFonts w:cs="Arial"/>
          <w:rtl/>
        </w:rPr>
        <w:t>האשה מוציאה</w:t>
      </w:r>
      <w:r>
        <w:rPr>
          <w:rFonts w:cs="Arial" w:hint="cs"/>
          <w:rtl/>
        </w:rPr>
        <w:t>.</w:t>
      </w:r>
      <w:r>
        <w:rPr>
          <w:rFonts w:cs="Arial"/>
          <w:rtl/>
        </w:rPr>
        <w:t xml:space="preserve"> ואם מכרה האשה</w:t>
      </w:r>
      <w:r>
        <w:rPr>
          <w:rFonts w:cs="Arial" w:hint="cs"/>
          <w:rtl/>
        </w:rPr>
        <w:t>,</w:t>
      </w:r>
      <w:r>
        <w:rPr>
          <w:rFonts w:cs="Arial"/>
          <w:rtl/>
        </w:rPr>
        <w:t xml:space="preserve"> הבעל מוציא</w:t>
      </w:r>
      <w:r>
        <w:rPr>
          <w:rFonts w:cs="Arial" w:hint="cs"/>
          <w:sz w:val="16"/>
          <w:szCs w:val="16"/>
          <w:rtl/>
        </w:rPr>
        <w:t xml:space="preserve"> (ל' הרא"ש בשמו)</w:t>
      </w:r>
      <w:r>
        <w:rPr>
          <w:rFonts w:cs="Arial" w:hint="cs"/>
          <w:rtl/>
        </w:rPr>
        <w:t>. ומוציאים מיד הלקוחות לאלתר</w:t>
      </w:r>
      <w:r>
        <w:rPr>
          <w:rFonts w:cs="Arial" w:hint="cs"/>
          <w:sz w:val="16"/>
          <w:szCs w:val="16"/>
          <w:rtl/>
        </w:rPr>
        <w:t xml:space="preserve"> (ע"פ הרא"ש שם)</w:t>
      </w:r>
      <w:r>
        <w:rPr>
          <w:rFonts w:cs="Arial" w:hint="cs"/>
          <w:rtl/>
        </w:rPr>
        <w:t>.</w:t>
      </w:r>
    </w:p>
    <w:p w14:paraId="433C1F02" w14:textId="77777777" w:rsidR="002E5BAD" w:rsidRDefault="002E5BAD" w:rsidP="002E5BAD">
      <w:pPr>
        <w:pStyle w:val="ab"/>
        <w:numPr>
          <w:ilvl w:val="0"/>
          <w:numId w:val="186"/>
        </w:numPr>
        <w:rPr>
          <w:rFonts w:cs="Arial"/>
        </w:rPr>
      </w:pPr>
      <w:r w:rsidRPr="008C513A">
        <w:rPr>
          <w:rFonts w:cs="Arial"/>
          <w:rtl/>
        </w:rPr>
        <w:lastRenderedPageBreak/>
        <w:t>ר"ח</w:t>
      </w:r>
      <w:r>
        <w:rPr>
          <w:rFonts w:cs="Arial" w:hint="cs"/>
          <w:sz w:val="16"/>
          <w:szCs w:val="16"/>
          <w:rtl/>
        </w:rPr>
        <w:t xml:space="preserve"> (כ"כ הרא"ש [שם] והטור בשמו)</w:t>
      </w:r>
      <w:r>
        <w:rPr>
          <w:rFonts w:cs="Arial" w:hint="cs"/>
          <w:rtl/>
        </w:rPr>
        <w:t xml:space="preserve">- </w:t>
      </w:r>
      <w:r w:rsidRPr="008C513A">
        <w:rPr>
          <w:rFonts w:cs="Arial"/>
          <w:rtl/>
        </w:rPr>
        <w:t>דין נכסי צאן ברזל כדין נכסי מלוג</w:t>
      </w:r>
      <w:r>
        <w:rPr>
          <w:rFonts w:cs="Arial" w:hint="cs"/>
          <w:rtl/>
        </w:rPr>
        <w:t>,</w:t>
      </w:r>
      <w:r w:rsidRPr="008C513A">
        <w:rPr>
          <w:rFonts w:cs="Arial"/>
          <w:rtl/>
        </w:rPr>
        <w:t xml:space="preserve"> שאפי' הבעל מבטל מיד המכר שמכר לבדו</w:t>
      </w:r>
      <w:r>
        <w:rPr>
          <w:rFonts w:cs="Arial" w:hint="cs"/>
          <w:rtl/>
        </w:rPr>
        <w:t>,</w:t>
      </w:r>
      <w:r w:rsidRPr="008C513A">
        <w:rPr>
          <w:rFonts w:cs="Arial"/>
          <w:rtl/>
        </w:rPr>
        <w:t xml:space="preserve"> וכ"ש שהאשה מבטלתו</w:t>
      </w:r>
      <w:r>
        <w:rPr>
          <w:rFonts w:cs="Arial" w:hint="cs"/>
          <w:rtl/>
        </w:rPr>
        <w:t>.</w:t>
      </w:r>
      <w:r w:rsidRPr="008C513A">
        <w:rPr>
          <w:rFonts w:cs="Arial"/>
          <w:rtl/>
        </w:rPr>
        <w:t xml:space="preserve"> וכן אם מכרה היא</w:t>
      </w:r>
      <w:r>
        <w:rPr>
          <w:rFonts w:cs="Arial" w:hint="cs"/>
          <w:rtl/>
        </w:rPr>
        <w:t>,</w:t>
      </w:r>
      <w:r w:rsidRPr="008C513A">
        <w:rPr>
          <w:rFonts w:cs="Arial"/>
          <w:rtl/>
        </w:rPr>
        <w:t xml:space="preserve"> הבעל מבטלו מיד</w:t>
      </w:r>
      <w:r>
        <w:rPr>
          <w:rFonts w:cs="Arial" w:hint="cs"/>
          <w:sz w:val="16"/>
          <w:szCs w:val="16"/>
          <w:rtl/>
        </w:rPr>
        <w:t xml:space="preserve"> (ל' הטור בשמו)</w:t>
      </w:r>
      <w:r>
        <w:rPr>
          <w:rFonts w:cs="Arial" w:hint="cs"/>
          <w:rtl/>
        </w:rPr>
        <w:t>.</w:t>
      </w:r>
    </w:p>
    <w:p w14:paraId="747E679D" w14:textId="77777777" w:rsidR="002E5BAD" w:rsidRDefault="002E5BAD" w:rsidP="002E5BAD">
      <w:pPr>
        <w:pStyle w:val="ab"/>
        <w:numPr>
          <w:ilvl w:val="0"/>
          <w:numId w:val="186"/>
        </w:numPr>
        <w:rPr>
          <w:rFonts w:cs="Arial"/>
        </w:rPr>
      </w:pPr>
      <w:r w:rsidRPr="008C513A">
        <w:rPr>
          <w:rFonts w:cs="Arial"/>
          <w:rtl/>
        </w:rPr>
        <w:t>רש"י</w:t>
      </w:r>
      <w:r>
        <w:rPr>
          <w:rFonts w:cs="Arial" w:hint="cs"/>
          <w:sz w:val="16"/>
          <w:szCs w:val="16"/>
          <w:rtl/>
        </w:rPr>
        <w:t xml:space="preserve"> (כ"כ הרא"ש [שם] והטור בשמו)</w:t>
      </w:r>
      <w:r>
        <w:rPr>
          <w:rFonts w:cs="Arial" w:hint="cs"/>
          <w:rtl/>
        </w:rPr>
        <w:t>-</w:t>
      </w:r>
      <w:r w:rsidRPr="008C513A">
        <w:rPr>
          <w:rFonts w:cs="Arial"/>
          <w:rtl/>
        </w:rPr>
        <w:t xml:space="preserve"> דוקא מכרה האשה מבטלו הבעל מיד</w:t>
      </w:r>
      <w:r>
        <w:rPr>
          <w:rFonts w:cs="Arial" w:hint="cs"/>
          <w:rtl/>
        </w:rPr>
        <w:t>.</w:t>
      </w:r>
      <w:r w:rsidRPr="008C513A">
        <w:rPr>
          <w:rFonts w:cs="Arial"/>
          <w:rtl/>
        </w:rPr>
        <w:t xml:space="preserve"> אבל אם מכר הבעל</w:t>
      </w:r>
      <w:r>
        <w:rPr>
          <w:rFonts w:cs="Arial" w:hint="cs"/>
          <w:rtl/>
        </w:rPr>
        <w:t>,</w:t>
      </w:r>
      <w:r w:rsidRPr="008C513A">
        <w:rPr>
          <w:rFonts w:cs="Arial"/>
          <w:rtl/>
        </w:rPr>
        <w:t xml:space="preserve"> הוא אינו יכול לבטלו מיד</w:t>
      </w:r>
      <w:r>
        <w:rPr>
          <w:rFonts w:cs="Arial" w:hint="cs"/>
          <w:rtl/>
        </w:rPr>
        <w:t>,</w:t>
      </w:r>
      <w:r w:rsidRPr="008C513A">
        <w:rPr>
          <w:rFonts w:cs="Arial"/>
          <w:rtl/>
        </w:rPr>
        <w:t xml:space="preserve"> אלא אשה יכולה לבטלו מיד אם תרצה</w:t>
      </w:r>
      <w:r>
        <w:rPr>
          <w:rFonts w:cs="Arial" w:hint="cs"/>
          <w:rtl/>
        </w:rPr>
        <w:t>.</w:t>
      </w:r>
      <w:r w:rsidRPr="008C513A">
        <w:rPr>
          <w:rFonts w:cs="Arial"/>
          <w:rtl/>
        </w:rPr>
        <w:t xml:space="preserve"> ואם מתה ולא בטלה אותו</w:t>
      </w:r>
      <w:r>
        <w:rPr>
          <w:rFonts w:cs="Arial" w:hint="cs"/>
          <w:rtl/>
        </w:rPr>
        <w:t>,</w:t>
      </w:r>
      <w:r w:rsidRPr="008C513A">
        <w:rPr>
          <w:rFonts w:cs="Arial"/>
          <w:rtl/>
        </w:rPr>
        <w:t xml:space="preserve"> אז הבעל יורש כחה ויכול לבטלו כמו שהיא היתה מבטלת אותו אם היתה חיה</w:t>
      </w:r>
      <w:r>
        <w:rPr>
          <w:rStyle w:val="a7"/>
          <w:rFonts w:cs="Arial"/>
          <w:rtl/>
        </w:rPr>
        <w:footnoteReference w:id="2050"/>
      </w:r>
      <w:r>
        <w:rPr>
          <w:rFonts w:cs="Arial" w:hint="cs"/>
          <w:sz w:val="16"/>
          <w:szCs w:val="16"/>
          <w:rtl/>
        </w:rPr>
        <w:t xml:space="preserve"> (ל' הטור בשמו)</w:t>
      </w:r>
      <w:r>
        <w:rPr>
          <w:rFonts w:cs="Arial" w:hint="cs"/>
          <w:rtl/>
        </w:rPr>
        <w:t>.</w:t>
      </w:r>
      <w:r w:rsidRPr="008C513A">
        <w:rPr>
          <w:rFonts w:cs="Arial"/>
          <w:rtl/>
        </w:rPr>
        <w:t xml:space="preserve"> </w:t>
      </w:r>
    </w:p>
    <w:p w14:paraId="3059F4B6" w14:textId="77777777" w:rsidR="002E5BAD" w:rsidRDefault="002E5BAD" w:rsidP="002E5BAD">
      <w:pPr>
        <w:pStyle w:val="ab"/>
        <w:numPr>
          <w:ilvl w:val="0"/>
          <w:numId w:val="186"/>
        </w:numPr>
        <w:rPr>
          <w:rFonts w:cs="Arial"/>
        </w:rPr>
      </w:pPr>
      <w:r>
        <w:rPr>
          <w:rFonts w:cs="Arial" w:hint="cs"/>
          <w:rtl/>
        </w:rPr>
        <w:t>רי"ף</w:t>
      </w:r>
      <w:r>
        <w:rPr>
          <w:rStyle w:val="a7"/>
          <w:rFonts w:cs="Arial"/>
          <w:rtl/>
        </w:rPr>
        <w:footnoteReference w:id="2051"/>
      </w:r>
      <w:r>
        <w:rPr>
          <w:rFonts w:cs="Arial" w:hint="cs"/>
          <w:sz w:val="16"/>
          <w:szCs w:val="16"/>
          <w:rtl/>
        </w:rPr>
        <w:t xml:space="preserve"> (כב., כ"כ הרא"ש [שם] בשמו)</w:t>
      </w:r>
      <w:r>
        <w:rPr>
          <w:rFonts w:cs="Arial" w:hint="cs"/>
          <w:rtl/>
        </w:rPr>
        <w:t xml:space="preserve"> ור"י </w:t>
      </w:r>
      <w:r w:rsidRPr="00946565">
        <w:rPr>
          <w:rFonts w:cs="Arial"/>
          <w:sz w:val="16"/>
          <w:szCs w:val="16"/>
          <w:rtl/>
        </w:rPr>
        <w:t>(תוס' ב"ב נ. ד"ה אילימא)</w:t>
      </w:r>
      <w:r>
        <w:rPr>
          <w:rFonts w:cs="Arial" w:hint="cs"/>
          <w:rtl/>
        </w:rPr>
        <w:t xml:space="preserve">- </w:t>
      </w:r>
      <w:r w:rsidRPr="008C513A">
        <w:rPr>
          <w:rFonts w:cs="Arial"/>
          <w:rtl/>
        </w:rPr>
        <w:t>המכר שמכר הבעל לבדו מנצ"ב קיים</w:t>
      </w:r>
      <w:r>
        <w:rPr>
          <w:rFonts w:cs="Arial" w:hint="cs"/>
          <w:rtl/>
        </w:rPr>
        <w:t>,</w:t>
      </w:r>
      <w:r w:rsidRPr="008C513A">
        <w:rPr>
          <w:rFonts w:cs="Arial"/>
          <w:rtl/>
        </w:rPr>
        <w:t xml:space="preserve"> ואפי' האשה אינה יכולה לבטלו עד שעת טירפא</w:t>
      </w:r>
      <w:r>
        <w:rPr>
          <w:rFonts w:cs="Arial" w:hint="cs"/>
          <w:sz w:val="16"/>
          <w:szCs w:val="16"/>
          <w:rtl/>
        </w:rPr>
        <w:t xml:space="preserve"> (ל' הטור בשם הרי"ף)</w:t>
      </w:r>
      <w:r>
        <w:rPr>
          <w:rStyle w:val="a7"/>
          <w:rFonts w:cs="Arial"/>
          <w:rtl/>
        </w:rPr>
        <w:footnoteReference w:id="2052"/>
      </w:r>
      <w:r>
        <w:rPr>
          <w:rFonts w:cs="Arial" w:hint="cs"/>
          <w:rtl/>
        </w:rPr>
        <w:t>.</w:t>
      </w:r>
      <w:r w:rsidRPr="008C513A">
        <w:rPr>
          <w:rFonts w:cs="Arial"/>
          <w:rtl/>
        </w:rPr>
        <w:t xml:space="preserve"> </w:t>
      </w:r>
    </w:p>
    <w:p w14:paraId="060DBB91" w14:textId="77777777" w:rsidR="002E5BAD" w:rsidRDefault="002E5BAD" w:rsidP="002E5BAD">
      <w:pPr>
        <w:pStyle w:val="ab"/>
        <w:numPr>
          <w:ilvl w:val="0"/>
          <w:numId w:val="186"/>
        </w:numPr>
        <w:rPr>
          <w:rFonts w:cs="Arial"/>
        </w:rPr>
      </w:pPr>
      <w:r w:rsidRPr="00865D60">
        <w:rPr>
          <w:rFonts w:cs="Arial"/>
          <w:rtl/>
        </w:rPr>
        <w:t xml:space="preserve">רמב"ם </w:t>
      </w:r>
      <w:r>
        <w:rPr>
          <w:rFonts w:cs="Arial" w:hint="cs"/>
          <w:sz w:val="16"/>
          <w:szCs w:val="16"/>
          <w:rtl/>
        </w:rPr>
        <w:t>(פכ"ב מאישות הט"ו)</w:t>
      </w:r>
      <w:r>
        <w:rPr>
          <w:rFonts w:cs="Arial" w:hint="cs"/>
          <w:rtl/>
        </w:rPr>
        <w:t xml:space="preserve">- </w:t>
      </w:r>
      <w:r w:rsidRPr="00865D60">
        <w:rPr>
          <w:rFonts w:cs="Arial"/>
          <w:rtl/>
        </w:rPr>
        <w:t>הבעל שמכר קרקע בנכסי אשתו בין נכסי צאן ברזל בין נכסי מלוג לא עשה כלום</w:t>
      </w:r>
      <w:r>
        <w:rPr>
          <w:rStyle w:val="a7"/>
          <w:rFonts w:cs="Arial"/>
          <w:rtl/>
        </w:rPr>
        <w:footnoteReference w:id="2053"/>
      </w:r>
      <w:r w:rsidRPr="00865D60">
        <w:rPr>
          <w:rFonts w:cs="Arial"/>
          <w:rtl/>
        </w:rPr>
        <w:t xml:space="preserve">. </w:t>
      </w:r>
      <w:r w:rsidRPr="001D67C0">
        <w:rPr>
          <w:rFonts w:hint="cs"/>
          <w:color w:val="E36C0A" w:themeColor="accent6" w:themeShade="BF"/>
          <w:rtl/>
        </w:rPr>
        <w:t>(וכ"פ בשו"ע)</w:t>
      </w:r>
    </w:p>
    <w:p w14:paraId="57E16E29" w14:textId="77777777" w:rsidR="002E5BAD" w:rsidRPr="00F613E0" w:rsidRDefault="002E5BAD" w:rsidP="002E5BAD">
      <w:pPr>
        <w:rPr>
          <w:rFonts w:cs="Arial"/>
          <w:u w:val="single"/>
        </w:rPr>
      </w:pPr>
      <w:r w:rsidRPr="00F613E0">
        <w:rPr>
          <w:rFonts w:cs="Arial"/>
          <w:u w:val="single"/>
          <w:rtl/>
        </w:rPr>
        <w:t xml:space="preserve">אשה שמכרה נכסי </w:t>
      </w:r>
      <w:r>
        <w:rPr>
          <w:rFonts w:cs="Arial" w:hint="cs"/>
          <w:u w:val="single"/>
          <w:rtl/>
        </w:rPr>
        <w:t>צאן ברזל:</w:t>
      </w:r>
    </w:p>
    <w:p w14:paraId="7E4BF57B" w14:textId="77777777" w:rsidR="002E5BAD" w:rsidRDefault="002E5BAD" w:rsidP="002E5BAD">
      <w:pPr>
        <w:pStyle w:val="ab"/>
        <w:numPr>
          <w:ilvl w:val="0"/>
          <w:numId w:val="186"/>
        </w:numPr>
        <w:rPr>
          <w:rFonts w:cs="Arial"/>
        </w:rPr>
      </w:pPr>
      <w:r w:rsidRPr="00865D60">
        <w:rPr>
          <w:rFonts w:cs="Arial"/>
          <w:rtl/>
        </w:rPr>
        <w:t xml:space="preserve">רמב"ם </w:t>
      </w:r>
      <w:r>
        <w:rPr>
          <w:rFonts w:cs="Arial" w:hint="cs"/>
          <w:sz w:val="16"/>
          <w:szCs w:val="16"/>
          <w:rtl/>
        </w:rPr>
        <w:t>(פכ"ב מאישות הט"ו)</w:t>
      </w:r>
      <w:r>
        <w:rPr>
          <w:rFonts w:cs="Arial" w:hint="cs"/>
          <w:rtl/>
        </w:rPr>
        <w:t xml:space="preserve">- </w:t>
      </w:r>
      <w:r w:rsidRPr="001F180F">
        <w:rPr>
          <w:rFonts w:cs="Arial"/>
          <w:rtl/>
        </w:rPr>
        <w:t>האשה שמכרה או שנתנה אחר שנשאת בנכסי צאן ברזל בין לבעלה בין לאחרים לא עשת כלום</w:t>
      </w:r>
      <w:r>
        <w:rPr>
          <w:rFonts w:cs="Arial" w:hint="cs"/>
          <w:rtl/>
        </w:rPr>
        <w:t xml:space="preserve">. </w:t>
      </w:r>
      <w:r w:rsidRPr="001D67C0">
        <w:rPr>
          <w:rFonts w:hint="cs"/>
          <w:color w:val="E36C0A" w:themeColor="accent6" w:themeShade="BF"/>
          <w:rtl/>
        </w:rPr>
        <w:t>(וכ"פ בשו"ע)</w:t>
      </w:r>
    </w:p>
    <w:p w14:paraId="431560AD" w14:textId="77777777" w:rsidR="002E5BAD" w:rsidRPr="00F613E0" w:rsidRDefault="002E5BAD" w:rsidP="002E5BAD">
      <w:pPr>
        <w:pStyle w:val="ab"/>
        <w:numPr>
          <w:ilvl w:val="0"/>
          <w:numId w:val="186"/>
        </w:numPr>
        <w:rPr>
          <w:rFonts w:cs="Arial"/>
          <w:rtl/>
        </w:rPr>
      </w:pPr>
      <w:r w:rsidRPr="00F613E0">
        <w:rPr>
          <w:rFonts w:cs="Arial"/>
          <w:rtl/>
        </w:rPr>
        <w:t>נמוק</w:t>
      </w:r>
      <w:r>
        <w:rPr>
          <w:rFonts w:cs="Arial" w:hint="cs"/>
          <w:rtl/>
        </w:rPr>
        <w:t>"</w:t>
      </w:r>
      <w:r w:rsidRPr="00F613E0">
        <w:rPr>
          <w:rFonts w:cs="Arial"/>
          <w:rtl/>
        </w:rPr>
        <w:t xml:space="preserve">י </w:t>
      </w:r>
      <w:r w:rsidRPr="00F613E0">
        <w:rPr>
          <w:rFonts w:cs="Arial" w:hint="cs"/>
          <w:sz w:val="16"/>
          <w:szCs w:val="16"/>
          <w:rtl/>
        </w:rPr>
        <w:t>(</w:t>
      </w:r>
      <w:r w:rsidRPr="00F613E0">
        <w:rPr>
          <w:rFonts w:cs="Arial"/>
          <w:sz w:val="16"/>
          <w:szCs w:val="16"/>
          <w:rtl/>
        </w:rPr>
        <w:t>פ</w:t>
      </w:r>
      <w:r w:rsidRPr="00F613E0">
        <w:rPr>
          <w:rFonts w:cs="Arial" w:hint="cs"/>
          <w:sz w:val="16"/>
          <w:szCs w:val="16"/>
          <w:rtl/>
        </w:rPr>
        <w:t>'</w:t>
      </w:r>
      <w:r w:rsidRPr="00F613E0">
        <w:rPr>
          <w:rFonts w:cs="Arial"/>
          <w:sz w:val="16"/>
          <w:szCs w:val="16"/>
          <w:rtl/>
        </w:rPr>
        <w:t xml:space="preserve"> החובל ב"ק לא סוע"ב</w:t>
      </w:r>
      <w:r>
        <w:rPr>
          <w:rFonts w:cs="Arial" w:hint="cs"/>
          <w:sz w:val="16"/>
          <w:szCs w:val="16"/>
          <w:rtl/>
        </w:rPr>
        <w:t>, כ"כ בשמו ה</w:t>
      </w:r>
      <w:r w:rsidRPr="00F613E0">
        <w:rPr>
          <w:rFonts w:cs="Arial" w:hint="cs"/>
          <w:sz w:val="16"/>
          <w:szCs w:val="16"/>
          <w:rtl/>
        </w:rPr>
        <w:t xml:space="preserve">דרכ"מ אות </w:t>
      </w:r>
      <w:r w:rsidRPr="00F613E0">
        <w:rPr>
          <w:rFonts w:cs="Arial"/>
          <w:sz w:val="16"/>
          <w:szCs w:val="16"/>
          <w:rtl/>
        </w:rPr>
        <w:t>ז)</w:t>
      </w:r>
      <w:r>
        <w:rPr>
          <w:rFonts w:cs="Arial" w:hint="cs"/>
          <w:rtl/>
        </w:rPr>
        <w:t>-</w:t>
      </w:r>
      <w:r w:rsidRPr="00F613E0">
        <w:rPr>
          <w:rFonts w:cs="Arial"/>
          <w:rtl/>
        </w:rPr>
        <w:t xml:space="preserve"> אם מכרה נכסי צאן ברזל נמי דינא הכי דאינו מכור עד שתתאלמן היא או תתגרש ואז הם מכורים </w:t>
      </w:r>
      <w:r w:rsidRPr="00F613E0">
        <w:rPr>
          <w:rFonts w:cs="Arial" w:hint="cs"/>
          <w:sz w:val="16"/>
          <w:szCs w:val="16"/>
          <w:rtl/>
        </w:rPr>
        <w:t>(</w:t>
      </w:r>
      <w:r w:rsidRPr="00F613E0">
        <w:rPr>
          <w:rFonts w:cs="Arial"/>
          <w:sz w:val="16"/>
          <w:szCs w:val="16"/>
          <w:rtl/>
        </w:rPr>
        <w:t>וע"ל ס</w:t>
      </w:r>
      <w:r>
        <w:rPr>
          <w:rFonts w:cs="Arial" w:hint="cs"/>
          <w:sz w:val="16"/>
          <w:szCs w:val="16"/>
          <w:rtl/>
        </w:rPr>
        <w:t>י'</w:t>
      </w:r>
      <w:r w:rsidRPr="00F613E0">
        <w:rPr>
          <w:rFonts w:cs="Arial"/>
          <w:sz w:val="16"/>
          <w:szCs w:val="16"/>
          <w:rtl/>
        </w:rPr>
        <w:t xml:space="preserve"> סו</w:t>
      </w:r>
      <w:r>
        <w:rPr>
          <w:rFonts w:cs="Arial" w:hint="cs"/>
          <w:sz w:val="16"/>
          <w:szCs w:val="16"/>
          <w:rtl/>
        </w:rPr>
        <w:t>)</w:t>
      </w:r>
      <w:r w:rsidRPr="00F613E0">
        <w:rPr>
          <w:rFonts w:cs="Arial" w:hint="cs"/>
          <w:rtl/>
        </w:rPr>
        <w:t>.</w:t>
      </w:r>
      <w:r w:rsidRPr="00C412BD">
        <w:rPr>
          <w:rFonts w:cs="Arial"/>
          <w:color w:val="00B0F0"/>
          <w:rtl/>
        </w:rPr>
        <w:t xml:space="preserve"> </w:t>
      </w:r>
      <w:r w:rsidRPr="00C412BD">
        <w:rPr>
          <w:rFonts w:cs="Arial" w:hint="cs"/>
          <w:color w:val="00B0F0"/>
          <w:rtl/>
        </w:rPr>
        <w:t>(וכ"כ הרמ"א)</w:t>
      </w:r>
    </w:p>
    <w:p w14:paraId="262AA364" w14:textId="77777777" w:rsidR="002E5BAD" w:rsidRPr="00C975E1" w:rsidRDefault="002E5BAD" w:rsidP="002E5BAD">
      <w:pPr>
        <w:rPr>
          <w:sz w:val="16"/>
          <w:szCs w:val="16"/>
          <w:u w:val="single"/>
        </w:rPr>
      </w:pPr>
      <w:r>
        <w:rPr>
          <w:rFonts w:hint="cs"/>
          <w:u w:val="single"/>
          <w:rtl/>
        </w:rPr>
        <w:t xml:space="preserve">הכניסה לו כספים </w:t>
      </w:r>
      <w:r>
        <w:rPr>
          <w:u w:val="single"/>
          <w:rtl/>
        </w:rPr>
        <w:t>–</w:t>
      </w:r>
      <w:r>
        <w:rPr>
          <w:rFonts w:hint="cs"/>
          <w:u w:val="single"/>
          <w:rtl/>
        </w:rPr>
        <w:t xml:space="preserve"> האם יכול להוציאן</w:t>
      </w:r>
      <w:r w:rsidRPr="00C975E1">
        <w:rPr>
          <w:rFonts w:hint="cs"/>
          <w:u w:val="single"/>
          <w:rtl/>
        </w:rPr>
        <w:t>:</w:t>
      </w:r>
      <w:r w:rsidRPr="00C975E1">
        <w:rPr>
          <w:rFonts w:hint="cs"/>
          <w:sz w:val="16"/>
          <w:szCs w:val="16"/>
          <w:rtl/>
        </w:rPr>
        <w:t xml:space="preserve"> (דרכ"מ אות טו)</w:t>
      </w:r>
    </w:p>
    <w:p w14:paraId="4CCB054D" w14:textId="77777777" w:rsidR="002E5BAD" w:rsidRPr="005A6755" w:rsidRDefault="002E5BAD" w:rsidP="002E5BAD">
      <w:pPr>
        <w:pStyle w:val="ab"/>
        <w:numPr>
          <w:ilvl w:val="0"/>
          <w:numId w:val="186"/>
        </w:numPr>
      </w:pPr>
      <w:r w:rsidRPr="005A6755">
        <w:rPr>
          <w:rFonts w:cs="Arial"/>
          <w:rtl/>
        </w:rPr>
        <w:t xml:space="preserve">ריב"ש </w:t>
      </w:r>
      <w:r w:rsidRPr="005A6755">
        <w:rPr>
          <w:rFonts w:cs="Arial" w:hint="cs"/>
          <w:sz w:val="16"/>
          <w:szCs w:val="16"/>
          <w:rtl/>
        </w:rPr>
        <w:t>(</w:t>
      </w:r>
      <w:r w:rsidRPr="005A6755">
        <w:rPr>
          <w:rFonts w:cs="Arial"/>
          <w:sz w:val="16"/>
          <w:szCs w:val="16"/>
          <w:rtl/>
        </w:rPr>
        <w:t>סי</w:t>
      </w:r>
      <w:r w:rsidRPr="005A6755">
        <w:rPr>
          <w:rFonts w:cs="Arial" w:hint="cs"/>
          <w:sz w:val="16"/>
          <w:szCs w:val="16"/>
          <w:rtl/>
        </w:rPr>
        <w:t>'</w:t>
      </w:r>
      <w:r w:rsidRPr="005A6755">
        <w:rPr>
          <w:rFonts w:cs="Arial"/>
          <w:sz w:val="16"/>
          <w:szCs w:val="16"/>
          <w:rtl/>
        </w:rPr>
        <w:t xml:space="preserve"> קנ</w:t>
      </w:r>
      <w:r w:rsidRPr="005A6755">
        <w:rPr>
          <w:rFonts w:cs="Arial" w:hint="cs"/>
          <w:sz w:val="16"/>
          <w:szCs w:val="16"/>
          <w:rtl/>
        </w:rPr>
        <w:t>)</w:t>
      </w:r>
      <w:r w:rsidRPr="005A6755">
        <w:rPr>
          <w:rFonts w:cs="Arial" w:hint="cs"/>
          <w:rtl/>
        </w:rPr>
        <w:t>-</w:t>
      </w:r>
      <w:r w:rsidRPr="005A6755">
        <w:rPr>
          <w:rFonts w:cs="Arial"/>
          <w:rtl/>
        </w:rPr>
        <w:t xml:space="preserve"> כספים שהכניסה לו יכול להוציאן</w:t>
      </w:r>
      <w:r w:rsidRPr="005A6755">
        <w:rPr>
          <w:rFonts w:cs="Arial" w:hint="cs"/>
          <w:rtl/>
        </w:rPr>
        <w:t>,</w:t>
      </w:r>
      <w:r w:rsidRPr="005A6755">
        <w:rPr>
          <w:rFonts w:cs="Arial"/>
          <w:rtl/>
        </w:rPr>
        <w:t xml:space="preserve"> הואיל ואחריותן עליו</w:t>
      </w:r>
      <w:r w:rsidRPr="005A6755">
        <w:rPr>
          <w:rFonts w:cs="Arial" w:hint="cs"/>
          <w:rtl/>
        </w:rPr>
        <w:t>.</w:t>
      </w:r>
      <w:r w:rsidRPr="005A6755">
        <w:rPr>
          <w:rFonts w:cs="Arial"/>
          <w:rtl/>
        </w:rPr>
        <w:t xml:space="preserve"> אבל לא שאר דברים</w:t>
      </w:r>
      <w:r w:rsidRPr="005A6755">
        <w:rPr>
          <w:rFonts w:cs="Arial" w:hint="cs"/>
          <w:rtl/>
        </w:rPr>
        <w:t>.</w:t>
      </w:r>
      <w:r w:rsidRPr="005A6755">
        <w:rPr>
          <w:rFonts w:cs="Arial"/>
          <w:rtl/>
        </w:rPr>
        <w:t xml:space="preserve"> </w:t>
      </w:r>
    </w:p>
    <w:p w14:paraId="239729E0" w14:textId="77777777" w:rsidR="002E5BAD" w:rsidRPr="005A6755" w:rsidRDefault="002E5BAD" w:rsidP="002E5BAD">
      <w:pPr>
        <w:rPr>
          <w:sz w:val="16"/>
          <w:szCs w:val="16"/>
          <w:u w:val="single"/>
        </w:rPr>
      </w:pPr>
      <w:r w:rsidRPr="005A6755">
        <w:rPr>
          <w:rFonts w:hint="cs"/>
          <w:u w:val="single"/>
          <w:rtl/>
        </w:rPr>
        <w:t>בעל שר</w:t>
      </w:r>
      <w:r>
        <w:rPr>
          <w:rFonts w:hint="cs"/>
          <w:u w:val="single"/>
          <w:rtl/>
        </w:rPr>
        <w:t>ו</w:t>
      </w:r>
      <w:r w:rsidRPr="005A6755">
        <w:rPr>
          <w:rFonts w:hint="cs"/>
          <w:u w:val="single"/>
          <w:rtl/>
        </w:rPr>
        <w:t>צה להלוות נכסי מלוג שהכניסה לו אשתו:</w:t>
      </w:r>
      <w:r w:rsidRPr="005A6755">
        <w:rPr>
          <w:rFonts w:hint="cs"/>
          <w:sz w:val="16"/>
          <w:szCs w:val="16"/>
          <w:rtl/>
        </w:rPr>
        <w:t xml:space="preserve"> (דרכ"מ אות טו)</w:t>
      </w:r>
    </w:p>
    <w:p w14:paraId="792E341D" w14:textId="77777777" w:rsidR="002E5BAD" w:rsidRPr="00343291" w:rsidRDefault="002E5BAD" w:rsidP="002E5BAD">
      <w:pPr>
        <w:pStyle w:val="ab"/>
        <w:numPr>
          <w:ilvl w:val="0"/>
          <w:numId w:val="186"/>
        </w:numPr>
        <w:rPr>
          <w:rtl/>
        </w:rPr>
      </w:pPr>
      <w:r w:rsidRPr="005A6755">
        <w:rPr>
          <w:rFonts w:cs="Arial"/>
          <w:rtl/>
        </w:rPr>
        <w:t xml:space="preserve">ריב"ש </w:t>
      </w:r>
      <w:r w:rsidRPr="005A6755">
        <w:rPr>
          <w:rFonts w:cs="Arial" w:hint="cs"/>
          <w:sz w:val="16"/>
          <w:szCs w:val="16"/>
          <w:rtl/>
        </w:rPr>
        <w:t>(</w:t>
      </w:r>
      <w:r w:rsidRPr="005A6755">
        <w:rPr>
          <w:rFonts w:cs="Arial"/>
          <w:sz w:val="16"/>
          <w:szCs w:val="16"/>
          <w:rtl/>
        </w:rPr>
        <w:t>סי</w:t>
      </w:r>
      <w:r w:rsidRPr="005A6755">
        <w:rPr>
          <w:rFonts w:cs="Arial" w:hint="cs"/>
          <w:sz w:val="16"/>
          <w:szCs w:val="16"/>
          <w:rtl/>
        </w:rPr>
        <w:t>'</w:t>
      </w:r>
      <w:r w:rsidRPr="005A6755">
        <w:rPr>
          <w:rFonts w:cs="Arial"/>
          <w:sz w:val="16"/>
          <w:szCs w:val="16"/>
          <w:rtl/>
        </w:rPr>
        <w:t xml:space="preserve"> קנ</w:t>
      </w:r>
      <w:r w:rsidRPr="005A6755">
        <w:rPr>
          <w:rFonts w:cs="Arial" w:hint="cs"/>
          <w:sz w:val="16"/>
          <w:szCs w:val="16"/>
          <w:rtl/>
        </w:rPr>
        <w:t>)</w:t>
      </w:r>
      <w:r w:rsidRPr="005A6755">
        <w:rPr>
          <w:rFonts w:cs="Arial" w:hint="cs"/>
          <w:rtl/>
        </w:rPr>
        <w:t>-</w:t>
      </w:r>
      <w:r w:rsidRPr="005A6755">
        <w:rPr>
          <w:rFonts w:cs="Arial"/>
          <w:rtl/>
        </w:rPr>
        <w:t xml:space="preserve"> הרשות ביד הבעל שאם רוצה להלוות מה שהכניסה לו נכסי מלוג הרשות בידו</w:t>
      </w:r>
      <w:r>
        <w:rPr>
          <w:rFonts w:cs="Arial" w:hint="cs"/>
          <w:rtl/>
        </w:rPr>
        <w:t>.</w:t>
      </w:r>
    </w:p>
    <w:p w14:paraId="7C923025" w14:textId="77777777" w:rsidR="002E5BAD" w:rsidRPr="00675C5E" w:rsidRDefault="002E5BAD" w:rsidP="002E5BAD">
      <w:pPr>
        <w:rPr>
          <w:rFonts w:cs="Arial"/>
          <w:rtl/>
        </w:rPr>
      </w:pPr>
      <w:r w:rsidRPr="00675C5E">
        <w:rPr>
          <w:rFonts w:asciiTheme="minorBidi" w:hAnsiTheme="minorBidi"/>
          <w:b/>
          <w:bCs/>
          <w:color w:val="000000"/>
          <w:sz w:val="28"/>
          <w:szCs w:val="28"/>
          <w:u w:val="single"/>
          <w:rtl/>
        </w:rPr>
        <w:t>שו"ע:</w:t>
      </w:r>
    </w:p>
    <w:p w14:paraId="0F4E0623" w14:textId="77777777" w:rsidR="002E5BAD" w:rsidRDefault="002E5BAD" w:rsidP="002E5BAD">
      <w:pPr>
        <w:rPr>
          <w:rFonts w:cs="Arial"/>
          <w:rtl/>
        </w:rPr>
      </w:pPr>
      <w:r w:rsidRPr="00EB79BF">
        <w:rPr>
          <w:rFonts w:cs="Arial"/>
          <w:rtl/>
        </w:rPr>
        <w:lastRenderedPageBreak/>
        <w:t>האשה שמכרה או נתנה אחר שנשאת בנכסי צאן ברזל, בין לבעלה בין לאחרים</w:t>
      </w:r>
      <w:r>
        <w:rPr>
          <w:rStyle w:val="a7"/>
          <w:rFonts w:cs="Arial"/>
          <w:rtl/>
        </w:rPr>
        <w:footnoteReference w:id="2054"/>
      </w:r>
      <w:r w:rsidRPr="00EB79BF">
        <w:rPr>
          <w:rFonts w:cs="Arial"/>
          <w:rtl/>
        </w:rPr>
        <w:t xml:space="preserve">, לא עשתה כלום. </w:t>
      </w:r>
      <w:r>
        <w:rPr>
          <w:rFonts w:cs="Arial" w:hint="cs"/>
          <w:sz w:val="18"/>
          <w:szCs w:val="18"/>
          <w:rtl/>
        </w:rPr>
        <w:t xml:space="preserve">[הגה] </w:t>
      </w:r>
      <w:r w:rsidRPr="00FA43C3">
        <w:rPr>
          <w:rFonts w:cs="Arial"/>
          <w:sz w:val="18"/>
          <w:szCs w:val="18"/>
          <w:rtl/>
        </w:rPr>
        <w:t>וי"א דמ"מ כשתתאלמן או תתגרש, מכרה קיים</w:t>
      </w:r>
      <w:r>
        <w:rPr>
          <w:rStyle w:val="a7"/>
          <w:rFonts w:cs="Arial"/>
          <w:sz w:val="18"/>
          <w:szCs w:val="18"/>
          <w:rtl/>
        </w:rPr>
        <w:footnoteReference w:id="2055"/>
      </w:r>
      <w:r w:rsidRPr="00FA43C3">
        <w:rPr>
          <w:rFonts w:cs="Arial"/>
          <w:sz w:val="18"/>
          <w:szCs w:val="18"/>
          <w:rtl/>
        </w:rPr>
        <w:t xml:space="preserve"> (נ</w:t>
      </w:r>
      <w:r>
        <w:rPr>
          <w:rFonts w:cs="Arial" w:hint="cs"/>
          <w:sz w:val="18"/>
          <w:szCs w:val="18"/>
          <w:rtl/>
        </w:rPr>
        <w:t>מוק</w:t>
      </w:r>
      <w:r w:rsidRPr="00FA43C3">
        <w:rPr>
          <w:rFonts w:cs="Arial"/>
          <w:sz w:val="18"/>
          <w:szCs w:val="18"/>
          <w:rtl/>
        </w:rPr>
        <w:t>"י).</w:t>
      </w:r>
      <w:r w:rsidRPr="00EB79BF">
        <w:rPr>
          <w:rFonts w:cs="Arial"/>
          <w:rtl/>
        </w:rPr>
        <w:t xml:space="preserve"> וכן בעל שמכר קרקע בנכסי אשתו, בין נכסי צאן ברזל</w:t>
      </w:r>
      <w:r>
        <w:rPr>
          <w:rStyle w:val="a7"/>
          <w:rFonts w:cs="Arial"/>
          <w:rtl/>
        </w:rPr>
        <w:footnoteReference w:id="2056"/>
      </w:r>
      <w:r w:rsidRPr="00EB79BF">
        <w:rPr>
          <w:rFonts w:cs="Arial"/>
          <w:rtl/>
        </w:rPr>
        <w:t xml:space="preserve"> בין נ</w:t>
      </w:r>
      <w:r>
        <w:rPr>
          <w:rFonts w:cs="Arial" w:hint="cs"/>
          <w:rtl/>
        </w:rPr>
        <w:t xml:space="preserve">כסי </w:t>
      </w:r>
      <w:r w:rsidRPr="00EB79BF">
        <w:rPr>
          <w:rFonts w:cs="Arial"/>
          <w:rtl/>
        </w:rPr>
        <w:t>מ</w:t>
      </w:r>
      <w:r>
        <w:rPr>
          <w:rFonts w:cs="Arial" w:hint="cs"/>
          <w:rtl/>
        </w:rPr>
        <w:t>לוג</w:t>
      </w:r>
      <w:r w:rsidRPr="00EB79BF">
        <w:rPr>
          <w:rFonts w:cs="Arial"/>
          <w:rtl/>
        </w:rPr>
        <w:t>, לא עשה כלום</w:t>
      </w:r>
      <w:r>
        <w:rPr>
          <w:rStyle w:val="a7"/>
          <w:rFonts w:cs="Arial"/>
          <w:rtl/>
        </w:rPr>
        <w:footnoteReference w:id="2057"/>
      </w:r>
      <w:r w:rsidRPr="00EB79BF">
        <w:rPr>
          <w:rFonts w:cs="Arial"/>
          <w:rtl/>
        </w:rPr>
        <w:t xml:space="preserve">. ויש מי שאומר שאפילו הוא עצמו יכול לערער על המכר. </w:t>
      </w:r>
      <w:r>
        <w:rPr>
          <w:rFonts w:cs="Arial" w:hint="cs"/>
          <w:sz w:val="18"/>
          <w:szCs w:val="18"/>
          <w:rtl/>
        </w:rPr>
        <w:t xml:space="preserve">[הגה] </w:t>
      </w:r>
      <w:r w:rsidRPr="00FA43C3">
        <w:rPr>
          <w:rFonts w:cs="Arial"/>
          <w:sz w:val="18"/>
          <w:szCs w:val="18"/>
          <w:rtl/>
        </w:rPr>
        <w:t>ואפילו אם מתה בחייו</w:t>
      </w:r>
      <w:r>
        <w:rPr>
          <w:rStyle w:val="a7"/>
          <w:rFonts w:cs="Arial"/>
          <w:sz w:val="18"/>
          <w:szCs w:val="18"/>
          <w:rtl/>
        </w:rPr>
        <w:footnoteReference w:id="2058"/>
      </w:r>
      <w:r w:rsidRPr="00FA43C3">
        <w:rPr>
          <w:rFonts w:cs="Arial"/>
          <w:sz w:val="18"/>
          <w:szCs w:val="18"/>
          <w:rtl/>
        </w:rPr>
        <w:t>, הבעל יורש כחה ויכול לבטל (טור)</w:t>
      </w:r>
      <w:r>
        <w:rPr>
          <w:rFonts w:cs="Arial" w:hint="cs"/>
          <w:sz w:val="18"/>
          <w:szCs w:val="18"/>
          <w:rtl/>
        </w:rPr>
        <w:t>.</w:t>
      </w:r>
      <w:r w:rsidRPr="00EB79BF">
        <w:rPr>
          <w:rFonts w:cs="Arial"/>
          <w:rtl/>
        </w:rPr>
        <w:t xml:space="preserve"> </w:t>
      </w:r>
    </w:p>
    <w:p w14:paraId="3F4E2895" w14:textId="77777777" w:rsidR="002E5BAD" w:rsidRPr="007A5A15" w:rsidRDefault="002E5BAD" w:rsidP="002E5BAD">
      <w:pPr>
        <w:rPr>
          <w:rFonts w:cs="Arial"/>
          <w:color w:val="FF0000"/>
          <w:rtl/>
        </w:rPr>
      </w:pPr>
      <w:r w:rsidRPr="007A5A15">
        <w:rPr>
          <w:rFonts w:cs="Arial" w:hint="cs"/>
          <w:color w:val="FF0000"/>
          <w:rtl/>
        </w:rPr>
        <w:t>צ"ע שוב בב"ש סקמ"ז</w:t>
      </w:r>
    </w:p>
    <w:p w14:paraId="3477BAFD" w14:textId="77777777" w:rsidR="002E5BAD" w:rsidRPr="00EB79BF" w:rsidRDefault="002E5BAD" w:rsidP="002E5BAD">
      <w:pPr>
        <w:rPr>
          <w:rFonts w:cs="Arial"/>
          <w:rtl/>
        </w:rPr>
      </w:pPr>
    </w:p>
    <w:p w14:paraId="704D5419" w14:textId="77777777" w:rsidR="002E5BAD" w:rsidRDefault="002E5BAD" w:rsidP="002E5BAD">
      <w:pPr>
        <w:pStyle w:val="2"/>
        <w:rPr>
          <w:rtl/>
        </w:rPr>
      </w:pPr>
      <w:r w:rsidRPr="00EB79BF">
        <w:rPr>
          <w:rtl/>
        </w:rPr>
        <w:t>סעיף יד</w:t>
      </w:r>
      <w:r>
        <w:rPr>
          <w:rFonts w:hint="cs"/>
          <w:rtl/>
        </w:rPr>
        <w:t>: בעל שמכר מטלטלין של נכסי צאן ברזל.</w:t>
      </w:r>
    </w:p>
    <w:p w14:paraId="61A03B44" w14:textId="77777777" w:rsidR="002E5BAD" w:rsidRPr="00E2576E" w:rsidRDefault="002E5BAD" w:rsidP="002E5BAD">
      <w:pPr>
        <w:rPr>
          <w:rtl/>
        </w:rPr>
      </w:pPr>
      <w:r>
        <w:rPr>
          <w:rFonts w:cs="Arial" w:hint="cs"/>
          <w:b/>
          <w:bCs/>
          <w:rtl/>
        </w:rPr>
        <w:t xml:space="preserve">ירושלמי כתובות פ"ו ה"ג: </w:t>
      </w:r>
      <w:r w:rsidRPr="00E2576E">
        <w:rPr>
          <w:rFonts w:cs="Arial"/>
          <w:u w:val="double"/>
          <w:rtl/>
        </w:rPr>
        <w:t>מתני'</w:t>
      </w:r>
      <w:r>
        <w:rPr>
          <w:rFonts w:cs="Arial" w:hint="cs"/>
          <w:rtl/>
        </w:rPr>
        <w:t>:</w:t>
      </w:r>
      <w:r w:rsidRPr="00E2576E">
        <w:rPr>
          <w:rFonts w:cs="Arial"/>
          <w:rtl/>
        </w:rPr>
        <w:t xml:space="preserve"> פסקה להכניס לו אלף דינר </w:t>
      </w:r>
      <w:r>
        <w:rPr>
          <w:rFonts w:cs="Arial" w:hint="cs"/>
          <w:rtl/>
        </w:rPr>
        <w:t xml:space="preserve">- </w:t>
      </w:r>
      <w:r w:rsidRPr="00E2576E">
        <w:rPr>
          <w:rFonts w:cs="Arial"/>
          <w:rtl/>
        </w:rPr>
        <w:t>הוא פוסק כנגדו בחמשה עשר מנה</w:t>
      </w:r>
      <w:r>
        <w:rPr>
          <w:rFonts w:cs="Arial" w:hint="cs"/>
          <w:rtl/>
        </w:rPr>
        <w:t>.</w:t>
      </w:r>
      <w:r w:rsidRPr="00E2576E">
        <w:rPr>
          <w:rFonts w:cs="Arial"/>
          <w:rtl/>
        </w:rPr>
        <w:t xml:space="preserve"> כנגד השום </w:t>
      </w:r>
      <w:r>
        <w:rPr>
          <w:rFonts w:cs="Arial" w:hint="cs"/>
          <w:rtl/>
        </w:rPr>
        <w:t xml:space="preserve">- </w:t>
      </w:r>
      <w:r w:rsidRPr="00E2576E">
        <w:rPr>
          <w:rFonts w:cs="Arial"/>
          <w:rtl/>
        </w:rPr>
        <w:t>הוא פוסק פחות חומש</w:t>
      </w:r>
      <w:r>
        <w:rPr>
          <w:rFonts w:cs="Arial" w:hint="cs"/>
          <w:rtl/>
        </w:rPr>
        <w:t xml:space="preserve">.    </w:t>
      </w:r>
      <w:r w:rsidRPr="00E2576E">
        <w:rPr>
          <w:rFonts w:cs="Arial"/>
          <w:rtl/>
        </w:rPr>
        <w:t xml:space="preserve"> </w:t>
      </w:r>
      <w:r w:rsidRPr="00E2576E">
        <w:rPr>
          <w:rFonts w:cs="Arial"/>
          <w:u w:val="single"/>
          <w:rtl/>
        </w:rPr>
        <w:t>גמ'</w:t>
      </w:r>
      <w:r>
        <w:rPr>
          <w:rFonts w:cs="Arial" w:hint="cs"/>
          <w:rtl/>
        </w:rPr>
        <w:t>:</w:t>
      </w:r>
      <w:r w:rsidRPr="00E2576E">
        <w:rPr>
          <w:rFonts w:cs="Arial"/>
          <w:rtl/>
        </w:rPr>
        <w:t xml:space="preserve"> מה ראו לומר בכספים אחד ומחצה ובשום פחות חומש</w:t>
      </w:r>
      <w:r>
        <w:rPr>
          <w:rFonts w:cs="Arial" w:hint="cs"/>
          <w:rtl/>
        </w:rPr>
        <w:t>?</w:t>
      </w:r>
      <w:r w:rsidRPr="00E2576E">
        <w:rPr>
          <w:rFonts w:cs="Arial"/>
          <w:rtl/>
        </w:rPr>
        <w:t xml:space="preserve"> </w:t>
      </w:r>
      <w:r w:rsidRPr="00E2576E">
        <w:rPr>
          <w:rFonts w:cs="Arial"/>
          <w:u w:val="single"/>
          <w:rtl/>
        </w:rPr>
        <w:t>אמר רבי יוסי בן חנינה</w:t>
      </w:r>
      <w:r>
        <w:rPr>
          <w:rFonts w:cs="Arial" w:hint="cs"/>
          <w:rtl/>
        </w:rPr>
        <w:t>:</w:t>
      </w:r>
      <w:r w:rsidRPr="00E2576E">
        <w:rPr>
          <w:rFonts w:cs="Arial"/>
          <w:rtl/>
        </w:rPr>
        <w:t xml:space="preserve"> שמין דעתה של אשה שהיא רוצה לכלות את כליה ולפחות אותן חומש</w:t>
      </w:r>
      <w:r>
        <w:rPr>
          <w:rFonts w:cs="Arial" w:hint="cs"/>
          <w:rtl/>
        </w:rPr>
        <w:t>.</w:t>
      </w:r>
      <w:r w:rsidRPr="00E2576E">
        <w:rPr>
          <w:rFonts w:cs="Arial"/>
          <w:rtl/>
        </w:rPr>
        <w:t xml:space="preserve"> שמין דעתו של איש רוצה לישא וליתן בהן ולעשותן באחד ומחצה</w:t>
      </w:r>
      <w:r>
        <w:rPr>
          <w:rFonts w:cs="Arial" w:hint="cs"/>
          <w:rtl/>
        </w:rPr>
        <w:t>.</w:t>
      </w:r>
      <w:r w:rsidRPr="00E2576E">
        <w:rPr>
          <w:rFonts w:cs="Arial"/>
          <w:rtl/>
        </w:rPr>
        <w:t xml:space="preserve"> </w:t>
      </w:r>
      <w:r w:rsidRPr="00E2576E">
        <w:rPr>
          <w:rFonts w:cs="Arial"/>
          <w:u w:val="single"/>
          <w:rtl/>
        </w:rPr>
        <w:t>אמר רבי יוסה</w:t>
      </w:r>
      <w:r w:rsidRPr="00E2576E">
        <w:rPr>
          <w:rFonts w:cs="Arial" w:hint="cs"/>
          <w:rtl/>
        </w:rPr>
        <w:t>:</w:t>
      </w:r>
      <w:r w:rsidRPr="00E2576E">
        <w:rPr>
          <w:rFonts w:cs="Arial"/>
          <w:rtl/>
        </w:rPr>
        <w:t xml:space="preserve"> זאת אומרת שאין אדם רשאי למכור כלי אשתו</w:t>
      </w:r>
      <w:r w:rsidRPr="00E2576E">
        <w:rPr>
          <w:rFonts w:cs="Arial" w:hint="cs"/>
          <w:rtl/>
        </w:rPr>
        <w:t>.</w:t>
      </w:r>
      <w:r>
        <w:rPr>
          <w:rFonts w:hint="cs"/>
          <w:rtl/>
        </w:rPr>
        <w:t xml:space="preserve"> </w:t>
      </w:r>
      <w:r w:rsidRPr="0070305D">
        <w:rPr>
          <w:rFonts w:hint="cs"/>
          <w:sz w:val="16"/>
          <w:szCs w:val="16"/>
          <w:rtl/>
        </w:rPr>
        <w:t>(</w:t>
      </w:r>
      <w:r w:rsidRPr="0070305D">
        <w:rPr>
          <w:rFonts w:cs="Arial"/>
          <w:sz w:val="16"/>
          <w:szCs w:val="16"/>
          <w:rtl/>
        </w:rPr>
        <w:t>שהרי הוא פוחת חומש מכתובתה כדי שתשתמש בכליה</w:t>
      </w:r>
      <w:r w:rsidRPr="0070305D">
        <w:rPr>
          <w:rFonts w:cs="Arial" w:hint="cs"/>
          <w:sz w:val="16"/>
          <w:szCs w:val="16"/>
          <w:rtl/>
        </w:rPr>
        <w:t>, ר"ן (</w:t>
      </w:r>
      <w:r w:rsidRPr="0070305D">
        <w:rPr>
          <w:rFonts w:cs="Arial"/>
          <w:sz w:val="16"/>
          <w:szCs w:val="16"/>
          <w:rtl/>
        </w:rPr>
        <w:t>כתובות כט</w:t>
      </w:r>
      <w:r w:rsidRPr="0070305D">
        <w:rPr>
          <w:rFonts w:cs="Arial" w:hint="cs"/>
          <w:sz w:val="16"/>
          <w:szCs w:val="16"/>
          <w:rtl/>
        </w:rPr>
        <w:t>. מדפה"ר). והביא הרי"ף (כט.) את לשון הירושלמי)</w:t>
      </w:r>
    </w:p>
    <w:p w14:paraId="5B0E8707" w14:textId="77777777" w:rsidR="002E5BAD" w:rsidRPr="00CF359C" w:rsidRDefault="002E5BAD" w:rsidP="002E5BAD">
      <w:pPr>
        <w:rPr>
          <w:u w:val="single"/>
          <w:rtl/>
        </w:rPr>
      </w:pPr>
      <w:r>
        <w:rPr>
          <w:rFonts w:hint="cs"/>
          <w:u w:val="single"/>
          <w:rtl/>
        </w:rPr>
        <w:t>בעל ש</w:t>
      </w:r>
      <w:r w:rsidRPr="00CF359C">
        <w:rPr>
          <w:rFonts w:hint="cs"/>
          <w:u w:val="single"/>
          <w:rtl/>
        </w:rPr>
        <w:t>מכר מטלטלין של נכסי צאן ברזל:</w:t>
      </w:r>
    </w:p>
    <w:p w14:paraId="575F03E3" w14:textId="77777777" w:rsidR="002E5BAD" w:rsidRDefault="002E5BAD" w:rsidP="002E5BAD">
      <w:pPr>
        <w:pStyle w:val="ab"/>
        <w:numPr>
          <w:ilvl w:val="0"/>
          <w:numId w:val="186"/>
        </w:numPr>
        <w:rPr>
          <w:rFonts w:cs="Arial"/>
        </w:rPr>
      </w:pPr>
      <w:r>
        <w:rPr>
          <w:rFonts w:cs="Arial" w:hint="cs"/>
          <w:rtl/>
        </w:rPr>
        <w:t xml:space="preserve">רא"ש </w:t>
      </w:r>
      <w:r>
        <w:rPr>
          <w:rFonts w:cs="Arial" w:hint="cs"/>
          <w:sz w:val="16"/>
          <w:szCs w:val="16"/>
          <w:rtl/>
        </w:rPr>
        <w:t>(סו"ס א)</w:t>
      </w:r>
      <w:r>
        <w:rPr>
          <w:rFonts w:cs="Arial" w:hint="cs"/>
          <w:rtl/>
        </w:rPr>
        <w:t xml:space="preserve"> וטור- </w:t>
      </w:r>
      <w:r w:rsidRPr="00984DA1">
        <w:rPr>
          <w:rFonts w:cs="Arial"/>
          <w:rtl/>
        </w:rPr>
        <w:t xml:space="preserve">יראה דדוקא בקרקע הוא דאמר </w:t>
      </w:r>
      <w:r>
        <w:rPr>
          <w:rFonts w:cs="Arial" w:hint="cs"/>
          <w:sz w:val="16"/>
          <w:szCs w:val="16"/>
          <w:rtl/>
        </w:rPr>
        <w:t xml:space="preserve">{ר"י} </w:t>
      </w:r>
      <w:r w:rsidRPr="00984DA1">
        <w:rPr>
          <w:rFonts w:cs="Arial"/>
          <w:rtl/>
        </w:rPr>
        <w:t>דמכר הבעל קיים עד שעת טריפה</w:t>
      </w:r>
      <w:r>
        <w:rPr>
          <w:rFonts w:cs="Arial" w:hint="cs"/>
          <w:rtl/>
        </w:rPr>
        <w:t>,</w:t>
      </w:r>
      <w:r w:rsidRPr="00984DA1">
        <w:rPr>
          <w:rFonts w:cs="Arial"/>
          <w:rtl/>
        </w:rPr>
        <w:t xml:space="preserve"> שהארץ לעולם עומדת</w:t>
      </w:r>
      <w:r>
        <w:rPr>
          <w:rFonts w:cs="Arial" w:hint="cs"/>
          <w:rtl/>
        </w:rPr>
        <w:t>,</w:t>
      </w:r>
      <w:r w:rsidRPr="00984DA1">
        <w:rPr>
          <w:rFonts w:cs="Arial"/>
          <w:rtl/>
        </w:rPr>
        <w:t xml:space="preserve"> ואין לאשה הפסד אלא טורח שצריכה לחזר אחרי בתי דינין ולטרוף</w:t>
      </w:r>
      <w:r>
        <w:rPr>
          <w:rFonts w:cs="Arial" w:hint="cs"/>
          <w:rtl/>
        </w:rPr>
        <w:t>.</w:t>
      </w:r>
      <w:r w:rsidRPr="00984DA1">
        <w:rPr>
          <w:rFonts w:cs="Arial"/>
          <w:rtl/>
        </w:rPr>
        <w:t xml:space="preserve"> אבל המכנסת נדונייתא במטלטלין של כסף וזהב ובגדים </w:t>
      </w:r>
      <w:r>
        <w:rPr>
          <w:rFonts w:cs="Arial" w:hint="cs"/>
          <w:rtl/>
        </w:rPr>
        <w:t xml:space="preserve">- </w:t>
      </w:r>
      <w:r w:rsidRPr="00984DA1">
        <w:rPr>
          <w:rFonts w:cs="Arial"/>
          <w:rtl/>
        </w:rPr>
        <w:t>אין הבעל יכול למוכרן</w:t>
      </w:r>
      <w:r>
        <w:rPr>
          <w:rStyle w:val="a7"/>
          <w:rFonts w:cs="Arial"/>
          <w:rtl/>
        </w:rPr>
        <w:footnoteReference w:id="2059"/>
      </w:r>
      <w:r>
        <w:rPr>
          <w:rFonts w:cs="Arial" w:hint="cs"/>
          <w:rtl/>
        </w:rPr>
        <w:t>,</w:t>
      </w:r>
      <w:r w:rsidRPr="00984DA1">
        <w:rPr>
          <w:rFonts w:cs="Arial"/>
          <w:rtl/>
        </w:rPr>
        <w:t xml:space="preserve"> אע</w:t>
      </w:r>
      <w:r>
        <w:rPr>
          <w:rFonts w:cs="Arial" w:hint="cs"/>
          <w:rtl/>
        </w:rPr>
        <w:t>"</w:t>
      </w:r>
      <w:r w:rsidRPr="00984DA1">
        <w:rPr>
          <w:rFonts w:cs="Arial"/>
          <w:rtl/>
        </w:rPr>
        <w:t>פ שיש לבעל נכסים כנגד נדונייתא דהיא חפצה יותר בשבח בית אביה</w:t>
      </w:r>
      <w:r>
        <w:rPr>
          <w:rFonts w:cs="Arial" w:hint="cs"/>
          <w:rtl/>
        </w:rPr>
        <w:t>,</w:t>
      </w:r>
      <w:r w:rsidRPr="00984DA1">
        <w:rPr>
          <w:rFonts w:cs="Arial"/>
          <w:rtl/>
        </w:rPr>
        <w:t xml:space="preserve"> דקי"ל כרב יהודה</w:t>
      </w:r>
      <w:r>
        <w:rPr>
          <w:rFonts w:cs="Arial" w:hint="cs"/>
          <w:rtl/>
        </w:rPr>
        <w:t>.</w:t>
      </w:r>
      <w:r w:rsidRPr="00984DA1">
        <w:rPr>
          <w:rFonts w:cs="Arial"/>
          <w:rtl/>
        </w:rPr>
        <w:t xml:space="preserve"> וכ"ש שאין ב"ח נוטלן</w:t>
      </w:r>
      <w:r>
        <w:rPr>
          <w:rStyle w:val="a7"/>
          <w:rFonts w:cs="Arial"/>
          <w:rtl/>
        </w:rPr>
        <w:footnoteReference w:id="2060"/>
      </w:r>
      <w:r w:rsidRPr="002A2665">
        <w:rPr>
          <w:rFonts w:hint="cs"/>
          <w:sz w:val="16"/>
          <w:szCs w:val="16"/>
          <w:rtl/>
        </w:rPr>
        <w:t>(ל' הרא"ש)</w:t>
      </w:r>
      <w:r>
        <w:rPr>
          <w:rFonts w:cs="Arial" w:hint="cs"/>
          <w:rtl/>
        </w:rPr>
        <w:t>.</w:t>
      </w:r>
      <w:r w:rsidRPr="008C513A">
        <w:rPr>
          <w:rFonts w:cs="Arial"/>
          <w:rtl/>
        </w:rPr>
        <w:t xml:space="preserve"> וכן מה שהחתן פוסק לה אינו יכול למוכר</w:t>
      </w:r>
      <w:r>
        <w:rPr>
          <w:rFonts w:cs="Arial" w:hint="cs"/>
          <w:rtl/>
        </w:rPr>
        <w:t>ן</w:t>
      </w:r>
      <w:r>
        <w:rPr>
          <w:rFonts w:cs="Arial" w:hint="cs"/>
          <w:sz w:val="16"/>
          <w:szCs w:val="16"/>
          <w:rtl/>
        </w:rPr>
        <w:t xml:space="preserve"> (ל' הטור)</w:t>
      </w:r>
      <w:r>
        <w:rPr>
          <w:rFonts w:cs="Arial" w:hint="cs"/>
          <w:rtl/>
        </w:rPr>
        <w:t xml:space="preserve">. </w:t>
      </w:r>
      <w:r w:rsidRPr="005B4840">
        <w:rPr>
          <w:rFonts w:cs="Arial" w:hint="cs"/>
          <w:color w:val="00B0F0"/>
          <w:rtl/>
        </w:rPr>
        <w:t>(וכ"פ הרמ"א)</w:t>
      </w:r>
    </w:p>
    <w:p w14:paraId="73250E54" w14:textId="77777777" w:rsidR="002E5BAD" w:rsidRPr="00763570" w:rsidRDefault="002E5BAD" w:rsidP="002E5BAD">
      <w:pPr>
        <w:pStyle w:val="ab"/>
        <w:numPr>
          <w:ilvl w:val="0"/>
          <w:numId w:val="186"/>
        </w:numPr>
        <w:rPr>
          <w:rFonts w:cs="Arial"/>
        </w:rPr>
      </w:pPr>
      <w:r w:rsidRPr="008C513A">
        <w:rPr>
          <w:rFonts w:cs="Arial"/>
          <w:rtl/>
        </w:rPr>
        <w:t>רמב"ם</w:t>
      </w:r>
      <w:r>
        <w:rPr>
          <w:rFonts w:cs="Arial" w:hint="cs"/>
          <w:sz w:val="16"/>
          <w:szCs w:val="16"/>
          <w:rtl/>
        </w:rPr>
        <w:t xml:space="preserve"> (פכ"ב מאישות הט"ז, וכן בהל' מכירה פ"ל ה"ה)</w:t>
      </w:r>
      <w:r>
        <w:rPr>
          <w:rFonts w:cs="Arial" w:hint="cs"/>
          <w:rtl/>
        </w:rPr>
        <w:t>-</w:t>
      </w:r>
      <w:r w:rsidRPr="008C513A">
        <w:rPr>
          <w:rFonts w:cs="Arial"/>
          <w:rtl/>
        </w:rPr>
        <w:t xml:space="preserve"> </w:t>
      </w:r>
      <w:r w:rsidRPr="00DE69CB">
        <w:rPr>
          <w:rFonts w:cs="Arial"/>
          <w:rtl/>
        </w:rPr>
        <w:t>מכר מטלטלין של נכסי צאן ברזל אע</w:t>
      </w:r>
      <w:r>
        <w:rPr>
          <w:rFonts w:cs="Arial" w:hint="cs"/>
          <w:rtl/>
        </w:rPr>
        <w:t>"</w:t>
      </w:r>
      <w:r w:rsidRPr="00DE69CB">
        <w:rPr>
          <w:rFonts w:cs="Arial"/>
          <w:rtl/>
        </w:rPr>
        <w:t xml:space="preserve">פ שאינו רשאי אם מכר </w:t>
      </w:r>
      <w:r>
        <w:rPr>
          <w:rFonts w:cs="Arial" w:hint="cs"/>
          <w:rtl/>
        </w:rPr>
        <w:t xml:space="preserve">- </w:t>
      </w:r>
      <w:r w:rsidRPr="00DE69CB">
        <w:rPr>
          <w:rFonts w:cs="Arial"/>
          <w:rtl/>
        </w:rPr>
        <w:t>ממכרו קיים</w:t>
      </w:r>
      <w:r>
        <w:rPr>
          <w:rStyle w:val="a7"/>
          <w:rFonts w:cs="Arial"/>
          <w:rtl/>
        </w:rPr>
        <w:footnoteReference w:id="2061"/>
      </w:r>
      <w:r>
        <w:rPr>
          <w:rFonts w:cs="Arial" w:hint="cs"/>
          <w:rtl/>
        </w:rPr>
        <w:t xml:space="preserve">. </w:t>
      </w:r>
      <w:r w:rsidRPr="00763570">
        <w:rPr>
          <w:rFonts w:cs="Arial" w:hint="cs"/>
          <w:color w:val="E36C0A" w:themeColor="accent6" w:themeShade="BF"/>
          <w:rtl/>
        </w:rPr>
        <w:t>(וכ"פ בשו"ע)</w:t>
      </w:r>
    </w:p>
    <w:p w14:paraId="6FA397CF" w14:textId="77777777" w:rsidR="002E5BAD" w:rsidRPr="000C4173" w:rsidRDefault="002E5BAD" w:rsidP="002E5BAD">
      <w:pPr>
        <w:rPr>
          <w:rFonts w:cs="Arial"/>
          <w:u w:val="single"/>
        </w:rPr>
      </w:pPr>
      <w:r>
        <w:rPr>
          <w:rFonts w:cs="Arial" w:hint="cs"/>
          <w:u w:val="single"/>
          <w:rtl/>
        </w:rPr>
        <w:t>בעל שרוצה ל</w:t>
      </w:r>
      <w:r w:rsidRPr="000C4173">
        <w:rPr>
          <w:rFonts w:cs="Arial" w:hint="cs"/>
          <w:u w:val="single"/>
          <w:rtl/>
        </w:rPr>
        <w:t>משכן מטלטלין של אשתו:</w:t>
      </w:r>
    </w:p>
    <w:p w14:paraId="7203E498" w14:textId="77777777" w:rsidR="002E5BAD" w:rsidRDefault="002E5BAD" w:rsidP="002E5BAD">
      <w:pPr>
        <w:pStyle w:val="ab"/>
        <w:numPr>
          <w:ilvl w:val="0"/>
          <w:numId w:val="186"/>
        </w:numPr>
        <w:rPr>
          <w:rFonts w:cs="Arial"/>
        </w:rPr>
      </w:pPr>
      <w:r w:rsidRPr="000C4173">
        <w:rPr>
          <w:rFonts w:cs="Arial"/>
          <w:rtl/>
        </w:rPr>
        <w:lastRenderedPageBreak/>
        <w:t>מרדכי</w:t>
      </w:r>
      <w:r>
        <w:rPr>
          <w:rStyle w:val="a7"/>
          <w:rFonts w:cs="Arial"/>
          <w:rtl/>
        </w:rPr>
        <w:footnoteReference w:id="2062"/>
      </w:r>
      <w:r w:rsidRPr="000C4173">
        <w:rPr>
          <w:rFonts w:cs="Arial"/>
          <w:rtl/>
        </w:rPr>
        <w:t xml:space="preserve"> </w:t>
      </w:r>
      <w:r w:rsidRPr="000C4173">
        <w:rPr>
          <w:rFonts w:cs="Arial" w:hint="cs"/>
          <w:sz w:val="16"/>
          <w:szCs w:val="16"/>
          <w:rtl/>
        </w:rPr>
        <w:t>(</w:t>
      </w:r>
      <w:r w:rsidRPr="000C4173">
        <w:rPr>
          <w:rFonts w:cs="Arial"/>
          <w:sz w:val="16"/>
          <w:szCs w:val="16"/>
          <w:rtl/>
        </w:rPr>
        <w:t>ס"פ האומנים ב"מ סי' שסד)</w:t>
      </w:r>
      <w:r w:rsidRPr="003509BC">
        <w:rPr>
          <w:rFonts w:cs="Arial"/>
          <w:rtl/>
        </w:rPr>
        <w:t xml:space="preserve"> </w:t>
      </w:r>
      <w:r>
        <w:rPr>
          <w:rFonts w:cs="Arial" w:hint="cs"/>
          <w:rtl/>
        </w:rPr>
        <w:t>ו</w:t>
      </w:r>
      <w:r w:rsidRPr="000C4173">
        <w:rPr>
          <w:rFonts w:cs="Arial"/>
          <w:rtl/>
        </w:rPr>
        <w:t>מצאתי כתו</w:t>
      </w:r>
      <w:r>
        <w:rPr>
          <w:rFonts w:cs="Arial" w:hint="cs"/>
          <w:rtl/>
        </w:rPr>
        <w:t>ב</w:t>
      </w:r>
      <w:r>
        <w:rPr>
          <w:rStyle w:val="a7"/>
          <w:rFonts w:cs="Arial"/>
          <w:rtl/>
        </w:rPr>
        <w:footnoteReference w:id="2063"/>
      </w:r>
      <w:r>
        <w:rPr>
          <w:rFonts w:cs="Arial" w:hint="cs"/>
          <w:sz w:val="16"/>
          <w:szCs w:val="16"/>
          <w:rtl/>
        </w:rPr>
        <w:t xml:space="preserve"> (כ"כ הב"י בשם מצאתי כתוב)</w:t>
      </w:r>
      <w:r w:rsidRPr="000C4173">
        <w:rPr>
          <w:rFonts w:cs="Arial" w:hint="cs"/>
          <w:rtl/>
        </w:rPr>
        <w:t xml:space="preserve">- </w:t>
      </w:r>
      <w:r w:rsidRPr="000C4173">
        <w:rPr>
          <w:rFonts w:cs="Arial"/>
          <w:rtl/>
        </w:rPr>
        <w:t xml:space="preserve">אין אדם </w:t>
      </w:r>
      <w:r>
        <w:rPr>
          <w:rFonts w:cs="Arial" w:hint="cs"/>
          <w:rtl/>
        </w:rPr>
        <w:t>רשאי</w:t>
      </w:r>
      <w:r w:rsidRPr="000C4173">
        <w:rPr>
          <w:rFonts w:cs="Arial"/>
          <w:rtl/>
        </w:rPr>
        <w:t xml:space="preserve"> למשכן בגדי אשתו</w:t>
      </w:r>
      <w:r>
        <w:rPr>
          <w:rFonts w:cs="Arial" w:hint="cs"/>
          <w:sz w:val="16"/>
          <w:szCs w:val="16"/>
          <w:rtl/>
        </w:rPr>
        <w:t xml:space="preserve"> (ל' המרדכי)</w:t>
      </w:r>
      <w:r w:rsidRPr="000C4173">
        <w:rPr>
          <w:rFonts w:cs="Arial"/>
          <w:rtl/>
        </w:rPr>
        <w:t>.</w:t>
      </w:r>
      <w:r w:rsidRPr="003509BC">
        <w:rPr>
          <w:rFonts w:cs="Arial"/>
          <w:rtl/>
        </w:rPr>
        <w:t xml:space="preserve"> </w:t>
      </w:r>
      <w:r>
        <w:rPr>
          <w:rFonts w:cs="Arial" w:hint="cs"/>
          <w:rtl/>
        </w:rPr>
        <w:t xml:space="preserve">ואם משכן - </w:t>
      </w:r>
      <w:r w:rsidRPr="000C4173">
        <w:rPr>
          <w:rFonts w:cs="Arial"/>
          <w:rtl/>
        </w:rPr>
        <w:t>דין הוא שיחזיר לה</w:t>
      </w:r>
      <w:r>
        <w:rPr>
          <w:rFonts w:cs="Arial" w:hint="cs"/>
          <w:rtl/>
        </w:rPr>
        <w:t xml:space="preserve"> </w:t>
      </w:r>
      <w:r>
        <w:rPr>
          <w:rFonts w:cs="Arial" w:hint="cs"/>
          <w:sz w:val="16"/>
          <w:szCs w:val="16"/>
          <w:rtl/>
        </w:rPr>
        <w:t>{המלוה}</w:t>
      </w:r>
      <w:r w:rsidRPr="000C4173">
        <w:rPr>
          <w:rFonts w:cs="Arial"/>
          <w:rtl/>
        </w:rPr>
        <w:t xml:space="preserve"> אם תשבע דשלא מדעתה לוה בעלה עליהם</w:t>
      </w:r>
      <w:r>
        <w:rPr>
          <w:rFonts w:cs="Arial" w:hint="cs"/>
          <w:sz w:val="16"/>
          <w:szCs w:val="16"/>
          <w:rtl/>
        </w:rPr>
        <w:t xml:space="preserve"> (ל' הב"י בשם מצאתי כתוב)</w:t>
      </w:r>
      <w:r>
        <w:rPr>
          <w:rFonts w:cs="Arial" w:hint="cs"/>
          <w:rtl/>
        </w:rPr>
        <w:t>.</w:t>
      </w:r>
      <w:r w:rsidRPr="000C4173">
        <w:rPr>
          <w:rFonts w:cs="Arial"/>
          <w:rtl/>
        </w:rPr>
        <w:t xml:space="preserve"> </w:t>
      </w:r>
    </w:p>
    <w:p w14:paraId="1A6599ED" w14:textId="77777777" w:rsidR="002E5BAD" w:rsidRPr="003509BC" w:rsidRDefault="002E5BAD" w:rsidP="002E5BAD">
      <w:pPr>
        <w:pStyle w:val="ab"/>
        <w:numPr>
          <w:ilvl w:val="0"/>
          <w:numId w:val="186"/>
        </w:numPr>
        <w:rPr>
          <w:rFonts w:cs="Arial"/>
        </w:rPr>
      </w:pPr>
      <w:r w:rsidRPr="00977B18">
        <w:rPr>
          <w:rFonts w:cs="Arial"/>
          <w:rtl/>
        </w:rPr>
        <w:t xml:space="preserve">רשב"א </w:t>
      </w:r>
      <w:r w:rsidRPr="00977B18">
        <w:rPr>
          <w:rFonts w:cs="Arial"/>
          <w:sz w:val="16"/>
          <w:szCs w:val="16"/>
          <w:rtl/>
        </w:rPr>
        <w:t>(ח"ב סי' רפו</w:t>
      </w:r>
      <w:r>
        <w:rPr>
          <w:rFonts w:cs="Arial" w:hint="cs"/>
          <w:sz w:val="16"/>
          <w:szCs w:val="16"/>
          <w:rtl/>
        </w:rPr>
        <w:t>, הביאה הב"י בס"ס עג</w:t>
      </w:r>
      <w:r w:rsidRPr="00977B18">
        <w:rPr>
          <w:rFonts w:cs="Arial"/>
          <w:sz w:val="16"/>
          <w:szCs w:val="16"/>
          <w:rtl/>
        </w:rPr>
        <w:t>)</w:t>
      </w:r>
      <w:r>
        <w:rPr>
          <w:rFonts w:cs="Arial" w:hint="cs"/>
          <w:rtl/>
        </w:rPr>
        <w:t>-</w:t>
      </w:r>
      <w:r w:rsidRPr="00977B18">
        <w:rPr>
          <w:rFonts w:cs="Arial"/>
          <w:rtl/>
        </w:rPr>
        <w:t xml:space="preserve"> עוד שאלת מי שלוה מעות על כסות אשתו ואבדם בקוביא. מהו שתוכל האשה להוציא כסותה מיד המלוה בלא כלום ולומר שהבעל הוציאו מביתה שלא מדעתה</w:t>
      </w:r>
      <w:r>
        <w:rPr>
          <w:rFonts w:cs="Arial" w:hint="cs"/>
          <w:rtl/>
        </w:rPr>
        <w:t>.</w:t>
      </w:r>
      <w:r w:rsidRPr="00977B18">
        <w:rPr>
          <w:rFonts w:cs="Arial"/>
          <w:rtl/>
        </w:rPr>
        <w:t xml:space="preserve"> תשובה</w:t>
      </w:r>
      <w:r>
        <w:rPr>
          <w:rFonts w:cs="Arial" w:hint="cs"/>
          <w:rtl/>
        </w:rPr>
        <w:t>-</w:t>
      </w:r>
      <w:r w:rsidRPr="00977B18">
        <w:rPr>
          <w:rFonts w:cs="Arial"/>
          <w:rtl/>
        </w:rPr>
        <w:t xml:space="preserve"> ומאן לימ</w:t>
      </w:r>
      <w:r>
        <w:rPr>
          <w:rFonts w:cs="Arial" w:hint="cs"/>
          <w:rtl/>
        </w:rPr>
        <w:t>א</w:t>
      </w:r>
      <w:r w:rsidRPr="00977B18">
        <w:rPr>
          <w:rFonts w:cs="Arial"/>
          <w:rtl/>
        </w:rPr>
        <w:t xml:space="preserve"> לן שאין הבעל יכול למכור ולמשכן כסות אשתו ובניו שלא מדעתם. דמה ששנינו </w:t>
      </w:r>
      <w:r>
        <w:rPr>
          <w:rFonts w:cs="Arial" w:hint="cs"/>
          <w:rtl/>
        </w:rPr>
        <w:t xml:space="preserve">(ערכין כד.) </w:t>
      </w:r>
      <w:r w:rsidRPr="00977B18">
        <w:rPr>
          <w:rFonts w:cs="Arial"/>
          <w:rtl/>
        </w:rPr>
        <w:t>אחד המקדיש את נכסיו ואחד המעריך עצמו אין לו בכסות אשתו ולא בכסות בניו</w:t>
      </w:r>
      <w:r>
        <w:rPr>
          <w:rFonts w:cs="Arial" w:hint="cs"/>
          <w:rtl/>
        </w:rPr>
        <w:t xml:space="preserve"> </w:t>
      </w:r>
      <w:r>
        <w:rPr>
          <w:rFonts w:cs="Arial" w:hint="cs"/>
          <w:sz w:val="16"/>
          <w:szCs w:val="16"/>
          <w:rtl/>
        </w:rPr>
        <w:t>{והאריך הרשב"א בדבר}</w:t>
      </w:r>
      <w:r>
        <w:rPr>
          <w:rFonts w:cs="Arial" w:hint="cs"/>
          <w:rtl/>
        </w:rPr>
        <w:t>...</w:t>
      </w:r>
      <w:r w:rsidRPr="001850B5">
        <w:rPr>
          <w:rFonts w:cs="Arial"/>
          <w:rtl/>
        </w:rPr>
        <w:t xml:space="preserve"> ומכל מקום נראה שלא הקנה לאשתו אלא אדעתא למיקם קמיה</w:t>
      </w:r>
      <w:r>
        <w:rPr>
          <w:rFonts w:cs="Arial" w:hint="cs"/>
          <w:rtl/>
        </w:rPr>
        <w:t>,</w:t>
      </w:r>
      <w:r w:rsidRPr="001850B5">
        <w:rPr>
          <w:rFonts w:cs="Arial"/>
          <w:rtl/>
        </w:rPr>
        <w:t xml:space="preserve"> אדעתא למשקל ומיפק לא אקני ליה. וכ"ש בנדון שלפנינו דמאן לימא לן דלא אפקיה מדעתה למשכוניה משום רוח ביתא. ועוד דשפיר קאמרת דאף בזה יש משום תקנת השוק. דאפילו במשכנתא דגזלן עשו תקנת השוק. וכל שכן בבעל בכסות אשתו</w:t>
      </w:r>
      <w:r>
        <w:rPr>
          <w:rStyle w:val="a7"/>
          <w:rFonts w:cs="Arial"/>
          <w:rtl/>
        </w:rPr>
        <w:footnoteReference w:id="2064"/>
      </w:r>
      <w:r w:rsidRPr="001850B5">
        <w:rPr>
          <w:rFonts w:cs="Arial"/>
          <w:rtl/>
        </w:rPr>
        <w:t>.</w:t>
      </w:r>
      <w:r>
        <w:rPr>
          <w:rFonts w:cs="Arial" w:hint="cs"/>
          <w:rtl/>
        </w:rPr>
        <w:t xml:space="preserve"> </w:t>
      </w:r>
      <w:r w:rsidRPr="00763570">
        <w:rPr>
          <w:rFonts w:cs="Arial" w:hint="cs"/>
          <w:color w:val="E36C0A" w:themeColor="accent6" w:themeShade="BF"/>
          <w:rtl/>
        </w:rPr>
        <w:t>(וכ"פ בשו"ע</w:t>
      </w:r>
      <w:r>
        <w:rPr>
          <w:rFonts w:cs="Arial" w:hint="cs"/>
          <w:color w:val="E36C0A" w:themeColor="accent6" w:themeShade="BF"/>
          <w:sz w:val="16"/>
          <w:szCs w:val="16"/>
          <w:rtl/>
        </w:rPr>
        <w:t xml:space="preserve"> </w:t>
      </w:r>
      <w:r w:rsidRPr="001850B5">
        <w:rPr>
          <w:rFonts w:cs="Arial" w:hint="cs"/>
          <w:color w:val="000000" w:themeColor="text1"/>
          <w:sz w:val="16"/>
          <w:szCs w:val="16"/>
          <w:rtl/>
        </w:rPr>
        <w:t>[</w:t>
      </w:r>
      <w:r>
        <w:rPr>
          <w:rFonts w:cs="Arial" w:hint="cs"/>
          <w:color w:val="000000" w:themeColor="text1"/>
          <w:sz w:val="16"/>
          <w:szCs w:val="16"/>
          <w:rtl/>
        </w:rPr>
        <w:t>בסי' עג ס"ט</w:t>
      </w:r>
      <w:r w:rsidRPr="001850B5">
        <w:rPr>
          <w:rFonts w:cs="Arial" w:hint="cs"/>
          <w:color w:val="000000" w:themeColor="text1"/>
          <w:sz w:val="16"/>
          <w:szCs w:val="16"/>
          <w:rtl/>
        </w:rPr>
        <w:t>]</w:t>
      </w:r>
      <w:r w:rsidRPr="00763570">
        <w:rPr>
          <w:rFonts w:cs="Arial" w:hint="cs"/>
          <w:color w:val="E36C0A" w:themeColor="accent6" w:themeShade="BF"/>
          <w:rtl/>
        </w:rPr>
        <w:t>)</w:t>
      </w:r>
    </w:p>
    <w:p w14:paraId="46CED291" w14:textId="77777777" w:rsidR="002E5BAD" w:rsidRPr="002A1BC2" w:rsidRDefault="002E5BAD" w:rsidP="002E5BAD">
      <w:pPr>
        <w:rPr>
          <w:u w:val="single"/>
          <w:rtl/>
        </w:rPr>
      </w:pPr>
      <w:r w:rsidRPr="002A1BC2">
        <w:rPr>
          <w:rFonts w:hint="cs"/>
          <w:u w:val="single"/>
          <w:rtl/>
        </w:rPr>
        <w:t>אשה שקיבלה מחמיה לאחר שנישאת את הבגדים</w:t>
      </w:r>
      <w:r>
        <w:rPr>
          <w:rFonts w:hint="cs"/>
          <w:u w:val="single"/>
          <w:rtl/>
        </w:rPr>
        <w:t>/</w:t>
      </w:r>
      <w:r w:rsidRPr="002A1BC2">
        <w:rPr>
          <w:rFonts w:hint="cs"/>
          <w:u w:val="single"/>
          <w:rtl/>
        </w:rPr>
        <w:t xml:space="preserve">התכשיטים שהסכימו עליהם בשידוכין </w:t>
      </w:r>
      <w:r w:rsidRPr="002A1BC2">
        <w:rPr>
          <w:u w:val="single"/>
          <w:rtl/>
        </w:rPr>
        <w:t>–</w:t>
      </w:r>
      <w:r w:rsidRPr="002A1BC2">
        <w:rPr>
          <w:rFonts w:hint="cs"/>
          <w:u w:val="single"/>
          <w:rtl/>
        </w:rPr>
        <w:t xml:space="preserve"> מה דינם למכירה/למשכון:</w:t>
      </w:r>
    </w:p>
    <w:p w14:paraId="0770EABB" w14:textId="77777777" w:rsidR="002E5BAD" w:rsidRDefault="002E5BAD" w:rsidP="002E5BAD">
      <w:pPr>
        <w:pStyle w:val="ab"/>
        <w:numPr>
          <w:ilvl w:val="0"/>
          <w:numId w:val="186"/>
        </w:numPr>
        <w:rPr>
          <w:rFonts w:cs="Arial"/>
        </w:rPr>
      </w:pPr>
      <w:r w:rsidRPr="0070305D">
        <w:rPr>
          <w:rFonts w:cs="Arial"/>
          <w:rtl/>
        </w:rPr>
        <w:t xml:space="preserve">רשב"א </w:t>
      </w:r>
      <w:r w:rsidRPr="0070305D">
        <w:rPr>
          <w:rFonts w:cs="Arial"/>
          <w:sz w:val="16"/>
          <w:szCs w:val="16"/>
          <w:rtl/>
        </w:rPr>
        <w:t>(ח"א סי</w:t>
      </w:r>
      <w:r w:rsidRPr="0070305D">
        <w:rPr>
          <w:rFonts w:cs="Arial" w:hint="cs"/>
          <w:sz w:val="16"/>
          <w:szCs w:val="16"/>
          <w:rtl/>
        </w:rPr>
        <w:t>'</w:t>
      </w:r>
      <w:r w:rsidRPr="0070305D">
        <w:rPr>
          <w:rFonts w:cs="Arial"/>
          <w:sz w:val="16"/>
          <w:szCs w:val="16"/>
          <w:rtl/>
        </w:rPr>
        <w:t xml:space="preserve"> תתקלו</w:t>
      </w:r>
      <w:r w:rsidRPr="0070305D">
        <w:rPr>
          <w:rFonts w:cs="Arial" w:hint="cs"/>
          <w:sz w:val="16"/>
          <w:szCs w:val="16"/>
          <w:rtl/>
        </w:rPr>
        <w:t>)</w:t>
      </w:r>
      <w:r w:rsidRPr="0070305D">
        <w:rPr>
          <w:rFonts w:cs="Arial" w:hint="cs"/>
          <w:rtl/>
        </w:rPr>
        <w:t>-</w:t>
      </w:r>
      <w:r w:rsidRPr="0070305D">
        <w:rPr>
          <w:rFonts w:cs="Arial"/>
          <w:rtl/>
        </w:rPr>
        <w:t xml:space="preserve"> </w:t>
      </w:r>
      <w:r w:rsidRPr="00D9753C">
        <w:rPr>
          <w:rFonts w:cs="Arial"/>
          <w:rtl/>
        </w:rPr>
        <w:t>שאלת עוד</w:t>
      </w:r>
      <w:r>
        <w:rPr>
          <w:rFonts w:cs="Arial" w:hint="cs"/>
          <w:rtl/>
        </w:rPr>
        <w:t>,</w:t>
      </w:r>
      <w:r w:rsidRPr="00D9753C">
        <w:rPr>
          <w:rFonts w:cs="Arial"/>
          <w:rtl/>
        </w:rPr>
        <w:t xml:space="preserve"> ראובן השיא בתו לבן שמעון. והתנה ראובן עם שמעון שרוצין שיעשה שמעון לכלתו </w:t>
      </w:r>
      <w:r>
        <w:rPr>
          <w:rFonts w:cs="Arial" w:hint="cs"/>
          <w:rtl/>
        </w:rPr>
        <w:t>ב</w:t>
      </w:r>
      <w:r w:rsidRPr="00D9753C">
        <w:rPr>
          <w:rFonts w:cs="Arial"/>
          <w:rtl/>
        </w:rPr>
        <w:t>גדים ותכשיטין ידועין בשעת נשואין</w:t>
      </w:r>
      <w:r>
        <w:rPr>
          <w:rFonts w:cs="Arial" w:hint="cs"/>
          <w:rtl/>
        </w:rPr>
        <w:t>,</w:t>
      </w:r>
      <w:r w:rsidRPr="00D9753C">
        <w:rPr>
          <w:rFonts w:cs="Arial"/>
          <w:rtl/>
        </w:rPr>
        <w:t xml:space="preserve"> ועשה אותם. לאחר נשואין רצה הבעל למכור המלבושין והתכשיטין שעשה אביו</w:t>
      </w:r>
      <w:r>
        <w:rPr>
          <w:rFonts w:cs="Arial" w:hint="cs"/>
          <w:rtl/>
        </w:rPr>
        <w:t>,</w:t>
      </w:r>
      <w:r w:rsidRPr="00D9753C">
        <w:rPr>
          <w:rFonts w:cs="Arial"/>
          <w:rtl/>
        </w:rPr>
        <w:t xml:space="preserve"> אם יכולה האשה למחות בידו אם לא?</w:t>
      </w:r>
      <w:r>
        <w:rPr>
          <w:rFonts w:cs="Arial" w:hint="cs"/>
          <w:rtl/>
        </w:rPr>
        <w:t>.</w:t>
      </w:r>
      <w:r w:rsidRPr="00D9753C">
        <w:rPr>
          <w:rFonts w:cs="Arial"/>
          <w:rtl/>
        </w:rPr>
        <w:t xml:space="preserve"> תשובה</w:t>
      </w:r>
      <w:r>
        <w:rPr>
          <w:rFonts w:cs="Arial" w:hint="cs"/>
          <w:rtl/>
        </w:rPr>
        <w:t>-</w:t>
      </w:r>
      <w:r w:rsidRPr="00D9753C">
        <w:rPr>
          <w:rFonts w:cs="Arial"/>
          <w:rtl/>
        </w:rPr>
        <w:t xml:space="preserve"> איברא יכולה היא למחות</w:t>
      </w:r>
      <w:r>
        <w:rPr>
          <w:rFonts w:cs="Arial" w:hint="cs"/>
          <w:rtl/>
        </w:rPr>
        <w:t>,</w:t>
      </w:r>
      <w:r w:rsidRPr="00D9753C">
        <w:rPr>
          <w:rFonts w:cs="Arial"/>
          <w:rtl/>
        </w:rPr>
        <w:t xml:space="preserve"> שהרי שמעון חמיה נתנם לה</w:t>
      </w:r>
      <w:r>
        <w:rPr>
          <w:rFonts w:cs="Arial" w:hint="cs"/>
          <w:rtl/>
        </w:rPr>
        <w:t>,</w:t>
      </w:r>
      <w:r w:rsidRPr="00D9753C">
        <w:rPr>
          <w:rFonts w:cs="Arial"/>
          <w:rtl/>
        </w:rPr>
        <w:t xml:space="preserve"> ובתנאי זה נשאת לבנו. אם כן כיון שעשאן לה</w:t>
      </w:r>
      <w:r>
        <w:rPr>
          <w:rFonts w:cs="Arial" w:hint="cs"/>
          <w:rtl/>
        </w:rPr>
        <w:t>,</w:t>
      </w:r>
      <w:r w:rsidRPr="00D9753C">
        <w:rPr>
          <w:rFonts w:cs="Arial"/>
          <w:rtl/>
        </w:rPr>
        <w:t xml:space="preserve"> כבר זכתה היא ואין הבעל יכול למכור אותן ולא למשכנן</w:t>
      </w:r>
      <w:r w:rsidRPr="00D9753C">
        <w:rPr>
          <w:rFonts w:cs="Arial" w:hint="cs"/>
          <w:rtl/>
        </w:rPr>
        <w:t>.</w:t>
      </w:r>
    </w:p>
    <w:p w14:paraId="11E9CA8C" w14:textId="77777777" w:rsidR="002E5BAD" w:rsidRPr="00D9753C" w:rsidRDefault="002E5BAD" w:rsidP="002E5BAD">
      <w:pPr>
        <w:ind w:left="360"/>
        <w:rPr>
          <w:rFonts w:cs="Arial"/>
          <w:u w:val="dotted"/>
        </w:rPr>
      </w:pPr>
      <w:r w:rsidRPr="00D9753C">
        <w:rPr>
          <w:rFonts w:cs="Arial" w:hint="cs"/>
          <w:u w:val="dotted"/>
          <w:rtl/>
        </w:rPr>
        <w:t>ומה הדין אם הבעל מכר/משכן אותם</w:t>
      </w:r>
      <w:r>
        <w:rPr>
          <w:rFonts w:cs="Arial" w:hint="cs"/>
          <w:u w:val="dotted"/>
          <w:rtl/>
        </w:rPr>
        <w:t>:</w:t>
      </w:r>
    </w:p>
    <w:p w14:paraId="510C22B1" w14:textId="77777777" w:rsidR="002E5BAD" w:rsidRPr="00D9753C" w:rsidRDefault="002E5BAD" w:rsidP="002E5BAD">
      <w:pPr>
        <w:pStyle w:val="ab"/>
        <w:numPr>
          <w:ilvl w:val="0"/>
          <w:numId w:val="186"/>
        </w:numPr>
        <w:rPr>
          <w:rFonts w:cs="Arial"/>
          <w:rtl/>
        </w:rPr>
      </w:pPr>
      <w:r w:rsidRPr="0070305D">
        <w:rPr>
          <w:rFonts w:cs="Arial"/>
          <w:rtl/>
        </w:rPr>
        <w:t xml:space="preserve">רשב"א </w:t>
      </w:r>
      <w:r w:rsidRPr="0070305D">
        <w:rPr>
          <w:rFonts w:cs="Arial"/>
          <w:sz w:val="16"/>
          <w:szCs w:val="16"/>
          <w:rtl/>
        </w:rPr>
        <w:t>(</w:t>
      </w:r>
      <w:r>
        <w:rPr>
          <w:rFonts w:cs="Arial" w:hint="cs"/>
          <w:sz w:val="16"/>
          <w:szCs w:val="16"/>
          <w:rtl/>
        </w:rPr>
        <w:t>שם</w:t>
      </w:r>
      <w:r w:rsidRPr="0070305D">
        <w:rPr>
          <w:rFonts w:cs="Arial"/>
          <w:sz w:val="16"/>
          <w:szCs w:val="16"/>
          <w:rtl/>
        </w:rPr>
        <w:t xml:space="preserve"> סי</w:t>
      </w:r>
      <w:r w:rsidRPr="0070305D">
        <w:rPr>
          <w:rFonts w:cs="Arial" w:hint="cs"/>
          <w:sz w:val="16"/>
          <w:szCs w:val="16"/>
          <w:rtl/>
        </w:rPr>
        <w:t>'</w:t>
      </w:r>
      <w:r w:rsidRPr="0070305D">
        <w:rPr>
          <w:rFonts w:cs="Arial"/>
          <w:sz w:val="16"/>
          <w:szCs w:val="16"/>
          <w:rtl/>
        </w:rPr>
        <w:t xml:space="preserve"> תתקל</w:t>
      </w:r>
      <w:r>
        <w:rPr>
          <w:rFonts w:cs="Arial" w:hint="cs"/>
          <w:sz w:val="16"/>
          <w:szCs w:val="16"/>
          <w:rtl/>
        </w:rPr>
        <w:t>ז</w:t>
      </w:r>
      <w:r w:rsidRPr="0070305D">
        <w:rPr>
          <w:rFonts w:cs="Arial" w:hint="cs"/>
          <w:sz w:val="16"/>
          <w:szCs w:val="16"/>
          <w:rtl/>
        </w:rPr>
        <w:t>)</w:t>
      </w:r>
      <w:r w:rsidRPr="0070305D">
        <w:rPr>
          <w:rFonts w:cs="Arial" w:hint="cs"/>
          <w:rtl/>
        </w:rPr>
        <w:t>-</w:t>
      </w:r>
      <w:r w:rsidRPr="0070305D">
        <w:rPr>
          <w:rFonts w:cs="Arial"/>
          <w:rtl/>
        </w:rPr>
        <w:t xml:space="preserve"> </w:t>
      </w:r>
      <w:r w:rsidRPr="00D9753C">
        <w:rPr>
          <w:rFonts w:cs="Arial"/>
          <w:rtl/>
        </w:rPr>
        <w:t>שאלת עוד</w:t>
      </w:r>
      <w:r>
        <w:rPr>
          <w:rFonts w:cs="Arial" w:hint="cs"/>
          <w:rtl/>
        </w:rPr>
        <w:t>,</w:t>
      </w:r>
      <w:r w:rsidRPr="00D9753C">
        <w:rPr>
          <w:rFonts w:cs="Arial"/>
          <w:rtl/>
        </w:rPr>
        <w:t xml:space="preserve"> אם מכרן הבעל שלא מדעת</w:t>
      </w:r>
      <w:r>
        <w:rPr>
          <w:rFonts w:cs="Arial" w:hint="cs"/>
          <w:rtl/>
        </w:rPr>
        <w:t>,</w:t>
      </w:r>
      <w:r w:rsidRPr="00D9753C">
        <w:rPr>
          <w:rFonts w:cs="Arial"/>
          <w:rtl/>
        </w:rPr>
        <w:t xml:space="preserve"> אם כופין אותו בית דין לעשות לה מלבושין ותכשיטין אחרים כמותן או שיתן לה דמיהן?</w:t>
      </w:r>
      <w:r>
        <w:rPr>
          <w:rFonts w:cs="Arial" w:hint="cs"/>
          <w:rtl/>
        </w:rPr>
        <w:t>.</w:t>
      </w:r>
      <w:r w:rsidRPr="00D9753C">
        <w:rPr>
          <w:rFonts w:cs="Arial"/>
          <w:rtl/>
        </w:rPr>
        <w:t xml:space="preserve"> תשובה</w:t>
      </w:r>
      <w:r>
        <w:rPr>
          <w:rFonts w:cs="Arial" w:hint="cs"/>
          <w:rtl/>
        </w:rPr>
        <w:t>-</w:t>
      </w:r>
      <w:r w:rsidRPr="00D9753C">
        <w:rPr>
          <w:rFonts w:cs="Arial"/>
          <w:rtl/>
        </w:rPr>
        <w:t xml:space="preserve"> אם הבעל מודה שמכרן שלא ברשותה </w:t>
      </w:r>
      <w:r>
        <w:rPr>
          <w:rFonts w:cs="Arial" w:hint="cs"/>
          <w:rtl/>
        </w:rPr>
        <w:t xml:space="preserve">- </w:t>
      </w:r>
      <w:r w:rsidRPr="00D9753C">
        <w:rPr>
          <w:rFonts w:cs="Arial"/>
          <w:rtl/>
        </w:rPr>
        <w:t>בית דין כופין אותו לעשות לו אחרים כמותן או שיתן לה דמיהן</w:t>
      </w:r>
      <w:r>
        <w:rPr>
          <w:rFonts w:cs="Arial" w:hint="cs"/>
          <w:rtl/>
        </w:rPr>
        <w:t xml:space="preserve"> </w:t>
      </w:r>
      <w:r w:rsidRPr="00D9753C">
        <w:rPr>
          <w:rFonts w:cs="Arial"/>
          <w:rtl/>
        </w:rPr>
        <w:t>והיא תקנה</w:t>
      </w:r>
      <w:r>
        <w:rPr>
          <w:rFonts w:cs="Arial" w:hint="cs"/>
          <w:rtl/>
        </w:rPr>
        <w:t>,</w:t>
      </w:r>
      <w:r w:rsidRPr="00D9753C">
        <w:rPr>
          <w:rFonts w:cs="Arial"/>
          <w:rtl/>
        </w:rPr>
        <w:t xml:space="preserve"> שרוצה האשה לבלות תכשיטיה ויעמדו בידיה להשתעשע בהן בשעה שדרך בנות ישראל להתקשט בתכשיטיהן. אבל אם אינו מודה אלא שאומר שברשותה מכרן</w:t>
      </w:r>
      <w:r>
        <w:rPr>
          <w:rFonts w:cs="Arial" w:hint="cs"/>
          <w:rtl/>
        </w:rPr>
        <w:t>,</w:t>
      </w:r>
      <w:r w:rsidRPr="00D9753C">
        <w:rPr>
          <w:rFonts w:cs="Arial"/>
          <w:rtl/>
        </w:rPr>
        <w:t xml:space="preserve"> אי נמי שלא ברשותה ונתתי לה המעות </w:t>
      </w:r>
      <w:r>
        <w:rPr>
          <w:rFonts w:cs="Arial" w:hint="cs"/>
          <w:rtl/>
        </w:rPr>
        <w:t xml:space="preserve">- </w:t>
      </w:r>
      <w:r w:rsidRPr="00D9753C">
        <w:rPr>
          <w:rFonts w:cs="Arial"/>
          <w:rtl/>
        </w:rPr>
        <w:t>נאמן בשבועת היסת.</w:t>
      </w:r>
    </w:p>
    <w:p w14:paraId="599BC53A" w14:textId="77777777" w:rsidR="002E5BAD" w:rsidRPr="00425534" w:rsidRDefault="002E5BAD" w:rsidP="002E5BAD">
      <w:pPr>
        <w:rPr>
          <w:rFonts w:cs="Arial"/>
        </w:rPr>
      </w:pPr>
      <w:r w:rsidRPr="00D274FD">
        <w:rPr>
          <w:rFonts w:cs="Arial"/>
          <w:u w:val="single"/>
          <w:rtl/>
        </w:rPr>
        <w:t>ישראל גבה קרקע מ</w:t>
      </w:r>
      <w:r w:rsidRPr="00D274FD">
        <w:rPr>
          <w:rFonts w:cs="Arial" w:hint="cs"/>
          <w:u w:val="single"/>
          <w:rtl/>
        </w:rPr>
        <w:t>גוי</w:t>
      </w:r>
      <w:r w:rsidRPr="00D274FD">
        <w:rPr>
          <w:rFonts w:cs="Arial"/>
          <w:u w:val="single"/>
          <w:rtl/>
        </w:rPr>
        <w:t xml:space="preserve"> בחובו</w:t>
      </w:r>
      <w:r>
        <w:rPr>
          <w:rFonts w:cs="Arial" w:hint="cs"/>
          <w:u w:val="single"/>
          <w:rtl/>
        </w:rPr>
        <w:t xml:space="preserve"> </w:t>
      </w:r>
      <w:r w:rsidRPr="00951C0F">
        <w:rPr>
          <w:rFonts w:cs="Arial" w:hint="cs"/>
          <w:sz w:val="16"/>
          <w:szCs w:val="16"/>
          <w:u w:val="single"/>
          <w:rtl/>
        </w:rPr>
        <w:t>(ואם ישלם לו יחזיר לו הקרקע</w:t>
      </w:r>
      <w:r>
        <w:rPr>
          <w:rFonts w:cs="Arial" w:hint="cs"/>
          <w:sz w:val="16"/>
          <w:szCs w:val="16"/>
          <w:u w:val="single"/>
          <w:rtl/>
        </w:rPr>
        <w:t>)</w:t>
      </w:r>
      <w:r>
        <w:rPr>
          <w:rFonts w:cs="Arial" w:hint="cs"/>
          <w:u w:val="single"/>
          <w:rtl/>
        </w:rPr>
        <w:t>, האם יכולה האשתו למנוע ממנו למכור לאחר</w:t>
      </w:r>
      <w:r w:rsidRPr="00425534">
        <w:rPr>
          <w:rFonts w:cs="Arial" w:hint="cs"/>
          <w:u w:val="single"/>
          <w:rtl/>
        </w:rPr>
        <w:t>:</w:t>
      </w:r>
      <w:r w:rsidRPr="00425534">
        <w:rPr>
          <w:rFonts w:cs="Arial"/>
          <w:rtl/>
        </w:rPr>
        <w:t xml:space="preserve"> </w:t>
      </w:r>
      <w:r w:rsidRPr="00425534">
        <w:rPr>
          <w:rFonts w:cs="Arial"/>
          <w:sz w:val="16"/>
          <w:szCs w:val="16"/>
          <w:rtl/>
        </w:rPr>
        <w:t>(</w:t>
      </w:r>
      <w:r w:rsidRPr="00425534">
        <w:rPr>
          <w:rFonts w:cs="Arial" w:hint="cs"/>
          <w:sz w:val="16"/>
          <w:szCs w:val="16"/>
          <w:rtl/>
        </w:rPr>
        <w:t xml:space="preserve">דרכ"מ אות </w:t>
      </w:r>
      <w:r w:rsidRPr="00425534">
        <w:rPr>
          <w:rFonts w:cs="Arial"/>
          <w:sz w:val="16"/>
          <w:szCs w:val="16"/>
          <w:rtl/>
        </w:rPr>
        <w:t>כ)</w:t>
      </w:r>
      <w:r w:rsidRPr="00425534">
        <w:rPr>
          <w:rFonts w:cs="Arial"/>
          <w:rtl/>
        </w:rPr>
        <w:t xml:space="preserve"> </w:t>
      </w:r>
    </w:p>
    <w:p w14:paraId="47EA359C" w14:textId="77777777" w:rsidR="002E5BAD" w:rsidRPr="00D274FD" w:rsidRDefault="002E5BAD" w:rsidP="002E5BAD">
      <w:pPr>
        <w:pStyle w:val="ab"/>
        <w:numPr>
          <w:ilvl w:val="0"/>
          <w:numId w:val="186"/>
        </w:numPr>
        <w:rPr>
          <w:rFonts w:cs="Arial"/>
          <w:rtl/>
        </w:rPr>
      </w:pPr>
      <w:r>
        <w:rPr>
          <w:rFonts w:cs="Arial" w:hint="cs"/>
          <w:rtl/>
        </w:rPr>
        <w:t xml:space="preserve">תרוה"ד </w:t>
      </w:r>
      <w:r w:rsidRPr="0020173F">
        <w:rPr>
          <w:rFonts w:cs="Arial" w:hint="cs"/>
          <w:sz w:val="16"/>
          <w:szCs w:val="16"/>
          <w:rtl/>
        </w:rPr>
        <w:t>(</w:t>
      </w:r>
      <w:r w:rsidRPr="0020173F">
        <w:rPr>
          <w:rFonts w:cs="Arial"/>
          <w:sz w:val="16"/>
          <w:szCs w:val="16"/>
          <w:rtl/>
        </w:rPr>
        <w:t>סי</w:t>
      </w:r>
      <w:r w:rsidRPr="0020173F">
        <w:rPr>
          <w:rFonts w:cs="Arial" w:hint="cs"/>
          <w:sz w:val="16"/>
          <w:szCs w:val="16"/>
          <w:rtl/>
        </w:rPr>
        <w:t>'</w:t>
      </w:r>
      <w:r w:rsidRPr="0020173F">
        <w:rPr>
          <w:rFonts w:cs="Arial"/>
          <w:sz w:val="16"/>
          <w:szCs w:val="16"/>
          <w:rtl/>
        </w:rPr>
        <w:t xml:space="preserve"> שלט</w:t>
      </w:r>
      <w:r w:rsidRPr="0020173F">
        <w:rPr>
          <w:rFonts w:cs="Arial" w:hint="cs"/>
          <w:sz w:val="16"/>
          <w:szCs w:val="16"/>
          <w:rtl/>
        </w:rPr>
        <w:t>)</w:t>
      </w:r>
      <w:r>
        <w:rPr>
          <w:rFonts w:cs="Arial" w:hint="cs"/>
          <w:rtl/>
        </w:rPr>
        <w:t>-</w:t>
      </w:r>
      <w:r w:rsidRPr="00843F99">
        <w:rPr>
          <w:rFonts w:cs="Arial"/>
          <w:rtl/>
        </w:rPr>
        <w:t xml:space="preserve"> </w:t>
      </w:r>
      <w:r w:rsidRPr="00D274FD">
        <w:rPr>
          <w:rFonts w:cs="Arial"/>
          <w:rtl/>
        </w:rPr>
        <w:t xml:space="preserve">שאלה: מנהג ודת הוא במדינה אחת שכל ישראל שמחזיק במשפט קרקעות של הנכרי לוה שלו הרי הוא כממונו למכור למי שירצה. אכן אם יבא הנכרי קודם שימכרו ויפרע לישראל המלוה כל חיובא וכל הוצאות שהוציא הישראל על השגת המשפט, צריך הישראל להחזיר לנכרי כל שטרי החוב ושטרי המשפט כך הוא החוק והמנהג. ועתה יש להסתפק אם בא הישראל לאחר שהחזיק הנכסים במשפט למכור לישראל חבירו כל כוחו וזכותו שיש לו באותן הנכסים, אם יכולה האשה לעכב בהן המכירה מחמת שיעבוד כתובה כגון בשאר קרקעות של הבעל או לאו. </w:t>
      </w:r>
      <w:r>
        <w:rPr>
          <w:rFonts w:cs="Arial"/>
          <w:rtl/>
        </w:rPr>
        <w:tab/>
      </w:r>
      <w:r>
        <w:rPr>
          <w:rFonts w:cs="Arial" w:hint="cs"/>
          <w:rtl/>
        </w:rPr>
        <w:t xml:space="preserve">  </w:t>
      </w:r>
      <w:r w:rsidRPr="00D274FD">
        <w:rPr>
          <w:rFonts w:cs="Arial"/>
          <w:rtl/>
        </w:rPr>
        <w:t>תשובה: יראה דאין יכולה לעכב</w:t>
      </w:r>
      <w:r>
        <w:rPr>
          <w:rFonts w:cs="Arial" w:hint="cs"/>
          <w:rtl/>
        </w:rPr>
        <w:t>,</w:t>
      </w:r>
      <w:r w:rsidRPr="00D274FD">
        <w:rPr>
          <w:rFonts w:cs="Arial"/>
          <w:rtl/>
        </w:rPr>
        <w:t xml:space="preserve"> כי אין דין מקרקעי לנכסים האילו הואיל ועדיין ביד הנכרי לפדות הנכסים ואין ביד הישראל לעכב, וא"כ הרי אילו כשאר חובות והלוואות שיוכל לישא וליתן בהן בכל אשר ירצה, ואין האשה יכולה לעכב בהו.</w:t>
      </w:r>
      <w:r>
        <w:rPr>
          <w:rFonts w:cs="Arial" w:hint="cs"/>
          <w:rtl/>
        </w:rPr>
        <w:t>.</w:t>
      </w:r>
      <w:r w:rsidRPr="00D274FD">
        <w:rPr>
          <w:rFonts w:cs="Arial"/>
          <w:rtl/>
        </w:rPr>
        <w:t>. אמנם נראה שאם החזיק הישראל כ"כ בקרקע הנכרי שהכניס בה פועלים לבנות ולנטוע לעבדה ולשמרה, או שהכניס דיורים בבתים וכה"ג איזה זמן, אע</w:t>
      </w:r>
      <w:r>
        <w:rPr>
          <w:rFonts w:cs="Arial" w:hint="cs"/>
          <w:rtl/>
        </w:rPr>
        <w:t>"</w:t>
      </w:r>
      <w:r w:rsidRPr="00D274FD">
        <w:rPr>
          <w:rFonts w:cs="Arial"/>
          <w:rtl/>
        </w:rPr>
        <w:t xml:space="preserve">פ </w:t>
      </w:r>
      <w:r w:rsidRPr="00D274FD">
        <w:rPr>
          <w:rFonts w:cs="Arial"/>
          <w:rtl/>
        </w:rPr>
        <w:lastRenderedPageBreak/>
        <w:t xml:space="preserve">שעדיין ביד הנכרי לפדות, מ"מ חשיב הקרקע כגבוי לישראל כל זמן שלא פדאה הנכרי, וכח שיעבוד כתובת האשה עליו. וראייה מהא דפ' כל שעה </w:t>
      </w:r>
      <w:r>
        <w:rPr>
          <w:rFonts w:cs="Arial" w:hint="cs"/>
          <w:rtl/>
        </w:rPr>
        <w:t>(</w:t>
      </w:r>
      <w:r w:rsidRPr="00D274FD">
        <w:rPr>
          <w:rFonts w:cs="Arial"/>
          <w:rtl/>
        </w:rPr>
        <w:t>פסחים לא</w:t>
      </w:r>
      <w:r>
        <w:rPr>
          <w:rFonts w:cs="Arial" w:hint="cs"/>
          <w:rtl/>
        </w:rPr>
        <w:t>.)...</w:t>
      </w:r>
      <w:r w:rsidRPr="00D274FD">
        <w:rPr>
          <w:rFonts w:cs="Arial"/>
          <w:rtl/>
        </w:rPr>
        <w:t xml:space="preserve"> </w:t>
      </w:r>
      <w:r>
        <w:rPr>
          <w:rFonts w:cs="Arial" w:hint="cs"/>
          <w:rtl/>
        </w:rPr>
        <w:t xml:space="preserve"> </w:t>
      </w:r>
    </w:p>
    <w:p w14:paraId="7F177EF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436E5C50" w14:textId="77777777" w:rsidR="002E5BAD" w:rsidRDefault="002E5BAD" w:rsidP="002E5BAD">
      <w:pPr>
        <w:rPr>
          <w:rFonts w:cs="Arial"/>
          <w:rtl/>
        </w:rPr>
      </w:pPr>
      <w:r w:rsidRPr="00EB79BF">
        <w:rPr>
          <w:rFonts w:cs="Arial"/>
          <w:rtl/>
        </w:rPr>
        <w:t>אין האיש רשאי למכור מטלטלין של נכסי צ</w:t>
      </w:r>
      <w:r>
        <w:rPr>
          <w:rFonts w:cs="Arial" w:hint="cs"/>
          <w:rtl/>
        </w:rPr>
        <w:t>אן ברזל</w:t>
      </w:r>
      <w:r w:rsidRPr="00EB79BF">
        <w:rPr>
          <w:rFonts w:cs="Arial"/>
          <w:rtl/>
        </w:rPr>
        <w:t>, ולא למשכנם</w:t>
      </w:r>
      <w:r>
        <w:rPr>
          <w:rFonts w:cs="Arial" w:hint="cs"/>
          <w:rtl/>
        </w:rPr>
        <w:t>.</w:t>
      </w:r>
      <w:r w:rsidRPr="00EB79BF">
        <w:rPr>
          <w:rFonts w:cs="Arial"/>
          <w:rtl/>
        </w:rPr>
        <w:t xml:space="preserve"> ואם מכרן או משכנן, מה שעשה עשוי</w:t>
      </w:r>
      <w:r>
        <w:rPr>
          <w:rStyle w:val="a7"/>
          <w:rFonts w:cs="Arial"/>
          <w:rtl/>
        </w:rPr>
        <w:footnoteReference w:id="2065"/>
      </w:r>
      <w:r w:rsidRPr="00EB79BF">
        <w:rPr>
          <w:rFonts w:cs="Arial"/>
          <w:rtl/>
        </w:rPr>
        <w:t xml:space="preserve">. </w:t>
      </w:r>
      <w:r w:rsidRPr="00FA43C3">
        <w:rPr>
          <w:rFonts w:cs="Arial"/>
          <w:sz w:val="18"/>
          <w:szCs w:val="18"/>
          <w:rtl/>
        </w:rPr>
        <w:t>הגה: וי"א דמכרו בטל</w:t>
      </w:r>
      <w:r>
        <w:rPr>
          <w:rFonts w:cs="Arial" w:hint="cs"/>
          <w:sz w:val="18"/>
          <w:szCs w:val="18"/>
          <w:rtl/>
        </w:rPr>
        <w:t xml:space="preserve"> (רמב"ן רשב"א רא"ש וטור)</w:t>
      </w:r>
      <w:r w:rsidRPr="00FA43C3">
        <w:rPr>
          <w:rFonts w:cs="Arial"/>
          <w:sz w:val="18"/>
          <w:szCs w:val="18"/>
          <w:rtl/>
        </w:rPr>
        <w:t>. ובגדי האשה שהכניסה לו אין להן דין צאן ברזל, רק נכסי מלוג, כמו שנתבאר לעיל סימן ע"ז, ולכן אם מכרן או משכנן, בטל לכ</w:t>
      </w:r>
      <w:r>
        <w:rPr>
          <w:rFonts w:cs="Arial" w:hint="cs"/>
          <w:sz w:val="18"/>
          <w:szCs w:val="18"/>
          <w:rtl/>
        </w:rPr>
        <w:t>ו</w:t>
      </w:r>
      <w:r w:rsidRPr="00FA43C3">
        <w:rPr>
          <w:rFonts w:cs="Arial"/>
          <w:sz w:val="18"/>
          <w:szCs w:val="18"/>
          <w:rtl/>
        </w:rPr>
        <w:t>"ע, כן נ"ל. וי"א דאם אמר שברשותה עשה מה שעשה, נאמן בשבועה</w:t>
      </w:r>
      <w:r>
        <w:rPr>
          <w:rStyle w:val="a7"/>
          <w:rFonts w:cs="Arial"/>
          <w:sz w:val="18"/>
          <w:szCs w:val="18"/>
          <w:rtl/>
        </w:rPr>
        <w:footnoteReference w:id="2066"/>
      </w:r>
      <w:r>
        <w:rPr>
          <w:rFonts w:cs="Arial" w:hint="cs"/>
          <w:sz w:val="18"/>
          <w:szCs w:val="18"/>
          <w:rtl/>
        </w:rPr>
        <w:t>,</w:t>
      </w:r>
      <w:r w:rsidRPr="00FA43C3">
        <w:rPr>
          <w:rFonts w:cs="Arial"/>
          <w:sz w:val="18"/>
          <w:szCs w:val="18"/>
          <w:rtl/>
        </w:rPr>
        <w:t xml:space="preserve"> וכן אם אמר שנתן לה הדמים (רשב"א סי' ת</w:t>
      </w:r>
      <w:r>
        <w:rPr>
          <w:rFonts w:cs="Arial" w:hint="cs"/>
          <w:sz w:val="18"/>
          <w:szCs w:val="18"/>
          <w:rtl/>
        </w:rPr>
        <w:t>ת</w:t>
      </w:r>
      <w:r w:rsidRPr="00FA43C3">
        <w:rPr>
          <w:rFonts w:cs="Arial"/>
          <w:sz w:val="18"/>
          <w:szCs w:val="18"/>
          <w:rtl/>
        </w:rPr>
        <w:t>קל"ו</w:t>
      </w:r>
      <w:r>
        <w:rPr>
          <w:rFonts w:cs="Arial" w:hint="cs"/>
          <w:sz w:val="18"/>
          <w:szCs w:val="18"/>
          <w:rtl/>
        </w:rPr>
        <w:t>-</w:t>
      </w:r>
      <w:r w:rsidRPr="00FA43C3">
        <w:rPr>
          <w:rFonts w:cs="Arial"/>
          <w:sz w:val="18"/>
          <w:szCs w:val="18"/>
          <w:rtl/>
        </w:rPr>
        <w:t>ת</w:t>
      </w:r>
      <w:r>
        <w:rPr>
          <w:rFonts w:cs="Arial" w:hint="cs"/>
          <w:sz w:val="18"/>
          <w:szCs w:val="18"/>
          <w:rtl/>
        </w:rPr>
        <w:t>ת</w:t>
      </w:r>
      <w:r w:rsidRPr="00FA43C3">
        <w:rPr>
          <w:rFonts w:cs="Arial"/>
          <w:sz w:val="18"/>
          <w:szCs w:val="18"/>
          <w:rtl/>
        </w:rPr>
        <w:t>קל"ז). ישראל שגבה קרקע מן ה</w:t>
      </w:r>
      <w:r>
        <w:rPr>
          <w:rFonts w:cs="Arial" w:hint="cs"/>
          <w:sz w:val="18"/>
          <w:szCs w:val="18"/>
          <w:rtl/>
        </w:rPr>
        <w:t>גוי</w:t>
      </w:r>
      <w:r w:rsidRPr="00FA43C3">
        <w:rPr>
          <w:rFonts w:cs="Arial"/>
          <w:sz w:val="18"/>
          <w:szCs w:val="18"/>
          <w:rtl/>
        </w:rPr>
        <w:t xml:space="preserve"> בחובו, אם יש רשות </w:t>
      </w:r>
      <w:r>
        <w:rPr>
          <w:rFonts w:cs="Arial" w:hint="cs"/>
          <w:sz w:val="18"/>
          <w:szCs w:val="18"/>
          <w:rtl/>
        </w:rPr>
        <w:t>לגוי</w:t>
      </w:r>
      <w:r w:rsidRPr="00FA43C3">
        <w:rPr>
          <w:rFonts w:cs="Arial"/>
          <w:sz w:val="18"/>
          <w:szCs w:val="18"/>
          <w:rtl/>
        </w:rPr>
        <w:t xml:space="preserve"> לפדותו</w:t>
      </w:r>
      <w:r>
        <w:rPr>
          <w:rFonts w:cs="Arial" w:hint="cs"/>
          <w:sz w:val="18"/>
          <w:szCs w:val="18"/>
          <w:rtl/>
        </w:rPr>
        <w:t>,</w:t>
      </w:r>
      <w:r w:rsidRPr="00FA43C3">
        <w:rPr>
          <w:rFonts w:cs="Arial"/>
          <w:sz w:val="18"/>
          <w:szCs w:val="18"/>
          <w:rtl/>
        </w:rPr>
        <w:t xml:space="preserve"> יש לה דין מטלטלין, ואין לאשה כח למחות</w:t>
      </w:r>
      <w:r>
        <w:rPr>
          <w:rStyle w:val="a7"/>
          <w:rFonts w:cs="Arial"/>
          <w:sz w:val="18"/>
          <w:szCs w:val="18"/>
          <w:rtl/>
        </w:rPr>
        <w:footnoteReference w:id="2067"/>
      </w:r>
      <w:r w:rsidRPr="00FA43C3">
        <w:rPr>
          <w:rFonts w:cs="Arial"/>
          <w:sz w:val="18"/>
          <w:szCs w:val="18"/>
          <w:rtl/>
        </w:rPr>
        <w:t xml:space="preserve"> בו שלא למכרו</w:t>
      </w:r>
      <w:r>
        <w:rPr>
          <w:rFonts w:cs="Arial" w:hint="cs"/>
          <w:sz w:val="18"/>
          <w:szCs w:val="18"/>
          <w:rtl/>
        </w:rPr>
        <w:t>.</w:t>
      </w:r>
      <w:r w:rsidRPr="00FA43C3">
        <w:rPr>
          <w:rFonts w:cs="Arial"/>
          <w:sz w:val="18"/>
          <w:szCs w:val="18"/>
          <w:rtl/>
        </w:rPr>
        <w:t xml:space="preserve"> אבל אם החזיק</w:t>
      </w:r>
      <w:r>
        <w:rPr>
          <w:rStyle w:val="a7"/>
          <w:rFonts w:cs="Arial"/>
          <w:sz w:val="18"/>
          <w:szCs w:val="18"/>
          <w:rtl/>
        </w:rPr>
        <w:footnoteReference w:id="2068"/>
      </w:r>
      <w:r w:rsidRPr="00FA43C3">
        <w:rPr>
          <w:rFonts w:cs="Arial"/>
          <w:sz w:val="18"/>
          <w:szCs w:val="18"/>
          <w:rtl/>
        </w:rPr>
        <w:t xml:space="preserve"> בה הישראל ואין</w:t>
      </w:r>
      <w:r>
        <w:rPr>
          <w:rStyle w:val="a7"/>
          <w:rFonts w:cs="Arial"/>
          <w:sz w:val="18"/>
          <w:szCs w:val="18"/>
          <w:rtl/>
        </w:rPr>
        <w:footnoteReference w:id="2069"/>
      </w:r>
      <w:r w:rsidRPr="00FA43C3">
        <w:rPr>
          <w:rFonts w:cs="Arial"/>
          <w:sz w:val="18"/>
          <w:szCs w:val="18"/>
          <w:rtl/>
        </w:rPr>
        <w:t xml:space="preserve"> ה</w:t>
      </w:r>
      <w:r>
        <w:rPr>
          <w:rFonts w:cs="Arial" w:hint="cs"/>
          <w:sz w:val="18"/>
          <w:szCs w:val="18"/>
          <w:rtl/>
        </w:rPr>
        <w:t>גו</w:t>
      </w:r>
      <w:r w:rsidRPr="00FA43C3">
        <w:rPr>
          <w:rFonts w:cs="Arial"/>
          <w:sz w:val="18"/>
          <w:szCs w:val="18"/>
          <w:rtl/>
        </w:rPr>
        <w:t>י יכול לפדותו, יש לה דין קרקע, ושעבוד כתובת האשה עליה כמו שאר קרקע (ת</w:t>
      </w:r>
      <w:r>
        <w:rPr>
          <w:rFonts w:cs="Arial" w:hint="cs"/>
          <w:sz w:val="18"/>
          <w:szCs w:val="18"/>
          <w:rtl/>
        </w:rPr>
        <w:t>רו</w:t>
      </w:r>
      <w:r w:rsidRPr="00FA43C3">
        <w:rPr>
          <w:rFonts w:cs="Arial"/>
          <w:sz w:val="18"/>
          <w:szCs w:val="18"/>
          <w:rtl/>
        </w:rPr>
        <w:t>ה</w:t>
      </w:r>
      <w:r>
        <w:rPr>
          <w:rFonts w:cs="Arial" w:hint="cs"/>
          <w:sz w:val="18"/>
          <w:szCs w:val="18"/>
          <w:rtl/>
        </w:rPr>
        <w:t>"ד</w:t>
      </w:r>
      <w:r w:rsidRPr="00FA43C3">
        <w:rPr>
          <w:rFonts w:cs="Arial"/>
          <w:sz w:val="18"/>
          <w:szCs w:val="18"/>
          <w:rtl/>
        </w:rPr>
        <w:t xml:space="preserve"> סי</w:t>
      </w:r>
      <w:r>
        <w:rPr>
          <w:rFonts w:cs="Arial" w:hint="cs"/>
          <w:sz w:val="18"/>
          <w:szCs w:val="18"/>
          <w:rtl/>
        </w:rPr>
        <w:t>'</w:t>
      </w:r>
      <w:r w:rsidRPr="00FA43C3">
        <w:rPr>
          <w:rFonts w:cs="Arial"/>
          <w:sz w:val="18"/>
          <w:szCs w:val="18"/>
          <w:rtl/>
        </w:rPr>
        <w:t xml:space="preserve"> שלט).</w:t>
      </w:r>
      <w:r w:rsidRPr="00EB79BF">
        <w:rPr>
          <w:rFonts w:cs="Arial"/>
          <w:rtl/>
        </w:rPr>
        <w:t xml:space="preserve"> </w:t>
      </w:r>
    </w:p>
    <w:p w14:paraId="7BD844B2" w14:textId="77777777" w:rsidR="002E5BAD" w:rsidRDefault="002E5BAD" w:rsidP="002E5BAD">
      <w:pPr>
        <w:rPr>
          <w:rFonts w:cs="Arial"/>
          <w:rtl/>
        </w:rPr>
      </w:pPr>
    </w:p>
    <w:p w14:paraId="32D0667D" w14:textId="77777777" w:rsidR="002E5BAD" w:rsidRPr="00817B9C" w:rsidRDefault="002E5BAD" w:rsidP="002E5BAD">
      <w:pPr>
        <w:pStyle w:val="2"/>
        <w:rPr>
          <w:rtl/>
        </w:rPr>
      </w:pPr>
      <w:r w:rsidRPr="00EB79BF">
        <w:rPr>
          <w:rtl/>
        </w:rPr>
        <w:t>סעיף טו</w:t>
      </w:r>
      <w:r>
        <w:rPr>
          <w:rFonts w:hint="cs"/>
          <w:rtl/>
        </w:rPr>
        <w:t>: אשה שקיבלה מטלטלין מבעלה או מקרוביה.</w:t>
      </w:r>
    </w:p>
    <w:p w14:paraId="7FF88CC4" w14:textId="77777777" w:rsidR="002E5BAD" w:rsidRDefault="002E5BAD" w:rsidP="002E5BAD">
      <w:pPr>
        <w:rPr>
          <w:rFonts w:cs="Arial"/>
          <w:rtl/>
        </w:rPr>
      </w:pPr>
      <w:r w:rsidRPr="006E106F">
        <w:rPr>
          <w:rFonts w:cs="Arial" w:hint="cs"/>
          <w:u w:val="single"/>
          <w:rtl/>
        </w:rPr>
        <w:t xml:space="preserve">בעל שנתן לאשתו מטלטלין משלו </w:t>
      </w:r>
      <w:r w:rsidRPr="006E106F">
        <w:rPr>
          <w:rFonts w:cs="Arial"/>
          <w:u w:val="single"/>
          <w:rtl/>
        </w:rPr>
        <w:t>–</w:t>
      </w:r>
      <w:r w:rsidRPr="006E106F">
        <w:rPr>
          <w:rFonts w:cs="Arial" w:hint="cs"/>
          <w:u w:val="single"/>
          <w:rtl/>
        </w:rPr>
        <w:t xml:space="preserve"> מה דינם לענין מכירה:</w:t>
      </w:r>
    </w:p>
    <w:p w14:paraId="7D3D46B7" w14:textId="77777777" w:rsidR="002E5BAD" w:rsidRDefault="002E5BAD" w:rsidP="002E5BAD">
      <w:pPr>
        <w:pStyle w:val="ab"/>
        <w:numPr>
          <w:ilvl w:val="0"/>
          <w:numId w:val="186"/>
        </w:numPr>
      </w:pPr>
      <w:r w:rsidRPr="007308BC">
        <w:rPr>
          <w:rFonts w:cs="Arial"/>
          <w:rtl/>
        </w:rPr>
        <w:t xml:space="preserve">רמב"ם </w:t>
      </w:r>
      <w:r w:rsidRPr="007308BC">
        <w:rPr>
          <w:rFonts w:cs="Arial" w:hint="cs"/>
          <w:sz w:val="16"/>
          <w:szCs w:val="16"/>
          <w:rtl/>
        </w:rPr>
        <w:t>(</w:t>
      </w:r>
      <w:r w:rsidRPr="007308BC">
        <w:rPr>
          <w:rFonts w:cs="Arial"/>
          <w:sz w:val="16"/>
          <w:szCs w:val="16"/>
          <w:rtl/>
        </w:rPr>
        <w:t>פ"ל מהל</w:t>
      </w:r>
      <w:r w:rsidRPr="007308BC">
        <w:rPr>
          <w:rFonts w:cs="Arial" w:hint="cs"/>
          <w:sz w:val="16"/>
          <w:szCs w:val="16"/>
          <w:rtl/>
        </w:rPr>
        <w:t>'</w:t>
      </w:r>
      <w:r w:rsidRPr="007308BC">
        <w:rPr>
          <w:rFonts w:cs="Arial"/>
          <w:sz w:val="16"/>
          <w:szCs w:val="16"/>
          <w:rtl/>
        </w:rPr>
        <w:t xml:space="preserve"> מכירה ה"ה)</w:t>
      </w:r>
      <w:r w:rsidRPr="007308BC">
        <w:rPr>
          <w:rFonts w:cs="Arial" w:hint="cs"/>
          <w:rtl/>
        </w:rPr>
        <w:t>-</w:t>
      </w:r>
      <w:r w:rsidRPr="007308BC">
        <w:rPr>
          <w:rFonts w:cs="Arial"/>
          <w:rtl/>
        </w:rPr>
        <w:t xml:space="preserve"> בעל שמכר מטלטלין של נכסי צאן ברזל או מטלטלין שנתנה לו משלו אף על פי שאינו רשאי אם עבר ומכר או נתן קנו הלקוחות ואין האשה יכולה להוציא מידם</w:t>
      </w:r>
      <w:r w:rsidRPr="007308BC">
        <w:rPr>
          <w:rFonts w:cs="Arial" w:hint="cs"/>
          <w:rtl/>
        </w:rPr>
        <w:t>.</w:t>
      </w:r>
      <w:r w:rsidRPr="00C975E1">
        <w:rPr>
          <w:rFonts w:cs="Arial" w:hint="cs"/>
          <w:color w:val="E36C0A" w:themeColor="accent6" w:themeShade="BF"/>
          <w:rtl/>
        </w:rPr>
        <w:t xml:space="preserve"> </w:t>
      </w:r>
      <w:r w:rsidRPr="00763570">
        <w:rPr>
          <w:rFonts w:cs="Arial" w:hint="cs"/>
          <w:color w:val="E36C0A" w:themeColor="accent6" w:themeShade="BF"/>
          <w:rtl/>
        </w:rPr>
        <w:t>(וכ"פ בשו"ע)</w:t>
      </w:r>
    </w:p>
    <w:p w14:paraId="32CEE313" w14:textId="77777777" w:rsidR="002E5BAD" w:rsidRPr="007308BC" w:rsidRDefault="002E5BAD" w:rsidP="002E5BAD">
      <w:r w:rsidRPr="00B816B4">
        <w:rPr>
          <w:rFonts w:cs="Arial" w:hint="cs"/>
          <w:b/>
          <w:bCs/>
          <w:rtl/>
        </w:rPr>
        <w:t xml:space="preserve">בבא קמא </w:t>
      </w:r>
      <w:r w:rsidRPr="00B816B4">
        <w:rPr>
          <w:rFonts w:cs="Arial" w:hint="cs"/>
          <w:b/>
          <w:bCs/>
          <w:sz w:val="16"/>
          <w:szCs w:val="16"/>
          <w:rtl/>
        </w:rPr>
        <w:t xml:space="preserve">(פ' הגוזל קמא) </w:t>
      </w:r>
      <w:r w:rsidRPr="00B816B4">
        <w:rPr>
          <w:rFonts w:cs="Arial" w:hint="cs"/>
          <w:b/>
          <w:bCs/>
          <w:rtl/>
        </w:rPr>
        <w:t xml:space="preserve">קב ע"ב: </w:t>
      </w:r>
      <w:r w:rsidRPr="00B816B4">
        <w:rPr>
          <w:rFonts w:cs="Arial"/>
          <w:u w:val="single"/>
          <w:rtl/>
        </w:rPr>
        <w:t>אלא אמר רבי אבא</w:t>
      </w:r>
      <w:r w:rsidRPr="00B816B4">
        <w:rPr>
          <w:rFonts w:cs="Arial"/>
          <w:rtl/>
        </w:rPr>
        <w:t>: כל המקדיש נכסיו, נעשה כמי שהקנה להן כסות אשתו ובניו מעיקרא</w:t>
      </w:r>
      <w:r>
        <w:rPr>
          <w:rStyle w:val="a7"/>
          <w:rFonts w:cs="Arial"/>
          <w:rtl/>
        </w:rPr>
        <w:footnoteReference w:id="2070"/>
      </w:r>
      <w:r w:rsidRPr="00B816B4">
        <w:rPr>
          <w:rFonts w:cs="Arial"/>
          <w:rtl/>
        </w:rPr>
        <w:t>.</w:t>
      </w:r>
      <w:r w:rsidRPr="00B816B4">
        <w:rPr>
          <w:rtl/>
        </w:rPr>
        <w:t xml:space="preserve"> </w:t>
      </w:r>
    </w:p>
    <w:p w14:paraId="45EA2ED6" w14:textId="77777777" w:rsidR="002E5BAD" w:rsidRPr="00B816B4" w:rsidRDefault="002E5BAD" w:rsidP="002E5BAD">
      <w:pPr>
        <w:rPr>
          <w:u w:val="single"/>
        </w:rPr>
      </w:pPr>
      <w:r>
        <w:rPr>
          <w:rFonts w:cs="Arial" w:hint="cs"/>
          <w:u w:val="single"/>
          <w:rtl/>
        </w:rPr>
        <w:t>בעל שהקנה מטלטלין לאשתו ו</w:t>
      </w:r>
      <w:r w:rsidRPr="00B816B4">
        <w:rPr>
          <w:rFonts w:cs="Arial" w:hint="cs"/>
          <w:u w:val="single"/>
          <w:rtl/>
        </w:rPr>
        <w:t>עדיין לא הגיעו לידה</w:t>
      </w:r>
      <w:r>
        <w:rPr>
          <w:rFonts w:cs="Arial" w:hint="cs"/>
          <w:u w:val="single"/>
          <w:rtl/>
        </w:rPr>
        <w:t xml:space="preserve"> </w:t>
      </w:r>
      <w:r>
        <w:rPr>
          <w:rFonts w:cs="Arial"/>
          <w:u w:val="single"/>
          <w:rtl/>
        </w:rPr>
        <w:t>–</w:t>
      </w:r>
      <w:r>
        <w:rPr>
          <w:rFonts w:cs="Arial" w:hint="cs"/>
          <w:u w:val="single"/>
          <w:rtl/>
        </w:rPr>
        <w:t xml:space="preserve"> האם יכול למכור אותם</w:t>
      </w:r>
      <w:r w:rsidRPr="00B816B4">
        <w:rPr>
          <w:rFonts w:cs="Arial" w:hint="cs"/>
          <w:u w:val="single"/>
          <w:rtl/>
        </w:rPr>
        <w:t>:</w:t>
      </w:r>
      <w:r w:rsidRPr="00B816B4">
        <w:rPr>
          <w:rFonts w:cs="Arial"/>
          <w:u w:val="single"/>
          <w:rtl/>
        </w:rPr>
        <w:t xml:space="preserve"> </w:t>
      </w:r>
    </w:p>
    <w:p w14:paraId="4413A6E7" w14:textId="77777777" w:rsidR="002E5BAD" w:rsidRDefault="002E5BAD" w:rsidP="002E5BAD">
      <w:pPr>
        <w:pStyle w:val="ab"/>
        <w:numPr>
          <w:ilvl w:val="0"/>
          <w:numId w:val="186"/>
        </w:numPr>
      </w:pPr>
      <w:r>
        <w:rPr>
          <w:rFonts w:cs="Arial" w:hint="cs"/>
          <w:rtl/>
        </w:rPr>
        <w:t xml:space="preserve">הג"א </w:t>
      </w:r>
      <w:r w:rsidRPr="007308BC">
        <w:rPr>
          <w:rFonts w:cs="Arial" w:hint="cs"/>
          <w:sz w:val="16"/>
          <w:szCs w:val="16"/>
          <w:rtl/>
        </w:rPr>
        <w:t>(</w:t>
      </w:r>
      <w:r w:rsidRPr="007308BC">
        <w:rPr>
          <w:rFonts w:cs="Arial"/>
          <w:sz w:val="16"/>
          <w:szCs w:val="16"/>
          <w:rtl/>
        </w:rPr>
        <w:t>פ</w:t>
      </w:r>
      <w:r w:rsidRPr="007308BC">
        <w:rPr>
          <w:rFonts w:cs="Arial" w:hint="cs"/>
          <w:sz w:val="16"/>
          <w:szCs w:val="16"/>
          <w:rtl/>
        </w:rPr>
        <w:t>'</w:t>
      </w:r>
      <w:r w:rsidRPr="007308BC">
        <w:rPr>
          <w:rFonts w:cs="Arial"/>
          <w:sz w:val="16"/>
          <w:szCs w:val="16"/>
          <w:rtl/>
        </w:rPr>
        <w:t xml:space="preserve"> הגוזל קמא ב"ק פ"ט סי' יח)</w:t>
      </w:r>
      <w:r>
        <w:rPr>
          <w:rFonts w:cs="Arial" w:hint="cs"/>
          <w:rtl/>
        </w:rPr>
        <w:t>-</w:t>
      </w:r>
      <w:r w:rsidRPr="007308BC">
        <w:rPr>
          <w:rFonts w:cs="Arial"/>
          <w:rtl/>
        </w:rPr>
        <w:t xml:space="preserve"> </w:t>
      </w:r>
      <w:r w:rsidRPr="00B816B4">
        <w:rPr>
          <w:rFonts w:cs="Arial"/>
          <w:rtl/>
        </w:rPr>
        <w:t xml:space="preserve">וכדמסיק </w:t>
      </w:r>
      <w:r>
        <w:rPr>
          <w:rFonts w:cs="Arial" w:hint="cs"/>
          <w:rtl/>
        </w:rPr>
        <w:t xml:space="preserve">(ב"ק קב:) </w:t>
      </w:r>
      <w:r w:rsidRPr="00B816B4">
        <w:rPr>
          <w:rFonts w:cs="Arial"/>
          <w:rtl/>
        </w:rPr>
        <w:t>נעשה כמי שהקנה לאשתו ובניו כסותו</w:t>
      </w:r>
      <w:r>
        <w:rPr>
          <w:rFonts w:cs="Arial" w:hint="cs"/>
          <w:rtl/>
        </w:rPr>
        <w:t>,</w:t>
      </w:r>
      <w:r w:rsidRPr="00B816B4">
        <w:rPr>
          <w:rFonts w:cs="Arial"/>
          <w:rtl/>
        </w:rPr>
        <w:t xml:space="preserve"> מכאן נראה לי שאין אדם יכול למכור בגדי אשתו שקנה לה ואפי' לא באו לידה קל וחומר מהקדש</w:t>
      </w:r>
      <w:r>
        <w:rPr>
          <w:rFonts w:cs="Arial" w:hint="cs"/>
          <w:rtl/>
        </w:rPr>
        <w:t>,</w:t>
      </w:r>
      <w:r w:rsidRPr="00B816B4">
        <w:rPr>
          <w:rFonts w:cs="Arial"/>
          <w:rtl/>
        </w:rPr>
        <w:t xml:space="preserve"> ואפי' אין לו במה להתפרנס אינו יכול למוכרם. </w:t>
      </w:r>
      <w:r w:rsidRPr="00763570">
        <w:rPr>
          <w:rFonts w:cs="Arial" w:hint="cs"/>
          <w:color w:val="E36C0A" w:themeColor="accent6" w:themeShade="BF"/>
          <w:rtl/>
        </w:rPr>
        <w:t>(וכ"פ בשו"ע)</w:t>
      </w:r>
    </w:p>
    <w:p w14:paraId="40F6B99E" w14:textId="77777777" w:rsidR="002E5BAD" w:rsidRPr="005A6755" w:rsidRDefault="002E5BAD" w:rsidP="002E5BAD">
      <w:pPr>
        <w:ind w:left="360"/>
        <w:rPr>
          <w:u w:val="dotted"/>
        </w:rPr>
      </w:pPr>
      <w:r w:rsidRPr="005A6755">
        <w:rPr>
          <w:rFonts w:hint="cs"/>
          <w:u w:val="dotted"/>
          <w:rtl/>
        </w:rPr>
        <w:t>מה כן יכול</w:t>
      </w:r>
      <w:r>
        <w:rPr>
          <w:rFonts w:hint="cs"/>
          <w:u w:val="dotted"/>
          <w:rtl/>
        </w:rPr>
        <w:t xml:space="preserve"> הבעל </w:t>
      </w:r>
      <w:r w:rsidRPr="005A6755">
        <w:rPr>
          <w:rFonts w:hint="cs"/>
          <w:u w:val="dotted"/>
          <w:rtl/>
        </w:rPr>
        <w:t xml:space="preserve">למכור </w:t>
      </w:r>
      <w:r>
        <w:rPr>
          <w:rFonts w:hint="cs"/>
          <w:sz w:val="16"/>
          <w:szCs w:val="16"/>
          <w:u w:val="dotted"/>
          <w:rtl/>
        </w:rPr>
        <w:t xml:space="preserve">(ממטלטלין שנתן לה) </w:t>
      </w:r>
      <w:r w:rsidRPr="005A6755">
        <w:rPr>
          <w:rFonts w:hint="cs"/>
          <w:u w:val="dotted"/>
          <w:rtl/>
        </w:rPr>
        <w:t>כדי להתפרנס:</w:t>
      </w:r>
    </w:p>
    <w:p w14:paraId="543BCA19" w14:textId="77777777" w:rsidR="002E5BAD" w:rsidRPr="005A6755" w:rsidRDefault="002E5BAD" w:rsidP="002E5BAD">
      <w:pPr>
        <w:pStyle w:val="ab"/>
        <w:numPr>
          <w:ilvl w:val="0"/>
          <w:numId w:val="186"/>
        </w:numPr>
      </w:pPr>
      <w:r w:rsidRPr="007308BC">
        <w:rPr>
          <w:rFonts w:cs="Arial"/>
          <w:rtl/>
        </w:rPr>
        <w:lastRenderedPageBreak/>
        <w:t xml:space="preserve">מהרי"ק </w:t>
      </w:r>
      <w:r w:rsidRPr="00B816B4">
        <w:rPr>
          <w:rFonts w:cs="Arial" w:hint="cs"/>
          <w:sz w:val="16"/>
          <w:szCs w:val="16"/>
          <w:rtl/>
        </w:rPr>
        <w:t>(</w:t>
      </w:r>
      <w:r w:rsidRPr="00B816B4">
        <w:rPr>
          <w:rFonts w:cs="Arial"/>
          <w:sz w:val="16"/>
          <w:szCs w:val="16"/>
          <w:rtl/>
        </w:rPr>
        <w:t>שורש י' ענף ח)</w:t>
      </w:r>
      <w:r>
        <w:rPr>
          <w:rFonts w:cs="Arial" w:hint="cs"/>
          <w:rtl/>
        </w:rPr>
        <w:t>-</w:t>
      </w:r>
      <w:r w:rsidRPr="007308BC">
        <w:rPr>
          <w:rFonts w:cs="Arial"/>
          <w:rtl/>
        </w:rPr>
        <w:t xml:space="preserve"> אין חילוק בין בגדי שבת וי"ט לבגדי חול</w:t>
      </w:r>
      <w:r>
        <w:rPr>
          <w:rStyle w:val="a7"/>
          <w:rFonts w:cs="Arial"/>
          <w:rtl/>
        </w:rPr>
        <w:footnoteReference w:id="2071"/>
      </w:r>
      <w:r>
        <w:rPr>
          <w:rFonts w:cs="Arial" w:hint="cs"/>
          <w:rtl/>
        </w:rPr>
        <w:t>.</w:t>
      </w:r>
      <w:r w:rsidRPr="007308BC">
        <w:rPr>
          <w:rFonts w:cs="Arial"/>
          <w:rtl/>
        </w:rPr>
        <w:t xml:space="preserve"> אבל כלי זהב ובדולח יכול למוכרם אם הוצרך להתפרנס מהם</w:t>
      </w:r>
      <w:r>
        <w:rPr>
          <w:rStyle w:val="a7"/>
          <w:rFonts w:cs="Arial"/>
          <w:rtl/>
        </w:rPr>
        <w:footnoteReference w:id="2072"/>
      </w:r>
      <w:r>
        <w:rPr>
          <w:rFonts w:cs="Arial" w:hint="cs"/>
          <w:rtl/>
        </w:rPr>
        <w:t>.</w:t>
      </w:r>
      <w:r w:rsidRPr="007308BC">
        <w:rPr>
          <w:rFonts w:cs="Arial"/>
          <w:rtl/>
        </w:rPr>
        <w:t xml:space="preserve"> ואם קרובים נתנו לה בין תכשיטין בין בגדים יכול הבעל למכרם לפרנס עצמו</w:t>
      </w:r>
      <w:r>
        <w:rPr>
          <w:rStyle w:val="a7"/>
          <w:rFonts w:cs="Arial"/>
          <w:rtl/>
        </w:rPr>
        <w:footnoteReference w:id="2073"/>
      </w:r>
      <w:r>
        <w:rPr>
          <w:rFonts w:cs="Arial" w:hint="cs"/>
          <w:rtl/>
        </w:rPr>
        <w:t>.</w:t>
      </w:r>
      <w:r w:rsidRPr="00C975E1">
        <w:rPr>
          <w:rFonts w:cs="Arial" w:hint="cs"/>
          <w:color w:val="E36C0A" w:themeColor="accent6" w:themeShade="BF"/>
          <w:rtl/>
        </w:rPr>
        <w:t xml:space="preserve"> </w:t>
      </w:r>
      <w:r w:rsidRPr="00763570">
        <w:rPr>
          <w:rFonts w:cs="Arial" w:hint="cs"/>
          <w:color w:val="E36C0A" w:themeColor="accent6" w:themeShade="BF"/>
          <w:rtl/>
        </w:rPr>
        <w:t>(וכ"פ בשו"ע)</w:t>
      </w:r>
    </w:p>
    <w:p w14:paraId="14C509E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619E78A" w14:textId="77777777" w:rsidR="002E5BAD" w:rsidRDefault="002E5BAD" w:rsidP="002E5BAD">
      <w:pPr>
        <w:rPr>
          <w:rFonts w:cs="Arial"/>
          <w:rtl/>
        </w:rPr>
      </w:pPr>
      <w:r w:rsidRPr="00EB79BF">
        <w:rPr>
          <w:rFonts w:cs="Arial"/>
          <w:rtl/>
        </w:rPr>
        <w:t>מטלטלין שנתן לה משלו, דינם שוה לנכסי צ</w:t>
      </w:r>
      <w:r>
        <w:rPr>
          <w:rFonts w:cs="Arial" w:hint="cs"/>
          <w:rtl/>
        </w:rPr>
        <w:t>אן ברזל</w:t>
      </w:r>
      <w:r>
        <w:rPr>
          <w:rStyle w:val="a7"/>
          <w:rFonts w:cs="Arial"/>
          <w:rtl/>
        </w:rPr>
        <w:footnoteReference w:id="2074"/>
      </w:r>
      <w:r w:rsidRPr="00EB79BF">
        <w:rPr>
          <w:rFonts w:cs="Arial"/>
          <w:rtl/>
        </w:rPr>
        <w:t>, שאינו רשאי למוכרן לכתחלה</w:t>
      </w:r>
      <w:r>
        <w:rPr>
          <w:rFonts w:cs="Arial" w:hint="cs"/>
          <w:rtl/>
        </w:rPr>
        <w:t>.</w:t>
      </w:r>
      <w:r w:rsidRPr="00EB79BF">
        <w:rPr>
          <w:rFonts w:cs="Arial"/>
          <w:rtl/>
        </w:rPr>
        <w:t xml:space="preserve"> וה</w:t>
      </w:r>
      <w:r>
        <w:rPr>
          <w:rFonts w:cs="Arial" w:hint="cs"/>
          <w:rtl/>
        </w:rPr>
        <w:t>וא הדין</w:t>
      </w:r>
      <w:r>
        <w:rPr>
          <w:rStyle w:val="a7"/>
          <w:rFonts w:cs="Arial"/>
          <w:rtl/>
        </w:rPr>
        <w:footnoteReference w:id="2075"/>
      </w:r>
      <w:r w:rsidRPr="00EB79BF">
        <w:rPr>
          <w:rFonts w:cs="Arial"/>
          <w:rtl/>
        </w:rPr>
        <w:t xml:space="preserve"> למטלטלין שקנה לה, אפילו לא באו לידה, ואפילו אין לו במה להתפרנס. ואין חלוק בין בגדי שבת וי</w:t>
      </w:r>
      <w:r>
        <w:rPr>
          <w:rFonts w:cs="Arial" w:hint="cs"/>
          <w:rtl/>
        </w:rPr>
        <w:t>ום טוב</w:t>
      </w:r>
      <w:r w:rsidRPr="00EB79BF">
        <w:rPr>
          <w:rFonts w:cs="Arial"/>
          <w:rtl/>
        </w:rPr>
        <w:t xml:space="preserve"> לבגדי חול</w:t>
      </w:r>
      <w:r>
        <w:rPr>
          <w:rStyle w:val="a7"/>
          <w:rFonts w:cs="Arial"/>
          <w:rtl/>
        </w:rPr>
        <w:footnoteReference w:id="2076"/>
      </w:r>
      <w:r>
        <w:rPr>
          <w:rFonts w:cs="Arial" w:hint="cs"/>
          <w:rtl/>
        </w:rPr>
        <w:t>.</w:t>
      </w:r>
      <w:r w:rsidRPr="00EB79BF">
        <w:rPr>
          <w:rFonts w:cs="Arial"/>
          <w:rtl/>
        </w:rPr>
        <w:t xml:space="preserve"> אבל כלי זהב ובדולח יכול למוכרם אם הוצרך להתפרנס מהם. ואם קרובים נתנו לה</w:t>
      </w:r>
      <w:r>
        <w:rPr>
          <w:rStyle w:val="a7"/>
          <w:rFonts w:cs="Arial"/>
          <w:rtl/>
        </w:rPr>
        <w:footnoteReference w:id="2077"/>
      </w:r>
      <w:r w:rsidRPr="00EB79BF">
        <w:rPr>
          <w:rFonts w:cs="Arial"/>
          <w:rtl/>
        </w:rPr>
        <w:t>, בין תכשיטין בין בגדים, יכול הבעל למוכרם לפרנס עצמו</w:t>
      </w:r>
      <w:r>
        <w:rPr>
          <w:rStyle w:val="a7"/>
          <w:rFonts w:cs="Arial"/>
          <w:rtl/>
        </w:rPr>
        <w:footnoteReference w:id="2078"/>
      </w:r>
      <w:r w:rsidRPr="00EB79BF">
        <w:rPr>
          <w:rFonts w:cs="Arial"/>
          <w:rtl/>
        </w:rPr>
        <w:t xml:space="preserve">. </w:t>
      </w:r>
    </w:p>
    <w:p w14:paraId="0AD4864F" w14:textId="77777777" w:rsidR="002E5BAD" w:rsidRPr="00EB79BF" w:rsidRDefault="002E5BAD" w:rsidP="002E5BAD">
      <w:pPr>
        <w:rPr>
          <w:rFonts w:cs="Arial"/>
          <w:rtl/>
        </w:rPr>
      </w:pPr>
    </w:p>
    <w:p w14:paraId="16312AC4" w14:textId="77777777" w:rsidR="002E5BAD" w:rsidRDefault="002E5BAD" w:rsidP="002E5BAD">
      <w:pPr>
        <w:pStyle w:val="2"/>
        <w:rPr>
          <w:rtl/>
        </w:rPr>
      </w:pPr>
      <w:r w:rsidRPr="00EB79BF">
        <w:rPr>
          <w:rtl/>
        </w:rPr>
        <w:t>סעיף טז</w:t>
      </w:r>
      <w:r>
        <w:rPr>
          <w:rFonts w:hint="cs"/>
          <w:rtl/>
        </w:rPr>
        <w:t xml:space="preserve">: הקונה נכסים מהאיש והאשה </w:t>
      </w:r>
      <w:r w:rsidRPr="002926CA">
        <w:rPr>
          <w:rFonts w:hint="cs"/>
          <w:sz w:val="20"/>
          <w:szCs w:val="20"/>
          <w:rtl/>
        </w:rPr>
        <w:t>(יחד או בזה אחר זה)</w:t>
      </w:r>
      <w:r>
        <w:rPr>
          <w:rFonts w:hint="cs"/>
          <w:rtl/>
        </w:rPr>
        <w:t>.</w:t>
      </w:r>
    </w:p>
    <w:p w14:paraId="77425F2A" w14:textId="77777777" w:rsidR="002E5BAD" w:rsidRPr="00253625" w:rsidRDefault="002E5BAD" w:rsidP="002E5BAD">
      <w:pPr>
        <w:rPr>
          <w:rFonts w:cs="Arial"/>
          <w:rtl/>
        </w:rPr>
      </w:pPr>
      <w:bookmarkStart w:id="2" w:name="_Hlk69730052"/>
      <w:r w:rsidRPr="004E4DB8">
        <w:rPr>
          <w:rFonts w:cs="Arial" w:hint="cs"/>
          <w:b/>
          <w:bCs/>
          <w:rtl/>
        </w:rPr>
        <w:t xml:space="preserve">בבא בתרא </w:t>
      </w:r>
      <w:r>
        <w:rPr>
          <w:rFonts w:cs="Arial" w:hint="cs"/>
          <w:b/>
          <w:bCs/>
          <w:sz w:val="16"/>
          <w:szCs w:val="16"/>
          <w:rtl/>
        </w:rPr>
        <w:t>(פ' חזקת)</w:t>
      </w:r>
      <w:r>
        <w:rPr>
          <w:rFonts w:cs="Arial" w:hint="cs"/>
          <w:b/>
          <w:bCs/>
          <w:rtl/>
        </w:rPr>
        <w:t xml:space="preserve"> </w:t>
      </w:r>
      <w:r w:rsidRPr="004E4DB8">
        <w:rPr>
          <w:rFonts w:cs="Arial" w:hint="cs"/>
          <w:b/>
          <w:bCs/>
          <w:rtl/>
        </w:rPr>
        <w:t>מב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4E4DB8">
        <w:rPr>
          <w:rFonts w:cs="Arial"/>
          <w:rtl/>
        </w:rPr>
        <w:t>.</w:t>
      </w:r>
      <w:r>
        <w:rPr>
          <w:rFonts w:cs="Arial" w:hint="cs"/>
          <w:rtl/>
        </w:rPr>
        <w:t>..</w:t>
      </w:r>
      <w:r w:rsidRPr="004E4DB8">
        <w:rPr>
          <w:rFonts w:cs="Arial"/>
          <w:rtl/>
        </w:rPr>
        <w:t xml:space="preserve"> לא לאיש חזקה בנכסי אשתו, ולא לאשה חזקה בנכסי בעלה</w:t>
      </w:r>
      <w:r>
        <w:rPr>
          <w:rFonts w:cs="Arial" w:hint="cs"/>
          <w:rtl/>
        </w:rPr>
        <w:t xml:space="preserve">... </w:t>
      </w:r>
      <w:r w:rsidRPr="004E4DB8">
        <w:rPr>
          <w:rFonts w:cs="Arial"/>
          <w:rtl/>
        </w:rPr>
        <w:t xml:space="preserve"> </w:t>
      </w:r>
      <w:r>
        <w:rPr>
          <w:rFonts w:cs="Arial" w:hint="cs"/>
          <w:rtl/>
        </w:rPr>
        <w:t xml:space="preserve">  </w:t>
      </w:r>
      <w:r w:rsidRPr="004E4DB8">
        <w:rPr>
          <w:rFonts w:cs="Arial" w:hint="cs"/>
          <w:u w:val="double"/>
          <w:rtl/>
        </w:rPr>
        <w:t>גמ'</w:t>
      </w:r>
      <w:r>
        <w:rPr>
          <w:rFonts w:cs="Arial" w:hint="cs"/>
          <w:sz w:val="14"/>
          <w:szCs w:val="14"/>
          <w:u w:val="double"/>
          <w:rtl/>
        </w:rPr>
        <w:t>(מט:)</w:t>
      </w:r>
      <w:r w:rsidRPr="004E4DB8">
        <w:rPr>
          <w:rFonts w:cs="Arial" w:hint="cs"/>
          <w:u w:val="double"/>
          <w:rtl/>
        </w:rPr>
        <w:t>:</w:t>
      </w:r>
      <w:r w:rsidRPr="004E4DB8">
        <w:rPr>
          <w:rtl/>
        </w:rPr>
        <w:t xml:space="preserve"> </w:t>
      </w:r>
      <w:r w:rsidRPr="004E4DB8">
        <w:rPr>
          <w:rFonts w:cs="Arial"/>
          <w:rtl/>
        </w:rPr>
        <w:t>הא ראיה יש</w:t>
      </w:r>
      <w:r>
        <w:rPr>
          <w:rStyle w:val="a7"/>
          <w:rFonts w:cs="Arial"/>
          <w:rtl/>
        </w:rPr>
        <w:footnoteReference w:id="2079"/>
      </w:r>
      <w:r>
        <w:rPr>
          <w:rFonts w:cs="Arial" w:hint="cs"/>
          <w:rtl/>
        </w:rPr>
        <w:t>!</w:t>
      </w:r>
      <w:r w:rsidRPr="004E4DB8">
        <w:rPr>
          <w:rFonts w:cs="Arial"/>
          <w:rtl/>
        </w:rPr>
        <w:t xml:space="preserve"> תימא: נחת רוח עשיתי לבעלי</w:t>
      </w:r>
      <w:r>
        <w:rPr>
          <w:rStyle w:val="a7"/>
          <w:rFonts w:cs="Arial"/>
          <w:rtl/>
        </w:rPr>
        <w:footnoteReference w:id="2080"/>
      </w:r>
      <w:r>
        <w:rPr>
          <w:rFonts w:cs="Arial" w:hint="cs"/>
          <w:rtl/>
        </w:rPr>
        <w:t>,</w:t>
      </w:r>
      <w:r w:rsidRPr="004E4DB8">
        <w:rPr>
          <w:rFonts w:cs="Arial"/>
          <w:rtl/>
        </w:rPr>
        <w:t xml:space="preserve"> מי לא תנן</w:t>
      </w:r>
      <w:r>
        <w:rPr>
          <w:rStyle w:val="a7"/>
          <w:rFonts w:cs="Arial"/>
          <w:rtl/>
        </w:rPr>
        <w:footnoteReference w:id="2081"/>
      </w:r>
      <w:r w:rsidRPr="004E4DB8">
        <w:rPr>
          <w:rFonts w:cs="Arial"/>
          <w:rtl/>
        </w:rPr>
        <w:t>: לקח מן האיש</w:t>
      </w:r>
      <w:r>
        <w:rPr>
          <w:rStyle w:val="a7"/>
          <w:rFonts w:cs="Arial"/>
          <w:rtl/>
        </w:rPr>
        <w:footnoteReference w:id="2082"/>
      </w:r>
      <w:r w:rsidRPr="004E4DB8">
        <w:rPr>
          <w:rFonts w:cs="Arial"/>
          <w:rtl/>
        </w:rPr>
        <w:t xml:space="preserve"> וחזר</w:t>
      </w:r>
      <w:r>
        <w:rPr>
          <w:rStyle w:val="a7"/>
          <w:rFonts w:cs="Arial"/>
          <w:rtl/>
        </w:rPr>
        <w:footnoteReference w:id="2083"/>
      </w:r>
      <w:r w:rsidRPr="004E4DB8">
        <w:rPr>
          <w:rFonts w:cs="Arial"/>
          <w:rtl/>
        </w:rPr>
        <w:t xml:space="preserve"> ולקח מן האשה</w:t>
      </w:r>
      <w:r>
        <w:rPr>
          <w:rStyle w:val="a7"/>
          <w:rFonts w:cs="Arial"/>
          <w:rtl/>
        </w:rPr>
        <w:footnoteReference w:id="2084"/>
      </w:r>
      <w:r w:rsidRPr="004E4DB8">
        <w:rPr>
          <w:rFonts w:cs="Arial"/>
          <w:rtl/>
        </w:rPr>
        <w:t xml:space="preserve"> - מקחו בטל</w:t>
      </w:r>
      <w:r>
        <w:rPr>
          <w:rStyle w:val="a7"/>
          <w:rFonts w:cs="Arial"/>
          <w:rtl/>
        </w:rPr>
        <w:footnoteReference w:id="2085"/>
      </w:r>
      <w:r w:rsidRPr="004E4DB8">
        <w:rPr>
          <w:rFonts w:cs="Arial"/>
          <w:rtl/>
        </w:rPr>
        <w:t>, אלמא אמרה: נחת רוח עשיתי לבעלי, הכא נמי תימא: נחת רוח עשיתי לבעלי! הא איתמר עלה, אמר רבה בר רב הונא: לא נצרכה</w:t>
      </w:r>
      <w:r>
        <w:rPr>
          <w:rStyle w:val="a7"/>
          <w:rFonts w:cs="Arial"/>
          <w:rtl/>
        </w:rPr>
        <w:footnoteReference w:id="2086"/>
      </w:r>
      <w:r w:rsidRPr="004E4DB8">
        <w:rPr>
          <w:rFonts w:cs="Arial"/>
          <w:rtl/>
        </w:rPr>
        <w:t xml:space="preserve"> אלא באותן ג' שדות, אחת שכתב לה בכתובתה</w:t>
      </w:r>
      <w:r>
        <w:rPr>
          <w:rStyle w:val="a7"/>
          <w:rFonts w:cs="Arial"/>
          <w:rtl/>
        </w:rPr>
        <w:footnoteReference w:id="2087"/>
      </w:r>
      <w:r w:rsidRPr="004E4DB8">
        <w:rPr>
          <w:rFonts w:cs="Arial"/>
          <w:rtl/>
        </w:rPr>
        <w:t>,</w:t>
      </w:r>
      <w:r>
        <w:rPr>
          <w:rFonts w:cs="Arial" w:hint="cs"/>
          <w:rtl/>
        </w:rPr>
        <w:t xml:space="preserve"> </w:t>
      </w:r>
      <w:r>
        <w:rPr>
          <w:rFonts w:cs="Arial" w:hint="cs"/>
          <w:sz w:val="14"/>
          <w:szCs w:val="14"/>
          <w:rtl/>
        </w:rPr>
        <w:t xml:space="preserve">(נ.) </w:t>
      </w:r>
      <w:r w:rsidRPr="004E4DB8">
        <w:rPr>
          <w:rFonts w:cs="Arial"/>
          <w:rtl/>
        </w:rPr>
        <w:t>ואחת שיחד לה בכתובתה</w:t>
      </w:r>
      <w:r>
        <w:rPr>
          <w:rStyle w:val="a7"/>
          <w:rFonts w:cs="Arial"/>
          <w:rtl/>
        </w:rPr>
        <w:footnoteReference w:id="2088"/>
      </w:r>
      <w:r w:rsidRPr="004E4DB8">
        <w:rPr>
          <w:rFonts w:cs="Arial"/>
          <w:rtl/>
        </w:rPr>
        <w:t>, ואחת שהכניסה לו שום משלה</w:t>
      </w:r>
      <w:r>
        <w:rPr>
          <w:rStyle w:val="a7"/>
          <w:rFonts w:cs="Arial"/>
          <w:rtl/>
        </w:rPr>
        <w:footnoteReference w:id="2089"/>
      </w:r>
      <w:r w:rsidRPr="004E4DB8">
        <w:rPr>
          <w:rFonts w:cs="Arial"/>
          <w:rtl/>
        </w:rPr>
        <w:t>. למעוטי מאי</w:t>
      </w:r>
      <w:r>
        <w:rPr>
          <w:rStyle w:val="a7"/>
          <w:rFonts w:cs="Arial"/>
          <w:rtl/>
        </w:rPr>
        <w:footnoteReference w:id="2090"/>
      </w:r>
      <w:r w:rsidRPr="004E4DB8">
        <w:rPr>
          <w:rFonts w:cs="Arial"/>
          <w:rtl/>
        </w:rPr>
        <w:t>? אילימא למעוטי שאר נכסים</w:t>
      </w:r>
      <w:r>
        <w:rPr>
          <w:rStyle w:val="a7"/>
          <w:rFonts w:cs="Arial"/>
          <w:rtl/>
        </w:rPr>
        <w:footnoteReference w:id="2091"/>
      </w:r>
      <w:r w:rsidRPr="004E4DB8">
        <w:rPr>
          <w:rFonts w:cs="Arial"/>
          <w:rtl/>
        </w:rPr>
        <w:t>, כל שכן</w:t>
      </w:r>
      <w:r>
        <w:rPr>
          <w:rStyle w:val="a7"/>
          <w:rFonts w:cs="Arial"/>
          <w:rtl/>
        </w:rPr>
        <w:footnoteReference w:id="2092"/>
      </w:r>
      <w:r w:rsidRPr="004E4DB8">
        <w:rPr>
          <w:rFonts w:cs="Arial"/>
          <w:rtl/>
        </w:rPr>
        <w:t xml:space="preserve"> דהויא ליה איבה, דאמר לה: עיניך נתת </w:t>
      </w:r>
      <w:r w:rsidRPr="004E4DB8">
        <w:rPr>
          <w:rFonts w:cs="Arial"/>
          <w:rtl/>
        </w:rPr>
        <w:lastRenderedPageBreak/>
        <w:t>בגירושין ובמיתה! אלא למעוטי נכסי מלוג</w:t>
      </w:r>
      <w:r>
        <w:rPr>
          <w:rStyle w:val="a7"/>
          <w:rFonts w:cs="Arial"/>
          <w:rtl/>
        </w:rPr>
        <w:footnoteReference w:id="2093"/>
      </w:r>
      <w:r>
        <w:rPr>
          <w:rFonts w:cs="Arial" w:hint="cs"/>
          <w:rtl/>
        </w:rPr>
        <w:t>.</w:t>
      </w:r>
      <w:r w:rsidRPr="004E4DB8">
        <w:rPr>
          <w:rFonts w:cs="Arial"/>
          <w:rtl/>
        </w:rPr>
        <w:t xml:space="preserve"> </w:t>
      </w:r>
      <w:bookmarkEnd w:id="2"/>
      <w:r w:rsidRPr="004E4DB8">
        <w:rPr>
          <w:rFonts w:cs="Arial"/>
          <w:rtl/>
        </w:rPr>
        <w:t>האמר אמימר: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דאמר רבי יוסי בר חנינא: באושא התקינו, האשה שמכרה בנכסי מלוג ומתה - הבעל מוצא מיד הלקוחות</w:t>
      </w:r>
      <w:r>
        <w:rPr>
          <w:rFonts w:cs="Arial" w:hint="cs"/>
          <w:rtl/>
        </w:rPr>
        <w:t>.</w:t>
      </w:r>
      <w:r w:rsidRPr="004E4DB8">
        <w:rPr>
          <w:rFonts w:cs="Arial"/>
          <w:rtl/>
        </w:rPr>
        <w:t xml:space="preserve"> אבל היכא דזבינו תרוייהו לעלמא, א"נ זבנה איהי לדידיה - זבינה זביני.</w:t>
      </w:r>
      <w:r>
        <w:rPr>
          <w:rFonts w:cs="Arial" w:hint="cs"/>
          <w:rtl/>
        </w:rPr>
        <w:t xml:space="preserve"> </w:t>
      </w:r>
      <w:r w:rsidRPr="00A650C3">
        <w:rPr>
          <w:rFonts w:cs="Arial" w:hint="cs"/>
          <w:sz w:val="16"/>
          <w:szCs w:val="16"/>
          <w:rtl/>
        </w:rPr>
        <w:t>(</w:t>
      </w:r>
      <w:r w:rsidRPr="00A650C3">
        <w:rPr>
          <w:rFonts w:cs="Arial"/>
          <w:sz w:val="16"/>
          <w:szCs w:val="16"/>
          <w:rtl/>
        </w:rPr>
        <w:t>וז"ל הרי"ף (כז.) והרא"ש (סי' נג) אבל זבינו תרווייהו לעלמא לא שנא זבין איהו ברישא והדר זבינה איהי ולא שנא זבינה איהי ברישא והדר זבין איהו אי נמי זבנה איהי לדידיה זבינייהו זביני ולא יכלה למימר נחת רוח עשיתי לבעלי אבל כל נכסי הבעל בין נכסי צאן ברזל בין שאר נכסי הבעל אם לקח מן האיש וחזר ולקח מן האשה בכולהו מציא למימר נחת רוח עשיתי לבעלי</w:t>
      </w:r>
      <w:r>
        <w:rPr>
          <w:rFonts w:cs="Arial" w:hint="cs"/>
          <w:sz w:val="16"/>
          <w:szCs w:val="16"/>
          <w:rtl/>
        </w:rPr>
        <w:t>, ב"י)</w:t>
      </w:r>
    </w:p>
    <w:p w14:paraId="4849D6C7" w14:textId="77777777" w:rsidR="002E5BAD" w:rsidRPr="00792F43" w:rsidRDefault="002E5BAD" w:rsidP="002E5BAD">
      <w:pPr>
        <w:rPr>
          <w:u w:val="single"/>
          <w:rtl/>
        </w:rPr>
      </w:pPr>
      <w:r w:rsidRPr="00792F43">
        <w:rPr>
          <w:rFonts w:hint="cs"/>
          <w:u w:val="single"/>
          <w:rtl/>
        </w:rPr>
        <w:t xml:space="preserve">בעל ואשה שמכרו </w:t>
      </w:r>
      <w:r>
        <w:rPr>
          <w:rFonts w:hint="cs"/>
          <w:sz w:val="16"/>
          <w:szCs w:val="16"/>
          <w:u w:val="single"/>
          <w:rtl/>
        </w:rPr>
        <w:t>(יחד או בזה אחר זה)</w:t>
      </w:r>
      <w:r>
        <w:rPr>
          <w:rFonts w:hint="cs"/>
          <w:u w:val="single"/>
          <w:rtl/>
        </w:rPr>
        <w:t xml:space="preserve"> </w:t>
      </w:r>
      <w:r w:rsidRPr="00792F43">
        <w:rPr>
          <w:rFonts w:hint="cs"/>
          <w:u w:val="single"/>
          <w:rtl/>
        </w:rPr>
        <w:t>נכסי מלוג:</w:t>
      </w:r>
    </w:p>
    <w:p w14:paraId="53C16855" w14:textId="77777777" w:rsidR="002E5BAD" w:rsidRDefault="002E5BAD" w:rsidP="002E5BAD">
      <w:pPr>
        <w:pStyle w:val="ab"/>
        <w:numPr>
          <w:ilvl w:val="0"/>
          <w:numId w:val="186"/>
        </w:numPr>
        <w:rPr>
          <w:rFonts w:cs="Arial"/>
        </w:rPr>
      </w:pPr>
      <w:r>
        <w:rPr>
          <w:rFonts w:cs="Arial" w:hint="cs"/>
          <w:rtl/>
        </w:rPr>
        <w:t xml:space="preserve">רמב"ם </w:t>
      </w:r>
      <w:r>
        <w:rPr>
          <w:rFonts w:cs="Arial" w:hint="cs"/>
          <w:sz w:val="16"/>
          <w:szCs w:val="16"/>
          <w:rtl/>
        </w:rPr>
        <w:t>(פכ"ב מאישות הט"ז)</w:t>
      </w:r>
      <w:r>
        <w:rPr>
          <w:rFonts w:cs="Arial" w:hint="cs"/>
          <w:rtl/>
        </w:rPr>
        <w:t xml:space="preserve"> ו</w:t>
      </w:r>
      <w:r w:rsidRPr="008C513A">
        <w:rPr>
          <w:rFonts w:cs="Arial" w:hint="cs"/>
          <w:rtl/>
        </w:rPr>
        <w:t>טור</w:t>
      </w:r>
      <w:r>
        <w:rPr>
          <w:rStyle w:val="a7"/>
          <w:rFonts w:cs="Arial"/>
          <w:rtl/>
        </w:rPr>
        <w:footnoteReference w:id="2094"/>
      </w:r>
      <w:r w:rsidRPr="008C513A">
        <w:rPr>
          <w:rFonts w:cs="Arial" w:hint="cs"/>
          <w:rtl/>
        </w:rPr>
        <w:t xml:space="preserve">- </w:t>
      </w:r>
      <w:r w:rsidRPr="00B10002">
        <w:rPr>
          <w:rFonts w:cs="Arial"/>
          <w:rtl/>
        </w:rPr>
        <w:t xml:space="preserve">מכרו שניהם בנכסי מלוג בין שלקח מן האיש תחלה וחזר ולקח מן האשה בין שלקח מן האשה וחזר ולקח מן האיש </w:t>
      </w:r>
      <w:r>
        <w:rPr>
          <w:rFonts w:cs="Arial" w:hint="cs"/>
          <w:rtl/>
        </w:rPr>
        <w:t xml:space="preserve">- </w:t>
      </w:r>
      <w:r w:rsidRPr="00B10002">
        <w:rPr>
          <w:rFonts w:cs="Arial"/>
          <w:rtl/>
        </w:rPr>
        <w:t>מכרן קיים</w:t>
      </w:r>
      <w:r>
        <w:rPr>
          <w:rFonts w:cs="Arial" w:hint="cs"/>
          <w:sz w:val="16"/>
          <w:szCs w:val="16"/>
          <w:rtl/>
        </w:rPr>
        <w:t xml:space="preserve"> (ל' הרמב"ם)</w:t>
      </w:r>
      <w:r w:rsidRPr="00B10002">
        <w:rPr>
          <w:rFonts w:cs="Arial"/>
          <w:rtl/>
        </w:rPr>
        <w:t xml:space="preserve">. </w:t>
      </w:r>
      <w:r w:rsidRPr="00763570">
        <w:rPr>
          <w:rFonts w:cs="Arial" w:hint="cs"/>
          <w:color w:val="E36C0A" w:themeColor="accent6" w:themeShade="BF"/>
          <w:rtl/>
        </w:rPr>
        <w:t>(וכ"פ בשו"ע)</w:t>
      </w:r>
    </w:p>
    <w:p w14:paraId="3DCC6F21" w14:textId="77777777" w:rsidR="002E5BAD" w:rsidRPr="00253625" w:rsidRDefault="002E5BAD" w:rsidP="002E5BAD">
      <w:pPr>
        <w:rPr>
          <w:rFonts w:cs="Arial"/>
        </w:rPr>
      </w:pPr>
      <w:r w:rsidRPr="00792F43">
        <w:rPr>
          <w:rFonts w:hint="cs"/>
          <w:u w:val="single"/>
          <w:rtl/>
        </w:rPr>
        <w:t xml:space="preserve">בעל ואשה שמכרו </w:t>
      </w:r>
      <w:r>
        <w:rPr>
          <w:rFonts w:hint="cs"/>
          <w:sz w:val="16"/>
          <w:szCs w:val="16"/>
          <w:u w:val="single"/>
          <w:rtl/>
        </w:rPr>
        <w:t>(יחד או בזה אחר זה)</w:t>
      </w:r>
      <w:r>
        <w:rPr>
          <w:rFonts w:hint="cs"/>
          <w:u w:val="single"/>
          <w:rtl/>
        </w:rPr>
        <w:t xml:space="preserve"> </w:t>
      </w:r>
      <w:r w:rsidRPr="00792F43">
        <w:rPr>
          <w:rFonts w:hint="cs"/>
          <w:u w:val="single"/>
          <w:rtl/>
        </w:rPr>
        <w:t xml:space="preserve">נכסי </w:t>
      </w:r>
      <w:r>
        <w:rPr>
          <w:rFonts w:hint="cs"/>
          <w:u w:val="single"/>
          <w:rtl/>
        </w:rPr>
        <w:t>צאן ברזל</w:t>
      </w:r>
      <w:r w:rsidRPr="00792F43">
        <w:rPr>
          <w:rFonts w:hint="cs"/>
          <w:u w:val="single"/>
          <w:rtl/>
        </w:rPr>
        <w:t>:</w:t>
      </w:r>
    </w:p>
    <w:p w14:paraId="66D00E31" w14:textId="77777777" w:rsidR="002E5BAD" w:rsidRDefault="002E5BAD" w:rsidP="002E5BAD">
      <w:pPr>
        <w:pStyle w:val="ab"/>
        <w:numPr>
          <w:ilvl w:val="0"/>
          <w:numId w:val="186"/>
        </w:numPr>
        <w:rPr>
          <w:rFonts w:cs="Arial"/>
        </w:rPr>
      </w:pPr>
      <w:bookmarkStart w:id="3" w:name="_Hlk69730147"/>
      <w:r w:rsidRPr="00FC05BD">
        <w:rPr>
          <w:rFonts w:cs="Arial"/>
          <w:rtl/>
        </w:rPr>
        <w:t>רמב"ם</w:t>
      </w:r>
      <w:r w:rsidRPr="00FC05BD">
        <w:rPr>
          <w:rStyle w:val="a7"/>
          <w:rFonts w:cs="Arial"/>
          <w:rtl/>
        </w:rPr>
        <w:footnoteReference w:id="2095"/>
      </w:r>
      <w:r w:rsidRPr="00FC05BD">
        <w:rPr>
          <w:rFonts w:cs="Arial"/>
          <w:rtl/>
        </w:rPr>
        <w:t xml:space="preserve"> </w:t>
      </w:r>
      <w:r w:rsidRPr="00FC05BD">
        <w:rPr>
          <w:rFonts w:cs="Arial" w:hint="cs"/>
          <w:sz w:val="16"/>
          <w:szCs w:val="16"/>
          <w:rtl/>
        </w:rPr>
        <w:t>(</w:t>
      </w:r>
      <w:r w:rsidRPr="00FC05BD">
        <w:rPr>
          <w:rFonts w:cs="Arial"/>
          <w:sz w:val="16"/>
          <w:szCs w:val="16"/>
          <w:rtl/>
        </w:rPr>
        <w:t>פי"ז מאישות הי"א)</w:t>
      </w:r>
      <w:r w:rsidRPr="00FC05BD">
        <w:rPr>
          <w:rFonts w:cs="Arial" w:hint="cs"/>
          <w:rtl/>
        </w:rPr>
        <w:t xml:space="preserve"> וטור- </w:t>
      </w:r>
      <w:bookmarkEnd w:id="3"/>
      <w:r w:rsidRPr="00FC05BD">
        <w:rPr>
          <w:rFonts w:cs="Arial"/>
          <w:rtl/>
        </w:rPr>
        <w:t>אבל בנכסי צאן ברזל ובשאר כל נכסי הבעל</w:t>
      </w:r>
      <w:r w:rsidRPr="00FC05BD">
        <w:rPr>
          <w:rFonts w:cs="Arial" w:hint="cs"/>
          <w:rtl/>
        </w:rPr>
        <w:t>,</w:t>
      </w:r>
      <w:r w:rsidRPr="00FC05BD">
        <w:rPr>
          <w:rFonts w:cs="Arial"/>
          <w:rtl/>
        </w:rPr>
        <w:t xml:space="preserve"> אם לקח מהאשה ואח"כ מהאיש </w:t>
      </w:r>
      <w:r w:rsidRPr="00FC05BD">
        <w:rPr>
          <w:rFonts w:cs="Arial" w:hint="cs"/>
          <w:rtl/>
        </w:rPr>
        <w:t xml:space="preserve">- </w:t>
      </w:r>
      <w:r w:rsidRPr="008C513A">
        <w:rPr>
          <w:rFonts w:cs="Arial"/>
          <w:rtl/>
        </w:rPr>
        <w:t>המכר קיים</w:t>
      </w:r>
      <w:r>
        <w:rPr>
          <w:rFonts w:cs="Arial" w:hint="cs"/>
          <w:rtl/>
        </w:rPr>
        <w:t>.</w:t>
      </w:r>
      <w:r w:rsidRPr="008C513A">
        <w:rPr>
          <w:rFonts w:cs="Arial"/>
          <w:rtl/>
        </w:rPr>
        <w:t xml:space="preserve"> אבל אם לקח מהאיש ואחר כך מהאשה</w:t>
      </w:r>
      <w:r>
        <w:rPr>
          <w:rFonts w:cs="Arial" w:hint="cs"/>
          <w:rtl/>
        </w:rPr>
        <w:t>,</w:t>
      </w:r>
      <w:r w:rsidRPr="008C513A">
        <w:rPr>
          <w:rFonts w:cs="Arial"/>
          <w:rtl/>
        </w:rPr>
        <w:t xml:space="preserve"> או שמכרו שניהם ביחד </w:t>
      </w:r>
      <w:r>
        <w:rPr>
          <w:rFonts w:cs="Arial" w:hint="cs"/>
          <w:rtl/>
        </w:rPr>
        <w:t xml:space="preserve">- </w:t>
      </w:r>
      <w:r w:rsidRPr="008C513A">
        <w:rPr>
          <w:rFonts w:cs="Arial"/>
          <w:rtl/>
        </w:rPr>
        <w:t>המכר בטל</w:t>
      </w:r>
      <w:r>
        <w:rPr>
          <w:rFonts w:cs="Arial" w:hint="cs"/>
          <w:rtl/>
        </w:rPr>
        <w:t>,</w:t>
      </w:r>
      <w:r w:rsidRPr="008C513A">
        <w:rPr>
          <w:rFonts w:cs="Arial"/>
          <w:rtl/>
        </w:rPr>
        <w:t xml:space="preserve"> מפני שיכולה לומר נחת רוח עשיתי לבעלי</w:t>
      </w:r>
      <w:r>
        <w:rPr>
          <w:rStyle w:val="a7"/>
          <w:rFonts w:cs="Arial"/>
          <w:rtl/>
        </w:rPr>
        <w:footnoteReference w:id="2096"/>
      </w:r>
      <w:r>
        <w:rPr>
          <w:rFonts w:cs="Arial" w:hint="cs"/>
          <w:sz w:val="16"/>
          <w:szCs w:val="16"/>
          <w:rtl/>
        </w:rPr>
        <w:t xml:space="preserve"> (ל' הטור)</w:t>
      </w:r>
      <w:r>
        <w:rPr>
          <w:rFonts w:cs="Arial" w:hint="cs"/>
          <w:rtl/>
        </w:rPr>
        <w:t>.</w:t>
      </w:r>
      <w:r w:rsidRPr="008C513A">
        <w:rPr>
          <w:rFonts w:cs="Arial"/>
          <w:rtl/>
        </w:rPr>
        <w:t xml:space="preserve"> </w:t>
      </w:r>
      <w:r w:rsidRPr="00763570">
        <w:rPr>
          <w:rFonts w:cs="Arial" w:hint="cs"/>
          <w:color w:val="E36C0A" w:themeColor="accent6" w:themeShade="BF"/>
          <w:rtl/>
        </w:rPr>
        <w:t>(וכ"פ בשו"ע)</w:t>
      </w:r>
    </w:p>
    <w:p w14:paraId="56BD5966" w14:textId="77777777" w:rsidR="002E5BAD" w:rsidRPr="005F7941" w:rsidRDefault="002E5BAD" w:rsidP="002E5BAD">
      <w:pPr>
        <w:ind w:left="360"/>
        <w:rPr>
          <w:rFonts w:cs="Arial"/>
          <w:u w:val="dotted"/>
        </w:rPr>
      </w:pPr>
      <w:r w:rsidRPr="005F7941">
        <w:rPr>
          <w:rFonts w:cs="Arial" w:hint="cs"/>
          <w:u w:val="dotted"/>
          <w:rtl/>
        </w:rPr>
        <w:t xml:space="preserve">ומה הדין אם </w:t>
      </w:r>
      <w:r>
        <w:rPr>
          <w:rFonts w:cs="Arial" w:hint="cs"/>
          <w:u w:val="dotted"/>
          <w:rtl/>
        </w:rPr>
        <w:t xml:space="preserve">נתן הלוקח לאשה </w:t>
      </w:r>
      <w:r w:rsidRPr="005F7941">
        <w:rPr>
          <w:rFonts w:cs="Arial" w:hint="cs"/>
          <w:u w:val="dotted"/>
          <w:rtl/>
        </w:rPr>
        <w:t>מעות</w:t>
      </w:r>
      <w:r>
        <w:rPr>
          <w:rFonts w:cs="Arial" w:hint="cs"/>
          <w:u w:val="dotted"/>
          <w:rtl/>
        </w:rPr>
        <w:t xml:space="preserve"> </w:t>
      </w:r>
      <w:r w:rsidRPr="005F7941">
        <w:rPr>
          <w:rFonts w:cs="Arial" w:hint="cs"/>
          <w:u w:val="dotted"/>
          <w:rtl/>
        </w:rPr>
        <w:t>כשח</w:t>
      </w:r>
      <w:r>
        <w:rPr>
          <w:rFonts w:cs="Arial" w:hint="cs"/>
          <w:u w:val="dotted"/>
          <w:rtl/>
        </w:rPr>
        <w:t>ז</w:t>
      </w:r>
      <w:r w:rsidRPr="005F7941">
        <w:rPr>
          <w:rFonts w:cs="Arial" w:hint="cs"/>
          <w:u w:val="dotted"/>
          <w:rtl/>
        </w:rPr>
        <w:t>ר ולקח ממנה:</w:t>
      </w:r>
    </w:p>
    <w:p w14:paraId="391B719A" w14:textId="77777777" w:rsidR="002E5BAD" w:rsidRPr="007C1187" w:rsidRDefault="002E5BAD" w:rsidP="002E5BAD">
      <w:pPr>
        <w:pStyle w:val="ab"/>
        <w:numPr>
          <w:ilvl w:val="0"/>
          <w:numId w:val="186"/>
        </w:numPr>
        <w:rPr>
          <w:rFonts w:cs="Arial"/>
          <w:rtl/>
        </w:rPr>
      </w:pPr>
      <w:r w:rsidRPr="005F7941">
        <w:rPr>
          <w:rFonts w:cs="Arial" w:hint="cs"/>
          <w:rtl/>
        </w:rPr>
        <w:t xml:space="preserve">רי"ו </w:t>
      </w:r>
      <w:r w:rsidRPr="005F7941">
        <w:rPr>
          <w:rFonts w:cs="Arial" w:hint="cs"/>
          <w:sz w:val="16"/>
          <w:szCs w:val="16"/>
          <w:rtl/>
        </w:rPr>
        <w:t>(</w:t>
      </w:r>
      <w:r w:rsidRPr="005F7941">
        <w:rPr>
          <w:rFonts w:cs="Arial"/>
          <w:sz w:val="16"/>
          <w:szCs w:val="16"/>
          <w:rtl/>
        </w:rPr>
        <w:t>מישרים נכ"ג ח"י סג ע"ג)</w:t>
      </w:r>
      <w:r>
        <w:rPr>
          <w:rFonts w:cs="Arial" w:hint="cs"/>
          <w:rtl/>
        </w:rPr>
        <w:t>-</w:t>
      </w:r>
      <w:r w:rsidRPr="005F7941">
        <w:rPr>
          <w:rFonts w:cs="Arial"/>
          <w:rtl/>
        </w:rPr>
        <w:t xml:space="preserve"> אם קיבלה מעות כשחזר ולקח מן האשה </w:t>
      </w:r>
      <w:r>
        <w:rPr>
          <w:rFonts w:cs="Arial" w:hint="cs"/>
          <w:rtl/>
        </w:rPr>
        <w:t xml:space="preserve">- </w:t>
      </w:r>
      <w:r w:rsidRPr="005F7941">
        <w:rPr>
          <w:rFonts w:cs="Arial"/>
          <w:rtl/>
        </w:rPr>
        <w:t>המקח קיים בכל ענין דאגב זוזי גמרה ומקנה</w:t>
      </w:r>
      <w:r>
        <w:rPr>
          <w:rStyle w:val="a7"/>
          <w:rFonts w:cs="Arial"/>
          <w:rtl/>
        </w:rPr>
        <w:footnoteReference w:id="2097"/>
      </w:r>
      <w:r w:rsidRPr="005F7941">
        <w:rPr>
          <w:rFonts w:cs="Arial" w:hint="cs"/>
          <w:rtl/>
        </w:rPr>
        <w:t>.</w:t>
      </w:r>
      <w:r>
        <w:rPr>
          <w:rFonts w:cs="Arial" w:hint="cs"/>
          <w:rtl/>
        </w:rPr>
        <w:t xml:space="preserve"> </w:t>
      </w:r>
      <w:r w:rsidRPr="00741D85">
        <w:rPr>
          <w:rFonts w:cs="Arial" w:hint="cs"/>
          <w:color w:val="00B0F0"/>
          <w:rtl/>
        </w:rPr>
        <w:t>(וכ"פ הרמ"א</w:t>
      </w:r>
      <w:r w:rsidRPr="00741D85">
        <w:rPr>
          <w:rFonts w:cs="Arial" w:hint="cs"/>
          <w:color w:val="00B0F0"/>
          <w:sz w:val="16"/>
          <w:szCs w:val="16"/>
          <w:rtl/>
        </w:rPr>
        <w:t xml:space="preserve"> </w:t>
      </w:r>
      <w:r>
        <w:rPr>
          <w:rFonts w:cs="Arial" w:hint="cs"/>
          <w:sz w:val="16"/>
          <w:szCs w:val="16"/>
          <w:rtl/>
        </w:rPr>
        <w:t>[בסע' יז]</w:t>
      </w:r>
      <w:r w:rsidRPr="00741D85">
        <w:rPr>
          <w:rFonts w:cs="Arial" w:hint="cs"/>
          <w:color w:val="00B0F0"/>
          <w:rtl/>
        </w:rPr>
        <w:t>)</w:t>
      </w:r>
      <w:r>
        <w:rPr>
          <w:rFonts w:cs="Arial" w:hint="cs"/>
          <w:rtl/>
        </w:rPr>
        <w:t xml:space="preserve"> </w:t>
      </w:r>
    </w:p>
    <w:p w14:paraId="6CE1E8B9" w14:textId="77777777" w:rsidR="002E5BAD" w:rsidRPr="005921AF" w:rsidRDefault="002E5BAD" w:rsidP="002E5BAD">
      <w:pPr>
        <w:ind w:left="360"/>
        <w:rPr>
          <w:rFonts w:cs="Arial"/>
          <w:u w:val="dotted"/>
        </w:rPr>
      </w:pPr>
      <w:r w:rsidRPr="005921AF">
        <w:rPr>
          <w:rFonts w:cs="Arial" w:hint="cs"/>
          <w:u w:val="dotted"/>
          <w:rtl/>
        </w:rPr>
        <w:t xml:space="preserve">במקרה שהמקח בטל </w:t>
      </w:r>
      <w:r w:rsidRPr="005921AF">
        <w:rPr>
          <w:rFonts w:cs="Arial"/>
          <w:u w:val="dotted"/>
          <w:rtl/>
        </w:rPr>
        <w:t>–</w:t>
      </w:r>
      <w:r w:rsidRPr="005921AF">
        <w:rPr>
          <w:rFonts w:cs="Arial" w:hint="cs"/>
          <w:u w:val="dotted"/>
          <w:rtl/>
        </w:rPr>
        <w:t xml:space="preserve"> האם יש ללוקח לפחות פירות:</w:t>
      </w:r>
    </w:p>
    <w:p w14:paraId="31AA01DC" w14:textId="77777777" w:rsidR="002E5BAD" w:rsidRPr="008472CD" w:rsidRDefault="002E5BAD" w:rsidP="002E5BAD">
      <w:pPr>
        <w:pStyle w:val="ab"/>
        <w:numPr>
          <w:ilvl w:val="0"/>
          <w:numId w:val="186"/>
        </w:numPr>
        <w:rPr>
          <w:rFonts w:cs="Arial"/>
          <w:rtl/>
        </w:rPr>
      </w:pPr>
      <w:r w:rsidRPr="008472CD">
        <w:rPr>
          <w:rFonts w:cs="Arial"/>
          <w:rtl/>
        </w:rPr>
        <w:t xml:space="preserve">רשב"א </w:t>
      </w:r>
      <w:r w:rsidRPr="008472CD">
        <w:rPr>
          <w:rFonts w:cs="Arial"/>
          <w:sz w:val="16"/>
          <w:szCs w:val="16"/>
          <w:rtl/>
        </w:rPr>
        <w:t>(ב"ב מט: ד"ה הא דאמרינן</w:t>
      </w:r>
      <w:r w:rsidRPr="008472CD">
        <w:rPr>
          <w:rFonts w:cs="Arial" w:hint="cs"/>
          <w:sz w:val="16"/>
          <w:szCs w:val="16"/>
          <w:rtl/>
        </w:rPr>
        <w:t>, הביאו הה"מ [פ"ל מהל' מכירה ה"ג]</w:t>
      </w:r>
      <w:r w:rsidRPr="008472CD">
        <w:rPr>
          <w:rFonts w:cs="Arial"/>
          <w:sz w:val="16"/>
          <w:szCs w:val="16"/>
          <w:rtl/>
        </w:rPr>
        <w:t>)</w:t>
      </w:r>
      <w:r>
        <w:rPr>
          <w:rFonts w:cs="Arial" w:hint="cs"/>
          <w:rtl/>
        </w:rPr>
        <w:t xml:space="preserve">- </w:t>
      </w:r>
      <w:r w:rsidRPr="005921AF">
        <w:rPr>
          <w:rFonts w:cs="Arial"/>
          <w:rtl/>
        </w:rPr>
        <w:t xml:space="preserve">ומיהו אם מכרו הבעל לפירות בלבד </w:t>
      </w:r>
      <w:r>
        <w:rPr>
          <w:rFonts w:cs="Arial" w:hint="cs"/>
          <w:rtl/>
        </w:rPr>
        <w:t xml:space="preserve">- </w:t>
      </w:r>
      <w:r w:rsidRPr="005921AF">
        <w:rPr>
          <w:rFonts w:cs="Arial"/>
          <w:rtl/>
        </w:rPr>
        <w:t>הרשות בידו, דפירות שלו הן לגמרי</w:t>
      </w:r>
      <w:r>
        <w:rPr>
          <w:rFonts w:cs="Arial" w:hint="cs"/>
          <w:rtl/>
        </w:rPr>
        <w:t>.</w:t>
      </w:r>
      <w:r w:rsidRPr="005921AF">
        <w:rPr>
          <w:rFonts w:cs="Arial"/>
          <w:rtl/>
        </w:rPr>
        <w:t xml:space="preserve"> אבל כשמכר גוף ופירות, אפי' אמר לוקח הניחו לי ואוכל פירות כל ימי הבעל </w:t>
      </w:r>
      <w:r>
        <w:rPr>
          <w:rFonts w:cs="Arial" w:hint="cs"/>
          <w:rtl/>
        </w:rPr>
        <w:t xml:space="preserve">- </w:t>
      </w:r>
      <w:r w:rsidRPr="005921AF">
        <w:rPr>
          <w:rFonts w:cs="Arial"/>
          <w:rtl/>
        </w:rPr>
        <w:t>אין שומעין לו, שהבעל לא לפירות מכר לו אלא גוף ופירות ומקח אחד הוא, וכיון שבטל מקחו בגוף ואין הפירות אלא מצד מקח הקרקע הכל בטל, ואפי' פירות אינו אוכל</w:t>
      </w:r>
      <w:r w:rsidRPr="008472CD">
        <w:rPr>
          <w:rFonts w:cs="Arial"/>
          <w:rtl/>
        </w:rPr>
        <w:t xml:space="preserve">. </w:t>
      </w:r>
    </w:p>
    <w:p w14:paraId="62162A1D" w14:textId="77777777" w:rsidR="002E5BAD" w:rsidRPr="00253625" w:rsidRDefault="002E5BAD" w:rsidP="002E5BAD">
      <w:pPr>
        <w:rPr>
          <w:rFonts w:cs="Arial"/>
          <w:u w:val="single"/>
        </w:rPr>
      </w:pPr>
      <w:r w:rsidRPr="00253625">
        <w:rPr>
          <w:rFonts w:cs="Arial" w:hint="cs"/>
          <w:u w:val="single"/>
          <w:rtl/>
        </w:rPr>
        <w:t>אשה שמכרה/נתנה לבעלה נ</w:t>
      </w:r>
      <w:r>
        <w:rPr>
          <w:rFonts w:cs="Arial" w:hint="cs"/>
          <w:u w:val="single"/>
          <w:rtl/>
        </w:rPr>
        <w:t>כסים</w:t>
      </w:r>
      <w:r w:rsidRPr="00253625">
        <w:rPr>
          <w:rFonts w:cs="Arial" w:hint="cs"/>
          <w:u w:val="single"/>
          <w:rtl/>
        </w:rPr>
        <w:t>:</w:t>
      </w:r>
    </w:p>
    <w:p w14:paraId="075A8889" w14:textId="77777777" w:rsidR="002E5BAD" w:rsidRPr="00B10002" w:rsidRDefault="002E5BAD" w:rsidP="002E5BAD">
      <w:pPr>
        <w:pStyle w:val="ab"/>
        <w:numPr>
          <w:ilvl w:val="0"/>
          <w:numId w:val="186"/>
        </w:numPr>
        <w:rPr>
          <w:rFonts w:cs="Arial"/>
        </w:rPr>
      </w:pPr>
      <w:r>
        <w:rPr>
          <w:rFonts w:cs="Arial" w:hint="cs"/>
          <w:rtl/>
        </w:rPr>
        <w:t>רמב"ם</w:t>
      </w:r>
      <w:r>
        <w:rPr>
          <w:rStyle w:val="a7"/>
          <w:rFonts w:cs="Arial"/>
          <w:rtl/>
        </w:rPr>
        <w:footnoteReference w:id="2098"/>
      </w:r>
      <w:r>
        <w:rPr>
          <w:rFonts w:cs="Arial" w:hint="cs"/>
          <w:rtl/>
        </w:rPr>
        <w:t xml:space="preserve"> </w:t>
      </w:r>
      <w:r>
        <w:rPr>
          <w:rFonts w:cs="Arial" w:hint="cs"/>
          <w:sz w:val="16"/>
          <w:szCs w:val="16"/>
          <w:rtl/>
        </w:rPr>
        <w:t>(פכ"ב מאישות הי</w:t>
      </w:r>
      <w:r w:rsidRPr="00B10002">
        <w:rPr>
          <w:rFonts w:cs="Arial" w:hint="cs"/>
          <w:sz w:val="16"/>
          <w:szCs w:val="16"/>
          <w:rtl/>
        </w:rPr>
        <w:t>"ז)</w:t>
      </w:r>
      <w:r w:rsidRPr="00B10002">
        <w:rPr>
          <w:rFonts w:cs="Arial" w:hint="cs"/>
          <w:rtl/>
        </w:rPr>
        <w:t xml:space="preserve"> וטור- </w:t>
      </w:r>
      <w:r w:rsidRPr="00B10002">
        <w:rPr>
          <w:rFonts w:cs="Arial"/>
          <w:rtl/>
        </w:rPr>
        <w:t xml:space="preserve">וכ"ש אם מכרה או נתנה לבעלה מנכסי צאן ברזל </w:t>
      </w:r>
      <w:r w:rsidRPr="00B10002">
        <w:rPr>
          <w:rFonts w:cs="Arial" w:hint="cs"/>
          <w:rtl/>
        </w:rPr>
        <w:t xml:space="preserve">- </w:t>
      </w:r>
      <w:r w:rsidRPr="00B10002">
        <w:rPr>
          <w:rFonts w:cs="Arial"/>
          <w:rtl/>
        </w:rPr>
        <w:t>שאינה כלום</w:t>
      </w:r>
      <w:r w:rsidRPr="00B10002">
        <w:rPr>
          <w:rFonts w:cs="Arial" w:hint="cs"/>
          <w:rtl/>
        </w:rPr>
        <w:t>,</w:t>
      </w:r>
      <w:r w:rsidRPr="00B10002">
        <w:rPr>
          <w:rFonts w:cs="Arial"/>
          <w:rtl/>
        </w:rPr>
        <w:t xml:space="preserve"> שיכולה לומר מפני נחת רוח עשיתיו</w:t>
      </w:r>
      <w:r w:rsidRPr="00B10002">
        <w:rPr>
          <w:rFonts w:cs="Arial" w:hint="cs"/>
          <w:rtl/>
        </w:rPr>
        <w:t>.</w:t>
      </w:r>
      <w:r w:rsidRPr="00B10002">
        <w:rPr>
          <w:rFonts w:cs="Arial"/>
          <w:rtl/>
        </w:rPr>
        <w:t xml:space="preserve"> אבל אם מכרה או נתנה לו מנכסי מלוג שלה </w:t>
      </w:r>
      <w:r>
        <w:rPr>
          <w:rFonts w:cs="Arial"/>
          <w:rtl/>
        </w:rPr>
        <w:t>–</w:t>
      </w:r>
      <w:r w:rsidRPr="00B10002">
        <w:rPr>
          <w:rFonts w:cs="Arial" w:hint="cs"/>
          <w:rtl/>
        </w:rPr>
        <w:t xml:space="preserve"> </w:t>
      </w:r>
      <w:r w:rsidRPr="00B10002">
        <w:rPr>
          <w:rFonts w:cs="Arial"/>
          <w:rtl/>
        </w:rPr>
        <w:t>קיים</w:t>
      </w:r>
      <w:r>
        <w:rPr>
          <w:rFonts w:cs="Arial" w:hint="cs"/>
          <w:sz w:val="16"/>
          <w:szCs w:val="16"/>
          <w:rtl/>
        </w:rPr>
        <w:t xml:space="preserve"> (ל' הטור)</w:t>
      </w:r>
      <w:r w:rsidRPr="00B10002">
        <w:rPr>
          <w:rFonts w:cs="Arial" w:hint="cs"/>
          <w:rtl/>
        </w:rPr>
        <w:t>.</w:t>
      </w:r>
      <w:r w:rsidRPr="00657A0D">
        <w:rPr>
          <w:rFonts w:cs="Arial" w:hint="cs"/>
          <w:color w:val="E36C0A" w:themeColor="accent6" w:themeShade="BF"/>
          <w:rtl/>
        </w:rPr>
        <w:t xml:space="preserve"> </w:t>
      </w:r>
      <w:r w:rsidRPr="00763570">
        <w:rPr>
          <w:rFonts w:cs="Arial" w:hint="cs"/>
          <w:color w:val="E36C0A" w:themeColor="accent6" w:themeShade="BF"/>
          <w:rtl/>
        </w:rPr>
        <w:t>(וכ"פ בשו"ע)</w:t>
      </w:r>
    </w:p>
    <w:p w14:paraId="373495C2" w14:textId="77777777" w:rsidR="002E5BAD" w:rsidRPr="005921AF" w:rsidRDefault="002E5BAD" w:rsidP="002E5BAD">
      <w:pPr>
        <w:rPr>
          <w:rFonts w:cs="Arial"/>
          <w:u w:val="single"/>
          <w:rtl/>
        </w:rPr>
      </w:pPr>
      <w:r>
        <w:rPr>
          <w:rFonts w:cs="Arial" w:hint="cs"/>
          <w:u w:val="single"/>
          <w:rtl/>
        </w:rPr>
        <w:t xml:space="preserve">סיכום </w:t>
      </w:r>
      <w:r w:rsidRPr="005921AF">
        <w:rPr>
          <w:rFonts w:cs="Arial"/>
          <w:u w:val="single"/>
          <w:rtl/>
        </w:rPr>
        <w:t>מכירת הבעל</w:t>
      </w:r>
      <w:r>
        <w:rPr>
          <w:rFonts w:cs="Arial" w:hint="cs"/>
          <w:u w:val="single"/>
          <w:rtl/>
        </w:rPr>
        <w:t xml:space="preserve"> לשלשה דינים:</w:t>
      </w:r>
      <w:r w:rsidRPr="005921AF">
        <w:rPr>
          <w:rFonts w:cs="Arial" w:hint="cs"/>
          <w:u w:val="single"/>
          <w:rtl/>
        </w:rPr>
        <w:t xml:space="preserve"> </w:t>
      </w:r>
    </w:p>
    <w:p w14:paraId="776210D6" w14:textId="77777777" w:rsidR="002E5BAD" w:rsidRPr="00D0315E" w:rsidRDefault="002E5BAD" w:rsidP="002E5BAD">
      <w:pPr>
        <w:pStyle w:val="ab"/>
        <w:numPr>
          <w:ilvl w:val="0"/>
          <w:numId w:val="186"/>
        </w:numPr>
        <w:rPr>
          <w:rFonts w:cs="Arial"/>
          <w:rtl/>
        </w:rPr>
      </w:pPr>
      <w:r w:rsidRPr="005921AF">
        <w:rPr>
          <w:rFonts w:cs="Arial" w:hint="cs"/>
          <w:rtl/>
        </w:rPr>
        <w:t xml:space="preserve">רשב"א </w:t>
      </w:r>
      <w:r w:rsidRPr="005921AF">
        <w:rPr>
          <w:rFonts w:cs="Arial" w:hint="cs"/>
          <w:sz w:val="16"/>
          <w:szCs w:val="16"/>
          <w:rtl/>
        </w:rPr>
        <w:t>(ח"ג סי' סח, וכן בח"א סי' תתקמט, ובח"ד סי' רעו)</w:t>
      </w:r>
      <w:r w:rsidRPr="005921AF">
        <w:rPr>
          <w:rFonts w:cs="Arial" w:hint="cs"/>
          <w:rtl/>
        </w:rPr>
        <w:t xml:space="preserve">- </w:t>
      </w:r>
      <w:r w:rsidRPr="005921AF">
        <w:rPr>
          <w:rFonts w:cs="Arial"/>
          <w:rtl/>
        </w:rPr>
        <w:t>ולפי מה שכתבתי לך שלשה דינין יש במכירת הבעל</w:t>
      </w:r>
      <w:r w:rsidRPr="005921AF">
        <w:rPr>
          <w:rFonts w:cs="Arial" w:hint="cs"/>
          <w:rtl/>
        </w:rPr>
        <w:t>.</w:t>
      </w:r>
      <w:r w:rsidRPr="005921AF">
        <w:rPr>
          <w:rFonts w:cs="Arial"/>
          <w:rtl/>
        </w:rPr>
        <w:t xml:space="preserve"> באותן שלש שדות</w:t>
      </w:r>
      <w:r w:rsidRPr="005921AF">
        <w:rPr>
          <w:rFonts w:cs="Arial" w:hint="cs"/>
          <w:rtl/>
        </w:rPr>
        <w:t>,</w:t>
      </w:r>
      <w:r w:rsidRPr="005921AF">
        <w:rPr>
          <w:rFonts w:cs="Arial"/>
          <w:rtl/>
        </w:rPr>
        <w:t xml:space="preserve"> לקח מן האיש וחזר ולקח מן האשה </w:t>
      </w:r>
      <w:r w:rsidRPr="005921AF">
        <w:rPr>
          <w:rFonts w:cs="Arial" w:hint="cs"/>
          <w:rtl/>
        </w:rPr>
        <w:t xml:space="preserve">- </w:t>
      </w:r>
      <w:r w:rsidRPr="005921AF">
        <w:rPr>
          <w:rFonts w:cs="Arial"/>
          <w:rtl/>
        </w:rPr>
        <w:t>בטל מיד</w:t>
      </w:r>
      <w:r w:rsidRPr="005921AF">
        <w:rPr>
          <w:rFonts w:cs="Arial" w:hint="cs"/>
          <w:rtl/>
        </w:rPr>
        <w:t>.</w:t>
      </w:r>
      <w:r w:rsidRPr="005921AF">
        <w:rPr>
          <w:rFonts w:cs="Arial"/>
          <w:rtl/>
        </w:rPr>
        <w:t xml:space="preserve"> ובשאר נכסיו</w:t>
      </w:r>
      <w:r w:rsidRPr="005921AF">
        <w:rPr>
          <w:rFonts w:cs="Arial" w:hint="cs"/>
          <w:rtl/>
        </w:rPr>
        <w:t xml:space="preserve">, </w:t>
      </w:r>
      <w:r w:rsidRPr="005921AF">
        <w:rPr>
          <w:rFonts w:cs="Arial"/>
          <w:rtl/>
        </w:rPr>
        <w:t>אינו בטל מיד אלא עד שתבא לגבות כתובתה</w:t>
      </w:r>
      <w:r w:rsidRPr="005921AF">
        <w:rPr>
          <w:rFonts w:cs="Arial" w:hint="cs"/>
          <w:rtl/>
        </w:rPr>
        <w:t>.</w:t>
      </w:r>
      <w:r w:rsidRPr="005921AF">
        <w:rPr>
          <w:rFonts w:cs="Arial"/>
          <w:rtl/>
        </w:rPr>
        <w:t xml:space="preserve"> ובאלו ובאלו</w:t>
      </w:r>
      <w:r w:rsidRPr="005921AF">
        <w:rPr>
          <w:rFonts w:cs="Arial" w:hint="cs"/>
          <w:rtl/>
        </w:rPr>
        <w:t>,</w:t>
      </w:r>
      <w:r w:rsidRPr="005921AF">
        <w:rPr>
          <w:rFonts w:cs="Arial"/>
          <w:rtl/>
        </w:rPr>
        <w:t xml:space="preserve"> אם קנו מן האשה ואחר כך קנו מן הבעל או שקבלה עליה אחריות </w:t>
      </w:r>
      <w:r w:rsidRPr="005921AF">
        <w:rPr>
          <w:rFonts w:cs="Arial" w:hint="cs"/>
          <w:rtl/>
        </w:rPr>
        <w:t xml:space="preserve">- </w:t>
      </w:r>
      <w:r w:rsidRPr="005921AF">
        <w:rPr>
          <w:rFonts w:cs="Arial"/>
          <w:rtl/>
        </w:rPr>
        <w:t>קיים לעולם</w:t>
      </w:r>
      <w:r w:rsidRPr="005921AF">
        <w:rPr>
          <w:rFonts w:cs="Arial" w:hint="cs"/>
          <w:rtl/>
        </w:rPr>
        <w:t>.</w:t>
      </w:r>
      <w:r w:rsidRPr="005921AF">
        <w:rPr>
          <w:rFonts w:cs="Arial"/>
          <w:rtl/>
        </w:rPr>
        <w:t xml:space="preserve"> ובנכסי מלוג</w:t>
      </w:r>
      <w:r w:rsidRPr="005921AF">
        <w:rPr>
          <w:rFonts w:cs="Arial" w:hint="cs"/>
          <w:rtl/>
        </w:rPr>
        <w:t>,</w:t>
      </w:r>
      <w:r w:rsidRPr="005921AF">
        <w:rPr>
          <w:rFonts w:cs="Arial"/>
          <w:rtl/>
        </w:rPr>
        <w:t xml:space="preserve"> אפילו קנו מן האיש ואח</w:t>
      </w:r>
      <w:r w:rsidRPr="005921AF">
        <w:rPr>
          <w:rFonts w:cs="Arial" w:hint="cs"/>
          <w:rtl/>
        </w:rPr>
        <w:t>"</w:t>
      </w:r>
      <w:r w:rsidRPr="005921AF">
        <w:rPr>
          <w:rFonts w:cs="Arial"/>
          <w:rtl/>
        </w:rPr>
        <w:t xml:space="preserve">כ מן האשה </w:t>
      </w:r>
      <w:r w:rsidRPr="005921AF">
        <w:rPr>
          <w:rFonts w:cs="Arial" w:hint="cs"/>
          <w:rtl/>
        </w:rPr>
        <w:t xml:space="preserve">- </w:t>
      </w:r>
      <w:r w:rsidRPr="005921AF">
        <w:rPr>
          <w:rFonts w:cs="Arial"/>
          <w:rtl/>
        </w:rPr>
        <w:t>מקחו קיים ולא מצי למימר נחת רוח עשיתי לבעלי</w:t>
      </w:r>
      <w:r w:rsidRPr="005921AF">
        <w:rPr>
          <w:rFonts w:cs="Arial" w:hint="cs"/>
          <w:rtl/>
        </w:rPr>
        <w:t>,</w:t>
      </w:r>
      <w:r w:rsidRPr="005921AF">
        <w:rPr>
          <w:rFonts w:cs="Arial"/>
          <w:rtl/>
        </w:rPr>
        <w:t xml:space="preserve"> וכדאיתא בפרק חזקת הבתים</w:t>
      </w:r>
      <w:r>
        <w:rPr>
          <w:rStyle w:val="a7"/>
          <w:rFonts w:cs="Arial"/>
          <w:rtl/>
        </w:rPr>
        <w:footnoteReference w:id="2099"/>
      </w:r>
      <w:r w:rsidRPr="005921AF">
        <w:rPr>
          <w:rFonts w:cs="Arial"/>
          <w:rtl/>
        </w:rPr>
        <w:t>.</w:t>
      </w:r>
      <w:r w:rsidRPr="005921AF">
        <w:rPr>
          <w:rFonts w:cs="Arial" w:hint="cs"/>
          <w:rtl/>
        </w:rPr>
        <w:t xml:space="preserve"> </w:t>
      </w:r>
    </w:p>
    <w:p w14:paraId="082CC806" w14:textId="77777777" w:rsidR="002E5BAD" w:rsidRPr="005F7941" w:rsidRDefault="002E5BAD" w:rsidP="002E5BAD">
      <w:pPr>
        <w:rPr>
          <w:rFonts w:cs="Arial"/>
          <w:u w:val="single"/>
          <w:rtl/>
        </w:rPr>
      </w:pPr>
      <w:r w:rsidRPr="005F7941">
        <w:rPr>
          <w:rFonts w:cs="Arial" w:hint="cs"/>
          <w:u w:val="single"/>
          <w:rtl/>
        </w:rPr>
        <w:t>אשה שמחלה לבעלה על נכסי צאן ברזל:</w:t>
      </w:r>
    </w:p>
    <w:p w14:paraId="39023F69" w14:textId="77777777" w:rsidR="002E5BAD" w:rsidRDefault="002E5BAD" w:rsidP="002E5BAD">
      <w:pPr>
        <w:pStyle w:val="ab"/>
        <w:numPr>
          <w:ilvl w:val="0"/>
          <w:numId w:val="186"/>
        </w:numPr>
        <w:rPr>
          <w:rFonts w:cs="Arial"/>
        </w:rPr>
      </w:pPr>
      <w:r>
        <w:rPr>
          <w:rFonts w:cs="Arial" w:hint="cs"/>
          <w:rtl/>
        </w:rPr>
        <w:lastRenderedPageBreak/>
        <w:t xml:space="preserve">ראב"ד </w:t>
      </w:r>
      <w:r>
        <w:rPr>
          <w:rFonts w:cs="Arial" w:hint="cs"/>
          <w:sz w:val="16"/>
          <w:szCs w:val="16"/>
          <w:rtl/>
        </w:rPr>
        <w:t>(פכ"ב מאישות הי"ח בהשגות, וכ"כ בשמו הה"מ שם)</w:t>
      </w:r>
      <w:r>
        <w:rPr>
          <w:rFonts w:cs="Arial" w:hint="cs"/>
          <w:rtl/>
        </w:rPr>
        <w:t xml:space="preserve">- </w:t>
      </w:r>
      <w:r>
        <w:rPr>
          <w:rStyle w:val="a7"/>
          <w:rFonts w:cs="Arial"/>
          <w:rtl/>
        </w:rPr>
        <w:footnoteReference w:id="2100"/>
      </w:r>
      <w:r w:rsidRPr="005F7941">
        <w:rPr>
          <w:rFonts w:cs="Arial"/>
          <w:rtl/>
        </w:rPr>
        <w:t xml:space="preserve">אם מחלה כתובתה לבעלה ואפילו ג' שדות הקיימים </w:t>
      </w:r>
      <w:r>
        <w:rPr>
          <w:rFonts w:cs="Arial" w:hint="cs"/>
          <w:rtl/>
        </w:rPr>
        <w:t xml:space="preserve">- </w:t>
      </w:r>
      <w:r w:rsidRPr="005F7941">
        <w:rPr>
          <w:rFonts w:cs="Arial"/>
          <w:rtl/>
        </w:rPr>
        <w:t>מחילתה מחילה</w:t>
      </w:r>
      <w:r>
        <w:rPr>
          <w:rFonts w:cs="Arial" w:hint="cs"/>
          <w:rtl/>
        </w:rPr>
        <w:t>,</w:t>
      </w:r>
      <w:r w:rsidRPr="005F7941">
        <w:rPr>
          <w:rFonts w:cs="Arial"/>
          <w:rtl/>
        </w:rPr>
        <w:t xml:space="preserve"> מפני שעקרה שעבודה מעיקרו</w:t>
      </w:r>
      <w:r>
        <w:rPr>
          <w:rFonts w:cs="Arial" w:hint="cs"/>
          <w:rtl/>
        </w:rPr>
        <w:t>,</w:t>
      </w:r>
      <w:r w:rsidRPr="005F7941">
        <w:rPr>
          <w:rFonts w:cs="Arial"/>
          <w:rtl/>
        </w:rPr>
        <w:t xml:space="preserve"> מה שאין כן במוכרת או נותנת</w:t>
      </w:r>
      <w:r>
        <w:rPr>
          <w:rFonts w:cs="Arial" w:hint="cs"/>
          <w:sz w:val="16"/>
          <w:szCs w:val="16"/>
          <w:rtl/>
        </w:rPr>
        <w:t xml:space="preserve"> (ל' הה"מ בשמו)</w:t>
      </w:r>
      <w:r>
        <w:rPr>
          <w:rFonts w:cs="Arial" w:hint="cs"/>
          <w:rtl/>
        </w:rPr>
        <w:t>.</w:t>
      </w:r>
      <w:r w:rsidRPr="005F7941">
        <w:rPr>
          <w:rFonts w:cs="Arial"/>
          <w:rtl/>
        </w:rPr>
        <w:t xml:space="preserve"> </w:t>
      </w:r>
    </w:p>
    <w:p w14:paraId="26475F96" w14:textId="77777777" w:rsidR="002E5BAD" w:rsidRPr="00BF2080" w:rsidRDefault="002E5BAD" w:rsidP="002E5BAD">
      <w:pPr>
        <w:pStyle w:val="ab"/>
        <w:numPr>
          <w:ilvl w:val="0"/>
          <w:numId w:val="186"/>
        </w:numPr>
        <w:rPr>
          <w:rFonts w:cs="Arial"/>
          <w:rtl/>
        </w:rPr>
      </w:pPr>
      <w:r>
        <w:rPr>
          <w:rFonts w:cs="Arial" w:hint="cs"/>
          <w:rtl/>
        </w:rPr>
        <w:t xml:space="preserve">רמב"ם </w:t>
      </w:r>
      <w:r>
        <w:rPr>
          <w:rFonts w:cs="Arial" w:hint="cs"/>
          <w:sz w:val="16"/>
          <w:szCs w:val="16"/>
          <w:rtl/>
        </w:rPr>
        <w:t>(להב' הה"מ</w:t>
      </w:r>
      <w:r>
        <w:rPr>
          <w:rStyle w:val="a7"/>
          <w:rFonts w:cs="Arial"/>
          <w:rtl/>
        </w:rPr>
        <w:footnoteReference w:id="2101"/>
      </w:r>
      <w:r>
        <w:rPr>
          <w:rFonts w:cs="Arial" w:hint="cs"/>
          <w:sz w:val="16"/>
          <w:szCs w:val="16"/>
          <w:rtl/>
        </w:rPr>
        <w:t>)</w:t>
      </w:r>
      <w:r>
        <w:rPr>
          <w:rFonts w:cs="Arial" w:hint="cs"/>
          <w:rtl/>
        </w:rPr>
        <w:t xml:space="preserve"> רמב"ן ורשב"א</w:t>
      </w:r>
      <w:r>
        <w:rPr>
          <w:rStyle w:val="a7"/>
          <w:rFonts w:cs="Arial"/>
          <w:rtl/>
        </w:rPr>
        <w:footnoteReference w:id="2102"/>
      </w:r>
      <w:r>
        <w:rPr>
          <w:rFonts w:cs="Arial" w:hint="cs"/>
          <w:rtl/>
        </w:rPr>
        <w:t xml:space="preserve">- </w:t>
      </w:r>
      <w:r w:rsidRPr="005F7941">
        <w:rPr>
          <w:rFonts w:cs="Arial"/>
          <w:rtl/>
        </w:rPr>
        <w:t>אין מחילתה לבעלה מועלת אלא בעיקר כתובה ובתוספת</w:t>
      </w:r>
      <w:r>
        <w:rPr>
          <w:rFonts w:cs="Arial" w:hint="cs"/>
          <w:rtl/>
        </w:rPr>
        <w:t xml:space="preserve">, </w:t>
      </w:r>
      <w:r w:rsidRPr="005F7941">
        <w:rPr>
          <w:rFonts w:cs="Arial"/>
          <w:rtl/>
        </w:rPr>
        <w:t>משום דבהנהו לא הויא לה איבה אי לא הות מחלה להו</w:t>
      </w:r>
      <w:r>
        <w:rPr>
          <w:rStyle w:val="a7"/>
          <w:rFonts w:cs="Arial"/>
          <w:rtl/>
        </w:rPr>
        <w:footnoteReference w:id="2103"/>
      </w:r>
      <w:r>
        <w:rPr>
          <w:rFonts w:cs="Arial" w:hint="cs"/>
          <w:rtl/>
        </w:rPr>
        <w:t>,</w:t>
      </w:r>
      <w:r w:rsidRPr="005F7941">
        <w:rPr>
          <w:rFonts w:cs="Arial"/>
          <w:rtl/>
        </w:rPr>
        <w:t xml:space="preserve"> הילכך כשמחלתן מחילתה מחילה</w:t>
      </w:r>
      <w:r>
        <w:rPr>
          <w:rFonts w:cs="Arial" w:hint="cs"/>
          <w:rtl/>
        </w:rPr>
        <w:t>, מה שאין כן בנכסי צאן ברזל</w:t>
      </w:r>
      <w:r>
        <w:rPr>
          <w:rFonts w:cs="Arial" w:hint="cs"/>
          <w:sz w:val="16"/>
          <w:szCs w:val="16"/>
          <w:rtl/>
        </w:rPr>
        <w:t xml:space="preserve"> (ל' הה"מ בשמם)</w:t>
      </w:r>
      <w:r>
        <w:rPr>
          <w:rFonts w:cs="Arial" w:hint="cs"/>
          <w:rtl/>
        </w:rPr>
        <w:t>.</w:t>
      </w:r>
      <w:r w:rsidRPr="005F7941">
        <w:rPr>
          <w:rFonts w:cs="Arial"/>
          <w:rtl/>
        </w:rPr>
        <w:t xml:space="preserve"> </w:t>
      </w:r>
    </w:p>
    <w:p w14:paraId="1B2AB910" w14:textId="77777777" w:rsidR="002E5BAD" w:rsidRPr="00342632" w:rsidRDefault="002E5BAD" w:rsidP="002E5BAD">
      <w:pPr>
        <w:pStyle w:val="ab"/>
        <w:numPr>
          <w:ilvl w:val="0"/>
          <w:numId w:val="186"/>
        </w:numPr>
        <w:rPr>
          <w:rFonts w:cs="Arial"/>
          <w:rtl/>
        </w:rPr>
      </w:pPr>
      <w:r w:rsidRPr="00342632">
        <w:rPr>
          <w:rFonts w:cs="Arial"/>
          <w:rtl/>
        </w:rPr>
        <w:t>רא"ש</w:t>
      </w:r>
      <w:r w:rsidRPr="00342632">
        <w:rPr>
          <w:rFonts w:cs="Arial"/>
          <w:sz w:val="16"/>
          <w:szCs w:val="16"/>
          <w:rtl/>
        </w:rPr>
        <w:t xml:space="preserve"> </w:t>
      </w:r>
      <w:r w:rsidRPr="00342632">
        <w:rPr>
          <w:rFonts w:cs="Arial" w:hint="cs"/>
          <w:sz w:val="16"/>
          <w:szCs w:val="16"/>
          <w:rtl/>
        </w:rPr>
        <w:t>(</w:t>
      </w:r>
      <w:r w:rsidRPr="00342632">
        <w:rPr>
          <w:rFonts w:cs="Arial"/>
          <w:sz w:val="16"/>
          <w:szCs w:val="16"/>
          <w:rtl/>
        </w:rPr>
        <w:t>כלל לח סי' ז)</w:t>
      </w:r>
      <w:r w:rsidRPr="00342632">
        <w:rPr>
          <w:rFonts w:cs="Arial" w:hint="cs"/>
          <w:rtl/>
        </w:rPr>
        <w:t>-</w:t>
      </w:r>
      <w:r w:rsidRPr="00342632">
        <w:rPr>
          <w:rFonts w:cs="Arial"/>
          <w:rtl/>
        </w:rPr>
        <w:t xml:space="preserve"> ששאלת אשה שמחלה כתובתה ונדונייתה לבעלה מחילה גמורה</w:t>
      </w:r>
      <w:r>
        <w:rPr>
          <w:rFonts w:cs="Arial" w:hint="cs"/>
          <w:rtl/>
        </w:rPr>
        <w:t>,</w:t>
      </w:r>
      <w:r w:rsidRPr="00342632">
        <w:rPr>
          <w:rFonts w:cs="Arial"/>
          <w:rtl/>
        </w:rPr>
        <w:t xml:space="preserve"> והיא טוענת שעשתה המחילה מפני שהיה מגזם לה לגרשה או לישא אחרת מפני שאינה יולדת </w:t>
      </w:r>
      <w:r>
        <w:rPr>
          <w:rFonts w:cs="Arial" w:hint="cs"/>
          <w:rtl/>
        </w:rPr>
        <w:t xml:space="preserve">- </w:t>
      </w:r>
      <w:r w:rsidRPr="00342632">
        <w:rPr>
          <w:rFonts w:cs="Arial"/>
          <w:rtl/>
        </w:rPr>
        <w:t>אין זה טענת אונס לבטל המחילה</w:t>
      </w:r>
      <w:r>
        <w:rPr>
          <w:rFonts w:cs="Arial" w:hint="cs"/>
          <w:rtl/>
        </w:rPr>
        <w:t>,</w:t>
      </w:r>
      <w:r w:rsidRPr="00342632">
        <w:rPr>
          <w:rFonts w:cs="Arial"/>
          <w:rtl/>
        </w:rPr>
        <w:t xml:space="preserve"> כי בדין היה עושה לישא אחרת כדי לקיים מצות פריה ורביה והיא שיחדתו בממונה מלישא אחרת</w:t>
      </w:r>
      <w:r>
        <w:rPr>
          <w:rFonts w:cs="Arial" w:hint="cs"/>
          <w:rtl/>
        </w:rPr>
        <w:t>.</w:t>
      </w:r>
      <w:r w:rsidRPr="00342632">
        <w:rPr>
          <w:rFonts w:cs="Arial"/>
          <w:rtl/>
        </w:rPr>
        <w:t xml:space="preserve"> ועוד שאין האונס ידוע</w:t>
      </w:r>
      <w:r>
        <w:rPr>
          <w:rFonts w:cs="Arial" w:hint="cs"/>
          <w:rtl/>
        </w:rPr>
        <w:t>,</w:t>
      </w:r>
      <w:r w:rsidRPr="00342632">
        <w:rPr>
          <w:rFonts w:cs="Arial"/>
          <w:rtl/>
        </w:rPr>
        <w:t xml:space="preserve"> דלא מסרה מודעא מעיקרא</w:t>
      </w:r>
      <w:r>
        <w:rPr>
          <w:rFonts w:cs="Arial" w:hint="cs"/>
          <w:rtl/>
        </w:rPr>
        <w:t>.</w:t>
      </w:r>
      <w:r w:rsidRPr="00342632">
        <w:rPr>
          <w:rFonts w:cs="Arial"/>
          <w:rtl/>
        </w:rPr>
        <w:t xml:space="preserve"> ולא שייך למימר נחת רוח עשיתי לבעלי אלא כשהבעל מוכר קרקעותיו ושותקת מחמת נחת רוח שלא יאמר הבעל עיניך נתת בגירושין או במיתה</w:t>
      </w:r>
      <w:r>
        <w:rPr>
          <w:rFonts w:cs="Arial" w:hint="cs"/>
          <w:rtl/>
        </w:rPr>
        <w:t>,</w:t>
      </w:r>
      <w:r w:rsidRPr="00342632">
        <w:rPr>
          <w:rFonts w:cs="Arial"/>
          <w:rtl/>
        </w:rPr>
        <w:t xml:space="preserve"> אבל אין האשה מוחלת לבעלה זכות שיש לה עליו מחמת נחת רוח</w:t>
      </w:r>
      <w:r>
        <w:rPr>
          <w:rFonts w:cs="Arial" w:hint="cs"/>
          <w:rtl/>
        </w:rPr>
        <w:t>,</w:t>
      </w:r>
      <w:r w:rsidRPr="00342632">
        <w:rPr>
          <w:rFonts w:cs="Arial"/>
          <w:rtl/>
        </w:rPr>
        <w:t xml:space="preserve"> דאין כאן איבה אם לא תמחול לו ומחילה גמורה היא</w:t>
      </w:r>
      <w:r>
        <w:rPr>
          <w:rStyle w:val="a7"/>
          <w:rFonts w:cs="Arial"/>
          <w:rtl/>
        </w:rPr>
        <w:footnoteReference w:id="2104"/>
      </w:r>
      <w:r w:rsidRPr="00342632">
        <w:rPr>
          <w:rFonts w:cs="Arial" w:hint="cs"/>
          <w:rtl/>
        </w:rPr>
        <w:t>.</w:t>
      </w:r>
      <w:r w:rsidRPr="00342632">
        <w:rPr>
          <w:rFonts w:cs="Arial"/>
          <w:rtl/>
        </w:rPr>
        <w:t xml:space="preserve"> </w:t>
      </w:r>
    </w:p>
    <w:p w14:paraId="510A5DCC" w14:textId="77777777" w:rsidR="002E5BAD" w:rsidRPr="002926CA" w:rsidRDefault="002E5BAD" w:rsidP="002E5BAD">
      <w:pPr>
        <w:rPr>
          <w:sz w:val="16"/>
          <w:szCs w:val="16"/>
        </w:rPr>
      </w:pPr>
      <w:r w:rsidRPr="002926CA">
        <w:rPr>
          <w:rFonts w:cs="Arial"/>
          <w:u w:val="single"/>
          <w:rtl/>
        </w:rPr>
        <w:t>אשה שהיה לה שטר מתנה מבעלה ומכרה לאחר ואחר כך מחלה לבעל</w:t>
      </w:r>
      <w:r>
        <w:rPr>
          <w:rFonts w:cs="Arial" w:hint="cs"/>
          <w:u w:val="single"/>
          <w:rtl/>
        </w:rPr>
        <w:t>:</w:t>
      </w:r>
      <w:r>
        <w:rPr>
          <w:rFonts w:cs="Arial" w:hint="cs"/>
          <w:sz w:val="16"/>
          <w:szCs w:val="16"/>
          <w:rtl/>
        </w:rPr>
        <w:t xml:space="preserve"> (דרכ"מ אות יז)</w:t>
      </w:r>
    </w:p>
    <w:p w14:paraId="15BD43C9" w14:textId="77777777" w:rsidR="002E5BAD" w:rsidRPr="008B78CF" w:rsidRDefault="002E5BAD" w:rsidP="002E5BAD">
      <w:pPr>
        <w:pStyle w:val="ab"/>
        <w:numPr>
          <w:ilvl w:val="0"/>
          <w:numId w:val="186"/>
        </w:numPr>
        <w:rPr>
          <w:rtl/>
        </w:rPr>
      </w:pPr>
      <w:r w:rsidRPr="00843F99">
        <w:rPr>
          <w:rFonts w:cs="Arial"/>
          <w:rtl/>
        </w:rPr>
        <w:t>ב</w:t>
      </w:r>
      <w:r>
        <w:rPr>
          <w:rFonts w:cs="Arial" w:hint="cs"/>
          <w:rtl/>
        </w:rPr>
        <w:t>"י</w:t>
      </w:r>
      <w:r w:rsidRPr="00843F99">
        <w:rPr>
          <w:rFonts w:cs="Arial"/>
          <w:rtl/>
        </w:rPr>
        <w:t xml:space="preserve"> </w:t>
      </w:r>
      <w:r w:rsidRPr="002926CA">
        <w:rPr>
          <w:rFonts w:cs="Arial" w:hint="cs"/>
          <w:sz w:val="16"/>
          <w:szCs w:val="16"/>
          <w:rtl/>
        </w:rPr>
        <w:t>(</w:t>
      </w:r>
      <w:r w:rsidRPr="002926CA">
        <w:rPr>
          <w:rFonts w:cs="Arial"/>
          <w:sz w:val="16"/>
          <w:szCs w:val="16"/>
          <w:rtl/>
        </w:rPr>
        <w:t>סי</w:t>
      </w:r>
      <w:r w:rsidRPr="002926CA">
        <w:rPr>
          <w:rFonts w:cs="Arial" w:hint="cs"/>
          <w:sz w:val="16"/>
          <w:szCs w:val="16"/>
          <w:rtl/>
        </w:rPr>
        <w:t>'</w:t>
      </w:r>
      <w:r w:rsidRPr="002926CA">
        <w:rPr>
          <w:rFonts w:cs="Arial"/>
          <w:sz w:val="16"/>
          <w:szCs w:val="16"/>
          <w:rtl/>
        </w:rPr>
        <w:t xml:space="preserve"> צא</w:t>
      </w:r>
      <w:r w:rsidRPr="002926CA">
        <w:rPr>
          <w:rFonts w:cs="Arial" w:hint="cs"/>
          <w:sz w:val="16"/>
          <w:szCs w:val="16"/>
          <w:rtl/>
        </w:rPr>
        <w:t>,</w:t>
      </w:r>
      <w:r w:rsidRPr="002926CA">
        <w:rPr>
          <w:rFonts w:cs="Arial"/>
          <w:sz w:val="16"/>
          <w:szCs w:val="16"/>
          <w:rtl/>
        </w:rPr>
        <w:t xml:space="preserve"> עמ' שצט ד"ה כתב הרשב"א)</w:t>
      </w:r>
      <w:r>
        <w:rPr>
          <w:rFonts w:cs="Arial" w:hint="cs"/>
          <w:rtl/>
        </w:rPr>
        <w:t>-</w:t>
      </w:r>
      <w:r w:rsidRPr="00843F99">
        <w:rPr>
          <w:rFonts w:cs="Arial"/>
          <w:rtl/>
        </w:rPr>
        <w:t xml:space="preserve"> אשה שהיה לה שטר מתנה מבעלה ומכרה לאחר</w:t>
      </w:r>
      <w:r>
        <w:rPr>
          <w:rFonts w:cs="Arial" w:hint="cs"/>
          <w:rtl/>
        </w:rPr>
        <w:t>,</w:t>
      </w:r>
      <w:r w:rsidRPr="00843F99">
        <w:rPr>
          <w:rFonts w:cs="Arial"/>
          <w:rtl/>
        </w:rPr>
        <w:t xml:space="preserve"> ואחר כך מחלה לבעלה </w:t>
      </w:r>
      <w:r>
        <w:rPr>
          <w:rFonts w:cs="Arial"/>
          <w:rtl/>
        </w:rPr>
        <w:t>–</w:t>
      </w:r>
      <w:r>
        <w:rPr>
          <w:rFonts w:cs="Arial" w:hint="cs"/>
          <w:rtl/>
        </w:rPr>
        <w:t xml:space="preserve"> </w:t>
      </w:r>
      <w:r w:rsidRPr="00843F99">
        <w:rPr>
          <w:rFonts w:cs="Arial"/>
          <w:rtl/>
        </w:rPr>
        <w:t>מחול</w:t>
      </w:r>
      <w:r>
        <w:rPr>
          <w:rFonts w:cs="Arial" w:hint="cs"/>
          <w:rtl/>
        </w:rPr>
        <w:t>,</w:t>
      </w:r>
      <w:r w:rsidRPr="00843F99">
        <w:rPr>
          <w:rFonts w:cs="Arial"/>
          <w:rtl/>
        </w:rPr>
        <w:t xml:space="preserve"> ולא אמרינן בזה נחת רוח עשיתי לבעלי</w:t>
      </w:r>
      <w:r>
        <w:rPr>
          <w:rFonts w:cs="Arial" w:hint="cs"/>
          <w:rtl/>
        </w:rPr>
        <w:t>.</w:t>
      </w:r>
      <w:r w:rsidRPr="00843F99">
        <w:rPr>
          <w:rFonts w:cs="Arial"/>
          <w:rtl/>
        </w:rPr>
        <w:t xml:space="preserve"> ואם מכרה זה השטר מתנה לבעלה</w:t>
      </w:r>
      <w:r>
        <w:rPr>
          <w:rFonts w:cs="Arial" w:hint="cs"/>
          <w:rtl/>
        </w:rPr>
        <w:t xml:space="preserve"> -</w:t>
      </w:r>
      <w:r w:rsidRPr="00843F99">
        <w:rPr>
          <w:rFonts w:cs="Arial"/>
          <w:rtl/>
        </w:rPr>
        <w:t xml:space="preserve"> יכולה לומר נחת רוח עשיתי לבעלי</w:t>
      </w:r>
      <w:r>
        <w:rPr>
          <w:rFonts w:cs="Arial" w:hint="cs"/>
          <w:rtl/>
        </w:rPr>
        <w:t>,</w:t>
      </w:r>
      <w:r w:rsidRPr="00843F99">
        <w:rPr>
          <w:rFonts w:cs="Arial"/>
          <w:rtl/>
        </w:rPr>
        <w:t xml:space="preserve"> דהוי כנכסי צאן ברזל</w:t>
      </w:r>
      <w:r>
        <w:rPr>
          <w:rFonts w:cs="Arial" w:hint="cs"/>
          <w:rtl/>
        </w:rPr>
        <w:t>.</w:t>
      </w:r>
      <w:r>
        <w:rPr>
          <w:rFonts w:hint="cs"/>
          <w:rtl/>
        </w:rPr>
        <w:t xml:space="preserve"> </w:t>
      </w:r>
    </w:p>
    <w:p w14:paraId="18DE4658"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23D6D05" w14:textId="77777777" w:rsidR="002E5BAD" w:rsidRDefault="002E5BAD" w:rsidP="002E5BAD">
      <w:pPr>
        <w:rPr>
          <w:rFonts w:cs="Arial"/>
          <w:rtl/>
        </w:rPr>
      </w:pPr>
      <w:r w:rsidRPr="00EB79BF">
        <w:rPr>
          <w:rFonts w:cs="Arial"/>
          <w:rtl/>
        </w:rPr>
        <w:t>מכרו שניהם בנכסי מלוג, בין שלקח מהאיש תחלה וחזר ולקח מהאשה, בין שלקח מהאשה וחזר ולקח מן האיש, מכרם קיים. וכן האשה שמכרה או נתנה נכסי מלוג לבעלה, מכרה ומתנתה קיימים, ואינה יכולה לומר בנכסי מלוג: נחת רוח עשיתי לבעלי</w:t>
      </w:r>
      <w:r>
        <w:rPr>
          <w:rFonts w:cs="Arial" w:hint="cs"/>
          <w:rtl/>
        </w:rPr>
        <w:t>.</w:t>
      </w:r>
      <w:r w:rsidRPr="00EB79BF">
        <w:rPr>
          <w:rFonts w:cs="Arial"/>
          <w:rtl/>
        </w:rPr>
        <w:t xml:space="preserve"> אבל בשאר נכסים יש לה לומר כן. כיצד, האשה שמכרה או נתנה לבעלה מנ</w:t>
      </w:r>
      <w:r>
        <w:rPr>
          <w:rFonts w:cs="Arial" w:hint="cs"/>
          <w:rtl/>
        </w:rPr>
        <w:t>כסי צאן ברזל</w:t>
      </w:r>
      <w:r w:rsidRPr="00EB79BF">
        <w:rPr>
          <w:rFonts w:cs="Arial"/>
          <w:rtl/>
        </w:rPr>
        <w:t>, בין קרקע בין מטלטלין, או שדה שייחד לה</w:t>
      </w:r>
      <w:r>
        <w:rPr>
          <w:rStyle w:val="a7"/>
          <w:rFonts w:cs="Arial"/>
          <w:rtl/>
        </w:rPr>
        <w:footnoteReference w:id="2105"/>
      </w:r>
      <w:r w:rsidRPr="00EB79BF">
        <w:rPr>
          <w:rFonts w:cs="Arial"/>
          <w:rtl/>
        </w:rPr>
        <w:t xml:space="preserve"> בכתובתה, או שדה שכתב לה בכתובתה, או שדה שהכניסה לו שום משלה</w:t>
      </w:r>
      <w:r>
        <w:rPr>
          <w:rStyle w:val="a7"/>
          <w:rFonts w:cs="Arial"/>
          <w:rtl/>
        </w:rPr>
        <w:footnoteReference w:id="2106"/>
      </w:r>
      <w:r w:rsidRPr="00EB79BF">
        <w:rPr>
          <w:rFonts w:cs="Arial"/>
          <w:rtl/>
        </w:rPr>
        <w:t>, לא קנה בעלה. ואף על פי שקנו מיד האשה ברצונה, חוזרת בכל עת שתרצה, שלא נתנה ולא מכרה אלא מפני שלום ביתה. לפיכך אין לבעלה ראיה כלל בנכסי אשתו, חוץ מנ</w:t>
      </w:r>
      <w:r>
        <w:rPr>
          <w:rFonts w:cs="Arial" w:hint="cs"/>
          <w:rtl/>
        </w:rPr>
        <w:t>כסי מלוג</w:t>
      </w:r>
      <w:r w:rsidRPr="00EB79BF">
        <w:rPr>
          <w:rFonts w:cs="Arial"/>
          <w:rtl/>
        </w:rPr>
        <w:t>, אלא א</w:t>
      </w:r>
      <w:r>
        <w:rPr>
          <w:rFonts w:cs="Arial" w:hint="cs"/>
          <w:rtl/>
        </w:rPr>
        <w:t xml:space="preserve">ם </w:t>
      </w:r>
      <w:r w:rsidRPr="00EB79BF">
        <w:rPr>
          <w:rFonts w:cs="Arial"/>
          <w:rtl/>
        </w:rPr>
        <w:t>כ</w:t>
      </w:r>
      <w:r>
        <w:rPr>
          <w:rFonts w:cs="Arial" w:hint="cs"/>
          <w:rtl/>
        </w:rPr>
        <w:t>ן</w:t>
      </w:r>
      <w:r w:rsidRPr="00EB79BF">
        <w:rPr>
          <w:rFonts w:cs="Arial"/>
          <w:rtl/>
        </w:rPr>
        <w:t xml:space="preserve"> קבלה עליה אחריות בפירוש</w:t>
      </w:r>
      <w:r>
        <w:rPr>
          <w:rStyle w:val="a7"/>
          <w:rFonts w:cs="Arial"/>
          <w:rtl/>
        </w:rPr>
        <w:footnoteReference w:id="2107"/>
      </w:r>
      <w:r w:rsidRPr="00EB79BF">
        <w:rPr>
          <w:rFonts w:cs="Arial"/>
          <w:rtl/>
        </w:rPr>
        <w:t xml:space="preserve">. </w:t>
      </w:r>
      <w:r w:rsidRPr="00FA43C3">
        <w:rPr>
          <w:rFonts w:cs="Arial"/>
          <w:sz w:val="18"/>
          <w:szCs w:val="18"/>
          <w:rtl/>
        </w:rPr>
        <w:t xml:space="preserve">הגה: יש </w:t>
      </w:r>
      <w:r w:rsidRPr="00FA43C3">
        <w:rPr>
          <w:rFonts w:cs="Arial"/>
          <w:sz w:val="18"/>
          <w:szCs w:val="18"/>
          <w:rtl/>
        </w:rPr>
        <w:lastRenderedPageBreak/>
        <w:t>אומרים</w:t>
      </w:r>
      <w:r>
        <w:rPr>
          <w:rStyle w:val="a7"/>
          <w:rFonts w:cs="Arial"/>
          <w:sz w:val="18"/>
          <w:szCs w:val="18"/>
          <w:rtl/>
        </w:rPr>
        <w:footnoteReference w:id="2108"/>
      </w:r>
      <w:r w:rsidRPr="00FA43C3">
        <w:rPr>
          <w:rFonts w:cs="Arial"/>
          <w:sz w:val="18"/>
          <w:szCs w:val="18"/>
          <w:rtl/>
        </w:rPr>
        <w:t xml:space="preserve"> דדוקא מכירתה ונתינתה לא מהני, אבל אם מחלה</w:t>
      </w:r>
      <w:r>
        <w:rPr>
          <w:rStyle w:val="a7"/>
          <w:rFonts w:cs="Arial"/>
          <w:sz w:val="18"/>
          <w:szCs w:val="18"/>
          <w:rtl/>
        </w:rPr>
        <w:footnoteReference w:id="2109"/>
      </w:r>
      <w:r w:rsidRPr="00FA43C3">
        <w:rPr>
          <w:rFonts w:cs="Arial"/>
          <w:sz w:val="18"/>
          <w:szCs w:val="18"/>
          <w:rtl/>
        </w:rPr>
        <w:t xml:space="preserve"> לבעלה כל זכות שיש לה על הנכסים מהני, כמו שמהני מחילה לענין כתובתה (ראב"ד). ויש חולקים (הרמב"ן והרשב"א והרמ</w:t>
      </w:r>
      <w:r>
        <w:rPr>
          <w:rFonts w:cs="Arial" w:hint="cs"/>
          <w:sz w:val="18"/>
          <w:szCs w:val="18"/>
          <w:rtl/>
        </w:rPr>
        <w:t>ב"ם</w:t>
      </w:r>
      <w:r w:rsidRPr="00FA43C3">
        <w:rPr>
          <w:rFonts w:cs="Arial"/>
          <w:sz w:val="18"/>
          <w:szCs w:val="18"/>
          <w:rtl/>
        </w:rPr>
        <w:t xml:space="preserve"> לדעת ה</w:t>
      </w:r>
      <w:r>
        <w:rPr>
          <w:rFonts w:cs="Arial" w:hint="cs"/>
          <w:sz w:val="18"/>
          <w:szCs w:val="18"/>
          <w:rtl/>
        </w:rPr>
        <w:t>ה</w:t>
      </w:r>
      <w:r w:rsidRPr="00FA43C3">
        <w:rPr>
          <w:rFonts w:cs="Arial"/>
          <w:sz w:val="18"/>
          <w:szCs w:val="18"/>
          <w:rtl/>
        </w:rPr>
        <w:t>"מ).</w:t>
      </w:r>
      <w:r w:rsidRPr="00EB79BF">
        <w:rPr>
          <w:rFonts w:cs="Arial"/>
          <w:rtl/>
        </w:rPr>
        <w:t xml:space="preserve"> </w:t>
      </w:r>
    </w:p>
    <w:p w14:paraId="298C247F" w14:textId="77777777" w:rsidR="002E5BAD" w:rsidRPr="00EB79BF" w:rsidRDefault="002E5BAD" w:rsidP="002E5BAD">
      <w:pPr>
        <w:rPr>
          <w:rFonts w:cs="Arial"/>
          <w:rtl/>
        </w:rPr>
      </w:pPr>
    </w:p>
    <w:p w14:paraId="0060E126" w14:textId="77777777" w:rsidR="002E5BAD" w:rsidRDefault="002E5BAD" w:rsidP="002E5BAD">
      <w:pPr>
        <w:pStyle w:val="2"/>
        <w:rPr>
          <w:rtl/>
        </w:rPr>
      </w:pPr>
      <w:r w:rsidRPr="00EB79BF">
        <w:rPr>
          <w:rtl/>
        </w:rPr>
        <w:t>סעיף יז</w:t>
      </w:r>
      <w:r>
        <w:rPr>
          <w:rFonts w:hint="cs"/>
          <w:rtl/>
        </w:rPr>
        <w:t>:</w:t>
      </w:r>
      <w:r w:rsidRPr="00741D85">
        <w:rPr>
          <w:rFonts w:cs="Arial"/>
          <w:rtl/>
        </w:rPr>
        <w:t xml:space="preserve"> </w:t>
      </w:r>
      <w:r w:rsidRPr="00EB79BF">
        <w:rPr>
          <w:rFonts w:cs="Arial"/>
          <w:rtl/>
        </w:rPr>
        <w:t>אש</w:t>
      </w:r>
      <w:r>
        <w:rPr>
          <w:rFonts w:cs="Arial" w:hint="cs"/>
          <w:rtl/>
        </w:rPr>
        <w:t>ה שכתבה</w:t>
      </w:r>
      <w:r w:rsidRPr="00EB79BF">
        <w:rPr>
          <w:rFonts w:cs="Arial"/>
          <w:rtl/>
        </w:rPr>
        <w:t xml:space="preserve"> ללוקח</w:t>
      </w:r>
      <w:r>
        <w:rPr>
          <w:rFonts w:cs="Arial" w:hint="cs"/>
          <w:rtl/>
        </w:rPr>
        <w:t xml:space="preserve"> מבעלה</w:t>
      </w:r>
      <w:r w:rsidRPr="00EB79BF">
        <w:rPr>
          <w:rFonts w:cs="Arial"/>
          <w:rtl/>
        </w:rPr>
        <w:t xml:space="preserve"> </w:t>
      </w:r>
      <w:r>
        <w:rPr>
          <w:rFonts w:cs="Arial" w:hint="cs"/>
          <w:rtl/>
        </w:rPr>
        <w:t>'</w:t>
      </w:r>
      <w:r w:rsidRPr="00EB79BF">
        <w:rPr>
          <w:rFonts w:cs="Arial"/>
          <w:rtl/>
        </w:rPr>
        <w:t>דין ודברים אין לי עמך</w:t>
      </w:r>
      <w:r>
        <w:rPr>
          <w:rFonts w:cs="Arial" w:hint="cs"/>
          <w:rtl/>
        </w:rPr>
        <w:t>', או שהסכימה למכור לזה ולא לזה.</w:t>
      </w:r>
    </w:p>
    <w:p w14:paraId="1FAA2D72" w14:textId="77777777" w:rsidR="002E5BAD" w:rsidRPr="007C1187" w:rsidRDefault="002E5BAD" w:rsidP="002E5BAD">
      <w:pPr>
        <w:rPr>
          <w:rFonts w:cs="Arial"/>
          <w:rtl/>
        </w:rPr>
      </w:pPr>
      <w:r w:rsidRPr="007C1187">
        <w:rPr>
          <w:rFonts w:cs="Arial" w:hint="cs"/>
          <w:b/>
          <w:bCs/>
          <w:rtl/>
        </w:rPr>
        <w:t xml:space="preserve">גיטין </w:t>
      </w:r>
      <w:r w:rsidRPr="007C1187">
        <w:rPr>
          <w:rFonts w:cs="Arial" w:hint="cs"/>
          <w:b/>
          <w:bCs/>
          <w:sz w:val="16"/>
          <w:szCs w:val="16"/>
          <w:rtl/>
        </w:rPr>
        <w:t>(פ' הניזקין)</w:t>
      </w:r>
      <w:r w:rsidRPr="007C1187">
        <w:rPr>
          <w:rFonts w:cs="Arial" w:hint="cs"/>
          <w:b/>
          <w:bCs/>
          <w:rtl/>
        </w:rPr>
        <w:t xml:space="preserve"> נה ע"ב: </w:t>
      </w:r>
      <w:r w:rsidRPr="007C1187">
        <w:rPr>
          <w:rFonts w:cs="Arial"/>
          <w:u w:val="double"/>
          <w:rtl/>
        </w:rPr>
        <w:t>מתני'</w:t>
      </w:r>
      <w:r w:rsidRPr="007C1187">
        <w:rPr>
          <w:rFonts w:cs="Arial" w:hint="cs"/>
          <w:rtl/>
        </w:rPr>
        <w:t>:</w:t>
      </w:r>
      <w:r>
        <w:rPr>
          <w:rFonts w:hint="cs"/>
          <w:rtl/>
        </w:rPr>
        <w:t>..</w:t>
      </w:r>
      <w:r w:rsidRPr="007C1187">
        <w:rPr>
          <w:rFonts w:cs="Arial"/>
          <w:rtl/>
        </w:rPr>
        <w:t>. כיצד? לקח מסיקריקון</w:t>
      </w:r>
      <w:r>
        <w:rPr>
          <w:rStyle w:val="a7"/>
          <w:rFonts w:cs="Arial"/>
          <w:rtl/>
        </w:rPr>
        <w:footnoteReference w:id="2110"/>
      </w:r>
      <w:r w:rsidRPr="007C1187">
        <w:rPr>
          <w:rFonts w:cs="Arial"/>
          <w:rtl/>
        </w:rPr>
        <w:t xml:space="preserve"> וחזר ולקח מבעל הבית - מקחו בטל, מבעל הבית וחזר ולקח מסיקריקון - מקחו קיים. לקח מן האיש וחזר ולקח מן האשה - מקחו בטל</w:t>
      </w:r>
      <w:r w:rsidRPr="007C1187">
        <w:rPr>
          <w:rFonts w:cs="Arial" w:hint="cs"/>
          <w:rtl/>
        </w:rPr>
        <w:t>.</w:t>
      </w:r>
      <w:r w:rsidRPr="007C1187">
        <w:rPr>
          <w:rFonts w:cs="Arial"/>
          <w:rtl/>
        </w:rPr>
        <w:t xml:space="preserve"> מן האשה וחזר ולקח מן האיש - מקחו קיים. </w:t>
      </w:r>
      <w:r w:rsidRPr="007C1187">
        <w:rPr>
          <w:rFonts w:cs="Arial" w:hint="cs"/>
          <w:rtl/>
        </w:rPr>
        <w:t xml:space="preserve">     </w:t>
      </w:r>
      <w:r w:rsidRPr="007C1187">
        <w:rPr>
          <w:rFonts w:cs="Arial" w:hint="cs"/>
          <w:u w:val="double"/>
          <w:rtl/>
        </w:rPr>
        <w:t>גמ'</w:t>
      </w:r>
      <w:r w:rsidRPr="007C1187">
        <w:rPr>
          <w:rFonts w:cs="Arial" w:hint="cs"/>
          <w:sz w:val="14"/>
          <w:szCs w:val="14"/>
          <w:u w:val="double"/>
          <w:rtl/>
        </w:rPr>
        <w:t>(נח.)</w:t>
      </w:r>
      <w:r w:rsidRPr="007C1187">
        <w:rPr>
          <w:rFonts w:cs="Arial" w:hint="cs"/>
          <w:u w:val="double"/>
          <w:rtl/>
        </w:rPr>
        <w:t>:</w:t>
      </w:r>
      <w:r w:rsidRPr="007C1187">
        <w:rPr>
          <w:rFonts w:cs="Arial" w:hint="cs"/>
          <w:rtl/>
        </w:rPr>
        <w:t xml:space="preserve"> </w:t>
      </w:r>
      <w:r w:rsidRPr="007C1187">
        <w:rPr>
          <w:rFonts w:cs="Arial"/>
          <w:rtl/>
        </w:rPr>
        <w:t xml:space="preserve">לקח מן הסיקריקון וכו'. </w:t>
      </w:r>
      <w:r w:rsidRPr="007C1187">
        <w:rPr>
          <w:rFonts w:cs="Arial"/>
          <w:u w:val="single"/>
          <w:rtl/>
        </w:rPr>
        <w:t>אמר רב</w:t>
      </w:r>
      <w:r w:rsidRPr="007C1187">
        <w:rPr>
          <w:rFonts w:cs="Arial"/>
          <w:rtl/>
        </w:rPr>
        <w:t>: לא שנו</w:t>
      </w:r>
      <w:r>
        <w:rPr>
          <w:rStyle w:val="a7"/>
          <w:rFonts w:cs="Arial"/>
          <w:rtl/>
        </w:rPr>
        <w:footnoteReference w:id="2111"/>
      </w:r>
      <w:r w:rsidRPr="007C1187">
        <w:rPr>
          <w:rFonts w:cs="Arial"/>
          <w:rtl/>
        </w:rPr>
        <w:t xml:space="preserve"> אלא דאמר לו</w:t>
      </w:r>
      <w:r>
        <w:rPr>
          <w:rStyle w:val="a7"/>
          <w:rFonts w:cs="Arial"/>
          <w:rtl/>
        </w:rPr>
        <w:footnoteReference w:id="2112"/>
      </w:r>
      <w:r w:rsidRPr="007C1187">
        <w:rPr>
          <w:rFonts w:cs="Arial"/>
          <w:rtl/>
        </w:rPr>
        <w:t xml:space="preserve"> לך חזק וקני</w:t>
      </w:r>
      <w:r>
        <w:rPr>
          <w:rStyle w:val="a7"/>
          <w:rFonts w:cs="Arial"/>
          <w:rtl/>
        </w:rPr>
        <w:footnoteReference w:id="2113"/>
      </w:r>
      <w:r w:rsidRPr="007C1187">
        <w:rPr>
          <w:rFonts w:cs="Arial"/>
          <w:rtl/>
        </w:rPr>
        <w:t>, אבל בשטר</w:t>
      </w:r>
      <w:r>
        <w:rPr>
          <w:rStyle w:val="a7"/>
          <w:rFonts w:cs="Arial"/>
          <w:rtl/>
        </w:rPr>
        <w:footnoteReference w:id="2114"/>
      </w:r>
      <w:r w:rsidRPr="007C1187">
        <w:rPr>
          <w:rFonts w:cs="Arial"/>
          <w:rtl/>
        </w:rPr>
        <w:t xml:space="preserve"> - קנה</w:t>
      </w:r>
      <w:r>
        <w:rPr>
          <w:rStyle w:val="a7"/>
          <w:rFonts w:cs="Arial"/>
          <w:rtl/>
        </w:rPr>
        <w:footnoteReference w:id="2115"/>
      </w:r>
      <w:r w:rsidRPr="007C1187">
        <w:rPr>
          <w:rFonts w:cs="Arial" w:hint="cs"/>
          <w:rtl/>
        </w:rPr>
        <w:t>.</w:t>
      </w:r>
      <w:r w:rsidRPr="007C1187">
        <w:rPr>
          <w:rFonts w:cs="Arial"/>
          <w:rtl/>
        </w:rPr>
        <w:t xml:space="preserve"> </w:t>
      </w:r>
      <w:r w:rsidRPr="007C1187">
        <w:rPr>
          <w:rFonts w:cs="Arial"/>
          <w:u w:val="single"/>
          <w:rtl/>
        </w:rPr>
        <w:t>ושמואל אמר</w:t>
      </w:r>
      <w:r w:rsidRPr="007C1187">
        <w:rPr>
          <w:rFonts w:cs="Arial"/>
          <w:rtl/>
        </w:rPr>
        <w:t>: אף בשטר נמי לא קנה, עד ש</w:t>
      </w:r>
      <w:r w:rsidRPr="007C1187">
        <w:rPr>
          <w:rFonts w:cs="Arial" w:hint="cs"/>
          <w:rtl/>
        </w:rPr>
        <w:t>יכ</w:t>
      </w:r>
      <w:r w:rsidRPr="007C1187">
        <w:rPr>
          <w:rFonts w:cs="Arial"/>
          <w:rtl/>
        </w:rPr>
        <w:t>ת</w:t>
      </w:r>
      <w:r w:rsidRPr="007C1187">
        <w:rPr>
          <w:rFonts w:cs="Arial" w:hint="cs"/>
          <w:rtl/>
        </w:rPr>
        <w:t>וב</w:t>
      </w:r>
      <w:r w:rsidRPr="007C1187">
        <w:rPr>
          <w:rFonts w:cs="Arial"/>
          <w:rtl/>
        </w:rPr>
        <w:t xml:space="preserve"> לו אחריות</w:t>
      </w:r>
      <w:r>
        <w:rPr>
          <w:rStyle w:val="a7"/>
          <w:rFonts w:cs="Arial"/>
          <w:rtl/>
        </w:rPr>
        <w:footnoteReference w:id="2116"/>
      </w:r>
      <w:r w:rsidRPr="007C1187">
        <w:rPr>
          <w:rFonts w:cs="Arial"/>
          <w:rtl/>
        </w:rPr>
        <w:t>.</w:t>
      </w:r>
      <w:r w:rsidRPr="00000744">
        <w:rPr>
          <w:rtl/>
        </w:rPr>
        <w:t xml:space="preserve"> </w:t>
      </w:r>
      <w:r w:rsidRPr="007C1187">
        <w:rPr>
          <w:rFonts w:cs="Arial" w:hint="cs"/>
          <w:sz w:val="14"/>
          <w:szCs w:val="14"/>
          <w:rtl/>
        </w:rPr>
        <w:t xml:space="preserve">(נח:) </w:t>
      </w:r>
      <w:r w:rsidRPr="007C1187">
        <w:rPr>
          <w:rFonts w:cs="Arial"/>
          <w:rtl/>
        </w:rPr>
        <w:t>תניא כוותיה דשמואל, ר' שמעון בן אלעזר אומר: לקח מן האשה וחזר ולקח מן האיש - מקחו קיים, מן האיש וחזר ולקח מן האשה - מקחו בטל, עד שתכתוב לו אחריות.</w:t>
      </w:r>
      <w:r w:rsidRPr="007C1187">
        <w:rPr>
          <w:rFonts w:cs="Arial" w:hint="cs"/>
          <w:rtl/>
        </w:rPr>
        <w:t xml:space="preserve"> </w:t>
      </w:r>
      <w:r w:rsidRPr="007C1187">
        <w:rPr>
          <w:rFonts w:cs="Arial" w:hint="cs"/>
          <w:sz w:val="16"/>
          <w:szCs w:val="16"/>
          <w:rtl/>
        </w:rPr>
        <w:t>(</w:t>
      </w:r>
      <w:r w:rsidRPr="007C1187">
        <w:rPr>
          <w:rFonts w:cs="Arial"/>
          <w:sz w:val="16"/>
          <w:szCs w:val="16"/>
          <w:rtl/>
        </w:rPr>
        <w:t>וידוע דהלכה כשמואל בדיני ועוד דתניא כוותיה (שם:) וכן פסקו הפוסקים</w:t>
      </w:r>
      <w:r w:rsidRPr="007C1187">
        <w:rPr>
          <w:rFonts w:cs="Arial" w:hint="cs"/>
          <w:sz w:val="16"/>
          <w:szCs w:val="16"/>
          <w:rtl/>
        </w:rPr>
        <w:t xml:space="preserve">, ב"י. ומשפסקו כן לגבי סיקריקון </w:t>
      </w:r>
      <w:r w:rsidRPr="007C1187">
        <w:rPr>
          <w:rFonts w:cs="Arial"/>
          <w:sz w:val="16"/>
          <w:szCs w:val="16"/>
          <w:rtl/>
        </w:rPr>
        <w:t>–</w:t>
      </w:r>
      <w:r w:rsidRPr="007C1187">
        <w:rPr>
          <w:rFonts w:cs="Arial" w:hint="cs"/>
          <w:sz w:val="16"/>
          <w:szCs w:val="16"/>
          <w:rtl/>
        </w:rPr>
        <w:t xml:space="preserve"> הוא הדין למי שלקח מהאיש והאשה)</w:t>
      </w:r>
      <w:r w:rsidRPr="007C1187">
        <w:rPr>
          <w:rFonts w:cs="Arial"/>
          <w:rtl/>
        </w:rPr>
        <w:t xml:space="preserve">  </w:t>
      </w:r>
    </w:p>
    <w:p w14:paraId="5E9E428F" w14:textId="77777777" w:rsidR="002E5BAD" w:rsidRPr="007C1187" w:rsidRDefault="002E5BAD" w:rsidP="002E5BAD">
      <w:pPr>
        <w:rPr>
          <w:rFonts w:cs="Arial"/>
          <w:u w:val="single"/>
        </w:rPr>
      </w:pPr>
      <w:r w:rsidRPr="007C1187">
        <w:rPr>
          <w:rFonts w:cs="Arial" w:hint="cs"/>
          <w:u w:val="single"/>
          <w:rtl/>
        </w:rPr>
        <w:t>קנה מהבעל ואח"כ מהאשה וכתבה האשה לקונה 'דין ודברים אין לי עליך' וקנו מידה על זה:</w:t>
      </w:r>
    </w:p>
    <w:p w14:paraId="786C4F7F" w14:textId="77777777" w:rsidR="002E5BAD" w:rsidRPr="00741D85" w:rsidRDefault="002E5BAD" w:rsidP="002E5BAD">
      <w:pPr>
        <w:pStyle w:val="ab"/>
        <w:numPr>
          <w:ilvl w:val="0"/>
          <w:numId w:val="186"/>
        </w:numPr>
        <w:rPr>
          <w:rFonts w:cs="Arial"/>
          <w:rtl/>
        </w:rPr>
      </w:pPr>
      <w:r>
        <w:rPr>
          <w:rFonts w:cs="Arial" w:hint="cs"/>
          <w:rtl/>
        </w:rPr>
        <w:t xml:space="preserve">טור- </w:t>
      </w:r>
      <w:r w:rsidRPr="008C513A">
        <w:rPr>
          <w:rFonts w:cs="Arial"/>
          <w:rtl/>
        </w:rPr>
        <w:t>ואפי' כתבה לו דין ודברים אין לי עמך על שדה זו וקנו מידה</w:t>
      </w:r>
      <w:r>
        <w:rPr>
          <w:rFonts w:cs="Arial" w:hint="cs"/>
          <w:rtl/>
        </w:rPr>
        <w:t xml:space="preserve"> -</w:t>
      </w:r>
      <w:r w:rsidRPr="008C513A">
        <w:rPr>
          <w:rFonts w:cs="Arial"/>
          <w:rtl/>
        </w:rPr>
        <w:t xml:space="preserve"> אינו מועיל וטורפת מן הלקוחות</w:t>
      </w:r>
      <w:r>
        <w:rPr>
          <w:rStyle w:val="a7"/>
          <w:rFonts w:cs="Arial"/>
          <w:rtl/>
        </w:rPr>
        <w:footnoteReference w:id="2117"/>
      </w:r>
      <w:r>
        <w:rPr>
          <w:rFonts w:cs="Arial" w:hint="cs"/>
          <w:rtl/>
        </w:rPr>
        <w:t>,</w:t>
      </w:r>
      <w:r w:rsidRPr="008C513A">
        <w:rPr>
          <w:rFonts w:cs="Arial"/>
          <w:rtl/>
        </w:rPr>
        <w:t xml:space="preserve"> אא"כ קבלה עליה אחריות אם יטרפוה ממנו שיחזור עליה</w:t>
      </w:r>
      <w:r>
        <w:rPr>
          <w:rFonts w:cs="Arial" w:hint="cs"/>
          <w:rtl/>
        </w:rPr>
        <w:t>,</w:t>
      </w:r>
      <w:r w:rsidRPr="008C513A">
        <w:rPr>
          <w:rFonts w:cs="Arial"/>
          <w:rtl/>
        </w:rPr>
        <w:t xml:space="preserve"> דכולי האי לא היתה עושה משום נחת רוח</w:t>
      </w:r>
      <w:r>
        <w:rPr>
          <w:rStyle w:val="a7"/>
          <w:rFonts w:cs="Arial"/>
          <w:rtl/>
        </w:rPr>
        <w:footnoteReference w:id="2118"/>
      </w:r>
      <w:r>
        <w:rPr>
          <w:rFonts w:cs="Arial" w:hint="cs"/>
          <w:rtl/>
        </w:rPr>
        <w:t>.</w:t>
      </w:r>
      <w:r w:rsidRPr="008C513A">
        <w:rPr>
          <w:rFonts w:cs="Arial"/>
          <w:rtl/>
        </w:rPr>
        <w:t xml:space="preserve"> </w:t>
      </w:r>
      <w:r w:rsidRPr="00763570">
        <w:rPr>
          <w:rFonts w:cs="Arial" w:hint="cs"/>
          <w:color w:val="E36C0A" w:themeColor="accent6" w:themeShade="BF"/>
          <w:rtl/>
        </w:rPr>
        <w:t>(וכ"פ בשו"ע</w:t>
      </w:r>
      <w:r>
        <w:rPr>
          <w:rFonts w:cs="Arial" w:hint="cs"/>
          <w:color w:val="E36C0A" w:themeColor="accent6" w:themeShade="BF"/>
          <w:sz w:val="16"/>
          <w:szCs w:val="16"/>
          <w:rtl/>
        </w:rPr>
        <w:t xml:space="preserve"> </w:t>
      </w:r>
      <w:r w:rsidRPr="00741D85">
        <w:rPr>
          <w:rFonts w:cs="Arial" w:hint="cs"/>
          <w:sz w:val="16"/>
          <w:szCs w:val="16"/>
          <w:rtl/>
        </w:rPr>
        <w:t>[כאן ובסע' טז]</w:t>
      </w:r>
      <w:r w:rsidRPr="00763570">
        <w:rPr>
          <w:rFonts w:cs="Arial" w:hint="cs"/>
          <w:color w:val="E36C0A" w:themeColor="accent6" w:themeShade="BF"/>
          <w:rtl/>
        </w:rPr>
        <w:t>)</w:t>
      </w:r>
    </w:p>
    <w:p w14:paraId="6E32BC63" w14:textId="77777777" w:rsidR="002E5BAD" w:rsidRDefault="002E5BAD" w:rsidP="002E5BAD">
      <w:pPr>
        <w:rPr>
          <w:rFonts w:cs="Arial"/>
          <w:rtl/>
        </w:rPr>
      </w:pPr>
      <w:bookmarkStart w:id="4" w:name="_Hlk69728374"/>
      <w:bookmarkStart w:id="5" w:name="_Hlk69803775"/>
      <w:bookmarkStart w:id="6" w:name="_Hlk69730213"/>
      <w:r>
        <w:rPr>
          <w:rFonts w:cs="Arial" w:hint="cs"/>
          <w:b/>
          <w:bCs/>
          <w:rtl/>
        </w:rPr>
        <w:lastRenderedPageBreak/>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2119"/>
      </w:r>
      <w:r w:rsidRPr="007A10AF">
        <w:rPr>
          <w:rFonts w:cs="Arial"/>
          <w:rtl/>
        </w:rPr>
        <w:t>, וכתבה ראשונה</w:t>
      </w:r>
      <w:r>
        <w:rPr>
          <w:rStyle w:val="a7"/>
          <w:rFonts w:cs="Arial"/>
          <w:rtl/>
        </w:rPr>
        <w:footnoteReference w:id="2120"/>
      </w:r>
      <w:r w:rsidRPr="007A10AF">
        <w:rPr>
          <w:rFonts w:cs="Arial"/>
          <w:rtl/>
        </w:rPr>
        <w:t xml:space="preserve"> ללוקח דין ודברים אין לי עמך - השניה מוציאה</w:t>
      </w:r>
      <w:r>
        <w:rPr>
          <w:rStyle w:val="a7"/>
          <w:rFonts w:cs="Arial"/>
          <w:rtl/>
        </w:rPr>
        <w:footnoteReference w:id="2121"/>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bookmarkEnd w:id="4"/>
      <w:r>
        <w:rPr>
          <w:rFonts w:cs="Arial" w:hint="cs"/>
          <w:rtl/>
        </w:rPr>
        <w:t xml:space="preserve">     </w:t>
      </w:r>
      <w:r w:rsidRPr="007A10AF">
        <w:rPr>
          <w:rFonts w:cs="Arial"/>
          <w:u w:val="double"/>
          <w:rtl/>
        </w:rPr>
        <w:t>גמ'</w:t>
      </w:r>
      <w:r>
        <w:rPr>
          <w:rFonts w:cs="Arial" w:hint="cs"/>
          <w:rtl/>
        </w:rPr>
        <w:t>:</w:t>
      </w:r>
      <w:r w:rsidRPr="007A10AF">
        <w:rPr>
          <w:rFonts w:cs="Arial"/>
          <w:rtl/>
        </w:rPr>
        <w:t xml:space="preserve"> וכי כתבה ליה מאי הוי? והתניא: האומר לחבירו דין ודברים אין לי על שדה זו, ואין לי עסק בה, וידי מסולקת הימנה - לא אמר כלום! הכא במאי עסקינן - בשקנו מידה</w:t>
      </w:r>
      <w:r>
        <w:rPr>
          <w:rStyle w:val="a7"/>
          <w:rFonts w:cs="Arial"/>
          <w:rtl/>
        </w:rPr>
        <w:footnoteReference w:id="2122"/>
      </w:r>
      <w:r w:rsidRPr="007A10AF">
        <w:rPr>
          <w:rFonts w:cs="Arial"/>
          <w:rtl/>
        </w:rPr>
        <w:t>. וכי קנו מידה מאי הוי? תימא: נחת רוח עשיתי לבעלי!</w:t>
      </w:r>
      <w:r w:rsidRPr="00082549">
        <w:rPr>
          <w:rtl/>
        </w:rPr>
        <w:t xml:space="preserve"> </w:t>
      </w:r>
      <w:r w:rsidRPr="00082549">
        <w:rPr>
          <w:rFonts w:cs="Arial"/>
          <w:rtl/>
        </w:rPr>
        <w:t>מי לא תנן: לקח מן האיש וחזר ולקח מן האשה - מקחו בטל</w:t>
      </w:r>
      <w:r>
        <w:rPr>
          <w:rFonts w:cs="Arial" w:hint="cs"/>
          <w:rtl/>
        </w:rPr>
        <w:t>.</w:t>
      </w:r>
      <w:r w:rsidRPr="00082549">
        <w:rPr>
          <w:rFonts w:cs="Arial"/>
          <w:rtl/>
        </w:rPr>
        <w:t xml:space="preserve"> אלמא יכולה היא שתאמר: נחת רוח עשיתי לבעלי!</w:t>
      </w:r>
      <w:r w:rsidRPr="007A10AF">
        <w:rPr>
          <w:rFonts w:cs="Arial"/>
          <w:rtl/>
        </w:rPr>
        <w:t xml:space="preserve"> </w:t>
      </w:r>
      <w:r w:rsidRPr="007F67A4">
        <w:rPr>
          <w:rFonts w:cs="Arial"/>
          <w:u w:val="single"/>
          <w:rtl/>
        </w:rPr>
        <w:t>א"ר זירא אמר רב חסדא</w:t>
      </w:r>
      <w:r>
        <w:rPr>
          <w:rFonts w:cs="Arial" w:hint="cs"/>
          <w:rtl/>
        </w:rPr>
        <w:t>:</w:t>
      </w:r>
      <w:r w:rsidRPr="00072F15">
        <w:rPr>
          <w:rFonts w:cs="Arial"/>
          <w:rtl/>
        </w:rPr>
        <w:t xml:space="preserve"> לא קשיא</w:t>
      </w:r>
      <w:r>
        <w:rPr>
          <w:rFonts w:cs="Arial" w:hint="cs"/>
          <w:rtl/>
        </w:rPr>
        <w:t>,</w:t>
      </w:r>
      <w:r w:rsidRPr="00072F15">
        <w:rPr>
          <w:rFonts w:cs="Arial"/>
          <w:rtl/>
        </w:rPr>
        <w:t xml:space="preserve"> הא ר"מ, הא ר' יהודה</w:t>
      </w:r>
      <w:r>
        <w:rPr>
          <w:rFonts w:cs="Arial" w:hint="cs"/>
          <w:rtl/>
        </w:rPr>
        <w:t>,</w:t>
      </w:r>
      <w:r w:rsidRPr="00072F15">
        <w:rPr>
          <w:rFonts w:cs="Arial"/>
          <w:rtl/>
        </w:rPr>
        <w:t xml:space="preserve"> דתניא: כתב לראשון</w:t>
      </w:r>
      <w:r>
        <w:rPr>
          <w:rStyle w:val="a7"/>
          <w:rFonts w:cs="Arial"/>
          <w:rtl/>
        </w:rPr>
        <w:footnoteReference w:id="2123"/>
      </w:r>
      <w:r w:rsidRPr="00072F15">
        <w:rPr>
          <w:rFonts w:cs="Arial"/>
          <w:rtl/>
        </w:rPr>
        <w:t xml:space="preserve"> ולא חתמה לו</w:t>
      </w:r>
      <w:r>
        <w:rPr>
          <w:rStyle w:val="a7"/>
          <w:rFonts w:cs="Arial"/>
          <w:rtl/>
        </w:rPr>
        <w:footnoteReference w:id="2124"/>
      </w:r>
      <w:r w:rsidRPr="00072F15">
        <w:rPr>
          <w:rFonts w:cs="Arial"/>
          <w:rtl/>
        </w:rPr>
        <w:t>, לשני וחתמה לו - איבדה כתובתה</w:t>
      </w:r>
      <w:r>
        <w:rPr>
          <w:rStyle w:val="a7"/>
          <w:rFonts w:cs="Arial"/>
          <w:rtl/>
        </w:rPr>
        <w:footnoteReference w:id="2125"/>
      </w:r>
      <w:r w:rsidRPr="00072F15">
        <w:rPr>
          <w:rFonts w:cs="Arial"/>
          <w:rtl/>
        </w:rPr>
        <w:t xml:space="preserve">, </w:t>
      </w:r>
      <w:r w:rsidRPr="007F67A4">
        <w:rPr>
          <w:rFonts w:cs="Arial"/>
          <w:u w:val="single"/>
          <w:rtl/>
        </w:rPr>
        <w:t>דברי ר"מ</w:t>
      </w:r>
      <w:r>
        <w:rPr>
          <w:rFonts w:cs="Arial" w:hint="cs"/>
          <w:rtl/>
        </w:rPr>
        <w:t>.</w:t>
      </w:r>
      <w:r w:rsidRPr="00072F15">
        <w:rPr>
          <w:rFonts w:cs="Arial"/>
          <w:rtl/>
        </w:rPr>
        <w:t xml:space="preserve"> </w:t>
      </w:r>
      <w:r w:rsidRPr="007F67A4">
        <w:rPr>
          <w:rFonts w:cs="Arial"/>
          <w:u w:val="single"/>
          <w:rtl/>
        </w:rPr>
        <w:t>ר' יהודה אומר</w:t>
      </w:r>
      <w:r w:rsidRPr="00072F15">
        <w:rPr>
          <w:rFonts w:cs="Arial"/>
          <w:rtl/>
        </w:rPr>
        <w:t>: יכולה היא שתאמר נחת רוח עשיתי לבעלי, אתם מה לכם עלי</w:t>
      </w:r>
      <w:r>
        <w:rPr>
          <w:rStyle w:val="a7"/>
          <w:rFonts w:cs="Arial"/>
          <w:rtl/>
        </w:rPr>
        <w:footnoteReference w:id="2126"/>
      </w:r>
      <w:r w:rsidRPr="00072F15">
        <w:rPr>
          <w:rFonts w:cs="Arial"/>
          <w:rtl/>
        </w:rPr>
        <w:t>. ורבי</w:t>
      </w:r>
      <w:r>
        <w:rPr>
          <w:rStyle w:val="a7"/>
          <w:rFonts w:cs="Arial"/>
          <w:rtl/>
        </w:rPr>
        <w:footnoteReference w:id="2127"/>
      </w:r>
      <w:r w:rsidRPr="00072F15">
        <w:rPr>
          <w:rFonts w:cs="Arial"/>
          <w:rtl/>
        </w:rPr>
        <w:t xml:space="preserve"> סתם לה הכא כר"מ, וסתם לה התם כר' יהודה? </w:t>
      </w:r>
      <w:r w:rsidRPr="007F67A4">
        <w:rPr>
          <w:rFonts w:cs="Arial"/>
          <w:u w:val="single"/>
          <w:rtl/>
        </w:rPr>
        <w:t>אמר רב פפא</w:t>
      </w:r>
      <w:r w:rsidRPr="006C343E">
        <w:rPr>
          <w:rStyle w:val="a7"/>
          <w:rFonts w:cs="Arial"/>
          <w:u w:val="single"/>
          <w:rtl/>
        </w:rPr>
        <w:footnoteReference w:id="2128"/>
      </w:r>
      <w:r w:rsidRPr="00072F15">
        <w:rPr>
          <w:rFonts w:cs="Arial"/>
          <w:rtl/>
        </w:rPr>
        <w:t xml:space="preserve">: בגרושה ודברי הכל. </w:t>
      </w:r>
      <w:r w:rsidRPr="007F67A4">
        <w:rPr>
          <w:rFonts w:cs="Arial"/>
          <w:u w:val="single"/>
          <w:rtl/>
        </w:rPr>
        <w:t>רב אשי אמר</w:t>
      </w:r>
      <w:r w:rsidRPr="006C343E">
        <w:rPr>
          <w:rStyle w:val="a7"/>
          <w:rFonts w:cs="Arial"/>
          <w:u w:val="single"/>
          <w:rtl/>
        </w:rPr>
        <w:footnoteReference w:id="2129"/>
      </w:r>
      <w:r w:rsidRPr="00072F15">
        <w:rPr>
          <w:rFonts w:cs="Arial"/>
          <w:rtl/>
        </w:rPr>
        <w:t>: כולה ר"מ היא, ועד כאן לא קאמר ר"מ התם - אלא בשני לקוחות, דאמרי לה: אי איתא דנחת רוח עבדת - לקמא איבעי לך למיעבד, אבל בלוקח אחד אפילו רבי מאיר מודה, ומתני'</w:t>
      </w:r>
      <w:r>
        <w:rPr>
          <w:rStyle w:val="a7"/>
          <w:rFonts w:cs="Arial"/>
          <w:rtl/>
        </w:rPr>
        <w:footnoteReference w:id="2130"/>
      </w:r>
      <w:r w:rsidRPr="00072F15">
        <w:rPr>
          <w:rFonts w:cs="Arial"/>
          <w:rtl/>
        </w:rPr>
        <w:t xml:space="preserve"> - דכתב</w:t>
      </w:r>
      <w:r>
        <w:rPr>
          <w:rStyle w:val="a7"/>
          <w:rFonts w:cs="Arial"/>
          <w:rtl/>
        </w:rPr>
        <w:footnoteReference w:id="2131"/>
      </w:r>
      <w:r w:rsidRPr="00072F15">
        <w:rPr>
          <w:rFonts w:cs="Arial"/>
          <w:rtl/>
        </w:rPr>
        <w:t xml:space="preserve"> ליה לאחר.</w:t>
      </w:r>
    </w:p>
    <w:bookmarkEnd w:id="5"/>
    <w:p w14:paraId="2B72088B" w14:textId="77777777" w:rsidR="002E5BAD" w:rsidRPr="007C1187" w:rsidRDefault="002E5BAD" w:rsidP="002E5BAD">
      <w:pPr>
        <w:rPr>
          <w:rFonts w:cs="Arial"/>
          <w:u w:val="single"/>
        </w:rPr>
      </w:pPr>
      <w:r w:rsidRPr="007C1187">
        <w:rPr>
          <w:rFonts w:cs="Arial" w:hint="cs"/>
          <w:u w:val="single"/>
          <w:rtl/>
        </w:rPr>
        <w:t xml:space="preserve">בעל </w:t>
      </w:r>
      <w:r>
        <w:rPr>
          <w:rFonts w:cs="Arial" w:hint="cs"/>
          <w:u w:val="single"/>
          <w:rtl/>
        </w:rPr>
        <w:t>ש</w:t>
      </w:r>
      <w:r w:rsidRPr="007C1187">
        <w:rPr>
          <w:rFonts w:cs="Arial" w:hint="cs"/>
          <w:u w:val="single"/>
          <w:rtl/>
        </w:rPr>
        <w:t>רצה למכור נצ"ב לאחד, ו</w:t>
      </w:r>
      <w:r>
        <w:rPr>
          <w:rFonts w:cs="Arial" w:hint="cs"/>
          <w:u w:val="single"/>
          <w:rtl/>
        </w:rPr>
        <w:t xml:space="preserve">אשתו </w:t>
      </w:r>
      <w:r w:rsidRPr="007C1187">
        <w:rPr>
          <w:rFonts w:cs="Arial" w:hint="cs"/>
          <w:u w:val="single"/>
          <w:rtl/>
        </w:rPr>
        <w:t>לא הסכימה, ו</w:t>
      </w:r>
      <w:r>
        <w:rPr>
          <w:rFonts w:cs="Arial" w:hint="cs"/>
          <w:u w:val="single"/>
          <w:rtl/>
        </w:rPr>
        <w:t xml:space="preserve">אח"כ </w:t>
      </w:r>
      <w:r w:rsidRPr="007C1187">
        <w:rPr>
          <w:rFonts w:cs="Arial" w:hint="cs"/>
          <w:u w:val="single"/>
          <w:rtl/>
        </w:rPr>
        <w:t xml:space="preserve">רצה למכור לאחר </w:t>
      </w:r>
      <w:r w:rsidRPr="007C1187">
        <w:rPr>
          <w:rFonts w:cs="Arial"/>
          <w:u w:val="single"/>
          <w:rtl/>
        </w:rPr>
        <w:t>–</w:t>
      </w:r>
      <w:r w:rsidRPr="007C1187">
        <w:rPr>
          <w:rFonts w:cs="Arial" w:hint="cs"/>
          <w:u w:val="single"/>
          <w:rtl/>
        </w:rPr>
        <w:t xml:space="preserve"> והסכימה:</w:t>
      </w:r>
    </w:p>
    <w:p w14:paraId="50BE8999" w14:textId="77777777" w:rsidR="002E5BAD" w:rsidRDefault="002E5BAD" w:rsidP="002E5BAD">
      <w:pPr>
        <w:pStyle w:val="ab"/>
        <w:numPr>
          <w:ilvl w:val="0"/>
          <w:numId w:val="186"/>
        </w:numPr>
        <w:rPr>
          <w:rFonts w:cs="Arial"/>
        </w:rPr>
      </w:pPr>
      <w:r>
        <w:rPr>
          <w:rFonts w:cs="Arial"/>
          <w:rtl/>
        </w:rPr>
        <w:t xml:space="preserve">רמב"ם </w:t>
      </w:r>
      <w:r w:rsidRPr="00A303DC">
        <w:rPr>
          <w:rFonts w:cs="Arial" w:hint="cs"/>
          <w:sz w:val="16"/>
          <w:szCs w:val="16"/>
          <w:rtl/>
        </w:rPr>
        <w:t>(</w:t>
      </w:r>
      <w:r w:rsidRPr="00A303DC">
        <w:rPr>
          <w:rFonts w:cs="Arial"/>
          <w:sz w:val="16"/>
          <w:szCs w:val="16"/>
          <w:rtl/>
        </w:rPr>
        <w:t xml:space="preserve">פי"ז מאישות הי"א) </w:t>
      </w:r>
      <w:r>
        <w:rPr>
          <w:rFonts w:cs="Arial" w:hint="cs"/>
          <w:rtl/>
        </w:rPr>
        <w:t>וטור</w:t>
      </w:r>
      <w:r>
        <w:rPr>
          <w:rStyle w:val="a7"/>
          <w:rFonts w:cs="Arial"/>
          <w:rtl/>
        </w:rPr>
        <w:footnoteReference w:id="2132"/>
      </w:r>
      <w:r>
        <w:rPr>
          <w:rFonts w:cs="Arial" w:hint="cs"/>
          <w:rtl/>
        </w:rPr>
        <w:t xml:space="preserve">- </w:t>
      </w:r>
      <w:r w:rsidRPr="007C1187">
        <w:rPr>
          <w:rFonts w:cs="Arial"/>
          <w:rtl/>
        </w:rPr>
        <w:t>וכן אם מכר הבעל ואמר לאשתו לכתוב ללוקח דין ודברים אין לי עמך ולא כתבה ללוקח ולא הסכימה למעשיו ונפסד</w:t>
      </w:r>
      <w:r>
        <w:rPr>
          <w:rStyle w:val="a7"/>
          <w:rFonts w:cs="Arial"/>
          <w:rtl/>
        </w:rPr>
        <w:footnoteReference w:id="2133"/>
      </w:r>
      <w:r w:rsidRPr="007C1187">
        <w:rPr>
          <w:rFonts w:cs="Arial"/>
          <w:rtl/>
        </w:rPr>
        <w:t xml:space="preserve"> המכר</w:t>
      </w:r>
      <w:r>
        <w:rPr>
          <w:rFonts w:cs="Arial" w:hint="cs"/>
          <w:rtl/>
        </w:rPr>
        <w:t>.</w:t>
      </w:r>
      <w:r w:rsidRPr="007C1187">
        <w:rPr>
          <w:rFonts w:cs="Arial"/>
          <w:rtl/>
        </w:rPr>
        <w:t xml:space="preserve"> וחזר הבעל ומכר לאיש אחר בין אותה שדה בין שדה אחרת ואחר שמכר הבעל הסכימה למעשיו וקנו מידה שאין לה שעבוד על שדה זו </w:t>
      </w:r>
      <w:r>
        <w:rPr>
          <w:rFonts w:cs="Arial" w:hint="cs"/>
          <w:rtl/>
        </w:rPr>
        <w:t xml:space="preserve">- </w:t>
      </w:r>
      <w:r w:rsidRPr="007C1187">
        <w:rPr>
          <w:rFonts w:cs="Arial"/>
          <w:rtl/>
        </w:rPr>
        <w:t>אינה יכולה לטרוף</w:t>
      </w:r>
      <w:r>
        <w:rPr>
          <w:rFonts w:cs="Arial" w:hint="cs"/>
          <w:rtl/>
        </w:rPr>
        <w:t>,</w:t>
      </w:r>
      <w:r w:rsidRPr="007C1187">
        <w:rPr>
          <w:rFonts w:cs="Arial"/>
          <w:rtl/>
        </w:rPr>
        <w:t xml:space="preserve"> שאינה יכולה לומר נחת רוח עשיתי לבעלי</w:t>
      </w:r>
      <w:r>
        <w:rPr>
          <w:rFonts w:cs="Arial" w:hint="cs"/>
          <w:rtl/>
        </w:rPr>
        <w:t>,</w:t>
      </w:r>
      <w:r w:rsidRPr="007C1187">
        <w:rPr>
          <w:rFonts w:cs="Arial"/>
          <w:rtl/>
        </w:rPr>
        <w:t xml:space="preserve"> שהרי בראשונה כשלא רצתה לא הלכה ברצון בעלה</w:t>
      </w:r>
      <w:r>
        <w:rPr>
          <w:rFonts w:cs="Arial" w:hint="cs"/>
          <w:sz w:val="16"/>
          <w:szCs w:val="16"/>
          <w:rtl/>
        </w:rPr>
        <w:t xml:space="preserve"> (ל' הרמב"ם)</w:t>
      </w:r>
      <w:r>
        <w:rPr>
          <w:rFonts w:cs="Arial" w:hint="cs"/>
          <w:rtl/>
        </w:rPr>
        <w:t>.</w:t>
      </w:r>
      <w:r w:rsidRPr="008C513A">
        <w:rPr>
          <w:rFonts w:cs="Arial"/>
          <w:rtl/>
        </w:rPr>
        <w:t xml:space="preserve"> </w:t>
      </w:r>
      <w:r w:rsidRPr="00763570">
        <w:rPr>
          <w:rFonts w:cs="Arial" w:hint="cs"/>
          <w:color w:val="E36C0A" w:themeColor="accent6" w:themeShade="BF"/>
          <w:rtl/>
        </w:rPr>
        <w:t>(וכ"פ בשו"ע</w:t>
      </w:r>
      <w:r>
        <w:rPr>
          <w:rFonts w:cs="Arial" w:hint="cs"/>
          <w:color w:val="E36C0A" w:themeColor="accent6" w:themeShade="BF"/>
          <w:rtl/>
        </w:rPr>
        <w:t>)</w:t>
      </w:r>
    </w:p>
    <w:p w14:paraId="38B188E6" w14:textId="77777777" w:rsidR="002E5BAD" w:rsidRPr="006601D0" w:rsidRDefault="002E5BAD" w:rsidP="002E5BAD">
      <w:pPr>
        <w:ind w:left="360"/>
        <w:rPr>
          <w:u w:val="dotted"/>
        </w:rPr>
      </w:pPr>
      <w:r w:rsidRPr="006601D0">
        <w:rPr>
          <w:rFonts w:hint="cs"/>
          <w:u w:val="dotted"/>
          <w:rtl/>
        </w:rPr>
        <w:t xml:space="preserve">במדה והבעל מכר גם ללוקח הראשון </w:t>
      </w:r>
      <w:r w:rsidRPr="006601D0">
        <w:rPr>
          <w:rFonts w:hint="cs"/>
          <w:sz w:val="16"/>
          <w:szCs w:val="16"/>
          <w:u w:val="dotted"/>
          <w:rtl/>
        </w:rPr>
        <w:t>(ללא הסכמתה)</w:t>
      </w:r>
      <w:r w:rsidRPr="006601D0">
        <w:rPr>
          <w:rFonts w:hint="cs"/>
          <w:u w:val="dotted"/>
          <w:rtl/>
        </w:rPr>
        <w:t xml:space="preserve"> - האם יכולה לגבות מן הראשון:</w:t>
      </w:r>
    </w:p>
    <w:p w14:paraId="0DDDC2FD" w14:textId="77777777" w:rsidR="002E5BAD" w:rsidRPr="00D96B36" w:rsidRDefault="002E5BAD" w:rsidP="002E5BAD">
      <w:pPr>
        <w:pStyle w:val="ab"/>
        <w:numPr>
          <w:ilvl w:val="0"/>
          <w:numId w:val="186"/>
        </w:numPr>
      </w:pPr>
      <w:r w:rsidRPr="003D2914">
        <w:rPr>
          <w:rFonts w:cs="Arial"/>
          <w:rtl/>
        </w:rPr>
        <w:t>רש"י</w:t>
      </w:r>
      <w:r w:rsidRPr="00D96B36">
        <w:rPr>
          <w:rFonts w:cs="Arial"/>
          <w:rtl/>
        </w:rPr>
        <w:t xml:space="preserve"> </w:t>
      </w:r>
      <w:r w:rsidRPr="00D96B36">
        <w:rPr>
          <w:rFonts w:cs="Arial"/>
          <w:sz w:val="16"/>
          <w:szCs w:val="16"/>
          <w:rtl/>
        </w:rPr>
        <w:t xml:space="preserve">(ד"ה הכי גרסינן התם) </w:t>
      </w:r>
      <w:r w:rsidRPr="003D2914">
        <w:rPr>
          <w:rFonts w:cs="Arial"/>
          <w:rtl/>
        </w:rPr>
        <w:t xml:space="preserve">רמב"ם </w:t>
      </w:r>
      <w:r>
        <w:rPr>
          <w:rFonts w:cs="Arial" w:hint="cs"/>
          <w:sz w:val="16"/>
          <w:szCs w:val="16"/>
          <w:rtl/>
        </w:rPr>
        <w:t xml:space="preserve">(פי"ט ממלוה ה"ח) </w:t>
      </w:r>
      <w:r w:rsidRPr="003D2914">
        <w:rPr>
          <w:rFonts w:cs="Arial"/>
          <w:rtl/>
        </w:rPr>
        <w:t>העיטור</w:t>
      </w:r>
      <w:r>
        <w:rPr>
          <w:rFonts w:cs="Arial" w:hint="cs"/>
          <w:rtl/>
        </w:rPr>
        <w:t xml:space="preserve"> </w:t>
      </w:r>
      <w:r>
        <w:rPr>
          <w:rFonts w:cs="Arial" w:hint="cs"/>
          <w:sz w:val="16"/>
          <w:szCs w:val="16"/>
          <w:rtl/>
        </w:rPr>
        <w:t xml:space="preserve">(כ"כ הטור [בסי' ק] בשמו) </w:t>
      </w:r>
      <w:r>
        <w:rPr>
          <w:rFonts w:cs="Arial" w:hint="cs"/>
          <w:rtl/>
        </w:rPr>
        <w:t xml:space="preserve">ורשב"א </w:t>
      </w:r>
      <w:r>
        <w:rPr>
          <w:rFonts w:cs="Arial" w:hint="cs"/>
          <w:sz w:val="16"/>
          <w:szCs w:val="16"/>
          <w:rtl/>
        </w:rPr>
        <w:t>(במיוחסות סי' עט)</w:t>
      </w:r>
      <w:r>
        <w:rPr>
          <w:rFonts w:cs="Arial" w:hint="cs"/>
          <w:rtl/>
        </w:rPr>
        <w:t>-</w:t>
      </w:r>
      <w:r w:rsidRPr="003D2914">
        <w:rPr>
          <w:rFonts w:cs="Arial"/>
          <w:rtl/>
        </w:rPr>
        <w:t xml:space="preserve"> אינה גובה ממנו</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color w:val="E36C0A" w:themeColor="accent6" w:themeShade="BF"/>
          <w:sz w:val="16"/>
          <w:szCs w:val="16"/>
          <w:rtl/>
        </w:rPr>
        <w:t xml:space="preserve"> </w:t>
      </w:r>
      <w:r w:rsidRPr="008E0784">
        <w:rPr>
          <w:rFonts w:hint="cs"/>
          <w:color w:val="000000" w:themeColor="text1"/>
          <w:sz w:val="16"/>
          <w:szCs w:val="16"/>
          <w:rtl/>
        </w:rPr>
        <w:t>[</w:t>
      </w:r>
      <w:r>
        <w:rPr>
          <w:rFonts w:hint="cs"/>
          <w:color w:val="000000" w:themeColor="text1"/>
          <w:sz w:val="16"/>
          <w:szCs w:val="16"/>
          <w:rtl/>
        </w:rPr>
        <w:t>בסי' ק ס"ג,</w:t>
      </w:r>
      <w:r w:rsidRPr="00093D2D">
        <w:rPr>
          <w:rFonts w:hint="cs"/>
          <w:sz w:val="16"/>
          <w:szCs w:val="16"/>
          <w:rtl/>
        </w:rPr>
        <w:t xml:space="preserve"> </w:t>
      </w:r>
      <w:r>
        <w:rPr>
          <w:rFonts w:hint="cs"/>
          <w:sz w:val="16"/>
          <w:szCs w:val="16"/>
          <w:rtl/>
        </w:rPr>
        <w:t>ובחו"מ סי' קיח ס"א</w:t>
      </w:r>
      <w:r w:rsidRPr="008E0784">
        <w:rPr>
          <w:rFonts w:hint="cs"/>
          <w:color w:val="000000" w:themeColor="text1"/>
          <w:sz w:val="16"/>
          <w:szCs w:val="16"/>
          <w:rtl/>
        </w:rPr>
        <w:t>]</w:t>
      </w:r>
      <w:r w:rsidRPr="00AF388C">
        <w:rPr>
          <w:rFonts w:hint="cs"/>
          <w:color w:val="E36C0A" w:themeColor="accent6" w:themeShade="BF"/>
          <w:rtl/>
        </w:rPr>
        <w:t>)</w:t>
      </w:r>
    </w:p>
    <w:p w14:paraId="0F8E18D0" w14:textId="77777777" w:rsidR="002E5BAD" w:rsidRPr="006601D0" w:rsidRDefault="002E5BAD" w:rsidP="002E5BAD">
      <w:pPr>
        <w:pStyle w:val="ab"/>
        <w:numPr>
          <w:ilvl w:val="0"/>
          <w:numId w:val="186"/>
        </w:numPr>
      </w:pPr>
      <w:r w:rsidRPr="003D2914">
        <w:rPr>
          <w:rFonts w:cs="Arial"/>
          <w:rtl/>
        </w:rPr>
        <w:t xml:space="preserve">ר"ח </w:t>
      </w:r>
      <w:r>
        <w:rPr>
          <w:rFonts w:cs="Arial" w:hint="cs"/>
          <w:sz w:val="16"/>
          <w:szCs w:val="16"/>
          <w:rtl/>
        </w:rPr>
        <w:t xml:space="preserve">(כ"כ הטור [בסי' ק] בשמו) </w:t>
      </w:r>
      <w:r w:rsidRPr="003D2914">
        <w:rPr>
          <w:rFonts w:cs="Arial"/>
          <w:rtl/>
        </w:rPr>
        <w:t>ר"ת</w:t>
      </w:r>
      <w:r>
        <w:rPr>
          <w:rFonts w:cs="Arial" w:hint="cs"/>
          <w:rtl/>
        </w:rPr>
        <w:t xml:space="preserve"> </w:t>
      </w:r>
      <w:r w:rsidRPr="00D96B36">
        <w:rPr>
          <w:rFonts w:cs="Arial"/>
          <w:sz w:val="16"/>
          <w:szCs w:val="16"/>
          <w:rtl/>
        </w:rPr>
        <w:t>(תוס' ד"ה התם)</w:t>
      </w:r>
      <w:r>
        <w:rPr>
          <w:rFonts w:cs="Arial" w:hint="cs"/>
          <w:sz w:val="16"/>
          <w:szCs w:val="16"/>
          <w:rtl/>
        </w:rPr>
        <w:t xml:space="preserve"> </w:t>
      </w:r>
      <w:r>
        <w:rPr>
          <w:rFonts w:cs="Arial" w:hint="cs"/>
          <w:rtl/>
        </w:rPr>
        <w:t xml:space="preserve">ורא"ש </w:t>
      </w:r>
      <w:r w:rsidRPr="00D96B36">
        <w:rPr>
          <w:rFonts w:cs="Arial"/>
          <w:sz w:val="16"/>
          <w:szCs w:val="16"/>
          <w:rtl/>
        </w:rPr>
        <w:t>(סי' יז)</w:t>
      </w:r>
      <w:r>
        <w:rPr>
          <w:rFonts w:cs="Arial" w:hint="cs"/>
          <w:rtl/>
        </w:rPr>
        <w:t>-</w:t>
      </w:r>
      <w:r w:rsidRPr="003D2914">
        <w:rPr>
          <w:rFonts w:cs="Arial"/>
          <w:rtl/>
        </w:rPr>
        <w:t xml:space="preserve"> גובה ממנו</w:t>
      </w:r>
      <w:r>
        <w:rPr>
          <w:rFonts w:cs="Arial" w:hint="cs"/>
          <w:rtl/>
        </w:rPr>
        <w:t>.</w:t>
      </w:r>
    </w:p>
    <w:bookmarkEnd w:id="6"/>
    <w:p w14:paraId="595AA02E" w14:textId="77777777" w:rsidR="002E5BAD" w:rsidRPr="00304226" w:rsidRDefault="002E5BAD" w:rsidP="002E5BAD">
      <w:pPr>
        <w:rPr>
          <w:u w:val="single"/>
        </w:rPr>
      </w:pPr>
      <w:r w:rsidRPr="00304226">
        <w:rPr>
          <w:u w:val="single"/>
          <w:rtl/>
        </w:rPr>
        <w:t>אשה שהודית שחייבת עם בעלה</w:t>
      </w:r>
      <w:r w:rsidRPr="00304226">
        <w:rPr>
          <w:rFonts w:hint="cs"/>
          <w:u w:val="single"/>
          <w:rtl/>
        </w:rPr>
        <w:t xml:space="preserve"> </w:t>
      </w:r>
      <w:r w:rsidRPr="00304226">
        <w:rPr>
          <w:u w:val="single"/>
          <w:rtl/>
        </w:rPr>
        <w:t>–</w:t>
      </w:r>
      <w:r w:rsidRPr="00304226">
        <w:rPr>
          <w:rFonts w:hint="cs"/>
          <w:u w:val="single"/>
          <w:rtl/>
        </w:rPr>
        <w:t xml:space="preserve"> האם יכול אח"כ לטעון 'נחת רוח עשיתי לבעלי':</w:t>
      </w:r>
      <w:r w:rsidRPr="00304226">
        <w:rPr>
          <w:rFonts w:cs="Arial"/>
          <w:rtl/>
        </w:rPr>
        <w:t xml:space="preserve"> </w:t>
      </w:r>
    </w:p>
    <w:p w14:paraId="04BFDC88" w14:textId="77777777" w:rsidR="002E5BAD" w:rsidRPr="00304226" w:rsidRDefault="002E5BAD" w:rsidP="002E5BAD">
      <w:pPr>
        <w:pStyle w:val="ab"/>
        <w:numPr>
          <w:ilvl w:val="0"/>
          <w:numId w:val="186"/>
        </w:numPr>
        <w:rPr>
          <w:rFonts w:cs="Arial"/>
        </w:rPr>
      </w:pPr>
      <w:r>
        <w:rPr>
          <w:rFonts w:cs="Arial" w:hint="cs"/>
          <w:rtl/>
        </w:rPr>
        <w:t xml:space="preserve">רמב"ן </w:t>
      </w:r>
      <w:r w:rsidRPr="00304226">
        <w:rPr>
          <w:rFonts w:cs="Arial" w:hint="cs"/>
          <w:sz w:val="16"/>
          <w:szCs w:val="16"/>
          <w:rtl/>
        </w:rPr>
        <w:t>(בתשו', הביאו סה"ת שער ו ח"ב)</w:t>
      </w:r>
      <w:r>
        <w:rPr>
          <w:rFonts w:cs="Arial" w:hint="cs"/>
          <w:rtl/>
        </w:rPr>
        <w:t xml:space="preserve">- </w:t>
      </w:r>
      <w:r w:rsidRPr="00304226">
        <w:rPr>
          <w:rFonts w:cs="Arial"/>
          <w:rtl/>
        </w:rPr>
        <w:t xml:space="preserve">כל אשה כיון שמודה לבעל חוב שהיא חייבת לו, הרי היא וכל נכסיה חייבין מעתה, ונכסי מלוג שלה חייבין ומשועבדין לבעל חוב. וכתובתה עצמה משועבדת לו, ואם נתגרשה בא בעל חוב ונוטלה. ומחיים נמי נוטלה בעל חוב בטובת הנאה, אלא משום מחילת הבעל, כדאיתה בהחובל. נמצאת מפסדת כתובתה ונכסיה בחוב זה. הלכך לא שיך בה נחת רוח עשיתי לבעלי כלל, כי היכי דלא שייך בנכסים דידה שהן נכסי מלוג, לא שנא אית לה נכסי מלוג ולא שנא לית לה, דהא מכל מקום היא עצמה וכתובתה וכל מאי דקניא משתעבד לבעל חוב. ולא שיך נחת רוח עשיתי לבעלי שהרי המוחלת כתובתה לבעלה לא מציא למימר נחת רוח עשיתי לו, שאין נחת רוח אלא בנכסיו שלא תעכב היא מכירתו, אבל לשעבד היא עצמה או </w:t>
      </w:r>
      <w:r w:rsidRPr="00304226">
        <w:rPr>
          <w:rFonts w:cs="Arial"/>
          <w:rtl/>
        </w:rPr>
        <w:lastRenderedPageBreak/>
        <w:t>ליתן את שלה לבעל ולמלוה שלו או להפסיד כתובתה לא. אבל אם לוה הבעל ושעבד שדה צאן ברזל שלה באפותיקי מפורש וחתמה לו, בזה יש מקום שיצטרך מה שכתבת שיקנו ממנה תחלה או שתקבל המעות בפניהם, לפי שהיא אינה מתחייבת לבעל חוב ואינה מפסדת אלא אותו שדה המשועבד לה. ואיני צריך להאריך בזה בראיות, כי ענין ברור הוא</w:t>
      </w:r>
      <w:r>
        <w:rPr>
          <w:rStyle w:val="a7"/>
          <w:rFonts w:cs="Arial"/>
          <w:rtl/>
        </w:rPr>
        <w:footnoteReference w:id="2134"/>
      </w:r>
      <w:r w:rsidRPr="00304226">
        <w:rPr>
          <w:rFonts w:cs="Arial"/>
          <w:rtl/>
        </w:rPr>
        <w:t>.</w:t>
      </w:r>
      <w:r>
        <w:rPr>
          <w:rFonts w:cs="Arial" w:hint="cs"/>
          <w:rtl/>
        </w:rPr>
        <w:t xml:space="preserve"> </w:t>
      </w:r>
      <w:r w:rsidRPr="002472AF">
        <w:rPr>
          <w:rFonts w:cs="Arial" w:hint="cs"/>
          <w:color w:val="00B0F0"/>
          <w:rtl/>
        </w:rPr>
        <w:t>(וכ"פ הרמ"א)</w:t>
      </w:r>
    </w:p>
    <w:p w14:paraId="4F7BFC63" w14:textId="77777777" w:rsidR="002E5BAD" w:rsidRPr="008D0539" w:rsidRDefault="002E5BAD" w:rsidP="002E5BAD">
      <w:pPr>
        <w:rPr>
          <w:rFonts w:cs="Arial"/>
        </w:rPr>
      </w:pPr>
      <w:r w:rsidRPr="00425534">
        <w:rPr>
          <w:rFonts w:cs="Arial" w:hint="cs"/>
          <w:u w:val="single"/>
          <w:rtl/>
        </w:rPr>
        <w:t xml:space="preserve">מי שרוצה לקנות בית, וחושש שאשתו תעכב עליו במכירתו </w:t>
      </w:r>
      <w:r w:rsidRPr="00425534">
        <w:rPr>
          <w:rFonts w:cs="Arial"/>
          <w:u w:val="single"/>
          <w:rtl/>
        </w:rPr>
        <w:t>–</w:t>
      </w:r>
      <w:r w:rsidRPr="00425534">
        <w:rPr>
          <w:rFonts w:cs="Arial" w:hint="cs"/>
          <w:u w:val="single"/>
          <w:rtl/>
        </w:rPr>
        <w:t xml:space="preserve"> האם יכול להתנות עמה </w:t>
      </w:r>
      <w:r w:rsidRPr="00425534">
        <w:rPr>
          <w:rFonts w:cs="Arial"/>
          <w:u w:val="single"/>
          <w:rtl/>
        </w:rPr>
        <w:t>עליו בשעת קניין</w:t>
      </w:r>
      <w:r w:rsidRPr="00425534">
        <w:rPr>
          <w:rFonts w:cs="Arial" w:hint="cs"/>
          <w:u w:val="single"/>
          <w:rtl/>
        </w:rPr>
        <w:t>:</w:t>
      </w:r>
      <w:r w:rsidRPr="00843F99">
        <w:rPr>
          <w:rFonts w:cs="Arial"/>
          <w:rtl/>
        </w:rPr>
        <w:t xml:space="preserve"> </w:t>
      </w:r>
      <w:r w:rsidRPr="00425534">
        <w:rPr>
          <w:rFonts w:cs="Arial"/>
          <w:sz w:val="16"/>
          <w:szCs w:val="16"/>
          <w:rtl/>
        </w:rPr>
        <w:t>(</w:t>
      </w:r>
      <w:r w:rsidRPr="00425534">
        <w:rPr>
          <w:rFonts w:cs="Arial" w:hint="cs"/>
          <w:sz w:val="16"/>
          <w:szCs w:val="16"/>
          <w:rtl/>
        </w:rPr>
        <w:t xml:space="preserve">דרכ"מ אות </w:t>
      </w:r>
      <w:r w:rsidRPr="00425534">
        <w:rPr>
          <w:rFonts w:cs="Arial"/>
          <w:sz w:val="16"/>
          <w:szCs w:val="16"/>
          <w:rtl/>
        </w:rPr>
        <w:t>כ)</w:t>
      </w:r>
      <w:r w:rsidRPr="008D0539">
        <w:rPr>
          <w:rFonts w:cs="Arial"/>
          <w:rtl/>
        </w:rPr>
        <w:t xml:space="preserve"> </w:t>
      </w:r>
    </w:p>
    <w:p w14:paraId="628E3788" w14:textId="77777777" w:rsidR="002E5BAD" w:rsidRPr="00680B86" w:rsidRDefault="002E5BAD" w:rsidP="002E5BAD">
      <w:pPr>
        <w:pStyle w:val="ab"/>
        <w:numPr>
          <w:ilvl w:val="0"/>
          <w:numId w:val="186"/>
        </w:numPr>
        <w:rPr>
          <w:rFonts w:cs="Arial"/>
        </w:rPr>
      </w:pPr>
      <w:r w:rsidRPr="00843F99">
        <w:rPr>
          <w:rFonts w:cs="Arial"/>
          <w:rtl/>
        </w:rPr>
        <w:t>מהר"ם</w:t>
      </w:r>
      <w:r>
        <w:rPr>
          <w:rFonts w:cs="Arial" w:hint="cs"/>
          <w:rtl/>
        </w:rPr>
        <w:t xml:space="preserve"> </w:t>
      </w:r>
      <w:r>
        <w:rPr>
          <w:rFonts w:cs="Arial" w:hint="cs"/>
          <w:sz w:val="16"/>
          <w:szCs w:val="16"/>
          <w:rtl/>
        </w:rPr>
        <w:t>(</w:t>
      </w:r>
      <w:r w:rsidRPr="00680B86">
        <w:rPr>
          <w:rFonts w:cs="Arial"/>
          <w:sz w:val="16"/>
          <w:szCs w:val="16"/>
          <w:rtl/>
        </w:rPr>
        <w:t>ד</w:t>
      </w:r>
      <w:r>
        <w:rPr>
          <w:rFonts w:cs="Arial" w:hint="cs"/>
          <w:sz w:val="16"/>
          <w:szCs w:val="16"/>
          <w:rtl/>
        </w:rPr>
        <w:t>"</w:t>
      </w:r>
      <w:r w:rsidRPr="00680B86">
        <w:rPr>
          <w:rFonts w:cs="Arial"/>
          <w:sz w:val="16"/>
          <w:szCs w:val="16"/>
          <w:rtl/>
        </w:rPr>
        <w:t>ל סי</w:t>
      </w:r>
      <w:r>
        <w:rPr>
          <w:rFonts w:cs="Arial" w:hint="cs"/>
          <w:sz w:val="16"/>
          <w:szCs w:val="16"/>
          <w:rtl/>
        </w:rPr>
        <w:t>'</w:t>
      </w:r>
      <w:r w:rsidRPr="00680B86">
        <w:rPr>
          <w:rFonts w:cs="Arial"/>
          <w:sz w:val="16"/>
          <w:szCs w:val="16"/>
          <w:rtl/>
        </w:rPr>
        <w:t xml:space="preserve"> רנט</w:t>
      </w:r>
      <w:r w:rsidRPr="00680B86">
        <w:rPr>
          <w:rStyle w:val="a7"/>
          <w:rFonts w:cs="Arial"/>
          <w:sz w:val="16"/>
          <w:szCs w:val="16"/>
          <w:rtl/>
        </w:rPr>
        <w:footnoteReference w:id="2135"/>
      </w:r>
      <w:r>
        <w:rPr>
          <w:rFonts w:cs="Arial" w:hint="cs"/>
          <w:sz w:val="16"/>
          <w:szCs w:val="16"/>
          <w:rtl/>
        </w:rPr>
        <w:t>)</w:t>
      </w:r>
      <w:r>
        <w:rPr>
          <w:rFonts w:cs="Arial" w:hint="cs"/>
          <w:rtl/>
        </w:rPr>
        <w:t xml:space="preserve"> -</w:t>
      </w:r>
      <w:r>
        <w:rPr>
          <w:rFonts w:cs="Arial"/>
        </w:rPr>
        <w:t xml:space="preserve"> </w:t>
      </w:r>
      <w:r w:rsidRPr="00680B86">
        <w:rPr>
          <w:rFonts w:cs="Arial"/>
          <w:rtl/>
        </w:rPr>
        <w:t xml:space="preserve">ועל ראובן שחפץ לקנות בית ודואג פן יצטרך למוכרו ותעכב אשתו עליו, היוכל להתנות עם אשתו בשעת קנייה לומר על מנת כן אקנה לנו בית שבשעה שאצטרך למוכרו לא תוכל לעכב עליו, והיא מקבלת עליה כן ונכתב בשטר, אם תוכל לחזור בה כיון דבשעת התנאי הוה ליה דבר שלא בא לעולם שעדיין לא קנאו. נ"ל דלא מציא למיהדר בה, דנהי דאין אדם מקנה דבר שלא בא לעולם אדם מסתלק בטוב מדבר שלא בא לעולם. כדאיתא פרק חזקת הבתים </w:t>
      </w:r>
      <w:r w:rsidRPr="00680B86">
        <w:rPr>
          <w:rFonts w:cs="Arial" w:hint="cs"/>
          <w:rtl/>
        </w:rPr>
        <w:t>(</w:t>
      </w:r>
      <w:r w:rsidRPr="00680B86">
        <w:rPr>
          <w:rFonts w:cs="Arial"/>
          <w:rtl/>
        </w:rPr>
        <w:t>ב"ב מט</w:t>
      </w:r>
      <w:r w:rsidRPr="00680B86">
        <w:rPr>
          <w:rFonts w:cs="Arial" w:hint="cs"/>
          <w:rtl/>
        </w:rPr>
        <w:t>:)</w:t>
      </w:r>
      <w:r w:rsidRPr="00680B86">
        <w:rPr>
          <w:rFonts w:cs="Arial"/>
          <w:rtl/>
        </w:rPr>
        <w:t xml:space="preserve"> ובפרק הכותב </w:t>
      </w:r>
      <w:r w:rsidRPr="00680B86">
        <w:rPr>
          <w:rFonts w:cs="Arial" w:hint="cs"/>
          <w:rtl/>
        </w:rPr>
        <w:t>(</w:t>
      </w:r>
      <w:r w:rsidRPr="00680B86">
        <w:rPr>
          <w:rFonts w:cs="Arial"/>
          <w:rtl/>
        </w:rPr>
        <w:t>כתובות פג</w:t>
      </w:r>
      <w:r w:rsidRPr="00680B86">
        <w:rPr>
          <w:rFonts w:cs="Arial" w:hint="cs"/>
          <w:rtl/>
        </w:rPr>
        <w:t>.)</w:t>
      </w:r>
      <w:r w:rsidRPr="00680B86">
        <w:rPr>
          <w:rFonts w:cs="Arial"/>
          <w:rtl/>
        </w:rPr>
        <w:t xml:space="preserve"> נחלה הבאה לו לאדם ממקום אחר מתנה עליה שלא יירשנה, דתנן הכותב לאשתו דין ודברים אין לי בנכסייך ובפירותייך וכו', ומוקי לה בעודה ארוסה כתב לה, ומהני בין לנכסים שהן כבר בעולם ובין לפירות דאכתי לא אתו</w:t>
      </w:r>
      <w:r w:rsidRPr="00680B86">
        <w:rPr>
          <w:rFonts w:cs="Arial" w:hint="cs"/>
          <w:rtl/>
        </w:rPr>
        <w:t>.</w:t>
      </w:r>
      <w:r w:rsidRPr="00680B86">
        <w:rPr>
          <w:rFonts w:cs="Arial"/>
          <w:rtl/>
        </w:rPr>
        <w:t xml:space="preserve"> </w:t>
      </w:r>
      <w:r w:rsidRPr="002472AF">
        <w:rPr>
          <w:rFonts w:cs="Arial" w:hint="cs"/>
          <w:color w:val="00B0F0"/>
          <w:rtl/>
        </w:rPr>
        <w:t>(וכ"פ הרמ"א)</w:t>
      </w:r>
    </w:p>
    <w:p w14:paraId="04F546E2"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0AD03D9" w14:textId="77777777" w:rsidR="002E5BAD" w:rsidRDefault="002E5BAD" w:rsidP="002E5BAD">
      <w:pPr>
        <w:rPr>
          <w:rFonts w:cs="Arial"/>
          <w:rtl/>
        </w:rPr>
      </w:pPr>
      <w:r w:rsidRPr="00EB79BF">
        <w:rPr>
          <w:rFonts w:cs="Arial"/>
          <w:rtl/>
        </w:rPr>
        <w:t>הבעל שמכר נכסיו ואח</w:t>
      </w:r>
      <w:r>
        <w:rPr>
          <w:rFonts w:cs="Arial" w:hint="cs"/>
          <w:rtl/>
        </w:rPr>
        <w:t>ר כך</w:t>
      </w:r>
      <w:r w:rsidRPr="00EB79BF">
        <w:rPr>
          <w:rFonts w:cs="Arial"/>
          <w:rtl/>
        </w:rPr>
        <w:t xml:space="preserve"> כתבה אשתו ללוקח: דין ודברים אין לי עמך והסכימה למעשיו, אף על פי שקנו ממנו, הרי זו טורפת, שלא כתבה לו אלא כדי שלא תהיה בינה לבין בעלה קטטה, ויש לה לומר: נחת רוח עשיתי לבעלי. ואפילו כתבה לו שלא תוכל לומר נחת רוח עשיתי לבעלי, אינו כלום. אבל אם קנו מיד האשה תחלה שאין לה שעבוד על מקום זה, ואחר כך מכר</w:t>
      </w:r>
      <w:r>
        <w:rPr>
          <w:rStyle w:val="a7"/>
          <w:rFonts w:cs="Arial"/>
          <w:rtl/>
        </w:rPr>
        <w:footnoteReference w:id="2136"/>
      </w:r>
      <w:r w:rsidRPr="00EB79BF">
        <w:rPr>
          <w:rFonts w:cs="Arial"/>
          <w:rtl/>
        </w:rPr>
        <w:t xml:space="preserve"> אותו הבעל, אינה טורפת אותו. וכן אם מכר הבעל ואמר לאשתו לכתוב ללוקח: דין ודברים אין לי עמך, ולא הסכימה למעשיו, וחזר הבעל ומכר לאיש אחר, בין אותו שדה בין שדה אחרת, ואחר שמכר הבעל הסכימה למעשיו וקנו מידה שאין לה שעבוד על שדה זו, אינה יכולה למחות, שאינה יכולה לומר: נחת רוח עשיתי לבעלי. וכן אם קבלה עליה אחריות</w:t>
      </w:r>
      <w:r>
        <w:rPr>
          <w:rStyle w:val="a7"/>
          <w:rFonts w:cs="Arial"/>
          <w:rtl/>
        </w:rPr>
        <w:footnoteReference w:id="2137"/>
      </w:r>
      <w:r w:rsidRPr="00EB79BF">
        <w:rPr>
          <w:rFonts w:cs="Arial"/>
          <w:rtl/>
        </w:rPr>
        <w:t xml:space="preserve"> בפירוש שאם יטרוף בעל חוב של בעלה ממנו שהיא תשלם לו, אינה יכולה לטעון: נחת רוח עשיתי לבעלי. </w:t>
      </w:r>
      <w:r w:rsidRPr="00DA1E36">
        <w:rPr>
          <w:rFonts w:cs="Arial"/>
          <w:sz w:val="18"/>
          <w:szCs w:val="18"/>
          <w:rtl/>
        </w:rPr>
        <w:t>הגה: וי"א דאם האשה קבלה המעות</w:t>
      </w:r>
      <w:r>
        <w:rPr>
          <w:rStyle w:val="a7"/>
          <w:rFonts w:cs="Arial"/>
          <w:sz w:val="18"/>
          <w:szCs w:val="18"/>
          <w:rtl/>
        </w:rPr>
        <w:footnoteReference w:id="2138"/>
      </w:r>
      <w:r w:rsidRPr="00DA1E36">
        <w:rPr>
          <w:rFonts w:cs="Arial"/>
          <w:sz w:val="18"/>
          <w:szCs w:val="18"/>
          <w:rtl/>
        </w:rPr>
        <w:t xml:space="preserve"> אינה יכולה לומר עוד: נחת רוח עשיתי לבעלי (</w:t>
      </w:r>
      <w:r>
        <w:rPr>
          <w:rFonts w:cs="Arial" w:hint="cs"/>
          <w:sz w:val="18"/>
          <w:szCs w:val="18"/>
          <w:rtl/>
        </w:rPr>
        <w:t>רי"ו ו</w:t>
      </w:r>
      <w:r w:rsidRPr="00DA1E36">
        <w:rPr>
          <w:rFonts w:cs="Arial"/>
          <w:sz w:val="18"/>
          <w:szCs w:val="18"/>
          <w:rtl/>
        </w:rPr>
        <w:t>נ</w:t>
      </w:r>
      <w:r>
        <w:rPr>
          <w:rFonts w:cs="Arial" w:hint="cs"/>
          <w:sz w:val="18"/>
          <w:szCs w:val="18"/>
          <w:rtl/>
        </w:rPr>
        <w:t>מוק</w:t>
      </w:r>
      <w:r w:rsidRPr="00DA1E36">
        <w:rPr>
          <w:rFonts w:cs="Arial"/>
          <w:sz w:val="18"/>
          <w:szCs w:val="18"/>
          <w:rtl/>
        </w:rPr>
        <w:t>"י). אשה שהודית שחייבת עם בעלה, צריכה לשלם ולא יכולה למימר בזה: נחת רוח עשיתי לבעלי, דלא אמרינן כן אלא בנכסים שמוכר (תשובת הרמב"ן). אשה שסלקה כחה</w:t>
      </w:r>
      <w:r w:rsidRPr="008D6295">
        <w:rPr>
          <w:rStyle w:val="a7"/>
          <w:rFonts w:cs="Arial"/>
          <w:sz w:val="18"/>
          <w:szCs w:val="18"/>
          <w:rtl/>
        </w:rPr>
        <w:footnoteReference w:id="2139"/>
      </w:r>
      <w:r w:rsidRPr="00DA1E36">
        <w:rPr>
          <w:rFonts w:cs="Arial"/>
          <w:sz w:val="18"/>
          <w:szCs w:val="18"/>
          <w:rtl/>
        </w:rPr>
        <w:t xml:space="preserve"> מנכסי בעלה קודם שקנאן הבעל, יכול למוכרן אח"כ ואינה טורפת מהן, ולא שייך בזה לומר: נחת רוח עשיתי לבעלי (</w:t>
      </w:r>
      <w:r>
        <w:rPr>
          <w:rFonts w:cs="Arial" w:hint="cs"/>
          <w:sz w:val="18"/>
          <w:szCs w:val="18"/>
          <w:rtl/>
        </w:rPr>
        <w:t>מהר"ם</w:t>
      </w:r>
      <w:r w:rsidRPr="00DA1E36">
        <w:rPr>
          <w:rFonts w:cs="Arial"/>
          <w:sz w:val="18"/>
          <w:szCs w:val="18"/>
          <w:rtl/>
        </w:rPr>
        <w:t>).</w:t>
      </w:r>
    </w:p>
    <w:p w14:paraId="18797B12" w14:textId="77777777" w:rsidR="002E5BAD" w:rsidRDefault="002E5BAD" w:rsidP="002E5BAD">
      <w:pPr>
        <w:rPr>
          <w:rFonts w:cs="Arial"/>
          <w:rtl/>
        </w:rPr>
      </w:pPr>
    </w:p>
    <w:p w14:paraId="07730FD9" w14:textId="77777777" w:rsidR="002E5BAD" w:rsidRDefault="002E5BAD" w:rsidP="002E5BAD">
      <w:pPr>
        <w:pStyle w:val="2"/>
        <w:rPr>
          <w:rtl/>
        </w:rPr>
      </w:pPr>
      <w:r w:rsidRPr="00EB79BF">
        <w:rPr>
          <w:rtl/>
        </w:rPr>
        <w:t>סעיף יח</w:t>
      </w:r>
      <w:r>
        <w:rPr>
          <w:rFonts w:hint="cs"/>
          <w:rtl/>
        </w:rPr>
        <w:t>:</w:t>
      </w:r>
      <w:r w:rsidRPr="002472AF">
        <w:rPr>
          <w:rFonts w:cs="Arial"/>
          <w:rtl/>
        </w:rPr>
        <w:t xml:space="preserve"> </w:t>
      </w:r>
      <w:r w:rsidRPr="00DD3492">
        <w:rPr>
          <w:rFonts w:cs="Arial"/>
          <w:rtl/>
        </w:rPr>
        <w:t>נכסי צאן ברזל שאבדו</w:t>
      </w:r>
      <w:r>
        <w:rPr>
          <w:rFonts w:cs="Arial" w:hint="cs"/>
          <w:rtl/>
        </w:rPr>
        <w:t>/</w:t>
      </w:r>
      <w:r w:rsidRPr="00DD3492">
        <w:rPr>
          <w:rFonts w:cs="Arial"/>
          <w:rtl/>
        </w:rPr>
        <w:t>נגנבו ומחלה אותם האשה לבעלה וקנו ממנה בעדים</w:t>
      </w:r>
      <w:r>
        <w:rPr>
          <w:rFonts w:hint="cs"/>
          <w:rtl/>
        </w:rPr>
        <w:t>.</w:t>
      </w:r>
    </w:p>
    <w:p w14:paraId="6433B50C" w14:textId="77777777" w:rsidR="002E5BAD" w:rsidRPr="002472AF" w:rsidRDefault="002E5BAD" w:rsidP="002E5BAD">
      <w:pPr>
        <w:rPr>
          <w:u w:val="single"/>
          <w:rtl/>
        </w:rPr>
      </w:pPr>
      <w:r w:rsidRPr="002472AF">
        <w:rPr>
          <w:rFonts w:cs="Arial"/>
          <w:u w:val="single"/>
          <w:rtl/>
        </w:rPr>
        <w:t>נכסי צאן ברזל שאבדו</w:t>
      </w:r>
      <w:r w:rsidRPr="002472AF">
        <w:rPr>
          <w:rFonts w:cs="Arial" w:hint="cs"/>
          <w:u w:val="single"/>
          <w:rtl/>
        </w:rPr>
        <w:t>/</w:t>
      </w:r>
      <w:r w:rsidRPr="002472AF">
        <w:rPr>
          <w:rFonts w:cs="Arial"/>
          <w:u w:val="single"/>
          <w:rtl/>
        </w:rPr>
        <w:t>נגנבו ומחלה אותם האשה לבעלה וקנו ממנה בעדים</w:t>
      </w:r>
      <w:r w:rsidRPr="002472AF">
        <w:rPr>
          <w:rFonts w:hint="cs"/>
          <w:u w:val="single"/>
          <w:rtl/>
        </w:rPr>
        <w:t xml:space="preserve"> </w:t>
      </w:r>
      <w:r w:rsidRPr="002472AF">
        <w:rPr>
          <w:u w:val="single"/>
          <w:rtl/>
        </w:rPr>
        <w:t>–</w:t>
      </w:r>
      <w:r w:rsidRPr="002472AF">
        <w:rPr>
          <w:rFonts w:hint="cs"/>
          <w:u w:val="single"/>
          <w:rtl/>
        </w:rPr>
        <w:t xml:space="preserve"> האם יכולה אח"כ לומר נחת רוח </w:t>
      </w:r>
      <w:r>
        <w:rPr>
          <w:rFonts w:hint="cs"/>
          <w:u w:val="single"/>
          <w:rtl/>
        </w:rPr>
        <w:t>וגו'</w:t>
      </w:r>
      <w:r w:rsidRPr="002472AF">
        <w:rPr>
          <w:rFonts w:hint="cs"/>
          <w:u w:val="single"/>
          <w:rtl/>
        </w:rPr>
        <w:t>:</w:t>
      </w:r>
    </w:p>
    <w:p w14:paraId="2EB5768F" w14:textId="77777777" w:rsidR="002E5BAD" w:rsidRDefault="002E5BAD" w:rsidP="002E5BAD">
      <w:pPr>
        <w:pStyle w:val="ab"/>
        <w:numPr>
          <w:ilvl w:val="0"/>
          <w:numId w:val="186"/>
        </w:numPr>
        <w:rPr>
          <w:rFonts w:cs="Arial"/>
        </w:rPr>
      </w:pPr>
      <w:r>
        <w:rPr>
          <w:rFonts w:cs="Arial" w:hint="cs"/>
          <w:rtl/>
        </w:rPr>
        <w:t xml:space="preserve">רמב"ם </w:t>
      </w:r>
      <w:r>
        <w:rPr>
          <w:rFonts w:cs="Arial" w:hint="cs"/>
          <w:sz w:val="16"/>
          <w:szCs w:val="16"/>
          <w:rtl/>
        </w:rPr>
        <w:t>(פכ"ב מאישות הי"ט)</w:t>
      </w:r>
      <w:r>
        <w:rPr>
          <w:rFonts w:cs="Arial" w:hint="cs"/>
          <w:rtl/>
        </w:rPr>
        <w:t xml:space="preserve"> ו</w:t>
      </w:r>
      <w:r w:rsidRPr="008C513A">
        <w:rPr>
          <w:rFonts w:cs="Arial" w:hint="cs"/>
          <w:rtl/>
        </w:rPr>
        <w:t xml:space="preserve">טור- </w:t>
      </w:r>
      <w:r w:rsidRPr="00DD3492">
        <w:rPr>
          <w:rFonts w:cs="Arial"/>
          <w:rtl/>
        </w:rPr>
        <w:t>נכסי צאן ברזל שאבדו או שנגנבו ומחלה אותם האשה לבעלה וקנו ממנה בעדים</w:t>
      </w:r>
      <w:r>
        <w:rPr>
          <w:rFonts w:cs="Arial" w:hint="cs"/>
          <w:rtl/>
        </w:rPr>
        <w:t xml:space="preserve"> -</w:t>
      </w:r>
      <w:r w:rsidRPr="00DD3492">
        <w:rPr>
          <w:rFonts w:cs="Arial"/>
          <w:rtl/>
        </w:rPr>
        <w:t xml:space="preserve"> יראה לי שאינה יכולה לומר נחת רוח עשיתי לבעלי</w:t>
      </w:r>
      <w:r>
        <w:rPr>
          <w:rFonts w:cs="Arial" w:hint="cs"/>
          <w:rtl/>
        </w:rPr>
        <w:t>.</w:t>
      </w:r>
      <w:r w:rsidRPr="00DD3492">
        <w:rPr>
          <w:rFonts w:cs="Arial"/>
          <w:rtl/>
        </w:rPr>
        <w:t xml:space="preserve"> הא למה זה דומה</w:t>
      </w:r>
      <w:r>
        <w:rPr>
          <w:rFonts w:cs="Arial" w:hint="cs"/>
          <w:rtl/>
        </w:rPr>
        <w:t>,</w:t>
      </w:r>
      <w:r w:rsidRPr="00DD3492">
        <w:rPr>
          <w:rFonts w:cs="Arial"/>
          <w:rtl/>
        </w:rPr>
        <w:t xml:space="preserve"> למי שקנו מידה שאין לה אחריות</w:t>
      </w:r>
      <w:r>
        <w:rPr>
          <w:rFonts w:cs="Arial" w:hint="cs"/>
          <w:rtl/>
        </w:rPr>
        <w:t>,</w:t>
      </w:r>
      <w:r w:rsidRPr="00DD3492">
        <w:rPr>
          <w:rFonts w:cs="Arial"/>
          <w:rtl/>
        </w:rPr>
        <w:t xml:space="preserve"> שהחזירה נכסים אלו נכסי מלוג</w:t>
      </w:r>
      <w:r>
        <w:rPr>
          <w:rStyle w:val="a7"/>
          <w:rFonts w:cs="Arial"/>
          <w:rtl/>
        </w:rPr>
        <w:footnoteReference w:id="2140"/>
      </w:r>
      <w:r>
        <w:rPr>
          <w:rFonts w:cs="Arial" w:hint="cs"/>
          <w:rtl/>
        </w:rPr>
        <w:t>.</w:t>
      </w:r>
      <w:r w:rsidRPr="00DD3492">
        <w:rPr>
          <w:rFonts w:cs="Arial"/>
          <w:rtl/>
        </w:rPr>
        <w:t xml:space="preserve"> שהרי אין הבעל מביא ראיה ליטול כלום ולא להחזיק בנכסיה אלא להפטר מתביעתה מלשלם</w:t>
      </w:r>
      <w:r>
        <w:rPr>
          <w:rFonts w:cs="Arial" w:hint="cs"/>
          <w:rtl/>
        </w:rPr>
        <w:t>.</w:t>
      </w:r>
      <w:r w:rsidRPr="00DD3492">
        <w:rPr>
          <w:rFonts w:cs="Arial"/>
          <w:rtl/>
        </w:rPr>
        <w:t xml:space="preserve"> אבל אם נתנה לו מתנה מטלטלי צאן ברזל הקיימין </w:t>
      </w:r>
      <w:r>
        <w:rPr>
          <w:rFonts w:cs="Arial" w:hint="cs"/>
          <w:rtl/>
        </w:rPr>
        <w:t xml:space="preserve">- </w:t>
      </w:r>
      <w:r w:rsidRPr="00DD3492">
        <w:rPr>
          <w:rFonts w:cs="Arial"/>
          <w:rtl/>
        </w:rPr>
        <w:t>לא קנה</w:t>
      </w:r>
      <w:r>
        <w:rPr>
          <w:rFonts w:cs="Arial" w:hint="cs"/>
          <w:rtl/>
        </w:rPr>
        <w:t>,</w:t>
      </w:r>
      <w:r w:rsidRPr="00DD3492">
        <w:rPr>
          <w:rFonts w:cs="Arial"/>
          <w:rtl/>
        </w:rPr>
        <w:t xml:space="preserve"> מפני שיש לה לומר נחת רוח עשיתי לבעלי</w:t>
      </w:r>
      <w:r>
        <w:rPr>
          <w:rStyle w:val="a7"/>
          <w:rFonts w:cs="Arial"/>
          <w:rtl/>
        </w:rPr>
        <w:footnoteReference w:id="2141"/>
      </w:r>
      <w:r w:rsidRPr="00DD3492">
        <w:rPr>
          <w:rFonts w:cs="Arial"/>
          <w:rtl/>
        </w:rPr>
        <w:t xml:space="preserve">. </w:t>
      </w:r>
      <w:r w:rsidRPr="002472AF">
        <w:rPr>
          <w:rFonts w:cs="Arial" w:hint="cs"/>
          <w:color w:val="E36C0A" w:themeColor="accent6" w:themeShade="BF"/>
          <w:rtl/>
        </w:rPr>
        <w:t>(וכ"פ בשו"ע)</w:t>
      </w:r>
    </w:p>
    <w:p w14:paraId="029226B1" w14:textId="77777777" w:rsidR="002E5BAD" w:rsidRPr="00E63650" w:rsidRDefault="002E5BAD" w:rsidP="002E5BAD">
      <w:pPr>
        <w:rPr>
          <w:rFonts w:cs="Arial"/>
          <w:u w:val="single"/>
        </w:rPr>
      </w:pPr>
      <w:r w:rsidRPr="00E63650">
        <w:rPr>
          <w:rFonts w:cs="Arial" w:hint="cs"/>
          <w:u w:val="single"/>
          <w:rtl/>
        </w:rPr>
        <w:lastRenderedPageBreak/>
        <w:t>אשה ש</w:t>
      </w:r>
      <w:r>
        <w:rPr>
          <w:rFonts w:cs="Arial" w:hint="cs"/>
          <w:u w:val="single"/>
          <w:rtl/>
        </w:rPr>
        <w:t>כתבה בשטר שהיא מ</w:t>
      </w:r>
      <w:r w:rsidRPr="00E63650">
        <w:rPr>
          <w:rFonts w:cs="Arial" w:hint="cs"/>
          <w:u w:val="single"/>
          <w:rtl/>
        </w:rPr>
        <w:t>סלק</w:t>
      </w:r>
      <w:r>
        <w:rPr>
          <w:rFonts w:cs="Arial" w:hint="cs"/>
          <w:u w:val="single"/>
          <w:rtl/>
        </w:rPr>
        <w:t>ת</w:t>
      </w:r>
      <w:r w:rsidRPr="00E63650">
        <w:rPr>
          <w:rFonts w:cs="Arial" w:hint="cs"/>
          <w:u w:val="single"/>
          <w:rtl/>
        </w:rPr>
        <w:t xml:space="preserve"> שיעבודה מקרקע של בעלה</w:t>
      </w:r>
      <w:r>
        <w:rPr>
          <w:rFonts w:cs="Arial" w:hint="cs"/>
          <w:u w:val="single"/>
          <w:rtl/>
        </w:rPr>
        <w:t>,</w:t>
      </w:r>
      <w:r w:rsidRPr="00E63650">
        <w:rPr>
          <w:rFonts w:cs="Arial" w:hint="cs"/>
          <w:u w:val="single"/>
          <w:rtl/>
        </w:rPr>
        <w:t xml:space="preserve"> בכל מיני לשונות:</w:t>
      </w:r>
    </w:p>
    <w:p w14:paraId="3BE30681" w14:textId="77777777" w:rsidR="002E5BAD" w:rsidRDefault="002E5BAD" w:rsidP="002E5BAD">
      <w:pPr>
        <w:pStyle w:val="ab"/>
        <w:numPr>
          <w:ilvl w:val="0"/>
          <w:numId w:val="186"/>
        </w:numPr>
        <w:rPr>
          <w:rFonts w:cs="Aria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כלל סג סי' ד</w:t>
      </w:r>
      <w:r>
        <w:rPr>
          <w:rFonts w:cs="Arial" w:hint="cs"/>
          <w:sz w:val="16"/>
          <w:szCs w:val="16"/>
          <w:rtl/>
        </w:rPr>
        <w:t>)</w:t>
      </w:r>
      <w:r>
        <w:rPr>
          <w:rFonts w:cs="Arial" w:hint="cs"/>
          <w:rtl/>
        </w:rPr>
        <w:t xml:space="preserve"> וטור- </w:t>
      </w:r>
      <w:r w:rsidRPr="008C513A">
        <w:rPr>
          <w:rFonts w:cs="Arial"/>
          <w:rtl/>
        </w:rPr>
        <w:t>רחל אשת יעקב נסתלקה ליעקב בעלה מקרקע ידוע שהיה לו בענין שלא יהיה לה שיעבוד כתובתה ולא שיעבוד שאר שטרות שהיה לה עליו על אותו קרקע הידוע</w:t>
      </w:r>
      <w:r>
        <w:rPr>
          <w:rFonts w:cs="Arial" w:hint="cs"/>
          <w:rtl/>
        </w:rPr>
        <w:t>.</w:t>
      </w:r>
      <w:r w:rsidRPr="008C513A">
        <w:rPr>
          <w:rFonts w:cs="Arial"/>
          <w:rtl/>
        </w:rPr>
        <w:t xml:space="preserve"> ונסתלקה ממנו סילוק גמור</w:t>
      </w:r>
      <w:r>
        <w:rPr>
          <w:rFonts w:cs="Arial" w:hint="cs"/>
          <w:rtl/>
        </w:rPr>
        <w:t>,</w:t>
      </w:r>
      <w:r w:rsidRPr="008C513A">
        <w:rPr>
          <w:rFonts w:cs="Arial"/>
          <w:rtl/>
        </w:rPr>
        <w:t xml:space="preserve"> ונתנה לו הקרקע ידוע שנסתלקה ממנו במתנה גמורה שלימה וקיימת מעכשיו ולעולם</w:t>
      </w:r>
      <w:r>
        <w:rPr>
          <w:rFonts w:cs="Arial" w:hint="cs"/>
          <w:rtl/>
        </w:rPr>
        <w:t>.</w:t>
      </w:r>
      <w:r w:rsidRPr="008C513A">
        <w:rPr>
          <w:rFonts w:cs="Arial"/>
          <w:rtl/>
        </w:rPr>
        <w:t xml:space="preserve"> ובטלה מאותו קרקע שנסתלקה ממנו טענת נחת רוח עשיתי לבעלי ושאר כל הטענות המפסידות זה הסילוק</w:t>
      </w:r>
      <w:r>
        <w:rPr>
          <w:rFonts w:cs="Arial" w:hint="cs"/>
          <w:rtl/>
        </w:rPr>
        <w:t>.</w:t>
      </w:r>
      <w:r w:rsidRPr="008C513A">
        <w:rPr>
          <w:rFonts w:cs="Arial"/>
          <w:rtl/>
        </w:rPr>
        <w:t xml:space="preserve"> וקבלה בעדה ובעד כל הבאים מחמתה לבד יעקב בעלה אחריות הקרקע שנסתלק לו</w:t>
      </w:r>
      <w:r>
        <w:rPr>
          <w:rFonts w:cs="Arial" w:hint="cs"/>
          <w:rtl/>
        </w:rPr>
        <w:t>.</w:t>
      </w:r>
      <w:r w:rsidRPr="008C513A">
        <w:rPr>
          <w:rFonts w:cs="Arial"/>
          <w:rtl/>
        </w:rPr>
        <w:t xml:space="preserve"> והתנתה רחל בעיקר זה הסילוק שלא יתקלקל לה שום דבר מכל מה שחל שיעבוד שטר כתובה שנתחזק לה על יעקב בעלה</w:t>
      </w:r>
      <w:r>
        <w:rPr>
          <w:rFonts w:cs="Arial" w:hint="cs"/>
          <w:rtl/>
        </w:rPr>
        <w:t>,</w:t>
      </w:r>
      <w:r w:rsidRPr="008C513A">
        <w:rPr>
          <w:rFonts w:cs="Arial"/>
          <w:rtl/>
        </w:rPr>
        <w:t xml:space="preserve"> ולא שום דבר מכל מה שנתחזק עוד משיעבוד שום שטר שנתחזק לה עליו באיזו ענין שיהיה</w:t>
      </w:r>
      <w:r>
        <w:rPr>
          <w:rFonts w:cs="Arial" w:hint="cs"/>
          <w:rtl/>
        </w:rPr>
        <w:t>,</w:t>
      </w:r>
      <w:r w:rsidRPr="008C513A">
        <w:rPr>
          <w:rFonts w:cs="Arial"/>
          <w:rtl/>
        </w:rPr>
        <w:t xml:space="preserve"> אלא שישאר לה שיעבוד כתובת שטר או שאר שטרות שנתחזק לה עליו על כל שאר נכסיו חוץ מקרקע הידוע שנסתלק לו ממנו</w:t>
      </w:r>
      <w:r>
        <w:rPr>
          <w:rFonts w:cs="Arial" w:hint="cs"/>
          <w:rtl/>
        </w:rPr>
        <w:t>.</w:t>
      </w:r>
      <w:r w:rsidRPr="008C513A">
        <w:rPr>
          <w:rFonts w:cs="Arial"/>
          <w:rtl/>
        </w:rPr>
        <w:t xml:space="preserve"> אי הוי סילוק אי לא</w:t>
      </w:r>
      <w:r>
        <w:rPr>
          <w:rFonts w:cs="Arial" w:hint="cs"/>
          <w:rtl/>
        </w:rPr>
        <w:t>.</w:t>
      </w:r>
      <w:r w:rsidRPr="008C513A">
        <w:rPr>
          <w:rFonts w:cs="Arial"/>
          <w:rtl/>
        </w:rPr>
        <w:t xml:space="preserve"> </w:t>
      </w:r>
      <w:r>
        <w:rPr>
          <w:rFonts w:cs="Arial" w:hint="cs"/>
          <w:rtl/>
        </w:rPr>
        <w:t xml:space="preserve">      </w:t>
      </w:r>
      <w:r w:rsidRPr="008C513A">
        <w:rPr>
          <w:rFonts w:cs="Arial"/>
          <w:rtl/>
        </w:rPr>
        <w:t>תשובה</w:t>
      </w:r>
      <w:r>
        <w:rPr>
          <w:rFonts w:cs="Arial" w:hint="cs"/>
          <w:rtl/>
        </w:rPr>
        <w:t>-</w:t>
      </w:r>
      <w:r w:rsidRPr="008C513A">
        <w:rPr>
          <w:rFonts w:cs="Arial"/>
          <w:rtl/>
        </w:rPr>
        <w:t xml:space="preserve"> אין סילוק זה מועיל</w:t>
      </w:r>
      <w:r>
        <w:rPr>
          <w:rFonts w:cs="Arial" w:hint="cs"/>
          <w:rtl/>
        </w:rPr>
        <w:t>,</w:t>
      </w:r>
      <w:r w:rsidRPr="008C513A">
        <w:rPr>
          <w:rFonts w:cs="Arial"/>
          <w:rtl/>
        </w:rPr>
        <w:t xml:space="preserve"> דקי"ל כשמואל דיכולה לומר נחת רוח עשיתי לבעלי כל זמן שלא קבלה עליה אחריות</w:t>
      </w:r>
      <w:r>
        <w:rPr>
          <w:rFonts w:cs="Arial" w:hint="cs"/>
          <w:rtl/>
        </w:rPr>
        <w:t>.</w:t>
      </w:r>
      <w:r w:rsidRPr="008C513A">
        <w:rPr>
          <w:rFonts w:cs="Arial"/>
          <w:rtl/>
        </w:rPr>
        <w:t xml:space="preserve"> ואפילו אמרה בשעת הסילוק על מנת שלא אוכל לומר נחת רוח עשיתי לבעלי</w:t>
      </w:r>
      <w:r>
        <w:rPr>
          <w:rFonts w:cs="Arial" w:hint="cs"/>
          <w:rtl/>
        </w:rPr>
        <w:t xml:space="preserve">, </w:t>
      </w:r>
      <w:r w:rsidRPr="008C513A">
        <w:rPr>
          <w:rFonts w:cs="Arial"/>
          <w:rtl/>
        </w:rPr>
        <w:t>אין מועיל כלום</w:t>
      </w:r>
      <w:r>
        <w:rPr>
          <w:rFonts w:cs="Arial" w:hint="cs"/>
          <w:rtl/>
        </w:rPr>
        <w:t>.</w:t>
      </w:r>
      <w:r w:rsidRPr="008C513A">
        <w:rPr>
          <w:rFonts w:cs="Arial"/>
          <w:rtl/>
        </w:rPr>
        <w:t xml:space="preserve"> דכל זה אומרת כדי לעשות נחת רוח לבעלה</w:t>
      </w:r>
      <w:r>
        <w:rPr>
          <w:rFonts w:cs="Arial" w:hint="cs"/>
          <w:rtl/>
        </w:rPr>
        <w:t>.</w:t>
      </w:r>
      <w:r w:rsidRPr="008C513A">
        <w:rPr>
          <w:rFonts w:cs="Arial"/>
          <w:rtl/>
        </w:rPr>
        <w:t xml:space="preserve"> ואין לך דבר שמבטל טענת נחת רוח אא"כ כתבה ללוקח אחריות שאם יטרוף של בעלה ממנו שהיא תשלם לו</w:t>
      </w:r>
      <w:r>
        <w:rPr>
          <w:rFonts w:cs="Arial" w:hint="cs"/>
          <w:rtl/>
        </w:rPr>
        <w:t>,</w:t>
      </w:r>
      <w:r w:rsidRPr="008C513A">
        <w:rPr>
          <w:rFonts w:cs="Arial"/>
          <w:rtl/>
        </w:rPr>
        <w:t xml:space="preserve"> דכולי האי לא עשתה נחת רוח לבעלה אם לא שגמרה להקנות</w:t>
      </w:r>
      <w:r>
        <w:rPr>
          <w:rFonts w:cs="Arial" w:hint="cs"/>
          <w:rtl/>
        </w:rPr>
        <w:t>.</w:t>
      </w:r>
      <w:r w:rsidRPr="008C513A">
        <w:rPr>
          <w:rFonts w:cs="Arial"/>
          <w:rtl/>
        </w:rPr>
        <w:t xml:space="preserve"> ובסילוק זה שקבלה עליה אחריות </w:t>
      </w:r>
      <w:r>
        <w:rPr>
          <w:rFonts w:cs="Arial" w:hint="cs"/>
          <w:rtl/>
        </w:rPr>
        <w:t xml:space="preserve">- </w:t>
      </w:r>
      <w:r w:rsidRPr="008C513A">
        <w:rPr>
          <w:rFonts w:cs="Arial"/>
          <w:rtl/>
        </w:rPr>
        <w:t>אין בקבלת אחריות זה כח וטעם לומר שיבטל טענת נחת רוח</w:t>
      </w:r>
      <w:r>
        <w:rPr>
          <w:rFonts w:cs="Arial" w:hint="cs"/>
          <w:rtl/>
        </w:rPr>
        <w:t>.</w:t>
      </w:r>
      <w:r w:rsidRPr="008C513A">
        <w:rPr>
          <w:rFonts w:cs="Arial"/>
          <w:rtl/>
        </w:rPr>
        <w:t xml:space="preserve"> דמה היא מפסדת בקבלת אחריות זה דנימא כולי האי לא עבדה בשביל נחת רוח</w:t>
      </w:r>
      <w:r>
        <w:rPr>
          <w:rFonts w:cs="Arial" w:hint="cs"/>
          <w:rtl/>
        </w:rPr>
        <w:t>.</w:t>
      </w:r>
      <w:r w:rsidRPr="008C513A">
        <w:rPr>
          <w:rFonts w:cs="Arial"/>
          <w:rtl/>
        </w:rPr>
        <w:t xml:space="preserve"> דבשלמא כשקבלה עליה אחריות כשיטרפום ב"ח של בעלה מהלוקח שהיא תשלם לו</w:t>
      </w:r>
      <w:r>
        <w:rPr>
          <w:rFonts w:cs="Arial" w:hint="cs"/>
          <w:rtl/>
        </w:rPr>
        <w:t>,</w:t>
      </w:r>
      <w:r w:rsidRPr="008C513A">
        <w:rPr>
          <w:rFonts w:cs="Arial"/>
          <w:rtl/>
        </w:rPr>
        <w:t xml:space="preserve"> דבר גדול הוא שהכניסה עצמה לדבר זה</w:t>
      </w:r>
      <w:r>
        <w:rPr>
          <w:rFonts w:cs="Arial" w:hint="cs"/>
          <w:rtl/>
        </w:rPr>
        <w:t>,</w:t>
      </w:r>
      <w:r w:rsidRPr="008C513A">
        <w:rPr>
          <w:rFonts w:cs="Arial"/>
          <w:rtl/>
        </w:rPr>
        <w:t xml:space="preserve"> ובשביל נחת רוח לא היתה עושה דבר זה אם לא שגמרה בדעתה להקנות</w:t>
      </w:r>
      <w:r>
        <w:rPr>
          <w:rFonts w:cs="Arial" w:hint="cs"/>
          <w:rtl/>
        </w:rPr>
        <w:t>.</w:t>
      </w:r>
      <w:r w:rsidRPr="008C513A">
        <w:rPr>
          <w:rFonts w:cs="Arial"/>
          <w:rtl/>
        </w:rPr>
        <w:t xml:space="preserve"> אבל באחריות זה מה היא מפסדת</w:t>
      </w:r>
      <w:r>
        <w:rPr>
          <w:rFonts w:cs="Arial" w:hint="cs"/>
          <w:rtl/>
        </w:rPr>
        <w:t>.</w:t>
      </w:r>
      <w:r w:rsidRPr="008C513A">
        <w:rPr>
          <w:rFonts w:cs="Arial"/>
          <w:rtl/>
        </w:rPr>
        <w:t xml:space="preserve"> וא"ת האחריות שקבלה עליה היינו שאם מכרה כתובתה לאחר ואם תתאלמן או תתגרש</w:t>
      </w:r>
      <w:r>
        <w:rPr>
          <w:rFonts w:cs="Arial" w:hint="cs"/>
          <w:rtl/>
        </w:rPr>
        <w:t>,</w:t>
      </w:r>
      <w:r w:rsidRPr="008C513A">
        <w:rPr>
          <w:rFonts w:cs="Arial"/>
          <w:rtl/>
        </w:rPr>
        <w:t xml:space="preserve"> ויבא הלוקח שלקח כתובתה לגבות מקרקע זה שנסתלקה ממנו</w:t>
      </w:r>
      <w:r>
        <w:rPr>
          <w:rFonts w:cs="Arial" w:hint="cs"/>
          <w:rtl/>
        </w:rPr>
        <w:t>,</w:t>
      </w:r>
      <w:r w:rsidRPr="008C513A">
        <w:rPr>
          <w:rFonts w:cs="Arial"/>
          <w:rtl/>
        </w:rPr>
        <w:t xml:space="preserve"> שהיא חייבת לסלקו ותפרע לבעלה או ליורשין מה שיגבה הלוקח מאותו הקרקע</w:t>
      </w:r>
      <w:r>
        <w:rPr>
          <w:rFonts w:cs="Arial" w:hint="cs"/>
          <w:rtl/>
        </w:rPr>
        <w:t xml:space="preserve"> -</w:t>
      </w:r>
      <w:r w:rsidRPr="008C513A">
        <w:rPr>
          <w:rFonts w:cs="Arial"/>
          <w:rtl/>
        </w:rPr>
        <w:t xml:space="preserve"> באותו אחריות לא היתה מפסדת כלום</w:t>
      </w:r>
      <w:r>
        <w:rPr>
          <w:rFonts w:cs="Arial" w:hint="cs"/>
          <w:rtl/>
        </w:rPr>
        <w:t>,</w:t>
      </w:r>
      <w:r w:rsidRPr="008C513A">
        <w:rPr>
          <w:rFonts w:cs="Arial"/>
          <w:rtl/>
        </w:rPr>
        <w:t xml:space="preserve"> דכיון שמחלה שיעבוד אותו קרקע לבעלה לא יוכל הלוקח שקנה כתובתה לגבות מאותו קרקע</w:t>
      </w:r>
      <w:r>
        <w:rPr>
          <w:rFonts w:cs="Arial" w:hint="cs"/>
          <w:rtl/>
        </w:rPr>
        <w:t>,</w:t>
      </w:r>
      <w:r w:rsidRPr="008C513A">
        <w:rPr>
          <w:rFonts w:cs="Arial"/>
          <w:rtl/>
        </w:rPr>
        <w:t xml:space="preserve"> דהוי כמוכר שטר חוב לחבירו וחזר ומחלו שהוא מחול</w:t>
      </w:r>
      <w:r>
        <w:rPr>
          <w:rFonts w:cs="Arial" w:hint="cs"/>
          <w:rtl/>
        </w:rPr>
        <w:t>.</w:t>
      </w:r>
      <w:r w:rsidRPr="008C513A">
        <w:rPr>
          <w:rFonts w:cs="Arial"/>
          <w:rtl/>
        </w:rPr>
        <w:t xml:space="preserve"> שהרי היא מכרה כתובתה ללוקח וכתבה ליה קני לך איהו וכל שיעבודיה</w:t>
      </w:r>
      <w:r>
        <w:rPr>
          <w:rFonts w:cs="Arial" w:hint="cs"/>
          <w:rtl/>
        </w:rPr>
        <w:t>,</w:t>
      </w:r>
      <w:r w:rsidRPr="008C513A">
        <w:rPr>
          <w:rFonts w:cs="Arial"/>
          <w:rtl/>
        </w:rPr>
        <w:t xml:space="preserve"> ומחלה שיעבודה</w:t>
      </w:r>
      <w:r>
        <w:rPr>
          <w:rFonts w:cs="Arial" w:hint="cs"/>
          <w:rtl/>
        </w:rPr>
        <w:t>,</w:t>
      </w:r>
      <w:r w:rsidRPr="008C513A">
        <w:rPr>
          <w:rFonts w:cs="Arial"/>
          <w:rtl/>
        </w:rPr>
        <w:t xml:space="preserve"> שוב לא יוכל הלוקח לגבות מאותו קרקע</w:t>
      </w:r>
      <w:r>
        <w:rPr>
          <w:rFonts w:cs="Arial" w:hint="cs"/>
          <w:rtl/>
        </w:rPr>
        <w:t>.</w:t>
      </w:r>
      <w:r w:rsidRPr="008C513A">
        <w:rPr>
          <w:rFonts w:cs="Arial"/>
          <w:rtl/>
        </w:rPr>
        <w:t xml:space="preserve"> הילכך יכולה לומר נחת רוח עשיתי לבעלי</w:t>
      </w:r>
      <w:r>
        <w:rPr>
          <w:rFonts w:cs="Arial" w:hint="cs"/>
          <w:rtl/>
        </w:rPr>
        <w:t>.</w:t>
      </w:r>
      <w:r w:rsidRPr="008C513A">
        <w:rPr>
          <w:rFonts w:cs="Arial"/>
          <w:rtl/>
        </w:rPr>
        <w:t xml:space="preserve"> ואפי' היה הסילוק מועיל</w:t>
      </w:r>
      <w:r>
        <w:rPr>
          <w:rFonts w:cs="Arial" w:hint="cs"/>
          <w:rtl/>
        </w:rPr>
        <w:t>,</w:t>
      </w:r>
      <w:r w:rsidRPr="008C513A">
        <w:rPr>
          <w:rFonts w:cs="Arial"/>
          <w:rtl/>
        </w:rPr>
        <w:t xml:space="preserve"> כגון אילו מכרו לאחר וקבלה עליה אחריות שאם יטרפנו בעל חוב שהיא תשלם לו</w:t>
      </w:r>
      <w:r>
        <w:rPr>
          <w:rFonts w:cs="Arial" w:hint="cs"/>
          <w:rtl/>
        </w:rPr>
        <w:t>,</w:t>
      </w:r>
      <w:r w:rsidRPr="008C513A">
        <w:rPr>
          <w:rFonts w:cs="Arial"/>
          <w:rtl/>
        </w:rPr>
        <w:t xml:space="preserve"> אפ"ה לא נתמעט חלק האשה בשביל סילוק זה לפי תקנת טוליטולה שתטול האשה חצי עזבון המת בכתובתה והיורשים חצי האחר</w:t>
      </w:r>
      <w:r>
        <w:rPr>
          <w:rFonts w:cs="Arial" w:hint="cs"/>
          <w:rtl/>
        </w:rPr>
        <w:t>.</w:t>
      </w:r>
      <w:r w:rsidRPr="008C513A">
        <w:rPr>
          <w:rFonts w:cs="Arial"/>
          <w:rtl/>
        </w:rPr>
        <w:t xml:space="preserve"> כי אותו קרקע שסלקה עצמה ממנו בכלל עזבון המת הוא לחלקו בין היורשים ובין האלמנה</w:t>
      </w:r>
      <w:r>
        <w:rPr>
          <w:rFonts w:cs="Arial" w:hint="cs"/>
          <w:rtl/>
        </w:rPr>
        <w:t>,</w:t>
      </w:r>
      <w:r w:rsidRPr="008C513A">
        <w:rPr>
          <w:rFonts w:cs="Arial"/>
          <w:rtl/>
        </w:rPr>
        <w:t xml:space="preserve"> כי היא לא מחלה אלא שיעבוד כתובתה שאם ימכרנו שלא תטרפנו מן הלקוחות או אם תתאלמן ויהיה חצי עזבון המת יותר מכתובתה שאז תטרוף כתובתה משלם לפי תקנת טוליטולה</w:t>
      </w:r>
      <w:r>
        <w:rPr>
          <w:rFonts w:cs="Arial" w:hint="cs"/>
          <w:rtl/>
        </w:rPr>
        <w:t>,</w:t>
      </w:r>
      <w:r w:rsidRPr="008C513A">
        <w:rPr>
          <w:rFonts w:cs="Arial"/>
          <w:rtl/>
        </w:rPr>
        <w:t xml:space="preserve"> אז לא תגבה כתובתה מאותו קרקע כי מחלה שיעבוד מעליו</w:t>
      </w:r>
      <w:r>
        <w:rPr>
          <w:rFonts w:cs="Arial" w:hint="cs"/>
          <w:rtl/>
        </w:rPr>
        <w:t>,</w:t>
      </w:r>
      <w:r w:rsidRPr="008C513A">
        <w:rPr>
          <w:rFonts w:cs="Arial"/>
          <w:rtl/>
        </w:rPr>
        <w:t xml:space="preserve"> אלא תגבה כתובתה משלם משאר נכסי המת</w:t>
      </w:r>
      <w:r>
        <w:rPr>
          <w:rFonts w:cs="Arial" w:hint="cs"/>
          <w:rtl/>
        </w:rPr>
        <w:t>.</w:t>
      </w:r>
      <w:r w:rsidRPr="008C513A">
        <w:rPr>
          <w:rFonts w:cs="Arial"/>
          <w:rtl/>
        </w:rPr>
        <w:t xml:space="preserve"> כי לא מחלה ולא פחתה כתובתה כלום רק שיעבודה שעל אותו קרקע מחלה</w:t>
      </w:r>
      <w:r>
        <w:rPr>
          <w:rFonts w:cs="Arial" w:hint="cs"/>
          <w:rtl/>
        </w:rPr>
        <w:t>.</w:t>
      </w:r>
      <w:r w:rsidRPr="008C513A">
        <w:rPr>
          <w:rFonts w:cs="Arial"/>
          <w:rtl/>
        </w:rPr>
        <w:t xml:space="preserve"> הלכך גם עתה שיש לה חצי עזבון המת בכתובתה ואותו קרקע בכלל עזבון המת</w:t>
      </w:r>
      <w:r>
        <w:rPr>
          <w:rFonts w:cs="Arial" w:hint="cs"/>
          <w:rtl/>
        </w:rPr>
        <w:t>,</w:t>
      </w:r>
      <w:r w:rsidRPr="008C513A">
        <w:rPr>
          <w:rFonts w:cs="Arial"/>
          <w:rtl/>
        </w:rPr>
        <w:t xml:space="preserve"> אף אם תאמר שלא תטול ממנו בחצי חלקה בשביל שסילקה שיעבודה</w:t>
      </w:r>
      <w:r>
        <w:rPr>
          <w:rFonts w:cs="Arial" w:hint="cs"/>
          <w:rtl/>
        </w:rPr>
        <w:t>,</w:t>
      </w:r>
      <w:r w:rsidRPr="008C513A">
        <w:rPr>
          <w:rFonts w:cs="Arial"/>
          <w:rtl/>
        </w:rPr>
        <w:t xml:space="preserve"> מכל מקום בחצי עזבון המת זכתה ויטלו היורשים חלקם מאותו קרקע שסילקה שיעבודה ממנו והוא תטול ממקום אחר</w:t>
      </w:r>
      <w:r>
        <w:rPr>
          <w:rFonts w:cs="Arial" w:hint="cs"/>
          <w:rtl/>
        </w:rPr>
        <w:t>.</w:t>
      </w:r>
      <w:r w:rsidRPr="008C513A">
        <w:rPr>
          <w:rFonts w:cs="Arial"/>
          <w:rtl/>
        </w:rPr>
        <w:t xml:space="preserve"> ואפשר כיון שזוכה בחצי עזבון המת מכח התקנה ואינה באה לב"ד לגבות כתובתה אלא לגבות חצי עזבון המת מכח התקנה</w:t>
      </w:r>
      <w:r>
        <w:rPr>
          <w:rFonts w:cs="Arial" w:hint="cs"/>
          <w:rtl/>
        </w:rPr>
        <w:t>,</w:t>
      </w:r>
      <w:r w:rsidRPr="008C513A">
        <w:rPr>
          <w:rFonts w:cs="Arial"/>
          <w:rtl/>
        </w:rPr>
        <w:t xml:space="preserve"> נסתלק מכאן מחילת שיעבוד כתובתה שמחלה על אותו קרקע והיא זוכה מכח התקנה אף בחצי קרקע שנסתלקה ממנה כי הוא בכלל עזבון המת</w:t>
      </w:r>
      <w:r>
        <w:rPr>
          <w:rFonts w:cs="Arial" w:hint="cs"/>
          <w:sz w:val="16"/>
          <w:szCs w:val="16"/>
          <w:rtl/>
        </w:rPr>
        <w:t xml:space="preserve"> (ל' הטור בשם הרא"ש)</w:t>
      </w:r>
      <w:r>
        <w:rPr>
          <w:rFonts w:cs="Arial" w:hint="cs"/>
          <w:rtl/>
        </w:rPr>
        <w:t>.</w:t>
      </w:r>
      <w:r w:rsidRPr="008C513A">
        <w:rPr>
          <w:rFonts w:cs="Arial"/>
          <w:rtl/>
        </w:rPr>
        <w:t xml:space="preserve"> </w:t>
      </w:r>
    </w:p>
    <w:p w14:paraId="0F7D512B" w14:textId="77777777" w:rsidR="002E5BAD" w:rsidRDefault="002E5BAD" w:rsidP="002E5BAD">
      <w:pPr>
        <w:pStyle w:val="ab"/>
        <w:numPr>
          <w:ilvl w:val="0"/>
          <w:numId w:val="186"/>
        </w:numPr>
        <w:rPr>
          <w:rFonts w:cs="Arial"/>
        </w:rPr>
      </w:pPr>
      <w:r>
        <w:rPr>
          <w:rFonts w:cs="Arial" w:hint="cs"/>
          <w:rtl/>
        </w:rPr>
        <w:t xml:space="preserve">רמב"ם </w:t>
      </w:r>
      <w:r>
        <w:rPr>
          <w:rFonts w:cs="Arial" w:hint="cs"/>
          <w:sz w:val="16"/>
          <w:szCs w:val="16"/>
          <w:rtl/>
        </w:rPr>
        <w:t>(להב' הב"י</w:t>
      </w:r>
      <w:r>
        <w:rPr>
          <w:rStyle w:val="a7"/>
          <w:rFonts w:cs="Arial"/>
          <w:rtl/>
        </w:rPr>
        <w:footnoteReference w:id="2142"/>
      </w:r>
      <w:r>
        <w:rPr>
          <w:rFonts w:cs="Arial" w:hint="cs"/>
          <w:sz w:val="16"/>
          <w:szCs w:val="16"/>
          <w:rtl/>
        </w:rPr>
        <w:t>בבדה"ב [ע"פ דברי הרמב"ם בפי"ז מאישות הי"א])</w:t>
      </w:r>
      <w:r>
        <w:rPr>
          <w:rFonts w:cs="Arial" w:hint="cs"/>
          <w:rtl/>
        </w:rPr>
        <w:t>-</w:t>
      </w:r>
      <w:r w:rsidRPr="006A5500">
        <w:rPr>
          <w:rFonts w:cs="Arial"/>
          <w:rtl/>
        </w:rPr>
        <w:t xml:space="preserve"> </w:t>
      </w:r>
      <w:r w:rsidRPr="003E092F">
        <w:rPr>
          <w:rFonts w:cs="Arial"/>
          <w:rtl/>
        </w:rPr>
        <w:t>סילוק לגבי בעלה מהני</w:t>
      </w:r>
      <w:r>
        <w:rPr>
          <w:rFonts w:cs="Arial" w:hint="cs"/>
          <w:rtl/>
        </w:rPr>
        <w:t>, כשהלוקח לוקח אח"כ מהבעל, דהוא מה ששנינו</w:t>
      </w:r>
      <w:r w:rsidRPr="003E092F">
        <w:rPr>
          <w:rFonts w:cs="Arial"/>
          <w:rtl/>
        </w:rPr>
        <w:t xml:space="preserve"> </w:t>
      </w:r>
      <w:r>
        <w:rPr>
          <w:rFonts w:cs="Arial" w:hint="cs"/>
          <w:rtl/>
        </w:rPr>
        <w:t>'</w:t>
      </w:r>
      <w:r w:rsidRPr="003E092F">
        <w:rPr>
          <w:rFonts w:cs="Arial"/>
          <w:rtl/>
        </w:rPr>
        <w:t>לקח מן האשה וחזר ולקח מן האיש מקחו קיים</w:t>
      </w:r>
      <w:r>
        <w:rPr>
          <w:rFonts w:cs="Arial" w:hint="cs"/>
          <w:rtl/>
        </w:rPr>
        <w:t>',</w:t>
      </w:r>
      <w:r w:rsidRPr="003E092F">
        <w:rPr>
          <w:rFonts w:cs="Arial"/>
          <w:rtl/>
        </w:rPr>
        <w:t xml:space="preserve"> </w:t>
      </w:r>
      <w:r>
        <w:rPr>
          <w:rFonts w:cs="Arial" w:hint="cs"/>
          <w:rtl/>
        </w:rPr>
        <w:t>ד</w:t>
      </w:r>
      <w:r w:rsidRPr="003E092F">
        <w:rPr>
          <w:rFonts w:cs="Arial"/>
          <w:rtl/>
        </w:rPr>
        <w:t>האי לקח מן האשה</w:t>
      </w:r>
      <w:r>
        <w:rPr>
          <w:rFonts w:cs="Arial" w:hint="cs"/>
          <w:rtl/>
        </w:rPr>
        <w:t>,</w:t>
      </w:r>
      <w:r w:rsidRPr="003E092F">
        <w:rPr>
          <w:rFonts w:cs="Arial"/>
          <w:rtl/>
        </w:rPr>
        <w:t xml:space="preserve"> לא מכרה לו היא</w:t>
      </w:r>
      <w:r>
        <w:rPr>
          <w:rFonts w:cs="Arial" w:hint="cs"/>
          <w:rtl/>
        </w:rPr>
        <w:t>,</w:t>
      </w:r>
      <w:r w:rsidRPr="003E092F">
        <w:rPr>
          <w:rFonts w:cs="Arial"/>
          <w:rtl/>
        </w:rPr>
        <w:t xml:space="preserve"> אלא לסילוק שעבודה קרי לקח מן האשה</w:t>
      </w:r>
      <w:r>
        <w:rPr>
          <w:rFonts w:cs="Arial" w:hint="cs"/>
          <w:sz w:val="16"/>
          <w:szCs w:val="16"/>
          <w:rtl/>
        </w:rPr>
        <w:t xml:space="preserve"> (ע"פ ל' הב"י)</w:t>
      </w:r>
      <w:r>
        <w:rPr>
          <w:rFonts w:cs="Arial" w:hint="cs"/>
          <w:rtl/>
        </w:rPr>
        <w:t>.</w:t>
      </w:r>
      <w:r w:rsidRPr="003E092F">
        <w:rPr>
          <w:rFonts w:cs="Arial"/>
          <w:rtl/>
        </w:rPr>
        <w:t xml:space="preserve"> </w:t>
      </w:r>
    </w:p>
    <w:p w14:paraId="559FA1FB" w14:textId="77777777" w:rsidR="002E5BAD" w:rsidRPr="00246ED4" w:rsidRDefault="002E5BAD" w:rsidP="002E5BAD">
      <w:pPr>
        <w:ind w:left="360"/>
        <w:rPr>
          <w:rFonts w:cs="Arial"/>
          <w:u w:val="dotted"/>
          <w:rtl/>
        </w:rPr>
      </w:pPr>
      <w:r w:rsidRPr="00246ED4">
        <w:rPr>
          <w:rFonts w:cs="Arial" w:hint="cs"/>
          <w:u w:val="dotted"/>
          <w:rtl/>
        </w:rPr>
        <w:t xml:space="preserve">לדברי הרא"ש </w:t>
      </w:r>
      <w:r w:rsidRPr="00246ED4">
        <w:rPr>
          <w:rFonts w:cs="Arial"/>
          <w:u w:val="dotted"/>
          <w:rtl/>
        </w:rPr>
        <w:t>–</w:t>
      </w:r>
      <w:r w:rsidRPr="00246ED4">
        <w:rPr>
          <w:rFonts w:cs="Arial" w:hint="cs"/>
          <w:u w:val="dotted"/>
          <w:rtl/>
        </w:rPr>
        <w:t xml:space="preserve"> האם מועיל שאשה תסלק שיעבודה כנ"ל לאיש שרוצה להלוות לבעלה: </w:t>
      </w:r>
    </w:p>
    <w:p w14:paraId="6815FF56" w14:textId="77777777" w:rsidR="002E5BAD" w:rsidRDefault="002E5BAD" w:rsidP="002E5BAD">
      <w:pPr>
        <w:pStyle w:val="ab"/>
        <w:numPr>
          <w:ilvl w:val="0"/>
          <w:numId w:val="186"/>
        </w:numPr>
        <w:rPr>
          <w:rFonts w:cs="Arial"/>
        </w:rPr>
      </w:pPr>
      <w:r>
        <w:rPr>
          <w:rFonts w:cs="Arial" w:hint="cs"/>
          <w:rtl/>
        </w:rPr>
        <w:t>ב"י</w:t>
      </w:r>
      <w:r>
        <w:rPr>
          <w:rFonts w:cs="Arial" w:hint="cs"/>
          <w:sz w:val="16"/>
          <w:szCs w:val="16"/>
          <w:rtl/>
        </w:rPr>
        <w:t xml:space="preserve"> (בדה"ב)</w:t>
      </w:r>
      <w:r>
        <w:rPr>
          <w:rFonts w:cs="Arial" w:hint="cs"/>
          <w:rtl/>
        </w:rPr>
        <w:t>-</w:t>
      </w:r>
      <w:r w:rsidRPr="003E092F">
        <w:rPr>
          <w:rFonts w:cs="Arial"/>
          <w:rtl/>
        </w:rPr>
        <w:t xml:space="preserve"> יש שלמדו מתשובה זו שאם הבעל רוצה ללוות מעות בשעבוד נכסיו והמלוה חושש שמא ימות הבעל ותגבה אלמנתו כתובתה מנכסיו ויפסיד חובו ולכן סילקה האשה שעבוד כתובתה מנכסי בעלה או מקרקע המיוחד לה וקנו מידה </w:t>
      </w:r>
      <w:r w:rsidRPr="003E092F">
        <w:rPr>
          <w:rFonts w:cs="Arial" w:hint="cs"/>
          <w:rtl/>
        </w:rPr>
        <w:t xml:space="preserve">- </w:t>
      </w:r>
      <w:r w:rsidRPr="003E092F">
        <w:rPr>
          <w:rFonts w:cs="Arial"/>
          <w:rtl/>
        </w:rPr>
        <w:t>דלא מהני אלא אם כן קיבלה אחריות וכמו שכתוב בתשובה זו</w:t>
      </w:r>
      <w:r w:rsidRPr="003E092F">
        <w:rPr>
          <w:rFonts w:cs="Arial" w:hint="cs"/>
          <w:rtl/>
        </w:rPr>
        <w:t>.</w:t>
      </w:r>
      <w:r w:rsidRPr="003E092F">
        <w:rPr>
          <w:rFonts w:cs="Arial"/>
          <w:rtl/>
        </w:rPr>
        <w:t xml:space="preserve"> שאין לך דבר שמבטל טענת נחת רוח עשיתי לבעלי אא</w:t>
      </w:r>
      <w:r>
        <w:rPr>
          <w:rFonts w:cs="Arial" w:hint="cs"/>
          <w:rtl/>
        </w:rPr>
        <w:t>"</w:t>
      </w:r>
      <w:r w:rsidRPr="003E092F">
        <w:rPr>
          <w:rFonts w:cs="Arial"/>
          <w:rtl/>
        </w:rPr>
        <w:t>כ כתבה ללוקח אחריות</w:t>
      </w:r>
      <w:r w:rsidRPr="003E092F">
        <w:rPr>
          <w:rFonts w:cs="Arial" w:hint="cs"/>
          <w:rtl/>
        </w:rPr>
        <w:t>.</w:t>
      </w:r>
      <w:r w:rsidRPr="003E092F">
        <w:rPr>
          <w:rFonts w:cs="Arial"/>
          <w:rtl/>
        </w:rPr>
        <w:t xml:space="preserve"> וגם אני הייתי סבור כן מתחלה</w:t>
      </w:r>
      <w:r w:rsidRPr="003E092F">
        <w:rPr>
          <w:rFonts w:cs="Arial" w:hint="cs"/>
          <w:rtl/>
        </w:rPr>
        <w:t>.</w:t>
      </w:r>
      <w:r w:rsidRPr="003E092F">
        <w:rPr>
          <w:rFonts w:cs="Arial"/>
          <w:rtl/>
        </w:rPr>
        <w:t xml:space="preserve"> ואח</w:t>
      </w:r>
      <w:r>
        <w:rPr>
          <w:rFonts w:cs="Arial" w:hint="cs"/>
          <w:rtl/>
        </w:rPr>
        <w:t>"</w:t>
      </w:r>
      <w:r w:rsidRPr="003E092F">
        <w:rPr>
          <w:rFonts w:cs="Arial"/>
          <w:rtl/>
        </w:rPr>
        <w:t>כ נתיישבתי בדבר ונראה לי שמועיל סילוק בענין זה</w:t>
      </w:r>
      <w:r w:rsidRPr="003E092F">
        <w:rPr>
          <w:rFonts w:cs="Arial" w:hint="cs"/>
          <w:rtl/>
        </w:rPr>
        <w:t>,</w:t>
      </w:r>
      <w:r w:rsidRPr="003E092F">
        <w:rPr>
          <w:rFonts w:cs="Arial"/>
          <w:rtl/>
        </w:rPr>
        <w:t xml:space="preserve"> והוא שקנו מידה</w:t>
      </w:r>
      <w:r w:rsidRPr="003E092F">
        <w:rPr>
          <w:rFonts w:cs="Arial" w:hint="cs"/>
          <w:rtl/>
        </w:rPr>
        <w:t>.</w:t>
      </w:r>
      <w:r w:rsidRPr="003E092F">
        <w:rPr>
          <w:rFonts w:cs="Arial"/>
          <w:rtl/>
        </w:rPr>
        <w:t xml:space="preserve"> דעד כאן לא אמר שמואל אף בשטר לא קנה עד שתכתוב לו אחריות אלא בלקח מן האיש וחזר ולקח מן האשה</w:t>
      </w:r>
      <w:r w:rsidRPr="003E092F">
        <w:rPr>
          <w:rFonts w:cs="Arial" w:hint="cs"/>
          <w:rtl/>
        </w:rPr>
        <w:t>.</w:t>
      </w:r>
      <w:r w:rsidRPr="003E092F">
        <w:rPr>
          <w:rFonts w:cs="Arial"/>
          <w:rtl/>
        </w:rPr>
        <w:t xml:space="preserve"> אבל אם לקח מן האשה תחלה אפילו לא קיבלה עליה אחריות אינה יכולה לומר נחת רוח עשיתי לבעלי</w:t>
      </w:r>
      <w:r w:rsidRPr="003E092F">
        <w:rPr>
          <w:rFonts w:cs="Arial" w:hint="cs"/>
          <w:rtl/>
        </w:rPr>
        <w:t>.</w:t>
      </w:r>
      <w:r w:rsidRPr="003E092F">
        <w:rPr>
          <w:rFonts w:cs="Arial"/>
          <w:rtl/>
        </w:rPr>
        <w:t xml:space="preserve"> ובנ"ד כיון שהיא מסלקת שעבודה עד </w:t>
      </w:r>
      <w:r w:rsidRPr="003E092F">
        <w:rPr>
          <w:rFonts w:cs="Arial"/>
          <w:rtl/>
        </w:rPr>
        <w:lastRenderedPageBreak/>
        <w:t>שגובה זה חובו וקנו מידה</w:t>
      </w:r>
      <w:r w:rsidRPr="003E092F">
        <w:rPr>
          <w:rFonts w:cs="Arial" w:hint="cs"/>
          <w:rtl/>
        </w:rPr>
        <w:t>,</w:t>
      </w:r>
      <w:r w:rsidRPr="003E092F">
        <w:rPr>
          <w:rFonts w:cs="Arial"/>
          <w:rtl/>
        </w:rPr>
        <w:t xml:space="preserve"> הוי כלוקח מהאשה תחלה</w:t>
      </w:r>
      <w:r w:rsidRPr="003E092F">
        <w:rPr>
          <w:rFonts w:cs="Arial" w:hint="cs"/>
          <w:rtl/>
        </w:rPr>
        <w:t>.</w:t>
      </w:r>
      <w:r w:rsidRPr="003E092F">
        <w:rPr>
          <w:rFonts w:cs="Arial"/>
          <w:rtl/>
        </w:rPr>
        <w:t xml:space="preserve"> וכשילוה האיש אחר כך וישעבד לו נכסיו</w:t>
      </w:r>
      <w:r w:rsidRPr="003E092F">
        <w:rPr>
          <w:rFonts w:cs="Arial" w:hint="cs"/>
          <w:rtl/>
        </w:rPr>
        <w:t>,</w:t>
      </w:r>
      <w:r w:rsidRPr="003E092F">
        <w:rPr>
          <w:rFonts w:cs="Arial"/>
          <w:rtl/>
        </w:rPr>
        <w:t xml:space="preserve"> הוי אח"כ לקח מן האיש</w:t>
      </w:r>
      <w:r w:rsidRPr="003E092F">
        <w:rPr>
          <w:rFonts w:cs="Arial" w:hint="cs"/>
          <w:rtl/>
        </w:rPr>
        <w:t>,</w:t>
      </w:r>
      <w:r w:rsidRPr="003E092F">
        <w:rPr>
          <w:rFonts w:cs="Arial"/>
          <w:rtl/>
        </w:rPr>
        <w:t xml:space="preserve"> ומקחו קיים</w:t>
      </w:r>
      <w:r w:rsidRPr="003E092F">
        <w:rPr>
          <w:rFonts w:cs="Arial" w:hint="cs"/>
          <w:rtl/>
        </w:rPr>
        <w:t>.</w:t>
      </w:r>
      <w:r w:rsidRPr="003E092F">
        <w:rPr>
          <w:rFonts w:cs="Arial"/>
          <w:rtl/>
        </w:rPr>
        <w:t xml:space="preserve"> ומ"ש הרא"ש בתשובה זו דאין סילוק מועיל בלא אחריות</w:t>
      </w:r>
      <w:r w:rsidRPr="003E092F">
        <w:rPr>
          <w:rFonts w:cs="Arial" w:hint="cs"/>
          <w:rtl/>
        </w:rPr>
        <w:t>,</w:t>
      </w:r>
      <w:r w:rsidRPr="003E092F">
        <w:rPr>
          <w:rFonts w:cs="Arial"/>
          <w:rtl/>
        </w:rPr>
        <w:t xml:space="preserve"> היינו מפני שהסילוק היה לבעלה</w:t>
      </w:r>
      <w:r w:rsidRPr="003E092F">
        <w:rPr>
          <w:rFonts w:cs="Arial" w:hint="cs"/>
          <w:rtl/>
        </w:rPr>
        <w:t>.</w:t>
      </w:r>
      <w:r w:rsidRPr="003E092F">
        <w:rPr>
          <w:rFonts w:cs="Arial"/>
          <w:rtl/>
        </w:rPr>
        <w:t xml:space="preserve"> ודמי ללוקח מן האיש ואחר כך לקח מן האשה</w:t>
      </w:r>
      <w:r w:rsidRPr="003E092F">
        <w:rPr>
          <w:rFonts w:cs="Arial" w:hint="cs"/>
          <w:rtl/>
        </w:rPr>
        <w:t>,</w:t>
      </w:r>
      <w:r w:rsidRPr="003E092F">
        <w:rPr>
          <w:rFonts w:cs="Arial"/>
          <w:rtl/>
        </w:rPr>
        <w:t xml:space="preserve"> דכך לי סילוק מהבעל כמו סילוק מהאיש שלקח מהבעל כבר</w:t>
      </w:r>
      <w:r w:rsidRPr="003E092F">
        <w:rPr>
          <w:rFonts w:cs="Arial" w:hint="cs"/>
          <w:rtl/>
        </w:rPr>
        <w:t>.</w:t>
      </w:r>
      <w:r w:rsidRPr="003E092F">
        <w:rPr>
          <w:rFonts w:cs="Arial"/>
          <w:rtl/>
        </w:rPr>
        <w:t xml:space="preserve"> אבל במסלקת שעבודה לאיש שרוצה להלוות לבעלה וקנו מידה מודה הרא"ש דמהני</w:t>
      </w:r>
      <w:r w:rsidRPr="003E092F">
        <w:rPr>
          <w:rFonts w:cs="Arial" w:hint="cs"/>
          <w:rtl/>
        </w:rPr>
        <w:t>.</w:t>
      </w:r>
      <w:r w:rsidRPr="003E092F">
        <w:rPr>
          <w:rFonts w:cs="Arial"/>
          <w:rtl/>
        </w:rPr>
        <w:t xml:space="preserve"> </w:t>
      </w:r>
    </w:p>
    <w:p w14:paraId="2EF1685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E3C0912" w14:textId="77777777" w:rsidR="002E5BAD" w:rsidRDefault="002E5BAD" w:rsidP="002E5BAD">
      <w:pPr>
        <w:rPr>
          <w:rFonts w:cs="Arial"/>
          <w:rtl/>
        </w:rPr>
      </w:pPr>
      <w:r w:rsidRPr="00EB79BF">
        <w:rPr>
          <w:rFonts w:cs="Arial"/>
          <w:rtl/>
        </w:rPr>
        <w:t>נכסי צאן ברזל</w:t>
      </w:r>
      <w:r>
        <w:rPr>
          <w:rStyle w:val="a7"/>
          <w:rFonts w:cs="Arial"/>
          <w:rtl/>
        </w:rPr>
        <w:footnoteReference w:id="2143"/>
      </w:r>
      <w:r w:rsidRPr="00EB79BF">
        <w:rPr>
          <w:rFonts w:cs="Arial"/>
          <w:rtl/>
        </w:rPr>
        <w:t xml:space="preserve"> שאבדו או נגנבו ומחלה אותם לבעלה, וקנו ממנה</w:t>
      </w:r>
      <w:r>
        <w:rPr>
          <w:rStyle w:val="a7"/>
          <w:rFonts w:cs="Arial"/>
          <w:rtl/>
        </w:rPr>
        <w:footnoteReference w:id="2144"/>
      </w:r>
      <w:r w:rsidRPr="00EB79BF">
        <w:rPr>
          <w:rFonts w:cs="Arial"/>
          <w:rtl/>
        </w:rPr>
        <w:t xml:space="preserve"> בעדים, אינה יכולה לומר: נחת רוח עשיתי לבעלי. אבל אם נתנה לו מתנה מטלטלי צ</w:t>
      </w:r>
      <w:r>
        <w:rPr>
          <w:rFonts w:cs="Arial" w:hint="cs"/>
          <w:rtl/>
        </w:rPr>
        <w:t>אן ברזל</w:t>
      </w:r>
      <w:r w:rsidRPr="00EB79BF">
        <w:rPr>
          <w:rFonts w:cs="Arial"/>
          <w:rtl/>
        </w:rPr>
        <w:t xml:space="preserve"> הקיימים, לא קנה, מפני שיש לה לומר: נחת רוח עשיתי לבעלי. </w:t>
      </w:r>
    </w:p>
    <w:p w14:paraId="6034FE55" w14:textId="77777777" w:rsidR="002E5BAD" w:rsidRPr="00EB79BF" w:rsidRDefault="002E5BAD" w:rsidP="002E5BAD">
      <w:pPr>
        <w:rPr>
          <w:rFonts w:cs="Arial"/>
          <w:rtl/>
        </w:rPr>
      </w:pPr>
    </w:p>
    <w:p w14:paraId="6C0DFA63" w14:textId="77777777" w:rsidR="002E5BAD" w:rsidRDefault="002E5BAD" w:rsidP="002E5BAD">
      <w:pPr>
        <w:pStyle w:val="2"/>
        <w:rPr>
          <w:rtl/>
        </w:rPr>
      </w:pPr>
      <w:r w:rsidRPr="00EB79BF">
        <w:rPr>
          <w:rtl/>
        </w:rPr>
        <w:t>סעיף יט</w:t>
      </w:r>
      <w:r>
        <w:rPr>
          <w:rFonts w:hint="cs"/>
          <w:rtl/>
        </w:rPr>
        <w:t>:</w:t>
      </w:r>
      <w:r w:rsidRPr="00FA5D29">
        <w:rPr>
          <w:rFonts w:cs="Arial"/>
          <w:rtl/>
        </w:rPr>
        <w:t xml:space="preserve"> </w:t>
      </w:r>
      <w:r>
        <w:rPr>
          <w:rFonts w:cs="Arial" w:hint="cs"/>
          <w:rtl/>
        </w:rPr>
        <w:t>ה</w:t>
      </w:r>
      <w:r w:rsidRPr="008C513A">
        <w:rPr>
          <w:rFonts w:cs="Arial"/>
          <w:rtl/>
        </w:rPr>
        <w:t>אומר לאשתו שתעשה בבגדי</w:t>
      </w:r>
      <w:r>
        <w:rPr>
          <w:rFonts w:cs="Arial" w:hint="cs"/>
          <w:rtl/>
        </w:rPr>
        <w:t>ה/</w:t>
      </w:r>
      <w:r w:rsidRPr="008C513A">
        <w:rPr>
          <w:rFonts w:cs="Arial"/>
          <w:rtl/>
        </w:rPr>
        <w:t>תכשיטיה מה שתרצה</w:t>
      </w:r>
      <w:r>
        <w:rPr>
          <w:rFonts w:cs="Arial" w:hint="cs"/>
          <w:rtl/>
        </w:rPr>
        <w:t>,</w:t>
      </w:r>
      <w:r w:rsidRPr="008C513A">
        <w:rPr>
          <w:rFonts w:cs="Arial"/>
          <w:rtl/>
        </w:rPr>
        <w:t xml:space="preserve"> ונתנה לאחר במתנה</w:t>
      </w:r>
      <w:r>
        <w:rPr>
          <w:rFonts w:hint="cs"/>
          <w:rtl/>
        </w:rPr>
        <w:t>.</w:t>
      </w:r>
    </w:p>
    <w:p w14:paraId="6F4B9D4D" w14:textId="77777777" w:rsidR="002E5BAD" w:rsidRPr="00FA5D29" w:rsidRDefault="002E5BAD" w:rsidP="002E5BAD">
      <w:pPr>
        <w:rPr>
          <w:u w:val="single"/>
          <w:rtl/>
        </w:rPr>
      </w:pPr>
      <w:r w:rsidRPr="00FA5D29">
        <w:rPr>
          <w:rFonts w:cs="Arial"/>
          <w:u w:val="single"/>
          <w:rtl/>
        </w:rPr>
        <w:t>בעל אומר לאשתו שתעשה בבגדיה ותכשיטיה מה שתרצה</w:t>
      </w:r>
      <w:r w:rsidRPr="00FA5D29">
        <w:rPr>
          <w:rFonts w:cs="Arial" w:hint="cs"/>
          <w:u w:val="single"/>
          <w:rtl/>
        </w:rPr>
        <w:t>,</w:t>
      </w:r>
      <w:r w:rsidRPr="00FA5D29">
        <w:rPr>
          <w:rFonts w:cs="Arial"/>
          <w:u w:val="single"/>
          <w:rtl/>
        </w:rPr>
        <w:t xml:space="preserve"> ונתנה לאחר במתנה</w:t>
      </w:r>
      <w:r w:rsidRPr="00FA5D29">
        <w:rPr>
          <w:rFonts w:cs="Arial" w:hint="cs"/>
          <w:u w:val="single"/>
          <w:rtl/>
        </w:rPr>
        <w:t xml:space="preserve"> </w:t>
      </w:r>
      <w:r w:rsidRPr="00FA5D29">
        <w:rPr>
          <w:rFonts w:cs="Arial"/>
          <w:u w:val="single"/>
          <w:rtl/>
        </w:rPr>
        <w:t xml:space="preserve">– </w:t>
      </w:r>
      <w:r w:rsidRPr="00FA5D29">
        <w:rPr>
          <w:rFonts w:cs="Arial" w:hint="cs"/>
          <w:u w:val="single"/>
          <w:rtl/>
        </w:rPr>
        <w:t xml:space="preserve">האם </w:t>
      </w:r>
      <w:r w:rsidRPr="00FA5D29">
        <w:rPr>
          <w:rFonts w:cs="Arial"/>
          <w:u w:val="single"/>
          <w:rtl/>
        </w:rPr>
        <w:t>הויא מתנה</w:t>
      </w:r>
      <w:r w:rsidRPr="00FA5D29">
        <w:rPr>
          <w:rFonts w:hint="cs"/>
          <w:u w:val="single"/>
          <w:rtl/>
        </w:rPr>
        <w:t>:</w:t>
      </w:r>
    </w:p>
    <w:p w14:paraId="42DE7E32" w14:textId="77777777" w:rsidR="002E5BAD" w:rsidRDefault="002E5BAD" w:rsidP="002E5BAD">
      <w:pPr>
        <w:pStyle w:val="ab"/>
        <w:numPr>
          <w:ilvl w:val="0"/>
          <w:numId w:val="186"/>
        </w:numPr>
        <w:rPr>
          <w:rFonts w:cs="Aria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 xml:space="preserve">כלל </w:t>
      </w:r>
      <w:r>
        <w:rPr>
          <w:rFonts w:cs="Arial" w:hint="cs"/>
          <w:sz w:val="16"/>
          <w:szCs w:val="16"/>
          <w:rtl/>
        </w:rPr>
        <w:t>לח</w:t>
      </w:r>
      <w:r w:rsidRPr="00DD3492">
        <w:rPr>
          <w:rFonts w:cs="Arial"/>
          <w:sz w:val="16"/>
          <w:szCs w:val="16"/>
          <w:rtl/>
        </w:rPr>
        <w:t xml:space="preserve"> סי' </w:t>
      </w:r>
      <w:r>
        <w:rPr>
          <w:rFonts w:cs="Arial" w:hint="cs"/>
          <w:sz w:val="16"/>
          <w:szCs w:val="16"/>
          <w:rtl/>
        </w:rPr>
        <w:t>ה)</w:t>
      </w:r>
      <w:r>
        <w:rPr>
          <w:rFonts w:cs="Arial" w:hint="cs"/>
          <w:rtl/>
        </w:rPr>
        <w:t xml:space="preserve"> וטור- </w:t>
      </w:r>
      <w:r w:rsidRPr="008C513A">
        <w:rPr>
          <w:rFonts w:cs="Arial"/>
          <w:rtl/>
        </w:rPr>
        <w:t>וששאלת בעל אומר לאשתו שתעשה בבגדיה ותכשיטיה מה שתרצה</w:t>
      </w:r>
      <w:r>
        <w:rPr>
          <w:rFonts w:cs="Arial" w:hint="cs"/>
          <w:rtl/>
        </w:rPr>
        <w:t>.</w:t>
      </w:r>
      <w:r w:rsidRPr="008C513A">
        <w:rPr>
          <w:rFonts w:cs="Arial"/>
          <w:rtl/>
        </w:rPr>
        <w:t xml:space="preserve"> ונתנה לאחר במתנה</w:t>
      </w:r>
      <w:r>
        <w:rPr>
          <w:rFonts w:cs="Arial" w:hint="cs"/>
          <w:rtl/>
        </w:rPr>
        <w:t>.</w:t>
      </w:r>
      <w:r w:rsidRPr="008C513A">
        <w:rPr>
          <w:rFonts w:cs="Arial"/>
          <w:rtl/>
        </w:rPr>
        <w:t xml:space="preserve"> אי הויא מתנה</w:t>
      </w:r>
      <w:r>
        <w:rPr>
          <w:rFonts w:cs="Arial" w:hint="cs"/>
          <w:rtl/>
        </w:rPr>
        <w:t>.</w:t>
      </w:r>
      <w:r w:rsidRPr="008C513A">
        <w:rPr>
          <w:rFonts w:cs="Arial"/>
          <w:rtl/>
        </w:rPr>
        <w:t xml:space="preserve"> </w:t>
      </w:r>
      <w:r>
        <w:rPr>
          <w:rFonts w:cs="Arial" w:hint="cs"/>
          <w:rtl/>
        </w:rPr>
        <w:t xml:space="preserve">    תשובה- </w:t>
      </w:r>
      <w:r w:rsidRPr="008C513A">
        <w:rPr>
          <w:rFonts w:cs="Arial"/>
          <w:rtl/>
        </w:rPr>
        <w:t>דע שאין במתנתה כלום</w:t>
      </w:r>
      <w:r>
        <w:rPr>
          <w:rFonts w:cs="Arial" w:hint="cs"/>
          <w:rtl/>
        </w:rPr>
        <w:t>,</w:t>
      </w:r>
      <w:r w:rsidRPr="008C513A">
        <w:rPr>
          <w:rFonts w:cs="Arial"/>
          <w:rtl/>
        </w:rPr>
        <w:t xml:space="preserve"> שהבעל חייב לכסות אשתו</w:t>
      </w:r>
      <w:r>
        <w:rPr>
          <w:rFonts w:cs="Arial" w:hint="cs"/>
          <w:rtl/>
        </w:rPr>
        <w:t>,</w:t>
      </w:r>
      <w:r w:rsidRPr="008C513A">
        <w:rPr>
          <w:rFonts w:cs="Arial"/>
          <w:rtl/>
        </w:rPr>
        <w:t xml:space="preserve"> והיא אינה יכולה למכור וליתן לאחר הכסות שהוא קונה לה</w:t>
      </w:r>
      <w:r>
        <w:rPr>
          <w:rFonts w:cs="Arial" w:hint="cs"/>
          <w:rtl/>
        </w:rPr>
        <w:t>.</w:t>
      </w:r>
      <w:r w:rsidRPr="008C513A">
        <w:rPr>
          <w:rFonts w:cs="Arial"/>
          <w:rtl/>
        </w:rPr>
        <w:t xml:space="preserve"> ואפי' הכניסה לו הבגדים מבית אביה</w:t>
      </w:r>
      <w:r>
        <w:rPr>
          <w:rFonts w:cs="Arial" w:hint="cs"/>
          <w:rtl/>
        </w:rPr>
        <w:t>,</w:t>
      </w:r>
      <w:r w:rsidRPr="008C513A">
        <w:rPr>
          <w:rFonts w:cs="Arial"/>
          <w:rtl/>
        </w:rPr>
        <w:t xml:space="preserve"> הוי כאילו קנאם</w:t>
      </w:r>
      <w:r>
        <w:rPr>
          <w:rFonts w:cs="Arial" w:hint="cs"/>
          <w:rtl/>
        </w:rPr>
        <w:t>,</w:t>
      </w:r>
      <w:r w:rsidRPr="008C513A">
        <w:rPr>
          <w:rFonts w:cs="Arial"/>
          <w:rtl/>
        </w:rPr>
        <w:t xml:space="preserve"> שאם תתנם לאחר צריך לקנות לה אחרים</w:t>
      </w:r>
      <w:r>
        <w:rPr>
          <w:rFonts w:cs="Arial" w:hint="cs"/>
          <w:rtl/>
        </w:rPr>
        <w:t>.</w:t>
      </w:r>
      <w:r w:rsidRPr="008C513A">
        <w:rPr>
          <w:rFonts w:cs="Arial"/>
          <w:rtl/>
        </w:rPr>
        <w:t xml:space="preserve"> והמלבושים שהכניסה לו</w:t>
      </w:r>
      <w:r>
        <w:rPr>
          <w:rFonts w:cs="Arial" w:hint="cs"/>
          <w:rtl/>
        </w:rPr>
        <w:t>,</w:t>
      </w:r>
      <w:r w:rsidRPr="008C513A">
        <w:rPr>
          <w:rFonts w:cs="Arial"/>
          <w:rtl/>
        </w:rPr>
        <w:t xml:space="preserve"> בין אם הן נכסי מלוג או נכסי צאן ברזל</w:t>
      </w:r>
      <w:r>
        <w:rPr>
          <w:rFonts w:cs="Arial" w:hint="cs"/>
          <w:rtl/>
        </w:rPr>
        <w:t>,</w:t>
      </w:r>
      <w:r w:rsidRPr="008C513A">
        <w:rPr>
          <w:rFonts w:cs="Arial"/>
          <w:rtl/>
        </w:rPr>
        <w:t xml:space="preserve"> אינה יכולה למוכרם וליתנם</w:t>
      </w:r>
      <w:r>
        <w:rPr>
          <w:rFonts w:cs="Arial" w:hint="cs"/>
          <w:rtl/>
        </w:rPr>
        <w:t>.</w:t>
      </w:r>
      <w:r w:rsidRPr="008C513A">
        <w:rPr>
          <w:rFonts w:cs="Arial"/>
          <w:rtl/>
        </w:rPr>
        <w:t xml:space="preserve"> ומה שאומר לה שתעשה לה בתכשיטיה מה שתרצה</w:t>
      </w:r>
      <w:r>
        <w:rPr>
          <w:rFonts w:cs="Arial" w:hint="cs"/>
          <w:rtl/>
        </w:rPr>
        <w:t>,</w:t>
      </w:r>
      <w:r w:rsidRPr="008C513A">
        <w:rPr>
          <w:rFonts w:cs="Arial"/>
          <w:rtl/>
        </w:rPr>
        <w:t xml:space="preserve"> אין הלשון מועיל</w:t>
      </w:r>
      <w:r>
        <w:rPr>
          <w:rFonts w:cs="Arial" w:hint="cs"/>
          <w:rtl/>
        </w:rPr>
        <w:t>,</w:t>
      </w:r>
      <w:r w:rsidRPr="008C513A">
        <w:rPr>
          <w:rFonts w:cs="Arial"/>
          <w:rtl/>
        </w:rPr>
        <w:t xml:space="preserve"> שאני יכול לפרש שתעשה בהן מה שתרצה להשאילם או להפקידם ביד אחר כדי שלא יוכל הבעל ליקחם</w:t>
      </w:r>
      <w:r>
        <w:rPr>
          <w:rFonts w:cs="Arial" w:hint="cs"/>
          <w:rtl/>
        </w:rPr>
        <w:t>,</w:t>
      </w:r>
      <w:r w:rsidRPr="008C513A">
        <w:rPr>
          <w:rFonts w:cs="Arial"/>
          <w:rtl/>
        </w:rPr>
        <w:t xml:space="preserve"> ואין מתנתה מתנה</w:t>
      </w:r>
      <w:r>
        <w:rPr>
          <w:rFonts w:cs="Arial" w:hint="cs"/>
          <w:sz w:val="16"/>
          <w:szCs w:val="16"/>
          <w:rtl/>
        </w:rPr>
        <w:t xml:space="preserve"> (ל' הטור בשם הרא"ש)</w:t>
      </w:r>
      <w:r>
        <w:rPr>
          <w:rFonts w:cs="Arial" w:hint="cs"/>
          <w:rtl/>
        </w:rPr>
        <w:t>.</w:t>
      </w:r>
      <w:r w:rsidRPr="00FA5D29">
        <w:rPr>
          <w:rFonts w:cs="Arial" w:hint="cs"/>
          <w:color w:val="E36C0A" w:themeColor="accent6" w:themeShade="BF"/>
          <w:rtl/>
        </w:rPr>
        <w:t xml:space="preserve"> </w:t>
      </w:r>
      <w:r w:rsidRPr="002472AF">
        <w:rPr>
          <w:rFonts w:cs="Arial" w:hint="cs"/>
          <w:color w:val="E36C0A" w:themeColor="accent6" w:themeShade="BF"/>
          <w:rtl/>
        </w:rPr>
        <w:t>(וכ"פ בשו"ע)</w:t>
      </w:r>
    </w:p>
    <w:p w14:paraId="6C9C1B4E"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BD062B1" w14:textId="77777777" w:rsidR="002E5BAD" w:rsidRDefault="002E5BAD" w:rsidP="002E5BAD">
      <w:pPr>
        <w:rPr>
          <w:rFonts w:cs="Arial"/>
          <w:rtl/>
        </w:rPr>
      </w:pPr>
      <w:r w:rsidRPr="00EB79BF">
        <w:rPr>
          <w:rFonts w:cs="Arial"/>
          <w:rtl/>
        </w:rPr>
        <w:t xml:space="preserve">אשה שאמר לה בעלה שתעשה בבגדיה ובתכשיטיה מה שתרצה, אם מכרה או נתנה, בטל. </w:t>
      </w:r>
    </w:p>
    <w:p w14:paraId="4466F4BF" w14:textId="77777777" w:rsidR="002E5BAD" w:rsidRPr="00EB79BF" w:rsidRDefault="002E5BAD" w:rsidP="002E5BAD">
      <w:pPr>
        <w:rPr>
          <w:rFonts w:cs="Arial"/>
          <w:rtl/>
        </w:rPr>
      </w:pPr>
    </w:p>
    <w:p w14:paraId="3CC81210" w14:textId="77777777" w:rsidR="002E5BAD" w:rsidRDefault="002E5BAD" w:rsidP="002E5BAD">
      <w:pPr>
        <w:pStyle w:val="2"/>
        <w:rPr>
          <w:rtl/>
        </w:rPr>
      </w:pPr>
      <w:r w:rsidRPr="00EB79BF">
        <w:rPr>
          <w:rtl/>
        </w:rPr>
        <w:t>סעיף כ</w:t>
      </w:r>
      <w:r>
        <w:rPr>
          <w:rFonts w:hint="cs"/>
          <w:rtl/>
        </w:rPr>
        <w:t>:</w:t>
      </w:r>
      <w:r w:rsidRPr="00F963B8">
        <w:rPr>
          <w:rFonts w:cs="Arial" w:hint="cs"/>
          <w:rtl/>
        </w:rPr>
        <w:t xml:space="preserve"> </w:t>
      </w:r>
      <w:r>
        <w:rPr>
          <w:rFonts w:cs="Arial" w:hint="cs"/>
          <w:rtl/>
        </w:rPr>
        <w:t>קרקע מלוג שנתחזקו עליה ב' שטרות, המוקדם מחמת בעל, והמאוחר מחמת שניהם</w:t>
      </w:r>
      <w:r>
        <w:rPr>
          <w:rFonts w:hint="cs"/>
          <w:rtl/>
        </w:rPr>
        <w:t>.</w:t>
      </w:r>
    </w:p>
    <w:p w14:paraId="6269BF03" w14:textId="77777777" w:rsidR="002E5BAD" w:rsidRPr="00F963B8" w:rsidRDefault="002E5BAD" w:rsidP="002E5BAD">
      <w:pPr>
        <w:rPr>
          <w:u w:val="single"/>
          <w:rtl/>
        </w:rPr>
      </w:pPr>
      <w:r w:rsidRPr="00F963B8">
        <w:rPr>
          <w:rFonts w:cs="Arial" w:hint="cs"/>
          <w:u w:val="single"/>
          <w:rtl/>
        </w:rPr>
        <w:t>קרקע מלוג שנתחזקו עליה שני שטרות, הש</w:t>
      </w:r>
      <w:r>
        <w:rPr>
          <w:rFonts w:cs="Arial" w:hint="cs"/>
          <w:u w:val="single"/>
          <w:rtl/>
        </w:rPr>
        <w:t>ט</w:t>
      </w:r>
      <w:r w:rsidRPr="00F963B8">
        <w:rPr>
          <w:rFonts w:cs="Arial" w:hint="cs"/>
          <w:u w:val="single"/>
          <w:rtl/>
        </w:rPr>
        <w:t xml:space="preserve">ר המוקדם נתחזק מחמת הבעל, והמאוחר מחמת </w:t>
      </w:r>
      <w:r>
        <w:rPr>
          <w:rFonts w:cs="Arial" w:hint="cs"/>
          <w:u w:val="single"/>
          <w:rtl/>
        </w:rPr>
        <w:t>הבעל ואשתו</w:t>
      </w:r>
      <w:r w:rsidRPr="00F963B8">
        <w:rPr>
          <w:rFonts w:hint="cs"/>
          <w:u w:val="single"/>
          <w:rtl/>
        </w:rPr>
        <w:t>:</w:t>
      </w:r>
    </w:p>
    <w:p w14:paraId="0DD1AFB5" w14:textId="77777777" w:rsidR="002E5BAD" w:rsidRPr="00CE7238" w:rsidRDefault="002E5BAD" w:rsidP="002E5BAD">
      <w:pPr>
        <w:pStyle w:val="ab"/>
        <w:numPr>
          <w:ilvl w:val="0"/>
          <w:numId w:val="186"/>
        </w:numPr>
        <w:rPr>
          <w:rFonts w:cs="Arial"/>
          <w:rt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 xml:space="preserve">כלל </w:t>
      </w:r>
      <w:r>
        <w:rPr>
          <w:rFonts w:cs="Arial" w:hint="cs"/>
          <w:sz w:val="16"/>
          <w:szCs w:val="16"/>
          <w:rtl/>
        </w:rPr>
        <w:t>לח</w:t>
      </w:r>
      <w:r w:rsidRPr="00DD3492">
        <w:rPr>
          <w:rFonts w:cs="Arial"/>
          <w:sz w:val="16"/>
          <w:szCs w:val="16"/>
          <w:rtl/>
        </w:rPr>
        <w:t xml:space="preserve"> סי' </w:t>
      </w:r>
      <w:r>
        <w:rPr>
          <w:rFonts w:cs="Arial" w:hint="cs"/>
          <w:sz w:val="16"/>
          <w:szCs w:val="16"/>
          <w:rtl/>
        </w:rPr>
        <w:t>ה)</w:t>
      </w:r>
      <w:r>
        <w:rPr>
          <w:rFonts w:cs="Arial" w:hint="cs"/>
          <w:rtl/>
        </w:rPr>
        <w:t xml:space="preserve"> וטור- </w:t>
      </w:r>
      <w:r w:rsidRPr="008C513A">
        <w:rPr>
          <w:rFonts w:cs="Arial"/>
          <w:rtl/>
        </w:rPr>
        <w:t>וששאלת ראובן שהיה לאשתו קרקע של נכסי מלוג</w:t>
      </w:r>
      <w:r>
        <w:rPr>
          <w:rFonts w:cs="Arial" w:hint="cs"/>
          <w:rtl/>
        </w:rPr>
        <w:t>,</w:t>
      </w:r>
      <w:r w:rsidRPr="008C513A">
        <w:rPr>
          <w:rFonts w:cs="Arial"/>
          <w:rtl/>
        </w:rPr>
        <w:t xml:space="preserve"> ונתחזק עליו </w:t>
      </w:r>
      <w:r w:rsidRPr="00EB51F8">
        <w:rPr>
          <w:rFonts w:cs="Arial"/>
          <w:rtl/>
        </w:rPr>
        <w:t>שני שטרי חובות בזה אחר זה</w:t>
      </w:r>
      <w:r>
        <w:rPr>
          <w:rFonts w:cs="Arial" w:hint="cs"/>
          <w:rtl/>
        </w:rPr>
        <w:t>,</w:t>
      </w:r>
      <w:r w:rsidRPr="00EB51F8">
        <w:rPr>
          <w:rFonts w:cs="Arial"/>
          <w:rtl/>
        </w:rPr>
        <w:t xml:space="preserve"> </w:t>
      </w:r>
      <w:r w:rsidRPr="008C513A">
        <w:rPr>
          <w:rFonts w:cs="Arial"/>
          <w:rtl/>
        </w:rPr>
        <w:t>שטר לשמעון</w:t>
      </w:r>
      <w:r>
        <w:rPr>
          <w:rFonts w:cs="Arial" w:hint="cs"/>
          <w:rtl/>
        </w:rPr>
        <w:t>,</w:t>
      </w:r>
      <w:r w:rsidRPr="008C513A">
        <w:rPr>
          <w:rFonts w:cs="Arial"/>
          <w:rtl/>
        </w:rPr>
        <w:t xml:space="preserve"> ואחר ללוי</w:t>
      </w:r>
      <w:r>
        <w:rPr>
          <w:rFonts w:cs="Arial" w:hint="cs"/>
          <w:rtl/>
        </w:rPr>
        <w:t>.</w:t>
      </w:r>
      <w:r w:rsidRPr="008C513A">
        <w:rPr>
          <w:rFonts w:cs="Arial"/>
          <w:rtl/>
        </w:rPr>
        <w:t xml:space="preserve"> ולשמעון שהוא הראשון</w:t>
      </w:r>
      <w:r>
        <w:rPr>
          <w:rFonts w:cs="Arial" w:hint="cs"/>
          <w:rtl/>
        </w:rPr>
        <w:t>,</w:t>
      </w:r>
      <w:r w:rsidRPr="008C513A">
        <w:rPr>
          <w:rFonts w:cs="Arial"/>
          <w:rtl/>
        </w:rPr>
        <w:t xml:space="preserve"> לא נתחייבה לו האשה עם ראובן בעלה בשטר</w:t>
      </w:r>
      <w:r>
        <w:rPr>
          <w:rFonts w:cs="Arial" w:hint="cs"/>
          <w:rtl/>
        </w:rPr>
        <w:t>.</w:t>
      </w:r>
      <w:r w:rsidRPr="008C513A">
        <w:rPr>
          <w:rFonts w:cs="Arial"/>
          <w:rtl/>
        </w:rPr>
        <w:t xml:space="preserve"> וללוי שהוא המאוחר</w:t>
      </w:r>
      <w:r>
        <w:rPr>
          <w:rFonts w:cs="Arial" w:hint="cs"/>
          <w:rtl/>
        </w:rPr>
        <w:t>,</w:t>
      </w:r>
      <w:r w:rsidRPr="008C513A">
        <w:rPr>
          <w:rFonts w:cs="Arial"/>
          <w:rtl/>
        </w:rPr>
        <w:t xml:space="preserve"> נתחייבה</w:t>
      </w:r>
      <w:r>
        <w:rPr>
          <w:rFonts w:cs="Arial" w:hint="cs"/>
          <w:rtl/>
        </w:rPr>
        <w:t>.</w:t>
      </w:r>
      <w:r w:rsidRPr="008C513A">
        <w:rPr>
          <w:rFonts w:cs="Arial"/>
          <w:rtl/>
        </w:rPr>
        <w:t xml:space="preserve"> ומתה בחיי הבעל</w:t>
      </w:r>
      <w:r>
        <w:rPr>
          <w:rFonts w:cs="Arial" w:hint="cs"/>
          <w:rtl/>
        </w:rPr>
        <w:t>.</w:t>
      </w:r>
      <w:r w:rsidRPr="008C513A">
        <w:rPr>
          <w:rFonts w:cs="Arial"/>
          <w:rtl/>
        </w:rPr>
        <w:t xml:space="preserve"> מי קודם לגבות</w:t>
      </w:r>
      <w:r>
        <w:rPr>
          <w:rFonts w:cs="Arial" w:hint="cs"/>
          <w:rtl/>
        </w:rPr>
        <w:t>.</w:t>
      </w:r>
      <w:r w:rsidRPr="008C513A">
        <w:rPr>
          <w:rFonts w:cs="Arial"/>
          <w:rtl/>
        </w:rPr>
        <w:t xml:space="preserve"> </w:t>
      </w:r>
      <w:r>
        <w:rPr>
          <w:rFonts w:cs="Arial" w:hint="cs"/>
          <w:rtl/>
        </w:rPr>
        <w:t xml:space="preserve">   </w:t>
      </w:r>
      <w:r w:rsidRPr="008C513A">
        <w:rPr>
          <w:rFonts w:cs="Arial"/>
          <w:rtl/>
        </w:rPr>
        <w:t>תשובה</w:t>
      </w:r>
      <w:r>
        <w:rPr>
          <w:rFonts w:cs="Arial" w:hint="cs"/>
          <w:rtl/>
        </w:rPr>
        <w:t>-</w:t>
      </w:r>
      <w:r w:rsidRPr="008C513A">
        <w:rPr>
          <w:rFonts w:cs="Arial"/>
          <w:rtl/>
        </w:rPr>
        <w:t xml:space="preserve"> לוי המאוחר גובה</w:t>
      </w:r>
      <w:r>
        <w:rPr>
          <w:rFonts w:cs="Arial" w:hint="cs"/>
          <w:rtl/>
        </w:rPr>
        <w:t>,</w:t>
      </w:r>
      <w:r w:rsidRPr="008C513A">
        <w:rPr>
          <w:rFonts w:cs="Arial"/>
          <w:rtl/>
        </w:rPr>
        <w:t xml:space="preserve"> ולא שמעון</w:t>
      </w:r>
      <w:r>
        <w:rPr>
          <w:rFonts w:cs="Arial" w:hint="cs"/>
          <w:rtl/>
        </w:rPr>
        <w:t>.</w:t>
      </w:r>
      <w:r w:rsidRPr="008C513A">
        <w:rPr>
          <w:rFonts w:cs="Arial"/>
          <w:rtl/>
        </w:rPr>
        <w:t xml:space="preserve"> דכיון שלא נתחייבה לו האשה</w:t>
      </w:r>
      <w:r>
        <w:rPr>
          <w:rFonts w:cs="Arial" w:hint="cs"/>
          <w:rtl/>
        </w:rPr>
        <w:t>,</w:t>
      </w:r>
      <w:r w:rsidRPr="008C513A">
        <w:rPr>
          <w:rFonts w:cs="Arial"/>
          <w:rtl/>
        </w:rPr>
        <w:t xml:space="preserve"> החיוב שנתחייב לו ראובן אינו כלום</w:t>
      </w:r>
      <w:r>
        <w:rPr>
          <w:rFonts w:cs="Arial" w:hint="cs"/>
          <w:rtl/>
        </w:rPr>
        <w:t>,</w:t>
      </w:r>
      <w:r w:rsidRPr="008C513A">
        <w:rPr>
          <w:rFonts w:cs="Arial"/>
          <w:rtl/>
        </w:rPr>
        <w:t xml:space="preserve"> שאינו יכול לשעבד נכסי מלוג של אשתו לאחרים</w:t>
      </w:r>
      <w:r>
        <w:rPr>
          <w:rFonts w:cs="Arial" w:hint="cs"/>
          <w:rtl/>
        </w:rPr>
        <w:t>.</w:t>
      </w:r>
      <w:r w:rsidRPr="008C513A">
        <w:rPr>
          <w:rFonts w:cs="Arial"/>
          <w:rtl/>
        </w:rPr>
        <w:t xml:space="preserve"> אבל לוי שנתחייבה לו גם האשה </w:t>
      </w:r>
      <w:r>
        <w:rPr>
          <w:rFonts w:cs="Arial" w:hint="cs"/>
          <w:rtl/>
        </w:rPr>
        <w:t xml:space="preserve">- </w:t>
      </w:r>
      <w:r w:rsidRPr="008C513A">
        <w:rPr>
          <w:rFonts w:cs="Arial"/>
          <w:rtl/>
        </w:rPr>
        <w:t>גובה אף על פי שה</w:t>
      </w:r>
      <w:r>
        <w:rPr>
          <w:rFonts w:cs="Arial" w:hint="cs"/>
          <w:rtl/>
        </w:rPr>
        <w:t>ו</w:t>
      </w:r>
      <w:r w:rsidRPr="008C513A">
        <w:rPr>
          <w:rFonts w:cs="Arial"/>
          <w:rtl/>
        </w:rPr>
        <w:t>א מאוחר</w:t>
      </w:r>
      <w:r>
        <w:rPr>
          <w:rFonts w:cs="Arial" w:hint="cs"/>
          <w:rtl/>
        </w:rPr>
        <w:t>,</w:t>
      </w:r>
      <w:r w:rsidRPr="008C513A">
        <w:rPr>
          <w:rFonts w:cs="Arial"/>
          <w:rtl/>
        </w:rPr>
        <w:t xml:space="preserve"> כיון שהיא נתחייבה לו לא פקע שיעבודו אף על פי שמתה בחיי הבעל</w:t>
      </w:r>
      <w:r>
        <w:rPr>
          <w:rFonts w:cs="Arial" w:hint="cs"/>
          <w:rtl/>
        </w:rPr>
        <w:t>,</w:t>
      </w:r>
      <w:r w:rsidRPr="008C513A">
        <w:rPr>
          <w:rFonts w:cs="Arial"/>
          <w:rtl/>
        </w:rPr>
        <w:t xml:space="preserve"> אף על פי שהבעל שיעבד לשמעון המוקדם כל מה שעתיד לקנות</w:t>
      </w:r>
      <w:r>
        <w:rPr>
          <w:rFonts w:cs="Arial" w:hint="cs"/>
          <w:rtl/>
        </w:rPr>
        <w:t>,</w:t>
      </w:r>
      <w:r w:rsidRPr="008C513A">
        <w:rPr>
          <w:rFonts w:cs="Arial"/>
          <w:rtl/>
        </w:rPr>
        <w:t xml:space="preserve"> והיה עתיד לקנות הקרקע של אשתו</w:t>
      </w:r>
      <w:r>
        <w:rPr>
          <w:rFonts w:cs="Arial" w:hint="cs"/>
          <w:rtl/>
        </w:rPr>
        <w:t>,</w:t>
      </w:r>
      <w:r w:rsidRPr="008C513A">
        <w:rPr>
          <w:rFonts w:cs="Arial"/>
          <w:rtl/>
        </w:rPr>
        <w:t xml:space="preserve"> מ"מ הרי סילק עצמו ועשה דבר שגרם שלא בא לכלל ירושה</w:t>
      </w:r>
      <w:r>
        <w:rPr>
          <w:rFonts w:cs="Arial" w:hint="cs"/>
          <w:rtl/>
        </w:rPr>
        <w:t>.</w:t>
      </w:r>
      <w:r w:rsidRPr="008C513A">
        <w:rPr>
          <w:rFonts w:cs="Arial"/>
          <w:rtl/>
        </w:rPr>
        <w:t xml:space="preserve"> ושיעבוד דאקני לא חל אלא לאחר שיבואו הנכסים לידו</w:t>
      </w:r>
      <w:r>
        <w:rPr>
          <w:rFonts w:cs="Arial" w:hint="cs"/>
          <w:sz w:val="16"/>
          <w:szCs w:val="16"/>
          <w:rtl/>
        </w:rPr>
        <w:t xml:space="preserve"> (ל' הטור בשם הרא"ש)</w:t>
      </w:r>
      <w:r>
        <w:rPr>
          <w:rFonts w:cs="Arial" w:hint="cs"/>
          <w:rtl/>
        </w:rPr>
        <w:t>.</w:t>
      </w:r>
      <w:r w:rsidRPr="008C513A">
        <w:rPr>
          <w:rFonts w:cs="Arial"/>
          <w:rtl/>
        </w:rPr>
        <w:t xml:space="preserve"> </w:t>
      </w:r>
      <w:r w:rsidRPr="002472AF">
        <w:rPr>
          <w:rFonts w:cs="Arial" w:hint="cs"/>
          <w:color w:val="E36C0A" w:themeColor="accent6" w:themeShade="BF"/>
          <w:rtl/>
        </w:rPr>
        <w:t>(וכ"פ בשו"ע)</w:t>
      </w:r>
    </w:p>
    <w:p w14:paraId="404E6F85"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1C192712" w14:textId="77777777" w:rsidR="002E5BAD" w:rsidRDefault="002E5BAD" w:rsidP="002E5BAD">
      <w:pPr>
        <w:rPr>
          <w:rFonts w:cs="Arial"/>
          <w:rtl/>
        </w:rPr>
      </w:pPr>
      <w:r w:rsidRPr="00EB79BF">
        <w:rPr>
          <w:rFonts w:cs="Arial"/>
          <w:rtl/>
        </w:rPr>
        <w:t>ראובן שהיה לאשתו קרקע נכסי מלוג, ונתחייב לשמעון בשטר, ואחר כך נתחייבו הוא ואשתו בשטר ללוי, ומתה בחיי בעלה, לוי קודם לגבות מאותו קרקע של נכסי מלוג.</w:t>
      </w:r>
    </w:p>
    <w:p w14:paraId="0BFCAAA5" w14:textId="77777777" w:rsidR="002E5BAD" w:rsidRDefault="002E5BAD" w:rsidP="002E5BAD">
      <w:pPr>
        <w:rPr>
          <w:rFonts w:cs="Arial"/>
          <w:rtl/>
        </w:rPr>
      </w:pPr>
    </w:p>
    <w:p w14:paraId="772B2BE4" w14:textId="77777777" w:rsidR="002E5BAD" w:rsidRPr="007A3469" w:rsidRDefault="002E5BAD" w:rsidP="002E5BAD">
      <w:pPr>
        <w:rPr>
          <w:rtl/>
        </w:rPr>
        <w:sectPr w:rsidR="002E5BAD" w:rsidRPr="007A3469" w:rsidSect="00A347B3">
          <w:headerReference w:type="default" r:id="rId46"/>
          <w:footnotePr>
            <w:numRestart w:val="eachPage"/>
          </w:footnotePr>
          <w:pgSz w:w="11906" w:h="16838"/>
          <w:pgMar w:top="720" w:right="1134" w:bottom="720" w:left="1134" w:header="0" w:footer="0" w:gutter="0"/>
          <w:cols w:space="720"/>
          <w:bidi/>
          <w:rtlGutter/>
          <w:docGrid w:linePitch="360"/>
        </w:sectPr>
      </w:pPr>
    </w:p>
    <w:p w14:paraId="4E3FD39F" w14:textId="77777777" w:rsidR="002E5BAD" w:rsidRDefault="002E5BAD" w:rsidP="002E5BAD">
      <w:pPr>
        <w:pStyle w:val="1"/>
        <w:rPr>
          <w:rtl/>
        </w:rPr>
      </w:pPr>
      <w:r>
        <w:rPr>
          <w:rFonts w:hint="cs"/>
          <w:rtl/>
        </w:rPr>
        <w:lastRenderedPageBreak/>
        <w:t>סימן צא:</w:t>
      </w:r>
      <w:r w:rsidRPr="00C12B74">
        <w:rPr>
          <w:rtl/>
        </w:rPr>
        <w:t xml:space="preserve"> </w:t>
      </w:r>
      <w:r>
        <w:rPr>
          <w:rFonts w:cs="Arial"/>
          <w:rtl/>
        </w:rPr>
        <w:t xml:space="preserve">אשה שהכניסה מלוה לבעלה ומחלה, ובו ה' סעיפים. </w:t>
      </w:r>
    </w:p>
    <w:p w14:paraId="01A6561A" w14:textId="77777777" w:rsidR="002E5BAD" w:rsidRDefault="002E5BAD" w:rsidP="002E5BAD">
      <w:pPr>
        <w:pStyle w:val="2"/>
        <w:rPr>
          <w:rtl/>
        </w:rPr>
      </w:pPr>
      <w:r>
        <w:rPr>
          <w:rtl/>
        </w:rPr>
        <w:t>סעיף א</w:t>
      </w:r>
      <w:r>
        <w:rPr>
          <w:rFonts w:hint="cs"/>
          <w:rtl/>
        </w:rPr>
        <w:t>:</w:t>
      </w:r>
      <w:r w:rsidRPr="00A80222">
        <w:rPr>
          <w:rFonts w:cs="Arial"/>
          <w:rtl/>
        </w:rPr>
        <w:t xml:space="preserve"> </w:t>
      </w:r>
      <w:r w:rsidRPr="00F31ACB">
        <w:rPr>
          <w:rFonts w:cs="Arial"/>
          <w:rtl/>
        </w:rPr>
        <w:t>אשה שהכניסה שטר חוב לבעלה</w:t>
      </w:r>
      <w:r>
        <w:rPr>
          <w:rFonts w:cs="Arial" w:hint="cs"/>
          <w:rtl/>
        </w:rPr>
        <w:t>,</w:t>
      </w:r>
      <w:r w:rsidRPr="00F31ACB">
        <w:rPr>
          <w:rFonts w:cs="Arial"/>
          <w:rtl/>
        </w:rPr>
        <w:t xml:space="preserve"> ומחלה אותו</w:t>
      </w:r>
      <w:r>
        <w:rPr>
          <w:rFonts w:hint="cs"/>
          <w:rtl/>
        </w:rPr>
        <w:t>.</w:t>
      </w:r>
    </w:p>
    <w:p w14:paraId="6541E707" w14:textId="77777777" w:rsidR="002E5BAD" w:rsidRDefault="002E5BAD" w:rsidP="002E5BAD">
      <w:pPr>
        <w:rPr>
          <w:rFonts w:cs="Arial"/>
          <w:rtl/>
        </w:rPr>
      </w:pPr>
      <w:r w:rsidRPr="00642A08">
        <w:rPr>
          <w:rFonts w:cs="Arial" w:hint="cs"/>
          <w:b/>
          <w:bCs/>
          <w:rtl/>
        </w:rPr>
        <w:t xml:space="preserve">כתובות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הכותב</w:t>
      </w:r>
      <w:r w:rsidRPr="00642A08">
        <w:rPr>
          <w:rFonts w:cs="Arial" w:hint="cs"/>
          <w:b/>
          <w:bCs/>
          <w:sz w:val="16"/>
          <w:szCs w:val="16"/>
          <w:rtl/>
        </w:rPr>
        <w:t>)</w:t>
      </w:r>
      <w:r w:rsidRPr="00642A08">
        <w:rPr>
          <w:rFonts w:cs="Arial"/>
          <w:b/>
          <w:bCs/>
          <w:rtl/>
        </w:rPr>
        <w:t xml:space="preserve"> פה</w:t>
      </w:r>
      <w:r w:rsidRPr="00642A08">
        <w:rPr>
          <w:rFonts w:cs="Arial" w:hint="cs"/>
          <w:b/>
          <w:bCs/>
          <w:rtl/>
        </w:rPr>
        <w:t xml:space="preserve"> ע"ב</w:t>
      </w:r>
      <w:r w:rsidRPr="00642A08">
        <w:rPr>
          <w:rFonts w:cs="Arial"/>
          <w:b/>
          <w:bCs/>
          <w:rtl/>
        </w:rPr>
        <w:t>:</w:t>
      </w:r>
      <w:r w:rsidRPr="005D1457">
        <w:rPr>
          <w:rFonts w:cs="Arial"/>
          <w:rtl/>
        </w:rPr>
        <w:t xml:space="preserve"> </w:t>
      </w:r>
      <w:r w:rsidRPr="00A80222">
        <w:rPr>
          <w:rFonts w:cs="Arial"/>
          <w:u w:val="single"/>
          <w:rtl/>
        </w:rPr>
        <w:t>א"ל רבא לבריה דרב חייא בר אבין</w:t>
      </w:r>
      <w:r w:rsidRPr="00A80222">
        <w:rPr>
          <w:rFonts w:cs="Arial"/>
          <w:rtl/>
        </w:rPr>
        <w:t>: תא אימא לך מילתא מעליותא דהוה אמר אבוך, הא דאמר שמואל: המוכר שטר חוב לחבירו וחזר ומחלו - מחול, ואפילו יורש מוחל, מודה שמואל, במכנסת שטר חוב לבעלה וחזרה ומחלתו - שאינו מחול, מפני שידו כידה.</w:t>
      </w:r>
    </w:p>
    <w:p w14:paraId="2C48F19B" w14:textId="77777777" w:rsidR="002E5BAD" w:rsidRPr="00A80222" w:rsidRDefault="002E5BAD" w:rsidP="002E5BAD">
      <w:pPr>
        <w:rPr>
          <w:u w:val="single"/>
          <w:rtl/>
        </w:rPr>
      </w:pPr>
      <w:r w:rsidRPr="00A80222">
        <w:rPr>
          <w:rFonts w:cs="Arial"/>
          <w:u w:val="single"/>
          <w:rtl/>
        </w:rPr>
        <w:t>אשה שהכניסה שטר חוב לבעלה</w:t>
      </w:r>
      <w:r w:rsidRPr="00A80222">
        <w:rPr>
          <w:rFonts w:cs="Arial" w:hint="cs"/>
          <w:u w:val="single"/>
          <w:rtl/>
        </w:rPr>
        <w:t>,</w:t>
      </w:r>
      <w:r w:rsidRPr="00A80222">
        <w:rPr>
          <w:rFonts w:cs="Arial"/>
          <w:u w:val="single"/>
          <w:rtl/>
        </w:rPr>
        <w:t xml:space="preserve"> ומחלה אותו</w:t>
      </w:r>
      <w:r w:rsidRPr="00A80222">
        <w:rPr>
          <w:rFonts w:hint="cs"/>
          <w:u w:val="single"/>
          <w:rtl/>
        </w:rPr>
        <w:t xml:space="preserve"> </w:t>
      </w:r>
      <w:r w:rsidRPr="00A80222">
        <w:rPr>
          <w:u w:val="single"/>
          <w:rtl/>
        </w:rPr>
        <w:t>–</w:t>
      </w:r>
      <w:r w:rsidRPr="00A80222">
        <w:rPr>
          <w:rFonts w:hint="cs"/>
          <w:u w:val="single"/>
          <w:rtl/>
        </w:rPr>
        <w:t xml:space="preserve"> האם החוב מחול:</w:t>
      </w:r>
    </w:p>
    <w:p w14:paraId="05698222" w14:textId="77777777" w:rsidR="002E5BAD" w:rsidRDefault="002E5BAD" w:rsidP="002E5BAD">
      <w:pPr>
        <w:pStyle w:val="ab"/>
        <w:numPr>
          <w:ilvl w:val="0"/>
          <w:numId w:val="186"/>
        </w:numPr>
      </w:pPr>
      <w:r w:rsidRPr="00F31ACB">
        <w:rPr>
          <w:rFonts w:cs="Arial" w:hint="cs"/>
          <w:rtl/>
        </w:rPr>
        <w:t xml:space="preserve">טור- </w:t>
      </w:r>
      <w:r w:rsidRPr="00F31ACB">
        <w:rPr>
          <w:rFonts w:cs="Arial"/>
          <w:rtl/>
        </w:rPr>
        <w:t>אשה שהכניסה שטר חוב לבעלה</w:t>
      </w:r>
      <w:r>
        <w:rPr>
          <w:rFonts w:cs="Arial" w:hint="cs"/>
          <w:rtl/>
        </w:rPr>
        <w:t>,</w:t>
      </w:r>
      <w:r w:rsidRPr="00F31ACB">
        <w:rPr>
          <w:rFonts w:cs="Arial"/>
          <w:rtl/>
        </w:rPr>
        <w:t xml:space="preserve"> ומחלה אותו </w:t>
      </w:r>
      <w:r>
        <w:rPr>
          <w:rFonts w:cs="Arial" w:hint="cs"/>
          <w:rtl/>
        </w:rPr>
        <w:t xml:space="preserve">- </w:t>
      </w:r>
      <w:r w:rsidRPr="00F31ACB">
        <w:rPr>
          <w:rFonts w:cs="Arial"/>
          <w:rtl/>
        </w:rPr>
        <w:t>אינו מחול</w:t>
      </w:r>
      <w:r>
        <w:rPr>
          <w:rFonts w:cs="Arial" w:hint="cs"/>
          <w:rtl/>
        </w:rPr>
        <w:t>.</w:t>
      </w:r>
      <w:r w:rsidRPr="00F31ACB">
        <w:rPr>
          <w:rFonts w:cs="Arial"/>
          <w:rtl/>
        </w:rPr>
        <w:t xml:space="preserve"> אף על פי שהמוכר ש"ח לחבירו</w:t>
      </w:r>
      <w:r>
        <w:rPr>
          <w:rFonts w:cs="Arial" w:hint="cs"/>
          <w:rtl/>
        </w:rPr>
        <w:t>,</w:t>
      </w:r>
      <w:r w:rsidRPr="00F31ACB">
        <w:rPr>
          <w:rFonts w:cs="Arial"/>
          <w:rtl/>
        </w:rPr>
        <w:t xml:space="preserve"> ומחלו</w:t>
      </w:r>
      <w:r>
        <w:rPr>
          <w:rFonts w:cs="Arial" w:hint="cs"/>
          <w:rtl/>
        </w:rPr>
        <w:t>,</w:t>
      </w:r>
      <w:r w:rsidRPr="00F31ACB">
        <w:rPr>
          <w:rFonts w:cs="Arial"/>
          <w:rtl/>
        </w:rPr>
        <w:t xml:space="preserve"> מחול</w:t>
      </w:r>
      <w:r>
        <w:rPr>
          <w:rFonts w:cs="Arial" w:hint="cs"/>
          <w:rtl/>
        </w:rPr>
        <w:t>,</w:t>
      </w:r>
      <w:r w:rsidRPr="00F31ACB">
        <w:rPr>
          <w:rFonts w:cs="Arial"/>
          <w:rtl/>
        </w:rPr>
        <w:t xml:space="preserve"> והוא כמו לוקח בנכסיה</w:t>
      </w:r>
      <w:r>
        <w:rPr>
          <w:rFonts w:cs="Arial" w:hint="cs"/>
          <w:rtl/>
        </w:rPr>
        <w:t>,</w:t>
      </w:r>
      <w:r w:rsidRPr="00F31ACB">
        <w:rPr>
          <w:rFonts w:cs="Arial"/>
          <w:rtl/>
        </w:rPr>
        <w:t xml:space="preserve"> אפ"ה אינו מחול</w:t>
      </w:r>
      <w:r>
        <w:rPr>
          <w:rFonts w:cs="Arial" w:hint="cs"/>
          <w:rtl/>
        </w:rPr>
        <w:t>,</w:t>
      </w:r>
      <w:r w:rsidRPr="00F31ACB">
        <w:rPr>
          <w:rFonts w:cs="Arial"/>
          <w:rtl/>
        </w:rPr>
        <w:t xml:space="preserve"> מפני שידו כידה</w:t>
      </w:r>
      <w:r>
        <w:rPr>
          <w:rFonts w:cs="Arial" w:hint="cs"/>
          <w:rtl/>
        </w:rPr>
        <w:t>.</w:t>
      </w:r>
      <w:r w:rsidRPr="00225137">
        <w:rPr>
          <w:rFonts w:cs="Arial"/>
          <w:color w:val="E36C0A" w:themeColor="accent6" w:themeShade="BF"/>
          <w:rtl/>
        </w:rPr>
        <w:t xml:space="preserve"> </w:t>
      </w:r>
      <w:r w:rsidRPr="00225137">
        <w:rPr>
          <w:rFonts w:hint="cs"/>
          <w:color w:val="E36C0A" w:themeColor="accent6" w:themeShade="BF"/>
          <w:rtl/>
        </w:rPr>
        <w:t>(וכ"פ בשו"ע)</w:t>
      </w:r>
    </w:p>
    <w:p w14:paraId="3BB1F605" w14:textId="77777777" w:rsidR="002E5BAD" w:rsidRPr="00225137" w:rsidRDefault="002E5BAD" w:rsidP="002E5BAD">
      <w:pPr>
        <w:ind w:left="360"/>
        <w:rPr>
          <w:u w:val="dotted"/>
        </w:rPr>
      </w:pPr>
      <w:r w:rsidRPr="00225137">
        <w:rPr>
          <w:rFonts w:hint="cs"/>
          <w:u w:val="dotted"/>
          <w:rtl/>
        </w:rPr>
        <w:t>ומה הדין אם הכניסה לו מלוה על פה:</w:t>
      </w:r>
    </w:p>
    <w:p w14:paraId="3537E2FA" w14:textId="77777777" w:rsidR="002E5BAD" w:rsidRPr="00642A08" w:rsidRDefault="002E5BAD" w:rsidP="002E5BAD">
      <w:pPr>
        <w:pStyle w:val="ab"/>
        <w:numPr>
          <w:ilvl w:val="0"/>
          <w:numId w:val="186"/>
        </w:numPr>
      </w:pPr>
      <w:r>
        <w:rPr>
          <w:rFonts w:cs="Arial" w:hint="cs"/>
          <w:rtl/>
        </w:rPr>
        <w:t xml:space="preserve">רי"ו </w:t>
      </w:r>
      <w:r w:rsidRPr="00A80222">
        <w:rPr>
          <w:rFonts w:cs="Arial" w:hint="cs"/>
          <w:sz w:val="16"/>
          <w:szCs w:val="16"/>
          <w:rtl/>
        </w:rPr>
        <w:t>(</w:t>
      </w:r>
      <w:r w:rsidRPr="00A80222">
        <w:rPr>
          <w:rFonts w:cs="Arial"/>
          <w:sz w:val="16"/>
          <w:szCs w:val="16"/>
          <w:rtl/>
        </w:rPr>
        <w:t>מישרים נכ"ג ח"ד נז ע"ב)</w:t>
      </w:r>
      <w:r>
        <w:rPr>
          <w:rFonts w:cs="Arial" w:hint="cs"/>
          <w:rtl/>
        </w:rPr>
        <w:t>-</w:t>
      </w:r>
      <w:r w:rsidRPr="00642A08">
        <w:rPr>
          <w:rFonts w:cs="Arial"/>
          <w:rtl/>
        </w:rPr>
        <w:t xml:space="preserve"> וה"ה אם היה לה מלוה על פה ונישאת שאינה יכולה למחול</w:t>
      </w:r>
      <w:r>
        <w:rPr>
          <w:rStyle w:val="a7"/>
          <w:rFonts w:cs="Arial"/>
          <w:rtl/>
        </w:rPr>
        <w:footnoteReference w:id="2145"/>
      </w:r>
      <w:r w:rsidRPr="00642A08">
        <w:rPr>
          <w:rFonts w:cs="Arial"/>
          <w:rtl/>
        </w:rPr>
        <w:t>.</w:t>
      </w:r>
      <w:r>
        <w:rPr>
          <w:rFonts w:hint="cs"/>
          <w:rtl/>
        </w:rPr>
        <w:t xml:space="preserve"> </w:t>
      </w:r>
      <w:r w:rsidRPr="00225137">
        <w:rPr>
          <w:rFonts w:hint="cs"/>
          <w:color w:val="00B0F0"/>
          <w:rtl/>
        </w:rPr>
        <w:t>(וכ"פ הרמ"א)</w:t>
      </w:r>
    </w:p>
    <w:p w14:paraId="3C0B5D66" w14:textId="77777777" w:rsidR="002E5BAD" w:rsidRPr="00593557" w:rsidRDefault="002E5BAD" w:rsidP="002E5BAD">
      <w:pPr>
        <w:rPr>
          <w:u w:val="single"/>
        </w:rPr>
      </w:pPr>
      <w:r w:rsidRPr="00593557">
        <w:rPr>
          <w:rFonts w:cs="Arial"/>
          <w:u w:val="single"/>
          <w:rtl/>
        </w:rPr>
        <w:t>אשה שמכרה</w:t>
      </w:r>
      <w:r w:rsidRPr="00593557">
        <w:rPr>
          <w:rFonts w:cs="Arial" w:hint="cs"/>
          <w:u w:val="single"/>
          <w:rtl/>
        </w:rPr>
        <w:t>/</w:t>
      </w:r>
      <w:r w:rsidRPr="00593557">
        <w:rPr>
          <w:rFonts w:cs="Arial"/>
          <w:u w:val="single"/>
          <w:rtl/>
        </w:rPr>
        <w:t>נתנה לאחר שטר מתנה שעשה לה בעלה, וחזרה ומחלה לבעלה</w:t>
      </w:r>
      <w:r w:rsidRPr="00593557">
        <w:rPr>
          <w:rFonts w:cs="Arial" w:hint="cs"/>
          <w:u w:val="single"/>
          <w:rtl/>
        </w:rPr>
        <w:t>:</w:t>
      </w:r>
    </w:p>
    <w:p w14:paraId="1B0ADDF6" w14:textId="77777777" w:rsidR="002E5BAD" w:rsidRPr="005D1457" w:rsidRDefault="002E5BAD" w:rsidP="002E5BAD">
      <w:pPr>
        <w:pStyle w:val="ab"/>
        <w:numPr>
          <w:ilvl w:val="0"/>
          <w:numId w:val="186"/>
        </w:numPr>
        <w:rPr>
          <w:rtl/>
        </w:rPr>
      </w:pPr>
      <w:r>
        <w:rPr>
          <w:rFonts w:cs="Arial" w:hint="cs"/>
          <w:rtl/>
        </w:rPr>
        <w:t xml:space="preserve">רשב"א </w:t>
      </w:r>
      <w:r>
        <w:rPr>
          <w:rFonts w:cs="Arial" w:hint="cs"/>
          <w:sz w:val="16"/>
          <w:szCs w:val="16"/>
          <w:rtl/>
        </w:rPr>
        <w:t>(החדשות מכת"י סי' ר)</w:t>
      </w:r>
      <w:r>
        <w:rPr>
          <w:rFonts w:cs="Arial" w:hint="cs"/>
          <w:rtl/>
        </w:rPr>
        <w:t xml:space="preserve">- </w:t>
      </w:r>
      <w:r>
        <w:rPr>
          <w:rFonts w:cs="Arial"/>
          <w:rtl/>
        </w:rPr>
        <w:t xml:space="preserve">עוד שאלת, האשה שמכרה או שנתנה לאחר שטר מתנה לחוד שעשה לה בעלה, וחזרה ומחלה לבעלה. מי אמרינן בהא יכולה האשה שתאמר נחת רוח עשיתי לבעלי, או לא. ואם תמצא לומר שאינה יכולה, אם כתוב בשטר מתנתה </w:t>
      </w:r>
      <w:r>
        <w:rPr>
          <w:rFonts w:cs="Arial" w:hint="cs"/>
          <w:rtl/>
        </w:rPr>
        <w:t>'</w:t>
      </w:r>
      <w:r>
        <w:rPr>
          <w:rFonts w:cs="Arial"/>
          <w:rtl/>
        </w:rPr>
        <w:t>לך ולבאים מכחך</w:t>
      </w:r>
      <w:r>
        <w:rPr>
          <w:rFonts w:cs="Arial" w:hint="cs"/>
          <w:rtl/>
        </w:rPr>
        <w:t>'</w:t>
      </w:r>
      <w:r>
        <w:rPr>
          <w:rFonts w:cs="Arial"/>
          <w:rtl/>
        </w:rPr>
        <w:t xml:space="preserve">, מחילתה מחילה או לא. וכדעת הראב"ד ז"ל. </w:t>
      </w:r>
      <w:r>
        <w:rPr>
          <w:rFonts w:cs="Arial" w:hint="cs"/>
          <w:rtl/>
        </w:rPr>
        <w:t xml:space="preserve">    </w:t>
      </w:r>
      <w:r w:rsidRPr="00642A08">
        <w:rPr>
          <w:rFonts w:cs="Arial"/>
          <w:rtl/>
        </w:rPr>
        <w:t>תשובה</w:t>
      </w:r>
      <w:r>
        <w:rPr>
          <w:rFonts w:cs="Arial" w:hint="cs"/>
          <w:rtl/>
        </w:rPr>
        <w:t>-</w:t>
      </w:r>
      <w:r w:rsidRPr="00642A08">
        <w:rPr>
          <w:rFonts w:cs="Arial"/>
          <w:rtl/>
        </w:rPr>
        <w:t xml:space="preserve"> תחלת כל דבר יש לך לדעת, שהאשה שמכרה או מחלה שטר מתנתה לבעלה, לא עשתה ולא כלום, דיכולה היא שתאמר נחת רוח עשיתי לבעלי. דבכולהו מילי יכולה לומר כן חוץ מנכסי מלוג בלבד, כדאיתא בפרק חזקת הבתים </w:t>
      </w:r>
      <w:r>
        <w:rPr>
          <w:rFonts w:cs="Arial" w:hint="cs"/>
          <w:rtl/>
        </w:rPr>
        <w:t xml:space="preserve">(ב"ב מב.) </w:t>
      </w:r>
      <w:r w:rsidRPr="00642A08">
        <w:rPr>
          <w:rFonts w:cs="Arial"/>
          <w:rtl/>
        </w:rPr>
        <w:t>גמ' אין לאיש חזקה בנכסי אשתו</w:t>
      </w:r>
      <w:r>
        <w:rPr>
          <w:rFonts w:cs="Arial" w:hint="cs"/>
          <w:rtl/>
        </w:rPr>
        <w:t>.</w:t>
      </w:r>
      <w:r w:rsidRPr="00642A08">
        <w:rPr>
          <w:rFonts w:cs="Arial"/>
          <w:rtl/>
        </w:rPr>
        <w:t xml:space="preserve"> ואי נמי בשקבלה אחריות, כדאיתא בפרק הנזקין (גיטין נח</w:t>
      </w:r>
      <w:r>
        <w:rPr>
          <w:rFonts w:cs="Arial" w:hint="cs"/>
          <w:rtl/>
        </w:rPr>
        <w:t>.</w:t>
      </w:r>
      <w:r w:rsidRPr="00642A08">
        <w:rPr>
          <w:rFonts w:cs="Arial"/>
          <w:rtl/>
        </w:rPr>
        <w:t>) גבי סקריקון</w:t>
      </w:r>
      <w:r>
        <w:rPr>
          <w:rFonts w:cs="Arial" w:hint="cs"/>
          <w:rtl/>
        </w:rPr>
        <w:t>.</w:t>
      </w:r>
      <w:r w:rsidRPr="00642A08">
        <w:rPr>
          <w:rFonts w:cs="Arial"/>
          <w:rtl/>
        </w:rPr>
        <w:t xml:space="preserve"> ואי נמי בעיקר כתובה, לפי שכל הנשים יש להן כתובה, ואם תמנע מליתן ומלמחול לבעל אין לה איבה דהוה ליה כנכסי מלוג. וזהו היא שאמרו בפרק נערה שנתפתתה (כתובות נג.) המוכרת כתובתה לבעלה כמוכרת לאחרים, כלומר ואין לה כתובת בנין דכרין, וכן במוחלת כתובתה לבעלה. ואפשר נמי דהיינו דאמרינן בבבא קמא (</w:t>
      </w:r>
      <w:r>
        <w:rPr>
          <w:rFonts w:cs="Arial" w:hint="cs"/>
          <w:rtl/>
        </w:rPr>
        <w:t xml:space="preserve">פרק החובל </w:t>
      </w:r>
      <w:r w:rsidRPr="00642A08">
        <w:rPr>
          <w:rFonts w:cs="Arial"/>
          <w:rtl/>
        </w:rPr>
        <w:t>ב"ק פט.) גבי האשה שחבלה באחרים פגיעתה רעה ותזבון כתובתה להאי דחבלה ביה, ואמרינן כל לגבי בעל ודאי מחלה ואטרוחי בי דינא בכדי לא מטרחינן. ואפשר דהיינו דוקא בעיקר כתובתה וכמו שאמרנו, אבל בשטר מתנה שעשה לה הבעל, ואי נמי בחוב אחר שיש לה עליו, יכולה היא שתאמר נחת רוח עשיתי לבעלי. ואפשר שאף בנדונייתה כן, ולא אמרינן דאינה יכולה לומר נחת רוח עשיתי לבעלי בנדוניית כתובתה, אלא בעיקר הכתובה כמו שאמרנו. ואלא מיהו מסתברא ודאי דכל שמכרה או נתנה לאחרים איזה חוב שיש לה על הבעל וחזרה ומחלה לבעלה</w:t>
      </w:r>
      <w:r>
        <w:rPr>
          <w:rFonts w:cs="Arial" w:hint="cs"/>
          <w:rtl/>
        </w:rPr>
        <w:t xml:space="preserve"> -</w:t>
      </w:r>
      <w:r w:rsidRPr="00642A08">
        <w:rPr>
          <w:rFonts w:cs="Arial"/>
          <w:rtl/>
        </w:rPr>
        <w:t xml:space="preserve"> מחילתה מחילה ולא אמרינן בכי הא נחת רוח עשתה לבעלה, דאנן סהדי דטפי רחמה ליה לבעל מאותם שמכרה להם ומדעת מחלה לו. והיינו ההיא דאשה שחבלה באחרים, דאמרינן כל לגבי בעל ודאי מחלה. ובין בעיקר כתובה בין בתוספת בין בנדוניא אומרים כן. אבל אם כתב לה לך ולבאים מכחך, דעתי נוטה למה שכתב הראב"ד ז"ל. ויש לי בזה ראיות ראויות לסמוך עליהן לפי דעתי.</w:t>
      </w:r>
    </w:p>
    <w:p w14:paraId="0AF1D9E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7B41E502" w14:textId="77777777" w:rsidR="002E5BAD" w:rsidRDefault="002E5BAD" w:rsidP="002E5BAD">
      <w:pPr>
        <w:rPr>
          <w:rtl/>
        </w:rPr>
      </w:pPr>
      <w:r>
        <w:rPr>
          <w:rFonts w:cs="Arial"/>
          <w:rtl/>
        </w:rPr>
        <w:t>אשה שהכניסה</w:t>
      </w:r>
      <w:r>
        <w:rPr>
          <w:rStyle w:val="a7"/>
          <w:rFonts w:cs="Arial"/>
          <w:rtl/>
        </w:rPr>
        <w:footnoteReference w:id="2146"/>
      </w:r>
      <w:r>
        <w:rPr>
          <w:rFonts w:cs="Arial"/>
          <w:rtl/>
        </w:rPr>
        <w:t xml:space="preserve"> שטר חוב לבעלה וחזרה ומחלתו, אינו מחול, מפני שידו כידה. </w:t>
      </w:r>
      <w:r w:rsidRPr="00DA1E36">
        <w:rPr>
          <w:rFonts w:cs="Arial"/>
          <w:sz w:val="18"/>
          <w:szCs w:val="18"/>
          <w:rtl/>
        </w:rPr>
        <w:t>הגה: ולכן אינה נאמנת ג"כ לומר: פרוע הוא</w:t>
      </w:r>
      <w:r>
        <w:rPr>
          <w:rStyle w:val="a7"/>
          <w:rFonts w:cs="Arial"/>
          <w:rtl/>
        </w:rPr>
        <w:footnoteReference w:id="2147"/>
      </w:r>
      <w:r w:rsidRPr="00DA1E36">
        <w:rPr>
          <w:rFonts w:cs="Arial"/>
          <w:sz w:val="18"/>
          <w:szCs w:val="18"/>
          <w:rtl/>
        </w:rPr>
        <w:t xml:space="preserve"> (נ</w:t>
      </w:r>
      <w:r>
        <w:rPr>
          <w:rFonts w:cs="Arial" w:hint="cs"/>
          <w:sz w:val="18"/>
          <w:szCs w:val="18"/>
          <w:rtl/>
        </w:rPr>
        <w:t>מוק</w:t>
      </w:r>
      <w:r w:rsidRPr="00DA1E36">
        <w:rPr>
          <w:rFonts w:cs="Arial"/>
          <w:sz w:val="18"/>
          <w:szCs w:val="18"/>
          <w:rtl/>
        </w:rPr>
        <w:t>"י פ' הכותב). והוא הדין מלוה על פה אינה יכולה למחול (</w:t>
      </w:r>
      <w:r>
        <w:rPr>
          <w:rFonts w:cs="Arial" w:hint="cs"/>
          <w:sz w:val="18"/>
          <w:szCs w:val="18"/>
          <w:rtl/>
        </w:rPr>
        <w:t>רי"ו</w:t>
      </w:r>
      <w:r w:rsidRPr="00DA1E36">
        <w:rPr>
          <w:rFonts w:cs="Arial"/>
          <w:sz w:val="18"/>
          <w:szCs w:val="18"/>
          <w:rtl/>
        </w:rPr>
        <w:t>).</w:t>
      </w:r>
      <w:r>
        <w:rPr>
          <w:rFonts w:cs="Arial"/>
          <w:rtl/>
        </w:rPr>
        <w:t xml:space="preserve"> </w:t>
      </w:r>
    </w:p>
    <w:p w14:paraId="29FB795C" w14:textId="77777777" w:rsidR="002E5BAD" w:rsidRDefault="002E5BAD" w:rsidP="002E5BAD">
      <w:pPr>
        <w:rPr>
          <w:rtl/>
        </w:rPr>
      </w:pPr>
    </w:p>
    <w:p w14:paraId="2F6B8D2C" w14:textId="77777777" w:rsidR="002E5BAD" w:rsidRDefault="002E5BAD" w:rsidP="002E5BAD">
      <w:pPr>
        <w:pStyle w:val="2"/>
        <w:rPr>
          <w:rtl/>
        </w:rPr>
      </w:pPr>
      <w:r>
        <w:rPr>
          <w:rtl/>
        </w:rPr>
        <w:lastRenderedPageBreak/>
        <w:t>סעיף ב</w:t>
      </w:r>
      <w:r>
        <w:rPr>
          <w:rFonts w:hint="cs"/>
          <w:rtl/>
        </w:rPr>
        <w:t>: האומר</w:t>
      </w:r>
      <w:r w:rsidRPr="00E1594D">
        <w:rPr>
          <w:rFonts w:cs="Arial"/>
          <w:rtl/>
        </w:rPr>
        <w:t xml:space="preserve"> </w:t>
      </w:r>
      <w:r w:rsidRPr="00F31ACB">
        <w:rPr>
          <w:rFonts w:cs="Arial"/>
          <w:rtl/>
        </w:rPr>
        <w:t xml:space="preserve">לאשה </w:t>
      </w:r>
      <w:r>
        <w:rPr>
          <w:rFonts w:cs="Arial" w:hint="cs"/>
          <w:rtl/>
        </w:rPr>
        <w:t>'</w:t>
      </w:r>
      <w:r w:rsidRPr="00F31ACB">
        <w:rPr>
          <w:rFonts w:cs="Arial"/>
          <w:rtl/>
        </w:rPr>
        <w:t>נכסי לך ואחריך לפלוני</w:t>
      </w:r>
      <w:r>
        <w:rPr>
          <w:rFonts w:cs="Arial" w:hint="cs"/>
          <w:rtl/>
        </w:rPr>
        <w:t>'.</w:t>
      </w:r>
    </w:p>
    <w:p w14:paraId="4C13A727" w14:textId="77777777" w:rsidR="002E5BAD" w:rsidRDefault="002E5BAD" w:rsidP="002E5BAD">
      <w:pPr>
        <w:rPr>
          <w:rFonts w:cs="Arial"/>
          <w:rtl/>
        </w:rPr>
      </w:pPr>
      <w:r w:rsidRPr="00642A08">
        <w:rPr>
          <w:rFonts w:cs="Arial" w:hint="cs"/>
          <w:b/>
          <w:bCs/>
          <w:rtl/>
        </w:rPr>
        <w:t xml:space="preserve">כתובות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w:t>
      </w:r>
      <w:r>
        <w:rPr>
          <w:rFonts w:cs="Arial" w:hint="cs"/>
          <w:b/>
          <w:bCs/>
          <w:sz w:val="16"/>
          <w:szCs w:val="16"/>
          <w:rtl/>
        </w:rPr>
        <w:t>מי שהיה נשוי</w:t>
      </w:r>
      <w:r w:rsidRPr="00642A08">
        <w:rPr>
          <w:rFonts w:cs="Arial" w:hint="cs"/>
          <w:b/>
          <w:bCs/>
          <w:sz w:val="16"/>
          <w:szCs w:val="16"/>
          <w:rtl/>
        </w:rPr>
        <w:t>)</w:t>
      </w:r>
      <w:r w:rsidRPr="00642A08">
        <w:rPr>
          <w:rFonts w:cs="Arial"/>
          <w:b/>
          <w:bCs/>
          <w:rtl/>
        </w:rPr>
        <w:t xml:space="preserve"> </w:t>
      </w:r>
      <w:r>
        <w:rPr>
          <w:rFonts w:cs="Arial" w:hint="cs"/>
          <w:b/>
          <w:bCs/>
          <w:rtl/>
        </w:rPr>
        <w:t>צ</w:t>
      </w:r>
      <w:r w:rsidRPr="00642A08">
        <w:rPr>
          <w:rFonts w:cs="Arial"/>
          <w:b/>
          <w:bCs/>
          <w:rtl/>
        </w:rPr>
        <w:t>ה</w:t>
      </w:r>
      <w:r w:rsidRPr="00642A08">
        <w:rPr>
          <w:rFonts w:cs="Arial" w:hint="cs"/>
          <w:b/>
          <w:bCs/>
          <w:rtl/>
        </w:rPr>
        <w:t xml:space="preserve"> ע"ב</w:t>
      </w:r>
      <w:r w:rsidRPr="00642A08">
        <w:rPr>
          <w:rFonts w:cs="Arial"/>
          <w:b/>
          <w:bCs/>
          <w:rtl/>
        </w:rPr>
        <w:t>:</w:t>
      </w:r>
      <w:r>
        <w:rPr>
          <w:rFonts w:cs="Arial" w:hint="cs"/>
          <w:rtl/>
        </w:rPr>
        <w:t xml:space="preserve"> </w:t>
      </w:r>
      <w:r w:rsidRPr="00A54CEC">
        <w:rPr>
          <w:rFonts w:cs="Arial"/>
          <w:u w:val="single"/>
          <w:rtl/>
        </w:rPr>
        <w:t>אמר אביי</w:t>
      </w:r>
      <w:r w:rsidRPr="00A54CEC">
        <w:rPr>
          <w:rFonts w:cs="Arial"/>
          <w:rtl/>
        </w:rPr>
        <w:t>: נכסי ליך</w:t>
      </w:r>
      <w:r>
        <w:rPr>
          <w:rStyle w:val="a7"/>
          <w:rFonts w:cs="Arial"/>
          <w:rtl/>
        </w:rPr>
        <w:footnoteReference w:id="2148"/>
      </w:r>
      <w:r w:rsidRPr="00A54CEC">
        <w:rPr>
          <w:rFonts w:cs="Arial"/>
          <w:rtl/>
        </w:rPr>
        <w:t xml:space="preserve"> ואחריך לפלוני, ועמדה וניסת - בעל לוקח הוי, ואין לאחריך במקום בעל כלום. כמאן? כי האי תנא</w:t>
      </w:r>
      <w:r>
        <w:rPr>
          <w:rStyle w:val="a7"/>
          <w:rFonts w:cs="Arial"/>
          <w:rtl/>
        </w:rPr>
        <w:footnoteReference w:id="2149"/>
      </w:r>
      <w:r>
        <w:rPr>
          <w:rFonts w:cs="Arial" w:hint="cs"/>
          <w:rtl/>
        </w:rPr>
        <w:t>,</w:t>
      </w:r>
      <w:r w:rsidRPr="00A54CEC">
        <w:rPr>
          <w:rFonts w:cs="Arial"/>
          <w:rtl/>
        </w:rPr>
        <w:t xml:space="preserve"> דתניא: נכסי ליך ואחריך לפלוני, ירד הראשון ומכר - השני מוציא מיד הלקוחות, דברי רבי</w:t>
      </w:r>
      <w:r>
        <w:rPr>
          <w:rFonts w:cs="Arial" w:hint="cs"/>
          <w:rtl/>
        </w:rPr>
        <w:t>.</w:t>
      </w:r>
      <w:r w:rsidRPr="00A54CEC">
        <w:rPr>
          <w:rFonts w:cs="Arial"/>
          <w:rtl/>
        </w:rPr>
        <w:t xml:space="preserve"> רשב"ג אומר: אין לשני אלא מה ששייר ראשון. ומי אמר אביי הכי? והאמר אביי: איזהו רשע ערום? זה המשיא עצה למכור בנכסים כרשב"ג! מי קאמר תינשא? נשאת קאמר. </w:t>
      </w:r>
      <w:r w:rsidRPr="00426736">
        <w:rPr>
          <w:rFonts w:cs="Arial"/>
          <w:u w:val="single"/>
          <w:rtl/>
        </w:rPr>
        <w:t>ואמר אביי</w:t>
      </w:r>
      <w:r w:rsidRPr="00A54CEC">
        <w:rPr>
          <w:rFonts w:cs="Arial"/>
          <w:rtl/>
        </w:rPr>
        <w:t>: נכסי ליך</w:t>
      </w:r>
      <w:r>
        <w:rPr>
          <w:rStyle w:val="a7"/>
          <w:rFonts w:cs="Arial"/>
          <w:rtl/>
        </w:rPr>
        <w:footnoteReference w:id="2150"/>
      </w:r>
      <w:r w:rsidRPr="00A54CEC">
        <w:rPr>
          <w:rFonts w:cs="Arial"/>
          <w:rtl/>
        </w:rPr>
        <w:t xml:space="preserve"> ואחריך לפלוני, ומכרה ומתה - הבעל מוציא מיד הלקוחות</w:t>
      </w:r>
      <w:r>
        <w:rPr>
          <w:rStyle w:val="a7"/>
          <w:rFonts w:cs="Arial"/>
          <w:rtl/>
        </w:rPr>
        <w:footnoteReference w:id="2151"/>
      </w:r>
      <w:r w:rsidRPr="00A54CEC">
        <w:rPr>
          <w:rFonts w:cs="Arial"/>
          <w:rtl/>
        </w:rPr>
        <w:t>, ואחריך מיד בעל</w:t>
      </w:r>
      <w:r>
        <w:rPr>
          <w:rStyle w:val="a7"/>
          <w:rFonts w:cs="Arial"/>
          <w:rtl/>
        </w:rPr>
        <w:footnoteReference w:id="2152"/>
      </w:r>
      <w:r w:rsidRPr="00A54CEC">
        <w:rPr>
          <w:rFonts w:cs="Arial"/>
          <w:rtl/>
        </w:rPr>
        <w:t>, ולוקח מיד אחריך</w:t>
      </w:r>
      <w:r>
        <w:rPr>
          <w:rStyle w:val="a7"/>
          <w:rFonts w:cs="Arial"/>
          <w:rtl/>
        </w:rPr>
        <w:footnoteReference w:id="2153"/>
      </w:r>
      <w:r w:rsidRPr="00A54CEC">
        <w:rPr>
          <w:rFonts w:cs="Arial"/>
          <w:rtl/>
        </w:rPr>
        <w:t>, ומוקמינן לכולהו בידא דלוקח</w:t>
      </w:r>
      <w:bookmarkStart w:id="7" w:name="_Hlk66002882"/>
      <w:r>
        <w:rPr>
          <w:rStyle w:val="a7"/>
          <w:rFonts w:cs="Arial"/>
          <w:rtl/>
        </w:rPr>
        <w:footnoteReference w:id="2154"/>
      </w:r>
      <w:bookmarkEnd w:id="7"/>
      <w:r w:rsidRPr="00A54CEC">
        <w:rPr>
          <w:rFonts w:cs="Arial"/>
          <w:rtl/>
        </w:rPr>
        <w:t xml:space="preserve">. מאי שנא מהא דתנן: וחוזרות חלילה, עד שיעשו פשרה ביניהן? התם אית להו פסידא לכולהו, הכא לוקח הוא דאית ליה פסידא. </w:t>
      </w:r>
      <w:r w:rsidRPr="00426736">
        <w:rPr>
          <w:rFonts w:cs="Arial"/>
          <w:u w:val="single"/>
          <w:rtl/>
        </w:rPr>
        <w:t>אזל רפרם אמר לשמעתא קמיה דרב אשי</w:t>
      </w:r>
      <w:r>
        <w:rPr>
          <w:rFonts w:cs="Arial" w:hint="cs"/>
          <w:rtl/>
        </w:rPr>
        <w:t>:</w:t>
      </w:r>
      <w:r w:rsidRPr="00A54CEC">
        <w:rPr>
          <w:rFonts w:cs="Arial"/>
          <w:rtl/>
        </w:rPr>
        <w:t xml:space="preserve"> מי אמר אביי הכי? והאמר אביי: נכסי ליך ואחריך לפלוני, עמדה וניסת - בעל לוקח הוי, ואין לאחריך במקום בעל כלום! </w:t>
      </w:r>
      <w:r w:rsidRPr="00426736">
        <w:rPr>
          <w:rFonts w:cs="Arial"/>
          <w:u w:val="single"/>
          <w:rtl/>
        </w:rPr>
        <w:t>א"ל</w:t>
      </w:r>
      <w:r w:rsidRPr="00A54CEC">
        <w:rPr>
          <w:rFonts w:cs="Arial"/>
          <w:rtl/>
        </w:rPr>
        <w:t>: התם דאמר לה כשהיא פנויה, הכא דאמר לה כשהיא נשואה</w:t>
      </w:r>
      <w:r>
        <w:rPr>
          <w:rFonts w:cs="Arial" w:hint="cs"/>
          <w:rtl/>
        </w:rPr>
        <w:t>.</w:t>
      </w:r>
      <w:r w:rsidRPr="00A54CEC">
        <w:rPr>
          <w:rFonts w:cs="Arial"/>
          <w:rtl/>
        </w:rPr>
        <w:t xml:space="preserve"> מאי קאמר לה? אחריך ליקני, בעל לא ליקני. </w:t>
      </w:r>
    </w:p>
    <w:p w14:paraId="290058AA" w14:textId="77777777" w:rsidR="002E5BAD" w:rsidRPr="00E1594D" w:rsidRDefault="002E5BAD" w:rsidP="002E5BAD">
      <w:pPr>
        <w:rPr>
          <w:u w:val="single"/>
          <w:rtl/>
        </w:rPr>
      </w:pPr>
      <w:r w:rsidRPr="00E1594D">
        <w:rPr>
          <w:rFonts w:hint="cs"/>
          <w:u w:val="single"/>
          <w:rtl/>
        </w:rPr>
        <w:t>האומר</w:t>
      </w:r>
      <w:r w:rsidRPr="00E1594D">
        <w:rPr>
          <w:rFonts w:cs="Arial"/>
          <w:u w:val="single"/>
          <w:rtl/>
        </w:rPr>
        <w:t xml:space="preserve"> לאשה </w:t>
      </w:r>
      <w:r w:rsidRPr="00E1594D">
        <w:rPr>
          <w:rFonts w:cs="Arial" w:hint="cs"/>
          <w:u w:val="single"/>
          <w:rtl/>
        </w:rPr>
        <w:t>'</w:t>
      </w:r>
      <w:r w:rsidRPr="00E1594D">
        <w:rPr>
          <w:rFonts w:cs="Arial"/>
          <w:u w:val="single"/>
          <w:rtl/>
        </w:rPr>
        <w:t>נכסי לך ואחריך לפלוני</w:t>
      </w:r>
      <w:r w:rsidRPr="00E1594D">
        <w:rPr>
          <w:rFonts w:cs="Arial" w:hint="cs"/>
          <w:u w:val="single"/>
          <w:rtl/>
        </w:rPr>
        <w:t>'</w:t>
      </w:r>
      <w:r w:rsidRPr="00E1594D">
        <w:rPr>
          <w:rFonts w:hint="cs"/>
          <w:u w:val="single"/>
          <w:rtl/>
        </w:rPr>
        <w:t xml:space="preserve"> </w:t>
      </w:r>
      <w:r w:rsidRPr="00E1594D">
        <w:rPr>
          <w:u w:val="single"/>
          <w:rtl/>
        </w:rPr>
        <w:t>–</w:t>
      </w:r>
      <w:r w:rsidRPr="00E1594D">
        <w:rPr>
          <w:rFonts w:hint="cs"/>
          <w:u w:val="single"/>
          <w:rtl/>
        </w:rPr>
        <w:t xml:space="preserve"> האם הבעל זוכה בנכסים:</w:t>
      </w:r>
    </w:p>
    <w:p w14:paraId="0D562EE7" w14:textId="77777777" w:rsidR="002E5BAD" w:rsidRPr="00E1594D" w:rsidRDefault="002E5BAD" w:rsidP="002E5BAD">
      <w:pPr>
        <w:pStyle w:val="ab"/>
        <w:numPr>
          <w:ilvl w:val="0"/>
          <w:numId w:val="186"/>
        </w:numPr>
        <w:rPr>
          <w:rtl/>
        </w:rPr>
      </w:pPr>
      <w:r>
        <w:rPr>
          <w:rFonts w:cs="Arial" w:hint="cs"/>
          <w:rtl/>
        </w:rPr>
        <w:t xml:space="preserve">רמב"ם </w:t>
      </w:r>
      <w:r>
        <w:rPr>
          <w:rFonts w:cs="Arial" w:hint="cs"/>
          <w:sz w:val="16"/>
          <w:szCs w:val="16"/>
          <w:rtl/>
        </w:rPr>
        <w:t>(פי"ב מזכיה ומתנה הי"ב)</w:t>
      </w:r>
      <w:r>
        <w:rPr>
          <w:rFonts w:cs="Arial" w:hint="cs"/>
          <w:rtl/>
        </w:rPr>
        <w:t xml:space="preserve"> וטור- </w:t>
      </w:r>
      <w:r w:rsidRPr="00F31ACB">
        <w:rPr>
          <w:rFonts w:cs="Arial"/>
          <w:rtl/>
        </w:rPr>
        <w:t>וכיון שהבעל כלוקח בנכסי אשתו</w:t>
      </w:r>
      <w:r>
        <w:rPr>
          <w:rFonts w:cs="Arial" w:hint="cs"/>
          <w:rtl/>
        </w:rPr>
        <w:t>,</w:t>
      </w:r>
      <w:r w:rsidRPr="00F31ACB">
        <w:rPr>
          <w:rFonts w:cs="Arial"/>
          <w:rtl/>
        </w:rPr>
        <w:t xml:space="preserve"> מי שאמר לאשה </w:t>
      </w:r>
      <w:r>
        <w:rPr>
          <w:rFonts w:cs="Arial" w:hint="cs"/>
          <w:rtl/>
        </w:rPr>
        <w:t>'</w:t>
      </w:r>
      <w:r w:rsidRPr="00F31ACB">
        <w:rPr>
          <w:rFonts w:cs="Arial"/>
          <w:rtl/>
        </w:rPr>
        <w:t>נכסי לך ואחריך לפלוני</w:t>
      </w:r>
      <w:r>
        <w:rPr>
          <w:rFonts w:cs="Arial" w:hint="cs"/>
          <w:rtl/>
        </w:rPr>
        <w:t>',</w:t>
      </w:r>
      <w:r w:rsidRPr="00F31ACB">
        <w:rPr>
          <w:rFonts w:cs="Arial"/>
          <w:rtl/>
        </w:rPr>
        <w:t xml:space="preserve"> וניסת</w:t>
      </w:r>
      <w:r>
        <w:rPr>
          <w:rFonts w:cs="Arial" w:hint="cs"/>
          <w:rtl/>
        </w:rPr>
        <w:t>,</w:t>
      </w:r>
      <w:r w:rsidRPr="00F31ACB">
        <w:rPr>
          <w:rFonts w:cs="Arial"/>
          <w:rtl/>
        </w:rPr>
        <w:t xml:space="preserve"> הוי כלוקח</w:t>
      </w:r>
      <w:r>
        <w:rPr>
          <w:rFonts w:cs="Arial" w:hint="cs"/>
          <w:rtl/>
        </w:rPr>
        <w:t>,</w:t>
      </w:r>
      <w:r w:rsidRPr="00F31ACB">
        <w:rPr>
          <w:rFonts w:cs="Arial"/>
          <w:rtl/>
        </w:rPr>
        <w:t xml:space="preserve"> ואין לאחריך במקום בעל כלום</w:t>
      </w:r>
      <w:r>
        <w:rPr>
          <w:rFonts w:cs="Arial" w:hint="cs"/>
          <w:rtl/>
        </w:rPr>
        <w:t>,</w:t>
      </w:r>
      <w:r w:rsidRPr="00F31ACB">
        <w:rPr>
          <w:rFonts w:cs="Arial"/>
          <w:rtl/>
        </w:rPr>
        <w:t xml:space="preserve"> דקי"ל נכסי לך ואחריך לפלוני ומכר הראשון אין לשני אלא מה ששייר ראשון</w:t>
      </w:r>
      <w:r>
        <w:rPr>
          <w:rFonts w:cs="Arial" w:hint="cs"/>
          <w:rtl/>
        </w:rPr>
        <w:t>.</w:t>
      </w:r>
      <w:r w:rsidRPr="00F31ACB">
        <w:rPr>
          <w:rFonts w:cs="Arial"/>
          <w:rtl/>
        </w:rPr>
        <w:t xml:space="preserve"> בד"א</w:t>
      </w:r>
      <w:r>
        <w:rPr>
          <w:rFonts w:cs="Arial" w:hint="cs"/>
          <w:rtl/>
        </w:rPr>
        <w:t>,</w:t>
      </w:r>
      <w:r w:rsidRPr="00F31ACB">
        <w:rPr>
          <w:rFonts w:cs="Arial"/>
          <w:rtl/>
        </w:rPr>
        <w:t xml:space="preserve"> באומר כן לפנויה</w:t>
      </w:r>
      <w:r>
        <w:rPr>
          <w:rFonts w:cs="Arial" w:hint="cs"/>
          <w:rtl/>
        </w:rPr>
        <w:t>.</w:t>
      </w:r>
      <w:r w:rsidRPr="00F31ACB">
        <w:rPr>
          <w:rFonts w:cs="Arial"/>
          <w:rtl/>
        </w:rPr>
        <w:t xml:space="preserve"> אבל האומר לנשואה נכסי לך ואחריך לפלוני</w:t>
      </w:r>
      <w:r>
        <w:rPr>
          <w:rFonts w:cs="Arial" w:hint="cs"/>
          <w:rtl/>
        </w:rPr>
        <w:t>,</w:t>
      </w:r>
      <w:r w:rsidRPr="00F31ACB">
        <w:rPr>
          <w:rFonts w:cs="Arial"/>
          <w:rtl/>
        </w:rPr>
        <w:t xml:space="preserve"> ומתה </w:t>
      </w:r>
      <w:r>
        <w:rPr>
          <w:rFonts w:cs="Arial" w:hint="cs"/>
          <w:rtl/>
        </w:rPr>
        <w:t xml:space="preserve">- </w:t>
      </w:r>
      <w:r w:rsidRPr="00F31ACB">
        <w:rPr>
          <w:rFonts w:cs="Arial"/>
          <w:rtl/>
        </w:rPr>
        <w:t>אחריך קונה ולא הבעל</w:t>
      </w:r>
      <w:r>
        <w:rPr>
          <w:rFonts w:cs="Arial" w:hint="cs"/>
          <w:rtl/>
        </w:rPr>
        <w:t>.</w:t>
      </w:r>
      <w:r w:rsidRPr="00F31ACB">
        <w:rPr>
          <w:rFonts w:cs="Arial"/>
          <w:rtl/>
        </w:rPr>
        <w:t xml:space="preserve"> דכיון שהוא אומר כן כשהיתה נשואה</w:t>
      </w:r>
      <w:r>
        <w:rPr>
          <w:rFonts w:cs="Arial" w:hint="cs"/>
          <w:rtl/>
        </w:rPr>
        <w:t>,</w:t>
      </w:r>
      <w:r w:rsidRPr="00F31ACB">
        <w:rPr>
          <w:rFonts w:cs="Arial"/>
          <w:rtl/>
        </w:rPr>
        <w:t xml:space="preserve"> הרי סילק הבעל בהדיא</w:t>
      </w:r>
      <w:r>
        <w:rPr>
          <w:rFonts w:cs="Arial" w:hint="cs"/>
          <w:rtl/>
        </w:rPr>
        <w:t>.</w:t>
      </w:r>
      <w:r w:rsidRPr="00F31ACB">
        <w:rPr>
          <w:rFonts w:cs="Arial"/>
          <w:rtl/>
        </w:rPr>
        <w:t xml:space="preserve"> לפיכך האומר לנשואה </w:t>
      </w:r>
      <w:r>
        <w:rPr>
          <w:rFonts w:cs="Arial" w:hint="cs"/>
          <w:rtl/>
        </w:rPr>
        <w:t>'</w:t>
      </w:r>
      <w:r w:rsidRPr="00F31ACB">
        <w:rPr>
          <w:rFonts w:cs="Arial"/>
          <w:rtl/>
        </w:rPr>
        <w:t>נכסי לך ואחריך לפלוני</w:t>
      </w:r>
      <w:r>
        <w:rPr>
          <w:rFonts w:cs="Arial" w:hint="cs"/>
          <w:rtl/>
        </w:rPr>
        <w:t>',</w:t>
      </w:r>
      <w:r w:rsidRPr="00F31ACB">
        <w:rPr>
          <w:rFonts w:cs="Arial"/>
          <w:rtl/>
        </w:rPr>
        <w:t xml:space="preserve"> ומכרה ומתה </w:t>
      </w:r>
      <w:r>
        <w:rPr>
          <w:rFonts w:cs="Arial" w:hint="cs"/>
          <w:rtl/>
        </w:rPr>
        <w:t xml:space="preserve">- </w:t>
      </w:r>
      <w:r w:rsidRPr="00F31ACB">
        <w:rPr>
          <w:rFonts w:cs="Arial"/>
          <w:rtl/>
        </w:rPr>
        <w:t>הבעל יכול להוציא מיד הלקוחות</w:t>
      </w:r>
      <w:r>
        <w:rPr>
          <w:rFonts w:cs="Arial" w:hint="cs"/>
          <w:rtl/>
        </w:rPr>
        <w:t>.</w:t>
      </w:r>
      <w:r w:rsidRPr="00F31ACB">
        <w:rPr>
          <w:rFonts w:cs="Arial"/>
          <w:rtl/>
        </w:rPr>
        <w:t xml:space="preserve"> ואחריך מיד הבעל</w:t>
      </w:r>
      <w:r>
        <w:rPr>
          <w:rFonts w:cs="Arial" w:hint="cs"/>
          <w:rtl/>
        </w:rPr>
        <w:t>.</w:t>
      </w:r>
      <w:r w:rsidRPr="00F31ACB">
        <w:rPr>
          <w:rFonts w:cs="Arial"/>
          <w:rtl/>
        </w:rPr>
        <w:t xml:space="preserve"> והלוקח מיד אחריך</w:t>
      </w:r>
      <w:r>
        <w:rPr>
          <w:rFonts w:cs="Arial" w:hint="cs"/>
          <w:rtl/>
        </w:rPr>
        <w:t>.</w:t>
      </w:r>
      <w:r w:rsidRPr="00F31ACB">
        <w:rPr>
          <w:rFonts w:cs="Arial"/>
          <w:rtl/>
        </w:rPr>
        <w:t xml:space="preserve"> הלכך מניחין אותו כמו שהוא</w:t>
      </w:r>
      <w:r>
        <w:rPr>
          <w:rFonts w:cs="Arial" w:hint="cs"/>
          <w:rtl/>
        </w:rPr>
        <w:t>,</w:t>
      </w:r>
      <w:r w:rsidRPr="00F31ACB">
        <w:rPr>
          <w:rFonts w:cs="Arial"/>
          <w:rtl/>
        </w:rPr>
        <w:t xml:space="preserve"> ונשאר ביד הלוקח</w:t>
      </w:r>
      <w:r w:rsidRPr="00E1594D">
        <w:rPr>
          <w:rFonts w:cs="Arial"/>
          <w:vertAlign w:val="superscript"/>
          <w:rtl/>
        </w:rPr>
        <w:footnoteReference w:id="2155"/>
      </w:r>
      <w:r>
        <w:rPr>
          <w:rFonts w:cs="Arial" w:hint="cs"/>
          <w:sz w:val="16"/>
          <w:szCs w:val="16"/>
          <w:rtl/>
        </w:rPr>
        <w:t xml:space="preserve"> (ל' הטור)</w:t>
      </w:r>
      <w:r>
        <w:rPr>
          <w:rFonts w:cs="Arial" w:hint="cs"/>
          <w:rtl/>
        </w:rPr>
        <w:t>.</w:t>
      </w:r>
      <w:r w:rsidRPr="00F31ACB">
        <w:rPr>
          <w:rFonts w:cs="Arial"/>
          <w:rtl/>
        </w:rPr>
        <w:t xml:space="preserve"> </w:t>
      </w:r>
      <w:r w:rsidRPr="00225137">
        <w:rPr>
          <w:rFonts w:hint="cs"/>
          <w:color w:val="E36C0A" w:themeColor="accent6" w:themeShade="BF"/>
          <w:rtl/>
        </w:rPr>
        <w:t>(וכ"פ בשו"ע)</w:t>
      </w:r>
    </w:p>
    <w:p w14:paraId="3E520FC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D3470E0" w14:textId="77777777" w:rsidR="002E5BAD" w:rsidRDefault="002E5BAD" w:rsidP="002E5BAD">
      <w:pPr>
        <w:rPr>
          <w:rtl/>
        </w:rPr>
      </w:pPr>
      <w:r>
        <w:rPr>
          <w:rFonts w:cs="Arial"/>
          <w:rtl/>
        </w:rPr>
        <w:t>בעל בנכסי אשתו הוי כלוקח</w:t>
      </w:r>
      <w:r w:rsidRPr="00E1594D">
        <w:rPr>
          <w:rFonts w:cs="Arial"/>
          <w:vertAlign w:val="superscript"/>
          <w:rtl/>
        </w:rPr>
        <w:footnoteReference w:id="2156"/>
      </w:r>
      <w:r>
        <w:rPr>
          <w:rFonts w:cs="Arial"/>
          <w:rtl/>
        </w:rPr>
        <w:t>. לפיכך מי שאמר לאשה: נכסי לך ואחריך לפלוני, ונשאת, הוי כלוקח, ואין לאחריך במקום בעל כלום, דקיימא לן נכסי לך ואחריך לפלוני</w:t>
      </w:r>
      <w:r>
        <w:rPr>
          <w:rFonts w:cs="Arial" w:hint="cs"/>
          <w:rtl/>
        </w:rPr>
        <w:t>,</w:t>
      </w:r>
      <w:r>
        <w:rPr>
          <w:rFonts w:cs="Arial"/>
          <w:rtl/>
        </w:rPr>
        <w:t xml:space="preserve"> ומכר הראשון, אין לשני אלא מה ששייר ראשון. ב</w:t>
      </w:r>
      <w:r>
        <w:rPr>
          <w:rFonts w:cs="Arial" w:hint="cs"/>
          <w:rtl/>
        </w:rPr>
        <w:t>מה דברים אמורים</w:t>
      </w:r>
      <w:r>
        <w:rPr>
          <w:rFonts w:cs="Arial"/>
          <w:rtl/>
        </w:rPr>
        <w:t>, באומר כן לפנויה, אבל האומר לנשואה: נכסי לך ואחריך לפלוני, ומתה, אחריך קונה ולא הבעל. לפיכך האומר לנשואה: נכסי לך ואחריך לפלוני, ומכרה, ומתה, יעמדו נכסים ביד הלוקח</w:t>
      </w:r>
      <w:r w:rsidRPr="00E1594D">
        <w:rPr>
          <w:rFonts w:cs="Arial"/>
          <w:vertAlign w:val="superscript"/>
          <w:rtl/>
        </w:rPr>
        <w:footnoteReference w:id="2157"/>
      </w:r>
      <w:r>
        <w:rPr>
          <w:rFonts w:cs="Arial"/>
          <w:rtl/>
        </w:rPr>
        <w:t xml:space="preserve">. </w:t>
      </w:r>
    </w:p>
    <w:p w14:paraId="0FDB3FEF" w14:textId="77777777" w:rsidR="002E5BAD" w:rsidRDefault="002E5BAD" w:rsidP="002E5BAD">
      <w:pPr>
        <w:rPr>
          <w:rtl/>
        </w:rPr>
      </w:pPr>
    </w:p>
    <w:p w14:paraId="69305F5B" w14:textId="77777777" w:rsidR="002E5BAD" w:rsidRDefault="002E5BAD" w:rsidP="002E5BAD">
      <w:pPr>
        <w:pStyle w:val="2"/>
        <w:rPr>
          <w:rtl/>
        </w:rPr>
      </w:pPr>
      <w:r>
        <w:rPr>
          <w:rtl/>
        </w:rPr>
        <w:lastRenderedPageBreak/>
        <w:t>סעיף ג</w:t>
      </w:r>
      <w:r>
        <w:rPr>
          <w:rFonts w:hint="cs"/>
          <w:rtl/>
        </w:rPr>
        <w:t>:</w:t>
      </w:r>
      <w:r w:rsidRPr="00A86702">
        <w:rPr>
          <w:rFonts w:cs="Arial"/>
          <w:rtl/>
        </w:rPr>
        <w:t xml:space="preserve"> </w:t>
      </w:r>
      <w:r>
        <w:rPr>
          <w:rFonts w:cs="Arial"/>
          <w:rtl/>
        </w:rPr>
        <w:t xml:space="preserve">גבו לאשה קרקע </w:t>
      </w:r>
      <w:r>
        <w:rPr>
          <w:rFonts w:cs="Arial" w:hint="cs"/>
          <w:rtl/>
        </w:rPr>
        <w:t xml:space="preserve">מלוג </w:t>
      </w:r>
      <w:r>
        <w:rPr>
          <w:rFonts w:cs="Arial"/>
          <w:rtl/>
        </w:rPr>
        <w:t>מבע</w:t>
      </w:r>
      <w:r>
        <w:rPr>
          <w:rFonts w:cs="Arial" w:hint="cs"/>
          <w:rtl/>
        </w:rPr>
        <w:t>"ח</w:t>
      </w:r>
      <w:r>
        <w:rPr>
          <w:rFonts w:cs="Arial" w:hint="cs"/>
          <w:sz w:val="20"/>
          <w:szCs w:val="20"/>
          <w:rtl/>
        </w:rPr>
        <w:t xml:space="preserve"> (או שגבו מהאשה לבע"ח)</w:t>
      </w:r>
      <w:r>
        <w:rPr>
          <w:rFonts w:cs="Arial"/>
          <w:rtl/>
        </w:rPr>
        <w:t>, ונשאת</w:t>
      </w:r>
      <w:r>
        <w:rPr>
          <w:rFonts w:cs="Arial" w:hint="cs"/>
          <w:rtl/>
        </w:rPr>
        <w:t>,</w:t>
      </w:r>
      <w:r>
        <w:rPr>
          <w:rFonts w:cs="Arial"/>
          <w:rtl/>
        </w:rPr>
        <w:t xml:space="preserve"> ומתה</w:t>
      </w:r>
      <w:r>
        <w:rPr>
          <w:rFonts w:cs="Arial" w:hint="cs"/>
          <w:rtl/>
        </w:rPr>
        <w:t>.</w:t>
      </w:r>
    </w:p>
    <w:p w14:paraId="7FC71459" w14:textId="77777777" w:rsidR="002E5BAD" w:rsidRDefault="002E5BAD" w:rsidP="002E5BAD">
      <w:pPr>
        <w:rPr>
          <w:rFonts w:cs="Arial"/>
          <w:rtl/>
        </w:rPr>
      </w:pPr>
      <w:r>
        <w:rPr>
          <w:rFonts w:cs="Arial" w:hint="cs"/>
          <w:b/>
          <w:bCs/>
          <w:rtl/>
        </w:rPr>
        <w:t>בבא מציעא</w:t>
      </w:r>
      <w:r w:rsidRPr="00642A08">
        <w:rPr>
          <w:rFonts w:cs="Arial" w:hint="cs"/>
          <w:b/>
          <w:bCs/>
          <w:rtl/>
        </w:rPr>
        <w:t xml:space="preserve">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w:t>
      </w:r>
      <w:r>
        <w:rPr>
          <w:rFonts w:cs="Arial" w:hint="cs"/>
          <w:b/>
          <w:bCs/>
          <w:sz w:val="16"/>
          <w:szCs w:val="16"/>
          <w:rtl/>
        </w:rPr>
        <w:t>המפקיד</w:t>
      </w:r>
      <w:r w:rsidRPr="00642A08">
        <w:rPr>
          <w:rFonts w:cs="Arial" w:hint="cs"/>
          <w:b/>
          <w:bCs/>
          <w:sz w:val="16"/>
          <w:szCs w:val="16"/>
          <w:rtl/>
        </w:rPr>
        <w:t>)</w:t>
      </w:r>
      <w:r w:rsidRPr="00642A08">
        <w:rPr>
          <w:rFonts w:cs="Arial"/>
          <w:b/>
          <w:bCs/>
          <w:rtl/>
        </w:rPr>
        <w:t xml:space="preserve"> </w:t>
      </w:r>
      <w:r>
        <w:rPr>
          <w:rFonts w:cs="Arial" w:hint="cs"/>
          <w:b/>
          <w:bCs/>
          <w:rtl/>
        </w:rPr>
        <w:t>ל</w:t>
      </w:r>
      <w:r w:rsidRPr="00642A08">
        <w:rPr>
          <w:rFonts w:cs="Arial"/>
          <w:b/>
          <w:bCs/>
          <w:rtl/>
        </w:rPr>
        <w:t>ה</w:t>
      </w:r>
      <w:r w:rsidRPr="00642A08">
        <w:rPr>
          <w:rFonts w:cs="Arial" w:hint="cs"/>
          <w:b/>
          <w:bCs/>
          <w:rtl/>
        </w:rPr>
        <w:t xml:space="preserve"> ע"</w:t>
      </w:r>
      <w:r>
        <w:rPr>
          <w:rFonts w:cs="Arial" w:hint="cs"/>
          <w:b/>
          <w:bCs/>
          <w:rtl/>
        </w:rPr>
        <w:t>א</w:t>
      </w:r>
      <w:r w:rsidRPr="00642A08">
        <w:rPr>
          <w:rFonts w:cs="Arial"/>
          <w:b/>
          <w:bCs/>
          <w:rtl/>
        </w:rPr>
        <w:t>:</w:t>
      </w:r>
      <w:r>
        <w:rPr>
          <w:rFonts w:cs="Arial" w:hint="cs"/>
          <w:rtl/>
        </w:rPr>
        <w:t xml:space="preserve"> </w:t>
      </w:r>
      <w:r w:rsidRPr="00E93CFD">
        <w:rPr>
          <w:rFonts w:cs="Arial"/>
          <w:rtl/>
        </w:rPr>
        <w:t>והלכתא: שומא הדר לעולם. משום שנאמר ועשית הישר והטוב.</w:t>
      </w:r>
      <w:r>
        <w:rPr>
          <w:rFonts w:cs="Arial" w:hint="cs"/>
          <w:rtl/>
        </w:rPr>
        <w:t>..</w:t>
      </w:r>
      <w:r w:rsidRPr="00E93CFD">
        <w:rPr>
          <w:rFonts w:cs="Arial"/>
          <w:rtl/>
        </w:rPr>
        <w:t xml:space="preserve"> </w:t>
      </w:r>
      <w:r w:rsidRPr="009509AC">
        <w:rPr>
          <w:rFonts w:cs="Arial"/>
          <w:rtl/>
        </w:rPr>
        <w:t>שמו לה לאשה ואינסיבא</w:t>
      </w:r>
      <w:r>
        <w:rPr>
          <w:rStyle w:val="a7"/>
          <w:rFonts w:cs="Arial"/>
          <w:rtl/>
        </w:rPr>
        <w:footnoteReference w:id="2158"/>
      </w:r>
      <w:r w:rsidRPr="009509AC">
        <w:rPr>
          <w:rFonts w:cs="Arial"/>
          <w:rtl/>
        </w:rPr>
        <w:t xml:space="preserve">, או שמו מינה דאשה ואינסיבא </w:t>
      </w:r>
      <w:r>
        <w:rPr>
          <w:rStyle w:val="a7"/>
          <w:rFonts w:cs="Arial"/>
          <w:rtl/>
        </w:rPr>
        <w:footnoteReference w:id="2159"/>
      </w:r>
      <w:r>
        <w:rPr>
          <w:rFonts w:cs="Arial" w:hint="cs"/>
          <w:rtl/>
        </w:rPr>
        <w:t>[</w:t>
      </w:r>
      <w:r w:rsidRPr="009509AC">
        <w:rPr>
          <w:rFonts w:cs="Arial"/>
          <w:rtl/>
        </w:rPr>
        <w:t>ומתה</w:t>
      </w:r>
      <w:r>
        <w:rPr>
          <w:rFonts w:cs="Arial" w:hint="cs"/>
          <w:rtl/>
        </w:rPr>
        <w:t>]</w:t>
      </w:r>
      <w:r w:rsidRPr="009509AC">
        <w:rPr>
          <w:rFonts w:cs="Arial"/>
          <w:rtl/>
        </w:rPr>
        <w:t xml:space="preserve"> - בעל</w:t>
      </w:r>
      <w:r>
        <w:rPr>
          <w:rStyle w:val="a7"/>
          <w:rFonts w:cs="Arial"/>
          <w:rtl/>
        </w:rPr>
        <w:footnoteReference w:id="2160"/>
      </w:r>
      <w:r w:rsidRPr="009509AC">
        <w:rPr>
          <w:rFonts w:cs="Arial"/>
          <w:rtl/>
        </w:rPr>
        <w:t xml:space="preserve"> בנכסי אשתו לוקח הוי</w:t>
      </w:r>
      <w:r>
        <w:rPr>
          <w:rStyle w:val="a7"/>
          <w:rFonts w:cs="Arial"/>
          <w:rtl/>
        </w:rPr>
        <w:footnoteReference w:id="2161"/>
      </w:r>
      <w:r w:rsidRPr="009509AC">
        <w:rPr>
          <w:rFonts w:cs="Arial"/>
          <w:rtl/>
        </w:rPr>
        <w:t>, לא מיהדר ולא מהדרינן ליה</w:t>
      </w:r>
      <w:r>
        <w:rPr>
          <w:rStyle w:val="a7"/>
          <w:rFonts w:cs="Arial"/>
          <w:rtl/>
        </w:rPr>
        <w:footnoteReference w:id="2162"/>
      </w:r>
      <w:r w:rsidRPr="009509AC">
        <w:rPr>
          <w:rFonts w:cs="Arial"/>
          <w:rtl/>
        </w:rPr>
        <w:t>. דאמר רבי יוסי בר חנינא: באושא התקינו: האשה שמכרה בנכסי מלוג בחיי בעלה ומתה - הבעל מוציא מיד הלקוחות.</w:t>
      </w:r>
    </w:p>
    <w:p w14:paraId="1364A8EC" w14:textId="77777777" w:rsidR="002E5BAD" w:rsidRPr="009B7A6B" w:rsidRDefault="002E5BAD" w:rsidP="002E5BAD">
      <w:pPr>
        <w:rPr>
          <w:rFonts w:cs="Arial"/>
          <w:u w:val="single"/>
          <w:rtl/>
        </w:rPr>
      </w:pPr>
      <w:r w:rsidRPr="00E93CFD">
        <w:rPr>
          <w:rFonts w:hint="cs"/>
          <w:u w:val="single"/>
          <w:rtl/>
        </w:rPr>
        <w:t xml:space="preserve">ב"ד </w:t>
      </w:r>
      <w:r>
        <w:rPr>
          <w:rFonts w:hint="cs"/>
          <w:u w:val="single"/>
          <w:rtl/>
        </w:rPr>
        <w:t>שמו</w:t>
      </w:r>
      <w:r w:rsidRPr="009B7A6B">
        <w:rPr>
          <w:rFonts w:cs="Arial" w:hint="cs"/>
          <w:u w:val="single"/>
          <w:rtl/>
        </w:rPr>
        <w:t xml:space="preserve"> </w:t>
      </w:r>
      <w:r>
        <w:rPr>
          <w:rFonts w:cs="Arial" w:hint="cs"/>
          <w:u w:val="single"/>
          <w:rtl/>
        </w:rPr>
        <w:t>קרקע לאשה, ונשאת - ורוצה הלוה לפדות הקרקע</w:t>
      </w:r>
      <w:r>
        <w:rPr>
          <w:rFonts w:cs="Arial" w:hint="cs"/>
          <w:sz w:val="16"/>
          <w:szCs w:val="16"/>
          <w:u w:val="single"/>
          <w:rtl/>
        </w:rPr>
        <w:t xml:space="preserve"> (או ששמו מהאשה, ונשאת - ורוצה הבעל לפדות)</w:t>
      </w:r>
      <w:r>
        <w:rPr>
          <w:rFonts w:cs="Arial" w:hint="cs"/>
          <w:u w:val="single"/>
          <w:rtl/>
        </w:rPr>
        <w:t>:</w:t>
      </w:r>
    </w:p>
    <w:p w14:paraId="17B132B0" w14:textId="77777777" w:rsidR="002E5BAD" w:rsidRDefault="002E5BAD" w:rsidP="00B75458">
      <w:pPr>
        <w:pStyle w:val="ab"/>
        <w:numPr>
          <w:ilvl w:val="0"/>
          <w:numId w:val="188"/>
        </w:numPr>
        <w:rPr>
          <w:rFonts w:cs="Arial"/>
        </w:rPr>
      </w:pPr>
      <w:r>
        <w:rPr>
          <w:rFonts w:cs="Arial" w:hint="cs"/>
          <w:rtl/>
        </w:rPr>
        <w:t xml:space="preserve">רש"י </w:t>
      </w:r>
      <w:r>
        <w:rPr>
          <w:rFonts w:cs="Arial" w:hint="cs"/>
          <w:sz w:val="16"/>
          <w:szCs w:val="16"/>
          <w:rtl/>
        </w:rPr>
        <w:t xml:space="preserve">(ד"ה לוקח הוי) </w:t>
      </w:r>
      <w:r>
        <w:rPr>
          <w:rFonts w:cs="Arial"/>
          <w:rtl/>
        </w:rPr>
        <w:t xml:space="preserve">רא"ש </w:t>
      </w:r>
      <w:r w:rsidRPr="009B7A6B">
        <w:rPr>
          <w:rFonts w:cs="Arial"/>
          <w:sz w:val="16"/>
          <w:szCs w:val="16"/>
          <w:rtl/>
        </w:rPr>
        <w:t>(פ"ג סי' ד)</w:t>
      </w:r>
      <w:r w:rsidRPr="009B7A6B">
        <w:rPr>
          <w:rFonts w:cs="Arial" w:hint="cs"/>
          <w:sz w:val="16"/>
          <w:szCs w:val="16"/>
          <w:rtl/>
        </w:rPr>
        <w:t xml:space="preserve"> </w:t>
      </w:r>
      <w:r>
        <w:rPr>
          <w:rFonts w:cs="Arial" w:hint="cs"/>
          <w:rtl/>
        </w:rPr>
        <w:t>וטור-</w:t>
      </w:r>
      <w:r w:rsidRPr="00337E2F">
        <w:rPr>
          <w:rFonts w:cs="Arial"/>
          <w:rtl/>
        </w:rPr>
        <w:t xml:space="preserve"> </w:t>
      </w:r>
      <w:r w:rsidRPr="00F31ACB">
        <w:rPr>
          <w:rFonts w:cs="Arial"/>
          <w:rtl/>
        </w:rPr>
        <w:t>ועוד נ"מ מאי דחשיב כלוקח</w:t>
      </w:r>
      <w:r>
        <w:rPr>
          <w:rFonts w:cs="Arial" w:hint="cs"/>
          <w:rtl/>
        </w:rPr>
        <w:t>,</w:t>
      </w:r>
      <w:r w:rsidRPr="00F31ACB">
        <w:rPr>
          <w:rFonts w:cs="Arial"/>
          <w:rtl/>
        </w:rPr>
        <w:t xml:space="preserve"> שאם גבו לה קרקע מבעל חובה</w:t>
      </w:r>
      <w:r>
        <w:rPr>
          <w:rFonts w:cs="Arial" w:hint="cs"/>
          <w:rtl/>
        </w:rPr>
        <w:t>,</w:t>
      </w:r>
      <w:r w:rsidRPr="00F31ACB">
        <w:rPr>
          <w:rFonts w:cs="Arial"/>
          <w:rtl/>
        </w:rPr>
        <w:t xml:space="preserve"> וניסת ומתה</w:t>
      </w:r>
      <w:r>
        <w:rPr>
          <w:rFonts w:cs="Arial" w:hint="cs"/>
          <w:rtl/>
        </w:rPr>
        <w:t xml:space="preserve">, </w:t>
      </w:r>
      <w:r w:rsidRPr="00F31ACB">
        <w:rPr>
          <w:rFonts w:cs="Arial"/>
          <w:rtl/>
        </w:rPr>
        <w:t>יורשה הבעל</w:t>
      </w:r>
      <w:r>
        <w:rPr>
          <w:rFonts w:cs="Arial" w:hint="cs"/>
          <w:rtl/>
        </w:rPr>
        <w:t>,</w:t>
      </w:r>
      <w:r w:rsidRPr="00F31ACB">
        <w:rPr>
          <w:rFonts w:cs="Arial"/>
          <w:rtl/>
        </w:rPr>
        <w:t xml:space="preserve"> אף על גב דשומא חוזרת לעולם </w:t>
      </w:r>
      <w:r>
        <w:rPr>
          <w:rFonts w:cs="Arial" w:hint="cs"/>
          <w:rtl/>
        </w:rPr>
        <w:t xml:space="preserve">- </w:t>
      </w:r>
      <w:r w:rsidRPr="00F31ACB">
        <w:rPr>
          <w:rFonts w:cs="Arial"/>
          <w:rtl/>
        </w:rPr>
        <w:t>הכא אינה חוזרת</w:t>
      </w:r>
      <w:r>
        <w:rPr>
          <w:rFonts w:cs="Arial" w:hint="cs"/>
          <w:rtl/>
        </w:rPr>
        <w:t>,</w:t>
      </w:r>
      <w:r w:rsidRPr="00F31ACB">
        <w:rPr>
          <w:rFonts w:cs="Arial"/>
          <w:rtl/>
        </w:rPr>
        <w:t xml:space="preserve"> דהוי כאילו מכרתו לאחר</w:t>
      </w:r>
      <w:r>
        <w:rPr>
          <w:rFonts w:cs="Arial" w:hint="cs"/>
          <w:rtl/>
        </w:rPr>
        <w:t>.</w:t>
      </w:r>
      <w:r w:rsidRPr="00F31ACB">
        <w:rPr>
          <w:rFonts w:cs="Arial"/>
          <w:rtl/>
        </w:rPr>
        <w:t xml:space="preserve"> וכן אם גבו ממנה לב"ח</w:t>
      </w:r>
      <w:r>
        <w:rPr>
          <w:rFonts w:cs="Arial" w:hint="cs"/>
          <w:rtl/>
        </w:rPr>
        <w:t>,</w:t>
      </w:r>
      <w:r w:rsidRPr="00F31ACB">
        <w:rPr>
          <w:rFonts w:cs="Arial"/>
          <w:rtl/>
        </w:rPr>
        <w:t xml:space="preserve"> וניסת ומתה וירשה הבעל </w:t>
      </w:r>
      <w:r>
        <w:rPr>
          <w:rFonts w:cs="Arial" w:hint="cs"/>
          <w:rtl/>
        </w:rPr>
        <w:t xml:space="preserve">- </w:t>
      </w:r>
      <w:r w:rsidRPr="00F31ACB">
        <w:rPr>
          <w:rFonts w:cs="Arial"/>
          <w:rtl/>
        </w:rPr>
        <w:t>אינו מוציא מיד הלקוחות</w:t>
      </w:r>
      <w:r>
        <w:rPr>
          <w:rFonts w:cs="Arial" w:hint="cs"/>
          <w:sz w:val="16"/>
          <w:szCs w:val="16"/>
          <w:rtl/>
        </w:rPr>
        <w:t xml:space="preserve"> (ל' הטור)</w:t>
      </w:r>
      <w:r>
        <w:rPr>
          <w:rFonts w:cs="Arial" w:hint="cs"/>
          <w:rtl/>
        </w:rPr>
        <w:t xml:space="preserve">. </w:t>
      </w:r>
      <w:r w:rsidRPr="009B52EC">
        <w:rPr>
          <w:rFonts w:cs="Arial" w:hint="cs"/>
          <w:color w:val="E36C0A" w:themeColor="accent6" w:themeShade="BF"/>
          <w:rtl/>
        </w:rPr>
        <w:t>(וכ"פ בשו"ע)</w:t>
      </w:r>
      <w:r w:rsidRPr="00234CC7">
        <w:rPr>
          <w:rFonts w:cs="Arial" w:hint="cs"/>
          <w:color w:val="00B0F0"/>
          <w:rtl/>
        </w:rPr>
        <w:t xml:space="preserve"> (וכ"כ הרמ"א</w:t>
      </w:r>
      <w:r>
        <w:rPr>
          <w:rFonts w:cs="Arial" w:hint="cs"/>
          <w:color w:val="000000" w:themeColor="text1"/>
          <w:sz w:val="16"/>
          <w:szCs w:val="16"/>
          <w:rtl/>
        </w:rPr>
        <w:t xml:space="preserve"> [חו"מ סי' קג ס"י]</w:t>
      </w:r>
      <w:r w:rsidRPr="00234CC7">
        <w:rPr>
          <w:rFonts w:cs="Arial" w:hint="cs"/>
          <w:color w:val="00B0F0"/>
          <w:rtl/>
        </w:rPr>
        <w:t>)</w:t>
      </w:r>
    </w:p>
    <w:p w14:paraId="03F25252" w14:textId="77777777" w:rsidR="002E5BAD" w:rsidRDefault="002E5BAD" w:rsidP="00B75458">
      <w:pPr>
        <w:pStyle w:val="ab"/>
        <w:numPr>
          <w:ilvl w:val="0"/>
          <w:numId w:val="188"/>
        </w:numPr>
        <w:rPr>
          <w:rFonts w:cs="Arial"/>
        </w:rPr>
      </w:pPr>
      <w:r>
        <w:rPr>
          <w:rFonts w:cs="Arial" w:hint="cs"/>
          <w:rtl/>
        </w:rPr>
        <w:t xml:space="preserve">רי"ף </w:t>
      </w:r>
      <w:r>
        <w:rPr>
          <w:rFonts w:cs="Arial" w:hint="cs"/>
          <w:sz w:val="16"/>
          <w:szCs w:val="16"/>
          <w:rtl/>
        </w:rPr>
        <w:t>(ב"מ יט:)</w:t>
      </w:r>
      <w:r>
        <w:rPr>
          <w:rFonts w:cs="Arial" w:hint="cs"/>
          <w:rtl/>
        </w:rPr>
        <w:t xml:space="preserve"> ורמב"ם </w:t>
      </w:r>
      <w:r>
        <w:rPr>
          <w:rFonts w:cs="Arial" w:hint="cs"/>
          <w:sz w:val="16"/>
          <w:szCs w:val="16"/>
          <w:rtl/>
        </w:rPr>
        <w:t>(פכ"ב ממלוה ולוה הי"ז)</w:t>
      </w:r>
      <w:r>
        <w:rPr>
          <w:rFonts w:cs="Arial" w:hint="cs"/>
          <w:rtl/>
        </w:rPr>
        <w:t xml:space="preserve">- </w:t>
      </w:r>
      <w:r w:rsidRPr="005A02DD">
        <w:rPr>
          <w:rFonts w:cs="Arial"/>
          <w:rtl/>
        </w:rPr>
        <w:t>שמו קרקע לאשה ונשאת או ששמו ממנה ונשאת</w:t>
      </w:r>
      <w:r>
        <w:rPr>
          <w:rFonts w:cs="Arial" w:hint="cs"/>
          <w:rtl/>
        </w:rPr>
        <w:t xml:space="preserve"> -</w:t>
      </w:r>
      <w:r w:rsidRPr="005A02DD">
        <w:rPr>
          <w:rFonts w:cs="Arial"/>
          <w:rtl/>
        </w:rPr>
        <w:t xml:space="preserve"> בעל בנכסי אשתו כלוקח הוא</w:t>
      </w:r>
      <w:r>
        <w:rPr>
          <w:rFonts w:cs="Arial" w:hint="cs"/>
          <w:rtl/>
        </w:rPr>
        <w:t>,</w:t>
      </w:r>
      <w:r w:rsidRPr="005A02DD">
        <w:rPr>
          <w:rFonts w:cs="Arial"/>
          <w:rtl/>
        </w:rPr>
        <w:t xml:space="preserve"> ולא מחזיר</w:t>
      </w:r>
      <w:r>
        <w:rPr>
          <w:rStyle w:val="a7"/>
          <w:rFonts w:cs="Arial"/>
          <w:rtl/>
        </w:rPr>
        <w:footnoteReference w:id="2163"/>
      </w:r>
      <w:r w:rsidRPr="005A02DD">
        <w:rPr>
          <w:rFonts w:cs="Arial"/>
          <w:rtl/>
        </w:rPr>
        <w:t xml:space="preserve"> ולא מחזירין לו</w:t>
      </w:r>
      <w:r>
        <w:rPr>
          <w:rFonts w:cs="Arial" w:hint="cs"/>
          <w:sz w:val="16"/>
          <w:szCs w:val="16"/>
          <w:rtl/>
        </w:rPr>
        <w:t xml:space="preserve"> (ל' הרמב"ם)</w:t>
      </w:r>
      <w:r w:rsidRPr="005A02DD">
        <w:rPr>
          <w:rFonts w:cs="Arial"/>
          <w:rtl/>
        </w:rPr>
        <w:t xml:space="preserve">. </w:t>
      </w:r>
      <w:r w:rsidRPr="009B52EC">
        <w:rPr>
          <w:rFonts w:cs="Arial" w:hint="cs"/>
          <w:color w:val="E36C0A" w:themeColor="accent6" w:themeShade="BF"/>
          <w:rtl/>
        </w:rPr>
        <w:t>(וכ"פ בשו"ע</w:t>
      </w:r>
      <w:r w:rsidRPr="00F20C9C">
        <w:rPr>
          <w:rStyle w:val="a7"/>
          <w:rFonts w:cs="Arial"/>
          <w:color w:val="000000" w:themeColor="text1"/>
          <w:rtl/>
        </w:rPr>
        <w:footnoteReference w:id="2164"/>
      </w:r>
      <w:r>
        <w:rPr>
          <w:rFonts w:cs="Arial" w:hint="cs"/>
          <w:color w:val="000000" w:themeColor="text1"/>
          <w:sz w:val="16"/>
          <w:szCs w:val="16"/>
          <w:rtl/>
        </w:rPr>
        <w:t xml:space="preserve"> [חו"מ סי' קג ס"י]</w:t>
      </w:r>
      <w:r w:rsidRPr="009B52EC">
        <w:rPr>
          <w:rFonts w:cs="Arial" w:hint="cs"/>
          <w:color w:val="E36C0A" w:themeColor="accent6" w:themeShade="BF"/>
          <w:rtl/>
        </w:rPr>
        <w:t>)</w:t>
      </w:r>
    </w:p>
    <w:p w14:paraId="024CD91A"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9316E98" w14:textId="77777777" w:rsidR="002E5BAD" w:rsidRDefault="002E5BAD" w:rsidP="002E5BAD">
      <w:pPr>
        <w:rPr>
          <w:rtl/>
        </w:rPr>
      </w:pPr>
      <w:r>
        <w:rPr>
          <w:rFonts w:cs="Arial"/>
          <w:rtl/>
        </w:rPr>
        <w:t xml:space="preserve">גבו לאשה קרקע מבעל חובה, ונשאת ומתה וירשה הבעל, אף על גב דשומא חוזרת לעולם, הכא אינה חוזרת דבעל כלוקח הוי, והוי כאלו מכרתו לאחר. וכן אם גבו ממנה לבעל חוב, ונשאת ומתה וירשה, אין מחזירין לו השומא. </w:t>
      </w:r>
    </w:p>
    <w:p w14:paraId="586CA73E" w14:textId="77777777" w:rsidR="002E5BAD" w:rsidRDefault="002E5BAD" w:rsidP="002E5BAD">
      <w:pPr>
        <w:rPr>
          <w:rtl/>
        </w:rPr>
      </w:pPr>
    </w:p>
    <w:p w14:paraId="5B58E730" w14:textId="77777777" w:rsidR="002E5BAD" w:rsidRDefault="002E5BAD" w:rsidP="002E5BAD">
      <w:pPr>
        <w:pStyle w:val="2"/>
        <w:rPr>
          <w:rtl/>
        </w:rPr>
      </w:pPr>
      <w:r>
        <w:rPr>
          <w:rtl/>
        </w:rPr>
        <w:lastRenderedPageBreak/>
        <w:t>סעיף ד</w:t>
      </w:r>
      <w:r>
        <w:rPr>
          <w:rFonts w:hint="cs"/>
          <w:rtl/>
        </w:rPr>
        <w:t>:</w:t>
      </w:r>
      <w:r w:rsidRPr="00991E6B">
        <w:rPr>
          <w:rFonts w:cs="Arial" w:hint="cs"/>
          <w:rtl/>
        </w:rPr>
        <w:t xml:space="preserve"> אשה ש</w:t>
      </w:r>
      <w:r w:rsidRPr="00991E6B">
        <w:rPr>
          <w:rFonts w:cs="Arial"/>
          <w:rtl/>
        </w:rPr>
        <w:t>היה עליה מלוה קודם שניסת</w:t>
      </w:r>
      <w:r w:rsidRPr="00991E6B">
        <w:rPr>
          <w:rFonts w:cs="Arial" w:hint="cs"/>
          <w:rtl/>
        </w:rPr>
        <w:t>,</w:t>
      </w:r>
      <w:r w:rsidRPr="00991E6B">
        <w:rPr>
          <w:rFonts w:cs="Arial"/>
          <w:rtl/>
        </w:rPr>
        <w:t xml:space="preserve"> וניסת</w:t>
      </w:r>
      <w:r>
        <w:rPr>
          <w:rFonts w:hint="cs"/>
          <w:rtl/>
        </w:rPr>
        <w:t>.</w:t>
      </w:r>
    </w:p>
    <w:p w14:paraId="7CAA0B54" w14:textId="77777777" w:rsidR="002E5BAD" w:rsidRPr="001D7706" w:rsidRDefault="002E5BAD" w:rsidP="002E5BAD">
      <w:pPr>
        <w:rPr>
          <w:rFonts w:cs="Arial"/>
          <w:rtl/>
        </w:rPr>
      </w:pPr>
      <w:r w:rsidRPr="008957C2">
        <w:rPr>
          <w:rFonts w:hint="cs"/>
          <w:b/>
          <w:bCs/>
          <w:rtl/>
        </w:rPr>
        <w:t xml:space="preserve">בבא בתרא </w:t>
      </w:r>
      <w:r w:rsidRPr="008957C2">
        <w:rPr>
          <w:rFonts w:hint="cs"/>
          <w:b/>
          <w:bCs/>
          <w:sz w:val="16"/>
          <w:szCs w:val="16"/>
          <w:rtl/>
        </w:rPr>
        <w:t>(ס"פ יש נוחלין)</w:t>
      </w:r>
      <w:r w:rsidRPr="008957C2">
        <w:rPr>
          <w:rFonts w:hint="cs"/>
          <w:b/>
          <w:bCs/>
          <w:rtl/>
        </w:rPr>
        <w:t xml:space="preserve"> קלט ע"א:</w:t>
      </w:r>
      <w:r>
        <w:rPr>
          <w:rFonts w:hint="cs"/>
          <w:rtl/>
        </w:rPr>
        <w:t xml:space="preserve"> </w:t>
      </w:r>
      <w:r w:rsidRPr="00434387">
        <w:rPr>
          <w:rFonts w:cs="Arial"/>
          <w:u w:val="double"/>
          <w:rtl/>
        </w:rPr>
        <w:t>מתני'</w:t>
      </w:r>
      <w:r>
        <w:rPr>
          <w:rFonts w:cs="Arial" w:hint="cs"/>
          <w:rtl/>
        </w:rPr>
        <w:t>:...</w:t>
      </w:r>
      <w:r w:rsidRPr="00BB6026">
        <w:rPr>
          <w:rFonts w:cs="Arial"/>
          <w:rtl/>
        </w:rPr>
        <w:t xml:space="preserve"> הניח בנות גדולות וקטנות</w:t>
      </w:r>
      <w:r w:rsidRPr="00F20C9C">
        <w:rPr>
          <w:rStyle w:val="a7"/>
          <w:rFonts w:cs="Arial"/>
          <w:color w:val="000000" w:themeColor="text1"/>
          <w:rtl/>
        </w:rPr>
        <w:footnoteReference w:id="2165"/>
      </w:r>
      <w:r>
        <w:rPr>
          <w:rFonts w:cs="Arial" w:hint="cs"/>
          <w:rtl/>
        </w:rPr>
        <w:t>..</w:t>
      </w:r>
      <w:r w:rsidRPr="00BB6026">
        <w:rPr>
          <w:rFonts w:cs="Arial"/>
          <w:rtl/>
        </w:rPr>
        <w:t>. נשאו גדולות</w:t>
      </w:r>
      <w:r w:rsidRPr="00F20C9C">
        <w:rPr>
          <w:rStyle w:val="a7"/>
          <w:rFonts w:cs="Arial"/>
          <w:color w:val="000000" w:themeColor="text1"/>
          <w:rtl/>
        </w:rPr>
        <w:footnoteReference w:id="2166"/>
      </w:r>
      <w:r w:rsidRPr="00BB6026">
        <w:rPr>
          <w:rFonts w:cs="Arial"/>
          <w:rtl/>
        </w:rPr>
        <w:t xml:space="preserve"> - ישאו קטנות</w:t>
      </w:r>
      <w:r w:rsidRPr="00F20C9C">
        <w:rPr>
          <w:rStyle w:val="a7"/>
          <w:rFonts w:cs="Arial"/>
          <w:color w:val="000000" w:themeColor="text1"/>
          <w:rtl/>
        </w:rPr>
        <w:footnoteReference w:id="2167"/>
      </w:r>
      <w:r w:rsidRPr="00BB6026">
        <w:rPr>
          <w:rFonts w:cs="Arial"/>
          <w:rtl/>
        </w:rPr>
        <w:t>, ואם</w:t>
      </w:r>
      <w:r w:rsidRPr="00F20C9C">
        <w:rPr>
          <w:rStyle w:val="a7"/>
          <w:rFonts w:cs="Arial"/>
          <w:color w:val="000000" w:themeColor="text1"/>
          <w:rtl/>
        </w:rPr>
        <w:footnoteReference w:id="2168"/>
      </w:r>
      <w:r w:rsidRPr="00BB6026">
        <w:rPr>
          <w:rFonts w:cs="Arial"/>
          <w:rtl/>
        </w:rPr>
        <w:t xml:space="preserve"> אמרו קטנות: הרי אנו נושאות כדרך שנשאתם אתם - אין שומעין להן</w:t>
      </w:r>
      <w:r w:rsidRPr="00F20C9C">
        <w:rPr>
          <w:rStyle w:val="a7"/>
          <w:rFonts w:cs="Arial"/>
          <w:color w:val="000000" w:themeColor="text1"/>
          <w:rtl/>
        </w:rPr>
        <w:footnoteReference w:id="2169"/>
      </w:r>
      <w:r w:rsidRPr="00BB6026">
        <w:rPr>
          <w:rFonts w:cs="Arial"/>
          <w:rtl/>
        </w:rPr>
        <w:t>.</w:t>
      </w:r>
      <w:r>
        <w:rPr>
          <w:rFonts w:cs="Arial" w:hint="cs"/>
          <w:rtl/>
        </w:rPr>
        <w:t xml:space="preserve">..       </w:t>
      </w:r>
      <w:r w:rsidRPr="001D7706">
        <w:rPr>
          <w:rFonts w:cs="Arial" w:hint="cs"/>
          <w:u w:val="double"/>
          <w:rtl/>
        </w:rPr>
        <w:t>גמ'</w:t>
      </w:r>
      <w:r>
        <w:rPr>
          <w:rFonts w:cs="Arial" w:hint="cs"/>
          <w:rtl/>
        </w:rPr>
        <w:t>:</w:t>
      </w:r>
      <w:r w:rsidRPr="00BB6026">
        <w:rPr>
          <w:rFonts w:cs="Arial"/>
          <w:rtl/>
        </w:rPr>
        <w:t xml:space="preserve"> </w:t>
      </w:r>
      <w:r w:rsidRPr="00BB6026">
        <w:rPr>
          <w:rFonts w:cs="Arial"/>
          <w:u w:val="single"/>
          <w:rtl/>
        </w:rPr>
        <w:t>שלח ליה אבוה בר גניבא לרבא</w:t>
      </w:r>
      <w:r>
        <w:rPr>
          <w:rFonts w:cs="Arial" w:hint="cs"/>
          <w:rtl/>
        </w:rPr>
        <w:t>:</w:t>
      </w:r>
      <w:r w:rsidRPr="008957C2">
        <w:rPr>
          <w:rFonts w:cs="Arial"/>
          <w:rtl/>
        </w:rPr>
        <w:t xml:space="preserve"> ילמדנו רבינו</w:t>
      </w:r>
      <w:r>
        <w:rPr>
          <w:rFonts w:cs="Arial" w:hint="cs"/>
          <w:rtl/>
        </w:rPr>
        <w:t>,</w:t>
      </w:r>
      <w:r w:rsidRPr="008957C2">
        <w:rPr>
          <w:rFonts w:cs="Arial"/>
          <w:rtl/>
        </w:rPr>
        <w:t xml:space="preserve"> לוותה ואכלה</w:t>
      </w:r>
      <w:r>
        <w:rPr>
          <w:rFonts w:cs="Arial" w:hint="cs"/>
          <w:rtl/>
        </w:rPr>
        <w:t>,</w:t>
      </w:r>
      <w:r w:rsidRPr="008957C2">
        <w:rPr>
          <w:rFonts w:cs="Arial"/>
          <w:rtl/>
        </w:rPr>
        <w:t xml:space="preserve"> ועמדה ונשאת, בעל לוקח הוי או יורש הוי? לוקח הוי, ומלוה על פה אינו גובה מן הלקוחות, או דלמא יורש הוי, ומלוה על פה גובה מן היורשין? </w:t>
      </w:r>
      <w:r w:rsidRPr="00BB6026">
        <w:rPr>
          <w:rFonts w:cs="Arial"/>
          <w:u w:val="single"/>
          <w:rtl/>
        </w:rPr>
        <w:t>אמר ליה</w:t>
      </w:r>
      <w:r>
        <w:rPr>
          <w:rFonts w:cs="Arial" w:hint="cs"/>
          <w:rtl/>
        </w:rPr>
        <w:t>:</w:t>
      </w:r>
      <w:r w:rsidRPr="008957C2">
        <w:rPr>
          <w:rFonts w:cs="Arial"/>
          <w:rtl/>
        </w:rPr>
        <w:t xml:space="preserve"> תנינא</w:t>
      </w:r>
      <w:r>
        <w:rPr>
          <w:rFonts w:cs="Arial" w:hint="cs"/>
          <w:rtl/>
        </w:rPr>
        <w:t>,</w:t>
      </w:r>
      <w:r w:rsidRPr="008957C2">
        <w:rPr>
          <w:rFonts w:cs="Arial"/>
          <w:rtl/>
        </w:rPr>
        <w:t xml:space="preserve"> נשאו גדולות - ישאו קטנות</w:t>
      </w:r>
      <w:r>
        <w:rPr>
          <w:rFonts w:cs="Arial" w:hint="cs"/>
          <w:rtl/>
        </w:rPr>
        <w:t>.</w:t>
      </w:r>
      <w:r w:rsidRPr="008957C2">
        <w:rPr>
          <w:rFonts w:cs="Arial"/>
          <w:rtl/>
        </w:rPr>
        <w:t xml:space="preserve"> מאי לאו נשאו גדולות לבעל - ישאו קטנות מבעל</w:t>
      </w:r>
      <w:r w:rsidRPr="00F20C9C">
        <w:rPr>
          <w:rStyle w:val="a7"/>
          <w:rFonts w:cs="Arial"/>
          <w:color w:val="000000" w:themeColor="text1"/>
          <w:rtl/>
        </w:rPr>
        <w:footnoteReference w:id="2170"/>
      </w:r>
      <w:r w:rsidRPr="008957C2">
        <w:rPr>
          <w:rFonts w:cs="Arial"/>
          <w:rtl/>
        </w:rPr>
        <w:t>! לא, נשאו גדולות לבעל - ישאו קטנות לבעל</w:t>
      </w:r>
      <w:r w:rsidRPr="00F20C9C">
        <w:rPr>
          <w:rStyle w:val="a7"/>
          <w:rFonts w:cs="Arial"/>
          <w:color w:val="000000" w:themeColor="text1"/>
          <w:rtl/>
        </w:rPr>
        <w:footnoteReference w:id="2171"/>
      </w:r>
      <w:r w:rsidRPr="008957C2">
        <w:rPr>
          <w:rFonts w:cs="Arial"/>
          <w:rtl/>
        </w:rPr>
        <w:t xml:space="preserve">. איני? והא תני ר' חייא: נשאו גדולות לבעל - ישאו קטנות מבעל! דלמא שאני פרנסה, דאית לה קלא. </w:t>
      </w:r>
      <w:r w:rsidRPr="00187118">
        <w:rPr>
          <w:rFonts w:cs="Arial"/>
          <w:u w:val="single"/>
          <w:rtl/>
        </w:rPr>
        <w:t>א"ל רב פפא לרבא</w:t>
      </w:r>
      <w:r>
        <w:rPr>
          <w:rFonts w:cs="Arial" w:hint="cs"/>
          <w:rtl/>
        </w:rPr>
        <w:t>:</w:t>
      </w:r>
      <w:r w:rsidRPr="008957C2">
        <w:rPr>
          <w:rFonts w:cs="Arial"/>
          <w:rtl/>
        </w:rPr>
        <w:t xml:space="preserve"> לאו היינו דשלח רבין באגרתיה: מי שמת והניח אלמנה ובת - אלמנתו נזונת מנכסיו, נשאת הבת - אלמנתו נזונת מנכסיו</w:t>
      </w:r>
      <w:r>
        <w:rPr>
          <w:rFonts w:cs="Arial" w:hint="cs"/>
          <w:rtl/>
        </w:rPr>
        <w:t>.</w:t>
      </w:r>
      <w:r w:rsidRPr="008957C2">
        <w:rPr>
          <w:rFonts w:cs="Arial"/>
          <w:rtl/>
        </w:rPr>
        <w:t xml:space="preserve"> מתה הבת - אמר רב יהודה בן אחותו של ר' יוסי ברבי חנינא, ע"י היה מעשה ואמרו: אלמנתו נזונת מנכסיו</w:t>
      </w:r>
      <w:r>
        <w:rPr>
          <w:rFonts w:cs="Arial" w:hint="cs"/>
          <w:rtl/>
        </w:rPr>
        <w:t>.</w:t>
      </w:r>
      <w:r w:rsidRPr="008957C2">
        <w:rPr>
          <w:rFonts w:cs="Arial"/>
          <w:rtl/>
        </w:rPr>
        <w:t xml:space="preserve"> אי אמרת בשלמא יורש הוי, משום הכי אלמנתו נזונת מנכסיו, אלא אי אמרת לוקח הוי, אמאי נזונת מנכסיו? </w:t>
      </w:r>
      <w:r w:rsidRPr="00187118">
        <w:rPr>
          <w:rFonts w:cs="Arial"/>
          <w:u w:val="single"/>
          <w:rtl/>
        </w:rPr>
        <w:t>אמר אביי</w:t>
      </w:r>
      <w:r w:rsidRPr="008957C2">
        <w:rPr>
          <w:rFonts w:cs="Arial"/>
          <w:rtl/>
        </w:rPr>
        <w:t>: אי לאו דשלח רבין, אנן לא ידעינן? והא תנן, אלו הן שאין חוזרין ביובל: הבכורה,</w:t>
      </w:r>
      <w:r w:rsidRPr="00991E6B">
        <w:rPr>
          <w:rtl/>
        </w:rPr>
        <w:t xml:space="preserve"> </w:t>
      </w:r>
      <w:r>
        <w:rPr>
          <w:rFonts w:hint="cs"/>
          <w:sz w:val="14"/>
          <w:szCs w:val="14"/>
          <w:rtl/>
        </w:rPr>
        <w:t xml:space="preserve">(קלט:) </w:t>
      </w:r>
      <w:r w:rsidRPr="00991E6B">
        <w:rPr>
          <w:rFonts w:cs="Arial"/>
          <w:rtl/>
        </w:rPr>
        <w:t xml:space="preserve">והיורש את אשתו! </w:t>
      </w:r>
      <w:r w:rsidRPr="00187118">
        <w:rPr>
          <w:rFonts w:cs="Arial"/>
          <w:u w:val="single"/>
          <w:rtl/>
        </w:rPr>
        <w:t>אמר ליה רבא</w:t>
      </w:r>
      <w:r w:rsidRPr="00991E6B">
        <w:rPr>
          <w:rFonts w:cs="Arial"/>
          <w:rtl/>
        </w:rPr>
        <w:t xml:space="preserve">: והשתא דשלח מי ידעינן? האמר ר' יוסי בר' חנינא: באושא התקינו, האשה שמכרה נכסי מלוג בחיי בעלה ומתה - הבעל מוציא מיד הלקוחות! </w:t>
      </w:r>
      <w:r w:rsidRPr="00187118">
        <w:rPr>
          <w:rFonts w:cs="Arial"/>
          <w:u w:val="single"/>
          <w:rtl/>
        </w:rPr>
        <w:t>אלא אמר רב אשי</w:t>
      </w:r>
      <w:r w:rsidRPr="00991E6B">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 והא גבי דר' יוסי בר' חנינא דאיכא פסידא ללקוחות, ושויוהו רבנן כלוקח! התם אינהו אפסידו אנפשייהו, כיון דאיכא בעל, לא איבעי להו למיזבן מאיתתא דיתבא תותי גברא.</w:t>
      </w:r>
      <w:r w:rsidRPr="00645CD0">
        <w:rPr>
          <w:rtl/>
        </w:rPr>
        <w:t xml:space="preserve"> </w:t>
      </w:r>
      <w:r w:rsidRPr="00645CD0">
        <w:rPr>
          <w:rFonts w:cs="Arial" w:hint="cs"/>
          <w:sz w:val="16"/>
          <w:szCs w:val="16"/>
          <w:rtl/>
        </w:rPr>
        <w:t>(</w:t>
      </w:r>
      <w:r w:rsidRPr="00645CD0">
        <w:rPr>
          <w:rFonts w:cs="Arial"/>
          <w:sz w:val="16"/>
          <w:szCs w:val="16"/>
          <w:rtl/>
        </w:rPr>
        <w:t>ולא איפשיטא בעיין הלכך מלוה על פה לא גבי מיניה דבעל ואיהו אפסיד אנפשיה דלא איבעי ליה לאוזפי בלא שטרא</w:t>
      </w:r>
      <w:r>
        <w:rPr>
          <w:rFonts w:cs="Arial" w:hint="cs"/>
          <w:sz w:val="16"/>
          <w:szCs w:val="16"/>
          <w:rtl/>
        </w:rPr>
        <w:t>, רי"ף (סה.). והעתיק הרא"ש (פ"ח סי' נו) את לשונו. אך הרשב"ם והר"ח פירשו אחרת כדלקמן)</w:t>
      </w:r>
    </w:p>
    <w:p w14:paraId="22818F20" w14:textId="77777777" w:rsidR="002E5BAD" w:rsidRPr="00991E6B" w:rsidRDefault="002E5BAD" w:rsidP="002E5BAD">
      <w:pPr>
        <w:rPr>
          <w:u w:val="single"/>
          <w:rtl/>
        </w:rPr>
      </w:pPr>
      <w:r w:rsidRPr="00991E6B">
        <w:rPr>
          <w:rFonts w:cs="Arial" w:hint="cs"/>
          <w:u w:val="single"/>
          <w:rtl/>
        </w:rPr>
        <w:t>אשה ש</w:t>
      </w:r>
      <w:r w:rsidRPr="00991E6B">
        <w:rPr>
          <w:rFonts w:cs="Arial"/>
          <w:u w:val="single"/>
          <w:rtl/>
        </w:rPr>
        <w:t>היה עליה מלוה קודם שנ</w:t>
      </w:r>
      <w:r>
        <w:rPr>
          <w:rFonts w:cs="Arial" w:hint="cs"/>
          <w:u w:val="single"/>
          <w:rtl/>
        </w:rPr>
        <w:t>שא</w:t>
      </w:r>
      <w:r w:rsidRPr="00991E6B">
        <w:rPr>
          <w:rFonts w:cs="Arial"/>
          <w:u w:val="single"/>
          <w:rtl/>
        </w:rPr>
        <w:t>ת</w:t>
      </w:r>
      <w:r w:rsidRPr="00991E6B">
        <w:rPr>
          <w:rFonts w:cs="Arial" w:hint="cs"/>
          <w:u w:val="single"/>
          <w:rtl/>
        </w:rPr>
        <w:t>,</w:t>
      </w:r>
      <w:r w:rsidRPr="00991E6B">
        <w:rPr>
          <w:rFonts w:cs="Arial"/>
          <w:u w:val="single"/>
          <w:rtl/>
        </w:rPr>
        <w:t xml:space="preserve"> ונ</w:t>
      </w:r>
      <w:r>
        <w:rPr>
          <w:rFonts w:cs="Arial" w:hint="cs"/>
          <w:u w:val="single"/>
          <w:rtl/>
        </w:rPr>
        <w:t>שא</w:t>
      </w:r>
      <w:r w:rsidRPr="00991E6B">
        <w:rPr>
          <w:rFonts w:cs="Arial"/>
          <w:u w:val="single"/>
          <w:rtl/>
        </w:rPr>
        <w:t>ת</w:t>
      </w:r>
      <w:r w:rsidRPr="00991E6B">
        <w:rPr>
          <w:rFonts w:cs="Arial" w:hint="cs"/>
          <w:u w:val="single"/>
          <w:rtl/>
        </w:rPr>
        <w:t xml:space="preserve"> </w:t>
      </w:r>
      <w:r w:rsidRPr="00991E6B">
        <w:rPr>
          <w:rFonts w:cs="Arial"/>
          <w:u w:val="single"/>
          <w:rtl/>
        </w:rPr>
        <w:t>–</w:t>
      </w:r>
      <w:r w:rsidRPr="00991E6B">
        <w:rPr>
          <w:rFonts w:cs="Arial" w:hint="cs"/>
          <w:u w:val="single"/>
          <w:rtl/>
        </w:rPr>
        <w:t xml:space="preserve"> האם המלוה גובה מהבעל:</w:t>
      </w:r>
    </w:p>
    <w:p w14:paraId="5F5C90F8" w14:textId="77777777" w:rsidR="002E5BAD" w:rsidRPr="00557079" w:rsidRDefault="002E5BAD" w:rsidP="002E5BAD">
      <w:pPr>
        <w:pStyle w:val="ab"/>
        <w:numPr>
          <w:ilvl w:val="0"/>
          <w:numId w:val="186"/>
        </w:numPr>
      </w:pPr>
      <w:r>
        <w:rPr>
          <w:rFonts w:cs="Arial" w:hint="cs"/>
          <w:rtl/>
        </w:rPr>
        <w:t xml:space="preserve">רי"ף </w:t>
      </w:r>
      <w:r>
        <w:rPr>
          <w:rFonts w:cs="Arial" w:hint="cs"/>
          <w:sz w:val="16"/>
          <w:szCs w:val="16"/>
          <w:rtl/>
        </w:rPr>
        <w:t xml:space="preserve">(סה.) </w:t>
      </w:r>
      <w:r>
        <w:rPr>
          <w:rFonts w:cs="Arial" w:hint="cs"/>
          <w:rtl/>
        </w:rPr>
        <w:t xml:space="preserve">רמב"ם </w:t>
      </w:r>
      <w:r>
        <w:rPr>
          <w:rFonts w:cs="Arial" w:hint="cs"/>
          <w:sz w:val="16"/>
          <w:szCs w:val="16"/>
          <w:rtl/>
        </w:rPr>
        <w:t xml:space="preserve">(ספכ"ו מהל' מלוה) </w:t>
      </w:r>
      <w:r>
        <w:rPr>
          <w:rFonts w:cs="Arial" w:hint="cs"/>
          <w:rtl/>
        </w:rPr>
        <w:t xml:space="preserve">רמ"ה </w:t>
      </w:r>
      <w:r>
        <w:rPr>
          <w:rFonts w:cs="Arial" w:hint="cs"/>
          <w:sz w:val="16"/>
          <w:szCs w:val="16"/>
          <w:rtl/>
        </w:rPr>
        <w:t xml:space="preserve">(כ"כ הטור בשמו) </w:t>
      </w:r>
      <w:r>
        <w:rPr>
          <w:rFonts w:cs="Arial" w:hint="cs"/>
          <w:rtl/>
        </w:rPr>
        <w:t xml:space="preserve">מרדכי </w:t>
      </w:r>
      <w:r>
        <w:rPr>
          <w:rFonts w:cs="Arial" w:hint="cs"/>
          <w:sz w:val="16"/>
          <w:szCs w:val="16"/>
          <w:rtl/>
        </w:rPr>
        <w:t xml:space="preserve">(ב"ב סי' תקצח) </w:t>
      </w:r>
      <w:r>
        <w:rPr>
          <w:rFonts w:cs="Arial" w:hint="cs"/>
          <w:rtl/>
        </w:rPr>
        <w:t xml:space="preserve">רא"ש </w:t>
      </w:r>
      <w:r>
        <w:rPr>
          <w:rFonts w:cs="Arial" w:hint="cs"/>
          <w:sz w:val="16"/>
          <w:szCs w:val="16"/>
          <w:rtl/>
        </w:rPr>
        <w:t xml:space="preserve">(פ"ח סי' נו) </w:t>
      </w:r>
      <w:r>
        <w:rPr>
          <w:rFonts w:cs="Arial" w:hint="cs"/>
          <w:rtl/>
        </w:rPr>
        <w:t xml:space="preserve">וטור- </w:t>
      </w:r>
      <w:r w:rsidRPr="00F31ACB">
        <w:rPr>
          <w:rFonts w:cs="Arial"/>
          <w:rtl/>
        </w:rPr>
        <w:t>היה עליה מלוה ע"פ קודם שניסת</w:t>
      </w:r>
      <w:r>
        <w:rPr>
          <w:rFonts w:cs="Arial" w:hint="cs"/>
          <w:rtl/>
        </w:rPr>
        <w:t>,</w:t>
      </w:r>
      <w:r w:rsidRPr="00F31ACB">
        <w:rPr>
          <w:rFonts w:cs="Arial"/>
          <w:rtl/>
        </w:rPr>
        <w:t xml:space="preserve"> וניסת </w:t>
      </w:r>
      <w:r>
        <w:rPr>
          <w:rFonts w:cs="Arial" w:hint="cs"/>
          <w:rtl/>
        </w:rPr>
        <w:t xml:space="preserve">- </w:t>
      </w:r>
      <w:r w:rsidRPr="00F31ACB">
        <w:rPr>
          <w:rFonts w:cs="Arial"/>
          <w:rtl/>
        </w:rPr>
        <w:t>אינה נגבית מן הבעל</w:t>
      </w:r>
      <w:r>
        <w:rPr>
          <w:rFonts w:cs="Arial" w:hint="cs"/>
          <w:rtl/>
        </w:rPr>
        <w:t>,</w:t>
      </w:r>
      <w:r w:rsidRPr="00F31ACB">
        <w:rPr>
          <w:rFonts w:cs="Arial"/>
          <w:rtl/>
        </w:rPr>
        <w:t xml:space="preserve"> דמלוה ע"פ אינו גובה מן הלקוחות</w:t>
      </w:r>
      <w:r>
        <w:rPr>
          <w:rFonts w:cs="Arial" w:hint="cs"/>
          <w:rtl/>
        </w:rPr>
        <w:t>.</w:t>
      </w:r>
      <w:r w:rsidRPr="00F31ACB">
        <w:rPr>
          <w:rFonts w:cs="Arial"/>
          <w:rtl/>
        </w:rPr>
        <w:t xml:space="preserve"> היה עליה מלוה בשטר </w:t>
      </w:r>
      <w:r>
        <w:rPr>
          <w:rFonts w:cs="Arial" w:hint="cs"/>
          <w:rtl/>
        </w:rPr>
        <w:t xml:space="preserve">- </w:t>
      </w:r>
      <w:r w:rsidRPr="00F31ACB">
        <w:rPr>
          <w:rFonts w:cs="Arial"/>
          <w:rtl/>
        </w:rPr>
        <w:t>גובה ממנו</w:t>
      </w:r>
      <w:r>
        <w:rPr>
          <w:rStyle w:val="a7"/>
          <w:rFonts w:cs="Arial"/>
          <w:rtl/>
        </w:rPr>
        <w:footnoteReference w:id="2172"/>
      </w:r>
      <w:r>
        <w:rPr>
          <w:rFonts w:cs="Arial" w:hint="cs"/>
          <w:sz w:val="16"/>
          <w:szCs w:val="16"/>
          <w:rtl/>
        </w:rPr>
        <w:t xml:space="preserve"> (ל' הטור)</w:t>
      </w:r>
      <w:r>
        <w:rPr>
          <w:rFonts w:cs="Arial" w:hint="cs"/>
          <w:rtl/>
        </w:rPr>
        <w:t>.</w:t>
      </w:r>
      <w:r w:rsidRPr="00F31ACB">
        <w:rPr>
          <w:rFonts w:cs="Arial"/>
          <w:rtl/>
        </w:rPr>
        <w:t xml:space="preserve"> </w:t>
      </w:r>
      <w:r w:rsidRPr="009B52EC">
        <w:rPr>
          <w:rFonts w:cs="Arial" w:hint="cs"/>
          <w:color w:val="E36C0A" w:themeColor="accent6" w:themeShade="BF"/>
          <w:rtl/>
        </w:rPr>
        <w:t>(וכ"פ בשו"ע)</w:t>
      </w:r>
      <w:r w:rsidRPr="00234CC7">
        <w:rPr>
          <w:rFonts w:cs="Arial" w:hint="cs"/>
          <w:color w:val="00B0F0"/>
          <w:rtl/>
        </w:rPr>
        <w:t xml:space="preserve"> </w:t>
      </w:r>
    </w:p>
    <w:p w14:paraId="7D326BD5" w14:textId="77777777" w:rsidR="002E5BAD" w:rsidRPr="00CA03CB" w:rsidRDefault="002E5BAD" w:rsidP="002E5BAD">
      <w:pPr>
        <w:pStyle w:val="ab"/>
        <w:numPr>
          <w:ilvl w:val="0"/>
          <w:numId w:val="186"/>
        </w:numPr>
      </w:pPr>
      <w:r>
        <w:rPr>
          <w:rFonts w:cs="Arial" w:hint="cs"/>
          <w:rtl/>
        </w:rPr>
        <w:t xml:space="preserve">ר"ח </w:t>
      </w:r>
      <w:r>
        <w:rPr>
          <w:rFonts w:cs="Arial" w:hint="cs"/>
          <w:sz w:val="16"/>
          <w:szCs w:val="16"/>
          <w:rtl/>
        </w:rPr>
        <w:t>(כ"כ הרשב"ם בשמו)</w:t>
      </w:r>
      <w:r>
        <w:rPr>
          <w:rFonts w:cs="Arial" w:hint="cs"/>
          <w:rtl/>
        </w:rPr>
        <w:t xml:space="preserve"> ו</w:t>
      </w:r>
      <w:r w:rsidRPr="00F31ACB">
        <w:rPr>
          <w:rFonts w:cs="Arial"/>
          <w:rtl/>
        </w:rPr>
        <w:t>רשב"ם</w:t>
      </w:r>
      <w:r w:rsidRPr="00F20C9C">
        <w:rPr>
          <w:rStyle w:val="a7"/>
          <w:rFonts w:cs="Arial"/>
          <w:color w:val="000000" w:themeColor="text1"/>
          <w:rtl/>
        </w:rPr>
        <w:footnoteReference w:id="2173"/>
      </w:r>
      <w:r>
        <w:rPr>
          <w:rFonts w:cs="Arial" w:hint="cs"/>
          <w:sz w:val="16"/>
          <w:szCs w:val="16"/>
          <w:rtl/>
        </w:rPr>
        <w:t xml:space="preserve"> (קלט: ד"ה דיתבא)</w:t>
      </w:r>
      <w:r>
        <w:rPr>
          <w:rFonts w:cs="Arial" w:hint="cs"/>
          <w:rtl/>
        </w:rPr>
        <w:t>-</w:t>
      </w:r>
      <w:r w:rsidRPr="00F31ACB">
        <w:rPr>
          <w:rFonts w:cs="Arial"/>
          <w:rtl/>
        </w:rPr>
        <w:t xml:space="preserve"> אף מלוה ע"פ גובה ממנו</w:t>
      </w:r>
      <w:r>
        <w:rPr>
          <w:rFonts w:cs="Arial" w:hint="cs"/>
          <w:sz w:val="16"/>
          <w:szCs w:val="16"/>
          <w:rtl/>
        </w:rPr>
        <w:t xml:space="preserve"> (ל' הטור בשמם)</w:t>
      </w:r>
      <w:r>
        <w:rPr>
          <w:rFonts w:cs="Arial" w:hint="cs"/>
          <w:rtl/>
        </w:rPr>
        <w:t>.</w:t>
      </w:r>
      <w:r w:rsidRPr="00F31ACB">
        <w:rPr>
          <w:rFonts w:cs="Arial"/>
          <w:rtl/>
        </w:rPr>
        <w:t xml:space="preserve"> </w:t>
      </w:r>
    </w:p>
    <w:p w14:paraId="125FC03F" w14:textId="77777777" w:rsidR="002E5BAD" w:rsidRPr="00CA03CB" w:rsidRDefault="002E5BAD" w:rsidP="002E5BAD">
      <w:pPr>
        <w:ind w:left="360"/>
        <w:rPr>
          <w:u w:val="dotted"/>
        </w:rPr>
      </w:pPr>
      <w:r>
        <w:rPr>
          <w:rFonts w:hint="cs"/>
          <w:u w:val="dotted"/>
          <w:rtl/>
        </w:rPr>
        <w:t xml:space="preserve">לרי"ף וסיעתו - </w:t>
      </w:r>
      <w:r w:rsidRPr="00CA03CB">
        <w:rPr>
          <w:rFonts w:hint="cs"/>
          <w:u w:val="dotted"/>
          <w:rtl/>
        </w:rPr>
        <w:t>מה הדין אם המעות בעין:</w:t>
      </w:r>
    </w:p>
    <w:p w14:paraId="7E5ED9B8" w14:textId="77777777" w:rsidR="002E5BAD" w:rsidRPr="00CA03CB" w:rsidRDefault="002E5BAD" w:rsidP="002E5BAD">
      <w:pPr>
        <w:pStyle w:val="ab"/>
        <w:numPr>
          <w:ilvl w:val="0"/>
          <w:numId w:val="186"/>
        </w:numPr>
      </w:pPr>
      <w:r w:rsidRPr="00CA03CB">
        <w:rPr>
          <w:rFonts w:cs="Arial"/>
          <w:rtl/>
        </w:rPr>
        <w:t>נמוק</w:t>
      </w:r>
      <w:r w:rsidRPr="00CA03CB">
        <w:rPr>
          <w:rFonts w:cs="Arial" w:hint="cs"/>
          <w:rtl/>
        </w:rPr>
        <w:t>"</w:t>
      </w:r>
      <w:r w:rsidRPr="00CA03CB">
        <w:rPr>
          <w:rFonts w:cs="Arial"/>
          <w:rtl/>
        </w:rPr>
        <w:t xml:space="preserve">י </w:t>
      </w:r>
      <w:r w:rsidRPr="00CA03CB">
        <w:rPr>
          <w:rFonts w:cs="Arial"/>
          <w:sz w:val="16"/>
          <w:szCs w:val="16"/>
          <w:rtl/>
        </w:rPr>
        <w:t>(סה. דיבור ראשון)</w:t>
      </w:r>
      <w:r>
        <w:rPr>
          <w:rFonts w:cs="Arial" w:hint="cs"/>
          <w:rtl/>
        </w:rPr>
        <w:t xml:space="preserve">- </w:t>
      </w:r>
      <w:r w:rsidRPr="00CA03CB">
        <w:rPr>
          <w:rFonts w:cs="Arial"/>
          <w:rtl/>
        </w:rPr>
        <w:t>אפילו המעות בעין איבעיא לן משום דמלוה להוצאה ניתנה</w:t>
      </w:r>
      <w:r>
        <w:rPr>
          <w:rFonts w:cs="Arial" w:hint="cs"/>
          <w:rtl/>
        </w:rPr>
        <w:t>.</w:t>
      </w:r>
      <w:r w:rsidRPr="00CA03CB">
        <w:rPr>
          <w:rFonts w:cs="Arial"/>
          <w:rtl/>
        </w:rPr>
        <w:t xml:space="preserve"> </w:t>
      </w:r>
    </w:p>
    <w:p w14:paraId="17D367D3" w14:textId="77777777" w:rsidR="002E5BAD" w:rsidRDefault="002E5BAD" w:rsidP="002E5BAD">
      <w:pPr>
        <w:pStyle w:val="ab"/>
        <w:numPr>
          <w:ilvl w:val="0"/>
          <w:numId w:val="186"/>
        </w:numPr>
      </w:pPr>
      <w:r>
        <w:rPr>
          <w:rFonts w:cs="Arial" w:hint="cs"/>
          <w:rtl/>
        </w:rPr>
        <w:t xml:space="preserve">רמב"ם </w:t>
      </w:r>
      <w:r>
        <w:rPr>
          <w:rFonts w:cs="Arial" w:hint="cs"/>
          <w:sz w:val="16"/>
          <w:szCs w:val="16"/>
          <w:rtl/>
        </w:rPr>
        <w:t>(ספכ"ו מהל' מלוה)</w:t>
      </w:r>
      <w:r>
        <w:rPr>
          <w:rFonts w:cs="Arial" w:hint="cs"/>
          <w:rtl/>
        </w:rPr>
        <w:t xml:space="preserve"> </w:t>
      </w:r>
      <w:r w:rsidRPr="00EB3C2B">
        <w:rPr>
          <w:rFonts w:cs="Arial"/>
          <w:rtl/>
        </w:rPr>
        <w:t xml:space="preserve">מרדכי </w:t>
      </w:r>
      <w:r w:rsidRPr="00A451D1">
        <w:rPr>
          <w:rFonts w:cs="Arial" w:hint="cs"/>
          <w:sz w:val="16"/>
          <w:szCs w:val="16"/>
          <w:rtl/>
        </w:rPr>
        <w:t>(</w:t>
      </w:r>
      <w:r w:rsidRPr="00A451D1">
        <w:rPr>
          <w:rFonts w:cs="Arial"/>
          <w:sz w:val="16"/>
          <w:szCs w:val="16"/>
          <w:rtl/>
        </w:rPr>
        <w:t>פ</w:t>
      </w:r>
      <w:r w:rsidRPr="00A451D1">
        <w:rPr>
          <w:rFonts w:cs="Arial" w:hint="cs"/>
          <w:sz w:val="16"/>
          <w:szCs w:val="16"/>
          <w:rtl/>
        </w:rPr>
        <w:t>'</w:t>
      </w:r>
      <w:r w:rsidRPr="00A451D1">
        <w:rPr>
          <w:rFonts w:cs="Arial"/>
          <w:sz w:val="16"/>
          <w:szCs w:val="16"/>
          <w:rtl/>
        </w:rPr>
        <w:t xml:space="preserve"> יש נוחלין סי' תקצח) </w:t>
      </w:r>
      <w:r>
        <w:rPr>
          <w:rFonts w:cs="Arial" w:hint="cs"/>
          <w:rtl/>
        </w:rPr>
        <w:t>ורי"ו</w:t>
      </w:r>
      <w:r w:rsidRPr="00CA03CB">
        <w:rPr>
          <w:rFonts w:cs="Arial"/>
          <w:rtl/>
        </w:rPr>
        <w:t xml:space="preserve"> </w:t>
      </w:r>
      <w:r w:rsidRPr="00CA03CB">
        <w:rPr>
          <w:rFonts w:cs="Arial"/>
          <w:sz w:val="16"/>
          <w:szCs w:val="16"/>
          <w:rtl/>
        </w:rPr>
        <w:t>(מישרים נכ"ג ח"ו נח ע"ג)</w:t>
      </w:r>
      <w:r>
        <w:rPr>
          <w:rFonts w:cs="Arial" w:hint="cs"/>
          <w:rtl/>
        </w:rPr>
        <w:t>-</w:t>
      </w:r>
      <w:r w:rsidRPr="00CA03CB">
        <w:rPr>
          <w:rFonts w:cs="Arial"/>
          <w:rtl/>
        </w:rPr>
        <w:t xml:space="preserve"> </w:t>
      </w:r>
      <w:r w:rsidRPr="00A451D1">
        <w:rPr>
          <w:rFonts w:cs="Arial"/>
          <w:rtl/>
        </w:rPr>
        <w:t>אם היו המעות הלוואה עצמן קיימין יחזיר אותם למלוה</w:t>
      </w:r>
      <w:r w:rsidRPr="00F20C9C">
        <w:rPr>
          <w:rStyle w:val="a7"/>
          <w:rFonts w:cs="Arial"/>
          <w:color w:val="000000" w:themeColor="text1"/>
          <w:rtl/>
        </w:rPr>
        <w:footnoteReference w:id="2174"/>
      </w:r>
      <w:r>
        <w:rPr>
          <w:rFonts w:cs="Arial" w:hint="cs"/>
          <w:sz w:val="16"/>
          <w:szCs w:val="16"/>
          <w:rtl/>
        </w:rPr>
        <w:t xml:space="preserve"> (ל' המרדכי)</w:t>
      </w:r>
      <w:r w:rsidRPr="00CA03CB">
        <w:rPr>
          <w:rFonts w:cs="Arial" w:hint="cs"/>
          <w:rtl/>
        </w:rPr>
        <w:t>.</w:t>
      </w:r>
      <w:r w:rsidRPr="00CA03CB">
        <w:rPr>
          <w:rFonts w:cs="Arial"/>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p>
    <w:p w14:paraId="2442C66C" w14:textId="77777777" w:rsidR="002E5BAD" w:rsidRPr="00A451D1" w:rsidRDefault="002E5BAD" w:rsidP="002E5BAD">
      <w:pPr>
        <w:ind w:left="360"/>
        <w:rPr>
          <w:u w:val="dotted"/>
        </w:rPr>
      </w:pPr>
      <w:r w:rsidRPr="00A451D1">
        <w:rPr>
          <w:rFonts w:hint="cs"/>
          <w:u w:val="dotted"/>
          <w:rtl/>
        </w:rPr>
        <w:t xml:space="preserve">מה הדין אם לא הכניסה לבעלה שום </w:t>
      </w:r>
      <w:r>
        <w:rPr>
          <w:rFonts w:hint="cs"/>
          <w:u w:val="dotted"/>
          <w:rtl/>
        </w:rPr>
        <w:t>ממון</w:t>
      </w:r>
      <w:r w:rsidRPr="00A451D1">
        <w:rPr>
          <w:rFonts w:hint="cs"/>
          <w:u w:val="dotted"/>
          <w:rtl/>
        </w:rPr>
        <w:t>:</w:t>
      </w:r>
      <w:r w:rsidRPr="00A451D1">
        <w:rPr>
          <w:rFonts w:cs="Arial" w:hint="cs"/>
          <w:rtl/>
        </w:rPr>
        <w:t xml:space="preserve"> </w:t>
      </w:r>
      <w:r w:rsidRPr="00A451D1">
        <w:rPr>
          <w:rFonts w:cs="Arial" w:hint="cs"/>
          <w:sz w:val="16"/>
          <w:szCs w:val="16"/>
          <w:rtl/>
        </w:rPr>
        <w:t>(דרכ"מ אות ב)</w:t>
      </w:r>
    </w:p>
    <w:p w14:paraId="30C2DCA0" w14:textId="77777777" w:rsidR="002E5BAD" w:rsidRDefault="002E5BAD" w:rsidP="002E5BAD">
      <w:pPr>
        <w:pStyle w:val="ab"/>
        <w:numPr>
          <w:ilvl w:val="0"/>
          <w:numId w:val="186"/>
        </w:numPr>
      </w:pPr>
      <w:r>
        <w:rPr>
          <w:rFonts w:cs="Arial" w:hint="cs"/>
          <w:rtl/>
        </w:rPr>
        <w:t xml:space="preserve">מרדכי </w:t>
      </w:r>
      <w:r>
        <w:rPr>
          <w:rFonts w:cs="Arial" w:hint="cs"/>
          <w:sz w:val="16"/>
          <w:szCs w:val="16"/>
          <w:rtl/>
        </w:rPr>
        <w:t>(ב"ב סי' תקצח)</w:t>
      </w:r>
      <w:r>
        <w:rPr>
          <w:rFonts w:hint="cs"/>
          <w:rtl/>
        </w:rPr>
        <w:t xml:space="preserve">- </w:t>
      </w:r>
      <w:r w:rsidRPr="00EB3C2B">
        <w:rPr>
          <w:rFonts w:cs="Arial"/>
          <w:rtl/>
        </w:rPr>
        <w:t>אם לא הכניסה לבעל שום ממון פשיטא דאין צריך לשלם לכולי עלמא</w:t>
      </w:r>
      <w:r>
        <w:rPr>
          <w:rStyle w:val="a7"/>
          <w:rFonts w:cs="Arial"/>
          <w:rtl/>
        </w:rPr>
        <w:footnoteReference w:id="2175"/>
      </w:r>
      <w:r>
        <w:rPr>
          <w:rFonts w:hint="cs"/>
          <w:rtl/>
        </w:rPr>
        <w:t>. (וכ"פ ב"ש</w:t>
      </w:r>
      <w:r w:rsidRPr="00F20C9C">
        <w:rPr>
          <w:rStyle w:val="a7"/>
          <w:rFonts w:cs="Arial"/>
          <w:color w:val="000000" w:themeColor="text1"/>
          <w:rtl/>
        </w:rPr>
        <w:footnoteReference w:id="2176"/>
      </w:r>
      <w:r>
        <w:rPr>
          <w:rFonts w:hint="cs"/>
          <w:sz w:val="16"/>
          <w:szCs w:val="16"/>
          <w:rtl/>
        </w:rPr>
        <w:t xml:space="preserve"> [סק"ט]</w:t>
      </w:r>
      <w:r>
        <w:rPr>
          <w:rFonts w:hint="cs"/>
          <w:rtl/>
        </w:rPr>
        <w:t>)</w:t>
      </w:r>
    </w:p>
    <w:p w14:paraId="3E96B33A" w14:textId="77777777" w:rsidR="002E5BAD" w:rsidRPr="00F64B58" w:rsidRDefault="002E5BAD" w:rsidP="002E5BAD">
      <w:pPr>
        <w:ind w:left="360"/>
        <w:rPr>
          <w:u w:val="dotted"/>
        </w:rPr>
      </w:pPr>
      <w:r w:rsidRPr="00F64B58">
        <w:rPr>
          <w:rFonts w:hint="cs"/>
          <w:u w:val="dotted"/>
          <w:rtl/>
        </w:rPr>
        <w:t>מה הדין אם לפני שנשאת בא הבעל חוב ואמר לה לפרוע או שתייחד לו נכסים:</w:t>
      </w:r>
    </w:p>
    <w:p w14:paraId="36668E63" w14:textId="77777777" w:rsidR="002E5BAD" w:rsidRDefault="002E5BAD" w:rsidP="002E5BAD">
      <w:pPr>
        <w:pStyle w:val="ab"/>
        <w:numPr>
          <w:ilvl w:val="0"/>
          <w:numId w:val="186"/>
        </w:numPr>
        <w:rPr>
          <w:rtl/>
        </w:rPr>
      </w:pPr>
      <w:r w:rsidRPr="00F64B58">
        <w:rPr>
          <w:rFonts w:cs="Arial"/>
          <w:rtl/>
        </w:rPr>
        <w:lastRenderedPageBreak/>
        <w:t>נמוק</w:t>
      </w:r>
      <w:r w:rsidRPr="00F64B58">
        <w:rPr>
          <w:rFonts w:cs="Arial" w:hint="cs"/>
          <w:rtl/>
        </w:rPr>
        <w:t>"</w:t>
      </w:r>
      <w:r w:rsidRPr="00F64B58">
        <w:rPr>
          <w:rFonts w:cs="Arial"/>
          <w:rtl/>
        </w:rPr>
        <w:t xml:space="preserve">י </w:t>
      </w:r>
      <w:r w:rsidRPr="00F64B58">
        <w:rPr>
          <w:rFonts w:cs="Arial"/>
          <w:sz w:val="16"/>
          <w:szCs w:val="16"/>
          <w:rtl/>
        </w:rPr>
        <w:t>(סה. דיבור ראשון)</w:t>
      </w:r>
      <w:r>
        <w:rPr>
          <w:rFonts w:cs="Arial" w:hint="cs"/>
          <w:rtl/>
        </w:rPr>
        <w:t>-</w:t>
      </w:r>
      <w:r w:rsidRPr="00F64B58">
        <w:rPr>
          <w:rFonts w:cs="Arial"/>
          <w:rtl/>
        </w:rPr>
        <w:t xml:space="preserve"> נראה דאם בא המלוה קודם שנישאת למחות בידה שתפרעהו או שתייחד לו נכסים כדי שלא יפסיד הדין עמו</w:t>
      </w:r>
      <w:r>
        <w:rPr>
          <w:rStyle w:val="a7"/>
          <w:rFonts w:cs="Arial"/>
          <w:rtl/>
        </w:rPr>
        <w:footnoteReference w:id="2177"/>
      </w:r>
      <w:r>
        <w:rPr>
          <w:rFonts w:cs="Arial" w:hint="cs"/>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p>
    <w:p w14:paraId="17714F66" w14:textId="77777777" w:rsidR="002E5BAD" w:rsidRPr="00710A89" w:rsidRDefault="002E5BAD" w:rsidP="002E5BAD">
      <w:pPr>
        <w:rPr>
          <w:u w:val="single"/>
        </w:rPr>
      </w:pPr>
      <w:r w:rsidRPr="00710A89">
        <w:rPr>
          <w:rFonts w:cs="Arial"/>
          <w:u w:val="single"/>
          <w:rtl/>
        </w:rPr>
        <w:t>כתב ל</w:t>
      </w:r>
      <w:r w:rsidRPr="00710A89">
        <w:rPr>
          <w:rFonts w:cs="Arial" w:hint="cs"/>
          <w:u w:val="single"/>
          <w:rtl/>
        </w:rPr>
        <w:t>א</w:t>
      </w:r>
      <w:r w:rsidRPr="00710A89">
        <w:rPr>
          <w:rFonts w:cs="Arial"/>
          <w:u w:val="single"/>
          <w:rtl/>
        </w:rPr>
        <w:t>שת</w:t>
      </w:r>
      <w:r w:rsidRPr="00710A89">
        <w:rPr>
          <w:rFonts w:cs="Arial" w:hint="cs"/>
          <w:u w:val="single"/>
          <w:rtl/>
        </w:rPr>
        <w:t>ו</w:t>
      </w:r>
      <w:r w:rsidRPr="00710A89">
        <w:rPr>
          <w:rFonts w:cs="Arial"/>
          <w:u w:val="single"/>
          <w:rtl/>
        </w:rPr>
        <w:t xml:space="preserve"> ב</w:t>
      </w:r>
      <w:r w:rsidRPr="00710A89">
        <w:rPr>
          <w:rFonts w:cs="Arial" w:hint="cs"/>
          <w:u w:val="single"/>
          <w:rtl/>
        </w:rPr>
        <w:t xml:space="preserve">שעת </w:t>
      </w:r>
      <w:r w:rsidRPr="00710A89">
        <w:rPr>
          <w:rFonts w:cs="Arial"/>
          <w:u w:val="single"/>
          <w:rtl/>
        </w:rPr>
        <w:t>נישואין שטר חוב על עצמ</w:t>
      </w:r>
      <w:r w:rsidRPr="00710A89">
        <w:rPr>
          <w:rFonts w:cs="Arial" w:hint="cs"/>
          <w:u w:val="single"/>
          <w:rtl/>
        </w:rPr>
        <w:t>ו</w:t>
      </w:r>
      <w:r w:rsidRPr="00710A89">
        <w:rPr>
          <w:rFonts w:cs="Arial"/>
          <w:u w:val="single"/>
          <w:rtl/>
        </w:rPr>
        <w:t xml:space="preserve"> שתוכל לגבותו כל זמן שתרצה</w:t>
      </w:r>
      <w:r w:rsidRPr="00710A89">
        <w:rPr>
          <w:rFonts w:cs="Arial" w:hint="cs"/>
          <w:u w:val="single"/>
          <w:rtl/>
        </w:rPr>
        <w:t>:</w:t>
      </w:r>
    </w:p>
    <w:p w14:paraId="70FFB0F4" w14:textId="77777777" w:rsidR="002E5BAD" w:rsidRDefault="002E5BAD" w:rsidP="002E5BAD">
      <w:pPr>
        <w:pStyle w:val="ab"/>
        <w:numPr>
          <w:ilvl w:val="0"/>
          <w:numId w:val="186"/>
        </w:numPr>
      </w:pPr>
      <w:r>
        <w:rPr>
          <w:rFonts w:cs="Arial" w:hint="cs"/>
          <w:rtl/>
        </w:rPr>
        <w:t xml:space="preserve">רא"ש </w:t>
      </w:r>
      <w:r>
        <w:rPr>
          <w:rFonts w:cs="Arial" w:hint="cs"/>
          <w:sz w:val="16"/>
          <w:szCs w:val="16"/>
          <w:rtl/>
        </w:rPr>
        <w:t>(כלל לט סי' ג, הביאו הטור בסי' קיח)</w:t>
      </w:r>
      <w:r>
        <w:rPr>
          <w:rFonts w:cs="Arial" w:hint="cs"/>
          <w:rtl/>
        </w:rPr>
        <w:t>-</w:t>
      </w:r>
      <w:r w:rsidRPr="00942B49">
        <w:rPr>
          <w:rFonts w:cs="Arial"/>
          <w:rtl/>
        </w:rPr>
        <w:t xml:space="preserve"> הכותבים לנשותיהם בשעת נישואין שטר חוב על עצמן שתוכל לגבותו כל זמן שתרצה</w:t>
      </w:r>
      <w:r>
        <w:rPr>
          <w:rFonts w:cs="Arial" w:hint="cs"/>
          <w:rtl/>
        </w:rPr>
        <w:t>.</w:t>
      </w:r>
      <w:r w:rsidRPr="00942B49">
        <w:rPr>
          <w:rFonts w:cs="Arial"/>
          <w:rtl/>
        </w:rPr>
        <w:t xml:space="preserve"> אם יש עליה חוב שלותה קודם שנישאת </w:t>
      </w:r>
      <w:r>
        <w:rPr>
          <w:rFonts w:cs="Arial" w:hint="cs"/>
          <w:rtl/>
        </w:rPr>
        <w:t xml:space="preserve">- </w:t>
      </w:r>
      <w:r w:rsidRPr="00942B49">
        <w:rPr>
          <w:rFonts w:cs="Arial"/>
          <w:rtl/>
        </w:rPr>
        <w:t>גובה ממנו</w:t>
      </w:r>
      <w:r>
        <w:rPr>
          <w:rFonts w:cs="Arial" w:hint="cs"/>
          <w:rtl/>
        </w:rPr>
        <w:t>.</w:t>
      </w:r>
      <w:r w:rsidRPr="00942B49">
        <w:rPr>
          <w:rFonts w:cs="Arial"/>
          <w:rtl/>
        </w:rPr>
        <w:t xml:space="preserve"> אבל אם אינה יכולה לגבותו אלא לכשתתאלמן או תתגרש </w:t>
      </w:r>
      <w:r>
        <w:rPr>
          <w:rFonts w:cs="Arial" w:hint="cs"/>
          <w:rtl/>
        </w:rPr>
        <w:t xml:space="preserve">- </w:t>
      </w:r>
      <w:r w:rsidRPr="00942B49">
        <w:rPr>
          <w:rFonts w:cs="Arial"/>
          <w:rtl/>
        </w:rPr>
        <w:t>אין ב"ח גובה ממנו</w:t>
      </w:r>
      <w:r>
        <w:rPr>
          <w:rFonts w:cs="Arial" w:hint="cs"/>
          <w:rtl/>
        </w:rPr>
        <w:t>.</w:t>
      </w:r>
      <w:r w:rsidRPr="00942B49">
        <w:rPr>
          <w:rFonts w:cs="Arial"/>
          <w:rtl/>
        </w:rPr>
        <w:t xml:space="preserve"> ואפילו אם שטר זה עומד לגבות בכל עת שתרצה אם יש עליה חוב שלותה אחר שנישאת </w:t>
      </w:r>
      <w:r>
        <w:rPr>
          <w:rFonts w:cs="Arial" w:hint="cs"/>
          <w:rtl/>
        </w:rPr>
        <w:t xml:space="preserve">- </w:t>
      </w:r>
      <w:r w:rsidRPr="00942B49">
        <w:rPr>
          <w:rFonts w:cs="Arial"/>
          <w:rtl/>
        </w:rPr>
        <w:t>אינו גובה ממנו</w:t>
      </w:r>
      <w:r>
        <w:rPr>
          <w:rFonts w:cs="Arial" w:hint="cs"/>
          <w:rtl/>
        </w:rPr>
        <w:t>.</w:t>
      </w:r>
      <w:r w:rsidRPr="00942B49">
        <w:rPr>
          <w:rFonts w:cs="Arial"/>
          <w:rtl/>
        </w:rPr>
        <w:t xml:space="preserve"> ואם נתן לה הבעל מתנה </w:t>
      </w:r>
      <w:r>
        <w:rPr>
          <w:rFonts w:cs="Arial" w:hint="cs"/>
          <w:rtl/>
        </w:rPr>
        <w:t xml:space="preserve">- </w:t>
      </w:r>
      <w:r w:rsidRPr="00942B49">
        <w:rPr>
          <w:rFonts w:cs="Arial"/>
          <w:rtl/>
        </w:rPr>
        <w:t>אפילו ב"ח שהלוה לה אחר שנישאת גובה ממנו</w:t>
      </w:r>
      <w:r>
        <w:rPr>
          <w:rFonts w:cs="Arial" w:hint="cs"/>
          <w:sz w:val="16"/>
          <w:szCs w:val="16"/>
          <w:rtl/>
        </w:rPr>
        <w:t xml:space="preserve"> (ל' הב"י)</w:t>
      </w:r>
      <w:r w:rsidRPr="00942B49">
        <w:rPr>
          <w:rFonts w:cs="Arial" w:hint="cs"/>
          <w:rtl/>
        </w:rPr>
        <w:t>.</w:t>
      </w:r>
    </w:p>
    <w:p w14:paraId="1C3463A0" w14:textId="77777777" w:rsidR="002E5BAD" w:rsidRPr="00A43A67" w:rsidRDefault="002E5BAD" w:rsidP="002E5BAD">
      <w:pPr>
        <w:rPr>
          <w:sz w:val="16"/>
          <w:szCs w:val="16"/>
          <w:u w:val="single"/>
        </w:rPr>
      </w:pPr>
      <w:r w:rsidRPr="00A43A67">
        <w:rPr>
          <w:u w:val="single"/>
          <w:rtl/>
        </w:rPr>
        <w:t>קהל שעשו תקנ</w:t>
      </w:r>
      <w:r w:rsidRPr="00A43A67">
        <w:rPr>
          <w:rFonts w:hint="cs"/>
          <w:u w:val="single"/>
          <w:rtl/>
        </w:rPr>
        <w:t>ה שמי שיעבור על דבר מה יקנס לצדקה -</w:t>
      </w:r>
      <w:r w:rsidRPr="00A43A67">
        <w:rPr>
          <w:u w:val="single"/>
          <w:rtl/>
        </w:rPr>
        <w:t xml:space="preserve"> ועברה אשה על התקנה</w:t>
      </w:r>
      <w:r w:rsidRPr="00A43A67">
        <w:rPr>
          <w:rFonts w:hint="cs"/>
          <w:u w:val="single"/>
          <w:rtl/>
        </w:rPr>
        <w:t xml:space="preserve"> ואין לה ממה לשלם:</w:t>
      </w:r>
      <w:r w:rsidRPr="00A43A67">
        <w:rPr>
          <w:rFonts w:hint="cs"/>
          <w:sz w:val="16"/>
          <w:szCs w:val="16"/>
          <w:rtl/>
        </w:rPr>
        <w:t xml:space="preserve"> </w:t>
      </w:r>
      <w:r>
        <w:rPr>
          <w:rFonts w:hint="cs"/>
          <w:sz w:val="16"/>
          <w:szCs w:val="16"/>
          <w:rtl/>
        </w:rPr>
        <w:t xml:space="preserve"> </w:t>
      </w:r>
      <w:r w:rsidRPr="00A43A67">
        <w:rPr>
          <w:rFonts w:hint="cs"/>
          <w:sz w:val="16"/>
          <w:szCs w:val="16"/>
          <w:rtl/>
        </w:rPr>
        <w:t>(דרכ"מ אות ג)</w:t>
      </w:r>
      <w:r>
        <w:rPr>
          <w:rFonts w:hint="cs"/>
          <w:sz w:val="16"/>
          <w:szCs w:val="16"/>
          <w:u w:val="single"/>
          <w:rtl/>
        </w:rPr>
        <w:t xml:space="preserve"> </w:t>
      </w:r>
    </w:p>
    <w:p w14:paraId="20DEA2A8" w14:textId="77777777" w:rsidR="002E5BAD" w:rsidRPr="005D1457" w:rsidRDefault="002E5BAD" w:rsidP="002E5BAD">
      <w:pPr>
        <w:pStyle w:val="ab"/>
        <w:numPr>
          <w:ilvl w:val="0"/>
          <w:numId w:val="186"/>
        </w:numPr>
        <w:rPr>
          <w:rtl/>
        </w:rPr>
      </w:pPr>
      <w:r>
        <w:rPr>
          <w:rFonts w:cs="Arial" w:hint="cs"/>
          <w:rtl/>
        </w:rPr>
        <w:t xml:space="preserve">תרוה"ד </w:t>
      </w:r>
      <w:r>
        <w:rPr>
          <w:rFonts w:cs="Arial" w:hint="cs"/>
          <w:sz w:val="16"/>
          <w:szCs w:val="16"/>
          <w:rtl/>
        </w:rPr>
        <w:t>(סי' רפב, הביאו הדרכ"מ ביו"ד סי' רמח אות ד)</w:t>
      </w:r>
      <w:r>
        <w:rPr>
          <w:rFonts w:cs="Arial" w:hint="cs"/>
          <w:rtl/>
        </w:rPr>
        <w:t xml:space="preserve">- </w:t>
      </w:r>
      <w:r>
        <w:rPr>
          <w:rFonts w:cs="Arial"/>
          <w:rtl/>
        </w:rPr>
        <w:t>שאלה</w:t>
      </w:r>
      <w:r>
        <w:rPr>
          <w:rFonts w:cs="Arial" w:hint="cs"/>
          <w:rtl/>
        </w:rPr>
        <w:t>,</w:t>
      </w:r>
      <w:r>
        <w:rPr>
          <w:rFonts w:cs="Arial"/>
          <w:rtl/>
        </w:rPr>
        <w:t xml:space="preserve"> הקהל עשו תקנה על איזה דבר והעמידו קנס עלה שכל מי שיעבור הן איש או אשה יקנס בכך וכך לצדקה, ועברה על התקנה אשה שיש לה בעל ואין לה כלום חוץ מבעלה, חייב בעלה לשלם בשבילה או לאו? </w:t>
      </w:r>
      <w:r>
        <w:rPr>
          <w:rFonts w:cs="Arial" w:hint="cs"/>
          <w:rtl/>
        </w:rPr>
        <w:t xml:space="preserve">    </w:t>
      </w:r>
      <w:r w:rsidRPr="00A43A67">
        <w:rPr>
          <w:rFonts w:cs="Arial"/>
          <w:rtl/>
        </w:rPr>
        <w:t>תשובה</w:t>
      </w:r>
      <w:r>
        <w:rPr>
          <w:rFonts w:cs="Arial" w:hint="cs"/>
          <w:rtl/>
        </w:rPr>
        <w:t>-</w:t>
      </w:r>
      <w:r w:rsidRPr="00A43A67">
        <w:rPr>
          <w:rFonts w:cs="Arial"/>
          <w:rtl/>
        </w:rPr>
        <w:t xml:space="preserve"> יראה דדבר זה צריך דקדוק קצת, בפ' המקבל </w:t>
      </w:r>
      <w:r>
        <w:rPr>
          <w:rFonts w:cs="Arial" w:hint="cs"/>
          <w:rtl/>
        </w:rPr>
        <w:t>(</w:t>
      </w:r>
      <w:r w:rsidRPr="00A43A67">
        <w:rPr>
          <w:rFonts w:cs="Arial"/>
          <w:rtl/>
        </w:rPr>
        <w:t>ב"מ קד</w:t>
      </w:r>
      <w:r>
        <w:rPr>
          <w:rFonts w:cs="Arial" w:hint="cs"/>
          <w:rtl/>
        </w:rPr>
        <w:t>.)</w:t>
      </w:r>
      <w:r w:rsidRPr="00A43A67">
        <w:rPr>
          <w:rFonts w:cs="Arial"/>
          <w:rtl/>
        </w:rPr>
        <w:t xml:space="preserve"> איתא דרבי יודא היה דורש לשון הדיוט, דתניא רבי יודא אומר מביא אדם קרבן עשיר על אשתו וכן כל קרבנות שהיא חייבת, ופרש"י כל הקרבנות שלא בנדר ונדבה כגון קרבן זיבתה וחטאת ואשם, וכן מפרשים התוס' דקרבנות חובה כה"ג שבאין לחובת גופה חייב לשלם. ומייתי ראייה מן הירושלמי דאם אכלה חלב או חללה שבת חייב להביא קרבן בשבילה ואפי' אם נתחייבה בהן קודם שנשאת לו. כך היא לדעת התוס' </w:t>
      </w:r>
      <w:r w:rsidRPr="00E103BA">
        <w:rPr>
          <w:rFonts w:cs="Arial"/>
          <w:rtl/>
        </w:rPr>
        <w:t xml:space="preserve">(שם ד"ה הכי) </w:t>
      </w:r>
      <w:r w:rsidRPr="00A43A67">
        <w:rPr>
          <w:rFonts w:cs="Arial"/>
          <w:rtl/>
        </w:rPr>
        <w:t xml:space="preserve">ומרדכי </w:t>
      </w:r>
      <w:r w:rsidRPr="00E103BA">
        <w:rPr>
          <w:rFonts w:cs="Arial"/>
          <w:rtl/>
        </w:rPr>
        <w:t xml:space="preserve">(ב"ב סי' תקצ"ו) </w:t>
      </w:r>
      <w:r w:rsidRPr="00A43A67">
        <w:rPr>
          <w:rFonts w:cs="Arial"/>
          <w:rtl/>
        </w:rPr>
        <w:t>והגה"ה באשירי שם</w:t>
      </w:r>
      <w:r w:rsidRPr="00E103BA">
        <w:rPr>
          <w:rtl/>
        </w:rPr>
        <w:t xml:space="preserve"> </w:t>
      </w:r>
      <w:r w:rsidRPr="00E103BA">
        <w:rPr>
          <w:rFonts w:cs="Arial"/>
          <w:rtl/>
        </w:rPr>
        <w:t>(ב"מ פ"ט סי' ה)</w:t>
      </w:r>
      <w:r w:rsidRPr="00A43A67">
        <w:rPr>
          <w:rFonts w:cs="Arial"/>
          <w:rtl/>
        </w:rPr>
        <w:t xml:space="preserve">. אבל לפרש"י </w:t>
      </w:r>
      <w:r w:rsidRPr="00E103BA">
        <w:rPr>
          <w:rFonts w:cs="Arial"/>
          <w:rtl/>
        </w:rPr>
        <w:t xml:space="preserve">(שם ד"ה ה"ג) </w:t>
      </w:r>
      <w:r w:rsidRPr="00A43A67">
        <w:rPr>
          <w:rFonts w:cs="Arial"/>
          <w:rtl/>
        </w:rPr>
        <w:t>ולגירסתו דווקא כשנתחייב בהן והיא תחתיו. והיה נראה לדמות נ"ד לתשלומי קרבן, דכיון שעברה על תקנת הקהל והיא עבירה גמורה כדאיתא להדיא בסמ"ג דהנשבע שלא ליכנס בתקנת הקהל הרי זה שבועת שוא כמו הנשבע לבטל את המצוה. וכאן נמי אף על פי שהעמידו קנסות מ"מ לא התירו בשביל זה לעבור וליתן הקנס, אלא שאם יעבור אפילו בשכחה יתן הקנס שיהיו נזהרים לקיים, והקנס מ"מ בא לכפרה קצת על העובר, ודמי קצת למביא קרבן על חטאתו, וצ"ע אי הנדון דומה לראייה, הנלע"כ.</w:t>
      </w:r>
      <w:r>
        <w:rPr>
          <w:rFonts w:hint="cs"/>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p>
    <w:p w14:paraId="1812BCFB"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1E8BAA2" w14:textId="77777777" w:rsidR="002E5BAD" w:rsidRDefault="002E5BAD" w:rsidP="002E5BAD">
      <w:pPr>
        <w:rPr>
          <w:rtl/>
        </w:rPr>
      </w:pPr>
      <w:r>
        <w:rPr>
          <w:rFonts w:cs="Arial"/>
          <w:rtl/>
        </w:rPr>
        <w:t>היה עליה מלוה על פה ואחר כך נשאת, אינה נגבית</w:t>
      </w:r>
      <w:r w:rsidRPr="00F20C9C">
        <w:rPr>
          <w:rStyle w:val="a7"/>
          <w:rFonts w:cs="Arial"/>
          <w:color w:val="000000" w:themeColor="text1"/>
          <w:rtl/>
        </w:rPr>
        <w:footnoteReference w:id="2178"/>
      </w:r>
      <w:r>
        <w:rPr>
          <w:rFonts w:cs="Arial"/>
          <w:rtl/>
        </w:rPr>
        <w:t xml:space="preserve"> מהבעל, דמלוה על פה אינו גובה מהלקוחות</w:t>
      </w:r>
      <w:r w:rsidRPr="00F20C9C">
        <w:rPr>
          <w:rStyle w:val="a7"/>
          <w:rFonts w:cs="Arial"/>
          <w:color w:val="000000" w:themeColor="text1"/>
          <w:rtl/>
        </w:rPr>
        <w:footnoteReference w:id="2179"/>
      </w:r>
      <w:r>
        <w:rPr>
          <w:rFonts w:cs="Arial"/>
          <w:rtl/>
        </w:rPr>
        <w:t xml:space="preserve">. </w:t>
      </w:r>
      <w:r w:rsidRPr="00DA1E36">
        <w:rPr>
          <w:rFonts w:cs="Arial"/>
          <w:sz w:val="18"/>
          <w:szCs w:val="18"/>
          <w:rtl/>
        </w:rPr>
        <w:t>הגה: מיהו אם המעות שהלוה בעין</w:t>
      </w:r>
      <w:r w:rsidRPr="00E103BA">
        <w:rPr>
          <w:rStyle w:val="a7"/>
          <w:rFonts w:cs="Arial"/>
          <w:color w:val="000000" w:themeColor="text1"/>
          <w:sz w:val="18"/>
          <w:szCs w:val="18"/>
          <w:rtl/>
        </w:rPr>
        <w:footnoteReference w:id="2180"/>
      </w:r>
      <w:r w:rsidRPr="00DA1E36">
        <w:rPr>
          <w:rFonts w:cs="Arial"/>
          <w:sz w:val="18"/>
          <w:szCs w:val="18"/>
          <w:rtl/>
        </w:rPr>
        <w:t>, חייב לשלם (ר</w:t>
      </w:r>
      <w:r>
        <w:rPr>
          <w:rFonts w:cs="Arial" w:hint="cs"/>
          <w:sz w:val="18"/>
          <w:szCs w:val="18"/>
          <w:rtl/>
        </w:rPr>
        <w:t xml:space="preserve">י"ו </w:t>
      </w:r>
      <w:r w:rsidRPr="00DA1E36">
        <w:rPr>
          <w:rFonts w:cs="Arial"/>
          <w:sz w:val="18"/>
          <w:szCs w:val="18"/>
          <w:rtl/>
        </w:rPr>
        <w:t>ומרדכי). ואם בא המלוה קודם שנשאת ורוצה למחות נשואיה עד שתפרעהו ושלא יפסיד שלו, הדין עמו</w:t>
      </w:r>
      <w:r w:rsidRPr="000B2E99">
        <w:rPr>
          <w:rStyle w:val="a7"/>
          <w:rFonts w:cs="Arial"/>
          <w:color w:val="000000" w:themeColor="text1"/>
          <w:sz w:val="18"/>
          <w:szCs w:val="18"/>
          <w:rtl/>
        </w:rPr>
        <w:footnoteReference w:id="2181"/>
      </w:r>
      <w:r w:rsidRPr="00DA1E36">
        <w:rPr>
          <w:rFonts w:cs="Arial"/>
          <w:sz w:val="18"/>
          <w:szCs w:val="18"/>
          <w:rtl/>
        </w:rPr>
        <w:t>, ואף על פי שעדיין לא הגיע זמן הפרעון (נ</w:t>
      </w:r>
      <w:r>
        <w:rPr>
          <w:rFonts w:cs="Arial" w:hint="cs"/>
          <w:sz w:val="18"/>
          <w:szCs w:val="18"/>
          <w:rtl/>
        </w:rPr>
        <w:t>מוק</w:t>
      </w:r>
      <w:r w:rsidRPr="00DA1E36">
        <w:rPr>
          <w:rFonts w:cs="Arial"/>
          <w:sz w:val="18"/>
          <w:szCs w:val="18"/>
          <w:rtl/>
        </w:rPr>
        <w:t>"י).</w:t>
      </w:r>
      <w:r>
        <w:rPr>
          <w:rFonts w:cs="Arial"/>
          <w:rtl/>
        </w:rPr>
        <w:t xml:space="preserve"> אבל אם היה עליה מלוה בשטר, גובה מנכסים</w:t>
      </w:r>
      <w:r w:rsidRPr="00F20C9C">
        <w:rPr>
          <w:rStyle w:val="a7"/>
          <w:rFonts w:cs="Arial"/>
          <w:color w:val="000000" w:themeColor="text1"/>
          <w:rtl/>
        </w:rPr>
        <w:footnoteReference w:id="2182"/>
      </w:r>
      <w:r>
        <w:rPr>
          <w:rFonts w:cs="Arial"/>
          <w:rtl/>
        </w:rPr>
        <w:t xml:space="preserve"> שהכניסה לבעלה. </w:t>
      </w:r>
      <w:r>
        <w:rPr>
          <w:rFonts w:cs="Arial" w:hint="cs"/>
          <w:sz w:val="18"/>
          <w:szCs w:val="18"/>
          <w:rtl/>
        </w:rPr>
        <w:t xml:space="preserve">[הגה] </w:t>
      </w:r>
      <w:r w:rsidRPr="00DA1E36">
        <w:rPr>
          <w:rFonts w:cs="Arial"/>
          <w:sz w:val="18"/>
          <w:szCs w:val="18"/>
          <w:rtl/>
        </w:rPr>
        <w:t>קהל שעשו ביניהם תקנות בקנסות, ועברה אשה על התקנה, בעלה חייב לשלם</w:t>
      </w:r>
      <w:r w:rsidRPr="000B2E99">
        <w:rPr>
          <w:rStyle w:val="a7"/>
          <w:rFonts w:cs="Arial"/>
          <w:color w:val="000000" w:themeColor="text1"/>
          <w:sz w:val="18"/>
          <w:szCs w:val="18"/>
          <w:rtl/>
        </w:rPr>
        <w:footnoteReference w:id="2183"/>
      </w:r>
      <w:r>
        <w:rPr>
          <w:rFonts w:cs="Arial" w:hint="cs"/>
          <w:sz w:val="18"/>
          <w:szCs w:val="18"/>
          <w:rtl/>
        </w:rPr>
        <w:t xml:space="preserve"> (תרוה"ד סי' רפב)</w:t>
      </w:r>
      <w:r w:rsidRPr="00DA1E36">
        <w:rPr>
          <w:rFonts w:cs="Arial"/>
          <w:sz w:val="18"/>
          <w:szCs w:val="18"/>
          <w:rtl/>
        </w:rPr>
        <w:t>.</w:t>
      </w:r>
      <w:r>
        <w:rPr>
          <w:rFonts w:cs="Arial"/>
          <w:rtl/>
        </w:rPr>
        <w:t xml:space="preserve"> </w:t>
      </w:r>
    </w:p>
    <w:p w14:paraId="784C9D55" w14:textId="77777777" w:rsidR="002E5BAD" w:rsidRDefault="002E5BAD" w:rsidP="002E5BAD">
      <w:pPr>
        <w:rPr>
          <w:rtl/>
        </w:rPr>
      </w:pPr>
    </w:p>
    <w:p w14:paraId="2E3CC6D5" w14:textId="77777777" w:rsidR="002E5BAD" w:rsidRDefault="002E5BAD" w:rsidP="002E5BAD">
      <w:pPr>
        <w:pStyle w:val="2"/>
        <w:rPr>
          <w:rtl/>
        </w:rPr>
      </w:pPr>
      <w:r>
        <w:rPr>
          <w:rtl/>
        </w:rPr>
        <w:t>סעיף ה</w:t>
      </w:r>
      <w:r>
        <w:rPr>
          <w:rFonts w:hint="cs"/>
          <w:rtl/>
        </w:rPr>
        <w:t xml:space="preserve">: דברים שהתחייבה בהם האשה שדינם כמלוה בשטר </w:t>
      </w:r>
      <w:r w:rsidRPr="00213418">
        <w:rPr>
          <w:rFonts w:hint="cs"/>
          <w:sz w:val="20"/>
          <w:szCs w:val="20"/>
          <w:rtl/>
        </w:rPr>
        <w:t>(לעניין גביה מהבעל</w:t>
      </w:r>
      <w:r>
        <w:rPr>
          <w:rFonts w:hint="cs"/>
          <w:sz w:val="20"/>
          <w:szCs w:val="20"/>
          <w:rtl/>
        </w:rPr>
        <w:t>)</w:t>
      </w:r>
      <w:r>
        <w:rPr>
          <w:rFonts w:hint="cs"/>
          <w:rtl/>
        </w:rPr>
        <w:t>.</w:t>
      </w:r>
    </w:p>
    <w:p w14:paraId="6CA4A414" w14:textId="77777777" w:rsidR="002E5BAD" w:rsidRPr="00942B49" w:rsidRDefault="002E5BAD" w:rsidP="002E5BAD">
      <w:pPr>
        <w:rPr>
          <w:u w:val="single"/>
        </w:rPr>
      </w:pPr>
      <w:r w:rsidRPr="00942B49">
        <w:rPr>
          <w:rFonts w:cs="Arial"/>
          <w:u w:val="single"/>
          <w:rtl/>
        </w:rPr>
        <w:t xml:space="preserve">ראובן שידך </w:t>
      </w:r>
      <w:r w:rsidRPr="00942B49">
        <w:rPr>
          <w:rFonts w:cs="Arial" w:hint="cs"/>
          <w:u w:val="single"/>
          <w:rtl/>
        </w:rPr>
        <w:t xml:space="preserve">את </w:t>
      </w:r>
      <w:r w:rsidRPr="00942B49">
        <w:rPr>
          <w:rFonts w:cs="Arial"/>
          <w:u w:val="single"/>
          <w:rtl/>
        </w:rPr>
        <w:t>לאה ושלח לה סבלונות</w:t>
      </w:r>
      <w:r w:rsidRPr="00942B49">
        <w:rPr>
          <w:rFonts w:cs="Arial" w:hint="cs"/>
          <w:u w:val="single"/>
          <w:rtl/>
        </w:rPr>
        <w:t>,</w:t>
      </w:r>
      <w:r w:rsidRPr="00942B49">
        <w:rPr>
          <w:rFonts w:cs="Arial"/>
          <w:u w:val="single"/>
          <w:rtl/>
        </w:rPr>
        <w:t xml:space="preserve"> והלכה לאה וניסת לאחר</w:t>
      </w:r>
      <w:r w:rsidRPr="00942B49">
        <w:rPr>
          <w:rFonts w:cs="Arial" w:hint="cs"/>
          <w:u w:val="single"/>
          <w:rtl/>
        </w:rPr>
        <w:t>,</w:t>
      </w:r>
      <w:r w:rsidRPr="00942B49">
        <w:rPr>
          <w:rFonts w:cs="Arial"/>
          <w:u w:val="single"/>
          <w:rtl/>
        </w:rPr>
        <w:t xml:space="preserve"> </w:t>
      </w:r>
      <w:r>
        <w:rPr>
          <w:rFonts w:cs="Arial" w:hint="cs"/>
          <w:u w:val="single"/>
          <w:rtl/>
        </w:rPr>
        <w:t>ו</w:t>
      </w:r>
      <w:r w:rsidRPr="00942B49">
        <w:rPr>
          <w:rFonts w:cs="Arial"/>
          <w:u w:val="single"/>
          <w:rtl/>
        </w:rPr>
        <w:t>תובע ראובן הסבלונות</w:t>
      </w:r>
      <w:r>
        <w:rPr>
          <w:rFonts w:cs="Arial" w:hint="cs"/>
          <w:u w:val="single"/>
          <w:rtl/>
        </w:rPr>
        <w:t>,</w:t>
      </w:r>
      <w:r w:rsidRPr="00942B49">
        <w:rPr>
          <w:rFonts w:cs="Arial"/>
          <w:u w:val="single"/>
          <w:rtl/>
        </w:rPr>
        <w:t xml:space="preserve"> והיא אומרת שא</w:t>
      </w:r>
      <w:r w:rsidRPr="00942B49">
        <w:rPr>
          <w:rFonts w:cs="Arial" w:hint="cs"/>
          <w:u w:val="single"/>
          <w:rtl/>
        </w:rPr>
        <w:t>כלתם:</w:t>
      </w:r>
    </w:p>
    <w:p w14:paraId="03379725" w14:textId="77777777" w:rsidR="002E5BAD" w:rsidRPr="00E103BA" w:rsidRDefault="002E5BAD" w:rsidP="002E5BAD">
      <w:pPr>
        <w:pStyle w:val="ab"/>
        <w:numPr>
          <w:ilvl w:val="0"/>
          <w:numId w:val="186"/>
        </w:numPr>
      </w:pPr>
      <w:r w:rsidRPr="00F31ACB">
        <w:rPr>
          <w:rFonts w:cs="Arial"/>
          <w:rtl/>
        </w:rPr>
        <w:t>רא"ש</w:t>
      </w:r>
      <w:r>
        <w:rPr>
          <w:rFonts w:cs="Arial" w:hint="cs"/>
          <w:rtl/>
        </w:rPr>
        <w:t xml:space="preserve"> </w:t>
      </w:r>
      <w:r>
        <w:rPr>
          <w:rFonts w:cs="Arial" w:hint="cs"/>
          <w:sz w:val="16"/>
          <w:szCs w:val="16"/>
          <w:rtl/>
        </w:rPr>
        <w:t>(</w:t>
      </w:r>
      <w:r w:rsidRPr="00721974">
        <w:rPr>
          <w:rFonts w:cs="Arial"/>
          <w:sz w:val="16"/>
          <w:szCs w:val="16"/>
          <w:rtl/>
        </w:rPr>
        <w:t>כלל לה סי</w:t>
      </w:r>
      <w:r w:rsidRPr="00721974">
        <w:rPr>
          <w:rFonts w:cs="Arial" w:hint="cs"/>
          <w:sz w:val="16"/>
          <w:szCs w:val="16"/>
          <w:rtl/>
        </w:rPr>
        <w:t>'</w:t>
      </w:r>
      <w:r w:rsidRPr="00721974">
        <w:rPr>
          <w:rFonts w:cs="Arial"/>
          <w:sz w:val="16"/>
          <w:szCs w:val="16"/>
          <w:rtl/>
        </w:rPr>
        <w:t xml:space="preserve"> ז</w:t>
      </w:r>
      <w:r w:rsidRPr="00721974">
        <w:rPr>
          <w:rFonts w:cs="Arial" w:hint="cs"/>
          <w:sz w:val="16"/>
          <w:szCs w:val="16"/>
          <w:rtl/>
        </w:rPr>
        <w:t>)</w:t>
      </w:r>
      <w:r>
        <w:rPr>
          <w:rFonts w:cs="Arial" w:hint="cs"/>
          <w:rtl/>
        </w:rPr>
        <w:t xml:space="preserve"> וטור-</w:t>
      </w:r>
      <w:r w:rsidRPr="00F31ACB">
        <w:rPr>
          <w:rFonts w:cs="Arial"/>
          <w:rtl/>
        </w:rPr>
        <w:t xml:space="preserve"> וששאלת ראובן שידך לאה ושלח לה סבלונות והלכה לאה וניסת לאחר ועתה תובע ראובן הסבלונות והיא אומרת שאין לה לשלם כי היא כלתה ואכלה כל הסבלונות</w:t>
      </w:r>
      <w:r>
        <w:rPr>
          <w:rFonts w:cs="Arial" w:hint="cs"/>
          <w:rtl/>
        </w:rPr>
        <w:t xml:space="preserve">.   </w:t>
      </w:r>
      <w:r w:rsidRPr="00F31ACB">
        <w:rPr>
          <w:rFonts w:cs="Arial"/>
          <w:rtl/>
        </w:rPr>
        <w:t xml:space="preserve"> תשובה</w:t>
      </w:r>
      <w:r>
        <w:rPr>
          <w:rFonts w:cs="Arial" w:hint="cs"/>
          <w:rtl/>
        </w:rPr>
        <w:t>-</w:t>
      </w:r>
      <w:r w:rsidRPr="00F31ACB">
        <w:rPr>
          <w:rFonts w:cs="Arial"/>
          <w:rtl/>
        </w:rPr>
        <w:t xml:space="preserve"> אם הכניסה לבעלה נכסי מלוג</w:t>
      </w:r>
      <w:r>
        <w:rPr>
          <w:rFonts w:cs="Arial" w:hint="cs"/>
          <w:rtl/>
        </w:rPr>
        <w:t>,</w:t>
      </w:r>
      <w:r w:rsidRPr="00F31ACB">
        <w:rPr>
          <w:rFonts w:cs="Arial"/>
          <w:rtl/>
        </w:rPr>
        <w:t xml:space="preserve"> ראובן גובה מהן סבלונותיו</w:t>
      </w:r>
      <w:r>
        <w:rPr>
          <w:rFonts w:cs="Arial" w:hint="cs"/>
          <w:rtl/>
        </w:rPr>
        <w:t>.</w:t>
      </w:r>
      <w:r w:rsidRPr="00F31ACB">
        <w:rPr>
          <w:rFonts w:cs="Arial"/>
          <w:rtl/>
        </w:rPr>
        <w:t xml:space="preserve"> דהו"ל כמלוה בשטר</w:t>
      </w:r>
      <w:r>
        <w:rPr>
          <w:rFonts w:cs="Arial" w:hint="cs"/>
          <w:rtl/>
        </w:rPr>
        <w:t>,</w:t>
      </w:r>
      <w:r w:rsidRPr="00F31ACB">
        <w:rPr>
          <w:rFonts w:cs="Arial"/>
          <w:rtl/>
        </w:rPr>
        <w:t xml:space="preserve"> שדרך לשלוח הסבלונות בפומבי</w:t>
      </w:r>
      <w:r>
        <w:rPr>
          <w:rFonts w:cs="Arial" w:hint="cs"/>
          <w:rtl/>
        </w:rPr>
        <w:t>.</w:t>
      </w:r>
      <w:r w:rsidRPr="00F31ACB">
        <w:rPr>
          <w:rFonts w:cs="Arial"/>
          <w:rtl/>
        </w:rPr>
        <w:t xml:space="preserve"> הילכך גובה מנכסי מלוג שהכניסה לו</w:t>
      </w:r>
      <w:r w:rsidRPr="00F20C9C">
        <w:rPr>
          <w:rStyle w:val="a7"/>
          <w:rFonts w:cs="Arial"/>
          <w:color w:val="000000" w:themeColor="text1"/>
          <w:rtl/>
        </w:rPr>
        <w:footnoteReference w:id="2184"/>
      </w:r>
      <w:r>
        <w:rPr>
          <w:rFonts w:cs="Arial" w:hint="cs"/>
          <w:sz w:val="16"/>
          <w:szCs w:val="16"/>
          <w:rtl/>
        </w:rPr>
        <w:t xml:space="preserve"> (ל' הטור בשמו)</w:t>
      </w:r>
      <w:r>
        <w:rPr>
          <w:rFonts w:cs="Arial" w:hint="cs"/>
          <w:rtl/>
        </w:rPr>
        <w:t>.</w:t>
      </w:r>
      <w:r w:rsidRPr="00E103BA">
        <w:rPr>
          <w:rFonts w:cs="Arial" w:hint="cs"/>
          <w:color w:val="E36C0A" w:themeColor="accent6" w:themeShade="BF"/>
          <w:rtl/>
        </w:rPr>
        <w:t xml:space="preserve"> </w:t>
      </w:r>
      <w:r w:rsidRPr="009B52EC">
        <w:rPr>
          <w:rFonts w:cs="Arial" w:hint="cs"/>
          <w:color w:val="E36C0A" w:themeColor="accent6" w:themeShade="BF"/>
          <w:rtl/>
        </w:rPr>
        <w:t>(וכ"פ בשו"ע)</w:t>
      </w:r>
    </w:p>
    <w:p w14:paraId="06AE0DEF" w14:textId="77777777" w:rsidR="002E5BAD" w:rsidRPr="00E103BA" w:rsidRDefault="002E5BAD" w:rsidP="002E5BAD">
      <w:r w:rsidRPr="00E83D81">
        <w:rPr>
          <w:rFonts w:cs="Arial"/>
          <w:u w:val="single"/>
          <w:rtl/>
        </w:rPr>
        <w:t>אלמנה שידכה את בתה לשמעון</w:t>
      </w:r>
      <w:r w:rsidRPr="00E83D81">
        <w:rPr>
          <w:rFonts w:cs="Arial" w:hint="cs"/>
          <w:u w:val="single"/>
          <w:rtl/>
        </w:rPr>
        <w:t>,</w:t>
      </w:r>
      <w:r w:rsidRPr="00E83D81">
        <w:rPr>
          <w:rFonts w:cs="Arial"/>
          <w:u w:val="single"/>
          <w:rtl/>
        </w:rPr>
        <w:t xml:space="preserve"> ונתחייבה ליתן לו </w:t>
      </w:r>
      <w:r>
        <w:rPr>
          <w:rFonts w:cs="Arial" w:hint="cs"/>
          <w:u w:val="single"/>
          <w:rtl/>
        </w:rPr>
        <w:t>ל</w:t>
      </w:r>
      <w:r w:rsidRPr="00E83D81">
        <w:rPr>
          <w:rFonts w:cs="Arial"/>
          <w:u w:val="single"/>
          <w:rtl/>
        </w:rPr>
        <w:t xml:space="preserve">נישואין </w:t>
      </w:r>
      <w:r>
        <w:rPr>
          <w:rFonts w:cs="Arial" w:hint="cs"/>
          <w:u w:val="single"/>
          <w:rtl/>
        </w:rPr>
        <w:t>נ</w:t>
      </w:r>
      <w:r w:rsidRPr="00E83D81">
        <w:rPr>
          <w:rFonts w:cs="Arial"/>
          <w:u w:val="single"/>
          <w:rtl/>
        </w:rPr>
        <w:t>דוניא</w:t>
      </w:r>
      <w:r w:rsidRPr="00E83D81">
        <w:rPr>
          <w:rFonts w:cs="Arial" w:hint="cs"/>
          <w:u w:val="single"/>
          <w:rtl/>
        </w:rPr>
        <w:t xml:space="preserve">, ואח"כ נשאת האלמנה ונתנה </w:t>
      </w:r>
      <w:r>
        <w:rPr>
          <w:rFonts w:cs="Arial" w:hint="cs"/>
          <w:u w:val="single"/>
          <w:rtl/>
        </w:rPr>
        <w:t>כל נכסיה</w:t>
      </w:r>
      <w:r w:rsidRPr="00E83D81">
        <w:rPr>
          <w:rFonts w:cs="Arial" w:hint="cs"/>
          <w:u w:val="single"/>
          <w:rtl/>
        </w:rPr>
        <w:t xml:space="preserve"> לבעלה:</w:t>
      </w:r>
    </w:p>
    <w:p w14:paraId="5E5932BC" w14:textId="77777777" w:rsidR="002E5BAD" w:rsidRDefault="002E5BAD" w:rsidP="002E5BAD">
      <w:pPr>
        <w:pStyle w:val="ab"/>
        <w:numPr>
          <w:ilvl w:val="0"/>
          <w:numId w:val="186"/>
        </w:numPr>
      </w:pPr>
      <w:r w:rsidRPr="00E103BA">
        <w:rPr>
          <w:rFonts w:cs="Arial"/>
          <w:rtl/>
        </w:rPr>
        <w:t xml:space="preserve">רשב"א </w:t>
      </w:r>
      <w:r w:rsidRPr="00E103BA">
        <w:rPr>
          <w:rFonts w:cs="Arial"/>
          <w:sz w:val="16"/>
          <w:szCs w:val="16"/>
          <w:rtl/>
        </w:rPr>
        <w:t>(ח"ד סי' נח)</w:t>
      </w:r>
      <w:r>
        <w:rPr>
          <w:rFonts w:cs="Arial" w:hint="cs"/>
          <w:rtl/>
        </w:rPr>
        <w:t>-</w:t>
      </w:r>
      <w:r w:rsidRPr="00E103BA">
        <w:rPr>
          <w:rFonts w:cs="Arial"/>
          <w:rtl/>
        </w:rPr>
        <w:t xml:space="preserve"> אלמנה שידכה את בתה לשמעון</w:t>
      </w:r>
      <w:r>
        <w:rPr>
          <w:rFonts w:cs="Arial" w:hint="cs"/>
          <w:rtl/>
        </w:rPr>
        <w:t>,</w:t>
      </w:r>
      <w:r w:rsidRPr="00E103BA">
        <w:rPr>
          <w:rFonts w:cs="Arial"/>
          <w:rtl/>
        </w:rPr>
        <w:t xml:space="preserve"> ונתחייבה ליתן לו לזמן הנישואין סך מעות בנדוניא</w:t>
      </w:r>
      <w:r>
        <w:rPr>
          <w:rFonts w:cs="Arial" w:hint="cs"/>
          <w:rtl/>
        </w:rPr>
        <w:t>.</w:t>
      </w:r>
      <w:r w:rsidRPr="00E103BA">
        <w:rPr>
          <w:rFonts w:cs="Arial"/>
          <w:rtl/>
        </w:rPr>
        <w:t xml:space="preserve"> וקודם זמן נישואי בתה עמדה האלמנה וניסת לבעל</w:t>
      </w:r>
      <w:r>
        <w:rPr>
          <w:rFonts w:cs="Arial" w:hint="cs"/>
          <w:rtl/>
        </w:rPr>
        <w:t>,</w:t>
      </w:r>
      <w:r w:rsidRPr="00E103BA">
        <w:rPr>
          <w:rFonts w:cs="Arial"/>
          <w:rtl/>
        </w:rPr>
        <w:t xml:space="preserve"> ונתנה לו כל אשר לה</w:t>
      </w:r>
      <w:r>
        <w:rPr>
          <w:rFonts w:cs="Arial" w:hint="cs"/>
          <w:rtl/>
        </w:rPr>
        <w:t>.</w:t>
      </w:r>
      <w:r w:rsidRPr="00E103BA">
        <w:rPr>
          <w:rFonts w:cs="Arial"/>
          <w:rtl/>
        </w:rPr>
        <w:t xml:space="preserve"> ורוצה לפטור עצמה משמעון באמרה שכשחייבה עצמה לשמעון לא היו לה נכסים</w:t>
      </w:r>
      <w:r>
        <w:rPr>
          <w:rFonts w:cs="Arial" w:hint="cs"/>
          <w:rtl/>
        </w:rPr>
        <w:t>,</w:t>
      </w:r>
      <w:r w:rsidRPr="00E103BA">
        <w:rPr>
          <w:rFonts w:cs="Arial"/>
          <w:rtl/>
        </w:rPr>
        <w:t xml:space="preserve"> לפי שעדיין לא נשבעה שבועת אלמנה</w:t>
      </w:r>
      <w:r>
        <w:rPr>
          <w:rFonts w:cs="Arial" w:hint="cs"/>
          <w:rtl/>
        </w:rPr>
        <w:t>,</w:t>
      </w:r>
      <w:r w:rsidRPr="00E103BA">
        <w:rPr>
          <w:rFonts w:cs="Arial"/>
          <w:rtl/>
        </w:rPr>
        <w:t xml:space="preserve"> ובשטר התנאים אין כתוב דאקנה. </w:t>
      </w:r>
      <w:r>
        <w:rPr>
          <w:rFonts w:cs="Arial" w:hint="cs"/>
          <w:rtl/>
        </w:rPr>
        <w:t xml:space="preserve">    תשובה-</w:t>
      </w:r>
      <w:r w:rsidRPr="00E103BA">
        <w:rPr>
          <w:rFonts w:cs="Arial"/>
          <w:rtl/>
        </w:rPr>
        <w:t xml:space="preserve"> איברא גובה הוא אם יש נכסים ידועים לבעל משלה</w:t>
      </w:r>
      <w:r>
        <w:rPr>
          <w:rFonts w:cs="Arial" w:hint="cs"/>
          <w:rtl/>
        </w:rPr>
        <w:t>.</w:t>
      </w:r>
      <w:r w:rsidRPr="00E103BA">
        <w:rPr>
          <w:rFonts w:cs="Arial"/>
          <w:rtl/>
        </w:rPr>
        <w:t xml:space="preserve"> ואצ"ל למאן דס"ל דאחריות טעות סופר אפילו בדאקני</w:t>
      </w:r>
      <w:r>
        <w:rPr>
          <w:rFonts w:cs="Arial" w:hint="cs"/>
          <w:rtl/>
        </w:rPr>
        <w:t>,</w:t>
      </w:r>
      <w:r w:rsidRPr="00E103BA">
        <w:rPr>
          <w:rFonts w:cs="Arial"/>
          <w:rtl/>
        </w:rPr>
        <w:t xml:space="preserve"> דלא כתב כמי שכתב</w:t>
      </w:r>
      <w:r>
        <w:rPr>
          <w:rFonts w:cs="Arial" w:hint="cs"/>
          <w:rtl/>
        </w:rPr>
        <w:t>.</w:t>
      </w:r>
      <w:r w:rsidRPr="00E103BA">
        <w:rPr>
          <w:rFonts w:cs="Arial"/>
          <w:rtl/>
        </w:rPr>
        <w:t xml:space="preserve"> אלא אפילו את"ל דלא משתעבד דאקנה אלא אם כן כתב בפירוש</w:t>
      </w:r>
      <w:r>
        <w:rPr>
          <w:rFonts w:cs="Arial" w:hint="cs"/>
          <w:rtl/>
        </w:rPr>
        <w:t>.</w:t>
      </w:r>
      <w:r w:rsidRPr="00E103BA">
        <w:rPr>
          <w:rFonts w:cs="Arial"/>
          <w:rtl/>
        </w:rPr>
        <w:t xml:space="preserve"> דאשה זו נכסים היו לה</w:t>
      </w:r>
      <w:r>
        <w:rPr>
          <w:rFonts w:cs="Arial" w:hint="cs"/>
          <w:rtl/>
        </w:rPr>
        <w:t>,</w:t>
      </w:r>
      <w:r w:rsidRPr="00E103BA">
        <w:rPr>
          <w:rFonts w:cs="Arial"/>
          <w:rtl/>
        </w:rPr>
        <w:t xml:space="preserve"> אלא שצריכה שבועה</w:t>
      </w:r>
      <w:r>
        <w:rPr>
          <w:rFonts w:cs="Arial" w:hint="cs"/>
          <w:rtl/>
        </w:rPr>
        <w:t>,</w:t>
      </w:r>
      <w:r w:rsidRPr="00E103BA">
        <w:rPr>
          <w:rFonts w:cs="Arial"/>
          <w:rtl/>
        </w:rPr>
        <w:t xml:space="preserve"> וכל זמן שלא נשבעה היא דאינה גובה</w:t>
      </w:r>
      <w:r>
        <w:rPr>
          <w:rFonts w:cs="Arial" w:hint="cs"/>
          <w:rtl/>
        </w:rPr>
        <w:t>,</w:t>
      </w:r>
      <w:r w:rsidRPr="00E103BA">
        <w:rPr>
          <w:rFonts w:cs="Arial"/>
          <w:rtl/>
        </w:rPr>
        <w:t xml:space="preserve"> ומדרבנן</w:t>
      </w:r>
      <w:r>
        <w:rPr>
          <w:rFonts w:cs="Arial" w:hint="cs"/>
          <w:rtl/>
        </w:rPr>
        <w:t>,</w:t>
      </w:r>
      <w:r w:rsidRPr="00E103BA">
        <w:rPr>
          <w:rFonts w:cs="Arial"/>
          <w:rtl/>
        </w:rPr>
        <w:t xml:space="preserve"> שמא צררי אתפסה</w:t>
      </w:r>
      <w:r>
        <w:rPr>
          <w:rFonts w:cs="Arial" w:hint="cs"/>
          <w:rtl/>
        </w:rPr>
        <w:t>.</w:t>
      </w:r>
      <w:r w:rsidRPr="00E103BA">
        <w:rPr>
          <w:rFonts w:cs="Arial"/>
          <w:rtl/>
        </w:rPr>
        <w:t xml:space="preserve"> ועכשיו שנשבעה איגלאי מילתא דלא נפרעה ושלא התפיסה צררי</w:t>
      </w:r>
      <w:r>
        <w:rPr>
          <w:rFonts w:cs="Arial" w:hint="cs"/>
          <w:rtl/>
        </w:rPr>
        <w:t>.</w:t>
      </w:r>
      <w:r w:rsidRPr="00E103BA">
        <w:rPr>
          <w:rFonts w:cs="Arial"/>
          <w:rtl/>
        </w:rPr>
        <w:t xml:space="preserve"> שטר כתובה כדקאי קאי</w:t>
      </w:r>
      <w:r>
        <w:rPr>
          <w:rFonts w:cs="Arial" w:hint="cs"/>
          <w:rtl/>
        </w:rPr>
        <w:t>.</w:t>
      </w:r>
      <w:r w:rsidRPr="00E103BA">
        <w:rPr>
          <w:rFonts w:cs="Arial"/>
          <w:rtl/>
        </w:rPr>
        <w:t xml:space="preserve"> ומה שהיה לה ה</w:t>
      </w:r>
      <w:r>
        <w:rPr>
          <w:rFonts w:cs="Arial" w:hint="cs"/>
          <w:rtl/>
        </w:rPr>
        <w:t>י</w:t>
      </w:r>
      <w:r w:rsidRPr="00E103BA">
        <w:rPr>
          <w:rFonts w:cs="Arial"/>
          <w:rtl/>
        </w:rPr>
        <w:t xml:space="preserve">א גובה.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p>
    <w:p w14:paraId="1EFC4DE0" w14:textId="77777777" w:rsidR="002E5BAD" w:rsidRPr="00887DC2" w:rsidRDefault="002E5BAD" w:rsidP="002E5BAD">
      <w:pPr>
        <w:rPr>
          <w:u w:val="single"/>
        </w:rPr>
      </w:pPr>
      <w:r>
        <w:rPr>
          <w:rFonts w:cs="Arial" w:hint="cs"/>
          <w:u w:val="single"/>
          <w:rtl/>
        </w:rPr>
        <w:t>אשה שלותה בשטר, ונשאת - האם הבעל חוב גובה מנכסי צאן ברזל שהכניסה לבעל:</w:t>
      </w:r>
    </w:p>
    <w:p w14:paraId="50445108" w14:textId="77777777" w:rsidR="002E5BAD" w:rsidRDefault="002E5BAD" w:rsidP="002E5BAD">
      <w:pPr>
        <w:pStyle w:val="ab"/>
        <w:numPr>
          <w:ilvl w:val="0"/>
          <w:numId w:val="186"/>
        </w:numPr>
      </w:pPr>
      <w:r w:rsidRPr="00E103BA">
        <w:rPr>
          <w:rFonts w:cs="Arial"/>
          <w:rtl/>
        </w:rPr>
        <w:t xml:space="preserve">רשב"א </w:t>
      </w:r>
      <w:r>
        <w:rPr>
          <w:rFonts w:cs="Arial" w:hint="cs"/>
          <w:sz w:val="16"/>
          <w:szCs w:val="16"/>
          <w:rtl/>
        </w:rPr>
        <w:t>(במיוחסות סי' נו)</w:t>
      </w:r>
      <w:r>
        <w:rPr>
          <w:rFonts w:cs="Arial" w:hint="cs"/>
          <w:rtl/>
        </w:rPr>
        <w:t xml:space="preserve">- </w:t>
      </w:r>
      <w:r w:rsidRPr="00E103BA">
        <w:rPr>
          <w:rFonts w:cs="Arial"/>
          <w:rtl/>
        </w:rPr>
        <w:t>שאלת</w:t>
      </w:r>
      <w:r>
        <w:rPr>
          <w:rFonts w:cs="Arial" w:hint="cs"/>
          <w:rtl/>
        </w:rPr>
        <w:t>,</w:t>
      </w:r>
      <w:r w:rsidRPr="00E103BA">
        <w:rPr>
          <w:rFonts w:cs="Arial"/>
          <w:rtl/>
        </w:rPr>
        <w:t xml:space="preserve"> ראובן ואשתו לוו משמעון בשטר</w:t>
      </w:r>
      <w:r>
        <w:rPr>
          <w:rFonts w:cs="Arial" w:hint="cs"/>
          <w:rtl/>
        </w:rPr>
        <w:t>.</w:t>
      </w:r>
      <w:r w:rsidRPr="00E103BA">
        <w:rPr>
          <w:rFonts w:cs="Arial"/>
          <w:rtl/>
        </w:rPr>
        <w:t xml:space="preserve"> ומת ראובן</w:t>
      </w:r>
      <w:r>
        <w:rPr>
          <w:rFonts w:cs="Arial" w:hint="cs"/>
          <w:rtl/>
        </w:rPr>
        <w:t>.</w:t>
      </w:r>
      <w:r w:rsidRPr="00E103BA">
        <w:rPr>
          <w:rFonts w:cs="Arial"/>
          <w:rtl/>
        </w:rPr>
        <w:t xml:space="preserve"> והגבו בית דין כתובתה</w:t>
      </w:r>
      <w:r>
        <w:rPr>
          <w:rFonts w:cs="Arial" w:hint="cs"/>
          <w:rtl/>
        </w:rPr>
        <w:t>,</w:t>
      </w:r>
      <w:r w:rsidRPr="00E103BA">
        <w:rPr>
          <w:rFonts w:cs="Arial"/>
          <w:rtl/>
        </w:rPr>
        <w:t xml:space="preserve"> ולא הספיקו הנכסים אפילו לפרעון כתובתה</w:t>
      </w:r>
      <w:r>
        <w:rPr>
          <w:rFonts w:cs="Arial" w:hint="cs"/>
          <w:rtl/>
        </w:rPr>
        <w:t>.</w:t>
      </w:r>
      <w:r w:rsidRPr="00E103BA">
        <w:rPr>
          <w:rFonts w:cs="Arial"/>
          <w:rtl/>
        </w:rPr>
        <w:t xml:space="preserve"> ונישאת ללוי</w:t>
      </w:r>
      <w:r>
        <w:rPr>
          <w:rFonts w:cs="Arial" w:hint="cs"/>
          <w:rtl/>
        </w:rPr>
        <w:t>,</w:t>
      </w:r>
      <w:r w:rsidRPr="00E103BA">
        <w:rPr>
          <w:rFonts w:cs="Arial"/>
          <w:rtl/>
        </w:rPr>
        <w:t xml:space="preserve"> והכניסה לו כל מה שיש לה</w:t>
      </w:r>
      <w:r>
        <w:rPr>
          <w:rFonts w:cs="Arial" w:hint="cs"/>
          <w:rtl/>
        </w:rPr>
        <w:t>.</w:t>
      </w:r>
      <w:r w:rsidRPr="00E103BA">
        <w:rPr>
          <w:rFonts w:cs="Arial"/>
          <w:rtl/>
        </w:rPr>
        <w:t xml:space="preserve"> והוציא לוי מקצת נכסים שהכניסה לו</w:t>
      </w:r>
      <w:r>
        <w:rPr>
          <w:rFonts w:cs="Arial" w:hint="cs"/>
          <w:rtl/>
        </w:rPr>
        <w:t>,</w:t>
      </w:r>
      <w:r w:rsidRPr="00E103BA">
        <w:rPr>
          <w:rFonts w:cs="Arial"/>
          <w:rtl/>
        </w:rPr>
        <w:t xml:space="preserve"> והפסיד מקצתן</w:t>
      </w:r>
      <w:r>
        <w:rPr>
          <w:rFonts w:cs="Arial" w:hint="cs"/>
          <w:rtl/>
        </w:rPr>
        <w:t>.</w:t>
      </w:r>
      <w:r w:rsidRPr="00E103BA">
        <w:rPr>
          <w:rFonts w:cs="Arial"/>
          <w:rtl/>
        </w:rPr>
        <w:t xml:space="preserve"> ועכשיו בא שמעון לגבות ממנה חובו</w:t>
      </w:r>
      <w:r>
        <w:rPr>
          <w:rFonts w:cs="Arial" w:hint="cs"/>
          <w:rtl/>
        </w:rPr>
        <w:t>,</w:t>
      </w:r>
      <w:r w:rsidRPr="00E103BA">
        <w:rPr>
          <w:rFonts w:cs="Arial"/>
          <w:rtl/>
        </w:rPr>
        <w:t xml:space="preserve"> ולא מצא לה כלום</w:t>
      </w:r>
      <w:r>
        <w:rPr>
          <w:rFonts w:cs="Arial" w:hint="cs"/>
          <w:rtl/>
        </w:rPr>
        <w:t>.</w:t>
      </w:r>
      <w:r w:rsidRPr="00E103BA">
        <w:rPr>
          <w:rFonts w:cs="Arial"/>
          <w:rtl/>
        </w:rPr>
        <w:t xml:space="preserve"> מהו שיחזור על לוי מפני שהפסיד שעבודו</w:t>
      </w:r>
      <w:r>
        <w:rPr>
          <w:rFonts w:cs="Arial" w:hint="cs"/>
          <w:rtl/>
        </w:rPr>
        <w:t>.</w:t>
      </w:r>
      <w:r w:rsidRPr="00E103BA">
        <w:rPr>
          <w:rFonts w:cs="Arial"/>
          <w:rtl/>
        </w:rPr>
        <w:t xml:space="preserve"> ועוד דהא באשה שלותה ועמדה ונישאת דאיבעיא להו בשילהי יש נוחלין (ב"ב קלט.) כתב הרי"ף שאם לותה בשטר גובה מן הבעל ובשבועה כדרך הבא ליפרע מנכסים משועבדים. </w:t>
      </w:r>
      <w:r>
        <w:rPr>
          <w:rFonts w:cs="Arial" w:hint="cs"/>
          <w:rtl/>
        </w:rPr>
        <w:t xml:space="preserve">   </w:t>
      </w:r>
      <w:r w:rsidRPr="00E103BA">
        <w:rPr>
          <w:rFonts w:cs="Arial"/>
          <w:rtl/>
        </w:rPr>
        <w:t>תשובה</w:t>
      </w:r>
      <w:r>
        <w:rPr>
          <w:rFonts w:cs="Arial" w:hint="cs"/>
          <w:rtl/>
        </w:rPr>
        <w:t>-</w:t>
      </w:r>
      <w:r w:rsidRPr="00E103BA">
        <w:rPr>
          <w:rFonts w:cs="Arial"/>
          <w:rtl/>
        </w:rPr>
        <w:t xml:space="preserve"> אותה בעיא </w:t>
      </w:r>
      <w:r>
        <w:rPr>
          <w:rFonts w:cs="Arial" w:hint="cs"/>
          <w:rtl/>
        </w:rPr>
        <w:t xml:space="preserve">- </w:t>
      </w:r>
      <w:r w:rsidRPr="00E103BA">
        <w:rPr>
          <w:rFonts w:cs="Arial"/>
          <w:rtl/>
        </w:rPr>
        <w:t>בשיש נכסים ידועים שהכניסה לבעל היא</w:t>
      </w:r>
      <w:r>
        <w:rPr>
          <w:rFonts w:cs="Arial" w:hint="cs"/>
          <w:rtl/>
        </w:rPr>
        <w:t>,</w:t>
      </w:r>
      <w:r w:rsidRPr="00E103BA">
        <w:rPr>
          <w:rFonts w:cs="Arial"/>
          <w:rtl/>
        </w:rPr>
        <w:t xml:space="preserve"> ובשלותה על פה</w:t>
      </w:r>
      <w:r>
        <w:rPr>
          <w:rFonts w:cs="Arial" w:hint="cs"/>
          <w:rtl/>
        </w:rPr>
        <w:t>,</w:t>
      </w:r>
      <w:r w:rsidRPr="00E103BA">
        <w:rPr>
          <w:rFonts w:cs="Arial"/>
          <w:rtl/>
        </w:rPr>
        <w:t xml:space="preserve"> דאילו בשטר ממה נפשך הוא גובה מן הבעל</w:t>
      </w:r>
      <w:r>
        <w:rPr>
          <w:rFonts w:cs="Arial" w:hint="cs"/>
          <w:rtl/>
        </w:rPr>
        <w:t>.</w:t>
      </w:r>
      <w:r w:rsidRPr="00E103BA">
        <w:rPr>
          <w:rFonts w:cs="Arial"/>
          <w:rtl/>
        </w:rPr>
        <w:t xml:space="preserve"> בין שעשאוהו כיורש בין שעשאוהו כלוקח</w:t>
      </w:r>
      <w:r>
        <w:rPr>
          <w:rFonts w:cs="Arial" w:hint="cs"/>
          <w:rtl/>
        </w:rPr>
        <w:t>,</w:t>
      </w:r>
      <w:r w:rsidRPr="00E103BA">
        <w:rPr>
          <w:rFonts w:cs="Arial"/>
          <w:rtl/>
        </w:rPr>
        <w:t xml:space="preserve"> דמלוה בשטר גובה אפילו מן הלקוחות</w:t>
      </w:r>
      <w:r>
        <w:rPr>
          <w:rFonts w:cs="Arial" w:hint="cs"/>
          <w:rtl/>
        </w:rPr>
        <w:t>.</w:t>
      </w:r>
      <w:r w:rsidRPr="00E103BA">
        <w:rPr>
          <w:rFonts w:cs="Arial"/>
          <w:rtl/>
        </w:rPr>
        <w:t xml:space="preserve"> וזה שכתב הרי"ף במלוה על פה היא</w:t>
      </w:r>
      <w:r>
        <w:rPr>
          <w:rFonts w:cs="Arial" w:hint="cs"/>
          <w:rtl/>
        </w:rPr>
        <w:t>,</w:t>
      </w:r>
      <w:r w:rsidRPr="00E103BA">
        <w:rPr>
          <w:rFonts w:cs="Arial"/>
          <w:rtl/>
        </w:rPr>
        <w:t xml:space="preserve"> וכשהכניסה לבעלה קרקע ידוע</w:t>
      </w:r>
      <w:r>
        <w:rPr>
          <w:rFonts w:cs="Arial" w:hint="cs"/>
          <w:rtl/>
        </w:rPr>
        <w:t>.</w:t>
      </w:r>
      <w:r w:rsidRPr="00E103BA">
        <w:rPr>
          <w:rFonts w:cs="Arial"/>
          <w:rtl/>
        </w:rPr>
        <w:t xml:space="preserve"> דאילו הכניסה לו מטלטלין</w:t>
      </w:r>
      <w:r>
        <w:rPr>
          <w:rFonts w:cs="Arial" w:hint="cs"/>
          <w:rtl/>
        </w:rPr>
        <w:t>,</w:t>
      </w:r>
      <w:r w:rsidRPr="00E103BA">
        <w:rPr>
          <w:rFonts w:cs="Arial"/>
          <w:rtl/>
        </w:rPr>
        <w:t xml:space="preserve"> בין שויוה כיורש בין שויוה כלוקח אינו גובה</w:t>
      </w:r>
      <w:r>
        <w:rPr>
          <w:rStyle w:val="a7"/>
          <w:rFonts w:cs="Arial"/>
          <w:rtl/>
        </w:rPr>
        <w:footnoteReference w:id="2185"/>
      </w:r>
      <w:r>
        <w:rPr>
          <w:rFonts w:cs="Arial" w:hint="cs"/>
          <w:rtl/>
        </w:rPr>
        <w:t>.</w:t>
      </w:r>
      <w:r w:rsidRPr="00E103BA">
        <w:rPr>
          <w:rFonts w:cs="Arial"/>
          <w:rtl/>
        </w:rPr>
        <w:t xml:space="preserve"> ואפילו היו מטלטלין ידועים</w:t>
      </w:r>
      <w:r>
        <w:rPr>
          <w:rFonts w:cs="Arial" w:hint="cs"/>
          <w:rtl/>
        </w:rPr>
        <w:t>,</w:t>
      </w:r>
      <w:r w:rsidRPr="00E103BA">
        <w:rPr>
          <w:rFonts w:cs="Arial"/>
          <w:rtl/>
        </w:rPr>
        <w:t xml:space="preserve"> משום דאפילו מן היורש אינו גובה</w:t>
      </w:r>
      <w:r>
        <w:rPr>
          <w:rFonts w:cs="Arial" w:hint="cs"/>
          <w:rtl/>
        </w:rPr>
        <w:t>,</w:t>
      </w:r>
      <w:r w:rsidRPr="00E103BA">
        <w:rPr>
          <w:rFonts w:cs="Arial"/>
          <w:rtl/>
        </w:rPr>
        <w:t xml:space="preserve"> דמטלטלי דיתמי לבעל חוב לא משתעבדי (כתובות צב.)</w:t>
      </w:r>
      <w:r>
        <w:rPr>
          <w:rFonts w:cs="Arial" w:hint="cs"/>
          <w:rtl/>
        </w:rPr>
        <w:t>,</w:t>
      </w:r>
      <w:r w:rsidRPr="00E103BA">
        <w:rPr>
          <w:rFonts w:cs="Arial"/>
          <w:rtl/>
        </w:rPr>
        <w:t xml:space="preserve"> וכל שכן מן הלוקח</w:t>
      </w:r>
      <w:r>
        <w:rPr>
          <w:rFonts w:cs="Arial" w:hint="cs"/>
          <w:rtl/>
        </w:rPr>
        <w:t>.</w:t>
      </w:r>
      <w:r w:rsidRPr="00E103BA">
        <w:rPr>
          <w:rFonts w:cs="Arial"/>
          <w:rtl/>
        </w:rPr>
        <w:t xml:space="preserve"> אלא כשהכניסה לו קרקע היא בעיא</w:t>
      </w:r>
      <w:r>
        <w:rPr>
          <w:rFonts w:cs="Arial" w:hint="cs"/>
          <w:rtl/>
        </w:rPr>
        <w:t>,</w:t>
      </w:r>
      <w:r w:rsidRPr="00E103BA">
        <w:rPr>
          <w:rFonts w:cs="Arial"/>
          <w:rtl/>
        </w:rPr>
        <w:t xml:space="preserve"> ובשלותה על פה</w:t>
      </w:r>
      <w:r>
        <w:rPr>
          <w:rFonts w:cs="Arial" w:hint="cs"/>
          <w:rtl/>
        </w:rPr>
        <w:t>.</w:t>
      </w:r>
      <w:r w:rsidRPr="00E103BA">
        <w:rPr>
          <w:rFonts w:cs="Arial"/>
          <w:rtl/>
        </w:rPr>
        <w:t xml:space="preserve"> ולפי' אשה זו אם גבתה מטלטלין בכתובתה והכניס</w:t>
      </w:r>
      <w:r>
        <w:rPr>
          <w:rFonts w:cs="Arial" w:hint="cs"/>
          <w:rtl/>
        </w:rPr>
        <w:t>ת</w:t>
      </w:r>
      <w:r w:rsidRPr="00E103BA">
        <w:rPr>
          <w:rFonts w:cs="Arial"/>
          <w:rtl/>
        </w:rPr>
        <w:t>ן לבעל</w:t>
      </w:r>
      <w:r>
        <w:rPr>
          <w:rFonts w:cs="Arial" w:hint="cs"/>
          <w:rtl/>
        </w:rPr>
        <w:t>,</w:t>
      </w:r>
      <w:r w:rsidRPr="00E103BA">
        <w:rPr>
          <w:rFonts w:cs="Arial"/>
          <w:rtl/>
        </w:rPr>
        <w:t xml:space="preserve"> אם לא כתבה לב"ח מטלטלי אגב מקרקעי</w:t>
      </w:r>
      <w:r>
        <w:rPr>
          <w:rFonts w:cs="Arial" w:hint="cs"/>
          <w:rtl/>
        </w:rPr>
        <w:t>,</w:t>
      </w:r>
      <w:r w:rsidRPr="00E103BA">
        <w:rPr>
          <w:rFonts w:cs="Arial"/>
          <w:rtl/>
        </w:rPr>
        <w:t xml:space="preserve"> אלא מקרקעי ומטלטלי</w:t>
      </w:r>
      <w:r>
        <w:rPr>
          <w:rFonts w:cs="Arial" w:hint="cs"/>
          <w:rtl/>
        </w:rPr>
        <w:t>,</w:t>
      </w:r>
      <w:r w:rsidRPr="00E103BA">
        <w:rPr>
          <w:rFonts w:cs="Arial"/>
          <w:rtl/>
        </w:rPr>
        <w:t xml:space="preserve"> כמו שהיו נוהגין לכתוב בארצכם</w:t>
      </w:r>
      <w:r>
        <w:rPr>
          <w:rFonts w:cs="Arial" w:hint="cs"/>
          <w:rtl/>
        </w:rPr>
        <w:t>,</w:t>
      </w:r>
      <w:r w:rsidRPr="00E103BA">
        <w:rPr>
          <w:rFonts w:cs="Arial"/>
          <w:rtl/>
        </w:rPr>
        <w:t xml:space="preserve"> אפילו הם עדיין בעין ביד הבעל </w:t>
      </w:r>
      <w:r>
        <w:rPr>
          <w:rFonts w:cs="Arial" w:hint="cs"/>
          <w:rtl/>
        </w:rPr>
        <w:t xml:space="preserve">- </w:t>
      </w:r>
      <w:r w:rsidRPr="00E103BA">
        <w:rPr>
          <w:rFonts w:cs="Arial"/>
          <w:rtl/>
        </w:rPr>
        <w:t>אין בעל חוב גובה מהם</w:t>
      </w:r>
      <w:r>
        <w:rPr>
          <w:rFonts w:cs="Arial" w:hint="cs"/>
          <w:rtl/>
        </w:rPr>
        <w:t>.</w:t>
      </w:r>
      <w:r w:rsidRPr="00E103BA">
        <w:rPr>
          <w:rFonts w:cs="Arial"/>
          <w:rtl/>
        </w:rPr>
        <w:t xml:space="preserve"> </w:t>
      </w:r>
      <w:r>
        <w:rPr>
          <w:rFonts w:cs="Arial" w:hint="cs"/>
          <w:rtl/>
        </w:rPr>
        <w:t>אבל אם כתבה מטלטלי אגב מקרקעי</w:t>
      </w:r>
      <w:r w:rsidRPr="00E103BA">
        <w:rPr>
          <w:rFonts w:cs="Arial"/>
          <w:rtl/>
        </w:rPr>
        <w:t xml:space="preserve"> גבה מטלטלי גבה מקרקעי</w:t>
      </w:r>
      <w:r>
        <w:rPr>
          <w:rFonts w:cs="Arial" w:hint="cs"/>
          <w:rtl/>
        </w:rPr>
        <w:t>.</w:t>
      </w:r>
      <w:r w:rsidRPr="00E103BA">
        <w:rPr>
          <w:rFonts w:cs="Arial"/>
          <w:rtl/>
        </w:rPr>
        <w:t xml:space="preserve"> בין שיהא בעל כיורש בין שיהא </w:t>
      </w:r>
      <w:r w:rsidRPr="00E103BA">
        <w:rPr>
          <w:rFonts w:cs="Arial"/>
          <w:rtl/>
        </w:rPr>
        <w:lastRenderedPageBreak/>
        <w:t>כלוקח</w:t>
      </w:r>
      <w:r>
        <w:rPr>
          <w:rFonts w:cs="Arial" w:hint="cs"/>
          <w:rtl/>
        </w:rPr>
        <w:t>.</w:t>
      </w:r>
      <w:r w:rsidRPr="00E103BA">
        <w:rPr>
          <w:rFonts w:cs="Arial"/>
          <w:rtl/>
        </w:rPr>
        <w:t xml:space="preserve"> ואם מלוה על פה היא</w:t>
      </w:r>
      <w:r>
        <w:rPr>
          <w:rFonts w:cs="Arial" w:hint="cs"/>
          <w:rtl/>
        </w:rPr>
        <w:t>,</w:t>
      </w:r>
      <w:r w:rsidRPr="00E103BA">
        <w:rPr>
          <w:rFonts w:cs="Arial"/>
          <w:rtl/>
        </w:rPr>
        <w:t xml:space="preserve"> אינה גובה כלל</w:t>
      </w:r>
      <w:r>
        <w:rPr>
          <w:rFonts w:cs="Arial" w:hint="cs"/>
          <w:rtl/>
        </w:rPr>
        <w:t>,</w:t>
      </w:r>
      <w:r w:rsidRPr="00E103BA">
        <w:rPr>
          <w:rFonts w:cs="Arial"/>
          <w:rtl/>
        </w:rPr>
        <w:t xml:space="preserve"> ואפילו הכניסה לו מקרקעי</w:t>
      </w:r>
      <w:r>
        <w:rPr>
          <w:rFonts w:cs="Arial" w:hint="cs"/>
          <w:rtl/>
        </w:rPr>
        <w:t>.</w:t>
      </w:r>
      <w:r w:rsidRPr="00E103BA">
        <w:rPr>
          <w:rFonts w:cs="Arial"/>
          <w:rtl/>
        </w:rPr>
        <w:t xml:space="preserve"> דמצי בעל למיטען דילמא פרוע הוא</w:t>
      </w:r>
      <w:r>
        <w:rPr>
          <w:rFonts w:cs="Arial" w:hint="cs"/>
          <w:rtl/>
        </w:rPr>
        <w:t>.</w:t>
      </w:r>
      <w:r w:rsidRPr="00E103BA">
        <w:rPr>
          <w:rFonts w:cs="Arial"/>
          <w:rtl/>
        </w:rPr>
        <w:t xml:space="preserve"> ומ"מ משום מזיק שעבודו ליכ</w:t>
      </w:r>
      <w:r>
        <w:rPr>
          <w:rFonts w:cs="Arial" w:hint="cs"/>
          <w:rtl/>
        </w:rPr>
        <w:t>א,</w:t>
      </w:r>
      <w:r w:rsidRPr="00E103BA">
        <w:rPr>
          <w:rFonts w:cs="Arial"/>
          <w:rtl/>
        </w:rPr>
        <w:t xml:space="preserve"> דלא אמרו אלא במזיק ממש כגון שורף שטרותיו של חבירו (ב"ק צח:)</w:t>
      </w:r>
      <w:r>
        <w:rPr>
          <w:rFonts w:cs="Arial" w:hint="cs"/>
          <w:rtl/>
        </w:rPr>
        <w:t>,</w:t>
      </w:r>
      <w:r w:rsidRPr="00E103BA">
        <w:rPr>
          <w:rFonts w:cs="Arial"/>
          <w:rtl/>
        </w:rPr>
        <w:t xml:space="preserve"> או עושה עבדו אפותיקי מפורש ושחררו (גיטין מ:)</w:t>
      </w:r>
      <w:r>
        <w:rPr>
          <w:rFonts w:cs="Arial" w:hint="cs"/>
          <w:rtl/>
        </w:rPr>
        <w:t>,</w:t>
      </w:r>
      <w:r w:rsidRPr="00E103BA">
        <w:rPr>
          <w:rFonts w:cs="Arial"/>
          <w:rtl/>
        </w:rPr>
        <w:t xml:space="preserve"> וכיוצא באלו</w:t>
      </w:r>
      <w:r>
        <w:rPr>
          <w:rFonts w:cs="Arial" w:hint="cs"/>
          <w:rtl/>
        </w:rPr>
        <w:t>.</w:t>
      </w:r>
      <w:r w:rsidRPr="00E103BA">
        <w:rPr>
          <w:rFonts w:cs="Arial"/>
          <w:rtl/>
        </w:rPr>
        <w:t xml:space="preserve"> אבל ב"ח שמכר או נתן לאח</w:t>
      </w:r>
      <w:r>
        <w:rPr>
          <w:rFonts w:cs="Arial" w:hint="cs"/>
          <w:rtl/>
        </w:rPr>
        <w:t>ר</w:t>
      </w:r>
      <w:r w:rsidRPr="00E103BA">
        <w:rPr>
          <w:rFonts w:cs="Arial"/>
          <w:rtl/>
        </w:rPr>
        <w:t xml:space="preserve"> מטלטלין ששעבד לב"ח</w:t>
      </w:r>
      <w:r>
        <w:rPr>
          <w:rFonts w:cs="Arial" w:hint="cs"/>
          <w:rtl/>
        </w:rPr>
        <w:t>,</w:t>
      </w:r>
      <w:r w:rsidRPr="00E103BA">
        <w:rPr>
          <w:rFonts w:cs="Arial"/>
          <w:rtl/>
        </w:rPr>
        <w:t xml:space="preserve"> והלוקח והמקבל מתנה אכלום</w:t>
      </w:r>
      <w:r>
        <w:rPr>
          <w:rFonts w:cs="Arial" w:hint="cs"/>
          <w:rtl/>
        </w:rPr>
        <w:t>,</w:t>
      </w:r>
      <w:r w:rsidRPr="00E103BA">
        <w:rPr>
          <w:rFonts w:cs="Arial"/>
          <w:rtl/>
        </w:rPr>
        <w:t xml:space="preserve"> אין אלו חייבין</w:t>
      </w:r>
      <w:r>
        <w:rPr>
          <w:rFonts w:cs="Arial" w:hint="cs"/>
          <w:rtl/>
        </w:rPr>
        <w:t>,</w:t>
      </w:r>
      <w:r w:rsidRPr="00E103BA">
        <w:rPr>
          <w:rFonts w:cs="Arial"/>
          <w:rtl/>
        </w:rPr>
        <w:t xml:space="preserve"> שהם לא הזיקו כלום</w:t>
      </w:r>
      <w:r>
        <w:rPr>
          <w:rFonts w:cs="Arial" w:hint="cs"/>
          <w:rtl/>
        </w:rPr>
        <w:t>.</w:t>
      </w:r>
      <w:r w:rsidRPr="00E103BA">
        <w:rPr>
          <w:rFonts w:cs="Arial"/>
          <w:rtl/>
        </w:rPr>
        <w:t xml:space="preserve"> אלא המוכרם להם והנותנם</w:t>
      </w:r>
      <w:r>
        <w:rPr>
          <w:rFonts w:cs="Arial" w:hint="cs"/>
          <w:rtl/>
        </w:rPr>
        <w:t>.</w:t>
      </w:r>
      <w:r w:rsidRPr="00E103BA">
        <w:rPr>
          <w:rFonts w:cs="Arial"/>
          <w:rtl/>
        </w:rPr>
        <w:t xml:space="preserve"> אבל הם בדין זכו בהם והוציאום</w:t>
      </w:r>
      <w:r>
        <w:rPr>
          <w:rFonts w:cs="Arial" w:hint="cs"/>
          <w:rtl/>
        </w:rPr>
        <w:t>.</w:t>
      </w:r>
      <w:r w:rsidRPr="009403DA">
        <w:rPr>
          <w:rFonts w:cs="Arial" w:hint="cs"/>
          <w:color w:val="00B0F0"/>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p>
    <w:p w14:paraId="67E584C2" w14:textId="77777777" w:rsidR="002E5BAD" w:rsidRPr="00887DC2" w:rsidRDefault="002E5BAD" w:rsidP="002E5BAD">
      <w:pPr>
        <w:rPr>
          <w:u w:val="single"/>
        </w:rPr>
      </w:pPr>
      <w:r w:rsidRPr="00887DC2">
        <w:rPr>
          <w:rFonts w:hint="cs"/>
          <w:u w:val="single"/>
          <w:rtl/>
        </w:rPr>
        <w:t>אשה לקחה מנכסי בע</w:t>
      </w:r>
      <w:r>
        <w:rPr>
          <w:rFonts w:hint="cs"/>
          <w:u w:val="single"/>
          <w:rtl/>
        </w:rPr>
        <w:t>ל</w:t>
      </w:r>
      <w:r w:rsidRPr="00887DC2">
        <w:rPr>
          <w:rFonts w:hint="cs"/>
          <w:u w:val="single"/>
          <w:rtl/>
        </w:rPr>
        <w:t>ה יותר ממה שכתוב לה בכתובה</w:t>
      </w:r>
      <w:r>
        <w:rPr>
          <w:rFonts w:hint="cs"/>
          <w:u w:val="single"/>
          <w:rtl/>
        </w:rPr>
        <w:t>,</w:t>
      </w:r>
      <w:r w:rsidRPr="00887DC2">
        <w:rPr>
          <w:rFonts w:hint="cs"/>
          <w:u w:val="single"/>
          <w:rtl/>
        </w:rPr>
        <w:t xml:space="preserve"> ונשאת</w:t>
      </w:r>
      <w:r>
        <w:rPr>
          <w:rFonts w:hint="cs"/>
          <w:u w:val="single"/>
          <w:rtl/>
        </w:rPr>
        <w:t xml:space="preserve"> </w:t>
      </w:r>
      <w:r>
        <w:rPr>
          <w:u w:val="single"/>
          <w:rtl/>
        </w:rPr>
        <w:t>–</w:t>
      </w:r>
      <w:r>
        <w:rPr>
          <w:rFonts w:hint="cs"/>
          <w:u w:val="single"/>
          <w:rtl/>
        </w:rPr>
        <w:t xml:space="preserve"> האם בעלה צריך להחזיר המותר</w:t>
      </w:r>
      <w:r w:rsidRPr="00887DC2">
        <w:rPr>
          <w:rFonts w:hint="cs"/>
          <w:u w:val="single"/>
          <w:rtl/>
        </w:rPr>
        <w:t>:</w:t>
      </w:r>
      <w:r w:rsidRPr="00213418">
        <w:rPr>
          <w:rFonts w:cs="Arial" w:hint="cs"/>
          <w:sz w:val="16"/>
          <w:szCs w:val="16"/>
          <w:rtl/>
        </w:rPr>
        <w:t xml:space="preserve"> (דרכ"מ אות ד)</w:t>
      </w:r>
    </w:p>
    <w:p w14:paraId="6B22F30C" w14:textId="77777777" w:rsidR="002E5BAD" w:rsidRPr="005D1457" w:rsidRDefault="002E5BAD" w:rsidP="002E5BAD">
      <w:pPr>
        <w:pStyle w:val="ab"/>
        <w:numPr>
          <w:ilvl w:val="0"/>
          <w:numId w:val="186"/>
        </w:numPr>
        <w:rPr>
          <w:rtl/>
        </w:rPr>
      </w:pPr>
      <w:r w:rsidRPr="00EB3C2B">
        <w:rPr>
          <w:rFonts w:cs="Arial"/>
          <w:rtl/>
        </w:rPr>
        <w:t xml:space="preserve">מהרי"ק </w:t>
      </w:r>
      <w:r w:rsidRPr="00213418">
        <w:rPr>
          <w:rFonts w:cs="Arial" w:hint="cs"/>
          <w:sz w:val="16"/>
          <w:szCs w:val="16"/>
          <w:rtl/>
        </w:rPr>
        <w:t>(</w:t>
      </w:r>
      <w:r w:rsidRPr="00213418">
        <w:rPr>
          <w:rFonts w:cs="Arial"/>
          <w:sz w:val="16"/>
          <w:szCs w:val="16"/>
          <w:rtl/>
        </w:rPr>
        <w:t>שורש יח ענף א)</w:t>
      </w:r>
      <w:r>
        <w:rPr>
          <w:rFonts w:cs="Arial" w:hint="cs"/>
          <w:rtl/>
        </w:rPr>
        <w:t>-</w:t>
      </w:r>
      <w:r w:rsidRPr="00EB3C2B">
        <w:rPr>
          <w:rFonts w:cs="Arial"/>
          <w:rtl/>
        </w:rPr>
        <w:t xml:space="preserve"> אם לקחה יותר מכתובתה ונשאת פשיטא שהבעל צריך להחזיר המותר</w:t>
      </w:r>
      <w:r>
        <w:rPr>
          <w:rFonts w:hint="cs"/>
          <w:rtl/>
        </w:rPr>
        <w:t>.</w:t>
      </w:r>
      <w:r w:rsidRPr="00213418">
        <w:rPr>
          <w:rFonts w:cs="Arial" w:hint="cs"/>
          <w:color w:val="00B0F0"/>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r>
        <w:rPr>
          <w:rFonts w:hint="cs"/>
          <w:rtl/>
        </w:rPr>
        <w:t xml:space="preserve"> </w:t>
      </w:r>
    </w:p>
    <w:p w14:paraId="36D2F4C4"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604E223" w14:textId="77777777" w:rsidR="002E5BAD" w:rsidRPr="007A3469" w:rsidRDefault="002E5BAD" w:rsidP="002E5BAD">
      <w:pPr>
        <w:rPr>
          <w:rtl/>
        </w:rPr>
        <w:sectPr w:rsidR="002E5BAD" w:rsidRPr="007A3469" w:rsidSect="00A347B3">
          <w:headerReference w:type="default" r:id="rId47"/>
          <w:footnotePr>
            <w:numRestart w:val="eachPage"/>
          </w:footnotePr>
          <w:pgSz w:w="11906" w:h="16838"/>
          <w:pgMar w:top="720" w:right="1134" w:bottom="720" w:left="1134" w:header="0" w:footer="0" w:gutter="0"/>
          <w:cols w:space="720"/>
          <w:bidi/>
          <w:rtlGutter/>
          <w:docGrid w:linePitch="360"/>
        </w:sectPr>
      </w:pPr>
      <w:r>
        <w:rPr>
          <w:rFonts w:cs="Arial"/>
          <w:rtl/>
        </w:rPr>
        <w:t>שלח סבלונות למשודכת והלכה ונשאת לאחר, והלה תובע סבלונותיו, דינם כמלוה בשטר</w:t>
      </w:r>
      <w:r w:rsidRPr="00F20C9C">
        <w:rPr>
          <w:rStyle w:val="a7"/>
          <w:rFonts w:cs="Arial"/>
          <w:color w:val="000000" w:themeColor="text1"/>
          <w:rtl/>
        </w:rPr>
        <w:footnoteReference w:id="2186"/>
      </w:r>
      <w:r>
        <w:rPr>
          <w:rFonts w:cs="Arial"/>
          <w:rtl/>
        </w:rPr>
        <w:t xml:space="preserve">. </w:t>
      </w:r>
      <w:r w:rsidRPr="00DA1E36">
        <w:rPr>
          <w:rFonts w:cs="Arial"/>
          <w:sz w:val="18"/>
          <w:szCs w:val="18"/>
          <w:rtl/>
        </w:rPr>
        <w:t>הגה: אם לקחה יותר מכתובה ונשאת, צריך הבעל להחזיר המותר</w:t>
      </w:r>
      <w:r w:rsidRPr="00393099">
        <w:rPr>
          <w:rStyle w:val="a7"/>
          <w:rFonts w:cs="Arial"/>
          <w:color w:val="000000" w:themeColor="text1"/>
          <w:sz w:val="18"/>
          <w:szCs w:val="18"/>
          <w:rtl/>
        </w:rPr>
        <w:footnoteReference w:id="2187"/>
      </w:r>
      <w:r w:rsidRPr="00DA1E36">
        <w:rPr>
          <w:rFonts w:cs="Arial"/>
          <w:sz w:val="18"/>
          <w:szCs w:val="18"/>
          <w:rtl/>
        </w:rPr>
        <w:t xml:space="preserve"> (מהרי"ק שורש י"ח). וכן אם נתחייבת מס ונשאת, הוי כשלח הסבלונות, דכל אלו קלא אית להו ואין דרך לעשות בה שטר, לכן הוי כמלוה בשטר (מהר"ם פאדוואה סי</w:t>
      </w:r>
      <w:r>
        <w:rPr>
          <w:rFonts w:cs="Arial" w:hint="cs"/>
          <w:sz w:val="18"/>
          <w:szCs w:val="18"/>
          <w:rtl/>
        </w:rPr>
        <w:t>'</w:t>
      </w:r>
      <w:r w:rsidRPr="00DA1E36">
        <w:rPr>
          <w:rFonts w:cs="Arial"/>
          <w:sz w:val="18"/>
          <w:szCs w:val="18"/>
          <w:rtl/>
        </w:rPr>
        <w:t xml:space="preserve"> נה). אבל ניזקין ומקח ודברים אחרים, אין חייב לשלם</w:t>
      </w:r>
      <w:r w:rsidRPr="00393099">
        <w:rPr>
          <w:rStyle w:val="a7"/>
          <w:rFonts w:cs="Arial"/>
          <w:color w:val="000000" w:themeColor="text1"/>
          <w:sz w:val="18"/>
          <w:szCs w:val="18"/>
          <w:rtl/>
        </w:rPr>
        <w:footnoteReference w:id="2188"/>
      </w:r>
      <w:r w:rsidRPr="00DA1E36">
        <w:rPr>
          <w:rFonts w:cs="Arial"/>
          <w:sz w:val="18"/>
          <w:szCs w:val="18"/>
          <w:rtl/>
        </w:rPr>
        <w:t xml:space="preserve"> (נ</w:t>
      </w:r>
      <w:r>
        <w:rPr>
          <w:rFonts w:cs="Arial" w:hint="cs"/>
          <w:sz w:val="18"/>
          <w:szCs w:val="18"/>
          <w:rtl/>
        </w:rPr>
        <w:t>מוק</w:t>
      </w:r>
      <w:r w:rsidRPr="00DA1E36">
        <w:rPr>
          <w:rFonts w:cs="Arial"/>
          <w:sz w:val="18"/>
          <w:szCs w:val="18"/>
          <w:rtl/>
        </w:rPr>
        <w:t>"י פ' יש נוחלין). אשה ששדכה בתה לשמעון ונתחייבה בנדוניא, ואח"כ נשאת בעצמה לאיש, המשודך לבתה מוציא כל מה שנתחייבה מבעלה מנכסים שהכניסה לו, דהוי כמלוה בשטר, אף על פי שבשעה שעשתה השדוכין לבתה עדיין לא נשבעה על כתובתה, מ"מ מאחר דנשבעת לבסוף אגלי מילתא למפרע דמה שעשתה תחילה בדין היה (ב"י בשם תשובת הרשב"א). י"א הא דמלוה בשטר גובה מן הבעל מנכסים שהכניסה לו, היינו שהכניסה לו קרקע</w:t>
      </w:r>
      <w:r>
        <w:rPr>
          <w:rFonts w:cs="Arial" w:hint="cs"/>
          <w:sz w:val="18"/>
          <w:szCs w:val="18"/>
          <w:rtl/>
        </w:rPr>
        <w:t>,</w:t>
      </w:r>
      <w:r w:rsidRPr="00DA1E36">
        <w:rPr>
          <w:rFonts w:cs="Arial"/>
          <w:sz w:val="18"/>
          <w:szCs w:val="18"/>
          <w:rtl/>
        </w:rPr>
        <w:t xml:space="preserve"> או מטלטלין וכתבה לבעלה חוב המטלטלים אגב קרקע</w:t>
      </w:r>
      <w:r w:rsidRPr="00393099">
        <w:rPr>
          <w:rStyle w:val="a7"/>
          <w:rFonts w:cs="Arial"/>
          <w:color w:val="000000" w:themeColor="text1"/>
          <w:sz w:val="18"/>
          <w:szCs w:val="18"/>
          <w:rtl/>
        </w:rPr>
        <w:footnoteReference w:id="2189"/>
      </w:r>
      <w:r>
        <w:rPr>
          <w:rFonts w:cs="Arial" w:hint="cs"/>
          <w:sz w:val="18"/>
          <w:szCs w:val="18"/>
          <w:rtl/>
        </w:rPr>
        <w:t>.</w:t>
      </w:r>
      <w:r w:rsidRPr="00DA1E36">
        <w:rPr>
          <w:rFonts w:cs="Arial"/>
          <w:sz w:val="18"/>
          <w:szCs w:val="18"/>
          <w:rtl/>
        </w:rPr>
        <w:t xml:space="preserve"> אבל לא כתבה לו אגב, ולא הכניסה לו רק מטלטלין, אפילו מלוה בשטר אינה גובה מבעלה</w:t>
      </w:r>
      <w:r w:rsidRPr="00393099">
        <w:rPr>
          <w:rStyle w:val="a7"/>
          <w:rFonts w:cs="Arial"/>
          <w:color w:val="000000" w:themeColor="text1"/>
          <w:sz w:val="18"/>
          <w:szCs w:val="18"/>
          <w:rtl/>
        </w:rPr>
        <w:footnoteReference w:id="2190"/>
      </w:r>
      <w:r w:rsidRPr="00DA1E36">
        <w:rPr>
          <w:rFonts w:cs="Arial"/>
          <w:sz w:val="18"/>
          <w:szCs w:val="18"/>
          <w:rtl/>
        </w:rPr>
        <w:t>, דאין ב"ח טורף מטלטלין המשועבדים (</w:t>
      </w:r>
      <w:r>
        <w:rPr>
          <w:rFonts w:cs="Arial" w:hint="cs"/>
          <w:sz w:val="18"/>
          <w:szCs w:val="18"/>
          <w:rtl/>
        </w:rPr>
        <w:t>במיוחסות</w:t>
      </w:r>
      <w:r w:rsidRPr="00DA1E36">
        <w:rPr>
          <w:rFonts w:cs="Arial"/>
          <w:sz w:val="18"/>
          <w:szCs w:val="18"/>
          <w:rtl/>
        </w:rPr>
        <w:t xml:space="preserve"> סי</w:t>
      </w:r>
      <w:r>
        <w:rPr>
          <w:rFonts w:cs="Arial" w:hint="cs"/>
          <w:sz w:val="18"/>
          <w:szCs w:val="18"/>
          <w:rtl/>
        </w:rPr>
        <w:t xml:space="preserve">' </w:t>
      </w:r>
      <w:r w:rsidRPr="00DA1E36">
        <w:rPr>
          <w:rFonts w:cs="Arial"/>
          <w:sz w:val="18"/>
          <w:szCs w:val="18"/>
          <w:rtl/>
        </w:rPr>
        <w:t>נו)</w:t>
      </w:r>
      <w:r>
        <w:rPr>
          <w:rFonts w:cs="Arial" w:hint="cs"/>
          <w:sz w:val="18"/>
          <w:szCs w:val="18"/>
          <w:rtl/>
        </w:rPr>
        <w:t>.</w:t>
      </w:r>
      <w:r w:rsidRPr="00DA1E36">
        <w:rPr>
          <w:rFonts w:cs="Arial"/>
          <w:sz w:val="18"/>
          <w:szCs w:val="18"/>
          <w:rtl/>
        </w:rPr>
        <w:t xml:space="preserve"> וסברא נכונה היא. ומ"מ נראה להו דבמכנסת שאינה שלה, כגון שלקחה יתר מכתובתה, חייב להחזיר בכל ענין. ועיין בת"ה סוף סימן ר"כ (נתבאר לעיל).</w:t>
      </w:r>
    </w:p>
    <w:p w14:paraId="146437E0" w14:textId="77777777" w:rsidR="002E5BAD" w:rsidRDefault="002E5BAD" w:rsidP="002E5BAD">
      <w:pPr>
        <w:pStyle w:val="1"/>
        <w:rPr>
          <w:rtl/>
        </w:rPr>
      </w:pPr>
      <w:r>
        <w:rPr>
          <w:rFonts w:hint="cs"/>
          <w:rtl/>
        </w:rPr>
        <w:lastRenderedPageBreak/>
        <w:t>סימן צב:</w:t>
      </w:r>
      <w:r w:rsidRPr="00C12B74">
        <w:rPr>
          <w:rtl/>
        </w:rPr>
        <w:t xml:space="preserve"> </w:t>
      </w:r>
      <w:r>
        <w:rPr>
          <w:rFonts w:cs="Arial"/>
          <w:rtl/>
        </w:rPr>
        <w:t xml:space="preserve">האיש שסילק עצמו מפירות נכסי אשתו ומירושתה, ובו ח' סעיפים. </w:t>
      </w:r>
    </w:p>
    <w:p w14:paraId="63C05A13" w14:textId="77777777" w:rsidR="002E5BAD" w:rsidRDefault="002E5BAD" w:rsidP="002E5BAD">
      <w:pPr>
        <w:pStyle w:val="2"/>
        <w:rPr>
          <w:rtl/>
        </w:rPr>
      </w:pPr>
      <w:r>
        <w:rPr>
          <w:rtl/>
        </w:rPr>
        <w:t>סעיף א</w:t>
      </w:r>
      <w:r>
        <w:rPr>
          <w:rFonts w:hint="cs"/>
          <w:rtl/>
        </w:rPr>
        <w:t>: הכותב לאשתו בעודה ארוסה 'דין ודברים אין לי בנכסיך'.</w:t>
      </w:r>
    </w:p>
    <w:p w14:paraId="654C729A" w14:textId="77777777" w:rsidR="002E5BAD" w:rsidRPr="00D33625" w:rsidRDefault="002E5BAD" w:rsidP="002E5BAD">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 xml:space="preserve"> הכותב לאשתו דין ודברים אין לי בנכסיך - הרי זה אוכל פירות בחייה, ואם מתה - יורשה. אם כן, למה כתב לה דין ודברים אין לי בנכסיך? שאם מכרה ונתנה - קיים. </w:t>
      </w:r>
      <w:r>
        <w:rPr>
          <w:rFonts w:hint="cs"/>
          <w:rtl/>
        </w:rPr>
        <w:t xml:space="preserve">        </w:t>
      </w:r>
      <w:r w:rsidRPr="00D33625">
        <w:rPr>
          <w:rFonts w:cs="Arial"/>
          <w:u w:val="double"/>
          <w:rtl/>
        </w:rPr>
        <w:t>גמ'</w:t>
      </w:r>
      <w:r>
        <w:rPr>
          <w:rFonts w:cs="Arial" w:hint="cs"/>
          <w:rtl/>
        </w:rPr>
        <w:t>:</w:t>
      </w:r>
      <w:r>
        <w:rPr>
          <w:rFonts w:cs="Arial"/>
          <w:rtl/>
        </w:rPr>
        <w:t xml:space="preserve"> </w:t>
      </w:r>
      <w:r w:rsidRPr="00D33625">
        <w:rPr>
          <w:rFonts w:cs="Arial"/>
          <w:u w:val="single"/>
          <w:rtl/>
        </w:rPr>
        <w:t>תני רבי חייא</w:t>
      </w:r>
      <w:r>
        <w:rPr>
          <w:rFonts w:cs="Arial"/>
          <w:rtl/>
        </w:rPr>
        <w:t>: האומר לאשתו</w:t>
      </w:r>
      <w:r w:rsidRPr="00F20C9C">
        <w:rPr>
          <w:rStyle w:val="a7"/>
          <w:rFonts w:cs="Arial"/>
          <w:color w:val="000000" w:themeColor="text1"/>
          <w:rtl/>
        </w:rPr>
        <w:footnoteReference w:id="2191"/>
      </w:r>
      <w:r>
        <w:rPr>
          <w:rFonts w:cs="Arial"/>
          <w:rtl/>
        </w:rPr>
        <w:t xml:space="preserve">. וכי כתב לה הכי מאי הוי? והתניא: האומר לחבירו דין ודברים אין לי על שדה זו, ואין לי עסק בה, וידי מסולקת הימנה - לא אמר כלום! </w:t>
      </w:r>
      <w:r w:rsidRPr="00BF2308">
        <w:rPr>
          <w:rFonts w:cs="Arial"/>
          <w:u w:val="single"/>
          <w:rtl/>
        </w:rPr>
        <w:t>אמרי דבי רבי ינאי</w:t>
      </w:r>
      <w:r>
        <w:rPr>
          <w:rFonts w:cs="Arial"/>
          <w:rtl/>
        </w:rPr>
        <w:t>: בכותב לה ועודה ארוסה</w:t>
      </w:r>
      <w:r w:rsidRPr="00F20C9C">
        <w:rPr>
          <w:rStyle w:val="a7"/>
          <w:rFonts w:cs="Arial"/>
          <w:color w:val="000000" w:themeColor="text1"/>
          <w:rtl/>
        </w:rPr>
        <w:footnoteReference w:id="2192"/>
      </w:r>
      <w:r>
        <w:rPr>
          <w:rFonts w:cs="Arial" w:hint="cs"/>
          <w:rtl/>
        </w:rPr>
        <w:t>.</w:t>
      </w:r>
      <w:r>
        <w:rPr>
          <w:rFonts w:cs="Arial"/>
          <w:rtl/>
        </w:rPr>
        <w:t xml:space="preserve"> כדרב כהנא, דאמר רב כהנא: נחלה הבאה לאדם ממקום אחר</w:t>
      </w:r>
      <w:r w:rsidRPr="00F20C9C">
        <w:rPr>
          <w:rStyle w:val="a7"/>
          <w:rFonts w:cs="Arial"/>
          <w:color w:val="000000" w:themeColor="text1"/>
          <w:rtl/>
        </w:rPr>
        <w:footnoteReference w:id="2193"/>
      </w:r>
      <w:r>
        <w:rPr>
          <w:rFonts w:cs="Arial"/>
          <w:rtl/>
        </w:rPr>
        <w:t>, אדם מתנה עליה שלא יירשנה</w:t>
      </w:r>
      <w:r>
        <w:rPr>
          <w:rFonts w:cs="Arial" w:hint="cs"/>
          <w:rtl/>
        </w:rPr>
        <w:t>.</w:t>
      </w:r>
      <w:r>
        <w:rPr>
          <w:rFonts w:cs="Arial"/>
          <w:rtl/>
        </w:rPr>
        <w:t xml:space="preserve"> וכדרבא, דאמר רבא: האומר אי אפשי בתקנת חכמים</w:t>
      </w:r>
      <w:r w:rsidRPr="00F20C9C">
        <w:rPr>
          <w:rStyle w:val="a7"/>
          <w:rFonts w:cs="Arial"/>
          <w:color w:val="000000" w:themeColor="text1"/>
          <w:rtl/>
        </w:rPr>
        <w:footnoteReference w:id="2194"/>
      </w:r>
      <w:r>
        <w:rPr>
          <w:rFonts w:cs="Arial"/>
          <w:rtl/>
        </w:rPr>
        <w:t xml:space="preserve"> כגון זו - שומעין לו. מאי כגון זו? כדרב הונא אמר רב, דאמר רב הונא אמר רב: יכולה אשה שתאמר לבעלה איני ניזונת ואיני עושה. אי הכי</w:t>
      </w:r>
      <w:r w:rsidRPr="00F20C9C">
        <w:rPr>
          <w:rStyle w:val="a7"/>
          <w:rFonts w:cs="Arial"/>
          <w:color w:val="000000" w:themeColor="text1"/>
          <w:rtl/>
        </w:rPr>
        <w:footnoteReference w:id="2195"/>
      </w:r>
      <w:r>
        <w:rPr>
          <w:rFonts w:cs="Arial"/>
          <w:rtl/>
        </w:rPr>
        <w:t xml:space="preserve">, אפילו נשואה נמי! </w:t>
      </w:r>
      <w:r w:rsidRPr="008B4881">
        <w:rPr>
          <w:rFonts w:cs="Arial"/>
          <w:u w:val="single"/>
          <w:rtl/>
        </w:rPr>
        <w:t>אמר אביי</w:t>
      </w:r>
      <w:r>
        <w:rPr>
          <w:rFonts w:cs="Arial"/>
          <w:rtl/>
        </w:rPr>
        <w:t>: נשואה - ידו כידה</w:t>
      </w:r>
      <w:r w:rsidRPr="00F20C9C">
        <w:rPr>
          <w:rStyle w:val="a7"/>
          <w:rFonts w:cs="Arial"/>
          <w:color w:val="000000" w:themeColor="text1"/>
          <w:rtl/>
        </w:rPr>
        <w:footnoteReference w:id="2196"/>
      </w:r>
      <w:r>
        <w:rPr>
          <w:rFonts w:cs="Arial" w:hint="cs"/>
          <w:rtl/>
        </w:rPr>
        <w:t>.</w:t>
      </w:r>
      <w:r>
        <w:rPr>
          <w:rFonts w:cs="Arial"/>
          <w:rtl/>
        </w:rPr>
        <w:t xml:space="preserve"> </w:t>
      </w:r>
      <w:r w:rsidRPr="008B4881">
        <w:rPr>
          <w:rFonts w:cs="Arial"/>
          <w:u w:val="single"/>
          <w:rtl/>
        </w:rPr>
        <w:t>רבא אמר</w:t>
      </w:r>
      <w:r>
        <w:rPr>
          <w:rFonts w:cs="Arial"/>
          <w:rtl/>
        </w:rPr>
        <w:t xml:space="preserve">: ידו עדיפא מידה. </w:t>
      </w:r>
      <w:r w:rsidRPr="00915746">
        <w:rPr>
          <w:rFonts w:cs="Arial"/>
          <w:rtl/>
        </w:rPr>
        <w:t>נפקא מינה? לשומרת יבם. איבעיא להו: קנו מידו</w:t>
      </w:r>
      <w:r w:rsidRPr="00F20C9C">
        <w:rPr>
          <w:rStyle w:val="a7"/>
          <w:rFonts w:cs="Arial"/>
          <w:color w:val="000000" w:themeColor="text1"/>
          <w:rtl/>
        </w:rPr>
        <w:footnoteReference w:id="2197"/>
      </w:r>
      <w:r w:rsidRPr="00915746">
        <w:rPr>
          <w:rFonts w:cs="Arial"/>
          <w:rtl/>
        </w:rPr>
        <w:t>, מהו</w:t>
      </w:r>
      <w:r w:rsidRPr="00F20C9C">
        <w:rPr>
          <w:rStyle w:val="a7"/>
          <w:rFonts w:cs="Arial"/>
          <w:color w:val="000000" w:themeColor="text1"/>
          <w:rtl/>
        </w:rPr>
        <w:footnoteReference w:id="2198"/>
      </w:r>
      <w:r w:rsidRPr="00915746">
        <w:rPr>
          <w:rFonts w:cs="Arial"/>
          <w:rtl/>
        </w:rPr>
        <w:t xml:space="preserve">? </w:t>
      </w:r>
      <w:r w:rsidRPr="00915746">
        <w:rPr>
          <w:rFonts w:cs="Arial"/>
          <w:u w:val="single"/>
          <w:rtl/>
        </w:rPr>
        <w:t>אמר רב יוסף</w:t>
      </w:r>
      <w:r w:rsidRPr="00915746">
        <w:rPr>
          <w:rFonts w:cs="Arial"/>
          <w:rtl/>
        </w:rPr>
        <w:t>: מדין ודברים קנו מידו</w:t>
      </w:r>
      <w:r w:rsidRPr="00F20C9C">
        <w:rPr>
          <w:rStyle w:val="a7"/>
          <w:rFonts w:cs="Arial"/>
          <w:color w:val="000000" w:themeColor="text1"/>
          <w:rtl/>
        </w:rPr>
        <w:footnoteReference w:id="2199"/>
      </w:r>
      <w:r w:rsidRPr="00915746">
        <w:rPr>
          <w:rFonts w:cs="Arial"/>
          <w:rtl/>
        </w:rPr>
        <w:t xml:space="preserve">. </w:t>
      </w:r>
      <w:r w:rsidRPr="00915746">
        <w:rPr>
          <w:rFonts w:cs="Arial"/>
          <w:u w:val="single"/>
          <w:rtl/>
        </w:rPr>
        <w:t>רב נחמן אמר</w:t>
      </w:r>
      <w:r w:rsidRPr="00915746">
        <w:rPr>
          <w:rFonts w:cs="Arial"/>
          <w:rtl/>
        </w:rPr>
        <w:t xml:space="preserve">: מגופה של קרקע קנו מידו. </w:t>
      </w:r>
      <w:r w:rsidRPr="00915746">
        <w:rPr>
          <w:rFonts w:cs="Arial"/>
          <w:u w:val="single"/>
          <w:rtl/>
        </w:rPr>
        <w:t>אמר אביי</w:t>
      </w:r>
      <w:r w:rsidRPr="00915746">
        <w:rPr>
          <w:rFonts w:cs="Arial"/>
          <w:rtl/>
        </w:rPr>
        <w:t>: מסתברא מילתא דרב יוסף</w:t>
      </w:r>
      <w:r>
        <w:rPr>
          <w:rFonts w:hint="cs"/>
          <w:sz w:val="14"/>
          <w:szCs w:val="14"/>
          <w:rtl/>
        </w:rPr>
        <w:t xml:space="preserve"> (פג:)</w:t>
      </w:r>
      <w:r w:rsidRPr="00915746">
        <w:rPr>
          <w:rtl/>
        </w:rPr>
        <w:t xml:space="preserve"> </w:t>
      </w:r>
      <w:r w:rsidRPr="00915746">
        <w:rPr>
          <w:rFonts w:cs="Arial"/>
          <w:rtl/>
        </w:rPr>
        <w:t>בעורר</w:t>
      </w:r>
      <w:r w:rsidRPr="00F20C9C">
        <w:rPr>
          <w:rStyle w:val="a7"/>
          <w:rFonts w:cs="Arial"/>
          <w:color w:val="000000" w:themeColor="text1"/>
          <w:rtl/>
        </w:rPr>
        <w:footnoteReference w:id="2200"/>
      </w:r>
      <w:r w:rsidRPr="00915746">
        <w:rPr>
          <w:rFonts w:cs="Arial"/>
          <w:rtl/>
        </w:rPr>
        <w:t>, אבל בעומד</w:t>
      </w:r>
      <w:r w:rsidRPr="00F20C9C">
        <w:rPr>
          <w:rStyle w:val="a7"/>
          <w:rFonts w:cs="Arial"/>
          <w:color w:val="000000" w:themeColor="text1"/>
          <w:rtl/>
        </w:rPr>
        <w:footnoteReference w:id="2201"/>
      </w:r>
      <w:r w:rsidRPr="00915746">
        <w:rPr>
          <w:rFonts w:cs="Arial"/>
          <w:rtl/>
        </w:rPr>
        <w:t xml:space="preserve"> - מגופה של קרקע קנו מידו. </w:t>
      </w:r>
      <w:r w:rsidRPr="003009B8">
        <w:rPr>
          <w:rFonts w:cs="Arial"/>
          <w:u w:val="single"/>
          <w:rtl/>
        </w:rPr>
        <w:t>אמר אמימר</w:t>
      </w:r>
      <w:r>
        <w:rPr>
          <w:rFonts w:cs="Arial" w:hint="cs"/>
          <w:rtl/>
        </w:rPr>
        <w:t>:</w:t>
      </w:r>
      <w:r w:rsidRPr="00915746">
        <w:rPr>
          <w:rFonts w:cs="Arial"/>
          <w:rtl/>
        </w:rPr>
        <w:t xml:space="preserve"> הלכתא</w:t>
      </w:r>
      <w:r>
        <w:rPr>
          <w:rFonts w:cs="Arial" w:hint="cs"/>
          <w:rtl/>
        </w:rPr>
        <w:t>,</w:t>
      </w:r>
      <w:r w:rsidRPr="00915746">
        <w:rPr>
          <w:rFonts w:cs="Arial"/>
          <w:rtl/>
        </w:rPr>
        <w:t xml:space="preserve"> מגופה של קרקע קנו מידו. </w:t>
      </w:r>
      <w:r w:rsidRPr="003009B8">
        <w:rPr>
          <w:rFonts w:cs="Arial"/>
          <w:u w:val="single"/>
          <w:rtl/>
        </w:rPr>
        <w:t>אמר ליה רב אשי לאמימר</w:t>
      </w:r>
      <w:r w:rsidRPr="00915746">
        <w:rPr>
          <w:rFonts w:cs="Arial"/>
          <w:rtl/>
        </w:rPr>
        <w:t>: בעורר או בעומד? למאי נפקא מינה? לכדרב יוסף</w:t>
      </w:r>
      <w:r>
        <w:rPr>
          <w:rFonts w:cs="Arial" w:hint="cs"/>
          <w:rtl/>
        </w:rPr>
        <w:t>.</w:t>
      </w:r>
      <w:r w:rsidRPr="00915746">
        <w:rPr>
          <w:rFonts w:cs="Arial"/>
          <w:rtl/>
        </w:rPr>
        <w:t xml:space="preserve"> </w:t>
      </w:r>
      <w:r w:rsidRPr="003009B8">
        <w:rPr>
          <w:rFonts w:cs="Arial"/>
          <w:u w:val="single"/>
          <w:rtl/>
        </w:rPr>
        <w:t>אמר ליה</w:t>
      </w:r>
      <w:r w:rsidRPr="00915746">
        <w:rPr>
          <w:rFonts w:cs="Arial"/>
          <w:rtl/>
        </w:rPr>
        <w:t xml:space="preserve">: לא שמיע לי, כלומר, לא סבירא לי. </w:t>
      </w:r>
    </w:p>
    <w:p w14:paraId="40D566C5" w14:textId="77777777" w:rsidR="002E5BAD" w:rsidRPr="00294ED1" w:rsidRDefault="002E5BAD" w:rsidP="002E5BAD">
      <w:pPr>
        <w:rPr>
          <w:u w:val="single"/>
          <w:rtl/>
        </w:rPr>
      </w:pPr>
      <w:r w:rsidRPr="00294ED1">
        <w:rPr>
          <w:rFonts w:hint="cs"/>
          <w:u w:val="single"/>
          <w:rtl/>
        </w:rPr>
        <w:t>הכותב לאשתו בעודה ארוסה 'דין ודברים אין לי בנכסיך':</w:t>
      </w:r>
    </w:p>
    <w:p w14:paraId="55D471D3" w14:textId="77777777" w:rsidR="002E5BAD" w:rsidRPr="008B4881" w:rsidRDefault="002E5BAD" w:rsidP="002E5BAD">
      <w:pPr>
        <w:pStyle w:val="ab"/>
        <w:numPr>
          <w:ilvl w:val="0"/>
          <w:numId w:val="186"/>
        </w:numPr>
      </w:pPr>
      <w:r w:rsidRPr="003171A6">
        <w:rPr>
          <w:rFonts w:cs="Arial" w:hint="cs"/>
          <w:rtl/>
        </w:rPr>
        <w:t xml:space="preserve">טור- </w:t>
      </w:r>
      <w:r w:rsidRPr="003171A6">
        <w:rPr>
          <w:rFonts w:cs="Arial"/>
          <w:rtl/>
        </w:rPr>
        <w:t>אע</w:t>
      </w:r>
      <w:r>
        <w:rPr>
          <w:rFonts w:cs="Arial" w:hint="cs"/>
          <w:rtl/>
        </w:rPr>
        <w:t>"</w:t>
      </w:r>
      <w:r w:rsidRPr="003171A6">
        <w:rPr>
          <w:rFonts w:cs="Arial"/>
          <w:rtl/>
        </w:rPr>
        <w:t>פ שהבעל אוכל פירות נכסי אשתו</w:t>
      </w:r>
      <w:r>
        <w:rPr>
          <w:rFonts w:cs="Arial" w:hint="cs"/>
          <w:rtl/>
        </w:rPr>
        <w:t>,</w:t>
      </w:r>
      <w:r w:rsidRPr="003171A6">
        <w:rPr>
          <w:rFonts w:cs="Arial"/>
          <w:rtl/>
        </w:rPr>
        <w:t xml:space="preserve"> אם התנה עמה שלא יאכלם מהני תנאה</w:t>
      </w:r>
      <w:r>
        <w:rPr>
          <w:rFonts w:cs="Arial" w:hint="cs"/>
          <w:rtl/>
        </w:rPr>
        <w:t>.</w:t>
      </w:r>
      <w:r w:rsidRPr="003171A6">
        <w:rPr>
          <w:rFonts w:cs="Arial"/>
          <w:rtl/>
        </w:rPr>
        <w:t xml:space="preserve"> כיצד</w:t>
      </w:r>
      <w:r>
        <w:rPr>
          <w:rFonts w:cs="Arial" w:hint="cs"/>
          <w:rtl/>
        </w:rPr>
        <w:t>,</w:t>
      </w:r>
      <w:r w:rsidRPr="003171A6">
        <w:rPr>
          <w:rFonts w:cs="Arial"/>
          <w:rtl/>
        </w:rPr>
        <w:t xml:space="preserve"> כתב או אמר לה דין ודברים אין לי בנכסייך</w:t>
      </w:r>
      <w:r>
        <w:rPr>
          <w:rFonts w:cs="Arial" w:hint="cs"/>
          <w:rtl/>
        </w:rPr>
        <w:t xml:space="preserve"> -</w:t>
      </w:r>
      <w:r w:rsidRPr="003171A6">
        <w:rPr>
          <w:rFonts w:cs="Arial"/>
          <w:rtl/>
        </w:rPr>
        <w:t xml:space="preserve"> מהני תנאה</w:t>
      </w:r>
      <w:r>
        <w:rPr>
          <w:rFonts w:cs="Arial" w:hint="cs"/>
          <w:rtl/>
        </w:rPr>
        <w:t>,</w:t>
      </w:r>
      <w:r w:rsidRPr="003171A6">
        <w:rPr>
          <w:rFonts w:cs="Arial"/>
          <w:rtl/>
        </w:rPr>
        <w:t xml:space="preserve"> שאם מכרה או נתנה נכסיה לאחר שהוא קיים</w:t>
      </w:r>
      <w:r>
        <w:rPr>
          <w:rStyle w:val="a7"/>
          <w:rFonts w:cs="Arial"/>
          <w:rtl/>
        </w:rPr>
        <w:footnoteReference w:id="2202"/>
      </w:r>
      <w:r>
        <w:rPr>
          <w:rFonts w:cs="Arial" w:hint="cs"/>
          <w:rtl/>
        </w:rPr>
        <w:t>.</w:t>
      </w:r>
      <w:r w:rsidRPr="003171A6">
        <w:rPr>
          <w:rFonts w:cs="Arial"/>
          <w:rtl/>
        </w:rPr>
        <w:t xml:space="preserve"> אבל כל זמן שלא מכרה או נתנה </w:t>
      </w:r>
      <w:r>
        <w:rPr>
          <w:rFonts w:cs="Arial" w:hint="cs"/>
          <w:rtl/>
        </w:rPr>
        <w:t xml:space="preserve">- </w:t>
      </w:r>
      <w:r w:rsidRPr="003171A6">
        <w:rPr>
          <w:rFonts w:cs="Arial"/>
          <w:rtl/>
        </w:rPr>
        <w:t>אוכל הפירות ואם מתה יורשה</w:t>
      </w:r>
      <w:r>
        <w:rPr>
          <w:rFonts w:cs="Arial" w:hint="cs"/>
          <w:rtl/>
        </w:rPr>
        <w:t>.</w:t>
      </w:r>
      <w:r w:rsidRPr="003171A6">
        <w:rPr>
          <w:rFonts w:cs="Arial"/>
          <w:rtl/>
        </w:rPr>
        <w:t xml:space="preserve"> </w:t>
      </w:r>
      <w:r w:rsidRPr="00157F70">
        <w:rPr>
          <w:rFonts w:cs="Arial"/>
          <w:rtl/>
        </w:rPr>
        <w:t>בד"א</w:t>
      </w:r>
      <w:r w:rsidRPr="00157F70">
        <w:rPr>
          <w:rFonts w:cs="Arial" w:hint="cs"/>
          <w:rtl/>
        </w:rPr>
        <w:t>,</w:t>
      </w:r>
      <w:r w:rsidRPr="00157F70">
        <w:rPr>
          <w:rFonts w:cs="Arial"/>
          <w:rtl/>
        </w:rPr>
        <w:t xml:space="preserve"> בכותב או אומר לה כן בעודה ארוסה</w:t>
      </w:r>
      <w:r>
        <w:rPr>
          <w:rFonts w:cs="Arial" w:hint="cs"/>
          <w:rtl/>
        </w:rPr>
        <w:t>.</w:t>
      </w:r>
      <w:r w:rsidRPr="00157F70">
        <w:rPr>
          <w:rFonts w:cs="Arial"/>
          <w:rtl/>
        </w:rPr>
        <w:t xml:space="preserve"> </w:t>
      </w:r>
      <w:r w:rsidRPr="009B52EC">
        <w:rPr>
          <w:rFonts w:cs="Arial" w:hint="cs"/>
          <w:color w:val="E36C0A" w:themeColor="accent6" w:themeShade="BF"/>
          <w:rtl/>
        </w:rPr>
        <w:t>(וכ"פ בשו"ע)</w:t>
      </w:r>
    </w:p>
    <w:p w14:paraId="521F98D2" w14:textId="77777777" w:rsidR="002E5BAD" w:rsidRPr="008B4881" w:rsidRDefault="002E5BAD" w:rsidP="002E5BAD">
      <w:pPr>
        <w:ind w:left="360"/>
        <w:rPr>
          <w:u w:val="dotted"/>
        </w:rPr>
      </w:pPr>
      <w:r w:rsidRPr="008B4881">
        <w:rPr>
          <w:rFonts w:hint="cs"/>
          <w:u w:val="dotted"/>
          <w:rtl/>
        </w:rPr>
        <w:t>ומה הדין אם כתב לה כן קודם אירוסין:</w:t>
      </w:r>
    </w:p>
    <w:p w14:paraId="2136A315" w14:textId="77777777" w:rsidR="002E5BAD" w:rsidRDefault="002E5BAD" w:rsidP="002E5BAD">
      <w:pPr>
        <w:pStyle w:val="ab"/>
        <w:numPr>
          <w:ilvl w:val="0"/>
          <w:numId w:val="186"/>
        </w:numPr>
      </w:pPr>
      <w:r w:rsidRPr="00F31ACB">
        <w:rPr>
          <w:rFonts w:cs="Arial"/>
          <w:rtl/>
        </w:rPr>
        <w:t xml:space="preserve">רשב"א </w:t>
      </w:r>
      <w:r w:rsidRPr="00D33625">
        <w:rPr>
          <w:rFonts w:cs="Arial" w:hint="cs"/>
          <w:sz w:val="16"/>
          <w:szCs w:val="16"/>
          <w:rtl/>
        </w:rPr>
        <w:t>(</w:t>
      </w:r>
      <w:r w:rsidRPr="00D33625">
        <w:rPr>
          <w:rFonts w:cs="Arial"/>
          <w:sz w:val="16"/>
          <w:szCs w:val="16"/>
          <w:rtl/>
        </w:rPr>
        <w:t>סי</w:t>
      </w:r>
      <w:r w:rsidRPr="00D33625">
        <w:rPr>
          <w:rFonts w:cs="Arial" w:hint="cs"/>
          <w:sz w:val="16"/>
          <w:szCs w:val="16"/>
          <w:rtl/>
        </w:rPr>
        <w:t>'</w:t>
      </w:r>
      <w:r w:rsidRPr="00D33625">
        <w:rPr>
          <w:rFonts w:cs="Arial"/>
          <w:sz w:val="16"/>
          <w:szCs w:val="16"/>
          <w:rtl/>
        </w:rPr>
        <w:t xml:space="preserve"> תתקס</w:t>
      </w:r>
      <w:r w:rsidRPr="00D33625">
        <w:rPr>
          <w:rFonts w:cs="Arial" w:hint="cs"/>
          <w:sz w:val="16"/>
          <w:szCs w:val="16"/>
          <w:rtl/>
        </w:rPr>
        <w:t>)</w:t>
      </w:r>
      <w:r>
        <w:rPr>
          <w:rFonts w:cs="Arial" w:hint="cs"/>
          <w:rtl/>
        </w:rPr>
        <w:t xml:space="preserve"> ו</w:t>
      </w:r>
      <w:r w:rsidRPr="008B4881">
        <w:rPr>
          <w:rFonts w:cs="Arial"/>
          <w:rtl/>
        </w:rPr>
        <w:t xml:space="preserve">ר"ן </w:t>
      </w:r>
      <w:r w:rsidRPr="008B4881">
        <w:rPr>
          <w:rFonts w:cs="Arial"/>
          <w:sz w:val="16"/>
          <w:szCs w:val="16"/>
          <w:rtl/>
        </w:rPr>
        <w:t>(מא. ד"ה בכותב)</w:t>
      </w:r>
      <w:r>
        <w:rPr>
          <w:rFonts w:cs="Arial" w:hint="cs"/>
          <w:rtl/>
        </w:rPr>
        <w:t>-</w:t>
      </w:r>
      <w:r w:rsidRPr="008B4881">
        <w:rPr>
          <w:rFonts w:cs="Arial"/>
          <w:rtl/>
        </w:rPr>
        <w:t xml:space="preserve"> אמר רבי ינאי בכותב לה ועודה ארוסה</w:t>
      </w:r>
      <w:r>
        <w:rPr>
          <w:rFonts w:cs="Arial" w:hint="cs"/>
          <w:rtl/>
        </w:rPr>
        <w:t>,</w:t>
      </w:r>
      <w:r w:rsidRPr="008B4881">
        <w:rPr>
          <w:rFonts w:cs="Arial"/>
          <w:rtl/>
        </w:rPr>
        <w:t xml:space="preserve"> דוקא בכותב לה ועודה ארוסה</w:t>
      </w:r>
      <w:r>
        <w:rPr>
          <w:rFonts w:cs="Arial" w:hint="cs"/>
          <w:rtl/>
        </w:rPr>
        <w:t>,</w:t>
      </w:r>
      <w:r w:rsidRPr="008B4881">
        <w:rPr>
          <w:rFonts w:cs="Arial"/>
          <w:rtl/>
        </w:rPr>
        <w:t xml:space="preserve"> דשייך בה קצת</w:t>
      </w:r>
      <w:r>
        <w:rPr>
          <w:rFonts w:cs="Arial" w:hint="cs"/>
          <w:rtl/>
        </w:rPr>
        <w:t>.</w:t>
      </w:r>
      <w:r w:rsidRPr="008B4881">
        <w:rPr>
          <w:rFonts w:cs="Arial"/>
          <w:rtl/>
        </w:rPr>
        <w:t xml:space="preserve"> אבל קודם לכן כיון שאין לו שייכות בנכסים כלל </w:t>
      </w:r>
      <w:r>
        <w:rPr>
          <w:rFonts w:cs="Arial" w:hint="cs"/>
          <w:rtl/>
        </w:rPr>
        <w:t xml:space="preserve">- </w:t>
      </w:r>
      <w:r w:rsidRPr="008B4881">
        <w:rPr>
          <w:rFonts w:cs="Arial"/>
          <w:rtl/>
        </w:rPr>
        <w:t>סילוקו לאו כלום הוא</w:t>
      </w:r>
      <w:r>
        <w:rPr>
          <w:rFonts w:cs="Arial" w:hint="cs"/>
          <w:sz w:val="16"/>
          <w:szCs w:val="16"/>
          <w:rtl/>
        </w:rPr>
        <w:t xml:space="preserve"> (ל' הר"ן)</w:t>
      </w:r>
      <w:r>
        <w:rPr>
          <w:rFonts w:cs="Arial" w:hint="cs"/>
          <w:rtl/>
        </w:rPr>
        <w:t>.</w:t>
      </w:r>
      <w:r w:rsidRPr="00C14D0E">
        <w:rPr>
          <w:rFonts w:cs="Arial" w:hint="cs"/>
          <w:color w:val="00B0F0"/>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הרמ"א</w:t>
      </w:r>
      <w:r>
        <w:rPr>
          <w:rFonts w:cs="Arial" w:hint="cs"/>
          <w:color w:val="00B0F0"/>
          <w:rtl/>
        </w:rPr>
        <w:t>)</w:t>
      </w:r>
    </w:p>
    <w:p w14:paraId="481B1A98" w14:textId="77777777" w:rsidR="002E5BAD" w:rsidRPr="008B4881" w:rsidRDefault="002E5BAD" w:rsidP="002E5BAD">
      <w:pPr>
        <w:ind w:left="360"/>
        <w:rPr>
          <w:u w:val="dotted"/>
        </w:rPr>
      </w:pPr>
      <w:r w:rsidRPr="008B4881">
        <w:rPr>
          <w:rFonts w:hint="cs"/>
          <w:u w:val="dotted"/>
          <w:rtl/>
        </w:rPr>
        <w:t>ומה הדין אם כתב לה</w:t>
      </w:r>
      <w:r>
        <w:rPr>
          <w:rFonts w:hint="cs"/>
          <w:u w:val="dotted"/>
          <w:rtl/>
        </w:rPr>
        <w:t xml:space="preserve"> כן</w:t>
      </w:r>
      <w:r w:rsidRPr="008B4881">
        <w:rPr>
          <w:rFonts w:hint="cs"/>
          <w:u w:val="dotted"/>
          <w:rtl/>
        </w:rPr>
        <w:t xml:space="preserve"> לאחר נישואין</w:t>
      </w:r>
      <w:r>
        <w:rPr>
          <w:rFonts w:hint="cs"/>
          <w:u w:val="dotted"/>
          <w:rtl/>
        </w:rPr>
        <w:t xml:space="preserve"> וקנו מידו</w:t>
      </w:r>
      <w:r w:rsidRPr="008B4881">
        <w:rPr>
          <w:rFonts w:hint="cs"/>
          <w:u w:val="dotted"/>
          <w:rtl/>
        </w:rPr>
        <w:t>:</w:t>
      </w:r>
    </w:p>
    <w:p w14:paraId="52D81B60" w14:textId="77777777" w:rsidR="002E5BAD" w:rsidRDefault="002E5BAD" w:rsidP="002E5BAD">
      <w:pPr>
        <w:pStyle w:val="ab"/>
        <w:numPr>
          <w:ilvl w:val="0"/>
          <w:numId w:val="186"/>
        </w:numPr>
      </w:pPr>
      <w:r>
        <w:rPr>
          <w:rFonts w:cs="Arial" w:hint="cs"/>
          <w:rtl/>
        </w:rPr>
        <w:lastRenderedPageBreak/>
        <w:t xml:space="preserve">ר"י </w:t>
      </w:r>
      <w:r w:rsidRPr="00D173D6">
        <w:rPr>
          <w:rFonts w:cs="Arial"/>
          <w:sz w:val="16"/>
          <w:szCs w:val="16"/>
          <w:rtl/>
        </w:rPr>
        <w:t xml:space="preserve">(כתובות </w:t>
      </w:r>
      <w:r>
        <w:rPr>
          <w:rFonts w:cs="Arial" w:hint="cs"/>
          <w:sz w:val="16"/>
          <w:szCs w:val="16"/>
          <w:rtl/>
        </w:rPr>
        <w:t>פג.</w:t>
      </w:r>
      <w:r w:rsidRPr="00D173D6">
        <w:rPr>
          <w:rFonts w:cs="Arial"/>
          <w:sz w:val="16"/>
          <w:szCs w:val="16"/>
          <w:rtl/>
        </w:rPr>
        <w:t xml:space="preserve"> </w:t>
      </w:r>
      <w:r>
        <w:rPr>
          <w:rFonts w:cs="Arial" w:hint="cs"/>
          <w:sz w:val="16"/>
          <w:szCs w:val="16"/>
          <w:rtl/>
        </w:rPr>
        <w:t xml:space="preserve">בתוס' </w:t>
      </w:r>
      <w:r w:rsidRPr="00D173D6">
        <w:rPr>
          <w:rFonts w:cs="Arial"/>
          <w:sz w:val="16"/>
          <w:szCs w:val="16"/>
          <w:rtl/>
        </w:rPr>
        <w:t>ד"ה קנו)</w:t>
      </w:r>
      <w:r>
        <w:rPr>
          <w:rFonts w:cs="Arial" w:hint="cs"/>
          <w:rtl/>
        </w:rPr>
        <w:t xml:space="preserve"> ורמב"ם </w:t>
      </w:r>
      <w:r>
        <w:rPr>
          <w:rFonts w:cs="Arial" w:hint="cs"/>
          <w:sz w:val="16"/>
          <w:szCs w:val="16"/>
          <w:rtl/>
        </w:rPr>
        <w:t>(פכ"ג מאישות ה"א)</w:t>
      </w:r>
      <w:r>
        <w:rPr>
          <w:rFonts w:cs="Arial" w:hint="cs"/>
          <w:rtl/>
        </w:rPr>
        <w:t xml:space="preserve">- </w:t>
      </w:r>
      <w:r w:rsidRPr="008B4881">
        <w:rPr>
          <w:rFonts w:cs="Arial"/>
          <w:rtl/>
        </w:rPr>
        <w:t>האשה שהתנת על בעלה לבטל זכות מדברים שזוכה בהן הבעל, אם כתב לה ועודה ארוסה קודם הנישואין אינו צריך לקנות מידו אלא כל מה שכתב לה קיים, ואם כתב לה אחר הנישואין צריך לקנות מידו</w:t>
      </w:r>
      <w:r w:rsidRPr="00F20C9C">
        <w:rPr>
          <w:rStyle w:val="a7"/>
          <w:rFonts w:cs="Arial"/>
          <w:color w:val="000000" w:themeColor="text1"/>
          <w:rtl/>
        </w:rPr>
        <w:footnoteReference w:id="2203"/>
      </w:r>
      <w:r>
        <w:rPr>
          <w:rFonts w:cs="Arial" w:hint="cs"/>
          <w:sz w:val="16"/>
          <w:szCs w:val="16"/>
          <w:rtl/>
        </w:rPr>
        <w:t xml:space="preserve"> (ל' הרמב"ם)</w:t>
      </w:r>
      <w:r w:rsidRPr="008B4881">
        <w:rPr>
          <w:rFonts w:cs="Arial"/>
          <w:rtl/>
        </w:rPr>
        <w:t>.</w:t>
      </w:r>
      <w:r w:rsidRPr="00C14D0E">
        <w:rPr>
          <w:rFonts w:cs="Arial" w:hint="cs"/>
          <w:color w:val="E36C0A" w:themeColor="accent6" w:themeShade="BF"/>
          <w:rtl/>
        </w:rPr>
        <w:t xml:space="preserve"> </w:t>
      </w:r>
      <w:r w:rsidRPr="009B52EC">
        <w:rPr>
          <w:rFonts w:cs="Arial" w:hint="cs"/>
          <w:color w:val="E36C0A" w:themeColor="accent6" w:themeShade="BF"/>
          <w:rtl/>
        </w:rPr>
        <w:t>(וכ"פ בשו"ע)</w:t>
      </w:r>
    </w:p>
    <w:p w14:paraId="479F09C4" w14:textId="77777777" w:rsidR="002E5BAD" w:rsidRPr="00C14D0E" w:rsidRDefault="002E5BAD" w:rsidP="002E5BAD">
      <w:pPr>
        <w:pStyle w:val="ab"/>
        <w:numPr>
          <w:ilvl w:val="0"/>
          <w:numId w:val="186"/>
        </w:numPr>
      </w:pPr>
      <w:r>
        <w:rPr>
          <w:rFonts w:cs="Arial" w:hint="cs"/>
          <w:rtl/>
        </w:rPr>
        <w:t xml:space="preserve">רש"י </w:t>
      </w:r>
      <w:r>
        <w:rPr>
          <w:rFonts w:cs="Arial" w:hint="cs"/>
          <w:sz w:val="16"/>
          <w:szCs w:val="16"/>
          <w:rtl/>
        </w:rPr>
        <w:t>(פג. ד"ה קנו מידו מהו)</w:t>
      </w:r>
      <w:r>
        <w:rPr>
          <w:rFonts w:cs="Arial" w:hint="cs"/>
          <w:rtl/>
        </w:rPr>
        <w:t xml:space="preserve"> ורא"ש</w:t>
      </w:r>
      <w:r w:rsidRPr="00F20C9C">
        <w:rPr>
          <w:rStyle w:val="a7"/>
          <w:rFonts w:cs="Arial"/>
          <w:color w:val="000000" w:themeColor="text1"/>
          <w:rtl/>
        </w:rPr>
        <w:footnoteReference w:id="2204"/>
      </w:r>
      <w:r>
        <w:rPr>
          <w:rFonts w:cs="Arial" w:hint="cs"/>
          <w:rtl/>
        </w:rPr>
        <w:t xml:space="preserve"> </w:t>
      </w:r>
      <w:r>
        <w:rPr>
          <w:rFonts w:cs="Arial" w:hint="cs"/>
          <w:sz w:val="16"/>
          <w:szCs w:val="16"/>
          <w:rtl/>
        </w:rPr>
        <w:t>(כ"כ הטור בשמו)</w:t>
      </w:r>
      <w:r>
        <w:rPr>
          <w:rFonts w:cs="Arial" w:hint="cs"/>
          <w:rtl/>
        </w:rPr>
        <w:t>- לא מועיל אם כתב לה כן לאחר נישואין אפילו אם קנו מידו.</w:t>
      </w:r>
      <w:r w:rsidRPr="003171A6">
        <w:rPr>
          <w:rFonts w:cs="Arial"/>
          <w:rtl/>
        </w:rPr>
        <w:t xml:space="preserve"> </w:t>
      </w:r>
      <w:r w:rsidRPr="00233EB8">
        <w:rPr>
          <w:rFonts w:cs="Arial"/>
          <w:rtl/>
        </w:rPr>
        <w:t xml:space="preserve"> </w:t>
      </w:r>
    </w:p>
    <w:p w14:paraId="3B468084" w14:textId="77777777" w:rsidR="002E5BAD" w:rsidRPr="00C14D0E" w:rsidRDefault="002E5BAD" w:rsidP="002E5BAD">
      <w:pPr>
        <w:ind w:left="360"/>
        <w:rPr>
          <w:u w:val="dotted"/>
        </w:rPr>
      </w:pPr>
      <w:r w:rsidRPr="00C14D0E">
        <w:rPr>
          <w:rFonts w:hint="cs"/>
          <w:u w:val="dotted"/>
          <w:rtl/>
        </w:rPr>
        <w:t xml:space="preserve">לרמב"ם וסיעתו </w:t>
      </w:r>
      <w:r w:rsidRPr="00C14D0E">
        <w:rPr>
          <w:u w:val="dotted"/>
          <w:rtl/>
        </w:rPr>
        <w:t>–</w:t>
      </w:r>
      <w:r w:rsidRPr="00C14D0E">
        <w:rPr>
          <w:rFonts w:hint="cs"/>
          <w:u w:val="dotted"/>
          <w:rtl/>
        </w:rPr>
        <w:t xml:space="preserve"> ל</w:t>
      </w:r>
      <w:r>
        <w:rPr>
          <w:rFonts w:hint="cs"/>
          <w:u w:val="dotted"/>
          <w:rtl/>
        </w:rPr>
        <w:t>אלו דברים</w:t>
      </w:r>
      <w:r w:rsidRPr="00C14D0E">
        <w:rPr>
          <w:rFonts w:hint="cs"/>
          <w:u w:val="dotted"/>
          <w:rtl/>
        </w:rPr>
        <w:t xml:space="preserve"> מועיל הקניין </w:t>
      </w:r>
      <w:r w:rsidRPr="00C14D0E">
        <w:rPr>
          <w:rFonts w:hint="cs"/>
          <w:sz w:val="16"/>
          <w:szCs w:val="16"/>
          <w:u w:val="dotted"/>
          <w:rtl/>
        </w:rPr>
        <w:t>(כשכתב לה לאחר נישואין</w:t>
      </w:r>
      <w:r>
        <w:rPr>
          <w:rFonts w:hint="cs"/>
          <w:sz w:val="16"/>
          <w:szCs w:val="16"/>
          <w:u w:val="dotted"/>
          <w:rtl/>
        </w:rPr>
        <w:t xml:space="preserve"> כנ"ל)</w:t>
      </w:r>
      <w:r w:rsidRPr="00C14D0E">
        <w:rPr>
          <w:rFonts w:hint="cs"/>
          <w:u w:val="dotted"/>
          <w:rtl/>
        </w:rPr>
        <w:t>:</w:t>
      </w:r>
    </w:p>
    <w:p w14:paraId="1ABD1967" w14:textId="77777777" w:rsidR="002E5BAD" w:rsidRPr="00C14D0E" w:rsidRDefault="002E5BAD" w:rsidP="002E5BAD">
      <w:pPr>
        <w:pStyle w:val="ab"/>
        <w:numPr>
          <w:ilvl w:val="0"/>
          <w:numId w:val="186"/>
        </w:numPr>
      </w:pPr>
      <w:r w:rsidRPr="00C14D0E">
        <w:rPr>
          <w:rFonts w:cs="Arial" w:hint="cs"/>
          <w:rtl/>
        </w:rPr>
        <w:t xml:space="preserve">ב"י </w:t>
      </w:r>
      <w:r w:rsidRPr="00C14D0E">
        <w:rPr>
          <w:rFonts w:cs="Arial" w:hint="cs"/>
          <w:sz w:val="16"/>
          <w:szCs w:val="16"/>
          <w:rtl/>
        </w:rPr>
        <w:t>(בבדה"ב)</w:t>
      </w:r>
      <w:r w:rsidRPr="00C14D0E">
        <w:rPr>
          <w:rFonts w:cs="Arial" w:hint="cs"/>
          <w:rtl/>
        </w:rPr>
        <w:t xml:space="preserve">- </w:t>
      </w:r>
      <w:r w:rsidRPr="00C14D0E">
        <w:rPr>
          <w:rFonts w:cs="Arial"/>
          <w:rtl/>
        </w:rPr>
        <w:t>מדקדוק דברי הרמב"ם נראה לי שמה שכתב ואם כתב לה אחר הנישואין</w:t>
      </w:r>
      <w:r w:rsidRPr="00C14D0E">
        <w:rPr>
          <w:rFonts w:cs="Arial" w:hint="cs"/>
          <w:rtl/>
        </w:rPr>
        <w:t>,</w:t>
      </w:r>
      <w:r w:rsidRPr="00C14D0E">
        <w:rPr>
          <w:rFonts w:cs="Arial"/>
          <w:rtl/>
        </w:rPr>
        <w:t xml:space="preserve"> לא לענין שיועיל הקנין אחר שנישאת לענין הפירות אף על פי שלא כתב לה אלא דין ודברים אין לי בנכסיך</w:t>
      </w:r>
      <w:r w:rsidRPr="00C14D0E">
        <w:rPr>
          <w:rFonts w:cs="Arial" w:hint="cs"/>
          <w:rtl/>
        </w:rPr>
        <w:t>,</w:t>
      </w:r>
      <w:r w:rsidRPr="00C14D0E">
        <w:rPr>
          <w:rFonts w:cs="Arial"/>
          <w:rtl/>
        </w:rPr>
        <w:t xml:space="preserve"> וכדמשמע מדברי הרב המגיד</w:t>
      </w:r>
      <w:r w:rsidRPr="00C14D0E">
        <w:rPr>
          <w:rFonts w:cs="Arial" w:hint="cs"/>
          <w:rtl/>
        </w:rPr>
        <w:t>,</w:t>
      </w:r>
      <w:r w:rsidRPr="00C14D0E">
        <w:rPr>
          <w:rFonts w:cs="Arial"/>
          <w:rtl/>
        </w:rPr>
        <w:t xml:space="preserve"> דאם כן אין בין ארוסה לנשואה כלום</w:t>
      </w:r>
      <w:r w:rsidRPr="00C14D0E">
        <w:rPr>
          <w:rFonts w:cs="Arial" w:hint="cs"/>
          <w:rtl/>
        </w:rPr>
        <w:t>.</w:t>
      </w:r>
      <w:r w:rsidRPr="00C14D0E">
        <w:rPr>
          <w:rFonts w:cs="Arial"/>
          <w:rtl/>
        </w:rPr>
        <w:t xml:space="preserve"> אלא לענין שיהיה מכרה ונתינתה קיים על ידי שיאמר לה דין ודברים אין לי בנכסיך קאמר</w:t>
      </w:r>
      <w:r w:rsidRPr="00C14D0E">
        <w:rPr>
          <w:rFonts w:cs="Arial" w:hint="cs"/>
          <w:rtl/>
        </w:rPr>
        <w:t>.</w:t>
      </w:r>
      <w:r w:rsidRPr="00C14D0E">
        <w:rPr>
          <w:rFonts w:cs="Arial"/>
          <w:rtl/>
        </w:rPr>
        <w:t xml:space="preserve"> דאע"ג דבכותב לה ועודה ארוסה אין צריך לקנות מידו לענין שיהיה מכרה קיים</w:t>
      </w:r>
      <w:r w:rsidRPr="00C14D0E">
        <w:rPr>
          <w:rFonts w:cs="Arial" w:hint="cs"/>
          <w:rtl/>
        </w:rPr>
        <w:t>,</w:t>
      </w:r>
      <w:r w:rsidRPr="00C14D0E">
        <w:rPr>
          <w:rFonts w:cs="Arial"/>
          <w:rtl/>
        </w:rPr>
        <w:t xml:space="preserve"> ואם קנו מידו מועיל אף לפירות</w:t>
      </w:r>
      <w:r w:rsidRPr="00C14D0E">
        <w:rPr>
          <w:rFonts w:cs="Arial" w:hint="cs"/>
          <w:rtl/>
        </w:rPr>
        <w:t>,</w:t>
      </w:r>
      <w:r w:rsidRPr="00C14D0E">
        <w:rPr>
          <w:rFonts w:cs="Arial"/>
          <w:rtl/>
        </w:rPr>
        <w:t xml:space="preserve"> אם לא כתב לה אלא אחר שנישאת אם לא קנו מידו אינו מועיל אפילו למכרה ומתנתה</w:t>
      </w:r>
      <w:r w:rsidRPr="00C14D0E">
        <w:rPr>
          <w:rFonts w:cs="Arial" w:hint="cs"/>
          <w:rtl/>
        </w:rPr>
        <w:t>,</w:t>
      </w:r>
      <w:r w:rsidRPr="00C14D0E">
        <w:rPr>
          <w:rFonts w:cs="Arial"/>
          <w:rtl/>
        </w:rPr>
        <w:t xml:space="preserve"> ואם קנו מידו מועיל למכרה ומתנתה</w:t>
      </w:r>
      <w:r w:rsidRPr="00C14D0E">
        <w:rPr>
          <w:rFonts w:cs="Arial" w:hint="cs"/>
          <w:rtl/>
        </w:rPr>
        <w:t>,</w:t>
      </w:r>
      <w:r w:rsidRPr="00C14D0E">
        <w:rPr>
          <w:rFonts w:cs="Arial"/>
          <w:rtl/>
        </w:rPr>
        <w:t xml:space="preserve"> אבל לא לפירות</w:t>
      </w:r>
      <w:r w:rsidRPr="00C14D0E">
        <w:rPr>
          <w:rFonts w:cs="Arial" w:hint="cs"/>
          <w:rtl/>
        </w:rPr>
        <w:t>.</w:t>
      </w:r>
      <w:r w:rsidRPr="00C14D0E">
        <w:rPr>
          <w:rFonts w:cs="Arial"/>
          <w:rtl/>
        </w:rPr>
        <w:t xml:space="preserve"> וזה נראה לי ברור בדברי הרמב"ם</w:t>
      </w:r>
      <w:r w:rsidRPr="00C14D0E">
        <w:rPr>
          <w:rFonts w:cs="Arial" w:hint="cs"/>
          <w:rtl/>
        </w:rPr>
        <w:t>.</w:t>
      </w:r>
    </w:p>
    <w:p w14:paraId="638448E7" w14:textId="77777777" w:rsidR="002E5BAD" w:rsidRPr="005D1457" w:rsidRDefault="002E5BAD" w:rsidP="002E5BAD">
      <w:pPr>
        <w:pStyle w:val="ab"/>
        <w:numPr>
          <w:ilvl w:val="0"/>
          <w:numId w:val="186"/>
        </w:numPr>
        <w:rPr>
          <w:rtl/>
        </w:rPr>
      </w:pPr>
      <w:r w:rsidRPr="00C14D0E">
        <w:rPr>
          <w:rFonts w:cs="Arial"/>
          <w:rtl/>
        </w:rPr>
        <w:t xml:space="preserve">ר"ן </w:t>
      </w:r>
      <w:r w:rsidRPr="00C14D0E">
        <w:rPr>
          <w:rFonts w:cs="Arial"/>
          <w:sz w:val="16"/>
          <w:szCs w:val="16"/>
          <w:rtl/>
        </w:rPr>
        <w:t>(כתובות מא: דיבור ראשון)</w:t>
      </w:r>
      <w:r w:rsidRPr="00C14D0E">
        <w:rPr>
          <w:rFonts w:cs="Arial" w:hint="cs"/>
          <w:rtl/>
        </w:rPr>
        <w:t>-</w:t>
      </w:r>
      <w:r w:rsidRPr="00C14D0E">
        <w:rPr>
          <w:rFonts w:cs="Arial"/>
          <w:rtl/>
        </w:rPr>
        <w:t xml:space="preserve"> אסיקנא דמגופה של קרקע קנו מידו והוא הדין בנשואה דמהני לפירות אם קנו מידו</w:t>
      </w:r>
      <w:r>
        <w:rPr>
          <w:rStyle w:val="a7"/>
          <w:rFonts w:cs="Arial"/>
          <w:rtl/>
        </w:rPr>
        <w:footnoteReference w:id="2205"/>
      </w:r>
      <w:r w:rsidRPr="00C14D0E">
        <w:rPr>
          <w:rFonts w:cs="Arial"/>
          <w:rtl/>
        </w:rPr>
        <w:t xml:space="preserve">. </w:t>
      </w:r>
    </w:p>
    <w:p w14:paraId="64EDA08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0B3365DC" w14:textId="77777777" w:rsidR="002E5BAD" w:rsidRDefault="002E5BAD" w:rsidP="002E5BAD">
      <w:pPr>
        <w:rPr>
          <w:rtl/>
        </w:rPr>
      </w:pPr>
      <w:r>
        <w:rPr>
          <w:rFonts w:cs="Arial"/>
          <w:rtl/>
        </w:rPr>
        <w:t>הכותב או האומר לאשתו בעודה ארוסה: דין ודברים אין לי בנכסיך, אם מכרה או נתנה, קיים</w:t>
      </w:r>
      <w:r w:rsidRPr="00F20C9C">
        <w:rPr>
          <w:rStyle w:val="a7"/>
          <w:rFonts w:cs="Arial"/>
          <w:color w:val="000000" w:themeColor="text1"/>
          <w:rtl/>
        </w:rPr>
        <w:footnoteReference w:id="2206"/>
      </w:r>
      <w:r>
        <w:rPr>
          <w:rFonts w:cs="Arial"/>
          <w:rtl/>
        </w:rPr>
        <w:t xml:space="preserve">. </w:t>
      </w:r>
      <w:r>
        <w:rPr>
          <w:rFonts w:cs="Arial" w:hint="cs"/>
          <w:sz w:val="18"/>
          <w:szCs w:val="18"/>
          <w:rtl/>
        </w:rPr>
        <w:t xml:space="preserve">[הגה] </w:t>
      </w:r>
      <w:r w:rsidRPr="00DA1E36">
        <w:rPr>
          <w:rFonts w:cs="Arial"/>
          <w:sz w:val="18"/>
          <w:szCs w:val="18"/>
          <w:rtl/>
        </w:rPr>
        <w:t>ואין לו במעות המקח כלל</w:t>
      </w:r>
      <w:r w:rsidRPr="00F20C9C">
        <w:rPr>
          <w:rStyle w:val="a7"/>
          <w:rFonts w:cs="Arial"/>
          <w:color w:val="000000" w:themeColor="text1"/>
          <w:rtl/>
        </w:rPr>
        <w:footnoteReference w:id="2207"/>
      </w:r>
      <w:r w:rsidRPr="00DA1E36">
        <w:rPr>
          <w:rFonts w:cs="Arial"/>
          <w:sz w:val="18"/>
          <w:szCs w:val="18"/>
          <w:rtl/>
        </w:rPr>
        <w:t xml:space="preserve"> (הגהות אלפסי). </w:t>
      </w:r>
      <w:r>
        <w:rPr>
          <w:rFonts w:cs="Arial"/>
          <w:rtl/>
        </w:rPr>
        <w:t>וכל זמן שלא מכרה ולא נתנה, הבעל אוכל הפירות</w:t>
      </w:r>
      <w:r w:rsidRPr="00F20C9C">
        <w:rPr>
          <w:rStyle w:val="a7"/>
          <w:rFonts w:cs="Arial"/>
          <w:color w:val="000000" w:themeColor="text1"/>
          <w:rtl/>
        </w:rPr>
        <w:footnoteReference w:id="2208"/>
      </w:r>
      <w:r>
        <w:rPr>
          <w:rFonts w:cs="Arial"/>
          <w:rtl/>
        </w:rPr>
        <w:t>, ואם מתה יורשה. ואם כתב לה כן אחר הנשואין, צריך לקנות מידו ואז יהיה מכרה ומתנתה קיים</w:t>
      </w:r>
      <w:r>
        <w:rPr>
          <w:rStyle w:val="a7"/>
          <w:rFonts w:cs="Arial"/>
          <w:rtl/>
        </w:rPr>
        <w:footnoteReference w:id="2209"/>
      </w:r>
      <w:r>
        <w:rPr>
          <w:rFonts w:cs="Arial"/>
          <w:rtl/>
        </w:rPr>
        <w:t xml:space="preserve">. </w:t>
      </w:r>
      <w:r w:rsidRPr="00DA1E36">
        <w:rPr>
          <w:rFonts w:cs="Arial"/>
          <w:sz w:val="18"/>
          <w:szCs w:val="18"/>
          <w:rtl/>
        </w:rPr>
        <w:t>הגה: ולא מהני סלוקו אלא לאחר אירוסין, אבל קודם אירוסין לא מהני סילוק</w:t>
      </w:r>
      <w:r>
        <w:rPr>
          <w:rStyle w:val="a7"/>
          <w:rFonts w:cs="Arial"/>
          <w:sz w:val="18"/>
          <w:szCs w:val="18"/>
          <w:rtl/>
        </w:rPr>
        <w:footnoteReference w:id="2210"/>
      </w:r>
      <w:r w:rsidRPr="00DA1E36">
        <w:rPr>
          <w:rFonts w:cs="Arial"/>
          <w:sz w:val="18"/>
          <w:szCs w:val="18"/>
          <w:rtl/>
        </w:rPr>
        <w:t xml:space="preserve"> (ר"ן ורשב"א). </w:t>
      </w:r>
    </w:p>
    <w:p w14:paraId="4DD7591A" w14:textId="77777777" w:rsidR="002E5BAD" w:rsidRDefault="002E5BAD" w:rsidP="002E5BAD">
      <w:pPr>
        <w:rPr>
          <w:rtl/>
        </w:rPr>
      </w:pPr>
    </w:p>
    <w:p w14:paraId="59820C6A" w14:textId="77777777" w:rsidR="002E5BAD" w:rsidRDefault="002E5BAD" w:rsidP="002E5BAD">
      <w:pPr>
        <w:pStyle w:val="2"/>
        <w:rPr>
          <w:rtl/>
        </w:rPr>
      </w:pPr>
      <w:r>
        <w:rPr>
          <w:rtl/>
        </w:rPr>
        <w:t>סעיף ב</w:t>
      </w:r>
      <w:r>
        <w:rPr>
          <w:rFonts w:hint="cs"/>
          <w:rtl/>
        </w:rPr>
        <w:t>: הכותב לאשתו בעודה ארוסה כנ"ל ונפלו לה נכסים לאחר הנישואין.</w:t>
      </w:r>
    </w:p>
    <w:p w14:paraId="6D2333C5" w14:textId="77777777" w:rsidR="002E5BAD" w:rsidRPr="00294ED1" w:rsidRDefault="002E5BAD" w:rsidP="002E5BAD">
      <w:pPr>
        <w:rPr>
          <w:u w:val="single"/>
        </w:rPr>
      </w:pPr>
      <w:r>
        <w:rPr>
          <w:rFonts w:hint="cs"/>
          <w:u w:val="single"/>
          <w:rtl/>
        </w:rPr>
        <w:t xml:space="preserve">הכותב לאשתו ארוסה כנ"ל - </w:t>
      </w:r>
      <w:r w:rsidRPr="00294ED1">
        <w:rPr>
          <w:rFonts w:hint="cs"/>
          <w:u w:val="single"/>
          <w:rtl/>
        </w:rPr>
        <w:t>מה דין הנכסים שנפלו לה משנשאת:</w:t>
      </w:r>
    </w:p>
    <w:p w14:paraId="7A85F0AB" w14:textId="77777777" w:rsidR="002E5BAD" w:rsidRPr="00157F70" w:rsidRDefault="002E5BAD" w:rsidP="002E5BAD">
      <w:pPr>
        <w:pStyle w:val="ab"/>
        <w:numPr>
          <w:ilvl w:val="0"/>
          <w:numId w:val="186"/>
        </w:numPr>
      </w:pPr>
      <w:r>
        <w:rPr>
          <w:rFonts w:cs="Arial" w:hint="cs"/>
          <w:rtl/>
        </w:rPr>
        <w:t>ר"י</w:t>
      </w:r>
      <w:r>
        <w:rPr>
          <w:rFonts w:cs="Arial" w:hint="cs"/>
          <w:sz w:val="16"/>
          <w:szCs w:val="16"/>
          <w:rtl/>
        </w:rPr>
        <w:t xml:space="preserve"> (כ"כ הטור בשמו, ועי' בתוס' כתובות עח: ד"ה לא כר"י)</w:t>
      </w:r>
      <w:r>
        <w:rPr>
          <w:rFonts w:cs="Arial" w:hint="cs"/>
          <w:rtl/>
        </w:rPr>
        <w:t xml:space="preserve">- </w:t>
      </w:r>
      <w:r w:rsidRPr="00157F70">
        <w:rPr>
          <w:rFonts w:cs="Arial"/>
          <w:rtl/>
        </w:rPr>
        <w:t>אם נפלו לה משניסת</w:t>
      </w:r>
      <w:r w:rsidRPr="00157F70">
        <w:rPr>
          <w:rFonts w:cs="Arial" w:hint="cs"/>
          <w:rtl/>
        </w:rPr>
        <w:t>,</w:t>
      </w:r>
      <w:r w:rsidRPr="00157F70">
        <w:rPr>
          <w:rFonts w:cs="Arial"/>
          <w:rtl/>
        </w:rPr>
        <w:t xml:space="preserve"> אף על פי שהתנה בעודה ארוסה אין התנאי מועיל</w:t>
      </w:r>
      <w:r>
        <w:rPr>
          <w:rFonts w:cs="Arial" w:hint="cs"/>
          <w:sz w:val="16"/>
          <w:szCs w:val="16"/>
          <w:rtl/>
        </w:rPr>
        <w:t xml:space="preserve"> (ל' הטור בשמו)</w:t>
      </w:r>
      <w:r>
        <w:rPr>
          <w:rFonts w:cs="Arial" w:hint="cs"/>
          <w:rtl/>
        </w:rPr>
        <w:t>.</w:t>
      </w:r>
    </w:p>
    <w:p w14:paraId="7F6EC3BB" w14:textId="77777777" w:rsidR="002E5BAD" w:rsidRPr="00665EE6" w:rsidRDefault="002E5BAD" w:rsidP="002E5BAD">
      <w:pPr>
        <w:pStyle w:val="ab"/>
        <w:numPr>
          <w:ilvl w:val="0"/>
          <w:numId w:val="186"/>
        </w:numPr>
      </w:pPr>
      <w:r w:rsidRPr="003171A6">
        <w:rPr>
          <w:rFonts w:cs="Arial"/>
          <w:rtl/>
        </w:rPr>
        <w:lastRenderedPageBreak/>
        <w:t>רמב"ן</w:t>
      </w:r>
      <w:r>
        <w:rPr>
          <w:rFonts w:cs="Arial" w:hint="cs"/>
          <w:sz w:val="16"/>
          <w:szCs w:val="16"/>
          <w:rtl/>
        </w:rPr>
        <w:t xml:space="preserve"> </w:t>
      </w:r>
      <w:r w:rsidRPr="00665EE6">
        <w:rPr>
          <w:rFonts w:cs="Arial"/>
          <w:sz w:val="16"/>
          <w:szCs w:val="16"/>
          <w:rtl/>
        </w:rPr>
        <w:t>(פג. ד"ה הא)</w:t>
      </w:r>
      <w:r w:rsidRPr="003171A6">
        <w:rPr>
          <w:rFonts w:cs="Arial"/>
          <w:rtl/>
        </w:rPr>
        <w:t xml:space="preserve"> </w:t>
      </w:r>
      <w:r>
        <w:rPr>
          <w:rFonts w:cs="Arial" w:hint="cs"/>
          <w:rtl/>
        </w:rPr>
        <w:t>רא"ש</w:t>
      </w:r>
      <w:r w:rsidRPr="00F20C9C">
        <w:rPr>
          <w:rStyle w:val="a7"/>
          <w:rFonts w:cs="Arial"/>
          <w:color w:val="000000" w:themeColor="text1"/>
          <w:rtl/>
        </w:rPr>
        <w:footnoteReference w:id="2211"/>
      </w:r>
      <w:r>
        <w:rPr>
          <w:rFonts w:cs="Arial" w:hint="cs"/>
          <w:sz w:val="16"/>
          <w:szCs w:val="16"/>
          <w:rtl/>
        </w:rPr>
        <w:t xml:space="preserve"> (סי' א)</w:t>
      </w:r>
      <w:r w:rsidRPr="00665EE6">
        <w:rPr>
          <w:rFonts w:cs="Arial"/>
          <w:rtl/>
        </w:rPr>
        <w:t xml:space="preserve"> </w:t>
      </w:r>
      <w:r w:rsidRPr="00F31ACB">
        <w:rPr>
          <w:rFonts w:cs="Arial"/>
          <w:rtl/>
        </w:rPr>
        <w:t xml:space="preserve">ר"ן </w:t>
      </w:r>
      <w:r w:rsidRPr="00665EE6">
        <w:rPr>
          <w:rFonts w:cs="Arial"/>
          <w:sz w:val="16"/>
          <w:szCs w:val="16"/>
          <w:rtl/>
        </w:rPr>
        <w:t xml:space="preserve">(מא. ד"ה הכותב) </w:t>
      </w:r>
      <w:r>
        <w:rPr>
          <w:rFonts w:cs="Arial" w:hint="cs"/>
          <w:rtl/>
        </w:rPr>
        <w:t xml:space="preserve">והה"מ </w:t>
      </w:r>
      <w:r w:rsidRPr="00665EE6">
        <w:rPr>
          <w:rFonts w:cs="Arial" w:hint="cs"/>
          <w:sz w:val="16"/>
          <w:szCs w:val="16"/>
          <w:rtl/>
        </w:rPr>
        <w:t>(</w:t>
      </w:r>
      <w:r w:rsidRPr="00665EE6">
        <w:rPr>
          <w:rFonts w:cs="Arial"/>
          <w:sz w:val="16"/>
          <w:szCs w:val="16"/>
          <w:rtl/>
        </w:rPr>
        <w:t>פכ"ג מאישות סוף ה"א)</w:t>
      </w:r>
      <w:r>
        <w:rPr>
          <w:rFonts w:cs="Arial" w:hint="cs"/>
          <w:rtl/>
        </w:rPr>
        <w:t xml:space="preserve">- </w:t>
      </w:r>
      <w:r w:rsidRPr="003171A6">
        <w:rPr>
          <w:rFonts w:cs="Arial"/>
          <w:rtl/>
        </w:rPr>
        <w:t>התנאי שהתנה בעודה ארוסה מועיל לנכסים שיפלו לאחר נישואין</w:t>
      </w:r>
      <w:r>
        <w:rPr>
          <w:rStyle w:val="a7"/>
          <w:rFonts w:cs="Arial"/>
          <w:rtl/>
        </w:rPr>
        <w:footnoteReference w:id="2212"/>
      </w:r>
      <w:r>
        <w:rPr>
          <w:rFonts w:cs="Arial" w:hint="cs"/>
          <w:sz w:val="16"/>
          <w:szCs w:val="16"/>
          <w:rtl/>
        </w:rPr>
        <w:t xml:space="preserve"> (ל' הטור בשם הרמב"ן)</w:t>
      </w:r>
      <w:r>
        <w:rPr>
          <w:rFonts w:cs="Arial" w:hint="cs"/>
          <w:rtl/>
        </w:rPr>
        <w:t>.</w:t>
      </w:r>
      <w:r w:rsidRPr="003171A6">
        <w:rPr>
          <w:rFonts w:cs="Arial"/>
          <w:rtl/>
        </w:rPr>
        <w:t xml:space="preserve"> </w:t>
      </w:r>
      <w:r w:rsidRPr="00A31A43">
        <w:rPr>
          <w:rFonts w:hint="cs"/>
          <w:color w:val="E36C0A" w:themeColor="accent6" w:themeShade="BF"/>
          <w:rtl/>
        </w:rPr>
        <w:t>(וכ"פ בשו"ע)</w:t>
      </w:r>
    </w:p>
    <w:p w14:paraId="5757E7A0" w14:textId="77777777" w:rsidR="002E5BAD" w:rsidRPr="00005DA9" w:rsidRDefault="002E5BAD" w:rsidP="002E5BAD">
      <w:pPr>
        <w:rPr>
          <w:u w:val="single"/>
        </w:rPr>
      </w:pPr>
      <w:r w:rsidRPr="00005DA9">
        <w:rPr>
          <w:rFonts w:hint="cs"/>
          <w:u w:val="single"/>
          <w:rtl/>
        </w:rPr>
        <w:t xml:space="preserve">הכותב לאשתו 'דין ודברים אין לי בנכסיך' </w:t>
      </w:r>
      <w:r w:rsidRPr="00005DA9">
        <w:rPr>
          <w:u w:val="single"/>
          <w:rtl/>
        </w:rPr>
        <w:t>–</w:t>
      </w:r>
      <w:r w:rsidRPr="00005DA9">
        <w:rPr>
          <w:rFonts w:hint="cs"/>
          <w:u w:val="single"/>
          <w:rtl/>
        </w:rPr>
        <w:t xml:space="preserve"> האם הנכסים הנכתבים בכתובה הם בכלל זה:</w:t>
      </w:r>
    </w:p>
    <w:p w14:paraId="625DC75B" w14:textId="77777777" w:rsidR="002E5BAD" w:rsidRPr="00005DA9" w:rsidRDefault="002E5BAD" w:rsidP="002E5BAD">
      <w:pPr>
        <w:pStyle w:val="ab"/>
        <w:numPr>
          <w:ilvl w:val="0"/>
          <w:numId w:val="186"/>
        </w:numPr>
      </w:pPr>
      <w:r w:rsidRPr="00005DA9">
        <w:rPr>
          <w:rFonts w:cs="Arial"/>
          <w:rtl/>
        </w:rPr>
        <w:t xml:space="preserve">רב האי גאון </w:t>
      </w:r>
      <w:r w:rsidRPr="00005DA9">
        <w:rPr>
          <w:rFonts w:cs="Arial"/>
          <w:sz w:val="16"/>
          <w:szCs w:val="16"/>
          <w:rtl/>
        </w:rPr>
        <w:t>(ס' המקח והממכר שער ד</w:t>
      </w:r>
      <w:r w:rsidRPr="00005DA9">
        <w:rPr>
          <w:rFonts w:cs="Arial" w:hint="cs"/>
          <w:sz w:val="16"/>
          <w:szCs w:val="16"/>
          <w:rtl/>
        </w:rPr>
        <w:t>, הביאו המרדכי [סי' ריב])</w:t>
      </w:r>
      <w:r>
        <w:rPr>
          <w:rFonts w:cs="Arial" w:hint="cs"/>
          <w:rtl/>
        </w:rPr>
        <w:t>-</w:t>
      </w:r>
      <w:r w:rsidRPr="00005DA9">
        <w:rPr>
          <w:rFonts w:cs="Arial"/>
          <w:rtl/>
        </w:rPr>
        <w:t xml:space="preserve"> אם יתנה אדם עם אשתו קודם נשואין וכותב לה שאין לי בנכסיך כלום ואח"כ נישאת ומכרה מכירתה קיימת אפילו בנכסים הכתובים בכתובה כ"ש בנכסי מלוג ואפילו אם היא תמות בחיי בעלה אין בעלה יכול להוציא מיד הלקוחות</w:t>
      </w:r>
      <w:r>
        <w:rPr>
          <w:rFonts w:cs="Arial" w:hint="cs"/>
          <w:rtl/>
        </w:rPr>
        <w:t>.</w:t>
      </w:r>
      <w:r w:rsidRPr="00005DA9">
        <w:rPr>
          <w:rFonts w:cs="Arial"/>
          <w:rtl/>
        </w:rPr>
        <w:t xml:space="preserve"> </w:t>
      </w:r>
    </w:p>
    <w:p w14:paraId="42B5CCEB" w14:textId="77777777" w:rsidR="002E5BAD" w:rsidRDefault="002E5BAD" w:rsidP="002E5BAD">
      <w:pPr>
        <w:pStyle w:val="ab"/>
        <w:numPr>
          <w:ilvl w:val="0"/>
          <w:numId w:val="186"/>
        </w:numPr>
      </w:pPr>
      <w:r w:rsidRPr="00005DA9">
        <w:rPr>
          <w:rFonts w:cs="Arial"/>
          <w:rtl/>
        </w:rPr>
        <w:t xml:space="preserve">ריצב"א </w:t>
      </w:r>
      <w:r>
        <w:rPr>
          <w:rFonts w:cs="Arial" w:hint="cs"/>
          <w:sz w:val="16"/>
          <w:szCs w:val="16"/>
          <w:rtl/>
        </w:rPr>
        <w:t>(כ"כ בשמו</w:t>
      </w:r>
      <w:r w:rsidRPr="00005DA9">
        <w:rPr>
          <w:rFonts w:cs="Arial" w:hint="cs"/>
          <w:sz w:val="16"/>
          <w:szCs w:val="16"/>
          <w:rtl/>
        </w:rPr>
        <w:t xml:space="preserve"> המרדכי [סי' ריב])</w:t>
      </w:r>
      <w:r>
        <w:rPr>
          <w:rFonts w:cs="Arial" w:hint="cs"/>
          <w:rtl/>
        </w:rPr>
        <w:t xml:space="preserve">- </w:t>
      </w:r>
      <w:r w:rsidRPr="00005DA9">
        <w:rPr>
          <w:rFonts w:cs="Arial"/>
          <w:rtl/>
        </w:rPr>
        <w:t>מה שהוסיף לומר</w:t>
      </w:r>
      <w:r>
        <w:rPr>
          <w:rFonts w:cs="Arial" w:hint="cs"/>
          <w:sz w:val="16"/>
          <w:szCs w:val="16"/>
          <w:rtl/>
        </w:rPr>
        <w:t xml:space="preserve"> {רב האי}</w:t>
      </w:r>
      <w:r w:rsidRPr="00005DA9">
        <w:rPr>
          <w:rFonts w:cs="Arial"/>
          <w:rtl/>
        </w:rPr>
        <w:t xml:space="preserve"> </w:t>
      </w:r>
      <w:r>
        <w:rPr>
          <w:rFonts w:cs="Arial" w:hint="cs"/>
          <w:rtl/>
        </w:rPr>
        <w:t>'</w:t>
      </w:r>
      <w:r w:rsidRPr="00005DA9">
        <w:rPr>
          <w:rFonts w:cs="Arial"/>
          <w:rtl/>
        </w:rPr>
        <w:t>אפילו נכסים הכתובים בכתובה</w:t>
      </w:r>
      <w:r>
        <w:rPr>
          <w:rFonts w:cs="Arial" w:hint="cs"/>
          <w:rtl/>
        </w:rPr>
        <w:t>'</w:t>
      </w:r>
      <w:r w:rsidRPr="00005DA9">
        <w:rPr>
          <w:rFonts w:cs="Arial"/>
          <w:rtl/>
        </w:rPr>
        <w:t xml:space="preserve"> לא יתכן בעיני לומר שזהו בכלל נכסייך אא"כ פירש בהדיא</w:t>
      </w:r>
      <w:r>
        <w:rPr>
          <w:rFonts w:cs="Arial" w:hint="cs"/>
          <w:rtl/>
        </w:rPr>
        <w:t>.</w:t>
      </w:r>
      <w:r>
        <w:rPr>
          <w:rFonts w:hint="cs"/>
          <w:rtl/>
        </w:rPr>
        <w:t xml:space="preserve"> </w:t>
      </w:r>
      <w:r w:rsidRPr="00005DA9">
        <w:rPr>
          <w:rFonts w:hint="cs"/>
          <w:color w:val="00B0F0"/>
          <w:rtl/>
        </w:rPr>
        <w:t>(וכ"כ הרמ"א)</w:t>
      </w:r>
    </w:p>
    <w:p w14:paraId="53832B90"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6A2B0522" w14:textId="77777777" w:rsidR="002E5BAD" w:rsidRDefault="002E5BAD" w:rsidP="002E5BAD">
      <w:pPr>
        <w:rPr>
          <w:rtl/>
        </w:rPr>
      </w:pPr>
      <w:r>
        <w:rPr>
          <w:rFonts w:cs="Arial"/>
          <w:rtl/>
        </w:rPr>
        <w:t xml:space="preserve">אם התנה בעודה ארוסה על נכסים שיפלו לה משנשאת שלא יהא לו דין ודברים בהם, מועיל. ויש מי שאומר שאינו מועיל. </w:t>
      </w:r>
      <w:r w:rsidRPr="00DA1E36">
        <w:rPr>
          <w:rFonts w:cs="Arial"/>
          <w:sz w:val="18"/>
          <w:szCs w:val="18"/>
          <w:rtl/>
        </w:rPr>
        <w:t>הגה: סלק עצמו מנכסים, י"א שאין הנכסים הכתובים בכתובתה בכלל</w:t>
      </w:r>
      <w:r>
        <w:rPr>
          <w:rStyle w:val="a7"/>
          <w:rFonts w:cs="Arial"/>
          <w:sz w:val="18"/>
          <w:szCs w:val="18"/>
          <w:rtl/>
        </w:rPr>
        <w:footnoteReference w:id="2213"/>
      </w:r>
      <w:r w:rsidRPr="00DA1E36">
        <w:rPr>
          <w:rFonts w:cs="Arial"/>
          <w:sz w:val="18"/>
          <w:szCs w:val="18"/>
          <w:rtl/>
        </w:rPr>
        <w:t xml:space="preserve"> (מרדכי פ' הכותב בשם ריצב"א)</w:t>
      </w:r>
      <w:r>
        <w:rPr>
          <w:rFonts w:cs="Arial" w:hint="cs"/>
          <w:sz w:val="18"/>
          <w:szCs w:val="18"/>
          <w:rtl/>
        </w:rPr>
        <w:t>.</w:t>
      </w:r>
      <w:r w:rsidRPr="00DA1E36">
        <w:rPr>
          <w:rFonts w:cs="Arial"/>
          <w:sz w:val="18"/>
          <w:szCs w:val="18"/>
          <w:rtl/>
        </w:rPr>
        <w:t xml:space="preserve"> ואפי' נכסים שנפלו לה אח"כ אינו בכלל אלא אם כן פירש בהדיא</w:t>
      </w:r>
      <w:r>
        <w:rPr>
          <w:rStyle w:val="a7"/>
          <w:rFonts w:cs="Arial"/>
          <w:sz w:val="18"/>
          <w:szCs w:val="18"/>
          <w:rtl/>
        </w:rPr>
        <w:footnoteReference w:id="2214"/>
      </w:r>
      <w:r>
        <w:rPr>
          <w:rFonts w:cs="Arial" w:hint="cs"/>
          <w:sz w:val="18"/>
          <w:szCs w:val="18"/>
          <w:rtl/>
        </w:rPr>
        <w:t xml:space="preserve"> </w:t>
      </w:r>
      <w:r w:rsidRPr="00DA1E36">
        <w:rPr>
          <w:rFonts w:cs="Arial"/>
          <w:sz w:val="18"/>
          <w:szCs w:val="18"/>
          <w:rtl/>
        </w:rPr>
        <w:t>(מהרי"ק שורש יג).</w:t>
      </w:r>
      <w:r>
        <w:rPr>
          <w:rFonts w:cs="Arial"/>
          <w:rtl/>
        </w:rPr>
        <w:t xml:space="preserve"> </w:t>
      </w:r>
    </w:p>
    <w:p w14:paraId="0F70D0AE" w14:textId="77777777" w:rsidR="002E5BAD" w:rsidRDefault="002E5BAD" w:rsidP="002E5BAD">
      <w:pPr>
        <w:rPr>
          <w:rtl/>
        </w:rPr>
      </w:pPr>
    </w:p>
    <w:p w14:paraId="76026931" w14:textId="77777777" w:rsidR="002E5BAD" w:rsidRDefault="002E5BAD" w:rsidP="002E5BAD">
      <w:pPr>
        <w:pStyle w:val="2"/>
        <w:rPr>
          <w:rtl/>
        </w:rPr>
      </w:pPr>
      <w:r>
        <w:rPr>
          <w:rtl/>
        </w:rPr>
        <w:t>סעיף ג</w:t>
      </w:r>
      <w:r>
        <w:rPr>
          <w:rFonts w:hint="cs"/>
          <w:rtl/>
        </w:rPr>
        <w:t>:</w:t>
      </w:r>
      <w:r w:rsidRPr="00A857C8">
        <w:rPr>
          <w:rFonts w:hint="cs"/>
          <w:rtl/>
        </w:rPr>
        <w:t xml:space="preserve"> </w:t>
      </w:r>
      <w:r>
        <w:rPr>
          <w:rFonts w:hint="cs"/>
          <w:rtl/>
        </w:rPr>
        <w:t>הכותב לאשתו בעודה ארוסה כנ"ל וקנו מידו.</w:t>
      </w:r>
    </w:p>
    <w:p w14:paraId="558A6FAA" w14:textId="77777777" w:rsidR="002E5BAD" w:rsidRPr="00D33625" w:rsidRDefault="002E5BAD" w:rsidP="002E5BAD">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 xml:space="preserve"> הכותב לאשתו דין ודברים אין לי בנכסיך</w:t>
      </w:r>
      <w:r>
        <w:rPr>
          <w:rFonts w:cs="Arial" w:hint="cs"/>
          <w:rtl/>
        </w:rPr>
        <w:t>...</w:t>
      </w:r>
      <w:r>
        <w:rPr>
          <w:rFonts w:cs="Arial"/>
          <w:rtl/>
        </w:rPr>
        <w:t xml:space="preserve"> </w:t>
      </w:r>
      <w:r>
        <w:rPr>
          <w:rFonts w:hint="cs"/>
          <w:rtl/>
        </w:rPr>
        <w:t xml:space="preserve">        </w:t>
      </w:r>
      <w:r w:rsidRPr="00D33625">
        <w:rPr>
          <w:rFonts w:cs="Arial"/>
          <w:u w:val="double"/>
          <w:rtl/>
        </w:rPr>
        <w:t>גמ'</w:t>
      </w:r>
      <w:r>
        <w:rPr>
          <w:rFonts w:cs="Arial" w:hint="cs"/>
          <w:rtl/>
        </w:rPr>
        <w:t>:</w:t>
      </w:r>
      <w:r w:rsidRPr="00915746">
        <w:rPr>
          <w:rFonts w:cs="Arial"/>
          <w:rtl/>
        </w:rPr>
        <w:t xml:space="preserve"> איבעיא להו: קנו מידו</w:t>
      </w:r>
      <w:r w:rsidRPr="00F20C9C">
        <w:rPr>
          <w:rStyle w:val="a7"/>
          <w:rFonts w:cs="Arial"/>
          <w:color w:val="000000" w:themeColor="text1"/>
          <w:rtl/>
        </w:rPr>
        <w:footnoteReference w:id="2215"/>
      </w:r>
      <w:r w:rsidRPr="00915746">
        <w:rPr>
          <w:rFonts w:cs="Arial"/>
          <w:rtl/>
        </w:rPr>
        <w:t>, מהו</w:t>
      </w:r>
      <w:r w:rsidRPr="00F20C9C">
        <w:rPr>
          <w:rStyle w:val="a7"/>
          <w:rFonts w:cs="Arial"/>
          <w:color w:val="000000" w:themeColor="text1"/>
          <w:rtl/>
        </w:rPr>
        <w:footnoteReference w:id="2216"/>
      </w:r>
      <w:r w:rsidRPr="00915746">
        <w:rPr>
          <w:rFonts w:cs="Arial"/>
          <w:rtl/>
        </w:rPr>
        <w:t xml:space="preserve">? </w:t>
      </w:r>
      <w:r w:rsidRPr="00915746">
        <w:rPr>
          <w:rFonts w:cs="Arial"/>
          <w:u w:val="single"/>
          <w:rtl/>
        </w:rPr>
        <w:t>אמר רב יוסף</w:t>
      </w:r>
      <w:r w:rsidRPr="00915746">
        <w:rPr>
          <w:rFonts w:cs="Arial"/>
          <w:rtl/>
        </w:rPr>
        <w:t>: מדין ודברים קנו מידו</w:t>
      </w:r>
      <w:r w:rsidRPr="00F20C9C">
        <w:rPr>
          <w:rStyle w:val="a7"/>
          <w:rFonts w:cs="Arial"/>
          <w:color w:val="000000" w:themeColor="text1"/>
          <w:rtl/>
        </w:rPr>
        <w:footnoteReference w:id="2217"/>
      </w:r>
      <w:r w:rsidRPr="00915746">
        <w:rPr>
          <w:rFonts w:cs="Arial"/>
          <w:rtl/>
        </w:rPr>
        <w:t xml:space="preserve">. </w:t>
      </w:r>
      <w:r w:rsidRPr="00915746">
        <w:rPr>
          <w:rFonts w:cs="Arial"/>
          <w:u w:val="single"/>
          <w:rtl/>
        </w:rPr>
        <w:t>רב נחמן אמר</w:t>
      </w:r>
      <w:r w:rsidRPr="00915746">
        <w:rPr>
          <w:rFonts w:cs="Arial"/>
          <w:rtl/>
        </w:rPr>
        <w:t>: מגופה של קרקע קנו מידו.</w:t>
      </w:r>
      <w:r>
        <w:rPr>
          <w:rFonts w:cs="Arial" w:hint="cs"/>
          <w:rtl/>
        </w:rPr>
        <w:t>..</w:t>
      </w:r>
      <w:r w:rsidRPr="00915746">
        <w:rPr>
          <w:rFonts w:cs="Arial"/>
          <w:rtl/>
        </w:rPr>
        <w:t xml:space="preserve"> </w:t>
      </w:r>
      <w:r w:rsidRPr="003009B8">
        <w:rPr>
          <w:rFonts w:cs="Arial"/>
          <w:u w:val="single"/>
          <w:rtl/>
        </w:rPr>
        <w:t>אמר אמימר</w:t>
      </w:r>
      <w:r>
        <w:rPr>
          <w:rFonts w:cs="Arial" w:hint="cs"/>
          <w:rtl/>
        </w:rPr>
        <w:t>:</w:t>
      </w:r>
      <w:r w:rsidRPr="00915746">
        <w:rPr>
          <w:rFonts w:cs="Arial"/>
          <w:rtl/>
        </w:rPr>
        <w:t xml:space="preserve"> הלכתא</w:t>
      </w:r>
      <w:r>
        <w:rPr>
          <w:rFonts w:cs="Arial" w:hint="cs"/>
          <w:rtl/>
        </w:rPr>
        <w:t>,</w:t>
      </w:r>
      <w:r w:rsidRPr="00915746">
        <w:rPr>
          <w:rFonts w:cs="Arial"/>
          <w:rtl/>
        </w:rPr>
        <w:t xml:space="preserve"> מגופה של קרקע קנו מידו. </w:t>
      </w:r>
    </w:p>
    <w:p w14:paraId="3AEAB821" w14:textId="77777777" w:rsidR="002E5BAD" w:rsidRPr="00A857C8" w:rsidRDefault="002E5BAD" w:rsidP="002E5BAD">
      <w:pPr>
        <w:rPr>
          <w:u w:val="single"/>
          <w:rtl/>
        </w:rPr>
      </w:pPr>
      <w:r w:rsidRPr="00A857C8">
        <w:rPr>
          <w:rFonts w:hint="cs"/>
          <w:u w:val="single"/>
          <w:rtl/>
        </w:rPr>
        <w:t>הכותב לאשתו בעודה ארוסה כנ"ל וקנו מידו:</w:t>
      </w:r>
    </w:p>
    <w:p w14:paraId="59A6AEFE" w14:textId="77777777" w:rsidR="002E5BAD" w:rsidRPr="00157F70" w:rsidRDefault="002E5BAD" w:rsidP="002E5BAD">
      <w:pPr>
        <w:pStyle w:val="ab"/>
        <w:numPr>
          <w:ilvl w:val="0"/>
          <w:numId w:val="186"/>
        </w:numPr>
      </w:pPr>
      <w:r w:rsidRPr="00F31ACB">
        <w:rPr>
          <w:rFonts w:cs="Arial"/>
          <w:rtl/>
        </w:rPr>
        <w:lastRenderedPageBreak/>
        <w:t xml:space="preserve">רב האיי </w:t>
      </w:r>
      <w:r w:rsidRPr="00932476">
        <w:rPr>
          <w:rFonts w:cs="Arial"/>
          <w:sz w:val="16"/>
          <w:szCs w:val="16"/>
          <w:rtl/>
        </w:rPr>
        <w:t>(המקח והממכר שער ד)</w:t>
      </w:r>
      <w:r>
        <w:rPr>
          <w:rFonts w:cs="Arial" w:hint="cs"/>
          <w:rtl/>
        </w:rPr>
        <w:t xml:space="preserve"> רי"ף </w:t>
      </w:r>
      <w:r>
        <w:rPr>
          <w:rFonts w:cs="Arial" w:hint="cs"/>
          <w:sz w:val="16"/>
          <w:szCs w:val="16"/>
          <w:rtl/>
        </w:rPr>
        <w:t>(מא:)</w:t>
      </w:r>
      <w:r>
        <w:rPr>
          <w:rFonts w:cs="Arial" w:hint="cs"/>
          <w:rtl/>
        </w:rPr>
        <w:t xml:space="preserve"> ו</w:t>
      </w:r>
      <w:r w:rsidRPr="003171A6">
        <w:rPr>
          <w:rFonts w:cs="Arial"/>
          <w:rtl/>
        </w:rPr>
        <w:t xml:space="preserve">רמב"ם </w:t>
      </w:r>
      <w:r>
        <w:rPr>
          <w:rFonts w:cs="Arial" w:hint="cs"/>
          <w:sz w:val="16"/>
          <w:szCs w:val="16"/>
          <w:rtl/>
        </w:rPr>
        <w:t>(פכ"ג מאישות ה"ב)</w:t>
      </w:r>
      <w:r>
        <w:rPr>
          <w:rFonts w:cs="Arial" w:hint="cs"/>
          <w:rtl/>
        </w:rPr>
        <w:t xml:space="preserve">- </w:t>
      </w:r>
      <w:r w:rsidRPr="00A857C8">
        <w:rPr>
          <w:rFonts w:cs="Arial"/>
          <w:rtl/>
        </w:rPr>
        <w:t xml:space="preserve">אם קנו מידו כשהיא ארוסה שאין לו דין ודברים בנכסיה </w:t>
      </w:r>
      <w:r>
        <w:rPr>
          <w:rFonts w:cs="Arial" w:hint="cs"/>
          <w:rtl/>
        </w:rPr>
        <w:t xml:space="preserve">- </w:t>
      </w:r>
      <w:r w:rsidRPr="00A857C8">
        <w:rPr>
          <w:rFonts w:cs="Arial"/>
          <w:rtl/>
        </w:rPr>
        <w:t>הרי סילק עצמו מגוף הקרקע ואין לו בנכסיה פירות לעולם</w:t>
      </w:r>
      <w:r>
        <w:rPr>
          <w:rFonts w:cs="Arial" w:hint="cs"/>
          <w:rtl/>
        </w:rPr>
        <w:t>.</w:t>
      </w:r>
      <w:r w:rsidRPr="00A857C8">
        <w:rPr>
          <w:rFonts w:cs="Arial"/>
          <w:rtl/>
        </w:rPr>
        <w:t xml:space="preserve"> ואפילו ערער על קניינו ואמר לא עלה בדעתי שאין לי פירות מפני קנין זה אלא שאם מכרה מכרה קיים שאין אדם נושא אשה בלא נכסים </w:t>
      </w:r>
      <w:r>
        <w:rPr>
          <w:rFonts w:cs="Arial" w:hint="cs"/>
          <w:rtl/>
        </w:rPr>
        <w:t xml:space="preserve">- </w:t>
      </w:r>
      <w:r w:rsidRPr="00A857C8">
        <w:rPr>
          <w:rFonts w:cs="Arial"/>
          <w:rtl/>
        </w:rPr>
        <w:t>אין שומעין לו</w:t>
      </w:r>
      <w:r>
        <w:rPr>
          <w:rFonts w:cs="Arial" w:hint="cs"/>
          <w:rtl/>
        </w:rPr>
        <w:t>,</w:t>
      </w:r>
      <w:r w:rsidRPr="00A857C8">
        <w:rPr>
          <w:rFonts w:cs="Arial"/>
          <w:rtl/>
        </w:rPr>
        <w:t xml:space="preserve"> אלא כבר סילק עצמו מגוף הקרקע</w:t>
      </w:r>
      <w:r w:rsidRPr="00F20C9C">
        <w:rPr>
          <w:rStyle w:val="a7"/>
          <w:rFonts w:cs="Arial"/>
          <w:color w:val="000000" w:themeColor="text1"/>
          <w:rtl/>
        </w:rPr>
        <w:footnoteReference w:id="2218"/>
      </w:r>
      <w:r>
        <w:rPr>
          <w:rFonts w:cs="Arial" w:hint="cs"/>
          <w:sz w:val="16"/>
          <w:szCs w:val="16"/>
          <w:rtl/>
        </w:rPr>
        <w:t xml:space="preserve"> (ל' הרמב"ם)</w:t>
      </w:r>
      <w:r>
        <w:rPr>
          <w:rFonts w:cs="Arial" w:hint="cs"/>
          <w:rtl/>
        </w:rPr>
        <w:t>.</w:t>
      </w:r>
      <w:r w:rsidRPr="003F327B">
        <w:rPr>
          <w:rFonts w:hint="cs"/>
          <w:color w:val="E36C0A" w:themeColor="accent6" w:themeShade="BF"/>
          <w:rtl/>
        </w:rPr>
        <w:t xml:space="preserve"> </w:t>
      </w:r>
      <w:r w:rsidRPr="00A31A43">
        <w:rPr>
          <w:rFonts w:hint="cs"/>
          <w:color w:val="E36C0A" w:themeColor="accent6" w:themeShade="BF"/>
          <w:rtl/>
        </w:rPr>
        <w:t>(וכ"פ בשו"ע)</w:t>
      </w:r>
    </w:p>
    <w:p w14:paraId="6A941A6A" w14:textId="77777777" w:rsidR="002E5BAD" w:rsidRPr="005D1457" w:rsidRDefault="002E5BAD" w:rsidP="002E5BAD">
      <w:pPr>
        <w:pStyle w:val="ab"/>
        <w:numPr>
          <w:ilvl w:val="0"/>
          <w:numId w:val="186"/>
        </w:numPr>
        <w:rPr>
          <w:rtl/>
        </w:rPr>
      </w:pPr>
      <w:r w:rsidRPr="003171A6">
        <w:rPr>
          <w:rFonts w:cs="Arial"/>
          <w:rtl/>
        </w:rPr>
        <w:t>רא"ש</w:t>
      </w:r>
      <w:r>
        <w:rPr>
          <w:rFonts w:cs="Arial" w:hint="cs"/>
          <w:sz w:val="16"/>
          <w:szCs w:val="16"/>
          <w:rtl/>
        </w:rPr>
        <w:t xml:space="preserve"> (סי' א)</w:t>
      </w:r>
      <w:r>
        <w:rPr>
          <w:rFonts w:cs="Arial" w:hint="cs"/>
          <w:rtl/>
        </w:rPr>
        <w:t>-</w:t>
      </w:r>
      <w:r w:rsidRPr="003171A6">
        <w:rPr>
          <w:rFonts w:cs="Arial"/>
          <w:rtl/>
        </w:rPr>
        <w:t xml:space="preserve"> כיון שאין במשמעות לשון זה סילוק אלא לענין שאם מכרה ונתנה קיים </w:t>
      </w:r>
      <w:r>
        <w:rPr>
          <w:rFonts w:cs="Arial" w:hint="cs"/>
          <w:rtl/>
        </w:rPr>
        <w:t xml:space="preserve">- </w:t>
      </w:r>
      <w:r w:rsidRPr="003171A6">
        <w:rPr>
          <w:rFonts w:cs="Arial"/>
          <w:rtl/>
        </w:rPr>
        <w:t>אין הקנין גורם ליתן יתרון בלשון מה שאינו במשמעותו</w:t>
      </w:r>
      <w:r w:rsidRPr="00F20C9C">
        <w:rPr>
          <w:rStyle w:val="a7"/>
          <w:rFonts w:cs="Arial"/>
          <w:color w:val="000000" w:themeColor="text1"/>
          <w:rtl/>
        </w:rPr>
        <w:footnoteReference w:id="2219"/>
      </w:r>
      <w:r>
        <w:rPr>
          <w:rFonts w:cs="Arial" w:hint="cs"/>
          <w:sz w:val="16"/>
          <w:szCs w:val="16"/>
          <w:rtl/>
        </w:rPr>
        <w:t xml:space="preserve"> (ל' הטור בשמו)</w:t>
      </w:r>
      <w:r>
        <w:rPr>
          <w:rFonts w:cs="Arial" w:hint="cs"/>
          <w:rtl/>
        </w:rPr>
        <w:t>.</w:t>
      </w:r>
      <w:r w:rsidRPr="003171A6">
        <w:rPr>
          <w:rFonts w:cs="Arial"/>
          <w:rtl/>
        </w:rPr>
        <w:t xml:space="preserve"> </w:t>
      </w:r>
    </w:p>
    <w:p w14:paraId="4EC65409"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992BCF4" w14:textId="77777777" w:rsidR="002E5BAD" w:rsidRDefault="002E5BAD" w:rsidP="002E5BAD">
      <w:pPr>
        <w:rPr>
          <w:rtl/>
        </w:rPr>
      </w:pPr>
      <w:r>
        <w:rPr>
          <w:rFonts w:cs="Arial"/>
          <w:rtl/>
        </w:rPr>
        <w:t>כשאמר לה בעודה ארוסה: דין ודברים אין לי בנכסיך, אם קנו מידו הרי סילק עצמו מגוף הקרקע ואין לו בנכסיה פירות</w:t>
      </w:r>
      <w:r w:rsidRPr="00F20C9C">
        <w:rPr>
          <w:rStyle w:val="a7"/>
          <w:rFonts w:cs="Arial"/>
          <w:color w:val="000000" w:themeColor="text1"/>
          <w:rtl/>
        </w:rPr>
        <w:footnoteReference w:id="2220"/>
      </w:r>
      <w:r>
        <w:rPr>
          <w:rFonts w:cs="Arial"/>
          <w:rtl/>
        </w:rPr>
        <w:t xml:space="preserve"> לעולם. ויש מי שחולק בזה. </w:t>
      </w:r>
    </w:p>
    <w:p w14:paraId="7D67B4C1" w14:textId="77777777" w:rsidR="002E5BAD" w:rsidRDefault="002E5BAD" w:rsidP="002E5BAD">
      <w:pPr>
        <w:rPr>
          <w:rtl/>
        </w:rPr>
      </w:pPr>
    </w:p>
    <w:p w14:paraId="0E8E4155" w14:textId="77777777" w:rsidR="002E5BAD" w:rsidRDefault="002E5BAD" w:rsidP="002E5BAD">
      <w:pPr>
        <w:pStyle w:val="2"/>
        <w:rPr>
          <w:rtl/>
        </w:rPr>
      </w:pPr>
      <w:r>
        <w:rPr>
          <w:rtl/>
        </w:rPr>
        <w:t>סעיף ד</w:t>
      </w:r>
      <w:r>
        <w:rPr>
          <w:rFonts w:hint="cs"/>
          <w:rtl/>
        </w:rPr>
        <w:t>:</w:t>
      </w:r>
      <w:r w:rsidRPr="001811CE">
        <w:rPr>
          <w:rFonts w:cs="Arial" w:hint="cs"/>
          <w:rtl/>
        </w:rPr>
        <w:t xml:space="preserve"> הכותב לאשתו</w:t>
      </w:r>
      <w:r w:rsidRPr="001811CE">
        <w:rPr>
          <w:rFonts w:cs="Arial"/>
          <w:rtl/>
        </w:rPr>
        <w:t xml:space="preserve"> </w:t>
      </w:r>
      <w:r w:rsidRPr="001811CE">
        <w:rPr>
          <w:rFonts w:cs="Arial" w:hint="cs"/>
          <w:rtl/>
        </w:rPr>
        <w:t>'</w:t>
      </w:r>
      <w:r w:rsidRPr="001811CE">
        <w:rPr>
          <w:rFonts w:cs="Arial"/>
          <w:rtl/>
        </w:rPr>
        <w:t>דין ודברים אין לי בנכסייך ובפירותיה</w:t>
      </w:r>
      <w:r>
        <w:rPr>
          <w:rFonts w:cs="Arial" w:hint="cs"/>
          <w:rtl/>
        </w:rPr>
        <w:t>ן</w:t>
      </w:r>
      <w:r w:rsidRPr="001811CE">
        <w:rPr>
          <w:rFonts w:hint="cs"/>
          <w:rtl/>
        </w:rPr>
        <w:t>'</w:t>
      </w:r>
      <w:r>
        <w:rPr>
          <w:rFonts w:hint="cs"/>
          <w:rtl/>
        </w:rPr>
        <w:t>.</w:t>
      </w:r>
    </w:p>
    <w:p w14:paraId="026D1F0B" w14:textId="77777777" w:rsidR="002E5BAD" w:rsidRDefault="002E5BAD" w:rsidP="002E5BAD">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AD43AE">
        <w:rPr>
          <w:rFonts w:cs="Arial"/>
          <w:rtl/>
        </w:rPr>
        <w:t>כתב לה דין ודברים אין לי בנכסיך ובפירותיהן - הרי זה אינו אוכל פירות בחייה, ואם מתה - יורשה</w:t>
      </w:r>
      <w:r>
        <w:rPr>
          <w:rFonts w:cs="Arial" w:hint="cs"/>
          <w:rtl/>
        </w:rPr>
        <w:t>.</w:t>
      </w:r>
      <w:r w:rsidRPr="00AD43AE">
        <w:rPr>
          <w:rFonts w:cs="Arial"/>
          <w:rtl/>
        </w:rPr>
        <w:t xml:space="preserve"> </w:t>
      </w:r>
      <w:r w:rsidRPr="00060474">
        <w:rPr>
          <w:rFonts w:cs="Arial"/>
          <w:u w:val="single"/>
          <w:rtl/>
        </w:rPr>
        <w:t>ר' יהודה אומר</w:t>
      </w:r>
      <w:r w:rsidRPr="00AD43AE">
        <w:rPr>
          <w:rFonts w:cs="Arial"/>
          <w:rtl/>
        </w:rPr>
        <w:t>: לעולם אוכל פירי פירות, עד שיכתוב לה דין ודברים אין לי בנכסיך ובפירותיהן ובפירי פירותיהן עד עולם.</w:t>
      </w:r>
      <w:r>
        <w:rPr>
          <w:rFonts w:cs="Arial" w:hint="cs"/>
          <w:rtl/>
        </w:rPr>
        <w:t>..</w:t>
      </w:r>
      <w:r w:rsidRPr="00AD43AE">
        <w:rPr>
          <w:rFonts w:cs="Arial"/>
          <w:rtl/>
        </w:rPr>
        <w:t xml:space="preserve"> </w:t>
      </w:r>
      <w:r w:rsidRPr="00060474">
        <w:rPr>
          <w:rFonts w:cs="Arial" w:hint="cs"/>
          <w:sz w:val="16"/>
          <w:szCs w:val="16"/>
          <w:rtl/>
        </w:rPr>
        <w:t>(</w:t>
      </w:r>
      <w:r w:rsidRPr="00060474">
        <w:rPr>
          <w:rFonts w:cs="Arial"/>
          <w:sz w:val="16"/>
          <w:szCs w:val="16"/>
          <w:rtl/>
        </w:rPr>
        <w:t>ופסקו הרמב"ם (שם הל' ג ד) והרא"ש (סי' א) והר"ן (מא: ד"ה ולענין) כרבי יהודה</w:t>
      </w:r>
      <w:r>
        <w:rPr>
          <w:rFonts w:cs="Arial" w:hint="cs"/>
          <w:sz w:val="16"/>
          <w:szCs w:val="16"/>
          <w:rtl/>
        </w:rPr>
        <w:t>.</w:t>
      </w:r>
      <w:r w:rsidRPr="00060474">
        <w:rPr>
          <w:rFonts w:cs="Arial"/>
          <w:sz w:val="16"/>
          <w:szCs w:val="16"/>
          <w:rtl/>
        </w:rPr>
        <w:t xml:space="preserve"> וכן נראה מדברי הרי"ף (מא:) שהביאו ברייתא (פג:) דאלו הן פירות ואלו הם פירי פירות וההיא כרבי יהודה אתיא כמבואר בדברי הרא"ש והר"ן ובכותב לה ועודה ארוסה מיירי כמו שכתב בראש הסימן</w:t>
      </w:r>
      <w:r>
        <w:rPr>
          <w:rFonts w:cs="Arial" w:hint="cs"/>
          <w:sz w:val="16"/>
          <w:szCs w:val="16"/>
          <w:rtl/>
        </w:rPr>
        <w:t>, ב"י)</w:t>
      </w:r>
    </w:p>
    <w:p w14:paraId="2F4C8F36" w14:textId="77777777" w:rsidR="002E5BAD" w:rsidRPr="00125A98" w:rsidRDefault="002E5BAD" w:rsidP="002E5BAD">
      <w:pPr>
        <w:rPr>
          <w:rFonts w:cs="Arial"/>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w:t>
      </w:r>
      <w:r>
        <w:rPr>
          <w:rFonts w:cs="Arial" w:hint="cs"/>
          <w:b/>
          <w:bCs/>
          <w:rtl/>
        </w:rPr>
        <w:t>ב</w:t>
      </w:r>
      <w:r w:rsidRPr="00D33625">
        <w:rPr>
          <w:rFonts w:cs="Arial" w:hint="cs"/>
          <w:b/>
          <w:bCs/>
          <w:rtl/>
        </w:rPr>
        <w:t>:</w:t>
      </w:r>
      <w:r>
        <w:rPr>
          <w:rFonts w:cs="Arial" w:hint="cs"/>
          <w:rtl/>
        </w:rPr>
        <w:t xml:space="preserve"> </w:t>
      </w:r>
      <w:r w:rsidRPr="009F5FD5">
        <w:rPr>
          <w:rFonts w:cs="Arial"/>
          <w:rtl/>
        </w:rPr>
        <w:t>הא דתנן, רבי יהודה אומר: לעולם הוא אוכל פירי פירות כו', כיון דאכלינהו לפירי, פירי פירות מהיכא? אלא בדשיירא</w:t>
      </w:r>
      <w:r>
        <w:rPr>
          <w:rFonts w:cs="Arial" w:hint="cs"/>
          <w:rtl/>
        </w:rPr>
        <w:t>...</w:t>
      </w:r>
      <w:r w:rsidRPr="00125A98">
        <w:rPr>
          <w:rFonts w:cs="Arial" w:hint="cs"/>
          <w:sz w:val="16"/>
          <w:szCs w:val="16"/>
          <w:rtl/>
        </w:rPr>
        <w:t xml:space="preserve"> </w:t>
      </w:r>
      <w:r>
        <w:rPr>
          <w:rFonts w:cs="Arial" w:hint="cs"/>
          <w:sz w:val="16"/>
          <w:szCs w:val="16"/>
          <w:rtl/>
        </w:rPr>
        <w:t>(</w:t>
      </w:r>
      <w:r w:rsidRPr="00125A98">
        <w:rPr>
          <w:rFonts w:cs="Arial" w:hint="cs"/>
          <w:sz w:val="16"/>
          <w:szCs w:val="16"/>
          <w:rtl/>
        </w:rPr>
        <w:t>ו</w:t>
      </w:r>
      <w:r w:rsidRPr="00125A98">
        <w:rPr>
          <w:rFonts w:cs="Arial"/>
          <w:sz w:val="16"/>
          <w:szCs w:val="16"/>
          <w:rtl/>
        </w:rPr>
        <w:t>כתב הרא"ש (שם) מדקאמר בדשיירא</w:t>
      </w:r>
      <w:r w:rsidRPr="00125A98">
        <w:rPr>
          <w:rFonts w:cs="Arial" w:hint="cs"/>
          <w:sz w:val="16"/>
          <w:szCs w:val="16"/>
          <w:rtl/>
        </w:rPr>
        <w:t>,</w:t>
      </w:r>
      <w:r w:rsidRPr="00125A98">
        <w:rPr>
          <w:rFonts w:cs="Arial"/>
          <w:sz w:val="16"/>
          <w:szCs w:val="16"/>
          <w:rtl/>
        </w:rPr>
        <w:t xml:space="preserve"> משמע דהדבר תלוי בה</w:t>
      </w:r>
      <w:r w:rsidRPr="00125A98">
        <w:rPr>
          <w:rFonts w:cs="Arial" w:hint="cs"/>
          <w:sz w:val="16"/>
          <w:szCs w:val="16"/>
          <w:rtl/>
        </w:rPr>
        <w:t>,</w:t>
      </w:r>
      <w:r w:rsidRPr="00125A98">
        <w:rPr>
          <w:rFonts w:cs="Arial"/>
          <w:sz w:val="16"/>
          <w:szCs w:val="16"/>
          <w:rtl/>
        </w:rPr>
        <w:t xml:space="preserve"> אם תרצה תשייר</w:t>
      </w:r>
      <w:r w:rsidRPr="00125A98">
        <w:rPr>
          <w:rFonts w:cs="Arial" w:hint="cs"/>
          <w:sz w:val="16"/>
          <w:szCs w:val="16"/>
          <w:rtl/>
        </w:rPr>
        <w:t>.</w:t>
      </w:r>
      <w:r w:rsidRPr="00125A98">
        <w:rPr>
          <w:rFonts w:cs="Arial"/>
          <w:sz w:val="16"/>
          <w:szCs w:val="16"/>
          <w:rtl/>
        </w:rPr>
        <w:t xml:space="preserve"> אבל אין הבעל יכול לכופה ליקח בהם קרקע</w:t>
      </w:r>
      <w:r w:rsidRPr="00125A98">
        <w:rPr>
          <w:rFonts w:cs="Arial" w:hint="cs"/>
          <w:sz w:val="16"/>
          <w:szCs w:val="16"/>
          <w:rtl/>
        </w:rPr>
        <w:t>.</w:t>
      </w:r>
      <w:r w:rsidRPr="00125A98">
        <w:rPr>
          <w:rFonts w:cs="Arial"/>
          <w:sz w:val="16"/>
          <w:szCs w:val="16"/>
          <w:rtl/>
        </w:rPr>
        <w:t xml:space="preserve"> והרמב"ם כתב ילקח בהם קרקע והוא אוכל פירות</w:t>
      </w:r>
      <w:r w:rsidRPr="00125A98">
        <w:rPr>
          <w:rFonts w:cs="Arial" w:hint="cs"/>
          <w:sz w:val="16"/>
          <w:szCs w:val="16"/>
          <w:rtl/>
        </w:rPr>
        <w:t>.</w:t>
      </w:r>
      <w:r w:rsidRPr="00125A98">
        <w:rPr>
          <w:rFonts w:cs="Arial"/>
          <w:sz w:val="16"/>
          <w:szCs w:val="16"/>
          <w:rtl/>
        </w:rPr>
        <w:t xml:space="preserve"> ונראה שסמך על התוספתא (כתובות פ"ט ה"ג) דתניא רבי יהודה אומר לעולם הוא אוכל פירי פירות</w:t>
      </w:r>
      <w:r w:rsidRPr="00125A98">
        <w:rPr>
          <w:rFonts w:cs="Arial" w:hint="cs"/>
          <w:sz w:val="16"/>
          <w:szCs w:val="16"/>
          <w:rtl/>
        </w:rPr>
        <w:t>.</w:t>
      </w:r>
      <w:r w:rsidRPr="00125A98">
        <w:rPr>
          <w:rFonts w:cs="Arial"/>
          <w:sz w:val="16"/>
          <w:szCs w:val="16"/>
          <w:rtl/>
        </w:rPr>
        <w:t xml:space="preserve"> כיצד</w:t>
      </w:r>
      <w:r w:rsidRPr="00125A98">
        <w:rPr>
          <w:rFonts w:cs="Arial" w:hint="cs"/>
          <w:sz w:val="16"/>
          <w:szCs w:val="16"/>
          <w:rtl/>
        </w:rPr>
        <w:t>,</w:t>
      </w:r>
      <w:r w:rsidRPr="00125A98">
        <w:rPr>
          <w:rFonts w:cs="Arial"/>
          <w:sz w:val="16"/>
          <w:szCs w:val="16"/>
          <w:rtl/>
        </w:rPr>
        <w:t xml:space="preserve"> מוכר פירות וילקח בהם קרקע והוא אוכל פירות</w:t>
      </w:r>
      <w:r w:rsidRPr="00125A98">
        <w:rPr>
          <w:rFonts w:cs="Arial" w:hint="cs"/>
          <w:sz w:val="16"/>
          <w:szCs w:val="16"/>
          <w:rtl/>
        </w:rPr>
        <w:t>.</w:t>
      </w:r>
      <w:r w:rsidRPr="00125A98">
        <w:rPr>
          <w:rFonts w:cs="Arial"/>
          <w:sz w:val="16"/>
          <w:szCs w:val="16"/>
          <w:rtl/>
        </w:rPr>
        <w:t xml:space="preserve"> וכן מצאתי בירושלמי (שם פ"ט ה"א)</w:t>
      </w:r>
      <w:r w:rsidRPr="00125A98">
        <w:rPr>
          <w:rFonts w:cs="Arial" w:hint="cs"/>
          <w:sz w:val="16"/>
          <w:szCs w:val="16"/>
          <w:rtl/>
        </w:rPr>
        <w:t>.</w:t>
      </w:r>
      <w:r w:rsidRPr="00125A98">
        <w:rPr>
          <w:rFonts w:cs="Arial"/>
          <w:sz w:val="16"/>
          <w:szCs w:val="16"/>
          <w:rtl/>
        </w:rPr>
        <w:t xml:space="preserve"> ונראה דירושלמי פליג אגמרא דידן</w:t>
      </w:r>
      <w:r w:rsidRPr="00125A98">
        <w:rPr>
          <w:rFonts w:cs="Arial" w:hint="cs"/>
          <w:sz w:val="16"/>
          <w:szCs w:val="16"/>
          <w:rtl/>
        </w:rPr>
        <w:t>.</w:t>
      </w:r>
      <w:r w:rsidRPr="00125A98">
        <w:rPr>
          <w:rFonts w:cs="Arial"/>
          <w:sz w:val="16"/>
          <w:szCs w:val="16"/>
          <w:rtl/>
        </w:rPr>
        <w:t xml:space="preserve"> דלפום גמרא דידן לא אמרינן מוכר פירות ולוקח בהם קרקע אלא אם כן שיירה ולקחה בהם קרקע ע"כ. והר"ן (מא: ד"ה ולענין) כתב כלשון הזה מדאמרינן בדשיירא משמע דכי אמרינן לעולם הוא אוכל פירי פירות דוקא בדשיירה ממילא אבל אין הבעל יכול לכופה ליקח בהם קרקע אלא שהרמב"ם כתב ילקח בהם קרקע והוא אוכל וסמך לו על התוספתא דתניא במכילתין ע"כ</w:t>
      </w:r>
      <w:r>
        <w:rPr>
          <w:rFonts w:cs="Arial" w:hint="cs"/>
          <w:sz w:val="16"/>
          <w:szCs w:val="16"/>
          <w:rtl/>
        </w:rPr>
        <w:t>, ב"י)</w:t>
      </w:r>
    </w:p>
    <w:p w14:paraId="271ED686" w14:textId="77777777" w:rsidR="002E5BAD" w:rsidRPr="001811CE" w:rsidRDefault="002E5BAD" w:rsidP="002E5BAD">
      <w:pPr>
        <w:rPr>
          <w:u w:val="single"/>
          <w:rtl/>
        </w:rPr>
      </w:pPr>
      <w:r w:rsidRPr="001811CE">
        <w:rPr>
          <w:rFonts w:cs="Arial" w:hint="cs"/>
          <w:u w:val="single"/>
          <w:rtl/>
        </w:rPr>
        <w:t>הכותב לאשתו</w:t>
      </w:r>
      <w:r w:rsidRPr="001811CE">
        <w:rPr>
          <w:rFonts w:cs="Arial"/>
          <w:u w:val="single"/>
          <w:rtl/>
        </w:rPr>
        <w:t xml:space="preserve"> </w:t>
      </w:r>
      <w:r w:rsidRPr="001811CE">
        <w:rPr>
          <w:rFonts w:cs="Arial" w:hint="cs"/>
          <w:u w:val="single"/>
          <w:rtl/>
        </w:rPr>
        <w:t>'</w:t>
      </w:r>
      <w:r w:rsidRPr="001811CE">
        <w:rPr>
          <w:rFonts w:cs="Arial"/>
          <w:u w:val="single"/>
          <w:rtl/>
        </w:rPr>
        <w:t>דין ודברים אין לי בנכסייך ובפירותיה</w:t>
      </w:r>
      <w:r>
        <w:rPr>
          <w:rFonts w:cs="Arial" w:hint="cs"/>
          <w:u w:val="single"/>
          <w:rtl/>
        </w:rPr>
        <w:t>ן</w:t>
      </w:r>
      <w:r w:rsidRPr="001811CE">
        <w:rPr>
          <w:rFonts w:hint="cs"/>
          <w:u w:val="single"/>
          <w:rtl/>
        </w:rPr>
        <w:t>':</w:t>
      </w:r>
    </w:p>
    <w:p w14:paraId="65189D3B" w14:textId="77777777" w:rsidR="002E5BAD" w:rsidRDefault="002E5BAD" w:rsidP="002E5BAD">
      <w:pPr>
        <w:pStyle w:val="ab"/>
        <w:numPr>
          <w:ilvl w:val="0"/>
          <w:numId w:val="186"/>
        </w:numPr>
      </w:pPr>
      <w:r>
        <w:rPr>
          <w:rFonts w:cs="Arial" w:hint="cs"/>
          <w:rtl/>
        </w:rPr>
        <w:t xml:space="preserve">טור- </w:t>
      </w:r>
      <w:r w:rsidRPr="003171A6">
        <w:rPr>
          <w:rFonts w:cs="Arial"/>
          <w:rtl/>
        </w:rPr>
        <w:t xml:space="preserve">הוסיף להתנות גם על הפירות שאמר לה דין ודברים אין לי בנכסייך ובפירותיהם </w:t>
      </w:r>
      <w:r>
        <w:rPr>
          <w:rFonts w:cs="Arial" w:hint="cs"/>
          <w:rtl/>
        </w:rPr>
        <w:t xml:space="preserve">- </w:t>
      </w:r>
      <w:r w:rsidRPr="003171A6">
        <w:rPr>
          <w:rFonts w:cs="Arial"/>
          <w:rtl/>
        </w:rPr>
        <w:t>אין אוכל פירות בחייה אבל יורשה אם תמות ואוכל פירי פירות</w:t>
      </w:r>
      <w:r>
        <w:rPr>
          <w:rFonts w:cs="Arial" w:hint="cs"/>
          <w:rtl/>
        </w:rPr>
        <w:t>.</w:t>
      </w:r>
      <w:r>
        <w:rPr>
          <w:rFonts w:hint="cs"/>
          <w:rtl/>
        </w:rPr>
        <w:t xml:space="preserve"> </w:t>
      </w:r>
      <w:r w:rsidRPr="00A31A43">
        <w:rPr>
          <w:rFonts w:hint="cs"/>
          <w:color w:val="E36C0A" w:themeColor="accent6" w:themeShade="BF"/>
          <w:rtl/>
        </w:rPr>
        <w:t>(וכ"פ בשו"ע)</w:t>
      </w:r>
      <w:r w:rsidRPr="00F0596B">
        <w:rPr>
          <w:rFonts w:hint="cs"/>
          <w:color w:val="00B0F0"/>
          <w:rtl/>
        </w:rPr>
        <w:t xml:space="preserve"> (וכ"פ הרמ"א)</w:t>
      </w:r>
    </w:p>
    <w:p w14:paraId="7C54D65E" w14:textId="77777777" w:rsidR="002E5BAD" w:rsidRPr="001811CE" w:rsidRDefault="002E5BAD" w:rsidP="002E5BAD">
      <w:pPr>
        <w:ind w:left="360"/>
        <w:rPr>
          <w:u w:val="dotted"/>
        </w:rPr>
      </w:pPr>
      <w:r w:rsidRPr="001811CE">
        <w:rPr>
          <w:rFonts w:hint="cs"/>
          <w:u w:val="dotted"/>
          <w:rtl/>
        </w:rPr>
        <w:t>האם מחייבים אותה למכור את הפירות ולקחת בהם קרקע כדי שבעל</w:t>
      </w:r>
      <w:r>
        <w:rPr>
          <w:rFonts w:hint="cs"/>
          <w:u w:val="dotted"/>
          <w:rtl/>
        </w:rPr>
        <w:t>ה</w:t>
      </w:r>
      <w:r w:rsidRPr="001811CE">
        <w:rPr>
          <w:rFonts w:hint="cs"/>
          <w:u w:val="dotted"/>
          <w:rtl/>
        </w:rPr>
        <w:t xml:space="preserve"> יאכל פי</w:t>
      </w:r>
      <w:r>
        <w:rPr>
          <w:rFonts w:hint="cs"/>
          <w:u w:val="dotted"/>
          <w:rtl/>
        </w:rPr>
        <w:t>רי פירות</w:t>
      </w:r>
      <w:r w:rsidRPr="001811CE">
        <w:rPr>
          <w:rFonts w:hint="cs"/>
          <w:u w:val="dotted"/>
          <w:rtl/>
        </w:rPr>
        <w:t>:</w:t>
      </w:r>
    </w:p>
    <w:p w14:paraId="5DB0D09A" w14:textId="77777777" w:rsidR="002E5BAD" w:rsidRPr="000D6E69" w:rsidRDefault="002E5BAD" w:rsidP="002E5BAD">
      <w:pPr>
        <w:pStyle w:val="ab"/>
        <w:numPr>
          <w:ilvl w:val="0"/>
          <w:numId w:val="186"/>
        </w:numPr>
      </w:pPr>
      <w:r w:rsidRPr="003171A6">
        <w:rPr>
          <w:rFonts w:cs="Arial"/>
          <w:rtl/>
        </w:rPr>
        <w:t>רמב"ם</w:t>
      </w:r>
      <w:r w:rsidRPr="00060474">
        <w:rPr>
          <w:rFonts w:cs="Arial" w:hint="cs"/>
          <w:sz w:val="16"/>
          <w:szCs w:val="16"/>
          <w:rtl/>
        </w:rPr>
        <w:t xml:space="preserve"> (פכ"ג מאישות ה"ג)</w:t>
      </w:r>
      <w:r>
        <w:rPr>
          <w:rFonts w:cs="Arial" w:hint="cs"/>
          <w:rtl/>
        </w:rPr>
        <w:t>-</w:t>
      </w:r>
      <w:r w:rsidRPr="003171A6">
        <w:rPr>
          <w:rFonts w:cs="Arial"/>
          <w:rtl/>
        </w:rPr>
        <w:t xml:space="preserve"> הדין הוא שימכרו הפירות ויקנה בהן קרקע ויאכל פירות שהן פירי פירות</w:t>
      </w:r>
      <w:r>
        <w:rPr>
          <w:rFonts w:cs="Arial" w:hint="cs"/>
          <w:sz w:val="16"/>
          <w:szCs w:val="16"/>
          <w:rtl/>
        </w:rPr>
        <w:t xml:space="preserve"> (ל' הטור בשמו)</w:t>
      </w:r>
      <w:r>
        <w:rPr>
          <w:rFonts w:cs="Arial" w:hint="cs"/>
          <w:rtl/>
        </w:rPr>
        <w:t>.</w:t>
      </w:r>
      <w:r w:rsidRPr="003F327B">
        <w:rPr>
          <w:rFonts w:hint="cs"/>
          <w:color w:val="E36C0A" w:themeColor="accent6" w:themeShade="BF"/>
          <w:rtl/>
        </w:rPr>
        <w:t xml:space="preserve"> </w:t>
      </w:r>
      <w:r w:rsidRPr="00A31A43">
        <w:rPr>
          <w:rFonts w:hint="cs"/>
          <w:color w:val="E36C0A" w:themeColor="accent6" w:themeShade="BF"/>
          <w:rtl/>
        </w:rPr>
        <w:t>(וכ"פ בשו"ע)</w:t>
      </w:r>
    </w:p>
    <w:p w14:paraId="633F98E8" w14:textId="77777777" w:rsidR="002E5BAD" w:rsidRPr="005D1457" w:rsidRDefault="002E5BAD" w:rsidP="002E5BAD">
      <w:pPr>
        <w:pStyle w:val="ab"/>
        <w:numPr>
          <w:ilvl w:val="0"/>
          <w:numId w:val="186"/>
        </w:numPr>
        <w:rPr>
          <w:rtl/>
        </w:rPr>
      </w:pPr>
      <w:r>
        <w:rPr>
          <w:rFonts w:cs="Arial" w:hint="cs"/>
          <w:rtl/>
        </w:rPr>
        <w:t>רא"ש</w:t>
      </w:r>
      <w:r>
        <w:rPr>
          <w:rFonts w:cs="Arial" w:hint="cs"/>
          <w:sz w:val="16"/>
          <w:szCs w:val="16"/>
          <w:rtl/>
        </w:rPr>
        <w:t xml:space="preserve"> (סי' א)</w:t>
      </w:r>
      <w:r>
        <w:rPr>
          <w:rFonts w:cs="Arial" w:hint="cs"/>
          <w:rtl/>
        </w:rPr>
        <w:t>-</w:t>
      </w:r>
      <w:r w:rsidRPr="003171A6">
        <w:rPr>
          <w:rFonts w:cs="Arial"/>
          <w:rtl/>
        </w:rPr>
        <w:t xml:space="preserve"> דוקא אם מעצמה שיירה הפירות</w:t>
      </w:r>
      <w:r>
        <w:rPr>
          <w:rFonts w:cs="Arial" w:hint="cs"/>
          <w:rtl/>
        </w:rPr>
        <w:t>,</w:t>
      </w:r>
      <w:r w:rsidRPr="003171A6">
        <w:rPr>
          <w:rFonts w:cs="Arial"/>
          <w:rtl/>
        </w:rPr>
        <w:t xml:space="preserve"> ימכרם ויקח בהם הקרקע ויאכל פירותיו</w:t>
      </w:r>
      <w:r>
        <w:rPr>
          <w:rFonts w:cs="Arial" w:hint="cs"/>
          <w:rtl/>
        </w:rPr>
        <w:t>.</w:t>
      </w:r>
      <w:r w:rsidRPr="003171A6">
        <w:rPr>
          <w:rFonts w:cs="Arial"/>
          <w:rtl/>
        </w:rPr>
        <w:t xml:space="preserve"> אבל אין ב"ד אומרים לה לשייר אותם כדי שיאכל פירי פירות</w:t>
      </w:r>
      <w:r>
        <w:rPr>
          <w:rFonts w:cs="Arial" w:hint="cs"/>
          <w:rtl/>
        </w:rPr>
        <w:t>.</w:t>
      </w:r>
      <w:r w:rsidRPr="00F0596B">
        <w:rPr>
          <w:rFonts w:cs="Arial"/>
          <w:color w:val="00B0F0"/>
          <w:rtl/>
        </w:rPr>
        <w:t xml:space="preserve"> </w:t>
      </w:r>
      <w:r w:rsidRPr="00F0596B">
        <w:rPr>
          <w:rFonts w:hint="cs"/>
          <w:color w:val="00B0F0"/>
          <w:rtl/>
        </w:rPr>
        <w:t>(וכ"כ הרמ"א)</w:t>
      </w:r>
    </w:p>
    <w:p w14:paraId="19D9EAE1"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814711C" w14:textId="77777777" w:rsidR="002E5BAD" w:rsidRDefault="002E5BAD" w:rsidP="002E5BAD">
      <w:pPr>
        <w:rPr>
          <w:rtl/>
        </w:rPr>
      </w:pPr>
      <w:r>
        <w:rPr>
          <w:rFonts w:cs="Arial"/>
          <w:rtl/>
        </w:rPr>
        <w:lastRenderedPageBreak/>
        <w:t>הוסיף להתנות גם על הפירות, שאמר לה: דין ודברים אין לי בנכסייך ובפירותיהן, אינו אוכל פירות בחייה</w:t>
      </w:r>
      <w:r w:rsidRPr="00F20C9C">
        <w:rPr>
          <w:rStyle w:val="a7"/>
          <w:rFonts w:cs="Arial"/>
          <w:color w:val="000000" w:themeColor="text1"/>
          <w:rtl/>
        </w:rPr>
        <w:footnoteReference w:id="2221"/>
      </w:r>
      <w:r>
        <w:rPr>
          <w:rFonts w:cs="Arial"/>
          <w:rtl/>
        </w:rPr>
        <w:t>, אבל מוכרים הפירות ולוקחים בהם קרקע</w:t>
      </w:r>
      <w:r w:rsidRPr="00992598">
        <w:rPr>
          <w:rStyle w:val="a7"/>
          <w:rFonts w:cs="Arial"/>
          <w:color w:val="000000" w:themeColor="text1"/>
          <w:rtl/>
        </w:rPr>
        <w:footnoteReference w:id="2222"/>
      </w:r>
      <w:r>
        <w:rPr>
          <w:rFonts w:cs="Arial"/>
          <w:rtl/>
        </w:rPr>
        <w:t xml:space="preserve"> ואוכל פירותיו. </w:t>
      </w:r>
      <w:r w:rsidRPr="00DA1E36">
        <w:rPr>
          <w:rFonts w:cs="Arial"/>
          <w:sz w:val="18"/>
          <w:szCs w:val="18"/>
          <w:rtl/>
        </w:rPr>
        <w:t>הגה: ואם מתה, יורשה (טור). וי"א דאין כופין אותה למכור הפירות</w:t>
      </w:r>
      <w:r w:rsidRPr="00992598">
        <w:rPr>
          <w:rStyle w:val="a7"/>
          <w:rFonts w:cs="Arial"/>
          <w:color w:val="000000" w:themeColor="text1"/>
          <w:sz w:val="18"/>
          <w:szCs w:val="18"/>
          <w:rtl/>
        </w:rPr>
        <w:footnoteReference w:id="2223"/>
      </w:r>
      <w:r w:rsidRPr="00DA1E36">
        <w:rPr>
          <w:rFonts w:cs="Arial"/>
          <w:sz w:val="18"/>
          <w:szCs w:val="18"/>
          <w:rtl/>
        </w:rPr>
        <w:t>, אלא שאם שיירה פירות ימכרם ויקנה בהם קרקע והוא אוכל פירות (טור בשם הרא"ש).</w:t>
      </w:r>
      <w:r>
        <w:rPr>
          <w:rFonts w:cs="Arial"/>
          <w:rtl/>
        </w:rPr>
        <w:t xml:space="preserve"> </w:t>
      </w:r>
    </w:p>
    <w:p w14:paraId="234421EE" w14:textId="77777777" w:rsidR="002E5BAD" w:rsidRDefault="002E5BAD" w:rsidP="002E5BAD">
      <w:pPr>
        <w:rPr>
          <w:rtl/>
        </w:rPr>
      </w:pPr>
    </w:p>
    <w:p w14:paraId="07D66A60" w14:textId="77777777" w:rsidR="002E5BAD" w:rsidRDefault="002E5BAD" w:rsidP="002E5BAD">
      <w:pPr>
        <w:pStyle w:val="2"/>
        <w:rPr>
          <w:rtl/>
        </w:rPr>
      </w:pPr>
      <w:r>
        <w:rPr>
          <w:rtl/>
        </w:rPr>
        <w:t xml:space="preserve">סעיף </w:t>
      </w:r>
      <w:r>
        <w:rPr>
          <w:rFonts w:hint="cs"/>
          <w:rtl/>
        </w:rPr>
        <w:t>ה:</w:t>
      </w:r>
      <w:r w:rsidRPr="001811CE">
        <w:rPr>
          <w:rFonts w:cs="Arial" w:hint="cs"/>
          <w:rtl/>
        </w:rPr>
        <w:t xml:space="preserve"> הכותב לאשתו</w:t>
      </w:r>
      <w:r w:rsidRPr="001811CE">
        <w:rPr>
          <w:rFonts w:cs="Arial"/>
          <w:rtl/>
        </w:rPr>
        <w:t xml:space="preserve"> </w:t>
      </w:r>
      <w:r w:rsidRPr="001811CE">
        <w:rPr>
          <w:rFonts w:cs="Arial" w:hint="cs"/>
          <w:rtl/>
        </w:rPr>
        <w:t>'</w:t>
      </w:r>
      <w:r w:rsidRPr="001811CE">
        <w:rPr>
          <w:rFonts w:cs="Arial"/>
          <w:rtl/>
        </w:rPr>
        <w:t>דין ודברים אין לי בנכסייך ובפירותיה</w:t>
      </w:r>
      <w:r>
        <w:rPr>
          <w:rFonts w:cs="Arial" w:hint="cs"/>
          <w:rtl/>
        </w:rPr>
        <w:t>ן ובפירי פירותיהן</w:t>
      </w:r>
      <w:r w:rsidRPr="001811CE">
        <w:rPr>
          <w:rFonts w:hint="cs"/>
          <w:rtl/>
        </w:rPr>
        <w:t>'</w:t>
      </w:r>
      <w:r>
        <w:rPr>
          <w:rFonts w:hint="cs"/>
          <w:rtl/>
        </w:rPr>
        <w:t>.</w:t>
      </w:r>
    </w:p>
    <w:p w14:paraId="47BBA038" w14:textId="77777777" w:rsidR="002E5BAD" w:rsidRDefault="002E5BAD" w:rsidP="002E5BAD">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AD43AE">
        <w:rPr>
          <w:rFonts w:cs="Arial"/>
          <w:rtl/>
        </w:rPr>
        <w:t>כתב לה דין ודברים אין לי בנכסיך ובפירותיהן - הרי זה אינו אוכל פירות בחייה, ואם מתה - יורשה</w:t>
      </w:r>
      <w:r>
        <w:rPr>
          <w:rFonts w:cs="Arial" w:hint="cs"/>
          <w:rtl/>
        </w:rPr>
        <w:t>.</w:t>
      </w:r>
      <w:r w:rsidRPr="00AD43AE">
        <w:rPr>
          <w:rFonts w:cs="Arial"/>
          <w:rtl/>
        </w:rPr>
        <w:t xml:space="preserve"> </w:t>
      </w:r>
      <w:r w:rsidRPr="00060474">
        <w:rPr>
          <w:rFonts w:cs="Arial"/>
          <w:u w:val="single"/>
          <w:rtl/>
        </w:rPr>
        <w:t>ר' יהודה אומר</w:t>
      </w:r>
      <w:r w:rsidRPr="00AD43AE">
        <w:rPr>
          <w:rFonts w:cs="Arial"/>
          <w:rtl/>
        </w:rPr>
        <w:t>: לעולם אוכל פירי פירות, עד שיכתוב לה דין ודברים אין לי בנכסיך ובפירותיהן ובפירי פירותיהן עד עולם.</w:t>
      </w:r>
      <w:r>
        <w:rPr>
          <w:rFonts w:cs="Arial" w:hint="cs"/>
          <w:rtl/>
        </w:rPr>
        <w:t xml:space="preserve">..     </w:t>
      </w:r>
      <w:r w:rsidRPr="00B344F3">
        <w:rPr>
          <w:rFonts w:cs="Arial" w:hint="cs"/>
          <w:u w:val="double"/>
          <w:rtl/>
        </w:rPr>
        <w:t>גמ'</w:t>
      </w:r>
      <w:r>
        <w:rPr>
          <w:rFonts w:cs="Arial" w:hint="cs"/>
          <w:sz w:val="14"/>
          <w:szCs w:val="14"/>
          <w:u w:val="double"/>
          <w:rtl/>
        </w:rPr>
        <w:t>(פג:)</w:t>
      </w:r>
      <w:r>
        <w:rPr>
          <w:rFonts w:cs="Arial" w:hint="cs"/>
          <w:u w:val="double"/>
          <w:rtl/>
        </w:rPr>
        <w:t>:</w:t>
      </w:r>
      <w:r w:rsidRPr="00B344F3">
        <w:rPr>
          <w:rtl/>
        </w:rPr>
        <w:t xml:space="preserve"> </w:t>
      </w:r>
      <w:r w:rsidRPr="00B344F3">
        <w:rPr>
          <w:rFonts w:cs="Arial"/>
          <w:rtl/>
        </w:rPr>
        <w:t>איבעיא להו: לרבי יהודה, פירי פירות דוקא, או דלמא עד עולם דוקא, או דלמא תרוייהו דוקא? אם תמצי לומר פירי פירות דוקא עד עולם למה לי? הא קמ"ל, כיון דכתב לה פירי פירות, כמאן דכתב לה עד עולם דמי</w:t>
      </w:r>
      <w:r>
        <w:rPr>
          <w:rFonts w:cs="Arial" w:hint="cs"/>
          <w:rtl/>
        </w:rPr>
        <w:t>.</w:t>
      </w:r>
      <w:r w:rsidRPr="00B344F3">
        <w:rPr>
          <w:rFonts w:cs="Arial"/>
          <w:rtl/>
        </w:rPr>
        <w:t xml:space="preserve"> ואם תמצי לומר עד עולם דוקא, פירי פירות למה לי? הא קמ"ל, אף על גב דכתב לה פירי פירות, אי כתב לה עד עולם - אין, אי לא - לא</w:t>
      </w:r>
      <w:r>
        <w:rPr>
          <w:rFonts w:cs="Arial" w:hint="cs"/>
          <w:rtl/>
        </w:rPr>
        <w:t>.</w:t>
      </w:r>
      <w:r w:rsidRPr="00B344F3">
        <w:rPr>
          <w:rFonts w:cs="Arial"/>
          <w:rtl/>
        </w:rPr>
        <w:t xml:space="preserve"> ואם תמצי לומר תרוייהו דוקא, תרתי למה לי? צריכא, דאי כתב לה פירי פירות ולא כתב לה עד עולם, הוה אמינא פירי פירות הוא דלא אכיל, אבל פירא דפירי פירות אכיל, להכי איצטריך עד עולם</w:t>
      </w:r>
      <w:r>
        <w:rPr>
          <w:rFonts w:cs="Arial" w:hint="cs"/>
          <w:rtl/>
        </w:rPr>
        <w:t>.</w:t>
      </w:r>
      <w:r w:rsidRPr="00B344F3">
        <w:rPr>
          <w:rFonts w:cs="Arial"/>
          <w:rtl/>
        </w:rPr>
        <w:t xml:space="preserve"> ואי כתב לה עד עולם ולא כתב לה פירי פירות, הוה אמינא לעולם אפירות קאי, להכי איצטריך פירי פירות. </w:t>
      </w:r>
      <w:r w:rsidRPr="00060474">
        <w:rPr>
          <w:rFonts w:cs="Arial" w:hint="cs"/>
          <w:sz w:val="16"/>
          <w:szCs w:val="16"/>
          <w:rtl/>
        </w:rPr>
        <w:t>(</w:t>
      </w:r>
      <w:r w:rsidRPr="00B344F3">
        <w:rPr>
          <w:rFonts w:cs="Arial"/>
          <w:sz w:val="16"/>
          <w:szCs w:val="16"/>
          <w:rtl/>
        </w:rPr>
        <w:t>וכתב הרא"ש (שם)</w:t>
      </w:r>
      <w:r w:rsidRPr="00B344F3">
        <w:rPr>
          <w:rFonts w:cs="Arial" w:hint="cs"/>
          <w:sz w:val="16"/>
          <w:szCs w:val="16"/>
          <w:rtl/>
        </w:rPr>
        <w:t>-</w:t>
      </w:r>
      <w:r w:rsidRPr="00B344F3">
        <w:rPr>
          <w:rFonts w:cs="Arial"/>
          <w:sz w:val="16"/>
          <w:szCs w:val="16"/>
          <w:rtl/>
        </w:rPr>
        <w:t xml:space="preserve"> ולא איפשיטא הילכך בעינן תרווייהו</w:t>
      </w:r>
      <w:r w:rsidRPr="00B344F3">
        <w:rPr>
          <w:rFonts w:cs="Arial" w:hint="cs"/>
          <w:sz w:val="16"/>
          <w:szCs w:val="16"/>
          <w:rtl/>
        </w:rPr>
        <w:t>.</w:t>
      </w:r>
      <w:r w:rsidRPr="00B344F3">
        <w:rPr>
          <w:rFonts w:cs="Arial"/>
          <w:sz w:val="16"/>
          <w:szCs w:val="16"/>
          <w:rtl/>
        </w:rPr>
        <w:t xml:space="preserve"> כלומר משום דאשה הויא בעל השטר וידה על התחתונה</w:t>
      </w:r>
      <w:r w:rsidRPr="00B344F3">
        <w:rPr>
          <w:rFonts w:cs="Arial" w:hint="cs"/>
          <w:sz w:val="16"/>
          <w:szCs w:val="16"/>
          <w:rtl/>
        </w:rPr>
        <w:t>.</w:t>
      </w:r>
      <w:r w:rsidRPr="00B344F3">
        <w:rPr>
          <w:rFonts w:cs="Arial"/>
          <w:sz w:val="16"/>
          <w:szCs w:val="16"/>
          <w:rtl/>
        </w:rPr>
        <w:t xml:space="preserve"> וכן כתב הר"ן (שם)</w:t>
      </w:r>
      <w:r w:rsidRPr="00B344F3">
        <w:rPr>
          <w:rFonts w:cs="Arial" w:hint="cs"/>
          <w:sz w:val="16"/>
          <w:szCs w:val="16"/>
          <w:rtl/>
        </w:rPr>
        <w:t>.</w:t>
      </w:r>
      <w:r w:rsidRPr="00B344F3">
        <w:rPr>
          <w:rFonts w:cs="Arial"/>
          <w:sz w:val="16"/>
          <w:szCs w:val="16"/>
          <w:rtl/>
        </w:rPr>
        <w:t xml:space="preserve"> וכ"פ הרמב"ם בפכ"ג מהלכות אישות (ה"ד)</w:t>
      </w:r>
      <w:r w:rsidRPr="00B344F3">
        <w:rPr>
          <w:rFonts w:cs="Arial" w:hint="cs"/>
          <w:sz w:val="16"/>
          <w:szCs w:val="16"/>
          <w:rtl/>
        </w:rPr>
        <w:t>.</w:t>
      </w:r>
      <w:r w:rsidRPr="00B344F3">
        <w:rPr>
          <w:rFonts w:cs="Arial"/>
          <w:sz w:val="16"/>
          <w:szCs w:val="16"/>
          <w:rtl/>
        </w:rPr>
        <w:t xml:space="preserve"> וכן נראה מדברי הרי"ף (מא.) שכתב מתניתין דרבי יהודה כצורתה ומשמע מפשטה דתרווייהו בעינן</w:t>
      </w:r>
      <w:r w:rsidRPr="00B344F3">
        <w:rPr>
          <w:rFonts w:cs="Arial" w:hint="cs"/>
          <w:sz w:val="16"/>
          <w:szCs w:val="16"/>
          <w:rtl/>
        </w:rPr>
        <w:t>, ב"י)</w:t>
      </w:r>
    </w:p>
    <w:p w14:paraId="03FE58CB" w14:textId="77777777" w:rsidR="002E5BAD" w:rsidRPr="00B344F3" w:rsidRDefault="002E5BAD" w:rsidP="002E5BAD">
      <w:pPr>
        <w:rPr>
          <w:u w:val="single"/>
          <w:rtl/>
        </w:rPr>
      </w:pPr>
      <w:r w:rsidRPr="001811CE">
        <w:rPr>
          <w:rFonts w:cs="Arial" w:hint="cs"/>
          <w:u w:val="single"/>
          <w:rtl/>
        </w:rPr>
        <w:t>הכותב לאשתו</w:t>
      </w:r>
      <w:r w:rsidRPr="001811CE">
        <w:rPr>
          <w:rFonts w:cs="Arial"/>
          <w:u w:val="single"/>
          <w:rtl/>
        </w:rPr>
        <w:t xml:space="preserve"> </w:t>
      </w:r>
      <w:r w:rsidRPr="001811CE">
        <w:rPr>
          <w:rFonts w:cs="Arial" w:hint="cs"/>
          <w:u w:val="single"/>
          <w:rtl/>
        </w:rPr>
        <w:t>'</w:t>
      </w:r>
      <w:r w:rsidRPr="001811CE">
        <w:rPr>
          <w:rFonts w:cs="Arial"/>
          <w:u w:val="single"/>
          <w:rtl/>
        </w:rPr>
        <w:t>דין ודברים אין לי בנכסייך ובפירותיה</w:t>
      </w:r>
      <w:r>
        <w:rPr>
          <w:rFonts w:cs="Arial" w:hint="cs"/>
          <w:u w:val="single"/>
          <w:rtl/>
        </w:rPr>
        <w:t xml:space="preserve">ן </w:t>
      </w:r>
      <w:r w:rsidRPr="00B344F3">
        <w:rPr>
          <w:rFonts w:hint="cs"/>
          <w:u w:val="single"/>
          <w:rtl/>
        </w:rPr>
        <w:t>ובפיר</w:t>
      </w:r>
      <w:r>
        <w:rPr>
          <w:rFonts w:hint="cs"/>
          <w:u w:val="single"/>
          <w:rtl/>
        </w:rPr>
        <w:t>י</w:t>
      </w:r>
      <w:r w:rsidRPr="00B344F3">
        <w:rPr>
          <w:rFonts w:hint="cs"/>
          <w:u w:val="single"/>
          <w:rtl/>
        </w:rPr>
        <w:t xml:space="preserve"> פירותיה</w:t>
      </w:r>
      <w:r>
        <w:rPr>
          <w:rFonts w:hint="cs"/>
          <w:u w:val="single"/>
          <w:rtl/>
        </w:rPr>
        <w:t>ן</w:t>
      </w:r>
      <w:r w:rsidRPr="00B344F3">
        <w:rPr>
          <w:rFonts w:hint="cs"/>
          <w:u w:val="single"/>
          <w:rtl/>
        </w:rPr>
        <w:t>'</w:t>
      </w:r>
      <w:r w:rsidRPr="001811CE">
        <w:rPr>
          <w:rFonts w:hint="cs"/>
          <w:u w:val="single"/>
          <w:rtl/>
        </w:rPr>
        <w:t>:</w:t>
      </w:r>
    </w:p>
    <w:p w14:paraId="4FA10C0F" w14:textId="77777777" w:rsidR="002E5BAD" w:rsidRDefault="002E5BAD" w:rsidP="002E5BAD">
      <w:pPr>
        <w:pStyle w:val="ab"/>
        <w:numPr>
          <w:ilvl w:val="0"/>
          <w:numId w:val="186"/>
        </w:numPr>
      </w:pPr>
      <w:r>
        <w:rPr>
          <w:rFonts w:cs="Arial" w:hint="cs"/>
          <w:rtl/>
        </w:rPr>
        <w:t xml:space="preserve">טור- </w:t>
      </w:r>
      <w:r w:rsidRPr="003171A6">
        <w:rPr>
          <w:rFonts w:cs="Arial"/>
          <w:rtl/>
        </w:rPr>
        <w:t xml:space="preserve">הוסיף להתנות גם על פירי פירות שאמר בנכסייך ובפירותיהן ובפירי פירותיהן </w:t>
      </w:r>
      <w:r>
        <w:rPr>
          <w:rFonts w:cs="Arial" w:hint="cs"/>
          <w:rtl/>
        </w:rPr>
        <w:t xml:space="preserve">- </w:t>
      </w:r>
      <w:r w:rsidRPr="003171A6">
        <w:rPr>
          <w:rFonts w:cs="Arial"/>
          <w:rtl/>
        </w:rPr>
        <w:t>אינו אוכל לא פירותיה ולא פירי פירות</w:t>
      </w:r>
      <w:r>
        <w:rPr>
          <w:rFonts w:cs="Arial" w:hint="cs"/>
          <w:rtl/>
        </w:rPr>
        <w:t>,</w:t>
      </w:r>
      <w:r w:rsidRPr="003171A6">
        <w:rPr>
          <w:rFonts w:cs="Arial"/>
          <w:rtl/>
        </w:rPr>
        <w:t xml:space="preserve"> אבל אוכל פירי פירי פירות</w:t>
      </w:r>
      <w:r>
        <w:rPr>
          <w:rFonts w:cs="Arial" w:hint="cs"/>
          <w:rtl/>
        </w:rPr>
        <w:t>.</w:t>
      </w:r>
      <w:r w:rsidRPr="003171A6">
        <w:rPr>
          <w:rFonts w:cs="Arial"/>
          <w:rtl/>
        </w:rPr>
        <w:t xml:space="preserve"> כגון אם לקחה מהפירות קרקע</w:t>
      </w:r>
      <w:r>
        <w:rPr>
          <w:rFonts w:cs="Arial" w:hint="cs"/>
          <w:rtl/>
        </w:rPr>
        <w:t>,</w:t>
      </w:r>
      <w:r w:rsidRPr="003171A6">
        <w:rPr>
          <w:rFonts w:cs="Arial"/>
          <w:rtl/>
        </w:rPr>
        <w:t xml:space="preserve"> ומפירי אותו קרקע לקחה עוד קרקע </w:t>
      </w:r>
      <w:r>
        <w:rPr>
          <w:rFonts w:cs="Arial" w:hint="cs"/>
          <w:rtl/>
        </w:rPr>
        <w:t xml:space="preserve">- </w:t>
      </w:r>
      <w:r w:rsidRPr="003171A6">
        <w:rPr>
          <w:rFonts w:cs="Arial"/>
          <w:rtl/>
        </w:rPr>
        <w:t>אוכל פירי הקרקע השני</w:t>
      </w:r>
      <w:r>
        <w:rPr>
          <w:rFonts w:cs="Arial" w:hint="cs"/>
          <w:rtl/>
        </w:rPr>
        <w:t>.</w:t>
      </w:r>
      <w:r w:rsidRPr="003171A6">
        <w:rPr>
          <w:rFonts w:cs="Arial"/>
          <w:rtl/>
        </w:rPr>
        <w:t xml:space="preserve"> וכן לעולם עד שיאמר דין ודברים אין לי בנכסייך ובפירותיהן ובפירי פירותיהן עד עולם</w:t>
      </w:r>
      <w:r>
        <w:rPr>
          <w:rFonts w:cs="Arial" w:hint="cs"/>
          <w:rtl/>
        </w:rPr>
        <w:t>.</w:t>
      </w:r>
    </w:p>
    <w:p w14:paraId="70586AA5" w14:textId="77777777" w:rsidR="002E5BAD" w:rsidRPr="005D1457" w:rsidRDefault="002E5BAD" w:rsidP="002E5BAD">
      <w:pPr>
        <w:pStyle w:val="ab"/>
        <w:numPr>
          <w:ilvl w:val="0"/>
          <w:numId w:val="186"/>
        </w:numPr>
        <w:rPr>
          <w:rtl/>
        </w:rPr>
      </w:pPr>
      <w:r>
        <w:rPr>
          <w:rFonts w:cs="Arial" w:hint="cs"/>
          <w:color w:val="000000" w:themeColor="text1"/>
          <w:rtl/>
        </w:rPr>
        <w:t xml:space="preserve">רמב"ם </w:t>
      </w:r>
      <w:r>
        <w:rPr>
          <w:rFonts w:cs="Arial" w:hint="cs"/>
          <w:color w:val="000000" w:themeColor="text1"/>
          <w:sz w:val="16"/>
          <w:szCs w:val="16"/>
          <w:rtl/>
        </w:rPr>
        <w:t>(פכ"ג מאישות ה"ד)</w:t>
      </w:r>
      <w:r>
        <w:rPr>
          <w:rFonts w:cs="Arial" w:hint="cs"/>
          <w:color w:val="000000" w:themeColor="text1"/>
          <w:rtl/>
        </w:rPr>
        <w:t xml:space="preserve">- </w:t>
      </w:r>
      <w:r w:rsidRPr="0028470E">
        <w:rPr>
          <w:rFonts w:cs="Arial"/>
          <w:color w:val="000000" w:themeColor="text1"/>
          <w:rtl/>
        </w:rPr>
        <w:t xml:space="preserve">התנה עמה שלא יאכל פירות נכסיה ולא פירי פירותיהן </w:t>
      </w:r>
      <w:r>
        <w:rPr>
          <w:rFonts w:cs="Arial" w:hint="cs"/>
          <w:color w:val="000000" w:themeColor="text1"/>
          <w:rtl/>
        </w:rPr>
        <w:t xml:space="preserve">- </w:t>
      </w:r>
      <w:r w:rsidRPr="0028470E">
        <w:rPr>
          <w:rFonts w:cs="Arial"/>
          <w:color w:val="000000" w:themeColor="text1"/>
          <w:rtl/>
        </w:rPr>
        <w:t>לוקחין הפירות וקונין בהם קרקע</w:t>
      </w:r>
      <w:r>
        <w:rPr>
          <w:rFonts w:cs="Arial" w:hint="cs"/>
          <w:color w:val="000000" w:themeColor="text1"/>
          <w:rtl/>
        </w:rPr>
        <w:t>.</w:t>
      </w:r>
      <w:r w:rsidRPr="0028470E">
        <w:rPr>
          <w:rFonts w:cs="Arial"/>
          <w:color w:val="000000" w:themeColor="text1"/>
          <w:rtl/>
        </w:rPr>
        <w:t xml:space="preserve"> ולוקחין פירות קרקע זו</w:t>
      </w:r>
      <w:r>
        <w:rPr>
          <w:rFonts w:cs="Arial" w:hint="cs"/>
          <w:color w:val="000000" w:themeColor="text1"/>
          <w:rtl/>
        </w:rPr>
        <w:t xml:space="preserve">, </w:t>
      </w:r>
      <w:r w:rsidRPr="0028470E">
        <w:rPr>
          <w:rFonts w:cs="Arial"/>
          <w:color w:val="000000" w:themeColor="text1"/>
          <w:rtl/>
        </w:rPr>
        <w:t xml:space="preserve">וקונין בהם קרקע שנייה </w:t>
      </w:r>
      <w:r>
        <w:rPr>
          <w:rFonts w:cs="Arial" w:hint="cs"/>
          <w:color w:val="000000" w:themeColor="text1"/>
          <w:rtl/>
        </w:rPr>
        <w:t xml:space="preserve">- </w:t>
      </w:r>
      <w:r w:rsidRPr="0028470E">
        <w:rPr>
          <w:rFonts w:cs="Arial"/>
          <w:color w:val="000000" w:themeColor="text1"/>
          <w:rtl/>
        </w:rPr>
        <w:t>והוא אוכל פירות אלו שהן פירי פירי פירות</w:t>
      </w:r>
      <w:r>
        <w:rPr>
          <w:rFonts w:cs="Arial" w:hint="cs"/>
          <w:color w:val="000000" w:themeColor="text1"/>
          <w:rtl/>
        </w:rPr>
        <w:t>.</w:t>
      </w:r>
      <w:r w:rsidRPr="0028470E">
        <w:rPr>
          <w:rFonts w:cs="Arial"/>
          <w:color w:val="000000" w:themeColor="text1"/>
          <w:rtl/>
        </w:rPr>
        <w:t xml:space="preserve"> וכן הדבר תמיד עד שיתנה עמה שלא יהיו לו לא פירות ולא פירי פירותיהן עד לעול</w:t>
      </w:r>
      <w:r>
        <w:rPr>
          <w:rFonts w:cs="Arial" w:hint="cs"/>
          <w:color w:val="000000" w:themeColor="text1"/>
          <w:rtl/>
        </w:rPr>
        <w:t>ם,</w:t>
      </w:r>
      <w:r w:rsidRPr="0028470E">
        <w:rPr>
          <w:rFonts w:cs="Arial"/>
          <w:color w:val="000000" w:themeColor="text1"/>
          <w:rtl/>
        </w:rPr>
        <w:t xml:space="preserve"> ואחר כך לא יהיו לו פירות בחייה</w:t>
      </w:r>
      <w:r>
        <w:rPr>
          <w:rFonts w:cs="Arial" w:hint="cs"/>
          <w:color w:val="000000" w:themeColor="text1"/>
          <w:rtl/>
        </w:rPr>
        <w:t>.</w:t>
      </w:r>
      <w:r w:rsidRPr="0028470E">
        <w:rPr>
          <w:rFonts w:cs="Arial"/>
          <w:color w:val="000000" w:themeColor="text1"/>
          <w:rtl/>
        </w:rPr>
        <w:t xml:space="preserve"> אבל אם מתה</w:t>
      </w:r>
      <w:r>
        <w:rPr>
          <w:rFonts w:cs="Arial" w:hint="cs"/>
          <w:color w:val="000000" w:themeColor="text1"/>
          <w:rtl/>
        </w:rPr>
        <w:t xml:space="preserve"> -</w:t>
      </w:r>
      <w:r w:rsidRPr="0028470E">
        <w:rPr>
          <w:rFonts w:cs="Arial"/>
          <w:color w:val="000000" w:themeColor="text1"/>
          <w:rtl/>
        </w:rPr>
        <w:t xml:space="preserve"> יירש הכל. </w:t>
      </w:r>
      <w:r w:rsidRPr="00A31A43">
        <w:rPr>
          <w:rFonts w:hint="cs"/>
          <w:color w:val="E36C0A" w:themeColor="accent6" w:themeShade="BF"/>
          <w:rtl/>
        </w:rPr>
        <w:t>(וכ"פ בשו"ע)</w:t>
      </w:r>
    </w:p>
    <w:p w14:paraId="0B003BEC"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23078981" w14:textId="77777777" w:rsidR="002E5BAD" w:rsidRDefault="002E5BAD" w:rsidP="002E5BAD">
      <w:pPr>
        <w:rPr>
          <w:rtl/>
        </w:rPr>
      </w:pPr>
      <w:r>
        <w:rPr>
          <w:rFonts w:cs="Arial"/>
          <w:rtl/>
        </w:rPr>
        <w:t>הוסיף להתנות עמה שלא יאכל פירות נכסיה ולא פירי פירותיהם, לוקחין</w:t>
      </w:r>
      <w:r w:rsidRPr="00F20C9C">
        <w:rPr>
          <w:rStyle w:val="a7"/>
          <w:rFonts w:cs="Arial"/>
          <w:color w:val="000000" w:themeColor="text1"/>
          <w:rtl/>
        </w:rPr>
        <w:footnoteReference w:id="2224"/>
      </w:r>
      <w:r>
        <w:rPr>
          <w:rFonts w:cs="Arial"/>
          <w:rtl/>
        </w:rPr>
        <w:t xml:space="preserve"> הפירות וקונים בהם קרקע, ולוקחים פירות קרקע זו וקונים בהם קרקע שנייה, והוא אוכל פירות אלו שהן פירי פירות. וכן הדבר תמיד, עד שיתנה עמה שלא יהיה לו פירות ולא פירות פירותיהן עד לעולם</w:t>
      </w:r>
      <w:r w:rsidRPr="00F20C9C">
        <w:rPr>
          <w:rStyle w:val="a7"/>
          <w:rFonts w:cs="Arial"/>
          <w:color w:val="000000" w:themeColor="text1"/>
          <w:rtl/>
        </w:rPr>
        <w:footnoteReference w:id="2225"/>
      </w:r>
      <w:r>
        <w:rPr>
          <w:rFonts w:cs="Arial"/>
          <w:rtl/>
        </w:rPr>
        <w:t xml:space="preserve">, ואז לא יהיה לו שום צד פירות בחייה. </w:t>
      </w:r>
    </w:p>
    <w:p w14:paraId="7332D940" w14:textId="77777777" w:rsidR="002E5BAD" w:rsidRDefault="002E5BAD" w:rsidP="002E5BAD">
      <w:pPr>
        <w:rPr>
          <w:rtl/>
        </w:rPr>
      </w:pPr>
    </w:p>
    <w:p w14:paraId="00C55FB8" w14:textId="77777777" w:rsidR="002E5BAD" w:rsidRPr="00363223" w:rsidRDefault="002E5BAD" w:rsidP="002E5BAD">
      <w:pPr>
        <w:pStyle w:val="2"/>
        <w:rPr>
          <w:rtl/>
        </w:rPr>
      </w:pPr>
      <w:r>
        <w:rPr>
          <w:rtl/>
        </w:rPr>
        <w:t>סעיף ו</w:t>
      </w:r>
      <w:r>
        <w:rPr>
          <w:rFonts w:hint="cs"/>
          <w:rtl/>
        </w:rPr>
        <w:t>:</w:t>
      </w:r>
      <w:r w:rsidRPr="00363223">
        <w:rPr>
          <w:rFonts w:cs="Arial" w:hint="cs"/>
          <w:rtl/>
        </w:rPr>
        <w:t xml:space="preserve"> </w:t>
      </w:r>
      <w:r w:rsidRPr="001811CE">
        <w:rPr>
          <w:rFonts w:cs="Arial" w:hint="cs"/>
          <w:rtl/>
        </w:rPr>
        <w:t>הכותב לאשתו</w:t>
      </w:r>
      <w:r w:rsidRPr="001811CE">
        <w:rPr>
          <w:rFonts w:cs="Arial"/>
          <w:rtl/>
        </w:rPr>
        <w:t xml:space="preserve"> </w:t>
      </w:r>
      <w:r w:rsidRPr="001811CE">
        <w:rPr>
          <w:rFonts w:cs="Arial" w:hint="cs"/>
          <w:rtl/>
        </w:rPr>
        <w:t>'</w:t>
      </w:r>
      <w:r w:rsidRPr="001811CE">
        <w:rPr>
          <w:rFonts w:cs="Arial"/>
          <w:rtl/>
        </w:rPr>
        <w:t xml:space="preserve">דין ודברים אין לי בנכסייך </w:t>
      </w:r>
      <w:r>
        <w:rPr>
          <w:rFonts w:cs="Arial" w:hint="cs"/>
          <w:rtl/>
        </w:rPr>
        <w:t>ובפירי פירותיהן</w:t>
      </w:r>
      <w:r w:rsidRPr="001811CE">
        <w:rPr>
          <w:rFonts w:hint="cs"/>
          <w:rtl/>
        </w:rPr>
        <w:t>'</w:t>
      </w:r>
      <w:r>
        <w:rPr>
          <w:rFonts w:hint="cs"/>
          <w:sz w:val="20"/>
          <w:szCs w:val="20"/>
          <w:rtl/>
        </w:rPr>
        <w:t xml:space="preserve"> (ולא הזכיר הפירות)</w:t>
      </w:r>
      <w:r>
        <w:rPr>
          <w:rFonts w:hint="cs"/>
          <w:rtl/>
        </w:rPr>
        <w:t>.</w:t>
      </w:r>
    </w:p>
    <w:p w14:paraId="2EF5C5E0" w14:textId="77777777" w:rsidR="002E5BAD" w:rsidRDefault="002E5BAD" w:rsidP="002E5BAD">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w:t>
      </w:r>
      <w:r>
        <w:rPr>
          <w:rFonts w:cs="Arial" w:hint="cs"/>
          <w:b/>
          <w:bCs/>
          <w:rtl/>
        </w:rPr>
        <w:t>ב</w:t>
      </w:r>
      <w:r w:rsidRPr="00D33625">
        <w:rPr>
          <w:rFonts w:cs="Arial" w:hint="cs"/>
          <w:b/>
          <w:bCs/>
          <w:rtl/>
        </w:rPr>
        <w:t>:</w:t>
      </w:r>
      <w:r>
        <w:rPr>
          <w:rFonts w:cs="Arial" w:hint="cs"/>
          <w:rtl/>
        </w:rPr>
        <w:t xml:space="preserve"> </w:t>
      </w:r>
      <w:r w:rsidRPr="00363223">
        <w:rPr>
          <w:rFonts w:cs="Arial"/>
          <w:rtl/>
        </w:rPr>
        <w:t xml:space="preserve">איבעיא להו: כתב לה דין ודברים אין לי בנכסייך ובפירי פירות, מהו שיאכל פירות? מפירי פירות סליק נפשיה, מפירי לא סליק נפשיה, או דלמא מכל מילי סליק נפשיה? פשיטא דמכל מילי סליק נפשיה, דאי </w:t>
      </w:r>
      <w:r w:rsidRPr="00363223">
        <w:rPr>
          <w:rFonts w:cs="Arial"/>
          <w:rtl/>
        </w:rPr>
        <w:lastRenderedPageBreak/>
        <w:t>אמרת: מפירי פירות סליק נפשיה, מפירי לא סליק נפשיה, כיון דאכלינהו לפירות, פירי פירות מהיכא? וליטעמיך, הא דתנן, רבי יהודה אומר: לעולם הוא אוכל פירי פירות כו', כיון דאכלינהו לפירי, פירי פירות מהיכא? אלא בדשיירא, הכא נמי בדשייר.</w:t>
      </w:r>
      <w:r>
        <w:rPr>
          <w:rFonts w:hint="cs"/>
          <w:rtl/>
        </w:rPr>
        <w:t xml:space="preserve"> </w:t>
      </w:r>
      <w:r w:rsidRPr="00CB7692">
        <w:rPr>
          <w:rFonts w:hint="cs"/>
          <w:sz w:val="16"/>
          <w:szCs w:val="16"/>
          <w:rtl/>
        </w:rPr>
        <w:t xml:space="preserve">(יש אומרים (ר"ח </w:t>
      </w:r>
      <w:r>
        <w:rPr>
          <w:rFonts w:hint="cs"/>
          <w:sz w:val="16"/>
          <w:szCs w:val="16"/>
          <w:rtl/>
        </w:rPr>
        <w:t xml:space="preserve">טור </w:t>
      </w:r>
      <w:r w:rsidRPr="00CB7692">
        <w:rPr>
          <w:rFonts w:hint="cs"/>
          <w:sz w:val="16"/>
          <w:szCs w:val="16"/>
          <w:rtl/>
        </w:rPr>
        <w:t xml:space="preserve">ור"ן) </w:t>
      </w:r>
      <w:r w:rsidRPr="00CB7692">
        <w:rPr>
          <w:rFonts w:cs="Arial"/>
          <w:sz w:val="16"/>
          <w:szCs w:val="16"/>
          <w:rtl/>
        </w:rPr>
        <w:t>דלא איפשיטא בעיין</w:t>
      </w:r>
      <w:r w:rsidRPr="00CB7692">
        <w:rPr>
          <w:rFonts w:cs="Arial" w:hint="cs"/>
          <w:sz w:val="16"/>
          <w:szCs w:val="16"/>
          <w:rtl/>
        </w:rPr>
        <w:t>, והילכך</w:t>
      </w:r>
      <w:r w:rsidRPr="00CB7692">
        <w:rPr>
          <w:rFonts w:cs="Arial"/>
          <w:sz w:val="16"/>
          <w:szCs w:val="16"/>
          <w:rtl/>
        </w:rPr>
        <w:t xml:space="preserve"> בעינן תרוייהו</w:t>
      </w:r>
      <w:r w:rsidRPr="00CB7692">
        <w:rPr>
          <w:rFonts w:cs="Arial" w:hint="cs"/>
          <w:sz w:val="16"/>
          <w:szCs w:val="16"/>
          <w:rtl/>
        </w:rPr>
        <w:t>,</w:t>
      </w:r>
      <w:r w:rsidRPr="00CB7692">
        <w:rPr>
          <w:rFonts w:cs="Arial"/>
          <w:sz w:val="16"/>
          <w:szCs w:val="16"/>
          <w:rtl/>
        </w:rPr>
        <w:t xml:space="preserve"> ולעולם הוא אוכל פירי פירות עד שיכתוב לה ובפירי פירותיהן עד עולם</w:t>
      </w:r>
      <w:r w:rsidRPr="00CB7692">
        <w:rPr>
          <w:rFonts w:cs="Arial" w:hint="cs"/>
          <w:sz w:val="16"/>
          <w:szCs w:val="16"/>
          <w:rtl/>
        </w:rPr>
        <w:t>,</w:t>
      </w:r>
      <w:r w:rsidRPr="00CB7692">
        <w:rPr>
          <w:rFonts w:cs="Arial"/>
          <w:sz w:val="16"/>
          <w:szCs w:val="16"/>
          <w:rtl/>
        </w:rPr>
        <w:t xml:space="preserve"> דבגמ' אמרי' דהאשה הויא בעלת השטר וידה על התחתונה</w:t>
      </w:r>
      <w:r w:rsidRPr="00CB7692">
        <w:rPr>
          <w:rFonts w:cs="Arial" w:hint="cs"/>
          <w:sz w:val="16"/>
          <w:szCs w:val="16"/>
          <w:rtl/>
        </w:rPr>
        <w:t xml:space="preserve"> </w:t>
      </w:r>
      <w:r w:rsidRPr="00CB7692">
        <w:rPr>
          <w:rFonts w:cs="Arial" w:hint="cs"/>
          <w:sz w:val="14"/>
          <w:szCs w:val="14"/>
          <w:rtl/>
        </w:rPr>
        <w:t>{ל' הר"ן}</w:t>
      </w:r>
      <w:r w:rsidRPr="00CB7692">
        <w:rPr>
          <w:rFonts w:cs="Arial" w:hint="cs"/>
          <w:sz w:val="16"/>
          <w:szCs w:val="16"/>
          <w:rtl/>
        </w:rPr>
        <w:t>. וי</w:t>
      </w:r>
      <w:r w:rsidRPr="00CB7692">
        <w:rPr>
          <w:rFonts w:hint="cs"/>
          <w:sz w:val="16"/>
          <w:szCs w:val="16"/>
          <w:rtl/>
        </w:rPr>
        <w:t xml:space="preserve">ש אומרים דבעיין איפשטא (רב האי) </w:t>
      </w:r>
      <w:r w:rsidRPr="00CB7692">
        <w:rPr>
          <w:rFonts w:cs="Arial"/>
          <w:sz w:val="16"/>
          <w:szCs w:val="16"/>
          <w:rtl/>
        </w:rPr>
        <w:t>ואסיקנא דמכל מילי סליק נפשיה</w:t>
      </w:r>
      <w:r w:rsidRPr="00CB7692">
        <w:rPr>
          <w:rFonts w:cs="Arial" w:hint="cs"/>
          <w:sz w:val="16"/>
          <w:szCs w:val="16"/>
          <w:rtl/>
        </w:rPr>
        <w:t>)</w:t>
      </w:r>
    </w:p>
    <w:p w14:paraId="25B4E66A" w14:textId="77777777" w:rsidR="002E5BAD" w:rsidRPr="00650CEF" w:rsidRDefault="002E5BAD" w:rsidP="002E5BAD">
      <w:pPr>
        <w:rPr>
          <w:u w:val="single"/>
          <w:rtl/>
        </w:rPr>
      </w:pPr>
      <w:r w:rsidRPr="00650CEF">
        <w:rPr>
          <w:rFonts w:cs="Arial" w:hint="cs"/>
          <w:u w:val="single"/>
          <w:rtl/>
        </w:rPr>
        <w:t>הכותב לאשתו</w:t>
      </w:r>
      <w:r w:rsidRPr="00650CEF">
        <w:rPr>
          <w:rFonts w:cs="Arial"/>
          <w:u w:val="single"/>
          <w:rtl/>
        </w:rPr>
        <w:t xml:space="preserve"> </w:t>
      </w:r>
      <w:r w:rsidRPr="00650CEF">
        <w:rPr>
          <w:rFonts w:cs="Arial" w:hint="cs"/>
          <w:u w:val="single"/>
          <w:rtl/>
        </w:rPr>
        <w:t>'</w:t>
      </w:r>
      <w:r w:rsidRPr="00650CEF">
        <w:rPr>
          <w:rFonts w:cs="Arial"/>
          <w:u w:val="single"/>
          <w:rtl/>
        </w:rPr>
        <w:t xml:space="preserve">דין ודברים אין לי בנכסייך </w:t>
      </w:r>
      <w:r w:rsidRPr="00650CEF">
        <w:rPr>
          <w:rFonts w:cs="Arial" w:hint="cs"/>
          <w:u w:val="single"/>
          <w:rtl/>
        </w:rPr>
        <w:t>ובפירי פירותיה</w:t>
      </w:r>
      <w:r>
        <w:rPr>
          <w:rFonts w:cs="Arial" w:hint="cs"/>
          <w:u w:val="single"/>
          <w:rtl/>
        </w:rPr>
        <w:t>ן</w:t>
      </w:r>
      <w:r w:rsidRPr="00650CEF">
        <w:rPr>
          <w:rFonts w:hint="cs"/>
          <w:u w:val="single"/>
          <w:rtl/>
        </w:rPr>
        <w:t>'</w:t>
      </w:r>
      <w:r>
        <w:rPr>
          <w:rFonts w:hint="cs"/>
          <w:u w:val="single"/>
          <w:rtl/>
        </w:rPr>
        <w:t>, ולא הזכיר הפירות</w:t>
      </w:r>
      <w:r w:rsidRPr="00650CEF">
        <w:rPr>
          <w:rFonts w:hint="cs"/>
          <w:u w:val="single"/>
          <w:rtl/>
        </w:rPr>
        <w:t>:</w:t>
      </w:r>
    </w:p>
    <w:p w14:paraId="27F82CCA" w14:textId="77777777" w:rsidR="002E5BAD" w:rsidRPr="00EC3F1D" w:rsidRDefault="002E5BAD" w:rsidP="002E5BAD">
      <w:pPr>
        <w:pStyle w:val="ab"/>
        <w:numPr>
          <w:ilvl w:val="0"/>
          <w:numId w:val="186"/>
        </w:numPr>
      </w:pPr>
      <w:r>
        <w:rPr>
          <w:rFonts w:cs="Arial" w:hint="cs"/>
          <w:rtl/>
        </w:rPr>
        <w:t xml:space="preserve">ר"ח </w:t>
      </w:r>
      <w:r>
        <w:rPr>
          <w:rFonts w:cs="Arial" w:hint="cs"/>
          <w:sz w:val="16"/>
          <w:szCs w:val="16"/>
          <w:rtl/>
        </w:rPr>
        <w:t xml:space="preserve">(כ"כ הר"ן [שם] בשמו) </w:t>
      </w:r>
      <w:r>
        <w:rPr>
          <w:rFonts w:cs="Arial" w:hint="cs"/>
          <w:rtl/>
        </w:rPr>
        <w:t>טור ור"ן</w:t>
      </w:r>
      <w:r>
        <w:rPr>
          <w:rFonts w:cs="Arial" w:hint="cs"/>
          <w:sz w:val="16"/>
          <w:szCs w:val="16"/>
          <w:rtl/>
        </w:rPr>
        <w:t xml:space="preserve"> (מא: סד"ה ולענין הלכה)</w:t>
      </w:r>
      <w:r>
        <w:rPr>
          <w:rFonts w:cs="Arial" w:hint="cs"/>
          <w:rtl/>
        </w:rPr>
        <w:t xml:space="preserve">- </w:t>
      </w:r>
      <w:r w:rsidRPr="003171A6">
        <w:rPr>
          <w:rFonts w:cs="Arial"/>
          <w:rtl/>
        </w:rPr>
        <w:t xml:space="preserve">ואם כתב </w:t>
      </w:r>
      <w:r>
        <w:rPr>
          <w:rFonts w:cs="Arial" w:hint="cs"/>
          <w:rtl/>
        </w:rPr>
        <w:t>'</w:t>
      </w:r>
      <w:r w:rsidRPr="003171A6">
        <w:rPr>
          <w:rFonts w:cs="Arial"/>
          <w:rtl/>
        </w:rPr>
        <w:t>דין ודברים אין לי בנכסייך ובפירי פירותיהן</w:t>
      </w:r>
      <w:r>
        <w:rPr>
          <w:rFonts w:cs="Arial" w:hint="cs"/>
          <w:rtl/>
        </w:rPr>
        <w:t>'</w:t>
      </w:r>
      <w:r w:rsidRPr="003171A6">
        <w:rPr>
          <w:rFonts w:cs="Arial"/>
          <w:rtl/>
        </w:rPr>
        <w:t xml:space="preserve"> ולא הזכיר הפירות </w:t>
      </w:r>
      <w:r>
        <w:rPr>
          <w:rFonts w:cs="Arial" w:hint="cs"/>
          <w:rtl/>
        </w:rPr>
        <w:t xml:space="preserve">- </w:t>
      </w:r>
      <w:r w:rsidRPr="003171A6">
        <w:rPr>
          <w:rFonts w:cs="Arial"/>
          <w:rtl/>
        </w:rPr>
        <w:t>אוכל הפירות</w:t>
      </w:r>
      <w:r>
        <w:rPr>
          <w:rFonts w:cs="Arial" w:hint="cs"/>
          <w:rtl/>
        </w:rPr>
        <w:t>,</w:t>
      </w:r>
      <w:r w:rsidRPr="003171A6">
        <w:rPr>
          <w:rFonts w:cs="Arial"/>
          <w:rtl/>
        </w:rPr>
        <w:t xml:space="preserve"> ולא פירי פירות</w:t>
      </w:r>
      <w:r>
        <w:rPr>
          <w:rFonts w:cs="Arial" w:hint="cs"/>
          <w:rtl/>
        </w:rPr>
        <w:t>.</w:t>
      </w:r>
      <w:r w:rsidRPr="003171A6">
        <w:rPr>
          <w:rFonts w:cs="Arial"/>
          <w:rtl/>
        </w:rPr>
        <w:t xml:space="preserve"> ונ</w:t>
      </w:r>
      <w:r>
        <w:rPr>
          <w:rFonts w:cs="Arial" w:hint="cs"/>
          <w:rtl/>
        </w:rPr>
        <w:t xml:space="preserve">פקא </w:t>
      </w:r>
      <w:r w:rsidRPr="003171A6">
        <w:rPr>
          <w:rFonts w:cs="Arial"/>
          <w:rtl/>
        </w:rPr>
        <w:t>מ</w:t>
      </w:r>
      <w:r>
        <w:rPr>
          <w:rFonts w:cs="Arial" w:hint="cs"/>
          <w:rtl/>
        </w:rPr>
        <w:t>ינה</w:t>
      </w:r>
      <w:r w:rsidRPr="003171A6">
        <w:rPr>
          <w:rFonts w:cs="Arial"/>
          <w:rtl/>
        </w:rPr>
        <w:t xml:space="preserve"> אם שייר הפירות ולא אכלם וקנה מהם קרקע </w:t>
      </w:r>
      <w:r>
        <w:rPr>
          <w:rFonts w:cs="Arial" w:hint="cs"/>
          <w:rtl/>
        </w:rPr>
        <w:t xml:space="preserve">- </w:t>
      </w:r>
      <w:r w:rsidRPr="003171A6">
        <w:rPr>
          <w:rFonts w:cs="Arial"/>
          <w:rtl/>
        </w:rPr>
        <w:t>אינו אוכל פירותיו שהם פירי פירות</w:t>
      </w:r>
      <w:r>
        <w:rPr>
          <w:rFonts w:cs="Arial" w:hint="cs"/>
          <w:rtl/>
        </w:rPr>
        <w:t>.</w:t>
      </w:r>
      <w:r w:rsidRPr="003171A6">
        <w:rPr>
          <w:rFonts w:cs="Arial"/>
          <w:rtl/>
        </w:rPr>
        <w:t xml:space="preserve"> ועדיין אם מתה ירשנה</w:t>
      </w:r>
      <w:r w:rsidRPr="00F20C9C">
        <w:rPr>
          <w:rStyle w:val="a7"/>
          <w:rFonts w:cs="Arial"/>
          <w:color w:val="000000" w:themeColor="text1"/>
          <w:rtl/>
        </w:rPr>
        <w:footnoteReference w:id="2226"/>
      </w:r>
      <w:r>
        <w:rPr>
          <w:rFonts w:cs="Arial" w:hint="cs"/>
          <w:sz w:val="16"/>
          <w:szCs w:val="16"/>
          <w:rtl/>
        </w:rPr>
        <w:t xml:space="preserve"> (ל' הטור)</w:t>
      </w:r>
      <w:r>
        <w:rPr>
          <w:rFonts w:cs="Arial" w:hint="cs"/>
          <w:rtl/>
        </w:rPr>
        <w:t>.</w:t>
      </w:r>
      <w:r w:rsidRPr="009521D0">
        <w:rPr>
          <w:rFonts w:hint="cs"/>
          <w:color w:val="E36C0A" w:themeColor="accent6" w:themeShade="BF"/>
          <w:rtl/>
        </w:rPr>
        <w:t xml:space="preserve"> </w:t>
      </w:r>
    </w:p>
    <w:p w14:paraId="76DB0D05" w14:textId="77777777" w:rsidR="002E5BAD" w:rsidRPr="005D1457" w:rsidRDefault="002E5BAD" w:rsidP="002E5BAD">
      <w:pPr>
        <w:pStyle w:val="ab"/>
        <w:numPr>
          <w:ilvl w:val="0"/>
          <w:numId w:val="186"/>
        </w:numPr>
        <w:rPr>
          <w:rtl/>
        </w:rPr>
      </w:pPr>
      <w:r w:rsidRPr="00EC3F1D">
        <w:rPr>
          <w:rFonts w:cs="Arial"/>
          <w:rtl/>
        </w:rPr>
        <w:t xml:space="preserve">רבינו האי </w:t>
      </w:r>
      <w:r w:rsidRPr="00CB7692">
        <w:rPr>
          <w:rFonts w:cs="Arial"/>
          <w:sz w:val="16"/>
          <w:szCs w:val="16"/>
          <w:rtl/>
        </w:rPr>
        <w:t>(ס' המקח והממכר שער ד)</w:t>
      </w:r>
      <w:r>
        <w:rPr>
          <w:rFonts w:cs="Arial" w:hint="cs"/>
          <w:rtl/>
        </w:rPr>
        <w:t xml:space="preserve">- </w:t>
      </w:r>
      <w:r w:rsidRPr="00EC3F1D">
        <w:rPr>
          <w:rFonts w:cs="Arial"/>
          <w:rtl/>
        </w:rPr>
        <w:t>אסיקנא דמכל מילי סליק נפשיה</w:t>
      </w:r>
      <w:r>
        <w:rPr>
          <w:rFonts w:cs="Arial" w:hint="cs"/>
          <w:rtl/>
        </w:rPr>
        <w:t>.</w:t>
      </w:r>
      <w:r w:rsidRPr="00D527B4">
        <w:rPr>
          <w:rFonts w:cs="Arial"/>
          <w:rtl/>
        </w:rPr>
        <w:t xml:space="preserve"> </w:t>
      </w:r>
      <w:r w:rsidRPr="00A31A43">
        <w:rPr>
          <w:rFonts w:hint="cs"/>
          <w:color w:val="E36C0A" w:themeColor="accent6" w:themeShade="BF"/>
          <w:rtl/>
        </w:rPr>
        <w:t>(וכ"פ בשו"ע)</w:t>
      </w:r>
    </w:p>
    <w:p w14:paraId="4C8F73E3"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365D9F76" w14:textId="77777777" w:rsidR="002E5BAD" w:rsidRDefault="002E5BAD" w:rsidP="002E5BAD">
      <w:pPr>
        <w:rPr>
          <w:rtl/>
        </w:rPr>
      </w:pPr>
      <w:r>
        <w:rPr>
          <w:rFonts w:cs="Arial"/>
          <w:rtl/>
        </w:rPr>
        <w:t>כתב לה: דין ודברים אין לי בנכסייך ובפירי פירותיהן, ולא הזכיר הפירות, י</w:t>
      </w:r>
      <w:r>
        <w:rPr>
          <w:rFonts w:cs="Arial" w:hint="cs"/>
          <w:rtl/>
        </w:rPr>
        <w:t>ש אומרים</w:t>
      </w:r>
      <w:r>
        <w:rPr>
          <w:rFonts w:cs="Arial"/>
          <w:rtl/>
        </w:rPr>
        <w:t xml:space="preserve"> שאוכל הפירות ולא פירי פירות</w:t>
      </w:r>
      <w:r w:rsidRPr="00F20C9C">
        <w:rPr>
          <w:rStyle w:val="a7"/>
          <w:rFonts w:cs="Arial"/>
          <w:color w:val="000000" w:themeColor="text1"/>
          <w:rtl/>
        </w:rPr>
        <w:footnoteReference w:id="2227"/>
      </w:r>
      <w:r>
        <w:rPr>
          <w:rFonts w:cs="Arial"/>
          <w:rtl/>
        </w:rPr>
        <w:t>, וי</w:t>
      </w:r>
      <w:r>
        <w:rPr>
          <w:rFonts w:cs="Arial" w:hint="cs"/>
          <w:rtl/>
        </w:rPr>
        <w:t>ש אומרים</w:t>
      </w:r>
      <w:r>
        <w:rPr>
          <w:rFonts w:cs="Arial"/>
          <w:rtl/>
        </w:rPr>
        <w:t xml:space="preserve"> שגם הפירות אינו אוכל. </w:t>
      </w:r>
    </w:p>
    <w:p w14:paraId="40BB3D18" w14:textId="77777777" w:rsidR="002E5BAD" w:rsidRDefault="002E5BAD" w:rsidP="002E5BAD">
      <w:pPr>
        <w:rPr>
          <w:rtl/>
        </w:rPr>
      </w:pPr>
    </w:p>
    <w:p w14:paraId="6A23A9A4" w14:textId="77777777" w:rsidR="002E5BAD" w:rsidRDefault="002E5BAD" w:rsidP="002E5BAD">
      <w:pPr>
        <w:pStyle w:val="2"/>
        <w:rPr>
          <w:rtl/>
        </w:rPr>
      </w:pPr>
      <w:r>
        <w:rPr>
          <w:rtl/>
        </w:rPr>
        <w:t>סעיף ז</w:t>
      </w:r>
      <w:r>
        <w:rPr>
          <w:rFonts w:hint="cs"/>
          <w:rtl/>
        </w:rPr>
        <w:t>:</w:t>
      </w:r>
      <w:r w:rsidRPr="00AE5B5A">
        <w:rPr>
          <w:rFonts w:cs="Arial"/>
          <w:rtl/>
        </w:rPr>
        <w:t xml:space="preserve"> </w:t>
      </w:r>
      <w:r>
        <w:rPr>
          <w:rFonts w:cs="Arial" w:hint="cs"/>
          <w:rtl/>
        </w:rPr>
        <w:t>התנה עם אשתו שלא יירשנה.</w:t>
      </w:r>
    </w:p>
    <w:p w14:paraId="752FF64E" w14:textId="77777777" w:rsidR="002E5BAD" w:rsidRDefault="002E5BAD" w:rsidP="002E5BAD">
      <w:pPr>
        <w:rPr>
          <w:rFonts w:cs="Arial"/>
          <w:rtl/>
        </w:rPr>
      </w:pPr>
      <w:r w:rsidRPr="00AE5B5A">
        <w:rPr>
          <w:rFonts w:cs="Arial"/>
          <w:b/>
          <w:bCs/>
          <w:rtl/>
        </w:rPr>
        <w:t>ירושלמי</w:t>
      </w:r>
      <w:r w:rsidRPr="00AE5B5A">
        <w:rPr>
          <w:rFonts w:cs="Arial" w:hint="cs"/>
          <w:b/>
          <w:bCs/>
          <w:rtl/>
        </w:rPr>
        <w:t xml:space="preserve"> </w:t>
      </w:r>
      <w:r w:rsidRPr="00AE5B5A">
        <w:rPr>
          <w:rFonts w:cs="Arial"/>
          <w:b/>
          <w:bCs/>
          <w:rtl/>
        </w:rPr>
        <w:t>כתובות פ"ט ה"א</w:t>
      </w:r>
      <w:r w:rsidRPr="00AE5B5A">
        <w:rPr>
          <w:rFonts w:cs="Arial" w:hint="cs"/>
          <w:b/>
          <w:bCs/>
          <w:rtl/>
        </w:rPr>
        <w:t>:</w:t>
      </w:r>
      <w:r>
        <w:rPr>
          <w:rFonts w:cs="Arial"/>
          <w:rtl/>
        </w:rPr>
        <w:t xml:space="preserve"> </w:t>
      </w:r>
      <w:r w:rsidRPr="00AE5B5A">
        <w:rPr>
          <w:rFonts w:cs="Arial"/>
          <w:u w:val="single"/>
          <w:rtl/>
        </w:rPr>
        <w:t>אמר ר' יוסי</w:t>
      </w:r>
      <w:r>
        <w:rPr>
          <w:rFonts w:cs="Arial" w:hint="cs"/>
          <w:rtl/>
        </w:rPr>
        <w:t>:</w:t>
      </w:r>
      <w:r w:rsidRPr="00AE5B5A">
        <w:rPr>
          <w:rFonts w:cs="Arial"/>
          <w:rtl/>
        </w:rPr>
        <w:t xml:space="preserve"> ואילין דכתבין אין מיתת דלא בנין יהא מדלה חזר לבית אביה </w:t>
      </w:r>
      <w:r>
        <w:rPr>
          <w:rFonts w:cs="Arial" w:hint="cs"/>
          <w:rtl/>
        </w:rPr>
        <w:t xml:space="preserve">- </w:t>
      </w:r>
      <w:r w:rsidRPr="00AE5B5A">
        <w:rPr>
          <w:rFonts w:cs="Arial"/>
          <w:rtl/>
        </w:rPr>
        <w:t>תנאי ממון הוא ותנאו קיים</w:t>
      </w:r>
      <w:r>
        <w:rPr>
          <w:rFonts w:cs="Arial" w:hint="cs"/>
          <w:rtl/>
        </w:rPr>
        <w:t>.</w:t>
      </w:r>
    </w:p>
    <w:p w14:paraId="4C090698" w14:textId="77777777" w:rsidR="002E5BAD" w:rsidRPr="009629DA" w:rsidRDefault="002E5BAD" w:rsidP="002E5BAD">
      <w:pPr>
        <w:rPr>
          <w:rFonts w:cs="Arial"/>
          <w:u w:val="single"/>
          <w:rtl/>
        </w:rPr>
      </w:pPr>
      <w:r w:rsidRPr="009629DA">
        <w:rPr>
          <w:rFonts w:cs="Arial"/>
          <w:u w:val="single"/>
          <w:rtl/>
        </w:rPr>
        <w:t>התנה ע</w:t>
      </w:r>
      <w:r>
        <w:rPr>
          <w:rFonts w:cs="Arial" w:hint="cs"/>
          <w:u w:val="single"/>
          <w:rtl/>
        </w:rPr>
        <w:t>ם אשתו</w:t>
      </w:r>
      <w:r w:rsidRPr="009629DA">
        <w:rPr>
          <w:rFonts w:cs="Arial"/>
          <w:u w:val="single"/>
          <w:rtl/>
        </w:rPr>
        <w:t xml:space="preserve"> </w:t>
      </w:r>
      <w:r>
        <w:rPr>
          <w:rFonts w:cs="Arial" w:hint="cs"/>
          <w:u w:val="single"/>
          <w:rtl/>
        </w:rPr>
        <w:t>ש</w:t>
      </w:r>
      <w:r w:rsidRPr="009629DA">
        <w:rPr>
          <w:rFonts w:cs="Arial"/>
          <w:u w:val="single"/>
          <w:rtl/>
        </w:rPr>
        <w:t>אם תמות בלא בנים שיחזרו נכסיה לבית אביה</w:t>
      </w:r>
      <w:r>
        <w:rPr>
          <w:rFonts w:cs="Arial" w:hint="cs"/>
          <w:u w:val="single"/>
          <w:rtl/>
        </w:rPr>
        <w:t xml:space="preserve"> </w:t>
      </w:r>
      <w:r>
        <w:rPr>
          <w:rFonts w:cs="Arial"/>
          <w:u w:val="single"/>
          <w:rtl/>
        </w:rPr>
        <w:t>–</w:t>
      </w:r>
      <w:r>
        <w:rPr>
          <w:rFonts w:cs="Arial" w:hint="cs"/>
          <w:u w:val="single"/>
          <w:rtl/>
        </w:rPr>
        <w:t xml:space="preserve"> האם תנאו קיים</w:t>
      </w:r>
      <w:r w:rsidRPr="009629DA">
        <w:rPr>
          <w:rFonts w:cs="Arial" w:hint="cs"/>
          <w:u w:val="single"/>
          <w:rtl/>
        </w:rPr>
        <w:t>:</w:t>
      </w:r>
    </w:p>
    <w:p w14:paraId="114EE397" w14:textId="77777777" w:rsidR="002E5BAD" w:rsidRPr="005D1457" w:rsidRDefault="002E5BAD" w:rsidP="00B75458">
      <w:pPr>
        <w:pStyle w:val="ab"/>
        <w:numPr>
          <w:ilvl w:val="0"/>
          <w:numId w:val="190"/>
        </w:numPr>
        <w:rPr>
          <w:rtl/>
        </w:rPr>
      </w:pPr>
      <w:r w:rsidRPr="00AE5B5A">
        <w:rPr>
          <w:rFonts w:cs="Arial"/>
          <w:rtl/>
        </w:rPr>
        <w:t xml:space="preserve">רי"ף </w:t>
      </w:r>
      <w:r w:rsidRPr="009629DA">
        <w:rPr>
          <w:rFonts w:cs="Arial" w:hint="cs"/>
          <w:sz w:val="16"/>
          <w:szCs w:val="16"/>
          <w:rtl/>
        </w:rPr>
        <w:t>(מב.)</w:t>
      </w:r>
      <w:r w:rsidRPr="009629DA">
        <w:rPr>
          <w:rFonts w:cs="Arial" w:hint="cs"/>
          <w:sz w:val="16"/>
          <w:szCs w:val="16"/>
        </w:rPr>
        <w:t xml:space="preserve"> </w:t>
      </w:r>
      <w:r>
        <w:rPr>
          <w:rFonts w:cs="Arial" w:hint="cs"/>
          <w:rtl/>
        </w:rPr>
        <w:t xml:space="preserve">רמב"ם </w:t>
      </w:r>
      <w:r w:rsidRPr="009629DA">
        <w:rPr>
          <w:rFonts w:cs="Arial" w:hint="cs"/>
          <w:sz w:val="16"/>
          <w:szCs w:val="16"/>
          <w:rtl/>
        </w:rPr>
        <w:t xml:space="preserve">(פכ"ג מאישות ה"ה) </w:t>
      </w:r>
      <w:r w:rsidRPr="00AE5B5A">
        <w:rPr>
          <w:rFonts w:cs="Arial"/>
          <w:rtl/>
        </w:rPr>
        <w:t>רא"ש</w:t>
      </w:r>
      <w:r w:rsidRPr="009629DA">
        <w:rPr>
          <w:rFonts w:cs="Arial"/>
          <w:sz w:val="16"/>
          <w:szCs w:val="16"/>
          <w:rtl/>
        </w:rPr>
        <w:t xml:space="preserve"> </w:t>
      </w:r>
      <w:r w:rsidRPr="009629DA">
        <w:rPr>
          <w:rFonts w:cs="Arial" w:hint="cs"/>
          <w:sz w:val="16"/>
          <w:szCs w:val="16"/>
          <w:rtl/>
        </w:rPr>
        <w:t>(</w:t>
      </w:r>
      <w:r w:rsidRPr="009629DA">
        <w:rPr>
          <w:rFonts w:cs="Arial"/>
          <w:sz w:val="16"/>
          <w:szCs w:val="16"/>
          <w:rtl/>
        </w:rPr>
        <w:t>פרק הכותב סי' א)</w:t>
      </w:r>
      <w:r>
        <w:rPr>
          <w:rFonts w:cs="Arial" w:hint="cs"/>
          <w:rtl/>
        </w:rPr>
        <w:t xml:space="preserve"> </w:t>
      </w:r>
      <w:r w:rsidRPr="00AE5B5A">
        <w:rPr>
          <w:rFonts w:cs="Arial" w:hint="cs"/>
          <w:rtl/>
        </w:rPr>
        <w:t>וטור-</w:t>
      </w:r>
      <w:r w:rsidRPr="00AE5B5A">
        <w:rPr>
          <w:rFonts w:cs="Arial"/>
          <w:rtl/>
        </w:rPr>
        <w:t xml:space="preserve"> וכן אם התנה עמה אם תמות בלא בנים שיחזרו נכסיה לבית אביה </w:t>
      </w:r>
      <w:r>
        <w:rPr>
          <w:rFonts w:cs="Arial" w:hint="cs"/>
          <w:rtl/>
        </w:rPr>
        <w:t xml:space="preserve">- </w:t>
      </w:r>
      <w:r w:rsidRPr="00AE5B5A">
        <w:rPr>
          <w:rFonts w:cs="Arial"/>
          <w:rtl/>
        </w:rPr>
        <w:t>הכל לפי תנאה</w:t>
      </w:r>
      <w:r>
        <w:rPr>
          <w:rFonts w:cs="Arial" w:hint="cs"/>
          <w:sz w:val="16"/>
          <w:szCs w:val="16"/>
          <w:rtl/>
        </w:rPr>
        <w:t xml:space="preserve"> (ל' הטור)</w:t>
      </w:r>
      <w:r w:rsidRPr="00AE5B5A">
        <w:rPr>
          <w:rFonts w:cs="Arial" w:hint="cs"/>
          <w:rtl/>
        </w:rPr>
        <w:t>.</w:t>
      </w:r>
      <w:r w:rsidRPr="008871F6">
        <w:rPr>
          <w:rFonts w:hint="cs"/>
          <w:color w:val="E36C0A" w:themeColor="accent6" w:themeShade="BF"/>
          <w:rtl/>
        </w:rPr>
        <w:t xml:space="preserve"> </w:t>
      </w:r>
      <w:r w:rsidRPr="00A31A43">
        <w:rPr>
          <w:rFonts w:hint="cs"/>
          <w:color w:val="E36C0A" w:themeColor="accent6" w:themeShade="BF"/>
          <w:rtl/>
        </w:rPr>
        <w:t>(וכ"פ בשו"ע)</w:t>
      </w:r>
    </w:p>
    <w:p w14:paraId="1A7DE0B0" w14:textId="77777777" w:rsidR="002E5BAD" w:rsidRDefault="002E5BAD" w:rsidP="002E5BAD">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D527B4">
        <w:rPr>
          <w:rFonts w:cs="Arial"/>
          <w:rtl/>
        </w:rPr>
        <w:t>כתב לה דין ודברים אין לי בנכסיך ובפירותיהן ובפירי פירותיהן בחייך ובמותך - אינו אוכל פירות בחייה, ואם מתה - אינו יורשה</w:t>
      </w:r>
      <w:r>
        <w:rPr>
          <w:rFonts w:cs="Arial" w:hint="cs"/>
          <w:rtl/>
        </w:rPr>
        <w:t>.</w:t>
      </w:r>
      <w:r w:rsidRPr="00D527B4">
        <w:rPr>
          <w:rFonts w:cs="Arial"/>
          <w:rtl/>
        </w:rPr>
        <w:t xml:space="preserve"> </w:t>
      </w:r>
      <w:r w:rsidRPr="00AE5B5A">
        <w:rPr>
          <w:rFonts w:cs="Arial"/>
          <w:u w:val="single"/>
          <w:rtl/>
        </w:rPr>
        <w:t>רשב"ג אומר</w:t>
      </w:r>
      <w:r w:rsidRPr="00D527B4">
        <w:rPr>
          <w:rFonts w:cs="Arial"/>
          <w:rtl/>
        </w:rPr>
        <w:t>: אם מתה - יירשנה, מפני שמתנה על מה שכתוב בתורה, וכל המתנה על מה שכתוב בתורה - תנאו בטל.</w:t>
      </w:r>
      <w:r>
        <w:rPr>
          <w:rFonts w:hint="cs"/>
          <w:rtl/>
        </w:rPr>
        <w:t xml:space="preserve">      </w:t>
      </w:r>
      <w:r w:rsidRPr="000E0B96">
        <w:rPr>
          <w:rFonts w:hint="cs"/>
          <w:u w:val="double"/>
          <w:rtl/>
        </w:rPr>
        <w:t>גמ'</w:t>
      </w:r>
      <w:r w:rsidRPr="000E0B96">
        <w:rPr>
          <w:rFonts w:hint="cs"/>
          <w:sz w:val="14"/>
          <w:szCs w:val="14"/>
          <w:u w:val="double"/>
          <w:rtl/>
        </w:rPr>
        <w:t>(פג:)</w:t>
      </w:r>
      <w:r w:rsidRPr="000E0B96">
        <w:rPr>
          <w:rFonts w:hint="cs"/>
          <w:u w:val="double"/>
          <w:rtl/>
        </w:rPr>
        <w:t>:</w:t>
      </w:r>
      <w:r>
        <w:rPr>
          <w:rFonts w:hint="cs"/>
          <w:rtl/>
        </w:rPr>
        <w:t xml:space="preserve"> </w:t>
      </w:r>
      <w:r w:rsidRPr="000E0B96">
        <w:rPr>
          <w:rFonts w:cs="Arial"/>
          <w:rtl/>
        </w:rPr>
        <w:t xml:space="preserve">רבן שמעון בן גמליאל אומר כו'. </w:t>
      </w:r>
      <w:r w:rsidRPr="000E0B96">
        <w:rPr>
          <w:rFonts w:cs="Arial"/>
          <w:u w:val="single"/>
          <w:rtl/>
        </w:rPr>
        <w:t>אמר רב</w:t>
      </w:r>
      <w:r w:rsidRPr="000E0B96">
        <w:rPr>
          <w:rFonts w:cs="Arial"/>
          <w:rtl/>
        </w:rPr>
        <w:t>: הלכה כרבן שמעון בן גמליאל ולא מטעמיה.</w:t>
      </w:r>
      <w:r w:rsidRPr="00504E3C">
        <w:rPr>
          <w:rtl/>
        </w:rPr>
        <w:t xml:space="preserve"> </w:t>
      </w:r>
      <w:r w:rsidRPr="00504E3C">
        <w:rPr>
          <w:rFonts w:cs="Arial"/>
          <w:rtl/>
        </w:rPr>
        <w:t>מאי הלכה כרבן שמעון בן גמליאל ולא מטעמיה?</w:t>
      </w:r>
      <w:r>
        <w:rPr>
          <w:rFonts w:cs="Arial" w:hint="cs"/>
          <w:rtl/>
        </w:rPr>
        <w:t>.</w:t>
      </w:r>
      <w:r>
        <w:rPr>
          <w:rFonts w:hint="cs"/>
          <w:rtl/>
        </w:rPr>
        <w:t>..</w:t>
      </w:r>
      <w:r w:rsidRPr="00504E3C">
        <w:rPr>
          <w:rtl/>
        </w:rPr>
        <w:t xml:space="preserve"> </w:t>
      </w:r>
      <w:r>
        <w:rPr>
          <w:rFonts w:hint="cs"/>
          <w:sz w:val="14"/>
          <w:szCs w:val="14"/>
          <w:rtl/>
        </w:rPr>
        <w:t xml:space="preserve">(פד.) </w:t>
      </w:r>
      <w:r w:rsidRPr="00504E3C">
        <w:rPr>
          <w:rFonts w:cs="Arial"/>
          <w:rtl/>
        </w:rPr>
        <w:t>הלכה כרבן שמעון בן גמליאל, דאמר: אם מתה - יירשנה, ולאו מטעמיה, דאילו רבן שמעון בן גמליאל סבר: ירושת הבעל דאורייתא, וכל המתנה על מה שכתוב בתורה - תנאו בטל, ורב סבר: ירושת הבעל דרבנן, וחכמים עשו חיזוק לדבריהם כשל תורה.</w:t>
      </w:r>
      <w:r w:rsidRPr="00BA16CC">
        <w:rPr>
          <w:rFonts w:cs="Arial" w:hint="cs"/>
          <w:sz w:val="16"/>
          <w:szCs w:val="16"/>
          <w:rtl/>
        </w:rPr>
        <w:t xml:space="preserve"> </w:t>
      </w:r>
      <w:r>
        <w:rPr>
          <w:rFonts w:cs="Arial" w:hint="cs"/>
          <w:sz w:val="16"/>
          <w:szCs w:val="16"/>
          <w:rtl/>
        </w:rPr>
        <w:t>(</w:t>
      </w:r>
      <w:r w:rsidRPr="00BA16CC">
        <w:rPr>
          <w:rFonts w:cs="Arial"/>
          <w:sz w:val="16"/>
          <w:szCs w:val="16"/>
          <w:rtl/>
        </w:rPr>
        <w:t>וכתב הרי"ף (מב.) ולית הלכתא כוותיה</w:t>
      </w:r>
      <w:r>
        <w:rPr>
          <w:rFonts w:cs="Arial" w:hint="cs"/>
          <w:sz w:val="16"/>
          <w:szCs w:val="16"/>
          <w:rtl/>
        </w:rPr>
        <w:t>,</w:t>
      </w:r>
      <w:r w:rsidRPr="00BA16CC">
        <w:rPr>
          <w:rFonts w:cs="Arial"/>
          <w:sz w:val="16"/>
          <w:szCs w:val="16"/>
          <w:rtl/>
        </w:rPr>
        <w:t xml:space="preserve"> דקיי</w:t>
      </w:r>
      <w:r>
        <w:rPr>
          <w:rFonts w:cs="Arial" w:hint="cs"/>
          <w:sz w:val="16"/>
          <w:szCs w:val="16"/>
          <w:rtl/>
        </w:rPr>
        <w:t>"</w:t>
      </w:r>
      <w:r w:rsidRPr="00BA16CC">
        <w:rPr>
          <w:rFonts w:cs="Arial"/>
          <w:sz w:val="16"/>
          <w:szCs w:val="16"/>
          <w:rtl/>
        </w:rPr>
        <w:t>ל דבר שבממון תנאו קיים. וכתב הר"ן (מב. דיבור ראשון) שטעמו משום דרב סבר דמתנה על מה שכתוב בתורה תנאו בטל</w:t>
      </w:r>
      <w:r>
        <w:rPr>
          <w:rFonts w:cs="Arial" w:hint="cs"/>
          <w:sz w:val="16"/>
          <w:szCs w:val="16"/>
          <w:rtl/>
        </w:rPr>
        <w:t>,</w:t>
      </w:r>
      <w:r w:rsidRPr="00BA16CC">
        <w:rPr>
          <w:rFonts w:cs="Arial"/>
          <w:sz w:val="16"/>
          <w:szCs w:val="16"/>
          <w:rtl/>
        </w:rPr>
        <w:t xml:space="preserve"> ואע</w:t>
      </w:r>
      <w:r>
        <w:rPr>
          <w:rFonts w:cs="Arial" w:hint="cs"/>
          <w:sz w:val="16"/>
          <w:szCs w:val="16"/>
          <w:rtl/>
        </w:rPr>
        <w:t>"</w:t>
      </w:r>
      <w:r w:rsidRPr="00BA16CC">
        <w:rPr>
          <w:rFonts w:cs="Arial"/>
          <w:sz w:val="16"/>
          <w:szCs w:val="16"/>
          <w:rtl/>
        </w:rPr>
        <w:t>ג דירושת הבעל דרבנן חכמים עשו חיזוק לדבריהם כשל תורה כדאיתא בגמרא (פד.)</w:t>
      </w:r>
      <w:r w:rsidRPr="00BA16CC">
        <w:rPr>
          <w:rFonts w:cs="Arial" w:hint="cs"/>
          <w:sz w:val="16"/>
          <w:szCs w:val="16"/>
          <w:rtl/>
        </w:rPr>
        <w:t>,</w:t>
      </w:r>
      <w:r w:rsidRPr="00BA16CC">
        <w:rPr>
          <w:rFonts w:cs="Arial"/>
          <w:sz w:val="16"/>
          <w:szCs w:val="16"/>
          <w:rtl/>
        </w:rPr>
        <w:t xml:space="preserve"> אבל אנן הא קיי"ל כרבי יהודה דאמר (נו. וש"נ) דמתנה על מה שכתוב בתורה בדבר שבממון תנאו קיים</w:t>
      </w:r>
      <w:r w:rsidRPr="00BA16CC">
        <w:rPr>
          <w:rFonts w:cs="Arial" w:hint="cs"/>
          <w:sz w:val="16"/>
          <w:szCs w:val="16"/>
          <w:rtl/>
        </w:rPr>
        <w:t>,</w:t>
      </w:r>
      <w:r w:rsidRPr="00BA16CC">
        <w:rPr>
          <w:rFonts w:cs="Arial"/>
          <w:sz w:val="16"/>
          <w:szCs w:val="16"/>
          <w:rtl/>
        </w:rPr>
        <w:t xml:space="preserve"> הילכך ליתא לדרב</w:t>
      </w:r>
      <w:r w:rsidRPr="00BA16CC">
        <w:rPr>
          <w:rFonts w:cs="Arial" w:hint="cs"/>
          <w:sz w:val="16"/>
          <w:szCs w:val="16"/>
          <w:rtl/>
        </w:rPr>
        <w:t>.</w:t>
      </w:r>
      <w:r w:rsidRPr="00BA16CC">
        <w:rPr>
          <w:rFonts w:cs="Arial"/>
          <w:sz w:val="16"/>
          <w:szCs w:val="16"/>
          <w:rtl/>
        </w:rPr>
        <w:t xml:space="preserve"> וכן דעת הרמב"ם בפכ"ג מהל</w:t>
      </w:r>
      <w:r>
        <w:rPr>
          <w:rFonts w:cs="Arial" w:hint="cs"/>
          <w:sz w:val="16"/>
          <w:szCs w:val="16"/>
          <w:rtl/>
        </w:rPr>
        <w:t>'</w:t>
      </w:r>
      <w:r w:rsidRPr="00BA16CC">
        <w:rPr>
          <w:rFonts w:cs="Arial"/>
          <w:sz w:val="16"/>
          <w:szCs w:val="16"/>
          <w:rtl/>
        </w:rPr>
        <w:t xml:space="preserve"> אישות</w:t>
      </w:r>
      <w:r w:rsidRPr="00BA16CC">
        <w:rPr>
          <w:rFonts w:cs="Arial" w:hint="cs"/>
          <w:sz w:val="16"/>
          <w:szCs w:val="16"/>
          <w:rtl/>
        </w:rPr>
        <w:t>.</w:t>
      </w:r>
      <w:r w:rsidRPr="00BA16CC">
        <w:rPr>
          <w:rFonts w:cs="Arial"/>
          <w:sz w:val="16"/>
          <w:szCs w:val="16"/>
          <w:rtl/>
        </w:rPr>
        <w:t xml:space="preserve"> אבל ר"ח פסק כרשב"ג ולאו מטעמיה</w:t>
      </w:r>
      <w:r>
        <w:rPr>
          <w:rFonts w:cs="Arial" w:hint="cs"/>
          <w:sz w:val="16"/>
          <w:szCs w:val="16"/>
          <w:rtl/>
        </w:rPr>
        <w:t>,</w:t>
      </w:r>
      <w:r w:rsidRPr="00BA16CC">
        <w:rPr>
          <w:rFonts w:cs="Arial"/>
          <w:sz w:val="16"/>
          <w:szCs w:val="16"/>
          <w:rtl/>
        </w:rPr>
        <w:t xml:space="preserve"> אלא משום דהוי כמתנה על דבר שלא בא לעולם</w:t>
      </w:r>
      <w:r w:rsidRPr="00BA16CC">
        <w:rPr>
          <w:rFonts w:cs="Arial" w:hint="cs"/>
          <w:sz w:val="16"/>
          <w:szCs w:val="16"/>
          <w:rtl/>
        </w:rPr>
        <w:t>.</w:t>
      </w:r>
      <w:r w:rsidRPr="00BA16CC">
        <w:rPr>
          <w:rFonts w:cs="Arial"/>
          <w:sz w:val="16"/>
          <w:szCs w:val="16"/>
          <w:rtl/>
        </w:rPr>
        <w:t xml:space="preserve"> והביא ראיה מהירושלמי (כתובות פ"ט ה"א)</w:t>
      </w:r>
      <w:r w:rsidRPr="00BA16CC">
        <w:rPr>
          <w:rFonts w:cs="Arial" w:hint="cs"/>
          <w:sz w:val="16"/>
          <w:szCs w:val="16"/>
          <w:rtl/>
        </w:rPr>
        <w:t>.</w:t>
      </w:r>
      <w:r w:rsidRPr="00BA16CC">
        <w:rPr>
          <w:rFonts w:cs="Arial"/>
          <w:sz w:val="16"/>
          <w:szCs w:val="16"/>
          <w:rtl/>
        </w:rPr>
        <w:t xml:space="preserve"> והאריך הר"ן בזה ובסוף דבריו כתב</w:t>
      </w:r>
      <w:r w:rsidRPr="00BA16CC">
        <w:rPr>
          <w:rFonts w:cs="Arial" w:hint="cs"/>
          <w:sz w:val="16"/>
          <w:szCs w:val="16"/>
          <w:rtl/>
        </w:rPr>
        <w:t>-</w:t>
      </w:r>
      <w:r w:rsidRPr="00BA16CC">
        <w:rPr>
          <w:rFonts w:cs="Arial"/>
          <w:sz w:val="16"/>
          <w:szCs w:val="16"/>
          <w:rtl/>
        </w:rPr>
        <w:t xml:space="preserve"> עיקר הפסק כדברי הרי"ף דלא קיי"ל כרשב"ג</w:t>
      </w:r>
      <w:r w:rsidRPr="00BA16CC">
        <w:rPr>
          <w:rFonts w:cs="Arial" w:hint="cs"/>
          <w:sz w:val="16"/>
          <w:szCs w:val="16"/>
          <w:rtl/>
        </w:rPr>
        <w:t>.</w:t>
      </w:r>
      <w:r w:rsidRPr="00BA16CC">
        <w:rPr>
          <w:rFonts w:cs="Arial"/>
          <w:sz w:val="16"/>
          <w:szCs w:val="16"/>
          <w:rtl/>
        </w:rPr>
        <w:t xml:space="preserve"> והא דאיתמר בירושלמי אין מיתה בלא בני וכו' משכחת לה בכותב לה ועודה ארוסה</w:t>
      </w:r>
      <w:r w:rsidRPr="00BA16CC">
        <w:rPr>
          <w:rFonts w:cs="Arial" w:hint="cs"/>
          <w:sz w:val="16"/>
          <w:szCs w:val="16"/>
          <w:rtl/>
        </w:rPr>
        <w:t>.</w:t>
      </w:r>
      <w:r w:rsidRPr="00BA16CC">
        <w:rPr>
          <w:rFonts w:cs="Arial"/>
          <w:sz w:val="16"/>
          <w:szCs w:val="16"/>
          <w:rtl/>
        </w:rPr>
        <w:t xml:space="preserve"> אבל לאחר שנישאת לא</w:t>
      </w:r>
      <w:r w:rsidRPr="00BA16CC">
        <w:rPr>
          <w:rFonts w:cs="Arial" w:hint="cs"/>
          <w:sz w:val="16"/>
          <w:szCs w:val="16"/>
          <w:rtl/>
        </w:rPr>
        <w:t>,</w:t>
      </w:r>
      <w:r w:rsidRPr="00BA16CC">
        <w:rPr>
          <w:rFonts w:cs="Arial"/>
          <w:sz w:val="16"/>
          <w:szCs w:val="16"/>
          <w:rtl/>
        </w:rPr>
        <w:t xml:space="preserve"> אא</w:t>
      </w:r>
      <w:r>
        <w:rPr>
          <w:rFonts w:cs="Arial" w:hint="cs"/>
          <w:sz w:val="16"/>
          <w:szCs w:val="16"/>
          <w:rtl/>
        </w:rPr>
        <w:t>"</w:t>
      </w:r>
      <w:r w:rsidRPr="00BA16CC">
        <w:rPr>
          <w:rFonts w:cs="Arial"/>
          <w:sz w:val="16"/>
          <w:szCs w:val="16"/>
          <w:rtl/>
        </w:rPr>
        <w:t>כ מחייב עצמו להחזיר ליורשים מה שירש ממנה בכה"ג ודאי מהני עכ"ל</w:t>
      </w:r>
      <w:r>
        <w:rPr>
          <w:rFonts w:hint="cs"/>
          <w:color w:val="00B0F0"/>
          <w:sz w:val="16"/>
          <w:szCs w:val="16"/>
          <w:rtl/>
        </w:rPr>
        <w:t xml:space="preserve">. </w:t>
      </w:r>
      <w:r w:rsidRPr="00C82F92">
        <w:rPr>
          <w:rFonts w:hint="cs"/>
          <w:color w:val="00B0F0"/>
          <w:sz w:val="16"/>
          <w:szCs w:val="16"/>
          <w:rtl/>
        </w:rPr>
        <w:t>(וכ"פ הרמ"א)</w:t>
      </w:r>
      <w:r w:rsidRPr="00BA16CC">
        <w:rPr>
          <w:rFonts w:cs="Arial"/>
          <w:sz w:val="16"/>
          <w:szCs w:val="16"/>
          <w:rtl/>
        </w:rPr>
        <w:t>. ודברי הריב"ש בזה בתשוב' סימן ס"ד וסימן ק"ב. והרא"ש (שם) גם כן כתב אחר פסק הרי"ף</w:t>
      </w:r>
      <w:r>
        <w:rPr>
          <w:rFonts w:cs="Arial" w:hint="cs"/>
          <w:sz w:val="16"/>
          <w:szCs w:val="16"/>
          <w:rtl/>
        </w:rPr>
        <w:t>,</w:t>
      </w:r>
      <w:r w:rsidRPr="00BA16CC">
        <w:rPr>
          <w:rFonts w:cs="Arial"/>
          <w:sz w:val="16"/>
          <w:szCs w:val="16"/>
          <w:rtl/>
        </w:rPr>
        <w:t xml:space="preserve"> שר"י ור"ח ובה"ג פסקו כרשב"ג</w:t>
      </w:r>
      <w:r>
        <w:rPr>
          <w:rFonts w:cs="Arial" w:hint="cs"/>
          <w:sz w:val="16"/>
          <w:szCs w:val="16"/>
          <w:rtl/>
        </w:rPr>
        <w:t>.</w:t>
      </w:r>
      <w:r w:rsidRPr="00BA16CC">
        <w:rPr>
          <w:rFonts w:cs="Arial"/>
          <w:sz w:val="16"/>
          <w:szCs w:val="16"/>
          <w:rtl/>
        </w:rPr>
        <w:t xml:space="preserve"> ונשא ונתן בדבר</w:t>
      </w:r>
      <w:r>
        <w:rPr>
          <w:rFonts w:cs="Arial" w:hint="cs"/>
          <w:sz w:val="16"/>
          <w:szCs w:val="16"/>
          <w:rtl/>
        </w:rPr>
        <w:t>,</w:t>
      </w:r>
      <w:r w:rsidRPr="00BA16CC">
        <w:rPr>
          <w:rFonts w:cs="Arial"/>
          <w:sz w:val="16"/>
          <w:szCs w:val="16"/>
          <w:rtl/>
        </w:rPr>
        <w:t xml:space="preserve"> ובסוף דבריו כתב</w:t>
      </w:r>
      <w:r>
        <w:rPr>
          <w:rFonts w:cs="Arial" w:hint="cs"/>
          <w:sz w:val="16"/>
          <w:szCs w:val="16"/>
          <w:rtl/>
        </w:rPr>
        <w:t>-</w:t>
      </w:r>
      <w:r w:rsidRPr="00BA16CC">
        <w:rPr>
          <w:rFonts w:cs="Arial"/>
          <w:sz w:val="16"/>
          <w:szCs w:val="16"/>
          <w:rtl/>
        </w:rPr>
        <w:t xml:space="preserve"> וכיון דליכא ראיה ברורה אית לן למימר כל תנאי שבממון קיים</w:t>
      </w:r>
      <w:r>
        <w:rPr>
          <w:rFonts w:cs="Arial" w:hint="cs"/>
          <w:sz w:val="16"/>
          <w:szCs w:val="16"/>
          <w:rtl/>
        </w:rPr>
        <w:t>.</w:t>
      </w:r>
      <w:r w:rsidRPr="00BA16CC">
        <w:rPr>
          <w:rFonts w:cs="Arial"/>
          <w:sz w:val="16"/>
          <w:szCs w:val="16"/>
          <w:rtl/>
        </w:rPr>
        <w:t xml:space="preserve"> ע"כ</w:t>
      </w:r>
      <w:r>
        <w:rPr>
          <w:rFonts w:cs="Arial" w:hint="cs"/>
          <w:sz w:val="16"/>
          <w:szCs w:val="16"/>
          <w:rtl/>
        </w:rPr>
        <w:t>.</w:t>
      </w:r>
      <w:r w:rsidRPr="00BA16CC">
        <w:rPr>
          <w:rFonts w:cs="Arial"/>
          <w:sz w:val="16"/>
          <w:szCs w:val="16"/>
          <w:rtl/>
        </w:rPr>
        <w:t xml:space="preserve"> וכבר כתבתי כל זה בארוכה בסוף סימן ס"ט</w:t>
      </w:r>
      <w:r>
        <w:rPr>
          <w:rFonts w:cs="Arial" w:hint="cs"/>
          <w:sz w:val="16"/>
          <w:szCs w:val="16"/>
          <w:rtl/>
        </w:rPr>
        <w:t>, ב"י</w:t>
      </w:r>
      <w:r w:rsidRPr="00BA16CC">
        <w:rPr>
          <w:rStyle w:val="a7"/>
          <w:sz w:val="16"/>
          <w:szCs w:val="16"/>
          <w:rtl/>
        </w:rPr>
        <w:footnoteReference w:id="2228"/>
      </w:r>
      <w:r>
        <w:rPr>
          <w:rFonts w:cs="Arial" w:hint="cs"/>
          <w:sz w:val="16"/>
          <w:szCs w:val="16"/>
          <w:rtl/>
        </w:rPr>
        <w:t>)</w:t>
      </w:r>
    </w:p>
    <w:p w14:paraId="6A2188B1" w14:textId="77777777" w:rsidR="002E5BAD" w:rsidRDefault="002E5BAD" w:rsidP="002E5BAD">
      <w:pPr>
        <w:rPr>
          <w:rtl/>
        </w:rPr>
      </w:pPr>
      <w:r w:rsidRPr="00D33625">
        <w:rPr>
          <w:rFonts w:cs="Arial" w:hint="cs"/>
          <w:b/>
          <w:bCs/>
          <w:rtl/>
        </w:rPr>
        <w:t xml:space="preserve">כתובות </w:t>
      </w:r>
      <w:r w:rsidRPr="00D33625">
        <w:rPr>
          <w:rFonts w:cs="Arial" w:hint="cs"/>
          <w:b/>
          <w:bCs/>
          <w:sz w:val="16"/>
          <w:szCs w:val="16"/>
          <w:rtl/>
        </w:rPr>
        <w:t>(</w:t>
      </w:r>
      <w:r>
        <w:rPr>
          <w:rFonts w:cs="Arial" w:hint="cs"/>
          <w:b/>
          <w:bCs/>
          <w:sz w:val="16"/>
          <w:szCs w:val="16"/>
          <w:rtl/>
        </w:rPr>
        <w:t>פ'</w:t>
      </w:r>
      <w:r w:rsidRPr="00D33625">
        <w:rPr>
          <w:rFonts w:cs="Arial" w:hint="cs"/>
          <w:b/>
          <w:bCs/>
          <w:sz w:val="16"/>
          <w:szCs w:val="16"/>
          <w:rtl/>
        </w:rPr>
        <w:t xml:space="preserve"> </w:t>
      </w:r>
      <w:r>
        <w:rPr>
          <w:rFonts w:cs="Arial" w:hint="cs"/>
          <w:b/>
          <w:bCs/>
          <w:sz w:val="16"/>
          <w:szCs w:val="16"/>
          <w:rtl/>
        </w:rPr>
        <w:t>אע"פ</w:t>
      </w:r>
      <w:r w:rsidRPr="00D33625">
        <w:rPr>
          <w:rFonts w:cs="Arial" w:hint="cs"/>
          <w:b/>
          <w:bCs/>
          <w:sz w:val="16"/>
          <w:szCs w:val="16"/>
          <w:rtl/>
        </w:rPr>
        <w:t>)</w:t>
      </w:r>
      <w:r w:rsidRPr="00D33625">
        <w:rPr>
          <w:rFonts w:cs="Arial" w:hint="cs"/>
          <w:b/>
          <w:bCs/>
          <w:rtl/>
        </w:rPr>
        <w:t xml:space="preserve"> </w:t>
      </w:r>
      <w:r>
        <w:rPr>
          <w:rFonts w:cs="Arial" w:hint="cs"/>
          <w:b/>
          <w:bCs/>
          <w:rtl/>
        </w:rPr>
        <w:t>נו</w:t>
      </w:r>
      <w:r w:rsidRPr="00D33625">
        <w:rPr>
          <w:rFonts w:cs="Arial" w:hint="cs"/>
          <w:b/>
          <w:bCs/>
          <w:rtl/>
        </w:rPr>
        <w:t xml:space="preserve"> ע"א:</w:t>
      </w:r>
      <w:r>
        <w:rPr>
          <w:rFonts w:cs="Arial" w:hint="cs"/>
          <w:rtl/>
        </w:rPr>
        <w:t xml:space="preserve"> </w:t>
      </w:r>
      <w:r w:rsidRPr="00504E3C">
        <w:rPr>
          <w:rFonts w:cs="Arial"/>
          <w:rtl/>
        </w:rPr>
        <w:t>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בדבר שבממון תנאו קיים!</w:t>
      </w:r>
    </w:p>
    <w:p w14:paraId="2385D674" w14:textId="77777777" w:rsidR="002E5BAD" w:rsidRPr="00AE5B5A" w:rsidRDefault="002E5BAD" w:rsidP="002E5BAD">
      <w:pPr>
        <w:rPr>
          <w:u w:val="single"/>
          <w:rtl/>
        </w:rPr>
      </w:pPr>
      <w:r w:rsidRPr="00AE5B5A">
        <w:rPr>
          <w:rFonts w:cs="Arial"/>
          <w:u w:val="single"/>
          <w:rtl/>
        </w:rPr>
        <w:t>כתב ל</w:t>
      </w:r>
      <w:r w:rsidRPr="00AE5B5A">
        <w:rPr>
          <w:rFonts w:cs="Arial" w:hint="cs"/>
          <w:u w:val="single"/>
          <w:rtl/>
        </w:rPr>
        <w:t>אשתו</w:t>
      </w:r>
      <w:r w:rsidRPr="00AE5B5A">
        <w:rPr>
          <w:rFonts w:cs="Arial"/>
          <w:u w:val="single"/>
          <w:rtl/>
        </w:rPr>
        <w:t xml:space="preserve"> </w:t>
      </w:r>
      <w:r w:rsidRPr="00AE5B5A">
        <w:rPr>
          <w:rFonts w:cs="Arial" w:hint="cs"/>
          <w:u w:val="single"/>
          <w:rtl/>
        </w:rPr>
        <w:t>'</w:t>
      </w:r>
      <w:r w:rsidRPr="00AE5B5A">
        <w:rPr>
          <w:rFonts w:cs="Arial"/>
          <w:u w:val="single"/>
          <w:rtl/>
        </w:rPr>
        <w:t>דין ודברים אין לי בנכסיך בחייך ובמותך</w:t>
      </w:r>
      <w:r w:rsidRPr="00AE5B5A">
        <w:rPr>
          <w:rFonts w:hint="cs"/>
          <w:u w:val="single"/>
          <w:rtl/>
        </w:rPr>
        <w:t>':</w:t>
      </w:r>
    </w:p>
    <w:p w14:paraId="6080E60C" w14:textId="77777777" w:rsidR="002E5BAD" w:rsidRPr="00B15469" w:rsidRDefault="002E5BAD" w:rsidP="002E5BAD">
      <w:pPr>
        <w:pStyle w:val="ab"/>
        <w:numPr>
          <w:ilvl w:val="0"/>
          <w:numId w:val="186"/>
        </w:numPr>
        <w:rPr>
          <w:rFonts w:cs="Arial"/>
        </w:rPr>
      </w:pPr>
      <w:r>
        <w:rPr>
          <w:rFonts w:cs="Arial" w:hint="cs"/>
          <w:rtl/>
        </w:rPr>
        <w:lastRenderedPageBreak/>
        <w:t>רי"ף</w:t>
      </w:r>
      <w:r w:rsidRPr="00F20C9C">
        <w:rPr>
          <w:rStyle w:val="a7"/>
          <w:rFonts w:cs="Arial"/>
          <w:color w:val="000000" w:themeColor="text1"/>
          <w:rtl/>
        </w:rPr>
        <w:footnoteReference w:id="2229"/>
      </w:r>
      <w:r>
        <w:rPr>
          <w:rFonts w:cs="Arial" w:hint="cs"/>
          <w:sz w:val="16"/>
          <w:szCs w:val="16"/>
          <w:rtl/>
        </w:rPr>
        <w:t xml:space="preserve"> </w:t>
      </w:r>
      <w:r>
        <w:rPr>
          <w:rFonts w:cs="Arial" w:hint="cs"/>
          <w:rtl/>
        </w:rPr>
        <w:t>רמב"ם רמב"ן רשב"א רא"ש טור ור"ן</w:t>
      </w:r>
      <w:r w:rsidRPr="00F20C9C">
        <w:rPr>
          <w:rStyle w:val="a7"/>
          <w:rFonts w:cs="Arial"/>
          <w:color w:val="000000" w:themeColor="text1"/>
          <w:rtl/>
        </w:rPr>
        <w:footnoteReference w:id="2230"/>
      </w:r>
      <w:r>
        <w:rPr>
          <w:rFonts w:cs="Arial" w:hint="cs"/>
          <w:rtl/>
        </w:rPr>
        <w:t xml:space="preserve">- </w:t>
      </w:r>
      <w:r w:rsidRPr="00B15469">
        <w:rPr>
          <w:rFonts w:cs="Arial"/>
          <w:rtl/>
        </w:rPr>
        <w:t xml:space="preserve">התנה עמה שלא יירשנה </w:t>
      </w:r>
      <w:r>
        <w:rPr>
          <w:rFonts w:cs="Arial" w:hint="cs"/>
          <w:rtl/>
        </w:rPr>
        <w:t xml:space="preserve">- </w:t>
      </w:r>
      <w:r w:rsidRPr="00B15469">
        <w:rPr>
          <w:rFonts w:cs="Arial"/>
          <w:rtl/>
        </w:rPr>
        <w:t>הרי זה לא יירשנה אבל אוכל פירות בחייה</w:t>
      </w:r>
      <w:r>
        <w:rPr>
          <w:rFonts w:cs="Arial" w:hint="cs"/>
          <w:rtl/>
        </w:rPr>
        <w:t xml:space="preserve">... </w:t>
      </w:r>
      <w:r w:rsidRPr="00B15469">
        <w:rPr>
          <w:rFonts w:cs="Arial"/>
          <w:rtl/>
        </w:rPr>
        <w:t>במה דברים אמורים בשהתנה עמה קודם שתנשא, שהנחלה הבאה לו לאדם שלא ממשפחתו מתנה עליה שלא יירשנה קודם שתהא ראויה לו</w:t>
      </w:r>
      <w:r>
        <w:rPr>
          <w:rFonts w:cs="Arial" w:hint="cs"/>
          <w:rtl/>
        </w:rPr>
        <w:t>.</w:t>
      </w:r>
      <w:r w:rsidRPr="00B15469">
        <w:rPr>
          <w:rFonts w:cs="Arial"/>
          <w:rtl/>
        </w:rPr>
        <w:t xml:space="preserve"> אבל אם התנה עמה אחר שנישאת </w:t>
      </w:r>
      <w:r>
        <w:rPr>
          <w:rFonts w:cs="Arial" w:hint="cs"/>
          <w:rtl/>
        </w:rPr>
        <w:t xml:space="preserve">- </w:t>
      </w:r>
      <w:r w:rsidRPr="00B15469">
        <w:rPr>
          <w:rFonts w:cs="Arial"/>
          <w:rtl/>
        </w:rPr>
        <w:t>תנאו בטל ויירשנה כמו שביארנו</w:t>
      </w:r>
      <w:r>
        <w:rPr>
          <w:rFonts w:cs="Arial" w:hint="cs"/>
          <w:sz w:val="16"/>
          <w:szCs w:val="16"/>
          <w:rtl/>
        </w:rPr>
        <w:t xml:space="preserve"> (ל' הרמב"ם)</w:t>
      </w:r>
      <w:r w:rsidRPr="00B15469">
        <w:rPr>
          <w:rFonts w:cs="Arial"/>
          <w:rtl/>
        </w:rPr>
        <w:t>.</w:t>
      </w:r>
      <w:r w:rsidRPr="008871F6">
        <w:rPr>
          <w:rFonts w:hint="cs"/>
          <w:color w:val="E36C0A" w:themeColor="accent6" w:themeShade="BF"/>
          <w:rtl/>
        </w:rPr>
        <w:t xml:space="preserve"> </w:t>
      </w:r>
      <w:r w:rsidRPr="00A31A43">
        <w:rPr>
          <w:rFonts w:hint="cs"/>
          <w:color w:val="E36C0A" w:themeColor="accent6" w:themeShade="BF"/>
          <w:rtl/>
        </w:rPr>
        <w:t>(וכ"פ בשו"ע)</w:t>
      </w:r>
    </w:p>
    <w:p w14:paraId="4C064641" w14:textId="77777777" w:rsidR="002E5BAD" w:rsidRDefault="002E5BAD" w:rsidP="002E5BAD">
      <w:pPr>
        <w:pStyle w:val="ab"/>
        <w:numPr>
          <w:ilvl w:val="0"/>
          <w:numId w:val="186"/>
        </w:numPr>
      </w:pPr>
      <w:r>
        <w:rPr>
          <w:rFonts w:cs="Arial" w:hint="cs"/>
          <w:rtl/>
        </w:rPr>
        <w:t xml:space="preserve">בה"ג </w:t>
      </w:r>
      <w:r>
        <w:rPr>
          <w:rFonts w:cs="Arial" w:hint="cs"/>
          <w:sz w:val="16"/>
          <w:szCs w:val="16"/>
          <w:rtl/>
        </w:rPr>
        <w:t xml:space="preserve">(כ"כ הרא"ש בשמו) </w:t>
      </w:r>
      <w:r w:rsidRPr="003171A6">
        <w:rPr>
          <w:rFonts w:cs="Arial"/>
          <w:rtl/>
        </w:rPr>
        <w:t>ר"</w:t>
      </w:r>
      <w:r>
        <w:rPr>
          <w:rFonts w:cs="Arial" w:hint="cs"/>
          <w:rtl/>
        </w:rPr>
        <w:t>ח</w:t>
      </w:r>
      <w:r w:rsidRPr="003171A6">
        <w:rPr>
          <w:rFonts w:cs="Arial"/>
          <w:rtl/>
        </w:rPr>
        <w:t xml:space="preserve"> ור"י</w:t>
      </w:r>
      <w:r>
        <w:rPr>
          <w:rFonts w:cs="Arial" w:hint="cs"/>
          <w:sz w:val="16"/>
          <w:szCs w:val="16"/>
          <w:rtl/>
        </w:rPr>
        <w:t xml:space="preserve"> (כ"כ הטור בשמם)</w:t>
      </w:r>
      <w:r>
        <w:rPr>
          <w:rFonts w:cs="Arial" w:hint="cs"/>
          <w:rtl/>
        </w:rPr>
        <w:t>-</w:t>
      </w:r>
      <w:r w:rsidRPr="003171A6">
        <w:rPr>
          <w:rFonts w:cs="Arial"/>
          <w:rtl/>
        </w:rPr>
        <w:t xml:space="preserve"> אין תנאי מועיל לבטל ירושה שהיא דאורייתא</w:t>
      </w:r>
      <w:r>
        <w:rPr>
          <w:rStyle w:val="a7"/>
          <w:rFonts w:cs="Arial"/>
          <w:rtl/>
        </w:rPr>
        <w:footnoteReference w:id="2231"/>
      </w:r>
      <w:r>
        <w:rPr>
          <w:rFonts w:cs="Arial" w:hint="cs"/>
          <w:rtl/>
        </w:rPr>
        <w:t>,</w:t>
      </w:r>
      <w:r w:rsidRPr="003171A6">
        <w:rPr>
          <w:rFonts w:cs="Arial"/>
          <w:rtl/>
        </w:rPr>
        <w:t xml:space="preserve"> כרשב"ג</w:t>
      </w:r>
      <w:r w:rsidRPr="00F20C9C">
        <w:rPr>
          <w:rStyle w:val="a7"/>
          <w:rFonts w:cs="Arial"/>
          <w:color w:val="000000" w:themeColor="text1"/>
          <w:rtl/>
        </w:rPr>
        <w:footnoteReference w:id="2232"/>
      </w:r>
      <w:r>
        <w:rPr>
          <w:rFonts w:cs="Arial" w:hint="cs"/>
          <w:rtl/>
        </w:rPr>
        <w:t>.</w:t>
      </w:r>
      <w:r w:rsidRPr="003171A6">
        <w:rPr>
          <w:rFonts w:cs="Arial"/>
          <w:rtl/>
        </w:rPr>
        <w:t xml:space="preserve"> </w:t>
      </w:r>
    </w:p>
    <w:p w14:paraId="27C21B09" w14:textId="77777777" w:rsidR="002E5BAD" w:rsidRPr="000E0B96" w:rsidRDefault="002E5BAD" w:rsidP="002E5BAD">
      <w:pPr>
        <w:ind w:left="360"/>
        <w:rPr>
          <w:u w:val="dotted"/>
        </w:rPr>
      </w:pPr>
      <w:r w:rsidRPr="000E0B96">
        <w:rPr>
          <w:rFonts w:hint="cs"/>
          <w:u w:val="dotted"/>
          <w:rtl/>
        </w:rPr>
        <w:t>ומה דין אם מכרה/נתנה את נכסיה בחייה:</w:t>
      </w:r>
    </w:p>
    <w:p w14:paraId="5C93DF91" w14:textId="77777777" w:rsidR="002E5BAD" w:rsidRDefault="002E5BAD" w:rsidP="002E5BAD">
      <w:pPr>
        <w:pStyle w:val="ab"/>
        <w:numPr>
          <w:ilvl w:val="0"/>
          <w:numId w:val="186"/>
        </w:numPr>
        <w:rPr>
          <w:rtl/>
        </w:rPr>
      </w:pPr>
      <w:r>
        <w:rPr>
          <w:rFonts w:cs="Arial" w:hint="cs"/>
          <w:rtl/>
        </w:rPr>
        <w:t xml:space="preserve">טור- </w:t>
      </w:r>
      <w:r w:rsidRPr="003171A6">
        <w:rPr>
          <w:rFonts w:cs="Arial"/>
          <w:rtl/>
        </w:rPr>
        <w:t xml:space="preserve">כתב לה </w:t>
      </w:r>
      <w:r>
        <w:rPr>
          <w:rFonts w:cs="Arial" w:hint="cs"/>
          <w:rtl/>
        </w:rPr>
        <w:t>'</w:t>
      </w:r>
      <w:r w:rsidRPr="003171A6">
        <w:rPr>
          <w:rFonts w:cs="Arial"/>
          <w:rtl/>
        </w:rPr>
        <w:t>דין ודברים אין לי בנכסייך ובפירותיהם ובפירי פירותיהן בחייך ובמותיך</w:t>
      </w:r>
      <w:r>
        <w:rPr>
          <w:rFonts w:cs="Arial" w:hint="cs"/>
          <w:rtl/>
        </w:rPr>
        <w:t>'</w:t>
      </w:r>
      <w:r w:rsidRPr="003171A6">
        <w:rPr>
          <w:rFonts w:cs="Arial"/>
          <w:rtl/>
        </w:rPr>
        <w:t xml:space="preserve"> </w:t>
      </w:r>
      <w:r>
        <w:rPr>
          <w:rFonts w:cs="Arial" w:hint="cs"/>
          <w:rtl/>
        </w:rPr>
        <w:t xml:space="preserve">- </w:t>
      </w:r>
      <w:r w:rsidRPr="003171A6">
        <w:rPr>
          <w:rFonts w:cs="Arial"/>
          <w:rtl/>
        </w:rPr>
        <w:t>אינו אוכל פירות ולא פירי פירות</w:t>
      </w:r>
      <w:r>
        <w:rPr>
          <w:rFonts w:cs="Arial" w:hint="cs"/>
          <w:rtl/>
        </w:rPr>
        <w:t>.</w:t>
      </w:r>
      <w:r w:rsidRPr="003171A6">
        <w:rPr>
          <w:rFonts w:cs="Arial"/>
          <w:rtl/>
        </w:rPr>
        <w:t xml:space="preserve"> ואם מתה </w:t>
      </w:r>
      <w:r>
        <w:rPr>
          <w:rFonts w:cs="Arial" w:hint="cs"/>
          <w:rtl/>
        </w:rPr>
        <w:t xml:space="preserve">- </w:t>
      </w:r>
      <w:r w:rsidRPr="003171A6">
        <w:rPr>
          <w:rFonts w:cs="Arial"/>
          <w:rtl/>
        </w:rPr>
        <w:t>אינו יורשה</w:t>
      </w:r>
      <w:r>
        <w:rPr>
          <w:rFonts w:cs="Arial" w:hint="cs"/>
          <w:rtl/>
        </w:rPr>
        <w:t>.</w:t>
      </w:r>
      <w:r w:rsidRPr="003171A6">
        <w:rPr>
          <w:rFonts w:cs="Arial"/>
          <w:rtl/>
        </w:rPr>
        <w:t xml:space="preserve"> ואם לא הזכיר פירות אלא </w:t>
      </w:r>
      <w:r>
        <w:rPr>
          <w:rFonts w:cs="Arial" w:hint="cs"/>
          <w:rtl/>
        </w:rPr>
        <w:t>'</w:t>
      </w:r>
      <w:r w:rsidRPr="003171A6">
        <w:rPr>
          <w:rFonts w:cs="Arial"/>
          <w:rtl/>
        </w:rPr>
        <w:t>דין ודברים אין לי בנכסייך בחייך ובמותיך</w:t>
      </w:r>
      <w:r>
        <w:rPr>
          <w:rFonts w:cs="Arial" w:hint="cs"/>
          <w:rtl/>
        </w:rPr>
        <w:t>' -</w:t>
      </w:r>
      <w:r w:rsidRPr="003171A6">
        <w:rPr>
          <w:rFonts w:cs="Arial"/>
          <w:rtl/>
        </w:rPr>
        <w:t xml:space="preserve"> אוכל פירות</w:t>
      </w:r>
      <w:r>
        <w:rPr>
          <w:rFonts w:cs="Arial" w:hint="cs"/>
          <w:rtl/>
        </w:rPr>
        <w:t>.</w:t>
      </w:r>
      <w:r w:rsidRPr="003171A6">
        <w:rPr>
          <w:rFonts w:cs="Arial"/>
          <w:rtl/>
        </w:rPr>
        <w:t xml:space="preserve"> ואם מתה </w:t>
      </w:r>
      <w:r>
        <w:rPr>
          <w:rFonts w:cs="Arial" w:hint="cs"/>
          <w:rtl/>
        </w:rPr>
        <w:t xml:space="preserve">- </w:t>
      </w:r>
      <w:r w:rsidRPr="003171A6">
        <w:rPr>
          <w:rFonts w:cs="Arial"/>
          <w:rtl/>
        </w:rPr>
        <w:t>אינו יורשה</w:t>
      </w:r>
      <w:r>
        <w:rPr>
          <w:rFonts w:cs="Arial" w:hint="cs"/>
          <w:rtl/>
        </w:rPr>
        <w:t>.</w:t>
      </w:r>
      <w:r w:rsidRPr="003171A6">
        <w:rPr>
          <w:rFonts w:cs="Arial"/>
          <w:rtl/>
        </w:rPr>
        <w:t xml:space="preserve"> ואם מכרה ונתנה </w:t>
      </w:r>
      <w:r>
        <w:rPr>
          <w:rFonts w:cs="Arial"/>
          <w:rtl/>
        </w:rPr>
        <w:t>–</w:t>
      </w:r>
      <w:r>
        <w:rPr>
          <w:rFonts w:cs="Arial" w:hint="cs"/>
          <w:rtl/>
        </w:rPr>
        <w:t xml:space="preserve"> </w:t>
      </w:r>
      <w:r w:rsidRPr="003171A6">
        <w:rPr>
          <w:rFonts w:cs="Arial"/>
          <w:rtl/>
        </w:rPr>
        <w:t>קיים</w:t>
      </w:r>
      <w:r w:rsidRPr="00F20C9C">
        <w:rPr>
          <w:rStyle w:val="a7"/>
          <w:rFonts w:cs="Arial"/>
          <w:color w:val="000000" w:themeColor="text1"/>
          <w:rtl/>
        </w:rPr>
        <w:footnoteReference w:id="2233"/>
      </w:r>
      <w:r>
        <w:rPr>
          <w:rFonts w:cs="Arial" w:hint="cs"/>
          <w:sz w:val="16"/>
          <w:szCs w:val="16"/>
          <w:rtl/>
        </w:rPr>
        <w:t xml:space="preserve"> (ל' הטור)</w:t>
      </w:r>
      <w:r>
        <w:rPr>
          <w:rFonts w:cs="Arial" w:hint="cs"/>
          <w:rtl/>
        </w:rPr>
        <w:t>.</w:t>
      </w:r>
    </w:p>
    <w:p w14:paraId="2FF49977"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5B03143" w14:textId="77777777" w:rsidR="002E5BAD" w:rsidRDefault="002E5BAD" w:rsidP="002E5BAD">
      <w:pPr>
        <w:rPr>
          <w:rtl/>
        </w:rPr>
      </w:pPr>
      <w:r>
        <w:rPr>
          <w:rFonts w:cs="Arial"/>
          <w:rtl/>
        </w:rPr>
        <w:t>התנה עמה שלא יירשנה, הרי זה לא יירשנה, אבל אוכל פירות בחייה</w:t>
      </w:r>
      <w:r w:rsidRPr="00F20C9C">
        <w:rPr>
          <w:rStyle w:val="a7"/>
          <w:rFonts w:cs="Arial"/>
          <w:color w:val="000000" w:themeColor="text1"/>
          <w:rtl/>
        </w:rPr>
        <w:footnoteReference w:id="2234"/>
      </w:r>
      <w:r>
        <w:rPr>
          <w:rFonts w:cs="Arial"/>
          <w:rtl/>
        </w:rPr>
        <w:t>. וכן אם התנה עמה שאם מתה בלא בנים יחזרו הנכסים לבית אביה, הכל קיים. ב</w:t>
      </w:r>
      <w:r>
        <w:rPr>
          <w:rFonts w:cs="Arial" w:hint="cs"/>
          <w:rtl/>
        </w:rPr>
        <w:t>מה דברים אמורים</w:t>
      </w:r>
      <w:r>
        <w:rPr>
          <w:rFonts w:cs="Arial"/>
          <w:rtl/>
        </w:rPr>
        <w:t>, שהתנה עמה קודם שתנשא, בעודה ארוסה, או בכותב לה בכתובתה בשעת כניסה, אבל אם התנה עמה אחר שנשאה, תנאו בטל</w:t>
      </w:r>
      <w:r w:rsidRPr="00F20C9C">
        <w:rPr>
          <w:rStyle w:val="a7"/>
          <w:rFonts w:cs="Arial"/>
          <w:color w:val="000000" w:themeColor="text1"/>
          <w:rtl/>
        </w:rPr>
        <w:footnoteReference w:id="2235"/>
      </w:r>
      <w:r>
        <w:rPr>
          <w:rFonts w:cs="Arial"/>
          <w:rtl/>
        </w:rPr>
        <w:t xml:space="preserve">, וירשנה. </w:t>
      </w:r>
      <w:r w:rsidRPr="00DA1E36">
        <w:rPr>
          <w:rFonts w:cs="Arial"/>
          <w:sz w:val="18"/>
          <w:szCs w:val="18"/>
          <w:rtl/>
        </w:rPr>
        <w:t>הגה: ועין לעיל סימן ס"ט. והא דלא מהני תנאי לאחר שנשאת, דוקא שאמר שלא יירשנה, מ"מ אם מחייב עצמו להחזיר ליורשיה מה שיורש ממנה צריך לקיים (הר"ן ריש הכותב בשם הרמב"ן וריב"ש סי</w:t>
      </w:r>
      <w:r>
        <w:rPr>
          <w:rFonts w:cs="Arial" w:hint="cs"/>
          <w:sz w:val="18"/>
          <w:szCs w:val="18"/>
          <w:rtl/>
        </w:rPr>
        <w:t>'</w:t>
      </w:r>
      <w:r w:rsidRPr="00DA1E36">
        <w:rPr>
          <w:rFonts w:cs="Arial"/>
          <w:sz w:val="18"/>
          <w:szCs w:val="18"/>
          <w:rtl/>
        </w:rPr>
        <w:t xml:space="preserve"> צ"ד ס"ד וק"ב).</w:t>
      </w:r>
      <w:r>
        <w:rPr>
          <w:rFonts w:cs="Arial"/>
          <w:rtl/>
        </w:rPr>
        <w:t xml:space="preserve"> </w:t>
      </w:r>
    </w:p>
    <w:p w14:paraId="635EB8AB" w14:textId="77777777" w:rsidR="002E5BAD" w:rsidRDefault="002E5BAD" w:rsidP="002E5BAD">
      <w:pPr>
        <w:rPr>
          <w:rtl/>
        </w:rPr>
      </w:pPr>
    </w:p>
    <w:p w14:paraId="43DF7673" w14:textId="77777777" w:rsidR="002E5BAD" w:rsidRDefault="002E5BAD" w:rsidP="002E5BAD">
      <w:pPr>
        <w:pStyle w:val="2"/>
        <w:rPr>
          <w:rtl/>
        </w:rPr>
      </w:pPr>
      <w:r>
        <w:rPr>
          <w:rtl/>
        </w:rPr>
        <w:t>סעיף ח</w:t>
      </w:r>
      <w:r>
        <w:rPr>
          <w:rFonts w:hint="cs"/>
          <w:rtl/>
        </w:rPr>
        <w:t>:</w:t>
      </w:r>
      <w:r w:rsidRPr="004F3A03">
        <w:rPr>
          <w:rFonts w:cs="Arial"/>
          <w:rtl/>
        </w:rPr>
        <w:t xml:space="preserve"> </w:t>
      </w:r>
      <w:r>
        <w:rPr>
          <w:rFonts w:cs="Arial" w:hint="cs"/>
          <w:rtl/>
        </w:rPr>
        <w:t>כתב לה</w:t>
      </w:r>
      <w:r w:rsidRPr="00291938">
        <w:rPr>
          <w:rFonts w:cs="Arial" w:hint="cs"/>
          <w:rtl/>
        </w:rPr>
        <w:t xml:space="preserve"> </w:t>
      </w:r>
      <w:r>
        <w:rPr>
          <w:rFonts w:cs="Arial" w:hint="cs"/>
          <w:rtl/>
        </w:rPr>
        <w:t>ל</w:t>
      </w:r>
      <w:r w:rsidRPr="004F3A03">
        <w:rPr>
          <w:rFonts w:cs="Arial"/>
          <w:rtl/>
        </w:rPr>
        <w:t xml:space="preserve">אחר </w:t>
      </w:r>
      <w:r>
        <w:rPr>
          <w:rFonts w:cs="Arial" w:hint="cs"/>
          <w:rtl/>
        </w:rPr>
        <w:t>ה</w:t>
      </w:r>
      <w:r w:rsidRPr="004F3A03">
        <w:rPr>
          <w:rFonts w:cs="Arial"/>
          <w:rtl/>
        </w:rPr>
        <w:t>נישואין</w:t>
      </w:r>
      <w:r>
        <w:rPr>
          <w:rFonts w:cs="Arial" w:hint="cs"/>
          <w:rtl/>
        </w:rPr>
        <w:t xml:space="preserve"> 'דו"ד אין לי בנכסיך ובפירותיהן ובפ"פ בחייך ובמותך'.</w:t>
      </w:r>
    </w:p>
    <w:p w14:paraId="6ECFFD0E" w14:textId="77777777" w:rsidR="002E5BAD" w:rsidRPr="004F3A03" w:rsidRDefault="002E5BAD" w:rsidP="002E5BAD">
      <w:pPr>
        <w:rPr>
          <w:u w:val="single"/>
          <w:rtl/>
        </w:rPr>
      </w:pPr>
      <w:r>
        <w:rPr>
          <w:rFonts w:cs="Arial" w:hint="cs"/>
          <w:u w:val="single"/>
          <w:rtl/>
        </w:rPr>
        <w:t>ה</w:t>
      </w:r>
      <w:r w:rsidRPr="004F3A03">
        <w:rPr>
          <w:rFonts w:cs="Arial"/>
          <w:u w:val="single"/>
          <w:rtl/>
        </w:rPr>
        <w:t>תנה עמה אחר נישואין שלא יהיה לו דין ודברים בנכסיה ולא בפירי פירותיהן עד עולם בחייה ובמותה</w:t>
      </w:r>
      <w:r w:rsidRPr="004F3A03">
        <w:rPr>
          <w:rFonts w:hint="cs"/>
          <w:u w:val="single"/>
          <w:rtl/>
        </w:rPr>
        <w:t>:</w:t>
      </w:r>
    </w:p>
    <w:p w14:paraId="3C2BF5C7" w14:textId="77777777" w:rsidR="002E5BAD" w:rsidRPr="00E24A66" w:rsidRDefault="002E5BAD" w:rsidP="00B75458">
      <w:pPr>
        <w:pStyle w:val="ab"/>
        <w:numPr>
          <w:ilvl w:val="0"/>
          <w:numId w:val="191"/>
        </w:numPr>
        <w:rPr>
          <w:rFonts w:cs="Arial"/>
          <w:rtl/>
        </w:rPr>
      </w:pPr>
      <w:r w:rsidRPr="004F3A03">
        <w:rPr>
          <w:rFonts w:cs="Arial" w:hint="cs"/>
          <w:rtl/>
        </w:rPr>
        <w:t xml:space="preserve">רמב"ם </w:t>
      </w:r>
      <w:r w:rsidRPr="004F3A03">
        <w:rPr>
          <w:rFonts w:cs="Arial" w:hint="cs"/>
          <w:sz w:val="16"/>
          <w:szCs w:val="16"/>
          <w:rtl/>
        </w:rPr>
        <w:t>(פכ"ג מאישות ה"ז)</w:t>
      </w:r>
      <w:r w:rsidRPr="004F3A03">
        <w:rPr>
          <w:rFonts w:cs="Arial" w:hint="cs"/>
          <w:rtl/>
        </w:rPr>
        <w:t xml:space="preserve">- </w:t>
      </w:r>
      <w:r w:rsidRPr="004F3A03">
        <w:rPr>
          <w:rFonts w:cs="Arial"/>
          <w:rtl/>
        </w:rPr>
        <w:t>התנה עמה אחר נישואין שלא יהיה לו דין ודברים בנכסיה ולא בפירי פירותיהן עד עולם בחייה ובמותה</w:t>
      </w:r>
      <w:r w:rsidRPr="00F20C9C">
        <w:rPr>
          <w:rStyle w:val="a7"/>
          <w:rFonts w:cs="Arial"/>
          <w:color w:val="000000" w:themeColor="text1"/>
          <w:rtl/>
        </w:rPr>
        <w:footnoteReference w:id="2236"/>
      </w:r>
      <w:r w:rsidRPr="004F3A03">
        <w:rPr>
          <w:rFonts w:cs="Arial"/>
          <w:rtl/>
        </w:rPr>
        <w:t xml:space="preserve"> </w:t>
      </w:r>
      <w:r>
        <w:rPr>
          <w:rFonts w:cs="Arial" w:hint="cs"/>
          <w:rtl/>
        </w:rPr>
        <w:t xml:space="preserve">- </w:t>
      </w:r>
      <w:r w:rsidRPr="004F3A03">
        <w:rPr>
          <w:rFonts w:cs="Arial"/>
          <w:rtl/>
        </w:rPr>
        <w:t>הרי זה אינו אוכל פירות כלל</w:t>
      </w:r>
      <w:r>
        <w:rPr>
          <w:rFonts w:cs="Arial" w:hint="cs"/>
          <w:rtl/>
        </w:rPr>
        <w:t>.</w:t>
      </w:r>
      <w:r w:rsidRPr="004F3A03">
        <w:rPr>
          <w:rFonts w:cs="Arial"/>
          <w:rtl/>
        </w:rPr>
        <w:t xml:space="preserve"> אבל אם מתה</w:t>
      </w:r>
      <w:r>
        <w:rPr>
          <w:rFonts w:cs="Arial" w:hint="cs"/>
          <w:rtl/>
        </w:rPr>
        <w:t xml:space="preserve"> -</w:t>
      </w:r>
      <w:r w:rsidRPr="004F3A03">
        <w:rPr>
          <w:rFonts w:cs="Arial"/>
          <w:rtl/>
        </w:rPr>
        <w:t xml:space="preserve"> יירשנה</w:t>
      </w:r>
      <w:r>
        <w:rPr>
          <w:rFonts w:cs="Arial" w:hint="cs"/>
          <w:rtl/>
        </w:rPr>
        <w:t>,</w:t>
      </w:r>
      <w:r w:rsidRPr="004F3A03">
        <w:rPr>
          <w:rFonts w:cs="Arial"/>
          <w:rtl/>
        </w:rPr>
        <w:t xml:space="preserve"> כמו שביארנו.</w:t>
      </w:r>
      <w:r w:rsidRPr="008871F6">
        <w:rPr>
          <w:rFonts w:hint="cs"/>
          <w:color w:val="E36C0A" w:themeColor="accent6" w:themeShade="BF"/>
          <w:rtl/>
        </w:rPr>
        <w:t xml:space="preserve"> </w:t>
      </w:r>
      <w:r w:rsidRPr="00A31A43">
        <w:rPr>
          <w:rFonts w:hint="cs"/>
          <w:color w:val="E36C0A" w:themeColor="accent6" w:themeShade="BF"/>
          <w:rtl/>
        </w:rPr>
        <w:t>(וכ"פ בשו"ע)</w:t>
      </w:r>
    </w:p>
    <w:p w14:paraId="7D809826" w14:textId="77777777" w:rsidR="002E5BAD" w:rsidRPr="00644913" w:rsidRDefault="002E5BAD" w:rsidP="002E5BAD">
      <w:pPr>
        <w:rPr>
          <w:u w:val="single"/>
        </w:rPr>
      </w:pPr>
      <w:r w:rsidRPr="00644913">
        <w:rPr>
          <w:u w:val="single"/>
          <w:rtl/>
        </w:rPr>
        <w:t>סלק עצמו מנכסי אשתו וגירשה, וחזר ונשאה סתם</w:t>
      </w:r>
      <w:r w:rsidRPr="00644913">
        <w:rPr>
          <w:rFonts w:hint="cs"/>
          <w:u w:val="single"/>
          <w:rtl/>
        </w:rPr>
        <w:t xml:space="preserve"> </w:t>
      </w:r>
      <w:r w:rsidRPr="00644913">
        <w:rPr>
          <w:u w:val="single"/>
          <w:rtl/>
        </w:rPr>
        <w:t>–</w:t>
      </w:r>
      <w:r w:rsidRPr="00644913">
        <w:rPr>
          <w:rFonts w:hint="cs"/>
          <w:u w:val="single"/>
          <w:rtl/>
        </w:rPr>
        <w:t xml:space="preserve"> האם הסילוק הראשון עדיין תקף:</w:t>
      </w:r>
    </w:p>
    <w:p w14:paraId="4959E73C" w14:textId="77777777" w:rsidR="002E5BAD" w:rsidRPr="008E1FAE" w:rsidRDefault="002E5BAD" w:rsidP="002E5BAD">
      <w:pPr>
        <w:pStyle w:val="ab"/>
        <w:numPr>
          <w:ilvl w:val="0"/>
          <w:numId w:val="186"/>
        </w:numPr>
        <w:rPr>
          <w:rtl/>
        </w:rPr>
      </w:pPr>
      <w:r w:rsidRPr="008E1FAE">
        <w:rPr>
          <w:rFonts w:cs="Arial" w:hint="cs"/>
          <w:rtl/>
        </w:rPr>
        <w:t xml:space="preserve">רשב"א </w:t>
      </w:r>
      <w:r w:rsidRPr="008E1FAE">
        <w:rPr>
          <w:rFonts w:cs="Arial" w:hint="cs"/>
          <w:sz w:val="16"/>
          <w:szCs w:val="16"/>
          <w:rtl/>
        </w:rPr>
        <w:t>(</w:t>
      </w:r>
      <w:r w:rsidRPr="008E1FAE">
        <w:rPr>
          <w:rFonts w:cs="Arial"/>
          <w:sz w:val="16"/>
          <w:szCs w:val="16"/>
          <w:rtl/>
        </w:rPr>
        <w:t>סי</w:t>
      </w:r>
      <w:r w:rsidRPr="008E1FAE">
        <w:rPr>
          <w:rFonts w:cs="Arial" w:hint="cs"/>
          <w:sz w:val="16"/>
          <w:szCs w:val="16"/>
          <w:rtl/>
        </w:rPr>
        <w:t>'</w:t>
      </w:r>
      <w:r w:rsidRPr="008E1FAE">
        <w:rPr>
          <w:rFonts w:cs="Arial"/>
          <w:sz w:val="16"/>
          <w:szCs w:val="16"/>
          <w:rtl/>
        </w:rPr>
        <w:t xml:space="preserve"> תתקסב</w:t>
      </w:r>
      <w:r w:rsidRPr="008E1FAE">
        <w:rPr>
          <w:rFonts w:cs="Arial" w:hint="cs"/>
          <w:sz w:val="16"/>
          <w:szCs w:val="16"/>
          <w:rtl/>
        </w:rPr>
        <w:t>)</w:t>
      </w:r>
      <w:r w:rsidRPr="008E1FAE">
        <w:rPr>
          <w:rFonts w:cs="Arial" w:hint="cs"/>
          <w:rtl/>
        </w:rPr>
        <w:t>-</w:t>
      </w:r>
      <w:r w:rsidRPr="008E1FAE">
        <w:rPr>
          <w:rFonts w:cs="Arial"/>
          <w:rtl/>
        </w:rPr>
        <w:t xml:space="preserve"> על ראובן שכתב שיור לאשתו והערים וגירשה בו ביום והחזירה ואחר כך מתה בלא ולד והוא טוען שכיון שגירשה נתבטלו תנאים הראשונים והשיור והשיב שאין בדבריו כלום שהמגרש את אשתו והחזירה על דעת כתובה הראשונה החזירה כדתנן בסוף פרק הכותב (פט:) ואף על גב דאמר רב הונא עלה (צ.) לא שאנו אלא מנה ומאתים אבל תוספת אין לה היינו דוקא במה שהוסיף לה משלו אבל מה ששייר האב </w:t>
      </w:r>
      <w:r w:rsidRPr="008E1FAE">
        <w:rPr>
          <w:rFonts w:cs="Arial"/>
          <w:rtl/>
        </w:rPr>
        <w:lastRenderedPageBreak/>
        <w:t>ומה ששיירה האשה הרי הוא כעיקר הכתובה שהמכניס על דעת כן הכניס וכשקבל על דעת כן קבל ועוד שזה מערים הוא ושורת הדין בית דין דנין ומחייבין אותו</w:t>
      </w:r>
      <w:r w:rsidRPr="00F20C9C">
        <w:rPr>
          <w:rStyle w:val="a7"/>
          <w:rFonts w:cs="Arial"/>
          <w:color w:val="000000" w:themeColor="text1"/>
          <w:rtl/>
        </w:rPr>
        <w:footnoteReference w:id="2237"/>
      </w:r>
      <w:r w:rsidRPr="008E1FAE">
        <w:rPr>
          <w:rFonts w:cs="Arial" w:hint="cs"/>
          <w:rtl/>
        </w:rPr>
        <w:t>.</w:t>
      </w:r>
    </w:p>
    <w:p w14:paraId="1908C556" w14:textId="77777777" w:rsidR="002E5BAD" w:rsidRDefault="002E5BAD" w:rsidP="002E5BAD">
      <w:pPr>
        <w:rPr>
          <w:rFonts w:cs="Arial"/>
          <w:rtl/>
        </w:rPr>
      </w:pPr>
      <w:r w:rsidRPr="003024E5">
        <w:rPr>
          <w:rFonts w:asciiTheme="minorBidi" w:hAnsiTheme="minorBidi"/>
          <w:b/>
          <w:bCs/>
          <w:color w:val="000000"/>
          <w:sz w:val="28"/>
          <w:szCs w:val="28"/>
          <w:u w:val="single"/>
          <w:rtl/>
        </w:rPr>
        <w:t>שו"ע:</w:t>
      </w:r>
    </w:p>
    <w:p w14:paraId="5BB9A3DA" w14:textId="6F76AC6C" w:rsidR="002E5BAD" w:rsidRDefault="002E5BAD" w:rsidP="007D6167">
      <w:pPr>
        <w:rPr>
          <w:rFonts w:cs="Arial"/>
          <w:sz w:val="18"/>
          <w:szCs w:val="18"/>
          <w:rtl/>
        </w:rPr>
        <w:sectPr w:rsidR="002E5BAD" w:rsidSect="00A347B3">
          <w:headerReference w:type="default" r:id="rId48"/>
          <w:footnotePr>
            <w:numRestart w:val="eachPage"/>
          </w:footnotePr>
          <w:pgSz w:w="11906" w:h="16838"/>
          <w:pgMar w:top="720" w:right="1134" w:bottom="720" w:left="1134" w:header="0" w:footer="0" w:gutter="0"/>
          <w:cols w:space="720"/>
          <w:bidi/>
          <w:rtlGutter/>
          <w:docGrid w:linePitch="360"/>
        </w:sectPr>
      </w:pPr>
      <w:r>
        <w:rPr>
          <w:rFonts w:cs="Arial"/>
          <w:rtl/>
        </w:rPr>
        <w:t>התנה עמה אחר נישואין שלא יהיו לו דין ודברים בנכסיה ולא בפירי פירותיה עד עולם בחייה ובמותה, ה</w:t>
      </w:r>
      <w:r>
        <w:rPr>
          <w:rFonts w:cs="Arial" w:hint="cs"/>
          <w:rtl/>
        </w:rPr>
        <w:t>רי זה</w:t>
      </w:r>
      <w:r>
        <w:rPr>
          <w:rFonts w:cs="Arial"/>
          <w:rtl/>
        </w:rPr>
        <w:t xml:space="preserve"> אינו אוכל פירות כלל</w:t>
      </w:r>
      <w:r w:rsidRPr="00F20C9C">
        <w:rPr>
          <w:rStyle w:val="a7"/>
          <w:rFonts w:cs="Arial"/>
          <w:color w:val="000000" w:themeColor="text1"/>
          <w:rtl/>
        </w:rPr>
        <w:footnoteReference w:id="2238"/>
      </w:r>
      <w:r>
        <w:rPr>
          <w:rFonts w:cs="Arial"/>
          <w:rtl/>
        </w:rPr>
        <w:t xml:space="preserve">, אבל אם מתה יירשנה. </w:t>
      </w:r>
      <w:r w:rsidRPr="00DA1E36">
        <w:rPr>
          <w:rFonts w:cs="Arial"/>
          <w:sz w:val="18"/>
          <w:szCs w:val="18"/>
          <w:rtl/>
        </w:rPr>
        <w:t>הגה: סלק עצמו מנכסי אשתו וגירשה, וחזר ונשאה סתם, על תנאי הראשון הוא מחזירה (רשב"א סי</w:t>
      </w:r>
      <w:r>
        <w:rPr>
          <w:rFonts w:cs="Arial" w:hint="cs"/>
          <w:sz w:val="18"/>
          <w:szCs w:val="18"/>
          <w:rtl/>
        </w:rPr>
        <w:t>'</w:t>
      </w:r>
      <w:r w:rsidRPr="00DA1E36">
        <w:rPr>
          <w:rFonts w:cs="Arial"/>
          <w:sz w:val="18"/>
          <w:szCs w:val="18"/>
          <w:rtl/>
        </w:rPr>
        <w:t xml:space="preserve"> תתקסב)</w:t>
      </w:r>
      <w:r>
        <w:rPr>
          <w:rFonts w:cs="Arial" w:hint="cs"/>
          <w:sz w:val="18"/>
          <w:szCs w:val="18"/>
          <w:rtl/>
        </w:rPr>
        <w:t>.</w:t>
      </w:r>
    </w:p>
    <w:p w14:paraId="552F2CD0" w14:textId="7B992EA1" w:rsidR="002E5BAD" w:rsidRDefault="002E5BAD" w:rsidP="002E5BAD">
      <w:pPr>
        <w:pStyle w:val="1"/>
        <w:rPr>
          <w:rtl/>
        </w:rPr>
      </w:pPr>
      <w:r>
        <w:rPr>
          <w:rFonts w:hint="cs"/>
          <w:rtl/>
        </w:rPr>
        <w:lastRenderedPageBreak/>
        <w:t>סימן צג:</w:t>
      </w:r>
      <w:r w:rsidRPr="00C12B74">
        <w:rPr>
          <w:rtl/>
        </w:rPr>
        <w:t xml:space="preserve"> </w:t>
      </w:r>
      <w:r>
        <w:rPr>
          <w:rtl/>
        </w:rPr>
        <w:t xml:space="preserve">דין מזונות האלמנה, ובו ל"ב סעיפים. </w:t>
      </w:r>
    </w:p>
    <w:p w14:paraId="0DD715EF" w14:textId="77777777" w:rsidR="002E5BAD" w:rsidRDefault="002E5BAD" w:rsidP="002E5BAD">
      <w:pPr>
        <w:pStyle w:val="2"/>
        <w:rPr>
          <w:rtl/>
        </w:rPr>
      </w:pPr>
      <w:r>
        <w:rPr>
          <w:rtl/>
        </w:rPr>
        <w:t>סעיף א</w:t>
      </w:r>
      <w:r>
        <w:rPr>
          <w:rFonts w:hint="cs"/>
          <w:rtl/>
        </w:rPr>
        <w:t>: מתי האשה גובה כתובתה.</w:t>
      </w:r>
    </w:p>
    <w:p w14:paraId="0F713AA8" w14:textId="77777777" w:rsidR="002E5BAD" w:rsidRDefault="002E5BAD" w:rsidP="002E5BAD">
      <w:pPr>
        <w:rPr>
          <w:rtl/>
        </w:rPr>
      </w:pPr>
      <w:r w:rsidRPr="00F539C3">
        <w:rPr>
          <w:rFonts w:cs="Arial" w:hint="cs"/>
          <w:b/>
          <w:bCs/>
          <w:rtl/>
        </w:rPr>
        <w:t xml:space="preserve">כתובות </w:t>
      </w:r>
      <w:r>
        <w:rPr>
          <w:rFonts w:cs="Arial" w:hint="cs"/>
          <w:b/>
          <w:bCs/>
          <w:sz w:val="16"/>
          <w:szCs w:val="16"/>
          <w:rtl/>
        </w:rPr>
        <w:t>(פ' האשה שנפלו)</w:t>
      </w:r>
      <w:r>
        <w:rPr>
          <w:rFonts w:cs="Arial" w:hint="cs"/>
          <w:b/>
          <w:bCs/>
          <w:rtl/>
        </w:rPr>
        <w:t xml:space="preserve"> </w:t>
      </w:r>
      <w:r w:rsidRPr="00F539C3">
        <w:rPr>
          <w:rFonts w:cs="Arial" w:hint="cs"/>
          <w:b/>
          <w:bCs/>
          <w:rtl/>
        </w:rPr>
        <w:t>פא ע"א:</w:t>
      </w:r>
      <w:r>
        <w:rPr>
          <w:rFonts w:cs="Arial" w:hint="cs"/>
          <w:rtl/>
        </w:rPr>
        <w:t xml:space="preserve"> </w:t>
      </w:r>
      <w:r w:rsidRPr="00E21168">
        <w:rPr>
          <w:rFonts w:cs="Arial"/>
          <w:rtl/>
        </w:rPr>
        <w:t>לא ניתנה כתובה לגבות מחיים</w:t>
      </w:r>
      <w:r>
        <w:rPr>
          <w:rFonts w:cs="Arial" w:hint="cs"/>
          <w:rtl/>
        </w:rPr>
        <w:t>.</w:t>
      </w:r>
      <w:r w:rsidRPr="00F539C3">
        <w:rPr>
          <w:rFonts w:cs="Arial" w:hint="cs"/>
          <w:sz w:val="16"/>
          <w:szCs w:val="16"/>
          <w:rtl/>
        </w:rPr>
        <w:t xml:space="preserve"> (</w:t>
      </w:r>
      <w:r w:rsidRPr="00F539C3">
        <w:rPr>
          <w:rFonts w:cs="Arial"/>
          <w:sz w:val="16"/>
          <w:szCs w:val="16"/>
          <w:rtl/>
        </w:rPr>
        <w:t>מבואר בכמה דוכתי שלא ניתנה כתובה לגבות מחיים</w:t>
      </w:r>
      <w:r w:rsidRPr="00F539C3">
        <w:rPr>
          <w:rFonts w:cs="Arial" w:hint="cs"/>
          <w:sz w:val="16"/>
          <w:szCs w:val="16"/>
          <w:rtl/>
        </w:rPr>
        <w:t>, ב"י)</w:t>
      </w:r>
    </w:p>
    <w:p w14:paraId="05E407CA" w14:textId="77777777" w:rsidR="002E5BAD" w:rsidRPr="00F539C3" w:rsidRDefault="002E5BAD" w:rsidP="002E5BAD">
      <w:pPr>
        <w:rPr>
          <w:u w:val="single"/>
          <w:rtl/>
        </w:rPr>
      </w:pPr>
      <w:r w:rsidRPr="00F539C3">
        <w:rPr>
          <w:rFonts w:hint="cs"/>
          <w:u w:val="single"/>
          <w:rtl/>
        </w:rPr>
        <w:t>מתי האשה גובה כתובתה:</w:t>
      </w:r>
    </w:p>
    <w:p w14:paraId="180B922C" w14:textId="77777777" w:rsidR="002E5BAD" w:rsidRDefault="002E5BAD" w:rsidP="00B75458">
      <w:pPr>
        <w:pStyle w:val="ab"/>
        <w:numPr>
          <w:ilvl w:val="0"/>
          <w:numId w:val="192"/>
        </w:numPr>
      </w:pPr>
      <w:r w:rsidRPr="000A1431">
        <w:rPr>
          <w:rFonts w:cs="Arial" w:hint="cs"/>
          <w:rtl/>
        </w:rPr>
        <w:t xml:space="preserve">טור- </w:t>
      </w:r>
      <w:r w:rsidRPr="000A1431">
        <w:rPr>
          <w:rFonts w:cs="Arial"/>
          <w:rtl/>
        </w:rPr>
        <w:t xml:space="preserve">מת הבעל בחיי אשתו או שגירשה </w:t>
      </w:r>
      <w:r>
        <w:rPr>
          <w:rFonts w:cs="Arial" w:hint="cs"/>
          <w:rtl/>
        </w:rPr>
        <w:t xml:space="preserve">- </w:t>
      </w:r>
      <w:r w:rsidRPr="000A1431">
        <w:rPr>
          <w:rFonts w:cs="Arial"/>
          <w:rtl/>
        </w:rPr>
        <w:t>גובה כתובתה</w:t>
      </w:r>
      <w:r>
        <w:rPr>
          <w:rFonts w:cs="Arial" w:hint="cs"/>
          <w:rtl/>
        </w:rPr>
        <w:t>,</w:t>
      </w:r>
      <w:r w:rsidRPr="000A1431">
        <w:rPr>
          <w:rFonts w:cs="Arial"/>
          <w:rtl/>
        </w:rPr>
        <w:t xml:space="preserve"> אבל לא קודם אף על פי שהכתובה היא כמו שטר חוב אינה נגבית בכל עת אלא לכשתתאלמן או תתגרש</w:t>
      </w:r>
      <w:r>
        <w:rPr>
          <w:rFonts w:cs="Arial" w:hint="cs"/>
          <w:rtl/>
        </w:rPr>
        <w:t>.</w:t>
      </w:r>
      <w:r>
        <w:rPr>
          <w:rFonts w:hint="cs"/>
          <w:rtl/>
        </w:rPr>
        <w:t xml:space="preserve"> </w:t>
      </w:r>
      <w:r w:rsidRPr="00E533FD">
        <w:rPr>
          <w:rFonts w:hint="cs"/>
          <w:color w:val="E36C0A" w:themeColor="accent6" w:themeShade="BF"/>
          <w:rtl/>
        </w:rPr>
        <w:t>(וכ"פ בשו"ע)</w:t>
      </w:r>
    </w:p>
    <w:p w14:paraId="0EF367E5" w14:textId="77777777" w:rsidR="002E5BAD" w:rsidRPr="00E047B5" w:rsidRDefault="002E5BAD" w:rsidP="002E5BAD">
      <w:pPr>
        <w:ind w:left="360"/>
        <w:rPr>
          <w:u w:val="dotted"/>
          <w:rtl/>
        </w:rPr>
      </w:pPr>
      <w:r>
        <w:rPr>
          <w:rFonts w:hint="cs"/>
          <w:u w:val="dotted"/>
          <w:rtl/>
        </w:rPr>
        <w:t>ומה הדין באשה שאינה יכולה להנשא</w:t>
      </w:r>
      <w:r w:rsidRPr="00E047B5">
        <w:rPr>
          <w:rFonts w:hint="cs"/>
          <w:sz w:val="16"/>
          <w:szCs w:val="16"/>
          <w:u w:val="dotted"/>
          <w:rtl/>
        </w:rPr>
        <w:t xml:space="preserve"> (כגון שהיא עגונה או צריכה חליצה מספק</w:t>
      </w:r>
      <w:r>
        <w:rPr>
          <w:rFonts w:hint="cs"/>
          <w:sz w:val="16"/>
          <w:szCs w:val="16"/>
          <w:u w:val="dotted"/>
          <w:rtl/>
        </w:rPr>
        <w:t xml:space="preserve"> וכדו'</w:t>
      </w:r>
      <w:r w:rsidRPr="00E047B5">
        <w:rPr>
          <w:rFonts w:hint="cs"/>
          <w:sz w:val="16"/>
          <w:szCs w:val="16"/>
          <w:u w:val="dotted"/>
          <w:rtl/>
        </w:rPr>
        <w:t>)</w:t>
      </w:r>
      <w:r w:rsidRPr="00E047B5">
        <w:rPr>
          <w:rFonts w:hint="cs"/>
          <w:u w:val="dotted"/>
          <w:rtl/>
        </w:rPr>
        <w:t>:</w:t>
      </w:r>
      <w:r w:rsidRPr="00E047B5">
        <w:rPr>
          <w:rFonts w:cs="Arial"/>
          <w:sz w:val="16"/>
          <w:szCs w:val="16"/>
          <w:rtl/>
        </w:rPr>
        <w:t xml:space="preserve"> </w:t>
      </w:r>
    </w:p>
    <w:p w14:paraId="2AE581BA" w14:textId="77777777" w:rsidR="002E5BAD" w:rsidRPr="00F539C3" w:rsidRDefault="002E5BAD" w:rsidP="00B75458">
      <w:pPr>
        <w:pStyle w:val="ab"/>
        <w:numPr>
          <w:ilvl w:val="0"/>
          <w:numId w:val="192"/>
        </w:numPr>
      </w:pPr>
      <w:r>
        <w:rPr>
          <w:rFonts w:cs="Arial" w:hint="cs"/>
          <w:rtl/>
        </w:rPr>
        <w:t xml:space="preserve">דרכ"מ </w:t>
      </w:r>
      <w:r>
        <w:rPr>
          <w:rFonts w:cs="Arial" w:hint="cs"/>
          <w:sz w:val="16"/>
          <w:szCs w:val="16"/>
          <w:rtl/>
        </w:rPr>
        <w:t>(אות א)</w:t>
      </w:r>
      <w:r>
        <w:rPr>
          <w:rFonts w:cs="Arial" w:hint="cs"/>
          <w:rtl/>
        </w:rPr>
        <w:t xml:space="preserve">- </w:t>
      </w:r>
      <w:r w:rsidRPr="00554FA8">
        <w:rPr>
          <w:rFonts w:cs="Arial"/>
          <w:rtl/>
        </w:rPr>
        <w:t>משמע דאפילו אינה עדיין מותרת לינשא אפילו הכי יש לה כתובה מיד</w:t>
      </w:r>
      <w:r>
        <w:rPr>
          <w:rFonts w:cs="Arial" w:hint="cs"/>
          <w:rtl/>
        </w:rPr>
        <w:t>.</w:t>
      </w:r>
      <w:r w:rsidRPr="00554FA8">
        <w:rPr>
          <w:rFonts w:cs="Arial"/>
          <w:rtl/>
        </w:rPr>
        <w:t xml:space="preserve"> וכ"כ הרשב"א </w:t>
      </w:r>
      <w:r w:rsidRPr="00256FF8">
        <w:rPr>
          <w:rFonts w:cs="Arial"/>
          <w:sz w:val="16"/>
          <w:szCs w:val="16"/>
          <w:rtl/>
        </w:rPr>
        <w:t>(ח"א סי</w:t>
      </w:r>
      <w:r w:rsidRPr="00256FF8">
        <w:rPr>
          <w:rFonts w:cs="Arial" w:hint="cs"/>
          <w:sz w:val="16"/>
          <w:szCs w:val="16"/>
          <w:rtl/>
        </w:rPr>
        <w:t>'</w:t>
      </w:r>
      <w:r w:rsidRPr="00256FF8">
        <w:rPr>
          <w:rFonts w:cs="Arial"/>
          <w:sz w:val="16"/>
          <w:szCs w:val="16"/>
          <w:rtl/>
        </w:rPr>
        <w:t xml:space="preserve"> תשה</w:t>
      </w:r>
      <w:r w:rsidRPr="00256FF8">
        <w:rPr>
          <w:rFonts w:cs="Arial" w:hint="cs"/>
          <w:sz w:val="16"/>
          <w:szCs w:val="16"/>
          <w:rtl/>
        </w:rPr>
        <w:t>)</w:t>
      </w:r>
      <w:r w:rsidRPr="00256FF8">
        <w:rPr>
          <w:rFonts w:cs="Arial"/>
          <w:sz w:val="16"/>
          <w:szCs w:val="16"/>
          <w:rtl/>
        </w:rPr>
        <w:t xml:space="preserve"> </w:t>
      </w:r>
      <w:r w:rsidRPr="00554FA8">
        <w:rPr>
          <w:rFonts w:cs="Arial"/>
          <w:rtl/>
        </w:rPr>
        <w:t>דאשה הצריכה חליצה מספק ועדיין אגידא ביה מכל מקום גובה כתובתה</w:t>
      </w:r>
      <w:r>
        <w:rPr>
          <w:rStyle w:val="a7"/>
          <w:rFonts w:cs="Arial"/>
          <w:rtl/>
        </w:rPr>
        <w:footnoteReference w:id="2239"/>
      </w:r>
      <w:r>
        <w:rPr>
          <w:rFonts w:cs="Arial" w:hint="cs"/>
          <w:rtl/>
        </w:rPr>
        <w:t>.</w:t>
      </w:r>
      <w:r w:rsidRPr="00554FA8">
        <w:rPr>
          <w:rFonts w:cs="Arial"/>
          <w:rtl/>
        </w:rPr>
        <w:t xml:space="preserve"> וכן כתב הגמ</w:t>
      </w:r>
      <w:r>
        <w:rPr>
          <w:rFonts w:cs="Arial" w:hint="cs"/>
          <w:rtl/>
        </w:rPr>
        <w:t>"</w:t>
      </w:r>
      <w:r w:rsidRPr="00554FA8">
        <w:rPr>
          <w:rFonts w:cs="Arial"/>
          <w:rtl/>
        </w:rPr>
        <w:t>ר</w:t>
      </w:r>
      <w:r w:rsidRPr="00256FF8">
        <w:rPr>
          <w:rFonts w:cs="Arial"/>
          <w:sz w:val="16"/>
          <w:szCs w:val="16"/>
          <w:rtl/>
        </w:rPr>
        <w:t xml:space="preserve"> </w:t>
      </w:r>
      <w:r w:rsidRPr="00256FF8">
        <w:rPr>
          <w:rFonts w:cs="Arial" w:hint="cs"/>
          <w:sz w:val="16"/>
          <w:szCs w:val="16"/>
          <w:rtl/>
        </w:rPr>
        <w:t>(</w:t>
      </w:r>
      <w:r w:rsidRPr="00256FF8">
        <w:rPr>
          <w:rFonts w:cs="Arial"/>
          <w:sz w:val="16"/>
          <w:szCs w:val="16"/>
          <w:rtl/>
        </w:rPr>
        <w:t>כתובות סי' שח)</w:t>
      </w:r>
      <w:r w:rsidRPr="00554FA8">
        <w:rPr>
          <w:rFonts w:cs="Arial"/>
          <w:rtl/>
        </w:rPr>
        <w:t xml:space="preserve"> ואפילו נפל בעלה למים שאין להן סוף דאסורה להנשא אפילו הכי גובה כתובתה</w:t>
      </w:r>
      <w:r>
        <w:rPr>
          <w:rStyle w:val="a7"/>
          <w:rFonts w:cs="Arial"/>
          <w:rtl/>
        </w:rPr>
        <w:footnoteReference w:id="2240"/>
      </w:r>
      <w:r>
        <w:rPr>
          <w:rFonts w:cs="Arial" w:hint="cs"/>
          <w:rtl/>
        </w:rPr>
        <w:t>.</w:t>
      </w:r>
      <w:r w:rsidRPr="00554FA8">
        <w:rPr>
          <w:rFonts w:cs="Arial"/>
          <w:rtl/>
        </w:rPr>
        <w:t xml:space="preserve"> וכ"כ הגהות אלפסי פרק האשה </w:t>
      </w:r>
      <w:r w:rsidRPr="00256FF8">
        <w:rPr>
          <w:rFonts w:cs="Arial"/>
          <w:sz w:val="16"/>
          <w:szCs w:val="16"/>
          <w:rtl/>
        </w:rPr>
        <w:t>(כתובות לט. אות ה)</w:t>
      </w:r>
      <w:r w:rsidRPr="00554FA8">
        <w:rPr>
          <w:rFonts w:cs="Arial"/>
          <w:rtl/>
        </w:rPr>
        <w:t xml:space="preserve"> לענין מינקת</w:t>
      </w:r>
      <w:r>
        <w:rPr>
          <w:rStyle w:val="a7"/>
          <w:rFonts w:cs="Arial"/>
          <w:rtl/>
        </w:rPr>
        <w:footnoteReference w:id="2241"/>
      </w:r>
      <w:r>
        <w:rPr>
          <w:rFonts w:cs="Arial" w:hint="cs"/>
          <w:rtl/>
        </w:rPr>
        <w:t>.</w:t>
      </w:r>
      <w:r w:rsidRPr="00554FA8">
        <w:rPr>
          <w:rFonts w:cs="Arial"/>
          <w:rtl/>
        </w:rPr>
        <w:t xml:space="preserve"> וכן הוא במ</w:t>
      </w:r>
      <w:r>
        <w:rPr>
          <w:rFonts w:cs="Arial" w:hint="cs"/>
          <w:rtl/>
        </w:rPr>
        <w:t>"</w:t>
      </w:r>
      <w:r w:rsidRPr="00554FA8">
        <w:rPr>
          <w:rFonts w:cs="Arial"/>
          <w:rtl/>
        </w:rPr>
        <w:t xml:space="preserve">מ </w:t>
      </w:r>
      <w:r w:rsidRPr="00256FF8">
        <w:rPr>
          <w:rFonts w:cs="Arial" w:hint="cs"/>
          <w:sz w:val="16"/>
          <w:szCs w:val="16"/>
          <w:rtl/>
        </w:rPr>
        <w:t>(</w:t>
      </w:r>
      <w:r w:rsidRPr="00256FF8">
        <w:rPr>
          <w:rFonts w:cs="Arial"/>
          <w:sz w:val="16"/>
          <w:szCs w:val="16"/>
          <w:rtl/>
        </w:rPr>
        <w:t>פי"ח דאישות ה"ו)</w:t>
      </w:r>
      <w:r>
        <w:rPr>
          <w:rFonts w:cs="Arial" w:hint="cs"/>
          <w:rtl/>
        </w:rPr>
        <w:t>.</w:t>
      </w:r>
    </w:p>
    <w:p w14:paraId="41AE85A0" w14:textId="77777777" w:rsidR="002E5BAD" w:rsidRPr="00456C40" w:rsidRDefault="002E5BAD" w:rsidP="002E5BAD">
      <w:pPr>
        <w:rPr>
          <w:u w:val="single"/>
        </w:rPr>
      </w:pPr>
      <w:r w:rsidRPr="00456C40">
        <w:rPr>
          <w:rFonts w:hint="cs"/>
          <w:u w:val="single"/>
          <w:rtl/>
        </w:rPr>
        <w:t>אשה שגבתה כתובתה בערכאות כדי להציל ממון בעלה מנושה גוי, ו</w:t>
      </w:r>
      <w:r>
        <w:rPr>
          <w:rFonts w:hint="cs"/>
          <w:u w:val="single"/>
          <w:rtl/>
        </w:rPr>
        <w:t xml:space="preserve">אח"כ </w:t>
      </w:r>
      <w:r w:rsidRPr="00456C40">
        <w:rPr>
          <w:rFonts w:hint="cs"/>
          <w:u w:val="single"/>
          <w:rtl/>
        </w:rPr>
        <w:t>בא ישראל ותבע לבעלה על חוב אחר:</w:t>
      </w:r>
    </w:p>
    <w:p w14:paraId="5F4928C9" w14:textId="77777777" w:rsidR="002E5BAD" w:rsidRDefault="002E5BAD" w:rsidP="00B75458">
      <w:pPr>
        <w:pStyle w:val="ab"/>
        <w:numPr>
          <w:ilvl w:val="0"/>
          <w:numId w:val="192"/>
        </w:numPr>
        <w:rPr>
          <w:rFonts w:cs="Arial"/>
        </w:rPr>
      </w:pPr>
      <w:r>
        <w:rPr>
          <w:rFonts w:cs="Arial" w:hint="cs"/>
          <w:rtl/>
        </w:rPr>
        <w:t>ר</w:t>
      </w:r>
      <w:r w:rsidRPr="00F539C3">
        <w:rPr>
          <w:rFonts w:cs="Arial"/>
          <w:rtl/>
        </w:rPr>
        <w:t xml:space="preserve">שב"א </w:t>
      </w:r>
      <w:r w:rsidRPr="00F539C3">
        <w:rPr>
          <w:rFonts w:cs="Arial"/>
          <w:sz w:val="16"/>
          <w:szCs w:val="16"/>
          <w:rtl/>
        </w:rPr>
        <w:t>(ח"ו סי' ד</w:t>
      </w:r>
      <w:r>
        <w:rPr>
          <w:rFonts w:cs="Arial" w:hint="cs"/>
          <w:sz w:val="16"/>
          <w:szCs w:val="16"/>
          <w:rtl/>
        </w:rPr>
        <w:t>, והעתיק דבריו רי"ו [</w:t>
      </w:r>
      <w:r w:rsidRPr="00F539C3">
        <w:rPr>
          <w:rFonts w:cs="Arial"/>
          <w:sz w:val="16"/>
          <w:szCs w:val="16"/>
          <w:rtl/>
        </w:rPr>
        <w:t>מישרים נכ"ג ח"י סג ע"ד</w:t>
      </w:r>
      <w:r>
        <w:rPr>
          <w:rFonts w:cs="Arial" w:hint="cs"/>
          <w:sz w:val="16"/>
          <w:szCs w:val="16"/>
          <w:rtl/>
        </w:rPr>
        <w:t>]</w:t>
      </w:r>
      <w:r w:rsidRPr="00F539C3">
        <w:rPr>
          <w:rFonts w:cs="Arial"/>
          <w:sz w:val="16"/>
          <w:szCs w:val="16"/>
          <w:rtl/>
        </w:rPr>
        <w:t>)</w:t>
      </w:r>
      <w:r>
        <w:rPr>
          <w:rFonts w:cs="Arial" w:hint="cs"/>
          <w:rtl/>
        </w:rPr>
        <w:t xml:space="preserve">- </w:t>
      </w:r>
      <w:r w:rsidRPr="0093605B">
        <w:rPr>
          <w:rFonts w:cs="Arial"/>
          <w:rtl/>
        </w:rPr>
        <w:t xml:space="preserve">שאלה ראובן שהיה חייב אלף דינר בשטר חוב לגוי. ולא חתמה בו אשתו. וכשבא הגוי ליפרע מנכסי ראובן. הוציאה אשתו של ראובן כתובתה בערכאות של גוים שהיה מוקדם לשטר חוב. וגבתה כתובתה כל הנכסים שנמצאו לראובן בעלה. ועכשיו הוציא שמעון שטר חוב על ראובן הנז' ונתרעם ממנו בדיני ישראל. וראובן טוען שאין לו כלום שכל נכסיו גבתה אשתו שהגבה לה הגזבר בערכאותי'. ושמעון טוען שאותה הגוביינא שלא כדין נעשית לפי שלא נתנה כתובה לגבות מחיים. הדין עם מי? </w:t>
      </w:r>
      <w:r>
        <w:rPr>
          <w:rFonts w:cs="Arial" w:hint="cs"/>
          <w:rtl/>
        </w:rPr>
        <w:t xml:space="preserve">    </w:t>
      </w:r>
      <w:r w:rsidRPr="0093605B">
        <w:rPr>
          <w:rFonts w:cs="Arial"/>
          <w:rtl/>
        </w:rPr>
        <w:t>תשובה</w:t>
      </w:r>
      <w:r>
        <w:rPr>
          <w:rFonts w:cs="Arial" w:hint="cs"/>
          <w:rtl/>
        </w:rPr>
        <w:t>-</w:t>
      </w:r>
      <w:r w:rsidRPr="0093605B">
        <w:rPr>
          <w:rFonts w:cs="Arial"/>
          <w:rtl/>
        </w:rPr>
        <w:t xml:space="preserve"> מסתברא שהדין עם שמעון. והאמת א</w:t>
      </w:r>
      <w:r>
        <w:rPr>
          <w:rFonts w:cs="Arial" w:hint="cs"/>
          <w:rtl/>
        </w:rPr>
        <w:t>ו</w:t>
      </w:r>
      <w:r w:rsidRPr="0093605B">
        <w:rPr>
          <w:rFonts w:cs="Arial"/>
          <w:rtl/>
        </w:rPr>
        <w:t>מר שאותה גוביינא שלא כדין נעשית. ומה שגבתה לא גבתה. כבעל חוב שגבה קודם זמנ</w:t>
      </w:r>
      <w:r>
        <w:rPr>
          <w:rFonts w:cs="Arial" w:hint="cs"/>
          <w:rtl/>
        </w:rPr>
        <w:t xml:space="preserve">ו </w:t>
      </w:r>
      <w:r w:rsidRPr="0093605B">
        <w:rPr>
          <w:rFonts w:cs="Arial"/>
          <w:rtl/>
        </w:rPr>
        <w:t>מה שגבה לא גבה. וכ"ש כתובה דשמא לא תבוא לידי גוביינא לעולם אם תמות היא בחיי בעלה</w:t>
      </w:r>
      <w:r>
        <w:rPr>
          <w:rFonts w:cs="Arial" w:hint="cs"/>
          <w:rtl/>
        </w:rPr>
        <w:t>.</w:t>
      </w:r>
      <w:r w:rsidRPr="0093605B">
        <w:rPr>
          <w:rFonts w:cs="Arial"/>
          <w:rtl/>
        </w:rPr>
        <w:t xml:space="preserve"> </w:t>
      </w:r>
    </w:p>
    <w:p w14:paraId="14AE82CF" w14:textId="77777777" w:rsidR="002E5BAD" w:rsidRPr="00E533FD" w:rsidRDefault="002E5BAD" w:rsidP="002E5BAD">
      <w:pPr>
        <w:rPr>
          <w:rFonts w:cs="Arial"/>
          <w:u w:val="single"/>
        </w:rPr>
      </w:pPr>
      <w:r>
        <w:rPr>
          <w:rFonts w:cs="Arial" w:hint="cs"/>
          <w:u w:val="single"/>
          <w:rtl/>
        </w:rPr>
        <w:t>ה</w:t>
      </w:r>
      <w:r w:rsidRPr="00E533FD">
        <w:rPr>
          <w:rFonts w:cs="Arial" w:hint="cs"/>
          <w:u w:val="single"/>
          <w:rtl/>
        </w:rPr>
        <w:t>אם נדוניא ניתנת לגבייה מחיים:</w:t>
      </w:r>
    </w:p>
    <w:p w14:paraId="05DD063C" w14:textId="77777777" w:rsidR="002E5BAD" w:rsidRDefault="002E5BAD" w:rsidP="00B75458">
      <w:pPr>
        <w:pStyle w:val="ab"/>
        <w:numPr>
          <w:ilvl w:val="0"/>
          <w:numId w:val="192"/>
        </w:numPr>
        <w:rPr>
          <w:rFonts w:cs="Arial"/>
        </w:rPr>
      </w:pPr>
      <w:r>
        <w:rPr>
          <w:rFonts w:cs="Arial" w:hint="cs"/>
          <w:rtl/>
        </w:rPr>
        <w:t>ר</w:t>
      </w:r>
      <w:r w:rsidRPr="00F539C3">
        <w:rPr>
          <w:rFonts w:cs="Arial"/>
          <w:rtl/>
        </w:rPr>
        <w:t xml:space="preserve">שב"א </w:t>
      </w:r>
      <w:r w:rsidRPr="00F539C3">
        <w:rPr>
          <w:rFonts w:cs="Arial"/>
          <w:sz w:val="16"/>
          <w:szCs w:val="16"/>
          <w:rtl/>
        </w:rPr>
        <w:t>(ח"ו סי' ד</w:t>
      </w:r>
      <w:r>
        <w:rPr>
          <w:rFonts w:cs="Arial" w:hint="cs"/>
          <w:sz w:val="16"/>
          <w:szCs w:val="16"/>
          <w:rtl/>
        </w:rPr>
        <w:t>, והעתיק דבריו רי"ו [</w:t>
      </w:r>
      <w:r w:rsidRPr="00F539C3">
        <w:rPr>
          <w:rFonts w:cs="Arial"/>
          <w:sz w:val="16"/>
          <w:szCs w:val="16"/>
          <w:rtl/>
        </w:rPr>
        <w:t>מישרים נכ"ג ח"י סג ע"ד</w:t>
      </w:r>
      <w:r>
        <w:rPr>
          <w:rFonts w:cs="Arial" w:hint="cs"/>
          <w:sz w:val="16"/>
          <w:szCs w:val="16"/>
          <w:rtl/>
        </w:rPr>
        <w:t>]</w:t>
      </w:r>
      <w:r w:rsidRPr="00F539C3">
        <w:rPr>
          <w:rFonts w:cs="Arial"/>
          <w:sz w:val="16"/>
          <w:szCs w:val="16"/>
          <w:rtl/>
        </w:rPr>
        <w:t>)</w:t>
      </w:r>
      <w:r>
        <w:rPr>
          <w:rFonts w:cs="Arial" w:hint="cs"/>
          <w:rtl/>
        </w:rPr>
        <w:t xml:space="preserve">- </w:t>
      </w:r>
      <w:r w:rsidRPr="0093605B">
        <w:rPr>
          <w:rFonts w:cs="Arial"/>
          <w:rtl/>
        </w:rPr>
        <w:t>ומה שאמרת משם הרב בעל העיטור דנדונייא נתנה לגבות מחיים. אין דעתי נוטה לכך. שכלם מכניסות לבעל שלא יפרע ממנו אלא או באלמנות או בגירושין. ועוד מספר כתובה נלמוד שכוללין נדוניא ותוספת ביחד ואין מחלקין בזמן פרעונם. וזה נראה לי ברור</w:t>
      </w:r>
      <w:r>
        <w:rPr>
          <w:rStyle w:val="a7"/>
          <w:rFonts w:cs="Arial"/>
          <w:rtl/>
        </w:rPr>
        <w:footnoteReference w:id="2242"/>
      </w:r>
      <w:r w:rsidRPr="0093605B">
        <w:rPr>
          <w:rFonts w:cs="Arial" w:hint="cs"/>
          <w:rtl/>
        </w:rPr>
        <w:t>.</w:t>
      </w:r>
      <w:r>
        <w:rPr>
          <w:rFonts w:cs="Arial" w:hint="cs"/>
          <w:color w:val="00B0F0"/>
          <w:rtl/>
        </w:rPr>
        <w:t xml:space="preserve"> </w:t>
      </w:r>
      <w:r w:rsidRPr="00791541">
        <w:rPr>
          <w:rFonts w:cs="Arial" w:hint="cs"/>
          <w:color w:val="00B0F0"/>
          <w:rtl/>
        </w:rPr>
        <w:t>(וכ"פ הרמ"א)</w:t>
      </w:r>
    </w:p>
    <w:p w14:paraId="0B44E6C5" w14:textId="77777777" w:rsidR="002E5BAD" w:rsidRPr="008E4921" w:rsidRDefault="002E5BAD" w:rsidP="002E5BAD">
      <w:pPr>
        <w:rPr>
          <w:rFonts w:cs="Arial"/>
          <w:u w:val="single"/>
          <w:rtl/>
        </w:rPr>
      </w:pPr>
      <w:r>
        <w:rPr>
          <w:rFonts w:cs="Arial" w:hint="cs"/>
          <w:u w:val="single"/>
          <w:rtl/>
        </w:rPr>
        <w:t>בעל שכתב לאשתו</w:t>
      </w:r>
      <w:r w:rsidRPr="008E4921">
        <w:rPr>
          <w:rFonts w:cs="Arial" w:hint="cs"/>
          <w:u w:val="single"/>
          <w:rtl/>
        </w:rPr>
        <w:t xml:space="preserve"> </w:t>
      </w:r>
      <w:r>
        <w:rPr>
          <w:rFonts w:cs="Arial" w:hint="cs"/>
          <w:u w:val="single"/>
          <w:rtl/>
        </w:rPr>
        <w:t xml:space="preserve">שטר </w:t>
      </w:r>
      <w:r w:rsidRPr="008E4921">
        <w:rPr>
          <w:rFonts w:cs="Arial" w:hint="cs"/>
          <w:u w:val="single"/>
          <w:rtl/>
        </w:rPr>
        <w:t xml:space="preserve">מתנה ושתוכל לגבותה בין בחייו ובין במותו </w:t>
      </w:r>
      <w:r w:rsidRPr="008E4921">
        <w:rPr>
          <w:rFonts w:cs="Arial"/>
          <w:u w:val="single"/>
          <w:rtl/>
        </w:rPr>
        <w:t>–</w:t>
      </w:r>
      <w:r w:rsidRPr="008E4921">
        <w:rPr>
          <w:rFonts w:cs="Arial" w:hint="cs"/>
          <w:u w:val="single"/>
          <w:rtl/>
        </w:rPr>
        <w:t xml:space="preserve"> האם יכולה לגבותה:</w:t>
      </w:r>
    </w:p>
    <w:p w14:paraId="6D55C52B" w14:textId="77777777" w:rsidR="002E5BAD" w:rsidRDefault="002E5BAD" w:rsidP="00B75458">
      <w:pPr>
        <w:pStyle w:val="ab"/>
        <w:numPr>
          <w:ilvl w:val="0"/>
          <w:numId w:val="192"/>
        </w:numPr>
        <w:rPr>
          <w:rFonts w:cs="Arial"/>
        </w:rPr>
      </w:pPr>
      <w:r w:rsidRPr="00C7104C">
        <w:rPr>
          <w:rFonts w:cs="Arial"/>
          <w:rtl/>
        </w:rPr>
        <w:t xml:space="preserve">רשב"א </w:t>
      </w:r>
      <w:r>
        <w:rPr>
          <w:rFonts w:cs="Arial" w:hint="cs"/>
          <w:sz w:val="16"/>
          <w:szCs w:val="16"/>
          <w:rtl/>
        </w:rPr>
        <w:t>(בתשו', כ"כ רי"ו בשמו [</w:t>
      </w:r>
      <w:r w:rsidRPr="00F539C3">
        <w:rPr>
          <w:rFonts w:cs="Arial"/>
          <w:sz w:val="16"/>
          <w:szCs w:val="16"/>
          <w:rtl/>
        </w:rPr>
        <w:t>מישרים נכ"ג ח"י סג ע"ד</w:t>
      </w:r>
      <w:r>
        <w:rPr>
          <w:rFonts w:cs="Arial" w:hint="cs"/>
          <w:sz w:val="16"/>
          <w:szCs w:val="16"/>
          <w:rtl/>
        </w:rPr>
        <w:t>])</w:t>
      </w:r>
      <w:r>
        <w:rPr>
          <w:rFonts w:cs="Arial" w:hint="cs"/>
          <w:rtl/>
        </w:rPr>
        <w:t xml:space="preserve">- </w:t>
      </w:r>
      <w:r w:rsidRPr="00C7104C">
        <w:rPr>
          <w:rFonts w:cs="Arial"/>
          <w:rtl/>
        </w:rPr>
        <w:t>אף על פי שכתב לה במתנה לחוד שתגבה האשה בין בחייו בין במותו ואפילו בשלו'</w:t>
      </w:r>
      <w:r>
        <w:rPr>
          <w:rFonts w:cs="Arial" w:hint="cs"/>
          <w:rtl/>
        </w:rPr>
        <w:t xml:space="preserve"> -</w:t>
      </w:r>
      <w:r w:rsidRPr="00C7104C">
        <w:rPr>
          <w:rFonts w:cs="Arial"/>
          <w:rtl/>
        </w:rPr>
        <w:t xml:space="preserve"> ודאי יראה שאין נזקקין לדינא ואין מגבין אותה בחיי הבעל כלל</w:t>
      </w:r>
      <w:r>
        <w:rPr>
          <w:rFonts w:cs="Arial" w:hint="cs"/>
          <w:rtl/>
        </w:rPr>
        <w:t>,</w:t>
      </w:r>
      <w:r w:rsidRPr="00C7104C">
        <w:rPr>
          <w:rFonts w:cs="Arial"/>
          <w:rtl/>
        </w:rPr>
        <w:t xml:space="preserve"> דלא כתב לה רק להיות קיום וחיזוק שלא יוציאנה כאחת הקלות ושתבטח נפשה בו</w:t>
      </w:r>
      <w:r>
        <w:rPr>
          <w:rFonts w:cs="Arial" w:hint="cs"/>
          <w:rtl/>
        </w:rPr>
        <w:t>,</w:t>
      </w:r>
      <w:r w:rsidRPr="00C7104C">
        <w:rPr>
          <w:rFonts w:cs="Arial"/>
          <w:rtl/>
        </w:rPr>
        <w:t xml:space="preserve"> לא שיכתוב לה היום ותגבה למחר. וכלל גדול בידינו בכל תנאי שאדם מתנה עם חבירו שאין להלך אחר לשון הכתוב אלא אחר הכוונה לבד</w:t>
      </w:r>
      <w:r>
        <w:rPr>
          <w:rFonts w:cs="Arial" w:hint="cs"/>
          <w:rtl/>
        </w:rPr>
        <w:t>...</w:t>
      </w:r>
      <w:r w:rsidRPr="00C7104C">
        <w:rPr>
          <w:rFonts w:cs="Arial"/>
          <w:rtl/>
        </w:rPr>
        <w:t xml:space="preserve"> </w:t>
      </w:r>
    </w:p>
    <w:p w14:paraId="0E79E5E8" w14:textId="77777777" w:rsidR="002E5BAD" w:rsidRPr="0093605B" w:rsidRDefault="002E5BAD" w:rsidP="00B75458">
      <w:pPr>
        <w:pStyle w:val="ab"/>
        <w:numPr>
          <w:ilvl w:val="0"/>
          <w:numId w:val="192"/>
        </w:numPr>
        <w:rPr>
          <w:rFonts w:cs="Arial"/>
        </w:rPr>
      </w:pPr>
      <w:r w:rsidRPr="00C7104C">
        <w:rPr>
          <w:rFonts w:cs="Arial"/>
          <w:rtl/>
        </w:rPr>
        <w:lastRenderedPageBreak/>
        <w:t>גאון</w:t>
      </w:r>
      <w:r>
        <w:rPr>
          <w:rFonts w:cs="Arial" w:hint="cs"/>
          <w:sz w:val="16"/>
          <w:szCs w:val="16"/>
          <w:rtl/>
        </w:rPr>
        <w:t xml:space="preserve"> (כ"כ בשומ רי"ו [שם])</w:t>
      </w:r>
      <w:r>
        <w:rPr>
          <w:rFonts w:cs="Arial" w:hint="cs"/>
          <w:rtl/>
        </w:rPr>
        <w:t>-</w:t>
      </w:r>
      <w:r w:rsidRPr="00C7104C">
        <w:rPr>
          <w:rFonts w:cs="Arial"/>
          <w:rtl/>
        </w:rPr>
        <w:t xml:space="preserve"> מתנה לחוד אם יש בה תנאי שתגבה מחיים </w:t>
      </w:r>
      <w:r>
        <w:rPr>
          <w:rFonts w:cs="Arial" w:hint="cs"/>
          <w:rtl/>
        </w:rPr>
        <w:t xml:space="preserve">- </w:t>
      </w:r>
      <w:r w:rsidRPr="00C7104C">
        <w:rPr>
          <w:rFonts w:cs="Arial"/>
          <w:rtl/>
        </w:rPr>
        <w:t>נגבית מחיים</w:t>
      </w:r>
      <w:r>
        <w:rPr>
          <w:rFonts w:cs="Arial" w:hint="cs"/>
          <w:rtl/>
        </w:rPr>
        <w:t>,</w:t>
      </w:r>
      <w:r w:rsidRPr="00C7104C">
        <w:rPr>
          <w:rFonts w:cs="Arial"/>
          <w:rtl/>
        </w:rPr>
        <w:t xml:space="preserve"> אא</w:t>
      </w:r>
      <w:r>
        <w:rPr>
          <w:rFonts w:cs="Arial" w:hint="cs"/>
          <w:rtl/>
        </w:rPr>
        <w:t>"</w:t>
      </w:r>
      <w:r w:rsidRPr="00C7104C">
        <w:rPr>
          <w:rFonts w:cs="Arial"/>
          <w:rtl/>
        </w:rPr>
        <w:t>כ היה המנהג שלא תגבה מחיים. והמנהג שיהיה שרוב הקהל יתיעצו עם זקני הקהל ויעשו תקנה במה שיתקנו ויתקיימו אותה</w:t>
      </w:r>
      <w:r>
        <w:rPr>
          <w:rFonts w:cs="Arial" w:hint="cs"/>
          <w:rtl/>
        </w:rPr>
        <w:t>,</w:t>
      </w:r>
      <w:r w:rsidRPr="00C7104C">
        <w:rPr>
          <w:rFonts w:cs="Arial"/>
          <w:rtl/>
        </w:rPr>
        <w:t xml:space="preserve"> זהו המנהג</w:t>
      </w:r>
      <w:r>
        <w:rPr>
          <w:rFonts w:cs="Arial" w:hint="cs"/>
          <w:rtl/>
        </w:rPr>
        <w:t>.</w:t>
      </w:r>
      <w:r w:rsidRPr="00C7104C">
        <w:rPr>
          <w:rFonts w:cs="Arial"/>
          <w:rtl/>
        </w:rPr>
        <w:t xml:space="preserve"> ואפי' אחר כמה שנים אם לא ידעו</w:t>
      </w:r>
      <w:r>
        <w:rPr>
          <w:rFonts w:cs="Arial" w:hint="cs"/>
          <w:rtl/>
        </w:rPr>
        <w:t>,</w:t>
      </w:r>
      <w:r w:rsidRPr="00C7104C">
        <w:rPr>
          <w:rFonts w:cs="Arial"/>
          <w:rtl/>
        </w:rPr>
        <w:t xml:space="preserve"> היאך עקרו אותה</w:t>
      </w:r>
      <w:r>
        <w:rPr>
          <w:rFonts w:cs="Arial" w:hint="cs"/>
          <w:rtl/>
        </w:rPr>
        <w:t>,</w:t>
      </w:r>
      <w:r w:rsidRPr="00C7104C">
        <w:rPr>
          <w:rFonts w:cs="Arial"/>
          <w:rtl/>
        </w:rPr>
        <w:t xml:space="preserve"> יהיה המנהג עומד בחזקתו</w:t>
      </w:r>
      <w:r>
        <w:rPr>
          <w:rStyle w:val="a7"/>
          <w:rFonts w:cs="Arial"/>
          <w:rtl/>
        </w:rPr>
        <w:footnoteReference w:id="2243"/>
      </w:r>
      <w:r w:rsidRPr="00C7104C">
        <w:rPr>
          <w:rFonts w:cs="Arial"/>
          <w:rtl/>
        </w:rPr>
        <w:t>.</w:t>
      </w:r>
      <w:r w:rsidRPr="00791541">
        <w:rPr>
          <w:rFonts w:cs="Arial" w:hint="cs"/>
          <w:color w:val="00B0F0"/>
          <w:rtl/>
        </w:rPr>
        <w:t xml:space="preserve"> (וכ"פ הרמ"א)</w:t>
      </w:r>
    </w:p>
    <w:p w14:paraId="75759C5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FAC19E" w14:textId="77777777" w:rsidR="002E5BAD" w:rsidRDefault="002E5BAD" w:rsidP="002E5BAD">
      <w:pPr>
        <w:rPr>
          <w:rFonts w:cs="Arial"/>
          <w:rtl/>
        </w:rPr>
      </w:pPr>
      <w:r>
        <w:rPr>
          <w:rFonts w:cs="Arial"/>
          <w:rtl/>
        </w:rPr>
        <w:t xml:space="preserve">הכתובה הרי היא כחוב שיש לו זמן, ואינה נגבית אלא לאחר מיתת הבעל, או אם גירשה. </w:t>
      </w:r>
      <w:r w:rsidRPr="00554FA8">
        <w:rPr>
          <w:rFonts w:cs="Arial"/>
          <w:sz w:val="18"/>
          <w:szCs w:val="18"/>
          <w:rtl/>
        </w:rPr>
        <w:t>הגה: והוא הדין מה שקבל בנדוניא</w:t>
      </w:r>
      <w:r>
        <w:rPr>
          <w:rStyle w:val="a7"/>
          <w:rFonts w:cs="Arial"/>
          <w:sz w:val="18"/>
          <w:szCs w:val="18"/>
          <w:rtl/>
        </w:rPr>
        <w:footnoteReference w:id="2244"/>
      </w:r>
      <w:r w:rsidRPr="00554FA8">
        <w:rPr>
          <w:rFonts w:cs="Arial"/>
          <w:sz w:val="18"/>
          <w:szCs w:val="18"/>
          <w:rtl/>
        </w:rPr>
        <w:t>. ועיין לעייל סימן ס"ו סעיף י"א. כתב לה מתנות</w:t>
      </w:r>
      <w:r>
        <w:rPr>
          <w:rFonts w:cs="Arial" w:hint="cs"/>
          <w:sz w:val="18"/>
          <w:szCs w:val="18"/>
          <w:rtl/>
        </w:rPr>
        <w:t>,</w:t>
      </w:r>
      <w:r w:rsidRPr="00554FA8">
        <w:rPr>
          <w:rFonts w:cs="Arial"/>
          <w:sz w:val="18"/>
          <w:szCs w:val="18"/>
          <w:rtl/>
        </w:rPr>
        <w:t xml:space="preserve"> הם נגבות מחיים</w:t>
      </w:r>
      <w:r>
        <w:rPr>
          <w:rFonts w:cs="Arial" w:hint="cs"/>
          <w:sz w:val="18"/>
          <w:szCs w:val="18"/>
          <w:rtl/>
        </w:rPr>
        <w:t>.</w:t>
      </w:r>
      <w:r w:rsidRPr="00554FA8">
        <w:rPr>
          <w:rFonts w:cs="Arial"/>
          <w:sz w:val="18"/>
          <w:szCs w:val="18"/>
          <w:rtl/>
        </w:rPr>
        <w:t xml:space="preserve"> מיהו אם דרך המקום לכתוב כן לכבוד בעלמא ושלא לגבות מחיים, הולכין אחר המנהג (במישרים בשם גאון). ולא יוכל האב להתנות על בתו בשום דבר לאחר שנשאה, אבל אם הוא משיאה</w:t>
      </w:r>
      <w:r>
        <w:rPr>
          <w:rStyle w:val="a7"/>
          <w:rFonts w:cs="Arial"/>
          <w:sz w:val="18"/>
          <w:szCs w:val="18"/>
          <w:rtl/>
        </w:rPr>
        <w:footnoteReference w:id="2245"/>
      </w:r>
      <w:r w:rsidRPr="00554FA8">
        <w:rPr>
          <w:rFonts w:cs="Arial"/>
          <w:sz w:val="18"/>
          <w:szCs w:val="18"/>
          <w:rtl/>
        </w:rPr>
        <w:t xml:space="preserve"> יכול להתנות על מתנותיה לשנות מן המנהג קודם שנשאה, כפי רצונו. ועיין בח"ה סימן צ' סעיף כ"ד.</w:t>
      </w:r>
    </w:p>
    <w:p w14:paraId="1DE29D59" w14:textId="77777777" w:rsidR="002E5BAD" w:rsidRDefault="002E5BAD" w:rsidP="002E5BAD">
      <w:pPr>
        <w:rPr>
          <w:rFonts w:cs="Arial"/>
          <w:rtl/>
        </w:rPr>
      </w:pPr>
      <w:r>
        <w:rPr>
          <w:rFonts w:cs="Arial"/>
          <w:rtl/>
        </w:rPr>
        <w:t xml:space="preserve"> </w:t>
      </w:r>
    </w:p>
    <w:p w14:paraId="19BB15BC" w14:textId="77777777" w:rsidR="002E5BAD" w:rsidRDefault="002E5BAD" w:rsidP="002E5BAD">
      <w:pPr>
        <w:pStyle w:val="2"/>
        <w:rPr>
          <w:rtl/>
        </w:rPr>
      </w:pPr>
      <w:r>
        <w:rPr>
          <w:rtl/>
        </w:rPr>
        <w:t>סעיף ב</w:t>
      </w:r>
      <w:r>
        <w:rPr>
          <w:rFonts w:hint="cs"/>
          <w:rtl/>
        </w:rPr>
        <w:t>: חיוב מזונות עד שיתן לאשתו כתובתה. וחיוב מזונות בספק גירושין.</w:t>
      </w:r>
    </w:p>
    <w:p w14:paraId="393D7BD4" w14:textId="77777777" w:rsidR="002E5BAD" w:rsidRPr="006866EF" w:rsidRDefault="002E5BAD" w:rsidP="002E5BAD">
      <w:pPr>
        <w:rPr>
          <w:rFonts w:cs="Arial"/>
          <w:rtl/>
        </w:rPr>
      </w:pPr>
      <w:r w:rsidRPr="00506832">
        <w:rPr>
          <w:rFonts w:cs="Arial"/>
          <w:b/>
          <w:bCs/>
          <w:rtl/>
        </w:rPr>
        <w:t>ירושלמי ב</w:t>
      </w:r>
      <w:r w:rsidRPr="00506832">
        <w:rPr>
          <w:rFonts w:cs="Arial" w:hint="cs"/>
          <w:b/>
          <w:bCs/>
          <w:rtl/>
        </w:rPr>
        <w:t xml:space="preserve">בא </w:t>
      </w:r>
      <w:r w:rsidRPr="00506832">
        <w:rPr>
          <w:rFonts w:cs="Arial"/>
          <w:b/>
          <w:bCs/>
          <w:rtl/>
        </w:rPr>
        <w:t>מ</w:t>
      </w:r>
      <w:r w:rsidRPr="00506832">
        <w:rPr>
          <w:rFonts w:cs="Arial" w:hint="cs"/>
          <w:b/>
          <w:bCs/>
          <w:rtl/>
        </w:rPr>
        <w:t>ציעא</w:t>
      </w:r>
      <w:r w:rsidRPr="00506832">
        <w:rPr>
          <w:rFonts w:cs="Arial"/>
          <w:b/>
          <w:bCs/>
          <w:rtl/>
        </w:rPr>
        <w:t xml:space="preserve"> פ"א ה"ה</w:t>
      </w:r>
      <w:r w:rsidRPr="00506832">
        <w:rPr>
          <w:rFonts w:cs="Arial" w:hint="cs"/>
          <w:b/>
          <w:bCs/>
          <w:rtl/>
        </w:rPr>
        <w:t>:</w:t>
      </w:r>
      <w:r>
        <w:rPr>
          <w:rFonts w:cs="Arial" w:hint="cs"/>
          <w:rtl/>
        </w:rPr>
        <w:t xml:space="preserve"> </w:t>
      </w:r>
      <w:r w:rsidRPr="007F4E48">
        <w:rPr>
          <w:rFonts w:cs="Arial"/>
          <w:u w:val="single"/>
          <w:rtl/>
        </w:rPr>
        <w:t>רבי יוסנא בשם רבי אחא</w:t>
      </w:r>
      <w:r>
        <w:rPr>
          <w:rFonts w:cs="Arial" w:hint="cs"/>
          <w:rtl/>
        </w:rPr>
        <w:t>:</w:t>
      </w:r>
      <w:r w:rsidRPr="00506832">
        <w:rPr>
          <w:rFonts w:cs="Arial"/>
          <w:rtl/>
        </w:rPr>
        <w:t xml:space="preserve"> אדם שגירש אשתו ולא נתן לה כתובתה חייב במזונותיה עד שיתן לה פרוטה אחרונה</w:t>
      </w:r>
      <w:r>
        <w:rPr>
          <w:rStyle w:val="a7"/>
          <w:rFonts w:cs="Arial"/>
          <w:rtl/>
        </w:rPr>
        <w:footnoteReference w:id="2246"/>
      </w:r>
      <w:r w:rsidRPr="00506832">
        <w:rPr>
          <w:rFonts w:cs="Arial"/>
          <w:rtl/>
        </w:rPr>
        <w:t xml:space="preserve">. </w:t>
      </w:r>
      <w:r w:rsidRPr="007F4E48">
        <w:rPr>
          <w:rFonts w:cs="Arial"/>
          <w:u w:val="single"/>
          <w:rtl/>
        </w:rPr>
        <w:t>א"ר יוסי</w:t>
      </w:r>
      <w:r>
        <w:rPr>
          <w:rFonts w:cs="Arial" w:hint="cs"/>
          <w:rtl/>
        </w:rPr>
        <w:t>:</w:t>
      </w:r>
      <w:r w:rsidRPr="00506832">
        <w:rPr>
          <w:rFonts w:cs="Arial"/>
          <w:rtl/>
        </w:rPr>
        <w:t xml:space="preserve"> מתניתא אמרה כן</w:t>
      </w:r>
      <w:r>
        <w:rPr>
          <w:rFonts w:cs="Arial" w:hint="cs"/>
          <w:rtl/>
        </w:rPr>
        <w:t>,</w:t>
      </w:r>
      <w:r w:rsidRPr="00506832">
        <w:rPr>
          <w:rFonts w:cs="Arial"/>
          <w:rtl/>
        </w:rPr>
        <w:t xml:space="preserve"> מציאת אשתו שגירשה</w:t>
      </w:r>
      <w:r>
        <w:rPr>
          <w:rStyle w:val="a7"/>
          <w:rFonts w:cs="Arial"/>
          <w:rtl/>
        </w:rPr>
        <w:footnoteReference w:id="2247"/>
      </w:r>
      <w:r>
        <w:rPr>
          <w:rFonts w:cs="Arial" w:hint="cs"/>
          <w:rtl/>
        </w:rPr>
        <w:t>.</w:t>
      </w:r>
      <w:r w:rsidRPr="00506832">
        <w:rPr>
          <w:rFonts w:cs="Arial"/>
          <w:rtl/>
        </w:rPr>
        <w:t xml:space="preserve"> </w:t>
      </w:r>
      <w:r w:rsidRPr="007F4E48">
        <w:rPr>
          <w:rFonts w:cs="Arial"/>
          <w:u w:val="single"/>
          <w:rtl/>
        </w:rPr>
        <w:t>א"ר הושעיה</w:t>
      </w:r>
      <w:r>
        <w:rPr>
          <w:rFonts w:cs="Arial" w:hint="cs"/>
          <w:rtl/>
        </w:rPr>
        <w:t>:</w:t>
      </w:r>
      <w:r w:rsidRPr="00506832">
        <w:rPr>
          <w:rFonts w:cs="Arial"/>
          <w:rtl/>
        </w:rPr>
        <w:t xml:space="preserve"> שלא תאמר הואיל וחייב במזונותיה עד שיתן לה פרוטה האחרונה תהא מציאתה שלו לפום כן צריך מתניתא</w:t>
      </w:r>
      <w:r>
        <w:rPr>
          <w:rFonts w:cs="Arial" w:hint="cs"/>
          <w:rtl/>
        </w:rPr>
        <w:t>.</w:t>
      </w:r>
      <w:r>
        <w:rPr>
          <w:rFonts w:cs="Arial"/>
          <w:rtl/>
        </w:rPr>
        <w:t xml:space="preserve"> </w:t>
      </w:r>
      <w:r w:rsidRPr="006866EF">
        <w:rPr>
          <w:rFonts w:cs="Arial" w:hint="cs"/>
          <w:sz w:val="16"/>
          <w:szCs w:val="16"/>
          <w:rtl/>
        </w:rPr>
        <w:t>(</w:t>
      </w:r>
      <w:r w:rsidRPr="006866EF">
        <w:rPr>
          <w:rFonts w:cs="Arial"/>
          <w:sz w:val="16"/>
          <w:szCs w:val="16"/>
          <w:rtl/>
        </w:rPr>
        <w:t xml:space="preserve">כתבוהו הרי"ף </w:t>
      </w:r>
      <w:r w:rsidRPr="006866EF">
        <w:rPr>
          <w:rFonts w:cs="Arial" w:hint="cs"/>
          <w:sz w:val="16"/>
          <w:szCs w:val="16"/>
          <w:rtl/>
        </w:rPr>
        <w:t xml:space="preserve">(פ"ק דב"מ ו., וכן בפרק בתרא דכתובות סב:) </w:t>
      </w:r>
      <w:r w:rsidRPr="006866EF">
        <w:rPr>
          <w:rFonts w:cs="Arial"/>
          <w:sz w:val="16"/>
          <w:szCs w:val="16"/>
          <w:rtl/>
        </w:rPr>
        <w:t xml:space="preserve">והרא"ש </w:t>
      </w:r>
      <w:r w:rsidRPr="006866EF">
        <w:rPr>
          <w:rFonts w:cs="Arial" w:hint="cs"/>
          <w:sz w:val="16"/>
          <w:szCs w:val="16"/>
          <w:rtl/>
        </w:rPr>
        <w:t xml:space="preserve">(ב"מ פ"ק </w:t>
      </w:r>
      <w:r w:rsidRPr="006866EF">
        <w:rPr>
          <w:rFonts w:cs="Arial"/>
          <w:sz w:val="16"/>
          <w:szCs w:val="16"/>
          <w:rtl/>
        </w:rPr>
        <w:t>סי' לד</w:t>
      </w:r>
      <w:r w:rsidRPr="006866EF">
        <w:rPr>
          <w:rFonts w:cs="Arial" w:hint="cs"/>
          <w:sz w:val="16"/>
          <w:szCs w:val="16"/>
          <w:rtl/>
        </w:rPr>
        <w:t xml:space="preserve">, וכן בפרק בתרא </w:t>
      </w:r>
      <w:r w:rsidRPr="006866EF">
        <w:rPr>
          <w:rFonts w:cs="Arial"/>
          <w:sz w:val="16"/>
          <w:szCs w:val="16"/>
          <w:rtl/>
        </w:rPr>
        <w:t>דכתובות סי' ד)</w:t>
      </w:r>
      <w:r w:rsidRPr="006866EF">
        <w:rPr>
          <w:rFonts w:cs="Arial" w:hint="cs"/>
          <w:sz w:val="16"/>
          <w:szCs w:val="16"/>
          <w:rtl/>
        </w:rPr>
        <w:t>.</w:t>
      </w:r>
      <w:r w:rsidRPr="006866EF">
        <w:rPr>
          <w:rFonts w:cs="Arial"/>
          <w:sz w:val="16"/>
          <w:szCs w:val="16"/>
          <w:rtl/>
        </w:rPr>
        <w:t xml:space="preserve"> וכתב הרי"ף דמשמע דגמרא דידן לית לה האי סברא דירושלמי</w:t>
      </w:r>
      <w:r w:rsidRPr="006866EF">
        <w:rPr>
          <w:rFonts w:cs="Arial" w:hint="cs"/>
          <w:sz w:val="16"/>
          <w:szCs w:val="16"/>
          <w:rtl/>
        </w:rPr>
        <w:t>,</w:t>
      </w:r>
      <w:r w:rsidRPr="006866EF">
        <w:rPr>
          <w:rFonts w:cs="Arial"/>
          <w:sz w:val="16"/>
          <w:szCs w:val="16"/>
          <w:rtl/>
        </w:rPr>
        <w:t xml:space="preserve"> וכיון שכן לא קיי"ל כוותיה</w:t>
      </w:r>
      <w:r w:rsidRPr="006866EF">
        <w:rPr>
          <w:rFonts w:cs="Arial" w:hint="cs"/>
          <w:sz w:val="16"/>
          <w:szCs w:val="16"/>
          <w:rtl/>
        </w:rPr>
        <w:t>.</w:t>
      </w:r>
      <w:r w:rsidRPr="006866EF">
        <w:rPr>
          <w:rFonts w:cs="Arial"/>
          <w:sz w:val="16"/>
          <w:szCs w:val="16"/>
          <w:rtl/>
        </w:rPr>
        <w:t xml:space="preserve"> והרא"ש (ב"מ שם) דחה ראייתו</w:t>
      </w:r>
      <w:r w:rsidRPr="006866EF">
        <w:rPr>
          <w:rFonts w:cs="Arial" w:hint="cs"/>
          <w:sz w:val="16"/>
          <w:szCs w:val="16"/>
          <w:rtl/>
        </w:rPr>
        <w:t>,</w:t>
      </w:r>
      <w:r w:rsidRPr="006866EF">
        <w:rPr>
          <w:rFonts w:cs="Arial"/>
          <w:sz w:val="16"/>
          <w:szCs w:val="16"/>
          <w:rtl/>
        </w:rPr>
        <w:t xml:space="preserve"> וכתב שגם בעל העיטור (אות כ' כתובות לז ע"א) דחה ראייתו</w:t>
      </w:r>
      <w:r w:rsidRPr="006866EF">
        <w:rPr>
          <w:rFonts w:cs="Arial" w:hint="cs"/>
          <w:sz w:val="16"/>
          <w:szCs w:val="16"/>
          <w:rtl/>
        </w:rPr>
        <w:t>,</w:t>
      </w:r>
      <w:r w:rsidRPr="006866EF">
        <w:rPr>
          <w:rFonts w:cs="Arial"/>
          <w:sz w:val="16"/>
          <w:szCs w:val="16"/>
          <w:rtl/>
        </w:rPr>
        <w:t xml:space="preserve"> ובסוף דבריו כתב הרא"ש וכיון שאין ראיה ברורה דפליג תלמוד דידן אירושלמי עבדינן כוותיה</w:t>
      </w:r>
      <w:r>
        <w:rPr>
          <w:rFonts w:cs="Arial" w:hint="cs"/>
          <w:sz w:val="16"/>
          <w:szCs w:val="16"/>
          <w:rtl/>
        </w:rPr>
        <w:t>, ב"י)</w:t>
      </w:r>
    </w:p>
    <w:p w14:paraId="06C44624" w14:textId="77777777" w:rsidR="002E5BAD" w:rsidRPr="00E167F2" w:rsidRDefault="002E5BAD" w:rsidP="002E5BAD">
      <w:pPr>
        <w:rPr>
          <w:u w:val="single"/>
          <w:rtl/>
        </w:rPr>
      </w:pPr>
      <w:r w:rsidRPr="00E167F2">
        <w:rPr>
          <w:rFonts w:hint="cs"/>
          <w:u w:val="single"/>
          <w:rtl/>
        </w:rPr>
        <w:t>אשה שהתגרשה  - נוטלת כתובתה:</w:t>
      </w:r>
    </w:p>
    <w:p w14:paraId="32C3898D" w14:textId="77777777" w:rsidR="002E5BAD" w:rsidRPr="00E167F2" w:rsidRDefault="002E5BAD" w:rsidP="00B75458">
      <w:pPr>
        <w:pStyle w:val="ab"/>
        <w:numPr>
          <w:ilvl w:val="0"/>
          <w:numId w:val="192"/>
        </w:numPr>
      </w:pPr>
      <w:r>
        <w:rPr>
          <w:rFonts w:cs="Arial" w:hint="cs"/>
          <w:rtl/>
        </w:rPr>
        <w:t xml:space="preserve">טור- </w:t>
      </w:r>
      <w:r w:rsidRPr="000A1431">
        <w:rPr>
          <w:rFonts w:cs="Arial"/>
          <w:rtl/>
        </w:rPr>
        <w:t>ואם תתגרש אין לה עסק עמו אלא נוטלת כתובתה והולכת</w:t>
      </w:r>
      <w:r>
        <w:rPr>
          <w:rFonts w:cs="Arial" w:hint="cs"/>
          <w:rtl/>
        </w:rPr>
        <w:t>.</w:t>
      </w:r>
    </w:p>
    <w:p w14:paraId="1280C216" w14:textId="77777777" w:rsidR="002E5BAD" w:rsidRPr="00E167F2" w:rsidRDefault="002E5BAD" w:rsidP="002E5BAD">
      <w:pPr>
        <w:ind w:left="360"/>
        <w:rPr>
          <w:u w:val="dotted"/>
        </w:rPr>
      </w:pPr>
      <w:r w:rsidRPr="00E167F2">
        <w:rPr>
          <w:rFonts w:cs="Arial" w:hint="cs"/>
          <w:u w:val="dotted"/>
          <w:rtl/>
        </w:rPr>
        <w:t>ומה הדין אם הבעל מעכב מליתן לה כתובתה:</w:t>
      </w:r>
      <w:r w:rsidRPr="00E167F2">
        <w:rPr>
          <w:rFonts w:cs="Arial"/>
          <w:u w:val="dotted"/>
          <w:rtl/>
        </w:rPr>
        <w:t xml:space="preserve"> </w:t>
      </w:r>
    </w:p>
    <w:p w14:paraId="70A293FD" w14:textId="77777777" w:rsidR="002E5BAD" w:rsidRPr="00E167F2" w:rsidRDefault="002E5BAD" w:rsidP="00B75458">
      <w:pPr>
        <w:pStyle w:val="ab"/>
        <w:numPr>
          <w:ilvl w:val="0"/>
          <w:numId w:val="192"/>
        </w:numPr>
      </w:pPr>
      <w:r>
        <w:rPr>
          <w:rFonts w:cs="Arial" w:hint="cs"/>
          <w:rtl/>
        </w:rPr>
        <w:t xml:space="preserve">העיטור </w:t>
      </w:r>
      <w:r>
        <w:rPr>
          <w:rFonts w:cs="Arial" w:hint="cs"/>
          <w:sz w:val="16"/>
          <w:szCs w:val="16"/>
          <w:rtl/>
        </w:rPr>
        <w:t xml:space="preserve">(כ"כ הרא"ש בשמו) </w:t>
      </w:r>
      <w:r w:rsidRPr="007F4E48">
        <w:rPr>
          <w:rFonts w:cs="Arial"/>
          <w:rtl/>
        </w:rPr>
        <w:t xml:space="preserve">רא"ש </w:t>
      </w:r>
      <w:r w:rsidRPr="007F4E48">
        <w:rPr>
          <w:rFonts w:cs="Arial" w:hint="cs"/>
          <w:sz w:val="16"/>
          <w:szCs w:val="16"/>
          <w:rtl/>
        </w:rPr>
        <w:t xml:space="preserve">(ב"מ פ"ק </w:t>
      </w:r>
      <w:r w:rsidRPr="007F4E48">
        <w:rPr>
          <w:rFonts w:cs="Arial"/>
          <w:sz w:val="16"/>
          <w:szCs w:val="16"/>
          <w:rtl/>
        </w:rPr>
        <w:t>סי' לד</w:t>
      </w:r>
      <w:r w:rsidRPr="007F4E48">
        <w:rPr>
          <w:rFonts w:cs="Arial" w:hint="cs"/>
          <w:sz w:val="16"/>
          <w:szCs w:val="16"/>
          <w:rtl/>
        </w:rPr>
        <w:t xml:space="preserve">, וכן בפרק בתרא </w:t>
      </w:r>
      <w:r w:rsidRPr="007F4E48">
        <w:rPr>
          <w:rFonts w:cs="Arial"/>
          <w:sz w:val="16"/>
          <w:szCs w:val="16"/>
          <w:rtl/>
        </w:rPr>
        <w:t>דכתובות סי' ד)</w:t>
      </w:r>
      <w:r>
        <w:rPr>
          <w:rFonts w:cs="Arial" w:hint="cs"/>
          <w:rtl/>
        </w:rPr>
        <w:t xml:space="preserve"> וטור- </w:t>
      </w:r>
      <w:r w:rsidRPr="000A1431">
        <w:rPr>
          <w:rFonts w:cs="Arial"/>
          <w:rtl/>
        </w:rPr>
        <w:t>בד"א שנתן לה כתובה בלא איחור</w:t>
      </w:r>
      <w:r>
        <w:rPr>
          <w:rFonts w:cs="Arial" w:hint="cs"/>
          <w:rtl/>
        </w:rPr>
        <w:t>,</w:t>
      </w:r>
      <w:r w:rsidRPr="000A1431">
        <w:rPr>
          <w:rFonts w:cs="Arial"/>
          <w:rtl/>
        </w:rPr>
        <w:t xml:space="preserve"> אבל אם מעכב מליתנה לה </w:t>
      </w:r>
      <w:r>
        <w:rPr>
          <w:rFonts w:cs="Arial" w:hint="cs"/>
          <w:rtl/>
        </w:rPr>
        <w:t xml:space="preserve">- </w:t>
      </w:r>
      <w:r w:rsidRPr="000A1431">
        <w:rPr>
          <w:rFonts w:cs="Arial"/>
          <w:rtl/>
        </w:rPr>
        <w:t>חייב במזונותיה עד שיפרע לה עד פרוטה אחרונה</w:t>
      </w:r>
      <w:r>
        <w:rPr>
          <w:rFonts w:cs="Arial" w:hint="cs"/>
          <w:sz w:val="16"/>
          <w:szCs w:val="16"/>
          <w:rtl/>
        </w:rPr>
        <w:t xml:space="preserve"> (ל' הטור)</w:t>
      </w:r>
      <w:r>
        <w:rPr>
          <w:rFonts w:cs="Arial" w:hint="cs"/>
          <w:rtl/>
        </w:rPr>
        <w:t>.</w:t>
      </w:r>
      <w:r w:rsidRPr="000A1431">
        <w:rPr>
          <w:rFonts w:cs="Arial"/>
          <w:rtl/>
        </w:rPr>
        <w:t xml:space="preserve"> </w:t>
      </w:r>
    </w:p>
    <w:p w14:paraId="2814547C" w14:textId="77777777" w:rsidR="002E5BAD" w:rsidRPr="00C94C46" w:rsidRDefault="002E5BAD" w:rsidP="00B75458">
      <w:pPr>
        <w:pStyle w:val="ab"/>
        <w:numPr>
          <w:ilvl w:val="0"/>
          <w:numId w:val="192"/>
        </w:numPr>
      </w:pPr>
      <w:r>
        <w:rPr>
          <w:rFonts w:cs="Arial" w:hint="cs"/>
          <w:rtl/>
        </w:rPr>
        <w:t xml:space="preserve">רי"ף </w:t>
      </w:r>
      <w:r>
        <w:rPr>
          <w:rFonts w:cs="Arial" w:hint="cs"/>
          <w:sz w:val="16"/>
          <w:szCs w:val="16"/>
          <w:rtl/>
        </w:rPr>
        <w:t>(פ"ק דב"מ ו., וכן בפרק בתרא דכתובות סב:)</w:t>
      </w:r>
      <w:r>
        <w:rPr>
          <w:rFonts w:cs="Arial" w:hint="cs"/>
          <w:rtl/>
        </w:rPr>
        <w:t>-</w:t>
      </w:r>
      <w:r w:rsidRPr="00506832">
        <w:rPr>
          <w:rtl/>
        </w:rPr>
        <w:t xml:space="preserve"> </w:t>
      </w:r>
      <w:r w:rsidRPr="00506832">
        <w:rPr>
          <w:rFonts w:cs="Arial"/>
          <w:rtl/>
        </w:rPr>
        <w:t>ירושלמי ר' יוסנה בשם ר' אחא אמר אדם שגירש את אשתו ולא נתן לה כתובתה חייב במזונותיה עד שיתן לה פרוטה אחרונה</w:t>
      </w:r>
      <w:r>
        <w:rPr>
          <w:rFonts w:cs="Arial" w:hint="cs"/>
          <w:rtl/>
        </w:rPr>
        <w:t>...</w:t>
      </w:r>
      <w:r w:rsidRPr="00506832">
        <w:rPr>
          <w:rFonts w:cs="Arial"/>
          <w:rtl/>
        </w:rPr>
        <w:t xml:space="preserve"> ומסתברא לן דגמרא דילן לית ליה האי סברא</w:t>
      </w:r>
      <w:r>
        <w:rPr>
          <w:rStyle w:val="a7"/>
          <w:rFonts w:cs="Arial"/>
          <w:rtl/>
        </w:rPr>
        <w:footnoteReference w:id="2248"/>
      </w:r>
      <w:r>
        <w:rPr>
          <w:rFonts w:cs="Arial" w:hint="cs"/>
          <w:rtl/>
        </w:rPr>
        <w:t>...</w:t>
      </w:r>
      <w:r w:rsidRPr="000A1431">
        <w:rPr>
          <w:rFonts w:cs="Arial"/>
          <w:rtl/>
        </w:rPr>
        <w:t xml:space="preserve"> </w:t>
      </w:r>
    </w:p>
    <w:p w14:paraId="2EF9F164" w14:textId="77777777" w:rsidR="002E5BAD" w:rsidRPr="00C21207" w:rsidRDefault="002E5BAD" w:rsidP="002E5BAD">
      <w:pPr>
        <w:ind w:left="360"/>
        <w:rPr>
          <w:rFonts w:cs="Arial"/>
          <w:u w:val="dotted"/>
        </w:rPr>
      </w:pPr>
      <w:r w:rsidRPr="00C21207">
        <w:rPr>
          <w:rFonts w:cs="Arial" w:hint="cs"/>
          <w:u w:val="dotted"/>
          <w:rtl/>
        </w:rPr>
        <w:t xml:space="preserve">לרא"ש וסיעתו </w:t>
      </w:r>
      <w:r w:rsidRPr="00C21207">
        <w:rPr>
          <w:rFonts w:cs="Arial"/>
          <w:u w:val="dotted"/>
          <w:rtl/>
        </w:rPr>
        <w:t>–</w:t>
      </w:r>
      <w:r w:rsidRPr="00C21207">
        <w:rPr>
          <w:rFonts w:cs="Arial" w:hint="cs"/>
          <w:u w:val="dotted"/>
          <w:rtl/>
        </w:rPr>
        <w:t xml:space="preserve"> מה הדין בחלוצה:</w:t>
      </w:r>
    </w:p>
    <w:p w14:paraId="45AE42B9" w14:textId="77777777" w:rsidR="002E5BAD" w:rsidRDefault="002E5BAD" w:rsidP="00B75458">
      <w:pPr>
        <w:pStyle w:val="ab"/>
        <w:numPr>
          <w:ilvl w:val="0"/>
          <w:numId w:val="192"/>
        </w:numPr>
        <w:rPr>
          <w:rFonts w:cs="Arial"/>
        </w:rPr>
      </w:pPr>
      <w:r w:rsidRPr="00E167F2">
        <w:rPr>
          <w:rFonts w:cs="Arial"/>
          <w:rtl/>
        </w:rPr>
        <w:lastRenderedPageBreak/>
        <w:t>ריב"ש</w:t>
      </w:r>
      <w:r>
        <w:rPr>
          <w:rFonts w:cs="Arial" w:hint="cs"/>
          <w:sz w:val="16"/>
          <w:szCs w:val="16"/>
          <w:rtl/>
        </w:rPr>
        <w:t xml:space="preserve"> (סי' שג)</w:t>
      </w:r>
      <w:r>
        <w:rPr>
          <w:rFonts w:cs="Arial" w:hint="cs"/>
          <w:rtl/>
        </w:rPr>
        <w:t xml:space="preserve">- </w:t>
      </w:r>
      <w:r w:rsidRPr="00E167F2">
        <w:rPr>
          <w:rFonts w:cs="Arial"/>
          <w:rtl/>
        </w:rPr>
        <w:t>אפילו לאותם שנטו לסברת הירושלמי בגרושה נראה שאין לומר כן בחלוצה</w:t>
      </w:r>
      <w:r>
        <w:rPr>
          <w:rFonts w:cs="Arial" w:hint="cs"/>
          <w:rtl/>
        </w:rPr>
        <w:t>,</w:t>
      </w:r>
      <w:r w:rsidRPr="00E167F2">
        <w:rPr>
          <w:rFonts w:cs="Arial"/>
          <w:rtl/>
        </w:rPr>
        <w:t xml:space="preserve"> שהרי הרא"ש שנטה קצת לדברי הירושלמי נדחק לדחות ראיות הרי"ף ולומר דודאי אין טעם הירושלמי מן הדין אלא תקנה שתקנו כדי ליפות כח האשה לתת לה כתובתה בעין יפה ולא על יד</w:t>
      </w:r>
      <w:r>
        <w:rPr>
          <w:rFonts w:cs="Arial" w:hint="cs"/>
          <w:rtl/>
        </w:rPr>
        <w:t>.</w:t>
      </w:r>
      <w:r w:rsidRPr="00E167F2">
        <w:rPr>
          <w:rFonts w:cs="Arial"/>
          <w:rtl/>
        </w:rPr>
        <w:t xml:space="preserve"> ואם כן יש לנו לומר שכשתיקנו בני מערבא לא תיקנו אלא על המגרש לבד</w:t>
      </w:r>
      <w:r>
        <w:rPr>
          <w:rFonts w:cs="Arial" w:hint="cs"/>
          <w:rtl/>
        </w:rPr>
        <w:t>,</w:t>
      </w:r>
      <w:r w:rsidRPr="00E167F2">
        <w:rPr>
          <w:rFonts w:cs="Arial"/>
          <w:rtl/>
        </w:rPr>
        <w:t xml:space="preserve"> אבל על היורשים לא תיקנו אפילו בגרושה</w:t>
      </w:r>
      <w:r>
        <w:rPr>
          <w:rFonts w:cs="Arial" w:hint="cs"/>
          <w:rtl/>
        </w:rPr>
        <w:t>,</w:t>
      </w:r>
      <w:r w:rsidRPr="00E167F2">
        <w:rPr>
          <w:rFonts w:cs="Arial"/>
          <w:rtl/>
        </w:rPr>
        <w:t xml:space="preserve"> דדוקא בחייו אבל לאחר מיתת המגרש אין לה מזונות על היורשים</w:t>
      </w:r>
      <w:r>
        <w:rPr>
          <w:rFonts w:cs="Arial" w:hint="cs"/>
          <w:rtl/>
        </w:rPr>
        <w:t>,</w:t>
      </w:r>
      <w:r w:rsidRPr="00E167F2">
        <w:rPr>
          <w:rFonts w:cs="Arial"/>
          <w:rtl/>
        </w:rPr>
        <w:t xml:space="preserve"> וה"ה לחלוצה</w:t>
      </w:r>
      <w:r>
        <w:rPr>
          <w:rFonts w:cs="Arial" w:hint="cs"/>
          <w:rtl/>
        </w:rPr>
        <w:t>.</w:t>
      </w:r>
    </w:p>
    <w:p w14:paraId="4942924A" w14:textId="77777777" w:rsidR="002E5BAD" w:rsidRDefault="002E5BAD" w:rsidP="002E5BAD">
      <w:pPr>
        <w:rPr>
          <w:rFonts w:cs="Arial"/>
          <w:rtl/>
        </w:rPr>
      </w:pPr>
      <w:r w:rsidRPr="005C6F18">
        <w:rPr>
          <w:rFonts w:cs="Arial" w:hint="cs"/>
          <w:b/>
          <w:bCs/>
          <w:rtl/>
        </w:rPr>
        <w:t xml:space="preserve">בבא מציעא </w:t>
      </w:r>
      <w:r w:rsidRPr="005C6F18">
        <w:rPr>
          <w:rFonts w:cs="Arial" w:hint="cs"/>
          <w:b/>
          <w:bCs/>
          <w:sz w:val="16"/>
          <w:szCs w:val="16"/>
          <w:rtl/>
        </w:rPr>
        <w:t xml:space="preserve">(פ"ק) </w:t>
      </w:r>
      <w:r w:rsidRPr="005C6F18">
        <w:rPr>
          <w:rFonts w:cs="Arial" w:hint="cs"/>
          <w:b/>
          <w:bCs/>
          <w:rtl/>
        </w:rPr>
        <w:t>יב ע"ב:</w:t>
      </w:r>
      <w:r>
        <w:rPr>
          <w:rFonts w:cs="Arial" w:hint="cs"/>
          <w:rtl/>
        </w:rPr>
        <w:t xml:space="preserve"> </w:t>
      </w:r>
      <w:r w:rsidRPr="005C6F18">
        <w:rPr>
          <w:rFonts w:cs="Arial"/>
          <w:u w:val="single"/>
          <w:rtl/>
        </w:rPr>
        <w:t>דאמר רבי זירא אמר שמואל</w:t>
      </w:r>
      <w:r w:rsidRPr="005C6F18">
        <w:rPr>
          <w:rFonts w:cs="Arial"/>
          <w:rtl/>
        </w:rPr>
        <w:t>: כל מקום שאמרו חכמים מגורשת ואינה מגורשת</w:t>
      </w:r>
      <w:r>
        <w:rPr>
          <w:rStyle w:val="a7"/>
          <w:rFonts w:cs="Arial"/>
          <w:rtl/>
        </w:rPr>
        <w:footnoteReference w:id="2249"/>
      </w:r>
      <w:r w:rsidRPr="005C6F18">
        <w:rPr>
          <w:rFonts w:cs="Arial"/>
          <w:rtl/>
        </w:rPr>
        <w:t xml:space="preserve"> - בעלה חייב במזונותיה.</w:t>
      </w:r>
    </w:p>
    <w:p w14:paraId="19F30DFB" w14:textId="77777777" w:rsidR="002E5BAD" w:rsidRDefault="002E5BAD" w:rsidP="002E5BAD">
      <w:pPr>
        <w:rPr>
          <w:rFonts w:cs="Arial"/>
          <w:rtl/>
        </w:rPr>
      </w:pPr>
      <w:r w:rsidRPr="003E717B">
        <w:rPr>
          <w:rFonts w:cs="Arial" w:hint="cs"/>
          <w:b/>
          <w:bCs/>
          <w:rtl/>
        </w:rPr>
        <w:t xml:space="preserve">כתובות </w:t>
      </w:r>
      <w:r w:rsidRPr="003E717B">
        <w:rPr>
          <w:rFonts w:cs="Arial" w:hint="cs"/>
          <w:b/>
          <w:bCs/>
          <w:sz w:val="16"/>
          <w:szCs w:val="16"/>
          <w:rtl/>
        </w:rPr>
        <w:t xml:space="preserve">(פ' אלמנה ניזונת) </w:t>
      </w:r>
      <w:r w:rsidRPr="003E717B">
        <w:rPr>
          <w:rFonts w:cs="Arial" w:hint="cs"/>
          <w:b/>
          <w:bCs/>
          <w:rtl/>
        </w:rPr>
        <w:t xml:space="preserve">צז ע"ב: </w:t>
      </w:r>
      <w:r w:rsidRPr="005C6F18">
        <w:rPr>
          <w:rFonts w:cs="Arial"/>
          <w:rtl/>
        </w:rPr>
        <w:t xml:space="preserve">כדרבי זירא, </w:t>
      </w:r>
      <w:r w:rsidRPr="003E717B">
        <w:rPr>
          <w:rFonts w:cs="Arial"/>
          <w:u w:val="single"/>
          <w:rtl/>
        </w:rPr>
        <w:t>דאמר ר' זירא</w:t>
      </w:r>
      <w:r w:rsidRPr="005C6F18">
        <w:rPr>
          <w:rFonts w:cs="Arial"/>
          <w:rtl/>
        </w:rPr>
        <w:t>: כל מקום שאמרו מגורשת ואינה מגורשת - בעל חייב במזונותי</w:t>
      </w:r>
      <w:r>
        <w:rPr>
          <w:rFonts w:cs="Arial" w:hint="cs"/>
          <w:rtl/>
        </w:rPr>
        <w:t>ה</w:t>
      </w:r>
      <w:r>
        <w:rPr>
          <w:rStyle w:val="a7"/>
          <w:rFonts w:cs="Arial"/>
          <w:rtl/>
        </w:rPr>
        <w:footnoteReference w:id="2250"/>
      </w:r>
      <w:r>
        <w:rPr>
          <w:rFonts w:cs="Arial" w:hint="cs"/>
          <w:rtl/>
        </w:rPr>
        <w:t xml:space="preserve"> </w:t>
      </w:r>
      <w:r w:rsidRPr="005C6F18">
        <w:rPr>
          <w:rFonts w:cs="Arial"/>
          <w:rtl/>
        </w:rPr>
        <w:t xml:space="preserve">. </w:t>
      </w:r>
    </w:p>
    <w:p w14:paraId="1C6C1BA5" w14:textId="77777777" w:rsidR="002E5BAD" w:rsidRPr="003E717B" w:rsidRDefault="002E5BAD" w:rsidP="002E5BAD">
      <w:pPr>
        <w:rPr>
          <w:rFonts w:cs="Arial"/>
          <w:u w:val="single"/>
          <w:rtl/>
        </w:rPr>
      </w:pPr>
      <w:r w:rsidRPr="003E717B">
        <w:rPr>
          <w:rFonts w:cs="Arial" w:hint="cs"/>
          <w:u w:val="single"/>
          <w:rtl/>
        </w:rPr>
        <w:t xml:space="preserve">אשה שספק מגורשת </w:t>
      </w:r>
      <w:r w:rsidRPr="003E717B">
        <w:rPr>
          <w:rFonts w:cs="Arial"/>
          <w:u w:val="single"/>
          <w:rtl/>
        </w:rPr>
        <w:t>–</w:t>
      </w:r>
      <w:r w:rsidRPr="003E717B">
        <w:rPr>
          <w:rFonts w:cs="Arial" w:hint="cs"/>
          <w:u w:val="single"/>
          <w:rtl/>
        </w:rPr>
        <w:t xml:space="preserve"> האם בעלה חייב בנתיים במזונותיה:</w:t>
      </w:r>
    </w:p>
    <w:p w14:paraId="7A6D4B06" w14:textId="77777777" w:rsidR="002E5BAD" w:rsidRPr="00506832" w:rsidRDefault="002E5BAD" w:rsidP="00B75458">
      <w:pPr>
        <w:pStyle w:val="ab"/>
        <w:numPr>
          <w:ilvl w:val="0"/>
          <w:numId w:val="192"/>
        </w:numPr>
      </w:pPr>
      <w:r>
        <w:rPr>
          <w:rFonts w:cs="Arial" w:hint="cs"/>
          <w:rtl/>
        </w:rPr>
        <w:t xml:space="preserve">טור- </w:t>
      </w:r>
      <w:r w:rsidRPr="000A1431">
        <w:rPr>
          <w:rFonts w:cs="Arial"/>
          <w:rtl/>
        </w:rPr>
        <w:t xml:space="preserve">וכן אם זרק לה גט ברשות הרבים ספק קרוב לו ספק קרוב לה </w:t>
      </w:r>
      <w:r>
        <w:rPr>
          <w:rFonts w:cs="Arial" w:hint="cs"/>
          <w:rtl/>
        </w:rPr>
        <w:t xml:space="preserve">- </w:t>
      </w:r>
      <w:r w:rsidRPr="000A1431">
        <w:rPr>
          <w:rFonts w:cs="Arial"/>
          <w:rtl/>
        </w:rPr>
        <w:t>חייב במזונותיה</w:t>
      </w:r>
      <w:r>
        <w:rPr>
          <w:rFonts w:cs="Arial" w:hint="cs"/>
          <w:rtl/>
        </w:rPr>
        <w:t>.</w:t>
      </w:r>
      <w:r w:rsidRPr="000A1431">
        <w:rPr>
          <w:rFonts w:cs="Arial"/>
          <w:rtl/>
        </w:rPr>
        <w:t xml:space="preserve"> ודוקא בחייו</w:t>
      </w:r>
      <w:r>
        <w:rPr>
          <w:rFonts w:cs="Arial" w:hint="cs"/>
          <w:rtl/>
        </w:rPr>
        <w:t>,</w:t>
      </w:r>
      <w:r w:rsidRPr="000A1431">
        <w:rPr>
          <w:rFonts w:cs="Arial"/>
          <w:rtl/>
        </w:rPr>
        <w:t xml:space="preserve"> אבל אם מת </w:t>
      </w:r>
      <w:r>
        <w:rPr>
          <w:rFonts w:cs="Arial" w:hint="cs"/>
          <w:rtl/>
        </w:rPr>
        <w:t xml:space="preserve">- </w:t>
      </w:r>
      <w:r w:rsidRPr="000A1431">
        <w:rPr>
          <w:rFonts w:cs="Arial"/>
          <w:rtl/>
        </w:rPr>
        <w:t>אין היורשים חייבים לזונה</w:t>
      </w:r>
      <w:r>
        <w:rPr>
          <w:rFonts w:cs="Arial" w:hint="cs"/>
          <w:rtl/>
        </w:rPr>
        <w:t>.</w:t>
      </w:r>
      <w:r>
        <w:rPr>
          <w:rFonts w:hint="cs"/>
          <w:rtl/>
        </w:rPr>
        <w:t xml:space="preserve"> </w:t>
      </w:r>
      <w:r w:rsidRPr="003E717B">
        <w:rPr>
          <w:rFonts w:hint="cs"/>
          <w:color w:val="E36C0A" w:themeColor="accent6" w:themeShade="BF"/>
          <w:rtl/>
        </w:rPr>
        <w:t>(וכ"פ בשו"ע)</w:t>
      </w:r>
    </w:p>
    <w:p w14:paraId="4DE42D5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ABA4A4" w14:textId="77777777" w:rsidR="002E5BAD" w:rsidRDefault="002E5BAD" w:rsidP="002E5BAD">
      <w:pPr>
        <w:rPr>
          <w:rtl/>
        </w:rPr>
      </w:pPr>
      <w:r>
        <w:rPr>
          <w:rFonts w:cs="Arial"/>
          <w:rtl/>
        </w:rPr>
        <w:t>האשה שהיה לה ספק גירושין ומת בעלה, אינה ניזונית מנכסיו, שאין מוציאין מיד היורש, מספק. אבל בחיי בעלה יש לה מזונות עד שתתגרש גרושין גמורים</w:t>
      </w:r>
      <w:r>
        <w:rPr>
          <w:rStyle w:val="a7"/>
          <w:rFonts w:cs="Arial"/>
          <w:rtl/>
        </w:rPr>
        <w:footnoteReference w:id="2251"/>
      </w:r>
      <w:r>
        <w:rPr>
          <w:rFonts w:cs="Arial"/>
          <w:rtl/>
        </w:rPr>
        <w:t xml:space="preserve">. </w:t>
      </w:r>
    </w:p>
    <w:p w14:paraId="64D7F919" w14:textId="77777777" w:rsidR="002E5BAD" w:rsidRPr="00B4071F" w:rsidRDefault="002E5BAD" w:rsidP="002E5BAD">
      <w:pPr>
        <w:rPr>
          <w:u w:val="single"/>
          <w:rtl/>
        </w:rPr>
      </w:pPr>
      <w:r>
        <w:rPr>
          <w:rFonts w:hint="cs"/>
          <w:u w:val="single"/>
          <w:rtl/>
        </w:rPr>
        <w:t>אשה</w:t>
      </w:r>
      <w:r w:rsidRPr="00B4071F">
        <w:rPr>
          <w:rFonts w:hint="cs"/>
          <w:u w:val="single"/>
          <w:rtl/>
        </w:rPr>
        <w:t xml:space="preserve"> </w:t>
      </w:r>
      <w:r>
        <w:rPr>
          <w:rFonts w:hint="cs"/>
          <w:u w:val="single"/>
          <w:rtl/>
        </w:rPr>
        <w:t>ש</w:t>
      </w:r>
      <w:r w:rsidRPr="00B4071F">
        <w:rPr>
          <w:rFonts w:hint="cs"/>
          <w:u w:val="single"/>
          <w:rtl/>
        </w:rPr>
        <w:t xml:space="preserve">טוענת </w:t>
      </w:r>
      <w:r>
        <w:rPr>
          <w:rFonts w:hint="cs"/>
          <w:u w:val="single"/>
          <w:rtl/>
        </w:rPr>
        <w:t xml:space="preserve">שלא בפני בעלה, </w:t>
      </w:r>
      <w:r w:rsidRPr="00B4071F">
        <w:rPr>
          <w:rFonts w:hint="cs"/>
          <w:u w:val="single"/>
          <w:rtl/>
        </w:rPr>
        <w:t>שבעלה גרש אותה, ו</w:t>
      </w:r>
      <w:r>
        <w:rPr>
          <w:rFonts w:hint="cs"/>
          <w:u w:val="single"/>
          <w:rtl/>
        </w:rPr>
        <w:t>כשהגיע בעלה הכחיש את דבריה</w:t>
      </w:r>
      <w:r w:rsidRPr="00B4071F">
        <w:rPr>
          <w:rFonts w:hint="cs"/>
          <w:u w:val="single"/>
          <w:rtl/>
        </w:rPr>
        <w:t>:</w:t>
      </w:r>
    </w:p>
    <w:p w14:paraId="4C7C25E6" w14:textId="77777777" w:rsidR="002E5BAD" w:rsidRDefault="002E5BAD" w:rsidP="00B75458">
      <w:pPr>
        <w:pStyle w:val="ab"/>
        <w:numPr>
          <w:ilvl w:val="0"/>
          <w:numId w:val="192"/>
        </w:numPr>
        <w:rPr>
          <w:rtl/>
        </w:rPr>
      </w:pPr>
      <w:r w:rsidRPr="00B4071F">
        <w:rPr>
          <w:rFonts w:cs="Arial" w:hint="cs"/>
          <w:rtl/>
        </w:rPr>
        <w:t xml:space="preserve">פת"ש </w:t>
      </w:r>
      <w:r w:rsidRPr="00B4071F">
        <w:rPr>
          <w:rFonts w:cs="Arial" w:hint="cs"/>
          <w:sz w:val="16"/>
          <w:szCs w:val="16"/>
          <w:rtl/>
        </w:rPr>
        <w:t>(סק"ב)</w:t>
      </w:r>
      <w:r w:rsidRPr="00B4071F">
        <w:rPr>
          <w:rFonts w:cs="Arial" w:hint="cs"/>
          <w:rtl/>
        </w:rPr>
        <w:t xml:space="preserve">- </w:t>
      </w:r>
      <w:r>
        <w:rPr>
          <w:rFonts w:cs="Arial" w:hint="cs"/>
          <w:rtl/>
        </w:rPr>
        <w:t xml:space="preserve">עיין </w:t>
      </w:r>
      <w:r w:rsidRPr="00B4071F">
        <w:rPr>
          <w:rFonts w:cs="Arial"/>
          <w:rtl/>
        </w:rPr>
        <w:t>בס' ישועות יעקב שנסתפק בזה באומרת גרשני שלא בפני בעלה</w:t>
      </w:r>
      <w:r>
        <w:rPr>
          <w:rFonts w:cs="Arial" w:hint="cs"/>
          <w:rtl/>
        </w:rPr>
        <w:t>,</w:t>
      </w:r>
      <w:r w:rsidRPr="00B4071F">
        <w:rPr>
          <w:rFonts w:cs="Arial"/>
          <w:rtl/>
        </w:rPr>
        <w:t xml:space="preserve"> ואח"כ בא בעלה ומכחיש</w:t>
      </w:r>
      <w:r>
        <w:rPr>
          <w:rFonts w:cs="Arial" w:hint="cs"/>
          <w:rtl/>
        </w:rPr>
        <w:t>ה</w:t>
      </w:r>
      <w:r w:rsidRPr="00B4071F">
        <w:rPr>
          <w:rFonts w:cs="Arial"/>
          <w:rtl/>
        </w:rPr>
        <w:t xml:space="preserve"> דאז אסור</w:t>
      </w:r>
      <w:r>
        <w:rPr>
          <w:rFonts w:cs="Arial" w:hint="cs"/>
          <w:rtl/>
        </w:rPr>
        <w:t>ה</w:t>
      </w:r>
      <w:r w:rsidRPr="00B4071F">
        <w:rPr>
          <w:rFonts w:cs="Arial"/>
          <w:rtl/>
        </w:rPr>
        <w:t xml:space="preserve"> להנשא</w:t>
      </w:r>
      <w:r>
        <w:rPr>
          <w:rFonts w:cs="Arial" w:hint="cs"/>
          <w:rtl/>
        </w:rPr>
        <w:t>.</w:t>
      </w:r>
      <w:r w:rsidRPr="00B4071F">
        <w:rPr>
          <w:rFonts w:cs="Arial"/>
          <w:rtl/>
        </w:rPr>
        <w:t xml:space="preserve"> ואח"כ באו עדים או שבעלה בעצמו הודה שגירש</w:t>
      </w:r>
      <w:r>
        <w:rPr>
          <w:rFonts w:cs="Arial" w:hint="cs"/>
          <w:rtl/>
        </w:rPr>
        <w:t>ה,</w:t>
      </w:r>
      <w:r w:rsidRPr="00B4071F">
        <w:rPr>
          <w:rFonts w:cs="Arial"/>
          <w:rtl/>
        </w:rPr>
        <w:t xml:space="preserve"> אי נימא דחייב במזונותי</w:t>
      </w:r>
      <w:r>
        <w:rPr>
          <w:rFonts w:cs="Arial" w:hint="cs"/>
          <w:rtl/>
        </w:rPr>
        <w:t>ה</w:t>
      </w:r>
      <w:r w:rsidRPr="00B4071F">
        <w:rPr>
          <w:rFonts w:cs="Arial"/>
          <w:rtl/>
        </w:rPr>
        <w:t xml:space="preserve"> משום שעל ידו הית</w:t>
      </w:r>
      <w:r>
        <w:rPr>
          <w:rFonts w:cs="Arial" w:hint="cs"/>
          <w:rtl/>
        </w:rPr>
        <w:t>ה</w:t>
      </w:r>
      <w:r w:rsidRPr="00B4071F">
        <w:rPr>
          <w:rFonts w:cs="Arial"/>
          <w:rtl/>
        </w:rPr>
        <w:t xml:space="preserve"> מעוכבת להנשא</w:t>
      </w:r>
      <w:r>
        <w:rPr>
          <w:rFonts w:cs="Arial" w:hint="cs"/>
          <w:rtl/>
        </w:rPr>
        <w:t>.</w:t>
      </w:r>
      <w:r w:rsidRPr="00B4071F">
        <w:rPr>
          <w:rFonts w:cs="Arial"/>
          <w:rtl/>
        </w:rPr>
        <w:t xml:space="preserve"> והראה פנים לכל צד ומסיים </w:t>
      </w:r>
      <w:r>
        <w:rPr>
          <w:rFonts w:cs="Arial" w:hint="cs"/>
          <w:rtl/>
        </w:rPr>
        <w:t xml:space="preserve">- </w:t>
      </w:r>
      <w:r w:rsidRPr="00B4071F">
        <w:rPr>
          <w:rFonts w:cs="Arial"/>
          <w:rtl/>
        </w:rPr>
        <w:t>והעיקר נראה לי דחייב במזונות</w:t>
      </w:r>
      <w:r>
        <w:rPr>
          <w:rFonts w:cs="Arial" w:hint="cs"/>
          <w:rtl/>
        </w:rPr>
        <w:t>.</w:t>
      </w:r>
    </w:p>
    <w:p w14:paraId="51C6BF05" w14:textId="77777777" w:rsidR="002E5BAD" w:rsidRDefault="002E5BAD" w:rsidP="002E5BAD">
      <w:pPr>
        <w:rPr>
          <w:rtl/>
        </w:rPr>
      </w:pPr>
    </w:p>
    <w:p w14:paraId="509B142F" w14:textId="77777777" w:rsidR="002E5BAD" w:rsidRDefault="002E5BAD" w:rsidP="002E5BAD">
      <w:pPr>
        <w:pStyle w:val="2"/>
        <w:rPr>
          <w:rtl/>
        </w:rPr>
      </w:pPr>
      <w:r>
        <w:rPr>
          <w:rtl/>
        </w:rPr>
        <w:t>סעיף ג</w:t>
      </w:r>
      <w:r>
        <w:rPr>
          <w:rFonts w:hint="cs"/>
          <w:rtl/>
        </w:rPr>
        <w:t>: מזונות אלמנה.</w:t>
      </w:r>
    </w:p>
    <w:p w14:paraId="68622218" w14:textId="77777777" w:rsidR="002E5BAD" w:rsidRDefault="002E5BAD" w:rsidP="002E5BAD">
      <w:pPr>
        <w:rPr>
          <w:rFonts w:cs="Arial"/>
          <w:rtl/>
        </w:rPr>
      </w:pPr>
      <w:r w:rsidRPr="003E717B">
        <w:rPr>
          <w:rFonts w:cs="Arial" w:hint="cs"/>
          <w:b/>
          <w:bCs/>
          <w:rtl/>
        </w:rPr>
        <w:t xml:space="preserve">כתובות </w:t>
      </w:r>
      <w:r w:rsidRPr="003E717B">
        <w:rPr>
          <w:rFonts w:cs="Arial" w:hint="cs"/>
          <w:b/>
          <w:bCs/>
          <w:sz w:val="16"/>
          <w:szCs w:val="16"/>
          <w:rtl/>
        </w:rPr>
        <w:t xml:space="preserve">(פ' אלמנה ניזונת) </w:t>
      </w:r>
      <w:r w:rsidRPr="003E717B">
        <w:rPr>
          <w:rFonts w:cs="Arial" w:hint="cs"/>
          <w:b/>
          <w:bCs/>
          <w:rtl/>
        </w:rPr>
        <w:t>צ</w:t>
      </w:r>
      <w:r>
        <w:rPr>
          <w:rFonts w:cs="Arial" w:hint="cs"/>
          <w:b/>
          <w:bCs/>
          <w:rtl/>
        </w:rPr>
        <w:t>ה</w:t>
      </w:r>
      <w:r w:rsidRPr="003E717B">
        <w:rPr>
          <w:rFonts w:cs="Arial" w:hint="cs"/>
          <w:b/>
          <w:bCs/>
          <w:rtl/>
        </w:rPr>
        <w:t xml:space="preserve"> ע"ב: </w:t>
      </w:r>
      <w:r w:rsidRPr="002778C1">
        <w:rPr>
          <w:rFonts w:cs="Arial"/>
          <w:u w:val="double"/>
          <w:rtl/>
        </w:rPr>
        <w:t>מתני'</w:t>
      </w:r>
      <w:r>
        <w:rPr>
          <w:rFonts w:cs="Arial" w:hint="cs"/>
          <w:rtl/>
        </w:rPr>
        <w:t>:</w:t>
      </w:r>
      <w:r w:rsidRPr="002778C1">
        <w:rPr>
          <w:rFonts w:cs="Arial"/>
          <w:rtl/>
        </w:rPr>
        <w:t xml:space="preserve"> אלמנה ניזונת מנכסי יתומים, מעשה ידיה שלהן, ואין חייבין בקבורתה</w:t>
      </w:r>
      <w:r>
        <w:rPr>
          <w:rFonts w:cs="Arial" w:hint="cs"/>
          <w:rtl/>
        </w:rPr>
        <w:t>.</w:t>
      </w:r>
      <w:r w:rsidRPr="002778C1">
        <w:rPr>
          <w:rFonts w:cs="Arial"/>
          <w:rtl/>
        </w:rPr>
        <w:t xml:space="preserve"> יורשיה יורשי כתובתה - חייבין בקבורתה.</w:t>
      </w:r>
    </w:p>
    <w:p w14:paraId="17C2D673" w14:textId="77777777" w:rsidR="002E5BAD" w:rsidRPr="008A5458" w:rsidRDefault="002E5BAD" w:rsidP="002E5BAD">
      <w:pPr>
        <w:rPr>
          <w:rtl/>
        </w:rPr>
      </w:pPr>
      <w:r w:rsidRPr="008074C4">
        <w:rPr>
          <w:rFonts w:cs="Arial" w:hint="cs"/>
          <w:b/>
          <w:bCs/>
          <w:rtl/>
        </w:rPr>
        <w:t xml:space="preserve">כתובות </w:t>
      </w:r>
      <w:r w:rsidRPr="008074C4">
        <w:rPr>
          <w:rFonts w:cs="Arial" w:hint="cs"/>
          <w:b/>
          <w:bCs/>
          <w:sz w:val="16"/>
          <w:szCs w:val="16"/>
          <w:rtl/>
        </w:rPr>
        <w:t>(</w:t>
      </w:r>
      <w:r w:rsidRPr="008074C4">
        <w:rPr>
          <w:rFonts w:cs="Arial"/>
          <w:b/>
          <w:bCs/>
          <w:sz w:val="16"/>
          <w:szCs w:val="16"/>
          <w:rtl/>
        </w:rPr>
        <w:t>פ</w:t>
      </w:r>
      <w:r w:rsidRPr="008074C4">
        <w:rPr>
          <w:rFonts w:cs="Arial" w:hint="cs"/>
          <w:b/>
          <w:bCs/>
          <w:sz w:val="16"/>
          <w:szCs w:val="16"/>
          <w:rtl/>
        </w:rPr>
        <w:t>'</w:t>
      </w:r>
      <w:r w:rsidRPr="008074C4">
        <w:rPr>
          <w:rFonts w:cs="Arial"/>
          <w:b/>
          <w:bCs/>
          <w:sz w:val="16"/>
          <w:szCs w:val="16"/>
          <w:rtl/>
        </w:rPr>
        <w:t xml:space="preserve"> נערה שנתפתתה</w:t>
      </w:r>
      <w:r w:rsidRPr="008074C4">
        <w:rPr>
          <w:rFonts w:cs="Arial" w:hint="cs"/>
          <w:b/>
          <w:bCs/>
          <w:sz w:val="16"/>
          <w:szCs w:val="16"/>
          <w:rtl/>
        </w:rPr>
        <w:t>)</w:t>
      </w:r>
      <w:r w:rsidRPr="008074C4">
        <w:rPr>
          <w:rFonts w:cs="Arial"/>
          <w:b/>
          <w:bCs/>
          <w:rtl/>
        </w:rPr>
        <w:t xml:space="preserve"> נב</w:t>
      </w:r>
      <w:r w:rsidRPr="008074C4">
        <w:rPr>
          <w:rFonts w:cs="Arial" w:hint="cs"/>
          <w:b/>
          <w:bCs/>
          <w:rtl/>
        </w:rPr>
        <w:t xml:space="preserve"> ע"ב</w:t>
      </w:r>
      <w:r w:rsidRPr="008074C4">
        <w:rPr>
          <w:rFonts w:cs="Arial"/>
          <w:b/>
          <w:bCs/>
          <w:rtl/>
        </w:rPr>
        <w:t>:</w:t>
      </w:r>
      <w:r>
        <w:rPr>
          <w:rFonts w:cs="Arial" w:hint="cs"/>
          <w:rtl/>
        </w:rPr>
        <w:t xml:space="preserve"> </w:t>
      </w:r>
      <w:r w:rsidRPr="008074C4">
        <w:rPr>
          <w:rFonts w:cs="Arial"/>
          <w:u w:val="double"/>
          <w:rtl/>
        </w:rPr>
        <w:t>מתני'</w:t>
      </w:r>
      <w:r>
        <w:rPr>
          <w:rFonts w:cs="Arial" w:hint="cs"/>
          <w:rtl/>
        </w:rPr>
        <w:t>:</w:t>
      </w:r>
      <w:r w:rsidRPr="008074C4">
        <w:rPr>
          <w:rFonts w:cs="Arial"/>
          <w:rtl/>
        </w:rPr>
        <w:t xml:space="preserve"> לא כתב לה</w:t>
      </w:r>
      <w:r>
        <w:rPr>
          <w:rFonts w:cs="Arial" w:hint="cs"/>
          <w:rtl/>
        </w:rPr>
        <w:t>...</w:t>
      </w:r>
      <w:r w:rsidRPr="008074C4">
        <w:rPr>
          <w:rFonts w:cs="Arial"/>
          <w:rtl/>
        </w:rPr>
        <w:t xml:space="preserve"> את תהא יתבא בביתי ומיתזנא מנכסי כל ימי מיגר אלמנותיך בביתי - חייב, שהוא תנאי בית דין</w:t>
      </w:r>
      <w:r w:rsidRPr="00CD212F">
        <w:rPr>
          <w:rFonts w:cs="Arial"/>
          <w:rtl/>
        </w:rPr>
        <w:t>.</w:t>
      </w:r>
    </w:p>
    <w:p w14:paraId="28A9CA8D" w14:textId="77777777" w:rsidR="002E5BAD" w:rsidRPr="008A5458" w:rsidRDefault="002E5BAD" w:rsidP="002E5BAD">
      <w:pPr>
        <w:rPr>
          <w:u w:val="single"/>
          <w:rtl/>
        </w:rPr>
      </w:pPr>
      <w:r w:rsidRPr="008A5458">
        <w:rPr>
          <w:rFonts w:hint="cs"/>
          <w:u w:val="single"/>
          <w:rtl/>
        </w:rPr>
        <w:t>אלמנה ניזונת מנכסי יורשים:</w:t>
      </w:r>
    </w:p>
    <w:p w14:paraId="14CC55B9" w14:textId="77777777" w:rsidR="002E5BAD" w:rsidRDefault="002E5BAD" w:rsidP="00B75458">
      <w:pPr>
        <w:pStyle w:val="ab"/>
        <w:numPr>
          <w:ilvl w:val="0"/>
          <w:numId w:val="192"/>
        </w:numPr>
        <w:rPr>
          <w:rtl/>
        </w:rPr>
      </w:pPr>
      <w:r>
        <w:rPr>
          <w:rFonts w:cs="Arial" w:hint="cs"/>
          <w:rtl/>
        </w:rPr>
        <w:t xml:space="preserve">טור- </w:t>
      </w:r>
      <w:r w:rsidRPr="000A1431">
        <w:rPr>
          <w:rFonts w:cs="Arial"/>
          <w:rtl/>
        </w:rPr>
        <w:t>נתאלמנה חייבים היורשים לזונה</w:t>
      </w:r>
      <w:r>
        <w:rPr>
          <w:rFonts w:cs="Arial" w:hint="cs"/>
          <w:rtl/>
        </w:rPr>
        <w:t>,</w:t>
      </w:r>
      <w:r w:rsidRPr="000A1431">
        <w:rPr>
          <w:rFonts w:cs="Arial"/>
          <w:rtl/>
        </w:rPr>
        <w:t xml:space="preserve"> כתנאי כתובה את תהא יתבא בביתי ומיתזנא מנכסי כל ימי מיגר ארמלותך</w:t>
      </w:r>
      <w:r>
        <w:rPr>
          <w:rStyle w:val="a7"/>
          <w:rFonts w:cs="Arial"/>
          <w:rtl/>
        </w:rPr>
        <w:footnoteReference w:id="2252"/>
      </w:r>
      <w:r w:rsidRPr="000A1431">
        <w:rPr>
          <w:rFonts w:cs="Arial"/>
          <w:rtl/>
        </w:rPr>
        <w:t xml:space="preserve"> בביתי</w:t>
      </w:r>
      <w:r>
        <w:rPr>
          <w:rFonts w:cs="Arial" w:hint="cs"/>
          <w:rtl/>
        </w:rPr>
        <w:t>.</w:t>
      </w:r>
      <w:r w:rsidRPr="000A1431">
        <w:rPr>
          <w:rFonts w:cs="Arial"/>
          <w:rtl/>
        </w:rPr>
        <w:t xml:space="preserve"> אפי' אם לא נכתב בכתובתה</w:t>
      </w:r>
      <w:r>
        <w:rPr>
          <w:rFonts w:cs="Arial" w:hint="cs"/>
          <w:rtl/>
        </w:rPr>
        <w:t>.</w:t>
      </w:r>
      <w:r w:rsidRPr="000A1431">
        <w:rPr>
          <w:rFonts w:cs="Arial"/>
          <w:rtl/>
        </w:rPr>
        <w:t xml:space="preserve"> </w:t>
      </w:r>
      <w:r w:rsidRPr="003E717B">
        <w:rPr>
          <w:rFonts w:hint="cs"/>
          <w:color w:val="E36C0A" w:themeColor="accent6" w:themeShade="BF"/>
          <w:rtl/>
        </w:rPr>
        <w:t>(וכ"פ בשו"ע)</w:t>
      </w:r>
    </w:p>
    <w:p w14:paraId="7E014D28" w14:textId="77777777" w:rsidR="002E5BAD" w:rsidRPr="008074C4" w:rsidRDefault="002E5BAD" w:rsidP="002E5BAD">
      <w:pPr>
        <w:ind w:left="360"/>
        <w:rPr>
          <w:u w:val="dotted"/>
          <w:rtl/>
        </w:rPr>
      </w:pPr>
      <w:r w:rsidRPr="008074C4">
        <w:rPr>
          <w:rFonts w:hint="cs"/>
          <w:u w:val="dotted"/>
          <w:rtl/>
        </w:rPr>
        <w:t>ומה הדין אם צוה בשעת מיתה שלא תיזון מנכסיו:</w:t>
      </w:r>
    </w:p>
    <w:p w14:paraId="12F9E528" w14:textId="77777777" w:rsidR="002E5BAD" w:rsidRPr="008074C4" w:rsidRDefault="002E5BAD" w:rsidP="00B75458">
      <w:pPr>
        <w:pStyle w:val="ab"/>
        <w:numPr>
          <w:ilvl w:val="0"/>
          <w:numId w:val="192"/>
        </w:numPr>
      </w:pPr>
      <w:r>
        <w:rPr>
          <w:rFonts w:cs="Arial" w:hint="cs"/>
          <w:rtl/>
        </w:rPr>
        <w:t xml:space="preserve">רמב"ם </w:t>
      </w:r>
      <w:r>
        <w:rPr>
          <w:rFonts w:cs="Arial" w:hint="cs"/>
          <w:sz w:val="16"/>
          <w:szCs w:val="16"/>
          <w:rtl/>
        </w:rPr>
        <w:t>(פי"ט מאישות הי"ג)</w:t>
      </w:r>
      <w:r>
        <w:rPr>
          <w:rFonts w:cs="Arial" w:hint="cs"/>
          <w:rtl/>
        </w:rPr>
        <w:t xml:space="preserve"> וטור- </w:t>
      </w:r>
      <w:r w:rsidRPr="000A1431">
        <w:rPr>
          <w:rFonts w:cs="Arial"/>
          <w:rtl/>
        </w:rPr>
        <w:t xml:space="preserve">ואפי' אם צוה בשעת מיתה אל תיזון אלמנתי מנכסי </w:t>
      </w:r>
      <w:r>
        <w:rPr>
          <w:rFonts w:cs="Arial" w:hint="cs"/>
          <w:rtl/>
        </w:rPr>
        <w:t xml:space="preserve">- </w:t>
      </w:r>
      <w:r w:rsidRPr="000A1431">
        <w:rPr>
          <w:rFonts w:cs="Arial"/>
          <w:rtl/>
        </w:rPr>
        <w:t>אין שומעין לו</w:t>
      </w:r>
      <w:r>
        <w:rPr>
          <w:rStyle w:val="a7"/>
          <w:rFonts w:cs="Arial"/>
          <w:rtl/>
        </w:rPr>
        <w:footnoteReference w:id="2253"/>
      </w:r>
      <w:r>
        <w:rPr>
          <w:rFonts w:cs="Arial" w:hint="cs"/>
          <w:sz w:val="16"/>
          <w:szCs w:val="16"/>
          <w:rtl/>
        </w:rPr>
        <w:t xml:space="preserve"> (ל' הטור)</w:t>
      </w:r>
      <w:r>
        <w:rPr>
          <w:rFonts w:cs="Arial" w:hint="cs"/>
          <w:rtl/>
        </w:rPr>
        <w:t>.</w:t>
      </w:r>
      <w:r w:rsidRPr="000A1431">
        <w:rPr>
          <w:rFonts w:cs="Arial"/>
          <w:rtl/>
        </w:rPr>
        <w:t xml:space="preserve"> </w:t>
      </w:r>
      <w:r w:rsidRPr="003E717B">
        <w:rPr>
          <w:rFonts w:hint="cs"/>
          <w:color w:val="E36C0A" w:themeColor="accent6" w:themeShade="BF"/>
          <w:rtl/>
        </w:rPr>
        <w:t>(וכ"פ בשו"ע)</w:t>
      </w:r>
    </w:p>
    <w:p w14:paraId="17D8D91F" w14:textId="77777777" w:rsidR="002E5BAD" w:rsidRPr="008074C4" w:rsidRDefault="002E5BAD" w:rsidP="002E5BAD">
      <w:pPr>
        <w:ind w:left="360"/>
        <w:rPr>
          <w:u w:val="dotted"/>
        </w:rPr>
      </w:pPr>
      <w:r w:rsidRPr="008074C4">
        <w:rPr>
          <w:rFonts w:hint="cs"/>
          <w:u w:val="dotted"/>
          <w:rtl/>
        </w:rPr>
        <w:lastRenderedPageBreak/>
        <w:t>ומה הדין אם התנה עמה בשעת נישואין שלא תיזון מנכסיו:</w:t>
      </w:r>
    </w:p>
    <w:p w14:paraId="750E2677" w14:textId="77777777" w:rsidR="002E5BAD" w:rsidRDefault="002E5BAD" w:rsidP="00B75458">
      <w:pPr>
        <w:pStyle w:val="ab"/>
        <w:numPr>
          <w:ilvl w:val="0"/>
          <w:numId w:val="192"/>
        </w:numPr>
      </w:pPr>
      <w:r>
        <w:rPr>
          <w:rFonts w:cs="Arial" w:hint="cs"/>
          <w:rtl/>
        </w:rPr>
        <w:t xml:space="preserve">טור- </w:t>
      </w:r>
      <w:r w:rsidRPr="000A1431">
        <w:rPr>
          <w:rFonts w:cs="Arial"/>
          <w:rtl/>
        </w:rPr>
        <w:t>אבל אם התנה בשעת נישואין שלא תיזון אלמנתו מנכסיו הוי תנאי שבממון וקיים</w:t>
      </w:r>
      <w:r>
        <w:rPr>
          <w:rFonts w:cs="Arial" w:hint="cs"/>
          <w:rtl/>
        </w:rPr>
        <w:t>.</w:t>
      </w:r>
      <w:r w:rsidRPr="000A1431">
        <w:rPr>
          <w:rFonts w:cs="Arial"/>
          <w:rtl/>
        </w:rPr>
        <w:t xml:space="preserve"> </w:t>
      </w:r>
      <w:r w:rsidRPr="003E717B">
        <w:rPr>
          <w:rFonts w:hint="cs"/>
          <w:color w:val="E36C0A" w:themeColor="accent6" w:themeShade="BF"/>
          <w:rtl/>
        </w:rPr>
        <w:t>(וכ"פ בשו"ע)</w:t>
      </w:r>
    </w:p>
    <w:p w14:paraId="3AE6A9E1" w14:textId="77777777" w:rsidR="002E5BAD" w:rsidRPr="008A5458" w:rsidRDefault="002E5BAD" w:rsidP="002E5BAD">
      <w:pPr>
        <w:rPr>
          <w:rtl/>
        </w:rPr>
      </w:pPr>
      <w:r w:rsidRPr="00CD212F">
        <w:rPr>
          <w:rFonts w:cs="Arial" w:hint="cs"/>
          <w:b/>
          <w:bCs/>
          <w:rtl/>
        </w:rPr>
        <w:t xml:space="preserve">כתובות </w:t>
      </w:r>
      <w:r w:rsidRPr="00CD212F">
        <w:rPr>
          <w:rFonts w:cs="Arial" w:hint="cs"/>
          <w:b/>
          <w:bCs/>
          <w:sz w:val="16"/>
          <w:szCs w:val="16"/>
          <w:rtl/>
        </w:rPr>
        <w:t>(</w:t>
      </w:r>
      <w:r w:rsidRPr="00CD212F">
        <w:rPr>
          <w:rFonts w:cs="Arial"/>
          <w:b/>
          <w:bCs/>
          <w:sz w:val="16"/>
          <w:szCs w:val="16"/>
          <w:rtl/>
        </w:rPr>
        <w:t>פ</w:t>
      </w:r>
      <w:r w:rsidRPr="00CD212F">
        <w:rPr>
          <w:rFonts w:cs="Arial" w:hint="cs"/>
          <w:b/>
          <w:bCs/>
          <w:sz w:val="16"/>
          <w:szCs w:val="16"/>
          <w:rtl/>
        </w:rPr>
        <w:t>'</w:t>
      </w:r>
      <w:r w:rsidRPr="00CD212F">
        <w:rPr>
          <w:rFonts w:cs="Arial"/>
          <w:b/>
          <w:bCs/>
          <w:sz w:val="16"/>
          <w:szCs w:val="16"/>
          <w:rtl/>
        </w:rPr>
        <w:t xml:space="preserve"> נערה שנתפתתה</w:t>
      </w:r>
      <w:r w:rsidRPr="00CD212F">
        <w:rPr>
          <w:rFonts w:cs="Arial" w:hint="cs"/>
          <w:b/>
          <w:bCs/>
          <w:sz w:val="16"/>
          <w:szCs w:val="16"/>
          <w:rtl/>
        </w:rPr>
        <w:t>)</w:t>
      </w:r>
      <w:r w:rsidRPr="00CD212F">
        <w:rPr>
          <w:rFonts w:cs="Arial"/>
          <w:b/>
          <w:bCs/>
          <w:rtl/>
        </w:rPr>
        <w:t xml:space="preserve"> נב</w:t>
      </w:r>
      <w:r w:rsidRPr="00CD212F">
        <w:rPr>
          <w:rFonts w:cs="Arial" w:hint="cs"/>
          <w:b/>
          <w:bCs/>
          <w:rtl/>
        </w:rPr>
        <w:t xml:space="preserve"> ע"ב</w:t>
      </w:r>
      <w:r w:rsidRPr="00CD212F">
        <w:rPr>
          <w:rFonts w:cs="Arial"/>
          <w:b/>
          <w:bCs/>
          <w:rtl/>
        </w:rPr>
        <w:t>:</w:t>
      </w:r>
      <w:r w:rsidRPr="00CD212F">
        <w:rPr>
          <w:rFonts w:cs="Arial" w:hint="cs"/>
          <w:rtl/>
        </w:rPr>
        <w:t xml:space="preserve"> </w:t>
      </w:r>
      <w:r w:rsidRPr="00CD212F">
        <w:rPr>
          <w:rFonts w:cs="Arial"/>
          <w:u w:val="double"/>
          <w:rtl/>
        </w:rPr>
        <w:t>מתני'</w:t>
      </w:r>
      <w:r w:rsidRPr="00CD212F">
        <w:rPr>
          <w:rFonts w:cs="Arial" w:hint="cs"/>
          <w:rtl/>
        </w:rPr>
        <w:t>:</w:t>
      </w:r>
      <w:r w:rsidRPr="00CD212F">
        <w:rPr>
          <w:rFonts w:cs="Arial"/>
          <w:rtl/>
        </w:rPr>
        <w:t xml:space="preserve"> לא כתב לה</w:t>
      </w:r>
      <w:r w:rsidRPr="00CD212F">
        <w:rPr>
          <w:rFonts w:cs="Arial" w:hint="cs"/>
          <w:rtl/>
        </w:rPr>
        <w:t>...</w:t>
      </w:r>
      <w:r w:rsidRPr="00CD212F">
        <w:rPr>
          <w:rFonts w:cs="Arial"/>
          <w:rtl/>
        </w:rPr>
        <w:t xml:space="preserve"> את תהא יתבא בביתי ומיתזנא מנכסי כל ימי מיגר אלמנותיך בביתי - חייב, שהוא תנאי בית דין. כך היו אנשי ירושלים כותבין. אנשי גליל היו כותבין כאנשי ירושלים. אנשי יהודה היו כותבין עד שירצו היורשין ליתן לך כתובתיך, לפיכך אם רצו יורשין - נותנין לה כתובתה ופוטרין אותה.</w:t>
      </w:r>
      <w:r w:rsidRPr="00CD212F">
        <w:rPr>
          <w:rtl/>
        </w:rPr>
        <w:t xml:space="preserve"> </w:t>
      </w:r>
      <w:r>
        <w:rPr>
          <w:rFonts w:cs="Arial" w:hint="cs"/>
          <w:rtl/>
        </w:rPr>
        <w:t xml:space="preserve">      </w:t>
      </w:r>
      <w:r w:rsidRPr="00CD212F">
        <w:rPr>
          <w:rFonts w:cs="Arial" w:hint="cs"/>
          <w:u w:val="double"/>
          <w:rtl/>
        </w:rPr>
        <w:t>גמ'</w:t>
      </w:r>
      <w:r>
        <w:rPr>
          <w:rFonts w:cs="Arial" w:hint="cs"/>
          <w:sz w:val="14"/>
          <w:szCs w:val="14"/>
          <w:u w:val="double"/>
          <w:rtl/>
        </w:rPr>
        <w:t>(נד.)</w:t>
      </w:r>
      <w:r>
        <w:rPr>
          <w:rFonts w:cs="Arial" w:hint="cs"/>
          <w:u w:val="double"/>
          <w:rtl/>
        </w:rPr>
        <w:t>:</w:t>
      </w:r>
      <w:r>
        <w:rPr>
          <w:rFonts w:cs="Arial" w:hint="cs"/>
          <w:rtl/>
        </w:rPr>
        <w:t xml:space="preserve"> </w:t>
      </w:r>
      <w:r w:rsidRPr="00CD212F">
        <w:rPr>
          <w:rFonts w:cs="Arial"/>
          <w:rtl/>
        </w:rPr>
        <w:t xml:space="preserve">וכך היו אנשי ירושלים וכו'. אתמר, </w:t>
      </w:r>
      <w:r w:rsidRPr="00CD212F">
        <w:rPr>
          <w:rFonts w:cs="Arial"/>
          <w:u w:val="single"/>
          <w:rtl/>
        </w:rPr>
        <w:t>רב אמר</w:t>
      </w:r>
      <w:r w:rsidRPr="00CD212F">
        <w:rPr>
          <w:rFonts w:cs="Arial"/>
          <w:rtl/>
        </w:rPr>
        <w:t xml:space="preserve">: הלכה כאנשי יהודה, </w:t>
      </w:r>
      <w:r w:rsidRPr="00CD212F">
        <w:rPr>
          <w:rFonts w:cs="Arial"/>
          <w:u w:val="single"/>
          <w:rtl/>
        </w:rPr>
        <w:t>ושמואל אמר</w:t>
      </w:r>
      <w:r w:rsidRPr="00CD212F">
        <w:rPr>
          <w:rFonts w:cs="Arial"/>
          <w:rtl/>
        </w:rPr>
        <w:t xml:space="preserve">: הלכה כאנשי גליל. בבל וכל פרוודהא נהוג כרב, נהרדעא וכל פרוודהא נהוג כשמואל. </w:t>
      </w:r>
      <w:r>
        <w:rPr>
          <w:rFonts w:cs="Arial" w:hint="cs"/>
          <w:sz w:val="16"/>
          <w:szCs w:val="16"/>
          <w:rtl/>
        </w:rPr>
        <w:t>(</w:t>
      </w:r>
      <w:r w:rsidRPr="00C05469">
        <w:rPr>
          <w:rFonts w:cs="Arial"/>
          <w:sz w:val="16"/>
          <w:szCs w:val="16"/>
          <w:rtl/>
        </w:rPr>
        <w:t>פליגי אנשי יהודה וגליל</w:t>
      </w:r>
      <w:r>
        <w:rPr>
          <w:rFonts w:cs="Arial" w:hint="cs"/>
          <w:sz w:val="16"/>
          <w:szCs w:val="16"/>
          <w:rtl/>
        </w:rPr>
        <w:t>.</w:t>
      </w:r>
      <w:r w:rsidRPr="00C05469">
        <w:rPr>
          <w:rFonts w:cs="Arial"/>
          <w:sz w:val="16"/>
          <w:szCs w:val="16"/>
          <w:rtl/>
        </w:rPr>
        <w:t xml:space="preserve"> אנשי גליל אומרים שכך הוא התנאי</w:t>
      </w:r>
      <w:r>
        <w:rPr>
          <w:rFonts w:cs="Arial" w:hint="cs"/>
          <w:sz w:val="16"/>
          <w:szCs w:val="16"/>
          <w:rtl/>
        </w:rPr>
        <w:t>,</w:t>
      </w:r>
      <w:r w:rsidRPr="00C05469">
        <w:rPr>
          <w:rFonts w:cs="Arial"/>
          <w:sz w:val="16"/>
          <w:szCs w:val="16"/>
          <w:rtl/>
        </w:rPr>
        <w:t xml:space="preserve"> שהדבר תלוי בה להיות ניזונית כל זמן שלא תרצה לגבות כתובתה</w:t>
      </w:r>
      <w:r>
        <w:rPr>
          <w:rFonts w:cs="Arial" w:hint="cs"/>
          <w:sz w:val="16"/>
          <w:szCs w:val="16"/>
          <w:rtl/>
        </w:rPr>
        <w:t>.</w:t>
      </w:r>
      <w:r w:rsidRPr="00C05469">
        <w:rPr>
          <w:rFonts w:cs="Arial"/>
          <w:sz w:val="16"/>
          <w:szCs w:val="16"/>
          <w:rtl/>
        </w:rPr>
        <w:t xml:space="preserve"> ואנשי יהודה אומרים שהדבר תלוי ביד היתומים</w:t>
      </w:r>
      <w:r>
        <w:rPr>
          <w:rFonts w:cs="Arial" w:hint="cs"/>
          <w:sz w:val="16"/>
          <w:szCs w:val="16"/>
          <w:rtl/>
        </w:rPr>
        <w:t>,</w:t>
      </w:r>
      <w:r w:rsidRPr="00C05469">
        <w:rPr>
          <w:rFonts w:cs="Arial"/>
          <w:sz w:val="16"/>
          <w:szCs w:val="16"/>
          <w:rtl/>
        </w:rPr>
        <w:t xml:space="preserve"> בכל פעם שירצו ליתן לה </w:t>
      </w:r>
      <w:r>
        <w:rPr>
          <w:rFonts w:cs="Arial" w:hint="cs"/>
          <w:sz w:val="16"/>
          <w:szCs w:val="16"/>
          <w:rtl/>
        </w:rPr>
        <w:t xml:space="preserve">- </w:t>
      </w:r>
      <w:r w:rsidRPr="00C05469">
        <w:rPr>
          <w:rFonts w:cs="Arial"/>
          <w:sz w:val="16"/>
          <w:szCs w:val="16"/>
          <w:rtl/>
        </w:rPr>
        <w:t>אין לה מזונות</w:t>
      </w:r>
      <w:r w:rsidRPr="00C05469">
        <w:rPr>
          <w:rFonts w:cs="Arial" w:hint="cs"/>
          <w:sz w:val="16"/>
          <w:szCs w:val="16"/>
          <w:rtl/>
        </w:rPr>
        <w:t>.</w:t>
      </w:r>
      <w:r w:rsidRPr="00C05469">
        <w:rPr>
          <w:rFonts w:cs="Arial"/>
          <w:sz w:val="16"/>
          <w:szCs w:val="16"/>
          <w:rtl/>
        </w:rPr>
        <w:t xml:space="preserve"> ופלוגתייהו בסתם שלא פירש</w:t>
      </w:r>
      <w:r>
        <w:rPr>
          <w:rFonts w:cs="Arial" w:hint="cs"/>
          <w:sz w:val="16"/>
          <w:szCs w:val="16"/>
          <w:rtl/>
        </w:rPr>
        <w:t>,</w:t>
      </w:r>
      <w:r w:rsidRPr="00C05469">
        <w:rPr>
          <w:rFonts w:cs="Arial"/>
          <w:sz w:val="16"/>
          <w:szCs w:val="16"/>
          <w:rtl/>
        </w:rPr>
        <w:t xml:space="preserve"> אבל אם פירש </w:t>
      </w:r>
      <w:r>
        <w:rPr>
          <w:rFonts w:cs="Arial" w:hint="cs"/>
          <w:sz w:val="16"/>
          <w:szCs w:val="16"/>
          <w:rtl/>
        </w:rPr>
        <w:t xml:space="preserve">- </w:t>
      </w:r>
      <w:r w:rsidRPr="00C05469">
        <w:rPr>
          <w:rFonts w:cs="Arial"/>
          <w:sz w:val="16"/>
          <w:szCs w:val="16"/>
          <w:rtl/>
        </w:rPr>
        <w:t>הכל לפי תנאו</w:t>
      </w:r>
      <w:r w:rsidRPr="00C05469">
        <w:rPr>
          <w:rStyle w:val="a7"/>
          <w:rFonts w:cs="Arial"/>
          <w:sz w:val="16"/>
          <w:szCs w:val="16"/>
          <w:rtl/>
        </w:rPr>
        <w:footnoteReference w:id="2254"/>
      </w:r>
      <w:r>
        <w:rPr>
          <w:rFonts w:cs="Arial" w:hint="cs"/>
          <w:sz w:val="16"/>
          <w:szCs w:val="16"/>
          <w:rtl/>
        </w:rPr>
        <w:t>, טור)</w:t>
      </w:r>
    </w:p>
    <w:p w14:paraId="3E0FDFF3" w14:textId="77777777" w:rsidR="002E5BAD" w:rsidRPr="00B7753B" w:rsidRDefault="002E5BAD" w:rsidP="002E5BAD">
      <w:pPr>
        <w:rPr>
          <w:u w:val="single"/>
        </w:rPr>
      </w:pPr>
      <w:r>
        <w:rPr>
          <w:rFonts w:hint="cs"/>
          <w:u w:val="single"/>
          <w:rtl/>
        </w:rPr>
        <w:t xml:space="preserve">האם </w:t>
      </w:r>
      <w:r w:rsidRPr="00B7753B">
        <w:rPr>
          <w:rFonts w:hint="cs"/>
          <w:u w:val="single"/>
          <w:rtl/>
        </w:rPr>
        <w:t xml:space="preserve">תנאי </w:t>
      </w:r>
      <w:r>
        <w:rPr>
          <w:rFonts w:hint="cs"/>
          <w:u w:val="single"/>
          <w:rtl/>
        </w:rPr>
        <w:t xml:space="preserve">מזונות </w:t>
      </w:r>
      <w:r w:rsidRPr="00B7753B">
        <w:rPr>
          <w:rFonts w:hint="cs"/>
          <w:u w:val="single"/>
          <w:rtl/>
        </w:rPr>
        <w:t>תלוי ברצון האשה</w:t>
      </w:r>
      <w:r>
        <w:rPr>
          <w:rFonts w:hint="cs"/>
          <w:u w:val="single"/>
          <w:rtl/>
        </w:rPr>
        <w:t xml:space="preserve"> </w:t>
      </w:r>
      <w:r>
        <w:rPr>
          <w:rFonts w:hint="cs"/>
          <w:sz w:val="16"/>
          <w:szCs w:val="16"/>
          <w:u w:val="single"/>
          <w:rtl/>
        </w:rPr>
        <w:t>(שתא ניזונת כל זמן שלא תרצה לגבות)</w:t>
      </w:r>
      <w:r w:rsidRPr="00B7753B">
        <w:rPr>
          <w:rFonts w:hint="cs"/>
          <w:u w:val="single"/>
          <w:rtl/>
        </w:rPr>
        <w:t xml:space="preserve"> או ברצון היתומים</w:t>
      </w:r>
      <w:r>
        <w:rPr>
          <w:rFonts w:hint="cs"/>
          <w:sz w:val="16"/>
          <w:szCs w:val="16"/>
          <w:u w:val="single"/>
          <w:rtl/>
        </w:rPr>
        <w:t xml:space="preserve"> (שאם יחליטו לתת כתובתה יפטרו)</w:t>
      </w:r>
      <w:r w:rsidRPr="00B7753B">
        <w:rPr>
          <w:rFonts w:hint="cs"/>
          <w:u w:val="single"/>
          <w:rtl/>
        </w:rPr>
        <w:t>:</w:t>
      </w:r>
    </w:p>
    <w:p w14:paraId="020F447F" w14:textId="77777777" w:rsidR="002E5BAD" w:rsidRPr="005D5D84" w:rsidRDefault="002E5BAD" w:rsidP="00B75458">
      <w:pPr>
        <w:pStyle w:val="ab"/>
        <w:numPr>
          <w:ilvl w:val="0"/>
          <w:numId w:val="192"/>
        </w:numPr>
      </w:pPr>
      <w:r>
        <w:rPr>
          <w:rFonts w:cs="Arial"/>
          <w:rtl/>
        </w:rPr>
        <w:t>ר"ח</w:t>
      </w:r>
      <w:r>
        <w:rPr>
          <w:rFonts w:cs="Arial" w:hint="cs"/>
          <w:rtl/>
        </w:rPr>
        <w:t xml:space="preserve"> </w:t>
      </w:r>
      <w:r>
        <w:rPr>
          <w:rFonts w:cs="Arial"/>
          <w:rtl/>
        </w:rPr>
        <w:t xml:space="preserve">רי"ף רמב"ם </w:t>
      </w:r>
      <w:r>
        <w:rPr>
          <w:rFonts w:cs="Arial" w:hint="cs"/>
          <w:rtl/>
        </w:rPr>
        <w:t>מהר"ם</w:t>
      </w:r>
      <w:r>
        <w:rPr>
          <w:rStyle w:val="a7"/>
          <w:rFonts w:cs="Arial"/>
          <w:rtl/>
        </w:rPr>
        <w:footnoteReference w:id="2255"/>
      </w:r>
      <w:r>
        <w:rPr>
          <w:rFonts w:cs="Arial" w:hint="cs"/>
          <w:rtl/>
        </w:rPr>
        <w:t xml:space="preserve"> </w:t>
      </w:r>
      <w:r>
        <w:rPr>
          <w:rFonts w:cs="Arial"/>
          <w:rtl/>
        </w:rPr>
        <w:t xml:space="preserve">רא"ש </w:t>
      </w:r>
      <w:r>
        <w:rPr>
          <w:rFonts w:cs="Arial" w:hint="cs"/>
          <w:rtl/>
        </w:rPr>
        <w:t>וטור</w:t>
      </w:r>
      <w:r>
        <w:rPr>
          <w:rStyle w:val="a7"/>
          <w:rFonts w:cs="Arial"/>
          <w:rtl/>
        </w:rPr>
        <w:footnoteReference w:id="2256"/>
      </w:r>
      <w:r>
        <w:rPr>
          <w:rFonts w:cs="Arial" w:hint="cs"/>
          <w:rtl/>
        </w:rPr>
        <w:t xml:space="preserve">- </w:t>
      </w:r>
      <w:r w:rsidRPr="000A1431">
        <w:rPr>
          <w:rFonts w:cs="Arial"/>
          <w:rtl/>
        </w:rPr>
        <w:t>במקום שיש מנהג ידוע היאך נהוג</w:t>
      </w:r>
      <w:r>
        <w:rPr>
          <w:rFonts w:cs="Arial" w:hint="cs"/>
          <w:rtl/>
        </w:rPr>
        <w:t xml:space="preserve"> -</w:t>
      </w:r>
      <w:r w:rsidRPr="000A1431">
        <w:rPr>
          <w:rFonts w:cs="Arial"/>
          <w:rtl/>
        </w:rPr>
        <w:t xml:space="preserve"> יעשו כמנהגא</w:t>
      </w:r>
      <w:r>
        <w:rPr>
          <w:rFonts w:cs="Arial" w:hint="cs"/>
          <w:rtl/>
        </w:rPr>
        <w:t>.</w:t>
      </w:r>
      <w:r w:rsidRPr="000A1431">
        <w:rPr>
          <w:rFonts w:cs="Arial"/>
          <w:rtl/>
        </w:rPr>
        <w:t xml:space="preserve"> ואם אין מנהג ידוע </w:t>
      </w:r>
      <w:r>
        <w:rPr>
          <w:rFonts w:cs="Arial" w:hint="cs"/>
          <w:rtl/>
        </w:rPr>
        <w:t xml:space="preserve">- </w:t>
      </w:r>
      <w:r w:rsidRPr="000A1431">
        <w:rPr>
          <w:rFonts w:cs="Arial"/>
          <w:rtl/>
        </w:rPr>
        <w:t>יעשו כשמואל ותיזון עד שתגבה כתובתה</w:t>
      </w:r>
      <w:r>
        <w:rPr>
          <w:rFonts w:cs="Arial" w:hint="cs"/>
          <w:sz w:val="16"/>
          <w:szCs w:val="16"/>
          <w:rtl/>
        </w:rPr>
        <w:t xml:space="preserve"> (ל' הטור)</w:t>
      </w:r>
      <w:r>
        <w:rPr>
          <w:rFonts w:cs="Arial" w:hint="cs"/>
          <w:rtl/>
        </w:rPr>
        <w:t>.</w:t>
      </w:r>
      <w:r w:rsidRPr="000A1431">
        <w:rPr>
          <w:rFonts w:cs="Arial"/>
          <w:rtl/>
        </w:rPr>
        <w:t xml:space="preserve"> </w:t>
      </w:r>
      <w:r w:rsidRPr="003E717B">
        <w:rPr>
          <w:rFonts w:hint="cs"/>
          <w:color w:val="E36C0A" w:themeColor="accent6" w:themeShade="BF"/>
          <w:rtl/>
        </w:rPr>
        <w:t>(וכ"פ בשו"ע)</w:t>
      </w:r>
    </w:p>
    <w:p w14:paraId="1EC38019" w14:textId="77777777" w:rsidR="002E5BAD" w:rsidRPr="008A5458" w:rsidRDefault="002E5BAD" w:rsidP="002E5BAD">
      <w:pPr>
        <w:rPr>
          <w:rtl/>
        </w:rPr>
      </w:pPr>
      <w:r w:rsidRPr="00DE524A">
        <w:rPr>
          <w:rFonts w:cs="Arial" w:hint="cs"/>
          <w:b/>
          <w:bCs/>
          <w:rtl/>
        </w:rPr>
        <w:t xml:space="preserve">כתובות </w:t>
      </w:r>
      <w:r w:rsidRPr="00DE524A">
        <w:rPr>
          <w:rFonts w:cs="Arial" w:hint="cs"/>
          <w:b/>
          <w:bCs/>
          <w:sz w:val="16"/>
          <w:szCs w:val="16"/>
          <w:rtl/>
        </w:rPr>
        <w:t>(</w:t>
      </w:r>
      <w:r w:rsidRPr="00DE524A">
        <w:rPr>
          <w:rFonts w:cs="Arial"/>
          <w:b/>
          <w:bCs/>
          <w:sz w:val="16"/>
          <w:szCs w:val="16"/>
          <w:rtl/>
        </w:rPr>
        <w:t>פ</w:t>
      </w:r>
      <w:r w:rsidRPr="00DE524A">
        <w:rPr>
          <w:rFonts w:cs="Arial" w:hint="cs"/>
          <w:b/>
          <w:bCs/>
          <w:sz w:val="16"/>
          <w:szCs w:val="16"/>
          <w:rtl/>
        </w:rPr>
        <w:t>'</w:t>
      </w:r>
      <w:r w:rsidRPr="00DE524A">
        <w:rPr>
          <w:rFonts w:cs="Arial"/>
          <w:b/>
          <w:bCs/>
          <w:sz w:val="16"/>
          <w:szCs w:val="16"/>
          <w:rtl/>
        </w:rPr>
        <w:t xml:space="preserve"> נערה שנתפתתה</w:t>
      </w:r>
      <w:r w:rsidRPr="00DE524A">
        <w:rPr>
          <w:rFonts w:cs="Arial" w:hint="cs"/>
          <w:b/>
          <w:bCs/>
          <w:sz w:val="16"/>
          <w:szCs w:val="16"/>
          <w:rtl/>
        </w:rPr>
        <w:t>)</w:t>
      </w:r>
      <w:r w:rsidRPr="00DE524A">
        <w:rPr>
          <w:rFonts w:cs="Arial"/>
          <w:b/>
          <w:bCs/>
          <w:rtl/>
        </w:rPr>
        <w:t xml:space="preserve"> נ</w:t>
      </w:r>
      <w:r>
        <w:rPr>
          <w:rFonts w:cs="Arial" w:hint="cs"/>
          <w:b/>
          <w:bCs/>
          <w:rtl/>
        </w:rPr>
        <w:t>ד</w:t>
      </w:r>
      <w:r w:rsidRPr="00DE524A">
        <w:rPr>
          <w:rFonts w:cs="Arial" w:hint="cs"/>
          <w:b/>
          <w:bCs/>
          <w:rtl/>
        </w:rPr>
        <w:t xml:space="preserve"> ע"</w:t>
      </w:r>
      <w:r>
        <w:rPr>
          <w:rFonts w:cs="Arial" w:hint="cs"/>
          <w:b/>
          <w:bCs/>
          <w:rtl/>
        </w:rPr>
        <w:t>א</w:t>
      </w:r>
      <w:r w:rsidRPr="00DE524A">
        <w:rPr>
          <w:rFonts w:cs="Arial"/>
          <w:b/>
          <w:bCs/>
          <w:rtl/>
        </w:rPr>
        <w:t>:</w:t>
      </w:r>
      <w:r w:rsidRPr="00DE524A">
        <w:rPr>
          <w:rFonts w:cs="Arial" w:hint="cs"/>
          <w:rtl/>
        </w:rPr>
        <w:t xml:space="preserve"> </w:t>
      </w:r>
      <w:r w:rsidRPr="00DE524A">
        <w:rPr>
          <w:rFonts w:cs="Arial"/>
          <w:rtl/>
        </w:rPr>
        <w:t xml:space="preserve">ההיא בת מחוזא דהות נסיבא לנהרדעא, אתו לקמיה דרב נחמן, שמעה לקלה דבת מחוזא היא, אמר להו: בבל וכל פרוודהא נהוג כרב. אמרו ליה: והא לנהרדעא נסיבא! אמר להו: אי הכי, נהרדעא וכל פרוודהא נהוג כשמואל. </w:t>
      </w:r>
    </w:p>
    <w:p w14:paraId="4D160F42" w14:textId="77777777" w:rsidR="002E5BAD" w:rsidRPr="00761C13" w:rsidRDefault="002E5BAD" w:rsidP="002E5BAD">
      <w:pPr>
        <w:rPr>
          <w:rFonts w:cs="Arial"/>
          <w:u w:val="single"/>
        </w:rPr>
      </w:pPr>
      <w:r w:rsidRPr="00761C13">
        <w:rPr>
          <w:rFonts w:cs="Arial" w:hint="cs"/>
          <w:u w:val="single"/>
          <w:rtl/>
        </w:rPr>
        <w:t xml:space="preserve">מי שנשא אשה ממקום אחר על דעת שתגור עמו במקומו </w:t>
      </w:r>
      <w:r w:rsidRPr="00761C13">
        <w:rPr>
          <w:rFonts w:cs="Arial"/>
          <w:u w:val="single"/>
          <w:rtl/>
        </w:rPr>
        <w:t>–</w:t>
      </w:r>
      <w:r w:rsidRPr="00761C13">
        <w:rPr>
          <w:rFonts w:cs="Arial" w:hint="cs"/>
          <w:u w:val="single"/>
          <w:rtl/>
        </w:rPr>
        <w:t xml:space="preserve"> </w:t>
      </w:r>
      <w:r>
        <w:rPr>
          <w:rFonts w:cs="Arial" w:hint="cs"/>
          <w:u w:val="single"/>
          <w:rtl/>
        </w:rPr>
        <w:t>לאיזה מנהג הם מחוייבים, ל</w:t>
      </w:r>
      <w:r w:rsidRPr="00761C13">
        <w:rPr>
          <w:rFonts w:cs="Arial" w:hint="cs"/>
          <w:u w:val="single"/>
          <w:rtl/>
        </w:rPr>
        <w:t xml:space="preserve">מנהג </w:t>
      </w:r>
      <w:r>
        <w:rPr>
          <w:rFonts w:cs="Arial" w:hint="cs"/>
          <w:u w:val="single"/>
          <w:rtl/>
        </w:rPr>
        <w:t>מקומו או מקומה</w:t>
      </w:r>
      <w:r w:rsidRPr="00761C13">
        <w:rPr>
          <w:rFonts w:cs="Arial" w:hint="cs"/>
          <w:u w:val="single"/>
          <w:rtl/>
        </w:rPr>
        <w:t>:</w:t>
      </w:r>
    </w:p>
    <w:p w14:paraId="62542F17" w14:textId="77777777" w:rsidR="002E5BAD" w:rsidRDefault="002E5BAD" w:rsidP="00B75458">
      <w:pPr>
        <w:pStyle w:val="ab"/>
        <w:numPr>
          <w:ilvl w:val="0"/>
          <w:numId w:val="192"/>
        </w:numPr>
        <w:rPr>
          <w:rFonts w:cs="Arial"/>
        </w:rPr>
      </w:pPr>
      <w:r w:rsidRPr="00761C13">
        <w:rPr>
          <w:rFonts w:cs="Arial"/>
          <w:rtl/>
        </w:rPr>
        <w:t>ריטב"א</w:t>
      </w:r>
      <w:r w:rsidRPr="00DE524A">
        <w:rPr>
          <w:rFonts w:cs="Arial"/>
          <w:sz w:val="16"/>
          <w:szCs w:val="16"/>
          <w:rtl/>
        </w:rPr>
        <w:t xml:space="preserve"> (שם ד"ה אתמר רב</w:t>
      </w:r>
      <w:r>
        <w:rPr>
          <w:rFonts w:cs="Arial" w:hint="cs"/>
          <w:sz w:val="16"/>
          <w:szCs w:val="16"/>
          <w:rtl/>
        </w:rPr>
        <w:t>, הביאו הב"י כאן ובסי' סו</w:t>
      </w:r>
      <w:r w:rsidRPr="00DE524A">
        <w:rPr>
          <w:rFonts w:cs="Arial"/>
          <w:sz w:val="16"/>
          <w:szCs w:val="16"/>
          <w:rtl/>
        </w:rPr>
        <w:t>)</w:t>
      </w:r>
      <w:r>
        <w:rPr>
          <w:rFonts w:cs="Arial" w:hint="cs"/>
          <w:rtl/>
        </w:rPr>
        <w:t>-</w:t>
      </w:r>
      <w:r w:rsidRPr="00761C13">
        <w:rPr>
          <w:rFonts w:cs="Arial"/>
          <w:rtl/>
        </w:rPr>
        <w:t xml:space="preserve"> ש"מ </w:t>
      </w:r>
      <w:r>
        <w:rPr>
          <w:rFonts w:cs="Arial" w:hint="cs"/>
          <w:sz w:val="16"/>
          <w:szCs w:val="16"/>
          <w:rtl/>
        </w:rPr>
        <w:t xml:space="preserve">{מההיא דבת מחוזא בגמ'} </w:t>
      </w:r>
      <w:r w:rsidRPr="00761C13">
        <w:rPr>
          <w:rFonts w:cs="Arial"/>
          <w:rtl/>
        </w:rPr>
        <w:t>דמאן דנסיב איתתא מדוכתא אחריתי אדעתא דתידור עמה בדוכתיה הולכים בה אחר מנהג מקומו שבאה לשם</w:t>
      </w:r>
      <w:r>
        <w:rPr>
          <w:rFonts w:cs="Arial" w:hint="cs"/>
          <w:rtl/>
        </w:rPr>
        <w:t>.</w:t>
      </w:r>
      <w:r w:rsidRPr="00761C13">
        <w:rPr>
          <w:rFonts w:cs="Arial"/>
          <w:rtl/>
        </w:rPr>
        <w:t xml:space="preserve"> </w:t>
      </w:r>
    </w:p>
    <w:p w14:paraId="529F7692" w14:textId="77777777" w:rsidR="002E5BAD" w:rsidRPr="00F6735C" w:rsidRDefault="002E5BAD" w:rsidP="002E5BAD">
      <w:pPr>
        <w:rPr>
          <w:rFonts w:cs="Arial"/>
          <w:u w:val="single"/>
        </w:rPr>
      </w:pPr>
      <w:bookmarkStart w:id="9" w:name="_Hlk69289341"/>
      <w:r w:rsidRPr="00F6735C">
        <w:rPr>
          <w:rFonts w:cs="Arial" w:hint="cs"/>
          <w:u w:val="single"/>
          <w:rtl/>
        </w:rPr>
        <w:t xml:space="preserve">בן שהוציא הוצאות על אביו החולה, ונמצאים בידו מטלטלין של אשת אביו </w:t>
      </w:r>
      <w:r w:rsidRPr="00F6735C">
        <w:rPr>
          <w:rFonts w:cs="Arial"/>
          <w:u w:val="single"/>
          <w:rtl/>
        </w:rPr>
        <w:t>–</w:t>
      </w:r>
      <w:r w:rsidRPr="00F6735C">
        <w:rPr>
          <w:rFonts w:cs="Arial" w:hint="cs"/>
          <w:u w:val="single"/>
          <w:rtl/>
        </w:rPr>
        <w:t xml:space="preserve"> האם יכול למכרם בעד הוצאותיו:</w:t>
      </w:r>
    </w:p>
    <w:p w14:paraId="4A94AA7C" w14:textId="77777777" w:rsidR="002E5BAD" w:rsidRDefault="002E5BAD" w:rsidP="00B75458">
      <w:pPr>
        <w:pStyle w:val="ab"/>
        <w:numPr>
          <w:ilvl w:val="0"/>
          <w:numId w:val="192"/>
        </w:numPr>
        <w:rPr>
          <w:rFonts w:cs="Arial"/>
        </w:rPr>
      </w:pPr>
      <w:r w:rsidRPr="00761C13">
        <w:rPr>
          <w:rFonts w:cs="Arial"/>
          <w:rtl/>
        </w:rPr>
        <w:t xml:space="preserve">רשב"א </w:t>
      </w:r>
      <w:r w:rsidRPr="00761C13">
        <w:rPr>
          <w:rFonts w:cs="Arial"/>
          <w:sz w:val="16"/>
          <w:szCs w:val="16"/>
          <w:rtl/>
        </w:rPr>
        <w:t>(</w:t>
      </w:r>
      <w:r w:rsidRPr="00761C13">
        <w:rPr>
          <w:rFonts w:cs="Arial" w:hint="cs"/>
          <w:sz w:val="16"/>
          <w:szCs w:val="16"/>
          <w:rtl/>
        </w:rPr>
        <w:t>ב</w:t>
      </w:r>
      <w:r w:rsidRPr="00761C13">
        <w:rPr>
          <w:rFonts w:cs="Arial"/>
          <w:sz w:val="16"/>
          <w:szCs w:val="16"/>
          <w:rtl/>
        </w:rPr>
        <w:t>מיוחסות סי' סד</w:t>
      </w:r>
      <w:r>
        <w:rPr>
          <w:rFonts w:cs="Arial" w:hint="cs"/>
          <w:sz w:val="16"/>
          <w:szCs w:val="16"/>
          <w:rtl/>
        </w:rPr>
        <w:t>, הביאה הב"י כאן ובסי' פו</w:t>
      </w:r>
      <w:r w:rsidRPr="00761C13">
        <w:rPr>
          <w:rFonts w:cs="Arial"/>
          <w:sz w:val="16"/>
          <w:szCs w:val="16"/>
          <w:rtl/>
        </w:rPr>
        <w:t>)</w:t>
      </w:r>
      <w:r w:rsidRPr="00761C13">
        <w:rPr>
          <w:rFonts w:cs="Arial" w:hint="cs"/>
          <w:rtl/>
        </w:rPr>
        <w:t>-</w:t>
      </w:r>
      <w:r w:rsidRPr="00761C13">
        <w:rPr>
          <w:rFonts w:cs="Arial"/>
          <w:rtl/>
        </w:rPr>
        <w:t xml:space="preserve"> שאלת</w:t>
      </w:r>
      <w:r w:rsidRPr="00761C13">
        <w:rPr>
          <w:rFonts w:cs="Arial" w:hint="cs"/>
          <w:rtl/>
        </w:rPr>
        <w:t>,</w:t>
      </w:r>
      <w:r w:rsidRPr="00761C13">
        <w:rPr>
          <w:rFonts w:cs="Arial"/>
          <w:rtl/>
        </w:rPr>
        <w:t xml:space="preserve"> בראובן שחלה</w:t>
      </w:r>
      <w:r>
        <w:rPr>
          <w:rFonts w:cs="Arial" w:hint="cs"/>
          <w:rtl/>
        </w:rPr>
        <w:t>,</w:t>
      </w:r>
      <w:r w:rsidRPr="00761C13">
        <w:rPr>
          <w:rFonts w:cs="Arial"/>
          <w:rtl/>
        </w:rPr>
        <w:t xml:space="preserve"> והביאו חנוך בנו לתוך ביתו וסיפק צרכיו</w:t>
      </w:r>
      <w:r>
        <w:rPr>
          <w:rFonts w:cs="Arial" w:hint="cs"/>
          <w:rtl/>
        </w:rPr>
        <w:t>,</w:t>
      </w:r>
      <w:r w:rsidRPr="00761C13">
        <w:rPr>
          <w:rFonts w:cs="Arial"/>
          <w:rtl/>
        </w:rPr>
        <w:t xml:space="preserve"> ומת</w:t>
      </w:r>
      <w:r>
        <w:rPr>
          <w:rFonts w:cs="Arial" w:hint="cs"/>
          <w:rtl/>
        </w:rPr>
        <w:t>,</w:t>
      </w:r>
      <w:r w:rsidRPr="00761C13">
        <w:rPr>
          <w:rFonts w:cs="Arial"/>
          <w:rtl/>
        </w:rPr>
        <w:t xml:space="preserve"> וקברו</w:t>
      </w:r>
      <w:r>
        <w:rPr>
          <w:rFonts w:cs="Arial" w:hint="cs"/>
          <w:rtl/>
        </w:rPr>
        <w:t>.</w:t>
      </w:r>
      <w:r w:rsidRPr="00761C13">
        <w:rPr>
          <w:rFonts w:cs="Arial"/>
          <w:rtl/>
        </w:rPr>
        <w:t xml:space="preserve"> ולאה אשתו של ראובן הפקידה מטלטלין ביד חנוך</w:t>
      </w:r>
      <w:r>
        <w:rPr>
          <w:rFonts w:cs="Arial" w:hint="cs"/>
          <w:rtl/>
        </w:rPr>
        <w:t>,</w:t>
      </w:r>
      <w:r w:rsidRPr="00761C13">
        <w:rPr>
          <w:rFonts w:cs="Arial"/>
          <w:rtl/>
        </w:rPr>
        <w:t xml:space="preserve"> ועכשיו תובעת אותם ממנו</w:t>
      </w:r>
      <w:r>
        <w:rPr>
          <w:rFonts w:cs="Arial" w:hint="cs"/>
          <w:rtl/>
        </w:rPr>
        <w:t>.</w:t>
      </w:r>
      <w:r w:rsidRPr="00761C13">
        <w:rPr>
          <w:rFonts w:cs="Arial"/>
          <w:rtl/>
        </w:rPr>
        <w:t xml:space="preserve"> השיב חנוך אני הוצאתי הוצאות על אבי ועל קבורתו ועל תכריכיו ואני תופס אותם בשביל אותם הוצאות</w:t>
      </w:r>
      <w:r>
        <w:rPr>
          <w:rFonts w:cs="Arial" w:hint="cs"/>
          <w:rtl/>
        </w:rPr>
        <w:t>.</w:t>
      </w:r>
      <w:r w:rsidRPr="00761C13">
        <w:rPr>
          <w:rFonts w:cs="Arial"/>
          <w:rtl/>
        </w:rPr>
        <w:t xml:space="preserve"> טענה לאה אותם מטלטלין שלי היו ואין לך לתפוס בשלי</w:t>
      </w:r>
      <w:r>
        <w:rPr>
          <w:rFonts w:cs="Arial" w:hint="cs"/>
          <w:rtl/>
        </w:rPr>
        <w:t>.</w:t>
      </w:r>
      <w:r w:rsidRPr="00761C13">
        <w:rPr>
          <w:rFonts w:cs="Arial"/>
          <w:rtl/>
        </w:rPr>
        <w:t xml:space="preserve"> השיב חנוך איני יודע שהן שלך</w:t>
      </w:r>
      <w:r>
        <w:rPr>
          <w:rFonts w:cs="Arial" w:hint="cs"/>
          <w:rtl/>
        </w:rPr>
        <w:t>,</w:t>
      </w:r>
      <w:r w:rsidRPr="00761C13">
        <w:rPr>
          <w:rFonts w:cs="Arial"/>
          <w:rtl/>
        </w:rPr>
        <w:t xml:space="preserve"> מה שקנתה אשה קנה בעלה. </w:t>
      </w:r>
      <w:r w:rsidRPr="00761C13">
        <w:rPr>
          <w:rFonts w:cs="Arial" w:hint="cs"/>
          <w:rtl/>
        </w:rPr>
        <w:t xml:space="preserve">    </w:t>
      </w:r>
      <w:r w:rsidRPr="00761C13">
        <w:rPr>
          <w:rFonts w:cs="Arial"/>
          <w:rtl/>
        </w:rPr>
        <w:t>תשובה</w:t>
      </w:r>
      <w:r w:rsidRPr="00761C13">
        <w:rPr>
          <w:rFonts w:cs="Arial" w:hint="cs"/>
          <w:rtl/>
        </w:rPr>
        <w:t>-</w:t>
      </w:r>
      <w:r w:rsidRPr="00761C13">
        <w:rPr>
          <w:rFonts w:cs="Arial"/>
          <w:rtl/>
        </w:rPr>
        <w:t xml:space="preserve"> הדין עם לאה מכמה טעמים</w:t>
      </w:r>
      <w:r>
        <w:rPr>
          <w:rFonts w:cs="Arial" w:hint="cs"/>
          <w:rtl/>
        </w:rPr>
        <w:t>.</w:t>
      </w:r>
      <w:r w:rsidRPr="00761C13">
        <w:rPr>
          <w:rFonts w:cs="Arial"/>
          <w:rtl/>
        </w:rPr>
        <w:t xml:space="preserve"> כי מה שטענה שהמטלטלים שלה </w:t>
      </w:r>
      <w:r>
        <w:rPr>
          <w:rFonts w:cs="Arial" w:hint="cs"/>
          <w:rtl/>
        </w:rPr>
        <w:t xml:space="preserve">- </w:t>
      </w:r>
      <w:r w:rsidRPr="00761C13">
        <w:rPr>
          <w:rFonts w:cs="Arial"/>
          <w:rtl/>
        </w:rPr>
        <w:t>נאמנת וצריך להחזיר לה ואפילו היה הבעל קיים</w:t>
      </w:r>
      <w:r>
        <w:rPr>
          <w:rFonts w:cs="Arial" w:hint="cs"/>
          <w:rtl/>
        </w:rPr>
        <w:t xml:space="preserve">, </w:t>
      </w:r>
      <w:r w:rsidRPr="00761C13">
        <w:rPr>
          <w:rFonts w:cs="Arial"/>
          <w:rtl/>
        </w:rPr>
        <w:t>וכדתניא בפרק חזקת (ב"ב נא:) קיבל מן האשה יחזיר לאשה</w:t>
      </w:r>
      <w:r>
        <w:rPr>
          <w:rFonts w:cs="Arial" w:hint="cs"/>
          <w:rtl/>
        </w:rPr>
        <w:t>,</w:t>
      </w:r>
      <w:r w:rsidRPr="00761C13">
        <w:rPr>
          <w:rFonts w:cs="Arial"/>
          <w:rtl/>
        </w:rPr>
        <w:t xml:space="preserve"> וזה אינו יודע שאינם שלה שיתפוס בהם</w:t>
      </w:r>
      <w:r>
        <w:rPr>
          <w:rFonts w:cs="Arial" w:hint="cs"/>
          <w:rtl/>
        </w:rPr>
        <w:t>,</w:t>
      </w:r>
      <w:r w:rsidRPr="00761C13">
        <w:rPr>
          <w:rFonts w:cs="Arial"/>
          <w:rtl/>
        </w:rPr>
        <w:t xml:space="preserve"> אלא איני יודע שהן שלך טען</w:t>
      </w:r>
      <w:r>
        <w:rPr>
          <w:rFonts w:cs="Arial" w:hint="cs"/>
          <w:rtl/>
        </w:rPr>
        <w:t>.</w:t>
      </w:r>
      <w:r w:rsidRPr="00761C13">
        <w:rPr>
          <w:rFonts w:cs="Arial"/>
          <w:rtl/>
        </w:rPr>
        <w:t xml:space="preserve"> ומה שקנתה אשה קנה בעלה שטען</w:t>
      </w:r>
      <w:r>
        <w:rPr>
          <w:rFonts w:cs="Arial" w:hint="cs"/>
          <w:rtl/>
        </w:rPr>
        <w:t>,</w:t>
      </w:r>
      <w:r w:rsidRPr="00761C13">
        <w:rPr>
          <w:rFonts w:cs="Arial"/>
          <w:rtl/>
        </w:rPr>
        <w:t xml:space="preserve"> אינו כלום</w:t>
      </w:r>
      <w:r>
        <w:rPr>
          <w:rFonts w:cs="Arial" w:hint="cs"/>
          <w:rtl/>
        </w:rPr>
        <w:t>,</w:t>
      </w:r>
      <w:r w:rsidRPr="00761C13">
        <w:rPr>
          <w:rFonts w:cs="Arial"/>
          <w:rtl/>
        </w:rPr>
        <w:t xml:space="preserve"> כי שמא נתנו לה אחרים על מנת שאין לבעלה רשות בהם</w:t>
      </w:r>
      <w:r>
        <w:rPr>
          <w:rFonts w:cs="Arial" w:hint="cs"/>
          <w:rtl/>
        </w:rPr>
        <w:t>,</w:t>
      </w:r>
      <w:r w:rsidRPr="00761C13">
        <w:rPr>
          <w:rFonts w:cs="Arial"/>
          <w:rtl/>
        </w:rPr>
        <w:t xml:space="preserve"> והיינו דאמרינן בפרק חזקת קיבל מן האשה יחזיר לאשה</w:t>
      </w:r>
      <w:r>
        <w:rPr>
          <w:rFonts w:cs="Arial" w:hint="cs"/>
          <w:rtl/>
        </w:rPr>
        <w:t>.</w:t>
      </w:r>
      <w:r w:rsidRPr="00761C13">
        <w:rPr>
          <w:rFonts w:cs="Arial"/>
          <w:rtl/>
        </w:rPr>
        <w:t xml:space="preserve"> ועוד דמה שקנתה אשה לא קנה בעלה אלא לפירות</w:t>
      </w:r>
      <w:r>
        <w:rPr>
          <w:rFonts w:cs="Arial" w:hint="cs"/>
          <w:rtl/>
        </w:rPr>
        <w:t>,</w:t>
      </w:r>
      <w:r w:rsidRPr="00761C13">
        <w:rPr>
          <w:rFonts w:cs="Arial"/>
          <w:rtl/>
        </w:rPr>
        <w:t xml:space="preserve"> והרי הוא כנכסי מלוג</w:t>
      </w:r>
      <w:r>
        <w:rPr>
          <w:rFonts w:cs="Arial" w:hint="cs"/>
          <w:rtl/>
        </w:rPr>
        <w:t>,</w:t>
      </w:r>
      <w:r w:rsidRPr="00761C13">
        <w:rPr>
          <w:rFonts w:cs="Arial"/>
          <w:rtl/>
        </w:rPr>
        <w:t xml:space="preserve"> ואם מת הבעל הרי הם שלה לגמרי</w:t>
      </w:r>
      <w:r>
        <w:rPr>
          <w:rFonts w:cs="Arial" w:hint="cs"/>
          <w:rtl/>
        </w:rPr>
        <w:t>.</w:t>
      </w:r>
      <w:r w:rsidRPr="00761C13">
        <w:rPr>
          <w:rFonts w:cs="Arial"/>
          <w:rtl/>
        </w:rPr>
        <w:t xml:space="preserve"> ולא עוד אלא אפילו מטלטלין דאב שנטלן חנוך והוציא הוצאות על אביו ואפילו בצרכי קבורתו</w:t>
      </w:r>
      <w:r>
        <w:rPr>
          <w:rFonts w:cs="Arial" w:hint="cs"/>
          <w:rtl/>
        </w:rPr>
        <w:t>,</w:t>
      </w:r>
      <w:r w:rsidRPr="00761C13">
        <w:rPr>
          <w:rFonts w:cs="Arial"/>
          <w:rtl/>
        </w:rPr>
        <w:t xml:space="preserve"> אם כתב ראובן לאשה מטלטלי אגב מקרקעי האשה מוציאה מידו ואפילו היה מוטל לפניה</w:t>
      </w:r>
      <w:r>
        <w:rPr>
          <w:rFonts w:cs="Arial" w:hint="cs"/>
          <w:rtl/>
        </w:rPr>
        <w:t>.</w:t>
      </w:r>
      <w:r w:rsidRPr="00761C13">
        <w:rPr>
          <w:rFonts w:cs="Arial"/>
          <w:rtl/>
        </w:rPr>
        <w:t xml:space="preserve"> רצתה היא גובה כתובתה והוא נקבר מן הצדקה וכדתניא בתוספתא דכתובות (פ"ט ה"ד)</w:t>
      </w:r>
      <w:r>
        <w:rPr>
          <w:rStyle w:val="a7"/>
          <w:rFonts w:cs="Arial"/>
          <w:rtl/>
        </w:rPr>
        <w:footnoteReference w:id="2257"/>
      </w:r>
      <w:r w:rsidRPr="00761C13">
        <w:rPr>
          <w:rFonts w:cs="Arial"/>
          <w:rtl/>
        </w:rPr>
        <w:t xml:space="preserve">. </w:t>
      </w:r>
    </w:p>
    <w:bookmarkEnd w:id="9"/>
    <w:p w14:paraId="445D4305" w14:textId="77777777" w:rsidR="002E5BAD" w:rsidRPr="0078455A" w:rsidRDefault="002E5BAD" w:rsidP="002E5BAD">
      <w:pPr>
        <w:rPr>
          <w:rFonts w:cs="Arial"/>
          <w:u w:val="single"/>
        </w:rPr>
      </w:pPr>
      <w:r w:rsidRPr="0078455A">
        <w:rPr>
          <w:rFonts w:cs="Arial"/>
          <w:u w:val="single"/>
          <w:rtl/>
        </w:rPr>
        <w:t>ראובן נפטר ו</w:t>
      </w:r>
      <w:r>
        <w:rPr>
          <w:rFonts w:cs="Arial" w:hint="cs"/>
          <w:u w:val="single"/>
          <w:rtl/>
        </w:rPr>
        <w:t>אח"כ ילדה</w:t>
      </w:r>
      <w:r w:rsidRPr="0078455A">
        <w:rPr>
          <w:rFonts w:cs="Arial"/>
          <w:u w:val="single"/>
          <w:rtl/>
        </w:rPr>
        <w:t xml:space="preserve"> אלמנתו בת</w:t>
      </w:r>
      <w:r w:rsidRPr="0078455A">
        <w:rPr>
          <w:rFonts w:cs="Arial" w:hint="cs"/>
          <w:u w:val="single"/>
          <w:rtl/>
        </w:rPr>
        <w:t>,</w:t>
      </w:r>
      <w:r w:rsidRPr="0078455A">
        <w:rPr>
          <w:rFonts w:cs="Arial"/>
          <w:u w:val="single"/>
          <w:rtl/>
        </w:rPr>
        <w:t xml:space="preserve"> ויש לראובן אחים </w:t>
      </w:r>
      <w:r w:rsidRPr="0078455A">
        <w:rPr>
          <w:rFonts w:cs="Arial" w:hint="cs"/>
          <w:u w:val="single"/>
          <w:rtl/>
        </w:rPr>
        <w:t>- ה</w:t>
      </w:r>
      <w:r w:rsidRPr="0078455A">
        <w:rPr>
          <w:rFonts w:cs="Arial"/>
          <w:u w:val="single"/>
          <w:rtl/>
        </w:rPr>
        <w:t>אם יכולה לתבוע כתובתה קודם</w:t>
      </w:r>
      <w:r w:rsidRPr="0078455A">
        <w:rPr>
          <w:rFonts w:cs="Arial" w:hint="cs"/>
          <w:u w:val="single"/>
          <w:rtl/>
        </w:rPr>
        <w:t xml:space="preserve"> שתהא הבת בת ל' יום:</w:t>
      </w:r>
    </w:p>
    <w:p w14:paraId="48E0E6D7" w14:textId="77777777" w:rsidR="002E5BAD" w:rsidRDefault="002E5BAD" w:rsidP="00B75458">
      <w:pPr>
        <w:pStyle w:val="ab"/>
        <w:numPr>
          <w:ilvl w:val="0"/>
          <w:numId w:val="192"/>
        </w:numPr>
        <w:rPr>
          <w:rFonts w:cs="Arial"/>
        </w:rPr>
      </w:pPr>
      <w:r w:rsidRPr="00DE524A">
        <w:rPr>
          <w:rFonts w:cs="Arial"/>
          <w:rtl/>
        </w:rPr>
        <w:lastRenderedPageBreak/>
        <w:t xml:space="preserve">רשב"א </w:t>
      </w:r>
      <w:r w:rsidRPr="00DE524A">
        <w:rPr>
          <w:rFonts w:cs="Arial"/>
          <w:sz w:val="16"/>
          <w:szCs w:val="16"/>
          <w:rtl/>
        </w:rPr>
        <w:t>(ח"א סי</w:t>
      </w:r>
      <w:r w:rsidRPr="00DE524A">
        <w:rPr>
          <w:rFonts w:cs="Arial" w:hint="cs"/>
          <w:sz w:val="16"/>
          <w:szCs w:val="16"/>
          <w:rtl/>
        </w:rPr>
        <w:t>'</w:t>
      </w:r>
      <w:r w:rsidRPr="00DE524A">
        <w:rPr>
          <w:rFonts w:cs="Arial"/>
          <w:sz w:val="16"/>
          <w:szCs w:val="16"/>
          <w:rtl/>
        </w:rPr>
        <w:t xml:space="preserve"> תשה)</w:t>
      </w:r>
      <w:r>
        <w:rPr>
          <w:rFonts w:cs="Arial" w:hint="cs"/>
          <w:rtl/>
        </w:rPr>
        <w:t>-</w:t>
      </w:r>
      <w:r w:rsidRPr="00DE524A">
        <w:rPr>
          <w:rFonts w:cs="Arial"/>
          <w:rtl/>
        </w:rPr>
        <w:t xml:space="preserve"> שאלת</w:t>
      </w:r>
      <w:r>
        <w:rPr>
          <w:rFonts w:cs="Arial" w:hint="cs"/>
          <w:rtl/>
        </w:rPr>
        <w:t>,</w:t>
      </w:r>
      <w:r w:rsidRPr="00DE524A">
        <w:rPr>
          <w:rFonts w:cs="Arial"/>
          <w:rtl/>
        </w:rPr>
        <w:t xml:space="preserve"> ראובן נפטר והניח אלמנתו מעוברת וילדה בת ויש לראובן אחים אם יכולה לתבוע כתובתה קודם שתגיע הבת לשלשים יום. </w:t>
      </w:r>
      <w:r>
        <w:rPr>
          <w:rFonts w:cs="Arial" w:hint="cs"/>
          <w:rtl/>
        </w:rPr>
        <w:t xml:space="preserve">    </w:t>
      </w:r>
      <w:r w:rsidRPr="00DE524A">
        <w:rPr>
          <w:rFonts w:cs="Arial"/>
          <w:rtl/>
        </w:rPr>
        <w:t>תשובה</w:t>
      </w:r>
      <w:r>
        <w:rPr>
          <w:rFonts w:cs="Arial" w:hint="cs"/>
          <w:rtl/>
        </w:rPr>
        <w:t>-</w:t>
      </w:r>
      <w:r w:rsidRPr="00DE524A">
        <w:rPr>
          <w:rFonts w:cs="Arial"/>
          <w:rtl/>
        </w:rPr>
        <w:t xml:space="preserve"> יכולה לתבוע כתובתה מעכשיו שאפילו תמות הבת תוך שלשים יום חולצת ולא מתייבמת</w:t>
      </w:r>
      <w:r w:rsidRPr="00DE524A">
        <w:rPr>
          <w:rFonts w:cs="Arial" w:hint="cs"/>
          <w:rtl/>
        </w:rPr>
        <w:t>.</w:t>
      </w:r>
    </w:p>
    <w:p w14:paraId="77049FA4" w14:textId="77777777" w:rsidR="002E5BAD" w:rsidRPr="00FD5B6B" w:rsidRDefault="002E5BAD" w:rsidP="002E5BAD">
      <w:pPr>
        <w:rPr>
          <w:rFonts w:cs="Arial"/>
          <w:u w:val="single"/>
        </w:rPr>
      </w:pPr>
      <w:r w:rsidRPr="00FD5B6B">
        <w:rPr>
          <w:rFonts w:cs="Arial" w:hint="cs"/>
          <w:u w:val="single"/>
          <w:rtl/>
        </w:rPr>
        <w:t>האם יכולים הציבור לתקן תקנה שלא תיזון האלמנה יותר מג' חודשים כדי שלא תכלה את נכסי היתומים:</w:t>
      </w:r>
    </w:p>
    <w:p w14:paraId="076D591B" w14:textId="77777777" w:rsidR="002E5BAD" w:rsidRDefault="002E5BAD" w:rsidP="00B75458">
      <w:pPr>
        <w:pStyle w:val="ab"/>
        <w:numPr>
          <w:ilvl w:val="0"/>
          <w:numId w:val="192"/>
        </w:numPr>
        <w:rPr>
          <w:rFonts w:cs="Arial"/>
        </w:rPr>
      </w:pPr>
      <w:r w:rsidRPr="00DE524A">
        <w:rPr>
          <w:rFonts w:cs="Arial"/>
          <w:rtl/>
        </w:rPr>
        <w:t>ה"ר יהודה בן הרא"ש</w:t>
      </w:r>
      <w:r>
        <w:rPr>
          <w:rStyle w:val="a7"/>
          <w:rFonts w:cs="Arial"/>
          <w:rtl/>
        </w:rPr>
        <w:footnoteReference w:id="2258"/>
      </w:r>
      <w:r w:rsidRPr="00DE524A">
        <w:rPr>
          <w:rFonts w:cs="Arial"/>
          <w:rtl/>
        </w:rPr>
        <w:t xml:space="preserve"> </w:t>
      </w:r>
      <w:r w:rsidRPr="00DE524A">
        <w:rPr>
          <w:rFonts w:cs="Arial"/>
          <w:sz w:val="16"/>
          <w:szCs w:val="16"/>
          <w:rtl/>
        </w:rPr>
        <w:t>(זכרון יהודה סי' עח)</w:t>
      </w:r>
      <w:r>
        <w:rPr>
          <w:rFonts w:cs="Arial" w:hint="cs"/>
          <w:rtl/>
        </w:rPr>
        <w:t>-</w:t>
      </w:r>
      <w:r w:rsidRPr="00DE524A">
        <w:rPr>
          <w:rFonts w:cs="Arial"/>
          <w:rtl/>
        </w:rPr>
        <w:t xml:space="preserve"> אם יכולים הצבור לתקן שלא תזון האלמנה כי אם ג' חדשים ואז ע"כ תשבע ותטול כתובתה ולא יהיו נזוקים היתומים בתפיסת האלמנה נכסים מרובים</w:t>
      </w:r>
      <w:r>
        <w:rPr>
          <w:rFonts w:cs="Arial" w:hint="cs"/>
          <w:rtl/>
        </w:rPr>
        <w:t>.</w:t>
      </w:r>
      <w:r w:rsidRPr="00DE524A">
        <w:rPr>
          <w:rFonts w:cs="Arial"/>
          <w:rtl/>
        </w:rPr>
        <w:t xml:space="preserve"> </w:t>
      </w:r>
      <w:r>
        <w:rPr>
          <w:rFonts w:cs="Arial" w:hint="cs"/>
          <w:rtl/>
        </w:rPr>
        <w:t xml:space="preserve">   תשובה- </w:t>
      </w:r>
      <w:r w:rsidRPr="00DE524A">
        <w:rPr>
          <w:rFonts w:cs="Arial"/>
          <w:rtl/>
        </w:rPr>
        <w:t>אינם יכולים לתקן כך</w:t>
      </w:r>
      <w:r>
        <w:rPr>
          <w:rStyle w:val="a7"/>
          <w:rFonts w:cs="Arial"/>
          <w:rtl/>
        </w:rPr>
        <w:footnoteReference w:id="2259"/>
      </w:r>
      <w:r>
        <w:rPr>
          <w:rFonts w:cs="Arial" w:hint="cs"/>
          <w:sz w:val="16"/>
          <w:szCs w:val="16"/>
          <w:rtl/>
        </w:rPr>
        <w:t xml:space="preserve"> (ל' הב"י בשמו)</w:t>
      </w:r>
      <w:r>
        <w:rPr>
          <w:rStyle w:val="a7"/>
          <w:rFonts w:cs="Arial"/>
          <w:rtl/>
        </w:rPr>
        <w:footnoteReference w:id="2260"/>
      </w:r>
      <w:r>
        <w:rPr>
          <w:rFonts w:cs="Arial" w:hint="cs"/>
          <w:rtl/>
        </w:rPr>
        <w:t>.</w:t>
      </w:r>
    </w:p>
    <w:p w14:paraId="09002479" w14:textId="77777777" w:rsidR="002E5BAD" w:rsidRPr="00617935" w:rsidRDefault="002E5BAD" w:rsidP="00B75458">
      <w:pPr>
        <w:pStyle w:val="ab"/>
        <w:numPr>
          <w:ilvl w:val="0"/>
          <w:numId w:val="192"/>
        </w:numPr>
        <w:rPr>
          <w:rFonts w:cs="Arial"/>
          <w:rtl/>
        </w:rPr>
      </w:pPr>
      <w:r>
        <w:rPr>
          <w:rFonts w:cs="Arial" w:hint="cs"/>
          <w:rtl/>
        </w:rPr>
        <w:t>ריב"ש</w:t>
      </w:r>
      <w:r w:rsidRPr="00DE524A">
        <w:rPr>
          <w:rFonts w:cs="Arial"/>
          <w:rtl/>
        </w:rPr>
        <w:t xml:space="preserve"> </w:t>
      </w:r>
      <w:r w:rsidRPr="00DE524A">
        <w:rPr>
          <w:rFonts w:cs="Arial"/>
          <w:sz w:val="16"/>
          <w:szCs w:val="16"/>
          <w:rtl/>
        </w:rPr>
        <w:t>(</w:t>
      </w:r>
      <w:r>
        <w:rPr>
          <w:rFonts w:cs="Arial" w:hint="cs"/>
          <w:sz w:val="16"/>
          <w:szCs w:val="16"/>
          <w:rtl/>
        </w:rPr>
        <w:t>סי' קז</w:t>
      </w:r>
      <w:r w:rsidRPr="00DE524A">
        <w:rPr>
          <w:rFonts w:cs="Arial"/>
          <w:sz w:val="16"/>
          <w:szCs w:val="16"/>
          <w:rtl/>
        </w:rPr>
        <w:t>)</w:t>
      </w:r>
      <w:r>
        <w:rPr>
          <w:rFonts w:cs="Arial" w:hint="cs"/>
          <w:rtl/>
        </w:rPr>
        <w:t>-</w:t>
      </w:r>
      <w:r w:rsidRPr="00DE524A">
        <w:rPr>
          <w:rFonts w:cs="Arial"/>
          <w:rtl/>
        </w:rPr>
        <w:t xml:space="preserve"> </w:t>
      </w:r>
      <w:r w:rsidRPr="00503659">
        <w:rPr>
          <w:rFonts w:cs="Arial"/>
          <w:rtl/>
        </w:rPr>
        <w:t>וכי ראו הקהל שנכסי היחידים מועטים ואם האלמנה תהיה נזונת לעולם לא ישאר דבר ליתומים עשו תקנות בעניני הנשואין הנעשים מהיום ההוא ואילך כי לא ראו לגרוע זכות הנשים בנשואין שנעשו כבר אבל ישארו על דין התלמוד. וזה כמו שמונה שנים שנעשו התקנות ההם ומהם שכל זמן שירצו היורשין לפרוע לה כתובתה ולסלקה מזכות מזונותיה שיהא רשות בידם זולתי בג' חדשים ראשונים</w:t>
      </w:r>
      <w:r>
        <w:rPr>
          <w:rStyle w:val="a7"/>
          <w:rFonts w:cs="Arial"/>
          <w:rtl/>
        </w:rPr>
        <w:footnoteReference w:id="2261"/>
      </w:r>
      <w:r w:rsidRPr="00503659">
        <w:rPr>
          <w:rFonts w:cs="Arial"/>
          <w:rtl/>
        </w:rPr>
        <w:t>. וכן תקנו לתועלת היתומים שהתוספת הנהוג לכתוב לבתולות שלא יגבו ממנו כלום זולתי אם תתגרש שלא ברצונה. אבל במיתת הבעל לא תגבה מן התוספת כלום ודי לה שתגבה עקר כתובה והנדוניא שהכניס' בבגדי' יותר משווים והיא עצמה בלתה אותם. וגם המעות הנשארים מן הנדוניא הוציא קצתם בצרכי הנשואין ועתה תגבה הכל האלמנה במעות משלם אין ראוי שתגבה התוספת מן היתומים. ועוד תקנו אז תקנות אחרות. וכל הנושא מן אז והנה על דעת התקנות ההם הוא נושא. וכן כותבין בכתובה כהוגן וכתקון חכמים על פי התקנות שתקנו קהל אל גז"איר יצ"ו</w:t>
      </w:r>
      <w:r>
        <w:rPr>
          <w:rFonts w:cs="Arial" w:hint="cs"/>
          <w:rtl/>
        </w:rPr>
        <w:t xml:space="preserve">. </w:t>
      </w:r>
      <w:r w:rsidRPr="00407947">
        <w:rPr>
          <w:rFonts w:cs="Arial" w:hint="cs"/>
          <w:color w:val="00B0F0"/>
          <w:rtl/>
        </w:rPr>
        <w:t>(וכ"פ הרמ"א)</w:t>
      </w:r>
    </w:p>
    <w:p w14:paraId="6583EA41" w14:textId="77777777" w:rsidR="002E5BAD" w:rsidRPr="00B7753B" w:rsidRDefault="002E5BAD" w:rsidP="002E5BAD">
      <w:pPr>
        <w:rPr>
          <w:u w:val="single"/>
          <w:rtl/>
        </w:rPr>
      </w:pPr>
      <w:r w:rsidRPr="00B7753B">
        <w:rPr>
          <w:rFonts w:hint="cs"/>
          <w:u w:val="single"/>
          <w:rtl/>
        </w:rPr>
        <w:t xml:space="preserve">אלמנה מן האירוסין </w:t>
      </w:r>
      <w:r w:rsidRPr="00B7753B">
        <w:rPr>
          <w:u w:val="single"/>
          <w:rtl/>
        </w:rPr>
        <w:t>–</w:t>
      </w:r>
      <w:r w:rsidRPr="00B7753B">
        <w:rPr>
          <w:rFonts w:hint="cs"/>
          <w:u w:val="single"/>
          <w:rtl/>
        </w:rPr>
        <w:t xml:space="preserve"> האם ניזונת מנכסי ארוסה:</w:t>
      </w:r>
    </w:p>
    <w:p w14:paraId="10BEB794" w14:textId="77777777" w:rsidR="002E5BAD" w:rsidRPr="00C94C46" w:rsidRDefault="002E5BAD" w:rsidP="00B75458">
      <w:pPr>
        <w:pStyle w:val="ab"/>
        <w:numPr>
          <w:ilvl w:val="0"/>
          <w:numId w:val="192"/>
        </w:numPr>
        <w:rPr>
          <w:rtl/>
        </w:rPr>
      </w:pPr>
      <w:r w:rsidRPr="00B7753B">
        <w:rPr>
          <w:rFonts w:cs="Arial" w:hint="cs"/>
          <w:rtl/>
        </w:rPr>
        <w:t xml:space="preserve">ב"י- </w:t>
      </w:r>
      <w:r w:rsidRPr="00B7753B">
        <w:rPr>
          <w:rFonts w:cs="Arial"/>
          <w:rtl/>
        </w:rPr>
        <w:t>אם יש אלמנה נזונת מנכסי ארוסה מן האירוסין אכתוב בסימן קי"ב בס"ד (קסג. ד"ה כתב הרמב"ם)</w:t>
      </w:r>
      <w:r>
        <w:rPr>
          <w:rFonts w:hint="cs"/>
          <w:rtl/>
        </w:rPr>
        <w:t>.</w:t>
      </w:r>
    </w:p>
    <w:p w14:paraId="7F9554D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E3F500" w14:textId="77777777" w:rsidR="002E5BAD" w:rsidRDefault="002E5BAD" w:rsidP="002E5BAD">
      <w:pPr>
        <w:rPr>
          <w:rtl/>
        </w:rPr>
      </w:pPr>
      <w:r>
        <w:rPr>
          <w:rFonts w:cs="Arial"/>
          <w:rtl/>
        </w:rPr>
        <w:t>אלמנה ניזונית מנכסי יורשין כל זמן אלמנותה, אפילו אם לא נכתב בכתובתה, ואפילו אם צוה בשעת מיתה: אל תיזון אלמנותי מנכסי, אין שומעין לו</w:t>
      </w:r>
      <w:r>
        <w:rPr>
          <w:rFonts w:cs="Arial" w:hint="cs"/>
          <w:rtl/>
        </w:rPr>
        <w:t>.</w:t>
      </w:r>
      <w:r>
        <w:rPr>
          <w:rFonts w:cs="Arial"/>
          <w:rtl/>
        </w:rPr>
        <w:t xml:space="preserve"> ואין היורשים יכולין לפרוע לה כתובתה ולסלקה מהמזונות, אלא היא ניזונית על כרחם כל זמן שלא תתבע כתובתה</w:t>
      </w:r>
      <w:r>
        <w:rPr>
          <w:rStyle w:val="a7"/>
          <w:rFonts w:cs="Arial"/>
          <w:rtl/>
        </w:rPr>
        <w:footnoteReference w:id="2262"/>
      </w:r>
      <w:r>
        <w:rPr>
          <w:rFonts w:cs="Arial" w:hint="cs"/>
          <w:rtl/>
        </w:rPr>
        <w:t>.</w:t>
      </w:r>
      <w:r>
        <w:rPr>
          <w:rFonts w:cs="Arial"/>
          <w:rtl/>
        </w:rPr>
        <w:t xml:space="preserve"> א</w:t>
      </w:r>
      <w:r>
        <w:rPr>
          <w:rFonts w:cs="Arial" w:hint="cs"/>
          <w:rtl/>
        </w:rPr>
        <w:t>ל</w:t>
      </w:r>
      <w:r>
        <w:rPr>
          <w:rFonts w:cs="Arial"/>
          <w:rtl/>
        </w:rPr>
        <w:t>א</w:t>
      </w:r>
      <w:r>
        <w:rPr>
          <w:rFonts w:cs="Arial" w:hint="cs"/>
          <w:rtl/>
        </w:rPr>
        <w:t xml:space="preserve"> אם </w:t>
      </w:r>
      <w:r>
        <w:rPr>
          <w:rFonts w:cs="Arial"/>
          <w:rtl/>
        </w:rPr>
        <w:t>כ</w:t>
      </w:r>
      <w:r>
        <w:rPr>
          <w:rFonts w:cs="Arial" w:hint="cs"/>
          <w:rtl/>
        </w:rPr>
        <w:t>ן</w:t>
      </w:r>
      <w:r>
        <w:rPr>
          <w:rFonts w:cs="Arial"/>
          <w:rtl/>
        </w:rPr>
        <w:t xml:space="preserve"> התנו כן בפירוש</w:t>
      </w:r>
      <w:r>
        <w:rPr>
          <w:rStyle w:val="a7"/>
          <w:rFonts w:cs="Arial"/>
          <w:rtl/>
        </w:rPr>
        <w:footnoteReference w:id="2263"/>
      </w:r>
      <w:r>
        <w:rPr>
          <w:rFonts w:cs="Arial"/>
          <w:rtl/>
        </w:rPr>
        <w:t xml:space="preserve"> שלא תזון אלמנתו מנכסיו, או שהיה מנהג המקום כן. </w:t>
      </w:r>
      <w:r w:rsidRPr="00DD7578">
        <w:rPr>
          <w:rFonts w:cs="Arial" w:hint="cs"/>
          <w:sz w:val="18"/>
          <w:szCs w:val="18"/>
          <w:rtl/>
        </w:rPr>
        <w:t xml:space="preserve">[הגה] </w:t>
      </w:r>
      <w:r w:rsidRPr="00DD7578">
        <w:rPr>
          <w:rFonts w:cs="Arial"/>
          <w:sz w:val="18"/>
          <w:szCs w:val="18"/>
          <w:rtl/>
        </w:rPr>
        <w:t>ויכולין ב"ד</w:t>
      </w:r>
      <w:r>
        <w:rPr>
          <w:rStyle w:val="a7"/>
          <w:rFonts w:cs="Arial"/>
          <w:sz w:val="18"/>
          <w:szCs w:val="18"/>
          <w:rtl/>
        </w:rPr>
        <w:footnoteReference w:id="2264"/>
      </w:r>
      <w:r w:rsidRPr="00DD7578">
        <w:rPr>
          <w:rFonts w:cs="Arial"/>
          <w:sz w:val="18"/>
          <w:szCs w:val="18"/>
          <w:rtl/>
        </w:rPr>
        <w:t xml:space="preserve"> לתקן במקומן שהיתומים יסלקו אותה כשירצו</w:t>
      </w:r>
      <w:r>
        <w:rPr>
          <w:rStyle w:val="a7"/>
          <w:rFonts w:cs="Arial"/>
          <w:sz w:val="18"/>
          <w:szCs w:val="18"/>
          <w:rtl/>
        </w:rPr>
        <w:footnoteReference w:id="2265"/>
      </w:r>
      <w:r w:rsidRPr="00DD7578">
        <w:rPr>
          <w:rFonts w:cs="Arial"/>
          <w:sz w:val="18"/>
          <w:szCs w:val="18"/>
          <w:rtl/>
        </w:rPr>
        <w:t xml:space="preserve"> (ב"י וריב"ש סי</w:t>
      </w:r>
      <w:r>
        <w:rPr>
          <w:rFonts w:cs="Arial" w:hint="cs"/>
          <w:sz w:val="18"/>
          <w:szCs w:val="18"/>
          <w:rtl/>
        </w:rPr>
        <w:t>'</w:t>
      </w:r>
      <w:r w:rsidRPr="00DD7578">
        <w:rPr>
          <w:rFonts w:cs="Arial"/>
          <w:sz w:val="18"/>
          <w:szCs w:val="18"/>
          <w:rtl/>
        </w:rPr>
        <w:t xml:space="preserve"> קז).</w:t>
      </w:r>
      <w:r>
        <w:rPr>
          <w:rFonts w:cs="Arial"/>
          <w:rtl/>
        </w:rPr>
        <w:t xml:space="preserve"> </w:t>
      </w:r>
    </w:p>
    <w:p w14:paraId="2A3ACC74" w14:textId="77777777" w:rsidR="002E5BAD" w:rsidRDefault="002E5BAD" w:rsidP="002E5BAD">
      <w:pPr>
        <w:rPr>
          <w:rFonts w:cs="Arial"/>
          <w:rtl/>
        </w:rPr>
      </w:pPr>
      <w:r w:rsidRPr="00261097">
        <w:rPr>
          <w:rFonts w:cs="Arial" w:hint="cs"/>
          <w:u w:val="single"/>
          <w:rtl/>
        </w:rPr>
        <w:lastRenderedPageBreak/>
        <w:t>אלמנה שכתובתה מנה, וצוה בעלה מחמת מיתה ליתן לה מתאים בכתובתה, והאפוטרופוס מעכב מחמת מזונותיה:</w:t>
      </w:r>
      <w:r>
        <w:rPr>
          <w:rFonts w:cs="Arial"/>
          <w:rtl/>
        </w:rPr>
        <w:t xml:space="preserve"> </w:t>
      </w:r>
    </w:p>
    <w:p w14:paraId="2CC2549C" w14:textId="77777777" w:rsidR="002E5BAD" w:rsidRDefault="002E5BAD" w:rsidP="00B75458">
      <w:pPr>
        <w:pStyle w:val="ab"/>
        <w:numPr>
          <w:ilvl w:val="0"/>
          <w:numId w:val="192"/>
        </w:numPr>
        <w:rPr>
          <w:rtl/>
        </w:rPr>
      </w:pPr>
      <w:r w:rsidRPr="00FA29EB">
        <w:rPr>
          <w:rFonts w:cs="Arial"/>
          <w:rtl/>
        </w:rPr>
        <w:t xml:space="preserve">רדב"ז </w:t>
      </w:r>
      <w:r w:rsidRPr="00FA29EB">
        <w:rPr>
          <w:rFonts w:cs="Arial" w:hint="cs"/>
          <w:sz w:val="16"/>
          <w:szCs w:val="16"/>
          <w:rtl/>
        </w:rPr>
        <w:t>(</w:t>
      </w:r>
      <w:r w:rsidRPr="00FA29EB">
        <w:rPr>
          <w:rFonts w:cs="Arial"/>
          <w:sz w:val="16"/>
          <w:szCs w:val="16"/>
          <w:rtl/>
        </w:rPr>
        <w:t>ח"ג סי' תנה</w:t>
      </w:r>
      <w:r>
        <w:rPr>
          <w:rFonts w:cs="Arial" w:hint="cs"/>
          <w:sz w:val="16"/>
          <w:szCs w:val="16"/>
          <w:rtl/>
        </w:rPr>
        <w:t xml:space="preserve">, </w:t>
      </w:r>
      <w:r w:rsidRPr="00FA29EB">
        <w:rPr>
          <w:rFonts w:cs="Arial" w:hint="cs"/>
          <w:sz w:val="16"/>
          <w:szCs w:val="16"/>
          <w:rtl/>
        </w:rPr>
        <w:t>פת"ש סק"</w:t>
      </w:r>
      <w:r w:rsidRPr="00FA29EB">
        <w:rPr>
          <w:rFonts w:cs="Arial"/>
          <w:sz w:val="16"/>
          <w:szCs w:val="16"/>
          <w:rtl/>
        </w:rPr>
        <w:t>ד</w:t>
      </w:r>
      <w:r w:rsidRPr="00FA29EB">
        <w:rPr>
          <w:rFonts w:cs="Arial" w:hint="cs"/>
          <w:sz w:val="16"/>
          <w:szCs w:val="16"/>
          <w:rtl/>
        </w:rPr>
        <w:t>)</w:t>
      </w:r>
      <w:r>
        <w:rPr>
          <w:rFonts w:cs="Arial" w:hint="cs"/>
          <w:rtl/>
        </w:rPr>
        <w:t>-</w:t>
      </w:r>
      <w:r w:rsidRPr="00FA29EB">
        <w:rPr>
          <w:rFonts w:cs="Arial"/>
          <w:rtl/>
        </w:rPr>
        <w:t xml:space="preserve"> ראובן שצוה מחמת מיתה שיתנו לאשתו מאתים זהב בכתובתה</w:t>
      </w:r>
      <w:r>
        <w:rPr>
          <w:rFonts w:cs="Arial" w:hint="cs"/>
          <w:rtl/>
        </w:rPr>
        <w:t>.</w:t>
      </w:r>
      <w:r w:rsidRPr="00FA29EB">
        <w:rPr>
          <w:rFonts w:cs="Arial"/>
          <w:rtl/>
        </w:rPr>
        <w:t xml:space="preserve"> והיא אין לה כתובה כתוב אלא מנה</w:t>
      </w:r>
      <w:r>
        <w:rPr>
          <w:rFonts w:cs="Arial" w:hint="cs"/>
          <w:rtl/>
        </w:rPr>
        <w:t>.</w:t>
      </w:r>
      <w:r w:rsidRPr="00FA29EB">
        <w:rPr>
          <w:rFonts w:cs="Arial"/>
          <w:rtl/>
        </w:rPr>
        <w:t xml:space="preserve"> והיא לא רצתה לגבות כתובה</w:t>
      </w:r>
      <w:r>
        <w:rPr>
          <w:rFonts w:cs="Arial" w:hint="cs"/>
          <w:rtl/>
        </w:rPr>
        <w:t>,</w:t>
      </w:r>
      <w:r w:rsidRPr="00FA29EB">
        <w:rPr>
          <w:rFonts w:cs="Arial"/>
          <w:rtl/>
        </w:rPr>
        <w:t xml:space="preserve"> אלא להיות ניזונית כדין האלמנה</w:t>
      </w:r>
      <w:r>
        <w:rPr>
          <w:rFonts w:cs="Arial" w:hint="cs"/>
          <w:rtl/>
        </w:rPr>
        <w:t>.</w:t>
      </w:r>
      <w:r w:rsidRPr="00FA29EB">
        <w:rPr>
          <w:rFonts w:cs="Arial"/>
          <w:rtl/>
        </w:rPr>
        <w:t xml:space="preserve"> והאפוטרופס של היתומים אומר כי לא הוסיף לה מנה אלא כדי לסלק' מעל יתומיו וכיון שהיא אינה רוצה להסתלק אין לה אלא מנה כאשר כתוב בכתובתה והשיב אין כאן ספק כלל אלא הדין עם האלמנה ותהי' ניזונת עד שתרצה ותתבע כתובתה ותגבה מאתים זהב הרי כתב לה בכתובתה משמע כדין כתובה ממש וכמו שהמנה הראשונ' הרשות בידה ליזון או ליטלם כן הדין במנה האחרים שהוסיף בכתובת</w:t>
      </w:r>
      <w:r w:rsidRPr="00FA29EB">
        <w:rPr>
          <w:rFonts w:cs="Arial" w:hint="cs"/>
          <w:rtl/>
        </w:rPr>
        <w:t>ה.</w:t>
      </w:r>
      <w:r w:rsidRPr="00FA29EB">
        <w:rPr>
          <w:rFonts w:cs="Arial"/>
          <w:rtl/>
        </w:rPr>
        <w:t xml:space="preserve"> ועוד שכל אדם יודע שאשתו ניזונת מנכסיו ואם כך הית</w:t>
      </w:r>
      <w:r w:rsidRPr="00FA29EB">
        <w:rPr>
          <w:rFonts w:cs="Arial" w:hint="cs"/>
          <w:rtl/>
        </w:rPr>
        <w:t>ה</w:t>
      </w:r>
      <w:r w:rsidRPr="00FA29EB">
        <w:rPr>
          <w:rFonts w:cs="Arial"/>
          <w:rtl/>
        </w:rPr>
        <w:t xml:space="preserve"> כוונתו הי</w:t>
      </w:r>
      <w:r w:rsidRPr="00FA29EB">
        <w:rPr>
          <w:rFonts w:cs="Arial" w:hint="cs"/>
          <w:rtl/>
        </w:rPr>
        <w:t>ה</w:t>
      </w:r>
      <w:r w:rsidRPr="00FA29EB">
        <w:rPr>
          <w:rFonts w:cs="Arial"/>
          <w:rtl/>
        </w:rPr>
        <w:t xml:space="preserve"> לו לומר תנו לה מאה זהב למזונותי</w:t>
      </w:r>
      <w:r w:rsidRPr="00FA29EB">
        <w:rPr>
          <w:rFonts w:cs="Arial" w:hint="cs"/>
          <w:rtl/>
        </w:rPr>
        <w:t>ה.</w:t>
      </w:r>
      <w:r w:rsidRPr="00FA29EB">
        <w:rPr>
          <w:rFonts w:cs="Arial"/>
          <w:rtl/>
        </w:rPr>
        <w:t xml:space="preserve"> ועוד שודאי בא במתנתו ליפות כחה ולא לגרע כחה ואם אתה אומר תטול מאתים ותסתלק נמצאת מפסדת שהרי בשנה אחת יעלה מזונותיה למאה ואם היתה כוונתו לתת בידה הבחירה שתטול מאתים ותסתלק או שתזון ותטול מאה כמו שכ' בכתובת</w:t>
      </w:r>
      <w:r w:rsidRPr="00FA29EB">
        <w:rPr>
          <w:rFonts w:cs="Arial" w:hint="cs"/>
          <w:rtl/>
        </w:rPr>
        <w:t>ה</w:t>
      </w:r>
      <w:r w:rsidRPr="00FA29EB">
        <w:rPr>
          <w:rFonts w:cs="Arial"/>
          <w:rtl/>
        </w:rPr>
        <w:t xml:space="preserve"> הי</w:t>
      </w:r>
      <w:r w:rsidRPr="00FA29EB">
        <w:rPr>
          <w:rFonts w:cs="Arial" w:hint="cs"/>
          <w:rtl/>
        </w:rPr>
        <w:t>ה</w:t>
      </w:r>
      <w:r w:rsidRPr="00FA29EB">
        <w:rPr>
          <w:rFonts w:cs="Arial"/>
          <w:rtl/>
        </w:rPr>
        <w:t xml:space="preserve"> לו לפרש</w:t>
      </w:r>
      <w:r w:rsidRPr="00FA29EB">
        <w:rPr>
          <w:rFonts w:cs="Arial" w:hint="cs"/>
          <w:rtl/>
        </w:rPr>
        <w:t>.</w:t>
      </w:r>
      <w:r w:rsidRPr="00FA29EB">
        <w:rPr>
          <w:rFonts w:cs="Arial"/>
          <w:rtl/>
        </w:rPr>
        <w:t xml:space="preserve"> הלכך ודאי ידה על העליונה ותתפרנס אם תרצה וכשתתבע כתובתה תגבה מאתים</w:t>
      </w:r>
      <w:r w:rsidRPr="00FA29EB">
        <w:rPr>
          <w:rFonts w:cs="Arial" w:hint="cs"/>
          <w:rtl/>
        </w:rPr>
        <w:t>.</w:t>
      </w:r>
    </w:p>
    <w:p w14:paraId="3634AFAD" w14:textId="77777777" w:rsidR="002E5BAD" w:rsidRDefault="002E5BAD" w:rsidP="002E5BAD">
      <w:pPr>
        <w:rPr>
          <w:rtl/>
        </w:rPr>
      </w:pPr>
    </w:p>
    <w:p w14:paraId="1E4452DF" w14:textId="77777777" w:rsidR="002E5BAD" w:rsidRDefault="002E5BAD" w:rsidP="002E5BAD">
      <w:pPr>
        <w:pStyle w:val="2"/>
        <w:rPr>
          <w:rtl/>
        </w:rPr>
      </w:pPr>
      <w:r>
        <w:rPr>
          <w:rtl/>
        </w:rPr>
        <w:t>סעיף ד</w:t>
      </w:r>
      <w:r>
        <w:rPr>
          <w:rFonts w:hint="cs"/>
          <w:rtl/>
        </w:rPr>
        <w:t>: מזונות אלמנה כשהנכסים מועטים ויש עוד יורשים.</w:t>
      </w:r>
    </w:p>
    <w:p w14:paraId="3E2BF261" w14:textId="77777777" w:rsidR="002E5BAD" w:rsidRDefault="002E5BAD" w:rsidP="002E5BAD">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 ע"ב: </w:t>
      </w:r>
      <w:r w:rsidRPr="009F73FD">
        <w:rPr>
          <w:rFonts w:cs="Arial"/>
          <w:u w:val="double"/>
          <w:rtl/>
        </w:rPr>
        <w:t>מתני'</w:t>
      </w:r>
      <w:r>
        <w:rPr>
          <w:rFonts w:cs="Arial" w:hint="cs"/>
          <w:rtl/>
        </w:rPr>
        <w:t>:</w:t>
      </w:r>
      <w:r w:rsidRPr="009F73FD">
        <w:rPr>
          <w:rFonts w:cs="Arial"/>
          <w:rtl/>
        </w:rPr>
        <w:t xml:space="preserve"> מי שמת והניח בנים ובנות, בזמן שהנכסים מרובין - הבנים יירשו והבנות יזונו, נכסים מועטין - הבנות יזונו והבנים ישאלו על הפתחים</w:t>
      </w:r>
      <w:r>
        <w:rPr>
          <w:rFonts w:cs="Arial" w:hint="cs"/>
          <w:rtl/>
        </w:rPr>
        <w:t>.</w:t>
      </w:r>
      <w:r w:rsidRPr="009F73FD">
        <w:rPr>
          <w:rFonts w:cs="Arial"/>
          <w:rtl/>
        </w:rPr>
        <w:t xml:space="preserve"> </w:t>
      </w:r>
      <w:r w:rsidRPr="009F73FD">
        <w:rPr>
          <w:rFonts w:cs="Arial"/>
          <w:u w:val="single"/>
          <w:rtl/>
        </w:rPr>
        <w:t>אדמון אומר</w:t>
      </w:r>
      <w:r w:rsidRPr="009F73FD">
        <w:rPr>
          <w:rFonts w:cs="Arial"/>
          <w:rtl/>
        </w:rPr>
        <w:t xml:space="preserve">: בשביל שאני זכר הפסדתי? </w:t>
      </w:r>
      <w:r w:rsidRPr="009F73FD">
        <w:rPr>
          <w:rFonts w:cs="Arial"/>
          <w:u w:val="single"/>
          <w:rtl/>
        </w:rPr>
        <w:t>אמר רבן גמליאל</w:t>
      </w:r>
      <w:r w:rsidRPr="009F73FD">
        <w:rPr>
          <w:rFonts w:cs="Arial"/>
          <w:rtl/>
        </w:rPr>
        <w:t xml:space="preserve">: רואה אני את דברי אדמון. </w:t>
      </w:r>
      <w:r>
        <w:rPr>
          <w:rFonts w:cs="Arial" w:hint="cs"/>
          <w:rtl/>
        </w:rPr>
        <w:t xml:space="preserve">        </w:t>
      </w:r>
      <w:r w:rsidRPr="0078313F">
        <w:rPr>
          <w:rFonts w:cs="Arial" w:hint="cs"/>
          <w:u w:val="double"/>
          <w:rtl/>
        </w:rPr>
        <w:t>גמ'</w:t>
      </w:r>
      <w:r>
        <w:rPr>
          <w:rFonts w:cs="Arial" w:hint="cs"/>
          <w:sz w:val="14"/>
          <w:szCs w:val="14"/>
          <w:u w:val="double"/>
          <w:rtl/>
        </w:rPr>
        <w:t>(קמ.)</w:t>
      </w:r>
      <w:r w:rsidRPr="0078313F">
        <w:rPr>
          <w:rFonts w:cs="Arial" w:hint="cs"/>
          <w:u w:val="double"/>
          <w:rtl/>
        </w:rPr>
        <w:t>:</w:t>
      </w:r>
      <w:r>
        <w:rPr>
          <w:rFonts w:cs="Arial" w:hint="cs"/>
          <w:rtl/>
        </w:rPr>
        <w:t xml:space="preserve"> </w:t>
      </w:r>
      <w:r w:rsidRPr="0078313F">
        <w:rPr>
          <w:rFonts w:cs="Arial"/>
          <w:u w:val="single"/>
          <w:rtl/>
        </w:rPr>
        <w:t>יתיב רבי ירמיה קמיה דרבי אבהו וקא בעי מיניה</w:t>
      </w:r>
      <w:r w:rsidRPr="0078313F">
        <w:rPr>
          <w:rFonts w:cs="Arial"/>
          <w:rtl/>
        </w:rPr>
        <w:t>: אלמנתו מהו שתמעט בנכסים</w:t>
      </w:r>
      <w:r>
        <w:rPr>
          <w:rStyle w:val="a7"/>
          <w:rFonts w:cs="Arial"/>
          <w:rtl/>
        </w:rPr>
        <w:footnoteReference w:id="2266"/>
      </w:r>
      <w:r w:rsidRPr="0078313F">
        <w:rPr>
          <w:rFonts w:cs="Arial"/>
          <w:rtl/>
        </w:rPr>
        <w:t>?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cs="Arial" w:hint="cs"/>
          <w:sz w:val="14"/>
          <w:szCs w:val="14"/>
          <w:rtl/>
        </w:rPr>
        <w:t>(קמ:)</w:t>
      </w:r>
      <w:r w:rsidRPr="0078313F">
        <w:rPr>
          <w:rtl/>
        </w:rPr>
        <w:t xml:space="preserve"> </w:t>
      </w:r>
      <w:r w:rsidRPr="0078313F">
        <w:rPr>
          <w:rFonts w:cs="Arial"/>
          <w:rtl/>
        </w:rPr>
        <w:t>בת אשתו מהו שתמעט בנכסים? אלמנתו מהו שתמעט בנכסים? אלמנתו ובת אי זה מהן קודמת? אמר ליה: זיל האידנא ותא למחר. כי אתא, אמר ליה: פשוט מיהת חדא, דאמר רבי אבא אמר רבי אסי: עשו אלמנה אצל הבת כבת אצל האחין בנכסים מועטין, מה בת אצל אחין - הבת ניזונת והאחין ישאלו על הפתחים, אף אלמנה אצל הבת - אלמנה ניזונת והבת תשאל על הפתחים.</w:t>
      </w:r>
      <w:r>
        <w:rPr>
          <w:rFonts w:cs="Arial" w:hint="cs"/>
          <w:rtl/>
        </w:rPr>
        <w:t xml:space="preserve"> </w:t>
      </w:r>
    </w:p>
    <w:p w14:paraId="36FE4403" w14:textId="77777777" w:rsidR="002E5BAD" w:rsidRDefault="002E5BAD" w:rsidP="002E5BAD">
      <w:pPr>
        <w:rPr>
          <w:rFonts w:cs="Arial"/>
          <w:rtl/>
        </w:rPr>
      </w:pPr>
      <w:r w:rsidRPr="004854C8">
        <w:rPr>
          <w:rFonts w:cs="Arial" w:hint="cs"/>
          <w:b/>
          <w:bCs/>
          <w:rtl/>
        </w:rPr>
        <w:t>ירושלמי בבא בתרא פ"ט ה"א</w:t>
      </w:r>
      <w:r>
        <w:rPr>
          <w:rStyle w:val="a7"/>
          <w:rFonts w:cs="Arial"/>
          <w:b/>
          <w:bCs/>
          <w:rtl/>
        </w:rPr>
        <w:footnoteReference w:id="2267"/>
      </w:r>
      <w:r w:rsidRPr="004854C8">
        <w:rPr>
          <w:rFonts w:cs="Arial" w:hint="cs"/>
          <w:b/>
          <w:bCs/>
          <w:rtl/>
        </w:rPr>
        <w:t xml:space="preserve">: </w:t>
      </w:r>
      <w:r w:rsidRPr="004854C8">
        <w:rPr>
          <w:rFonts w:cs="Arial"/>
          <w:u w:val="single"/>
          <w:rtl/>
        </w:rPr>
        <w:t>רב חסדא בעי</w:t>
      </w:r>
      <w:r>
        <w:rPr>
          <w:rFonts w:cs="Arial" w:hint="cs"/>
          <w:rtl/>
        </w:rPr>
        <w:t>:</w:t>
      </w:r>
      <w:r w:rsidRPr="004854C8">
        <w:rPr>
          <w:rFonts w:cs="Arial"/>
          <w:rtl/>
        </w:rPr>
        <w:t xml:space="preserve"> היה שם לאילו ולאילו מזון שנים עשר חדש ואלמנה לזון</w:t>
      </w:r>
      <w:r>
        <w:rPr>
          <w:rFonts w:cs="Arial" w:hint="cs"/>
          <w:rtl/>
        </w:rPr>
        <w:t>.</w:t>
      </w:r>
      <w:r w:rsidRPr="004854C8">
        <w:rPr>
          <w:rFonts w:cs="Arial"/>
          <w:rtl/>
        </w:rPr>
        <w:t xml:space="preserve"> מהו שיאמרו בנים לבנות אין לכם אלא מזון שנים עשר חדש. ודא דתימר והוא שיהא שם לאילו ולאילו מזון שנים עשר חדש חוץ מכתובת אשה</w:t>
      </w:r>
      <w:r>
        <w:rPr>
          <w:rFonts w:cs="Arial" w:hint="cs"/>
          <w:rtl/>
        </w:rPr>
        <w:t>,</w:t>
      </w:r>
      <w:r w:rsidRPr="004854C8">
        <w:rPr>
          <w:rFonts w:cs="Arial"/>
          <w:rtl/>
        </w:rPr>
        <w:t xml:space="preserve"> חוץ ממזונות אלמנה</w:t>
      </w:r>
      <w:r>
        <w:rPr>
          <w:rFonts w:cs="Arial" w:hint="cs"/>
          <w:rtl/>
        </w:rPr>
        <w:t>,</w:t>
      </w:r>
      <w:r w:rsidRPr="004854C8">
        <w:rPr>
          <w:rFonts w:cs="Arial"/>
          <w:rtl/>
        </w:rPr>
        <w:t xml:space="preserve"> חוץ מפרנסת בנות</w:t>
      </w:r>
      <w:r>
        <w:rPr>
          <w:rFonts w:cs="Arial" w:hint="cs"/>
          <w:rtl/>
        </w:rPr>
        <w:t>,</w:t>
      </w:r>
      <w:r w:rsidRPr="004854C8">
        <w:rPr>
          <w:rFonts w:cs="Arial"/>
          <w:rtl/>
        </w:rPr>
        <w:t xml:space="preserve"> חוץ ממלוה בשטר</w:t>
      </w:r>
      <w:r>
        <w:rPr>
          <w:rFonts w:cs="Arial" w:hint="cs"/>
          <w:rtl/>
        </w:rPr>
        <w:t>,</w:t>
      </w:r>
      <w:r w:rsidRPr="004854C8">
        <w:rPr>
          <w:rFonts w:cs="Arial"/>
          <w:rtl/>
        </w:rPr>
        <w:t xml:space="preserve"> חוץ ממלו' בעדים</w:t>
      </w:r>
      <w:r>
        <w:rPr>
          <w:rFonts w:cs="Arial" w:hint="cs"/>
          <w:rtl/>
        </w:rPr>
        <w:t>,</w:t>
      </w:r>
      <w:r w:rsidRPr="004854C8">
        <w:rPr>
          <w:rFonts w:cs="Arial"/>
          <w:rtl/>
        </w:rPr>
        <w:t xml:space="preserve"> חוץ מקבורת'. אלמנה ובנות שתי</w:t>
      </w:r>
      <w:r>
        <w:rPr>
          <w:rFonts w:cs="Arial" w:hint="cs"/>
          <w:rtl/>
        </w:rPr>
        <w:t>הן</w:t>
      </w:r>
      <w:r w:rsidRPr="004854C8">
        <w:rPr>
          <w:rFonts w:cs="Arial"/>
          <w:rtl/>
        </w:rPr>
        <w:t xml:space="preserve"> שוות</w:t>
      </w:r>
      <w:r>
        <w:rPr>
          <w:rFonts w:cs="Arial" w:hint="cs"/>
          <w:rtl/>
        </w:rPr>
        <w:t>.</w:t>
      </w:r>
      <w:r w:rsidRPr="004854C8">
        <w:rPr>
          <w:rFonts w:cs="Arial"/>
          <w:rtl/>
        </w:rPr>
        <w:t xml:space="preserve"> אלמנה ובנים שניה</w:t>
      </w:r>
      <w:r>
        <w:rPr>
          <w:rFonts w:cs="Arial" w:hint="cs"/>
          <w:rtl/>
        </w:rPr>
        <w:t>ם</w:t>
      </w:r>
      <w:r w:rsidRPr="004854C8">
        <w:rPr>
          <w:rFonts w:cs="Arial"/>
          <w:rtl/>
        </w:rPr>
        <w:t xml:space="preserve"> שוין</w:t>
      </w:r>
      <w:r>
        <w:rPr>
          <w:rFonts w:cs="Arial" w:hint="cs"/>
          <w:rtl/>
        </w:rPr>
        <w:t>.</w:t>
      </w:r>
      <w:r w:rsidRPr="004854C8">
        <w:rPr>
          <w:rFonts w:cs="Arial"/>
          <w:rtl/>
        </w:rPr>
        <w:t xml:space="preserve"> אין אלמנה דוחה לבנות</w:t>
      </w:r>
      <w:r>
        <w:rPr>
          <w:rFonts w:cs="Arial" w:hint="cs"/>
          <w:rtl/>
        </w:rPr>
        <w:t>,</w:t>
      </w:r>
      <w:r w:rsidRPr="004854C8">
        <w:rPr>
          <w:rFonts w:cs="Arial"/>
          <w:rtl/>
        </w:rPr>
        <w:t xml:space="preserve"> ולא בנות דוחות לאלמנה. פעמים שאלמנה דוחה לבנות על ידי בנים</w:t>
      </w:r>
      <w:r>
        <w:rPr>
          <w:rFonts w:cs="Arial" w:hint="cs"/>
          <w:rtl/>
        </w:rPr>
        <w:t>.</w:t>
      </w:r>
      <w:r w:rsidRPr="004854C8">
        <w:rPr>
          <w:rFonts w:cs="Arial"/>
          <w:rtl/>
        </w:rPr>
        <w:t xml:space="preserve"> כשם שהאלמנ' דוחה לבנות על ידי בנים כך תדחה אלמנה לבנים.</w:t>
      </w:r>
      <w:r>
        <w:rPr>
          <w:rFonts w:cs="Arial" w:hint="cs"/>
          <w:rtl/>
        </w:rPr>
        <w:t xml:space="preserve"> </w:t>
      </w:r>
      <w:r w:rsidRPr="00217F3F">
        <w:rPr>
          <w:rFonts w:cs="Arial" w:hint="cs"/>
          <w:sz w:val="16"/>
          <w:szCs w:val="16"/>
          <w:rtl/>
        </w:rPr>
        <w:t xml:space="preserve">(והביאו התוס' והרא"ש ירושלמי זה ופסקוהו. אך הרמב"ן כתב וז"ל- </w:t>
      </w:r>
      <w:r w:rsidRPr="00217F3F">
        <w:rPr>
          <w:rFonts w:cs="Arial"/>
          <w:sz w:val="16"/>
          <w:szCs w:val="16"/>
          <w:rtl/>
        </w:rPr>
        <w:t>ולא ידעתי אם ראוי לסמוך על הירושלמי בזה, שהיה להם לפרש כן בגמרא שלנו, אבל רבותי' סומכין עליו, ובודאי לא מצינו אף בגמרא שלנו מפורש שיהו מוציאין הנכסים מרשות הבנים משום מזונות אלמנה, אלא הבנים ירשו והאלמנה ניזונית, ונראה שהרב ר' משה הספרדי ז"ל לא סמך על הירושלמי בכאן ודעתי נוטה לו</w:t>
      </w:r>
      <w:r>
        <w:rPr>
          <w:rFonts w:cs="Arial" w:hint="cs"/>
          <w:sz w:val="16"/>
          <w:szCs w:val="16"/>
          <w:rtl/>
        </w:rPr>
        <w:t>. עכ"ל)</w:t>
      </w:r>
    </w:p>
    <w:p w14:paraId="5383F996" w14:textId="77777777" w:rsidR="002E5BAD" w:rsidRPr="00F67790" w:rsidRDefault="002E5BAD" w:rsidP="002E5BAD">
      <w:pPr>
        <w:rPr>
          <w:rFonts w:cs="Arial"/>
          <w:u w:val="single"/>
          <w:rtl/>
        </w:rPr>
      </w:pPr>
      <w:r w:rsidRPr="00F67790">
        <w:rPr>
          <w:rFonts w:cs="Arial" w:hint="cs"/>
          <w:u w:val="single"/>
          <w:rtl/>
        </w:rPr>
        <w:t xml:space="preserve">כיצד יש לפרש את שאלת רבי ירמיה </w:t>
      </w:r>
      <w:r>
        <w:rPr>
          <w:rFonts w:cs="Arial"/>
          <w:u w:val="single"/>
          <w:rtl/>
        </w:rPr>
        <w:t>–</w:t>
      </w:r>
      <w:r w:rsidRPr="00F67790">
        <w:rPr>
          <w:rFonts w:cs="Arial" w:hint="cs"/>
          <w:u w:val="single"/>
          <w:rtl/>
        </w:rPr>
        <w:t xml:space="preserve"> </w:t>
      </w:r>
      <w:r>
        <w:rPr>
          <w:rFonts w:cs="Arial" w:hint="cs"/>
          <w:u w:val="single"/>
          <w:rtl/>
        </w:rPr>
        <w:t>'</w:t>
      </w:r>
      <w:r w:rsidRPr="00F67790">
        <w:rPr>
          <w:rFonts w:cs="Arial"/>
          <w:u w:val="single"/>
          <w:rtl/>
        </w:rPr>
        <w:t>אלמנתו מהו שתמעט בנכסים?</w:t>
      </w:r>
      <w:r>
        <w:rPr>
          <w:rFonts w:cs="Arial" w:hint="cs"/>
          <w:u w:val="single"/>
          <w:rtl/>
        </w:rPr>
        <w:t>'</w:t>
      </w:r>
      <w:r w:rsidRPr="00F67790">
        <w:rPr>
          <w:rFonts w:cs="Arial" w:hint="cs"/>
          <w:u w:val="single"/>
          <w:rtl/>
        </w:rPr>
        <w:t>:</w:t>
      </w:r>
    </w:p>
    <w:p w14:paraId="090AC8CF" w14:textId="77777777" w:rsidR="002E5BAD" w:rsidRDefault="002E5BAD" w:rsidP="00B75458">
      <w:pPr>
        <w:pStyle w:val="ab"/>
        <w:numPr>
          <w:ilvl w:val="0"/>
          <w:numId w:val="201"/>
        </w:numPr>
        <w:rPr>
          <w:rFonts w:cs="Arial"/>
        </w:rPr>
      </w:pPr>
      <w:r w:rsidRPr="008D2C72">
        <w:rPr>
          <w:rFonts w:cs="Arial"/>
          <w:rtl/>
        </w:rPr>
        <w:t>תוס</w:t>
      </w:r>
      <w:r>
        <w:rPr>
          <w:rFonts w:cs="Arial" w:hint="cs"/>
          <w:rtl/>
        </w:rPr>
        <w:t>'</w:t>
      </w:r>
      <w:r>
        <w:rPr>
          <w:rStyle w:val="a7"/>
          <w:rFonts w:cs="Arial"/>
          <w:rtl/>
        </w:rPr>
        <w:footnoteReference w:id="2268"/>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sidRPr="006872FF">
        <w:rPr>
          <w:rFonts w:cs="Arial"/>
          <w:rtl/>
        </w:rPr>
        <w:t>רא"ש</w:t>
      </w:r>
      <w:r>
        <w:rPr>
          <w:rStyle w:val="a7"/>
          <w:rFonts w:cs="Arial"/>
          <w:rtl/>
        </w:rPr>
        <w:footnoteReference w:id="2269"/>
      </w:r>
      <w:r w:rsidRPr="006872FF">
        <w:rPr>
          <w:rFonts w:cs="Arial"/>
          <w:rtl/>
        </w:rPr>
        <w:t xml:space="preserve"> </w:t>
      </w:r>
      <w:r w:rsidRPr="006872FF">
        <w:rPr>
          <w:rFonts w:cs="Arial" w:hint="cs"/>
          <w:sz w:val="16"/>
          <w:szCs w:val="16"/>
          <w:rtl/>
        </w:rPr>
        <w:t>(פ"ט</w:t>
      </w:r>
      <w:r w:rsidRPr="006872FF">
        <w:rPr>
          <w:rFonts w:cs="Arial"/>
          <w:sz w:val="16"/>
          <w:szCs w:val="16"/>
          <w:rtl/>
        </w:rPr>
        <w:t xml:space="preserve"> סי' ג)</w:t>
      </w:r>
      <w:r>
        <w:rPr>
          <w:rFonts w:cs="Arial" w:hint="cs"/>
          <w:rtl/>
        </w:rPr>
        <w:t xml:space="preserve"> וטור- </w:t>
      </w:r>
      <w:r w:rsidRPr="006872FF">
        <w:rPr>
          <w:rFonts w:cs="Arial"/>
          <w:rtl/>
        </w:rPr>
        <w:t>נראה לפרש דודאי אם אין כאן אלא אלמנה אצל הבנים שניהם שוין בנכסים</w:t>
      </w:r>
      <w:r w:rsidRPr="006872FF">
        <w:rPr>
          <w:rFonts w:cs="Arial" w:hint="cs"/>
          <w:rtl/>
        </w:rPr>
        <w:t>.</w:t>
      </w:r>
      <w:r w:rsidRPr="006872FF">
        <w:rPr>
          <w:rFonts w:cs="Arial"/>
          <w:rtl/>
        </w:rPr>
        <w:t xml:space="preserve"> וכן אם אין כאן אלא אלמנה ובנות</w:t>
      </w:r>
      <w:r>
        <w:rPr>
          <w:rFonts w:cs="Arial" w:hint="cs"/>
          <w:rtl/>
        </w:rPr>
        <w:t xml:space="preserve"> </w:t>
      </w:r>
      <w:r>
        <w:rPr>
          <w:rFonts w:cs="Arial" w:hint="cs"/>
          <w:sz w:val="16"/>
          <w:szCs w:val="16"/>
          <w:rtl/>
        </w:rPr>
        <w:t>(ל' התוס')</w:t>
      </w:r>
      <w:r>
        <w:rPr>
          <w:rFonts w:cs="Arial" w:hint="cs"/>
          <w:rtl/>
        </w:rPr>
        <w:t>,</w:t>
      </w:r>
      <w:r w:rsidRPr="003632FA">
        <w:rPr>
          <w:rFonts w:cs="Arial"/>
          <w:rtl/>
        </w:rPr>
        <w:t xml:space="preserve"> </w:t>
      </w:r>
      <w:r>
        <w:rPr>
          <w:rFonts w:cs="Arial" w:hint="cs"/>
          <w:rtl/>
        </w:rPr>
        <w:t>ו</w:t>
      </w:r>
      <w:r w:rsidRPr="006872FF">
        <w:rPr>
          <w:rFonts w:cs="Arial"/>
          <w:rtl/>
        </w:rPr>
        <w:t>הך בעיא מיירי בשיש בנים ובנות ואלמנה</w:t>
      </w:r>
      <w:r>
        <w:rPr>
          <w:rFonts w:cs="Arial" w:hint="cs"/>
          <w:rtl/>
        </w:rPr>
        <w:t>,</w:t>
      </w:r>
      <w:r w:rsidRPr="006872FF">
        <w:rPr>
          <w:rFonts w:cs="Arial"/>
          <w:rtl/>
        </w:rPr>
        <w:t xml:space="preserve"> ואין מזון </w:t>
      </w:r>
      <w:r w:rsidRPr="006872FF">
        <w:rPr>
          <w:rFonts w:cs="Arial"/>
          <w:rtl/>
        </w:rPr>
        <w:lastRenderedPageBreak/>
        <w:t>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cs="Arial" w:hint="cs"/>
          <w:sz w:val="16"/>
          <w:szCs w:val="16"/>
          <w:rtl/>
        </w:rPr>
        <w:t xml:space="preserve"> (ל' הרא"ש)</w:t>
      </w:r>
      <w:r>
        <w:rPr>
          <w:rFonts w:cs="Arial" w:hint="cs"/>
          <w:rtl/>
        </w:rPr>
        <w:t>.</w:t>
      </w:r>
    </w:p>
    <w:p w14:paraId="7DC67474" w14:textId="77777777" w:rsidR="002E5BAD" w:rsidRDefault="002E5BAD" w:rsidP="00B75458">
      <w:pPr>
        <w:pStyle w:val="ab"/>
        <w:numPr>
          <w:ilvl w:val="0"/>
          <w:numId w:val="201"/>
        </w:numPr>
        <w:rPr>
          <w:rFonts w:cs="Arial"/>
        </w:rPr>
      </w:pPr>
      <w:r>
        <w:rPr>
          <w:rFonts w:cs="Arial" w:hint="cs"/>
          <w:rtl/>
        </w:rPr>
        <w:t>רשב"ם</w:t>
      </w:r>
      <w:r>
        <w:rPr>
          <w:rFonts w:cs="Arial" w:hint="cs"/>
          <w:sz w:val="16"/>
          <w:szCs w:val="16"/>
          <w:rtl/>
        </w:rPr>
        <w:t xml:space="preserve"> (קמ. ד"ה אלמנתו מהו)</w:t>
      </w:r>
      <w:r>
        <w:rPr>
          <w:rFonts w:cs="Arial" w:hint="cs"/>
          <w:rtl/>
        </w:rPr>
        <w:t xml:space="preserve">- </w:t>
      </w:r>
      <w:r w:rsidRPr="003632FA">
        <w:rPr>
          <w:rFonts w:cs="Arial"/>
          <w:rtl/>
        </w:rPr>
        <w:t>מי שמת והניח בנים ובנות והניח נמי אלמנתו וצריכה נמי מזונות כל ימי מיגר ארמלותה ואין כאן נכסים אלא כדי מזון הבנים והבנות עד שיבגרו מי אמרינן כיון דאית לה מזוני ממעטא ולא מיקרו נכסים מרובין ומפרישין מהנכסים מזון האשה והבנות עד שיבגרו והמותר לבנים דהא מועטין נינהו ולאחר שיוציאו המותר ישאלו על הפתחים או דלמא כיון דאילו מינסבא לבעל לית לה מזוני לא ממעטא וכמאן דליתא דמיא ומוציאין מן הנכסים לבנות כדי מזונן עד שיבגרו וכל השאר יירשו הבנים כדין נכסים מרובין</w:t>
      </w:r>
      <w:r>
        <w:rPr>
          <w:rStyle w:val="a7"/>
          <w:rFonts w:cs="Arial"/>
          <w:rtl/>
        </w:rPr>
        <w:footnoteReference w:id="2270"/>
      </w:r>
      <w:r>
        <w:rPr>
          <w:rFonts w:cs="Arial" w:hint="cs"/>
          <w:rtl/>
        </w:rPr>
        <w:t>.</w:t>
      </w:r>
    </w:p>
    <w:p w14:paraId="416E7C61" w14:textId="77777777" w:rsidR="002E5BAD" w:rsidRPr="00217F3F" w:rsidRDefault="002E5BAD" w:rsidP="00B75458">
      <w:pPr>
        <w:pStyle w:val="ab"/>
        <w:numPr>
          <w:ilvl w:val="0"/>
          <w:numId w:val="201"/>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 </w:t>
      </w:r>
      <w:r>
        <w:rPr>
          <w:rFonts w:cs="Arial" w:hint="cs"/>
          <w:rtl/>
        </w:rPr>
        <w:t>ו</w:t>
      </w:r>
      <w:r w:rsidRPr="00217F3F">
        <w:rPr>
          <w:rFonts w:cs="Arial"/>
          <w:rtl/>
        </w:rPr>
        <w:t xml:space="preserve">ר"ן </w:t>
      </w:r>
      <w:r w:rsidRPr="00217F3F">
        <w:rPr>
          <w:rFonts w:cs="Arial"/>
          <w:sz w:val="16"/>
          <w:szCs w:val="16"/>
          <w:rtl/>
        </w:rPr>
        <w:t>(ב"ב קמ: ד"ה אלמנה)</w:t>
      </w:r>
      <w:r w:rsidRPr="00217F3F">
        <w:rPr>
          <w:rFonts w:cs="Arial" w:hint="cs"/>
          <w:rtl/>
        </w:rPr>
        <w:t xml:space="preserve">- </w:t>
      </w:r>
      <w:r w:rsidRPr="00217F3F">
        <w:rPr>
          <w:rFonts w:cs="Arial"/>
          <w:rtl/>
        </w:rPr>
        <w:t>לפום פשטא דגמרין משמע דאלמנה אצל הבת בלא בן קאמר</w:t>
      </w:r>
      <w:r w:rsidRPr="00217F3F">
        <w:rPr>
          <w:rFonts w:cs="Arial" w:hint="cs"/>
          <w:rtl/>
        </w:rPr>
        <w:t>.</w:t>
      </w:r>
      <w:r w:rsidRPr="00217F3F">
        <w:rPr>
          <w:rFonts w:cs="Arial"/>
          <w:rtl/>
        </w:rPr>
        <w:t xml:space="preserve"> ומשמע דכיון שאלמנה דוחה את הבת</w:t>
      </w:r>
      <w:r w:rsidRPr="00217F3F">
        <w:rPr>
          <w:rFonts w:cs="Arial" w:hint="cs"/>
          <w:rtl/>
        </w:rPr>
        <w:t>,</w:t>
      </w:r>
      <w:r w:rsidRPr="00217F3F">
        <w:rPr>
          <w:rFonts w:cs="Arial"/>
          <w:rtl/>
        </w:rPr>
        <w:t xml:space="preserve"> כל שכן שדוחה את הבן</w:t>
      </w:r>
      <w:r w:rsidRPr="00217F3F">
        <w:rPr>
          <w:rFonts w:cs="Arial" w:hint="cs"/>
          <w:rtl/>
        </w:rPr>
        <w:t>,</w:t>
      </w:r>
      <w:r w:rsidRPr="00217F3F">
        <w:rPr>
          <w:rFonts w:cs="Arial"/>
          <w:rtl/>
        </w:rPr>
        <w:t xml:space="preserve"> ואמרינן דאלמנה נזונת ובן ישאל על הפתחים</w:t>
      </w:r>
      <w:r w:rsidRPr="00217F3F">
        <w:rPr>
          <w:rFonts w:cs="Arial" w:hint="cs"/>
          <w:rtl/>
        </w:rPr>
        <w:t>.</w:t>
      </w:r>
      <w:r w:rsidRPr="00217F3F">
        <w:rPr>
          <w:rFonts w:cs="Arial"/>
          <w:rtl/>
        </w:rPr>
        <w:t xml:space="preserve"> דקל וחומר הוא</w:t>
      </w:r>
      <w:r w:rsidRPr="00217F3F">
        <w:rPr>
          <w:rFonts w:cs="Arial" w:hint="cs"/>
          <w:rtl/>
        </w:rPr>
        <w:t>,</w:t>
      </w:r>
      <w:r w:rsidRPr="00217F3F">
        <w:rPr>
          <w:rFonts w:cs="Arial"/>
          <w:rtl/>
        </w:rPr>
        <w:t xml:space="preserve"> אם בת שדוחה את הבן נדחית מפני האלמנה</w:t>
      </w:r>
      <w:r w:rsidRPr="00217F3F">
        <w:rPr>
          <w:rFonts w:cs="Arial" w:hint="cs"/>
          <w:rtl/>
        </w:rPr>
        <w:t>,</w:t>
      </w:r>
      <w:r w:rsidRPr="00217F3F">
        <w:rPr>
          <w:rFonts w:cs="Arial"/>
          <w:rtl/>
        </w:rPr>
        <w:t xml:space="preserve"> כל שכן שהבן נדחה מפניה</w:t>
      </w:r>
      <w:r>
        <w:rPr>
          <w:rStyle w:val="a7"/>
          <w:rFonts w:cs="Arial"/>
          <w:rtl/>
        </w:rPr>
        <w:footnoteReference w:id="2271"/>
      </w:r>
      <w:r>
        <w:rPr>
          <w:rFonts w:cs="Arial" w:hint="cs"/>
          <w:sz w:val="16"/>
          <w:szCs w:val="16"/>
          <w:rtl/>
        </w:rPr>
        <w:t xml:space="preserve"> (ל' הר"ן)</w:t>
      </w:r>
      <w:r w:rsidRPr="00217F3F">
        <w:rPr>
          <w:rFonts w:cs="Arial"/>
          <w:rtl/>
        </w:rPr>
        <w:t xml:space="preserve">. </w:t>
      </w:r>
    </w:p>
    <w:p w14:paraId="46A660FE" w14:textId="77777777" w:rsidR="002E5BAD" w:rsidRPr="00E35923" w:rsidRDefault="002E5BAD" w:rsidP="002E5BAD">
      <w:pPr>
        <w:ind w:left="360"/>
        <w:rPr>
          <w:u w:val="dotted"/>
          <w:rtl/>
        </w:rPr>
      </w:pPr>
      <w:r w:rsidRPr="00E35923">
        <w:rPr>
          <w:rFonts w:hint="cs"/>
          <w:u w:val="dotted"/>
          <w:rtl/>
        </w:rPr>
        <w:t xml:space="preserve">למעשה </w:t>
      </w:r>
      <w:r w:rsidRPr="00E35923">
        <w:rPr>
          <w:u w:val="dotted"/>
          <w:rtl/>
        </w:rPr>
        <w:t>–</w:t>
      </w:r>
      <w:r w:rsidRPr="00E35923">
        <w:rPr>
          <w:rFonts w:hint="cs"/>
          <w:u w:val="dotted"/>
          <w:rtl/>
        </w:rPr>
        <w:t xml:space="preserve"> כיצד </w:t>
      </w:r>
      <w:r>
        <w:rPr>
          <w:rFonts w:hint="cs"/>
          <w:u w:val="dotted"/>
          <w:rtl/>
        </w:rPr>
        <w:t>אלמנה ניזונת</w:t>
      </w:r>
      <w:r w:rsidRPr="00E35923">
        <w:rPr>
          <w:rFonts w:hint="cs"/>
          <w:u w:val="dotted"/>
          <w:rtl/>
        </w:rPr>
        <w:t xml:space="preserve"> </w:t>
      </w:r>
      <w:r>
        <w:rPr>
          <w:rFonts w:hint="cs"/>
          <w:u w:val="dotted"/>
          <w:rtl/>
        </w:rPr>
        <w:t>כשה</w:t>
      </w:r>
      <w:r w:rsidRPr="00E35923">
        <w:rPr>
          <w:rFonts w:hint="cs"/>
          <w:u w:val="dotted"/>
          <w:rtl/>
        </w:rPr>
        <w:t>נכסים מועטים ו</w:t>
      </w:r>
      <w:r>
        <w:rPr>
          <w:rFonts w:hint="cs"/>
          <w:u w:val="dotted"/>
          <w:rtl/>
        </w:rPr>
        <w:t xml:space="preserve">יש עמה </w:t>
      </w:r>
      <w:r w:rsidRPr="00E35923">
        <w:rPr>
          <w:rFonts w:hint="cs"/>
          <w:u w:val="dotted"/>
          <w:rtl/>
        </w:rPr>
        <w:t>בת ו/או בן:</w:t>
      </w:r>
    </w:p>
    <w:p w14:paraId="77E3BC3F" w14:textId="77777777" w:rsidR="002E5BAD" w:rsidRPr="00872E10" w:rsidRDefault="002E5BAD" w:rsidP="00B75458">
      <w:pPr>
        <w:pStyle w:val="ab"/>
        <w:numPr>
          <w:ilvl w:val="0"/>
          <w:numId w:val="192"/>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w:t>
      </w:r>
      <w:r>
        <w:rPr>
          <w:rFonts w:cs="Arial" w:hint="cs"/>
          <w:rtl/>
        </w:rPr>
        <w:t xml:space="preserve">- </w:t>
      </w:r>
      <w:r w:rsidRPr="00872E10">
        <w:rPr>
          <w:rFonts w:cs="Arial"/>
          <w:rtl/>
        </w:rPr>
        <w:t>הניח אלמנה ובת</w:t>
      </w:r>
      <w:r>
        <w:rPr>
          <w:rFonts w:cs="Arial" w:hint="cs"/>
          <w:rtl/>
        </w:rPr>
        <w:t>,</w:t>
      </w:r>
      <w:r w:rsidRPr="00872E10">
        <w:rPr>
          <w:rFonts w:cs="Arial"/>
          <w:rtl/>
        </w:rPr>
        <w:t xml:space="preserve"> ממנה או מאשה אחרת</w:t>
      </w:r>
      <w:r>
        <w:rPr>
          <w:rFonts w:cs="Arial" w:hint="cs"/>
          <w:rtl/>
        </w:rPr>
        <w:t>,</w:t>
      </w:r>
      <w:r w:rsidRPr="00872E10">
        <w:rPr>
          <w:rFonts w:cs="Arial"/>
          <w:rtl/>
        </w:rPr>
        <w:t xml:space="preserve"> ואין בנכסים כדי שיזונו שתיהן </w:t>
      </w:r>
      <w:r>
        <w:rPr>
          <w:rFonts w:cs="Arial" w:hint="cs"/>
          <w:rtl/>
        </w:rPr>
        <w:t xml:space="preserve">- </w:t>
      </w:r>
      <w:r w:rsidRPr="00872E10">
        <w:rPr>
          <w:rFonts w:cs="Arial"/>
          <w:rtl/>
        </w:rPr>
        <w:t>האלמנה ניזונת</w:t>
      </w:r>
      <w:r>
        <w:rPr>
          <w:rFonts w:cs="Arial" w:hint="cs"/>
          <w:rtl/>
        </w:rPr>
        <w:t>,</w:t>
      </w:r>
      <w:r w:rsidRPr="00872E10">
        <w:rPr>
          <w:rFonts w:cs="Arial"/>
          <w:rtl/>
        </w:rPr>
        <w:t xml:space="preserve"> והבת תשאל על הפתחים</w:t>
      </w:r>
      <w:r>
        <w:rPr>
          <w:rFonts w:cs="Arial" w:hint="cs"/>
          <w:rtl/>
        </w:rPr>
        <w:t>.</w:t>
      </w:r>
      <w:r w:rsidRPr="00290018">
        <w:rPr>
          <w:rFonts w:cs="Arial"/>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כאן ובסי' קיב סט"ז]</w:t>
      </w:r>
      <w:r w:rsidRPr="00290018">
        <w:rPr>
          <w:rFonts w:hint="cs"/>
          <w:color w:val="E36C0A" w:themeColor="accent6" w:themeShade="BF"/>
          <w:rtl/>
        </w:rPr>
        <w:t>)</w:t>
      </w:r>
    </w:p>
    <w:p w14:paraId="76B9C421" w14:textId="77777777" w:rsidR="002E5BAD" w:rsidRDefault="002E5BAD" w:rsidP="00B75458">
      <w:pPr>
        <w:pStyle w:val="ab"/>
        <w:numPr>
          <w:ilvl w:val="0"/>
          <w:numId w:val="192"/>
        </w:numPr>
      </w:pPr>
      <w:r>
        <w:rPr>
          <w:rFonts w:cs="Arial" w:hint="cs"/>
          <w:rtl/>
        </w:rPr>
        <w:t xml:space="preserve">טור- </w:t>
      </w:r>
      <w:r w:rsidRPr="000A1431">
        <w:rPr>
          <w:rFonts w:cs="Arial"/>
          <w:rtl/>
        </w:rPr>
        <w:t>ואין חילוק בין אם הנכסים מרובים למועטים</w:t>
      </w:r>
      <w:r>
        <w:rPr>
          <w:rFonts w:cs="Arial" w:hint="cs"/>
          <w:rtl/>
        </w:rPr>
        <w:t>,</w:t>
      </w:r>
      <w:r w:rsidRPr="000A1431">
        <w:rPr>
          <w:rFonts w:cs="Arial"/>
          <w:rtl/>
        </w:rPr>
        <w:t xml:space="preserve"> אע</w:t>
      </w:r>
      <w:r>
        <w:rPr>
          <w:rFonts w:cs="Arial" w:hint="cs"/>
          <w:rtl/>
        </w:rPr>
        <w:t>"</w:t>
      </w:r>
      <w:r w:rsidRPr="000A1431">
        <w:rPr>
          <w:rFonts w:cs="Arial"/>
          <w:rtl/>
        </w:rPr>
        <w:t>ג דגבי בת הניזונת יש חילוק בין מרובים למועטים כדלקמן</w:t>
      </w:r>
      <w:r>
        <w:rPr>
          <w:rFonts w:cs="Arial" w:hint="cs"/>
          <w:sz w:val="16"/>
          <w:szCs w:val="16"/>
          <w:rtl/>
        </w:rPr>
        <w:t xml:space="preserve"> (סי' קיב)</w:t>
      </w:r>
      <w:r>
        <w:rPr>
          <w:rFonts w:cs="Arial" w:hint="cs"/>
          <w:rtl/>
        </w:rPr>
        <w:t>,</w:t>
      </w:r>
      <w:r w:rsidRPr="000A1431">
        <w:rPr>
          <w:rFonts w:cs="Arial"/>
          <w:rtl/>
        </w:rPr>
        <w:t xml:space="preserve"> הכא אין חילוק</w:t>
      </w:r>
      <w:r>
        <w:rPr>
          <w:rFonts w:cs="Arial" w:hint="cs"/>
          <w:rtl/>
        </w:rPr>
        <w:t>,</w:t>
      </w:r>
      <w:r w:rsidRPr="000A1431">
        <w:rPr>
          <w:rFonts w:cs="Arial"/>
          <w:rtl/>
        </w:rPr>
        <w:t xml:space="preserve"> אלא בכל ענין אם יש אלמנה ובן או אלמנה ובת </w:t>
      </w:r>
      <w:r>
        <w:rPr>
          <w:rFonts w:cs="Arial" w:hint="cs"/>
          <w:rtl/>
        </w:rPr>
        <w:t xml:space="preserve">- </w:t>
      </w:r>
      <w:r w:rsidRPr="000A1431">
        <w:rPr>
          <w:rFonts w:cs="Arial"/>
          <w:rtl/>
        </w:rPr>
        <w:t>תיזון היא עם הבן או עם הבת עד שיאכלו הנכסים</w:t>
      </w:r>
      <w:r>
        <w:rPr>
          <w:rFonts w:cs="Arial" w:hint="cs"/>
          <w:rtl/>
        </w:rPr>
        <w:t>..</w:t>
      </w:r>
      <w:r w:rsidRPr="0084491B">
        <w:rPr>
          <w:rFonts w:cs="Arial" w:hint="cs"/>
          <w:rtl/>
        </w:rPr>
        <w:t>.</w:t>
      </w:r>
      <w:r w:rsidRPr="0084491B">
        <w:rPr>
          <w:rFonts w:cs="Arial"/>
          <w:rtl/>
        </w:rPr>
        <w:t xml:space="preserve"> אבל אם יש אלמנה ובן ובת</w:t>
      </w:r>
      <w:r w:rsidRPr="0084491B">
        <w:rPr>
          <w:rFonts w:cs="Arial" w:hint="cs"/>
          <w:rtl/>
        </w:rPr>
        <w:t>,</w:t>
      </w:r>
      <w:r w:rsidRPr="0084491B">
        <w:rPr>
          <w:rFonts w:cs="Arial"/>
          <w:rtl/>
        </w:rPr>
        <w:t xml:space="preserve"> והנכסים מועטים שאין בהן כדי שיזונו הבת והבן עד שתיבגר הבת</w:t>
      </w:r>
      <w:r w:rsidRPr="0084491B">
        <w:rPr>
          <w:rFonts w:cs="Arial" w:hint="cs"/>
          <w:rtl/>
        </w:rPr>
        <w:t>,</w:t>
      </w:r>
      <w:r w:rsidRPr="0084491B">
        <w:rPr>
          <w:rFonts w:cs="Arial"/>
          <w:rtl/>
        </w:rPr>
        <w:t xml:space="preserve"> אז ידחו הבן והבת ותיזון האלמנה לבדה עד שתגבה כתובתה</w:t>
      </w:r>
      <w:r w:rsidRPr="0084491B">
        <w:rPr>
          <w:rFonts w:cs="Arial" w:hint="cs"/>
          <w:rtl/>
        </w:rPr>
        <w:t>.</w:t>
      </w:r>
      <w:r w:rsidRPr="0084491B">
        <w:rPr>
          <w:rFonts w:cs="Arial"/>
          <w:rtl/>
        </w:rPr>
        <w:t xml:space="preserve"> </w:t>
      </w:r>
    </w:p>
    <w:p w14:paraId="4FA620F2" w14:textId="77777777" w:rsidR="002E5BAD" w:rsidRPr="00E35923" w:rsidRDefault="002E5BAD" w:rsidP="002E5BAD">
      <w:pPr>
        <w:ind w:left="360"/>
        <w:rPr>
          <w:u w:val="dotted"/>
        </w:rPr>
      </w:pPr>
      <w:r>
        <w:rPr>
          <w:rFonts w:hint="cs"/>
          <w:u w:val="dotted"/>
          <w:rtl/>
        </w:rPr>
        <w:t>ל</w:t>
      </w:r>
      <w:r w:rsidRPr="00E35923">
        <w:rPr>
          <w:rFonts w:hint="cs"/>
          <w:u w:val="dotted"/>
          <w:rtl/>
        </w:rPr>
        <w:t xml:space="preserve">רמב"ם וסיעתו </w:t>
      </w:r>
      <w:r w:rsidRPr="00E35923">
        <w:rPr>
          <w:u w:val="dotted"/>
          <w:rtl/>
        </w:rPr>
        <w:t>–</w:t>
      </w:r>
      <w:r w:rsidRPr="00E35923">
        <w:rPr>
          <w:rFonts w:hint="cs"/>
          <w:u w:val="dotted"/>
          <w:rtl/>
        </w:rPr>
        <w:t xml:space="preserve"> כשהאלמנה דוחה את הבת, כמה מזונות פוסקים לה:</w:t>
      </w:r>
    </w:p>
    <w:p w14:paraId="334AC09A" w14:textId="77777777" w:rsidR="002E5BAD" w:rsidRDefault="002E5BAD" w:rsidP="00B75458">
      <w:pPr>
        <w:pStyle w:val="ab"/>
        <w:numPr>
          <w:ilvl w:val="0"/>
          <w:numId w:val="192"/>
        </w:numPr>
        <w:rPr>
          <w:rFonts w:cs="Arial"/>
        </w:rPr>
      </w:pPr>
      <w:r>
        <w:rPr>
          <w:rFonts w:cs="Arial" w:hint="cs"/>
          <w:rtl/>
        </w:rPr>
        <w:t>הה"מ</w:t>
      </w:r>
      <w:r>
        <w:rPr>
          <w:rFonts w:cs="Arial" w:hint="cs"/>
          <w:sz w:val="16"/>
          <w:szCs w:val="16"/>
          <w:rtl/>
        </w:rPr>
        <w:t xml:space="preserve"> (שם)</w:t>
      </w:r>
      <w:r>
        <w:rPr>
          <w:rFonts w:cs="Arial" w:hint="cs"/>
          <w:rtl/>
        </w:rPr>
        <w:t>-</w:t>
      </w:r>
      <w:r w:rsidRPr="008D2C72">
        <w:rPr>
          <w:rFonts w:cs="Arial"/>
          <w:rtl/>
        </w:rPr>
        <w:t xml:space="preserve"> דע שכשהאלמנה דוחה את הבנות כתבו הרמב"ן (קמ: ד"ה אבל בירושלמי) והרשב"א (שם ד"ה עשו) ז"ל שמוציאין לאלמנה מזון עד זמן שאומדים ב"ד שראויה לחיות אם זקנה ואם ילדה ומעמידין ביד שליש והוא מפרנסה אחד לשלשים יום כדרך שאמרו בלוקח כנזכר </w:t>
      </w:r>
      <w:r>
        <w:rPr>
          <w:rFonts w:cs="Arial" w:hint="cs"/>
          <w:rtl/>
        </w:rPr>
        <w:t>ב</w:t>
      </w:r>
      <w:r w:rsidRPr="008D2C72">
        <w:rPr>
          <w:rFonts w:cs="Arial"/>
          <w:rtl/>
        </w:rPr>
        <w:t>פ</w:t>
      </w:r>
      <w:r>
        <w:rPr>
          <w:rFonts w:cs="Arial" w:hint="cs"/>
          <w:rtl/>
        </w:rPr>
        <w:t>י</w:t>
      </w:r>
      <w:r w:rsidRPr="008D2C72">
        <w:rPr>
          <w:rFonts w:cs="Arial"/>
          <w:rtl/>
        </w:rPr>
        <w:t xml:space="preserve">"ג. </w:t>
      </w:r>
      <w:r w:rsidRPr="00290018">
        <w:rPr>
          <w:rFonts w:cs="Arial" w:hint="cs"/>
          <w:color w:val="00B0F0"/>
          <w:rtl/>
        </w:rPr>
        <w:t>(וכ"פ הרמ"א)</w:t>
      </w:r>
    </w:p>
    <w:p w14:paraId="55CBA1DF" w14:textId="77777777" w:rsidR="002E5BAD" w:rsidRPr="00311F2C" w:rsidRDefault="002E5BAD" w:rsidP="002E5BAD">
      <w:pPr>
        <w:ind w:left="360"/>
        <w:rPr>
          <w:rFonts w:cs="Arial"/>
          <w:u w:val="dotted"/>
        </w:rPr>
      </w:pPr>
      <w:r w:rsidRPr="00311F2C">
        <w:rPr>
          <w:rFonts w:cs="Arial" w:hint="cs"/>
          <w:u w:val="dotted"/>
          <w:rtl/>
        </w:rPr>
        <w:t>לרמב</w:t>
      </w:r>
      <w:r>
        <w:rPr>
          <w:rFonts w:cs="Arial" w:hint="cs"/>
          <w:u w:val="dotted"/>
          <w:rtl/>
        </w:rPr>
        <w:t>"</w:t>
      </w:r>
      <w:r w:rsidRPr="00311F2C">
        <w:rPr>
          <w:rFonts w:cs="Arial" w:hint="cs"/>
          <w:u w:val="dotted"/>
          <w:rtl/>
        </w:rPr>
        <w:t xml:space="preserve">ם וסיעתו </w:t>
      </w:r>
      <w:r w:rsidRPr="00311F2C">
        <w:rPr>
          <w:rFonts w:cs="Arial"/>
          <w:u w:val="dotted"/>
          <w:rtl/>
        </w:rPr>
        <w:t>–</w:t>
      </w:r>
      <w:r w:rsidRPr="00311F2C">
        <w:rPr>
          <w:rFonts w:cs="Arial" w:hint="cs"/>
          <w:u w:val="dotted"/>
          <w:rtl/>
        </w:rPr>
        <w:t xml:space="preserve"> מה הדין כשהבת נישאת, האם היא נוטלת ממזון האלמנה עישור נכסים:</w:t>
      </w:r>
    </w:p>
    <w:p w14:paraId="000DBE42" w14:textId="77777777" w:rsidR="002E5BAD" w:rsidRPr="00311F2C" w:rsidRDefault="002E5BAD" w:rsidP="00B75458">
      <w:pPr>
        <w:pStyle w:val="ab"/>
        <w:numPr>
          <w:ilvl w:val="0"/>
          <w:numId w:val="192"/>
        </w:numPr>
        <w:rPr>
          <w:rFonts w:cs="Arial"/>
        </w:rPr>
      </w:pPr>
      <w:r w:rsidRPr="00290018">
        <w:rPr>
          <w:rFonts w:cs="Arial"/>
          <w:rtl/>
        </w:rPr>
        <w:t xml:space="preserve">סמ"ג </w:t>
      </w:r>
      <w:r w:rsidRPr="00290018">
        <w:rPr>
          <w:rFonts w:cs="Arial"/>
          <w:sz w:val="16"/>
          <w:szCs w:val="16"/>
          <w:rtl/>
        </w:rPr>
        <w:t>(לאוין פא לג ע"ב)</w:t>
      </w:r>
      <w:r>
        <w:rPr>
          <w:rFonts w:cs="Arial" w:hint="cs"/>
          <w:rtl/>
        </w:rPr>
        <w:t>-</w:t>
      </w:r>
      <w:r w:rsidRPr="00290018">
        <w:rPr>
          <w:rFonts w:cs="Arial"/>
          <w:rtl/>
        </w:rPr>
        <w:t xml:space="preserve"> מי שמת והניח אלמנה ובת </w:t>
      </w:r>
      <w:r>
        <w:rPr>
          <w:rFonts w:cs="Arial" w:hint="cs"/>
          <w:rtl/>
        </w:rPr>
        <w:t xml:space="preserve">- </w:t>
      </w:r>
      <w:r w:rsidRPr="00290018">
        <w:rPr>
          <w:rFonts w:cs="Arial"/>
          <w:rtl/>
        </w:rPr>
        <w:t>מזונות האלמנה קודמין למזונות הבת</w:t>
      </w:r>
      <w:r>
        <w:rPr>
          <w:rFonts w:cs="Arial" w:hint="cs"/>
          <w:rtl/>
        </w:rPr>
        <w:t>.</w:t>
      </w:r>
      <w:r w:rsidRPr="00290018">
        <w:rPr>
          <w:rFonts w:cs="Arial"/>
          <w:rtl/>
        </w:rPr>
        <w:t xml:space="preserve"> וכן נשאת הבת </w:t>
      </w:r>
      <w:r>
        <w:rPr>
          <w:rFonts w:cs="Arial" w:hint="cs"/>
          <w:rtl/>
        </w:rPr>
        <w:t xml:space="preserve">- </w:t>
      </w:r>
      <w:r w:rsidRPr="00290018">
        <w:rPr>
          <w:rFonts w:cs="Arial"/>
          <w:rtl/>
        </w:rPr>
        <w:t>אין נוטלת עישור נכסים</w:t>
      </w:r>
      <w:r>
        <w:rPr>
          <w:rFonts w:cs="Arial" w:hint="cs"/>
          <w:rtl/>
        </w:rPr>
        <w:t>,</w:t>
      </w:r>
      <w:r w:rsidRPr="00290018">
        <w:rPr>
          <w:rFonts w:cs="Arial"/>
          <w:rtl/>
        </w:rPr>
        <w:t xml:space="preserve"> מפני מזונות האלמנה</w:t>
      </w:r>
      <w:r w:rsidRPr="00290018">
        <w:rPr>
          <w:rFonts w:cs="Arial" w:hint="cs"/>
          <w:rtl/>
        </w:rPr>
        <w:t>.</w:t>
      </w:r>
      <w:r w:rsidRPr="00311F2C">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p>
    <w:p w14:paraId="2A48A014" w14:textId="77777777" w:rsidR="002E5BAD" w:rsidRDefault="002E5BAD" w:rsidP="002E5BAD">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 ע"א:</w:t>
      </w:r>
      <w:r>
        <w:rPr>
          <w:rFonts w:cs="Arial" w:hint="cs"/>
          <w:rtl/>
        </w:rPr>
        <w:t xml:space="preserve"> </w:t>
      </w:r>
      <w:r w:rsidRPr="00432426">
        <w:rPr>
          <w:rFonts w:cs="Arial"/>
          <w:rtl/>
        </w:rPr>
        <w:t>דשלח רבין באגרתיה: מי שמת והניח אלמנה ובת - אלמנתו נזונת מנכסיו</w:t>
      </w:r>
      <w:r>
        <w:rPr>
          <w:rFonts w:cs="Arial" w:hint="cs"/>
          <w:rtl/>
        </w:rPr>
        <w:t>.</w:t>
      </w:r>
      <w:r w:rsidRPr="00432426">
        <w:rPr>
          <w:rFonts w:cs="Arial"/>
          <w:rtl/>
        </w:rPr>
        <w:t xml:space="preserve"> נשאת הבת</w:t>
      </w:r>
      <w:r>
        <w:rPr>
          <w:rStyle w:val="a7"/>
          <w:rFonts w:cs="Arial"/>
          <w:rtl/>
        </w:rPr>
        <w:footnoteReference w:id="2272"/>
      </w:r>
      <w:r w:rsidRPr="00432426">
        <w:rPr>
          <w:rFonts w:cs="Arial"/>
          <w:rtl/>
        </w:rPr>
        <w:t xml:space="preserve"> - אלמנתו נזונת מנכסיו</w:t>
      </w:r>
      <w:r>
        <w:rPr>
          <w:rFonts w:cs="Arial" w:hint="cs"/>
          <w:rtl/>
        </w:rPr>
        <w:t>.</w:t>
      </w:r>
      <w:r w:rsidRPr="00432426">
        <w:rPr>
          <w:rFonts w:cs="Arial"/>
          <w:rtl/>
        </w:rPr>
        <w:t xml:space="preserve"> מתה הבת</w:t>
      </w:r>
      <w:r>
        <w:rPr>
          <w:rFonts w:cs="Arial" w:hint="cs"/>
          <w:rtl/>
        </w:rPr>
        <w:t>,</w:t>
      </w:r>
      <w:r w:rsidRPr="00432426">
        <w:rPr>
          <w:rFonts w:cs="Arial"/>
          <w:rtl/>
        </w:rPr>
        <w:t xml:space="preserve"> </w:t>
      </w:r>
      <w:r w:rsidRPr="00432426">
        <w:rPr>
          <w:rFonts w:cs="Arial"/>
          <w:u w:val="single"/>
          <w:rtl/>
        </w:rPr>
        <w:t>אמר רב יהודה בן אחותו של ר' יוסי ברבי חנינא</w:t>
      </w:r>
      <w:r>
        <w:rPr>
          <w:rFonts w:cs="Arial" w:hint="cs"/>
          <w:rtl/>
        </w:rPr>
        <w:t>:</w:t>
      </w:r>
      <w:r w:rsidRPr="00432426">
        <w:rPr>
          <w:rFonts w:cs="Arial"/>
          <w:rtl/>
        </w:rPr>
        <w:t xml:space="preserve"> ע"י היה מעשה ואמרו</w:t>
      </w:r>
      <w:r>
        <w:rPr>
          <w:rFonts w:cs="Arial" w:hint="cs"/>
          <w:rtl/>
        </w:rPr>
        <w:t xml:space="preserve"> -</w:t>
      </w:r>
      <w:r w:rsidRPr="00432426">
        <w:rPr>
          <w:rFonts w:cs="Arial"/>
          <w:rtl/>
        </w:rPr>
        <w:t xml:space="preserve"> אלמנתו נזונת מנכסיו</w:t>
      </w:r>
      <w:r>
        <w:rPr>
          <w:rFonts w:cs="Arial" w:hint="cs"/>
          <w:rtl/>
        </w:rPr>
        <w:t>.</w:t>
      </w:r>
      <w:r w:rsidRPr="00556503">
        <w:rPr>
          <w:rtl/>
        </w:rPr>
        <w:t xml:space="preserve"> </w:t>
      </w:r>
      <w:r w:rsidRPr="00556503">
        <w:rPr>
          <w:rFonts w:cs="Arial"/>
          <w:rtl/>
        </w:rPr>
        <w:t>אי אמרת בשלמא</w:t>
      </w:r>
      <w:r>
        <w:rPr>
          <w:rStyle w:val="a7"/>
          <w:rFonts w:cs="Arial"/>
          <w:rtl/>
        </w:rPr>
        <w:footnoteReference w:id="2273"/>
      </w:r>
      <w:r w:rsidRPr="00556503">
        <w:rPr>
          <w:rFonts w:cs="Arial"/>
          <w:rtl/>
        </w:rPr>
        <w:t xml:space="preserve"> יורש הוי, משום הכי אלמנתו נזונת מנכסיו, אלא אי אמרת לוקח הוי, אמאי נזונת מנכסיו?</w:t>
      </w:r>
      <w:r>
        <w:rPr>
          <w:rFonts w:cs="Arial" w:hint="cs"/>
          <w:rtl/>
        </w:rPr>
        <w:t>...</w:t>
      </w:r>
      <w:r>
        <w:rPr>
          <w:rFonts w:cs="Arial" w:hint="cs"/>
          <w:sz w:val="14"/>
          <w:szCs w:val="14"/>
          <w:rtl/>
        </w:rPr>
        <w:t xml:space="preserve"> (קלט:)</w:t>
      </w:r>
      <w:r w:rsidRPr="00432426">
        <w:rPr>
          <w:rtl/>
        </w:rPr>
        <w:t xml:space="preserve"> </w:t>
      </w:r>
      <w:r w:rsidRPr="00432426">
        <w:rPr>
          <w:rFonts w:cs="Arial"/>
          <w:u w:val="single"/>
          <w:rtl/>
        </w:rPr>
        <w:t>אמר רב אשי</w:t>
      </w:r>
      <w:r w:rsidRPr="00432426">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w:t>
      </w:r>
    </w:p>
    <w:p w14:paraId="3F31D84A" w14:textId="77777777" w:rsidR="002E5BAD" w:rsidRPr="00A16ADE" w:rsidRDefault="002E5BAD" w:rsidP="002E5BAD">
      <w:pPr>
        <w:rPr>
          <w:rFonts w:cs="Arial"/>
          <w:u w:val="single"/>
          <w:rtl/>
        </w:rPr>
      </w:pPr>
      <w:r>
        <w:rPr>
          <w:rFonts w:cs="Arial" w:hint="cs"/>
          <w:u w:val="single"/>
          <w:rtl/>
        </w:rPr>
        <w:t xml:space="preserve">מי שמת והניח אלמנה בת ונכסים </w:t>
      </w:r>
      <w:r>
        <w:rPr>
          <w:rFonts w:cs="Arial" w:hint="cs"/>
          <w:sz w:val="16"/>
          <w:szCs w:val="16"/>
          <w:u w:val="single"/>
          <w:rtl/>
        </w:rPr>
        <w:t>(מועטים או מרובים [לטור] / מרובים [לרמב"ם])</w:t>
      </w:r>
      <w:r>
        <w:rPr>
          <w:rFonts w:cs="Arial" w:hint="cs"/>
          <w:u w:val="single"/>
          <w:rtl/>
        </w:rPr>
        <w:t xml:space="preserve"> </w:t>
      </w:r>
      <w:r>
        <w:rPr>
          <w:rFonts w:cs="Arial"/>
          <w:u w:val="single"/>
          <w:rtl/>
        </w:rPr>
        <w:t>–</w:t>
      </w:r>
      <w:r>
        <w:rPr>
          <w:rFonts w:cs="Arial" w:hint="cs"/>
          <w:u w:val="single"/>
          <w:rtl/>
        </w:rPr>
        <w:t xml:space="preserve"> מה הדין אם </w:t>
      </w:r>
      <w:r w:rsidRPr="00A16ADE">
        <w:rPr>
          <w:rFonts w:cs="Arial" w:hint="cs"/>
          <w:u w:val="single"/>
          <w:rtl/>
        </w:rPr>
        <w:t>הבת נישאת:</w:t>
      </w:r>
    </w:p>
    <w:p w14:paraId="764358C2" w14:textId="77777777" w:rsidR="002E5BAD" w:rsidRDefault="002E5BAD" w:rsidP="00B75458">
      <w:pPr>
        <w:pStyle w:val="ab"/>
        <w:numPr>
          <w:ilvl w:val="0"/>
          <w:numId w:val="192"/>
        </w:numPr>
        <w:rPr>
          <w:rFonts w:cs="Arial"/>
        </w:rPr>
      </w:pPr>
      <w:r w:rsidRPr="00A16ADE">
        <w:rPr>
          <w:rFonts w:cs="Arial" w:hint="cs"/>
          <w:rtl/>
        </w:rPr>
        <w:lastRenderedPageBreak/>
        <w:t xml:space="preserve">טור- </w:t>
      </w:r>
      <w:r w:rsidRPr="00A16ADE">
        <w:rPr>
          <w:rFonts w:cs="Arial"/>
          <w:rtl/>
        </w:rPr>
        <w:t>אם יש אלמנה ובן או אלמנה ובת</w:t>
      </w:r>
      <w:r>
        <w:rPr>
          <w:rFonts w:cs="Arial" w:hint="cs"/>
          <w:rtl/>
        </w:rPr>
        <w:t>...</w:t>
      </w:r>
      <w:r w:rsidRPr="00A16ADE">
        <w:rPr>
          <w:rFonts w:cs="Arial"/>
          <w:rtl/>
        </w:rPr>
        <w:t xml:space="preserve"> ואפי' אם תינשא הבת ומכנסת הנכסים לבעל </w:t>
      </w:r>
      <w:r w:rsidRPr="00A16ADE">
        <w:rPr>
          <w:rFonts w:cs="Arial" w:hint="cs"/>
          <w:rtl/>
        </w:rPr>
        <w:t xml:space="preserve">- </w:t>
      </w:r>
      <w:r w:rsidRPr="00A16ADE">
        <w:rPr>
          <w:rFonts w:cs="Arial"/>
          <w:rtl/>
        </w:rPr>
        <w:t>היא תיזון מהן אפי' אחר מיתת הבת</w:t>
      </w:r>
      <w:r w:rsidRPr="00A16ADE">
        <w:rPr>
          <w:rFonts w:cs="Arial" w:hint="cs"/>
          <w:rtl/>
        </w:rPr>
        <w:t>.</w:t>
      </w:r>
      <w:r w:rsidRPr="00761138">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r>
        <w:rPr>
          <w:rFonts w:cs="Arial" w:hint="cs"/>
          <w:rtl/>
        </w:rPr>
        <w:t xml:space="preserve"> </w:t>
      </w:r>
    </w:p>
    <w:p w14:paraId="10B10E6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83407D" w14:textId="77777777" w:rsidR="002E5BAD" w:rsidRDefault="002E5BAD" w:rsidP="002E5BAD">
      <w:pPr>
        <w:rPr>
          <w:rtl/>
        </w:rPr>
      </w:pPr>
      <w:r>
        <w:rPr>
          <w:rFonts w:cs="Arial"/>
          <w:rtl/>
        </w:rPr>
        <w:t>המניח אלמנה ובת</w:t>
      </w:r>
      <w:r>
        <w:rPr>
          <w:rStyle w:val="a7"/>
          <w:rFonts w:cs="Arial"/>
          <w:rtl/>
        </w:rPr>
        <w:footnoteReference w:id="2274"/>
      </w:r>
      <w:r>
        <w:rPr>
          <w:rFonts w:cs="Arial"/>
          <w:rtl/>
        </w:rPr>
        <w:t>, ממנה או מאשה אחרת, ואין בנכסים כדי שיזונו שתיהן</w:t>
      </w:r>
      <w:r>
        <w:rPr>
          <w:rStyle w:val="a7"/>
          <w:rFonts w:cs="Arial"/>
          <w:rtl/>
        </w:rPr>
        <w:footnoteReference w:id="2275"/>
      </w:r>
      <w:r>
        <w:rPr>
          <w:rFonts w:cs="Arial"/>
          <w:rtl/>
        </w:rPr>
        <w:t>, האלמנה ניזונית והבת תשאל על הפתחים. וי</w:t>
      </w:r>
      <w:r>
        <w:rPr>
          <w:rFonts w:cs="Arial" w:hint="cs"/>
          <w:rtl/>
        </w:rPr>
        <w:t xml:space="preserve">ש </w:t>
      </w:r>
      <w:r>
        <w:rPr>
          <w:rFonts w:cs="Arial"/>
          <w:rtl/>
        </w:rPr>
        <w:t>א</w:t>
      </w:r>
      <w:r>
        <w:rPr>
          <w:rFonts w:cs="Arial" w:hint="cs"/>
          <w:rtl/>
        </w:rPr>
        <w:t>ומרים</w:t>
      </w:r>
      <w:r>
        <w:rPr>
          <w:rStyle w:val="a7"/>
          <w:rFonts w:cs="Arial"/>
          <w:rtl/>
        </w:rPr>
        <w:footnoteReference w:id="2276"/>
      </w:r>
      <w:r>
        <w:rPr>
          <w:rFonts w:cs="Arial"/>
          <w:rtl/>
        </w:rPr>
        <w:t xml:space="preserve"> דבין שהנכסים מרובין בין שהן מועטין, אם יש אלמנה ובן או אלמנה ובת, תיזון היא עם הבן או עם הבת עד שיאכלו הנכסים</w:t>
      </w:r>
      <w:r>
        <w:rPr>
          <w:rFonts w:cs="Arial" w:hint="cs"/>
          <w:rtl/>
        </w:rPr>
        <w:t>.</w:t>
      </w:r>
      <w:r>
        <w:rPr>
          <w:rFonts w:cs="Arial"/>
          <w:rtl/>
        </w:rPr>
        <w:t xml:space="preserve"> ואפילו אם תנשא הבת</w:t>
      </w:r>
      <w:r>
        <w:rPr>
          <w:rStyle w:val="a7"/>
          <w:rFonts w:cs="Arial"/>
          <w:rtl/>
        </w:rPr>
        <w:footnoteReference w:id="2277"/>
      </w:r>
      <w:r>
        <w:rPr>
          <w:rFonts w:cs="Arial"/>
          <w:rtl/>
        </w:rPr>
        <w:t xml:space="preserve"> ומכנסת הנכסים לבעל, היא תיזון מהם אפילו אחר מיתת הבת. אבל אם יש אלמנה ובן ובת, והנכסים מועטים שאין בהם כדי שיזונו הבת והבן עד שתבגור הבת, אז ידחו הבן והבת ותיזון האלמנה לבדה עד שתגבה כתובתה. </w:t>
      </w:r>
      <w:r w:rsidRPr="00407947">
        <w:rPr>
          <w:rFonts w:cs="Arial"/>
          <w:sz w:val="18"/>
          <w:szCs w:val="18"/>
          <w:rtl/>
        </w:rPr>
        <w:t>הגה: ובמקום שהאלמנה דוחה הבנות, מוציאין לאלמנה מזון עד זמן שאומדין ב"ד שראויה לחיות, אם זקנה ואם ילדה, ונותנין ביד שליש והוא מפרנסה אחד לשלשים יום (ב"י בשם המ"מ שכ"כ בשם הרמב"ן).</w:t>
      </w:r>
      <w:r>
        <w:rPr>
          <w:rFonts w:cs="Arial"/>
          <w:rtl/>
        </w:rPr>
        <w:t xml:space="preserve"> </w:t>
      </w:r>
    </w:p>
    <w:p w14:paraId="0D4DF3E6" w14:textId="77777777" w:rsidR="002E5BAD" w:rsidRDefault="002E5BAD" w:rsidP="002E5BAD">
      <w:pPr>
        <w:rPr>
          <w:rtl/>
        </w:rPr>
      </w:pPr>
    </w:p>
    <w:p w14:paraId="02927508" w14:textId="77777777" w:rsidR="002E5BAD" w:rsidRDefault="002E5BAD" w:rsidP="002E5BAD">
      <w:pPr>
        <w:pStyle w:val="2"/>
        <w:rPr>
          <w:rtl/>
        </w:rPr>
      </w:pPr>
      <w:r>
        <w:rPr>
          <w:rtl/>
        </w:rPr>
        <w:t>סעיף ה</w:t>
      </w:r>
      <w:r>
        <w:rPr>
          <w:rFonts w:hint="cs"/>
          <w:rtl/>
        </w:rPr>
        <w:t>:</w:t>
      </w:r>
    </w:p>
    <w:p w14:paraId="47A06968" w14:textId="77777777" w:rsidR="002E5BAD" w:rsidRPr="00C94C46" w:rsidRDefault="002E5BAD" w:rsidP="00B75458">
      <w:pPr>
        <w:pStyle w:val="ab"/>
        <w:numPr>
          <w:ilvl w:val="0"/>
          <w:numId w:val="192"/>
        </w:numPr>
      </w:pPr>
      <w:r>
        <w:rPr>
          <w:rFonts w:cs="Arial" w:hint="cs"/>
          <w:rtl/>
        </w:rPr>
        <w:t xml:space="preserve">טור- </w:t>
      </w:r>
      <w:r w:rsidRPr="000A1431">
        <w:rPr>
          <w:rFonts w:cs="Arial"/>
          <w:rtl/>
        </w:rPr>
        <w:t xml:space="preserve">אלמנה שתבעה כתובתה בבית דין אין לה עוד מזונות אפי' לא פרעוה אבל תבעה שלא בב"ד לא הפסידה מזונותיה ואפי' בב"ד לא הפסידה אא"כ תבעה מעצמה אבל אם תבעה מדוחק שלא נתנו לה מזונות או שרימוה ואמרו לה פלוני חפץ לישא אותך ומחמת זה תבעה כתובתה או כיוצא בזה לא הפסידה מזונות </w:t>
      </w:r>
    </w:p>
    <w:p w14:paraId="6FF888C8" w14:textId="77777777" w:rsidR="002E5BAD" w:rsidRDefault="002E5BAD" w:rsidP="002E5BAD">
      <w:pPr>
        <w:rPr>
          <w:rtl/>
        </w:rPr>
      </w:pPr>
      <w:r>
        <w:rPr>
          <w:rFonts w:cs="Arial"/>
          <w:rtl/>
        </w:rPr>
        <w:t>ה אלמנה שתבעה כתובתה בבית דין אין לה עוד מזונות אפילו לא פרעה וכו'. בסוף פרק נערה שנתפתתה (נד.) אמר רב יהודה אמר שמואל התובעת כתובתה בבית דין אין לה מזונות ומסיק בגמרא דדוקא בבית דין אבל שלא בבית דין יש לה מזונות וכן כתב הרא"ש (סי' ל) ומשעת תביעה אין לה מזונות בפרק השולח:</w:t>
      </w:r>
    </w:p>
    <w:p w14:paraId="2CA454DF" w14:textId="77777777" w:rsidR="002E5BAD" w:rsidRPr="00C94C46" w:rsidRDefault="002E5BAD" w:rsidP="002E5BAD">
      <w:pPr>
        <w:rPr>
          <w:rtl/>
        </w:rPr>
      </w:pPr>
      <w:r>
        <w:rPr>
          <w:rFonts w:cs="Arial"/>
          <w:rtl/>
        </w:rPr>
        <w:t>ומ"ש ואפילו בבית דין לא הפסידה אלא אם כן תבעה מעצמה אבל אם תבעה מדוחק שלא נתנו לה מזונות או שרימוה וכו'. על האי מימרא דתובעת כתובתה אין לה מזונות כתב הרא"ש (שם) ירושלמי (כתובות פי"א ה"ב) ובלבד מן השופי אבל מן האונס לא כהדא ארמלתא דרבי אבהו רימו בה ואמרו לה כי כהן בעי לך תבעת פורנא ואבדה מזונות מן דאתידעון מיליא עילון עובדא קמיה דרב אסי חזר לה מזונות פירוש רימו בה ואמרו אדם גדול רוצה לישא אותך וכשידע רבי אסי שרימו בה החזירה למזונותיה וכן נמי אם לא רצו לזונה ומחמת זה תבעה כתובתה אין זה מן השופי ואית לה מזוני עכ"ל. והרי"ף לא הביא הירושלמי הזה וגם הרמב"ם השמיטו ואיפשר שטעמם משום דכיון דגמרא דידן לא מפליג בדיני משמע דסבר שאין חילוק בדבר דאם איתא לא הוה שתיק מיניה</w:t>
      </w:r>
      <w:r>
        <w:rPr>
          <w:rStyle w:val="a7"/>
          <w:rFonts w:cs="Arial"/>
          <w:rtl/>
        </w:rPr>
        <w:footnoteReference w:id="2278"/>
      </w:r>
      <w:r>
        <w:rPr>
          <w:rFonts w:cs="Arial"/>
          <w:rtl/>
        </w:rPr>
        <w:t>:</w:t>
      </w:r>
    </w:p>
    <w:p w14:paraId="3758BE5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8BB6F9" w14:textId="77777777" w:rsidR="002E5BAD" w:rsidRDefault="002E5BAD" w:rsidP="002E5BAD">
      <w:pPr>
        <w:rPr>
          <w:rtl/>
        </w:rPr>
      </w:pPr>
      <w:r>
        <w:rPr>
          <w:rFonts w:cs="Arial"/>
          <w:rtl/>
        </w:rPr>
        <w:t xml:space="preserve">אלמנה שתבעה כתובתה בב"ד אין לה עוד מזונות, ואפילו לא פרעוה. (אבל תבעה שלא בב"ד, לא הפסידה) (טור). וי"א שאפילו תבעה בבית דין לא הפסידה, אלא אם כן תבעה מעצמה, אבל אם תבעה מדוחק, שלא נתנו לה מזונות, או שרמוה ואמרו לה: פלוני חפץ לישא אותך, ומחמת זה תבעה כתובתה או כיוצא בזה, לא הפסידה מזונותיה. </w:t>
      </w:r>
      <w:r w:rsidRPr="00C94C46">
        <w:rPr>
          <w:rFonts w:cs="Arial"/>
          <w:sz w:val="18"/>
          <w:szCs w:val="18"/>
          <w:rtl/>
        </w:rPr>
        <w:t>הגה: הנשבעת על כתובתה לפני ב"ד לא הפסידה מזונות, דשבועתה לא הוי כתביעה (הגהות אלפסי סוף פ' נערה).</w:t>
      </w:r>
      <w:r>
        <w:rPr>
          <w:rFonts w:cs="Arial"/>
          <w:rtl/>
        </w:rPr>
        <w:t xml:space="preserve"> </w:t>
      </w:r>
    </w:p>
    <w:p w14:paraId="24F74959" w14:textId="77777777" w:rsidR="002E5BAD" w:rsidRDefault="002E5BAD" w:rsidP="002E5BAD">
      <w:pPr>
        <w:rPr>
          <w:rtl/>
        </w:rPr>
      </w:pPr>
    </w:p>
    <w:p w14:paraId="3DC59B79" w14:textId="77777777" w:rsidR="002E5BAD" w:rsidRDefault="002E5BAD" w:rsidP="002E5BAD">
      <w:pPr>
        <w:pStyle w:val="2"/>
        <w:rPr>
          <w:rtl/>
        </w:rPr>
      </w:pPr>
      <w:r>
        <w:rPr>
          <w:rtl/>
        </w:rPr>
        <w:t>סעיף ו</w:t>
      </w:r>
      <w:r>
        <w:rPr>
          <w:rFonts w:hint="cs"/>
          <w:rtl/>
        </w:rPr>
        <w:t>:</w:t>
      </w:r>
    </w:p>
    <w:p w14:paraId="60EA3703" w14:textId="77777777" w:rsidR="002E5BAD" w:rsidRPr="00C94C46" w:rsidRDefault="002E5BAD" w:rsidP="002E5BAD">
      <w:pPr>
        <w:rPr>
          <w:rtl/>
        </w:rPr>
      </w:pPr>
      <w:r w:rsidRPr="00C94C46">
        <w:rPr>
          <w:rFonts w:cs="Arial"/>
          <w:rtl/>
        </w:rPr>
        <w:t xml:space="preserve">ו כתב הריב"ש בתשובה סימן ת"פ על שכיב מרע שכתב בצוואתו אני מניח שתהא אשתי נזונת כל ימי מיגד אלמנותה יתר על כתובתה נראה שאין אלמנה זו מפסדת מזונות בתביעת כתובתה בבית דין ולא בשאר הדברים שמפסדת </w:t>
      </w:r>
      <w:r w:rsidRPr="00C94C46">
        <w:rPr>
          <w:rFonts w:cs="Arial"/>
          <w:rtl/>
        </w:rPr>
        <w:lastRenderedPageBreak/>
        <w:t>אותם כשאוכלת בתנאי בית דין והאריך בטעם הדבר. וכתב עוד דכיון דאוכלת מכח מתנת בעלה ולא בתקנת חכמים אין מעשה ידיה ליתומים:</w:t>
      </w:r>
    </w:p>
    <w:p w14:paraId="144D67E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98AFE8" w14:textId="77777777" w:rsidR="002E5BAD" w:rsidRDefault="002E5BAD" w:rsidP="002E5BAD">
      <w:pPr>
        <w:rPr>
          <w:rtl/>
        </w:rPr>
      </w:pPr>
      <w:r>
        <w:rPr>
          <w:rFonts w:cs="Arial"/>
          <w:rtl/>
        </w:rPr>
        <w:t xml:space="preserve">שכיב מרע שציוה שתהא אלמנתו ניזונת מנכסיו כל ימי מיגר אלמנותה יתר על כתובתה, יש מי שאומר שאין אלמנתו מפסדת מזונותיה בתביעת כתובתה בבית דין, ולא בשאר דרכים המפסידים מזונותיה, וגם אין מעשה ידיה ליתומים. </w:t>
      </w:r>
    </w:p>
    <w:p w14:paraId="14A15C0F" w14:textId="77777777" w:rsidR="002E5BAD" w:rsidRDefault="002E5BAD" w:rsidP="002E5BAD">
      <w:pPr>
        <w:rPr>
          <w:rtl/>
        </w:rPr>
      </w:pPr>
    </w:p>
    <w:p w14:paraId="0D5559D5" w14:textId="77777777" w:rsidR="002E5BAD" w:rsidRDefault="002E5BAD" w:rsidP="002E5BAD">
      <w:pPr>
        <w:pStyle w:val="2"/>
        <w:rPr>
          <w:rtl/>
        </w:rPr>
      </w:pPr>
      <w:r>
        <w:rPr>
          <w:rtl/>
        </w:rPr>
        <w:t>סעיף ז</w:t>
      </w:r>
      <w:r>
        <w:rPr>
          <w:rFonts w:hint="cs"/>
          <w:rtl/>
        </w:rPr>
        <w:t>:</w:t>
      </w:r>
    </w:p>
    <w:p w14:paraId="1E640491" w14:textId="77777777" w:rsidR="002E5BAD" w:rsidRPr="00F22E6E" w:rsidRDefault="002E5BAD" w:rsidP="00B75458">
      <w:pPr>
        <w:pStyle w:val="ab"/>
        <w:numPr>
          <w:ilvl w:val="0"/>
          <w:numId w:val="192"/>
        </w:numPr>
      </w:pPr>
      <w:r>
        <w:rPr>
          <w:rFonts w:cs="Arial" w:hint="cs"/>
          <w:rtl/>
        </w:rPr>
        <w:t xml:space="preserve">טור- </w:t>
      </w:r>
      <w:r w:rsidRPr="000A1431">
        <w:rPr>
          <w:rFonts w:cs="Arial"/>
          <w:rtl/>
        </w:rPr>
        <w:t>תבעוה לינשא אפילו מתפייסת לא הפסידה מזונותיה וכן אם כחלה או פרכסה או זינתה לא הפסידה מזונותיה נתארסה הפסידה מזונותיה</w:t>
      </w:r>
      <w:r>
        <w:rPr>
          <w:rFonts w:cs="Arial" w:hint="cs"/>
          <w:rtl/>
        </w:rPr>
        <w:t>.</w:t>
      </w:r>
      <w:r w:rsidRPr="000A1431">
        <w:rPr>
          <w:rFonts w:cs="Arial"/>
          <w:rtl/>
        </w:rPr>
        <w:t xml:space="preserve"> </w:t>
      </w:r>
    </w:p>
    <w:p w14:paraId="7E0FED63" w14:textId="77777777" w:rsidR="002E5BAD" w:rsidRDefault="002E5BAD" w:rsidP="002E5BAD">
      <w:pPr>
        <w:rPr>
          <w:rtl/>
        </w:rPr>
      </w:pPr>
      <w:r>
        <w:rPr>
          <w:rFonts w:cs="Arial"/>
          <w:rtl/>
        </w:rPr>
        <w:t>ז תבעוה לינשא אפילו מתפייסת לא הפסידה מזונותיה וכן אם כחלה או פרכסה וכו'. בסוף פרק נערה שנתפתתה (נד.) אמר רב נחמן אמר שמואל תבעוה לינשא ונתפייסה אין לה מזונות ומפרש בגמרא דאפילו לא נתפייסה נמי אם אמרה מחמת בני אדם שאינם מהוגנים לי אין לה מזונות. אמר רב חסדא זינתה אין לה מזונות אמר רב יוסף כיחלה ופרכסה אין לה מזונות ולית הלכתא ככל הני שמעתתא אלא כי הא דאמר רב יהודה אמר שמואל התובעת כתובתה בבית דין אין לה מזונות וכתבו התוספות (ד"ה לית) ולית הלכתא ככל הני שמעתתא בר מתבעוה לינשא דההיא עדיפא אבל הרי"ף השמיט גם מימרא דתבעוה לינשא משמע דגם עלה קאי הא דאמר ולית הלכתא ככל הני שמעתתא וכתב הרא"ש (שם) דנראין לו דברי הרי"ף וכן דעת הרמב"ם בפרק י"ח מהלכות אישות:</w:t>
      </w:r>
    </w:p>
    <w:p w14:paraId="4412F071" w14:textId="77777777" w:rsidR="002E5BAD" w:rsidRPr="00C94C46" w:rsidRDefault="002E5BAD" w:rsidP="002E5BAD">
      <w:pPr>
        <w:rPr>
          <w:rtl/>
        </w:rPr>
      </w:pPr>
      <w:r>
        <w:rPr>
          <w:rFonts w:cs="Arial"/>
          <w:rtl/>
        </w:rPr>
        <w:t>ומ"ש רבינו נתארסה הפסידה מזונותיה. כן כתב הרמב"ם בפרק הנזכר (ה"א) וכתב הרב המגיד שהוא פשוט שהרי תנאי במזונות אינו אלא משך ימי אלמנותה וכיון שנתארסה אשת איש נקראת ולא אלמנה. ולפי דבריו אם שידכה עצמה עדיין יש לה מזונות דמשודכת אינה נקראת אשת איש וזה דבר תימא דכיון ששידכה עצמה לאחר כבר הפקיעה מעליה כבוד בעלה הראשון ואיך יתכן שתהיה נזונת מנכסיו לכך נראה לי דאף על גב דבדוכתי אחריני לא קרי ארוסה אלא למקודשת הכא למשודכת קרי ארוסה דימי אלמנותיך משמע כל זמן ששם בעלה הראשון נקרא עליה שאומרים זו אלמנתו של פלוני אבל כיון ששידכה עצמה לאחר אין שם בעלה הראשון נקרא עליה שאינה נקראת אלא משודכתו של פלוני:</w:t>
      </w:r>
    </w:p>
    <w:p w14:paraId="259EF41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071CC6" w14:textId="77777777" w:rsidR="002E5BAD" w:rsidRDefault="002E5BAD" w:rsidP="002E5BAD">
      <w:pPr>
        <w:rPr>
          <w:rtl/>
        </w:rPr>
      </w:pPr>
      <w:r>
        <w:rPr>
          <w:rFonts w:cs="Arial"/>
          <w:rtl/>
        </w:rPr>
        <w:t xml:space="preserve">תבעוה לינשא, אפילו נתפייסה, לא הפסידה מזונותיה. וכן אם כחלה או פרכסה או זנתה, לא הפסידה מזונותיה. אבל אם נתארסה, הפסידה מזונותיה. (וי"א דמיד שעשתה שידוך הפסידה מזונותיה) (ב"י). </w:t>
      </w:r>
    </w:p>
    <w:p w14:paraId="51E7D2E3" w14:textId="77777777" w:rsidR="002E5BAD" w:rsidRDefault="002E5BAD" w:rsidP="002E5BAD">
      <w:pPr>
        <w:rPr>
          <w:rtl/>
        </w:rPr>
      </w:pPr>
    </w:p>
    <w:p w14:paraId="45922B14" w14:textId="77777777" w:rsidR="002E5BAD" w:rsidRDefault="002E5BAD" w:rsidP="002E5BAD">
      <w:pPr>
        <w:pStyle w:val="2"/>
        <w:rPr>
          <w:rtl/>
        </w:rPr>
      </w:pPr>
      <w:r>
        <w:rPr>
          <w:rtl/>
        </w:rPr>
        <w:t>סעיף ח</w:t>
      </w:r>
      <w:r>
        <w:rPr>
          <w:rFonts w:hint="cs"/>
          <w:rtl/>
        </w:rPr>
        <w:t>:</w:t>
      </w:r>
    </w:p>
    <w:p w14:paraId="138B653A" w14:textId="77777777" w:rsidR="002E5BAD" w:rsidRPr="00F22E6E" w:rsidRDefault="002E5BAD" w:rsidP="00B75458">
      <w:pPr>
        <w:pStyle w:val="ab"/>
        <w:numPr>
          <w:ilvl w:val="0"/>
          <w:numId w:val="192"/>
        </w:numPr>
      </w:pPr>
      <w:r>
        <w:rPr>
          <w:rFonts w:cs="Arial" w:hint="cs"/>
          <w:rtl/>
        </w:rPr>
        <w:t xml:space="preserve">טור- </w:t>
      </w:r>
      <w:r w:rsidRPr="000A1431">
        <w:rPr>
          <w:rFonts w:cs="Arial"/>
          <w:rtl/>
        </w:rPr>
        <w:t>מכרה או מישכנה כתובתה או שעשתה כתובתה אפותיקי לבעל חוב בין בב"ד בין שלא בב"ד בין בחיי בעלה או אחרי מות בעלה הפסידה מזונותיה</w:t>
      </w:r>
      <w:r>
        <w:rPr>
          <w:rFonts w:cs="Arial" w:hint="cs"/>
          <w:rtl/>
        </w:rPr>
        <w:t>.</w:t>
      </w:r>
      <w:r w:rsidRPr="000A1431">
        <w:rPr>
          <w:rFonts w:cs="Arial"/>
          <w:rtl/>
        </w:rPr>
        <w:t xml:space="preserve"> </w:t>
      </w:r>
    </w:p>
    <w:p w14:paraId="65B71612" w14:textId="77777777" w:rsidR="002E5BAD" w:rsidRDefault="002E5BAD" w:rsidP="002E5BAD">
      <w:pPr>
        <w:rPr>
          <w:rtl/>
        </w:rPr>
      </w:pPr>
      <w:r>
        <w:rPr>
          <w:rFonts w:cs="Arial"/>
          <w:rtl/>
        </w:rPr>
        <w:t>ח מכרה או משכנה כתובתה או שעשתה כתובתה אפותיקי לבעל חוב בין בבית דין בין שלא בבית דין הפסידה מזונותיה. ברייתא וגמרא סוף פרק נערה שנתפתתה (נד.) ופירש רש"י אפותיקי קרקע המיוחד לכתובתה עשתה אפותיקי לבעל חוב שלה ובסמוך יתבאר בדברי רבינו דלא איבדה מזונותיה אלא אם כן מכרה או משכנה כל כתובתה אבל אם שיירה מקצת נזונת:</w:t>
      </w:r>
    </w:p>
    <w:p w14:paraId="3BD68CA0" w14:textId="77777777" w:rsidR="002E5BAD" w:rsidRPr="00C94C46" w:rsidRDefault="002E5BAD" w:rsidP="002E5BAD">
      <w:pPr>
        <w:rPr>
          <w:rtl/>
        </w:rPr>
      </w:pPr>
      <w:r>
        <w:rPr>
          <w:rFonts w:cs="Arial"/>
          <w:rtl/>
        </w:rPr>
        <w:t>ומ"ש בין בחיי בעלה בין אחרי מות בעלה. [בדק הבית] כך כתב הרמב"ם בפרק י"ח (שם) [עד כאן]:</w:t>
      </w:r>
    </w:p>
    <w:p w14:paraId="30DDB90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1038C1" w14:textId="77777777" w:rsidR="002E5BAD" w:rsidRDefault="002E5BAD" w:rsidP="002E5BAD">
      <w:pPr>
        <w:rPr>
          <w:rFonts w:cs="Arial"/>
          <w:rtl/>
        </w:rPr>
      </w:pPr>
      <w:r>
        <w:rPr>
          <w:rFonts w:cs="Arial"/>
          <w:rtl/>
        </w:rPr>
        <w:t>מכרה כתובתה כולה או משכנה או עשתה אפותיקי לאחר, בין שעשתה דברים אלו בפני ב"ד מומחין בין בפני ג' נאמנים, בין שעשתה בחיי בעלה בין שעשתה לאחר מיתת בעלה, אין לה מזונות מהיורשים.</w:t>
      </w:r>
    </w:p>
    <w:p w14:paraId="1A5E1D95" w14:textId="77777777" w:rsidR="002E5BAD" w:rsidRDefault="002E5BAD" w:rsidP="002E5BAD">
      <w:pPr>
        <w:rPr>
          <w:rtl/>
        </w:rPr>
      </w:pPr>
      <w:r>
        <w:rPr>
          <w:rFonts w:cs="Arial"/>
          <w:rtl/>
        </w:rPr>
        <w:t xml:space="preserve"> </w:t>
      </w:r>
    </w:p>
    <w:p w14:paraId="27A18BF6" w14:textId="77777777" w:rsidR="002E5BAD" w:rsidRDefault="002E5BAD" w:rsidP="002E5BAD">
      <w:pPr>
        <w:pStyle w:val="2"/>
        <w:rPr>
          <w:rtl/>
        </w:rPr>
      </w:pPr>
      <w:r>
        <w:rPr>
          <w:rtl/>
        </w:rPr>
        <w:lastRenderedPageBreak/>
        <w:t>סעיף ט</w:t>
      </w:r>
      <w:r>
        <w:rPr>
          <w:rFonts w:hint="cs"/>
          <w:rtl/>
        </w:rPr>
        <w:t>:</w:t>
      </w:r>
    </w:p>
    <w:p w14:paraId="7B8323FF" w14:textId="77777777" w:rsidR="002E5BAD" w:rsidRPr="00F22E6E" w:rsidRDefault="002E5BAD" w:rsidP="00B75458">
      <w:pPr>
        <w:pStyle w:val="ab"/>
        <w:numPr>
          <w:ilvl w:val="0"/>
          <w:numId w:val="192"/>
        </w:numPr>
      </w:pPr>
      <w:r>
        <w:rPr>
          <w:rFonts w:cs="Arial" w:hint="cs"/>
          <w:rtl/>
        </w:rPr>
        <w:t xml:space="preserve">טור- </w:t>
      </w:r>
      <w:r w:rsidRPr="000A1431">
        <w:rPr>
          <w:rFonts w:cs="Arial"/>
          <w:rtl/>
        </w:rPr>
        <w:t>מחלה כתובתה לבעלה הפסידה מזונותיה ודוקא אחרי מותו הפסידה מזונותיה במחילתה אבל בחייו ניזונת אף על פי שמחלה</w:t>
      </w:r>
      <w:r>
        <w:rPr>
          <w:rFonts w:cs="Arial" w:hint="cs"/>
          <w:rtl/>
        </w:rPr>
        <w:t>.</w:t>
      </w:r>
      <w:r w:rsidRPr="000A1431">
        <w:rPr>
          <w:rFonts w:cs="Arial"/>
          <w:rtl/>
        </w:rPr>
        <w:t xml:space="preserve"> </w:t>
      </w:r>
    </w:p>
    <w:p w14:paraId="7108E059" w14:textId="77777777" w:rsidR="002E5BAD" w:rsidRDefault="002E5BAD" w:rsidP="002E5BAD">
      <w:pPr>
        <w:rPr>
          <w:rtl/>
        </w:rPr>
      </w:pPr>
      <w:r>
        <w:rPr>
          <w:rFonts w:cs="Arial"/>
          <w:rtl/>
        </w:rPr>
        <w:t>ט (א) ומ"ש מחלה כתובתה לבעלה הפסידה מזונותיה. בסוף פרק נערה שנתפתתה (נג.) יתיב רבין בר חיננא קמיה דרב חסדא וקאמר משמיה דרבי אלעזר מוחלת כתובתה לבעלה אין לה מזונות אמר ליה אי לאו דקאמרת לה משמיה דגברא רבה הוה אמינא לך משיב רעה תחת טובה לא תמוש רעה מביתו (משלי יז יג) ואף על פי שכתבו הר"ן (יט: ד"ה מוחלת) והרב המגיד (פי"ז הי"ט) שיש פוסקים כרב חסדא דמוחלת כתובתה יש לה מזונות הרמב"ם בפי"ח מהלכות אישות (הכ"ג) פסק כרבי אלעזר וכתב הרב המגיד (פי"ז שם) דטעמא משום דהא רב חסדא גופיה לא אמרה דוקא אלא באי לאו ובדרך דחיה ועוד דאפילו פליגי בהדיא דילמא הלכה כרבי אלעזר לגבי רב חסדא. וכן נראה שהוא דעת הרי"ף (יט:) והרא"ש (סי' כד) וגם הר"ן (שם) כתב שדברי הרמב"ם נראה עיקר:</w:t>
      </w:r>
    </w:p>
    <w:p w14:paraId="7C93BA21" w14:textId="77777777" w:rsidR="002E5BAD" w:rsidRDefault="002E5BAD" w:rsidP="002E5BAD">
      <w:pPr>
        <w:rPr>
          <w:rtl/>
        </w:rPr>
      </w:pPr>
      <w:r w:rsidRPr="00F22E6E">
        <w:rPr>
          <w:rFonts w:cs="Arial"/>
          <w:rtl/>
        </w:rPr>
        <w:t>ט (ב) כתב הר"ן בפרק אלמנה נזונת (נז. דיבור ראשון) אהא דתנן (צז:) נתנה כתובתה לאחר לא תמכור אלא בב"ד משמע דדוקא לאחר אבל מחלה ליורשים יש לה מזונות והכי איתא בירושלמי (פי"א ה"ב) אבל הרשב"א כתב דלפום גמרין לא משמע הכי ולא דמיא למוחלת כתובתה לבעלה דהתם סומכת היא עליו שלא ימנע מזונותיה ולא מחלה להו אבל מוחלת ליתומים כיון שאין לה עליהם כתובה הא איסתלקא מביתייהו לגמרי ואין לה עליהם מזונות ע"כ. ולפי מה שכתבתי (קלז: ד"ה ומ"ש מחלה) שהסכמת גדולי המורים לפסוק הלכה כרבי אלעזר דאמר מוחלת כתובתה לבעלה אין לה מזונות כ"ש דמוחלת ליתומים אין לה מזונות:</w:t>
      </w:r>
    </w:p>
    <w:p w14:paraId="4A58714F" w14:textId="77777777" w:rsidR="002E5BAD" w:rsidRPr="00F22E6E" w:rsidRDefault="002E5BAD" w:rsidP="002E5BAD">
      <w:pPr>
        <w:rPr>
          <w:rtl/>
        </w:rPr>
      </w:pPr>
      <w:r>
        <w:rPr>
          <w:rFonts w:cs="Arial"/>
          <w:rtl/>
        </w:rPr>
        <w:t>ומ"ש ודוקא אחרי מותו וכו'. כן כתב שם הרא"ש וכן פירש רש"י (נג.) אין לה מזונות באלמנותה דתנאי כתובה ככתובה עכ"ל וטעמא משום דבחייו לאו תנאי כתובה נינהו דהא תקנו מזונות תחת מעשה ידיה וכתב הרב המגיד (שם) שכן דעת הרמב"ן (נג. ד"ה מוכרת) והרשב"א (נג. ד"ה הא) ז"ל אבל הרמב"ם כתב בפרק י"ז מהלכות אישות (הי"ט) המוחלת כתובתה לבעלה איבדה כל תנאי כתובה ואפילו מזונות אין לה עליו:</w:t>
      </w:r>
    </w:p>
    <w:p w14:paraId="3DFFBE2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2E27C6" w14:textId="77777777" w:rsidR="002E5BAD" w:rsidRDefault="002E5BAD" w:rsidP="002E5BAD">
      <w:pPr>
        <w:rPr>
          <w:rtl/>
        </w:rPr>
      </w:pPr>
      <w:r>
        <w:rPr>
          <w:rFonts w:cs="Arial"/>
          <w:rtl/>
        </w:rPr>
        <w:t xml:space="preserve">מחלה כתובתה לבעלה, הפסידה מזונותיה שאחר מותו, אבל בחייו יש לה מזונות. ויש מי שאומר שאף בחייו הפסידה מזונות. ( וכן אם מחלה ליתומים אבדה מזונותיה) (הר"ן פרק נערה בשי"א וכ"כ הב"י). </w:t>
      </w:r>
    </w:p>
    <w:p w14:paraId="60B88F59" w14:textId="77777777" w:rsidR="002E5BAD" w:rsidRDefault="002E5BAD" w:rsidP="002E5BAD">
      <w:pPr>
        <w:rPr>
          <w:rtl/>
        </w:rPr>
      </w:pPr>
    </w:p>
    <w:p w14:paraId="236040EB" w14:textId="77777777" w:rsidR="002E5BAD" w:rsidRDefault="002E5BAD" w:rsidP="002E5BAD">
      <w:pPr>
        <w:pStyle w:val="2"/>
        <w:rPr>
          <w:rtl/>
        </w:rPr>
      </w:pPr>
      <w:r>
        <w:rPr>
          <w:rtl/>
        </w:rPr>
        <w:t>סעיף י</w:t>
      </w:r>
      <w:r>
        <w:rPr>
          <w:rFonts w:hint="cs"/>
          <w:rtl/>
        </w:rPr>
        <w:t>:</w:t>
      </w:r>
    </w:p>
    <w:p w14:paraId="3EA74D50" w14:textId="77777777" w:rsidR="002E5BAD" w:rsidRPr="00F22E6E" w:rsidRDefault="002E5BAD" w:rsidP="00B75458">
      <w:pPr>
        <w:pStyle w:val="ab"/>
        <w:numPr>
          <w:ilvl w:val="0"/>
          <w:numId w:val="192"/>
        </w:numPr>
      </w:pPr>
      <w:r>
        <w:rPr>
          <w:rFonts w:cs="Arial" w:hint="cs"/>
          <w:rtl/>
        </w:rPr>
        <w:t xml:space="preserve">טור- </w:t>
      </w:r>
      <w:r w:rsidRPr="000A1431">
        <w:rPr>
          <w:rFonts w:cs="Arial"/>
          <w:rtl/>
        </w:rPr>
        <w:t>ודוקא שמכרה או שמשכנה או שמחלה כל הכתובה אבל שיירה מקצתה ניזונת אפי' לא שיירה אלא תוספת ומכרה או מחלה כל העיקר ניזונת בשביל התוספת וכתב אדוני אבי הרא"ש ז"ל ומיהו אם ירצו היורשים יפרעו לה המותר של הכתובה ומסלקין אותה אפילו לאנשי גליל דאל"כ כל אשה תגבה כתובתה עד תשלום דינר ותתפרנס כל ימיה בשביל הדינר החסר ואם תבעה כתובתה בסתם לא אמרינן אין דעתה אלא העיקר אלא מסתמא הכל תבעה ואין לה מזונות</w:t>
      </w:r>
      <w:r>
        <w:rPr>
          <w:rFonts w:cs="Arial" w:hint="cs"/>
          <w:rtl/>
        </w:rPr>
        <w:t>.</w:t>
      </w:r>
      <w:r w:rsidRPr="000A1431">
        <w:rPr>
          <w:rFonts w:cs="Arial"/>
          <w:rtl/>
        </w:rPr>
        <w:t xml:space="preserve"> </w:t>
      </w:r>
    </w:p>
    <w:p w14:paraId="334DDD04" w14:textId="77777777" w:rsidR="002E5BAD" w:rsidRDefault="002E5BAD" w:rsidP="002E5BAD">
      <w:pPr>
        <w:rPr>
          <w:rtl/>
        </w:rPr>
      </w:pPr>
      <w:r>
        <w:rPr>
          <w:rFonts w:cs="Arial"/>
          <w:rtl/>
        </w:rPr>
        <w:t>י - יב ומ"ש ודוקא שמכרה או משכנה או מחלה כל הכתובה אבל שיירה מקצתה נזונת. פלוגתא דתנאי בפרק אלמנה נזונת (צז:) ואסיקנא התם (צח.) ההיא איתתא דתפסה כסא דכספא בכתובתה קא תבעה מזוני אתאי לקמיה דרבא א"ל ליתמי זילו הבו לה מזונות לית דחש להא דרבי שמעון דאמר לא אמרינן מקצת כסף ככל כסף:</w:t>
      </w:r>
    </w:p>
    <w:p w14:paraId="4D24ABF5" w14:textId="77777777" w:rsidR="002E5BAD" w:rsidRDefault="002E5BAD" w:rsidP="002E5BAD">
      <w:pPr>
        <w:rPr>
          <w:rtl/>
        </w:rPr>
      </w:pPr>
      <w:r>
        <w:rPr>
          <w:rFonts w:cs="Arial"/>
          <w:rtl/>
        </w:rPr>
        <w:t xml:space="preserve">ומ"ש אפילו לא שיירה אלא תוספת ומכרה או מחלה כל העיקר נזונת בשביל התוספת. בריש פרק אף על פי (נד:) אהא דתנן אם רצה להוסיף אפילו מאה מנה מוסיף דייק בגמרא רצה לכתוב לא קתני אלא רצה להוסיף מסייע לרבי איבו אמר רבי ינאי דאמר תנאי כתובה ככתובה דמי נפקא מינה לתובעת ולמוכרת ולמוחלת. ופירש רש"י תנאי כתובה. תוספת: לתובעת. שאמרו התובעת כתובתה בב"ד אין לה מזונות תובעת תוספת נמי אין לה מזונות: וכתבו התוספות (ד"ה ולתובעת) והרא"ש (סי' א) דל"נ דקיימא לן כרבנן בפרק אלמנה (צז:) דאמרי מכרה או משכנה יש לה מזונות הילכך נראה לפרש שאם תבעה מנה או ק"ק ושיירה תוספת כאילו לא תבעה אלא מקצת מנה או ק"ק ונזונת בשביל התוספת אי נמי אם תבעה כתובתה בסתם התוספת בכלל ואבדה מזונותיה עכ"ל הרא"ש ז"ל. וכן כתב בתשובות להרמב"ן (במיוחסות) סימן מ"ח. והרי"ף (כא:) כתב לתובעת לא שנא תובעת כתובתה בב"ד ולא שנא תובעת תוספת אין לה מזונות. וכתב הר"ן (ד"ה תובעת) איכא למידק דהא אסיקנא (צח.) דמקצת כסף ככל כסף כלומר שאפילו נפרעת ממקצת כתובתה יש לה מזונות בשביל אותו מקצת כסף שנשאר בכתובתה ואיפשר דתובעת שאני שכל כך היא מעיזה פניה בב"ד בתביעת מקצת כתביעת כולה ולפיכך הפסידה מזונותיה. והרמב"ן כתב שדעת הרי"ף היה </w:t>
      </w:r>
      <w:r>
        <w:rPr>
          <w:rFonts w:cs="Arial"/>
          <w:rtl/>
        </w:rPr>
        <w:lastRenderedPageBreak/>
        <w:t>לומר שכשם שמפסדת מזונות בתביעת עיקר אף על פי שלא גבאתו כך מי שנפרעה כתובתה ונזונת מחמת תוספת אם תבעתו בב"ד הפסידה מזונותיה כאילו גבאתו ואחרים פירשו בהפך שאם תבעה עיקר כתובתה עדיין יש לה מזונות בשביל התוספת ואין הלשון מתיישב לפי' זה אבל הנכון דה"ק ולתובעת שאם תבעה כתובתה סתם הרי כאילו תבעה בפי' עיקר ותוספת ושוב אין לה מזונות ע"כ. והרמב"ם בפרק י"ח (הכ"ח) כתב דין תוספת כתובה כדין העיקר לפיכך אלמנה שתבעה או מכרה או מחלה או משכנה תוספת כתובתה עם העיקר אין לה מזונות ואם תבעה מקצת והניחה מקצת הרי זו כמי שתבעה מקצת העיקר והניחה מקצתו וכל המוכרת או המוחלת סתם מכרה התוספת עם העיקר ששניהם כתובה שמם בכל מקום</w:t>
      </w:r>
      <w:r>
        <w:rPr>
          <w:rStyle w:val="a7"/>
          <w:rFonts w:cs="Arial"/>
          <w:rtl/>
        </w:rPr>
        <w:footnoteReference w:id="2279"/>
      </w:r>
      <w:r>
        <w:rPr>
          <w:rFonts w:cs="Arial"/>
          <w:rtl/>
        </w:rPr>
        <w:t xml:space="preserve"> עכ"ל. וכתב הרב המגיד שנראה שהוא ז"ל מפרש הא דאמרינן נפקא מינה לתובעת כמו שפירש הרמב"ן ז"ל דעת ההלכות ועיקר. ומ"ש וכל המוכר[ת] וכו' מבואר בגמרא שהתוספת כעיקר הוא למוכרת ולמוחלת: כתב ה"ר שלמה בן הר"ש בר צמח אם תבעה הנדוניא ואפילו נפרעה ממנה אינה מפסדת מזונות ותהא ניזונת משום מנה מאתים ותוספת משום דמזוני בתר עיקר כתובה גריר כ"כ המפרשים בשם הרשב"א וכן נראה פי"ח מהלכות אישות עכ"ל. ומשמע שאע"פ שנדונייתה מאה מנה ולא תבעתה כיון שתבעה עיקר ותוספת שוב אין לה מזונו' דנדוניא הרי היא כחוב דעלמא ואינה ענין למזונות וכן נראה מדברי הריטב"א (צז: סוף ד"ה גרסת) שאכתוב בראש סימן ק"ג</w:t>
      </w:r>
      <w:r>
        <w:rPr>
          <w:rStyle w:val="a7"/>
          <w:rFonts w:cs="Arial"/>
          <w:rtl/>
        </w:rPr>
        <w:footnoteReference w:id="2280"/>
      </w:r>
      <w:r>
        <w:rPr>
          <w:rFonts w:cs="Arial"/>
          <w:rtl/>
        </w:rPr>
        <w:t xml:space="preserve"> (קנה: ד"ה וכתב):</w:t>
      </w:r>
    </w:p>
    <w:p w14:paraId="12E5B71D" w14:textId="77777777" w:rsidR="002E5BAD" w:rsidRDefault="002E5BAD" w:rsidP="002E5BAD">
      <w:pPr>
        <w:rPr>
          <w:rtl/>
        </w:rPr>
      </w:pPr>
      <w:r>
        <w:rPr>
          <w:rFonts w:cs="Arial"/>
          <w:rtl/>
        </w:rPr>
        <w:t>ומ"ש וכתב אדוני אבי הרא"ש ז"ל ומיהו אם ירצו היורשים יפרעו לה המותר של הכתובה ומסלקין אותה אפילו לאנשי גליל וכו'. בפרק אלמנה נזונת (סי' יב) כתב כן וכן כתב בתשובות להרמב"ן (במיוחסות) סימן קי"ח:</w:t>
      </w:r>
    </w:p>
    <w:p w14:paraId="11AE9699" w14:textId="77777777" w:rsidR="002E5BAD" w:rsidRPr="00F22E6E" w:rsidRDefault="002E5BAD" w:rsidP="002E5BAD">
      <w:pPr>
        <w:rPr>
          <w:rtl/>
        </w:rPr>
      </w:pPr>
      <w:r>
        <w:rPr>
          <w:rFonts w:cs="Arial"/>
          <w:rtl/>
        </w:rPr>
        <w:t>ומ"ש ואם תבעה כתובתה בסתם לא אמרינן אין דעתה אלא העיקר וכו'. כבר נתבאר בסמוך: כתב הרשב"א בתשובה (ח"ו סי' ה) קרוב הדבר שכל שלא מחלה כל מה שכתוב בכתובתה לא מחלה מזונותיה ואין אומרים שהמזונות תלויים בעיקר הכתובה בלבד שהם מנה וק"ק וכל שמחלה מנה וק"ק אבדה מזונותיה שהרי אפילו לא מחלה מה שהוסיף לה יותר על מנה וק"ק לא אבדה מזונותיה ואף על פי שאין התוספת מעיקר תקנת חכמים אף אנו נאמר כן בנדוניא ואי נפשכם לומר דשאני תוספת דאמר רבי ינאי תוספת כתובה ככתובה י"ל דאף נדוניא בכלל דברי רבי ינאי וכן פירשו קצת מפרשים ועל כרחנו יש לנו להודות להם במקצת מה שאמר רבי ינאי דהא אמרינן נפקא מינה למוכרת ולמוחלת ועל כרחנו אם מחלה כתובתה סתם או מכרה סתם גם הנדוניא בכלל ואם כן י"ל דמאי דאמר רבין בר חיננא (ס"א: חנינא) מוחלת כתובתה לבעלה אבדה מזונותיה כל מה שכתוב בכתובתה קאמר והבו דלא לוסיף עלה דהא אמר רב חסדא אי לאו דאמרת לה משמיה דגברא רבה וכו' ועוד שכל שמחלה סתם מקצת מכתובתה אני אומר מהנדוניא מחלה שאם תאמר כדברי הטוען שכל שלא טרחה בו כגון מנה וק"ק או תוספת מוחלת תחלה אדרבה בא ונאמר דכל שלא תפסיד בה מזונות מחלה ולא מחלה מה שתפסיד בו מזונות וא"ת שאין האשה בקיאה אף אנו נאמר שאינה יודעת מה בין עיקר כתובה ותוספת לנדוניא. ועוד מה שטען הטוען שמן הסתם ידה על התחתונה שהיא קרויה בעל השטר מסתברא דבמקום הזה הבעל קרוי בעל השטר וידו על התחתונה לפי שהבעל לא פרע לה כלום והיא משלה היא מוחלת וכל מקבל מתנה או לוקח קרוי בעל השטר להיות ידו על התחתונה ואינו דומה למה שאמרו בפרק גט פשוט (ב"ב קעג.) שטר לך בידי (נ"א: לי בידך) פרוע הגדול פרוע והקטן אינו פרוע שאני התם שהלוה פרע וכיון שהמלוה מודה שפרע לו שטר אחד אם טען שלא פרע אלא הקטן עליו להביא ראיה אבל בנותן או מוחל שטר שיש לו על ראובן נ"ל דראובן מקבל מתנה הוא ועליו להביא ראיה מה נתן לו או מה מחל לו ותדע מדא"ל התם רבינא לרבא אלא מעתה שדי מכורה לך שדה גדולה מכורה לו וא"ל שאני התם דיד בעל השטר על התחתונה אלמא יש הפרש בין אומר שטר לך בידי פרוע לנותן שטרו וכן יש לומר שה"ה במוחל עכ"ל:</w:t>
      </w:r>
    </w:p>
    <w:p w14:paraId="71D434D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FCCE7C" w14:textId="77777777" w:rsidR="002E5BAD" w:rsidRDefault="002E5BAD" w:rsidP="002E5BAD">
      <w:pPr>
        <w:rPr>
          <w:rtl/>
        </w:rPr>
      </w:pPr>
      <w:r>
        <w:rPr>
          <w:rFonts w:cs="Arial"/>
          <w:rtl/>
        </w:rPr>
        <w:t xml:space="preserve">בד"א, כשמכרה או משכנה או מחלה כל הכתובה, עיקר ותוספת. אבל אם שיירה מקצת, נזונת, אפילו לא שיירה אלא התוספות או מקצתו. ומיהו אם ירצו היורשים, יפרעו לה מה ששיירה ויפטרו ממזונותיה. וכל המוכרת או מוחלת סתם, מכרה ומחלה התוספת עם העיקר. </w:t>
      </w:r>
    </w:p>
    <w:p w14:paraId="218A60E9" w14:textId="77777777" w:rsidR="002E5BAD" w:rsidRDefault="002E5BAD" w:rsidP="002E5BAD">
      <w:pPr>
        <w:rPr>
          <w:rtl/>
        </w:rPr>
      </w:pPr>
    </w:p>
    <w:p w14:paraId="54B499D8" w14:textId="77777777" w:rsidR="002E5BAD" w:rsidRDefault="002E5BAD" w:rsidP="002E5BAD">
      <w:pPr>
        <w:pStyle w:val="2"/>
        <w:rPr>
          <w:rtl/>
        </w:rPr>
      </w:pPr>
      <w:r>
        <w:rPr>
          <w:rtl/>
        </w:rPr>
        <w:lastRenderedPageBreak/>
        <w:t>סעיף יא</w:t>
      </w:r>
      <w:r>
        <w:rPr>
          <w:rFonts w:hint="cs"/>
          <w:rtl/>
        </w:rPr>
        <w:t>:</w:t>
      </w:r>
    </w:p>
    <w:p w14:paraId="2F7ECD16" w14:textId="77777777" w:rsidR="002E5BAD" w:rsidRPr="00F22E6E" w:rsidRDefault="002E5BAD" w:rsidP="002E5BAD">
      <w:pPr>
        <w:rPr>
          <w:rtl/>
        </w:rPr>
      </w:pPr>
    </w:p>
    <w:p w14:paraId="2E8E81C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14D53B" w14:textId="77777777" w:rsidR="002E5BAD" w:rsidRDefault="002E5BAD" w:rsidP="002E5BAD">
      <w:pPr>
        <w:rPr>
          <w:rFonts w:cs="Arial"/>
          <w:rtl/>
        </w:rPr>
      </w:pPr>
      <w:r>
        <w:rPr>
          <w:rFonts w:cs="Arial"/>
          <w:rtl/>
        </w:rPr>
        <w:t xml:space="preserve">תבעה נדונייתא ונפרעה ממנה, לא הפסידה מזונות, כיון ששיירה עיקר או תוספת או מקצת. </w:t>
      </w:r>
    </w:p>
    <w:p w14:paraId="36450589" w14:textId="77777777" w:rsidR="002E5BAD" w:rsidRDefault="002E5BAD" w:rsidP="002E5BAD">
      <w:pPr>
        <w:rPr>
          <w:rtl/>
        </w:rPr>
      </w:pPr>
    </w:p>
    <w:p w14:paraId="10F22F17" w14:textId="77777777" w:rsidR="002E5BAD" w:rsidRDefault="002E5BAD" w:rsidP="002E5BAD">
      <w:pPr>
        <w:pStyle w:val="2"/>
        <w:rPr>
          <w:rtl/>
        </w:rPr>
      </w:pPr>
      <w:r>
        <w:rPr>
          <w:rtl/>
        </w:rPr>
        <w:t>סעיף יב</w:t>
      </w:r>
    </w:p>
    <w:p w14:paraId="3605426C" w14:textId="77777777" w:rsidR="002E5BAD" w:rsidRPr="00F22E6E" w:rsidRDefault="002E5BAD" w:rsidP="002E5BAD">
      <w:pPr>
        <w:rPr>
          <w:rtl/>
        </w:rPr>
      </w:pPr>
    </w:p>
    <w:p w14:paraId="02D2048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035F1E" w14:textId="77777777" w:rsidR="002E5BAD" w:rsidRDefault="002E5BAD" w:rsidP="002E5BAD">
      <w:pPr>
        <w:rPr>
          <w:rtl/>
        </w:rPr>
      </w:pPr>
      <w:r>
        <w:rPr>
          <w:rFonts w:cs="Arial"/>
          <w:rtl/>
        </w:rPr>
        <w:t xml:space="preserve">תבעה עיקר ותוספת בלבד, אפילו נדונייתה מאה מנה, הפסידה מזונות. הגה: וכן אם תבעה כתובתה סתם, אבדה מזונותיה, ולא אמרינין דלא תבעה התוספת (טור). </w:t>
      </w:r>
    </w:p>
    <w:p w14:paraId="7264D9B7" w14:textId="77777777" w:rsidR="002E5BAD" w:rsidRDefault="002E5BAD" w:rsidP="002E5BAD">
      <w:pPr>
        <w:rPr>
          <w:rtl/>
        </w:rPr>
      </w:pPr>
    </w:p>
    <w:p w14:paraId="22012DD4" w14:textId="77777777" w:rsidR="002E5BAD" w:rsidRDefault="002E5BAD" w:rsidP="002E5BAD">
      <w:pPr>
        <w:pStyle w:val="2"/>
        <w:rPr>
          <w:rtl/>
        </w:rPr>
      </w:pPr>
      <w:r>
        <w:rPr>
          <w:rtl/>
        </w:rPr>
        <w:t>סעיף יג</w:t>
      </w:r>
      <w:r>
        <w:rPr>
          <w:rFonts w:hint="cs"/>
          <w:rtl/>
        </w:rPr>
        <w:t>:</w:t>
      </w:r>
    </w:p>
    <w:p w14:paraId="2247EAAB" w14:textId="77777777" w:rsidR="002E5BAD" w:rsidRPr="00DB1BB3" w:rsidRDefault="002E5BAD" w:rsidP="00B75458">
      <w:pPr>
        <w:pStyle w:val="ab"/>
        <w:numPr>
          <w:ilvl w:val="0"/>
          <w:numId w:val="192"/>
        </w:numPr>
      </w:pPr>
      <w:r>
        <w:rPr>
          <w:rFonts w:cs="Arial" w:hint="cs"/>
          <w:rtl/>
        </w:rPr>
        <w:t xml:space="preserve">טור- </w:t>
      </w:r>
      <w:r w:rsidRPr="000A1431">
        <w:rPr>
          <w:rFonts w:cs="Arial"/>
          <w:rtl/>
        </w:rPr>
        <w:t>כתב רב אלפס כשאין בנכסים שתתפרנס מן הריוח כגון בשכירות בתים ומפירות קרקעות אלא שצריכה למכור מהנכסים כדי לפרנסה אז אינה ניזונת אלא כדי כתובתה אלא אם יש בפירות ובשכירות הבתים כדי שתיזון ניזונת לעולם ולא נהירא לא"א הרא"ש ז"ל אלא לעולם ניזונת והולכת עד שישארו בנכסים כדי כתובתה ונוטלתן בכתובתה וכ"כ הרמב"ם</w:t>
      </w:r>
      <w:r>
        <w:rPr>
          <w:rFonts w:cs="Arial" w:hint="cs"/>
          <w:rtl/>
        </w:rPr>
        <w:t>.</w:t>
      </w:r>
      <w:r w:rsidRPr="000A1431">
        <w:rPr>
          <w:rFonts w:cs="Arial"/>
          <w:rtl/>
        </w:rPr>
        <w:t xml:space="preserve"> </w:t>
      </w:r>
    </w:p>
    <w:p w14:paraId="3C0274FE" w14:textId="77777777" w:rsidR="002E5BAD" w:rsidRDefault="002E5BAD" w:rsidP="002E5BAD">
      <w:pPr>
        <w:rPr>
          <w:rtl/>
        </w:rPr>
      </w:pPr>
      <w:r w:rsidRPr="00F22E6E">
        <w:rPr>
          <w:rFonts w:cs="Arial"/>
          <w:rtl/>
        </w:rPr>
        <w:t>יג (א) כתב הרי"ף כשאין בנכסים שתתפרנס מן הריוח וכו'. בפרק אלמנה נזונת אהא דגרסינן התם (צז.) בעו מיניה מרב ששת מוכרת למזונות מהו שתחזור ותטרוף לכתובה אמר ליה תניתוה מוכרת והולכת עד כדי כתובתה וסמך לה שתגבה כתובתה מן השאר שמע מינה שיירה אין לא שיירה לא כתב רב אלפס (נו.) מהא שמעינן דלית לה לזבוני אלא כדי כתובתה אבל יתר מכתובתה לא וקשיא לן הא דגרסינן בפרק שני דייני גזירות (קז:) האשה שהלכה היא ובעלה למדינת הים ובאה ואמרה מת בעלי רצתה נזונת רצתה גובה כתובתה אמרה גרשני בעלי מתפרנסת והולכת עד כדי כתובתה ואוקמה שמואל בששמעו בו שמת ואקשינן ומאי שנא עד כדי כתובתה ופרקינן איהי אפסדא אנפשה דאמרה גרשני בעלי ושמעינן מינה דאי לא אמרה גרשני בעלי נזונת והולכת עד לעולם ומסתברא לן פירוקא דהאי קושיא דהא דתניא מוכרת והולכת עד כדי כתובתה אבל יתר מכדי כתובתה לא בדלא איפשר לה לאיתזוני אלא ממקרקעי הילכך לית לה לזבוני אלא כדי כתובתה והך אחריתי דשמעת מינה דנזונת לעולם בדאיפשר לה לאתזוני מפירי דמקרקעי ומאגרא דבתי ומאי דדמי ליה עכ"ל. וכתב הרא"ש (פי"א סי' ז) על זה ודברים של תימה הן היאך דקדקו מכאן דאינה מוכרת למזונות אלא עד כדי כתובתה הא בהדיא מוכח בבריתא שהשאר הוא כדי כתובתה שתגבה מהם כדי כתובתה וקא משמע לן דמה שמכרה למזונו' אינה חוזרת וטורפת לכתובתה דאחריות דנפשא קבילת עלה אבל אם אינה חוששת על גביית כתובתה יכולה להיות נזונת לעולם עכ"ל. וגם הר"ן (נו. ד"ה אמר) כתב שאין דברי הרי"ף מחוורין דכי קתני מוכרת ואוכלת עד כדי כתובתה לאו למימרא שלא תהא רשאה למכור למזונות אלא כדי כתובתה ותו לא אלא עצה טובה קמ"ל שלא תמכור הכל אלא לצורך מזונות שאם תעשה כן איפשר דאתי מלוה בשטר ויטרוף הדמים מידי הלקוחות ואינה יכולה לחזור ולטרפן מחמת כתובתה דה"ל מטלטלי ולא משתעבדי לכתובה ומ"ה קאמר שתשייר במכירתה כדי כתובתה כדי שתוכל לגבותו מחמת כתובתה ולא יוכל להפסידה מלוה בשטר וכן פי' בתוספות (צז. ד"ה וסמך). והראב"ד ז"ל (בהשגות לרי"ף נו.) דעד כדי כתובתה עד שתשייר כדי כתובתה קאמר ואף במקצת נסחי הלכות מצא כתוב כך שחזר בו הרי"ף בסוף ימיו והגיה וכן כתב הרמב"ם ז"ל בפרק י"ח מהלכות אישות (הכ"א) עכ"ל. וגם הרב המגיד כתב שם שכדברי הרמב"ם עיקר וכן העלו האחרונים ז"ל. וגם המרדכי (סי' רנג) כתב על דברי הרי"ף רש"י (צז. ד"ה עד) לא פירש כן אלא נזונת לעולם יותר מכדי כתובתה וכן בירושלמי (פי"א סוף ה"ב) עכ"ל:</w:t>
      </w:r>
    </w:p>
    <w:p w14:paraId="454F0A11" w14:textId="77777777" w:rsidR="002E5BAD" w:rsidRPr="00F22E6E" w:rsidRDefault="002E5BAD" w:rsidP="002E5BAD">
      <w:pPr>
        <w:rPr>
          <w:rtl/>
        </w:rPr>
      </w:pPr>
      <w:r w:rsidRPr="00D1147A">
        <w:rPr>
          <w:rFonts w:cs="Arial"/>
          <w:rtl/>
        </w:rPr>
        <w:t>יג (ב) כתוב בתשובות להרמב"ן (במיוחסות) סימן ל"ג נחלקו הראשונים מקצתם אומרים שאינה יכולה למכור למזונות לעולם אלא כדתניא בפרק אלמנה (צז.) מוכרת ואוכלת עד כדי כתובה וכו' ואחרים אומרים שאפילו אין לה כתובה אלא מנה מוכרת למזונות אפילו מאתים והביאו ראיה לדבר וכן מסתבר עכ"ל.</w:t>
      </w:r>
    </w:p>
    <w:p w14:paraId="0442073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1AB48B" w14:textId="77777777" w:rsidR="002E5BAD" w:rsidRDefault="002E5BAD" w:rsidP="002E5BAD">
      <w:pPr>
        <w:rPr>
          <w:rtl/>
        </w:rPr>
      </w:pPr>
      <w:r>
        <w:rPr>
          <w:rFonts w:cs="Arial"/>
          <w:rtl/>
        </w:rPr>
        <w:lastRenderedPageBreak/>
        <w:t xml:space="preserve">יש מי שכתב שאם אין בפירות נכסי המת כדי מזונותיה, אין לה מזונות אלא עד כדי כתובתה; וחלקו עליו. דלעולם היא ניזונת והולכת עד שלא ישאר בנכסים אלא כדי כתובתה, ואז נוטלתן בכתובתה. </w:t>
      </w:r>
    </w:p>
    <w:p w14:paraId="3F8D3F38" w14:textId="77777777" w:rsidR="002E5BAD" w:rsidRDefault="002E5BAD" w:rsidP="002E5BAD">
      <w:pPr>
        <w:rPr>
          <w:rtl/>
        </w:rPr>
      </w:pPr>
    </w:p>
    <w:p w14:paraId="28BF1199" w14:textId="77777777" w:rsidR="002E5BAD" w:rsidRDefault="002E5BAD" w:rsidP="002E5BAD">
      <w:pPr>
        <w:pStyle w:val="2"/>
        <w:rPr>
          <w:rtl/>
        </w:rPr>
      </w:pPr>
      <w:r>
        <w:rPr>
          <w:rtl/>
        </w:rPr>
        <w:t>סעיף יד</w:t>
      </w:r>
      <w:r>
        <w:rPr>
          <w:rFonts w:hint="cs"/>
          <w:rtl/>
        </w:rPr>
        <w:t>:</w:t>
      </w:r>
    </w:p>
    <w:p w14:paraId="4512F4A5" w14:textId="77777777" w:rsidR="002E5BAD" w:rsidRPr="00DB1BB3" w:rsidRDefault="002E5BAD" w:rsidP="00B75458">
      <w:pPr>
        <w:pStyle w:val="ab"/>
        <w:numPr>
          <w:ilvl w:val="0"/>
          <w:numId w:val="192"/>
        </w:numPr>
      </w:pPr>
      <w:r>
        <w:rPr>
          <w:rFonts w:cs="Arial" w:hint="cs"/>
          <w:rtl/>
        </w:rPr>
        <w:t xml:space="preserve">טור- </w:t>
      </w:r>
      <w:r w:rsidRPr="000A1431">
        <w:rPr>
          <w:rFonts w:cs="Arial"/>
          <w:rtl/>
        </w:rPr>
        <w:t>אלמנה שהיא ענייה ופרוצה שאינה בושה לשאול מזונותיה ושתקה ב' שנים ולא תבעה מזונותיה ודאי מחלה מזונותיה בד"א במזונות שעברו אבל להבא לא ואפילו שעברו אם יש לה משכון מהיורשים או שלותה ממקום אחר לא הויא שתיקתה מחילה ואם היא עשירה אפי' פרוצה או ענייה צנועה לא הויא שתיקתה מחילה עד סוף ג' שנים שלימות והרמ"ה כתב דבענייה לחוד הויא מחילה בב' שנים וא"א הרא"ש ז"ל כתב כסברא הראשונה</w:t>
      </w:r>
      <w:r>
        <w:rPr>
          <w:rFonts w:cs="Arial" w:hint="cs"/>
          <w:rtl/>
        </w:rPr>
        <w:t>.</w:t>
      </w:r>
      <w:r w:rsidRPr="000A1431">
        <w:rPr>
          <w:rFonts w:cs="Arial"/>
          <w:rtl/>
        </w:rPr>
        <w:t xml:space="preserve"> </w:t>
      </w:r>
    </w:p>
    <w:p w14:paraId="03404486" w14:textId="77777777" w:rsidR="002E5BAD" w:rsidRDefault="002E5BAD" w:rsidP="002E5BAD">
      <w:pPr>
        <w:rPr>
          <w:rtl/>
        </w:rPr>
      </w:pPr>
      <w:r>
        <w:rPr>
          <w:rFonts w:cs="Arial"/>
          <w:rtl/>
        </w:rPr>
        <w:t>יד אלמנה שהיא עניה ופרוצה וכו'. בריש פרק אלמנה נזונת (צו.) אמר רבי יוחנן משמיה דרבי יוסי בן זמרא אלמנה ששהתה ב' וג' שנים ולא תבעה מזונות איבדה מזונות השתא ב' איבדה ג' מיבעיא לא קשיא כאן בעניה כאן בעשירה אי נמי כאן בפרוצה כאן בצנועה אמר רבא לא אמרן אלא למפרע אבל להבא יש לה. ופירש רש"י עשירה. היכולת בידה להמתין הילכך אי נמי לא תבעה לאו מחילה היא עד ג' שנים אבל עניה מדלא תבעתן מחלה: צנועה. בושה לבא בב"ד הילכך בשתי שנים לאו מחילה היא: אלא למפרע. אותן ב' שנים שעברו איבדה: וכתב הרא"ש (סי' ד) הילכך לא איבדה בשתי שנים עד שתהא עניה ופרוצה ע"כ נראה שטעמו משום דכיון דאיכא תרי לישני ה"ל ספיקא כל שאינה עניה ופרוצה וכיון דסתם אלמנה אית לה מזוני ונכסי בחזקתה קיימי כל זמן שלא נשאת כדאמרינן בפרק אלמנה נזונת (שם:) גבי בעיא דיתומים אמרו נתננו וכו' מספיקא לא אמרינן דמחלה אבל הרמב"ם כתב בפי"ח (הכ"ו) אלמנה עניה ששהתה ב' שנים ולא תבעה מזונות או עשירה ששהתה ג' שנים ולא תבעה ויתרה ואין לה מזונות בשנים שעברו אלא משעה שתבעה ואם שהתה פחות מזה אפילו ביום אחד לא ויתרה אלא תובעת ונוטלת מזון השנים שעברו עכ"ל. וכתב הרב המגיד שפסק כלשון ראשון. ודעת הרמ"ה שכתב רבינו בסמוך כדעת הרמב"ם ז"ל:</w:t>
      </w:r>
    </w:p>
    <w:p w14:paraId="53916F58" w14:textId="77777777" w:rsidR="002E5BAD" w:rsidRPr="00F22E6E" w:rsidRDefault="002E5BAD" w:rsidP="002E5BAD">
      <w:pPr>
        <w:rPr>
          <w:rtl/>
        </w:rPr>
      </w:pPr>
      <w:r>
        <w:rPr>
          <w:rFonts w:cs="Arial"/>
          <w:rtl/>
        </w:rPr>
        <w:t>ומ"ש ואפילו שעברו אם יש לה משכון מהיורשים או שלותה ממקום אחר לא הויא שתיקתה מחילה. ירושלמי (פי"א ה"ב) כתבוהו הרא"ש (שם) והר"ן (נה: ד"ה אלמנה) והרב המגיד (שם) ז"ל רבי אלעזר בשם רבי יוסי בן זמרא כשלא לותה ואין בידה משכון אבל אם לותה או שיש בידה משכון גובה אפילו למפרע. וכתבו הר"ן והרב המגיד היה בידה משכון כלומר שתפסה משכון תוך ג' שנים אבל אחר ג' מדין מחילה נגעו בה ואין תפיסתה כלום</w:t>
      </w:r>
      <w:r>
        <w:rPr>
          <w:rStyle w:val="a7"/>
          <w:rFonts w:cs="Arial"/>
          <w:rtl/>
        </w:rPr>
        <w:footnoteReference w:id="2281"/>
      </w:r>
      <w:r>
        <w:rPr>
          <w:rFonts w:cs="Arial"/>
          <w:rtl/>
        </w:rPr>
        <w:t>. וכתבו עוד הר"ן והרב המגיד בשם הרמב"ן (צו. ד"ה אלמנה) דדוקא אלמנה הוא דבעיא ב' וג' שנים אבל אשת איש אפילו שהתה יום אחד ולא תבעה הפסידה דבאלמנה דוקא אמרו משום דאיפשר דמיתזנא מדידה כגון ממציאתה אבל אשת איש שכל נכסיה לבעלה מדידיה קא מיתזנא ואפילו מכרה נכסי מלוג שלה בטובת הנאה ולא תבעה הפסידה לפי שדרכן של נשים לגלגל עם בעליהן ולסייען והני מילי לאפוקי מבעל אבל אם לא נתן לה מזונותיה ועשתה ואכלה אפילו הותירה אין לבעלה עליה כלום דכל היכא דאיהו לא יהב לה מזוני הרי משכון בידה תמשכננו ואינה צריכה להתנות עמו בב"ד ולומר איני נזונת ואיני עושה אלא כל שאין מעלה לה מזונות זכתה היא במעשה ידיה ואפילו דרך שתיקה וזו היא ששנינו (סד:) אם אינו נותן לה מעה כסף לצרכיה מעשה ידיה שלה ע"כ. וכתב הר"ן ע"ז ודינו ז"ל במכרה בנכסי מלוג צל"ע דכיון דמפלגינן בין עשירה לעניה ובין צנועה לפרוצה אדרבה א"ל דדוקא באלמנה הוא דהפסידה לפי שאם לא מחלה המזונות לא היתה בושה לתבוע היורשים אבל באשת איש שעושה נחת רוח לבעלה איכא למימר שלא הפסידה לעולם ומשום הכי נקט אלמנה עכ"ל. וז"ל הריטב"א (צו. ד"ה מעשה) אומר רבינו בשם רבו ז"ל דדוקא אלמנה לא הפסידה עד ב' וג' שנים אבל באשת איש כל זמן שלא תבעה מזונותיה אבדה אותן למפרע שדרך הנשים לגלגל עם בעליהן וכל שלא לותה או שהיה בידה משכון מחלה אותן וכן ראיתי למורי הרב ז"ל שדן אפילו לאשה שהלכה לבית אביה מפני מריבה שהיה לה עם בעלה כיון שלא מסרה מודעא בפני עדים שלא מחלה אותם עכ"ל. וכתב עוד (הריטב"א שם ד"ה אמר רבא) ומסתבר שדין רפואה כדין מזונות דהא חיוב רפואה מדין מזונות היא כדכתיבנא בפרק נערה (נב: ד"ה במתני' נשבית וד"ה א"נ) עכ"ל:</w:t>
      </w:r>
    </w:p>
    <w:p w14:paraId="0D69525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87EBFB" w14:textId="77777777" w:rsidR="002E5BAD" w:rsidRDefault="002E5BAD" w:rsidP="002E5BAD">
      <w:pPr>
        <w:rPr>
          <w:rtl/>
        </w:rPr>
      </w:pPr>
      <w:r>
        <w:rPr>
          <w:rFonts w:cs="Arial"/>
          <w:rtl/>
        </w:rPr>
        <w:t xml:space="preserve">אלמנה עניה ששהתה שתי שנים ולא תבעה מזונות, או עשירה ששהתה שלש שנים ולא תבעה, ויתרה ואין לה מזונות משנים שעברו. ואם שהתה פחות מזה אפילו יום אחד, לא ויתרה, ואם היה בידה משכון בתוך אותם שנים, או שלותה, לא ויתרה. </w:t>
      </w:r>
    </w:p>
    <w:p w14:paraId="2574CE02" w14:textId="77777777" w:rsidR="002E5BAD" w:rsidRDefault="002E5BAD" w:rsidP="002E5BAD">
      <w:pPr>
        <w:rPr>
          <w:rtl/>
        </w:rPr>
      </w:pPr>
    </w:p>
    <w:p w14:paraId="0D0FE3B1" w14:textId="77777777" w:rsidR="002E5BAD" w:rsidRDefault="002E5BAD" w:rsidP="002E5BAD">
      <w:pPr>
        <w:pStyle w:val="2"/>
        <w:rPr>
          <w:rtl/>
        </w:rPr>
      </w:pPr>
      <w:r>
        <w:rPr>
          <w:rtl/>
        </w:rPr>
        <w:lastRenderedPageBreak/>
        <w:t>סעיף טו</w:t>
      </w:r>
    </w:p>
    <w:p w14:paraId="359EC349" w14:textId="77777777" w:rsidR="002E5BAD" w:rsidRDefault="002E5BAD" w:rsidP="00B75458">
      <w:pPr>
        <w:pStyle w:val="ab"/>
        <w:numPr>
          <w:ilvl w:val="0"/>
          <w:numId w:val="192"/>
        </w:numPr>
      </w:pPr>
      <w:r>
        <w:rPr>
          <w:rFonts w:cs="Arial" w:hint="cs"/>
          <w:rtl/>
        </w:rPr>
        <w:t xml:space="preserve">טור- </w:t>
      </w:r>
      <w:r w:rsidRPr="000A1431">
        <w:rPr>
          <w:rFonts w:cs="Arial"/>
          <w:rtl/>
        </w:rPr>
        <w:t>ואם היורשים אומרין נתננו לה מזונות והיא אומרת לא נטלתי לא מיבעיא להבא שאין היורשים נאמנים אלא אפילו לשעבר אם לא שתקה ג' שנים אינם נאמנים וכתב הרמב"ם והיא נשבעת שבועת היסת ונוטלת בד"א כל זמן שלא ניסת אז אינם נאמנים אפילו פרעו לה כתובתה בב"ד אבל אם נישאת אז היורשים נאמנים גם בזה כתב הרמב"ם ונשבעין שבועת היסת ונפטרין</w:t>
      </w:r>
      <w:r>
        <w:rPr>
          <w:rFonts w:cs="Arial" w:hint="cs"/>
          <w:rtl/>
        </w:rPr>
        <w:t>.</w:t>
      </w:r>
      <w:r w:rsidRPr="000A1431">
        <w:rPr>
          <w:rFonts w:cs="Arial"/>
          <w:rtl/>
        </w:rPr>
        <w:t xml:space="preserve"> </w:t>
      </w:r>
    </w:p>
    <w:p w14:paraId="26B69406" w14:textId="77777777" w:rsidR="002E5BAD" w:rsidRDefault="002E5BAD" w:rsidP="002E5BAD">
      <w:pPr>
        <w:rPr>
          <w:rtl/>
        </w:rPr>
      </w:pPr>
      <w:r>
        <w:rPr>
          <w:rFonts w:cs="Arial"/>
          <w:rtl/>
        </w:rPr>
        <w:t>טו ואם היורשים אומרים נתננו לה מזונות והיא אומרת לא נטלתי וכו'. בפרק אלמנה נזונת (צו.) בעי רבי יוחנן יתומים אומרים נתננו והיא אומרת לא נטלתי על מי להביא ראיה ת"ש דתני לוי אלמנה כל זמן שלא נשאת על היתומים להביא ראיה ניסת עליה להביא ראיה וכתב הרא"ש (סי' ה) בעי רבי יוחנן יתומים אומרים נתננו לה מזונות עד היום הזה והיא אומרת לא נטלתי ולא שהתה עדיין ב' וג' שנים על מי להביא ראיה ודלא כפירוש רש"י שפירש נתננו לה דמי מזונות שנה הבאה דהא פשיטא דעל היתומים להביא ראיה וכדברי הרא"ש כתבו התוספות (ד"ה יתומים) וגם הר"ן (נה: ד"ה בעי) כתב על פירוש רש"י ולא נהירא דאי הכי פשיטא דלא מהימני [ד]דמי לחוב שהוא תוך הזמן שאין הלוה נאמן לומר פרעתי (ב"ב ה:) ועוד דאם איתא אין לך אלמנה שלא הפסידה מזונותיה אלא ודאי ע"כ ממזונות דלמפרע וכגון שהיא בתוך הג' והכי נמי משמע מדפשטינא לה מדתני לוי וההיא ודאי במזונות שעברו מיירי מדתני כל זמן שלא נשאת על היתומים להביא ראיה ע"כ וכן נראה מדברי הרמב"ם בפי"ח מהלכות אישות (הכ"ז):</w:t>
      </w:r>
    </w:p>
    <w:p w14:paraId="45596F1D" w14:textId="77777777" w:rsidR="002E5BAD" w:rsidRDefault="002E5BAD" w:rsidP="002E5BAD">
      <w:pPr>
        <w:rPr>
          <w:rtl/>
        </w:rPr>
      </w:pPr>
      <w:r>
        <w:rPr>
          <w:rFonts w:cs="Arial"/>
          <w:rtl/>
        </w:rPr>
        <w:t>ומ"ש רבינו בשם הרמב"ם שהיא נשבעת היסת ונוטלת וכן מ"ש בואם נשאת גם בזה כתב הרמב"ם נשבעין שבועת היסת ונפטרין. בפרק הנזכר כתב כן וכתב הרב המגיד נראה לי טעם לדבריו שהצריכה היסת מפני שכיון שהנכסים בחזקתה הרי היתומים כבאים להוציא וכמי שטוען לחבירו מנה לי בידך והלה כופר בכל בידוע שהנתבע נשבע היסת ונפטר אף כאן היא נשבעת ונשארים הנכסים בחזקתה ומוכרת מהם למזונות וכשנשאת הוא בהפך עכ"ל. וכן כתב הר"ן (נו. דיבור ראשון) וז"ל הרמב"ם כתב שתשבע היסת ותטול וכתב הרשב"א שאיפשר שזה מהסכמת הגאונים שהסכימו שכל שאינו טוען בגופו של דבר אף על פי שהוא תפוס בידו כגון משכון אינו נאמן עליו אלא בשבועה כעין שבועת הנוטלין וגם זו אינה מוחזקת בגופן של נכסים שיהא לה חלק בגופן אלא מחמת שעבוד ולפי' אינה נוטלת אלא בשבועה ואין זה נכון שאם כן הל"ל שתשבע שבועת המשנה כשאר הנשבעין ונוטלין בנקיטת חפץ ולא סגי לה בשבועת היסת אלא ודאי טעמו ז"ל דכיון דנכסי בחזקת אלמנה קיימי הרי היתומים כבאים להוציא והיא כופרת הכל ולפיכך נשבעת היסת עכ"ל. וז"ל הריטב"א (צו: ד"ה דין והלכתא) והלכתא כדתני לוי וכל זמן שלא נשאת על היתומים להביא ראיה ואם לא הביאו ראיה כתב הרמב"ם שנשבעת כעין של תורה דהא נשבע ונוטל הוא ומורי הר"מ בשם רבו ז"ל אומר דכיון שהנכסים בחזקת אלמנה עומדים הרי היא כאילו יש בידה משכון ונשבעת ונפטרת חשיבא ואין עליה אלא שבועת היסת וכן כתב בעל העיטור (אות כ כתובות לה ע"ב) אבל הרמב"ם לטעמיה אזיל שכתב שאפילו במי שיש בידו משכון חשיב נשבע ונוטל כמו שכתב בספרו וכן כתב הרי"ף ז"ל עכ"ל:</w:t>
      </w:r>
    </w:p>
    <w:p w14:paraId="13088993" w14:textId="77777777" w:rsidR="002E5BAD" w:rsidRPr="00F22E6E" w:rsidRDefault="002E5BAD" w:rsidP="002E5BAD">
      <w:pPr>
        <w:rPr>
          <w:rtl/>
        </w:rPr>
      </w:pPr>
      <w:r>
        <w:rPr>
          <w:rFonts w:cs="Arial"/>
          <w:rtl/>
        </w:rPr>
        <w:t>ומ"ש רבינו שכל זמן שלא נשאת אפילו פרעו לה כתובתה בבית דין אינם נאמנים:</w:t>
      </w:r>
    </w:p>
    <w:p w14:paraId="49927E4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044F21" w14:textId="77777777" w:rsidR="002E5BAD" w:rsidRDefault="002E5BAD" w:rsidP="002E5BAD">
      <w:pPr>
        <w:rPr>
          <w:rtl/>
        </w:rPr>
      </w:pPr>
      <w:r>
        <w:rPr>
          <w:rFonts w:cs="Arial"/>
          <w:rtl/>
        </w:rPr>
        <w:t xml:space="preserve">אלמנה שתבעה מזונות מהיורשים, והם אמרו שנתנו לה והיא אומרת שלא נטלה, כל זמן שלא נשאת על היתומים להביא ראיה או תשבע שבועת היסת ותטול; משנשאת, עליה להביא ראיה או ישבע היורש שבועת היסת שנתנם לה. </w:t>
      </w:r>
    </w:p>
    <w:p w14:paraId="045C61D6" w14:textId="77777777" w:rsidR="002E5BAD" w:rsidRDefault="002E5BAD" w:rsidP="002E5BAD">
      <w:pPr>
        <w:pStyle w:val="2"/>
        <w:rPr>
          <w:rtl/>
        </w:rPr>
      </w:pPr>
      <w:r>
        <w:rPr>
          <w:rtl/>
        </w:rPr>
        <w:t>סעיף טז</w:t>
      </w:r>
      <w:r>
        <w:rPr>
          <w:rFonts w:hint="cs"/>
          <w:rtl/>
        </w:rPr>
        <w:t>:</w:t>
      </w:r>
    </w:p>
    <w:p w14:paraId="6721EEBC" w14:textId="77777777" w:rsidR="002E5BAD" w:rsidRPr="00DB1BB3" w:rsidRDefault="002E5BAD" w:rsidP="002E5BAD">
      <w:pPr>
        <w:rPr>
          <w:rtl/>
        </w:rPr>
      </w:pPr>
    </w:p>
    <w:p w14:paraId="1BD091A5" w14:textId="77777777" w:rsidR="002E5BAD" w:rsidRPr="00DB1BB3" w:rsidRDefault="002E5BAD" w:rsidP="00B75458">
      <w:pPr>
        <w:pStyle w:val="ab"/>
        <w:numPr>
          <w:ilvl w:val="0"/>
          <w:numId w:val="192"/>
        </w:numPr>
      </w:pPr>
      <w:r>
        <w:rPr>
          <w:rFonts w:cs="Arial" w:hint="cs"/>
          <w:rtl/>
        </w:rPr>
        <w:t xml:space="preserve">טור- </w:t>
      </w:r>
      <w:r w:rsidRPr="000A1431">
        <w:rPr>
          <w:rFonts w:cs="Arial"/>
          <w:rtl/>
        </w:rPr>
        <w:t>מי שיחד לאלמנותו קרקע שתיזון ממנו אם אמר יהיה מקום זה למזונותי' ריב' לה מזונות ואם היה שכרה פחות ממזונותי' הראויין לה נוטלת מזונותי' משאר נכסיו ואם יש בו יותר מהראוי לה נוטלת הכל ואם אמר יהא מקום פלוני במזונותיה ושתקה אין לה אלא אותו המקום לבד שהרי קצץ לה מזונות</w:t>
      </w:r>
      <w:r>
        <w:rPr>
          <w:rFonts w:cs="Arial" w:hint="cs"/>
          <w:rtl/>
        </w:rPr>
        <w:t>.</w:t>
      </w:r>
      <w:r w:rsidRPr="000A1431">
        <w:rPr>
          <w:rFonts w:cs="Arial"/>
          <w:rtl/>
        </w:rPr>
        <w:t xml:space="preserve"> </w:t>
      </w:r>
    </w:p>
    <w:p w14:paraId="2B701746" w14:textId="77777777" w:rsidR="002E5BAD" w:rsidRDefault="002E5BAD" w:rsidP="002E5BAD">
      <w:pPr>
        <w:rPr>
          <w:rtl/>
        </w:rPr>
      </w:pPr>
      <w:r>
        <w:rPr>
          <w:rFonts w:cs="Arial"/>
          <w:rtl/>
        </w:rPr>
        <w:t xml:space="preserve">טז מי שייחד לאלמנתו קרקע שתיזון ממנו אם אמר יהיה מקום זה למזונותיה ריבה לה מזונות וכו' ואם אמר יהא מקום פלוני במזונותיה ושתקה אין לה אלא אותו המקום לבד וכו'. בסוף פרק נערה שנתפתתה (נד:) קריביה דרבי יוחנן הוה ליה איתת אבא דהות קא מפסדא מזוני אתו לקמיה דרבי יוחנן א"ל איזילו ואמרו לאבוכון דנייחד לה ארעא למזונא אתו לקמיה דריש לקיש אמר להו כל שכן שריבה לה מזונות ואסיקנא אמר רבי אבהו לדידי מיפרשא לי מיניה דרבי יוחנן אמר למזונות ריבה לה מזונות אמר במזונות קצץ לה מזונות. ופירש רש"י דנייחד לה. בצוואת שכיב מרע ובעדים אולי תקבל עליה אפילו בכתובתה תנן (פאה פ"ג מ"ז) הכותב נכסיו לבניו וכתב לאשתו קרקע כל שהו איבדה כתובתה רבי יוסי אומר אם קיבלה עליה אף על פי שלא כתב לה איבדה כתובתה: כל שכן שריבה לה מזונות. אם אמר קרקע זו </w:t>
      </w:r>
      <w:r>
        <w:rPr>
          <w:rFonts w:cs="Arial"/>
          <w:rtl/>
        </w:rPr>
        <w:lastRenderedPageBreak/>
        <w:t>למזונותיך אין זה אלא אם לא יתנו ליך מזונות מרווחים אלא מצומצמים טלי קרקע זה להעדפה: במזונות. בחוב מזונות שיש ליך עלי משמע שזו תהא פרעון לכך:</w:t>
      </w:r>
    </w:p>
    <w:p w14:paraId="063991FA" w14:textId="77777777" w:rsidR="002E5BAD" w:rsidRDefault="002E5BAD" w:rsidP="002E5BAD">
      <w:pPr>
        <w:rPr>
          <w:rtl/>
        </w:rPr>
      </w:pPr>
      <w:r>
        <w:rPr>
          <w:rFonts w:cs="Arial"/>
          <w:rtl/>
        </w:rPr>
        <w:t>ומ"ש רבינו אצל ריבה לה מזונות שאם היה שכרו פחות ממזונותיה הראויין לה נוטלת מזונותיה משאר נכסיו ואם יש בו יותר מהראוי נוטלת הכל. כן כתב הרמב"ם בפי"ח (הי"ח):</w:t>
      </w:r>
    </w:p>
    <w:p w14:paraId="69A1EA7A" w14:textId="77777777" w:rsidR="002E5BAD" w:rsidRPr="00554FA8" w:rsidRDefault="002E5BAD" w:rsidP="002E5BAD">
      <w:pPr>
        <w:rPr>
          <w:rtl/>
        </w:rPr>
      </w:pPr>
      <w:r>
        <w:rPr>
          <w:rFonts w:cs="Arial"/>
          <w:rtl/>
        </w:rPr>
        <w:t>ומ"ש אצל א"ל במזונות ושתקה. כך כתב הרמב"ם (שם) וכך מתבאר מדברי רש"י שכתבתי בסמוך דדוקא בהיתה שם ושתקה אבל אם לא היתה שם או שהיתה שם ומיחת אם אותו מקום שייחד לה אינו מספיק למזונותיה לאו כל הימינו של בעל לגרוע מזונותיה בעל כרחה ופשוט הוא:</w:t>
      </w:r>
    </w:p>
    <w:p w14:paraId="03AD2F2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F7978F" w14:textId="77777777" w:rsidR="002E5BAD" w:rsidRDefault="002E5BAD" w:rsidP="002E5BAD">
      <w:pPr>
        <w:rPr>
          <w:rtl/>
        </w:rPr>
      </w:pPr>
      <w:r>
        <w:rPr>
          <w:rFonts w:cs="Arial"/>
          <w:rtl/>
        </w:rPr>
        <w:t xml:space="preserve">מי שיחד קרקע לאשתו בשעת מיתה שתהיה ניזונית ממנו, אם אמר: יהא קרקע פלוני למזונותיה, הרי ריבה לה מזונות ואם היה שכרו פחות ממזונות הראוים לה נוטלת השאר משאר נכסים, ואם היה שכרו יותר מהראוי לה נוטלת הכל. אבל אם אמר לה: יהא קרקע פלוני במזונותיה, ושתקה, אין לה אלא פירות אותו קרקע בלבד. </w:t>
      </w:r>
    </w:p>
    <w:p w14:paraId="267E03FF" w14:textId="77777777" w:rsidR="002E5BAD" w:rsidRDefault="002E5BAD" w:rsidP="002E5BAD">
      <w:pPr>
        <w:rPr>
          <w:rtl/>
        </w:rPr>
      </w:pPr>
    </w:p>
    <w:p w14:paraId="4B6C0635" w14:textId="77777777" w:rsidR="002E5BAD" w:rsidRDefault="002E5BAD" w:rsidP="002E5BAD">
      <w:pPr>
        <w:pStyle w:val="2"/>
        <w:rPr>
          <w:rtl/>
        </w:rPr>
      </w:pPr>
      <w:r>
        <w:rPr>
          <w:rtl/>
        </w:rPr>
        <w:t>סעיף יז</w:t>
      </w:r>
      <w:r>
        <w:rPr>
          <w:rFonts w:hint="cs"/>
          <w:rtl/>
        </w:rPr>
        <w:t>:</w:t>
      </w:r>
    </w:p>
    <w:p w14:paraId="0A36FE6B" w14:textId="77777777" w:rsidR="002E5BAD" w:rsidRPr="00DB1BB3" w:rsidRDefault="002E5BAD" w:rsidP="00B75458">
      <w:pPr>
        <w:pStyle w:val="ab"/>
        <w:numPr>
          <w:ilvl w:val="0"/>
          <w:numId w:val="192"/>
        </w:numPr>
      </w:pPr>
      <w:r>
        <w:rPr>
          <w:rFonts w:cs="Arial" w:hint="cs"/>
          <w:rtl/>
        </w:rPr>
        <w:t xml:space="preserve">טור- </w:t>
      </w:r>
      <w:r w:rsidRPr="000A1431">
        <w:rPr>
          <w:rFonts w:cs="Arial"/>
          <w:rtl/>
        </w:rPr>
        <w:t>האשה שאומרת מת בעלי נאמנת וניזונת והולכת לעולם כדין כל אלמנה אבל אם באה ואומרת גירשני אינה ניזונת אלא עד כדי כתובתה שאינה נאמנת לומר גירשני כדי ליטול כתובה ואינה ניזונת משלו כיון שאומרת שגירשה אבל עד כדי כתובתה ניזונת ממ"נ אם לא גירשה חייב במזונותיה ואם גירשה תחשב לה בפירעון כתובתה</w:t>
      </w:r>
      <w:r>
        <w:rPr>
          <w:rFonts w:cs="Arial" w:hint="cs"/>
          <w:rtl/>
        </w:rPr>
        <w:t>.</w:t>
      </w:r>
      <w:r w:rsidRPr="000A1431">
        <w:rPr>
          <w:rFonts w:cs="Arial"/>
          <w:rtl/>
        </w:rPr>
        <w:t xml:space="preserve"> </w:t>
      </w:r>
    </w:p>
    <w:p w14:paraId="7ACAF635" w14:textId="77777777" w:rsidR="002E5BAD" w:rsidRPr="00DB1BB3" w:rsidRDefault="002E5BAD" w:rsidP="002E5BAD">
      <w:pPr>
        <w:rPr>
          <w:rtl/>
        </w:rPr>
      </w:pPr>
      <w:r w:rsidRPr="00DB1BB3">
        <w:rPr>
          <w:rFonts w:cs="Arial"/>
          <w:rtl/>
        </w:rPr>
        <w:t>יז האשה שאמרה מת בעלי נאמנת ונזונת והולכת לעולם וכו' אבל אם באה ואמרה גירשני אינה נזונת אלא עד כדי כתובתה וכו'. ברייתא בריש פרק בתרא דכתובות (קז:):</w:t>
      </w:r>
    </w:p>
    <w:p w14:paraId="575436F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CD1777" w14:textId="77777777" w:rsidR="002E5BAD" w:rsidRDefault="002E5BAD" w:rsidP="002E5BAD">
      <w:pPr>
        <w:rPr>
          <w:rtl/>
        </w:rPr>
      </w:pPr>
      <w:r>
        <w:rPr>
          <w:rFonts w:cs="Arial"/>
          <w:rtl/>
        </w:rPr>
        <w:t xml:space="preserve">אשה שהלכה היא ובעלה למדינת הים, ובאה ואמרה: מת בעלי, רצתה ניזונת, רצתה נוטלת כתובה. אבל אם אמרה: גרשני בעלי, אינה נאמנת, וניזונת מנכסיו עד כדי כתובתה. </w:t>
      </w:r>
    </w:p>
    <w:p w14:paraId="5B0A0E7D" w14:textId="77777777" w:rsidR="002E5BAD" w:rsidRDefault="002E5BAD" w:rsidP="002E5BAD">
      <w:pPr>
        <w:rPr>
          <w:rtl/>
        </w:rPr>
      </w:pPr>
    </w:p>
    <w:p w14:paraId="2BDABE95" w14:textId="77777777" w:rsidR="002E5BAD" w:rsidRDefault="002E5BAD" w:rsidP="002E5BAD">
      <w:pPr>
        <w:pStyle w:val="2"/>
        <w:rPr>
          <w:rtl/>
        </w:rPr>
      </w:pPr>
      <w:r>
        <w:rPr>
          <w:rtl/>
        </w:rPr>
        <w:t>סעיף יח</w:t>
      </w:r>
    </w:p>
    <w:p w14:paraId="01CE268F" w14:textId="77777777" w:rsidR="002E5BAD" w:rsidRPr="00C94137" w:rsidRDefault="002E5BAD" w:rsidP="00B75458">
      <w:pPr>
        <w:pStyle w:val="ab"/>
        <w:numPr>
          <w:ilvl w:val="0"/>
          <w:numId w:val="192"/>
        </w:numPr>
      </w:pPr>
      <w:r>
        <w:rPr>
          <w:rFonts w:cs="Arial" w:hint="cs"/>
          <w:rtl/>
        </w:rPr>
        <w:t xml:space="preserve">טור- </w:t>
      </w:r>
      <w:r w:rsidRPr="000A1431">
        <w:rPr>
          <w:rFonts w:cs="Arial"/>
          <w:rtl/>
        </w:rPr>
        <w:t>כתב הרמב"ם אלמנה שאין שטר כתובתה בידה אין פוסקין לה מזונות דשמא מחלה כתובתה או מכרה או משכנה ואפילו לא טען היורש אנו טוענין לו שתביא כתובתה או שתשבע שלא מחלה או משכנה ואף כשיש בידה כתובה כתב שצריכה שבועה שלא תפסה משל בעלה כלום ול"נ לא"א הרא"ש ז"ל אלא ניזונת מתנאי ב"ד אפי' בלא כתובה ואפי' בלא שבועה</w:t>
      </w:r>
      <w:r>
        <w:rPr>
          <w:rFonts w:cs="Arial" w:hint="cs"/>
          <w:rtl/>
        </w:rPr>
        <w:t>.</w:t>
      </w:r>
      <w:r w:rsidRPr="000A1431">
        <w:rPr>
          <w:rFonts w:cs="Arial"/>
          <w:rtl/>
        </w:rPr>
        <w:t xml:space="preserve"> </w:t>
      </w:r>
    </w:p>
    <w:p w14:paraId="5CA9F9EA" w14:textId="77777777" w:rsidR="002E5BAD" w:rsidRDefault="002E5BAD" w:rsidP="002E5BAD">
      <w:pPr>
        <w:rPr>
          <w:rtl/>
        </w:rPr>
      </w:pPr>
      <w:r>
        <w:rPr>
          <w:rFonts w:cs="Arial"/>
          <w:rtl/>
        </w:rPr>
        <w:t>יח - יט (ב) כתב הרמב"ם אלמנה שאין שטר כתובתה בידה אין פוסקין לה מזונות דשמא מחלה כתובתה וכו' ואפילו לא טען היורש וכו'. בפרק י"ח מהלכות אישות (הכ"ג) ונתבאר שם בדבריו שאם אין דרכם לכתוב כתובה יש לה מזונות:</w:t>
      </w:r>
    </w:p>
    <w:p w14:paraId="7FE5682A" w14:textId="77777777" w:rsidR="002E5BAD" w:rsidRDefault="002E5BAD" w:rsidP="002E5BAD">
      <w:pPr>
        <w:rPr>
          <w:rtl/>
        </w:rPr>
      </w:pPr>
      <w:r>
        <w:rPr>
          <w:rFonts w:cs="Arial"/>
          <w:rtl/>
        </w:rPr>
        <w:t>ומ"ש ואף כשיש בידה שטר כתובה כתב שצריכה שבועה שלא תפסה משל בעל כלום. בפרק הנזכר (הי"ט) כתב וז"ל אלמנה שבאה לבית דין לתבוע מזונות יש מי שהורה שפוסקין לה מזונות ואין משביעין אותה ואין ראוי לסמוך על הוראה זו מפני שנתחלף לו הדבר באשה שהלך בעלה למדינת הים ורבותי הורו שאין לה מזונות בבית דין עד שתשבע שהרי זו באה להפרע מנכסי יתומים וכל הבא ליפרע מנכסי יתומים לא יפרע אלא בשבועה ולזה דעתי נוטה וכן ראוי לדון עכ"ל:</w:t>
      </w:r>
    </w:p>
    <w:p w14:paraId="1EDA0227" w14:textId="77777777" w:rsidR="002E5BAD" w:rsidRPr="00DB1BB3" w:rsidRDefault="002E5BAD" w:rsidP="002E5BAD">
      <w:pPr>
        <w:rPr>
          <w:rtl/>
        </w:rPr>
      </w:pPr>
      <w:r>
        <w:rPr>
          <w:rFonts w:cs="Arial"/>
          <w:rtl/>
        </w:rPr>
        <w:t xml:space="preserve">ומ"ש ול"נ לאדוני אבי הרא"ש ז"ל אלא נזונת מתנאי בית דין אפילו בלא כתובה ואפילו בלא שבועה. בפרק שני דייני גזילות (סי' ו) כתב כן והביא ראיה לדבריו ותמה על דברי הרמב"ם ז"ל וגם הרשב"א בתשובה כתב על מה שהצריך הרמב"ם שבועה לאלמנה למזונות אין רבותי נ"נ מודים לו בזה שאין האלמנה נשבעת למזונות לפי שאינה [נשבעת] בתחלה אלא לבסוף כשתבא לגבות כתובתה וכדמשמע בפרק שני דייני גזירות (קז.) בפלוגתא דרב ושמואל אם </w:t>
      </w:r>
      <w:r>
        <w:rPr>
          <w:rFonts w:cs="Arial"/>
          <w:rtl/>
        </w:rPr>
        <w:lastRenderedPageBreak/>
        <w:t>פוסקים מזונות לאשת איש וזו אחת מההשגות שהשיג עליו הראב"ד גם מורי הרמב"ן (גיטין לה. ד"ה אמר לה) הביא ראיה מדגרסינן בפרק השולח (גיטין לה.) ההיא איתתא דאתאי לקמיה דרבא בר רב הונא א"ל מאי אעביד לך וכו' עכ"ל. וכן כתב בתשובות להרמב"ן (במיוחסות) סימן מ"ח. וכתב הרשב"א עוד בתשובה אחרת אלמנה נזונת אף על פי שלא נשבעה ואף על פי שלא הוציאה כתובתה והביא ראיה לדבר בכמה דוכתי בגמרא אמרינן דמטלטלי לא משתעבדי לכתובה לרבנן דפליגי על רבי מאיר למזונות דתנאי כתובה הם לא עדיפי מכתובה עצמה וכך היא מסקנא דגמרא כמו שאכתוב בסמוך. וכן כתב הר"ן ז"ל בפרק שני דייני גזילות (סג. דיבור ראשון) אהא דאמר חנן (קד:) באשה שהלך בעלה למדינת הים תשבע בסוף ולא תשבע בתחלה הילכך כשבית דין פוסקין מזונות לאשת איש אינה צריכה שבועה ומשמע שאף באלמנה הדין כן שתשבע בסוף ולא תשבע בתחלה ואחרים אמרו דדוקא באשת איש אבל אלמנה תשבע בתחלה ובסוף והרמב"ן הכריע דדין אלמנה כדין אשת איש מדאמרינן בפרק השולח וכו' ולי מיהא לא איריא וכו' ומיהו משמעתין משמע הכי דלא שנא אלמנה ולא שנא אשת איש פוסקין בלא שבועה עכ"ל. ולענין הלכה נקיטינן ככל הני רבוותא דה"ל הרמב"ם יחידאה לגבייהו</w:t>
      </w:r>
      <w:r>
        <w:rPr>
          <w:rStyle w:val="a7"/>
          <w:rFonts w:cs="Arial"/>
          <w:rtl/>
        </w:rPr>
        <w:footnoteReference w:id="2282"/>
      </w:r>
      <w:r>
        <w:rPr>
          <w:rFonts w:cs="Arial"/>
          <w:rtl/>
        </w:rPr>
        <w:t>:</w:t>
      </w:r>
    </w:p>
    <w:p w14:paraId="2C91656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EC65C7" w14:textId="77777777" w:rsidR="002E5BAD" w:rsidRDefault="002E5BAD" w:rsidP="002E5BAD">
      <w:pPr>
        <w:rPr>
          <w:rtl/>
        </w:rPr>
      </w:pPr>
      <w:r>
        <w:rPr>
          <w:rFonts w:cs="Arial"/>
          <w:rtl/>
        </w:rPr>
        <w:t xml:space="preserve">אלמנה שאין שטר כתובה יוצא מתחת ידה, אין לה מזונות, שמא מחלה כתובתה או מכרה או משכנה אותו; ויש חולקין. </w:t>
      </w:r>
    </w:p>
    <w:p w14:paraId="68096E10" w14:textId="77777777" w:rsidR="002E5BAD" w:rsidRDefault="002E5BAD" w:rsidP="002E5BAD">
      <w:pPr>
        <w:rPr>
          <w:rtl/>
        </w:rPr>
      </w:pPr>
    </w:p>
    <w:p w14:paraId="4CD055CC" w14:textId="77777777" w:rsidR="002E5BAD" w:rsidRDefault="002E5BAD" w:rsidP="002E5BAD">
      <w:pPr>
        <w:pStyle w:val="2"/>
        <w:rPr>
          <w:rtl/>
        </w:rPr>
      </w:pPr>
      <w:r>
        <w:rPr>
          <w:rtl/>
        </w:rPr>
        <w:t>סעיף יט</w:t>
      </w:r>
      <w:r>
        <w:rPr>
          <w:rFonts w:hint="cs"/>
          <w:rtl/>
        </w:rPr>
        <w:t>:</w:t>
      </w:r>
    </w:p>
    <w:p w14:paraId="6F7841DB" w14:textId="77777777" w:rsidR="002E5BAD" w:rsidRPr="00C94C46" w:rsidRDefault="002E5BAD" w:rsidP="002E5BAD">
      <w:pPr>
        <w:rPr>
          <w:rtl/>
        </w:rPr>
      </w:pPr>
      <w:r w:rsidRPr="00C94C46">
        <w:rPr>
          <w:rFonts w:cs="Arial"/>
          <w:rtl/>
        </w:rPr>
        <w:t>יט (א) כתב הריטב"א בר"פ שני דייני (כתובות קד: ד"ה מי) והלכה כחנן ודעת הרמב"ם (פי"ח מאישות הי"ט) דדוקא מי שהלך בעלה למדינת הים אבל אלמנה אין נותנין לה מזונות אלא בשבועה דטפי מתפיס איניש צררי לאחר מיתה כדי שלא תתבזה אצל היתומים ואינו מחוור דהא שמואל דאמר (כתובות קז.) אין פוסקין מזונות לאשת איש בשמעו בו שמת מודה דפוסקין ועוד דבפרק השולח (גיטין לה.) בההיא איתתא דחשידא אשבועה ותבעה כתובתה וכו' אמר לה מזוני נמי לית לך דאמר שמואל התובעת כתובתה בבית דין אין לה מזונות ואם איתא למה לי מדשמואל תיפוק ליה דבעיא שבועה והיא חשודה אלא ודאי דאלמנה נותנין לה מזונות בלא שבועה עכ"ל:</w:t>
      </w:r>
    </w:p>
    <w:p w14:paraId="73836B1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B02700" w14:textId="77777777" w:rsidR="002E5BAD" w:rsidRDefault="002E5BAD" w:rsidP="002E5BAD">
      <w:pPr>
        <w:rPr>
          <w:rtl/>
        </w:rPr>
      </w:pPr>
      <w:r>
        <w:rPr>
          <w:rFonts w:cs="Arial"/>
          <w:rtl/>
        </w:rPr>
        <w:t xml:space="preserve">אלמנה ניזונת אף על פי שלא נשבעה, ויש חולקים. (והסברא ראשונה עיקר). </w:t>
      </w:r>
    </w:p>
    <w:p w14:paraId="67D4F627" w14:textId="77777777" w:rsidR="002E5BAD" w:rsidRDefault="002E5BAD" w:rsidP="002E5BAD">
      <w:pPr>
        <w:rPr>
          <w:rtl/>
        </w:rPr>
      </w:pPr>
    </w:p>
    <w:p w14:paraId="6FF4171F" w14:textId="77777777" w:rsidR="002E5BAD" w:rsidRDefault="002E5BAD" w:rsidP="002E5BAD">
      <w:pPr>
        <w:pStyle w:val="2"/>
        <w:rPr>
          <w:rtl/>
        </w:rPr>
      </w:pPr>
      <w:r>
        <w:rPr>
          <w:rtl/>
        </w:rPr>
        <w:t>סעיף כ</w:t>
      </w:r>
    </w:p>
    <w:p w14:paraId="0228021E" w14:textId="77777777" w:rsidR="002E5BAD" w:rsidRPr="00D1147A" w:rsidRDefault="002E5BAD" w:rsidP="00B75458">
      <w:pPr>
        <w:pStyle w:val="ab"/>
        <w:numPr>
          <w:ilvl w:val="0"/>
          <w:numId w:val="192"/>
        </w:numPr>
      </w:pPr>
      <w:r>
        <w:rPr>
          <w:rFonts w:cs="Arial" w:hint="cs"/>
          <w:rtl/>
        </w:rPr>
        <w:t xml:space="preserve">טור- </w:t>
      </w:r>
      <w:r w:rsidRPr="000A1431">
        <w:rPr>
          <w:rFonts w:cs="Arial"/>
          <w:rtl/>
        </w:rPr>
        <w:t>מדינא דגמרא אין אלמנה ניזונת אלא מקרקעי בני חורין לא מיבעיא אם מכר או נתן הבעל בחייו שאין מוציאין למזון האשה והבנות מנכסים משועבדים אלא אפי' מכרו או שמשכנו או נתנו היורשים לאחר מיתת אביהם אין מוציאין למזון האשה והבנות ודוקא שנתן האב מתנת בריא אבל אם נתן מתנת שכיב מרע ניזונת ממנו ולא ממטלטלי אפי' בני חרי ומיהו אם תפשה מטלטלין אפי' אחר מיתה לא מפקינן מינה אבל לפי תקנת הגאונים שכתובה נגבת ממטלטלים היא הדין נמי מזונות ואפי' לא תפשה ניזונת ממטלטלין כתב הרמב"ם לפיכך אם הניח נשים רבות אפי' נשאן זו אחר זו כולן ניזונות בשוה שאין דין קדימה במטלטלים והראב"ד כתב דאפי' אם ניזונות ממקרקעין אין בהן דין קדימה לפי שאין חיוב המזונות אלא לאחר מותו וכבר הגיע שעת החיוב לכולן בבת אחת והוה ליה כלוה וחזר ולוה ואחר כך קנה שכולן שוין בו והכי איתא בירושלמי כתב הרמב"ם אם הניח בעלה מטלטלים ולא תפשה אותן היורשים נוטלין אותם והם מעלים לה מזונות ואינה יכולה לעכב ולומר יהיו המטלטלין מונחים בבית דין שאזון מהן שמא יאבדו ולא יהיה לי מזונות ואפילו התנתה עליו בפירוש שתיזון מן המטלטלין אינה מעכבת אבל אם הניח קרקע יכולה לעכב עליהם שלא ימכרוה ואם מכרו אינה מוציאה מיד הלקוחות שאין האשה והבנות ניזונות אלא מנכסים בני חורין ע"כ ולענין דמי הקרקע שמכרו שבידה לרב האי שכתב קדמו הבנים ומכרו בנכסים מועטים שהבנות ניזונות מדמים שבידם הכא נמי ניזונת מהדמים ולדעת אדוני אבי הרא"ש ז"ל אינה ניזונת מהם</w:t>
      </w:r>
      <w:r>
        <w:rPr>
          <w:rStyle w:val="a7"/>
          <w:rFonts w:cs="Arial"/>
          <w:rtl/>
        </w:rPr>
        <w:footnoteReference w:id="2283"/>
      </w:r>
      <w:r w:rsidRPr="000A1431">
        <w:rPr>
          <w:rFonts w:cs="Arial"/>
          <w:rtl/>
        </w:rPr>
        <w:t xml:space="preserve"> תפשה הרבה מטלטלים בשביל מזונותיה אין מוציאין מידה וקאמר בירושלמי מהו למימר לה חוי מה שבידך תלמידי ר' יונה אמרי אמרינן לה חוי מה שבידך </w:t>
      </w:r>
      <w:r w:rsidRPr="000A1431">
        <w:rPr>
          <w:rFonts w:cs="Arial"/>
          <w:rtl/>
        </w:rPr>
        <w:lastRenderedPageBreak/>
        <w:t>א"ל רבי יוסי בר בון כיון שיש לה לישבע לבסוף אפי' חוי מה שבידך לא אמרינן לה וכתב ריב"א דוקא שהדבר ידוע שתפסה פחות מכדי כתובתה אבל אם היורשים אומרים שתפשה יותר מכדי כתובתה צריכה לישבע מה שתפשה ואפילו תפשה פחות מכדי כתובתה אם באת אח"כ ואמר אכלתי הכל צריכ' לישבע ורבינו שמשון כתב אפי' תפסה יותר מכדי כתובתה אין צריכה לישבע וכן יראה מדברי הרמב"ם שכתב אלמנה שתפשה מטלטלי כדי שתזון בהן בין שתפשה מחיים ובין שתפשה אחר מיתה אפילו שתפשה ככר זהב אין מוציאין מידה אלא שכותבים לה ב"ד שתפשה ופוסקין לה מזונות ומחשבינן עמה והיא ניזונת ממה שבידה עד שלא יהיו לה מזונות יותר או עד שתמות ויקחו היורשים השאר ע"כ וכן כתב רבינו מאיר מרוטנבורק אפי' תפשה הרבה יותר מכתובתה אין מוציאין מידה ואין משביעין אותה אבל אם אחר כך שואלת מזונות יותר אפי' אם לא תפשה יותר מכתובתה אלא שתפשה יותר ממה שראוי להגבות בב"ד בפעם אחת דהיינו מזון ל' יום לא יהבינן לה עד שתשבע שמשביעין אותה שלא נשאר בידה ממה שתפשה ולא נתנה ולא בזבזה ממנו כלום וא"א הרא"ש ז"ל כתב מתוך דברי הרמב"ם יראה שפוסק כתלמידי רבינו יונה שאומר לה חוי מה שבידך וכן מסתבר ע"כ אבל לעולם</w:t>
      </w:r>
      <w:r>
        <w:rPr>
          <w:rStyle w:val="a7"/>
          <w:rFonts w:cs="Arial"/>
          <w:rtl/>
        </w:rPr>
        <w:footnoteReference w:id="2284"/>
      </w:r>
      <w:r w:rsidRPr="000A1431">
        <w:rPr>
          <w:rFonts w:cs="Arial"/>
          <w:rtl/>
        </w:rPr>
        <w:t xml:space="preserve"> אין משביעין אותה עתה עד שתתבע יותר</w:t>
      </w:r>
      <w:r>
        <w:rPr>
          <w:rFonts w:cs="Arial" w:hint="cs"/>
          <w:rtl/>
        </w:rPr>
        <w:t>.</w:t>
      </w:r>
      <w:r w:rsidRPr="000A1431">
        <w:rPr>
          <w:rFonts w:cs="Arial"/>
          <w:rtl/>
        </w:rPr>
        <w:t xml:space="preserve"> </w:t>
      </w:r>
    </w:p>
    <w:p w14:paraId="53E5E422" w14:textId="77777777" w:rsidR="002E5BAD" w:rsidRDefault="002E5BAD" w:rsidP="002E5BAD">
      <w:pPr>
        <w:rPr>
          <w:rtl/>
        </w:rPr>
      </w:pPr>
      <w:r>
        <w:rPr>
          <w:rFonts w:cs="Arial"/>
          <w:rtl/>
        </w:rPr>
        <w:t>כ, כא (א), כב - כד מדינא דגמרא אין אלמנה נזונת אלא מקרקעי בני חורין. משנה בפרק הניזקין (גיטין מח:) אין מוציאין לאכילת פירות ולשבח קרקעות ולמזון האשה והבנות מנכסים משועבדים מפני תיקון העולם:</w:t>
      </w:r>
    </w:p>
    <w:p w14:paraId="356DBEC7" w14:textId="77777777" w:rsidR="002E5BAD" w:rsidRDefault="002E5BAD" w:rsidP="002E5BAD">
      <w:pPr>
        <w:rPr>
          <w:rtl/>
        </w:rPr>
      </w:pPr>
      <w:r>
        <w:rPr>
          <w:rFonts w:cs="Arial"/>
          <w:rtl/>
        </w:rPr>
        <w:t>ומ"ש לא מיבעיא אם מכר או נתן הבעל בחייו וכו' אלא אפילו מכרו או משכנו או נתנו היורשים לאחר מיתת אביהם אין מוציאין למזון האשה והבנות. בסוף פרק מציאת האשה (כתובות סט.) גבי הא דתלא ליה רב לרבי ביני חיטי האחין ששעבדו מהו אמרינן דבין לר' בין לרבי יוחנן האחים שמכרו או משכנו אין מוציאין למזונות ומשמע דבין למזון האשה בין למזון הבנות קאמ' וכן כתב הר"ן ז"ל (ל: ד"ה תלא):</w:t>
      </w:r>
    </w:p>
    <w:p w14:paraId="4E3C9B47" w14:textId="77777777" w:rsidR="002E5BAD" w:rsidRDefault="002E5BAD" w:rsidP="002E5BAD">
      <w:pPr>
        <w:rPr>
          <w:rtl/>
        </w:rPr>
      </w:pPr>
      <w:r>
        <w:rPr>
          <w:rFonts w:cs="Arial"/>
          <w:rtl/>
        </w:rPr>
        <w:t>ומ"ש ודוקא שנתן האב מתנת בריא אבל אם נתן מתנת שכיב מרע נזונת ממנו. כן כתב הרי"ף בפרק יש נוחלין (ב"ב ס:) גבי הא דאמרינן (שם קלג.) השתא מיגרע גרע בירושה דאורייתא אלמנתו נזונת מנכסיו במתנה דרבנן לא כל שכן וכן פסק הרמב"ם בפרק י"ט מהלכות אישות (הי"ג) וכן כתב הרא"ש בפסקיו בקידושין סוף פרק האומר (סי' יד) מהכרח דקדוק סוגיית התלמוד</w:t>
      </w:r>
      <w:r>
        <w:rPr>
          <w:rStyle w:val="a7"/>
          <w:rFonts w:cs="Arial"/>
          <w:rtl/>
        </w:rPr>
        <w:footnoteReference w:id="2285"/>
      </w:r>
      <w:r>
        <w:rPr>
          <w:rFonts w:cs="Arial"/>
          <w:rtl/>
        </w:rPr>
        <w:t xml:space="preserve"> ועיין במרדכי פרק יש נוחלין (סי' תקפט) ופרק נערה שנתפתתה (סי' קס, קסא) ובתוספות ובטור חושן משפט סימן רנ"ב (ס"א) אכתוב דין מתנת בריא שהיא מהיום ולאחר מיתה אם מוציאין ממנה למזון האשה והבנות ולכתובה:</w:t>
      </w:r>
    </w:p>
    <w:p w14:paraId="061DDB79" w14:textId="77777777" w:rsidR="002E5BAD" w:rsidRDefault="002E5BAD" w:rsidP="002E5BAD">
      <w:pPr>
        <w:rPr>
          <w:rtl/>
        </w:rPr>
      </w:pPr>
      <w:r>
        <w:rPr>
          <w:rFonts w:cs="Arial"/>
          <w:rtl/>
        </w:rPr>
        <w:t>ומ"ש ולא ממטלטלי אפילו בני חרי. הכי מסיק בסוף פרק מציאת האשה (סט:) אמר רבא הלכתא ממקרקעי ולא ממטלטלי בין למזוני בין לכתובה בין לפרנסה:</w:t>
      </w:r>
    </w:p>
    <w:p w14:paraId="42795AEB" w14:textId="77777777" w:rsidR="002E5BAD" w:rsidRDefault="002E5BAD" w:rsidP="002E5BAD">
      <w:pPr>
        <w:rPr>
          <w:rtl/>
        </w:rPr>
      </w:pPr>
      <w:r>
        <w:rPr>
          <w:rFonts w:cs="Arial"/>
          <w:rtl/>
        </w:rPr>
        <w:t>ומ"ש ומיהו אם תפסה מטלטלין אפילו אחר מיתה לא מפקינן מינה. כך כתב הרי"ף בר"פ אלמנה נזונת (נה:) וכן כתב הרמב"ם בפרק י"ח (ה"י). כתוב בתשובות להרמב"ן (במיוחסות) סימן נ' דה"ה אם תפסה שטר חוב אין מוציאין מידה</w:t>
      </w:r>
      <w:r>
        <w:rPr>
          <w:rStyle w:val="a7"/>
          <w:rFonts w:cs="Arial"/>
          <w:rtl/>
        </w:rPr>
        <w:footnoteReference w:id="2286"/>
      </w:r>
      <w:r>
        <w:rPr>
          <w:rFonts w:cs="Arial"/>
          <w:rtl/>
        </w:rPr>
        <w:t xml:space="preserve"> ובסמוך אכתוב דברי תשובת הריב"ש ועיין בהגהות מיימוניות) פ"א מהלכות זכייה (אות ה) והרמב"ם פרק י"א מהלכות מלוה (ה"ח):</w:t>
      </w:r>
    </w:p>
    <w:p w14:paraId="44A1B86C" w14:textId="77777777" w:rsidR="002E5BAD" w:rsidRDefault="002E5BAD" w:rsidP="002E5BAD">
      <w:pPr>
        <w:rPr>
          <w:rtl/>
        </w:rPr>
      </w:pPr>
      <w:r>
        <w:rPr>
          <w:rFonts w:cs="Arial"/>
          <w:rtl/>
        </w:rPr>
        <w:t xml:space="preserve">ומ"ש ולדעת הגאון שכתובה נגבית ממטלטלי ה"ה נמי מזונות ואפילו לא תפסה נזונת ממטלטלי. כן כתב הרי"ף שם וז"ל והאידנא תקינו רבנן כתובה אפילו ממטלטלי וכיון דמזוני תנאי כתובה ותנאי כתובה ככתובה דמי נזונת נמי ממטלטלי בין תפסה בין לא תפסה וכן כתב הרא"ש שם (סי' ג) וכן כתב הרמב"ם בפי"ח מהלכות אישות (הי"א) וז"ל הר"ן בפרק הנזכר (נה: סוף דיבור ראשון) משמו של רש"י אמרו דאלמנה שתפסה מטלטלין דאמרינן דוקא דתפסה לה </w:t>
      </w:r>
      <w:r>
        <w:rPr>
          <w:rFonts w:cs="Arial"/>
          <w:rtl/>
        </w:rPr>
        <w:lastRenderedPageBreak/>
        <w:t>מרשות הרבים או מסימטא אבל מרשות היורש לא דכי היכי דלרבי טרפון דמהניא תפיסה דלאחר מיתה לכתובה לא מהני אלא בהני גווני הכי נמי לדידן בתפיסה דמחיים מיהו כל הני מילי לדינא דגמרא אבל עכשיו כבר תיקן הגאון דכתובה גביא ממטלטלי והוא הדין נמי דאית לה מזוני ממטלטלי ואפילו לא תפסה גביא מהם דתנאי כתובה ככתובה וכמו שכתב הרי"ף ז"ל עכ"ל ומכל מקום מ"ש רבינו ולדעת הגאון אינו מכוון דמשמע דפלוגתא איכא במילתא וליתא דלכולי עלמא מדינא דגמרא אינה נגבית ממטלטלי אלא שהגאון תיקן דתגבה ממטלטלי ולדברי הכל אחר תקנת הגאון גביא ממטלטלי וכך ה"ל לכתוב ואח' תקנת הגאון שכתובה נגבית ממטלטלי ה"ה נמי מזונות. כתוב בתשובות להרמב"ן (במיוחסות) סימן ל"א על אלמנה שרוצה למכור מהקרקעות למזונות והאפטרופין אומרים תיזון מהמטלטלין הדין עמהם שאין מוכרים קרקע של יתומים כל שיש שם מטלטלין למכור. ובסימן ל"ד כתב אם האפטרופוסין רוצים להעלות לה מזונות והיא רוצה למכור מנכסי בעלה בית דין מוחין בידה ואם מכרה אחר התראת האפטרופוסים שהם רוצים להספיק מזונותיה מכרה בטל. וכתוב עוד שם בסימן מ"ט אין לאלמנה תביעה למזונות על מעות שביד היתומים מקרקעות שמכרו ואפילו אחר תקנת הגאונים שעשו מטלטלי דיתמי כקרקע שהמעות האלו לא היו משל אביהם ולא נשתעבדו לה וכן אין מוציאין מיד הלקוחות שאין מוציאין למזונות ממשעבדי כדתנן בפרק הניזקין מיהו אם קנו מיד הבעל למזונותיה מוציאה מיד הלקוחות כדרך שאמרו פרק הניזקין (נא.) גבי מזון בת אשתו. ובסימן נ"ז כתוב מזונות של אשה כתובים הם עכשיו אפילו אצל משועבדים שהכל נהגו לקנות מידו וחזרו הנשים כבת אשתו שקנו מידו. ועיין בתשובת הרשב"א שאכתוב בסוף סימן זה:</w:t>
      </w:r>
    </w:p>
    <w:p w14:paraId="0B2CD2EA" w14:textId="77777777" w:rsidR="002E5BAD" w:rsidRDefault="002E5BAD" w:rsidP="002E5BAD">
      <w:pPr>
        <w:rPr>
          <w:rtl/>
        </w:rPr>
      </w:pPr>
      <w:r>
        <w:rPr>
          <w:rFonts w:cs="Arial"/>
          <w:rtl/>
        </w:rPr>
        <w:t>כתב הרמב"ם לפיכך אם הניח נשים רבות וכו'. בפרק י"ח מהלכות אישות (הי"ד) ובספרי הרמב"ם שבידנו אין כתוב לפיכך וגם אין כתוב בהם שאין דין קדימה במטלטלין אלא כך כתוב בהם שאין דין קדימה במזונות. וכתב הרב המגיד הניח נשים רבות וכו' מבואר בירושלמי (כתובות פ"י ה"א) וכן הוא בתוספתא (כתובות פ"י ה"א) כשאמרו קודמת בזמן קודמת בגבייה אמרו בד"א בכתובה אבל במזונות שתיהן שוות ע"כ:</w:t>
      </w:r>
    </w:p>
    <w:p w14:paraId="51A42004" w14:textId="77777777" w:rsidR="002E5BAD" w:rsidRDefault="002E5BAD" w:rsidP="002E5BAD">
      <w:pPr>
        <w:rPr>
          <w:rtl/>
        </w:rPr>
      </w:pPr>
      <w:r>
        <w:rPr>
          <w:rFonts w:cs="Arial"/>
          <w:rtl/>
        </w:rPr>
        <w:t>ומ"ש רבינו בשם הראב"ד. בהשגות בפרק הנזכר כתב כן</w:t>
      </w:r>
      <w:r>
        <w:rPr>
          <w:rStyle w:val="a7"/>
          <w:rFonts w:cs="Arial"/>
          <w:rtl/>
        </w:rPr>
        <w:footnoteReference w:id="2287"/>
      </w:r>
      <w:r>
        <w:rPr>
          <w:rFonts w:cs="Arial"/>
          <w:rtl/>
        </w:rPr>
        <w:t xml:space="preserve"> וכתב עליו הרב המגיד ולי נראה שאף דעת רבינו כן הוא שאפילו נזונת מן הקרקע נזונת בשוה שאל"כ היה לו לומר מן המטלטלין בשוה ומן הקרקע לפי קדימתן ולפי זה ראוי להיות בספרו כמו שאין דין קדימה במטלטלין ורצה רבינו לומר שכשם שלא אמרו חכמים קדימה במטלטלין לפי שיש ללוה למכרן ולהפקיען מידי שעבוד המלוה כך לא אמרו קדימה במזונות לפי שאם רצה הבעל למכור נכסיו הרי הוא מפקיען מידי שעבוד מזונות כנ"ל:</w:t>
      </w:r>
    </w:p>
    <w:p w14:paraId="206D1E75" w14:textId="77777777" w:rsidR="002E5BAD" w:rsidRDefault="002E5BAD" w:rsidP="002E5BAD">
      <w:pPr>
        <w:rPr>
          <w:rtl/>
        </w:rPr>
      </w:pPr>
      <w:r>
        <w:rPr>
          <w:rFonts w:cs="Arial"/>
          <w:rtl/>
        </w:rPr>
        <w:t>ומ"ש רבינו והכי איתא בירושלמי. נראה דקאי לדברי הרמב"ם וכמ"ש הרב המגיד דאיתנהו בירושלמי פרק מי שהיה נשוי:</w:t>
      </w:r>
    </w:p>
    <w:p w14:paraId="153642A7" w14:textId="77777777" w:rsidR="002E5BAD" w:rsidRDefault="002E5BAD" w:rsidP="002E5BAD">
      <w:pPr>
        <w:rPr>
          <w:rtl/>
        </w:rPr>
      </w:pPr>
      <w:r>
        <w:rPr>
          <w:rFonts w:cs="Arial"/>
          <w:rtl/>
        </w:rPr>
        <w:t>כתב הרמב"ם אם הניח בעלה מטלטלין ולא תפסה אותם היורשים נוטלין אותם וכו'. בפי"ח (הל' יא, יב) כתב וז"ל אף על פי שתקנו הגאונים שתגבה הכתובה ותנאי הכתובה מן המטלטלין לפיכך תיזון האלמנה מן המטלטלין אף על פי שלא תפסה אם הניח בעלה מטלטלין ולא תפסה אותם היורשים נוטלים אותם וכו'. וכתוב במישרים נתיב כ"ג חלק י"א (סה ע"א) על דברי הרמב"ם וכן כתב רב אלפס בתשובה (סי' מו) כהרמב"ם זולת שנראה לפי תשובת רב אלפס שאם התנה בפירוש שתזון מן המטלטלין מוציאין מן היורשים ונותנים אותם ביד נאמן ודברי הרמב"ם נראה עיקר עכ"ל. וכתב הרב המגיד (הל' יא - יג) תקנת הגאונים שתהיה האשה נזונת מן המטלטלין כתובה היא בהלכות (נה:): ומה שכתב רבינו שאינה יכולה לעכב על היתומים שלא ימכרו שלא ייפו הגאונים כל כך את תקנת' ברור הוא שלא ליפות כחה במטלטלין כל כך שהרי אפילו בקרקע שבדין התלמוד היא נזונת ממנו אם מכרו אינה מוציאה מיד הלקוחות כמו שיתבאר בסמוך ואם כן במטלטלין אינו נראה שלא יוכלו למכור אפילו לכתחלה וכבר העיד רבינו שכן דנין תמיד בכל בתי דינין וכן מבואר בעיטור (אות כ' כתובות לד סוע"ד) שבתשובת הגאון ז"ל כתוב כן: ומ"ש אבל הניח קרקע יכולה וכו' גם זה מבואר בתשובה הנזכרת שאין להם למכור קרקעות וכן נראה קצת מן הגמרא: ומ"ש שאם מכרו שאינה מוציאה מיד הלקוחות משנה פרק הניזקין (גיטין מח:) ומכל מקום העלה הרשב"א (גיטין נא. ד"ה וקיי"ל) שאם קנו מידו על מזונות האשה שהיא נזונת מן המשועבדים והוכיח שם כן</w:t>
      </w:r>
      <w:r>
        <w:rPr>
          <w:rStyle w:val="a7"/>
          <w:rFonts w:cs="Arial"/>
          <w:rtl/>
        </w:rPr>
        <w:footnoteReference w:id="2288"/>
      </w:r>
      <w:r>
        <w:rPr>
          <w:rFonts w:cs="Arial"/>
          <w:rtl/>
        </w:rPr>
        <w:t xml:space="preserve"> ודע שאין הקנין הנזכר בשטרי כתובות שלנו מועיל לכך לפי שאין מזכירין בכתובות מזונות לאחר מיתת הבעל והמזונות הכתובים בכתובה שלנו הוא מזונות דמחיים עכ"ל. ובסוף סימן זה אכתוב תשובת הרשב"א בזה. ומ"ש דהא דאם מכרו אינה מוציאה מיד הלקוחות היא משנה בפרק הניזקין לא מצאתי כן [בדק הבית] שם שאע"פ ששנינו שם שאין מוציאין למזון האשה והבנות מנכסים משועבדים איכא למימר דהתם בששעבדם בעל אבל הא מילתא איתא בפרק מציאת האשה (סט.) כמו שכתבתי בסימן זה (קלט.) גבי מדינא דגמרא אין אלמנה נזונת וכו' [עד כאן]:</w:t>
      </w:r>
    </w:p>
    <w:p w14:paraId="5DA7B378" w14:textId="77777777" w:rsidR="002E5BAD" w:rsidRDefault="002E5BAD" w:rsidP="002E5BAD">
      <w:pPr>
        <w:rPr>
          <w:rtl/>
        </w:rPr>
      </w:pPr>
      <w:r>
        <w:rPr>
          <w:rFonts w:cs="Arial"/>
          <w:rtl/>
        </w:rPr>
        <w:lastRenderedPageBreak/>
        <w:t>ומ"ש רבינו ולענין דמי הקרקע שמכרו שבידם לרב האיי שכתב קדמו הבנים ומכרו בנכסים מועטים שהבנות נזונות מדמים שבידם ה"נ נזונת מהדמים ולדעת אדוני אבי הרא"ש אינה נזונת מהם. מחלוקת רב האיי והרא"ש (ב"ב פ"ט סי' ב) כתבו רבינו בסימן קי"ב (קסד סוע"א) ודבר פשוט הוא שיש ללמוד משם לדין זה:</w:t>
      </w:r>
    </w:p>
    <w:p w14:paraId="059CE248" w14:textId="77777777" w:rsidR="002E5BAD" w:rsidRDefault="002E5BAD" w:rsidP="002E5BAD">
      <w:pPr>
        <w:rPr>
          <w:rtl/>
        </w:rPr>
      </w:pPr>
      <w:r>
        <w:rPr>
          <w:rFonts w:cs="Arial"/>
          <w:rtl/>
        </w:rPr>
        <w:t>תפסה הרבה מטלטלין בשביל מזונותיה אין מוציאין מידה. מימרות ריש פרק אלמנה נזונת (צו.):</w:t>
      </w:r>
    </w:p>
    <w:p w14:paraId="6EA195E8" w14:textId="77777777" w:rsidR="002E5BAD" w:rsidRDefault="002E5BAD" w:rsidP="002E5BAD">
      <w:pPr>
        <w:rPr>
          <w:rtl/>
        </w:rPr>
      </w:pPr>
      <w:r>
        <w:rPr>
          <w:rFonts w:cs="Arial"/>
          <w:rtl/>
        </w:rPr>
        <w:t>ומ"ש וקאמר בירושלמי (כתובות פי"א סוה"ב) מהו למימר לה חוי מה בידך וכו'. כתבו הרא"ש בריש פרק אלמנה נזונת (סי' ג): כתב הריב"ש בתשובה סימן שס"ד דבר ברור הוא כי הנכסים שהם בבית הבעל אף על פי שכשמת נשארו הנכסים בידה ואוהלים כאשר המה שאין זו תפיסה של כלום שכל תופס צריך תפיסה גמורה שיקנה הדבר באחת מהקניות כמו שאמרו בפרק הכותב (כתובות פד: פה.) גבי עובדא דיימר בר חשו אבל בכאן הבית והתיבות והמטלטלין הכל ברשות היורש ואינה נקראת תופסת בשביל תפיסת המפתחות שאין מסירת המפתחות קונה וכל שכן תפיסתן ואם קדמו היורשים ותפסום כדי שלא תשלח היא יד בהם ותתפסם הטיבו לעשות ואף על פי שמה שתפסו היה דרך גניבה אין היזק בזה אבל הוא יפוי כחם דהויא תפיסה שלא בעדים דלפעמים מהניא שלא בעדים ובעדים לא מהניא. ובסימן ק"ז כתב עוד כיוצא בזה. וכתב עוד שם וכן אם פקח הדיין וזריז ראוי לו לילך בפתע פתאום לבית המוריש ואם לא עשתה בנכסים תפיסה המועלת לקנות יחזיק בהם היורשים והמקבלי מתנה בעד זכותם. וכתב עוד שם ועוד צריך בתפיסה זו שתתפוס היא בעצמה ולא ע"י אחר ואפילו עשאתו שליח לתפוס בעדה משום דקיימא לן (כתובות פד:) התופס לבעל חוב במקום שחב לאחרים לא קנה וכאן הרי יש חוב לבעלי המתנה בתפיסה זו כיון שהנכסים היו מספיקים לכולם אם לא מחמת תפיסה זו. וכתב עוד בסימן שס"ה אם יש ביד אבי היבמה שטרי חובות שנפקדו בידו מיד בעלה ואחר פטירתו מסר האב בידה השטרות תפיסה מועלת היא. אמנם אם נשאלה שאלה זו לענין שומרת יבם האומרת מאיס עלי אין תפיסתה מועלת אלא אם כן היו השטרות האלה מנדונייתה ר"ל שהכניסה אלו השטרות עצמם לבעלה ואם נשאלה שאלה זו לענין מזונות אין תפיסתה בנכסים אלו כלום שהרי אין שעבוד מזונותיה על נכסים אלו שהרי אין לה מזונות אלא מיבם ונכסים אלו לא משל יבם הן עד שיכנוס כיון שיש לבעלה אב. ואם נשאלה שאלה זו לענין לתפסן משכון לאחריות כתובתה אין תפיסתה כלום דהא קיימא לן כרבינא דאמר (שם צו.) הני מילי למזוני אבל לכתובה מפקינן וכתב הרי"ף (נה:) דבתפיסה דלאחר מיתה היא אבל תפסה מחיים אפילו לכתובה לא מפקינן מינה ומיהו עכשיו שנוהגים לכתוב בכתובות מטלטלי אגב מקרקעי יש לדון ולומר בשומרת יבם שימכרו כל מטלטלי בעלה וילקח בהם קרקע והיבם אוכל פירות בין תפסה בין לא תפסה ואין די בשיהיו קיימים כדי שיעור כתובתה דילמא משתדפי ותפסיד כתובתה עכ"ל. ובסימן ק"ד כתב על יבמה שטענה שאין בידה כלום משל בעלה והוא היה אמוד בנכסים ותבעו תוך ג' חדשים ליבם או לחלוץ ראוי לדיין לאיים עליה ולחקור בזה [ב]כל מיני חקירות הן בחרמות חזקים בשופרות הן לחפש בביתה ולענות דינה בכל מה שיוכל כדי להוציא הדין לאמתו. וכתב עוד ומה שטענה שתפסה למזונות אין בה ממש כי שומרת יבם אינה נזונת כי אם ג' חדשים אלא אם כן תבעה מן היבם בב"ד או חלוץ או יבם וברח או חלה והנדון זה אין כאן העמדה בדין כי מה שתבעה ליבם או לחלוץ תוך ג' חדשים אינו כלום. ובסימן ק"ז כתב על מי שצוה לתת מקצת נכסיו לקצת בניו ושאר נכסיו בתורת ירושה לשאר בניו שיש לו מאשה שהיא בחיים והיא תפסה כל הנכסים למזונותיה והאריך בדבר. וכתב שם אי לא דמסתפינא אמינא שלא אמרו חכמים (צו.) אלמנה שתפסה מטלטלין למזונותיה מה שתפסה תפסה אלא לדינא דגמרא דמטלטלי לא משתעבדי לה אבל לאחר שתקנו שתיזון מהמטלטלין אם תפסה מוציאים מידה אבל מה אעשה שלא מצאתי מי שכתב כן אבל מדברי הרמב"ם פי"ח (הי"ב) נראה בהפך ולזה לא אסמוך על סברתי ואם יהיה פקח המוריש כשיהיה מסוכן יביא לפניו יורשיו אם הם גדולים ואם הם קטנים יביא הרוצה למנות אפטרופוס עליהם וישימו כל המטלטלין בתיבות ובאוצרות ויסגרו הכל ויתן בידם המפתחות וכן אם נותן מתנה לאחרים ישים סך המתנה ביד שליש וגם היורשים עצמם יכולים לסגור כל המטלטלין ולקחת המפתחות בין מיתה לקבורה ואם תמחה בידם האלמנה יעשו זה על ידי בית דין ואם היתומים קטנים יש לב"ד לעשות כן מעצמם לתועלת היתומים:</w:t>
      </w:r>
    </w:p>
    <w:p w14:paraId="4800D67F" w14:textId="77777777" w:rsidR="002E5BAD" w:rsidRDefault="002E5BAD" w:rsidP="002E5BAD">
      <w:pPr>
        <w:rPr>
          <w:rtl/>
        </w:rPr>
      </w:pPr>
      <w:r>
        <w:rPr>
          <w:rFonts w:cs="Arial"/>
          <w:rtl/>
        </w:rPr>
        <w:t>ומ"ש בשם ריב"א. כ"כ שם בשמו הרא"ש (פי"א סי' ג) והמרדכי (סי' רנא) וכתבו שכתב כך משום דאם לא כן לא שבקת חיי לכל בריה דכל נשים גבירות ושולטות בממון בעליהן [נ"א: בעלים] ויש להם בנים קטנים יתפסו כל הממון ולא יתבעו לעולם כתובה ויתפסו הכל בשביל מזונות וכן נשים שאינם גבירות אם יש מטלטלין הרבה בתוך הבית או כסף וזהב יקחו הכל אלא יש לפרש הא דקאמר ר"י ב"ר בון מכיון שהיא עתידה לישבע בסוף וכו' מתוך לשונו משמע דוקא בשביל שסופה לישבע הא אין סופה לישבע אמרינן לה חוי מה בידיך אם כן בנדון זה שלקחה הכל ואינה עתידה לישבע בסוף אמרינן לה חוי ומוציאין מידה כל המותר על י"ב חדש ובהאי שיעורא אמרינן מה שתפסה תפסה אי נמי נראה דמה שתפסה תפסה ראוי לומר אפילו ביתר מי"ב חדש ובלבד שתפסה פחות מכדי כתובתה שסופה לישבע על כתובתה אבל אם תפסה יותר מכדי כתובתה שאין סופה לישבע על כתובתה לא והא דקאמר אחוי מה בידיך לא אמרינן היינו היכא דידיע לן שלא תפסה כדי כתובתה לפי שסופה לישבע אבל אי לא ידעינן כמה תפסה לא ולכאורה אם היתה תובעת מזונות אח"כ ואומרת שכבר אכלה מה שתפסה לא היו דנין אותה עד שתשבע כמה תפסה עכ"ל:</w:t>
      </w:r>
    </w:p>
    <w:p w14:paraId="6331B1A8" w14:textId="77777777" w:rsidR="002E5BAD" w:rsidRDefault="002E5BAD" w:rsidP="002E5BAD">
      <w:pPr>
        <w:rPr>
          <w:rtl/>
        </w:rPr>
      </w:pPr>
      <w:r>
        <w:rPr>
          <w:rFonts w:cs="Arial"/>
          <w:rtl/>
        </w:rPr>
        <w:t>ומ"ש רבינו בשם רבינו שמשון. כן כת' שם הרא"ש והמרדכי בשמו:</w:t>
      </w:r>
    </w:p>
    <w:p w14:paraId="04796CFA" w14:textId="77777777" w:rsidR="002E5BAD" w:rsidRDefault="002E5BAD" w:rsidP="002E5BAD">
      <w:pPr>
        <w:rPr>
          <w:rtl/>
        </w:rPr>
      </w:pPr>
      <w:r>
        <w:rPr>
          <w:rFonts w:cs="Arial"/>
          <w:rtl/>
        </w:rPr>
        <w:lastRenderedPageBreak/>
        <w:t>ומ"ש בשם הרמב"ם. הוא בפרק י"ח (ה"י):</w:t>
      </w:r>
    </w:p>
    <w:p w14:paraId="4156585C" w14:textId="77777777" w:rsidR="002E5BAD" w:rsidRDefault="002E5BAD" w:rsidP="002E5BAD">
      <w:pPr>
        <w:rPr>
          <w:rtl/>
        </w:rPr>
      </w:pPr>
      <w:r>
        <w:rPr>
          <w:rFonts w:cs="Arial"/>
          <w:rtl/>
        </w:rPr>
        <w:t>ומ"ש בשם ר"מ מרוטנבורק. כ"כ שם הרא"ש והמרדכי בריש פרק אלמנה נזונת בשמו וז"ל אמנם לפי דברי ר"ש אפילו בתפסה יותר אין להשביעה וכן משמע מדברי הרמב"ם שכתב אלמנה שתפסה מטלטלין כדי שתזון מהם וכו' ואחר שכתב ככר זהב שמע מינה דסבירא ליה דתפיסה למזונות מהניא אפילו ביותר מכתובתה ולא מפקינן מינה ופשט הירושלמי דקאמר אלף זוז וגמרא דידן דקאמר אפילו דסקיא מליאה מעות משמע נמי הכי דאפילו טובא יותר מכתובתה לא מפקינן מינה וטעמא הוי משום דלא ידעינן כמה תחיה וכמה תצטרך למזונות כי שמא יאבד מהם או שמא תחלה ותצטרך לרפואה שאין לה קצבה שהיא בכלל מזונות (שם נב:) וכיון דאף אם תפסה יותר הרבה ממזונותיה לא מפקינן מינה אם כן למה היה לנו להשביעה הרי לא מצינו שום שבועה כיוצא בזו אמנם אם אחר זמן תאמר שכלו כל המטלטלין שתפסה ותבא לתבוע מזונות לא יהבינן לה מידי עד שתשבע שלא נשאר בידה ממה שתפסה ולא נתנה ולא בזבזה כלום דבהא מודה הרמב"ם ז"ל שהרי הוא כתב (שם הי"ט) דאלמנה שבאה לבית דין לתבוע מזונות אין לה מזונות עד שתשבע ואפילו לדברי הגדולים האומרים דבכל ענין תנן לא תשבע בתחלה אפילו כי אתיא לאפוקי מיתמי נראה לי דכל כהאי גוונא דעכבה ממון היתומים יותר מן הראוי להגבותה בבית דין דהיינו כדי מזון שלשים יום מודו כ"ע דלא יהבינן לה עד שתשבע עכ"ל:</w:t>
      </w:r>
    </w:p>
    <w:p w14:paraId="28889B56" w14:textId="77777777" w:rsidR="002E5BAD" w:rsidRPr="00DB1BB3" w:rsidRDefault="002E5BAD" w:rsidP="002E5BAD">
      <w:pPr>
        <w:rPr>
          <w:rtl/>
        </w:rPr>
      </w:pPr>
      <w:r>
        <w:rPr>
          <w:rFonts w:cs="Arial"/>
          <w:rtl/>
        </w:rPr>
        <w:t>ומ"ש ואדוני אבי הרא"ש ז"ל כתב מתוך דברי הרמב"ם נראה שפוסק כתלמידי רבי יונה וכו' עד וכן מסתבר. בפרק הנזכר ומשמע לרבינו שבא לחלוק על דברי ר"מ מרוטנבורק שהצריכה שבועה ונסתייע מדברי הרמב"ם דהא מתוך דברי הרמב"ם נראה שפוסק כתלמידי ר' יונה דאמרי דאמרינן לה חוי מה בידיך ומשמע דאין משביעין אותה ולא דמיא להא דאלמנה שבאה לב"ד לתבוע מזונות דקאמר הרמב"ם דמשביעין אותה דשאני הכא שאינה באה לבית דין לתבוע כתובה וזהו שסיים רבינו בדברי הרא"ש וכתב אבל לעולם אין משביעין אותה עתה עד שתתבע יותר. [בדק הבית] ואף על פי שכתב רבינו לעיל בסימן זה (קלט.) דלהרא"ש אלמנה ניזונת בלא שבועה שאני הכא שתפסה ומשום הכי כשבאה לתבוע יותר משביעין אותה ומכל מקום מאי דמשמע ליה מדברי הרמב"ם יש מקום לבעל דין לחלוק שהרמב"ם כתב שטעם השבועה הוא מפני שהיא באה להפרע מנכסי יתומים וכשתפסה אף על פי שהיא נזונת ממה שבידה סוף סוף מידי נפרעת מנכסי יתומים לא נפקא [עד כאן]: וז"ל הריטב"א (כתובות צו. ד"ה מעשה) הרמב"ם פסק דאמרינן לה אחוי מה בידיך כדקתני (צו.) ולא היה כח ביד חכמים להוציא מידה ולא קתני שמחשבין עמה ואין זה ראיה עכ"ל. ז"ל רבינו ירוחם (מישרים נכ"ד חי"א סה ע"ב) כתב רב אלפס בתשובה (סי' מד) שהאשה שתפסה מטלטלין למזונות כשחזרה מקבר בעלה ואינה רוצה לישבע ולא לגבות כתובה ויש שם יורשים אין מוציאין מידה ואין משערים לה כדי מזונותיה בין תפסה רב או מעט ע"כ ונראה דאין מוציאין מידה לתת ביד יורשים אלא נותנין אותו ביד נאמן עכ"ל. ונ"ל שטענתו מפני שתפיסה זו אינה כלום משום דלאחר מיתה היא ואפילו למ"ד (כתובות פד.) תפיסה דלאחר מיתה מהניא הני מילי במונחים ברשות הרבים או בסימטא אבל מרשות המת לאו תפיסה היא לדברי הכל וכמבואר במרדכי פרק אלמנה נזונת (סי' רנב)</w:t>
      </w:r>
      <w:r>
        <w:rPr>
          <w:rStyle w:val="a7"/>
          <w:rFonts w:cs="Arial"/>
          <w:rtl/>
        </w:rPr>
        <w:footnoteReference w:id="2289"/>
      </w:r>
      <w:r>
        <w:rPr>
          <w:rFonts w:cs="Arial" w:hint="cs"/>
          <w:rtl/>
        </w:rPr>
        <w:t xml:space="preserve">, </w:t>
      </w:r>
      <w:r>
        <w:rPr>
          <w:rStyle w:val="a7"/>
          <w:rFonts w:cs="Arial"/>
          <w:rtl/>
        </w:rPr>
        <w:footnoteReference w:id="2290"/>
      </w:r>
      <w:r>
        <w:rPr>
          <w:rFonts w:cs="Arial"/>
          <w:rtl/>
        </w:rPr>
        <w:t>. כתב הרשב"א בתשובה עכשיו שנהגו לכתוב מטלטלי ומקרקעי וכתובה גובה אפילו מן המטלטלין אפילו תפסה לכתובה ואפילו לאחר מיתת הבעל מה שתפסה תפסה:</w:t>
      </w:r>
    </w:p>
    <w:p w14:paraId="1BBC0AE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FA555F" w14:textId="77777777" w:rsidR="002E5BAD" w:rsidRDefault="002E5BAD" w:rsidP="002E5BAD">
      <w:pPr>
        <w:rPr>
          <w:rtl/>
        </w:rPr>
      </w:pPr>
      <w:r>
        <w:rPr>
          <w:rFonts w:cs="Arial"/>
          <w:rtl/>
        </w:rPr>
        <w:t xml:space="preserve">אין אלמנה ניזונית אלא מקרקעות בני חורין, ולא מהמשועבדים. לא מבעיא אם מכר או נתן הבעל בחייו, אלא אפילו מכרו או משכנו או נתנו היורשים לאחר מיתת אביהם, אין מוציאין למזון האשה והבנות. ודוקא שנתן האב מתנת בריא, אבל אם נתן מתנת שכיב מרע, ניזונת ממנה (אם אין כאן בני חורין) (ריב"ש סימן ק"ז). הקדיש נכסיו הוי כמתנת בריא (ר"ן ריש המדיר). ואינה ניזונית ממטלטלי, אפילו בני חורין. ומיהו אם תפסה ממטלטלין, אפילו אחר מיתה, לא מפקינן מינה. ועכשיו שתקנו הגאונים שתגבה כתובה ותנאי כתובה ממטלטלין, הרי היא ניזונית ממטלטלין, אפילו לא תפסה. (מיהו אם נתן המטלטלין לאחרים, אפילו במתנת שכיב מרע, י"א דאינה ניזונת מהן) (מרדכי פרק נערה בשם י"א). </w:t>
      </w:r>
    </w:p>
    <w:p w14:paraId="79A9EC1C" w14:textId="77777777" w:rsidR="002E5BAD" w:rsidRDefault="002E5BAD" w:rsidP="002E5BAD">
      <w:pPr>
        <w:pStyle w:val="2"/>
        <w:rPr>
          <w:rtl/>
        </w:rPr>
      </w:pPr>
      <w:r>
        <w:rPr>
          <w:rtl/>
        </w:rPr>
        <w:t>סעיף כא</w:t>
      </w:r>
      <w:r>
        <w:rPr>
          <w:rFonts w:hint="cs"/>
          <w:rtl/>
        </w:rPr>
        <w:t>:</w:t>
      </w:r>
    </w:p>
    <w:p w14:paraId="06D3DCC5" w14:textId="77777777" w:rsidR="002E5BAD" w:rsidRPr="00D1147A" w:rsidRDefault="002E5BAD" w:rsidP="002E5BAD">
      <w:pPr>
        <w:rPr>
          <w:rtl/>
        </w:rPr>
      </w:pPr>
      <w:r w:rsidRPr="00D1147A">
        <w:rPr>
          <w:rFonts w:cs="Arial"/>
          <w:rtl/>
        </w:rPr>
        <w:t xml:space="preserve">כא (ב) כתב הרשב"א שאלת אפטרופין שמינו אותם ב"ד ונתנו להם רשות למכור ומכרו הקרקעות ובאה האלמנה לגבות מזונותיה מאותן נכסים מי אמרינן נכסים משועבדים ואינה נזונת מהם או לא. תשובה כל שמכרו היתומים או ב"ד או האפטרופין שיש בידם כח למכור משועבדים הם ואלא מיהו כדי להתלמד אני אומר לך שאם קנו לאשה מיד הבעל למזונות הרי היא נזונת אפילו מהמשועבדים כדאוקימנא בפרק הניזקין (גיטין נא.) מתניתין דמקבל עליו לזון את בת אשתו שנזונת מהמשועבדים כשקנו מידו ולפי שהורגלו עכשיו לקנות מידו למזונות האשה כתבתי כן ומכל מקום איפשר שאין בכלל קנינו סתם אלא למזונות שבחייו אבל לא למזונות שיש לה מחמת תנאי כתובה דהיינו את תהא יתבא בביתי ומיתזנא מנכסי כל יומי מיגד אלמנותיך שתנאי כתובה לא נכתבו בכתובה ועד שיקנו ממנו לזון מנכסיו </w:t>
      </w:r>
      <w:r w:rsidRPr="00D1147A">
        <w:rPr>
          <w:rFonts w:cs="Arial"/>
          <w:rtl/>
        </w:rPr>
        <w:lastRenderedPageBreak/>
        <w:t>אחריו כל ימי אלמנותה אינה נזונת מהמשועבדין עכ"ל. כתוב בתשובות להרמב"ן (במיוחסות) סימן ל"ה אפטרופוס שמכר קרקע לתועלת היתומים והאלמנה טוענת על הלוקח שלא לקח אלא להבריח ממנה מזונותיה שלא תמצא בני חרי ליזון מהם אם לא תמצא מקום לגבות מזונותיה אלא מקרקע זה יש לה רשות להחרים חרם סתם שכל מי שיחזיק מנכסי בעלה שיש לה בהם שעבוד מזונותיה שיודה בפני בית דין:</w:t>
      </w:r>
    </w:p>
    <w:p w14:paraId="08C928F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3461F2" w14:textId="77777777" w:rsidR="002E5BAD" w:rsidRDefault="002E5BAD" w:rsidP="002E5BAD">
      <w:pPr>
        <w:rPr>
          <w:rtl/>
        </w:rPr>
      </w:pPr>
      <w:r>
        <w:rPr>
          <w:rFonts w:cs="Arial"/>
          <w:rtl/>
        </w:rPr>
        <w:t xml:space="preserve">הניח מטלטלין ולא תפסה אותם, היורשים נוטלין אותם והם מעלין לה מזונות. ואינה יכולה לעכב עליהם ולומר: יהיו המטלטלין מונחים בב"ד שאזון מהם שמא יאבדו ולא יהיו לי מזונות. ואפילו התנה עליו בפירוש שתזון מהמטלטלין, אינה מעכבת. אבל אם הניח קרקע, יכולה היא לעכב עליהם שלא ימכרו, ואם מכרו אינה מוציאה מיד הלקוחות, והיא ניזונית מדמי הקרקע שבידם. ויש מי שחולק ואומר שאינה ניזונית מאותם הדמים. הגה: הקנה לה בקנין על המזונות, מוציאה למזונות ממשועבדים. ודוקא שפירש בהדיא מזונות שלאחר מיתה, אבל בלאו הכי, אף על גב שכתב לה בכתובתה מזונות, וקנו מידו, לא נתכוין על מזונות רק מחייה (כך משמע מהמ"מ פי"ח דאישות וכ"כ הב"י בשם תשובת הרשב"א). </w:t>
      </w:r>
    </w:p>
    <w:p w14:paraId="7C9E43D2" w14:textId="77777777" w:rsidR="002E5BAD" w:rsidRDefault="002E5BAD" w:rsidP="002E5BAD">
      <w:pPr>
        <w:pStyle w:val="2"/>
        <w:rPr>
          <w:rtl/>
        </w:rPr>
      </w:pPr>
      <w:r>
        <w:rPr>
          <w:rtl/>
        </w:rPr>
        <w:t>סעיף כב</w:t>
      </w:r>
    </w:p>
    <w:p w14:paraId="5E9CD75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FEB8DE" w14:textId="77777777" w:rsidR="002E5BAD" w:rsidRDefault="002E5BAD" w:rsidP="002E5BAD">
      <w:pPr>
        <w:rPr>
          <w:rtl/>
        </w:rPr>
      </w:pPr>
      <w:r>
        <w:rPr>
          <w:rFonts w:cs="Arial"/>
          <w:rtl/>
        </w:rPr>
        <w:t xml:space="preserve">הניח נשים רבות, אף על פי שנשאן זו אחר זו, נזונות בשוה, שאין דין קדימה במזונות. </w:t>
      </w:r>
    </w:p>
    <w:p w14:paraId="6406EB52" w14:textId="77777777" w:rsidR="002E5BAD" w:rsidRDefault="002E5BAD" w:rsidP="002E5BAD">
      <w:pPr>
        <w:pStyle w:val="2"/>
        <w:rPr>
          <w:rtl/>
        </w:rPr>
      </w:pPr>
      <w:r>
        <w:rPr>
          <w:rtl/>
        </w:rPr>
        <w:t>סעיף כג</w:t>
      </w:r>
    </w:p>
    <w:p w14:paraId="787E9E5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8DBC50" w14:textId="77777777" w:rsidR="002E5BAD" w:rsidRDefault="002E5BAD" w:rsidP="002E5BAD">
      <w:pPr>
        <w:rPr>
          <w:rtl/>
        </w:rPr>
      </w:pPr>
      <w:r>
        <w:rPr>
          <w:rFonts w:cs="Arial"/>
          <w:rtl/>
        </w:rPr>
        <w:t xml:space="preserve">אלמנה שתפסה מטלטלין כדי שתזון מהם, בין שתפסה מחיים בין שתפסה אחר מותו, אפילו תפסה ככר זהב, אין מוציאין מידה אלא כותבים עליה ב"ד מה שתפסה, ופוסקין לה מזונות, ומחשבין עליה והיא נזונית ממה שבידה עד שתמות או עד שלא יהיו לה מזונות, ויקחו היורשים את השאר. הגה: י"א דלא הוי תפיסה אלא תפיסה מרשות הרבים או מסימטא, אבל לא מרשות יורשין (הר"ן פרק אלמנה ניזונית בשם רש"י). ויש חולקין (כך משמע מדברי הריב"ש סימן שס"ד), ולכולי עלמא בעינן תפיסה גמורה, דהיינו שתפסה מאחד מדרכי הקניות, אבל אם תפסה רק מפתחות החדרים לא מקרי תפיסה ונותנין הכל ליורשין. ודוקא שתפסה בעצמה, אבל ע"י שליח לא מהני תפיסתה (בריב"ש סימן שס"ד וסימן ק"ו). </w:t>
      </w:r>
    </w:p>
    <w:p w14:paraId="547E05D4" w14:textId="77777777" w:rsidR="002E5BAD" w:rsidRDefault="002E5BAD" w:rsidP="002E5BAD">
      <w:pPr>
        <w:pStyle w:val="2"/>
        <w:rPr>
          <w:rtl/>
        </w:rPr>
      </w:pPr>
      <w:r>
        <w:rPr>
          <w:rtl/>
        </w:rPr>
        <w:t>סעיף כד</w:t>
      </w:r>
    </w:p>
    <w:p w14:paraId="01B27BC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4301AB" w14:textId="77777777" w:rsidR="002E5BAD" w:rsidRDefault="002E5BAD" w:rsidP="002E5BAD">
      <w:pPr>
        <w:rPr>
          <w:rtl/>
        </w:rPr>
      </w:pPr>
      <w:r>
        <w:rPr>
          <w:rFonts w:cs="Arial"/>
          <w:rtl/>
        </w:rPr>
        <w:t xml:space="preserve">אם תפסה יותר מהראוי להגבותה בבית דין בבת אחת, דהיינו כדי מזון שלשים יום, ואחר שכלה מה שתפסה תבא לתבוע מזונות, משביעין אותה לדברי הכל. </w:t>
      </w:r>
    </w:p>
    <w:p w14:paraId="20A3D371" w14:textId="77777777" w:rsidR="002E5BAD" w:rsidRDefault="002E5BAD" w:rsidP="002E5BAD">
      <w:pPr>
        <w:rPr>
          <w:rtl/>
        </w:rPr>
      </w:pPr>
    </w:p>
    <w:p w14:paraId="47F36A1F" w14:textId="77777777" w:rsidR="002E5BAD" w:rsidRDefault="002E5BAD" w:rsidP="002E5BAD">
      <w:pPr>
        <w:pStyle w:val="2"/>
        <w:rPr>
          <w:rtl/>
        </w:rPr>
      </w:pPr>
      <w:r>
        <w:rPr>
          <w:rtl/>
        </w:rPr>
        <w:t>סעיף כה</w:t>
      </w:r>
      <w:r>
        <w:rPr>
          <w:rFonts w:hint="cs"/>
          <w:rtl/>
        </w:rPr>
        <w:t>:</w:t>
      </w:r>
      <w:r w:rsidRPr="00616AD7">
        <w:rPr>
          <w:rFonts w:hint="cs"/>
          <w:rtl/>
        </w:rPr>
        <w:t xml:space="preserve"> </w:t>
      </w:r>
      <w:r>
        <w:rPr>
          <w:rFonts w:hint="cs"/>
          <w:rtl/>
        </w:rPr>
        <w:t>אלמנה מוכרת מנכסי בעלה כדי לגבות מזונות.</w:t>
      </w:r>
    </w:p>
    <w:p w14:paraId="603AF975" w14:textId="77777777" w:rsidR="002E5BAD" w:rsidRPr="00D1147A" w:rsidRDefault="002E5BAD" w:rsidP="00B75458">
      <w:pPr>
        <w:pStyle w:val="ab"/>
        <w:numPr>
          <w:ilvl w:val="0"/>
          <w:numId w:val="192"/>
        </w:numPr>
      </w:pPr>
      <w:r>
        <w:rPr>
          <w:rFonts w:cs="Arial" w:hint="cs"/>
          <w:rtl/>
        </w:rPr>
        <w:t xml:space="preserve">טור- </w:t>
      </w:r>
      <w:r w:rsidRPr="000A1431">
        <w:rPr>
          <w:rFonts w:cs="Arial"/>
          <w:rtl/>
        </w:rPr>
        <w:t>אלמנה שבאה למכור מנכסי בעלה למזונות אינה צריכה שבועה ולא הכרזה ולא לבא לפני ב"ד מומחין אבל צריכה לפחות ג' אנשים בקיאים בשומא לפיכך אם לקחה הקרקע לעצמה בסכום ידוע אינו כלום ואם נתייקר אח"כ צריכה להחזירו ליורשים או אפי' לא נתייקר אם ירצו יבטלו המקח ואם טעתה אפילו כל שהוא שמכרה שוה מנה ודינר במנה מכרה בטל</w:t>
      </w:r>
      <w:r>
        <w:rPr>
          <w:rStyle w:val="a7"/>
          <w:rFonts w:cs="Arial"/>
          <w:rtl/>
        </w:rPr>
        <w:footnoteReference w:id="2291"/>
      </w:r>
      <w:r w:rsidRPr="000A1431">
        <w:rPr>
          <w:rFonts w:cs="Arial"/>
          <w:rtl/>
        </w:rPr>
        <w:t xml:space="preserve"> והאחריות הוא על היתומים אפ"ה כשבאה לגבות כתובתה אינה יכולה לטרוף מהלקוחות שמכרה להם לצורך מזונותיה וכתב הרמב"ם וכן אם מכרה בינה לבין עצמה שוה בשוה מכרה קיים וכשיבאו היורשים להשביעה נשבעת אבל ר"ח כתב אם מכרה שלא בב"ד אפי' הדיוטות מכרה בטל</w:t>
      </w:r>
      <w:r>
        <w:rPr>
          <w:rFonts w:cs="Arial" w:hint="cs"/>
          <w:rtl/>
        </w:rPr>
        <w:t>.</w:t>
      </w:r>
      <w:r w:rsidRPr="000A1431">
        <w:rPr>
          <w:rFonts w:cs="Arial"/>
          <w:rtl/>
        </w:rPr>
        <w:t xml:space="preserve"> </w:t>
      </w:r>
    </w:p>
    <w:p w14:paraId="5180E14F" w14:textId="77777777" w:rsidR="002E5BAD" w:rsidRDefault="002E5BAD" w:rsidP="002E5BAD">
      <w:pPr>
        <w:rPr>
          <w:rtl/>
        </w:rPr>
      </w:pPr>
      <w:r>
        <w:rPr>
          <w:rFonts w:cs="Arial"/>
          <w:rtl/>
        </w:rPr>
        <w:lastRenderedPageBreak/>
        <w:t>כה - כט אלמנה שבאה למכור מנכסי בעלה למזונות אינה צריכה שבועה ולא הכרזה. בפרק הכותב (פז.) אמרי נהרדעי לכרגא ולמזוני ולקבורה מזבנינן בלא אכרזתא:</w:t>
      </w:r>
    </w:p>
    <w:p w14:paraId="58506B70" w14:textId="77777777" w:rsidR="002E5BAD" w:rsidRDefault="002E5BAD" w:rsidP="002E5BAD">
      <w:pPr>
        <w:rPr>
          <w:rtl/>
        </w:rPr>
      </w:pPr>
      <w:r>
        <w:rPr>
          <w:rFonts w:cs="Arial"/>
          <w:rtl/>
        </w:rPr>
        <w:t>ומ"ש שאינה צריכה שבועה. כבר נתבאר בסימן זה שזהו דעת הרא"ש והאחרונים ז"ל ושאין כן דעת הרמז"ל:</w:t>
      </w:r>
    </w:p>
    <w:p w14:paraId="20369C6E" w14:textId="77777777" w:rsidR="002E5BAD" w:rsidRDefault="002E5BAD" w:rsidP="002E5BAD">
      <w:pPr>
        <w:rPr>
          <w:rtl/>
        </w:rPr>
      </w:pPr>
      <w:r>
        <w:rPr>
          <w:rFonts w:cs="Arial"/>
          <w:rtl/>
        </w:rPr>
        <w:t>ומ"ש ולא לבוא לפני בית דין מומחה. בפרק אלמנה ניזונת (צז.) תנן אלמנה מוכרת שלא בבית דין ובפרק אלו מציאות (ב"מ לב.) איתמר עליה משמיה דרב נחמן אלמנה אינה צריכה בית דין מומחים אבל צריכה בית דין הדיוטות ופירש רש"י אלמנה הנזונת מנכסי יתומים מוכרת למזונות שלא בבית דין ובלבד שיראו שנים שלא תמכור בזול ע"כ אבל הרמב"ם כתב בפרק י"ח מהלכות אישות (ה"כ) יש לה למכור שלא בבית דין מומחין אלא בג' אנשים נאמנים בלא הכרזה וכן נראה מדברי הרי"ף והרא"ש שכתבו בפרק אלמנה נזונת (הרי"ף נו:, הרא"ש סי' י) אהא דרב נחמן צריכה בית דין הדיוטות כגון גברי מהימני דבקיאי בשומא ע"כ וב"ד הדיוטות סתם משמע דאינו פחות מג' וכך הם דברי רבינו וכתבו הר"ן שם (נו: ד"ה גמ') והרב המגיד בפרק י"ז מהלכות אישות (הי"ג) פי' אף על גב דליכא בינייהו מאן דגמיר ואינן ראויים לדון דיני ממונות שאם לא כן במה יפה כחה משאר דינים. וכתוב בתשובות הגאונים לא הצריכוה ב"ד הדיוטות אלא למכור אבל למשכן אינה צריכה:</w:t>
      </w:r>
    </w:p>
    <w:p w14:paraId="6A1BDB49" w14:textId="77777777" w:rsidR="002E5BAD" w:rsidRDefault="002E5BAD" w:rsidP="002E5BAD">
      <w:pPr>
        <w:rPr>
          <w:rtl/>
        </w:rPr>
      </w:pPr>
      <w:r>
        <w:rPr>
          <w:rFonts w:cs="Arial"/>
          <w:rtl/>
        </w:rPr>
        <w:t>ומ"ש לפיכך אם לקחה הקרקע לעצמה בסכום ידוע אינו כלום. בפרק אלמנה נזונת (צח.) א"ר זירא אמר רב נחמן אלמנה ששמה לעצמה לא עשתה ולא כלום ואמרינן התם דאפילו הכריזה נמי לא עשתה כלום משום דאמרינן לה מאן שם לך ופירש הרא"ש (סי' יג) כלומר מי החזיקך באלו הנכסים שאין אדם יכול לזכות במקח אלא מיד המקנה לו:</w:t>
      </w:r>
    </w:p>
    <w:p w14:paraId="49B8699E" w14:textId="77777777" w:rsidR="002E5BAD" w:rsidRDefault="002E5BAD" w:rsidP="002E5BAD">
      <w:pPr>
        <w:rPr>
          <w:rtl/>
        </w:rPr>
      </w:pPr>
      <w:r>
        <w:rPr>
          <w:rFonts w:cs="Arial"/>
          <w:rtl/>
        </w:rPr>
        <w:t>ומ"ש ואם נתיקר אחר כך צריכה להחזירו ליורשים או אפילו לא נתיקר וכו'. פשוט הוא וכתב הרב המגיד בפי"ז (הי"ד) בשם ר"ח שאפילו בשלשה הדיוטות אם שמה לעצמה לא עשתה כלום דכיון שאינם ראויים לדין אמרינן לה מאן שם ליך ולדעת הרמב"ם איפשר שכל שהיו שלשה בקיאים בשומא אם שמה לעצמה מדעתם מעשיה קיימים עד כאן לשונו:</w:t>
      </w:r>
    </w:p>
    <w:p w14:paraId="42B8B408" w14:textId="77777777" w:rsidR="002E5BAD" w:rsidRDefault="002E5BAD" w:rsidP="002E5BAD">
      <w:pPr>
        <w:rPr>
          <w:rtl/>
        </w:rPr>
      </w:pPr>
      <w:r>
        <w:rPr>
          <w:rFonts w:cs="Arial"/>
          <w:rtl/>
        </w:rPr>
        <w:t>ומ"ש ואם טעתה אפילו כל שהוא וכו' מכרה בטל. אמכרה לאחרים קאי דאי בלקחה לעצמה מאי איריא טעתה אפילו לא טעתה נמי והדין זה שכתב רבינו נראה שהוא ממה ששנינו במשנה פרק אלמנה נזונת (שם) היתה כתובתה מנה ומכרה שוה מנה ודינר במנה מכרה בטל. ומשמע לרבינו דהוא הדין במכרה למזונות אבל אין נראה כן מדברי רש"י שכתב מכרה בטל שאותו דינר [נ"א: דבר] אין לה רשות למכור נמצא שכל המכר טעות שהרי בבת אחת היה ע"כ וטעם זה לא שייך במזונות וגם הרמב"ם לא כתב כן בפרק י"ח מהלכות אישות ולפיכך היה נראה לי דאלקחה לעצמה קאי ואף על גב דבלא טעתה נמי אין המכר כלום היינו לומר שאם ירצו היורשים יבטלוהו אבל היא אינה יכול[ה] לבטלו אבל בטעתה מכרה בטל כלומר ואף היא יכולה לבטלו אלא שק"ל מנ"ל לחלק בכך וצ"ע: [בדק הבית] ולכן נראה דאמכרה לאחרים קאי והוא ממתניתין דהיתה כתובתה מנה ומכרה שוה מנה ודינר במנה מכרה בטל ומשמע ליה דהוא הדין למזונות וטעמא משום דחיישינן להפסידא דיתמי אפילו היא אומרת אני אחזיר את הדינר ליורשים מכל מקום כיון שהיה טעות במכר הרי הוא בטל [עד כאן]:</w:t>
      </w:r>
    </w:p>
    <w:p w14:paraId="42DF6462" w14:textId="77777777" w:rsidR="002E5BAD" w:rsidRDefault="002E5BAD" w:rsidP="002E5BAD">
      <w:pPr>
        <w:rPr>
          <w:rtl/>
        </w:rPr>
      </w:pPr>
      <w:r>
        <w:rPr>
          <w:rFonts w:cs="Arial"/>
          <w:rtl/>
        </w:rPr>
        <w:t>ומ"ש והאחריות הוא על היתומים. הא ודאי פשיטא דבמוכרת לאחרים קאמר והוא מימרא פרק אלמנה נזונת (צז.) אמר רב יוסף ארמלתא דזבין אחריות איתמי. ופירש רש"י ארמלתא דזבין שדה יתומים למזונות או לכתובה וקיבלה עליה אחריות חריות הלקוחות חוזר על היתומים שהרי עליהם היה החוב:</w:t>
      </w:r>
    </w:p>
    <w:p w14:paraId="0F1AD667" w14:textId="77777777" w:rsidR="002E5BAD" w:rsidRDefault="002E5BAD" w:rsidP="002E5BAD">
      <w:pPr>
        <w:rPr>
          <w:rtl/>
        </w:rPr>
      </w:pPr>
      <w:r>
        <w:rPr>
          <w:rFonts w:cs="Arial"/>
          <w:rtl/>
        </w:rPr>
        <w:t>ומ"ש אפילו הכי כשבאה לגבות כתובתה אינה יכולה לטרוף מהלקוחות שמכרה להם לצורך מזונותיה. שם בעו מיניה מרב ששת מוכרת למזונות מהו שתחזור ותטרוף לכתובה כיון דאחריות איתמי טרפא או דילמא מצי אמרי לה נהי דאחריות דעלמא לא קבילת עילוך אחריות דנפשך מי לא קבולי קבילת ופשט להו דלא טרפא</w:t>
      </w:r>
      <w:r>
        <w:rPr>
          <w:rStyle w:val="a7"/>
          <w:rFonts w:cs="Arial"/>
          <w:rtl/>
        </w:rPr>
        <w:footnoteReference w:id="2292"/>
      </w:r>
      <w:r>
        <w:rPr>
          <w:rFonts w:cs="Arial"/>
          <w:rtl/>
        </w:rPr>
        <w:t>:</w:t>
      </w:r>
    </w:p>
    <w:p w14:paraId="139FD5E2" w14:textId="77777777" w:rsidR="002E5BAD" w:rsidRPr="00C94137" w:rsidRDefault="002E5BAD" w:rsidP="002E5BAD">
      <w:pPr>
        <w:rPr>
          <w:rtl/>
        </w:rPr>
      </w:pPr>
      <w:r>
        <w:rPr>
          <w:rFonts w:cs="Arial"/>
          <w:rtl/>
        </w:rPr>
        <w:t>ומ"ש וכן אם מכרה בינה לבין עצמה שוה בשוה מכרה קיים וכשיבואו היורשים להשביעה נשבעת. כן כתב הרמב"ם בפרק י"ח (ה"כ) לענין המזונות ובפרק י"ז (הי"ד) לענין הכתובה וכתב הרב המגיד בפרק י"ז שדעת הרמב"ם כדעת המפרשים שאמרו שאע"פ שצריכה ב"ד הדיוטות זהו לכתחלה אבל בדיעבד אפילו בלא הם כשמכרה שוה בשוה מכרה קיים אבל הרמב"ן ז"ל כתב בפרק אלו מציאות (ב"מ לב: ד"ה ואי) אפילו בדיעבד אין מכרה קיים בינה לבין עצמה וכן כתוב בעיטור (אות כ כתובות לה ע"ג) בשם ר"ח בין לכתובה בין למזונות ורבינו כתב בסימן ק"ג (קנה:) שהרא"ש כתב בתשובה (כלל נ סי' ח) כדברי ר"ח ועיין במה שכתבתי בסוף בסימן הנזכר:</w:t>
      </w:r>
    </w:p>
    <w:p w14:paraId="75DCF5D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8D163BF" w14:textId="77777777" w:rsidR="002E5BAD" w:rsidRDefault="002E5BAD" w:rsidP="002E5BAD">
      <w:pPr>
        <w:rPr>
          <w:rtl/>
        </w:rPr>
      </w:pPr>
      <w:r>
        <w:rPr>
          <w:rFonts w:cs="Arial"/>
          <w:rtl/>
        </w:rPr>
        <w:t xml:space="preserve">אלמנה שבאה לבית דין לתבוע מזונות, מוכרין בלא הכרזה ונותנין לה מזונות. וכן יש לה למכור למזונות שלא בב"ד מומחין, אלא בג' אנשים נאמנים בלא הכרזה. וכן אם מכרה בינה לבין עצמה שוה בשוה, מכרה קיים; ויש חולקין בזו. </w:t>
      </w:r>
    </w:p>
    <w:p w14:paraId="53EC7A6A" w14:textId="77777777" w:rsidR="002E5BAD" w:rsidRDefault="002E5BAD" w:rsidP="002E5BAD">
      <w:pPr>
        <w:rPr>
          <w:rtl/>
        </w:rPr>
      </w:pPr>
    </w:p>
    <w:p w14:paraId="32212128" w14:textId="77777777" w:rsidR="002E5BAD" w:rsidRDefault="002E5BAD" w:rsidP="002E5BAD">
      <w:pPr>
        <w:pStyle w:val="2"/>
        <w:rPr>
          <w:rtl/>
        </w:rPr>
      </w:pPr>
      <w:r>
        <w:rPr>
          <w:rtl/>
        </w:rPr>
        <w:t>סעיף כו</w:t>
      </w:r>
      <w:r>
        <w:rPr>
          <w:rFonts w:hint="cs"/>
          <w:rtl/>
        </w:rPr>
        <w:t>:</w:t>
      </w:r>
    </w:p>
    <w:p w14:paraId="3C01BD8B" w14:textId="77777777" w:rsidR="002E5BAD" w:rsidRPr="00D1147A" w:rsidRDefault="002E5BAD" w:rsidP="002E5BAD">
      <w:pPr>
        <w:rPr>
          <w:rtl/>
        </w:rPr>
      </w:pPr>
    </w:p>
    <w:p w14:paraId="29D1585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35AE3B" w14:textId="77777777" w:rsidR="002E5BAD" w:rsidRDefault="002E5BAD" w:rsidP="002E5BAD">
      <w:pPr>
        <w:rPr>
          <w:rtl/>
        </w:rPr>
      </w:pPr>
      <w:r>
        <w:rPr>
          <w:rFonts w:cs="Arial"/>
          <w:rtl/>
        </w:rPr>
        <w:t xml:space="preserve">לא הצריכוה ב"ד הדיוטות אלא למכור, אבל למשכן אינה צריכה. </w:t>
      </w:r>
    </w:p>
    <w:p w14:paraId="2969FDFA" w14:textId="77777777" w:rsidR="002E5BAD" w:rsidRDefault="002E5BAD" w:rsidP="002E5BAD">
      <w:pPr>
        <w:pStyle w:val="2"/>
        <w:rPr>
          <w:rtl/>
        </w:rPr>
      </w:pPr>
      <w:r>
        <w:rPr>
          <w:rtl/>
        </w:rPr>
        <w:t>סעיף כז</w:t>
      </w:r>
    </w:p>
    <w:p w14:paraId="624132E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4B25B4" w14:textId="77777777" w:rsidR="002E5BAD" w:rsidRDefault="002E5BAD" w:rsidP="002E5BAD">
      <w:pPr>
        <w:rPr>
          <w:rtl/>
        </w:rPr>
      </w:pPr>
      <w:r>
        <w:rPr>
          <w:rFonts w:cs="Arial"/>
          <w:rtl/>
        </w:rPr>
        <w:t xml:space="preserve">אם לקחה הקרקע לעצמה בסכום ידוע, אפילו הוא שוה בשוה, אינו כלום אפילו הכריזה, ואם נתייקר אח"כ צריכה להחזירו ליורשים, ואפילו לא נתייקר, אם ירצו יבטלו המקח. </w:t>
      </w:r>
    </w:p>
    <w:p w14:paraId="2FF25D68" w14:textId="77777777" w:rsidR="002E5BAD" w:rsidRDefault="002E5BAD" w:rsidP="002E5BAD">
      <w:pPr>
        <w:pStyle w:val="2"/>
        <w:rPr>
          <w:rtl/>
        </w:rPr>
      </w:pPr>
      <w:r>
        <w:rPr>
          <w:rtl/>
        </w:rPr>
        <w:t>סעיף כח</w:t>
      </w:r>
    </w:p>
    <w:p w14:paraId="7FF631B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DE8955" w14:textId="77777777" w:rsidR="002E5BAD" w:rsidRDefault="002E5BAD" w:rsidP="002E5BAD">
      <w:pPr>
        <w:rPr>
          <w:rtl/>
        </w:rPr>
      </w:pPr>
      <w:r>
        <w:rPr>
          <w:rFonts w:cs="Arial"/>
          <w:rtl/>
        </w:rPr>
        <w:t xml:space="preserve">ואם היו ב"ד הדיוטות שם, מקחה קיים. וי"א שגם בזו אינו כלום עד שיהיו שם ב"ד מומחין. </w:t>
      </w:r>
    </w:p>
    <w:p w14:paraId="4E4756EC" w14:textId="77777777" w:rsidR="002E5BAD" w:rsidRDefault="002E5BAD" w:rsidP="002E5BAD">
      <w:pPr>
        <w:pStyle w:val="2"/>
        <w:rPr>
          <w:rtl/>
        </w:rPr>
      </w:pPr>
      <w:r>
        <w:rPr>
          <w:rtl/>
        </w:rPr>
        <w:t>סעיף כט</w:t>
      </w:r>
    </w:p>
    <w:p w14:paraId="21DE7BC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3FEF56" w14:textId="77777777" w:rsidR="002E5BAD" w:rsidRDefault="002E5BAD" w:rsidP="002E5BAD">
      <w:pPr>
        <w:rPr>
          <w:rtl/>
        </w:rPr>
      </w:pPr>
      <w:r>
        <w:rPr>
          <w:rFonts w:cs="Arial"/>
          <w:rtl/>
        </w:rPr>
        <w:t xml:space="preserve">אלמנה שמכרה, האחריות על היתומים; ואעפ"כ כשבאה לגבות כתובתה אינה יכולה לטרוף מהלקוחות שמכרה להם. </w:t>
      </w:r>
    </w:p>
    <w:p w14:paraId="02CDB939" w14:textId="77777777" w:rsidR="002E5BAD" w:rsidRDefault="002E5BAD" w:rsidP="002E5BAD">
      <w:pPr>
        <w:pStyle w:val="2"/>
        <w:rPr>
          <w:rtl/>
        </w:rPr>
      </w:pPr>
      <w:r>
        <w:rPr>
          <w:rtl/>
        </w:rPr>
        <w:t>סעיף ל</w:t>
      </w:r>
    </w:p>
    <w:p w14:paraId="2947604D" w14:textId="77777777" w:rsidR="002E5BAD" w:rsidRPr="000A1431" w:rsidRDefault="002E5BAD" w:rsidP="00B75458">
      <w:pPr>
        <w:pStyle w:val="ab"/>
        <w:numPr>
          <w:ilvl w:val="0"/>
          <w:numId w:val="192"/>
        </w:numPr>
        <w:rPr>
          <w:rtl/>
        </w:rPr>
      </w:pPr>
      <w:r>
        <w:rPr>
          <w:rFonts w:cs="Arial" w:hint="cs"/>
          <w:rtl/>
        </w:rPr>
        <w:t xml:space="preserve">טור- </w:t>
      </w:r>
      <w:r w:rsidRPr="000A1431">
        <w:rPr>
          <w:rFonts w:cs="Arial"/>
          <w:rtl/>
        </w:rPr>
        <w:t>ומוכרת כדי מזונות הצריכות לה לו' חדשים והמעות ישארו ביד הלוקח שלא יתנם לה הכל מיד שמא תינשא או תתבע כתובתה שאין לה עוד מזונות אלא נותן לה מזונות של ל' יום וכן לעולם וכתב בעל העיטור ומסתבר דוקא קרקע שאינו ראוי לימכר דבר מועט אבל מטלטלין בזמן הזה אין למכור אלא חפץ אחד לריש מתיבתא כי אמרינן מוכרת לששה חדשים שלא בב"ד הדיוטו' לאלתר דשכיח שאין אדם רוצה שתתבזה אשתו בב"ד אבל מכאן ואילך מוכרת בב"ד אפי' לכמה שנים עד שתטול כתובתה וה"מ סתמא אבל היכא דיהיב ברשותה לזבוני ואיתזוני מוכרת אפילו שלא בב"ד הדיוטות ולא בריר לן ומסתבר לעולם אינה מוכרת אלא לששה חדשים וכל זה אינו אלא כשהיא מוכרת אז לא הרשוה למכור אלא כדי מזונות ששה חדשים אבל מכרו ב"ד אין קצבה לדבר אלא לפי ראות עיניהם מה שהוא תועלת היתומים:</w:t>
      </w:r>
    </w:p>
    <w:p w14:paraId="32464457" w14:textId="77777777" w:rsidR="002E5BAD" w:rsidRDefault="002E5BAD" w:rsidP="002E5BAD">
      <w:pPr>
        <w:rPr>
          <w:rtl/>
        </w:rPr>
      </w:pPr>
      <w:r w:rsidRPr="00C94137">
        <w:rPr>
          <w:rFonts w:cs="Arial"/>
          <w:rtl/>
        </w:rPr>
        <w:t>ל (א) ומוכרת כדי מזונות הצריכה לששה חדשים והמעות ישארו ביד הלוקח וכו' אלא נותן לה מזונות של ל' יום וכן לעולם. בפרק אלמנה נזונת (צז.) אמר אמימר הלכתא מוכרת לששה חדשים ולוקח מפרנס אחת לשלשים יום. וכתב הרמב"ם בפי"ח (הכ"א) וכן מוכרת והולכת לעולם עד שישאר מן הנכסים כדי כתובתה גובה כתובתה מן השאר והולכת לה וכבר נתבאר בסימן זה (קלח. ד"ה כתב הרי"ף) שאע"פ שדעת הרי"ף שאין לה מזונות יותר מכדי כתובתה אלא אם כן יש בנכסים כדי שתתפרנס מהריוח דעת הרמב"ם עיקר וכן דעת הרא"ש והרב המגיד והאחרונים ז"ל. ואהא דאמרינן ולוקח מפרנס אחת לשלשים יום פירש רש"י (ד"ה והלוקח) שלא ימסור לה הלוקח המעות אלא מזונות של חדש בחדש שאם תנשא יחזור מה שבידו ליורשים ע"כ.</w:t>
      </w:r>
    </w:p>
    <w:p w14:paraId="4CB88A55" w14:textId="77777777" w:rsidR="002E5BAD" w:rsidRDefault="002E5BAD" w:rsidP="002E5BAD">
      <w:pPr>
        <w:rPr>
          <w:rtl/>
        </w:rPr>
      </w:pPr>
      <w:r>
        <w:rPr>
          <w:rFonts w:cs="Arial"/>
          <w:rtl/>
        </w:rPr>
        <w:t>ל (ב) וכתב בעל העיטור (אות כ כתובות לה ע"ג) ומסתבר דוקא קרקע וכו'. לריש מתיבתא כי אמרינן מוכרת לששה חדשים וכו':</w:t>
      </w:r>
    </w:p>
    <w:p w14:paraId="5E9FB8B7" w14:textId="77777777" w:rsidR="002E5BAD" w:rsidRPr="00C94137" w:rsidRDefault="002E5BAD" w:rsidP="002E5BAD">
      <w:pPr>
        <w:rPr>
          <w:rtl/>
        </w:rPr>
      </w:pPr>
      <w:r>
        <w:rPr>
          <w:rFonts w:cs="Arial"/>
          <w:rtl/>
        </w:rPr>
        <w:lastRenderedPageBreak/>
        <w:t>וכל זה אינו אלא כשהיא מוכרת אז לא הרשוה למכור וכו' אבל מכרו בית דין אין קיצבה לדבר אלא לפי ראות עיניהם. כך כתב הרא"ש בפרק אלמנה נזונת (סי' ח) אהא דאמר אמימר מוכרת לששה חדשים.</w:t>
      </w:r>
    </w:p>
    <w:p w14:paraId="307E3C8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E46D57" w14:textId="77777777" w:rsidR="002E5BAD" w:rsidRDefault="002E5BAD" w:rsidP="002E5BAD">
      <w:pPr>
        <w:rPr>
          <w:rtl/>
        </w:rPr>
      </w:pPr>
      <w:r>
        <w:rPr>
          <w:rFonts w:cs="Arial"/>
          <w:rtl/>
        </w:rPr>
        <w:t xml:space="preserve">כמה מוכרים למזונות כדי לזון מהם, ששה חדשים ולא יותר. והמעות ישארו ביד הלוקח, שלא יתנם לה הכל מיד, אלא כדי מזון ל' יום, וכן משלשים יום לשלשים יום. וחוזרת ומוכרה שנית לששה חדשים; וכן מוכרת והולכת לעולם, עד שישאר מהנכסים כדי כתובתה, גובה כתובתה מהשאר והולכת לה. </w:t>
      </w:r>
      <w:r w:rsidRPr="00D1147A">
        <w:rPr>
          <w:rFonts w:cs="Arial"/>
          <w:sz w:val="18"/>
          <w:szCs w:val="18"/>
          <w:rtl/>
        </w:rPr>
        <w:t>הגה: י"א הא דמוכרת לו' חדשים היינו דוקא קרקע, אבל בזמן הזה דניזונת ממטלטלין אין למכור אלא חפץ אחד (טור בשם בעל העיטור).</w:t>
      </w:r>
      <w:r>
        <w:rPr>
          <w:rFonts w:cs="Arial"/>
          <w:rtl/>
        </w:rPr>
        <w:t xml:space="preserve"> </w:t>
      </w:r>
    </w:p>
    <w:p w14:paraId="57439731" w14:textId="77777777" w:rsidR="002E5BAD" w:rsidRDefault="002E5BAD" w:rsidP="002E5BAD">
      <w:pPr>
        <w:rPr>
          <w:rtl/>
        </w:rPr>
      </w:pPr>
    </w:p>
    <w:p w14:paraId="570C24EA" w14:textId="77777777" w:rsidR="002E5BAD" w:rsidRDefault="002E5BAD" w:rsidP="002E5BAD">
      <w:pPr>
        <w:pStyle w:val="2"/>
        <w:rPr>
          <w:rtl/>
        </w:rPr>
      </w:pPr>
      <w:r>
        <w:rPr>
          <w:rtl/>
        </w:rPr>
        <w:t>סעיף לא</w:t>
      </w:r>
    </w:p>
    <w:p w14:paraId="07F1175A" w14:textId="77777777" w:rsidR="002E5BAD" w:rsidRPr="00D1147A" w:rsidRDefault="002E5BAD" w:rsidP="002E5BAD">
      <w:pPr>
        <w:rPr>
          <w:rtl/>
        </w:rPr>
      </w:pPr>
      <w:r w:rsidRPr="00D1147A">
        <w:rPr>
          <w:rFonts w:cs="Arial"/>
          <w:rtl/>
        </w:rPr>
        <w:t>לא - לב וכתב הריטב"א (צז. ד"ה אמר) אומר רבינו מאיר שאם היה בענין שלא היו מוצאין ליקח כדי מזונות של ששה חדשים שמוכרין ביותר לפי ראות עיני הדיינים כדי שיהיו לה מזונות כי היכי דמזבנית למזונותיה בלא אכרזתא (פז.) ומכאן נלמוד ג"כ כי כשפוסקין מזונות לאלמנה שאינה נזונת עם היתומים אין נותנין לה לפחות משלשים יום וכן לאשת איש כדי שלא תצטרך להתבזות על מזונותיה בב"ד בכל יום ע"כ:</w:t>
      </w:r>
    </w:p>
    <w:p w14:paraId="4719923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0B1C80" w14:textId="77777777" w:rsidR="002E5BAD" w:rsidRDefault="002E5BAD" w:rsidP="002E5BAD">
      <w:pPr>
        <w:rPr>
          <w:rtl/>
        </w:rPr>
      </w:pPr>
      <w:r>
        <w:rPr>
          <w:rFonts w:cs="Arial"/>
          <w:rtl/>
        </w:rPr>
        <w:t xml:space="preserve">אם אין מוצאים ליקח כדי מזונות של ששה חדשים, מוכרים ביותר, לפי ראות עיני הדיינים, כדי שיהיו לה מזונות. </w:t>
      </w:r>
    </w:p>
    <w:p w14:paraId="34513025" w14:textId="77777777" w:rsidR="002E5BAD" w:rsidRDefault="002E5BAD" w:rsidP="002E5BAD">
      <w:pPr>
        <w:rPr>
          <w:rtl/>
        </w:rPr>
      </w:pPr>
    </w:p>
    <w:p w14:paraId="29B0C685" w14:textId="77777777" w:rsidR="002E5BAD" w:rsidRDefault="002E5BAD" w:rsidP="002E5BAD">
      <w:pPr>
        <w:pStyle w:val="2"/>
        <w:rPr>
          <w:rtl/>
        </w:rPr>
      </w:pPr>
      <w:r>
        <w:rPr>
          <w:rtl/>
        </w:rPr>
        <w:t>סעיף לב</w:t>
      </w:r>
    </w:p>
    <w:p w14:paraId="7DBCB64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AAADF2" w14:textId="77777777" w:rsidR="002E5BAD" w:rsidRPr="007A3469" w:rsidRDefault="002E5BAD" w:rsidP="002E5BAD">
      <w:pPr>
        <w:rPr>
          <w:rtl/>
        </w:rPr>
        <w:sectPr w:rsidR="002E5BAD" w:rsidRPr="007A3469" w:rsidSect="00A347B3">
          <w:headerReference w:type="default" r:id="rId49"/>
          <w:footerReference w:type="default" r:id="rId50"/>
          <w:footnotePr>
            <w:numRestart w:val="eachPage"/>
          </w:footnotePr>
          <w:pgSz w:w="11906" w:h="16838"/>
          <w:pgMar w:top="720" w:right="1134" w:bottom="720" w:left="1134" w:header="0" w:footer="0" w:gutter="0"/>
          <w:cols w:space="720"/>
          <w:bidi/>
          <w:rtlGutter/>
          <w:docGrid w:linePitch="360"/>
        </w:sectPr>
      </w:pPr>
      <w:r>
        <w:rPr>
          <w:rFonts w:cs="Arial"/>
          <w:rtl/>
        </w:rPr>
        <w:t>כשפוסקין מזונות לאלמנה שאינה ניזונת עם היתומים, אין נותנין לה לפחות משלשים יום; וכן לאשת איש, כדי שלא תצטרך להתבזות על מזונותיה בב"ד בכל יום.</w:t>
      </w:r>
    </w:p>
    <w:p w14:paraId="6DDFEE0F" w14:textId="77777777" w:rsidR="002E5BAD" w:rsidRDefault="002E5BAD" w:rsidP="002E5BAD">
      <w:pPr>
        <w:pStyle w:val="1"/>
        <w:rPr>
          <w:rtl/>
        </w:rPr>
      </w:pPr>
      <w:r>
        <w:rPr>
          <w:rFonts w:hint="cs"/>
          <w:rtl/>
        </w:rPr>
        <w:lastRenderedPageBreak/>
        <w:t>סימן צד:</w:t>
      </w:r>
      <w:r w:rsidRPr="00C12B74">
        <w:rPr>
          <w:rtl/>
        </w:rPr>
        <w:t xml:space="preserve"> </w:t>
      </w:r>
      <w:r>
        <w:rPr>
          <w:rFonts w:cs="Arial"/>
          <w:rtl/>
        </w:rPr>
        <w:t xml:space="preserve">חיוב דירת אלמנה וכסותה, ואם אמרה שיתנו לה מזונות בבית אביה, ובו ז' סעיפים. </w:t>
      </w:r>
    </w:p>
    <w:p w14:paraId="42BCAAC9" w14:textId="77777777" w:rsidR="002E5BAD" w:rsidRDefault="002E5BAD" w:rsidP="002E5BAD">
      <w:pPr>
        <w:pStyle w:val="2"/>
        <w:rPr>
          <w:rtl/>
        </w:rPr>
      </w:pPr>
      <w:r>
        <w:rPr>
          <w:rtl/>
        </w:rPr>
        <w:t>סעיף א</w:t>
      </w:r>
    </w:p>
    <w:p w14:paraId="5AF0CC3E" w14:textId="77777777" w:rsidR="002E5BAD" w:rsidRDefault="002E5BAD" w:rsidP="002E5BAD">
      <w:pPr>
        <w:rPr>
          <w:rtl/>
        </w:rPr>
      </w:pPr>
      <w:r>
        <w:rPr>
          <w:rFonts w:cs="Arial"/>
          <w:rtl/>
        </w:rPr>
        <w:t xml:space="preserve">כדרך שניזונת אלמנתו מנכסיו, כך נותנין לה כסות וכלי תשמיש ומדור, או יושבת במדור שהיתה בו בחיי בעלה. הגה: ואינה משמשת בכל הבית עם היורשים, רק נותנין לה מדור מיוחד לפי כבודה, בבית (הר"ן פ' נערה בשם הרשב"א והמ"מ פי"ח) וי"א דיכולין ליתן לה מדור הראוי לה בבית אחר (כן משמע במרדכי פרק הנושא ובפרק נערה שנתפתתה). ואין האלמנה יכולה להשכיר מדור שלה לאחרים (תשובת הרשב"א ובהר"ן פרק הנושא). ומשתמשת בכרים ובכסתות, בעבדים ושפחות שנשתמשה בהם בחיי בעלה (כשהיה בעלה במדינת הים) (בהר"ן פרק נערה). </w:t>
      </w:r>
    </w:p>
    <w:p w14:paraId="62D83D97" w14:textId="77777777" w:rsidR="002E5BAD" w:rsidRDefault="002E5BAD" w:rsidP="002E5BAD">
      <w:pPr>
        <w:pStyle w:val="2"/>
        <w:rPr>
          <w:rtl/>
        </w:rPr>
      </w:pPr>
      <w:r>
        <w:rPr>
          <w:rtl/>
        </w:rPr>
        <w:t>סעיף ב</w:t>
      </w:r>
    </w:p>
    <w:p w14:paraId="1CBFA63F" w14:textId="77777777" w:rsidR="002E5BAD" w:rsidRDefault="002E5BAD" w:rsidP="002E5BAD">
      <w:pPr>
        <w:rPr>
          <w:rtl/>
        </w:rPr>
      </w:pPr>
      <w:r>
        <w:rPr>
          <w:rFonts w:cs="Arial"/>
          <w:rtl/>
        </w:rPr>
        <w:t xml:space="preserve">נפל המדור, אין היורשין חייבין לבנותו. ואם אמרה: הניחו לי ואני אבננו משלי, אין שומעין לה; וכן לא תחזק בדקו ולא תטחה אותו, אלא תשב בו כמו שהוא או תצא. </w:t>
      </w:r>
    </w:p>
    <w:p w14:paraId="7F5970EF" w14:textId="77777777" w:rsidR="002E5BAD" w:rsidRDefault="002E5BAD" w:rsidP="002E5BAD">
      <w:pPr>
        <w:pStyle w:val="2"/>
        <w:rPr>
          <w:rtl/>
        </w:rPr>
      </w:pPr>
      <w:r>
        <w:rPr>
          <w:rtl/>
        </w:rPr>
        <w:t>סעיף ג</w:t>
      </w:r>
    </w:p>
    <w:p w14:paraId="254E8DEB" w14:textId="77777777" w:rsidR="002E5BAD" w:rsidRDefault="002E5BAD" w:rsidP="002E5BAD">
      <w:pPr>
        <w:rPr>
          <w:rtl/>
        </w:rPr>
      </w:pPr>
      <w:r>
        <w:rPr>
          <w:rFonts w:cs="Arial"/>
          <w:rtl/>
        </w:rPr>
        <w:t xml:space="preserve">ואם נפל, אפילו בנאוהו יורשין, אבדה זכותה ממנו. </w:t>
      </w:r>
    </w:p>
    <w:p w14:paraId="51A7250C" w14:textId="77777777" w:rsidR="002E5BAD" w:rsidRDefault="002E5BAD" w:rsidP="002E5BAD">
      <w:pPr>
        <w:pStyle w:val="2"/>
        <w:rPr>
          <w:rtl/>
        </w:rPr>
      </w:pPr>
      <w:r>
        <w:rPr>
          <w:rtl/>
        </w:rPr>
        <w:t>סעיף ד</w:t>
      </w:r>
    </w:p>
    <w:p w14:paraId="14450B70" w14:textId="77777777" w:rsidR="002E5BAD" w:rsidRDefault="002E5BAD" w:rsidP="002E5BAD">
      <w:pPr>
        <w:rPr>
          <w:rtl/>
        </w:rPr>
      </w:pPr>
      <w:r>
        <w:rPr>
          <w:rFonts w:cs="Arial"/>
          <w:rtl/>
        </w:rPr>
        <w:t xml:space="preserve">יורשין שמכרו מדור אלמנה, לא עשו כלום. </w:t>
      </w:r>
    </w:p>
    <w:p w14:paraId="37D48581" w14:textId="77777777" w:rsidR="002E5BAD" w:rsidRDefault="002E5BAD" w:rsidP="002E5BAD">
      <w:pPr>
        <w:pStyle w:val="2"/>
        <w:rPr>
          <w:rtl/>
        </w:rPr>
      </w:pPr>
      <w:r>
        <w:rPr>
          <w:rtl/>
        </w:rPr>
        <w:t>סעיף ה</w:t>
      </w:r>
    </w:p>
    <w:p w14:paraId="6F127A15" w14:textId="77777777" w:rsidR="002E5BAD" w:rsidRDefault="002E5BAD" w:rsidP="002E5BAD">
      <w:pPr>
        <w:rPr>
          <w:rtl/>
        </w:rPr>
      </w:pPr>
      <w:r>
        <w:rPr>
          <w:rFonts w:cs="Arial"/>
          <w:rtl/>
        </w:rPr>
        <w:t xml:space="preserve">נפל הבית, או שלא היה לבעלה בית אלא בשכר, נותנין לה מדור לפי כבודה, וכן מזונותיה וכסותה לפי כבודה. ואם היה כבוד בעלה גדול, נותנין לה לפי כבודו. </w:t>
      </w:r>
    </w:p>
    <w:p w14:paraId="32E257C3" w14:textId="77777777" w:rsidR="002E5BAD" w:rsidRDefault="002E5BAD" w:rsidP="002E5BAD">
      <w:pPr>
        <w:pStyle w:val="2"/>
        <w:rPr>
          <w:rtl/>
        </w:rPr>
      </w:pPr>
      <w:r>
        <w:rPr>
          <w:rtl/>
        </w:rPr>
        <w:t>סעיף ו</w:t>
      </w:r>
    </w:p>
    <w:p w14:paraId="304DAF7A" w14:textId="77777777" w:rsidR="002E5BAD" w:rsidRDefault="002E5BAD" w:rsidP="002E5BAD">
      <w:pPr>
        <w:rPr>
          <w:rtl/>
        </w:rPr>
      </w:pPr>
      <w:r>
        <w:rPr>
          <w:rFonts w:cs="Arial"/>
          <w:rtl/>
        </w:rPr>
        <w:t xml:space="preserve">אלמנה שאמרה: איני זזה מבית אבי, פסקו לי מזונות ותנו לי שם, יכולין היורשין לומר: אם את אצלנו יש לך מזונות, ואם לאו אין אנו נותנין לך אלא כפי ברכת הבית. ואם היתה טוענת מפני שהיא ילדה והם ילדים, נותנין לה מזונות המספיקים לה לבדה והיא בבית אביה. (וי"א שאין זה טענה אלא באשת אב שאינה אמם) (טור בשם הרמ"ה). </w:t>
      </w:r>
    </w:p>
    <w:p w14:paraId="2F51BAC8" w14:textId="77777777" w:rsidR="002E5BAD" w:rsidRDefault="002E5BAD" w:rsidP="002E5BAD">
      <w:pPr>
        <w:pStyle w:val="2"/>
        <w:rPr>
          <w:rtl/>
        </w:rPr>
      </w:pPr>
      <w:r>
        <w:rPr>
          <w:rtl/>
        </w:rPr>
        <w:t>סעיף ז</w:t>
      </w:r>
    </w:p>
    <w:p w14:paraId="6D774DDD" w14:textId="77777777" w:rsidR="002E5BAD" w:rsidRPr="007A3469" w:rsidRDefault="002E5BAD" w:rsidP="002E5BAD">
      <w:pPr>
        <w:rPr>
          <w:rtl/>
        </w:rPr>
        <w:sectPr w:rsidR="002E5BAD" w:rsidRPr="007A3469" w:rsidSect="00A347B3">
          <w:headerReference w:type="default" r:id="rId51"/>
          <w:footnotePr>
            <w:numRestart w:val="eachPage"/>
          </w:footnotePr>
          <w:pgSz w:w="11906" w:h="16838"/>
          <w:pgMar w:top="720" w:right="1134" w:bottom="720" w:left="1134" w:header="0" w:footer="0" w:gutter="0"/>
          <w:cols w:space="720"/>
          <w:bidi/>
          <w:rtlGutter/>
          <w:docGrid w:linePitch="360"/>
        </w:sectPr>
      </w:pPr>
      <w:r>
        <w:rPr>
          <w:rFonts w:cs="Arial"/>
          <w:rtl/>
        </w:rPr>
        <w:t>חייבים לפרוע בשבילה כסף גולגלתה ומס שעליה, כדרך שפרע בעלה בשבילה. אבל אין חייבין בפדיונה, ולא ברפואתה שיש לה קצבה, ולא בקבורתה.</w:t>
      </w:r>
    </w:p>
    <w:p w14:paraId="14F314DE" w14:textId="77777777" w:rsidR="002E5BAD" w:rsidRDefault="002E5BAD" w:rsidP="002E5BAD">
      <w:pPr>
        <w:pStyle w:val="1"/>
        <w:rPr>
          <w:rtl/>
        </w:rPr>
      </w:pPr>
      <w:r>
        <w:rPr>
          <w:rFonts w:hint="cs"/>
          <w:rtl/>
        </w:rPr>
        <w:lastRenderedPageBreak/>
        <w:t>סימן צה:</w:t>
      </w:r>
      <w:r w:rsidRPr="00C12B74">
        <w:rPr>
          <w:rtl/>
        </w:rPr>
        <w:t xml:space="preserve"> </w:t>
      </w:r>
      <w:r>
        <w:rPr>
          <w:rFonts w:cs="Arial"/>
          <w:rtl/>
        </w:rPr>
        <w:t xml:space="preserve">חיוב מעשה ידיה ליורשים, ואם השביחו הנכסים אם נוטלת בהם, ובו ז' סעיפים. </w:t>
      </w:r>
    </w:p>
    <w:p w14:paraId="4C744C9C" w14:textId="77777777" w:rsidR="002E5BAD" w:rsidRDefault="002E5BAD" w:rsidP="002E5BAD">
      <w:pPr>
        <w:pStyle w:val="2"/>
        <w:rPr>
          <w:rtl/>
        </w:rPr>
      </w:pPr>
      <w:r>
        <w:rPr>
          <w:rtl/>
        </w:rPr>
        <w:t>סעיף א</w:t>
      </w:r>
    </w:p>
    <w:p w14:paraId="24ABCCD9" w14:textId="77777777" w:rsidR="002E5BAD" w:rsidRDefault="002E5BAD" w:rsidP="002E5BAD">
      <w:pPr>
        <w:rPr>
          <w:rtl/>
        </w:rPr>
      </w:pPr>
      <w:r>
        <w:rPr>
          <w:rFonts w:cs="Arial"/>
          <w:rtl/>
        </w:rPr>
        <w:t xml:space="preserve">מאחר שהיורשים חייבים במזונות האלמנה, מעשה ידיה שלהם. ואם היורשים אומרים לה: טלי מעשה ידיך למזונותיך, אין שומעין להם. אבל אם היא אומרת כן, שומעין לה. </w:t>
      </w:r>
    </w:p>
    <w:p w14:paraId="6DDE61F1" w14:textId="77777777" w:rsidR="002E5BAD" w:rsidRDefault="002E5BAD" w:rsidP="002E5BAD">
      <w:pPr>
        <w:pStyle w:val="2"/>
        <w:rPr>
          <w:rtl/>
        </w:rPr>
      </w:pPr>
      <w:r>
        <w:rPr>
          <w:rtl/>
        </w:rPr>
        <w:t>סעיף ב</w:t>
      </w:r>
    </w:p>
    <w:p w14:paraId="076054D6" w14:textId="77777777" w:rsidR="002E5BAD" w:rsidRDefault="002E5BAD" w:rsidP="002E5BAD">
      <w:pPr>
        <w:rPr>
          <w:rtl/>
        </w:rPr>
      </w:pPr>
      <w:r>
        <w:rPr>
          <w:rFonts w:cs="Arial"/>
          <w:rtl/>
        </w:rPr>
        <w:t xml:space="preserve">אם היתה מניקה, יכולה היא לומר: איני מניקה אלא בשכר. ויכולה היא לתבוע כתובתה לאלתר, אף על פי שאינה יכולה לינשא תוך כ"ד חדש. </w:t>
      </w:r>
    </w:p>
    <w:p w14:paraId="15A35A01" w14:textId="77777777" w:rsidR="002E5BAD" w:rsidRDefault="002E5BAD" w:rsidP="002E5BAD">
      <w:pPr>
        <w:pStyle w:val="2"/>
        <w:rPr>
          <w:rtl/>
        </w:rPr>
      </w:pPr>
      <w:r>
        <w:rPr>
          <w:rtl/>
        </w:rPr>
        <w:t>סעיף ג</w:t>
      </w:r>
    </w:p>
    <w:p w14:paraId="36C09E0C" w14:textId="77777777" w:rsidR="002E5BAD" w:rsidRDefault="002E5BAD" w:rsidP="002E5BAD">
      <w:pPr>
        <w:rPr>
          <w:rtl/>
        </w:rPr>
      </w:pPr>
      <w:r>
        <w:rPr>
          <w:rFonts w:cs="Arial"/>
          <w:rtl/>
        </w:rPr>
        <w:t xml:space="preserve">כל מלאכות שהאשה עושה לבעלה אלמנה עושה ליורשים, חוץ ממזיגת הכוס והצעת המטה והרחצת פנים ידים ורגלים. </w:t>
      </w:r>
    </w:p>
    <w:p w14:paraId="167C095B" w14:textId="77777777" w:rsidR="002E5BAD" w:rsidRDefault="002E5BAD" w:rsidP="002E5BAD">
      <w:pPr>
        <w:pStyle w:val="2"/>
        <w:rPr>
          <w:rtl/>
        </w:rPr>
      </w:pPr>
      <w:r>
        <w:rPr>
          <w:rtl/>
        </w:rPr>
        <w:t>סעיף ד</w:t>
      </w:r>
    </w:p>
    <w:p w14:paraId="2F7F971D" w14:textId="77777777" w:rsidR="002E5BAD" w:rsidRDefault="002E5BAD" w:rsidP="002E5BAD">
      <w:pPr>
        <w:rPr>
          <w:rtl/>
        </w:rPr>
      </w:pPr>
      <w:r>
        <w:rPr>
          <w:rFonts w:cs="Arial"/>
          <w:rtl/>
        </w:rPr>
        <w:t xml:space="preserve">מציאתה ופירות נכסיה לעצמה. </w:t>
      </w:r>
    </w:p>
    <w:p w14:paraId="4CD51012" w14:textId="77777777" w:rsidR="002E5BAD" w:rsidRDefault="002E5BAD" w:rsidP="002E5BAD">
      <w:pPr>
        <w:pStyle w:val="2"/>
        <w:rPr>
          <w:rtl/>
        </w:rPr>
      </w:pPr>
      <w:r>
        <w:rPr>
          <w:rtl/>
        </w:rPr>
        <w:t>סעיף ה</w:t>
      </w:r>
    </w:p>
    <w:p w14:paraId="24D668E5" w14:textId="77777777" w:rsidR="002E5BAD" w:rsidRDefault="002E5BAD" w:rsidP="002E5BAD">
      <w:pPr>
        <w:rPr>
          <w:rtl/>
        </w:rPr>
      </w:pPr>
      <w:r>
        <w:rPr>
          <w:rFonts w:cs="Arial"/>
          <w:rtl/>
        </w:rPr>
        <w:t xml:space="preserve">צמצמה עצמה והותירה ממזונותיה, וכן אם הותירה מכסותה ובגדיה, הכל ליורשים. </w:t>
      </w:r>
    </w:p>
    <w:p w14:paraId="5082D150" w14:textId="77777777" w:rsidR="002E5BAD" w:rsidRDefault="002E5BAD" w:rsidP="002E5BAD">
      <w:pPr>
        <w:pStyle w:val="2"/>
        <w:rPr>
          <w:rtl/>
        </w:rPr>
      </w:pPr>
      <w:r>
        <w:rPr>
          <w:rtl/>
        </w:rPr>
        <w:t>סעיף ו</w:t>
      </w:r>
    </w:p>
    <w:p w14:paraId="45A4C5C6" w14:textId="77777777" w:rsidR="002E5BAD" w:rsidRDefault="002E5BAD" w:rsidP="002E5BAD">
      <w:pPr>
        <w:rPr>
          <w:rtl/>
        </w:rPr>
      </w:pPr>
      <w:r>
        <w:rPr>
          <w:rFonts w:cs="Arial"/>
          <w:rtl/>
        </w:rPr>
        <w:t xml:space="preserve">כשבאה האלמנה לב"ד לתבוע מזונותיה אין מחשבין עמה על מעשה ידיה, עד שיבואו היורשים ויתבעוה, אם ימצאו לה מעשה ידיה נוטלין אותו, ואם לאו ילכו לדרכם. ואם היורשים קטנים, ב"ד מחשבין עמה ופוסקין לה מעשה ידיה כדרך שפוסקין לה מזונות. </w:t>
      </w:r>
    </w:p>
    <w:p w14:paraId="5D44235B" w14:textId="77777777" w:rsidR="002E5BAD" w:rsidRDefault="002E5BAD" w:rsidP="002E5BAD">
      <w:pPr>
        <w:pStyle w:val="2"/>
        <w:rPr>
          <w:rtl/>
        </w:rPr>
      </w:pPr>
      <w:r>
        <w:rPr>
          <w:rtl/>
        </w:rPr>
        <w:t>סעיף ז</w:t>
      </w:r>
    </w:p>
    <w:p w14:paraId="1A0D3F84" w14:textId="77777777" w:rsidR="002E5BAD" w:rsidRPr="007A3469" w:rsidRDefault="002E5BAD" w:rsidP="002E5BAD">
      <w:pPr>
        <w:rPr>
          <w:rtl/>
        </w:rPr>
        <w:sectPr w:rsidR="002E5BAD" w:rsidRPr="007A3469" w:rsidSect="00A347B3">
          <w:headerReference w:type="default" r:id="rId52"/>
          <w:footnotePr>
            <w:numRestart w:val="eachPage"/>
          </w:footnotePr>
          <w:pgSz w:w="11906" w:h="16838"/>
          <w:pgMar w:top="720" w:right="1134" w:bottom="720" w:left="1134" w:header="0" w:footer="0" w:gutter="0"/>
          <w:cols w:space="720"/>
          <w:bidi/>
          <w:rtlGutter/>
          <w:docGrid w:linePitch="360"/>
        </w:sectPr>
      </w:pPr>
      <w:r>
        <w:rPr>
          <w:rFonts w:cs="Arial"/>
          <w:rtl/>
        </w:rPr>
        <w:t>אלמנה שניזונית מן היתומים, והניח בעלה קרקע והשביחתו, יש מי שאומר שכל השבח שלהם, ואפילו שכר טרחה אינה נוטלת. יש מי שאומר שהשבח הוא לעצמה. ויש מי שאומר שנוטלת שכר טרחה, אלא שידה על התחתונה. ואם אינה ניזונית משלהם, והניח בעלה נכסים מועטים שאין בהם כדי כתובתה, יש מי שאומר שאם אמרה: ראו מה שהניח לי בעלי ואשביח לעצמי, ונתעצלו מלהגבות כתובתה, אפילו השביחו הנכסים אלף זוז, השבח לעצמה. אבל אם השביחה הנכסים סתם, נוטלת כתובתה והמותר ליורשים. ויש מי שאומר שבין אמרה: ראו, בין לא אמרה, כל השבח ליורשים, ואפילו כתובתה לא תגבה ממנו, אלא שנוטלת שכר טרחה וידה על התחתונה. הגה: וכן עיקר דהשבח כולו הוא של היתומים, ואינה גובה כתובתה ולא מזונות מאותו שבח (במרדכי פרק מי שמת); ולכן אלמנה שישבה זמן ארוך בבית בעלה וניזונית מהם עד שבודאי כלה הקרן שהניח בעלה, אף על גב דיש כאן הרבה מן השבח ששבחה, אינה גובאת כתובתה משם (הטור ומהרי"ו סי' קע"ו). ויש חולקין, אלא כל מה שהוציאה מנכין מן השבח וגובאת כתובתה מן הקרן ולא מן השבח (מהרי"ל סימן מ"ו) ועיין לקמן סימן ק'.</w:t>
      </w:r>
    </w:p>
    <w:p w14:paraId="094A5C2F" w14:textId="77777777" w:rsidR="002E5BAD" w:rsidRDefault="002E5BAD" w:rsidP="002E5BAD">
      <w:pPr>
        <w:pStyle w:val="1"/>
        <w:rPr>
          <w:rtl/>
        </w:rPr>
      </w:pPr>
      <w:r>
        <w:rPr>
          <w:rFonts w:hint="cs"/>
          <w:rtl/>
        </w:rPr>
        <w:lastRenderedPageBreak/>
        <w:t>סימן צו:</w:t>
      </w:r>
      <w:r w:rsidRPr="00C12B74">
        <w:rPr>
          <w:rtl/>
        </w:rPr>
        <w:t xml:space="preserve"> </w:t>
      </w:r>
      <w:r>
        <w:rPr>
          <w:rFonts w:cs="Arial"/>
          <w:rtl/>
        </w:rPr>
        <w:t xml:space="preserve">שבועת אלמנה וגרושה על כתובה, ובו כ"א סעיפים. </w:t>
      </w:r>
    </w:p>
    <w:p w14:paraId="04BF3784" w14:textId="77777777" w:rsidR="002E5BAD" w:rsidRDefault="002E5BAD" w:rsidP="002E5BAD">
      <w:pPr>
        <w:pStyle w:val="2"/>
        <w:rPr>
          <w:rtl/>
        </w:rPr>
      </w:pPr>
      <w:r>
        <w:rPr>
          <w:rtl/>
        </w:rPr>
        <w:t>סעיף א</w:t>
      </w:r>
    </w:p>
    <w:p w14:paraId="36C17E86" w14:textId="77777777" w:rsidR="002E5BAD" w:rsidRDefault="002E5BAD" w:rsidP="002E5BAD">
      <w:pPr>
        <w:rPr>
          <w:rtl/>
        </w:rPr>
      </w:pPr>
      <w:r>
        <w:rPr>
          <w:rFonts w:cs="Arial"/>
          <w:rtl/>
        </w:rPr>
        <w:t xml:space="preserve">אין אלמנה גובה כתובתה, עיקר ותוספת, אלא בשבועה. ונ"מ ונכסי צ"ב, או נכסים שייחד לה בכתובתה בעין, אם אותם שהכניסה לו הם בעצמם קיימים, או דברים שידוע שבאו מכחם, נוטלת אותם בלא שבועה. ואם נכסי צאן ברזל אינם קיימים, ולא דברים הבאים מכחם, ובאה ליפרע מנכסיו, אינה נפרעת אלא בשבועה. וה"ה אם ייחד לה מטלטלים בכתובתה, שיש לחלק בהם כמו שחילקנו בנכסי צ"ב. ואם ייחד לה קרקע בכתובתה, אף על פי שלא פירש אלא מצד אחד, נוטלתו בלא שבועה. ואם מתה קודם שנשבעה, אין יורשיה יורשין כתובתה, שאין אדם מוריש לבניו ממון שאין יכול לגבותו אלא בשבועה. הגה: ועיין בחילוקי דין זה בח"ה סימן ק"ח י"א הא דאין יורשיה יורשין כתובתה היינו בדלא תפסה, אבל תפסה, יורשיה יורשין כתובתה הואיל והן מוחזקין (כן משמע בטור ח"ה סימן ק"ח ובמרדכי ריש אלמנה ניזונית ובפ' מי שמת ומהרי"ו סי' צ"ח ובת"ה סימן ש"ל). ויש חולקין (מרדכי פ' כל הנשבעין בשם מוהר"ם), ועיין בח"ה סימן ק"ח. אם היורשים אומרים: נשבעה, עליהם להביא ראיה (ריב"ש סימן קס"ט). אם פרעו לה מקצת כתובתה ועשו לה שטר חוב על הנשאר, יורשיה יורשין החוב ההוא אפילו לא נשבעה (ב"י בשם תשובת הרשב"א סימן תתס"ו /תתפ"ו/). אלמנה שנשתתקה, ורמזה קודם מיתתה שלא נטלה כלום, סגי בכך והוי כאלו נשבעה (ב"י בשם תשובת הרשב"א). אשה שנשתטית ונתאלמנה, אין יורשיה נוטלין כתובתה הואיל ואינה יכולה לישבע (ב"י בשם תשובת הרשב"א וכ"כ רמב"ן בתשובת סימן ס"ו). ועיין לקמן סימן ק"ה סעיף ג'. אבל אם נתגרשה ומתה, יורשיה נשבעים: שלא פקדתנו, ונוטלין ואפילו מיורשיו, אם מת אחריה. </w:t>
      </w:r>
    </w:p>
    <w:p w14:paraId="381F9DAB" w14:textId="77777777" w:rsidR="002E5BAD" w:rsidRDefault="002E5BAD" w:rsidP="002E5BAD">
      <w:pPr>
        <w:pStyle w:val="2"/>
        <w:rPr>
          <w:rtl/>
        </w:rPr>
      </w:pPr>
      <w:r>
        <w:rPr>
          <w:rtl/>
        </w:rPr>
        <w:t>סעיף ב</w:t>
      </w:r>
    </w:p>
    <w:p w14:paraId="2FF06B6F" w14:textId="77777777" w:rsidR="002E5BAD" w:rsidRDefault="002E5BAD" w:rsidP="002E5BAD">
      <w:pPr>
        <w:rPr>
          <w:rtl/>
        </w:rPr>
      </w:pPr>
      <w:r>
        <w:rPr>
          <w:rFonts w:cs="Arial"/>
          <w:rtl/>
        </w:rPr>
        <w:t xml:space="preserve">מה שבועה נשבעת האלמנה, שלא התפיסה ושלא תפסה היא משלו כלום. ויש מי שאומר שצריכה לישבע שלא מחלה לו כתובתה ושלא מכרה לו. הגה: ואם נשבעה סתם: שלא נהניתי מכתובתי, סגי בכך (הר"ן פ' השולח). ונהגו ג"כ להשביע אותה שלא בזבזה כלום בלא רשות בעלה, ואם בעלה אינו בר דעת אומרים סתם: שלא בזבזה יותר מן הראוי (מהרי"ק שורש י"ט). </w:t>
      </w:r>
    </w:p>
    <w:p w14:paraId="355651A6" w14:textId="77777777" w:rsidR="002E5BAD" w:rsidRDefault="002E5BAD" w:rsidP="002E5BAD">
      <w:pPr>
        <w:pStyle w:val="2"/>
        <w:rPr>
          <w:rtl/>
        </w:rPr>
      </w:pPr>
      <w:r>
        <w:rPr>
          <w:rtl/>
        </w:rPr>
        <w:t>סעיף ג</w:t>
      </w:r>
    </w:p>
    <w:p w14:paraId="4B871C5B" w14:textId="77777777" w:rsidR="002E5BAD" w:rsidRDefault="002E5BAD" w:rsidP="002E5BAD">
      <w:pPr>
        <w:rPr>
          <w:rtl/>
        </w:rPr>
      </w:pPr>
      <w:r>
        <w:rPr>
          <w:rFonts w:cs="Arial"/>
          <w:rtl/>
        </w:rPr>
        <w:t xml:space="preserve">אם האלמנה רוצה ליטול כתובתה, ואינה רוצה לישבע עד שיגדלו בניה, שמא ימחלו לה השבועה, אין שומעין לה. </w:t>
      </w:r>
    </w:p>
    <w:p w14:paraId="19579ABD" w14:textId="77777777" w:rsidR="002E5BAD" w:rsidRDefault="002E5BAD" w:rsidP="002E5BAD">
      <w:pPr>
        <w:pStyle w:val="2"/>
        <w:rPr>
          <w:rtl/>
        </w:rPr>
      </w:pPr>
      <w:r>
        <w:rPr>
          <w:rtl/>
        </w:rPr>
        <w:t>סעיף ד</w:t>
      </w:r>
    </w:p>
    <w:p w14:paraId="50D809AB" w14:textId="77777777" w:rsidR="002E5BAD" w:rsidRDefault="002E5BAD" w:rsidP="002E5BAD">
      <w:pPr>
        <w:rPr>
          <w:rtl/>
        </w:rPr>
      </w:pPr>
      <w:r>
        <w:rPr>
          <w:rFonts w:cs="Arial"/>
          <w:rtl/>
        </w:rPr>
        <w:t xml:space="preserve">אלמנה שאומרת: מנה נתן לי במתנה שלא יכנס בכתובתי, אם היא מוחזקת במנה ויכולה לטעון אין בידי משל בעלי כלום, נאמנת במגו. </w:t>
      </w:r>
    </w:p>
    <w:p w14:paraId="0AF7CA21" w14:textId="77777777" w:rsidR="002E5BAD" w:rsidRDefault="002E5BAD" w:rsidP="002E5BAD">
      <w:pPr>
        <w:pStyle w:val="2"/>
        <w:rPr>
          <w:rtl/>
        </w:rPr>
      </w:pPr>
      <w:r>
        <w:rPr>
          <w:rtl/>
        </w:rPr>
        <w:t>סעיף ה</w:t>
      </w:r>
    </w:p>
    <w:p w14:paraId="5F1201C5" w14:textId="77777777" w:rsidR="002E5BAD" w:rsidRDefault="002E5BAD" w:rsidP="002E5BAD">
      <w:pPr>
        <w:rPr>
          <w:rtl/>
        </w:rPr>
      </w:pPr>
      <w:r>
        <w:rPr>
          <w:rFonts w:cs="Arial"/>
          <w:rtl/>
        </w:rPr>
        <w:t xml:space="preserve">אלמנה שמכרה או נתנה, קיים אם נשבעה לבסוף, ומנכין אותה בכתובתה. וה"מ במטלטלי, אבל במקרקעי, אפילו נשבעה לבסוף, אין מכרה ומתנתה קיימים, אא"כ שמו לה ב"ד, אפילו של הדיוטות. ויש מי שאומר שצריך שיגבו לה ב"ד. הגה: וי"א דאף במטלטלים מכירתה ומתנתה בטלה, אף על גב דנשבעה לבסוף, הואיל ולא נשבעה תחלה. וי"א שיש לדון בזה לפי ראות עיני הדיין (מרדכי פרק הכותב), כי במקום שנראה לדיין שלא תפסה צררי, כגון שמת פתאום או כדומה, יש לדון שמכירתה ומתנתה קיים (הרא"ש כלל פ"ה). וכן אם מוחזקים המקבל או הקונה. וכן נ"ל לדון. וכל זה כשהאשה חזרה בה לאחר שנשבעה, אבל אם לא חזרה, מכירתה ומתנתה קיימים מעכשיו (מהרי"ק שורש ח"י); ולכן אלמנה שלא נשבעה על כתובתה, ונשאת לבעל והכניסה לו הרבה מממון בעלה הראשון, תשבע עדיין. ואם מתה, הבעל השני יורשה ומחזיק במה שבידה (הגהות מרדכי דכתובות). וע"ל סימן ק"א. </w:t>
      </w:r>
    </w:p>
    <w:p w14:paraId="50DABBBB" w14:textId="77777777" w:rsidR="002E5BAD" w:rsidRDefault="002E5BAD" w:rsidP="002E5BAD">
      <w:pPr>
        <w:pStyle w:val="2"/>
        <w:rPr>
          <w:rtl/>
        </w:rPr>
      </w:pPr>
      <w:r>
        <w:rPr>
          <w:rtl/>
        </w:rPr>
        <w:t>סעיף ו</w:t>
      </w:r>
    </w:p>
    <w:p w14:paraId="7260D49D" w14:textId="77777777" w:rsidR="002E5BAD" w:rsidRDefault="002E5BAD" w:rsidP="002E5BAD">
      <w:pPr>
        <w:rPr>
          <w:rtl/>
        </w:rPr>
      </w:pPr>
      <w:r>
        <w:rPr>
          <w:rFonts w:cs="Arial"/>
          <w:rtl/>
        </w:rPr>
        <w:t xml:space="preserve">אלמנה שמחלה לבעל חוב של בעלה, אינה כלום. </w:t>
      </w:r>
    </w:p>
    <w:p w14:paraId="07C98985" w14:textId="77777777" w:rsidR="002E5BAD" w:rsidRDefault="002E5BAD" w:rsidP="002E5BAD">
      <w:pPr>
        <w:pStyle w:val="2"/>
        <w:rPr>
          <w:rtl/>
        </w:rPr>
      </w:pPr>
      <w:r>
        <w:rPr>
          <w:rtl/>
        </w:rPr>
        <w:lastRenderedPageBreak/>
        <w:t>סעיף ז</w:t>
      </w:r>
    </w:p>
    <w:p w14:paraId="59AD57CE" w14:textId="77777777" w:rsidR="002E5BAD" w:rsidRDefault="002E5BAD" w:rsidP="002E5BAD">
      <w:pPr>
        <w:rPr>
          <w:rtl/>
        </w:rPr>
      </w:pPr>
      <w:r>
        <w:rPr>
          <w:rFonts w:cs="Arial"/>
          <w:rtl/>
        </w:rPr>
        <w:t xml:space="preserve">פעמים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 </w:t>
      </w:r>
    </w:p>
    <w:p w14:paraId="6A0E6548" w14:textId="77777777" w:rsidR="002E5BAD" w:rsidRDefault="002E5BAD" w:rsidP="002E5BAD">
      <w:pPr>
        <w:pStyle w:val="2"/>
        <w:rPr>
          <w:rtl/>
        </w:rPr>
      </w:pPr>
      <w:r>
        <w:rPr>
          <w:rtl/>
        </w:rPr>
        <w:t>סעיף ח</w:t>
      </w:r>
    </w:p>
    <w:p w14:paraId="45506721" w14:textId="77777777" w:rsidR="002E5BAD" w:rsidRDefault="002E5BAD" w:rsidP="002E5BAD">
      <w:pPr>
        <w:rPr>
          <w:rtl/>
        </w:rPr>
      </w:pPr>
      <w:r>
        <w:rPr>
          <w:rFonts w:cs="Arial"/>
          <w:rtl/>
        </w:rPr>
        <w:t xml:space="preserve">וכן אם עד אחד מעידה שהיא פרועה. </w:t>
      </w:r>
    </w:p>
    <w:p w14:paraId="38912D03" w14:textId="77777777" w:rsidR="002E5BAD" w:rsidRDefault="002E5BAD" w:rsidP="002E5BAD">
      <w:pPr>
        <w:pStyle w:val="2"/>
        <w:rPr>
          <w:rtl/>
        </w:rPr>
      </w:pPr>
      <w:r>
        <w:rPr>
          <w:rtl/>
        </w:rPr>
        <w:t>סעיף ט</w:t>
      </w:r>
    </w:p>
    <w:p w14:paraId="3478A5A1" w14:textId="77777777" w:rsidR="002E5BAD" w:rsidRDefault="002E5BAD" w:rsidP="002E5BAD">
      <w:pPr>
        <w:rPr>
          <w:rtl/>
        </w:rPr>
      </w:pPr>
      <w:r>
        <w:rPr>
          <w:rFonts w:cs="Arial"/>
          <w:rtl/>
        </w:rPr>
        <w:t xml:space="preserve">וכן אם היא טורפת מלקוחות. הגה: וכן אם היו לו שתי נשים וגירש אחת, צריכה לישבע לשניה (ב"י בשם המ"מ), וכמו שיתבאר לקמן סעיף ט"ז. </w:t>
      </w:r>
    </w:p>
    <w:p w14:paraId="1376EDA7" w14:textId="77777777" w:rsidR="002E5BAD" w:rsidRDefault="002E5BAD" w:rsidP="002E5BAD">
      <w:pPr>
        <w:pStyle w:val="2"/>
        <w:rPr>
          <w:rtl/>
        </w:rPr>
      </w:pPr>
      <w:r>
        <w:rPr>
          <w:rtl/>
        </w:rPr>
        <w:t>סעיף י</w:t>
      </w:r>
    </w:p>
    <w:p w14:paraId="5487E32D" w14:textId="77777777" w:rsidR="002E5BAD" w:rsidRDefault="002E5BAD" w:rsidP="002E5BAD">
      <w:pPr>
        <w:rPr>
          <w:rtl/>
        </w:rPr>
      </w:pPr>
      <w:r>
        <w:rPr>
          <w:rFonts w:cs="Arial"/>
          <w:rtl/>
        </w:rPr>
        <w:t xml:space="preserve">וכן אם היא נפרעת שלא בפניו, והוא שיהיה במקום רחוק. אבל אם הוא במקום קרוב כדי שילך השליח ויחזור תוך שלשים יום, מודיעין אותו, ואם לא יבא ישביעוה ותטול; והאשה נותנת שכר השליח ומוסיפים על כתובתה. </w:t>
      </w:r>
    </w:p>
    <w:p w14:paraId="7C23286F" w14:textId="77777777" w:rsidR="002E5BAD" w:rsidRDefault="002E5BAD" w:rsidP="002E5BAD">
      <w:pPr>
        <w:pStyle w:val="2"/>
        <w:rPr>
          <w:rtl/>
        </w:rPr>
      </w:pPr>
      <w:r>
        <w:rPr>
          <w:rtl/>
        </w:rPr>
        <w:t>סעיף יא</w:t>
      </w:r>
    </w:p>
    <w:p w14:paraId="6BD32A86" w14:textId="77777777" w:rsidR="002E5BAD" w:rsidRDefault="002E5BAD" w:rsidP="002E5BAD">
      <w:pPr>
        <w:rPr>
          <w:rtl/>
        </w:rPr>
      </w:pPr>
      <w:r>
        <w:rPr>
          <w:rFonts w:cs="Arial"/>
          <w:rtl/>
        </w:rPr>
        <w:t xml:space="preserve">כל אלו השבועות אף על פי שהם דרבנן, הן בנקיטת חפץ. ואם קדמה ותפסה מעות ואינה רוצה לישבע, לא מפקינן מינה, ואפוכי לא מפכינן לה. </w:t>
      </w:r>
    </w:p>
    <w:p w14:paraId="1F134ECB" w14:textId="77777777" w:rsidR="002E5BAD" w:rsidRDefault="002E5BAD" w:rsidP="002E5BAD">
      <w:pPr>
        <w:pStyle w:val="2"/>
        <w:rPr>
          <w:rtl/>
        </w:rPr>
      </w:pPr>
      <w:r>
        <w:rPr>
          <w:rtl/>
        </w:rPr>
        <w:t>סעיף יב</w:t>
      </w:r>
    </w:p>
    <w:p w14:paraId="42C27BD1" w14:textId="77777777" w:rsidR="002E5BAD" w:rsidRDefault="002E5BAD" w:rsidP="002E5BAD">
      <w:pPr>
        <w:rPr>
          <w:rtl/>
        </w:rPr>
      </w:pPr>
      <w:r>
        <w:rPr>
          <w:rFonts w:cs="Arial"/>
          <w:rtl/>
        </w:rPr>
        <w:t xml:space="preserve">כשהיא רוצה לישבע, אם היא חשודה על השבועה, שכנגדה ישבע ויפטר. ואם גם הוא חשוד, אין כאן לא שבועה ולא תשלומין. </w:t>
      </w:r>
    </w:p>
    <w:p w14:paraId="3A14D200" w14:textId="77777777" w:rsidR="002E5BAD" w:rsidRDefault="002E5BAD" w:rsidP="002E5BAD">
      <w:pPr>
        <w:pStyle w:val="2"/>
        <w:rPr>
          <w:rtl/>
        </w:rPr>
      </w:pPr>
      <w:r>
        <w:rPr>
          <w:rtl/>
        </w:rPr>
        <w:t>סעיף יג</w:t>
      </w:r>
    </w:p>
    <w:p w14:paraId="4BC91201" w14:textId="77777777" w:rsidR="002E5BAD" w:rsidRDefault="002E5BAD" w:rsidP="002E5BAD">
      <w:pPr>
        <w:rPr>
          <w:rtl/>
        </w:rPr>
      </w:pPr>
      <w:r>
        <w:rPr>
          <w:rFonts w:cs="Arial"/>
          <w:rtl/>
        </w:rPr>
        <w:t xml:space="preserve">כשעד אחד מעידה שהיא פרועה, יכול להביאה לידי שבועה דאורייתא. כיצד, יפרע לה כתובתה שנית בפני העד הראשון ועד אחר עמו, ויתבענה מה שנתן לה תחלה, ויאמר: בהלואה נתתיו לך; והוא שידוע לעד הראשון שמכוין לכך. </w:t>
      </w:r>
    </w:p>
    <w:p w14:paraId="7BC49F8E" w14:textId="77777777" w:rsidR="002E5BAD" w:rsidRDefault="002E5BAD" w:rsidP="002E5BAD">
      <w:pPr>
        <w:pStyle w:val="2"/>
        <w:rPr>
          <w:rtl/>
        </w:rPr>
      </w:pPr>
      <w:r>
        <w:rPr>
          <w:rtl/>
        </w:rPr>
        <w:t>סעיף יד</w:t>
      </w:r>
    </w:p>
    <w:p w14:paraId="4129F9B4" w14:textId="77777777" w:rsidR="002E5BAD" w:rsidRDefault="002E5BAD" w:rsidP="002E5BAD">
      <w:pPr>
        <w:rPr>
          <w:rtl/>
        </w:rPr>
      </w:pPr>
      <w:r>
        <w:rPr>
          <w:rFonts w:cs="Arial"/>
          <w:rtl/>
        </w:rPr>
        <w:t xml:space="preserve">הוציאה שטר כתובתה באלף זוז, והוא אומר: נפרעת הכל, והיא אומרת: לא נפרעתי כלום אבל אין לי עליך אלא ת"ק כי אמנה היתה ביני לבינך, נוטלת בלא שבועה. אבל אם אומרת: אין בשטר כתובתי אלא ת"ק, אינה נפרעת בשטר זה שיש בו אלף, כלום. (והבעל ישבע שבועת היסת ויפטר) (הרמב"ם פי"ז וכ"כ הב"י). </w:t>
      </w:r>
    </w:p>
    <w:p w14:paraId="025D569F" w14:textId="77777777" w:rsidR="002E5BAD" w:rsidRDefault="002E5BAD" w:rsidP="002E5BAD">
      <w:pPr>
        <w:pStyle w:val="2"/>
        <w:rPr>
          <w:rtl/>
        </w:rPr>
      </w:pPr>
      <w:r>
        <w:rPr>
          <w:rtl/>
        </w:rPr>
        <w:t>סעיף טו</w:t>
      </w:r>
    </w:p>
    <w:p w14:paraId="51D0B846" w14:textId="77777777" w:rsidR="002E5BAD" w:rsidRDefault="002E5BAD" w:rsidP="002E5BAD">
      <w:pPr>
        <w:rPr>
          <w:rtl/>
        </w:rPr>
      </w:pPr>
      <w:r>
        <w:rPr>
          <w:rFonts w:cs="Arial"/>
          <w:rtl/>
        </w:rPr>
        <w:t xml:space="preserve">היא אומרת: בתולה נשאתני וכתובתי מאתים, והבעל או היורשים אומרים: לא כי אלא אלמנה, והכתובה נאבד, או במקום שאין כותבין כתובה; אם יש עדים שעשו לה כמנהג הבתולות, כתובתה ר', אפילו אם אחד היה קטן כשראה העדות ועכשיו הוא גדול ויש אחר עמו, מהני. ואם אין עדים, לא תיטול אלא מנה. והבעל צריך לישבע, יש מי שאומר שבועה דאורייתא, ויש מי שכתב שבועת היסת. הגה: וי"א במקום שאין כותבין כתובה, שבועת היסת; במקום שכותבין, ונאבדה, שבועה דאורייתא, דהרי מצי הכל לכפור ולומר: פרעתי, ולכן מיקרי מודה מקצת (המ"מ פי"ו). (וע"ל סימן ק' סעיף ו'). </w:t>
      </w:r>
    </w:p>
    <w:p w14:paraId="4F3A3D35" w14:textId="77777777" w:rsidR="002E5BAD" w:rsidRDefault="002E5BAD" w:rsidP="002E5BAD">
      <w:pPr>
        <w:pStyle w:val="2"/>
        <w:rPr>
          <w:rtl/>
        </w:rPr>
      </w:pPr>
      <w:r>
        <w:rPr>
          <w:rtl/>
        </w:rPr>
        <w:t>סעיף טז</w:t>
      </w:r>
    </w:p>
    <w:p w14:paraId="084AFAB1" w14:textId="77777777" w:rsidR="002E5BAD" w:rsidRDefault="002E5BAD" w:rsidP="002E5BAD">
      <w:pPr>
        <w:rPr>
          <w:rtl/>
        </w:rPr>
      </w:pPr>
      <w:r>
        <w:rPr>
          <w:rFonts w:cs="Arial"/>
          <w:rtl/>
        </w:rPr>
        <w:t xml:space="preserve">מי שהיה נשוי ד' נשים, שנשאם זו אחר זו, ומת, ובאות לגבות כתובתן, הראשונה נשבעת לשניה שאין לה משל בעלה כלום, והשניה לשלישית, והשלישית לרביעית, והרביעית נשבעת ליתומים; ואפילו הם גדולים, אין נפרעים מהם אלא בשבועה. </w:t>
      </w:r>
    </w:p>
    <w:p w14:paraId="3F800303" w14:textId="77777777" w:rsidR="002E5BAD" w:rsidRDefault="002E5BAD" w:rsidP="002E5BAD">
      <w:pPr>
        <w:pStyle w:val="2"/>
        <w:rPr>
          <w:rtl/>
        </w:rPr>
      </w:pPr>
      <w:r>
        <w:rPr>
          <w:rtl/>
        </w:rPr>
        <w:lastRenderedPageBreak/>
        <w:t>סעיף יז</w:t>
      </w:r>
    </w:p>
    <w:p w14:paraId="2D005219" w14:textId="77777777" w:rsidR="002E5BAD" w:rsidRDefault="002E5BAD" w:rsidP="002E5BAD">
      <w:pPr>
        <w:rPr>
          <w:rtl/>
        </w:rPr>
      </w:pPr>
      <w:r>
        <w:rPr>
          <w:rFonts w:cs="Arial"/>
          <w:rtl/>
        </w:rPr>
        <w:t xml:space="preserve">ואם היו כלן חתומות ביום אחד, במקום שכותבין שעות, הראשונות תקדם. ואם אין כותבין שעות, אז שעבוד כולן חל כאחד. </w:t>
      </w:r>
    </w:p>
    <w:p w14:paraId="005A51EB" w14:textId="77777777" w:rsidR="002E5BAD" w:rsidRDefault="002E5BAD" w:rsidP="002E5BAD">
      <w:pPr>
        <w:pStyle w:val="2"/>
        <w:rPr>
          <w:rtl/>
        </w:rPr>
      </w:pPr>
      <w:r>
        <w:rPr>
          <w:rtl/>
        </w:rPr>
        <w:t>סעיף יח</w:t>
      </w:r>
    </w:p>
    <w:p w14:paraId="240546C4" w14:textId="77777777" w:rsidR="002E5BAD" w:rsidRDefault="002E5BAD" w:rsidP="002E5BAD">
      <w:pPr>
        <w:rPr>
          <w:rtl/>
        </w:rPr>
      </w:pPr>
      <w:r>
        <w:rPr>
          <w:rFonts w:cs="Arial"/>
          <w:rtl/>
        </w:rPr>
        <w:t xml:space="preserve">מי שהיה נשוי ד' נשים, כתובה של זו מנה, ושל זו ר', ושל זו ש', ושל זו ת', וכולן נחתמו ביום אחד, ומת ואין לו כדי כל הכתובות, כיצד הם חולקות, רואים אם כשיחלק הממון על מנין הנשים יגיעו לפחותה שבהם כדי כתובתה או פחות, חולקין בשוה. ואם היה הממון יותר על זה, חולקין ממנו כדי שיגיע לפחותה שבהם כשיעור כתובתה, וחוזרת וחולקות את המותר בין הנותרות על הדרך הראשון. </w:t>
      </w:r>
    </w:p>
    <w:p w14:paraId="79788EFD" w14:textId="77777777" w:rsidR="002E5BAD" w:rsidRDefault="002E5BAD" w:rsidP="002E5BAD">
      <w:pPr>
        <w:pStyle w:val="2"/>
        <w:rPr>
          <w:rtl/>
        </w:rPr>
      </w:pPr>
      <w:r>
        <w:rPr>
          <w:rtl/>
        </w:rPr>
        <w:t>סעיף יט</w:t>
      </w:r>
    </w:p>
    <w:p w14:paraId="21127A92" w14:textId="77777777" w:rsidR="002E5BAD" w:rsidRDefault="002E5BAD" w:rsidP="002E5BAD">
      <w:pPr>
        <w:rPr>
          <w:rtl/>
        </w:rPr>
      </w:pPr>
      <w:r>
        <w:rPr>
          <w:rFonts w:cs="Arial"/>
          <w:rtl/>
        </w:rPr>
        <w:t xml:space="preserve">כשמשביעין בית דין או היורשים את האלמנה כשתבא לגבות כתובתה, אין משביעין אלא חוץ לבית דין, מפני שבתי דינין היו נמנעים מלהשביע, שחוששין שמא לא תדקדק על עצמה, ושבועה חוץ לבית דין אינה חמורה כל כך, שאינה בשם ולא בנקיטת חפץ, אלא בקבלת ארור. ואם רצו היתומים להדירה, נודרת להם כל מה שירצו, ומדירין אותה בב"ד ואח"כ נוטלת כתובתה. וצריך שהנדר יהיה בדבר שיש בו עינוי נפש, שתהיה באיסור כל ימיה. ולא מהני נדר אלא כל זמן שלא נשאת, אבל אם נשאת אינה גובה בנדר, מפני שהבעל יפר לה. </w:t>
      </w:r>
    </w:p>
    <w:p w14:paraId="5CF4F3DA" w14:textId="77777777" w:rsidR="002E5BAD" w:rsidRDefault="002E5BAD" w:rsidP="002E5BAD">
      <w:pPr>
        <w:pStyle w:val="2"/>
        <w:rPr>
          <w:rtl/>
        </w:rPr>
      </w:pPr>
      <w:r>
        <w:rPr>
          <w:rtl/>
        </w:rPr>
        <w:t>סעיף כ</w:t>
      </w:r>
    </w:p>
    <w:p w14:paraId="3C3BD09B" w14:textId="77777777" w:rsidR="002E5BAD" w:rsidRDefault="002E5BAD" w:rsidP="002E5BAD">
      <w:pPr>
        <w:rPr>
          <w:rtl/>
        </w:rPr>
      </w:pPr>
      <w:r>
        <w:rPr>
          <w:rFonts w:cs="Arial"/>
          <w:rtl/>
        </w:rPr>
        <w:t xml:space="preserve">גרושה שבאה לישבע, משביעים אותה בב"ד. </w:t>
      </w:r>
    </w:p>
    <w:p w14:paraId="5DBE9F0D" w14:textId="77777777" w:rsidR="002E5BAD" w:rsidRDefault="002E5BAD" w:rsidP="002E5BAD">
      <w:pPr>
        <w:pStyle w:val="2"/>
        <w:rPr>
          <w:rtl/>
        </w:rPr>
      </w:pPr>
      <w:r>
        <w:rPr>
          <w:rtl/>
        </w:rPr>
        <w:t>סעיף כא</w:t>
      </w:r>
    </w:p>
    <w:p w14:paraId="74E8A045" w14:textId="77777777" w:rsidR="002E5BAD" w:rsidRPr="007A3469" w:rsidRDefault="002E5BAD" w:rsidP="002E5BAD">
      <w:pPr>
        <w:rPr>
          <w:rtl/>
        </w:rPr>
        <w:sectPr w:rsidR="002E5BAD" w:rsidRPr="007A3469" w:rsidSect="00A347B3">
          <w:headerReference w:type="default" r:id="rId53"/>
          <w:footnotePr>
            <w:numRestart w:val="eachPage"/>
          </w:footnotePr>
          <w:pgSz w:w="11906" w:h="16838"/>
          <w:pgMar w:top="720" w:right="1134" w:bottom="720" w:left="1134" w:header="0" w:footer="0" w:gutter="0"/>
          <w:cols w:space="720"/>
          <w:bidi/>
          <w:rtlGutter/>
          <w:docGrid w:linePitch="360"/>
        </w:sectPr>
      </w:pPr>
      <w:r>
        <w:rPr>
          <w:rFonts w:cs="Arial"/>
          <w:rtl/>
        </w:rPr>
        <w:t>יש מי שאומר דהאידנא משביעים אלמנה בב"ד, מפני שבאותו ענין שהיו רגילים להשביעה, שהיו גוזרים בחרם ובשבועת התורה שתודה מה שקבלה בכתובתה, אין העונש מרובה כל כך כמו שבועה, שבשעה שנשבעת יוצאה שבועה מפיה לשקר. הגה: וצריכה לישבע לפני שלשה שהם כשרים, ואם נשבעה לפני שלשה שהם קרובים, צריכה לחזור ולישבע. (ב"י בשם תשובת הרשב"א ותשובת מוהר"ם סוף הפלאה). ולכתחלה צריכה לישבע לפני היתומים, אבל אם נשבעה שלא בפניהם, או שאין היתומים רוצים להיות אצל השבועה, משביעין אותה שלא בפניהם (ג"ז שם בשם הרשב"א). אלמנה שנשבעה על כתובתה, יכולין היתומים להחרים אחר כך על כל מי שיודע אם הפקידה האלמנה מנכסים שלהם (ריב"ש סימן שכ"ה).</w:t>
      </w:r>
    </w:p>
    <w:p w14:paraId="1B595C26" w14:textId="77777777" w:rsidR="002E5BAD" w:rsidRDefault="002E5BAD" w:rsidP="002E5BAD">
      <w:pPr>
        <w:pStyle w:val="1"/>
        <w:rPr>
          <w:rtl/>
        </w:rPr>
      </w:pPr>
      <w:r>
        <w:rPr>
          <w:rFonts w:hint="cs"/>
          <w:rtl/>
        </w:rPr>
        <w:lastRenderedPageBreak/>
        <w:t>סימן צז:</w:t>
      </w:r>
      <w:r w:rsidRPr="00C12B74">
        <w:rPr>
          <w:rtl/>
        </w:rPr>
        <w:t xml:space="preserve"> </w:t>
      </w:r>
      <w:r>
        <w:rPr>
          <w:rFonts w:cs="Arial"/>
          <w:rtl/>
        </w:rPr>
        <w:t xml:space="preserve">אם הבעל יכול להשביע אשתו בטענת ספק, ובו ב' סעיפים. </w:t>
      </w:r>
    </w:p>
    <w:p w14:paraId="4E30D2A1" w14:textId="77777777" w:rsidR="002E5BAD" w:rsidRDefault="002E5BAD" w:rsidP="002E5BAD">
      <w:pPr>
        <w:pStyle w:val="2"/>
        <w:rPr>
          <w:rtl/>
        </w:rPr>
      </w:pPr>
      <w:r>
        <w:rPr>
          <w:rtl/>
        </w:rPr>
        <w:t>סעיף א</w:t>
      </w:r>
    </w:p>
    <w:p w14:paraId="420D4680" w14:textId="77777777" w:rsidR="002E5BAD" w:rsidRDefault="002E5BAD" w:rsidP="002E5BAD">
      <w:pPr>
        <w:rPr>
          <w:rtl/>
        </w:rPr>
      </w:pPr>
      <w:r>
        <w:rPr>
          <w:rFonts w:cs="Arial"/>
          <w:rtl/>
        </w:rPr>
        <w:t xml:space="preserve">המושיב אשתו חנונית, או שמינה אפוטרופא, משביעה אפי' בטענת שמא של שתי כסף. אבל אם אינה נושאת ונותנת, אלא שמתעסקת בצרכי הבית בפלכה ובעיסתה כדרך כל הנשים, אינו יכול להשביעה בטענת שמא. </w:t>
      </w:r>
    </w:p>
    <w:p w14:paraId="12567871" w14:textId="77777777" w:rsidR="002E5BAD" w:rsidRDefault="002E5BAD" w:rsidP="002E5BAD">
      <w:pPr>
        <w:pStyle w:val="2"/>
        <w:rPr>
          <w:rtl/>
        </w:rPr>
      </w:pPr>
      <w:r>
        <w:rPr>
          <w:rtl/>
        </w:rPr>
        <w:t>סעיף ב</w:t>
      </w:r>
    </w:p>
    <w:p w14:paraId="1A5735A9" w14:textId="77777777" w:rsidR="002E5BAD" w:rsidRPr="007A3469" w:rsidRDefault="002E5BAD" w:rsidP="002E5BAD">
      <w:pPr>
        <w:rPr>
          <w:rtl/>
        </w:rPr>
        <w:sectPr w:rsidR="002E5BAD" w:rsidRPr="007A3469" w:rsidSect="00A347B3">
          <w:headerReference w:type="default" r:id="rId54"/>
          <w:footnotePr>
            <w:numRestart w:val="eachPage"/>
          </w:footnotePr>
          <w:pgSz w:w="11906" w:h="16838"/>
          <w:pgMar w:top="720" w:right="1134" w:bottom="720" w:left="1134" w:header="0" w:footer="0" w:gutter="0"/>
          <w:cols w:space="720"/>
          <w:bidi/>
          <w:rtlGutter/>
          <w:docGrid w:linePitch="360"/>
        </w:sectPr>
      </w:pPr>
      <w:r>
        <w:rPr>
          <w:rFonts w:cs="Arial"/>
          <w:rtl/>
        </w:rPr>
        <w:t>המושיב אשתו חנונית או שמינה אפוטרופא, אינו יכול להשביעה עד שתתבע כתובתה. ויש אומרים שמשביעה כל זמן שירצה. (ייחד לה קרקע בכתובתה, אף על פי שבאתה לגבות כתובתה לא מיקרי תובעת כתובה, ואינו יכול להשביעה (מרדכי פ' הכותב) לפי סברא הראשונה).</w:t>
      </w:r>
    </w:p>
    <w:p w14:paraId="1EB24720" w14:textId="77777777" w:rsidR="002E5BAD" w:rsidRDefault="002E5BAD" w:rsidP="002E5BAD">
      <w:pPr>
        <w:pStyle w:val="1"/>
        <w:rPr>
          <w:rtl/>
        </w:rPr>
      </w:pPr>
      <w:r>
        <w:rPr>
          <w:rFonts w:hint="cs"/>
          <w:rtl/>
        </w:rPr>
        <w:lastRenderedPageBreak/>
        <w:t>סימן צח:</w:t>
      </w:r>
      <w:r w:rsidRPr="00C12B74">
        <w:rPr>
          <w:rtl/>
        </w:rPr>
        <w:t xml:space="preserve"> </w:t>
      </w:r>
      <w:r>
        <w:rPr>
          <w:rFonts w:cs="Arial"/>
          <w:rtl/>
        </w:rPr>
        <w:t xml:space="preserve">פטרה משבועה או ייחד לה מטלטלין, גובה בלא שבועה, ובו ז' סעיפים. </w:t>
      </w:r>
    </w:p>
    <w:p w14:paraId="385F48FA" w14:textId="77777777" w:rsidR="002E5BAD" w:rsidRDefault="002E5BAD" w:rsidP="002E5BAD">
      <w:pPr>
        <w:pStyle w:val="2"/>
        <w:rPr>
          <w:rtl/>
        </w:rPr>
      </w:pPr>
      <w:r>
        <w:rPr>
          <w:rtl/>
        </w:rPr>
        <w:t>סעיף א</w:t>
      </w:r>
    </w:p>
    <w:p w14:paraId="3A7F7B0F" w14:textId="77777777" w:rsidR="002E5BAD" w:rsidRDefault="002E5BAD" w:rsidP="002E5BAD">
      <w:pPr>
        <w:rPr>
          <w:rtl/>
        </w:rPr>
      </w:pPr>
      <w:r>
        <w:rPr>
          <w:rFonts w:cs="Arial"/>
          <w:rtl/>
        </w:rPr>
        <w:t xml:space="preserve">אם פטרה הבעל משבועה, גובה כתובתה בלא שבועה. וכפי לשון הפיטור היא נפטרת. כיצד, כתב: נדר ושבועה אין לי עליך, אינו יכול להשביעה שום שבועה, אבל משביע את יורשיה, אם גירשה ומתה יורשיה נשבעים שבועת היורשים, ואת הבאים ברשותה, כגון אם מכרה כתובתה לאחרים ונתגרשה ומתה, והלקוחות תובעים כתובתה, נשבעים: שלא פקדתנו. ואם היא עדיין קיימת, לא יגבו הלקוחות אלא אם כן תשבע היא שלא נפרעה. הגה: וע"ל סימן ק"ה. פטר אשתו בשעת מיתתו מן השבועה, נוטלת כתובתה בלא שבועה. אבל אם ראו אותה אחר כך שמפסידה הנכסים, צריכה לישבע (מרדכי סוף הכותב). ואם יש עדים שהפסידה או נתנה לאחרים, או שהיא מודה, צריכה לשלם ואינה נאמנת לומר שבעלה צוה לה כך (תשובת הרא"ש כלל נ'). אבל אם עשאה נאמן בפירוש על כל דבר כשני עדים, נאמנת (סברת הרב). </w:t>
      </w:r>
    </w:p>
    <w:p w14:paraId="47A0B8EE" w14:textId="77777777" w:rsidR="002E5BAD" w:rsidRDefault="002E5BAD" w:rsidP="002E5BAD">
      <w:pPr>
        <w:pStyle w:val="2"/>
        <w:rPr>
          <w:rtl/>
        </w:rPr>
      </w:pPr>
      <w:r>
        <w:rPr>
          <w:rtl/>
        </w:rPr>
        <w:t>סעיף ב</w:t>
      </w:r>
    </w:p>
    <w:p w14:paraId="7BE34B10" w14:textId="77777777" w:rsidR="002E5BAD" w:rsidRDefault="002E5BAD" w:rsidP="002E5BAD">
      <w:pPr>
        <w:rPr>
          <w:rtl/>
        </w:rPr>
      </w:pPr>
      <w:r>
        <w:rPr>
          <w:rFonts w:cs="Arial"/>
          <w:rtl/>
        </w:rPr>
        <w:t xml:space="preserve">ומשביעין ג"כ יורשיה והבאים ברשותה אם פגמו הכתובה או אם נעשו אפוטרופוס, ואפילו אם נתן לה רשות למנות אפוטרופוס. </w:t>
      </w:r>
    </w:p>
    <w:p w14:paraId="59C3A563" w14:textId="77777777" w:rsidR="002E5BAD" w:rsidRDefault="002E5BAD" w:rsidP="002E5BAD">
      <w:pPr>
        <w:pStyle w:val="2"/>
        <w:rPr>
          <w:rtl/>
        </w:rPr>
      </w:pPr>
      <w:r>
        <w:rPr>
          <w:rtl/>
        </w:rPr>
        <w:t>סעיף ג</w:t>
      </w:r>
    </w:p>
    <w:p w14:paraId="41ACBB7B" w14:textId="77777777" w:rsidR="002E5BAD" w:rsidRDefault="002E5BAD" w:rsidP="002E5BAD">
      <w:pPr>
        <w:rPr>
          <w:rtl/>
        </w:rPr>
      </w:pPr>
      <w:r>
        <w:rPr>
          <w:rFonts w:cs="Arial"/>
          <w:rtl/>
        </w:rPr>
        <w:t xml:space="preserve">כתב לה: נדר ושבועה אין לי עליך ועל יורשיך ועל הבאים ברשותיך, אינו יכול להשביע לא אותה ולא יורשיה ולא את הבאים ברשותה שום שבועה, אבל יורשיו והבאים ברשותו, כגון לקוחות שקנו ממנו, משביעים אותה ואת יורשיה ואת הבאים ברשותה, כגון אם נתגרשה ומתה; אבל אם נתאלמנה ומתה קודם שנשבעה, אין יורשיה ולא הבאים ברשותה גובין כתובתה. </w:t>
      </w:r>
    </w:p>
    <w:p w14:paraId="1AA12278" w14:textId="77777777" w:rsidR="002E5BAD" w:rsidRDefault="002E5BAD" w:rsidP="002E5BAD">
      <w:pPr>
        <w:pStyle w:val="2"/>
        <w:rPr>
          <w:rtl/>
        </w:rPr>
      </w:pPr>
      <w:r>
        <w:rPr>
          <w:rtl/>
        </w:rPr>
        <w:t>סעיף ד</w:t>
      </w:r>
    </w:p>
    <w:p w14:paraId="32B425B1" w14:textId="77777777" w:rsidR="002E5BAD" w:rsidRDefault="002E5BAD" w:rsidP="002E5BAD">
      <w:pPr>
        <w:rPr>
          <w:rtl/>
        </w:rPr>
      </w:pPr>
      <w:r>
        <w:rPr>
          <w:rFonts w:cs="Arial"/>
          <w:rtl/>
        </w:rPr>
        <w:t xml:space="preserve">כתב לה: נדר ושבועה אין לי וליורשי ולא לבאים ברשותי לא עליך ולא על יורשיך ולא על הבאים ברשותיך, אינו יכול להשביע לא הוא ולא יורשיו ולא הבאים ברשותו לא אותה ולא יורשיה ולא הבאים ברשותה. ואפילו פגמה היא או היורשים כתובתה או יורשים מן היורשים. אבל אם נעשית אפטרופסת לאחר מיתת הבעל, לזה אינו מועיל הפיטור. אבל לאפוטרופסות שנעשית בחיי בעלה, מועיל, שאפילו ע"י גלגול אינו יכול להשביעה. ויש מי שאומר שאפילו לא פטרה אין היורשים יכולים להשביעה על אפוטרופסות שנעשית בחיי בעלה. </w:t>
      </w:r>
    </w:p>
    <w:p w14:paraId="4416D7CF" w14:textId="77777777" w:rsidR="002E5BAD" w:rsidRDefault="002E5BAD" w:rsidP="002E5BAD">
      <w:pPr>
        <w:pStyle w:val="2"/>
        <w:rPr>
          <w:rtl/>
        </w:rPr>
      </w:pPr>
      <w:r>
        <w:rPr>
          <w:rtl/>
        </w:rPr>
        <w:t>סעיף ה</w:t>
      </w:r>
    </w:p>
    <w:p w14:paraId="3B61F83E" w14:textId="77777777" w:rsidR="002E5BAD" w:rsidRDefault="002E5BAD" w:rsidP="002E5BAD">
      <w:pPr>
        <w:rPr>
          <w:rtl/>
        </w:rPr>
      </w:pPr>
      <w:r>
        <w:rPr>
          <w:rFonts w:cs="Arial"/>
          <w:rtl/>
        </w:rPr>
        <w:t xml:space="preserve">על מה שמכרה בין מיתה לקבורה, לצורך קבורה, אין משביעין אותה אפילו ע"י גלגול. </w:t>
      </w:r>
    </w:p>
    <w:p w14:paraId="387D2669" w14:textId="77777777" w:rsidR="002E5BAD" w:rsidRDefault="002E5BAD" w:rsidP="002E5BAD">
      <w:pPr>
        <w:pStyle w:val="2"/>
        <w:rPr>
          <w:rtl/>
        </w:rPr>
      </w:pPr>
      <w:r>
        <w:rPr>
          <w:rtl/>
        </w:rPr>
        <w:t>סעיף ו</w:t>
      </w:r>
    </w:p>
    <w:p w14:paraId="3437535A" w14:textId="77777777" w:rsidR="002E5BAD" w:rsidRDefault="002E5BAD" w:rsidP="002E5BAD">
      <w:pPr>
        <w:rPr>
          <w:rtl/>
        </w:rPr>
      </w:pPr>
      <w:r>
        <w:rPr>
          <w:rFonts w:cs="Arial"/>
          <w:rtl/>
        </w:rPr>
        <w:t xml:space="preserve">כתב: דלא נדר דלא שבועה, אפילו אמר: מנכסי אילין, היורשים משביעין אותה, אלא אם כן פטרה בפירוש מהיורשים. </w:t>
      </w:r>
    </w:p>
    <w:p w14:paraId="498568EE" w14:textId="77777777" w:rsidR="002E5BAD" w:rsidRDefault="002E5BAD" w:rsidP="002E5BAD">
      <w:pPr>
        <w:pStyle w:val="2"/>
        <w:rPr>
          <w:rtl/>
        </w:rPr>
      </w:pPr>
      <w:r>
        <w:rPr>
          <w:rtl/>
        </w:rPr>
        <w:t>סעיף ז</w:t>
      </w:r>
    </w:p>
    <w:p w14:paraId="1E174602" w14:textId="77777777" w:rsidR="002E5BAD" w:rsidRPr="007A3469" w:rsidRDefault="002E5BAD" w:rsidP="002E5BAD">
      <w:pPr>
        <w:rPr>
          <w:rtl/>
        </w:rPr>
        <w:sectPr w:rsidR="002E5BAD" w:rsidRPr="007A3469" w:rsidSect="00A347B3">
          <w:headerReference w:type="default" r:id="rId55"/>
          <w:footnotePr>
            <w:numRestart w:val="eachPage"/>
          </w:footnotePr>
          <w:pgSz w:w="11906" w:h="16838"/>
          <w:pgMar w:top="720" w:right="1134" w:bottom="720" w:left="1134" w:header="0" w:footer="0" w:gutter="0"/>
          <w:cols w:space="720"/>
          <w:bidi/>
          <w:rtlGutter/>
          <w:docGrid w:linePitch="360"/>
        </w:sectPr>
      </w:pPr>
      <w:r>
        <w:rPr>
          <w:rFonts w:cs="Arial"/>
          <w:rtl/>
        </w:rPr>
        <w:t>אעפ"י שהאמינה על יורשיו ועל הבאים מכחו, אינו מועיל לגבות מהלקוחות בלא שבועה. הגה: וי"א דגם לגבי יורשיו אינו מועיל פטור ונאמנות שהאמין לה, אפילו פטרה בפי' לגבי יורשיו (ר"ח ר"י והרא"ש). ודוקא כל זמן שהיא קיימת, אבל אם מתה, או אינה יכולה לישבע, יורשיה או היא נוטלין כתובתה כך בלא שבועה (ריב"ש סימן קס"ט ובסימן קס"ח /תצ"ב/). ונראה לי דכן ראוי להורות.</w:t>
      </w:r>
    </w:p>
    <w:p w14:paraId="7DE58281" w14:textId="77777777" w:rsidR="002E5BAD" w:rsidRDefault="002E5BAD" w:rsidP="002E5BAD">
      <w:pPr>
        <w:pStyle w:val="1"/>
        <w:rPr>
          <w:rtl/>
        </w:rPr>
      </w:pPr>
      <w:r>
        <w:rPr>
          <w:rFonts w:hint="cs"/>
          <w:rtl/>
        </w:rPr>
        <w:lastRenderedPageBreak/>
        <w:t>סימן צט:</w:t>
      </w:r>
      <w:r w:rsidRPr="00C12B74">
        <w:rPr>
          <w:rtl/>
        </w:rPr>
        <w:t xml:space="preserve"> </w:t>
      </w:r>
      <w:r>
        <w:rPr>
          <w:rFonts w:cs="Arial"/>
          <w:rtl/>
        </w:rPr>
        <w:t xml:space="preserve">שמין לאשה אלמנה בגדיה, ובו ב' סעיפים. </w:t>
      </w:r>
    </w:p>
    <w:p w14:paraId="68CC8F83" w14:textId="77777777" w:rsidR="002E5BAD" w:rsidRDefault="002E5BAD" w:rsidP="002E5BAD">
      <w:pPr>
        <w:pStyle w:val="2"/>
        <w:rPr>
          <w:rtl/>
        </w:rPr>
      </w:pPr>
      <w:r>
        <w:rPr>
          <w:rtl/>
        </w:rPr>
        <w:t>סעיף א</w:t>
      </w:r>
    </w:p>
    <w:p w14:paraId="0AAA9026" w14:textId="77777777" w:rsidR="002E5BAD" w:rsidRDefault="002E5BAD" w:rsidP="002E5BAD">
      <w:pPr>
        <w:rPr>
          <w:rtl/>
        </w:rPr>
      </w:pPr>
      <w:r>
        <w:rPr>
          <w:rFonts w:cs="Arial"/>
          <w:rtl/>
        </w:rPr>
        <w:t xml:space="preserve">אלמנה שבאה לגבות כתובתה, שמין כל בגדיה בין של חול בין של שבת, ומנכין אותם מכתובתה. (וחלוצה דינה כאלמנה) (ב"י בשם ריב"ש סימן ש"א). אבל גרושה שגירשה בעלה מדעתו בלא טענה, אין שמין לה בגדי חול, אבל של רגל ושל שבת שמין לה. ( ואין יכולין לסלקה מבגדיה במעות) (ב"י בשם הריטב"א), אלא היא נוטלת אותן בשווין (תשובת הרא"ש כלל פ'). </w:t>
      </w:r>
    </w:p>
    <w:p w14:paraId="4C68C970" w14:textId="77777777" w:rsidR="002E5BAD" w:rsidRDefault="002E5BAD" w:rsidP="002E5BAD">
      <w:pPr>
        <w:pStyle w:val="2"/>
        <w:rPr>
          <w:rtl/>
        </w:rPr>
      </w:pPr>
      <w:r>
        <w:rPr>
          <w:rtl/>
        </w:rPr>
        <w:t>סעיף ב</w:t>
      </w:r>
    </w:p>
    <w:p w14:paraId="6B049A0A" w14:textId="77777777" w:rsidR="002E5BAD" w:rsidRPr="007A3469" w:rsidRDefault="002E5BAD" w:rsidP="002E5BAD">
      <w:pPr>
        <w:rPr>
          <w:rtl/>
        </w:rPr>
        <w:sectPr w:rsidR="002E5BAD" w:rsidRPr="007A3469" w:rsidSect="00A347B3">
          <w:headerReference w:type="default" r:id="rId56"/>
          <w:footnotePr>
            <w:numRestart w:val="eachPage"/>
          </w:footnotePr>
          <w:pgSz w:w="11906" w:h="16838"/>
          <w:pgMar w:top="720" w:right="1134" w:bottom="720" w:left="1134" w:header="0" w:footer="0" w:gutter="0"/>
          <w:cols w:space="720"/>
          <w:bidi/>
          <w:rtlGutter/>
          <w:docGrid w:linePitch="360"/>
        </w:sectPr>
      </w:pPr>
      <w:r>
        <w:rPr>
          <w:rFonts w:cs="Arial"/>
          <w:rtl/>
        </w:rPr>
        <w:t>הנותן מתנה לאשתו, אף על פי שהוא מגרשה מדעתו, זכתה במתנתה. הגה: נראה לי כאן טעות, אלא כך ראוי להיות: אף על פי שמגרשה שלא מדעתה, כגון שסרחה עליו, אפילו הכי מתנתו שלה. וה"ה לאלמנה שנוטלת מתנה כל שאינן דברים שהם מלבושים או תכשיטים העשויין להתנאות בהם. ודוקא שעשאן לה הבעל, אבל אחרים שנתנו לה תכשיטים בשעת נשואין, למתנה גמורה נתכוונו הרי הם כנכסי מלוג שלה (ב"י בשם הריב"ש סימן ש"א).</w:t>
      </w:r>
    </w:p>
    <w:p w14:paraId="2A964EFF" w14:textId="77777777" w:rsidR="002E5BAD" w:rsidRDefault="002E5BAD" w:rsidP="002E5BAD">
      <w:pPr>
        <w:pStyle w:val="1"/>
        <w:rPr>
          <w:rtl/>
        </w:rPr>
      </w:pPr>
      <w:r>
        <w:rPr>
          <w:rFonts w:hint="cs"/>
          <w:rtl/>
        </w:rPr>
        <w:lastRenderedPageBreak/>
        <w:t>סימן ק:</w:t>
      </w:r>
      <w:r w:rsidRPr="00C12B74">
        <w:rPr>
          <w:rtl/>
        </w:rPr>
        <w:t xml:space="preserve"> </w:t>
      </w:r>
      <w:r>
        <w:rPr>
          <w:rFonts w:cs="Arial"/>
          <w:rtl/>
        </w:rPr>
        <w:t xml:space="preserve">כתובה ממה נגבית, וכל יתר דיני כתובה, ובו ט"ז סעיפים. </w:t>
      </w:r>
    </w:p>
    <w:p w14:paraId="63614CB3" w14:textId="77777777" w:rsidR="002E5BAD" w:rsidRDefault="002E5BAD" w:rsidP="002E5BAD">
      <w:pPr>
        <w:pStyle w:val="2"/>
        <w:rPr>
          <w:rtl/>
        </w:rPr>
      </w:pPr>
      <w:r>
        <w:rPr>
          <w:rtl/>
        </w:rPr>
        <w:t>סעיף א</w:t>
      </w:r>
      <w:r>
        <w:rPr>
          <w:rFonts w:hint="cs"/>
          <w:rtl/>
        </w:rPr>
        <w:t>: ממה נגבית הכתובה.</w:t>
      </w:r>
    </w:p>
    <w:p w14:paraId="26C8547B" w14:textId="77777777" w:rsidR="002E5BAD" w:rsidRDefault="002E5BAD" w:rsidP="002E5BAD">
      <w:pPr>
        <w:rPr>
          <w:rtl/>
        </w:rPr>
      </w:pPr>
      <w:r w:rsidRPr="009B73CF">
        <w:rPr>
          <w:rFonts w:cs="Arial" w:hint="cs"/>
          <w:b/>
          <w:bCs/>
          <w:rtl/>
        </w:rPr>
        <w:t xml:space="preserve">כתובות </w:t>
      </w:r>
      <w:r>
        <w:rPr>
          <w:rFonts w:cs="Arial" w:hint="cs"/>
          <w:b/>
          <w:bCs/>
          <w:sz w:val="16"/>
          <w:szCs w:val="16"/>
          <w:rtl/>
        </w:rPr>
        <w:t xml:space="preserve">(פ' אף על פי) </w:t>
      </w:r>
      <w:r w:rsidRPr="009B73CF">
        <w:rPr>
          <w:rFonts w:cs="Arial" w:hint="cs"/>
          <w:b/>
          <w:bCs/>
          <w:rtl/>
        </w:rPr>
        <w:t xml:space="preserve">נה ע"א: </w:t>
      </w:r>
      <w:r w:rsidRPr="00337A2F">
        <w:rPr>
          <w:rFonts w:cs="Arial"/>
          <w:u w:val="single"/>
          <w:rtl/>
        </w:rPr>
        <w:t>דאמר ר' איבו אמר רבי ינאי</w:t>
      </w:r>
      <w:r w:rsidRPr="009B73CF">
        <w:rPr>
          <w:rFonts w:cs="Arial"/>
          <w:rtl/>
        </w:rPr>
        <w:t>: תנאי כתובה ככתובה דמי. נפקא מינה?</w:t>
      </w:r>
      <w:r>
        <w:rPr>
          <w:rFonts w:cs="Arial" w:hint="cs"/>
          <w:rtl/>
        </w:rPr>
        <w:t>...</w:t>
      </w:r>
      <w:r w:rsidRPr="009B73CF">
        <w:rPr>
          <w:rFonts w:cs="Arial"/>
          <w:rtl/>
        </w:rPr>
        <w:t xml:space="preserve"> </w:t>
      </w:r>
      <w:r>
        <w:rPr>
          <w:rFonts w:cs="Arial" w:hint="cs"/>
          <w:sz w:val="14"/>
          <w:szCs w:val="14"/>
          <w:rtl/>
        </w:rPr>
        <w:t xml:space="preserve">(נה:) </w:t>
      </w:r>
      <w:r w:rsidRPr="00337A2F">
        <w:rPr>
          <w:rFonts w:cs="Arial"/>
          <w:rtl/>
        </w:rPr>
        <w:t>לגבות מן הקרקע ומן הזיבורית</w:t>
      </w:r>
      <w:r>
        <w:rPr>
          <w:rFonts w:hint="cs"/>
          <w:rtl/>
        </w:rPr>
        <w:t>.</w:t>
      </w:r>
    </w:p>
    <w:p w14:paraId="6E5DCA46" w14:textId="77777777" w:rsidR="002E5BAD" w:rsidRDefault="002E5BAD" w:rsidP="002E5BAD">
      <w:pPr>
        <w:rPr>
          <w:rtl/>
        </w:rPr>
      </w:pPr>
      <w:r w:rsidRPr="00734956">
        <w:rPr>
          <w:rFonts w:cs="Arial" w:hint="cs"/>
          <w:b/>
          <w:bCs/>
          <w:rtl/>
        </w:rPr>
        <w:t>גיטין</w:t>
      </w:r>
      <w:r>
        <w:rPr>
          <w:rFonts w:cs="Arial" w:hint="cs"/>
          <w:b/>
          <w:bCs/>
          <w:sz w:val="16"/>
          <w:szCs w:val="16"/>
          <w:rtl/>
        </w:rPr>
        <w:t xml:space="preserve"> (פ' הניזקין)</w:t>
      </w:r>
      <w:r w:rsidRPr="00734956">
        <w:rPr>
          <w:rFonts w:cs="Arial" w:hint="cs"/>
          <w:b/>
          <w:bCs/>
          <w:rtl/>
        </w:rPr>
        <w:t xml:space="preserve"> מח ע"ב: </w:t>
      </w:r>
      <w:r w:rsidRPr="00734956">
        <w:rPr>
          <w:rFonts w:cs="Arial"/>
          <w:u w:val="double"/>
          <w:rtl/>
        </w:rPr>
        <w:t>מתני'</w:t>
      </w:r>
      <w:r>
        <w:rPr>
          <w:rFonts w:cs="Arial" w:hint="cs"/>
          <w:rtl/>
        </w:rPr>
        <w:t>:</w:t>
      </w:r>
      <w:r w:rsidRPr="00734956">
        <w:rPr>
          <w:rFonts w:cs="Arial"/>
          <w:rtl/>
        </w:rPr>
        <w:t xml:space="preserve"> הניזקין שמין להן בעידית, ובעל חוב - בבינונית, וכתובת אשה - בזיבורית; ר"מ אומר: אף כתובת אשה - בבינונית.</w:t>
      </w:r>
      <w:r w:rsidRPr="00734956">
        <w:rPr>
          <w:rtl/>
        </w:rPr>
        <w:t xml:space="preserve"> </w:t>
      </w:r>
      <w:r>
        <w:rPr>
          <w:rFonts w:cs="Arial" w:hint="cs"/>
          <w:rtl/>
        </w:rPr>
        <w:t xml:space="preserve">      </w:t>
      </w:r>
      <w:r w:rsidRPr="00734956">
        <w:rPr>
          <w:rFonts w:cs="Arial" w:hint="cs"/>
          <w:u w:val="double"/>
          <w:rtl/>
        </w:rPr>
        <w:t>גמ'</w:t>
      </w:r>
      <w:r>
        <w:rPr>
          <w:rFonts w:cs="Arial" w:hint="cs"/>
          <w:rtl/>
        </w:rPr>
        <w:t xml:space="preserve">: </w:t>
      </w:r>
      <w:r w:rsidRPr="00734956">
        <w:rPr>
          <w:rFonts w:cs="Arial"/>
          <w:rtl/>
        </w:rPr>
        <w:t xml:space="preserve">כתובת אשה - בזיבורית, דברי ר' יהודה, ר"מ אומר: בבינונית. </w:t>
      </w:r>
      <w:r w:rsidRPr="00792285">
        <w:rPr>
          <w:rFonts w:cs="Arial"/>
          <w:u w:val="single"/>
          <w:rtl/>
        </w:rPr>
        <w:t>אמר ר"ש</w:t>
      </w:r>
      <w:r w:rsidRPr="00734956">
        <w:rPr>
          <w:rFonts w:cs="Arial"/>
          <w:rtl/>
        </w:rPr>
        <w:t>: מפני מה אמרו כתובת אשה בזיבורית? שיותר ממה שהאיש רוצה לישא, האשה רוצה לינשא.</w:t>
      </w:r>
    </w:p>
    <w:p w14:paraId="1F25C63C" w14:textId="77777777" w:rsidR="002E5BAD" w:rsidRDefault="002E5BAD" w:rsidP="002E5BAD">
      <w:pPr>
        <w:rPr>
          <w:rtl/>
        </w:rPr>
      </w:pPr>
      <w:r w:rsidRPr="00865456">
        <w:rPr>
          <w:rFonts w:cs="Arial" w:hint="cs"/>
          <w:b/>
          <w:bCs/>
          <w:rtl/>
        </w:rPr>
        <w:t>בכורות</w:t>
      </w:r>
      <w:r>
        <w:rPr>
          <w:rFonts w:cs="Arial" w:hint="cs"/>
          <w:b/>
          <w:bCs/>
          <w:sz w:val="16"/>
          <w:szCs w:val="16"/>
          <w:rtl/>
        </w:rPr>
        <w:t xml:space="preserve"> (פ' יש בכור)</w:t>
      </w:r>
      <w:r w:rsidRPr="00865456">
        <w:rPr>
          <w:rFonts w:cs="Arial" w:hint="cs"/>
          <w:b/>
          <w:bCs/>
          <w:rtl/>
        </w:rPr>
        <w:t xml:space="preserve"> נא ע"ב: </w:t>
      </w:r>
      <w:r w:rsidRPr="00865456">
        <w:rPr>
          <w:rFonts w:cs="Arial"/>
          <w:u w:val="double"/>
          <w:rtl/>
        </w:rPr>
        <w:t>מתני'</w:t>
      </w:r>
      <w:r>
        <w:rPr>
          <w:rFonts w:cs="Arial" w:hint="cs"/>
          <w:rtl/>
        </w:rPr>
        <w:t>:</w:t>
      </w:r>
      <w:r w:rsidRPr="00865456">
        <w:rPr>
          <w:rFonts w:cs="Arial"/>
          <w:rtl/>
        </w:rPr>
        <w:t xml:space="preserve"> הבכור נוטל פי שנים בנכסי האב, ואינו נוטל פי שנים בנכסי האם, ואינו נוטל בשבח, ולא בראוי כבמוחזק</w:t>
      </w:r>
      <w:r>
        <w:rPr>
          <w:rFonts w:hint="cs"/>
          <w:rtl/>
        </w:rPr>
        <w:t>,</w:t>
      </w:r>
      <w:r>
        <w:rPr>
          <w:rFonts w:hint="cs"/>
          <w:sz w:val="14"/>
          <w:szCs w:val="14"/>
          <w:rtl/>
        </w:rPr>
        <w:t>(נב.)</w:t>
      </w:r>
      <w:r w:rsidRPr="00BF47E4">
        <w:rPr>
          <w:rtl/>
        </w:rPr>
        <w:t xml:space="preserve"> </w:t>
      </w:r>
      <w:r w:rsidRPr="00BF47E4">
        <w:rPr>
          <w:rFonts w:cs="Arial"/>
          <w:rtl/>
        </w:rPr>
        <w:t>ולא האשה בכתובתה</w:t>
      </w:r>
      <w:r>
        <w:rPr>
          <w:rStyle w:val="a7"/>
          <w:rFonts w:cs="Arial"/>
          <w:rtl/>
        </w:rPr>
        <w:footnoteReference w:id="2293"/>
      </w:r>
      <w:r w:rsidRPr="00BF47E4">
        <w:rPr>
          <w:rFonts w:cs="Arial"/>
          <w:rtl/>
        </w:rPr>
        <w:t>, ולא הבנות במזונותיהן, ולא (את) היבם, וכולם אין נוטלין בשבח ולא בראוי כבמוחזק.</w:t>
      </w:r>
      <w:r w:rsidRPr="00BF47E4">
        <w:rPr>
          <w:rtl/>
        </w:rPr>
        <w:t xml:space="preserve"> </w:t>
      </w:r>
      <w:r>
        <w:rPr>
          <w:rFonts w:hint="cs"/>
          <w:rtl/>
        </w:rPr>
        <w:t xml:space="preserve">      </w:t>
      </w:r>
      <w:r w:rsidRPr="00BF47E4">
        <w:rPr>
          <w:rFonts w:hint="cs"/>
          <w:u w:val="double"/>
          <w:rtl/>
        </w:rPr>
        <w:t>גמ'</w:t>
      </w:r>
      <w:r>
        <w:rPr>
          <w:rFonts w:hint="cs"/>
          <w:rtl/>
        </w:rPr>
        <w:t xml:space="preserve">: </w:t>
      </w:r>
      <w:r w:rsidRPr="00BF47E4">
        <w:rPr>
          <w:rFonts w:cs="Arial"/>
          <w:rtl/>
        </w:rPr>
        <w:t>ולא בראוי כבמוחזק דכתיב: בכל אשר ימצא לו. ולא האשה בכתובתה</w:t>
      </w:r>
      <w:r>
        <w:rPr>
          <w:rFonts w:cs="Arial" w:hint="cs"/>
          <w:rtl/>
        </w:rPr>
        <w:t>.</w:t>
      </w:r>
      <w:r w:rsidRPr="00BF47E4">
        <w:rPr>
          <w:rFonts w:cs="Arial"/>
          <w:rtl/>
        </w:rPr>
        <w:t xml:space="preserve"> איני, </w:t>
      </w:r>
      <w:r w:rsidRPr="00BF47E4">
        <w:rPr>
          <w:rFonts w:cs="Arial"/>
          <w:u w:val="single"/>
          <w:rtl/>
        </w:rPr>
        <w:t>והאמר שמואל</w:t>
      </w:r>
      <w:r w:rsidRPr="00BF47E4">
        <w:rPr>
          <w:rFonts w:cs="Arial"/>
          <w:rtl/>
        </w:rPr>
        <w:t>: בעל חוב</w:t>
      </w:r>
      <w:r>
        <w:rPr>
          <w:rStyle w:val="a7"/>
          <w:rFonts w:cs="Arial"/>
          <w:rtl/>
        </w:rPr>
        <w:footnoteReference w:id="2294"/>
      </w:r>
      <w:r w:rsidRPr="00BF47E4">
        <w:rPr>
          <w:rFonts w:cs="Arial"/>
          <w:rtl/>
        </w:rPr>
        <w:t xml:space="preserve"> גובה את השבח! </w:t>
      </w:r>
      <w:r w:rsidRPr="00BF47E4">
        <w:rPr>
          <w:rFonts w:cs="Arial"/>
          <w:u w:val="single"/>
          <w:rtl/>
        </w:rPr>
        <w:t>א"ר אבא</w:t>
      </w:r>
      <w:r w:rsidRPr="00BF47E4">
        <w:rPr>
          <w:rFonts w:cs="Arial"/>
          <w:rtl/>
        </w:rPr>
        <w:t>: מקולי כתובה</w:t>
      </w:r>
      <w:r>
        <w:rPr>
          <w:rStyle w:val="a7"/>
          <w:rFonts w:cs="Arial"/>
          <w:rtl/>
        </w:rPr>
        <w:footnoteReference w:id="2295"/>
      </w:r>
      <w:r w:rsidRPr="00BF47E4">
        <w:rPr>
          <w:rFonts w:cs="Arial"/>
          <w:rtl/>
        </w:rPr>
        <w:t xml:space="preserve"> שנו כאן.</w:t>
      </w:r>
    </w:p>
    <w:p w14:paraId="0732A75E" w14:textId="77777777" w:rsidR="002E5BAD" w:rsidRPr="00865456" w:rsidRDefault="002E5BAD" w:rsidP="002E5BAD">
      <w:pPr>
        <w:rPr>
          <w:u w:val="single"/>
          <w:rtl/>
        </w:rPr>
      </w:pPr>
      <w:r w:rsidRPr="00865456">
        <w:rPr>
          <w:rFonts w:hint="cs"/>
          <w:u w:val="single"/>
          <w:rtl/>
        </w:rPr>
        <w:t>כתובה</w:t>
      </w:r>
      <w:r>
        <w:rPr>
          <w:rFonts w:hint="cs"/>
          <w:u w:val="single"/>
          <w:rtl/>
        </w:rPr>
        <w:t xml:space="preserve"> -</w:t>
      </w:r>
      <w:r w:rsidRPr="00865456">
        <w:rPr>
          <w:rFonts w:hint="cs"/>
          <w:u w:val="single"/>
          <w:rtl/>
        </w:rPr>
        <w:t xml:space="preserve"> </w:t>
      </w:r>
      <w:r>
        <w:rPr>
          <w:rFonts w:hint="cs"/>
          <w:u w:val="single"/>
          <w:rtl/>
        </w:rPr>
        <w:t>ממה</w:t>
      </w:r>
      <w:r w:rsidRPr="00865456">
        <w:rPr>
          <w:rFonts w:hint="cs"/>
          <w:u w:val="single"/>
          <w:rtl/>
        </w:rPr>
        <w:t xml:space="preserve"> נגבית:</w:t>
      </w:r>
    </w:p>
    <w:p w14:paraId="3D4B8423" w14:textId="77777777" w:rsidR="002E5BAD" w:rsidRPr="00865456" w:rsidRDefault="002E5BAD" w:rsidP="00B75458">
      <w:pPr>
        <w:pStyle w:val="ab"/>
        <w:numPr>
          <w:ilvl w:val="0"/>
          <w:numId w:val="192"/>
        </w:numPr>
      </w:pPr>
      <w:r>
        <w:rPr>
          <w:rFonts w:cs="Arial"/>
          <w:rtl/>
        </w:rPr>
        <w:t>רא"ש</w:t>
      </w:r>
      <w:r>
        <w:rPr>
          <w:rStyle w:val="a7"/>
          <w:rFonts w:cs="Arial"/>
          <w:rtl/>
        </w:rPr>
        <w:footnoteReference w:id="2296"/>
      </w:r>
      <w:r>
        <w:rPr>
          <w:rFonts w:cs="Arial"/>
          <w:rtl/>
        </w:rPr>
        <w:t xml:space="preserve"> </w:t>
      </w:r>
      <w:r w:rsidRPr="00C3296F">
        <w:rPr>
          <w:rFonts w:cs="Arial" w:hint="cs"/>
          <w:sz w:val="16"/>
          <w:szCs w:val="16"/>
          <w:rtl/>
        </w:rPr>
        <w:t>(</w:t>
      </w:r>
      <w:r w:rsidRPr="00C3296F">
        <w:rPr>
          <w:rFonts w:cs="Arial"/>
          <w:sz w:val="16"/>
          <w:szCs w:val="16"/>
          <w:rtl/>
        </w:rPr>
        <w:t>פ</w:t>
      </w:r>
      <w:r w:rsidRPr="00C3296F">
        <w:rPr>
          <w:rFonts w:cs="Arial" w:hint="cs"/>
          <w:sz w:val="16"/>
          <w:szCs w:val="16"/>
          <w:rtl/>
        </w:rPr>
        <w:t>'</w:t>
      </w:r>
      <w:r w:rsidRPr="00C3296F">
        <w:rPr>
          <w:rFonts w:cs="Arial"/>
          <w:sz w:val="16"/>
          <w:szCs w:val="16"/>
          <w:rtl/>
        </w:rPr>
        <w:t xml:space="preserve"> יש נוחלין ב"ב סי' יא) </w:t>
      </w:r>
      <w:r>
        <w:rPr>
          <w:rFonts w:cs="Arial" w:hint="cs"/>
          <w:rtl/>
        </w:rPr>
        <w:t xml:space="preserve">וטור- </w:t>
      </w:r>
      <w:r w:rsidRPr="003D2914">
        <w:rPr>
          <w:rFonts w:cs="Arial"/>
          <w:rtl/>
        </w:rPr>
        <w:t>אין הכתובה נגבית מדינא דגמרא אלא ממקרקעי</w:t>
      </w:r>
      <w:r>
        <w:rPr>
          <w:rFonts w:cs="Arial" w:hint="cs"/>
          <w:rtl/>
        </w:rPr>
        <w:t>,</w:t>
      </w:r>
      <w:r w:rsidRPr="003D2914">
        <w:rPr>
          <w:rFonts w:cs="Arial"/>
          <w:rtl/>
        </w:rPr>
        <w:t xml:space="preserve"> ומן הזיבורית שבנכסיו</w:t>
      </w:r>
      <w:r>
        <w:rPr>
          <w:rFonts w:cs="Arial" w:hint="cs"/>
          <w:rtl/>
        </w:rPr>
        <w:t>.</w:t>
      </w:r>
      <w:r w:rsidRPr="003D2914">
        <w:rPr>
          <w:rFonts w:cs="Arial"/>
          <w:rtl/>
        </w:rPr>
        <w:t xml:space="preserve"> ולא משבח שהשביחו הנכסים אחר מותו</w:t>
      </w:r>
      <w:r>
        <w:rPr>
          <w:rFonts w:cs="Arial" w:hint="cs"/>
          <w:rtl/>
        </w:rPr>
        <w:t>,</w:t>
      </w:r>
      <w:r w:rsidRPr="003D2914">
        <w:rPr>
          <w:rFonts w:cs="Arial"/>
          <w:rtl/>
        </w:rPr>
        <w:t xml:space="preserve"> לא שנא השביחו יורשין ול"ש השביחו לקוחות ובאה לטרוף מהם</w:t>
      </w:r>
      <w:r>
        <w:rPr>
          <w:rStyle w:val="a7"/>
          <w:rFonts w:cs="Arial"/>
          <w:rtl/>
        </w:rPr>
        <w:footnoteReference w:id="2297"/>
      </w:r>
      <w:r>
        <w:rPr>
          <w:rFonts w:cs="Arial" w:hint="cs"/>
          <w:rtl/>
        </w:rPr>
        <w:t>.</w:t>
      </w:r>
      <w:r w:rsidRPr="003D2914">
        <w:rPr>
          <w:rFonts w:cs="Arial"/>
          <w:rtl/>
        </w:rPr>
        <w:t xml:space="preserve"> ולא מהראוי</w:t>
      </w:r>
      <w:r>
        <w:rPr>
          <w:rFonts w:cs="Arial" w:hint="cs"/>
          <w:rtl/>
        </w:rPr>
        <w:t>.</w:t>
      </w:r>
      <w:r w:rsidRPr="003D2914">
        <w:rPr>
          <w:rFonts w:cs="Arial"/>
          <w:rtl/>
        </w:rPr>
        <w:t xml:space="preserve"> אבל במלוה שחייבים לבעל נקרא מוחזק</w:t>
      </w:r>
      <w:r>
        <w:rPr>
          <w:rStyle w:val="a7"/>
          <w:rFonts w:cs="Arial"/>
          <w:rtl/>
        </w:rPr>
        <w:footnoteReference w:id="2298"/>
      </w:r>
      <w:r w:rsidRPr="003D2914">
        <w:rPr>
          <w:rFonts w:cs="Arial"/>
          <w:rtl/>
        </w:rPr>
        <w:t xml:space="preserve"> ונגבית מהם אפי</w:t>
      </w:r>
      <w:r>
        <w:rPr>
          <w:rFonts w:cs="Arial" w:hint="cs"/>
          <w:rtl/>
        </w:rPr>
        <w:t>לו</w:t>
      </w:r>
      <w:r w:rsidRPr="003D2914">
        <w:rPr>
          <w:rFonts w:cs="Arial"/>
          <w:rtl/>
        </w:rPr>
        <w:t xml:space="preserve"> הוא על ה</w:t>
      </w:r>
      <w:r>
        <w:rPr>
          <w:rFonts w:cs="Arial" w:hint="cs"/>
          <w:rtl/>
        </w:rPr>
        <w:t>גוי</w:t>
      </w:r>
      <w:r>
        <w:rPr>
          <w:rFonts w:cs="Arial" w:hint="cs"/>
          <w:sz w:val="16"/>
          <w:szCs w:val="16"/>
          <w:rtl/>
        </w:rPr>
        <w:t xml:space="preserve"> (ל' הטור)</w:t>
      </w:r>
      <w:r>
        <w:rPr>
          <w:rFonts w:cs="Arial" w:hint="cs"/>
          <w:rtl/>
        </w:rPr>
        <w:t>.</w:t>
      </w:r>
      <w:r w:rsidRPr="003D2914">
        <w:rPr>
          <w:rFonts w:cs="Arial"/>
          <w:rtl/>
        </w:rPr>
        <w:t xml:space="preserve"> </w:t>
      </w:r>
      <w:r w:rsidRPr="006A6FBD">
        <w:rPr>
          <w:rFonts w:hint="cs"/>
          <w:color w:val="E36C0A" w:themeColor="accent6" w:themeShade="BF"/>
          <w:rtl/>
        </w:rPr>
        <w:t>(וכ"פ בשו"ע</w:t>
      </w:r>
      <w:r w:rsidRPr="00FD6149">
        <w:rPr>
          <w:rFonts w:hint="cs"/>
          <w:color w:val="000000" w:themeColor="text1"/>
          <w:sz w:val="16"/>
          <w:szCs w:val="16"/>
          <w:rtl/>
        </w:rPr>
        <w:t xml:space="preserve"> [כאן ובסע' ב]</w:t>
      </w:r>
      <w:r w:rsidRPr="006A6FBD">
        <w:rPr>
          <w:rFonts w:hint="cs"/>
          <w:color w:val="E36C0A" w:themeColor="accent6" w:themeShade="BF"/>
          <w:rtl/>
        </w:rPr>
        <w:t>)</w:t>
      </w:r>
    </w:p>
    <w:p w14:paraId="1518F508" w14:textId="77777777" w:rsidR="002E5BAD" w:rsidRPr="00865456" w:rsidRDefault="002E5BAD" w:rsidP="002E5BAD">
      <w:pPr>
        <w:ind w:left="360"/>
        <w:rPr>
          <w:u w:val="dotted"/>
        </w:rPr>
      </w:pPr>
      <w:r w:rsidRPr="00865456">
        <w:rPr>
          <w:rFonts w:hint="cs"/>
          <w:u w:val="dotted"/>
          <w:rtl/>
        </w:rPr>
        <w:t>תקנת הגאונים לגבות כתובה ממטלטלים:</w:t>
      </w:r>
    </w:p>
    <w:p w14:paraId="797CDDDD" w14:textId="77777777" w:rsidR="002E5BAD" w:rsidRDefault="002E5BAD" w:rsidP="00B75458">
      <w:pPr>
        <w:pStyle w:val="ab"/>
        <w:numPr>
          <w:ilvl w:val="0"/>
          <w:numId w:val="192"/>
        </w:numPr>
      </w:pPr>
      <w:r>
        <w:rPr>
          <w:rFonts w:cs="Arial"/>
          <w:rtl/>
        </w:rPr>
        <w:t xml:space="preserve">רמב"ם </w:t>
      </w:r>
      <w:r w:rsidRPr="00142EEF">
        <w:rPr>
          <w:rFonts w:cs="Arial"/>
          <w:sz w:val="16"/>
          <w:szCs w:val="16"/>
          <w:rtl/>
        </w:rPr>
        <w:t>(</w:t>
      </w:r>
      <w:r w:rsidRPr="00142EEF">
        <w:rPr>
          <w:rFonts w:cs="Arial" w:hint="cs"/>
          <w:sz w:val="16"/>
          <w:szCs w:val="16"/>
          <w:rtl/>
        </w:rPr>
        <w:t xml:space="preserve">פט"ז מאישות ה"ז) </w:t>
      </w:r>
      <w:r>
        <w:rPr>
          <w:rFonts w:cs="Arial" w:hint="cs"/>
          <w:rtl/>
        </w:rPr>
        <w:t xml:space="preserve">וטור- </w:t>
      </w:r>
      <w:r w:rsidRPr="003D2914">
        <w:rPr>
          <w:rFonts w:cs="Arial"/>
          <w:rtl/>
        </w:rPr>
        <w:t>ומתקנת הגאונים</w:t>
      </w:r>
      <w:r>
        <w:rPr>
          <w:rStyle w:val="a7"/>
          <w:rFonts w:cs="Arial"/>
          <w:rtl/>
        </w:rPr>
        <w:footnoteReference w:id="2299"/>
      </w:r>
      <w:r w:rsidRPr="003D2914">
        <w:rPr>
          <w:rFonts w:cs="Arial"/>
          <w:rtl/>
        </w:rPr>
        <w:t xml:space="preserve"> נגבית ממטלטלים</w:t>
      </w:r>
      <w:r>
        <w:rPr>
          <w:rFonts w:cs="Arial" w:hint="cs"/>
          <w:rtl/>
        </w:rPr>
        <w:t>,</w:t>
      </w:r>
      <w:r w:rsidRPr="003D2914">
        <w:rPr>
          <w:rFonts w:cs="Arial"/>
          <w:rtl/>
        </w:rPr>
        <w:t xml:space="preserve"> וה"ה נמי לכל תנאיה חוץ מכתובת בנין דכרין כדלקמן</w:t>
      </w:r>
      <w:r>
        <w:rPr>
          <w:rFonts w:cs="Arial" w:hint="cs"/>
          <w:sz w:val="16"/>
          <w:szCs w:val="16"/>
          <w:rtl/>
        </w:rPr>
        <w:t xml:space="preserve"> (בסי' קיא)</w:t>
      </w:r>
      <w:r>
        <w:rPr>
          <w:rFonts w:cs="Arial" w:hint="cs"/>
          <w:rtl/>
        </w:rPr>
        <w:t>.</w:t>
      </w:r>
      <w:r w:rsidRPr="003D2914">
        <w:rPr>
          <w:rFonts w:cs="Arial"/>
          <w:rtl/>
        </w:rPr>
        <w:t xml:space="preserve"> לפיכך אם גבו היורשים מעות בחובת אביהן </w:t>
      </w:r>
      <w:r>
        <w:rPr>
          <w:rFonts w:cs="Arial" w:hint="cs"/>
          <w:rtl/>
        </w:rPr>
        <w:t xml:space="preserve">- </w:t>
      </w:r>
      <w:r w:rsidRPr="003D2914">
        <w:rPr>
          <w:rFonts w:cs="Arial"/>
          <w:rtl/>
        </w:rPr>
        <w:t>גובה מהן</w:t>
      </w:r>
      <w:r>
        <w:rPr>
          <w:rFonts w:cs="Arial" w:hint="cs"/>
          <w:sz w:val="16"/>
          <w:szCs w:val="16"/>
          <w:rtl/>
        </w:rPr>
        <w:t xml:space="preserve"> (ל' הטור)</w:t>
      </w:r>
      <w:r>
        <w:rPr>
          <w:rFonts w:cs="Arial" w:hint="cs"/>
          <w:rtl/>
        </w:rPr>
        <w:t>.</w:t>
      </w:r>
      <w:r w:rsidRPr="003D2914">
        <w:rPr>
          <w:rFonts w:cs="Arial"/>
          <w:rtl/>
        </w:rPr>
        <w:t xml:space="preserve"> </w:t>
      </w:r>
      <w:r w:rsidRPr="006A6FBD">
        <w:rPr>
          <w:rFonts w:hint="cs"/>
          <w:color w:val="E36C0A" w:themeColor="accent6" w:themeShade="BF"/>
          <w:rtl/>
        </w:rPr>
        <w:t>(וכ"פ בשו"ע)</w:t>
      </w:r>
    </w:p>
    <w:p w14:paraId="46585CB3" w14:textId="77777777" w:rsidR="002E5BAD" w:rsidRPr="00142EEF" w:rsidRDefault="002E5BAD" w:rsidP="00B75458">
      <w:pPr>
        <w:pStyle w:val="ab"/>
        <w:numPr>
          <w:ilvl w:val="0"/>
          <w:numId w:val="192"/>
        </w:numPr>
      </w:pPr>
      <w:r>
        <w:rPr>
          <w:rFonts w:hint="cs"/>
          <w:rtl/>
        </w:rPr>
        <w:lastRenderedPageBreak/>
        <w:t>ראב"ן</w:t>
      </w:r>
      <w:r>
        <w:rPr>
          <w:rStyle w:val="a7"/>
          <w:rtl/>
        </w:rPr>
        <w:footnoteReference w:id="2300"/>
      </w:r>
      <w:r>
        <w:rPr>
          <w:rFonts w:hint="cs"/>
          <w:sz w:val="16"/>
          <w:szCs w:val="16"/>
          <w:rtl/>
        </w:rPr>
        <w:t xml:space="preserve"> (</w:t>
      </w:r>
      <w:r>
        <w:rPr>
          <w:rFonts w:cs="Arial" w:hint="cs"/>
          <w:sz w:val="16"/>
          <w:szCs w:val="16"/>
          <w:rtl/>
        </w:rPr>
        <w:t>בשו"ת ש</w:t>
      </w:r>
      <w:r w:rsidRPr="0089778D">
        <w:rPr>
          <w:rFonts w:cs="Arial"/>
          <w:sz w:val="16"/>
          <w:szCs w:val="16"/>
          <w:rtl/>
        </w:rPr>
        <w:t>בסוף ספר</w:t>
      </w:r>
      <w:r>
        <w:rPr>
          <w:rFonts w:cs="Arial" w:hint="cs"/>
          <w:sz w:val="16"/>
          <w:szCs w:val="16"/>
          <w:rtl/>
        </w:rPr>
        <w:t xml:space="preserve"> הראב"ן, וכ"כ בשמו ה</w:t>
      </w:r>
      <w:r w:rsidRPr="0089778D">
        <w:rPr>
          <w:rFonts w:cs="Arial"/>
          <w:sz w:val="16"/>
          <w:szCs w:val="16"/>
          <w:rtl/>
        </w:rPr>
        <w:t xml:space="preserve">מרדכי </w:t>
      </w:r>
      <w:r>
        <w:rPr>
          <w:rFonts w:cs="Arial" w:hint="cs"/>
          <w:sz w:val="16"/>
          <w:szCs w:val="16"/>
          <w:rtl/>
        </w:rPr>
        <w:t>[ב"ב סי'</w:t>
      </w:r>
      <w:r w:rsidRPr="0089778D">
        <w:rPr>
          <w:rFonts w:cs="Arial"/>
          <w:sz w:val="16"/>
          <w:szCs w:val="16"/>
          <w:rtl/>
        </w:rPr>
        <w:t xml:space="preserve"> תרלב</w:t>
      </w:r>
      <w:r>
        <w:rPr>
          <w:rFonts w:cs="Arial" w:hint="cs"/>
          <w:sz w:val="16"/>
          <w:szCs w:val="16"/>
          <w:rtl/>
        </w:rPr>
        <w:t>, וכתובות סי' רמט]</w:t>
      </w:r>
      <w:r>
        <w:rPr>
          <w:rFonts w:hint="cs"/>
          <w:sz w:val="16"/>
          <w:szCs w:val="16"/>
          <w:rtl/>
        </w:rPr>
        <w:t>)</w:t>
      </w:r>
      <w:r>
        <w:rPr>
          <w:rFonts w:hint="cs"/>
          <w:rtl/>
        </w:rPr>
        <w:t>- תקנת הגאונים היא רק על מטלטלין בעין דומיא גמלי דערביא. אבל במטלטלי שאינם בעין אינה יכולה לגבות מהם אא"כ תפסה</w:t>
      </w:r>
      <w:r>
        <w:rPr>
          <w:rStyle w:val="a7"/>
          <w:rtl/>
        </w:rPr>
        <w:footnoteReference w:id="2301"/>
      </w:r>
      <w:r>
        <w:rPr>
          <w:rFonts w:hint="cs"/>
          <w:rtl/>
        </w:rPr>
        <w:t xml:space="preserve">.  </w:t>
      </w:r>
    </w:p>
    <w:p w14:paraId="46E90AC8" w14:textId="77777777" w:rsidR="002E5BAD" w:rsidRPr="00142EEF" w:rsidRDefault="002E5BAD" w:rsidP="002E5BAD">
      <w:pPr>
        <w:ind w:left="720"/>
        <w:rPr>
          <w:u w:val="wave"/>
        </w:rPr>
      </w:pPr>
      <w:r>
        <w:rPr>
          <w:rFonts w:hint="cs"/>
          <w:u w:val="wave"/>
          <w:rtl/>
        </w:rPr>
        <w:t xml:space="preserve">לטור וסיעתו - </w:t>
      </w:r>
      <w:r w:rsidRPr="00142EEF">
        <w:rPr>
          <w:rFonts w:hint="cs"/>
          <w:u w:val="wave"/>
          <w:rtl/>
        </w:rPr>
        <w:t>האם מכח התקנה האשה יכולה לגבות גם ממטלטלי שמכרם הבעל או נתנם במתנה:</w:t>
      </w:r>
    </w:p>
    <w:p w14:paraId="754F66A1" w14:textId="77777777" w:rsidR="002E5BAD" w:rsidRDefault="002E5BAD" w:rsidP="00B75458">
      <w:pPr>
        <w:pStyle w:val="ab"/>
        <w:numPr>
          <w:ilvl w:val="0"/>
          <w:numId w:val="192"/>
        </w:numPr>
      </w:pPr>
      <w:r>
        <w:rPr>
          <w:rFonts w:cs="Arial" w:hint="cs"/>
          <w:rtl/>
        </w:rPr>
        <w:t xml:space="preserve">טור- </w:t>
      </w:r>
      <w:r w:rsidRPr="003D2914">
        <w:rPr>
          <w:rFonts w:cs="Arial"/>
          <w:rtl/>
        </w:rPr>
        <w:t>ודוקא מטלטלי דבני חרי</w:t>
      </w:r>
      <w:r>
        <w:rPr>
          <w:rFonts w:cs="Arial" w:hint="cs"/>
          <w:rtl/>
        </w:rPr>
        <w:t>,</w:t>
      </w:r>
      <w:r w:rsidRPr="003D2914">
        <w:rPr>
          <w:rFonts w:cs="Arial"/>
          <w:rtl/>
        </w:rPr>
        <w:t xml:space="preserve"> אבל מכרם הבעל או נתנם במתנת בריא</w:t>
      </w:r>
      <w:r>
        <w:rPr>
          <w:rStyle w:val="a7"/>
          <w:rFonts w:cs="Arial"/>
          <w:rtl/>
        </w:rPr>
        <w:footnoteReference w:id="2302"/>
      </w:r>
      <w:r w:rsidRPr="003D2914">
        <w:rPr>
          <w:rFonts w:cs="Arial"/>
          <w:rtl/>
        </w:rPr>
        <w:t xml:space="preserve"> </w:t>
      </w:r>
      <w:r>
        <w:rPr>
          <w:rFonts w:cs="Arial" w:hint="cs"/>
          <w:rtl/>
        </w:rPr>
        <w:t xml:space="preserve">- </w:t>
      </w:r>
      <w:r w:rsidRPr="003D2914">
        <w:rPr>
          <w:rFonts w:cs="Arial"/>
          <w:rtl/>
        </w:rPr>
        <w:t>אינה גובה מהם</w:t>
      </w:r>
      <w:r>
        <w:rPr>
          <w:rStyle w:val="a7"/>
          <w:rFonts w:cs="Arial"/>
          <w:rtl/>
        </w:rPr>
        <w:footnoteReference w:id="2303"/>
      </w:r>
      <w:r>
        <w:rPr>
          <w:rFonts w:cs="Arial" w:hint="cs"/>
          <w:rtl/>
        </w:rPr>
        <w:t xml:space="preserve">. </w:t>
      </w:r>
      <w:r w:rsidRPr="006A6FBD">
        <w:rPr>
          <w:rFonts w:hint="cs"/>
          <w:color w:val="E36C0A" w:themeColor="accent6" w:themeShade="BF"/>
          <w:rtl/>
        </w:rPr>
        <w:t>(וכ"פ בשו"ע)</w:t>
      </w:r>
    </w:p>
    <w:p w14:paraId="022135BD" w14:textId="77777777" w:rsidR="002E5BAD" w:rsidRPr="00E40325" w:rsidRDefault="002E5BAD" w:rsidP="00B75458">
      <w:pPr>
        <w:pStyle w:val="ab"/>
        <w:numPr>
          <w:ilvl w:val="0"/>
          <w:numId w:val="192"/>
        </w:numPr>
      </w:pPr>
      <w:r w:rsidRPr="00142EEF">
        <w:rPr>
          <w:rFonts w:cs="Arial"/>
          <w:rtl/>
        </w:rPr>
        <w:t>רבינו יצחק בר' ברוך</w:t>
      </w:r>
      <w:r>
        <w:rPr>
          <w:rFonts w:cs="Arial" w:hint="cs"/>
          <w:sz w:val="16"/>
          <w:szCs w:val="16"/>
          <w:rtl/>
        </w:rPr>
        <w:t xml:space="preserve"> (כ"כ בשמו המרדכי [כתובות סי' קסא])</w:t>
      </w:r>
      <w:r>
        <w:rPr>
          <w:rFonts w:cs="Arial" w:hint="cs"/>
          <w:rtl/>
        </w:rPr>
        <w:t>-</w:t>
      </w:r>
      <w:r w:rsidRPr="00142EEF">
        <w:rPr>
          <w:rFonts w:cs="Arial"/>
          <w:rtl/>
        </w:rPr>
        <w:t xml:space="preserve"> אפילו מתנת בריא לאיניש אחרינא לא מפקעא שיעבוד כתובה</w:t>
      </w:r>
      <w:r>
        <w:rPr>
          <w:rFonts w:cs="Arial" w:hint="cs"/>
          <w:rtl/>
        </w:rPr>
        <w:t>.</w:t>
      </w:r>
      <w:r w:rsidRPr="00142EEF">
        <w:rPr>
          <w:rFonts w:cs="Arial"/>
          <w:rtl/>
        </w:rPr>
        <w:t xml:space="preserve"> </w:t>
      </w:r>
    </w:p>
    <w:p w14:paraId="4F1741E4" w14:textId="77777777" w:rsidR="002E5BAD" w:rsidRDefault="002E5BAD" w:rsidP="00B75458">
      <w:pPr>
        <w:pStyle w:val="ab"/>
        <w:numPr>
          <w:ilvl w:val="0"/>
          <w:numId w:val="192"/>
        </w:numPr>
      </w:pPr>
      <w:r>
        <w:rPr>
          <w:rFonts w:cs="Arial" w:hint="cs"/>
          <w:rtl/>
        </w:rPr>
        <w:t xml:space="preserve">רבנו גרשום </w:t>
      </w:r>
      <w:r>
        <w:rPr>
          <w:rFonts w:cs="Arial" w:hint="cs"/>
          <w:sz w:val="16"/>
          <w:szCs w:val="16"/>
          <w:rtl/>
        </w:rPr>
        <w:t>(כ"כ בשמו המרדכי [ב"ב סי' תקפט])</w:t>
      </w:r>
      <w:r>
        <w:rPr>
          <w:rFonts w:cs="Arial" w:hint="cs"/>
          <w:rtl/>
        </w:rPr>
        <w:t xml:space="preserve"> ו</w:t>
      </w:r>
      <w:r w:rsidRPr="00142EEF">
        <w:rPr>
          <w:rFonts w:cs="Arial"/>
          <w:rtl/>
        </w:rPr>
        <w:t xml:space="preserve">רבינו שמואל </w:t>
      </w:r>
      <w:r>
        <w:rPr>
          <w:rFonts w:cs="Arial" w:hint="cs"/>
          <w:sz w:val="16"/>
          <w:szCs w:val="16"/>
          <w:rtl/>
        </w:rPr>
        <w:t>(כ"כ בשמו המרדכי [כתובות סי' קסא])</w:t>
      </w:r>
      <w:r>
        <w:rPr>
          <w:rFonts w:cs="Arial" w:hint="cs"/>
          <w:rtl/>
        </w:rPr>
        <w:t>-</w:t>
      </w:r>
      <w:r w:rsidRPr="00142EEF">
        <w:rPr>
          <w:rFonts w:cs="Arial"/>
          <w:rtl/>
        </w:rPr>
        <w:t xml:space="preserve"> מתנת ש"מ לאיניש אחריני מפקיע שיעבוד הכתובה ומזוני כמו מתנת בריא</w:t>
      </w:r>
      <w:r>
        <w:rPr>
          <w:rStyle w:val="a7"/>
          <w:rtl/>
        </w:rPr>
        <w:footnoteReference w:id="2304"/>
      </w:r>
      <w:r>
        <w:rPr>
          <w:rFonts w:hint="cs"/>
          <w:sz w:val="16"/>
          <w:szCs w:val="16"/>
          <w:rtl/>
        </w:rPr>
        <w:t xml:space="preserve"> (ל' המרדכי בשם ר"ש)</w:t>
      </w:r>
      <w:r>
        <w:rPr>
          <w:rFonts w:hint="cs"/>
          <w:rtl/>
        </w:rPr>
        <w:t>.</w:t>
      </w:r>
    </w:p>
    <w:p w14:paraId="4A47A471" w14:textId="77777777" w:rsidR="002E5BAD" w:rsidRPr="0071190C" w:rsidRDefault="002E5BAD" w:rsidP="002E5BAD">
      <w:pPr>
        <w:ind w:left="720"/>
        <w:rPr>
          <w:u w:val="wave"/>
        </w:rPr>
      </w:pPr>
      <w:r>
        <w:rPr>
          <w:rFonts w:hint="cs"/>
          <w:u w:val="wave"/>
          <w:rtl/>
        </w:rPr>
        <w:t>לטור וסיעתו - מה הדין אם מכרו היורשים את המטלטלים אחרי מות אביהם</w:t>
      </w:r>
      <w:r w:rsidRPr="0071190C">
        <w:rPr>
          <w:rFonts w:hint="cs"/>
          <w:u w:val="wave"/>
          <w:rtl/>
        </w:rPr>
        <w:t>:</w:t>
      </w:r>
    </w:p>
    <w:p w14:paraId="397C6103" w14:textId="77777777" w:rsidR="002E5BAD" w:rsidRDefault="002E5BAD" w:rsidP="00B75458">
      <w:pPr>
        <w:pStyle w:val="ab"/>
        <w:numPr>
          <w:ilvl w:val="0"/>
          <w:numId w:val="192"/>
        </w:numPr>
      </w:pPr>
      <w:r>
        <w:rPr>
          <w:rFonts w:cs="Arial" w:hint="cs"/>
          <w:rtl/>
        </w:rPr>
        <w:t xml:space="preserve">טור- </w:t>
      </w:r>
      <w:r w:rsidRPr="003D2914">
        <w:rPr>
          <w:rFonts w:cs="Arial"/>
          <w:rtl/>
        </w:rPr>
        <w:t xml:space="preserve">אם מכרום היורשים אחרי מותו </w:t>
      </w:r>
      <w:r>
        <w:rPr>
          <w:rFonts w:cs="Arial" w:hint="cs"/>
          <w:rtl/>
        </w:rPr>
        <w:t xml:space="preserve">- </w:t>
      </w:r>
      <w:r w:rsidRPr="003D2914">
        <w:rPr>
          <w:rFonts w:cs="Arial"/>
          <w:rtl/>
        </w:rPr>
        <w:t>גובה מהם</w:t>
      </w:r>
      <w:r>
        <w:rPr>
          <w:rStyle w:val="a7"/>
          <w:rFonts w:cs="Arial"/>
          <w:rtl/>
        </w:rPr>
        <w:footnoteReference w:id="2305"/>
      </w:r>
      <w:r>
        <w:rPr>
          <w:rFonts w:cs="Arial" w:hint="cs"/>
          <w:rtl/>
        </w:rPr>
        <w:t>.</w:t>
      </w:r>
      <w:r w:rsidRPr="003D2914">
        <w:rPr>
          <w:rFonts w:cs="Arial"/>
          <w:rtl/>
        </w:rPr>
        <w:t xml:space="preserve"> </w:t>
      </w:r>
      <w:r w:rsidRPr="006A6FBD">
        <w:rPr>
          <w:rFonts w:hint="cs"/>
          <w:color w:val="E36C0A" w:themeColor="accent6" w:themeShade="BF"/>
          <w:rtl/>
        </w:rPr>
        <w:t>(וכ"פ בשו"ע)</w:t>
      </w:r>
    </w:p>
    <w:p w14:paraId="73A28162" w14:textId="77777777" w:rsidR="002E5BAD" w:rsidRPr="000D2B2B" w:rsidRDefault="002E5BAD" w:rsidP="00B75458">
      <w:pPr>
        <w:pStyle w:val="ab"/>
        <w:numPr>
          <w:ilvl w:val="0"/>
          <w:numId w:val="192"/>
        </w:numPr>
        <w:rPr>
          <w:rtl/>
        </w:rPr>
      </w:pPr>
      <w:r>
        <w:rPr>
          <w:rFonts w:hint="cs"/>
          <w:rtl/>
        </w:rPr>
        <w:t>תוס'</w:t>
      </w:r>
      <w:r>
        <w:rPr>
          <w:rStyle w:val="a7"/>
          <w:rtl/>
        </w:rPr>
        <w:footnoteReference w:id="2306"/>
      </w:r>
      <w:r>
        <w:rPr>
          <w:rFonts w:hint="cs"/>
          <w:rtl/>
        </w:rPr>
        <w:t xml:space="preserve"> </w:t>
      </w:r>
      <w:r w:rsidRPr="000D2B2B">
        <w:rPr>
          <w:rFonts w:cs="Arial"/>
          <w:sz w:val="16"/>
          <w:szCs w:val="16"/>
          <w:rtl/>
        </w:rPr>
        <w:t>(</w:t>
      </w:r>
      <w:r w:rsidRPr="000D2B2B">
        <w:rPr>
          <w:rFonts w:cs="Arial" w:hint="cs"/>
          <w:sz w:val="16"/>
          <w:szCs w:val="16"/>
          <w:rtl/>
        </w:rPr>
        <w:t xml:space="preserve">פ' נערה שנתפתתה </w:t>
      </w:r>
      <w:r w:rsidRPr="000D2B2B">
        <w:rPr>
          <w:rFonts w:cs="Arial"/>
          <w:sz w:val="16"/>
          <w:szCs w:val="16"/>
          <w:rtl/>
        </w:rPr>
        <w:t>מט: ד"ה הוא</w:t>
      </w:r>
      <w:r w:rsidRPr="000D2B2B">
        <w:rPr>
          <w:rFonts w:hint="cs"/>
          <w:sz w:val="16"/>
          <w:szCs w:val="16"/>
          <w:rtl/>
        </w:rPr>
        <w:t>)</w:t>
      </w:r>
      <w:r w:rsidRPr="000D2B2B">
        <w:rPr>
          <w:rFonts w:cs="Arial" w:hint="cs"/>
          <w:rtl/>
        </w:rPr>
        <w:t xml:space="preserve"> </w:t>
      </w:r>
      <w:r>
        <w:rPr>
          <w:rFonts w:cs="Arial" w:hint="cs"/>
          <w:rtl/>
        </w:rPr>
        <w:t xml:space="preserve">ורי"ו </w:t>
      </w:r>
      <w:r w:rsidRPr="000D2B2B">
        <w:rPr>
          <w:rFonts w:cs="Arial" w:hint="cs"/>
          <w:sz w:val="16"/>
          <w:szCs w:val="16"/>
          <w:rtl/>
        </w:rPr>
        <w:t>(</w:t>
      </w:r>
      <w:r w:rsidRPr="000D2B2B">
        <w:rPr>
          <w:rFonts w:cs="Arial"/>
          <w:sz w:val="16"/>
          <w:szCs w:val="16"/>
          <w:rtl/>
        </w:rPr>
        <w:t>מישרים נכ"ג ח"י סג ע"ג</w:t>
      </w:r>
      <w:r w:rsidRPr="000D2B2B">
        <w:rPr>
          <w:rFonts w:cs="Arial" w:hint="cs"/>
          <w:sz w:val="16"/>
          <w:szCs w:val="16"/>
          <w:rtl/>
        </w:rPr>
        <w:t>, עיין בריב"ש סי' קד</w:t>
      </w:r>
      <w:r w:rsidRPr="000D2B2B">
        <w:rPr>
          <w:rFonts w:cs="Arial"/>
          <w:sz w:val="16"/>
          <w:szCs w:val="16"/>
          <w:rtl/>
        </w:rPr>
        <w:t>)</w:t>
      </w:r>
      <w:r>
        <w:rPr>
          <w:rFonts w:hint="cs"/>
          <w:rtl/>
        </w:rPr>
        <w:t>- אינה גובה מהם</w:t>
      </w:r>
      <w:r>
        <w:rPr>
          <w:rStyle w:val="a7"/>
          <w:rtl/>
        </w:rPr>
        <w:footnoteReference w:id="2307"/>
      </w:r>
      <w:r>
        <w:rPr>
          <w:rFonts w:hint="cs"/>
          <w:rtl/>
        </w:rPr>
        <w:t>.</w:t>
      </w:r>
    </w:p>
    <w:p w14:paraId="3C4A8FE0" w14:textId="77777777" w:rsidR="002E5BAD" w:rsidRPr="00FD6149" w:rsidRDefault="002E5BAD" w:rsidP="002E5BAD">
      <w:pPr>
        <w:rPr>
          <w:u w:val="single"/>
        </w:rPr>
      </w:pPr>
      <w:r w:rsidRPr="00FD6149">
        <w:rPr>
          <w:rFonts w:hint="cs"/>
          <w:u w:val="single"/>
          <w:rtl/>
        </w:rPr>
        <w:t>מנהג לכתוב בכתובות 'מקרקעי ומטלטלי'</w:t>
      </w:r>
      <w:r>
        <w:rPr>
          <w:rFonts w:hint="cs"/>
          <w:u w:val="single"/>
          <w:rtl/>
        </w:rPr>
        <w:t>:</w:t>
      </w:r>
    </w:p>
    <w:p w14:paraId="137E6735" w14:textId="77777777" w:rsidR="002E5BAD" w:rsidRDefault="002E5BAD" w:rsidP="00B75458">
      <w:pPr>
        <w:pStyle w:val="ab"/>
        <w:numPr>
          <w:ilvl w:val="0"/>
          <w:numId w:val="192"/>
        </w:numPr>
      </w:pPr>
      <w:r>
        <w:rPr>
          <w:rFonts w:cs="Arial" w:hint="cs"/>
          <w:rtl/>
        </w:rPr>
        <w:t xml:space="preserve">טור- </w:t>
      </w:r>
      <w:r w:rsidRPr="00383A73">
        <w:rPr>
          <w:rFonts w:cs="Arial"/>
          <w:rtl/>
        </w:rPr>
        <w:t>כ</w:t>
      </w:r>
      <w:r>
        <w:rPr>
          <w:rFonts w:cs="Arial" w:hint="cs"/>
          <w:rtl/>
        </w:rPr>
        <w:t>תב</w:t>
      </w:r>
      <w:r w:rsidRPr="00383A73">
        <w:rPr>
          <w:rFonts w:cs="Arial"/>
          <w:rtl/>
        </w:rPr>
        <w:t xml:space="preserve"> הרמב"ם</w:t>
      </w:r>
      <w:r>
        <w:rPr>
          <w:rFonts w:cs="Arial" w:hint="cs"/>
          <w:sz w:val="16"/>
          <w:szCs w:val="16"/>
          <w:rtl/>
        </w:rPr>
        <w:t xml:space="preserve"> (פט"ז מאישות ה"ח)</w:t>
      </w:r>
      <w:r w:rsidRPr="00383A73">
        <w:rPr>
          <w:rFonts w:cs="Arial"/>
          <w:rtl/>
        </w:rPr>
        <w:t xml:space="preserve"> נהגו לכתוב בכל הכתובות </w:t>
      </w:r>
      <w:r>
        <w:rPr>
          <w:rFonts w:cs="Arial" w:hint="cs"/>
          <w:rtl/>
        </w:rPr>
        <w:t>'</w:t>
      </w:r>
      <w:r w:rsidRPr="00383A73">
        <w:rPr>
          <w:rFonts w:cs="Arial"/>
          <w:rtl/>
        </w:rPr>
        <w:t>מקרקעי ומטלטלי</w:t>
      </w:r>
      <w:r>
        <w:rPr>
          <w:rFonts w:cs="Arial" w:hint="cs"/>
          <w:rtl/>
        </w:rPr>
        <w:t>'</w:t>
      </w:r>
      <w:r>
        <w:rPr>
          <w:rStyle w:val="a7"/>
          <w:rFonts w:cs="Arial"/>
          <w:rtl/>
        </w:rPr>
        <w:footnoteReference w:id="2308"/>
      </w:r>
      <w:r>
        <w:rPr>
          <w:rFonts w:cs="Arial" w:hint="cs"/>
          <w:rtl/>
        </w:rPr>
        <w:t>.</w:t>
      </w:r>
      <w:r w:rsidRPr="00383A73">
        <w:rPr>
          <w:rFonts w:cs="Arial"/>
          <w:rtl/>
        </w:rPr>
        <w:t xml:space="preserve"> ודבר זה תיקון גדול הוא</w:t>
      </w:r>
      <w:r>
        <w:rPr>
          <w:rFonts w:cs="Arial" w:hint="cs"/>
          <w:rtl/>
        </w:rPr>
        <w:t>,</w:t>
      </w:r>
      <w:r w:rsidRPr="00383A73">
        <w:rPr>
          <w:rFonts w:cs="Arial"/>
          <w:rtl/>
        </w:rPr>
        <w:t xml:space="preserve"> ואנשים חכמים ונבונים נהגו כן</w:t>
      </w:r>
      <w:r>
        <w:rPr>
          <w:rFonts w:cs="Arial" w:hint="cs"/>
          <w:rtl/>
        </w:rPr>
        <w:t>.</w:t>
      </w:r>
      <w:r w:rsidRPr="00383A73">
        <w:rPr>
          <w:rFonts w:cs="Arial"/>
          <w:rtl/>
        </w:rPr>
        <w:t xml:space="preserve"> והוא ככל תנאי שבממון שהוא קיים ונמצא האלמנה גובה מן המטלטלים בתנאי זה ולא מתקנת האחרונים</w:t>
      </w:r>
      <w:r>
        <w:rPr>
          <w:rFonts w:cs="Arial" w:hint="cs"/>
          <w:rtl/>
        </w:rPr>
        <w:t>.</w:t>
      </w:r>
      <w:r w:rsidRPr="00383A73">
        <w:rPr>
          <w:rFonts w:cs="Arial"/>
          <w:rtl/>
        </w:rPr>
        <w:t xml:space="preserve"> </w:t>
      </w:r>
      <w:r w:rsidRPr="006A6FBD">
        <w:rPr>
          <w:rFonts w:hint="cs"/>
          <w:color w:val="E36C0A" w:themeColor="accent6" w:themeShade="BF"/>
          <w:rtl/>
        </w:rPr>
        <w:t>(וכ"פ בשו"ע)</w:t>
      </w:r>
    </w:p>
    <w:p w14:paraId="734A2621" w14:textId="77777777" w:rsidR="002E5BAD" w:rsidRPr="00FD6149" w:rsidRDefault="002E5BAD" w:rsidP="002E5BAD">
      <w:pPr>
        <w:ind w:left="360"/>
        <w:rPr>
          <w:u w:val="dotted"/>
        </w:rPr>
      </w:pPr>
      <w:r w:rsidRPr="00FD6149">
        <w:rPr>
          <w:rFonts w:hint="cs"/>
          <w:u w:val="dotted"/>
          <w:rtl/>
        </w:rPr>
        <w:t>ומה הדין אם לא כתב בכתובה כן:</w:t>
      </w:r>
    </w:p>
    <w:p w14:paraId="7EA5C3EF" w14:textId="77777777" w:rsidR="002E5BAD" w:rsidRPr="00E43BAA" w:rsidRDefault="002E5BAD" w:rsidP="00B75458">
      <w:pPr>
        <w:pStyle w:val="ab"/>
        <w:numPr>
          <w:ilvl w:val="0"/>
          <w:numId w:val="192"/>
        </w:numPr>
      </w:pPr>
      <w:r>
        <w:rPr>
          <w:rFonts w:cs="Arial" w:hint="cs"/>
          <w:rtl/>
        </w:rPr>
        <w:lastRenderedPageBreak/>
        <w:t xml:space="preserve">טור- </w:t>
      </w:r>
      <w:r w:rsidRPr="00383A73">
        <w:rPr>
          <w:rFonts w:cs="Arial"/>
          <w:rtl/>
        </w:rPr>
        <w:t>כ</w:t>
      </w:r>
      <w:r>
        <w:rPr>
          <w:rFonts w:cs="Arial" w:hint="cs"/>
          <w:rtl/>
        </w:rPr>
        <w:t>תב</w:t>
      </w:r>
      <w:r w:rsidRPr="00383A73">
        <w:rPr>
          <w:rFonts w:cs="Arial"/>
          <w:rtl/>
        </w:rPr>
        <w:t xml:space="preserve"> הרמב"ם</w:t>
      </w:r>
      <w:r>
        <w:rPr>
          <w:rFonts w:cs="Arial" w:hint="cs"/>
          <w:sz w:val="16"/>
          <w:szCs w:val="16"/>
          <w:rtl/>
        </w:rPr>
        <w:t xml:space="preserve"> (פט"ז מאישות ה"ח-ט)</w:t>
      </w:r>
      <w:r>
        <w:rPr>
          <w:rFonts w:cs="Arial" w:hint="cs"/>
          <w:rtl/>
        </w:rPr>
        <w:t>...</w:t>
      </w:r>
      <w:r w:rsidRPr="00383A73">
        <w:rPr>
          <w:rFonts w:cs="Arial"/>
          <w:rtl/>
        </w:rPr>
        <w:t xml:space="preserve"> הרי שלא כתב כן בכתובתה</w:t>
      </w:r>
      <w:r>
        <w:rPr>
          <w:rStyle w:val="a7"/>
          <w:rFonts w:cs="Arial"/>
          <w:rtl/>
        </w:rPr>
        <w:footnoteReference w:id="2309"/>
      </w:r>
      <w:r w:rsidRPr="00383A73">
        <w:rPr>
          <w:rFonts w:cs="Arial"/>
          <w:rtl/>
        </w:rPr>
        <w:t xml:space="preserve"> אלא שנשא סתם</w:t>
      </w:r>
      <w:r>
        <w:rPr>
          <w:rFonts w:cs="Arial" w:hint="cs"/>
          <w:rtl/>
        </w:rPr>
        <w:t>,</w:t>
      </w:r>
      <w:r w:rsidRPr="00383A73">
        <w:rPr>
          <w:rFonts w:cs="Arial"/>
          <w:rtl/>
        </w:rPr>
        <w:t xml:space="preserve"> אם הוא יודע בתקנת הגאונים </w:t>
      </w:r>
      <w:r>
        <w:rPr>
          <w:rFonts w:cs="Arial" w:hint="cs"/>
          <w:rtl/>
        </w:rPr>
        <w:t xml:space="preserve">- </w:t>
      </w:r>
      <w:r w:rsidRPr="00383A73">
        <w:rPr>
          <w:rFonts w:cs="Arial"/>
          <w:rtl/>
        </w:rPr>
        <w:t>גובה</w:t>
      </w:r>
      <w:r>
        <w:rPr>
          <w:rFonts w:cs="Arial" w:hint="cs"/>
          <w:rtl/>
        </w:rPr>
        <w:t>.</w:t>
      </w:r>
      <w:r w:rsidRPr="00383A73">
        <w:rPr>
          <w:rFonts w:cs="Arial"/>
          <w:rtl/>
        </w:rPr>
        <w:t xml:space="preserve"> ואם לאו</w:t>
      </w:r>
      <w:r>
        <w:rPr>
          <w:rFonts w:cs="Arial" w:hint="cs"/>
          <w:rtl/>
        </w:rPr>
        <w:t>,</w:t>
      </w:r>
      <w:r w:rsidRPr="00383A73">
        <w:rPr>
          <w:rFonts w:cs="Arial"/>
          <w:rtl/>
        </w:rPr>
        <w:t xml:space="preserve"> או שנסתפק לנו הדבר</w:t>
      </w:r>
      <w:r>
        <w:rPr>
          <w:rFonts w:cs="Arial" w:hint="cs"/>
          <w:rtl/>
        </w:rPr>
        <w:t>,</w:t>
      </w:r>
      <w:r w:rsidRPr="00383A73">
        <w:rPr>
          <w:rFonts w:cs="Arial"/>
          <w:rtl/>
        </w:rPr>
        <w:t xml:space="preserve"> מתיישבים בדבר זה</w:t>
      </w:r>
      <w:r>
        <w:rPr>
          <w:rFonts w:cs="Arial" w:hint="cs"/>
          <w:rtl/>
        </w:rPr>
        <w:t>.</w:t>
      </w:r>
      <w:r w:rsidRPr="00383A73">
        <w:rPr>
          <w:rFonts w:cs="Arial"/>
          <w:rtl/>
        </w:rPr>
        <w:t xml:space="preserve"> שאין כח בתקנת הגאונים לדון בה לפי שלא נתפרסם הדבר בדין תנאי כתובה שהוא תקנת סנהדרי גדולה ועד שנוציא בה ממון מן היורשים</w:t>
      </w:r>
      <w:r>
        <w:rPr>
          <w:rStyle w:val="a7"/>
          <w:rFonts w:cs="Arial"/>
          <w:rtl/>
        </w:rPr>
        <w:footnoteReference w:id="2310"/>
      </w:r>
      <w:r>
        <w:rPr>
          <w:rFonts w:cs="Arial" w:hint="cs"/>
          <w:rtl/>
        </w:rPr>
        <w:t>.</w:t>
      </w:r>
      <w:r w:rsidRPr="00383A73">
        <w:rPr>
          <w:rFonts w:cs="Arial"/>
          <w:rtl/>
        </w:rPr>
        <w:t xml:space="preserve"> ע</w:t>
      </w:r>
      <w:r>
        <w:rPr>
          <w:rFonts w:cs="Arial" w:hint="cs"/>
          <w:rtl/>
        </w:rPr>
        <w:t>ד כאן</w:t>
      </w:r>
      <w:r w:rsidRPr="00383A73">
        <w:rPr>
          <w:rFonts w:cs="Arial" w:hint="cs"/>
          <w:rtl/>
        </w:rPr>
        <w:t>.</w:t>
      </w:r>
    </w:p>
    <w:p w14:paraId="385AA315" w14:textId="77777777" w:rsidR="002E5BAD" w:rsidRDefault="002E5BAD" w:rsidP="002E5BAD">
      <w:r w:rsidRPr="009B73CF">
        <w:rPr>
          <w:rFonts w:cs="Arial" w:hint="cs"/>
          <w:b/>
          <w:bCs/>
          <w:rtl/>
        </w:rPr>
        <w:t xml:space="preserve">כתובות </w:t>
      </w:r>
      <w:r>
        <w:rPr>
          <w:rFonts w:cs="Arial" w:hint="cs"/>
          <w:b/>
          <w:bCs/>
          <w:sz w:val="16"/>
          <w:szCs w:val="16"/>
          <w:rtl/>
        </w:rPr>
        <w:t xml:space="preserve">(פ' מציאת האשה) </w:t>
      </w:r>
      <w:r>
        <w:rPr>
          <w:rFonts w:cs="Arial" w:hint="cs"/>
          <w:b/>
          <w:bCs/>
          <w:rtl/>
        </w:rPr>
        <w:t>סז</w:t>
      </w:r>
      <w:r w:rsidRPr="009B73CF">
        <w:rPr>
          <w:rFonts w:cs="Arial" w:hint="cs"/>
          <w:b/>
          <w:bCs/>
          <w:rtl/>
        </w:rPr>
        <w:t xml:space="preserve"> ע"א: </w:t>
      </w:r>
      <w:r w:rsidRPr="00D75497">
        <w:rPr>
          <w:rFonts w:cs="Arial"/>
          <w:u w:val="single"/>
          <w:rtl/>
        </w:rPr>
        <w:t>אמר רבי שמואל בר נחמני אמר רבי יוחנ</w:t>
      </w:r>
      <w:r w:rsidRPr="00D75497">
        <w:rPr>
          <w:rFonts w:cs="Arial"/>
          <w:rtl/>
        </w:rPr>
        <w:t xml:space="preserve">ן: גמלים של ערביא, אשה גובה פרנא מהם. </w:t>
      </w:r>
      <w:r w:rsidRPr="00D75497">
        <w:rPr>
          <w:rFonts w:cs="Arial"/>
          <w:u w:val="single"/>
          <w:rtl/>
        </w:rPr>
        <w:t>אמר רב פפי</w:t>
      </w:r>
      <w:r w:rsidRPr="00D75497">
        <w:rPr>
          <w:rFonts w:cs="Arial"/>
          <w:rtl/>
        </w:rPr>
        <w:t xml:space="preserve">: הני תותבי דבי מכסי, אשה גובה פרנא מהם. </w:t>
      </w:r>
      <w:r w:rsidRPr="00D75497">
        <w:rPr>
          <w:rFonts w:cs="Arial"/>
          <w:u w:val="single"/>
          <w:rtl/>
        </w:rPr>
        <w:t>ואמר רב פפי</w:t>
      </w:r>
      <w:r w:rsidRPr="00D75497">
        <w:rPr>
          <w:rFonts w:cs="Arial"/>
          <w:rtl/>
        </w:rPr>
        <w:t xml:space="preserve">: הני שקי דרודיא ואשלי דקמחוניא, אשה גובה פרנא מהן. </w:t>
      </w:r>
      <w:r w:rsidRPr="00D75497">
        <w:rPr>
          <w:rFonts w:cs="Arial"/>
          <w:u w:val="single"/>
          <w:rtl/>
        </w:rPr>
        <w:t>אמר רבא</w:t>
      </w:r>
      <w:r>
        <w:rPr>
          <w:rFonts w:cs="Arial" w:hint="cs"/>
          <w:rtl/>
        </w:rPr>
        <w:t>:</w:t>
      </w:r>
      <w:r w:rsidRPr="00D75497">
        <w:rPr>
          <w:rFonts w:cs="Arial"/>
          <w:rtl/>
        </w:rPr>
        <w:t xml:space="preserve"> מריש הוה אמינא הני ארנקי דמחוזא, אשה גובה פרנא מהם, מאי טעמא? אסמכתייהו עלייהו, כיון דחזאי דשקלי להו ונפקי, וכי משכחי ארעא זבני בהו, אמינא: אסמכתייהו אארעא הוא.</w:t>
      </w:r>
    </w:p>
    <w:p w14:paraId="082F2ED4" w14:textId="77777777" w:rsidR="002E5BAD" w:rsidRPr="00D75497" w:rsidRDefault="002E5BAD" w:rsidP="002E5BAD">
      <w:pPr>
        <w:rPr>
          <w:u w:val="single"/>
        </w:rPr>
      </w:pPr>
      <w:r w:rsidRPr="00D75497">
        <w:rPr>
          <w:rFonts w:cs="Arial" w:hint="cs"/>
          <w:u w:val="single"/>
          <w:rtl/>
        </w:rPr>
        <w:t xml:space="preserve">מקום שרוב עסקיהם במטלטלין </w:t>
      </w:r>
      <w:r w:rsidRPr="00D75497">
        <w:rPr>
          <w:rFonts w:cs="Arial"/>
          <w:u w:val="single"/>
          <w:rtl/>
        </w:rPr>
        <w:t>–</w:t>
      </w:r>
      <w:r w:rsidRPr="00D75497">
        <w:rPr>
          <w:rFonts w:cs="Arial" w:hint="cs"/>
          <w:u w:val="single"/>
          <w:rtl/>
        </w:rPr>
        <w:t xml:space="preserve"> האם חזרו המטלטלין להיות כקרקע: </w:t>
      </w:r>
    </w:p>
    <w:p w14:paraId="15243876" w14:textId="77777777" w:rsidR="002E5BAD" w:rsidRDefault="002E5BAD" w:rsidP="00B75458">
      <w:pPr>
        <w:pStyle w:val="ab"/>
        <w:numPr>
          <w:ilvl w:val="0"/>
          <w:numId w:val="192"/>
        </w:numPr>
        <w:rPr>
          <w:rFonts w:cs="Arial"/>
        </w:rPr>
      </w:pPr>
      <w:r w:rsidRPr="003D2914">
        <w:rPr>
          <w:rFonts w:cs="Arial"/>
          <w:rtl/>
        </w:rPr>
        <w:t xml:space="preserve">רשב"א </w:t>
      </w:r>
      <w:r w:rsidRPr="0026143F">
        <w:rPr>
          <w:rFonts w:cs="Arial"/>
          <w:sz w:val="16"/>
          <w:szCs w:val="16"/>
          <w:rtl/>
        </w:rPr>
        <w:t>(סז. ד"ה אמר)</w:t>
      </w:r>
      <w:r w:rsidRPr="00D75497">
        <w:rPr>
          <w:rFonts w:cs="Arial"/>
          <w:rtl/>
        </w:rPr>
        <w:t xml:space="preserve"> </w:t>
      </w:r>
      <w:r>
        <w:rPr>
          <w:rFonts w:cs="Arial" w:hint="cs"/>
          <w:rtl/>
        </w:rPr>
        <w:t>ו</w:t>
      </w:r>
      <w:r w:rsidRPr="003D2914">
        <w:rPr>
          <w:rFonts w:cs="Arial"/>
          <w:rtl/>
        </w:rPr>
        <w:t xml:space="preserve">ר"ן </w:t>
      </w:r>
      <w:r w:rsidRPr="0026143F">
        <w:rPr>
          <w:rFonts w:cs="Arial" w:hint="cs"/>
          <w:sz w:val="16"/>
          <w:szCs w:val="16"/>
          <w:rtl/>
        </w:rPr>
        <w:t>(</w:t>
      </w:r>
      <w:r w:rsidRPr="0026143F">
        <w:rPr>
          <w:rFonts w:cs="Arial"/>
          <w:sz w:val="16"/>
          <w:szCs w:val="16"/>
          <w:rtl/>
        </w:rPr>
        <w:t>ר</w:t>
      </w:r>
      <w:r w:rsidRPr="0026143F">
        <w:rPr>
          <w:rFonts w:cs="Arial" w:hint="cs"/>
          <w:sz w:val="16"/>
          <w:szCs w:val="16"/>
          <w:rtl/>
        </w:rPr>
        <w:t>"פ</w:t>
      </w:r>
      <w:r w:rsidRPr="0026143F">
        <w:rPr>
          <w:rFonts w:cs="Arial"/>
          <w:sz w:val="16"/>
          <w:szCs w:val="16"/>
          <w:rtl/>
        </w:rPr>
        <w:t xml:space="preserve"> מציאת האשה כט. ד"ה לא נאמרו)</w:t>
      </w:r>
      <w:r>
        <w:rPr>
          <w:rFonts w:cs="Arial" w:hint="cs"/>
          <w:rtl/>
        </w:rPr>
        <w:t>-</w:t>
      </w:r>
      <w:r w:rsidRPr="003D2914">
        <w:rPr>
          <w:rFonts w:cs="Arial"/>
          <w:rtl/>
        </w:rPr>
        <w:t xml:space="preserve"> </w:t>
      </w:r>
      <w:r w:rsidRPr="00D75497">
        <w:rPr>
          <w:rFonts w:cs="Arial"/>
          <w:rtl/>
        </w:rPr>
        <w:t>גמלים של ערביא</w:t>
      </w:r>
      <w:r>
        <w:rPr>
          <w:rFonts w:cs="Arial" w:hint="cs"/>
          <w:rtl/>
        </w:rPr>
        <w:t>..</w:t>
      </w:r>
      <w:r w:rsidRPr="00D75497">
        <w:rPr>
          <w:rFonts w:cs="Arial"/>
          <w:rtl/>
        </w:rPr>
        <w:t xml:space="preserve">. וכן כלם </w:t>
      </w:r>
      <w:r>
        <w:rPr>
          <w:rFonts w:cs="Arial" w:hint="cs"/>
          <w:sz w:val="16"/>
          <w:szCs w:val="16"/>
          <w:rtl/>
        </w:rPr>
        <w:t>{כולל ארנקי דמחוזא}</w:t>
      </w:r>
      <w:r>
        <w:rPr>
          <w:rFonts w:cs="Arial" w:hint="cs"/>
          <w:rtl/>
        </w:rPr>
        <w:t>...</w:t>
      </w:r>
      <w:r w:rsidRPr="00D75497">
        <w:rPr>
          <w:rFonts w:cs="Arial"/>
          <w:rtl/>
        </w:rPr>
        <w:t xml:space="preserve"> </w:t>
      </w:r>
      <w:r>
        <w:rPr>
          <w:rFonts w:cs="Arial" w:hint="cs"/>
          <w:rtl/>
        </w:rPr>
        <w:t>- אשה</w:t>
      </w:r>
      <w:r w:rsidRPr="00D75497">
        <w:rPr>
          <w:rFonts w:cs="Arial"/>
          <w:rtl/>
        </w:rPr>
        <w:t xml:space="preserve"> גובה כתובתה מהן אע</w:t>
      </w:r>
      <w:r>
        <w:rPr>
          <w:rFonts w:cs="Arial" w:hint="cs"/>
          <w:rtl/>
        </w:rPr>
        <w:t>"</w:t>
      </w:r>
      <w:r w:rsidRPr="00D75497">
        <w:rPr>
          <w:rFonts w:cs="Arial"/>
          <w:rtl/>
        </w:rPr>
        <w:t>פ שאין כתובה נגבית מן המטלטלין הואיל ורוב עסקן בכך ואסמכתייהו עלייהו</w:t>
      </w:r>
      <w:r>
        <w:rPr>
          <w:rFonts w:cs="Arial" w:hint="cs"/>
          <w:rtl/>
        </w:rPr>
        <w:t>.</w:t>
      </w:r>
      <w:r w:rsidRPr="00D75497">
        <w:rPr>
          <w:rFonts w:cs="Arial"/>
          <w:rtl/>
        </w:rPr>
        <w:t xml:space="preserve"> ואפשר להוכיח מכאן דעכשיו שהרוב מתעסקין במטלטלין ומוכרין קרקע לישא וליתן בכספים אף אשה גובה כתובתה מהן מדינא דגמרא</w:t>
      </w:r>
      <w:r>
        <w:rPr>
          <w:rStyle w:val="a7"/>
          <w:rFonts w:cs="Arial"/>
          <w:rtl/>
        </w:rPr>
        <w:footnoteReference w:id="2311"/>
      </w:r>
      <w:r>
        <w:rPr>
          <w:rFonts w:cs="Arial" w:hint="cs"/>
          <w:rtl/>
        </w:rPr>
        <w:t>.</w:t>
      </w:r>
      <w:r w:rsidRPr="00D75497">
        <w:rPr>
          <w:rFonts w:cs="Arial"/>
          <w:rtl/>
        </w:rPr>
        <w:t xml:space="preserve"> אלא מיהו רבותינו הגאונים ז"ל כבר תקנו לגבות כתובה מן המטלטלין</w:t>
      </w:r>
      <w:r>
        <w:rPr>
          <w:rFonts w:hint="cs"/>
          <w:sz w:val="16"/>
          <w:szCs w:val="16"/>
          <w:rtl/>
        </w:rPr>
        <w:t xml:space="preserve"> (ל' הרשב"א)</w:t>
      </w:r>
      <w:r>
        <w:rPr>
          <w:rFonts w:hint="cs"/>
          <w:rtl/>
        </w:rPr>
        <w:t>.</w:t>
      </w:r>
      <w:r>
        <w:rPr>
          <w:rFonts w:cs="Arial" w:hint="cs"/>
          <w:rtl/>
        </w:rPr>
        <w:t xml:space="preserve"> (וכ"פ ח"מ</w:t>
      </w:r>
      <w:r>
        <w:rPr>
          <w:rFonts w:cs="Arial" w:hint="cs"/>
          <w:sz w:val="16"/>
          <w:szCs w:val="16"/>
          <w:rtl/>
        </w:rPr>
        <w:t xml:space="preserve"> [סק"ב]</w:t>
      </w:r>
      <w:r>
        <w:rPr>
          <w:rFonts w:cs="Arial" w:hint="cs"/>
          <w:rtl/>
        </w:rPr>
        <w:t>)</w:t>
      </w:r>
    </w:p>
    <w:p w14:paraId="2996B83F" w14:textId="77777777" w:rsidR="002E5BAD" w:rsidRDefault="002E5BAD" w:rsidP="00B75458">
      <w:pPr>
        <w:pStyle w:val="ab"/>
        <w:numPr>
          <w:ilvl w:val="0"/>
          <w:numId w:val="192"/>
        </w:numPr>
        <w:rPr>
          <w:rFonts w:cs="Arial"/>
        </w:rPr>
      </w:pPr>
      <w:r w:rsidRPr="00A8631B">
        <w:rPr>
          <w:rFonts w:cs="Arial"/>
          <w:rtl/>
        </w:rPr>
        <w:t xml:space="preserve">רא"ש </w:t>
      </w:r>
      <w:r w:rsidRPr="0089377F">
        <w:rPr>
          <w:rFonts w:cs="Arial"/>
          <w:sz w:val="16"/>
          <w:szCs w:val="16"/>
          <w:rtl/>
        </w:rPr>
        <w:t>(כלל לו סי</w:t>
      </w:r>
      <w:r w:rsidRPr="0089377F">
        <w:rPr>
          <w:rFonts w:cs="Arial" w:hint="cs"/>
          <w:sz w:val="16"/>
          <w:szCs w:val="16"/>
          <w:rtl/>
        </w:rPr>
        <w:t>'</w:t>
      </w:r>
      <w:r w:rsidRPr="0089377F">
        <w:rPr>
          <w:rFonts w:cs="Arial"/>
          <w:sz w:val="16"/>
          <w:szCs w:val="16"/>
          <w:rtl/>
        </w:rPr>
        <w:t xml:space="preserve"> ג)</w:t>
      </w:r>
      <w:r>
        <w:rPr>
          <w:rFonts w:cs="Arial" w:hint="cs"/>
          <w:rtl/>
        </w:rPr>
        <w:t xml:space="preserve">- </w:t>
      </w:r>
      <w:r w:rsidRPr="00A8631B">
        <w:rPr>
          <w:rFonts w:cs="Arial"/>
          <w:rtl/>
        </w:rPr>
        <w:t>ששאלת אם כתובת אשה נגבית מן החובות ראיתי את רבותי וכן נראה לי הדין שהאידנא שרוב עסקינו ופרנסתינו בחובות והלואות לגוים</w:t>
      </w:r>
      <w:r>
        <w:rPr>
          <w:rFonts w:cs="Arial" w:hint="cs"/>
          <w:rtl/>
        </w:rPr>
        <w:t xml:space="preserve"> -</w:t>
      </w:r>
      <w:r w:rsidRPr="00A8631B">
        <w:rPr>
          <w:rFonts w:cs="Arial"/>
          <w:rtl/>
        </w:rPr>
        <w:t xml:space="preserve"> הויין כאשלי דקמחוניא</w:t>
      </w:r>
      <w:r>
        <w:rPr>
          <w:rFonts w:cs="Arial" w:hint="cs"/>
          <w:rtl/>
        </w:rPr>
        <w:t>,</w:t>
      </w:r>
      <w:r w:rsidRPr="00A8631B">
        <w:rPr>
          <w:rFonts w:cs="Arial"/>
          <w:rtl/>
        </w:rPr>
        <w:t xml:space="preserve"> ועיקר אסמכתייהו עליהם</w:t>
      </w:r>
      <w:r>
        <w:rPr>
          <w:rFonts w:cs="Arial" w:hint="cs"/>
          <w:rtl/>
        </w:rPr>
        <w:t>.</w:t>
      </w:r>
      <w:r w:rsidRPr="00A8631B">
        <w:rPr>
          <w:rFonts w:cs="Arial"/>
          <w:rtl/>
        </w:rPr>
        <w:t xml:space="preserve"> דאם לא כן הפקעת רוב כתובות בנות ישראל</w:t>
      </w:r>
      <w:r>
        <w:rPr>
          <w:rStyle w:val="a7"/>
          <w:rFonts w:cs="Arial"/>
          <w:rtl/>
        </w:rPr>
        <w:footnoteReference w:id="2312"/>
      </w:r>
      <w:r w:rsidRPr="00A8631B">
        <w:rPr>
          <w:rFonts w:cs="Arial"/>
          <w:rtl/>
        </w:rPr>
        <w:t>.</w:t>
      </w:r>
      <w:r>
        <w:rPr>
          <w:rFonts w:cs="Arial" w:hint="cs"/>
          <w:rtl/>
        </w:rPr>
        <w:t xml:space="preserve"> (וכ"פ ח"מ</w:t>
      </w:r>
      <w:r>
        <w:rPr>
          <w:rFonts w:cs="Arial" w:hint="cs"/>
          <w:sz w:val="16"/>
          <w:szCs w:val="16"/>
          <w:rtl/>
        </w:rPr>
        <w:t xml:space="preserve"> [סק"ב]</w:t>
      </w:r>
      <w:r>
        <w:rPr>
          <w:rFonts w:cs="Arial" w:hint="cs"/>
          <w:rtl/>
        </w:rPr>
        <w:t>)</w:t>
      </w:r>
    </w:p>
    <w:p w14:paraId="16271744" w14:textId="77777777" w:rsidR="002E5BAD" w:rsidRDefault="002E5BAD" w:rsidP="00B75458">
      <w:pPr>
        <w:pStyle w:val="ab"/>
        <w:numPr>
          <w:ilvl w:val="0"/>
          <w:numId w:val="192"/>
        </w:numPr>
        <w:rPr>
          <w:rFonts w:cs="Arial"/>
        </w:rPr>
      </w:pPr>
      <w:r w:rsidRPr="00A8631B">
        <w:rPr>
          <w:rFonts w:cs="Arial"/>
          <w:rtl/>
        </w:rPr>
        <w:t>תוס</w:t>
      </w:r>
      <w:r>
        <w:rPr>
          <w:rFonts w:cs="Arial" w:hint="cs"/>
          <w:rtl/>
        </w:rPr>
        <w:t>'</w:t>
      </w:r>
      <w:r w:rsidRPr="00750F97">
        <w:rPr>
          <w:rFonts w:cs="Arial"/>
          <w:sz w:val="16"/>
          <w:szCs w:val="16"/>
          <w:rtl/>
        </w:rPr>
        <w:t xml:space="preserve"> </w:t>
      </w:r>
      <w:r w:rsidRPr="00750F97">
        <w:rPr>
          <w:rFonts w:cs="Arial" w:hint="cs"/>
          <w:sz w:val="16"/>
          <w:szCs w:val="16"/>
          <w:rtl/>
        </w:rPr>
        <w:t>(</w:t>
      </w:r>
      <w:r w:rsidRPr="00750F97">
        <w:rPr>
          <w:rFonts w:cs="Arial"/>
          <w:sz w:val="16"/>
          <w:szCs w:val="16"/>
          <w:rtl/>
        </w:rPr>
        <w:t>פ</w:t>
      </w:r>
      <w:r w:rsidRPr="00750F97">
        <w:rPr>
          <w:rFonts w:cs="Arial" w:hint="cs"/>
          <w:sz w:val="16"/>
          <w:szCs w:val="16"/>
          <w:rtl/>
        </w:rPr>
        <w:t>'</w:t>
      </w:r>
      <w:r w:rsidRPr="00750F97">
        <w:rPr>
          <w:rFonts w:cs="Arial"/>
          <w:sz w:val="16"/>
          <w:szCs w:val="16"/>
          <w:rtl/>
        </w:rPr>
        <w:t xml:space="preserve"> מציאת האשה סז. ד"ה גמלים)</w:t>
      </w:r>
      <w:r>
        <w:rPr>
          <w:rFonts w:cs="Arial" w:hint="cs"/>
          <w:rtl/>
        </w:rPr>
        <w:t xml:space="preserve">- </w:t>
      </w:r>
      <w:r w:rsidRPr="00A8631B">
        <w:rPr>
          <w:rFonts w:cs="Arial"/>
          <w:rtl/>
        </w:rPr>
        <w:t>יש פוסקים דמטלטלי דידן משתעבדי לכתובה דהוו כגמלי ערביא ואשלי קמחוניא</w:t>
      </w:r>
      <w:r>
        <w:rPr>
          <w:rFonts w:cs="Arial" w:hint="cs"/>
          <w:rtl/>
        </w:rPr>
        <w:t>,</w:t>
      </w:r>
      <w:r w:rsidRPr="00A8631B">
        <w:rPr>
          <w:rFonts w:cs="Arial"/>
          <w:rtl/>
        </w:rPr>
        <w:t xml:space="preserve"> ואין נראה לר"ת</w:t>
      </w:r>
      <w:r>
        <w:rPr>
          <w:rFonts w:cs="Arial" w:hint="cs"/>
          <w:rtl/>
        </w:rPr>
        <w:t>,</w:t>
      </w:r>
      <w:r w:rsidRPr="00A8631B">
        <w:rPr>
          <w:rFonts w:cs="Arial"/>
          <w:rtl/>
        </w:rPr>
        <w:t xml:space="preserve"> דהנהו כקרקע דמו ואם מכרן הבעל תוציא אשתו מיד הלקוחות לאחר מותו</w:t>
      </w:r>
      <w:r>
        <w:rPr>
          <w:rFonts w:cs="Arial" w:hint="cs"/>
          <w:rtl/>
        </w:rPr>
        <w:t>.</w:t>
      </w:r>
      <w:r w:rsidRPr="00A8631B">
        <w:rPr>
          <w:rFonts w:cs="Arial"/>
          <w:rtl/>
        </w:rPr>
        <w:t xml:space="preserve"> וא"כ לדבריהם בטלה תקנת השוק</w:t>
      </w:r>
      <w:r>
        <w:rPr>
          <w:rFonts w:cs="Arial" w:hint="cs"/>
          <w:rtl/>
        </w:rPr>
        <w:t>.</w:t>
      </w:r>
      <w:r w:rsidRPr="00A8631B">
        <w:rPr>
          <w:rFonts w:cs="Arial"/>
          <w:rtl/>
        </w:rPr>
        <w:t xml:space="preserve"> אלא מחמת תקנת הגאונים גביא ממטלטלי דיתמ</w:t>
      </w:r>
      <w:r>
        <w:rPr>
          <w:rFonts w:cs="Arial" w:hint="cs"/>
          <w:rtl/>
        </w:rPr>
        <w:t>י</w:t>
      </w:r>
      <w:r>
        <w:rPr>
          <w:rStyle w:val="a7"/>
          <w:rFonts w:cs="Arial"/>
          <w:rtl/>
        </w:rPr>
        <w:footnoteReference w:id="2313"/>
      </w:r>
      <w:r>
        <w:rPr>
          <w:rFonts w:cs="Arial" w:hint="cs"/>
          <w:rtl/>
        </w:rPr>
        <w:t>.</w:t>
      </w:r>
    </w:p>
    <w:p w14:paraId="74B43F07" w14:textId="77777777" w:rsidR="002E5BAD" w:rsidRPr="00A678C2" w:rsidRDefault="002E5BAD" w:rsidP="00B75458">
      <w:pPr>
        <w:pStyle w:val="ab"/>
        <w:numPr>
          <w:ilvl w:val="0"/>
          <w:numId w:val="192"/>
        </w:numPr>
        <w:rPr>
          <w:rFonts w:cs="Arial"/>
          <w:rtl/>
        </w:rPr>
      </w:pPr>
      <w:r>
        <w:rPr>
          <w:rFonts w:hint="cs"/>
          <w:rtl/>
        </w:rPr>
        <w:t>ראב"ן</w:t>
      </w:r>
      <w:r>
        <w:rPr>
          <w:rFonts w:hint="cs"/>
          <w:sz w:val="16"/>
          <w:szCs w:val="16"/>
          <w:rtl/>
        </w:rPr>
        <w:t xml:space="preserve"> (</w:t>
      </w:r>
      <w:r>
        <w:rPr>
          <w:rFonts w:cs="Arial" w:hint="cs"/>
          <w:sz w:val="16"/>
          <w:szCs w:val="16"/>
          <w:rtl/>
        </w:rPr>
        <w:t>בשו"ת ש</w:t>
      </w:r>
      <w:r w:rsidRPr="0089778D">
        <w:rPr>
          <w:rFonts w:cs="Arial"/>
          <w:sz w:val="16"/>
          <w:szCs w:val="16"/>
          <w:rtl/>
        </w:rPr>
        <w:t>בסוף ספר</w:t>
      </w:r>
      <w:r>
        <w:rPr>
          <w:rFonts w:cs="Arial" w:hint="cs"/>
          <w:sz w:val="16"/>
          <w:szCs w:val="16"/>
          <w:rtl/>
        </w:rPr>
        <w:t xml:space="preserve"> הראב"ן)</w:t>
      </w:r>
      <w:r w:rsidRPr="0085652D">
        <w:rPr>
          <w:rFonts w:cs="Arial" w:hint="cs"/>
          <w:rtl/>
        </w:rPr>
        <w:t>-</w:t>
      </w:r>
      <w:r>
        <w:rPr>
          <w:rFonts w:cs="Arial" w:hint="cs"/>
          <w:rtl/>
        </w:rPr>
        <w:t xml:space="preserve"> </w:t>
      </w:r>
      <w:r w:rsidRPr="009B35D3">
        <w:rPr>
          <w:rFonts w:cs="Arial"/>
          <w:rtl/>
        </w:rPr>
        <w:t>ודאי כי תקינו דורות האחרונים</w:t>
      </w:r>
      <w:r>
        <w:rPr>
          <w:rFonts w:cs="Arial" w:hint="cs"/>
          <w:sz w:val="16"/>
          <w:szCs w:val="16"/>
          <w:rtl/>
        </w:rPr>
        <w:t xml:space="preserve"> {היינו הגאונים}</w:t>
      </w:r>
      <w:r w:rsidRPr="009B35D3">
        <w:rPr>
          <w:rFonts w:cs="Arial"/>
          <w:rtl/>
        </w:rPr>
        <w:t xml:space="preserve"> </w:t>
      </w:r>
      <w:r>
        <w:rPr>
          <w:rFonts w:cs="Arial" w:hint="cs"/>
          <w:rtl/>
        </w:rPr>
        <w:t xml:space="preserve">לגבות </w:t>
      </w:r>
      <w:r w:rsidRPr="009B35D3">
        <w:rPr>
          <w:rFonts w:cs="Arial"/>
          <w:rtl/>
        </w:rPr>
        <w:t xml:space="preserve">כתובה </w:t>
      </w:r>
      <w:r>
        <w:rPr>
          <w:rFonts w:cs="Arial" w:hint="cs"/>
          <w:rtl/>
        </w:rPr>
        <w:t>מ</w:t>
      </w:r>
      <w:r w:rsidRPr="009B35D3">
        <w:rPr>
          <w:rFonts w:cs="Arial"/>
          <w:rtl/>
        </w:rPr>
        <w:t>מטלטלין מפני שאין להם שדות וכרמים בזמן הזה, דומיא דמקרקעי תיקנו מטלטלין שהן בעין לאחר מיתה וסמכו בשעת הדחק על ר' מאיר שאמר [כתובות פא</w:t>
      </w:r>
      <w:r>
        <w:rPr>
          <w:rFonts w:cs="Arial" w:hint="cs"/>
          <w:rtl/>
        </w:rPr>
        <w:t>:</w:t>
      </w:r>
      <w:r w:rsidRPr="009B35D3">
        <w:rPr>
          <w:rFonts w:cs="Arial"/>
          <w:rtl/>
        </w:rPr>
        <w:t>] מטלטלין משתעבדי לכתובה אפי' בזמן דאיכא מקרקעי, דתיקנו דומיא דגמלים של ערביא [שם סז</w:t>
      </w:r>
      <w:r>
        <w:rPr>
          <w:rFonts w:cs="Arial" w:hint="cs"/>
          <w:rtl/>
        </w:rPr>
        <w:t>.</w:t>
      </w:r>
      <w:r w:rsidRPr="009B35D3">
        <w:rPr>
          <w:rFonts w:cs="Arial"/>
          <w:rtl/>
        </w:rPr>
        <w:t>]</w:t>
      </w:r>
      <w:r>
        <w:rPr>
          <w:rFonts w:cs="Arial" w:hint="cs"/>
          <w:rtl/>
        </w:rPr>
        <w:t>...</w:t>
      </w:r>
    </w:p>
    <w:p w14:paraId="41E2D9A4" w14:textId="77777777" w:rsidR="002E5BAD" w:rsidRPr="003B35F9" w:rsidRDefault="002E5BAD" w:rsidP="002E5BAD">
      <w:pPr>
        <w:rPr>
          <w:u w:val="single"/>
        </w:rPr>
      </w:pPr>
      <w:r w:rsidRPr="003B35F9">
        <w:rPr>
          <w:rFonts w:hint="cs"/>
          <w:u w:val="single"/>
          <w:rtl/>
        </w:rPr>
        <w:t xml:space="preserve">ראובן חייב לחמיו ק' זהובים, ומת חמיו, ובא בע"ח של חמותו לגבות מראובן </w:t>
      </w:r>
      <w:r w:rsidRPr="003B35F9">
        <w:rPr>
          <w:rFonts w:hint="cs"/>
          <w:sz w:val="16"/>
          <w:szCs w:val="16"/>
          <w:u w:val="single"/>
          <w:rtl/>
        </w:rPr>
        <w:t>(מכח חמותו)</w:t>
      </w:r>
      <w:r w:rsidRPr="003B35F9">
        <w:rPr>
          <w:rFonts w:hint="cs"/>
          <w:u w:val="single"/>
          <w:rtl/>
        </w:rPr>
        <w:t xml:space="preserve"> מהחוב שחייב לחמיו:</w:t>
      </w:r>
    </w:p>
    <w:p w14:paraId="36C44A36" w14:textId="77777777" w:rsidR="002E5BAD" w:rsidRPr="003B35F9" w:rsidRDefault="002E5BAD" w:rsidP="00B75458">
      <w:pPr>
        <w:pStyle w:val="ab"/>
        <w:numPr>
          <w:ilvl w:val="0"/>
          <w:numId w:val="192"/>
        </w:numPr>
      </w:pPr>
      <w:r w:rsidRPr="008846B5">
        <w:rPr>
          <w:rFonts w:cs="Arial"/>
          <w:rtl/>
        </w:rPr>
        <w:t>רא"ש</w:t>
      </w:r>
      <w:r w:rsidRPr="008846B5">
        <w:rPr>
          <w:rFonts w:cs="Arial" w:hint="cs"/>
          <w:rtl/>
        </w:rPr>
        <w:t xml:space="preserve"> </w:t>
      </w:r>
      <w:r w:rsidRPr="008846B5">
        <w:rPr>
          <w:rFonts w:cs="Arial" w:hint="cs"/>
          <w:sz w:val="16"/>
          <w:szCs w:val="16"/>
          <w:rtl/>
        </w:rPr>
        <w:t>(</w:t>
      </w:r>
      <w:r w:rsidRPr="008846B5">
        <w:rPr>
          <w:rFonts w:cs="Arial"/>
          <w:sz w:val="16"/>
          <w:szCs w:val="16"/>
          <w:rtl/>
        </w:rPr>
        <w:t>כלל לו סי</w:t>
      </w:r>
      <w:r w:rsidRPr="008846B5">
        <w:rPr>
          <w:rFonts w:cs="Arial" w:hint="cs"/>
          <w:sz w:val="16"/>
          <w:szCs w:val="16"/>
          <w:rtl/>
        </w:rPr>
        <w:t>'</w:t>
      </w:r>
      <w:r w:rsidRPr="008846B5">
        <w:rPr>
          <w:rFonts w:cs="Arial"/>
          <w:sz w:val="16"/>
          <w:szCs w:val="16"/>
          <w:rtl/>
        </w:rPr>
        <w:t xml:space="preserve"> ד</w:t>
      </w:r>
      <w:r w:rsidRPr="008846B5">
        <w:rPr>
          <w:rFonts w:cs="Arial" w:hint="cs"/>
          <w:sz w:val="16"/>
          <w:szCs w:val="16"/>
          <w:rtl/>
        </w:rPr>
        <w:t>)</w:t>
      </w:r>
      <w:r w:rsidRPr="008846B5">
        <w:rPr>
          <w:rFonts w:cs="Arial" w:hint="cs"/>
          <w:rtl/>
        </w:rPr>
        <w:t>-</w:t>
      </w:r>
      <w:r w:rsidRPr="008846B5">
        <w:rPr>
          <w:rFonts w:cs="Arial"/>
          <w:rtl/>
        </w:rPr>
        <w:t xml:space="preserve"> וששאלת שמעון שתובע מראובן מאה זהובים מכח חמותו שהיה חייב לחמיו. נראה לי אם לא גבתה חמותו כתובה ובאה לגבות ממלות בעלה </w:t>
      </w:r>
      <w:r>
        <w:rPr>
          <w:rFonts w:cs="Arial" w:hint="cs"/>
          <w:rtl/>
        </w:rPr>
        <w:t xml:space="preserve">- </w:t>
      </w:r>
      <w:r w:rsidRPr="008846B5">
        <w:rPr>
          <w:rFonts w:cs="Arial"/>
          <w:rtl/>
        </w:rPr>
        <w:t>חייב ראובן לישבע שלא היה חייב לבעלה כלום. ומה שטוען שמחלה</w:t>
      </w:r>
      <w:r>
        <w:rPr>
          <w:rFonts w:cs="Arial" w:hint="cs"/>
          <w:rtl/>
        </w:rPr>
        <w:t>,</w:t>
      </w:r>
      <w:r w:rsidRPr="008846B5">
        <w:rPr>
          <w:rFonts w:cs="Arial"/>
          <w:rtl/>
        </w:rPr>
        <w:t xml:space="preserve"> לא שייך כאן מחילה</w:t>
      </w:r>
      <w:r>
        <w:rPr>
          <w:rFonts w:cs="Arial" w:hint="cs"/>
          <w:rtl/>
        </w:rPr>
        <w:t>,</w:t>
      </w:r>
      <w:r w:rsidRPr="008846B5">
        <w:rPr>
          <w:rFonts w:cs="Arial"/>
          <w:rtl/>
        </w:rPr>
        <w:t xml:space="preserve"> דאינה יורשת בעלה אלא גובה כתובתה מנכסי בעלה</w:t>
      </w:r>
      <w:r>
        <w:rPr>
          <w:rFonts w:cs="Arial" w:hint="cs"/>
          <w:rtl/>
        </w:rPr>
        <w:t>,</w:t>
      </w:r>
      <w:r w:rsidRPr="008846B5">
        <w:rPr>
          <w:rFonts w:cs="Arial"/>
          <w:rtl/>
        </w:rPr>
        <w:t xml:space="preserve"> ובעוד שלא גבתה חובות בעלה לא זכתה בהן ואין כח בידה לא ליתן ולא למחול.</w:t>
      </w:r>
      <w:r>
        <w:rPr>
          <w:rFonts w:cs="Arial" w:hint="cs"/>
          <w:rtl/>
        </w:rPr>
        <w:t>.</w:t>
      </w:r>
      <w:r w:rsidRPr="008846B5">
        <w:rPr>
          <w:rFonts w:cs="Arial" w:hint="cs"/>
          <w:rtl/>
        </w:rPr>
        <w:t>.</w:t>
      </w:r>
    </w:p>
    <w:p w14:paraId="235FC718" w14:textId="77777777" w:rsidR="002E5BAD" w:rsidRPr="003B35F9" w:rsidRDefault="002E5BAD" w:rsidP="002E5BAD">
      <w:pPr>
        <w:rPr>
          <w:u w:val="single"/>
        </w:rPr>
      </w:pPr>
      <w:r w:rsidRPr="003B35F9">
        <w:rPr>
          <w:rFonts w:cs="Arial"/>
          <w:u w:val="single"/>
          <w:rtl/>
        </w:rPr>
        <w:t>אלמנה שמת חמיה קודם בעלה –</w:t>
      </w:r>
      <w:r w:rsidRPr="003B35F9">
        <w:rPr>
          <w:rFonts w:cs="Arial" w:hint="cs"/>
          <w:u w:val="single"/>
          <w:rtl/>
        </w:rPr>
        <w:t xml:space="preserve"> האם יכולה לגבות כתובותה </w:t>
      </w:r>
      <w:r w:rsidRPr="003B35F9">
        <w:rPr>
          <w:rFonts w:cs="Arial"/>
          <w:u w:val="single"/>
          <w:rtl/>
        </w:rPr>
        <w:t>מנכסי חמיה מחלק ירושת בעלה</w:t>
      </w:r>
      <w:r w:rsidRPr="003B35F9">
        <w:rPr>
          <w:rFonts w:cs="Arial" w:hint="cs"/>
          <w:u w:val="single"/>
          <w:rtl/>
        </w:rPr>
        <w:t>:</w:t>
      </w:r>
    </w:p>
    <w:p w14:paraId="2C65B684" w14:textId="77777777" w:rsidR="002E5BAD" w:rsidRDefault="002E5BAD" w:rsidP="00B75458">
      <w:pPr>
        <w:pStyle w:val="ab"/>
        <w:numPr>
          <w:ilvl w:val="0"/>
          <w:numId w:val="192"/>
        </w:numPr>
        <w:rPr>
          <w:rtl/>
        </w:rPr>
      </w:pPr>
      <w:r w:rsidRPr="003B35F9">
        <w:rPr>
          <w:rFonts w:cs="Arial"/>
          <w:rtl/>
        </w:rPr>
        <w:t xml:space="preserve">מרדכי </w:t>
      </w:r>
      <w:r w:rsidRPr="003B35F9">
        <w:rPr>
          <w:rFonts w:cs="Arial" w:hint="cs"/>
          <w:sz w:val="16"/>
          <w:szCs w:val="16"/>
          <w:rtl/>
        </w:rPr>
        <w:t>(</w:t>
      </w:r>
      <w:r w:rsidRPr="003B35F9">
        <w:rPr>
          <w:rFonts w:cs="Arial"/>
          <w:sz w:val="16"/>
          <w:szCs w:val="16"/>
          <w:rtl/>
        </w:rPr>
        <w:t>פ"ד דכתובות סי' קע)</w:t>
      </w:r>
      <w:r>
        <w:rPr>
          <w:rFonts w:cs="Arial" w:hint="cs"/>
          <w:rtl/>
        </w:rPr>
        <w:t xml:space="preserve">- </w:t>
      </w:r>
      <w:r w:rsidRPr="003B35F9">
        <w:rPr>
          <w:rFonts w:cs="Arial"/>
          <w:rtl/>
        </w:rPr>
        <w:t xml:space="preserve">אלמנה שמת חמיה קודם בעלה </w:t>
      </w:r>
      <w:r>
        <w:rPr>
          <w:rFonts w:cs="Arial" w:hint="cs"/>
          <w:rtl/>
        </w:rPr>
        <w:t xml:space="preserve">- </w:t>
      </w:r>
      <w:r w:rsidRPr="003B35F9">
        <w:rPr>
          <w:rFonts w:cs="Arial"/>
          <w:rtl/>
        </w:rPr>
        <w:t>אין לה לגבות כתובתה מנכסי חמיה מחלק ירושת בעלה כיון שחמיה הניח אלמנה</w:t>
      </w:r>
      <w:r>
        <w:rPr>
          <w:rStyle w:val="a7"/>
          <w:rFonts w:cs="Arial"/>
          <w:rtl/>
        </w:rPr>
        <w:footnoteReference w:id="2314"/>
      </w:r>
      <w:r w:rsidRPr="00FE5CBA">
        <w:rPr>
          <w:rFonts w:cs="Arial" w:hint="cs"/>
          <w:rtl/>
        </w:rPr>
        <w:t>.</w:t>
      </w:r>
    </w:p>
    <w:p w14:paraId="5517B4C7" w14:textId="77777777" w:rsidR="002E5BAD" w:rsidRDefault="002E5BAD" w:rsidP="002E5BAD">
      <w:pPr>
        <w:rPr>
          <w:rFonts w:cs="Arial"/>
          <w:rtl/>
        </w:rPr>
      </w:pPr>
      <w:r w:rsidRPr="00792285">
        <w:rPr>
          <w:rFonts w:cs="Arial" w:hint="cs"/>
          <w:u w:val="single"/>
          <w:rtl/>
        </w:rPr>
        <w:lastRenderedPageBreak/>
        <w:t xml:space="preserve">נדוניא </w:t>
      </w:r>
      <w:r w:rsidRPr="00792285">
        <w:rPr>
          <w:rFonts w:cs="Arial"/>
          <w:u w:val="single"/>
          <w:rtl/>
        </w:rPr>
        <w:t>–</w:t>
      </w:r>
      <w:r w:rsidRPr="00792285">
        <w:rPr>
          <w:rFonts w:cs="Arial" w:hint="cs"/>
          <w:u w:val="single"/>
          <w:rtl/>
        </w:rPr>
        <w:t xml:space="preserve"> מאיז</w:t>
      </w:r>
      <w:r>
        <w:rPr>
          <w:rFonts w:cs="Arial" w:hint="cs"/>
          <w:u w:val="single"/>
          <w:rtl/>
        </w:rPr>
        <w:t>ו</w:t>
      </w:r>
      <w:r w:rsidRPr="00792285">
        <w:rPr>
          <w:rFonts w:cs="Arial" w:hint="cs"/>
          <w:u w:val="single"/>
          <w:rtl/>
        </w:rPr>
        <w:t xml:space="preserve"> קרקע היא נגבית:</w:t>
      </w:r>
    </w:p>
    <w:p w14:paraId="097F136F" w14:textId="77777777" w:rsidR="002E5BAD" w:rsidRPr="00792285" w:rsidRDefault="002E5BAD" w:rsidP="00B75458">
      <w:pPr>
        <w:pStyle w:val="ab"/>
        <w:numPr>
          <w:ilvl w:val="0"/>
          <w:numId w:val="192"/>
        </w:numPr>
      </w:pPr>
      <w:r w:rsidRPr="00792285">
        <w:rPr>
          <w:rFonts w:cs="Arial"/>
          <w:rtl/>
        </w:rPr>
        <w:t>רשב"א</w:t>
      </w:r>
      <w:r w:rsidRPr="00792285">
        <w:rPr>
          <w:rFonts w:cs="Arial" w:hint="cs"/>
          <w:sz w:val="16"/>
          <w:szCs w:val="16"/>
          <w:rtl/>
        </w:rPr>
        <w:t xml:space="preserve"> (חידו' גיטין מח:)</w:t>
      </w:r>
      <w:r w:rsidRPr="00792285">
        <w:rPr>
          <w:rFonts w:cs="Arial"/>
          <w:rtl/>
        </w:rPr>
        <w:t xml:space="preserve"> איפשר לומר מהאי טעמא </w:t>
      </w:r>
      <w:r w:rsidRPr="00792285">
        <w:rPr>
          <w:rFonts w:cs="Arial" w:hint="cs"/>
          <w:sz w:val="16"/>
          <w:szCs w:val="16"/>
          <w:rtl/>
        </w:rPr>
        <w:t xml:space="preserve">{שהביא הגמ' גיטין [מח:] יותר משהאיש רוצה לישא וכו'} </w:t>
      </w:r>
      <w:r w:rsidRPr="00792285">
        <w:rPr>
          <w:rFonts w:cs="Arial"/>
          <w:rtl/>
        </w:rPr>
        <w:t>דאפילו נדוניא אינה נגבית אלא מן הזיבורית דאין כאן נעילת דלת ואדינא מוקמינן לה כשאר ב"ח דמדינא לא גבו אלא מן הזיבורית</w:t>
      </w:r>
      <w:r w:rsidRPr="00792285">
        <w:rPr>
          <w:rFonts w:cs="Arial" w:hint="cs"/>
          <w:rtl/>
        </w:rPr>
        <w:t>.</w:t>
      </w:r>
    </w:p>
    <w:p w14:paraId="6B193455" w14:textId="77777777" w:rsidR="002E5BAD" w:rsidRPr="00792285" w:rsidRDefault="002E5BAD" w:rsidP="00B75458">
      <w:pPr>
        <w:pStyle w:val="ab"/>
        <w:numPr>
          <w:ilvl w:val="0"/>
          <w:numId w:val="192"/>
        </w:numPr>
      </w:pPr>
      <w:r w:rsidRPr="003D2914">
        <w:rPr>
          <w:rFonts w:cs="Arial"/>
          <w:rtl/>
        </w:rPr>
        <w:t xml:space="preserve">ר"ן </w:t>
      </w:r>
      <w:r w:rsidRPr="00792285">
        <w:rPr>
          <w:rFonts w:cs="Arial" w:hint="cs"/>
          <w:sz w:val="16"/>
          <w:szCs w:val="16"/>
          <w:rtl/>
        </w:rPr>
        <w:t>(</w:t>
      </w:r>
      <w:r w:rsidRPr="00792285">
        <w:rPr>
          <w:rFonts w:cs="Arial"/>
          <w:sz w:val="16"/>
          <w:szCs w:val="16"/>
          <w:rtl/>
        </w:rPr>
        <w:t>ר</w:t>
      </w:r>
      <w:r w:rsidRPr="00792285">
        <w:rPr>
          <w:rFonts w:cs="Arial" w:hint="cs"/>
          <w:sz w:val="16"/>
          <w:szCs w:val="16"/>
          <w:rtl/>
        </w:rPr>
        <w:t xml:space="preserve">"פ </w:t>
      </w:r>
      <w:r w:rsidRPr="00792285">
        <w:rPr>
          <w:rFonts w:cs="Arial"/>
          <w:sz w:val="16"/>
          <w:szCs w:val="16"/>
          <w:rtl/>
        </w:rPr>
        <w:t>הניזקין כד: ד"ה גמ' אתה</w:t>
      </w:r>
      <w:r>
        <w:rPr>
          <w:rFonts w:cs="Arial" w:hint="cs"/>
          <w:sz w:val="16"/>
          <w:szCs w:val="16"/>
          <w:rtl/>
        </w:rPr>
        <w:t>, הביאו הדרכ"מ [אות א]</w:t>
      </w:r>
      <w:r w:rsidRPr="00792285">
        <w:rPr>
          <w:rFonts w:cs="Arial"/>
          <w:sz w:val="16"/>
          <w:szCs w:val="16"/>
          <w:rtl/>
        </w:rPr>
        <w:t>)</w:t>
      </w:r>
      <w:r>
        <w:rPr>
          <w:rFonts w:cs="Arial" w:hint="cs"/>
          <w:rtl/>
        </w:rPr>
        <w:t>-</w:t>
      </w:r>
      <w:r w:rsidRPr="003D2914">
        <w:rPr>
          <w:rFonts w:cs="Arial"/>
          <w:rtl/>
        </w:rPr>
        <w:t xml:space="preserve"> יש אומרים דאף הנדוניא אינה נגבית אלא מן הזיבורית ויש אומרים דנדוניא דינא כשאר בעל חוב ובבינונית ולזה הדעת נוטה</w:t>
      </w:r>
      <w:r>
        <w:rPr>
          <w:rStyle w:val="a7"/>
          <w:rFonts w:cs="Arial"/>
          <w:rtl/>
        </w:rPr>
        <w:footnoteReference w:id="2315"/>
      </w:r>
      <w:r w:rsidRPr="003D2914">
        <w:rPr>
          <w:rFonts w:cs="Arial"/>
          <w:rtl/>
        </w:rPr>
        <w:t xml:space="preserve">. </w:t>
      </w:r>
    </w:p>
    <w:p w14:paraId="40F984C2" w14:textId="77777777" w:rsidR="002E5BAD" w:rsidRPr="00E43BAA" w:rsidRDefault="002E5BAD" w:rsidP="002E5BAD">
      <w:pPr>
        <w:rPr>
          <w:u w:val="single"/>
        </w:rPr>
      </w:pPr>
      <w:r w:rsidRPr="00E43BAA">
        <w:rPr>
          <w:rFonts w:hint="cs"/>
          <w:u w:val="single"/>
          <w:rtl/>
        </w:rPr>
        <w:t>גביית כתובת אשה מפירות:</w:t>
      </w:r>
    </w:p>
    <w:p w14:paraId="3F66E543" w14:textId="77777777" w:rsidR="002E5BAD" w:rsidRPr="00E43BAA" w:rsidRDefault="002E5BAD" w:rsidP="00B75458">
      <w:pPr>
        <w:pStyle w:val="ab"/>
        <w:numPr>
          <w:ilvl w:val="0"/>
          <w:numId w:val="192"/>
        </w:numPr>
      </w:pPr>
      <w:r w:rsidRPr="00A42E68">
        <w:rPr>
          <w:rFonts w:cs="Arial"/>
          <w:rtl/>
        </w:rPr>
        <w:t xml:space="preserve">רשב"א </w:t>
      </w:r>
      <w:r w:rsidRPr="00E43BAA">
        <w:rPr>
          <w:rFonts w:cs="Arial"/>
          <w:sz w:val="16"/>
          <w:szCs w:val="16"/>
          <w:rtl/>
        </w:rPr>
        <w:t>(ח"ב סי' קסז)</w:t>
      </w:r>
      <w:r>
        <w:rPr>
          <w:rFonts w:cs="Arial" w:hint="cs"/>
          <w:rtl/>
        </w:rPr>
        <w:t>-</w:t>
      </w:r>
      <w:r w:rsidRPr="00A42E68">
        <w:rPr>
          <w:rFonts w:cs="Arial"/>
          <w:rtl/>
        </w:rPr>
        <w:t xml:space="preserve"> לענין הפירות אם קדם היורש ותלש ואכל אינו חייב מחמתן לאלמנה כלום</w:t>
      </w:r>
      <w:r>
        <w:rPr>
          <w:rFonts w:cs="Arial" w:hint="cs"/>
          <w:rtl/>
        </w:rPr>
        <w:t>.</w:t>
      </w:r>
      <w:r w:rsidRPr="00A42E68">
        <w:rPr>
          <w:rFonts w:cs="Arial"/>
          <w:rtl/>
        </w:rPr>
        <w:t xml:space="preserve"> ולא עוד אלא אפילו לא תלשם</w:t>
      </w:r>
      <w:r>
        <w:rPr>
          <w:rFonts w:cs="Arial" w:hint="cs"/>
          <w:rtl/>
        </w:rPr>
        <w:t>,</w:t>
      </w:r>
      <w:r w:rsidRPr="00A42E68">
        <w:rPr>
          <w:rFonts w:cs="Arial"/>
          <w:rtl/>
        </w:rPr>
        <w:t xml:space="preserve"> אם מכרם המוריש</w:t>
      </w:r>
      <w:r>
        <w:rPr>
          <w:rFonts w:cs="Arial" w:hint="cs"/>
          <w:rtl/>
        </w:rPr>
        <w:t>,</w:t>
      </w:r>
      <w:r w:rsidRPr="00A42E68">
        <w:rPr>
          <w:rFonts w:cs="Arial"/>
          <w:rtl/>
        </w:rPr>
        <w:t xml:space="preserve"> אם הם מבושלים כל כך שאינם צריכין לקרקע </w:t>
      </w:r>
      <w:r>
        <w:rPr>
          <w:rFonts w:cs="Arial" w:hint="cs"/>
          <w:rtl/>
        </w:rPr>
        <w:t xml:space="preserve">- </w:t>
      </w:r>
      <w:r w:rsidRPr="00A42E68">
        <w:rPr>
          <w:rFonts w:cs="Arial"/>
          <w:rtl/>
        </w:rPr>
        <w:t>אין בעל חוב גובה מהם</w:t>
      </w:r>
      <w:r>
        <w:rPr>
          <w:rFonts w:cs="Arial" w:hint="cs"/>
          <w:rtl/>
        </w:rPr>
        <w:t>,</w:t>
      </w:r>
      <w:r w:rsidRPr="00A42E68">
        <w:rPr>
          <w:rFonts w:cs="Arial"/>
          <w:rtl/>
        </w:rPr>
        <w:t xml:space="preserve"> משום דקיימא לן בפרק קמא דמציעא (יד:) דבעל חוב אינו גובה פירות. </w:t>
      </w:r>
    </w:p>
    <w:p w14:paraId="69760C8F" w14:textId="77777777" w:rsidR="002E5BAD" w:rsidRPr="00794654" w:rsidRDefault="002E5BAD" w:rsidP="002E5BAD">
      <w:pPr>
        <w:rPr>
          <w:u w:val="single"/>
        </w:rPr>
      </w:pPr>
      <w:r w:rsidRPr="00794654">
        <w:rPr>
          <w:rFonts w:hint="cs"/>
          <w:u w:val="single"/>
          <w:rtl/>
        </w:rPr>
        <w:t>רא</w:t>
      </w:r>
      <w:r>
        <w:rPr>
          <w:rFonts w:hint="cs"/>
          <w:u w:val="single"/>
          <w:rtl/>
        </w:rPr>
        <w:t>ו</w:t>
      </w:r>
      <w:r w:rsidRPr="00794654">
        <w:rPr>
          <w:rFonts w:hint="cs"/>
          <w:u w:val="single"/>
          <w:rtl/>
        </w:rPr>
        <w:t>בן כתב לשמעון שכל נכסיו משותפים בין שניהם, ואח"כ נשא ראובן אשה ושעבד לה כל נכסיו, ונפטר ראובן:</w:t>
      </w:r>
    </w:p>
    <w:p w14:paraId="70CCC641" w14:textId="77777777" w:rsidR="002E5BAD" w:rsidRDefault="002E5BAD" w:rsidP="00B75458">
      <w:pPr>
        <w:pStyle w:val="ab"/>
        <w:numPr>
          <w:ilvl w:val="0"/>
          <w:numId w:val="192"/>
        </w:numPr>
      </w:pPr>
      <w:r>
        <w:rPr>
          <w:rFonts w:cs="Arial" w:hint="cs"/>
          <w:rtl/>
        </w:rPr>
        <w:t>ר</w:t>
      </w:r>
      <w:r w:rsidRPr="00794654">
        <w:rPr>
          <w:rFonts w:cs="Arial" w:hint="cs"/>
          <w:rtl/>
        </w:rPr>
        <w:t>שב"א</w:t>
      </w:r>
      <w:r w:rsidRPr="00794654">
        <w:rPr>
          <w:rFonts w:cs="Arial"/>
          <w:rtl/>
        </w:rPr>
        <w:t xml:space="preserve"> </w:t>
      </w:r>
      <w:r w:rsidRPr="00794654">
        <w:rPr>
          <w:rFonts w:cs="Arial"/>
          <w:sz w:val="16"/>
          <w:szCs w:val="16"/>
          <w:rtl/>
        </w:rPr>
        <w:t>(</w:t>
      </w:r>
      <w:r w:rsidRPr="00794654">
        <w:rPr>
          <w:rFonts w:cs="Arial" w:hint="cs"/>
          <w:sz w:val="16"/>
          <w:szCs w:val="16"/>
          <w:rtl/>
        </w:rPr>
        <w:t>ח"ב</w:t>
      </w:r>
      <w:r w:rsidRPr="00794654">
        <w:rPr>
          <w:rFonts w:cs="Arial"/>
          <w:sz w:val="16"/>
          <w:szCs w:val="16"/>
          <w:rtl/>
        </w:rPr>
        <w:t xml:space="preserve"> סי' קנא)</w:t>
      </w:r>
      <w:r w:rsidRPr="00794654">
        <w:rPr>
          <w:rFonts w:cs="Arial" w:hint="cs"/>
          <w:rtl/>
        </w:rPr>
        <w:t>-</w:t>
      </w:r>
      <w:r w:rsidRPr="00794654">
        <w:rPr>
          <w:rFonts w:cs="Arial"/>
          <w:rtl/>
        </w:rPr>
        <w:t xml:space="preserve"> שאלת ראובן הודה בכתב ידו לשמעון שכל מה שיש לו בין קרקע בין טלטל הוא משותף בין שניהם</w:t>
      </w:r>
      <w:r w:rsidRPr="00794654">
        <w:rPr>
          <w:rFonts w:cs="Arial" w:hint="cs"/>
          <w:rtl/>
        </w:rPr>
        <w:t>.</w:t>
      </w:r>
      <w:r w:rsidRPr="00794654">
        <w:rPr>
          <w:rFonts w:cs="Arial"/>
          <w:rtl/>
        </w:rPr>
        <w:t xml:space="preserve"> ואחר ימים נשא ראובן אשה</w:t>
      </w:r>
      <w:r w:rsidRPr="00794654">
        <w:rPr>
          <w:rFonts w:cs="Arial" w:hint="cs"/>
          <w:rtl/>
        </w:rPr>
        <w:t>,</w:t>
      </w:r>
      <w:r w:rsidRPr="00794654">
        <w:rPr>
          <w:rFonts w:cs="Arial"/>
          <w:rtl/>
        </w:rPr>
        <w:t xml:space="preserve"> ושעבד לה כל נכסיו</w:t>
      </w:r>
      <w:r w:rsidRPr="00794654">
        <w:rPr>
          <w:rFonts w:cs="Arial" w:hint="cs"/>
          <w:rtl/>
        </w:rPr>
        <w:t>,</w:t>
      </w:r>
      <w:r w:rsidRPr="00794654">
        <w:rPr>
          <w:rFonts w:cs="Arial"/>
          <w:rtl/>
        </w:rPr>
        <w:t xml:space="preserve"> ואח"כ נפטר</w:t>
      </w:r>
      <w:r w:rsidRPr="00794654">
        <w:rPr>
          <w:rFonts w:cs="Arial" w:hint="cs"/>
          <w:rtl/>
        </w:rPr>
        <w:t>.</w:t>
      </w:r>
      <w:r w:rsidRPr="00794654">
        <w:rPr>
          <w:rFonts w:cs="Arial"/>
          <w:rtl/>
        </w:rPr>
        <w:t xml:space="preserve"> ושמעון בא בכתב ידו לחלוק בנכסים</w:t>
      </w:r>
      <w:r w:rsidRPr="00794654">
        <w:rPr>
          <w:rFonts w:cs="Arial" w:hint="cs"/>
          <w:rtl/>
        </w:rPr>
        <w:t>,</w:t>
      </w:r>
      <w:r w:rsidRPr="00794654">
        <w:rPr>
          <w:rFonts w:cs="Arial"/>
          <w:rtl/>
        </w:rPr>
        <w:t xml:space="preserve"> והאלמנה טוענת שאינה מאמינה שנכתב כתב הודאה זה קודם שנשאה</w:t>
      </w:r>
      <w:r w:rsidRPr="00794654">
        <w:rPr>
          <w:rFonts w:cs="Arial" w:hint="cs"/>
          <w:rtl/>
        </w:rPr>
        <w:t>.</w:t>
      </w:r>
      <w:r w:rsidRPr="00794654">
        <w:rPr>
          <w:rFonts w:cs="Arial"/>
          <w:rtl/>
        </w:rPr>
        <w:t xml:space="preserve"> ואף על פי שכתוב בו זמן מוקדם לנישואיה</w:t>
      </w:r>
      <w:r w:rsidRPr="00794654">
        <w:rPr>
          <w:rFonts w:cs="Arial" w:hint="cs"/>
          <w:rtl/>
        </w:rPr>
        <w:t>,</w:t>
      </w:r>
      <w:r w:rsidRPr="00794654">
        <w:rPr>
          <w:rFonts w:cs="Arial"/>
          <w:rtl/>
        </w:rPr>
        <w:t xml:space="preserve"> שמא לגרע כח שעבודה נתכוון ולאו כל כמיניה.</w:t>
      </w:r>
      <w:r w:rsidRPr="00794654">
        <w:rPr>
          <w:rFonts w:cs="Arial" w:hint="cs"/>
          <w:rtl/>
        </w:rPr>
        <w:t xml:space="preserve">   </w:t>
      </w:r>
      <w:r w:rsidRPr="00794654">
        <w:rPr>
          <w:rFonts w:cs="Arial"/>
          <w:rtl/>
        </w:rPr>
        <w:t xml:space="preserve"> תשובה</w:t>
      </w:r>
      <w:r w:rsidRPr="00794654">
        <w:rPr>
          <w:rFonts w:cs="Arial" w:hint="cs"/>
          <w:rtl/>
        </w:rPr>
        <w:t>-</w:t>
      </w:r>
      <w:r w:rsidRPr="00794654">
        <w:rPr>
          <w:rFonts w:cs="Arial"/>
          <w:rtl/>
        </w:rPr>
        <w:t xml:space="preserve"> לענין הקרקעות הדין עם האלמנה לפי שלא היה יכול להוציאם משעבודה והוא הדין למטלטלין אם כתב לה מטלטלי אגב מקרקעי אבל אם לא כתב לה אגב אע"פ שכתב לה מטלטלי ומקרקעי נאמן על המטלטלין. </w:t>
      </w:r>
    </w:p>
    <w:p w14:paraId="7ADE9290" w14:textId="77777777" w:rsidR="002E5BAD" w:rsidRPr="0020731C" w:rsidRDefault="002E5BAD" w:rsidP="002E5BAD">
      <w:pPr>
        <w:rPr>
          <w:u w:val="single"/>
        </w:rPr>
      </w:pPr>
      <w:r w:rsidRPr="0020731C">
        <w:rPr>
          <w:rFonts w:hint="cs"/>
          <w:u w:val="single"/>
          <w:rtl/>
        </w:rPr>
        <w:t xml:space="preserve">שמעון נפטר והוציא אחיו כתב הודאה משמעון שקבל ממנו מעות לפקדון </w:t>
      </w:r>
      <w:r w:rsidRPr="0020731C">
        <w:rPr>
          <w:u w:val="single"/>
          <w:rtl/>
        </w:rPr>
        <w:t>–</w:t>
      </w:r>
      <w:r w:rsidRPr="0020731C">
        <w:rPr>
          <w:rFonts w:hint="cs"/>
          <w:u w:val="single"/>
          <w:rtl/>
        </w:rPr>
        <w:t xml:space="preserve"> ואין סיפק בנכסיו לכתובה ולפקדון:</w:t>
      </w:r>
    </w:p>
    <w:p w14:paraId="47A98E55" w14:textId="77777777" w:rsidR="002E5BAD" w:rsidRDefault="002E5BAD" w:rsidP="00B75458">
      <w:pPr>
        <w:pStyle w:val="ab"/>
        <w:numPr>
          <w:ilvl w:val="0"/>
          <w:numId w:val="192"/>
        </w:numPr>
      </w:pPr>
      <w:r>
        <w:rPr>
          <w:rFonts w:cs="Arial" w:hint="cs"/>
          <w:rtl/>
        </w:rPr>
        <w:t>ר</w:t>
      </w:r>
      <w:r w:rsidRPr="00794654">
        <w:rPr>
          <w:rFonts w:cs="Arial" w:hint="cs"/>
          <w:rtl/>
        </w:rPr>
        <w:t>שב"א</w:t>
      </w:r>
      <w:r w:rsidRPr="00794654">
        <w:rPr>
          <w:rFonts w:cs="Arial"/>
          <w:rtl/>
        </w:rPr>
        <w:t xml:space="preserve"> </w:t>
      </w:r>
      <w:r w:rsidRPr="00794654">
        <w:rPr>
          <w:rFonts w:cs="Arial"/>
          <w:sz w:val="16"/>
          <w:szCs w:val="16"/>
          <w:rtl/>
        </w:rPr>
        <w:t>(</w:t>
      </w:r>
      <w:r w:rsidRPr="00794654">
        <w:rPr>
          <w:rFonts w:cs="Arial" w:hint="cs"/>
          <w:sz w:val="16"/>
          <w:szCs w:val="16"/>
          <w:rtl/>
        </w:rPr>
        <w:t>ח"ב</w:t>
      </w:r>
      <w:r w:rsidRPr="00794654">
        <w:rPr>
          <w:rFonts w:cs="Arial"/>
          <w:sz w:val="16"/>
          <w:szCs w:val="16"/>
          <w:rtl/>
        </w:rPr>
        <w:t xml:space="preserve"> סי' </w:t>
      </w:r>
      <w:r>
        <w:rPr>
          <w:rFonts w:cs="Arial" w:hint="cs"/>
          <w:sz w:val="16"/>
          <w:szCs w:val="16"/>
          <w:rtl/>
        </w:rPr>
        <w:t>שכט</w:t>
      </w:r>
      <w:r w:rsidRPr="00794654">
        <w:rPr>
          <w:rFonts w:cs="Arial"/>
          <w:sz w:val="16"/>
          <w:szCs w:val="16"/>
          <w:rtl/>
        </w:rPr>
        <w:t>)</w:t>
      </w:r>
      <w:r w:rsidRPr="00794654">
        <w:rPr>
          <w:rFonts w:cs="Arial" w:hint="cs"/>
          <w:rtl/>
        </w:rPr>
        <w:t>-</w:t>
      </w:r>
      <w:r w:rsidRPr="00794654">
        <w:rPr>
          <w:rFonts w:cs="Arial"/>
          <w:rtl/>
        </w:rPr>
        <w:t xml:space="preserve"> </w:t>
      </w:r>
      <w:r w:rsidRPr="00A42E68">
        <w:rPr>
          <w:rFonts w:cs="Arial"/>
          <w:rtl/>
        </w:rPr>
        <w:t>ראובן הוציא כתב ידו של שמעון אחיו</w:t>
      </w:r>
      <w:r>
        <w:rPr>
          <w:rFonts w:cs="Arial" w:hint="cs"/>
          <w:rtl/>
        </w:rPr>
        <w:t>,</w:t>
      </w:r>
      <w:r w:rsidRPr="00A42E68">
        <w:rPr>
          <w:rFonts w:cs="Arial"/>
          <w:rtl/>
        </w:rPr>
        <w:t xml:space="preserve"> שהודה שקיבל ממנו פקדון כך וכך מעות</w:t>
      </w:r>
      <w:r>
        <w:rPr>
          <w:rFonts w:cs="Arial" w:hint="cs"/>
          <w:rtl/>
        </w:rPr>
        <w:t>,</w:t>
      </w:r>
      <w:r w:rsidRPr="00A42E68">
        <w:rPr>
          <w:rFonts w:cs="Arial"/>
          <w:rtl/>
        </w:rPr>
        <w:t xml:space="preserve"> ונפטר שמעון ואין ס</w:t>
      </w:r>
      <w:r>
        <w:rPr>
          <w:rFonts w:cs="Arial" w:hint="cs"/>
          <w:rtl/>
        </w:rPr>
        <w:t>י</w:t>
      </w:r>
      <w:r w:rsidRPr="00A42E68">
        <w:rPr>
          <w:rFonts w:cs="Arial"/>
          <w:rtl/>
        </w:rPr>
        <w:t xml:space="preserve">פק בנכסים לכתובה ולפקדון </w:t>
      </w:r>
      <w:r>
        <w:rPr>
          <w:rFonts w:cs="Arial" w:hint="cs"/>
          <w:rtl/>
        </w:rPr>
        <w:t xml:space="preserve">- </w:t>
      </w:r>
      <w:r w:rsidRPr="00A42E68">
        <w:rPr>
          <w:rFonts w:cs="Arial"/>
          <w:rtl/>
        </w:rPr>
        <w:t>הדין עם האלמנה</w:t>
      </w:r>
      <w:r>
        <w:rPr>
          <w:rFonts w:cs="Arial" w:hint="cs"/>
          <w:rtl/>
        </w:rPr>
        <w:t>,</w:t>
      </w:r>
      <w:r w:rsidRPr="00A42E68">
        <w:rPr>
          <w:rFonts w:cs="Arial"/>
          <w:rtl/>
        </w:rPr>
        <w:t xml:space="preserve"> ואפילו הודה שמעון בפקדון בשעת פטירתו אינו מזיק לאשה</w:t>
      </w:r>
      <w:r>
        <w:rPr>
          <w:rFonts w:cs="Arial" w:hint="cs"/>
          <w:rtl/>
        </w:rPr>
        <w:t>,</w:t>
      </w:r>
      <w:r w:rsidRPr="00A42E68">
        <w:rPr>
          <w:rFonts w:cs="Arial"/>
          <w:rtl/>
        </w:rPr>
        <w:t xml:space="preserve"> דהודאת בעל דבר במקום שחב לאחרים אינו כלום</w:t>
      </w:r>
      <w:r>
        <w:rPr>
          <w:rStyle w:val="a7"/>
          <w:rFonts w:cs="Arial"/>
          <w:rtl/>
        </w:rPr>
        <w:footnoteReference w:id="2316"/>
      </w:r>
      <w:r>
        <w:rPr>
          <w:rFonts w:cs="Arial" w:hint="cs"/>
          <w:rtl/>
        </w:rPr>
        <w:t>.</w:t>
      </w:r>
    </w:p>
    <w:p w14:paraId="4EC61BA2" w14:textId="77777777" w:rsidR="002E5BAD" w:rsidRPr="00792285" w:rsidRDefault="002E5BAD" w:rsidP="002E5BAD">
      <w:pPr>
        <w:rPr>
          <w:u w:val="single"/>
        </w:rPr>
      </w:pPr>
      <w:r w:rsidRPr="00792285">
        <w:rPr>
          <w:rFonts w:hint="cs"/>
          <w:u w:val="single"/>
          <w:rtl/>
        </w:rPr>
        <w:t>ישנה קרקע בשווי הכתובה והיתומים רוצים אעפ"כ לסלקה במעות:</w:t>
      </w:r>
      <w:r w:rsidRPr="00792285">
        <w:rPr>
          <w:rFonts w:cs="Arial"/>
          <w:rtl/>
        </w:rPr>
        <w:t xml:space="preserve"> </w:t>
      </w:r>
      <w:r w:rsidRPr="00792285">
        <w:rPr>
          <w:rFonts w:cs="Arial"/>
          <w:sz w:val="16"/>
          <w:szCs w:val="16"/>
          <w:rtl/>
        </w:rPr>
        <w:t>(</w:t>
      </w:r>
      <w:r w:rsidRPr="00792285">
        <w:rPr>
          <w:rFonts w:cs="Arial" w:hint="cs"/>
          <w:sz w:val="16"/>
          <w:szCs w:val="16"/>
          <w:rtl/>
        </w:rPr>
        <w:t xml:space="preserve">דרכ"מ </w:t>
      </w:r>
      <w:r>
        <w:rPr>
          <w:rFonts w:cs="Arial" w:hint="cs"/>
          <w:sz w:val="16"/>
          <w:szCs w:val="16"/>
          <w:rtl/>
        </w:rPr>
        <w:t xml:space="preserve">אות </w:t>
      </w:r>
      <w:r w:rsidRPr="00792285">
        <w:rPr>
          <w:rFonts w:cs="Arial"/>
          <w:sz w:val="16"/>
          <w:szCs w:val="16"/>
          <w:rtl/>
        </w:rPr>
        <w:t>א)</w:t>
      </w:r>
    </w:p>
    <w:p w14:paraId="211EFE01" w14:textId="77777777" w:rsidR="002E5BAD" w:rsidRDefault="002E5BAD" w:rsidP="00B75458">
      <w:pPr>
        <w:pStyle w:val="ab"/>
        <w:numPr>
          <w:ilvl w:val="0"/>
          <w:numId w:val="192"/>
        </w:numPr>
      </w:pPr>
      <w:r w:rsidRPr="003D2914">
        <w:rPr>
          <w:rFonts w:cs="Arial"/>
          <w:rtl/>
        </w:rPr>
        <w:t xml:space="preserve">ר"ן </w:t>
      </w:r>
      <w:r w:rsidRPr="00792285">
        <w:rPr>
          <w:rFonts w:cs="Arial"/>
          <w:sz w:val="16"/>
          <w:szCs w:val="16"/>
          <w:rtl/>
        </w:rPr>
        <w:t>(</w:t>
      </w:r>
      <w:r>
        <w:rPr>
          <w:rFonts w:cs="Arial" w:hint="cs"/>
          <w:sz w:val="16"/>
          <w:szCs w:val="16"/>
          <w:rtl/>
        </w:rPr>
        <w:t xml:space="preserve">פ' נערה, </w:t>
      </w:r>
      <w:r w:rsidRPr="00792285">
        <w:rPr>
          <w:rFonts w:cs="Arial"/>
          <w:sz w:val="16"/>
          <w:szCs w:val="16"/>
          <w:rtl/>
        </w:rPr>
        <w:t>כ: ד"ה וגרסי' תו)</w:t>
      </w:r>
      <w:r>
        <w:rPr>
          <w:rFonts w:cs="Arial" w:hint="cs"/>
          <w:rtl/>
        </w:rPr>
        <w:t xml:space="preserve">- </w:t>
      </w:r>
      <w:r w:rsidRPr="003D2914">
        <w:rPr>
          <w:rFonts w:cs="Arial"/>
          <w:rtl/>
        </w:rPr>
        <w:t>אם היה כאן קרקע שוה ר' זהובים והיא חפצה בקרקע בכתובתה הדין עמה ואין היתומים יכולין לסלקה בדמי הקרקע וכו'</w:t>
      </w:r>
      <w:r>
        <w:rPr>
          <w:rFonts w:cs="Arial" w:hint="cs"/>
          <w:rtl/>
        </w:rPr>
        <w:t>.</w:t>
      </w:r>
    </w:p>
    <w:p w14:paraId="3D033246" w14:textId="77777777" w:rsidR="002E5BAD" w:rsidRPr="006A6FF0" w:rsidRDefault="002E5BAD" w:rsidP="002E5BAD">
      <w:pPr>
        <w:rPr>
          <w:rtl/>
        </w:rPr>
      </w:pPr>
      <w:r>
        <w:rPr>
          <w:rFonts w:hint="cs"/>
          <w:u w:val="single"/>
          <w:rtl/>
        </w:rPr>
        <w:t xml:space="preserve">האם האשה צריכה לשלם על </w:t>
      </w:r>
      <w:r w:rsidRPr="006A6FF0">
        <w:rPr>
          <w:rFonts w:hint="cs"/>
          <w:u w:val="single"/>
          <w:rtl/>
        </w:rPr>
        <w:t>קבורת הבעל</w:t>
      </w:r>
      <w:r>
        <w:rPr>
          <w:rFonts w:hint="cs"/>
          <w:u w:val="single"/>
          <w:rtl/>
        </w:rPr>
        <w:t xml:space="preserve"> מכתובתה</w:t>
      </w:r>
      <w:r w:rsidRPr="006A6FF0">
        <w:rPr>
          <w:rFonts w:hint="cs"/>
          <w:u w:val="single"/>
          <w:rtl/>
        </w:rPr>
        <w:t>:</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r w:rsidRPr="003D2914">
        <w:rPr>
          <w:rFonts w:cs="Arial"/>
          <w:rtl/>
        </w:rPr>
        <w:t xml:space="preserve"> </w:t>
      </w:r>
    </w:p>
    <w:p w14:paraId="3EAC6CF7" w14:textId="77777777" w:rsidR="002E5BAD" w:rsidRPr="00A678C2" w:rsidRDefault="002E5BAD" w:rsidP="00B75458">
      <w:pPr>
        <w:pStyle w:val="ab"/>
        <w:numPr>
          <w:ilvl w:val="0"/>
          <w:numId w:val="194"/>
        </w:numPr>
      </w:pPr>
      <w:r w:rsidRPr="006A6FF0">
        <w:rPr>
          <w:rFonts w:cs="Arial"/>
          <w:rtl/>
        </w:rPr>
        <w:t>מהר"ם</w:t>
      </w:r>
      <w:r w:rsidRPr="00141CDB">
        <w:rPr>
          <w:rFonts w:cs="Arial"/>
          <w:sz w:val="16"/>
          <w:szCs w:val="16"/>
          <w:rtl/>
        </w:rPr>
        <w:t xml:space="preserve"> (ד"ק סי' קפד וסי' רמג</w:t>
      </w:r>
      <w:r w:rsidRPr="00141CDB">
        <w:rPr>
          <w:rFonts w:cs="Arial" w:hint="cs"/>
          <w:sz w:val="16"/>
          <w:szCs w:val="16"/>
          <w:rtl/>
        </w:rPr>
        <w:t>, כ"כ בשמו ה</w:t>
      </w:r>
      <w:r w:rsidRPr="00141CDB">
        <w:rPr>
          <w:rFonts w:cs="Arial"/>
          <w:sz w:val="16"/>
          <w:szCs w:val="16"/>
          <w:rtl/>
        </w:rPr>
        <w:t xml:space="preserve">מרדכי </w:t>
      </w:r>
      <w:r w:rsidRPr="00141CDB">
        <w:rPr>
          <w:rFonts w:cs="Arial" w:hint="cs"/>
          <w:sz w:val="16"/>
          <w:szCs w:val="16"/>
          <w:rtl/>
        </w:rPr>
        <w:t>[</w:t>
      </w:r>
      <w:r w:rsidRPr="00141CDB">
        <w:rPr>
          <w:rFonts w:cs="Arial"/>
          <w:sz w:val="16"/>
          <w:szCs w:val="16"/>
          <w:rtl/>
        </w:rPr>
        <w:t>פרק נערה סי' קנז-קנח</w:t>
      </w:r>
      <w:r w:rsidRPr="00141CDB">
        <w:rPr>
          <w:rFonts w:cs="Arial" w:hint="cs"/>
          <w:sz w:val="16"/>
          <w:szCs w:val="16"/>
          <w:rtl/>
        </w:rPr>
        <w:t>]</w:t>
      </w:r>
      <w:r w:rsidRPr="00141CDB">
        <w:rPr>
          <w:rFonts w:cs="Arial"/>
          <w:sz w:val="16"/>
          <w:szCs w:val="16"/>
          <w:rtl/>
        </w:rPr>
        <w:t>)</w:t>
      </w:r>
      <w:r>
        <w:rPr>
          <w:rFonts w:cs="Arial" w:hint="cs"/>
          <w:rtl/>
        </w:rPr>
        <w:t>-</w:t>
      </w:r>
      <w:r w:rsidRPr="006A6FF0">
        <w:rPr>
          <w:rFonts w:cs="Arial"/>
          <w:rtl/>
        </w:rPr>
        <w:t xml:space="preserve"> האשה אינה צריכה לקבור בעלה ולקנות תכריכין מכתובתה</w:t>
      </w:r>
      <w:r>
        <w:rPr>
          <w:rFonts w:cs="Arial" w:hint="cs"/>
          <w:rtl/>
        </w:rPr>
        <w:t>,</w:t>
      </w:r>
      <w:r w:rsidRPr="006A6FF0">
        <w:rPr>
          <w:rFonts w:cs="Arial"/>
          <w:rtl/>
        </w:rPr>
        <w:t xml:space="preserve"> אלא היא נוטלת כתובתה</w:t>
      </w:r>
      <w:r>
        <w:rPr>
          <w:rFonts w:cs="Arial" w:hint="cs"/>
          <w:rtl/>
        </w:rPr>
        <w:t>,</w:t>
      </w:r>
      <w:r w:rsidRPr="006A6FF0">
        <w:rPr>
          <w:rFonts w:cs="Arial"/>
          <w:rtl/>
        </w:rPr>
        <w:t xml:space="preserve"> ואם אין כאן כדי קבורה הוא נקבר מקופה של צדקה</w:t>
      </w:r>
      <w:r>
        <w:rPr>
          <w:rStyle w:val="a7"/>
          <w:rFonts w:cs="Arial"/>
          <w:rtl/>
        </w:rPr>
        <w:footnoteReference w:id="2317"/>
      </w:r>
      <w:r>
        <w:rPr>
          <w:rFonts w:cs="Arial" w:hint="cs"/>
          <w:rtl/>
        </w:rPr>
        <w:t>.</w:t>
      </w:r>
      <w:r w:rsidRPr="006A6FF0">
        <w:rPr>
          <w:rFonts w:cs="Arial"/>
          <w:rtl/>
        </w:rPr>
        <w:t xml:space="preserve"> </w:t>
      </w:r>
      <w:r w:rsidRPr="00AF388C">
        <w:rPr>
          <w:rFonts w:hint="cs"/>
          <w:color w:val="E36C0A" w:themeColor="accent6" w:themeShade="BF"/>
          <w:rtl/>
        </w:rPr>
        <w:t>(וכ"פ בשו"ע</w:t>
      </w:r>
      <w:r>
        <w:rPr>
          <w:rFonts w:hint="cs"/>
          <w:sz w:val="16"/>
          <w:szCs w:val="16"/>
          <w:rtl/>
        </w:rPr>
        <w:t xml:space="preserve"> [בסי' קיח סי"ח]</w:t>
      </w:r>
      <w:r w:rsidRPr="00AF388C">
        <w:rPr>
          <w:rFonts w:hint="cs"/>
          <w:color w:val="E36C0A" w:themeColor="accent6" w:themeShade="BF"/>
          <w:rtl/>
        </w:rPr>
        <w:t xml:space="preserve">) </w:t>
      </w:r>
      <w:r w:rsidRPr="00AF388C">
        <w:rPr>
          <w:rFonts w:hint="cs"/>
          <w:color w:val="00B0F0"/>
          <w:rtl/>
        </w:rPr>
        <w:t>(וכ"פ הרמ"א</w:t>
      </w:r>
      <w:r w:rsidRPr="00AF388C">
        <w:rPr>
          <w:rFonts w:hint="cs"/>
          <w:color w:val="00B0F0"/>
          <w:sz w:val="16"/>
          <w:szCs w:val="16"/>
          <w:rtl/>
        </w:rPr>
        <w:t xml:space="preserve"> </w:t>
      </w:r>
      <w:r>
        <w:rPr>
          <w:rFonts w:hint="cs"/>
          <w:sz w:val="16"/>
          <w:szCs w:val="16"/>
          <w:rtl/>
        </w:rPr>
        <w:t>[בסי' קיח סי"ח]</w:t>
      </w:r>
      <w:r w:rsidRPr="00AF388C">
        <w:rPr>
          <w:rFonts w:hint="cs"/>
          <w:color w:val="00B0F0"/>
          <w:rtl/>
        </w:rPr>
        <w:t>)</w:t>
      </w:r>
    </w:p>
    <w:p w14:paraId="77DD08C8" w14:textId="77777777" w:rsidR="002E5BAD" w:rsidRPr="00A678C2" w:rsidRDefault="002E5BAD" w:rsidP="002E5BAD">
      <w:pPr>
        <w:ind w:left="360"/>
        <w:rPr>
          <w:u w:val="dotted"/>
        </w:rPr>
      </w:pPr>
      <w:r w:rsidRPr="00A678C2">
        <w:rPr>
          <w:rFonts w:hint="cs"/>
          <w:u w:val="dotted"/>
          <w:rtl/>
        </w:rPr>
        <w:t xml:space="preserve">ומה הדין אם היתומים כבר הוציאו </w:t>
      </w:r>
      <w:r>
        <w:rPr>
          <w:rFonts w:hint="cs"/>
          <w:u w:val="dotted"/>
          <w:rtl/>
        </w:rPr>
        <w:t xml:space="preserve">את </w:t>
      </w:r>
      <w:r w:rsidRPr="00A678C2">
        <w:rPr>
          <w:rFonts w:hint="cs"/>
          <w:u w:val="dotted"/>
          <w:rtl/>
        </w:rPr>
        <w:t>הכסף על הקבורה:</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75A6E4AD" w14:textId="77777777" w:rsidR="002E5BAD" w:rsidRPr="00141CDB" w:rsidRDefault="002E5BAD" w:rsidP="00B75458">
      <w:pPr>
        <w:pStyle w:val="ab"/>
        <w:numPr>
          <w:ilvl w:val="0"/>
          <w:numId w:val="194"/>
        </w:numPr>
      </w:pPr>
      <w:r w:rsidRPr="006A6FF0">
        <w:rPr>
          <w:rFonts w:cs="Arial"/>
          <w:rtl/>
        </w:rPr>
        <w:t xml:space="preserve">ריב"ש </w:t>
      </w:r>
      <w:r w:rsidRPr="00141CDB">
        <w:rPr>
          <w:rFonts w:cs="Arial" w:hint="cs"/>
          <w:sz w:val="16"/>
          <w:szCs w:val="16"/>
          <w:rtl/>
        </w:rPr>
        <w:t>(</w:t>
      </w:r>
      <w:r w:rsidRPr="00141CDB">
        <w:rPr>
          <w:rFonts w:cs="Arial"/>
          <w:sz w:val="16"/>
          <w:szCs w:val="16"/>
          <w:rtl/>
        </w:rPr>
        <w:t>סי</w:t>
      </w:r>
      <w:r w:rsidRPr="00141CDB">
        <w:rPr>
          <w:rFonts w:cs="Arial" w:hint="cs"/>
          <w:sz w:val="16"/>
          <w:szCs w:val="16"/>
          <w:rtl/>
        </w:rPr>
        <w:t>'</w:t>
      </w:r>
      <w:r w:rsidRPr="00141CDB">
        <w:rPr>
          <w:rFonts w:cs="Arial"/>
          <w:sz w:val="16"/>
          <w:szCs w:val="16"/>
          <w:rtl/>
        </w:rPr>
        <w:t xml:space="preserve"> קד</w:t>
      </w:r>
      <w:r w:rsidRPr="00141CDB">
        <w:rPr>
          <w:rFonts w:cs="Arial" w:hint="cs"/>
          <w:sz w:val="16"/>
          <w:szCs w:val="16"/>
          <w:rtl/>
        </w:rPr>
        <w:t>)</w:t>
      </w:r>
      <w:r>
        <w:rPr>
          <w:rFonts w:cs="Arial" w:hint="cs"/>
          <w:rtl/>
        </w:rPr>
        <w:t xml:space="preserve">- </w:t>
      </w:r>
      <w:r w:rsidRPr="006A6FF0">
        <w:rPr>
          <w:rFonts w:cs="Arial"/>
          <w:rtl/>
        </w:rPr>
        <w:t>ודאי אם תפסה האשה מטלטלין ודאי אין צריך לקברו</w:t>
      </w:r>
      <w:r>
        <w:rPr>
          <w:rFonts w:cs="Arial" w:hint="cs"/>
          <w:rtl/>
        </w:rPr>
        <w:t>,</w:t>
      </w:r>
      <w:r w:rsidRPr="006A6FF0">
        <w:rPr>
          <w:rFonts w:cs="Arial"/>
          <w:rtl/>
        </w:rPr>
        <w:t xml:space="preserve"> אבל אם קדמו היתומים ולקחו מטלטלין והוציאום </w:t>
      </w:r>
      <w:r>
        <w:rPr>
          <w:rFonts w:cs="Arial" w:hint="cs"/>
          <w:rtl/>
        </w:rPr>
        <w:t xml:space="preserve">- </w:t>
      </w:r>
      <w:r w:rsidRPr="006A6FF0">
        <w:rPr>
          <w:rFonts w:cs="Arial"/>
          <w:rtl/>
        </w:rPr>
        <w:t xml:space="preserve">א"צ לשלם. </w:t>
      </w:r>
      <w:r w:rsidRPr="00AF388C">
        <w:rPr>
          <w:rFonts w:hint="cs"/>
          <w:color w:val="00B0F0"/>
          <w:rtl/>
        </w:rPr>
        <w:t>(וכ"פ הרמ"א</w:t>
      </w:r>
      <w:r w:rsidRPr="00AF388C">
        <w:rPr>
          <w:rFonts w:hint="cs"/>
          <w:color w:val="00B0F0"/>
          <w:sz w:val="16"/>
          <w:szCs w:val="16"/>
          <w:rtl/>
        </w:rPr>
        <w:t xml:space="preserve"> </w:t>
      </w:r>
      <w:r>
        <w:rPr>
          <w:rFonts w:hint="cs"/>
          <w:sz w:val="16"/>
          <w:szCs w:val="16"/>
          <w:rtl/>
        </w:rPr>
        <w:t>[בסי' קיח סי"ח]</w:t>
      </w:r>
      <w:r w:rsidRPr="00AF388C">
        <w:rPr>
          <w:rFonts w:hint="cs"/>
          <w:color w:val="00B0F0"/>
          <w:rtl/>
        </w:rPr>
        <w:t>)</w:t>
      </w:r>
    </w:p>
    <w:p w14:paraId="1E9FC326" w14:textId="77777777" w:rsidR="002E5BAD" w:rsidRPr="00141CDB" w:rsidRDefault="002E5BAD" w:rsidP="002E5BAD">
      <w:pPr>
        <w:rPr>
          <w:u w:val="single"/>
        </w:rPr>
      </w:pPr>
      <w:r w:rsidRPr="00141CDB">
        <w:rPr>
          <w:rFonts w:cs="Arial"/>
          <w:u w:val="single"/>
          <w:rtl/>
        </w:rPr>
        <w:t>מי שאמר נכסי לבני ראובן</w:t>
      </w:r>
      <w:r w:rsidRPr="00141CDB">
        <w:rPr>
          <w:rFonts w:cs="Arial" w:hint="cs"/>
          <w:u w:val="single"/>
          <w:rtl/>
        </w:rPr>
        <w:t>,</w:t>
      </w:r>
      <w:r w:rsidRPr="00141CDB">
        <w:rPr>
          <w:rFonts w:cs="Arial"/>
          <w:u w:val="single"/>
          <w:rtl/>
        </w:rPr>
        <w:t xml:space="preserve"> ואחריו לשמעון</w:t>
      </w:r>
      <w:r w:rsidRPr="00141CDB">
        <w:rPr>
          <w:rFonts w:cs="Arial" w:hint="cs"/>
          <w:u w:val="single"/>
          <w:rtl/>
        </w:rPr>
        <w:t>,</w:t>
      </w:r>
      <w:r w:rsidRPr="00141CDB">
        <w:rPr>
          <w:rFonts w:cs="Arial"/>
          <w:u w:val="single"/>
          <w:rtl/>
        </w:rPr>
        <w:t xml:space="preserve"> ומת ראובן –</w:t>
      </w:r>
      <w:r w:rsidRPr="00141CDB">
        <w:rPr>
          <w:rFonts w:cs="Arial" w:hint="cs"/>
          <w:u w:val="single"/>
          <w:rtl/>
        </w:rPr>
        <w:t xml:space="preserve"> האם </w:t>
      </w:r>
      <w:r w:rsidRPr="00141CDB">
        <w:rPr>
          <w:rFonts w:cs="Arial"/>
          <w:u w:val="single"/>
          <w:rtl/>
        </w:rPr>
        <w:t>אשתו גובת כתובתה</w:t>
      </w:r>
      <w:r w:rsidRPr="00141CDB">
        <w:rPr>
          <w:rFonts w:cs="Arial" w:hint="cs"/>
          <w:u w:val="single"/>
          <w:rtl/>
        </w:rPr>
        <w:t xml:space="preserve"> מנכסים אלו:</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720E5DD8" w14:textId="77777777" w:rsidR="002E5BAD" w:rsidRDefault="002E5BAD" w:rsidP="00B75458">
      <w:pPr>
        <w:pStyle w:val="ab"/>
        <w:numPr>
          <w:ilvl w:val="0"/>
          <w:numId w:val="194"/>
        </w:numPr>
      </w:pPr>
      <w:r w:rsidRPr="006A6FF0">
        <w:rPr>
          <w:rFonts w:cs="Arial"/>
          <w:rtl/>
        </w:rPr>
        <w:lastRenderedPageBreak/>
        <w:t xml:space="preserve">מרדכי </w:t>
      </w:r>
      <w:r w:rsidRPr="00141CDB">
        <w:rPr>
          <w:rFonts w:cs="Arial" w:hint="cs"/>
          <w:sz w:val="16"/>
          <w:szCs w:val="16"/>
          <w:rtl/>
        </w:rPr>
        <w:t>(</w:t>
      </w:r>
      <w:r w:rsidRPr="00141CDB">
        <w:rPr>
          <w:rFonts w:cs="Arial"/>
          <w:sz w:val="16"/>
          <w:szCs w:val="16"/>
          <w:rtl/>
        </w:rPr>
        <w:t>פ</w:t>
      </w:r>
      <w:r w:rsidRPr="00141CDB">
        <w:rPr>
          <w:rFonts w:cs="Arial" w:hint="cs"/>
          <w:sz w:val="16"/>
          <w:szCs w:val="16"/>
          <w:rtl/>
        </w:rPr>
        <w:t>'</w:t>
      </w:r>
      <w:r w:rsidRPr="00141CDB">
        <w:rPr>
          <w:rFonts w:cs="Arial"/>
          <w:sz w:val="16"/>
          <w:szCs w:val="16"/>
          <w:rtl/>
        </w:rPr>
        <w:t xml:space="preserve"> יש נוחלין סי' תקצה)</w:t>
      </w:r>
      <w:r>
        <w:rPr>
          <w:rFonts w:cs="Arial" w:hint="cs"/>
          <w:rtl/>
        </w:rPr>
        <w:t>-</w:t>
      </w:r>
      <w:r w:rsidRPr="006A6FF0">
        <w:rPr>
          <w:rFonts w:cs="Arial"/>
          <w:rtl/>
        </w:rPr>
        <w:t xml:space="preserve"> מי שאמר נכסי לבני ראובן</w:t>
      </w:r>
      <w:r>
        <w:rPr>
          <w:rFonts w:cs="Arial" w:hint="cs"/>
          <w:rtl/>
        </w:rPr>
        <w:t>,</w:t>
      </w:r>
      <w:r w:rsidRPr="006A6FF0">
        <w:rPr>
          <w:rFonts w:cs="Arial"/>
          <w:rtl/>
        </w:rPr>
        <w:t xml:space="preserve"> ואחריו לשמעון</w:t>
      </w:r>
      <w:r>
        <w:rPr>
          <w:rFonts w:cs="Arial" w:hint="cs"/>
          <w:rtl/>
        </w:rPr>
        <w:t>,</w:t>
      </w:r>
      <w:r w:rsidRPr="006A6FF0">
        <w:rPr>
          <w:rFonts w:cs="Arial"/>
          <w:rtl/>
        </w:rPr>
        <w:t xml:space="preserve"> ומת ראובן </w:t>
      </w:r>
      <w:r>
        <w:rPr>
          <w:rFonts w:cs="Arial" w:hint="cs"/>
          <w:rtl/>
        </w:rPr>
        <w:t xml:space="preserve">- </w:t>
      </w:r>
      <w:r w:rsidRPr="006A6FF0">
        <w:rPr>
          <w:rFonts w:cs="Arial"/>
          <w:rtl/>
        </w:rPr>
        <w:t>אשתו גובאת כתובתה מהן</w:t>
      </w:r>
      <w:r>
        <w:rPr>
          <w:rStyle w:val="a7"/>
          <w:rFonts w:cs="Arial"/>
          <w:rtl/>
        </w:rPr>
        <w:footnoteReference w:id="2318"/>
      </w:r>
      <w:r w:rsidRPr="006A6FF0">
        <w:rPr>
          <w:rFonts w:cs="Arial"/>
          <w:rtl/>
        </w:rPr>
        <w:t xml:space="preserve">. </w:t>
      </w:r>
    </w:p>
    <w:p w14:paraId="2C332DE4" w14:textId="77777777" w:rsidR="002E5BAD" w:rsidRPr="0085652D" w:rsidRDefault="002E5BAD" w:rsidP="002E5BAD">
      <w:pPr>
        <w:rPr>
          <w:u w:val="single"/>
        </w:rPr>
      </w:pPr>
      <w:r>
        <w:rPr>
          <w:rFonts w:hint="cs"/>
          <w:u w:val="single"/>
          <w:rtl/>
        </w:rPr>
        <w:t>יתומים שיש להם קרקע ומטלטלים, ורצים לסלק לאלמנה בקרקע:</w:t>
      </w:r>
      <w:r w:rsidRPr="0085652D">
        <w:rPr>
          <w:rFonts w:cs="Arial"/>
          <w:rtl/>
        </w:rPr>
        <w:t xml:space="preserve"> </w:t>
      </w:r>
      <w:r w:rsidRPr="0085652D">
        <w:rPr>
          <w:rFonts w:cs="Arial"/>
          <w:sz w:val="16"/>
          <w:szCs w:val="16"/>
          <w:rtl/>
        </w:rPr>
        <w:t>(</w:t>
      </w:r>
      <w:r w:rsidRPr="0085652D">
        <w:rPr>
          <w:rFonts w:cs="Arial" w:hint="cs"/>
          <w:sz w:val="16"/>
          <w:szCs w:val="16"/>
          <w:rtl/>
        </w:rPr>
        <w:t xml:space="preserve">דרכ"מ אות </w:t>
      </w:r>
      <w:r>
        <w:rPr>
          <w:rFonts w:cs="Arial" w:hint="cs"/>
          <w:sz w:val="16"/>
          <w:szCs w:val="16"/>
          <w:rtl/>
        </w:rPr>
        <w:t>י</w:t>
      </w:r>
      <w:r w:rsidRPr="0085652D">
        <w:rPr>
          <w:rFonts w:cs="Arial"/>
          <w:sz w:val="16"/>
          <w:szCs w:val="16"/>
          <w:rtl/>
        </w:rPr>
        <w:t>)</w:t>
      </w:r>
    </w:p>
    <w:p w14:paraId="42745892" w14:textId="77777777" w:rsidR="002E5BAD" w:rsidRPr="00AB0CBA" w:rsidRDefault="002E5BAD" w:rsidP="00B75458">
      <w:pPr>
        <w:pStyle w:val="ab"/>
        <w:numPr>
          <w:ilvl w:val="0"/>
          <w:numId w:val="192"/>
        </w:numPr>
        <w:rPr>
          <w:rtl/>
        </w:rPr>
      </w:pPr>
      <w:r w:rsidRPr="0085652D">
        <w:rPr>
          <w:rFonts w:cs="Arial"/>
          <w:rtl/>
        </w:rPr>
        <w:t xml:space="preserve">הגהות אלפסי </w:t>
      </w:r>
      <w:r w:rsidRPr="0085652D">
        <w:rPr>
          <w:rFonts w:cs="Arial"/>
          <w:sz w:val="16"/>
          <w:szCs w:val="16"/>
          <w:rtl/>
        </w:rPr>
        <w:t>(לא. דיבור ראשון)</w:t>
      </w:r>
      <w:r w:rsidRPr="0085652D">
        <w:rPr>
          <w:rFonts w:cs="Arial" w:hint="cs"/>
          <w:rtl/>
        </w:rPr>
        <w:t>-</w:t>
      </w:r>
      <w:r w:rsidRPr="0085652D">
        <w:rPr>
          <w:rFonts w:cs="Arial"/>
          <w:rtl/>
        </w:rPr>
        <w:t xml:space="preserve"> אע"ג דכתובה נגבית ממטלטלין הרשות ביד יתומים ליתן לה קרקע</w:t>
      </w:r>
      <w:r>
        <w:rPr>
          <w:rFonts w:hint="cs"/>
          <w:rtl/>
        </w:rPr>
        <w:t xml:space="preserve">. </w:t>
      </w:r>
      <w:r w:rsidRPr="0020731C">
        <w:rPr>
          <w:rFonts w:hint="cs"/>
          <w:color w:val="00B0F0"/>
          <w:rtl/>
        </w:rPr>
        <w:t>(וכ"פ הרמ"א)</w:t>
      </w:r>
    </w:p>
    <w:p w14:paraId="0476C397" w14:textId="77777777" w:rsidR="002E5BAD" w:rsidRPr="00707E37" w:rsidRDefault="002E5BAD" w:rsidP="002E5BAD">
      <w:pPr>
        <w:rPr>
          <w:rFonts w:cs="Arial"/>
        </w:rPr>
      </w:pPr>
      <w:r w:rsidRPr="00707E37">
        <w:rPr>
          <w:rFonts w:cs="Arial"/>
          <w:u w:val="single"/>
          <w:rtl/>
        </w:rPr>
        <w:t>הנותן מתנה לבנו הראוי ליורשו במתנת בריא</w:t>
      </w:r>
      <w:r w:rsidRPr="00707E37">
        <w:rPr>
          <w:rFonts w:cs="Arial" w:hint="cs"/>
          <w:u w:val="single"/>
          <w:rtl/>
        </w:rPr>
        <w:t xml:space="preserve"> </w:t>
      </w:r>
      <w:r w:rsidRPr="00707E37">
        <w:rPr>
          <w:rFonts w:cs="Arial"/>
          <w:u w:val="single"/>
          <w:rtl/>
        </w:rPr>
        <w:t>–</w:t>
      </w:r>
      <w:r w:rsidRPr="00707E37">
        <w:rPr>
          <w:rFonts w:cs="Arial" w:hint="cs"/>
          <w:u w:val="single"/>
          <w:rtl/>
        </w:rPr>
        <w:t xml:space="preserve"> האם האלמנה גובה מזה כתובתה:</w:t>
      </w:r>
      <w:r w:rsidRPr="00707E37">
        <w:rPr>
          <w:rFonts w:cs="Arial"/>
          <w:sz w:val="16"/>
          <w:szCs w:val="16"/>
          <w:rtl/>
        </w:rPr>
        <w:t xml:space="preserve"> (</w:t>
      </w:r>
      <w:r w:rsidRPr="00707E37">
        <w:rPr>
          <w:rFonts w:cs="Arial" w:hint="cs"/>
          <w:sz w:val="16"/>
          <w:szCs w:val="16"/>
          <w:rtl/>
        </w:rPr>
        <w:t xml:space="preserve">דרכ"מ אות </w:t>
      </w:r>
      <w:r w:rsidRPr="00707E37">
        <w:rPr>
          <w:rFonts w:cs="Arial"/>
          <w:sz w:val="16"/>
          <w:szCs w:val="16"/>
          <w:rtl/>
        </w:rPr>
        <w:t>יא)</w:t>
      </w:r>
      <w:r w:rsidRPr="00707E37">
        <w:rPr>
          <w:rFonts w:cs="Arial"/>
          <w:rtl/>
        </w:rPr>
        <w:t xml:space="preserve"> </w:t>
      </w:r>
    </w:p>
    <w:p w14:paraId="5B3A3692" w14:textId="77777777" w:rsidR="002E5BAD" w:rsidRDefault="002E5BAD" w:rsidP="00B75458">
      <w:pPr>
        <w:pStyle w:val="ab"/>
        <w:numPr>
          <w:ilvl w:val="0"/>
          <w:numId w:val="192"/>
        </w:numPr>
        <w:rPr>
          <w:rFonts w:cs="Arial"/>
        </w:rPr>
      </w:pPr>
      <w:r>
        <w:rPr>
          <w:rFonts w:cs="Arial" w:hint="cs"/>
          <w:rtl/>
        </w:rPr>
        <w:t>מ</w:t>
      </w:r>
      <w:r w:rsidRPr="00F02E86">
        <w:rPr>
          <w:rFonts w:cs="Arial"/>
          <w:rtl/>
        </w:rPr>
        <w:t xml:space="preserve">הר"ם </w:t>
      </w:r>
      <w:r w:rsidRPr="00707E37">
        <w:rPr>
          <w:rFonts w:cs="Arial"/>
          <w:sz w:val="16"/>
          <w:szCs w:val="16"/>
          <w:rtl/>
        </w:rPr>
        <w:t>(עי' שו"ת ד"ק סי' קצב, ד"ב סי' מ</w:t>
      </w:r>
      <w:r w:rsidRPr="00707E37">
        <w:rPr>
          <w:rFonts w:cs="Arial" w:hint="cs"/>
          <w:sz w:val="16"/>
          <w:szCs w:val="16"/>
          <w:rtl/>
        </w:rPr>
        <w:t>, כ"כ בשמו המרדכי [</w:t>
      </w:r>
      <w:r>
        <w:rPr>
          <w:rFonts w:cs="Arial" w:hint="cs"/>
          <w:sz w:val="16"/>
          <w:szCs w:val="16"/>
          <w:rtl/>
        </w:rPr>
        <w:t xml:space="preserve">פ' נערה </w:t>
      </w:r>
      <w:r w:rsidRPr="00707E37">
        <w:rPr>
          <w:rFonts w:cs="Arial" w:hint="cs"/>
          <w:sz w:val="16"/>
          <w:szCs w:val="16"/>
          <w:rtl/>
        </w:rPr>
        <w:t>סי' קסא]</w:t>
      </w:r>
      <w:r w:rsidRPr="00707E37">
        <w:rPr>
          <w:rFonts w:cs="Arial"/>
          <w:sz w:val="16"/>
          <w:szCs w:val="16"/>
          <w:rtl/>
        </w:rPr>
        <w:t>)</w:t>
      </w:r>
      <w:r>
        <w:rPr>
          <w:rFonts w:cs="Arial" w:hint="cs"/>
          <w:rtl/>
        </w:rPr>
        <w:t>-</w:t>
      </w:r>
      <w:r w:rsidRPr="00F02E86">
        <w:rPr>
          <w:rFonts w:cs="Arial"/>
          <w:rtl/>
        </w:rPr>
        <w:t xml:space="preserve"> הנותן מתנה לבנו הראוי ליורשו במתנת בריא לא הוי מתנה להפקיע מידי כתובה דכל מתנה שאדם נותן ליורשיו הוי כמו ירושה בעלמא</w:t>
      </w:r>
      <w:r>
        <w:rPr>
          <w:rStyle w:val="a7"/>
          <w:rFonts w:cs="Arial"/>
          <w:rtl/>
        </w:rPr>
        <w:footnoteReference w:id="2319"/>
      </w:r>
      <w:r>
        <w:rPr>
          <w:rFonts w:cs="Arial" w:hint="cs"/>
          <w:rtl/>
        </w:rPr>
        <w:t>.</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p>
    <w:p w14:paraId="634C5A26" w14:textId="77777777" w:rsidR="002E5BAD" w:rsidRPr="00BD70A0" w:rsidRDefault="002E5BAD" w:rsidP="002E5BAD">
      <w:pPr>
        <w:rPr>
          <w:rFonts w:cs="Arial"/>
          <w:u w:val="single"/>
        </w:rPr>
      </w:pPr>
      <w:r w:rsidRPr="00BD70A0">
        <w:rPr>
          <w:rFonts w:cs="Arial" w:hint="cs"/>
          <w:u w:val="single"/>
          <w:rtl/>
        </w:rPr>
        <w:t>מי</w:t>
      </w:r>
      <w:r w:rsidRPr="00BD70A0">
        <w:rPr>
          <w:rFonts w:cs="Arial"/>
          <w:u w:val="single"/>
          <w:rtl/>
        </w:rPr>
        <w:t xml:space="preserve"> </w:t>
      </w:r>
      <w:r>
        <w:rPr>
          <w:rFonts w:cs="Arial" w:hint="cs"/>
          <w:u w:val="single"/>
          <w:rtl/>
        </w:rPr>
        <w:t xml:space="preserve">שנתן </w:t>
      </w:r>
      <w:r w:rsidRPr="00BD70A0">
        <w:rPr>
          <w:rFonts w:cs="Arial"/>
          <w:u w:val="single"/>
          <w:rtl/>
        </w:rPr>
        <w:t xml:space="preserve">מעות לחבירו </w:t>
      </w:r>
      <w:r>
        <w:rPr>
          <w:rFonts w:cs="Arial" w:hint="cs"/>
          <w:u w:val="single"/>
          <w:rtl/>
        </w:rPr>
        <w:t>ו</w:t>
      </w:r>
      <w:r w:rsidRPr="00BD70A0">
        <w:rPr>
          <w:rFonts w:cs="Arial"/>
          <w:u w:val="single"/>
          <w:rtl/>
        </w:rPr>
        <w:t xml:space="preserve">א"ל </w:t>
      </w:r>
      <w:r w:rsidRPr="00BD70A0">
        <w:rPr>
          <w:rFonts w:cs="Arial" w:hint="cs"/>
          <w:u w:val="single"/>
          <w:rtl/>
        </w:rPr>
        <w:t>'</w:t>
      </w:r>
      <w:r w:rsidRPr="00BD70A0">
        <w:rPr>
          <w:rFonts w:cs="Arial"/>
          <w:u w:val="single"/>
          <w:rtl/>
        </w:rPr>
        <w:t>אל תתנם לבני עד שישא אשה</w:t>
      </w:r>
      <w:r w:rsidRPr="00BD70A0">
        <w:rPr>
          <w:rFonts w:cs="Arial" w:hint="cs"/>
          <w:u w:val="single"/>
          <w:rtl/>
        </w:rPr>
        <w:t>',</w:t>
      </w:r>
      <w:r w:rsidRPr="00BD70A0">
        <w:rPr>
          <w:rFonts w:cs="Arial"/>
          <w:u w:val="single"/>
          <w:rtl/>
        </w:rPr>
        <w:t xml:space="preserve"> ומת –</w:t>
      </w:r>
      <w:r w:rsidRPr="00BD70A0">
        <w:rPr>
          <w:rFonts w:cs="Arial" w:hint="cs"/>
          <w:u w:val="single"/>
          <w:rtl/>
        </w:rPr>
        <w:t xml:space="preserve"> האם </w:t>
      </w:r>
      <w:r w:rsidRPr="00BD70A0">
        <w:rPr>
          <w:rFonts w:cs="Arial"/>
          <w:u w:val="single"/>
          <w:rtl/>
        </w:rPr>
        <w:t>האשה גובה כתובתה מהן</w:t>
      </w:r>
      <w:r w:rsidRPr="00BD70A0">
        <w:rPr>
          <w:rFonts w:cs="Arial" w:hint="cs"/>
          <w:u w:val="single"/>
          <w:rtl/>
        </w:rPr>
        <w:t>:</w:t>
      </w:r>
      <w:r w:rsidRPr="00707E37">
        <w:rPr>
          <w:rFonts w:cs="Arial"/>
          <w:sz w:val="16"/>
          <w:szCs w:val="16"/>
          <w:rtl/>
        </w:rPr>
        <w:t xml:space="preserve"> </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032B5F37" w14:textId="77777777" w:rsidR="002E5BAD" w:rsidRDefault="002E5BAD" w:rsidP="00B75458">
      <w:pPr>
        <w:pStyle w:val="ab"/>
        <w:numPr>
          <w:ilvl w:val="0"/>
          <w:numId w:val="192"/>
        </w:numPr>
        <w:rPr>
          <w:rFonts w:cs="Arial"/>
        </w:rPr>
      </w:pPr>
      <w:r w:rsidRPr="00F02E86">
        <w:rPr>
          <w:rFonts w:cs="Arial"/>
          <w:rtl/>
        </w:rPr>
        <w:t xml:space="preserve">מהר"ם </w:t>
      </w:r>
      <w:r w:rsidRPr="00BD70A0">
        <w:rPr>
          <w:rFonts w:cs="Arial"/>
          <w:sz w:val="16"/>
          <w:szCs w:val="16"/>
          <w:rtl/>
        </w:rPr>
        <w:t>(ד"פ סי' תתקסו</w:t>
      </w:r>
      <w:r w:rsidRPr="00707E37">
        <w:rPr>
          <w:rFonts w:cs="Arial" w:hint="cs"/>
          <w:sz w:val="16"/>
          <w:szCs w:val="16"/>
          <w:rtl/>
        </w:rPr>
        <w:t>, כ"כ בשמו המרדכי [</w:t>
      </w:r>
      <w:r>
        <w:rPr>
          <w:rFonts w:cs="Arial" w:hint="cs"/>
          <w:sz w:val="16"/>
          <w:szCs w:val="16"/>
          <w:rtl/>
        </w:rPr>
        <w:t xml:space="preserve">פ' מי שמת </w:t>
      </w:r>
      <w:r w:rsidRPr="00707E37">
        <w:rPr>
          <w:rFonts w:cs="Arial" w:hint="cs"/>
          <w:sz w:val="16"/>
          <w:szCs w:val="16"/>
          <w:rtl/>
        </w:rPr>
        <w:t xml:space="preserve">סי' </w:t>
      </w:r>
      <w:r>
        <w:rPr>
          <w:rFonts w:cs="Arial" w:hint="cs"/>
          <w:sz w:val="16"/>
          <w:szCs w:val="16"/>
          <w:rtl/>
        </w:rPr>
        <w:t>תרכט</w:t>
      </w:r>
      <w:r w:rsidRPr="00707E37">
        <w:rPr>
          <w:rFonts w:cs="Arial" w:hint="cs"/>
          <w:sz w:val="16"/>
          <w:szCs w:val="16"/>
          <w:rtl/>
        </w:rPr>
        <w:t>]</w:t>
      </w:r>
      <w:r w:rsidRPr="00BD70A0">
        <w:rPr>
          <w:rFonts w:cs="Arial"/>
          <w:sz w:val="16"/>
          <w:szCs w:val="16"/>
          <w:rtl/>
        </w:rPr>
        <w:t>)</w:t>
      </w:r>
      <w:r>
        <w:rPr>
          <w:rFonts w:cs="Arial" w:hint="cs"/>
          <w:rtl/>
        </w:rPr>
        <w:t>-</w:t>
      </w:r>
      <w:r w:rsidRPr="00F02E86">
        <w:rPr>
          <w:rFonts w:cs="Arial"/>
          <w:rtl/>
        </w:rPr>
        <w:t xml:space="preserve"> אחד שנתן מעות לחבירו כשהיה בריא וא"ל אל תתנם לבני עד שישא אשה ומת </w:t>
      </w:r>
      <w:r>
        <w:rPr>
          <w:rFonts w:cs="Arial" w:hint="cs"/>
          <w:rtl/>
        </w:rPr>
        <w:t xml:space="preserve">- </w:t>
      </w:r>
      <w:r w:rsidRPr="00F02E86">
        <w:rPr>
          <w:rFonts w:cs="Arial"/>
          <w:rtl/>
        </w:rPr>
        <w:t>האשה גובה כתובתה מהן</w:t>
      </w:r>
      <w:r>
        <w:rPr>
          <w:rFonts w:cs="Arial" w:hint="cs"/>
          <w:rtl/>
        </w:rPr>
        <w:t>,</w:t>
      </w:r>
      <w:r w:rsidRPr="00F02E86">
        <w:rPr>
          <w:rFonts w:cs="Arial"/>
          <w:rtl/>
        </w:rPr>
        <w:t xml:space="preserve"> דכיון דלא זיכה לו בחייו אלא לכשישא אשה ובההיא שעתא כבר מת ראובן אי אפשר לזכות בנכסים אלא מכח מצוה לקיים דברי המת</w:t>
      </w:r>
      <w:r>
        <w:rPr>
          <w:rFonts w:cs="Arial" w:hint="cs"/>
          <w:rtl/>
        </w:rPr>
        <w:t>.</w:t>
      </w:r>
      <w:r w:rsidRPr="00F02E86">
        <w:rPr>
          <w:rFonts w:cs="Arial"/>
          <w:rtl/>
        </w:rPr>
        <w:t xml:space="preserve"> וכל מתנה שאדם רוצה לזכות בה מכח מצוה לקיים דברי המת או מכח מתנת שכיב מרע או מצוה מחמת מיתה אשה גובה כתובתה מהן</w:t>
      </w:r>
      <w:r>
        <w:rPr>
          <w:rStyle w:val="a7"/>
          <w:rFonts w:cs="Arial"/>
          <w:rtl/>
        </w:rPr>
        <w:footnoteReference w:id="2320"/>
      </w:r>
      <w:r>
        <w:rPr>
          <w:rFonts w:cs="Arial" w:hint="cs"/>
          <w:rtl/>
        </w:rPr>
        <w:t>.</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p>
    <w:p w14:paraId="31F07AAD" w14:textId="77777777" w:rsidR="002E5BAD" w:rsidRPr="008775E3" w:rsidRDefault="002E5BAD" w:rsidP="002E5BAD">
      <w:pPr>
        <w:rPr>
          <w:rFonts w:cs="Arial"/>
          <w:u w:val="single"/>
        </w:rPr>
      </w:pPr>
      <w:r w:rsidRPr="008775E3">
        <w:rPr>
          <w:rFonts w:cs="Arial"/>
          <w:u w:val="single"/>
          <w:rtl/>
        </w:rPr>
        <w:t xml:space="preserve">הכותב לבתו מהיום ולאחר מיתה כחלק א' מבניו הזכרים </w:t>
      </w:r>
      <w:r>
        <w:rPr>
          <w:rFonts w:cs="Arial"/>
          <w:u w:val="single"/>
          <w:rtl/>
        </w:rPr>
        <w:t>–</w:t>
      </w:r>
      <w:r w:rsidRPr="008775E3">
        <w:rPr>
          <w:rFonts w:cs="Arial" w:hint="cs"/>
          <w:u w:val="single"/>
          <w:rtl/>
        </w:rPr>
        <w:t xml:space="preserve"> </w:t>
      </w:r>
      <w:r>
        <w:rPr>
          <w:rFonts w:cs="Arial" w:hint="cs"/>
          <w:u w:val="single"/>
          <w:rtl/>
        </w:rPr>
        <w:t xml:space="preserve">האם </w:t>
      </w:r>
      <w:r w:rsidRPr="008775E3">
        <w:rPr>
          <w:rFonts w:cs="Arial" w:hint="cs"/>
          <w:u w:val="single"/>
          <w:rtl/>
        </w:rPr>
        <w:t>ה</w:t>
      </w:r>
      <w:r w:rsidRPr="008775E3">
        <w:rPr>
          <w:rFonts w:cs="Arial"/>
          <w:u w:val="single"/>
          <w:rtl/>
        </w:rPr>
        <w:t xml:space="preserve">אשה גובה </w:t>
      </w:r>
      <w:r>
        <w:rPr>
          <w:rFonts w:cs="Arial" w:hint="cs"/>
          <w:u w:val="single"/>
          <w:rtl/>
        </w:rPr>
        <w:t xml:space="preserve">גם מחלק </w:t>
      </w:r>
      <w:r w:rsidRPr="008775E3">
        <w:rPr>
          <w:rFonts w:cs="Arial"/>
          <w:u w:val="single"/>
          <w:rtl/>
        </w:rPr>
        <w:t>זה כתובתה</w:t>
      </w:r>
      <w:r w:rsidRPr="008775E3">
        <w:rPr>
          <w:rFonts w:cs="Arial" w:hint="cs"/>
          <w:u w:val="single"/>
          <w:rtl/>
        </w:rPr>
        <w:t>:</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719F1371" w14:textId="77777777" w:rsidR="002E5BAD" w:rsidRDefault="002E5BAD" w:rsidP="00B75458">
      <w:pPr>
        <w:pStyle w:val="ab"/>
        <w:numPr>
          <w:ilvl w:val="0"/>
          <w:numId w:val="192"/>
        </w:numPr>
        <w:rPr>
          <w:rFonts w:cs="Arial"/>
        </w:rPr>
      </w:pPr>
      <w:r w:rsidRPr="00F02E86">
        <w:rPr>
          <w:rFonts w:cs="Arial"/>
          <w:rtl/>
        </w:rPr>
        <w:t>מהר"ם</w:t>
      </w:r>
      <w:r w:rsidRPr="00BD70A0">
        <w:rPr>
          <w:rFonts w:cs="Arial"/>
          <w:sz w:val="16"/>
          <w:szCs w:val="16"/>
          <w:rtl/>
        </w:rPr>
        <w:t xml:space="preserve"> (שו"ת ד"פ סי' רמד</w:t>
      </w:r>
      <w:r w:rsidRPr="00BD70A0">
        <w:rPr>
          <w:rFonts w:cs="Arial" w:hint="cs"/>
          <w:sz w:val="16"/>
          <w:szCs w:val="16"/>
          <w:rtl/>
        </w:rPr>
        <w:t>, כ"כ המרדכי בשמו [פ' יש נוחלין סי' תקפד])</w:t>
      </w:r>
      <w:r>
        <w:rPr>
          <w:rFonts w:cs="Arial" w:hint="cs"/>
          <w:rtl/>
        </w:rPr>
        <w:t>-</w:t>
      </w:r>
      <w:r w:rsidRPr="00F02E86">
        <w:rPr>
          <w:rFonts w:cs="Arial"/>
          <w:rtl/>
        </w:rPr>
        <w:t xml:space="preserve"> הכותב לבתו מהיום ולאחר מיתה כחלק א' מבניו הזכרים </w:t>
      </w:r>
      <w:r>
        <w:rPr>
          <w:rFonts w:cs="Arial" w:hint="cs"/>
          <w:rtl/>
        </w:rPr>
        <w:t>- ה</w:t>
      </w:r>
      <w:r w:rsidRPr="00F02E86">
        <w:rPr>
          <w:rFonts w:cs="Arial"/>
          <w:rtl/>
        </w:rPr>
        <w:t xml:space="preserve">אשה גובה </w:t>
      </w:r>
      <w:r>
        <w:rPr>
          <w:rFonts w:cs="Arial" w:hint="cs"/>
          <w:rtl/>
        </w:rPr>
        <w:t xml:space="preserve">גם </w:t>
      </w:r>
      <w:r w:rsidRPr="00F02E86">
        <w:rPr>
          <w:rFonts w:cs="Arial"/>
          <w:rtl/>
        </w:rPr>
        <w:t>מזה כתובתה ואף על גב דהוי מתנת בריא</w:t>
      </w:r>
      <w:r>
        <w:rPr>
          <w:rFonts w:cs="Arial" w:hint="cs"/>
          <w:rtl/>
        </w:rPr>
        <w:t>,</w:t>
      </w:r>
      <w:r w:rsidRPr="00F02E86">
        <w:rPr>
          <w:rFonts w:cs="Arial"/>
          <w:rtl/>
        </w:rPr>
        <w:t xml:space="preserve"> דלעולם לא יטול מקבל מתנה זו יותר מן היורשין</w:t>
      </w:r>
      <w:r>
        <w:rPr>
          <w:rStyle w:val="a7"/>
          <w:rFonts w:cs="Arial"/>
          <w:rtl/>
        </w:rPr>
        <w:footnoteReference w:id="2321"/>
      </w:r>
      <w:r>
        <w:rPr>
          <w:rFonts w:cs="Arial" w:hint="cs"/>
          <w:rtl/>
        </w:rPr>
        <w:t>.</w:t>
      </w:r>
    </w:p>
    <w:p w14:paraId="7EB9C9A9" w14:textId="77777777" w:rsidR="002E5BAD" w:rsidRPr="005C2B22" w:rsidRDefault="002E5BAD" w:rsidP="002E5BAD">
      <w:pPr>
        <w:rPr>
          <w:rFonts w:cs="Arial"/>
          <w:u w:val="single"/>
        </w:rPr>
      </w:pPr>
      <w:r w:rsidRPr="005C2B22">
        <w:rPr>
          <w:rFonts w:cs="Arial" w:hint="cs"/>
          <w:u w:val="single"/>
          <w:rtl/>
        </w:rPr>
        <w:t xml:space="preserve">ראובן ציוה לחברו לפני מותו שיתן סך כסף לפלוני, ומת ראובן </w:t>
      </w:r>
      <w:r w:rsidRPr="005C2B22">
        <w:rPr>
          <w:rFonts w:cs="Arial"/>
          <w:u w:val="single"/>
          <w:rtl/>
        </w:rPr>
        <w:t>–</w:t>
      </w:r>
      <w:r w:rsidRPr="005C2B22">
        <w:rPr>
          <w:rFonts w:cs="Arial" w:hint="cs"/>
          <w:u w:val="single"/>
          <w:rtl/>
        </w:rPr>
        <w:t xml:space="preserve"> ואשת ראובן רוצה לגבות מזה כתובתה:</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387A6316" w14:textId="77777777" w:rsidR="002E5BAD" w:rsidRPr="005C2B22" w:rsidRDefault="002E5BAD" w:rsidP="00B75458">
      <w:pPr>
        <w:pStyle w:val="ab"/>
        <w:numPr>
          <w:ilvl w:val="0"/>
          <w:numId w:val="192"/>
        </w:numPr>
        <w:rPr>
          <w:rFonts w:cs="Arial"/>
          <w:rtl/>
        </w:rPr>
      </w:pPr>
      <w:r w:rsidRPr="00F02E86">
        <w:rPr>
          <w:rFonts w:cs="Arial"/>
          <w:rtl/>
        </w:rPr>
        <w:t xml:space="preserve">מרדכי </w:t>
      </w:r>
      <w:r w:rsidRPr="008775E3">
        <w:rPr>
          <w:rFonts w:cs="Arial" w:hint="cs"/>
          <w:sz w:val="16"/>
          <w:szCs w:val="16"/>
          <w:rtl/>
        </w:rPr>
        <w:t>(</w:t>
      </w:r>
      <w:r w:rsidRPr="008775E3">
        <w:rPr>
          <w:rFonts w:cs="Arial"/>
          <w:sz w:val="16"/>
          <w:szCs w:val="16"/>
          <w:rtl/>
        </w:rPr>
        <w:t>פ</w:t>
      </w:r>
      <w:r w:rsidRPr="008775E3">
        <w:rPr>
          <w:rFonts w:cs="Arial" w:hint="cs"/>
          <w:sz w:val="16"/>
          <w:szCs w:val="16"/>
          <w:rtl/>
        </w:rPr>
        <w:t>'</w:t>
      </w:r>
      <w:r w:rsidRPr="008775E3">
        <w:rPr>
          <w:rFonts w:cs="Arial"/>
          <w:sz w:val="16"/>
          <w:szCs w:val="16"/>
          <w:rtl/>
        </w:rPr>
        <w:t xml:space="preserve"> יש נוחלין סי' תקפט)</w:t>
      </w:r>
      <w:r>
        <w:rPr>
          <w:rFonts w:cs="Arial" w:hint="cs"/>
          <w:rtl/>
        </w:rPr>
        <w:t xml:space="preserve">- </w:t>
      </w:r>
      <w:r w:rsidRPr="00F02E86">
        <w:rPr>
          <w:rFonts w:cs="Arial"/>
          <w:rtl/>
        </w:rPr>
        <w:t>ראובן ושמעון שהיה להן שותפות ביחד</w:t>
      </w:r>
      <w:r>
        <w:rPr>
          <w:rFonts w:cs="Arial" w:hint="cs"/>
          <w:rtl/>
        </w:rPr>
        <w:t>,</w:t>
      </w:r>
      <w:r w:rsidRPr="00F02E86">
        <w:rPr>
          <w:rFonts w:cs="Arial"/>
          <w:rtl/>
        </w:rPr>
        <w:t xml:space="preserve"> והלכו למדינת הים</w:t>
      </w:r>
      <w:r>
        <w:rPr>
          <w:rFonts w:cs="Arial" w:hint="cs"/>
          <w:rtl/>
        </w:rPr>
        <w:t>.</w:t>
      </w:r>
      <w:r w:rsidRPr="00F02E86">
        <w:rPr>
          <w:rFonts w:cs="Arial"/>
          <w:rtl/>
        </w:rPr>
        <w:t xml:space="preserve"> וחלה ראובן ונטה למות</w:t>
      </w:r>
      <w:r>
        <w:rPr>
          <w:rFonts w:cs="Arial" w:hint="cs"/>
          <w:rtl/>
        </w:rPr>
        <w:t>.</w:t>
      </w:r>
      <w:r w:rsidRPr="00F02E86">
        <w:rPr>
          <w:rFonts w:cs="Arial"/>
          <w:rtl/>
        </w:rPr>
        <w:t xml:space="preserve"> וצוה לשמעון ליתן לפלוני מנכסיו כך וכך</w:t>
      </w:r>
      <w:r>
        <w:rPr>
          <w:rFonts w:cs="Arial" w:hint="cs"/>
          <w:rtl/>
        </w:rPr>
        <w:t>,</w:t>
      </w:r>
      <w:r w:rsidRPr="00F02E86">
        <w:rPr>
          <w:rFonts w:cs="Arial"/>
          <w:rtl/>
        </w:rPr>
        <w:t xml:space="preserve"> ונפטר ראובן</w:t>
      </w:r>
      <w:r>
        <w:rPr>
          <w:rFonts w:cs="Arial" w:hint="cs"/>
          <w:rtl/>
        </w:rPr>
        <w:t>,</w:t>
      </w:r>
      <w:r w:rsidRPr="00F02E86">
        <w:rPr>
          <w:rFonts w:cs="Arial"/>
          <w:rtl/>
        </w:rPr>
        <w:t xml:space="preserve"> ושמעון שב למקומו</w:t>
      </w:r>
      <w:r>
        <w:rPr>
          <w:rFonts w:cs="Arial" w:hint="cs"/>
          <w:rtl/>
        </w:rPr>
        <w:t>.</w:t>
      </w:r>
      <w:r w:rsidRPr="00F02E86">
        <w:rPr>
          <w:rFonts w:cs="Arial"/>
          <w:rtl/>
        </w:rPr>
        <w:t xml:space="preserve"> ובבואו הושיב דיינים וסיפר לפניהם הדבר</w:t>
      </w:r>
      <w:r>
        <w:rPr>
          <w:rFonts w:cs="Arial" w:hint="cs"/>
          <w:rtl/>
        </w:rPr>
        <w:t>,</w:t>
      </w:r>
      <w:r w:rsidRPr="00F02E86">
        <w:rPr>
          <w:rFonts w:cs="Arial"/>
          <w:rtl/>
        </w:rPr>
        <w:t xml:space="preserve"> ואחר כך תובעת אלמנת ראובן הכתובה מנכסים אלו</w:t>
      </w:r>
      <w:r>
        <w:rPr>
          <w:rFonts w:cs="Arial" w:hint="cs"/>
          <w:rtl/>
        </w:rPr>
        <w:t xml:space="preserve"> -</w:t>
      </w:r>
      <w:r w:rsidRPr="00F02E86">
        <w:rPr>
          <w:rFonts w:cs="Arial"/>
          <w:rtl/>
        </w:rPr>
        <w:t xml:space="preserve"> המקבל זכה במתנה כיון שהנכסים היו ביד שמעון הוי כאילו המשיכן וזכה בהן למקבל</w:t>
      </w:r>
      <w:r>
        <w:rPr>
          <w:rFonts w:cs="Arial" w:hint="cs"/>
          <w:rtl/>
        </w:rPr>
        <w:t>.</w:t>
      </w:r>
      <w:r w:rsidRPr="00F02E86">
        <w:rPr>
          <w:rFonts w:cs="Arial"/>
          <w:rtl/>
        </w:rPr>
        <w:t xml:space="preserve"> ושמעון זה נאמן בדבריו הואיל וסיפר הדבר בעוד שהיה הממון בידו וכו'</w:t>
      </w:r>
      <w:r w:rsidRPr="008775E3">
        <w:rPr>
          <w:rFonts w:cs="Arial"/>
          <w:rtl/>
        </w:rPr>
        <w:t xml:space="preserve"> </w:t>
      </w:r>
      <w:r>
        <w:rPr>
          <w:rFonts w:cs="Arial" w:hint="cs"/>
          <w:sz w:val="16"/>
          <w:szCs w:val="16"/>
          <w:rtl/>
        </w:rPr>
        <w:t>(</w:t>
      </w:r>
      <w:r w:rsidRPr="008775E3">
        <w:rPr>
          <w:rFonts w:cs="Arial"/>
          <w:sz w:val="16"/>
          <w:szCs w:val="16"/>
          <w:rtl/>
        </w:rPr>
        <w:t>ועיין לקמן סימן קי"ח מדין גביית הכתובה</w:t>
      </w:r>
      <w:r w:rsidRPr="008775E3">
        <w:rPr>
          <w:rFonts w:cs="Arial" w:hint="cs"/>
          <w:sz w:val="16"/>
          <w:szCs w:val="16"/>
          <w:rtl/>
        </w:rPr>
        <w:t>)</w:t>
      </w:r>
      <w:r w:rsidRPr="00F02E86">
        <w:rPr>
          <w:rFonts w:cs="Arial"/>
          <w:rtl/>
        </w:rPr>
        <w:t xml:space="preserve">. </w:t>
      </w:r>
    </w:p>
    <w:p w14:paraId="4A382539" w14:textId="77777777" w:rsidR="002E5BAD" w:rsidRPr="008775E3" w:rsidRDefault="002E5BAD" w:rsidP="002E5BAD">
      <w:pPr>
        <w:rPr>
          <w:rFonts w:cs="Arial"/>
          <w:u w:val="single"/>
        </w:rPr>
      </w:pPr>
      <w:r w:rsidRPr="008775E3">
        <w:rPr>
          <w:rFonts w:cs="Arial"/>
          <w:u w:val="single"/>
          <w:rtl/>
        </w:rPr>
        <w:t>אלמנה תובעת כתובתה</w:t>
      </w:r>
      <w:r w:rsidRPr="008775E3">
        <w:rPr>
          <w:rFonts w:cs="Arial" w:hint="cs"/>
          <w:u w:val="single"/>
          <w:rtl/>
        </w:rPr>
        <w:t>,</w:t>
      </w:r>
      <w:r w:rsidRPr="008775E3">
        <w:rPr>
          <w:rFonts w:cs="Arial"/>
          <w:u w:val="single"/>
          <w:rtl/>
        </w:rPr>
        <w:t xml:space="preserve"> והיתומים </w:t>
      </w:r>
      <w:r w:rsidRPr="008775E3">
        <w:rPr>
          <w:rFonts w:cs="Arial" w:hint="cs"/>
          <w:u w:val="single"/>
          <w:rtl/>
        </w:rPr>
        <w:t xml:space="preserve">מבקשים ממנה ערבות </w:t>
      </w:r>
      <w:r w:rsidRPr="008775E3">
        <w:rPr>
          <w:rFonts w:cs="Arial"/>
          <w:u w:val="single"/>
          <w:rtl/>
        </w:rPr>
        <w:t>ש</w:t>
      </w:r>
      <w:r>
        <w:rPr>
          <w:rFonts w:cs="Arial" w:hint="cs"/>
          <w:u w:val="single"/>
          <w:rtl/>
        </w:rPr>
        <w:t>מא</w:t>
      </w:r>
      <w:r w:rsidRPr="008775E3">
        <w:rPr>
          <w:rFonts w:cs="Arial"/>
          <w:u w:val="single"/>
          <w:rtl/>
        </w:rPr>
        <w:t xml:space="preserve"> ימצאו אח</w:t>
      </w:r>
      <w:r w:rsidRPr="008775E3">
        <w:rPr>
          <w:rFonts w:cs="Arial" w:hint="cs"/>
          <w:u w:val="single"/>
          <w:rtl/>
        </w:rPr>
        <w:t>"</w:t>
      </w:r>
      <w:r w:rsidRPr="008775E3">
        <w:rPr>
          <w:rFonts w:cs="Arial"/>
          <w:u w:val="single"/>
          <w:rtl/>
        </w:rPr>
        <w:t>כ בע</w:t>
      </w:r>
      <w:r w:rsidRPr="008775E3">
        <w:rPr>
          <w:rFonts w:cs="Arial" w:hint="cs"/>
          <w:u w:val="single"/>
          <w:rtl/>
        </w:rPr>
        <w:t>"ח</w:t>
      </w:r>
      <w:r w:rsidRPr="008775E3">
        <w:rPr>
          <w:rFonts w:cs="Arial"/>
          <w:u w:val="single"/>
          <w:rtl/>
        </w:rPr>
        <w:t xml:space="preserve"> מוקדמין</w:t>
      </w:r>
      <w:r>
        <w:rPr>
          <w:rFonts w:cs="Arial" w:hint="cs"/>
          <w:u w:val="single"/>
          <w:rtl/>
        </w:rPr>
        <w:t>:</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66F8DA90" w14:textId="77777777" w:rsidR="002E5BAD" w:rsidRPr="00750F97" w:rsidRDefault="002E5BAD" w:rsidP="00B75458">
      <w:pPr>
        <w:pStyle w:val="ab"/>
        <w:numPr>
          <w:ilvl w:val="0"/>
          <w:numId w:val="192"/>
        </w:numPr>
        <w:rPr>
          <w:rFonts w:cs="Arial"/>
        </w:rPr>
      </w:pPr>
      <w:r w:rsidRPr="00F02E86">
        <w:rPr>
          <w:rFonts w:cs="Arial"/>
          <w:rtl/>
        </w:rPr>
        <w:t xml:space="preserve">ריב"ש </w:t>
      </w:r>
      <w:r w:rsidRPr="008775E3">
        <w:rPr>
          <w:rFonts w:cs="Arial" w:hint="cs"/>
          <w:sz w:val="16"/>
          <w:szCs w:val="16"/>
          <w:rtl/>
        </w:rPr>
        <w:t>(</w:t>
      </w:r>
      <w:r w:rsidRPr="008775E3">
        <w:rPr>
          <w:rFonts w:cs="Arial"/>
          <w:sz w:val="16"/>
          <w:szCs w:val="16"/>
          <w:rtl/>
        </w:rPr>
        <w:t>סי</w:t>
      </w:r>
      <w:r w:rsidRPr="008775E3">
        <w:rPr>
          <w:rFonts w:cs="Arial" w:hint="cs"/>
          <w:sz w:val="16"/>
          <w:szCs w:val="16"/>
          <w:rtl/>
        </w:rPr>
        <w:t>'</w:t>
      </w:r>
      <w:r w:rsidRPr="008775E3">
        <w:rPr>
          <w:rFonts w:cs="Arial"/>
          <w:sz w:val="16"/>
          <w:szCs w:val="16"/>
          <w:rtl/>
        </w:rPr>
        <w:t xml:space="preserve"> רצט</w:t>
      </w:r>
      <w:r>
        <w:rPr>
          <w:rFonts w:cs="Arial" w:hint="cs"/>
          <w:sz w:val="16"/>
          <w:szCs w:val="16"/>
          <w:rtl/>
        </w:rPr>
        <w:t>, ועי' סי' רמד</w:t>
      </w:r>
      <w:r w:rsidRPr="008775E3">
        <w:rPr>
          <w:rFonts w:cs="Arial" w:hint="cs"/>
          <w:sz w:val="16"/>
          <w:szCs w:val="16"/>
          <w:rtl/>
        </w:rPr>
        <w:t>)</w:t>
      </w:r>
      <w:r>
        <w:rPr>
          <w:rFonts w:cs="Arial" w:hint="cs"/>
          <w:rtl/>
        </w:rPr>
        <w:t>-</w:t>
      </w:r>
      <w:r w:rsidRPr="00F02E86">
        <w:rPr>
          <w:rFonts w:cs="Arial"/>
          <w:rtl/>
        </w:rPr>
        <w:t xml:space="preserve"> אלמנה תובעת כתובתה</w:t>
      </w:r>
      <w:r>
        <w:rPr>
          <w:rFonts w:cs="Arial" w:hint="cs"/>
          <w:rtl/>
        </w:rPr>
        <w:t>,</w:t>
      </w:r>
      <w:r w:rsidRPr="00F02E86">
        <w:rPr>
          <w:rFonts w:cs="Arial"/>
          <w:rtl/>
        </w:rPr>
        <w:t xml:space="preserve"> והיתומים טוענים שתתן ערבות שאם ימצאו אחר כך בעלי חובות מוקדמין שתחזיר מה שנתנו לה </w:t>
      </w:r>
      <w:r>
        <w:rPr>
          <w:rFonts w:cs="Arial"/>
          <w:rtl/>
        </w:rPr>
        <w:t>–</w:t>
      </w:r>
      <w:r>
        <w:rPr>
          <w:rFonts w:cs="Arial" w:hint="cs"/>
          <w:rtl/>
        </w:rPr>
        <w:t xml:space="preserve"> </w:t>
      </w:r>
      <w:r w:rsidRPr="00F02E86">
        <w:rPr>
          <w:rFonts w:cs="Arial"/>
          <w:rtl/>
        </w:rPr>
        <w:t>א</w:t>
      </w:r>
      <w:r>
        <w:rPr>
          <w:rFonts w:cs="Arial" w:hint="cs"/>
          <w:rtl/>
        </w:rPr>
        <w:t xml:space="preserve">ינה </w:t>
      </w:r>
      <w:r w:rsidRPr="00F02E86">
        <w:rPr>
          <w:rFonts w:cs="Arial"/>
          <w:rtl/>
        </w:rPr>
        <w:t>צ</w:t>
      </w:r>
      <w:r>
        <w:rPr>
          <w:rFonts w:cs="Arial" w:hint="cs"/>
          <w:rtl/>
        </w:rPr>
        <w:t>ריכה ליתן להם ערבות.</w:t>
      </w:r>
      <w:r w:rsidRPr="00750F97">
        <w:rPr>
          <w:rFonts w:cs="Arial"/>
          <w:rtl/>
        </w:rPr>
        <w:t xml:space="preserve"> </w:t>
      </w:r>
    </w:p>
    <w:p w14:paraId="73E5C4D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BE4A78" w14:textId="77777777" w:rsidR="002E5BAD" w:rsidRDefault="002E5BAD" w:rsidP="002E5BAD">
      <w:pPr>
        <w:rPr>
          <w:rtl/>
        </w:rPr>
      </w:pPr>
      <w:r>
        <w:rPr>
          <w:rFonts w:cs="Arial"/>
          <w:rtl/>
        </w:rPr>
        <w:t>מדינא דגמרא הכתובה, דהיינו עיקר כתובה ותוספת, אינם נגבים אלא מן הקרקע</w:t>
      </w:r>
      <w:r>
        <w:rPr>
          <w:rStyle w:val="a7"/>
          <w:rFonts w:cs="Arial"/>
          <w:rtl/>
        </w:rPr>
        <w:footnoteReference w:id="2322"/>
      </w:r>
      <w:r>
        <w:rPr>
          <w:rFonts w:cs="Arial"/>
          <w:rtl/>
        </w:rPr>
        <w:t>. ומתקנת הגאונים נגבים אף מן המטלטלים. וה</w:t>
      </w:r>
      <w:r>
        <w:rPr>
          <w:rFonts w:cs="Arial" w:hint="cs"/>
          <w:rtl/>
        </w:rPr>
        <w:t xml:space="preserve">וא </w:t>
      </w:r>
      <w:r>
        <w:rPr>
          <w:rFonts w:cs="Arial"/>
          <w:rtl/>
        </w:rPr>
        <w:t>ה</w:t>
      </w:r>
      <w:r>
        <w:rPr>
          <w:rFonts w:cs="Arial" w:hint="cs"/>
          <w:rtl/>
        </w:rPr>
        <w:t>דין</w:t>
      </w:r>
      <w:r>
        <w:rPr>
          <w:rFonts w:cs="Arial"/>
          <w:rtl/>
        </w:rPr>
        <w:t xml:space="preserve"> לכל תנאיה, חוץ מכתובת בנין דכרין</w:t>
      </w:r>
      <w:r>
        <w:rPr>
          <w:rStyle w:val="a7"/>
          <w:rFonts w:cs="Arial"/>
          <w:rtl/>
        </w:rPr>
        <w:footnoteReference w:id="2323"/>
      </w:r>
      <w:r>
        <w:rPr>
          <w:rFonts w:cs="Arial"/>
          <w:rtl/>
        </w:rPr>
        <w:t>. לפיכך</w:t>
      </w:r>
      <w:r>
        <w:rPr>
          <w:rFonts w:cs="Arial" w:hint="cs"/>
          <w:rtl/>
        </w:rPr>
        <w:t>,</w:t>
      </w:r>
      <w:r>
        <w:rPr>
          <w:rFonts w:cs="Arial"/>
          <w:rtl/>
        </w:rPr>
        <w:t xml:space="preserve"> אם גבו היורשים מעות</w:t>
      </w:r>
      <w:r>
        <w:rPr>
          <w:rStyle w:val="a7"/>
          <w:rFonts w:cs="Arial"/>
          <w:rtl/>
        </w:rPr>
        <w:footnoteReference w:id="2324"/>
      </w:r>
      <w:r>
        <w:rPr>
          <w:rFonts w:cs="Arial"/>
          <w:rtl/>
        </w:rPr>
        <w:t xml:space="preserve"> בחובת אביהם, גובה </w:t>
      </w:r>
      <w:r>
        <w:rPr>
          <w:rFonts w:cs="Arial"/>
          <w:rtl/>
        </w:rPr>
        <w:lastRenderedPageBreak/>
        <w:t xml:space="preserve">מהם. </w:t>
      </w:r>
      <w:r>
        <w:rPr>
          <w:rFonts w:cs="Arial" w:hint="cs"/>
          <w:sz w:val="18"/>
          <w:szCs w:val="18"/>
          <w:rtl/>
        </w:rPr>
        <w:t xml:space="preserve">[הגה] </w:t>
      </w:r>
      <w:r w:rsidRPr="00AB0CBA">
        <w:rPr>
          <w:rFonts w:cs="Arial"/>
          <w:sz w:val="18"/>
          <w:szCs w:val="18"/>
          <w:rtl/>
        </w:rPr>
        <w:t>ומיהו רשות ביד היורשים</w:t>
      </w:r>
      <w:r>
        <w:rPr>
          <w:rStyle w:val="a7"/>
          <w:rFonts w:cs="Arial"/>
          <w:sz w:val="18"/>
          <w:szCs w:val="18"/>
          <w:rtl/>
        </w:rPr>
        <w:footnoteReference w:id="2325"/>
      </w:r>
      <w:r w:rsidRPr="00AB0CBA">
        <w:rPr>
          <w:rFonts w:cs="Arial"/>
          <w:sz w:val="18"/>
          <w:szCs w:val="18"/>
          <w:rtl/>
        </w:rPr>
        <w:t xml:space="preserve"> לסלקה בקרקע (הגהות אלפסי). </w:t>
      </w:r>
      <w:r>
        <w:rPr>
          <w:rFonts w:cs="Arial"/>
          <w:rtl/>
        </w:rPr>
        <w:t xml:space="preserve">ודוקא ממטלטלי בני חרי, אבל אם מכרם הבעל או נתנם במתנת בריא, אינה גובה מהם. </w:t>
      </w:r>
      <w:r w:rsidRPr="00AB0CBA">
        <w:rPr>
          <w:rFonts w:cs="Arial"/>
          <w:sz w:val="18"/>
          <w:szCs w:val="18"/>
          <w:rtl/>
        </w:rPr>
        <w:t>הגה: וי"א דוקא שנתן לאחרים, אבל אם נתן ליורשיו במתנת בריא, אשה גובאת כתובתה מהם</w:t>
      </w:r>
      <w:r>
        <w:rPr>
          <w:rStyle w:val="a7"/>
          <w:rFonts w:cs="Arial"/>
          <w:sz w:val="18"/>
          <w:szCs w:val="18"/>
          <w:rtl/>
        </w:rPr>
        <w:footnoteReference w:id="2326"/>
      </w:r>
      <w:r w:rsidRPr="00AB0CBA">
        <w:rPr>
          <w:rFonts w:cs="Arial"/>
          <w:sz w:val="18"/>
          <w:szCs w:val="18"/>
          <w:rtl/>
        </w:rPr>
        <w:t xml:space="preserve"> (הגה</w:t>
      </w:r>
      <w:r>
        <w:rPr>
          <w:rFonts w:cs="Arial" w:hint="cs"/>
          <w:sz w:val="18"/>
          <w:szCs w:val="18"/>
          <w:rtl/>
        </w:rPr>
        <w:t>"</w:t>
      </w:r>
      <w:r w:rsidRPr="00AB0CBA">
        <w:rPr>
          <w:rFonts w:cs="Arial"/>
          <w:sz w:val="18"/>
          <w:szCs w:val="18"/>
          <w:rtl/>
        </w:rPr>
        <w:t>מ מהרא"י ומהרי"ו), דכל מה שנתן ליורשיו אינו אלא כירושה, והאשה גובאת כתובתה משם (מרדכי בשם מהר"ם). מי שצוה</w:t>
      </w:r>
      <w:r>
        <w:rPr>
          <w:rStyle w:val="a7"/>
          <w:rFonts w:cs="Arial"/>
          <w:sz w:val="18"/>
          <w:szCs w:val="18"/>
          <w:rtl/>
        </w:rPr>
        <w:footnoteReference w:id="2327"/>
      </w:r>
      <w:r w:rsidRPr="00AB0CBA">
        <w:rPr>
          <w:rFonts w:cs="Arial"/>
          <w:sz w:val="18"/>
          <w:szCs w:val="18"/>
          <w:rtl/>
        </w:rPr>
        <w:t xml:space="preserve"> לתת מנכסיו לאחר מותו כך וכך, אף על פי שצוה כך כשהיה בריא, אשה גובאת כתובתה משם</w:t>
      </w:r>
      <w:r>
        <w:rPr>
          <w:rStyle w:val="a7"/>
          <w:rFonts w:cs="Arial"/>
          <w:sz w:val="18"/>
          <w:szCs w:val="18"/>
          <w:rtl/>
        </w:rPr>
        <w:footnoteReference w:id="2328"/>
      </w:r>
      <w:r w:rsidRPr="00AB0CBA">
        <w:rPr>
          <w:rFonts w:cs="Arial"/>
          <w:sz w:val="18"/>
          <w:szCs w:val="18"/>
          <w:rtl/>
        </w:rPr>
        <w:t>, דאינה אלא כמתנת שכיב מרע דגובאת כתובתה משם</w:t>
      </w:r>
      <w:r>
        <w:rPr>
          <w:rFonts w:cs="Arial" w:hint="cs"/>
          <w:sz w:val="18"/>
          <w:szCs w:val="18"/>
          <w:rtl/>
        </w:rPr>
        <w:t xml:space="preserve"> (מרדכי בשם מהר"ם)</w:t>
      </w:r>
      <w:r w:rsidRPr="00AB0CBA">
        <w:rPr>
          <w:rFonts w:cs="Arial"/>
          <w:sz w:val="18"/>
          <w:szCs w:val="18"/>
          <w:rtl/>
        </w:rPr>
        <w:t>. ועיין בח"ה סימן רנ"א ורנ"ב ורנ"ז.</w:t>
      </w:r>
      <w:r>
        <w:rPr>
          <w:rFonts w:cs="Arial"/>
          <w:rtl/>
        </w:rPr>
        <w:t xml:space="preserve"> ואם מכרום יורשים</w:t>
      </w:r>
      <w:r>
        <w:rPr>
          <w:rStyle w:val="a7"/>
          <w:rFonts w:cs="Arial"/>
          <w:rtl/>
        </w:rPr>
        <w:footnoteReference w:id="2329"/>
      </w:r>
      <w:r>
        <w:rPr>
          <w:rFonts w:cs="Arial"/>
          <w:rtl/>
        </w:rPr>
        <w:t xml:space="preserve"> אחר מותו, גובה מהם. ועכשיו נוהגים לכתוב בכל הכתובות ששיעבד לה כל נכסיו מקרקעי ומטלטלי</w:t>
      </w:r>
      <w:r>
        <w:rPr>
          <w:rFonts w:cs="Arial" w:hint="cs"/>
          <w:rtl/>
        </w:rPr>
        <w:t>,</w:t>
      </w:r>
      <w:r>
        <w:rPr>
          <w:rFonts w:cs="Arial"/>
          <w:rtl/>
        </w:rPr>
        <w:t xml:space="preserve"> מטלטלי אגב מקרקעי</w:t>
      </w:r>
      <w:r>
        <w:rPr>
          <w:rFonts w:cs="Arial" w:hint="cs"/>
          <w:rtl/>
        </w:rPr>
        <w:t>,</w:t>
      </w:r>
      <w:r>
        <w:rPr>
          <w:rFonts w:cs="Arial"/>
          <w:rtl/>
        </w:rPr>
        <w:t xml:space="preserve"> דקנאי ודאקנה. ומכל מקום לא נהגו לגבות ממטלטלין שמכר או נתן במתנת בריא, ולא אפילו ממטלטלין שמכרו היורשים</w:t>
      </w:r>
      <w:r>
        <w:rPr>
          <w:rStyle w:val="a7"/>
          <w:rFonts w:cs="Arial"/>
          <w:rtl/>
        </w:rPr>
        <w:footnoteReference w:id="2330"/>
      </w:r>
      <w:r>
        <w:rPr>
          <w:rFonts w:cs="Arial"/>
          <w:rtl/>
        </w:rPr>
        <w:t>, מפני תקנת השוק</w:t>
      </w:r>
      <w:r>
        <w:rPr>
          <w:rStyle w:val="a7"/>
          <w:rFonts w:cs="Arial"/>
          <w:rtl/>
        </w:rPr>
        <w:footnoteReference w:id="2331"/>
      </w:r>
      <w:r>
        <w:rPr>
          <w:rFonts w:cs="Arial"/>
          <w:rtl/>
        </w:rPr>
        <w:t xml:space="preserve">. </w:t>
      </w:r>
      <w:r w:rsidRPr="00AB0CBA">
        <w:rPr>
          <w:rFonts w:cs="Arial"/>
          <w:sz w:val="18"/>
          <w:szCs w:val="18"/>
          <w:rtl/>
        </w:rPr>
        <w:t>(וע' בח"ה סימן קי"ג. עיין לקמן סימן קי"ח אם אשה חייבת לקבור בעלה קודם שתגבה כתובתה).</w:t>
      </w:r>
    </w:p>
    <w:p w14:paraId="2F3BC4EC" w14:textId="77777777" w:rsidR="002E5BAD" w:rsidRPr="00481723" w:rsidRDefault="002E5BAD" w:rsidP="002E5BAD">
      <w:pPr>
        <w:rPr>
          <w:rtl/>
        </w:rPr>
      </w:pPr>
    </w:p>
    <w:p w14:paraId="22FE57B8" w14:textId="77777777" w:rsidR="002E5BAD" w:rsidRDefault="002E5BAD" w:rsidP="002E5BAD">
      <w:pPr>
        <w:pStyle w:val="2"/>
        <w:rPr>
          <w:rtl/>
        </w:rPr>
      </w:pPr>
      <w:r>
        <w:rPr>
          <w:rtl/>
        </w:rPr>
        <w:t>סעיף ב</w:t>
      </w:r>
      <w:r>
        <w:rPr>
          <w:rFonts w:hint="cs"/>
          <w:rtl/>
        </w:rPr>
        <w:t>: גביית כתובה משבח ומראוי.</w:t>
      </w:r>
    </w:p>
    <w:p w14:paraId="1277FA59" w14:textId="77777777" w:rsidR="002E5BAD" w:rsidRPr="00A33649" w:rsidRDefault="002E5BAD" w:rsidP="002E5BAD">
      <w:pPr>
        <w:rPr>
          <w:rtl/>
        </w:rPr>
      </w:pPr>
      <w:r>
        <w:rPr>
          <w:rFonts w:hint="cs"/>
          <w:rtl/>
        </w:rPr>
        <w:t>עיין במקורות בסעיף א.</w:t>
      </w:r>
    </w:p>
    <w:p w14:paraId="1FCBED45" w14:textId="77777777" w:rsidR="002E5BAD" w:rsidRPr="00A42E68" w:rsidRDefault="002E5BAD" w:rsidP="002E5BAD">
      <w:pPr>
        <w:rPr>
          <w:u w:val="single"/>
        </w:rPr>
      </w:pPr>
      <w:r w:rsidRPr="00A42E68">
        <w:rPr>
          <w:rFonts w:cs="Arial" w:hint="cs"/>
          <w:u w:val="single"/>
          <w:rtl/>
        </w:rPr>
        <w:t>מי ש</w:t>
      </w:r>
      <w:r w:rsidRPr="00A42E68">
        <w:rPr>
          <w:rFonts w:cs="Arial"/>
          <w:u w:val="single"/>
          <w:rtl/>
        </w:rPr>
        <w:t xml:space="preserve">פסק </w:t>
      </w:r>
      <w:r w:rsidRPr="00A42E68">
        <w:rPr>
          <w:rFonts w:cs="Arial" w:hint="cs"/>
          <w:u w:val="single"/>
          <w:rtl/>
        </w:rPr>
        <w:t xml:space="preserve">לפני מותו </w:t>
      </w:r>
      <w:r w:rsidRPr="00A42E68">
        <w:rPr>
          <w:rFonts w:cs="Arial"/>
          <w:u w:val="single"/>
          <w:rtl/>
        </w:rPr>
        <w:t xml:space="preserve">ליתן לבנו מתנה אחר </w:t>
      </w:r>
      <w:r w:rsidRPr="00A42E68">
        <w:rPr>
          <w:rFonts w:cs="Arial" w:hint="cs"/>
          <w:u w:val="single"/>
          <w:rtl/>
        </w:rPr>
        <w:t>כמה שנים, ומת הבן קודם שעבר הזמן:</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6D5A27BC" w14:textId="77777777" w:rsidR="002E5BAD" w:rsidRPr="00AB0CBA" w:rsidRDefault="002E5BAD" w:rsidP="00B75458">
      <w:pPr>
        <w:pStyle w:val="ab"/>
        <w:numPr>
          <w:ilvl w:val="0"/>
          <w:numId w:val="194"/>
        </w:numPr>
        <w:rPr>
          <w:rtl/>
        </w:rPr>
      </w:pPr>
      <w:r w:rsidRPr="006A6FF0">
        <w:rPr>
          <w:rFonts w:cs="Arial"/>
          <w:rtl/>
        </w:rPr>
        <w:t xml:space="preserve">מהרי"ל </w:t>
      </w:r>
      <w:r w:rsidRPr="00141CDB">
        <w:rPr>
          <w:rFonts w:cs="Arial"/>
          <w:sz w:val="16"/>
          <w:szCs w:val="16"/>
          <w:rtl/>
        </w:rPr>
        <w:t>(שו"ת סי' עה)</w:t>
      </w:r>
      <w:r w:rsidRPr="006A6FF0">
        <w:rPr>
          <w:rFonts w:cs="Arial"/>
          <w:rtl/>
        </w:rPr>
        <w:t xml:space="preserve"> </w:t>
      </w:r>
      <w:r>
        <w:rPr>
          <w:rFonts w:cs="Arial" w:hint="cs"/>
          <w:rtl/>
        </w:rPr>
        <w:t>ו</w:t>
      </w:r>
      <w:r w:rsidRPr="006A6FF0">
        <w:rPr>
          <w:rFonts w:cs="Arial"/>
          <w:rtl/>
        </w:rPr>
        <w:t xml:space="preserve">מהרי"ו </w:t>
      </w:r>
      <w:r w:rsidRPr="00141CDB">
        <w:rPr>
          <w:rFonts w:cs="Arial" w:hint="cs"/>
          <w:sz w:val="16"/>
          <w:szCs w:val="16"/>
          <w:rtl/>
        </w:rPr>
        <w:t>(</w:t>
      </w:r>
      <w:r w:rsidRPr="00141CDB">
        <w:rPr>
          <w:rFonts w:cs="Arial"/>
          <w:sz w:val="16"/>
          <w:szCs w:val="16"/>
          <w:rtl/>
        </w:rPr>
        <w:t>בתשובה סי</w:t>
      </w:r>
      <w:r w:rsidRPr="00141CDB">
        <w:rPr>
          <w:rFonts w:cs="Arial" w:hint="cs"/>
          <w:sz w:val="16"/>
          <w:szCs w:val="16"/>
          <w:rtl/>
        </w:rPr>
        <w:t>'</w:t>
      </w:r>
      <w:r w:rsidRPr="00141CDB">
        <w:rPr>
          <w:rFonts w:cs="Arial"/>
          <w:sz w:val="16"/>
          <w:szCs w:val="16"/>
          <w:rtl/>
        </w:rPr>
        <w:t xml:space="preserve"> מ</w:t>
      </w:r>
      <w:r w:rsidRPr="00141CDB">
        <w:rPr>
          <w:rFonts w:cs="Arial" w:hint="cs"/>
          <w:sz w:val="16"/>
          <w:szCs w:val="16"/>
          <w:rtl/>
        </w:rPr>
        <w:t>)</w:t>
      </w:r>
      <w:r>
        <w:rPr>
          <w:rFonts w:cs="Arial" w:hint="cs"/>
          <w:rtl/>
        </w:rPr>
        <w:t xml:space="preserve">- </w:t>
      </w:r>
      <w:r w:rsidRPr="006A6FF0">
        <w:rPr>
          <w:rFonts w:cs="Arial"/>
          <w:rtl/>
        </w:rPr>
        <w:t>אם אחד פסק ליתן לבנו מתנה אחר ב' או ג' שנים</w:t>
      </w:r>
      <w:r>
        <w:rPr>
          <w:rFonts w:cs="Arial" w:hint="cs"/>
          <w:rtl/>
        </w:rPr>
        <w:t>,</w:t>
      </w:r>
      <w:r w:rsidRPr="006A6FF0">
        <w:rPr>
          <w:rFonts w:cs="Arial"/>
          <w:rtl/>
        </w:rPr>
        <w:t xml:space="preserve"> או שצוה בעת מותו שלא לתת לבנו הירושה עד אחר ג' שנים</w:t>
      </w:r>
      <w:r>
        <w:rPr>
          <w:rFonts w:cs="Arial" w:hint="cs"/>
          <w:rtl/>
        </w:rPr>
        <w:t>,</w:t>
      </w:r>
      <w:r w:rsidRPr="006A6FF0">
        <w:rPr>
          <w:rFonts w:cs="Arial"/>
          <w:rtl/>
        </w:rPr>
        <w:t xml:space="preserve"> ומת הבן </w:t>
      </w:r>
      <w:r>
        <w:rPr>
          <w:rFonts w:cs="Arial" w:hint="cs"/>
          <w:rtl/>
        </w:rPr>
        <w:t xml:space="preserve">- </w:t>
      </w:r>
      <w:r w:rsidRPr="006A6FF0">
        <w:rPr>
          <w:rFonts w:cs="Arial"/>
          <w:rtl/>
        </w:rPr>
        <w:t xml:space="preserve">אין אשתו </w:t>
      </w:r>
      <w:r>
        <w:rPr>
          <w:rFonts w:cs="Arial"/>
          <w:rtl/>
        </w:rPr>
        <w:t>גובת</w:t>
      </w:r>
      <w:r w:rsidRPr="006A6FF0">
        <w:rPr>
          <w:rFonts w:cs="Arial"/>
          <w:rtl/>
        </w:rPr>
        <w:t xml:space="preserve"> כתובתה ממנו דהוה ראוי</w:t>
      </w:r>
      <w:r>
        <w:rPr>
          <w:rFonts w:cs="Arial" w:hint="cs"/>
          <w:rtl/>
        </w:rPr>
        <w:t xml:space="preserve">. </w:t>
      </w:r>
      <w:r w:rsidRPr="0020731C">
        <w:rPr>
          <w:rFonts w:hint="cs"/>
          <w:color w:val="00B0F0"/>
          <w:rtl/>
        </w:rPr>
        <w:t>(וכ"פ הרמ"א)</w:t>
      </w:r>
    </w:p>
    <w:p w14:paraId="36B355E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F43E0A" w14:textId="77777777" w:rsidR="002E5BAD" w:rsidRDefault="002E5BAD" w:rsidP="002E5BAD">
      <w:pPr>
        <w:rPr>
          <w:rtl/>
        </w:rPr>
      </w:pPr>
      <w:r>
        <w:rPr>
          <w:rFonts w:cs="Arial"/>
          <w:rtl/>
        </w:rPr>
        <w:lastRenderedPageBreak/>
        <w:t>אין עיקר כתובה ותוספת נגבים אלא מהזיבורית. ואינם נגבים מהשבח שהשביחו הנכסים לאחר מותו</w:t>
      </w:r>
      <w:r>
        <w:rPr>
          <w:rStyle w:val="a7"/>
          <w:rFonts w:cs="Arial"/>
          <w:rtl/>
        </w:rPr>
        <w:footnoteReference w:id="2332"/>
      </w:r>
      <w:r>
        <w:rPr>
          <w:rFonts w:cs="Arial"/>
          <w:rtl/>
        </w:rPr>
        <w:t>, לא שנא השביחו יורשים לא שנא השביחו לקוחות ובאה לטרוף מהם. ואינם נגבים אלא מהמוחזק, אבל לא מהראוי</w:t>
      </w:r>
      <w:r>
        <w:rPr>
          <w:rStyle w:val="a7"/>
          <w:rFonts w:cs="Arial"/>
          <w:rtl/>
        </w:rPr>
        <w:footnoteReference w:id="2333"/>
      </w:r>
      <w:r>
        <w:rPr>
          <w:rFonts w:cs="Arial"/>
          <w:rtl/>
        </w:rPr>
        <w:t xml:space="preserve">. </w:t>
      </w:r>
      <w:r w:rsidRPr="00AB0CBA">
        <w:rPr>
          <w:rFonts w:cs="Arial"/>
          <w:sz w:val="18"/>
          <w:szCs w:val="18"/>
          <w:rtl/>
        </w:rPr>
        <w:t>הגה: האב שצוה לתת מתנה לבנו לאחר ב' או ג' שנים</w:t>
      </w:r>
      <w:r>
        <w:rPr>
          <w:rStyle w:val="a7"/>
          <w:rFonts w:cs="Arial"/>
          <w:sz w:val="18"/>
          <w:szCs w:val="18"/>
          <w:rtl/>
        </w:rPr>
        <w:footnoteReference w:id="2334"/>
      </w:r>
      <w:r w:rsidRPr="00AB0CBA">
        <w:rPr>
          <w:rFonts w:cs="Arial"/>
          <w:sz w:val="18"/>
          <w:szCs w:val="18"/>
          <w:rtl/>
        </w:rPr>
        <w:t>, או שצוה שלא לתת לו חלק ירושתו רק אחר ב' או ג' שנים, מקרי ראוי ואין אשת הבן גובאת כתובתה מזה (מהרי"ו). י"א דאם מת יעקב בחיי ראובן בנו</w:t>
      </w:r>
      <w:r>
        <w:rPr>
          <w:rStyle w:val="a7"/>
          <w:rFonts w:cs="Arial"/>
          <w:sz w:val="18"/>
          <w:szCs w:val="18"/>
          <w:rtl/>
        </w:rPr>
        <w:footnoteReference w:id="2335"/>
      </w:r>
      <w:r w:rsidRPr="00AB0CBA">
        <w:rPr>
          <w:rFonts w:cs="Arial"/>
          <w:sz w:val="18"/>
          <w:szCs w:val="18"/>
          <w:rtl/>
        </w:rPr>
        <w:t>, והניח אלמנה הניזונית מנכסיו, אין אלמנת ראובן גובאת כתובתה מאותן נכסים, הואיל והיו משועבדים לאלמנת אביו כשמת ראובן</w:t>
      </w:r>
      <w:r>
        <w:rPr>
          <w:rStyle w:val="a7"/>
          <w:rFonts w:cs="Arial"/>
          <w:sz w:val="18"/>
          <w:szCs w:val="18"/>
          <w:rtl/>
        </w:rPr>
        <w:footnoteReference w:id="2336"/>
      </w:r>
      <w:r w:rsidRPr="00AB0CBA">
        <w:rPr>
          <w:rFonts w:cs="Arial"/>
          <w:sz w:val="18"/>
          <w:szCs w:val="18"/>
          <w:rtl/>
        </w:rPr>
        <w:t xml:space="preserve"> (מרדכי סוף נערה). ודוקא במקום שאין רשות ליורשיו לסלק האלמנה ממזונותיה, אבל במקום שיכולין לסלק האלמנה, אלמנת ראובן גובאת משם</w:t>
      </w:r>
      <w:r>
        <w:rPr>
          <w:rStyle w:val="a7"/>
          <w:rFonts w:cs="Arial"/>
          <w:sz w:val="18"/>
          <w:szCs w:val="18"/>
          <w:rtl/>
        </w:rPr>
        <w:footnoteReference w:id="2337"/>
      </w:r>
      <w:r w:rsidRPr="00AB0CBA">
        <w:rPr>
          <w:rFonts w:cs="Arial"/>
          <w:sz w:val="18"/>
          <w:szCs w:val="18"/>
          <w:rtl/>
        </w:rPr>
        <w:t xml:space="preserve"> (ג"ז שם). שכר פעולה שלא היתה בידו מעולם, מקרי ראוי (מרדכי יש נוחלין). היתה גניבה שלו ביד הגנב, כשמת, ואחר כך הוחזר הגניבה, מקרי מוחזק</w:t>
      </w:r>
      <w:r>
        <w:rPr>
          <w:rStyle w:val="a7"/>
          <w:rFonts w:cs="Arial"/>
          <w:sz w:val="18"/>
          <w:szCs w:val="18"/>
          <w:rtl/>
        </w:rPr>
        <w:footnoteReference w:id="2338"/>
      </w:r>
      <w:r w:rsidRPr="00AB0CBA">
        <w:rPr>
          <w:rFonts w:cs="Arial"/>
          <w:sz w:val="18"/>
          <w:szCs w:val="18"/>
          <w:rtl/>
        </w:rPr>
        <w:t xml:space="preserve"> (כך השיב מוהר"ם).</w:t>
      </w:r>
      <w:r>
        <w:rPr>
          <w:rFonts w:cs="Arial"/>
          <w:rtl/>
        </w:rPr>
        <w:t xml:space="preserve"> ומלוה שחייבים לבעל, הוי מוחזק</w:t>
      </w:r>
      <w:r>
        <w:rPr>
          <w:rStyle w:val="a7"/>
          <w:rFonts w:cs="Arial"/>
          <w:rtl/>
        </w:rPr>
        <w:footnoteReference w:id="2339"/>
      </w:r>
      <w:r>
        <w:rPr>
          <w:rFonts w:cs="Arial"/>
          <w:rtl/>
        </w:rPr>
        <w:t xml:space="preserve"> וגובה ממנה, אפי</w:t>
      </w:r>
      <w:r>
        <w:rPr>
          <w:rFonts w:cs="Arial" w:hint="cs"/>
          <w:rtl/>
        </w:rPr>
        <w:t>לו</w:t>
      </w:r>
      <w:r>
        <w:rPr>
          <w:rFonts w:cs="Arial"/>
          <w:rtl/>
        </w:rPr>
        <w:t xml:space="preserve"> היא על </w:t>
      </w:r>
      <w:r>
        <w:rPr>
          <w:rFonts w:cs="Arial" w:hint="cs"/>
          <w:rtl/>
        </w:rPr>
        <w:t>הגוי</w:t>
      </w:r>
      <w:r w:rsidRPr="00AB0CBA">
        <w:rPr>
          <w:rFonts w:cs="Arial"/>
          <w:sz w:val="18"/>
          <w:szCs w:val="18"/>
          <w:rtl/>
        </w:rPr>
        <w:t xml:space="preserve">. </w:t>
      </w:r>
      <w:r>
        <w:rPr>
          <w:rFonts w:cs="Arial" w:hint="cs"/>
          <w:sz w:val="18"/>
          <w:szCs w:val="18"/>
          <w:rtl/>
        </w:rPr>
        <w:t xml:space="preserve">[הגה] </w:t>
      </w:r>
      <w:r w:rsidRPr="00AB0CBA">
        <w:rPr>
          <w:rFonts w:cs="Arial"/>
          <w:sz w:val="18"/>
          <w:szCs w:val="18"/>
          <w:rtl/>
        </w:rPr>
        <w:t>וכל זה לא מיירי אלא בעיקר כתובה ותוספת, אבל נדוניא ושאר צאן ברזל דינן כשאר חוב</w:t>
      </w:r>
      <w:r>
        <w:rPr>
          <w:rStyle w:val="a7"/>
          <w:rFonts w:cs="Arial"/>
          <w:sz w:val="18"/>
          <w:szCs w:val="18"/>
          <w:rtl/>
        </w:rPr>
        <w:footnoteReference w:id="2340"/>
      </w:r>
      <w:r w:rsidRPr="00AB0CBA">
        <w:rPr>
          <w:rFonts w:cs="Arial"/>
          <w:sz w:val="18"/>
          <w:szCs w:val="18"/>
          <w:rtl/>
        </w:rPr>
        <w:t xml:space="preserve"> (כ"כ המ"מ פ"ז וב</w:t>
      </w:r>
      <w:r>
        <w:rPr>
          <w:rFonts w:cs="Arial" w:hint="cs"/>
          <w:sz w:val="18"/>
          <w:szCs w:val="18"/>
          <w:rtl/>
        </w:rPr>
        <w:t>"</w:t>
      </w:r>
      <w:r w:rsidRPr="00AB0CBA">
        <w:rPr>
          <w:rFonts w:cs="Arial"/>
          <w:sz w:val="18"/>
          <w:szCs w:val="18"/>
          <w:rtl/>
        </w:rPr>
        <w:t>י בשם נ"י והר"ן ור</w:t>
      </w:r>
      <w:r>
        <w:rPr>
          <w:rFonts w:cs="Arial" w:hint="cs"/>
          <w:sz w:val="18"/>
          <w:szCs w:val="18"/>
          <w:rtl/>
        </w:rPr>
        <w:t>י"ו</w:t>
      </w:r>
      <w:r w:rsidRPr="00AB0CBA">
        <w:rPr>
          <w:rFonts w:cs="Arial"/>
          <w:sz w:val="18"/>
          <w:szCs w:val="18"/>
          <w:rtl/>
        </w:rPr>
        <w:t>). ויש אומרים דאפילו הכי אינם נגבים רק מן הזיבורית</w:t>
      </w:r>
      <w:r>
        <w:rPr>
          <w:rStyle w:val="a7"/>
          <w:rFonts w:cs="Arial"/>
          <w:sz w:val="18"/>
          <w:szCs w:val="18"/>
          <w:rtl/>
        </w:rPr>
        <w:footnoteReference w:id="2341"/>
      </w:r>
      <w:r w:rsidRPr="00AB0CBA">
        <w:rPr>
          <w:rFonts w:cs="Arial"/>
          <w:sz w:val="18"/>
          <w:szCs w:val="18"/>
          <w:rtl/>
        </w:rPr>
        <w:t xml:space="preserve"> (הר"ן ריש הנזקין).</w:t>
      </w:r>
      <w:r>
        <w:rPr>
          <w:rFonts w:cs="Arial"/>
          <w:rtl/>
        </w:rPr>
        <w:t xml:space="preserve"> </w:t>
      </w:r>
    </w:p>
    <w:p w14:paraId="6CFCD069" w14:textId="77777777" w:rsidR="002E5BAD" w:rsidRPr="00481723" w:rsidRDefault="002E5BAD" w:rsidP="002E5BAD">
      <w:pPr>
        <w:rPr>
          <w:sz w:val="16"/>
          <w:szCs w:val="16"/>
          <w:rtl/>
        </w:rPr>
      </w:pPr>
      <w:r w:rsidRPr="00481723">
        <w:rPr>
          <w:rFonts w:hint="cs"/>
          <w:u w:val="single"/>
          <w:rtl/>
        </w:rPr>
        <w:t>האם אשה גובה כתובתה מדאקנה</w:t>
      </w:r>
      <w:r>
        <w:rPr>
          <w:rFonts w:hint="cs"/>
          <w:sz w:val="16"/>
          <w:szCs w:val="16"/>
          <w:u w:val="single"/>
          <w:rtl/>
        </w:rPr>
        <w:t xml:space="preserve"> (כשלא כתב כן בפירוש בכתובה)</w:t>
      </w:r>
      <w:r>
        <w:rPr>
          <w:rFonts w:hint="cs"/>
          <w:u w:val="single"/>
          <w:rtl/>
        </w:rPr>
        <w:t>:</w:t>
      </w:r>
      <w:r>
        <w:rPr>
          <w:rFonts w:hint="cs"/>
          <w:rtl/>
        </w:rPr>
        <w:t xml:space="preserve">  </w:t>
      </w:r>
      <w:r>
        <w:rPr>
          <w:rFonts w:hint="cs"/>
          <w:sz w:val="16"/>
          <w:szCs w:val="16"/>
          <w:rtl/>
        </w:rPr>
        <w:t>(פת"ש סק"ד)</w:t>
      </w:r>
    </w:p>
    <w:p w14:paraId="39D430A0" w14:textId="77777777" w:rsidR="002E5BAD" w:rsidRDefault="002E5BAD" w:rsidP="00B75458">
      <w:pPr>
        <w:pStyle w:val="ab"/>
        <w:numPr>
          <w:ilvl w:val="0"/>
          <w:numId w:val="194"/>
        </w:numPr>
      </w:pPr>
      <w:r w:rsidRPr="00481723">
        <w:rPr>
          <w:rFonts w:cs="Arial"/>
          <w:rtl/>
        </w:rPr>
        <w:t xml:space="preserve">ברית אברהם </w:t>
      </w:r>
      <w:r w:rsidRPr="00481723">
        <w:rPr>
          <w:rFonts w:cs="Arial" w:hint="cs"/>
          <w:sz w:val="16"/>
          <w:szCs w:val="16"/>
          <w:rtl/>
        </w:rPr>
        <w:t xml:space="preserve">(שו"ת חלק </w:t>
      </w:r>
      <w:r w:rsidRPr="00481723">
        <w:rPr>
          <w:rFonts w:cs="Arial"/>
          <w:sz w:val="16"/>
          <w:szCs w:val="16"/>
          <w:rtl/>
        </w:rPr>
        <w:t>ח</w:t>
      </w:r>
      <w:r w:rsidRPr="00481723">
        <w:rPr>
          <w:rFonts w:cs="Arial" w:hint="cs"/>
          <w:sz w:val="16"/>
          <w:szCs w:val="16"/>
          <w:rtl/>
        </w:rPr>
        <w:t>ו</w:t>
      </w:r>
      <w:r w:rsidRPr="00481723">
        <w:rPr>
          <w:rFonts w:cs="Arial"/>
          <w:sz w:val="16"/>
          <w:szCs w:val="16"/>
          <w:rtl/>
        </w:rPr>
        <w:t>"מ סי</w:t>
      </w:r>
      <w:r w:rsidRPr="00481723">
        <w:rPr>
          <w:rFonts w:cs="Arial" w:hint="cs"/>
          <w:sz w:val="16"/>
          <w:szCs w:val="16"/>
          <w:rtl/>
        </w:rPr>
        <w:t>'</w:t>
      </w:r>
      <w:r w:rsidRPr="00481723">
        <w:rPr>
          <w:rFonts w:cs="Arial"/>
          <w:sz w:val="16"/>
          <w:szCs w:val="16"/>
          <w:rtl/>
        </w:rPr>
        <w:t xml:space="preserve"> ל</w:t>
      </w:r>
      <w:r w:rsidRPr="00481723">
        <w:rPr>
          <w:rFonts w:cs="Arial" w:hint="cs"/>
          <w:sz w:val="16"/>
          <w:szCs w:val="16"/>
          <w:rtl/>
        </w:rPr>
        <w:t>)</w:t>
      </w:r>
      <w:r w:rsidRPr="00481723">
        <w:rPr>
          <w:rFonts w:cs="Arial" w:hint="cs"/>
          <w:rtl/>
        </w:rPr>
        <w:t>-</w:t>
      </w:r>
      <w:r w:rsidRPr="00481723">
        <w:rPr>
          <w:rFonts w:cs="Arial"/>
          <w:rtl/>
        </w:rPr>
        <w:t xml:space="preserve"> ש</w:t>
      </w:r>
      <w:r w:rsidRPr="00481723">
        <w:rPr>
          <w:rFonts w:cs="Arial" w:hint="cs"/>
          <w:rtl/>
        </w:rPr>
        <w:t>אלת</w:t>
      </w:r>
      <w:r w:rsidRPr="00481723">
        <w:rPr>
          <w:rFonts w:cs="Arial"/>
          <w:rtl/>
        </w:rPr>
        <w:t xml:space="preserve"> אם האשה גובה כתובתה מדאקני או כדעת הש"ך </w:t>
      </w:r>
      <w:r w:rsidRPr="00481723">
        <w:rPr>
          <w:rFonts w:cs="Arial" w:hint="cs"/>
          <w:rtl/>
        </w:rPr>
        <w:t>(</w:t>
      </w:r>
      <w:r w:rsidRPr="00481723">
        <w:rPr>
          <w:rFonts w:cs="Arial"/>
          <w:rtl/>
        </w:rPr>
        <w:t>סימן קטו סקל"ב</w:t>
      </w:r>
      <w:r w:rsidRPr="00481723">
        <w:rPr>
          <w:rFonts w:cs="Arial" w:hint="cs"/>
          <w:rtl/>
        </w:rPr>
        <w:t>)</w:t>
      </w:r>
      <w:r w:rsidRPr="00481723">
        <w:rPr>
          <w:rFonts w:cs="Arial"/>
          <w:rtl/>
        </w:rPr>
        <w:t xml:space="preserve"> דהוא ג"כ בכלל מקולי כתובה כמו דאינה גובה משבח כו'</w:t>
      </w:r>
      <w:r w:rsidRPr="00481723">
        <w:rPr>
          <w:rFonts w:cs="Arial" w:hint="cs"/>
          <w:rtl/>
        </w:rPr>
        <w:t>.</w:t>
      </w:r>
      <w:r w:rsidRPr="00481723">
        <w:rPr>
          <w:rFonts w:cs="Arial"/>
          <w:rtl/>
        </w:rPr>
        <w:t xml:space="preserve"> </w:t>
      </w:r>
      <w:r w:rsidRPr="00481723">
        <w:rPr>
          <w:rFonts w:cs="Arial" w:hint="cs"/>
          <w:rtl/>
        </w:rPr>
        <w:t xml:space="preserve">   תשובה- </w:t>
      </w:r>
      <w:r w:rsidRPr="00481723">
        <w:rPr>
          <w:rFonts w:cs="Arial"/>
          <w:rtl/>
        </w:rPr>
        <w:t>כבר בא לידינו כמה פעמים עובדא דא והעלינו כמה ראיות מספיקות דלא כהש"ך</w:t>
      </w:r>
      <w:r w:rsidRPr="00481723">
        <w:rPr>
          <w:rFonts w:cs="Arial" w:hint="cs"/>
          <w:rtl/>
        </w:rPr>
        <w:t>,</w:t>
      </w:r>
      <w:r w:rsidRPr="00481723">
        <w:rPr>
          <w:rFonts w:cs="Arial"/>
          <w:rtl/>
        </w:rPr>
        <w:t xml:space="preserve"> וראיתי שחלקו עליו הבאים אחריו (בתומים ובנה"מ שם ובס' ב"מ כאן ובס' ישועות יעקב בסי' זה סק"ג ע"ש)</w:t>
      </w:r>
      <w:r w:rsidRPr="00481723">
        <w:rPr>
          <w:rFonts w:cs="Arial" w:hint="cs"/>
          <w:rtl/>
        </w:rPr>
        <w:t xml:space="preserve">, </w:t>
      </w:r>
      <w:r w:rsidRPr="00481723">
        <w:rPr>
          <w:rFonts w:cs="Arial"/>
          <w:rtl/>
        </w:rPr>
        <w:t>וכן עיקר לדינא הלכה למעשה להגבות מדאקני</w:t>
      </w:r>
      <w:r w:rsidRPr="00481723">
        <w:rPr>
          <w:rFonts w:cs="Arial" w:hint="cs"/>
          <w:rtl/>
        </w:rPr>
        <w:t>.</w:t>
      </w:r>
    </w:p>
    <w:p w14:paraId="1C5A33EF" w14:textId="77777777" w:rsidR="002E5BAD" w:rsidRDefault="002E5BAD" w:rsidP="002E5BAD">
      <w:pPr>
        <w:rPr>
          <w:rtl/>
        </w:rPr>
      </w:pPr>
    </w:p>
    <w:p w14:paraId="4B870814" w14:textId="77777777" w:rsidR="002E5BAD" w:rsidRDefault="002E5BAD" w:rsidP="002E5BAD">
      <w:pPr>
        <w:pStyle w:val="2"/>
        <w:rPr>
          <w:rtl/>
        </w:rPr>
      </w:pPr>
      <w:r>
        <w:rPr>
          <w:rtl/>
        </w:rPr>
        <w:t>סעיף ג</w:t>
      </w:r>
      <w:r>
        <w:rPr>
          <w:rFonts w:hint="cs"/>
          <w:rtl/>
        </w:rPr>
        <w:t>: מאיזו קרקע נגבית הכתובה קודם.</w:t>
      </w:r>
    </w:p>
    <w:p w14:paraId="164DC035" w14:textId="77777777" w:rsidR="002E5BAD" w:rsidRDefault="002E5BAD" w:rsidP="002E5BAD">
      <w:pPr>
        <w:rPr>
          <w:rtl/>
        </w:rPr>
      </w:pPr>
      <w:r w:rsidRPr="00734956">
        <w:rPr>
          <w:rFonts w:cs="Arial" w:hint="cs"/>
          <w:b/>
          <w:bCs/>
          <w:rtl/>
        </w:rPr>
        <w:t>גיטין</w:t>
      </w:r>
      <w:r>
        <w:rPr>
          <w:rFonts w:cs="Arial" w:hint="cs"/>
          <w:b/>
          <w:bCs/>
          <w:sz w:val="16"/>
          <w:szCs w:val="16"/>
          <w:rtl/>
        </w:rPr>
        <w:t xml:space="preserve"> (פ' הניזקין)</w:t>
      </w:r>
      <w:r w:rsidRPr="00734956">
        <w:rPr>
          <w:rFonts w:cs="Arial" w:hint="cs"/>
          <w:b/>
          <w:bCs/>
          <w:rtl/>
        </w:rPr>
        <w:t xml:space="preserve"> מח ע"ב: </w:t>
      </w:r>
      <w:r w:rsidRPr="00734956">
        <w:rPr>
          <w:rFonts w:cs="Arial"/>
          <w:u w:val="double"/>
          <w:rtl/>
        </w:rPr>
        <w:t>מתני'</w:t>
      </w:r>
      <w:r>
        <w:rPr>
          <w:rFonts w:cs="Arial" w:hint="cs"/>
          <w:rtl/>
        </w:rPr>
        <w:t>:</w:t>
      </w:r>
      <w:r w:rsidRPr="00734956">
        <w:rPr>
          <w:rFonts w:cs="Arial"/>
          <w:rtl/>
        </w:rPr>
        <w:t xml:space="preserve"> הניזקין שמין להן בעידית, ובעל חוב - בבינונית, וכתובת אשה </w:t>
      </w:r>
      <w:r>
        <w:rPr>
          <w:rFonts w:cs="Arial" w:hint="cs"/>
          <w:rtl/>
        </w:rPr>
        <w:t>-</w:t>
      </w:r>
      <w:r w:rsidRPr="00734956">
        <w:rPr>
          <w:rFonts w:cs="Arial"/>
          <w:rtl/>
        </w:rPr>
        <w:t xml:space="preserve"> בזיבורית</w:t>
      </w:r>
      <w:r>
        <w:rPr>
          <w:rFonts w:cs="Arial" w:hint="cs"/>
          <w:rtl/>
        </w:rPr>
        <w:t>..</w:t>
      </w:r>
      <w:r w:rsidRPr="00734956">
        <w:rPr>
          <w:rFonts w:cs="Arial"/>
          <w:rtl/>
        </w:rPr>
        <w:t>.</w:t>
      </w:r>
    </w:p>
    <w:p w14:paraId="3FD37C08" w14:textId="77777777" w:rsidR="002E5BAD" w:rsidRDefault="002E5BAD" w:rsidP="002E5BAD">
      <w:pPr>
        <w:rPr>
          <w:rtl/>
        </w:rPr>
      </w:pPr>
      <w:r>
        <w:rPr>
          <w:rFonts w:cs="Arial" w:hint="cs"/>
          <w:b/>
          <w:bCs/>
          <w:rtl/>
        </w:rPr>
        <w:t>כתובות</w:t>
      </w:r>
      <w:r>
        <w:rPr>
          <w:rFonts w:cs="Arial" w:hint="cs"/>
          <w:b/>
          <w:bCs/>
          <w:sz w:val="16"/>
          <w:szCs w:val="16"/>
          <w:rtl/>
        </w:rPr>
        <w:t xml:space="preserve"> (ר"פ האשה שנפלו)</w:t>
      </w:r>
      <w:r w:rsidRPr="00734956">
        <w:rPr>
          <w:rFonts w:cs="Arial" w:hint="cs"/>
          <w:b/>
          <w:bCs/>
          <w:rtl/>
        </w:rPr>
        <w:t xml:space="preserve"> </w:t>
      </w:r>
      <w:r>
        <w:rPr>
          <w:rFonts w:cs="Arial" w:hint="cs"/>
          <w:b/>
          <w:bCs/>
          <w:rtl/>
        </w:rPr>
        <w:t>פ</w:t>
      </w:r>
      <w:r w:rsidRPr="00734956">
        <w:rPr>
          <w:rFonts w:cs="Arial" w:hint="cs"/>
          <w:b/>
          <w:bCs/>
          <w:rtl/>
        </w:rPr>
        <w:t xml:space="preserve"> ע"ב: </w:t>
      </w:r>
      <w:r w:rsidRPr="00734956">
        <w:rPr>
          <w:rFonts w:cs="Arial"/>
          <w:u w:val="double"/>
          <w:rtl/>
        </w:rPr>
        <w:t>מתני'</w:t>
      </w:r>
      <w:r>
        <w:rPr>
          <w:rFonts w:cs="Arial" w:hint="cs"/>
          <w:rtl/>
        </w:rPr>
        <w:t xml:space="preserve">:... </w:t>
      </w:r>
      <w:r w:rsidRPr="00CF639F">
        <w:rPr>
          <w:rFonts w:cs="Arial"/>
          <w:rtl/>
        </w:rPr>
        <w:t>וכן לא יאמר אדם לאשתו הרי כתובתיך מונחת על השלחן, אלא כל נכסיו אחראין לכתובתה.</w:t>
      </w:r>
      <w:r>
        <w:rPr>
          <w:rFonts w:cs="Arial" w:hint="cs"/>
          <w:rtl/>
        </w:rPr>
        <w:t>..</w:t>
      </w:r>
      <w:r w:rsidRPr="00F8036E">
        <w:rPr>
          <w:rFonts w:cs="Arial"/>
          <w:rtl/>
        </w:rPr>
        <w:t xml:space="preserve"> </w:t>
      </w:r>
      <w:r w:rsidRPr="00F8036E">
        <w:rPr>
          <w:rFonts w:cs="Arial" w:hint="cs"/>
          <w:sz w:val="16"/>
          <w:szCs w:val="16"/>
          <w:rtl/>
        </w:rPr>
        <w:t>(</w:t>
      </w:r>
      <w:r w:rsidRPr="00F8036E">
        <w:rPr>
          <w:rFonts w:cs="Arial"/>
          <w:sz w:val="16"/>
          <w:szCs w:val="16"/>
          <w:rtl/>
        </w:rPr>
        <w:t>זה פשוט בכמה דוכתי שהאשה טורפת לכתובתה ממקרקעי שמכר או נתן הבעל</w:t>
      </w:r>
      <w:r>
        <w:rPr>
          <w:rFonts w:cs="Arial" w:hint="cs"/>
          <w:sz w:val="16"/>
          <w:szCs w:val="16"/>
          <w:rtl/>
        </w:rPr>
        <w:t>, ב"י)</w:t>
      </w:r>
    </w:p>
    <w:p w14:paraId="2F4A2363" w14:textId="77777777" w:rsidR="002E5BAD" w:rsidRDefault="002E5BAD" w:rsidP="002E5BAD">
      <w:pPr>
        <w:rPr>
          <w:rFonts w:cs="Arial"/>
          <w:b/>
          <w:bCs/>
          <w:rtl/>
        </w:rPr>
      </w:pPr>
      <w:r w:rsidRPr="004E4DB8">
        <w:rPr>
          <w:rFonts w:cs="Arial" w:hint="cs"/>
          <w:b/>
          <w:bCs/>
          <w:rtl/>
        </w:rPr>
        <w:lastRenderedPageBreak/>
        <w:t xml:space="preserve">בבא בתרא </w:t>
      </w:r>
      <w:r>
        <w:rPr>
          <w:rFonts w:cs="Arial" w:hint="cs"/>
          <w:b/>
          <w:bCs/>
          <w:sz w:val="16"/>
          <w:szCs w:val="16"/>
          <w:rtl/>
        </w:rPr>
        <w:t>(פ' חזקת)</w:t>
      </w:r>
      <w:r>
        <w:rPr>
          <w:rFonts w:cs="Arial" w:hint="cs"/>
          <w:b/>
          <w:bCs/>
          <w:rtl/>
        </w:rPr>
        <w:t xml:space="preserve"> </w:t>
      </w:r>
      <w:r w:rsidRPr="004E4DB8">
        <w:rPr>
          <w:rFonts w:cs="Arial" w:hint="cs"/>
          <w:b/>
          <w:bCs/>
          <w:rtl/>
        </w:rPr>
        <w:t>מב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4E4DB8">
        <w:rPr>
          <w:rFonts w:cs="Arial"/>
          <w:rtl/>
        </w:rPr>
        <w:t>.</w:t>
      </w:r>
      <w:r>
        <w:rPr>
          <w:rFonts w:cs="Arial" w:hint="cs"/>
          <w:rtl/>
        </w:rPr>
        <w:t>..</w:t>
      </w:r>
      <w:r w:rsidRPr="004E4DB8">
        <w:rPr>
          <w:rFonts w:cs="Arial"/>
          <w:rtl/>
        </w:rPr>
        <w:t xml:space="preserve"> לא לאיש חזקה בנכסי אשתו, ולא לאשה חזקה בנכסי בעלה</w:t>
      </w:r>
      <w:r>
        <w:rPr>
          <w:rFonts w:cs="Arial" w:hint="cs"/>
          <w:rtl/>
        </w:rPr>
        <w:t xml:space="preserve">... </w:t>
      </w:r>
      <w:r w:rsidRPr="004E4DB8">
        <w:rPr>
          <w:rFonts w:cs="Arial"/>
          <w:rtl/>
        </w:rPr>
        <w:t xml:space="preserve"> </w:t>
      </w:r>
      <w:r>
        <w:rPr>
          <w:rFonts w:cs="Arial" w:hint="cs"/>
          <w:rtl/>
        </w:rPr>
        <w:t xml:space="preserve">  </w:t>
      </w:r>
      <w:r w:rsidRPr="004E4DB8">
        <w:rPr>
          <w:rFonts w:cs="Arial" w:hint="cs"/>
          <w:u w:val="double"/>
          <w:rtl/>
        </w:rPr>
        <w:t>גמ'</w:t>
      </w:r>
      <w:r>
        <w:rPr>
          <w:rFonts w:cs="Arial" w:hint="cs"/>
          <w:sz w:val="14"/>
          <w:szCs w:val="14"/>
          <w:u w:val="double"/>
          <w:rtl/>
        </w:rPr>
        <w:t>(מט:)</w:t>
      </w:r>
      <w:r w:rsidRPr="004E4DB8">
        <w:rPr>
          <w:rFonts w:cs="Arial" w:hint="cs"/>
          <w:u w:val="double"/>
          <w:rtl/>
        </w:rPr>
        <w:t>:</w:t>
      </w:r>
      <w:r w:rsidRPr="004E4DB8">
        <w:rPr>
          <w:rtl/>
        </w:rPr>
        <w:t xml:space="preserve"> </w:t>
      </w:r>
      <w:r w:rsidRPr="004E4DB8">
        <w:rPr>
          <w:rFonts w:cs="Arial"/>
          <w:rtl/>
        </w:rPr>
        <w:t>הא ראיה יש</w:t>
      </w:r>
      <w:r>
        <w:rPr>
          <w:rStyle w:val="a7"/>
          <w:rFonts w:cs="Arial"/>
          <w:rtl/>
        </w:rPr>
        <w:footnoteReference w:id="2342"/>
      </w:r>
      <w:r>
        <w:rPr>
          <w:rFonts w:cs="Arial" w:hint="cs"/>
          <w:rtl/>
        </w:rPr>
        <w:t>!</w:t>
      </w:r>
      <w:r w:rsidRPr="004E4DB8">
        <w:rPr>
          <w:rFonts w:cs="Arial"/>
          <w:rtl/>
        </w:rPr>
        <w:t xml:space="preserve"> תימא: נחת רוח עשיתי לבעלי</w:t>
      </w:r>
      <w:r>
        <w:rPr>
          <w:rStyle w:val="a7"/>
          <w:rFonts w:cs="Arial"/>
          <w:rtl/>
        </w:rPr>
        <w:footnoteReference w:id="2343"/>
      </w:r>
      <w:r>
        <w:rPr>
          <w:rFonts w:cs="Arial" w:hint="cs"/>
          <w:rtl/>
        </w:rPr>
        <w:t>,</w:t>
      </w:r>
      <w:r w:rsidRPr="004E4DB8">
        <w:rPr>
          <w:rFonts w:cs="Arial"/>
          <w:rtl/>
        </w:rPr>
        <w:t xml:space="preserve"> מי לא תנן</w:t>
      </w:r>
      <w:r>
        <w:rPr>
          <w:rStyle w:val="a7"/>
          <w:rFonts w:cs="Arial"/>
          <w:rtl/>
        </w:rPr>
        <w:footnoteReference w:id="2344"/>
      </w:r>
      <w:r w:rsidRPr="004E4DB8">
        <w:rPr>
          <w:rFonts w:cs="Arial"/>
          <w:rtl/>
        </w:rPr>
        <w:t>: לקח מן האיש</w:t>
      </w:r>
      <w:r>
        <w:rPr>
          <w:rStyle w:val="a7"/>
          <w:rFonts w:cs="Arial"/>
          <w:rtl/>
        </w:rPr>
        <w:footnoteReference w:id="2345"/>
      </w:r>
      <w:r w:rsidRPr="004E4DB8">
        <w:rPr>
          <w:rFonts w:cs="Arial"/>
          <w:rtl/>
        </w:rPr>
        <w:t xml:space="preserve"> וחזר</w:t>
      </w:r>
      <w:r>
        <w:rPr>
          <w:rStyle w:val="a7"/>
          <w:rFonts w:cs="Arial"/>
          <w:rtl/>
        </w:rPr>
        <w:footnoteReference w:id="2346"/>
      </w:r>
      <w:r w:rsidRPr="004E4DB8">
        <w:rPr>
          <w:rFonts w:cs="Arial"/>
          <w:rtl/>
        </w:rPr>
        <w:t xml:space="preserve"> ולקח מן האשה</w:t>
      </w:r>
      <w:r>
        <w:rPr>
          <w:rStyle w:val="a7"/>
          <w:rFonts w:cs="Arial"/>
          <w:rtl/>
        </w:rPr>
        <w:footnoteReference w:id="2347"/>
      </w:r>
      <w:r w:rsidRPr="004E4DB8">
        <w:rPr>
          <w:rFonts w:cs="Arial"/>
          <w:rtl/>
        </w:rPr>
        <w:t xml:space="preserve"> - מקחו בטל</w:t>
      </w:r>
      <w:r>
        <w:rPr>
          <w:rStyle w:val="a7"/>
          <w:rFonts w:cs="Arial"/>
          <w:rtl/>
        </w:rPr>
        <w:footnoteReference w:id="2348"/>
      </w:r>
      <w:r w:rsidRPr="004E4DB8">
        <w:rPr>
          <w:rFonts w:cs="Arial"/>
          <w:rtl/>
        </w:rPr>
        <w:t>, אלמא אמרה: נחת רוח עשיתי לבעלי, הכא נמי תימא: נחת רוח עשיתי לבעלי! הא איתמר עלה, אמר רבה בר רב הונא: לא נצרכה</w:t>
      </w:r>
      <w:r>
        <w:rPr>
          <w:rStyle w:val="a7"/>
          <w:rFonts w:cs="Arial"/>
          <w:rtl/>
        </w:rPr>
        <w:footnoteReference w:id="2349"/>
      </w:r>
      <w:r w:rsidRPr="004E4DB8">
        <w:rPr>
          <w:rFonts w:cs="Arial"/>
          <w:rtl/>
        </w:rPr>
        <w:t xml:space="preserve"> אלא באותן ג' שדות, אחת שכתב לה בכתובתה</w:t>
      </w:r>
      <w:r>
        <w:rPr>
          <w:rStyle w:val="a7"/>
          <w:rFonts w:cs="Arial"/>
          <w:rtl/>
        </w:rPr>
        <w:footnoteReference w:id="2350"/>
      </w:r>
      <w:r w:rsidRPr="004E4DB8">
        <w:rPr>
          <w:rFonts w:cs="Arial"/>
          <w:rtl/>
        </w:rPr>
        <w:t>,</w:t>
      </w:r>
      <w:r>
        <w:rPr>
          <w:rFonts w:cs="Arial" w:hint="cs"/>
          <w:rtl/>
        </w:rPr>
        <w:t xml:space="preserve"> </w:t>
      </w:r>
      <w:r>
        <w:rPr>
          <w:rFonts w:cs="Arial" w:hint="cs"/>
          <w:sz w:val="14"/>
          <w:szCs w:val="14"/>
          <w:rtl/>
        </w:rPr>
        <w:t xml:space="preserve">(נ.) </w:t>
      </w:r>
      <w:r w:rsidRPr="004E4DB8">
        <w:rPr>
          <w:rFonts w:cs="Arial"/>
          <w:rtl/>
        </w:rPr>
        <w:t>ואחת שיחד לה בכתובתה</w:t>
      </w:r>
      <w:r>
        <w:rPr>
          <w:rStyle w:val="a7"/>
          <w:rFonts w:cs="Arial"/>
          <w:rtl/>
        </w:rPr>
        <w:footnoteReference w:id="2351"/>
      </w:r>
      <w:r w:rsidRPr="004E4DB8">
        <w:rPr>
          <w:rFonts w:cs="Arial"/>
          <w:rtl/>
        </w:rPr>
        <w:t>, ואחת שהכניסה לו שום משלה</w:t>
      </w:r>
      <w:r>
        <w:rPr>
          <w:rStyle w:val="a7"/>
          <w:rFonts w:cs="Arial"/>
          <w:rtl/>
        </w:rPr>
        <w:footnoteReference w:id="2352"/>
      </w:r>
      <w:r w:rsidRPr="004E4DB8">
        <w:rPr>
          <w:rFonts w:cs="Arial"/>
          <w:rtl/>
        </w:rPr>
        <w:t>. למעוטי מאי</w:t>
      </w:r>
      <w:r>
        <w:rPr>
          <w:rStyle w:val="a7"/>
          <w:rFonts w:cs="Arial"/>
          <w:rtl/>
        </w:rPr>
        <w:footnoteReference w:id="2353"/>
      </w:r>
      <w:r w:rsidRPr="004E4DB8">
        <w:rPr>
          <w:rFonts w:cs="Arial"/>
          <w:rtl/>
        </w:rPr>
        <w:t>? אילימא למעוטי שאר נכסים</w:t>
      </w:r>
      <w:r>
        <w:rPr>
          <w:rStyle w:val="a7"/>
          <w:rFonts w:cs="Arial"/>
          <w:rtl/>
        </w:rPr>
        <w:footnoteReference w:id="2354"/>
      </w:r>
      <w:r w:rsidRPr="004E4DB8">
        <w:rPr>
          <w:rFonts w:cs="Arial"/>
          <w:rtl/>
        </w:rPr>
        <w:t>, כל שכן</w:t>
      </w:r>
      <w:r>
        <w:rPr>
          <w:rStyle w:val="a7"/>
          <w:rFonts w:cs="Arial"/>
          <w:rtl/>
        </w:rPr>
        <w:footnoteReference w:id="2355"/>
      </w:r>
      <w:r w:rsidRPr="004E4DB8">
        <w:rPr>
          <w:rFonts w:cs="Arial"/>
          <w:rtl/>
        </w:rPr>
        <w:t xml:space="preserve"> דהויא ליה איבה, דאמר לה: עיניך נתת בגירושין ובמיתה! אלא למעוטי נכסי מלוג</w:t>
      </w:r>
      <w:r>
        <w:rPr>
          <w:rStyle w:val="a7"/>
          <w:rFonts w:cs="Arial"/>
          <w:rtl/>
        </w:rPr>
        <w:footnoteReference w:id="2356"/>
      </w:r>
      <w:r>
        <w:rPr>
          <w:rFonts w:cs="Arial" w:hint="cs"/>
          <w:rtl/>
        </w:rPr>
        <w:t>.</w:t>
      </w:r>
      <w:r w:rsidRPr="004E4DB8">
        <w:rPr>
          <w:rFonts w:cs="Arial"/>
          <w:rtl/>
        </w:rPr>
        <w:t xml:space="preserve"> </w:t>
      </w:r>
    </w:p>
    <w:p w14:paraId="4A3C56B2" w14:textId="77777777" w:rsidR="002E5BAD" w:rsidRDefault="002E5BAD" w:rsidP="002E5BAD">
      <w:pPr>
        <w:rPr>
          <w:rFonts w:cs="Arial"/>
          <w:rtl/>
        </w:rPr>
      </w:pPr>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2357"/>
      </w:r>
      <w:r w:rsidRPr="007A10AF">
        <w:rPr>
          <w:rFonts w:cs="Arial"/>
          <w:rtl/>
        </w:rPr>
        <w:t>, וכתבה ראשונה</w:t>
      </w:r>
      <w:r>
        <w:rPr>
          <w:rStyle w:val="a7"/>
          <w:rFonts w:cs="Arial"/>
          <w:rtl/>
        </w:rPr>
        <w:footnoteReference w:id="2358"/>
      </w:r>
      <w:r w:rsidRPr="007A10AF">
        <w:rPr>
          <w:rFonts w:cs="Arial"/>
          <w:rtl/>
        </w:rPr>
        <w:t xml:space="preserve"> ללוקח דין ודברים אין לי עמך - השניה מוציאה</w:t>
      </w:r>
      <w:r>
        <w:rPr>
          <w:rStyle w:val="a7"/>
          <w:rFonts w:cs="Arial"/>
          <w:rtl/>
        </w:rPr>
        <w:footnoteReference w:id="2359"/>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r>
        <w:rPr>
          <w:rFonts w:cs="Arial" w:hint="cs"/>
          <w:rtl/>
        </w:rPr>
        <w:t xml:space="preserve">     </w:t>
      </w:r>
      <w:r w:rsidRPr="007A10AF">
        <w:rPr>
          <w:rFonts w:cs="Arial"/>
          <w:u w:val="double"/>
          <w:rtl/>
        </w:rPr>
        <w:t>גמ'</w:t>
      </w:r>
      <w:r>
        <w:rPr>
          <w:rFonts w:cs="Arial" w:hint="cs"/>
          <w:rtl/>
        </w:rPr>
        <w:t>:</w:t>
      </w:r>
      <w:r w:rsidRPr="007A10AF">
        <w:rPr>
          <w:rFonts w:cs="Arial"/>
          <w:rtl/>
        </w:rPr>
        <w:t xml:space="preserve"> וכי כתבה ליה מאי הוי? והתניא: האומר לחבירו דין ודברים אין לי על שדה זו, ואין לי עסק בה, וידי מסולקת הימנה - לא אמר כלום! הכא במאי עסקינן - בשקנו מידה</w:t>
      </w:r>
      <w:r>
        <w:rPr>
          <w:rStyle w:val="a7"/>
          <w:rFonts w:cs="Arial"/>
          <w:rtl/>
        </w:rPr>
        <w:footnoteReference w:id="2360"/>
      </w:r>
      <w:r w:rsidRPr="007A10AF">
        <w:rPr>
          <w:rFonts w:cs="Arial"/>
          <w:rtl/>
        </w:rPr>
        <w:t>. וכי קנו מידה מאי הוי? תימא: נחת רוח עשיתי לבעלי!</w:t>
      </w:r>
      <w:r w:rsidRPr="00082549">
        <w:rPr>
          <w:rtl/>
        </w:rPr>
        <w:t xml:space="preserve"> </w:t>
      </w:r>
      <w:r w:rsidRPr="00082549">
        <w:rPr>
          <w:rFonts w:cs="Arial"/>
          <w:rtl/>
        </w:rPr>
        <w:t>מי לא תנן: לקח מן האיש וחזר ולקח מן האשה - מקחו בטל</w:t>
      </w:r>
      <w:r>
        <w:rPr>
          <w:rFonts w:cs="Arial" w:hint="cs"/>
          <w:rtl/>
        </w:rPr>
        <w:t>.</w:t>
      </w:r>
      <w:r w:rsidRPr="00082549">
        <w:rPr>
          <w:rFonts w:cs="Arial"/>
          <w:rtl/>
        </w:rPr>
        <w:t xml:space="preserve"> אלמא יכולה היא שתאמר: נחת רוח עשיתי לבעלי!</w:t>
      </w:r>
      <w:r w:rsidRPr="007A10AF">
        <w:rPr>
          <w:rFonts w:cs="Arial"/>
          <w:rtl/>
        </w:rPr>
        <w:t xml:space="preserve"> </w:t>
      </w:r>
      <w:r w:rsidRPr="007F67A4">
        <w:rPr>
          <w:rFonts w:cs="Arial"/>
          <w:u w:val="single"/>
          <w:rtl/>
        </w:rPr>
        <w:t>א"ר זירא אמר רב חסדא</w:t>
      </w:r>
      <w:r>
        <w:rPr>
          <w:rFonts w:cs="Arial" w:hint="cs"/>
          <w:rtl/>
        </w:rPr>
        <w:t>:</w:t>
      </w:r>
      <w:r w:rsidRPr="00072F15">
        <w:rPr>
          <w:rFonts w:cs="Arial"/>
          <w:rtl/>
        </w:rPr>
        <w:t xml:space="preserve"> לא קשיא</w:t>
      </w:r>
      <w:r>
        <w:rPr>
          <w:rFonts w:cs="Arial" w:hint="cs"/>
          <w:rtl/>
        </w:rPr>
        <w:t>,</w:t>
      </w:r>
      <w:r w:rsidRPr="00072F15">
        <w:rPr>
          <w:rFonts w:cs="Arial"/>
          <w:rtl/>
        </w:rPr>
        <w:t xml:space="preserve"> הא ר"מ, הא ר' יהודה</w:t>
      </w:r>
      <w:r>
        <w:rPr>
          <w:rFonts w:cs="Arial" w:hint="cs"/>
          <w:rtl/>
        </w:rPr>
        <w:t>,</w:t>
      </w:r>
      <w:r w:rsidRPr="00072F15">
        <w:rPr>
          <w:rFonts w:cs="Arial"/>
          <w:rtl/>
        </w:rPr>
        <w:t xml:space="preserve"> דתניא: כתב לראשון</w:t>
      </w:r>
      <w:r>
        <w:rPr>
          <w:rStyle w:val="a7"/>
          <w:rFonts w:cs="Arial"/>
          <w:rtl/>
        </w:rPr>
        <w:footnoteReference w:id="2361"/>
      </w:r>
      <w:r w:rsidRPr="00072F15">
        <w:rPr>
          <w:rFonts w:cs="Arial"/>
          <w:rtl/>
        </w:rPr>
        <w:t xml:space="preserve"> ולא חתמה לו</w:t>
      </w:r>
      <w:r>
        <w:rPr>
          <w:rStyle w:val="a7"/>
          <w:rFonts w:cs="Arial"/>
          <w:rtl/>
        </w:rPr>
        <w:footnoteReference w:id="2362"/>
      </w:r>
      <w:r w:rsidRPr="00072F15">
        <w:rPr>
          <w:rFonts w:cs="Arial"/>
          <w:rtl/>
        </w:rPr>
        <w:t>, לשני וחתמה לו - איבדה כתובתה</w:t>
      </w:r>
      <w:r>
        <w:rPr>
          <w:rStyle w:val="a7"/>
          <w:rFonts w:cs="Arial"/>
          <w:rtl/>
        </w:rPr>
        <w:footnoteReference w:id="2363"/>
      </w:r>
      <w:r w:rsidRPr="00072F15">
        <w:rPr>
          <w:rFonts w:cs="Arial"/>
          <w:rtl/>
        </w:rPr>
        <w:t xml:space="preserve">, </w:t>
      </w:r>
      <w:r w:rsidRPr="007F67A4">
        <w:rPr>
          <w:rFonts w:cs="Arial"/>
          <w:u w:val="single"/>
          <w:rtl/>
        </w:rPr>
        <w:t>דברי ר"מ</w:t>
      </w:r>
      <w:r>
        <w:rPr>
          <w:rFonts w:cs="Arial" w:hint="cs"/>
          <w:rtl/>
        </w:rPr>
        <w:t>.</w:t>
      </w:r>
      <w:r w:rsidRPr="00072F15">
        <w:rPr>
          <w:rFonts w:cs="Arial"/>
          <w:rtl/>
        </w:rPr>
        <w:t xml:space="preserve"> </w:t>
      </w:r>
      <w:r w:rsidRPr="007F67A4">
        <w:rPr>
          <w:rFonts w:cs="Arial"/>
          <w:u w:val="single"/>
          <w:rtl/>
        </w:rPr>
        <w:t>ר' יהודה אומר</w:t>
      </w:r>
      <w:r w:rsidRPr="00072F15">
        <w:rPr>
          <w:rFonts w:cs="Arial"/>
          <w:rtl/>
        </w:rPr>
        <w:t>: יכולה היא שתאמר נחת רוח עשיתי לבעלי, אתם מה לכם עלי</w:t>
      </w:r>
      <w:r>
        <w:rPr>
          <w:rStyle w:val="a7"/>
          <w:rFonts w:cs="Arial"/>
          <w:rtl/>
        </w:rPr>
        <w:footnoteReference w:id="2364"/>
      </w:r>
      <w:r w:rsidRPr="00072F15">
        <w:rPr>
          <w:rFonts w:cs="Arial"/>
          <w:rtl/>
        </w:rPr>
        <w:t>. ורבי</w:t>
      </w:r>
      <w:r>
        <w:rPr>
          <w:rStyle w:val="a7"/>
          <w:rFonts w:cs="Arial"/>
          <w:rtl/>
        </w:rPr>
        <w:footnoteReference w:id="2365"/>
      </w:r>
      <w:r w:rsidRPr="00072F15">
        <w:rPr>
          <w:rFonts w:cs="Arial"/>
          <w:rtl/>
        </w:rPr>
        <w:t xml:space="preserve"> סתם לה הכא כר"מ, וסתם לה התם כר' יהודה? </w:t>
      </w:r>
      <w:r w:rsidRPr="007F67A4">
        <w:rPr>
          <w:rFonts w:cs="Arial"/>
          <w:u w:val="single"/>
          <w:rtl/>
        </w:rPr>
        <w:t>אמר רב פפא</w:t>
      </w:r>
      <w:r w:rsidRPr="006C343E">
        <w:rPr>
          <w:rStyle w:val="a7"/>
          <w:rFonts w:cs="Arial"/>
          <w:u w:val="single"/>
          <w:rtl/>
        </w:rPr>
        <w:footnoteReference w:id="2366"/>
      </w:r>
      <w:r w:rsidRPr="00072F15">
        <w:rPr>
          <w:rFonts w:cs="Arial"/>
          <w:rtl/>
        </w:rPr>
        <w:t xml:space="preserve">: בגרושה ודברי הכל. </w:t>
      </w:r>
      <w:r w:rsidRPr="007F67A4">
        <w:rPr>
          <w:rFonts w:cs="Arial"/>
          <w:u w:val="single"/>
          <w:rtl/>
        </w:rPr>
        <w:t>רב אשי אמר</w:t>
      </w:r>
      <w:r w:rsidRPr="006C343E">
        <w:rPr>
          <w:rStyle w:val="a7"/>
          <w:rFonts w:cs="Arial"/>
          <w:u w:val="single"/>
          <w:rtl/>
        </w:rPr>
        <w:footnoteReference w:id="2367"/>
      </w:r>
      <w:r w:rsidRPr="00072F15">
        <w:rPr>
          <w:rFonts w:cs="Arial"/>
          <w:rtl/>
        </w:rPr>
        <w:t>: כולה ר"מ היא, ועד כאן לא קאמר ר"מ התם - אלא בשני לקוחות, דאמרי לה: אי איתא דנחת רוח עבדת - לקמא איבעי לך למיעבד, אבל בלוקח אחד אפילו רבי מאיר מודה, ומתני'</w:t>
      </w:r>
      <w:r>
        <w:rPr>
          <w:rStyle w:val="a7"/>
          <w:rFonts w:cs="Arial"/>
          <w:rtl/>
        </w:rPr>
        <w:footnoteReference w:id="2368"/>
      </w:r>
      <w:r w:rsidRPr="00072F15">
        <w:rPr>
          <w:rFonts w:cs="Arial"/>
          <w:rtl/>
        </w:rPr>
        <w:t xml:space="preserve"> - דכתב</w:t>
      </w:r>
      <w:r>
        <w:rPr>
          <w:rStyle w:val="a7"/>
          <w:rFonts w:cs="Arial"/>
          <w:rtl/>
        </w:rPr>
        <w:footnoteReference w:id="2369"/>
      </w:r>
      <w:r w:rsidRPr="00072F15">
        <w:rPr>
          <w:rFonts w:cs="Arial"/>
          <w:rtl/>
        </w:rPr>
        <w:t xml:space="preserve"> ליה לאחר.</w:t>
      </w:r>
    </w:p>
    <w:p w14:paraId="07D6BA51" w14:textId="77777777" w:rsidR="002E5BAD" w:rsidRPr="00044D29" w:rsidRDefault="002E5BAD" w:rsidP="002E5BAD">
      <w:pPr>
        <w:rPr>
          <w:u w:val="single"/>
          <w:rtl/>
        </w:rPr>
      </w:pPr>
      <w:r w:rsidRPr="00044D29">
        <w:rPr>
          <w:rFonts w:hint="cs"/>
          <w:u w:val="single"/>
          <w:rtl/>
        </w:rPr>
        <w:t>מאיזו קרקע נגבית הכתובה קודם:</w:t>
      </w:r>
    </w:p>
    <w:p w14:paraId="53B66C1F" w14:textId="77777777" w:rsidR="002E5BAD" w:rsidRPr="00044D29" w:rsidRDefault="002E5BAD" w:rsidP="00B75458">
      <w:pPr>
        <w:pStyle w:val="ab"/>
        <w:numPr>
          <w:ilvl w:val="0"/>
          <w:numId w:val="192"/>
        </w:numPr>
      </w:pPr>
      <w:r>
        <w:rPr>
          <w:rFonts w:cs="Arial" w:hint="cs"/>
          <w:rtl/>
        </w:rPr>
        <w:t xml:space="preserve">טור- </w:t>
      </w:r>
      <w:r w:rsidRPr="003D2914">
        <w:rPr>
          <w:rFonts w:cs="Arial"/>
          <w:rtl/>
        </w:rPr>
        <w:t>אם מוצאים קרקע בן חורין</w:t>
      </w:r>
      <w:r>
        <w:rPr>
          <w:rFonts w:cs="Arial" w:hint="cs"/>
          <w:rtl/>
        </w:rPr>
        <w:t xml:space="preserve"> -</w:t>
      </w:r>
      <w:r w:rsidRPr="003D2914">
        <w:rPr>
          <w:rFonts w:cs="Arial"/>
          <w:rtl/>
        </w:rPr>
        <w:t xml:space="preserve"> מוכרין ונותנין לה</w:t>
      </w:r>
      <w:r>
        <w:rPr>
          <w:rFonts w:cs="Arial" w:hint="cs"/>
          <w:rtl/>
        </w:rPr>
        <w:t>.</w:t>
      </w:r>
      <w:r w:rsidRPr="003D2914">
        <w:rPr>
          <w:rFonts w:cs="Arial"/>
          <w:rtl/>
        </w:rPr>
        <w:t xml:space="preserve"> ואם לאו טורפת ממשועבדים לו שמכר או שנתן</w:t>
      </w:r>
      <w:r>
        <w:rPr>
          <w:rFonts w:cs="Arial" w:hint="cs"/>
          <w:rtl/>
        </w:rPr>
        <w:t>,</w:t>
      </w:r>
      <w:r w:rsidRPr="003D2914">
        <w:rPr>
          <w:rFonts w:cs="Arial"/>
          <w:rtl/>
        </w:rPr>
        <w:t xml:space="preserve"> ל</w:t>
      </w:r>
      <w:r>
        <w:rPr>
          <w:rFonts w:cs="Arial" w:hint="cs"/>
          <w:rtl/>
        </w:rPr>
        <w:t xml:space="preserve">א </w:t>
      </w:r>
      <w:r w:rsidRPr="003D2914">
        <w:rPr>
          <w:rFonts w:cs="Arial"/>
          <w:rtl/>
        </w:rPr>
        <w:t>ש</w:t>
      </w:r>
      <w:r>
        <w:rPr>
          <w:rFonts w:cs="Arial" w:hint="cs"/>
          <w:rtl/>
        </w:rPr>
        <w:t>נא</w:t>
      </w:r>
      <w:r w:rsidRPr="003D2914">
        <w:rPr>
          <w:rFonts w:cs="Arial"/>
          <w:rtl/>
        </w:rPr>
        <w:t xml:space="preserve"> נתן במתנת בריא או שכיב מרע</w:t>
      </w:r>
      <w:r>
        <w:rPr>
          <w:rFonts w:cs="Arial" w:hint="cs"/>
          <w:rtl/>
        </w:rPr>
        <w:t>,</w:t>
      </w:r>
      <w:r w:rsidRPr="003D2914">
        <w:rPr>
          <w:rFonts w:cs="Arial"/>
          <w:rtl/>
        </w:rPr>
        <w:t xml:space="preserve"> שהרי כל נכסיו אחראין וערבאין לכתובתה</w:t>
      </w:r>
      <w:r>
        <w:rPr>
          <w:rFonts w:cs="Arial" w:hint="cs"/>
          <w:rtl/>
        </w:rPr>
        <w:t>.</w:t>
      </w:r>
      <w:r w:rsidRPr="003D2914">
        <w:rPr>
          <w:rFonts w:cs="Arial"/>
          <w:rtl/>
        </w:rPr>
        <w:t xml:space="preserve"> </w:t>
      </w:r>
      <w:r w:rsidRPr="00AF388C">
        <w:rPr>
          <w:rFonts w:hint="cs"/>
          <w:color w:val="E36C0A" w:themeColor="accent6" w:themeShade="BF"/>
          <w:rtl/>
        </w:rPr>
        <w:t>(וכ"פ בשו"ע)</w:t>
      </w:r>
    </w:p>
    <w:p w14:paraId="185ED208" w14:textId="77777777" w:rsidR="002E5BAD" w:rsidRPr="00044D29" w:rsidRDefault="002E5BAD" w:rsidP="002E5BAD">
      <w:pPr>
        <w:ind w:left="360"/>
        <w:rPr>
          <w:u w:val="dotted"/>
        </w:rPr>
      </w:pPr>
      <w:r w:rsidRPr="00044D29">
        <w:rPr>
          <w:rFonts w:hint="cs"/>
          <w:u w:val="dotted"/>
          <w:rtl/>
        </w:rPr>
        <w:lastRenderedPageBreak/>
        <w:t>האם טורפת את הקרקע אע"ג שהסכימה לקנין:</w:t>
      </w:r>
    </w:p>
    <w:p w14:paraId="08AC3E8C" w14:textId="77777777" w:rsidR="002E5BAD" w:rsidRPr="00D96B36" w:rsidRDefault="002E5BAD" w:rsidP="00B75458">
      <w:pPr>
        <w:pStyle w:val="ab"/>
        <w:numPr>
          <w:ilvl w:val="0"/>
          <w:numId w:val="192"/>
        </w:numPr>
      </w:pPr>
      <w:r w:rsidRPr="00FC05BD">
        <w:rPr>
          <w:rFonts w:cs="Arial"/>
          <w:rtl/>
        </w:rPr>
        <w:t>רמב"ם</w:t>
      </w:r>
      <w:r w:rsidRPr="00FC05BD">
        <w:rPr>
          <w:rStyle w:val="a7"/>
          <w:rFonts w:cs="Arial"/>
          <w:rtl/>
        </w:rPr>
        <w:footnoteReference w:id="2370"/>
      </w:r>
      <w:r w:rsidRPr="00FC05BD">
        <w:rPr>
          <w:rFonts w:cs="Arial"/>
          <w:rtl/>
        </w:rPr>
        <w:t xml:space="preserve"> </w:t>
      </w:r>
      <w:r w:rsidRPr="00FC05BD">
        <w:rPr>
          <w:rFonts w:cs="Arial" w:hint="cs"/>
          <w:sz w:val="16"/>
          <w:szCs w:val="16"/>
          <w:rtl/>
        </w:rPr>
        <w:t>(</w:t>
      </w:r>
      <w:r w:rsidRPr="00FC05BD">
        <w:rPr>
          <w:rFonts w:cs="Arial"/>
          <w:sz w:val="16"/>
          <w:szCs w:val="16"/>
          <w:rtl/>
        </w:rPr>
        <w:t>פי"ז מאישות הי"א)</w:t>
      </w:r>
      <w:r w:rsidRPr="00FC05BD">
        <w:rPr>
          <w:rFonts w:cs="Arial" w:hint="cs"/>
          <w:rtl/>
        </w:rPr>
        <w:t xml:space="preserve"> ו</w:t>
      </w:r>
      <w:r>
        <w:rPr>
          <w:rFonts w:cs="Arial" w:hint="cs"/>
          <w:rtl/>
        </w:rPr>
        <w:t xml:space="preserve">טור- </w:t>
      </w:r>
      <w:r w:rsidRPr="003D2914">
        <w:rPr>
          <w:rFonts w:cs="Arial"/>
          <w:rtl/>
        </w:rPr>
        <w:t>אפי' אם נתרצית בקנינו שקנו מידה אינו מועיל</w:t>
      </w:r>
      <w:r>
        <w:rPr>
          <w:rFonts w:cs="Arial" w:hint="cs"/>
          <w:rtl/>
        </w:rPr>
        <w:t>,</w:t>
      </w:r>
      <w:r w:rsidRPr="003D2914">
        <w:rPr>
          <w:rFonts w:cs="Arial"/>
          <w:rtl/>
        </w:rPr>
        <w:t xml:space="preserve"> אא"כ קנו ממנ</w:t>
      </w:r>
      <w:r>
        <w:rPr>
          <w:rFonts w:cs="Arial" w:hint="cs"/>
          <w:rtl/>
        </w:rPr>
        <w:t>ה</w:t>
      </w:r>
      <w:r w:rsidRPr="003D2914">
        <w:rPr>
          <w:rFonts w:cs="Arial"/>
          <w:rtl/>
        </w:rPr>
        <w:t xml:space="preserve"> תחילה כדפי' לעיל</w:t>
      </w:r>
      <w:r>
        <w:rPr>
          <w:rFonts w:cs="Arial" w:hint="cs"/>
          <w:sz w:val="16"/>
          <w:szCs w:val="16"/>
          <w:rtl/>
        </w:rPr>
        <w:t xml:space="preserve"> (סי' צ סט"ז)</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sz w:val="16"/>
          <w:szCs w:val="16"/>
          <w:rtl/>
        </w:rPr>
        <w:t xml:space="preserve"> [כאן ובסי' צ סט"ז]</w:t>
      </w:r>
      <w:r w:rsidRPr="00AF388C">
        <w:rPr>
          <w:rFonts w:hint="cs"/>
          <w:color w:val="E36C0A" w:themeColor="accent6" w:themeShade="BF"/>
          <w:rtl/>
        </w:rPr>
        <w:t>)</w:t>
      </w:r>
    </w:p>
    <w:p w14:paraId="52E838D4" w14:textId="77777777" w:rsidR="002E5BAD" w:rsidRPr="00DF414E" w:rsidRDefault="002E5BAD" w:rsidP="002E5BAD">
      <w:pPr>
        <w:ind w:left="360"/>
        <w:rPr>
          <w:u w:val="dotted"/>
        </w:rPr>
      </w:pPr>
      <w:r w:rsidRPr="00D96B36">
        <w:rPr>
          <w:rFonts w:hint="cs"/>
          <w:u w:val="dotted"/>
          <w:rtl/>
        </w:rPr>
        <w:t xml:space="preserve">ומה הדין אם לא הסכימה לקנין </w:t>
      </w:r>
      <w:r>
        <w:rPr>
          <w:rFonts w:hint="cs"/>
          <w:u w:val="dotted"/>
          <w:rtl/>
        </w:rPr>
        <w:t>עם ה</w:t>
      </w:r>
      <w:r w:rsidRPr="00D96B36">
        <w:rPr>
          <w:rFonts w:hint="cs"/>
          <w:u w:val="dotted"/>
          <w:rtl/>
        </w:rPr>
        <w:t>לוקח הראשון</w:t>
      </w:r>
      <w:r>
        <w:rPr>
          <w:rFonts w:hint="cs"/>
          <w:u w:val="dotted"/>
          <w:rtl/>
        </w:rPr>
        <w:t>,</w:t>
      </w:r>
      <w:r w:rsidRPr="00D96B36">
        <w:rPr>
          <w:rFonts w:hint="cs"/>
          <w:u w:val="dotted"/>
          <w:rtl/>
        </w:rPr>
        <w:t xml:space="preserve"> אבל לקנין עם הלוקח השני כן הסכימה: </w:t>
      </w:r>
    </w:p>
    <w:p w14:paraId="31D91128" w14:textId="77777777" w:rsidR="002E5BAD" w:rsidRPr="0054767C" w:rsidRDefault="002E5BAD" w:rsidP="00B75458">
      <w:pPr>
        <w:pStyle w:val="ab"/>
        <w:numPr>
          <w:ilvl w:val="0"/>
          <w:numId w:val="192"/>
        </w:numPr>
        <w:rPr>
          <w:rFonts w:cs="Arial"/>
        </w:rPr>
      </w:pPr>
      <w:r>
        <w:rPr>
          <w:rFonts w:cs="Arial"/>
          <w:rtl/>
        </w:rPr>
        <w:t xml:space="preserve">רמב"ם </w:t>
      </w:r>
      <w:r w:rsidRPr="00A303DC">
        <w:rPr>
          <w:rFonts w:cs="Arial" w:hint="cs"/>
          <w:sz w:val="16"/>
          <w:szCs w:val="16"/>
          <w:rtl/>
        </w:rPr>
        <w:t>(</w:t>
      </w:r>
      <w:r w:rsidRPr="00A303DC">
        <w:rPr>
          <w:rFonts w:cs="Arial"/>
          <w:sz w:val="16"/>
          <w:szCs w:val="16"/>
          <w:rtl/>
        </w:rPr>
        <w:t xml:space="preserve">פי"ז מאישות הי"א) </w:t>
      </w:r>
      <w:r>
        <w:rPr>
          <w:rFonts w:cs="Arial" w:hint="cs"/>
          <w:rtl/>
        </w:rPr>
        <w:t>וטור</w:t>
      </w:r>
      <w:r>
        <w:rPr>
          <w:rStyle w:val="a7"/>
          <w:rFonts w:cs="Arial"/>
          <w:rtl/>
        </w:rPr>
        <w:footnoteReference w:id="2371"/>
      </w:r>
      <w:r>
        <w:rPr>
          <w:rFonts w:cs="Arial" w:hint="cs"/>
          <w:rtl/>
        </w:rPr>
        <w:t xml:space="preserve">- </w:t>
      </w:r>
      <w:r w:rsidRPr="007C1187">
        <w:rPr>
          <w:rFonts w:cs="Arial"/>
          <w:rtl/>
        </w:rPr>
        <w:t>וכן אם מכר הבעל ואמר לאשתו לכתוב ללוקח דין ודברים אין לי עמך ולא כתבה ללוקח ולא הסכימה למעשיו ונפסד</w:t>
      </w:r>
      <w:r>
        <w:rPr>
          <w:rStyle w:val="a7"/>
          <w:rFonts w:cs="Arial"/>
          <w:rtl/>
        </w:rPr>
        <w:footnoteReference w:id="2372"/>
      </w:r>
      <w:r w:rsidRPr="007C1187">
        <w:rPr>
          <w:rFonts w:cs="Arial"/>
          <w:rtl/>
        </w:rPr>
        <w:t xml:space="preserve"> המכר</w:t>
      </w:r>
      <w:r>
        <w:rPr>
          <w:rFonts w:cs="Arial" w:hint="cs"/>
          <w:rtl/>
        </w:rPr>
        <w:t>.</w:t>
      </w:r>
      <w:r w:rsidRPr="007C1187">
        <w:rPr>
          <w:rFonts w:cs="Arial"/>
          <w:rtl/>
        </w:rPr>
        <w:t xml:space="preserve"> וחזר הבעל ומכר לאיש אחר בין אותה שדה בין שדה אחרת ואחר שמכר הבעל הסכימה למעשיו וקנו מידה שאין לה שעבוד על שדה זו </w:t>
      </w:r>
      <w:r>
        <w:rPr>
          <w:rFonts w:cs="Arial" w:hint="cs"/>
          <w:rtl/>
        </w:rPr>
        <w:t xml:space="preserve">- </w:t>
      </w:r>
      <w:r w:rsidRPr="007C1187">
        <w:rPr>
          <w:rFonts w:cs="Arial"/>
          <w:rtl/>
        </w:rPr>
        <w:t>אינה יכולה לטרוף</w:t>
      </w:r>
      <w:r>
        <w:rPr>
          <w:rFonts w:cs="Arial" w:hint="cs"/>
          <w:rtl/>
        </w:rPr>
        <w:t>,</w:t>
      </w:r>
      <w:r w:rsidRPr="007C1187">
        <w:rPr>
          <w:rFonts w:cs="Arial"/>
          <w:rtl/>
        </w:rPr>
        <w:t xml:space="preserve"> שאינה יכולה לומר נחת רוח עשיתי לבעלי</w:t>
      </w:r>
      <w:r>
        <w:rPr>
          <w:rFonts w:cs="Arial" w:hint="cs"/>
          <w:rtl/>
        </w:rPr>
        <w:t>,</w:t>
      </w:r>
      <w:r w:rsidRPr="007C1187">
        <w:rPr>
          <w:rFonts w:cs="Arial"/>
          <w:rtl/>
        </w:rPr>
        <w:t xml:space="preserve"> שהרי בראשונה כשלא רצתה לא הלכה ברצון בעלה</w:t>
      </w:r>
      <w:r>
        <w:rPr>
          <w:rFonts w:cs="Arial" w:hint="cs"/>
          <w:sz w:val="16"/>
          <w:szCs w:val="16"/>
          <w:rtl/>
        </w:rPr>
        <w:t xml:space="preserve"> (ל' הרמב"ם)</w:t>
      </w:r>
      <w:r>
        <w:rPr>
          <w:rFonts w:cs="Arial" w:hint="cs"/>
          <w:rtl/>
        </w:rPr>
        <w:t>.</w:t>
      </w:r>
      <w:r w:rsidRPr="008C513A">
        <w:rPr>
          <w:rFonts w:cs="Arial"/>
          <w:rtl/>
        </w:rPr>
        <w:t xml:space="preserve"> </w:t>
      </w:r>
      <w:r w:rsidRPr="00AF388C">
        <w:rPr>
          <w:rFonts w:hint="cs"/>
          <w:color w:val="E36C0A" w:themeColor="accent6" w:themeShade="BF"/>
          <w:rtl/>
        </w:rPr>
        <w:t>(וכ"פ בשו"ע</w:t>
      </w:r>
      <w:r>
        <w:rPr>
          <w:rFonts w:hint="cs"/>
          <w:sz w:val="16"/>
          <w:szCs w:val="16"/>
          <w:rtl/>
        </w:rPr>
        <w:t xml:space="preserve"> [כאן ובסי' צ סי"ז]</w:t>
      </w:r>
      <w:r w:rsidRPr="00AF388C">
        <w:rPr>
          <w:rFonts w:hint="cs"/>
          <w:color w:val="E36C0A" w:themeColor="accent6" w:themeShade="BF"/>
          <w:rtl/>
        </w:rPr>
        <w:t>)</w:t>
      </w:r>
    </w:p>
    <w:p w14:paraId="6F73F3D6" w14:textId="77777777" w:rsidR="002E5BAD" w:rsidRPr="00D96B36" w:rsidRDefault="002E5BAD" w:rsidP="002E5BAD">
      <w:pPr>
        <w:ind w:left="720"/>
        <w:rPr>
          <w:u w:val="wave"/>
        </w:rPr>
      </w:pPr>
      <w:bookmarkStart w:id="10" w:name="_Hlk69730367"/>
      <w:r>
        <w:rPr>
          <w:rFonts w:hint="cs"/>
          <w:u w:val="wave"/>
          <w:rtl/>
        </w:rPr>
        <w:t xml:space="preserve">במדה והבעל מכר גם ללוקח הראשון </w:t>
      </w:r>
      <w:r>
        <w:rPr>
          <w:rFonts w:hint="cs"/>
          <w:sz w:val="16"/>
          <w:szCs w:val="16"/>
          <w:u w:val="wave"/>
          <w:rtl/>
        </w:rPr>
        <w:t>(ללא הסכמתה)</w:t>
      </w:r>
      <w:r>
        <w:rPr>
          <w:rFonts w:hint="cs"/>
          <w:u w:val="wave"/>
          <w:rtl/>
        </w:rPr>
        <w:t xml:space="preserve"> - </w:t>
      </w:r>
      <w:r w:rsidRPr="00D96B36">
        <w:rPr>
          <w:rFonts w:hint="cs"/>
          <w:u w:val="wave"/>
          <w:rtl/>
        </w:rPr>
        <w:t>האם יכולה לגבות מן הראשון:</w:t>
      </w:r>
    </w:p>
    <w:p w14:paraId="4E5E3D72" w14:textId="77777777" w:rsidR="002E5BAD" w:rsidRPr="00D96B36" w:rsidRDefault="002E5BAD" w:rsidP="00B75458">
      <w:pPr>
        <w:pStyle w:val="ab"/>
        <w:numPr>
          <w:ilvl w:val="0"/>
          <w:numId w:val="192"/>
        </w:numPr>
      </w:pPr>
      <w:r w:rsidRPr="003D2914">
        <w:rPr>
          <w:rFonts w:cs="Arial"/>
          <w:rtl/>
        </w:rPr>
        <w:t>רש"י</w:t>
      </w:r>
      <w:r w:rsidRPr="00D96B36">
        <w:rPr>
          <w:rFonts w:cs="Arial"/>
          <w:rtl/>
        </w:rPr>
        <w:t xml:space="preserve"> </w:t>
      </w:r>
      <w:r w:rsidRPr="00D96B36">
        <w:rPr>
          <w:rFonts w:cs="Arial"/>
          <w:sz w:val="16"/>
          <w:szCs w:val="16"/>
          <w:rtl/>
        </w:rPr>
        <w:t xml:space="preserve">(ד"ה הכי גרסינן התם) </w:t>
      </w:r>
      <w:r w:rsidRPr="003D2914">
        <w:rPr>
          <w:rFonts w:cs="Arial"/>
          <w:rtl/>
        </w:rPr>
        <w:t xml:space="preserve">רמב"ם </w:t>
      </w:r>
      <w:r>
        <w:rPr>
          <w:rFonts w:cs="Arial" w:hint="cs"/>
          <w:sz w:val="16"/>
          <w:szCs w:val="16"/>
          <w:rtl/>
        </w:rPr>
        <w:t xml:space="preserve">(פי"ט ממלוה ה"ח) </w:t>
      </w:r>
      <w:r w:rsidRPr="003D2914">
        <w:rPr>
          <w:rFonts w:cs="Arial"/>
          <w:rtl/>
        </w:rPr>
        <w:t>העיטור</w:t>
      </w:r>
      <w:r>
        <w:rPr>
          <w:rFonts w:cs="Arial" w:hint="cs"/>
          <w:rtl/>
        </w:rPr>
        <w:t xml:space="preserve"> </w:t>
      </w:r>
      <w:r>
        <w:rPr>
          <w:rFonts w:cs="Arial" w:hint="cs"/>
          <w:sz w:val="16"/>
          <w:szCs w:val="16"/>
          <w:rtl/>
        </w:rPr>
        <w:t xml:space="preserve">(כ"כ הטור בשמו) </w:t>
      </w:r>
      <w:r>
        <w:rPr>
          <w:rFonts w:cs="Arial" w:hint="cs"/>
          <w:rtl/>
        </w:rPr>
        <w:t xml:space="preserve">ורשב"א </w:t>
      </w:r>
      <w:r>
        <w:rPr>
          <w:rFonts w:cs="Arial" w:hint="cs"/>
          <w:sz w:val="16"/>
          <w:szCs w:val="16"/>
          <w:rtl/>
        </w:rPr>
        <w:t>(במיוחסות סי' עט)</w:t>
      </w:r>
      <w:r>
        <w:rPr>
          <w:rFonts w:cs="Arial" w:hint="cs"/>
          <w:rtl/>
        </w:rPr>
        <w:t>-</w:t>
      </w:r>
      <w:r w:rsidRPr="003D2914">
        <w:rPr>
          <w:rFonts w:cs="Arial"/>
          <w:rtl/>
        </w:rPr>
        <w:t xml:space="preserve"> אינה גובה ממנו</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sz w:val="16"/>
          <w:szCs w:val="16"/>
          <w:rtl/>
        </w:rPr>
        <w:t xml:space="preserve"> [כאן, </w:t>
      </w:r>
      <w:bookmarkStart w:id="11" w:name="_Hlk69806229"/>
      <w:r>
        <w:rPr>
          <w:rFonts w:hint="cs"/>
          <w:sz w:val="16"/>
          <w:szCs w:val="16"/>
          <w:rtl/>
        </w:rPr>
        <w:t>ובחו"מ סי' קיח ס"א</w:t>
      </w:r>
      <w:bookmarkEnd w:id="11"/>
      <w:r>
        <w:rPr>
          <w:rFonts w:hint="cs"/>
          <w:sz w:val="16"/>
          <w:szCs w:val="16"/>
          <w:rtl/>
        </w:rPr>
        <w:t>]</w:t>
      </w:r>
      <w:r w:rsidRPr="00AF388C">
        <w:rPr>
          <w:rFonts w:hint="cs"/>
          <w:color w:val="E36C0A" w:themeColor="accent6" w:themeShade="BF"/>
          <w:rtl/>
        </w:rPr>
        <w:t>)</w:t>
      </w:r>
    </w:p>
    <w:p w14:paraId="10681D0D" w14:textId="77777777" w:rsidR="002E5BAD" w:rsidRPr="007C04D9" w:rsidRDefault="002E5BAD" w:rsidP="00B75458">
      <w:pPr>
        <w:pStyle w:val="ab"/>
        <w:numPr>
          <w:ilvl w:val="0"/>
          <w:numId w:val="192"/>
        </w:numPr>
      </w:pPr>
      <w:r w:rsidRPr="003D2914">
        <w:rPr>
          <w:rFonts w:cs="Arial"/>
          <w:rtl/>
        </w:rPr>
        <w:t xml:space="preserve">ר"ח </w:t>
      </w:r>
      <w:r>
        <w:rPr>
          <w:rFonts w:cs="Arial" w:hint="cs"/>
          <w:sz w:val="16"/>
          <w:szCs w:val="16"/>
          <w:rtl/>
        </w:rPr>
        <w:t xml:space="preserve">(כ"כ הטור בשמו) </w:t>
      </w:r>
      <w:r w:rsidRPr="003D2914">
        <w:rPr>
          <w:rFonts w:cs="Arial"/>
          <w:rtl/>
        </w:rPr>
        <w:t>ר"ת</w:t>
      </w:r>
      <w:r>
        <w:rPr>
          <w:rFonts w:cs="Arial" w:hint="cs"/>
          <w:rtl/>
        </w:rPr>
        <w:t xml:space="preserve"> </w:t>
      </w:r>
      <w:r w:rsidRPr="00D96B36">
        <w:rPr>
          <w:rFonts w:cs="Arial"/>
          <w:sz w:val="16"/>
          <w:szCs w:val="16"/>
          <w:rtl/>
        </w:rPr>
        <w:t>(תוס' ד"ה התם)</w:t>
      </w:r>
      <w:r>
        <w:rPr>
          <w:rFonts w:cs="Arial" w:hint="cs"/>
          <w:sz w:val="16"/>
          <w:szCs w:val="16"/>
          <w:rtl/>
        </w:rPr>
        <w:t xml:space="preserve"> </w:t>
      </w:r>
      <w:r>
        <w:rPr>
          <w:rFonts w:cs="Arial" w:hint="cs"/>
          <w:rtl/>
        </w:rPr>
        <w:t xml:space="preserve">ורא"ש </w:t>
      </w:r>
      <w:r w:rsidRPr="00D96B36">
        <w:rPr>
          <w:rFonts w:cs="Arial"/>
          <w:sz w:val="16"/>
          <w:szCs w:val="16"/>
          <w:rtl/>
        </w:rPr>
        <w:t>(סי' יז)</w:t>
      </w:r>
      <w:r>
        <w:rPr>
          <w:rFonts w:cs="Arial" w:hint="cs"/>
          <w:rtl/>
        </w:rPr>
        <w:t>-</w:t>
      </w:r>
      <w:r w:rsidRPr="003D2914">
        <w:rPr>
          <w:rFonts w:cs="Arial"/>
          <w:rtl/>
        </w:rPr>
        <w:t xml:space="preserve"> גובה ממנו</w:t>
      </w:r>
      <w:r>
        <w:rPr>
          <w:rFonts w:cs="Arial" w:hint="cs"/>
          <w:rtl/>
        </w:rPr>
        <w:t>.</w:t>
      </w:r>
    </w:p>
    <w:bookmarkEnd w:id="10"/>
    <w:p w14:paraId="052F3F0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910DEA" w14:textId="77777777" w:rsidR="002E5BAD" w:rsidRDefault="002E5BAD" w:rsidP="002E5BAD">
      <w:pPr>
        <w:rPr>
          <w:rFonts w:cs="Arial"/>
          <w:rtl/>
        </w:rPr>
      </w:pPr>
      <w:r>
        <w:rPr>
          <w:rFonts w:cs="Arial"/>
          <w:rtl/>
        </w:rPr>
        <w:t>אם נמצא קרקע בן חורין, גובה ממנה. ואם לאו, טורפת מקרקע שמכר או שנתן הבעל, בין במתנת בריא או במתנת שכיב מרע. ואפילו נתרצית למה שמכר או נתן, אינו מועיל א</w:t>
      </w:r>
      <w:r>
        <w:rPr>
          <w:rFonts w:cs="Arial" w:hint="cs"/>
          <w:rtl/>
        </w:rPr>
        <w:t>לא אם כן</w:t>
      </w:r>
      <w:r>
        <w:rPr>
          <w:rFonts w:cs="Arial"/>
          <w:rtl/>
        </w:rPr>
        <w:t xml:space="preserve"> קנו ממנה תחילה. ואם מכר קרקע לאחד ולא נתרצית לו, ואחר כך מכר לאחר</w:t>
      </w:r>
      <w:r>
        <w:rPr>
          <w:rStyle w:val="a7"/>
          <w:rFonts w:cs="Arial"/>
          <w:rtl/>
        </w:rPr>
        <w:footnoteReference w:id="2373"/>
      </w:r>
      <w:r>
        <w:rPr>
          <w:rFonts w:cs="Arial"/>
          <w:rtl/>
        </w:rPr>
        <w:t xml:space="preserve"> אותו קרקע או קרקע אחרת ונתרצית וחתמה לו, אינה גובה ממנה. ומן הראשון, י</w:t>
      </w:r>
      <w:r>
        <w:rPr>
          <w:rFonts w:cs="Arial" w:hint="cs"/>
          <w:rtl/>
        </w:rPr>
        <w:t xml:space="preserve">ש </w:t>
      </w:r>
      <w:r>
        <w:rPr>
          <w:rFonts w:cs="Arial"/>
          <w:rtl/>
        </w:rPr>
        <w:t>א</w:t>
      </w:r>
      <w:r>
        <w:rPr>
          <w:rFonts w:cs="Arial" w:hint="cs"/>
          <w:rtl/>
        </w:rPr>
        <w:t>ומרים</w:t>
      </w:r>
      <w:r>
        <w:rPr>
          <w:rFonts w:cs="Arial"/>
          <w:rtl/>
        </w:rPr>
        <w:t xml:space="preserve"> שגובה</w:t>
      </w:r>
      <w:r>
        <w:rPr>
          <w:rStyle w:val="a7"/>
          <w:rFonts w:cs="Arial"/>
          <w:rtl/>
        </w:rPr>
        <w:footnoteReference w:id="2374"/>
      </w:r>
      <w:r>
        <w:rPr>
          <w:rFonts w:cs="Arial" w:hint="cs"/>
          <w:rtl/>
        </w:rPr>
        <w:t>,</w:t>
      </w:r>
      <w:r>
        <w:rPr>
          <w:rFonts w:cs="Arial"/>
          <w:rtl/>
        </w:rPr>
        <w:t xml:space="preserve"> וי</w:t>
      </w:r>
      <w:r>
        <w:rPr>
          <w:rFonts w:cs="Arial" w:hint="cs"/>
          <w:rtl/>
        </w:rPr>
        <w:t xml:space="preserve">ש </w:t>
      </w:r>
      <w:r>
        <w:rPr>
          <w:rFonts w:cs="Arial"/>
          <w:rtl/>
        </w:rPr>
        <w:t>א</w:t>
      </w:r>
      <w:r>
        <w:rPr>
          <w:rFonts w:cs="Arial" w:hint="cs"/>
          <w:rtl/>
        </w:rPr>
        <w:t>ומרים</w:t>
      </w:r>
      <w:r>
        <w:rPr>
          <w:rFonts w:cs="Arial"/>
          <w:rtl/>
        </w:rPr>
        <w:t xml:space="preserve"> שאינה גובה. </w:t>
      </w:r>
      <w:r w:rsidRPr="00AB0CBA">
        <w:rPr>
          <w:rFonts w:cs="Arial"/>
          <w:sz w:val="18"/>
          <w:szCs w:val="18"/>
          <w:rtl/>
        </w:rPr>
        <w:t>(ועיין לעיל בסימן צ' סעיף י"ז).</w:t>
      </w:r>
      <w:r>
        <w:rPr>
          <w:rFonts w:cs="Arial"/>
          <w:rtl/>
        </w:rPr>
        <w:t xml:space="preserve"> </w:t>
      </w:r>
    </w:p>
    <w:p w14:paraId="57CF89D8" w14:textId="77777777" w:rsidR="002E5BAD" w:rsidRDefault="002E5BAD" w:rsidP="002E5BAD">
      <w:pPr>
        <w:rPr>
          <w:rtl/>
        </w:rPr>
      </w:pPr>
    </w:p>
    <w:p w14:paraId="4FE81A61" w14:textId="77777777" w:rsidR="002E5BAD" w:rsidRDefault="002E5BAD" w:rsidP="002E5BAD">
      <w:pPr>
        <w:pStyle w:val="2"/>
        <w:rPr>
          <w:rtl/>
        </w:rPr>
      </w:pPr>
      <w:r>
        <w:rPr>
          <w:rtl/>
        </w:rPr>
        <w:t>סעיף ד</w:t>
      </w:r>
      <w:r>
        <w:rPr>
          <w:rFonts w:hint="cs"/>
          <w:rtl/>
        </w:rPr>
        <w:t>: היה נשוי ב' נשים וקנו שדה מהאשה הראשונה ואח"כ ממנו.</w:t>
      </w:r>
    </w:p>
    <w:p w14:paraId="1648EAA9" w14:textId="77777777" w:rsidR="002E5BAD" w:rsidRDefault="002E5BAD" w:rsidP="002E5BAD">
      <w:pPr>
        <w:rPr>
          <w:rFonts w:cs="Arial"/>
          <w:rtl/>
        </w:rPr>
      </w:pPr>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2375"/>
      </w:r>
      <w:r w:rsidRPr="007A10AF">
        <w:rPr>
          <w:rFonts w:cs="Arial"/>
          <w:rtl/>
        </w:rPr>
        <w:t>, וכתבה ראשונה</w:t>
      </w:r>
      <w:r>
        <w:rPr>
          <w:rStyle w:val="a7"/>
          <w:rFonts w:cs="Arial"/>
          <w:rtl/>
        </w:rPr>
        <w:footnoteReference w:id="2376"/>
      </w:r>
      <w:r w:rsidRPr="007A10AF">
        <w:rPr>
          <w:rFonts w:cs="Arial"/>
          <w:rtl/>
        </w:rPr>
        <w:t xml:space="preserve"> ללוקח דין ודברים אין לי עמך - השניה מוציאה</w:t>
      </w:r>
      <w:r>
        <w:rPr>
          <w:rStyle w:val="a7"/>
          <w:rFonts w:cs="Arial"/>
          <w:rtl/>
        </w:rPr>
        <w:footnoteReference w:id="2377"/>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p>
    <w:p w14:paraId="065F0CB2" w14:textId="77777777" w:rsidR="002E5BAD" w:rsidRPr="007363DE" w:rsidRDefault="002E5BAD" w:rsidP="002E5BAD">
      <w:pPr>
        <w:rPr>
          <w:u w:val="single"/>
          <w:rtl/>
        </w:rPr>
      </w:pPr>
      <w:r w:rsidRPr="007363DE">
        <w:rPr>
          <w:rFonts w:hint="cs"/>
          <w:u w:val="single"/>
          <w:rtl/>
        </w:rPr>
        <w:t>היה נשוי ב' נשים וקנו שדה מהאשה הראשונה ואח"כ ממנו:</w:t>
      </w:r>
    </w:p>
    <w:p w14:paraId="0776BE17" w14:textId="77777777" w:rsidR="002E5BAD" w:rsidRDefault="002E5BAD" w:rsidP="00B75458">
      <w:pPr>
        <w:pStyle w:val="ab"/>
        <w:numPr>
          <w:ilvl w:val="0"/>
          <w:numId w:val="192"/>
        </w:numPr>
      </w:pPr>
      <w:r>
        <w:rPr>
          <w:rFonts w:cs="Arial" w:hint="cs"/>
          <w:rtl/>
        </w:rPr>
        <w:t xml:space="preserve">טור- </w:t>
      </w:r>
      <w:r w:rsidRPr="003D2914">
        <w:rPr>
          <w:rFonts w:cs="Arial"/>
          <w:rtl/>
        </w:rPr>
        <w:t>מי שהיה נשוי ב' נשים</w:t>
      </w:r>
      <w:r>
        <w:rPr>
          <w:rFonts w:cs="Arial" w:hint="cs"/>
          <w:rtl/>
        </w:rPr>
        <w:t>,</w:t>
      </w:r>
      <w:r w:rsidRPr="003D2914">
        <w:rPr>
          <w:rFonts w:cs="Arial"/>
          <w:rtl/>
        </w:rPr>
        <w:t xml:space="preserve"> ומכר שדהו</w:t>
      </w:r>
      <w:r>
        <w:rPr>
          <w:rFonts w:cs="Arial" w:hint="cs"/>
          <w:rtl/>
        </w:rPr>
        <w:t>,</w:t>
      </w:r>
      <w:r w:rsidRPr="003D2914">
        <w:rPr>
          <w:rFonts w:cs="Arial"/>
          <w:rtl/>
        </w:rPr>
        <w:t xml:space="preserve"> וכתבה הראשונה ללוקח דין ודברים אין לי עמך בענין שמועיל</w:t>
      </w:r>
      <w:r>
        <w:rPr>
          <w:rFonts w:cs="Arial" w:hint="cs"/>
          <w:rtl/>
        </w:rPr>
        <w:t>,</w:t>
      </w:r>
      <w:r w:rsidRPr="003D2914">
        <w:rPr>
          <w:rFonts w:cs="Arial"/>
          <w:rtl/>
        </w:rPr>
        <w:t xml:space="preserve"> כגון שלקח מן האשה תחלה</w:t>
      </w:r>
      <w:r>
        <w:rPr>
          <w:rFonts w:cs="Arial" w:hint="cs"/>
          <w:rtl/>
        </w:rPr>
        <w:t>.</w:t>
      </w:r>
      <w:r w:rsidRPr="003D2914">
        <w:rPr>
          <w:rFonts w:cs="Arial"/>
          <w:rtl/>
        </w:rPr>
        <w:t xml:space="preserve"> ומת</w:t>
      </w:r>
      <w:r>
        <w:rPr>
          <w:rFonts w:cs="Arial" w:hint="cs"/>
          <w:rtl/>
        </w:rPr>
        <w:t xml:space="preserve"> -</w:t>
      </w:r>
      <w:r w:rsidRPr="003D2914">
        <w:rPr>
          <w:rFonts w:cs="Arial"/>
          <w:rtl/>
        </w:rPr>
        <w:t xml:space="preserve"> השנייה מוציאה מיד הלוקח</w:t>
      </w:r>
      <w:r>
        <w:rPr>
          <w:rFonts w:cs="Arial" w:hint="cs"/>
          <w:rtl/>
        </w:rPr>
        <w:t>,</w:t>
      </w:r>
      <w:r w:rsidRPr="003D2914">
        <w:rPr>
          <w:rFonts w:cs="Arial"/>
          <w:rtl/>
        </w:rPr>
        <w:t xml:space="preserve"> והראשונה מיד השנייה</w:t>
      </w:r>
      <w:r>
        <w:rPr>
          <w:rFonts w:cs="Arial" w:hint="cs"/>
          <w:rtl/>
        </w:rPr>
        <w:t>,</w:t>
      </w:r>
      <w:r w:rsidRPr="003D2914">
        <w:rPr>
          <w:rFonts w:cs="Arial"/>
          <w:rtl/>
        </w:rPr>
        <w:t xml:space="preserve"> שהיא קדמה ולא הוסר </w:t>
      </w:r>
      <w:r w:rsidRPr="003D2914">
        <w:rPr>
          <w:rFonts w:cs="Arial"/>
          <w:rtl/>
        </w:rPr>
        <w:lastRenderedPageBreak/>
        <w:t>שיעבודה רק מלוקח</w:t>
      </w:r>
      <w:r>
        <w:rPr>
          <w:rFonts w:cs="Arial" w:hint="cs"/>
          <w:rtl/>
        </w:rPr>
        <w:t>,</w:t>
      </w:r>
      <w:r w:rsidRPr="003D2914">
        <w:rPr>
          <w:rFonts w:cs="Arial"/>
          <w:rtl/>
        </w:rPr>
        <w:t xml:space="preserve"> והלוקח מיד הראשונה</w:t>
      </w:r>
      <w:r>
        <w:rPr>
          <w:rFonts w:cs="Arial" w:hint="cs"/>
          <w:rtl/>
        </w:rPr>
        <w:t>,</w:t>
      </w:r>
      <w:r w:rsidRPr="003D2914">
        <w:rPr>
          <w:rFonts w:cs="Arial"/>
          <w:rtl/>
        </w:rPr>
        <w:t xml:space="preserve"> שהרי הסירה שיעבודה ממנה</w:t>
      </w:r>
      <w:r>
        <w:rPr>
          <w:rFonts w:cs="Arial" w:hint="cs"/>
          <w:rtl/>
        </w:rPr>
        <w:t>,</w:t>
      </w:r>
      <w:r w:rsidRPr="003D2914">
        <w:rPr>
          <w:rFonts w:cs="Arial"/>
          <w:rtl/>
        </w:rPr>
        <w:t xml:space="preserve"> וחוזרת חלילה עד שיעשו פשרה ביניהם</w:t>
      </w:r>
      <w:r>
        <w:rPr>
          <w:rFonts w:cs="Arial" w:hint="cs"/>
          <w:rtl/>
        </w:rPr>
        <w:t>.</w:t>
      </w:r>
      <w:r w:rsidRPr="003D2914">
        <w:rPr>
          <w:rFonts w:cs="Arial"/>
          <w:rtl/>
        </w:rPr>
        <w:t xml:space="preserve"> </w:t>
      </w:r>
      <w:r w:rsidRPr="00AF388C">
        <w:rPr>
          <w:rFonts w:hint="cs"/>
          <w:color w:val="E36C0A" w:themeColor="accent6" w:themeShade="BF"/>
          <w:rtl/>
        </w:rPr>
        <w:t>(וכ"פ בשו"ע)</w:t>
      </w:r>
    </w:p>
    <w:p w14:paraId="71673F63" w14:textId="77777777" w:rsidR="002E5BAD" w:rsidRPr="00002757" w:rsidRDefault="002E5BAD" w:rsidP="002E5BAD">
      <w:r w:rsidRPr="00BD57A9">
        <w:rPr>
          <w:rFonts w:cs="Arial"/>
          <w:u w:val="single"/>
          <w:rtl/>
        </w:rPr>
        <w:t xml:space="preserve">איש ואשה שמכרו בית לאחד </w:t>
      </w:r>
      <w:r w:rsidRPr="00BD57A9">
        <w:rPr>
          <w:rFonts w:cs="Arial" w:hint="cs"/>
          <w:u w:val="single"/>
          <w:rtl/>
        </w:rPr>
        <w:t>ו</w:t>
      </w:r>
      <w:r w:rsidRPr="00BD57A9">
        <w:rPr>
          <w:rFonts w:cs="Arial"/>
          <w:u w:val="single"/>
          <w:rtl/>
        </w:rPr>
        <w:t>לא שיירו לעצמם במכר זה שום זכות</w:t>
      </w:r>
      <w:r w:rsidRPr="00BD57A9">
        <w:rPr>
          <w:rFonts w:cs="Arial" w:hint="cs"/>
          <w:u w:val="single"/>
          <w:rtl/>
        </w:rPr>
        <w:t>,</w:t>
      </w:r>
      <w:r w:rsidRPr="00BD57A9">
        <w:rPr>
          <w:rFonts w:cs="Arial"/>
          <w:u w:val="single"/>
          <w:rtl/>
        </w:rPr>
        <w:t xml:space="preserve"> ואח"כ יצא על המוכר שטר חוב מוקדם למכר</w:t>
      </w:r>
      <w:r w:rsidRPr="00BD57A9">
        <w:rPr>
          <w:rFonts w:cs="Arial" w:hint="cs"/>
          <w:u w:val="single"/>
          <w:rtl/>
        </w:rPr>
        <w:t>:</w:t>
      </w:r>
      <w:r w:rsidRPr="003D2914">
        <w:rPr>
          <w:rFonts w:cs="Arial"/>
          <w:rtl/>
        </w:rPr>
        <w:t xml:space="preserve"> </w:t>
      </w:r>
    </w:p>
    <w:p w14:paraId="20F79A4D" w14:textId="77777777" w:rsidR="002E5BAD" w:rsidRDefault="002E5BAD" w:rsidP="00B75458">
      <w:pPr>
        <w:pStyle w:val="ab"/>
        <w:numPr>
          <w:ilvl w:val="0"/>
          <w:numId w:val="192"/>
        </w:numPr>
      </w:pPr>
      <w:r w:rsidRPr="003D2914">
        <w:rPr>
          <w:rFonts w:cs="Arial"/>
          <w:rtl/>
        </w:rPr>
        <w:t>רא"ש</w:t>
      </w:r>
      <w:r>
        <w:rPr>
          <w:rFonts w:cs="Arial" w:hint="cs"/>
          <w:rtl/>
        </w:rPr>
        <w:t xml:space="preserve"> </w:t>
      </w:r>
      <w:r w:rsidRPr="00002757">
        <w:rPr>
          <w:rFonts w:cs="Arial" w:hint="cs"/>
          <w:sz w:val="16"/>
          <w:szCs w:val="16"/>
          <w:rtl/>
        </w:rPr>
        <w:t>(</w:t>
      </w:r>
      <w:r w:rsidRPr="00002757">
        <w:rPr>
          <w:rFonts w:cs="Arial"/>
          <w:sz w:val="16"/>
          <w:szCs w:val="16"/>
          <w:rtl/>
        </w:rPr>
        <w:t>כלל סג סי</w:t>
      </w:r>
      <w:r>
        <w:rPr>
          <w:rFonts w:cs="Arial" w:hint="cs"/>
          <w:sz w:val="16"/>
          <w:szCs w:val="16"/>
          <w:rtl/>
        </w:rPr>
        <w:t>'</w:t>
      </w:r>
      <w:r w:rsidRPr="00002757">
        <w:rPr>
          <w:rFonts w:cs="Arial"/>
          <w:sz w:val="16"/>
          <w:szCs w:val="16"/>
          <w:rtl/>
        </w:rPr>
        <w:t xml:space="preserve"> ג</w:t>
      </w:r>
      <w:r>
        <w:rPr>
          <w:rFonts w:cs="Arial" w:hint="cs"/>
          <w:sz w:val="16"/>
          <w:szCs w:val="16"/>
          <w:rtl/>
        </w:rPr>
        <w:t>)</w:t>
      </w:r>
      <w:r>
        <w:rPr>
          <w:rFonts w:cs="Arial" w:hint="cs"/>
          <w:rtl/>
        </w:rPr>
        <w:t>-</w:t>
      </w:r>
      <w:r w:rsidRPr="003D2914">
        <w:rPr>
          <w:rFonts w:cs="Arial"/>
          <w:rtl/>
        </w:rPr>
        <w:t xml:space="preserve"> ששאלת</w:t>
      </w:r>
      <w:r>
        <w:rPr>
          <w:rFonts w:cs="Arial" w:hint="cs"/>
          <w:rtl/>
        </w:rPr>
        <w:t>,</w:t>
      </w:r>
      <w:r w:rsidRPr="003D2914">
        <w:rPr>
          <w:rFonts w:cs="Arial"/>
          <w:rtl/>
        </w:rPr>
        <w:t xml:space="preserve"> איש ואשה שמכרו בית לאחד</w:t>
      </w:r>
      <w:r>
        <w:rPr>
          <w:rFonts w:cs="Arial" w:hint="cs"/>
          <w:rtl/>
        </w:rPr>
        <w:t>,</w:t>
      </w:r>
      <w:r w:rsidRPr="003D2914">
        <w:rPr>
          <w:rFonts w:cs="Arial"/>
          <w:rtl/>
        </w:rPr>
        <w:t xml:space="preserve"> וכתבו לו בשטר שהודו המוכרים שלא שיירו לעצמם במכר זה שום זכות בעולם</w:t>
      </w:r>
      <w:r>
        <w:rPr>
          <w:rFonts w:cs="Arial" w:hint="cs"/>
          <w:rtl/>
        </w:rPr>
        <w:t>.</w:t>
      </w:r>
      <w:r w:rsidRPr="003D2914">
        <w:rPr>
          <w:rFonts w:cs="Arial"/>
          <w:rtl/>
        </w:rPr>
        <w:t xml:space="preserve"> ואח"כ יצא על המוכר שטר חוב מוקדם למכר</w:t>
      </w:r>
      <w:r>
        <w:rPr>
          <w:rFonts w:cs="Arial" w:hint="cs"/>
          <w:rtl/>
        </w:rPr>
        <w:t>,</w:t>
      </w:r>
      <w:r w:rsidRPr="003D2914">
        <w:rPr>
          <w:rFonts w:cs="Arial"/>
          <w:rtl/>
        </w:rPr>
        <w:t xml:space="preserve"> והבע"ח הוציא הקרקע מיד הלוקח בכח שטרו</w:t>
      </w:r>
      <w:r>
        <w:rPr>
          <w:rFonts w:cs="Arial" w:hint="cs"/>
          <w:rtl/>
        </w:rPr>
        <w:t>,</w:t>
      </w:r>
      <w:r w:rsidRPr="003D2914">
        <w:rPr>
          <w:rFonts w:cs="Arial"/>
          <w:rtl/>
        </w:rPr>
        <w:t xml:space="preserve"> והאשה מוציאה שטר נדוניתה שהיה מוקדמת לזה החוב כדי לקיים המקח ביד הלוקח</w:t>
      </w:r>
      <w:r>
        <w:rPr>
          <w:rFonts w:cs="Arial" w:hint="cs"/>
          <w:rtl/>
        </w:rPr>
        <w:t>.</w:t>
      </w:r>
      <w:r w:rsidRPr="003D2914">
        <w:rPr>
          <w:rFonts w:cs="Arial"/>
          <w:rtl/>
        </w:rPr>
        <w:t xml:space="preserve"> והבעל חוב טוען שכבר סלקה זכות נדוניתה מעל זה הקרקע</w:t>
      </w:r>
      <w:r>
        <w:rPr>
          <w:rFonts w:cs="Arial" w:hint="cs"/>
          <w:rtl/>
        </w:rPr>
        <w:t>.</w:t>
      </w:r>
      <w:r w:rsidRPr="003D2914">
        <w:rPr>
          <w:rFonts w:cs="Arial"/>
          <w:rtl/>
        </w:rPr>
        <w:t xml:space="preserve"> והיא טוענת אף על פי שסלקתי זכותי לענין שלא אתבענו</w:t>
      </w:r>
      <w:r>
        <w:rPr>
          <w:rFonts w:cs="Arial" w:hint="cs"/>
          <w:rtl/>
        </w:rPr>
        <w:t>,</w:t>
      </w:r>
      <w:r w:rsidRPr="003D2914">
        <w:rPr>
          <w:rFonts w:cs="Arial"/>
          <w:rtl/>
        </w:rPr>
        <w:t xml:space="preserve"> אבל כל זכות שהיה לי בקרקע מכרתי לו</w:t>
      </w:r>
      <w:r>
        <w:rPr>
          <w:rFonts w:cs="Arial" w:hint="cs"/>
          <w:rtl/>
        </w:rPr>
        <w:t>,</w:t>
      </w:r>
      <w:r w:rsidRPr="003D2914">
        <w:rPr>
          <w:rFonts w:cs="Arial"/>
          <w:rtl/>
        </w:rPr>
        <w:t xml:space="preserve"> וזה זכותי שהיה חובי מוקדם לשלך</w:t>
      </w:r>
      <w:r>
        <w:rPr>
          <w:rFonts w:cs="Arial" w:hint="cs"/>
          <w:rtl/>
        </w:rPr>
        <w:t xml:space="preserve">.   </w:t>
      </w:r>
      <w:r w:rsidRPr="003D2914">
        <w:rPr>
          <w:rFonts w:cs="Arial"/>
          <w:rtl/>
        </w:rPr>
        <w:t xml:space="preserve"> </w:t>
      </w:r>
      <w:r>
        <w:rPr>
          <w:rFonts w:cs="Arial" w:hint="cs"/>
          <w:rtl/>
        </w:rPr>
        <w:t xml:space="preserve"> </w:t>
      </w:r>
      <w:r w:rsidRPr="003D2914">
        <w:rPr>
          <w:rFonts w:cs="Arial"/>
          <w:rtl/>
        </w:rPr>
        <w:t>תשובה</w:t>
      </w:r>
      <w:r>
        <w:rPr>
          <w:rFonts w:cs="Arial" w:hint="cs"/>
          <w:rtl/>
        </w:rPr>
        <w:t>-</w:t>
      </w:r>
      <w:r w:rsidRPr="003D2914">
        <w:rPr>
          <w:rFonts w:cs="Arial"/>
          <w:rtl/>
        </w:rPr>
        <w:t xml:space="preserve"> הדין עמה</w:t>
      </w:r>
      <w:r>
        <w:rPr>
          <w:rFonts w:cs="Arial" w:hint="cs"/>
          <w:rtl/>
        </w:rPr>
        <w:t>,</w:t>
      </w:r>
      <w:r w:rsidRPr="003D2914">
        <w:rPr>
          <w:rFonts w:cs="Arial"/>
          <w:rtl/>
        </w:rPr>
        <w:t xml:space="preserve"> שלא סלקה מעל הקרקע אלא לגבי הקונה שלא תוכל להוציאו בשטר נדוניא</w:t>
      </w:r>
      <w:r>
        <w:rPr>
          <w:rFonts w:cs="Arial" w:hint="cs"/>
          <w:rtl/>
        </w:rPr>
        <w:t>,</w:t>
      </w:r>
      <w:r w:rsidRPr="003D2914">
        <w:rPr>
          <w:rFonts w:cs="Arial"/>
          <w:rtl/>
        </w:rPr>
        <w:t xml:space="preserve"> אבל לגבי אחר לא סלקה זכותה</w:t>
      </w:r>
      <w:r>
        <w:rPr>
          <w:rFonts w:cs="Arial" w:hint="cs"/>
          <w:rtl/>
        </w:rPr>
        <w:t>.</w:t>
      </w:r>
      <w:r w:rsidRPr="003D2914">
        <w:rPr>
          <w:rFonts w:cs="Arial"/>
          <w:rtl/>
        </w:rPr>
        <w:t xml:space="preserve"> והוי דינא הכי</w:t>
      </w:r>
      <w:r>
        <w:rPr>
          <w:rFonts w:cs="Arial" w:hint="cs"/>
          <w:rtl/>
        </w:rPr>
        <w:t>,</w:t>
      </w:r>
      <w:r w:rsidRPr="003D2914">
        <w:rPr>
          <w:rFonts w:cs="Arial"/>
          <w:rtl/>
        </w:rPr>
        <w:t xml:space="preserve"> בעל חוב המוקדם מוציא מיד הלוקח</w:t>
      </w:r>
      <w:r>
        <w:rPr>
          <w:rFonts w:cs="Arial" w:hint="cs"/>
          <w:rtl/>
        </w:rPr>
        <w:t>,</w:t>
      </w:r>
      <w:r w:rsidRPr="003D2914">
        <w:rPr>
          <w:rFonts w:cs="Arial"/>
          <w:rtl/>
        </w:rPr>
        <w:t xml:space="preserve"> והאשה מיד בעל חוב בנדוניתה</w:t>
      </w:r>
      <w:r>
        <w:rPr>
          <w:rFonts w:cs="Arial" w:hint="cs"/>
          <w:rtl/>
        </w:rPr>
        <w:t>,</w:t>
      </w:r>
      <w:r w:rsidRPr="003D2914">
        <w:rPr>
          <w:rFonts w:cs="Arial"/>
          <w:rtl/>
        </w:rPr>
        <w:t xml:space="preserve"> והלוקח מן האשה</w:t>
      </w:r>
      <w:r>
        <w:rPr>
          <w:rFonts w:cs="Arial" w:hint="cs"/>
          <w:rtl/>
        </w:rPr>
        <w:t>,</w:t>
      </w:r>
      <w:r w:rsidRPr="003D2914">
        <w:rPr>
          <w:rFonts w:cs="Arial"/>
          <w:rtl/>
        </w:rPr>
        <w:t xml:space="preserve"> וב"ח מיד הלוקח</w:t>
      </w:r>
      <w:r>
        <w:rPr>
          <w:rFonts w:cs="Arial" w:hint="cs"/>
          <w:rtl/>
        </w:rPr>
        <w:t>,</w:t>
      </w:r>
      <w:r w:rsidRPr="003D2914">
        <w:rPr>
          <w:rFonts w:cs="Arial"/>
          <w:rtl/>
        </w:rPr>
        <w:t xml:space="preserve"> וחוזרין חלילה עד שיעשו פשרה ביניהם</w:t>
      </w:r>
      <w:r>
        <w:rPr>
          <w:rFonts w:cs="Arial" w:hint="cs"/>
          <w:rtl/>
        </w:rPr>
        <w:t>.</w:t>
      </w:r>
      <w:r w:rsidRPr="003D2914">
        <w:rPr>
          <w:rFonts w:cs="Arial"/>
          <w:rtl/>
        </w:rPr>
        <w:t xml:space="preserve"> והלוקח עומד במקום האשה ובמקומו</w:t>
      </w:r>
      <w:r>
        <w:rPr>
          <w:rFonts w:cs="Arial" w:hint="cs"/>
          <w:rtl/>
        </w:rPr>
        <w:t>.</w:t>
      </w:r>
      <w:r w:rsidRPr="003D2914">
        <w:rPr>
          <w:rFonts w:cs="Arial"/>
          <w:rtl/>
        </w:rPr>
        <w:t xml:space="preserve"> נמצא הפשרה עשויה בנדון זה</w:t>
      </w:r>
      <w:r>
        <w:rPr>
          <w:rFonts w:cs="Arial" w:hint="cs"/>
          <w:rtl/>
        </w:rPr>
        <w:t>,</w:t>
      </w:r>
      <w:r w:rsidRPr="003D2914">
        <w:rPr>
          <w:rFonts w:cs="Arial"/>
          <w:rtl/>
        </w:rPr>
        <w:t xml:space="preserve"> כי הב"ח יוציאנו מיד הלוקח</w:t>
      </w:r>
      <w:r>
        <w:rPr>
          <w:rFonts w:cs="Arial" w:hint="cs"/>
          <w:rtl/>
        </w:rPr>
        <w:t>,</w:t>
      </w:r>
      <w:r w:rsidRPr="003D2914">
        <w:rPr>
          <w:rFonts w:cs="Arial"/>
          <w:rtl/>
        </w:rPr>
        <w:t xml:space="preserve"> והלוקח יוציאנו מיד ב"ח בשטר נדוניתה שמסרה לו האשה</w:t>
      </w:r>
      <w:r>
        <w:rPr>
          <w:rFonts w:cs="Arial" w:hint="cs"/>
          <w:rtl/>
        </w:rPr>
        <w:t>,</w:t>
      </w:r>
      <w:r w:rsidRPr="003D2914">
        <w:rPr>
          <w:rFonts w:cs="Arial"/>
          <w:rtl/>
        </w:rPr>
        <w:t xml:space="preserve"> וישאר כך הענין כי לא יוסיף אח"כ לזכות מכח הקנייה</w:t>
      </w:r>
      <w:r>
        <w:rPr>
          <w:rFonts w:cs="Arial" w:hint="cs"/>
          <w:rtl/>
        </w:rPr>
        <w:t>.</w:t>
      </w:r>
      <w:r w:rsidRPr="003D2914">
        <w:rPr>
          <w:rFonts w:cs="Arial"/>
          <w:rtl/>
        </w:rPr>
        <w:t xml:space="preserve"> </w:t>
      </w:r>
      <w:r>
        <w:rPr>
          <w:rFonts w:hint="cs"/>
          <w:rtl/>
        </w:rPr>
        <w:t xml:space="preserve"> </w:t>
      </w:r>
    </w:p>
    <w:p w14:paraId="55E72DA6" w14:textId="77777777" w:rsidR="002E5BAD" w:rsidRPr="0072427B" w:rsidRDefault="002E5BAD" w:rsidP="002E5BAD">
      <w:pPr>
        <w:rPr>
          <w:u w:val="single"/>
        </w:rPr>
      </w:pPr>
      <w:r w:rsidRPr="0072427B">
        <w:rPr>
          <w:rFonts w:hint="cs"/>
          <w:u w:val="single"/>
          <w:rtl/>
        </w:rPr>
        <w:t>יורשי</w:t>
      </w:r>
      <w:r>
        <w:rPr>
          <w:rFonts w:hint="cs"/>
          <w:u w:val="single"/>
          <w:rtl/>
        </w:rPr>
        <w:t>ם</w:t>
      </w:r>
      <w:r w:rsidRPr="0072427B">
        <w:rPr>
          <w:rFonts w:hint="cs"/>
          <w:u w:val="single"/>
          <w:rtl/>
        </w:rPr>
        <w:t xml:space="preserve"> התחייבו ל</w:t>
      </w:r>
      <w:r>
        <w:rPr>
          <w:rFonts w:hint="cs"/>
          <w:u w:val="single"/>
          <w:rtl/>
        </w:rPr>
        <w:t>אלמנה</w:t>
      </w:r>
      <w:r w:rsidRPr="0072427B">
        <w:rPr>
          <w:rFonts w:hint="cs"/>
          <w:u w:val="single"/>
          <w:rtl/>
        </w:rPr>
        <w:t xml:space="preserve"> ס"כ כל שנה למזונות וסכום שישאר לערבון, ושילשה כתובתה, </w:t>
      </w:r>
      <w:r>
        <w:rPr>
          <w:rFonts w:hint="cs"/>
          <w:u w:val="single"/>
          <w:rtl/>
        </w:rPr>
        <w:t>ו</w:t>
      </w:r>
      <w:r w:rsidRPr="0072427B">
        <w:rPr>
          <w:rFonts w:hint="cs"/>
          <w:u w:val="single"/>
          <w:rtl/>
        </w:rPr>
        <w:t>בע"ח</w:t>
      </w:r>
      <w:r>
        <w:rPr>
          <w:rFonts w:hint="cs"/>
          <w:u w:val="single"/>
          <w:rtl/>
        </w:rPr>
        <w:t xml:space="preserve"> בא לגבות מהיורשים</w:t>
      </w:r>
      <w:r w:rsidRPr="0072427B">
        <w:rPr>
          <w:rFonts w:hint="cs"/>
          <w:u w:val="single"/>
          <w:rtl/>
        </w:rPr>
        <w:t>:</w:t>
      </w:r>
    </w:p>
    <w:p w14:paraId="20CF238E" w14:textId="77777777" w:rsidR="002E5BAD" w:rsidRPr="00AC4AE8" w:rsidRDefault="002E5BAD" w:rsidP="00B75458">
      <w:pPr>
        <w:pStyle w:val="ab"/>
        <w:numPr>
          <w:ilvl w:val="0"/>
          <w:numId w:val="192"/>
        </w:numPr>
      </w:pPr>
      <w:r w:rsidRPr="00002757">
        <w:rPr>
          <w:rFonts w:cs="Arial"/>
          <w:rtl/>
        </w:rPr>
        <w:t xml:space="preserve">רשב"א </w:t>
      </w:r>
      <w:r>
        <w:rPr>
          <w:rFonts w:cs="Arial" w:hint="cs"/>
          <w:sz w:val="16"/>
          <w:szCs w:val="16"/>
          <w:rtl/>
        </w:rPr>
        <w:t>(במיוחסות סי' נז)</w:t>
      </w:r>
      <w:r>
        <w:rPr>
          <w:rFonts w:cs="Arial" w:hint="cs"/>
          <w:rtl/>
        </w:rPr>
        <w:t>-</w:t>
      </w:r>
      <w:r w:rsidRPr="00002757">
        <w:rPr>
          <w:rFonts w:cs="Arial"/>
          <w:rtl/>
        </w:rPr>
        <w:t xml:space="preserve"> שאלת</w:t>
      </w:r>
      <w:r>
        <w:rPr>
          <w:rFonts w:cs="Arial" w:hint="cs"/>
          <w:rtl/>
        </w:rPr>
        <w:t>,</w:t>
      </w:r>
      <w:r w:rsidRPr="00002757">
        <w:rPr>
          <w:rFonts w:cs="Arial"/>
          <w:rtl/>
        </w:rPr>
        <w:t xml:space="preserve"> אלמנה שיש לה כתובה על נכסי בעלה</w:t>
      </w:r>
      <w:r>
        <w:rPr>
          <w:rFonts w:cs="Arial" w:hint="cs"/>
          <w:rtl/>
        </w:rPr>
        <w:t>,</w:t>
      </w:r>
      <w:r w:rsidRPr="00002757">
        <w:rPr>
          <w:rFonts w:cs="Arial"/>
          <w:rtl/>
        </w:rPr>
        <w:t xml:space="preserve"> ונתפשרה עם יורשיו שיתנו לה ש' דינרים בכל שנה למזונותיה ופרנסתה</w:t>
      </w:r>
      <w:r>
        <w:rPr>
          <w:rFonts w:cs="Arial" w:hint="cs"/>
          <w:rtl/>
        </w:rPr>
        <w:t>.</w:t>
      </w:r>
      <w:r w:rsidRPr="00002757">
        <w:rPr>
          <w:rFonts w:cs="Arial"/>
          <w:rtl/>
        </w:rPr>
        <w:t xml:space="preserve"> ושעבדו על זה עצמם</w:t>
      </w:r>
      <w:r>
        <w:rPr>
          <w:rFonts w:cs="Arial" w:hint="cs"/>
          <w:rtl/>
        </w:rPr>
        <w:t>,</w:t>
      </w:r>
      <w:r w:rsidRPr="00002757">
        <w:rPr>
          <w:rFonts w:cs="Arial"/>
          <w:rtl/>
        </w:rPr>
        <w:t xml:space="preserve"> ועוד ייחדו לה אלפים דינר בתיבה מיוחדת שאם שמא לא יתנו לה אותו סך בכל שנה שתוכל לקחת מאותה תיבה כל מה שיחסרו לה מאותו סך</w:t>
      </w:r>
      <w:r>
        <w:rPr>
          <w:rFonts w:cs="Arial" w:hint="cs"/>
          <w:rtl/>
        </w:rPr>
        <w:t>.</w:t>
      </w:r>
      <w:r w:rsidRPr="00002757">
        <w:rPr>
          <w:rFonts w:cs="Arial"/>
          <w:rtl/>
        </w:rPr>
        <w:t xml:space="preserve"> ונתנה כתובתה ביד שליש על תנאים אלו</w:t>
      </w:r>
      <w:r>
        <w:rPr>
          <w:rFonts w:cs="Arial" w:hint="cs"/>
          <w:rtl/>
        </w:rPr>
        <w:t>,</w:t>
      </w:r>
      <w:r w:rsidRPr="00002757">
        <w:rPr>
          <w:rFonts w:cs="Arial"/>
          <w:rtl/>
        </w:rPr>
        <w:t xml:space="preserve"> ושאין השליש רשאי ליתן לה שטר כתובתה אלא אם כן יכלו כל אותם אלפים דינרים</w:t>
      </w:r>
      <w:r>
        <w:rPr>
          <w:rFonts w:cs="Arial" w:hint="cs"/>
          <w:rtl/>
        </w:rPr>
        <w:t>,</w:t>
      </w:r>
      <w:r w:rsidRPr="00002757">
        <w:rPr>
          <w:rFonts w:cs="Arial"/>
          <w:rtl/>
        </w:rPr>
        <w:t xml:space="preserve"> וכשלא ישלימו לה אותו סך יוציא השליש שטר הכתובה לגבות מנכסי הבעל אותו סך הנזכר</w:t>
      </w:r>
      <w:r>
        <w:rPr>
          <w:rFonts w:cs="Arial" w:hint="cs"/>
          <w:rtl/>
        </w:rPr>
        <w:t>.</w:t>
      </w:r>
      <w:r w:rsidRPr="00002757">
        <w:rPr>
          <w:rFonts w:cs="Arial"/>
          <w:rtl/>
        </w:rPr>
        <w:t xml:space="preserve"> אבל אין בכתב השלישות שיוציאנה לה לגבות בה כלום לעולם</w:t>
      </w:r>
      <w:r>
        <w:rPr>
          <w:rFonts w:cs="Arial" w:hint="cs"/>
          <w:rtl/>
        </w:rPr>
        <w:t>.</w:t>
      </w:r>
      <w:r w:rsidRPr="00002757">
        <w:rPr>
          <w:rFonts w:cs="Arial"/>
          <w:rtl/>
        </w:rPr>
        <w:t xml:space="preserve"> ועכשיו יצאו בעלי חובות שעל הבעל והיא מעכבת על ידם מחמת הקדמת שטר כתובתה</w:t>
      </w:r>
      <w:r>
        <w:rPr>
          <w:rFonts w:cs="Arial" w:hint="cs"/>
          <w:rtl/>
        </w:rPr>
        <w:t>.</w:t>
      </w:r>
      <w:r w:rsidRPr="00002757">
        <w:rPr>
          <w:rFonts w:cs="Arial"/>
          <w:rtl/>
        </w:rPr>
        <w:t xml:space="preserve"> והם אומרים כבר ייחדנו לך ממון</w:t>
      </w:r>
      <w:r>
        <w:rPr>
          <w:rFonts w:cs="Arial" w:hint="cs"/>
          <w:rtl/>
        </w:rPr>
        <w:t>,</w:t>
      </w:r>
      <w:r w:rsidRPr="00002757">
        <w:rPr>
          <w:rFonts w:cs="Arial"/>
          <w:rtl/>
        </w:rPr>
        <w:t xml:space="preserve"> ועוד חייבו עצמם היורשים לך</w:t>
      </w:r>
      <w:r>
        <w:rPr>
          <w:rFonts w:cs="Arial" w:hint="cs"/>
          <w:rtl/>
        </w:rPr>
        <w:t>.</w:t>
      </w:r>
      <w:r w:rsidRPr="00002757">
        <w:rPr>
          <w:rFonts w:cs="Arial"/>
          <w:rtl/>
        </w:rPr>
        <w:t xml:space="preserve"> הדין עם מי.</w:t>
      </w:r>
      <w:r>
        <w:rPr>
          <w:rFonts w:cs="Arial" w:hint="cs"/>
          <w:rtl/>
        </w:rPr>
        <w:t xml:space="preserve">    </w:t>
      </w:r>
      <w:r w:rsidRPr="00002757">
        <w:rPr>
          <w:rFonts w:cs="Arial"/>
          <w:rtl/>
        </w:rPr>
        <w:t xml:space="preserve"> תשובה</w:t>
      </w:r>
      <w:r>
        <w:rPr>
          <w:rFonts w:cs="Arial" w:hint="cs"/>
          <w:rtl/>
        </w:rPr>
        <w:t>-</w:t>
      </w:r>
      <w:r w:rsidRPr="00002757">
        <w:rPr>
          <w:rFonts w:cs="Arial"/>
          <w:rtl/>
        </w:rPr>
        <w:t xml:space="preserve"> אם נכסי המת מרובים שיספיקו עכשיו לכתובת האלמנה ובעלי החוב</w:t>
      </w:r>
      <w:r>
        <w:rPr>
          <w:rFonts w:cs="Arial" w:hint="cs"/>
          <w:rtl/>
        </w:rPr>
        <w:t>,</w:t>
      </w:r>
      <w:r w:rsidRPr="00002757">
        <w:rPr>
          <w:rFonts w:cs="Arial"/>
          <w:rtl/>
        </w:rPr>
        <w:t xml:space="preserve"> אפילו לא נתפשרה עם היורשים </w:t>
      </w:r>
      <w:r>
        <w:rPr>
          <w:rFonts w:cs="Arial" w:hint="cs"/>
          <w:rtl/>
        </w:rPr>
        <w:t xml:space="preserve">- </w:t>
      </w:r>
      <w:r w:rsidRPr="00002757">
        <w:rPr>
          <w:rFonts w:cs="Arial"/>
          <w:rtl/>
        </w:rPr>
        <w:t>אין האלמנה יכולה לעכב ביד בעלי החוב מלגבות חובם</w:t>
      </w:r>
      <w:r>
        <w:rPr>
          <w:rFonts w:cs="Arial" w:hint="cs"/>
          <w:rtl/>
        </w:rPr>
        <w:t>.</w:t>
      </w:r>
      <w:r w:rsidRPr="00002757">
        <w:rPr>
          <w:rFonts w:cs="Arial"/>
          <w:rtl/>
        </w:rPr>
        <w:t xml:space="preserve"> אלא אומרים לה אם תרצי לגבות כתובתיך</w:t>
      </w:r>
      <w:r>
        <w:rPr>
          <w:rFonts w:cs="Arial" w:hint="cs"/>
          <w:rtl/>
        </w:rPr>
        <w:t>,</w:t>
      </w:r>
      <w:r w:rsidRPr="00002757">
        <w:rPr>
          <w:rFonts w:cs="Arial"/>
          <w:rtl/>
        </w:rPr>
        <w:t xml:space="preserve"> גבי</w:t>
      </w:r>
      <w:r>
        <w:rPr>
          <w:rFonts w:cs="Arial" w:hint="cs"/>
          <w:rtl/>
        </w:rPr>
        <w:t>,</w:t>
      </w:r>
      <w:r w:rsidRPr="00002757">
        <w:rPr>
          <w:rFonts w:cs="Arial"/>
          <w:rtl/>
        </w:rPr>
        <w:t xml:space="preserve"> ואף אנו נגביה מהמותר</w:t>
      </w:r>
      <w:r>
        <w:rPr>
          <w:rFonts w:cs="Arial" w:hint="cs"/>
          <w:rtl/>
        </w:rPr>
        <w:t>.</w:t>
      </w:r>
      <w:r w:rsidRPr="00002757">
        <w:rPr>
          <w:rFonts w:cs="Arial"/>
          <w:rtl/>
        </w:rPr>
        <w:t xml:space="preserve"> ואם אמרה איני רוצה לגבות כתובתי עכשיו אלא רוצה אני לזון</w:t>
      </w:r>
      <w:r>
        <w:rPr>
          <w:rFonts w:cs="Arial" w:hint="cs"/>
          <w:rtl/>
        </w:rPr>
        <w:t>,</w:t>
      </w:r>
      <w:r w:rsidRPr="00002757">
        <w:rPr>
          <w:rFonts w:cs="Arial"/>
          <w:rtl/>
        </w:rPr>
        <w:t xml:space="preserve"> ואין שיעור למזונו</w:t>
      </w:r>
      <w:r>
        <w:rPr>
          <w:rFonts w:cs="Arial" w:hint="cs"/>
          <w:rtl/>
        </w:rPr>
        <w:t>ת</w:t>
      </w:r>
      <w:r w:rsidRPr="00002757">
        <w:rPr>
          <w:rFonts w:cs="Arial"/>
          <w:rtl/>
        </w:rPr>
        <w:t xml:space="preserve"> דאין להם קצבה</w:t>
      </w:r>
      <w:r>
        <w:rPr>
          <w:rFonts w:cs="Arial" w:hint="cs"/>
          <w:rtl/>
        </w:rPr>
        <w:t xml:space="preserve"> -</w:t>
      </w:r>
      <w:r w:rsidRPr="00002757">
        <w:rPr>
          <w:rFonts w:cs="Arial"/>
          <w:rtl/>
        </w:rPr>
        <w:t xml:space="preserve"> אין בטענתה כלום</w:t>
      </w:r>
      <w:r>
        <w:rPr>
          <w:rFonts w:cs="Arial" w:hint="cs"/>
          <w:rtl/>
        </w:rPr>
        <w:t>,</w:t>
      </w:r>
      <w:r w:rsidRPr="00002757">
        <w:rPr>
          <w:rFonts w:cs="Arial"/>
          <w:rtl/>
        </w:rPr>
        <w:t xml:space="preserve"> שאם אתה אומר כן כל מי שיש לו אשה ואפילו אין כתובתה אלא מנה ויש לו מאה מנה ויש לו עליו מלוה לא יגבה ב"ח מנכסיו כלום שכבר הוא משועבד למזונות ופרנס</w:t>
      </w:r>
      <w:r>
        <w:rPr>
          <w:rFonts w:cs="Arial" w:hint="cs"/>
          <w:rtl/>
        </w:rPr>
        <w:t>תה</w:t>
      </w:r>
      <w:r w:rsidRPr="00002757">
        <w:rPr>
          <w:rFonts w:cs="Arial"/>
          <w:rtl/>
        </w:rPr>
        <w:t xml:space="preserve"> של אשתו</w:t>
      </w:r>
      <w:r>
        <w:rPr>
          <w:rFonts w:cs="Arial" w:hint="cs"/>
          <w:rtl/>
        </w:rPr>
        <w:t>,</w:t>
      </w:r>
      <w:r w:rsidRPr="00002757">
        <w:rPr>
          <w:rFonts w:cs="Arial"/>
          <w:rtl/>
        </w:rPr>
        <w:t xml:space="preserve"> ואינו</w:t>
      </w:r>
      <w:r>
        <w:rPr>
          <w:rFonts w:cs="Arial" w:hint="cs"/>
          <w:rtl/>
        </w:rPr>
        <w:t>.</w:t>
      </w:r>
      <w:r w:rsidRPr="00002757">
        <w:rPr>
          <w:rFonts w:cs="Arial"/>
          <w:rtl/>
        </w:rPr>
        <w:t xml:space="preserve"> ותדע לך דבעל יכול למכור נכסיו ואין האשה יכולה לעכב</w:t>
      </w:r>
      <w:r>
        <w:rPr>
          <w:rFonts w:cs="Arial" w:hint="cs"/>
          <w:rtl/>
        </w:rPr>
        <w:t>,</w:t>
      </w:r>
      <w:r w:rsidRPr="00002757">
        <w:rPr>
          <w:rFonts w:cs="Arial"/>
          <w:rtl/>
        </w:rPr>
        <w:t xml:space="preserve"> לא מחמת שעבוד מזונו</w:t>
      </w:r>
      <w:r>
        <w:rPr>
          <w:rFonts w:cs="Arial" w:hint="cs"/>
          <w:rtl/>
        </w:rPr>
        <w:t>ת</w:t>
      </w:r>
      <w:r w:rsidRPr="00002757">
        <w:rPr>
          <w:rFonts w:cs="Arial"/>
          <w:rtl/>
        </w:rPr>
        <w:t xml:space="preserve"> ופרנסה</w:t>
      </w:r>
      <w:r>
        <w:rPr>
          <w:rFonts w:cs="Arial" w:hint="cs"/>
          <w:rtl/>
        </w:rPr>
        <w:t>,</w:t>
      </w:r>
      <w:r w:rsidRPr="00002757">
        <w:rPr>
          <w:rFonts w:cs="Arial"/>
          <w:rtl/>
        </w:rPr>
        <w:t xml:space="preserve"> ולא מחמת שעבוד כתובה</w:t>
      </w:r>
      <w:r>
        <w:rPr>
          <w:rFonts w:cs="Arial" w:hint="cs"/>
          <w:rtl/>
        </w:rPr>
        <w:t>.</w:t>
      </w:r>
      <w:r w:rsidRPr="00002757">
        <w:rPr>
          <w:rFonts w:cs="Arial"/>
          <w:rtl/>
        </w:rPr>
        <w:t xml:space="preserve"> וכדאמרינן (כתובות פא:) בעל אי בעי לזבוני מי לא מצי מזבן</w:t>
      </w:r>
      <w:r>
        <w:rPr>
          <w:rFonts w:cs="Arial" w:hint="cs"/>
          <w:rtl/>
        </w:rPr>
        <w:t>.</w:t>
      </w:r>
      <w:r w:rsidRPr="00002757">
        <w:rPr>
          <w:rFonts w:cs="Arial"/>
          <w:rtl/>
        </w:rPr>
        <w:t xml:space="preserve"> וכן נמי בעל חוב מוקדם אינו יכול לעכב ביד בעל חוב מאוחר לגבות חובו עכשיו</w:t>
      </w:r>
      <w:r>
        <w:rPr>
          <w:rFonts w:cs="Arial" w:hint="cs"/>
          <w:rtl/>
        </w:rPr>
        <w:t>,</w:t>
      </w:r>
      <w:r w:rsidRPr="00002757">
        <w:rPr>
          <w:rFonts w:cs="Arial"/>
          <w:rtl/>
        </w:rPr>
        <w:t xml:space="preserve"> כל שזמן גבייתו קודם לזמן בעל חוב המוקדם</w:t>
      </w:r>
      <w:r>
        <w:rPr>
          <w:rFonts w:cs="Arial" w:hint="cs"/>
          <w:rtl/>
        </w:rPr>
        <w:t>,</w:t>
      </w:r>
      <w:r w:rsidRPr="00002757">
        <w:rPr>
          <w:rFonts w:cs="Arial"/>
          <w:rtl/>
        </w:rPr>
        <w:t xml:space="preserve"> ואפילו בשעשאו אפותיקי סתם</w:t>
      </w:r>
      <w:r>
        <w:rPr>
          <w:rFonts w:cs="Arial" w:hint="cs"/>
          <w:rtl/>
        </w:rPr>
        <w:t>.</w:t>
      </w:r>
      <w:r w:rsidRPr="00002757">
        <w:rPr>
          <w:rFonts w:cs="Arial"/>
          <w:rtl/>
        </w:rPr>
        <w:t xml:space="preserve"> וכל שכן זו שנראה שנתפשרה עם היורשים מכתובתה שלא לגבות בה עכשיו</w:t>
      </w:r>
      <w:r>
        <w:rPr>
          <w:rFonts w:cs="Arial" w:hint="cs"/>
          <w:rtl/>
        </w:rPr>
        <w:t>,</w:t>
      </w:r>
      <w:r w:rsidRPr="00002757">
        <w:rPr>
          <w:rFonts w:cs="Arial"/>
          <w:rtl/>
        </w:rPr>
        <w:t xml:space="preserve"> ולא לעולם כל שנותנין לה אותו סך</w:t>
      </w:r>
      <w:r>
        <w:rPr>
          <w:rFonts w:cs="Arial" w:hint="cs"/>
          <w:rtl/>
        </w:rPr>
        <w:t>,</w:t>
      </w:r>
      <w:r w:rsidRPr="00002757">
        <w:rPr>
          <w:rFonts w:cs="Arial"/>
          <w:rtl/>
        </w:rPr>
        <w:t xml:space="preserve"> או שיספיק לה אותו ממון שמיוחד תחת ידה</w:t>
      </w:r>
      <w:r>
        <w:rPr>
          <w:rFonts w:cs="Arial" w:hint="cs"/>
          <w:rtl/>
        </w:rPr>
        <w:t>.</w:t>
      </w:r>
      <w:r w:rsidRPr="00002757">
        <w:rPr>
          <w:rFonts w:cs="Arial"/>
          <w:rtl/>
        </w:rPr>
        <w:t xml:space="preserve"> ואפילו לא יספיק מכל מקום עדיין לא הגיע זמנה</w:t>
      </w:r>
      <w:r>
        <w:rPr>
          <w:rFonts w:cs="Arial" w:hint="cs"/>
          <w:rtl/>
        </w:rPr>
        <w:t>,</w:t>
      </w:r>
      <w:r w:rsidRPr="00002757">
        <w:rPr>
          <w:rFonts w:cs="Arial"/>
          <w:rtl/>
        </w:rPr>
        <w:t xml:space="preserve"> וכל שלא הגיע זמנה אינה יכולה לעכב וכמו שכתבתי</w:t>
      </w:r>
      <w:r>
        <w:rPr>
          <w:rFonts w:cs="Arial" w:hint="cs"/>
          <w:rtl/>
        </w:rPr>
        <w:t>.</w:t>
      </w:r>
      <w:r w:rsidRPr="00002757">
        <w:rPr>
          <w:rFonts w:cs="Arial"/>
          <w:rtl/>
        </w:rPr>
        <w:t xml:space="preserve"> ואפילו בזמן שיגיע זמנה</w:t>
      </w:r>
      <w:r>
        <w:rPr>
          <w:rFonts w:cs="Arial" w:hint="cs"/>
          <w:rtl/>
        </w:rPr>
        <w:t>,</w:t>
      </w:r>
      <w:r w:rsidRPr="00002757">
        <w:rPr>
          <w:rFonts w:cs="Arial"/>
          <w:rtl/>
        </w:rPr>
        <w:t xml:space="preserve"> ר"ל שיכלה כל אותו ממון המיוחד</w:t>
      </w:r>
      <w:r>
        <w:rPr>
          <w:rFonts w:cs="Arial" w:hint="cs"/>
          <w:rtl/>
        </w:rPr>
        <w:t>,</w:t>
      </w:r>
      <w:r w:rsidRPr="00002757">
        <w:rPr>
          <w:rFonts w:cs="Arial"/>
          <w:rtl/>
        </w:rPr>
        <w:t xml:space="preserve"> אינה גובה כתובתה אלא בית דין שמין לה כמה שוה כתובתה לפי מה שנתפשרה עם היורשין</w:t>
      </w:r>
      <w:r>
        <w:rPr>
          <w:rFonts w:cs="Arial" w:hint="cs"/>
          <w:rtl/>
        </w:rPr>
        <w:t>.</w:t>
      </w:r>
      <w:r w:rsidRPr="00002757">
        <w:rPr>
          <w:rFonts w:cs="Arial"/>
          <w:rtl/>
        </w:rPr>
        <w:t xml:space="preserve"> כן דעתי נוטה</w:t>
      </w:r>
      <w:r>
        <w:rPr>
          <w:rFonts w:cs="Arial" w:hint="cs"/>
          <w:rtl/>
        </w:rPr>
        <w:t>.</w:t>
      </w:r>
      <w:r w:rsidRPr="00002757">
        <w:rPr>
          <w:rFonts w:cs="Arial"/>
          <w:rtl/>
        </w:rPr>
        <w:t xml:space="preserve"> וכל שכן זו שלא כתב השליש שיוציא לה כתובתה לגבות בה לעולם</w:t>
      </w:r>
      <w:r>
        <w:rPr>
          <w:rFonts w:cs="Arial" w:hint="cs"/>
          <w:rtl/>
        </w:rPr>
        <w:t>.</w:t>
      </w:r>
      <w:r w:rsidRPr="00002757">
        <w:rPr>
          <w:rFonts w:cs="Arial"/>
          <w:rtl/>
        </w:rPr>
        <w:t xml:space="preserve"> ולא עוד אלא שעדיין צריך תלמוד אם יכולה לעכב</w:t>
      </w:r>
      <w:r>
        <w:rPr>
          <w:rFonts w:cs="Arial" w:hint="cs"/>
          <w:rtl/>
        </w:rPr>
        <w:t>,</w:t>
      </w:r>
      <w:r w:rsidRPr="00002757">
        <w:rPr>
          <w:rFonts w:cs="Arial"/>
          <w:rtl/>
        </w:rPr>
        <w:t xml:space="preserve"> כיון ששעבדו לה היורשים נכסיהם שהרי יש לה שעבוד ממקום אחר לגבות ממנו</w:t>
      </w:r>
      <w:r>
        <w:rPr>
          <w:rFonts w:cs="Arial" w:hint="cs"/>
          <w:rtl/>
        </w:rPr>
        <w:t>.</w:t>
      </w:r>
      <w:r w:rsidRPr="00002757">
        <w:rPr>
          <w:rFonts w:cs="Arial"/>
          <w:rtl/>
        </w:rPr>
        <w:t xml:space="preserve"> ובין זה וזה תגבה היא ובעלי החוב את חובם.</w:t>
      </w:r>
    </w:p>
    <w:p w14:paraId="4593C7CA" w14:textId="77777777" w:rsidR="002E5BAD" w:rsidRPr="00AC4AE8" w:rsidRDefault="002E5BAD" w:rsidP="002E5BAD">
      <w:pPr>
        <w:rPr>
          <w:u w:val="single"/>
        </w:rPr>
      </w:pPr>
      <w:r w:rsidRPr="00AC4AE8">
        <w:rPr>
          <w:rFonts w:cs="Arial"/>
          <w:u w:val="single"/>
          <w:rtl/>
        </w:rPr>
        <w:t xml:space="preserve"> </w:t>
      </w:r>
      <w:r w:rsidRPr="00AC4AE8">
        <w:rPr>
          <w:rFonts w:hint="cs"/>
          <w:u w:val="single"/>
          <w:rtl/>
        </w:rPr>
        <w:t>מורשה של האלמנה טוען שאין ליורשים לגבות מבע"ח של הנפטר כדי שישארו משועבדים לכתובת האלמנה:</w:t>
      </w:r>
    </w:p>
    <w:p w14:paraId="51647BFB" w14:textId="77777777" w:rsidR="002E5BAD" w:rsidRPr="00AC4AE8" w:rsidRDefault="002E5BAD" w:rsidP="00B75458">
      <w:pPr>
        <w:pStyle w:val="ab"/>
        <w:numPr>
          <w:ilvl w:val="0"/>
          <w:numId w:val="192"/>
        </w:numPr>
      </w:pPr>
      <w:r>
        <w:rPr>
          <w:rFonts w:cs="Arial" w:hint="cs"/>
          <w:rtl/>
        </w:rPr>
        <w:t xml:space="preserve">רשב"א </w:t>
      </w:r>
      <w:r w:rsidRPr="00AC4AE8">
        <w:rPr>
          <w:rFonts w:cs="Arial"/>
          <w:sz w:val="16"/>
          <w:szCs w:val="16"/>
          <w:rtl/>
        </w:rPr>
        <w:t>(ח"ב סי' קע)</w:t>
      </w:r>
      <w:r>
        <w:rPr>
          <w:rFonts w:cs="Arial" w:hint="cs"/>
          <w:rtl/>
        </w:rPr>
        <w:t>-</w:t>
      </w:r>
      <w:r w:rsidRPr="00002757">
        <w:rPr>
          <w:rFonts w:cs="Arial"/>
          <w:rtl/>
        </w:rPr>
        <w:t xml:space="preserve"> מה שטען המורשה שאין ליורש לגבות החובות אינו כלום ואם יריאה שלא יאבד מה שיגבה תבא ותגבה כתובתה ואז יוציאו בית דין מן הלווים ויתנו לה מדרבי נתן או אם קדם וגבה היורש מוציאין ממנו ונותנין לאלמנה מתקנת הגאונים שתקנו שיהו המטלטלין כקרקע וכדעת הרי"ף בפרק האשה שנפלו (מ.) גבי ברייתא דמי שהיה נושה באחיו מנה ומת וכו' (פא:)</w:t>
      </w:r>
      <w:r>
        <w:rPr>
          <w:rFonts w:cs="Arial" w:hint="cs"/>
          <w:rtl/>
        </w:rPr>
        <w:t>.</w:t>
      </w:r>
      <w:r w:rsidRPr="00002757">
        <w:rPr>
          <w:rFonts w:cs="Arial"/>
          <w:rtl/>
        </w:rPr>
        <w:t xml:space="preserve"> ואע</w:t>
      </w:r>
      <w:r>
        <w:rPr>
          <w:rFonts w:cs="Arial" w:hint="cs"/>
          <w:rtl/>
        </w:rPr>
        <w:t>"</w:t>
      </w:r>
      <w:r w:rsidRPr="00002757">
        <w:rPr>
          <w:rFonts w:cs="Arial"/>
          <w:rtl/>
        </w:rPr>
        <w:t>פ שיש מגדולי הפוסקים שחולקין עליו</w:t>
      </w:r>
      <w:r>
        <w:rPr>
          <w:rFonts w:cs="Arial" w:hint="cs"/>
          <w:rtl/>
        </w:rPr>
        <w:t>,</w:t>
      </w:r>
      <w:r w:rsidRPr="00002757">
        <w:rPr>
          <w:rFonts w:cs="Arial"/>
          <w:rtl/>
        </w:rPr>
        <w:t xml:space="preserve"> אנו כך קיבלנו מרבותינו שכדברי הרי"ף עיקר. </w:t>
      </w:r>
    </w:p>
    <w:p w14:paraId="16F51FBB" w14:textId="77777777" w:rsidR="002E5BAD" w:rsidRPr="00852DF3" w:rsidRDefault="002E5BAD" w:rsidP="002E5BAD">
      <w:pPr>
        <w:rPr>
          <w:u w:val="single"/>
        </w:rPr>
      </w:pPr>
      <w:r w:rsidRPr="00852DF3">
        <w:rPr>
          <w:rFonts w:cs="Arial"/>
          <w:u w:val="single"/>
          <w:rtl/>
        </w:rPr>
        <w:t>גר שמת בלא בנים והיתה לו אשה</w:t>
      </w:r>
      <w:r>
        <w:rPr>
          <w:rFonts w:cs="Arial" w:hint="cs"/>
          <w:u w:val="single"/>
          <w:rtl/>
        </w:rPr>
        <w:t>,</w:t>
      </w:r>
      <w:r w:rsidRPr="00852DF3">
        <w:rPr>
          <w:rFonts w:cs="Arial"/>
          <w:u w:val="single"/>
          <w:rtl/>
        </w:rPr>
        <w:t xml:space="preserve"> ובא אחר וקדם וזכה בנכסים</w:t>
      </w:r>
      <w:r>
        <w:rPr>
          <w:rFonts w:cs="Arial" w:hint="cs"/>
          <w:u w:val="single"/>
          <w:rtl/>
        </w:rPr>
        <w:t xml:space="preserve"> -</w:t>
      </w:r>
      <w:r w:rsidRPr="00852DF3">
        <w:rPr>
          <w:rFonts w:cs="Arial"/>
          <w:u w:val="single"/>
          <w:rtl/>
        </w:rPr>
        <w:t xml:space="preserve"> </w:t>
      </w:r>
      <w:r>
        <w:rPr>
          <w:rFonts w:cs="Arial" w:hint="cs"/>
          <w:u w:val="single"/>
          <w:rtl/>
        </w:rPr>
        <w:t>ה</w:t>
      </w:r>
      <w:r w:rsidRPr="00852DF3">
        <w:rPr>
          <w:rFonts w:cs="Arial"/>
          <w:u w:val="single"/>
          <w:rtl/>
        </w:rPr>
        <w:t>אם תטול כתובתה מאותם נכסים</w:t>
      </w:r>
      <w:r w:rsidRPr="00852DF3">
        <w:rPr>
          <w:rFonts w:hint="cs"/>
          <w:u w:val="single"/>
          <w:rtl/>
        </w:rPr>
        <w:t>:</w:t>
      </w:r>
    </w:p>
    <w:p w14:paraId="54CF10B7" w14:textId="77777777" w:rsidR="002E5BAD" w:rsidRDefault="002E5BAD" w:rsidP="00B75458">
      <w:pPr>
        <w:pStyle w:val="ab"/>
        <w:numPr>
          <w:ilvl w:val="0"/>
          <w:numId w:val="192"/>
        </w:numPr>
      </w:pPr>
      <w:r>
        <w:rPr>
          <w:rFonts w:cs="Arial" w:hint="cs"/>
          <w:rtl/>
        </w:rPr>
        <w:t xml:space="preserve">רשב"א </w:t>
      </w:r>
      <w:r w:rsidRPr="00F773C7">
        <w:rPr>
          <w:rFonts w:cs="Arial"/>
          <w:sz w:val="16"/>
          <w:szCs w:val="16"/>
          <w:rtl/>
        </w:rPr>
        <w:t>(במיוחסות סי' סט)</w:t>
      </w:r>
      <w:r>
        <w:rPr>
          <w:rFonts w:cs="Arial" w:hint="cs"/>
          <w:rtl/>
        </w:rPr>
        <w:t>-</w:t>
      </w:r>
      <w:r w:rsidRPr="00002757">
        <w:rPr>
          <w:rFonts w:cs="Arial"/>
          <w:rtl/>
        </w:rPr>
        <w:t xml:space="preserve"> </w:t>
      </w:r>
      <w:r>
        <w:rPr>
          <w:rFonts w:cs="Arial" w:hint="cs"/>
          <w:rtl/>
        </w:rPr>
        <w:t xml:space="preserve">שאלה, </w:t>
      </w:r>
      <w:r w:rsidRPr="00852DF3">
        <w:rPr>
          <w:rFonts w:cs="Arial"/>
          <w:rtl/>
        </w:rPr>
        <w:t>גר שמת בלא בנים והיתה לו אשה. ובא אחר וקדם וזכה בנכסים. אם תטול כתובתה מאותם נכסים</w:t>
      </w:r>
      <w:r>
        <w:rPr>
          <w:rFonts w:cs="Arial" w:hint="cs"/>
          <w:rtl/>
        </w:rPr>
        <w:t>...    תשובה-...</w:t>
      </w:r>
      <w:r w:rsidRPr="00852DF3">
        <w:rPr>
          <w:rFonts w:cs="Arial"/>
          <w:rtl/>
        </w:rPr>
        <w:t xml:space="preserve"> ולעיקר הדין אני דן לפניך שאם הניח קרקע ודאי האשה גובה כתובתה ממנו. ולפי שכבר חל שעבודה על הקרקע ונכסי בחזקת אלמנה קיימי. כדאסיקנא פרק אלמנה ניזונת (צח:). וה"ה בשכתב לה מטלטלים אגב מקרקעי.</w:t>
      </w:r>
      <w:r w:rsidRPr="00852DF3">
        <w:rPr>
          <w:rFonts w:cs="Arial" w:hint="cs"/>
          <w:rtl/>
        </w:rPr>
        <w:t xml:space="preserve">.. </w:t>
      </w:r>
      <w:r w:rsidRPr="00852DF3">
        <w:rPr>
          <w:rFonts w:cs="Arial"/>
          <w:rtl/>
        </w:rPr>
        <w:t xml:space="preserve">ואיברא במטלטלים דלא כתב לה מטלטלי אגב </w:t>
      </w:r>
      <w:r w:rsidRPr="00852DF3">
        <w:rPr>
          <w:rFonts w:cs="Arial"/>
          <w:rtl/>
        </w:rPr>
        <w:lastRenderedPageBreak/>
        <w:t>מקרקעי יש לנו לדון לחוב ולזכות.</w:t>
      </w:r>
      <w:r w:rsidRPr="00852DF3">
        <w:rPr>
          <w:rFonts w:cs="Arial" w:hint="cs"/>
          <w:rtl/>
        </w:rPr>
        <w:t>..</w:t>
      </w:r>
      <w:r w:rsidRPr="00852DF3">
        <w:rPr>
          <w:rtl/>
        </w:rPr>
        <w:t xml:space="preserve"> </w:t>
      </w:r>
      <w:r w:rsidRPr="00852DF3">
        <w:rPr>
          <w:rFonts w:cs="Arial"/>
          <w:rtl/>
        </w:rPr>
        <w:t>ועל כן אני אומר דמטלטלי דגר כל שהוא ביד אחרים עד גמר מיתתו היינו אותם המופקדים אצלם וזה פירש למיתה וזה זכה הוו להו כמטלטלי דיתמי ולא גבו ממנו כתובת אשה לרבנן וב"ח לכ"ע. והיינו דאיסור גיורא ורבא. אבל הכא דבזבזו אותם ישראל לאחר מיתה כבר חל עליהם שעבוד הכתובה וב"ח בגמר מיתה וקיימי ברשותייהו. דהא לא קאי באפייהו זכות אחרים. דבמטלטלי דיתמי גופייהו אי לאו דירושה ממילא קא הויא ועם גמר מיתה קמו להו נכסי בחזקת יתמי הוו כתובת אשה וב"ח גובין מהן.</w:t>
      </w:r>
      <w:r w:rsidRPr="00852DF3">
        <w:rPr>
          <w:rFonts w:cs="Arial" w:hint="cs"/>
          <w:rtl/>
        </w:rPr>
        <w:t>..</w:t>
      </w:r>
      <w:r w:rsidRPr="00852DF3">
        <w:rPr>
          <w:rFonts w:cs="Arial"/>
          <w:rtl/>
        </w:rPr>
        <w:t xml:space="preserve"> והלכך גבי גר דבשעת מיתה לא היתה זכות אחרים מעכבת ועומדת בפני שעבוד אשה וב"ח קדמו. והוו להו כיתמי דידיה. וקמו להו נכסי ברשותייהו מפני ששעבודם חל עליהם עם גמר מיתה. ואף על פי שקדמו אחרים ובזבזו מוציאין אותם מידן. ואף על פי שאין מוציאין מיד יורשין שקדמו וזכו אפילו לרבי טרפון כשקדמו אשה וב"ח ונטלו מרשות הרבים או מסימטא שאינו רשות יורשים גובין מהם. אבל גר אפילו קדמו אחרים ובזבזו מוציאין מידם כמו שכתבתי. וכל שכן אחר תקנת הגאון ז"ל שהמטלטלים כקרקע.</w:t>
      </w:r>
    </w:p>
    <w:p w14:paraId="26C116C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9358AF" w14:textId="77777777" w:rsidR="002E5BAD" w:rsidRDefault="002E5BAD" w:rsidP="002E5BAD">
      <w:pPr>
        <w:rPr>
          <w:rtl/>
        </w:rPr>
      </w:pPr>
      <w:r>
        <w:rPr>
          <w:rFonts w:cs="Arial"/>
          <w:rtl/>
        </w:rPr>
        <w:t>מי שהיה נשוי שתי נשים, ומכר את שדהו וקנו מהאשה הראשונה תחלה, ואחר כך ממנו</w:t>
      </w:r>
      <w:r>
        <w:rPr>
          <w:rFonts w:cs="Arial" w:hint="cs"/>
          <w:rtl/>
        </w:rPr>
        <w:t>.</w:t>
      </w:r>
      <w:r>
        <w:rPr>
          <w:rFonts w:cs="Arial"/>
          <w:rtl/>
        </w:rPr>
        <w:t xml:space="preserve"> השניה מוציאה מיד הלוקח, והראשונה מיד השנייה, והלוקח מיד הראשונה וחוזרים חלילה, עד שיעשו פשרה ביניהם</w:t>
      </w:r>
      <w:r>
        <w:rPr>
          <w:rStyle w:val="a7"/>
          <w:rFonts w:cs="Arial"/>
          <w:rtl/>
        </w:rPr>
        <w:footnoteReference w:id="2378"/>
      </w:r>
      <w:r>
        <w:rPr>
          <w:rFonts w:cs="Arial"/>
          <w:rtl/>
        </w:rPr>
        <w:t xml:space="preserve">. </w:t>
      </w:r>
    </w:p>
    <w:p w14:paraId="27BE189A" w14:textId="77777777" w:rsidR="002E5BAD" w:rsidRDefault="002E5BAD" w:rsidP="002E5BAD">
      <w:pPr>
        <w:rPr>
          <w:rtl/>
        </w:rPr>
      </w:pPr>
    </w:p>
    <w:p w14:paraId="42C29C6B" w14:textId="77777777" w:rsidR="002E5BAD" w:rsidRDefault="002E5BAD" w:rsidP="002E5BAD">
      <w:pPr>
        <w:pStyle w:val="2"/>
        <w:rPr>
          <w:rtl/>
        </w:rPr>
      </w:pPr>
      <w:r>
        <w:rPr>
          <w:rtl/>
        </w:rPr>
        <w:t>סעיף ה</w:t>
      </w:r>
      <w:r>
        <w:rPr>
          <w:rFonts w:hint="cs"/>
          <w:rtl/>
        </w:rPr>
        <w:t>: לפי איזה מטבע גובה את כתובתה.</w:t>
      </w:r>
    </w:p>
    <w:p w14:paraId="3EF791DC" w14:textId="77777777" w:rsidR="002E5BAD" w:rsidRDefault="002E5BAD" w:rsidP="002E5BAD">
      <w:pPr>
        <w:rPr>
          <w:rtl/>
        </w:rPr>
      </w:pPr>
      <w:r w:rsidRPr="00D272FB">
        <w:rPr>
          <w:rFonts w:cs="Arial" w:hint="cs"/>
          <w:b/>
          <w:bCs/>
          <w:rtl/>
        </w:rPr>
        <w:t xml:space="preserve">כתובות </w:t>
      </w:r>
      <w:r>
        <w:rPr>
          <w:rFonts w:cs="Arial" w:hint="cs"/>
          <w:b/>
          <w:bCs/>
          <w:sz w:val="16"/>
          <w:szCs w:val="16"/>
          <w:rtl/>
        </w:rPr>
        <w:t xml:space="preserve">(פ' בתרא) </w:t>
      </w:r>
      <w:r w:rsidRPr="00D272FB">
        <w:rPr>
          <w:rFonts w:cs="Arial" w:hint="cs"/>
          <w:b/>
          <w:bCs/>
          <w:rtl/>
        </w:rPr>
        <w:t xml:space="preserve">קי ע"ב: </w:t>
      </w:r>
      <w:r w:rsidRPr="00D272FB">
        <w:rPr>
          <w:rFonts w:cs="Arial"/>
          <w:u w:val="double"/>
          <w:rtl/>
        </w:rPr>
        <w:t>מתני'</w:t>
      </w:r>
      <w:r>
        <w:rPr>
          <w:rFonts w:cs="Arial" w:hint="cs"/>
          <w:rtl/>
        </w:rPr>
        <w:t>:..</w:t>
      </w:r>
      <w:r w:rsidRPr="00D272FB">
        <w:rPr>
          <w:rFonts w:cs="Arial"/>
          <w:rtl/>
        </w:rPr>
        <w:t>. נשא אשה בא"י וגרשה בארץ ישראל - נותן לה ממעות ארץ ישראל. נשא אשה בא"י וגרשה בקפוטקיא - נותן לה ממעות ארץ ישראל. נשא אשה בקפוטקיא וגרשה בארץ ישראל - נותן לה ממעות ארץ ישראל, רבן שמעון בן גמליאל אומר: נותן לה ממעות קפוטקיא</w:t>
      </w:r>
      <w:r>
        <w:rPr>
          <w:rStyle w:val="a7"/>
          <w:rFonts w:cs="Arial"/>
          <w:rtl/>
        </w:rPr>
        <w:footnoteReference w:id="2379"/>
      </w:r>
      <w:r w:rsidRPr="00D272FB">
        <w:rPr>
          <w:rFonts w:cs="Arial"/>
          <w:rtl/>
        </w:rPr>
        <w:t>. נשא אשה בקפוטקיא וגרשה בקפוטקיא - נותן לה ממעות קפוטקיא.</w:t>
      </w:r>
      <w:r w:rsidRPr="00D272FB">
        <w:rPr>
          <w:rtl/>
        </w:rPr>
        <w:t xml:space="preserve"> </w:t>
      </w:r>
      <w:r>
        <w:rPr>
          <w:rFonts w:cs="Arial" w:hint="cs"/>
          <w:rtl/>
        </w:rPr>
        <w:t xml:space="preserve">      </w:t>
      </w:r>
      <w:r>
        <w:rPr>
          <w:rFonts w:cs="Arial" w:hint="cs"/>
          <w:u w:val="double"/>
          <w:rtl/>
        </w:rPr>
        <w:t>גמ</w:t>
      </w:r>
      <w:r w:rsidRPr="00D272FB">
        <w:rPr>
          <w:rFonts w:cs="Arial"/>
          <w:u w:val="double"/>
          <w:rtl/>
        </w:rPr>
        <w:t>'</w:t>
      </w:r>
      <w:r>
        <w:rPr>
          <w:rFonts w:cs="Arial" w:hint="cs"/>
          <w:rtl/>
        </w:rPr>
        <w:t xml:space="preserve">: </w:t>
      </w:r>
      <w:r w:rsidRPr="00D272FB">
        <w:rPr>
          <w:rFonts w:cs="Arial"/>
          <w:rtl/>
        </w:rPr>
        <w:t>נשא אשה כו'. הא גופא קשיא, קתני: נשא אשה בארץ ישראל וגרשה בקפוטקיא - נותן לה ממעות ארץ ישראל, אלמא בתר שיעבודא אזלינן</w:t>
      </w:r>
      <w:r>
        <w:rPr>
          <w:rFonts w:cs="Arial" w:hint="cs"/>
          <w:rtl/>
        </w:rPr>
        <w:t>.</w:t>
      </w:r>
      <w:r w:rsidRPr="00D272FB">
        <w:rPr>
          <w:rFonts w:cs="Arial"/>
          <w:rtl/>
        </w:rPr>
        <w:t xml:space="preserve"> אימא סיפא: נשא אשה בקפוטקיא וגרשה בארץ ישראל - נותן לה ממעות ארץ ישראל, אלמא בתר גוביינא אזלינן! </w:t>
      </w:r>
      <w:r w:rsidRPr="00D272FB">
        <w:rPr>
          <w:rFonts w:cs="Arial"/>
          <w:u w:val="single"/>
          <w:rtl/>
        </w:rPr>
        <w:t>אמר רבה</w:t>
      </w:r>
      <w:r w:rsidRPr="00D272FB">
        <w:rPr>
          <w:rFonts w:cs="Arial"/>
          <w:rtl/>
        </w:rPr>
        <w:t>: מקולי כתובה שנו כאן</w:t>
      </w:r>
      <w:r>
        <w:rPr>
          <w:rStyle w:val="a7"/>
          <w:rFonts w:cs="Arial"/>
          <w:rtl/>
        </w:rPr>
        <w:footnoteReference w:id="2380"/>
      </w:r>
      <w:r w:rsidRPr="00D272FB">
        <w:rPr>
          <w:rFonts w:cs="Arial"/>
          <w:rtl/>
        </w:rPr>
        <w:t>, קסבר: כתובה דרבנן.</w:t>
      </w:r>
      <w:r w:rsidRPr="00667CE7">
        <w:rPr>
          <w:rtl/>
        </w:rPr>
        <w:t xml:space="preserve"> </w:t>
      </w:r>
      <w:r w:rsidRPr="00667CE7">
        <w:rPr>
          <w:rFonts w:cs="Arial"/>
          <w:rtl/>
        </w:rPr>
        <w:t>רבן שמעון בן גמליאל אומר: נותן לה ממעות קפוטקיא. קסבר: כתובה דאורייתא</w:t>
      </w:r>
      <w:r>
        <w:rPr>
          <w:rStyle w:val="a7"/>
          <w:rFonts w:cs="Arial"/>
          <w:rtl/>
        </w:rPr>
        <w:footnoteReference w:id="2381"/>
      </w:r>
      <w:r w:rsidRPr="00667CE7">
        <w:rPr>
          <w:rFonts w:cs="Arial"/>
          <w:rtl/>
        </w:rPr>
        <w:t>.</w:t>
      </w:r>
      <w:r w:rsidRPr="00D272FB">
        <w:rPr>
          <w:rFonts w:cs="Arial" w:hint="cs"/>
          <w:sz w:val="16"/>
          <w:szCs w:val="16"/>
          <w:rtl/>
        </w:rPr>
        <w:t xml:space="preserve"> (</w:t>
      </w:r>
      <w:r w:rsidRPr="00D272FB">
        <w:rPr>
          <w:rFonts w:cs="Arial"/>
          <w:sz w:val="16"/>
          <w:szCs w:val="16"/>
          <w:rtl/>
        </w:rPr>
        <w:t>וכבר נתבאר בסימן ס"ו (צט. ד"ה כתב ר"ת) שר"ת (תוס' י. ד"ה אמר) סובר דהלכה כרבן שמעון בן גמליאל והרי"ף (סה:) והרמב"ם (פ"י מאישות ה"ז) וכל הגאונים סוברים דהלכה כת"ק</w:t>
      </w:r>
      <w:r>
        <w:rPr>
          <w:rFonts w:cs="Arial" w:hint="cs"/>
          <w:sz w:val="16"/>
          <w:szCs w:val="16"/>
          <w:rtl/>
        </w:rPr>
        <w:t>, ב"י)</w:t>
      </w:r>
    </w:p>
    <w:p w14:paraId="3AA3685C" w14:textId="77777777" w:rsidR="002E5BAD" w:rsidRPr="00823CA2" w:rsidRDefault="002E5BAD" w:rsidP="002E5BAD">
      <w:pPr>
        <w:rPr>
          <w:u w:val="single"/>
          <w:rtl/>
        </w:rPr>
      </w:pPr>
      <w:r w:rsidRPr="00823CA2">
        <w:rPr>
          <w:rFonts w:hint="cs"/>
          <w:u w:val="single"/>
          <w:rtl/>
        </w:rPr>
        <w:t>לפי איזה מטבע גובה את כתובתה:</w:t>
      </w:r>
    </w:p>
    <w:p w14:paraId="29E7572F" w14:textId="77777777" w:rsidR="002E5BAD" w:rsidRPr="006508B5" w:rsidRDefault="002E5BAD" w:rsidP="00B75458">
      <w:pPr>
        <w:pStyle w:val="ab"/>
        <w:numPr>
          <w:ilvl w:val="0"/>
          <w:numId w:val="192"/>
        </w:numPr>
      </w:pPr>
      <w:r>
        <w:rPr>
          <w:rFonts w:cs="Arial" w:hint="cs"/>
          <w:rtl/>
        </w:rPr>
        <w:t xml:space="preserve">כל הגאונים </w:t>
      </w:r>
      <w:r>
        <w:rPr>
          <w:rFonts w:cs="Arial" w:hint="cs"/>
          <w:sz w:val="16"/>
          <w:szCs w:val="16"/>
          <w:rtl/>
        </w:rPr>
        <w:t>(כ"כ הטור והב"י בשמם)</w:t>
      </w:r>
      <w:r>
        <w:rPr>
          <w:rFonts w:cs="Arial" w:hint="cs"/>
          <w:rtl/>
        </w:rPr>
        <w:t xml:space="preserve"> רי"ף </w:t>
      </w:r>
      <w:r w:rsidRPr="00D272FB">
        <w:rPr>
          <w:rFonts w:cs="Arial"/>
          <w:sz w:val="16"/>
          <w:szCs w:val="16"/>
          <w:rtl/>
        </w:rPr>
        <w:t>(סה:)</w:t>
      </w:r>
      <w:r>
        <w:rPr>
          <w:rFonts w:cs="Arial" w:hint="cs"/>
          <w:sz w:val="16"/>
          <w:szCs w:val="16"/>
          <w:rtl/>
        </w:rPr>
        <w:t xml:space="preserve"> </w:t>
      </w:r>
      <w:r>
        <w:rPr>
          <w:rFonts w:cs="Arial" w:hint="cs"/>
          <w:rtl/>
        </w:rPr>
        <w:t xml:space="preserve">רמב"ם </w:t>
      </w:r>
      <w:r w:rsidRPr="00D272FB">
        <w:rPr>
          <w:rFonts w:cs="Arial"/>
          <w:sz w:val="16"/>
          <w:szCs w:val="16"/>
          <w:rtl/>
        </w:rPr>
        <w:t>(פ"י מאישות ה"ז</w:t>
      </w:r>
      <w:r>
        <w:rPr>
          <w:rFonts w:cs="Arial" w:hint="cs"/>
          <w:sz w:val="16"/>
          <w:szCs w:val="16"/>
          <w:rtl/>
        </w:rPr>
        <w:t>, וכן בפט"ז ה"ו</w:t>
      </w:r>
      <w:r w:rsidRPr="00D272FB">
        <w:rPr>
          <w:rFonts w:cs="Arial"/>
          <w:sz w:val="16"/>
          <w:szCs w:val="16"/>
          <w:rtl/>
        </w:rPr>
        <w:t xml:space="preserve">) </w:t>
      </w:r>
      <w:r>
        <w:rPr>
          <w:rFonts w:cs="Arial" w:hint="cs"/>
          <w:rtl/>
        </w:rPr>
        <w:t xml:space="preserve">וטור- </w:t>
      </w:r>
      <w:r w:rsidRPr="003D2914">
        <w:rPr>
          <w:rFonts w:cs="Arial"/>
          <w:rtl/>
        </w:rPr>
        <w:t>אין הכתובה נגבית אלא בפחות שבמטבעות</w:t>
      </w:r>
      <w:r>
        <w:rPr>
          <w:rFonts w:cs="Arial" w:hint="cs"/>
          <w:rtl/>
        </w:rPr>
        <w:t>.</w:t>
      </w:r>
      <w:r w:rsidRPr="003D2914">
        <w:rPr>
          <w:rFonts w:cs="Arial"/>
          <w:rtl/>
        </w:rPr>
        <w:t xml:space="preserve"> כגון</w:t>
      </w:r>
      <w:r>
        <w:rPr>
          <w:rFonts w:cs="Arial" w:hint="cs"/>
          <w:rtl/>
        </w:rPr>
        <w:t>,</w:t>
      </w:r>
      <w:r w:rsidRPr="003D2914">
        <w:rPr>
          <w:rFonts w:cs="Arial"/>
          <w:rtl/>
        </w:rPr>
        <w:t xml:space="preserve"> אם נשא במקום אחר</w:t>
      </w:r>
      <w:r>
        <w:rPr>
          <w:rFonts w:cs="Arial" w:hint="cs"/>
          <w:rtl/>
        </w:rPr>
        <w:t>,</w:t>
      </w:r>
      <w:r w:rsidRPr="003D2914">
        <w:rPr>
          <w:rFonts w:cs="Arial"/>
          <w:rtl/>
        </w:rPr>
        <w:t xml:space="preserve"> וגירשה במקום אחר</w:t>
      </w:r>
      <w:r>
        <w:rPr>
          <w:rFonts w:cs="Arial" w:hint="cs"/>
          <w:rtl/>
        </w:rPr>
        <w:t>,</w:t>
      </w:r>
      <w:r w:rsidRPr="003D2914">
        <w:rPr>
          <w:rFonts w:cs="Arial"/>
          <w:rtl/>
        </w:rPr>
        <w:t xml:space="preserve"> אם מעות של מקום הנישואין טובים מהמעות של מקום הגירושין </w:t>
      </w:r>
      <w:r>
        <w:rPr>
          <w:rFonts w:cs="Arial" w:hint="cs"/>
          <w:rtl/>
        </w:rPr>
        <w:t xml:space="preserve">- </w:t>
      </w:r>
      <w:r w:rsidRPr="003D2914">
        <w:rPr>
          <w:rFonts w:cs="Arial"/>
          <w:rtl/>
        </w:rPr>
        <w:t>נותן לה ממעות של מקום הגירושין</w:t>
      </w:r>
      <w:r>
        <w:rPr>
          <w:rFonts w:cs="Arial" w:hint="cs"/>
          <w:rtl/>
        </w:rPr>
        <w:t>.</w:t>
      </w:r>
      <w:r w:rsidRPr="003D2914">
        <w:rPr>
          <w:rFonts w:cs="Arial"/>
          <w:rtl/>
        </w:rPr>
        <w:t xml:space="preserve"> ואם מעות מקום הגירושין טובים משל מקום הנישואין </w:t>
      </w:r>
      <w:r>
        <w:rPr>
          <w:rFonts w:cs="Arial" w:hint="cs"/>
          <w:rtl/>
        </w:rPr>
        <w:t xml:space="preserve">- </w:t>
      </w:r>
      <w:r w:rsidRPr="003D2914">
        <w:rPr>
          <w:rFonts w:cs="Arial"/>
          <w:rtl/>
        </w:rPr>
        <w:t>נותן לה ממעות מקום הנישואין</w:t>
      </w:r>
      <w:r>
        <w:rPr>
          <w:rFonts w:cs="Arial" w:hint="cs"/>
          <w:rtl/>
        </w:rPr>
        <w:t>.</w:t>
      </w:r>
      <w:r w:rsidRPr="003D2914">
        <w:rPr>
          <w:rFonts w:cs="Arial"/>
          <w:rtl/>
        </w:rPr>
        <w:t xml:space="preserve"> אף על פי שבשאר חוב נותן לעולם ממעות של המקום שנשתעבד בו</w:t>
      </w:r>
      <w:r>
        <w:rPr>
          <w:rFonts w:cs="Arial" w:hint="cs"/>
          <w:rtl/>
        </w:rPr>
        <w:t>,</w:t>
      </w:r>
      <w:r w:rsidRPr="003D2914">
        <w:rPr>
          <w:rFonts w:cs="Arial"/>
          <w:rtl/>
        </w:rPr>
        <w:t xml:space="preserve"> בכתובה הקילו</w:t>
      </w:r>
      <w:r>
        <w:rPr>
          <w:rStyle w:val="a7"/>
          <w:rFonts w:cs="Arial"/>
          <w:rtl/>
        </w:rPr>
        <w:footnoteReference w:id="2382"/>
      </w:r>
      <w:r>
        <w:rPr>
          <w:rFonts w:cs="Arial" w:hint="cs"/>
          <w:sz w:val="16"/>
          <w:szCs w:val="16"/>
          <w:rtl/>
        </w:rPr>
        <w:t xml:space="preserve"> (ל' הטור)</w:t>
      </w:r>
      <w:r>
        <w:rPr>
          <w:rFonts w:cs="Arial" w:hint="cs"/>
          <w:rtl/>
        </w:rPr>
        <w:t>.</w:t>
      </w:r>
      <w:r>
        <w:rPr>
          <w:rFonts w:hint="cs"/>
          <w:rtl/>
        </w:rPr>
        <w:t xml:space="preserve"> </w:t>
      </w:r>
      <w:r w:rsidRPr="00DC5F45">
        <w:rPr>
          <w:rFonts w:hint="cs"/>
          <w:color w:val="E36C0A" w:themeColor="accent6" w:themeShade="BF"/>
          <w:rtl/>
        </w:rPr>
        <w:t>(וכ"פ בשו"ע)</w:t>
      </w:r>
    </w:p>
    <w:p w14:paraId="2B085DAC" w14:textId="77777777" w:rsidR="002E5BAD" w:rsidRDefault="002E5BAD" w:rsidP="00B75458">
      <w:pPr>
        <w:pStyle w:val="ab"/>
        <w:numPr>
          <w:ilvl w:val="0"/>
          <w:numId w:val="192"/>
        </w:numPr>
      </w:pPr>
      <w:r w:rsidRPr="003D2914">
        <w:rPr>
          <w:rFonts w:cs="Arial"/>
          <w:rtl/>
        </w:rPr>
        <w:t>ר"ת</w:t>
      </w:r>
      <w:r>
        <w:rPr>
          <w:rFonts w:cs="Arial" w:hint="cs"/>
          <w:sz w:val="16"/>
          <w:szCs w:val="16"/>
          <w:rtl/>
        </w:rPr>
        <w:t xml:space="preserve"> </w:t>
      </w:r>
      <w:r w:rsidRPr="00D272FB">
        <w:rPr>
          <w:rFonts w:cs="Arial"/>
          <w:sz w:val="16"/>
          <w:szCs w:val="16"/>
          <w:rtl/>
        </w:rPr>
        <w:t>(</w:t>
      </w:r>
      <w:r>
        <w:rPr>
          <w:rFonts w:cs="Arial" w:hint="cs"/>
          <w:sz w:val="16"/>
          <w:szCs w:val="16"/>
          <w:rtl/>
        </w:rPr>
        <w:t>ב</w:t>
      </w:r>
      <w:r w:rsidRPr="00D272FB">
        <w:rPr>
          <w:rFonts w:cs="Arial"/>
          <w:sz w:val="16"/>
          <w:szCs w:val="16"/>
          <w:rtl/>
        </w:rPr>
        <w:t>תוס' י. ד"ה אמר)</w:t>
      </w:r>
      <w:r>
        <w:rPr>
          <w:rFonts w:cs="Arial" w:hint="cs"/>
          <w:rtl/>
        </w:rPr>
        <w:t xml:space="preserve">- </w:t>
      </w:r>
      <w:r w:rsidRPr="003D2914">
        <w:rPr>
          <w:rFonts w:cs="Arial"/>
          <w:rtl/>
        </w:rPr>
        <w:t>גם כתובה נגבית לעולם לפי המקום שנשתעבד בו</w:t>
      </w:r>
      <w:r>
        <w:rPr>
          <w:rFonts w:cs="Arial" w:hint="cs"/>
          <w:sz w:val="16"/>
          <w:szCs w:val="16"/>
          <w:rtl/>
        </w:rPr>
        <w:t xml:space="preserve"> (ל' הטור בשמו)</w:t>
      </w:r>
      <w:r>
        <w:rPr>
          <w:rFonts w:cs="Arial" w:hint="cs"/>
          <w:rtl/>
        </w:rPr>
        <w:t>.</w:t>
      </w:r>
    </w:p>
    <w:p w14:paraId="7AFE60C7" w14:textId="77777777" w:rsidR="002E5BAD" w:rsidRDefault="002E5BAD" w:rsidP="00B75458">
      <w:pPr>
        <w:pStyle w:val="ab"/>
        <w:numPr>
          <w:ilvl w:val="0"/>
          <w:numId w:val="192"/>
        </w:numPr>
      </w:pPr>
      <w:r>
        <w:rPr>
          <w:rFonts w:cs="Arial" w:hint="cs"/>
          <w:rtl/>
        </w:rPr>
        <w:t xml:space="preserve">ראב"ד </w:t>
      </w:r>
      <w:r>
        <w:rPr>
          <w:rFonts w:cs="Arial" w:hint="cs"/>
          <w:sz w:val="16"/>
          <w:szCs w:val="16"/>
          <w:rtl/>
        </w:rPr>
        <w:t>(בהשגות פט"ז ה"ו)</w:t>
      </w:r>
      <w:r>
        <w:rPr>
          <w:rFonts w:cs="Arial" w:hint="cs"/>
          <w:rtl/>
        </w:rPr>
        <w:t xml:space="preserve">- </w:t>
      </w:r>
      <w:r w:rsidRPr="00823CA2">
        <w:rPr>
          <w:rFonts w:cs="Arial"/>
          <w:rtl/>
        </w:rPr>
        <w:t>מקולי כתובה שתטול האשה מן הפחות שבמטבעות</w:t>
      </w:r>
      <w:r>
        <w:rPr>
          <w:rFonts w:cs="Arial" w:hint="cs"/>
          <w:rtl/>
        </w:rPr>
        <w:t>,</w:t>
      </w:r>
      <w:r w:rsidRPr="00823CA2">
        <w:rPr>
          <w:rFonts w:cs="Arial"/>
          <w:rtl/>
        </w:rPr>
        <w:t xml:space="preserve"> והוא שכתב לה ממטבע היוצא</w:t>
      </w:r>
      <w:r>
        <w:rPr>
          <w:rFonts w:cs="Arial" w:hint="cs"/>
          <w:rtl/>
        </w:rPr>
        <w:t>.</w:t>
      </w:r>
      <w:r w:rsidRPr="00823CA2">
        <w:rPr>
          <w:rFonts w:cs="Arial"/>
          <w:rtl/>
        </w:rPr>
        <w:t xml:space="preserve"> אבל אם כתב לה </w:t>
      </w:r>
      <w:r>
        <w:rPr>
          <w:rFonts w:cs="Arial" w:hint="cs"/>
          <w:rtl/>
        </w:rPr>
        <w:t>'</w:t>
      </w:r>
      <w:r w:rsidRPr="00823CA2">
        <w:rPr>
          <w:rFonts w:cs="Arial"/>
          <w:rtl/>
        </w:rPr>
        <w:t>מאתים דינרים</w:t>
      </w:r>
      <w:r>
        <w:rPr>
          <w:rFonts w:cs="Arial" w:hint="cs"/>
          <w:rtl/>
        </w:rPr>
        <w:t>'</w:t>
      </w:r>
      <w:r w:rsidRPr="00823CA2">
        <w:rPr>
          <w:rFonts w:cs="Arial"/>
          <w:rtl/>
        </w:rPr>
        <w:t xml:space="preserve"> סתם</w:t>
      </w:r>
      <w:r>
        <w:rPr>
          <w:rFonts w:cs="Arial" w:hint="cs"/>
          <w:rtl/>
        </w:rPr>
        <w:t>,</w:t>
      </w:r>
      <w:r w:rsidRPr="00823CA2">
        <w:rPr>
          <w:rFonts w:cs="Arial"/>
          <w:rtl/>
        </w:rPr>
        <w:t xml:space="preserve"> הדבר ידוע שהוא אחד משמנה בכסף צורי</w:t>
      </w:r>
      <w:r>
        <w:rPr>
          <w:rStyle w:val="a7"/>
          <w:rFonts w:cs="Arial"/>
          <w:rtl/>
        </w:rPr>
        <w:footnoteReference w:id="2383"/>
      </w:r>
      <w:r w:rsidRPr="00823CA2">
        <w:rPr>
          <w:rFonts w:cs="Arial"/>
          <w:rtl/>
        </w:rPr>
        <w:t>.</w:t>
      </w:r>
    </w:p>
    <w:p w14:paraId="0BD3B592" w14:textId="77777777" w:rsidR="002E5BAD" w:rsidRPr="00D272FB" w:rsidRDefault="002E5BAD" w:rsidP="002E5BAD">
      <w:pPr>
        <w:ind w:left="360"/>
        <w:rPr>
          <w:u w:val="dotted"/>
        </w:rPr>
      </w:pPr>
      <w:r w:rsidRPr="00D272FB">
        <w:rPr>
          <w:rFonts w:hint="cs"/>
          <w:u w:val="dotted"/>
          <w:rtl/>
        </w:rPr>
        <w:t xml:space="preserve">ומה הדין </w:t>
      </w:r>
      <w:r>
        <w:rPr>
          <w:rFonts w:hint="cs"/>
          <w:u w:val="dotted"/>
          <w:rtl/>
        </w:rPr>
        <w:t xml:space="preserve">אם </w:t>
      </w:r>
      <w:r w:rsidRPr="00D272FB">
        <w:rPr>
          <w:rFonts w:hint="cs"/>
          <w:u w:val="dotted"/>
          <w:rtl/>
        </w:rPr>
        <w:t>פירש בכתובה מטבע מסויים:</w:t>
      </w:r>
    </w:p>
    <w:p w14:paraId="53E95E81" w14:textId="77777777" w:rsidR="002E5BAD" w:rsidRPr="00322A5C" w:rsidRDefault="002E5BAD" w:rsidP="00B75458">
      <w:pPr>
        <w:pStyle w:val="ab"/>
        <w:numPr>
          <w:ilvl w:val="0"/>
          <w:numId w:val="192"/>
        </w:numPr>
      </w:pPr>
      <w:r>
        <w:rPr>
          <w:rFonts w:cs="Arial" w:hint="cs"/>
          <w:rtl/>
        </w:rPr>
        <w:lastRenderedPageBreak/>
        <w:t xml:space="preserve">גאונים </w:t>
      </w:r>
      <w:r>
        <w:rPr>
          <w:rFonts w:cs="Arial" w:hint="cs"/>
          <w:sz w:val="16"/>
          <w:szCs w:val="16"/>
          <w:rtl/>
        </w:rPr>
        <w:t>(בתשו', כ"כ הב"י בשמם)</w:t>
      </w:r>
      <w:r>
        <w:rPr>
          <w:rFonts w:cs="Arial" w:hint="cs"/>
          <w:rtl/>
        </w:rPr>
        <w:t xml:space="preserve"> </w:t>
      </w:r>
      <w:r w:rsidRPr="003D2914">
        <w:rPr>
          <w:rFonts w:cs="Arial"/>
          <w:rtl/>
        </w:rPr>
        <w:t>רמב"ם</w:t>
      </w:r>
      <w:r>
        <w:rPr>
          <w:rFonts w:cs="Arial" w:hint="cs"/>
          <w:rtl/>
        </w:rPr>
        <w:t xml:space="preserve"> </w:t>
      </w:r>
      <w:r>
        <w:rPr>
          <w:rFonts w:cs="Arial" w:hint="cs"/>
          <w:sz w:val="16"/>
          <w:szCs w:val="16"/>
          <w:rtl/>
        </w:rPr>
        <w:t>(פט"ז מאישות ה"ו)</w:t>
      </w:r>
      <w:r>
        <w:rPr>
          <w:rFonts w:cs="Arial" w:hint="cs"/>
          <w:rtl/>
        </w:rPr>
        <w:t xml:space="preserve"> וטור-</w:t>
      </w:r>
      <w:r w:rsidRPr="003D2914">
        <w:rPr>
          <w:rFonts w:cs="Arial"/>
          <w:rtl/>
        </w:rPr>
        <w:t xml:space="preserve"> ב</w:t>
      </w:r>
      <w:r>
        <w:rPr>
          <w:rFonts w:cs="Arial" w:hint="cs"/>
          <w:rtl/>
        </w:rPr>
        <w:t>מה דברים אמורים,</w:t>
      </w:r>
      <w:r w:rsidRPr="003D2914">
        <w:rPr>
          <w:rFonts w:cs="Arial"/>
          <w:rtl/>
        </w:rPr>
        <w:t xml:space="preserve"> כשהיה בכתובתה מעות סתם</w:t>
      </w:r>
      <w:r>
        <w:rPr>
          <w:rFonts w:cs="Arial" w:hint="cs"/>
          <w:rtl/>
        </w:rPr>
        <w:t>.</w:t>
      </w:r>
      <w:r w:rsidRPr="003D2914">
        <w:rPr>
          <w:rFonts w:cs="Arial"/>
          <w:rtl/>
        </w:rPr>
        <w:t xml:space="preserve"> אבל אם פי' בה מטבע ידוע</w:t>
      </w:r>
      <w:r>
        <w:rPr>
          <w:rFonts w:cs="Arial" w:hint="cs"/>
          <w:rtl/>
        </w:rPr>
        <w:t>,</w:t>
      </w:r>
      <w:r w:rsidRPr="003D2914">
        <w:rPr>
          <w:rFonts w:cs="Arial"/>
          <w:rtl/>
        </w:rPr>
        <w:t xml:space="preserve"> בין עיקר בין בתוספת </w:t>
      </w:r>
      <w:r>
        <w:rPr>
          <w:rFonts w:cs="Arial" w:hint="cs"/>
          <w:rtl/>
        </w:rPr>
        <w:t xml:space="preserve">- </w:t>
      </w:r>
      <w:r w:rsidRPr="003D2914">
        <w:rPr>
          <w:rFonts w:cs="Arial"/>
          <w:rtl/>
        </w:rPr>
        <w:t>הרי הוא כדין המלוה לחבירו מטבע ידוע שפירש לו מה שהלוה</w:t>
      </w:r>
      <w:r>
        <w:rPr>
          <w:rFonts w:cs="Arial" w:hint="cs"/>
          <w:rtl/>
        </w:rPr>
        <w:t>.</w:t>
      </w:r>
      <w:r w:rsidRPr="003D2914">
        <w:rPr>
          <w:rFonts w:cs="Arial"/>
          <w:rtl/>
        </w:rPr>
        <w:t xml:space="preserve"> </w:t>
      </w:r>
      <w:r w:rsidRPr="00DC5F45">
        <w:rPr>
          <w:rFonts w:hint="cs"/>
          <w:color w:val="E36C0A" w:themeColor="accent6" w:themeShade="BF"/>
          <w:rtl/>
        </w:rPr>
        <w:t>(וכ"פ בשו"ע)</w:t>
      </w:r>
    </w:p>
    <w:p w14:paraId="3ADB6B1B" w14:textId="77777777" w:rsidR="002E5BAD" w:rsidRPr="00322A5C" w:rsidRDefault="002E5BAD" w:rsidP="002E5BAD">
      <w:pPr>
        <w:rPr>
          <w:u w:val="single"/>
        </w:rPr>
      </w:pPr>
      <w:r w:rsidRPr="00322A5C">
        <w:rPr>
          <w:rFonts w:hint="cs"/>
          <w:u w:val="single"/>
          <w:rtl/>
        </w:rPr>
        <w:t>האם התוספת שליש שנהגו בחלק מהמקומות היא התוספת המוזכרת בגמרא:</w:t>
      </w:r>
    </w:p>
    <w:p w14:paraId="0EA8C866" w14:textId="77777777" w:rsidR="002E5BAD" w:rsidRPr="00322A5C" w:rsidRDefault="002E5BAD" w:rsidP="00B75458">
      <w:pPr>
        <w:pStyle w:val="ab"/>
        <w:numPr>
          <w:ilvl w:val="0"/>
          <w:numId w:val="192"/>
        </w:numPr>
      </w:pPr>
      <w:r w:rsidRPr="00322A5C">
        <w:rPr>
          <w:rFonts w:cs="Arial" w:hint="cs"/>
          <w:rtl/>
        </w:rPr>
        <w:t xml:space="preserve">מהרי"ק </w:t>
      </w:r>
      <w:r w:rsidRPr="00322A5C">
        <w:rPr>
          <w:rFonts w:cs="Arial" w:hint="cs"/>
          <w:sz w:val="16"/>
          <w:szCs w:val="16"/>
          <w:rtl/>
        </w:rPr>
        <w:t>(</w:t>
      </w:r>
      <w:r w:rsidRPr="00322A5C">
        <w:rPr>
          <w:rFonts w:cs="Arial"/>
          <w:sz w:val="16"/>
          <w:szCs w:val="16"/>
          <w:rtl/>
        </w:rPr>
        <w:t>שורש פא ענף א מד ע"ב)</w:t>
      </w:r>
      <w:r w:rsidRPr="00322A5C">
        <w:rPr>
          <w:rFonts w:cs="Arial" w:hint="cs"/>
          <w:rtl/>
        </w:rPr>
        <w:t>-</w:t>
      </w:r>
      <w:r w:rsidRPr="00322A5C">
        <w:rPr>
          <w:rFonts w:cs="Arial"/>
          <w:rtl/>
        </w:rPr>
        <w:t xml:space="preserve"> תוספת שליש הנהוג בינינו אינו התוספת הנזכר בכל מקום בתלמוד</w:t>
      </w:r>
      <w:r>
        <w:rPr>
          <w:rFonts w:cs="Arial" w:hint="cs"/>
          <w:rtl/>
        </w:rPr>
        <w:t>,</w:t>
      </w:r>
      <w:r w:rsidRPr="00322A5C">
        <w:rPr>
          <w:rFonts w:cs="Arial"/>
          <w:rtl/>
        </w:rPr>
        <w:t xml:space="preserve"> אלא היא מעיקר הדין</w:t>
      </w:r>
      <w:r w:rsidRPr="00322A5C">
        <w:rPr>
          <w:rFonts w:cs="Arial" w:hint="cs"/>
          <w:rtl/>
        </w:rPr>
        <w:t>.</w:t>
      </w:r>
      <w:r w:rsidRPr="00322A5C">
        <w:rPr>
          <w:rFonts w:cs="Arial"/>
          <w:rtl/>
        </w:rPr>
        <w:t xml:space="preserve"> ומנהג אבותינו שהנהיגו אותה בכל גלילותינו תורה היא</w:t>
      </w:r>
      <w:r w:rsidRPr="00322A5C">
        <w:rPr>
          <w:rFonts w:cs="Arial" w:hint="cs"/>
          <w:rtl/>
        </w:rPr>
        <w:t>,</w:t>
      </w:r>
      <w:r w:rsidRPr="00322A5C">
        <w:rPr>
          <w:rFonts w:cs="Arial"/>
          <w:rtl/>
        </w:rPr>
        <w:t xml:space="preserve"> ועל פי התלמוד</w:t>
      </w:r>
      <w:r w:rsidRPr="00322A5C">
        <w:rPr>
          <w:rFonts w:cs="Arial" w:hint="cs"/>
          <w:rtl/>
        </w:rPr>
        <w:t>,</w:t>
      </w:r>
      <w:r w:rsidRPr="00322A5C">
        <w:rPr>
          <w:rFonts w:cs="Arial"/>
          <w:rtl/>
        </w:rPr>
        <w:t xml:space="preserve"> ויש לה דין נכסי צאן ברזל שהיא הנדוניא</w:t>
      </w:r>
      <w:r>
        <w:rPr>
          <w:rStyle w:val="a7"/>
          <w:rFonts w:cs="Arial"/>
          <w:rtl/>
        </w:rPr>
        <w:footnoteReference w:id="2384"/>
      </w:r>
      <w:r w:rsidRPr="00322A5C">
        <w:rPr>
          <w:rFonts w:cs="Arial"/>
          <w:rtl/>
        </w:rPr>
        <w:t xml:space="preserve">. </w:t>
      </w:r>
      <w:r w:rsidRPr="00BB642E">
        <w:rPr>
          <w:rFonts w:hint="cs"/>
          <w:color w:val="00B0F0"/>
          <w:rtl/>
        </w:rPr>
        <w:t>(וכ"פ הרמ"א)</w:t>
      </w:r>
    </w:p>
    <w:p w14:paraId="7C1C9F82" w14:textId="77777777" w:rsidR="002E5BAD" w:rsidRPr="00A36DB5" w:rsidRDefault="002E5BAD" w:rsidP="002E5BAD">
      <w:pPr>
        <w:rPr>
          <w:u w:val="single"/>
        </w:rPr>
      </w:pPr>
      <w:r w:rsidRPr="00A36DB5">
        <w:rPr>
          <w:rFonts w:cs="Arial"/>
          <w:u w:val="single"/>
          <w:rtl/>
        </w:rPr>
        <w:t>נשא אשה בקפוטקיא</w:t>
      </w:r>
      <w:r w:rsidRPr="00A36DB5">
        <w:rPr>
          <w:rFonts w:cs="Arial" w:hint="cs"/>
          <w:u w:val="single"/>
          <w:rtl/>
        </w:rPr>
        <w:t>,</w:t>
      </w:r>
      <w:r w:rsidRPr="00A36DB5">
        <w:rPr>
          <w:rFonts w:cs="Arial"/>
          <w:u w:val="single"/>
          <w:rtl/>
        </w:rPr>
        <w:t xml:space="preserve"> והלך לארץ ישראל</w:t>
      </w:r>
      <w:r w:rsidRPr="00A36DB5">
        <w:rPr>
          <w:rFonts w:cs="Arial" w:hint="cs"/>
          <w:u w:val="single"/>
          <w:rtl/>
        </w:rPr>
        <w:t>,</w:t>
      </w:r>
      <w:r w:rsidRPr="00A36DB5">
        <w:rPr>
          <w:rFonts w:cs="Arial"/>
          <w:u w:val="single"/>
          <w:rtl/>
        </w:rPr>
        <w:t xml:space="preserve"> ואח</w:t>
      </w:r>
      <w:r w:rsidRPr="00A36DB5">
        <w:rPr>
          <w:rFonts w:cs="Arial" w:hint="cs"/>
          <w:u w:val="single"/>
          <w:rtl/>
        </w:rPr>
        <w:t>"</w:t>
      </w:r>
      <w:r w:rsidRPr="00A36DB5">
        <w:rPr>
          <w:rFonts w:cs="Arial"/>
          <w:u w:val="single"/>
          <w:rtl/>
        </w:rPr>
        <w:t>כ מרדה בו ותובעת גט בקפוטקיא</w:t>
      </w:r>
      <w:r w:rsidRPr="00A36DB5">
        <w:rPr>
          <w:rFonts w:cs="Arial" w:hint="cs"/>
          <w:u w:val="single"/>
          <w:rtl/>
        </w:rPr>
        <w:t xml:space="preserve"> -</w:t>
      </w:r>
      <w:r>
        <w:rPr>
          <w:rFonts w:cs="Arial" w:hint="cs"/>
          <w:u w:val="single"/>
          <w:rtl/>
        </w:rPr>
        <w:t xml:space="preserve"> </w:t>
      </w:r>
      <w:r w:rsidRPr="00A36DB5">
        <w:rPr>
          <w:rFonts w:cs="Arial" w:hint="cs"/>
          <w:u w:val="single"/>
          <w:rtl/>
        </w:rPr>
        <w:t>מאלו מעות נותן לה כתובתה:</w:t>
      </w:r>
    </w:p>
    <w:p w14:paraId="71202FBE" w14:textId="77777777" w:rsidR="002E5BAD" w:rsidRPr="00F02E86" w:rsidRDefault="002E5BAD" w:rsidP="00B75458">
      <w:pPr>
        <w:pStyle w:val="ab"/>
        <w:numPr>
          <w:ilvl w:val="0"/>
          <w:numId w:val="192"/>
        </w:numPr>
        <w:rPr>
          <w:rtl/>
        </w:rPr>
      </w:pPr>
      <w:r w:rsidRPr="00322A5C">
        <w:rPr>
          <w:rFonts w:cs="Arial"/>
          <w:rtl/>
        </w:rPr>
        <w:t>רשב"א</w:t>
      </w:r>
      <w:r>
        <w:rPr>
          <w:rFonts w:cs="Arial" w:hint="cs"/>
          <w:sz w:val="16"/>
          <w:szCs w:val="16"/>
          <w:rtl/>
        </w:rPr>
        <w:t xml:space="preserve"> (</w:t>
      </w:r>
      <w:r w:rsidRPr="00A94120">
        <w:rPr>
          <w:rFonts w:cs="Arial"/>
          <w:sz w:val="16"/>
          <w:szCs w:val="16"/>
          <w:rtl/>
        </w:rPr>
        <w:t>החדשות מכ</w:t>
      </w:r>
      <w:r>
        <w:rPr>
          <w:rFonts w:cs="Arial" w:hint="cs"/>
          <w:sz w:val="16"/>
          <w:szCs w:val="16"/>
          <w:rtl/>
        </w:rPr>
        <w:t>ת"</w:t>
      </w:r>
      <w:r w:rsidRPr="00A94120">
        <w:rPr>
          <w:rFonts w:cs="Arial"/>
          <w:sz w:val="16"/>
          <w:szCs w:val="16"/>
          <w:rtl/>
        </w:rPr>
        <w:t>י סי</w:t>
      </w:r>
      <w:r>
        <w:rPr>
          <w:rFonts w:cs="Arial" w:hint="cs"/>
          <w:sz w:val="16"/>
          <w:szCs w:val="16"/>
          <w:rtl/>
        </w:rPr>
        <w:t>'</w:t>
      </w:r>
      <w:r w:rsidRPr="00A94120">
        <w:rPr>
          <w:rFonts w:cs="Arial"/>
          <w:sz w:val="16"/>
          <w:szCs w:val="16"/>
          <w:rtl/>
        </w:rPr>
        <w:t xml:space="preserve"> קצו</w:t>
      </w:r>
      <w:r>
        <w:rPr>
          <w:rFonts w:cs="Arial" w:hint="cs"/>
          <w:sz w:val="16"/>
          <w:szCs w:val="16"/>
          <w:rtl/>
        </w:rPr>
        <w:t>,</w:t>
      </w:r>
      <w:r w:rsidRPr="00A94120">
        <w:rPr>
          <w:rFonts w:cs="Arial" w:hint="cs"/>
          <w:sz w:val="16"/>
          <w:szCs w:val="16"/>
          <w:rtl/>
        </w:rPr>
        <w:t xml:space="preserve"> </w:t>
      </w:r>
      <w:r>
        <w:rPr>
          <w:rFonts w:cs="Arial" w:hint="cs"/>
          <w:sz w:val="16"/>
          <w:szCs w:val="16"/>
          <w:rtl/>
        </w:rPr>
        <w:t>כ"כ הב"י בשמו)</w:t>
      </w:r>
      <w:r>
        <w:rPr>
          <w:rFonts w:cs="Arial" w:hint="cs"/>
          <w:rtl/>
        </w:rPr>
        <w:t>-</w:t>
      </w:r>
      <w:r w:rsidRPr="00322A5C">
        <w:rPr>
          <w:rFonts w:cs="Arial"/>
          <w:rtl/>
        </w:rPr>
        <w:t xml:space="preserve"> שאלת</w:t>
      </w:r>
      <w:r>
        <w:rPr>
          <w:rFonts w:cs="Arial" w:hint="cs"/>
          <w:rtl/>
        </w:rPr>
        <w:t>,</w:t>
      </w:r>
      <w:r w:rsidRPr="00322A5C">
        <w:rPr>
          <w:rFonts w:cs="Arial"/>
          <w:rtl/>
        </w:rPr>
        <w:t xml:space="preserve"> נשא אשה בקפוטקיא</w:t>
      </w:r>
      <w:r>
        <w:rPr>
          <w:rFonts w:cs="Arial" w:hint="cs"/>
          <w:rtl/>
        </w:rPr>
        <w:t>,</w:t>
      </w:r>
      <w:r w:rsidRPr="00322A5C">
        <w:rPr>
          <w:rFonts w:cs="Arial"/>
          <w:rtl/>
        </w:rPr>
        <w:t xml:space="preserve"> והלך לארץ ישראל</w:t>
      </w:r>
      <w:r>
        <w:rPr>
          <w:rFonts w:cs="Arial" w:hint="cs"/>
          <w:rtl/>
        </w:rPr>
        <w:t>.</w:t>
      </w:r>
      <w:r w:rsidRPr="00322A5C">
        <w:rPr>
          <w:rFonts w:cs="Arial"/>
          <w:rtl/>
        </w:rPr>
        <w:t xml:space="preserve"> ואחר כך מרדה בו ותובעת גט בקפוטקיא מהו.</w:t>
      </w:r>
      <w:r>
        <w:rPr>
          <w:rFonts w:cs="Arial" w:hint="cs"/>
          <w:rtl/>
        </w:rPr>
        <w:t xml:space="preserve">    </w:t>
      </w:r>
      <w:r w:rsidRPr="00322A5C">
        <w:rPr>
          <w:rFonts w:cs="Arial"/>
          <w:rtl/>
        </w:rPr>
        <w:t xml:space="preserve"> תשובה</w:t>
      </w:r>
      <w:r>
        <w:rPr>
          <w:rFonts w:cs="Arial" w:hint="cs"/>
          <w:rtl/>
        </w:rPr>
        <w:t>-</w:t>
      </w:r>
      <w:r w:rsidRPr="00322A5C">
        <w:rPr>
          <w:rFonts w:cs="Arial"/>
          <w:rtl/>
        </w:rPr>
        <w:t xml:space="preserve"> לא אמרו גירשה בארץ ישראל נותן לה ממעות ארץ ישראל אלא כשהיא שם עמו וגירשה שם</w:t>
      </w:r>
      <w:r>
        <w:rPr>
          <w:rFonts w:cs="Arial" w:hint="cs"/>
          <w:rtl/>
        </w:rPr>
        <w:t>,</w:t>
      </w:r>
      <w:r w:rsidRPr="00322A5C">
        <w:rPr>
          <w:rFonts w:cs="Arial"/>
          <w:rtl/>
        </w:rPr>
        <w:t xml:space="preserve"> אבל כאן שהיא עדיין בקפוטקיא וכאן היא גובה כתובתה נמצא מקום השעבוד ומקום הגוביינא אחד </w:t>
      </w:r>
      <w:r>
        <w:rPr>
          <w:rFonts w:cs="Arial" w:hint="cs"/>
          <w:rtl/>
        </w:rPr>
        <w:t xml:space="preserve">- </w:t>
      </w:r>
      <w:r w:rsidRPr="00322A5C">
        <w:rPr>
          <w:rFonts w:cs="Arial"/>
          <w:rtl/>
        </w:rPr>
        <w:t>והרי היא גובה ממעות קפוטקיא</w:t>
      </w:r>
      <w:r>
        <w:rPr>
          <w:rStyle w:val="a7"/>
          <w:rFonts w:cs="Arial"/>
          <w:rtl/>
        </w:rPr>
        <w:footnoteReference w:id="2385"/>
      </w:r>
      <w:r>
        <w:rPr>
          <w:rFonts w:cs="Arial" w:hint="cs"/>
          <w:rtl/>
        </w:rPr>
        <w:t>.</w:t>
      </w:r>
      <w:r>
        <w:rPr>
          <w:rFonts w:hint="cs"/>
          <w:rtl/>
        </w:rPr>
        <w:t xml:space="preserve"> </w:t>
      </w:r>
      <w:r w:rsidRPr="00BB642E">
        <w:rPr>
          <w:rFonts w:hint="cs"/>
          <w:color w:val="00B0F0"/>
          <w:rtl/>
        </w:rPr>
        <w:t>(וכ"פ הרמ"א)</w:t>
      </w:r>
    </w:p>
    <w:p w14:paraId="7AD46D0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68949E" w14:textId="77777777" w:rsidR="002E5BAD" w:rsidRDefault="002E5BAD" w:rsidP="002E5BAD">
      <w:pPr>
        <w:rPr>
          <w:rtl/>
        </w:rPr>
      </w:pPr>
      <w:r>
        <w:rPr>
          <w:rFonts w:cs="Arial"/>
          <w:rtl/>
        </w:rPr>
        <w:t xml:space="preserve">אם כתב בכתובתה, בעיקר כתובה ותוספת, מעות סתם, אינה גובה אלא בפחות שבמטבעות. כיצד, נשא אשה במקום אחד וגירשה במקום אחר, </w:t>
      </w:r>
      <w:r>
        <w:rPr>
          <w:rFonts w:cs="Arial" w:hint="cs"/>
          <w:sz w:val="18"/>
          <w:szCs w:val="18"/>
          <w:rtl/>
        </w:rPr>
        <w:t xml:space="preserve">[הגה] </w:t>
      </w:r>
      <w:r w:rsidRPr="00AB0CBA">
        <w:rPr>
          <w:rFonts w:cs="Arial"/>
          <w:sz w:val="18"/>
          <w:szCs w:val="18"/>
          <w:rtl/>
        </w:rPr>
        <w:t>והאשה שם עמו, אבל שלח לה גט למקום הנשואין</w:t>
      </w:r>
      <w:r>
        <w:rPr>
          <w:rStyle w:val="a7"/>
          <w:rFonts w:cs="Arial"/>
          <w:sz w:val="18"/>
          <w:szCs w:val="18"/>
          <w:rtl/>
        </w:rPr>
        <w:footnoteReference w:id="2386"/>
      </w:r>
      <w:r w:rsidRPr="00AB0CBA">
        <w:rPr>
          <w:rFonts w:cs="Arial"/>
          <w:sz w:val="18"/>
          <w:szCs w:val="18"/>
          <w:rtl/>
        </w:rPr>
        <w:t>, הולכין אחר מקום הנשואין (ב"י בשם</w:t>
      </w:r>
      <w:r>
        <w:rPr>
          <w:rFonts w:cs="Arial" w:hint="cs"/>
          <w:sz w:val="18"/>
          <w:szCs w:val="18"/>
          <w:rtl/>
        </w:rPr>
        <w:t xml:space="preserve"> </w:t>
      </w:r>
      <w:r w:rsidRPr="00AB0CBA">
        <w:rPr>
          <w:rFonts w:cs="Arial"/>
          <w:sz w:val="18"/>
          <w:szCs w:val="18"/>
          <w:rtl/>
        </w:rPr>
        <w:t>הרשב"א)</w:t>
      </w:r>
      <w:r>
        <w:rPr>
          <w:rFonts w:cs="Arial"/>
          <w:rtl/>
        </w:rPr>
        <w:t>, אם היה מעות מקום הנשואין טובים ממעות מקום הגירושין, נותן לה ממעות מקום הגירושין. ואם היו מעות מקום הגירושין טובים ממעות מקום הנשואין, נותן לה ממעות מקום הנשואין</w:t>
      </w:r>
      <w:r>
        <w:rPr>
          <w:rFonts w:cs="Arial" w:hint="cs"/>
          <w:rtl/>
        </w:rPr>
        <w:t>.</w:t>
      </w:r>
      <w:r>
        <w:rPr>
          <w:rFonts w:cs="Arial"/>
          <w:rtl/>
        </w:rPr>
        <w:t xml:space="preserve"> ודוקא </w:t>
      </w:r>
      <w:r>
        <w:rPr>
          <w:rFonts w:cs="Arial" w:hint="cs"/>
          <w:rtl/>
        </w:rPr>
        <w:t xml:space="preserve">[כשיש] </w:t>
      </w:r>
      <w:r>
        <w:rPr>
          <w:rFonts w:cs="Arial"/>
          <w:rtl/>
        </w:rPr>
        <w:t xml:space="preserve">בשווי המטבע שהוא מגבה לה מאתים ומנה, אבל לפחות מכאן אי אפשר. ואם פירש בכתובתה מטבע ידוע, בין בעיקר בין בתוספת, גובה ממנו כמו שכתוב בכתובה. </w:t>
      </w:r>
      <w:r w:rsidRPr="00AB0CBA">
        <w:rPr>
          <w:rFonts w:cs="Arial"/>
          <w:sz w:val="18"/>
          <w:szCs w:val="18"/>
          <w:rtl/>
        </w:rPr>
        <w:t xml:space="preserve">הגה: ונכסי צאן ברזל הולכין תמיד אחר מקום שנשתעבד שם, כמו בחוב דעלמא (המ"מ </w:t>
      </w:r>
      <w:r>
        <w:rPr>
          <w:rFonts w:cs="Arial" w:hint="cs"/>
          <w:sz w:val="18"/>
          <w:szCs w:val="18"/>
          <w:rtl/>
        </w:rPr>
        <w:t>ו</w:t>
      </w:r>
      <w:r w:rsidRPr="00AB0CBA">
        <w:rPr>
          <w:rFonts w:cs="Arial"/>
          <w:sz w:val="18"/>
          <w:szCs w:val="18"/>
          <w:rtl/>
        </w:rPr>
        <w:t>רשב"א). ובמקום שמוסיפים שליש על מה שנותנת לו, כמו שנתבאר לעיל סי' ס"ו, יש לו דין צאן ברזל ולא דין תוספת (מהרי"ק).</w:t>
      </w:r>
      <w:r>
        <w:rPr>
          <w:rFonts w:cs="Arial"/>
          <w:rtl/>
        </w:rPr>
        <w:t xml:space="preserve"> </w:t>
      </w:r>
    </w:p>
    <w:p w14:paraId="411A45D8" w14:textId="77777777" w:rsidR="002E5BAD" w:rsidRDefault="002E5BAD" w:rsidP="002E5BAD">
      <w:pPr>
        <w:rPr>
          <w:rtl/>
        </w:rPr>
      </w:pPr>
    </w:p>
    <w:p w14:paraId="27F63E25" w14:textId="77777777" w:rsidR="002E5BAD" w:rsidRDefault="002E5BAD" w:rsidP="002E5BAD">
      <w:pPr>
        <w:pStyle w:val="2"/>
        <w:rPr>
          <w:rtl/>
        </w:rPr>
      </w:pPr>
      <w:r>
        <w:rPr>
          <w:rtl/>
        </w:rPr>
        <w:t>סעיף ו</w:t>
      </w:r>
      <w:r>
        <w:rPr>
          <w:rFonts w:hint="cs"/>
          <w:rtl/>
        </w:rPr>
        <w:t>: אלמנה שאין לה שטר כתובה.</w:t>
      </w:r>
    </w:p>
    <w:p w14:paraId="2CBAE0A4" w14:textId="77777777" w:rsidR="002E5BAD" w:rsidRPr="0022386C" w:rsidRDefault="002E5BAD" w:rsidP="002E5BAD">
      <w:pPr>
        <w:rPr>
          <w:rtl/>
        </w:rPr>
      </w:pPr>
      <w:r w:rsidRPr="0022386C">
        <w:rPr>
          <w:rFonts w:cs="Arial" w:hint="cs"/>
          <w:b/>
          <w:bCs/>
          <w:rtl/>
        </w:rPr>
        <w:t xml:space="preserve">כתובות </w:t>
      </w:r>
      <w:r w:rsidRPr="0022386C">
        <w:rPr>
          <w:rFonts w:cs="Arial" w:hint="cs"/>
          <w:b/>
          <w:bCs/>
          <w:sz w:val="16"/>
          <w:szCs w:val="16"/>
          <w:rtl/>
        </w:rPr>
        <w:t>(פ' הכותב</w:t>
      </w:r>
      <w:r>
        <w:rPr>
          <w:rFonts w:cs="Arial" w:hint="cs"/>
          <w:b/>
          <w:bCs/>
          <w:sz w:val="16"/>
          <w:szCs w:val="16"/>
          <w:rtl/>
        </w:rPr>
        <w:t>)</w:t>
      </w:r>
      <w:r w:rsidRPr="0022386C">
        <w:rPr>
          <w:rFonts w:cs="Arial" w:hint="cs"/>
          <w:b/>
          <w:bCs/>
          <w:rtl/>
        </w:rPr>
        <w:t xml:space="preserve"> פח ע"ב: </w:t>
      </w:r>
      <w:r w:rsidRPr="0022386C">
        <w:rPr>
          <w:rFonts w:cs="Arial"/>
          <w:u w:val="double"/>
          <w:rtl/>
        </w:rPr>
        <w:t>מתני'</w:t>
      </w:r>
      <w:r>
        <w:rPr>
          <w:rFonts w:cs="Arial" w:hint="cs"/>
          <w:rtl/>
        </w:rPr>
        <w:t>:</w:t>
      </w:r>
      <w:r w:rsidRPr="0022386C">
        <w:rPr>
          <w:rFonts w:cs="Arial"/>
          <w:rtl/>
        </w:rPr>
        <w:t xml:space="preserve"> הוציאה גט ואין עמו כתובה</w:t>
      </w:r>
      <w:r>
        <w:rPr>
          <w:rFonts w:cs="Arial" w:hint="cs"/>
          <w:sz w:val="14"/>
          <w:szCs w:val="14"/>
          <w:rtl/>
        </w:rPr>
        <w:t xml:space="preserve"> (פט.) </w:t>
      </w:r>
      <w:r w:rsidRPr="0022386C">
        <w:rPr>
          <w:rFonts w:cs="Arial"/>
          <w:rtl/>
        </w:rPr>
        <w:t>-</w:t>
      </w:r>
      <w:r w:rsidRPr="0022386C">
        <w:rPr>
          <w:rtl/>
        </w:rPr>
        <w:t xml:space="preserve"> </w:t>
      </w:r>
      <w:r w:rsidRPr="0022386C">
        <w:rPr>
          <w:rFonts w:cs="Arial"/>
          <w:rtl/>
        </w:rPr>
        <w:t>גובה כתובתה</w:t>
      </w:r>
      <w:r>
        <w:rPr>
          <w:rFonts w:cs="Arial" w:hint="cs"/>
          <w:rtl/>
        </w:rPr>
        <w:t>..</w:t>
      </w:r>
      <w:r w:rsidRPr="0022386C">
        <w:rPr>
          <w:rFonts w:cs="Arial"/>
          <w:rtl/>
        </w:rPr>
        <w:t>.</w:t>
      </w:r>
      <w:r>
        <w:rPr>
          <w:rFonts w:hint="cs"/>
          <w:rtl/>
        </w:rPr>
        <w:t xml:space="preserve">     </w:t>
      </w:r>
      <w:r w:rsidRPr="0022386C">
        <w:rPr>
          <w:rFonts w:hint="cs"/>
          <w:u w:val="double"/>
          <w:rtl/>
        </w:rPr>
        <w:t>גמ'</w:t>
      </w:r>
      <w:r>
        <w:rPr>
          <w:rFonts w:hint="cs"/>
          <w:rtl/>
        </w:rPr>
        <w:t>:</w:t>
      </w:r>
      <w:r w:rsidRPr="0022386C">
        <w:rPr>
          <w:rFonts w:cs="Arial"/>
          <w:rtl/>
        </w:rPr>
        <w:t xml:space="preserve"> 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2387"/>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 ואף רב הדר </w:t>
      </w:r>
      <w:r w:rsidRPr="0022386C">
        <w:rPr>
          <w:rFonts w:cs="Arial"/>
          <w:rtl/>
        </w:rPr>
        <w:lastRenderedPageBreak/>
        <w:t>ביה</w:t>
      </w:r>
      <w:r>
        <w:rPr>
          <w:rStyle w:val="a7"/>
          <w:rFonts w:cs="Arial"/>
          <w:rtl/>
        </w:rPr>
        <w:footnoteReference w:id="2388"/>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Pr>
          <w:rFonts w:hint="cs"/>
          <w:rtl/>
        </w:rPr>
        <w:t xml:space="preserve"> </w:t>
      </w:r>
      <w:r w:rsidRPr="00195841">
        <w:rPr>
          <w:rFonts w:hint="cs"/>
          <w:sz w:val="16"/>
          <w:szCs w:val="16"/>
          <w:rtl/>
        </w:rPr>
        <w:t>(</w:t>
      </w:r>
      <w:r w:rsidRPr="00195841">
        <w:rPr>
          <w:rFonts w:cs="Arial"/>
          <w:sz w:val="16"/>
          <w:szCs w:val="16"/>
          <w:rtl/>
        </w:rPr>
        <w:t>הוציאה גט אוקמה שמואל במקום שאין כותבין כתובה והלכתא כותיה</w:t>
      </w:r>
      <w:r w:rsidRPr="00195841">
        <w:rPr>
          <w:rFonts w:cs="Arial" w:hint="cs"/>
          <w:sz w:val="16"/>
          <w:szCs w:val="16"/>
          <w:rtl/>
        </w:rPr>
        <w:t>, רי"ף [מח: מדפה"ר])</w:t>
      </w:r>
    </w:p>
    <w:p w14:paraId="1848CD32" w14:textId="77777777" w:rsidR="002E5BAD" w:rsidRPr="00E60DDA" w:rsidRDefault="002E5BAD" w:rsidP="002E5BAD">
      <w:pPr>
        <w:rPr>
          <w:rtl/>
        </w:rPr>
      </w:pPr>
      <w:r>
        <w:rPr>
          <w:rFonts w:hint="cs"/>
          <w:b/>
          <w:bCs/>
          <w:rtl/>
        </w:rPr>
        <w:t xml:space="preserve">בבא מציעא </w:t>
      </w:r>
      <w:r w:rsidRPr="00E60DDA">
        <w:rPr>
          <w:rFonts w:hint="cs"/>
          <w:b/>
          <w:bCs/>
          <w:sz w:val="16"/>
          <w:szCs w:val="16"/>
          <w:rtl/>
        </w:rPr>
        <w:t xml:space="preserve">(פ"ק) </w:t>
      </w:r>
      <w:r>
        <w:rPr>
          <w:rFonts w:hint="cs"/>
          <w:b/>
          <w:bCs/>
          <w:rtl/>
        </w:rPr>
        <w:t>יז ע"א:</w:t>
      </w:r>
      <w:r>
        <w:rPr>
          <w:rFonts w:hint="cs"/>
          <w:rtl/>
        </w:rPr>
        <w:t xml:space="preserve"> </w:t>
      </w:r>
      <w:r w:rsidRPr="00E60DDA">
        <w:rPr>
          <w:rFonts w:cs="Arial"/>
          <w:u w:val="single"/>
          <w:rtl/>
        </w:rPr>
        <w:t>אמר רבי חייא בר אבא אמר רבי יוחנן</w:t>
      </w:r>
      <w:r w:rsidRPr="00E60DDA">
        <w:rPr>
          <w:rFonts w:cs="Arial"/>
          <w:rtl/>
        </w:rPr>
        <w:t>: הטוען אחר מעשה בית דין</w:t>
      </w:r>
      <w:r>
        <w:rPr>
          <w:rStyle w:val="a7"/>
          <w:rFonts w:cs="Arial"/>
          <w:rtl/>
        </w:rPr>
        <w:footnoteReference w:id="2389"/>
      </w:r>
      <w:r>
        <w:rPr>
          <w:rFonts w:cs="Arial" w:hint="cs"/>
          <w:sz w:val="14"/>
          <w:szCs w:val="14"/>
          <w:rtl/>
        </w:rPr>
        <w:t xml:space="preserve"> (יז:) </w:t>
      </w:r>
      <w:r w:rsidRPr="00E60DDA">
        <w:rPr>
          <w:rFonts w:cs="Arial"/>
          <w:rtl/>
        </w:rPr>
        <w:t xml:space="preserve">- לא אמר כלום. מאי טעמא - כל מעשה בית דין כמאן דנקיט שטרא בידיה דמי. </w:t>
      </w:r>
      <w:r w:rsidRPr="00E60DDA">
        <w:rPr>
          <w:rFonts w:cs="Arial"/>
          <w:u w:val="single"/>
          <w:rtl/>
        </w:rPr>
        <w:t>אמר ליה רבי חייא בר אבא לרבי יוחנן</w:t>
      </w:r>
      <w:r w:rsidRPr="00E60DDA">
        <w:rPr>
          <w:rFonts w:cs="Arial"/>
          <w:rtl/>
        </w:rPr>
        <w:t xml:space="preserve">: ולא משנתינו היא זו - הוציאה גט ואין עמו כתובה - גובה כתובתה! </w:t>
      </w:r>
      <w:r w:rsidRPr="00E60DDA">
        <w:rPr>
          <w:rFonts w:cs="Arial"/>
          <w:u w:val="single"/>
          <w:rtl/>
        </w:rPr>
        <w:t>אמר ליה</w:t>
      </w:r>
      <w:r w:rsidRPr="00E60DDA">
        <w:rPr>
          <w:rFonts w:cs="Arial"/>
          <w:rtl/>
        </w:rPr>
        <w:t>: אי לאו דדלאי לך חספא, לא משכחת מרגניתא תותה</w:t>
      </w:r>
      <w:r>
        <w:rPr>
          <w:rStyle w:val="a7"/>
          <w:rFonts w:cs="Arial"/>
          <w:rtl/>
        </w:rPr>
        <w:footnoteReference w:id="2390"/>
      </w:r>
      <w:r w:rsidRPr="00E60DDA">
        <w:rPr>
          <w:rFonts w:cs="Arial"/>
          <w:rtl/>
        </w:rPr>
        <w:t xml:space="preserve">. </w:t>
      </w:r>
      <w:r w:rsidRPr="00E60DDA">
        <w:rPr>
          <w:rFonts w:cs="Arial"/>
          <w:u w:val="single"/>
          <w:rtl/>
        </w:rPr>
        <w:t>אמר אביי</w:t>
      </w:r>
      <w:r w:rsidRPr="00E60DDA">
        <w:rPr>
          <w:rFonts w:cs="Arial"/>
          <w:rtl/>
        </w:rPr>
        <w:t>: מאי מרגניתא? דלמא במקום שאין כותבין כתובה</w:t>
      </w:r>
      <w:r>
        <w:rPr>
          <w:rStyle w:val="a7"/>
          <w:rFonts w:cs="Arial"/>
          <w:rtl/>
        </w:rPr>
        <w:footnoteReference w:id="2391"/>
      </w:r>
      <w:r w:rsidRPr="00E60DDA">
        <w:rPr>
          <w:rFonts w:cs="Arial"/>
          <w:rtl/>
        </w:rPr>
        <w:t xml:space="preserve"> עסקינן, דגט היינו כתובתה. אבל במקום שכותבין כתובה, אי נקיטא כתובה - גביא, אי לא - לא גביא. </w:t>
      </w:r>
      <w:r w:rsidRPr="00E60DDA">
        <w:rPr>
          <w:rFonts w:cs="Arial"/>
          <w:u w:val="single"/>
          <w:rtl/>
        </w:rPr>
        <w:t>הדר אמר אביי</w:t>
      </w:r>
      <w:r w:rsidRPr="00E60DDA">
        <w:rPr>
          <w:rFonts w:cs="Arial"/>
          <w:rtl/>
        </w:rPr>
        <w:t>: לאו מלתא היא דאמרי</w:t>
      </w:r>
      <w:r>
        <w:rPr>
          <w:rFonts w:cs="Arial" w:hint="cs"/>
          <w:rtl/>
        </w:rPr>
        <w:t>,</w:t>
      </w:r>
      <w:r w:rsidRPr="00E60DDA">
        <w:rPr>
          <w:rFonts w:cs="Arial"/>
          <w:rtl/>
        </w:rPr>
        <w:t xml:space="preserve"> דאי סלקא דעתך במקום שאין כותבין כתובה עסקינן, אבל במקום שכותבין כתובה, אי נקיטא כתובה - גביא, אי לא - לא גביא, אלמנה מן האירוסין במאי גביא? בעדי מיתת בעל - לטעון</w:t>
      </w:r>
      <w:r>
        <w:rPr>
          <w:rStyle w:val="a7"/>
          <w:rFonts w:cs="Arial"/>
          <w:rtl/>
        </w:rPr>
        <w:footnoteReference w:id="2392"/>
      </w:r>
      <w:r w:rsidRPr="00E60DDA">
        <w:rPr>
          <w:rFonts w:cs="Arial"/>
          <w:rtl/>
        </w:rPr>
        <w:t xml:space="preserve"> ולימא: פרעתיה. וכי תימא: הכי נמי, אם כן מה הועילו חכמים בתקנתן</w:t>
      </w:r>
      <w:r>
        <w:rPr>
          <w:rStyle w:val="a7"/>
          <w:rFonts w:cs="Arial"/>
          <w:rtl/>
        </w:rPr>
        <w:footnoteReference w:id="2393"/>
      </w:r>
      <w:r w:rsidRPr="00E60DDA">
        <w:rPr>
          <w:rFonts w:cs="Arial"/>
          <w:rtl/>
        </w:rPr>
        <w:t>?</w:t>
      </w:r>
      <w:r>
        <w:rPr>
          <w:rFonts w:hint="cs"/>
          <w:rtl/>
        </w:rPr>
        <w:t>...</w:t>
      </w:r>
      <w:r w:rsidRPr="00794906">
        <w:rPr>
          <w:rtl/>
        </w:rPr>
        <w:t xml:space="preserve"> </w:t>
      </w:r>
      <w:r>
        <w:rPr>
          <w:rFonts w:hint="cs"/>
          <w:sz w:val="14"/>
          <w:szCs w:val="14"/>
          <w:rtl/>
        </w:rPr>
        <w:t xml:space="preserve">(יח.) </w:t>
      </w:r>
      <w:r w:rsidRPr="00794906">
        <w:rPr>
          <w:rFonts w:cs="Arial"/>
          <w:rtl/>
        </w:rPr>
        <w:t>אלא, אביי מגופה דמתניתין קא הדר ביה. דאי סלקא דעתך במקום שאין כותבין כתובה עסקינן, דגט היינו כתובתה - אטו גט מנה מאתים כתיב ביה? וכי תימא: כיון דתקינו רבנן למגבא לה - כמאן דכתיב ביה דמי, לטעון ולימא: פרעתי. וכי תימא: דאמרינן ליה אי פרעתה - איבעי לך למיקרעיה, אמר לן: לא שבקתן, אמרה: בעינא לאנסובי ביה. וכי תימא: אמרינן ליה איבעי לך למיקרעיה ומכתב אגביה: גיטא דנן דקרענוהו, לא משום דגיטא פסולה הוא, אלא כי היכי דלא תגבי ביה זמנא אחריתי - אטו כל דמגבי בבי דינא מגבי?</w:t>
      </w:r>
      <w:r>
        <w:rPr>
          <w:rFonts w:cs="Arial" w:hint="cs"/>
          <w:rtl/>
        </w:rPr>
        <w:t>.</w:t>
      </w:r>
      <w:r w:rsidRPr="006F1DF9">
        <w:rPr>
          <w:rFonts w:cs="Arial"/>
          <w:rtl/>
        </w:rPr>
        <w:t xml:space="preserve"> </w:t>
      </w:r>
      <w:r w:rsidRPr="006F1DF9">
        <w:rPr>
          <w:rFonts w:cs="Arial" w:hint="cs"/>
          <w:sz w:val="16"/>
          <w:szCs w:val="16"/>
          <w:rtl/>
        </w:rPr>
        <w:t>(</w:t>
      </w:r>
      <w:r w:rsidRPr="00794906">
        <w:rPr>
          <w:rFonts w:cs="Arial"/>
          <w:sz w:val="16"/>
          <w:szCs w:val="16"/>
          <w:rtl/>
        </w:rPr>
        <w:t>וכתב הרא"ש (סי' מד</w:t>
      </w:r>
      <w:r w:rsidRPr="00794906">
        <w:rPr>
          <w:rFonts w:cs="Arial" w:hint="cs"/>
          <w:sz w:val="16"/>
          <w:szCs w:val="16"/>
          <w:rtl/>
        </w:rPr>
        <w:t>, וכ"כ בתשו' כלל לו סי' ז</w:t>
      </w:r>
      <w:r w:rsidRPr="00794906">
        <w:rPr>
          <w:rFonts w:cs="Arial"/>
          <w:sz w:val="16"/>
          <w:szCs w:val="16"/>
          <w:rtl/>
        </w:rPr>
        <w:t>) וקשה מכאן למה שפסק רב אלפס בסוף פרק הכותב (מח:) על מתניתין דהוציאה גט ואין עמה כתובה דהלכה כשמואל (פט.) דאוקי מתניתין דוקא במקום שאין כותבין אבל במקום שכותבין אינה גובה בלא כתובה</w:t>
      </w:r>
      <w:r w:rsidRPr="00794906">
        <w:rPr>
          <w:rFonts w:cs="Arial" w:hint="cs"/>
          <w:sz w:val="16"/>
          <w:szCs w:val="16"/>
          <w:rtl/>
        </w:rPr>
        <w:t>.</w:t>
      </w:r>
      <w:r w:rsidRPr="00794906">
        <w:rPr>
          <w:rFonts w:cs="Arial"/>
          <w:sz w:val="16"/>
          <w:szCs w:val="16"/>
          <w:rtl/>
        </w:rPr>
        <w:t xml:space="preserve"> וכ"כ הרמב"ם בפי"ו מהלכות אישות (הכ"ח) האשה שהוציאה גט ואין עמה כתובה אם דרך אותו מקום לכתוב כתובה הרי זה נשבע היסת שפרע ופטור</w:t>
      </w:r>
      <w:r w:rsidRPr="00794906">
        <w:rPr>
          <w:rFonts w:cs="Arial" w:hint="cs"/>
          <w:sz w:val="16"/>
          <w:szCs w:val="16"/>
          <w:rtl/>
        </w:rPr>
        <w:t>.</w:t>
      </w:r>
      <w:r w:rsidRPr="00794906">
        <w:rPr>
          <w:rFonts w:cs="Arial"/>
          <w:sz w:val="16"/>
          <w:szCs w:val="16"/>
          <w:rtl/>
        </w:rPr>
        <w:t xml:space="preserve"> וכיון דרבי יוחנן פליג אדשמואל</w:t>
      </w:r>
      <w:r w:rsidRPr="00794906">
        <w:rPr>
          <w:rFonts w:cs="Arial" w:hint="cs"/>
          <w:sz w:val="16"/>
          <w:szCs w:val="16"/>
          <w:rtl/>
        </w:rPr>
        <w:t>,</w:t>
      </w:r>
      <w:r w:rsidRPr="00794906">
        <w:rPr>
          <w:rFonts w:cs="Arial"/>
          <w:sz w:val="16"/>
          <w:szCs w:val="16"/>
          <w:rtl/>
        </w:rPr>
        <w:t xml:space="preserve"> הלכה כרבי יוחנן</w:t>
      </w:r>
      <w:r w:rsidRPr="00794906">
        <w:rPr>
          <w:rFonts w:cs="Arial" w:hint="cs"/>
          <w:sz w:val="16"/>
          <w:szCs w:val="16"/>
          <w:rtl/>
        </w:rPr>
        <w:t>.</w:t>
      </w:r>
      <w:r w:rsidRPr="00794906">
        <w:rPr>
          <w:rFonts w:cs="Arial"/>
          <w:sz w:val="16"/>
          <w:szCs w:val="16"/>
          <w:rtl/>
        </w:rPr>
        <w:t xml:space="preserve"> ועוד דאביי דהוא בתרא סבר כותיה</w:t>
      </w:r>
      <w:r w:rsidRPr="00794906">
        <w:rPr>
          <w:rFonts w:cs="Arial" w:hint="cs"/>
          <w:sz w:val="16"/>
          <w:szCs w:val="16"/>
          <w:rtl/>
        </w:rPr>
        <w:t>.</w:t>
      </w:r>
      <w:r w:rsidRPr="00794906">
        <w:rPr>
          <w:rFonts w:cs="Arial"/>
          <w:sz w:val="16"/>
          <w:szCs w:val="16"/>
          <w:rtl/>
        </w:rPr>
        <w:t xml:space="preserve"> ועוד דרב אלפס הביא כאן (י.) דברי רבי יוחנן לפסוק הלכה</w:t>
      </w:r>
      <w:r w:rsidRPr="00794906">
        <w:rPr>
          <w:rFonts w:cs="Arial" w:hint="cs"/>
          <w:sz w:val="16"/>
          <w:szCs w:val="16"/>
          <w:rtl/>
        </w:rPr>
        <w:t>,</w:t>
      </w:r>
      <w:r w:rsidRPr="00794906">
        <w:rPr>
          <w:rFonts w:cs="Arial"/>
          <w:sz w:val="16"/>
          <w:szCs w:val="16"/>
          <w:rtl/>
        </w:rPr>
        <w:t xml:space="preserve"> והתם פסק כשמואל</w:t>
      </w:r>
      <w:r w:rsidRPr="00794906">
        <w:rPr>
          <w:rFonts w:cs="Arial" w:hint="cs"/>
          <w:sz w:val="16"/>
          <w:szCs w:val="16"/>
          <w:rtl/>
        </w:rPr>
        <w:t>.</w:t>
      </w:r>
      <w:r w:rsidRPr="00794906">
        <w:rPr>
          <w:rFonts w:cs="Arial"/>
          <w:sz w:val="16"/>
          <w:szCs w:val="16"/>
          <w:rtl/>
        </w:rPr>
        <w:t xml:space="preserve"> ותירץ הרמב"ן דרבי יוחנן לא פליג עליה דשמואל דבמקום שכותבין ריעא טענתא דידה ורגלים לדבר שנקרעה כתובתה בפריעתה</w:t>
      </w:r>
      <w:r w:rsidRPr="00794906">
        <w:rPr>
          <w:rFonts w:cs="Arial" w:hint="cs"/>
          <w:sz w:val="16"/>
          <w:szCs w:val="16"/>
          <w:rtl/>
        </w:rPr>
        <w:t>.</w:t>
      </w:r>
      <w:r w:rsidRPr="00794906">
        <w:rPr>
          <w:rFonts w:cs="Arial"/>
          <w:sz w:val="16"/>
          <w:szCs w:val="16"/>
          <w:rtl/>
        </w:rPr>
        <w:t xml:space="preserve"> ואביי מעיקרא כד הוה ס"ד דמצינו למימר דגט היינו כתובה הוה סבירא ליה דרבי יוחנן איירי אף במקום שכותבין</w:t>
      </w:r>
      <w:r w:rsidRPr="00794906">
        <w:rPr>
          <w:rFonts w:cs="Arial" w:hint="cs"/>
          <w:sz w:val="16"/>
          <w:szCs w:val="16"/>
          <w:rtl/>
        </w:rPr>
        <w:t>.</w:t>
      </w:r>
      <w:r w:rsidRPr="00794906">
        <w:rPr>
          <w:rFonts w:cs="Arial"/>
          <w:sz w:val="16"/>
          <w:szCs w:val="16"/>
          <w:rtl/>
        </w:rPr>
        <w:t xml:space="preserve"> ומדמייתי רבי חייא בר אבא ראיה ממתניתין וקיבלה רבי יוחנן מיניה</w:t>
      </w:r>
      <w:r w:rsidRPr="00794906">
        <w:rPr>
          <w:rFonts w:cs="Arial" w:hint="cs"/>
          <w:sz w:val="16"/>
          <w:szCs w:val="16"/>
          <w:rtl/>
        </w:rPr>
        <w:t>,</w:t>
      </w:r>
      <w:r w:rsidRPr="00794906">
        <w:rPr>
          <w:rFonts w:cs="Arial"/>
          <w:sz w:val="16"/>
          <w:szCs w:val="16"/>
          <w:rtl/>
        </w:rPr>
        <w:t xml:space="preserve"> ובמקום שאין כותבין ליכא לאיתויי ראיה מיניה</w:t>
      </w:r>
      <w:r w:rsidRPr="00794906">
        <w:rPr>
          <w:rFonts w:cs="Arial" w:hint="cs"/>
          <w:sz w:val="16"/>
          <w:szCs w:val="16"/>
          <w:rtl/>
        </w:rPr>
        <w:t>,</w:t>
      </w:r>
      <w:r w:rsidRPr="00794906">
        <w:rPr>
          <w:rFonts w:cs="Arial"/>
          <w:sz w:val="16"/>
          <w:szCs w:val="16"/>
          <w:rtl/>
        </w:rPr>
        <w:t xml:space="preserve"> דאיכא למימר דלאו טעמא משום טוען אחר מעשה בית דין אלא משום דגט היינו כתובה</w:t>
      </w:r>
      <w:r w:rsidRPr="00794906">
        <w:rPr>
          <w:rFonts w:cs="Arial" w:hint="cs"/>
          <w:sz w:val="16"/>
          <w:szCs w:val="16"/>
          <w:rtl/>
        </w:rPr>
        <w:t>.</w:t>
      </w:r>
      <w:r w:rsidRPr="00794906">
        <w:rPr>
          <w:rFonts w:cs="Arial"/>
          <w:sz w:val="16"/>
          <w:szCs w:val="16"/>
          <w:rtl/>
        </w:rPr>
        <w:t xml:space="preserve"> ולהכי תמה היאך מייתי מינה ראיה למקום שכותבין</w:t>
      </w:r>
      <w:r w:rsidRPr="00794906">
        <w:rPr>
          <w:rFonts w:cs="Arial" w:hint="cs"/>
          <w:sz w:val="16"/>
          <w:szCs w:val="16"/>
          <w:rtl/>
        </w:rPr>
        <w:t>,</w:t>
      </w:r>
      <w:r w:rsidRPr="00794906">
        <w:rPr>
          <w:rFonts w:cs="Arial"/>
          <w:sz w:val="16"/>
          <w:szCs w:val="16"/>
          <w:rtl/>
        </w:rPr>
        <w:t xml:space="preserve"> דילמא אפילו במקום שאין כותבין</w:t>
      </w:r>
      <w:r w:rsidRPr="00794906">
        <w:rPr>
          <w:rFonts w:cs="Arial" w:hint="cs"/>
          <w:sz w:val="16"/>
          <w:szCs w:val="16"/>
          <w:rtl/>
        </w:rPr>
        <w:t>.</w:t>
      </w:r>
      <w:r w:rsidRPr="00794906">
        <w:rPr>
          <w:rFonts w:cs="Arial"/>
          <w:sz w:val="16"/>
          <w:szCs w:val="16"/>
          <w:rtl/>
        </w:rPr>
        <w:t xml:space="preserve"> וכד עיין בה ואשכח דליכא למימר דגט היינו כתובה</w:t>
      </w:r>
      <w:r w:rsidRPr="00794906">
        <w:rPr>
          <w:rFonts w:cs="Arial" w:hint="cs"/>
          <w:sz w:val="16"/>
          <w:szCs w:val="16"/>
          <w:rtl/>
        </w:rPr>
        <w:t>,</w:t>
      </w:r>
      <w:r w:rsidRPr="00794906">
        <w:rPr>
          <w:rFonts w:cs="Arial"/>
          <w:sz w:val="16"/>
          <w:szCs w:val="16"/>
          <w:rtl/>
        </w:rPr>
        <w:t xml:space="preserve"> הדר ביה והודה לרבי יוחנן דהטוען אחר מעשה בית דין לא אמר כלום ובמקום שאין כותבין דוקא</w:t>
      </w:r>
      <w:r w:rsidRPr="00794906">
        <w:rPr>
          <w:rFonts w:cs="Arial" w:hint="cs"/>
          <w:sz w:val="16"/>
          <w:szCs w:val="16"/>
          <w:rtl/>
        </w:rPr>
        <w:t>.</w:t>
      </w:r>
      <w:r w:rsidRPr="00794906">
        <w:rPr>
          <w:rFonts w:cs="Arial"/>
          <w:sz w:val="16"/>
          <w:szCs w:val="16"/>
          <w:rtl/>
        </w:rPr>
        <w:t xml:space="preserve"> דה"נ צריך טעמא דמעשה בית דין דלא ריעא טענתיה למימר דפרע מידי</w:t>
      </w:r>
      <w:r w:rsidRPr="00794906">
        <w:rPr>
          <w:rFonts w:cs="Arial" w:hint="cs"/>
          <w:sz w:val="16"/>
          <w:szCs w:val="16"/>
          <w:rtl/>
        </w:rPr>
        <w:t>,</w:t>
      </w:r>
      <w:r w:rsidRPr="00794906">
        <w:rPr>
          <w:rFonts w:cs="Arial"/>
          <w:sz w:val="16"/>
          <w:szCs w:val="16"/>
          <w:rtl/>
        </w:rPr>
        <w:t xml:space="preserve"> דהוה כשאר מלוה על פה</w:t>
      </w:r>
      <w:r w:rsidRPr="00794906">
        <w:rPr>
          <w:rFonts w:cs="Arial" w:hint="cs"/>
          <w:sz w:val="16"/>
          <w:szCs w:val="16"/>
          <w:rtl/>
        </w:rPr>
        <w:t>.</w:t>
      </w:r>
      <w:r w:rsidRPr="00794906">
        <w:rPr>
          <w:rFonts w:cs="Arial"/>
          <w:sz w:val="16"/>
          <w:szCs w:val="16"/>
          <w:rtl/>
        </w:rPr>
        <w:t xml:space="preserve"> ולא שייך למימר מה הועילו חכמים בתקנתם</w:t>
      </w:r>
      <w:r w:rsidRPr="00794906">
        <w:rPr>
          <w:rFonts w:cs="Arial" w:hint="cs"/>
          <w:sz w:val="16"/>
          <w:szCs w:val="16"/>
          <w:rtl/>
        </w:rPr>
        <w:t>,</w:t>
      </w:r>
      <w:r w:rsidRPr="00794906">
        <w:rPr>
          <w:rFonts w:cs="Arial"/>
          <w:sz w:val="16"/>
          <w:szCs w:val="16"/>
          <w:rtl/>
        </w:rPr>
        <w:t xml:space="preserve"> דמצי' לאתרויי ביה בשעת גירושין אל תפרעני אלא בפני פלוני ופלוני</w:t>
      </w:r>
      <w:r w:rsidRPr="00794906">
        <w:rPr>
          <w:rFonts w:cs="Arial" w:hint="cs"/>
          <w:sz w:val="16"/>
          <w:szCs w:val="16"/>
          <w:rtl/>
        </w:rPr>
        <w:t>.</w:t>
      </w:r>
      <w:r w:rsidRPr="00794906">
        <w:rPr>
          <w:rFonts w:cs="Arial"/>
          <w:sz w:val="16"/>
          <w:szCs w:val="16"/>
          <w:rtl/>
        </w:rPr>
        <w:t xml:space="preserve"> וגם צריך למעשה בית דין למקום שאין כותבין כתובה ויש עדים שכתב לה אפילו הכי לא מצי למימר פרעתי</w:t>
      </w:r>
      <w:r w:rsidRPr="00794906">
        <w:rPr>
          <w:rFonts w:cs="Arial" w:hint="cs"/>
          <w:sz w:val="16"/>
          <w:szCs w:val="16"/>
          <w:rtl/>
        </w:rPr>
        <w:t>,</w:t>
      </w:r>
      <w:r w:rsidRPr="00794906">
        <w:rPr>
          <w:rFonts w:cs="Arial"/>
          <w:sz w:val="16"/>
          <w:szCs w:val="16"/>
          <w:rtl/>
        </w:rPr>
        <w:t xml:space="preserve"> דבהכי איירי מתניתין אליבא דאביי כדפרישית לעיל</w:t>
      </w:r>
      <w:r w:rsidRPr="00794906">
        <w:rPr>
          <w:rFonts w:cs="Arial" w:hint="cs"/>
          <w:sz w:val="16"/>
          <w:szCs w:val="16"/>
          <w:rtl/>
        </w:rPr>
        <w:t>.</w:t>
      </w:r>
      <w:r w:rsidRPr="00794906">
        <w:rPr>
          <w:rFonts w:cs="Arial"/>
          <w:sz w:val="16"/>
          <w:szCs w:val="16"/>
          <w:rtl/>
        </w:rPr>
        <w:t xml:space="preserve"> ומסתבר הכי</w:t>
      </w:r>
      <w:r w:rsidRPr="00794906">
        <w:rPr>
          <w:rFonts w:cs="Arial" w:hint="cs"/>
          <w:sz w:val="16"/>
          <w:szCs w:val="16"/>
          <w:rtl/>
        </w:rPr>
        <w:t>,</w:t>
      </w:r>
      <w:r w:rsidRPr="00794906">
        <w:rPr>
          <w:rFonts w:cs="Arial"/>
          <w:sz w:val="16"/>
          <w:szCs w:val="16"/>
          <w:rtl/>
        </w:rPr>
        <w:t xml:space="preserve"> כיון דבאותו מקום נהגו שלא לכתוב ולא מהימן לומר פרעתיך</w:t>
      </w:r>
      <w:r w:rsidRPr="00794906">
        <w:rPr>
          <w:rFonts w:cs="Arial" w:hint="cs"/>
          <w:sz w:val="16"/>
          <w:szCs w:val="16"/>
          <w:rtl/>
        </w:rPr>
        <w:t>,</w:t>
      </w:r>
      <w:r w:rsidRPr="00794906">
        <w:rPr>
          <w:rFonts w:cs="Arial"/>
          <w:sz w:val="16"/>
          <w:szCs w:val="16"/>
          <w:rtl/>
        </w:rPr>
        <w:t xml:space="preserve"> איהו דאפסיד אנפשיה שכתב לה</w:t>
      </w:r>
      <w:r w:rsidRPr="00794906">
        <w:rPr>
          <w:rFonts w:cs="Arial" w:hint="cs"/>
          <w:sz w:val="16"/>
          <w:szCs w:val="16"/>
          <w:rtl/>
        </w:rPr>
        <w:t>,</w:t>
      </w:r>
      <w:r w:rsidRPr="00794906">
        <w:rPr>
          <w:rFonts w:cs="Arial"/>
          <w:sz w:val="16"/>
          <w:szCs w:val="16"/>
          <w:rtl/>
        </w:rPr>
        <w:t xml:space="preserve"> ולא ישתנה הדין בכך</w:t>
      </w:r>
      <w:r w:rsidRPr="00794906">
        <w:rPr>
          <w:rFonts w:cs="Arial" w:hint="cs"/>
          <w:sz w:val="16"/>
          <w:szCs w:val="16"/>
          <w:rtl/>
        </w:rPr>
        <w:t>.</w:t>
      </w:r>
      <w:r w:rsidRPr="00794906">
        <w:rPr>
          <w:rFonts w:cs="Arial"/>
          <w:sz w:val="16"/>
          <w:szCs w:val="16"/>
          <w:rtl/>
        </w:rPr>
        <w:t xml:space="preserve"> והכי מסתברא טפי</w:t>
      </w:r>
      <w:r w:rsidRPr="00794906">
        <w:rPr>
          <w:rFonts w:cs="Arial" w:hint="cs"/>
          <w:sz w:val="16"/>
          <w:szCs w:val="16"/>
          <w:rtl/>
        </w:rPr>
        <w:t>,</w:t>
      </w:r>
      <w:r w:rsidRPr="00794906">
        <w:rPr>
          <w:rFonts w:cs="Arial"/>
          <w:sz w:val="16"/>
          <w:szCs w:val="16"/>
          <w:rtl/>
        </w:rPr>
        <w:t xml:space="preserve"> כי למה נאמר דפליגי רבי יוחנן ושמואל כיון שנוכל לפרש וליישב דלא פליג</w:t>
      </w:r>
      <w:r w:rsidRPr="00794906">
        <w:rPr>
          <w:rFonts w:cs="Arial" w:hint="cs"/>
          <w:sz w:val="16"/>
          <w:szCs w:val="16"/>
          <w:rtl/>
        </w:rPr>
        <w:t>.</w:t>
      </w:r>
      <w:r w:rsidRPr="00794906">
        <w:rPr>
          <w:rFonts w:cs="Arial"/>
          <w:sz w:val="16"/>
          <w:szCs w:val="16"/>
          <w:rtl/>
        </w:rPr>
        <w:t xml:space="preserve"> וזו היתה סברת רב אלפס עכ"ל. ובסוף פרק הכותב כתב הר"ן (מט. דיבור ראשון) מה שהקשו על הרי"ף ושמפני כך כתבו התוספות (כתובות פח: ד"ה הוציאה, וב"מ יז: ד"ה הוציאה) דמתניתין דהוציאה גט ואין עמה כתובה גובה כתובה אפילו במקום שכותבין היא</w:t>
      </w:r>
      <w:r w:rsidRPr="00794906">
        <w:rPr>
          <w:rFonts w:cs="Arial" w:hint="cs"/>
          <w:sz w:val="16"/>
          <w:szCs w:val="16"/>
          <w:rtl/>
        </w:rPr>
        <w:t>.</w:t>
      </w:r>
      <w:r w:rsidRPr="00794906">
        <w:rPr>
          <w:rFonts w:cs="Arial"/>
          <w:sz w:val="16"/>
          <w:szCs w:val="16"/>
          <w:rtl/>
        </w:rPr>
        <w:t xml:space="preserve"> והוא ז"ל כת' ליישב דברי הרי"ף ז"ל</w:t>
      </w:r>
      <w:r>
        <w:rPr>
          <w:rFonts w:cs="Arial" w:hint="cs"/>
          <w:sz w:val="16"/>
          <w:szCs w:val="16"/>
          <w:rtl/>
        </w:rPr>
        <w:t>)</w:t>
      </w:r>
    </w:p>
    <w:p w14:paraId="3BF4B3EE" w14:textId="77777777" w:rsidR="002E5BAD" w:rsidRPr="00D664B6" w:rsidRDefault="002E5BAD" w:rsidP="002E5BAD">
      <w:pPr>
        <w:rPr>
          <w:u w:val="single"/>
          <w:rtl/>
        </w:rPr>
      </w:pPr>
      <w:r>
        <w:rPr>
          <w:rFonts w:hint="cs"/>
          <w:u w:val="single"/>
          <w:rtl/>
        </w:rPr>
        <w:t>אלמנה</w:t>
      </w:r>
      <w:r w:rsidRPr="00D664B6">
        <w:rPr>
          <w:rFonts w:hint="cs"/>
          <w:u w:val="single"/>
          <w:rtl/>
        </w:rPr>
        <w:t xml:space="preserve"> שאין לה שטר כתובה </w:t>
      </w:r>
      <w:r w:rsidRPr="00D664B6">
        <w:rPr>
          <w:u w:val="single"/>
          <w:rtl/>
        </w:rPr>
        <w:t>–</w:t>
      </w:r>
      <w:r w:rsidRPr="00D664B6">
        <w:rPr>
          <w:rFonts w:hint="cs"/>
          <w:u w:val="single"/>
          <w:rtl/>
        </w:rPr>
        <w:t xml:space="preserve"> האם מגבין לה כתובה:</w:t>
      </w:r>
    </w:p>
    <w:p w14:paraId="35A79737" w14:textId="77777777" w:rsidR="002E5BAD" w:rsidRDefault="002E5BAD" w:rsidP="00B75458">
      <w:pPr>
        <w:pStyle w:val="ab"/>
        <w:numPr>
          <w:ilvl w:val="0"/>
          <w:numId w:val="192"/>
        </w:numPr>
        <w:rPr>
          <w:rFonts w:cs="Arial"/>
        </w:rPr>
      </w:pPr>
      <w:r>
        <w:rPr>
          <w:rFonts w:cs="Arial" w:hint="cs"/>
          <w:rtl/>
        </w:rPr>
        <w:t xml:space="preserve">רי"ף </w:t>
      </w:r>
      <w:r w:rsidRPr="00DF7DC4">
        <w:rPr>
          <w:rFonts w:cs="Arial" w:hint="cs"/>
          <w:sz w:val="16"/>
          <w:szCs w:val="16"/>
          <w:rtl/>
        </w:rPr>
        <w:t>(</w:t>
      </w:r>
      <w:r>
        <w:rPr>
          <w:rFonts w:cs="Arial" w:hint="cs"/>
          <w:sz w:val="16"/>
          <w:szCs w:val="16"/>
          <w:rtl/>
        </w:rPr>
        <w:t>כתובות</w:t>
      </w:r>
      <w:r w:rsidRPr="00DF7DC4">
        <w:rPr>
          <w:rFonts w:cs="Arial" w:hint="cs"/>
          <w:sz w:val="16"/>
          <w:szCs w:val="16"/>
          <w:rtl/>
        </w:rPr>
        <w:t xml:space="preserve"> מח:) </w:t>
      </w:r>
      <w:r>
        <w:rPr>
          <w:rFonts w:cs="Arial" w:hint="cs"/>
          <w:rtl/>
        </w:rPr>
        <w:t xml:space="preserve">רמב"ם </w:t>
      </w:r>
      <w:r>
        <w:rPr>
          <w:rFonts w:cs="Arial" w:hint="cs"/>
          <w:sz w:val="16"/>
          <w:szCs w:val="16"/>
          <w:rtl/>
        </w:rPr>
        <w:t>(פט"ז מאישות הכ"א-כב, והכ"ח</w:t>
      </w:r>
      <w:r>
        <w:rPr>
          <w:rStyle w:val="a7"/>
          <w:rFonts w:cs="Arial"/>
          <w:sz w:val="16"/>
          <w:szCs w:val="16"/>
          <w:rtl/>
        </w:rPr>
        <w:footnoteReference w:id="2394"/>
      </w:r>
      <w:r>
        <w:rPr>
          <w:rFonts w:cs="Arial" w:hint="cs"/>
          <w:sz w:val="16"/>
          <w:szCs w:val="16"/>
          <w:rtl/>
        </w:rPr>
        <w:t xml:space="preserve">) </w:t>
      </w:r>
      <w:r>
        <w:rPr>
          <w:rFonts w:cs="Arial" w:hint="cs"/>
          <w:rtl/>
        </w:rPr>
        <w:t>רמב"ן</w:t>
      </w:r>
      <w:r>
        <w:rPr>
          <w:rFonts w:cs="Arial" w:hint="cs"/>
          <w:sz w:val="16"/>
          <w:szCs w:val="16"/>
          <w:rtl/>
        </w:rPr>
        <w:t xml:space="preserve"> (מלחמות ב"מ סי' רעא)</w:t>
      </w:r>
      <w:r>
        <w:rPr>
          <w:rFonts w:cs="Arial" w:hint="cs"/>
          <w:rtl/>
        </w:rPr>
        <w:t xml:space="preserve"> ורא"ש </w:t>
      </w:r>
      <w:r>
        <w:rPr>
          <w:rFonts w:cs="Arial" w:hint="cs"/>
          <w:sz w:val="16"/>
          <w:szCs w:val="16"/>
          <w:rtl/>
        </w:rPr>
        <w:t>(ב"מ סי' מד)</w:t>
      </w:r>
      <w:r>
        <w:rPr>
          <w:rFonts w:cs="Arial" w:hint="cs"/>
          <w:rtl/>
        </w:rPr>
        <w:t xml:space="preserve"> וטור</w:t>
      </w:r>
      <w:r>
        <w:rPr>
          <w:rStyle w:val="a7"/>
          <w:rFonts w:cs="Arial"/>
          <w:rtl/>
        </w:rPr>
        <w:footnoteReference w:id="2395"/>
      </w:r>
      <w:r>
        <w:rPr>
          <w:rFonts w:cs="Arial" w:hint="cs"/>
          <w:rtl/>
        </w:rPr>
        <w:t xml:space="preserve">- </w:t>
      </w:r>
      <w:r w:rsidRPr="006E1501">
        <w:rPr>
          <w:rFonts w:cs="Arial"/>
          <w:rtl/>
        </w:rPr>
        <w:t>אלמנה</w:t>
      </w:r>
      <w:r>
        <w:rPr>
          <w:rFonts w:cs="Arial" w:hint="cs"/>
          <w:rtl/>
        </w:rPr>
        <w:t>...</w:t>
      </w:r>
      <w:r w:rsidRPr="006E1501">
        <w:rPr>
          <w:rFonts w:cs="Arial"/>
          <w:rtl/>
        </w:rPr>
        <w:t xml:space="preserve"> אם אין שטר כתובה יוצא מתחת ידה </w:t>
      </w:r>
      <w:r>
        <w:rPr>
          <w:rFonts w:cs="Arial" w:hint="cs"/>
          <w:rtl/>
        </w:rPr>
        <w:t xml:space="preserve">- </w:t>
      </w:r>
      <w:r w:rsidRPr="006E1501">
        <w:rPr>
          <w:rFonts w:cs="Arial"/>
          <w:rtl/>
        </w:rPr>
        <w:t>אין לה כלום ואפילו עיקר כתובה</w:t>
      </w:r>
      <w:r>
        <w:rPr>
          <w:rFonts w:cs="Arial" w:hint="cs"/>
          <w:rtl/>
        </w:rPr>
        <w:t>,</w:t>
      </w:r>
      <w:r w:rsidRPr="006E1501">
        <w:rPr>
          <w:rFonts w:cs="Arial"/>
          <w:rtl/>
        </w:rPr>
        <w:t xml:space="preserve"> ואפילו תבעה ביום מיתת בעלה, וכן הגרושה אפילו עיקר כתובה אין לה עד שתוציא שטר כתובה. במה דברים אמורים במקום שדרכן לכתוב כתובה, אבל במקום שאין דרכן לכתוב כתובה אלא סומכין על תנאי בית דין </w:t>
      </w:r>
      <w:r>
        <w:rPr>
          <w:rFonts w:cs="Arial" w:hint="cs"/>
          <w:rtl/>
        </w:rPr>
        <w:t xml:space="preserve">- </w:t>
      </w:r>
      <w:r w:rsidRPr="006E1501">
        <w:rPr>
          <w:rFonts w:cs="Arial"/>
          <w:rtl/>
        </w:rPr>
        <w:t>הרי זו גובה עיקר כתובה אף על פי שאין בידה שטר כתובה</w:t>
      </w:r>
      <w:r>
        <w:rPr>
          <w:rStyle w:val="a7"/>
          <w:rFonts w:cs="Arial"/>
          <w:rtl/>
        </w:rPr>
        <w:footnoteReference w:id="2396"/>
      </w:r>
      <w:r>
        <w:rPr>
          <w:rFonts w:cs="Arial" w:hint="cs"/>
          <w:rtl/>
        </w:rPr>
        <w:t>,</w:t>
      </w:r>
      <w:r w:rsidRPr="006E1501">
        <w:rPr>
          <w:rFonts w:cs="Arial"/>
          <w:rtl/>
        </w:rPr>
        <w:t xml:space="preserve"> בין נתגרשה בין נתאלמנה בין שהיתה בבית בעלה בין שהיתה בבית אביה, אבל תוספת אין לה בכל מקום אלא בראיה ברורה</w:t>
      </w:r>
      <w:r>
        <w:rPr>
          <w:rStyle w:val="a7"/>
          <w:rFonts w:cs="Arial"/>
          <w:rtl/>
        </w:rPr>
        <w:footnoteReference w:id="2397"/>
      </w:r>
      <w:r>
        <w:rPr>
          <w:rFonts w:cs="Arial" w:hint="cs"/>
          <w:sz w:val="16"/>
          <w:szCs w:val="16"/>
          <w:rtl/>
        </w:rPr>
        <w:t xml:space="preserve"> (ל' הרמב"ם)</w:t>
      </w:r>
      <w:r>
        <w:rPr>
          <w:rStyle w:val="a7"/>
          <w:rFonts w:cs="Arial"/>
          <w:rtl/>
        </w:rPr>
        <w:footnoteReference w:id="2398"/>
      </w:r>
      <w:r w:rsidRPr="006E1501">
        <w:rPr>
          <w:rFonts w:cs="Arial"/>
          <w:rtl/>
        </w:rPr>
        <w:t>.</w:t>
      </w:r>
      <w:r>
        <w:rPr>
          <w:rFonts w:cs="Arial" w:hint="cs"/>
          <w:rtl/>
        </w:rPr>
        <w:t xml:space="preserve"> </w:t>
      </w:r>
      <w:r w:rsidRPr="008974DF">
        <w:rPr>
          <w:rFonts w:cs="Arial" w:hint="cs"/>
          <w:color w:val="E36C0A" w:themeColor="accent6" w:themeShade="BF"/>
          <w:rtl/>
        </w:rPr>
        <w:t>(וכ"פ בשו"ע)</w:t>
      </w:r>
    </w:p>
    <w:p w14:paraId="7960E614" w14:textId="77777777" w:rsidR="002E5BAD" w:rsidRPr="007A28AB" w:rsidRDefault="002E5BAD" w:rsidP="00B75458">
      <w:pPr>
        <w:pStyle w:val="ab"/>
        <w:numPr>
          <w:ilvl w:val="0"/>
          <w:numId w:val="192"/>
        </w:numPr>
        <w:rPr>
          <w:rFonts w:cs="Arial"/>
          <w:rtl/>
        </w:rPr>
      </w:pPr>
      <w:r w:rsidRPr="002431BD">
        <w:rPr>
          <w:rFonts w:cs="Arial" w:hint="cs"/>
          <w:rtl/>
        </w:rPr>
        <w:lastRenderedPageBreak/>
        <w:t>תוס'</w:t>
      </w:r>
      <w:r>
        <w:rPr>
          <w:rStyle w:val="a7"/>
          <w:rFonts w:cs="Arial"/>
          <w:rtl/>
        </w:rPr>
        <w:footnoteReference w:id="2399"/>
      </w:r>
      <w:r w:rsidRPr="00794906">
        <w:rPr>
          <w:rFonts w:cs="Arial"/>
          <w:sz w:val="16"/>
          <w:szCs w:val="16"/>
          <w:rtl/>
        </w:rPr>
        <w:t xml:space="preserve"> (כתובות פח: ד"ה הוציאה, וב"מ יז: ד"ה הוציאה</w:t>
      </w:r>
      <w:r w:rsidRPr="002431BD">
        <w:rPr>
          <w:rFonts w:cs="Arial"/>
          <w:sz w:val="16"/>
          <w:szCs w:val="16"/>
          <w:rtl/>
        </w:rPr>
        <w:t>)</w:t>
      </w:r>
      <w:r>
        <w:rPr>
          <w:rFonts w:cs="Arial" w:hint="cs"/>
          <w:rtl/>
        </w:rPr>
        <w:t>-</w:t>
      </w:r>
      <w:r w:rsidRPr="008974DF">
        <w:rPr>
          <w:rFonts w:cs="Arial"/>
          <w:rtl/>
        </w:rPr>
        <w:t xml:space="preserve"> אפי</w:t>
      </w:r>
      <w:r>
        <w:rPr>
          <w:rFonts w:cs="Arial" w:hint="cs"/>
          <w:rtl/>
        </w:rPr>
        <w:t>לו</w:t>
      </w:r>
      <w:r w:rsidRPr="008974DF">
        <w:rPr>
          <w:rFonts w:cs="Arial"/>
          <w:rtl/>
        </w:rPr>
        <w:t xml:space="preserve"> במקום שכותבין</w:t>
      </w:r>
      <w:r>
        <w:rPr>
          <w:rFonts w:cs="Arial" w:hint="cs"/>
          <w:rtl/>
        </w:rPr>
        <w:t xml:space="preserve"> -</w:t>
      </w:r>
      <w:r w:rsidRPr="008974DF">
        <w:rPr>
          <w:rFonts w:cs="Arial"/>
          <w:rtl/>
        </w:rPr>
        <w:t xml:space="preserve"> גובה עיקר כתובה וכל תנאיה בתנאי ב"ד</w:t>
      </w:r>
      <w:r>
        <w:rPr>
          <w:rStyle w:val="a7"/>
          <w:rFonts w:cs="Arial"/>
          <w:rtl/>
        </w:rPr>
        <w:footnoteReference w:id="2400"/>
      </w:r>
      <w:r>
        <w:rPr>
          <w:rFonts w:cs="Arial" w:hint="cs"/>
          <w:rtl/>
        </w:rPr>
        <w:t>. (וכ"פ מהרש"ל דרישה ב"ח וב"ש</w:t>
      </w:r>
      <w:r>
        <w:rPr>
          <w:rFonts w:cs="Arial" w:hint="cs"/>
          <w:sz w:val="16"/>
          <w:szCs w:val="16"/>
          <w:rtl/>
        </w:rPr>
        <w:t xml:space="preserve"> [סקכ"ז]</w:t>
      </w:r>
      <w:r>
        <w:rPr>
          <w:rFonts w:cs="Arial" w:hint="cs"/>
          <w:rtl/>
        </w:rPr>
        <w:t>)</w:t>
      </w:r>
    </w:p>
    <w:p w14:paraId="156789F3" w14:textId="77777777" w:rsidR="002E5BAD" w:rsidRPr="00E7468B" w:rsidRDefault="002E5BAD" w:rsidP="002E5BAD">
      <w:pPr>
        <w:ind w:left="360"/>
        <w:rPr>
          <w:rFonts w:cs="Arial"/>
          <w:u w:val="dotted"/>
          <w:rtl/>
        </w:rPr>
      </w:pPr>
      <w:r w:rsidRPr="00E7468B">
        <w:rPr>
          <w:rFonts w:cs="Arial" w:hint="cs"/>
          <w:u w:val="dotted"/>
          <w:rtl/>
        </w:rPr>
        <w:t>ומה הדין א</w:t>
      </w:r>
      <w:r w:rsidRPr="00E7468B">
        <w:rPr>
          <w:rFonts w:hint="cs"/>
          <w:u w:val="dotted"/>
          <w:rtl/>
        </w:rPr>
        <w:t>ם הם במקום שאין כותבים כתובה, והביא עדים שכתב לה</w:t>
      </w:r>
      <w:r>
        <w:rPr>
          <w:rFonts w:hint="cs"/>
          <w:u w:val="dotted"/>
          <w:rtl/>
        </w:rPr>
        <w:t xml:space="preserve"> כתובה</w:t>
      </w:r>
      <w:r w:rsidRPr="00E7468B">
        <w:rPr>
          <w:rFonts w:hint="cs"/>
          <w:u w:val="dotted"/>
          <w:rtl/>
        </w:rPr>
        <w:t>:</w:t>
      </w:r>
    </w:p>
    <w:p w14:paraId="4023EC58" w14:textId="77777777" w:rsidR="002E5BAD" w:rsidRPr="00E7468B" w:rsidRDefault="002E5BAD" w:rsidP="00B75458">
      <w:pPr>
        <w:pStyle w:val="ab"/>
        <w:numPr>
          <w:ilvl w:val="0"/>
          <w:numId w:val="192"/>
        </w:numPr>
      </w:pPr>
      <w:r w:rsidRPr="003D2914">
        <w:rPr>
          <w:rFonts w:cs="Arial"/>
          <w:rtl/>
        </w:rPr>
        <w:t>רמב"ם</w:t>
      </w:r>
      <w:r>
        <w:rPr>
          <w:rFonts w:cs="Arial" w:hint="cs"/>
          <w:sz w:val="16"/>
          <w:szCs w:val="16"/>
          <w:rtl/>
        </w:rPr>
        <w:t xml:space="preserve"> (כ"כ הטור בשמו)</w:t>
      </w:r>
      <w:r>
        <w:rPr>
          <w:rFonts w:cs="Arial" w:hint="cs"/>
          <w:rtl/>
        </w:rPr>
        <w:t xml:space="preserve"> ורש"י</w:t>
      </w:r>
      <w:r>
        <w:rPr>
          <w:rFonts w:cs="Arial" w:hint="cs"/>
          <w:sz w:val="16"/>
          <w:szCs w:val="16"/>
          <w:rtl/>
        </w:rPr>
        <w:t xml:space="preserve"> (כ"כ הב"ש [סקל"ו] בשמו)</w:t>
      </w:r>
      <w:r>
        <w:rPr>
          <w:rFonts w:cs="Arial" w:hint="cs"/>
          <w:rtl/>
        </w:rPr>
        <w:t xml:space="preserve">- </w:t>
      </w:r>
      <w:r w:rsidRPr="003D2914">
        <w:rPr>
          <w:rFonts w:cs="Arial"/>
          <w:rtl/>
        </w:rPr>
        <w:t>דינו כבמקום שכותבין ואינה גובה בלא כתובה</w:t>
      </w:r>
      <w:r>
        <w:rPr>
          <w:rFonts w:cs="Arial" w:hint="cs"/>
          <w:rtl/>
        </w:rPr>
        <w:t>.</w:t>
      </w:r>
      <w:r w:rsidRPr="003D2914">
        <w:rPr>
          <w:rFonts w:cs="Arial"/>
          <w:rtl/>
        </w:rPr>
        <w:t xml:space="preserve"> </w:t>
      </w:r>
    </w:p>
    <w:p w14:paraId="3D2EC73B" w14:textId="77777777" w:rsidR="002E5BAD" w:rsidRDefault="002E5BAD" w:rsidP="00B75458">
      <w:pPr>
        <w:pStyle w:val="ab"/>
        <w:numPr>
          <w:ilvl w:val="0"/>
          <w:numId w:val="192"/>
        </w:numPr>
      </w:pPr>
      <w:r w:rsidRPr="003D2914">
        <w:rPr>
          <w:rFonts w:cs="Arial"/>
          <w:rtl/>
        </w:rPr>
        <w:t>רא"ש</w:t>
      </w:r>
      <w:r>
        <w:rPr>
          <w:rFonts w:cs="Arial" w:hint="cs"/>
          <w:sz w:val="16"/>
          <w:szCs w:val="16"/>
          <w:rtl/>
        </w:rPr>
        <w:t xml:space="preserve"> (פ"ק דמציעא סי' מד, ובתשו' כלל לו סי' ז)</w:t>
      </w:r>
      <w:r>
        <w:rPr>
          <w:rFonts w:cs="Arial" w:hint="cs"/>
          <w:rtl/>
        </w:rPr>
        <w:t xml:space="preserve">- </w:t>
      </w:r>
      <w:r w:rsidRPr="003D2914">
        <w:rPr>
          <w:rFonts w:cs="Arial"/>
          <w:rtl/>
        </w:rPr>
        <w:t>גובה</w:t>
      </w:r>
      <w:r>
        <w:rPr>
          <w:rFonts w:cs="Arial" w:hint="cs"/>
          <w:rtl/>
        </w:rPr>
        <w:t>,</w:t>
      </w:r>
      <w:r w:rsidRPr="003D2914">
        <w:rPr>
          <w:rFonts w:cs="Arial"/>
          <w:rtl/>
        </w:rPr>
        <w:t xml:space="preserve"> כיון שבאותו מקום לא נהגו לכתוב</w:t>
      </w:r>
      <w:r>
        <w:rPr>
          <w:rFonts w:cs="Arial" w:hint="cs"/>
          <w:rtl/>
        </w:rPr>
        <w:t>.</w:t>
      </w:r>
      <w:r w:rsidRPr="003D2914">
        <w:rPr>
          <w:rFonts w:cs="Arial"/>
          <w:rtl/>
        </w:rPr>
        <w:t xml:space="preserve"> ולא מהימן לומר פרעתי</w:t>
      </w:r>
      <w:r>
        <w:rPr>
          <w:rFonts w:cs="Arial" w:hint="cs"/>
          <w:rtl/>
        </w:rPr>
        <w:t>,</w:t>
      </w:r>
      <w:r w:rsidRPr="003D2914">
        <w:rPr>
          <w:rFonts w:cs="Arial"/>
          <w:rtl/>
        </w:rPr>
        <w:t xml:space="preserve"> דאיהו דאפסיד אנפשיה שכתב לה</w:t>
      </w:r>
      <w:r>
        <w:rPr>
          <w:rFonts w:cs="Arial" w:hint="cs"/>
          <w:rtl/>
        </w:rPr>
        <w:t>,</w:t>
      </w:r>
      <w:r w:rsidRPr="003D2914">
        <w:rPr>
          <w:rFonts w:cs="Arial"/>
          <w:rtl/>
        </w:rPr>
        <w:t xml:space="preserve"> ולא ישתנה הדין בכך</w:t>
      </w:r>
      <w:r>
        <w:rPr>
          <w:rFonts w:cs="Arial" w:hint="cs"/>
          <w:sz w:val="16"/>
          <w:szCs w:val="16"/>
          <w:rtl/>
        </w:rPr>
        <w:t xml:space="preserve"> (ל' הטור בשמו)</w:t>
      </w:r>
      <w:r>
        <w:rPr>
          <w:rFonts w:cs="Arial" w:hint="cs"/>
          <w:rtl/>
        </w:rPr>
        <w:t>.</w:t>
      </w:r>
      <w:r w:rsidRPr="003D2914">
        <w:rPr>
          <w:rFonts w:cs="Arial"/>
          <w:rtl/>
        </w:rPr>
        <w:t xml:space="preserve"> </w:t>
      </w:r>
      <w:r w:rsidRPr="00814509">
        <w:rPr>
          <w:rFonts w:hint="cs"/>
          <w:color w:val="E36C0A" w:themeColor="accent6" w:themeShade="BF"/>
          <w:rtl/>
        </w:rPr>
        <w:t>(וכ"פ בשו"ע</w:t>
      </w:r>
      <w:r w:rsidRPr="00814509">
        <w:rPr>
          <w:rFonts w:hint="cs"/>
          <w:color w:val="E36C0A" w:themeColor="accent6" w:themeShade="BF"/>
          <w:sz w:val="16"/>
          <w:szCs w:val="16"/>
          <w:rtl/>
        </w:rPr>
        <w:t xml:space="preserve"> </w:t>
      </w:r>
      <w:r>
        <w:rPr>
          <w:rFonts w:hint="cs"/>
          <w:sz w:val="16"/>
          <w:szCs w:val="16"/>
          <w:rtl/>
        </w:rPr>
        <w:t>[סע' ט]</w:t>
      </w:r>
      <w:r w:rsidRPr="00814509">
        <w:rPr>
          <w:rFonts w:hint="cs"/>
          <w:color w:val="E36C0A" w:themeColor="accent6" w:themeShade="BF"/>
          <w:rtl/>
        </w:rPr>
        <w:t>)</w:t>
      </w:r>
    </w:p>
    <w:p w14:paraId="469E056A" w14:textId="77777777" w:rsidR="002E5BAD" w:rsidRPr="008E6249" w:rsidRDefault="002E5BAD" w:rsidP="002E5BAD">
      <w:pPr>
        <w:ind w:left="360"/>
        <w:rPr>
          <w:sz w:val="16"/>
          <w:szCs w:val="16"/>
          <w:u w:val="single"/>
        </w:rPr>
      </w:pPr>
      <w:r w:rsidRPr="007A28AB">
        <w:rPr>
          <w:rFonts w:hint="cs"/>
          <w:u w:val="dotted"/>
          <w:rtl/>
        </w:rPr>
        <w:t xml:space="preserve">לתוס' וסיעתו </w:t>
      </w:r>
      <w:r w:rsidRPr="007A28AB">
        <w:rPr>
          <w:u w:val="dotted"/>
          <w:rtl/>
        </w:rPr>
        <w:t>–</w:t>
      </w:r>
      <w:r w:rsidRPr="007A28AB">
        <w:rPr>
          <w:rFonts w:hint="cs"/>
          <w:u w:val="dotted"/>
          <w:rtl/>
        </w:rPr>
        <w:t xml:space="preserve"> האם מגבין לה גם תוספת</w:t>
      </w:r>
      <w:r>
        <w:rPr>
          <w:rFonts w:hint="cs"/>
          <w:u w:val="dotted"/>
          <w:rtl/>
        </w:rPr>
        <w:t xml:space="preserve"> ונדוניא:</w:t>
      </w:r>
      <w:r w:rsidRPr="008E6249">
        <w:rPr>
          <w:rFonts w:hint="cs"/>
          <w:sz w:val="16"/>
          <w:szCs w:val="16"/>
          <w:rtl/>
        </w:rPr>
        <w:t xml:space="preserve">  (דרכ"מ אות טז)</w:t>
      </w:r>
    </w:p>
    <w:p w14:paraId="37428B53" w14:textId="77777777" w:rsidR="002E5BAD" w:rsidRPr="00B55BF9" w:rsidRDefault="002E5BAD" w:rsidP="00B75458">
      <w:pPr>
        <w:pStyle w:val="ab"/>
        <w:numPr>
          <w:ilvl w:val="0"/>
          <w:numId w:val="192"/>
        </w:numPr>
      </w:pPr>
      <w:r>
        <w:rPr>
          <w:rFonts w:cs="Arial" w:hint="cs"/>
          <w:rtl/>
        </w:rPr>
        <w:t xml:space="preserve">מרדכי </w:t>
      </w:r>
      <w:r w:rsidRPr="00814509">
        <w:rPr>
          <w:rFonts w:cs="Arial" w:hint="cs"/>
          <w:sz w:val="16"/>
          <w:szCs w:val="16"/>
          <w:rtl/>
        </w:rPr>
        <w:t>(סי' רסה, בשם ראבי"ה, ר' יצחק ברבי מנוח, ספר חפץ, מהר"ם וכל גדולי אשכנז)</w:t>
      </w:r>
      <w:r>
        <w:rPr>
          <w:rFonts w:cs="Arial" w:hint="cs"/>
          <w:rtl/>
        </w:rPr>
        <w:t xml:space="preserve">- </w:t>
      </w:r>
      <w:r w:rsidRPr="007A28AB">
        <w:rPr>
          <w:rFonts w:cs="Arial"/>
          <w:rtl/>
        </w:rPr>
        <w:t>לאו דוקא מנה ומאתים אלא אפילו מאה דינרים דתוספת ונדוניא</w:t>
      </w:r>
      <w:r>
        <w:rPr>
          <w:rFonts w:cs="Arial" w:hint="cs"/>
          <w:rtl/>
        </w:rPr>
        <w:t>,</w:t>
      </w:r>
      <w:r w:rsidRPr="007A28AB">
        <w:rPr>
          <w:rFonts w:cs="Arial"/>
          <w:rtl/>
        </w:rPr>
        <w:t xml:space="preserve"> דהוו להו עתה כבית דין של כהנים שהיו כותבין ארבע מאות זוז</w:t>
      </w:r>
      <w:r>
        <w:rPr>
          <w:rStyle w:val="a7"/>
          <w:rFonts w:cs="Arial"/>
          <w:rtl/>
        </w:rPr>
        <w:footnoteReference w:id="2401"/>
      </w:r>
      <w:r>
        <w:rPr>
          <w:rFonts w:cs="Arial" w:hint="cs"/>
          <w:rtl/>
        </w:rPr>
        <w:t>.</w:t>
      </w:r>
      <w:r w:rsidRPr="007A28AB">
        <w:rPr>
          <w:rFonts w:cs="Arial"/>
          <w:rtl/>
        </w:rPr>
        <w:t xml:space="preserve"> </w:t>
      </w:r>
    </w:p>
    <w:p w14:paraId="0EE7C480" w14:textId="77777777" w:rsidR="002E5BAD" w:rsidRPr="00D602DC" w:rsidRDefault="002E5BAD" w:rsidP="002E5BAD">
      <w:pPr>
        <w:ind w:left="360"/>
      </w:pPr>
      <w:r w:rsidRPr="00EA2A20">
        <w:rPr>
          <w:rFonts w:cs="Arial" w:hint="cs"/>
          <w:u w:val="dotted"/>
          <w:rtl/>
        </w:rPr>
        <w:t xml:space="preserve">לרי"ף וסיעתו </w:t>
      </w:r>
      <w:r w:rsidRPr="00EA2A20">
        <w:rPr>
          <w:rFonts w:cs="Arial"/>
          <w:u w:val="dotted"/>
          <w:rtl/>
        </w:rPr>
        <w:t>–</w:t>
      </w:r>
      <w:r w:rsidRPr="00EA2A20">
        <w:rPr>
          <w:rFonts w:cs="Arial" w:hint="cs"/>
          <w:u w:val="dotted"/>
          <w:rtl/>
        </w:rPr>
        <w:t xml:space="preserve"> מה הדין אם נודע שנשרפה/נאבדה הכתובה:</w:t>
      </w:r>
      <w:r>
        <w:rPr>
          <w:rFonts w:cs="Arial" w:hint="cs"/>
          <w:rtl/>
        </w:rPr>
        <w:t xml:space="preserve"> </w:t>
      </w:r>
      <w:r>
        <w:rPr>
          <w:rFonts w:cs="Arial" w:hint="cs"/>
          <w:sz w:val="16"/>
          <w:szCs w:val="16"/>
          <w:rtl/>
        </w:rPr>
        <w:t xml:space="preserve"> </w:t>
      </w:r>
      <w:r w:rsidRPr="009D1A72">
        <w:rPr>
          <w:rFonts w:cs="Arial"/>
          <w:sz w:val="16"/>
          <w:szCs w:val="16"/>
          <w:rtl/>
        </w:rPr>
        <w:t>(</w:t>
      </w:r>
      <w:r w:rsidRPr="009D1A72">
        <w:rPr>
          <w:rFonts w:cs="Arial" w:hint="cs"/>
          <w:sz w:val="16"/>
          <w:szCs w:val="16"/>
          <w:rtl/>
        </w:rPr>
        <w:t xml:space="preserve">דרכ"מ אות </w:t>
      </w:r>
      <w:r w:rsidRPr="009D1A72">
        <w:rPr>
          <w:rFonts w:cs="Arial"/>
          <w:sz w:val="16"/>
          <w:szCs w:val="16"/>
          <w:rtl/>
        </w:rPr>
        <w:t xml:space="preserve">טז) </w:t>
      </w:r>
    </w:p>
    <w:p w14:paraId="6C6A11B4" w14:textId="77777777" w:rsidR="002E5BAD" w:rsidRDefault="002E5BAD" w:rsidP="00B75458">
      <w:pPr>
        <w:pStyle w:val="ab"/>
        <w:numPr>
          <w:ilvl w:val="0"/>
          <w:numId w:val="192"/>
        </w:numPr>
      </w:pPr>
      <w:r w:rsidRPr="00D602DC">
        <w:rPr>
          <w:rFonts w:cs="Arial"/>
          <w:rtl/>
        </w:rPr>
        <w:t xml:space="preserve">הגהות אלפסי </w:t>
      </w:r>
      <w:r w:rsidRPr="009D1A72">
        <w:rPr>
          <w:rFonts w:cs="Arial" w:hint="cs"/>
          <w:sz w:val="16"/>
          <w:szCs w:val="16"/>
          <w:rtl/>
        </w:rPr>
        <w:t>(</w:t>
      </w:r>
      <w:r w:rsidRPr="009D1A72">
        <w:rPr>
          <w:rFonts w:cs="Arial"/>
          <w:sz w:val="16"/>
          <w:szCs w:val="16"/>
          <w:rtl/>
        </w:rPr>
        <w:t>פ</w:t>
      </w:r>
      <w:r w:rsidRPr="009D1A72">
        <w:rPr>
          <w:rFonts w:cs="Arial" w:hint="cs"/>
          <w:sz w:val="16"/>
          <w:szCs w:val="16"/>
          <w:rtl/>
        </w:rPr>
        <w:t>'</w:t>
      </w:r>
      <w:r w:rsidRPr="009D1A72">
        <w:rPr>
          <w:rFonts w:cs="Arial"/>
          <w:sz w:val="16"/>
          <w:szCs w:val="16"/>
          <w:rtl/>
        </w:rPr>
        <w:t xml:space="preserve"> הכותב מח: אות ד)</w:t>
      </w:r>
      <w:r>
        <w:rPr>
          <w:rFonts w:cs="Arial" w:hint="cs"/>
          <w:rtl/>
        </w:rPr>
        <w:t>-</w:t>
      </w:r>
      <w:r w:rsidRPr="00D602DC">
        <w:rPr>
          <w:rFonts w:cs="Arial"/>
          <w:rtl/>
        </w:rPr>
        <w:t xml:space="preserve"> אם נודע שנשרף הכתובה או נאבדה חזר להיות כמקום שאין כותבין כתובה ואינו נאמן לומר פרוע</w:t>
      </w:r>
      <w:r>
        <w:rPr>
          <w:rFonts w:cs="Arial" w:hint="cs"/>
          <w:rtl/>
        </w:rPr>
        <w:t>.</w:t>
      </w:r>
      <w:r w:rsidRPr="0070440F">
        <w:rPr>
          <w:rFonts w:hint="cs"/>
          <w:color w:val="00B0F0"/>
          <w:rtl/>
        </w:rPr>
        <w:t xml:space="preserve"> (וכ"פ הרמ"א)</w:t>
      </w:r>
    </w:p>
    <w:p w14:paraId="3C3610DD" w14:textId="77777777" w:rsidR="002E5BAD" w:rsidRPr="00B55BF9" w:rsidRDefault="002E5BAD" w:rsidP="002E5BAD">
      <w:pPr>
        <w:rPr>
          <w:u w:val="single"/>
        </w:rPr>
      </w:pPr>
      <w:r w:rsidRPr="00B55BF9">
        <w:rPr>
          <w:rFonts w:cs="Arial"/>
          <w:u w:val="single"/>
          <w:rtl/>
        </w:rPr>
        <w:t>אשה שאבדה כתובתה</w:t>
      </w:r>
      <w:r w:rsidRPr="00B55BF9">
        <w:rPr>
          <w:rFonts w:hint="cs"/>
          <w:u w:val="single"/>
          <w:rtl/>
        </w:rPr>
        <w:t xml:space="preserve"> </w:t>
      </w:r>
      <w:r w:rsidRPr="00B55BF9">
        <w:rPr>
          <w:u w:val="single"/>
          <w:rtl/>
        </w:rPr>
        <w:t>–</w:t>
      </w:r>
      <w:r w:rsidRPr="00B55BF9">
        <w:rPr>
          <w:rFonts w:hint="cs"/>
          <w:u w:val="single"/>
          <w:rtl/>
        </w:rPr>
        <w:t xml:space="preserve"> איך שמין כמה היה בכתובתה:</w:t>
      </w:r>
    </w:p>
    <w:p w14:paraId="0131CC79" w14:textId="77777777" w:rsidR="002E5BAD" w:rsidRDefault="002E5BAD" w:rsidP="00B75458">
      <w:pPr>
        <w:pStyle w:val="ab"/>
        <w:numPr>
          <w:ilvl w:val="0"/>
          <w:numId w:val="192"/>
        </w:numPr>
      </w:pPr>
      <w:r w:rsidRPr="00B55BF9">
        <w:rPr>
          <w:rFonts w:cs="Arial"/>
          <w:rtl/>
        </w:rPr>
        <w:t xml:space="preserve">רא"ש </w:t>
      </w:r>
      <w:r w:rsidRPr="00B55BF9">
        <w:rPr>
          <w:rFonts w:cs="Arial" w:hint="cs"/>
          <w:sz w:val="16"/>
          <w:szCs w:val="16"/>
          <w:rtl/>
        </w:rPr>
        <w:t>(</w:t>
      </w:r>
      <w:r w:rsidRPr="00B55BF9">
        <w:rPr>
          <w:rFonts w:cs="Arial"/>
          <w:sz w:val="16"/>
          <w:szCs w:val="16"/>
          <w:rtl/>
        </w:rPr>
        <w:t>סוף כלל צח סי' י</w:t>
      </w:r>
      <w:r>
        <w:rPr>
          <w:rFonts w:cs="Arial" w:hint="cs"/>
          <w:sz w:val="16"/>
          <w:szCs w:val="16"/>
          <w:rtl/>
        </w:rPr>
        <w:t>, הביאה הטור סי' סו</w:t>
      </w:r>
      <w:r w:rsidRPr="00B55BF9">
        <w:rPr>
          <w:rFonts w:cs="Arial"/>
          <w:sz w:val="16"/>
          <w:szCs w:val="16"/>
          <w:rtl/>
        </w:rPr>
        <w:t>)</w:t>
      </w:r>
      <w:r>
        <w:rPr>
          <w:rFonts w:cs="Arial" w:hint="cs"/>
          <w:rtl/>
        </w:rPr>
        <w:t>-</w:t>
      </w:r>
      <w:r w:rsidRPr="00B55BF9">
        <w:rPr>
          <w:rFonts w:cs="Arial"/>
          <w:rtl/>
        </w:rPr>
        <w:t xml:space="preserve"> אשה שאבדה כתובתה</w:t>
      </w:r>
      <w:r>
        <w:rPr>
          <w:rFonts w:cs="Arial" w:hint="cs"/>
          <w:rtl/>
        </w:rPr>
        <w:t>,</w:t>
      </w:r>
      <w:r w:rsidRPr="00B55BF9">
        <w:rPr>
          <w:rFonts w:cs="Arial"/>
          <w:rtl/>
        </w:rPr>
        <w:t xml:space="preserve"> רואים כתובת נשי משפחתה </w:t>
      </w:r>
      <w:r>
        <w:rPr>
          <w:rFonts w:cs="Arial" w:hint="cs"/>
          <w:rtl/>
        </w:rPr>
        <w:t xml:space="preserve">- </w:t>
      </w:r>
      <w:r w:rsidRPr="00B55BF9">
        <w:rPr>
          <w:rFonts w:cs="Arial"/>
          <w:rtl/>
        </w:rPr>
        <w:t>וכתובתה כמותם</w:t>
      </w:r>
      <w:r>
        <w:rPr>
          <w:rFonts w:cs="Arial" w:hint="cs"/>
          <w:rtl/>
        </w:rPr>
        <w:t>.</w:t>
      </w:r>
      <w:r w:rsidRPr="00B55BF9">
        <w:rPr>
          <w:rFonts w:cs="Arial"/>
          <w:rtl/>
        </w:rPr>
        <w:t xml:space="preserve"> ואם כתובות נשי משפחתו מרובות משל נשי משפחתה </w:t>
      </w:r>
      <w:r>
        <w:rPr>
          <w:rFonts w:cs="Arial" w:hint="cs"/>
          <w:rtl/>
        </w:rPr>
        <w:t xml:space="preserve">- </w:t>
      </w:r>
      <w:r w:rsidRPr="00B55BF9">
        <w:rPr>
          <w:rFonts w:cs="Arial"/>
          <w:rtl/>
        </w:rPr>
        <w:t>עולה עמו</w:t>
      </w:r>
      <w:r>
        <w:rPr>
          <w:rStyle w:val="a7"/>
          <w:rFonts w:cs="Arial"/>
          <w:rtl/>
        </w:rPr>
        <w:footnoteReference w:id="2402"/>
      </w:r>
      <w:r w:rsidRPr="00B55BF9">
        <w:rPr>
          <w:rFonts w:cs="Arial" w:hint="cs"/>
          <w:rtl/>
        </w:rPr>
        <w:t>.</w:t>
      </w:r>
      <w:r>
        <w:rPr>
          <w:rFonts w:hint="cs"/>
          <w:rtl/>
        </w:rPr>
        <w:t xml:space="preserve"> </w:t>
      </w:r>
    </w:p>
    <w:p w14:paraId="6E7DFDCB" w14:textId="77777777" w:rsidR="002E5BAD" w:rsidRPr="00FD573D" w:rsidRDefault="002E5BAD" w:rsidP="00B75458">
      <w:pPr>
        <w:pStyle w:val="ab"/>
        <w:numPr>
          <w:ilvl w:val="0"/>
          <w:numId w:val="192"/>
        </w:numPr>
      </w:pPr>
      <w:r>
        <w:rPr>
          <w:rFonts w:hint="cs"/>
          <w:rtl/>
        </w:rPr>
        <w:t xml:space="preserve">ספר חפץ </w:t>
      </w:r>
      <w:r w:rsidRPr="00FD573D">
        <w:rPr>
          <w:rFonts w:hint="cs"/>
          <w:sz w:val="16"/>
          <w:szCs w:val="16"/>
          <w:rtl/>
        </w:rPr>
        <w:t>(כ"כ בשמו</w:t>
      </w:r>
      <w:r w:rsidRPr="00FD573D">
        <w:rPr>
          <w:rFonts w:cs="Arial" w:hint="cs"/>
          <w:sz w:val="16"/>
          <w:szCs w:val="16"/>
          <w:rtl/>
        </w:rPr>
        <w:t xml:space="preserve"> סמ"ג [עשין מח] ומרדכי [</w:t>
      </w:r>
      <w:r w:rsidRPr="00FD573D">
        <w:rPr>
          <w:rFonts w:cs="Arial"/>
          <w:sz w:val="16"/>
          <w:szCs w:val="16"/>
          <w:rtl/>
        </w:rPr>
        <w:t>סוף הכותב סי' רלד</w:t>
      </w:r>
      <w:r w:rsidRPr="00FD573D">
        <w:rPr>
          <w:rFonts w:cs="Arial" w:hint="cs"/>
          <w:sz w:val="16"/>
          <w:szCs w:val="16"/>
          <w:rtl/>
        </w:rPr>
        <w:t>])</w:t>
      </w:r>
      <w:r>
        <w:rPr>
          <w:rFonts w:cs="Arial" w:hint="cs"/>
          <w:rtl/>
        </w:rPr>
        <w:t>-</w:t>
      </w:r>
      <w:r w:rsidRPr="00FD573D">
        <w:rPr>
          <w:rFonts w:cs="Arial"/>
          <w:rtl/>
        </w:rPr>
        <w:t xml:space="preserve"> אשה שאבדה כתובתה ונתאלמנה או נתגרשה גובה אפילו תוספת ומביאין ב' או ג' כתובות ומגבינן לה כפחות שבהן ובשבועה</w:t>
      </w:r>
      <w:r>
        <w:rPr>
          <w:rFonts w:cs="Arial" w:hint="cs"/>
          <w:rtl/>
        </w:rPr>
        <w:t>.</w:t>
      </w:r>
    </w:p>
    <w:p w14:paraId="727E4BA8" w14:textId="77777777" w:rsidR="002E5BAD" w:rsidRPr="00FD573D" w:rsidRDefault="002E5BAD" w:rsidP="002E5BAD">
      <w:pPr>
        <w:rPr>
          <w:u w:val="single"/>
        </w:rPr>
      </w:pPr>
      <w:r w:rsidRPr="00FD573D">
        <w:rPr>
          <w:rFonts w:cs="Arial"/>
          <w:u w:val="single"/>
          <w:rtl/>
        </w:rPr>
        <w:t>אשה ש</w:t>
      </w:r>
      <w:r w:rsidRPr="00FD573D">
        <w:rPr>
          <w:rFonts w:cs="Arial" w:hint="cs"/>
          <w:u w:val="single"/>
          <w:rtl/>
        </w:rPr>
        <w:t>מחזיקה</w:t>
      </w:r>
      <w:r w:rsidRPr="00FD573D">
        <w:rPr>
          <w:rFonts w:cs="Arial"/>
          <w:u w:val="single"/>
          <w:rtl/>
        </w:rPr>
        <w:t xml:space="preserve"> חצי כתובתה </w:t>
      </w:r>
      <w:r w:rsidRPr="00FD573D">
        <w:rPr>
          <w:rFonts w:cs="Arial" w:hint="cs"/>
          <w:u w:val="single"/>
          <w:rtl/>
        </w:rPr>
        <w:t>שנחתכה בסכין:</w:t>
      </w:r>
      <w:r>
        <w:rPr>
          <w:rFonts w:cs="Arial" w:hint="cs"/>
          <w:rtl/>
        </w:rPr>
        <w:t xml:space="preserve"> </w:t>
      </w:r>
      <w:r>
        <w:rPr>
          <w:rFonts w:cs="Arial" w:hint="cs"/>
          <w:sz w:val="16"/>
          <w:szCs w:val="16"/>
          <w:rtl/>
        </w:rPr>
        <w:t xml:space="preserve"> </w:t>
      </w:r>
      <w:r w:rsidRPr="009D1A72">
        <w:rPr>
          <w:rFonts w:cs="Arial"/>
          <w:sz w:val="16"/>
          <w:szCs w:val="16"/>
          <w:rtl/>
        </w:rPr>
        <w:t>(</w:t>
      </w:r>
      <w:r w:rsidRPr="009D1A72">
        <w:rPr>
          <w:rFonts w:cs="Arial" w:hint="cs"/>
          <w:sz w:val="16"/>
          <w:szCs w:val="16"/>
          <w:rtl/>
        </w:rPr>
        <w:t xml:space="preserve">דרכ"מ אות </w:t>
      </w:r>
      <w:r w:rsidRPr="009D1A72">
        <w:rPr>
          <w:rFonts w:cs="Arial"/>
          <w:sz w:val="16"/>
          <w:szCs w:val="16"/>
          <w:rtl/>
        </w:rPr>
        <w:t>טז)</w:t>
      </w:r>
    </w:p>
    <w:p w14:paraId="72295B99" w14:textId="77777777" w:rsidR="002E5BAD" w:rsidRDefault="002E5BAD" w:rsidP="00B75458">
      <w:pPr>
        <w:pStyle w:val="ab"/>
        <w:numPr>
          <w:ilvl w:val="0"/>
          <w:numId w:val="192"/>
        </w:numPr>
      </w:pPr>
      <w:r w:rsidRPr="00D602DC">
        <w:rPr>
          <w:rFonts w:cs="Arial"/>
          <w:rtl/>
        </w:rPr>
        <w:t>ריב"ש</w:t>
      </w:r>
      <w:r w:rsidRPr="00FD573D">
        <w:rPr>
          <w:rFonts w:cs="Arial"/>
          <w:sz w:val="16"/>
          <w:szCs w:val="16"/>
          <w:rtl/>
        </w:rPr>
        <w:t xml:space="preserve"> </w:t>
      </w:r>
      <w:r w:rsidRPr="00FD573D">
        <w:rPr>
          <w:rFonts w:cs="Arial" w:hint="cs"/>
          <w:sz w:val="16"/>
          <w:szCs w:val="16"/>
          <w:rtl/>
        </w:rPr>
        <w:t>(</w:t>
      </w:r>
      <w:r w:rsidRPr="00FD573D">
        <w:rPr>
          <w:rFonts w:cs="Arial"/>
          <w:sz w:val="16"/>
          <w:szCs w:val="16"/>
          <w:rtl/>
        </w:rPr>
        <w:t>סי</w:t>
      </w:r>
      <w:r w:rsidRPr="00FD573D">
        <w:rPr>
          <w:rFonts w:cs="Arial" w:hint="cs"/>
          <w:sz w:val="16"/>
          <w:szCs w:val="16"/>
          <w:rtl/>
        </w:rPr>
        <w:t>'</w:t>
      </w:r>
      <w:r w:rsidRPr="00FD573D">
        <w:rPr>
          <w:rFonts w:cs="Arial"/>
          <w:sz w:val="16"/>
          <w:szCs w:val="16"/>
          <w:rtl/>
        </w:rPr>
        <w:t xml:space="preserve"> שפג</w:t>
      </w:r>
      <w:r w:rsidRPr="00FD573D">
        <w:rPr>
          <w:rFonts w:cs="Arial" w:hint="cs"/>
          <w:sz w:val="16"/>
          <w:szCs w:val="16"/>
          <w:rtl/>
        </w:rPr>
        <w:t>)</w:t>
      </w:r>
      <w:r>
        <w:rPr>
          <w:rFonts w:cs="Arial" w:hint="cs"/>
          <w:rtl/>
        </w:rPr>
        <w:t>-</w:t>
      </w:r>
      <w:r w:rsidRPr="00D602DC">
        <w:rPr>
          <w:rFonts w:cs="Arial"/>
          <w:rtl/>
        </w:rPr>
        <w:t xml:space="preserve"> אשה שהביאה חצי כתובתה בידה ונראה שהיתה נחתכת בסכין אינה גובה כלום אע</w:t>
      </w:r>
      <w:r>
        <w:rPr>
          <w:rFonts w:cs="Arial" w:hint="cs"/>
          <w:rtl/>
        </w:rPr>
        <w:t>"</w:t>
      </w:r>
      <w:r w:rsidRPr="00D602DC">
        <w:rPr>
          <w:rFonts w:cs="Arial"/>
          <w:rtl/>
        </w:rPr>
        <w:t>ג</w:t>
      </w:r>
      <w:r>
        <w:rPr>
          <w:rFonts w:cs="Arial" w:hint="cs"/>
          <w:rtl/>
        </w:rPr>
        <w:t xml:space="preserve"> </w:t>
      </w:r>
      <w:r w:rsidRPr="00D602DC">
        <w:rPr>
          <w:rFonts w:cs="Arial"/>
          <w:rtl/>
        </w:rPr>
        <w:t>דלא הוי בה קרע שתי וערב</w:t>
      </w:r>
      <w:r>
        <w:rPr>
          <w:rStyle w:val="a7"/>
          <w:rFonts w:cs="Arial"/>
          <w:rtl/>
        </w:rPr>
        <w:footnoteReference w:id="2403"/>
      </w:r>
      <w:r>
        <w:rPr>
          <w:rFonts w:cs="Arial" w:hint="cs"/>
          <w:rtl/>
        </w:rPr>
        <w:t>.</w:t>
      </w:r>
      <w:r>
        <w:rPr>
          <w:rFonts w:hint="cs"/>
          <w:color w:val="00B0F0"/>
          <w:rtl/>
        </w:rPr>
        <w:t xml:space="preserve"> </w:t>
      </w:r>
      <w:r w:rsidRPr="0070440F">
        <w:rPr>
          <w:rFonts w:hint="cs"/>
          <w:color w:val="00B0F0"/>
          <w:rtl/>
        </w:rPr>
        <w:t>(וכ"פ הרמ"א)</w:t>
      </w:r>
    </w:p>
    <w:p w14:paraId="37ABE841" w14:textId="77777777" w:rsidR="002E5BAD" w:rsidRDefault="002E5BAD" w:rsidP="002E5BAD">
      <w:pPr>
        <w:rPr>
          <w:rtl/>
        </w:rPr>
      </w:pPr>
      <w:r w:rsidRPr="00D24FB5">
        <w:rPr>
          <w:rFonts w:cs="Arial" w:hint="cs"/>
          <w:b/>
          <w:bCs/>
          <w:rtl/>
        </w:rPr>
        <w:lastRenderedPageBreak/>
        <w:t>תוספתא כתובות פי"א ה"א:</w:t>
      </w:r>
      <w:r>
        <w:rPr>
          <w:rFonts w:cs="Arial" w:hint="cs"/>
          <w:rtl/>
        </w:rPr>
        <w:t xml:space="preserve"> </w:t>
      </w:r>
      <w:r w:rsidRPr="00D24FB5">
        <w:rPr>
          <w:rFonts w:cs="Arial"/>
          <w:rtl/>
        </w:rPr>
        <w:t>אלמנה שתובעת כתובתה והיורשים אומ</w:t>
      </w:r>
      <w:r>
        <w:rPr>
          <w:rFonts w:cs="Arial" w:hint="cs"/>
          <w:rtl/>
        </w:rPr>
        <w:t>רים</w:t>
      </w:r>
      <w:r w:rsidRPr="00D24FB5">
        <w:rPr>
          <w:rFonts w:cs="Arial"/>
          <w:rtl/>
        </w:rPr>
        <w:t xml:space="preserve"> לה התקבלת כתובתיך עד שלא נשאת הן צריכין להביא ראיה שנתקבלה כתובתה משנשאת צריכה להביא ראיה שלא נתקבלה כתובתה</w:t>
      </w:r>
      <w:r>
        <w:rPr>
          <w:rFonts w:hint="cs"/>
          <w:rtl/>
        </w:rPr>
        <w:t>.</w:t>
      </w:r>
    </w:p>
    <w:p w14:paraId="58F9E033" w14:textId="77777777" w:rsidR="002E5BAD" w:rsidRPr="00D512B4" w:rsidRDefault="002E5BAD" w:rsidP="002E5BAD">
      <w:pPr>
        <w:rPr>
          <w:u w:val="single"/>
        </w:rPr>
      </w:pPr>
      <w:r w:rsidRPr="00D512B4">
        <w:rPr>
          <w:rFonts w:hint="cs"/>
          <w:u w:val="single"/>
          <w:rtl/>
        </w:rPr>
        <w:t>אלמנה ש</w:t>
      </w:r>
      <w:r>
        <w:rPr>
          <w:rFonts w:hint="cs"/>
          <w:u w:val="single"/>
          <w:rtl/>
        </w:rPr>
        <w:t>אין לה כתובה ו</w:t>
      </w:r>
      <w:r w:rsidRPr="00D512B4">
        <w:rPr>
          <w:rFonts w:hint="cs"/>
          <w:u w:val="single"/>
          <w:rtl/>
        </w:rPr>
        <w:t xml:space="preserve">עדיין לא גבתה כתובתה, ונשאת </w:t>
      </w:r>
      <w:r w:rsidRPr="00D512B4">
        <w:rPr>
          <w:u w:val="single"/>
          <w:rtl/>
        </w:rPr>
        <w:t>–</w:t>
      </w:r>
      <w:r w:rsidRPr="00D512B4">
        <w:rPr>
          <w:rFonts w:hint="cs"/>
          <w:u w:val="single"/>
          <w:rtl/>
        </w:rPr>
        <w:t xml:space="preserve"> האם יכולה עדיין לגבות כתובתה:</w:t>
      </w:r>
    </w:p>
    <w:p w14:paraId="051AF586" w14:textId="77777777" w:rsidR="002E5BAD" w:rsidRDefault="002E5BAD" w:rsidP="00B75458">
      <w:pPr>
        <w:pStyle w:val="ab"/>
        <w:numPr>
          <w:ilvl w:val="0"/>
          <w:numId w:val="192"/>
        </w:numPr>
      </w:pPr>
      <w:r>
        <w:rPr>
          <w:rFonts w:cs="Arial" w:hint="cs"/>
          <w:rtl/>
        </w:rPr>
        <w:t xml:space="preserve">ראב"ן </w:t>
      </w:r>
      <w:r>
        <w:rPr>
          <w:rFonts w:cs="Arial" w:hint="cs"/>
          <w:sz w:val="16"/>
          <w:szCs w:val="16"/>
          <w:rtl/>
        </w:rPr>
        <w:t>(סי' קז)</w:t>
      </w:r>
      <w:r>
        <w:rPr>
          <w:rFonts w:cs="Arial" w:hint="cs"/>
          <w:rtl/>
        </w:rPr>
        <w:t xml:space="preserve">- </w:t>
      </w:r>
      <w:r w:rsidRPr="00D24FB5">
        <w:rPr>
          <w:rFonts w:cs="Arial"/>
          <w:rtl/>
        </w:rPr>
        <w:t>כתובה כשתיקנו רבנן לא תיקנו תחת מעשה ידיה ולא תלו גבייתה בנישואין. הילכך אומר אני שגובה בתקנת ב"ד עד כ"ה אפילו ניסת דאטו נישואין מי פקעי תקנת ב"ד, דהא דפקעי נישואין תנאין תנאי ב"ד דמזונות, לאו נישואין פקעינן אלא מעשה ידיה דלית להו פקעינן, אבל כתובה במאי פקע אפילו אין שטר כתובה בידה.</w:t>
      </w:r>
    </w:p>
    <w:p w14:paraId="7649C5DB" w14:textId="77777777" w:rsidR="002E5BAD" w:rsidRPr="00AB0CBA" w:rsidRDefault="002E5BAD" w:rsidP="00B75458">
      <w:pPr>
        <w:pStyle w:val="ab"/>
        <w:numPr>
          <w:ilvl w:val="0"/>
          <w:numId w:val="192"/>
        </w:numPr>
        <w:rPr>
          <w:rtl/>
        </w:rPr>
      </w:pPr>
      <w:r>
        <w:rPr>
          <w:rFonts w:cs="Arial" w:hint="cs"/>
          <w:rtl/>
        </w:rPr>
        <w:t xml:space="preserve">ר' יצחק הלוי </w:t>
      </w:r>
      <w:r w:rsidRPr="00D24FB5">
        <w:rPr>
          <w:rFonts w:cs="Arial"/>
          <w:rtl/>
        </w:rPr>
        <w:t>ריב"א</w:t>
      </w:r>
      <w:r>
        <w:rPr>
          <w:rFonts w:cs="Arial" w:hint="cs"/>
          <w:rtl/>
        </w:rPr>
        <w:t xml:space="preserve"> ומהר"ם</w:t>
      </w:r>
      <w:r>
        <w:rPr>
          <w:rStyle w:val="a7"/>
          <w:rFonts w:cs="Arial"/>
          <w:rtl/>
        </w:rPr>
        <w:footnoteReference w:id="2404"/>
      </w:r>
      <w:r>
        <w:rPr>
          <w:rFonts w:cs="Arial" w:hint="cs"/>
          <w:rtl/>
        </w:rPr>
        <w:t>-</w:t>
      </w:r>
      <w:r w:rsidRPr="00D24FB5">
        <w:rPr>
          <w:rFonts w:cs="Arial"/>
          <w:rtl/>
        </w:rPr>
        <w:t xml:space="preserve"> אלמנה כל זמן שלא נשאת נאמנת היא בין למזונות בין לכתובה ואע</w:t>
      </w:r>
      <w:r>
        <w:rPr>
          <w:rFonts w:cs="Arial" w:hint="cs"/>
          <w:rtl/>
        </w:rPr>
        <w:t>"</w:t>
      </w:r>
      <w:r w:rsidRPr="00D24FB5">
        <w:rPr>
          <w:rFonts w:cs="Arial"/>
          <w:rtl/>
        </w:rPr>
        <w:t>פ שאין הכתובה בידה נאמנת לומר לא נפרעתי כלל או לא נפרעתי אלא כך וכך ונוטלת השאר בשבועה ואפילו אמרו היורשין ודאי פרענו אבל לאחר שנישאת אינה נאמנת על הכתובה אא"כ שטר כתובה יוצא מתחת ידה ועל המזונות אינה נאמנת כלל לאחר שנשאת אע</w:t>
      </w:r>
      <w:r>
        <w:rPr>
          <w:rFonts w:cs="Arial" w:hint="cs"/>
          <w:rtl/>
        </w:rPr>
        <w:t>"</w:t>
      </w:r>
      <w:r w:rsidRPr="00D24FB5">
        <w:rPr>
          <w:rFonts w:cs="Arial"/>
          <w:rtl/>
        </w:rPr>
        <w:t>פ ששטר כתובה יוצא מתחת ידה</w:t>
      </w:r>
      <w:r>
        <w:rPr>
          <w:rFonts w:cs="Arial" w:hint="cs"/>
          <w:sz w:val="16"/>
          <w:szCs w:val="16"/>
          <w:rtl/>
        </w:rPr>
        <w:t xml:space="preserve"> (ל' המרדכי בשם ריב"א)</w:t>
      </w:r>
      <w:r>
        <w:rPr>
          <w:rFonts w:cs="Arial" w:hint="cs"/>
          <w:rtl/>
        </w:rPr>
        <w:t>.</w:t>
      </w:r>
      <w:r>
        <w:rPr>
          <w:rFonts w:hint="cs"/>
          <w:rtl/>
        </w:rPr>
        <w:t xml:space="preserve"> </w:t>
      </w:r>
      <w:r w:rsidRPr="006C210B">
        <w:rPr>
          <w:rFonts w:hint="cs"/>
          <w:color w:val="00B0F0"/>
          <w:rtl/>
        </w:rPr>
        <w:t>(וכ"כ הרמ"א)</w:t>
      </w:r>
    </w:p>
    <w:p w14:paraId="07385AE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03D23E" w14:textId="77777777" w:rsidR="002E5BAD" w:rsidRDefault="002E5BAD" w:rsidP="002E5BAD">
      <w:pPr>
        <w:rPr>
          <w:rtl/>
        </w:rPr>
      </w:pPr>
      <w:r>
        <w:rPr>
          <w:rFonts w:cs="Arial"/>
          <w:rtl/>
        </w:rPr>
        <w:t>אלמנה, אם אין שטר כתובה יוצא מתחת ידה, אינה גובה אפילו עיקר כתובה. וכן הגרושה, אם הבעל טוען: פרעתי או מחלה, אפילו עיקר כתובה אין לה עד שתוציא שטר כתובה. ב</w:t>
      </w:r>
      <w:r>
        <w:rPr>
          <w:rFonts w:cs="Arial" w:hint="cs"/>
          <w:rtl/>
        </w:rPr>
        <w:t xml:space="preserve">מה דברים </w:t>
      </w:r>
      <w:r>
        <w:rPr>
          <w:rFonts w:cs="Arial"/>
          <w:rtl/>
        </w:rPr>
        <w:t>א</w:t>
      </w:r>
      <w:r>
        <w:rPr>
          <w:rFonts w:cs="Arial" w:hint="cs"/>
          <w:rtl/>
        </w:rPr>
        <w:t>מורים</w:t>
      </w:r>
      <w:r>
        <w:rPr>
          <w:rFonts w:cs="Arial"/>
          <w:rtl/>
        </w:rPr>
        <w:t>, במקום שדרכם לכתוב כתובה. אבל במקום שאין דרכם לכתוב כתובה, אלא סומכים על תנאי ב</w:t>
      </w:r>
      <w:r>
        <w:rPr>
          <w:rFonts w:cs="Arial" w:hint="cs"/>
          <w:rtl/>
        </w:rPr>
        <w:t xml:space="preserve">ית </w:t>
      </w:r>
      <w:r>
        <w:rPr>
          <w:rFonts w:cs="Arial"/>
          <w:rtl/>
        </w:rPr>
        <w:t>ד</w:t>
      </w:r>
      <w:r>
        <w:rPr>
          <w:rFonts w:cs="Arial" w:hint="cs"/>
          <w:rtl/>
        </w:rPr>
        <w:t>ין</w:t>
      </w:r>
      <w:r>
        <w:rPr>
          <w:rFonts w:cs="Arial"/>
          <w:rtl/>
        </w:rPr>
        <w:t xml:space="preserve">, הרי זו גובה עיקר כתובה אף על פי שאין בידה שטר כתובה, בין נתגרשה בין נתאלמנה. </w:t>
      </w:r>
      <w:r w:rsidRPr="003D2914">
        <w:rPr>
          <w:rFonts w:cs="Arial"/>
          <w:sz w:val="18"/>
          <w:szCs w:val="18"/>
          <w:rtl/>
        </w:rPr>
        <w:t>הגה: ואם יש עדים שנאבדה</w:t>
      </w:r>
      <w:r>
        <w:rPr>
          <w:rStyle w:val="a7"/>
          <w:rFonts w:cs="Arial"/>
          <w:sz w:val="18"/>
          <w:szCs w:val="18"/>
          <w:rtl/>
        </w:rPr>
        <w:footnoteReference w:id="2405"/>
      </w:r>
      <w:r w:rsidRPr="003D2914">
        <w:rPr>
          <w:rFonts w:cs="Arial"/>
          <w:sz w:val="18"/>
          <w:szCs w:val="18"/>
          <w:rtl/>
        </w:rPr>
        <w:t xml:space="preserve"> הכתובה או נשרפה, אפילו במקום שכותבין הוי כמקום שאין כותבין (הגהות אלפסי). וי"א דאפי' במקום שכותבין</w:t>
      </w:r>
      <w:r>
        <w:rPr>
          <w:rFonts w:cs="Arial" w:hint="cs"/>
          <w:sz w:val="18"/>
          <w:szCs w:val="18"/>
          <w:rtl/>
        </w:rPr>
        <w:t>,</w:t>
      </w:r>
      <w:r w:rsidRPr="003D2914">
        <w:rPr>
          <w:rFonts w:cs="Arial"/>
          <w:sz w:val="18"/>
          <w:szCs w:val="18"/>
          <w:rtl/>
        </w:rPr>
        <w:t xml:space="preserve"> גובה את כתובתה בלא שטר כתובה, דאין נאמנין לומר פרועה היא (טור בשם ר"י). ולא מבעיא עיקר כתובתה, אלא אפילו התוספת</w:t>
      </w:r>
      <w:r>
        <w:rPr>
          <w:rStyle w:val="a7"/>
          <w:rFonts w:cs="Arial"/>
          <w:sz w:val="18"/>
          <w:szCs w:val="18"/>
          <w:rtl/>
        </w:rPr>
        <w:footnoteReference w:id="2406"/>
      </w:r>
      <w:r w:rsidRPr="003D2914">
        <w:rPr>
          <w:rFonts w:cs="Arial"/>
          <w:sz w:val="18"/>
          <w:szCs w:val="18"/>
          <w:rtl/>
        </w:rPr>
        <w:t xml:space="preserve"> שמנהג כל המדינות להוסיף (מרדכי ותשובת מיימוני). וכן נראה סברת האחרונים (מהרי"ק ומהרא"י). אבל לא נהגו במדינות אלו לגבות בלא כתובה</w:t>
      </w:r>
      <w:r>
        <w:rPr>
          <w:rStyle w:val="a7"/>
          <w:rFonts w:cs="Arial"/>
          <w:sz w:val="18"/>
          <w:szCs w:val="18"/>
          <w:rtl/>
        </w:rPr>
        <w:footnoteReference w:id="2407"/>
      </w:r>
      <w:r w:rsidRPr="003D2914">
        <w:rPr>
          <w:rFonts w:cs="Arial"/>
          <w:sz w:val="18"/>
          <w:szCs w:val="18"/>
          <w:rtl/>
        </w:rPr>
        <w:t>. ולכולי עלמא אם אין המנהג פשוט</w:t>
      </w:r>
      <w:r>
        <w:rPr>
          <w:rStyle w:val="a7"/>
          <w:rFonts w:cs="Arial"/>
          <w:sz w:val="18"/>
          <w:szCs w:val="18"/>
          <w:rtl/>
        </w:rPr>
        <w:footnoteReference w:id="2408"/>
      </w:r>
      <w:r w:rsidRPr="003D2914">
        <w:rPr>
          <w:rFonts w:cs="Arial"/>
          <w:sz w:val="18"/>
          <w:szCs w:val="18"/>
          <w:rtl/>
        </w:rPr>
        <w:t>, אע</w:t>
      </w:r>
      <w:r>
        <w:rPr>
          <w:rFonts w:cs="Arial" w:hint="cs"/>
          <w:sz w:val="18"/>
          <w:szCs w:val="18"/>
          <w:rtl/>
        </w:rPr>
        <w:t>"</w:t>
      </w:r>
      <w:r w:rsidRPr="003D2914">
        <w:rPr>
          <w:rFonts w:cs="Arial"/>
          <w:sz w:val="18"/>
          <w:szCs w:val="18"/>
          <w:rtl/>
        </w:rPr>
        <w:t>פ שכתובתה בידה ואינה מקויימת</w:t>
      </w:r>
      <w:r>
        <w:rPr>
          <w:rStyle w:val="a7"/>
          <w:rFonts w:cs="Arial"/>
          <w:sz w:val="18"/>
          <w:szCs w:val="18"/>
          <w:rtl/>
        </w:rPr>
        <w:footnoteReference w:id="2409"/>
      </w:r>
      <w:r w:rsidRPr="003D2914">
        <w:rPr>
          <w:rFonts w:cs="Arial"/>
          <w:sz w:val="18"/>
          <w:szCs w:val="18"/>
          <w:rtl/>
        </w:rPr>
        <w:t>, אינה גובאת בה (מהרא"י מהרי"ו</w:t>
      </w:r>
      <w:r>
        <w:rPr>
          <w:rFonts w:cs="Arial" w:hint="cs"/>
          <w:sz w:val="18"/>
          <w:szCs w:val="18"/>
          <w:rtl/>
        </w:rPr>
        <w:t xml:space="preserve"> </w:t>
      </w:r>
      <w:r w:rsidRPr="003D2914">
        <w:rPr>
          <w:rFonts w:cs="Arial"/>
          <w:sz w:val="18"/>
          <w:szCs w:val="18"/>
          <w:rtl/>
        </w:rPr>
        <w:t>ומהרי"ק). מיהו אם תפסה האלמנה ויש לה מיגו שתוכל לכפור בנכסים, נאמנת על מה שאמרה שהוסיף לה (מהרי"ו סי</w:t>
      </w:r>
      <w:r>
        <w:rPr>
          <w:rFonts w:cs="Arial" w:hint="cs"/>
          <w:sz w:val="18"/>
          <w:szCs w:val="18"/>
          <w:rtl/>
        </w:rPr>
        <w:t>'</w:t>
      </w:r>
      <w:r w:rsidRPr="003D2914">
        <w:rPr>
          <w:rFonts w:cs="Arial"/>
          <w:sz w:val="18"/>
          <w:szCs w:val="18"/>
          <w:rtl/>
        </w:rPr>
        <w:t xml:space="preserve"> רלב). </w:t>
      </w:r>
      <w:r w:rsidRPr="003D2914">
        <w:rPr>
          <w:rFonts w:cs="Arial"/>
          <w:sz w:val="18"/>
          <w:szCs w:val="18"/>
          <w:rtl/>
        </w:rPr>
        <w:lastRenderedPageBreak/>
        <w:t>ועיין לעיל סימן ס"ו</w:t>
      </w:r>
      <w:r>
        <w:rPr>
          <w:rStyle w:val="a7"/>
          <w:rFonts w:cs="Arial"/>
          <w:sz w:val="18"/>
          <w:szCs w:val="18"/>
          <w:rtl/>
        </w:rPr>
        <w:footnoteReference w:id="2410"/>
      </w:r>
      <w:r w:rsidRPr="003D2914">
        <w:rPr>
          <w:rFonts w:cs="Arial"/>
          <w:sz w:val="18"/>
          <w:szCs w:val="18"/>
          <w:rtl/>
        </w:rPr>
        <w:t>. וי"א דאם כבר נשאת לאחר, אינה נאמנת לגבות עוד בלא כתובה</w:t>
      </w:r>
      <w:r>
        <w:rPr>
          <w:rStyle w:val="a7"/>
          <w:rFonts w:cs="Arial"/>
          <w:sz w:val="18"/>
          <w:szCs w:val="18"/>
          <w:rtl/>
        </w:rPr>
        <w:footnoteReference w:id="2411"/>
      </w:r>
      <w:r w:rsidRPr="003D2914">
        <w:rPr>
          <w:rFonts w:cs="Arial"/>
          <w:sz w:val="18"/>
          <w:szCs w:val="18"/>
          <w:rtl/>
        </w:rPr>
        <w:t xml:space="preserve"> (מרדכי פ' אלמנה). וכל מקום שנאמנת, צריכה לישבע שלא נפרעה. ובמקום שאינה נאמנת, אם הבעל חי צריך לישבע שפרעה. ואם אינו חי, היתומים פטורים בלא שבועה (דברי הרב וכן משמע לשון הטור). היתה כתובתה בידה ונחתכה בסכין</w:t>
      </w:r>
      <w:r>
        <w:rPr>
          <w:rStyle w:val="a7"/>
          <w:rFonts w:cs="Arial"/>
          <w:sz w:val="18"/>
          <w:szCs w:val="18"/>
          <w:rtl/>
        </w:rPr>
        <w:footnoteReference w:id="2412"/>
      </w:r>
      <w:r w:rsidRPr="003D2914">
        <w:rPr>
          <w:rFonts w:cs="Arial"/>
          <w:sz w:val="18"/>
          <w:szCs w:val="18"/>
          <w:rtl/>
        </w:rPr>
        <w:t>, אינה גובאת כלום, אע</w:t>
      </w:r>
      <w:r>
        <w:rPr>
          <w:rFonts w:cs="Arial" w:hint="cs"/>
          <w:sz w:val="18"/>
          <w:szCs w:val="18"/>
          <w:rtl/>
        </w:rPr>
        <w:t>"</w:t>
      </w:r>
      <w:r w:rsidRPr="003D2914">
        <w:rPr>
          <w:rFonts w:cs="Arial"/>
          <w:sz w:val="18"/>
          <w:szCs w:val="18"/>
          <w:rtl/>
        </w:rPr>
        <w:t>פ שאינו קרע שתי וערב (ריב"ש</w:t>
      </w:r>
      <w:r>
        <w:rPr>
          <w:rFonts w:cs="Arial" w:hint="cs"/>
          <w:sz w:val="18"/>
          <w:szCs w:val="18"/>
          <w:rtl/>
        </w:rPr>
        <w:t>)</w:t>
      </w:r>
      <w:r w:rsidRPr="003D2914">
        <w:rPr>
          <w:rFonts w:cs="Arial"/>
          <w:sz w:val="18"/>
          <w:szCs w:val="18"/>
          <w:rtl/>
        </w:rPr>
        <w:t>.</w:t>
      </w:r>
      <w:r>
        <w:rPr>
          <w:rFonts w:cs="Arial"/>
          <w:rtl/>
        </w:rPr>
        <w:t xml:space="preserve"> </w:t>
      </w:r>
    </w:p>
    <w:p w14:paraId="65A56033" w14:textId="77777777" w:rsidR="002E5BAD" w:rsidRDefault="002E5BAD" w:rsidP="002E5BAD">
      <w:pPr>
        <w:rPr>
          <w:rtl/>
        </w:rPr>
      </w:pPr>
    </w:p>
    <w:p w14:paraId="14686FE7" w14:textId="77777777" w:rsidR="002E5BAD" w:rsidRPr="00531E96" w:rsidRDefault="002E5BAD" w:rsidP="002E5BAD">
      <w:pPr>
        <w:pStyle w:val="2"/>
        <w:rPr>
          <w:rtl/>
        </w:rPr>
      </w:pPr>
      <w:r>
        <w:rPr>
          <w:rtl/>
        </w:rPr>
        <w:t>סעיף ז</w:t>
      </w:r>
      <w:r>
        <w:rPr>
          <w:rFonts w:hint="cs"/>
          <w:rtl/>
        </w:rPr>
        <w:t>: אשה שאמרה 'מת בעלי התירוני להנשא', או 'מת בעלי תנו לי כתובתי'.</w:t>
      </w:r>
    </w:p>
    <w:p w14:paraId="0599AF90" w14:textId="77777777" w:rsidR="002E5BAD" w:rsidRPr="00580535" w:rsidRDefault="002E5BAD" w:rsidP="002E5BAD">
      <w:pPr>
        <w:rPr>
          <w:rtl/>
        </w:rPr>
      </w:pPr>
      <w:r w:rsidRPr="00580535">
        <w:rPr>
          <w:rFonts w:hint="cs"/>
          <w:b/>
          <w:bCs/>
          <w:rtl/>
        </w:rPr>
        <w:t xml:space="preserve">יבמות </w:t>
      </w:r>
      <w:r w:rsidRPr="00580535">
        <w:rPr>
          <w:rFonts w:hint="cs"/>
          <w:b/>
          <w:bCs/>
          <w:sz w:val="16"/>
          <w:szCs w:val="16"/>
          <w:rtl/>
        </w:rPr>
        <w:t xml:space="preserve">(פ' האשה שלום) </w:t>
      </w:r>
      <w:r w:rsidRPr="00580535">
        <w:rPr>
          <w:rFonts w:hint="cs"/>
          <w:b/>
          <w:bCs/>
          <w:rtl/>
        </w:rPr>
        <w:t>קטז ע"ב:</w:t>
      </w:r>
      <w:r>
        <w:rPr>
          <w:rFonts w:hint="cs"/>
          <w:rtl/>
        </w:rPr>
        <w:t xml:space="preserve"> </w:t>
      </w:r>
      <w:r w:rsidRPr="00580535">
        <w:rPr>
          <w:rFonts w:cs="Arial"/>
          <w:u w:val="double"/>
          <w:rtl/>
        </w:rPr>
        <w:t>מתני'</w:t>
      </w:r>
      <w:r>
        <w:rPr>
          <w:rFonts w:cs="Arial" w:hint="cs"/>
          <w:rtl/>
        </w:rPr>
        <w:t>:</w:t>
      </w:r>
      <w:r w:rsidRPr="00580535">
        <w:rPr>
          <w:rFonts w:cs="Arial"/>
          <w:rtl/>
        </w:rPr>
        <w:t xml:space="preserve"> </w:t>
      </w:r>
      <w:r>
        <w:rPr>
          <w:rStyle w:val="a7"/>
          <w:rFonts w:cs="Arial"/>
          <w:u w:val="single"/>
          <w:rtl/>
        </w:rPr>
        <w:footnoteReference w:id="2413"/>
      </w:r>
      <w:r w:rsidRPr="00580535">
        <w:rPr>
          <w:rFonts w:cs="Arial"/>
          <w:u w:val="single"/>
          <w:rtl/>
        </w:rPr>
        <w:t>בית שמאי אומרים</w:t>
      </w:r>
      <w:r w:rsidRPr="00580535">
        <w:rPr>
          <w:rFonts w:cs="Arial"/>
          <w:rtl/>
        </w:rPr>
        <w:t xml:space="preserve">: תנשא ותטול כתובתה, </w:t>
      </w:r>
      <w:r w:rsidRPr="00580535">
        <w:rPr>
          <w:rFonts w:cs="Arial"/>
          <w:u w:val="single"/>
          <w:rtl/>
        </w:rPr>
        <w:t>בית הלל אומרים</w:t>
      </w:r>
      <w:r w:rsidRPr="00580535">
        <w:rPr>
          <w:rFonts w:cs="Arial"/>
          <w:rtl/>
        </w:rPr>
        <w:t xml:space="preserve">: תנשא ולא תטול כתובתה. </w:t>
      </w:r>
      <w:r w:rsidRPr="00580535">
        <w:rPr>
          <w:rFonts w:cs="Arial"/>
          <w:u w:val="single"/>
          <w:rtl/>
        </w:rPr>
        <w:t>אמרו להם בית שמאי</w:t>
      </w:r>
      <w:r w:rsidRPr="00580535">
        <w:rPr>
          <w:rFonts w:cs="Arial"/>
          <w:rtl/>
        </w:rPr>
        <w:t xml:space="preserve">: התרתם ערוה חמורה, ולא נתיר ממון הקל? </w:t>
      </w:r>
      <w:r w:rsidRPr="00580535">
        <w:rPr>
          <w:rFonts w:cs="Arial"/>
          <w:u w:val="single"/>
          <w:rtl/>
        </w:rPr>
        <w:t>אמרו להם בית הלל</w:t>
      </w:r>
      <w:r w:rsidRPr="00580535">
        <w:rPr>
          <w:rFonts w:cs="Arial"/>
          <w:rtl/>
        </w:rPr>
        <w:t>: מצינו</w:t>
      </w:r>
      <w:r w:rsidRPr="00580535">
        <w:rPr>
          <w:rtl/>
        </w:rPr>
        <w:t xml:space="preserve"> </w:t>
      </w:r>
      <w:r>
        <w:rPr>
          <w:rFonts w:cs="Arial" w:hint="cs"/>
          <w:sz w:val="14"/>
          <w:szCs w:val="14"/>
          <w:rtl/>
        </w:rPr>
        <w:t xml:space="preserve">(קיז.) </w:t>
      </w:r>
      <w:r>
        <w:rPr>
          <w:rFonts w:cs="Arial"/>
          <w:rtl/>
        </w:rPr>
        <w:t>שאין האחין נכנסין לנחלה על פיה</w:t>
      </w:r>
      <w:r>
        <w:rPr>
          <w:rFonts w:cs="Arial" w:hint="cs"/>
          <w:rtl/>
        </w:rPr>
        <w:t>.</w:t>
      </w:r>
      <w:r>
        <w:rPr>
          <w:rFonts w:cs="Arial"/>
          <w:rtl/>
        </w:rPr>
        <w:t xml:space="preserve"> </w:t>
      </w:r>
      <w:r w:rsidRPr="00531E96">
        <w:rPr>
          <w:rFonts w:cs="Arial"/>
          <w:u w:val="single"/>
          <w:rtl/>
        </w:rPr>
        <w:t>אמרו להם בית שמאי</w:t>
      </w:r>
      <w:r>
        <w:rPr>
          <w:rFonts w:cs="Arial"/>
          <w:rtl/>
        </w:rPr>
        <w:t xml:space="preserve">: והלא מספר כתובה נלמוד, שהוא כותב לה שאם תנשאי לאחר תטלי מה שכתוב ליכי! וחזרו בית הלל להורות כדברי ב"ש. </w:t>
      </w:r>
      <w:r>
        <w:rPr>
          <w:rFonts w:hint="cs"/>
          <w:rtl/>
        </w:rPr>
        <w:t xml:space="preserve">       </w:t>
      </w:r>
      <w:r w:rsidRPr="00531E96">
        <w:rPr>
          <w:rFonts w:cs="Arial"/>
          <w:u w:val="double"/>
          <w:rtl/>
        </w:rPr>
        <w:t>גמ'</w:t>
      </w:r>
      <w:r>
        <w:rPr>
          <w:rFonts w:cs="Arial" w:hint="cs"/>
          <w:rtl/>
        </w:rPr>
        <w:t>:</w:t>
      </w:r>
      <w:r>
        <w:rPr>
          <w:rFonts w:cs="Arial"/>
          <w:rtl/>
        </w:rPr>
        <w:t xml:space="preserve"> </w:t>
      </w:r>
      <w:r w:rsidRPr="00531E96">
        <w:rPr>
          <w:rFonts w:cs="Arial"/>
          <w:u w:val="single"/>
          <w:rtl/>
        </w:rPr>
        <w:t>אמר רב נחמן</w:t>
      </w:r>
      <w:r>
        <w:rPr>
          <w:rFonts w:cs="Arial"/>
          <w:rtl/>
        </w:rPr>
        <w:t>: באת לבית דין ואמרה מת בעלי התירוני להנשא - מתירין אותה להנשא ונותנין לה כתובתה, תנו לי כתובתי - אף להנשא אין מתירין אותה</w:t>
      </w:r>
      <w:r>
        <w:rPr>
          <w:rFonts w:cs="Arial" w:hint="cs"/>
          <w:rtl/>
        </w:rPr>
        <w:t>.</w:t>
      </w:r>
      <w:r>
        <w:rPr>
          <w:rFonts w:cs="Arial"/>
          <w:rtl/>
        </w:rPr>
        <w:t xml:space="preserve"> מאי טעמא? אדעתא דכתובה אתאי. </w:t>
      </w:r>
    </w:p>
    <w:p w14:paraId="73F0D517" w14:textId="77777777" w:rsidR="002E5BAD" w:rsidRPr="00D664B6" w:rsidRDefault="002E5BAD" w:rsidP="002E5BAD">
      <w:pPr>
        <w:rPr>
          <w:u w:val="single"/>
          <w:rtl/>
        </w:rPr>
      </w:pPr>
      <w:r w:rsidRPr="00D664B6">
        <w:rPr>
          <w:rFonts w:hint="cs"/>
          <w:u w:val="single"/>
          <w:rtl/>
        </w:rPr>
        <w:t xml:space="preserve">אשה שאמרה </w:t>
      </w:r>
      <w:r>
        <w:rPr>
          <w:rFonts w:hint="cs"/>
          <w:u w:val="single"/>
          <w:rtl/>
        </w:rPr>
        <w:t>'</w:t>
      </w:r>
      <w:r w:rsidRPr="001A2B82">
        <w:rPr>
          <w:u w:val="single"/>
          <w:rtl/>
        </w:rPr>
        <w:t>מת בעלי התירוני להנשא</w:t>
      </w:r>
      <w:r>
        <w:rPr>
          <w:rFonts w:hint="cs"/>
          <w:u w:val="single"/>
          <w:rtl/>
        </w:rPr>
        <w:t>'</w:t>
      </w:r>
      <w:r w:rsidRPr="00D664B6">
        <w:rPr>
          <w:rFonts w:hint="cs"/>
          <w:u w:val="single"/>
          <w:rtl/>
        </w:rPr>
        <w:t>:</w:t>
      </w:r>
    </w:p>
    <w:p w14:paraId="792BD2E1" w14:textId="77777777" w:rsidR="002E5BAD" w:rsidRPr="00580535" w:rsidRDefault="002E5BAD" w:rsidP="00B75458">
      <w:pPr>
        <w:pStyle w:val="ab"/>
        <w:numPr>
          <w:ilvl w:val="0"/>
          <w:numId w:val="192"/>
        </w:numPr>
      </w:pPr>
      <w:r>
        <w:rPr>
          <w:rFonts w:cs="Arial" w:hint="cs"/>
          <w:rtl/>
        </w:rPr>
        <w:t xml:space="preserve">טור- אשה </w:t>
      </w:r>
      <w:r w:rsidRPr="003D2914">
        <w:rPr>
          <w:rFonts w:cs="Arial"/>
          <w:rtl/>
        </w:rPr>
        <w:t>שאומרת מת בעלי</w:t>
      </w:r>
      <w:r>
        <w:rPr>
          <w:rFonts w:cs="Arial" w:hint="cs"/>
          <w:rtl/>
        </w:rPr>
        <w:t xml:space="preserve"> -</w:t>
      </w:r>
      <w:r w:rsidRPr="003D2914">
        <w:rPr>
          <w:rFonts w:cs="Arial"/>
          <w:rtl/>
        </w:rPr>
        <w:t xml:space="preserve"> נאמנת כדפירש' לעיל </w:t>
      </w:r>
      <w:r>
        <w:rPr>
          <w:rFonts w:cs="Arial" w:hint="cs"/>
          <w:sz w:val="16"/>
          <w:szCs w:val="16"/>
          <w:rtl/>
        </w:rPr>
        <w:t>(סי' יז)</w:t>
      </w:r>
      <w:r>
        <w:rPr>
          <w:rFonts w:cs="Arial" w:hint="cs"/>
          <w:rtl/>
        </w:rPr>
        <w:t xml:space="preserve">, </w:t>
      </w:r>
      <w:r w:rsidRPr="003D2914">
        <w:rPr>
          <w:rFonts w:cs="Arial"/>
          <w:rtl/>
        </w:rPr>
        <w:t>גם נותנין לה כתובה על פיה</w:t>
      </w:r>
      <w:r>
        <w:rPr>
          <w:rFonts w:cs="Arial" w:hint="cs"/>
          <w:rtl/>
        </w:rPr>
        <w:t>.</w:t>
      </w:r>
      <w:r w:rsidRPr="003D2914">
        <w:rPr>
          <w:rFonts w:cs="Arial"/>
          <w:rtl/>
        </w:rPr>
        <w:t xml:space="preserve"> ונדוניא ותוספת</w:t>
      </w:r>
      <w:r>
        <w:rPr>
          <w:rStyle w:val="a7"/>
          <w:rFonts w:cs="Arial"/>
          <w:rtl/>
        </w:rPr>
        <w:footnoteReference w:id="2414"/>
      </w:r>
      <w:r w:rsidRPr="003D2914">
        <w:rPr>
          <w:rFonts w:cs="Arial"/>
          <w:rtl/>
        </w:rPr>
        <w:t xml:space="preserve"> אינה גובה אא"כ כתובתה בידה אפילו יש עדים כמה היה</w:t>
      </w:r>
      <w:r>
        <w:rPr>
          <w:rStyle w:val="a7"/>
          <w:rFonts w:cs="Arial"/>
          <w:rtl/>
        </w:rPr>
        <w:footnoteReference w:id="2415"/>
      </w:r>
      <w:r>
        <w:rPr>
          <w:rFonts w:cs="Arial" w:hint="cs"/>
          <w:rtl/>
        </w:rPr>
        <w:t>.</w:t>
      </w:r>
      <w:r w:rsidRPr="003D2914">
        <w:rPr>
          <w:rFonts w:cs="Arial"/>
          <w:rtl/>
        </w:rPr>
        <w:t xml:space="preserve"> </w:t>
      </w:r>
    </w:p>
    <w:p w14:paraId="214607F0" w14:textId="77777777" w:rsidR="002E5BAD" w:rsidRPr="001A2B82" w:rsidRDefault="002E5BAD" w:rsidP="00B75458">
      <w:pPr>
        <w:pStyle w:val="ab"/>
        <w:numPr>
          <w:ilvl w:val="0"/>
          <w:numId w:val="192"/>
        </w:numPr>
      </w:pPr>
      <w:r w:rsidRPr="003D2914">
        <w:rPr>
          <w:rFonts w:cs="Arial"/>
          <w:rtl/>
        </w:rPr>
        <w:t>רמב"ם</w:t>
      </w:r>
      <w:r>
        <w:rPr>
          <w:rFonts w:cs="Arial" w:hint="cs"/>
          <w:sz w:val="16"/>
          <w:szCs w:val="16"/>
          <w:rtl/>
        </w:rPr>
        <w:t xml:space="preserve"> (פט"ז מאישות הל"א)</w:t>
      </w:r>
      <w:r>
        <w:rPr>
          <w:rFonts w:cs="Arial" w:hint="cs"/>
          <w:rtl/>
        </w:rPr>
        <w:t>-</w:t>
      </w:r>
      <w:r w:rsidRPr="003D2914">
        <w:rPr>
          <w:rFonts w:cs="Arial"/>
          <w:rtl/>
        </w:rPr>
        <w:t xml:space="preserve"> </w:t>
      </w:r>
      <w:r w:rsidRPr="00C93750">
        <w:rPr>
          <w:rFonts w:cs="Arial"/>
          <w:rtl/>
        </w:rPr>
        <w:t>האשה נאמנת לומר מת בעלי כדי שתנשא כמו שיתבאר בהלכות גירושין, ומתנאי הכתובה שאם תנשא לאחר אחר מותו תטול מה שכתב לה בכתובתה</w:t>
      </w:r>
      <w:r>
        <w:rPr>
          <w:rFonts w:cs="Arial" w:hint="cs"/>
          <w:rtl/>
        </w:rPr>
        <w:t>.</w:t>
      </w:r>
      <w:r w:rsidRPr="00C93750">
        <w:rPr>
          <w:rFonts w:cs="Arial"/>
          <w:rtl/>
        </w:rPr>
        <w:t xml:space="preserve"> לפיכך אם באה לבית דין ואמרה </w:t>
      </w:r>
      <w:r>
        <w:rPr>
          <w:rFonts w:cs="Arial" w:hint="cs"/>
          <w:rtl/>
        </w:rPr>
        <w:t>'</w:t>
      </w:r>
      <w:r w:rsidRPr="00C93750">
        <w:rPr>
          <w:rFonts w:cs="Arial"/>
          <w:rtl/>
        </w:rPr>
        <w:t>מת בעלי התירוני להנשא</w:t>
      </w:r>
      <w:r>
        <w:rPr>
          <w:rFonts w:cs="Arial" w:hint="cs"/>
          <w:rtl/>
        </w:rPr>
        <w:t>',</w:t>
      </w:r>
      <w:r w:rsidRPr="00C93750">
        <w:rPr>
          <w:rFonts w:cs="Arial"/>
          <w:rtl/>
        </w:rPr>
        <w:t xml:space="preserve"> ולא הזכירה שם כתובה בעולם</w:t>
      </w:r>
      <w:r>
        <w:rPr>
          <w:rFonts w:cs="Arial" w:hint="cs"/>
          <w:rtl/>
        </w:rPr>
        <w:t xml:space="preserve"> -</w:t>
      </w:r>
      <w:r w:rsidRPr="00C93750">
        <w:rPr>
          <w:rFonts w:cs="Arial"/>
          <w:rtl/>
        </w:rPr>
        <w:t xml:space="preserve"> מתירין אותה להנשא ומשביעין אותה</w:t>
      </w:r>
      <w:r>
        <w:rPr>
          <w:rStyle w:val="a7"/>
          <w:rFonts w:cs="Arial"/>
          <w:rtl/>
        </w:rPr>
        <w:footnoteReference w:id="2416"/>
      </w:r>
      <w:r w:rsidRPr="00C93750">
        <w:rPr>
          <w:rFonts w:cs="Arial"/>
          <w:rtl/>
        </w:rPr>
        <w:t xml:space="preserve"> ונותנין לה כתובתה.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16AB41F4" w14:textId="77777777" w:rsidR="002E5BAD" w:rsidRPr="00C93750" w:rsidRDefault="002E5BAD" w:rsidP="002E5BAD">
      <w:r w:rsidRPr="00D664B6">
        <w:rPr>
          <w:rFonts w:hint="cs"/>
          <w:u w:val="single"/>
          <w:rtl/>
        </w:rPr>
        <w:t xml:space="preserve">אשה שאמרה </w:t>
      </w:r>
      <w:r>
        <w:rPr>
          <w:rFonts w:hint="cs"/>
          <w:u w:val="single"/>
          <w:rtl/>
        </w:rPr>
        <w:t>'</w:t>
      </w:r>
      <w:r w:rsidRPr="001A2B82">
        <w:rPr>
          <w:u w:val="single"/>
          <w:rtl/>
        </w:rPr>
        <w:t xml:space="preserve">מת בעלי </w:t>
      </w:r>
      <w:r>
        <w:rPr>
          <w:rFonts w:hint="cs"/>
          <w:u w:val="single"/>
          <w:rtl/>
        </w:rPr>
        <w:t>תנו לי כתובתי'</w:t>
      </w:r>
      <w:r w:rsidRPr="00D664B6">
        <w:rPr>
          <w:rFonts w:hint="cs"/>
          <w:u w:val="single"/>
          <w:rtl/>
        </w:rPr>
        <w:t>:</w:t>
      </w:r>
    </w:p>
    <w:p w14:paraId="430DF738" w14:textId="77777777" w:rsidR="002E5BAD" w:rsidRDefault="002E5BAD" w:rsidP="00B75458">
      <w:pPr>
        <w:pStyle w:val="ab"/>
        <w:numPr>
          <w:ilvl w:val="0"/>
          <w:numId w:val="192"/>
        </w:numPr>
      </w:pPr>
      <w:r>
        <w:rPr>
          <w:rFonts w:cs="Arial" w:hint="cs"/>
          <w:rtl/>
        </w:rPr>
        <w:t xml:space="preserve">רמב"ם </w:t>
      </w:r>
      <w:r>
        <w:rPr>
          <w:rFonts w:cs="Arial" w:hint="cs"/>
          <w:sz w:val="16"/>
          <w:szCs w:val="16"/>
          <w:rtl/>
        </w:rPr>
        <w:t>(שם)</w:t>
      </w:r>
      <w:r>
        <w:rPr>
          <w:rFonts w:cs="Arial" w:hint="cs"/>
          <w:rtl/>
        </w:rPr>
        <w:t xml:space="preserve"> וטור- </w:t>
      </w:r>
      <w:r w:rsidRPr="00C93750">
        <w:rPr>
          <w:rFonts w:cs="Arial"/>
          <w:rtl/>
        </w:rPr>
        <w:t xml:space="preserve">באה ואמרה </w:t>
      </w:r>
      <w:r>
        <w:rPr>
          <w:rFonts w:cs="Arial" w:hint="cs"/>
          <w:rtl/>
        </w:rPr>
        <w:t>'</w:t>
      </w:r>
      <w:r w:rsidRPr="00C93750">
        <w:rPr>
          <w:rFonts w:cs="Arial"/>
          <w:rtl/>
        </w:rPr>
        <w:t>מת בעלי תנו לי כתובתי</w:t>
      </w:r>
      <w:r>
        <w:rPr>
          <w:rFonts w:cs="Arial" w:hint="cs"/>
          <w:rtl/>
        </w:rPr>
        <w:t>' -</w:t>
      </w:r>
      <w:r w:rsidRPr="00C93750">
        <w:rPr>
          <w:rFonts w:cs="Arial"/>
          <w:rtl/>
        </w:rPr>
        <w:t xml:space="preserve"> אף להנשא אין מתירין אותה</w:t>
      </w:r>
      <w:r>
        <w:rPr>
          <w:rStyle w:val="a7"/>
          <w:rFonts w:cs="Arial"/>
          <w:rtl/>
        </w:rPr>
        <w:footnoteReference w:id="2417"/>
      </w:r>
      <w:r>
        <w:rPr>
          <w:rFonts w:cs="Arial" w:hint="cs"/>
          <w:rtl/>
        </w:rPr>
        <w:t>,</w:t>
      </w:r>
      <w:r w:rsidRPr="00C93750">
        <w:rPr>
          <w:rFonts w:cs="Arial"/>
          <w:rtl/>
        </w:rPr>
        <w:t xml:space="preserve"> שעל עסקי הכתובה באה והרי זה בחזקת שלא מת</w:t>
      </w:r>
      <w:r>
        <w:rPr>
          <w:rFonts w:cs="Arial" w:hint="cs"/>
          <w:rtl/>
        </w:rPr>
        <w:t>,</w:t>
      </w:r>
      <w:r w:rsidRPr="00C93750">
        <w:rPr>
          <w:rFonts w:cs="Arial"/>
          <w:rtl/>
        </w:rPr>
        <w:t xml:space="preserve"> ואין דעתה להנשא אלא ליטול כתובה מחיים בלבד.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09D2076C" w14:textId="77777777" w:rsidR="002E5BAD" w:rsidRPr="00452BE0" w:rsidRDefault="002E5BAD" w:rsidP="002E5BAD">
      <w:pPr>
        <w:ind w:left="360"/>
        <w:rPr>
          <w:sz w:val="16"/>
          <w:szCs w:val="16"/>
        </w:rPr>
      </w:pPr>
      <w:r w:rsidRPr="00C120DC">
        <w:rPr>
          <w:rFonts w:hint="cs"/>
          <w:u w:val="dotted"/>
          <w:rtl/>
        </w:rPr>
        <w:t>ומה הדין אם עד אחד מעיד כדבריה:</w:t>
      </w:r>
      <w:r>
        <w:rPr>
          <w:rFonts w:hint="cs"/>
          <w:sz w:val="16"/>
          <w:szCs w:val="16"/>
          <w:rtl/>
        </w:rPr>
        <w:t xml:space="preserve">  (ב"י בסי' יז סע' מג)</w:t>
      </w:r>
    </w:p>
    <w:p w14:paraId="5973792C" w14:textId="77777777" w:rsidR="002E5BAD" w:rsidRDefault="002E5BAD" w:rsidP="00B75458">
      <w:pPr>
        <w:pStyle w:val="ab"/>
        <w:numPr>
          <w:ilvl w:val="0"/>
          <w:numId w:val="192"/>
        </w:numPr>
      </w:pPr>
      <w:r w:rsidRPr="00C120DC">
        <w:rPr>
          <w:rFonts w:cs="Arial"/>
          <w:rtl/>
        </w:rPr>
        <w:t>נמוק</w:t>
      </w:r>
      <w:r>
        <w:rPr>
          <w:rFonts w:cs="Arial" w:hint="cs"/>
          <w:rtl/>
        </w:rPr>
        <w:t>"</w:t>
      </w:r>
      <w:r w:rsidRPr="00C120DC">
        <w:rPr>
          <w:rFonts w:cs="Arial"/>
          <w:rtl/>
        </w:rPr>
        <w:t xml:space="preserve">י </w:t>
      </w:r>
      <w:r w:rsidRPr="00C120DC">
        <w:rPr>
          <w:rFonts w:cs="Arial"/>
          <w:sz w:val="16"/>
          <w:szCs w:val="16"/>
          <w:rtl/>
        </w:rPr>
        <w:t xml:space="preserve">(מג: ד"ה גמ' לנחלה) </w:t>
      </w:r>
      <w:r w:rsidRPr="00C120DC">
        <w:rPr>
          <w:rFonts w:cs="Arial"/>
          <w:rtl/>
        </w:rPr>
        <w:t xml:space="preserve">בשם הריטב"א </w:t>
      </w:r>
      <w:r w:rsidRPr="00C120DC">
        <w:rPr>
          <w:rFonts w:cs="Arial"/>
          <w:sz w:val="16"/>
          <w:szCs w:val="16"/>
          <w:rtl/>
        </w:rPr>
        <w:t>(קיז. ד"ה אדעתא)</w:t>
      </w:r>
      <w:r>
        <w:rPr>
          <w:rFonts w:cs="Arial" w:hint="cs"/>
          <w:rtl/>
        </w:rPr>
        <w:t xml:space="preserve">- </w:t>
      </w:r>
      <w:r w:rsidRPr="00C120DC">
        <w:rPr>
          <w:rFonts w:cs="Arial"/>
          <w:rtl/>
        </w:rPr>
        <w:t>מסתברא דהוא הדין אם הביאה היא עד אחד לב"ד שמת בעלה והיא תובעת כתובתה דאמרינן אדעתא דכתובתה אתאי ולא שרינן לה</w:t>
      </w:r>
      <w:r>
        <w:rPr>
          <w:rStyle w:val="a7"/>
          <w:rFonts w:cs="Arial"/>
          <w:rtl/>
        </w:rPr>
        <w:footnoteReference w:id="2418"/>
      </w:r>
      <w:r>
        <w:rPr>
          <w:rFonts w:cs="Arial" w:hint="cs"/>
          <w:rtl/>
        </w:rPr>
        <w:t>.</w:t>
      </w:r>
      <w:r w:rsidRPr="00C120DC">
        <w:rPr>
          <w:rFonts w:cs="Arial"/>
          <w:rtl/>
        </w:rPr>
        <w:t xml:space="preserve"> </w:t>
      </w:r>
      <w:r w:rsidRPr="00452BE0">
        <w:rPr>
          <w:rFonts w:hint="cs"/>
          <w:color w:val="00B0F0"/>
          <w:rtl/>
        </w:rPr>
        <w:t>(וכ"כ הרמ"א</w:t>
      </w:r>
      <w:r w:rsidRPr="00452BE0">
        <w:rPr>
          <w:rFonts w:hint="cs"/>
          <w:color w:val="00B0F0"/>
          <w:sz w:val="16"/>
          <w:szCs w:val="16"/>
          <w:rtl/>
        </w:rPr>
        <w:t xml:space="preserve"> </w:t>
      </w:r>
      <w:r>
        <w:rPr>
          <w:rFonts w:hint="cs"/>
          <w:sz w:val="16"/>
          <w:szCs w:val="16"/>
          <w:rtl/>
        </w:rPr>
        <w:t>[סי' יז סמ"ג]</w:t>
      </w:r>
      <w:r w:rsidRPr="00452BE0">
        <w:rPr>
          <w:rFonts w:hint="cs"/>
          <w:color w:val="00B0F0"/>
          <w:rtl/>
        </w:rPr>
        <w:t>)</w:t>
      </w:r>
    </w:p>
    <w:p w14:paraId="3DFC7D0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54580C" w14:textId="77777777" w:rsidR="002E5BAD" w:rsidRDefault="002E5BAD" w:rsidP="002E5BAD">
      <w:pPr>
        <w:rPr>
          <w:rtl/>
        </w:rPr>
      </w:pPr>
      <w:r>
        <w:rPr>
          <w:rFonts w:cs="Arial"/>
          <w:rtl/>
        </w:rPr>
        <w:t>האשה שבאה לב</w:t>
      </w:r>
      <w:r>
        <w:rPr>
          <w:rFonts w:cs="Arial" w:hint="cs"/>
          <w:rtl/>
        </w:rPr>
        <w:t xml:space="preserve">ית </w:t>
      </w:r>
      <w:r>
        <w:rPr>
          <w:rFonts w:cs="Arial"/>
          <w:rtl/>
        </w:rPr>
        <w:t>ד</w:t>
      </w:r>
      <w:r>
        <w:rPr>
          <w:rFonts w:cs="Arial" w:hint="cs"/>
          <w:rtl/>
        </w:rPr>
        <w:t>ין</w:t>
      </w:r>
      <w:r>
        <w:rPr>
          <w:rFonts w:cs="Arial"/>
          <w:rtl/>
        </w:rPr>
        <w:t xml:space="preserve"> ואמרה: מת בעלי התירוני לינשא, ולא הזכירה שם כתובה בעולם, מתירין אותה לינשא, ומשביעין אותה ונותנים לה כתובתה. ואם באה ואמרה: מת בעלי תנו לי כתובתי, אף לינשא אין מתירין אותה. </w:t>
      </w:r>
    </w:p>
    <w:p w14:paraId="30C27F2E" w14:textId="77777777" w:rsidR="002E5BAD" w:rsidRDefault="002E5BAD" w:rsidP="002E5BAD">
      <w:pPr>
        <w:rPr>
          <w:rtl/>
        </w:rPr>
      </w:pPr>
    </w:p>
    <w:p w14:paraId="3095D1BE" w14:textId="77777777" w:rsidR="002E5BAD" w:rsidRDefault="002E5BAD" w:rsidP="002E5BAD">
      <w:pPr>
        <w:pStyle w:val="2"/>
        <w:rPr>
          <w:rtl/>
        </w:rPr>
      </w:pPr>
      <w:r>
        <w:rPr>
          <w:rtl/>
        </w:rPr>
        <w:t>סעיף ח</w:t>
      </w:r>
      <w:r>
        <w:rPr>
          <w:rFonts w:hint="cs"/>
          <w:rtl/>
        </w:rPr>
        <w:t>:</w:t>
      </w:r>
      <w:r w:rsidRPr="00C120DC">
        <w:rPr>
          <w:rFonts w:hint="cs"/>
          <w:rtl/>
        </w:rPr>
        <w:t xml:space="preserve"> אשה שאמרה '</w:t>
      </w:r>
      <w:r w:rsidRPr="00C120DC">
        <w:rPr>
          <w:rtl/>
        </w:rPr>
        <w:t>מת בעלי התירוני להנשא</w:t>
      </w:r>
      <w:r w:rsidRPr="00C120DC">
        <w:rPr>
          <w:rFonts w:hint="cs"/>
          <w:rtl/>
        </w:rPr>
        <w:t xml:space="preserve"> ותנו לי כתובתי' </w:t>
      </w:r>
      <w:r w:rsidRPr="00C120DC">
        <w:rPr>
          <w:rFonts w:hint="cs"/>
          <w:sz w:val="16"/>
          <w:szCs w:val="16"/>
          <w:rtl/>
        </w:rPr>
        <w:t>(או הפוך)</w:t>
      </w:r>
      <w:r>
        <w:rPr>
          <w:rFonts w:hint="cs"/>
          <w:rtl/>
        </w:rPr>
        <w:t>.</w:t>
      </w:r>
    </w:p>
    <w:p w14:paraId="7E9C2B2E" w14:textId="77777777" w:rsidR="002E5BAD" w:rsidRPr="00452BE0" w:rsidRDefault="002E5BAD" w:rsidP="002E5BAD">
      <w:pPr>
        <w:rPr>
          <w:rtl/>
        </w:rPr>
      </w:pPr>
      <w:r w:rsidRPr="00580535">
        <w:rPr>
          <w:rFonts w:hint="cs"/>
          <w:b/>
          <w:bCs/>
          <w:rtl/>
        </w:rPr>
        <w:t xml:space="preserve">יבמות </w:t>
      </w:r>
      <w:r w:rsidRPr="00580535">
        <w:rPr>
          <w:rFonts w:hint="cs"/>
          <w:b/>
          <w:bCs/>
          <w:sz w:val="16"/>
          <w:szCs w:val="16"/>
          <w:rtl/>
        </w:rPr>
        <w:t xml:space="preserve">(פ' האשה שלום) </w:t>
      </w:r>
      <w:r w:rsidRPr="00580535">
        <w:rPr>
          <w:rFonts w:hint="cs"/>
          <w:b/>
          <w:bCs/>
          <w:rtl/>
        </w:rPr>
        <w:t>ק</w:t>
      </w:r>
      <w:r>
        <w:rPr>
          <w:rFonts w:hint="cs"/>
          <w:b/>
          <w:bCs/>
          <w:rtl/>
        </w:rPr>
        <w:t>י</w:t>
      </w:r>
      <w:r w:rsidRPr="00580535">
        <w:rPr>
          <w:rFonts w:hint="cs"/>
          <w:b/>
          <w:bCs/>
          <w:rtl/>
        </w:rPr>
        <w:t>ז ע"</w:t>
      </w:r>
      <w:r>
        <w:rPr>
          <w:rFonts w:hint="cs"/>
          <w:b/>
          <w:bCs/>
          <w:rtl/>
        </w:rPr>
        <w:t>א</w:t>
      </w:r>
      <w:r w:rsidRPr="00580535">
        <w:rPr>
          <w:rFonts w:hint="cs"/>
          <w:b/>
          <w:bCs/>
          <w:rtl/>
        </w:rPr>
        <w:t>:</w:t>
      </w:r>
      <w:r>
        <w:rPr>
          <w:rFonts w:hint="cs"/>
          <w:rtl/>
        </w:rPr>
        <w:t xml:space="preserve"> </w:t>
      </w:r>
      <w:r>
        <w:rPr>
          <w:rFonts w:cs="Arial"/>
          <w:rtl/>
        </w:rPr>
        <w:t xml:space="preserve">איבעיא להו: התירוני להנשא ותנו לי כתובתי, מהו? כיון דאמרה כתובתה - אדעתא דכתובה אתאי, או דלמא כל מילי דאית ליה לאיניש אמר להו לבי דינא? </w:t>
      </w:r>
      <w:r>
        <w:rPr>
          <w:rStyle w:val="a7"/>
          <w:rFonts w:cs="Arial"/>
          <w:rtl/>
        </w:rPr>
        <w:footnoteReference w:id="2419"/>
      </w:r>
      <w:r>
        <w:rPr>
          <w:rFonts w:cs="Arial" w:hint="cs"/>
          <w:rtl/>
        </w:rPr>
        <w:t>[</w:t>
      </w:r>
      <w:r>
        <w:rPr>
          <w:rFonts w:cs="Arial"/>
          <w:rtl/>
        </w:rPr>
        <w:t>ואת"ל כל מילי דאית ליה לאיניש אמר להו לבי דינא,</w:t>
      </w:r>
      <w:r>
        <w:rPr>
          <w:rFonts w:cs="Arial" w:hint="cs"/>
          <w:rtl/>
        </w:rPr>
        <w:t>]</w:t>
      </w:r>
      <w:r>
        <w:rPr>
          <w:rFonts w:cs="Arial"/>
          <w:rtl/>
        </w:rPr>
        <w:t xml:space="preserve"> תנו לי כתובתי והתירוני להנשא, מהו? הכא ודאי אדעתא דכתובה אתאי, או דלמא הואיל דלא ידעה במאי משתריא? תיקו.</w:t>
      </w:r>
    </w:p>
    <w:p w14:paraId="483176A7" w14:textId="77777777" w:rsidR="002E5BAD" w:rsidRPr="001A2B82" w:rsidRDefault="002E5BAD" w:rsidP="002E5BAD">
      <w:pPr>
        <w:rPr>
          <w:rtl/>
        </w:rPr>
      </w:pPr>
      <w:r w:rsidRPr="00C120DC">
        <w:rPr>
          <w:rFonts w:hint="cs"/>
          <w:u w:val="single"/>
          <w:rtl/>
        </w:rPr>
        <w:t>אשה שאמרה '</w:t>
      </w:r>
      <w:r w:rsidRPr="00C120DC">
        <w:rPr>
          <w:u w:val="single"/>
          <w:rtl/>
        </w:rPr>
        <w:t>מת בעלי התירוני להנשא</w:t>
      </w:r>
      <w:r w:rsidRPr="00C120DC">
        <w:rPr>
          <w:rFonts w:hint="cs"/>
          <w:u w:val="single"/>
          <w:rtl/>
        </w:rPr>
        <w:t xml:space="preserve"> ותנו לי כתובתי' </w:t>
      </w:r>
      <w:r w:rsidRPr="00C120DC">
        <w:rPr>
          <w:rFonts w:hint="cs"/>
          <w:sz w:val="16"/>
          <w:szCs w:val="16"/>
          <w:u w:val="single"/>
          <w:rtl/>
        </w:rPr>
        <w:t>(</w:t>
      </w:r>
      <w:r>
        <w:rPr>
          <w:rFonts w:hint="cs"/>
          <w:sz w:val="16"/>
          <w:szCs w:val="16"/>
          <w:u w:val="single"/>
          <w:rtl/>
        </w:rPr>
        <w:t>וכן</w:t>
      </w:r>
      <w:r w:rsidRPr="00C120DC">
        <w:rPr>
          <w:rFonts w:hint="cs"/>
          <w:sz w:val="16"/>
          <w:szCs w:val="16"/>
          <w:u w:val="single"/>
          <w:rtl/>
        </w:rPr>
        <w:t xml:space="preserve"> </w:t>
      </w:r>
      <w:r>
        <w:rPr>
          <w:rFonts w:hint="cs"/>
          <w:sz w:val="16"/>
          <w:szCs w:val="16"/>
          <w:u w:val="single"/>
          <w:rtl/>
        </w:rPr>
        <w:t>לה</w:t>
      </w:r>
      <w:r w:rsidRPr="00C120DC">
        <w:rPr>
          <w:rFonts w:hint="cs"/>
          <w:sz w:val="16"/>
          <w:szCs w:val="16"/>
          <w:u w:val="single"/>
          <w:rtl/>
        </w:rPr>
        <w:t>פך)</w:t>
      </w:r>
      <w:r w:rsidRPr="00D664B6">
        <w:rPr>
          <w:rFonts w:hint="cs"/>
          <w:u w:val="single"/>
          <w:rtl/>
        </w:rPr>
        <w:t>:</w:t>
      </w:r>
    </w:p>
    <w:p w14:paraId="2CA1B0B9" w14:textId="77777777" w:rsidR="002E5BAD" w:rsidRPr="001A2B82" w:rsidRDefault="002E5BAD" w:rsidP="00B75458">
      <w:pPr>
        <w:pStyle w:val="ab"/>
        <w:numPr>
          <w:ilvl w:val="0"/>
          <w:numId w:val="192"/>
        </w:numPr>
        <w:rPr>
          <w:rtl/>
        </w:rPr>
      </w:pPr>
      <w:r w:rsidRPr="003D2914">
        <w:rPr>
          <w:rFonts w:cs="Arial"/>
          <w:rtl/>
        </w:rPr>
        <w:t>רמב"ם</w:t>
      </w:r>
      <w:r>
        <w:rPr>
          <w:rFonts w:cs="Arial" w:hint="cs"/>
          <w:sz w:val="16"/>
          <w:szCs w:val="16"/>
          <w:rtl/>
        </w:rPr>
        <w:t xml:space="preserve"> (פט"ז מאישות הל"א)</w:t>
      </w:r>
      <w:r>
        <w:rPr>
          <w:rFonts w:cs="Arial" w:hint="cs"/>
          <w:rtl/>
        </w:rPr>
        <w:t>-</w:t>
      </w:r>
      <w:r w:rsidRPr="003D2914">
        <w:rPr>
          <w:rFonts w:cs="Arial"/>
          <w:rtl/>
        </w:rPr>
        <w:t xml:space="preserve"> </w:t>
      </w:r>
      <w:r w:rsidRPr="00C93750">
        <w:rPr>
          <w:rFonts w:cs="Arial"/>
          <w:rtl/>
        </w:rPr>
        <w:t xml:space="preserve">באה ואמרה מת בעלי התירוני להנשא ותנו לי כתובתי </w:t>
      </w:r>
      <w:r>
        <w:rPr>
          <w:rFonts w:cs="Arial" w:hint="cs"/>
          <w:rtl/>
        </w:rPr>
        <w:t xml:space="preserve">- </w:t>
      </w:r>
      <w:r w:rsidRPr="00C93750">
        <w:rPr>
          <w:rFonts w:cs="Arial"/>
          <w:rtl/>
        </w:rPr>
        <w:t>מתירין אותה להנשא ונותנין לה כתובתה</w:t>
      </w:r>
      <w:r>
        <w:rPr>
          <w:rFonts w:cs="Arial" w:hint="cs"/>
          <w:rtl/>
        </w:rPr>
        <w:t>,</w:t>
      </w:r>
      <w:r w:rsidRPr="00C93750">
        <w:rPr>
          <w:rFonts w:cs="Arial"/>
          <w:rtl/>
        </w:rPr>
        <w:t xml:space="preserve"> מפני שעיקר דבריה על עסקי נישואין באה</w:t>
      </w:r>
      <w:r>
        <w:rPr>
          <w:rFonts w:cs="Arial" w:hint="cs"/>
          <w:rtl/>
        </w:rPr>
        <w:t>.</w:t>
      </w:r>
      <w:r w:rsidRPr="00C93750">
        <w:rPr>
          <w:rFonts w:cs="Arial"/>
          <w:rtl/>
        </w:rPr>
        <w:t xml:space="preserve"> אבל אם אמרה תנו לי כתובתי והתירוני להנשא </w:t>
      </w:r>
      <w:r>
        <w:rPr>
          <w:rFonts w:cs="Arial" w:hint="cs"/>
          <w:rtl/>
        </w:rPr>
        <w:t xml:space="preserve">- </w:t>
      </w:r>
      <w:r w:rsidRPr="00C93750">
        <w:rPr>
          <w:rFonts w:cs="Arial"/>
          <w:rtl/>
        </w:rPr>
        <w:t>מתירין אותה ואין נותנין לה כתובה</w:t>
      </w:r>
      <w:r>
        <w:rPr>
          <w:rFonts w:cs="Arial" w:hint="cs"/>
          <w:rtl/>
        </w:rPr>
        <w:t>.</w:t>
      </w:r>
      <w:r w:rsidRPr="00C93750">
        <w:rPr>
          <w:rFonts w:cs="Arial"/>
          <w:rtl/>
        </w:rPr>
        <w:t xml:space="preserve"> ואם תפשה</w:t>
      </w:r>
      <w:r>
        <w:rPr>
          <w:rFonts w:cs="Arial" w:hint="cs"/>
          <w:rtl/>
        </w:rPr>
        <w:t xml:space="preserve"> -</w:t>
      </w:r>
      <w:r w:rsidRPr="00C93750">
        <w:rPr>
          <w:rFonts w:cs="Arial"/>
          <w:rtl/>
        </w:rPr>
        <w:t xml:space="preserve"> אין מוציאין מידה</w:t>
      </w:r>
      <w:r>
        <w:rPr>
          <w:rStyle w:val="a7"/>
          <w:rFonts w:cs="Arial"/>
          <w:rtl/>
        </w:rPr>
        <w:footnoteReference w:id="2420"/>
      </w:r>
      <w:r>
        <w:rPr>
          <w:rFonts w:cs="Arial" w:hint="cs"/>
          <w:rtl/>
        </w:rPr>
        <w:t>.</w:t>
      </w:r>
      <w:r>
        <w:rPr>
          <w:rFonts w:hint="cs"/>
          <w:rtl/>
        </w:rPr>
        <w:t xml:space="preserve">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52056AB2" w14:textId="77777777" w:rsidR="002E5BAD" w:rsidRPr="006823A6" w:rsidRDefault="002E5BAD" w:rsidP="00B75458">
      <w:pPr>
        <w:pStyle w:val="ab"/>
        <w:numPr>
          <w:ilvl w:val="0"/>
          <w:numId w:val="192"/>
        </w:numPr>
      </w:pPr>
      <w:r>
        <w:rPr>
          <w:rFonts w:cs="Arial" w:hint="cs"/>
          <w:rtl/>
        </w:rPr>
        <w:t xml:space="preserve">רא"ש </w:t>
      </w:r>
      <w:r w:rsidRPr="00145006">
        <w:rPr>
          <w:rFonts w:cs="Arial" w:hint="cs"/>
          <w:sz w:val="16"/>
          <w:szCs w:val="16"/>
          <w:rtl/>
        </w:rPr>
        <w:t>(פט"ו סי' ז</w:t>
      </w:r>
      <w:r>
        <w:rPr>
          <w:rFonts w:cs="Arial" w:hint="cs"/>
          <w:sz w:val="16"/>
          <w:szCs w:val="16"/>
          <w:rtl/>
        </w:rPr>
        <w:t>, כ"כ הטור בשמו</w:t>
      </w:r>
      <w:r w:rsidRPr="00145006">
        <w:rPr>
          <w:rFonts w:cs="Arial" w:hint="cs"/>
          <w:sz w:val="16"/>
          <w:szCs w:val="16"/>
          <w:rtl/>
        </w:rPr>
        <w:t>)</w:t>
      </w:r>
      <w:r>
        <w:rPr>
          <w:rFonts w:cs="Arial" w:hint="cs"/>
          <w:rtl/>
        </w:rPr>
        <w:t xml:space="preserve"> וטור</w:t>
      </w:r>
      <w:r>
        <w:rPr>
          <w:rFonts w:cs="Arial" w:hint="cs"/>
          <w:sz w:val="16"/>
          <w:szCs w:val="16"/>
          <w:rtl/>
        </w:rPr>
        <w:t xml:space="preserve"> (כאן ובסי' יז)</w:t>
      </w:r>
      <w:r>
        <w:rPr>
          <w:rFonts w:cs="Arial" w:hint="cs"/>
          <w:rtl/>
        </w:rPr>
        <w:t xml:space="preserve">- </w:t>
      </w:r>
      <w:r w:rsidRPr="00145006">
        <w:rPr>
          <w:rFonts w:cs="Arial"/>
          <w:rtl/>
        </w:rPr>
        <w:t xml:space="preserve">אם אומרת תנו לי כתובתי והתירוני לינשא או אפילו התירוני לינשא ותנו כתובתי </w:t>
      </w:r>
      <w:r>
        <w:rPr>
          <w:rFonts w:cs="Arial" w:hint="cs"/>
          <w:rtl/>
        </w:rPr>
        <w:t xml:space="preserve">- </w:t>
      </w:r>
      <w:r w:rsidRPr="00145006">
        <w:rPr>
          <w:rFonts w:cs="Arial"/>
          <w:rtl/>
        </w:rPr>
        <w:t>אין מתירין אותה לינשא</w:t>
      </w:r>
      <w:r>
        <w:rPr>
          <w:rStyle w:val="a7"/>
          <w:rFonts w:cs="Arial"/>
          <w:rtl/>
        </w:rPr>
        <w:footnoteReference w:id="2421"/>
      </w:r>
      <w:r>
        <w:rPr>
          <w:rFonts w:cs="Arial" w:hint="cs"/>
          <w:sz w:val="16"/>
          <w:szCs w:val="16"/>
          <w:rtl/>
        </w:rPr>
        <w:t xml:space="preserve"> (ל' הטור בסי' יז)</w:t>
      </w:r>
      <w:r>
        <w:rPr>
          <w:rFonts w:cs="Arial" w:hint="cs"/>
          <w:rtl/>
        </w:rPr>
        <w:t>.</w:t>
      </w:r>
      <w:r w:rsidRPr="003D2914">
        <w:rPr>
          <w:rFonts w:cs="Arial"/>
          <w:rtl/>
        </w:rPr>
        <w:t xml:space="preserve"> </w:t>
      </w:r>
    </w:p>
    <w:p w14:paraId="34DAFF1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77DED4" w14:textId="77777777" w:rsidR="002E5BAD" w:rsidRDefault="002E5BAD" w:rsidP="002E5BAD">
      <w:pPr>
        <w:rPr>
          <w:rtl/>
        </w:rPr>
      </w:pPr>
      <w:r>
        <w:rPr>
          <w:rFonts w:cs="Arial"/>
          <w:rtl/>
        </w:rPr>
        <w:t xml:space="preserve">באה ואמרה: מת בעלי התירוני לינשא ותנו לי כתובתי, מתירין אותה לינשא ונותנין לה כתובה. אבל אם באה ואמרה: מת בעלי ותנו לי כתובתי והתירוני לינשא, מתירים אותה ואין נותנים לה כתובה. ואם תפסה, אין מוציאין אותה מידה. ויש מי שאומר דבין בזו ובין בזו אין מתירים אותה, כיון שהזכירה כתובה. </w:t>
      </w:r>
    </w:p>
    <w:p w14:paraId="21AC58F0" w14:textId="77777777" w:rsidR="002E5BAD" w:rsidRDefault="002E5BAD" w:rsidP="002E5BAD">
      <w:pPr>
        <w:rPr>
          <w:rtl/>
        </w:rPr>
      </w:pPr>
    </w:p>
    <w:p w14:paraId="6BDCB492" w14:textId="77777777" w:rsidR="002E5BAD" w:rsidRDefault="002E5BAD" w:rsidP="002E5BAD">
      <w:pPr>
        <w:pStyle w:val="2"/>
        <w:rPr>
          <w:rtl/>
        </w:rPr>
      </w:pPr>
      <w:r>
        <w:rPr>
          <w:rtl/>
        </w:rPr>
        <w:t>סעיף ט</w:t>
      </w:r>
      <w:r>
        <w:rPr>
          <w:rFonts w:hint="cs"/>
          <w:rtl/>
        </w:rPr>
        <w:t>: אלמנה שאין לה שטר כתובה, והם במקום שאין כותבים כתובה, והביאה עדים שכתב.</w:t>
      </w:r>
    </w:p>
    <w:p w14:paraId="0D082686" w14:textId="77777777" w:rsidR="002E5BAD" w:rsidRPr="00E7468B" w:rsidRDefault="002E5BAD" w:rsidP="002E5BAD">
      <w:pPr>
        <w:rPr>
          <w:rtl/>
        </w:rPr>
      </w:pPr>
      <w:r>
        <w:rPr>
          <w:rFonts w:hint="cs"/>
          <w:rtl/>
        </w:rPr>
        <w:t>עיין במקורות בסעיף ו.</w:t>
      </w:r>
    </w:p>
    <w:p w14:paraId="0CBAA24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F0F940" w14:textId="77777777" w:rsidR="002E5BAD" w:rsidRDefault="002E5BAD" w:rsidP="002E5BAD">
      <w:pPr>
        <w:rPr>
          <w:rtl/>
        </w:rPr>
      </w:pPr>
      <w:r>
        <w:rPr>
          <w:rFonts w:cs="Arial"/>
          <w:rtl/>
        </w:rPr>
        <w:t>במקום שאין כותבים כתובה, והביא עדים שכתב לה כתובה, יש מי שאומר שדינו כבמקום שכותבים ואינה גובה בלא כתובה</w:t>
      </w:r>
      <w:r>
        <w:rPr>
          <w:rStyle w:val="a7"/>
          <w:rFonts w:cs="Arial"/>
          <w:rtl/>
        </w:rPr>
        <w:footnoteReference w:id="2422"/>
      </w:r>
      <w:r>
        <w:rPr>
          <w:rFonts w:cs="Arial" w:hint="cs"/>
          <w:rtl/>
        </w:rPr>
        <w:t>.</w:t>
      </w:r>
      <w:r>
        <w:rPr>
          <w:rFonts w:cs="Arial"/>
          <w:rtl/>
        </w:rPr>
        <w:t xml:space="preserve"> ויש מי שאומר שגובה בלא כתובה. </w:t>
      </w:r>
    </w:p>
    <w:p w14:paraId="2D96FC92" w14:textId="77777777" w:rsidR="002E5BAD" w:rsidRDefault="002E5BAD" w:rsidP="002E5BAD">
      <w:pPr>
        <w:rPr>
          <w:rtl/>
        </w:rPr>
      </w:pPr>
    </w:p>
    <w:p w14:paraId="14642B4F" w14:textId="77777777" w:rsidR="002E5BAD" w:rsidRDefault="002E5BAD" w:rsidP="002E5BAD">
      <w:pPr>
        <w:pStyle w:val="2"/>
        <w:rPr>
          <w:rtl/>
        </w:rPr>
      </w:pPr>
      <w:r>
        <w:rPr>
          <w:rtl/>
        </w:rPr>
        <w:t>סעיף י</w:t>
      </w:r>
      <w:r>
        <w:rPr>
          <w:rFonts w:hint="cs"/>
          <w:rtl/>
        </w:rPr>
        <w:t>: הוציאה שטר כתובה ואין עמה גט.</w:t>
      </w:r>
    </w:p>
    <w:p w14:paraId="61DE2700" w14:textId="77777777" w:rsidR="002E5BAD" w:rsidRPr="004A4B8F" w:rsidRDefault="002E5BAD" w:rsidP="002E5BAD">
      <w:pPr>
        <w:rPr>
          <w:rFonts w:cs="Arial"/>
          <w:sz w:val="16"/>
          <w:szCs w:val="16"/>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פח ע"ב:</w:t>
      </w:r>
      <w:r>
        <w:rPr>
          <w:rFonts w:hint="cs"/>
          <w:rtl/>
        </w:rPr>
        <w:t xml:space="preserve"> </w:t>
      </w:r>
      <w:r w:rsidRPr="00196901">
        <w:rPr>
          <w:rFonts w:cs="Arial"/>
          <w:u w:val="double"/>
          <w:rtl/>
        </w:rPr>
        <w:t>מתני'</w:t>
      </w:r>
      <w:r>
        <w:rPr>
          <w:rFonts w:cs="Arial" w:hint="cs"/>
          <w:rtl/>
        </w:rPr>
        <w:t>:</w:t>
      </w:r>
      <w:r w:rsidRPr="00196901">
        <w:rPr>
          <w:rFonts w:cs="Arial"/>
          <w:rtl/>
        </w:rPr>
        <w:t xml:space="preserve"> הוציאה גט ואין עמו כתובה </w:t>
      </w:r>
      <w:r>
        <w:rPr>
          <w:rFonts w:cs="Arial" w:hint="cs"/>
          <w:sz w:val="14"/>
          <w:szCs w:val="14"/>
          <w:rtl/>
        </w:rPr>
        <w:t xml:space="preserve">(פט.) </w:t>
      </w:r>
      <w:r w:rsidRPr="00196901">
        <w:rPr>
          <w:rFonts w:cs="Arial"/>
          <w:rtl/>
        </w:rPr>
        <w:t>-</w:t>
      </w:r>
      <w:r w:rsidRPr="00196901">
        <w:rPr>
          <w:rtl/>
        </w:rPr>
        <w:t xml:space="preserve"> </w:t>
      </w:r>
      <w:r w:rsidRPr="00196901">
        <w:rPr>
          <w:rFonts w:cs="Arial"/>
          <w:rtl/>
        </w:rPr>
        <w:t>גובה כתובתה. כתובה ואין עמה גט - היא אומרת אבד גיטי</w:t>
      </w:r>
      <w:r>
        <w:rPr>
          <w:rFonts w:cs="Arial" w:hint="cs"/>
          <w:rtl/>
        </w:rPr>
        <w:t>,</w:t>
      </w:r>
      <w:r w:rsidRPr="00196901">
        <w:rPr>
          <w:rFonts w:cs="Arial"/>
          <w:rtl/>
        </w:rPr>
        <w:t xml:space="preserve"> והוא אומר אבד שוברי, וכן בעל חוב שהוציא שטר </w:t>
      </w:r>
      <w:r>
        <w:rPr>
          <w:rFonts w:cs="Arial" w:hint="cs"/>
          <w:rtl/>
        </w:rPr>
        <w:t xml:space="preserve"> </w:t>
      </w:r>
      <w:r w:rsidRPr="00196901">
        <w:rPr>
          <w:rFonts w:cs="Arial"/>
          <w:rtl/>
        </w:rPr>
        <w:t>חוב ואין עמו פרוזבול - הרי אלו לא יפרעו</w:t>
      </w:r>
      <w:r>
        <w:rPr>
          <w:rFonts w:cs="Arial" w:hint="cs"/>
          <w:rtl/>
        </w:rPr>
        <w:t>.</w:t>
      </w:r>
      <w:r w:rsidRPr="00196901">
        <w:rPr>
          <w:rFonts w:cs="Arial"/>
          <w:rtl/>
        </w:rPr>
        <w:t xml:space="preserve"> </w:t>
      </w:r>
      <w:r w:rsidRPr="00196901">
        <w:rPr>
          <w:rFonts w:cs="Arial"/>
          <w:u w:val="single"/>
          <w:rtl/>
        </w:rPr>
        <w:t>רשב"ג אומר</w:t>
      </w:r>
      <w:r w:rsidRPr="00196901">
        <w:rPr>
          <w:rFonts w:cs="Arial"/>
          <w:rtl/>
        </w:rPr>
        <w:t>: מן הסכנה</w:t>
      </w:r>
      <w:r>
        <w:rPr>
          <w:rStyle w:val="a7"/>
          <w:rFonts w:cs="Arial"/>
          <w:rtl/>
        </w:rPr>
        <w:footnoteReference w:id="2423"/>
      </w:r>
      <w:r w:rsidRPr="00196901">
        <w:rPr>
          <w:rFonts w:cs="Arial"/>
          <w:rtl/>
        </w:rPr>
        <w:t xml:space="preserve"> ואילך, אשה גובה כתובתה שלא בגט, ובעל חוב גובה שלא בפרוזבול.</w:t>
      </w:r>
      <w:r>
        <w:rPr>
          <w:rFonts w:hint="cs"/>
          <w:rtl/>
        </w:rPr>
        <w:t xml:space="preserve">    </w:t>
      </w:r>
      <w:r w:rsidRPr="00196901">
        <w:rPr>
          <w:rFonts w:hint="cs"/>
          <w:u w:val="double"/>
          <w:rtl/>
        </w:rPr>
        <w:t>גמ'</w:t>
      </w:r>
      <w:r>
        <w:rPr>
          <w:rFonts w:hint="cs"/>
          <w:rtl/>
        </w:rPr>
        <w:t>:</w:t>
      </w:r>
      <w:r w:rsidRPr="00196901">
        <w:rPr>
          <w:rFonts w:cs="Arial"/>
          <w:rtl/>
        </w:rPr>
        <w:t xml:space="preserve"> </w:t>
      </w:r>
      <w:r w:rsidRPr="0022386C">
        <w:rPr>
          <w:rFonts w:cs="Arial"/>
          <w:rtl/>
        </w:rPr>
        <w:t xml:space="preserve">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2424"/>
      </w:r>
      <w:r w:rsidRPr="0022386C">
        <w:rPr>
          <w:rFonts w:cs="Arial"/>
          <w:rtl/>
        </w:rPr>
        <w:t xml:space="preserve"> מיניה דמר </w:t>
      </w:r>
      <w:r w:rsidRPr="0022386C">
        <w:rPr>
          <w:rFonts w:cs="Arial"/>
          <w:rtl/>
        </w:rPr>
        <w:lastRenderedPageBreak/>
        <w:t>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w:t>
      </w:r>
      <w:r w:rsidRPr="00C16EED">
        <w:rPr>
          <w:rFonts w:cs="Arial"/>
          <w:rtl/>
        </w:rPr>
        <w:t xml:space="preserve"> </w:t>
      </w:r>
      <w:r w:rsidRPr="0022386C">
        <w:rPr>
          <w:rFonts w:cs="Arial"/>
          <w:rtl/>
        </w:rPr>
        <w:t>ואף רב הדר ביה</w:t>
      </w:r>
      <w:r>
        <w:rPr>
          <w:rStyle w:val="a7"/>
          <w:rFonts w:cs="Arial"/>
          <w:rtl/>
        </w:rPr>
        <w:footnoteReference w:id="2425"/>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sidRPr="00196901">
        <w:rPr>
          <w:rFonts w:cs="Arial"/>
          <w:rtl/>
        </w:rPr>
        <w:t xml:space="preserve"> תנן: כתובה ואין עמה גט - היא אומרת אבד גיטי והוא אומר אבד שוברי, וכן בע"ח שהוציא שטר חוב ואין עמו פרוזבול - הרי אלו לא יפרעו</w:t>
      </w:r>
      <w:r>
        <w:rPr>
          <w:rFonts w:cs="Arial" w:hint="cs"/>
          <w:rtl/>
        </w:rPr>
        <w:t>.</w:t>
      </w:r>
      <w:r w:rsidRPr="00196901">
        <w:rPr>
          <w:rFonts w:cs="Arial"/>
          <w:rtl/>
        </w:rPr>
        <w:t xml:space="preserve"> בשלמא לשמואל</w:t>
      </w:r>
      <w:r>
        <w:rPr>
          <w:rStyle w:val="a7"/>
          <w:rFonts w:cs="Arial"/>
          <w:rtl/>
        </w:rPr>
        <w:footnoteReference w:id="2426"/>
      </w:r>
      <w:r w:rsidRPr="00196901">
        <w:rPr>
          <w:rFonts w:cs="Arial"/>
          <w:rtl/>
        </w:rPr>
        <w:t>, מוקי לה</w:t>
      </w:r>
      <w:r>
        <w:rPr>
          <w:rStyle w:val="a7"/>
          <w:rFonts w:cs="Arial"/>
          <w:rtl/>
        </w:rPr>
        <w:footnoteReference w:id="2427"/>
      </w:r>
      <w:r w:rsidRPr="00196901">
        <w:rPr>
          <w:rFonts w:cs="Arial"/>
          <w:rtl/>
        </w:rPr>
        <w:t xml:space="preserve"> במקום שאין כותבין</w:t>
      </w:r>
      <w:r>
        <w:rPr>
          <w:rStyle w:val="a7"/>
          <w:rFonts w:cs="Arial"/>
          <w:rtl/>
        </w:rPr>
        <w:footnoteReference w:id="2428"/>
      </w:r>
      <w:r w:rsidRPr="00196901">
        <w:rPr>
          <w:rFonts w:cs="Arial"/>
          <w:rtl/>
        </w:rPr>
        <w:t xml:space="preserve"> ואמר כתבתי, דאמרי' ליה: אייתי ראיה, ואי לא מייתי ראיה, אמרינן ליה: זיל פרעיה</w:t>
      </w:r>
      <w:r>
        <w:rPr>
          <w:rFonts w:cs="Arial" w:hint="cs"/>
          <w:rtl/>
        </w:rPr>
        <w:t>.</w:t>
      </w:r>
      <w:r w:rsidRPr="00196901">
        <w:rPr>
          <w:rFonts w:cs="Arial"/>
          <w:rtl/>
        </w:rPr>
        <w:t xml:space="preserve"> אלא לרב</w:t>
      </w:r>
      <w:r>
        <w:rPr>
          <w:rStyle w:val="a7"/>
          <w:rFonts w:cs="Arial"/>
          <w:rtl/>
        </w:rPr>
        <w:footnoteReference w:id="2429"/>
      </w:r>
      <w:r w:rsidRPr="00196901">
        <w:rPr>
          <w:rFonts w:cs="Arial"/>
          <w:rtl/>
        </w:rPr>
        <w:t xml:space="preserve">, נהי דעיקר לא גביא, תוספת מיהא תיגבי! </w:t>
      </w:r>
      <w:r w:rsidRPr="00B6252C">
        <w:rPr>
          <w:rFonts w:cs="Arial"/>
          <w:u w:val="single"/>
          <w:rtl/>
        </w:rPr>
        <w:t>אמר רב יוסף</w:t>
      </w:r>
      <w:r w:rsidRPr="00196901">
        <w:rPr>
          <w:rFonts w:cs="Arial"/>
          <w:rtl/>
        </w:rPr>
        <w:t>: הכא במאי עסקינן - כשאין שם עדי גירושין, מיגו דיכול למימר לא גירשתיה</w:t>
      </w:r>
      <w:r>
        <w:rPr>
          <w:rStyle w:val="a7"/>
          <w:rFonts w:cs="Arial"/>
          <w:rtl/>
        </w:rPr>
        <w:footnoteReference w:id="2430"/>
      </w:r>
      <w:r w:rsidRPr="00196901">
        <w:rPr>
          <w:rFonts w:cs="Arial"/>
          <w:rtl/>
        </w:rPr>
        <w:t>,</w:t>
      </w:r>
      <w:r w:rsidRPr="00B6252C">
        <w:rPr>
          <w:rtl/>
        </w:rPr>
        <w:t xml:space="preserve"> </w:t>
      </w:r>
      <w:r>
        <w:rPr>
          <w:rFonts w:hint="cs"/>
          <w:sz w:val="14"/>
          <w:szCs w:val="14"/>
          <w:rtl/>
        </w:rPr>
        <w:t xml:space="preserve">(פט:) </w:t>
      </w:r>
      <w:r w:rsidRPr="00B6252C">
        <w:rPr>
          <w:rFonts w:cs="Arial"/>
          <w:rtl/>
        </w:rPr>
        <w:t>יכול למימר גירשתיה ונתתי לה כתובתה. הא מדקתני סיפא, רשב"ג אומר: מן הסכנה ואילך, אשה גובה כתובתה שלא בגט, ובעל חוב שלא בפרוזבול - בדאיכא עדי גירושין עסקינן, דאי ליכא עדי גירושין, במאי גביא? אלא כולה רשב"ג היא, וחסורי מיחסרא והכי קתני: הרי אלו לא יפרעו, בד"א - כשאין שם עדי גירושין, אבל יש שם עדי גירושין גביא תוספת, ועיקר - אי מפקא גיטא גביא, ואי לא מפקא גיטא לא גביא</w:t>
      </w:r>
      <w:r>
        <w:rPr>
          <w:rFonts w:cs="Arial" w:hint="cs"/>
          <w:rtl/>
        </w:rPr>
        <w:t>.</w:t>
      </w:r>
      <w:r w:rsidRPr="00B6252C">
        <w:rPr>
          <w:rFonts w:cs="Arial"/>
          <w:rtl/>
        </w:rPr>
        <w:t xml:space="preserve"> ומן הסכנה ואילך, אף על גב דלא מפקא גיטא גביא, שרשב"ג אומר: מסכנה ואילך, אשה גובה כתובתה שלא בגט, ובעל חוב שלא בפרוזבול.</w:t>
      </w:r>
    </w:p>
    <w:p w14:paraId="228B18C6" w14:textId="77777777" w:rsidR="002E5BAD" w:rsidRPr="00315B12" w:rsidRDefault="002E5BAD" w:rsidP="002E5BAD">
      <w:pPr>
        <w:rPr>
          <w:u w:val="single"/>
          <w:rtl/>
        </w:rPr>
      </w:pPr>
      <w:r>
        <w:rPr>
          <w:rFonts w:hint="cs"/>
          <w:u w:val="single"/>
          <w:rtl/>
        </w:rPr>
        <w:t>הוציאה כתובה ואין עמה</w:t>
      </w:r>
      <w:r w:rsidRPr="00315B12">
        <w:rPr>
          <w:rFonts w:hint="cs"/>
          <w:u w:val="single"/>
          <w:rtl/>
        </w:rPr>
        <w:t xml:space="preserve"> גט:</w:t>
      </w:r>
    </w:p>
    <w:p w14:paraId="4D421B60" w14:textId="77777777" w:rsidR="002E5BAD" w:rsidRPr="007B0B78" w:rsidRDefault="002E5BAD" w:rsidP="00B75458">
      <w:pPr>
        <w:pStyle w:val="ab"/>
        <w:numPr>
          <w:ilvl w:val="0"/>
          <w:numId w:val="192"/>
        </w:numPr>
      </w:pPr>
      <w:r>
        <w:rPr>
          <w:rFonts w:cs="Arial" w:hint="cs"/>
          <w:rtl/>
        </w:rPr>
        <w:t xml:space="preserve">טור- </w:t>
      </w:r>
      <w:r w:rsidRPr="003D2914">
        <w:rPr>
          <w:rFonts w:cs="Arial"/>
          <w:rtl/>
        </w:rPr>
        <w:t>אם הוציאה כתובה בלא גט</w:t>
      </w:r>
      <w:r>
        <w:rPr>
          <w:rFonts w:cs="Arial" w:hint="cs"/>
          <w:rtl/>
        </w:rPr>
        <w:t>,</w:t>
      </w:r>
      <w:r w:rsidRPr="003D2914">
        <w:rPr>
          <w:rFonts w:cs="Arial"/>
          <w:rtl/>
        </w:rPr>
        <w:t xml:space="preserve"> שאומרת שאבד גיטה</w:t>
      </w:r>
      <w:r>
        <w:rPr>
          <w:rFonts w:cs="Arial" w:hint="cs"/>
          <w:rtl/>
        </w:rPr>
        <w:t>.</w:t>
      </w:r>
      <w:r w:rsidRPr="003D2914">
        <w:rPr>
          <w:rFonts w:cs="Arial"/>
          <w:rtl/>
        </w:rPr>
        <w:t xml:space="preserve"> והוא אומר שכבר הוציאה הגט וגבתה בו</w:t>
      </w:r>
      <w:r>
        <w:rPr>
          <w:rFonts w:cs="Arial" w:hint="cs"/>
          <w:rtl/>
        </w:rPr>
        <w:t>.</w:t>
      </w:r>
      <w:r w:rsidRPr="003D2914">
        <w:rPr>
          <w:rFonts w:cs="Arial"/>
          <w:rtl/>
        </w:rPr>
        <w:t xml:space="preserve"> והוא במקום שאין כותבין</w:t>
      </w:r>
      <w:r>
        <w:rPr>
          <w:rFonts w:cs="Arial" w:hint="cs"/>
          <w:rtl/>
        </w:rPr>
        <w:t>.</w:t>
      </w:r>
      <w:r w:rsidRPr="003D2914">
        <w:rPr>
          <w:rFonts w:cs="Arial"/>
          <w:rtl/>
        </w:rPr>
        <w:t xml:space="preserve"> ואומר</w:t>
      </w:r>
      <w:r>
        <w:rPr>
          <w:rFonts w:cs="Arial" w:hint="cs"/>
          <w:rtl/>
        </w:rPr>
        <w:t>,</w:t>
      </w:r>
      <w:r w:rsidRPr="003D2914">
        <w:rPr>
          <w:rFonts w:cs="Arial"/>
          <w:rtl/>
        </w:rPr>
        <w:t xml:space="preserve"> מפני שאין רגילין לכתוב לא האמינו לי במה שכתבתי לה והוצרכתי לפרוע ע"פ הגט</w:t>
      </w:r>
      <w:r>
        <w:rPr>
          <w:rFonts w:cs="Arial" w:hint="cs"/>
          <w:rtl/>
        </w:rPr>
        <w:t>,</w:t>
      </w:r>
      <w:r w:rsidRPr="003D2914">
        <w:rPr>
          <w:rFonts w:cs="Arial"/>
          <w:rtl/>
        </w:rPr>
        <w:t xml:space="preserve"> וכתבו לי שובר</w:t>
      </w:r>
      <w:r>
        <w:rPr>
          <w:rFonts w:cs="Arial" w:hint="cs"/>
          <w:rtl/>
        </w:rPr>
        <w:t>,</w:t>
      </w:r>
      <w:r w:rsidRPr="003D2914">
        <w:rPr>
          <w:rFonts w:cs="Arial"/>
          <w:rtl/>
        </w:rPr>
        <w:t xml:space="preserve"> ואבד</w:t>
      </w:r>
      <w:r>
        <w:rPr>
          <w:rFonts w:cs="Arial" w:hint="cs"/>
          <w:rtl/>
        </w:rPr>
        <w:t>.</w:t>
      </w:r>
      <w:r w:rsidRPr="003D2914">
        <w:rPr>
          <w:rFonts w:cs="Arial"/>
          <w:rtl/>
        </w:rPr>
        <w:t xml:space="preserve"> אם יש לה עדי גירושין </w:t>
      </w:r>
      <w:r>
        <w:rPr>
          <w:rFonts w:cs="Arial" w:hint="cs"/>
          <w:rtl/>
        </w:rPr>
        <w:t xml:space="preserve">- </w:t>
      </w:r>
      <w:r w:rsidRPr="003D2914">
        <w:rPr>
          <w:rFonts w:cs="Arial"/>
          <w:rtl/>
        </w:rPr>
        <w:t>אינו נאמן</w:t>
      </w:r>
      <w:r>
        <w:rPr>
          <w:rFonts w:cs="Arial" w:hint="cs"/>
          <w:rtl/>
        </w:rPr>
        <w:t>.</w:t>
      </w:r>
      <w:r w:rsidRPr="003D2914">
        <w:rPr>
          <w:rFonts w:cs="Arial"/>
          <w:rtl/>
        </w:rPr>
        <w:t xml:space="preserve"> ואם אין לה עדי גירושין </w:t>
      </w:r>
      <w:r>
        <w:rPr>
          <w:rFonts w:cs="Arial" w:hint="cs"/>
          <w:rtl/>
        </w:rPr>
        <w:t xml:space="preserve">- </w:t>
      </w:r>
      <w:r w:rsidRPr="003D2914">
        <w:rPr>
          <w:rFonts w:cs="Arial"/>
          <w:rtl/>
        </w:rPr>
        <w:t>נאמן במגו שיכול לומר לא גירשתיך</w:t>
      </w:r>
      <w:r>
        <w:rPr>
          <w:rStyle w:val="a7"/>
          <w:rFonts w:cs="Arial"/>
          <w:rtl/>
        </w:rPr>
        <w:footnoteReference w:id="2431"/>
      </w:r>
      <w:r>
        <w:rPr>
          <w:rFonts w:cs="Arial" w:hint="cs"/>
          <w:rtl/>
        </w:rPr>
        <w:t>.</w:t>
      </w:r>
      <w:r w:rsidRPr="003D2914">
        <w:rPr>
          <w:rFonts w:cs="Arial"/>
          <w:rtl/>
        </w:rPr>
        <w:t xml:space="preserve"> ואף על פי שהיא אומרת גירשתני</w:t>
      </w:r>
      <w:r>
        <w:rPr>
          <w:rFonts w:cs="Arial" w:hint="cs"/>
          <w:rtl/>
        </w:rPr>
        <w:t>,</w:t>
      </w:r>
      <w:r w:rsidRPr="003D2914">
        <w:rPr>
          <w:rFonts w:cs="Arial"/>
          <w:rtl/>
        </w:rPr>
        <w:t xml:space="preserve"> אינה נאמנת</w:t>
      </w:r>
      <w:r>
        <w:rPr>
          <w:rFonts w:cs="Arial" w:hint="cs"/>
          <w:rtl/>
        </w:rPr>
        <w:t>,</w:t>
      </w:r>
      <w:r w:rsidRPr="003D2914">
        <w:rPr>
          <w:rFonts w:cs="Arial"/>
          <w:rtl/>
        </w:rPr>
        <w:t xml:space="preserve"> כיון שתובעת כתובתה</w:t>
      </w:r>
      <w:r>
        <w:rPr>
          <w:rStyle w:val="a7"/>
          <w:rFonts w:cs="Arial"/>
          <w:rtl/>
        </w:rPr>
        <w:footnoteReference w:id="2432"/>
      </w:r>
      <w:r>
        <w:rPr>
          <w:rFonts w:cs="Arial" w:hint="cs"/>
          <w:rtl/>
        </w:rPr>
        <w:t>.</w:t>
      </w:r>
      <w:r w:rsidRPr="003D2914">
        <w:rPr>
          <w:rFonts w:cs="Arial"/>
          <w:rtl/>
        </w:rPr>
        <w:t xml:space="preserve"> ואם הוא במקום שאין רשאין לכתוב גט מפני הסכנה</w:t>
      </w:r>
      <w:r>
        <w:rPr>
          <w:rFonts w:cs="Arial" w:hint="cs"/>
          <w:rtl/>
        </w:rPr>
        <w:t xml:space="preserve"> -</w:t>
      </w:r>
      <w:r w:rsidRPr="003D2914">
        <w:rPr>
          <w:rFonts w:cs="Arial"/>
          <w:rtl/>
        </w:rPr>
        <w:t xml:space="preserve"> היא נאמנת וגובה הכל</w:t>
      </w:r>
      <w:r>
        <w:rPr>
          <w:rFonts w:cs="Arial" w:hint="cs"/>
          <w:rtl/>
        </w:rPr>
        <w:t>,</w:t>
      </w:r>
      <w:r w:rsidRPr="003D2914">
        <w:rPr>
          <w:rFonts w:cs="Arial"/>
          <w:rtl/>
        </w:rPr>
        <w:t xml:space="preserve"> אפי' אין לה עדי גירושין</w:t>
      </w:r>
      <w:r>
        <w:rPr>
          <w:rStyle w:val="a7"/>
          <w:rFonts w:cs="Arial"/>
          <w:rtl/>
        </w:rPr>
        <w:footnoteReference w:id="2433"/>
      </w:r>
      <w:r>
        <w:rPr>
          <w:rFonts w:cs="Arial" w:hint="cs"/>
          <w:rtl/>
        </w:rPr>
        <w:t>.</w:t>
      </w:r>
      <w:r w:rsidRPr="003D2914">
        <w:rPr>
          <w:rFonts w:cs="Arial"/>
          <w:rtl/>
        </w:rPr>
        <w:t xml:space="preserve"> </w:t>
      </w:r>
    </w:p>
    <w:p w14:paraId="7C211B98" w14:textId="77777777" w:rsidR="002E5BAD" w:rsidRPr="00196901" w:rsidRDefault="002E5BAD" w:rsidP="00B75458">
      <w:pPr>
        <w:pStyle w:val="ab"/>
        <w:numPr>
          <w:ilvl w:val="0"/>
          <w:numId w:val="192"/>
        </w:numPr>
      </w:pPr>
      <w:r w:rsidRPr="003D2914">
        <w:rPr>
          <w:rFonts w:cs="Arial"/>
          <w:rtl/>
        </w:rPr>
        <w:t>רמב"ם</w:t>
      </w:r>
      <w:r>
        <w:rPr>
          <w:rFonts w:cs="Arial" w:hint="cs"/>
          <w:rtl/>
        </w:rPr>
        <w:t xml:space="preserve"> </w:t>
      </w:r>
      <w:r w:rsidRPr="00AF0123">
        <w:rPr>
          <w:rFonts w:cs="Arial" w:hint="cs"/>
          <w:sz w:val="16"/>
          <w:szCs w:val="16"/>
          <w:rtl/>
        </w:rPr>
        <w:t>(</w:t>
      </w:r>
      <w:r w:rsidRPr="00AF0123">
        <w:rPr>
          <w:rFonts w:cs="Arial"/>
          <w:sz w:val="16"/>
          <w:szCs w:val="16"/>
          <w:rtl/>
        </w:rPr>
        <w:t>פ</w:t>
      </w:r>
      <w:r w:rsidRPr="00AF0123">
        <w:rPr>
          <w:rFonts w:cs="Arial" w:hint="cs"/>
          <w:sz w:val="16"/>
          <w:szCs w:val="16"/>
          <w:rtl/>
        </w:rPr>
        <w:t>ט</w:t>
      </w:r>
      <w:r w:rsidRPr="00AF0123">
        <w:rPr>
          <w:rFonts w:cs="Arial"/>
          <w:sz w:val="16"/>
          <w:szCs w:val="16"/>
          <w:rtl/>
        </w:rPr>
        <w:t>"</w:t>
      </w:r>
      <w:r w:rsidRPr="00AF0123">
        <w:rPr>
          <w:rFonts w:cs="Arial" w:hint="cs"/>
          <w:sz w:val="16"/>
          <w:szCs w:val="16"/>
          <w:rtl/>
        </w:rPr>
        <w:t>ז</w:t>
      </w:r>
      <w:r w:rsidRPr="00AF0123">
        <w:rPr>
          <w:rFonts w:cs="Arial"/>
          <w:sz w:val="16"/>
          <w:szCs w:val="16"/>
          <w:rtl/>
        </w:rPr>
        <w:t xml:space="preserve"> הכ</w:t>
      </w:r>
      <w:r w:rsidRPr="00AF0123">
        <w:rPr>
          <w:rFonts w:cs="Arial" w:hint="cs"/>
          <w:sz w:val="16"/>
          <w:szCs w:val="16"/>
          <w:rtl/>
        </w:rPr>
        <w:t>"</w:t>
      </w:r>
      <w:r w:rsidRPr="00AF0123">
        <w:rPr>
          <w:rFonts w:cs="Arial"/>
          <w:sz w:val="16"/>
          <w:szCs w:val="16"/>
          <w:rtl/>
        </w:rPr>
        <w:t>ו-כז)</w:t>
      </w:r>
      <w:r>
        <w:rPr>
          <w:rFonts w:cs="Arial" w:hint="cs"/>
          <w:rtl/>
        </w:rPr>
        <w:t>-</w:t>
      </w:r>
      <w:r>
        <w:rPr>
          <w:rFonts w:cs="Arial"/>
          <w:rtl/>
        </w:rPr>
        <w:t xml:space="preserve"> האשה שאמרה לבעלה גירשתני </w:t>
      </w:r>
      <w:r>
        <w:rPr>
          <w:rFonts w:cs="Arial" w:hint="cs"/>
          <w:rtl/>
        </w:rPr>
        <w:t xml:space="preserve">- </w:t>
      </w:r>
      <w:r>
        <w:rPr>
          <w:rFonts w:cs="Arial"/>
          <w:rtl/>
        </w:rPr>
        <w:t>נאמנת</w:t>
      </w:r>
      <w:r>
        <w:rPr>
          <w:rFonts w:cs="Arial" w:hint="cs"/>
          <w:rtl/>
        </w:rPr>
        <w:t>,</w:t>
      </w:r>
      <w:r>
        <w:rPr>
          <w:rFonts w:cs="Arial"/>
          <w:rtl/>
        </w:rPr>
        <w:t xml:space="preserve"> שאינה מעיזה פניה בפני בעלה</w:t>
      </w:r>
      <w:r>
        <w:rPr>
          <w:rFonts w:cs="Arial" w:hint="cs"/>
          <w:rtl/>
        </w:rPr>
        <w:t>.</w:t>
      </w:r>
      <w:r>
        <w:rPr>
          <w:rFonts w:cs="Arial"/>
          <w:rtl/>
        </w:rPr>
        <w:t xml:space="preserve"> לפיכך האשה שהוציאה שטר כתובה ואין עמה גט</w:t>
      </w:r>
      <w:r>
        <w:rPr>
          <w:rFonts w:cs="Arial" w:hint="cs"/>
          <w:rtl/>
        </w:rPr>
        <w:t>,</w:t>
      </w:r>
      <w:r>
        <w:rPr>
          <w:rFonts w:cs="Arial"/>
          <w:rtl/>
        </w:rPr>
        <w:t xml:space="preserve"> ואמרה לבעלה גירשתני ואבד גיטי תן לי כתובתי</w:t>
      </w:r>
      <w:r>
        <w:rPr>
          <w:rFonts w:cs="Arial" w:hint="cs"/>
          <w:rtl/>
        </w:rPr>
        <w:t>.</w:t>
      </w:r>
      <w:r>
        <w:rPr>
          <w:rFonts w:cs="Arial"/>
          <w:rtl/>
        </w:rPr>
        <w:t xml:space="preserve"> והוא אומר לא גירשתיך </w:t>
      </w:r>
      <w:r>
        <w:rPr>
          <w:rFonts w:cs="Arial" w:hint="cs"/>
          <w:rtl/>
        </w:rPr>
        <w:t xml:space="preserve">- </w:t>
      </w:r>
      <w:r>
        <w:rPr>
          <w:rFonts w:cs="Arial"/>
          <w:rtl/>
        </w:rPr>
        <w:t>חייב ליתן לה עיקר כתובה</w:t>
      </w:r>
      <w:r>
        <w:rPr>
          <w:rFonts w:cs="Arial" w:hint="cs"/>
          <w:rtl/>
        </w:rPr>
        <w:t>,</w:t>
      </w:r>
      <w:r>
        <w:rPr>
          <w:rFonts w:cs="Arial"/>
          <w:rtl/>
        </w:rPr>
        <w:t xml:space="preserve"> אבל אינו נותן לה תוספת עד שתביא ראיה שגירש</w:t>
      </w:r>
      <w:r>
        <w:rPr>
          <w:rFonts w:cs="Arial" w:hint="cs"/>
          <w:rtl/>
        </w:rPr>
        <w:t>,</w:t>
      </w:r>
      <w:r>
        <w:rPr>
          <w:rFonts w:cs="Arial"/>
          <w:rtl/>
        </w:rPr>
        <w:t xml:space="preserve"> או שיצא גט עם הכתובה מתחת ידיה</w:t>
      </w:r>
      <w:r>
        <w:rPr>
          <w:rFonts w:cs="Arial" w:hint="cs"/>
          <w:rtl/>
        </w:rPr>
        <w:t>.</w:t>
      </w:r>
      <w:r>
        <w:rPr>
          <w:rFonts w:cs="Arial"/>
          <w:rtl/>
        </w:rPr>
        <w:t xml:space="preserve"> אמר הבעל</w:t>
      </w:r>
      <w:r>
        <w:rPr>
          <w:rFonts w:cs="Arial" w:hint="cs"/>
          <w:rtl/>
        </w:rPr>
        <w:t>,</w:t>
      </w:r>
      <w:r>
        <w:rPr>
          <w:rFonts w:cs="Arial"/>
          <w:rtl/>
        </w:rPr>
        <w:t xml:space="preserve"> כך היה גירשתי ונתתי לה כל הכתובה עיקר ותוספת</w:t>
      </w:r>
      <w:r>
        <w:rPr>
          <w:rFonts w:cs="Arial" w:hint="cs"/>
          <w:rtl/>
        </w:rPr>
        <w:t>,</w:t>
      </w:r>
      <w:r>
        <w:rPr>
          <w:rFonts w:cs="Arial"/>
          <w:rtl/>
        </w:rPr>
        <w:t xml:space="preserve"> וכתבה לי שובר</w:t>
      </w:r>
      <w:r>
        <w:rPr>
          <w:rFonts w:cs="Arial" w:hint="cs"/>
          <w:rtl/>
        </w:rPr>
        <w:t>,</w:t>
      </w:r>
      <w:r>
        <w:rPr>
          <w:rFonts w:cs="Arial"/>
          <w:rtl/>
        </w:rPr>
        <w:t xml:space="preserve"> ואבד שוברי</w:t>
      </w:r>
      <w:r>
        <w:rPr>
          <w:rFonts w:cs="Arial" w:hint="cs"/>
          <w:rtl/>
        </w:rPr>
        <w:t>.</w:t>
      </w:r>
      <w:r>
        <w:rPr>
          <w:rFonts w:cs="Arial"/>
          <w:rtl/>
        </w:rPr>
        <w:t xml:space="preserve"> מתוך שיכול לומר לא גירשתי ולא יתחייב בתוספת –</w:t>
      </w:r>
      <w:r>
        <w:rPr>
          <w:rFonts w:cs="Arial" w:hint="cs"/>
          <w:rtl/>
        </w:rPr>
        <w:t xml:space="preserve"> </w:t>
      </w:r>
      <w:r>
        <w:rPr>
          <w:rFonts w:cs="Arial"/>
          <w:rtl/>
        </w:rPr>
        <w:t>נאמן</w:t>
      </w:r>
      <w:r>
        <w:rPr>
          <w:rFonts w:cs="Arial" w:hint="cs"/>
          <w:rtl/>
        </w:rPr>
        <w:t>,</w:t>
      </w:r>
      <w:r>
        <w:rPr>
          <w:rFonts w:cs="Arial"/>
          <w:rtl/>
        </w:rPr>
        <w:t xml:space="preserve"> ומשביעה בנקיטת חפץ ונותן לה את העיקר</w:t>
      </w:r>
      <w:r>
        <w:rPr>
          <w:rFonts w:cs="Arial" w:hint="cs"/>
          <w:rtl/>
        </w:rPr>
        <w:t>,</w:t>
      </w:r>
      <w:r>
        <w:rPr>
          <w:rFonts w:cs="Arial"/>
          <w:rtl/>
        </w:rPr>
        <w:t xml:space="preserve"> ונשבע הוא שבועת היסת על התוספת</w:t>
      </w:r>
      <w:r>
        <w:rPr>
          <w:rStyle w:val="a7"/>
          <w:rFonts w:cs="Arial"/>
          <w:rtl/>
        </w:rPr>
        <w:footnoteReference w:id="2434"/>
      </w:r>
      <w:r>
        <w:rPr>
          <w:rFonts w:cs="Arial" w:hint="cs"/>
          <w:rtl/>
        </w:rPr>
        <w:t xml:space="preserve">. </w:t>
      </w:r>
      <w:r w:rsidRPr="001A2B82">
        <w:rPr>
          <w:rFonts w:hint="cs"/>
          <w:color w:val="E36C0A" w:themeColor="accent6" w:themeShade="BF"/>
          <w:rtl/>
        </w:rPr>
        <w:t>(וכ"פ בשו"ע</w:t>
      </w:r>
      <w:r>
        <w:rPr>
          <w:rFonts w:hint="cs"/>
          <w:sz w:val="16"/>
          <w:szCs w:val="16"/>
          <w:rtl/>
        </w:rPr>
        <w:t xml:space="preserve"> [כאן, ובסע' הבא]</w:t>
      </w:r>
      <w:r w:rsidRPr="001A2B82">
        <w:rPr>
          <w:rFonts w:hint="cs"/>
          <w:color w:val="E36C0A" w:themeColor="accent6" w:themeShade="BF"/>
          <w:rtl/>
        </w:rPr>
        <w:t>)</w:t>
      </w:r>
    </w:p>
    <w:p w14:paraId="1D2CA1B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458B87" w14:textId="77777777" w:rsidR="002E5BAD" w:rsidRDefault="002E5BAD" w:rsidP="002E5BAD">
      <w:pPr>
        <w:rPr>
          <w:rtl/>
        </w:rPr>
      </w:pPr>
      <w:r>
        <w:rPr>
          <w:rFonts w:cs="Arial"/>
          <w:rtl/>
        </w:rPr>
        <w:t>האשה שהוציאה שטר כתובה ואין עמה גט, ואמרה לבעלה: גרשתני ואבד גיטי תן לי כתובתי</w:t>
      </w:r>
      <w:r>
        <w:rPr>
          <w:rFonts w:cs="Arial" w:hint="cs"/>
          <w:rtl/>
        </w:rPr>
        <w:t>.</w:t>
      </w:r>
      <w:r>
        <w:rPr>
          <w:rFonts w:cs="Arial"/>
          <w:rtl/>
        </w:rPr>
        <w:t xml:space="preserve"> והוא אומר: לא גרשתיך, חייב ליתן לה עיקר כתובתה אבל אינו נותן לה התוספת, עד שתביא ראיה שגירשה או שיצא גט עם הכתובה </w:t>
      </w:r>
      <w:r>
        <w:rPr>
          <w:rFonts w:cs="Arial"/>
          <w:rtl/>
        </w:rPr>
        <w:lastRenderedPageBreak/>
        <w:t xml:space="preserve">מתחת ידיה. </w:t>
      </w:r>
      <w:r w:rsidRPr="003D2914">
        <w:rPr>
          <w:rFonts w:cs="Arial" w:hint="cs"/>
          <w:sz w:val="18"/>
          <w:szCs w:val="18"/>
          <w:rtl/>
        </w:rPr>
        <w:t xml:space="preserve">[הגה] </w:t>
      </w:r>
      <w:r w:rsidRPr="003D2914">
        <w:rPr>
          <w:rFonts w:cs="Arial"/>
          <w:sz w:val="18"/>
          <w:szCs w:val="18"/>
          <w:rtl/>
        </w:rPr>
        <w:t>וי"א דאם אינה מביאה ראיה על הגירושין, אפילו עיקר כתובה אינו נותן לה דמאחר שתובעת כתובתה אינה נאמנת על הגירושין, כמו שנתבאר לעיל סימן י"ז סעיף ב'</w:t>
      </w:r>
      <w:r>
        <w:rPr>
          <w:rStyle w:val="a7"/>
          <w:rFonts w:cs="Arial"/>
          <w:sz w:val="18"/>
          <w:szCs w:val="18"/>
          <w:rtl/>
        </w:rPr>
        <w:footnoteReference w:id="2435"/>
      </w:r>
      <w:r w:rsidRPr="003D2914">
        <w:rPr>
          <w:rFonts w:cs="Arial"/>
          <w:sz w:val="18"/>
          <w:szCs w:val="18"/>
          <w:rtl/>
        </w:rPr>
        <w:t>, ולכן אינה נוטלת כתובתה (טור)</w:t>
      </w:r>
      <w:r>
        <w:rPr>
          <w:rFonts w:cs="Arial" w:hint="cs"/>
          <w:sz w:val="18"/>
          <w:szCs w:val="18"/>
          <w:rtl/>
        </w:rPr>
        <w:t>.</w:t>
      </w:r>
      <w:r w:rsidRPr="003D2914">
        <w:rPr>
          <w:rFonts w:cs="Arial"/>
          <w:sz w:val="18"/>
          <w:szCs w:val="18"/>
          <w:rtl/>
        </w:rPr>
        <w:t xml:space="preserve"> וכן עיקר.</w:t>
      </w:r>
      <w:r>
        <w:rPr>
          <w:rFonts w:cs="Arial"/>
          <w:rtl/>
        </w:rPr>
        <w:t xml:space="preserve"> </w:t>
      </w:r>
    </w:p>
    <w:p w14:paraId="0B0698E8" w14:textId="77777777" w:rsidR="002E5BAD" w:rsidRDefault="002E5BAD" w:rsidP="002E5BAD">
      <w:pPr>
        <w:rPr>
          <w:rtl/>
        </w:rPr>
      </w:pPr>
    </w:p>
    <w:p w14:paraId="1724AE1D" w14:textId="77777777" w:rsidR="002E5BAD" w:rsidRDefault="002E5BAD" w:rsidP="002E5BAD">
      <w:pPr>
        <w:pStyle w:val="2"/>
        <w:rPr>
          <w:rtl/>
        </w:rPr>
      </w:pPr>
      <w:r>
        <w:rPr>
          <w:rtl/>
        </w:rPr>
        <w:t>סעיף יא</w:t>
      </w:r>
      <w:r>
        <w:rPr>
          <w:rFonts w:hint="cs"/>
          <w:rtl/>
        </w:rPr>
        <w:t>: המשך הנ"ל.</w:t>
      </w:r>
    </w:p>
    <w:p w14:paraId="753839FE" w14:textId="77777777" w:rsidR="002E5BAD" w:rsidRPr="003D2914" w:rsidRDefault="002E5BAD" w:rsidP="002E5BAD">
      <w:pPr>
        <w:rPr>
          <w:rtl/>
        </w:rPr>
      </w:pPr>
      <w:r>
        <w:rPr>
          <w:rFonts w:hint="cs"/>
          <w:rtl/>
        </w:rPr>
        <w:t>עיין במקורות בסעיף י'.</w:t>
      </w:r>
    </w:p>
    <w:p w14:paraId="0915AC9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8B5601" w14:textId="77777777" w:rsidR="002E5BAD" w:rsidRDefault="002E5BAD" w:rsidP="002E5BAD">
      <w:pPr>
        <w:rPr>
          <w:rtl/>
        </w:rPr>
      </w:pPr>
      <w:r>
        <w:rPr>
          <w:rFonts w:cs="Arial"/>
          <w:rtl/>
        </w:rPr>
        <w:t>אמר לה הבעל: כך היה גירשתי ונתתי לה כל הכתובה עיקר ותוספת וכתבה לי שובר ואבד שוברי, מתוך שיכול לומר: לא גרשתי, ולא יתחייב בתוספת, נאמן ומשביעה בנקיטת חפץ</w:t>
      </w:r>
      <w:r>
        <w:rPr>
          <w:rStyle w:val="a7"/>
          <w:rFonts w:cs="Arial"/>
          <w:rtl/>
        </w:rPr>
        <w:footnoteReference w:id="2436"/>
      </w:r>
      <w:r>
        <w:rPr>
          <w:rFonts w:cs="Arial"/>
          <w:rtl/>
        </w:rPr>
        <w:t xml:space="preserve"> ונותן לה את העיקר, ונשבע הוא שבועת היסת על התוספת. </w:t>
      </w:r>
    </w:p>
    <w:p w14:paraId="3F6F37D5" w14:textId="77777777" w:rsidR="002E5BAD" w:rsidRDefault="002E5BAD" w:rsidP="002E5BAD">
      <w:pPr>
        <w:rPr>
          <w:rtl/>
        </w:rPr>
      </w:pPr>
    </w:p>
    <w:p w14:paraId="28BDCD8F" w14:textId="77777777" w:rsidR="002E5BAD" w:rsidRDefault="002E5BAD" w:rsidP="002E5BAD">
      <w:pPr>
        <w:pStyle w:val="2"/>
        <w:rPr>
          <w:rtl/>
        </w:rPr>
      </w:pPr>
      <w:r>
        <w:rPr>
          <w:rtl/>
        </w:rPr>
        <w:t>סעיף יב</w:t>
      </w:r>
      <w:r>
        <w:rPr>
          <w:rFonts w:hint="cs"/>
          <w:rtl/>
        </w:rPr>
        <w:t>: הוציאה גט ואין עמו כתובה.</w:t>
      </w:r>
    </w:p>
    <w:p w14:paraId="14839F00" w14:textId="77777777" w:rsidR="002E5BAD" w:rsidRPr="004A4B8F" w:rsidRDefault="002E5BAD" w:rsidP="002E5BAD">
      <w:pPr>
        <w:rPr>
          <w:rFonts w:cs="Arial"/>
          <w:sz w:val="16"/>
          <w:szCs w:val="16"/>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פח ע"ב:</w:t>
      </w:r>
      <w:r>
        <w:rPr>
          <w:rFonts w:hint="cs"/>
          <w:rtl/>
        </w:rPr>
        <w:t xml:space="preserve"> </w:t>
      </w:r>
      <w:r w:rsidRPr="00196901">
        <w:rPr>
          <w:rFonts w:cs="Arial"/>
          <w:u w:val="double"/>
          <w:rtl/>
        </w:rPr>
        <w:t>מתני'</w:t>
      </w:r>
      <w:r>
        <w:rPr>
          <w:rFonts w:cs="Arial" w:hint="cs"/>
          <w:rtl/>
        </w:rPr>
        <w:t>:</w:t>
      </w:r>
      <w:r w:rsidRPr="00196901">
        <w:rPr>
          <w:rFonts w:cs="Arial"/>
          <w:rtl/>
        </w:rPr>
        <w:t xml:space="preserve"> הוציאה גט ואין עמו כתובה</w:t>
      </w:r>
      <w:r>
        <w:rPr>
          <w:rFonts w:cs="Arial" w:hint="cs"/>
          <w:rtl/>
        </w:rPr>
        <w:t xml:space="preserve"> </w:t>
      </w:r>
      <w:r>
        <w:rPr>
          <w:rFonts w:cs="Arial" w:hint="cs"/>
          <w:sz w:val="14"/>
          <w:szCs w:val="14"/>
          <w:rtl/>
        </w:rPr>
        <w:t>(פט.)</w:t>
      </w:r>
      <w:r w:rsidRPr="00196901">
        <w:rPr>
          <w:rFonts w:cs="Arial"/>
          <w:rtl/>
        </w:rPr>
        <w:t xml:space="preserve"> -</w:t>
      </w:r>
      <w:r w:rsidRPr="00196901">
        <w:rPr>
          <w:rtl/>
        </w:rPr>
        <w:t xml:space="preserve"> </w:t>
      </w:r>
      <w:r w:rsidRPr="00196901">
        <w:rPr>
          <w:rFonts w:cs="Arial"/>
          <w:rtl/>
        </w:rPr>
        <w:t>גובה כתובתה.</w:t>
      </w:r>
      <w:r>
        <w:rPr>
          <w:rFonts w:cs="Arial" w:hint="cs"/>
          <w:rtl/>
        </w:rPr>
        <w:t>.</w:t>
      </w:r>
      <w:r w:rsidRPr="00196901">
        <w:rPr>
          <w:rFonts w:cs="Arial"/>
          <w:rtl/>
        </w:rPr>
        <w:t>.</w:t>
      </w:r>
      <w:r>
        <w:rPr>
          <w:rFonts w:hint="cs"/>
          <w:rtl/>
        </w:rPr>
        <w:t xml:space="preserve">    </w:t>
      </w:r>
      <w:r w:rsidRPr="00196901">
        <w:rPr>
          <w:rFonts w:hint="cs"/>
          <w:u w:val="double"/>
          <w:rtl/>
        </w:rPr>
        <w:t>גמ'</w:t>
      </w:r>
      <w:r>
        <w:rPr>
          <w:rFonts w:hint="cs"/>
          <w:rtl/>
        </w:rPr>
        <w:t>:</w:t>
      </w:r>
      <w:r w:rsidRPr="00196901">
        <w:rPr>
          <w:rFonts w:cs="Arial"/>
          <w:rtl/>
        </w:rPr>
        <w:t xml:space="preserve"> </w:t>
      </w:r>
      <w:r w:rsidRPr="0022386C">
        <w:rPr>
          <w:rFonts w:cs="Arial"/>
          <w:rtl/>
        </w:rPr>
        <w:t xml:space="preserve">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2437"/>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w:t>
      </w:r>
      <w:r w:rsidRPr="00C16EED">
        <w:rPr>
          <w:rFonts w:cs="Arial"/>
          <w:rtl/>
        </w:rPr>
        <w:t xml:space="preserve"> </w:t>
      </w:r>
      <w:r w:rsidRPr="0022386C">
        <w:rPr>
          <w:rFonts w:cs="Arial"/>
          <w:rtl/>
        </w:rPr>
        <w:t>ואף רב הדר ביה</w:t>
      </w:r>
      <w:r>
        <w:rPr>
          <w:rStyle w:val="a7"/>
          <w:rFonts w:cs="Arial"/>
          <w:rtl/>
        </w:rPr>
        <w:footnoteReference w:id="2438"/>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Pr>
          <w:rFonts w:cs="Arial" w:hint="cs"/>
          <w:sz w:val="16"/>
          <w:szCs w:val="16"/>
          <w:rtl/>
        </w:rPr>
        <w:t xml:space="preserve"> (ופסק הרי"ף (מח:) כשמואל, ב"י)</w:t>
      </w:r>
    </w:p>
    <w:p w14:paraId="18777162" w14:textId="77777777" w:rsidR="002E5BAD" w:rsidRPr="005D3ADA" w:rsidRDefault="002E5BAD" w:rsidP="002E5BAD">
      <w:pPr>
        <w:rPr>
          <w:u w:val="single"/>
        </w:rPr>
      </w:pPr>
      <w:r w:rsidRPr="005157A5">
        <w:rPr>
          <w:rFonts w:hint="cs"/>
          <w:u w:val="single"/>
          <w:rtl/>
        </w:rPr>
        <w:t>הוציאה גט ואין עמו כתובה:</w:t>
      </w:r>
    </w:p>
    <w:p w14:paraId="394580C9" w14:textId="77777777" w:rsidR="002E5BAD" w:rsidRPr="00572BB6" w:rsidRDefault="002E5BAD" w:rsidP="00B75458">
      <w:pPr>
        <w:pStyle w:val="ab"/>
        <w:numPr>
          <w:ilvl w:val="0"/>
          <w:numId w:val="192"/>
        </w:numPr>
      </w:pPr>
      <w:r>
        <w:rPr>
          <w:rFonts w:hint="cs"/>
          <w:rtl/>
        </w:rPr>
        <w:t xml:space="preserve">רי"ף </w:t>
      </w:r>
      <w:r>
        <w:rPr>
          <w:rFonts w:cs="Arial" w:hint="cs"/>
          <w:sz w:val="16"/>
          <w:szCs w:val="16"/>
          <w:rtl/>
        </w:rPr>
        <w:t xml:space="preserve">(מח:) </w:t>
      </w:r>
      <w:r>
        <w:rPr>
          <w:rFonts w:hint="cs"/>
          <w:rtl/>
        </w:rPr>
        <w:t>רמב"ם</w:t>
      </w:r>
      <w:r>
        <w:rPr>
          <w:rFonts w:hint="cs"/>
          <w:sz w:val="16"/>
          <w:szCs w:val="16"/>
          <w:rtl/>
        </w:rPr>
        <w:t xml:space="preserve"> (פט"ז הכ"א-כב)</w:t>
      </w:r>
      <w:r>
        <w:rPr>
          <w:rFonts w:hint="cs"/>
          <w:rtl/>
        </w:rPr>
        <w:t xml:space="preserve"> וטור</w:t>
      </w:r>
      <w:r>
        <w:rPr>
          <w:rStyle w:val="a7"/>
          <w:rtl/>
        </w:rPr>
        <w:footnoteReference w:id="2439"/>
      </w:r>
      <w:r>
        <w:rPr>
          <w:rFonts w:hint="cs"/>
          <w:rtl/>
        </w:rPr>
        <w:t xml:space="preserve">- </w:t>
      </w:r>
      <w:r>
        <w:rPr>
          <w:rFonts w:cs="Arial"/>
          <w:rtl/>
        </w:rPr>
        <w:t>אלמנה</w:t>
      </w:r>
      <w:r>
        <w:rPr>
          <w:rFonts w:cs="Arial" w:hint="cs"/>
          <w:rtl/>
        </w:rPr>
        <w:t xml:space="preserve">... </w:t>
      </w:r>
      <w:r>
        <w:rPr>
          <w:rFonts w:cs="Arial"/>
          <w:rtl/>
        </w:rPr>
        <w:t xml:space="preserve">אם אין שטר כתובה יוצא מתחת ידה </w:t>
      </w:r>
      <w:r>
        <w:rPr>
          <w:rFonts w:cs="Arial" w:hint="cs"/>
          <w:rtl/>
        </w:rPr>
        <w:t xml:space="preserve">- </w:t>
      </w:r>
      <w:r>
        <w:rPr>
          <w:rFonts w:cs="Arial"/>
          <w:rtl/>
        </w:rPr>
        <w:t xml:space="preserve">אין לה כלום ואפילו עיקר כתובה ואפילו תבעה ביום מיתת בעלה, וכן הגרושה אפילו עיקר כתובה אין לה עד שתוציא שטר כתובה. </w:t>
      </w:r>
      <w:r w:rsidRPr="005157A5">
        <w:rPr>
          <w:rFonts w:cs="Arial"/>
          <w:rtl/>
        </w:rPr>
        <w:t xml:space="preserve">במה דברים אמורים במקום שדרכן לכתוב כתובה, אבל במקום שאין דרכן לכתוב כתובה אלא סומכין על תנאי בית דין </w:t>
      </w:r>
      <w:r>
        <w:rPr>
          <w:rFonts w:cs="Arial" w:hint="cs"/>
          <w:rtl/>
        </w:rPr>
        <w:t xml:space="preserve">- </w:t>
      </w:r>
      <w:r w:rsidRPr="005157A5">
        <w:rPr>
          <w:rFonts w:cs="Arial"/>
          <w:rtl/>
        </w:rPr>
        <w:t>הרי זו גובה עיקר כתובה אף על פי שאין בידה שטר כתובה בין נתגרשה בין נתאלמנה בין שהיתה בבית בעלה בין שהיתה בבית אביה, אבל תוספת אין לה בכל מקום אלא בראיה ברורה</w:t>
      </w:r>
      <w:r>
        <w:rPr>
          <w:rStyle w:val="a7"/>
          <w:rFonts w:cs="Arial"/>
          <w:rtl/>
        </w:rPr>
        <w:footnoteReference w:id="2440"/>
      </w:r>
      <w:r w:rsidRPr="005157A5">
        <w:rPr>
          <w:rFonts w:cs="Arial"/>
          <w:rtl/>
        </w:rPr>
        <w:t>.</w:t>
      </w:r>
      <w:r>
        <w:rPr>
          <w:rFonts w:hint="cs"/>
          <w:rtl/>
        </w:rPr>
        <w:t xml:space="preserve"> </w:t>
      </w:r>
      <w:r w:rsidRPr="0086008F">
        <w:rPr>
          <w:rFonts w:hint="cs"/>
          <w:color w:val="E36C0A" w:themeColor="accent6" w:themeShade="BF"/>
          <w:rtl/>
        </w:rPr>
        <w:t>(וכ"פ בשו"ע</w:t>
      </w:r>
      <w:r w:rsidRPr="0086008F">
        <w:rPr>
          <w:rFonts w:hint="cs"/>
          <w:color w:val="E36C0A" w:themeColor="accent6" w:themeShade="BF"/>
          <w:sz w:val="16"/>
          <w:szCs w:val="16"/>
          <w:rtl/>
        </w:rPr>
        <w:t xml:space="preserve"> </w:t>
      </w:r>
      <w:r>
        <w:rPr>
          <w:rFonts w:hint="cs"/>
          <w:sz w:val="16"/>
          <w:szCs w:val="16"/>
          <w:rtl/>
        </w:rPr>
        <w:t>[כאן ובסע' ו]</w:t>
      </w:r>
      <w:r w:rsidRPr="0086008F">
        <w:rPr>
          <w:rFonts w:hint="cs"/>
          <w:color w:val="E36C0A" w:themeColor="accent6" w:themeShade="BF"/>
          <w:rtl/>
        </w:rPr>
        <w:t>)</w:t>
      </w:r>
    </w:p>
    <w:p w14:paraId="3A6A8419" w14:textId="77777777" w:rsidR="002E5BAD" w:rsidRPr="00572BB6" w:rsidRDefault="002E5BAD" w:rsidP="002E5BAD">
      <w:pPr>
        <w:ind w:left="360"/>
        <w:rPr>
          <w:u w:val="dotted"/>
        </w:rPr>
      </w:pPr>
      <w:r w:rsidRPr="00572BB6">
        <w:rPr>
          <w:rFonts w:hint="cs"/>
          <w:u w:val="dotted"/>
          <w:rtl/>
        </w:rPr>
        <w:t>ומה הדין אם גם גט אין לה, אלא רק עידי גירושין:</w:t>
      </w:r>
    </w:p>
    <w:p w14:paraId="235A8E32" w14:textId="77777777" w:rsidR="002E5BAD" w:rsidRDefault="002E5BAD" w:rsidP="00B75458">
      <w:pPr>
        <w:pStyle w:val="ab"/>
        <w:numPr>
          <w:ilvl w:val="0"/>
          <w:numId w:val="192"/>
        </w:numPr>
      </w:pPr>
      <w:r w:rsidRPr="00572BB6">
        <w:rPr>
          <w:rFonts w:cs="Arial"/>
          <w:rtl/>
        </w:rPr>
        <w:lastRenderedPageBreak/>
        <w:t xml:space="preserve">ר"ן </w:t>
      </w:r>
      <w:r w:rsidRPr="00572BB6">
        <w:rPr>
          <w:rFonts w:cs="Arial"/>
          <w:sz w:val="16"/>
          <w:szCs w:val="16"/>
          <w:rtl/>
        </w:rPr>
        <w:t>(מט. דיבור ראשון</w:t>
      </w:r>
      <w:r w:rsidRPr="00572BB6">
        <w:rPr>
          <w:rFonts w:cs="Arial" w:hint="cs"/>
          <w:sz w:val="16"/>
          <w:szCs w:val="16"/>
          <w:rtl/>
        </w:rPr>
        <w:t>)</w:t>
      </w:r>
      <w:r w:rsidRPr="00572BB6">
        <w:rPr>
          <w:rFonts w:cs="Arial" w:hint="cs"/>
          <w:rtl/>
        </w:rPr>
        <w:t xml:space="preserve">- </w:t>
      </w:r>
      <w:r w:rsidRPr="00572BB6">
        <w:rPr>
          <w:rFonts w:cs="Arial"/>
          <w:rtl/>
        </w:rPr>
        <w:t>אפילו עיקר כתובה לא גביא אלא בהוציאה גט ממש</w:t>
      </w:r>
      <w:r>
        <w:rPr>
          <w:rFonts w:cs="Arial" w:hint="cs"/>
          <w:rtl/>
        </w:rPr>
        <w:t>,</w:t>
      </w:r>
      <w:r w:rsidRPr="00572BB6">
        <w:rPr>
          <w:rFonts w:cs="Arial"/>
          <w:rtl/>
        </w:rPr>
        <w:t xml:space="preserve"> אבל בעידי הגט </w:t>
      </w:r>
      <w:r>
        <w:rPr>
          <w:rFonts w:cs="Arial" w:hint="cs"/>
          <w:rtl/>
        </w:rPr>
        <w:t xml:space="preserve">- </w:t>
      </w:r>
      <w:r w:rsidRPr="00572BB6">
        <w:rPr>
          <w:rFonts w:cs="Arial"/>
          <w:rtl/>
        </w:rPr>
        <w:t>לא גביא</w:t>
      </w:r>
      <w:r>
        <w:rPr>
          <w:rFonts w:cs="Arial" w:hint="cs"/>
          <w:rtl/>
        </w:rPr>
        <w:t>,</w:t>
      </w:r>
      <w:r w:rsidRPr="00572BB6">
        <w:rPr>
          <w:rFonts w:cs="Arial"/>
          <w:rtl/>
        </w:rPr>
        <w:t xml:space="preserve"> דאיתרע ליה מעשה בית דין</w:t>
      </w:r>
      <w:r>
        <w:rPr>
          <w:rFonts w:cs="Arial" w:hint="cs"/>
          <w:rtl/>
        </w:rPr>
        <w:t>.</w:t>
      </w:r>
      <w:r w:rsidRPr="00572BB6">
        <w:rPr>
          <w:rFonts w:cs="Arial"/>
          <w:rtl/>
        </w:rPr>
        <w:t xml:space="preserve"> דחיישינן דילמא בית דין הגבוה ע"פ הגט וקרעוה לגיטא</w:t>
      </w:r>
      <w:r>
        <w:rPr>
          <w:rStyle w:val="a7"/>
          <w:rFonts w:cs="Arial"/>
          <w:rtl/>
        </w:rPr>
        <w:footnoteReference w:id="2441"/>
      </w:r>
      <w:r>
        <w:rPr>
          <w:rFonts w:cs="Arial" w:hint="cs"/>
          <w:rtl/>
        </w:rPr>
        <w:t>.</w:t>
      </w:r>
      <w:r>
        <w:rPr>
          <w:rFonts w:hint="cs"/>
          <w:rtl/>
        </w:rPr>
        <w:t xml:space="preserve"> (וכ"פ הח"מ</w:t>
      </w:r>
      <w:r>
        <w:rPr>
          <w:rFonts w:hint="cs"/>
          <w:sz w:val="16"/>
          <w:szCs w:val="16"/>
          <w:rtl/>
        </w:rPr>
        <w:t xml:space="preserve"> [סקמ"ב]</w:t>
      </w:r>
      <w:r>
        <w:rPr>
          <w:rFonts w:hint="cs"/>
          <w:rtl/>
        </w:rPr>
        <w:t>)</w:t>
      </w:r>
    </w:p>
    <w:p w14:paraId="640DE935" w14:textId="77777777" w:rsidR="002E5BAD" w:rsidRPr="002A0D3C" w:rsidRDefault="002E5BAD" w:rsidP="002E5BAD">
      <w:r w:rsidRPr="00516D26">
        <w:rPr>
          <w:rFonts w:cs="Arial"/>
          <w:u w:val="single"/>
          <w:rtl/>
        </w:rPr>
        <w:t>מי שגרש את אשתו</w:t>
      </w:r>
      <w:r w:rsidRPr="00516D26">
        <w:rPr>
          <w:rFonts w:cs="Arial" w:hint="cs"/>
          <w:u w:val="single"/>
          <w:rtl/>
        </w:rPr>
        <w:t>,</w:t>
      </w:r>
      <w:r w:rsidRPr="00516D26">
        <w:rPr>
          <w:rFonts w:cs="Arial"/>
          <w:u w:val="single"/>
          <w:rtl/>
        </w:rPr>
        <w:t xml:space="preserve"> ו</w:t>
      </w:r>
      <w:r>
        <w:rPr>
          <w:rFonts w:cs="Arial" w:hint="cs"/>
          <w:u w:val="single"/>
          <w:rtl/>
        </w:rPr>
        <w:t>הוציאה</w:t>
      </w:r>
      <w:r w:rsidRPr="00516D26">
        <w:rPr>
          <w:rFonts w:cs="Arial"/>
          <w:u w:val="single"/>
          <w:rtl/>
        </w:rPr>
        <w:t xml:space="preserve"> כתובתה</w:t>
      </w:r>
      <w:r w:rsidRPr="00516D26">
        <w:rPr>
          <w:rFonts w:cs="Arial" w:hint="cs"/>
          <w:u w:val="single"/>
          <w:rtl/>
        </w:rPr>
        <w:t>,</w:t>
      </w:r>
      <w:r w:rsidRPr="00516D26">
        <w:rPr>
          <w:rFonts w:cs="Arial"/>
          <w:u w:val="single"/>
          <w:rtl/>
        </w:rPr>
        <w:t xml:space="preserve"> ואמר לה פרעתיך </w:t>
      </w:r>
      <w:r w:rsidRPr="00516D26">
        <w:rPr>
          <w:rFonts w:cs="Arial" w:hint="cs"/>
          <w:u w:val="single"/>
          <w:rtl/>
        </w:rPr>
        <w:t>או</w:t>
      </w:r>
      <w:r w:rsidRPr="00516D26">
        <w:rPr>
          <w:rFonts w:cs="Arial"/>
          <w:u w:val="single"/>
          <w:rtl/>
        </w:rPr>
        <w:t xml:space="preserve"> </w:t>
      </w:r>
      <w:r w:rsidRPr="00516D26">
        <w:rPr>
          <w:rFonts w:cs="Arial" w:hint="cs"/>
          <w:u w:val="single"/>
          <w:rtl/>
        </w:rPr>
        <w:t>ה</w:t>
      </w:r>
      <w:r w:rsidRPr="00516D26">
        <w:rPr>
          <w:rFonts w:cs="Arial"/>
          <w:u w:val="single"/>
          <w:rtl/>
        </w:rPr>
        <w:t>תפש</w:t>
      </w:r>
      <w:r w:rsidRPr="00516D26">
        <w:rPr>
          <w:rFonts w:cs="Arial" w:hint="cs"/>
          <w:u w:val="single"/>
          <w:rtl/>
        </w:rPr>
        <w:t>תי</w:t>
      </w:r>
      <w:r w:rsidRPr="00516D26">
        <w:rPr>
          <w:rFonts w:cs="Arial"/>
          <w:u w:val="single"/>
          <w:rtl/>
        </w:rPr>
        <w:t xml:space="preserve"> </w:t>
      </w:r>
      <w:r w:rsidRPr="00516D26">
        <w:rPr>
          <w:rFonts w:cs="Arial" w:hint="cs"/>
          <w:u w:val="single"/>
          <w:rtl/>
        </w:rPr>
        <w:t xml:space="preserve">אותך </w:t>
      </w:r>
      <w:r w:rsidRPr="00516D26">
        <w:rPr>
          <w:rFonts w:cs="Arial"/>
          <w:u w:val="single"/>
          <w:rtl/>
        </w:rPr>
        <w:t>צר</w:t>
      </w:r>
      <w:r w:rsidRPr="00516D26">
        <w:rPr>
          <w:rFonts w:cs="Arial" w:hint="cs"/>
          <w:u w:val="single"/>
          <w:rtl/>
        </w:rPr>
        <w:t>רי</w:t>
      </w:r>
      <w:r w:rsidRPr="00516D26">
        <w:rPr>
          <w:rFonts w:cs="Arial"/>
          <w:u w:val="single"/>
          <w:rtl/>
        </w:rPr>
        <w:t xml:space="preserve"> קודם גירושין</w:t>
      </w:r>
      <w:r w:rsidRPr="00516D26">
        <w:rPr>
          <w:rFonts w:cs="Arial" w:hint="cs"/>
          <w:u w:val="single"/>
          <w:rtl/>
        </w:rPr>
        <w:t>:</w:t>
      </w:r>
      <w:r w:rsidRPr="008244B3">
        <w:rPr>
          <w:rFonts w:cs="Arial"/>
          <w:rtl/>
        </w:rPr>
        <w:t xml:space="preserve"> </w:t>
      </w:r>
      <w:r>
        <w:rPr>
          <w:rFonts w:hint="cs"/>
          <w:rtl/>
        </w:rPr>
        <w:t xml:space="preserve"> </w:t>
      </w:r>
      <w:r w:rsidRPr="00516D26">
        <w:rPr>
          <w:rFonts w:hint="cs"/>
          <w:sz w:val="16"/>
          <w:szCs w:val="16"/>
          <w:rtl/>
        </w:rPr>
        <w:t>(דרכ"מ אות יח)</w:t>
      </w:r>
    </w:p>
    <w:p w14:paraId="04B87651" w14:textId="77777777" w:rsidR="002E5BAD" w:rsidRDefault="002E5BAD" w:rsidP="00B75458">
      <w:pPr>
        <w:pStyle w:val="ab"/>
        <w:numPr>
          <w:ilvl w:val="0"/>
          <w:numId w:val="192"/>
        </w:numPr>
        <w:rPr>
          <w:rFonts w:cs="Arial"/>
        </w:rPr>
      </w:pPr>
      <w:r w:rsidRPr="00F02E86">
        <w:rPr>
          <w:rFonts w:cs="Arial"/>
          <w:rtl/>
        </w:rPr>
        <w:t xml:space="preserve">רי"ף </w:t>
      </w:r>
      <w:r w:rsidRPr="008244B3">
        <w:rPr>
          <w:rFonts w:cs="Arial"/>
          <w:sz w:val="16"/>
          <w:szCs w:val="16"/>
          <w:rtl/>
        </w:rPr>
        <w:t>(</w:t>
      </w:r>
      <w:r w:rsidRPr="008244B3">
        <w:rPr>
          <w:rFonts w:cs="Arial" w:hint="cs"/>
          <w:sz w:val="16"/>
          <w:szCs w:val="16"/>
          <w:rtl/>
        </w:rPr>
        <w:t xml:space="preserve">בשו"ת </w:t>
      </w:r>
      <w:r w:rsidRPr="008244B3">
        <w:rPr>
          <w:rFonts w:cs="Arial"/>
          <w:sz w:val="16"/>
          <w:szCs w:val="16"/>
          <w:rtl/>
        </w:rPr>
        <w:t>סי' מח</w:t>
      </w:r>
      <w:r>
        <w:rPr>
          <w:rFonts w:cs="Arial" w:hint="cs"/>
          <w:sz w:val="16"/>
          <w:szCs w:val="16"/>
          <w:rtl/>
        </w:rPr>
        <w:t>, הביאו הנמוק"י [</w:t>
      </w:r>
      <w:r w:rsidRPr="008244B3">
        <w:rPr>
          <w:rFonts w:cs="Arial"/>
          <w:sz w:val="16"/>
          <w:szCs w:val="16"/>
          <w:rtl/>
        </w:rPr>
        <w:t>פ</w:t>
      </w:r>
      <w:r w:rsidRPr="008244B3">
        <w:rPr>
          <w:rFonts w:cs="Arial" w:hint="cs"/>
          <w:sz w:val="16"/>
          <w:szCs w:val="16"/>
          <w:rtl/>
        </w:rPr>
        <w:t>"</w:t>
      </w:r>
      <w:r w:rsidRPr="008244B3">
        <w:rPr>
          <w:rFonts w:cs="Arial"/>
          <w:sz w:val="16"/>
          <w:szCs w:val="16"/>
          <w:rtl/>
        </w:rPr>
        <w:t>ק דב</w:t>
      </w:r>
      <w:r w:rsidRPr="008244B3">
        <w:rPr>
          <w:rFonts w:cs="Arial" w:hint="cs"/>
          <w:sz w:val="16"/>
          <w:szCs w:val="16"/>
          <w:rtl/>
        </w:rPr>
        <w:t>"</w:t>
      </w:r>
      <w:r w:rsidRPr="008244B3">
        <w:rPr>
          <w:rFonts w:cs="Arial"/>
          <w:sz w:val="16"/>
          <w:szCs w:val="16"/>
          <w:rtl/>
        </w:rPr>
        <w:t>מ ד: דיבור ראשון</w:t>
      </w:r>
      <w:r>
        <w:rPr>
          <w:rFonts w:cs="Arial" w:hint="cs"/>
          <w:sz w:val="16"/>
          <w:szCs w:val="16"/>
          <w:rtl/>
        </w:rPr>
        <w:t>]</w:t>
      </w:r>
      <w:r w:rsidRPr="008244B3">
        <w:rPr>
          <w:rFonts w:cs="Arial"/>
          <w:sz w:val="16"/>
          <w:szCs w:val="16"/>
          <w:rtl/>
        </w:rPr>
        <w:t>)</w:t>
      </w:r>
      <w:r>
        <w:rPr>
          <w:rFonts w:cs="Arial" w:hint="cs"/>
          <w:rtl/>
        </w:rPr>
        <w:t xml:space="preserve">- </w:t>
      </w:r>
      <w:r w:rsidRPr="008244B3">
        <w:rPr>
          <w:rFonts w:cs="Arial"/>
          <w:rtl/>
        </w:rPr>
        <w:t>שאלה. מי שגרש את אשתו ותבעתו בכתובתה ואמר לה פרעתיך אי נמי אמר לה אתפשוך צר</w:t>
      </w:r>
      <w:r>
        <w:rPr>
          <w:rFonts w:cs="Arial" w:hint="cs"/>
          <w:rtl/>
        </w:rPr>
        <w:t>רי</w:t>
      </w:r>
      <w:r w:rsidRPr="008244B3">
        <w:rPr>
          <w:rFonts w:cs="Arial"/>
          <w:rtl/>
        </w:rPr>
        <w:t xml:space="preserve"> קודם גירושין</w:t>
      </w:r>
      <w:r>
        <w:rPr>
          <w:rFonts w:cs="Arial" w:hint="cs"/>
          <w:rtl/>
        </w:rPr>
        <w:t>.</w:t>
      </w:r>
      <w:r w:rsidRPr="008244B3">
        <w:rPr>
          <w:rFonts w:cs="Arial"/>
          <w:rtl/>
        </w:rPr>
        <w:t xml:space="preserve"> יש לו להשביעה על כך</w:t>
      </w:r>
      <w:r>
        <w:rPr>
          <w:rFonts w:cs="Arial" w:hint="cs"/>
          <w:rtl/>
        </w:rPr>
        <w:t>?</w:t>
      </w:r>
      <w:r w:rsidRPr="008244B3">
        <w:rPr>
          <w:rFonts w:cs="Arial"/>
          <w:rtl/>
        </w:rPr>
        <w:t xml:space="preserve">. </w:t>
      </w:r>
      <w:r>
        <w:rPr>
          <w:rFonts w:cs="Arial" w:hint="cs"/>
          <w:rtl/>
        </w:rPr>
        <w:t xml:space="preserve">    </w:t>
      </w:r>
      <w:r w:rsidRPr="008244B3">
        <w:rPr>
          <w:rFonts w:cs="Arial"/>
          <w:rtl/>
        </w:rPr>
        <w:t>תשובה</w:t>
      </w:r>
      <w:r>
        <w:rPr>
          <w:rFonts w:cs="Arial" w:hint="cs"/>
          <w:rtl/>
        </w:rPr>
        <w:t>-</w:t>
      </w:r>
      <w:r w:rsidRPr="008244B3">
        <w:rPr>
          <w:rFonts w:cs="Arial"/>
          <w:rtl/>
        </w:rPr>
        <w:t xml:space="preserve"> טענה זו שטוען דאתפשה צררי לכתובתה קודם גירושין אינה טענה</w:t>
      </w:r>
      <w:r>
        <w:rPr>
          <w:rFonts w:cs="Arial" w:hint="cs"/>
          <w:rtl/>
        </w:rPr>
        <w:t>,</w:t>
      </w:r>
      <w:r w:rsidRPr="008244B3">
        <w:rPr>
          <w:rFonts w:cs="Arial"/>
          <w:rtl/>
        </w:rPr>
        <w:t xml:space="preserve"> לפי שלא ניתנה כתובה לגבות מחיים</w:t>
      </w:r>
      <w:r>
        <w:rPr>
          <w:rFonts w:cs="Arial" w:hint="cs"/>
          <w:rtl/>
        </w:rPr>
        <w:t>.</w:t>
      </w:r>
      <w:r w:rsidRPr="008244B3">
        <w:rPr>
          <w:rFonts w:cs="Arial"/>
          <w:rtl/>
        </w:rPr>
        <w:t xml:space="preserve"> וכן אמר' הקובע זמן לחבירו וכו' ולואי שיפרע בזמנה</w:t>
      </w:r>
      <w:r>
        <w:rPr>
          <w:rFonts w:cs="Arial" w:hint="cs"/>
          <w:rtl/>
        </w:rPr>
        <w:t>.</w:t>
      </w:r>
      <w:r w:rsidRPr="008244B3">
        <w:rPr>
          <w:rFonts w:cs="Arial"/>
          <w:rtl/>
        </w:rPr>
        <w:t xml:space="preserve"> אלא נותן לה כתובתה ויחרים סתם מי שגבה ממנו בכתובה זו כלום שלא כדין שיודה</w:t>
      </w:r>
      <w:r>
        <w:rPr>
          <w:rFonts w:cs="Arial" w:hint="cs"/>
          <w:rtl/>
        </w:rPr>
        <w:t>.</w:t>
      </w:r>
      <w:r w:rsidRPr="008244B3">
        <w:rPr>
          <w:rFonts w:cs="Arial"/>
          <w:rtl/>
        </w:rPr>
        <w:t xml:space="preserve"> אבל אם טען עליה פרעתיך לאחר גירושין </w:t>
      </w:r>
      <w:r>
        <w:rPr>
          <w:rFonts w:cs="Arial" w:hint="cs"/>
          <w:rtl/>
        </w:rPr>
        <w:t xml:space="preserve">- </w:t>
      </w:r>
      <w:r w:rsidRPr="008244B3">
        <w:rPr>
          <w:rFonts w:cs="Arial"/>
          <w:rtl/>
        </w:rPr>
        <w:t>טענה יפה</w:t>
      </w:r>
      <w:r>
        <w:rPr>
          <w:rFonts w:cs="Arial" w:hint="cs"/>
          <w:rtl/>
        </w:rPr>
        <w:t>,</w:t>
      </w:r>
      <w:r w:rsidRPr="008244B3">
        <w:rPr>
          <w:rFonts w:cs="Arial"/>
          <w:rtl/>
        </w:rPr>
        <w:t xml:space="preserve"> שאפשר שפרעה</w:t>
      </w:r>
      <w:r>
        <w:rPr>
          <w:rFonts w:cs="Arial" w:hint="cs"/>
          <w:rtl/>
        </w:rPr>
        <w:t>,</w:t>
      </w:r>
      <w:r w:rsidRPr="008244B3">
        <w:rPr>
          <w:rFonts w:cs="Arial"/>
          <w:rtl/>
        </w:rPr>
        <w:t xml:space="preserve"> הילכך תשבע ותטול כדין מי שיש בידו שטר וטען חבירו שפרעו.</w:t>
      </w:r>
    </w:p>
    <w:p w14:paraId="339FAFA8" w14:textId="77777777" w:rsidR="002E5BAD" w:rsidRPr="00472FBB" w:rsidRDefault="002E5BAD" w:rsidP="002E5BAD">
      <w:pPr>
        <w:rPr>
          <w:rFonts w:cs="Arial"/>
          <w:u w:val="single"/>
        </w:rPr>
      </w:pPr>
      <w:r w:rsidRPr="00472FBB">
        <w:rPr>
          <w:rFonts w:cs="Arial" w:hint="cs"/>
          <w:u w:val="single"/>
          <w:rtl/>
        </w:rPr>
        <w:t xml:space="preserve">שליח המביא גיטה לאשה </w:t>
      </w:r>
      <w:r w:rsidRPr="00472FBB">
        <w:rPr>
          <w:rFonts w:cs="Arial"/>
          <w:u w:val="single"/>
          <w:rtl/>
        </w:rPr>
        <w:t>–</w:t>
      </w:r>
      <w:r w:rsidRPr="00472FBB">
        <w:rPr>
          <w:rFonts w:cs="Arial" w:hint="cs"/>
          <w:u w:val="single"/>
          <w:rtl/>
        </w:rPr>
        <w:t xml:space="preserve"> מתי גובה על פיו כתובה:</w:t>
      </w:r>
      <w:r>
        <w:rPr>
          <w:rFonts w:hint="cs"/>
          <w:rtl/>
        </w:rPr>
        <w:t xml:space="preserve"> </w:t>
      </w:r>
      <w:r w:rsidRPr="00516D26">
        <w:rPr>
          <w:rFonts w:hint="cs"/>
          <w:sz w:val="16"/>
          <w:szCs w:val="16"/>
          <w:rtl/>
        </w:rPr>
        <w:t>(דרכ"מ אות יח)</w:t>
      </w:r>
    </w:p>
    <w:p w14:paraId="10229CA5" w14:textId="77777777" w:rsidR="002E5BAD" w:rsidRPr="003D2914" w:rsidRDefault="002E5BAD" w:rsidP="00B75458">
      <w:pPr>
        <w:pStyle w:val="ab"/>
        <w:numPr>
          <w:ilvl w:val="0"/>
          <w:numId w:val="192"/>
        </w:numPr>
        <w:rPr>
          <w:rtl/>
        </w:rPr>
      </w:pPr>
      <w:r w:rsidRPr="00F02E86">
        <w:rPr>
          <w:rFonts w:cs="Arial"/>
          <w:rtl/>
        </w:rPr>
        <w:t xml:space="preserve">ר"ן </w:t>
      </w:r>
      <w:r w:rsidRPr="00516D26">
        <w:rPr>
          <w:rFonts w:cs="Arial" w:hint="cs"/>
          <w:sz w:val="16"/>
          <w:szCs w:val="16"/>
          <w:rtl/>
        </w:rPr>
        <w:t>(</w:t>
      </w:r>
      <w:r w:rsidRPr="00516D26">
        <w:rPr>
          <w:rFonts w:cs="Arial"/>
          <w:sz w:val="16"/>
          <w:szCs w:val="16"/>
          <w:rtl/>
        </w:rPr>
        <w:t>פ"ק דגיטין ג. ד"ה אלא)</w:t>
      </w:r>
      <w:r>
        <w:rPr>
          <w:rFonts w:cs="Arial" w:hint="cs"/>
          <w:rtl/>
        </w:rPr>
        <w:t>-</w:t>
      </w:r>
      <w:r w:rsidRPr="00F02E86">
        <w:rPr>
          <w:rFonts w:cs="Arial"/>
          <w:rtl/>
        </w:rPr>
        <w:t xml:space="preserve"> </w:t>
      </w:r>
      <w:r w:rsidRPr="00472FBB">
        <w:rPr>
          <w:rFonts w:cs="Arial"/>
          <w:rtl/>
        </w:rPr>
        <w:t xml:space="preserve">אם נשאת בגט כשר שהעיד שליח שבפניו נכתב ובפניו נחתם </w:t>
      </w:r>
      <w:r>
        <w:rPr>
          <w:rFonts w:cs="Arial" w:hint="cs"/>
          <w:rtl/>
        </w:rPr>
        <w:t xml:space="preserve">- </w:t>
      </w:r>
      <w:r w:rsidRPr="00472FBB">
        <w:rPr>
          <w:rFonts w:cs="Arial"/>
          <w:rtl/>
        </w:rPr>
        <w:t>נפרעת כתובתה מן הלקוחות</w:t>
      </w:r>
      <w:r>
        <w:rPr>
          <w:rFonts w:cs="Arial" w:hint="cs"/>
          <w:rtl/>
        </w:rPr>
        <w:t>,</w:t>
      </w:r>
      <w:r w:rsidRPr="00472FBB">
        <w:rPr>
          <w:rFonts w:cs="Arial"/>
          <w:rtl/>
        </w:rPr>
        <w:t xml:space="preserve"> דכיון דהימנו כבי תרי להתירה לינשא אף היא נפרעת מכתובה</w:t>
      </w:r>
      <w:r>
        <w:rPr>
          <w:rFonts w:cs="Arial" w:hint="cs"/>
          <w:rtl/>
        </w:rPr>
        <w:t>.</w:t>
      </w:r>
      <w:r w:rsidRPr="00472FBB">
        <w:rPr>
          <w:rFonts w:cs="Arial"/>
          <w:rtl/>
        </w:rPr>
        <w:t xml:space="preserve"> דמספר כתובתה נלמוד [כמו ביבמות קיז</w:t>
      </w:r>
      <w:r>
        <w:rPr>
          <w:rFonts w:cs="Arial" w:hint="cs"/>
          <w:rtl/>
        </w:rPr>
        <w:t>.</w:t>
      </w:r>
      <w:r w:rsidRPr="00472FBB">
        <w:rPr>
          <w:rFonts w:cs="Arial"/>
          <w:rtl/>
        </w:rPr>
        <w:t>] שכך כתב לה לכשתנשאי לאחר תטלי מה שכתוב ליכי</w:t>
      </w:r>
      <w:r>
        <w:rPr>
          <w:rFonts w:cs="Arial" w:hint="cs"/>
          <w:rtl/>
        </w:rPr>
        <w:t>.</w:t>
      </w:r>
      <w:r w:rsidRPr="00472FBB">
        <w:rPr>
          <w:rFonts w:cs="Arial"/>
          <w:rtl/>
        </w:rPr>
        <w:t xml:space="preserve"> אבל כל שלא אמר בפני נכתב ובפני נחתם </w:t>
      </w:r>
      <w:r>
        <w:rPr>
          <w:rFonts w:cs="Arial" w:hint="cs"/>
          <w:rtl/>
        </w:rPr>
        <w:t xml:space="preserve">- </w:t>
      </w:r>
      <w:r w:rsidRPr="00472FBB">
        <w:rPr>
          <w:rFonts w:cs="Arial"/>
          <w:rtl/>
        </w:rPr>
        <w:t>אינה גובה מן הלקוחות</w:t>
      </w:r>
      <w:r>
        <w:rPr>
          <w:rFonts w:cs="Arial" w:hint="cs"/>
          <w:rtl/>
        </w:rPr>
        <w:t>,</w:t>
      </w:r>
      <w:r w:rsidRPr="00472FBB">
        <w:rPr>
          <w:rFonts w:cs="Arial"/>
          <w:rtl/>
        </w:rPr>
        <w:t xml:space="preserve"> שהרי לא התירוה ב"ד לינשא אלא שאם נשאת אין מוציאין אותה אלא אם כן בא הבעל וערער</w:t>
      </w:r>
      <w:r>
        <w:rPr>
          <w:rFonts w:cs="Arial" w:hint="cs"/>
          <w:rtl/>
        </w:rPr>
        <w:t>.</w:t>
      </w:r>
      <w:r w:rsidRPr="00472FBB">
        <w:rPr>
          <w:rFonts w:cs="Arial"/>
          <w:rtl/>
        </w:rPr>
        <w:t xml:space="preserve"> ועל כה"ג לא קרינן בה לכשתנשאי לאחר תטלי מה שכתב ליכי</w:t>
      </w:r>
      <w:r>
        <w:rPr>
          <w:rFonts w:cs="Arial" w:hint="cs"/>
          <w:rtl/>
        </w:rPr>
        <w:t>,</w:t>
      </w:r>
      <w:r w:rsidRPr="00472FBB">
        <w:rPr>
          <w:rFonts w:cs="Arial"/>
          <w:rtl/>
        </w:rPr>
        <w:t xml:space="preserve"> כיון שבעלה הראשון יכול עדיין לערער עליה</w:t>
      </w:r>
      <w:r>
        <w:rPr>
          <w:rFonts w:cs="Arial" w:hint="cs"/>
          <w:rtl/>
        </w:rPr>
        <w:t>.</w:t>
      </w:r>
      <w:r w:rsidRPr="00472FBB">
        <w:rPr>
          <w:rFonts w:cs="Arial"/>
          <w:rtl/>
        </w:rPr>
        <w:t xml:space="preserve"> אבל בחוצה לארץ אי נמי בא"י אי אמר בפני נכתב ובפני נחתם שאין לחוש אח"כ לערעורו של בעל</w:t>
      </w:r>
      <w:r>
        <w:rPr>
          <w:rFonts w:cs="Arial" w:hint="cs"/>
          <w:rtl/>
        </w:rPr>
        <w:t xml:space="preserve"> -</w:t>
      </w:r>
      <w:r w:rsidRPr="00472FBB">
        <w:rPr>
          <w:rFonts w:cs="Arial"/>
          <w:rtl/>
        </w:rPr>
        <w:t xml:space="preserve"> קרינא בה לכשתנשאי לאחר</w:t>
      </w:r>
      <w:r>
        <w:rPr>
          <w:rFonts w:cs="Arial" w:hint="cs"/>
          <w:rtl/>
        </w:rPr>
        <w:t>.</w:t>
      </w:r>
      <w:r w:rsidRPr="00472FBB">
        <w:rPr>
          <w:rFonts w:cs="Arial"/>
          <w:rtl/>
        </w:rPr>
        <w:t xml:space="preserve"> והיינו דלא קתני גבי מביא גט בחו"ל אם יש עליו עוררים יתקיים בחותמיו משום ערעור דלקוחות</w:t>
      </w:r>
      <w:r>
        <w:rPr>
          <w:rFonts w:cs="Arial" w:hint="cs"/>
          <w:rtl/>
        </w:rPr>
        <w:t>.</w:t>
      </w:r>
      <w:r w:rsidRPr="00472FBB">
        <w:rPr>
          <w:rFonts w:cs="Arial"/>
          <w:rtl/>
        </w:rPr>
        <w:t xml:space="preserve"> ומיהו אפשר דה"מ לענין מנה ומאתים אבל לענין תוספת לא שאין מדרש כתובתה אלא לעיקר אבל לא לתוספת</w:t>
      </w:r>
      <w:r>
        <w:rPr>
          <w:rStyle w:val="a7"/>
          <w:rFonts w:cs="Arial"/>
          <w:rtl/>
        </w:rPr>
        <w:footnoteReference w:id="2442"/>
      </w:r>
      <w:r>
        <w:rPr>
          <w:rFonts w:cs="Arial" w:hint="cs"/>
          <w:rtl/>
        </w:rPr>
        <w:t>.</w:t>
      </w:r>
      <w:r w:rsidRPr="00F02E86">
        <w:rPr>
          <w:rFonts w:cs="Arial"/>
          <w:rtl/>
        </w:rPr>
        <w:t xml:space="preserve"> </w:t>
      </w:r>
    </w:p>
    <w:p w14:paraId="1AE02CE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274DEC" w14:textId="77777777" w:rsidR="002E5BAD" w:rsidRDefault="002E5BAD" w:rsidP="002E5BAD">
      <w:pPr>
        <w:rPr>
          <w:rtl/>
        </w:rPr>
      </w:pPr>
      <w:r>
        <w:rPr>
          <w:rFonts w:cs="Arial"/>
          <w:rtl/>
        </w:rPr>
        <w:t>הוציאה גט ואין עמה שטר כתובה, אם דרך אותו המקום שלא יכתבו כתובה, גובה עיקר כתובה בגט שבידה</w:t>
      </w:r>
      <w:r>
        <w:rPr>
          <w:rStyle w:val="a7"/>
          <w:rFonts w:cs="Arial"/>
          <w:rtl/>
        </w:rPr>
        <w:footnoteReference w:id="2443"/>
      </w:r>
      <w:r>
        <w:rPr>
          <w:rFonts w:cs="Arial"/>
          <w:rtl/>
        </w:rPr>
        <w:t xml:space="preserve">. ואם דרכן לכתוב כתובה, אפילו עיקר אין לה עד שתוציא שטר כתובה, ונשבע הבעל שבועת היסת על טענתה, ונפטר. </w:t>
      </w:r>
    </w:p>
    <w:p w14:paraId="6FE50C75" w14:textId="77777777" w:rsidR="002E5BAD" w:rsidRDefault="002E5BAD" w:rsidP="002E5BAD">
      <w:pPr>
        <w:rPr>
          <w:rtl/>
        </w:rPr>
      </w:pPr>
    </w:p>
    <w:p w14:paraId="411BC769" w14:textId="77777777" w:rsidR="002E5BAD" w:rsidRDefault="002E5BAD" w:rsidP="002E5BAD">
      <w:pPr>
        <w:pStyle w:val="2"/>
        <w:rPr>
          <w:rtl/>
        </w:rPr>
      </w:pPr>
      <w:r>
        <w:rPr>
          <w:rtl/>
        </w:rPr>
        <w:t>סעיף יג</w:t>
      </w:r>
      <w:r>
        <w:rPr>
          <w:rFonts w:hint="cs"/>
          <w:rtl/>
        </w:rPr>
        <w:t>: הוציאה שני גיטין ושתי כתובות.</w:t>
      </w:r>
    </w:p>
    <w:p w14:paraId="61BDD7FE" w14:textId="77777777" w:rsidR="002E5BAD" w:rsidRPr="000631CD" w:rsidRDefault="002E5BAD" w:rsidP="002E5BAD">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שני גיטין ושתי כתובות</w:t>
      </w:r>
      <w:r>
        <w:rPr>
          <w:rStyle w:val="a7"/>
          <w:rFonts w:cs="Arial"/>
          <w:rtl/>
        </w:rPr>
        <w:footnoteReference w:id="2444"/>
      </w:r>
      <w:r w:rsidRPr="000631CD">
        <w:rPr>
          <w:rFonts w:cs="Arial"/>
          <w:rtl/>
        </w:rPr>
        <w:t xml:space="preserve"> - גובה שתי כתובות</w:t>
      </w:r>
      <w:r>
        <w:rPr>
          <w:rStyle w:val="a7"/>
          <w:rFonts w:cs="Arial"/>
          <w:rtl/>
        </w:rPr>
        <w:footnoteReference w:id="2445"/>
      </w:r>
      <w:r>
        <w:rPr>
          <w:rFonts w:cs="Arial" w:hint="cs"/>
          <w:rtl/>
        </w:rPr>
        <w:t>.</w:t>
      </w:r>
    </w:p>
    <w:p w14:paraId="4B1404BD" w14:textId="77777777" w:rsidR="002E5BAD" w:rsidRPr="002D0AA5" w:rsidRDefault="002E5BAD" w:rsidP="002E5BAD">
      <w:pPr>
        <w:rPr>
          <w:u w:val="single"/>
          <w:rtl/>
        </w:rPr>
      </w:pPr>
      <w:r w:rsidRPr="002D0AA5">
        <w:rPr>
          <w:rFonts w:hint="cs"/>
          <w:u w:val="single"/>
          <w:rtl/>
        </w:rPr>
        <w:t>הוציאה שני גיטין ושתי כתובות:</w:t>
      </w:r>
    </w:p>
    <w:p w14:paraId="5A069BDA" w14:textId="77777777" w:rsidR="002E5BAD" w:rsidRPr="000631CD" w:rsidRDefault="002E5BAD" w:rsidP="00B75458">
      <w:pPr>
        <w:pStyle w:val="ab"/>
        <w:numPr>
          <w:ilvl w:val="0"/>
          <w:numId w:val="192"/>
        </w:numPr>
      </w:pPr>
      <w:r>
        <w:rPr>
          <w:rFonts w:cs="Arial" w:hint="cs"/>
          <w:rtl/>
        </w:rPr>
        <w:t xml:space="preserve">טור- </w:t>
      </w:r>
      <w:r w:rsidRPr="003D2914">
        <w:rPr>
          <w:rFonts w:cs="Arial"/>
          <w:rtl/>
        </w:rPr>
        <w:t>הוציאה ב' גיטין וב' כתובות</w:t>
      </w:r>
      <w:r>
        <w:rPr>
          <w:rFonts w:cs="Arial" w:hint="cs"/>
          <w:rtl/>
        </w:rPr>
        <w:t>,</w:t>
      </w:r>
      <w:r w:rsidRPr="003D2914">
        <w:rPr>
          <w:rFonts w:cs="Arial"/>
          <w:rtl/>
        </w:rPr>
        <w:t xml:space="preserve"> וזמן כתובה ראשונה קודם לגט הראשון</w:t>
      </w:r>
      <w:r>
        <w:rPr>
          <w:rFonts w:cs="Arial" w:hint="cs"/>
          <w:rtl/>
        </w:rPr>
        <w:t>,</w:t>
      </w:r>
      <w:r w:rsidRPr="003D2914">
        <w:rPr>
          <w:rFonts w:cs="Arial"/>
          <w:rtl/>
        </w:rPr>
        <w:t xml:space="preserve"> וזמן הב' קודם לגט הב' </w:t>
      </w:r>
      <w:r>
        <w:rPr>
          <w:rFonts w:cs="Arial" w:hint="cs"/>
          <w:rtl/>
        </w:rPr>
        <w:t xml:space="preserve">- </w:t>
      </w:r>
      <w:r w:rsidRPr="003D2914">
        <w:rPr>
          <w:rFonts w:cs="Arial"/>
          <w:rtl/>
        </w:rPr>
        <w:t>גובה שתיהן</w:t>
      </w:r>
      <w:r>
        <w:rPr>
          <w:rFonts w:cs="Arial" w:hint="cs"/>
          <w:rtl/>
        </w:rPr>
        <w:t>.</w:t>
      </w:r>
      <w:r w:rsidRPr="003D2914">
        <w:rPr>
          <w:rFonts w:cs="Arial"/>
          <w:rtl/>
        </w:rPr>
        <w:t xml:space="preserve"> </w:t>
      </w:r>
      <w:r w:rsidRPr="000631CD">
        <w:rPr>
          <w:rFonts w:hint="cs"/>
          <w:color w:val="E36C0A" w:themeColor="accent6" w:themeShade="BF"/>
          <w:rtl/>
        </w:rPr>
        <w:t>(וכ"פ בשו"ע)</w:t>
      </w:r>
    </w:p>
    <w:p w14:paraId="4A95E831" w14:textId="77777777" w:rsidR="002E5BAD" w:rsidRPr="0017375D" w:rsidRDefault="002E5BAD" w:rsidP="002E5BAD">
      <w:pPr>
        <w:rPr>
          <w:u w:val="single"/>
        </w:rPr>
      </w:pPr>
      <w:r w:rsidRPr="0017375D">
        <w:rPr>
          <w:rFonts w:hint="cs"/>
          <w:u w:val="single"/>
          <w:rtl/>
        </w:rPr>
        <w:t>שותפים בחצר, ואחד מהם גירש את אשתו והחזירה בלא כתובה חדשה, ואח"כ מת אותו אחד, ו</w:t>
      </w:r>
      <w:r>
        <w:rPr>
          <w:rFonts w:hint="cs"/>
          <w:u w:val="single"/>
          <w:rtl/>
        </w:rPr>
        <w:t>בא</w:t>
      </w:r>
      <w:r w:rsidRPr="0017375D">
        <w:rPr>
          <w:rFonts w:hint="cs"/>
          <w:u w:val="single"/>
          <w:rtl/>
        </w:rPr>
        <w:t>ה האשה לגבות:</w:t>
      </w:r>
    </w:p>
    <w:p w14:paraId="73F96C26" w14:textId="77777777" w:rsidR="002E5BAD" w:rsidRPr="003D2914" w:rsidRDefault="002E5BAD" w:rsidP="00B75458">
      <w:pPr>
        <w:pStyle w:val="ab"/>
        <w:numPr>
          <w:ilvl w:val="0"/>
          <w:numId w:val="192"/>
        </w:numPr>
        <w:rPr>
          <w:rtl/>
        </w:rPr>
      </w:pPr>
      <w:r w:rsidRPr="000631CD">
        <w:rPr>
          <w:rFonts w:cs="Arial"/>
          <w:rtl/>
        </w:rPr>
        <w:t>רשב"א</w:t>
      </w:r>
      <w:r>
        <w:rPr>
          <w:rFonts w:cs="Arial" w:hint="cs"/>
          <w:rtl/>
        </w:rPr>
        <w:t xml:space="preserve">- </w:t>
      </w:r>
      <w:r w:rsidRPr="000631CD">
        <w:rPr>
          <w:rFonts w:cs="Arial"/>
          <w:rtl/>
        </w:rPr>
        <w:t>שאלת</w:t>
      </w:r>
      <w:r>
        <w:rPr>
          <w:rFonts w:cs="Arial" w:hint="cs"/>
          <w:rtl/>
        </w:rPr>
        <w:t>,</w:t>
      </w:r>
      <w:r w:rsidRPr="000631CD">
        <w:rPr>
          <w:rFonts w:cs="Arial"/>
          <w:rtl/>
        </w:rPr>
        <w:t xml:space="preserve"> ראובן ושמעון קנו חצר</w:t>
      </w:r>
      <w:r>
        <w:rPr>
          <w:rFonts w:cs="Arial" w:hint="cs"/>
          <w:rtl/>
        </w:rPr>
        <w:t>.</w:t>
      </w:r>
      <w:r w:rsidRPr="000631CD">
        <w:rPr>
          <w:rFonts w:cs="Arial"/>
          <w:rtl/>
        </w:rPr>
        <w:t xml:space="preserve"> וראובן האמין את שמעון אחיו ומסר בידו שטר המכר</w:t>
      </w:r>
      <w:r>
        <w:rPr>
          <w:rFonts w:cs="Arial" w:hint="cs"/>
          <w:rtl/>
        </w:rPr>
        <w:t>.</w:t>
      </w:r>
      <w:r w:rsidRPr="000631CD">
        <w:rPr>
          <w:rFonts w:cs="Arial"/>
          <w:rtl/>
        </w:rPr>
        <w:t xml:space="preserve"> ואחר זמן גירש ראובן את אשתו</w:t>
      </w:r>
      <w:r>
        <w:rPr>
          <w:rFonts w:cs="Arial" w:hint="cs"/>
          <w:rtl/>
        </w:rPr>
        <w:t>,</w:t>
      </w:r>
      <w:r w:rsidRPr="000631CD">
        <w:rPr>
          <w:rFonts w:cs="Arial"/>
          <w:rtl/>
        </w:rPr>
        <w:t xml:space="preserve"> ואח"כ החזירה בלא קידושין ובלא כתובה חדשה</w:t>
      </w:r>
      <w:r>
        <w:rPr>
          <w:rFonts w:cs="Arial" w:hint="cs"/>
          <w:rtl/>
        </w:rPr>
        <w:t>,</w:t>
      </w:r>
      <w:r w:rsidRPr="000631CD">
        <w:rPr>
          <w:rFonts w:cs="Arial"/>
          <w:rtl/>
        </w:rPr>
        <w:t xml:space="preserve"> ואח"כ מת ראובן</w:t>
      </w:r>
      <w:r>
        <w:rPr>
          <w:rFonts w:cs="Arial" w:hint="cs"/>
          <w:rtl/>
        </w:rPr>
        <w:t>.</w:t>
      </w:r>
      <w:r w:rsidRPr="000631CD">
        <w:rPr>
          <w:rFonts w:cs="Arial"/>
          <w:rtl/>
        </w:rPr>
        <w:t xml:space="preserve"> ועמדה אשתו זאת ובאה ליפרע כתובתה מחצי החצר שהיה לבעלה</w:t>
      </w:r>
      <w:r>
        <w:rPr>
          <w:rFonts w:cs="Arial" w:hint="cs"/>
          <w:rtl/>
        </w:rPr>
        <w:t>.</w:t>
      </w:r>
      <w:r w:rsidRPr="000631CD">
        <w:rPr>
          <w:rFonts w:cs="Arial"/>
          <w:rtl/>
        </w:rPr>
        <w:t xml:space="preserve"> והשיב שמעון שכבר גירשה בעלה</w:t>
      </w:r>
      <w:r>
        <w:rPr>
          <w:rFonts w:cs="Arial" w:hint="cs"/>
          <w:rtl/>
        </w:rPr>
        <w:t>,</w:t>
      </w:r>
      <w:r w:rsidRPr="000631CD">
        <w:rPr>
          <w:rFonts w:cs="Arial"/>
          <w:rtl/>
        </w:rPr>
        <w:t xml:space="preserve"> ומעת שגירשה נסתלק שעבודה מחצר זו</w:t>
      </w:r>
      <w:r>
        <w:rPr>
          <w:rFonts w:cs="Arial" w:hint="cs"/>
          <w:rtl/>
        </w:rPr>
        <w:t>.</w:t>
      </w:r>
      <w:r w:rsidRPr="000631CD">
        <w:rPr>
          <w:rFonts w:cs="Arial"/>
          <w:rtl/>
        </w:rPr>
        <w:t xml:space="preserve"> וכיחשה האשה שלא גירשה בעלה</w:t>
      </w:r>
      <w:r>
        <w:rPr>
          <w:rFonts w:cs="Arial" w:hint="cs"/>
          <w:rtl/>
        </w:rPr>
        <w:t>,</w:t>
      </w:r>
      <w:r w:rsidRPr="000631CD">
        <w:rPr>
          <w:rFonts w:cs="Arial"/>
          <w:rtl/>
        </w:rPr>
        <w:t xml:space="preserve"> וכתובתה קיימת</w:t>
      </w:r>
      <w:r>
        <w:rPr>
          <w:rFonts w:cs="Arial" w:hint="cs"/>
          <w:rtl/>
        </w:rPr>
        <w:t>.</w:t>
      </w:r>
      <w:r w:rsidRPr="000631CD">
        <w:rPr>
          <w:rFonts w:cs="Arial"/>
          <w:rtl/>
        </w:rPr>
        <w:t xml:space="preserve"> ועוד טען שמעון שלא </w:t>
      </w:r>
      <w:r w:rsidRPr="000631CD">
        <w:rPr>
          <w:rFonts w:cs="Arial"/>
          <w:rtl/>
        </w:rPr>
        <w:lastRenderedPageBreak/>
        <w:t>נשתתף עם אחיו באותו חצר</w:t>
      </w:r>
      <w:r>
        <w:rPr>
          <w:rFonts w:cs="Arial" w:hint="cs"/>
          <w:rtl/>
        </w:rPr>
        <w:t>,</w:t>
      </w:r>
      <w:r w:rsidRPr="000631CD">
        <w:rPr>
          <w:rFonts w:cs="Arial"/>
          <w:rtl/>
        </w:rPr>
        <w:t xml:space="preserve"> ושהוא מוחזק בה זה ט"ו שנה</w:t>
      </w:r>
      <w:r>
        <w:rPr>
          <w:rFonts w:cs="Arial" w:hint="cs"/>
          <w:rtl/>
        </w:rPr>
        <w:t xml:space="preserve">.     תשובה- </w:t>
      </w:r>
      <w:r w:rsidRPr="000631CD">
        <w:rPr>
          <w:rFonts w:cs="Arial"/>
          <w:rtl/>
        </w:rPr>
        <w:t>אע</w:t>
      </w:r>
      <w:r>
        <w:rPr>
          <w:rFonts w:cs="Arial" w:hint="cs"/>
          <w:rtl/>
        </w:rPr>
        <w:t>"</w:t>
      </w:r>
      <w:r w:rsidRPr="000631CD">
        <w:rPr>
          <w:rFonts w:cs="Arial"/>
          <w:rtl/>
        </w:rPr>
        <w:t xml:space="preserve">פ שנתגרשה האשה וחזרה אצלו בין בקידושין וכתובה שנייה בין שחזרה אצלו בין בנישואין בין בזנות </w:t>
      </w:r>
      <w:r>
        <w:rPr>
          <w:rFonts w:cs="Arial" w:hint="cs"/>
          <w:rtl/>
        </w:rPr>
        <w:t xml:space="preserve">- </w:t>
      </w:r>
      <w:r w:rsidRPr="000631CD">
        <w:rPr>
          <w:rFonts w:cs="Arial"/>
          <w:rtl/>
        </w:rPr>
        <w:t>לא אבדה כתובתה הראשונה</w:t>
      </w:r>
      <w:r>
        <w:rPr>
          <w:rFonts w:cs="Arial" w:hint="cs"/>
          <w:rtl/>
        </w:rPr>
        <w:t>,</w:t>
      </w:r>
      <w:r w:rsidRPr="000631CD">
        <w:rPr>
          <w:rFonts w:cs="Arial"/>
          <w:rtl/>
        </w:rPr>
        <w:t xml:space="preserve"> ועדיין שעבוד כתובתה הראשונה קיים כל זמן ששטר כתובתה יוצא מתחת ידה</w:t>
      </w:r>
      <w:r>
        <w:rPr>
          <w:rFonts w:cs="Arial" w:hint="cs"/>
          <w:rtl/>
        </w:rPr>
        <w:t>.</w:t>
      </w:r>
      <w:r w:rsidRPr="000631CD">
        <w:rPr>
          <w:rFonts w:cs="Arial"/>
          <w:rtl/>
        </w:rPr>
        <w:t xml:space="preserve"> ואע</w:t>
      </w:r>
      <w:r>
        <w:rPr>
          <w:rFonts w:cs="Arial" w:hint="cs"/>
          <w:rtl/>
        </w:rPr>
        <w:t>"</w:t>
      </w:r>
      <w:r w:rsidRPr="000631CD">
        <w:rPr>
          <w:rFonts w:cs="Arial"/>
          <w:rtl/>
        </w:rPr>
        <w:t>פ שהחזירה בין שחידש לה כתובה אחרת בין שלא חידש לה</w:t>
      </w:r>
      <w:r>
        <w:rPr>
          <w:rFonts w:cs="Arial" w:hint="cs"/>
          <w:rtl/>
        </w:rPr>
        <w:t>.</w:t>
      </w:r>
      <w:r w:rsidRPr="000631CD">
        <w:rPr>
          <w:rFonts w:cs="Arial"/>
          <w:rtl/>
        </w:rPr>
        <w:t xml:space="preserve"> ואם חידש לה כתובה אחרת </w:t>
      </w:r>
      <w:r>
        <w:rPr>
          <w:rFonts w:cs="Arial" w:hint="cs"/>
          <w:rtl/>
        </w:rPr>
        <w:t xml:space="preserve">- </w:t>
      </w:r>
      <w:r w:rsidRPr="000631CD">
        <w:rPr>
          <w:rFonts w:cs="Arial"/>
          <w:rtl/>
        </w:rPr>
        <w:t>היתה גובה ב' הכתובות וכמו ששנינו בסוף פרק הכותב (פט:) ת"ר גט וכתובה ומיתה וכו' שהמגרש את אשתו והחזירה</w:t>
      </w:r>
      <w:r>
        <w:rPr>
          <w:rFonts w:cs="Arial" w:hint="cs"/>
          <w:rtl/>
        </w:rPr>
        <w:t>,</w:t>
      </w:r>
      <w:r w:rsidRPr="000631CD">
        <w:rPr>
          <w:rFonts w:cs="Arial"/>
          <w:rtl/>
        </w:rPr>
        <w:t xml:space="preserve"> על מנת כתובתה הראשונה החזירה</w:t>
      </w:r>
      <w:r>
        <w:rPr>
          <w:rFonts w:cs="Arial" w:hint="cs"/>
          <w:rtl/>
        </w:rPr>
        <w:t>.</w:t>
      </w:r>
      <w:r w:rsidRPr="000631CD">
        <w:rPr>
          <w:rFonts w:cs="Arial"/>
          <w:rtl/>
        </w:rPr>
        <w:t xml:space="preserve"> והני מילי כשהחזירה סתם ולא חידש לה כתובתה</w:t>
      </w:r>
      <w:r>
        <w:rPr>
          <w:rFonts w:cs="Arial" w:hint="cs"/>
          <w:rtl/>
        </w:rPr>
        <w:t>,</w:t>
      </w:r>
      <w:r w:rsidRPr="000631CD">
        <w:rPr>
          <w:rFonts w:cs="Arial"/>
          <w:rtl/>
        </w:rPr>
        <w:t xml:space="preserve"> אבל אם כתב לה כתובה אחרת גובה שתיהן וכדקתני התם במתניתין ב' גיטין וב' כתובות</w:t>
      </w:r>
      <w:r>
        <w:rPr>
          <w:rFonts w:cs="Arial" w:hint="cs"/>
          <w:rtl/>
        </w:rPr>
        <w:t>.</w:t>
      </w:r>
      <w:r w:rsidRPr="000631CD">
        <w:rPr>
          <w:rFonts w:cs="Arial"/>
          <w:rtl/>
        </w:rPr>
        <w:t xml:space="preserve"> ולפיכך אם החצר משותפת בין ב' האחין</w:t>
      </w:r>
      <w:r>
        <w:rPr>
          <w:rFonts w:cs="Arial" w:hint="cs"/>
          <w:rtl/>
        </w:rPr>
        <w:t>,</w:t>
      </w:r>
      <w:r w:rsidRPr="000631CD">
        <w:rPr>
          <w:rFonts w:cs="Arial"/>
          <w:rtl/>
        </w:rPr>
        <w:t xml:space="preserve"> והיתה כתובתה של זו קודמת </w:t>
      </w:r>
      <w:r>
        <w:rPr>
          <w:rFonts w:cs="Arial" w:hint="cs"/>
          <w:rtl/>
        </w:rPr>
        <w:t xml:space="preserve">- </w:t>
      </w:r>
      <w:r w:rsidRPr="000631CD">
        <w:rPr>
          <w:rFonts w:cs="Arial"/>
          <w:rtl/>
        </w:rPr>
        <w:t>גובה היא כתובתה מהחצר</w:t>
      </w:r>
      <w:r>
        <w:rPr>
          <w:rFonts w:cs="Arial" w:hint="cs"/>
          <w:rtl/>
        </w:rPr>
        <w:t>.</w:t>
      </w:r>
      <w:r w:rsidRPr="000631CD">
        <w:rPr>
          <w:rFonts w:cs="Arial"/>
          <w:rtl/>
        </w:rPr>
        <w:t xml:space="preserve"> ואפילו היתה כתובה מאוחרת נמי גובה ממנה</w:t>
      </w:r>
      <w:r>
        <w:rPr>
          <w:rFonts w:cs="Arial" w:hint="cs"/>
          <w:rtl/>
        </w:rPr>
        <w:t>,</w:t>
      </w:r>
      <w:r w:rsidRPr="000631CD">
        <w:rPr>
          <w:rFonts w:cs="Arial"/>
          <w:rtl/>
        </w:rPr>
        <w:t xml:space="preserve"> ואע</w:t>
      </w:r>
      <w:r>
        <w:rPr>
          <w:rFonts w:cs="Arial" w:hint="cs"/>
          <w:rtl/>
        </w:rPr>
        <w:t>"</w:t>
      </w:r>
      <w:r w:rsidRPr="000631CD">
        <w:rPr>
          <w:rFonts w:cs="Arial"/>
          <w:rtl/>
        </w:rPr>
        <w:t>פ שחזר וטען שהוא חזר ולקחה מאחיו עד שלא כתב לה כתובה זו והחזיק בה ט"ו שנה</w:t>
      </w:r>
      <w:r>
        <w:rPr>
          <w:rFonts w:cs="Arial" w:hint="cs"/>
          <w:rtl/>
        </w:rPr>
        <w:t>.</w:t>
      </w:r>
      <w:r w:rsidRPr="000631CD">
        <w:rPr>
          <w:rFonts w:cs="Arial"/>
          <w:rtl/>
        </w:rPr>
        <w:t xml:space="preserve"> לפי שמכיון שטען בבית דין שלא היה לאחיו בה שותפות</w:t>
      </w:r>
      <w:r>
        <w:rPr>
          <w:rFonts w:cs="Arial" w:hint="cs"/>
          <w:rtl/>
        </w:rPr>
        <w:t>,</w:t>
      </w:r>
      <w:r w:rsidRPr="000631CD">
        <w:rPr>
          <w:rFonts w:cs="Arial"/>
          <w:rtl/>
        </w:rPr>
        <w:t xml:space="preserve"> כבר הודה שלא מכר לו אחיו חלקו</w:t>
      </w:r>
      <w:r>
        <w:rPr>
          <w:rFonts w:cs="Arial" w:hint="cs"/>
          <w:rtl/>
        </w:rPr>
        <w:t>,</w:t>
      </w:r>
      <w:r w:rsidRPr="000631CD">
        <w:rPr>
          <w:rFonts w:cs="Arial"/>
          <w:rtl/>
        </w:rPr>
        <w:t xml:space="preserve"> שכל שלא היה לאחיו חלק בו לא קנה ממנו</w:t>
      </w:r>
      <w:r>
        <w:rPr>
          <w:rFonts w:cs="Arial" w:hint="cs"/>
          <w:rtl/>
        </w:rPr>
        <w:t>.</w:t>
      </w:r>
      <w:r w:rsidRPr="000631CD">
        <w:rPr>
          <w:rFonts w:cs="Arial"/>
          <w:rtl/>
        </w:rPr>
        <w:t xml:space="preserve"> דומה למה שאמרו (כתובות פח.) כל האומר לא לויתי כאומר לא פרעתי דמי</w:t>
      </w:r>
      <w:r>
        <w:rPr>
          <w:rFonts w:cs="Arial" w:hint="cs"/>
          <w:rtl/>
        </w:rPr>
        <w:t>.</w:t>
      </w:r>
      <w:r w:rsidRPr="000631CD">
        <w:rPr>
          <w:rFonts w:cs="Arial"/>
          <w:rtl/>
        </w:rPr>
        <w:t xml:space="preserve"> ולפיכך כל שנודע שהיה לאחיו חלק בחצר אשה זו גובה ממנה</w:t>
      </w:r>
      <w:r>
        <w:rPr>
          <w:rFonts w:cs="Arial" w:hint="cs"/>
          <w:rtl/>
        </w:rPr>
        <w:t>.</w:t>
      </w:r>
    </w:p>
    <w:p w14:paraId="42B6F18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5CAE77" w14:textId="77777777" w:rsidR="002E5BAD" w:rsidRDefault="002E5BAD" w:rsidP="002E5BAD">
      <w:pPr>
        <w:rPr>
          <w:rFonts w:cs="Arial"/>
          <w:rtl/>
        </w:rPr>
      </w:pPr>
      <w:r>
        <w:rPr>
          <w:rFonts w:cs="Arial"/>
          <w:rtl/>
        </w:rPr>
        <w:t xml:space="preserve">הוציאה ב' גיטין וב' כתובות, וזמן כתובה ראשונה קודם לגט הראשון, וזמן השניה קודם לגט השני, גובה ב' כתובות. </w:t>
      </w:r>
    </w:p>
    <w:p w14:paraId="219E170D" w14:textId="77777777" w:rsidR="002E5BAD" w:rsidRDefault="002E5BAD" w:rsidP="002E5BAD">
      <w:pPr>
        <w:rPr>
          <w:rtl/>
        </w:rPr>
      </w:pPr>
    </w:p>
    <w:p w14:paraId="48E6FF1A" w14:textId="77777777" w:rsidR="002E5BAD" w:rsidRDefault="002E5BAD" w:rsidP="002E5BAD">
      <w:pPr>
        <w:pStyle w:val="2"/>
        <w:rPr>
          <w:rtl/>
        </w:rPr>
      </w:pPr>
      <w:r>
        <w:rPr>
          <w:rtl/>
        </w:rPr>
        <w:t>סעיף יד</w:t>
      </w:r>
      <w:r>
        <w:rPr>
          <w:rFonts w:hint="cs"/>
          <w:rtl/>
        </w:rPr>
        <w:t>: הוציאה שתי כתובות וגט אחד.</w:t>
      </w:r>
    </w:p>
    <w:p w14:paraId="60D556D2" w14:textId="77777777" w:rsidR="002E5BAD" w:rsidRDefault="002E5BAD" w:rsidP="002E5BAD">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שתי כתובות וגט אחד</w:t>
      </w:r>
      <w:r>
        <w:rPr>
          <w:rFonts w:cs="Arial" w:hint="cs"/>
          <w:rtl/>
        </w:rPr>
        <w:t>...</w:t>
      </w:r>
      <w:r w:rsidRPr="000631CD">
        <w:rPr>
          <w:rFonts w:cs="Arial"/>
          <w:rtl/>
        </w:rPr>
        <w:t xml:space="preserve"> - אינה גובה אלא כתובה אחת</w:t>
      </w:r>
      <w:r>
        <w:rPr>
          <w:rFonts w:cs="Arial" w:hint="cs"/>
          <w:rtl/>
        </w:rPr>
        <w:t>...</w:t>
      </w:r>
      <w:r>
        <w:rPr>
          <w:rFonts w:hint="cs"/>
          <w:rtl/>
        </w:rPr>
        <w:t xml:space="preserve">     </w:t>
      </w:r>
      <w:r w:rsidRPr="005854AF">
        <w:rPr>
          <w:rtl/>
        </w:rPr>
        <w:t xml:space="preserve"> </w:t>
      </w:r>
      <w:r w:rsidRPr="005854AF">
        <w:rPr>
          <w:rFonts w:cs="Arial"/>
          <w:u w:val="double"/>
          <w:rtl/>
        </w:rPr>
        <w:t>גמ'</w:t>
      </w:r>
      <w:r>
        <w:rPr>
          <w:rFonts w:cs="Arial" w:hint="cs"/>
          <w:rtl/>
        </w:rPr>
        <w:t>:</w:t>
      </w:r>
      <w:r w:rsidRPr="005854AF">
        <w:rPr>
          <w:rFonts w:cs="Arial"/>
          <w:rtl/>
        </w:rPr>
        <w:t xml:space="preserve"> אי בעיא בהאי גביא, אי בעיא בהאי גביא</w:t>
      </w:r>
      <w:r>
        <w:rPr>
          <w:rStyle w:val="a7"/>
          <w:rFonts w:cs="Arial"/>
          <w:rtl/>
        </w:rPr>
        <w:footnoteReference w:id="2446"/>
      </w:r>
      <w:r>
        <w:rPr>
          <w:rFonts w:cs="Arial" w:hint="cs"/>
          <w:rtl/>
        </w:rPr>
        <w:t>?</w:t>
      </w:r>
      <w:r w:rsidRPr="005854AF">
        <w:rPr>
          <w:rFonts w:cs="Arial"/>
          <w:rtl/>
        </w:rPr>
        <w:t xml:space="preserve"> לימא, תיהוי תיובתא דרב נחמן אמר שמואל, </w:t>
      </w:r>
      <w:r w:rsidRPr="005854AF">
        <w:rPr>
          <w:rFonts w:cs="Arial"/>
          <w:u w:val="single"/>
          <w:rtl/>
        </w:rPr>
        <w:t>דאמר ר"נ אמר שמואל</w:t>
      </w:r>
      <w:r w:rsidRPr="005854AF">
        <w:rPr>
          <w:rFonts w:cs="Arial"/>
          <w:rtl/>
        </w:rPr>
        <w:t>: שני שטרות היוצאין בזה אחר זה</w:t>
      </w:r>
      <w:r>
        <w:rPr>
          <w:rStyle w:val="a7"/>
          <w:rFonts w:cs="Arial"/>
          <w:rtl/>
        </w:rPr>
        <w:footnoteReference w:id="2447"/>
      </w:r>
      <w:r w:rsidRPr="005854AF">
        <w:rPr>
          <w:rFonts w:cs="Arial"/>
          <w:rtl/>
        </w:rPr>
        <w:t xml:space="preserve"> - ביטל שני את הראשון</w:t>
      </w:r>
      <w:r>
        <w:rPr>
          <w:rStyle w:val="a7"/>
          <w:rFonts w:cs="Arial"/>
          <w:rtl/>
        </w:rPr>
        <w:footnoteReference w:id="2448"/>
      </w:r>
      <w:r w:rsidRPr="005854AF">
        <w:rPr>
          <w:rFonts w:cs="Arial"/>
          <w:rtl/>
        </w:rPr>
        <w:t xml:space="preserve">! לאו אתמר עלה, </w:t>
      </w:r>
      <w:r w:rsidRPr="005854AF">
        <w:rPr>
          <w:rFonts w:cs="Arial"/>
          <w:u w:val="single"/>
          <w:rtl/>
        </w:rPr>
        <w:t>אמר רב פפא</w:t>
      </w:r>
      <w:r w:rsidRPr="005854AF">
        <w:rPr>
          <w:rFonts w:cs="Arial"/>
          <w:rtl/>
        </w:rPr>
        <w:t>: ומודה רב נחמן, דאי אוסיף ביה דיקלא - לתוספת כתביה</w:t>
      </w:r>
      <w:r>
        <w:rPr>
          <w:rStyle w:val="a7"/>
          <w:rFonts w:cs="Arial"/>
          <w:rtl/>
        </w:rPr>
        <w:footnoteReference w:id="2449"/>
      </w:r>
      <w:r w:rsidRPr="005854AF">
        <w:rPr>
          <w:rFonts w:cs="Arial"/>
          <w:rtl/>
        </w:rPr>
        <w:t>? הכא נמי בדאוסיף לה.</w:t>
      </w:r>
    </w:p>
    <w:p w14:paraId="73708FFA" w14:textId="77777777" w:rsidR="002E5BAD" w:rsidRPr="00E07240" w:rsidRDefault="002E5BAD" w:rsidP="002E5BAD">
      <w:pPr>
        <w:rPr>
          <w:rFonts w:cs="Arial"/>
          <w:rtl/>
        </w:rPr>
      </w:pPr>
      <w:r w:rsidRPr="008074C4">
        <w:rPr>
          <w:rFonts w:cs="Arial" w:hint="cs"/>
          <w:b/>
          <w:bCs/>
          <w:rtl/>
        </w:rPr>
        <w:t xml:space="preserve">כתובות </w:t>
      </w:r>
      <w:r w:rsidRPr="008074C4">
        <w:rPr>
          <w:rFonts w:cs="Arial" w:hint="cs"/>
          <w:b/>
          <w:bCs/>
          <w:sz w:val="16"/>
          <w:szCs w:val="16"/>
          <w:rtl/>
        </w:rPr>
        <w:t>(</w:t>
      </w:r>
      <w:r w:rsidRPr="008074C4">
        <w:rPr>
          <w:rFonts w:cs="Arial"/>
          <w:b/>
          <w:bCs/>
          <w:sz w:val="16"/>
          <w:szCs w:val="16"/>
          <w:rtl/>
        </w:rPr>
        <w:t>פ</w:t>
      </w:r>
      <w:r w:rsidRPr="008074C4">
        <w:rPr>
          <w:rFonts w:cs="Arial" w:hint="cs"/>
          <w:b/>
          <w:bCs/>
          <w:sz w:val="16"/>
          <w:szCs w:val="16"/>
          <w:rtl/>
        </w:rPr>
        <w:t>'</w:t>
      </w:r>
      <w:r w:rsidRPr="008074C4">
        <w:rPr>
          <w:rFonts w:cs="Arial"/>
          <w:b/>
          <w:bCs/>
          <w:sz w:val="16"/>
          <w:szCs w:val="16"/>
          <w:rtl/>
        </w:rPr>
        <w:t xml:space="preserve"> נערה שנתפתתה</w:t>
      </w:r>
      <w:r w:rsidRPr="008074C4">
        <w:rPr>
          <w:rFonts w:cs="Arial" w:hint="cs"/>
          <w:b/>
          <w:bCs/>
          <w:sz w:val="16"/>
          <w:szCs w:val="16"/>
          <w:rtl/>
        </w:rPr>
        <w:t>)</w:t>
      </w:r>
      <w:r w:rsidRPr="008074C4">
        <w:rPr>
          <w:rFonts w:cs="Arial"/>
          <w:b/>
          <w:bCs/>
          <w:rtl/>
        </w:rPr>
        <w:t xml:space="preserve"> </w:t>
      </w:r>
      <w:r>
        <w:rPr>
          <w:rFonts w:cs="Arial" w:hint="cs"/>
          <w:b/>
          <w:bCs/>
          <w:rtl/>
        </w:rPr>
        <w:t>מג</w:t>
      </w:r>
      <w:r w:rsidRPr="008074C4">
        <w:rPr>
          <w:rFonts w:cs="Arial" w:hint="cs"/>
          <w:b/>
          <w:bCs/>
          <w:rtl/>
        </w:rPr>
        <w:t xml:space="preserve"> ע"</w:t>
      </w:r>
      <w:r>
        <w:rPr>
          <w:rFonts w:cs="Arial" w:hint="cs"/>
          <w:b/>
          <w:bCs/>
          <w:rtl/>
        </w:rPr>
        <w:t>ב</w:t>
      </w:r>
      <w:r w:rsidRPr="008074C4">
        <w:rPr>
          <w:rFonts w:cs="Arial"/>
          <w:b/>
          <w:bCs/>
          <w:rtl/>
        </w:rPr>
        <w:t>:</w:t>
      </w:r>
      <w:r w:rsidRPr="008074C4">
        <w:rPr>
          <w:rFonts w:cs="Arial"/>
          <w:rtl/>
        </w:rPr>
        <w:t xml:space="preserve"> </w:t>
      </w:r>
      <w:r w:rsidRPr="00E07240">
        <w:rPr>
          <w:rFonts w:cs="Arial"/>
          <w:u w:val="double"/>
          <w:rtl/>
        </w:rPr>
        <w:t>מתני'</w:t>
      </w:r>
      <w:r>
        <w:rPr>
          <w:rFonts w:cs="Arial" w:hint="cs"/>
          <w:rtl/>
        </w:rPr>
        <w:t>:</w:t>
      </w:r>
      <w:r w:rsidRPr="00E07240">
        <w:rPr>
          <w:rFonts w:cs="Arial"/>
          <w:rtl/>
        </w:rPr>
        <w:t xml:space="preserve"> המארס את בתו וגרשה, אירסה ונתארמלה - כתובתה שלו</w:t>
      </w:r>
      <w:r>
        <w:rPr>
          <w:rStyle w:val="a7"/>
          <w:rFonts w:cs="Arial"/>
          <w:rtl/>
        </w:rPr>
        <w:footnoteReference w:id="2450"/>
      </w:r>
      <w:r>
        <w:rPr>
          <w:rFonts w:cs="Arial" w:hint="cs"/>
          <w:rtl/>
        </w:rPr>
        <w:t>.</w:t>
      </w:r>
      <w:r w:rsidRPr="00E07240">
        <w:rPr>
          <w:rFonts w:cs="Arial"/>
          <w:rtl/>
        </w:rPr>
        <w:t xml:space="preserve"> השיאה וגרשה, השיאה ונתארמלה - כתובתה שלה</w:t>
      </w:r>
      <w:r>
        <w:rPr>
          <w:rStyle w:val="a7"/>
          <w:rFonts w:cs="Arial"/>
          <w:rtl/>
        </w:rPr>
        <w:footnoteReference w:id="2451"/>
      </w:r>
      <w:r>
        <w:rPr>
          <w:rFonts w:cs="Arial" w:hint="cs"/>
          <w:rtl/>
        </w:rPr>
        <w:t>.</w:t>
      </w:r>
      <w:r w:rsidRPr="00E07240">
        <w:rPr>
          <w:rFonts w:cs="Arial"/>
          <w:rtl/>
        </w:rPr>
        <w:t xml:space="preserve"> </w:t>
      </w:r>
      <w:r w:rsidRPr="00E07240">
        <w:rPr>
          <w:rFonts w:cs="Arial"/>
          <w:u w:val="single"/>
          <w:rtl/>
        </w:rPr>
        <w:t>ר' יהודה אומר</w:t>
      </w:r>
      <w:r w:rsidRPr="00E07240">
        <w:rPr>
          <w:rFonts w:cs="Arial"/>
          <w:rtl/>
        </w:rPr>
        <w:t>: הראשונה של אב</w:t>
      </w:r>
      <w:r>
        <w:rPr>
          <w:rFonts w:cs="Arial" w:hint="cs"/>
          <w:rtl/>
        </w:rPr>
        <w:t>.</w:t>
      </w:r>
      <w:r w:rsidRPr="00E07240">
        <w:rPr>
          <w:rFonts w:cs="Arial"/>
          <w:rtl/>
        </w:rPr>
        <w:t xml:space="preserve"> אמרו לו: (אם) משהשיאה אין לאביה רשות בה. </w:t>
      </w:r>
      <w:r>
        <w:rPr>
          <w:rFonts w:cs="Arial" w:hint="cs"/>
          <w:rtl/>
        </w:rPr>
        <w:t xml:space="preserve">       </w:t>
      </w:r>
      <w:r w:rsidRPr="00E07240">
        <w:rPr>
          <w:rFonts w:cs="Arial"/>
          <w:u w:val="double"/>
          <w:rtl/>
        </w:rPr>
        <w:t>גמ'</w:t>
      </w:r>
      <w:r>
        <w:rPr>
          <w:rFonts w:cs="Arial" w:hint="cs"/>
          <w:rtl/>
        </w:rPr>
        <w:t>:</w:t>
      </w:r>
      <w:r w:rsidRPr="00E07240">
        <w:rPr>
          <w:rFonts w:cs="Arial"/>
          <w:rtl/>
        </w:rPr>
        <w:t xml:space="preserve"> רבי יהודה אומר: הראשונה של אב. מ"ט דרבי יהודה?</w:t>
      </w:r>
      <w:r>
        <w:rPr>
          <w:rFonts w:cs="Arial" w:hint="cs"/>
          <w:rtl/>
        </w:rPr>
        <w:t>...</w:t>
      </w:r>
      <w:r w:rsidRPr="00E07240">
        <w:rPr>
          <w:rFonts w:cs="Arial"/>
          <w:rtl/>
        </w:rPr>
        <w:t xml:space="preserve"> </w:t>
      </w:r>
      <w:r w:rsidRPr="00E07240">
        <w:rPr>
          <w:rFonts w:cs="Arial"/>
          <w:u w:val="single"/>
          <w:rtl/>
        </w:rPr>
        <w:t>רבה ורב יוסף דאמרי תרוייהו</w:t>
      </w:r>
      <w:r w:rsidRPr="00E07240">
        <w:rPr>
          <w:rFonts w:cs="Arial"/>
          <w:rtl/>
        </w:rPr>
        <w:t>: הואיל וברשותו נכתבין</w:t>
      </w:r>
      <w:r>
        <w:rPr>
          <w:rStyle w:val="a7"/>
          <w:rFonts w:cs="Arial"/>
          <w:rtl/>
        </w:rPr>
        <w:footnoteReference w:id="2452"/>
      </w:r>
      <w:r w:rsidRPr="00E07240">
        <w:rPr>
          <w:rFonts w:cs="Arial"/>
          <w:rtl/>
        </w:rPr>
        <w:t>. ומיגבא מאימת גביא</w:t>
      </w:r>
      <w:r>
        <w:rPr>
          <w:rStyle w:val="a7"/>
          <w:rFonts w:cs="Arial"/>
          <w:rtl/>
        </w:rPr>
        <w:footnoteReference w:id="2453"/>
      </w:r>
      <w:r w:rsidRPr="00E07240">
        <w:rPr>
          <w:rFonts w:cs="Arial"/>
          <w:rtl/>
        </w:rPr>
        <w:t xml:space="preserve">? </w:t>
      </w:r>
      <w:r w:rsidRPr="00E07240">
        <w:rPr>
          <w:rFonts w:cs="Arial"/>
          <w:u w:val="single"/>
          <w:rtl/>
        </w:rPr>
        <w:t>אמר רב הונא</w:t>
      </w:r>
      <w:r w:rsidRPr="00E07240">
        <w:rPr>
          <w:rFonts w:cs="Arial"/>
          <w:rtl/>
        </w:rPr>
        <w:t>: מנה מאתים</w:t>
      </w:r>
      <w:r>
        <w:rPr>
          <w:rStyle w:val="a7"/>
          <w:rFonts w:cs="Arial"/>
          <w:rtl/>
        </w:rPr>
        <w:footnoteReference w:id="2454"/>
      </w:r>
      <w:r w:rsidRPr="00E07240">
        <w:rPr>
          <w:rFonts w:cs="Arial"/>
          <w:rtl/>
        </w:rPr>
        <w:t xml:space="preserve"> מן האירוסין, ותוספת</w:t>
      </w:r>
      <w:r>
        <w:rPr>
          <w:rStyle w:val="a7"/>
          <w:rFonts w:cs="Arial"/>
          <w:rtl/>
        </w:rPr>
        <w:footnoteReference w:id="2455"/>
      </w:r>
      <w:r w:rsidRPr="00E07240">
        <w:rPr>
          <w:rFonts w:cs="Arial"/>
          <w:rtl/>
        </w:rPr>
        <w:t xml:space="preserve"> מן הנשואין</w:t>
      </w:r>
      <w:r>
        <w:rPr>
          <w:rFonts w:cs="Arial" w:hint="cs"/>
          <w:rtl/>
        </w:rPr>
        <w:t>.</w:t>
      </w:r>
      <w:r w:rsidRPr="00E07240">
        <w:rPr>
          <w:rFonts w:cs="Arial"/>
          <w:rtl/>
        </w:rPr>
        <w:t xml:space="preserve"> </w:t>
      </w:r>
      <w:r w:rsidRPr="00E07240">
        <w:rPr>
          <w:rFonts w:cs="Arial"/>
          <w:u w:val="single"/>
          <w:rtl/>
        </w:rPr>
        <w:t>ורב אסי אמר</w:t>
      </w:r>
      <w:r w:rsidRPr="00E07240">
        <w:rPr>
          <w:rFonts w:cs="Arial"/>
          <w:rtl/>
        </w:rPr>
        <w:t>: אחד זה ואחד זה מן הנשואין</w:t>
      </w:r>
      <w:r>
        <w:rPr>
          <w:rStyle w:val="a7"/>
          <w:rFonts w:cs="Arial"/>
          <w:rtl/>
        </w:rPr>
        <w:footnoteReference w:id="2456"/>
      </w:r>
      <w:r w:rsidRPr="00E07240">
        <w:rPr>
          <w:rFonts w:cs="Arial"/>
          <w:rtl/>
        </w:rPr>
        <w:t>. ומי אמר רב הונא הכי? והאתמר: הוציאה עליו שתי כתובות, אחת של מאתים</w:t>
      </w:r>
      <w:r>
        <w:rPr>
          <w:rStyle w:val="a7"/>
          <w:rFonts w:cs="Arial"/>
          <w:rtl/>
        </w:rPr>
        <w:footnoteReference w:id="2457"/>
      </w:r>
      <w:r w:rsidRPr="00E07240">
        <w:rPr>
          <w:rFonts w:cs="Arial"/>
          <w:rtl/>
        </w:rPr>
        <w:t xml:space="preserve"> ואחת של שלש מאות, ואמר רב הונא: באתה לגבות מאתים</w:t>
      </w:r>
      <w:r>
        <w:rPr>
          <w:rStyle w:val="a7"/>
          <w:rFonts w:cs="Arial"/>
          <w:rtl/>
        </w:rPr>
        <w:footnoteReference w:id="2458"/>
      </w:r>
      <w:r w:rsidRPr="00E07240">
        <w:rPr>
          <w:rFonts w:cs="Arial"/>
          <w:rtl/>
        </w:rPr>
        <w:t xml:space="preserve"> - גובה</w:t>
      </w:r>
      <w:r>
        <w:rPr>
          <w:rStyle w:val="a7"/>
          <w:rFonts w:cs="Arial"/>
          <w:rtl/>
        </w:rPr>
        <w:footnoteReference w:id="2459"/>
      </w:r>
      <w:r w:rsidRPr="00E07240">
        <w:rPr>
          <w:rFonts w:cs="Arial"/>
          <w:rtl/>
        </w:rPr>
        <w:t xml:space="preserve"> מזמן ראשון, שלש מאות - גובה מזמן שני</w:t>
      </w:r>
      <w:r>
        <w:rPr>
          <w:rFonts w:cs="Arial" w:hint="cs"/>
          <w:rtl/>
        </w:rPr>
        <w:t>.</w:t>
      </w:r>
      <w:r w:rsidRPr="00E07240">
        <w:rPr>
          <w:rFonts w:cs="Arial"/>
          <w:rtl/>
        </w:rPr>
        <w:t xml:space="preserve"> </w:t>
      </w:r>
      <w:r w:rsidRPr="00E07240">
        <w:rPr>
          <w:rFonts w:cs="Arial"/>
          <w:rtl/>
        </w:rPr>
        <w:lastRenderedPageBreak/>
        <w:t>ואם איתא</w:t>
      </w:r>
      <w:r>
        <w:rPr>
          <w:rStyle w:val="a7"/>
          <w:rFonts w:cs="Arial"/>
          <w:rtl/>
        </w:rPr>
        <w:footnoteReference w:id="2460"/>
      </w:r>
      <w:r w:rsidRPr="00E07240">
        <w:rPr>
          <w:rFonts w:cs="Arial"/>
          <w:rtl/>
        </w:rPr>
        <w:t>, תיגבי מאתים מזמן ראשון ומאה מזמן שני! ולטעמיך</w:t>
      </w:r>
      <w:r>
        <w:rPr>
          <w:rStyle w:val="a7"/>
          <w:rFonts w:cs="Arial"/>
          <w:rtl/>
        </w:rPr>
        <w:footnoteReference w:id="2461"/>
      </w:r>
      <w:r w:rsidRPr="00E07240">
        <w:rPr>
          <w:rFonts w:cs="Arial"/>
          <w:rtl/>
        </w:rPr>
        <w:t>, תיגבי חמש מאות כולם, מאתים מזמן ראשון, תלת מאה מזמן שני! אלא חמש מאות מ"ט לא גביא</w:t>
      </w:r>
      <w:r>
        <w:rPr>
          <w:rFonts w:cs="Arial" w:hint="cs"/>
          <w:rtl/>
        </w:rPr>
        <w:t xml:space="preserve"> -</w:t>
      </w:r>
      <w:r w:rsidRPr="00E07240">
        <w:rPr>
          <w:rFonts w:cs="Arial"/>
          <w:rtl/>
        </w:rPr>
        <w:t xml:space="preserve"> כיון דלא כתב לה</w:t>
      </w:r>
      <w:r>
        <w:rPr>
          <w:rStyle w:val="a7"/>
          <w:rFonts w:cs="Arial"/>
          <w:rtl/>
        </w:rPr>
        <w:footnoteReference w:id="2462"/>
      </w:r>
      <w:r w:rsidRPr="00E07240">
        <w:rPr>
          <w:rFonts w:cs="Arial"/>
          <w:rtl/>
        </w:rPr>
        <w:t xml:space="preserve"> צביתי ואוסיפית לך תלת מאה אמאתים</w:t>
      </w:r>
      <w:r>
        <w:rPr>
          <w:rStyle w:val="a7"/>
          <w:rFonts w:cs="Arial"/>
          <w:rtl/>
        </w:rPr>
        <w:footnoteReference w:id="2463"/>
      </w:r>
      <w:r w:rsidRPr="00E07240">
        <w:rPr>
          <w:rFonts w:cs="Arial"/>
          <w:rtl/>
        </w:rPr>
        <w:t>, הכי קאמר לה: אי מזמן ראשון גביאת - גביא מאתים, אי מזמן שני גביאת - גביא תלת מאה</w:t>
      </w:r>
      <w:r>
        <w:rPr>
          <w:rFonts w:cs="Arial" w:hint="cs"/>
          <w:rtl/>
        </w:rPr>
        <w:t>.</w:t>
      </w:r>
      <w:r>
        <w:rPr>
          <w:rFonts w:hint="cs"/>
          <w:sz w:val="14"/>
          <w:szCs w:val="14"/>
          <w:rtl/>
        </w:rPr>
        <w:t xml:space="preserve"> (מד.)</w:t>
      </w:r>
      <w:r w:rsidRPr="00E07240">
        <w:rPr>
          <w:rtl/>
        </w:rPr>
        <w:t xml:space="preserve"> </w:t>
      </w:r>
      <w:r w:rsidRPr="00E07240">
        <w:rPr>
          <w:rFonts w:cs="Arial"/>
          <w:rtl/>
        </w:rPr>
        <w:t>הכא נמי</w:t>
      </w:r>
      <w:r>
        <w:rPr>
          <w:rStyle w:val="a7"/>
          <w:rFonts w:cs="Arial"/>
          <w:rtl/>
        </w:rPr>
        <w:footnoteReference w:id="2464"/>
      </w:r>
      <w:r w:rsidRPr="00E07240">
        <w:rPr>
          <w:rFonts w:cs="Arial"/>
          <w:rtl/>
        </w:rPr>
        <w:t xml:space="preserve"> היינו טעמא דלא גביא, מדלא כתב לה אוסיפית לך מאה אמאתים, אחולי אחילתיה לשעבודא קמא. </w:t>
      </w:r>
      <w:r w:rsidRPr="00E07240">
        <w:rPr>
          <w:rFonts w:cs="Arial"/>
          <w:u w:val="single"/>
          <w:rtl/>
        </w:rPr>
        <w:t>אמר מר</w:t>
      </w:r>
      <w:r>
        <w:rPr>
          <w:rStyle w:val="a7"/>
          <w:rFonts w:cs="Arial"/>
          <w:u w:val="single"/>
          <w:rtl/>
        </w:rPr>
        <w:footnoteReference w:id="2465"/>
      </w:r>
      <w:r w:rsidRPr="00E07240">
        <w:rPr>
          <w:rFonts w:cs="Arial"/>
          <w:rtl/>
        </w:rPr>
        <w:t xml:space="preserve">: אי בעיא בהאי גביא, אי בעיא בהאי גביא. לימא, פליגא דרב נחמן, דאמר רב נחמן: שני שטרות היוצאין בזה אחר זה - ביטל שני את הראשון! לאו מי איתמר עלה, </w:t>
      </w:r>
      <w:r w:rsidRPr="00E07240">
        <w:rPr>
          <w:rFonts w:cs="Arial"/>
          <w:u w:val="single"/>
          <w:rtl/>
        </w:rPr>
        <w:t>אמר רב פפא</w:t>
      </w:r>
      <w:r w:rsidRPr="00E07240">
        <w:rPr>
          <w:rFonts w:cs="Arial"/>
          <w:rtl/>
        </w:rPr>
        <w:t>: ומודה ר"נ, דאי אוסיף ביה דיקלא - לתוספת כתביה? הכא נמי הא אוסיף לה מידי.</w:t>
      </w:r>
      <w:r>
        <w:rPr>
          <w:rFonts w:cs="Arial" w:hint="cs"/>
          <w:rtl/>
        </w:rPr>
        <w:t>.</w:t>
      </w:r>
      <w:r w:rsidRPr="00E07240">
        <w:rPr>
          <w:rFonts w:cs="Arial"/>
          <w:rtl/>
        </w:rPr>
        <w:t xml:space="preserve">. מאי הוי עלה דכתובה? ת"ש, </w:t>
      </w:r>
      <w:r w:rsidRPr="00223801">
        <w:rPr>
          <w:rFonts w:cs="Arial"/>
          <w:u w:val="single"/>
          <w:rtl/>
        </w:rPr>
        <w:t>דאמר רב יהודה אמר שמואל משום ר"א בר"ש</w:t>
      </w:r>
      <w:r w:rsidRPr="00E07240">
        <w:rPr>
          <w:rFonts w:cs="Arial"/>
          <w:rtl/>
        </w:rPr>
        <w:t>: מנה מאתים מן האירוסין, ותוספת מן הנישואין</w:t>
      </w:r>
      <w:r>
        <w:rPr>
          <w:rFonts w:cs="Arial" w:hint="cs"/>
          <w:rtl/>
        </w:rPr>
        <w:t>.</w:t>
      </w:r>
      <w:r w:rsidRPr="00E07240">
        <w:rPr>
          <w:rFonts w:cs="Arial"/>
          <w:rtl/>
        </w:rPr>
        <w:t xml:space="preserve"> </w:t>
      </w:r>
      <w:r w:rsidRPr="00223801">
        <w:rPr>
          <w:rFonts w:cs="Arial"/>
          <w:u w:val="single"/>
          <w:rtl/>
        </w:rPr>
        <w:t>וחכ"א</w:t>
      </w:r>
      <w:r w:rsidRPr="00E07240">
        <w:rPr>
          <w:rFonts w:cs="Arial"/>
          <w:rtl/>
        </w:rPr>
        <w:t>: אחד זה ואחד זה מן הנישואין. והלכתא: אחד זה ואחד זה מן הנישואין.</w:t>
      </w:r>
      <w:r w:rsidRPr="0058418E">
        <w:rPr>
          <w:rFonts w:cs="Arial"/>
          <w:sz w:val="16"/>
          <w:szCs w:val="16"/>
          <w:rtl/>
        </w:rPr>
        <w:t xml:space="preserve"> </w:t>
      </w:r>
      <w:r>
        <w:rPr>
          <w:rFonts w:cs="Arial" w:hint="cs"/>
          <w:sz w:val="16"/>
          <w:szCs w:val="16"/>
          <w:rtl/>
        </w:rPr>
        <w:t>(</w:t>
      </w:r>
      <w:r w:rsidRPr="0058418E">
        <w:rPr>
          <w:rFonts w:cs="Arial"/>
          <w:sz w:val="16"/>
          <w:szCs w:val="16"/>
          <w:rtl/>
        </w:rPr>
        <w:t>והקשו התוספות (ד"ה והלכתא) דהשתא מסקינן דאחד זה ואחד זה מן הנישואין אע</w:t>
      </w:r>
      <w:r>
        <w:rPr>
          <w:rFonts w:cs="Arial" w:hint="cs"/>
          <w:sz w:val="16"/>
          <w:szCs w:val="16"/>
          <w:rtl/>
        </w:rPr>
        <w:t>"</w:t>
      </w:r>
      <w:r w:rsidRPr="0058418E">
        <w:rPr>
          <w:rFonts w:cs="Arial"/>
          <w:sz w:val="16"/>
          <w:szCs w:val="16"/>
          <w:rtl/>
        </w:rPr>
        <w:t>ג דאוסיף לה ופליג ארב נחמן דאמר לעיל (מד.) דאי אוסיף בה דיקלא אדעתא דתוספת כתביה ולא ביטל שני את הראשון</w:t>
      </w:r>
      <w:r w:rsidRPr="0058418E">
        <w:rPr>
          <w:rFonts w:cs="Arial" w:hint="cs"/>
          <w:sz w:val="16"/>
          <w:szCs w:val="16"/>
          <w:rtl/>
        </w:rPr>
        <w:t>.</w:t>
      </w:r>
      <w:r w:rsidRPr="0058418E">
        <w:rPr>
          <w:rFonts w:cs="Arial"/>
          <w:sz w:val="16"/>
          <w:szCs w:val="16"/>
          <w:rtl/>
        </w:rPr>
        <w:t xml:space="preserve"> וזהו תימא דהלכתא כרב נחמן בדיני</w:t>
      </w:r>
      <w:r w:rsidRPr="0058418E">
        <w:rPr>
          <w:rFonts w:cs="Arial" w:hint="cs"/>
          <w:sz w:val="16"/>
          <w:szCs w:val="16"/>
          <w:rtl/>
        </w:rPr>
        <w:t>.</w:t>
      </w:r>
      <w:r w:rsidRPr="0058418E">
        <w:rPr>
          <w:rFonts w:cs="Arial"/>
          <w:sz w:val="16"/>
          <w:szCs w:val="16"/>
          <w:rtl/>
        </w:rPr>
        <w:t xml:space="preserve"> ואור"י דהכא אע</w:t>
      </w:r>
      <w:r>
        <w:rPr>
          <w:rFonts w:cs="Arial" w:hint="cs"/>
          <w:sz w:val="16"/>
          <w:szCs w:val="16"/>
          <w:rtl/>
        </w:rPr>
        <w:t>"</w:t>
      </w:r>
      <w:r w:rsidRPr="0058418E">
        <w:rPr>
          <w:rFonts w:cs="Arial"/>
          <w:sz w:val="16"/>
          <w:szCs w:val="16"/>
          <w:rtl/>
        </w:rPr>
        <w:t>ג דאיכא תוספת ביטל שני את הראשון וטעמא משום דליכא שטר כתובה באירוסין אלא מתנאי בית דין הילכך נתבטל תנאי ראשון ע"י שטר</w:t>
      </w:r>
      <w:r w:rsidRPr="0058418E">
        <w:rPr>
          <w:rFonts w:cs="Arial" w:hint="cs"/>
          <w:sz w:val="16"/>
          <w:szCs w:val="16"/>
          <w:rtl/>
        </w:rPr>
        <w:t>.</w:t>
      </w:r>
      <w:r w:rsidRPr="0058418E">
        <w:rPr>
          <w:rFonts w:cs="Arial"/>
          <w:sz w:val="16"/>
          <w:szCs w:val="16"/>
          <w:rtl/>
        </w:rPr>
        <w:t xml:space="preserve"> וכ</w:t>
      </w:r>
      <w:r>
        <w:rPr>
          <w:rFonts w:cs="Arial" w:hint="cs"/>
          <w:sz w:val="16"/>
          <w:szCs w:val="16"/>
          <w:rtl/>
        </w:rPr>
        <w:t>"</w:t>
      </w:r>
      <w:r w:rsidRPr="0058418E">
        <w:rPr>
          <w:rFonts w:cs="Arial"/>
          <w:sz w:val="16"/>
          <w:szCs w:val="16"/>
          <w:rtl/>
        </w:rPr>
        <w:t>כ הרא"ש (פ"ד סי' ה)</w:t>
      </w:r>
      <w:r w:rsidRPr="0058418E">
        <w:rPr>
          <w:rFonts w:cs="Arial" w:hint="cs"/>
          <w:sz w:val="16"/>
          <w:szCs w:val="16"/>
          <w:rtl/>
        </w:rPr>
        <w:t>,</w:t>
      </w:r>
      <w:r w:rsidRPr="0058418E">
        <w:rPr>
          <w:rFonts w:cs="Arial"/>
          <w:sz w:val="16"/>
          <w:szCs w:val="16"/>
          <w:rtl/>
        </w:rPr>
        <w:t xml:space="preserve"> וכתב עוד</w:t>
      </w:r>
      <w:r w:rsidRPr="0058418E">
        <w:rPr>
          <w:rFonts w:cs="Arial" w:hint="cs"/>
          <w:sz w:val="16"/>
          <w:szCs w:val="16"/>
          <w:rtl/>
        </w:rPr>
        <w:t>-</w:t>
      </w:r>
      <w:r w:rsidRPr="0058418E">
        <w:rPr>
          <w:rFonts w:cs="Arial"/>
          <w:sz w:val="16"/>
          <w:szCs w:val="16"/>
          <w:rtl/>
        </w:rPr>
        <w:t xml:space="preserve"> ואף לדברי המפרשים דאיירי בשמעתין בדכתב לה יש לחלק כיון שמנהג לכלול יחד מנה ומאתים ותוספת אומדנא דדעתא הוא שזהו עיקר תחלת השעבוד וכתב האירוסין לא נכתב אלא שאם תתאלמן או תתגרש מן האירוסין וכשבאו לכלל נישואין ונכתב הכל בשטר אחד נתבטל הראשון לגמרי</w:t>
      </w:r>
      <w:r w:rsidRPr="0058418E">
        <w:rPr>
          <w:rFonts w:cs="Arial" w:hint="cs"/>
          <w:sz w:val="16"/>
          <w:szCs w:val="16"/>
          <w:rtl/>
        </w:rPr>
        <w:t>.</w:t>
      </w:r>
      <w:r w:rsidRPr="0058418E">
        <w:rPr>
          <w:rFonts w:cs="Arial"/>
          <w:sz w:val="16"/>
          <w:szCs w:val="16"/>
          <w:rtl/>
        </w:rPr>
        <w:t xml:space="preserve"> וכן כתב הר"ן (טו: ד"ה ומגבא)</w:t>
      </w:r>
      <w:r w:rsidRPr="0058418E">
        <w:rPr>
          <w:rFonts w:cs="Arial" w:hint="cs"/>
          <w:sz w:val="16"/>
          <w:szCs w:val="16"/>
          <w:rtl/>
        </w:rPr>
        <w:t>.</w:t>
      </w:r>
      <w:r w:rsidRPr="0058418E">
        <w:rPr>
          <w:rFonts w:cs="Arial"/>
          <w:sz w:val="16"/>
          <w:szCs w:val="16"/>
          <w:rtl/>
        </w:rPr>
        <w:t xml:space="preserve"> וכך הם דברי רבינו</w:t>
      </w:r>
      <w:r>
        <w:rPr>
          <w:rFonts w:cs="Arial" w:hint="cs"/>
          <w:sz w:val="16"/>
          <w:szCs w:val="16"/>
          <w:rtl/>
        </w:rPr>
        <w:t>, ב"י)</w:t>
      </w:r>
    </w:p>
    <w:p w14:paraId="405053EB" w14:textId="77777777" w:rsidR="002E5BAD" w:rsidRPr="002D0AA5" w:rsidRDefault="002E5BAD" w:rsidP="002E5BAD">
      <w:pPr>
        <w:rPr>
          <w:u w:val="single"/>
          <w:rtl/>
        </w:rPr>
      </w:pPr>
      <w:r w:rsidRPr="002D0AA5">
        <w:rPr>
          <w:rFonts w:hint="cs"/>
          <w:u w:val="single"/>
          <w:rtl/>
        </w:rPr>
        <w:t>הוציאה שתי כתובות וגט אחד:</w:t>
      </w:r>
    </w:p>
    <w:p w14:paraId="64B04000" w14:textId="77777777" w:rsidR="002E5BAD" w:rsidRPr="0058418E" w:rsidRDefault="002E5BAD" w:rsidP="00B75458">
      <w:pPr>
        <w:pStyle w:val="ab"/>
        <w:numPr>
          <w:ilvl w:val="0"/>
          <w:numId w:val="192"/>
        </w:numPr>
      </w:pPr>
      <w:r>
        <w:rPr>
          <w:rFonts w:cs="Arial" w:hint="cs"/>
          <w:rtl/>
        </w:rPr>
        <w:t xml:space="preserve">טור- </w:t>
      </w:r>
      <w:r w:rsidRPr="003D2914">
        <w:rPr>
          <w:rFonts w:cs="Arial"/>
          <w:rtl/>
        </w:rPr>
        <w:t>הוציאה ב' כתובות וגט אחד</w:t>
      </w:r>
      <w:r>
        <w:rPr>
          <w:rFonts w:cs="Arial" w:hint="cs"/>
          <w:rtl/>
        </w:rPr>
        <w:t>,</w:t>
      </w:r>
      <w:r w:rsidRPr="003D2914">
        <w:rPr>
          <w:rFonts w:cs="Arial"/>
          <w:rtl/>
        </w:rPr>
        <w:t xml:space="preserve"> שכתב לה ב' כתובות זו אח</w:t>
      </w:r>
      <w:r>
        <w:rPr>
          <w:rFonts w:cs="Arial" w:hint="cs"/>
          <w:rtl/>
        </w:rPr>
        <w:t>ר</w:t>
      </w:r>
      <w:r w:rsidRPr="003D2914">
        <w:rPr>
          <w:rFonts w:cs="Arial"/>
          <w:rtl/>
        </w:rPr>
        <w:t xml:space="preserve"> זו </w:t>
      </w:r>
      <w:r>
        <w:rPr>
          <w:rFonts w:cs="Arial" w:hint="cs"/>
          <w:rtl/>
        </w:rPr>
        <w:t xml:space="preserve">- </w:t>
      </w:r>
      <w:r w:rsidRPr="003D2914">
        <w:rPr>
          <w:rFonts w:cs="Arial"/>
          <w:rtl/>
        </w:rPr>
        <w:t>אינה גובה אלא אחרונה</w:t>
      </w:r>
      <w:r>
        <w:rPr>
          <w:rFonts w:cs="Arial" w:hint="cs"/>
          <w:rtl/>
        </w:rPr>
        <w:t>,</w:t>
      </w:r>
      <w:r w:rsidRPr="003D2914">
        <w:rPr>
          <w:rFonts w:cs="Arial"/>
          <w:rtl/>
        </w:rPr>
        <w:t xml:space="preserve"> שבטל הראשונה כשכתב לה האחרונה</w:t>
      </w:r>
      <w:r>
        <w:rPr>
          <w:rFonts w:cs="Arial" w:hint="cs"/>
          <w:rtl/>
        </w:rPr>
        <w:t>.</w:t>
      </w:r>
      <w:r w:rsidRPr="003D2914">
        <w:rPr>
          <w:rFonts w:cs="Arial"/>
          <w:rtl/>
        </w:rPr>
        <w:t xml:space="preserve"> ואם האחרונה יתירה על הראשונה</w:t>
      </w:r>
      <w:r>
        <w:rPr>
          <w:rFonts w:cs="Arial" w:hint="cs"/>
          <w:rtl/>
        </w:rPr>
        <w:t>,</w:t>
      </w:r>
      <w:r w:rsidRPr="003D2914">
        <w:rPr>
          <w:rFonts w:cs="Arial"/>
          <w:rtl/>
        </w:rPr>
        <w:t xml:space="preserve"> ולא כתב לה </w:t>
      </w:r>
      <w:r>
        <w:rPr>
          <w:rFonts w:cs="Arial" w:hint="cs"/>
          <w:rtl/>
        </w:rPr>
        <w:t>'</w:t>
      </w:r>
      <w:r w:rsidRPr="003D2914">
        <w:rPr>
          <w:rFonts w:cs="Arial"/>
          <w:rtl/>
        </w:rPr>
        <w:t>ואוסיפית ליך כך וכך על הראשונה</w:t>
      </w:r>
      <w:r>
        <w:rPr>
          <w:rFonts w:cs="Arial" w:hint="cs"/>
          <w:rtl/>
        </w:rPr>
        <w:t>',</w:t>
      </w:r>
      <w:r w:rsidRPr="003D2914">
        <w:rPr>
          <w:rFonts w:cs="Arial"/>
          <w:rtl/>
        </w:rPr>
        <w:t xml:space="preserve"> אם רוצה לגבות הראשונה </w:t>
      </w:r>
      <w:r>
        <w:rPr>
          <w:rFonts w:cs="Arial" w:hint="cs"/>
          <w:rtl/>
        </w:rPr>
        <w:t xml:space="preserve">- </w:t>
      </w:r>
      <w:r w:rsidRPr="003D2914">
        <w:rPr>
          <w:rFonts w:cs="Arial"/>
          <w:rtl/>
        </w:rPr>
        <w:t>גובה מזמן א'</w:t>
      </w:r>
      <w:r>
        <w:rPr>
          <w:rFonts w:cs="Arial" w:hint="cs"/>
          <w:rtl/>
        </w:rPr>
        <w:t>,</w:t>
      </w:r>
      <w:r w:rsidRPr="003D2914">
        <w:rPr>
          <w:rFonts w:cs="Arial"/>
          <w:rtl/>
        </w:rPr>
        <w:t xml:space="preserve"> או ב' </w:t>
      </w:r>
      <w:r>
        <w:rPr>
          <w:rFonts w:cs="Arial" w:hint="cs"/>
          <w:rtl/>
        </w:rPr>
        <w:t xml:space="preserve">- </w:t>
      </w:r>
      <w:r w:rsidRPr="003D2914">
        <w:rPr>
          <w:rFonts w:cs="Arial"/>
          <w:rtl/>
        </w:rPr>
        <w:t>מזמן ב'</w:t>
      </w:r>
      <w:r>
        <w:rPr>
          <w:rFonts w:cs="Arial" w:hint="cs"/>
          <w:rtl/>
        </w:rPr>
        <w:t>.</w:t>
      </w:r>
      <w:r w:rsidRPr="003D2914">
        <w:rPr>
          <w:rFonts w:cs="Arial"/>
          <w:rtl/>
        </w:rPr>
        <w:t xml:space="preserve"> ואם כתב לה </w:t>
      </w:r>
      <w:r>
        <w:rPr>
          <w:rFonts w:cs="Arial" w:hint="cs"/>
          <w:rtl/>
        </w:rPr>
        <w:t>'</w:t>
      </w:r>
      <w:r w:rsidRPr="003D2914">
        <w:rPr>
          <w:rFonts w:cs="Arial"/>
          <w:rtl/>
        </w:rPr>
        <w:t>ואוסיפית ליך כך וכך על הראשונה</w:t>
      </w:r>
      <w:r>
        <w:rPr>
          <w:rFonts w:cs="Arial" w:hint="cs"/>
          <w:rtl/>
        </w:rPr>
        <w:t>' -</w:t>
      </w:r>
      <w:r w:rsidRPr="003D2914">
        <w:rPr>
          <w:rFonts w:cs="Arial"/>
          <w:rtl/>
        </w:rPr>
        <w:t xml:space="preserve"> גובה ראשונה מזמן ראשונה ותוספת מזמן ב'</w:t>
      </w:r>
      <w:r>
        <w:rPr>
          <w:rFonts w:cs="Arial" w:hint="cs"/>
          <w:rtl/>
        </w:rPr>
        <w:t>.</w:t>
      </w:r>
      <w:r w:rsidRPr="003D2914">
        <w:rPr>
          <w:rFonts w:cs="Arial"/>
          <w:rtl/>
        </w:rPr>
        <w:t xml:space="preserve"> בד"א ששתיהן מן האירוסין או מן הנישואין</w:t>
      </w:r>
      <w:r>
        <w:rPr>
          <w:rFonts w:cs="Arial" w:hint="cs"/>
          <w:rtl/>
        </w:rPr>
        <w:t>,</w:t>
      </w:r>
      <w:r w:rsidRPr="003D2914">
        <w:rPr>
          <w:rFonts w:cs="Arial"/>
          <w:rtl/>
        </w:rPr>
        <w:t xml:space="preserve"> אבל אם אחת מן האירוסין והב' מן הנישואין </w:t>
      </w:r>
      <w:r>
        <w:rPr>
          <w:rFonts w:cs="Arial" w:hint="cs"/>
          <w:rtl/>
        </w:rPr>
        <w:t xml:space="preserve">- </w:t>
      </w:r>
      <w:r w:rsidRPr="003D2914">
        <w:rPr>
          <w:rFonts w:cs="Arial"/>
          <w:rtl/>
        </w:rPr>
        <w:t>בכל ענין אינה גובה אלא אות</w:t>
      </w:r>
      <w:r>
        <w:rPr>
          <w:rFonts w:cs="Arial" w:hint="cs"/>
          <w:rtl/>
        </w:rPr>
        <w:t>ה</w:t>
      </w:r>
      <w:r w:rsidRPr="003D2914">
        <w:rPr>
          <w:rFonts w:cs="Arial"/>
          <w:rtl/>
        </w:rPr>
        <w:t xml:space="preserve"> שמן הנישואין</w:t>
      </w:r>
      <w:r>
        <w:rPr>
          <w:rFonts w:cs="Arial" w:hint="cs"/>
          <w:rtl/>
        </w:rPr>
        <w:t xml:space="preserve">. </w:t>
      </w:r>
      <w:r w:rsidRPr="0058418E">
        <w:rPr>
          <w:rFonts w:cs="Arial" w:hint="cs"/>
          <w:color w:val="E36C0A" w:themeColor="accent6" w:themeShade="BF"/>
          <w:rtl/>
        </w:rPr>
        <w:t>(וכ"פ בשו"ע)</w:t>
      </w:r>
    </w:p>
    <w:p w14:paraId="589433D7" w14:textId="77777777" w:rsidR="002E5BAD" w:rsidRPr="0058418E" w:rsidRDefault="002E5BAD" w:rsidP="002E5BAD">
      <w:pPr>
        <w:rPr>
          <w:u w:val="single"/>
        </w:rPr>
      </w:pPr>
      <w:r w:rsidRPr="0058418E">
        <w:rPr>
          <w:rFonts w:hint="cs"/>
          <w:u w:val="single"/>
          <w:rtl/>
        </w:rPr>
        <w:t xml:space="preserve">כתב לה כתובה מן האירוסין, ומת קודם שנשאה </w:t>
      </w:r>
      <w:r w:rsidRPr="0058418E">
        <w:rPr>
          <w:u w:val="single"/>
          <w:rtl/>
        </w:rPr>
        <w:t>–</w:t>
      </w:r>
      <w:r w:rsidRPr="0058418E">
        <w:rPr>
          <w:rFonts w:hint="cs"/>
          <w:u w:val="single"/>
          <w:rtl/>
        </w:rPr>
        <w:t xml:space="preserve"> מהיכן גובה עיקר כתובתה:</w:t>
      </w:r>
    </w:p>
    <w:p w14:paraId="489591E7" w14:textId="77777777" w:rsidR="002E5BAD" w:rsidRPr="003D2914" w:rsidRDefault="002E5BAD" w:rsidP="00B75458">
      <w:pPr>
        <w:pStyle w:val="ab"/>
        <w:numPr>
          <w:ilvl w:val="0"/>
          <w:numId w:val="192"/>
        </w:numPr>
        <w:rPr>
          <w:rtl/>
        </w:rPr>
      </w:pPr>
      <w:r w:rsidRPr="0058418E">
        <w:rPr>
          <w:rFonts w:cs="Arial"/>
          <w:rtl/>
        </w:rPr>
        <w:t xml:space="preserve">ר"ן </w:t>
      </w:r>
      <w:r w:rsidRPr="0058418E">
        <w:rPr>
          <w:rFonts w:cs="Arial"/>
          <w:sz w:val="16"/>
          <w:szCs w:val="16"/>
          <w:rtl/>
        </w:rPr>
        <w:t>ן (טו: ד"ה ומגבא)</w:t>
      </w:r>
      <w:r w:rsidRPr="0058418E">
        <w:rPr>
          <w:rFonts w:cs="Arial" w:hint="cs"/>
          <w:rtl/>
        </w:rPr>
        <w:t>-</w:t>
      </w:r>
      <w:r w:rsidRPr="0058418E">
        <w:rPr>
          <w:rFonts w:cs="Arial"/>
          <w:rtl/>
        </w:rPr>
        <w:t xml:space="preserve"> ומכל מקום נראה שכל שלא נשאת וחזר וכתב לה </w:t>
      </w:r>
      <w:r w:rsidRPr="0058418E">
        <w:rPr>
          <w:rFonts w:cs="Arial" w:hint="cs"/>
          <w:rtl/>
        </w:rPr>
        <w:t xml:space="preserve">- </w:t>
      </w:r>
      <w:r w:rsidRPr="0058418E">
        <w:rPr>
          <w:rFonts w:cs="Arial"/>
          <w:rtl/>
        </w:rPr>
        <w:t>שגובה עיקר כתובה מן המשועבדין</w:t>
      </w:r>
      <w:r w:rsidRPr="0058418E">
        <w:rPr>
          <w:rFonts w:cs="Arial" w:hint="cs"/>
          <w:rtl/>
        </w:rPr>
        <w:t>.</w:t>
      </w:r>
      <w:r w:rsidRPr="0058418E">
        <w:rPr>
          <w:rFonts w:cs="Arial"/>
          <w:rtl/>
        </w:rPr>
        <w:t xml:space="preserve"> אלא שהרמב"ם כתב בפ"י מהלכות אישות (הי"א) המארס את האשה וכתב לה כתובה ולא נכנסה לחופה אם מת או גירשה גובה עיקר כתובתה מבני חורין ואינה גובה תוספת כלל הואיל ולא כנסה</w:t>
      </w:r>
      <w:r w:rsidRPr="0058418E">
        <w:rPr>
          <w:rFonts w:cs="Arial" w:hint="cs"/>
          <w:rtl/>
        </w:rPr>
        <w:t>.</w:t>
      </w:r>
      <w:r w:rsidRPr="0058418E">
        <w:rPr>
          <w:rFonts w:cs="Arial"/>
          <w:rtl/>
        </w:rPr>
        <w:t xml:space="preserve"> נראה שהוא סובר דכי מסקינן אחד זה ואחד זה מן הנישואין היינו לומר שאינה טורפת ממשועבדין כל שלא כנסה</w:t>
      </w:r>
      <w:r w:rsidRPr="0058418E">
        <w:rPr>
          <w:rFonts w:cs="Arial" w:hint="cs"/>
          <w:rtl/>
        </w:rPr>
        <w:t>.</w:t>
      </w:r>
    </w:p>
    <w:p w14:paraId="2D0B19B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E76B29" w14:textId="77777777" w:rsidR="002E5BAD" w:rsidRDefault="002E5BAD" w:rsidP="002E5BAD">
      <w:pPr>
        <w:rPr>
          <w:rtl/>
        </w:rPr>
      </w:pPr>
      <w:r>
        <w:rPr>
          <w:rFonts w:cs="Arial"/>
          <w:rtl/>
        </w:rPr>
        <w:t>הוציאה ב' כתובות וגט אחד, אינה גובה אלא כתובה אחת. ואיזו מהם גובה, אם שתיהן שוות</w:t>
      </w:r>
      <w:r>
        <w:rPr>
          <w:rFonts w:cs="Arial" w:hint="cs"/>
          <w:rtl/>
        </w:rPr>
        <w:t>,</w:t>
      </w:r>
      <w:r>
        <w:rPr>
          <w:rFonts w:cs="Arial"/>
          <w:rtl/>
        </w:rPr>
        <w:t xml:space="preserve"> ביטלה האחרונה את הראשונה ואינה טורפת אלא מזמן האחרונה. ואם היתה באחת משתיהן תוספת על חבירתה ולא כתב לה: ואוסיפית לך כך וכך על הראשונה, אם רוצה לגבות הראשונה גובה מזמן ראשון, או שניה מזמן שני. ואם כתב לה: ואוסיפית לה כך וכך על הראשונה, גובה ראשונה מזמן ראשון והתוספת מזמן שני.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ששתיהן מן האירוסין או מן הנשואין, אבל אם אחת מן האירוסין והשנייה מן הנשואין, בכל ענין אינה גובה אלא אותה שמן הנשואין. </w:t>
      </w:r>
    </w:p>
    <w:p w14:paraId="5206D544" w14:textId="77777777" w:rsidR="002E5BAD" w:rsidRDefault="002E5BAD" w:rsidP="002E5BAD">
      <w:pPr>
        <w:rPr>
          <w:rtl/>
        </w:rPr>
      </w:pPr>
    </w:p>
    <w:p w14:paraId="6B307595" w14:textId="77777777" w:rsidR="002E5BAD" w:rsidRDefault="002E5BAD" w:rsidP="002E5BAD">
      <w:pPr>
        <w:pStyle w:val="2"/>
        <w:rPr>
          <w:rtl/>
        </w:rPr>
      </w:pPr>
      <w:r>
        <w:rPr>
          <w:rtl/>
        </w:rPr>
        <w:t>סעיף טו</w:t>
      </w:r>
      <w:r>
        <w:rPr>
          <w:rFonts w:hint="cs"/>
          <w:rtl/>
        </w:rPr>
        <w:t>:</w:t>
      </w:r>
      <w:r w:rsidRPr="002D0AA5">
        <w:rPr>
          <w:rFonts w:hint="cs"/>
          <w:rtl/>
        </w:rPr>
        <w:t xml:space="preserve"> </w:t>
      </w:r>
      <w:r>
        <w:rPr>
          <w:rFonts w:hint="cs"/>
          <w:rtl/>
        </w:rPr>
        <w:t>הוציאה כתובה אחת ושני גיטין.</w:t>
      </w:r>
    </w:p>
    <w:p w14:paraId="3D1BB3D7" w14:textId="77777777" w:rsidR="002E5BAD" w:rsidRPr="000631CD" w:rsidRDefault="002E5BAD" w:rsidP="002E5BAD">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כתובה ושני גטין</w:t>
      </w:r>
      <w:r>
        <w:rPr>
          <w:rStyle w:val="a7"/>
          <w:rFonts w:cs="Arial"/>
          <w:rtl/>
        </w:rPr>
        <w:footnoteReference w:id="2466"/>
      </w:r>
      <w:r>
        <w:rPr>
          <w:rFonts w:cs="Arial" w:hint="cs"/>
          <w:rtl/>
        </w:rPr>
        <w:t xml:space="preserve">... </w:t>
      </w:r>
      <w:r w:rsidRPr="000631CD">
        <w:rPr>
          <w:rFonts w:cs="Arial"/>
          <w:rtl/>
        </w:rPr>
        <w:t>- אינה גובה אלא כתובה אחת, שהמגרש את אשתו והחזירה, ע"מ כתובה הראשונה מחזירה.</w:t>
      </w:r>
    </w:p>
    <w:p w14:paraId="6ACF095B" w14:textId="77777777" w:rsidR="002E5BAD" w:rsidRPr="002D0AA5" w:rsidRDefault="002E5BAD" w:rsidP="002E5BAD">
      <w:pPr>
        <w:rPr>
          <w:u w:val="single"/>
          <w:rtl/>
        </w:rPr>
      </w:pPr>
      <w:r w:rsidRPr="002D0AA5">
        <w:rPr>
          <w:rFonts w:hint="cs"/>
          <w:u w:val="single"/>
          <w:rtl/>
        </w:rPr>
        <w:t>הוציאה כתובה אחת ושני גיטין:</w:t>
      </w:r>
    </w:p>
    <w:p w14:paraId="23A6E87D" w14:textId="77777777" w:rsidR="002E5BAD" w:rsidRPr="006823A6" w:rsidRDefault="002E5BAD" w:rsidP="00B75458">
      <w:pPr>
        <w:pStyle w:val="ab"/>
        <w:numPr>
          <w:ilvl w:val="0"/>
          <w:numId w:val="192"/>
        </w:numPr>
      </w:pPr>
      <w:r>
        <w:rPr>
          <w:rFonts w:cs="Arial" w:hint="cs"/>
          <w:rtl/>
        </w:rPr>
        <w:lastRenderedPageBreak/>
        <w:t xml:space="preserve">טור- </w:t>
      </w:r>
      <w:r w:rsidRPr="003D2914">
        <w:rPr>
          <w:rFonts w:cs="Arial"/>
          <w:rtl/>
        </w:rPr>
        <w:t>הוציאה כתובה וב' גיטין</w:t>
      </w:r>
      <w:r>
        <w:rPr>
          <w:rFonts w:cs="Arial" w:hint="cs"/>
          <w:rtl/>
        </w:rPr>
        <w:t>,</w:t>
      </w:r>
      <w:r w:rsidRPr="003D2914">
        <w:rPr>
          <w:rFonts w:cs="Arial"/>
          <w:rtl/>
        </w:rPr>
        <w:t xml:space="preserve"> שהחזירה ולא כתב לה כתובה </w:t>
      </w:r>
      <w:r>
        <w:rPr>
          <w:rFonts w:cs="Arial" w:hint="cs"/>
          <w:rtl/>
        </w:rPr>
        <w:t xml:space="preserve">- </w:t>
      </w:r>
      <w:r w:rsidRPr="003D2914">
        <w:rPr>
          <w:rFonts w:cs="Arial"/>
          <w:rtl/>
        </w:rPr>
        <w:t>אין לה אלא כתובה אחת</w:t>
      </w:r>
      <w:r>
        <w:rPr>
          <w:rFonts w:cs="Arial" w:hint="cs"/>
          <w:rtl/>
        </w:rPr>
        <w:t xml:space="preserve">, </w:t>
      </w:r>
      <w:r w:rsidRPr="003D2914">
        <w:rPr>
          <w:rFonts w:cs="Arial"/>
          <w:rtl/>
        </w:rPr>
        <w:t>שהמגרש אשתו והחזירה על דעת כתובה הראשונה</w:t>
      </w:r>
      <w:r>
        <w:rPr>
          <w:rStyle w:val="a7"/>
          <w:rFonts w:cs="Arial"/>
          <w:rtl/>
        </w:rPr>
        <w:footnoteReference w:id="2467"/>
      </w:r>
      <w:r w:rsidRPr="003D2914">
        <w:rPr>
          <w:rFonts w:cs="Arial"/>
          <w:rtl/>
        </w:rPr>
        <w:t xml:space="preserve"> החזירה</w:t>
      </w:r>
      <w:r>
        <w:rPr>
          <w:rFonts w:cs="Arial" w:hint="cs"/>
          <w:rtl/>
        </w:rPr>
        <w:t xml:space="preserve">. </w:t>
      </w:r>
      <w:r w:rsidRPr="0058418E">
        <w:rPr>
          <w:rFonts w:cs="Arial" w:hint="cs"/>
          <w:color w:val="E36C0A" w:themeColor="accent6" w:themeShade="BF"/>
          <w:rtl/>
        </w:rPr>
        <w:t>(וכ"פ בשו"ע)</w:t>
      </w:r>
    </w:p>
    <w:p w14:paraId="5531C3C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305DE4" w14:textId="77777777" w:rsidR="002E5BAD" w:rsidRDefault="002E5BAD" w:rsidP="002E5BAD">
      <w:pPr>
        <w:rPr>
          <w:rtl/>
        </w:rPr>
      </w:pPr>
      <w:r>
        <w:rPr>
          <w:rFonts w:cs="Arial"/>
          <w:rtl/>
        </w:rPr>
        <w:t>הוציאה שני גיטין וכתובה אחת</w:t>
      </w:r>
      <w:r>
        <w:rPr>
          <w:rStyle w:val="a7"/>
          <w:rFonts w:cs="Arial"/>
          <w:rtl/>
        </w:rPr>
        <w:footnoteReference w:id="2468"/>
      </w:r>
      <w:r>
        <w:rPr>
          <w:rFonts w:cs="Arial"/>
          <w:rtl/>
        </w:rPr>
        <w:t>, אין לה אלא כתובה אחת</w:t>
      </w:r>
      <w:r>
        <w:rPr>
          <w:rFonts w:cs="Arial" w:hint="cs"/>
          <w:rtl/>
        </w:rPr>
        <w:t>.</w:t>
      </w:r>
      <w:r>
        <w:rPr>
          <w:rFonts w:cs="Arial"/>
          <w:rtl/>
        </w:rPr>
        <w:t xml:space="preserve"> שהמגרש את אשתו והחזירה סתם, על כתובתה הראשונה החזירה. </w:t>
      </w:r>
    </w:p>
    <w:p w14:paraId="678EE14C" w14:textId="77777777" w:rsidR="002E5BAD" w:rsidRDefault="002E5BAD" w:rsidP="002E5BAD">
      <w:pPr>
        <w:rPr>
          <w:rtl/>
        </w:rPr>
      </w:pPr>
    </w:p>
    <w:p w14:paraId="6F6608FB" w14:textId="77777777" w:rsidR="002E5BAD" w:rsidRDefault="002E5BAD" w:rsidP="002E5BAD">
      <w:pPr>
        <w:pStyle w:val="2"/>
        <w:rPr>
          <w:rtl/>
        </w:rPr>
      </w:pPr>
      <w:r>
        <w:rPr>
          <w:rtl/>
        </w:rPr>
        <w:t>סעיף טז</w:t>
      </w:r>
      <w:r>
        <w:rPr>
          <w:rFonts w:hint="cs"/>
          <w:rtl/>
        </w:rPr>
        <w:t>:</w:t>
      </w:r>
      <w:r w:rsidRPr="002D0AA5">
        <w:rPr>
          <w:rtl/>
        </w:rPr>
        <w:t xml:space="preserve"> </w:t>
      </w:r>
      <w:r w:rsidRPr="003D2914">
        <w:rPr>
          <w:rtl/>
        </w:rPr>
        <w:t>הוציאה גט וכתובה ו</w:t>
      </w:r>
      <w:r>
        <w:rPr>
          <w:rFonts w:hint="cs"/>
          <w:rtl/>
        </w:rPr>
        <w:t xml:space="preserve">הביאה </w:t>
      </w:r>
      <w:r w:rsidRPr="003D2914">
        <w:rPr>
          <w:rtl/>
        </w:rPr>
        <w:t>עידי מיתה</w:t>
      </w:r>
      <w:r>
        <w:rPr>
          <w:rFonts w:hint="cs"/>
          <w:rtl/>
        </w:rPr>
        <w:t>.</w:t>
      </w:r>
    </w:p>
    <w:p w14:paraId="3873865C" w14:textId="77777777" w:rsidR="002E5BAD" w:rsidRPr="000631CD" w:rsidRDefault="002E5BAD" w:rsidP="002E5BAD">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שתי כתובות וגט אחד, או כתובה ושני גטין, או כתובה וגט ומיתה - אינה גובה אלא כתובה אחת, שהמגרש את אשתו והחזירה, ע"מ כתובה הראשונה מחזירה.</w:t>
      </w:r>
      <w:r>
        <w:rPr>
          <w:rFonts w:hint="cs"/>
          <w:rtl/>
        </w:rPr>
        <w:t xml:space="preserve">       </w:t>
      </w:r>
      <w:r w:rsidRPr="00076C39">
        <w:rPr>
          <w:rFonts w:hint="cs"/>
          <w:u w:val="double"/>
          <w:rtl/>
        </w:rPr>
        <w:t>גמ'</w:t>
      </w:r>
      <w:r>
        <w:rPr>
          <w:rFonts w:hint="cs"/>
          <w:rtl/>
        </w:rPr>
        <w:t xml:space="preserve">: </w:t>
      </w:r>
      <w:r w:rsidRPr="00076C39">
        <w:rPr>
          <w:rFonts w:cs="Arial"/>
          <w:rtl/>
        </w:rPr>
        <w:t>ת"ר</w:t>
      </w:r>
      <w:r>
        <w:rPr>
          <w:rFonts w:cs="Arial" w:hint="cs"/>
          <w:rtl/>
        </w:rPr>
        <w:t>:</w:t>
      </w:r>
      <w:r w:rsidRPr="00076C39">
        <w:rPr>
          <w:rFonts w:cs="Arial"/>
          <w:rtl/>
        </w:rPr>
        <w:t xml:space="preserve"> הוציאה גט וכתובה ומיתה</w:t>
      </w:r>
      <w:r>
        <w:rPr>
          <w:rStyle w:val="a7"/>
          <w:rFonts w:cs="Arial"/>
          <w:rtl/>
        </w:rPr>
        <w:footnoteReference w:id="2469"/>
      </w:r>
      <w:r w:rsidRPr="00076C39">
        <w:rPr>
          <w:rFonts w:cs="Arial"/>
          <w:rtl/>
        </w:rPr>
        <w:t>,</w:t>
      </w:r>
      <w:r>
        <w:rPr>
          <w:rFonts w:hint="cs"/>
          <w:sz w:val="14"/>
          <w:szCs w:val="14"/>
          <w:rtl/>
        </w:rPr>
        <w:t xml:space="preserve"> (צ.)</w:t>
      </w:r>
      <w:r w:rsidRPr="00076C39">
        <w:rPr>
          <w:rtl/>
        </w:rPr>
        <w:t xml:space="preserve"> </w:t>
      </w:r>
      <w:r w:rsidRPr="00076C39">
        <w:rPr>
          <w:rFonts w:cs="Arial"/>
          <w:rtl/>
        </w:rPr>
        <w:t>אם גט קודם לכתובה</w:t>
      </w:r>
      <w:r>
        <w:rPr>
          <w:rStyle w:val="a7"/>
          <w:rFonts w:cs="Arial"/>
          <w:rtl/>
        </w:rPr>
        <w:footnoteReference w:id="2470"/>
      </w:r>
      <w:r w:rsidRPr="00076C39">
        <w:rPr>
          <w:rFonts w:cs="Arial"/>
          <w:rtl/>
        </w:rPr>
        <w:t xml:space="preserve"> - גובה שתי כתובות, כתובה קודמת לגט - אינה גובה אלא כתובה אחת, שהמגרש את אשתו והחזירה, על מנת כתובה הראשונה החזירה.</w:t>
      </w:r>
    </w:p>
    <w:p w14:paraId="42F656F5" w14:textId="77777777" w:rsidR="002E5BAD" w:rsidRPr="002D0AA5" w:rsidRDefault="002E5BAD" w:rsidP="002E5BAD">
      <w:pPr>
        <w:rPr>
          <w:u w:val="single"/>
          <w:rtl/>
        </w:rPr>
      </w:pPr>
      <w:r w:rsidRPr="002D0AA5">
        <w:rPr>
          <w:rFonts w:cs="Arial"/>
          <w:u w:val="single"/>
          <w:rtl/>
        </w:rPr>
        <w:t>הוציאה גט וכתובה ו</w:t>
      </w:r>
      <w:r w:rsidRPr="002D0AA5">
        <w:rPr>
          <w:rFonts w:cs="Arial" w:hint="cs"/>
          <w:u w:val="single"/>
          <w:rtl/>
        </w:rPr>
        <w:t xml:space="preserve">הביאה </w:t>
      </w:r>
      <w:r w:rsidRPr="002D0AA5">
        <w:rPr>
          <w:rFonts w:cs="Arial"/>
          <w:u w:val="single"/>
          <w:rtl/>
        </w:rPr>
        <w:t>עידי מיתה</w:t>
      </w:r>
      <w:r w:rsidRPr="002D0AA5">
        <w:rPr>
          <w:rFonts w:hint="cs"/>
          <w:u w:val="single"/>
          <w:rtl/>
        </w:rPr>
        <w:t>:</w:t>
      </w:r>
    </w:p>
    <w:p w14:paraId="7F72BF2E" w14:textId="77777777" w:rsidR="002E5BAD" w:rsidRDefault="002E5BAD" w:rsidP="00B75458">
      <w:pPr>
        <w:pStyle w:val="ab"/>
        <w:numPr>
          <w:ilvl w:val="0"/>
          <w:numId w:val="192"/>
        </w:numPr>
      </w:pPr>
      <w:r>
        <w:rPr>
          <w:rFonts w:cs="Arial" w:hint="cs"/>
          <w:rtl/>
        </w:rPr>
        <w:t xml:space="preserve">טור- </w:t>
      </w:r>
      <w:r w:rsidRPr="003D2914">
        <w:rPr>
          <w:rFonts w:cs="Arial"/>
          <w:rtl/>
        </w:rPr>
        <w:t>הוציאה גט וכתובה ועידי מיתה</w:t>
      </w:r>
      <w:r>
        <w:rPr>
          <w:rFonts w:cs="Arial" w:hint="cs"/>
          <w:rtl/>
        </w:rPr>
        <w:t>,</w:t>
      </w:r>
      <w:r w:rsidRPr="003D2914">
        <w:rPr>
          <w:rFonts w:cs="Arial"/>
          <w:rtl/>
        </w:rPr>
        <w:t xml:space="preserve"> אם הגט קודם לכתובה רואין אם אין דרך לכתוב כתובה </w:t>
      </w:r>
      <w:r>
        <w:rPr>
          <w:rFonts w:cs="Arial" w:hint="cs"/>
          <w:rtl/>
        </w:rPr>
        <w:t xml:space="preserve">- </w:t>
      </w:r>
      <w:r w:rsidRPr="003D2914">
        <w:rPr>
          <w:rFonts w:cs="Arial"/>
          <w:rtl/>
        </w:rPr>
        <w:t>גובה בגט עיקר הכתובה</w:t>
      </w:r>
      <w:r>
        <w:rPr>
          <w:rFonts w:cs="Arial" w:hint="cs"/>
          <w:rtl/>
        </w:rPr>
        <w:t>,</w:t>
      </w:r>
      <w:r w:rsidRPr="003D2914">
        <w:rPr>
          <w:rFonts w:cs="Arial"/>
          <w:rtl/>
        </w:rPr>
        <w:t xml:space="preserve"> ובכתובה גובה כל מה שכתוב בה</w:t>
      </w:r>
      <w:r>
        <w:rPr>
          <w:rFonts w:cs="Arial" w:hint="cs"/>
          <w:rtl/>
        </w:rPr>
        <w:t>,</w:t>
      </w:r>
      <w:r w:rsidRPr="003D2914">
        <w:rPr>
          <w:rFonts w:cs="Arial"/>
          <w:rtl/>
        </w:rPr>
        <w:t xml:space="preserve"> שהרי זכתה בה במיתת הבעל</w:t>
      </w:r>
      <w:r>
        <w:rPr>
          <w:rFonts w:cs="Arial" w:hint="cs"/>
          <w:rtl/>
        </w:rPr>
        <w:t>.</w:t>
      </w:r>
      <w:r w:rsidRPr="003D2914">
        <w:rPr>
          <w:rFonts w:cs="Arial"/>
          <w:rtl/>
        </w:rPr>
        <w:t xml:space="preserve"> ואם כתובה קודמת לגט </w:t>
      </w:r>
      <w:r>
        <w:rPr>
          <w:rFonts w:cs="Arial" w:hint="cs"/>
          <w:rtl/>
        </w:rPr>
        <w:t xml:space="preserve">- </w:t>
      </w:r>
      <w:r w:rsidRPr="003D2914">
        <w:rPr>
          <w:rFonts w:cs="Arial"/>
          <w:rtl/>
        </w:rPr>
        <w:t>אין לה אלא כתובה אחת שעל דעת כתובה הראשונה החזירה</w:t>
      </w:r>
      <w:r>
        <w:rPr>
          <w:rFonts w:cs="Arial" w:hint="cs"/>
          <w:rtl/>
        </w:rPr>
        <w:t>.</w:t>
      </w:r>
      <w:r>
        <w:rPr>
          <w:rFonts w:hint="cs"/>
          <w:rtl/>
        </w:rPr>
        <w:t xml:space="preserve"> </w:t>
      </w:r>
      <w:r w:rsidRPr="007775A3">
        <w:rPr>
          <w:rFonts w:hint="cs"/>
          <w:color w:val="E36C0A" w:themeColor="accent6" w:themeShade="BF"/>
          <w:rtl/>
        </w:rPr>
        <w:t>(וכ"פ בשו"ע)</w:t>
      </w:r>
    </w:p>
    <w:p w14:paraId="701D412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59F965" w14:textId="77777777" w:rsidR="002E5BAD" w:rsidRPr="007A3469" w:rsidRDefault="002E5BAD" w:rsidP="002E5BAD">
      <w:pPr>
        <w:rPr>
          <w:rtl/>
        </w:rPr>
        <w:sectPr w:rsidR="002E5BAD" w:rsidRPr="007A3469" w:rsidSect="00A347B3">
          <w:headerReference w:type="default" r:id="rId57"/>
          <w:footnotePr>
            <w:numRestart w:val="eachPage"/>
          </w:footnotePr>
          <w:pgSz w:w="11906" w:h="16838"/>
          <w:pgMar w:top="720" w:right="1134" w:bottom="720" w:left="1134" w:header="0" w:footer="0" w:gutter="0"/>
          <w:cols w:space="720"/>
          <w:bidi/>
          <w:rtlGutter/>
          <w:docGrid w:linePitch="360"/>
        </w:sectPr>
      </w:pPr>
      <w:r>
        <w:rPr>
          <w:rFonts w:cs="Arial"/>
          <w:rtl/>
        </w:rPr>
        <w:t>הוציאה גט וכתובה אחר מיתת הבעל, אם גט קודם לכתובה, גובה בגט זה עיקר כתובה, אם אין דרכם לכתוב כתובה, וגובה כל מה שיש בכתובתה זו, שהרי זכתה בה במיתתו. ואם כתובה קדמה את הגט, אין לה אלא כתובה אחת, שעל דעת כתובתה הראשונה החזירה.</w:t>
      </w:r>
    </w:p>
    <w:p w14:paraId="6FC16B62" w14:textId="77777777" w:rsidR="002E5BAD" w:rsidRDefault="002E5BAD" w:rsidP="002E5BAD">
      <w:pPr>
        <w:pStyle w:val="1"/>
        <w:rPr>
          <w:rtl/>
        </w:rPr>
      </w:pPr>
      <w:r>
        <w:rPr>
          <w:rFonts w:hint="cs"/>
          <w:rtl/>
        </w:rPr>
        <w:lastRenderedPageBreak/>
        <w:t>סימן קא:</w:t>
      </w:r>
      <w:r w:rsidRPr="00C12B74">
        <w:rPr>
          <w:rtl/>
        </w:rPr>
        <w:t xml:space="preserve"> </w:t>
      </w:r>
      <w:r>
        <w:rPr>
          <w:rFonts w:cs="Arial"/>
          <w:rtl/>
        </w:rPr>
        <w:t xml:space="preserve">עד כמה גובה כתובתה, ובו ד' סעיפים. </w:t>
      </w:r>
    </w:p>
    <w:p w14:paraId="6A418AAE" w14:textId="77777777" w:rsidR="002E5BAD" w:rsidRDefault="002E5BAD" w:rsidP="002E5BAD">
      <w:pPr>
        <w:pStyle w:val="2"/>
        <w:rPr>
          <w:rtl/>
        </w:rPr>
      </w:pPr>
      <w:r>
        <w:rPr>
          <w:rtl/>
        </w:rPr>
        <w:t>סעיף א</w:t>
      </w:r>
      <w:r>
        <w:rPr>
          <w:rFonts w:hint="cs"/>
          <w:rtl/>
        </w:rPr>
        <w:t>:</w:t>
      </w:r>
      <w:r w:rsidRPr="00BA48F0">
        <w:rPr>
          <w:rFonts w:hint="cs"/>
          <w:rtl/>
        </w:rPr>
        <w:t xml:space="preserve"> </w:t>
      </w:r>
      <w:r>
        <w:rPr>
          <w:rFonts w:hint="cs"/>
          <w:rtl/>
        </w:rPr>
        <w:t>עד מתי יכולה האלמנה לגבות כתובתה.</w:t>
      </w:r>
    </w:p>
    <w:p w14:paraId="6F722D9E" w14:textId="77777777" w:rsidR="002E5BAD"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BA48F0">
        <w:rPr>
          <w:rtl/>
        </w:rPr>
        <w:t xml:space="preserve"> </w:t>
      </w:r>
      <w:r w:rsidRPr="00E14BD0">
        <w:rPr>
          <w:rFonts w:cs="Arial"/>
          <w:u w:val="single"/>
          <w:rtl/>
        </w:rPr>
        <w:t>אמר רב נחמן בר יצחק</w:t>
      </w:r>
      <w:r>
        <w:rPr>
          <w:rFonts w:cs="Arial" w:hint="cs"/>
          <w:rtl/>
        </w:rPr>
        <w:t>:</w:t>
      </w:r>
      <w:r w:rsidRPr="00BA48F0">
        <w:rPr>
          <w:rFonts w:cs="Arial"/>
          <w:rtl/>
        </w:rPr>
        <w:t xml:space="preserve"> תני רב יהודה בר קזא במתניתא דבי בר קזא:</w:t>
      </w:r>
      <w:r>
        <w:rPr>
          <w:rFonts w:cs="Arial" w:hint="cs"/>
          <w:rtl/>
        </w:rPr>
        <w:t xml:space="preserve">... </w:t>
      </w:r>
      <w:r>
        <w:rPr>
          <w:rFonts w:cs="Arial" w:hint="cs"/>
          <w:sz w:val="14"/>
          <w:szCs w:val="14"/>
          <w:rtl/>
        </w:rPr>
        <w:t xml:space="preserve">(קד:) </w:t>
      </w:r>
      <w:r w:rsidRPr="00E14BD0">
        <w:rPr>
          <w:rFonts w:cs="Arial"/>
          <w:rtl/>
        </w:rPr>
        <w:t xml:space="preserve">ואם היה שטר כתובה יוצא מתחת ידיה - גובה כתובתה לעולם. </w:t>
      </w:r>
    </w:p>
    <w:p w14:paraId="0A4D02A2" w14:textId="77777777" w:rsidR="002E5BAD" w:rsidRPr="00BA48F0" w:rsidRDefault="002E5BAD" w:rsidP="002E5BAD">
      <w:pPr>
        <w:rPr>
          <w:u w:val="single"/>
          <w:rtl/>
        </w:rPr>
      </w:pPr>
      <w:r w:rsidRPr="00BA48F0">
        <w:rPr>
          <w:rFonts w:hint="cs"/>
          <w:u w:val="single"/>
          <w:rtl/>
        </w:rPr>
        <w:t>עד מתי יכולה האשה לגבות כתובתה:</w:t>
      </w:r>
    </w:p>
    <w:p w14:paraId="476ABA9F" w14:textId="77777777" w:rsidR="002E5BAD" w:rsidRDefault="002E5BAD" w:rsidP="00B75458">
      <w:pPr>
        <w:pStyle w:val="ab"/>
        <w:numPr>
          <w:ilvl w:val="0"/>
          <w:numId w:val="192"/>
        </w:numPr>
      </w:pPr>
      <w:r>
        <w:rPr>
          <w:rFonts w:cs="Arial" w:hint="cs"/>
          <w:rtl/>
        </w:rPr>
        <w:t>רמב"ם</w:t>
      </w:r>
      <w:r>
        <w:rPr>
          <w:rStyle w:val="a7"/>
          <w:rFonts w:cs="Arial"/>
          <w:rtl/>
        </w:rPr>
        <w:footnoteReference w:id="2471"/>
      </w:r>
      <w:r>
        <w:rPr>
          <w:rFonts w:cs="Arial" w:hint="cs"/>
          <w:sz w:val="16"/>
          <w:szCs w:val="16"/>
          <w:rtl/>
        </w:rPr>
        <w:t xml:space="preserve"> (פט"ז מאישות הכ"א)</w:t>
      </w:r>
      <w:r>
        <w:rPr>
          <w:rFonts w:cs="Arial" w:hint="cs"/>
          <w:rtl/>
        </w:rPr>
        <w:t xml:space="preserve"> ו</w:t>
      </w:r>
      <w:r w:rsidRPr="00B97831">
        <w:rPr>
          <w:rFonts w:cs="Arial" w:hint="cs"/>
          <w:rtl/>
        </w:rPr>
        <w:t xml:space="preserve">טור- </w:t>
      </w:r>
      <w:r w:rsidRPr="00B97831">
        <w:rPr>
          <w:rFonts w:cs="Arial"/>
          <w:rtl/>
        </w:rPr>
        <w:t>אלמנה כל זמן ששטר כתובתה בידה גובה כתובתה לעולם בין אם נותנין לה מזונות בבית אביה או בבית בעלה</w:t>
      </w:r>
      <w:r>
        <w:rPr>
          <w:rStyle w:val="a7"/>
          <w:rFonts w:cs="Arial"/>
          <w:rtl/>
        </w:rPr>
        <w:footnoteReference w:id="2472"/>
      </w:r>
      <w:r>
        <w:rPr>
          <w:rFonts w:cs="Arial" w:hint="cs"/>
          <w:rtl/>
        </w:rPr>
        <w:t>.</w:t>
      </w:r>
      <w:r>
        <w:rPr>
          <w:rFonts w:hint="cs"/>
          <w:rtl/>
        </w:rPr>
        <w:t xml:space="preserve"> </w:t>
      </w:r>
      <w:r w:rsidRPr="007775A3">
        <w:rPr>
          <w:rFonts w:hint="cs"/>
          <w:color w:val="E36C0A" w:themeColor="accent6" w:themeShade="BF"/>
          <w:rtl/>
        </w:rPr>
        <w:t>(וכ"פ בשו"ע)</w:t>
      </w:r>
    </w:p>
    <w:p w14:paraId="64864152" w14:textId="77777777" w:rsidR="002E5BAD" w:rsidRDefault="002E5BAD" w:rsidP="002E5BAD">
      <w:pPr>
        <w:rPr>
          <w:rtl/>
        </w:rPr>
      </w:pPr>
      <w:r w:rsidRPr="00797A58">
        <w:rPr>
          <w:rFonts w:cs="Arial" w:hint="cs"/>
          <w:b/>
          <w:bCs/>
          <w:rtl/>
        </w:rPr>
        <w:t xml:space="preserve">גיטין </w:t>
      </w:r>
      <w:r w:rsidRPr="00797A58">
        <w:rPr>
          <w:rFonts w:cs="Arial" w:hint="cs"/>
          <w:b/>
          <w:bCs/>
          <w:sz w:val="16"/>
          <w:szCs w:val="16"/>
          <w:rtl/>
        </w:rPr>
        <w:t>(פ' השולח)</w:t>
      </w:r>
      <w:r w:rsidRPr="00797A58">
        <w:rPr>
          <w:rFonts w:cs="Arial" w:hint="cs"/>
          <w:b/>
          <w:bCs/>
          <w:rtl/>
        </w:rPr>
        <w:t xml:space="preserve"> לד ע"ב:</w:t>
      </w:r>
      <w:r>
        <w:rPr>
          <w:rFonts w:cs="Arial" w:hint="cs"/>
          <w:rtl/>
        </w:rPr>
        <w:t xml:space="preserve"> </w:t>
      </w:r>
      <w:r w:rsidRPr="00797A58">
        <w:rPr>
          <w:rFonts w:cs="Arial"/>
          <w:u w:val="double"/>
          <w:rtl/>
        </w:rPr>
        <w:t>מתני'</w:t>
      </w:r>
      <w:r>
        <w:rPr>
          <w:rFonts w:cs="Arial" w:hint="cs"/>
          <w:rtl/>
        </w:rPr>
        <w:t>:</w:t>
      </w:r>
      <w:r w:rsidRPr="00797A58">
        <w:rPr>
          <w:rFonts w:cs="Arial"/>
          <w:rtl/>
        </w:rPr>
        <w:t xml:space="preserve"> אין אלמנה נפרעת מנכסי יתומים אלא בשבועה</w:t>
      </w:r>
      <w:r>
        <w:rPr>
          <w:rStyle w:val="a7"/>
          <w:rFonts w:cs="Arial"/>
          <w:rtl/>
        </w:rPr>
        <w:footnoteReference w:id="2473"/>
      </w:r>
      <w:r w:rsidRPr="00797A58">
        <w:rPr>
          <w:rFonts w:cs="Arial"/>
          <w:rtl/>
        </w:rPr>
        <w:t>. נמנעו מלהשביעה</w:t>
      </w:r>
      <w:r>
        <w:rPr>
          <w:rStyle w:val="a7"/>
          <w:rFonts w:cs="Arial"/>
          <w:rtl/>
        </w:rPr>
        <w:footnoteReference w:id="2474"/>
      </w:r>
      <w:r w:rsidRPr="00797A58">
        <w:rPr>
          <w:rFonts w:cs="Arial"/>
          <w:rtl/>
        </w:rPr>
        <w:t>, התקין ר"ג הזקן, שתהא נודרת ליתומים כל מה שירצו</w:t>
      </w:r>
      <w:r>
        <w:rPr>
          <w:rStyle w:val="a7"/>
          <w:rFonts w:cs="Arial"/>
          <w:rtl/>
        </w:rPr>
        <w:footnoteReference w:id="2475"/>
      </w:r>
      <w:r w:rsidRPr="00797A58">
        <w:rPr>
          <w:rFonts w:cs="Arial"/>
          <w:rtl/>
        </w:rPr>
        <w:t xml:space="preserve"> וגובה כתובתה.</w:t>
      </w:r>
      <w:r w:rsidRPr="00797A58">
        <w:rPr>
          <w:rtl/>
        </w:rPr>
        <w:t xml:space="preserve"> </w:t>
      </w:r>
      <w:r>
        <w:rPr>
          <w:rFonts w:hint="cs"/>
          <w:rtl/>
        </w:rPr>
        <w:t xml:space="preserve">       </w:t>
      </w:r>
      <w:r w:rsidRPr="00797A58">
        <w:rPr>
          <w:rFonts w:hint="cs"/>
          <w:u w:val="double"/>
          <w:rtl/>
        </w:rPr>
        <w:t>גמ'</w:t>
      </w:r>
      <w:r>
        <w:rPr>
          <w:rFonts w:hint="cs"/>
          <w:sz w:val="14"/>
          <w:szCs w:val="14"/>
          <w:u w:val="double"/>
          <w:rtl/>
        </w:rPr>
        <w:t>(לה:)</w:t>
      </w:r>
      <w:r w:rsidRPr="00797A58">
        <w:rPr>
          <w:rFonts w:hint="cs"/>
          <w:u w:val="double"/>
          <w:rtl/>
        </w:rPr>
        <w:t>:</w:t>
      </w:r>
      <w:r>
        <w:rPr>
          <w:rFonts w:hint="cs"/>
          <w:rtl/>
        </w:rPr>
        <w:t xml:space="preserve"> </w:t>
      </w:r>
      <w:r w:rsidRPr="00797A58">
        <w:rPr>
          <w:rFonts w:cs="Arial"/>
          <w:rtl/>
        </w:rPr>
        <w:t xml:space="preserve">התקין רבן גמליאל הזקן שתהא נודרת כו'. </w:t>
      </w:r>
      <w:r w:rsidRPr="00797A58">
        <w:rPr>
          <w:rFonts w:cs="Arial"/>
          <w:u w:val="single"/>
          <w:rtl/>
        </w:rPr>
        <w:t>אמר רב הונא</w:t>
      </w:r>
      <w:r w:rsidRPr="00797A58">
        <w:rPr>
          <w:rFonts w:cs="Arial"/>
          <w:rtl/>
        </w:rPr>
        <w:t>: לא שנו אלא בשלא ניסת, אבל ניסת - אין מדירין אותה. ניסת מאי טעמא? דמיפר לה בעל, כי לא ניסת נמי, לכי מנסבא מיפר לה בעל! אין הבעל מיפר בקודמין.</w:t>
      </w:r>
      <w:r w:rsidRPr="009B79F0">
        <w:rPr>
          <w:rFonts w:cs="Arial"/>
          <w:rtl/>
        </w:rPr>
        <w:t xml:space="preserve"> </w:t>
      </w:r>
      <w:r w:rsidRPr="009B79F0">
        <w:rPr>
          <w:rFonts w:cs="Arial" w:hint="cs"/>
          <w:sz w:val="16"/>
          <w:szCs w:val="16"/>
          <w:rtl/>
        </w:rPr>
        <w:t>(</w:t>
      </w:r>
      <w:r w:rsidRPr="009B79F0">
        <w:rPr>
          <w:rFonts w:cs="Arial"/>
          <w:sz w:val="16"/>
          <w:szCs w:val="16"/>
          <w:rtl/>
        </w:rPr>
        <w:t>ומשמע הא שבועה דאין הבעל יכול להפר שפיר דמי</w:t>
      </w:r>
      <w:r>
        <w:rPr>
          <w:rFonts w:cs="Arial" w:hint="cs"/>
          <w:sz w:val="16"/>
          <w:szCs w:val="16"/>
          <w:rtl/>
        </w:rPr>
        <w:t>, ב"י)</w:t>
      </w:r>
      <w:r>
        <w:rPr>
          <w:rFonts w:hint="cs"/>
          <w:rtl/>
        </w:rPr>
        <w:t xml:space="preserve"> </w:t>
      </w:r>
    </w:p>
    <w:p w14:paraId="0D84E5A5" w14:textId="77777777" w:rsidR="002E5BAD" w:rsidRPr="003D4955" w:rsidRDefault="002E5BAD" w:rsidP="002E5BAD">
      <w:pPr>
        <w:rPr>
          <w:u w:val="single"/>
        </w:rPr>
      </w:pPr>
      <w:r w:rsidRPr="003D4955">
        <w:rPr>
          <w:rFonts w:hint="cs"/>
          <w:u w:val="single"/>
          <w:rtl/>
        </w:rPr>
        <w:t xml:space="preserve">אשה </w:t>
      </w:r>
      <w:r>
        <w:rPr>
          <w:rFonts w:hint="cs"/>
          <w:u w:val="single"/>
          <w:rtl/>
        </w:rPr>
        <w:t>ש</w:t>
      </w:r>
      <w:r w:rsidRPr="003D4955">
        <w:rPr>
          <w:rFonts w:hint="cs"/>
          <w:u w:val="single"/>
          <w:rtl/>
        </w:rPr>
        <w:t>נשאת</w:t>
      </w:r>
      <w:r>
        <w:rPr>
          <w:rFonts w:hint="cs"/>
          <w:u w:val="single"/>
          <w:rtl/>
        </w:rPr>
        <w:t xml:space="preserve"> לפני שגבתה כתובתה</w:t>
      </w:r>
      <w:r w:rsidRPr="003D4955">
        <w:rPr>
          <w:rFonts w:hint="cs"/>
          <w:u w:val="single"/>
          <w:rtl/>
        </w:rPr>
        <w:t>:</w:t>
      </w:r>
    </w:p>
    <w:p w14:paraId="3E6AB246" w14:textId="77777777" w:rsidR="002E5BAD" w:rsidRPr="000729CE" w:rsidRDefault="002E5BAD" w:rsidP="00B75458">
      <w:pPr>
        <w:pStyle w:val="ab"/>
        <w:numPr>
          <w:ilvl w:val="0"/>
          <w:numId w:val="192"/>
        </w:numPr>
      </w:pPr>
      <w:r>
        <w:rPr>
          <w:rFonts w:cs="Arial" w:hint="cs"/>
          <w:rtl/>
        </w:rPr>
        <w:t>רא"ש</w:t>
      </w:r>
      <w:r>
        <w:rPr>
          <w:rFonts w:cs="Arial" w:hint="cs"/>
          <w:sz w:val="16"/>
          <w:szCs w:val="16"/>
          <w:rtl/>
        </w:rPr>
        <w:t xml:space="preserve"> (כלל לו סי' ב)</w:t>
      </w:r>
      <w:r>
        <w:rPr>
          <w:rFonts w:cs="Arial" w:hint="cs"/>
          <w:rtl/>
        </w:rPr>
        <w:t xml:space="preserve">- גובה </w:t>
      </w:r>
      <w:r w:rsidRPr="00B97831">
        <w:rPr>
          <w:rFonts w:cs="Arial"/>
          <w:rtl/>
        </w:rPr>
        <w:t>אפי' אחר שתינשא</w:t>
      </w:r>
      <w:r>
        <w:rPr>
          <w:rFonts w:cs="Arial" w:hint="cs"/>
          <w:rtl/>
        </w:rPr>
        <w:t>,</w:t>
      </w:r>
      <w:r w:rsidRPr="00B97831">
        <w:rPr>
          <w:rFonts w:cs="Arial"/>
          <w:rtl/>
        </w:rPr>
        <w:t xml:space="preserve"> ונשבעת אף על פי שהיא נשואה</w:t>
      </w:r>
      <w:r>
        <w:rPr>
          <w:rFonts w:cs="Arial" w:hint="cs"/>
          <w:sz w:val="16"/>
          <w:szCs w:val="16"/>
          <w:rtl/>
        </w:rPr>
        <w:t xml:space="preserve"> (ל' הטור בשמו)</w:t>
      </w:r>
      <w:r>
        <w:rPr>
          <w:rFonts w:cs="Arial" w:hint="cs"/>
          <w:rtl/>
        </w:rPr>
        <w:t>.</w:t>
      </w:r>
      <w:r w:rsidRPr="00B97831">
        <w:rPr>
          <w:rFonts w:cs="Arial"/>
          <w:rtl/>
        </w:rPr>
        <w:t xml:space="preserve"> </w:t>
      </w:r>
      <w:r w:rsidRPr="007775A3">
        <w:rPr>
          <w:rFonts w:hint="cs"/>
          <w:color w:val="E36C0A" w:themeColor="accent6" w:themeShade="BF"/>
          <w:rtl/>
        </w:rPr>
        <w:t>(וכ"פ בשו"ע)</w:t>
      </w:r>
    </w:p>
    <w:p w14:paraId="1E45FE46" w14:textId="77777777" w:rsidR="002E5BAD" w:rsidRDefault="002E5BAD" w:rsidP="00B75458">
      <w:pPr>
        <w:pStyle w:val="ab"/>
        <w:numPr>
          <w:ilvl w:val="0"/>
          <w:numId w:val="192"/>
        </w:numPr>
      </w:pPr>
      <w:r>
        <w:rPr>
          <w:rFonts w:cs="Arial"/>
          <w:rtl/>
        </w:rPr>
        <w:t xml:space="preserve">בעל התרומות </w:t>
      </w:r>
      <w:r w:rsidRPr="00E14BD0">
        <w:rPr>
          <w:rFonts w:cs="Arial"/>
          <w:sz w:val="16"/>
          <w:szCs w:val="16"/>
          <w:rtl/>
        </w:rPr>
        <w:t>(שער יד חלק א דין א)</w:t>
      </w:r>
      <w:r>
        <w:rPr>
          <w:rFonts w:cs="Arial"/>
          <w:rtl/>
        </w:rPr>
        <w:t xml:space="preserve"> ובהעי</w:t>
      </w:r>
      <w:r>
        <w:rPr>
          <w:rFonts w:cs="Arial" w:hint="cs"/>
          <w:rtl/>
        </w:rPr>
        <w:t>"</w:t>
      </w:r>
      <w:r>
        <w:rPr>
          <w:rFonts w:cs="Arial"/>
          <w:rtl/>
        </w:rPr>
        <w:t xml:space="preserve">ט </w:t>
      </w:r>
      <w:r w:rsidRPr="00E14BD0">
        <w:rPr>
          <w:rFonts w:cs="Arial"/>
          <w:sz w:val="16"/>
          <w:szCs w:val="16"/>
          <w:rtl/>
        </w:rPr>
        <w:t>(חלק א אות כ כתובות לה ע"ב)</w:t>
      </w:r>
      <w:r>
        <w:rPr>
          <w:rFonts w:cs="Arial" w:hint="cs"/>
          <w:rtl/>
        </w:rPr>
        <w:t xml:space="preserve">- </w:t>
      </w:r>
      <w:r w:rsidRPr="00B97831">
        <w:rPr>
          <w:rFonts w:cs="Arial"/>
          <w:rtl/>
        </w:rPr>
        <w:t>אם נשאת שוב אינה נאמנת ואין נותנין לה אא"כ תביא עדים שלא קבלתה</w:t>
      </w:r>
      <w:r>
        <w:rPr>
          <w:rFonts w:cs="Arial" w:hint="cs"/>
          <w:sz w:val="16"/>
          <w:szCs w:val="16"/>
          <w:rtl/>
        </w:rPr>
        <w:t xml:space="preserve"> (ל' הטור בשם בעל התרומות)</w:t>
      </w:r>
      <w:r>
        <w:rPr>
          <w:rFonts w:cs="Arial" w:hint="cs"/>
          <w:rtl/>
        </w:rPr>
        <w:t>.</w:t>
      </w:r>
    </w:p>
    <w:p w14:paraId="7E388AE8" w14:textId="77777777" w:rsidR="002E5BAD" w:rsidRPr="00371719" w:rsidRDefault="002E5BAD" w:rsidP="002E5BAD">
      <w:pPr>
        <w:ind w:left="360"/>
        <w:rPr>
          <w:sz w:val="16"/>
          <w:szCs w:val="16"/>
        </w:rPr>
      </w:pPr>
      <w:r w:rsidRPr="00371719">
        <w:rPr>
          <w:rFonts w:hint="cs"/>
          <w:u w:val="dotted"/>
          <w:rtl/>
        </w:rPr>
        <w:t xml:space="preserve">לרא"ש וסיעתו </w:t>
      </w:r>
      <w:r w:rsidRPr="00371719">
        <w:rPr>
          <w:u w:val="dotted"/>
          <w:rtl/>
        </w:rPr>
        <w:t>–</w:t>
      </w:r>
      <w:r w:rsidRPr="00371719">
        <w:rPr>
          <w:rFonts w:hint="cs"/>
          <w:u w:val="dotted"/>
          <w:rtl/>
        </w:rPr>
        <w:t xml:space="preserve"> האם האשה גובה גם מנכסי יתומים קטנים:</w:t>
      </w:r>
      <w:r>
        <w:rPr>
          <w:rFonts w:hint="cs"/>
          <w:sz w:val="16"/>
          <w:szCs w:val="16"/>
          <w:rtl/>
        </w:rPr>
        <w:t xml:space="preserve">  (דרכ"מ אות א)</w:t>
      </w:r>
    </w:p>
    <w:p w14:paraId="5A35F16C" w14:textId="77777777" w:rsidR="002E5BAD" w:rsidRPr="00371719" w:rsidRDefault="002E5BAD" w:rsidP="00B75458">
      <w:pPr>
        <w:pStyle w:val="ab"/>
        <w:numPr>
          <w:ilvl w:val="0"/>
          <w:numId w:val="192"/>
        </w:numPr>
      </w:pPr>
      <w:r w:rsidRPr="00B97831">
        <w:rPr>
          <w:rFonts w:cs="Arial"/>
          <w:rtl/>
        </w:rPr>
        <w:t xml:space="preserve">רא"ש </w:t>
      </w:r>
      <w:r w:rsidRPr="00371719">
        <w:rPr>
          <w:rFonts w:cs="Arial" w:hint="cs"/>
          <w:sz w:val="16"/>
          <w:szCs w:val="16"/>
          <w:rtl/>
        </w:rPr>
        <w:t>(</w:t>
      </w:r>
      <w:r w:rsidRPr="00371719">
        <w:rPr>
          <w:rFonts w:cs="Arial"/>
          <w:sz w:val="16"/>
          <w:szCs w:val="16"/>
          <w:rtl/>
        </w:rPr>
        <w:t>סי</w:t>
      </w:r>
      <w:r w:rsidRPr="00371719">
        <w:rPr>
          <w:rFonts w:cs="Arial" w:hint="cs"/>
          <w:sz w:val="16"/>
          <w:szCs w:val="16"/>
          <w:rtl/>
        </w:rPr>
        <w:t>'</w:t>
      </w:r>
      <w:r w:rsidRPr="00371719">
        <w:rPr>
          <w:rFonts w:cs="Arial"/>
          <w:sz w:val="16"/>
          <w:szCs w:val="16"/>
          <w:rtl/>
        </w:rPr>
        <w:t xml:space="preserve"> א כלל פה</w:t>
      </w:r>
      <w:r w:rsidRPr="00371719">
        <w:rPr>
          <w:rFonts w:cs="Arial" w:hint="cs"/>
          <w:sz w:val="16"/>
          <w:szCs w:val="16"/>
          <w:rtl/>
        </w:rPr>
        <w:t>)</w:t>
      </w:r>
      <w:r>
        <w:rPr>
          <w:rFonts w:cs="Arial" w:hint="cs"/>
          <w:rtl/>
        </w:rPr>
        <w:t>-</w:t>
      </w:r>
      <w:r w:rsidRPr="00B97831">
        <w:rPr>
          <w:rFonts w:cs="Arial"/>
          <w:rtl/>
        </w:rPr>
        <w:t xml:space="preserve"> אפילו לאחר שנשאה גובאת כתובתה אפילו מיתומים קטנים</w:t>
      </w:r>
      <w:r>
        <w:rPr>
          <w:rFonts w:cs="Arial" w:hint="cs"/>
          <w:sz w:val="16"/>
          <w:szCs w:val="16"/>
          <w:rtl/>
        </w:rPr>
        <w:t xml:space="preserve"> (ל' הדרכ"מ בשמו)</w:t>
      </w:r>
      <w:r>
        <w:rPr>
          <w:rFonts w:cs="Arial" w:hint="cs"/>
          <w:rtl/>
        </w:rPr>
        <w:t>.</w:t>
      </w:r>
      <w:r w:rsidRPr="00B97831">
        <w:rPr>
          <w:rFonts w:cs="Arial"/>
          <w:rtl/>
        </w:rPr>
        <w:t xml:space="preserve"> </w:t>
      </w:r>
    </w:p>
    <w:p w14:paraId="627BA1E9" w14:textId="77777777" w:rsidR="002E5BAD" w:rsidRDefault="002E5BAD" w:rsidP="00B75458">
      <w:pPr>
        <w:pStyle w:val="ab"/>
        <w:numPr>
          <w:ilvl w:val="0"/>
          <w:numId w:val="192"/>
        </w:numPr>
      </w:pPr>
      <w:r w:rsidRPr="00B97831">
        <w:rPr>
          <w:rFonts w:cs="Arial"/>
          <w:rtl/>
        </w:rPr>
        <w:t xml:space="preserve">רמב"ם </w:t>
      </w:r>
      <w:r w:rsidRPr="00371719">
        <w:rPr>
          <w:rFonts w:cs="Arial" w:hint="cs"/>
          <w:sz w:val="16"/>
          <w:szCs w:val="16"/>
          <w:rtl/>
        </w:rPr>
        <w:t>(</w:t>
      </w:r>
      <w:r w:rsidRPr="00371719">
        <w:rPr>
          <w:rFonts w:cs="Arial"/>
          <w:sz w:val="16"/>
          <w:szCs w:val="16"/>
          <w:rtl/>
        </w:rPr>
        <w:t>פי"ב מהל</w:t>
      </w:r>
      <w:r w:rsidRPr="00371719">
        <w:rPr>
          <w:rFonts w:cs="Arial" w:hint="cs"/>
          <w:sz w:val="16"/>
          <w:szCs w:val="16"/>
          <w:rtl/>
        </w:rPr>
        <w:t>'</w:t>
      </w:r>
      <w:r w:rsidRPr="00371719">
        <w:rPr>
          <w:rFonts w:cs="Arial"/>
          <w:sz w:val="16"/>
          <w:szCs w:val="16"/>
          <w:rtl/>
        </w:rPr>
        <w:t xml:space="preserve"> מלוה ולוה ה"ג)</w:t>
      </w:r>
      <w:r>
        <w:rPr>
          <w:rFonts w:cs="Arial" w:hint="cs"/>
          <w:rtl/>
        </w:rPr>
        <w:t>-</w:t>
      </w:r>
      <w:r w:rsidRPr="00B97831">
        <w:rPr>
          <w:rFonts w:cs="Arial"/>
          <w:rtl/>
        </w:rPr>
        <w:t xml:space="preserve"> </w:t>
      </w:r>
      <w:r w:rsidRPr="0040053F">
        <w:rPr>
          <w:rFonts w:cs="Arial"/>
          <w:rtl/>
        </w:rPr>
        <w:t>וכן אשה שתבעה כתובתה בין אלמנה בין גרושה מעמידים להם אפוטרופוס ונזקקין משום חן האשה כדי שיהיה לה כלום שתנשא בו האשה לאחר, לפיכך אם קפצה האשה ונשאת ואחר כך באת לתבוע כתובתה מנכסי יתומים אין נזקקין לה עד שיגדלו היתומים שהרי אין לה מזונות והרי נשאת</w:t>
      </w:r>
      <w:r>
        <w:rPr>
          <w:rStyle w:val="a7"/>
          <w:rFonts w:cs="Arial"/>
          <w:rtl/>
        </w:rPr>
        <w:footnoteReference w:id="2476"/>
      </w:r>
      <w:r>
        <w:rPr>
          <w:rFonts w:cs="Arial" w:hint="cs"/>
          <w:rtl/>
        </w:rPr>
        <w:t>.</w:t>
      </w:r>
      <w:r w:rsidRPr="00B97831">
        <w:rPr>
          <w:rFonts w:cs="Arial"/>
          <w:rtl/>
        </w:rPr>
        <w:t xml:space="preserve"> </w:t>
      </w:r>
    </w:p>
    <w:p w14:paraId="3BFF5424" w14:textId="77777777" w:rsidR="002E5BAD" w:rsidRPr="003D4955" w:rsidRDefault="002E5BAD" w:rsidP="002E5BAD">
      <w:pPr>
        <w:rPr>
          <w:rFonts w:cs="Arial"/>
          <w:rtl/>
        </w:rPr>
      </w:pPr>
      <w:r w:rsidRPr="003D4955">
        <w:rPr>
          <w:rFonts w:cs="Arial" w:hint="cs"/>
          <w:b/>
          <w:bCs/>
          <w:rtl/>
        </w:rPr>
        <w:t xml:space="preserve">כתובות </w:t>
      </w:r>
      <w:r w:rsidRPr="003D4955">
        <w:rPr>
          <w:rFonts w:cs="Arial" w:hint="cs"/>
          <w:b/>
          <w:bCs/>
          <w:sz w:val="16"/>
          <w:szCs w:val="16"/>
          <w:rtl/>
        </w:rPr>
        <w:t>(ר"פ אע"פ)</w:t>
      </w:r>
      <w:r w:rsidRPr="003D4955">
        <w:rPr>
          <w:rFonts w:cs="Arial" w:hint="cs"/>
          <w:b/>
          <w:bCs/>
          <w:rtl/>
        </w:rPr>
        <w:t xml:space="preserve"> נד ע"ב: </w:t>
      </w:r>
      <w:r w:rsidRPr="003D4955">
        <w:rPr>
          <w:rFonts w:cs="Arial"/>
          <w:u w:val="single"/>
          <w:rtl/>
        </w:rPr>
        <w:t>דאמר ר' איבו אמר רבי ינאי</w:t>
      </w:r>
      <w:r w:rsidRPr="003D4955">
        <w:rPr>
          <w:rFonts w:cs="Arial"/>
          <w:rtl/>
        </w:rPr>
        <w:t xml:space="preserve">: תנאי כתובה ככתובה דמי. נפקא מינה? למוכרת, ולמוחלת, למורדת, ולפוגמת, לתובעת, ולעוברת על דת, </w:t>
      </w:r>
      <w:r w:rsidRPr="003D4955">
        <w:rPr>
          <w:rFonts w:cs="Arial" w:hint="cs"/>
          <w:sz w:val="14"/>
          <w:szCs w:val="14"/>
          <w:rtl/>
        </w:rPr>
        <w:t xml:space="preserve">(נה.) </w:t>
      </w:r>
      <w:r w:rsidRPr="003D4955">
        <w:rPr>
          <w:rFonts w:cs="Arial"/>
          <w:rtl/>
        </w:rPr>
        <w:t>לשבח, לשבועה, ולשביעית</w:t>
      </w:r>
      <w:r>
        <w:rPr>
          <w:rStyle w:val="a7"/>
          <w:rFonts w:cs="Arial"/>
          <w:rtl/>
        </w:rPr>
        <w:footnoteReference w:id="2477"/>
      </w:r>
      <w:r w:rsidRPr="003D4955">
        <w:rPr>
          <w:rFonts w:cs="Arial" w:hint="cs"/>
          <w:rtl/>
        </w:rPr>
        <w:t>...</w:t>
      </w:r>
    </w:p>
    <w:p w14:paraId="4D4BC384" w14:textId="77777777" w:rsidR="002E5BAD" w:rsidRPr="003D4955" w:rsidRDefault="002E5BAD" w:rsidP="002E5BAD">
      <w:pPr>
        <w:rPr>
          <w:rFonts w:cs="Arial"/>
        </w:rPr>
      </w:pPr>
      <w:r w:rsidRPr="003D4955">
        <w:rPr>
          <w:rFonts w:cs="Arial"/>
          <w:b/>
          <w:bCs/>
          <w:rtl/>
        </w:rPr>
        <w:lastRenderedPageBreak/>
        <w:t xml:space="preserve">גיטין </w:t>
      </w:r>
      <w:r w:rsidRPr="003D4955">
        <w:rPr>
          <w:rFonts w:cs="Arial"/>
          <w:b/>
          <w:bCs/>
          <w:sz w:val="16"/>
          <w:szCs w:val="16"/>
          <w:rtl/>
        </w:rPr>
        <w:t>(</w:t>
      </w:r>
      <w:r w:rsidRPr="003D4955">
        <w:rPr>
          <w:rFonts w:cs="Arial" w:hint="cs"/>
          <w:b/>
          <w:bCs/>
          <w:sz w:val="16"/>
          <w:szCs w:val="16"/>
          <w:rtl/>
        </w:rPr>
        <w:t xml:space="preserve">פ"ב) </w:t>
      </w:r>
      <w:r w:rsidRPr="003D4955">
        <w:rPr>
          <w:rFonts w:cs="Arial"/>
          <w:b/>
          <w:bCs/>
          <w:rtl/>
        </w:rPr>
        <w:t>יח</w:t>
      </w:r>
      <w:r w:rsidRPr="003D4955">
        <w:rPr>
          <w:rFonts w:cs="Arial" w:hint="cs"/>
          <w:b/>
          <w:bCs/>
          <w:rtl/>
        </w:rPr>
        <w:t xml:space="preserve"> ע"א:</w:t>
      </w:r>
      <w:r w:rsidRPr="003D4955">
        <w:rPr>
          <w:rFonts w:cs="Arial"/>
          <w:rtl/>
        </w:rPr>
        <w:t xml:space="preserve"> איתמר: מאימתי כתובה משמטת? </w:t>
      </w:r>
      <w:r w:rsidRPr="003D4955">
        <w:rPr>
          <w:rFonts w:cs="Arial"/>
          <w:u w:val="single"/>
          <w:rtl/>
        </w:rPr>
        <w:t>רב אמר</w:t>
      </w:r>
      <w:r w:rsidRPr="003D4955">
        <w:rPr>
          <w:rFonts w:cs="Arial"/>
          <w:rtl/>
        </w:rPr>
        <w:t>: משתפגום</w:t>
      </w:r>
      <w:r>
        <w:rPr>
          <w:rStyle w:val="a7"/>
          <w:rFonts w:cs="Arial"/>
          <w:rtl/>
        </w:rPr>
        <w:footnoteReference w:id="2478"/>
      </w:r>
      <w:r w:rsidRPr="003D4955">
        <w:rPr>
          <w:rFonts w:cs="Arial"/>
          <w:rtl/>
        </w:rPr>
        <w:t xml:space="preserve"> ותזקוף</w:t>
      </w:r>
      <w:r>
        <w:rPr>
          <w:rStyle w:val="a7"/>
          <w:rFonts w:cs="Arial"/>
          <w:rtl/>
        </w:rPr>
        <w:footnoteReference w:id="2479"/>
      </w:r>
      <w:r w:rsidRPr="003D4955">
        <w:rPr>
          <w:rFonts w:cs="Arial" w:hint="cs"/>
          <w:rtl/>
        </w:rPr>
        <w:t>.</w:t>
      </w:r>
      <w:r w:rsidRPr="003D4955">
        <w:rPr>
          <w:rFonts w:cs="Arial"/>
          <w:rtl/>
        </w:rPr>
        <w:t xml:space="preserve"> </w:t>
      </w:r>
      <w:r w:rsidRPr="003D4955">
        <w:rPr>
          <w:rFonts w:cs="Arial"/>
          <w:u w:val="single"/>
          <w:rtl/>
        </w:rPr>
        <w:t>ושמואל אמר</w:t>
      </w:r>
      <w:r w:rsidRPr="003D4955">
        <w:rPr>
          <w:rFonts w:cs="Arial"/>
          <w:rtl/>
        </w:rPr>
        <w:t>: פגמה</w:t>
      </w:r>
      <w:r>
        <w:rPr>
          <w:rStyle w:val="a7"/>
          <w:rFonts w:cs="Arial"/>
          <w:rtl/>
        </w:rPr>
        <w:footnoteReference w:id="2480"/>
      </w:r>
      <w:r w:rsidRPr="003D4955">
        <w:rPr>
          <w:rFonts w:cs="Arial"/>
          <w:rtl/>
        </w:rPr>
        <w:t xml:space="preserve"> אף על פי שלא זקפה, זקפה</w:t>
      </w:r>
      <w:r>
        <w:rPr>
          <w:rStyle w:val="a7"/>
          <w:rFonts w:cs="Arial"/>
          <w:rtl/>
        </w:rPr>
        <w:footnoteReference w:id="2481"/>
      </w:r>
      <w:r w:rsidRPr="003D4955">
        <w:rPr>
          <w:rFonts w:cs="Arial"/>
          <w:rtl/>
        </w:rPr>
        <w:t xml:space="preserve"> אף על פי שלא פגמה</w:t>
      </w:r>
      <w:r w:rsidRPr="003D4955">
        <w:rPr>
          <w:rFonts w:cs="Arial" w:hint="cs"/>
          <w:rtl/>
        </w:rPr>
        <w:t>.</w:t>
      </w:r>
      <w:r w:rsidRPr="003D4955">
        <w:rPr>
          <w:rFonts w:cs="Arial"/>
          <w:rtl/>
        </w:rPr>
        <w:t xml:space="preserve"> </w:t>
      </w:r>
      <w:r w:rsidRPr="003D4955">
        <w:rPr>
          <w:rFonts w:cs="Arial" w:hint="cs"/>
          <w:sz w:val="16"/>
          <w:szCs w:val="16"/>
          <w:rtl/>
        </w:rPr>
        <w:t>(</w:t>
      </w:r>
      <w:r w:rsidRPr="003D4955">
        <w:rPr>
          <w:rFonts w:cs="Arial"/>
          <w:sz w:val="16"/>
          <w:szCs w:val="16"/>
          <w:rtl/>
        </w:rPr>
        <w:t>ופסק הרא"ש (שם סי' ו) הלכה כשמואל וכן פסק הרמב"ם בפ"ט מהלכות שמטה (הי"ג)</w:t>
      </w:r>
      <w:r w:rsidRPr="003D4955">
        <w:rPr>
          <w:rFonts w:cs="Arial" w:hint="cs"/>
          <w:sz w:val="16"/>
          <w:szCs w:val="16"/>
          <w:rtl/>
        </w:rPr>
        <w:t>, ב"י. ועוד כתב הב"י שכן דעת הרי"ף</w:t>
      </w:r>
      <w:r>
        <w:rPr>
          <w:rStyle w:val="a7"/>
          <w:rFonts w:cs="Arial"/>
          <w:sz w:val="16"/>
          <w:szCs w:val="16"/>
          <w:rtl/>
        </w:rPr>
        <w:footnoteReference w:id="2482"/>
      </w:r>
      <w:r w:rsidRPr="003D4955">
        <w:rPr>
          <w:rFonts w:cs="Arial" w:hint="cs"/>
          <w:sz w:val="16"/>
          <w:szCs w:val="16"/>
          <w:rtl/>
        </w:rPr>
        <w:t>)</w:t>
      </w:r>
      <w:r w:rsidRPr="003D4955">
        <w:rPr>
          <w:rFonts w:cs="Arial"/>
          <w:sz w:val="16"/>
          <w:szCs w:val="16"/>
          <w:rtl/>
        </w:rPr>
        <w:t xml:space="preserve"> </w:t>
      </w:r>
    </w:p>
    <w:p w14:paraId="6E988201" w14:textId="77777777" w:rsidR="002E5BAD" w:rsidRPr="003D4955" w:rsidRDefault="002E5BAD" w:rsidP="002E5BAD">
      <w:pPr>
        <w:rPr>
          <w:u w:val="single"/>
        </w:rPr>
      </w:pPr>
      <w:r w:rsidRPr="003D4955">
        <w:rPr>
          <w:rFonts w:hint="cs"/>
          <w:u w:val="single"/>
          <w:rtl/>
        </w:rPr>
        <w:t>עברה עליה שנת שמיטה</w:t>
      </w:r>
      <w:r>
        <w:rPr>
          <w:rFonts w:hint="cs"/>
          <w:u w:val="single"/>
          <w:rtl/>
        </w:rPr>
        <w:t xml:space="preserve"> ועדיין לא גבתה את כתובתה</w:t>
      </w:r>
      <w:r w:rsidRPr="003D4955">
        <w:rPr>
          <w:rFonts w:hint="cs"/>
          <w:u w:val="single"/>
          <w:rtl/>
        </w:rPr>
        <w:t>:</w:t>
      </w:r>
    </w:p>
    <w:p w14:paraId="6BC06582" w14:textId="77777777" w:rsidR="002E5BAD" w:rsidRDefault="002E5BAD" w:rsidP="00B75458">
      <w:pPr>
        <w:pStyle w:val="ab"/>
        <w:numPr>
          <w:ilvl w:val="0"/>
          <w:numId w:val="192"/>
        </w:numPr>
      </w:pPr>
      <w:r>
        <w:rPr>
          <w:rFonts w:cs="Arial" w:hint="cs"/>
          <w:rtl/>
        </w:rPr>
        <w:t xml:space="preserve">טור- </w:t>
      </w:r>
      <w:r w:rsidRPr="00B97831">
        <w:rPr>
          <w:rFonts w:cs="Arial"/>
          <w:rtl/>
        </w:rPr>
        <w:t>אפילו עברה עליה שמיטה אינה נשמטת מפני שהוא מעשה ב"ד</w:t>
      </w:r>
      <w:r>
        <w:rPr>
          <w:rStyle w:val="a7"/>
          <w:rFonts w:cs="Arial"/>
          <w:rtl/>
        </w:rPr>
        <w:footnoteReference w:id="2483"/>
      </w:r>
      <w:r>
        <w:rPr>
          <w:rFonts w:cs="Arial" w:hint="cs"/>
          <w:rtl/>
        </w:rPr>
        <w:t>.</w:t>
      </w:r>
      <w:r w:rsidRPr="00B97831">
        <w:rPr>
          <w:rFonts w:cs="Arial"/>
          <w:rtl/>
        </w:rPr>
        <w:t xml:space="preserve"> פגמה אותה</w:t>
      </w:r>
      <w:r>
        <w:rPr>
          <w:rFonts w:cs="Arial" w:hint="cs"/>
          <w:rtl/>
        </w:rPr>
        <w:t>,</w:t>
      </w:r>
      <w:r w:rsidRPr="00B97831">
        <w:rPr>
          <w:rFonts w:cs="Arial"/>
          <w:rtl/>
        </w:rPr>
        <w:t xml:space="preserve"> שגבתה מקצת</w:t>
      </w:r>
      <w:r>
        <w:rPr>
          <w:rFonts w:cs="Arial" w:hint="cs"/>
          <w:rtl/>
        </w:rPr>
        <w:t>,</w:t>
      </w:r>
      <w:r w:rsidRPr="00B97831">
        <w:rPr>
          <w:rFonts w:cs="Arial"/>
          <w:rtl/>
        </w:rPr>
        <w:t xml:space="preserve"> או אפילו שלא פגמה אלא שזקפה במלוה</w:t>
      </w:r>
      <w:r>
        <w:rPr>
          <w:rFonts w:cs="Arial" w:hint="cs"/>
          <w:rtl/>
        </w:rPr>
        <w:t xml:space="preserve"> -</w:t>
      </w:r>
      <w:r w:rsidRPr="00B97831">
        <w:rPr>
          <w:rFonts w:cs="Arial"/>
          <w:rtl/>
        </w:rPr>
        <w:t xml:space="preserve"> יצאה מכלל מעשה ב"ד ושביעי' משמטתה</w:t>
      </w:r>
      <w:r>
        <w:rPr>
          <w:rFonts w:cs="Arial" w:hint="cs"/>
          <w:rtl/>
        </w:rPr>
        <w:t>.</w:t>
      </w:r>
      <w:r w:rsidRPr="00B97831">
        <w:rPr>
          <w:rFonts w:cs="Arial"/>
          <w:rtl/>
        </w:rPr>
        <w:t xml:space="preserve"> </w:t>
      </w:r>
      <w:r w:rsidRPr="007775A3">
        <w:rPr>
          <w:rFonts w:hint="cs"/>
          <w:color w:val="E36C0A" w:themeColor="accent6" w:themeShade="BF"/>
          <w:rtl/>
        </w:rPr>
        <w:t>(וכ"פ בשו"ע)</w:t>
      </w:r>
    </w:p>
    <w:p w14:paraId="4F0323E3" w14:textId="77777777" w:rsidR="002E5BAD"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BA48F0">
        <w:rPr>
          <w:rtl/>
        </w:rPr>
        <w:t xml:space="preserve"> </w:t>
      </w:r>
      <w:r w:rsidRPr="00567E28">
        <w:rPr>
          <w:rFonts w:cs="Arial"/>
          <w:u w:val="double"/>
          <w:rtl/>
        </w:rPr>
        <w:t>מתני'</w:t>
      </w:r>
      <w:r>
        <w:rPr>
          <w:rFonts w:cs="Arial" w:hint="cs"/>
          <w:rtl/>
        </w:rPr>
        <w:t>:</w:t>
      </w:r>
      <w:r w:rsidRPr="00567E28">
        <w:rPr>
          <w:rFonts w:cs="Arial"/>
          <w:rtl/>
        </w:rPr>
        <w:t xml:space="preserve"> כל זמן שהיא בבית אביה</w:t>
      </w:r>
      <w:r>
        <w:rPr>
          <w:rStyle w:val="a7"/>
          <w:rFonts w:cs="Arial"/>
          <w:rtl/>
        </w:rPr>
        <w:footnoteReference w:id="2484"/>
      </w:r>
      <w:r w:rsidRPr="00567E28">
        <w:rPr>
          <w:rFonts w:cs="Arial"/>
          <w:rtl/>
        </w:rPr>
        <w:t xml:space="preserve"> - גובה</w:t>
      </w:r>
      <w:r>
        <w:rPr>
          <w:rStyle w:val="a7"/>
          <w:rFonts w:cs="Arial"/>
          <w:rtl/>
        </w:rPr>
        <w:footnoteReference w:id="2485"/>
      </w:r>
      <w:r w:rsidRPr="00567E28">
        <w:rPr>
          <w:rFonts w:cs="Arial"/>
          <w:rtl/>
        </w:rPr>
        <w:t xml:space="preserve"> כתובתה לעולם, כל זמן שהיא בבית בעלה - גובה כתובתה עד עשרים וחמש שנים, שיש בכ"ה שנים שתעשה טובה</w:t>
      </w:r>
      <w:r>
        <w:rPr>
          <w:rStyle w:val="a7"/>
          <w:rFonts w:cs="Arial"/>
          <w:rtl/>
        </w:rPr>
        <w:footnoteReference w:id="2486"/>
      </w:r>
      <w:r w:rsidRPr="00567E28">
        <w:rPr>
          <w:rFonts w:cs="Arial"/>
          <w:rtl/>
        </w:rPr>
        <w:t xml:space="preserve"> כנגד כתובתה, </w:t>
      </w:r>
      <w:r w:rsidRPr="00567E28">
        <w:rPr>
          <w:rFonts w:cs="Arial"/>
          <w:u w:val="single"/>
          <w:rtl/>
        </w:rPr>
        <w:t>דברי ר' מאיר שאמר משום רשב"ג</w:t>
      </w:r>
      <w:r>
        <w:rPr>
          <w:rFonts w:cs="Arial" w:hint="cs"/>
          <w:rtl/>
        </w:rPr>
        <w:t>.</w:t>
      </w:r>
      <w:r w:rsidRPr="00567E28">
        <w:rPr>
          <w:rFonts w:cs="Arial"/>
          <w:rtl/>
        </w:rPr>
        <w:t xml:space="preserve"> </w:t>
      </w:r>
      <w:r w:rsidRPr="00567E28">
        <w:rPr>
          <w:rFonts w:cs="Arial"/>
          <w:u w:val="single"/>
          <w:rtl/>
        </w:rPr>
        <w:t>וחכ"א</w:t>
      </w:r>
      <w:r>
        <w:rPr>
          <w:rStyle w:val="a7"/>
          <w:rFonts w:cs="Arial"/>
          <w:rtl/>
        </w:rPr>
        <w:footnoteReference w:id="2487"/>
      </w:r>
      <w:r w:rsidRPr="00567E28">
        <w:rPr>
          <w:rFonts w:cs="Arial"/>
          <w:rtl/>
        </w:rPr>
        <w:t>: כל זמן שהיא בבית בעלה - גובה כתובתה לעולם, כל זמן שהיא בבית אביה - גובה כתובתה עד עשרים וחמש שנים. מתה, יורשיה מזכירין כתובתה עד עשרים וחמש שנים</w:t>
      </w:r>
      <w:r>
        <w:rPr>
          <w:rStyle w:val="a7"/>
          <w:rFonts w:cs="Arial"/>
          <w:rtl/>
        </w:rPr>
        <w:footnoteReference w:id="2488"/>
      </w:r>
      <w:r w:rsidRPr="00567E28">
        <w:rPr>
          <w:rFonts w:cs="Arial"/>
          <w:rtl/>
        </w:rPr>
        <w:t>.</w:t>
      </w:r>
      <w:r>
        <w:rPr>
          <w:rFonts w:cs="Arial" w:hint="cs"/>
          <w:rtl/>
        </w:rPr>
        <w:t xml:space="preserve">        </w:t>
      </w:r>
      <w:r w:rsidRPr="00797A58">
        <w:rPr>
          <w:rFonts w:hint="cs"/>
          <w:u w:val="double"/>
          <w:rtl/>
        </w:rPr>
        <w:t>גמ':</w:t>
      </w:r>
      <w:r>
        <w:rPr>
          <w:rFonts w:cs="Arial" w:hint="cs"/>
          <w:rtl/>
        </w:rPr>
        <w:t xml:space="preserve"> </w:t>
      </w:r>
      <w:r w:rsidRPr="00E14BD0">
        <w:rPr>
          <w:rFonts w:cs="Arial"/>
          <w:u w:val="single"/>
          <w:rtl/>
        </w:rPr>
        <w:t>אמר רב נחמן בר יצחק</w:t>
      </w:r>
      <w:r>
        <w:rPr>
          <w:rFonts w:cs="Arial" w:hint="cs"/>
          <w:rtl/>
        </w:rPr>
        <w:t>:</w:t>
      </w:r>
      <w:r w:rsidRPr="00BA48F0">
        <w:rPr>
          <w:rFonts w:cs="Arial"/>
          <w:rtl/>
        </w:rPr>
        <w:t xml:space="preserve"> תני רב יהודה בר קזא במתניתא דבי בר קזא: תבעה כתובתה </w:t>
      </w:r>
      <w:r>
        <w:rPr>
          <w:rFonts w:cs="Arial"/>
          <w:rtl/>
        </w:rPr>
        <w:t>–</w:t>
      </w:r>
      <w:r>
        <w:rPr>
          <w:rFonts w:cs="Arial" w:hint="cs"/>
          <w:rtl/>
        </w:rPr>
        <w:t xml:space="preserve"> </w:t>
      </w:r>
      <w:r>
        <w:rPr>
          <w:rFonts w:cs="Arial" w:hint="cs"/>
          <w:sz w:val="14"/>
          <w:szCs w:val="14"/>
          <w:rtl/>
        </w:rPr>
        <w:t xml:space="preserve">(קד:) </w:t>
      </w:r>
      <w:r w:rsidRPr="00E14BD0">
        <w:rPr>
          <w:rFonts w:cs="Arial"/>
          <w:rtl/>
        </w:rPr>
        <w:t>הרי היא כבתחלה</w:t>
      </w:r>
      <w:r>
        <w:rPr>
          <w:rStyle w:val="a7"/>
          <w:rFonts w:cs="Arial"/>
          <w:rtl/>
        </w:rPr>
        <w:footnoteReference w:id="2489"/>
      </w:r>
      <w:r>
        <w:rPr>
          <w:rFonts w:cs="Arial" w:hint="cs"/>
          <w:rtl/>
        </w:rPr>
        <w:t>,</w:t>
      </w:r>
      <w:r w:rsidRPr="0048018E">
        <w:rPr>
          <w:rtl/>
        </w:rPr>
        <w:t xml:space="preserve"> </w:t>
      </w:r>
      <w:r w:rsidRPr="0048018E">
        <w:rPr>
          <w:rFonts w:cs="Arial"/>
          <w:rtl/>
        </w:rPr>
        <w:t>ואם היה שטר כתובה יוצא מתחת ידיה - גובה כתובתה לעולם.</w:t>
      </w:r>
      <w:r w:rsidRPr="00E14BD0">
        <w:rPr>
          <w:rFonts w:cs="Arial"/>
          <w:rtl/>
        </w:rPr>
        <w:t xml:space="preserve"> </w:t>
      </w:r>
      <w:r w:rsidRPr="00E14BD0">
        <w:rPr>
          <w:rFonts w:cs="Arial"/>
          <w:u w:val="single"/>
          <w:rtl/>
        </w:rPr>
        <w:t>שלח ליה רב נחמן בר רב חסדא לרב נחמן בר יעקב</w:t>
      </w:r>
      <w:r w:rsidRPr="00E14BD0">
        <w:rPr>
          <w:rFonts w:cs="Arial"/>
          <w:rtl/>
        </w:rPr>
        <w:t>: ילמדנו רבינו, כששטר כתובה יוצא מתחת ידה מחלוקת, או כשאין שטר כתובה יוצא מתחת ידה? והלכה כדברי מי</w:t>
      </w:r>
      <w:r>
        <w:rPr>
          <w:rStyle w:val="a7"/>
          <w:rFonts w:cs="Arial"/>
          <w:rtl/>
        </w:rPr>
        <w:footnoteReference w:id="2490"/>
      </w:r>
      <w:r w:rsidRPr="00E14BD0">
        <w:rPr>
          <w:rFonts w:cs="Arial"/>
          <w:rtl/>
        </w:rPr>
        <w:t xml:space="preserve">? </w:t>
      </w:r>
      <w:r w:rsidRPr="00E14BD0">
        <w:rPr>
          <w:rFonts w:cs="Arial"/>
          <w:u w:val="single"/>
          <w:rtl/>
        </w:rPr>
        <w:t>שלח ליה</w:t>
      </w:r>
      <w:r w:rsidRPr="00E14BD0">
        <w:rPr>
          <w:rFonts w:cs="Arial"/>
          <w:rtl/>
        </w:rPr>
        <w:t>: בשאין שטר כתובה יוצא מתחת ידה מחלוקת, אבל שטר כתובה יוצא מתחת ידה - גובה כתובתה לעולם, והלכה כדברי חכמים.</w:t>
      </w:r>
    </w:p>
    <w:p w14:paraId="46849873" w14:textId="77777777" w:rsidR="002E5BAD" w:rsidRDefault="002E5BAD" w:rsidP="002E5BAD">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מח ע"א: </w:t>
      </w:r>
      <w:r w:rsidRPr="00401992">
        <w:rPr>
          <w:rFonts w:cs="Arial"/>
          <w:u w:val="single"/>
          <w:rtl/>
        </w:rPr>
        <w:t>רב ושמואל דאמרי תרוייהו</w:t>
      </w:r>
      <w:r w:rsidRPr="00401992">
        <w:rPr>
          <w:rFonts w:cs="Arial"/>
          <w:rtl/>
        </w:rPr>
        <w:t>:</w:t>
      </w:r>
      <w:r>
        <w:rPr>
          <w:rFonts w:cs="Arial" w:hint="cs"/>
          <w:rtl/>
        </w:rPr>
        <w:t xml:space="preserve">... </w:t>
      </w:r>
      <w:r w:rsidRPr="00401992">
        <w:rPr>
          <w:rFonts w:cs="Arial"/>
          <w:rtl/>
        </w:rPr>
        <w:t>ואין אדם מוריש שבועה לבניו.</w:t>
      </w:r>
      <w:r>
        <w:rPr>
          <w:rFonts w:cs="Arial" w:hint="cs"/>
          <w:rtl/>
        </w:rPr>
        <w:t xml:space="preserve">.. </w:t>
      </w:r>
      <w:r w:rsidRPr="00401992">
        <w:rPr>
          <w:rFonts w:cs="Arial"/>
          <w:u w:val="single"/>
          <w:rtl/>
        </w:rPr>
        <w:t>מתיב רב אושעיא</w:t>
      </w:r>
      <w:r w:rsidRPr="00401992">
        <w:rPr>
          <w:rFonts w:cs="Arial"/>
          <w:rtl/>
        </w:rPr>
        <w:t>: מתה</w:t>
      </w:r>
      <w:r>
        <w:rPr>
          <w:rStyle w:val="a7"/>
          <w:rFonts w:cs="Arial"/>
          <w:rtl/>
        </w:rPr>
        <w:footnoteReference w:id="2491"/>
      </w:r>
      <w:r w:rsidRPr="00401992">
        <w:rPr>
          <w:rFonts w:cs="Arial"/>
          <w:rtl/>
        </w:rPr>
        <w:t xml:space="preserve"> - יורשיה מזכירין</w:t>
      </w:r>
      <w:r>
        <w:rPr>
          <w:rStyle w:val="a7"/>
          <w:rFonts w:cs="Arial"/>
          <w:rtl/>
        </w:rPr>
        <w:footnoteReference w:id="2492"/>
      </w:r>
      <w:r w:rsidRPr="00401992">
        <w:rPr>
          <w:rFonts w:cs="Arial"/>
          <w:rtl/>
        </w:rPr>
        <w:t xml:space="preserve"> את כתובתה עד עשרים וחמש שנים</w:t>
      </w:r>
      <w:r>
        <w:rPr>
          <w:rStyle w:val="a7"/>
          <w:rFonts w:cs="Arial"/>
          <w:rtl/>
        </w:rPr>
        <w:footnoteReference w:id="2493"/>
      </w:r>
      <w:r w:rsidRPr="00401992">
        <w:rPr>
          <w:rFonts w:cs="Arial"/>
          <w:rtl/>
        </w:rPr>
        <w:t>! הכא במאי עסקינן - שנשבעה ומתה.</w:t>
      </w:r>
    </w:p>
    <w:p w14:paraId="67D95D93" w14:textId="77777777" w:rsidR="002E5BAD" w:rsidRPr="00567E28" w:rsidRDefault="002E5BAD" w:rsidP="002E5BAD">
      <w:pPr>
        <w:rPr>
          <w:u w:val="single"/>
        </w:rPr>
      </w:pPr>
      <w:r w:rsidRPr="00567E28">
        <w:rPr>
          <w:rFonts w:cs="Arial" w:hint="cs"/>
          <w:u w:val="single"/>
          <w:rtl/>
        </w:rPr>
        <w:t xml:space="preserve">אשה </w:t>
      </w:r>
      <w:r>
        <w:rPr>
          <w:rFonts w:cs="Arial" w:hint="cs"/>
          <w:u w:val="single"/>
          <w:rtl/>
        </w:rPr>
        <w:t xml:space="preserve">שהייתה </w:t>
      </w:r>
      <w:r w:rsidRPr="00567E28">
        <w:rPr>
          <w:rFonts w:cs="Arial" w:hint="cs"/>
          <w:u w:val="single"/>
          <w:rtl/>
        </w:rPr>
        <w:t>ניזונת בבית בעלה/אביה ו</w:t>
      </w:r>
      <w:r w:rsidRPr="00567E28">
        <w:rPr>
          <w:rFonts w:cs="Arial"/>
          <w:u w:val="single"/>
          <w:rtl/>
        </w:rPr>
        <w:t>אין כתובתה בידה ובאה לגבות בתנאי ב"ד</w:t>
      </w:r>
      <w:r w:rsidRPr="00567E28">
        <w:rPr>
          <w:rFonts w:hint="cs"/>
          <w:u w:val="single"/>
          <w:rtl/>
        </w:rPr>
        <w:t xml:space="preserve"> </w:t>
      </w:r>
      <w:r w:rsidRPr="00567E28">
        <w:rPr>
          <w:u w:val="single"/>
          <w:rtl/>
        </w:rPr>
        <w:t>–</w:t>
      </w:r>
      <w:r w:rsidRPr="00567E28">
        <w:rPr>
          <w:rFonts w:hint="cs"/>
          <w:u w:val="single"/>
          <w:rtl/>
        </w:rPr>
        <w:t xml:space="preserve"> עד מתי תוכל לגבות </w:t>
      </w:r>
      <w:r>
        <w:rPr>
          <w:rFonts w:hint="cs"/>
          <w:sz w:val="16"/>
          <w:szCs w:val="16"/>
          <w:u w:val="single"/>
          <w:rtl/>
        </w:rPr>
        <w:t>(התיישנות)</w:t>
      </w:r>
      <w:r w:rsidRPr="00567E28">
        <w:rPr>
          <w:rFonts w:hint="cs"/>
          <w:u w:val="single"/>
          <w:rtl/>
        </w:rPr>
        <w:t>:</w:t>
      </w:r>
    </w:p>
    <w:p w14:paraId="18E7BC87" w14:textId="77777777" w:rsidR="002E5BAD" w:rsidRDefault="002E5BAD" w:rsidP="00B75458">
      <w:pPr>
        <w:pStyle w:val="ab"/>
        <w:numPr>
          <w:ilvl w:val="0"/>
          <w:numId w:val="192"/>
        </w:numPr>
        <w:rPr>
          <w:rtl/>
        </w:rPr>
      </w:pPr>
      <w:r>
        <w:rPr>
          <w:rFonts w:cs="Arial" w:hint="cs"/>
          <w:rtl/>
        </w:rPr>
        <w:t xml:space="preserve">טור- </w:t>
      </w:r>
      <w:r w:rsidRPr="00B97831">
        <w:rPr>
          <w:rFonts w:cs="Arial"/>
          <w:rtl/>
        </w:rPr>
        <w:t>אם אין כתובתה בידה ובאה לגבות בתנאי ב"ד</w:t>
      </w:r>
      <w:r>
        <w:rPr>
          <w:rFonts w:cs="Arial" w:hint="cs"/>
          <w:rtl/>
        </w:rPr>
        <w:t>,</w:t>
      </w:r>
      <w:r w:rsidRPr="00B97831">
        <w:rPr>
          <w:rFonts w:cs="Arial"/>
          <w:rtl/>
        </w:rPr>
        <w:t xml:space="preserve"> כגון במקום שאין כותבין</w:t>
      </w:r>
      <w:r>
        <w:rPr>
          <w:rFonts w:cs="Arial" w:hint="cs"/>
          <w:rtl/>
        </w:rPr>
        <w:t>,</w:t>
      </w:r>
      <w:r w:rsidRPr="00B97831">
        <w:rPr>
          <w:rFonts w:cs="Arial"/>
          <w:rtl/>
        </w:rPr>
        <w:t xml:space="preserve"> אם נותנין לה מזונות בבית בעלה </w:t>
      </w:r>
      <w:r>
        <w:rPr>
          <w:rFonts w:cs="Arial" w:hint="cs"/>
          <w:rtl/>
        </w:rPr>
        <w:t xml:space="preserve">- </w:t>
      </w:r>
      <w:r w:rsidRPr="00B97831">
        <w:rPr>
          <w:rFonts w:cs="Arial"/>
          <w:rtl/>
        </w:rPr>
        <w:t>גובה לעולם</w:t>
      </w:r>
      <w:r>
        <w:rPr>
          <w:rFonts w:cs="Arial" w:hint="cs"/>
          <w:rtl/>
        </w:rPr>
        <w:t>.</w:t>
      </w:r>
      <w:r w:rsidRPr="00B97831">
        <w:rPr>
          <w:rFonts w:cs="Arial"/>
          <w:rtl/>
        </w:rPr>
        <w:t xml:space="preserve"> ואם נותנין לה מזונות בבית אביה</w:t>
      </w:r>
      <w:r>
        <w:rPr>
          <w:rStyle w:val="a7"/>
          <w:rFonts w:cs="Arial"/>
          <w:rtl/>
        </w:rPr>
        <w:footnoteReference w:id="2494"/>
      </w:r>
      <w:r w:rsidRPr="00B97831">
        <w:rPr>
          <w:rFonts w:cs="Arial"/>
          <w:rtl/>
        </w:rPr>
        <w:t xml:space="preserve"> </w:t>
      </w:r>
      <w:r>
        <w:rPr>
          <w:rFonts w:cs="Arial" w:hint="cs"/>
          <w:rtl/>
        </w:rPr>
        <w:t xml:space="preserve">- </w:t>
      </w:r>
      <w:r w:rsidRPr="00B97831">
        <w:rPr>
          <w:rFonts w:cs="Arial"/>
          <w:rtl/>
        </w:rPr>
        <w:t>אינה גובה אלא עד סוף כ"ה שנים</w:t>
      </w:r>
      <w:r>
        <w:rPr>
          <w:rFonts w:cs="Arial" w:hint="cs"/>
          <w:rtl/>
        </w:rPr>
        <w:t>.</w:t>
      </w:r>
      <w:r w:rsidRPr="00B97831">
        <w:rPr>
          <w:rFonts w:cs="Arial"/>
          <w:rtl/>
        </w:rPr>
        <w:t xml:space="preserve"> אבל שתקה </w:t>
      </w:r>
      <w:r w:rsidRPr="00B97831">
        <w:rPr>
          <w:rFonts w:cs="Arial"/>
          <w:rtl/>
        </w:rPr>
        <w:lastRenderedPageBreak/>
        <w:t xml:space="preserve">כ"ה שנים ולא תבעה </w:t>
      </w:r>
      <w:r>
        <w:rPr>
          <w:rFonts w:cs="Arial" w:hint="cs"/>
          <w:rtl/>
        </w:rPr>
        <w:t xml:space="preserve">- </w:t>
      </w:r>
      <w:r w:rsidRPr="00B97831">
        <w:rPr>
          <w:rFonts w:cs="Arial"/>
          <w:rtl/>
        </w:rPr>
        <w:t>מחלה</w:t>
      </w:r>
      <w:r>
        <w:rPr>
          <w:rStyle w:val="a7"/>
          <w:rFonts w:cs="Arial"/>
          <w:rtl/>
        </w:rPr>
        <w:footnoteReference w:id="2495"/>
      </w:r>
      <w:r>
        <w:rPr>
          <w:rFonts w:cs="Arial" w:hint="cs"/>
          <w:rtl/>
        </w:rPr>
        <w:t>.</w:t>
      </w:r>
      <w:r w:rsidRPr="00B97831">
        <w:rPr>
          <w:rFonts w:cs="Arial"/>
          <w:rtl/>
        </w:rPr>
        <w:t xml:space="preserve"> ואם תבעה תוך כ"ה שנים </w:t>
      </w:r>
      <w:r>
        <w:rPr>
          <w:rFonts w:cs="Arial" w:hint="cs"/>
          <w:rtl/>
        </w:rPr>
        <w:t xml:space="preserve">- </w:t>
      </w:r>
      <w:r w:rsidRPr="00B97831">
        <w:rPr>
          <w:rFonts w:cs="Arial"/>
          <w:rtl/>
        </w:rPr>
        <w:t>מונין לה כ"ה שנים מיום שתבעה</w:t>
      </w:r>
      <w:r>
        <w:rPr>
          <w:rFonts w:cs="Arial" w:hint="cs"/>
          <w:rtl/>
        </w:rPr>
        <w:t>.</w:t>
      </w:r>
      <w:r w:rsidRPr="00B97831">
        <w:rPr>
          <w:rFonts w:cs="Arial"/>
          <w:rtl/>
        </w:rPr>
        <w:t xml:space="preserve"> וכן יורשיה צריכין לתובעה תוך כ"ה שנים למיתתה</w:t>
      </w:r>
      <w:r>
        <w:rPr>
          <w:rFonts w:cs="Arial" w:hint="cs"/>
          <w:rtl/>
        </w:rPr>
        <w:t>,</w:t>
      </w:r>
      <w:r w:rsidRPr="00B97831">
        <w:rPr>
          <w:rFonts w:cs="Arial"/>
          <w:rtl/>
        </w:rPr>
        <w:t xml:space="preserve"> ואם שתקו יותר מכ"ה שנים </w:t>
      </w:r>
      <w:r>
        <w:rPr>
          <w:rFonts w:cs="Arial" w:hint="cs"/>
          <w:rtl/>
        </w:rPr>
        <w:t xml:space="preserve">- </w:t>
      </w:r>
      <w:r w:rsidRPr="00B97831">
        <w:rPr>
          <w:rFonts w:cs="Arial"/>
          <w:rtl/>
        </w:rPr>
        <w:t>מחלו</w:t>
      </w:r>
      <w:r>
        <w:rPr>
          <w:rFonts w:cs="Arial" w:hint="cs"/>
          <w:rtl/>
        </w:rPr>
        <w:t>.</w:t>
      </w:r>
      <w:r w:rsidRPr="00B97831">
        <w:rPr>
          <w:rFonts w:cs="Arial"/>
          <w:rtl/>
        </w:rPr>
        <w:t xml:space="preserve"> </w:t>
      </w:r>
      <w:r w:rsidRPr="007775A3">
        <w:rPr>
          <w:rFonts w:hint="cs"/>
          <w:color w:val="E36C0A" w:themeColor="accent6" w:themeShade="BF"/>
          <w:rtl/>
        </w:rPr>
        <w:t>(וכ"פ בשו"ע)</w:t>
      </w:r>
    </w:p>
    <w:p w14:paraId="0D383EA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C7EAE0" w14:textId="77777777" w:rsidR="002E5BAD" w:rsidRDefault="002E5BAD" w:rsidP="002E5BAD">
      <w:pPr>
        <w:rPr>
          <w:rtl/>
        </w:rPr>
      </w:pPr>
      <w:r>
        <w:rPr>
          <w:rFonts w:cs="Arial"/>
          <w:rtl/>
        </w:rPr>
        <w:t>אלמנה, כל זמן ששטר כתובה בידה, גובה לעולם</w:t>
      </w:r>
      <w:r>
        <w:rPr>
          <w:rFonts w:cs="Arial" w:hint="cs"/>
          <w:rtl/>
        </w:rPr>
        <w:t>.</w:t>
      </w:r>
      <w:r>
        <w:rPr>
          <w:rFonts w:cs="Arial"/>
          <w:rtl/>
        </w:rPr>
        <w:t xml:space="preserve"> בין אם נותנים לה מזונות</w:t>
      </w:r>
      <w:r>
        <w:rPr>
          <w:rStyle w:val="a7"/>
          <w:rFonts w:cs="Arial"/>
          <w:rtl/>
        </w:rPr>
        <w:footnoteReference w:id="2496"/>
      </w:r>
      <w:r>
        <w:rPr>
          <w:rFonts w:cs="Arial"/>
          <w:rtl/>
        </w:rPr>
        <w:t xml:space="preserve"> בבית אביה</w:t>
      </w:r>
      <w:r>
        <w:rPr>
          <w:rFonts w:cs="Arial" w:hint="cs"/>
          <w:rtl/>
        </w:rPr>
        <w:t>,</w:t>
      </w:r>
      <w:r>
        <w:rPr>
          <w:rFonts w:cs="Arial"/>
          <w:rtl/>
        </w:rPr>
        <w:t xml:space="preserve"> או בבית בעלה</w:t>
      </w:r>
      <w:r>
        <w:rPr>
          <w:rFonts w:cs="Arial" w:hint="cs"/>
          <w:rtl/>
        </w:rPr>
        <w:t>.</w:t>
      </w:r>
      <w:r>
        <w:rPr>
          <w:rFonts w:cs="Arial"/>
          <w:rtl/>
        </w:rPr>
        <w:t xml:space="preserve"> ונשבעת אפילו לאחר שנשאת. אפילו עברה עליה שמיטה, אינה נשמטת א</w:t>
      </w:r>
      <w:r>
        <w:rPr>
          <w:rFonts w:cs="Arial" w:hint="cs"/>
          <w:rtl/>
        </w:rPr>
        <w:t xml:space="preserve">לא אם </w:t>
      </w:r>
      <w:r>
        <w:rPr>
          <w:rFonts w:cs="Arial"/>
          <w:rtl/>
        </w:rPr>
        <w:t>כ</w:t>
      </w:r>
      <w:r>
        <w:rPr>
          <w:rFonts w:cs="Arial" w:hint="cs"/>
          <w:rtl/>
        </w:rPr>
        <w:t>ן</w:t>
      </w:r>
      <w:r>
        <w:rPr>
          <w:rFonts w:cs="Arial"/>
          <w:rtl/>
        </w:rPr>
        <w:t xml:space="preserve"> פגמה אותה, שגבתה מקצת</w:t>
      </w:r>
      <w:r>
        <w:rPr>
          <w:rFonts w:cs="Arial" w:hint="cs"/>
          <w:rtl/>
        </w:rPr>
        <w:t>,</w:t>
      </w:r>
      <w:r>
        <w:rPr>
          <w:rFonts w:cs="Arial"/>
          <w:rtl/>
        </w:rPr>
        <w:t xml:space="preserve"> או שזקפה במלוה. ואם אין כתובתה בידה ובאה לגבות בתנאי ב</w:t>
      </w:r>
      <w:r>
        <w:rPr>
          <w:rFonts w:cs="Arial" w:hint="cs"/>
          <w:rtl/>
        </w:rPr>
        <w:t xml:space="preserve">ית </w:t>
      </w:r>
      <w:r>
        <w:rPr>
          <w:rFonts w:cs="Arial"/>
          <w:rtl/>
        </w:rPr>
        <w:t>ד</w:t>
      </w:r>
      <w:r>
        <w:rPr>
          <w:rFonts w:cs="Arial" w:hint="cs"/>
          <w:rtl/>
        </w:rPr>
        <w:t>ין</w:t>
      </w:r>
      <w:r>
        <w:rPr>
          <w:rFonts w:cs="Arial"/>
          <w:rtl/>
        </w:rPr>
        <w:t xml:space="preserve"> במקום שאין כותבים, אם נותנים לה מזונות בבית אביה</w:t>
      </w:r>
      <w:r>
        <w:rPr>
          <w:rStyle w:val="a7"/>
          <w:rFonts w:cs="Arial"/>
          <w:rtl/>
        </w:rPr>
        <w:footnoteReference w:id="2497"/>
      </w:r>
      <w:r>
        <w:rPr>
          <w:rFonts w:cs="Arial"/>
          <w:rtl/>
        </w:rPr>
        <w:t xml:space="preserve"> </w:t>
      </w:r>
      <w:r>
        <w:rPr>
          <w:rFonts w:cs="Arial" w:hint="cs"/>
          <w:sz w:val="18"/>
          <w:szCs w:val="18"/>
          <w:rtl/>
        </w:rPr>
        <w:t xml:space="preserve">[הגה] </w:t>
      </w:r>
      <w:r w:rsidRPr="00B97831">
        <w:rPr>
          <w:rFonts w:cs="Arial"/>
          <w:sz w:val="18"/>
          <w:szCs w:val="18"/>
          <w:rtl/>
        </w:rPr>
        <w:t>או שנשאת לאחר</w:t>
      </w:r>
      <w:r>
        <w:rPr>
          <w:rStyle w:val="a7"/>
          <w:rFonts w:cs="Arial"/>
          <w:sz w:val="18"/>
          <w:szCs w:val="18"/>
          <w:rtl/>
        </w:rPr>
        <w:footnoteReference w:id="2498"/>
      </w:r>
      <w:r w:rsidRPr="00B97831">
        <w:rPr>
          <w:rFonts w:cs="Arial"/>
          <w:sz w:val="18"/>
          <w:szCs w:val="18"/>
          <w:rtl/>
        </w:rPr>
        <w:t xml:space="preserve"> (מרדכי סוף פ' הנושא)</w:t>
      </w:r>
      <w:r>
        <w:rPr>
          <w:rFonts w:cs="Arial"/>
          <w:rtl/>
        </w:rPr>
        <w:t>, אינה גוב</w:t>
      </w:r>
      <w:r>
        <w:rPr>
          <w:rFonts w:cs="Arial" w:hint="cs"/>
          <w:rtl/>
        </w:rPr>
        <w:t>ה</w:t>
      </w:r>
      <w:r>
        <w:rPr>
          <w:rFonts w:cs="Arial"/>
          <w:rtl/>
        </w:rPr>
        <w:t xml:space="preserve"> אלא עד סוף כ"ה שנים</w:t>
      </w:r>
      <w:r>
        <w:rPr>
          <w:rStyle w:val="a7"/>
          <w:rFonts w:cs="Arial"/>
          <w:rtl/>
        </w:rPr>
        <w:footnoteReference w:id="2499"/>
      </w:r>
      <w:r>
        <w:rPr>
          <w:rFonts w:cs="Arial"/>
          <w:rtl/>
        </w:rPr>
        <w:t>. אבל שתקה כ"ה שנה ולא תבעה, מחלה. ואם תבעה תוך כ"ה שנים, מונים לה כ"ה שנים מיום שתבעה</w:t>
      </w:r>
      <w:r>
        <w:rPr>
          <w:rFonts w:cs="Arial" w:hint="cs"/>
          <w:rtl/>
        </w:rPr>
        <w:t>.</w:t>
      </w:r>
      <w:r>
        <w:rPr>
          <w:rFonts w:cs="Arial"/>
          <w:rtl/>
        </w:rPr>
        <w:t xml:space="preserve"> וכן יורשיה צריכים לתבוע תוך כ"ה שנים למיתתה</w:t>
      </w:r>
      <w:r>
        <w:rPr>
          <w:rFonts w:cs="Arial" w:hint="cs"/>
          <w:rtl/>
        </w:rPr>
        <w:t>,</w:t>
      </w:r>
      <w:r>
        <w:rPr>
          <w:rFonts w:cs="Arial"/>
          <w:rtl/>
        </w:rPr>
        <w:t xml:space="preserve"> ואם שתקו יותר מכ"ה שנים, מחלו. </w:t>
      </w:r>
      <w:r>
        <w:rPr>
          <w:rFonts w:cs="Arial" w:hint="cs"/>
          <w:sz w:val="18"/>
          <w:szCs w:val="18"/>
          <w:rtl/>
        </w:rPr>
        <w:t xml:space="preserve">[הגה] </w:t>
      </w:r>
      <w:r w:rsidRPr="00B97831">
        <w:rPr>
          <w:rFonts w:cs="Arial"/>
          <w:sz w:val="18"/>
          <w:szCs w:val="18"/>
          <w:rtl/>
        </w:rPr>
        <w:t>וכל שזכרה</w:t>
      </w:r>
      <w:r>
        <w:rPr>
          <w:rStyle w:val="a7"/>
          <w:rFonts w:cs="Arial"/>
          <w:sz w:val="18"/>
          <w:szCs w:val="18"/>
          <w:rtl/>
        </w:rPr>
        <w:footnoteReference w:id="2500"/>
      </w:r>
      <w:r w:rsidRPr="00B97831">
        <w:rPr>
          <w:rFonts w:cs="Arial"/>
          <w:sz w:val="18"/>
          <w:szCs w:val="18"/>
          <w:rtl/>
        </w:rPr>
        <w:t xml:space="preserve"> ואמרה שמה ששותקת לאו משום מחילה, הוי כתבעה (הר"ן פרק הנושא).</w:t>
      </w:r>
      <w:r>
        <w:rPr>
          <w:rFonts w:cs="Arial"/>
          <w:rtl/>
        </w:rPr>
        <w:t xml:space="preserve"> </w:t>
      </w:r>
    </w:p>
    <w:p w14:paraId="2D8A704A" w14:textId="77777777" w:rsidR="002E5BAD" w:rsidRDefault="002E5BAD" w:rsidP="002E5BAD">
      <w:pPr>
        <w:rPr>
          <w:rtl/>
        </w:rPr>
      </w:pPr>
    </w:p>
    <w:p w14:paraId="3302835A" w14:textId="77777777" w:rsidR="002E5BAD" w:rsidRDefault="002E5BAD" w:rsidP="002E5BAD">
      <w:pPr>
        <w:pStyle w:val="2"/>
        <w:rPr>
          <w:rtl/>
        </w:rPr>
      </w:pPr>
      <w:r>
        <w:rPr>
          <w:rtl/>
        </w:rPr>
        <w:t>סעיף ב</w:t>
      </w:r>
      <w:r>
        <w:rPr>
          <w:rFonts w:hint="cs"/>
          <w:rtl/>
        </w:rPr>
        <w:t>: אלמנה שניזונת ע"י היתומים בעצמם בבית אביה.</w:t>
      </w:r>
    </w:p>
    <w:p w14:paraId="0275DD94" w14:textId="77777777" w:rsidR="002E5BAD" w:rsidRPr="00F81FD2"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ב</w:t>
      </w:r>
      <w:r w:rsidRPr="00E14BD0">
        <w:rPr>
          <w:rFonts w:cs="Arial"/>
          <w:b/>
          <w:bCs/>
          <w:rtl/>
        </w:rPr>
        <w:t>:</w:t>
      </w:r>
      <w:r w:rsidRPr="00BA48F0">
        <w:rPr>
          <w:rtl/>
        </w:rPr>
        <w:t xml:space="preserve"> </w:t>
      </w:r>
      <w:r w:rsidRPr="006D2E5B">
        <w:rPr>
          <w:rFonts w:cs="Arial"/>
          <w:rtl/>
        </w:rPr>
        <w:t>חמתיה דרב חייא אריכא אינתת אחוה הואי</w:t>
      </w:r>
      <w:r>
        <w:rPr>
          <w:rStyle w:val="a7"/>
          <w:rFonts w:cs="Arial"/>
          <w:rtl/>
        </w:rPr>
        <w:footnoteReference w:id="2501"/>
      </w:r>
      <w:r w:rsidRPr="006D2E5B">
        <w:rPr>
          <w:rFonts w:cs="Arial"/>
          <w:rtl/>
        </w:rPr>
        <w:t>, ואלמנה בבית אביה הואי, וזנה עשרים וחמש שנין בבי נשא. לסוף אמרה ליה: הב לי מזוני, אמר לה: לית לך מזוני. הב לי כתובה, אמר לה: לא מזוני אית לך ולא כתובה אית לך</w:t>
      </w:r>
      <w:r>
        <w:rPr>
          <w:rStyle w:val="a7"/>
          <w:rFonts w:cs="Arial"/>
          <w:rtl/>
        </w:rPr>
        <w:footnoteReference w:id="2502"/>
      </w:r>
      <w:r>
        <w:rPr>
          <w:rFonts w:cs="Arial" w:hint="cs"/>
          <w:rtl/>
        </w:rPr>
        <w:t>.</w:t>
      </w:r>
      <w:r w:rsidRPr="006D2E5B">
        <w:rPr>
          <w:rFonts w:cs="Arial"/>
          <w:rtl/>
        </w:rPr>
        <w:t xml:space="preserve"> תבעתיה לדינא קמיה דרבה בר שילא. אמר ליה: אימא לי איזי גופא דעובדא היכי הוה, אמר ליה: זניתה עשרים וחמש שנים בבי נשא, בחיי דמר, דבכתפאי אמטאי לה</w:t>
      </w:r>
      <w:r>
        <w:rPr>
          <w:rStyle w:val="a7"/>
          <w:rFonts w:cs="Arial"/>
          <w:rtl/>
        </w:rPr>
        <w:footnoteReference w:id="2503"/>
      </w:r>
      <w:r w:rsidRPr="006D2E5B">
        <w:rPr>
          <w:rFonts w:cs="Arial"/>
          <w:rtl/>
        </w:rPr>
        <w:t>. אמר ליה: טעמא מאי אמור רבנן כל זמן שהיא בבית בעלה גובה כתובתה לעולם, דאמרינן משום כיסופא הוא דלא תבעה, הכא נמי משום כיסופא</w:t>
      </w:r>
      <w:r>
        <w:rPr>
          <w:rStyle w:val="a7"/>
          <w:rFonts w:cs="Arial"/>
          <w:rtl/>
        </w:rPr>
        <w:footnoteReference w:id="2504"/>
      </w:r>
      <w:r w:rsidRPr="006D2E5B">
        <w:rPr>
          <w:rFonts w:cs="Arial"/>
          <w:rtl/>
        </w:rPr>
        <w:t xml:space="preserve"> הוא דלא תבעה, זיל הב לה. לא אשגח</w:t>
      </w:r>
      <w:r>
        <w:rPr>
          <w:rFonts w:cs="Arial" w:hint="cs"/>
          <w:rtl/>
        </w:rPr>
        <w:t>.</w:t>
      </w:r>
      <w:r w:rsidRPr="006D2E5B">
        <w:rPr>
          <w:rFonts w:cs="Arial"/>
          <w:rtl/>
        </w:rPr>
        <w:t xml:space="preserve"> כתב לה אדרכתא אניכסיה. אתא לקמיה דרבא, א"ל: חזי מר היכי דנן! א"ל: שפיר דנך. </w:t>
      </w:r>
    </w:p>
    <w:p w14:paraId="7EC22DFC" w14:textId="77777777" w:rsidR="002E5BAD" w:rsidRPr="00F81FD2" w:rsidRDefault="002E5BAD" w:rsidP="002E5BAD">
      <w:pPr>
        <w:rPr>
          <w:u w:val="single"/>
          <w:rtl/>
        </w:rPr>
      </w:pPr>
      <w:r w:rsidRPr="00F81FD2">
        <w:rPr>
          <w:rFonts w:hint="cs"/>
          <w:u w:val="single"/>
          <w:rtl/>
        </w:rPr>
        <w:t>אלמנה שניזונת ע"י היתומים בעצמם בבית אביה:</w:t>
      </w:r>
    </w:p>
    <w:p w14:paraId="7A6B17BA" w14:textId="77777777" w:rsidR="002E5BAD" w:rsidRPr="005104B9" w:rsidRDefault="002E5BAD" w:rsidP="00B75458">
      <w:pPr>
        <w:pStyle w:val="ab"/>
        <w:numPr>
          <w:ilvl w:val="0"/>
          <w:numId w:val="192"/>
        </w:numPr>
      </w:pPr>
      <w:r>
        <w:rPr>
          <w:rFonts w:cs="Arial" w:hint="cs"/>
          <w:rtl/>
        </w:rPr>
        <w:t>רמב"ם</w:t>
      </w:r>
      <w:r>
        <w:rPr>
          <w:rStyle w:val="a7"/>
          <w:rFonts w:cs="Arial"/>
          <w:rtl/>
        </w:rPr>
        <w:footnoteReference w:id="2505"/>
      </w:r>
      <w:r>
        <w:rPr>
          <w:rFonts w:cs="Arial" w:hint="cs"/>
          <w:rtl/>
        </w:rPr>
        <w:t xml:space="preserve"> </w:t>
      </w:r>
      <w:r>
        <w:rPr>
          <w:rFonts w:cs="Arial" w:hint="cs"/>
          <w:sz w:val="16"/>
          <w:szCs w:val="16"/>
          <w:rtl/>
        </w:rPr>
        <w:t>(פט"ז מאישות הכ"ד)</w:t>
      </w:r>
      <w:r>
        <w:rPr>
          <w:rFonts w:cs="Arial" w:hint="cs"/>
          <w:rtl/>
        </w:rPr>
        <w:t xml:space="preserve"> רא"ש </w:t>
      </w:r>
      <w:r w:rsidRPr="005104B9">
        <w:rPr>
          <w:rFonts w:cs="Arial"/>
          <w:sz w:val="16"/>
          <w:szCs w:val="16"/>
          <w:rtl/>
        </w:rPr>
        <w:t xml:space="preserve">(סי' ז) </w:t>
      </w:r>
      <w:r>
        <w:rPr>
          <w:rFonts w:cs="Arial" w:hint="cs"/>
          <w:rtl/>
        </w:rPr>
        <w:t xml:space="preserve">וטור- </w:t>
      </w:r>
      <w:r w:rsidRPr="00B97831">
        <w:rPr>
          <w:rFonts w:cs="Arial"/>
          <w:rtl/>
        </w:rPr>
        <w:t>ואפילו אם ניזונת בבית אביה</w:t>
      </w:r>
      <w:r>
        <w:rPr>
          <w:rFonts w:cs="Arial" w:hint="cs"/>
          <w:rtl/>
        </w:rPr>
        <w:t>,</w:t>
      </w:r>
      <w:r w:rsidRPr="00B97831">
        <w:rPr>
          <w:rFonts w:cs="Arial"/>
          <w:rtl/>
        </w:rPr>
        <w:t xml:space="preserve"> אם היורשים מכבדין אותה שמוליכין לה מזונותיה בעצמם</w:t>
      </w:r>
      <w:r>
        <w:rPr>
          <w:rFonts w:cs="Arial" w:hint="cs"/>
          <w:rtl/>
        </w:rPr>
        <w:t xml:space="preserve"> -</w:t>
      </w:r>
      <w:r w:rsidRPr="00B97831">
        <w:rPr>
          <w:rFonts w:cs="Arial"/>
          <w:rtl/>
        </w:rPr>
        <w:t xml:space="preserve"> אין שתיקתה מחילה שמפני הבושה היא שותקת ולא מפני שמחלה להם</w:t>
      </w:r>
      <w:r>
        <w:rPr>
          <w:rFonts w:cs="Arial" w:hint="cs"/>
          <w:sz w:val="16"/>
          <w:szCs w:val="16"/>
          <w:rtl/>
        </w:rPr>
        <w:t xml:space="preserve"> (ל' הטור)</w:t>
      </w:r>
      <w:r>
        <w:rPr>
          <w:rFonts w:cs="Arial" w:hint="cs"/>
          <w:rtl/>
        </w:rPr>
        <w:t>.</w:t>
      </w:r>
      <w:r w:rsidRPr="005104B9">
        <w:rPr>
          <w:rFonts w:cs="Arial" w:hint="cs"/>
          <w:color w:val="E36C0A" w:themeColor="accent6" w:themeShade="BF"/>
          <w:rtl/>
        </w:rPr>
        <w:t xml:space="preserve"> (וכ"פ בשו"ע)</w:t>
      </w:r>
      <w:r w:rsidRPr="00B97831">
        <w:rPr>
          <w:rFonts w:cs="Arial"/>
          <w:rtl/>
        </w:rPr>
        <w:t xml:space="preserve"> </w:t>
      </w:r>
    </w:p>
    <w:p w14:paraId="797A4329" w14:textId="77777777" w:rsidR="002E5BAD" w:rsidRPr="00C0191E" w:rsidRDefault="002E5BAD" w:rsidP="00B75458">
      <w:pPr>
        <w:pStyle w:val="ab"/>
        <w:numPr>
          <w:ilvl w:val="0"/>
          <w:numId w:val="192"/>
        </w:numPr>
        <w:rPr>
          <w:rtl/>
        </w:rPr>
      </w:pPr>
      <w:r w:rsidRPr="005104B9">
        <w:rPr>
          <w:rFonts w:cs="Arial"/>
          <w:rtl/>
        </w:rPr>
        <w:t>ר"ח</w:t>
      </w:r>
      <w:r>
        <w:rPr>
          <w:rFonts w:cs="Arial" w:hint="cs"/>
          <w:sz w:val="16"/>
          <w:szCs w:val="16"/>
          <w:rtl/>
        </w:rPr>
        <w:t xml:space="preserve"> (כ"כ הרא"ש [שם] בשמו)</w:t>
      </w:r>
      <w:r>
        <w:rPr>
          <w:rFonts w:cs="Arial" w:hint="cs"/>
          <w:rtl/>
        </w:rPr>
        <w:t>-</w:t>
      </w:r>
      <w:r w:rsidRPr="005104B9">
        <w:rPr>
          <w:rFonts w:cs="Arial"/>
          <w:rtl/>
        </w:rPr>
        <w:t xml:space="preserve"> הא דבבית אביה אינה גובה כתובתה לאחר כ"ה שנה </w:t>
      </w:r>
      <w:r>
        <w:rPr>
          <w:rFonts w:cs="Arial" w:hint="cs"/>
          <w:rtl/>
        </w:rPr>
        <w:t xml:space="preserve">- </w:t>
      </w:r>
      <w:r w:rsidRPr="005104B9">
        <w:rPr>
          <w:rFonts w:cs="Arial"/>
          <w:rtl/>
        </w:rPr>
        <w:t>בשאינה נזונת</w:t>
      </w:r>
      <w:r w:rsidRPr="005104B9">
        <w:rPr>
          <w:rFonts w:cs="Arial" w:hint="cs"/>
          <w:rtl/>
        </w:rPr>
        <w:t>,</w:t>
      </w:r>
      <w:r w:rsidRPr="005104B9">
        <w:rPr>
          <w:rFonts w:cs="Arial"/>
          <w:rtl/>
        </w:rPr>
        <w:t xml:space="preserve"> אבל בנזונת </w:t>
      </w:r>
      <w:r>
        <w:rPr>
          <w:rFonts w:cs="Arial" w:hint="cs"/>
          <w:rtl/>
        </w:rPr>
        <w:t xml:space="preserve">- </w:t>
      </w:r>
      <w:r w:rsidRPr="005104B9">
        <w:rPr>
          <w:rFonts w:cs="Arial"/>
          <w:rtl/>
        </w:rPr>
        <w:t>גובה כתובתה לעולם</w:t>
      </w:r>
      <w:r>
        <w:rPr>
          <w:rFonts w:cs="Arial" w:hint="cs"/>
          <w:rtl/>
        </w:rPr>
        <w:t>,</w:t>
      </w:r>
      <w:r w:rsidRPr="005104B9">
        <w:rPr>
          <w:rFonts w:cs="Arial"/>
          <w:rtl/>
        </w:rPr>
        <w:t xml:space="preserve"> משום עובדא דחמתיה דרב חייא אריכא</w:t>
      </w:r>
      <w:r>
        <w:rPr>
          <w:rFonts w:cs="Arial" w:hint="cs"/>
          <w:sz w:val="16"/>
          <w:szCs w:val="16"/>
          <w:rtl/>
        </w:rPr>
        <w:t xml:space="preserve"> (ל' הרא"ש בשמו)</w:t>
      </w:r>
      <w:r>
        <w:rPr>
          <w:rStyle w:val="a7"/>
          <w:rFonts w:cs="Arial"/>
          <w:rtl/>
        </w:rPr>
        <w:footnoteReference w:id="2506"/>
      </w:r>
      <w:r w:rsidRPr="005104B9">
        <w:rPr>
          <w:rFonts w:cs="Arial" w:hint="cs"/>
          <w:rtl/>
        </w:rPr>
        <w:t>.</w:t>
      </w:r>
      <w:r w:rsidRPr="005104B9">
        <w:rPr>
          <w:rFonts w:cs="Arial"/>
          <w:rtl/>
        </w:rPr>
        <w:t xml:space="preserve"> </w:t>
      </w:r>
    </w:p>
    <w:p w14:paraId="626F813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ABC1408" w14:textId="77777777" w:rsidR="002E5BAD" w:rsidRDefault="002E5BAD" w:rsidP="002E5BAD">
      <w:pPr>
        <w:rPr>
          <w:rtl/>
        </w:rPr>
      </w:pPr>
      <w:r>
        <w:rPr>
          <w:rFonts w:cs="Arial"/>
          <w:rtl/>
        </w:rPr>
        <w:t>אפילו אם ניזונית בבית אביה, אם היורשים מכבדים אותה שמוליכים לה מזונותיה בעצמם</w:t>
      </w:r>
      <w:r>
        <w:rPr>
          <w:rStyle w:val="a7"/>
          <w:rFonts w:cs="Arial"/>
          <w:rtl/>
        </w:rPr>
        <w:footnoteReference w:id="2507"/>
      </w:r>
      <w:r>
        <w:rPr>
          <w:rFonts w:cs="Arial"/>
          <w:rtl/>
        </w:rPr>
        <w:t xml:space="preserve">, אין שתיקתה מחילה, שמפני הבושה שתקה ולא מפני שמחלה. </w:t>
      </w:r>
    </w:p>
    <w:p w14:paraId="4C5971F0" w14:textId="77777777" w:rsidR="002E5BAD" w:rsidRDefault="002E5BAD" w:rsidP="002E5BAD">
      <w:pPr>
        <w:rPr>
          <w:rtl/>
        </w:rPr>
      </w:pPr>
    </w:p>
    <w:p w14:paraId="1E74E7C5" w14:textId="77777777" w:rsidR="002E5BAD" w:rsidRDefault="002E5BAD" w:rsidP="002E5BAD">
      <w:pPr>
        <w:pStyle w:val="2"/>
        <w:rPr>
          <w:rtl/>
        </w:rPr>
      </w:pPr>
      <w:r>
        <w:rPr>
          <w:rtl/>
        </w:rPr>
        <w:t>סעיף ג</w:t>
      </w:r>
      <w:r>
        <w:rPr>
          <w:rFonts w:hint="cs"/>
          <w:rtl/>
        </w:rPr>
        <w:t>: דין תוספת כתובה ונדוניא באלמנה ששתקה כ"ה שנים.</w:t>
      </w:r>
    </w:p>
    <w:p w14:paraId="05EC3368" w14:textId="77777777" w:rsidR="002E5BAD" w:rsidRPr="00E31458" w:rsidRDefault="002E5BAD" w:rsidP="002E5BAD">
      <w:pPr>
        <w:rPr>
          <w:rFonts w:cs="Arial"/>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ב</w:t>
      </w:r>
      <w:r w:rsidRPr="00E14BD0">
        <w:rPr>
          <w:rFonts w:cs="Arial"/>
          <w:b/>
          <w:bCs/>
          <w:rtl/>
        </w:rPr>
        <w:t>:</w:t>
      </w:r>
      <w:r w:rsidRPr="00E31458">
        <w:rPr>
          <w:rFonts w:cs="Arial"/>
          <w:rtl/>
        </w:rPr>
        <w:t xml:space="preserve"> </w:t>
      </w:r>
      <w:r w:rsidRPr="00FF2570">
        <w:rPr>
          <w:rFonts w:cs="Arial"/>
          <w:rtl/>
        </w:rPr>
        <w:t xml:space="preserve">כי אתא רב דימי, </w:t>
      </w:r>
      <w:r w:rsidRPr="00D53987">
        <w:rPr>
          <w:rFonts w:cs="Arial"/>
          <w:u w:val="single"/>
          <w:rtl/>
        </w:rPr>
        <w:t>א"ר שמעון בן פזי א"ר יהושע בן לוי משום בר קפרא</w:t>
      </w:r>
      <w:r w:rsidRPr="00FF2570">
        <w:rPr>
          <w:rFonts w:cs="Arial"/>
          <w:rtl/>
        </w:rPr>
        <w:t>: לא שנו</w:t>
      </w:r>
      <w:r>
        <w:rPr>
          <w:rStyle w:val="a7"/>
          <w:rFonts w:cs="Arial"/>
          <w:rtl/>
        </w:rPr>
        <w:footnoteReference w:id="2508"/>
      </w:r>
      <w:r w:rsidRPr="00FF2570">
        <w:rPr>
          <w:rFonts w:cs="Arial"/>
          <w:rtl/>
        </w:rPr>
        <w:t xml:space="preserve"> אלא מנה מאתים</w:t>
      </w:r>
      <w:r>
        <w:rPr>
          <w:rStyle w:val="a7"/>
          <w:rFonts w:cs="Arial"/>
          <w:rtl/>
        </w:rPr>
        <w:footnoteReference w:id="2509"/>
      </w:r>
      <w:r w:rsidRPr="00FF2570">
        <w:rPr>
          <w:rFonts w:cs="Arial"/>
          <w:rtl/>
        </w:rPr>
        <w:t>, אבל תוספת יש לה</w:t>
      </w:r>
      <w:r>
        <w:rPr>
          <w:rStyle w:val="a7"/>
          <w:rFonts w:cs="Arial"/>
          <w:rtl/>
        </w:rPr>
        <w:footnoteReference w:id="2510"/>
      </w:r>
      <w:r>
        <w:rPr>
          <w:rFonts w:cs="Arial" w:hint="cs"/>
          <w:rtl/>
        </w:rPr>
        <w:t>.</w:t>
      </w:r>
      <w:r w:rsidRPr="00FF2570">
        <w:rPr>
          <w:rFonts w:cs="Arial"/>
          <w:rtl/>
        </w:rPr>
        <w:t xml:space="preserve"> </w:t>
      </w:r>
      <w:r w:rsidRPr="00D53987">
        <w:rPr>
          <w:rFonts w:cs="Arial"/>
          <w:u w:val="single"/>
          <w:rtl/>
        </w:rPr>
        <w:t>ורבי אבהו א"ר יוחנן</w:t>
      </w:r>
      <w:r w:rsidRPr="00FF2570">
        <w:rPr>
          <w:rFonts w:cs="Arial"/>
          <w:rtl/>
        </w:rPr>
        <w:t>: אפילו תוספת אין לה</w:t>
      </w:r>
      <w:r>
        <w:rPr>
          <w:rFonts w:cs="Arial" w:hint="cs"/>
          <w:rtl/>
        </w:rPr>
        <w:t>.</w:t>
      </w:r>
      <w:r w:rsidRPr="00FF2570">
        <w:rPr>
          <w:rFonts w:cs="Arial"/>
          <w:rtl/>
        </w:rPr>
        <w:t xml:space="preserve"> דאמר רבי אייבו אמר רבי ינאי: תנאי כתובה</w:t>
      </w:r>
      <w:r>
        <w:rPr>
          <w:rStyle w:val="a7"/>
          <w:rFonts w:cs="Arial"/>
          <w:rtl/>
        </w:rPr>
        <w:footnoteReference w:id="2511"/>
      </w:r>
      <w:r w:rsidRPr="00FF2570">
        <w:rPr>
          <w:rFonts w:cs="Arial"/>
          <w:rtl/>
        </w:rPr>
        <w:t xml:space="preserve"> ככתובה דמי. אתמר נמי, </w:t>
      </w:r>
      <w:r w:rsidRPr="00D53987">
        <w:rPr>
          <w:rFonts w:cs="Arial"/>
          <w:u w:val="single"/>
          <w:rtl/>
        </w:rPr>
        <w:t>א"ר אבא אמר רב הונא אמר רב</w:t>
      </w:r>
      <w:r w:rsidRPr="00FF2570">
        <w:rPr>
          <w:rFonts w:cs="Arial"/>
          <w:rtl/>
        </w:rPr>
        <w:t xml:space="preserve">: לא שנו אלא מנה מאתים, אבל תוספת יש לה. </w:t>
      </w:r>
      <w:r w:rsidRPr="00D53987">
        <w:rPr>
          <w:rFonts w:cs="Arial"/>
          <w:u w:val="single"/>
          <w:rtl/>
        </w:rPr>
        <w:t>אמר ליה רבי אבא לרב הונא</w:t>
      </w:r>
      <w:r w:rsidRPr="00FF2570">
        <w:rPr>
          <w:rFonts w:cs="Arial"/>
          <w:rtl/>
        </w:rPr>
        <w:t>: אמר רב הכי? אמר ליה: אישתיקן קאמרת, או אשקיין קאמרת</w:t>
      </w:r>
      <w:r>
        <w:rPr>
          <w:rStyle w:val="a7"/>
          <w:rFonts w:cs="Arial"/>
          <w:rtl/>
        </w:rPr>
        <w:footnoteReference w:id="2512"/>
      </w:r>
      <w:r w:rsidRPr="00FF2570">
        <w:rPr>
          <w:rFonts w:cs="Arial"/>
          <w:rtl/>
        </w:rPr>
        <w:t xml:space="preserve">? </w:t>
      </w:r>
      <w:r w:rsidRPr="00D53987">
        <w:rPr>
          <w:rFonts w:cs="Arial"/>
          <w:u w:val="single"/>
          <w:rtl/>
        </w:rPr>
        <w:t>אמר ליה</w:t>
      </w:r>
      <w:r w:rsidRPr="00FF2570">
        <w:rPr>
          <w:rFonts w:cs="Arial"/>
          <w:rtl/>
        </w:rPr>
        <w:t>: אישתיקן קאמינא.</w:t>
      </w:r>
      <w:r w:rsidRPr="00291CF5">
        <w:rPr>
          <w:rFonts w:cs="Arial"/>
          <w:sz w:val="16"/>
          <w:szCs w:val="16"/>
          <w:rtl/>
        </w:rPr>
        <w:t xml:space="preserve"> וכתב הר"ן (</w:t>
      </w:r>
      <w:r w:rsidRPr="00291CF5">
        <w:rPr>
          <w:rFonts w:cs="Arial" w:hint="cs"/>
          <w:sz w:val="16"/>
          <w:szCs w:val="16"/>
          <w:rtl/>
        </w:rPr>
        <w:t xml:space="preserve">כתובות </w:t>
      </w:r>
      <w:r w:rsidRPr="00291CF5">
        <w:rPr>
          <w:rFonts w:cs="Arial"/>
          <w:sz w:val="16"/>
          <w:szCs w:val="16"/>
          <w:rtl/>
        </w:rPr>
        <w:t>סב. ד"ה לא</w:t>
      </w:r>
      <w:r w:rsidRPr="00291CF5">
        <w:rPr>
          <w:rFonts w:cs="Arial" w:hint="cs"/>
          <w:sz w:val="16"/>
          <w:szCs w:val="16"/>
          <w:rtl/>
        </w:rPr>
        <w:t>, כא: ד"ה תובעת</w:t>
      </w:r>
      <w:r w:rsidRPr="00291CF5">
        <w:rPr>
          <w:rFonts w:cs="Arial"/>
          <w:sz w:val="16"/>
          <w:szCs w:val="16"/>
          <w:rtl/>
        </w:rPr>
        <w:t>) וקיי"ל כרבי יוחנן</w:t>
      </w:r>
      <w:r w:rsidRPr="00291CF5">
        <w:rPr>
          <w:rFonts w:cs="Arial" w:hint="cs"/>
          <w:sz w:val="16"/>
          <w:szCs w:val="16"/>
          <w:rtl/>
        </w:rPr>
        <w:t>,</w:t>
      </w:r>
      <w:r w:rsidRPr="00291CF5">
        <w:rPr>
          <w:rFonts w:cs="Arial"/>
          <w:sz w:val="16"/>
          <w:szCs w:val="16"/>
          <w:rtl/>
        </w:rPr>
        <w:t xml:space="preserve"> דהא בר</w:t>
      </w:r>
      <w:r>
        <w:rPr>
          <w:rFonts w:cs="Arial" w:hint="cs"/>
          <w:sz w:val="16"/>
          <w:szCs w:val="16"/>
          <w:rtl/>
        </w:rPr>
        <w:t>"</w:t>
      </w:r>
      <w:r w:rsidRPr="00291CF5">
        <w:rPr>
          <w:rFonts w:cs="Arial"/>
          <w:sz w:val="16"/>
          <w:szCs w:val="16"/>
          <w:rtl/>
        </w:rPr>
        <w:t>פ אף על פי (נד:) מנינן הך בהדי הנך אחריני דאמרינן בהו דתנאי כתובה ככתובה דמי. ומיהו איפשר דדוקא תוספת</w:t>
      </w:r>
      <w:r w:rsidRPr="00291CF5">
        <w:rPr>
          <w:rFonts w:cs="Arial" w:hint="cs"/>
          <w:sz w:val="16"/>
          <w:szCs w:val="16"/>
          <w:rtl/>
        </w:rPr>
        <w:t>,</w:t>
      </w:r>
      <w:r w:rsidRPr="00291CF5">
        <w:rPr>
          <w:rFonts w:cs="Arial"/>
          <w:sz w:val="16"/>
          <w:szCs w:val="16"/>
          <w:rtl/>
        </w:rPr>
        <w:t xml:space="preserve"> אבל נדוניא דינה כחוב. וכ</w:t>
      </w:r>
      <w:r>
        <w:rPr>
          <w:rFonts w:cs="Arial" w:hint="cs"/>
          <w:sz w:val="16"/>
          <w:szCs w:val="16"/>
          <w:rtl/>
        </w:rPr>
        <w:t>"</w:t>
      </w:r>
      <w:r w:rsidRPr="00291CF5">
        <w:rPr>
          <w:rFonts w:cs="Arial"/>
          <w:sz w:val="16"/>
          <w:szCs w:val="16"/>
          <w:rtl/>
        </w:rPr>
        <w:t>כ הרא"ש (סי' ז) וקיי"ל כרבי יוחנן דתנאי כתובה ככתובה דמי</w:t>
      </w:r>
      <w:r w:rsidRPr="00291CF5">
        <w:rPr>
          <w:rFonts w:cs="Arial" w:hint="cs"/>
          <w:sz w:val="16"/>
          <w:szCs w:val="16"/>
          <w:rtl/>
        </w:rPr>
        <w:t>.</w:t>
      </w:r>
      <w:r w:rsidRPr="00291CF5">
        <w:rPr>
          <w:rFonts w:cs="Arial"/>
          <w:sz w:val="16"/>
          <w:szCs w:val="16"/>
          <w:rtl/>
        </w:rPr>
        <w:t xml:space="preserve"> ודוקא תוספת</w:t>
      </w:r>
      <w:r w:rsidRPr="00291CF5">
        <w:rPr>
          <w:rFonts w:cs="Arial" w:hint="cs"/>
          <w:sz w:val="16"/>
          <w:szCs w:val="16"/>
          <w:rtl/>
        </w:rPr>
        <w:t>,</w:t>
      </w:r>
      <w:r w:rsidRPr="00291CF5">
        <w:rPr>
          <w:rFonts w:cs="Arial"/>
          <w:sz w:val="16"/>
          <w:szCs w:val="16"/>
          <w:rtl/>
        </w:rPr>
        <w:t xml:space="preserve"> אבל נדוניא מסתבר שהוא כחוב. וגם ה</w:t>
      </w:r>
      <w:r>
        <w:rPr>
          <w:rFonts w:cs="Arial" w:hint="cs"/>
          <w:sz w:val="16"/>
          <w:szCs w:val="16"/>
          <w:rtl/>
        </w:rPr>
        <w:t>ה"</w:t>
      </w:r>
      <w:r w:rsidRPr="00291CF5">
        <w:rPr>
          <w:rFonts w:cs="Arial"/>
          <w:sz w:val="16"/>
          <w:szCs w:val="16"/>
          <w:rtl/>
        </w:rPr>
        <w:t>מ כתב בפרק י"ו (הכ"ג) דין הנדוניא כדין החוב לדעת רבינו</w:t>
      </w:r>
      <w:r w:rsidRPr="00291CF5">
        <w:rPr>
          <w:rFonts w:cs="Arial" w:hint="cs"/>
          <w:sz w:val="16"/>
          <w:szCs w:val="16"/>
          <w:rtl/>
        </w:rPr>
        <w:t>,</w:t>
      </w:r>
      <w:r w:rsidRPr="00291CF5">
        <w:rPr>
          <w:rFonts w:cs="Arial"/>
          <w:sz w:val="16"/>
          <w:szCs w:val="16"/>
          <w:rtl/>
        </w:rPr>
        <w:t xml:space="preserve"> וכ</w:t>
      </w:r>
      <w:r>
        <w:rPr>
          <w:rFonts w:cs="Arial" w:hint="cs"/>
          <w:sz w:val="16"/>
          <w:szCs w:val="16"/>
          <w:rtl/>
        </w:rPr>
        <w:t>"</w:t>
      </w:r>
      <w:r w:rsidRPr="00291CF5">
        <w:rPr>
          <w:rFonts w:cs="Arial"/>
          <w:sz w:val="16"/>
          <w:szCs w:val="16"/>
          <w:rtl/>
        </w:rPr>
        <w:t>כ הרשב"א ז"ל</w:t>
      </w:r>
      <w:r w:rsidRPr="00291CF5">
        <w:rPr>
          <w:rFonts w:cs="Arial" w:hint="cs"/>
          <w:sz w:val="16"/>
          <w:szCs w:val="16"/>
          <w:rtl/>
        </w:rPr>
        <w:t>,</w:t>
      </w:r>
      <w:r w:rsidRPr="00291CF5">
        <w:rPr>
          <w:rFonts w:cs="Arial"/>
          <w:sz w:val="16"/>
          <w:szCs w:val="16"/>
          <w:rtl/>
        </w:rPr>
        <w:t xml:space="preserve"> ומכל מקום אין צורך לזה שהרי פשוט הוא שאינה נגבית הנדוניא בשום מקום אלא כשמראה כתובתה</w:t>
      </w:r>
      <w:r w:rsidRPr="00291CF5">
        <w:rPr>
          <w:rFonts w:cs="Arial" w:hint="cs"/>
          <w:sz w:val="16"/>
          <w:szCs w:val="16"/>
          <w:rtl/>
        </w:rPr>
        <w:t>.</w:t>
      </w:r>
      <w:r w:rsidRPr="00291CF5">
        <w:rPr>
          <w:rFonts w:cs="Arial"/>
          <w:sz w:val="16"/>
          <w:szCs w:val="16"/>
          <w:rtl/>
        </w:rPr>
        <w:t xml:space="preserve"> ומכל מקום נפקא מינה שהיכא שהיורשים מודים שלא פרעוה</w:t>
      </w:r>
      <w:r w:rsidRPr="00291CF5">
        <w:rPr>
          <w:rFonts w:cs="Arial" w:hint="cs"/>
          <w:sz w:val="16"/>
          <w:szCs w:val="16"/>
          <w:rtl/>
        </w:rPr>
        <w:t>,</w:t>
      </w:r>
      <w:r w:rsidRPr="00291CF5">
        <w:rPr>
          <w:rFonts w:cs="Arial"/>
          <w:sz w:val="16"/>
          <w:szCs w:val="16"/>
          <w:rtl/>
        </w:rPr>
        <w:t xml:space="preserve"> שאע"פ שאבדה כתובתה גובה נדוניא ואינה גובה לא עיקר ולא תוספת כיון ששתקה כ"ה שנים והיא בבית אביה ודאי מחלתן עכ"ל. ודע שיש להרי"ף (סב.) גירסא אחרת בזה</w:t>
      </w:r>
      <w:r w:rsidRPr="00291CF5">
        <w:rPr>
          <w:rStyle w:val="a7"/>
          <w:rFonts w:cs="Arial"/>
          <w:sz w:val="16"/>
          <w:szCs w:val="16"/>
          <w:rtl/>
        </w:rPr>
        <w:footnoteReference w:id="2513"/>
      </w:r>
      <w:r w:rsidRPr="00291CF5">
        <w:rPr>
          <w:rFonts w:cs="Arial" w:hint="cs"/>
          <w:sz w:val="16"/>
          <w:szCs w:val="16"/>
          <w:rtl/>
        </w:rPr>
        <w:t>, ב"י</w:t>
      </w:r>
      <w:r>
        <w:rPr>
          <w:rFonts w:cs="Arial" w:hint="cs"/>
          <w:sz w:val="16"/>
          <w:szCs w:val="16"/>
          <w:rtl/>
        </w:rPr>
        <w:t>)</w:t>
      </w:r>
    </w:p>
    <w:p w14:paraId="517CD128" w14:textId="77777777" w:rsidR="002E5BAD" w:rsidRPr="00B5497E" w:rsidRDefault="002E5BAD" w:rsidP="002E5BAD">
      <w:pPr>
        <w:rPr>
          <w:u w:val="single"/>
          <w:rtl/>
        </w:rPr>
      </w:pPr>
      <w:r w:rsidRPr="001D1650">
        <w:rPr>
          <w:rFonts w:hint="cs"/>
          <w:u w:val="single"/>
          <w:rtl/>
        </w:rPr>
        <w:t>דין תוספת כתובה באלמנה ששתקה כ"ה שנים</w:t>
      </w:r>
      <w:r w:rsidRPr="00B5497E">
        <w:rPr>
          <w:rFonts w:hint="cs"/>
          <w:u w:val="single"/>
          <w:rtl/>
        </w:rPr>
        <w:t>:</w:t>
      </w:r>
    </w:p>
    <w:p w14:paraId="3C70C419" w14:textId="77777777" w:rsidR="002E5BAD" w:rsidRPr="00FF2570" w:rsidRDefault="002E5BAD" w:rsidP="00B75458">
      <w:pPr>
        <w:pStyle w:val="ab"/>
        <w:numPr>
          <w:ilvl w:val="0"/>
          <w:numId w:val="192"/>
        </w:numPr>
      </w:pPr>
      <w:r>
        <w:rPr>
          <w:rFonts w:cs="Arial" w:hint="cs"/>
          <w:rtl/>
        </w:rPr>
        <w:t>(</w:t>
      </w:r>
      <w:r w:rsidRPr="00B97831">
        <w:rPr>
          <w:rFonts w:cs="Arial"/>
          <w:rtl/>
        </w:rPr>
        <w:t xml:space="preserve">רמב"ם </w:t>
      </w:r>
      <w:r>
        <w:rPr>
          <w:rFonts w:cs="Arial" w:hint="cs"/>
          <w:sz w:val="16"/>
          <w:szCs w:val="16"/>
          <w:rtl/>
        </w:rPr>
        <w:t>להב' הטור</w:t>
      </w:r>
      <w:r>
        <w:rPr>
          <w:rFonts w:cs="Arial" w:hint="cs"/>
          <w:rtl/>
        </w:rPr>
        <w:t xml:space="preserve">)- </w:t>
      </w:r>
      <w:r w:rsidRPr="00B97831">
        <w:rPr>
          <w:rFonts w:cs="Arial"/>
          <w:rtl/>
        </w:rPr>
        <w:t>אין הוכחת השתיקה מחילה אלא לעיקר</w:t>
      </w:r>
      <w:r>
        <w:rPr>
          <w:rFonts w:cs="Arial" w:hint="cs"/>
          <w:rtl/>
        </w:rPr>
        <w:t>,</w:t>
      </w:r>
      <w:r w:rsidRPr="00B97831">
        <w:rPr>
          <w:rFonts w:cs="Arial"/>
          <w:rtl/>
        </w:rPr>
        <w:t xml:space="preserve"> אבל התוספת לא</w:t>
      </w:r>
      <w:r>
        <w:rPr>
          <w:rStyle w:val="a7"/>
          <w:rFonts w:cs="Arial"/>
          <w:rtl/>
        </w:rPr>
        <w:footnoteReference w:id="2514"/>
      </w:r>
      <w:r>
        <w:rPr>
          <w:rFonts w:cs="Arial" w:hint="cs"/>
          <w:sz w:val="16"/>
          <w:szCs w:val="16"/>
          <w:rtl/>
        </w:rPr>
        <w:t xml:space="preserve"> (ל' הטור בשמו)</w:t>
      </w:r>
      <w:r>
        <w:rPr>
          <w:rFonts w:cs="Arial" w:hint="cs"/>
          <w:rtl/>
        </w:rPr>
        <w:t>.</w:t>
      </w:r>
      <w:r w:rsidRPr="00B97831">
        <w:rPr>
          <w:rFonts w:cs="Arial"/>
          <w:rtl/>
        </w:rPr>
        <w:t xml:space="preserve"> </w:t>
      </w:r>
    </w:p>
    <w:p w14:paraId="4D1FC162" w14:textId="77777777" w:rsidR="002E5BAD" w:rsidRDefault="002E5BAD" w:rsidP="00B75458">
      <w:pPr>
        <w:pStyle w:val="ab"/>
        <w:numPr>
          <w:ilvl w:val="0"/>
          <w:numId w:val="192"/>
        </w:numPr>
      </w:pPr>
      <w:r>
        <w:rPr>
          <w:rFonts w:cs="Arial" w:hint="cs"/>
          <w:rtl/>
        </w:rPr>
        <w:t>(</w:t>
      </w:r>
      <w:r w:rsidRPr="00B97831">
        <w:rPr>
          <w:rFonts w:cs="Arial"/>
          <w:rtl/>
        </w:rPr>
        <w:t xml:space="preserve">רמב"ם </w:t>
      </w:r>
      <w:r>
        <w:rPr>
          <w:rFonts w:cs="Arial" w:hint="cs"/>
          <w:sz w:val="16"/>
          <w:szCs w:val="16"/>
          <w:rtl/>
        </w:rPr>
        <w:t>להב' הב"י</w:t>
      </w:r>
      <w:r>
        <w:rPr>
          <w:rFonts w:cs="Arial" w:hint="cs"/>
          <w:rtl/>
        </w:rPr>
        <w:t xml:space="preserve">) </w:t>
      </w:r>
      <w:r w:rsidRPr="00B97831">
        <w:rPr>
          <w:rFonts w:cs="Arial"/>
          <w:rtl/>
        </w:rPr>
        <w:t>רא"ש</w:t>
      </w:r>
      <w:r>
        <w:rPr>
          <w:rFonts w:cs="Arial" w:hint="cs"/>
          <w:rtl/>
        </w:rPr>
        <w:t xml:space="preserve"> </w:t>
      </w:r>
      <w:r w:rsidRPr="00291CF5">
        <w:rPr>
          <w:rFonts w:cs="Arial"/>
          <w:sz w:val="16"/>
          <w:szCs w:val="16"/>
          <w:rtl/>
        </w:rPr>
        <w:t xml:space="preserve">(סי' ז) </w:t>
      </w:r>
      <w:r w:rsidRPr="00291CF5">
        <w:rPr>
          <w:rFonts w:cs="Arial"/>
          <w:rtl/>
        </w:rPr>
        <w:t xml:space="preserve">ר"ן </w:t>
      </w:r>
      <w:r w:rsidRPr="00291CF5">
        <w:rPr>
          <w:rFonts w:cs="Arial"/>
          <w:sz w:val="16"/>
          <w:szCs w:val="16"/>
          <w:rtl/>
        </w:rPr>
        <w:t>(</w:t>
      </w:r>
      <w:r w:rsidRPr="00291CF5">
        <w:rPr>
          <w:rFonts w:cs="Arial" w:hint="cs"/>
          <w:sz w:val="16"/>
          <w:szCs w:val="16"/>
          <w:rtl/>
        </w:rPr>
        <w:t xml:space="preserve">כתובות </w:t>
      </w:r>
      <w:r w:rsidRPr="00291CF5">
        <w:rPr>
          <w:rFonts w:cs="Arial"/>
          <w:sz w:val="16"/>
          <w:szCs w:val="16"/>
          <w:rtl/>
        </w:rPr>
        <w:t>סב. ד"ה לא</w:t>
      </w:r>
      <w:r w:rsidRPr="00291CF5">
        <w:rPr>
          <w:rFonts w:cs="Arial" w:hint="cs"/>
          <w:sz w:val="16"/>
          <w:szCs w:val="16"/>
          <w:rtl/>
        </w:rPr>
        <w:t>, כא: ד"ה תובעת</w:t>
      </w:r>
      <w:r w:rsidRPr="00291CF5">
        <w:rPr>
          <w:rFonts w:cs="Arial"/>
          <w:sz w:val="16"/>
          <w:szCs w:val="16"/>
          <w:rtl/>
        </w:rPr>
        <w:t>)</w:t>
      </w:r>
      <w:r w:rsidRPr="00560569">
        <w:rPr>
          <w:rFonts w:cs="Arial" w:hint="cs"/>
          <w:rtl/>
        </w:rPr>
        <w:t xml:space="preserve"> </w:t>
      </w:r>
      <w:r>
        <w:rPr>
          <w:rFonts w:cs="Arial" w:hint="cs"/>
          <w:rtl/>
        </w:rPr>
        <w:t xml:space="preserve">והה"מ </w:t>
      </w:r>
      <w:r>
        <w:rPr>
          <w:rFonts w:cs="Arial" w:hint="cs"/>
          <w:sz w:val="16"/>
          <w:szCs w:val="16"/>
          <w:rtl/>
        </w:rPr>
        <w:t>(פט"ז הכ"ג)</w:t>
      </w:r>
      <w:r>
        <w:rPr>
          <w:rFonts w:cs="Arial" w:hint="cs"/>
          <w:rtl/>
        </w:rPr>
        <w:t xml:space="preserve">- </w:t>
      </w:r>
      <w:r w:rsidRPr="00B97831">
        <w:rPr>
          <w:rFonts w:cs="Arial"/>
          <w:rtl/>
        </w:rPr>
        <w:t>גם התוס</w:t>
      </w:r>
      <w:r>
        <w:rPr>
          <w:rFonts w:cs="Arial" w:hint="cs"/>
          <w:rtl/>
        </w:rPr>
        <w:t>פת</w:t>
      </w:r>
      <w:r w:rsidRPr="00B97831">
        <w:rPr>
          <w:rFonts w:cs="Arial"/>
          <w:rtl/>
        </w:rPr>
        <w:t xml:space="preserve"> מוחלת</w:t>
      </w:r>
      <w:r>
        <w:rPr>
          <w:rFonts w:cs="Arial" w:hint="cs"/>
          <w:rtl/>
        </w:rPr>
        <w:t>.</w:t>
      </w:r>
      <w:r w:rsidRPr="00B97831">
        <w:rPr>
          <w:rFonts w:cs="Arial"/>
          <w:rtl/>
        </w:rPr>
        <w:t xml:space="preserve"> </w:t>
      </w:r>
    </w:p>
    <w:p w14:paraId="564A9F52" w14:textId="77777777" w:rsidR="002E5BAD" w:rsidRPr="000029A3" w:rsidRDefault="002E5BAD" w:rsidP="002E5BAD">
      <w:pPr>
        <w:ind w:left="360"/>
        <w:rPr>
          <w:u w:val="dotted"/>
        </w:rPr>
      </w:pPr>
      <w:r w:rsidRPr="000029A3">
        <w:rPr>
          <w:rFonts w:hint="cs"/>
          <w:u w:val="dotted"/>
          <w:rtl/>
        </w:rPr>
        <w:t>ומה הדין הנדוניא:</w:t>
      </w:r>
    </w:p>
    <w:p w14:paraId="07CEFB03" w14:textId="77777777" w:rsidR="002E5BAD" w:rsidRPr="00291CF5" w:rsidRDefault="002E5BAD" w:rsidP="00B75458">
      <w:pPr>
        <w:pStyle w:val="ab"/>
        <w:numPr>
          <w:ilvl w:val="0"/>
          <w:numId w:val="192"/>
        </w:numPr>
        <w:rPr>
          <w:rtl/>
        </w:rPr>
      </w:pPr>
      <w:r>
        <w:rPr>
          <w:rFonts w:cs="Arial" w:hint="cs"/>
          <w:rtl/>
        </w:rPr>
        <w:t xml:space="preserve">רשב"א </w:t>
      </w:r>
      <w:r>
        <w:rPr>
          <w:rFonts w:cs="Arial" w:hint="cs"/>
          <w:sz w:val="16"/>
          <w:szCs w:val="16"/>
          <w:rtl/>
        </w:rPr>
        <w:t xml:space="preserve">(כ"כ הה"מ [שם] בשמו) </w:t>
      </w:r>
      <w:r>
        <w:rPr>
          <w:rFonts w:cs="Arial" w:hint="cs"/>
          <w:rtl/>
        </w:rPr>
        <w:t>רא"ש</w:t>
      </w:r>
      <w:r>
        <w:rPr>
          <w:rFonts w:cs="Arial" w:hint="cs"/>
          <w:sz w:val="16"/>
          <w:szCs w:val="16"/>
          <w:rtl/>
        </w:rPr>
        <w:t xml:space="preserve"> (שם)</w:t>
      </w:r>
      <w:r>
        <w:rPr>
          <w:rFonts w:cs="Arial" w:hint="cs"/>
          <w:rtl/>
        </w:rPr>
        <w:t xml:space="preserve"> טור ר"ן</w:t>
      </w:r>
      <w:r>
        <w:rPr>
          <w:rFonts w:cs="Arial" w:hint="cs"/>
          <w:sz w:val="16"/>
          <w:szCs w:val="16"/>
          <w:rtl/>
        </w:rPr>
        <w:t xml:space="preserve"> (שם)</w:t>
      </w:r>
      <w:r w:rsidRPr="00291CF5">
        <w:rPr>
          <w:rFonts w:cs="Arial" w:hint="cs"/>
          <w:rtl/>
        </w:rPr>
        <w:t xml:space="preserve"> </w:t>
      </w:r>
      <w:r>
        <w:rPr>
          <w:rFonts w:cs="Arial" w:hint="cs"/>
          <w:rtl/>
        </w:rPr>
        <w:t xml:space="preserve">והה"מ </w:t>
      </w:r>
      <w:r>
        <w:rPr>
          <w:rFonts w:cs="Arial" w:hint="cs"/>
          <w:sz w:val="16"/>
          <w:szCs w:val="16"/>
          <w:rtl/>
        </w:rPr>
        <w:t>(שם)</w:t>
      </w:r>
      <w:r>
        <w:rPr>
          <w:rFonts w:cs="Arial" w:hint="cs"/>
          <w:rtl/>
        </w:rPr>
        <w:t xml:space="preserve">- </w:t>
      </w:r>
      <w:r w:rsidRPr="00B97831">
        <w:rPr>
          <w:rFonts w:cs="Arial"/>
          <w:rtl/>
        </w:rPr>
        <w:t>אבל הנדוניא אינה מוחלת ואם יש לה עדים ממנה גובה אותה לעולם</w:t>
      </w:r>
      <w:r>
        <w:rPr>
          <w:rFonts w:cs="Arial" w:hint="cs"/>
          <w:sz w:val="16"/>
          <w:szCs w:val="16"/>
          <w:rtl/>
        </w:rPr>
        <w:t xml:space="preserve"> (ל' הטור)</w:t>
      </w:r>
      <w:r>
        <w:rPr>
          <w:rFonts w:cs="Arial" w:hint="cs"/>
          <w:rtl/>
        </w:rPr>
        <w:t>.</w:t>
      </w:r>
      <w:r w:rsidRPr="00B97831">
        <w:rPr>
          <w:rFonts w:cs="Arial"/>
          <w:rtl/>
        </w:rPr>
        <w:t xml:space="preserve"> </w:t>
      </w:r>
      <w:r w:rsidRPr="00291CF5">
        <w:rPr>
          <w:rFonts w:cs="Arial" w:hint="cs"/>
          <w:color w:val="E36C0A" w:themeColor="accent6" w:themeShade="BF"/>
          <w:rtl/>
        </w:rPr>
        <w:t>(וכ"פ בשו"ע)</w:t>
      </w:r>
    </w:p>
    <w:p w14:paraId="2A805CF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7C008C" w14:textId="77777777" w:rsidR="002E5BAD" w:rsidRDefault="002E5BAD" w:rsidP="002E5BAD">
      <w:pPr>
        <w:rPr>
          <w:rFonts w:cs="Arial"/>
          <w:rtl/>
        </w:rPr>
      </w:pPr>
      <w:r>
        <w:rPr>
          <w:rFonts w:cs="Arial"/>
          <w:rtl/>
        </w:rPr>
        <w:t>נדוניא לעולם אינה מוחלת</w:t>
      </w:r>
      <w:r>
        <w:rPr>
          <w:rStyle w:val="a7"/>
          <w:rFonts w:cs="Arial"/>
          <w:rtl/>
        </w:rPr>
        <w:footnoteReference w:id="2515"/>
      </w:r>
      <w:r>
        <w:rPr>
          <w:rFonts w:cs="Arial"/>
          <w:rtl/>
        </w:rPr>
        <w:t xml:space="preserve">, אפילו שהתה כמה שנים. </w:t>
      </w:r>
    </w:p>
    <w:p w14:paraId="452DBBE6" w14:textId="77777777" w:rsidR="002E5BAD" w:rsidRDefault="002E5BAD" w:rsidP="002E5BAD">
      <w:pPr>
        <w:rPr>
          <w:rtl/>
        </w:rPr>
      </w:pPr>
    </w:p>
    <w:p w14:paraId="068E3383" w14:textId="77777777" w:rsidR="002E5BAD" w:rsidRDefault="002E5BAD" w:rsidP="002E5BAD">
      <w:pPr>
        <w:pStyle w:val="2"/>
        <w:rPr>
          <w:rtl/>
        </w:rPr>
      </w:pPr>
      <w:r>
        <w:rPr>
          <w:rtl/>
        </w:rPr>
        <w:lastRenderedPageBreak/>
        <w:t>סעיף ד</w:t>
      </w:r>
      <w:r>
        <w:rPr>
          <w:rFonts w:hint="cs"/>
          <w:rtl/>
        </w:rPr>
        <w:t>: עד מתי יכולה הגרושה לגבות כתובתה.</w:t>
      </w:r>
    </w:p>
    <w:p w14:paraId="185ACA9C" w14:textId="77777777" w:rsidR="002E5BAD" w:rsidRPr="005D6764"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5D6764">
        <w:rPr>
          <w:rFonts w:cs="Arial"/>
          <w:rtl/>
        </w:rPr>
        <w:t>והאמר ר' אלעא</w:t>
      </w:r>
      <w:r>
        <w:rPr>
          <w:rFonts w:cs="Arial" w:hint="cs"/>
          <w:rtl/>
        </w:rPr>
        <w:t>:</w:t>
      </w:r>
      <w:r w:rsidRPr="005D6764">
        <w:rPr>
          <w:rFonts w:cs="Arial"/>
          <w:rtl/>
        </w:rPr>
        <w:t xml:space="preserve"> שונין</w:t>
      </w:r>
      <w:r>
        <w:rPr>
          <w:rFonts w:cs="Arial" w:hint="cs"/>
          <w:rtl/>
        </w:rPr>
        <w:t>,</w:t>
      </w:r>
      <w:r w:rsidRPr="005D6764">
        <w:rPr>
          <w:rFonts w:cs="Arial"/>
          <w:rtl/>
        </w:rPr>
        <w:t xml:space="preserve"> גרושה - הרי היא כבעל חוב</w:t>
      </w:r>
      <w:r>
        <w:rPr>
          <w:rStyle w:val="a7"/>
          <w:rFonts w:cs="Arial"/>
          <w:rtl/>
        </w:rPr>
        <w:footnoteReference w:id="2516"/>
      </w:r>
      <w:r>
        <w:rPr>
          <w:rFonts w:hint="cs"/>
          <w:rtl/>
        </w:rPr>
        <w:t>.</w:t>
      </w:r>
    </w:p>
    <w:p w14:paraId="6E1B87FA" w14:textId="77777777" w:rsidR="002E5BAD" w:rsidRPr="005D6764" w:rsidRDefault="002E5BAD" w:rsidP="002E5BAD">
      <w:pPr>
        <w:rPr>
          <w:u w:val="single"/>
          <w:rtl/>
        </w:rPr>
      </w:pPr>
      <w:r w:rsidRPr="005D6764">
        <w:rPr>
          <w:rFonts w:hint="cs"/>
          <w:u w:val="single"/>
          <w:rtl/>
        </w:rPr>
        <w:t>עד מתי יכולה הגרושה לגבות כתובתה:</w:t>
      </w:r>
    </w:p>
    <w:p w14:paraId="313C82B3" w14:textId="77777777" w:rsidR="002E5BAD" w:rsidRPr="00B97831" w:rsidRDefault="002E5BAD" w:rsidP="00B75458">
      <w:pPr>
        <w:pStyle w:val="ab"/>
        <w:numPr>
          <w:ilvl w:val="0"/>
          <w:numId w:val="192"/>
        </w:numPr>
        <w:rPr>
          <w:rtl/>
        </w:rPr>
      </w:pPr>
      <w:r>
        <w:rPr>
          <w:rFonts w:cs="Arial" w:hint="cs"/>
          <w:rtl/>
        </w:rPr>
        <w:t xml:space="preserve">טור- </w:t>
      </w:r>
      <w:r w:rsidRPr="00B97831">
        <w:rPr>
          <w:rFonts w:cs="Arial"/>
          <w:rtl/>
        </w:rPr>
        <w:t>ודוקא באלמנה הויא שתיקתה מחילה בשאין כתובה בידה</w:t>
      </w:r>
      <w:r>
        <w:rPr>
          <w:rFonts w:cs="Arial" w:hint="cs"/>
          <w:rtl/>
        </w:rPr>
        <w:t>,</w:t>
      </w:r>
      <w:r w:rsidRPr="00B97831">
        <w:rPr>
          <w:rFonts w:cs="Arial"/>
          <w:rtl/>
        </w:rPr>
        <w:t xml:space="preserve"> אבל גרושה </w:t>
      </w:r>
      <w:r>
        <w:rPr>
          <w:rFonts w:cs="Arial" w:hint="cs"/>
          <w:rtl/>
        </w:rPr>
        <w:t xml:space="preserve">- </w:t>
      </w:r>
      <w:r w:rsidRPr="00B97831">
        <w:rPr>
          <w:rFonts w:cs="Arial"/>
          <w:rtl/>
        </w:rPr>
        <w:t>גובה לעולם כשאר בעלי חובות</w:t>
      </w:r>
      <w:r>
        <w:rPr>
          <w:rFonts w:cs="Arial" w:hint="cs"/>
          <w:rtl/>
        </w:rPr>
        <w:t>.</w:t>
      </w:r>
      <w:r>
        <w:rPr>
          <w:rFonts w:hint="cs"/>
          <w:rtl/>
        </w:rPr>
        <w:t xml:space="preserve"> </w:t>
      </w:r>
      <w:r w:rsidRPr="005D6764">
        <w:rPr>
          <w:rFonts w:hint="cs"/>
          <w:color w:val="E36C0A" w:themeColor="accent6" w:themeShade="BF"/>
          <w:rtl/>
        </w:rPr>
        <w:t>(וכ"פ בשו"ע)</w:t>
      </w:r>
    </w:p>
    <w:p w14:paraId="796ED0A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48CA9A" w14:textId="77777777" w:rsidR="002E5BAD" w:rsidRPr="007A3469" w:rsidRDefault="002E5BAD" w:rsidP="002E5BAD">
      <w:pPr>
        <w:rPr>
          <w:rtl/>
        </w:rPr>
        <w:sectPr w:rsidR="002E5BAD" w:rsidRPr="007A3469" w:rsidSect="00A347B3">
          <w:headerReference w:type="default" r:id="rId58"/>
          <w:footnotePr>
            <w:numRestart w:val="eachPage"/>
          </w:footnotePr>
          <w:pgSz w:w="11906" w:h="16838"/>
          <w:pgMar w:top="720" w:right="1134" w:bottom="720" w:left="1134" w:header="0" w:footer="0" w:gutter="0"/>
          <w:cols w:space="720"/>
          <w:bidi/>
          <w:rtlGutter/>
          <w:docGrid w:linePitch="360"/>
        </w:sectPr>
      </w:pPr>
      <w:r>
        <w:rPr>
          <w:rFonts w:cs="Arial"/>
          <w:rtl/>
        </w:rPr>
        <w:t>גרושה, לעולם אינה מוחלת, אפילו שהתה כמה שנים.</w:t>
      </w:r>
    </w:p>
    <w:p w14:paraId="229147B2" w14:textId="77777777" w:rsidR="002E5BAD" w:rsidRPr="000904BE" w:rsidRDefault="002E5BAD" w:rsidP="002E5BAD">
      <w:pPr>
        <w:pStyle w:val="1"/>
        <w:rPr>
          <w:rtl/>
        </w:rPr>
      </w:pPr>
      <w:r>
        <w:rPr>
          <w:rFonts w:hint="cs"/>
          <w:rtl/>
        </w:rPr>
        <w:lastRenderedPageBreak/>
        <w:t>סימן קב:</w:t>
      </w:r>
      <w:r w:rsidRPr="00C12B74">
        <w:rPr>
          <w:rtl/>
        </w:rPr>
        <w:t xml:space="preserve"> </w:t>
      </w:r>
      <w:r w:rsidRPr="000904BE">
        <w:rPr>
          <w:rFonts w:cs="Arial"/>
          <w:rtl/>
        </w:rPr>
        <w:t xml:space="preserve">דין גביית חוב וכתובת אלמנה, ובו ט' סעיפים. </w:t>
      </w:r>
    </w:p>
    <w:p w14:paraId="3A7831A9" w14:textId="77777777" w:rsidR="002E5BAD" w:rsidRDefault="002E5BAD" w:rsidP="002E5BAD">
      <w:pPr>
        <w:pStyle w:val="2"/>
        <w:rPr>
          <w:rtl/>
        </w:rPr>
      </w:pPr>
      <w:r w:rsidRPr="000904BE">
        <w:rPr>
          <w:rtl/>
        </w:rPr>
        <w:t>סעיף א</w:t>
      </w:r>
      <w:r>
        <w:rPr>
          <w:rFonts w:hint="cs"/>
          <w:rtl/>
        </w:rPr>
        <w:t>:</w:t>
      </w:r>
      <w:r w:rsidRPr="003A4B45">
        <w:rPr>
          <w:rFonts w:hint="cs"/>
          <w:rtl/>
        </w:rPr>
        <w:t xml:space="preserve"> אלמנ</w:t>
      </w:r>
      <w:r>
        <w:rPr>
          <w:rFonts w:hint="cs"/>
          <w:rtl/>
        </w:rPr>
        <w:t>ה ו</w:t>
      </w:r>
      <w:r w:rsidRPr="003A4B45">
        <w:rPr>
          <w:rFonts w:hint="cs"/>
          <w:rtl/>
        </w:rPr>
        <w:t>בעל חוב</w:t>
      </w:r>
      <w:r>
        <w:rPr>
          <w:rFonts w:hint="cs"/>
          <w:rtl/>
        </w:rPr>
        <w:t xml:space="preserve"> </w:t>
      </w:r>
      <w:r>
        <w:rPr>
          <w:rtl/>
        </w:rPr>
        <w:t>–</w:t>
      </w:r>
      <w:r>
        <w:rPr>
          <w:rFonts w:hint="cs"/>
          <w:rtl/>
        </w:rPr>
        <w:t xml:space="preserve"> ויש נכסים שיש להם דין קדימה.</w:t>
      </w:r>
    </w:p>
    <w:p w14:paraId="3015EA80" w14:textId="77777777" w:rsidR="002E5BAD"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2517"/>
      </w:r>
      <w:r w:rsidRPr="00DC4A1A">
        <w:rPr>
          <w:rFonts w:cs="Arial"/>
          <w:rtl/>
        </w:rPr>
        <w:t>, לאשה לא יהבינן לה, מאי טעמא? יותר ממה שהאיש רוצה לישא - אשה רוצה להנשא</w:t>
      </w:r>
      <w:r>
        <w:rPr>
          <w:rStyle w:val="a7"/>
          <w:rFonts w:cs="Arial"/>
          <w:rtl/>
        </w:rPr>
        <w:footnoteReference w:id="2518"/>
      </w:r>
      <w:r w:rsidRPr="00DC4A1A">
        <w:rPr>
          <w:rFonts w:cs="Arial"/>
          <w:rtl/>
        </w:rPr>
        <w:t>.</w:t>
      </w:r>
    </w:p>
    <w:p w14:paraId="53D1FCA0" w14:textId="77777777" w:rsidR="002E5BAD"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צג</w:t>
      </w:r>
      <w:r w:rsidRPr="00E14BD0">
        <w:rPr>
          <w:rFonts w:cs="Arial" w:hint="cs"/>
          <w:b/>
          <w:bCs/>
          <w:rtl/>
        </w:rPr>
        <w:t xml:space="preserve"> ע"</w:t>
      </w:r>
      <w:r>
        <w:rPr>
          <w:rFonts w:cs="Arial" w:hint="cs"/>
          <w:b/>
          <w:bCs/>
          <w:rtl/>
        </w:rPr>
        <w:t>ב</w:t>
      </w:r>
      <w:r w:rsidRPr="00E14BD0">
        <w:rPr>
          <w:rFonts w:cs="Arial"/>
          <w:b/>
          <w:bCs/>
          <w:rtl/>
        </w:rPr>
        <w:t>:</w:t>
      </w:r>
      <w:r w:rsidRPr="00567E28">
        <w:rPr>
          <w:rFonts w:cs="Arial"/>
          <w:rtl/>
        </w:rPr>
        <w:t xml:space="preserve"> </w:t>
      </w:r>
      <w:r w:rsidRPr="00AE5EBF">
        <w:rPr>
          <w:rFonts w:cs="Arial"/>
          <w:u w:val="double"/>
          <w:rtl/>
        </w:rPr>
        <w:t>מתני'</w:t>
      </w:r>
      <w:r>
        <w:rPr>
          <w:rFonts w:cs="Arial" w:hint="cs"/>
          <w:rtl/>
        </w:rPr>
        <w:t>:</w:t>
      </w:r>
      <w:r>
        <w:rPr>
          <w:rFonts w:cs="Arial"/>
          <w:rtl/>
        </w:rPr>
        <w:t xml:space="preserve"> מי שהיה נשוי ד' נשים ומת - הראשונה קודמת לשניה, ושניה לשלישית, ושלישית לרביעית</w:t>
      </w:r>
      <w:r>
        <w:rPr>
          <w:rFonts w:cs="Arial" w:hint="cs"/>
          <w:rtl/>
        </w:rPr>
        <w:t>.</w:t>
      </w:r>
      <w:r>
        <w:rPr>
          <w:rFonts w:cs="Arial"/>
          <w:rtl/>
        </w:rPr>
        <w:t xml:space="preserve"> וראשונה נשבעת לשניה, ושניה לשלישית, ושלישית לרביעית, והרביעית נפרעת שלא בשבועה</w:t>
      </w:r>
      <w:r>
        <w:rPr>
          <w:rFonts w:cs="Arial" w:hint="cs"/>
          <w:rtl/>
        </w:rPr>
        <w:t>.</w:t>
      </w:r>
      <w:r>
        <w:rPr>
          <w:rFonts w:cs="Arial"/>
          <w:rtl/>
        </w:rPr>
        <w:t xml:space="preserve"> </w:t>
      </w:r>
      <w:r w:rsidRPr="00AE5EBF">
        <w:rPr>
          <w:rFonts w:cs="Arial"/>
          <w:u w:val="single"/>
          <w:rtl/>
        </w:rPr>
        <w:t>בן ננס אומר</w:t>
      </w:r>
      <w:r>
        <w:rPr>
          <w:rFonts w:cs="Arial"/>
          <w:rtl/>
        </w:rPr>
        <w:t>: וכי מפני שהיא אחרונה נשכרת? אף היא לא תפרע אלא בשבועה.</w:t>
      </w:r>
      <w:r>
        <w:rPr>
          <w:rFonts w:cs="Arial" w:hint="cs"/>
          <w:rtl/>
        </w:rPr>
        <w:t>.</w:t>
      </w:r>
      <w:r>
        <w:rPr>
          <w:rFonts w:cs="Arial"/>
          <w:rtl/>
        </w:rPr>
        <w:t xml:space="preserve">. </w:t>
      </w:r>
      <w:r>
        <w:rPr>
          <w:rFonts w:hint="cs"/>
          <w:rtl/>
        </w:rPr>
        <w:t xml:space="preserve">       </w:t>
      </w:r>
      <w:r w:rsidRPr="00AE5EBF">
        <w:rPr>
          <w:rFonts w:cs="Arial"/>
          <w:u w:val="double"/>
          <w:rtl/>
        </w:rPr>
        <w:t>גמ'</w:t>
      </w:r>
      <w:r>
        <w:rPr>
          <w:rFonts w:cs="Arial" w:hint="cs"/>
          <w:rtl/>
        </w:rPr>
        <w:t>:</w:t>
      </w:r>
      <w:r>
        <w:rPr>
          <w:rFonts w:cs="Arial"/>
          <w:rtl/>
        </w:rPr>
        <w:t xml:space="preserve"> במאי קמיפלגי? </w:t>
      </w:r>
      <w:r w:rsidRPr="00AE5EBF">
        <w:rPr>
          <w:rFonts w:cs="Arial"/>
          <w:u w:val="single"/>
          <w:rtl/>
        </w:rPr>
        <w:t>אמר שמואל</w:t>
      </w:r>
      <w:r>
        <w:rPr>
          <w:rFonts w:cs="Arial"/>
          <w:rtl/>
        </w:rPr>
        <w:t>:</w:t>
      </w:r>
      <w:r>
        <w:rPr>
          <w:rFonts w:hint="cs"/>
          <w:sz w:val="14"/>
          <w:szCs w:val="14"/>
          <w:rtl/>
        </w:rPr>
        <w:t xml:space="preserve"> (צד.)</w:t>
      </w:r>
      <w:r>
        <w:rPr>
          <w:rFonts w:hint="cs"/>
          <w:rtl/>
        </w:rPr>
        <w:t xml:space="preserve"> </w:t>
      </w:r>
      <w:r w:rsidRPr="00AE5EBF">
        <w:rPr>
          <w:rFonts w:cs="Arial"/>
          <w:rtl/>
        </w:rPr>
        <w:t>כגון שנמצאת אחת</w:t>
      </w:r>
      <w:r>
        <w:rPr>
          <w:rStyle w:val="a7"/>
          <w:rFonts w:cs="Arial"/>
          <w:rtl/>
        </w:rPr>
        <w:footnoteReference w:id="2519"/>
      </w:r>
      <w:r w:rsidRPr="00AE5EBF">
        <w:rPr>
          <w:rFonts w:cs="Arial"/>
          <w:rtl/>
        </w:rPr>
        <w:t xml:space="preserve"> מהן שדה שאינה שלו</w:t>
      </w:r>
      <w:r>
        <w:rPr>
          <w:rStyle w:val="a7"/>
          <w:rFonts w:cs="Arial"/>
          <w:rtl/>
        </w:rPr>
        <w:footnoteReference w:id="2520"/>
      </w:r>
      <w:r w:rsidRPr="00AE5EBF">
        <w:rPr>
          <w:rFonts w:cs="Arial"/>
          <w:rtl/>
        </w:rPr>
        <w:t>, ובבעל חוב מאוחר שקדם וגבה קמיפלגי, ת"ק סבר: מה שגבה לא גבה</w:t>
      </w:r>
      <w:r>
        <w:rPr>
          <w:rStyle w:val="a7"/>
          <w:rFonts w:cs="Arial"/>
          <w:rtl/>
        </w:rPr>
        <w:footnoteReference w:id="2521"/>
      </w:r>
      <w:r w:rsidRPr="00AE5EBF">
        <w:rPr>
          <w:rFonts w:cs="Arial"/>
          <w:rtl/>
        </w:rPr>
        <w:t>, ובן ננס סבר: מה שגבה גבה</w:t>
      </w:r>
      <w:r>
        <w:rPr>
          <w:rStyle w:val="a7"/>
          <w:rFonts w:cs="Arial"/>
          <w:rtl/>
        </w:rPr>
        <w:footnoteReference w:id="2522"/>
      </w:r>
      <w:r w:rsidRPr="00AE5EBF">
        <w:rPr>
          <w:rFonts w:cs="Arial"/>
          <w:rtl/>
        </w:rPr>
        <w:t>.</w:t>
      </w:r>
      <w:r>
        <w:rPr>
          <w:rFonts w:cs="Arial" w:hint="cs"/>
          <w:sz w:val="16"/>
          <w:szCs w:val="16"/>
          <w:rtl/>
        </w:rPr>
        <w:t xml:space="preserve"> (</w:t>
      </w:r>
      <w:r w:rsidRPr="00AE5EBF">
        <w:rPr>
          <w:rFonts w:cs="Arial"/>
          <w:sz w:val="16"/>
          <w:szCs w:val="16"/>
          <w:rtl/>
        </w:rPr>
        <w:t>ופסקו הפוסקים הלכה כת"ק דמה שגבה לא גבה</w:t>
      </w:r>
      <w:r>
        <w:rPr>
          <w:rFonts w:cs="Arial" w:hint="cs"/>
          <w:sz w:val="16"/>
          <w:szCs w:val="16"/>
          <w:rtl/>
        </w:rPr>
        <w:t>, ב"י)</w:t>
      </w:r>
    </w:p>
    <w:p w14:paraId="39D574F2" w14:textId="77777777" w:rsidR="002E5BAD" w:rsidRPr="00DB6E63" w:rsidRDefault="002E5BAD" w:rsidP="002E5BAD">
      <w:pPr>
        <w:rPr>
          <w:u w:val="single"/>
          <w:rtl/>
        </w:rPr>
      </w:pPr>
      <w:r w:rsidRPr="00DB6E63">
        <w:rPr>
          <w:rFonts w:hint="cs"/>
          <w:u w:val="single"/>
          <w:rtl/>
        </w:rPr>
        <w:t xml:space="preserve">מי שמת </w:t>
      </w:r>
      <w:r w:rsidRPr="003A4B45">
        <w:rPr>
          <w:rFonts w:hint="cs"/>
          <w:u w:val="single"/>
          <w:rtl/>
        </w:rPr>
        <w:t>ואלמנתו באה לגבות כתובתה ויש למת בעל חוב</w:t>
      </w:r>
      <w:r w:rsidRPr="00DB6E63">
        <w:rPr>
          <w:rFonts w:hint="cs"/>
          <w:u w:val="single"/>
          <w:rtl/>
        </w:rPr>
        <w:t xml:space="preserve"> </w:t>
      </w:r>
      <w:r w:rsidRPr="00DB6E63">
        <w:rPr>
          <w:u w:val="single"/>
          <w:rtl/>
        </w:rPr>
        <w:t>–</w:t>
      </w:r>
      <w:r w:rsidRPr="00DB6E63">
        <w:rPr>
          <w:rFonts w:hint="cs"/>
          <w:u w:val="single"/>
          <w:rtl/>
        </w:rPr>
        <w:t xml:space="preserve"> מי קודם:</w:t>
      </w:r>
    </w:p>
    <w:p w14:paraId="4CF43431" w14:textId="77777777" w:rsidR="002E5BAD" w:rsidRPr="00DB6E63" w:rsidRDefault="002E5BAD" w:rsidP="00B75458">
      <w:pPr>
        <w:pStyle w:val="ab"/>
        <w:numPr>
          <w:ilvl w:val="0"/>
          <w:numId w:val="192"/>
        </w:numPr>
      </w:pPr>
      <w:r>
        <w:rPr>
          <w:rFonts w:hint="cs"/>
          <w:rtl/>
        </w:rPr>
        <w:t xml:space="preserve">רמב"ם </w:t>
      </w:r>
      <w:r>
        <w:rPr>
          <w:rFonts w:hint="cs"/>
          <w:sz w:val="16"/>
          <w:szCs w:val="16"/>
          <w:rtl/>
        </w:rPr>
        <w:t xml:space="preserve">(פי"ז ה"ד-ה) </w:t>
      </w:r>
      <w:r>
        <w:rPr>
          <w:rFonts w:hint="cs"/>
          <w:rtl/>
        </w:rPr>
        <w:t xml:space="preserve">וטור- </w:t>
      </w:r>
      <w:r w:rsidRPr="00A167C1">
        <w:rPr>
          <w:rFonts w:cs="Arial"/>
          <w:rtl/>
        </w:rPr>
        <w:t>מי שמת</w:t>
      </w:r>
      <w:r>
        <w:rPr>
          <w:rStyle w:val="a7"/>
          <w:rFonts w:cs="Arial"/>
          <w:rtl/>
        </w:rPr>
        <w:footnoteReference w:id="2523"/>
      </w:r>
      <w:r w:rsidRPr="00A167C1">
        <w:rPr>
          <w:rFonts w:cs="Arial"/>
          <w:rtl/>
        </w:rPr>
        <w:t xml:space="preserve"> ואלמנתו</w:t>
      </w:r>
      <w:r>
        <w:rPr>
          <w:rStyle w:val="a7"/>
          <w:rFonts w:cs="Arial"/>
          <w:rtl/>
        </w:rPr>
        <w:footnoteReference w:id="2524"/>
      </w:r>
      <w:r w:rsidRPr="00A167C1">
        <w:rPr>
          <w:rFonts w:cs="Arial"/>
          <w:rtl/>
        </w:rPr>
        <w:t xml:space="preserve"> באה לגבות כתובתה</w:t>
      </w:r>
      <w:r>
        <w:rPr>
          <w:rFonts w:cs="Arial" w:hint="cs"/>
          <w:rtl/>
        </w:rPr>
        <w:t>,</w:t>
      </w:r>
      <w:r w:rsidRPr="00A167C1">
        <w:rPr>
          <w:rFonts w:cs="Arial"/>
          <w:rtl/>
        </w:rPr>
        <w:t xml:space="preserve"> ועליו ב"ח</w:t>
      </w:r>
      <w:r>
        <w:rPr>
          <w:rFonts w:cs="Arial" w:hint="cs"/>
          <w:rtl/>
        </w:rPr>
        <w:t>,</w:t>
      </w:r>
      <w:r w:rsidRPr="00A167C1">
        <w:rPr>
          <w:rFonts w:cs="Arial"/>
          <w:rtl/>
        </w:rPr>
        <w:t xml:space="preserve"> אם זמנו של אחד מהם קודם ולא הניח אלא קרקע כדי לפרוע לאחד מהם </w:t>
      </w:r>
      <w:r>
        <w:rPr>
          <w:rFonts w:cs="Arial" w:hint="cs"/>
          <w:rtl/>
        </w:rPr>
        <w:t xml:space="preserve">- </w:t>
      </w:r>
      <w:r w:rsidRPr="00A167C1">
        <w:rPr>
          <w:rFonts w:cs="Arial"/>
          <w:rtl/>
        </w:rPr>
        <w:t>מי שזמנו קודם יגבה</w:t>
      </w:r>
      <w:r>
        <w:rPr>
          <w:rFonts w:cs="Arial" w:hint="cs"/>
          <w:rtl/>
        </w:rPr>
        <w:t>,</w:t>
      </w:r>
      <w:r w:rsidRPr="00A167C1">
        <w:rPr>
          <w:rFonts w:cs="Arial"/>
          <w:rtl/>
        </w:rPr>
        <w:t xml:space="preserve"> והאחר ידחה</w:t>
      </w:r>
      <w:r>
        <w:rPr>
          <w:rFonts w:cs="Arial" w:hint="cs"/>
          <w:rtl/>
        </w:rPr>
        <w:t>,</w:t>
      </w:r>
      <w:r w:rsidRPr="00A167C1">
        <w:rPr>
          <w:rFonts w:cs="Arial"/>
          <w:rtl/>
        </w:rPr>
        <w:t xml:space="preserve"> בין אלמנה בין ב"ח</w:t>
      </w:r>
      <w:r>
        <w:rPr>
          <w:rFonts w:cs="Arial" w:hint="cs"/>
          <w:rtl/>
        </w:rPr>
        <w:t>.</w:t>
      </w:r>
      <w:r w:rsidRPr="00A167C1">
        <w:rPr>
          <w:rFonts w:cs="Arial"/>
          <w:rtl/>
        </w:rPr>
        <w:t xml:space="preserve"> </w:t>
      </w:r>
      <w:r w:rsidRPr="003A4B45">
        <w:rPr>
          <w:rFonts w:hint="cs"/>
          <w:color w:val="E36C0A" w:themeColor="accent6" w:themeShade="BF"/>
          <w:rtl/>
        </w:rPr>
        <w:t>(וכ"פ בשו"ע)</w:t>
      </w:r>
    </w:p>
    <w:p w14:paraId="4F831231" w14:textId="77777777" w:rsidR="002E5BAD" w:rsidRPr="00DB6E63" w:rsidRDefault="002E5BAD" w:rsidP="002E5BAD">
      <w:pPr>
        <w:ind w:left="360"/>
        <w:rPr>
          <w:u w:val="dotted"/>
        </w:rPr>
      </w:pPr>
      <w:r w:rsidRPr="00DB6E63">
        <w:rPr>
          <w:rFonts w:hint="cs"/>
          <w:u w:val="dotted"/>
          <w:rtl/>
        </w:rPr>
        <w:t>ומה הדין אם תפש אחד מהם:</w:t>
      </w:r>
    </w:p>
    <w:p w14:paraId="725DCC32" w14:textId="77777777" w:rsidR="002E5BAD" w:rsidRPr="00C0191E" w:rsidRDefault="002E5BAD" w:rsidP="00B75458">
      <w:pPr>
        <w:pStyle w:val="ab"/>
        <w:numPr>
          <w:ilvl w:val="0"/>
          <w:numId w:val="192"/>
        </w:numPr>
        <w:rPr>
          <w:rtl/>
        </w:rPr>
      </w:pPr>
      <w:r>
        <w:rPr>
          <w:rFonts w:cs="Arial" w:hint="cs"/>
          <w:rtl/>
        </w:rPr>
        <w:t xml:space="preserve">טור- </w:t>
      </w:r>
      <w:r w:rsidRPr="00A167C1">
        <w:rPr>
          <w:rFonts w:cs="Arial"/>
          <w:rtl/>
        </w:rPr>
        <w:t xml:space="preserve">ואפי' תפש המאוחר </w:t>
      </w:r>
      <w:r>
        <w:rPr>
          <w:rFonts w:cs="Arial" w:hint="cs"/>
          <w:rtl/>
        </w:rPr>
        <w:t xml:space="preserve">- </w:t>
      </w:r>
      <w:r w:rsidRPr="00A167C1">
        <w:rPr>
          <w:rFonts w:cs="Arial"/>
          <w:rtl/>
        </w:rPr>
        <w:t>מוציאין מידו</w:t>
      </w:r>
      <w:r>
        <w:rPr>
          <w:rFonts w:cs="Arial" w:hint="cs"/>
          <w:rtl/>
        </w:rPr>
        <w:t>.</w:t>
      </w:r>
      <w:r w:rsidRPr="003A4B45">
        <w:rPr>
          <w:rFonts w:hint="cs"/>
          <w:color w:val="E36C0A" w:themeColor="accent6" w:themeShade="BF"/>
          <w:rtl/>
        </w:rPr>
        <w:t xml:space="preserve"> (וכ"פ בשו"ע)</w:t>
      </w:r>
    </w:p>
    <w:p w14:paraId="136F97A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1A5E8D" w14:textId="77777777" w:rsidR="002E5BAD" w:rsidRDefault="002E5BAD" w:rsidP="002E5BAD">
      <w:pPr>
        <w:rPr>
          <w:rFonts w:cs="Arial"/>
          <w:rtl/>
        </w:rPr>
      </w:pPr>
      <w:r w:rsidRPr="000904BE">
        <w:rPr>
          <w:rFonts w:cs="Arial"/>
          <w:rtl/>
        </w:rPr>
        <w:t xml:space="preserve">מי שמת, ואלמנתו </w:t>
      </w:r>
      <w:r>
        <w:rPr>
          <w:rFonts w:cs="Arial" w:hint="cs"/>
          <w:sz w:val="18"/>
          <w:szCs w:val="18"/>
          <w:rtl/>
        </w:rPr>
        <w:t xml:space="preserve">[הגה] </w:t>
      </w:r>
      <w:r w:rsidRPr="007A47A7">
        <w:rPr>
          <w:rFonts w:cs="Arial"/>
          <w:sz w:val="18"/>
          <w:szCs w:val="18"/>
          <w:rtl/>
        </w:rPr>
        <w:t xml:space="preserve">או גרושתו (מרדכי פ' הכותב) </w:t>
      </w:r>
      <w:r w:rsidRPr="000904BE">
        <w:rPr>
          <w:rFonts w:cs="Arial"/>
          <w:rtl/>
        </w:rPr>
        <w:t xml:space="preserve">באה לגבות כתובתה, ועליו בעל חוב, אם זמן של אחד מהם מוקדם, ולא הניח אלא קרקע כדי לפרוע לאחד מהם, מי שזמנו קודם יגבה, והאחר ידחה, בין אלמנה בין בעל חוב. ואפילו תפס המאוחר, מוציאין מידו. </w:t>
      </w:r>
      <w:r w:rsidRPr="007A47A7">
        <w:rPr>
          <w:rFonts w:cs="Arial"/>
          <w:sz w:val="18"/>
          <w:szCs w:val="18"/>
          <w:rtl/>
        </w:rPr>
        <w:t>הגה: היתה הכתובה מוקדמת, אינה יכולה לומר: לא אגבה כתובתי עכשיו רק אהיה ניזונית בבית בעלי ואח"כ אגבה כתובתי</w:t>
      </w:r>
      <w:r>
        <w:rPr>
          <w:rStyle w:val="a7"/>
          <w:rFonts w:cs="Arial"/>
          <w:sz w:val="18"/>
          <w:szCs w:val="18"/>
          <w:rtl/>
        </w:rPr>
        <w:footnoteReference w:id="2525"/>
      </w:r>
      <w:r w:rsidRPr="007A47A7">
        <w:rPr>
          <w:rFonts w:cs="Arial"/>
          <w:sz w:val="18"/>
          <w:szCs w:val="18"/>
          <w:rtl/>
        </w:rPr>
        <w:t>, אלא נותנים לה כתובתה, והמותר לבעל חוב (ועיין בחו</w:t>
      </w:r>
      <w:r>
        <w:rPr>
          <w:rFonts w:cs="Arial" w:hint="cs"/>
          <w:sz w:val="18"/>
          <w:szCs w:val="18"/>
          <w:rtl/>
        </w:rPr>
        <w:t>"</w:t>
      </w:r>
      <w:r w:rsidRPr="007A47A7">
        <w:rPr>
          <w:rFonts w:cs="Arial"/>
          <w:sz w:val="18"/>
          <w:szCs w:val="18"/>
          <w:rtl/>
        </w:rPr>
        <w:t>מ סי</w:t>
      </w:r>
      <w:r>
        <w:rPr>
          <w:rFonts w:cs="Arial" w:hint="cs"/>
          <w:sz w:val="18"/>
          <w:szCs w:val="18"/>
          <w:rtl/>
        </w:rPr>
        <w:t>'</w:t>
      </w:r>
      <w:r w:rsidRPr="007A47A7">
        <w:rPr>
          <w:rFonts w:cs="Arial"/>
          <w:sz w:val="18"/>
          <w:szCs w:val="18"/>
          <w:rtl/>
        </w:rPr>
        <w:t xml:space="preserve"> צז).</w:t>
      </w:r>
      <w:r w:rsidRPr="000904BE">
        <w:rPr>
          <w:rFonts w:cs="Arial"/>
          <w:rtl/>
        </w:rPr>
        <w:t xml:space="preserve"> </w:t>
      </w:r>
    </w:p>
    <w:p w14:paraId="7DAA227B" w14:textId="77777777" w:rsidR="002E5BAD" w:rsidRPr="005A6AB3" w:rsidRDefault="002E5BAD" w:rsidP="002E5BAD">
      <w:pPr>
        <w:rPr>
          <w:rFonts w:cs="Arial"/>
          <w:u w:val="single"/>
          <w:rtl/>
        </w:rPr>
      </w:pPr>
      <w:r w:rsidRPr="005A6AB3">
        <w:rPr>
          <w:rFonts w:cs="Arial" w:hint="cs"/>
          <w:u w:val="single"/>
          <w:rtl/>
        </w:rPr>
        <w:t>מי שהיה חייב לאנשים ע"י ממרמו"ת, ומת, והם רוצים לגבות קודם אשתו</w:t>
      </w:r>
      <w:r>
        <w:rPr>
          <w:rFonts w:cs="Arial" w:hint="cs"/>
          <w:u w:val="single"/>
          <w:rtl/>
        </w:rPr>
        <w:t xml:space="preserve"> בטענה שהם קודמים</w:t>
      </w:r>
      <w:r w:rsidRPr="005A6AB3">
        <w:rPr>
          <w:rFonts w:cs="Arial" w:hint="cs"/>
          <w:u w:val="single"/>
          <w:rtl/>
        </w:rPr>
        <w:t>:</w:t>
      </w:r>
    </w:p>
    <w:p w14:paraId="02F9D208" w14:textId="77777777" w:rsidR="002E5BAD" w:rsidRDefault="002E5BAD" w:rsidP="00B75458">
      <w:pPr>
        <w:pStyle w:val="ab"/>
        <w:numPr>
          <w:ilvl w:val="0"/>
          <w:numId w:val="192"/>
        </w:numPr>
        <w:rPr>
          <w:rFonts w:cs="Arial"/>
        </w:rPr>
      </w:pPr>
      <w:r w:rsidRPr="005A6AB3">
        <w:rPr>
          <w:rFonts w:cs="Arial"/>
          <w:rtl/>
        </w:rPr>
        <w:t xml:space="preserve">פנים מאירות </w:t>
      </w:r>
      <w:r w:rsidRPr="005A6AB3">
        <w:rPr>
          <w:rFonts w:cs="Arial" w:hint="cs"/>
          <w:sz w:val="16"/>
          <w:szCs w:val="16"/>
          <w:rtl/>
        </w:rPr>
        <w:t>(</w:t>
      </w:r>
      <w:r w:rsidRPr="005A6AB3">
        <w:rPr>
          <w:rFonts w:cs="Arial"/>
          <w:sz w:val="16"/>
          <w:szCs w:val="16"/>
          <w:rtl/>
        </w:rPr>
        <w:t>ח"ב סי</w:t>
      </w:r>
      <w:r w:rsidRPr="005A6AB3">
        <w:rPr>
          <w:rFonts w:cs="Arial" w:hint="cs"/>
          <w:sz w:val="16"/>
          <w:szCs w:val="16"/>
          <w:rtl/>
        </w:rPr>
        <w:t>'</w:t>
      </w:r>
      <w:r w:rsidRPr="005A6AB3">
        <w:rPr>
          <w:rFonts w:cs="Arial"/>
          <w:sz w:val="16"/>
          <w:szCs w:val="16"/>
          <w:rtl/>
        </w:rPr>
        <w:t xml:space="preserve"> קב</w:t>
      </w:r>
      <w:r w:rsidRPr="005A6AB3">
        <w:rPr>
          <w:rFonts w:cs="Arial" w:hint="cs"/>
          <w:sz w:val="16"/>
          <w:szCs w:val="16"/>
          <w:rtl/>
        </w:rPr>
        <w:t>)</w:t>
      </w:r>
      <w:r w:rsidRPr="005A6AB3">
        <w:rPr>
          <w:rFonts w:cs="Arial" w:hint="cs"/>
          <w:rtl/>
        </w:rPr>
        <w:t xml:space="preserve">- </w:t>
      </w:r>
      <w:r w:rsidRPr="005A6AB3">
        <w:rPr>
          <w:rFonts w:cs="Arial"/>
          <w:rtl/>
        </w:rPr>
        <w:t>אלמן אחד נשא אשה והיה חייב לכמה אנשים על ממרמו"ת</w:t>
      </w:r>
      <w:r w:rsidRPr="005A6AB3">
        <w:rPr>
          <w:rFonts w:cs="Arial" w:hint="cs"/>
          <w:rtl/>
        </w:rPr>
        <w:t>,</w:t>
      </w:r>
      <w:r w:rsidRPr="005A6AB3">
        <w:rPr>
          <w:rFonts w:cs="Arial"/>
          <w:rtl/>
        </w:rPr>
        <w:t xml:space="preserve"> ושבק חיים</w:t>
      </w:r>
      <w:r w:rsidRPr="005A6AB3">
        <w:rPr>
          <w:rFonts w:cs="Arial" w:hint="cs"/>
          <w:rtl/>
        </w:rPr>
        <w:t>.</w:t>
      </w:r>
      <w:r w:rsidRPr="005A6AB3">
        <w:rPr>
          <w:rFonts w:cs="Arial"/>
          <w:rtl/>
        </w:rPr>
        <w:t xml:space="preserve"> ורצו בעלי ש"ח לגבות קודם כתוב</w:t>
      </w:r>
      <w:r w:rsidRPr="005A6AB3">
        <w:rPr>
          <w:rFonts w:cs="Arial" w:hint="cs"/>
          <w:rtl/>
        </w:rPr>
        <w:t>ת</w:t>
      </w:r>
      <w:r w:rsidRPr="005A6AB3">
        <w:rPr>
          <w:rFonts w:cs="Arial"/>
          <w:rtl/>
        </w:rPr>
        <w:t xml:space="preserve"> אשתו באמרם שהם מוקדמים</w:t>
      </w:r>
      <w:r w:rsidRPr="005A6AB3">
        <w:rPr>
          <w:rFonts w:cs="Arial" w:hint="cs"/>
          <w:rtl/>
        </w:rPr>
        <w:t xml:space="preserve"> - </w:t>
      </w:r>
      <w:r w:rsidRPr="005A6AB3">
        <w:rPr>
          <w:rFonts w:cs="Arial"/>
          <w:rtl/>
        </w:rPr>
        <w:t>אין להם קדימה אלא היא קודמת</w:t>
      </w:r>
      <w:r w:rsidRPr="005A6AB3">
        <w:rPr>
          <w:rFonts w:cs="Arial" w:hint="cs"/>
          <w:rtl/>
        </w:rPr>
        <w:t>,</w:t>
      </w:r>
      <w:r w:rsidRPr="005A6AB3">
        <w:rPr>
          <w:rFonts w:cs="Arial"/>
          <w:rtl/>
        </w:rPr>
        <w:t xml:space="preserve"> כיון דממרמו"ת שלנו אינם אלא כמלוה ע"פ </w:t>
      </w:r>
      <w:r w:rsidRPr="005A6AB3">
        <w:rPr>
          <w:rFonts w:cs="Arial" w:hint="cs"/>
          <w:sz w:val="16"/>
          <w:szCs w:val="16"/>
          <w:rtl/>
        </w:rPr>
        <w:t>(</w:t>
      </w:r>
      <w:r w:rsidRPr="005A6AB3">
        <w:rPr>
          <w:rFonts w:cs="Arial"/>
          <w:sz w:val="16"/>
          <w:szCs w:val="16"/>
          <w:rtl/>
        </w:rPr>
        <w:t>ועיין בח"מ סי' קד סי"ג</w:t>
      </w:r>
      <w:r w:rsidRPr="005A6AB3">
        <w:rPr>
          <w:rFonts w:cs="Arial" w:hint="cs"/>
          <w:sz w:val="16"/>
          <w:szCs w:val="16"/>
          <w:rtl/>
        </w:rPr>
        <w:t>)</w:t>
      </w:r>
      <w:r w:rsidRPr="005A6AB3">
        <w:rPr>
          <w:rFonts w:cs="Arial" w:hint="cs"/>
          <w:rtl/>
        </w:rPr>
        <w:t>.</w:t>
      </w:r>
      <w:r w:rsidRPr="005A6AB3">
        <w:rPr>
          <w:rFonts w:cs="Arial"/>
          <w:rtl/>
        </w:rPr>
        <w:t xml:space="preserve"> </w:t>
      </w:r>
    </w:p>
    <w:p w14:paraId="44FB2E6F" w14:textId="77777777" w:rsidR="002E5BAD" w:rsidRPr="00CC6791" w:rsidRDefault="002E5BAD" w:rsidP="002E5BAD">
      <w:pPr>
        <w:rPr>
          <w:rFonts w:cs="Arial"/>
          <w:u w:val="single"/>
        </w:rPr>
      </w:pPr>
      <w:r w:rsidRPr="00CC6791">
        <w:rPr>
          <w:rFonts w:cs="Arial" w:hint="cs"/>
          <w:u w:val="single"/>
          <w:rtl/>
        </w:rPr>
        <w:t>מי ש</w:t>
      </w:r>
      <w:r w:rsidRPr="00CC6791">
        <w:rPr>
          <w:rFonts w:cs="Arial"/>
          <w:u w:val="single"/>
          <w:rtl/>
        </w:rPr>
        <w:t xml:space="preserve">היה חייב </w:t>
      </w:r>
      <w:r w:rsidRPr="00CC6791">
        <w:rPr>
          <w:rFonts w:cs="Arial" w:hint="cs"/>
          <w:u w:val="single"/>
          <w:rtl/>
        </w:rPr>
        <w:t>ל</w:t>
      </w:r>
      <w:r w:rsidRPr="00CC6791">
        <w:rPr>
          <w:rFonts w:cs="Arial"/>
          <w:u w:val="single"/>
          <w:rtl/>
        </w:rPr>
        <w:t>מס</w:t>
      </w:r>
      <w:r w:rsidRPr="00CC6791">
        <w:rPr>
          <w:rFonts w:cs="Arial" w:hint="cs"/>
          <w:u w:val="single"/>
          <w:rtl/>
        </w:rPr>
        <w:t xml:space="preserve"> הקהילה ונפטר </w:t>
      </w:r>
      <w:r w:rsidRPr="00CC6791">
        <w:rPr>
          <w:rFonts w:cs="Arial"/>
          <w:u w:val="single"/>
          <w:rtl/>
        </w:rPr>
        <w:t>–</w:t>
      </w:r>
      <w:r w:rsidRPr="00CC6791">
        <w:rPr>
          <w:rFonts w:cs="Arial" w:hint="cs"/>
          <w:u w:val="single"/>
          <w:rtl/>
        </w:rPr>
        <w:t xml:space="preserve"> האם אשתו גובה לפני הפריעה למס:</w:t>
      </w:r>
    </w:p>
    <w:p w14:paraId="733134A3" w14:textId="77777777" w:rsidR="002E5BAD" w:rsidRDefault="002E5BAD" w:rsidP="00B75458">
      <w:pPr>
        <w:pStyle w:val="ab"/>
        <w:numPr>
          <w:ilvl w:val="0"/>
          <w:numId w:val="192"/>
        </w:numPr>
        <w:rPr>
          <w:rFonts w:cs="Arial"/>
        </w:rPr>
      </w:pPr>
      <w:r w:rsidRPr="005A6AB3">
        <w:rPr>
          <w:rFonts w:cs="Arial"/>
          <w:rtl/>
        </w:rPr>
        <w:t>כנה"ג בשם משא מלך</w:t>
      </w:r>
      <w:r w:rsidRPr="00CC6791">
        <w:rPr>
          <w:rFonts w:cs="Arial"/>
          <w:sz w:val="16"/>
          <w:szCs w:val="16"/>
          <w:rtl/>
        </w:rPr>
        <w:t xml:space="preserve"> </w:t>
      </w:r>
      <w:r w:rsidRPr="00CC6791">
        <w:rPr>
          <w:rFonts w:cs="Arial" w:hint="cs"/>
          <w:sz w:val="16"/>
          <w:szCs w:val="16"/>
          <w:rtl/>
        </w:rPr>
        <w:t>(</w:t>
      </w:r>
      <w:r w:rsidRPr="00CC6791">
        <w:rPr>
          <w:rFonts w:cs="Arial"/>
          <w:sz w:val="16"/>
          <w:szCs w:val="16"/>
          <w:rtl/>
        </w:rPr>
        <w:t>ח"ד משפט ז'</w:t>
      </w:r>
      <w:r w:rsidRPr="00CC6791">
        <w:rPr>
          <w:rFonts w:cs="Arial" w:hint="cs"/>
          <w:sz w:val="16"/>
          <w:szCs w:val="16"/>
          <w:rtl/>
        </w:rPr>
        <w:t xml:space="preserve">) </w:t>
      </w:r>
      <w:r>
        <w:rPr>
          <w:rFonts w:cs="Arial" w:hint="cs"/>
          <w:rtl/>
        </w:rPr>
        <w:t xml:space="preserve">ובאה"ט </w:t>
      </w:r>
      <w:r>
        <w:rPr>
          <w:rFonts w:cs="Arial" w:hint="cs"/>
          <w:sz w:val="16"/>
          <w:szCs w:val="16"/>
          <w:rtl/>
        </w:rPr>
        <w:t>(סק"א)</w:t>
      </w:r>
      <w:r>
        <w:rPr>
          <w:rFonts w:cs="Arial" w:hint="cs"/>
          <w:rtl/>
        </w:rPr>
        <w:t xml:space="preserve">- </w:t>
      </w:r>
      <w:r w:rsidRPr="005A6AB3">
        <w:rPr>
          <w:rFonts w:cs="Arial"/>
          <w:rtl/>
        </w:rPr>
        <w:t>היה חייב המס נפרעין מנכסיו המס תחלה ואח"כ תגבה היא כתובתה</w:t>
      </w:r>
      <w:r>
        <w:rPr>
          <w:rFonts w:cs="Arial" w:hint="cs"/>
          <w:sz w:val="16"/>
          <w:szCs w:val="16"/>
          <w:rtl/>
        </w:rPr>
        <w:t xml:space="preserve"> (ל' הבאה"ט)</w:t>
      </w:r>
      <w:r w:rsidRPr="005A6AB3">
        <w:rPr>
          <w:rFonts w:cs="Arial"/>
          <w:rtl/>
        </w:rPr>
        <w:t xml:space="preserve">. </w:t>
      </w:r>
    </w:p>
    <w:p w14:paraId="41BD39AA" w14:textId="77777777" w:rsidR="002E5BAD" w:rsidRPr="00E50C59" w:rsidRDefault="002E5BAD" w:rsidP="00B75458">
      <w:pPr>
        <w:pStyle w:val="ab"/>
        <w:numPr>
          <w:ilvl w:val="0"/>
          <w:numId w:val="192"/>
        </w:numPr>
        <w:rPr>
          <w:rFonts w:cs="Arial"/>
        </w:rPr>
      </w:pPr>
      <w:r w:rsidRPr="005A6AB3">
        <w:rPr>
          <w:rFonts w:cs="Arial"/>
          <w:rtl/>
        </w:rPr>
        <w:lastRenderedPageBreak/>
        <w:t xml:space="preserve">חתם סופר </w:t>
      </w:r>
      <w:r w:rsidRPr="009F7BA7">
        <w:rPr>
          <w:rFonts w:cs="Arial" w:hint="cs"/>
          <w:sz w:val="16"/>
          <w:szCs w:val="16"/>
          <w:rtl/>
        </w:rPr>
        <w:t>(</w:t>
      </w:r>
      <w:r>
        <w:rPr>
          <w:rFonts w:cs="Arial" w:hint="cs"/>
          <w:sz w:val="16"/>
          <w:szCs w:val="16"/>
          <w:rtl/>
        </w:rPr>
        <w:t xml:space="preserve">שו"ת ח"ג אהע"ז </w:t>
      </w:r>
      <w:r w:rsidRPr="009F7BA7">
        <w:rPr>
          <w:rFonts w:cs="Arial"/>
          <w:sz w:val="16"/>
          <w:szCs w:val="16"/>
          <w:rtl/>
        </w:rPr>
        <w:t>סי' קמב</w:t>
      </w:r>
      <w:r>
        <w:rPr>
          <w:rFonts w:cs="Arial" w:hint="cs"/>
          <w:sz w:val="16"/>
          <w:szCs w:val="16"/>
          <w:rtl/>
        </w:rPr>
        <w:t>, הביא הפת"ש [סק"א] חלק מדבריו</w:t>
      </w:r>
      <w:r w:rsidRPr="009F7BA7">
        <w:rPr>
          <w:rFonts w:cs="Arial" w:hint="cs"/>
          <w:sz w:val="16"/>
          <w:szCs w:val="16"/>
          <w:rtl/>
        </w:rPr>
        <w:t>)</w:t>
      </w:r>
      <w:r>
        <w:rPr>
          <w:rFonts w:cs="Arial" w:hint="cs"/>
          <w:rtl/>
        </w:rPr>
        <w:t>-</w:t>
      </w:r>
      <w:r w:rsidRPr="005A6AB3">
        <w:rPr>
          <w:rFonts w:cs="Arial"/>
          <w:rtl/>
        </w:rPr>
        <w:t xml:space="preserve"> </w:t>
      </w:r>
      <w:r w:rsidRPr="0035456C">
        <w:rPr>
          <w:rFonts w:cs="Arial"/>
          <w:rtl/>
        </w:rPr>
        <w:t>גברא אלמא שכיב</w:t>
      </w:r>
      <w:r>
        <w:rPr>
          <w:rFonts w:cs="Arial" w:hint="cs"/>
          <w:rtl/>
        </w:rPr>
        <w:t>,</w:t>
      </w:r>
      <w:r w:rsidRPr="0035456C">
        <w:rPr>
          <w:rFonts w:cs="Arial"/>
          <w:rtl/>
        </w:rPr>
        <w:t xml:space="preserve"> וחיים לרבנן ולכל ישראל שביק</w:t>
      </w:r>
      <w:r>
        <w:rPr>
          <w:rFonts w:cs="Arial" w:hint="cs"/>
          <w:rtl/>
        </w:rPr>
        <w:t>,</w:t>
      </w:r>
      <w:r w:rsidRPr="0035456C">
        <w:rPr>
          <w:rFonts w:cs="Arial"/>
          <w:rtl/>
        </w:rPr>
        <w:t xml:space="preserve"> ומרוב אלמותו לא נשא בעול עם הציבור ולא שילם לחברת קבורת מתים החוק החיוב כל ימיו ועתה נשברה זרוע רמה</w:t>
      </w:r>
      <w:r>
        <w:rPr>
          <w:rFonts w:cs="Arial" w:hint="cs"/>
          <w:rtl/>
        </w:rPr>
        <w:t xml:space="preserve">, </w:t>
      </w:r>
      <w:r w:rsidRPr="0035456C">
        <w:rPr>
          <w:rFonts w:cs="Arial"/>
          <w:rtl/>
        </w:rPr>
        <w:t>אלופי קהל ראשים וטובים</w:t>
      </w:r>
      <w:r>
        <w:rPr>
          <w:rFonts w:cs="Arial" w:hint="cs"/>
          <w:rtl/>
        </w:rPr>
        <w:t xml:space="preserve"> </w:t>
      </w:r>
      <w:r w:rsidRPr="0035456C">
        <w:rPr>
          <w:rFonts w:cs="Arial"/>
          <w:rtl/>
        </w:rPr>
        <w:t>יורדין לנכסיו ומשלמים מהם ואם יטלו המגיע להם משלם יפחות לאשה מכדי מסת כתובתה והם אומרים תקנה קבועה היא שחוב הקהל קודם לכתובה ופר"מ כתב שלא נודע מאין יצא להם זה שהרי אפי' קבורת הבעל אינו מוטל על האשה מכ"ש חובת הקהל אלו דברי פאר רום מעלתו. האמת שהגאון בתשוב' משאת בנימין סימן ק"ב השיב וקרא תגר על גבאי צדקה שרצו לעכב מקומות בבהכ"נ עבור מעות צדקה שהי' חייב וטוענים שהם קודמים לכתובה וכ' שקדושת הגוף הוא דמפקיע מדי שיעבוד ולא קדושת דמים וההי' אפי' קדושת דמים ליכא ולא הוי אלא מלווה על פה בעלמא ע"ש ועי' בנחלת שבעה סוף סי' י"ז ועיין ב"ש סי' ק' ס</w:t>
      </w:r>
      <w:r>
        <w:rPr>
          <w:rFonts w:cs="Arial" w:hint="cs"/>
          <w:rtl/>
        </w:rPr>
        <w:t>ק"</w:t>
      </w:r>
      <w:r w:rsidRPr="0035456C">
        <w:rPr>
          <w:rFonts w:cs="Arial"/>
          <w:rtl/>
        </w:rPr>
        <w:t>ג. ומ"מ נ"ל דלא אמרו אלא בכהנ"ל דהי' חייב בקניית מצוות בבהכ"נ וכדומה דלית בי' משום תיקון העולם אבל חיוב מסים וצרכי ציבור בכל מקום שעברתי ראיתי נוהגים שאקרו"ט קודמי</w:t>
      </w:r>
      <w:r>
        <w:rPr>
          <w:rFonts w:cs="Arial" w:hint="cs"/>
          <w:rtl/>
        </w:rPr>
        <w:t>ם</w:t>
      </w:r>
      <w:r w:rsidRPr="0035456C">
        <w:rPr>
          <w:rFonts w:cs="Arial"/>
          <w:rtl/>
        </w:rPr>
        <w:t xml:space="preserve"> לכתובת אשה</w:t>
      </w:r>
      <w:r>
        <w:rPr>
          <w:rFonts w:cs="Arial" w:hint="cs"/>
          <w:rtl/>
        </w:rPr>
        <w:t>..</w:t>
      </w:r>
      <w:r w:rsidRPr="0035456C">
        <w:rPr>
          <w:rFonts w:cs="Arial"/>
          <w:rtl/>
        </w:rPr>
        <w:t xml:space="preserve">. ונהי דאם הי' הבעל משלם שנה בשנה מסים וארנונים כראוי לא יכול לנכות לאשה מכתובתה מה ששילם מממון שלה כמו שאינו מנכה לשארי בע"ח מה ששילם מסים מהמעות הלואה כשהיו בידו כיון שנשא ונתן והרויח בהם מ"מ אם לא ימצאו הקהל לשלם הם יגבו מדמי כתובת' וזה פשוט לפע"ד בלי שום פקפוק. </w:t>
      </w:r>
      <w:r w:rsidRPr="00E50C59">
        <w:rPr>
          <w:rFonts w:cs="Arial"/>
          <w:rtl/>
        </w:rPr>
        <w:t>אלא אפי' כל מה שהוא חייב לצרכי רבים י"ל דמנהג ותיקין הוא ותיקון העולם והרי גם היא נהנית מחזקת היישוב וצריכה לו וע"ד המנהג נישאת להבעל ושניהם אחראים וערבאי' והדעת נותן שאין הקהל נותנים חזקת היישוב לשום אחד אם לא יכנסו הוא וביתו בערבו' תשלומי הצרכים וכאלו חתמו אשה והדר בעלה וכל דברי הקהל אינם צריכי' כתיבה וקנין. וזה לשון תקנת ק"ק מ"ד בסי' ז' והוא מכתיבת ידי שנת תקס"ג לפ"ק</w:t>
      </w:r>
      <w:r w:rsidRPr="00E50C59">
        <w:rPr>
          <w:rFonts w:cs="Arial" w:hint="cs"/>
          <w:rtl/>
        </w:rPr>
        <w:t xml:space="preserve">: </w:t>
      </w:r>
      <w:r w:rsidRPr="00E50C59">
        <w:rPr>
          <w:rFonts w:cs="Arial"/>
          <w:rtl/>
        </w:rPr>
        <w:t>מנהג בכל תפוצות שתשלומי חובות הקהל וכל צרכי הרבים קודמים לכתובת אלמנה ומנהג וותיקים הוא ומ"מ מסתמא שבח בית אביה הקיימי' לא תפסיד בשום אופן גם נהגו ששכר הרופאי' ואפיטעקן ואצ"ל תכריכיו וגם צרכי נשמתו כמו שנוהגים להדליק נר שמן ז' ימי אבלו הכל קודם לכתובה הנה תשלומי רפואות הוא נכון מפני תיקון העולם וכן ראוי ועח"מ סי' ק"ח סוף סעי' א' ואמנם בשארי דברים אם תערער האשה הדין עמה עש"ך סי' ק"ז ס"ק ו' עכ"ל שם. ומ"מ חוב הח"ק אם הוא חוב המוטל על כל בני הקהלה אפילו מי שאינו מהחברא א"כ הרי הוא ככל צרכי הרבים אבל מה שחייב מפני שהיה הוא נמנה מבני הח"ק פשיטא שאין האשה צריכה לשלם כלום וק"ו מעובדא דמשאת בנימין הנ"ל הנלע"ד כתבתי בקיצור ודעת לנבון נקל שא"א להעמיד דברים כאלו על מיצוי דין תורה ממש ואחתום בכל חותמי ברכות. פ"ב נגהי ליום ה' כ"א טבת תקע"ד לפ"ק. משה"ק סופר מפפד"מ</w:t>
      </w:r>
      <w:r w:rsidRPr="00E50C59">
        <w:rPr>
          <w:rFonts w:cs="Arial" w:hint="cs"/>
          <w:rtl/>
        </w:rPr>
        <w:t>.</w:t>
      </w:r>
    </w:p>
    <w:p w14:paraId="135A10B1" w14:textId="77777777" w:rsidR="002E5BAD" w:rsidRPr="009F7BA7" w:rsidRDefault="002E5BAD" w:rsidP="002E5BAD">
      <w:pPr>
        <w:rPr>
          <w:rFonts w:cs="Arial"/>
          <w:u w:val="single"/>
        </w:rPr>
      </w:pPr>
      <w:r w:rsidRPr="009F7BA7">
        <w:rPr>
          <w:rFonts w:cs="Arial" w:hint="cs"/>
          <w:u w:val="single"/>
          <w:rtl/>
        </w:rPr>
        <w:t xml:space="preserve">אשה שרוצה לגבות כתובתה מהמקומות של בעלה בבית הכנסת </w:t>
      </w:r>
      <w:r w:rsidRPr="009F7BA7">
        <w:rPr>
          <w:rFonts w:cs="Arial"/>
          <w:u w:val="single"/>
          <w:rtl/>
        </w:rPr>
        <w:t>–</w:t>
      </w:r>
      <w:r w:rsidRPr="009F7BA7">
        <w:rPr>
          <w:rFonts w:cs="Arial" w:hint="cs"/>
          <w:u w:val="single"/>
          <w:rtl/>
        </w:rPr>
        <w:t xml:space="preserve"> והגבאי מעכב משום שבעלה היה חייב לצדקה:</w:t>
      </w:r>
    </w:p>
    <w:p w14:paraId="013F194A" w14:textId="77777777" w:rsidR="002E5BAD" w:rsidRPr="009F7BA7" w:rsidRDefault="002E5BAD" w:rsidP="00B75458">
      <w:pPr>
        <w:pStyle w:val="ab"/>
        <w:numPr>
          <w:ilvl w:val="0"/>
          <w:numId w:val="192"/>
        </w:numPr>
        <w:rPr>
          <w:rFonts w:cs="Arial"/>
        </w:rPr>
      </w:pPr>
      <w:r w:rsidRPr="005A6AB3">
        <w:rPr>
          <w:rFonts w:cs="Arial"/>
          <w:rtl/>
        </w:rPr>
        <w:t xml:space="preserve">משאת בנימין </w:t>
      </w:r>
      <w:r w:rsidRPr="00CC6791">
        <w:rPr>
          <w:rFonts w:cs="Arial" w:hint="cs"/>
          <w:sz w:val="16"/>
          <w:szCs w:val="16"/>
          <w:rtl/>
        </w:rPr>
        <w:t>(</w:t>
      </w:r>
      <w:r w:rsidRPr="00CC6791">
        <w:rPr>
          <w:rFonts w:cs="Arial"/>
          <w:sz w:val="16"/>
          <w:szCs w:val="16"/>
          <w:rtl/>
        </w:rPr>
        <w:t>סי' קב</w:t>
      </w:r>
      <w:r w:rsidRPr="00CC6791">
        <w:rPr>
          <w:rFonts w:cs="Arial" w:hint="cs"/>
          <w:sz w:val="16"/>
          <w:szCs w:val="16"/>
          <w:rtl/>
        </w:rPr>
        <w:t>)</w:t>
      </w:r>
      <w:r w:rsidRPr="00CC6791">
        <w:rPr>
          <w:rFonts w:cs="Arial"/>
          <w:sz w:val="16"/>
          <w:szCs w:val="16"/>
          <w:rtl/>
        </w:rPr>
        <w:t xml:space="preserve"> </w:t>
      </w:r>
      <w:r w:rsidRPr="005A6AB3">
        <w:rPr>
          <w:rFonts w:cs="Arial"/>
          <w:rtl/>
        </w:rPr>
        <w:t xml:space="preserve">ב"ש </w:t>
      </w:r>
      <w:r w:rsidRPr="00CC6791">
        <w:rPr>
          <w:rFonts w:cs="Arial" w:hint="cs"/>
          <w:sz w:val="16"/>
          <w:szCs w:val="16"/>
          <w:rtl/>
        </w:rPr>
        <w:t>(</w:t>
      </w:r>
      <w:r w:rsidRPr="00CC6791">
        <w:rPr>
          <w:rFonts w:cs="Arial"/>
          <w:sz w:val="16"/>
          <w:szCs w:val="16"/>
          <w:rtl/>
        </w:rPr>
        <w:t>סי</w:t>
      </w:r>
      <w:r w:rsidRPr="00CC6791">
        <w:rPr>
          <w:rFonts w:cs="Arial" w:hint="cs"/>
          <w:sz w:val="16"/>
          <w:szCs w:val="16"/>
          <w:rtl/>
        </w:rPr>
        <w:t>'</w:t>
      </w:r>
      <w:r w:rsidRPr="00CC6791">
        <w:rPr>
          <w:rFonts w:cs="Arial"/>
          <w:sz w:val="16"/>
          <w:szCs w:val="16"/>
          <w:rtl/>
        </w:rPr>
        <w:t xml:space="preserve"> ק סק</w:t>
      </w:r>
      <w:r w:rsidRPr="00CC6791">
        <w:rPr>
          <w:rFonts w:cs="Arial" w:hint="cs"/>
          <w:sz w:val="16"/>
          <w:szCs w:val="16"/>
          <w:rtl/>
        </w:rPr>
        <w:t>"</w:t>
      </w:r>
      <w:r w:rsidRPr="00CC6791">
        <w:rPr>
          <w:rFonts w:cs="Arial"/>
          <w:sz w:val="16"/>
          <w:szCs w:val="16"/>
          <w:rtl/>
        </w:rPr>
        <w:t>ג</w:t>
      </w:r>
      <w:r w:rsidRPr="00CC6791">
        <w:rPr>
          <w:rFonts w:cs="Arial" w:hint="cs"/>
          <w:sz w:val="16"/>
          <w:szCs w:val="16"/>
          <w:rtl/>
        </w:rPr>
        <w:t xml:space="preserve">) </w:t>
      </w:r>
      <w:r>
        <w:rPr>
          <w:rFonts w:cs="Arial" w:hint="cs"/>
          <w:rtl/>
        </w:rPr>
        <w:t xml:space="preserve">ובאה"ט </w:t>
      </w:r>
      <w:r>
        <w:rPr>
          <w:rFonts w:cs="Arial" w:hint="cs"/>
          <w:sz w:val="16"/>
          <w:szCs w:val="16"/>
          <w:rtl/>
        </w:rPr>
        <w:t>(סק"א)</w:t>
      </w:r>
      <w:r>
        <w:rPr>
          <w:rFonts w:cs="Arial" w:hint="cs"/>
          <w:rtl/>
        </w:rPr>
        <w:t xml:space="preserve">- </w:t>
      </w:r>
      <w:r w:rsidRPr="005A6AB3">
        <w:rPr>
          <w:rFonts w:cs="Arial"/>
          <w:rtl/>
        </w:rPr>
        <w:t>באה לגבות ממקומות בה"כ</w:t>
      </w:r>
      <w:r>
        <w:rPr>
          <w:rFonts w:cs="Arial" w:hint="cs"/>
          <w:rtl/>
        </w:rPr>
        <w:t>,</w:t>
      </w:r>
      <w:r w:rsidRPr="005A6AB3">
        <w:rPr>
          <w:rFonts w:cs="Arial"/>
          <w:rtl/>
        </w:rPr>
        <w:t xml:space="preserve"> וגבאי צדקה מעכב בעבור שבעלה חייב לצדקה</w:t>
      </w:r>
      <w:r>
        <w:rPr>
          <w:rFonts w:cs="Arial" w:hint="cs"/>
          <w:rtl/>
        </w:rPr>
        <w:t>,</w:t>
      </w:r>
      <w:r w:rsidRPr="005A6AB3">
        <w:rPr>
          <w:rFonts w:cs="Arial"/>
          <w:rtl/>
        </w:rPr>
        <w:t xml:space="preserve"> הדין עמה</w:t>
      </w:r>
      <w:r>
        <w:rPr>
          <w:rFonts w:cs="Arial" w:hint="cs"/>
          <w:sz w:val="16"/>
          <w:szCs w:val="16"/>
          <w:rtl/>
        </w:rPr>
        <w:t xml:space="preserve"> (ל' הבאה"ט)</w:t>
      </w:r>
      <w:r>
        <w:rPr>
          <w:rFonts w:cs="Arial" w:hint="cs"/>
          <w:rtl/>
        </w:rPr>
        <w:t>.</w:t>
      </w:r>
      <w:r w:rsidRPr="005A6AB3">
        <w:rPr>
          <w:rFonts w:cs="Arial"/>
          <w:rtl/>
        </w:rPr>
        <w:t xml:space="preserve"> </w:t>
      </w:r>
    </w:p>
    <w:p w14:paraId="6CB9EE31" w14:textId="77777777" w:rsidR="002E5BAD" w:rsidRPr="000904BE" w:rsidRDefault="002E5BAD" w:rsidP="002E5BAD">
      <w:pPr>
        <w:rPr>
          <w:rFonts w:cs="Arial"/>
          <w:rtl/>
        </w:rPr>
      </w:pPr>
    </w:p>
    <w:p w14:paraId="33F3C47D" w14:textId="77777777" w:rsidR="002E5BAD" w:rsidRDefault="002E5BAD" w:rsidP="002E5BAD">
      <w:pPr>
        <w:pStyle w:val="2"/>
        <w:rPr>
          <w:rtl/>
        </w:rPr>
      </w:pPr>
      <w:r w:rsidRPr="000904BE">
        <w:rPr>
          <w:rtl/>
        </w:rPr>
        <w:t>סעיף ב</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Pr>
          <w:rtl/>
        </w:rPr>
        <w:t>–</w:t>
      </w:r>
      <w:r>
        <w:rPr>
          <w:rFonts w:hint="cs"/>
          <w:rtl/>
        </w:rPr>
        <w:t xml:space="preserve"> ויש רק נכסים שאין להם דין קדימה.</w:t>
      </w:r>
    </w:p>
    <w:p w14:paraId="29C5CA00" w14:textId="77777777" w:rsidR="002E5BAD" w:rsidRDefault="002E5BAD" w:rsidP="002E5BAD">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2526"/>
      </w:r>
      <w:r w:rsidRPr="00DC4A1A">
        <w:rPr>
          <w:rFonts w:cs="Arial"/>
          <w:rtl/>
        </w:rPr>
        <w:t>, לאשה לא יהבינן לה, מאי טעמא? יותר ממה שהאיש רוצה לישא - אשה רוצה להנשא</w:t>
      </w:r>
      <w:r>
        <w:rPr>
          <w:rStyle w:val="a7"/>
          <w:rFonts w:cs="Arial"/>
          <w:rtl/>
        </w:rPr>
        <w:footnoteReference w:id="2527"/>
      </w:r>
      <w:r w:rsidRPr="00DC4A1A">
        <w:rPr>
          <w:rFonts w:cs="Arial"/>
          <w:rtl/>
        </w:rPr>
        <w:t>.</w:t>
      </w:r>
      <w:r>
        <w:rPr>
          <w:rFonts w:cs="Arial" w:hint="cs"/>
          <w:rtl/>
        </w:rPr>
        <w:t xml:space="preserve"> </w:t>
      </w:r>
      <w:r w:rsidRPr="00AD322E">
        <w:rPr>
          <w:rFonts w:cs="Arial" w:hint="cs"/>
          <w:sz w:val="16"/>
          <w:szCs w:val="16"/>
          <w:rtl/>
        </w:rPr>
        <w:t>(</w:t>
      </w:r>
      <w:r w:rsidRPr="00AD322E">
        <w:rPr>
          <w:rFonts w:cs="Arial"/>
          <w:sz w:val="16"/>
          <w:szCs w:val="16"/>
          <w:rtl/>
        </w:rPr>
        <w:t>כתבו הרי"ף (מה.) והרא"ש (סי' יא) שמעינן מהא דאמימר דכל היכא דכי הדדי נינהו וליכא דינא דקדימה לחד מינייהו</w:t>
      </w:r>
      <w:r w:rsidRPr="00AD322E">
        <w:rPr>
          <w:rFonts w:cs="Arial" w:hint="cs"/>
          <w:sz w:val="16"/>
          <w:szCs w:val="16"/>
          <w:rtl/>
        </w:rPr>
        <w:t>,</w:t>
      </w:r>
      <w:r w:rsidRPr="00AD322E">
        <w:rPr>
          <w:rFonts w:cs="Arial"/>
          <w:sz w:val="16"/>
          <w:szCs w:val="16"/>
          <w:rtl/>
        </w:rPr>
        <w:t xml:space="preserve"> כגון מטלטלין בזמן הזה</w:t>
      </w:r>
      <w:r w:rsidRPr="00AD322E">
        <w:rPr>
          <w:rFonts w:cs="Arial" w:hint="cs"/>
          <w:sz w:val="16"/>
          <w:szCs w:val="16"/>
          <w:rtl/>
        </w:rPr>
        <w:t>,</w:t>
      </w:r>
      <w:r w:rsidRPr="00AD322E">
        <w:rPr>
          <w:rFonts w:cs="Arial"/>
          <w:sz w:val="16"/>
          <w:szCs w:val="16"/>
          <w:rtl/>
        </w:rPr>
        <w:t xml:space="preserve"> וליכא אלא שיעורא דחד מינייהו </w:t>
      </w:r>
      <w:r w:rsidRPr="00AD322E">
        <w:rPr>
          <w:rFonts w:cs="Arial" w:hint="cs"/>
          <w:sz w:val="16"/>
          <w:szCs w:val="16"/>
          <w:rtl/>
        </w:rPr>
        <w:t xml:space="preserve">- </w:t>
      </w:r>
      <w:r w:rsidRPr="00AD322E">
        <w:rPr>
          <w:rFonts w:cs="Arial"/>
          <w:sz w:val="16"/>
          <w:szCs w:val="16"/>
          <w:rtl/>
        </w:rPr>
        <w:t>לבעל חוב יהבינן</w:t>
      </w:r>
      <w:r w:rsidRPr="00AD322E">
        <w:rPr>
          <w:rFonts w:cs="Arial" w:hint="cs"/>
          <w:sz w:val="16"/>
          <w:szCs w:val="16"/>
          <w:rtl/>
        </w:rPr>
        <w:t>,</w:t>
      </w:r>
      <w:r w:rsidRPr="00AD322E">
        <w:rPr>
          <w:rFonts w:cs="Arial"/>
          <w:sz w:val="16"/>
          <w:szCs w:val="16"/>
          <w:rtl/>
        </w:rPr>
        <w:t xml:space="preserve"> לאשה לא יהבינן</w:t>
      </w:r>
      <w:r w:rsidRPr="00AD322E">
        <w:rPr>
          <w:rFonts w:cs="Arial" w:hint="cs"/>
          <w:sz w:val="16"/>
          <w:szCs w:val="16"/>
          <w:rtl/>
        </w:rPr>
        <w:t>,</w:t>
      </w:r>
      <w:r w:rsidRPr="00AD322E">
        <w:rPr>
          <w:rFonts w:cs="Arial"/>
          <w:sz w:val="16"/>
          <w:szCs w:val="16"/>
          <w:rtl/>
        </w:rPr>
        <w:t xml:space="preserve"> דיותר משהאיש רוצה לישא אשה רוצה לינשא</w:t>
      </w:r>
      <w:r w:rsidRPr="00AD322E">
        <w:rPr>
          <w:rFonts w:cs="Arial" w:hint="cs"/>
          <w:sz w:val="16"/>
          <w:szCs w:val="16"/>
          <w:rtl/>
        </w:rPr>
        <w:t>.</w:t>
      </w:r>
      <w:r w:rsidRPr="00AD322E">
        <w:rPr>
          <w:rFonts w:cs="Arial"/>
          <w:sz w:val="16"/>
          <w:szCs w:val="16"/>
          <w:rtl/>
        </w:rPr>
        <w:t xml:space="preserve"> וכ</w:t>
      </w:r>
      <w:r w:rsidRPr="00AD322E">
        <w:rPr>
          <w:rFonts w:cs="Arial" w:hint="cs"/>
          <w:sz w:val="16"/>
          <w:szCs w:val="16"/>
          <w:rtl/>
        </w:rPr>
        <w:t>"</w:t>
      </w:r>
      <w:r w:rsidRPr="00AD322E">
        <w:rPr>
          <w:rFonts w:cs="Arial"/>
          <w:sz w:val="16"/>
          <w:szCs w:val="16"/>
          <w:rtl/>
        </w:rPr>
        <w:t xml:space="preserve">כ הרמב"ם </w:t>
      </w:r>
      <w:r w:rsidRPr="00AD322E">
        <w:rPr>
          <w:rFonts w:cs="Arial" w:hint="cs"/>
          <w:sz w:val="16"/>
          <w:szCs w:val="16"/>
          <w:rtl/>
        </w:rPr>
        <w:t>(</w:t>
      </w:r>
      <w:r w:rsidRPr="00AD322E">
        <w:rPr>
          <w:rFonts w:cs="Arial"/>
          <w:sz w:val="16"/>
          <w:szCs w:val="16"/>
          <w:rtl/>
        </w:rPr>
        <w:t>פי"ז מאישות ה</w:t>
      </w:r>
      <w:r w:rsidRPr="00AD322E">
        <w:rPr>
          <w:rFonts w:cs="Arial" w:hint="cs"/>
          <w:sz w:val="16"/>
          <w:szCs w:val="16"/>
          <w:rtl/>
        </w:rPr>
        <w:t>"ה-ו)</w:t>
      </w:r>
      <w:r w:rsidRPr="00AD322E">
        <w:rPr>
          <w:rFonts w:cs="Arial"/>
          <w:sz w:val="16"/>
          <w:szCs w:val="16"/>
          <w:rtl/>
        </w:rPr>
        <w:t xml:space="preserve"> מי שמת והניח אשה ובעל חוב וקרקע שאין בה קדימה האשה נדחית מפני בעל חוב והוא גובה חובו תחלה וכיון שתקנו הגאונים שתגבה האשה ובעל חוב מן המטלטלין והדבר ידוע שאין דין קדימה במטלטלין אם לא הניח מטלטלין כדי ליתן לשניהם נותנין לבעל חוב כל חובו תחלה ואם נשאר לאשה מה שתטול בכתובתה תטול ואם לאו תדחה עכ"ל</w:t>
      </w:r>
      <w:r>
        <w:rPr>
          <w:rFonts w:cs="Arial" w:hint="cs"/>
          <w:sz w:val="16"/>
          <w:szCs w:val="16"/>
          <w:rtl/>
        </w:rPr>
        <w:t>, ב"י)</w:t>
      </w:r>
    </w:p>
    <w:p w14:paraId="23E32CA1" w14:textId="77777777" w:rsidR="002E5BAD" w:rsidRPr="00A75BF4" w:rsidRDefault="002E5BAD" w:rsidP="002E5BAD">
      <w:pPr>
        <w:rPr>
          <w:u w:val="single"/>
          <w:rtl/>
        </w:rPr>
      </w:pPr>
      <w:r w:rsidRPr="00A75BF4">
        <w:rPr>
          <w:rFonts w:hint="cs"/>
          <w:u w:val="single"/>
          <w:rtl/>
        </w:rPr>
        <w:t>אלמנה ובעל חוב</w:t>
      </w:r>
      <w:r>
        <w:rPr>
          <w:rFonts w:hint="cs"/>
          <w:u w:val="single"/>
          <w:rtl/>
        </w:rPr>
        <w:t>,</w:t>
      </w:r>
      <w:r w:rsidRPr="00A75BF4">
        <w:rPr>
          <w:rFonts w:hint="cs"/>
          <w:u w:val="single"/>
          <w:rtl/>
        </w:rPr>
        <w:t xml:space="preserve"> ויש רק נכסים שאין להם דין קדימה</w:t>
      </w:r>
      <w:r>
        <w:rPr>
          <w:rFonts w:hint="cs"/>
          <w:u w:val="single"/>
          <w:rtl/>
        </w:rPr>
        <w:t xml:space="preserve"> </w:t>
      </w:r>
      <w:r>
        <w:rPr>
          <w:u w:val="single"/>
          <w:rtl/>
        </w:rPr>
        <w:t>–</w:t>
      </w:r>
      <w:r>
        <w:rPr>
          <w:rFonts w:hint="cs"/>
          <w:u w:val="single"/>
          <w:rtl/>
        </w:rPr>
        <w:t xml:space="preserve"> מי קודם לגבות</w:t>
      </w:r>
      <w:r w:rsidRPr="00A75BF4">
        <w:rPr>
          <w:rFonts w:hint="cs"/>
          <w:u w:val="single"/>
          <w:rtl/>
        </w:rPr>
        <w:t>:</w:t>
      </w:r>
    </w:p>
    <w:p w14:paraId="5D33F307" w14:textId="77777777" w:rsidR="002E5BAD" w:rsidRDefault="002E5BAD" w:rsidP="00B75458">
      <w:pPr>
        <w:pStyle w:val="ab"/>
        <w:numPr>
          <w:ilvl w:val="0"/>
          <w:numId w:val="192"/>
        </w:numPr>
      </w:pPr>
      <w:r>
        <w:rPr>
          <w:rFonts w:hint="cs"/>
          <w:rtl/>
        </w:rPr>
        <w:t xml:space="preserve">רי"ף </w:t>
      </w:r>
      <w:r>
        <w:rPr>
          <w:rFonts w:hint="cs"/>
          <w:sz w:val="16"/>
          <w:szCs w:val="16"/>
          <w:rtl/>
        </w:rPr>
        <w:t xml:space="preserve">(מה.) </w:t>
      </w:r>
      <w:r>
        <w:rPr>
          <w:rFonts w:hint="cs"/>
          <w:rtl/>
        </w:rPr>
        <w:t xml:space="preserve">רמב"ם </w:t>
      </w:r>
      <w:r w:rsidRPr="00AD322E">
        <w:rPr>
          <w:rFonts w:cs="Arial" w:hint="cs"/>
          <w:sz w:val="16"/>
          <w:szCs w:val="16"/>
          <w:rtl/>
        </w:rPr>
        <w:t>(</w:t>
      </w:r>
      <w:r w:rsidRPr="00AD322E">
        <w:rPr>
          <w:rFonts w:cs="Arial"/>
          <w:sz w:val="16"/>
          <w:szCs w:val="16"/>
          <w:rtl/>
        </w:rPr>
        <w:t>פי"ז מאישות ה</w:t>
      </w:r>
      <w:r w:rsidRPr="00AD322E">
        <w:rPr>
          <w:rFonts w:cs="Arial" w:hint="cs"/>
          <w:sz w:val="16"/>
          <w:szCs w:val="16"/>
          <w:rtl/>
        </w:rPr>
        <w:t>"ה-ו)</w:t>
      </w:r>
      <w:r w:rsidRPr="00AD322E">
        <w:rPr>
          <w:rFonts w:cs="Arial"/>
          <w:sz w:val="16"/>
          <w:szCs w:val="16"/>
          <w:rtl/>
        </w:rPr>
        <w:t xml:space="preserve"> </w:t>
      </w:r>
      <w:r>
        <w:rPr>
          <w:rFonts w:hint="cs"/>
          <w:rtl/>
        </w:rPr>
        <w:t xml:space="preserve">רא"ש </w:t>
      </w:r>
      <w:r>
        <w:rPr>
          <w:rFonts w:hint="cs"/>
          <w:sz w:val="16"/>
          <w:szCs w:val="16"/>
          <w:rtl/>
        </w:rPr>
        <w:t xml:space="preserve">(סי' יא) </w:t>
      </w:r>
      <w:r>
        <w:rPr>
          <w:rFonts w:hint="cs"/>
          <w:rtl/>
        </w:rPr>
        <w:t>וטור-</w:t>
      </w:r>
      <w:r>
        <w:rPr>
          <w:rFonts w:cs="Arial" w:hint="cs"/>
          <w:rtl/>
        </w:rPr>
        <w:t xml:space="preserve"> </w:t>
      </w:r>
      <w:r w:rsidRPr="00A167C1">
        <w:rPr>
          <w:rFonts w:cs="Arial"/>
          <w:rtl/>
        </w:rPr>
        <w:t>לא הניח אלא מטלטלים שאין בהם דין קדימה</w:t>
      </w:r>
      <w:r>
        <w:rPr>
          <w:rFonts w:cs="Arial" w:hint="cs"/>
          <w:rtl/>
        </w:rPr>
        <w:t>,</w:t>
      </w:r>
      <w:r w:rsidRPr="00A167C1">
        <w:rPr>
          <w:rFonts w:cs="Arial"/>
          <w:rtl/>
        </w:rPr>
        <w:t xml:space="preserve"> וכגון דלא אקנו ליה מטלטלי אגב מקרקעי </w:t>
      </w:r>
      <w:r>
        <w:rPr>
          <w:rFonts w:cs="Arial" w:hint="cs"/>
          <w:rtl/>
        </w:rPr>
        <w:t xml:space="preserve">- </w:t>
      </w:r>
      <w:r w:rsidRPr="00A167C1">
        <w:rPr>
          <w:rFonts w:cs="Arial"/>
          <w:rtl/>
        </w:rPr>
        <w:t>ינתנו לב"ח אפי' הוא מאוחר</w:t>
      </w:r>
      <w:r>
        <w:rPr>
          <w:rFonts w:cs="Arial" w:hint="cs"/>
          <w:rtl/>
        </w:rPr>
        <w:t>,</w:t>
      </w:r>
      <w:r w:rsidRPr="00A167C1">
        <w:rPr>
          <w:rFonts w:cs="Arial"/>
          <w:rtl/>
        </w:rPr>
        <w:t xml:space="preserve"> ותדחה האשה</w:t>
      </w:r>
      <w:r w:rsidRPr="00AD322E">
        <w:rPr>
          <w:rStyle w:val="a7"/>
          <w:rFonts w:cs="Arial"/>
          <w:rtl/>
        </w:rPr>
        <w:footnoteReference w:id="2528"/>
      </w:r>
      <w:r>
        <w:rPr>
          <w:rFonts w:cs="Arial" w:hint="cs"/>
          <w:sz w:val="16"/>
          <w:szCs w:val="16"/>
          <w:rtl/>
        </w:rPr>
        <w:t xml:space="preserve"> (ל' הטור)</w:t>
      </w:r>
      <w:r>
        <w:rPr>
          <w:rFonts w:cs="Arial" w:hint="cs"/>
          <w:rtl/>
        </w:rPr>
        <w:t>.</w:t>
      </w:r>
      <w:r w:rsidRPr="00A167C1">
        <w:rPr>
          <w:rFonts w:cs="Arial"/>
          <w:rtl/>
        </w:rPr>
        <w:t xml:space="preserve"> </w:t>
      </w:r>
      <w:r w:rsidRPr="003A4B45">
        <w:rPr>
          <w:rFonts w:hint="cs"/>
          <w:color w:val="E36C0A" w:themeColor="accent6" w:themeShade="BF"/>
          <w:rtl/>
        </w:rPr>
        <w:t>(וכ"פ בשו"ע)</w:t>
      </w:r>
    </w:p>
    <w:p w14:paraId="2CFF4BE1" w14:textId="77777777" w:rsidR="002E5BAD" w:rsidRPr="00A14D69" w:rsidRDefault="002E5BAD" w:rsidP="002E5BAD">
      <w:pPr>
        <w:ind w:left="360"/>
        <w:rPr>
          <w:u w:val="dotted"/>
        </w:rPr>
      </w:pPr>
      <w:r w:rsidRPr="00A14D69">
        <w:rPr>
          <w:rFonts w:hint="cs"/>
          <w:u w:val="dotted"/>
          <w:rtl/>
        </w:rPr>
        <w:lastRenderedPageBreak/>
        <w:t>ומה הדין</w:t>
      </w:r>
      <w:r>
        <w:rPr>
          <w:rFonts w:hint="cs"/>
          <w:u w:val="dotted"/>
          <w:rtl/>
        </w:rPr>
        <w:t xml:space="preserve"> אם </w:t>
      </w:r>
      <w:r w:rsidRPr="00A14D69">
        <w:rPr>
          <w:rFonts w:hint="cs"/>
          <w:u w:val="dotted"/>
          <w:rtl/>
        </w:rPr>
        <w:t>תפשה האשה:</w:t>
      </w:r>
    </w:p>
    <w:p w14:paraId="590EC5A3" w14:textId="77777777" w:rsidR="002E5BAD" w:rsidRPr="00A9426B" w:rsidRDefault="002E5BAD" w:rsidP="00B75458">
      <w:pPr>
        <w:pStyle w:val="ab"/>
        <w:numPr>
          <w:ilvl w:val="0"/>
          <w:numId w:val="192"/>
        </w:numPr>
      </w:pPr>
      <w:r>
        <w:rPr>
          <w:rFonts w:cs="Arial" w:hint="cs"/>
          <w:rtl/>
        </w:rPr>
        <w:t xml:space="preserve">רא"ש </w:t>
      </w:r>
      <w:r w:rsidRPr="007D5594">
        <w:rPr>
          <w:rFonts w:cs="Arial" w:hint="cs"/>
          <w:sz w:val="16"/>
          <w:szCs w:val="16"/>
          <w:rtl/>
        </w:rPr>
        <w:t>(</w:t>
      </w:r>
      <w:r w:rsidRPr="007D5594">
        <w:rPr>
          <w:rFonts w:cs="Arial"/>
          <w:sz w:val="16"/>
          <w:szCs w:val="16"/>
          <w:rtl/>
        </w:rPr>
        <w:t>פ</w:t>
      </w:r>
      <w:r w:rsidRPr="007D5594">
        <w:rPr>
          <w:rFonts w:cs="Arial" w:hint="cs"/>
          <w:sz w:val="16"/>
          <w:szCs w:val="16"/>
          <w:rtl/>
        </w:rPr>
        <w:t>'</w:t>
      </w:r>
      <w:r w:rsidRPr="007D5594">
        <w:rPr>
          <w:rFonts w:cs="Arial"/>
          <w:sz w:val="16"/>
          <w:szCs w:val="16"/>
          <w:rtl/>
        </w:rPr>
        <w:t xml:space="preserve"> הכותב </w:t>
      </w:r>
      <w:r w:rsidRPr="007D5594">
        <w:rPr>
          <w:rFonts w:cs="Arial" w:hint="cs"/>
          <w:sz w:val="16"/>
          <w:szCs w:val="16"/>
          <w:rtl/>
        </w:rPr>
        <w:t>סי' יא</w:t>
      </w:r>
      <w:r w:rsidRPr="007D5594">
        <w:rPr>
          <w:rFonts w:cs="Arial"/>
          <w:sz w:val="16"/>
          <w:szCs w:val="16"/>
          <w:rtl/>
        </w:rPr>
        <w:t>)</w:t>
      </w:r>
      <w:r>
        <w:rPr>
          <w:rFonts w:cs="Arial" w:hint="cs"/>
          <w:rtl/>
        </w:rPr>
        <w:t xml:space="preserve"> וטור- </w:t>
      </w:r>
      <w:r w:rsidRPr="00A167C1">
        <w:rPr>
          <w:rFonts w:cs="Arial"/>
          <w:rtl/>
        </w:rPr>
        <w:t xml:space="preserve">ומיהו אם תפשה אפילו שלא בב"ד </w:t>
      </w:r>
      <w:r>
        <w:rPr>
          <w:rFonts w:cs="Arial" w:hint="cs"/>
          <w:rtl/>
        </w:rPr>
        <w:t xml:space="preserve">- </w:t>
      </w:r>
      <w:r w:rsidRPr="00A167C1">
        <w:rPr>
          <w:rFonts w:cs="Arial"/>
          <w:rtl/>
        </w:rPr>
        <w:t>אין מוציאין מידה</w:t>
      </w:r>
      <w:r>
        <w:rPr>
          <w:rStyle w:val="a7"/>
          <w:rFonts w:cs="Arial"/>
          <w:rtl/>
        </w:rPr>
        <w:footnoteReference w:id="2529"/>
      </w:r>
      <w:r>
        <w:rPr>
          <w:rFonts w:cs="Arial" w:hint="cs"/>
          <w:rtl/>
        </w:rPr>
        <w:t>.</w:t>
      </w:r>
      <w:r w:rsidRPr="00A167C1">
        <w:rPr>
          <w:rFonts w:cs="Arial"/>
          <w:rtl/>
        </w:rPr>
        <w:t xml:space="preserve"> </w:t>
      </w:r>
      <w:r w:rsidRPr="003A4B45">
        <w:rPr>
          <w:rFonts w:hint="cs"/>
          <w:color w:val="E36C0A" w:themeColor="accent6" w:themeShade="BF"/>
          <w:rtl/>
        </w:rPr>
        <w:t>(וכ"פ בשו"ע)</w:t>
      </w:r>
    </w:p>
    <w:p w14:paraId="26C0E252" w14:textId="77777777" w:rsidR="002E5BAD" w:rsidRDefault="002E5BAD" w:rsidP="00B75458">
      <w:pPr>
        <w:pStyle w:val="ab"/>
        <w:numPr>
          <w:ilvl w:val="0"/>
          <w:numId w:val="192"/>
        </w:numPr>
      </w:pPr>
      <w:r w:rsidRPr="00A167C1">
        <w:rPr>
          <w:rFonts w:cs="Arial"/>
          <w:rtl/>
        </w:rPr>
        <w:t xml:space="preserve">מהר"ם </w:t>
      </w:r>
      <w:r w:rsidRPr="00A9426B">
        <w:rPr>
          <w:rFonts w:cs="Arial"/>
          <w:sz w:val="16"/>
          <w:szCs w:val="16"/>
          <w:rtl/>
        </w:rPr>
        <w:t xml:space="preserve">(ד"ב סי' </w:t>
      </w:r>
      <w:r>
        <w:rPr>
          <w:rFonts w:cs="Arial" w:hint="cs"/>
          <w:sz w:val="16"/>
          <w:szCs w:val="16"/>
          <w:rtl/>
        </w:rPr>
        <w:t>פה/</w:t>
      </w:r>
      <w:r w:rsidRPr="00A9426B">
        <w:rPr>
          <w:rFonts w:cs="Arial"/>
          <w:sz w:val="16"/>
          <w:szCs w:val="16"/>
          <w:rtl/>
        </w:rPr>
        <w:t>סז</w:t>
      </w:r>
      <w:r w:rsidRPr="00A9426B">
        <w:rPr>
          <w:rFonts w:cs="Arial" w:hint="cs"/>
          <w:sz w:val="16"/>
          <w:szCs w:val="16"/>
          <w:rtl/>
        </w:rPr>
        <w:t xml:space="preserve">, כ"כ בשמו </w:t>
      </w:r>
      <w:r w:rsidRPr="00A9426B">
        <w:rPr>
          <w:rFonts w:cs="Arial"/>
          <w:sz w:val="16"/>
          <w:szCs w:val="16"/>
          <w:rtl/>
        </w:rPr>
        <w:t>המרדכי</w:t>
      </w:r>
      <w:r w:rsidRPr="00A9426B">
        <w:rPr>
          <w:rFonts w:cs="Arial" w:hint="cs"/>
          <w:sz w:val="16"/>
          <w:szCs w:val="16"/>
          <w:rtl/>
        </w:rPr>
        <w:t xml:space="preserve"> [פ' הכותב סי' רכ]</w:t>
      </w:r>
      <w:r>
        <w:rPr>
          <w:rFonts w:cs="Arial" w:hint="cs"/>
          <w:sz w:val="16"/>
          <w:szCs w:val="16"/>
          <w:rtl/>
        </w:rPr>
        <w:t>, הביאו הדרכ"מ [אות ג]</w:t>
      </w:r>
      <w:r w:rsidRPr="00A9426B">
        <w:rPr>
          <w:rFonts w:cs="Arial"/>
          <w:sz w:val="16"/>
          <w:szCs w:val="16"/>
          <w:rtl/>
        </w:rPr>
        <w:t>)</w:t>
      </w:r>
      <w:r>
        <w:rPr>
          <w:rFonts w:cs="Arial" w:hint="cs"/>
          <w:rtl/>
        </w:rPr>
        <w:t xml:space="preserve">- </w:t>
      </w:r>
      <w:r w:rsidRPr="00A9426B">
        <w:rPr>
          <w:rFonts w:cs="Arial"/>
          <w:rtl/>
        </w:rPr>
        <w:t xml:space="preserve">אפילו תפסה האשה לאחר מיתת בעלה המטלטלין </w:t>
      </w:r>
      <w:r>
        <w:rPr>
          <w:rFonts w:cs="Arial" w:hint="cs"/>
          <w:rtl/>
        </w:rPr>
        <w:t xml:space="preserve">- </w:t>
      </w:r>
      <w:r w:rsidRPr="00A9426B">
        <w:rPr>
          <w:rFonts w:cs="Arial"/>
          <w:rtl/>
        </w:rPr>
        <w:t>מוציאים מידה ונותנים לבעל חוב בחובו</w:t>
      </w:r>
      <w:r>
        <w:rPr>
          <w:rFonts w:cs="Arial" w:hint="cs"/>
          <w:rtl/>
        </w:rPr>
        <w:t>...</w:t>
      </w:r>
      <w:r w:rsidRPr="00A9426B">
        <w:rPr>
          <w:rFonts w:cs="Arial"/>
          <w:rtl/>
        </w:rPr>
        <w:t xml:space="preserve"> ואפילו נזמים וקטלאות ודכוותייהו אע</w:t>
      </w:r>
      <w:r>
        <w:rPr>
          <w:rFonts w:cs="Arial" w:hint="cs"/>
          <w:rtl/>
        </w:rPr>
        <w:t>"</w:t>
      </w:r>
      <w:r w:rsidRPr="00A9426B">
        <w:rPr>
          <w:rFonts w:cs="Arial"/>
          <w:rtl/>
        </w:rPr>
        <w:t>ג דרגילה בהם להשתמש בחייו מפקינן מינה ויהבינן לבעל חוב, אא"כ יחדם לה בכתובתה דכל כמה דלא יחדם לה בכתובתה דינם כשאר מטלטלי. וכן משמע בשערי האלפסי בשער י"ט</w:t>
      </w:r>
      <w:r>
        <w:rPr>
          <w:rFonts w:cs="Arial" w:hint="cs"/>
          <w:sz w:val="16"/>
          <w:szCs w:val="16"/>
          <w:rtl/>
        </w:rPr>
        <w:t xml:space="preserve"> (ל' מהר"ם)</w:t>
      </w:r>
      <w:r>
        <w:rPr>
          <w:rStyle w:val="a7"/>
          <w:rFonts w:cs="Arial"/>
          <w:rtl/>
        </w:rPr>
        <w:footnoteReference w:id="2530"/>
      </w:r>
      <w:r w:rsidRPr="00A9426B">
        <w:rPr>
          <w:rFonts w:cs="Arial"/>
          <w:rtl/>
        </w:rPr>
        <w:t>.</w:t>
      </w:r>
      <w:r w:rsidRPr="008911E0">
        <w:rPr>
          <w:rFonts w:cs="Arial"/>
          <w:color w:val="00B0F0"/>
          <w:rtl/>
        </w:rPr>
        <w:t xml:space="preserve"> </w:t>
      </w:r>
      <w:r w:rsidRPr="008911E0">
        <w:rPr>
          <w:rFonts w:hint="cs"/>
          <w:color w:val="00B0F0"/>
          <w:rtl/>
        </w:rPr>
        <w:t>(וכ"כ הרמ"א)</w:t>
      </w:r>
    </w:p>
    <w:p w14:paraId="50B7310A" w14:textId="77777777" w:rsidR="002E5BAD" w:rsidRPr="00553E22" w:rsidRDefault="002E5BAD" w:rsidP="002E5BAD">
      <w:pPr>
        <w:ind w:left="720"/>
        <w:rPr>
          <w:sz w:val="16"/>
          <w:szCs w:val="16"/>
        </w:rPr>
      </w:pPr>
      <w:r>
        <w:rPr>
          <w:rFonts w:hint="cs"/>
          <w:u w:val="wave"/>
          <w:rtl/>
        </w:rPr>
        <w:t xml:space="preserve">לראש וסיעתו </w:t>
      </w:r>
      <w:r>
        <w:rPr>
          <w:u w:val="wave"/>
          <w:rtl/>
        </w:rPr>
        <w:t>–</w:t>
      </w:r>
      <w:r>
        <w:rPr>
          <w:rFonts w:hint="cs"/>
          <w:u w:val="wave"/>
          <w:rtl/>
        </w:rPr>
        <w:t xml:space="preserve"> מה הדין אם האשה שתפשה הייתה נושאת ונותנת בבית:</w:t>
      </w:r>
      <w:r>
        <w:rPr>
          <w:rFonts w:hint="cs"/>
          <w:sz w:val="16"/>
          <w:szCs w:val="16"/>
          <w:rtl/>
        </w:rPr>
        <w:t xml:space="preserve">  (דרכ"מ אות ג)</w:t>
      </w:r>
    </w:p>
    <w:p w14:paraId="1EE130E4" w14:textId="77777777" w:rsidR="002E5BAD" w:rsidRPr="00055468" w:rsidRDefault="002E5BAD" w:rsidP="00B75458">
      <w:pPr>
        <w:pStyle w:val="ab"/>
        <w:numPr>
          <w:ilvl w:val="0"/>
          <w:numId w:val="192"/>
        </w:numPr>
      </w:pP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 xml:space="preserve">- </w:t>
      </w:r>
      <w:r w:rsidRPr="00553E22">
        <w:rPr>
          <w:rFonts w:cs="Arial"/>
          <w:rtl/>
        </w:rPr>
        <w:t>אפילו למ"ד דאם תפסה לא מפקינן מינה</w:t>
      </w:r>
      <w:r w:rsidRPr="00553E22">
        <w:rPr>
          <w:rFonts w:cs="Arial" w:hint="cs"/>
          <w:rtl/>
        </w:rPr>
        <w:t>,</w:t>
      </w:r>
      <w:r w:rsidRPr="00553E22">
        <w:rPr>
          <w:rFonts w:cs="Arial"/>
          <w:rtl/>
        </w:rPr>
        <w:t xml:space="preserve"> הני מילי שלוה בעלה ולא בא הממון לידה</w:t>
      </w:r>
      <w:r w:rsidRPr="00553E22">
        <w:rPr>
          <w:rFonts w:cs="Arial" w:hint="cs"/>
          <w:rtl/>
        </w:rPr>
        <w:t>.</w:t>
      </w:r>
      <w:r w:rsidRPr="00553E22">
        <w:rPr>
          <w:rFonts w:cs="Arial"/>
          <w:rtl/>
        </w:rPr>
        <w:t xml:space="preserve"> אבל אם היתה נושאת ונותנת בתוך הבית ובא הממון של הלואה לידה לכולי עלמא צריכה לשלם דלא גרע מערב</w:t>
      </w:r>
      <w:r>
        <w:rPr>
          <w:rStyle w:val="a7"/>
          <w:rFonts w:cs="Arial"/>
          <w:rtl/>
        </w:rPr>
        <w:footnoteReference w:id="2531"/>
      </w:r>
      <w:r>
        <w:rPr>
          <w:rFonts w:cs="Arial" w:hint="cs"/>
          <w:rtl/>
        </w:rPr>
        <w:t>.</w:t>
      </w:r>
      <w:r>
        <w:rPr>
          <w:rFonts w:hint="cs"/>
          <w:rtl/>
        </w:rPr>
        <w:t xml:space="preserve"> (וכ"כ ח"מ</w:t>
      </w:r>
      <w:r>
        <w:rPr>
          <w:rFonts w:hint="cs"/>
          <w:sz w:val="16"/>
          <w:szCs w:val="16"/>
          <w:rtl/>
        </w:rPr>
        <w:t xml:space="preserve"> [סק"ד]</w:t>
      </w:r>
      <w:r>
        <w:rPr>
          <w:rFonts w:hint="cs"/>
          <w:rtl/>
        </w:rPr>
        <w:t xml:space="preserve"> וב"ש </w:t>
      </w:r>
      <w:r>
        <w:rPr>
          <w:rFonts w:hint="cs"/>
          <w:sz w:val="16"/>
          <w:szCs w:val="16"/>
          <w:rtl/>
        </w:rPr>
        <w:t>[סק"ח]</w:t>
      </w:r>
      <w:r>
        <w:rPr>
          <w:rFonts w:hint="cs"/>
          <w:rtl/>
        </w:rPr>
        <w:t>)</w:t>
      </w:r>
    </w:p>
    <w:p w14:paraId="401D4FA7" w14:textId="77777777" w:rsidR="002E5BAD" w:rsidRPr="00055468" w:rsidRDefault="002E5BAD" w:rsidP="002E5BAD">
      <w:pPr>
        <w:ind w:left="360"/>
        <w:rPr>
          <w:u w:val="dotted"/>
        </w:rPr>
      </w:pPr>
      <w:r w:rsidRPr="00055468">
        <w:rPr>
          <w:rFonts w:hint="cs"/>
          <w:u w:val="dotted"/>
          <w:rtl/>
        </w:rPr>
        <w:t xml:space="preserve">הא דבע"ח גובה לפני האשה </w:t>
      </w:r>
      <w:r w:rsidRPr="00055468">
        <w:rPr>
          <w:u w:val="dotted"/>
          <w:rtl/>
        </w:rPr>
        <w:t>–</w:t>
      </w:r>
      <w:r w:rsidRPr="00055468">
        <w:rPr>
          <w:rFonts w:hint="cs"/>
          <w:u w:val="dotted"/>
          <w:rtl/>
        </w:rPr>
        <w:t xml:space="preserve"> האם הדין כן אפילו אין לו שטר:</w:t>
      </w:r>
      <w:r>
        <w:rPr>
          <w:rFonts w:hint="cs"/>
          <w:sz w:val="16"/>
          <w:szCs w:val="16"/>
          <w:rtl/>
        </w:rPr>
        <w:t xml:space="preserve">  (דרכ"מ אות ג)</w:t>
      </w:r>
    </w:p>
    <w:p w14:paraId="3F8595AE" w14:textId="77777777" w:rsidR="002E5BAD" w:rsidRPr="00055468" w:rsidRDefault="002E5BAD" w:rsidP="00B75458">
      <w:pPr>
        <w:pStyle w:val="ab"/>
        <w:numPr>
          <w:ilvl w:val="0"/>
          <w:numId w:val="192"/>
        </w:numPr>
      </w:pPr>
      <w:r>
        <w:rPr>
          <w:rFonts w:cs="Arial" w:hint="cs"/>
          <w:rtl/>
        </w:rPr>
        <w:t xml:space="preserve">הגה"מ </w:t>
      </w:r>
      <w:r w:rsidRPr="008911E0">
        <w:rPr>
          <w:rFonts w:cs="Arial" w:hint="cs"/>
          <w:sz w:val="16"/>
          <w:szCs w:val="16"/>
          <w:rtl/>
        </w:rPr>
        <w:t>(</w:t>
      </w:r>
      <w:r w:rsidRPr="008911E0">
        <w:rPr>
          <w:rFonts w:cs="Arial"/>
          <w:sz w:val="16"/>
          <w:szCs w:val="16"/>
          <w:rtl/>
        </w:rPr>
        <w:t>פי"ז אות ב)</w:t>
      </w:r>
      <w:r>
        <w:rPr>
          <w:rFonts w:cs="Arial" w:hint="cs"/>
          <w:rtl/>
        </w:rPr>
        <w:t>-</w:t>
      </w:r>
      <w:r w:rsidRPr="00A167C1">
        <w:rPr>
          <w:rFonts w:cs="Arial"/>
          <w:rtl/>
        </w:rPr>
        <w:t xml:space="preserve"> הא דבעל חוב קודם לאשה היינו כשיש בידו שטר חוב</w:t>
      </w:r>
      <w:r>
        <w:rPr>
          <w:rFonts w:cs="Arial" w:hint="cs"/>
          <w:rtl/>
        </w:rPr>
        <w:t>,</w:t>
      </w:r>
      <w:r w:rsidRPr="00A167C1">
        <w:rPr>
          <w:rFonts w:cs="Arial"/>
          <w:rtl/>
        </w:rPr>
        <w:t xml:space="preserve"> אבל אם אין בידו שטר </w:t>
      </w:r>
      <w:r>
        <w:rPr>
          <w:rFonts w:cs="Arial" w:hint="cs"/>
          <w:rtl/>
        </w:rPr>
        <w:t xml:space="preserve">- </w:t>
      </w:r>
      <w:r w:rsidRPr="00A167C1">
        <w:rPr>
          <w:rFonts w:cs="Arial"/>
          <w:rtl/>
        </w:rPr>
        <w:t>יכולה היא לומר דילמא אינו חייב לך</w:t>
      </w:r>
      <w:r>
        <w:rPr>
          <w:rStyle w:val="a7"/>
          <w:rFonts w:cs="Arial"/>
          <w:rtl/>
        </w:rPr>
        <w:footnoteReference w:id="2532"/>
      </w:r>
      <w:r>
        <w:rPr>
          <w:rFonts w:cs="Arial" w:hint="cs"/>
          <w:rtl/>
        </w:rPr>
        <w:t>.</w:t>
      </w:r>
      <w:r w:rsidRPr="008911E0">
        <w:rPr>
          <w:rFonts w:cs="Arial"/>
          <w:rtl/>
        </w:rPr>
        <w:t xml:space="preserve"> </w:t>
      </w:r>
      <w:r w:rsidRPr="008911E0">
        <w:rPr>
          <w:rFonts w:hint="cs"/>
          <w:color w:val="00B0F0"/>
          <w:rtl/>
        </w:rPr>
        <w:t>(וכ"כ הרמ"א)</w:t>
      </w:r>
    </w:p>
    <w:p w14:paraId="02CC1027" w14:textId="77777777" w:rsidR="002E5BAD" w:rsidRPr="00055468" w:rsidRDefault="002E5BAD" w:rsidP="002E5BAD">
      <w:pPr>
        <w:rPr>
          <w:u w:val="single"/>
        </w:rPr>
      </w:pPr>
      <w:r w:rsidRPr="00055468">
        <w:rPr>
          <w:rFonts w:hint="cs"/>
          <w:u w:val="single"/>
          <w:rtl/>
        </w:rPr>
        <w:t xml:space="preserve">מי שמת ויש לו פקדון שהניחו אצלו </w:t>
      </w:r>
      <w:r w:rsidRPr="00055468">
        <w:rPr>
          <w:u w:val="single"/>
          <w:rtl/>
        </w:rPr>
        <w:t>–</w:t>
      </w:r>
      <w:r w:rsidRPr="00055468">
        <w:rPr>
          <w:rFonts w:hint="cs"/>
          <w:u w:val="single"/>
          <w:rtl/>
        </w:rPr>
        <w:t xml:space="preserve"> האם האשה יכולה לגבות ממנו:</w:t>
      </w:r>
      <w:r>
        <w:rPr>
          <w:rFonts w:hint="cs"/>
          <w:sz w:val="16"/>
          <w:szCs w:val="16"/>
          <w:rtl/>
        </w:rPr>
        <w:t xml:space="preserve">  (דרכ"מ אות ג)</w:t>
      </w:r>
    </w:p>
    <w:p w14:paraId="699456C5" w14:textId="77777777" w:rsidR="002E5BAD" w:rsidRPr="00553E22" w:rsidRDefault="002E5BAD" w:rsidP="00B75458">
      <w:pPr>
        <w:pStyle w:val="ab"/>
        <w:numPr>
          <w:ilvl w:val="0"/>
          <w:numId w:val="192"/>
        </w:numPr>
      </w:pP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 xml:space="preserve">- </w:t>
      </w:r>
      <w:r w:rsidRPr="00A167C1">
        <w:rPr>
          <w:rFonts w:cs="Arial"/>
          <w:rtl/>
        </w:rPr>
        <w:t>לכולי עלמא אם נתנו פקדון לידו ומת אין אשתו גובאת כתובתה ממנו</w:t>
      </w:r>
      <w:r>
        <w:rPr>
          <w:rStyle w:val="a7"/>
          <w:rFonts w:cs="Arial"/>
          <w:rtl/>
        </w:rPr>
        <w:footnoteReference w:id="2533"/>
      </w:r>
      <w:r>
        <w:rPr>
          <w:rFonts w:cs="Arial" w:hint="cs"/>
          <w:rtl/>
        </w:rPr>
        <w:t xml:space="preserve">. </w:t>
      </w:r>
      <w:r w:rsidRPr="008911E0">
        <w:rPr>
          <w:rFonts w:hint="cs"/>
          <w:color w:val="00B0F0"/>
          <w:rtl/>
        </w:rPr>
        <w:t>(וכ"כ הרמ"א)</w:t>
      </w:r>
    </w:p>
    <w:p w14:paraId="7AD1C30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C338688" w14:textId="77777777" w:rsidR="002E5BAD" w:rsidRPr="008911E0" w:rsidRDefault="002E5BAD" w:rsidP="002E5BAD">
      <w:pPr>
        <w:rPr>
          <w:rFonts w:cs="Arial"/>
          <w:sz w:val="18"/>
          <w:szCs w:val="18"/>
          <w:rtl/>
        </w:rPr>
      </w:pPr>
      <w:r w:rsidRPr="000904BE">
        <w:rPr>
          <w:rFonts w:cs="Arial"/>
          <w:rtl/>
        </w:rPr>
        <w:lastRenderedPageBreak/>
        <w:t>לא הניח אלא מטלטלים שאין בהם קדימה</w:t>
      </w:r>
      <w:r>
        <w:rPr>
          <w:rStyle w:val="a7"/>
          <w:rFonts w:cs="Arial"/>
          <w:rtl/>
        </w:rPr>
        <w:footnoteReference w:id="2534"/>
      </w:r>
      <w:r w:rsidRPr="000904BE">
        <w:rPr>
          <w:rFonts w:cs="Arial"/>
          <w:rtl/>
        </w:rPr>
        <w:t>, כגון דלא אקני לה מטלטלי אגב</w:t>
      </w:r>
      <w:r>
        <w:rPr>
          <w:rStyle w:val="a7"/>
          <w:rFonts w:cs="Arial"/>
          <w:rtl/>
        </w:rPr>
        <w:footnoteReference w:id="2535"/>
      </w:r>
      <w:r w:rsidRPr="000904BE">
        <w:rPr>
          <w:rFonts w:cs="Arial"/>
          <w:rtl/>
        </w:rPr>
        <w:t xml:space="preserve"> מקרקעי</w:t>
      </w:r>
      <w:r>
        <w:rPr>
          <w:rStyle w:val="a7"/>
          <w:rFonts w:cs="Arial"/>
          <w:rtl/>
        </w:rPr>
        <w:footnoteReference w:id="2536"/>
      </w:r>
      <w:r w:rsidRPr="000904BE">
        <w:rPr>
          <w:rFonts w:cs="Arial"/>
          <w:rtl/>
        </w:rPr>
        <w:t>, יתנו לבעל חוב, אפילו הוא מאוחר, ותדחה האשה מלגבות עיקר ותוספת</w:t>
      </w:r>
      <w:r>
        <w:rPr>
          <w:rStyle w:val="a7"/>
          <w:rFonts w:cs="Arial"/>
          <w:rtl/>
        </w:rPr>
        <w:footnoteReference w:id="2537"/>
      </w:r>
      <w:r w:rsidRPr="000904BE">
        <w:rPr>
          <w:rFonts w:cs="Arial"/>
          <w:rtl/>
        </w:rPr>
        <w:t>. ומיהו אם תפסה, אפילו שלא בב</w:t>
      </w:r>
      <w:r>
        <w:rPr>
          <w:rFonts w:cs="Arial" w:hint="cs"/>
          <w:rtl/>
        </w:rPr>
        <w:t xml:space="preserve">ית </w:t>
      </w:r>
      <w:r w:rsidRPr="000904BE">
        <w:rPr>
          <w:rFonts w:cs="Arial"/>
          <w:rtl/>
        </w:rPr>
        <w:t>ד</w:t>
      </w:r>
      <w:r>
        <w:rPr>
          <w:rFonts w:cs="Arial" w:hint="cs"/>
          <w:rtl/>
        </w:rPr>
        <w:t>ין</w:t>
      </w:r>
      <w:r w:rsidRPr="000904BE">
        <w:rPr>
          <w:rFonts w:cs="Arial"/>
          <w:rtl/>
        </w:rPr>
        <w:t xml:space="preserve">, אין מוציאין מידה. </w:t>
      </w:r>
      <w:r w:rsidRPr="007A47A7">
        <w:rPr>
          <w:rFonts w:cs="Arial"/>
          <w:sz w:val="18"/>
          <w:szCs w:val="18"/>
          <w:rtl/>
        </w:rPr>
        <w:t>הגה: וי"א דאפילו תפסה, מוציאין מידה (מרדכי בשם מהר"ם)</w:t>
      </w:r>
      <w:r>
        <w:rPr>
          <w:rFonts w:cs="Arial" w:hint="cs"/>
          <w:sz w:val="18"/>
          <w:szCs w:val="18"/>
          <w:rtl/>
        </w:rPr>
        <w:t>.</w:t>
      </w:r>
      <w:r w:rsidRPr="007A47A7">
        <w:rPr>
          <w:rFonts w:cs="Arial"/>
          <w:sz w:val="18"/>
          <w:szCs w:val="18"/>
          <w:rtl/>
        </w:rPr>
        <w:t xml:space="preserve"> וכן הורו האחרונים (מהרי"ל ומהרי"ו). ואין חלוק בזה בין מלוה בשטר או מלוה על פה הידועה (מהרי"ו). אבל אם אינה ידועה, יכולה לומר: דילמא אינו חייב לך</w:t>
      </w:r>
      <w:r>
        <w:rPr>
          <w:rStyle w:val="a7"/>
          <w:rFonts w:cs="Arial"/>
          <w:sz w:val="18"/>
          <w:szCs w:val="18"/>
          <w:rtl/>
        </w:rPr>
        <w:footnoteReference w:id="2538"/>
      </w:r>
      <w:r>
        <w:rPr>
          <w:rFonts w:cs="Arial" w:hint="cs"/>
          <w:sz w:val="18"/>
          <w:szCs w:val="18"/>
          <w:rtl/>
        </w:rPr>
        <w:t xml:space="preserve"> (הגה"מ)</w:t>
      </w:r>
      <w:r w:rsidRPr="007A47A7">
        <w:rPr>
          <w:rFonts w:cs="Arial"/>
          <w:sz w:val="18"/>
          <w:szCs w:val="18"/>
          <w:rtl/>
        </w:rPr>
        <w:t>. ולכולי עלמא אם תפסה פקדון של אחרים שהיה ביד בעלה, צריכה להחזיר</w:t>
      </w:r>
      <w:r>
        <w:rPr>
          <w:rStyle w:val="a7"/>
          <w:rFonts w:cs="Arial"/>
          <w:sz w:val="18"/>
          <w:szCs w:val="18"/>
          <w:rtl/>
        </w:rPr>
        <w:footnoteReference w:id="2539"/>
      </w:r>
      <w:r w:rsidRPr="007A47A7">
        <w:rPr>
          <w:rFonts w:cs="Arial"/>
          <w:sz w:val="18"/>
          <w:szCs w:val="18"/>
          <w:rtl/>
        </w:rPr>
        <w:t xml:space="preserve"> (מהרא"י</w:t>
      </w:r>
      <w:r>
        <w:rPr>
          <w:rFonts w:cs="Arial" w:hint="cs"/>
          <w:sz w:val="18"/>
          <w:szCs w:val="18"/>
          <w:rtl/>
        </w:rPr>
        <w:t xml:space="preserve"> ומהרי"ו</w:t>
      </w:r>
      <w:r w:rsidRPr="007A47A7">
        <w:rPr>
          <w:rFonts w:cs="Arial"/>
          <w:sz w:val="18"/>
          <w:szCs w:val="18"/>
          <w:rtl/>
        </w:rPr>
        <w:t>). י"א דאין כותבין אגב בכתובה</w:t>
      </w:r>
      <w:r>
        <w:rPr>
          <w:rStyle w:val="a7"/>
          <w:rFonts w:cs="Arial"/>
          <w:sz w:val="18"/>
          <w:szCs w:val="18"/>
          <w:rtl/>
        </w:rPr>
        <w:footnoteReference w:id="2540"/>
      </w:r>
      <w:r w:rsidRPr="007A47A7">
        <w:rPr>
          <w:rFonts w:cs="Arial"/>
          <w:sz w:val="18"/>
          <w:szCs w:val="18"/>
          <w:rtl/>
        </w:rPr>
        <w:t>, וכן נוהגין. מיהו אפילו כתב בזמן הזה, אין לחוש</w:t>
      </w:r>
      <w:r>
        <w:rPr>
          <w:rStyle w:val="a7"/>
          <w:rFonts w:cs="Arial"/>
          <w:sz w:val="18"/>
          <w:szCs w:val="18"/>
          <w:rtl/>
        </w:rPr>
        <w:footnoteReference w:id="2541"/>
      </w:r>
      <w:r w:rsidRPr="007A47A7">
        <w:rPr>
          <w:rFonts w:cs="Arial"/>
          <w:sz w:val="18"/>
          <w:szCs w:val="18"/>
          <w:rtl/>
        </w:rPr>
        <w:t>, וכמו שנתבאר לעיל סי</w:t>
      </w:r>
      <w:r>
        <w:rPr>
          <w:rFonts w:cs="Arial" w:hint="cs"/>
          <w:sz w:val="18"/>
          <w:szCs w:val="18"/>
          <w:rtl/>
        </w:rPr>
        <w:t>'</w:t>
      </w:r>
      <w:r w:rsidRPr="007A47A7">
        <w:rPr>
          <w:rFonts w:cs="Arial"/>
          <w:sz w:val="18"/>
          <w:szCs w:val="18"/>
          <w:rtl/>
        </w:rPr>
        <w:t xml:space="preserve"> ק'.</w:t>
      </w:r>
      <w:r w:rsidRPr="000904BE">
        <w:rPr>
          <w:rFonts w:cs="Arial"/>
          <w:rtl/>
        </w:rPr>
        <w:t xml:space="preserve"> </w:t>
      </w:r>
    </w:p>
    <w:p w14:paraId="3FBD0904" w14:textId="77777777" w:rsidR="002E5BAD" w:rsidRDefault="002E5BAD" w:rsidP="002E5BAD">
      <w:pPr>
        <w:rPr>
          <w:rFonts w:cs="Arial"/>
          <w:rtl/>
        </w:rPr>
      </w:pPr>
      <w:r w:rsidRPr="00103C93">
        <w:rPr>
          <w:rFonts w:cs="Arial"/>
          <w:u w:val="single"/>
          <w:rtl/>
        </w:rPr>
        <w:t>מלוה ע"פ מוקדמת וכתובה מאוחרת שכתב בה מטלטלי אג</w:t>
      </w:r>
      <w:r w:rsidRPr="00103C93">
        <w:rPr>
          <w:rFonts w:cs="Arial" w:hint="cs"/>
          <w:u w:val="single"/>
          <w:rtl/>
        </w:rPr>
        <w:t>ב קרקע</w:t>
      </w:r>
      <w:r>
        <w:rPr>
          <w:rFonts w:cs="Arial" w:hint="cs"/>
          <w:u w:val="single"/>
          <w:rtl/>
        </w:rPr>
        <w:t>:</w:t>
      </w:r>
      <w:r w:rsidRPr="00103C93">
        <w:rPr>
          <w:rFonts w:cs="Arial"/>
          <w:rtl/>
        </w:rPr>
        <w:t xml:space="preserve"> </w:t>
      </w:r>
      <w:r>
        <w:rPr>
          <w:rFonts w:cs="Arial" w:hint="cs"/>
          <w:sz w:val="16"/>
          <w:szCs w:val="16"/>
          <w:rtl/>
        </w:rPr>
        <w:t>(באה"ט סק"ג)</w:t>
      </w:r>
    </w:p>
    <w:p w14:paraId="520FB0B9" w14:textId="77777777" w:rsidR="002E5BAD" w:rsidRDefault="002E5BAD" w:rsidP="00B75458">
      <w:pPr>
        <w:pStyle w:val="ab"/>
        <w:numPr>
          <w:ilvl w:val="0"/>
          <w:numId w:val="192"/>
        </w:numPr>
        <w:rPr>
          <w:rFonts w:cs="Arial"/>
        </w:rPr>
      </w:pPr>
      <w:r w:rsidRPr="00103C93">
        <w:rPr>
          <w:rFonts w:cs="Arial"/>
          <w:rtl/>
        </w:rPr>
        <w:t xml:space="preserve">רשד"ם </w:t>
      </w:r>
      <w:r w:rsidRPr="00103C93">
        <w:rPr>
          <w:rFonts w:cs="Arial" w:hint="cs"/>
          <w:sz w:val="16"/>
          <w:szCs w:val="16"/>
          <w:rtl/>
        </w:rPr>
        <w:t>(</w:t>
      </w:r>
      <w:r>
        <w:rPr>
          <w:rFonts w:cs="Arial" w:hint="cs"/>
          <w:sz w:val="16"/>
          <w:szCs w:val="16"/>
          <w:rtl/>
        </w:rPr>
        <w:t xml:space="preserve">שו"ת </w:t>
      </w:r>
      <w:r w:rsidRPr="00103C93">
        <w:rPr>
          <w:rFonts w:cs="Arial"/>
          <w:sz w:val="16"/>
          <w:szCs w:val="16"/>
          <w:rtl/>
        </w:rPr>
        <w:t>ח</w:t>
      </w:r>
      <w:r w:rsidRPr="00103C93">
        <w:rPr>
          <w:rFonts w:cs="Arial" w:hint="cs"/>
          <w:sz w:val="16"/>
          <w:szCs w:val="16"/>
          <w:rtl/>
        </w:rPr>
        <w:t>ו</w:t>
      </w:r>
      <w:r w:rsidRPr="00103C93">
        <w:rPr>
          <w:rFonts w:cs="Arial"/>
          <w:sz w:val="16"/>
          <w:szCs w:val="16"/>
          <w:rtl/>
        </w:rPr>
        <w:t>"מ סי</w:t>
      </w:r>
      <w:r w:rsidRPr="00103C93">
        <w:rPr>
          <w:rFonts w:cs="Arial" w:hint="cs"/>
          <w:sz w:val="16"/>
          <w:szCs w:val="16"/>
          <w:rtl/>
        </w:rPr>
        <w:t>'</w:t>
      </w:r>
      <w:r w:rsidRPr="00103C93">
        <w:rPr>
          <w:rFonts w:cs="Arial"/>
          <w:sz w:val="16"/>
          <w:szCs w:val="16"/>
          <w:rtl/>
        </w:rPr>
        <w:t xml:space="preserve"> רי</w:t>
      </w:r>
      <w:r w:rsidRPr="00103C93">
        <w:rPr>
          <w:rFonts w:cs="Arial" w:hint="cs"/>
          <w:sz w:val="16"/>
          <w:szCs w:val="16"/>
          <w:rtl/>
        </w:rPr>
        <w:t>)</w:t>
      </w:r>
      <w:r>
        <w:rPr>
          <w:rFonts w:cs="Arial" w:hint="cs"/>
          <w:rtl/>
        </w:rPr>
        <w:t>-</w:t>
      </w:r>
      <w:r w:rsidRPr="00103C93">
        <w:rPr>
          <w:rFonts w:cs="Arial"/>
          <w:rtl/>
        </w:rPr>
        <w:t xml:space="preserve"> אם תפס הבע"ח שבע"פ מעצמו זכה. </w:t>
      </w:r>
    </w:p>
    <w:p w14:paraId="3EFB93FB" w14:textId="77777777" w:rsidR="002E5BAD" w:rsidRDefault="002E5BAD" w:rsidP="00B75458">
      <w:pPr>
        <w:pStyle w:val="ab"/>
        <w:numPr>
          <w:ilvl w:val="0"/>
          <w:numId w:val="192"/>
        </w:numPr>
        <w:rPr>
          <w:rFonts w:cs="Arial"/>
        </w:rPr>
      </w:pPr>
      <w:r w:rsidRPr="00103C93">
        <w:rPr>
          <w:rFonts w:cs="Arial"/>
          <w:rtl/>
        </w:rPr>
        <w:t xml:space="preserve">רש"ך </w:t>
      </w:r>
      <w:r w:rsidRPr="00103C93">
        <w:rPr>
          <w:rFonts w:cs="Arial" w:hint="cs"/>
          <w:sz w:val="16"/>
          <w:szCs w:val="16"/>
          <w:rtl/>
        </w:rPr>
        <w:t>(</w:t>
      </w:r>
      <w:r w:rsidRPr="00103C93">
        <w:rPr>
          <w:rFonts w:cs="Arial"/>
          <w:sz w:val="16"/>
          <w:szCs w:val="16"/>
          <w:rtl/>
        </w:rPr>
        <w:t>ח"א סי' לה</w:t>
      </w:r>
      <w:r w:rsidRPr="00103C93">
        <w:rPr>
          <w:rFonts w:cs="Arial" w:hint="cs"/>
          <w:sz w:val="16"/>
          <w:szCs w:val="16"/>
          <w:rtl/>
        </w:rPr>
        <w:t>)</w:t>
      </w:r>
      <w:r>
        <w:rPr>
          <w:rFonts w:cs="Arial" w:hint="cs"/>
          <w:rtl/>
        </w:rPr>
        <w:t>-</w:t>
      </w:r>
      <w:r w:rsidRPr="00103C93">
        <w:rPr>
          <w:rFonts w:cs="Arial"/>
          <w:rtl/>
        </w:rPr>
        <w:t xml:space="preserve"> מוצי</w:t>
      </w:r>
      <w:r>
        <w:rPr>
          <w:rFonts w:cs="Arial" w:hint="cs"/>
          <w:rtl/>
        </w:rPr>
        <w:t>אים</w:t>
      </w:r>
      <w:r w:rsidRPr="00103C93">
        <w:rPr>
          <w:rFonts w:cs="Arial"/>
          <w:rtl/>
        </w:rPr>
        <w:t xml:space="preserve"> מידו ונותנין לאלמנה</w:t>
      </w:r>
      <w:r>
        <w:rPr>
          <w:rStyle w:val="a7"/>
          <w:rFonts w:cs="Arial"/>
          <w:rtl/>
        </w:rPr>
        <w:footnoteReference w:id="2542"/>
      </w:r>
      <w:r>
        <w:rPr>
          <w:rFonts w:cs="Arial" w:hint="cs"/>
          <w:rtl/>
        </w:rPr>
        <w:t>.</w:t>
      </w:r>
      <w:r w:rsidRPr="00103C93">
        <w:rPr>
          <w:rFonts w:cs="Arial"/>
          <w:rtl/>
        </w:rPr>
        <w:t xml:space="preserve"> </w:t>
      </w:r>
    </w:p>
    <w:p w14:paraId="5468D7CD" w14:textId="77777777" w:rsidR="002E5BAD" w:rsidRPr="0098458B" w:rsidRDefault="002E5BAD" w:rsidP="002E5BAD">
      <w:pPr>
        <w:rPr>
          <w:rFonts w:cs="Arial"/>
          <w:u w:val="single"/>
        </w:rPr>
      </w:pPr>
      <w:r w:rsidRPr="0098458B">
        <w:rPr>
          <w:rFonts w:cs="Arial"/>
          <w:u w:val="single"/>
          <w:rtl/>
        </w:rPr>
        <w:t>מי שמת והיה חייב שכירות למשכיר ונמצאו מטלטלין בתוך הבית</w:t>
      </w:r>
      <w:r w:rsidRPr="0098458B">
        <w:rPr>
          <w:rFonts w:cs="Arial" w:hint="cs"/>
          <w:u w:val="single"/>
          <w:rtl/>
        </w:rPr>
        <w:t xml:space="preserve"> </w:t>
      </w:r>
      <w:r w:rsidRPr="0098458B">
        <w:rPr>
          <w:rFonts w:cs="Arial"/>
          <w:u w:val="single"/>
          <w:rtl/>
        </w:rPr>
        <w:t>–</w:t>
      </w:r>
      <w:r w:rsidRPr="0098458B">
        <w:rPr>
          <w:rFonts w:cs="Arial" w:hint="cs"/>
          <w:u w:val="single"/>
          <w:rtl/>
        </w:rPr>
        <w:t xml:space="preserve"> מי קודם לגבות מה</w:t>
      </w:r>
      <w:r>
        <w:rPr>
          <w:rFonts w:cs="Arial" w:hint="cs"/>
          <w:u w:val="single"/>
          <w:rtl/>
        </w:rPr>
        <w:t>ם</w:t>
      </w:r>
      <w:r w:rsidRPr="0098458B">
        <w:rPr>
          <w:rFonts w:cs="Arial" w:hint="cs"/>
          <w:u w:val="single"/>
          <w:rtl/>
        </w:rPr>
        <w:t>:</w:t>
      </w:r>
      <w:r w:rsidRPr="00103C93">
        <w:rPr>
          <w:rFonts w:cs="Arial"/>
          <w:rtl/>
        </w:rPr>
        <w:t xml:space="preserve"> </w:t>
      </w:r>
      <w:r>
        <w:rPr>
          <w:rFonts w:cs="Arial" w:hint="cs"/>
          <w:sz w:val="16"/>
          <w:szCs w:val="16"/>
          <w:rtl/>
        </w:rPr>
        <w:t>(באה"ט סק"ד)</w:t>
      </w:r>
    </w:p>
    <w:p w14:paraId="552BC896" w14:textId="77777777" w:rsidR="002E5BAD" w:rsidRPr="00103C93" w:rsidRDefault="002E5BAD" w:rsidP="00B75458">
      <w:pPr>
        <w:pStyle w:val="ab"/>
        <w:numPr>
          <w:ilvl w:val="0"/>
          <w:numId w:val="192"/>
        </w:numPr>
        <w:rPr>
          <w:rFonts w:cs="Arial"/>
          <w:rtl/>
        </w:rPr>
      </w:pPr>
      <w:r w:rsidRPr="0098458B">
        <w:rPr>
          <w:rFonts w:cs="Arial"/>
          <w:rtl/>
        </w:rPr>
        <w:t xml:space="preserve">רשד"ם </w:t>
      </w:r>
      <w:r w:rsidRPr="0098458B">
        <w:rPr>
          <w:rFonts w:cs="Arial" w:hint="cs"/>
          <w:sz w:val="16"/>
          <w:szCs w:val="16"/>
          <w:rtl/>
        </w:rPr>
        <w:t>(</w:t>
      </w:r>
      <w:r w:rsidRPr="0098458B">
        <w:rPr>
          <w:rFonts w:cs="Arial"/>
          <w:sz w:val="16"/>
          <w:szCs w:val="16"/>
          <w:rtl/>
        </w:rPr>
        <w:t>חא"ה סי</w:t>
      </w:r>
      <w:r w:rsidRPr="0098458B">
        <w:rPr>
          <w:rFonts w:cs="Arial" w:hint="cs"/>
          <w:sz w:val="16"/>
          <w:szCs w:val="16"/>
          <w:rtl/>
        </w:rPr>
        <w:t>'</w:t>
      </w:r>
      <w:r w:rsidRPr="0098458B">
        <w:rPr>
          <w:rFonts w:cs="Arial"/>
          <w:sz w:val="16"/>
          <w:szCs w:val="16"/>
          <w:rtl/>
        </w:rPr>
        <w:t xml:space="preserve"> קפג</w:t>
      </w:r>
      <w:r w:rsidRPr="0098458B">
        <w:rPr>
          <w:rFonts w:cs="Arial" w:hint="cs"/>
          <w:sz w:val="16"/>
          <w:szCs w:val="16"/>
          <w:rtl/>
        </w:rPr>
        <w:t>)</w:t>
      </w:r>
      <w:r>
        <w:rPr>
          <w:rFonts w:cs="Arial" w:hint="cs"/>
          <w:rtl/>
        </w:rPr>
        <w:t xml:space="preserve">- </w:t>
      </w:r>
      <w:r w:rsidRPr="0098458B">
        <w:rPr>
          <w:rFonts w:cs="Arial"/>
          <w:rtl/>
        </w:rPr>
        <w:t>מי שמת והיה חייב שכירות למשכיר ונמצאו מטלטלין בתוך הבית</w:t>
      </w:r>
      <w:r>
        <w:rPr>
          <w:rFonts w:cs="Arial" w:hint="cs"/>
          <w:rtl/>
        </w:rPr>
        <w:t xml:space="preserve"> -</w:t>
      </w:r>
      <w:r w:rsidRPr="0098458B">
        <w:rPr>
          <w:rFonts w:cs="Arial"/>
          <w:rtl/>
        </w:rPr>
        <w:t xml:space="preserve"> המשכיר קודם לאלמנה אף אם כתב בכתובה מטלטלי אג"ק וזמן הכתובה קודם לשכירות המשכיר</w:t>
      </w:r>
      <w:r>
        <w:rPr>
          <w:rStyle w:val="a7"/>
          <w:rFonts w:cs="Arial"/>
          <w:rtl/>
        </w:rPr>
        <w:footnoteReference w:id="2543"/>
      </w:r>
      <w:r>
        <w:rPr>
          <w:rFonts w:cs="Arial" w:hint="cs"/>
          <w:rtl/>
        </w:rPr>
        <w:t>.</w:t>
      </w:r>
      <w:r w:rsidRPr="0098458B">
        <w:rPr>
          <w:rFonts w:cs="Arial"/>
          <w:rtl/>
        </w:rPr>
        <w:t xml:space="preserve"> </w:t>
      </w:r>
    </w:p>
    <w:p w14:paraId="0BBAF8AA" w14:textId="77777777" w:rsidR="002E5BAD" w:rsidRPr="000904BE" w:rsidRDefault="002E5BAD" w:rsidP="002E5BAD">
      <w:pPr>
        <w:rPr>
          <w:rFonts w:cs="Arial"/>
          <w:rtl/>
        </w:rPr>
      </w:pPr>
    </w:p>
    <w:p w14:paraId="1EE240E4" w14:textId="77777777" w:rsidR="002E5BAD" w:rsidRDefault="002E5BAD" w:rsidP="002E5BAD">
      <w:pPr>
        <w:pStyle w:val="2"/>
        <w:rPr>
          <w:rtl/>
        </w:rPr>
      </w:pPr>
      <w:r w:rsidRPr="000904BE">
        <w:rPr>
          <w:rtl/>
        </w:rPr>
        <w:lastRenderedPageBreak/>
        <w:t>סעיף ג</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Pr>
          <w:rtl/>
        </w:rPr>
        <w:t>–</w:t>
      </w:r>
      <w:r>
        <w:rPr>
          <w:rFonts w:hint="cs"/>
          <w:rtl/>
        </w:rPr>
        <w:t xml:space="preserve"> ואין בנכסים כדי פריעת שניהם.</w:t>
      </w:r>
    </w:p>
    <w:p w14:paraId="68E027F8" w14:textId="77777777" w:rsidR="002E5BAD" w:rsidRPr="00407C0D" w:rsidRDefault="002E5BAD" w:rsidP="002E5BAD">
      <w:pPr>
        <w:rPr>
          <w:rFonts w:cs="Arial"/>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w:t>
      </w:r>
      <w:r>
        <w:rPr>
          <w:rStyle w:val="a7"/>
          <w:rFonts w:cs="Arial"/>
          <w:rtl/>
        </w:rPr>
        <w:footnoteReference w:id="2544"/>
      </w:r>
      <w:r w:rsidRPr="00DC4A1A">
        <w:rPr>
          <w:rFonts w:cs="Arial"/>
          <w:rtl/>
        </w:rPr>
        <w:t xml:space="preserve">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2545"/>
      </w:r>
      <w:r w:rsidRPr="00DC4A1A">
        <w:rPr>
          <w:rFonts w:cs="Arial"/>
          <w:rtl/>
        </w:rPr>
        <w:t>, לאשה לא יהבינן לה, מאי טעמא? יותר ממה שהאיש רוצה לישא - אשה רוצה להנשא</w:t>
      </w:r>
      <w:r>
        <w:rPr>
          <w:rStyle w:val="a7"/>
          <w:rFonts w:cs="Arial"/>
          <w:rtl/>
        </w:rPr>
        <w:footnoteReference w:id="2546"/>
      </w:r>
      <w:r w:rsidRPr="00DC4A1A">
        <w:rPr>
          <w:rFonts w:cs="Arial"/>
          <w:rtl/>
        </w:rPr>
        <w:t>.</w:t>
      </w:r>
    </w:p>
    <w:p w14:paraId="7A6A3752" w14:textId="77777777" w:rsidR="002E5BAD" w:rsidRPr="00AE2D77" w:rsidRDefault="002E5BAD" w:rsidP="002E5BAD">
      <w:pPr>
        <w:rPr>
          <w:u w:val="single"/>
          <w:rtl/>
        </w:rPr>
      </w:pPr>
      <w:r w:rsidRPr="00AE2D77">
        <w:rPr>
          <w:rFonts w:hint="cs"/>
          <w:u w:val="single"/>
          <w:rtl/>
        </w:rPr>
        <w:t>אלמנה ובעל חוב ש</w:t>
      </w:r>
      <w:r>
        <w:rPr>
          <w:rFonts w:hint="cs"/>
          <w:u w:val="single"/>
          <w:rtl/>
        </w:rPr>
        <w:t xml:space="preserve">זמן </w:t>
      </w:r>
      <w:r w:rsidRPr="00AE2D77">
        <w:rPr>
          <w:rFonts w:hint="cs"/>
          <w:u w:val="single"/>
          <w:rtl/>
        </w:rPr>
        <w:t xml:space="preserve">שיעבודם </w:t>
      </w:r>
      <w:r>
        <w:rPr>
          <w:rFonts w:hint="cs"/>
          <w:u w:val="single"/>
          <w:rtl/>
        </w:rPr>
        <w:t>שוה</w:t>
      </w:r>
      <w:r w:rsidRPr="00AE2D77">
        <w:rPr>
          <w:rFonts w:hint="cs"/>
          <w:u w:val="single"/>
          <w:rtl/>
        </w:rPr>
        <w:t xml:space="preserve"> </w:t>
      </w:r>
      <w:r w:rsidRPr="00AE2D77">
        <w:rPr>
          <w:u w:val="single"/>
          <w:rtl/>
        </w:rPr>
        <w:t>–</w:t>
      </w:r>
      <w:r w:rsidRPr="00AE2D77">
        <w:rPr>
          <w:rFonts w:hint="cs"/>
          <w:u w:val="single"/>
          <w:rtl/>
        </w:rPr>
        <w:t xml:space="preserve"> </w:t>
      </w:r>
      <w:r w:rsidRPr="00033E31">
        <w:rPr>
          <w:rFonts w:hint="cs"/>
          <w:u w:val="single"/>
          <w:rtl/>
        </w:rPr>
        <w:t>ואין בנכסים כדי פריעת שניהם</w:t>
      </w:r>
      <w:r w:rsidRPr="00AE2D77">
        <w:rPr>
          <w:rFonts w:hint="cs"/>
          <w:u w:val="single"/>
          <w:rtl/>
        </w:rPr>
        <w:t>:</w:t>
      </w:r>
    </w:p>
    <w:p w14:paraId="57D94A03" w14:textId="77777777" w:rsidR="002E5BAD" w:rsidRDefault="002E5BAD" w:rsidP="00B75458">
      <w:pPr>
        <w:pStyle w:val="ab"/>
        <w:numPr>
          <w:ilvl w:val="0"/>
          <w:numId w:val="192"/>
        </w:numPr>
        <w:rPr>
          <w:rFonts w:cs="Arial"/>
        </w:rPr>
      </w:pPr>
      <w:r w:rsidRPr="000E19D1">
        <w:rPr>
          <w:rFonts w:cs="Arial"/>
          <w:rtl/>
        </w:rPr>
        <w:t>איכא</w:t>
      </w:r>
      <w:r w:rsidRPr="000E19D1">
        <w:rPr>
          <w:rFonts w:cs="Arial" w:hint="cs"/>
          <w:rtl/>
        </w:rPr>
        <w:t xml:space="preserve"> </w:t>
      </w:r>
      <w:r w:rsidRPr="000E19D1">
        <w:rPr>
          <w:rFonts w:cs="Arial"/>
          <w:rtl/>
        </w:rPr>
        <w:t>מ</w:t>
      </w:r>
      <w:r w:rsidRPr="000E19D1">
        <w:rPr>
          <w:rFonts w:cs="Arial" w:hint="cs"/>
          <w:rtl/>
        </w:rPr>
        <w:t>אן דאמר</w:t>
      </w:r>
      <w:r w:rsidRPr="000E19D1">
        <w:rPr>
          <w:rFonts w:cs="Arial" w:hint="cs"/>
          <w:sz w:val="16"/>
          <w:szCs w:val="16"/>
          <w:rtl/>
        </w:rPr>
        <w:t xml:space="preserve"> (הביאו הרי"ף מה:)</w:t>
      </w:r>
      <w:r w:rsidRPr="000E19D1">
        <w:rPr>
          <w:rFonts w:cs="Arial" w:hint="cs"/>
          <w:rtl/>
        </w:rPr>
        <w:t>-</w:t>
      </w:r>
      <w:r w:rsidRPr="000E19D1">
        <w:rPr>
          <w:rFonts w:cs="Arial"/>
          <w:rtl/>
        </w:rPr>
        <w:t xml:space="preserve"> הא דאמימר ליתא אלא בשטר כתובה ושטר חוב יוצאין ביום אחד</w:t>
      </w:r>
      <w:r w:rsidRPr="000E19D1">
        <w:rPr>
          <w:rFonts w:cs="Arial" w:hint="cs"/>
          <w:rtl/>
        </w:rPr>
        <w:t>,</w:t>
      </w:r>
      <w:r w:rsidRPr="000E19D1">
        <w:rPr>
          <w:rFonts w:cs="Arial"/>
          <w:rtl/>
        </w:rPr>
        <w:t xml:space="preserve"> דדיינינן בהו שודא דדייני</w:t>
      </w:r>
      <w:r w:rsidRPr="000E19D1">
        <w:rPr>
          <w:rFonts w:cs="Arial" w:hint="cs"/>
          <w:rtl/>
        </w:rPr>
        <w:t>,</w:t>
      </w:r>
      <w:r w:rsidRPr="000E19D1">
        <w:rPr>
          <w:rFonts w:cs="Arial"/>
          <w:rtl/>
        </w:rPr>
        <w:t xml:space="preserve"> ואשמועינן אמימר דהיכא דחד מינייהו בעל חוב וחד כתובת אשה לא אמרינן שודא דדייני בהא מילתא</w:t>
      </w:r>
      <w:r w:rsidRPr="000E19D1">
        <w:rPr>
          <w:rFonts w:cs="Arial" w:hint="cs"/>
          <w:rtl/>
        </w:rPr>
        <w:t>,</w:t>
      </w:r>
      <w:r w:rsidRPr="000E19D1">
        <w:rPr>
          <w:rFonts w:cs="Arial"/>
          <w:rtl/>
        </w:rPr>
        <w:t xml:space="preserve"> דלבעל חוב יהבינן לאשה לא יהבינן</w:t>
      </w:r>
      <w:r w:rsidRPr="000E19D1">
        <w:rPr>
          <w:rFonts w:cs="Arial" w:hint="cs"/>
          <w:rtl/>
        </w:rPr>
        <w:t>,</w:t>
      </w:r>
      <w:r w:rsidRPr="000E19D1">
        <w:rPr>
          <w:rFonts w:cs="Arial"/>
          <w:rtl/>
        </w:rPr>
        <w:t xml:space="preserve"> דיותר משהאיש רוצה לישא וכו'</w:t>
      </w:r>
      <w:r w:rsidRPr="000E19D1">
        <w:rPr>
          <w:rFonts w:cs="Arial" w:hint="cs"/>
          <w:rtl/>
        </w:rPr>
        <w:t>.</w:t>
      </w:r>
      <w:r w:rsidRPr="000E19D1">
        <w:rPr>
          <w:rFonts w:cs="Arial"/>
          <w:rtl/>
        </w:rPr>
        <w:t xml:space="preserve"> אבל היכא דשטר חוב וכתובה כגון לוה ולוה ואח"כ קנה</w:t>
      </w:r>
      <w:r w:rsidRPr="000E19D1">
        <w:rPr>
          <w:rFonts w:cs="Arial" w:hint="cs"/>
          <w:rtl/>
        </w:rPr>
        <w:t>,</w:t>
      </w:r>
      <w:r w:rsidRPr="000E19D1">
        <w:rPr>
          <w:rFonts w:cs="Arial"/>
          <w:rtl/>
        </w:rPr>
        <w:t xml:space="preserve"> אי נמי מטלטלין בזמן הזה דקיימא לן חולקין </w:t>
      </w:r>
      <w:r w:rsidRPr="000E19D1">
        <w:rPr>
          <w:rFonts w:cs="Arial" w:hint="cs"/>
          <w:rtl/>
        </w:rPr>
        <w:t xml:space="preserve">- </w:t>
      </w:r>
      <w:r w:rsidRPr="000E19D1">
        <w:rPr>
          <w:rFonts w:cs="Arial"/>
          <w:rtl/>
        </w:rPr>
        <w:t>לא אמרינן בכי הא מילתא לבעל חוב יהבינן לאשה לא יהבינן</w:t>
      </w:r>
      <w:r w:rsidRPr="000E19D1">
        <w:rPr>
          <w:rFonts w:cs="Arial" w:hint="cs"/>
          <w:rtl/>
        </w:rPr>
        <w:t>,</w:t>
      </w:r>
      <w:r w:rsidRPr="000E19D1">
        <w:rPr>
          <w:rFonts w:cs="Arial"/>
          <w:rtl/>
        </w:rPr>
        <w:t xml:space="preserve"> דהא לאו שודא דדייני הוא</w:t>
      </w:r>
      <w:r w:rsidRPr="000E19D1">
        <w:rPr>
          <w:rFonts w:cs="Arial" w:hint="cs"/>
          <w:rtl/>
        </w:rPr>
        <w:t>,</w:t>
      </w:r>
      <w:r w:rsidRPr="000E19D1">
        <w:rPr>
          <w:rFonts w:cs="Arial"/>
          <w:rtl/>
        </w:rPr>
        <w:t xml:space="preserve"> הילכך כתובה ושטר חוב חולקים כבעלי חובות</w:t>
      </w:r>
      <w:r>
        <w:rPr>
          <w:rStyle w:val="a7"/>
          <w:rFonts w:cs="Arial"/>
          <w:rtl/>
        </w:rPr>
        <w:footnoteReference w:id="2547"/>
      </w:r>
      <w:r w:rsidRPr="000E19D1">
        <w:rPr>
          <w:rFonts w:cs="Arial" w:hint="cs"/>
          <w:sz w:val="16"/>
          <w:szCs w:val="16"/>
          <w:rtl/>
        </w:rPr>
        <w:t xml:space="preserve"> (ל' הרי"ף בשמו)</w:t>
      </w:r>
      <w:r w:rsidRPr="000E19D1">
        <w:rPr>
          <w:rFonts w:cs="Arial" w:hint="cs"/>
          <w:rtl/>
        </w:rPr>
        <w:t>.</w:t>
      </w:r>
      <w:r w:rsidRPr="000E19D1">
        <w:rPr>
          <w:rFonts w:cs="Arial"/>
          <w:rtl/>
        </w:rPr>
        <w:t xml:space="preserve"> </w:t>
      </w:r>
    </w:p>
    <w:p w14:paraId="45F92D6E" w14:textId="77777777" w:rsidR="002E5BAD" w:rsidRPr="00E83275" w:rsidRDefault="002E5BAD" w:rsidP="00B75458">
      <w:pPr>
        <w:pStyle w:val="ab"/>
        <w:numPr>
          <w:ilvl w:val="0"/>
          <w:numId w:val="192"/>
        </w:numPr>
      </w:pPr>
      <w:r w:rsidRPr="000E19D1">
        <w:rPr>
          <w:rFonts w:cs="Arial"/>
          <w:rtl/>
        </w:rPr>
        <w:t>רי"ף</w:t>
      </w:r>
      <w:r w:rsidRPr="000E19D1">
        <w:rPr>
          <w:rFonts w:cs="Arial"/>
          <w:sz w:val="16"/>
          <w:szCs w:val="16"/>
          <w:rtl/>
        </w:rPr>
        <w:t xml:space="preserve"> (מה:)</w:t>
      </w:r>
      <w:r>
        <w:rPr>
          <w:rFonts w:hint="cs"/>
          <w:rtl/>
        </w:rPr>
        <w:t xml:space="preserve"> רמב"ם </w:t>
      </w:r>
      <w:r>
        <w:rPr>
          <w:rFonts w:hint="cs"/>
          <w:sz w:val="16"/>
          <w:szCs w:val="16"/>
          <w:rtl/>
        </w:rPr>
        <w:t>(פי"ז ה"ה-ו)</w:t>
      </w:r>
      <w:r>
        <w:rPr>
          <w:rFonts w:hint="cs"/>
          <w:rtl/>
        </w:rPr>
        <w:t xml:space="preserve"> 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ואם זמן שניהם שוין</w:t>
      </w:r>
      <w:r>
        <w:rPr>
          <w:rFonts w:cs="Arial" w:hint="cs"/>
          <w:rtl/>
        </w:rPr>
        <w:t>,</w:t>
      </w:r>
      <w:r w:rsidRPr="00A167C1">
        <w:rPr>
          <w:rFonts w:cs="Arial"/>
          <w:rtl/>
        </w:rPr>
        <w:t xml:space="preserve"> או שנשא ולוה ואח"כ קנה</w:t>
      </w:r>
      <w:r>
        <w:rPr>
          <w:rFonts w:cs="Arial" w:hint="cs"/>
          <w:rtl/>
        </w:rPr>
        <w:t>,</w:t>
      </w:r>
      <w:r w:rsidRPr="00A167C1">
        <w:rPr>
          <w:rFonts w:cs="Arial"/>
          <w:rtl/>
        </w:rPr>
        <w:t xml:space="preserve"> או שלוה ונשא ואח"כ קנה</w:t>
      </w:r>
      <w:r>
        <w:rPr>
          <w:rFonts w:cs="Arial" w:hint="cs"/>
          <w:rtl/>
        </w:rPr>
        <w:t>,</w:t>
      </w:r>
      <w:r w:rsidRPr="00A167C1">
        <w:rPr>
          <w:rFonts w:cs="Arial"/>
          <w:rtl/>
        </w:rPr>
        <w:t xml:space="preserve"> שחל שיעבודם כאחד משעה שקנה</w:t>
      </w:r>
      <w:r>
        <w:rPr>
          <w:rFonts w:cs="Arial" w:hint="cs"/>
          <w:rtl/>
        </w:rPr>
        <w:t>,</w:t>
      </w:r>
      <w:r w:rsidRPr="00A167C1">
        <w:rPr>
          <w:rFonts w:cs="Arial"/>
          <w:rtl/>
        </w:rPr>
        <w:t xml:space="preserve"> בין אם הניח מקרקעי או מטלטלי </w:t>
      </w:r>
      <w:r>
        <w:rPr>
          <w:rFonts w:cs="Arial" w:hint="cs"/>
          <w:rtl/>
        </w:rPr>
        <w:t xml:space="preserve">- </w:t>
      </w:r>
      <w:r w:rsidRPr="00A167C1">
        <w:rPr>
          <w:rFonts w:cs="Arial"/>
          <w:rtl/>
        </w:rPr>
        <w:t>ינתנו לב"ח ותדחה האשה</w:t>
      </w:r>
      <w:r>
        <w:rPr>
          <w:rStyle w:val="a7"/>
          <w:rFonts w:cs="Arial"/>
          <w:rtl/>
        </w:rPr>
        <w:footnoteReference w:id="2548"/>
      </w:r>
      <w:r>
        <w:rPr>
          <w:rFonts w:cs="Arial" w:hint="cs"/>
          <w:rtl/>
        </w:rPr>
        <w:t>.</w:t>
      </w:r>
      <w:r w:rsidRPr="00E83275">
        <w:rPr>
          <w:rFonts w:cs="Arial"/>
          <w:color w:val="E36C0A" w:themeColor="accent6" w:themeShade="BF"/>
          <w:rtl/>
        </w:rPr>
        <w:t xml:space="preserve"> </w:t>
      </w:r>
      <w:r w:rsidRPr="00E83275">
        <w:rPr>
          <w:rFonts w:hint="cs"/>
          <w:color w:val="E36C0A" w:themeColor="accent6" w:themeShade="BF"/>
          <w:rtl/>
        </w:rPr>
        <w:t>(וכ"פ בשו"ע)</w:t>
      </w:r>
    </w:p>
    <w:p w14:paraId="0350B4B9" w14:textId="77777777" w:rsidR="002E5BAD" w:rsidRPr="00DD6409" w:rsidRDefault="002E5BAD" w:rsidP="002E5BAD">
      <w:pPr>
        <w:ind w:left="360"/>
        <w:rPr>
          <w:u w:val="dotted"/>
        </w:rPr>
      </w:pPr>
      <w:r w:rsidRPr="00DD6409">
        <w:rPr>
          <w:rFonts w:hint="cs"/>
          <w:u w:val="dotted"/>
          <w:rtl/>
        </w:rPr>
        <w:t>ומה הדין אם קדמה האשה ותפשה:</w:t>
      </w:r>
    </w:p>
    <w:p w14:paraId="4A31D5ED" w14:textId="77777777" w:rsidR="002E5BAD" w:rsidRDefault="002E5BAD" w:rsidP="00B75458">
      <w:pPr>
        <w:pStyle w:val="ab"/>
        <w:numPr>
          <w:ilvl w:val="0"/>
          <w:numId w:val="192"/>
        </w:numPr>
      </w:pPr>
      <w:r>
        <w:rPr>
          <w:rFonts w:hint="cs"/>
          <w:rtl/>
        </w:rPr>
        <w:t xml:space="preserve">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ואם קדמה האשה ותפשה קרקע</w:t>
      </w:r>
      <w:r>
        <w:rPr>
          <w:rFonts w:cs="Arial" w:hint="cs"/>
          <w:rtl/>
        </w:rPr>
        <w:t>,</w:t>
      </w:r>
      <w:r w:rsidRPr="00A167C1">
        <w:rPr>
          <w:rFonts w:cs="Arial"/>
          <w:rtl/>
        </w:rPr>
        <w:t xml:space="preserve"> אם קדמה וגבתה בב"ד</w:t>
      </w:r>
      <w:r>
        <w:rPr>
          <w:rFonts w:cs="Arial" w:hint="cs"/>
          <w:rtl/>
        </w:rPr>
        <w:t>,</w:t>
      </w:r>
      <w:r w:rsidRPr="00A167C1">
        <w:rPr>
          <w:rFonts w:cs="Arial"/>
          <w:rtl/>
        </w:rPr>
        <w:t xml:space="preserve"> כגון שהגבוה בית דין קודם שידעו שהיה שם ב"ח </w:t>
      </w:r>
      <w:r>
        <w:rPr>
          <w:rFonts w:cs="Arial" w:hint="cs"/>
          <w:rtl/>
        </w:rPr>
        <w:t xml:space="preserve">- </w:t>
      </w:r>
      <w:r w:rsidRPr="00A167C1">
        <w:rPr>
          <w:rFonts w:cs="Arial"/>
          <w:rtl/>
        </w:rPr>
        <w:t>אין מוציאין מידה</w:t>
      </w:r>
      <w:r>
        <w:rPr>
          <w:rFonts w:cs="Arial" w:hint="cs"/>
          <w:rtl/>
        </w:rPr>
        <w:t>.</w:t>
      </w:r>
      <w:r w:rsidRPr="00A167C1">
        <w:rPr>
          <w:rFonts w:cs="Arial"/>
          <w:rtl/>
        </w:rPr>
        <w:t xml:space="preserve"> אבל אם גבתה מעצמה</w:t>
      </w:r>
      <w:r>
        <w:rPr>
          <w:rFonts w:cs="Arial" w:hint="cs"/>
          <w:rtl/>
        </w:rPr>
        <w:t>,</w:t>
      </w:r>
      <w:r w:rsidRPr="00A167C1">
        <w:rPr>
          <w:rFonts w:cs="Arial"/>
          <w:rtl/>
        </w:rPr>
        <w:t xml:space="preserve"> אפי' ע"י שומא דליכא למימר מאן שם לך </w:t>
      </w:r>
      <w:r>
        <w:rPr>
          <w:rFonts w:cs="Arial" w:hint="cs"/>
          <w:rtl/>
        </w:rPr>
        <w:t xml:space="preserve">- </w:t>
      </w:r>
      <w:r w:rsidRPr="00A167C1">
        <w:rPr>
          <w:rFonts w:cs="Arial"/>
          <w:rtl/>
        </w:rPr>
        <w:t>מפקינן מינה</w:t>
      </w:r>
      <w:r>
        <w:rPr>
          <w:rFonts w:cs="Arial" w:hint="cs"/>
          <w:rtl/>
        </w:rPr>
        <w:t>.</w:t>
      </w:r>
      <w:r w:rsidRPr="00A167C1">
        <w:rPr>
          <w:rFonts w:cs="Arial"/>
          <w:rtl/>
        </w:rPr>
        <w:t xml:space="preserve"> ואם קדמה ותפשה מטלטלין</w:t>
      </w:r>
      <w:r>
        <w:rPr>
          <w:rFonts w:cs="Arial" w:hint="cs"/>
          <w:rtl/>
        </w:rPr>
        <w:t>,</w:t>
      </w:r>
      <w:r w:rsidRPr="00A167C1">
        <w:rPr>
          <w:rFonts w:cs="Arial"/>
          <w:rtl/>
        </w:rPr>
        <w:t xml:space="preserve"> אפילו שלא בב"ד </w:t>
      </w:r>
      <w:r>
        <w:rPr>
          <w:rFonts w:cs="Arial" w:hint="cs"/>
          <w:rtl/>
        </w:rPr>
        <w:t xml:space="preserve">- </w:t>
      </w:r>
      <w:r w:rsidRPr="00A167C1">
        <w:rPr>
          <w:rFonts w:cs="Arial"/>
          <w:rtl/>
        </w:rPr>
        <w:t>לא מפקינן מינה</w:t>
      </w:r>
      <w:r>
        <w:rPr>
          <w:rFonts w:cs="Arial" w:hint="cs"/>
          <w:sz w:val="16"/>
          <w:szCs w:val="16"/>
          <w:rtl/>
        </w:rPr>
        <w:t xml:space="preserve"> (ל' הטור)</w:t>
      </w:r>
      <w:r>
        <w:rPr>
          <w:rFonts w:cs="Arial" w:hint="cs"/>
          <w:rtl/>
        </w:rPr>
        <w:t>.</w:t>
      </w:r>
      <w:r w:rsidRPr="00A167C1">
        <w:rPr>
          <w:rFonts w:cs="Arial"/>
          <w:rtl/>
        </w:rPr>
        <w:t xml:space="preserve"> </w:t>
      </w:r>
      <w:r w:rsidRPr="00E83275">
        <w:rPr>
          <w:rFonts w:hint="cs"/>
          <w:color w:val="E36C0A" w:themeColor="accent6" w:themeShade="BF"/>
          <w:rtl/>
        </w:rPr>
        <w:t>(וכ"פ בשו"ע)</w:t>
      </w:r>
    </w:p>
    <w:p w14:paraId="74E8D231" w14:textId="77777777" w:rsidR="002E5BAD" w:rsidRPr="001C1C7A" w:rsidRDefault="002E5BAD" w:rsidP="00B75458">
      <w:pPr>
        <w:pStyle w:val="ab"/>
        <w:numPr>
          <w:ilvl w:val="0"/>
          <w:numId w:val="192"/>
        </w:numPr>
        <w:rPr>
          <w:rFonts w:cs="Arial"/>
          <w:rtl/>
        </w:rPr>
      </w:pPr>
      <w:r w:rsidRPr="001C1C7A">
        <w:rPr>
          <w:rFonts w:cs="Arial"/>
          <w:rtl/>
        </w:rPr>
        <w:t>רמב"ן</w:t>
      </w:r>
      <w:r>
        <w:rPr>
          <w:rFonts w:cs="Arial" w:hint="cs"/>
          <w:sz w:val="16"/>
          <w:szCs w:val="16"/>
          <w:rtl/>
        </w:rPr>
        <w:t xml:space="preserve"> (כ"כ הרא"ש [שם] בשמו)</w:t>
      </w:r>
      <w:r>
        <w:rPr>
          <w:rFonts w:cs="Arial" w:hint="cs"/>
          <w:rtl/>
        </w:rPr>
        <w:t>-</w:t>
      </w:r>
      <w:r w:rsidRPr="001C1C7A">
        <w:rPr>
          <w:rFonts w:cs="Arial"/>
          <w:rtl/>
        </w:rPr>
        <w:t xml:space="preserve"> לוה ולוה ואחר כך קנה דאמרינן חולקין</w:t>
      </w:r>
      <w:r>
        <w:rPr>
          <w:rFonts w:cs="Arial" w:hint="cs"/>
          <w:rtl/>
        </w:rPr>
        <w:t>,</w:t>
      </w:r>
      <w:r w:rsidRPr="001C1C7A">
        <w:rPr>
          <w:rFonts w:cs="Arial"/>
          <w:rtl/>
        </w:rPr>
        <w:t xml:space="preserve"> אם קדם אחד מהם ותפס הכל </w:t>
      </w:r>
      <w:r>
        <w:rPr>
          <w:rFonts w:cs="Arial" w:hint="cs"/>
          <w:rtl/>
        </w:rPr>
        <w:t xml:space="preserve">- </w:t>
      </w:r>
      <w:r w:rsidRPr="001C1C7A">
        <w:rPr>
          <w:rFonts w:cs="Arial"/>
          <w:rtl/>
        </w:rPr>
        <w:t>אין מוציאין מידו</w:t>
      </w:r>
      <w:r>
        <w:rPr>
          <w:rFonts w:cs="Arial" w:hint="cs"/>
          <w:rtl/>
        </w:rPr>
        <w:t>.</w:t>
      </w:r>
      <w:r w:rsidRPr="001C1C7A">
        <w:rPr>
          <w:rFonts w:cs="Arial"/>
          <w:rtl/>
        </w:rPr>
        <w:t xml:space="preserve"> לפי שלא אמרו חכמים אלא בעל חוב מאוחר שקדם וגבה מה שגבה לא גבה</w:t>
      </w:r>
      <w:r>
        <w:rPr>
          <w:rFonts w:cs="Arial" w:hint="cs"/>
          <w:rtl/>
        </w:rPr>
        <w:t>,</w:t>
      </w:r>
      <w:r w:rsidRPr="001C1C7A">
        <w:rPr>
          <w:rFonts w:cs="Arial"/>
          <w:rtl/>
        </w:rPr>
        <w:t xml:space="preserve"> ואף בזו נחלקו</w:t>
      </w:r>
      <w:r>
        <w:rPr>
          <w:rFonts w:cs="Arial" w:hint="cs"/>
          <w:rtl/>
        </w:rPr>
        <w:t>.</w:t>
      </w:r>
      <w:r w:rsidRPr="001C1C7A">
        <w:rPr>
          <w:rFonts w:cs="Arial"/>
          <w:rtl/>
        </w:rPr>
        <w:t xml:space="preserve"> אבל בששניהן שוים לכולי עלמא אין מוציאין מידו</w:t>
      </w:r>
      <w:r>
        <w:rPr>
          <w:rStyle w:val="a7"/>
          <w:rFonts w:cs="Arial"/>
          <w:rtl/>
        </w:rPr>
        <w:footnoteReference w:id="2549"/>
      </w:r>
      <w:r>
        <w:rPr>
          <w:rFonts w:cs="Arial" w:hint="cs"/>
          <w:rtl/>
        </w:rPr>
        <w:t>.</w:t>
      </w:r>
    </w:p>
    <w:p w14:paraId="22D4A4A1" w14:textId="77777777" w:rsidR="002E5BAD" w:rsidRDefault="002E5BAD" w:rsidP="00B75458">
      <w:pPr>
        <w:pStyle w:val="ab"/>
        <w:numPr>
          <w:ilvl w:val="0"/>
          <w:numId w:val="192"/>
        </w:numPr>
        <w:rPr>
          <w:rFonts w:cs="Arial"/>
        </w:rPr>
      </w:pPr>
      <w:r w:rsidRPr="001C1C7A">
        <w:rPr>
          <w:rFonts w:cs="Arial"/>
          <w:rtl/>
        </w:rPr>
        <w:t>ה"ר יונה</w:t>
      </w:r>
      <w:r>
        <w:rPr>
          <w:rFonts w:cs="Arial" w:hint="cs"/>
          <w:rtl/>
        </w:rPr>
        <w:t xml:space="preserve"> </w:t>
      </w:r>
      <w:r>
        <w:rPr>
          <w:rFonts w:cs="Arial" w:hint="cs"/>
          <w:sz w:val="16"/>
          <w:szCs w:val="16"/>
          <w:rtl/>
        </w:rPr>
        <w:t>(כ"כ הרא"ש [שם] בשמו)</w:t>
      </w:r>
      <w:r>
        <w:rPr>
          <w:rFonts w:cs="Arial" w:hint="cs"/>
          <w:rtl/>
        </w:rPr>
        <w:t>-</w:t>
      </w:r>
      <w:r w:rsidRPr="001C1C7A">
        <w:rPr>
          <w:rFonts w:cs="Arial"/>
          <w:rtl/>
        </w:rPr>
        <w:t xml:space="preserve"> הא דאמרינן אם לוה ולוה ואח"כ קנה חולקין</w:t>
      </w:r>
      <w:r>
        <w:rPr>
          <w:rFonts w:cs="Arial" w:hint="cs"/>
          <w:rtl/>
        </w:rPr>
        <w:t>,</w:t>
      </w:r>
      <w:r w:rsidRPr="001C1C7A">
        <w:rPr>
          <w:rFonts w:cs="Arial"/>
          <w:rtl/>
        </w:rPr>
        <w:t xml:space="preserve"> וכן בכל המקומות שאמרו בתלמוד חולקין</w:t>
      </w:r>
      <w:r>
        <w:rPr>
          <w:rFonts w:cs="Arial" w:hint="cs"/>
          <w:rtl/>
        </w:rPr>
        <w:t>,</w:t>
      </w:r>
      <w:r w:rsidRPr="001C1C7A">
        <w:rPr>
          <w:rFonts w:cs="Arial"/>
          <w:rtl/>
        </w:rPr>
        <w:t xml:space="preserve"> אם קדם האחד וגבה </w:t>
      </w:r>
      <w:r>
        <w:rPr>
          <w:rFonts w:cs="Arial" w:hint="cs"/>
          <w:rtl/>
        </w:rPr>
        <w:t xml:space="preserve">- </w:t>
      </w:r>
      <w:r w:rsidRPr="001C1C7A">
        <w:rPr>
          <w:rFonts w:cs="Arial"/>
          <w:rtl/>
        </w:rPr>
        <w:t>מה שגבה גבה</w:t>
      </w:r>
      <w:r>
        <w:rPr>
          <w:rFonts w:cs="Arial" w:hint="cs"/>
          <w:rtl/>
        </w:rPr>
        <w:t>.</w:t>
      </w:r>
      <w:r w:rsidRPr="001C1C7A">
        <w:rPr>
          <w:rFonts w:cs="Arial"/>
          <w:rtl/>
        </w:rPr>
        <w:t xml:space="preserve"> ואע</w:t>
      </w:r>
      <w:r>
        <w:rPr>
          <w:rFonts w:cs="Arial" w:hint="cs"/>
          <w:rtl/>
        </w:rPr>
        <w:t>"</w:t>
      </w:r>
      <w:r w:rsidRPr="001C1C7A">
        <w:rPr>
          <w:rFonts w:cs="Arial"/>
          <w:rtl/>
        </w:rPr>
        <w:t>ג דאמרינן בעל חוב מאוחר שקדם וגבה מה שגבה לא גבה הני מילי מאוחר</w:t>
      </w:r>
      <w:r>
        <w:rPr>
          <w:rFonts w:cs="Arial" w:hint="cs"/>
          <w:rtl/>
        </w:rPr>
        <w:t>,</w:t>
      </w:r>
      <w:r w:rsidRPr="001C1C7A">
        <w:rPr>
          <w:rFonts w:cs="Arial"/>
          <w:rtl/>
        </w:rPr>
        <w:t xml:space="preserve"> אבל זה שיש בו זכות קצת מה שגבה גבה</w:t>
      </w:r>
      <w:r>
        <w:rPr>
          <w:rFonts w:cs="Arial" w:hint="cs"/>
          <w:rtl/>
        </w:rPr>
        <w:t>.</w:t>
      </w:r>
      <w:r w:rsidRPr="001C1C7A">
        <w:rPr>
          <w:rFonts w:cs="Arial"/>
          <w:rtl/>
        </w:rPr>
        <w:t xml:space="preserve"> ודוקא בשגבה בבית דין</w:t>
      </w:r>
      <w:r>
        <w:rPr>
          <w:rFonts w:cs="Arial" w:hint="cs"/>
          <w:rtl/>
        </w:rPr>
        <w:t>,</w:t>
      </w:r>
      <w:r w:rsidRPr="001C1C7A">
        <w:rPr>
          <w:rFonts w:cs="Arial"/>
          <w:rtl/>
        </w:rPr>
        <w:t xml:space="preserve"> שהגבוהו בית דין קודם שידעו שהיה שם בעל חוב אחר</w:t>
      </w:r>
      <w:r>
        <w:rPr>
          <w:rFonts w:cs="Arial" w:hint="cs"/>
          <w:rtl/>
        </w:rPr>
        <w:t>.</w:t>
      </w:r>
      <w:r w:rsidRPr="001C1C7A">
        <w:rPr>
          <w:rFonts w:cs="Arial"/>
          <w:rtl/>
        </w:rPr>
        <w:t xml:space="preserve"> אבל אם גבה מעצמו</w:t>
      </w:r>
      <w:r>
        <w:rPr>
          <w:rFonts w:cs="Arial" w:hint="cs"/>
          <w:rtl/>
        </w:rPr>
        <w:t>,</w:t>
      </w:r>
      <w:r w:rsidRPr="001C1C7A">
        <w:rPr>
          <w:rFonts w:cs="Arial"/>
          <w:rtl/>
        </w:rPr>
        <w:t xml:space="preserve"> אפילו ע"י שומא דליכא למימר מאן שם לך </w:t>
      </w:r>
      <w:r>
        <w:rPr>
          <w:rFonts w:cs="Arial" w:hint="cs"/>
          <w:rtl/>
        </w:rPr>
        <w:t xml:space="preserve">- </w:t>
      </w:r>
      <w:r w:rsidRPr="001C1C7A">
        <w:rPr>
          <w:rFonts w:cs="Arial"/>
          <w:rtl/>
        </w:rPr>
        <w:t>מה שגבה לא גבה</w:t>
      </w:r>
      <w:r>
        <w:rPr>
          <w:rStyle w:val="a7"/>
          <w:rFonts w:cs="Arial"/>
          <w:rtl/>
        </w:rPr>
        <w:footnoteReference w:id="2550"/>
      </w:r>
      <w:r w:rsidRPr="009E1DFC">
        <w:rPr>
          <w:rFonts w:cs="Arial" w:hint="cs"/>
          <w:rtl/>
        </w:rPr>
        <w:t>.</w:t>
      </w:r>
    </w:p>
    <w:p w14:paraId="52BC6DA8" w14:textId="77777777" w:rsidR="002E5BAD" w:rsidRDefault="002E5BAD" w:rsidP="00B75458">
      <w:pPr>
        <w:pStyle w:val="ab"/>
        <w:numPr>
          <w:ilvl w:val="0"/>
          <w:numId w:val="192"/>
        </w:numPr>
      </w:pPr>
      <w:r w:rsidRPr="00A167C1">
        <w:rPr>
          <w:rFonts w:cs="Arial"/>
          <w:rtl/>
        </w:rPr>
        <w:t xml:space="preserve">מהר"ם </w:t>
      </w:r>
      <w:r w:rsidRPr="00A9426B">
        <w:rPr>
          <w:rFonts w:cs="Arial"/>
          <w:sz w:val="16"/>
          <w:szCs w:val="16"/>
          <w:rtl/>
        </w:rPr>
        <w:t xml:space="preserve">(ד"ב סי' </w:t>
      </w:r>
      <w:r>
        <w:rPr>
          <w:rFonts w:cs="Arial" w:hint="cs"/>
          <w:sz w:val="16"/>
          <w:szCs w:val="16"/>
          <w:rtl/>
        </w:rPr>
        <w:t>פה/</w:t>
      </w:r>
      <w:r w:rsidRPr="00A9426B">
        <w:rPr>
          <w:rFonts w:cs="Arial"/>
          <w:sz w:val="16"/>
          <w:szCs w:val="16"/>
          <w:rtl/>
        </w:rPr>
        <w:t>סז</w:t>
      </w:r>
      <w:r w:rsidRPr="00A9426B">
        <w:rPr>
          <w:rFonts w:cs="Arial" w:hint="cs"/>
          <w:sz w:val="16"/>
          <w:szCs w:val="16"/>
          <w:rtl/>
        </w:rPr>
        <w:t xml:space="preserve">, כ"כ בשמו </w:t>
      </w:r>
      <w:r w:rsidRPr="00A9426B">
        <w:rPr>
          <w:rFonts w:cs="Arial"/>
          <w:sz w:val="16"/>
          <w:szCs w:val="16"/>
          <w:rtl/>
        </w:rPr>
        <w:t>המרדכי</w:t>
      </w:r>
      <w:r w:rsidRPr="00A9426B">
        <w:rPr>
          <w:rFonts w:cs="Arial" w:hint="cs"/>
          <w:sz w:val="16"/>
          <w:szCs w:val="16"/>
          <w:rtl/>
        </w:rPr>
        <w:t xml:space="preserve"> [פ' הכותב סי' רכ]</w:t>
      </w:r>
      <w:r>
        <w:rPr>
          <w:rFonts w:cs="Arial" w:hint="cs"/>
          <w:sz w:val="16"/>
          <w:szCs w:val="16"/>
          <w:rtl/>
        </w:rPr>
        <w:t>, הביאו הדרכ"מ [אות ג]</w:t>
      </w:r>
      <w:r w:rsidRPr="00A9426B">
        <w:rPr>
          <w:rFonts w:cs="Arial"/>
          <w:sz w:val="16"/>
          <w:szCs w:val="16"/>
          <w:rtl/>
        </w:rPr>
        <w:t>)</w:t>
      </w:r>
      <w:r>
        <w:rPr>
          <w:rFonts w:cs="Arial" w:hint="cs"/>
          <w:rtl/>
        </w:rPr>
        <w:t xml:space="preserve">- </w:t>
      </w:r>
      <w:r w:rsidRPr="00A9426B">
        <w:rPr>
          <w:rFonts w:cs="Arial"/>
          <w:rtl/>
        </w:rPr>
        <w:t xml:space="preserve">אפילו תפסה האשה לאחר מיתת בעלה המטלטלין </w:t>
      </w:r>
      <w:r>
        <w:rPr>
          <w:rFonts w:cs="Arial" w:hint="cs"/>
          <w:rtl/>
        </w:rPr>
        <w:t xml:space="preserve">- </w:t>
      </w:r>
      <w:r w:rsidRPr="00A9426B">
        <w:rPr>
          <w:rFonts w:cs="Arial"/>
          <w:rtl/>
        </w:rPr>
        <w:t>מוציאים מידה ונותנים לבעל חוב בחובו</w:t>
      </w:r>
      <w:r>
        <w:rPr>
          <w:rFonts w:cs="Arial" w:hint="cs"/>
          <w:rtl/>
        </w:rPr>
        <w:t>...</w:t>
      </w:r>
      <w:r w:rsidRPr="00A9426B">
        <w:rPr>
          <w:rFonts w:cs="Arial"/>
          <w:rtl/>
        </w:rPr>
        <w:t xml:space="preserve"> ואפילו נזמים וקטלאות ודכוותייהו אע</w:t>
      </w:r>
      <w:r>
        <w:rPr>
          <w:rFonts w:cs="Arial" w:hint="cs"/>
          <w:rtl/>
        </w:rPr>
        <w:t>"</w:t>
      </w:r>
      <w:r w:rsidRPr="00A9426B">
        <w:rPr>
          <w:rFonts w:cs="Arial"/>
          <w:rtl/>
        </w:rPr>
        <w:t>ג דרגילה בהם להשתמש בחייו מפקינן מינה ויהבינן לבעל חוב, אא"כ יחדם לה בכתובתה דכל כמה דלא יחדם לה בכתובתה דינם כשאר מטלטלי. וכן משמע בשערי האלפסי בשער י"ט</w:t>
      </w:r>
      <w:r>
        <w:rPr>
          <w:rFonts w:cs="Arial" w:hint="cs"/>
          <w:sz w:val="16"/>
          <w:szCs w:val="16"/>
          <w:rtl/>
        </w:rPr>
        <w:t xml:space="preserve"> (ל' מהר"ם)</w:t>
      </w:r>
      <w:r>
        <w:rPr>
          <w:rStyle w:val="a7"/>
          <w:rFonts w:cs="Arial"/>
          <w:rtl/>
        </w:rPr>
        <w:footnoteReference w:id="2551"/>
      </w:r>
      <w:r w:rsidRPr="00A9426B">
        <w:rPr>
          <w:rFonts w:cs="Arial"/>
          <w:rtl/>
        </w:rPr>
        <w:t>.</w:t>
      </w:r>
      <w:r w:rsidRPr="008911E0">
        <w:rPr>
          <w:rFonts w:cs="Arial"/>
          <w:color w:val="00B0F0"/>
          <w:rtl/>
        </w:rPr>
        <w:t xml:space="preserve"> </w:t>
      </w:r>
      <w:r w:rsidRPr="008911E0">
        <w:rPr>
          <w:rFonts w:hint="cs"/>
          <w:color w:val="00B0F0"/>
          <w:rtl/>
        </w:rPr>
        <w:t>(וכ"כ הרמ"א</w:t>
      </w:r>
      <w:r>
        <w:rPr>
          <w:rFonts w:hint="cs"/>
          <w:color w:val="000000" w:themeColor="text1"/>
          <w:sz w:val="16"/>
          <w:szCs w:val="16"/>
          <w:rtl/>
        </w:rPr>
        <w:t xml:space="preserve"> </w:t>
      </w:r>
      <w:r w:rsidRPr="00C95218">
        <w:rPr>
          <w:rFonts w:hint="cs"/>
          <w:color w:val="000000" w:themeColor="text1"/>
          <w:sz w:val="16"/>
          <w:szCs w:val="16"/>
          <w:rtl/>
        </w:rPr>
        <w:t xml:space="preserve">[בסע' </w:t>
      </w:r>
      <w:r>
        <w:rPr>
          <w:rFonts w:hint="cs"/>
          <w:color w:val="000000" w:themeColor="text1"/>
          <w:sz w:val="16"/>
          <w:szCs w:val="16"/>
          <w:rtl/>
        </w:rPr>
        <w:t>ב</w:t>
      </w:r>
      <w:r w:rsidRPr="00C95218">
        <w:rPr>
          <w:rFonts w:hint="cs"/>
          <w:color w:val="000000" w:themeColor="text1"/>
          <w:sz w:val="16"/>
          <w:szCs w:val="16"/>
          <w:rtl/>
        </w:rPr>
        <w:t>]</w:t>
      </w:r>
      <w:r>
        <w:rPr>
          <w:rFonts w:hint="cs"/>
          <w:color w:val="00B0F0"/>
          <w:rtl/>
        </w:rPr>
        <w:t>)</w:t>
      </w:r>
    </w:p>
    <w:p w14:paraId="21C7B693" w14:textId="77777777" w:rsidR="002E5BAD" w:rsidRPr="00C45896" w:rsidRDefault="002E5BAD" w:rsidP="00B75458">
      <w:pPr>
        <w:pStyle w:val="ab"/>
        <w:numPr>
          <w:ilvl w:val="0"/>
          <w:numId w:val="192"/>
        </w:numPr>
        <w:rPr>
          <w:rtl/>
        </w:rPr>
      </w:pPr>
      <w:r>
        <w:rPr>
          <w:rFonts w:hint="cs"/>
          <w:rtl/>
        </w:rPr>
        <w:lastRenderedPageBreak/>
        <w:t xml:space="preserve">בעל התרומות </w:t>
      </w:r>
      <w:r w:rsidRPr="00707FC7">
        <w:rPr>
          <w:rFonts w:hint="cs"/>
          <w:sz w:val="16"/>
          <w:szCs w:val="16"/>
          <w:rtl/>
        </w:rPr>
        <w:t>(שער מג ח"ד אות יג)</w:t>
      </w:r>
      <w:r>
        <w:rPr>
          <w:rFonts w:hint="cs"/>
          <w:rtl/>
        </w:rPr>
        <w:t xml:space="preserve">- </w:t>
      </w:r>
      <w:r w:rsidRPr="00707FC7">
        <w:rPr>
          <w:rFonts w:cs="Arial"/>
          <w:rtl/>
        </w:rPr>
        <w:t>אי תפסה קרקעות או מטלטלין או מעות שקנה אחר שלוה ונשא או נשא ולוה</w:t>
      </w:r>
      <w:r>
        <w:rPr>
          <w:rFonts w:cs="Arial" w:hint="cs"/>
          <w:rtl/>
        </w:rPr>
        <w:t>...</w:t>
      </w:r>
      <w:r w:rsidRPr="00707FC7">
        <w:rPr>
          <w:rFonts w:cs="Arial"/>
          <w:rtl/>
        </w:rPr>
        <w:t xml:space="preserve"> </w:t>
      </w:r>
      <w:r>
        <w:rPr>
          <w:rFonts w:cs="Arial" w:hint="cs"/>
          <w:rtl/>
        </w:rPr>
        <w:t xml:space="preserve">- </w:t>
      </w:r>
      <w:r w:rsidRPr="00707FC7">
        <w:rPr>
          <w:rFonts w:cs="Arial"/>
          <w:rtl/>
        </w:rPr>
        <w:t>לא מהניא לה תפיסתה ומפקינן מינה, דמקולי כתובה שאנו כאן, דיותר משהאיש רוצה לישא אשה רוצה לינשא.</w:t>
      </w:r>
    </w:p>
    <w:p w14:paraId="05B3F880" w14:textId="77777777" w:rsidR="002E5BAD" w:rsidRPr="009C5453" w:rsidRDefault="002E5BAD" w:rsidP="002E5BAD">
      <w:pPr>
        <w:rPr>
          <w:u w:val="single"/>
          <w:rtl/>
        </w:rPr>
      </w:pPr>
      <w:r w:rsidRPr="009C5453">
        <w:rPr>
          <w:rFonts w:hint="cs"/>
          <w:u w:val="single"/>
          <w:rtl/>
        </w:rPr>
        <w:t>אלמנה ובעל חוב ש</w:t>
      </w:r>
      <w:r>
        <w:rPr>
          <w:rFonts w:hint="cs"/>
          <w:u w:val="single"/>
          <w:rtl/>
        </w:rPr>
        <w:t>זמן שיעבודם שוה</w:t>
      </w:r>
      <w:r w:rsidRPr="009C5453">
        <w:rPr>
          <w:rFonts w:hint="cs"/>
          <w:u w:val="single"/>
          <w:rtl/>
        </w:rPr>
        <w:t xml:space="preserve"> </w:t>
      </w:r>
      <w:r w:rsidRPr="009C5453">
        <w:rPr>
          <w:u w:val="single"/>
          <w:rtl/>
        </w:rPr>
        <w:t>–</w:t>
      </w:r>
      <w:r w:rsidRPr="009C5453">
        <w:rPr>
          <w:rFonts w:hint="cs"/>
          <w:u w:val="single"/>
          <w:rtl/>
        </w:rPr>
        <w:t xml:space="preserve"> ויש </w:t>
      </w:r>
      <w:r>
        <w:rPr>
          <w:rFonts w:hint="cs"/>
          <w:u w:val="single"/>
          <w:rtl/>
        </w:rPr>
        <w:t>בנכסים</w:t>
      </w:r>
      <w:r w:rsidRPr="009C5453">
        <w:rPr>
          <w:rFonts w:hint="cs"/>
          <w:u w:val="single"/>
          <w:rtl/>
        </w:rPr>
        <w:t xml:space="preserve"> כדי פריעת </w:t>
      </w:r>
      <w:r w:rsidRPr="001A29C4">
        <w:rPr>
          <w:rFonts w:hint="cs"/>
          <w:b/>
          <w:bCs/>
          <w:u w:val="single"/>
          <w:rtl/>
        </w:rPr>
        <w:t>שניהם</w:t>
      </w:r>
      <w:r>
        <w:rPr>
          <w:rFonts w:hint="cs"/>
          <w:u w:val="single"/>
          <w:rtl/>
        </w:rPr>
        <w:t>, אבל לאחד קרקע ולאחד מעות</w:t>
      </w:r>
      <w:r w:rsidRPr="009C5453">
        <w:rPr>
          <w:rFonts w:hint="cs"/>
          <w:u w:val="single"/>
          <w:rtl/>
        </w:rPr>
        <w:t>:</w:t>
      </w:r>
    </w:p>
    <w:p w14:paraId="64510AD5" w14:textId="77777777" w:rsidR="002E5BAD" w:rsidRDefault="002E5BAD" w:rsidP="00B75458">
      <w:pPr>
        <w:pStyle w:val="ab"/>
        <w:numPr>
          <w:ilvl w:val="0"/>
          <w:numId w:val="192"/>
        </w:numPr>
      </w:pPr>
      <w:r>
        <w:rPr>
          <w:rFonts w:hint="cs"/>
          <w:rtl/>
        </w:rPr>
        <w:t xml:space="preserve">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אם יש שם כדי לפרוע לשניהם</w:t>
      </w:r>
      <w:r>
        <w:rPr>
          <w:rStyle w:val="a7"/>
          <w:rFonts w:cs="Arial"/>
          <w:rtl/>
        </w:rPr>
        <w:footnoteReference w:id="2552"/>
      </w:r>
      <w:r w:rsidRPr="00A167C1">
        <w:rPr>
          <w:rFonts w:cs="Arial"/>
          <w:rtl/>
        </w:rPr>
        <w:t xml:space="preserve"> בקרקע ובמעות</w:t>
      </w:r>
      <w:r>
        <w:rPr>
          <w:rFonts w:cs="Arial" w:hint="cs"/>
          <w:rtl/>
        </w:rPr>
        <w:t>,</w:t>
      </w:r>
      <w:r w:rsidRPr="00A167C1">
        <w:rPr>
          <w:rFonts w:cs="Arial"/>
          <w:rtl/>
        </w:rPr>
        <w:t xml:space="preserve"> אם זמנן שוין </w:t>
      </w:r>
      <w:r>
        <w:rPr>
          <w:rFonts w:cs="Arial" w:hint="cs"/>
          <w:rtl/>
        </w:rPr>
        <w:t xml:space="preserve">- </w:t>
      </w:r>
      <w:r w:rsidRPr="00A167C1">
        <w:rPr>
          <w:rFonts w:cs="Arial"/>
          <w:rtl/>
        </w:rPr>
        <w:t>נותנין לב"ח מעות ולאשה קרקע</w:t>
      </w:r>
      <w:r>
        <w:rPr>
          <w:rFonts w:cs="Arial" w:hint="cs"/>
          <w:rtl/>
        </w:rPr>
        <w:t>.</w:t>
      </w:r>
      <w:r w:rsidRPr="00A167C1">
        <w:rPr>
          <w:rFonts w:cs="Arial"/>
          <w:rtl/>
        </w:rPr>
        <w:t xml:space="preserve"> ואם קדמה לגבות מעות </w:t>
      </w:r>
      <w:r>
        <w:rPr>
          <w:rFonts w:cs="Arial" w:hint="cs"/>
          <w:rtl/>
        </w:rPr>
        <w:t xml:space="preserve">-... </w:t>
      </w:r>
      <w:r w:rsidRPr="00A167C1">
        <w:rPr>
          <w:rFonts w:cs="Arial"/>
          <w:rtl/>
        </w:rPr>
        <w:t>מוציאין מידה ונותנין לבעל חוב</w:t>
      </w:r>
      <w:r>
        <w:rPr>
          <w:rFonts w:cs="Arial" w:hint="cs"/>
          <w:rtl/>
        </w:rPr>
        <w:t>.</w:t>
      </w:r>
      <w:r w:rsidRPr="00A167C1">
        <w:rPr>
          <w:rFonts w:cs="Arial"/>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14198066" w14:textId="77777777" w:rsidR="002E5BAD" w:rsidRPr="001A29C4" w:rsidRDefault="002E5BAD" w:rsidP="002E5BAD">
      <w:pPr>
        <w:ind w:left="360"/>
        <w:rPr>
          <w:u w:val="dotted"/>
        </w:rPr>
      </w:pPr>
      <w:r w:rsidRPr="001A29C4">
        <w:rPr>
          <w:rFonts w:hint="cs"/>
          <w:u w:val="dotted"/>
          <w:rtl/>
        </w:rPr>
        <w:t>ומה הדין אם רוצה הבע"ח את הקרקע והאשה גם רוצה את הקרקע</w:t>
      </w:r>
      <w:r w:rsidRPr="001A29C4">
        <w:rPr>
          <w:rFonts w:hint="cs"/>
          <w:sz w:val="16"/>
          <w:szCs w:val="16"/>
          <w:u w:val="dotted"/>
          <w:rtl/>
        </w:rPr>
        <w:t xml:space="preserve"> (ואין קרקע כדי פריעת שניהם)</w:t>
      </w:r>
      <w:r w:rsidRPr="001A29C4">
        <w:rPr>
          <w:rFonts w:hint="cs"/>
          <w:u w:val="dotted"/>
          <w:rtl/>
        </w:rPr>
        <w:t>:</w:t>
      </w:r>
    </w:p>
    <w:p w14:paraId="315F7590" w14:textId="77777777" w:rsidR="002E5BAD" w:rsidRPr="00DD6409" w:rsidRDefault="002E5BAD" w:rsidP="00B75458">
      <w:pPr>
        <w:pStyle w:val="ab"/>
        <w:numPr>
          <w:ilvl w:val="0"/>
          <w:numId w:val="192"/>
        </w:numPr>
      </w:pPr>
      <w:r>
        <w:rPr>
          <w:rFonts w:cs="Arial" w:hint="cs"/>
          <w:rtl/>
        </w:rPr>
        <w:t xml:space="preserve">טור- </w:t>
      </w:r>
      <w:r w:rsidRPr="00A167C1">
        <w:rPr>
          <w:rFonts w:cs="Arial"/>
          <w:rtl/>
        </w:rPr>
        <w:t xml:space="preserve">לכאורה יראה שלא אמרו כן אלא מפני תקנת ב"ח אבל אם חפץ יותר בקרקע וליתן לאשה מעות </w:t>
      </w:r>
      <w:r>
        <w:rPr>
          <w:rFonts w:cs="Arial" w:hint="cs"/>
          <w:rtl/>
        </w:rPr>
        <w:t xml:space="preserve">- </w:t>
      </w:r>
      <w:r w:rsidRPr="00A167C1">
        <w:rPr>
          <w:rFonts w:cs="Arial"/>
          <w:rtl/>
        </w:rPr>
        <w:t>שומעין לו</w:t>
      </w:r>
      <w:r>
        <w:rPr>
          <w:rStyle w:val="a7"/>
          <w:rFonts w:cs="Arial"/>
          <w:rtl/>
        </w:rPr>
        <w:footnoteReference w:id="2553"/>
      </w:r>
      <w:r>
        <w:rPr>
          <w:rFonts w:cs="Arial" w:hint="cs"/>
          <w:rtl/>
        </w:rPr>
        <w:t>.</w:t>
      </w:r>
      <w:r w:rsidRPr="00A167C1">
        <w:rPr>
          <w:rFonts w:cs="Arial"/>
          <w:rtl/>
        </w:rPr>
        <w:t xml:space="preserve"> </w:t>
      </w:r>
    </w:p>
    <w:p w14:paraId="362DEB1B" w14:textId="77777777" w:rsidR="002E5BAD" w:rsidRDefault="002E5BAD" w:rsidP="00B75458">
      <w:pPr>
        <w:pStyle w:val="ab"/>
        <w:numPr>
          <w:ilvl w:val="0"/>
          <w:numId w:val="192"/>
        </w:numPr>
      </w:pPr>
      <w:r w:rsidRPr="00A167C1">
        <w:rPr>
          <w:rFonts w:cs="Arial"/>
          <w:rtl/>
        </w:rPr>
        <w:t>רמ"ה</w:t>
      </w:r>
      <w:r>
        <w:rPr>
          <w:rFonts w:cs="Arial" w:hint="cs"/>
          <w:sz w:val="16"/>
          <w:szCs w:val="16"/>
          <w:rtl/>
        </w:rPr>
        <w:t xml:space="preserve"> (כ"כ הטור בשמו)</w:t>
      </w:r>
      <w:r>
        <w:rPr>
          <w:rFonts w:cs="Arial" w:hint="cs"/>
          <w:rtl/>
        </w:rPr>
        <w:t xml:space="preserve">- </w:t>
      </w:r>
      <w:r w:rsidRPr="00A167C1">
        <w:rPr>
          <w:rFonts w:cs="Arial"/>
          <w:rtl/>
        </w:rPr>
        <w:t>אין שומעין לו</w:t>
      </w:r>
      <w:r>
        <w:rPr>
          <w:rStyle w:val="a7"/>
          <w:rFonts w:cs="Arial"/>
          <w:rtl/>
        </w:rPr>
        <w:footnoteReference w:id="2554"/>
      </w:r>
      <w:r>
        <w:rPr>
          <w:rFonts w:cs="Arial" w:hint="cs"/>
          <w:rtl/>
        </w:rPr>
        <w:t>.</w:t>
      </w:r>
      <w:r w:rsidRPr="00A167C1">
        <w:rPr>
          <w:rFonts w:cs="Arial"/>
          <w:rtl/>
        </w:rPr>
        <w:t xml:space="preserve"> </w:t>
      </w:r>
      <w:r w:rsidRPr="00C95218">
        <w:rPr>
          <w:rFonts w:hint="cs"/>
          <w:color w:val="00B0F0"/>
          <w:rtl/>
        </w:rPr>
        <w:t>(וכ"פ הרמ"א</w:t>
      </w:r>
      <w:r w:rsidRPr="00C95218">
        <w:rPr>
          <w:rFonts w:hint="cs"/>
          <w:color w:val="00B0F0"/>
          <w:sz w:val="16"/>
          <w:szCs w:val="16"/>
          <w:rtl/>
        </w:rPr>
        <w:t xml:space="preserve"> </w:t>
      </w:r>
      <w:r>
        <w:rPr>
          <w:rFonts w:hint="cs"/>
          <w:sz w:val="16"/>
          <w:szCs w:val="16"/>
          <w:rtl/>
        </w:rPr>
        <w:t>[בסע' ד]</w:t>
      </w:r>
      <w:r w:rsidRPr="00C95218">
        <w:rPr>
          <w:rFonts w:hint="cs"/>
          <w:color w:val="00B0F0"/>
          <w:rtl/>
        </w:rPr>
        <w:t>)</w:t>
      </w:r>
    </w:p>
    <w:p w14:paraId="1AA143D3" w14:textId="77777777" w:rsidR="002E5BAD" w:rsidRPr="001A29C4" w:rsidRDefault="002E5BAD" w:rsidP="002E5BAD">
      <w:pPr>
        <w:rPr>
          <w:u w:val="single"/>
          <w:rtl/>
        </w:rPr>
      </w:pPr>
      <w:r w:rsidRPr="001A29C4">
        <w:rPr>
          <w:rFonts w:hint="cs"/>
          <w:u w:val="single"/>
          <w:rtl/>
        </w:rPr>
        <w:t>אלמנה ובעל חוב ש</w:t>
      </w:r>
      <w:r>
        <w:rPr>
          <w:rFonts w:hint="cs"/>
          <w:u w:val="single"/>
          <w:rtl/>
        </w:rPr>
        <w:t xml:space="preserve">זמן </w:t>
      </w:r>
      <w:r w:rsidRPr="001A29C4">
        <w:rPr>
          <w:rFonts w:hint="cs"/>
          <w:u w:val="single"/>
          <w:rtl/>
        </w:rPr>
        <w:t xml:space="preserve">שיעבודם </w:t>
      </w:r>
      <w:r w:rsidRPr="001A29C4">
        <w:rPr>
          <w:rFonts w:hint="cs"/>
          <w:b/>
          <w:bCs/>
          <w:u w:val="single"/>
          <w:rtl/>
        </w:rPr>
        <w:t>לא שוה</w:t>
      </w:r>
      <w:r w:rsidRPr="001A29C4">
        <w:rPr>
          <w:rFonts w:hint="cs"/>
          <w:u w:val="single"/>
          <w:rtl/>
        </w:rPr>
        <w:t xml:space="preserve"> </w:t>
      </w:r>
      <w:r w:rsidRPr="001A29C4">
        <w:rPr>
          <w:u w:val="single"/>
          <w:rtl/>
        </w:rPr>
        <w:t>–</w:t>
      </w:r>
      <w:r w:rsidRPr="001A29C4">
        <w:rPr>
          <w:rFonts w:hint="cs"/>
          <w:u w:val="single"/>
          <w:rtl/>
        </w:rPr>
        <w:t xml:space="preserve"> </w:t>
      </w:r>
      <w:r w:rsidRPr="009C5453">
        <w:rPr>
          <w:rFonts w:hint="cs"/>
          <w:u w:val="single"/>
          <w:rtl/>
        </w:rPr>
        <w:t xml:space="preserve">ויש </w:t>
      </w:r>
      <w:r>
        <w:rPr>
          <w:rFonts w:hint="cs"/>
          <w:u w:val="single"/>
          <w:rtl/>
        </w:rPr>
        <w:t>בנכסים</w:t>
      </w:r>
      <w:r w:rsidRPr="009C5453">
        <w:rPr>
          <w:rFonts w:hint="cs"/>
          <w:u w:val="single"/>
          <w:rtl/>
        </w:rPr>
        <w:t xml:space="preserve"> כדי פריעת </w:t>
      </w:r>
      <w:r w:rsidRPr="001A29C4">
        <w:rPr>
          <w:rFonts w:hint="cs"/>
          <w:b/>
          <w:bCs/>
          <w:u w:val="single"/>
          <w:rtl/>
        </w:rPr>
        <w:t>שניהם</w:t>
      </w:r>
      <w:r>
        <w:rPr>
          <w:rFonts w:hint="cs"/>
          <w:u w:val="single"/>
          <w:rtl/>
        </w:rPr>
        <w:t>, אבל לאחד קרקע ולאחד מעות</w:t>
      </w:r>
      <w:r w:rsidRPr="001A29C4">
        <w:rPr>
          <w:rFonts w:hint="cs"/>
          <w:u w:val="single"/>
          <w:rtl/>
        </w:rPr>
        <w:t>:</w:t>
      </w:r>
    </w:p>
    <w:p w14:paraId="37B3C766" w14:textId="77777777" w:rsidR="002E5BAD" w:rsidRDefault="002E5BAD" w:rsidP="00B75458">
      <w:pPr>
        <w:pStyle w:val="ab"/>
        <w:numPr>
          <w:ilvl w:val="0"/>
          <w:numId w:val="192"/>
        </w:numPr>
      </w:pPr>
      <w:r>
        <w:rPr>
          <w:rFonts w:cs="Arial" w:hint="cs"/>
          <w:rtl/>
        </w:rPr>
        <w:t xml:space="preserve">טור- </w:t>
      </w:r>
      <w:r w:rsidRPr="00A167C1">
        <w:rPr>
          <w:rFonts w:cs="Arial"/>
          <w:rtl/>
        </w:rPr>
        <w:t xml:space="preserve">ואם אין זמנן שוה </w:t>
      </w:r>
      <w:r>
        <w:rPr>
          <w:rFonts w:cs="Arial" w:hint="cs"/>
          <w:rtl/>
        </w:rPr>
        <w:t xml:space="preserve">- </w:t>
      </w:r>
      <w:r w:rsidRPr="00A167C1">
        <w:rPr>
          <w:rFonts w:cs="Arial"/>
          <w:rtl/>
        </w:rPr>
        <w:t>המוקדם נותנין לו מעות</w:t>
      </w:r>
      <w:r>
        <w:rPr>
          <w:rStyle w:val="a7"/>
          <w:rFonts w:cs="Arial"/>
          <w:rtl/>
        </w:rPr>
        <w:footnoteReference w:id="2555"/>
      </w:r>
      <w:r>
        <w:rPr>
          <w:rFonts w:hint="cs"/>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06F5746B" w14:textId="77777777" w:rsidR="002E5BAD" w:rsidRDefault="002E5BAD" w:rsidP="00B75458">
      <w:pPr>
        <w:pStyle w:val="ab"/>
        <w:numPr>
          <w:ilvl w:val="0"/>
          <w:numId w:val="192"/>
        </w:numPr>
      </w:pPr>
      <w:r>
        <w:rPr>
          <w:rFonts w:hint="cs"/>
          <w:rtl/>
        </w:rPr>
        <w:t xml:space="preserve">(רש"י </w:t>
      </w:r>
      <w:r w:rsidRPr="00D7404B">
        <w:rPr>
          <w:rFonts w:hint="cs"/>
          <w:sz w:val="16"/>
          <w:szCs w:val="16"/>
          <w:rtl/>
        </w:rPr>
        <w:t>[</w:t>
      </w:r>
      <w:r>
        <w:rPr>
          <w:rFonts w:hint="cs"/>
          <w:sz w:val="16"/>
          <w:szCs w:val="16"/>
          <w:rtl/>
        </w:rPr>
        <w:t>פו. ד"ה והאי</w:t>
      </w:r>
      <w:r w:rsidRPr="00D7404B">
        <w:rPr>
          <w:rFonts w:hint="cs"/>
          <w:sz w:val="16"/>
          <w:szCs w:val="16"/>
          <w:rtl/>
        </w:rPr>
        <w:t>]</w:t>
      </w:r>
      <w:r>
        <w:rPr>
          <w:rFonts w:hint="cs"/>
          <w:rtl/>
        </w:rPr>
        <w:t xml:space="preserve"> רמב"ם </w:t>
      </w:r>
      <w:r w:rsidRPr="00D7404B">
        <w:rPr>
          <w:rFonts w:hint="cs"/>
          <w:sz w:val="16"/>
          <w:szCs w:val="16"/>
          <w:rtl/>
        </w:rPr>
        <w:t>[</w:t>
      </w:r>
      <w:r>
        <w:rPr>
          <w:rFonts w:hint="cs"/>
          <w:sz w:val="16"/>
          <w:szCs w:val="16"/>
          <w:rtl/>
        </w:rPr>
        <w:t>פי"ז ה"ד</w:t>
      </w:r>
      <w:r w:rsidRPr="00D7404B">
        <w:rPr>
          <w:rFonts w:hint="cs"/>
          <w:sz w:val="16"/>
          <w:szCs w:val="16"/>
          <w:rtl/>
        </w:rPr>
        <w:t>]</w:t>
      </w:r>
      <w:r>
        <w:rPr>
          <w:rFonts w:hint="cs"/>
          <w:sz w:val="16"/>
          <w:szCs w:val="16"/>
          <w:rtl/>
        </w:rPr>
        <w:t xml:space="preserve"> </w:t>
      </w:r>
      <w:r>
        <w:rPr>
          <w:rFonts w:hint="cs"/>
          <w:rtl/>
        </w:rPr>
        <w:t>ור"ן</w:t>
      </w:r>
      <w:r>
        <w:rPr>
          <w:rFonts w:hint="cs"/>
          <w:sz w:val="16"/>
          <w:szCs w:val="16"/>
          <w:rtl/>
        </w:rPr>
        <w:t xml:space="preserve"> </w:t>
      </w:r>
      <w:r w:rsidRPr="00D7404B">
        <w:rPr>
          <w:rFonts w:hint="cs"/>
          <w:sz w:val="16"/>
          <w:szCs w:val="16"/>
          <w:rtl/>
        </w:rPr>
        <w:t>[</w:t>
      </w:r>
      <w:r>
        <w:rPr>
          <w:rFonts w:hint="cs"/>
          <w:sz w:val="16"/>
          <w:szCs w:val="16"/>
          <w:rtl/>
        </w:rPr>
        <w:t>מה.</w:t>
      </w:r>
      <w:r w:rsidRPr="00D7404B">
        <w:rPr>
          <w:rFonts w:hint="cs"/>
          <w:sz w:val="16"/>
          <w:szCs w:val="16"/>
          <w:rtl/>
        </w:rPr>
        <w:t>]</w:t>
      </w:r>
      <w:r>
        <w:rPr>
          <w:rFonts w:hint="cs"/>
          <w:sz w:val="16"/>
          <w:szCs w:val="16"/>
          <w:rtl/>
        </w:rPr>
        <w:t xml:space="preserve"> להב' הב"ש</w:t>
      </w:r>
      <w:r>
        <w:rPr>
          <w:rFonts w:hint="cs"/>
          <w:sz w:val="14"/>
          <w:szCs w:val="14"/>
          <w:rtl/>
        </w:rPr>
        <w:t xml:space="preserve"> [סקי"ז]</w:t>
      </w:r>
      <w:r>
        <w:rPr>
          <w:rFonts w:hint="cs"/>
          <w:rtl/>
        </w:rPr>
        <w:t xml:space="preserve">)- </w:t>
      </w:r>
      <w:r w:rsidRPr="00D7404B">
        <w:rPr>
          <w:rFonts w:cs="Arial"/>
          <w:rtl/>
        </w:rPr>
        <w:t>במטלטלים ומעות לא שייך מוקדם ומאוחר</w:t>
      </w:r>
      <w:r>
        <w:rPr>
          <w:rStyle w:val="a7"/>
          <w:rFonts w:cs="Arial"/>
          <w:rtl/>
        </w:rPr>
        <w:footnoteReference w:id="2556"/>
      </w:r>
      <w:r>
        <w:rPr>
          <w:rFonts w:hint="cs"/>
          <w:sz w:val="16"/>
          <w:szCs w:val="16"/>
          <w:rtl/>
        </w:rPr>
        <w:t xml:space="preserve"> (ל' הב"ש)</w:t>
      </w:r>
      <w:r>
        <w:rPr>
          <w:rFonts w:hint="cs"/>
          <w:rtl/>
        </w:rPr>
        <w:t>.</w:t>
      </w:r>
    </w:p>
    <w:p w14:paraId="117FD09D" w14:textId="77777777" w:rsidR="002E5BAD" w:rsidRPr="001A29C4" w:rsidRDefault="002E5BAD" w:rsidP="002E5BAD">
      <w:pPr>
        <w:ind w:left="360"/>
        <w:rPr>
          <w:u w:val="dotted"/>
        </w:rPr>
      </w:pPr>
      <w:r w:rsidRPr="001A29C4">
        <w:rPr>
          <w:rFonts w:hint="cs"/>
          <w:u w:val="dotted"/>
          <w:rtl/>
        </w:rPr>
        <w:t>ומה הדין קדם אחד מהם ותפש:</w:t>
      </w:r>
    </w:p>
    <w:p w14:paraId="6F72E329" w14:textId="77777777" w:rsidR="002E5BAD" w:rsidRDefault="002E5BAD" w:rsidP="00B75458">
      <w:pPr>
        <w:pStyle w:val="ab"/>
        <w:numPr>
          <w:ilvl w:val="0"/>
          <w:numId w:val="192"/>
        </w:numPr>
      </w:pPr>
      <w:r>
        <w:rPr>
          <w:rFonts w:cs="Arial" w:hint="cs"/>
          <w:rtl/>
        </w:rPr>
        <w:t xml:space="preserve">טור- </w:t>
      </w:r>
      <w:r w:rsidRPr="00A167C1">
        <w:rPr>
          <w:rFonts w:cs="Arial"/>
          <w:rtl/>
        </w:rPr>
        <w:t>אם קדם המאוחר ותפש המעות</w:t>
      </w:r>
      <w:r>
        <w:rPr>
          <w:rFonts w:cs="Arial" w:hint="cs"/>
          <w:rtl/>
        </w:rPr>
        <w:t>,</w:t>
      </w:r>
      <w:r w:rsidRPr="00A167C1">
        <w:rPr>
          <w:rFonts w:cs="Arial"/>
          <w:rtl/>
        </w:rPr>
        <w:t xml:space="preserve"> לפי דברי א"א הרא"ש ז"ל שכתב שמוציאין מידה אם קדמה ותפשה מעות כשזמנן שוה </w:t>
      </w:r>
      <w:r>
        <w:rPr>
          <w:rFonts w:cs="Arial" w:hint="cs"/>
          <w:rtl/>
        </w:rPr>
        <w:t xml:space="preserve">- </w:t>
      </w:r>
      <w:r w:rsidRPr="00A167C1">
        <w:rPr>
          <w:rFonts w:cs="Arial"/>
          <w:rtl/>
        </w:rPr>
        <w:t>יראה דה"ה נמי שמוציאין המעות מיד המאוחר אם קדם ותפשם</w:t>
      </w:r>
      <w:r>
        <w:rPr>
          <w:rStyle w:val="a7"/>
          <w:rFonts w:cs="Arial"/>
          <w:rtl/>
        </w:rPr>
        <w:footnoteReference w:id="2557"/>
      </w:r>
      <w:r>
        <w:rPr>
          <w:rFonts w:cs="Arial" w:hint="cs"/>
          <w:rtl/>
        </w:rPr>
        <w:t>.</w:t>
      </w:r>
      <w:r w:rsidRPr="00A167C1">
        <w:rPr>
          <w:rFonts w:cs="Arial"/>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25818AB7" w14:textId="77777777" w:rsidR="002E5BAD" w:rsidRPr="00A830CC" w:rsidRDefault="002E5BAD" w:rsidP="002E5BAD">
      <w:pPr>
        <w:rPr>
          <w:u w:val="single"/>
        </w:rPr>
      </w:pPr>
      <w:r w:rsidRPr="00A830CC">
        <w:rPr>
          <w:rFonts w:hint="cs"/>
          <w:u w:val="single"/>
          <w:rtl/>
        </w:rPr>
        <w:t>אלמנה או יורשיה שבאו לגבות כתובתה - האם הם צריכים לתת ערבים, שמא יש שטר</w:t>
      </w:r>
      <w:r>
        <w:rPr>
          <w:rFonts w:hint="cs"/>
          <w:u w:val="single"/>
          <w:rtl/>
        </w:rPr>
        <w:t>י חוב</w:t>
      </w:r>
      <w:r w:rsidRPr="00A830CC">
        <w:rPr>
          <w:rFonts w:hint="cs"/>
          <w:u w:val="single"/>
          <w:rtl/>
        </w:rPr>
        <w:t xml:space="preserve"> ק</w:t>
      </w:r>
      <w:r>
        <w:rPr>
          <w:rFonts w:hint="cs"/>
          <w:u w:val="single"/>
          <w:rtl/>
        </w:rPr>
        <w:t>ו</w:t>
      </w:r>
      <w:r w:rsidRPr="00A830CC">
        <w:rPr>
          <w:rFonts w:hint="cs"/>
          <w:u w:val="single"/>
          <w:rtl/>
        </w:rPr>
        <w:t>ד</w:t>
      </w:r>
      <w:r>
        <w:rPr>
          <w:rFonts w:hint="cs"/>
          <w:u w:val="single"/>
          <w:rtl/>
        </w:rPr>
        <w:t>מי</w:t>
      </w:r>
      <w:r w:rsidRPr="00A830CC">
        <w:rPr>
          <w:rFonts w:hint="cs"/>
          <w:u w:val="single"/>
          <w:rtl/>
        </w:rPr>
        <w:t xml:space="preserve">ם </w:t>
      </w:r>
      <w:r>
        <w:rPr>
          <w:rFonts w:hint="cs"/>
          <w:u w:val="single"/>
          <w:rtl/>
        </w:rPr>
        <w:t>לזמן הכתובה</w:t>
      </w:r>
      <w:r w:rsidRPr="00A830CC">
        <w:rPr>
          <w:rFonts w:hint="cs"/>
          <w:u w:val="single"/>
          <w:rtl/>
        </w:rPr>
        <w:t>:</w:t>
      </w:r>
    </w:p>
    <w:p w14:paraId="75B35AD4" w14:textId="77777777" w:rsidR="002E5BAD" w:rsidRPr="009C12D8" w:rsidRDefault="002E5BAD" w:rsidP="00B75458">
      <w:pPr>
        <w:pStyle w:val="ab"/>
        <w:numPr>
          <w:ilvl w:val="0"/>
          <w:numId w:val="192"/>
        </w:numPr>
      </w:pPr>
      <w:r>
        <w:rPr>
          <w:rFonts w:cs="Arial" w:hint="cs"/>
          <w:rtl/>
        </w:rPr>
        <w:t xml:space="preserve">ריב"ש </w:t>
      </w:r>
      <w:r>
        <w:rPr>
          <w:rFonts w:cs="Arial" w:hint="cs"/>
          <w:sz w:val="16"/>
          <w:szCs w:val="16"/>
          <w:rtl/>
        </w:rPr>
        <w:t>(סי' רצט)</w:t>
      </w:r>
      <w:r>
        <w:rPr>
          <w:rFonts w:cs="Arial" w:hint="cs"/>
          <w:rtl/>
        </w:rPr>
        <w:t xml:space="preserve">- </w:t>
      </w:r>
      <w:r>
        <w:rPr>
          <w:rFonts w:cs="Arial"/>
          <w:rtl/>
        </w:rPr>
        <w:t>עוד שאלתם יורשי אלמנה באו לתבוע כתובת אמם לפניכם</w:t>
      </w:r>
      <w:r>
        <w:rPr>
          <w:rFonts w:cs="Arial" w:hint="cs"/>
          <w:rtl/>
        </w:rPr>
        <w:t>.</w:t>
      </w:r>
      <w:r>
        <w:rPr>
          <w:rFonts w:cs="Arial"/>
          <w:rtl/>
        </w:rPr>
        <w:t xml:space="preserve"> ואתם רוצים להגבות להם הכתובה מנכסי בעלה</w:t>
      </w:r>
      <w:r>
        <w:rPr>
          <w:rFonts w:cs="Arial" w:hint="cs"/>
          <w:rtl/>
        </w:rPr>
        <w:t>,</w:t>
      </w:r>
      <w:r>
        <w:rPr>
          <w:rFonts w:cs="Arial"/>
          <w:rtl/>
        </w:rPr>
        <w:t xml:space="preserve"> אבל אתם יראים שמא יצאו שטרי חובות קודמין לזמן הכתובה</w:t>
      </w:r>
      <w:r>
        <w:rPr>
          <w:rFonts w:cs="Arial" w:hint="cs"/>
          <w:rtl/>
        </w:rPr>
        <w:t>,</w:t>
      </w:r>
      <w:r>
        <w:rPr>
          <w:rFonts w:cs="Arial"/>
          <w:rtl/>
        </w:rPr>
        <w:t xml:space="preserve"> ויבואו לתבוע חובותיהם היום ומחר. אם צריכין היורשים לתת לכם ערבים מהסך שתפרעו להם שמא יבזבזו היורשים הנכסי</w:t>
      </w:r>
      <w:r>
        <w:rPr>
          <w:rFonts w:cs="Arial" w:hint="cs"/>
          <w:rtl/>
        </w:rPr>
        <w:t>ם</w:t>
      </w:r>
      <w:r>
        <w:rPr>
          <w:rFonts w:cs="Arial"/>
          <w:rtl/>
        </w:rPr>
        <w:t xml:space="preserve"> או המעות</w:t>
      </w:r>
      <w:r>
        <w:rPr>
          <w:rFonts w:cs="Arial" w:hint="cs"/>
          <w:rtl/>
        </w:rPr>
        <w:t>,</w:t>
      </w:r>
      <w:r>
        <w:rPr>
          <w:rFonts w:cs="Arial"/>
          <w:rtl/>
        </w:rPr>
        <w:t xml:space="preserve"> וכשיבואו הבעלי חובות המוקדמין בזמן לכתובה לא ימצאו נכסים לגבות מהם</w:t>
      </w:r>
      <w:r>
        <w:rPr>
          <w:rFonts w:cs="Arial" w:hint="cs"/>
          <w:rtl/>
        </w:rPr>
        <w:t>.</w:t>
      </w:r>
      <w:r>
        <w:rPr>
          <w:rFonts w:cs="Arial"/>
          <w:rtl/>
        </w:rPr>
        <w:t xml:space="preserve"> </w:t>
      </w:r>
      <w:r>
        <w:rPr>
          <w:rFonts w:cs="Arial"/>
        </w:rPr>
        <w:t xml:space="preserve">   </w:t>
      </w:r>
      <w:r w:rsidRPr="00A830CC">
        <w:rPr>
          <w:rFonts w:cs="Arial"/>
          <w:rtl/>
        </w:rPr>
        <w:t>תשובה</w:t>
      </w:r>
      <w:r>
        <w:rPr>
          <w:rFonts w:cs="Arial" w:hint="cs"/>
          <w:rtl/>
        </w:rPr>
        <w:t>-</w:t>
      </w:r>
      <w:r w:rsidRPr="00A830CC">
        <w:rPr>
          <w:rFonts w:cs="Arial"/>
          <w:rtl/>
        </w:rPr>
        <w:t xml:space="preserve"> בדין תורתינו אין בעל חוב בחובו ולא אשה בכתובתה צריכה לתת ערבים ממה שמגבין להם ב"ד</w:t>
      </w:r>
      <w:r>
        <w:rPr>
          <w:rFonts w:cs="Arial" w:hint="cs"/>
          <w:rtl/>
        </w:rPr>
        <w:t>,</w:t>
      </w:r>
      <w:r w:rsidRPr="00A830CC">
        <w:rPr>
          <w:rFonts w:cs="Arial"/>
          <w:rtl/>
        </w:rPr>
        <w:t xml:space="preserve"> אלא ב"ד יורדין לנכסי הלוה או הבעל ופורעין אותן מנכסיהם. ואם יבואו בעלי חובות קודמין הרי אם פרעו לראשונים ממטלטלים מה שגבו גבו</w:t>
      </w:r>
      <w:r>
        <w:rPr>
          <w:rFonts w:cs="Arial" w:hint="cs"/>
          <w:rtl/>
        </w:rPr>
        <w:t>,</w:t>
      </w:r>
      <w:r w:rsidRPr="00A830CC">
        <w:rPr>
          <w:rFonts w:cs="Arial"/>
          <w:rtl/>
        </w:rPr>
        <w:t xml:space="preserve"> ואפילו הם מאוחרין בזמן</w:t>
      </w:r>
      <w:r>
        <w:rPr>
          <w:rFonts w:cs="Arial" w:hint="cs"/>
          <w:rtl/>
        </w:rPr>
        <w:t>,</w:t>
      </w:r>
      <w:r w:rsidRPr="00A830CC">
        <w:rPr>
          <w:rFonts w:cs="Arial"/>
          <w:rtl/>
        </w:rPr>
        <w:t xml:space="preserve"> שהרי אין קדימה במטלטלין. ואם הגבו להם קרקעות בשומא עדיין א"צ לתת ערבים, שהרי אם יצאו בעלי חובות קדומים הרי ימצאו קרקעות ביד אלו ויוכלו לטרוף מהם. ואם מכרו הבית דין הקרקעות לאחרים ופרעו לאשה בכתובתה במעות מסך המכירה</w:t>
      </w:r>
      <w:r>
        <w:rPr>
          <w:rFonts w:cs="Arial" w:hint="cs"/>
          <w:rtl/>
        </w:rPr>
        <w:t>,</w:t>
      </w:r>
      <w:r w:rsidRPr="00A830CC">
        <w:rPr>
          <w:rFonts w:cs="Arial"/>
          <w:rtl/>
        </w:rPr>
        <w:t xml:space="preserve"> כשיבואו הקודמים הרי ימצאו גם כן קרקעות ביד הלוקחים ויטרפו אותם מהם</w:t>
      </w:r>
      <w:r>
        <w:rPr>
          <w:rFonts w:cs="Arial" w:hint="cs"/>
          <w:rtl/>
        </w:rPr>
        <w:t>.</w:t>
      </w:r>
      <w:r w:rsidRPr="00A830CC">
        <w:rPr>
          <w:rFonts w:cs="Arial"/>
          <w:rtl/>
        </w:rPr>
        <w:t xml:space="preserve"> ואם יפסידו הלוקחים</w:t>
      </w:r>
      <w:r>
        <w:rPr>
          <w:rFonts w:cs="Arial" w:hint="cs"/>
          <w:rtl/>
        </w:rPr>
        <w:t>,</w:t>
      </w:r>
      <w:r w:rsidRPr="00A830CC">
        <w:rPr>
          <w:rFonts w:cs="Arial"/>
          <w:rtl/>
        </w:rPr>
        <w:t xml:space="preserve"> הם יחושו לעצמם שלא ליקח קרקע המשועבד לב"ח. ואין האלמנה חייבת באחריות הקרקעו</w:t>
      </w:r>
      <w:r>
        <w:rPr>
          <w:rFonts w:cs="Arial" w:hint="cs"/>
          <w:rtl/>
        </w:rPr>
        <w:t>ת</w:t>
      </w:r>
      <w:r w:rsidRPr="00A830CC">
        <w:rPr>
          <w:rFonts w:cs="Arial"/>
          <w:rtl/>
        </w:rPr>
        <w:t xml:space="preserve"> ללקוחות</w:t>
      </w:r>
      <w:r>
        <w:rPr>
          <w:rFonts w:cs="Arial" w:hint="cs"/>
          <w:rtl/>
        </w:rPr>
        <w:t>,</w:t>
      </w:r>
      <w:r w:rsidRPr="00A830CC">
        <w:rPr>
          <w:rFonts w:cs="Arial"/>
          <w:rtl/>
        </w:rPr>
        <w:t xml:space="preserve"> אלא אחריותן על נכסי יורשי הבעל, כדאמרי</w:t>
      </w:r>
      <w:r>
        <w:rPr>
          <w:rFonts w:cs="Arial" w:hint="cs"/>
          <w:rtl/>
        </w:rPr>
        <w:t>נן</w:t>
      </w:r>
      <w:r w:rsidRPr="00A830CC">
        <w:rPr>
          <w:rFonts w:cs="Arial"/>
          <w:rtl/>
        </w:rPr>
        <w:t xml:space="preserve"> בכתובות (צז</w:t>
      </w:r>
      <w:r>
        <w:rPr>
          <w:rFonts w:cs="Arial" w:hint="cs"/>
          <w:rtl/>
        </w:rPr>
        <w:t>.</w:t>
      </w:r>
      <w:r w:rsidRPr="00A830CC">
        <w:rPr>
          <w:rFonts w:cs="Arial"/>
          <w:rtl/>
        </w:rPr>
        <w:t xml:space="preserve">) ארמלתא דזבינא אחריותא איתמי, בי דינא דזבין אחריותא איתמי. </w:t>
      </w:r>
      <w:r w:rsidRPr="00A830CC">
        <w:rPr>
          <w:rFonts w:cs="Arial"/>
          <w:rtl/>
        </w:rPr>
        <w:lastRenderedPageBreak/>
        <w:t>שאם אי אתה אומר כן מי שאין לו ערבים לא יגבו לו חובו לעולם, אלא אין צריך לתת ערבים בדין תורתינו, ובחקי העובדי כוכבים הוא שנהגו כן ולא כצורנו צורם</w:t>
      </w:r>
      <w:r>
        <w:rPr>
          <w:rStyle w:val="a7"/>
          <w:rFonts w:cs="Arial"/>
          <w:rtl/>
        </w:rPr>
        <w:footnoteReference w:id="2558"/>
      </w:r>
      <w:r w:rsidRPr="00A830CC">
        <w:rPr>
          <w:rFonts w:cs="Arial"/>
          <w:rtl/>
        </w:rPr>
        <w:t>.</w:t>
      </w:r>
      <w:r>
        <w:rPr>
          <w:rFonts w:hint="cs"/>
          <w:rtl/>
        </w:rPr>
        <w:t xml:space="preserve"> </w:t>
      </w:r>
      <w:r w:rsidRPr="00A830CC">
        <w:rPr>
          <w:rFonts w:hint="cs"/>
          <w:color w:val="00B0F0"/>
          <w:rtl/>
        </w:rPr>
        <w:t>(וכ"פ הרמ"א)</w:t>
      </w:r>
    </w:p>
    <w:p w14:paraId="7CB07AB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618B17" w14:textId="77777777" w:rsidR="002E5BAD" w:rsidRDefault="002E5BAD" w:rsidP="002E5BAD">
      <w:pPr>
        <w:rPr>
          <w:rFonts w:cs="Arial"/>
          <w:rtl/>
        </w:rPr>
      </w:pPr>
      <w:r w:rsidRPr="000904BE">
        <w:rPr>
          <w:rFonts w:cs="Arial"/>
          <w:rtl/>
        </w:rPr>
        <w:t>אם זמן שניהם שוין, או שנשא ולוה ואח</w:t>
      </w:r>
      <w:r>
        <w:rPr>
          <w:rFonts w:cs="Arial" w:hint="cs"/>
          <w:rtl/>
        </w:rPr>
        <w:t>ר כך</w:t>
      </w:r>
      <w:r w:rsidRPr="000904BE">
        <w:rPr>
          <w:rFonts w:cs="Arial"/>
          <w:rtl/>
        </w:rPr>
        <w:t xml:space="preserve"> קנה, או שלוה ונשא ואח</w:t>
      </w:r>
      <w:r>
        <w:rPr>
          <w:rFonts w:cs="Arial" w:hint="cs"/>
          <w:rtl/>
        </w:rPr>
        <w:t>ר כך</w:t>
      </w:r>
      <w:r w:rsidRPr="000904BE">
        <w:rPr>
          <w:rFonts w:cs="Arial"/>
          <w:rtl/>
        </w:rPr>
        <w:t xml:space="preserve"> קנה, שחל שעבודה כאחד בשעה שקנה, בין שהניח מקרקעי או מטלטלי, ינתנו לבעל חוב ותדחה האשה מגביית עיקר ותוספת. ואם קדמה האשה ותפסה קרקע, אם קדמה וגבתה בב</w:t>
      </w:r>
      <w:r>
        <w:rPr>
          <w:rFonts w:cs="Arial" w:hint="cs"/>
          <w:rtl/>
        </w:rPr>
        <w:t>ית דין</w:t>
      </w:r>
      <w:r>
        <w:rPr>
          <w:rStyle w:val="a7"/>
          <w:rFonts w:cs="Arial"/>
          <w:rtl/>
        </w:rPr>
        <w:footnoteReference w:id="2559"/>
      </w:r>
      <w:r w:rsidRPr="000904BE">
        <w:rPr>
          <w:rFonts w:cs="Arial"/>
          <w:rtl/>
        </w:rPr>
        <w:t>, כגון שהגבוה ב</w:t>
      </w:r>
      <w:r>
        <w:rPr>
          <w:rFonts w:cs="Arial" w:hint="cs"/>
          <w:rtl/>
        </w:rPr>
        <w:t xml:space="preserve">ית </w:t>
      </w:r>
      <w:r w:rsidRPr="000904BE">
        <w:rPr>
          <w:rFonts w:cs="Arial"/>
          <w:rtl/>
        </w:rPr>
        <w:t>ד</w:t>
      </w:r>
      <w:r>
        <w:rPr>
          <w:rFonts w:cs="Arial" w:hint="cs"/>
          <w:rtl/>
        </w:rPr>
        <w:t>ין</w:t>
      </w:r>
      <w:r w:rsidRPr="000904BE">
        <w:rPr>
          <w:rFonts w:cs="Arial"/>
          <w:rtl/>
        </w:rPr>
        <w:t xml:space="preserve"> קודם שידעו שהיה שם בעל חוב, אין מוציאין מידה. אבל אם גבתה מעצמה, אפילו ע</w:t>
      </w:r>
      <w:r>
        <w:rPr>
          <w:rFonts w:cs="Arial" w:hint="cs"/>
          <w:rtl/>
        </w:rPr>
        <w:t>ל יד</w:t>
      </w:r>
      <w:r w:rsidRPr="000904BE">
        <w:rPr>
          <w:rFonts w:cs="Arial"/>
          <w:rtl/>
        </w:rPr>
        <w:t>י שומא, מפקינן מינה. ואם קדמה ותפסה מטלטלין, אפילו שלא בב</w:t>
      </w:r>
      <w:r>
        <w:rPr>
          <w:rFonts w:cs="Arial" w:hint="cs"/>
          <w:rtl/>
        </w:rPr>
        <w:t>ית דין</w:t>
      </w:r>
      <w:r w:rsidRPr="000904BE">
        <w:rPr>
          <w:rFonts w:cs="Arial"/>
          <w:rtl/>
        </w:rPr>
        <w:t>, לא מפקינן מינה</w:t>
      </w:r>
      <w:r>
        <w:rPr>
          <w:rStyle w:val="a7"/>
          <w:rFonts w:cs="Arial"/>
          <w:rtl/>
        </w:rPr>
        <w:footnoteReference w:id="2560"/>
      </w:r>
      <w:r w:rsidRPr="000904BE">
        <w:rPr>
          <w:rFonts w:cs="Arial"/>
          <w:rtl/>
        </w:rPr>
        <w:t xml:space="preserve">. </w:t>
      </w:r>
      <w:r w:rsidRPr="007A47A7">
        <w:rPr>
          <w:rFonts w:cs="Arial"/>
          <w:sz w:val="18"/>
          <w:szCs w:val="18"/>
          <w:rtl/>
        </w:rPr>
        <w:t>הגה: אלמנה שבאת לגבות כתובתה, והיתומים טוענין שתתן ערבות שאם ימצאו אח</w:t>
      </w:r>
      <w:r>
        <w:rPr>
          <w:rFonts w:cs="Arial" w:hint="cs"/>
          <w:sz w:val="18"/>
          <w:szCs w:val="18"/>
          <w:rtl/>
        </w:rPr>
        <w:t>"</w:t>
      </w:r>
      <w:r w:rsidRPr="007A47A7">
        <w:rPr>
          <w:rFonts w:cs="Arial"/>
          <w:sz w:val="18"/>
          <w:szCs w:val="18"/>
          <w:rtl/>
        </w:rPr>
        <w:t>כ בעלי חוב המוקדמים שתחזיר מה שגבתה, אין שומעין להם</w:t>
      </w:r>
      <w:r>
        <w:rPr>
          <w:rStyle w:val="a7"/>
          <w:rFonts w:cs="Arial"/>
          <w:sz w:val="18"/>
          <w:szCs w:val="18"/>
          <w:rtl/>
        </w:rPr>
        <w:footnoteReference w:id="2561"/>
      </w:r>
      <w:r>
        <w:rPr>
          <w:rFonts w:cs="Arial" w:hint="cs"/>
          <w:sz w:val="18"/>
          <w:szCs w:val="18"/>
          <w:rtl/>
        </w:rPr>
        <w:t>,</w:t>
      </w:r>
      <w:r w:rsidRPr="007A47A7">
        <w:rPr>
          <w:rFonts w:cs="Arial"/>
          <w:sz w:val="18"/>
          <w:szCs w:val="18"/>
          <w:rtl/>
        </w:rPr>
        <w:t xml:space="preserve"> וגובאת כך בלא ערבות (ריב"ש סי</w:t>
      </w:r>
      <w:r>
        <w:rPr>
          <w:rFonts w:cs="Arial" w:hint="cs"/>
          <w:sz w:val="18"/>
          <w:szCs w:val="18"/>
          <w:rtl/>
        </w:rPr>
        <w:t xml:space="preserve">' </w:t>
      </w:r>
      <w:r w:rsidRPr="007A47A7">
        <w:rPr>
          <w:rFonts w:cs="Arial"/>
          <w:sz w:val="18"/>
          <w:szCs w:val="18"/>
          <w:rtl/>
        </w:rPr>
        <w:t xml:space="preserve">רצט). </w:t>
      </w:r>
    </w:p>
    <w:p w14:paraId="4E21B085" w14:textId="77777777" w:rsidR="002E5BAD" w:rsidRPr="000904BE" w:rsidRDefault="002E5BAD" w:rsidP="002E5BAD">
      <w:pPr>
        <w:rPr>
          <w:rFonts w:cs="Arial"/>
          <w:rtl/>
        </w:rPr>
      </w:pPr>
    </w:p>
    <w:p w14:paraId="7D7DBCDF" w14:textId="77777777" w:rsidR="002E5BAD" w:rsidRDefault="002E5BAD" w:rsidP="002E5BAD">
      <w:pPr>
        <w:pStyle w:val="2"/>
        <w:rPr>
          <w:rtl/>
        </w:rPr>
      </w:pPr>
      <w:r w:rsidRPr="000904BE">
        <w:rPr>
          <w:rtl/>
        </w:rPr>
        <w:t>סעיף ד</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Pr>
          <w:rtl/>
        </w:rPr>
        <w:t>–</w:t>
      </w:r>
      <w:r>
        <w:rPr>
          <w:rFonts w:hint="cs"/>
          <w:rtl/>
        </w:rPr>
        <w:t xml:space="preserve"> ויש בנכסים כדי פריעת שניהם, אבל לאחד קרקע ולאחד ומעות.</w:t>
      </w:r>
    </w:p>
    <w:p w14:paraId="5BC3C00E" w14:textId="77777777" w:rsidR="002E5BAD" w:rsidRPr="00C0191E" w:rsidRDefault="002E5BAD" w:rsidP="002E5BAD">
      <w:pPr>
        <w:rPr>
          <w:rtl/>
        </w:rPr>
      </w:pPr>
      <w:r>
        <w:rPr>
          <w:rFonts w:hint="cs"/>
          <w:rtl/>
        </w:rPr>
        <w:t>עיין במקורות בסעיף הקודם.</w:t>
      </w:r>
    </w:p>
    <w:p w14:paraId="7FABBB7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43B106" w14:textId="77777777" w:rsidR="002E5BAD" w:rsidRDefault="002E5BAD" w:rsidP="002E5BAD">
      <w:pPr>
        <w:rPr>
          <w:rFonts w:cs="Arial"/>
          <w:rtl/>
        </w:rPr>
      </w:pPr>
      <w:r w:rsidRPr="000904BE">
        <w:rPr>
          <w:rFonts w:cs="Arial"/>
          <w:rtl/>
        </w:rPr>
        <w:t xml:space="preserve">אם יש כדי לפרוע לשניהם בקרקע ומעות, אם זמנם שוה נותנים לבעל חוב מעות ולאשה קרקע, </w:t>
      </w:r>
      <w:r>
        <w:rPr>
          <w:rFonts w:cs="Arial" w:hint="cs"/>
          <w:sz w:val="18"/>
          <w:szCs w:val="18"/>
          <w:rtl/>
        </w:rPr>
        <w:t xml:space="preserve">[הגה] </w:t>
      </w:r>
      <w:r w:rsidRPr="007A47A7">
        <w:rPr>
          <w:rFonts w:cs="Arial"/>
          <w:sz w:val="18"/>
          <w:szCs w:val="18"/>
          <w:rtl/>
        </w:rPr>
        <w:t>אפילו יש לה נדוניא עם הכתובה</w:t>
      </w:r>
      <w:r>
        <w:rPr>
          <w:rStyle w:val="a7"/>
          <w:rFonts w:cs="Arial"/>
          <w:sz w:val="18"/>
          <w:szCs w:val="18"/>
          <w:rtl/>
        </w:rPr>
        <w:footnoteReference w:id="2562"/>
      </w:r>
      <w:r w:rsidRPr="007A47A7">
        <w:rPr>
          <w:rFonts w:cs="Arial"/>
          <w:sz w:val="18"/>
          <w:szCs w:val="18"/>
          <w:rtl/>
        </w:rPr>
        <w:t xml:space="preserve"> (כן משמע מפירש"י).</w:t>
      </w:r>
      <w:r w:rsidRPr="000904BE">
        <w:rPr>
          <w:rFonts w:cs="Arial"/>
          <w:rtl/>
        </w:rPr>
        <w:t xml:space="preserve"> ואם קדמה לגבות מעות, יש מי שאומר</w:t>
      </w:r>
      <w:r>
        <w:rPr>
          <w:rStyle w:val="a7"/>
          <w:rFonts w:cs="Arial"/>
          <w:rtl/>
        </w:rPr>
        <w:footnoteReference w:id="2563"/>
      </w:r>
      <w:r w:rsidRPr="000904BE">
        <w:rPr>
          <w:rFonts w:cs="Arial"/>
          <w:rtl/>
        </w:rPr>
        <w:t xml:space="preserve"> שמוציאין מידה ונותנים לבעל חוב. </w:t>
      </w:r>
      <w:r>
        <w:rPr>
          <w:rFonts w:cs="Arial" w:hint="cs"/>
          <w:sz w:val="18"/>
          <w:szCs w:val="18"/>
          <w:rtl/>
        </w:rPr>
        <w:t xml:space="preserve">[הגה] </w:t>
      </w:r>
      <w:r w:rsidRPr="007A47A7">
        <w:rPr>
          <w:rFonts w:cs="Arial"/>
          <w:sz w:val="18"/>
          <w:szCs w:val="18"/>
          <w:rtl/>
        </w:rPr>
        <w:t>מיהו אם הבעל חוב חפץ בקרקע, נותנים לו הקרקע</w:t>
      </w:r>
      <w:r>
        <w:rPr>
          <w:rStyle w:val="a7"/>
          <w:rFonts w:cs="Arial"/>
          <w:sz w:val="18"/>
          <w:szCs w:val="18"/>
          <w:rtl/>
        </w:rPr>
        <w:footnoteReference w:id="2564"/>
      </w:r>
      <w:r w:rsidRPr="007A47A7">
        <w:rPr>
          <w:rFonts w:cs="Arial"/>
          <w:sz w:val="18"/>
          <w:szCs w:val="18"/>
          <w:rtl/>
        </w:rPr>
        <w:t xml:space="preserve"> (טור). </w:t>
      </w:r>
      <w:r w:rsidRPr="000904BE">
        <w:rPr>
          <w:rFonts w:cs="Arial"/>
          <w:rtl/>
        </w:rPr>
        <w:t>ואם אין זמנם שוה, המוקדם נותנים לו המעות</w:t>
      </w:r>
      <w:r>
        <w:rPr>
          <w:rStyle w:val="a7"/>
          <w:rFonts w:cs="Arial"/>
          <w:rtl/>
        </w:rPr>
        <w:footnoteReference w:id="2565"/>
      </w:r>
      <w:r w:rsidRPr="000904BE">
        <w:rPr>
          <w:rFonts w:cs="Arial"/>
          <w:rtl/>
        </w:rPr>
        <w:t>. ואם קדם המאוחר ותפס המעות, יש מי שאומר שמוציאים מידו</w:t>
      </w:r>
      <w:r>
        <w:rPr>
          <w:rStyle w:val="a7"/>
          <w:rFonts w:cs="Arial"/>
          <w:rtl/>
        </w:rPr>
        <w:footnoteReference w:id="2566"/>
      </w:r>
      <w:r w:rsidRPr="000904BE">
        <w:rPr>
          <w:rFonts w:cs="Arial"/>
          <w:rtl/>
        </w:rPr>
        <w:t>.</w:t>
      </w:r>
    </w:p>
    <w:p w14:paraId="11EB297F" w14:textId="77777777" w:rsidR="002E5BAD" w:rsidRPr="000904BE" w:rsidRDefault="002E5BAD" w:rsidP="002E5BAD">
      <w:pPr>
        <w:rPr>
          <w:rFonts w:cs="Arial"/>
          <w:rtl/>
        </w:rPr>
      </w:pPr>
    </w:p>
    <w:p w14:paraId="05A3996C" w14:textId="77777777" w:rsidR="002E5BAD" w:rsidRDefault="002E5BAD" w:rsidP="002E5BAD">
      <w:pPr>
        <w:pStyle w:val="2"/>
        <w:rPr>
          <w:rtl/>
        </w:rPr>
      </w:pPr>
      <w:r w:rsidRPr="000904BE">
        <w:rPr>
          <w:rtl/>
        </w:rPr>
        <w:t>סעיף ה</w:t>
      </w:r>
      <w:r>
        <w:rPr>
          <w:rFonts w:hint="cs"/>
          <w:rtl/>
        </w:rPr>
        <w:t>: אלמנה שבאה לגבות נכסים כנגד הנכסי צאן ברזל שלה.</w:t>
      </w:r>
    </w:p>
    <w:p w14:paraId="7041851F" w14:textId="77777777" w:rsidR="002E5BAD" w:rsidRPr="00EA7B48" w:rsidRDefault="002E5BAD" w:rsidP="002E5BAD">
      <w:pPr>
        <w:rPr>
          <w:u w:val="single"/>
          <w:rtl/>
        </w:rPr>
      </w:pPr>
      <w:r w:rsidRPr="00EA7B48">
        <w:rPr>
          <w:rFonts w:hint="cs"/>
          <w:u w:val="single"/>
          <w:rtl/>
        </w:rPr>
        <w:t>אלמנה שבאה לגבות נכסים כנגד הנכסי צאן ברזל שלה:</w:t>
      </w:r>
    </w:p>
    <w:p w14:paraId="1C9CDBA4" w14:textId="77777777" w:rsidR="002E5BAD" w:rsidRPr="00320E25" w:rsidRDefault="002E5BAD" w:rsidP="00B75458">
      <w:pPr>
        <w:pStyle w:val="ab"/>
        <w:numPr>
          <w:ilvl w:val="0"/>
          <w:numId w:val="192"/>
        </w:numPr>
      </w:pPr>
      <w:r>
        <w:rPr>
          <w:rFonts w:cs="Arial" w:hint="cs"/>
          <w:rtl/>
        </w:rPr>
        <w:lastRenderedPageBreak/>
        <w:t xml:space="preserve">טור- </w:t>
      </w:r>
      <w:r w:rsidRPr="00A167C1">
        <w:rPr>
          <w:rFonts w:cs="Arial"/>
          <w:rtl/>
        </w:rPr>
        <w:t xml:space="preserve">כתב הרמב"ם </w:t>
      </w:r>
      <w:r>
        <w:rPr>
          <w:rFonts w:cs="Arial" w:hint="cs"/>
          <w:sz w:val="16"/>
          <w:szCs w:val="16"/>
          <w:rtl/>
        </w:rPr>
        <w:t xml:space="preserve">(פי"ז מאישות ה"ז) </w:t>
      </w:r>
      <w:r w:rsidRPr="00A167C1">
        <w:rPr>
          <w:rFonts w:cs="Arial"/>
          <w:rtl/>
        </w:rPr>
        <w:t>היו כתובים בכתובה נכסי צאן ברזל</w:t>
      </w:r>
      <w:r>
        <w:rPr>
          <w:rFonts w:cs="Arial" w:hint="cs"/>
          <w:rtl/>
        </w:rPr>
        <w:t>,</w:t>
      </w:r>
      <w:r w:rsidRPr="00A167C1">
        <w:rPr>
          <w:rFonts w:cs="Arial"/>
          <w:rtl/>
        </w:rPr>
        <w:t xml:space="preserve"> וטענה שאבדו או שלקחן הבעל </w:t>
      </w:r>
      <w:r>
        <w:rPr>
          <w:rFonts w:cs="Arial" w:hint="cs"/>
          <w:rtl/>
        </w:rPr>
        <w:t xml:space="preserve">- </w:t>
      </w:r>
      <w:r w:rsidRPr="00A167C1">
        <w:rPr>
          <w:rFonts w:cs="Arial"/>
          <w:rtl/>
        </w:rPr>
        <w:t>הרי היא בנכסי צאן ברזל כשאר בעלי חובות</w:t>
      </w:r>
      <w:r>
        <w:rPr>
          <w:rFonts w:cs="Arial" w:hint="cs"/>
          <w:rtl/>
        </w:rPr>
        <w:t>,</w:t>
      </w:r>
      <w:r w:rsidRPr="00A167C1">
        <w:rPr>
          <w:rFonts w:cs="Arial"/>
          <w:rtl/>
        </w:rPr>
        <w:t xml:space="preserve"> ונשבעת שלא לקחה אותם ולא נתנה ולא מחלה</w:t>
      </w:r>
      <w:r>
        <w:rPr>
          <w:rFonts w:cs="Arial" w:hint="cs"/>
          <w:rtl/>
        </w:rPr>
        <w:t>,</w:t>
      </w:r>
      <w:r w:rsidRPr="00A167C1">
        <w:rPr>
          <w:rFonts w:cs="Arial"/>
          <w:rtl/>
        </w:rPr>
        <w:t xml:space="preserve"> וחולקת עם בעלי חובות</w:t>
      </w:r>
      <w:r>
        <w:rPr>
          <w:rStyle w:val="a7"/>
          <w:rFonts w:cs="Arial"/>
          <w:rtl/>
        </w:rPr>
        <w:footnoteReference w:id="2567"/>
      </w:r>
      <w:r>
        <w:rPr>
          <w:rFonts w:cs="Arial" w:hint="cs"/>
          <w:rtl/>
        </w:rPr>
        <w:t>.</w:t>
      </w:r>
    </w:p>
    <w:p w14:paraId="48A2F347" w14:textId="77777777" w:rsidR="002E5BAD" w:rsidRPr="00C0191E" w:rsidRDefault="002E5BAD" w:rsidP="00B75458">
      <w:pPr>
        <w:pStyle w:val="ab"/>
        <w:numPr>
          <w:ilvl w:val="0"/>
          <w:numId w:val="192"/>
        </w:numPr>
        <w:rPr>
          <w:rtl/>
        </w:rPr>
      </w:pPr>
      <w:r w:rsidRPr="00A167C1">
        <w:rPr>
          <w:rFonts w:cs="Arial"/>
          <w:rtl/>
        </w:rPr>
        <w:t>רש"י</w:t>
      </w:r>
      <w:r>
        <w:rPr>
          <w:rFonts w:cs="Arial" w:hint="cs"/>
          <w:sz w:val="16"/>
          <w:szCs w:val="16"/>
          <w:rtl/>
        </w:rPr>
        <w:t xml:space="preserve"> ([פו. ד"ה האי], להב' הטור)</w:t>
      </w:r>
      <w:r>
        <w:rPr>
          <w:rFonts w:cs="Arial" w:hint="cs"/>
          <w:rtl/>
        </w:rPr>
        <w:t>-</w:t>
      </w:r>
      <w:r w:rsidRPr="00A167C1">
        <w:rPr>
          <w:rFonts w:cs="Arial"/>
          <w:rtl/>
        </w:rPr>
        <w:t xml:space="preserve"> דין נכסי צאן ברזל כדין שאר הכתובה</w:t>
      </w:r>
      <w:r>
        <w:rPr>
          <w:rStyle w:val="a7"/>
          <w:rFonts w:cs="Arial"/>
          <w:rtl/>
        </w:rPr>
        <w:footnoteReference w:id="2568"/>
      </w:r>
      <w:r>
        <w:rPr>
          <w:rFonts w:cs="Arial" w:hint="cs"/>
          <w:sz w:val="16"/>
          <w:szCs w:val="16"/>
          <w:rtl/>
        </w:rPr>
        <w:t xml:space="preserve"> (ל' הטור בשם רש"י)</w:t>
      </w:r>
      <w:r>
        <w:rPr>
          <w:rFonts w:cs="Arial" w:hint="cs"/>
          <w:rtl/>
        </w:rPr>
        <w:t>.</w:t>
      </w:r>
      <w:r w:rsidRPr="00A167C1">
        <w:rPr>
          <w:rFonts w:cs="Arial"/>
          <w:rtl/>
        </w:rPr>
        <w:t xml:space="preserve"> </w:t>
      </w:r>
    </w:p>
    <w:p w14:paraId="2E5BB65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F6E453A" w14:textId="77777777" w:rsidR="002E5BAD" w:rsidRDefault="002E5BAD" w:rsidP="002E5BAD">
      <w:pPr>
        <w:rPr>
          <w:rFonts w:cs="Arial"/>
          <w:rtl/>
        </w:rPr>
      </w:pPr>
      <w:r w:rsidRPr="000904BE">
        <w:rPr>
          <w:rFonts w:cs="Arial"/>
          <w:rtl/>
        </w:rPr>
        <w:t>היו כתובים בכתובה נכסי צ</w:t>
      </w:r>
      <w:r>
        <w:rPr>
          <w:rFonts w:cs="Arial" w:hint="cs"/>
          <w:rtl/>
        </w:rPr>
        <w:t>אן ברזל</w:t>
      </w:r>
      <w:r w:rsidRPr="000904BE">
        <w:rPr>
          <w:rFonts w:cs="Arial"/>
          <w:rtl/>
        </w:rPr>
        <w:t>, וטענה שאבדו או שלקחם הבעל, הרי היא בנכסי צאן ברזל כשאר בעלי חובות ונשבעת שלא לקחה אותם ולא נתנה ולא מחלה, וחולקת עם בעלי חובות</w:t>
      </w:r>
      <w:r>
        <w:rPr>
          <w:rStyle w:val="a7"/>
          <w:rFonts w:cs="Arial"/>
          <w:rtl/>
        </w:rPr>
        <w:footnoteReference w:id="2569"/>
      </w:r>
      <w:r w:rsidRPr="000904BE">
        <w:rPr>
          <w:rFonts w:cs="Arial"/>
          <w:rtl/>
        </w:rPr>
        <w:t xml:space="preserve">. </w:t>
      </w:r>
      <w:r w:rsidRPr="007A47A7">
        <w:rPr>
          <w:rFonts w:cs="Arial"/>
          <w:sz w:val="18"/>
          <w:szCs w:val="18"/>
          <w:rtl/>
        </w:rPr>
        <w:t xml:space="preserve">הגה: אם בעל חוב גובה מנדוניית האשה שהיא בעין עיין בח"ה סי' צ"ז סעיף כ"ו. </w:t>
      </w:r>
    </w:p>
    <w:p w14:paraId="146288F5" w14:textId="77777777" w:rsidR="002E5BAD" w:rsidRPr="000904BE" w:rsidRDefault="002E5BAD" w:rsidP="002E5BAD">
      <w:pPr>
        <w:rPr>
          <w:rFonts w:cs="Arial"/>
          <w:rtl/>
        </w:rPr>
      </w:pPr>
    </w:p>
    <w:p w14:paraId="232CCC0A" w14:textId="77777777" w:rsidR="002E5BAD" w:rsidRDefault="002E5BAD" w:rsidP="002E5BAD">
      <w:pPr>
        <w:pStyle w:val="2"/>
        <w:rPr>
          <w:rtl/>
        </w:rPr>
      </w:pPr>
      <w:r w:rsidRPr="000904BE">
        <w:rPr>
          <w:rtl/>
        </w:rPr>
        <w:t>סעיף ו</w:t>
      </w:r>
      <w:r>
        <w:rPr>
          <w:rFonts w:hint="cs"/>
          <w:rtl/>
        </w:rPr>
        <w:t>: ערב לאשה בכתובתה.</w:t>
      </w:r>
    </w:p>
    <w:p w14:paraId="089C557B" w14:textId="77777777" w:rsidR="002E5BAD" w:rsidRPr="00693F20" w:rsidRDefault="002E5BAD" w:rsidP="002E5BAD">
      <w:pPr>
        <w:rPr>
          <w:rtl/>
        </w:rPr>
      </w:pPr>
      <w:r w:rsidRPr="003B0B1D">
        <w:rPr>
          <w:rFonts w:hint="cs"/>
          <w:b/>
          <w:bCs/>
          <w:rtl/>
        </w:rPr>
        <w:t xml:space="preserve">בבא בתרא </w:t>
      </w:r>
      <w:r w:rsidRPr="003B0B1D">
        <w:rPr>
          <w:rFonts w:hint="cs"/>
          <w:b/>
          <w:bCs/>
          <w:sz w:val="16"/>
          <w:szCs w:val="16"/>
          <w:rtl/>
        </w:rPr>
        <w:t>(פ' בתרא)</w:t>
      </w:r>
      <w:r w:rsidRPr="003B0B1D">
        <w:rPr>
          <w:rFonts w:hint="cs"/>
          <w:b/>
          <w:bCs/>
          <w:rtl/>
        </w:rPr>
        <w:t xml:space="preserve"> קע</w:t>
      </w:r>
      <w:r>
        <w:rPr>
          <w:rFonts w:hint="cs"/>
          <w:b/>
          <w:bCs/>
          <w:rtl/>
        </w:rPr>
        <w:t>ג</w:t>
      </w:r>
      <w:r w:rsidRPr="003B0B1D">
        <w:rPr>
          <w:rFonts w:hint="cs"/>
          <w:b/>
          <w:bCs/>
          <w:rtl/>
        </w:rPr>
        <w:t xml:space="preserve"> ע"ב:</w:t>
      </w:r>
      <w:r>
        <w:rPr>
          <w:rFonts w:hint="cs"/>
          <w:rtl/>
        </w:rPr>
        <w:t xml:space="preserve"> </w:t>
      </w:r>
      <w:r w:rsidRPr="003B0B1D">
        <w:rPr>
          <w:rFonts w:cs="Arial" w:hint="cs"/>
          <w:u w:val="double"/>
          <w:rtl/>
        </w:rPr>
        <w:t>מתני'</w:t>
      </w:r>
      <w:r>
        <w:rPr>
          <w:rFonts w:cs="Arial" w:hint="cs"/>
          <w:rtl/>
        </w:rPr>
        <w:t xml:space="preserve">:... </w:t>
      </w:r>
      <w:r w:rsidRPr="003B0B1D">
        <w:rPr>
          <w:rFonts w:cs="Arial"/>
          <w:u w:val="single"/>
          <w:rtl/>
        </w:rPr>
        <w:t>וכן היה רבן שמעון בן גמליאל אומר</w:t>
      </w:r>
      <w:r w:rsidRPr="003B0B1D">
        <w:rPr>
          <w:rFonts w:cs="Arial"/>
          <w:rtl/>
        </w:rPr>
        <w:t xml:space="preserve">: הערב לאשה בכתובתה, והיה בעלה מגרשה - ידירנה הנאה, שמא יעשו קנוניא על נכסים של זה ויחזיר את אשתו. </w:t>
      </w:r>
      <w:r>
        <w:rPr>
          <w:rFonts w:cs="Arial" w:hint="cs"/>
          <w:rtl/>
        </w:rPr>
        <w:t xml:space="preserve">        </w:t>
      </w:r>
      <w:r w:rsidRPr="003B0B1D">
        <w:rPr>
          <w:rFonts w:cs="Arial" w:hint="cs"/>
          <w:u w:val="double"/>
          <w:rtl/>
        </w:rPr>
        <w:t>גמ'</w:t>
      </w:r>
      <w:r>
        <w:rPr>
          <w:rFonts w:cs="Arial" w:hint="cs"/>
          <w:u w:val="double"/>
          <w:rtl/>
        </w:rPr>
        <w:t xml:space="preserve"> </w:t>
      </w:r>
      <w:r w:rsidRPr="003B0B1D">
        <w:rPr>
          <w:rFonts w:cs="Arial" w:hint="cs"/>
          <w:sz w:val="14"/>
          <w:szCs w:val="14"/>
          <w:u w:val="double"/>
          <w:rtl/>
        </w:rPr>
        <w:t>(קעד:)</w:t>
      </w:r>
      <w:r w:rsidRPr="003B0B1D">
        <w:rPr>
          <w:rFonts w:cs="Arial" w:hint="cs"/>
          <w:u w:val="double"/>
          <w:rtl/>
        </w:rPr>
        <w:t>:</w:t>
      </w:r>
      <w:r>
        <w:rPr>
          <w:rFonts w:cs="Arial" w:hint="cs"/>
          <w:rtl/>
        </w:rPr>
        <w:t xml:space="preserve"> </w:t>
      </w:r>
      <w:r>
        <w:rPr>
          <w:rFonts w:cs="Arial"/>
          <w:rtl/>
        </w:rPr>
        <w:t>וכן היה רשב"ג אומר: הערב לאשה בכתובתה וכו'. משה בר עצרי ערבא דכתובתה דכלתיה הוה, רב הונא בריה צורבא מדרבנן הוה ודחיקא ליה מילתא</w:t>
      </w:r>
      <w:r>
        <w:rPr>
          <w:rFonts w:cs="Arial" w:hint="cs"/>
          <w:rtl/>
        </w:rPr>
        <w:t>.</w:t>
      </w:r>
      <w:r>
        <w:rPr>
          <w:rFonts w:cs="Arial"/>
          <w:rtl/>
        </w:rPr>
        <w:t xml:space="preserve"> </w:t>
      </w:r>
      <w:r w:rsidRPr="003B0B1D">
        <w:rPr>
          <w:rFonts w:cs="Arial"/>
          <w:u w:val="single"/>
          <w:rtl/>
        </w:rPr>
        <w:t>אמר אביי</w:t>
      </w:r>
      <w:r>
        <w:rPr>
          <w:rFonts w:cs="Arial"/>
          <w:rtl/>
        </w:rPr>
        <w:t xml:space="preserve">: ליכא דניזיל דנסביה עצה לרב הונא, דנגרשה לדביתהו ותיזיל ותגבי כתובה מאבוה, והדר נהדרה? </w:t>
      </w:r>
      <w:r w:rsidRPr="003B0B1D">
        <w:rPr>
          <w:rFonts w:cs="Arial"/>
          <w:u w:val="single"/>
          <w:rtl/>
        </w:rPr>
        <w:t>א"ל רבא</w:t>
      </w:r>
      <w:r>
        <w:rPr>
          <w:rFonts w:cs="Arial"/>
          <w:rtl/>
        </w:rPr>
        <w:t xml:space="preserve">: והא ידירנה הנאה תנן! </w:t>
      </w:r>
      <w:r w:rsidRPr="003B0B1D">
        <w:rPr>
          <w:rFonts w:cs="Arial"/>
          <w:u w:val="single"/>
          <w:rtl/>
        </w:rPr>
        <w:t>א"ל אביי</w:t>
      </w:r>
      <w:r>
        <w:rPr>
          <w:rFonts w:cs="Arial"/>
          <w:rtl/>
        </w:rPr>
        <w:t xml:space="preserve">: אטו כל דמגרש - בבי דינא מגרש? לסוף איגלאי מילתא דכהן הוא. </w:t>
      </w:r>
      <w:r w:rsidRPr="003B0B1D">
        <w:rPr>
          <w:rFonts w:cs="Arial"/>
          <w:u w:val="single"/>
          <w:rtl/>
        </w:rPr>
        <w:t>אמר אביי</w:t>
      </w:r>
      <w:r>
        <w:rPr>
          <w:rFonts w:cs="Arial" w:hint="cs"/>
          <w:rtl/>
        </w:rPr>
        <w:t>:</w:t>
      </w:r>
      <w:r>
        <w:rPr>
          <w:rFonts w:cs="Arial"/>
          <w:rtl/>
        </w:rPr>
        <w:t xml:space="preserve"> היינו דאמרי אינשי</w:t>
      </w:r>
      <w:r>
        <w:rPr>
          <w:rFonts w:cs="Arial" w:hint="cs"/>
          <w:rtl/>
        </w:rPr>
        <w:t>,</w:t>
      </w:r>
      <w:r>
        <w:rPr>
          <w:rFonts w:cs="Arial"/>
          <w:rtl/>
        </w:rPr>
        <w:t xml:space="preserve"> בתר עניא אזלא עניותא. ומי אמר אביי הכי? והא אמר אביי: איזהו רשע ערום? זה המשיא עצה למכור בנכסי' כרשב"ג! בנו שאני, וצורבא מרבנן שאני. והא ערב הוא, וקיימא לן: ערב דכתובה לא משתעבד! קבלן הוה. הניחא למ"ד: קבלן דכתובה אף על גב דלית ליה נכסי לבעל משתעבד - שפיר, אלא למאן דאמר: אי אית ליה משתעבד, אי לית ליה לא משתעבד - מאי איכא למימר? איבעית אימא: מיהוי הוה ליה ואישתדוף. ואיבעית אימא: אבא לגבי בריה שעבודי משעבד נפשיה</w:t>
      </w:r>
      <w:r>
        <w:rPr>
          <w:rStyle w:val="a7"/>
          <w:rFonts w:cs="Arial"/>
          <w:rtl/>
        </w:rPr>
        <w:footnoteReference w:id="2570"/>
      </w:r>
      <w:r>
        <w:rPr>
          <w:rFonts w:cs="Arial"/>
          <w:rtl/>
        </w:rPr>
        <w:t>, דאיתמר: ערב דכתובה - דברי הכל לא משתעבד, קבלן דבעל חוב - דברי הכל משתעבד, קבלן דכתובה וערב דבעל חוב - פליגי, מר סבר: אי אית ליה נכסי ללוה - משתעבד, אי לית ליה - לא משתעבד</w:t>
      </w:r>
      <w:r>
        <w:rPr>
          <w:rStyle w:val="a7"/>
          <w:rFonts w:cs="Arial"/>
          <w:rtl/>
        </w:rPr>
        <w:footnoteReference w:id="2571"/>
      </w:r>
      <w:r>
        <w:rPr>
          <w:rFonts w:cs="Arial" w:hint="cs"/>
          <w:rtl/>
        </w:rPr>
        <w:t>,</w:t>
      </w:r>
      <w:r>
        <w:rPr>
          <w:rFonts w:cs="Arial"/>
          <w:rtl/>
        </w:rPr>
        <w:t xml:space="preserve"> ומר סבר: בין אית ליה ובין לית ליה - משתעבד. והלכתא: ערב, בין אית ליה ובין לית ליה - משתעבד</w:t>
      </w:r>
      <w:r>
        <w:rPr>
          <w:rStyle w:val="a7"/>
          <w:rFonts w:cs="Arial"/>
          <w:rtl/>
        </w:rPr>
        <w:footnoteReference w:id="2572"/>
      </w:r>
      <w:r>
        <w:rPr>
          <w:rFonts w:cs="Arial"/>
          <w:rtl/>
        </w:rPr>
        <w:t>, בר מערב דכתובה, דאע"ג דאית ליה לבעל - לא משתעבד, מאי טעמא? מצוה הוא דעבד</w:t>
      </w:r>
      <w:r>
        <w:rPr>
          <w:rStyle w:val="a7"/>
          <w:rFonts w:cs="Arial"/>
          <w:rtl/>
        </w:rPr>
        <w:footnoteReference w:id="2573"/>
      </w:r>
      <w:r>
        <w:rPr>
          <w:rFonts w:cs="Arial"/>
          <w:rtl/>
        </w:rPr>
        <w:t xml:space="preserve"> ולאו מידי חסרה. </w:t>
      </w:r>
    </w:p>
    <w:p w14:paraId="70880BD9" w14:textId="77777777" w:rsidR="002E5BAD" w:rsidRPr="00693F20" w:rsidRDefault="002E5BAD" w:rsidP="002E5BAD">
      <w:pPr>
        <w:rPr>
          <w:u w:val="single"/>
          <w:rtl/>
        </w:rPr>
      </w:pPr>
      <w:r w:rsidRPr="00693F20">
        <w:rPr>
          <w:rFonts w:hint="cs"/>
          <w:u w:val="single"/>
          <w:rtl/>
        </w:rPr>
        <w:t>הערב לאשה בכתובתה:</w:t>
      </w:r>
    </w:p>
    <w:p w14:paraId="2E3B7E91" w14:textId="77777777" w:rsidR="002E5BAD" w:rsidRDefault="002E5BAD" w:rsidP="00B75458">
      <w:pPr>
        <w:pStyle w:val="ab"/>
        <w:numPr>
          <w:ilvl w:val="0"/>
          <w:numId w:val="192"/>
        </w:numPr>
      </w:pPr>
      <w:r>
        <w:rPr>
          <w:rFonts w:cs="Arial" w:hint="cs"/>
          <w:rtl/>
        </w:rPr>
        <w:t xml:space="preserve">רמב"ם </w:t>
      </w:r>
      <w:r>
        <w:rPr>
          <w:rFonts w:cs="Arial" w:hint="cs"/>
          <w:sz w:val="16"/>
          <w:szCs w:val="16"/>
          <w:rtl/>
        </w:rPr>
        <w:t>(פי"ז מאישות ה"ט, ובפכ"ה ממלוה ולוה ה"ו)</w:t>
      </w:r>
      <w:r>
        <w:rPr>
          <w:rFonts w:cs="Arial" w:hint="cs"/>
          <w:rtl/>
        </w:rPr>
        <w:t xml:space="preserve">- </w:t>
      </w:r>
      <w:r w:rsidRPr="000756C6">
        <w:rPr>
          <w:rFonts w:cs="Arial"/>
          <w:rtl/>
        </w:rPr>
        <w:t>הערב לאשה בכתובתה אף על פי שקנו מידו</w:t>
      </w:r>
      <w:r>
        <w:rPr>
          <w:rStyle w:val="a7"/>
          <w:rFonts w:cs="Arial"/>
          <w:rtl/>
        </w:rPr>
        <w:footnoteReference w:id="2574"/>
      </w:r>
      <w:r w:rsidRPr="000756C6">
        <w:rPr>
          <w:rFonts w:cs="Arial"/>
          <w:rtl/>
        </w:rPr>
        <w:t xml:space="preserve"> </w:t>
      </w:r>
      <w:r>
        <w:rPr>
          <w:rFonts w:cs="Arial" w:hint="cs"/>
          <w:rtl/>
        </w:rPr>
        <w:t xml:space="preserve">- </w:t>
      </w:r>
      <w:r w:rsidRPr="000756C6">
        <w:rPr>
          <w:rFonts w:cs="Arial"/>
          <w:rtl/>
        </w:rPr>
        <w:t>אינו חייב לשלם, שמצוה עשה והרי לא חסרה כלום</w:t>
      </w:r>
      <w:r>
        <w:rPr>
          <w:rFonts w:cs="Arial" w:hint="cs"/>
          <w:rtl/>
        </w:rPr>
        <w:t>.</w:t>
      </w:r>
      <w:r w:rsidRPr="000756C6">
        <w:rPr>
          <w:rFonts w:cs="Arial"/>
          <w:rtl/>
        </w:rPr>
        <w:t xml:space="preserve"> ואם ערב של כתובת בנו הוא וקנו מידו</w:t>
      </w:r>
      <w:r>
        <w:rPr>
          <w:rFonts w:cs="Arial" w:hint="cs"/>
          <w:rtl/>
        </w:rPr>
        <w:t xml:space="preserve"> -</w:t>
      </w:r>
      <w:r w:rsidRPr="000756C6">
        <w:rPr>
          <w:rFonts w:cs="Arial"/>
          <w:rtl/>
        </w:rPr>
        <w:t xml:space="preserve"> חייב לשלם, שהאב בגלל בנו משעבד עצמו וגומר ומקנה</w:t>
      </w:r>
      <w:r>
        <w:rPr>
          <w:rFonts w:cs="Arial" w:hint="cs"/>
          <w:rtl/>
        </w:rPr>
        <w:t xml:space="preserve"> </w:t>
      </w:r>
      <w:r>
        <w:rPr>
          <w:rFonts w:cs="Arial" w:hint="cs"/>
          <w:sz w:val="16"/>
          <w:szCs w:val="16"/>
          <w:rtl/>
        </w:rPr>
        <w:t>(ל' הרמב"ם בהל' אישות)</w:t>
      </w:r>
      <w:r>
        <w:rPr>
          <w:rFonts w:cs="Arial" w:hint="cs"/>
          <w:rtl/>
        </w:rPr>
        <w:t>.</w:t>
      </w:r>
      <w:r w:rsidRPr="000756C6">
        <w:rPr>
          <w:rFonts w:cs="Arial"/>
          <w:rtl/>
        </w:rPr>
        <w:t xml:space="preserve"> </w:t>
      </w:r>
      <w:r w:rsidRPr="001E5A53">
        <w:rPr>
          <w:rFonts w:hint="cs"/>
          <w:color w:val="E36C0A" w:themeColor="accent6" w:themeShade="BF"/>
          <w:rtl/>
        </w:rPr>
        <w:t>(וכ"פ בשו"ע)</w:t>
      </w:r>
    </w:p>
    <w:p w14:paraId="3B734888" w14:textId="77777777" w:rsidR="002E5BAD" w:rsidRPr="00E12599" w:rsidRDefault="002E5BAD" w:rsidP="00B75458">
      <w:pPr>
        <w:pStyle w:val="ab"/>
        <w:numPr>
          <w:ilvl w:val="0"/>
          <w:numId w:val="192"/>
        </w:numPr>
      </w:pPr>
      <w:r w:rsidRPr="000756C6">
        <w:rPr>
          <w:rFonts w:cs="Arial"/>
          <w:rtl/>
        </w:rPr>
        <w:lastRenderedPageBreak/>
        <w:t xml:space="preserve">ראב"ד </w:t>
      </w:r>
      <w:r>
        <w:rPr>
          <w:rFonts w:cs="Arial" w:hint="cs"/>
          <w:sz w:val="16"/>
          <w:szCs w:val="16"/>
          <w:rtl/>
        </w:rPr>
        <w:t>(בהשגות שם, ושם)</w:t>
      </w:r>
      <w:r>
        <w:rPr>
          <w:rFonts w:cs="Arial" w:hint="cs"/>
          <w:rtl/>
        </w:rPr>
        <w:t xml:space="preserve"> וטור- </w:t>
      </w:r>
      <w:r w:rsidRPr="000756C6">
        <w:rPr>
          <w:rFonts w:cs="Arial"/>
          <w:rtl/>
        </w:rPr>
        <w:t>הערב לאשה בכתובתה</w:t>
      </w:r>
      <w:r>
        <w:rPr>
          <w:rFonts w:cs="Arial" w:hint="cs"/>
          <w:rtl/>
        </w:rPr>
        <w:t xml:space="preserve"> - </w:t>
      </w:r>
      <w:r w:rsidRPr="000756C6">
        <w:rPr>
          <w:rFonts w:cs="Arial"/>
          <w:rtl/>
        </w:rPr>
        <w:t>אינו חייב לשלם</w:t>
      </w:r>
      <w:r>
        <w:rPr>
          <w:rFonts w:cs="Arial" w:hint="cs"/>
          <w:rtl/>
        </w:rPr>
        <w:t>, בד"א בשלא קנו מידו. הא קנו מידו - חייב</w:t>
      </w:r>
      <w:r>
        <w:rPr>
          <w:rStyle w:val="a7"/>
          <w:rFonts w:cs="Arial"/>
          <w:rtl/>
        </w:rPr>
        <w:footnoteReference w:id="2575"/>
      </w:r>
      <w:r w:rsidRPr="000756C6">
        <w:rPr>
          <w:rFonts w:cs="Arial"/>
          <w:rtl/>
        </w:rPr>
        <w:t xml:space="preserve">. ואם </w:t>
      </w:r>
      <w:r>
        <w:rPr>
          <w:rFonts w:cs="Arial" w:hint="cs"/>
          <w:rtl/>
        </w:rPr>
        <w:t xml:space="preserve">הוא </w:t>
      </w:r>
      <w:r w:rsidRPr="000756C6">
        <w:rPr>
          <w:rFonts w:cs="Arial"/>
          <w:rtl/>
        </w:rPr>
        <w:t xml:space="preserve">ערב של כתובת בנו </w:t>
      </w:r>
      <w:r>
        <w:rPr>
          <w:rFonts w:cs="Arial" w:hint="cs"/>
          <w:rtl/>
        </w:rPr>
        <w:t xml:space="preserve">אע"פ שלא </w:t>
      </w:r>
      <w:r w:rsidRPr="000756C6">
        <w:rPr>
          <w:rFonts w:cs="Arial"/>
          <w:rtl/>
        </w:rPr>
        <w:t>קנו מידו</w:t>
      </w:r>
      <w:r>
        <w:rPr>
          <w:rFonts w:cs="Arial" w:hint="cs"/>
          <w:rtl/>
        </w:rPr>
        <w:t xml:space="preserve"> -</w:t>
      </w:r>
      <w:r w:rsidRPr="000756C6">
        <w:rPr>
          <w:rFonts w:cs="Arial"/>
          <w:rtl/>
        </w:rPr>
        <w:t xml:space="preserve"> חייב לשלם</w:t>
      </w:r>
      <w:r>
        <w:rPr>
          <w:rFonts w:hint="cs"/>
          <w:sz w:val="16"/>
          <w:szCs w:val="16"/>
          <w:rtl/>
        </w:rPr>
        <w:t xml:space="preserve"> (ע"פ דברי הראב"ד בהשגות)</w:t>
      </w:r>
      <w:r>
        <w:rPr>
          <w:rFonts w:hint="cs"/>
          <w:rtl/>
        </w:rPr>
        <w:t xml:space="preserve">. </w:t>
      </w:r>
      <w:r w:rsidRPr="001E5A53">
        <w:rPr>
          <w:rFonts w:hint="cs"/>
          <w:color w:val="00B0F0"/>
          <w:rtl/>
        </w:rPr>
        <w:t>(וכ"כ הרמ"א)</w:t>
      </w:r>
    </w:p>
    <w:p w14:paraId="50B26AAA" w14:textId="77777777" w:rsidR="002E5BAD" w:rsidRPr="00E12599" w:rsidRDefault="002E5BAD" w:rsidP="002E5BAD">
      <w:pPr>
        <w:ind w:left="360"/>
        <w:rPr>
          <w:u w:val="dotted"/>
        </w:rPr>
      </w:pPr>
      <w:r w:rsidRPr="00E12599">
        <w:rPr>
          <w:rFonts w:hint="cs"/>
          <w:u w:val="dotted"/>
          <w:rtl/>
        </w:rPr>
        <w:t>ומה הדין אם הוא ערב קבלן:</w:t>
      </w:r>
    </w:p>
    <w:p w14:paraId="67B2CCC1" w14:textId="77777777" w:rsidR="002E5BAD" w:rsidRPr="001F3F89" w:rsidRDefault="002E5BAD" w:rsidP="00B75458">
      <w:pPr>
        <w:pStyle w:val="ab"/>
        <w:numPr>
          <w:ilvl w:val="0"/>
          <w:numId w:val="192"/>
        </w:numPr>
      </w:pPr>
      <w:r>
        <w:rPr>
          <w:rFonts w:cs="Arial" w:hint="cs"/>
          <w:rtl/>
        </w:rPr>
        <w:t xml:space="preserve">רמב"ם </w:t>
      </w:r>
      <w:r>
        <w:rPr>
          <w:rFonts w:cs="Arial" w:hint="cs"/>
          <w:sz w:val="16"/>
          <w:szCs w:val="16"/>
          <w:rtl/>
        </w:rPr>
        <w:t>(שם, ושם)</w:t>
      </w:r>
      <w:r>
        <w:rPr>
          <w:rFonts w:cs="Arial" w:hint="cs"/>
          <w:rtl/>
        </w:rPr>
        <w:t xml:space="preserve"> וטור</w:t>
      </w:r>
      <w:r>
        <w:rPr>
          <w:rStyle w:val="a7"/>
          <w:rFonts w:cs="Arial"/>
          <w:rtl/>
        </w:rPr>
        <w:footnoteReference w:id="2576"/>
      </w:r>
      <w:r>
        <w:rPr>
          <w:rFonts w:cs="Arial" w:hint="cs"/>
          <w:rtl/>
        </w:rPr>
        <w:t xml:space="preserve">- </w:t>
      </w:r>
      <w:r w:rsidRPr="000756C6">
        <w:rPr>
          <w:rFonts w:cs="Arial"/>
          <w:rtl/>
        </w:rPr>
        <w:t>קבלן של כתובה חייב לשלם אע</w:t>
      </w:r>
      <w:r>
        <w:rPr>
          <w:rFonts w:cs="Arial" w:hint="cs"/>
          <w:rtl/>
        </w:rPr>
        <w:t>"</w:t>
      </w:r>
      <w:r w:rsidRPr="000756C6">
        <w:rPr>
          <w:rFonts w:cs="Arial"/>
          <w:rtl/>
        </w:rPr>
        <w:t>פ שלא קנו מידו</w:t>
      </w:r>
      <w:r>
        <w:rPr>
          <w:rStyle w:val="a7"/>
          <w:rFonts w:cs="Arial"/>
          <w:rtl/>
        </w:rPr>
        <w:footnoteReference w:id="2577"/>
      </w:r>
      <w:r>
        <w:rPr>
          <w:rFonts w:cs="Arial" w:hint="cs"/>
          <w:rtl/>
        </w:rPr>
        <w:t>.</w:t>
      </w:r>
      <w:r w:rsidRPr="000756C6">
        <w:rPr>
          <w:rFonts w:cs="Arial"/>
          <w:rtl/>
        </w:rPr>
        <w:t xml:space="preserve"> ואיזה הוא קבלן, זה שאמר לאשה </w:t>
      </w:r>
      <w:r>
        <w:rPr>
          <w:rFonts w:cs="Arial" w:hint="cs"/>
          <w:rtl/>
        </w:rPr>
        <w:t>'</w:t>
      </w:r>
      <w:r w:rsidRPr="000756C6">
        <w:rPr>
          <w:rFonts w:cs="Arial"/>
          <w:rtl/>
        </w:rPr>
        <w:t>הנשאי לזה ואני נותן כתובה זו</w:t>
      </w:r>
      <w:r>
        <w:rPr>
          <w:rFonts w:cs="Arial" w:hint="cs"/>
          <w:rtl/>
        </w:rPr>
        <w:t>'</w:t>
      </w:r>
      <w:r>
        <w:rPr>
          <w:rStyle w:val="a7"/>
          <w:rFonts w:cs="Arial"/>
          <w:rtl/>
        </w:rPr>
        <w:footnoteReference w:id="2578"/>
      </w:r>
      <w:r>
        <w:rPr>
          <w:rFonts w:cs="Arial" w:hint="cs"/>
          <w:rtl/>
        </w:rPr>
        <w:t>.</w:t>
      </w:r>
      <w:r w:rsidRPr="000756C6">
        <w:rPr>
          <w:rFonts w:cs="Arial"/>
          <w:rtl/>
        </w:rPr>
        <w:t xml:space="preserve"> אבל אם אמר לה </w:t>
      </w:r>
      <w:r>
        <w:rPr>
          <w:rFonts w:cs="Arial" w:hint="cs"/>
          <w:rtl/>
        </w:rPr>
        <w:t>'</w:t>
      </w:r>
      <w:r w:rsidRPr="000756C6">
        <w:rPr>
          <w:rFonts w:cs="Arial"/>
          <w:rtl/>
        </w:rPr>
        <w:t>אני ערב כתובה זו</w:t>
      </w:r>
      <w:r>
        <w:rPr>
          <w:rFonts w:cs="Arial" w:hint="cs"/>
          <w:rtl/>
        </w:rPr>
        <w:t>',</w:t>
      </w:r>
      <w:r w:rsidRPr="000756C6">
        <w:rPr>
          <w:rFonts w:cs="Arial"/>
          <w:rtl/>
        </w:rPr>
        <w:t xml:space="preserve"> </w:t>
      </w:r>
      <w:r>
        <w:rPr>
          <w:rFonts w:cs="Arial" w:hint="cs"/>
          <w:rtl/>
        </w:rPr>
        <w:t>'</w:t>
      </w:r>
      <w:r w:rsidRPr="000756C6">
        <w:rPr>
          <w:rFonts w:cs="Arial"/>
          <w:rtl/>
        </w:rPr>
        <w:t>אני פורע כתובה זו</w:t>
      </w:r>
      <w:r>
        <w:rPr>
          <w:rFonts w:cs="Arial" w:hint="cs"/>
          <w:rtl/>
        </w:rPr>
        <w:t>',</w:t>
      </w:r>
      <w:r w:rsidRPr="000756C6">
        <w:rPr>
          <w:rFonts w:cs="Arial"/>
          <w:rtl/>
        </w:rPr>
        <w:t xml:space="preserve"> </w:t>
      </w:r>
      <w:r>
        <w:rPr>
          <w:rFonts w:cs="Arial" w:hint="cs"/>
          <w:rtl/>
        </w:rPr>
        <w:t>'</w:t>
      </w:r>
      <w:r w:rsidRPr="000756C6">
        <w:rPr>
          <w:rFonts w:cs="Arial"/>
          <w:rtl/>
        </w:rPr>
        <w:t>אני חייב בה</w:t>
      </w:r>
      <w:r>
        <w:rPr>
          <w:rFonts w:cs="Arial" w:hint="cs"/>
          <w:rtl/>
        </w:rPr>
        <w:t>'</w:t>
      </w:r>
      <w:r w:rsidRPr="000756C6">
        <w:rPr>
          <w:rFonts w:cs="Arial"/>
          <w:rtl/>
        </w:rPr>
        <w:t xml:space="preserve"> וכיוצא בזה </w:t>
      </w:r>
      <w:r>
        <w:rPr>
          <w:rFonts w:cs="Arial" w:hint="cs"/>
          <w:rtl/>
        </w:rPr>
        <w:t xml:space="preserve">- </w:t>
      </w:r>
      <w:r w:rsidRPr="000756C6">
        <w:rPr>
          <w:rFonts w:cs="Arial"/>
          <w:rtl/>
        </w:rPr>
        <w:t>פטור אלא אם כן היה אביו</w:t>
      </w:r>
      <w:r>
        <w:rPr>
          <w:rFonts w:cs="Arial" w:hint="cs"/>
          <w:sz w:val="16"/>
          <w:szCs w:val="16"/>
          <w:rtl/>
        </w:rPr>
        <w:t xml:space="preserve"> (ל' הרמב"ם בהל' אישות)</w:t>
      </w:r>
      <w:r w:rsidRPr="000756C6">
        <w:rPr>
          <w:rFonts w:cs="Arial"/>
          <w:rtl/>
        </w:rPr>
        <w:t>.</w:t>
      </w:r>
      <w:r w:rsidRPr="001E5A53">
        <w:rPr>
          <w:rFonts w:hint="cs"/>
          <w:color w:val="E36C0A" w:themeColor="accent6" w:themeShade="BF"/>
          <w:rtl/>
        </w:rPr>
        <w:t xml:space="preserve"> (וכ"פ בשו"ע)</w:t>
      </w:r>
    </w:p>
    <w:p w14:paraId="5165EF83" w14:textId="77777777" w:rsidR="002E5BAD" w:rsidRPr="001F3F89" w:rsidRDefault="002E5BAD" w:rsidP="002E5BAD">
      <w:pPr>
        <w:ind w:left="360"/>
        <w:rPr>
          <w:u w:val="dotted"/>
        </w:rPr>
      </w:pPr>
      <w:r>
        <w:rPr>
          <w:rFonts w:hint="cs"/>
          <w:u w:val="dotted"/>
          <w:rtl/>
        </w:rPr>
        <w:t>ומה הדין אם נעשה ערב ל</w:t>
      </w:r>
      <w:r w:rsidRPr="001F3F89">
        <w:rPr>
          <w:rFonts w:hint="cs"/>
          <w:u w:val="dotted"/>
          <w:rtl/>
        </w:rPr>
        <w:t>נדוניא</w:t>
      </w:r>
      <w:r>
        <w:rPr>
          <w:rFonts w:hint="cs"/>
          <w:u w:val="dotted"/>
          <w:rtl/>
        </w:rPr>
        <w:t xml:space="preserve"> שהכניסה היא לבעלה</w:t>
      </w:r>
      <w:r w:rsidRPr="001F3F89">
        <w:rPr>
          <w:rFonts w:hint="cs"/>
          <w:u w:val="dotted"/>
          <w:rtl/>
        </w:rPr>
        <w:t>:</w:t>
      </w:r>
      <w:r w:rsidRPr="00ED06B8">
        <w:rPr>
          <w:rFonts w:cs="Arial" w:hint="cs"/>
          <w:sz w:val="16"/>
          <w:szCs w:val="16"/>
          <w:rtl/>
        </w:rPr>
        <w:t xml:space="preserve"> </w:t>
      </w:r>
      <w:r w:rsidRPr="009203A2">
        <w:rPr>
          <w:rFonts w:cs="Arial" w:hint="cs"/>
          <w:sz w:val="16"/>
          <w:szCs w:val="16"/>
          <w:rtl/>
        </w:rPr>
        <w:t>(</w:t>
      </w:r>
      <w:r>
        <w:rPr>
          <w:rFonts w:cs="Arial" w:hint="cs"/>
          <w:sz w:val="16"/>
          <w:szCs w:val="16"/>
          <w:rtl/>
        </w:rPr>
        <w:t>ב"י [כאן ובחו"מ סי' קכט] ו</w:t>
      </w:r>
      <w:r w:rsidRPr="009203A2">
        <w:rPr>
          <w:rFonts w:cs="Arial" w:hint="cs"/>
          <w:sz w:val="16"/>
          <w:szCs w:val="16"/>
          <w:rtl/>
        </w:rPr>
        <w:t xml:space="preserve">דרכ"מ </w:t>
      </w:r>
      <w:r>
        <w:rPr>
          <w:rFonts w:cs="Arial" w:hint="cs"/>
          <w:sz w:val="16"/>
          <w:szCs w:val="16"/>
          <w:rtl/>
        </w:rPr>
        <w:t>[</w:t>
      </w:r>
      <w:r w:rsidRPr="009203A2">
        <w:rPr>
          <w:rFonts w:cs="Arial" w:hint="cs"/>
          <w:sz w:val="16"/>
          <w:szCs w:val="16"/>
          <w:rtl/>
        </w:rPr>
        <w:t>אות ח</w:t>
      </w:r>
      <w:r>
        <w:rPr>
          <w:rFonts w:cs="Arial" w:hint="cs"/>
          <w:sz w:val="16"/>
          <w:szCs w:val="16"/>
          <w:rtl/>
        </w:rPr>
        <w:t>]</w:t>
      </w:r>
      <w:r w:rsidRPr="009203A2">
        <w:rPr>
          <w:rFonts w:cs="Arial" w:hint="cs"/>
          <w:sz w:val="16"/>
          <w:szCs w:val="16"/>
          <w:rtl/>
        </w:rPr>
        <w:t>)</w:t>
      </w:r>
    </w:p>
    <w:p w14:paraId="4EA267E7" w14:textId="77777777" w:rsidR="002E5BAD" w:rsidRDefault="002E5BAD" w:rsidP="00B75458">
      <w:pPr>
        <w:pStyle w:val="ab"/>
        <w:numPr>
          <w:ilvl w:val="0"/>
          <w:numId w:val="192"/>
        </w:numPr>
      </w:pPr>
      <w:r>
        <w:rPr>
          <w:rStyle w:val="a7"/>
          <w:rFonts w:cs="Arial"/>
          <w:rtl/>
        </w:rPr>
        <w:footnoteReference w:id="2579"/>
      </w:r>
      <w:r>
        <w:rPr>
          <w:rFonts w:hint="cs"/>
          <w:rtl/>
        </w:rPr>
        <w:t>בעל התרומות</w:t>
      </w:r>
      <w:r>
        <w:rPr>
          <w:rStyle w:val="a7"/>
          <w:rFonts w:cs="Arial"/>
          <w:rtl/>
        </w:rPr>
        <w:footnoteReference w:id="2580"/>
      </w:r>
      <w:r>
        <w:rPr>
          <w:rFonts w:cs="Arial" w:hint="cs"/>
          <w:rtl/>
        </w:rPr>
        <w:t xml:space="preserve"> רא"ם ורבותיו</w:t>
      </w:r>
      <w:r>
        <w:rPr>
          <w:rStyle w:val="a7"/>
          <w:rFonts w:cs="Arial"/>
          <w:rtl/>
        </w:rPr>
        <w:footnoteReference w:id="2581"/>
      </w:r>
      <w:r>
        <w:rPr>
          <w:rFonts w:cs="Arial" w:hint="cs"/>
          <w:sz w:val="16"/>
          <w:szCs w:val="16"/>
          <w:rtl/>
        </w:rPr>
        <w:t xml:space="preserve"> </w:t>
      </w:r>
      <w:r>
        <w:rPr>
          <w:rFonts w:cs="Arial" w:hint="cs"/>
          <w:rtl/>
        </w:rPr>
        <w:t>ריטב"א הה"מ רי"ו ונמוק"י</w:t>
      </w:r>
      <w:r>
        <w:rPr>
          <w:rStyle w:val="a7"/>
          <w:rFonts w:cs="Arial"/>
          <w:rtl/>
        </w:rPr>
        <w:footnoteReference w:id="2582"/>
      </w:r>
      <w:r>
        <w:rPr>
          <w:rFonts w:cs="Arial" w:hint="cs"/>
          <w:rtl/>
        </w:rPr>
        <w:t xml:space="preserve">- </w:t>
      </w:r>
      <w:r w:rsidRPr="001F3F89">
        <w:rPr>
          <w:rFonts w:cs="Arial"/>
          <w:rtl/>
        </w:rPr>
        <w:t>דינים הללו אינם אלא דוקא במנה מאתים שאין בהם חסרון כיס</w:t>
      </w:r>
      <w:r>
        <w:rPr>
          <w:rFonts w:cs="Arial" w:hint="cs"/>
          <w:rtl/>
        </w:rPr>
        <w:t>,</w:t>
      </w:r>
      <w:r w:rsidRPr="001F3F89">
        <w:rPr>
          <w:rFonts w:cs="Arial"/>
          <w:rtl/>
        </w:rPr>
        <w:t xml:space="preserve"> אבל נדוניא הרי היא כחוב דעלמא</w:t>
      </w:r>
      <w:r>
        <w:rPr>
          <w:rFonts w:cs="Arial" w:hint="cs"/>
          <w:rtl/>
        </w:rPr>
        <w:t>.</w:t>
      </w:r>
      <w:r w:rsidRPr="001F3F89">
        <w:rPr>
          <w:rFonts w:cs="Arial"/>
          <w:rtl/>
        </w:rPr>
        <w:t xml:space="preserve"> וכן כתב</w:t>
      </w:r>
      <w:r>
        <w:rPr>
          <w:rFonts w:cs="Arial" w:hint="cs"/>
          <w:rtl/>
        </w:rPr>
        <w:t>ו</w:t>
      </w:r>
      <w:r w:rsidRPr="001F3F89">
        <w:rPr>
          <w:rFonts w:cs="Arial"/>
          <w:rtl/>
        </w:rPr>
        <w:t xml:space="preserve"> ז"ל וכן מורה לשון רבינו ז"ל</w:t>
      </w:r>
      <w:r>
        <w:rPr>
          <w:rFonts w:cs="Arial" w:hint="cs"/>
          <w:sz w:val="16"/>
          <w:szCs w:val="16"/>
          <w:rtl/>
        </w:rPr>
        <w:t xml:space="preserve"> (ל' הה"מ)</w:t>
      </w:r>
      <w:r>
        <w:rPr>
          <w:rFonts w:cs="Arial" w:hint="cs"/>
          <w:rtl/>
        </w:rPr>
        <w:t>.</w:t>
      </w:r>
      <w:r>
        <w:rPr>
          <w:rFonts w:hint="cs"/>
          <w:rtl/>
        </w:rPr>
        <w:t xml:space="preserve">  (וכ"פ ח"מ</w:t>
      </w:r>
      <w:r>
        <w:rPr>
          <w:rFonts w:hint="cs"/>
          <w:sz w:val="16"/>
          <w:szCs w:val="16"/>
          <w:rtl/>
        </w:rPr>
        <w:t xml:space="preserve"> [סקי"ז]</w:t>
      </w:r>
      <w:r w:rsidRPr="00374379">
        <w:rPr>
          <w:rFonts w:hint="cs"/>
          <w:rtl/>
        </w:rPr>
        <w:t xml:space="preserve"> </w:t>
      </w:r>
      <w:r>
        <w:rPr>
          <w:rFonts w:hint="cs"/>
          <w:rtl/>
        </w:rPr>
        <w:t>ב"ש</w:t>
      </w:r>
      <w:r>
        <w:rPr>
          <w:rFonts w:hint="cs"/>
          <w:sz w:val="16"/>
          <w:szCs w:val="16"/>
          <w:rtl/>
        </w:rPr>
        <w:t xml:space="preserve"> [סקי"ט]</w:t>
      </w:r>
      <w:r>
        <w:rPr>
          <w:rFonts w:hint="cs"/>
          <w:rtl/>
        </w:rPr>
        <w:t>)</w:t>
      </w:r>
    </w:p>
    <w:p w14:paraId="4778F7A9" w14:textId="77777777" w:rsidR="002E5BAD" w:rsidRPr="00ED06B8" w:rsidRDefault="002E5BAD" w:rsidP="00B75458">
      <w:pPr>
        <w:pStyle w:val="ab"/>
        <w:numPr>
          <w:ilvl w:val="0"/>
          <w:numId w:val="192"/>
        </w:numPr>
        <w:rPr>
          <w:rFonts w:cs="Arial"/>
          <w:rtl/>
        </w:rPr>
      </w:pPr>
      <w:r w:rsidRPr="00C86DD5">
        <w:rPr>
          <w:rFonts w:cs="Arial" w:hint="cs"/>
          <w:rtl/>
        </w:rPr>
        <w:t xml:space="preserve">הגמ"ר </w:t>
      </w:r>
      <w:r w:rsidRPr="00C86DD5">
        <w:rPr>
          <w:rFonts w:cs="Arial" w:hint="cs"/>
          <w:sz w:val="16"/>
          <w:szCs w:val="16"/>
          <w:rtl/>
        </w:rPr>
        <w:t>(</w:t>
      </w:r>
      <w:r w:rsidRPr="00C86DD5">
        <w:rPr>
          <w:rFonts w:cs="Arial"/>
          <w:sz w:val="16"/>
          <w:szCs w:val="16"/>
          <w:rtl/>
        </w:rPr>
        <w:t>גיטין</w:t>
      </w:r>
      <w:r w:rsidRPr="00C86DD5">
        <w:rPr>
          <w:rFonts w:cs="Arial" w:hint="cs"/>
          <w:sz w:val="16"/>
          <w:szCs w:val="16"/>
          <w:rtl/>
        </w:rPr>
        <w:t xml:space="preserve"> </w:t>
      </w:r>
      <w:r w:rsidRPr="00C86DD5">
        <w:rPr>
          <w:rFonts w:cs="Arial"/>
          <w:sz w:val="16"/>
          <w:szCs w:val="16"/>
          <w:rtl/>
        </w:rPr>
        <w:t>סי' תנז)</w:t>
      </w:r>
      <w:r w:rsidRPr="00C86DD5">
        <w:rPr>
          <w:rFonts w:cs="Arial" w:hint="cs"/>
          <w:rtl/>
        </w:rPr>
        <w:t>-</w:t>
      </w:r>
      <w:r w:rsidRPr="00C86DD5">
        <w:rPr>
          <w:rFonts w:cs="Arial"/>
          <w:rtl/>
        </w:rPr>
        <w:t xml:space="preserve"> </w:t>
      </w:r>
      <w:r w:rsidRPr="00723A7B">
        <w:rPr>
          <w:rFonts w:cs="Arial"/>
          <w:rtl/>
        </w:rPr>
        <w:t xml:space="preserve">אותם הנעשים ערבים לנדונית חתנים בשעת הנשואין </w:t>
      </w:r>
      <w:r>
        <w:rPr>
          <w:rFonts w:cs="Arial" w:hint="cs"/>
          <w:rtl/>
        </w:rPr>
        <w:t xml:space="preserve">- </w:t>
      </w:r>
      <w:r w:rsidRPr="00723A7B">
        <w:rPr>
          <w:rFonts w:cs="Arial"/>
          <w:rtl/>
        </w:rPr>
        <w:t>ודאי לא משתעבדי</w:t>
      </w:r>
      <w:r>
        <w:rPr>
          <w:rFonts w:cs="Arial" w:hint="cs"/>
          <w:rtl/>
        </w:rPr>
        <w:t>,</w:t>
      </w:r>
      <w:r w:rsidRPr="00723A7B">
        <w:rPr>
          <w:rFonts w:cs="Arial"/>
          <w:rtl/>
        </w:rPr>
        <w:t xml:space="preserve"> אפילו בקנין</w:t>
      </w:r>
      <w:r>
        <w:rPr>
          <w:rFonts w:cs="Arial" w:hint="cs"/>
          <w:rtl/>
        </w:rPr>
        <w:t>,</w:t>
      </w:r>
      <w:r w:rsidRPr="00723A7B">
        <w:rPr>
          <w:rFonts w:cs="Arial"/>
          <w:rtl/>
        </w:rPr>
        <w:t xml:space="preserve"> ובלבד שלא יהא קבלן</w:t>
      </w:r>
      <w:r>
        <w:rPr>
          <w:rFonts w:cs="Arial" w:hint="cs"/>
          <w:rtl/>
        </w:rPr>
        <w:t>,</w:t>
      </w:r>
      <w:r w:rsidRPr="00723A7B">
        <w:rPr>
          <w:rFonts w:cs="Arial"/>
          <w:rtl/>
        </w:rPr>
        <w:t xml:space="preserve"> דהא איכא הני תרי טעמי</w:t>
      </w:r>
      <w:r>
        <w:rPr>
          <w:rFonts w:cs="Arial" w:hint="cs"/>
          <w:rtl/>
        </w:rPr>
        <w:t>.</w:t>
      </w:r>
      <w:r w:rsidRPr="00723A7B">
        <w:rPr>
          <w:rFonts w:cs="Arial"/>
          <w:rtl/>
        </w:rPr>
        <w:t xml:space="preserve"> משיטת ר"י מפרי"ש ועיין שילהי גט פשוט</w:t>
      </w:r>
      <w:r>
        <w:rPr>
          <w:rStyle w:val="a7"/>
          <w:rFonts w:cs="Arial"/>
          <w:rtl/>
        </w:rPr>
        <w:footnoteReference w:id="2583"/>
      </w:r>
      <w:r w:rsidRPr="00723A7B">
        <w:rPr>
          <w:rFonts w:cs="Arial"/>
          <w:rtl/>
        </w:rPr>
        <w:t xml:space="preserve"> </w:t>
      </w:r>
      <w:r>
        <w:rPr>
          <w:rFonts w:cs="Arial" w:hint="cs"/>
          <w:rtl/>
        </w:rPr>
        <w:t>(</w:t>
      </w:r>
      <w:r w:rsidRPr="00C86DD5">
        <w:rPr>
          <w:rFonts w:cs="Arial"/>
          <w:rtl/>
        </w:rPr>
        <w:t>סי' תרנא)</w:t>
      </w:r>
      <w:r>
        <w:rPr>
          <w:rStyle w:val="a7"/>
          <w:rFonts w:cs="Arial"/>
          <w:rtl/>
        </w:rPr>
        <w:footnoteReference w:id="2584"/>
      </w:r>
      <w:r w:rsidRPr="00ED06B8">
        <w:rPr>
          <w:rFonts w:cs="Arial" w:hint="cs"/>
          <w:rtl/>
        </w:rPr>
        <w:t>.</w:t>
      </w:r>
      <w:r w:rsidRPr="00ED06B8">
        <w:rPr>
          <w:rFonts w:cs="Arial"/>
          <w:rtl/>
        </w:rPr>
        <w:t xml:space="preserve"> </w:t>
      </w:r>
    </w:p>
    <w:p w14:paraId="06C1FA12" w14:textId="77777777" w:rsidR="002E5BAD" w:rsidRDefault="002E5BAD" w:rsidP="002E5BAD">
      <w:pPr>
        <w:rPr>
          <w:rFonts w:cs="Arial"/>
          <w:rtl/>
        </w:rPr>
      </w:pPr>
      <w:r w:rsidRPr="009203A2">
        <w:rPr>
          <w:rFonts w:cs="Arial" w:hint="cs"/>
          <w:u w:val="single"/>
          <w:rtl/>
        </w:rPr>
        <w:t>היה ח</w:t>
      </w:r>
      <w:r>
        <w:rPr>
          <w:rFonts w:cs="Arial" w:hint="cs"/>
          <w:u w:val="single"/>
          <w:rtl/>
        </w:rPr>
        <w:t>יי</w:t>
      </w:r>
      <w:r w:rsidRPr="009203A2">
        <w:rPr>
          <w:rFonts w:cs="Arial" w:hint="cs"/>
          <w:u w:val="single"/>
          <w:rtl/>
        </w:rPr>
        <w:t xml:space="preserve">ב </w:t>
      </w:r>
      <w:r>
        <w:rPr>
          <w:rFonts w:cs="Arial" w:hint="cs"/>
          <w:u w:val="single"/>
          <w:rtl/>
        </w:rPr>
        <w:t xml:space="preserve">לחברו </w:t>
      </w:r>
      <w:r w:rsidRPr="009203A2">
        <w:rPr>
          <w:rFonts w:cs="Arial" w:hint="cs"/>
          <w:u w:val="single"/>
          <w:rtl/>
        </w:rPr>
        <w:t>ונשא אשה, ועשה לו אח האשה שטר משכון על ביתו בדמי הנדוניא, ונפטר</w:t>
      </w:r>
      <w:r>
        <w:rPr>
          <w:rFonts w:cs="Arial" w:hint="cs"/>
          <w:u w:val="single"/>
          <w:rtl/>
        </w:rPr>
        <w:t xml:space="preserve"> החייב</w:t>
      </w:r>
      <w:r w:rsidRPr="009203A2">
        <w:rPr>
          <w:rFonts w:cs="Arial" w:hint="cs"/>
          <w:u w:val="single"/>
          <w:rtl/>
        </w:rPr>
        <w:t>:</w:t>
      </w:r>
      <w:r>
        <w:rPr>
          <w:rFonts w:cs="Arial" w:hint="cs"/>
          <w:rtl/>
        </w:rPr>
        <w:t xml:space="preserve"> </w:t>
      </w:r>
      <w:r w:rsidRPr="009203A2">
        <w:rPr>
          <w:rFonts w:cs="Arial" w:hint="cs"/>
          <w:sz w:val="16"/>
          <w:szCs w:val="16"/>
          <w:rtl/>
        </w:rPr>
        <w:t xml:space="preserve">(דרכ"מ אות ז) </w:t>
      </w:r>
    </w:p>
    <w:p w14:paraId="5AA338B0" w14:textId="77777777" w:rsidR="002E5BAD" w:rsidRPr="00DD456A" w:rsidRDefault="002E5BAD" w:rsidP="00B75458">
      <w:pPr>
        <w:pStyle w:val="ab"/>
        <w:numPr>
          <w:ilvl w:val="0"/>
          <w:numId w:val="192"/>
        </w:numPr>
        <w:rPr>
          <w:rFonts w:cs="Arial"/>
          <w:rtl/>
        </w:rPr>
      </w:pPr>
      <w:r w:rsidRPr="00136DD7">
        <w:rPr>
          <w:rFonts w:cs="Arial"/>
          <w:rtl/>
        </w:rPr>
        <w:t xml:space="preserve">רא"ש </w:t>
      </w:r>
      <w:r w:rsidRPr="00136DD7">
        <w:rPr>
          <w:rFonts w:cs="Arial" w:hint="cs"/>
          <w:sz w:val="16"/>
          <w:szCs w:val="16"/>
          <w:rtl/>
        </w:rPr>
        <w:t>(</w:t>
      </w:r>
      <w:r w:rsidRPr="00136DD7">
        <w:rPr>
          <w:rFonts w:cs="Arial"/>
          <w:sz w:val="16"/>
          <w:szCs w:val="16"/>
          <w:rtl/>
        </w:rPr>
        <w:t>כלל לח סי</w:t>
      </w:r>
      <w:r w:rsidRPr="00136DD7">
        <w:rPr>
          <w:rFonts w:cs="Arial" w:hint="cs"/>
          <w:sz w:val="16"/>
          <w:szCs w:val="16"/>
          <w:rtl/>
        </w:rPr>
        <w:t>'</w:t>
      </w:r>
      <w:r w:rsidRPr="00136DD7">
        <w:rPr>
          <w:rFonts w:cs="Arial"/>
          <w:sz w:val="16"/>
          <w:szCs w:val="16"/>
          <w:rtl/>
        </w:rPr>
        <w:t xml:space="preserve"> ב</w:t>
      </w:r>
      <w:r w:rsidRPr="00136DD7">
        <w:rPr>
          <w:rFonts w:cs="Arial" w:hint="cs"/>
          <w:sz w:val="16"/>
          <w:szCs w:val="16"/>
          <w:rtl/>
        </w:rPr>
        <w:t>)</w:t>
      </w:r>
      <w:r w:rsidRPr="00136DD7">
        <w:rPr>
          <w:rFonts w:cs="Arial" w:hint="cs"/>
          <w:rtl/>
        </w:rPr>
        <w:t>-</w:t>
      </w:r>
      <w:r w:rsidRPr="00136DD7">
        <w:rPr>
          <w:rFonts w:cs="Arial"/>
          <w:rtl/>
        </w:rPr>
        <w:t xml:space="preserve"> </w:t>
      </w:r>
      <w:r w:rsidRPr="00DD456A">
        <w:rPr>
          <w:rFonts w:cs="Arial"/>
          <w:rtl/>
        </w:rPr>
        <w:t>שאלה ראובן שנתחזקו לו שטרי חובות על שמעון ואחר כך נשא שמעון אשה ונתחזקה עליו שטר נדוניא ובעת שנשא אשתו זאת עשה לו אחד מגיסיו שטר משכונה על ביתו בדמי הנדוניא שהיה לו לקבל ונשאר שטר המשכון ביד הסופר. לאחר ימים חלה שמעון ובעת חליו צוה לסופר שיתן השטר לאשתו לאחר פטירתו והוא נפטר מתוך חליו ולא נתרפא ממנו ואחר פטירתו נתן הסופר השטר לאלמנה כאשר צוהו. ועתה בא ראובן לתבוע לב"ד שיגבו לו ממשכונה זאת קצת החובות שיש לו על שמעון, והאלמנה טוענת כיון שהשטר</w:t>
      </w:r>
      <w:r>
        <w:rPr>
          <w:rFonts w:cs="Arial" w:hint="cs"/>
          <w:rtl/>
        </w:rPr>
        <w:t xml:space="preserve"> </w:t>
      </w:r>
      <w:r w:rsidRPr="00DD456A">
        <w:rPr>
          <w:rFonts w:cs="Arial"/>
          <w:rtl/>
        </w:rPr>
        <w:t>בא לידי בצואתו קניתי המשכונה אעפ"י שקדמו חובותיך.</w:t>
      </w:r>
      <w:r>
        <w:rPr>
          <w:rFonts w:cs="Arial" w:hint="cs"/>
          <w:rtl/>
        </w:rPr>
        <w:t xml:space="preserve">    </w:t>
      </w:r>
      <w:r w:rsidRPr="00DD456A">
        <w:rPr>
          <w:rFonts w:cs="Arial"/>
          <w:rtl/>
        </w:rPr>
        <w:t xml:space="preserve"> </w:t>
      </w:r>
      <w:r>
        <w:rPr>
          <w:rFonts w:cs="Arial" w:hint="cs"/>
          <w:rtl/>
        </w:rPr>
        <w:t xml:space="preserve"> </w:t>
      </w:r>
      <w:r w:rsidRPr="00DD456A">
        <w:rPr>
          <w:rFonts w:cs="Arial"/>
          <w:rtl/>
        </w:rPr>
        <w:t>תשובה</w:t>
      </w:r>
      <w:r>
        <w:rPr>
          <w:rFonts w:cs="Arial" w:hint="cs"/>
          <w:rtl/>
        </w:rPr>
        <w:t>-</w:t>
      </w:r>
      <w:r w:rsidRPr="00DD456A">
        <w:rPr>
          <w:rFonts w:cs="Arial"/>
          <w:rtl/>
        </w:rPr>
        <w:t xml:space="preserve"> יראה לי לפסוק דין זה מהא דתניא ביבמות פ' אלמנה לכהן גדול (סו:) המכנסת שום לבעלה אם רצה הבעל למכור לא ימכור משום דקיימא לן כרב יהודה דאמר המכנסת שום לבעלה היא אומרת כלי אני נוטלת והוא אומר דמים אני נותן הדין עמה משום שבח בית אביה. הילכך בנדון זה שפסקה לו נדוניא ולא נתנה לו המעות אלא אחד מגיסיו משכן לו ביתו בדמי הנדוניא והבעל צוה להחזיר שטר המשכונה לאשתו, יראה שראובן שהיה חובו מוקדם לנדונית האשה אינו יכול לגבות חובו מאותה משכנתא.</w:t>
      </w:r>
      <w:r>
        <w:rPr>
          <w:rFonts w:cs="Arial" w:hint="cs"/>
          <w:rtl/>
        </w:rPr>
        <w:t>.</w:t>
      </w:r>
      <w:r w:rsidRPr="00DD456A">
        <w:rPr>
          <w:rFonts w:cs="Arial"/>
          <w:rtl/>
        </w:rPr>
        <w:t>. כללא דמילתא אי חשבת להך קרקע כאלו הכניסתו לבעל בנדוניתה לא חל עליו שעבוד ואי לא חשבת ליה אלא משכון בעלמא כבר נפטר המשכון ופקע השעבוד</w:t>
      </w:r>
      <w:r w:rsidRPr="00DD456A">
        <w:rPr>
          <w:rFonts w:cs="Arial" w:hint="cs"/>
          <w:rtl/>
        </w:rPr>
        <w:t>.</w:t>
      </w:r>
    </w:p>
    <w:p w14:paraId="42C2A1F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FCC3508" w14:textId="77777777" w:rsidR="002E5BAD" w:rsidRDefault="002E5BAD" w:rsidP="002E5BAD">
      <w:pPr>
        <w:rPr>
          <w:rFonts w:cs="Arial"/>
          <w:rtl/>
        </w:rPr>
      </w:pPr>
      <w:r w:rsidRPr="000904BE">
        <w:rPr>
          <w:rFonts w:cs="Arial"/>
          <w:rtl/>
        </w:rPr>
        <w:t xml:space="preserve">הערב לאשה בעיקר כתובה או בתוספת, אינו מתחייב אפילו בקנין. והני מילי באשה דעלמא, אבל לכלתו מתחייב בקנין. ואם היה קבלן שאמר לה: הנשאי לזה ואני נותן לך, משתעבד אפילו בלא קנין, אפילו לאשה דעלמא. </w:t>
      </w:r>
      <w:r w:rsidRPr="007A47A7">
        <w:rPr>
          <w:rFonts w:cs="Arial"/>
          <w:sz w:val="18"/>
          <w:szCs w:val="18"/>
          <w:rtl/>
        </w:rPr>
        <w:t>הגה: וי"א דכל ערב משתעבד בקנין, ולכלתו אפי' בלא קנין (ראב"ד</w:t>
      </w:r>
      <w:r>
        <w:rPr>
          <w:rFonts w:cs="Arial" w:hint="cs"/>
          <w:sz w:val="18"/>
          <w:szCs w:val="18"/>
          <w:rtl/>
        </w:rPr>
        <w:t xml:space="preserve"> וטור</w:t>
      </w:r>
      <w:r w:rsidRPr="007A47A7">
        <w:rPr>
          <w:rFonts w:cs="Arial"/>
          <w:sz w:val="18"/>
          <w:szCs w:val="18"/>
          <w:rtl/>
        </w:rPr>
        <w:t>). י"א דערב לחתן בעד הנדוניא הוי כערב לאשה בעד הכתובה (מרדכי פ' גט פשוט והגהות דגיטין). ויש חולקין ואומרים דערב דנדוניא חייב כשאר ערב (</w:t>
      </w:r>
      <w:r>
        <w:rPr>
          <w:rFonts w:cs="Arial" w:hint="cs"/>
          <w:sz w:val="18"/>
          <w:szCs w:val="18"/>
          <w:rtl/>
        </w:rPr>
        <w:t>רא"ם ובעל התרומות</w:t>
      </w:r>
      <w:r w:rsidRPr="007A47A7">
        <w:rPr>
          <w:rFonts w:cs="Arial"/>
          <w:sz w:val="18"/>
          <w:szCs w:val="18"/>
          <w:rtl/>
        </w:rPr>
        <w:t>). מיהו כל זמן שלא נשאה יכול לחזור בו (</w:t>
      </w:r>
      <w:r>
        <w:rPr>
          <w:rFonts w:cs="Arial" w:hint="cs"/>
          <w:sz w:val="18"/>
          <w:szCs w:val="18"/>
          <w:rtl/>
        </w:rPr>
        <w:t xml:space="preserve">בעל התרומות, </w:t>
      </w:r>
      <w:r w:rsidRPr="007A47A7">
        <w:rPr>
          <w:rFonts w:cs="Arial"/>
          <w:sz w:val="18"/>
          <w:szCs w:val="18"/>
          <w:rtl/>
        </w:rPr>
        <w:t>וכ</w:t>
      </w:r>
      <w:r>
        <w:rPr>
          <w:rFonts w:cs="Arial" w:hint="cs"/>
          <w:sz w:val="18"/>
          <w:szCs w:val="18"/>
          <w:rtl/>
        </w:rPr>
        <w:t xml:space="preserve">"כ </w:t>
      </w:r>
      <w:r w:rsidRPr="007A47A7">
        <w:rPr>
          <w:rFonts w:cs="Arial"/>
          <w:sz w:val="18"/>
          <w:szCs w:val="18"/>
          <w:rtl/>
        </w:rPr>
        <w:t>ב"י בחו</w:t>
      </w:r>
      <w:r>
        <w:rPr>
          <w:rFonts w:cs="Arial" w:hint="cs"/>
          <w:sz w:val="18"/>
          <w:szCs w:val="18"/>
          <w:rtl/>
        </w:rPr>
        <w:t>"מ</w:t>
      </w:r>
      <w:r w:rsidRPr="007A47A7">
        <w:rPr>
          <w:rFonts w:cs="Arial"/>
          <w:sz w:val="18"/>
          <w:szCs w:val="18"/>
          <w:rtl/>
        </w:rPr>
        <w:t xml:space="preserve"> בסי</w:t>
      </w:r>
      <w:r>
        <w:rPr>
          <w:rFonts w:cs="Arial" w:hint="cs"/>
          <w:sz w:val="18"/>
          <w:szCs w:val="18"/>
          <w:rtl/>
        </w:rPr>
        <w:t>'</w:t>
      </w:r>
      <w:r w:rsidRPr="007A47A7">
        <w:rPr>
          <w:rFonts w:cs="Arial"/>
          <w:sz w:val="18"/>
          <w:szCs w:val="18"/>
          <w:rtl/>
        </w:rPr>
        <w:t xml:space="preserve"> קכט).</w:t>
      </w:r>
      <w:r w:rsidRPr="000904BE">
        <w:rPr>
          <w:rFonts w:cs="Arial"/>
          <w:rtl/>
        </w:rPr>
        <w:t xml:space="preserve"> </w:t>
      </w:r>
    </w:p>
    <w:p w14:paraId="181B4582" w14:textId="77777777" w:rsidR="002E5BAD" w:rsidRPr="000904BE" w:rsidRDefault="002E5BAD" w:rsidP="002E5BAD">
      <w:pPr>
        <w:rPr>
          <w:rFonts w:cs="Arial"/>
          <w:rtl/>
        </w:rPr>
      </w:pPr>
    </w:p>
    <w:p w14:paraId="69463848" w14:textId="77777777" w:rsidR="002E5BAD" w:rsidRPr="00EF3BAC" w:rsidRDefault="002E5BAD" w:rsidP="002E5BAD">
      <w:pPr>
        <w:pStyle w:val="2"/>
        <w:rPr>
          <w:rtl/>
        </w:rPr>
      </w:pPr>
      <w:r w:rsidRPr="000904BE">
        <w:rPr>
          <w:rtl/>
        </w:rPr>
        <w:t>סעיף ז</w:t>
      </w:r>
      <w:r>
        <w:rPr>
          <w:rFonts w:hint="cs"/>
          <w:rtl/>
        </w:rPr>
        <w:t>: בעל מדיר את אשתו הנאה לפני שגובה כתובתה מהערב.</w:t>
      </w:r>
    </w:p>
    <w:p w14:paraId="45EA1ADE" w14:textId="77777777" w:rsidR="002E5BAD" w:rsidRDefault="002E5BAD" w:rsidP="002E5BAD">
      <w:pPr>
        <w:rPr>
          <w:rtl/>
        </w:rPr>
      </w:pPr>
      <w:r w:rsidRPr="003B0B1D">
        <w:rPr>
          <w:rFonts w:hint="cs"/>
          <w:b/>
          <w:bCs/>
          <w:rtl/>
        </w:rPr>
        <w:t xml:space="preserve">בבא בתרא </w:t>
      </w:r>
      <w:r w:rsidRPr="003B0B1D">
        <w:rPr>
          <w:rFonts w:hint="cs"/>
          <w:b/>
          <w:bCs/>
          <w:sz w:val="16"/>
          <w:szCs w:val="16"/>
          <w:rtl/>
        </w:rPr>
        <w:t>(פ' בתרא)</w:t>
      </w:r>
      <w:r w:rsidRPr="003B0B1D">
        <w:rPr>
          <w:rFonts w:hint="cs"/>
          <w:b/>
          <w:bCs/>
          <w:rtl/>
        </w:rPr>
        <w:t xml:space="preserve"> קע</w:t>
      </w:r>
      <w:r>
        <w:rPr>
          <w:rFonts w:hint="cs"/>
          <w:b/>
          <w:bCs/>
          <w:rtl/>
        </w:rPr>
        <w:t>ג</w:t>
      </w:r>
      <w:r w:rsidRPr="003B0B1D">
        <w:rPr>
          <w:rFonts w:hint="cs"/>
          <w:b/>
          <w:bCs/>
          <w:rtl/>
        </w:rPr>
        <w:t xml:space="preserve"> ע"ב</w:t>
      </w:r>
      <w:r>
        <w:rPr>
          <w:rStyle w:val="a7"/>
          <w:b/>
          <w:bCs/>
          <w:rtl/>
        </w:rPr>
        <w:footnoteReference w:id="2585"/>
      </w:r>
      <w:r w:rsidRPr="003B0B1D">
        <w:rPr>
          <w:rFonts w:hint="cs"/>
          <w:b/>
          <w:bCs/>
          <w:rtl/>
        </w:rPr>
        <w:t>:</w:t>
      </w:r>
      <w:r>
        <w:rPr>
          <w:rFonts w:hint="cs"/>
          <w:rtl/>
        </w:rPr>
        <w:t xml:space="preserve"> </w:t>
      </w:r>
      <w:r w:rsidRPr="003B0B1D">
        <w:rPr>
          <w:rFonts w:cs="Arial" w:hint="cs"/>
          <w:u w:val="double"/>
          <w:rtl/>
        </w:rPr>
        <w:t>מתני'</w:t>
      </w:r>
      <w:r>
        <w:rPr>
          <w:rFonts w:cs="Arial" w:hint="cs"/>
          <w:rtl/>
        </w:rPr>
        <w:t xml:space="preserve">:... </w:t>
      </w:r>
      <w:r w:rsidRPr="003B0B1D">
        <w:rPr>
          <w:rFonts w:cs="Arial"/>
          <w:u w:val="single"/>
          <w:rtl/>
        </w:rPr>
        <w:t>וכן היה רבן שמעון בן גמליאל אומר</w:t>
      </w:r>
      <w:r w:rsidRPr="003B0B1D">
        <w:rPr>
          <w:rFonts w:cs="Arial"/>
          <w:rtl/>
        </w:rPr>
        <w:t>: הערב לאשה בכתובתה, והיה בעלה מגרשה - ידירנה</w:t>
      </w:r>
      <w:r>
        <w:rPr>
          <w:rStyle w:val="a7"/>
          <w:rFonts w:cs="Arial"/>
          <w:rtl/>
        </w:rPr>
        <w:footnoteReference w:id="2586"/>
      </w:r>
      <w:r w:rsidRPr="003B0B1D">
        <w:rPr>
          <w:rFonts w:cs="Arial"/>
          <w:rtl/>
        </w:rPr>
        <w:t xml:space="preserve"> הנאה, שמא יעשו קנוניא על נכסים של זה ויחזיר את אשתו. </w:t>
      </w:r>
      <w:r>
        <w:rPr>
          <w:rFonts w:cs="Arial" w:hint="cs"/>
          <w:rtl/>
        </w:rPr>
        <w:t xml:space="preserve">        </w:t>
      </w:r>
      <w:r w:rsidRPr="003B0B1D">
        <w:rPr>
          <w:rFonts w:cs="Arial" w:hint="cs"/>
          <w:u w:val="double"/>
          <w:rtl/>
        </w:rPr>
        <w:t>גמ'</w:t>
      </w:r>
      <w:r>
        <w:rPr>
          <w:rFonts w:cs="Arial" w:hint="cs"/>
          <w:u w:val="double"/>
          <w:rtl/>
        </w:rPr>
        <w:t xml:space="preserve"> </w:t>
      </w:r>
      <w:r w:rsidRPr="003B0B1D">
        <w:rPr>
          <w:rFonts w:cs="Arial" w:hint="cs"/>
          <w:sz w:val="14"/>
          <w:szCs w:val="14"/>
          <w:u w:val="double"/>
          <w:rtl/>
        </w:rPr>
        <w:t>(קעד:)</w:t>
      </w:r>
      <w:r w:rsidRPr="003B0B1D">
        <w:rPr>
          <w:rFonts w:cs="Arial" w:hint="cs"/>
          <w:u w:val="double"/>
          <w:rtl/>
        </w:rPr>
        <w:t>:</w:t>
      </w:r>
      <w:r>
        <w:rPr>
          <w:rFonts w:cs="Arial" w:hint="cs"/>
          <w:rtl/>
        </w:rPr>
        <w:t xml:space="preserve"> </w:t>
      </w:r>
      <w:r>
        <w:rPr>
          <w:rFonts w:cs="Arial"/>
          <w:rtl/>
        </w:rPr>
        <w:t>וכן היה רשב"ג אומר: הערב לאשה בכתובתה וכו'. משה בר עצרי ערבא דכתובתה דכלתיה הוה, רב הונא בריה צורבא מדרבנן הוה ודחיקא ליה מילתא</w:t>
      </w:r>
      <w:r>
        <w:rPr>
          <w:rFonts w:cs="Arial" w:hint="cs"/>
          <w:rtl/>
        </w:rPr>
        <w:t>.</w:t>
      </w:r>
      <w:r>
        <w:rPr>
          <w:rFonts w:cs="Arial"/>
          <w:rtl/>
        </w:rPr>
        <w:t xml:space="preserve"> </w:t>
      </w:r>
      <w:r w:rsidRPr="003B0B1D">
        <w:rPr>
          <w:rFonts w:cs="Arial"/>
          <w:u w:val="single"/>
          <w:rtl/>
        </w:rPr>
        <w:t>אמר אביי</w:t>
      </w:r>
      <w:r>
        <w:rPr>
          <w:rFonts w:cs="Arial"/>
          <w:rtl/>
        </w:rPr>
        <w:t xml:space="preserve">: ליכא דניזיל דנסביה עצה לרב הונא, דנגרשה לדביתהו ותיזיל ותגבי כתובה מאבוה, והדר נהדרה? </w:t>
      </w:r>
      <w:r w:rsidRPr="003B0B1D">
        <w:rPr>
          <w:rFonts w:cs="Arial"/>
          <w:u w:val="single"/>
          <w:rtl/>
        </w:rPr>
        <w:t>א"ל רבא</w:t>
      </w:r>
      <w:r>
        <w:rPr>
          <w:rFonts w:cs="Arial"/>
          <w:rtl/>
        </w:rPr>
        <w:t xml:space="preserve">: והא ידירנה הנאה תנן! </w:t>
      </w:r>
      <w:r w:rsidRPr="003B0B1D">
        <w:rPr>
          <w:rFonts w:cs="Arial"/>
          <w:u w:val="single"/>
          <w:rtl/>
        </w:rPr>
        <w:t>א"ל אביי</w:t>
      </w:r>
      <w:r>
        <w:rPr>
          <w:rFonts w:cs="Arial"/>
          <w:rtl/>
        </w:rPr>
        <w:t xml:space="preserve">: אטו כל דמגרש - בבי דינא מגרש? לסוף איגלאי מילתא דכהן הוא. </w:t>
      </w:r>
      <w:r w:rsidRPr="003B0B1D">
        <w:rPr>
          <w:rFonts w:cs="Arial"/>
          <w:u w:val="single"/>
          <w:rtl/>
        </w:rPr>
        <w:t>אמר אביי</w:t>
      </w:r>
      <w:r>
        <w:rPr>
          <w:rFonts w:cs="Arial" w:hint="cs"/>
          <w:rtl/>
        </w:rPr>
        <w:t>:</w:t>
      </w:r>
      <w:r>
        <w:rPr>
          <w:rFonts w:cs="Arial"/>
          <w:rtl/>
        </w:rPr>
        <w:t xml:space="preserve"> היינו דאמרי אינשי</w:t>
      </w:r>
      <w:r>
        <w:rPr>
          <w:rFonts w:cs="Arial" w:hint="cs"/>
          <w:rtl/>
        </w:rPr>
        <w:t>,</w:t>
      </w:r>
      <w:r>
        <w:rPr>
          <w:rFonts w:cs="Arial"/>
          <w:rtl/>
        </w:rPr>
        <w:t xml:space="preserve"> בתר עניא אזלא עניותא. ומי אמר אביי הכי? והא אמר אביי: איזהו רשע ערום? זה המשיא עצה למכור בנכסי' כרשב"ג! בנו שאני, וצורבא מרבנן שאני. והא ערב הוא, וקיימא לן: ערב דכתובה לא משתעבד! קבלן הוה. הניחא למ"ד: קבלן דכתובה אף על גב דלית ליה נכסי לבעל משתעבד - שפיר, אלא למאן דאמר: אי אית ליה משתעבד, אי לית ליה לא משתעבד - מאי איכא למימר? איבעית אימא: מיהוי הוה ליה ואישתדוף. ואיבעית אימא: אבא לגבי בריה שעבודי משעבד נפשיה</w:t>
      </w:r>
      <w:r>
        <w:rPr>
          <w:rStyle w:val="a7"/>
          <w:rFonts w:cs="Arial"/>
          <w:rtl/>
        </w:rPr>
        <w:footnoteReference w:id="2587"/>
      </w:r>
      <w:r>
        <w:rPr>
          <w:rFonts w:cs="Arial"/>
          <w:rtl/>
        </w:rPr>
        <w:t>, דאיתמר: ערב דכתובה - דברי הכל לא משתעבד, קבלן דבעל חוב - דברי הכל משתעבד, קבלן דכתובה וערב דבעל חוב - פליגי, מר סבר: אי אית ליה נכסי ללוה - משתעבד, אי לית ליה - לא משתעבד</w:t>
      </w:r>
      <w:r>
        <w:rPr>
          <w:rStyle w:val="a7"/>
          <w:rFonts w:cs="Arial"/>
          <w:rtl/>
        </w:rPr>
        <w:footnoteReference w:id="2588"/>
      </w:r>
      <w:r>
        <w:rPr>
          <w:rFonts w:cs="Arial" w:hint="cs"/>
          <w:rtl/>
        </w:rPr>
        <w:t>,</w:t>
      </w:r>
      <w:r>
        <w:rPr>
          <w:rFonts w:cs="Arial"/>
          <w:rtl/>
        </w:rPr>
        <w:t xml:space="preserve"> ומר סבר: בין אית ליה ובין לית ליה - משתעבד. והלכתא: ערב, בין אית ליה ובין לית ליה - משתעבד</w:t>
      </w:r>
      <w:r>
        <w:rPr>
          <w:rStyle w:val="a7"/>
          <w:rFonts w:cs="Arial"/>
          <w:rtl/>
        </w:rPr>
        <w:footnoteReference w:id="2589"/>
      </w:r>
      <w:r>
        <w:rPr>
          <w:rFonts w:cs="Arial"/>
          <w:rtl/>
        </w:rPr>
        <w:t>, בר מערב דכתובה, דאע"ג דאית ליה לבעל - לא משתעבד, מאי טעמא? מצוה הוא דעבד</w:t>
      </w:r>
      <w:r>
        <w:rPr>
          <w:rStyle w:val="a7"/>
          <w:rFonts w:cs="Arial"/>
          <w:rtl/>
        </w:rPr>
        <w:footnoteReference w:id="2590"/>
      </w:r>
      <w:r>
        <w:rPr>
          <w:rFonts w:cs="Arial"/>
          <w:rtl/>
        </w:rPr>
        <w:t xml:space="preserve"> ולאו מידי חסרה</w:t>
      </w:r>
      <w:r>
        <w:rPr>
          <w:rFonts w:hint="cs"/>
          <w:rtl/>
        </w:rPr>
        <w:t>.</w:t>
      </w:r>
    </w:p>
    <w:p w14:paraId="41158207" w14:textId="77777777" w:rsidR="002E5BAD" w:rsidRPr="00B90205" w:rsidRDefault="002E5BAD" w:rsidP="002E5BAD">
      <w:pPr>
        <w:rPr>
          <w:u w:val="single"/>
          <w:rtl/>
        </w:rPr>
      </w:pPr>
      <w:r w:rsidRPr="00E92556">
        <w:rPr>
          <w:rFonts w:hint="cs"/>
          <w:u w:val="single"/>
          <w:rtl/>
        </w:rPr>
        <w:t>ערב לכתובת אשה יכול לחייב את הבעל להדיר את אשתו הנאה לפני שגובה כתובתה</w:t>
      </w:r>
      <w:r w:rsidRPr="00B90205">
        <w:rPr>
          <w:rFonts w:hint="cs"/>
          <w:u w:val="single"/>
          <w:rtl/>
        </w:rPr>
        <w:t>:</w:t>
      </w:r>
    </w:p>
    <w:p w14:paraId="712A160A" w14:textId="77777777" w:rsidR="002E5BAD" w:rsidRPr="00B90205" w:rsidRDefault="002E5BAD" w:rsidP="00B75458">
      <w:pPr>
        <w:pStyle w:val="ab"/>
        <w:numPr>
          <w:ilvl w:val="0"/>
          <w:numId w:val="192"/>
        </w:numPr>
      </w:pPr>
      <w:r>
        <w:rPr>
          <w:rFonts w:cs="Arial" w:hint="cs"/>
          <w:rtl/>
        </w:rPr>
        <w:t xml:space="preserve">רמב"ם </w:t>
      </w:r>
      <w:r>
        <w:rPr>
          <w:rFonts w:cs="Arial" w:hint="cs"/>
          <w:sz w:val="16"/>
          <w:szCs w:val="16"/>
          <w:rtl/>
        </w:rPr>
        <w:t>(פי"ז מאישות ה"ט)</w:t>
      </w:r>
      <w:r>
        <w:rPr>
          <w:rFonts w:cs="Arial" w:hint="cs"/>
          <w:rtl/>
        </w:rPr>
        <w:t xml:space="preserve"> וטור- </w:t>
      </w:r>
      <w:r w:rsidRPr="00A167C1">
        <w:rPr>
          <w:rFonts w:cs="Arial"/>
          <w:rtl/>
        </w:rPr>
        <w:t>הערב לאשה בכתובתה</w:t>
      </w:r>
      <w:r>
        <w:rPr>
          <w:rFonts w:cs="Arial" w:hint="cs"/>
          <w:rtl/>
        </w:rPr>
        <w:t>,</w:t>
      </w:r>
      <w:r w:rsidRPr="00A167C1">
        <w:rPr>
          <w:rFonts w:cs="Arial"/>
          <w:rtl/>
        </w:rPr>
        <w:t xml:space="preserve"> וגירשה בעלה</w:t>
      </w:r>
      <w:r>
        <w:rPr>
          <w:rFonts w:cs="Arial" w:hint="cs"/>
          <w:rtl/>
        </w:rPr>
        <w:t>,</w:t>
      </w:r>
      <w:r w:rsidRPr="00A167C1">
        <w:rPr>
          <w:rFonts w:cs="Arial"/>
          <w:rtl/>
        </w:rPr>
        <w:t xml:space="preserve"> ואין לו נכסים לבעלה לפורעה</w:t>
      </w:r>
      <w:r>
        <w:rPr>
          <w:rFonts w:cs="Arial" w:hint="cs"/>
          <w:rtl/>
        </w:rPr>
        <w:t>,</w:t>
      </w:r>
      <w:r w:rsidRPr="00A167C1">
        <w:rPr>
          <w:rFonts w:cs="Arial"/>
          <w:rtl/>
        </w:rPr>
        <w:t xml:space="preserve"> ותובעת כתובתה מן הערב </w:t>
      </w:r>
      <w:r>
        <w:rPr>
          <w:rFonts w:cs="Arial" w:hint="cs"/>
          <w:rtl/>
        </w:rPr>
        <w:t xml:space="preserve">- </w:t>
      </w:r>
      <w:r w:rsidRPr="00A167C1">
        <w:rPr>
          <w:rFonts w:cs="Arial"/>
          <w:rtl/>
        </w:rPr>
        <w:t>לא יתן לה אא"כ ידירנה בעלה הנאה על דעת רבים</w:t>
      </w:r>
      <w:r>
        <w:rPr>
          <w:rFonts w:cs="Arial" w:hint="cs"/>
          <w:rtl/>
        </w:rPr>
        <w:t>,</w:t>
      </w:r>
      <w:r w:rsidRPr="00A167C1">
        <w:rPr>
          <w:rFonts w:cs="Arial"/>
          <w:rtl/>
        </w:rPr>
        <w:t xml:space="preserve"> שאין לה התרה</w:t>
      </w:r>
      <w:r>
        <w:rPr>
          <w:rFonts w:cs="Arial" w:hint="cs"/>
          <w:rtl/>
        </w:rPr>
        <w:t>,</w:t>
      </w:r>
      <w:r w:rsidRPr="00A167C1">
        <w:rPr>
          <w:rFonts w:cs="Arial"/>
          <w:rtl/>
        </w:rPr>
        <w:t xml:space="preserve"> שלא יחזירנה</w:t>
      </w:r>
      <w:r>
        <w:rPr>
          <w:rFonts w:cs="Arial" w:hint="cs"/>
          <w:rtl/>
        </w:rPr>
        <w:t>,</w:t>
      </w:r>
      <w:r w:rsidRPr="00A167C1">
        <w:rPr>
          <w:rFonts w:cs="Arial"/>
          <w:rtl/>
        </w:rPr>
        <w:t xml:space="preserve"> שלא יעשו קנוניא עליו שיגרשנה כדי שתגבה כתובתה מהערב ויחזירנה אח"כ</w:t>
      </w:r>
      <w:r>
        <w:rPr>
          <w:rFonts w:cs="Arial" w:hint="cs"/>
          <w:rtl/>
        </w:rPr>
        <w:t>.</w:t>
      </w:r>
      <w:r w:rsidRPr="00A167C1">
        <w:rPr>
          <w:rFonts w:cs="Arial"/>
          <w:rtl/>
        </w:rPr>
        <w:t xml:space="preserve"> ואפי' לא הדירה בשעת הגירושין</w:t>
      </w:r>
      <w:r>
        <w:rPr>
          <w:rFonts w:cs="Arial" w:hint="cs"/>
          <w:rtl/>
        </w:rPr>
        <w:t>,</w:t>
      </w:r>
      <w:r w:rsidRPr="00A167C1">
        <w:rPr>
          <w:rFonts w:cs="Arial"/>
          <w:rtl/>
        </w:rPr>
        <w:t xml:space="preserve"> ידירנה אח"כ כשתתבענו הכתובה</w:t>
      </w:r>
      <w:r>
        <w:rPr>
          <w:rFonts w:cs="Arial" w:hint="cs"/>
          <w:sz w:val="16"/>
          <w:szCs w:val="16"/>
          <w:rtl/>
        </w:rPr>
        <w:t xml:space="preserve"> (ל' הטור)</w:t>
      </w:r>
      <w:r>
        <w:rPr>
          <w:rFonts w:cs="Arial" w:hint="cs"/>
          <w:rtl/>
        </w:rPr>
        <w:t>.</w:t>
      </w:r>
    </w:p>
    <w:p w14:paraId="769C731E" w14:textId="77777777" w:rsidR="002E5BAD" w:rsidRPr="00B90205" w:rsidRDefault="002E5BAD" w:rsidP="002E5BAD">
      <w:pPr>
        <w:ind w:left="360"/>
        <w:rPr>
          <w:u w:val="dotted"/>
        </w:rPr>
      </w:pPr>
      <w:r w:rsidRPr="00B90205">
        <w:rPr>
          <w:rFonts w:hint="cs"/>
          <w:u w:val="dotted"/>
          <w:rtl/>
        </w:rPr>
        <w:t xml:space="preserve">האם </w:t>
      </w:r>
      <w:r>
        <w:rPr>
          <w:rFonts w:hint="cs"/>
          <w:u w:val="dotted"/>
          <w:rtl/>
        </w:rPr>
        <w:t xml:space="preserve">צריך להדירה הנראה גם כשבאה לגבות את </w:t>
      </w:r>
      <w:r w:rsidRPr="00B90205">
        <w:rPr>
          <w:rFonts w:hint="cs"/>
          <w:u w:val="dotted"/>
          <w:rtl/>
        </w:rPr>
        <w:t>הנדוניא:</w:t>
      </w:r>
    </w:p>
    <w:p w14:paraId="6AF93EE8" w14:textId="77777777" w:rsidR="002E5BAD" w:rsidRPr="00EF3BAC" w:rsidRDefault="002E5BAD" w:rsidP="00B75458">
      <w:pPr>
        <w:pStyle w:val="ab"/>
        <w:numPr>
          <w:ilvl w:val="0"/>
          <w:numId w:val="192"/>
        </w:numPr>
      </w:pPr>
      <w:r>
        <w:rPr>
          <w:rFonts w:cs="Arial" w:hint="cs"/>
          <w:rtl/>
        </w:rPr>
        <w:t xml:space="preserve">הה"מ </w:t>
      </w:r>
      <w:r w:rsidRPr="00B90205">
        <w:rPr>
          <w:rFonts w:cs="Arial" w:hint="cs"/>
          <w:sz w:val="16"/>
          <w:szCs w:val="16"/>
          <w:rtl/>
        </w:rPr>
        <w:t>(פ</w:t>
      </w:r>
      <w:r w:rsidRPr="00B90205">
        <w:rPr>
          <w:rFonts w:cs="Arial"/>
          <w:sz w:val="16"/>
          <w:szCs w:val="16"/>
          <w:rtl/>
        </w:rPr>
        <w:t>י"ז מאישות ה"י)</w:t>
      </w:r>
      <w:r>
        <w:rPr>
          <w:rFonts w:cs="Arial" w:hint="cs"/>
          <w:rtl/>
        </w:rPr>
        <w:t>-</w:t>
      </w:r>
      <w:r>
        <w:rPr>
          <w:rFonts w:cs="Arial"/>
          <w:rtl/>
        </w:rPr>
        <w:t xml:space="preserve"> נ"ל שדין זה אפילו בנדוניא שהרי מפני חשש קנוניא הוא אבל מלשון הגמרא שאמרו בפרק שום היתומים (שם:) ערב נמי מצוה עביד ולא מידי חסרה משמע דדוקא בעיקר הכתובה ותוספת שהוא כעיקר אבל בנכסי צאן ברזל לא</w:t>
      </w:r>
      <w:r>
        <w:rPr>
          <w:rFonts w:cs="Arial" w:hint="cs"/>
          <w:rtl/>
        </w:rPr>
        <w:t>,</w:t>
      </w:r>
      <w:r>
        <w:rPr>
          <w:rFonts w:cs="Arial"/>
          <w:rtl/>
        </w:rPr>
        <w:t xml:space="preserve"> וצ"ע</w:t>
      </w:r>
      <w:r>
        <w:rPr>
          <w:rFonts w:cs="Arial" w:hint="cs"/>
          <w:rtl/>
        </w:rPr>
        <w:t>.</w:t>
      </w:r>
    </w:p>
    <w:p w14:paraId="76EF319B" w14:textId="77777777" w:rsidR="002E5BAD" w:rsidRPr="00EF3BAC" w:rsidRDefault="002E5BAD" w:rsidP="002E5BAD">
      <w:pPr>
        <w:rPr>
          <w:u w:val="single"/>
        </w:rPr>
      </w:pPr>
      <w:r w:rsidRPr="00EF3BAC">
        <w:rPr>
          <w:rFonts w:hint="cs"/>
          <w:u w:val="single"/>
          <w:rtl/>
        </w:rPr>
        <w:t>האם מותר להשיא אדם עצה לגרש את אשתו ולהחזירה, כדי שהערב ישלם לה כתובתה:</w:t>
      </w:r>
    </w:p>
    <w:p w14:paraId="514EF3BB" w14:textId="77777777" w:rsidR="002E5BAD" w:rsidRDefault="002E5BAD" w:rsidP="00B75458">
      <w:pPr>
        <w:pStyle w:val="ab"/>
        <w:numPr>
          <w:ilvl w:val="0"/>
          <w:numId w:val="192"/>
        </w:numPr>
      </w:pPr>
      <w:r>
        <w:rPr>
          <w:rFonts w:cs="Arial" w:hint="cs"/>
          <w:rtl/>
        </w:rPr>
        <w:t xml:space="preserve">טור- </w:t>
      </w:r>
      <w:r w:rsidRPr="00A167C1">
        <w:rPr>
          <w:rFonts w:cs="Arial"/>
          <w:rtl/>
        </w:rPr>
        <w:t>ואסור לאדם שישיאנה עצה שיגרשנה כדי שתגבה הכתובה מהערב</w:t>
      </w:r>
      <w:r>
        <w:rPr>
          <w:rFonts w:cs="Arial" w:hint="cs"/>
          <w:rtl/>
        </w:rPr>
        <w:t>,</w:t>
      </w:r>
      <w:r w:rsidRPr="00A167C1">
        <w:rPr>
          <w:rFonts w:cs="Arial"/>
          <w:rtl/>
        </w:rPr>
        <w:t xml:space="preserve"> דשמא לא ידירנה הנאה</w:t>
      </w:r>
      <w:r>
        <w:rPr>
          <w:rFonts w:cs="Arial" w:hint="cs"/>
          <w:rtl/>
        </w:rPr>
        <w:t>.</w:t>
      </w:r>
      <w:r w:rsidRPr="00A167C1">
        <w:rPr>
          <w:rFonts w:cs="Arial"/>
          <w:rtl/>
        </w:rPr>
        <w:t xml:space="preserve"> מיהו אם האב ערב לכלתו כנגד בנו</w:t>
      </w:r>
      <w:r>
        <w:rPr>
          <w:rFonts w:cs="Arial" w:hint="cs"/>
          <w:rtl/>
        </w:rPr>
        <w:t>,</w:t>
      </w:r>
      <w:r w:rsidRPr="00A167C1">
        <w:rPr>
          <w:rFonts w:cs="Arial"/>
          <w:rtl/>
        </w:rPr>
        <w:t xml:space="preserve"> והבן ת"ח והשעה דחוקה לו ואין האב מהנהו מנכסיו </w:t>
      </w:r>
      <w:r>
        <w:rPr>
          <w:rFonts w:cs="Arial" w:hint="cs"/>
          <w:rtl/>
        </w:rPr>
        <w:t xml:space="preserve">- </w:t>
      </w:r>
      <w:r w:rsidRPr="00A167C1">
        <w:rPr>
          <w:rFonts w:cs="Arial"/>
          <w:rtl/>
        </w:rPr>
        <w:t>מותר להשיאו עצה לגרש כדי לגבות הכתובה מהאב</w:t>
      </w:r>
      <w:r>
        <w:rPr>
          <w:rFonts w:cs="Arial" w:hint="cs"/>
          <w:rtl/>
        </w:rPr>
        <w:t>.</w:t>
      </w:r>
    </w:p>
    <w:p w14:paraId="5CE9207A" w14:textId="77777777" w:rsidR="002E5BAD" w:rsidRDefault="002E5BAD" w:rsidP="002E5BAD">
      <w:pPr>
        <w:rPr>
          <w:rFonts w:cs="Arial"/>
          <w:rtl/>
        </w:rPr>
      </w:pPr>
      <w:r w:rsidRPr="009203A2">
        <w:rPr>
          <w:rFonts w:cs="Arial" w:hint="cs"/>
          <w:u w:val="single"/>
          <w:rtl/>
        </w:rPr>
        <w:lastRenderedPageBreak/>
        <w:t>אחד שנ</w:t>
      </w:r>
      <w:r>
        <w:rPr>
          <w:rFonts w:cs="Arial" w:hint="cs"/>
          <w:u w:val="single"/>
          <w:rtl/>
        </w:rPr>
        <w:t xml:space="preserve">עשה </w:t>
      </w:r>
      <w:r w:rsidRPr="009203A2">
        <w:rPr>
          <w:rFonts w:cs="Arial" w:hint="cs"/>
          <w:u w:val="single"/>
          <w:rtl/>
        </w:rPr>
        <w:t xml:space="preserve">ערב לכלתו, וכתב שכל זמן שיתבעוהו שניהם חייב לשלם, ומת בנו </w:t>
      </w:r>
      <w:r w:rsidRPr="009203A2">
        <w:rPr>
          <w:rFonts w:cs="Arial"/>
          <w:u w:val="single"/>
          <w:rtl/>
        </w:rPr>
        <w:t>–</w:t>
      </w:r>
      <w:r w:rsidRPr="009203A2">
        <w:rPr>
          <w:rFonts w:cs="Arial" w:hint="cs"/>
          <w:u w:val="single"/>
          <w:rtl/>
        </w:rPr>
        <w:t xml:space="preserve"> האם אשתו גובה:</w:t>
      </w:r>
      <w:r>
        <w:rPr>
          <w:rFonts w:cs="Arial" w:hint="cs"/>
          <w:rtl/>
        </w:rPr>
        <w:t xml:space="preserve"> </w:t>
      </w:r>
      <w:r w:rsidRPr="009203A2">
        <w:rPr>
          <w:rFonts w:cs="Arial" w:hint="cs"/>
          <w:sz w:val="16"/>
          <w:szCs w:val="16"/>
          <w:rtl/>
        </w:rPr>
        <w:t>(דרכ"מ אות ח)</w:t>
      </w:r>
    </w:p>
    <w:p w14:paraId="768FD676" w14:textId="77777777" w:rsidR="002E5BAD" w:rsidRPr="001E2D2F" w:rsidRDefault="002E5BAD" w:rsidP="00B75458">
      <w:pPr>
        <w:pStyle w:val="ab"/>
        <w:numPr>
          <w:ilvl w:val="0"/>
          <w:numId w:val="192"/>
        </w:numPr>
        <w:rPr>
          <w:rFonts w:cs="Arial"/>
          <w:rtl/>
        </w:rPr>
      </w:pPr>
      <w:r w:rsidRPr="009203A2">
        <w:rPr>
          <w:rFonts w:cs="Arial"/>
          <w:rtl/>
        </w:rPr>
        <w:t xml:space="preserve">ריב"ש </w:t>
      </w:r>
      <w:r w:rsidRPr="009203A2">
        <w:rPr>
          <w:rFonts w:cs="Arial" w:hint="cs"/>
          <w:sz w:val="16"/>
          <w:szCs w:val="16"/>
          <w:rtl/>
        </w:rPr>
        <w:t>(סי' תפא)</w:t>
      </w:r>
      <w:r w:rsidRPr="009203A2">
        <w:rPr>
          <w:rFonts w:cs="Arial" w:hint="cs"/>
          <w:rtl/>
        </w:rPr>
        <w:t>-</w:t>
      </w:r>
      <w:r w:rsidRPr="009203A2">
        <w:rPr>
          <w:rFonts w:cs="Arial"/>
          <w:rtl/>
        </w:rPr>
        <w:t xml:space="preserve"> אחד שנעשה ערב ל</w:t>
      </w:r>
      <w:r w:rsidRPr="009203A2">
        <w:rPr>
          <w:rFonts w:cs="Arial" w:hint="cs"/>
          <w:rtl/>
        </w:rPr>
        <w:t>כלתו</w:t>
      </w:r>
      <w:r w:rsidRPr="009203A2">
        <w:rPr>
          <w:rFonts w:cs="Arial"/>
          <w:rtl/>
        </w:rPr>
        <w:t xml:space="preserve"> בכתובה</w:t>
      </w:r>
      <w:r w:rsidRPr="009203A2">
        <w:rPr>
          <w:rFonts w:cs="Arial" w:hint="cs"/>
          <w:rtl/>
        </w:rPr>
        <w:t>,</w:t>
      </w:r>
      <w:r w:rsidRPr="009203A2">
        <w:rPr>
          <w:rFonts w:cs="Arial"/>
          <w:rtl/>
        </w:rPr>
        <w:t xml:space="preserve"> וכתב כל זמן שיתבעוהו שניהם שחייב לשלם להם</w:t>
      </w:r>
      <w:r w:rsidRPr="009203A2">
        <w:rPr>
          <w:rFonts w:cs="Arial" w:hint="cs"/>
          <w:rtl/>
        </w:rPr>
        <w:t>.</w:t>
      </w:r>
      <w:r w:rsidRPr="009203A2">
        <w:rPr>
          <w:rFonts w:cs="Arial"/>
          <w:rtl/>
        </w:rPr>
        <w:t xml:space="preserve"> ומת בנו</w:t>
      </w:r>
      <w:r w:rsidRPr="009203A2">
        <w:rPr>
          <w:rFonts w:cs="Arial" w:hint="cs"/>
          <w:rtl/>
        </w:rPr>
        <w:t>,</w:t>
      </w:r>
      <w:r w:rsidRPr="009203A2">
        <w:rPr>
          <w:rFonts w:cs="Arial"/>
          <w:rtl/>
        </w:rPr>
        <w:t xml:space="preserve"> אפילו הכי אשתו גובאת כתובתה</w:t>
      </w:r>
      <w:r w:rsidRPr="009203A2">
        <w:rPr>
          <w:rFonts w:cs="Arial" w:hint="cs"/>
          <w:rtl/>
        </w:rPr>
        <w:t>,</w:t>
      </w:r>
      <w:r w:rsidRPr="009203A2">
        <w:rPr>
          <w:rFonts w:cs="Arial"/>
          <w:rtl/>
        </w:rPr>
        <w:t xml:space="preserve"> ולא אמרינן הואיל וכתב לה כל זמן שיתבעו ואין כאן אלא היא לחוד לא תגבה</w:t>
      </w:r>
      <w:r w:rsidRPr="009203A2">
        <w:rPr>
          <w:rFonts w:cs="Arial" w:hint="cs"/>
          <w:rtl/>
        </w:rPr>
        <w:t>.</w:t>
      </w:r>
      <w:r w:rsidRPr="009203A2">
        <w:rPr>
          <w:rFonts w:cs="Arial"/>
          <w:rtl/>
        </w:rPr>
        <w:t xml:space="preserve"> </w:t>
      </w:r>
      <w:r w:rsidRPr="001E2D2F">
        <w:rPr>
          <w:rFonts w:cs="Arial" w:hint="cs"/>
          <w:color w:val="00B0F0"/>
          <w:rtl/>
        </w:rPr>
        <w:t>(וכ"פ הרמ"א)</w:t>
      </w:r>
    </w:p>
    <w:p w14:paraId="07236D8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2D5C82" w14:textId="77777777" w:rsidR="002E5BAD" w:rsidRDefault="002E5BAD" w:rsidP="002E5BAD">
      <w:pPr>
        <w:rPr>
          <w:rFonts w:cs="Arial"/>
          <w:rtl/>
        </w:rPr>
      </w:pPr>
      <w:r w:rsidRPr="000904BE">
        <w:rPr>
          <w:rFonts w:cs="Arial"/>
          <w:rtl/>
        </w:rPr>
        <w:t>הערב לאשה בכתובתה, בענין שהוא חייב, וגירשה בעלה ואין לבעל נכסים לפרעה, לא תפרע</w:t>
      </w:r>
      <w:r>
        <w:rPr>
          <w:rStyle w:val="a7"/>
          <w:rFonts w:cs="Arial"/>
          <w:rtl/>
        </w:rPr>
        <w:footnoteReference w:id="2591"/>
      </w:r>
      <w:r w:rsidRPr="000904BE">
        <w:rPr>
          <w:rFonts w:cs="Arial"/>
          <w:rtl/>
        </w:rPr>
        <w:t xml:space="preserve"> מן הערב עד שידירנה בעלה הנאה על דעת רבים, כדי שלא יעשו קנוניא עליו. ואסור לאדם להשיאו עצה שיגרשנה כדי שתגבה הכתובתה מהערב ואחר כך יחזירנה, דשמא לא ידירנה הנאה. מיהו אם האב ערב לכלתו בעד בנו, והבן תלמיד חכם והשעה דחוקה לו ואין האב מהנהו מנכסיו, מותר להשיאו עצה זו</w:t>
      </w:r>
      <w:r>
        <w:rPr>
          <w:rStyle w:val="a7"/>
          <w:rFonts w:cs="Arial"/>
          <w:rtl/>
        </w:rPr>
        <w:footnoteReference w:id="2592"/>
      </w:r>
      <w:r w:rsidRPr="000904BE">
        <w:rPr>
          <w:rFonts w:cs="Arial"/>
          <w:rtl/>
        </w:rPr>
        <w:t xml:space="preserve">. </w:t>
      </w:r>
      <w:r w:rsidRPr="007A47A7">
        <w:rPr>
          <w:rFonts w:cs="Arial"/>
          <w:sz w:val="18"/>
          <w:szCs w:val="18"/>
          <w:rtl/>
        </w:rPr>
        <w:t>הגה: הערב לאשה בנדונייתא, וכתב בשטר כל זמן שיתבע</w:t>
      </w:r>
      <w:r>
        <w:rPr>
          <w:rFonts w:cs="Arial" w:hint="cs"/>
          <w:sz w:val="18"/>
          <w:szCs w:val="18"/>
          <w:rtl/>
        </w:rPr>
        <w:t>ו</w:t>
      </w:r>
      <w:r w:rsidRPr="007A47A7">
        <w:rPr>
          <w:rFonts w:cs="Arial"/>
          <w:sz w:val="18"/>
          <w:szCs w:val="18"/>
          <w:rtl/>
        </w:rPr>
        <w:t>הו שניהם</w:t>
      </w:r>
      <w:r>
        <w:rPr>
          <w:rStyle w:val="a7"/>
          <w:rFonts w:cs="Arial"/>
          <w:sz w:val="18"/>
          <w:szCs w:val="18"/>
          <w:rtl/>
        </w:rPr>
        <w:footnoteReference w:id="2593"/>
      </w:r>
      <w:r w:rsidRPr="007A47A7">
        <w:rPr>
          <w:rFonts w:cs="Arial"/>
          <w:sz w:val="18"/>
          <w:szCs w:val="18"/>
          <w:rtl/>
        </w:rPr>
        <w:t xml:space="preserve"> שחייב לשלם להם, ומת הבעל, אפ"ה אשתו גובאת מה שכתב לה (ריב"ש).</w:t>
      </w:r>
      <w:r w:rsidRPr="000904BE">
        <w:rPr>
          <w:rFonts w:cs="Arial"/>
          <w:rtl/>
        </w:rPr>
        <w:t xml:space="preserve"> </w:t>
      </w:r>
    </w:p>
    <w:p w14:paraId="6842D538" w14:textId="77777777" w:rsidR="002E5BAD" w:rsidRPr="000904BE" w:rsidRDefault="002E5BAD" w:rsidP="002E5BAD">
      <w:pPr>
        <w:rPr>
          <w:rFonts w:cs="Arial"/>
          <w:rtl/>
        </w:rPr>
      </w:pPr>
    </w:p>
    <w:p w14:paraId="66FAB80F" w14:textId="77777777" w:rsidR="002E5BAD" w:rsidRDefault="002E5BAD" w:rsidP="002E5BAD">
      <w:pPr>
        <w:pStyle w:val="2"/>
        <w:rPr>
          <w:rtl/>
        </w:rPr>
      </w:pPr>
      <w:r w:rsidRPr="000904BE">
        <w:rPr>
          <w:rtl/>
        </w:rPr>
        <w:t>סעיף ח</w:t>
      </w:r>
      <w:r>
        <w:rPr>
          <w:rFonts w:hint="cs"/>
          <w:rtl/>
        </w:rPr>
        <w:t>: בעל מדיר את אשתו הנאה לפני שגובה כתובתה מההקדש.</w:t>
      </w:r>
    </w:p>
    <w:p w14:paraId="3B73F4CF" w14:textId="77777777" w:rsidR="002E5BAD" w:rsidRDefault="002E5BAD" w:rsidP="002E5BAD">
      <w:pPr>
        <w:rPr>
          <w:rtl/>
        </w:rPr>
      </w:pPr>
      <w:r w:rsidRPr="001E2D2F">
        <w:rPr>
          <w:rFonts w:hint="cs"/>
          <w:b/>
          <w:bCs/>
          <w:rtl/>
        </w:rPr>
        <w:t xml:space="preserve">ערכין </w:t>
      </w:r>
      <w:r w:rsidRPr="001E2D2F">
        <w:rPr>
          <w:rFonts w:hint="cs"/>
          <w:b/>
          <w:bCs/>
          <w:sz w:val="16"/>
          <w:szCs w:val="16"/>
          <w:rtl/>
        </w:rPr>
        <w:t>(</w:t>
      </w:r>
      <w:r>
        <w:rPr>
          <w:rFonts w:hint="cs"/>
          <w:b/>
          <w:bCs/>
          <w:sz w:val="16"/>
          <w:szCs w:val="16"/>
          <w:rtl/>
        </w:rPr>
        <w:t>פ'</w:t>
      </w:r>
      <w:r w:rsidRPr="001E2D2F">
        <w:rPr>
          <w:rFonts w:hint="cs"/>
          <w:b/>
          <w:bCs/>
          <w:sz w:val="16"/>
          <w:szCs w:val="16"/>
          <w:rtl/>
        </w:rPr>
        <w:t xml:space="preserve"> שום היתומים) </w:t>
      </w:r>
      <w:r w:rsidRPr="001E2D2F">
        <w:rPr>
          <w:rFonts w:hint="cs"/>
          <w:b/>
          <w:bCs/>
          <w:rtl/>
        </w:rPr>
        <w:t>כג ע"א:</w:t>
      </w:r>
      <w:r>
        <w:rPr>
          <w:rFonts w:hint="cs"/>
          <w:rtl/>
        </w:rPr>
        <w:t xml:space="preserve"> </w:t>
      </w:r>
      <w:r w:rsidRPr="00E05F1F">
        <w:rPr>
          <w:rFonts w:cs="Arial"/>
          <w:u w:val="double"/>
          <w:rtl/>
        </w:rPr>
        <w:t>מתני'</w:t>
      </w:r>
      <w:r>
        <w:rPr>
          <w:rFonts w:cs="Arial" w:hint="cs"/>
          <w:rtl/>
        </w:rPr>
        <w:t>:</w:t>
      </w:r>
      <w:r w:rsidRPr="00E05F1F">
        <w:rPr>
          <w:rFonts w:cs="Arial"/>
          <w:rtl/>
        </w:rPr>
        <w:t xml:space="preserve"> המקדיש נכסיו והיתה עליו כתובת אשה</w:t>
      </w:r>
      <w:r>
        <w:rPr>
          <w:rFonts w:cs="Arial" w:hint="cs"/>
          <w:rtl/>
        </w:rPr>
        <w:t>,</w:t>
      </w:r>
      <w:r w:rsidRPr="00E05F1F">
        <w:rPr>
          <w:rFonts w:cs="Arial"/>
          <w:rtl/>
        </w:rPr>
        <w:t xml:space="preserve"> </w:t>
      </w:r>
      <w:r w:rsidRPr="00E05F1F">
        <w:rPr>
          <w:rFonts w:cs="Arial"/>
          <w:u w:val="single"/>
          <w:rtl/>
        </w:rPr>
        <w:t>ר"א אומר</w:t>
      </w:r>
      <w:r w:rsidRPr="00E05F1F">
        <w:rPr>
          <w:rFonts w:cs="Arial"/>
          <w:rtl/>
        </w:rPr>
        <w:t>: כשיגרשנה ידור הנאה</w:t>
      </w:r>
      <w:r>
        <w:rPr>
          <w:rStyle w:val="a7"/>
          <w:rFonts w:cs="Arial"/>
          <w:rtl/>
        </w:rPr>
        <w:footnoteReference w:id="2594"/>
      </w:r>
      <w:r>
        <w:rPr>
          <w:rFonts w:cs="Arial" w:hint="cs"/>
          <w:rtl/>
        </w:rPr>
        <w:t>.</w:t>
      </w:r>
      <w:r w:rsidRPr="00E05F1F">
        <w:rPr>
          <w:rFonts w:cs="Arial"/>
          <w:rtl/>
        </w:rPr>
        <w:t xml:space="preserve"> </w:t>
      </w:r>
      <w:r w:rsidRPr="00E05F1F">
        <w:rPr>
          <w:rFonts w:cs="Arial"/>
          <w:u w:val="single"/>
          <w:rtl/>
        </w:rPr>
        <w:t>רבי יהושע אומר</w:t>
      </w:r>
      <w:r w:rsidRPr="00E05F1F">
        <w:rPr>
          <w:rFonts w:cs="Arial"/>
          <w:rtl/>
        </w:rPr>
        <w:t xml:space="preserve">: אינו צריך. </w:t>
      </w:r>
      <w:r w:rsidRPr="00823A2D">
        <w:rPr>
          <w:rFonts w:cs="Arial"/>
          <w:rtl/>
        </w:rPr>
        <w:t>כיוצא בדבר</w:t>
      </w:r>
      <w:r>
        <w:rPr>
          <w:rFonts w:cs="Arial" w:hint="cs"/>
          <w:rtl/>
        </w:rPr>
        <w:t xml:space="preserve">, </w:t>
      </w:r>
      <w:r w:rsidRPr="00E05F1F">
        <w:rPr>
          <w:rFonts w:cs="Arial"/>
          <w:u w:val="single"/>
          <w:rtl/>
        </w:rPr>
        <w:t>ארשב"ג</w:t>
      </w:r>
      <w:r w:rsidRPr="00E05F1F">
        <w:rPr>
          <w:rFonts w:cs="Arial"/>
          <w:rtl/>
        </w:rPr>
        <w:t>: אף הערב לאשה בכתובתה והיה בעלה מגרשה - ידירנה הנאה, שמא יעשה קינוניא על נכסים של זה ויחזיר את אשתו.</w:t>
      </w:r>
      <w:r>
        <w:rPr>
          <w:rFonts w:cs="Arial" w:hint="cs"/>
          <w:rtl/>
        </w:rPr>
        <w:t xml:space="preserve">          </w:t>
      </w:r>
      <w:r w:rsidRPr="00F12D69">
        <w:rPr>
          <w:rtl/>
        </w:rPr>
        <w:t xml:space="preserve"> </w:t>
      </w:r>
      <w:r w:rsidRPr="00F12D69">
        <w:rPr>
          <w:rFonts w:cs="Arial"/>
          <w:u w:val="double"/>
          <w:rtl/>
        </w:rPr>
        <w:t>גמ'</w:t>
      </w:r>
      <w:r>
        <w:rPr>
          <w:rFonts w:cs="Arial" w:hint="cs"/>
          <w:rtl/>
        </w:rPr>
        <w:t>:</w:t>
      </w:r>
      <w:r w:rsidRPr="00F12D69">
        <w:rPr>
          <w:rFonts w:cs="Arial"/>
          <w:rtl/>
        </w:rPr>
        <w:t xml:space="preserve"> במאי קמיפלגי?</w:t>
      </w:r>
      <w:r>
        <w:rPr>
          <w:rFonts w:cs="Arial" w:hint="cs"/>
          <w:rtl/>
        </w:rPr>
        <w:t>...</w:t>
      </w:r>
      <w:r w:rsidRPr="00F12D69">
        <w:rPr>
          <w:rFonts w:cs="Arial"/>
          <w:rtl/>
        </w:rPr>
        <w:t xml:space="preserve"> אלא הכא בשאלה דהקדש קמיפלגי</w:t>
      </w:r>
      <w:r>
        <w:rPr>
          <w:rFonts w:cs="Arial" w:hint="cs"/>
          <w:rtl/>
        </w:rPr>
        <w:t>.</w:t>
      </w:r>
      <w:r w:rsidRPr="00F12D69">
        <w:rPr>
          <w:rFonts w:cs="Arial"/>
          <w:rtl/>
        </w:rPr>
        <w:t xml:space="preserve"> והתניא</w:t>
      </w:r>
      <w:r>
        <w:rPr>
          <w:rStyle w:val="a7"/>
          <w:rFonts w:cs="Arial"/>
          <w:rtl/>
        </w:rPr>
        <w:footnoteReference w:id="2595"/>
      </w:r>
      <w:r w:rsidRPr="00F12D69">
        <w:rPr>
          <w:rFonts w:cs="Arial"/>
          <w:rtl/>
        </w:rPr>
        <w:t>: המקדיש נכסיו והיתה עליו כתובת אשה - ר"א אומר: כשהוא מגרשה ידור הנאה, רבי יהושע אומר: אינו צריך, וא"ר אלעזר ברבי שמעון: הן הן דברי בית שמאי הן הן דברי ב"ה</w:t>
      </w:r>
      <w:r>
        <w:rPr>
          <w:rStyle w:val="a7"/>
          <w:rFonts w:cs="Arial"/>
          <w:rtl/>
        </w:rPr>
        <w:footnoteReference w:id="2596"/>
      </w:r>
      <w:r w:rsidRPr="00F12D69">
        <w:rPr>
          <w:rFonts w:cs="Arial"/>
          <w:rtl/>
        </w:rPr>
        <w:t>, שב"ש אומרים: הקדש טעות הקדש</w:t>
      </w:r>
      <w:r>
        <w:rPr>
          <w:rStyle w:val="a7"/>
          <w:rFonts w:cs="Arial"/>
          <w:rtl/>
        </w:rPr>
        <w:footnoteReference w:id="2597"/>
      </w:r>
      <w:r w:rsidRPr="00F12D69">
        <w:rPr>
          <w:rFonts w:cs="Arial"/>
          <w:rtl/>
        </w:rPr>
        <w:t>, וב"ה אומרים: הקדש טעות אינו הקדש.</w:t>
      </w:r>
      <w:r w:rsidRPr="00823A2D">
        <w:rPr>
          <w:rFonts w:cs="Arial"/>
          <w:sz w:val="16"/>
          <w:szCs w:val="16"/>
          <w:rtl/>
        </w:rPr>
        <w:t xml:space="preserve"> </w:t>
      </w:r>
      <w:r>
        <w:rPr>
          <w:rFonts w:cs="Arial" w:hint="cs"/>
          <w:sz w:val="16"/>
          <w:szCs w:val="16"/>
          <w:rtl/>
        </w:rPr>
        <w:t>(</w:t>
      </w:r>
      <w:r w:rsidRPr="00823A2D">
        <w:rPr>
          <w:rFonts w:cs="Arial"/>
          <w:sz w:val="16"/>
          <w:szCs w:val="16"/>
          <w:rtl/>
        </w:rPr>
        <w:t>ומשמע דהלכה כמ"ד ידירנה וכן פסק הרמב"ם בפי"ז מהלכות אישות (ה"י)</w:t>
      </w:r>
      <w:r>
        <w:rPr>
          <w:rFonts w:cs="Arial" w:hint="cs"/>
          <w:sz w:val="16"/>
          <w:szCs w:val="16"/>
          <w:rtl/>
        </w:rPr>
        <w:t>, ב"י. ותמהו האחרונים (ב"ש</w:t>
      </w:r>
      <w:r>
        <w:rPr>
          <w:rStyle w:val="a7"/>
          <w:rFonts w:cs="Arial"/>
          <w:sz w:val="16"/>
          <w:szCs w:val="16"/>
          <w:rtl/>
        </w:rPr>
        <w:footnoteReference w:id="2598"/>
      </w:r>
      <w:r>
        <w:rPr>
          <w:rFonts w:cs="Arial" w:hint="cs"/>
          <w:sz w:val="16"/>
          <w:szCs w:val="16"/>
          <w:rtl/>
        </w:rPr>
        <w:t xml:space="preserve"> [סקכ"ה] גר"א [סקכ"ט] ועוד) מדוע פסקו כן, שהיה להם לפסוק כרבי יהושע שפסק כבית הלל. אך הלח"מ (פי"ז מאישות אות י) כתב שיש להוכיח מהגמ' שם [כג:] דהלכה כר"א</w:t>
      </w:r>
      <w:r>
        <w:rPr>
          <w:rStyle w:val="a7"/>
          <w:rFonts w:cs="Arial"/>
          <w:sz w:val="16"/>
          <w:szCs w:val="16"/>
          <w:rtl/>
        </w:rPr>
        <w:footnoteReference w:id="2599"/>
      </w:r>
      <w:r>
        <w:rPr>
          <w:rFonts w:cs="Arial" w:hint="cs"/>
          <w:sz w:val="16"/>
          <w:szCs w:val="16"/>
          <w:rtl/>
        </w:rPr>
        <w:t>)</w:t>
      </w:r>
    </w:p>
    <w:p w14:paraId="6A838F79" w14:textId="77777777" w:rsidR="002E5BAD" w:rsidRPr="00823A2D" w:rsidRDefault="002E5BAD" w:rsidP="002E5BAD">
      <w:pPr>
        <w:rPr>
          <w:u w:val="single"/>
          <w:rtl/>
        </w:rPr>
      </w:pPr>
      <w:r w:rsidRPr="00823A2D">
        <w:rPr>
          <w:rFonts w:hint="cs"/>
          <w:u w:val="single"/>
          <w:rtl/>
        </w:rPr>
        <w:t xml:space="preserve">בעל שהקדיש כל נכסיו </w:t>
      </w:r>
      <w:r>
        <w:rPr>
          <w:u w:val="single"/>
          <w:rtl/>
        </w:rPr>
        <w:t>–</w:t>
      </w:r>
      <w:r>
        <w:rPr>
          <w:rFonts w:hint="cs"/>
          <w:u w:val="single"/>
          <w:rtl/>
        </w:rPr>
        <w:t xml:space="preserve"> האם צריך לה</w:t>
      </w:r>
      <w:r w:rsidRPr="00823A2D">
        <w:rPr>
          <w:rFonts w:hint="cs"/>
          <w:u w:val="single"/>
          <w:rtl/>
        </w:rPr>
        <w:t>דיר את אשתו הנאה לפני שגובה כתובתה מההקדש:</w:t>
      </w:r>
    </w:p>
    <w:p w14:paraId="542412D6" w14:textId="77777777" w:rsidR="002E5BAD" w:rsidRDefault="002E5BAD" w:rsidP="00B75458">
      <w:pPr>
        <w:pStyle w:val="ab"/>
        <w:numPr>
          <w:ilvl w:val="0"/>
          <w:numId w:val="192"/>
        </w:numPr>
      </w:pPr>
      <w:r>
        <w:rPr>
          <w:rFonts w:cs="Arial" w:hint="cs"/>
          <w:rtl/>
        </w:rPr>
        <w:t xml:space="preserve">טור- </w:t>
      </w:r>
      <w:r w:rsidRPr="00A167C1">
        <w:rPr>
          <w:rFonts w:cs="Arial"/>
          <w:rtl/>
        </w:rPr>
        <w:t xml:space="preserve">וכן אם הקדיש כל נכסיו ומגרשה </w:t>
      </w:r>
      <w:r>
        <w:rPr>
          <w:rFonts w:cs="Arial" w:hint="cs"/>
          <w:rtl/>
        </w:rPr>
        <w:t xml:space="preserve">- </w:t>
      </w:r>
      <w:r w:rsidRPr="00A167C1">
        <w:rPr>
          <w:rFonts w:cs="Arial"/>
          <w:rtl/>
        </w:rPr>
        <w:t>לא תגבה מן ההקדש אא"כ ידירנה</w:t>
      </w:r>
      <w:r>
        <w:rPr>
          <w:rFonts w:cs="Arial" w:hint="cs"/>
          <w:rtl/>
        </w:rPr>
        <w:t>.</w:t>
      </w:r>
      <w:r w:rsidRPr="00D85951">
        <w:rPr>
          <w:rFonts w:cs="Arial"/>
          <w:color w:val="E36C0A" w:themeColor="accent6" w:themeShade="BF"/>
          <w:rtl/>
        </w:rPr>
        <w:t xml:space="preserve"> </w:t>
      </w:r>
      <w:r w:rsidRPr="00D85951">
        <w:rPr>
          <w:rFonts w:hint="cs"/>
          <w:color w:val="E36C0A" w:themeColor="accent6" w:themeShade="BF"/>
          <w:rtl/>
        </w:rPr>
        <w:t>(וכ"</w:t>
      </w:r>
      <w:r>
        <w:rPr>
          <w:rFonts w:hint="cs"/>
          <w:color w:val="E36C0A" w:themeColor="accent6" w:themeShade="BF"/>
          <w:rtl/>
        </w:rPr>
        <w:t>כ</w:t>
      </w:r>
      <w:r w:rsidRPr="00D85951">
        <w:rPr>
          <w:rFonts w:hint="cs"/>
          <w:color w:val="E36C0A" w:themeColor="accent6" w:themeShade="BF"/>
          <w:rtl/>
        </w:rPr>
        <w:t xml:space="preserve"> בשו"ע)</w:t>
      </w:r>
    </w:p>
    <w:p w14:paraId="06F37B94" w14:textId="77777777" w:rsidR="002E5BAD" w:rsidRPr="00C0191E" w:rsidRDefault="002E5BAD" w:rsidP="00B75458">
      <w:pPr>
        <w:pStyle w:val="ab"/>
        <w:numPr>
          <w:ilvl w:val="0"/>
          <w:numId w:val="192"/>
        </w:numPr>
        <w:rPr>
          <w:rtl/>
        </w:rPr>
      </w:pPr>
      <w:r>
        <w:rPr>
          <w:rFonts w:cs="Arial" w:hint="cs"/>
          <w:rtl/>
        </w:rPr>
        <w:t xml:space="preserve">רמב"ם </w:t>
      </w:r>
      <w:r>
        <w:rPr>
          <w:rFonts w:cs="Arial" w:hint="cs"/>
          <w:sz w:val="16"/>
          <w:szCs w:val="16"/>
          <w:rtl/>
        </w:rPr>
        <w:t>(פי"ז מאישות ה"י)</w:t>
      </w:r>
      <w:r>
        <w:rPr>
          <w:rFonts w:cs="Arial" w:hint="cs"/>
          <w:rtl/>
        </w:rPr>
        <w:t xml:space="preserve">- </w:t>
      </w:r>
      <w:r w:rsidRPr="00823A2D">
        <w:rPr>
          <w:rFonts w:cs="Arial"/>
          <w:rtl/>
        </w:rPr>
        <w:t xml:space="preserve">וכן המקדיש נכסיו וגירש את אשתו </w:t>
      </w:r>
      <w:r>
        <w:rPr>
          <w:rFonts w:cs="Arial" w:hint="cs"/>
          <w:rtl/>
        </w:rPr>
        <w:t xml:space="preserve">- </w:t>
      </w:r>
      <w:r w:rsidRPr="00823A2D">
        <w:rPr>
          <w:rFonts w:cs="Arial"/>
          <w:rtl/>
        </w:rPr>
        <w:t>ידירנה הנאה ואחר כך תפרע מן הפודה מיד ההקדש</w:t>
      </w:r>
      <w:r>
        <w:rPr>
          <w:rStyle w:val="a7"/>
          <w:rFonts w:cs="Arial"/>
          <w:rtl/>
        </w:rPr>
        <w:footnoteReference w:id="2600"/>
      </w:r>
      <w:r>
        <w:rPr>
          <w:rFonts w:cs="Arial" w:hint="cs"/>
          <w:rtl/>
        </w:rPr>
        <w:t>,</w:t>
      </w:r>
      <w:r w:rsidRPr="00823A2D">
        <w:rPr>
          <w:rFonts w:cs="Arial"/>
          <w:rtl/>
        </w:rPr>
        <w:t xml:space="preserve"> שמא יעשו קנוניא על ההקדש</w:t>
      </w:r>
      <w:r>
        <w:rPr>
          <w:rFonts w:hint="cs"/>
          <w:rtl/>
        </w:rPr>
        <w:t>.</w:t>
      </w:r>
    </w:p>
    <w:p w14:paraId="45D89C7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21F6F71E" w14:textId="77777777" w:rsidR="002E5BAD" w:rsidRDefault="002E5BAD" w:rsidP="002E5BAD">
      <w:pPr>
        <w:rPr>
          <w:rFonts w:cs="Arial"/>
          <w:rtl/>
        </w:rPr>
      </w:pPr>
      <w:r w:rsidRPr="000904BE">
        <w:rPr>
          <w:rFonts w:cs="Arial"/>
          <w:rtl/>
        </w:rPr>
        <w:t>וכן אם הקדיש כל נכסיו ומגרשה, לא תגבה כתובתה עד שידירנה הנאה</w:t>
      </w:r>
      <w:r>
        <w:rPr>
          <w:rStyle w:val="a7"/>
          <w:rFonts w:cs="Arial"/>
          <w:rtl/>
        </w:rPr>
        <w:footnoteReference w:id="2601"/>
      </w:r>
      <w:r w:rsidRPr="000904BE">
        <w:rPr>
          <w:rFonts w:cs="Arial"/>
          <w:rtl/>
        </w:rPr>
        <w:t xml:space="preserve">. </w:t>
      </w:r>
    </w:p>
    <w:p w14:paraId="1A72FFBC" w14:textId="77777777" w:rsidR="002E5BAD" w:rsidRPr="000904BE" w:rsidRDefault="002E5BAD" w:rsidP="002E5BAD">
      <w:pPr>
        <w:rPr>
          <w:rFonts w:cs="Arial"/>
          <w:rtl/>
        </w:rPr>
      </w:pPr>
    </w:p>
    <w:p w14:paraId="48C98DDD" w14:textId="77777777" w:rsidR="002E5BAD" w:rsidRDefault="002E5BAD" w:rsidP="002E5BAD">
      <w:pPr>
        <w:pStyle w:val="2"/>
        <w:rPr>
          <w:rtl/>
        </w:rPr>
      </w:pPr>
      <w:r w:rsidRPr="000904BE">
        <w:rPr>
          <w:rtl/>
        </w:rPr>
        <w:t>סעיף ט</w:t>
      </w:r>
      <w:r>
        <w:rPr>
          <w:rFonts w:hint="cs"/>
          <w:rtl/>
        </w:rPr>
        <w:t>: בעל אינו מדיר את אשתו הנאה לפני שגובה כתובתה מהלקוחות.</w:t>
      </w:r>
    </w:p>
    <w:p w14:paraId="77542475" w14:textId="77777777" w:rsidR="002E5BAD" w:rsidRPr="00CD7E2D" w:rsidRDefault="002E5BAD" w:rsidP="002E5BAD">
      <w:pPr>
        <w:rPr>
          <w:rtl/>
        </w:rPr>
      </w:pPr>
      <w:r w:rsidRPr="001E2D2F">
        <w:rPr>
          <w:rFonts w:hint="cs"/>
          <w:b/>
          <w:bCs/>
          <w:rtl/>
        </w:rPr>
        <w:t xml:space="preserve">ערכין </w:t>
      </w:r>
      <w:r w:rsidRPr="001E2D2F">
        <w:rPr>
          <w:rFonts w:hint="cs"/>
          <w:b/>
          <w:bCs/>
          <w:sz w:val="16"/>
          <w:szCs w:val="16"/>
          <w:rtl/>
        </w:rPr>
        <w:t>(</w:t>
      </w:r>
      <w:r>
        <w:rPr>
          <w:rFonts w:hint="cs"/>
          <w:b/>
          <w:bCs/>
          <w:sz w:val="16"/>
          <w:szCs w:val="16"/>
          <w:rtl/>
        </w:rPr>
        <w:t>פ'</w:t>
      </w:r>
      <w:r w:rsidRPr="001E2D2F">
        <w:rPr>
          <w:rFonts w:hint="cs"/>
          <w:b/>
          <w:bCs/>
          <w:sz w:val="16"/>
          <w:szCs w:val="16"/>
          <w:rtl/>
        </w:rPr>
        <w:t xml:space="preserve"> שום היתומים) </w:t>
      </w:r>
      <w:r w:rsidRPr="001E2D2F">
        <w:rPr>
          <w:rFonts w:hint="cs"/>
          <w:b/>
          <w:bCs/>
          <w:rtl/>
        </w:rPr>
        <w:t>כג ע"</w:t>
      </w:r>
      <w:r>
        <w:rPr>
          <w:rFonts w:hint="cs"/>
          <w:b/>
          <w:bCs/>
          <w:rtl/>
        </w:rPr>
        <w:t>ב</w:t>
      </w:r>
      <w:r w:rsidRPr="001E2D2F">
        <w:rPr>
          <w:rFonts w:hint="cs"/>
          <w:b/>
          <w:bCs/>
          <w:rtl/>
        </w:rPr>
        <w:t>:</w:t>
      </w:r>
      <w:r>
        <w:rPr>
          <w:rFonts w:cs="Arial" w:hint="cs"/>
          <w:rtl/>
        </w:rPr>
        <w:t xml:space="preserve"> </w:t>
      </w:r>
      <w:r w:rsidRPr="00CD7E2D">
        <w:rPr>
          <w:rFonts w:cs="Arial"/>
          <w:rtl/>
        </w:rPr>
        <w:t xml:space="preserve">ההוא גברא דזבנינהו לנכסיה וקא גרשה לדביתהו, שלחה רב יוסף בריה דרבא לקמיה דרב פפא: ערב תנן, הקדש תנן, לוקח מהו? </w:t>
      </w:r>
      <w:r w:rsidRPr="00361894">
        <w:rPr>
          <w:rFonts w:cs="Arial"/>
          <w:u w:val="single"/>
          <w:rtl/>
        </w:rPr>
        <w:t>אמר ליה</w:t>
      </w:r>
      <w:r w:rsidRPr="00CD7E2D">
        <w:rPr>
          <w:rFonts w:cs="Arial"/>
          <w:rtl/>
        </w:rPr>
        <w:t xml:space="preserve">: תנא כי רוכלא ניחשיב וניזיל? </w:t>
      </w:r>
      <w:r w:rsidRPr="00361894">
        <w:rPr>
          <w:rFonts w:cs="Arial"/>
          <w:u w:val="single"/>
          <w:rtl/>
        </w:rPr>
        <w:t>נהרדעי אמרי</w:t>
      </w:r>
      <w:r w:rsidRPr="00CD7E2D">
        <w:rPr>
          <w:rFonts w:cs="Arial"/>
          <w:rtl/>
        </w:rPr>
        <w:t xml:space="preserve">: דתנן תנן, דלא תנן לא תנן. </w:t>
      </w:r>
      <w:r w:rsidRPr="00361894">
        <w:rPr>
          <w:rFonts w:cs="Arial"/>
          <w:u w:val="single"/>
          <w:rtl/>
        </w:rPr>
        <w:t>אמר רב משרשיא</w:t>
      </w:r>
      <w:r w:rsidRPr="00CD7E2D">
        <w:rPr>
          <w:rFonts w:cs="Arial"/>
          <w:rtl/>
        </w:rPr>
        <w:t>: מאי טעמא דנהרדעי? בשלמא הקדש משום ריוח דהקדש, ערב נמי מצוה הוא דעבד ולאו מידי חסריה, אלא לוקח מכדי מידע ידע דכל חד וחד איכא עליה כתובה, אמאי ניזיל וניזבון? איהו הוא דאפסיד אנפשיה.</w:t>
      </w:r>
    </w:p>
    <w:p w14:paraId="7207A026" w14:textId="77777777" w:rsidR="002E5BAD" w:rsidRPr="00CD7E2D" w:rsidRDefault="002E5BAD" w:rsidP="002E5BAD">
      <w:pPr>
        <w:rPr>
          <w:u w:val="single"/>
          <w:rtl/>
        </w:rPr>
      </w:pPr>
      <w:r w:rsidRPr="00CD7E2D">
        <w:rPr>
          <w:rFonts w:hint="cs"/>
          <w:u w:val="single"/>
          <w:rtl/>
        </w:rPr>
        <w:t>האם בעל צריך להדיר את אשתו הנאה לפני שגובה כתובתה מהלקוחות:</w:t>
      </w:r>
    </w:p>
    <w:p w14:paraId="2997D78E" w14:textId="77777777" w:rsidR="002E5BAD" w:rsidRPr="00361894" w:rsidRDefault="002E5BAD" w:rsidP="00B75458">
      <w:pPr>
        <w:pStyle w:val="ab"/>
        <w:numPr>
          <w:ilvl w:val="0"/>
          <w:numId w:val="192"/>
        </w:numPr>
        <w:rPr>
          <w:rtl/>
        </w:rPr>
      </w:pPr>
      <w:r w:rsidRPr="009C12D8">
        <w:rPr>
          <w:rFonts w:cs="Arial"/>
          <w:rtl/>
        </w:rPr>
        <w:t>רי"ף</w:t>
      </w:r>
      <w:r>
        <w:rPr>
          <w:rFonts w:cs="Arial" w:hint="cs"/>
          <w:sz w:val="16"/>
          <w:szCs w:val="16"/>
          <w:rtl/>
        </w:rPr>
        <w:t xml:space="preserve"> (ב"ב פב.)</w:t>
      </w:r>
      <w:r w:rsidRPr="009C12D8">
        <w:rPr>
          <w:rFonts w:cs="Arial"/>
          <w:rtl/>
        </w:rPr>
        <w:t xml:space="preserve"> רמב"ם </w:t>
      </w:r>
      <w:r w:rsidRPr="00361894">
        <w:rPr>
          <w:rFonts w:cs="Arial" w:hint="cs"/>
          <w:sz w:val="16"/>
          <w:szCs w:val="16"/>
          <w:rtl/>
        </w:rPr>
        <w:t>(</w:t>
      </w:r>
      <w:r w:rsidRPr="00361894">
        <w:rPr>
          <w:rFonts w:cs="Arial"/>
          <w:sz w:val="16"/>
          <w:szCs w:val="16"/>
          <w:rtl/>
        </w:rPr>
        <w:t xml:space="preserve">פי"ז מאישות </w:t>
      </w:r>
      <w:r w:rsidRPr="00361894">
        <w:rPr>
          <w:rFonts w:cs="Arial" w:hint="cs"/>
          <w:sz w:val="16"/>
          <w:szCs w:val="16"/>
          <w:rtl/>
        </w:rPr>
        <w:t>ה"י</w:t>
      </w:r>
      <w:r w:rsidRPr="00361894">
        <w:rPr>
          <w:rFonts w:cs="Arial"/>
          <w:sz w:val="16"/>
          <w:szCs w:val="16"/>
          <w:rtl/>
        </w:rPr>
        <w:t>)</w:t>
      </w:r>
      <w:r>
        <w:rPr>
          <w:rFonts w:cs="Arial" w:hint="cs"/>
          <w:sz w:val="16"/>
          <w:szCs w:val="16"/>
          <w:rtl/>
        </w:rPr>
        <w:t xml:space="preserve"> </w:t>
      </w:r>
      <w:r w:rsidRPr="009C12D8">
        <w:rPr>
          <w:rFonts w:cs="Arial"/>
          <w:rtl/>
        </w:rPr>
        <w:t xml:space="preserve">רא"ש </w:t>
      </w:r>
      <w:r w:rsidRPr="00361894">
        <w:rPr>
          <w:rFonts w:cs="Arial" w:hint="cs"/>
          <w:sz w:val="16"/>
          <w:szCs w:val="16"/>
          <w:rtl/>
        </w:rPr>
        <w:t>(פ' בתרא דב"ב</w:t>
      </w:r>
      <w:r w:rsidRPr="00361894">
        <w:rPr>
          <w:rFonts w:cs="Arial"/>
          <w:sz w:val="16"/>
          <w:szCs w:val="16"/>
          <w:rtl/>
        </w:rPr>
        <w:t xml:space="preserve"> סי' מה)</w:t>
      </w:r>
      <w:r w:rsidRPr="009C12D8">
        <w:rPr>
          <w:rFonts w:cs="Arial"/>
          <w:rtl/>
        </w:rPr>
        <w:t xml:space="preserve"> </w:t>
      </w:r>
      <w:r>
        <w:rPr>
          <w:rFonts w:cs="Arial" w:hint="cs"/>
          <w:rtl/>
        </w:rPr>
        <w:t xml:space="preserve">וטור- </w:t>
      </w:r>
      <w:r w:rsidRPr="00A167C1">
        <w:rPr>
          <w:rFonts w:cs="Arial"/>
          <w:rtl/>
        </w:rPr>
        <w:t>אבל מן הלקוחות גובה אפילו בלא הדירה ואם ירצה להחזירה אח"כ יחזירנה שכיון שידעו הלקוחות שיש עליו כתובת אשה אינהו דאפסידו אנפשייהו שקנו ממנו</w:t>
      </w:r>
      <w:r>
        <w:rPr>
          <w:rFonts w:cs="Arial" w:hint="cs"/>
          <w:sz w:val="16"/>
          <w:szCs w:val="16"/>
          <w:rtl/>
        </w:rPr>
        <w:t xml:space="preserve"> (ל' הטור)</w:t>
      </w:r>
      <w:r>
        <w:rPr>
          <w:rFonts w:cs="Arial" w:hint="cs"/>
          <w:rtl/>
        </w:rPr>
        <w:t>.</w:t>
      </w:r>
      <w:r w:rsidRPr="00D85951">
        <w:rPr>
          <w:rFonts w:cs="Arial"/>
          <w:color w:val="E36C0A" w:themeColor="accent6" w:themeShade="BF"/>
          <w:rtl/>
        </w:rPr>
        <w:t xml:space="preserve"> </w:t>
      </w:r>
      <w:r w:rsidRPr="00D85951">
        <w:rPr>
          <w:rFonts w:hint="cs"/>
          <w:color w:val="E36C0A" w:themeColor="accent6" w:themeShade="BF"/>
          <w:rtl/>
        </w:rPr>
        <w:t>(וכ"</w:t>
      </w:r>
      <w:r>
        <w:rPr>
          <w:rFonts w:hint="cs"/>
          <w:color w:val="E36C0A" w:themeColor="accent6" w:themeShade="BF"/>
          <w:rtl/>
        </w:rPr>
        <w:t>פ</w:t>
      </w:r>
      <w:r w:rsidRPr="00D85951">
        <w:rPr>
          <w:rFonts w:hint="cs"/>
          <w:color w:val="E36C0A" w:themeColor="accent6" w:themeShade="BF"/>
          <w:rtl/>
        </w:rPr>
        <w:t xml:space="preserve"> בשו"ע)</w:t>
      </w:r>
    </w:p>
    <w:p w14:paraId="41351EE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EF663A" w14:textId="77777777" w:rsidR="002E5BAD" w:rsidRPr="007A3469" w:rsidRDefault="002E5BAD" w:rsidP="002E5BAD">
      <w:pPr>
        <w:rPr>
          <w:rtl/>
        </w:rPr>
        <w:sectPr w:rsidR="002E5BAD" w:rsidRPr="007A3469" w:rsidSect="00A347B3">
          <w:headerReference w:type="default" r:id="rId59"/>
          <w:footnotePr>
            <w:numRestart w:val="eachPage"/>
          </w:footnotePr>
          <w:pgSz w:w="11906" w:h="16838"/>
          <w:pgMar w:top="720" w:right="1134" w:bottom="720" w:left="1134" w:header="0" w:footer="0" w:gutter="0"/>
          <w:cols w:space="720"/>
          <w:bidi/>
          <w:rtlGutter/>
          <w:docGrid w:linePitch="360"/>
        </w:sectPr>
      </w:pPr>
      <w:r w:rsidRPr="000904BE">
        <w:rPr>
          <w:rFonts w:cs="Arial"/>
          <w:rtl/>
        </w:rPr>
        <w:t>אבל מן הלקוחות גובה אפי</w:t>
      </w:r>
      <w:r>
        <w:rPr>
          <w:rFonts w:cs="Arial" w:hint="cs"/>
          <w:rtl/>
        </w:rPr>
        <w:t>לו</w:t>
      </w:r>
      <w:r w:rsidRPr="000904BE">
        <w:rPr>
          <w:rFonts w:cs="Arial"/>
          <w:rtl/>
        </w:rPr>
        <w:t xml:space="preserve"> בלא הדירה, ואם ירצה להחזירה אח</w:t>
      </w:r>
      <w:r>
        <w:rPr>
          <w:rFonts w:cs="Arial" w:hint="cs"/>
          <w:rtl/>
        </w:rPr>
        <w:t xml:space="preserve">ר </w:t>
      </w:r>
      <w:r w:rsidRPr="000904BE">
        <w:rPr>
          <w:rFonts w:cs="Arial"/>
          <w:rtl/>
        </w:rPr>
        <w:t>כ</w:t>
      </w:r>
      <w:r>
        <w:rPr>
          <w:rFonts w:cs="Arial" w:hint="cs"/>
          <w:rtl/>
        </w:rPr>
        <w:t>ך</w:t>
      </w:r>
      <w:r w:rsidRPr="000904BE">
        <w:rPr>
          <w:rFonts w:cs="Arial"/>
          <w:rtl/>
        </w:rPr>
        <w:t>, יחזירנה</w:t>
      </w:r>
      <w:r>
        <w:rPr>
          <w:rFonts w:cs="Arial"/>
          <w:rtl/>
        </w:rPr>
        <w:t>.</w:t>
      </w:r>
    </w:p>
    <w:p w14:paraId="54317E89" w14:textId="77777777" w:rsidR="002E5BAD" w:rsidRDefault="002E5BAD" w:rsidP="002E5BAD">
      <w:pPr>
        <w:pStyle w:val="1"/>
        <w:rPr>
          <w:rtl/>
        </w:rPr>
      </w:pPr>
      <w:r>
        <w:rPr>
          <w:rFonts w:hint="cs"/>
          <w:rtl/>
        </w:rPr>
        <w:lastRenderedPageBreak/>
        <w:t>סימן קג:</w:t>
      </w:r>
      <w:r w:rsidRPr="00C12B74">
        <w:rPr>
          <w:rtl/>
        </w:rPr>
        <w:t xml:space="preserve"> </w:t>
      </w:r>
      <w:r>
        <w:rPr>
          <w:rFonts w:cs="Arial"/>
          <w:rtl/>
        </w:rPr>
        <w:t xml:space="preserve">אלמנה שמכרה נכסיה לכתובתה אם צריכה למכור על פי בית דין, ובו ח' סעיפים. </w:t>
      </w:r>
    </w:p>
    <w:p w14:paraId="09D021D8" w14:textId="77777777" w:rsidR="002E5BAD" w:rsidRDefault="002E5BAD" w:rsidP="002E5BAD">
      <w:pPr>
        <w:pStyle w:val="2"/>
        <w:rPr>
          <w:rtl/>
        </w:rPr>
      </w:pPr>
      <w:r>
        <w:rPr>
          <w:rtl/>
        </w:rPr>
        <w:t>סעיף א</w:t>
      </w:r>
      <w:r>
        <w:rPr>
          <w:rFonts w:hint="cs"/>
          <w:rtl/>
        </w:rPr>
        <w:t>: אלמנה מוכרת מנכסי בעלה כדי לגבות כתובתה.</w:t>
      </w:r>
    </w:p>
    <w:p w14:paraId="10AF074E" w14:textId="77777777" w:rsidR="002E5BAD" w:rsidRDefault="002E5BAD" w:rsidP="002E5BAD">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2602"/>
      </w:r>
      <w:r>
        <w:rPr>
          <w:rFonts w:cs="Arial"/>
          <w:rtl/>
        </w:rPr>
        <w:t xml:space="preserve"> בין מן הנשואין</w:t>
      </w:r>
      <w:r>
        <w:rPr>
          <w:rStyle w:val="a7"/>
          <w:rFonts w:cs="Arial"/>
          <w:rtl/>
        </w:rPr>
        <w:footnoteReference w:id="2603"/>
      </w:r>
      <w:r>
        <w:rPr>
          <w:rFonts w:cs="Arial"/>
          <w:rtl/>
        </w:rPr>
        <w:t xml:space="preserve"> - מוכרת שלא בבית דין</w:t>
      </w:r>
      <w:r>
        <w:rPr>
          <w:rFonts w:cs="Arial" w:hint="cs"/>
          <w:rtl/>
        </w:rPr>
        <w:t>.</w:t>
      </w:r>
      <w:r>
        <w:rPr>
          <w:rFonts w:cs="Arial"/>
          <w:rtl/>
        </w:rPr>
        <w:t xml:space="preserve"> </w:t>
      </w:r>
      <w:r w:rsidRPr="009E1CA8">
        <w:rPr>
          <w:rFonts w:cs="Arial"/>
          <w:u w:val="single"/>
          <w:rtl/>
        </w:rPr>
        <w:t>ר' שמעון אומר</w:t>
      </w:r>
      <w:r>
        <w:rPr>
          <w:rFonts w:cs="Arial"/>
          <w:rtl/>
        </w:rPr>
        <w:t>: מן הנשואין</w:t>
      </w:r>
      <w:r>
        <w:rPr>
          <w:rStyle w:val="a7"/>
          <w:rFonts w:cs="Arial"/>
          <w:rtl/>
        </w:rPr>
        <w:footnoteReference w:id="2604"/>
      </w:r>
      <w:r>
        <w:rPr>
          <w:rFonts w:cs="Arial"/>
          <w:rtl/>
        </w:rPr>
        <w:t xml:space="preserve"> - מוכרת שלא בבית דין</w:t>
      </w:r>
      <w:r>
        <w:rPr>
          <w:rStyle w:val="a7"/>
          <w:rFonts w:cs="Arial"/>
          <w:rtl/>
        </w:rPr>
        <w:footnoteReference w:id="2605"/>
      </w:r>
      <w:r>
        <w:rPr>
          <w:rFonts w:cs="Arial"/>
          <w:rtl/>
        </w:rPr>
        <w:t>, מן האירוסין - לא תמכור אלא בבית דין, מפני שאין לה מזונות, וכל שאין לה מזונות - לא תמכור אלא בבית דין.</w:t>
      </w:r>
      <w:r>
        <w:rPr>
          <w:rFonts w:cs="Arial" w:hint="cs"/>
          <w:rtl/>
        </w:rPr>
        <w:t xml:space="preserve">       </w:t>
      </w:r>
      <w:r w:rsidRPr="009D3864">
        <w:rPr>
          <w:rFonts w:cs="Arial"/>
          <w:u w:val="double"/>
          <w:rtl/>
        </w:rPr>
        <w:t>גמ'</w:t>
      </w:r>
      <w:r>
        <w:rPr>
          <w:rFonts w:cs="Arial" w:hint="cs"/>
          <w:rtl/>
        </w:rPr>
        <w:t>:</w:t>
      </w:r>
      <w:r w:rsidRPr="009D3864">
        <w:rPr>
          <w:rFonts w:cs="Arial"/>
          <w:rtl/>
        </w:rPr>
        <w:t xml:space="preserve"> בשלמא מן הנשואין - משום מזוני,</w:t>
      </w:r>
      <w:r>
        <w:rPr>
          <w:rFonts w:cs="Arial" w:hint="cs"/>
          <w:sz w:val="14"/>
          <w:szCs w:val="14"/>
          <w:rtl/>
        </w:rPr>
        <w:t xml:space="preserve"> (צז:)</w:t>
      </w:r>
      <w:r w:rsidRPr="009D3864">
        <w:rPr>
          <w:rtl/>
        </w:rPr>
        <w:t xml:space="preserve"> </w:t>
      </w:r>
      <w:r w:rsidRPr="009D3864">
        <w:rPr>
          <w:rFonts w:cs="Arial"/>
          <w:rtl/>
        </w:rPr>
        <w:t xml:space="preserve">אלא מן האירוסין מאי טעמא? </w:t>
      </w:r>
      <w:r w:rsidRPr="009D3864">
        <w:rPr>
          <w:rFonts w:cs="Arial"/>
          <w:u w:val="single"/>
          <w:rtl/>
        </w:rPr>
        <w:t>אמר עולא</w:t>
      </w:r>
      <w:r w:rsidRPr="009D3864">
        <w:rPr>
          <w:rFonts w:cs="Arial"/>
          <w:rtl/>
        </w:rPr>
        <w:t>: משום חינא</w:t>
      </w:r>
      <w:r>
        <w:rPr>
          <w:rFonts w:cs="Arial" w:hint="cs"/>
          <w:rtl/>
        </w:rPr>
        <w:t>.</w:t>
      </w:r>
      <w:r w:rsidRPr="009D3864">
        <w:rPr>
          <w:rFonts w:cs="Arial"/>
          <w:rtl/>
        </w:rPr>
        <w:t xml:space="preserve"> </w:t>
      </w:r>
      <w:r w:rsidRPr="00936F3C">
        <w:rPr>
          <w:rFonts w:cs="Arial"/>
          <w:u w:val="single"/>
          <w:rtl/>
        </w:rPr>
        <w:t>ר</w:t>
      </w:r>
      <w:r>
        <w:rPr>
          <w:rFonts w:cs="Arial" w:hint="cs"/>
          <w:u w:val="single"/>
          <w:rtl/>
        </w:rPr>
        <w:t>ב יהודה</w:t>
      </w:r>
      <w:r>
        <w:rPr>
          <w:rStyle w:val="a7"/>
          <w:rFonts w:cs="Arial"/>
          <w:u w:val="single"/>
          <w:rtl/>
        </w:rPr>
        <w:footnoteReference w:id="2606"/>
      </w:r>
      <w:r w:rsidRPr="00936F3C">
        <w:rPr>
          <w:rFonts w:cs="Arial"/>
          <w:u w:val="single"/>
          <w:rtl/>
        </w:rPr>
        <w:t xml:space="preserve"> אמר</w:t>
      </w:r>
      <w:r w:rsidRPr="009D3864">
        <w:rPr>
          <w:rFonts w:cs="Arial"/>
          <w:rtl/>
        </w:rPr>
        <w:t>: לפי שאין אדם רוצה שתתבזה אשתו בבית דין.</w:t>
      </w:r>
    </w:p>
    <w:p w14:paraId="25B7F8C7" w14:textId="77777777" w:rsidR="002E5BAD" w:rsidRDefault="002E5BAD" w:rsidP="002E5BAD">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Pr>
          <w:rFonts w:hint="cs"/>
          <w:b/>
          <w:bCs/>
          <w:rtl/>
        </w:rPr>
        <w:t xml:space="preserve"> </w:t>
      </w:r>
      <w:r w:rsidRPr="00DD0DAE">
        <w:rPr>
          <w:rFonts w:cs="Arial"/>
          <w:u w:val="double"/>
          <w:rtl/>
        </w:rPr>
        <w:t>מתני'</w:t>
      </w:r>
      <w:r>
        <w:rPr>
          <w:rFonts w:cs="Arial" w:hint="cs"/>
          <w:rtl/>
        </w:rPr>
        <w:t>:</w:t>
      </w:r>
      <w:r w:rsidRPr="00DD0DAE">
        <w:rPr>
          <w:rFonts w:cs="Arial"/>
          <w:rtl/>
        </w:rPr>
        <w:t xml:space="preserve"> מכרה כתובתה או מקצתה, משכנה כתובתה או מקצתה, נתנה כתובתה לאחר או מקצתה - לא תמכור את השאר אלא בבית דין</w:t>
      </w:r>
      <w:r>
        <w:rPr>
          <w:rFonts w:cs="Arial" w:hint="cs"/>
          <w:rtl/>
        </w:rPr>
        <w:t>.</w:t>
      </w:r>
      <w:r w:rsidRPr="00DD0DAE">
        <w:rPr>
          <w:rFonts w:cs="Arial"/>
          <w:rtl/>
        </w:rPr>
        <w:t xml:space="preserve"> וחכ"א: מוכרת היא אפי' ארבעה וחמשה פעמים, ומוכרת למזונות שלא בבית דין וכותבת למזונות מכרתי</w:t>
      </w:r>
      <w:r>
        <w:rPr>
          <w:rFonts w:cs="Arial" w:hint="cs"/>
          <w:rtl/>
        </w:rPr>
        <w:t>.</w:t>
      </w:r>
      <w:r w:rsidRPr="00DD0DAE">
        <w:rPr>
          <w:rFonts w:cs="Arial"/>
          <w:rtl/>
        </w:rPr>
        <w:t xml:space="preserve"> וגרושה לא תמכור אלא בבית דין. </w:t>
      </w:r>
      <w:r>
        <w:rPr>
          <w:rFonts w:cs="Arial"/>
          <w:rtl/>
        </w:rPr>
        <w:t xml:space="preserve"> </w:t>
      </w:r>
      <w:r>
        <w:rPr>
          <w:rFonts w:cs="Arial" w:hint="cs"/>
          <w:rtl/>
        </w:rPr>
        <w:t xml:space="preserve">      </w:t>
      </w:r>
      <w:r w:rsidRPr="001D66A0">
        <w:rPr>
          <w:rFonts w:cs="Arial" w:hint="cs"/>
          <w:u w:val="double"/>
          <w:rtl/>
        </w:rPr>
        <w:t>גמ'</w:t>
      </w:r>
      <w:r w:rsidRPr="001D66A0">
        <w:rPr>
          <w:rFonts w:cs="Arial" w:hint="cs"/>
          <w:sz w:val="14"/>
          <w:szCs w:val="14"/>
          <w:u w:val="double"/>
          <w:rtl/>
        </w:rPr>
        <w:t>(צח.)</w:t>
      </w:r>
      <w:r w:rsidRPr="001D66A0">
        <w:rPr>
          <w:rFonts w:cs="Arial" w:hint="cs"/>
          <w:u w:val="double"/>
          <w:rtl/>
        </w:rPr>
        <w:t>:</w:t>
      </w:r>
      <w:r>
        <w:rPr>
          <w:rFonts w:cs="Arial" w:hint="cs"/>
          <w:rtl/>
        </w:rPr>
        <w:t xml:space="preserve"> </w:t>
      </w:r>
      <w:r w:rsidRPr="001D66A0">
        <w:rPr>
          <w:rFonts w:cs="Arial"/>
          <w:u w:val="single"/>
          <w:rtl/>
        </w:rPr>
        <w:t>שלח ליה רבה בריה דרבא לרב יוסף</w:t>
      </w:r>
      <w:r w:rsidRPr="00E3423A">
        <w:rPr>
          <w:rFonts w:cs="Arial"/>
          <w:rtl/>
        </w:rPr>
        <w:t>: מוכרת שלא בב"ד, צריכה שבועה</w:t>
      </w:r>
      <w:r>
        <w:rPr>
          <w:rStyle w:val="a7"/>
          <w:rFonts w:cs="Arial"/>
          <w:rtl/>
        </w:rPr>
        <w:footnoteReference w:id="2607"/>
      </w:r>
      <w:r w:rsidRPr="00E3423A">
        <w:rPr>
          <w:rFonts w:cs="Arial"/>
          <w:rtl/>
        </w:rPr>
        <w:t xml:space="preserve"> או אין צריכה שבועה? ותבעי לך הכרזה! </w:t>
      </w:r>
      <w:r w:rsidRPr="001D66A0">
        <w:rPr>
          <w:rFonts w:cs="Arial"/>
          <w:u w:val="single"/>
          <w:rtl/>
        </w:rPr>
        <w:t>אמר ליה</w:t>
      </w:r>
      <w:r w:rsidRPr="00E3423A">
        <w:rPr>
          <w:rFonts w:cs="Arial"/>
          <w:rtl/>
        </w:rPr>
        <w:t>: הכרזה לא קמיבעיא לי, דא"ר זירא אמר רב נחמן: אלמנה ששמה לעצמה</w:t>
      </w:r>
      <w:r>
        <w:rPr>
          <w:rStyle w:val="a7"/>
          <w:rFonts w:cs="Arial"/>
          <w:rtl/>
        </w:rPr>
        <w:footnoteReference w:id="2608"/>
      </w:r>
      <w:r w:rsidRPr="00E3423A">
        <w:rPr>
          <w:rFonts w:cs="Arial"/>
          <w:rtl/>
        </w:rPr>
        <w:t xml:space="preserve"> - לא עשתה ולא כלום</w:t>
      </w:r>
      <w:r>
        <w:rPr>
          <w:rStyle w:val="a7"/>
          <w:rFonts w:cs="Arial"/>
          <w:rtl/>
        </w:rPr>
        <w:footnoteReference w:id="2609"/>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2610"/>
      </w:r>
      <w:r w:rsidRPr="00E3423A">
        <w:rPr>
          <w:rFonts w:cs="Arial"/>
          <w:rtl/>
        </w:rPr>
        <w:t>? כי האי דההוא גברא דאפקידו גביה כיסתא</w:t>
      </w:r>
      <w:r>
        <w:rPr>
          <w:rStyle w:val="a7"/>
          <w:rFonts w:cs="Arial"/>
          <w:rtl/>
        </w:rPr>
        <w:footnoteReference w:id="2611"/>
      </w:r>
      <w:r w:rsidRPr="00E3423A">
        <w:rPr>
          <w:rFonts w:cs="Arial"/>
          <w:rtl/>
        </w:rPr>
        <w:t xml:space="preserve"> דיתמי, אזל שמה לנפשיה בארבע מאה זוזי, אייקר קם בשית מאה, אתא לקמיה דרבי אמי, אמר ליה: מאן שם לך? והלכתא: צריכה שבועה ואינה צריכה הכרזה.</w:t>
      </w:r>
    </w:p>
    <w:p w14:paraId="1DCFC209" w14:textId="77777777" w:rsidR="002E5BAD" w:rsidRDefault="002E5BAD" w:rsidP="002E5BAD">
      <w:pPr>
        <w:rPr>
          <w:rFonts w:cs="Arial"/>
          <w:rtl/>
        </w:rPr>
      </w:pPr>
      <w:r w:rsidRPr="008B5011">
        <w:rPr>
          <w:rFonts w:cs="Arial" w:hint="cs"/>
          <w:b/>
          <w:bCs/>
          <w:rtl/>
        </w:rPr>
        <w:t xml:space="preserve">בבא מציעא </w:t>
      </w:r>
      <w:r w:rsidRPr="008B5011">
        <w:rPr>
          <w:rFonts w:cs="Arial" w:hint="cs"/>
          <w:b/>
          <w:bCs/>
          <w:sz w:val="16"/>
          <w:szCs w:val="16"/>
          <w:rtl/>
        </w:rPr>
        <w:t xml:space="preserve">(פ"ב) </w:t>
      </w:r>
      <w:r w:rsidRPr="008B5011">
        <w:rPr>
          <w:rFonts w:cs="Arial" w:hint="cs"/>
          <w:b/>
          <w:bCs/>
          <w:rtl/>
        </w:rPr>
        <w:t>לא ע"ב:</w:t>
      </w:r>
      <w:r>
        <w:rPr>
          <w:rFonts w:cs="Arial" w:hint="cs"/>
          <w:rtl/>
        </w:rPr>
        <w:t xml:space="preserve"> </w:t>
      </w:r>
      <w:r w:rsidRPr="008B5011">
        <w:rPr>
          <w:rFonts w:cs="Arial"/>
          <w:rtl/>
        </w:rPr>
        <w:t>איסור ורב ספרא עביד עיסקא בהדי הדדי, אזל רב ספרא פלג</w:t>
      </w:r>
      <w:r>
        <w:rPr>
          <w:rStyle w:val="a7"/>
          <w:rFonts w:cs="Arial"/>
          <w:rtl/>
        </w:rPr>
        <w:footnoteReference w:id="2612"/>
      </w:r>
      <w:r w:rsidRPr="008B5011">
        <w:rPr>
          <w:rFonts w:cs="Arial"/>
          <w:rtl/>
        </w:rPr>
        <w:t xml:space="preserve"> ליה בלא דעתיה דאיסור באפי בי תרי. אתא לקמיה דרבה בר רב הונא. </w:t>
      </w:r>
      <w:r w:rsidRPr="00B95108">
        <w:rPr>
          <w:rFonts w:cs="Arial"/>
          <w:u w:val="single"/>
          <w:rtl/>
        </w:rPr>
        <w:t>אמר ליה</w:t>
      </w:r>
      <w:r w:rsidRPr="008B5011">
        <w:rPr>
          <w:rFonts w:cs="Arial"/>
          <w:rtl/>
        </w:rPr>
        <w:t>: זיל אייתי תלתא דפלגת קמייהו, אי נמי</w:t>
      </w:r>
      <w:r>
        <w:rPr>
          <w:rFonts w:cs="Arial" w:hint="cs"/>
          <w:rtl/>
        </w:rPr>
        <w:t xml:space="preserve"> </w:t>
      </w:r>
      <w:r>
        <w:rPr>
          <w:rFonts w:cs="Arial" w:hint="cs"/>
          <w:sz w:val="14"/>
          <w:szCs w:val="14"/>
          <w:rtl/>
        </w:rPr>
        <w:t xml:space="preserve">(לב.) </w:t>
      </w:r>
      <w:r w:rsidRPr="00B95108">
        <w:rPr>
          <w:rFonts w:cs="Arial"/>
          <w:rtl/>
        </w:rPr>
        <w:t xml:space="preserve">תרי מגו תלתא, ואי נמי - תרי סהדי דפלגת באפי בי תלתא. </w:t>
      </w:r>
      <w:r w:rsidRPr="00B95108">
        <w:rPr>
          <w:rFonts w:cs="Arial"/>
          <w:u w:val="single"/>
          <w:rtl/>
        </w:rPr>
        <w:t>אמר ליה</w:t>
      </w:r>
      <w:r w:rsidRPr="00B95108">
        <w:rPr>
          <w:rFonts w:cs="Arial"/>
          <w:rtl/>
        </w:rPr>
        <w:t>: מנא לך הא? אמר ליה: דתנן</w:t>
      </w:r>
      <w:r>
        <w:rPr>
          <w:rStyle w:val="a7"/>
          <w:rFonts w:cs="Arial"/>
          <w:rtl/>
        </w:rPr>
        <w:footnoteReference w:id="2613"/>
      </w:r>
      <w:r w:rsidRPr="00B95108">
        <w:rPr>
          <w:rFonts w:cs="Arial"/>
          <w:rtl/>
        </w:rPr>
        <w:t xml:space="preserve"> אם יש שם בית דין - מתנה בפניהם, אין שם בית דין - בפני מי יתנה? שלו קודם. </w:t>
      </w:r>
      <w:r w:rsidRPr="00B95108">
        <w:rPr>
          <w:rFonts w:cs="Arial"/>
          <w:u w:val="single"/>
          <w:rtl/>
        </w:rPr>
        <w:t>אמר ליה</w:t>
      </w:r>
      <w:r w:rsidRPr="00B95108">
        <w:rPr>
          <w:rFonts w:cs="Arial"/>
          <w:rtl/>
        </w:rPr>
        <w:t>: מי דמי? התם דמפיק ממונא מהאי ומותיב להאי - בעינן בית דין, אבל הכא דידיה שקלי, גילוי מילתא</w:t>
      </w:r>
      <w:r>
        <w:rPr>
          <w:rStyle w:val="a7"/>
          <w:rFonts w:cs="Arial"/>
          <w:rtl/>
        </w:rPr>
        <w:footnoteReference w:id="2614"/>
      </w:r>
      <w:r w:rsidRPr="00B95108">
        <w:rPr>
          <w:rFonts w:cs="Arial"/>
          <w:rtl/>
        </w:rPr>
        <w:t xml:space="preserve"> בעלמא הוא, בתרי סגי ליה. תדע, דתנן: אלמנה</w:t>
      </w:r>
      <w:r>
        <w:rPr>
          <w:rStyle w:val="a7"/>
          <w:rFonts w:cs="Arial"/>
          <w:rtl/>
        </w:rPr>
        <w:footnoteReference w:id="2615"/>
      </w:r>
      <w:r w:rsidRPr="00B95108">
        <w:rPr>
          <w:rFonts w:cs="Arial"/>
          <w:rtl/>
        </w:rPr>
        <w:t xml:space="preserve"> מוכרת שלא בפני בית דין</w:t>
      </w:r>
      <w:r>
        <w:rPr>
          <w:rStyle w:val="a7"/>
          <w:rFonts w:cs="Arial"/>
          <w:rtl/>
        </w:rPr>
        <w:footnoteReference w:id="2616"/>
      </w:r>
      <w:r w:rsidRPr="00B95108">
        <w:rPr>
          <w:rFonts w:cs="Arial"/>
          <w:rtl/>
        </w:rPr>
        <w:t xml:space="preserve">. </w:t>
      </w:r>
      <w:r w:rsidRPr="00B95108">
        <w:rPr>
          <w:rFonts w:cs="Arial"/>
          <w:u w:val="single"/>
          <w:rtl/>
        </w:rPr>
        <w:t>אמר ליה אביי</w:t>
      </w:r>
      <w:r w:rsidRPr="00B95108">
        <w:rPr>
          <w:rFonts w:cs="Arial"/>
          <w:rtl/>
        </w:rPr>
        <w:t>: ולאו מי אתמר עלה, אמר רב יוסף בר מניומי אמר רב נחמן: אלמנה אינה צריכה בית דין של מומחין, אבל צריכה בית דין של הדיוטות.</w:t>
      </w:r>
      <w:r w:rsidRPr="009D3864">
        <w:rPr>
          <w:rFonts w:cs="Arial"/>
          <w:sz w:val="18"/>
          <w:szCs w:val="18"/>
          <w:rtl/>
        </w:rPr>
        <w:t xml:space="preserve"> </w:t>
      </w:r>
      <w:r>
        <w:rPr>
          <w:rFonts w:cs="Arial" w:hint="cs"/>
          <w:sz w:val="18"/>
          <w:szCs w:val="18"/>
          <w:rtl/>
        </w:rPr>
        <w:t>(</w:t>
      </w:r>
      <w:r w:rsidRPr="009D3864">
        <w:rPr>
          <w:rFonts w:cs="Arial"/>
          <w:sz w:val="18"/>
          <w:szCs w:val="18"/>
          <w:rtl/>
        </w:rPr>
        <w:t>וכתב הרמב"ם בפי"ז מהלכות אישות (הי"ג) דהיינו ג' אנשים נאמנים</w:t>
      </w:r>
      <w:r>
        <w:rPr>
          <w:rFonts w:cs="Arial" w:hint="cs"/>
          <w:sz w:val="18"/>
          <w:szCs w:val="18"/>
          <w:rtl/>
        </w:rPr>
        <w:t>.</w:t>
      </w:r>
      <w:r w:rsidRPr="009D3864">
        <w:rPr>
          <w:rFonts w:cs="Arial"/>
          <w:sz w:val="18"/>
          <w:szCs w:val="18"/>
          <w:rtl/>
        </w:rPr>
        <w:t xml:space="preserve"> וכבר כתבתי בסימן צ"ג (קמ: ד"ה ומ"ש ולא) שכן דעת הרי"ף (כתובות נו:) והרא"ש (פי"א סי' י) והר"ן (נו: ד"ה גמ') ז"ל</w:t>
      </w:r>
      <w:r>
        <w:rPr>
          <w:rFonts w:cs="Arial" w:hint="cs"/>
          <w:sz w:val="18"/>
          <w:szCs w:val="18"/>
          <w:rtl/>
        </w:rPr>
        <w:t>.</w:t>
      </w:r>
      <w:r w:rsidRPr="009D3864">
        <w:rPr>
          <w:rFonts w:cs="Arial"/>
          <w:sz w:val="18"/>
          <w:szCs w:val="18"/>
          <w:rtl/>
        </w:rPr>
        <w:t xml:space="preserve"> ודלא כרש"י (ב"מ שם ד"ה שלא) שפירש דהיינו לומר שיראו שנים שלא תמכור בזול</w:t>
      </w:r>
      <w:r>
        <w:rPr>
          <w:rStyle w:val="a7"/>
          <w:rFonts w:cs="Arial"/>
          <w:sz w:val="18"/>
          <w:szCs w:val="18"/>
          <w:rtl/>
        </w:rPr>
        <w:footnoteReference w:id="2617"/>
      </w:r>
      <w:r>
        <w:rPr>
          <w:rFonts w:cs="Arial" w:hint="cs"/>
          <w:sz w:val="18"/>
          <w:szCs w:val="18"/>
          <w:rtl/>
        </w:rPr>
        <w:t>, ב"י)</w:t>
      </w:r>
    </w:p>
    <w:p w14:paraId="4653A1A5" w14:textId="77777777" w:rsidR="002E5BAD" w:rsidRPr="00FE2714" w:rsidRDefault="002E5BAD" w:rsidP="002E5BAD">
      <w:pPr>
        <w:rPr>
          <w:u w:val="single"/>
          <w:rtl/>
        </w:rPr>
      </w:pPr>
      <w:r w:rsidRPr="00FE2714">
        <w:rPr>
          <w:rFonts w:hint="cs"/>
          <w:u w:val="single"/>
          <w:rtl/>
        </w:rPr>
        <w:t>אלמנה מוכרת מנכסי בעלה כדי לגבות כתובתה:</w:t>
      </w:r>
    </w:p>
    <w:p w14:paraId="116D10A2" w14:textId="77777777" w:rsidR="002E5BAD" w:rsidRPr="008E1CC1" w:rsidRDefault="002E5BAD" w:rsidP="00B75458">
      <w:pPr>
        <w:pStyle w:val="ab"/>
        <w:numPr>
          <w:ilvl w:val="0"/>
          <w:numId w:val="192"/>
        </w:numPr>
      </w:pPr>
      <w:r w:rsidRPr="00031435">
        <w:rPr>
          <w:rFonts w:cs="Arial" w:hint="cs"/>
          <w:rtl/>
        </w:rPr>
        <w:lastRenderedPageBreak/>
        <w:t xml:space="preserve">טור- </w:t>
      </w:r>
      <w:r w:rsidRPr="00031435">
        <w:rPr>
          <w:rFonts w:cs="Arial"/>
          <w:rtl/>
        </w:rPr>
        <w:t>אלמנה בין מן הנישואין בין מן האירוסין</w:t>
      </w:r>
      <w:r>
        <w:rPr>
          <w:rFonts w:cs="Arial" w:hint="cs"/>
          <w:rtl/>
        </w:rPr>
        <w:t xml:space="preserve">, </w:t>
      </w:r>
      <w:r w:rsidRPr="00031435">
        <w:rPr>
          <w:rFonts w:cs="Arial"/>
          <w:rtl/>
        </w:rPr>
        <w:t>מוכרת מנכסי בעלה לגבות כתובתה</w:t>
      </w:r>
      <w:r>
        <w:rPr>
          <w:rFonts w:cs="Arial" w:hint="cs"/>
          <w:rtl/>
        </w:rPr>
        <w:t>,</w:t>
      </w:r>
      <w:r w:rsidRPr="00031435">
        <w:rPr>
          <w:rFonts w:cs="Arial"/>
          <w:rtl/>
        </w:rPr>
        <w:t xml:space="preserve"> וכן שלא בבית דין ושלא בהכרזה</w:t>
      </w:r>
      <w:r>
        <w:rPr>
          <w:rStyle w:val="a7"/>
          <w:rFonts w:cs="Arial"/>
          <w:rtl/>
        </w:rPr>
        <w:footnoteReference w:id="2618"/>
      </w:r>
      <w:r>
        <w:rPr>
          <w:rFonts w:cs="Arial" w:hint="cs"/>
          <w:rtl/>
        </w:rPr>
        <w:t>.</w:t>
      </w:r>
      <w:r w:rsidRPr="00031435">
        <w:rPr>
          <w:rFonts w:cs="Arial"/>
          <w:rtl/>
        </w:rPr>
        <w:t xml:space="preserve"> לא שנא אם מוכרת לגבות כל כתובתה ביחד</w:t>
      </w:r>
      <w:r>
        <w:rPr>
          <w:rFonts w:cs="Arial" w:hint="cs"/>
          <w:rtl/>
        </w:rPr>
        <w:t>,</w:t>
      </w:r>
      <w:r w:rsidRPr="00031435">
        <w:rPr>
          <w:rFonts w:cs="Arial"/>
          <w:rtl/>
        </w:rPr>
        <w:t xml:space="preserve"> ל"ש אם מוכרת ג' או ד' פעמים לגבות מעט מעט</w:t>
      </w:r>
      <w:r>
        <w:rPr>
          <w:rFonts w:cs="Arial" w:hint="cs"/>
          <w:rtl/>
        </w:rPr>
        <w:t xml:space="preserve"> -</w:t>
      </w:r>
      <w:r w:rsidRPr="00031435">
        <w:rPr>
          <w:rFonts w:cs="Arial"/>
          <w:rtl/>
        </w:rPr>
        <w:t xml:space="preserve"> בכל פעם מוכרת שלא בב"ד מומחין</w:t>
      </w:r>
      <w:r>
        <w:rPr>
          <w:rFonts w:cs="Arial" w:hint="cs"/>
          <w:rtl/>
        </w:rPr>
        <w:t>.</w:t>
      </w:r>
      <w:r w:rsidRPr="00031435">
        <w:rPr>
          <w:rFonts w:cs="Arial"/>
          <w:rtl/>
        </w:rPr>
        <w:t xml:space="preserve"> אבל צריכה ב"ד הדיוטות</w:t>
      </w:r>
      <w:r>
        <w:rPr>
          <w:rFonts w:cs="Arial" w:hint="cs"/>
          <w:rtl/>
        </w:rPr>
        <w:t>,</w:t>
      </w:r>
      <w:r w:rsidRPr="00031435">
        <w:rPr>
          <w:rFonts w:cs="Arial"/>
          <w:rtl/>
        </w:rPr>
        <w:t xml:space="preserve"> ג' אנשים בקיאים בשומת קרקע</w:t>
      </w:r>
      <w:r>
        <w:rPr>
          <w:rFonts w:cs="Arial" w:hint="cs"/>
          <w:rtl/>
        </w:rPr>
        <w:t>.</w:t>
      </w:r>
      <w:r w:rsidRPr="00031435">
        <w:rPr>
          <w:rFonts w:cs="Arial"/>
          <w:rtl/>
        </w:rPr>
        <w:t xml:space="preserve"> </w:t>
      </w:r>
    </w:p>
    <w:p w14:paraId="2023DA97" w14:textId="77777777" w:rsidR="002E5BAD" w:rsidRPr="008E1CC1" w:rsidRDefault="002E5BAD" w:rsidP="002E5BAD">
      <w:pPr>
        <w:ind w:left="360"/>
        <w:rPr>
          <w:u w:val="dotted"/>
        </w:rPr>
      </w:pPr>
      <w:r w:rsidRPr="008E1CC1">
        <w:rPr>
          <w:rFonts w:hint="cs"/>
          <w:u w:val="dotted"/>
          <w:rtl/>
        </w:rPr>
        <w:t>ומה הדין אם מכרה אף בלא בית דין הדיוטות:</w:t>
      </w:r>
    </w:p>
    <w:p w14:paraId="1A858E20" w14:textId="77777777" w:rsidR="002E5BAD" w:rsidRDefault="002E5BAD" w:rsidP="00B75458">
      <w:pPr>
        <w:pStyle w:val="ab"/>
        <w:numPr>
          <w:ilvl w:val="0"/>
          <w:numId w:val="192"/>
        </w:numPr>
      </w:pPr>
      <w:r>
        <w:rPr>
          <w:rFonts w:cs="Arial" w:hint="cs"/>
          <w:rtl/>
        </w:rPr>
        <w:t xml:space="preserve">ר"ח </w:t>
      </w:r>
      <w:r>
        <w:rPr>
          <w:rFonts w:cs="Arial" w:hint="cs"/>
          <w:sz w:val="16"/>
          <w:szCs w:val="16"/>
          <w:rtl/>
        </w:rPr>
        <w:t>(כ"כ בשמו בהעי"ט [</w:t>
      </w:r>
      <w:r w:rsidRPr="00616AD7">
        <w:rPr>
          <w:rFonts w:cs="Arial"/>
          <w:sz w:val="16"/>
          <w:szCs w:val="16"/>
          <w:rtl/>
        </w:rPr>
        <w:t>אות כ כתובות לה ע"ג</w:t>
      </w:r>
      <w:r>
        <w:rPr>
          <w:rFonts w:cs="Arial" w:hint="cs"/>
          <w:sz w:val="16"/>
          <w:szCs w:val="16"/>
          <w:rtl/>
        </w:rPr>
        <w:t xml:space="preserve">] והטור) </w:t>
      </w:r>
      <w:r>
        <w:rPr>
          <w:rFonts w:cs="Arial"/>
          <w:rtl/>
        </w:rPr>
        <w:t xml:space="preserve">רמב"ן </w:t>
      </w:r>
      <w:r w:rsidRPr="00616AD7">
        <w:rPr>
          <w:rFonts w:cs="Arial"/>
          <w:sz w:val="16"/>
          <w:szCs w:val="16"/>
          <w:rtl/>
        </w:rPr>
        <w:t>(ב"מ לב: ד"ה ואי)</w:t>
      </w:r>
      <w:r>
        <w:rPr>
          <w:rFonts w:cs="Arial" w:hint="cs"/>
          <w:rtl/>
        </w:rPr>
        <w:t xml:space="preserve"> ורא"ש </w:t>
      </w:r>
      <w:r w:rsidRPr="00616AD7">
        <w:rPr>
          <w:rFonts w:cs="Arial"/>
          <w:sz w:val="16"/>
          <w:szCs w:val="16"/>
          <w:rtl/>
        </w:rPr>
        <w:t>(</w:t>
      </w:r>
      <w:r>
        <w:rPr>
          <w:rFonts w:cs="Arial" w:hint="cs"/>
          <w:sz w:val="16"/>
          <w:szCs w:val="16"/>
          <w:rtl/>
        </w:rPr>
        <w:t>כלל צא סי' ט, ו</w:t>
      </w:r>
      <w:r w:rsidRPr="00616AD7">
        <w:rPr>
          <w:rFonts w:cs="Arial"/>
          <w:sz w:val="16"/>
          <w:szCs w:val="16"/>
          <w:rtl/>
        </w:rPr>
        <w:t>כלל נ סי' ח)</w:t>
      </w:r>
      <w:r>
        <w:rPr>
          <w:rFonts w:cs="Arial" w:hint="cs"/>
          <w:rtl/>
        </w:rPr>
        <w:t xml:space="preserve">- </w:t>
      </w:r>
      <w:r w:rsidRPr="00031435">
        <w:rPr>
          <w:rFonts w:cs="Arial"/>
          <w:rtl/>
        </w:rPr>
        <w:t xml:space="preserve">אם מכרה בלא ב"ד הדיוטות </w:t>
      </w:r>
      <w:r>
        <w:rPr>
          <w:rFonts w:cs="Arial" w:hint="cs"/>
          <w:rtl/>
        </w:rPr>
        <w:t xml:space="preserve">- </w:t>
      </w:r>
      <w:r w:rsidRPr="00031435">
        <w:rPr>
          <w:rFonts w:cs="Arial"/>
          <w:rtl/>
        </w:rPr>
        <w:t>מכרה בטל</w:t>
      </w:r>
      <w:r>
        <w:rPr>
          <w:rFonts w:cs="Arial" w:hint="cs"/>
          <w:rtl/>
        </w:rPr>
        <w:t>.</w:t>
      </w:r>
      <w:r w:rsidRPr="00031435">
        <w:rPr>
          <w:rFonts w:cs="Arial"/>
          <w:rtl/>
        </w:rPr>
        <w:t xml:space="preserve"> </w:t>
      </w:r>
    </w:p>
    <w:p w14:paraId="10AA2F1B" w14:textId="77777777" w:rsidR="002E5BAD" w:rsidRPr="00790BDF" w:rsidRDefault="002E5BAD" w:rsidP="00B75458">
      <w:pPr>
        <w:pStyle w:val="ab"/>
        <w:numPr>
          <w:ilvl w:val="0"/>
          <w:numId w:val="192"/>
        </w:numPr>
      </w:pPr>
      <w:r w:rsidRPr="00616AD7">
        <w:rPr>
          <w:rFonts w:cs="Arial"/>
          <w:rtl/>
        </w:rPr>
        <w:t xml:space="preserve">רמב"ם </w:t>
      </w:r>
      <w:r w:rsidRPr="00616AD7">
        <w:rPr>
          <w:rFonts w:cs="Arial" w:hint="cs"/>
          <w:sz w:val="16"/>
          <w:szCs w:val="16"/>
          <w:rtl/>
        </w:rPr>
        <w:t>(</w:t>
      </w:r>
      <w:r w:rsidRPr="00616AD7">
        <w:rPr>
          <w:rFonts w:cs="Arial"/>
          <w:sz w:val="16"/>
          <w:szCs w:val="16"/>
          <w:rtl/>
        </w:rPr>
        <w:t>פי"ז הי"ד</w:t>
      </w:r>
      <w:r>
        <w:rPr>
          <w:rFonts w:cs="Arial" w:hint="cs"/>
          <w:sz w:val="16"/>
          <w:szCs w:val="16"/>
          <w:rtl/>
        </w:rPr>
        <w:t xml:space="preserve">, וכ"כ </w:t>
      </w:r>
      <w:r w:rsidRPr="00616AD7">
        <w:rPr>
          <w:rFonts w:cs="Arial" w:hint="cs"/>
          <w:sz w:val="16"/>
          <w:szCs w:val="16"/>
          <w:rtl/>
        </w:rPr>
        <w:t>ב</w:t>
      </w:r>
      <w:r w:rsidRPr="00616AD7">
        <w:rPr>
          <w:rFonts w:cs="Arial"/>
          <w:sz w:val="16"/>
          <w:szCs w:val="16"/>
          <w:rtl/>
        </w:rPr>
        <w:t>פי"ח ה"כ</w:t>
      </w:r>
      <w:r>
        <w:rPr>
          <w:rStyle w:val="a7"/>
          <w:rFonts w:cs="Arial"/>
          <w:sz w:val="16"/>
          <w:szCs w:val="16"/>
          <w:rtl/>
        </w:rPr>
        <w:footnoteReference w:id="2619"/>
      </w:r>
      <w:r w:rsidRPr="00616AD7">
        <w:rPr>
          <w:rFonts w:cs="Arial"/>
          <w:sz w:val="16"/>
          <w:szCs w:val="16"/>
          <w:rtl/>
        </w:rPr>
        <w:t xml:space="preserve"> לענין מזונות</w:t>
      </w:r>
      <w:r w:rsidRPr="00616AD7">
        <w:rPr>
          <w:rFonts w:cs="Arial" w:hint="cs"/>
          <w:sz w:val="16"/>
          <w:szCs w:val="16"/>
          <w:rtl/>
        </w:rPr>
        <w:t>)</w:t>
      </w:r>
      <w:r>
        <w:rPr>
          <w:rFonts w:cs="Arial" w:hint="cs"/>
          <w:rtl/>
        </w:rPr>
        <w:t xml:space="preserve">- </w:t>
      </w:r>
      <w:r w:rsidRPr="009819B5">
        <w:rPr>
          <w:rFonts w:cs="Arial"/>
          <w:rtl/>
        </w:rPr>
        <w:t xml:space="preserve">אלמנה שמכרה קרקע בכתובתה בינה לבין עצמה, אם מכרה שוה בשוה </w:t>
      </w:r>
      <w:r>
        <w:rPr>
          <w:rFonts w:cs="Arial" w:hint="cs"/>
          <w:rtl/>
        </w:rPr>
        <w:t xml:space="preserve">- </w:t>
      </w:r>
      <w:r w:rsidRPr="009819B5">
        <w:rPr>
          <w:rFonts w:cs="Arial"/>
          <w:rtl/>
        </w:rPr>
        <w:t>מכרה קיים</w:t>
      </w:r>
      <w:r>
        <w:rPr>
          <w:rFonts w:cs="Arial" w:hint="cs"/>
          <w:rtl/>
        </w:rPr>
        <w:t>.</w:t>
      </w:r>
      <w:r w:rsidRPr="009819B5">
        <w:rPr>
          <w:rFonts w:cs="Arial"/>
          <w:rtl/>
        </w:rPr>
        <w:t xml:space="preserve"> ונשבעת שבועת אלמנה אחר שמכרה</w:t>
      </w:r>
      <w:r>
        <w:rPr>
          <w:rStyle w:val="a7"/>
          <w:rFonts w:cs="Arial"/>
          <w:rtl/>
        </w:rPr>
        <w:footnoteReference w:id="2620"/>
      </w:r>
      <w:r>
        <w:rPr>
          <w:rFonts w:cs="Arial" w:hint="cs"/>
          <w:rtl/>
        </w:rPr>
        <w:t>.</w:t>
      </w:r>
      <w:r w:rsidRPr="009819B5">
        <w:rPr>
          <w:rFonts w:cs="Arial"/>
          <w:rtl/>
        </w:rPr>
        <w:t xml:space="preserve"> והוא שמכרה לאחר אבל אם שמה לעצמה לא עשת כלום ואפילו הכריזה</w:t>
      </w:r>
      <w:r>
        <w:rPr>
          <w:rStyle w:val="a7"/>
          <w:rFonts w:cs="Arial"/>
          <w:rtl/>
        </w:rPr>
        <w:footnoteReference w:id="2621"/>
      </w:r>
      <w:r w:rsidRPr="009819B5">
        <w:rPr>
          <w:rFonts w:cs="Arial" w:hint="cs"/>
          <w:rtl/>
        </w:rPr>
        <w:t>.</w:t>
      </w:r>
      <w:r w:rsidRPr="009C33F7">
        <w:rPr>
          <w:rFonts w:cs="Arial"/>
          <w:rtl/>
        </w:rPr>
        <w:t xml:space="preserve"> </w:t>
      </w:r>
      <w:r w:rsidRPr="009C33F7">
        <w:rPr>
          <w:rFonts w:cs="Arial" w:hint="cs"/>
          <w:color w:val="E36C0A" w:themeColor="accent6" w:themeShade="BF"/>
          <w:rtl/>
        </w:rPr>
        <w:t>(וכ"פ בשו"ע</w:t>
      </w:r>
      <w:r w:rsidRPr="009C33F7">
        <w:rPr>
          <w:rFonts w:cs="Arial" w:hint="cs"/>
          <w:color w:val="E36C0A" w:themeColor="accent6" w:themeShade="BF"/>
          <w:sz w:val="16"/>
          <w:szCs w:val="16"/>
          <w:rtl/>
        </w:rPr>
        <w:t xml:space="preserve"> </w:t>
      </w:r>
      <w:r w:rsidRPr="009C33F7">
        <w:rPr>
          <w:rFonts w:cs="Arial" w:hint="cs"/>
          <w:sz w:val="16"/>
          <w:szCs w:val="16"/>
          <w:rtl/>
        </w:rPr>
        <w:t>[כאן, ובסי' צג סכ"ה]</w:t>
      </w:r>
      <w:r w:rsidRPr="009C33F7">
        <w:rPr>
          <w:rFonts w:cs="Arial" w:hint="cs"/>
          <w:color w:val="E36C0A" w:themeColor="accent6" w:themeShade="BF"/>
          <w:rtl/>
        </w:rPr>
        <w:t>)</w:t>
      </w:r>
      <w:r>
        <w:rPr>
          <w:rFonts w:hint="cs"/>
          <w:rtl/>
        </w:rPr>
        <w:t xml:space="preserve"> </w:t>
      </w:r>
    </w:p>
    <w:p w14:paraId="6BDDCB3D" w14:textId="77777777" w:rsidR="002E5BAD" w:rsidRPr="00790BDF" w:rsidRDefault="002E5BAD" w:rsidP="002E5BAD">
      <w:pPr>
        <w:rPr>
          <w:u w:val="single"/>
        </w:rPr>
      </w:pPr>
      <w:r w:rsidRPr="00790BDF">
        <w:rPr>
          <w:rFonts w:hint="cs"/>
          <w:u w:val="single"/>
          <w:rtl/>
        </w:rPr>
        <w:t xml:space="preserve">אלמנה מוכרת מנכסי בעלה כדי לגבות </w:t>
      </w:r>
      <w:r w:rsidRPr="00790BDF">
        <w:rPr>
          <w:rFonts w:hint="cs"/>
          <w:b/>
          <w:bCs/>
          <w:u w:val="single"/>
          <w:rtl/>
        </w:rPr>
        <w:t xml:space="preserve">תוספת כתובה </w:t>
      </w:r>
      <w:r w:rsidRPr="00790BDF">
        <w:rPr>
          <w:rFonts w:hint="cs"/>
          <w:u w:val="single"/>
          <w:rtl/>
        </w:rPr>
        <w:t>או</w:t>
      </w:r>
      <w:r w:rsidRPr="00790BDF">
        <w:rPr>
          <w:rFonts w:hint="cs"/>
          <w:b/>
          <w:bCs/>
          <w:u w:val="single"/>
          <w:rtl/>
        </w:rPr>
        <w:t xml:space="preserve"> נדוניא</w:t>
      </w:r>
      <w:r w:rsidRPr="00790BDF">
        <w:rPr>
          <w:rFonts w:hint="cs"/>
          <w:u w:val="single"/>
          <w:rtl/>
        </w:rPr>
        <w:t>:</w:t>
      </w:r>
    </w:p>
    <w:p w14:paraId="36CAD859" w14:textId="77777777" w:rsidR="002E5BAD" w:rsidRDefault="002E5BAD" w:rsidP="00B75458">
      <w:pPr>
        <w:pStyle w:val="ab"/>
        <w:numPr>
          <w:ilvl w:val="0"/>
          <w:numId w:val="192"/>
        </w:numPr>
      </w:pPr>
      <w:r w:rsidRPr="00790BDF">
        <w:rPr>
          <w:rFonts w:cs="Arial"/>
          <w:rtl/>
        </w:rPr>
        <w:t xml:space="preserve">ריטב"א </w:t>
      </w:r>
      <w:r w:rsidRPr="00790BDF">
        <w:rPr>
          <w:rFonts w:cs="Arial" w:hint="cs"/>
          <w:sz w:val="16"/>
          <w:szCs w:val="16"/>
          <w:rtl/>
        </w:rPr>
        <w:t>(</w:t>
      </w:r>
      <w:r w:rsidRPr="00790BDF">
        <w:rPr>
          <w:rFonts w:cs="Arial"/>
          <w:sz w:val="16"/>
          <w:szCs w:val="16"/>
          <w:rtl/>
        </w:rPr>
        <w:t>פ</w:t>
      </w:r>
      <w:r w:rsidRPr="00790BDF">
        <w:rPr>
          <w:rFonts w:cs="Arial" w:hint="cs"/>
          <w:sz w:val="16"/>
          <w:szCs w:val="16"/>
          <w:rtl/>
        </w:rPr>
        <w:t>'</w:t>
      </w:r>
      <w:r w:rsidRPr="00790BDF">
        <w:rPr>
          <w:rFonts w:cs="Arial"/>
          <w:sz w:val="16"/>
          <w:szCs w:val="16"/>
          <w:rtl/>
        </w:rPr>
        <w:t xml:space="preserve"> אלמנה נזונת צז: ד"ה גרסת)</w:t>
      </w:r>
      <w:r w:rsidRPr="00790BDF">
        <w:rPr>
          <w:rFonts w:cs="Arial" w:hint="cs"/>
          <w:rtl/>
        </w:rPr>
        <w:t>-</w:t>
      </w:r>
      <w:r w:rsidRPr="00790BDF">
        <w:rPr>
          <w:rFonts w:cs="Arial"/>
          <w:rtl/>
        </w:rPr>
        <w:t xml:space="preserve"> והשתא דפרישנא טעמא דאלמנה מן האירוסין משום חינא או משום שלא תתבזה בבית דין</w:t>
      </w:r>
      <w:r w:rsidRPr="00790BDF">
        <w:rPr>
          <w:rFonts w:cs="Arial" w:hint="cs"/>
          <w:rtl/>
        </w:rPr>
        <w:t xml:space="preserve"> -</w:t>
      </w:r>
      <w:r w:rsidRPr="00790BDF">
        <w:rPr>
          <w:rFonts w:cs="Arial"/>
          <w:rtl/>
        </w:rPr>
        <w:t xml:space="preserve"> כל שכן דאיתנהו להני טעמי באלמנה מן הנשואין</w:t>
      </w:r>
      <w:r w:rsidRPr="00790BDF">
        <w:rPr>
          <w:rFonts w:cs="Arial" w:hint="cs"/>
          <w:rtl/>
        </w:rPr>
        <w:t>.</w:t>
      </w:r>
      <w:r w:rsidRPr="00790BDF">
        <w:rPr>
          <w:rFonts w:cs="Arial"/>
          <w:rtl/>
        </w:rPr>
        <w:t xml:space="preserve"> וכיון שכן אפילו היכא דליכא משום הפסד מזונות</w:t>
      </w:r>
      <w:r w:rsidRPr="00790BDF">
        <w:rPr>
          <w:rFonts w:cs="Arial" w:hint="cs"/>
          <w:rtl/>
        </w:rPr>
        <w:t>,</w:t>
      </w:r>
      <w:r w:rsidRPr="00790BDF">
        <w:rPr>
          <w:rFonts w:cs="Arial"/>
          <w:rtl/>
        </w:rPr>
        <w:t xml:space="preserve"> כגון שאינה מוכרת אלא מקצת כתובתה שעדיין יש לה מזונות</w:t>
      </w:r>
      <w:r w:rsidRPr="00790BDF">
        <w:rPr>
          <w:rFonts w:cs="Arial" w:hint="cs"/>
          <w:rtl/>
        </w:rPr>
        <w:t xml:space="preserve"> -</w:t>
      </w:r>
      <w:r w:rsidRPr="00790BDF">
        <w:rPr>
          <w:rFonts w:cs="Arial"/>
          <w:rtl/>
        </w:rPr>
        <w:t xml:space="preserve"> מוכרת היא שלא בבית דין</w:t>
      </w:r>
      <w:r w:rsidRPr="00790BDF">
        <w:rPr>
          <w:rFonts w:cs="Arial" w:hint="cs"/>
          <w:rtl/>
        </w:rPr>
        <w:t>.</w:t>
      </w:r>
      <w:r w:rsidRPr="00790BDF">
        <w:rPr>
          <w:rFonts w:cs="Arial"/>
          <w:rtl/>
        </w:rPr>
        <w:t xml:space="preserve"> ומיהו טעמא דמזוני</w:t>
      </w:r>
      <w:r w:rsidRPr="00790BDF">
        <w:rPr>
          <w:rFonts w:cs="Arial" w:hint="cs"/>
          <w:rtl/>
        </w:rPr>
        <w:t>,</w:t>
      </w:r>
      <w:r w:rsidRPr="00790BDF">
        <w:rPr>
          <w:rFonts w:cs="Arial"/>
          <w:rtl/>
        </w:rPr>
        <w:t xml:space="preserve"> טעם כעיקר הוא</w:t>
      </w:r>
      <w:r w:rsidRPr="00790BDF">
        <w:rPr>
          <w:rFonts w:cs="Arial" w:hint="cs"/>
          <w:rtl/>
        </w:rPr>
        <w:t>.</w:t>
      </w:r>
      <w:r w:rsidRPr="00790BDF">
        <w:rPr>
          <w:rFonts w:cs="Arial"/>
          <w:rtl/>
        </w:rPr>
        <w:t xml:space="preserve"> ונפקא מינה כי אע</w:t>
      </w:r>
      <w:r w:rsidRPr="00790BDF">
        <w:rPr>
          <w:rFonts w:cs="Arial" w:hint="cs"/>
          <w:rtl/>
        </w:rPr>
        <w:t>"</w:t>
      </w:r>
      <w:r w:rsidRPr="00790BDF">
        <w:rPr>
          <w:rFonts w:cs="Arial"/>
          <w:rtl/>
        </w:rPr>
        <w:t>פ שמכרה בב"ד לעיקר כתובתה</w:t>
      </w:r>
      <w:r w:rsidRPr="00790BDF">
        <w:rPr>
          <w:rFonts w:cs="Arial" w:hint="cs"/>
          <w:rtl/>
        </w:rPr>
        <w:t>,</w:t>
      </w:r>
      <w:r w:rsidRPr="00790BDF">
        <w:rPr>
          <w:rFonts w:cs="Arial"/>
          <w:rtl/>
        </w:rPr>
        <w:t xml:space="preserve"> כיון שעדיין יש לה מזונות לרבנן משום תוספת</w:t>
      </w:r>
      <w:r w:rsidRPr="00790BDF">
        <w:rPr>
          <w:rFonts w:cs="Arial" w:hint="cs"/>
          <w:rtl/>
        </w:rPr>
        <w:t>,</w:t>
      </w:r>
      <w:r w:rsidRPr="00790BDF">
        <w:rPr>
          <w:rFonts w:cs="Arial"/>
          <w:rtl/>
        </w:rPr>
        <w:t xml:space="preserve"> כדמפרש בר"פ אף על פי (כתובות נד:)</w:t>
      </w:r>
      <w:r w:rsidRPr="00790BDF">
        <w:rPr>
          <w:rFonts w:cs="Arial" w:hint="cs"/>
          <w:rtl/>
        </w:rPr>
        <w:t>,</w:t>
      </w:r>
      <w:r w:rsidRPr="00790BDF">
        <w:rPr>
          <w:rFonts w:cs="Arial"/>
          <w:rtl/>
        </w:rPr>
        <w:t xml:space="preserve"> אף היא מוכרת משום תוספת שלא בבית דין</w:t>
      </w:r>
      <w:r w:rsidRPr="00790BDF">
        <w:rPr>
          <w:rFonts w:cs="Arial" w:hint="cs"/>
          <w:rtl/>
        </w:rPr>
        <w:t>.</w:t>
      </w:r>
      <w:r w:rsidRPr="00790BDF">
        <w:rPr>
          <w:rFonts w:cs="Arial"/>
          <w:rtl/>
        </w:rPr>
        <w:t xml:space="preserve"> ואפילו תימא תוספת ליכא לאחמורי על היתומים משום חינא או משום שלא תתבזה בבית דין</w:t>
      </w:r>
      <w:r w:rsidRPr="00790BDF">
        <w:rPr>
          <w:rFonts w:cs="Arial" w:hint="cs"/>
          <w:rtl/>
        </w:rPr>
        <w:t>,</w:t>
      </w:r>
      <w:r w:rsidRPr="00790BDF">
        <w:rPr>
          <w:rFonts w:cs="Arial"/>
          <w:rtl/>
        </w:rPr>
        <w:t xml:space="preserve"> הא איכא משום מזוני</w:t>
      </w:r>
      <w:r w:rsidRPr="00790BDF">
        <w:rPr>
          <w:rFonts w:cs="Arial" w:hint="cs"/>
          <w:rtl/>
        </w:rPr>
        <w:t>.</w:t>
      </w:r>
      <w:r w:rsidRPr="00790BDF">
        <w:rPr>
          <w:rFonts w:cs="Arial"/>
          <w:rtl/>
        </w:rPr>
        <w:t xml:space="preserve"> אבל לנדוניא דלא מעכב</w:t>
      </w:r>
      <w:r w:rsidRPr="00790BDF">
        <w:rPr>
          <w:rFonts w:cs="Arial" w:hint="cs"/>
          <w:rtl/>
        </w:rPr>
        <w:t>א</w:t>
      </w:r>
      <w:r w:rsidRPr="00790BDF">
        <w:rPr>
          <w:rFonts w:cs="Arial"/>
          <w:rtl/>
        </w:rPr>
        <w:t xml:space="preserve"> במזוני דינה כחוב דעלמא ואינה מוכרת אלא בבית דין</w:t>
      </w:r>
      <w:r w:rsidRPr="00790BDF">
        <w:rPr>
          <w:rFonts w:cs="Arial" w:hint="cs"/>
          <w:rtl/>
        </w:rPr>
        <w:t>,</w:t>
      </w:r>
      <w:r w:rsidRPr="00790BDF">
        <w:rPr>
          <w:rFonts w:cs="Arial"/>
          <w:rtl/>
        </w:rPr>
        <w:t xml:space="preserve"> ולא חיישינן לחינא ולא לביזוי בית דין</w:t>
      </w:r>
      <w:r w:rsidRPr="00790BDF">
        <w:rPr>
          <w:rFonts w:cs="Arial" w:hint="cs"/>
          <w:rtl/>
        </w:rPr>
        <w:t>.</w:t>
      </w:r>
      <w:r>
        <w:rPr>
          <w:rFonts w:hint="cs"/>
          <w:rtl/>
        </w:rPr>
        <w:t xml:space="preserve"> </w:t>
      </w:r>
      <w:r w:rsidRPr="009C33F7">
        <w:rPr>
          <w:rFonts w:hint="cs"/>
          <w:color w:val="00B0F0"/>
          <w:rtl/>
        </w:rPr>
        <w:t>(</w:t>
      </w:r>
      <w:r>
        <w:rPr>
          <w:rFonts w:hint="cs"/>
          <w:color w:val="00B0F0"/>
          <w:rtl/>
        </w:rPr>
        <w:t>ו</w:t>
      </w:r>
      <w:r w:rsidRPr="009C33F7">
        <w:rPr>
          <w:rFonts w:hint="cs"/>
          <w:color w:val="00B0F0"/>
          <w:rtl/>
        </w:rPr>
        <w:t>כ"פ הרמ"א)</w:t>
      </w:r>
    </w:p>
    <w:p w14:paraId="1EDAAB78" w14:textId="77777777" w:rsidR="002E5BAD" w:rsidRDefault="002E5BAD" w:rsidP="00B75458">
      <w:pPr>
        <w:pStyle w:val="ab"/>
        <w:numPr>
          <w:ilvl w:val="0"/>
          <w:numId w:val="192"/>
        </w:numPr>
        <w:rPr>
          <w:rtl/>
        </w:rPr>
      </w:pPr>
      <w:r>
        <w:rPr>
          <w:rFonts w:hint="cs"/>
          <w:rtl/>
        </w:rPr>
        <w:t>(הה"מ</w:t>
      </w:r>
      <w:r>
        <w:rPr>
          <w:rStyle w:val="a7"/>
          <w:rtl/>
        </w:rPr>
        <w:footnoteReference w:id="2622"/>
      </w:r>
      <w:r>
        <w:rPr>
          <w:rFonts w:hint="cs"/>
          <w:rtl/>
        </w:rPr>
        <w:t xml:space="preserve"> </w:t>
      </w:r>
      <w:r>
        <w:rPr>
          <w:rFonts w:hint="cs"/>
          <w:sz w:val="16"/>
          <w:szCs w:val="16"/>
          <w:rtl/>
        </w:rPr>
        <w:t>[פי"ז מאישות הט"ז] להב' ח"מ [סק"ג]</w:t>
      </w:r>
      <w:r w:rsidRPr="004B5030">
        <w:rPr>
          <w:rFonts w:hint="cs"/>
          <w:sz w:val="16"/>
          <w:szCs w:val="16"/>
          <w:rtl/>
        </w:rPr>
        <w:t xml:space="preserve"> </w:t>
      </w:r>
      <w:r>
        <w:rPr>
          <w:rFonts w:hint="cs"/>
          <w:sz w:val="16"/>
          <w:szCs w:val="16"/>
          <w:rtl/>
        </w:rPr>
        <w:t>וב"ש [סק"ג]</w:t>
      </w:r>
      <w:r>
        <w:rPr>
          <w:rFonts w:hint="cs"/>
          <w:rtl/>
        </w:rPr>
        <w:t xml:space="preserve">)- </w:t>
      </w:r>
      <w:r w:rsidRPr="00F71E3F">
        <w:rPr>
          <w:rFonts w:cs="Arial"/>
          <w:rtl/>
        </w:rPr>
        <w:t>דין צאן ברזל בדברים אלו נראה שהוא כדין העיקר והתוספת לפי שיפוי כח הוא לאשה מפני שאדם רוצה שלא תתבזה אשתו בב"ד</w:t>
      </w:r>
      <w:r>
        <w:rPr>
          <w:rFonts w:hint="cs"/>
          <w:sz w:val="16"/>
          <w:szCs w:val="16"/>
          <w:rtl/>
        </w:rPr>
        <w:t xml:space="preserve"> (ל' הה"מ לגבי עניין אחר שם)</w:t>
      </w:r>
      <w:r>
        <w:rPr>
          <w:rFonts w:hint="cs"/>
          <w:rtl/>
        </w:rPr>
        <w:t>.</w:t>
      </w:r>
    </w:p>
    <w:p w14:paraId="45F0EBF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99469C" w14:textId="77777777" w:rsidR="002E5BAD" w:rsidRDefault="002E5BAD" w:rsidP="002E5BAD">
      <w:pPr>
        <w:rPr>
          <w:rtl/>
        </w:rPr>
      </w:pPr>
      <w:r>
        <w:rPr>
          <w:rFonts w:cs="Arial"/>
          <w:rtl/>
        </w:rPr>
        <w:t>אלמנה, בין מן האירוסין אם כתב לה כתובה</w:t>
      </w:r>
      <w:r>
        <w:rPr>
          <w:rStyle w:val="a7"/>
          <w:rFonts w:cs="Arial"/>
          <w:rtl/>
        </w:rPr>
        <w:footnoteReference w:id="2623"/>
      </w:r>
      <w:r>
        <w:rPr>
          <w:rFonts w:cs="Arial"/>
          <w:rtl/>
        </w:rPr>
        <w:t>, בין מן הנשואין, מוכרת מנכסי בעלה</w:t>
      </w:r>
      <w:r>
        <w:rPr>
          <w:rStyle w:val="a7"/>
          <w:rFonts w:cs="Arial"/>
          <w:rtl/>
        </w:rPr>
        <w:footnoteReference w:id="2624"/>
      </w:r>
      <w:r>
        <w:rPr>
          <w:rFonts w:cs="Arial"/>
          <w:rtl/>
        </w:rPr>
        <w:t xml:space="preserve"> לגבות כתובתה שלא בב</w:t>
      </w:r>
      <w:r>
        <w:rPr>
          <w:rFonts w:cs="Arial" w:hint="cs"/>
          <w:rtl/>
        </w:rPr>
        <w:t xml:space="preserve">ית </w:t>
      </w:r>
      <w:r>
        <w:rPr>
          <w:rFonts w:cs="Arial"/>
          <w:rtl/>
        </w:rPr>
        <w:t>ד</w:t>
      </w:r>
      <w:r>
        <w:rPr>
          <w:rFonts w:cs="Arial" w:hint="cs"/>
          <w:rtl/>
        </w:rPr>
        <w:t>ין</w:t>
      </w:r>
      <w:r>
        <w:rPr>
          <w:rFonts w:cs="Arial"/>
          <w:rtl/>
        </w:rPr>
        <w:t xml:space="preserve"> ושלא בהכרזה</w:t>
      </w:r>
      <w:r>
        <w:rPr>
          <w:rStyle w:val="a7"/>
          <w:rFonts w:cs="Arial"/>
          <w:rtl/>
        </w:rPr>
        <w:footnoteReference w:id="2625"/>
      </w:r>
      <w:r>
        <w:rPr>
          <w:rFonts w:cs="Arial" w:hint="cs"/>
          <w:rtl/>
        </w:rPr>
        <w:t>.</w:t>
      </w:r>
      <w:r>
        <w:rPr>
          <w:rFonts w:cs="Arial"/>
          <w:rtl/>
        </w:rPr>
        <w:t xml:space="preserve"> לא שנא אם מוכרת לגבות כל כתובתה ביחד, לא שנא אם מוכרת שלשה או ארבעה פעמים לגבות מעט מעט בכל פעם, מוכרת שלא בב</w:t>
      </w:r>
      <w:r>
        <w:rPr>
          <w:rFonts w:cs="Arial" w:hint="cs"/>
          <w:rtl/>
        </w:rPr>
        <w:t xml:space="preserve">ית </w:t>
      </w:r>
      <w:r>
        <w:rPr>
          <w:rFonts w:cs="Arial"/>
          <w:rtl/>
        </w:rPr>
        <w:t>ד</w:t>
      </w:r>
      <w:r>
        <w:rPr>
          <w:rFonts w:cs="Arial" w:hint="cs"/>
          <w:rtl/>
        </w:rPr>
        <w:t>ין</w:t>
      </w:r>
      <w:r>
        <w:rPr>
          <w:rFonts w:cs="Arial"/>
          <w:rtl/>
        </w:rPr>
        <w:t xml:space="preserve"> מומחים, אבל צריכה ב</w:t>
      </w:r>
      <w:r>
        <w:rPr>
          <w:rFonts w:cs="Arial" w:hint="cs"/>
          <w:rtl/>
        </w:rPr>
        <w:t xml:space="preserve">ית </w:t>
      </w:r>
      <w:r>
        <w:rPr>
          <w:rFonts w:cs="Arial"/>
          <w:rtl/>
        </w:rPr>
        <w:t>ד</w:t>
      </w:r>
      <w:r>
        <w:rPr>
          <w:rFonts w:cs="Arial" w:hint="cs"/>
          <w:rtl/>
        </w:rPr>
        <w:t>ין</w:t>
      </w:r>
      <w:r>
        <w:rPr>
          <w:rFonts w:cs="Arial"/>
          <w:rtl/>
        </w:rPr>
        <w:t xml:space="preserve"> הדיוטות</w:t>
      </w:r>
      <w:r>
        <w:rPr>
          <w:rStyle w:val="a7"/>
          <w:rFonts w:cs="Arial"/>
          <w:rtl/>
        </w:rPr>
        <w:footnoteReference w:id="2626"/>
      </w:r>
      <w:r>
        <w:rPr>
          <w:rFonts w:cs="Arial" w:hint="cs"/>
          <w:rtl/>
        </w:rPr>
        <w:t>,</w:t>
      </w:r>
      <w:r>
        <w:rPr>
          <w:rFonts w:cs="Arial"/>
          <w:rtl/>
        </w:rPr>
        <w:t xml:space="preserve"> שלשה אנשים נאמנים בקיאים </w:t>
      </w:r>
      <w:r>
        <w:rPr>
          <w:rFonts w:cs="Arial"/>
          <w:rtl/>
        </w:rPr>
        <w:lastRenderedPageBreak/>
        <w:t>בשומת קרקע</w:t>
      </w:r>
      <w:r>
        <w:rPr>
          <w:rStyle w:val="a7"/>
          <w:rFonts w:cs="Arial"/>
          <w:rtl/>
        </w:rPr>
        <w:footnoteReference w:id="2627"/>
      </w:r>
      <w:r>
        <w:rPr>
          <w:rFonts w:cs="Arial"/>
          <w:rtl/>
        </w:rPr>
        <w:t xml:space="preserve">. </w:t>
      </w:r>
      <w:r w:rsidRPr="00DD0DAE">
        <w:rPr>
          <w:rFonts w:cs="Arial"/>
          <w:sz w:val="18"/>
          <w:szCs w:val="18"/>
          <w:rtl/>
        </w:rPr>
        <w:t>הגה: ודוקא עיקר הכתובה והתוספת</w:t>
      </w:r>
      <w:r>
        <w:rPr>
          <w:rStyle w:val="a7"/>
          <w:rFonts w:cs="Arial"/>
          <w:sz w:val="18"/>
          <w:szCs w:val="18"/>
          <w:rtl/>
        </w:rPr>
        <w:footnoteReference w:id="2628"/>
      </w:r>
      <w:r w:rsidRPr="00DD0DAE">
        <w:rPr>
          <w:rFonts w:cs="Arial"/>
          <w:sz w:val="18"/>
          <w:szCs w:val="18"/>
          <w:rtl/>
        </w:rPr>
        <w:t>, אבל אינה מוכרת שלא בבית דין לגבות נדונייתא, דאינו רק כחוב בעלמא (ב"י בשם הריטב"א).</w:t>
      </w:r>
      <w:r>
        <w:rPr>
          <w:rFonts w:cs="Arial"/>
          <w:rtl/>
        </w:rPr>
        <w:t xml:space="preserve"> </w:t>
      </w:r>
      <w:r>
        <w:rPr>
          <w:rFonts w:cs="Arial" w:hint="cs"/>
          <w:rtl/>
        </w:rPr>
        <w:t>ו</w:t>
      </w:r>
      <w:r>
        <w:rPr>
          <w:rFonts w:cs="Arial"/>
          <w:rtl/>
        </w:rPr>
        <w:t xml:space="preserve">אם מכרה בינה לבין עצמה שוה בשוה, מכרה קיים. ויש חולקים בזו. </w:t>
      </w:r>
    </w:p>
    <w:p w14:paraId="0136AD63" w14:textId="77777777" w:rsidR="002E5BAD" w:rsidRDefault="002E5BAD" w:rsidP="002E5BAD">
      <w:pPr>
        <w:rPr>
          <w:rtl/>
        </w:rPr>
      </w:pPr>
    </w:p>
    <w:p w14:paraId="29A652DB" w14:textId="77777777" w:rsidR="002E5BAD" w:rsidRDefault="002E5BAD" w:rsidP="002E5BAD">
      <w:pPr>
        <w:pStyle w:val="2"/>
        <w:rPr>
          <w:rtl/>
        </w:rPr>
      </w:pPr>
      <w:r>
        <w:rPr>
          <w:rtl/>
        </w:rPr>
        <w:t>סעיף ב</w:t>
      </w:r>
      <w:r>
        <w:rPr>
          <w:rFonts w:hint="cs"/>
          <w:rtl/>
        </w:rPr>
        <w:t>: אחריות המכר.</w:t>
      </w:r>
    </w:p>
    <w:p w14:paraId="6CC5759F" w14:textId="77777777" w:rsidR="002E5BAD" w:rsidRDefault="002E5BAD" w:rsidP="002E5BAD">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sidRPr="00E3423A">
        <w:rPr>
          <w:rFonts w:cs="Arial"/>
          <w:rtl/>
        </w:rPr>
        <w:t xml:space="preserve"> </w:t>
      </w:r>
      <w:r w:rsidRPr="000935A8">
        <w:rPr>
          <w:rFonts w:cs="Arial"/>
          <w:u w:val="single"/>
          <w:rtl/>
        </w:rPr>
        <w:t>בעו מיניה מרב ששת</w:t>
      </w:r>
      <w:r w:rsidRPr="000935A8">
        <w:rPr>
          <w:rFonts w:cs="Arial"/>
          <w:rtl/>
        </w:rPr>
        <w:t>: מוכרת למזונות, מהו שתחזור ותטרוף</w:t>
      </w:r>
      <w:r>
        <w:rPr>
          <w:rStyle w:val="a7"/>
          <w:rFonts w:cs="Arial"/>
          <w:rtl/>
        </w:rPr>
        <w:footnoteReference w:id="2629"/>
      </w:r>
      <w:r w:rsidRPr="000935A8">
        <w:rPr>
          <w:rFonts w:cs="Arial"/>
          <w:rtl/>
        </w:rPr>
        <w:t xml:space="preserve"> לכתובה? קמיבעיא להו בדרב יוסף, </w:t>
      </w:r>
      <w:r w:rsidRPr="00DF144D">
        <w:rPr>
          <w:rFonts w:cs="Arial"/>
          <w:rtl/>
        </w:rPr>
        <w:t>דאמר רב יוסף</w:t>
      </w:r>
      <w:r w:rsidRPr="000935A8">
        <w:rPr>
          <w:rFonts w:cs="Arial"/>
          <w:rtl/>
        </w:rPr>
        <w:t>: ארמלתא דזבין</w:t>
      </w:r>
      <w:r>
        <w:rPr>
          <w:rStyle w:val="a7"/>
          <w:rFonts w:cs="Arial"/>
          <w:rtl/>
        </w:rPr>
        <w:footnoteReference w:id="2630"/>
      </w:r>
      <w:r w:rsidRPr="000935A8">
        <w:rPr>
          <w:rFonts w:cs="Arial"/>
          <w:rtl/>
        </w:rPr>
        <w:t xml:space="preserve"> אחריות איתמי</w:t>
      </w:r>
      <w:r>
        <w:rPr>
          <w:rStyle w:val="a7"/>
          <w:rFonts w:cs="Arial"/>
          <w:rtl/>
        </w:rPr>
        <w:footnoteReference w:id="2631"/>
      </w:r>
      <w:r w:rsidRPr="000935A8">
        <w:rPr>
          <w:rFonts w:cs="Arial"/>
          <w:rtl/>
        </w:rPr>
        <w:t>, ובי דינא דזבין אחריות איתמי</w:t>
      </w:r>
      <w:r>
        <w:rPr>
          <w:rFonts w:cs="Arial" w:hint="cs"/>
          <w:rtl/>
        </w:rPr>
        <w:t>.</w:t>
      </w:r>
      <w:r w:rsidRPr="000935A8">
        <w:rPr>
          <w:rFonts w:cs="Arial"/>
          <w:rtl/>
        </w:rPr>
        <w:t xml:space="preserve"> מאי? כיון דאחריות איתמי - טרפא</w:t>
      </w:r>
      <w:r>
        <w:rPr>
          <w:rStyle w:val="a7"/>
          <w:rFonts w:cs="Arial"/>
          <w:rtl/>
        </w:rPr>
        <w:footnoteReference w:id="2632"/>
      </w:r>
      <w:r w:rsidRPr="000935A8">
        <w:rPr>
          <w:rFonts w:cs="Arial"/>
          <w:rtl/>
        </w:rPr>
        <w:t xml:space="preserve">, או דלמא מצי אמרי לה: נהי דאחריות דעלמא לא קבילת עילוך, אחריות דנפשך מי לא קבולי קבילת? </w:t>
      </w:r>
      <w:r w:rsidRPr="00DF144D">
        <w:rPr>
          <w:rFonts w:cs="Arial"/>
          <w:u w:val="single"/>
          <w:rtl/>
        </w:rPr>
        <w:t>אמר ליה</w:t>
      </w:r>
      <w:r>
        <w:rPr>
          <w:rFonts w:cs="Arial" w:hint="cs"/>
          <w:rtl/>
        </w:rPr>
        <w:t>:</w:t>
      </w:r>
      <w:r w:rsidRPr="000935A8">
        <w:rPr>
          <w:rFonts w:cs="Arial"/>
          <w:rtl/>
        </w:rPr>
        <w:t xml:space="preserve"> תניתוה</w:t>
      </w:r>
      <w:r>
        <w:rPr>
          <w:rFonts w:cs="Arial" w:hint="cs"/>
          <w:rtl/>
        </w:rPr>
        <w:t xml:space="preserve"> -</w:t>
      </w:r>
      <w:r w:rsidRPr="000935A8">
        <w:rPr>
          <w:rFonts w:cs="Arial"/>
          <w:rtl/>
        </w:rPr>
        <w:t xml:space="preserve"> מוכרת והולכת</w:t>
      </w:r>
      <w:r>
        <w:rPr>
          <w:rStyle w:val="a7"/>
          <w:rFonts w:cs="Arial"/>
          <w:rtl/>
        </w:rPr>
        <w:footnoteReference w:id="2633"/>
      </w:r>
      <w:r w:rsidRPr="000935A8">
        <w:rPr>
          <w:rFonts w:cs="Arial"/>
          <w:rtl/>
        </w:rPr>
        <w:t xml:space="preserve"> עד</w:t>
      </w:r>
      <w:r>
        <w:rPr>
          <w:rStyle w:val="a7"/>
          <w:rFonts w:cs="Arial"/>
          <w:rtl/>
        </w:rPr>
        <w:footnoteReference w:id="2634"/>
      </w:r>
      <w:r w:rsidRPr="000935A8">
        <w:rPr>
          <w:rFonts w:cs="Arial"/>
          <w:rtl/>
        </w:rPr>
        <w:t xml:space="preserve"> כדי כתובתה, וסמך לה</w:t>
      </w:r>
      <w:r>
        <w:rPr>
          <w:rStyle w:val="a7"/>
          <w:rFonts w:cs="Arial"/>
          <w:rtl/>
        </w:rPr>
        <w:footnoteReference w:id="2635"/>
      </w:r>
      <w:r w:rsidRPr="000935A8">
        <w:rPr>
          <w:rFonts w:cs="Arial"/>
          <w:rtl/>
        </w:rPr>
        <w:t xml:space="preserve"> שתגבה כתובתה מן השאר</w:t>
      </w:r>
      <w:r>
        <w:rPr>
          <w:rFonts w:cs="Arial" w:hint="cs"/>
          <w:rtl/>
        </w:rPr>
        <w:t>.</w:t>
      </w:r>
      <w:r w:rsidRPr="000935A8">
        <w:rPr>
          <w:rFonts w:cs="Arial"/>
          <w:rtl/>
        </w:rPr>
        <w:t xml:space="preserve"> שמע מינה, שיירא אין, לא שיירא לא. ודלמא עצה טובה קא משמע לן, דלא ליקרו לה הדרינתא! א"כ, ליתני גובה כתובתה מן השאר, מאי סמך לה? שמע מינה, שיירא אין, לא שיירא לא.</w:t>
      </w:r>
    </w:p>
    <w:p w14:paraId="6E3E46D6" w14:textId="77777777" w:rsidR="002E5BAD" w:rsidRPr="0056662B" w:rsidRDefault="002E5BAD" w:rsidP="002E5BAD">
      <w:pPr>
        <w:rPr>
          <w:u w:val="single"/>
        </w:rPr>
      </w:pPr>
      <w:r w:rsidRPr="0056662B">
        <w:rPr>
          <w:rFonts w:hint="cs"/>
          <w:u w:val="single"/>
          <w:rtl/>
        </w:rPr>
        <w:t>על מי אחריות המכר:</w:t>
      </w:r>
    </w:p>
    <w:p w14:paraId="663081E4" w14:textId="77777777" w:rsidR="002E5BAD" w:rsidRPr="003711AB" w:rsidRDefault="002E5BAD" w:rsidP="00B75458">
      <w:pPr>
        <w:pStyle w:val="ab"/>
        <w:numPr>
          <w:ilvl w:val="0"/>
          <w:numId w:val="192"/>
        </w:numPr>
      </w:pPr>
      <w:r>
        <w:rPr>
          <w:rFonts w:cs="Arial" w:hint="cs"/>
          <w:rtl/>
        </w:rPr>
        <w:t xml:space="preserve">טור- </w:t>
      </w:r>
      <w:r w:rsidRPr="00031435">
        <w:rPr>
          <w:rFonts w:cs="Arial"/>
          <w:rtl/>
        </w:rPr>
        <w:t>אחריות המכר על היתומים בין אם תמכור היא או ב"ד</w:t>
      </w:r>
      <w:r>
        <w:rPr>
          <w:rFonts w:cs="Arial" w:hint="cs"/>
          <w:rtl/>
        </w:rPr>
        <w:t>.</w:t>
      </w:r>
      <w:r w:rsidRPr="00031435">
        <w:rPr>
          <w:rFonts w:cs="Arial"/>
          <w:rtl/>
        </w:rPr>
        <w:t xml:space="preserve"> </w:t>
      </w:r>
    </w:p>
    <w:p w14:paraId="6DF3F54C" w14:textId="77777777" w:rsidR="002E5BAD" w:rsidRDefault="002E5BAD" w:rsidP="002E5BAD">
      <w:pPr>
        <w:rPr>
          <w:rFonts w:cs="Arial"/>
          <w:rtl/>
        </w:rPr>
      </w:pPr>
      <w:r w:rsidRPr="007E2854">
        <w:rPr>
          <w:rFonts w:cs="Arial" w:hint="cs"/>
          <w:u w:val="single"/>
          <w:rtl/>
        </w:rPr>
        <w:t>אלמנה ש</w:t>
      </w:r>
      <w:r w:rsidRPr="007E2854">
        <w:rPr>
          <w:rFonts w:cs="Arial"/>
          <w:u w:val="single"/>
          <w:rtl/>
        </w:rPr>
        <w:t xml:space="preserve">מוכרת </w:t>
      </w:r>
      <w:r w:rsidRPr="007E2854">
        <w:rPr>
          <w:rFonts w:cs="Arial" w:hint="cs"/>
          <w:u w:val="single"/>
          <w:rtl/>
        </w:rPr>
        <w:t xml:space="preserve">נכסי היתומים </w:t>
      </w:r>
      <w:r w:rsidRPr="007E2854">
        <w:rPr>
          <w:rFonts w:cs="Arial"/>
          <w:u w:val="single"/>
          <w:rtl/>
        </w:rPr>
        <w:t>למזונות</w:t>
      </w:r>
      <w:r w:rsidRPr="007E2854">
        <w:rPr>
          <w:rFonts w:cs="Arial" w:hint="cs"/>
          <w:u w:val="single"/>
          <w:rtl/>
        </w:rPr>
        <w:t xml:space="preserve"> </w:t>
      </w:r>
      <w:r w:rsidRPr="007E2854">
        <w:rPr>
          <w:rFonts w:cs="Arial"/>
          <w:u w:val="single"/>
          <w:rtl/>
        </w:rPr>
        <w:t xml:space="preserve">– </w:t>
      </w:r>
      <w:r w:rsidRPr="007E2854">
        <w:rPr>
          <w:rFonts w:cs="Arial" w:hint="cs"/>
          <w:u w:val="single"/>
          <w:rtl/>
        </w:rPr>
        <w:t>האם יכולה לחזור ולטרוף מאותם לקוחות לכת</w:t>
      </w:r>
      <w:r>
        <w:rPr>
          <w:rFonts w:cs="Arial" w:hint="cs"/>
          <w:u w:val="single"/>
          <w:rtl/>
        </w:rPr>
        <w:t>ו</w:t>
      </w:r>
      <w:r w:rsidRPr="007E2854">
        <w:rPr>
          <w:rFonts w:cs="Arial" w:hint="cs"/>
          <w:u w:val="single"/>
          <w:rtl/>
        </w:rPr>
        <w:t>בתה:</w:t>
      </w:r>
      <w:r w:rsidRPr="00031435">
        <w:rPr>
          <w:rFonts w:cs="Arial"/>
          <w:rtl/>
        </w:rPr>
        <w:t xml:space="preserve"> </w:t>
      </w:r>
    </w:p>
    <w:p w14:paraId="43164CE9" w14:textId="77777777" w:rsidR="002E5BAD" w:rsidRDefault="002E5BAD" w:rsidP="00B75458">
      <w:pPr>
        <w:pStyle w:val="ab"/>
        <w:numPr>
          <w:ilvl w:val="0"/>
          <w:numId w:val="192"/>
        </w:numPr>
      </w:pPr>
      <w:r w:rsidRPr="007E2854">
        <w:rPr>
          <w:rFonts w:cs="Arial" w:hint="cs"/>
          <w:rtl/>
        </w:rPr>
        <w:t xml:space="preserve">ב"י- </w:t>
      </w:r>
      <w:r w:rsidRPr="007E2854">
        <w:rPr>
          <w:rFonts w:cs="Arial"/>
          <w:rtl/>
        </w:rPr>
        <w:t>אף על גב דאלמנה דזבינא אחריותא איתמי</w:t>
      </w:r>
      <w:r>
        <w:rPr>
          <w:rFonts w:cs="Arial" w:hint="cs"/>
          <w:rtl/>
        </w:rPr>
        <w:t>,</w:t>
      </w:r>
      <w:r w:rsidRPr="007E2854">
        <w:rPr>
          <w:rFonts w:cs="Arial"/>
          <w:rtl/>
        </w:rPr>
        <w:t xml:space="preserve"> כשמוכרת למזונות </w:t>
      </w:r>
      <w:r>
        <w:rPr>
          <w:rFonts w:cs="Arial" w:hint="cs"/>
          <w:rtl/>
        </w:rPr>
        <w:t xml:space="preserve">- </w:t>
      </w:r>
      <w:r w:rsidRPr="007E2854">
        <w:rPr>
          <w:rFonts w:cs="Arial"/>
          <w:rtl/>
        </w:rPr>
        <w:t>אינה יכולה לחזור ולטרוף מהלקוחות ההם בעד כתובתה</w:t>
      </w:r>
      <w:r>
        <w:rPr>
          <w:rFonts w:cs="Arial" w:hint="cs"/>
          <w:rtl/>
        </w:rPr>
        <w:t>,</w:t>
      </w:r>
      <w:r w:rsidRPr="007E2854">
        <w:rPr>
          <w:rFonts w:cs="Arial"/>
          <w:rtl/>
        </w:rPr>
        <w:t xml:space="preserve"> דאמרי לה נהי דאחריות דעלמא לא קבילתא אחריות דנפשך קבולי קבילתא</w:t>
      </w:r>
      <w:r w:rsidRPr="007E2854">
        <w:rPr>
          <w:rFonts w:cs="Arial" w:hint="cs"/>
          <w:rtl/>
        </w:rPr>
        <w:t>.</w:t>
      </w:r>
      <w:r w:rsidRPr="007E2854">
        <w:rPr>
          <w:rFonts w:cs="Arial"/>
          <w:rtl/>
        </w:rPr>
        <w:t xml:space="preserve"> וכתב הריב"ש</w:t>
      </w:r>
      <w:r w:rsidRPr="007E2854">
        <w:rPr>
          <w:rFonts w:cs="Arial"/>
          <w:sz w:val="16"/>
          <w:szCs w:val="16"/>
          <w:rtl/>
        </w:rPr>
        <w:t xml:space="preserve"> </w:t>
      </w:r>
      <w:r w:rsidRPr="007E2854">
        <w:rPr>
          <w:rFonts w:cs="Arial" w:hint="cs"/>
          <w:sz w:val="16"/>
          <w:szCs w:val="16"/>
          <w:rtl/>
        </w:rPr>
        <w:t>(</w:t>
      </w:r>
      <w:r w:rsidRPr="007E2854">
        <w:rPr>
          <w:rFonts w:cs="Arial"/>
          <w:sz w:val="16"/>
          <w:szCs w:val="16"/>
          <w:rtl/>
        </w:rPr>
        <w:t>סי</w:t>
      </w:r>
      <w:r w:rsidRPr="007E2854">
        <w:rPr>
          <w:rFonts w:cs="Arial" w:hint="cs"/>
          <w:sz w:val="16"/>
          <w:szCs w:val="16"/>
          <w:rtl/>
        </w:rPr>
        <w:t>'</w:t>
      </w:r>
      <w:r w:rsidRPr="007E2854">
        <w:rPr>
          <w:rFonts w:cs="Arial"/>
          <w:sz w:val="16"/>
          <w:szCs w:val="16"/>
          <w:rtl/>
        </w:rPr>
        <w:t xml:space="preserve"> רמד</w:t>
      </w:r>
      <w:r w:rsidRPr="007E2854">
        <w:rPr>
          <w:rFonts w:cs="Arial" w:hint="cs"/>
          <w:sz w:val="16"/>
          <w:szCs w:val="16"/>
          <w:rtl/>
        </w:rPr>
        <w:t>)</w:t>
      </w:r>
      <w:r w:rsidRPr="007E2854">
        <w:rPr>
          <w:rFonts w:cs="Arial"/>
          <w:rtl/>
        </w:rPr>
        <w:t xml:space="preserve"> כבר תרגמוה האחרונים דדוקא באלמנה שמכרה לצורך עצמה שהיא קיבלה המעות לצורך מזונותיה</w:t>
      </w:r>
      <w:r>
        <w:rPr>
          <w:rFonts w:cs="Arial" w:hint="cs"/>
          <w:rtl/>
        </w:rPr>
        <w:t>,</w:t>
      </w:r>
      <w:r w:rsidRPr="007E2854">
        <w:rPr>
          <w:rFonts w:cs="Arial"/>
          <w:rtl/>
        </w:rPr>
        <w:t xml:space="preserve"> אבל אפטרופ' או ב"ד דזבינו</w:t>
      </w:r>
      <w:r>
        <w:rPr>
          <w:rFonts w:cs="Arial" w:hint="cs"/>
          <w:rtl/>
        </w:rPr>
        <w:t xml:space="preserve"> -</w:t>
      </w:r>
      <w:r w:rsidRPr="007E2854">
        <w:rPr>
          <w:rFonts w:cs="Arial"/>
          <w:rtl/>
        </w:rPr>
        <w:t xml:space="preserve"> לא איבדו זכותן שיש להן על הקרקע ההוא מחמת חוב ושעבוד עכ"ל</w:t>
      </w:r>
      <w:r w:rsidRPr="007E2854">
        <w:rPr>
          <w:rFonts w:cs="Arial" w:hint="cs"/>
          <w:rtl/>
        </w:rPr>
        <w:t>.</w:t>
      </w:r>
    </w:p>
    <w:p w14:paraId="49915A7D" w14:textId="77777777" w:rsidR="002E5BAD" w:rsidRPr="00967698" w:rsidRDefault="002E5BAD" w:rsidP="002E5BAD">
      <w:pPr>
        <w:rPr>
          <w:rFonts w:cs="Arial"/>
          <w:u w:val="single"/>
          <w:rtl/>
        </w:rPr>
      </w:pPr>
      <w:r w:rsidRPr="00967698">
        <w:rPr>
          <w:rFonts w:cs="Arial" w:hint="cs"/>
          <w:u w:val="single"/>
          <w:rtl/>
        </w:rPr>
        <w:t xml:space="preserve">ב"ד הכריזו למכור קרקע, ואח"כ מחלה האלמנה ליתומים בסתר על כתובתה </w:t>
      </w:r>
      <w:r w:rsidRPr="00967698">
        <w:rPr>
          <w:rFonts w:cs="Arial"/>
          <w:u w:val="single"/>
          <w:rtl/>
        </w:rPr>
        <w:t>–</w:t>
      </w:r>
      <w:r w:rsidRPr="00967698">
        <w:rPr>
          <w:rFonts w:cs="Arial" w:hint="cs"/>
          <w:u w:val="single"/>
          <w:rtl/>
        </w:rPr>
        <w:t xml:space="preserve"> האם </w:t>
      </w:r>
      <w:r w:rsidRPr="00967698">
        <w:rPr>
          <w:rFonts w:cs="Arial"/>
          <w:u w:val="single"/>
          <w:rtl/>
        </w:rPr>
        <w:t>היתומים יכולין לטרוף מהלוקח</w:t>
      </w:r>
      <w:r w:rsidRPr="00967698">
        <w:rPr>
          <w:rFonts w:cs="Arial" w:hint="cs"/>
          <w:u w:val="single"/>
          <w:rtl/>
        </w:rPr>
        <w:t>:</w:t>
      </w:r>
      <w:r w:rsidRPr="00967698">
        <w:rPr>
          <w:rFonts w:cs="Arial"/>
          <w:u w:val="single"/>
          <w:rtl/>
        </w:rPr>
        <w:t xml:space="preserve"> </w:t>
      </w:r>
    </w:p>
    <w:p w14:paraId="68495110" w14:textId="77777777" w:rsidR="002E5BAD" w:rsidRPr="00967698" w:rsidRDefault="002E5BAD" w:rsidP="00B75458">
      <w:pPr>
        <w:pStyle w:val="ab"/>
        <w:numPr>
          <w:ilvl w:val="0"/>
          <w:numId w:val="192"/>
        </w:numPr>
        <w:rPr>
          <w:rFonts w:cs="Arial"/>
          <w:rtl/>
        </w:rPr>
      </w:pPr>
      <w:r w:rsidRPr="00967698">
        <w:rPr>
          <w:rFonts w:cs="Arial"/>
          <w:rtl/>
        </w:rPr>
        <w:t xml:space="preserve">רא"ש </w:t>
      </w:r>
      <w:r w:rsidRPr="00967698">
        <w:rPr>
          <w:rFonts w:cs="Arial" w:hint="cs"/>
          <w:sz w:val="16"/>
          <w:szCs w:val="16"/>
          <w:rtl/>
        </w:rPr>
        <w:t>(</w:t>
      </w:r>
      <w:r w:rsidRPr="00967698">
        <w:rPr>
          <w:rFonts w:cs="Arial"/>
          <w:sz w:val="16"/>
          <w:szCs w:val="16"/>
          <w:rtl/>
        </w:rPr>
        <w:t>כלל סג סי' ג</w:t>
      </w:r>
      <w:r w:rsidRPr="00967698">
        <w:rPr>
          <w:rFonts w:cs="Arial" w:hint="cs"/>
          <w:sz w:val="16"/>
          <w:szCs w:val="16"/>
          <w:rtl/>
        </w:rPr>
        <w:t>, הביאוהו הדרכ"מ [כאן אות ב] והטור [בסי' קד])</w:t>
      </w:r>
      <w:r w:rsidRPr="00967698">
        <w:rPr>
          <w:rFonts w:cs="Arial" w:hint="cs"/>
          <w:rtl/>
        </w:rPr>
        <w:t>-</w:t>
      </w:r>
      <w:r w:rsidRPr="00967698">
        <w:rPr>
          <w:rFonts w:cs="Arial"/>
          <w:rtl/>
        </w:rPr>
        <w:t xml:space="preserve"> וששאלת על קרקע של יתומים שהכריזו בית דין למכרו ולהגבות לאלמנה כתובתה</w:t>
      </w:r>
      <w:r>
        <w:rPr>
          <w:rFonts w:cs="Arial" w:hint="cs"/>
          <w:rtl/>
        </w:rPr>
        <w:t>.</w:t>
      </w:r>
      <w:r w:rsidRPr="00967698">
        <w:rPr>
          <w:rFonts w:cs="Arial"/>
          <w:rtl/>
        </w:rPr>
        <w:t xml:space="preserve"> ואחר ההכרזה מחלה ליתומים כתובתה</w:t>
      </w:r>
      <w:r>
        <w:rPr>
          <w:rFonts w:cs="Arial" w:hint="cs"/>
          <w:rtl/>
        </w:rPr>
        <w:t>.</w:t>
      </w:r>
      <w:r w:rsidRPr="00967698">
        <w:rPr>
          <w:rFonts w:cs="Arial"/>
          <w:rtl/>
        </w:rPr>
        <w:t xml:space="preserve"> ושלחה מצד אחר מורשה שלה לבית דין להגבות כתובתה. ומכרו בית דין הקרקע וכתבו אחריות המכר על היתומים</w:t>
      </w:r>
      <w:r>
        <w:rPr>
          <w:rFonts w:cs="Arial" w:hint="cs"/>
          <w:rtl/>
        </w:rPr>
        <w:t>.</w:t>
      </w:r>
      <w:r w:rsidRPr="00967698">
        <w:rPr>
          <w:rFonts w:cs="Arial"/>
          <w:rtl/>
        </w:rPr>
        <w:t xml:space="preserve"> ועתה רוצים היתומים להוציא הקרקע מיד הלוקח כי אומרי' דשלא כדין מכרוהו כי כבר מחלה להם אמו כתובתה. </w:t>
      </w:r>
      <w:r>
        <w:rPr>
          <w:rFonts w:cs="Arial" w:hint="cs"/>
          <w:rtl/>
        </w:rPr>
        <w:t xml:space="preserve">     </w:t>
      </w:r>
      <w:r w:rsidRPr="00967698">
        <w:rPr>
          <w:rFonts w:cs="Arial"/>
          <w:rtl/>
        </w:rPr>
        <w:t>תשובה</w:t>
      </w:r>
      <w:r>
        <w:rPr>
          <w:rFonts w:cs="Arial" w:hint="cs"/>
          <w:rtl/>
        </w:rPr>
        <w:t>-</w:t>
      </w:r>
      <w:r w:rsidRPr="00967698">
        <w:rPr>
          <w:rFonts w:cs="Arial"/>
          <w:rtl/>
        </w:rPr>
        <w:t xml:space="preserve"> מזמה עשו ולא תעשינה ידיהם תושיה</w:t>
      </w:r>
      <w:r>
        <w:rPr>
          <w:rStyle w:val="a7"/>
          <w:rFonts w:cs="Arial"/>
          <w:rtl/>
        </w:rPr>
        <w:footnoteReference w:id="2636"/>
      </w:r>
      <w:r w:rsidRPr="00967698">
        <w:rPr>
          <w:rFonts w:cs="Arial"/>
          <w:rtl/>
        </w:rPr>
        <w:t>, כי בית דין כדין מכרוהו כי לא ידעו באותה מחילה טמירתא</w:t>
      </w:r>
      <w:r>
        <w:rPr>
          <w:rFonts w:cs="Arial" w:hint="cs"/>
          <w:rtl/>
        </w:rPr>
        <w:t>.</w:t>
      </w:r>
      <w:r w:rsidRPr="00967698">
        <w:rPr>
          <w:rFonts w:cs="Arial"/>
          <w:rtl/>
        </w:rPr>
        <w:t xml:space="preserve"> ואחריות המכירה על היתומים. ואי איניש דעלמא היה מוציא הקרקע מיד הלוקח היתומים חייבים לפרוע כי אחריותו עליהם להעמיד הקרקע ביד הלוקח או לפרוע לו דמי הקרקע. ועתה נמי שהן עצמם באים להוציא הקרקע מיד הלוקח האחריות עליהם</w:t>
      </w:r>
      <w:r>
        <w:rPr>
          <w:rFonts w:cs="Arial" w:hint="cs"/>
          <w:rtl/>
        </w:rPr>
        <w:t>,</w:t>
      </w:r>
      <w:r w:rsidRPr="00967698">
        <w:rPr>
          <w:rFonts w:cs="Arial"/>
          <w:rtl/>
        </w:rPr>
        <w:t xml:space="preserve"> וממילא ישאר הקרקע ביד הלוקח</w:t>
      </w:r>
      <w:r w:rsidRPr="00967698">
        <w:rPr>
          <w:rFonts w:cs="Arial" w:hint="cs"/>
          <w:rtl/>
        </w:rPr>
        <w:t xml:space="preserve">. </w:t>
      </w:r>
      <w:r w:rsidRPr="00967698">
        <w:rPr>
          <w:rFonts w:cs="Arial" w:hint="cs"/>
          <w:color w:val="00B0F0"/>
          <w:rtl/>
        </w:rPr>
        <w:t>(וכ"פ הרמ"א)</w:t>
      </w:r>
    </w:p>
    <w:p w14:paraId="5FB7C2F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27BFEDCD" w14:textId="77777777" w:rsidR="002E5BAD" w:rsidRDefault="002E5BAD" w:rsidP="002E5BAD">
      <w:pPr>
        <w:rPr>
          <w:rtl/>
        </w:rPr>
      </w:pPr>
      <w:r>
        <w:rPr>
          <w:rFonts w:cs="Arial"/>
          <w:rtl/>
        </w:rPr>
        <w:t>אחריות המכר על היתומים</w:t>
      </w:r>
      <w:r>
        <w:rPr>
          <w:rStyle w:val="a7"/>
          <w:rFonts w:cs="Arial"/>
          <w:rtl/>
        </w:rPr>
        <w:footnoteReference w:id="2637"/>
      </w:r>
      <w:r>
        <w:rPr>
          <w:rFonts w:cs="Arial"/>
          <w:rtl/>
        </w:rPr>
        <w:t>, בין אם תמכור היא או ב</w:t>
      </w:r>
      <w:r>
        <w:rPr>
          <w:rFonts w:cs="Arial" w:hint="cs"/>
          <w:rtl/>
        </w:rPr>
        <w:t xml:space="preserve">ית </w:t>
      </w:r>
      <w:r>
        <w:rPr>
          <w:rFonts w:cs="Arial"/>
          <w:rtl/>
        </w:rPr>
        <w:t>ד</w:t>
      </w:r>
      <w:r>
        <w:rPr>
          <w:rFonts w:cs="Arial" w:hint="cs"/>
          <w:rtl/>
        </w:rPr>
        <w:t>ין</w:t>
      </w:r>
      <w:r>
        <w:rPr>
          <w:rFonts w:cs="Arial"/>
          <w:rtl/>
        </w:rPr>
        <w:t xml:space="preserve">. </w:t>
      </w:r>
      <w:r w:rsidRPr="00EA4360">
        <w:rPr>
          <w:rFonts w:cs="Arial" w:hint="cs"/>
          <w:sz w:val="18"/>
          <w:szCs w:val="18"/>
          <w:rtl/>
        </w:rPr>
        <w:t xml:space="preserve">[הגה] </w:t>
      </w:r>
      <w:r w:rsidRPr="00EA4360">
        <w:rPr>
          <w:rFonts w:cs="Arial"/>
          <w:sz w:val="18"/>
          <w:szCs w:val="18"/>
          <w:rtl/>
        </w:rPr>
        <w:t>ולכן אף אם מכרו ב"ד בטעות, כגון שהאשה מחלה הכתובה ליתומים בסתר, אין היתומים יכולין לטרוף מן הלוקח (רא"ש</w:t>
      </w:r>
      <w:r>
        <w:rPr>
          <w:rFonts w:cs="Arial" w:hint="cs"/>
          <w:sz w:val="18"/>
          <w:szCs w:val="18"/>
          <w:rtl/>
        </w:rPr>
        <w:t xml:space="preserve"> בתשו'</w:t>
      </w:r>
      <w:r w:rsidRPr="00EA4360">
        <w:rPr>
          <w:rFonts w:cs="Arial"/>
          <w:sz w:val="18"/>
          <w:szCs w:val="18"/>
          <w:rtl/>
        </w:rPr>
        <w:t xml:space="preserve">). </w:t>
      </w:r>
    </w:p>
    <w:p w14:paraId="0912AA6B" w14:textId="77777777" w:rsidR="002E5BAD" w:rsidRDefault="002E5BAD" w:rsidP="002E5BAD">
      <w:pPr>
        <w:rPr>
          <w:rtl/>
        </w:rPr>
      </w:pPr>
    </w:p>
    <w:p w14:paraId="2C206F4A" w14:textId="77777777" w:rsidR="002E5BAD" w:rsidRDefault="002E5BAD" w:rsidP="002E5BAD">
      <w:pPr>
        <w:pStyle w:val="2"/>
        <w:rPr>
          <w:rtl/>
        </w:rPr>
      </w:pPr>
      <w:r>
        <w:rPr>
          <w:rtl/>
        </w:rPr>
        <w:t>סעיף ג</w:t>
      </w:r>
      <w:r>
        <w:rPr>
          <w:rFonts w:hint="cs"/>
          <w:rtl/>
        </w:rPr>
        <w:t>:</w:t>
      </w:r>
      <w:r w:rsidRPr="00D376E3">
        <w:rPr>
          <w:rFonts w:hint="cs"/>
          <w:rtl/>
        </w:rPr>
        <w:t xml:space="preserve"> </w:t>
      </w:r>
      <w:r>
        <w:rPr>
          <w:rFonts w:hint="cs"/>
          <w:rtl/>
        </w:rPr>
        <w:t>גרושה</w:t>
      </w:r>
      <w:r>
        <w:rPr>
          <w:rFonts w:hint="cs"/>
          <w:sz w:val="20"/>
          <w:szCs w:val="20"/>
          <w:rtl/>
        </w:rPr>
        <w:t xml:space="preserve"> (או אלמנה שנשאת)</w:t>
      </w:r>
      <w:r>
        <w:rPr>
          <w:rFonts w:hint="cs"/>
          <w:rtl/>
        </w:rPr>
        <w:t xml:space="preserve"> מוכרת מנכסי בעלה כדי לגבות כתובתה.</w:t>
      </w:r>
    </w:p>
    <w:p w14:paraId="735A27FF" w14:textId="77777777" w:rsidR="002E5BAD" w:rsidRDefault="002E5BAD" w:rsidP="002E5BAD">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Pr>
          <w:rFonts w:hint="cs"/>
          <w:b/>
          <w:bCs/>
          <w:rtl/>
        </w:rPr>
        <w:t xml:space="preserve"> </w:t>
      </w:r>
      <w:r w:rsidRPr="00DD0DAE">
        <w:rPr>
          <w:rFonts w:cs="Arial"/>
          <w:u w:val="double"/>
          <w:rtl/>
        </w:rPr>
        <w:t>מתני'</w:t>
      </w:r>
      <w:r>
        <w:rPr>
          <w:rFonts w:cs="Arial" w:hint="cs"/>
          <w:rtl/>
        </w:rPr>
        <w:t>:</w:t>
      </w:r>
      <w:r w:rsidRPr="00DD0DAE">
        <w:rPr>
          <w:rFonts w:cs="Arial"/>
          <w:rtl/>
        </w:rPr>
        <w:t xml:space="preserve"> מכרה כתובתה או מקצתה, משכנה כתובתה או מקצתה, נתנה כתובתה לאחר או מקצתה - לא תמכור את השאר אלא בבית דין</w:t>
      </w:r>
      <w:r>
        <w:rPr>
          <w:rFonts w:cs="Arial" w:hint="cs"/>
          <w:rtl/>
        </w:rPr>
        <w:t>.</w:t>
      </w:r>
      <w:r w:rsidRPr="00DD0DAE">
        <w:rPr>
          <w:rFonts w:cs="Arial"/>
          <w:rtl/>
        </w:rPr>
        <w:t xml:space="preserve"> וחכ"א: מוכרת היא אפי' ארבעה וחמשה פעמים, ומוכרת למזונות שלא בבית דין וכותבת למזונות מכרתי</w:t>
      </w:r>
      <w:r>
        <w:rPr>
          <w:rFonts w:cs="Arial" w:hint="cs"/>
          <w:rtl/>
        </w:rPr>
        <w:t>.</w:t>
      </w:r>
      <w:r w:rsidRPr="00DD0DAE">
        <w:rPr>
          <w:rFonts w:cs="Arial"/>
          <w:rtl/>
        </w:rPr>
        <w:t xml:space="preserve"> וגרושה לא תמכור אלא בבית דין</w:t>
      </w:r>
      <w:r w:rsidRPr="00E3423A">
        <w:rPr>
          <w:rFonts w:cs="Arial"/>
          <w:rtl/>
        </w:rPr>
        <w:t>.</w:t>
      </w:r>
    </w:p>
    <w:p w14:paraId="64BD51BA" w14:textId="77777777" w:rsidR="002E5BAD" w:rsidRDefault="002E5BAD" w:rsidP="002E5BAD">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2638"/>
      </w:r>
      <w:r>
        <w:rPr>
          <w:rFonts w:cs="Arial"/>
          <w:rtl/>
        </w:rPr>
        <w:t xml:space="preserve"> בין מן הנשואין</w:t>
      </w:r>
      <w:r>
        <w:rPr>
          <w:rStyle w:val="a7"/>
          <w:rFonts w:cs="Arial"/>
          <w:rtl/>
        </w:rPr>
        <w:footnoteReference w:id="2639"/>
      </w:r>
      <w:r>
        <w:rPr>
          <w:rFonts w:cs="Arial"/>
          <w:rtl/>
        </w:rPr>
        <w:t xml:space="preserve"> - מוכרת שלא בבית דין</w:t>
      </w:r>
      <w:r>
        <w:rPr>
          <w:rFonts w:cs="Arial" w:hint="cs"/>
          <w:rtl/>
        </w:rPr>
        <w:t>.</w:t>
      </w:r>
      <w:r w:rsidRPr="000D1E8A">
        <w:rPr>
          <w:rtl/>
        </w:rPr>
        <w:t xml:space="preserve"> </w:t>
      </w:r>
      <w:r w:rsidRPr="000D1E8A">
        <w:rPr>
          <w:rFonts w:cs="Arial"/>
          <w:u w:val="single"/>
          <w:rtl/>
        </w:rPr>
        <w:t>ר' שמעון אומר</w:t>
      </w:r>
      <w:r w:rsidRPr="000D1E8A">
        <w:rPr>
          <w:rFonts w:cs="Arial"/>
          <w:rtl/>
        </w:rPr>
        <w:t xml:space="preserve">: </w:t>
      </w:r>
      <w:r>
        <w:rPr>
          <w:rFonts w:cs="Arial"/>
          <w:rtl/>
        </w:rPr>
        <w:t>מן הנשואין</w:t>
      </w:r>
      <w:r>
        <w:rPr>
          <w:rStyle w:val="a7"/>
          <w:rFonts w:cs="Arial"/>
          <w:rtl/>
        </w:rPr>
        <w:footnoteReference w:id="2640"/>
      </w:r>
      <w:r>
        <w:rPr>
          <w:rFonts w:cs="Arial"/>
          <w:rtl/>
        </w:rPr>
        <w:t xml:space="preserve"> - מוכרת שלא בבית דין</w:t>
      </w:r>
      <w:r>
        <w:rPr>
          <w:rStyle w:val="a7"/>
          <w:rFonts w:cs="Arial"/>
          <w:rtl/>
        </w:rPr>
        <w:footnoteReference w:id="2641"/>
      </w:r>
      <w:r>
        <w:rPr>
          <w:rFonts w:cs="Arial"/>
          <w:rtl/>
        </w:rPr>
        <w:t>, מן האירוסין - לא תמכור אלא בבית דין, מפני שאין לה מזונות, וכל שאין לה מזונות - לא תמכור אלא בבית דין</w:t>
      </w:r>
      <w:r w:rsidRPr="000D1E8A">
        <w:rPr>
          <w:rFonts w:cs="Arial"/>
          <w:rtl/>
        </w:rPr>
        <w:t>.</w:t>
      </w:r>
      <w:r>
        <w:rPr>
          <w:rFonts w:cs="Arial" w:hint="cs"/>
          <w:rtl/>
        </w:rPr>
        <w:t xml:space="preserve">       </w:t>
      </w:r>
      <w:r w:rsidRPr="009D3864">
        <w:rPr>
          <w:rFonts w:cs="Arial"/>
          <w:u w:val="double"/>
          <w:rtl/>
        </w:rPr>
        <w:t>גמ'</w:t>
      </w:r>
      <w:r>
        <w:rPr>
          <w:rFonts w:cs="Arial" w:hint="cs"/>
          <w:rtl/>
        </w:rPr>
        <w:t>:</w:t>
      </w:r>
      <w:r w:rsidRPr="009D3864">
        <w:rPr>
          <w:rFonts w:cs="Arial"/>
          <w:rtl/>
        </w:rPr>
        <w:t xml:space="preserve"> בשלמא מן הנשואין - משום מזוני,</w:t>
      </w:r>
      <w:r>
        <w:rPr>
          <w:rFonts w:cs="Arial" w:hint="cs"/>
          <w:sz w:val="14"/>
          <w:szCs w:val="14"/>
          <w:rtl/>
        </w:rPr>
        <w:t xml:space="preserve"> (צז:)</w:t>
      </w:r>
      <w:r w:rsidRPr="009D3864">
        <w:rPr>
          <w:rtl/>
        </w:rPr>
        <w:t xml:space="preserve"> </w:t>
      </w:r>
      <w:r w:rsidRPr="009D3864">
        <w:rPr>
          <w:rFonts w:cs="Arial"/>
          <w:rtl/>
        </w:rPr>
        <w:t xml:space="preserve">אלא מן האירוסין מאי טעמא? </w:t>
      </w:r>
      <w:r w:rsidRPr="009D3864">
        <w:rPr>
          <w:rFonts w:cs="Arial"/>
          <w:u w:val="single"/>
          <w:rtl/>
        </w:rPr>
        <w:t>אמר עולא</w:t>
      </w:r>
      <w:r w:rsidRPr="009D3864">
        <w:rPr>
          <w:rFonts w:cs="Arial"/>
          <w:rtl/>
        </w:rPr>
        <w:t>: משום חינא</w:t>
      </w:r>
      <w:r>
        <w:rPr>
          <w:rStyle w:val="a7"/>
          <w:rFonts w:cs="Arial"/>
          <w:rtl/>
        </w:rPr>
        <w:footnoteReference w:id="2642"/>
      </w:r>
      <w:r>
        <w:rPr>
          <w:rFonts w:cs="Arial" w:hint="cs"/>
          <w:rtl/>
        </w:rPr>
        <w:t>.</w:t>
      </w:r>
      <w:r w:rsidRPr="009D3864">
        <w:rPr>
          <w:rFonts w:cs="Arial"/>
          <w:rtl/>
        </w:rPr>
        <w:t xml:space="preserve"> </w:t>
      </w:r>
      <w:r w:rsidRPr="00936F3C">
        <w:rPr>
          <w:rFonts w:cs="Arial"/>
          <w:u w:val="single"/>
          <w:rtl/>
        </w:rPr>
        <w:t>ר</w:t>
      </w:r>
      <w:r>
        <w:rPr>
          <w:rFonts w:cs="Arial" w:hint="cs"/>
          <w:u w:val="single"/>
          <w:rtl/>
        </w:rPr>
        <w:t>ב יהודה</w:t>
      </w:r>
      <w:r>
        <w:rPr>
          <w:rStyle w:val="a7"/>
          <w:rFonts w:cs="Arial"/>
          <w:u w:val="single"/>
          <w:rtl/>
        </w:rPr>
        <w:footnoteReference w:id="2643"/>
      </w:r>
      <w:r w:rsidRPr="00936F3C">
        <w:rPr>
          <w:rFonts w:cs="Arial"/>
          <w:u w:val="single"/>
          <w:rtl/>
        </w:rPr>
        <w:t xml:space="preserve"> אמר</w:t>
      </w:r>
      <w:r w:rsidRPr="009D3864">
        <w:rPr>
          <w:rFonts w:cs="Arial"/>
          <w:rtl/>
        </w:rPr>
        <w:t>: לפי שאין אדם רוצה שתתבזה אשתו בבית דין.</w:t>
      </w:r>
      <w:r w:rsidRPr="000D1E8A">
        <w:rPr>
          <w:rtl/>
        </w:rPr>
        <w:t xml:space="preserve"> </w:t>
      </w:r>
      <w:r w:rsidRPr="000D1E8A">
        <w:rPr>
          <w:rFonts w:cs="Arial"/>
          <w:rtl/>
        </w:rPr>
        <w:t>מאי בינייהו? איכא בינייהו גרושה, למאן דאמר משום חינא, גרושה נמי בעיא חן</w:t>
      </w:r>
      <w:r>
        <w:rPr>
          <w:rFonts w:cs="Arial" w:hint="cs"/>
          <w:rtl/>
        </w:rPr>
        <w:t>.</w:t>
      </w:r>
      <w:r w:rsidRPr="000D1E8A">
        <w:rPr>
          <w:rFonts w:cs="Arial"/>
          <w:rtl/>
        </w:rPr>
        <w:t xml:space="preserve"> למאן דאמר לפי שאין אדם רוצה שתתבזה אשתו בבית דין, גרושה לא איכפת ליה. תנן: וגרושה לא תמכור אלא בבית דין</w:t>
      </w:r>
      <w:r>
        <w:rPr>
          <w:rFonts w:cs="Arial" w:hint="cs"/>
          <w:rtl/>
        </w:rPr>
        <w:t>.</w:t>
      </w:r>
      <w:r w:rsidRPr="000D1E8A">
        <w:rPr>
          <w:rFonts w:cs="Arial"/>
          <w:rtl/>
        </w:rPr>
        <w:t xml:space="preserve"> בשלמא למאן דאמר לפי שאין אדם רוצה שתתבזה אשתו בבית דין, גרושה לא איכפת ליה</w:t>
      </w:r>
      <w:r>
        <w:rPr>
          <w:rFonts w:cs="Arial" w:hint="cs"/>
          <w:rtl/>
        </w:rPr>
        <w:t>.</w:t>
      </w:r>
      <w:r w:rsidRPr="000D1E8A">
        <w:rPr>
          <w:rFonts w:cs="Arial"/>
          <w:rtl/>
        </w:rPr>
        <w:t xml:space="preserve"> אלא למאן דאמר משום חינא, גרושה נמי בעיא חן! הא מני? ר' שמעון היא</w:t>
      </w:r>
      <w:r>
        <w:rPr>
          <w:rStyle w:val="a7"/>
          <w:rFonts w:cs="Arial"/>
          <w:rtl/>
        </w:rPr>
        <w:footnoteReference w:id="2644"/>
      </w:r>
      <w:r w:rsidRPr="000D1E8A">
        <w:rPr>
          <w:rFonts w:cs="Arial"/>
          <w:rtl/>
        </w:rPr>
        <w:t>.</w:t>
      </w:r>
    </w:p>
    <w:p w14:paraId="4DF54295" w14:textId="77777777" w:rsidR="002E5BAD" w:rsidRDefault="002E5BAD" w:rsidP="002E5BAD">
      <w:pPr>
        <w:rPr>
          <w:rFonts w:cs="Arial"/>
          <w:rtl/>
        </w:rPr>
      </w:pPr>
      <w:r w:rsidRPr="004303EE">
        <w:rPr>
          <w:rFonts w:cs="Arial"/>
          <w:b/>
          <w:bCs/>
          <w:rtl/>
        </w:rPr>
        <w:t>ירושלמי כתובות פ</w:t>
      </w:r>
      <w:r>
        <w:rPr>
          <w:rFonts w:cs="Arial" w:hint="cs"/>
          <w:b/>
          <w:bCs/>
          <w:rtl/>
        </w:rPr>
        <w:t>"</w:t>
      </w:r>
      <w:r w:rsidRPr="004303EE">
        <w:rPr>
          <w:rFonts w:cs="Arial"/>
          <w:b/>
          <w:bCs/>
          <w:rtl/>
        </w:rPr>
        <w:t>ט</w:t>
      </w:r>
      <w:r w:rsidRPr="004303EE">
        <w:rPr>
          <w:rFonts w:cs="Arial" w:hint="cs"/>
          <w:b/>
          <w:bCs/>
          <w:rtl/>
        </w:rPr>
        <w:t xml:space="preserve"> ה"ז: </w:t>
      </w:r>
      <w:r w:rsidRPr="004303EE">
        <w:rPr>
          <w:rFonts w:cs="Arial"/>
          <w:u w:val="single"/>
          <w:rtl/>
        </w:rPr>
        <w:t>אמר ר' יוחנן בשם רבי ינאי</w:t>
      </w:r>
      <w:r>
        <w:rPr>
          <w:rFonts w:cs="Arial" w:hint="cs"/>
          <w:rtl/>
        </w:rPr>
        <w:t>:</w:t>
      </w:r>
      <w:r w:rsidRPr="004303EE">
        <w:rPr>
          <w:rFonts w:cs="Arial"/>
          <w:rtl/>
        </w:rPr>
        <w:t xml:space="preserve"> אין פורעין מניכסי יתומים אלא בשטר שהריבית אוכלת בו</w:t>
      </w:r>
      <w:r>
        <w:rPr>
          <w:rFonts w:cs="Arial" w:hint="cs"/>
          <w:rtl/>
        </w:rPr>
        <w:t>.</w:t>
      </w:r>
      <w:r w:rsidRPr="004303EE">
        <w:rPr>
          <w:rFonts w:cs="Arial"/>
          <w:rtl/>
        </w:rPr>
        <w:t xml:space="preserve"> </w:t>
      </w:r>
      <w:r>
        <w:rPr>
          <w:rFonts w:cs="Arial" w:hint="cs"/>
          <w:u w:val="single"/>
          <w:rtl/>
        </w:rPr>
        <w:t>ו</w:t>
      </w:r>
      <w:r w:rsidRPr="00C423C3">
        <w:rPr>
          <w:rFonts w:cs="Arial"/>
          <w:u w:val="single"/>
          <w:rtl/>
        </w:rPr>
        <w:t>יש אומרים</w:t>
      </w:r>
      <w:r>
        <w:rPr>
          <w:rFonts w:cs="Arial" w:hint="cs"/>
          <w:rtl/>
        </w:rPr>
        <w:t>:</w:t>
      </w:r>
      <w:r w:rsidRPr="004303EE">
        <w:rPr>
          <w:rFonts w:cs="Arial"/>
          <w:rtl/>
        </w:rPr>
        <w:t xml:space="preserve"> אף לכתובת אשה</w:t>
      </w:r>
      <w:r>
        <w:rPr>
          <w:rFonts w:cs="Arial" w:hint="cs"/>
          <w:rtl/>
        </w:rPr>
        <w:t>.</w:t>
      </w:r>
      <w:r w:rsidRPr="004303EE">
        <w:rPr>
          <w:rFonts w:cs="Arial"/>
          <w:rtl/>
        </w:rPr>
        <w:t xml:space="preserve"> </w:t>
      </w:r>
      <w:r w:rsidRPr="00C423C3">
        <w:rPr>
          <w:rFonts w:cs="Arial"/>
          <w:u w:val="single"/>
          <w:rtl/>
        </w:rPr>
        <w:t>א"ר ינאי</w:t>
      </w:r>
      <w:r>
        <w:rPr>
          <w:rFonts w:cs="Arial" w:hint="cs"/>
          <w:rtl/>
        </w:rPr>
        <w:t>:</w:t>
      </w:r>
      <w:r w:rsidRPr="004303EE">
        <w:rPr>
          <w:rFonts w:cs="Arial"/>
          <w:rtl/>
        </w:rPr>
        <w:t xml:space="preserve"> מפני מזונות</w:t>
      </w:r>
      <w:r>
        <w:rPr>
          <w:rFonts w:cs="Arial" w:hint="cs"/>
          <w:rtl/>
        </w:rPr>
        <w:t>.</w:t>
      </w:r>
      <w:r w:rsidRPr="004303EE">
        <w:rPr>
          <w:rFonts w:cs="Arial"/>
          <w:rtl/>
        </w:rPr>
        <w:t xml:space="preserve"> </w:t>
      </w:r>
      <w:r w:rsidRPr="00C423C3">
        <w:rPr>
          <w:rFonts w:cs="Arial"/>
          <w:u w:val="single"/>
          <w:rtl/>
        </w:rPr>
        <w:t>א"ר מתניה</w:t>
      </w:r>
      <w:r>
        <w:rPr>
          <w:rFonts w:cs="Arial" w:hint="cs"/>
          <w:rtl/>
        </w:rPr>
        <w:t>:</w:t>
      </w:r>
      <w:r w:rsidRPr="004303EE">
        <w:rPr>
          <w:rFonts w:cs="Arial"/>
          <w:rtl/>
        </w:rPr>
        <w:t xml:space="preserve"> מאן חש למזונות</w:t>
      </w:r>
      <w:r>
        <w:rPr>
          <w:rFonts w:cs="Arial" w:hint="cs"/>
          <w:rtl/>
        </w:rPr>
        <w:t>?</w:t>
      </w:r>
      <w:r w:rsidRPr="004303EE">
        <w:rPr>
          <w:rFonts w:cs="Arial"/>
          <w:rtl/>
        </w:rPr>
        <w:t xml:space="preserve"> ר' שמעון</w:t>
      </w:r>
      <w:r>
        <w:rPr>
          <w:rFonts w:cs="Arial" w:hint="cs"/>
          <w:rtl/>
        </w:rPr>
        <w:t>.</w:t>
      </w:r>
      <w:r w:rsidRPr="004303EE">
        <w:rPr>
          <w:rFonts w:cs="Arial"/>
          <w:rtl/>
        </w:rPr>
        <w:t xml:space="preserve"> דר"ש אומר במגבה הדבר תלוי</w:t>
      </w:r>
      <w:r>
        <w:rPr>
          <w:rFonts w:cs="Arial" w:hint="cs"/>
          <w:rtl/>
        </w:rPr>
        <w:t>.</w:t>
      </w:r>
      <w:r w:rsidRPr="004303EE">
        <w:rPr>
          <w:rFonts w:cs="Arial"/>
          <w:rtl/>
        </w:rPr>
        <w:t xml:space="preserve"> מאי כדון</w:t>
      </w:r>
      <w:r>
        <w:rPr>
          <w:rFonts w:cs="Arial" w:hint="cs"/>
          <w:rtl/>
        </w:rPr>
        <w:t>?</w:t>
      </w:r>
      <w:r w:rsidRPr="004303EE">
        <w:rPr>
          <w:rFonts w:cs="Arial"/>
          <w:rtl/>
        </w:rPr>
        <w:t xml:space="preserve"> מפני חינה</w:t>
      </w:r>
      <w:r>
        <w:rPr>
          <w:rFonts w:cs="Arial" w:hint="cs"/>
          <w:rtl/>
        </w:rPr>
        <w:t>,</w:t>
      </w:r>
      <w:r w:rsidRPr="004303EE">
        <w:rPr>
          <w:rFonts w:cs="Arial"/>
          <w:rtl/>
        </w:rPr>
        <w:t xml:space="preserve"> מפני שיהיו הכל קופצין עליה לישאנה</w:t>
      </w:r>
      <w:r>
        <w:rPr>
          <w:rFonts w:cs="Arial" w:hint="cs"/>
          <w:rtl/>
        </w:rPr>
        <w:t>.</w:t>
      </w:r>
    </w:p>
    <w:p w14:paraId="55082B30" w14:textId="77777777" w:rsidR="002E5BAD" w:rsidRDefault="002E5BAD" w:rsidP="002E5BAD">
      <w:pPr>
        <w:rPr>
          <w:rFonts w:cs="Arial"/>
          <w:rtl/>
        </w:rPr>
      </w:pPr>
      <w:r w:rsidRPr="00D50507">
        <w:rPr>
          <w:rFonts w:cs="Arial" w:hint="cs"/>
          <w:u w:val="single"/>
          <w:rtl/>
        </w:rPr>
        <w:t>מה הטעם שאלמנה מן האירוסין מוכרת מנכסי בעלה שלא בבית דין:</w:t>
      </w:r>
      <w:r>
        <w:rPr>
          <w:rFonts w:cs="Arial" w:hint="cs"/>
          <w:rtl/>
        </w:rPr>
        <w:t xml:space="preserve"> </w:t>
      </w:r>
    </w:p>
    <w:p w14:paraId="356DC135" w14:textId="77777777" w:rsidR="002E5BAD" w:rsidRPr="00D50507" w:rsidRDefault="002E5BAD" w:rsidP="00B75458">
      <w:pPr>
        <w:pStyle w:val="ab"/>
        <w:numPr>
          <w:ilvl w:val="0"/>
          <w:numId w:val="192"/>
        </w:numPr>
        <w:rPr>
          <w:rFonts w:cs="Arial"/>
          <w:rtl/>
        </w:rPr>
      </w:pPr>
      <w:r w:rsidRPr="00D50507">
        <w:rPr>
          <w:rFonts w:cs="Arial"/>
          <w:rtl/>
        </w:rPr>
        <w:t>רשב"א</w:t>
      </w:r>
      <w:r w:rsidRPr="00D50507">
        <w:rPr>
          <w:rFonts w:cs="Arial" w:hint="cs"/>
          <w:rtl/>
        </w:rPr>
        <w:t xml:space="preserve"> </w:t>
      </w:r>
      <w:r w:rsidRPr="00D50507">
        <w:rPr>
          <w:rFonts w:cs="Arial" w:hint="cs"/>
          <w:sz w:val="16"/>
          <w:szCs w:val="16"/>
          <w:rtl/>
        </w:rPr>
        <w:t>(כ"כ הר"ן [נו: ד"ה איכא] בשמו, ועי' בתשו' ח"ד סי' מא, ובכס"מ הל' מלוה פי"ב ה"ג שהביאו)</w:t>
      </w:r>
      <w:r w:rsidRPr="00D50507">
        <w:rPr>
          <w:rFonts w:cs="Arial" w:hint="cs"/>
          <w:rtl/>
        </w:rPr>
        <w:t>- משום חינא,</w:t>
      </w:r>
      <w:r w:rsidRPr="00D50507">
        <w:rPr>
          <w:rFonts w:cs="Arial"/>
          <w:rtl/>
        </w:rPr>
        <w:t xml:space="preserve"> כעולא</w:t>
      </w:r>
      <w:r w:rsidRPr="00D50507">
        <w:rPr>
          <w:rFonts w:cs="Arial" w:hint="cs"/>
          <w:rtl/>
        </w:rPr>
        <w:t>.</w:t>
      </w:r>
      <w:r w:rsidRPr="00D50507">
        <w:rPr>
          <w:rFonts w:cs="Arial"/>
          <w:rtl/>
        </w:rPr>
        <w:t xml:space="preserve"> </w:t>
      </w:r>
    </w:p>
    <w:p w14:paraId="4E99CFE4" w14:textId="77777777" w:rsidR="002E5BAD" w:rsidRPr="006904C8" w:rsidRDefault="002E5BAD" w:rsidP="00B75458">
      <w:pPr>
        <w:pStyle w:val="ab"/>
        <w:numPr>
          <w:ilvl w:val="0"/>
          <w:numId w:val="192"/>
        </w:numPr>
        <w:rPr>
          <w:rFonts w:cs="Arial"/>
          <w:rtl/>
        </w:rPr>
      </w:pPr>
      <w:r w:rsidRPr="00D50507">
        <w:rPr>
          <w:rFonts w:cs="Arial" w:hint="cs"/>
          <w:rtl/>
        </w:rPr>
        <w:t xml:space="preserve">רי"ף </w:t>
      </w:r>
      <w:r w:rsidRPr="00D50507">
        <w:rPr>
          <w:rFonts w:cs="Arial" w:hint="cs"/>
          <w:sz w:val="16"/>
          <w:szCs w:val="16"/>
          <w:rtl/>
        </w:rPr>
        <w:t xml:space="preserve">(כ"כ </w:t>
      </w:r>
      <w:r>
        <w:rPr>
          <w:rFonts w:cs="Arial" w:hint="cs"/>
          <w:sz w:val="16"/>
          <w:szCs w:val="16"/>
          <w:rtl/>
        </w:rPr>
        <w:t xml:space="preserve">בשמו </w:t>
      </w:r>
      <w:r w:rsidRPr="00D50507">
        <w:rPr>
          <w:rFonts w:cs="Arial" w:hint="cs"/>
          <w:sz w:val="16"/>
          <w:szCs w:val="16"/>
          <w:rtl/>
        </w:rPr>
        <w:t xml:space="preserve">הר"ן [נו: ד"ה איכא] </w:t>
      </w:r>
      <w:r>
        <w:rPr>
          <w:rFonts w:cs="Arial" w:hint="cs"/>
          <w:sz w:val="16"/>
          <w:szCs w:val="16"/>
          <w:rtl/>
        </w:rPr>
        <w:t>והה"מ [שם]</w:t>
      </w:r>
      <w:r w:rsidRPr="00D50507">
        <w:rPr>
          <w:rFonts w:cs="Arial" w:hint="cs"/>
          <w:sz w:val="16"/>
          <w:szCs w:val="16"/>
          <w:rtl/>
        </w:rPr>
        <w:t>)</w:t>
      </w:r>
      <w:r w:rsidRPr="00D50507">
        <w:rPr>
          <w:rFonts w:cs="Arial"/>
          <w:rtl/>
        </w:rPr>
        <w:t xml:space="preserve"> רמב"ם</w:t>
      </w:r>
      <w:r>
        <w:rPr>
          <w:rStyle w:val="a7"/>
          <w:rFonts w:cs="Arial"/>
          <w:rtl/>
        </w:rPr>
        <w:footnoteReference w:id="2645"/>
      </w:r>
      <w:r w:rsidRPr="00D50507">
        <w:rPr>
          <w:rFonts w:cs="Arial"/>
          <w:rtl/>
        </w:rPr>
        <w:t xml:space="preserve"> </w:t>
      </w:r>
      <w:r w:rsidRPr="00AC5956">
        <w:rPr>
          <w:rFonts w:cs="Arial" w:hint="cs"/>
          <w:sz w:val="16"/>
          <w:szCs w:val="16"/>
          <w:rtl/>
        </w:rPr>
        <w:t>(פי"ז מאישות הי"ג)</w:t>
      </w:r>
      <w:r>
        <w:rPr>
          <w:rFonts w:cs="Arial" w:hint="cs"/>
          <w:rtl/>
        </w:rPr>
        <w:t xml:space="preserve"> ו</w:t>
      </w:r>
      <w:r w:rsidRPr="00D50507">
        <w:rPr>
          <w:rFonts w:cs="Arial"/>
          <w:rtl/>
        </w:rPr>
        <w:t>רא"ש</w:t>
      </w:r>
      <w:r w:rsidRPr="00D50507">
        <w:rPr>
          <w:rFonts w:cs="Arial"/>
          <w:sz w:val="16"/>
          <w:szCs w:val="16"/>
          <w:rtl/>
        </w:rPr>
        <w:t xml:space="preserve"> (</w:t>
      </w:r>
      <w:r w:rsidRPr="00D50507">
        <w:rPr>
          <w:rFonts w:cs="Arial" w:hint="cs"/>
          <w:sz w:val="16"/>
          <w:szCs w:val="16"/>
          <w:rtl/>
        </w:rPr>
        <w:t xml:space="preserve">כתובות פי"א </w:t>
      </w:r>
      <w:r w:rsidRPr="00D50507">
        <w:rPr>
          <w:rFonts w:cs="Arial"/>
          <w:sz w:val="16"/>
          <w:szCs w:val="16"/>
          <w:rtl/>
        </w:rPr>
        <w:t>סי' י)</w:t>
      </w:r>
      <w:r w:rsidRPr="00D50507">
        <w:rPr>
          <w:rFonts w:cs="Arial" w:hint="cs"/>
          <w:rtl/>
        </w:rPr>
        <w:t>-</w:t>
      </w:r>
      <w:r w:rsidRPr="00D50507">
        <w:rPr>
          <w:rFonts w:cs="Arial"/>
          <w:rtl/>
        </w:rPr>
        <w:t xml:space="preserve"> </w:t>
      </w:r>
      <w:r w:rsidRPr="009D3864">
        <w:rPr>
          <w:rFonts w:cs="Arial"/>
          <w:rtl/>
        </w:rPr>
        <w:t>לפי שאין אדם רוצה שתתבזה אשתו בבית דין</w:t>
      </w:r>
      <w:r>
        <w:rPr>
          <w:rFonts w:cs="Arial" w:hint="cs"/>
          <w:rtl/>
        </w:rPr>
        <w:t>,</w:t>
      </w:r>
      <w:r w:rsidRPr="00D50507">
        <w:rPr>
          <w:rFonts w:cs="Arial" w:hint="cs"/>
          <w:rtl/>
        </w:rPr>
        <w:t xml:space="preserve"> </w:t>
      </w:r>
      <w:r w:rsidRPr="00D50507">
        <w:rPr>
          <w:rFonts w:cs="Arial"/>
          <w:rtl/>
        </w:rPr>
        <w:t>כרב יהודה</w:t>
      </w:r>
      <w:r>
        <w:rPr>
          <w:rFonts w:cs="Arial" w:hint="cs"/>
          <w:rtl/>
        </w:rPr>
        <w:t>,</w:t>
      </w:r>
      <w:r w:rsidRPr="00D50507">
        <w:rPr>
          <w:rFonts w:cs="Arial"/>
          <w:rtl/>
        </w:rPr>
        <w:t xml:space="preserve"> דמתניתין אתיא אליביה אפילו לרבנן. </w:t>
      </w:r>
    </w:p>
    <w:p w14:paraId="7DC93C29" w14:textId="77777777" w:rsidR="002E5BAD" w:rsidRPr="000D7D4D" w:rsidRDefault="002E5BAD" w:rsidP="002E5BAD">
      <w:pPr>
        <w:ind w:left="360"/>
        <w:rPr>
          <w:u w:val="dotted"/>
          <w:rtl/>
        </w:rPr>
      </w:pPr>
      <w:r w:rsidRPr="000D7D4D">
        <w:rPr>
          <w:rFonts w:hint="cs"/>
          <w:u w:val="dotted"/>
          <w:rtl/>
        </w:rPr>
        <w:t xml:space="preserve">לפיכך, גרושה שמוכרת מנכסי בעלה כדי לגבות כתובתה </w:t>
      </w:r>
      <w:r w:rsidRPr="000D7D4D">
        <w:rPr>
          <w:u w:val="dotted"/>
          <w:rtl/>
        </w:rPr>
        <w:t>–</w:t>
      </w:r>
      <w:r w:rsidRPr="000D7D4D">
        <w:rPr>
          <w:rFonts w:hint="cs"/>
          <w:u w:val="dotted"/>
          <w:rtl/>
        </w:rPr>
        <w:t xml:space="preserve"> האם מוכרת בבית דין או לא:</w:t>
      </w:r>
    </w:p>
    <w:p w14:paraId="2C15E509" w14:textId="77777777" w:rsidR="002E5BAD" w:rsidRDefault="002E5BAD" w:rsidP="00B75458">
      <w:pPr>
        <w:pStyle w:val="ab"/>
        <w:numPr>
          <w:ilvl w:val="0"/>
          <w:numId w:val="192"/>
        </w:numPr>
      </w:pPr>
      <w:r w:rsidRPr="00D50507">
        <w:rPr>
          <w:rFonts w:cs="Arial" w:hint="cs"/>
          <w:rtl/>
        </w:rPr>
        <w:t xml:space="preserve">רי"ף </w:t>
      </w:r>
      <w:r>
        <w:rPr>
          <w:rFonts w:cs="Arial" w:hint="cs"/>
          <w:sz w:val="16"/>
          <w:szCs w:val="16"/>
          <w:rtl/>
        </w:rPr>
        <w:t xml:space="preserve">(שם) </w:t>
      </w:r>
      <w:r>
        <w:rPr>
          <w:rFonts w:cs="Arial" w:hint="cs"/>
          <w:rtl/>
        </w:rPr>
        <w:t xml:space="preserve">רמב"ם </w:t>
      </w:r>
      <w:r>
        <w:rPr>
          <w:rFonts w:cs="Arial" w:hint="cs"/>
          <w:sz w:val="16"/>
          <w:szCs w:val="16"/>
          <w:rtl/>
        </w:rPr>
        <w:t xml:space="preserve">(שם) </w:t>
      </w:r>
      <w:r w:rsidRPr="00D50507">
        <w:rPr>
          <w:rFonts w:cs="Arial"/>
          <w:rtl/>
        </w:rPr>
        <w:t>רא"ש</w:t>
      </w:r>
      <w:r w:rsidRPr="00D50507">
        <w:rPr>
          <w:rFonts w:cs="Arial"/>
          <w:sz w:val="16"/>
          <w:szCs w:val="16"/>
          <w:rtl/>
        </w:rPr>
        <w:t xml:space="preserve"> </w:t>
      </w:r>
      <w:r>
        <w:rPr>
          <w:rFonts w:cs="Arial" w:hint="cs"/>
          <w:sz w:val="16"/>
          <w:szCs w:val="16"/>
          <w:rtl/>
        </w:rPr>
        <w:t>(שם)</w:t>
      </w:r>
      <w:r>
        <w:rPr>
          <w:rFonts w:cs="Arial" w:hint="cs"/>
          <w:rtl/>
        </w:rPr>
        <w:t xml:space="preserve"> וטור- </w:t>
      </w:r>
      <w:r w:rsidRPr="00031435">
        <w:rPr>
          <w:rFonts w:cs="Arial"/>
          <w:rtl/>
        </w:rPr>
        <w:t>גרושה לא תמכור אלא בב"ד</w:t>
      </w:r>
      <w:r>
        <w:rPr>
          <w:rFonts w:cs="Arial" w:hint="cs"/>
          <w:sz w:val="16"/>
          <w:szCs w:val="16"/>
          <w:rtl/>
        </w:rPr>
        <w:t xml:space="preserve"> (ל' הטור)</w:t>
      </w:r>
      <w:r>
        <w:rPr>
          <w:rFonts w:cs="Arial" w:hint="cs"/>
          <w:rtl/>
        </w:rPr>
        <w:t>.</w:t>
      </w:r>
      <w:r w:rsidRPr="00031435">
        <w:rPr>
          <w:rFonts w:cs="Arial"/>
          <w:rtl/>
        </w:rPr>
        <w:t xml:space="preserve"> </w:t>
      </w:r>
      <w:r w:rsidRPr="009A1165">
        <w:rPr>
          <w:rFonts w:hint="cs"/>
          <w:color w:val="E36C0A" w:themeColor="accent6" w:themeShade="BF"/>
          <w:rtl/>
        </w:rPr>
        <w:t>(וכ"פ בשו"ע)</w:t>
      </w:r>
    </w:p>
    <w:p w14:paraId="5F0052B9" w14:textId="77777777" w:rsidR="002E5BAD" w:rsidRPr="00D376E3" w:rsidRDefault="002E5BAD" w:rsidP="00B75458">
      <w:pPr>
        <w:pStyle w:val="ab"/>
        <w:numPr>
          <w:ilvl w:val="0"/>
          <w:numId w:val="192"/>
        </w:numPr>
      </w:pPr>
      <w:r>
        <w:rPr>
          <w:rFonts w:cs="Arial" w:hint="cs"/>
          <w:rtl/>
        </w:rPr>
        <w:lastRenderedPageBreak/>
        <w:t>רשב"א</w:t>
      </w:r>
      <w:r>
        <w:rPr>
          <w:rFonts w:cs="Arial" w:hint="cs"/>
          <w:sz w:val="16"/>
          <w:szCs w:val="16"/>
          <w:rtl/>
        </w:rPr>
        <w:t xml:space="preserve"> (כ"כ בשמו הר"ן [שם])</w:t>
      </w:r>
      <w:r>
        <w:rPr>
          <w:rFonts w:cs="Arial" w:hint="cs"/>
          <w:rtl/>
        </w:rPr>
        <w:t xml:space="preserve">- </w:t>
      </w:r>
      <w:r w:rsidRPr="00151D35">
        <w:rPr>
          <w:rFonts w:cs="Arial"/>
          <w:rtl/>
        </w:rPr>
        <w:t>אפי' גרושה מוכרת שלא בב"ד מומחין</w:t>
      </w:r>
      <w:r>
        <w:rPr>
          <w:rFonts w:hint="cs"/>
          <w:sz w:val="16"/>
          <w:szCs w:val="16"/>
          <w:rtl/>
        </w:rPr>
        <w:t xml:space="preserve"> (ל' הר"ן)</w:t>
      </w:r>
      <w:r>
        <w:rPr>
          <w:rFonts w:hint="cs"/>
          <w:rtl/>
        </w:rPr>
        <w:t>.</w:t>
      </w:r>
    </w:p>
    <w:p w14:paraId="2A7275D9" w14:textId="77777777" w:rsidR="002E5BAD" w:rsidRPr="00D376E3" w:rsidRDefault="002E5BAD" w:rsidP="002E5BAD">
      <w:r>
        <w:rPr>
          <w:rFonts w:hint="cs"/>
          <w:u w:val="single"/>
          <w:rtl/>
        </w:rPr>
        <w:t>אלמנה שנשאת</w:t>
      </w:r>
      <w:r w:rsidRPr="00D376E3">
        <w:rPr>
          <w:rFonts w:hint="cs"/>
          <w:u w:val="single"/>
          <w:rtl/>
        </w:rPr>
        <w:t xml:space="preserve"> </w:t>
      </w:r>
      <w:r>
        <w:rPr>
          <w:rFonts w:hint="cs"/>
          <w:u w:val="single"/>
          <w:rtl/>
        </w:rPr>
        <w:t>ש</w:t>
      </w:r>
      <w:r w:rsidRPr="00D376E3">
        <w:rPr>
          <w:rFonts w:hint="cs"/>
          <w:u w:val="single"/>
          <w:rtl/>
        </w:rPr>
        <w:t>מוכרת מנכסי בעלה כדי לגבות כתובתה</w:t>
      </w:r>
      <w:r>
        <w:rPr>
          <w:rFonts w:hint="cs"/>
          <w:u w:val="single"/>
          <w:rtl/>
        </w:rPr>
        <w:t xml:space="preserve"> </w:t>
      </w:r>
      <w:r>
        <w:rPr>
          <w:u w:val="single"/>
          <w:rtl/>
        </w:rPr>
        <w:t>–</w:t>
      </w:r>
      <w:r>
        <w:rPr>
          <w:rFonts w:hint="cs"/>
          <w:u w:val="single"/>
          <w:rtl/>
        </w:rPr>
        <w:t xml:space="preserve"> האם מוכרת בב"ד או לא</w:t>
      </w:r>
      <w:r w:rsidRPr="00D376E3">
        <w:rPr>
          <w:rFonts w:hint="cs"/>
          <w:u w:val="single"/>
          <w:rtl/>
        </w:rPr>
        <w:t>:</w:t>
      </w:r>
    </w:p>
    <w:p w14:paraId="041FDC3A" w14:textId="77777777" w:rsidR="002E5BAD" w:rsidRPr="00E26319" w:rsidRDefault="002E5BAD" w:rsidP="00B75458">
      <w:pPr>
        <w:pStyle w:val="ab"/>
        <w:numPr>
          <w:ilvl w:val="0"/>
          <w:numId w:val="192"/>
        </w:numPr>
        <w:rPr>
          <w:rtl/>
        </w:rPr>
      </w:pPr>
      <w:r>
        <w:rPr>
          <w:rFonts w:cs="Arial" w:hint="cs"/>
          <w:rtl/>
        </w:rPr>
        <w:t xml:space="preserve">טור- </w:t>
      </w:r>
      <w:r w:rsidRPr="00031435">
        <w:rPr>
          <w:rFonts w:cs="Arial"/>
          <w:rtl/>
        </w:rPr>
        <w:t>אלמנה נמי</w:t>
      </w:r>
      <w:r>
        <w:rPr>
          <w:rFonts w:cs="Arial" w:hint="cs"/>
          <w:rtl/>
        </w:rPr>
        <w:t>,</w:t>
      </w:r>
      <w:r w:rsidRPr="00031435">
        <w:rPr>
          <w:rFonts w:cs="Arial"/>
          <w:rtl/>
        </w:rPr>
        <w:t xml:space="preserve"> אם נשאת </w:t>
      </w:r>
      <w:r>
        <w:rPr>
          <w:rFonts w:cs="Arial" w:hint="cs"/>
          <w:rtl/>
        </w:rPr>
        <w:t xml:space="preserve">- </w:t>
      </w:r>
      <w:r w:rsidRPr="00031435">
        <w:rPr>
          <w:rFonts w:cs="Arial"/>
          <w:rtl/>
        </w:rPr>
        <w:t>לא תמכור אלא בב"ד</w:t>
      </w:r>
      <w:r>
        <w:rPr>
          <w:rStyle w:val="a7"/>
          <w:rFonts w:cs="Arial"/>
          <w:rtl/>
        </w:rPr>
        <w:footnoteReference w:id="2646"/>
      </w:r>
      <w:r>
        <w:rPr>
          <w:rFonts w:cs="Arial" w:hint="cs"/>
          <w:rtl/>
        </w:rPr>
        <w:t>.</w:t>
      </w:r>
      <w:r>
        <w:rPr>
          <w:rFonts w:hint="cs"/>
          <w:rtl/>
        </w:rPr>
        <w:t xml:space="preserve"> </w:t>
      </w:r>
      <w:r w:rsidRPr="009A1165">
        <w:rPr>
          <w:rFonts w:hint="cs"/>
          <w:color w:val="E36C0A" w:themeColor="accent6" w:themeShade="BF"/>
          <w:rtl/>
        </w:rPr>
        <w:t>(וכ"פ בשו"ע)</w:t>
      </w:r>
    </w:p>
    <w:p w14:paraId="5550611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AA1FF4" w14:textId="77777777" w:rsidR="002E5BAD" w:rsidRDefault="002E5BAD" w:rsidP="002E5BAD">
      <w:pPr>
        <w:rPr>
          <w:rtl/>
        </w:rPr>
      </w:pPr>
      <w:r>
        <w:rPr>
          <w:rFonts w:cs="Arial"/>
          <w:rtl/>
        </w:rPr>
        <w:t>גרושה, לא תמכור</w:t>
      </w:r>
      <w:r>
        <w:rPr>
          <w:rStyle w:val="a7"/>
          <w:rFonts w:cs="Arial"/>
          <w:rtl/>
        </w:rPr>
        <w:footnoteReference w:id="2647"/>
      </w:r>
      <w:r>
        <w:rPr>
          <w:rFonts w:cs="Arial"/>
          <w:rtl/>
        </w:rPr>
        <w:t xml:space="preserve"> אלא בב</w:t>
      </w:r>
      <w:r>
        <w:rPr>
          <w:rFonts w:cs="Arial" w:hint="cs"/>
          <w:rtl/>
        </w:rPr>
        <w:t xml:space="preserve">ית </w:t>
      </w:r>
      <w:r>
        <w:rPr>
          <w:rFonts w:cs="Arial"/>
          <w:rtl/>
        </w:rPr>
        <w:t>ד</w:t>
      </w:r>
      <w:r>
        <w:rPr>
          <w:rFonts w:cs="Arial" w:hint="cs"/>
          <w:rtl/>
        </w:rPr>
        <w:t>ין</w:t>
      </w:r>
      <w:r>
        <w:rPr>
          <w:rFonts w:cs="Arial"/>
          <w:rtl/>
        </w:rPr>
        <w:t xml:space="preserve"> מומחים</w:t>
      </w:r>
      <w:r>
        <w:rPr>
          <w:rStyle w:val="a7"/>
          <w:rFonts w:cs="Arial"/>
          <w:rtl/>
        </w:rPr>
        <w:footnoteReference w:id="2648"/>
      </w:r>
      <w:r>
        <w:rPr>
          <w:rFonts w:cs="Arial"/>
          <w:rtl/>
        </w:rPr>
        <w:t xml:space="preserve">. ואלמנה נמי, אם נשאת, לא תמכור אלא בבית דין מומחים. </w:t>
      </w:r>
    </w:p>
    <w:p w14:paraId="249890A2" w14:textId="77777777" w:rsidR="002E5BAD" w:rsidRDefault="002E5BAD" w:rsidP="002E5BAD">
      <w:pPr>
        <w:rPr>
          <w:rtl/>
        </w:rPr>
      </w:pPr>
    </w:p>
    <w:p w14:paraId="0BF16B26" w14:textId="77777777" w:rsidR="002E5BAD" w:rsidRDefault="002E5BAD" w:rsidP="002E5BAD">
      <w:pPr>
        <w:pStyle w:val="2"/>
        <w:rPr>
          <w:rtl/>
        </w:rPr>
      </w:pPr>
      <w:r>
        <w:rPr>
          <w:rtl/>
        </w:rPr>
        <w:t>סעיף ד</w:t>
      </w:r>
      <w:r>
        <w:rPr>
          <w:rFonts w:hint="cs"/>
          <w:rtl/>
        </w:rPr>
        <w:t>: שבועת אלמנה שמוכרת מנכסי בעלה כדי לגבות כתובתה.</w:t>
      </w:r>
    </w:p>
    <w:p w14:paraId="47A8518B" w14:textId="77777777" w:rsidR="002E5BAD" w:rsidRDefault="002E5BAD" w:rsidP="002E5BAD">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1D66A0">
        <w:rPr>
          <w:rFonts w:cs="Arial"/>
          <w:u w:val="single"/>
          <w:rtl/>
        </w:rPr>
        <w:t>שלח ליה רבה בריה דרבא לרב יוסף</w:t>
      </w:r>
      <w:r w:rsidRPr="00E3423A">
        <w:rPr>
          <w:rFonts w:cs="Arial"/>
          <w:rtl/>
        </w:rPr>
        <w:t>: מוכרת שלא בב"ד, צריכה שבועה</w:t>
      </w:r>
      <w:r>
        <w:rPr>
          <w:rStyle w:val="a7"/>
          <w:rFonts w:cs="Arial"/>
          <w:rtl/>
        </w:rPr>
        <w:footnoteReference w:id="2649"/>
      </w:r>
      <w:r w:rsidRPr="00E3423A">
        <w:rPr>
          <w:rFonts w:cs="Arial"/>
          <w:rtl/>
        </w:rPr>
        <w:t xml:space="preserve"> או אין צריכה שבועה? ותבעי לך הכרזה! </w:t>
      </w:r>
      <w:r w:rsidRPr="001D66A0">
        <w:rPr>
          <w:rFonts w:cs="Arial"/>
          <w:u w:val="single"/>
          <w:rtl/>
        </w:rPr>
        <w:t>אמר ליה</w:t>
      </w:r>
      <w:r w:rsidRPr="00E3423A">
        <w:rPr>
          <w:rFonts w:cs="Arial"/>
          <w:rtl/>
        </w:rPr>
        <w:t>: הכרזה לא קמיבעיא לי, דא"ר זירא אמר רב נחמן: אלמנה ששמה לעצמה</w:t>
      </w:r>
      <w:r>
        <w:rPr>
          <w:rStyle w:val="a7"/>
          <w:rFonts w:cs="Arial"/>
          <w:rtl/>
        </w:rPr>
        <w:footnoteReference w:id="2650"/>
      </w:r>
      <w:r w:rsidRPr="00E3423A">
        <w:rPr>
          <w:rFonts w:cs="Arial"/>
          <w:rtl/>
        </w:rPr>
        <w:t xml:space="preserve"> - לא עשתה ולא כלום</w:t>
      </w:r>
      <w:r>
        <w:rPr>
          <w:rStyle w:val="a7"/>
          <w:rFonts w:cs="Arial"/>
          <w:rtl/>
        </w:rPr>
        <w:footnoteReference w:id="2651"/>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2652"/>
      </w:r>
      <w:r w:rsidRPr="00E3423A">
        <w:rPr>
          <w:rFonts w:cs="Arial"/>
          <w:rtl/>
        </w:rPr>
        <w:t>? כי האי דההוא גברא דאפקידו גביה כיסתא</w:t>
      </w:r>
      <w:r>
        <w:rPr>
          <w:rStyle w:val="a7"/>
          <w:rFonts w:cs="Arial"/>
          <w:rtl/>
        </w:rPr>
        <w:footnoteReference w:id="2653"/>
      </w:r>
      <w:r w:rsidRPr="00E3423A">
        <w:rPr>
          <w:rFonts w:cs="Arial"/>
          <w:rtl/>
        </w:rPr>
        <w:t xml:space="preserve"> דיתמי, אזל שמה לנפשיה בארבע מאה זוזי, אייקר קם בשית מאה, אתא לקמיה דרבי אמי, אמר ליה: מאן שם לך? והלכתא: צריכה שבועה ואינה צריכה הכרזה.</w:t>
      </w:r>
    </w:p>
    <w:p w14:paraId="1F4D18F1" w14:textId="77777777" w:rsidR="002E5BAD" w:rsidRPr="00E822E0" w:rsidRDefault="002E5BAD" w:rsidP="002E5BAD">
      <w:pPr>
        <w:rPr>
          <w:rFonts w:cs="Arial"/>
          <w:u w:val="single"/>
          <w:rtl/>
        </w:rPr>
      </w:pPr>
      <w:r w:rsidRPr="00E822E0">
        <w:rPr>
          <w:rFonts w:cs="Arial" w:hint="cs"/>
          <w:u w:val="single"/>
          <w:rtl/>
        </w:rPr>
        <w:t>על איזו שבועה שאל רבה את רב יוסף:</w:t>
      </w:r>
    </w:p>
    <w:p w14:paraId="6BC2880D" w14:textId="77777777" w:rsidR="002E5BAD" w:rsidRDefault="002E5BAD" w:rsidP="00B75458">
      <w:pPr>
        <w:pStyle w:val="ab"/>
        <w:numPr>
          <w:ilvl w:val="0"/>
          <w:numId w:val="192"/>
        </w:numPr>
        <w:rPr>
          <w:rFonts w:cs="Arial"/>
        </w:rPr>
      </w:pPr>
      <w:r w:rsidRPr="00E822E0">
        <w:rPr>
          <w:rFonts w:cs="Arial" w:hint="cs"/>
          <w:rtl/>
        </w:rPr>
        <w:t xml:space="preserve">רמב"ם </w:t>
      </w:r>
      <w:r w:rsidRPr="00E822E0">
        <w:rPr>
          <w:rFonts w:cs="Arial" w:hint="cs"/>
          <w:sz w:val="16"/>
          <w:szCs w:val="16"/>
          <w:rtl/>
        </w:rPr>
        <w:t xml:space="preserve">(פי"ז מאישות, כ"כ הר"ן [נז.] בשמו) </w:t>
      </w:r>
      <w:r w:rsidRPr="00E822E0">
        <w:rPr>
          <w:rFonts w:cs="Arial" w:hint="cs"/>
          <w:rtl/>
        </w:rPr>
        <w:t>ו</w:t>
      </w:r>
      <w:r w:rsidRPr="00E822E0">
        <w:rPr>
          <w:rFonts w:cs="Arial"/>
          <w:rtl/>
        </w:rPr>
        <w:t>רמב"ן</w:t>
      </w:r>
      <w:r w:rsidRPr="00E822E0">
        <w:rPr>
          <w:rFonts w:cs="Arial" w:hint="cs"/>
          <w:rtl/>
        </w:rPr>
        <w:t xml:space="preserve"> </w:t>
      </w:r>
      <w:r w:rsidRPr="00E822E0">
        <w:rPr>
          <w:rFonts w:cs="Arial" w:hint="cs"/>
          <w:sz w:val="16"/>
          <w:szCs w:val="16"/>
          <w:rtl/>
        </w:rPr>
        <w:t>(</w:t>
      </w:r>
      <w:bookmarkStart w:id="12" w:name="_Hlk71036489"/>
      <w:r w:rsidRPr="00E822E0">
        <w:rPr>
          <w:rFonts w:cs="Arial" w:hint="cs"/>
          <w:sz w:val="16"/>
          <w:szCs w:val="16"/>
          <w:rtl/>
        </w:rPr>
        <w:t>כ"כ הר"ן [נז.] בשמו</w:t>
      </w:r>
      <w:bookmarkEnd w:id="12"/>
      <w:r w:rsidRPr="00E822E0">
        <w:rPr>
          <w:rFonts w:cs="Arial" w:hint="cs"/>
          <w:sz w:val="16"/>
          <w:szCs w:val="16"/>
          <w:rtl/>
        </w:rPr>
        <w:t>)</w:t>
      </w:r>
      <w:r w:rsidRPr="00E822E0">
        <w:rPr>
          <w:rFonts w:cs="Arial" w:hint="cs"/>
          <w:rtl/>
        </w:rPr>
        <w:t xml:space="preserve">- </w:t>
      </w:r>
      <w:r w:rsidRPr="00E822E0">
        <w:rPr>
          <w:rFonts w:cs="Arial"/>
          <w:rtl/>
        </w:rPr>
        <w:t>בעיין דצריכה שבועה היינו שבועת אלמנה הבאה ליפרע מנכסי יתומים</w:t>
      </w:r>
      <w:r w:rsidRPr="00E822E0">
        <w:rPr>
          <w:rFonts w:cs="Arial" w:hint="cs"/>
          <w:rtl/>
        </w:rPr>
        <w:t>.</w:t>
      </w:r>
      <w:r w:rsidRPr="00E822E0">
        <w:rPr>
          <w:rFonts w:cs="Arial"/>
          <w:rtl/>
        </w:rPr>
        <w:t xml:space="preserve"> וקא מיבעיא לן מי אמרינן תמכור לכתובה ואח"כ תשבע</w:t>
      </w:r>
      <w:r w:rsidRPr="00E822E0">
        <w:rPr>
          <w:rFonts w:cs="Arial" w:hint="cs"/>
          <w:rtl/>
        </w:rPr>
        <w:t>,</w:t>
      </w:r>
      <w:r w:rsidRPr="00E822E0">
        <w:rPr>
          <w:rFonts w:cs="Arial"/>
          <w:rtl/>
        </w:rPr>
        <w:t xml:space="preserve"> כדי שלא תשהה ותפסיד מהם מזונות בינתים</w:t>
      </w:r>
      <w:r w:rsidRPr="00E822E0">
        <w:rPr>
          <w:rFonts w:cs="Arial" w:hint="cs"/>
          <w:rtl/>
        </w:rPr>
        <w:t>.</w:t>
      </w:r>
      <w:r w:rsidRPr="00E822E0">
        <w:rPr>
          <w:rFonts w:cs="Arial"/>
          <w:rtl/>
        </w:rPr>
        <w:t xml:space="preserve"> דלאחר מכירה ודאי פשיטא לן דתשבע שבועה זו שמפני שמוכרת שלא בב"ד לא הפסידו יתומים תקנת בא ליפרע מנכסי יתומים שלא יפרע אלא בשבועה</w:t>
      </w:r>
      <w:r w:rsidRPr="00E822E0">
        <w:rPr>
          <w:rFonts w:cs="Arial" w:hint="cs"/>
          <w:rtl/>
        </w:rPr>
        <w:t>.</w:t>
      </w:r>
      <w:r w:rsidRPr="00E822E0">
        <w:rPr>
          <w:rFonts w:cs="Arial"/>
          <w:rtl/>
        </w:rPr>
        <w:t xml:space="preserve"> ומסקנא דצריכה שבועה תחלה לפי ששהות השבועה מועט ואינה צריכה הכרזה לפי ששהות ההכרזה מרובה ויש לחוש בה להפסד מזונות</w:t>
      </w:r>
      <w:r w:rsidRPr="00E822E0">
        <w:rPr>
          <w:rFonts w:cs="Arial" w:hint="cs"/>
          <w:sz w:val="16"/>
          <w:szCs w:val="16"/>
          <w:rtl/>
        </w:rPr>
        <w:t xml:space="preserve"> (ל' הר"ן)</w:t>
      </w:r>
      <w:r w:rsidRPr="00E822E0">
        <w:rPr>
          <w:rFonts w:cs="Arial" w:hint="cs"/>
          <w:rtl/>
        </w:rPr>
        <w:t>.</w:t>
      </w:r>
    </w:p>
    <w:p w14:paraId="20EA44E6" w14:textId="77777777" w:rsidR="002E5BAD" w:rsidRDefault="002E5BAD" w:rsidP="00B75458">
      <w:pPr>
        <w:pStyle w:val="ab"/>
        <w:numPr>
          <w:ilvl w:val="0"/>
          <w:numId w:val="192"/>
        </w:numPr>
        <w:rPr>
          <w:rFonts w:cs="Arial"/>
        </w:rPr>
      </w:pPr>
      <w:r>
        <w:rPr>
          <w:rFonts w:cs="Arial" w:hint="cs"/>
          <w:rtl/>
        </w:rPr>
        <w:t xml:space="preserve">רש"י </w:t>
      </w:r>
      <w:r>
        <w:rPr>
          <w:rFonts w:cs="Arial" w:hint="cs"/>
          <w:sz w:val="16"/>
          <w:szCs w:val="16"/>
          <w:rtl/>
        </w:rPr>
        <w:t>(צח. ד"ה צריכה שבועה)</w:t>
      </w:r>
      <w:r>
        <w:rPr>
          <w:rFonts w:cs="Arial" w:hint="cs"/>
          <w:rtl/>
        </w:rPr>
        <w:t>-</w:t>
      </w:r>
      <w:r w:rsidRPr="00E822E0">
        <w:rPr>
          <w:rtl/>
        </w:rPr>
        <w:t xml:space="preserve"> </w:t>
      </w:r>
      <w:r w:rsidRPr="00E822E0">
        <w:rPr>
          <w:rFonts w:cs="Arial"/>
          <w:rtl/>
        </w:rPr>
        <w:t>שלא גבתה יותר</w:t>
      </w:r>
      <w:r>
        <w:rPr>
          <w:rFonts w:cs="Arial" w:hint="cs"/>
          <w:rtl/>
        </w:rPr>
        <w:t>.</w:t>
      </w:r>
    </w:p>
    <w:p w14:paraId="5661EDDD" w14:textId="77777777" w:rsidR="002E5BAD" w:rsidRPr="00E822E0" w:rsidRDefault="002E5BAD" w:rsidP="00B75458">
      <w:pPr>
        <w:pStyle w:val="ab"/>
        <w:numPr>
          <w:ilvl w:val="0"/>
          <w:numId w:val="192"/>
        </w:numPr>
        <w:rPr>
          <w:rFonts w:cs="Arial"/>
          <w:rtl/>
        </w:rPr>
      </w:pPr>
      <w:r>
        <w:rPr>
          <w:rFonts w:cs="Arial" w:hint="cs"/>
          <w:rtl/>
        </w:rPr>
        <w:t>תוס'</w:t>
      </w:r>
      <w:r>
        <w:rPr>
          <w:rStyle w:val="a7"/>
          <w:rFonts w:cs="Arial"/>
          <w:rtl/>
        </w:rPr>
        <w:footnoteReference w:id="2654"/>
      </w:r>
      <w:r>
        <w:rPr>
          <w:rFonts w:cs="Arial" w:hint="cs"/>
          <w:rtl/>
        </w:rPr>
        <w:t xml:space="preserve"> </w:t>
      </w:r>
      <w:r>
        <w:rPr>
          <w:rFonts w:cs="Arial" w:hint="cs"/>
          <w:sz w:val="16"/>
          <w:szCs w:val="16"/>
          <w:rtl/>
        </w:rPr>
        <w:t xml:space="preserve">(צח. ד"ה מוכרת) </w:t>
      </w:r>
      <w:r>
        <w:rPr>
          <w:rFonts w:hint="cs"/>
          <w:rtl/>
        </w:rPr>
        <w:t xml:space="preserve">ורא"ש </w:t>
      </w:r>
      <w:r w:rsidRPr="00E822E0">
        <w:rPr>
          <w:rFonts w:hint="cs"/>
          <w:sz w:val="16"/>
          <w:szCs w:val="16"/>
          <w:rtl/>
        </w:rPr>
        <w:t>(פי"א סי' יג)</w:t>
      </w:r>
      <w:r>
        <w:rPr>
          <w:rFonts w:cs="Arial" w:hint="cs"/>
          <w:rtl/>
        </w:rPr>
        <w:t xml:space="preserve">- </w:t>
      </w:r>
      <w:r w:rsidRPr="005542BB">
        <w:rPr>
          <w:rFonts w:cs="Arial"/>
          <w:rtl/>
        </w:rPr>
        <w:t>ודאי במוכרת לכתובתה קא מיבעיא ליה</w:t>
      </w:r>
      <w:r>
        <w:rPr>
          <w:rFonts w:cs="Arial" w:hint="cs"/>
          <w:rtl/>
        </w:rPr>
        <w:t>.</w:t>
      </w:r>
      <w:r w:rsidRPr="005542BB">
        <w:rPr>
          <w:rFonts w:cs="Arial"/>
          <w:rtl/>
        </w:rPr>
        <w:t xml:space="preserve"> ולא מיבעיא ליה בשבועת צררי</w:t>
      </w:r>
      <w:r>
        <w:rPr>
          <w:rFonts w:cs="Arial" w:hint="cs"/>
          <w:rtl/>
        </w:rPr>
        <w:t>,</w:t>
      </w:r>
      <w:r w:rsidRPr="005542BB">
        <w:rPr>
          <w:rFonts w:cs="Arial"/>
          <w:rtl/>
        </w:rPr>
        <w:t xml:space="preserve"> דפשיטא דמשביעין אותה כדתנן בפרק השולח (לד</w:t>
      </w:r>
      <w:r>
        <w:rPr>
          <w:rFonts w:cs="Arial" w:hint="cs"/>
          <w:rtl/>
        </w:rPr>
        <w:t>:</w:t>
      </w:r>
      <w:r w:rsidRPr="005542BB">
        <w:rPr>
          <w:rFonts w:cs="Arial"/>
          <w:rtl/>
        </w:rPr>
        <w:t>) אין אלמנה נפרעת מנכסי יתומים אלא בשבועה</w:t>
      </w:r>
      <w:r>
        <w:rPr>
          <w:rFonts w:cs="Arial" w:hint="cs"/>
          <w:rtl/>
        </w:rPr>
        <w:t>.</w:t>
      </w:r>
      <w:r w:rsidRPr="005542BB">
        <w:rPr>
          <w:rFonts w:cs="Arial"/>
          <w:rtl/>
        </w:rPr>
        <w:t xml:space="preserve"> אלא מיבעיא ליה אחר שמכרה הנכסים שלא בב"ד אם משביעין שלא גבתה יותר</w:t>
      </w:r>
      <w:r>
        <w:rPr>
          <w:rFonts w:cs="Arial" w:hint="cs"/>
          <w:rtl/>
        </w:rPr>
        <w:t>.</w:t>
      </w:r>
      <w:r w:rsidRPr="005542BB">
        <w:rPr>
          <w:rFonts w:cs="Arial"/>
          <w:rtl/>
        </w:rPr>
        <w:t xml:space="preserve"> א"נ מיבעיא ליה אם משביעין אותה שלא זילזלה בנכסים</w:t>
      </w:r>
      <w:r>
        <w:rPr>
          <w:rFonts w:cs="Arial" w:hint="cs"/>
          <w:rtl/>
        </w:rPr>
        <w:t>.</w:t>
      </w:r>
      <w:r w:rsidRPr="005542BB">
        <w:rPr>
          <w:rFonts w:cs="Arial"/>
          <w:rtl/>
        </w:rPr>
        <w:t xml:space="preserve"> וכן מוכח מדקאמר ותיבעי לך הכרזה דהאי נמי משום דלא תזלזל.</w:t>
      </w:r>
      <w:r>
        <w:rPr>
          <w:rFonts w:cs="Arial" w:hint="cs"/>
          <w:rtl/>
        </w:rPr>
        <w:t>..</w:t>
      </w:r>
      <w:r w:rsidRPr="005542BB">
        <w:rPr>
          <w:rtl/>
        </w:rPr>
        <w:t xml:space="preserve"> </w:t>
      </w:r>
      <w:r>
        <w:rPr>
          <w:rFonts w:cs="Arial" w:hint="cs"/>
          <w:sz w:val="16"/>
          <w:szCs w:val="16"/>
          <w:rtl/>
        </w:rPr>
        <w:t xml:space="preserve">{וסיכם בסוף דבריו וכתב-} </w:t>
      </w:r>
      <w:r w:rsidRPr="005542BB">
        <w:rPr>
          <w:rFonts w:cs="Arial"/>
          <w:rtl/>
        </w:rPr>
        <w:t xml:space="preserve">הא דקאמר הכא צריכה שבועה </w:t>
      </w:r>
      <w:r>
        <w:rPr>
          <w:rFonts w:cs="Arial" w:hint="cs"/>
          <w:rtl/>
        </w:rPr>
        <w:t xml:space="preserve">- </w:t>
      </w:r>
      <w:r w:rsidRPr="005542BB">
        <w:rPr>
          <w:rFonts w:cs="Arial"/>
          <w:rtl/>
        </w:rPr>
        <w:t>אחר המכירה קאמר</w:t>
      </w:r>
      <w:r>
        <w:rPr>
          <w:rFonts w:cs="Arial" w:hint="cs"/>
          <w:rtl/>
        </w:rPr>
        <w:t>,</w:t>
      </w:r>
      <w:r w:rsidRPr="005542BB">
        <w:rPr>
          <w:rFonts w:cs="Arial"/>
          <w:rtl/>
        </w:rPr>
        <w:t xml:space="preserve"> דמשביעין אחר המכירה שבועת </w:t>
      </w:r>
      <w:r w:rsidRPr="005542BB">
        <w:rPr>
          <w:rFonts w:cs="Arial"/>
          <w:rtl/>
        </w:rPr>
        <w:lastRenderedPageBreak/>
        <w:t>צררי וגם שלא זלזלה במכירה ולא מכרה יותר מן הצורך</w:t>
      </w:r>
      <w:r>
        <w:rPr>
          <w:rFonts w:cs="Arial" w:hint="cs"/>
          <w:rtl/>
        </w:rPr>
        <w:t>.</w:t>
      </w:r>
      <w:r w:rsidRPr="005542BB">
        <w:rPr>
          <w:rFonts w:cs="Arial"/>
          <w:rtl/>
        </w:rPr>
        <w:t xml:space="preserve"> ואע</w:t>
      </w:r>
      <w:r>
        <w:rPr>
          <w:rFonts w:cs="Arial" w:hint="cs"/>
          <w:rtl/>
        </w:rPr>
        <w:t>"</w:t>
      </w:r>
      <w:r w:rsidRPr="005542BB">
        <w:rPr>
          <w:rFonts w:cs="Arial"/>
          <w:rtl/>
        </w:rPr>
        <w:t>פ שהיו שם ב"ד הדיוטות בקיאין בשומא</w:t>
      </w:r>
      <w:r>
        <w:rPr>
          <w:rFonts w:cs="Arial" w:hint="cs"/>
          <w:rtl/>
        </w:rPr>
        <w:t>,</w:t>
      </w:r>
      <w:r w:rsidRPr="005542BB">
        <w:rPr>
          <w:rFonts w:cs="Arial"/>
          <w:rtl/>
        </w:rPr>
        <w:t xml:space="preserve"> שמא לא דקדקו כולי האי</w:t>
      </w:r>
      <w:r>
        <w:rPr>
          <w:rFonts w:cs="Arial" w:hint="cs"/>
          <w:rtl/>
        </w:rPr>
        <w:t>,</w:t>
      </w:r>
      <w:r w:rsidRPr="005542BB">
        <w:rPr>
          <w:rFonts w:cs="Arial"/>
          <w:rtl/>
        </w:rPr>
        <w:t xml:space="preserve"> דיושבי קרנות הן</w:t>
      </w:r>
      <w:r>
        <w:rPr>
          <w:rFonts w:cs="Arial" w:hint="cs"/>
          <w:rtl/>
        </w:rPr>
        <w:t>.</w:t>
      </w:r>
    </w:p>
    <w:p w14:paraId="05EF2DFA" w14:textId="77777777" w:rsidR="002E5BAD" w:rsidRPr="00885449" w:rsidRDefault="002E5BAD" w:rsidP="002E5BAD">
      <w:pPr>
        <w:rPr>
          <w:u w:val="single"/>
          <w:rtl/>
        </w:rPr>
      </w:pPr>
      <w:r>
        <w:rPr>
          <w:rFonts w:hint="cs"/>
          <w:u w:val="single"/>
          <w:rtl/>
        </w:rPr>
        <w:t xml:space="preserve">מה נשבעת </w:t>
      </w:r>
      <w:r w:rsidRPr="00885449">
        <w:rPr>
          <w:rFonts w:hint="cs"/>
          <w:u w:val="single"/>
          <w:rtl/>
        </w:rPr>
        <w:t>אלמנה ש</w:t>
      </w:r>
      <w:r>
        <w:rPr>
          <w:rFonts w:hint="cs"/>
          <w:u w:val="single"/>
          <w:rtl/>
        </w:rPr>
        <w:t xml:space="preserve">רוצה למכור </w:t>
      </w:r>
      <w:r w:rsidRPr="00885449">
        <w:rPr>
          <w:rFonts w:hint="cs"/>
          <w:u w:val="single"/>
          <w:rtl/>
        </w:rPr>
        <w:t>מנכסי בעלה כדי לגבות כתובתה:</w:t>
      </w:r>
    </w:p>
    <w:p w14:paraId="43C37882" w14:textId="77777777" w:rsidR="002E5BAD" w:rsidRPr="005E210D" w:rsidRDefault="002E5BAD" w:rsidP="00B75458">
      <w:pPr>
        <w:pStyle w:val="ab"/>
        <w:numPr>
          <w:ilvl w:val="0"/>
          <w:numId w:val="192"/>
        </w:numPr>
      </w:pPr>
      <w:r>
        <w:rPr>
          <w:rFonts w:cs="Arial" w:hint="cs"/>
          <w:rtl/>
        </w:rPr>
        <w:t xml:space="preserve">תוס' </w:t>
      </w:r>
      <w:r>
        <w:rPr>
          <w:rFonts w:cs="Arial" w:hint="cs"/>
          <w:sz w:val="16"/>
          <w:szCs w:val="16"/>
          <w:rtl/>
        </w:rPr>
        <w:t xml:space="preserve">(צח. ד"ה מוכרת) </w:t>
      </w:r>
      <w:r>
        <w:rPr>
          <w:rFonts w:cs="Arial" w:hint="cs"/>
          <w:rtl/>
        </w:rPr>
        <w:t xml:space="preserve">רא"ש </w:t>
      </w:r>
      <w:r>
        <w:rPr>
          <w:rFonts w:cs="Arial" w:hint="cs"/>
          <w:sz w:val="16"/>
          <w:szCs w:val="16"/>
          <w:rtl/>
        </w:rPr>
        <w:t xml:space="preserve">(פי"א סי' יג) </w:t>
      </w:r>
      <w:r>
        <w:rPr>
          <w:rFonts w:cs="Arial" w:hint="cs"/>
          <w:rtl/>
        </w:rPr>
        <w:t xml:space="preserve">וטור- </w:t>
      </w:r>
      <w:r w:rsidRPr="00031435">
        <w:rPr>
          <w:rFonts w:cs="Arial"/>
          <w:rtl/>
        </w:rPr>
        <w:t>אם ב"ד מוכרין ונותנים לה</w:t>
      </w:r>
      <w:r>
        <w:rPr>
          <w:rFonts w:cs="Arial" w:hint="cs"/>
          <w:rtl/>
        </w:rPr>
        <w:t xml:space="preserve"> -</w:t>
      </w:r>
      <w:r w:rsidRPr="00031435">
        <w:rPr>
          <w:rFonts w:cs="Arial"/>
          <w:rtl/>
        </w:rPr>
        <w:t xml:space="preserve"> אז אינה נשבעת אלא שלא התפיסה צררי ושלא תפשה היא משלו</w:t>
      </w:r>
      <w:r>
        <w:rPr>
          <w:rFonts w:cs="Arial" w:hint="cs"/>
          <w:rtl/>
        </w:rPr>
        <w:t>.</w:t>
      </w:r>
      <w:r w:rsidRPr="00031435">
        <w:rPr>
          <w:rFonts w:cs="Arial"/>
          <w:rtl/>
        </w:rPr>
        <w:t xml:space="preserve"> ואם היא בעצמה מוכרת </w:t>
      </w:r>
      <w:r>
        <w:rPr>
          <w:rFonts w:cs="Arial" w:hint="cs"/>
          <w:rtl/>
        </w:rPr>
        <w:t xml:space="preserve">- </w:t>
      </w:r>
      <w:r w:rsidRPr="00031435">
        <w:rPr>
          <w:rFonts w:cs="Arial"/>
          <w:rtl/>
        </w:rPr>
        <w:t>צריכה לישבע שבועת צררי ושלא גבתה יותר ושלא זלזלה בנכסים</w:t>
      </w:r>
      <w:r>
        <w:rPr>
          <w:rFonts w:cs="Arial" w:hint="cs"/>
          <w:sz w:val="16"/>
          <w:szCs w:val="16"/>
          <w:rtl/>
        </w:rPr>
        <w:t xml:space="preserve"> (ל' הטור)</w:t>
      </w:r>
      <w:r>
        <w:rPr>
          <w:rFonts w:cs="Arial" w:hint="cs"/>
          <w:rtl/>
        </w:rPr>
        <w:t>.</w:t>
      </w:r>
      <w:r w:rsidRPr="00031435">
        <w:rPr>
          <w:rFonts w:cs="Arial"/>
          <w:rtl/>
        </w:rPr>
        <w:t xml:space="preserve"> </w:t>
      </w:r>
      <w:r w:rsidRPr="005542BB">
        <w:rPr>
          <w:rFonts w:hint="cs"/>
          <w:color w:val="E36C0A" w:themeColor="accent6" w:themeShade="BF"/>
          <w:rtl/>
        </w:rPr>
        <w:t>(וכ"פ בשו"ע)</w:t>
      </w:r>
    </w:p>
    <w:p w14:paraId="3CF2DEE8" w14:textId="77777777" w:rsidR="002E5BAD" w:rsidRPr="00E26319" w:rsidRDefault="002E5BAD" w:rsidP="00B75458">
      <w:pPr>
        <w:pStyle w:val="ab"/>
        <w:numPr>
          <w:ilvl w:val="0"/>
          <w:numId w:val="192"/>
        </w:numPr>
        <w:rPr>
          <w:rtl/>
        </w:rPr>
      </w:pPr>
      <w:r w:rsidRPr="005E210D">
        <w:rPr>
          <w:rFonts w:cs="Arial" w:hint="cs"/>
          <w:rtl/>
        </w:rPr>
        <w:t xml:space="preserve">רשב"א </w:t>
      </w:r>
      <w:r w:rsidRPr="005E210D">
        <w:rPr>
          <w:rFonts w:cs="Arial"/>
          <w:sz w:val="16"/>
          <w:szCs w:val="16"/>
          <w:rtl/>
        </w:rPr>
        <w:t>(במיוחסות סי</w:t>
      </w:r>
      <w:r w:rsidRPr="005E210D">
        <w:rPr>
          <w:rFonts w:cs="Arial" w:hint="cs"/>
          <w:sz w:val="16"/>
          <w:szCs w:val="16"/>
          <w:rtl/>
        </w:rPr>
        <w:t>'</w:t>
      </w:r>
      <w:r w:rsidRPr="005E210D">
        <w:rPr>
          <w:rFonts w:cs="Arial"/>
          <w:sz w:val="16"/>
          <w:szCs w:val="16"/>
          <w:rtl/>
        </w:rPr>
        <w:t xml:space="preserve"> לג</w:t>
      </w:r>
      <w:r w:rsidRPr="005E210D">
        <w:rPr>
          <w:rFonts w:cs="Arial" w:hint="cs"/>
          <w:sz w:val="16"/>
          <w:szCs w:val="16"/>
          <w:rtl/>
        </w:rPr>
        <w:t>)</w:t>
      </w:r>
      <w:r w:rsidRPr="005E210D">
        <w:rPr>
          <w:rFonts w:cs="Arial" w:hint="cs"/>
          <w:rtl/>
        </w:rPr>
        <w:t>-</w:t>
      </w:r>
      <w:r w:rsidRPr="005E210D">
        <w:rPr>
          <w:rFonts w:cs="Arial"/>
          <w:rtl/>
        </w:rPr>
        <w:t xml:space="preserve"> אחר שתמכור</w:t>
      </w:r>
      <w:r w:rsidRPr="005E210D">
        <w:rPr>
          <w:rFonts w:cs="Arial" w:hint="cs"/>
          <w:rtl/>
        </w:rPr>
        <w:t>,</w:t>
      </w:r>
      <w:r w:rsidRPr="005E210D">
        <w:rPr>
          <w:rFonts w:cs="Arial"/>
          <w:rtl/>
        </w:rPr>
        <w:t xml:space="preserve"> אם רצו היתומים להשביעה אם מכרו ביותר ממה ששמו לה הבית דין </w:t>
      </w:r>
      <w:r w:rsidRPr="005E210D">
        <w:rPr>
          <w:rFonts w:cs="Arial" w:hint="cs"/>
          <w:rtl/>
        </w:rPr>
        <w:t xml:space="preserve">- </w:t>
      </w:r>
      <w:r w:rsidRPr="005E210D">
        <w:rPr>
          <w:rFonts w:cs="Arial"/>
          <w:rtl/>
        </w:rPr>
        <w:t>משביעין אותה</w:t>
      </w:r>
      <w:r w:rsidRPr="005E210D">
        <w:rPr>
          <w:rFonts w:cs="Arial" w:hint="cs"/>
          <w:rtl/>
        </w:rPr>
        <w:t>,</w:t>
      </w:r>
      <w:r w:rsidRPr="005E210D">
        <w:rPr>
          <w:rFonts w:cs="Arial"/>
          <w:rtl/>
        </w:rPr>
        <w:t xml:space="preserve"> לפי שאפילו מכרה שוה מנה במאתים הריוח ליתומים</w:t>
      </w:r>
      <w:r>
        <w:rPr>
          <w:rStyle w:val="a7"/>
          <w:rFonts w:cs="Arial"/>
          <w:rtl/>
        </w:rPr>
        <w:footnoteReference w:id="2655"/>
      </w:r>
      <w:r w:rsidRPr="005E210D">
        <w:rPr>
          <w:rFonts w:cs="Arial"/>
          <w:rtl/>
        </w:rPr>
        <w:t xml:space="preserve"> כמו ששנינו</w:t>
      </w:r>
      <w:r w:rsidRPr="005E210D">
        <w:rPr>
          <w:rFonts w:cs="Arial" w:hint="cs"/>
          <w:sz w:val="16"/>
          <w:szCs w:val="16"/>
          <w:rtl/>
        </w:rPr>
        <w:t xml:space="preserve"> (עיין בכתובות נד. פורנא ליתמי</w:t>
      </w:r>
      <w:r>
        <w:rPr>
          <w:rFonts w:cs="Arial" w:hint="cs"/>
          <w:sz w:val="16"/>
          <w:szCs w:val="16"/>
          <w:rtl/>
        </w:rPr>
        <w:t>, והיא המשנה שם צח. מכרה שוה מנה וכו'</w:t>
      </w:r>
      <w:r w:rsidRPr="005E210D">
        <w:rPr>
          <w:rFonts w:cs="Arial" w:hint="cs"/>
          <w:sz w:val="16"/>
          <w:szCs w:val="16"/>
          <w:rtl/>
        </w:rPr>
        <w:t>)</w:t>
      </w:r>
      <w:r w:rsidRPr="005E210D">
        <w:rPr>
          <w:rFonts w:cs="Arial" w:hint="cs"/>
          <w:rtl/>
        </w:rPr>
        <w:t>.</w:t>
      </w:r>
      <w:r w:rsidRPr="005E210D">
        <w:rPr>
          <w:rFonts w:cs="Arial"/>
          <w:rtl/>
        </w:rPr>
        <w:t xml:space="preserve"> ואם היא פקחת ותרצה לפטור עצמה מידי שבועה לא תמכור אלא בעדים</w:t>
      </w:r>
      <w:r>
        <w:rPr>
          <w:rStyle w:val="a7"/>
          <w:rFonts w:cs="Arial"/>
          <w:rtl/>
        </w:rPr>
        <w:footnoteReference w:id="2656"/>
      </w:r>
      <w:r>
        <w:rPr>
          <w:rFonts w:cs="Arial" w:hint="cs"/>
          <w:sz w:val="16"/>
          <w:szCs w:val="16"/>
          <w:rtl/>
        </w:rPr>
        <w:t xml:space="preserve"> (ל' הרשב"א)</w:t>
      </w:r>
      <w:r w:rsidRPr="005E210D">
        <w:rPr>
          <w:rFonts w:cs="Arial" w:hint="cs"/>
          <w:rtl/>
        </w:rPr>
        <w:t>.</w:t>
      </w:r>
    </w:p>
    <w:p w14:paraId="4C5E2F4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490EE3" w14:textId="77777777" w:rsidR="002E5BAD" w:rsidRDefault="002E5BAD" w:rsidP="002E5BAD">
      <w:pPr>
        <w:rPr>
          <w:rtl/>
        </w:rPr>
      </w:pPr>
      <w:r>
        <w:rPr>
          <w:rFonts w:cs="Arial"/>
          <w:rtl/>
        </w:rPr>
        <w:t>אם ב</w:t>
      </w:r>
      <w:r>
        <w:rPr>
          <w:rFonts w:cs="Arial" w:hint="cs"/>
          <w:rtl/>
        </w:rPr>
        <w:t xml:space="preserve">ית </w:t>
      </w:r>
      <w:r>
        <w:rPr>
          <w:rFonts w:cs="Arial"/>
          <w:rtl/>
        </w:rPr>
        <w:t>ד</w:t>
      </w:r>
      <w:r>
        <w:rPr>
          <w:rFonts w:cs="Arial" w:hint="cs"/>
          <w:rtl/>
        </w:rPr>
        <w:t>ין</w:t>
      </w:r>
      <w:r>
        <w:rPr>
          <w:rFonts w:cs="Arial"/>
          <w:rtl/>
        </w:rPr>
        <w:t xml:space="preserve"> מוכרים ונותנים לה, אינה נשבעת שלא זלזלה </w:t>
      </w:r>
      <w:r w:rsidRPr="00EA4360">
        <w:rPr>
          <w:rFonts w:cs="Arial"/>
          <w:rtl/>
        </w:rPr>
        <w:t xml:space="preserve">בנכסים </w:t>
      </w:r>
      <w:r>
        <w:rPr>
          <w:rFonts w:cs="Arial" w:hint="cs"/>
          <w:sz w:val="18"/>
          <w:szCs w:val="18"/>
          <w:rtl/>
        </w:rPr>
        <w:t xml:space="preserve">[הגה] </w:t>
      </w:r>
      <w:r w:rsidRPr="00EA4360">
        <w:rPr>
          <w:rFonts w:cs="Arial"/>
          <w:sz w:val="18"/>
          <w:szCs w:val="18"/>
          <w:rtl/>
        </w:rPr>
        <w:t>אלא נשבעת שלא אתפסה צררי ושלא תפסה היא</w:t>
      </w:r>
      <w:r>
        <w:rPr>
          <w:rStyle w:val="a7"/>
          <w:rFonts w:cs="Arial"/>
          <w:sz w:val="18"/>
          <w:szCs w:val="18"/>
          <w:rtl/>
        </w:rPr>
        <w:footnoteReference w:id="2657"/>
      </w:r>
      <w:r w:rsidRPr="00EA4360">
        <w:rPr>
          <w:rFonts w:cs="Arial"/>
          <w:sz w:val="18"/>
          <w:szCs w:val="18"/>
          <w:rtl/>
        </w:rPr>
        <w:t xml:space="preserve"> משלו (טור).</w:t>
      </w:r>
      <w:r>
        <w:rPr>
          <w:rFonts w:cs="Arial"/>
          <w:rtl/>
        </w:rPr>
        <w:t xml:space="preserve"> אבל אם היא בעצמה מוכרת, צריכה לכלול בשבועתה שלא זלזלה</w:t>
      </w:r>
      <w:r>
        <w:rPr>
          <w:rStyle w:val="a7"/>
          <w:rFonts w:cs="Arial"/>
          <w:rtl/>
        </w:rPr>
        <w:footnoteReference w:id="2658"/>
      </w:r>
      <w:r>
        <w:rPr>
          <w:rFonts w:cs="Arial"/>
          <w:rtl/>
        </w:rPr>
        <w:t xml:space="preserve"> בנכסים</w:t>
      </w:r>
      <w:r>
        <w:rPr>
          <w:rStyle w:val="a7"/>
          <w:rFonts w:cs="Arial"/>
          <w:rtl/>
        </w:rPr>
        <w:footnoteReference w:id="2659"/>
      </w:r>
      <w:r>
        <w:rPr>
          <w:rFonts w:cs="Arial"/>
          <w:rtl/>
        </w:rPr>
        <w:t xml:space="preserve">. </w:t>
      </w:r>
    </w:p>
    <w:p w14:paraId="11CCEE9D" w14:textId="77777777" w:rsidR="002E5BAD" w:rsidRDefault="002E5BAD" w:rsidP="002E5BAD">
      <w:pPr>
        <w:rPr>
          <w:rtl/>
        </w:rPr>
      </w:pPr>
    </w:p>
    <w:p w14:paraId="7DEAAFD5" w14:textId="77777777" w:rsidR="002E5BAD" w:rsidRDefault="002E5BAD" w:rsidP="002E5BAD">
      <w:pPr>
        <w:pStyle w:val="2"/>
        <w:rPr>
          <w:rtl/>
        </w:rPr>
      </w:pPr>
      <w:r>
        <w:rPr>
          <w:rtl/>
        </w:rPr>
        <w:t>סעיף ה</w:t>
      </w:r>
      <w:r>
        <w:rPr>
          <w:rFonts w:hint="cs"/>
          <w:rtl/>
        </w:rPr>
        <w:t>:</w:t>
      </w:r>
      <w:r w:rsidRPr="00100346">
        <w:rPr>
          <w:rFonts w:hint="cs"/>
          <w:rtl/>
        </w:rPr>
        <w:t xml:space="preserve"> </w:t>
      </w:r>
      <w:r>
        <w:rPr>
          <w:rFonts w:hint="cs"/>
          <w:rtl/>
        </w:rPr>
        <w:t>אלמנה שמכרה לעצמה מנכסי בעלה - ושמה בעצמה או ע"י ג' הדיוטות.</w:t>
      </w:r>
    </w:p>
    <w:p w14:paraId="2F68846D" w14:textId="77777777" w:rsidR="002E5BAD" w:rsidRDefault="002E5BAD" w:rsidP="002E5BAD">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CA236B">
        <w:rPr>
          <w:rFonts w:cs="Arial"/>
          <w:u w:val="single"/>
          <w:rtl/>
        </w:rPr>
        <w:t>דא"ר זירא אמר רב נחמן</w:t>
      </w:r>
      <w:r w:rsidRPr="00E3423A">
        <w:rPr>
          <w:rFonts w:cs="Arial"/>
          <w:rtl/>
        </w:rPr>
        <w:t>: אלמנה ששמה לעצמה</w:t>
      </w:r>
      <w:r>
        <w:rPr>
          <w:rStyle w:val="a7"/>
          <w:rFonts w:cs="Arial"/>
          <w:rtl/>
        </w:rPr>
        <w:footnoteReference w:id="2660"/>
      </w:r>
      <w:r w:rsidRPr="00E3423A">
        <w:rPr>
          <w:rFonts w:cs="Arial"/>
          <w:rtl/>
        </w:rPr>
        <w:t xml:space="preserve"> - לא עשתה ולא כלום</w:t>
      </w:r>
      <w:r>
        <w:rPr>
          <w:rStyle w:val="a7"/>
          <w:rFonts w:cs="Arial"/>
          <w:rtl/>
        </w:rPr>
        <w:footnoteReference w:id="2661"/>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2662"/>
      </w:r>
      <w:r w:rsidRPr="00E3423A">
        <w:rPr>
          <w:rFonts w:cs="Arial"/>
          <w:rtl/>
        </w:rPr>
        <w:t>? כי האי דההוא גברא דאפקידו גביה כיסתא</w:t>
      </w:r>
      <w:r>
        <w:rPr>
          <w:rStyle w:val="a7"/>
          <w:rFonts w:cs="Arial"/>
          <w:rtl/>
        </w:rPr>
        <w:footnoteReference w:id="2663"/>
      </w:r>
      <w:r w:rsidRPr="00E3423A">
        <w:rPr>
          <w:rFonts w:cs="Arial"/>
          <w:rtl/>
        </w:rPr>
        <w:t xml:space="preserve"> דיתמי, אזל שמה לנפשיה בארבע מאה זוזי, אייקר קם בשית מאה, אתא לקמיה דרבי אמי, אמר ליה: מאן שם לך?</w:t>
      </w:r>
      <w:r>
        <w:rPr>
          <w:rFonts w:hint="cs"/>
          <w:rtl/>
        </w:rPr>
        <w:t xml:space="preserve"> </w:t>
      </w:r>
      <w:r w:rsidRPr="00653EE7">
        <w:rPr>
          <w:rFonts w:hint="cs"/>
          <w:sz w:val="16"/>
          <w:szCs w:val="16"/>
          <w:rtl/>
        </w:rPr>
        <w:t>(וכתב ה</w:t>
      </w:r>
      <w:r w:rsidRPr="00653EE7">
        <w:rPr>
          <w:rFonts w:cs="Arial"/>
          <w:sz w:val="16"/>
          <w:szCs w:val="16"/>
          <w:rtl/>
        </w:rPr>
        <w:t xml:space="preserve">ר"ן (נז. ד"ה גמ') יש מי שאומר דכי אמרינן אלמנה ששמה לעצמה לא עשתה כלום </w:t>
      </w:r>
      <w:r>
        <w:rPr>
          <w:rFonts w:cs="Arial" w:hint="cs"/>
          <w:sz w:val="16"/>
          <w:szCs w:val="16"/>
          <w:rtl/>
        </w:rPr>
        <w:t xml:space="preserve">- </w:t>
      </w:r>
      <w:r w:rsidRPr="00653EE7">
        <w:rPr>
          <w:rFonts w:cs="Arial"/>
          <w:sz w:val="16"/>
          <w:szCs w:val="16"/>
          <w:rtl/>
        </w:rPr>
        <w:t>דוקא בינה לבין עצמה</w:t>
      </w:r>
      <w:r w:rsidRPr="00653EE7">
        <w:rPr>
          <w:rFonts w:cs="Arial" w:hint="cs"/>
          <w:sz w:val="16"/>
          <w:szCs w:val="16"/>
          <w:rtl/>
        </w:rPr>
        <w:t>,</w:t>
      </w:r>
      <w:r w:rsidRPr="00653EE7">
        <w:rPr>
          <w:rFonts w:cs="Arial"/>
          <w:sz w:val="16"/>
          <w:szCs w:val="16"/>
          <w:rtl/>
        </w:rPr>
        <w:t xml:space="preserve"> אבל בבית דין הדיוטות </w:t>
      </w:r>
      <w:r>
        <w:rPr>
          <w:rFonts w:cs="Arial" w:hint="cs"/>
          <w:sz w:val="16"/>
          <w:szCs w:val="16"/>
          <w:rtl/>
        </w:rPr>
        <w:t xml:space="preserve">- </w:t>
      </w:r>
      <w:r w:rsidRPr="00653EE7">
        <w:rPr>
          <w:rFonts w:cs="Arial"/>
          <w:sz w:val="16"/>
          <w:szCs w:val="16"/>
          <w:rtl/>
        </w:rPr>
        <w:t>יכולה לשום לעצמה</w:t>
      </w:r>
      <w:r w:rsidRPr="00653EE7">
        <w:rPr>
          <w:rFonts w:cs="Arial" w:hint="cs"/>
          <w:sz w:val="16"/>
          <w:szCs w:val="16"/>
          <w:rtl/>
        </w:rPr>
        <w:t>.</w:t>
      </w:r>
      <w:r w:rsidRPr="00653EE7">
        <w:rPr>
          <w:rFonts w:cs="Arial"/>
          <w:sz w:val="16"/>
          <w:szCs w:val="16"/>
          <w:rtl/>
        </w:rPr>
        <w:t xml:space="preserve"> וכן נראה דעת הרמב"ם בפי"ז מהלכות אישות (הי"ד)</w:t>
      </w:r>
      <w:r w:rsidRPr="00653EE7">
        <w:rPr>
          <w:rFonts w:cs="Arial" w:hint="cs"/>
          <w:sz w:val="16"/>
          <w:szCs w:val="16"/>
          <w:rtl/>
        </w:rPr>
        <w:t>.</w:t>
      </w:r>
      <w:r w:rsidRPr="00653EE7">
        <w:rPr>
          <w:rFonts w:cs="Arial"/>
          <w:sz w:val="16"/>
          <w:szCs w:val="16"/>
          <w:rtl/>
        </w:rPr>
        <w:t xml:space="preserve"> ולפי זה אפילו בלא ב"ד הדיוטות אם שמה לאחרים</w:t>
      </w:r>
      <w:r w:rsidRPr="00653EE7">
        <w:rPr>
          <w:rFonts w:cs="Arial" w:hint="cs"/>
          <w:sz w:val="16"/>
          <w:szCs w:val="16"/>
          <w:rtl/>
        </w:rPr>
        <w:t>,</w:t>
      </w:r>
      <w:r w:rsidRPr="00653EE7">
        <w:rPr>
          <w:rFonts w:cs="Arial"/>
          <w:sz w:val="16"/>
          <w:szCs w:val="16"/>
          <w:rtl/>
        </w:rPr>
        <w:t xml:space="preserve"> בדיעבד מכרה קיים</w:t>
      </w:r>
      <w:r w:rsidRPr="00653EE7">
        <w:rPr>
          <w:rFonts w:cs="Arial" w:hint="cs"/>
          <w:sz w:val="16"/>
          <w:szCs w:val="16"/>
          <w:rtl/>
        </w:rPr>
        <w:t>.</w:t>
      </w:r>
      <w:r w:rsidRPr="00653EE7">
        <w:rPr>
          <w:rFonts w:cs="Arial"/>
          <w:sz w:val="16"/>
          <w:szCs w:val="16"/>
          <w:rtl/>
        </w:rPr>
        <w:t xml:space="preserve"> אבל אחרים אומרים דשמה לעצמה </w:t>
      </w:r>
      <w:r>
        <w:rPr>
          <w:rFonts w:cs="Arial" w:hint="cs"/>
          <w:sz w:val="16"/>
          <w:szCs w:val="16"/>
          <w:rtl/>
        </w:rPr>
        <w:t xml:space="preserve">- </w:t>
      </w:r>
      <w:r w:rsidRPr="00653EE7">
        <w:rPr>
          <w:rFonts w:cs="Arial"/>
          <w:sz w:val="16"/>
          <w:szCs w:val="16"/>
          <w:rtl/>
        </w:rPr>
        <w:t>היינו בבית דין הדיוטות</w:t>
      </w:r>
      <w:r w:rsidRPr="00653EE7">
        <w:rPr>
          <w:rFonts w:cs="Arial" w:hint="cs"/>
          <w:sz w:val="16"/>
          <w:szCs w:val="16"/>
          <w:rtl/>
        </w:rPr>
        <w:t>,</w:t>
      </w:r>
      <w:r w:rsidRPr="00653EE7">
        <w:rPr>
          <w:rFonts w:cs="Arial"/>
          <w:sz w:val="16"/>
          <w:szCs w:val="16"/>
          <w:rtl/>
        </w:rPr>
        <w:t xml:space="preserve"> שכל שאין שם בית דין מומחין שמה לעצמה איקרי</w:t>
      </w:r>
      <w:r w:rsidRPr="00653EE7">
        <w:rPr>
          <w:rFonts w:cs="Arial" w:hint="cs"/>
          <w:sz w:val="16"/>
          <w:szCs w:val="16"/>
          <w:rtl/>
        </w:rPr>
        <w:t>.</w:t>
      </w:r>
      <w:r w:rsidRPr="00653EE7">
        <w:rPr>
          <w:rFonts w:cs="Arial"/>
          <w:sz w:val="16"/>
          <w:szCs w:val="16"/>
          <w:rtl/>
        </w:rPr>
        <w:t xml:space="preserve"> וכ"ת כיון שיש שם בית דין אמאי לא עשתה כלום</w:t>
      </w:r>
      <w:r w:rsidRPr="00653EE7">
        <w:rPr>
          <w:rFonts w:cs="Arial" w:hint="cs"/>
          <w:sz w:val="16"/>
          <w:szCs w:val="16"/>
          <w:rtl/>
        </w:rPr>
        <w:t>,</w:t>
      </w:r>
      <w:r w:rsidRPr="00653EE7">
        <w:rPr>
          <w:rFonts w:cs="Arial"/>
          <w:sz w:val="16"/>
          <w:szCs w:val="16"/>
          <w:rtl/>
        </w:rPr>
        <w:t xml:space="preserve"> י"ל לפי שאלו אינם אלא שמאים בעלמא</w:t>
      </w:r>
      <w:r w:rsidRPr="00653EE7">
        <w:rPr>
          <w:rFonts w:cs="Arial" w:hint="cs"/>
          <w:sz w:val="16"/>
          <w:szCs w:val="16"/>
          <w:rtl/>
        </w:rPr>
        <w:t>.</w:t>
      </w:r>
      <w:r w:rsidRPr="00653EE7">
        <w:rPr>
          <w:rFonts w:cs="Arial"/>
          <w:sz w:val="16"/>
          <w:szCs w:val="16"/>
          <w:rtl/>
        </w:rPr>
        <w:t xml:space="preserve"> שאילו היה שם בית דין חשוב היתה יכולה לשום לעצמה</w:t>
      </w:r>
      <w:r w:rsidRPr="00653EE7">
        <w:rPr>
          <w:rFonts w:cs="Arial" w:hint="cs"/>
          <w:sz w:val="16"/>
          <w:szCs w:val="16"/>
          <w:rtl/>
        </w:rPr>
        <w:t>,</w:t>
      </w:r>
      <w:r w:rsidRPr="00653EE7">
        <w:rPr>
          <w:rFonts w:cs="Arial"/>
          <w:sz w:val="16"/>
          <w:szCs w:val="16"/>
          <w:rtl/>
        </w:rPr>
        <w:t xml:space="preserve"> לפי שהבית דין אביהם של יתומים והם עומדים במקומם</w:t>
      </w:r>
      <w:r w:rsidRPr="00653EE7">
        <w:rPr>
          <w:rFonts w:cs="Arial" w:hint="cs"/>
          <w:sz w:val="16"/>
          <w:szCs w:val="16"/>
          <w:rtl/>
        </w:rPr>
        <w:t>,</w:t>
      </w:r>
      <w:r w:rsidRPr="00653EE7">
        <w:rPr>
          <w:rFonts w:cs="Arial"/>
          <w:sz w:val="16"/>
          <w:szCs w:val="16"/>
          <w:rtl/>
        </w:rPr>
        <w:t xml:space="preserve"> והאלמנה כאחר בעלמא ויכולה לקנות מיד בית דין</w:t>
      </w:r>
      <w:r w:rsidRPr="00653EE7">
        <w:rPr>
          <w:rFonts w:cs="Arial" w:hint="cs"/>
          <w:sz w:val="16"/>
          <w:szCs w:val="16"/>
          <w:rtl/>
        </w:rPr>
        <w:t>.</w:t>
      </w:r>
      <w:r w:rsidRPr="00653EE7">
        <w:rPr>
          <w:rFonts w:cs="Arial"/>
          <w:sz w:val="16"/>
          <w:szCs w:val="16"/>
          <w:rtl/>
        </w:rPr>
        <w:t xml:space="preserve"> אבל כיון שאלו אינם אלא שמאים בעלמא ה"ל אלמנה זו כשליח היתומים</w:t>
      </w:r>
      <w:r w:rsidRPr="00653EE7">
        <w:rPr>
          <w:rFonts w:cs="Arial" w:hint="cs"/>
          <w:sz w:val="16"/>
          <w:szCs w:val="16"/>
          <w:rtl/>
        </w:rPr>
        <w:t>,</w:t>
      </w:r>
      <w:r w:rsidRPr="00653EE7">
        <w:rPr>
          <w:rFonts w:cs="Arial"/>
          <w:sz w:val="16"/>
          <w:szCs w:val="16"/>
          <w:rtl/>
        </w:rPr>
        <w:t xml:space="preserve"> ואינה יכולה לשום לעצמה</w:t>
      </w:r>
      <w:r w:rsidRPr="00653EE7">
        <w:rPr>
          <w:rFonts w:cs="Arial" w:hint="cs"/>
          <w:sz w:val="16"/>
          <w:szCs w:val="16"/>
          <w:rtl/>
        </w:rPr>
        <w:t>,</w:t>
      </w:r>
      <w:r w:rsidRPr="00653EE7">
        <w:rPr>
          <w:rFonts w:cs="Arial"/>
          <w:sz w:val="16"/>
          <w:szCs w:val="16"/>
          <w:rtl/>
        </w:rPr>
        <w:t xml:space="preserve"> שכך הדין בשליח אחר כדמוכח בעובדא דכסיתא דיתמי דאיתא בגמרא </w:t>
      </w:r>
      <w:r w:rsidRPr="00653EE7">
        <w:rPr>
          <w:rFonts w:cs="Arial" w:hint="cs"/>
          <w:sz w:val="14"/>
          <w:szCs w:val="14"/>
          <w:rtl/>
        </w:rPr>
        <w:t>[</w:t>
      </w:r>
      <w:r w:rsidRPr="00653EE7">
        <w:rPr>
          <w:rFonts w:cs="Arial"/>
          <w:sz w:val="14"/>
          <w:szCs w:val="14"/>
          <w:rtl/>
        </w:rPr>
        <w:t>עכ</w:t>
      </w:r>
      <w:r w:rsidRPr="00653EE7">
        <w:rPr>
          <w:rFonts w:cs="Arial" w:hint="cs"/>
          <w:sz w:val="14"/>
          <w:szCs w:val="14"/>
          <w:rtl/>
        </w:rPr>
        <w:t>"ל הר"ן]</w:t>
      </w:r>
      <w:r>
        <w:rPr>
          <w:rFonts w:cs="Arial" w:hint="cs"/>
          <w:sz w:val="16"/>
          <w:szCs w:val="16"/>
          <w:rtl/>
        </w:rPr>
        <w:t>.</w:t>
      </w:r>
      <w:r>
        <w:rPr>
          <w:rFonts w:cs="Arial"/>
          <w:sz w:val="16"/>
          <w:szCs w:val="16"/>
        </w:rPr>
        <w:t xml:space="preserve"> </w:t>
      </w:r>
      <w:r w:rsidRPr="00653EE7">
        <w:rPr>
          <w:rFonts w:cs="Arial"/>
          <w:sz w:val="16"/>
          <w:szCs w:val="16"/>
          <w:rtl/>
        </w:rPr>
        <w:t>וה</w:t>
      </w:r>
      <w:r>
        <w:rPr>
          <w:rFonts w:cs="Arial" w:hint="cs"/>
          <w:sz w:val="16"/>
          <w:szCs w:val="16"/>
          <w:rtl/>
        </w:rPr>
        <w:t>ה"מ</w:t>
      </w:r>
      <w:r w:rsidRPr="00653EE7">
        <w:rPr>
          <w:rFonts w:cs="Arial"/>
          <w:sz w:val="16"/>
          <w:szCs w:val="16"/>
          <w:rtl/>
        </w:rPr>
        <w:t xml:space="preserve"> בפי"ז מהל</w:t>
      </w:r>
      <w:r>
        <w:rPr>
          <w:rFonts w:cs="Arial" w:hint="cs"/>
          <w:sz w:val="16"/>
          <w:szCs w:val="16"/>
          <w:rtl/>
        </w:rPr>
        <w:t>'</w:t>
      </w:r>
      <w:r w:rsidRPr="00653EE7">
        <w:rPr>
          <w:rFonts w:cs="Arial"/>
          <w:sz w:val="16"/>
          <w:szCs w:val="16"/>
          <w:rtl/>
        </w:rPr>
        <w:t xml:space="preserve"> אישות (שם) כתב שתי סברות אלו וכתב שדעת קצת מפרשים כדעת הרמב"ם</w:t>
      </w:r>
      <w:r>
        <w:rPr>
          <w:rFonts w:cs="Arial" w:hint="cs"/>
          <w:sz w:val="16"/>
          <w:szCs w:val="16"/>
          <w:rtl/>
        </w:rPr>
        <w:t>, ב"י)</w:t>
      </w:r>
    </w:p>
    <w:p w14:paraId="57AD21CA" w14:textId="77777777" w:rsidR="002E5BAD" w:rsidRPr="00100346" w:rsidRDefault="002E5BAD" w:rsidP="002E5BAD">
      <w:pPr>
        <w:rPr>
          <w:u w:val="single"/>
          <w:rtl/>
        </w:rPr>
      </w:pPr>
      <w:r w:rsidRPr="00100346">
        <w:rPr>
          <w:rFonts w:hint="cs"/>
          <w:u w:val="single"/>
          <w:rtl/>
        </w:rPr>
        <w:t>אלמנה שמכרה לעצמה מנכסי בעלה - ושמה בעצמה או ע"י ג' הדיוטות:</w:t>
      </w:r>
    </w:p>
    <w:p w14:paraId="27F61435" w14:textId="77777777" w:rsidR="002E5BAD" w:rsidRDefault="002E5BAD" w:rsidP="00B75458">
      <w:pPr>
        <w:pStyle w:val="ab"/>
        <w:numPr>
          <w:ilvl w:val="0"/>
          <w:numId w:val="192"/>
        </w:numPr>
      </w:pPr>
      <w:r>
        <w:rPr>
          <w:rFonts w:cs="Arial" w:hint="cs"/>
          <w:rtl/>
        </w:rPr>
        <w:t xml:space="preserve">רא"ש </w:t>
      </w:r>
      <w:r w:rsidRPr="00653EE7">
        <w:rPr>
          <w:rFonts w:cs="Arial"/>
          <w:sz w:val="16"/>
          <w:szCs w:val="16"/>
          <w:rtl/>
        </w:rPr>
        <w:t>(פי"א סי' יג)</w:t>
      </w:r>
      <w:r>
        <w:rPr>
          <w:rFonts w:cs="Arial" w:hint="cs"/>
          <w:sz w:val="16"/>
          <w:szCs w:val="16"/>
          <w:rtl/>
        </w:rPr>
        <w:t xml:space="preserve"> </w:t>
      </w:r>
      <w:r>
        <w:rPr>
          <w:rFonts w:cs="Arial" w:hint="cs"/>
          <w:rtl/>
        </w:rPr>
        <w:t xml:space="preserve">וטור- </w:t>
      </w:r>
      <w:r w:rsidRPr="00031435">
        <w:rPr>
          <w:rFonts w:cs="Arial"/>
          <w:rtl/>
        </w:rPr>
        <w:t>ואם לקחה לעצמה אינו כלום</w:t>
      </w:r>
      <w:r>
        <w:rPr>
          <w:rFonts w:cs="Arial" w:hint="cs"/>
          <w:rtl/>
        </w:rPr>
        <w:t>,</w:t>
      </w:r>
      <w:r w:rsidRPr="00031435">
        <w:rPr>
          <w:rFonts w:cs="Arial"/>
          <w:rtl/>
        </w:rPr>
        <w:t xml:space="preserve"> אע</w:t>
      </w:r>
      <w:r>
        <w:rPr>
          <w:rFonts w:cs="Arial" w:hint="cs"/>
          <w:rtl/>
        </w:rPr>
        <w:t>"</w:t>
      </w:r>
      <w:r w:rsidRPr="00031435">
        <w:rPr>
          <w:rFonts w:cs="Arial"/>
          <w:rtl/>
        </w:rPr>
        <w:t>פ ששמוה שלשה הדיוטות</w:t>
      </w:r>
      <w:r>
        <w:rPr>
          <w:rFonts w:cs="Arial" w:hint="cs"/>
          <w:rtl/>
        </w:rPr>
        <w:t>,</w:t>
      </w:r>
      <w:r w:rsidRPr="00031435">
        <w:rPr>
          <w:rFonts w:cs="Arial"/>
          <w:rtl/>
        </w:rPr>
        <w:t xml:space="preserve"> אלא צריכה להחזיר ליתומים אפילו אם הכריזה</w:t>
      </w:r>
      <w:r>
        <w:rPr>
          <w:rFonts w:cs="Arial" w:hint="cs"/>
          <w:sz w:val="16"/>
          <w:szCs w:val="16"/>
          <w:rtl/>
        </w:rPr>
        <w:t xml:space="preserve"> (ל' הטור)</w:t>
      </w:r>
      <w:r>
        <w:rPr>
          <w:rFonts w:cs="Arial" w:hint="cs"/>
          <w:rtl/>
        </w:rPr>
        <w:t>.</w:t>
      </w:r>
      <w:r w:rsidRPr="00031435">
        <w:rPr>
          <w:rFonts w:cs="Arial"/>
          <w:rtl/>
        </w:rPr>
        <w:t xml:space="preserve"> </w:t>
      </w:r>
    </w:p>
    <w:p w14:paraId="2671F638" w14:textId="77777777" w:rsidR="002E5BAD" w:rsidRDefault="002E5BAD" w:rsidP="00B75458">
      <w:pPr>
        <w:pStyle w:val="ab"/>
        <w:numPr>
          <w:ilvl w:val="0"/>
          <w:numId w:val="192"/>
        </w:numPr>
      </w:pPr>
      <w:r>
        <w:rPr>
          <w:rFonts w:cs="Arial" w:hint="cs"/>
          <w:rtl/>
        </w:rPr>
        <w:t xml:space="preserve">רמב"ם </w:t>
      </w:r>
      <w:r>
        <w:rPr>
          <w:rFonts w:cs="Arial" w:hint="cs"/>
          <w:sz w:val="16"/>
          <w:szCs w:val="16"/>
          <w:rtl/>
        </w:rPr>
        <w:t>(פי"ז הי"ד)</w:t>
      </w:r>
      <w:r>
        <w:rPr>
          <w:rFonts w:cs="Arial" w:hint="cs"/>
          <w:rtl/>
        </w:rPr>
        <w:t xml:space="preserve">- </w:t>
      </w:r>
      <w:r w:rsidRPr="00653EE7">
        <w:rPr>
          <w:rFonts w:cs="Arial"/>
          <w:rtl/>
        </w:rPr>
        <w:t>אלמנה שמכרה קרקע בכתובתה בינה לבין עצמה</w:t>
      </w:r>
      <w:r>
        <w:rPr>
          <w:rFonts w:cs="Arial" w:hint="cs"/>
          <w:rtl/>
        </w:rPr>
        <w:t>...</w:t>
      </w:r>
      <w:r w:rsidRPr="00653EE7">
        <w:rPr>
          <w:rFonts w:cs="Arial"/>
          <w:rtl/>
        </w:rPr>
        <w:t xml:space="preserve"> אם שמה לעצמה </w:t>
      </w:r>
      <w:r>
        <w:rPr>
          <w:rFonts w:cs="Arial" w:hint="cs"/>
          <w:rtl/>
        </w:rPr>
        <w:t xml:space="preserve">- </w:t>
      </w:r>
      <w:r w:rsidRPr="00653EE7">
        <w:rPr>
          <w:rFonts w:cs="Arial"/>
          <w:rtl/>
        </w:rPr>
        <w:t>לא עשת כלום ואפילו הכריזה</w:t>
      </w:r>
      <w:r>
        <w:rPr>
          <w:rFonts w:hint="cs"/>
          <w:sz w:val="16"/>
          <w:szCs w:val="16"/>
          <w:rtl/>
        </w:rPr>
        <w:t xml:space="preserve"> (ל' הרמב"ם)</w:t>
      </w:r>
      <w:r>
        <w:rPr>
          <w:rFonts w:hint="cs"/>
          <w:rtl/>
        </w:rPr>
        <w:t>.</w:t>
      </w:r>
      <w:r w:rsidRPr="00653EE7">
        <w:rPr>
          <w:rFonts w:cs="Arial"/>
          <w:sz w:val="16"/>
          <w:szCs w:val="16"/>
          <w:rtl/>
        </w:rPr>
        <w:t xml:space="preserve"> </w:t>
      </w:r>
      <w:r w:rsidRPr="00653EE7">
        <w:rPr>
          <w:rtl/>
        </w:rPr>
        <w:t xml:space="preserve">אבל בבית דין הדיוטות </w:t>
      </w:r>
      <w:r w:rsidRPr="00653EE7">
        <w:rPr>
          <w:rFonts w:hint="cs"/>
          <w:rtl/>
        </w:rPr>
        <w:t xml:space="preserve">- </w:t>
      </w:r>
      <w:r w:rsidRPr="00653EE7">
        <w:rPr>
          <w:rtl/>
        </w:rPr>
        <w:t>יכולה לשום לעצמה</w:t>
      </w:r>
      <w:r>
        <w:rPr>
          <w:rFonts w:hint="cs"/>
          <w:sz w:val="16"/>
          <w:szCs w:val="16"/>
          <w:rtl/>
        </w:rPr>
        <w:t xml:space="preserve"> (ל' הר"ן בשמו)</w:t>
      </w:r>
      <w:r>
        <w:rPr>
          <w:rFonts w:hint="cs"/>
          <w:rtl/>
        </w:rPr>
        <w:t xml:space="preserve">. </w:t>
      </w:r>
      <w:r w:rsidRPr="00BF2D6B">
        <w:rPr>
          <w:rFonts w:hint="cs"/>
          <w:color w:val="E36C0A" w:themeColor="accent6" w:themeShade="BF"/>
          <w:rtl/>
        </w:rPr>
        <w:t>(וכ"פ בשו"ע)</w:t>
      </w:r>
    </w:p>
    <w:p w14:paraId="7CFF8853" w14:textId="77777777" w:rsidR="002E5BAD" w:rsidRPr="00EC2DBD" w:rsidRDefault="002E5BAD" w:rsidP="002E5BAD">
      <w:pPr>
        <w:rPr>
          <w:rFonts w:cs="Arial"/>
          <w:rtl/>
        </w:rPr>
      </w:pPr>
      <w:r w:rsidRPr="00EC2DBD">
        <w:rPr>
          <w:rFonts w:hint="cs"/>
          <w:b/>
          <w:bCs/>
          <w:rtl/>
        </w:rPr>
        <w:lastRenderedPageBreak/>
        <w:t xml:space="preserve">כתובות </w:t>
      </w:r>
      <w:r w:rsidRPr="00EC2DBD">
        <w:rPr>
          <w:rFonts w:hint="cs"/>
          <w:b/>
          <w:bCs/>
          <w:sz w:val="16"/>
          <w:szCs w:val="16"/>
          <w:rtl/>
        </w:rPr>
        <w:t xml:space="preserve">(פ' אלמנה נזונת) </w:t>
      </w:r>
      <w:r w:rsidRPr="00EC2DBD">
        <w:rPr>
          <w:rFonts w:hint="cs"/>
          <w:b/>
          <w:bCs/>
          <w:rtl/>
        </w:rPr>
        <w:t xml:space="preserve">צז ע"ב: </w:t>
      </w:r>
      <w:r w:rsidRPr="00EC2DBD">
        <w:rPr>
          <w:rFonts w:cs="Arial"/>
          <w:u w:val="double"/>
          <w:rtl/>
        </w:rPr>
        <w:t>מתני'</w:t>
      </w:r>
      <w:r w:rsidRPr="00EC2DBD">
        <w:rPr>
          <w:rFonts w:cs="Arial" w:hint="cs"/>
          <w:rtl/>
        </w:rPr>
        <w:t>:...</w:t>
      </w:r>
      <w:r w:rsidRPr="00EC2DBD">
        <w:rPr>
          <w:rFonts w:cs="Arial"/>
          <w:rtl/>
        </w:rPr>
        <w:t xml:space="preserve"> ומוכרת למזונות שלא בבית דין וכותבת למזונות מכרתי</w:t>
      </w:r>
      <w:r w:rsidRPr="00EC2DBD">
        <w:rPr>
          <w:rFonts w:cs="Arial" w:hint="cs"/>
          <w:rtl/>
        </w:rPr>
        <w:t>...</w:t>
      </w:r>
    </w:p>
    <w:p w14:paraId="721DCB04" w14:textId="77777777" w:rsidR="002E5BAD" w:rsidRDefault="002E5BAD" w:rsidP="002E5BAD">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ו</w:t>
      </w:r>
      <w:r w:rsidRPr="009E1CA8">
        <w:rPr>
          <w:rFonts w:hint="cs"/>
          <w:b/>
          <w:bCs/>
          <w:rtl/>
        </w:rPr>
        <w:t xml:space="preserve"> ע"</w:t>
      </w:r>
      <w:r>
        <w:rPr>
          <w:rFonts w:hint="cs"/>
          <w:b/>
          <w:bCs/>
          <w:rtl/>
        </w:rPr>
        <w:t>ב</w:t>
      </w:r>
      <w:r w:rsidRPr="009E1CA8">
        <w:rPr>
          <w:rFonts w:hint="cs"/>
          <w:b/>
          <w:bCs/>
          <w:rtl/>
        </w:rPr>
        <w:t>:</w:t>
      </w:r>
      <w:r>
        <w:rPr>
          <w:rFonts w:cs="Arial" w:hint="cs"/>
          <w:rtl/>
        </w:rPr>
        <w:t xml:space="preserve"> </w:t>
      </w:r>
      <w:r>
        <w:rPr>
          <w:rFonts w:cs="Arial" w:hint="cs"/>
          <w:u w:val="single"/>
          <w:rtl/>
        </w:rPr>
        <w:t>א</w:t>
      </w:r>
      <w:r w:rsidRPr="00E563D2">
        <w:rPr>
          <w:rFonts w:cs="Arial"/>
          <w:u w:val="single"/>
          <w:rtl/>
        </w:rPr>
        <w:t>"ר שימי בר אשי</w:t>
      </w:r>
      <w:r>
        <w:rPr>
          <w:rFonts w:cs="Arial" w:hint="cs"/>
          <w:rtl/>
        </w:rPr>
        <w:t>:</w:t>
      </w:r>
      <w:r w:rsidRPr="00E563D2">
        <w:rPr>
          <w:rFonts w:cs="Arial"/>
          <w:rtl/>
        </w:rPr>
        <w:t xml:space="preserve"> כתנאי</w:t>
      </w:r>
      <w:r>
        <w:rPr>
          <w:rFonts w:cs="Arial" w:hint="cs"/>
          <w:rtl/>
        </w:rPr>
        <w:t>,</w:t>
      </w:r>
      <w:r w:rsidRPr="00E563D2">
        <w:rPr>
          <w:rFonts w:cs="Arial"/>
          <w:rtl/>
        </w:rPr>
        <w:t xml:space="preserve"> מוכרת וכותבת אלו למזונות מכרתי ואלו לכתובה מכרתי, </w:t>
      </w:r>
      <w:r w:rsidRPr="00E563D2">
        <w:rPr>
          <w:rFonts w:cs="Arial"/>
          <w:u w:val="single"/>
          <w:rtl/>
        </w:rPr>
        <w:t>דברי רבי יהודה</w:t>
      </w:r>
      <w:r>
        <w:rPr>
          <w:rFonts w:cs="Arial" w:hint="cs"/>
          <w:rtl/>
        </w:rPr>
        <w:t>.</w:t>
      </w:r>
      <w:r w:rsidRPr="00E563D2">
        <w:rPr>
          <w:rFonts w:cs="Arial"/>
          <w:rtl/>
        </w:rPr>
        <w:t xml:space="preserve"> </w:t>
      </w:r>
      <w:r w:rsidRPr="00E563D2">
        <w:rPr>
          <w:rFonts w:cs="Arial"/>
          <w:u w:val="single"/>
          <w:rtl/>
        </w:rPr>
        <w:t>ר' יוסי אומר</w:t>
      </w:r>
      <w:r w:rsidRPr="00E563D2">
        <w:rPr>
          <w:rFonts w:cs="Arial"/>
          <w:rtl/>
        </w:rPr>
        <w:t>: מוכרת וכותבת סתם, וכן כחה יפה</w:t>
      </w:r>
      <w:r>
        <w:rPr>
          <w:rStyle w:val="a7"/>
          <w:rFonts w:cs="Arial"/>
          <w:rtl/>
        </w:rPr>
        <w:footnoteReference w:id="2664"/>
      </w:r>
      <w:r>
        <w:rPr>
          <w:rFonts w:cs="Arial" w:hint="cs"/>
          <w:rtl/>
        </w:rPr>
        <w:t>...</w:t>
      </w:r>
      <w:r w:rsidRPr="00E563D2">
        <w:rPr>
          <w:rFonts w:cs="Arial"/>
          <w:rtl/>
        </w:rPr>
        <w:t xml:space="preserve"> ורבי יהודה עצה טובה קמ"ל, דלא ליקרו לה רעבתנותא</w:t>
      </w:r>
      <w:r>
        <w:rPr>
          <w:rFonts w:cs="Arial" w:hint="cs"/>
          <w:rtl/>
        </w:rPr>
        <w:t>.</w:t>
      </w:r>
      <w:r>
        <w:rPr>
          <w:rFonts w:hint="cs"/>
          <w:rtl/>
        </w:rPr>
        <w:t>..</w:t>
      </w:r>
      <w:r w:rsidRPr="00F431A6">
        <w:rPr>
          <w:rtl/>
        </w:rPr>
        <w:t xml:space="preserve"> </w:t>
      </w:r>
      <w:r>
        <w:rPr>
          <w:rFonts w:cs="Arial" w:hint="cs"/>
          <w:sz w:val="16"/>
          <w:szCs w:val="16"/>
          <w:rtl/>
        </w:rPr>
        <w:t xml:space="preserve">{והכי פירוש דברי ה-} </w:t>
      </w:r>
      <w:r w:rsidRPr="00F431A6">
        <w:rPr>
          <w:rFonts w:cs="Arial"/>
          <w:rtl/>
        </w:rPr>
        <w:t>מתני': מוכרת למזונות שלא בבית דין, וכותבת אלו למזונות מכרתי</w:t>
      </w:r>
      <w:r>
        <w:rPr>
          <w:rFonts w:cs="Arial" w:hint="cs"/>
          <w:rtl/>
        </w:rPr>
        <w:t>...</w:t>
      </w:r>
      <w:r w:rsidRPr="00F431A6">
        <w:rPr>
          <w:rFonts w:cs="Arial"/>
          <w:rtl/>
        </w:rPr>
        <w:t xml:space="preserve"> דעצה טובה קמ"ל</w:t>
      </w:r>
      <w:r>
        <w:rPr>
          <w:rFonts w:cs="Arial" w:hint="cs"/>
          <w:rtl/>
        </w:rPr>
        <w:t>.</w:t>
      </w:r>
    </w:p>
    <w:p w14:paraId="7C0243D2" w14:textId="77777777" w:rsidR="002E5BAD" w:rsidRDefault="002E5BAD" w:rsidP="002E5BAD">
      <w:pPr>
        <w:rPr>
          <w:rtl/>
        </w:rPr>
      </w:pPr>
      <w:r>
        <w:rPr>
          <w:rFonts w:cs="Arial" w:hint="cs"/>
          <w:b/>
          <w:bCs/>
          <w:rtl/>
        </w:rPr>
        <w:t>ירושלמי כתובות פי"א ה"ג:</w:t>
      </w:r>
      <w:r>
        <w:rPr>
          <w:rFonts w:cs="Arial" w:hint="cs"/>
          <w:rtl/>
        </w:rPr>
        <w:t xml:space="preserve"> </w:t>
      </w:r>
      <w:r w:rsidRPr="00E4440F">
        <w:rPr>
          <w:rFonts w:cs="Arial"/>
          <w:rtl/>
        </w:rPr>
        <w:t>תני</w:t>
      </w:r>
      <w:r>
        <w:rPr>
          <w:rFonts w:cs="Arial" w:hint="cs"/>
          <w:rtl/>
        </w:rPr>
        <w:t>:</w:t>
      </w:r>
      <w:r w:rsidRPr="00E4440F">
        <w:rPr>
          <w:rFonts w:cs="Arial"/>
          <w:rtl/>
        </w:rPr>
        <w:t xml:space="preserve"> מוכרת וכותבת אילו לכתובתה ואילו למזונות</w:t>
      </w:r>
      <w:r>
        <w:rPr>
          <w:rFonts w:cs="Arial" w:hint="cs"/>
          <w:rtl/>
        </w:rPr>
        <w:t>,</w:t>
      </w:r>
      <w:r w:rsidRPr="00E4440F">
        <w:rPr>
          <w:rFonts w:cs="Arial"/>
          <w:rtl/>
        </w:rPr>
        <w:t xml:space="preserve"> </w:t>
      </w:r>
      <w:r w:rsidRPr="002D6F19">
        <w:rPr>
          <w:rFonts w:cs="Arial"/>
          <w:u w:val="single"/>
          <w:rtl/>
        </w:rPr>
        <w:t>ד"ר יהודה</w:t>
      </w:r>
      <w:r>
        <w:rPr>
          <w:rFonts w:cs="Arial" w:hint="cs"/>
          <w:rtl/>
        </w:rPr>
        <w:t>.</w:t>
      </w:r>
      <w:r w:rsidRPr="00E4440F">
        <w:rPr>
          <w:rFonts w:cs="Arial"/>
          <w:rtl/>
        </w:rPr>
        <w:t xml:space="preserve"> </w:t>
      </w:r>
      <w:r w:rsidRPr="002D6F19">
        <w:rPr>
          <w:rFonts w:cs="Arial"/>
          <w:u w:val="single"/>
          <w:rtl/>
        </w:rPr>
        <w:t>ר' יוסי אומר</w:t>
      </w:r>
      <w:r>
        <w:rPr>
          <w:rFonts w:cs="Arial" w:hint="cs"/>
          <w:rtl/>
        </w:rPr>
        <w:t>:</w:t>
      </w:r>
      <w:r w:rsidRPr="00E4440F">
        <w:rPr>
          <w:rFonts w:cs="Arial"/>
          <w:rtl/>
        </w:rPr>
        <w:t xml:space="preserve"> מוכרת וכותבת סתם</w:t>
      </w:r>
      <w:r>
        <w:rPr>
          <w:rFonts w:cs="Arial" w:hint="cs"/>
          <w:rtl/>
        </w:rPr>
        <w:t>,</w:t>
      </w:r>
      <w:r w:rsidRPr="00E4440F">
        <w:rPr>
          <w:rFonts w:cs="Arial"/>
          <w:rtl/>
        </w:rPr>
        <w:t xml:space="preserve"> ובזו כחה מיופה</w:t>
      </w:r>
      <w:r>
        <w:rPr>
          <w:rFonts w:cs="Arial" w:hint="cs"/>
          <w:rtl/>
        </w:rPr>
        <w:t>,</w:t>
      </w:r>
      <w:r w:rsidRPr="00E4440F">
        <w:rPr>
          <w:rFonts w:cs="Arial"/>
          <w:rtl/>
        </w:rPr>
        <w:t xml:space="preserve"> באת מלוה בעדים </w:t>
      </w:r>
      <w:r>
        <w:rPr>
          <w:rFonts w:cs="Arial" w:hint="cs"/>
          <w:rtl/>
        </w:rPr>
        <w:t xml:space="preserve">- </w:t>
      </w:r>
      <w:r w:rsidRPr="00E4440F">
        <w:rPr>
          <w:rFonts w:cs="Arial"/>
          <w:rtl/>
        </w:rPr>
        <w:t>אומרת למזונות מכרתי</w:t>
      </w:r>
      <w:r>
        <w:rPr>
          <w:rFonts w:cs="Arial" w:hint="cs"/>
          <w:rtl/>
        </w:rPr>
        <w:t>.</w:t>
      </w:r>
      <w:r w:rsidRPr="00E4440F">
        <w:rPr>
          <w:rFonts w:cs="Arial"/>
          <w:rtl/>
        </w:rPr>
        <w:t xml:space="preserve"> באת מלוה בשטר </w:t>
      </w:r>
      <w:r>
        <w:rPr>
          <w:rFonts w:cs="Arial" w:hint="cs"/>
          <w:rtl/>
        </w:rPr>
        <w:t xml:space="preserve">- </w:t>
      </w:r>
      <w:r w:rsidRPr="00E4440F">
        <w:rPr>
          <w:rFonts w:cs="Arial"/>
          <w:rtl/>
        </w:rPr>
        <w:t>אומרת לכתובה מכרתי</w:t>
      </w:r>
      <w:r>
        <w:rPr>
          <w:rFonts w:hint="cs"/>
          <w:rtl/>
        </w:rPr>
        <w:t>.</w:t>
      </w:r>
    </w:p>
    <w:p w14:paraId="7DF0DABA" w14:textId="77777777" w:rsidR="002E5BAD" w:rsidRPr="00100346" w:rsidRDefault="002E5BAD" w:rsidP="002E5BAD">
      <w:pPr>
        <w:rPr>
          <w:sz w:val="16"/>
          <w:szCs w:val="16"/>
          <w:u w:val="single"/>
        </w:rPr>
      </w:pPr>
      <w:r w:rsidRPr="00100346">
        <w:rPr>
          <w:rFonts w:hint="cs"/>
          <w:u w:val="single"/>
          <w:rtl/>
        </w:rPr>
        <w:t xml:space="preserve">עצה טובה לאלמנה לכתוב או </w:t>
      </w:r>
      <w:r>
        <w:rPr>
          <w:rFonts w:hint="cs"/>
          <w:u w:val="single"/>
          <w:rtl/>
        </w:rPr>
        <w:t xml:space="preserve">לא </w:t>
      </w:r>
      <w:r w:rsidRPr="00100346">
        <w:rPr>
          <w:rFonts w:hint="cs"/>
          <w:u w:val="single"/>
          <w:rtl/>
        </w:rPr>
        <w:t xml:space="preserve">לכתוב </w:t>
      </w:r>
      <w:r>
        <w:rPr>
          <w:rFonts w:hint="cs"/>
          <w:u w:val="single"/>
          <w:rtl/>
        </w:rPr>
        <w:t xml:space="preserve">על שטר המכירה </w:t>
      </w:r>
      <w:r w:rsidRPr="00100346">
        <w:rPr>
          <w:rFonts w:hint="cs"/>
          <w:u w:val="single"/>
          <w:rtl/>
        </w:rPr>
        <w:t>למה גבתה את הנכסים:</w:t>
      </w:r>
    </w:p>
    <w:p w14:paraId="1C041320" w14:textId="77777777" w:rsidR="002E5BAD" w:rsidRPr="00EC2DBD" w:rsidRDefault="002E5BAD" w:rsidP="00B75458">
      <w:pPr>
        <w:pStyle w:val="ab"/>
        <w:numPr>
          <w:ilvl w:val="0"/>
          <w:numId w:val="192"/>
        </w:numPr>
        <w:rPr>
          <w:rtl/>
        </w:rPr>
      </w:pPr>
      <w:r>
        <w:rPr>
          <w:rFonts w:cs="Arial" w:hint="cs"/>
          <w:rtl/>
        </w:rPr>
        <w:t xml:space="preserve">רא"ש </w:t>
      </w:r>
      <w:r w:rsidRPr="00653EE7">
        <w:rPr>
          <w:rFonts w:cs="Arial"/>
          <w:sz w:val="16"/>
          <w:szCs w:val="16"/>
          <w:rtl/>
        </w:rPr>
        <w:t>(פי"א סי' י</w:t>
      </w:r>
      <w:r>
        <w:rPr>
          <w:rFonts w:cs="Arial" w:hint="cs"/>
          <w:sz w:val="16"/>
          <w:szCs w:val="16"/>
          <w:rtl/>
        </w:rPr>
        <w:t>ב</w:t>
      </w:r>
      <w:r w:rsidRPr="00653EE7">
        <w:rPr>
          <w:rFonts w:cs="Arial"/>
          <w:sz w:val="16"/>
          <w:szCs w:val="16"/>
          <w:rtl/>
        </w:rPr>
        <w:t>)</w:t>
      </w:r>
      <w:r>
        <w:rPr>
          <w:rFonts w:cs="Arial" w:hint="cs"/>
          <w:sz w:val="16"/>
          <w:szCs w:val="16"/>
          <w:rtl/>
        </w:rPr>
        <w:t xml:space="preserve"> </w:t>
      </w:r>
      <w:r>
        <w:rPr>
          <w:rFonts w:cs="Arial" w:hint="cs"/>
          <w:rtl/>
        </w:rPr>
        <w:t xml:space="preserve">וטור- </w:t>
      </w:r>
      <w:r w:rsidRPr="00031435">
        <w:rPr>
          <w:rFonts w:cs="Arial"/>
          <w:rtl/>
        </w:rPr>
        <w:t>ועצה טובה היא לה שתפרש מה שמוכרת לצורך כתובתה</w:t>
      </w:r>
      <w:r>
        <w:rPr>
          <w:rFonts w:cs="Arial" w:hint="cs"/>
          <w:rtl/>
        </w:rPr>
        <w:t>,</w:t>
      </w:r>
      <w:r w:rsidRPr="00031435">
        <w:rPr>
          <w:rFonts w:cs="Arial"/>
          <w:rtl/>
        </w:rPr>
        <w:t xml:space="preserve"> שלא יאמרו שמוכרת הכל לצורך מזונותיה ויקראוה רעבתנית</w:t>
      </w:r>
      <w:r>
        <w:rPr>
          <w:rFonts w:cs="Arial" w:hint="cs"/>
          <w:rtl/>
        </w:rPr>
        <w:t>.</w:t>
      </w:r>
      <w:r w:rsidRPr="00031435">
        <w:rPr>
          <w:rFonts w:cs="Arial"/>
          <w:rtl/>
        </w:rPr>
        <w:t xml:space="preserve"> ואם אינה חוששת שיקראוה רעבתנית טוב לה שלא תפרש</w:t>
      </w:r>
      <w:r>
        <w:rPr>
          <w:rFonts w:cs="Arial" w:hint="cs"/>
          <w:rtl/>
        </w:rPr>
        <w:t>,</w:t>
      </w:r>
      <w:r w:rsidRPr="00031435">
        <w:rPr>
          <w:rFonts w:cs="Arial"/>
          <w:rtl/>
        </w:rPr>
        <w:t xml:space="preserve"> שאם יכלו הנכסים תאמר כל מה שמכרה הוא לצורך מזונות</w:t>
      </w:r>
      <w:r>
        <w:rPr>
          <w:rStyle w:val="a7"/>
          <w:rFonts w:cs="Arial"/>
          <w:rtl/>
        </w:rPr>
        <w:footnoteReference w:id="2665"/>
      </w:r>
      <w:r>
        <w:rPr>
          <w:rFonts w:cs="Arial" w:hint="cs"/>
          <w:rtl/>
        </w:rPr>
        <w:t>,</w:t>
      </w:r>
      <w:r w:rsidRPr="00031435">
        <w:rPr>
          <w:rFonts w:cs="Arial"/>
          <w:rtl/>
        </w:rPr>
        <w:t xml:space="preserve"> ותטרוף מהלקוחות שקנו מבעלה לצורך כתובתה</w:t>
      </w:r>
      <w:r>
        <w:rPr>
          <w:rFonts w:cs="Arial" w:hint="cs"/>
          <w:rtl/>
        </w:rPr>
        <w:t>.</w:t>
      </w:r>
      <w:r w:rsidRPr="00031435">
        <w:rPr>
          <w:rFonts w:cs="Arial"/>
          <w:rtl/>
        </w:rPr>
        <w:t xml:space="preserve"> אבל אם תפרש שמוכרת לצורך כתובתה</w:t>
      </w:r>
      <w:r>
        <w:rPr>
          <w:rFonts w:cs="Arial" w:hint="cs"/>
          <w:rtl/>
        </w:rPr>
        <w:t>,</w:t>
      </w:r>
      <w:r w:rsidRPr="00031435">
        <w:rPr>
          <w:rFonts w:cs="Arial"/>
          <w:rtl/>
        </w:rPr>
        <w:t xml:space="preserve"> לא תוכל לטרוף מהלקוחות מזונות</w:t>
      </w:r>
      <w:r>
        <w:rPr>
          <w:rFonts w:cs="Arial" w:hint="cs"/>
          <w:rtl/>
        </w:rPr>
        <w:t>.</w:t>
      </w:r>
      <w:r w:rsidRPr="00031435">
        <w:rPr>
          <w:rFonts w:cs="Arial"/>
          <w:rtl/>
        </w:rPr>
        <w:t xml:space="preserve"> ויש צד אחר שטוב לה יותר שלא תפרש</w:t>
      </w:r>
      <w:r>
        <w:rPr>
          <w:rFonts w:cs="Arial" w:hint="cs"/>
          <w:rtl/>
        </w:rPr>
        <w:t>,</w:t>
      </w:r>
      <w:r w:rsidRPr="00031435">
        <w:rPr>
          <w:rFonts w:cs="Arial"/>
          <w:rtl/>
        </w:rPr>
        <w:t xml:space="preserve"> שאם לא תפרש ויצא עליו שטר חוב</w:t>
      </w:r>
      <w:r>
        <w:rPr>
          <w:rFonts w:cs="Arial" w:hint="cs"/>
          <w:rtl/>
        </w:rPr>
        <w:t>,</w:t>
      </w:r>
      <w:r w:rsidRPr="00031435">
        <w:rPr>
          <w:rFonts w:cs="Arial"/>
          <w:rtl/>
        </w:rPr>
        <w:t xml:space="preserve"> תאמר שלכתובה מכרה</w:t>
      </w:r>
      <w:r>
        <w:rPr>
          <w:rFonts w:cs="Arial" w:hint="cs"/>
          <w:rtl/>
        </w:rPr>
        <w:t>,</w:t>
      </w:r>
      <w:r w:rsidRPr="00031435">
        <w:rPr>
          <w:rFonts w:cs="Arial"/>
          <w:rtl/>
        </w:rPr>
        <w:t xml:space="preserve"> ואם כתובתה קדמה לא יוכל בעל השטר לטרוף ממה שמכרה</w:t>
      </w:r>
      <w:r>
        <w:rPr>
          <w:rFonts w:cs="Arial" w:hint="cs"/>
          <w:rtl/>
        </w:rPr>
        <w:t>.</w:t>
      </w:r>
      <w:r w:rsidRPr="00031435">
        <w:rPr>
          <w:rFonts w:cs="Arial"/>
          <w:rtl/>
        </w:rPr>
        <w:t xml:space="preserve"> ואם תפרש למזונות</w:t>
      </w:r>
      <w:r>
        <w:rPr>
          <w:rFonts w:cs="Arial" w:hint="cs"/>
          <w:rtl/>
        </w:rPr>
        <w:t>,</w:t>
      </w:r>
      <w:r w:rsidRPr="00031435">
        <w:rPr>
          <w:rFonts w:cs="Arial"/>
          <w:rtl/>
        </w:rPr>
        <w:t xml:space="preserve"> יטרפנו ב"ח מפני שזמנו קודם</w:t>
      </w:r>
      <w:r>
        <w:rPr>
          <w:rFonts w:cs="Arial" w:hint="cs"/>
          <w:rtl/>
        </w:rPr>
        <w:t>,</w:t>
      </w:r>
      <w:r w:rsidRPr="00031435">
        <w:rPr>
          <w:rFonts w:cs="Arial"/>
          <w:rtl/>
        </w:rPr>
        <w:t xml:space="preserve"> שאין חיוב המזונות אלא עד אחר מיתה</w:t>
      </w:r>
      <w:r>
        <w:rPr>
          <w:rFonts w:cs="Arial" w:hint="cs"/>
          <w:rtl/>
        </w:rPr>
        <w:t>.</w:t>
      </w:r>
      <w:r w:rsidRPr="00031435">
        <w:rPr>
          <w:rFonts w:cs="Arial"/>
          <w:rtl/>
        </w:rPr>
        <w:t xml:space="preserve"> </w:t>
      </w:r>
    </w:p>
    <w:p w14:paraId="635E685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D6013D" w14:textId="77777777" w:rsidR="002E5BAD" w:rsidRDefault="002E5BAD" w:rsidP="002E5BAD">
      <w:pPr>
        <w:rPr>
          <w:rtl/>
        </w:rPr>
      </w:pPr>
      <w:r>
        <w:rPr>
          <w:rFonts w:cs="Arial"/>
          <w:rtl/>
        </w:rPr>
        <w:t>אלמנה ששמה ולקחתו לעצמה, אינו כלום, אפילו הכריזו עליו, א</w:t>
      </w:r>
      <w:r>
        <w:rPr>
          <w:rFonts w:cs="Arial" w:hint="cs"/>
          <w:rtl/>
        </w:rPr>
        <w:t>לא אם כן</w:t>
      </w:r>
      <w:r>
        <w:rPr>
          <w:rFonts w:cs="Arial"/>
          <w:rtl/>
        </w:rPr>
        <w:t xml:space="preserve"> היו בשומא ב</w:t>
      </w:r>
      <w:r>
        <w:rPr>
          <w:rFonts w:cs="Arial" w:hint="cs"/>
          <w:rtl/>
        </w:rPr>
        <w:t xml:space="preserve">ית </w:t>
      </w:r>
      <w:r>
        <w:rPr>
          <w:rFonts w:cs="Arial"/>
          <w:rtl/>
        </w:rPr>
        <w:t>ד</w:t>
      </w:r>
      <w:r>
        <w:rPr>
          <w:rFonts w:cs="Arial" w:hint="cs"/>
          <w:rtl/>
        </w:rPr>
        <w:t>ין</w:t>
      </w:r>
      <w:r>
        <w:rPr>
          <w:rFonts w:cs="Arial"/>
          <w:rtl/>
        </w:rPr>
        <w:t xml:space="preserve"> הדיוטות. וי</w:t>
      </w:r>
      <w:r>
        <w:rPr>
          <w:rFonts w:cs="Arial" w:hint="cs"/>
          <w:rtl/>
        </w:rPr>
        <w:t xml:space="preserve">ש </w:t>
      </w:r>
      <w:r>
        <w:rPr>
          <w:rFonts w:cs="Arial"/>
          <w:rtl/>
        </w:rPr>
        <w:t>א</w:t>
      </w:r>
      <w:r>
        <w:rPr>
          <w:rFonts w:cs="Arial" w:hint="cs"/>
          <w:rtl/>
        </w:rPr>
        <w:t>ומרים</w:t>
      </w:r>
      <w:r>
        <w:rPr>
          <w:rFonts w:cs="Arial"/>
          <w:rtl/>
        </w:rPr>
        <w:t xml:space="preserve"> שאינו כלום עד שיהיו שם בית דין מומחים. </w:t>
      </w:r>
    </w:p>
    <w:p w14:paraId="27FA5202" w14:textId="77777777" w:rsidR="002E5BAD" w:rsidRDefault="002E5BAD" w:rsidP="002E5BAD">
      <w:pPr>
        <w:rPr>
          <w:rtl/>
        </w:rPr>
      </w:pPr>
    </w:p>
    <w:p w14:paraId="4928F031" w14:textId="77777777" w:rsidR="002E5BAD" w:rsidRDefault="002E5BAD" w:rsidP="002E5BAD">
      <w:pPr>
        <w:pStyle w:val="2"/>
        <w:rPr>
          <w:rtl/>
        </w:rPr>
      </w:pPr>
      <w:r>
        <w:rPr>
          <w:rtl/>
        </w:rPr>
        <w:t>סעיף ו</w:t>
      </w:r>
      <w:r>
        <w:rPr>
          <w:rFonts w:hint="cs"/>
          <w:rtl/>
        </w:rPr>
        <w:t>:</w:t>
      </w:r>
      <w:r w:rsidRPr="00A23EB8">
        <w:rPr>
          <w:rtl/>
        </w:rPr>
        <w:t xml:space="preserve"> </w:t>
      </w:r>
      <w:r>
        <w:rPr>
          <w:rtl/>
        </w:rPr>
        <w:t>אלמנה שהיתה כתובתה מאתים, ומכרה שוה מאה במאתים</w:t>
      </w:r>
      <w:r w:rsidRPr="00A23EB8">
        <w:rPr>
          <w:sz w:val="20"/>
          <w:szCs w:val="20"/>
          <w:rtl/>
        </w:rPr>
        <w:t xml:space="preserve"> </w:t>
      </w:r>
      <w:r w:rsidRPr="00A23EB8">
        <w:rPr>
          <w:rFonts w:hint="cs"/>
          <w:sz w:val="20"/>
          <w:szCs w:val="20"/>
          <w:rtl/>
        </w:rPr>
        <w:t>(</w:t>
      </w:r>
      <w:r w:rsidRPr="00A23EB8">
        <w:rPr>
          <w:sz w:val="20"/>
          <w:szCs w:val="20"/>
          <w:rtl/>
        </w:rPr>
        <w:t xml:space="preserve">או </w:t>
      </w:r>
      <w:r w:rsidRPr="00A23EB8">
        <w:rPr>
          <w:rFonts w:hint="cs"/>
          <w:sz w:val="20"/>
          <w:szCs w:val="20"/>
          <w:rtl/>
        </w:rPr>
        <w:t>הפוך)</w:t>
      </w:r>
      <w:r>
        <w:rPr>
          <w:rFonts w:hint="cs"/>
          <w:rtl/>
        </w:rPr>
        <w:t>.</w:t>
      </w:r>
    </w:p>
    <w:p w14:paraId="42935CFF" w14:textId="77777777" w:rsidR="002E5BAD" w:rsidRDefault="002E5BAD" w:rsidP="002E5BAD">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ח</w:t>
      </w:r>
      <w:r w:rsidRPr="00EC2DBD">
        <w:rPr>
          <w:rFonts w:hint="cs"/>
          <w:b/>
          <w:bCs/>
          <w:rtl/>
        </w:rPr>
        <w:t xml:space="preserve"> ע"</w:t>
      </w:r>
      <w:r>
        <w:rPr>
          <w:rFonts w:hint="cs"/>
          <w:b/>
          <w:bCs/>
          <w:rtl/>
        </w:rPr>
        <w:t>א</w:t>
      </w:r>
      <w:r w:rsidRPr="00EC2DBD">
        <w:rPr>
          <w:rFonts w:hint="cs"/>
          <w:b/>
          <w:bCs/>
          <w:rtl/>
        </w:rPr>
        <w:t xml:space="preserve">: </w:t>
      </w:r>
      <w:r w:rsidRPr="00EC2DBD">
        <w:rPr>
          <w:rFonts w:cs="Arial"/>
          <w:u w:val="double"/>
          <w:rtl/>
        </w:rPr>
        <w:t>מתני'</w:t>
      </w:r>
      <w:r w:rsidRPr="00EC2DBD">
        <w:rPr>
          <w:rFonts w:cs="Arial" w:hint="cs"/>
          <w:rtl/>
        </w:rPr>
        <w:t>:</w:t>
      </w:r>
      <w:r w:rsidRPr="00AF6258">
        <w:rPr>
          <w:rFonts w:cs="Arial"/>
          <w:rtl/>
        </w:rPr>
        <w:t xml:space="preserve"> אלמנה שהיתה כתובתה מאתים, ומכרה שוה מנה במאתים או שוה מאתים במנה - נתקבלה כתובתה.</w:t>
      </w:r>
      <w:r>
        <w:rPr>
          <w:rFonts w:cs="Arial" w:hint="cs"/>
          <w:rtl/>
        </w:rPr>
        <w:t>..</w:t>
      </w:r>
    </w:p>
    <w:p w14:paraId="2A636A45" w14:textId="77777777" w:rsidR="002E5BAD" w:rsidRDefault="002E5BAD" w:rsidP="002E5BAD">
      <w:pPr>
        <w:rPr>
          <w:rFonts w:cs="Arial"/>
          <w:rtl/>
        </w:rPr>
      </w:pPr>
      <w:r>
        <w:rPr>
          <w:rFonts w:cs="Arial" w:hint="cs"/>
          <w:b/>
          <w:bCs/>
          <w:rtl/>
        </w:rPr>
        <w:t>ירושלמי כתובות פי"א ה"ד:</w:t>
      </w:r>
      <w:r>
        <w:rPr>
          <w:rFonts w:cs="Arial" w:hint="cs"/>
          <w:rtl/>
        </w:rPr>
        <w:t xml:space="preserve"> </w:t>
      </w:r>
      <w:r w:rsidRPr="00EB0B48">
        <w:rPr>
          <w:rFonts w:cs="Arial"/>
          <w:rtl/>
        </w:rPr>
        <w:t>בשוה מנה במאתים אין סופו לחזור משם מקח טעות</w:t>
      </w:r>
      <w:r>
        <w:rPr>
          <w:rFonts w:cs="Arial" w:hint="cs"/>
          <w:rtl/>
        </w:rPr>
        <w:t>?</w:t>
      </w:r>
      <w:r w:rsidRPr="00EB0B48">
        <w:rPr>
          <w:rFonts w:cs="Arial"/>
          <w:rtl/>
        </w:rPr>
        <w:t xml:space="preserve"> תיפתר שהוקיר המקח</w:t>
      </w:r>
      <w:r>
        <w:rPr>
          <w:rFonts w:cs="Arial" w:hint="cs"/>
          <w:rtl/>
        </w:rPr>
        <w:t>.</w:t>
      </w:r>
      <w:r w:rsidRPr="00EB0B48">
        <w:rPr>
          <w:rFonts w:cs="Arial"/>
          <w:rtl/>
        </w:rPr>
        <w:t xml:space="preserve"> </w:t>
      </w:r>
      <w:r w:rsidRPr="00EB0B48">
        <w:rPr>
          <w:rFonts w:cs="Arial"/>
          <w:u w:val="single"/>
          <w:rtl/>
        </w:rPr>
        <w:t>א"ר אבין</w:t>
      </w:r>
      <w:r>
        <w:rPr>
          <w:rFonts w:cs="Arial" w:hint="cs"/>
          <w:rtl/>
        </w:rPr>
        <w:t>:</w:t>
      </w:r>
      <w:r w:rsidRPr="00EB0B48">
        <w:rPr>
          <w:rFonts w:cs="Arial"/>
          <w:rtl/>
        </w:rPr>
        <w:t xml:space="preserve"> הדא מסייעא לר' שמעון בן לקיש</w:t>
      </w:r>
      <w:r>
        <w:rPr>
          <w:rFonts w:cs="Arial" w:hint="cs"/>
          <w:rtl/>
        </w:rPr>
        <w:t>.</w:t>
      </w:r>
      <w:r w:rsidRPr="00EB0B48">
        <w:rPr>
          <w:rFonts w:cs="Arial"/>
          <w:rtl/>
        </w:rPr>
        <w:t xml:space="preserve"> </w:t>
      </w:r>
      <w:r w:rsidRPr="00EB0B48">
        <w:rPr>
          <w:rFonts w:cs="Arial"/>
          <w:u w:val="single"/>
          <w:rtl/>
        </w:rPr>
        <w:t>דר"ש בן לקיש אמר</w:t>
      </w:r>
      <w:r>
        <w:rPr>
          <w:rFonts w:cs="Arial" w:hint="cs"/>
          <w:rtl/>
        </w:rPr>
        <w:t>:</w:t>
      </w:r>
      <w:r w:rsidRPr="00EB0B48">
        <w:rPr>
          <w:rFonts w:cs="Arial"/>
          <w:rtl/>
        </w:rPr>
        <w:t xml:space="preserve"> אין למקח הונייה לעולם</w:t>
      </w:r>
      <w:r>
        <w:rPr>
          <w:rFonts w:cs="Arial" w:hint="cs"/>
          <w:rtl/>
        </w:rPr>
        <w:t>.</w:t>
      </w:r>
      <w:r w:rsidRPr="00EB0B48">
        <w:rPr>
          <w:rFonts w:cs="Arial"/>
          <w:rtl/>
        </w:rPr>
        <w:t xml:space="preserve"> </w:t>
      </w:r>
      <w:r w:rsidRPr="00EB0B48">
        <w:rPr>
          <w:rFonts w:cs="Arial"/>
          <w:u w:val="single"/>
          <w:rtl/>
        </w:rPr>
        <w:t>אמר ר' יוחנן</w:t>
      </w:r>
      <w:r>
        <w:rPr>
          <w:rFonts w:cs="Arial" w:hint="cs"/>
          <w:rtl/>
        </w:rPr>
        <w:t>:</w:t>
      </w:r>
      <w:r w:rsidRPr="00EB0B48">
        <w:rPr>
          <w:rFonts w:cs="Arial"/>
          <w:rtl/>
        </w:rPr>
        <w:t xml:space="preserve"> אם היה המקח מופלג יש לו הונייה</w:t>
      </w:r>
      <w:r>
        <w:rPr>
          <w:rFonts w:cs="Arial" w:hint="cs"/>
          <w:rtl/>
        </w:rPr>
        <w:t>.</w:t>
      </w:r>
      <w:r w:rsidRPr="004F3AFC">
        <w:rPr>
          <w:rtl/>
        </w:rPr>
        <w:t xml:space="preserve"> </w:t>
      </w:r>
      <w:r w:rsidRPr="004F3AFC">
        <w:rPr>
          <w:rFonts w:cs="Arial"/>
          <w:rtl/>
        </w:rPr>
        <w:t>מתניתא פליגא על רבי יוחנן</w:t>
      </w:r>
      <w:r>
        <w:rPr>
          <w:rFonts w:cs="Arial" w:hint="cs"/>
          <w:rtl/>
        </w:rPr>
        <w:t>!</w:t>
      </w:r>
      <w:r w:rsidRPr="004F3AFC">
        <w:rPr>
          <w:rFonts w:cs="Arial"/>
          <w:rtl/>
        </w:rPr>
        <w:t xml:space="preserve"> אילו דברים שאין להן הונייה העבדים והשטרות והקרקעות וההקדישות</w:t>
      </w:r>
      <w:r>
        <w:rPr>
          <w:rFonts w:cs="Arial" w:hint="cs"/>
          <w:rtl/>
        </w:rPr>
        <w:t>.</w:t>
      </w:r>
      <w:r w:rsidRPr="004F3AFC">
        <w:rPr>
          <w:rFonts w:cs="Arial"/>
          <w:rtl/>
        </w:rPr>
        <w:t xml:space="preserve"> פתר לה ובלבד דבר שאינו מופלג</w:t>
      </w:r>
      <w:r>
        <w:rPr>
          <w:rFonts w:cs="Arial" w:hint="cs"/>
          <w:rtl/>
        </w:rPr>
        <w:t>.</w:t>
      </w:r>
      <w:r w:rsidRPr="004F3AFC">
        <w:rPr>
          <w:rFonts w:cs="Arial"/>
          <w:rtl/>
        </w:rPr>
        <w:t xml:space="preserve"> </w:t>
      </w:r>
      <w:r w:rsidRPr="00792B79">
        <w:rPr>
          <w:rFonts w:cs="Arial" w:hint="cs"/>
          <w:sz w:val="16"/>
          <w:szCs w:val="16"/>
          <w:rtl/>
        </w:rPr>
        <w:t>(ה</w:t>
      </w:r>
      <w:r w:rsidRPr="00792B79">
        <w:rPr>
          <w:rFonts w:cs="Arial"/>
          <w:sz w:val="16"/>
          <w:szCs w:val="16"/>
          <w:rtl/>
        </w:rPr>
        <w:t>תוס</w:t>
      </w:r>
      <w:r w:rsidRPr="00792B79">
        <w:rPr>
          <w:rFonts w:cs="Arial" w:hint="cs"/>
          <w:sz w:val="16"/>
          <w:szCs w:val="16"/>
          <w:rtl/>
        </w:rPr>
        <w:t>'</w:t>
      </w:r>
      <w:r w:rsidRPr="00792B79">
        <w:rPr>
          <w:rFonts w:cs="Arial"/>
          <w:sz w:val="16"/>
          <w:szCs w:val="16"/>
          <w:rtl/>
        </w:rPr>
        <w:t xml:space="preserve"> (</w:t>
      </w:r>
      <w:r w:rsidRPr="00792B79">
        <w:rPr>
          <w:rFonts w:cs="Arial" w:hint="cs"/>
          <w:sz w:val="16"/>
          <w:szCs w:val="16"/>
          <w:rtl/>
        </w:rPr>
        <w:t xml:space="preserve">צח. </w:t>
      </w:r>
      <w:r w:rsidRPr="00792B79">
        <w:rPr>
          <w:rFonts w:cs="Arial"/>
          <w:sz w:val="16"/>
          <w:szCs w:val="16"/>
          <w:rtl/>
        </w:rPr>
        <w:t>ד"ה אלמנה)</w:t>
      </w:r>
      <w:r w:rsidRPr="00792B79">
        <w:rPr>
          <w:rFonts w:cs="Arial" w:hint="cs"/>
          <w:sz w:val="16"/>
          <w:szCs w:val="16"/>
          <w:rtl/>
        </w:rPr>
        <w:t xml:space="preserve"> הביאו את דברי הירושלמי הנ"ל, וכתבו ד</w:t>
      </w:r>
      <w:r w:rsidRPr="00792B79">
        <w:rPr>
          <w:rFonts w:cs="Arial"/>
          <w:sz w:val="16"/>
          <w:szCs w:val="16"/>
          <w:rtl/>
        </w:rPr>
        <w:t>פי' ר"ח שלא הגיע אונאה עד</w:t>
      </w:r>
      <w:r w:rsidRPr="00792B79">
        <w:rPr>
          <w:sz w:val="16"/>
          <w:szCs w:val="16"/>
          <w:rtl/>
        </w:rPr>
        <w:t xml:space="preserve"> </w:t>
      </w:r>
      <w:r w:rsidRPr="00792B79">
        <w:rPr>
          <w:rFonts w:cs="Arial"/>
          <w:sz w:val="16"/>
          <w:szCs w:val="16"/>
          <w:rtl/>
        </w:rPr>
        <w:t>כדי דמי החפץ</w:t>
      </w:r>
      <w:r w:rsidRPr="00792B79">
        <w:rPr>
          <w:rFonts w:cs="Arial" w:hint="cs"/>
          <w:sz w:val="16"/>
          <w:szCs w:val="16"/>
          <w:rtl/>
        </w:rPr>
        <w:t>,</w:t>
      </w:r>
      <w:r w:rsidRPr="00792B79">
        <w:rPr>
          <w:rFonts w:cs="Arial"/>
          <w:sz w:val="16"/>
          <w:szCs w:val="16"/>
          <w:rtl/>
        </w:rPr>
        <w:t xml:space="preserve"> מכלל דבטול מקח לרבי יוחנן הוי בכדי דמיהן</w:t>
      </w:r>
      <w:r w:rsidRPr="00792B79">
        <w:rPr>
          <w:rFonts w:cs="Arial" w:hint="cs"/>
          <w:sz w:val="16"/>
          <w:szCs w:val="16"/>
          <w:rtl/>
        </w:rPr>
        <w:t>.</w:t>
      </w:r>
      <w:r w:rsidRPr="00792B79">
        <w:rPr>
          <w:rFonts w:cs="Arial"/>
          <w:sz w:val="16"/>
          <w:szCs w:val="16"/>
          <w:rtl/>
        </w:rPr>
        <w:t xml:space="preserve"> וכי האי גוונא מפרש ר"ת הא דאמר רב נחמן בהזהב (ב"מ נז. ושם) הדא אמרה אונאה אין להן ביטול</w:t>
      </w:r>
      <w:r w:rsidRPr="00792B79">
        <w:rPr>
          <w:rFonts w:cs="Arial" w:hint="cs"/>
          <w:sz w:val="16"/>
          <w:szCs w:val="16"/>
          <w:rtl/>
        </w:rPr>
        <w:t>,</w:t>
      </w:r>
      <w:r w:rsidRPr="00792B79">
        <w:rPr>
          <w:rFonts w:cs="Arial"/>
          <w:sz w:val="16"/>
          <w:szCs w:val="16"/>
          <w:rtl/>
        </w:rPr>
        <w:t xml:space="preserve"> מקח יש להן</w:t>
      </w:r>
      <w:r w:rsidRPr="00792B79">
        <w:rPr>
          <w:rFonts w:cs="Arial" w:hint="cs"/>
          <w:sz w:val="16"/>
          <w:szCs w:val="16"/>
          <w:rtl/>
        </w:rPr>
        <w:t>,</w:t>
      </w:r>
      <w:r w:rsidRPr="00792B79">
        <w:rPr>
          <w:rFonts w:cs="Arial"/>
          <w:sz w:val="16"/>
          <w:szCs w:val="16"/>
          <w:rtl/>
        </w:rPr>
        <w:t xml:space="preserve"> לאו דומיא דמטלטלין ביתר משתות</w:t>
      </w:r>
      <w:r w:rsidRPr="00792B79">
        <w:rPr>
          <w:rFonts w:cs="Arial" w:hint="cs"/>
          <w:sz w:val="16"/>
          <w:szCs w:val="16"/>
          <w:rtl/>
        </w:rPr>
        <w:t>,</w:t>
      </w:r>
      <w:r w:rsidRPr="00792B79">
        <w:rPr>
          <w:rFonts w:cs="Arial"/>
          <w:sz w:val="16"/>
          <w:szCs w:val="16"/>
          <w:rtl/>
        </w:rPr>
        <w:t xml:space="preserve"> אלא בחצי</w:t>
      </w:r>
      <w:r w:rsidRPr="00792B79">
        <w:rPr>
          <w:rFonts w:cs="Arial" w:hint="cs"/>
          <w:sz w:val="16"/>
          <w:szCs w:val="16"/>
          <w:rtl/>
        </w:rPr>
        <w:t>,</w:t>
      </w:r>
      <w:r w:rsidRPr="00792B79">
        <w:rPr>
          <w:rFonts w:cs="Arial"/>
          <w:sz w:val="16"/>
          <w:szCs w:val="16"/>
          <w:rtl/>
        </w:rPr>
        <w:t xml:space="preserve"> כגון שוה מאתים במנה</w:t>
      </w:r>
      <w:r w:rsidRPr="00792B79">
        <w:rPr>
          <w:rFonts w:cs="Arial" w:hint="cs"/>
          <w:sz w:val="16"/>
          <w:szCs w:val="16"/>
          <w:rtl/>
        </w:rPr>
        <w:t>,</w:t>
      </w:r>
      <w:r w:rsidRPr="00792B79">
        <w:rPr>
          <w:rFonts w:cs="Arial"/>
          <w:sz w:val="16"/>
          <w:szCs w:val="16"/>
          <w:rtl/>
        </w:rPr>
        <w:t xml:space="preserve"> אבל פחות אפילו שוה פרוטה המקח קיים</w:t>
      </w:r>
      <w:r w:rsidRPr="00792B79">
        <w:rPr>
          <w:rFonts w:cs="Arial" w:hint="cs"/>
          <w:sz w:val="16"/>
          <w:szCs w:val="16"/>
          <w:rtl/>
        </w:rPr>
        <w:t>.</w:t>
      </w:r>
      <w:r w:rsidRPr="00792B79">
        <w:rPr>
          <w:rFonts w:cs="Arial"/>
          <w:sz w:val="16"/>
          <w:szCs w:val="16"/>
          <w:rtl/>
        </w:rPr>
        <w:t xml:space="preserve"> והא דפסקינן בהמקבל (שם קח.) זבן במאתים ושוה מנה אמרי נהרדעי משמיה דרב נחמן אין אונאה לקרקעות</w:t>
      </w:r>
      <w:r w:rsidRPr="00792B79">
        <w:rPr>
          <w:rFonts w:cs="Arial" w:hint="cs"/>
          <w:sz w:val="16"/>
          <w:szCs w:val="16"/>
          <w:rtl/>
        </w:rPr>
        <w:t>,</w:t>
      </w:r>
      <w:r w:rsidRPr="00792B79">
        <w:rPr>
          <w:rFonts w:cs="Arial"/>
          <w:sz w:val="16"/>
          <w:szCs w:val="16"/>
          <w:rtl/>
        </w:rPr>
        <w:t xml:space="preserve"> לאו דוקא מאתים אלא מעט פחות דבמאתים הוי ביטול מקח לרב נחמן כדפרישית</w:t>
      </w:r>
      <w:r w:rsidRPr="00792B79">
        <w:rPr>
          <w:rFonts w:cs="Arial" w:hint="cs"/>
          <w:sz w:val="16"/>
          <w:szCs w:val="16"/>
          <w:rtl/>
        </w:rPr>
        <w:t>.</w:t>
      </w:r>
      <w:r w:rsidRPr="00792B79">
        <w:rPr>
          <w:rFonts w:cs="Arial"/>
          <w:sz w:val="16"/>
          <w:szCs w:val="16"/>
          <w:rtl/>
        </w:rPr>
        <w:t xml:space="preserve"> ומאי דגריס ר"ת בריש האיש מקדש (קדושין מב: ושם) כמו שאפרש לקמן והא דקאמרת יתר משתות בטל מקח</w:t>
      </w:r>
      <w:r w:rsidRPr="00792B79">
        <w:rPr>
          <w:rFonts w:cs="Arial" w:hint="cs"/>
          <w:sz w:val="16"/>
          <w:szCs w:val="16"/>
          <w:rtl/>
        </w:rPr>
        <w:t xml:space="preserve"> -</w:t>
      </w:r>
      <w:r w:rsidRPr="00792B79">
        <w:rPr>
          <w:rFonts w:cs="Arial"/>
          <w:sz w:val="16"/>
          <w:szCs w:val="16"/>
          <w:rtl/>
        </w:rPr>
        <w:t xml:space="preserve"> לא אמרן אלא במטלטלי אבל במקרקעי אין אונאה לקרקעות אפילו ביתר משתות עד החצי כדפרישית</w:t>
      </w:r>
      <w:r w:rsidRPr="00792B79">
        <w:rPr>
          <w:rFonts w:cs="Arial" w:hint="cs"/>
          <w:sz w:val="16"/>
          <w:szCs w:val="16"/>
          <w:rtl/>
        </w:rPr>
        <w:t>.</w:t>
      </w:r>
      <w:r w:rsidRPr="00792B79">
        <w:rPr>
          <w:rFonts w:cs="Arial"/>
          <w:sz w:val="16"/>
          <w:szCs w:val="16"/>
          <w:rtl/>
        </w:rPr>
        <w:t xml:space="preserve"> והא דקא"ר יוחנן בירושלמי אם היה דבר מופלג יש לו אונאה</w:t>
      </w:r>
      <w:r w:rsidRPr="00792B79">
        <w:rPr>
          <w:rFonts w:cs="Arial" w:hint="cs"/>
          <w:sz w:val="16"/>
          <w:szCs w:val="16"/>
          <w:rtl/>
        </w:rPr>
        <w:t>,</w:t>
      </w:r>
      <w:r w:rsidRPr="00792B79">
        <w:rPr>
          <w:rFonts w:cs="Arial"/>
          <w:sz w:val="16"/>
          <w:szCs w:val="16"/>
          <w:rtl/>
        </w:rPr>
        <w:t xml:space="preserve"> לאו דוקא דהוא הדין ביטול מקח כדפרישית</w:t>
      </w:r>
      <w:r>
        <w:rPr>
          <w:rFonts w:cs="Arial" w:hint="cs"/>
          <w:sz w:val="16"/>
          <w:szCs w:val="16"/>
          <w:rtl/>
        </w:rPr>
        <w:t>)</w:t>
      </w:r>
    </w:p>
    <w:p w14:paraId="42F0A56B" w14:textId="77777777" w:rsidR="002E5BAD" w:rsidRPr="0052271D" w:rsidRDefault="002E5BAD" w:rsidP="002E5BAD">
      <w:pPr>
        <w:rPr>
          <w:rFonts w:cs="Arial"/>
          <w:u w:val="single"/>
          <w:rtl/>
        </w:rPr>
      </w:pPr>
      <w:r w:rsidRPr="0052271D">
        <w:rPr>
          <w:rFonts w:cs="Arial" w:hint="cs"/>
          <w:u w:val="single"/>
          <w:rtl/>
        </w:rPr>
        <w:t>קשה מדוע</w:t>
      </w:r>
      <w:r>
        <w:rPr>
          <w:rFonts w:cs="Arial" w:hint="cs"/>
          <w:u w:val="single"/>
          <w:rtl/>
        </w:rPr>
        <w:t xml:space="preserve"> המשנה כתבה</w:t>
      </w:r>
      <w:r w:rsidRPr="0052271D">
        <w:rPr>
          <w:rFonts w:cs="Arial" w:hint="cs"/>
          <w:u w:val="single"/>
          <w:rtl/>
        </w:rPr>
        <w:t xml:space="preserve"> </w:t>
      </w:r>
      <w:r>
        <w:rPr>
          <w:rFonts w:cs="Arial" w:hint="cs"/>
          <w:u w:val="single"/>
          <w:rtl/>
        </w:rPr>
        <w:t>ש</w:t>
      </w:r>
      <w:r w:rsidRPr="0052271D">
        <w:rPr>
          <w:rFonts w:cs="Arial" w:hint="cs"/>
          <w:u w:val="single"/>
          <w:rtl/>
        </w:rPr>
        <w:t>נתקבלה כתובתה</w:t>
      </w:r>
      <w:r>
        <w:rPr>
          <w:rFonts w:cs="Arial" w:hint="cs"/>
          <w:u w:val="single"/>
          <w:rtl/>
        </w:rPr>
        <w:t>,</w:t>
      </w:r>
      <w:r w:rsidRPr="0052271D">
        <w:rPr>
          <w:rFonts w:cs="Arial" w:hint="cs"/>
          <w:u w:val="single"/>
          <w:rtl/>
        </w:rPr>
        <w:t xml:space="preserve"> והרי יש כאן אונאה ובטל המקח</w:t>
      </w:r>
      <w:r>
        <w:rPr>
          <w:rFonts w:cs="Arial" w:hint="cs"/>
          <w:sz w:val="16"/>
          <w:szCs w:val="16"/>
          <w:u w:val="single"/>
          <w:rtl/>
        </w:rPr>
        <w:t xml:space="preserve"> (ויכולה האלמנה להחזיר הקרקע ליורשים)</w:t>
      </w:r>
      <w:r w:rsidRPr="0052271D">
        <w:rPr>
          <w:rFonts w:cs="Arial" w:hint="cs"/>
          <w:u w:val="single"/>
          <w:rtl/>
        </w:rPr>
        <w:t>:</w:t>
      </w:r>
    </w:p>
    <w:p w14:paraId="2506D73C" w14:textId="77777777" w:rsidR="002E5BAD" w:rsidRDefault="002E5BAD" w:rsidP="00B75458">
      <w:pPr>
        <w:pStyle w:val="ab"/>
        <w:numPr>
          <w:ilvl w:val="0"/>
          <w:numId w:val="192"/>
        </w:numPr>
        <w:rPr>
          <w:rFonts w:cs="Arial"/>
        </w:rPr>
      </w:pPr>
      <w:r w:rsidRPr="0052271D">
        <w:rPr>
          <w:rFonts w:cs="Arial"/>
          <w:rtl/>
        </w:rPr>
        <w:t>תוס</w:t>
      </w:r>
      <w:r w:rsidRPr="0052271D">
        <w:rPr>
          <w:rFonts w:cs="Arial" w:hint="cs"/>
          <w:rtl/>
        </w:rPr>
        <w:t>'</w:t>
      </w:r>
      <w:r w:rsidRPr="0052271D">
        <w:rPr>
          <w:rFonts w:cs="Arial"/>
          <w:rtl/>
        </w:rPr>
        <w:t xml:space="preserve"> </w:t>
      </w:r>
      <w:r w:rsidRPr="0052271D">
        <w:rPr>
          <w:rFonts w:cs="Arial"/>
          <w:sz w:val="16"/>
          <w:szCs w:val="16"/>
          <w:rtl/>
        </w:rPr>
        <w:t>(</w:t>
      </w:r>
      <w:r w:rsidRPr="0052271D">
        <w:rPr>
          <w:rFonts w:cs="Arial" w:hint="cs"/>
          <w:sz w:val="16"/>
          <w:szCs w:val="16"/>
          <w:rtl/>
        </w:rPr>
        <w:t>צ</w:t>
      </w:r>
      <w:r>
        <w:rPr>
          <w:rFonts w:cs="Arial" w:hint="cs"/>
          <w:sz w:val="16"/>
          <w:szCs w:val="16"/>
          <w:rtl/>
        </w:rPr>
        <w:t>ח</w:t>
      </w:r>
      <w:r w:rsidRPr="0052271D">
        <w:rPr>
          <w:rFonts w:cs="Arial" w:hint="cs"/>
          <w:sz w:val="16"/>
          <w:szCs w:val="16"/>
          <w:rtl/>
        </w:rPr>
        <w:t xml:space="preserve">. </w:t>
      </w:r>
      <w:r w:rsidRPr="0052271D">
        <w:rPr>
          <w:rFonts w:cs="Arial"/>
          <w:sz w:val="16"/>
          <w:szCs w:val="16"/>
          <w:rtl/>
        </w:rPr>
        <w:t>ד"ה אלמנה)</w:t>
      </w:r>
      <w:r w:rsidRPr="0052271D">
        <w:rPr>
          <w:rFonts w:cs="Arial" w:hint="cs"/>
          <w:rtl/>
        </w:rPr>
        <w:t xml:space="preserve">- </w:t>
      </w:r>
      <w:r w:rsidRPr="004F3AFC">
        <w:rPr>
          <w:rFonts w:cs="Arial"/>
          <w:rtl/>
        </w:rPr>
        <w:t>טעמא דנתקבלה כתובתה גבי מכרה שוה מאתים במנה תימה קצת</w:t>
      </w:r>
      <w:r>
        <w:rPr>
          <w:rFonts w:cs="Arial" w:hint="cs"/>
          <w:rtl/>
        </w:rPr>
        <w:t>,</w:t>
      </w:r>
      <w:r w:rsidRPr="004F3AFC">
        <w:rPr>
          <w:rFonts w:cs="Arial"/>
          <w:rtl/>
        </w:rPr>
        <w:t xml:space="preserve"> אע</w:t>
      </w:r>
      <w:r>
        <w:rPr>
          <w:rFonts w:cs="Arial" w:hint="cs"/>
          <w:rtl/>
        </w:rPr>
        <w:t>"</w:t>
      </w:r>
      <w:r w:rsidRPr="004F3AFC">
        <w:rPr>
          <w:rFonts w:cs="Arial"/>
          <w:rtl/>
        </w:rPr>
        <w:t>ג דהוזיל המקח מ"מ תחזור בה לגבי הלקוחות שהרי המכר לא היה כלום ותחזיר הקרקע ליתומים</w:t>
      </w:r>
      <w:r>
        <w:rPr>
          <w:rFonts w:cs="Arial" w:hint="cs"/>
          <w:rtl/>
        </w:rPr>
        <w:t>.</w:t>
      </w:r>
      <w:r w:rsidRPr="004F3AFC">
        <w:rPr>
          <w:rFonts w:cs="Arial"/>
          <w:rtl/>
        </w:rPr>
        <w:t xml:space="preserve"> ויש לומר דהואיל ובשעה שקבלה הקרקע היה שוה מאתים</w:t>
      </w:r>
      <w:r>
        <w:rPr>
          <w:rFonts w:cs="Arial" w:hint="cs"/>
          <w:rtl/>
        </w:rPr>
        <w:t>,</w:t>
      </w:r>
      <w:r w:rsidRPr="004F3AFC">
        <w:rPr>
          <w:rFonts w:cs="Arial"/>
          <w:rtl/>
        </w:rPr>
        <w:t xml:space="preserve"> מיד רצתה להוציא הקרקע מרשות היתומים ולהכניסה לרשות הלוקח</w:t>
      </w:r>
      <w:r>
        <w:rPr>
          <w:rFonts w:cs="Arial" w:hint="cs"/>
          <w:rtl/>
        </w:rPr>
        <w:t>,</w:t>
      </w:r>
      <w:r w:rsidRPr="004F3AFC">
        <w:rPr>
          <w:rFonts w:cs="Arial"/>
          <w:rtl/>
        </w:rPr>
        <w:t xml:space="preserve"> והרי היא כמו שנתכוונה לקנות הקרקע בכתובה באותה שעה</w:t>
      </w:r>
      <w:r>
        <w:rPr>
          <w:rStyle w:val="a7"/>
          <w:rFonts w:cs="Arial"/>
          <w:rtl/>
        </w:rPr>
        <w:footnoteReference w:id="2666"/>
      </w:r>
      <w:r w:rsidRPr="004F3AFC">
        <w:rPr>
          <w:rFonts w:cs="Arial"/>
          <w:rtl/>
        </w:rPr>
        <w:t>.</w:t>
      </w:r>
    </w:p>
    <w:p w14:paraId="127BD8B7" w14:textId="77777777" w:rsidR="002E5BAD" w:rsidRPr="00792B79" w:rsidRDefault="002E5BAD" w:rsidP="002E5BAD">
      <w:pPr>
        <w:rPr>
          <w:rFonts w:cs="Arial"/>
          <w:u w:val="single"/>
          <w:rtl/>
        </w:rPr>
      </w:pPr>
      <w:r w:rsidRPr="00792B79">
        <w:rPr>
          <w:rFonts w:cs="Arial"/>
          <w:u w:val="single"/>
          <w:rtl/>
        </w:rPr>
        <w:lastRenderedPageBreak/>
        <w:t>אלמנה שהיתה כתובתה מאתים, ומכרה שוה מאה במאתים</w:t>
      </w:r>
      <w:r w:rsidRPr="00792B79">
        <w:rPr>
          <w:rFonts w:cs="Arial"/>
          <w:sz w:val="20"/>
          <w:szCs w:val="20"/>
          <w:u w:val="single"/>
          <w:rtl/>
        </w:rPr>
        <w:t xml:space="preserve"> </w:t>
      </w:r>
      <w:r w:rsidRPr="00792B79">
        <w:rPr>
          <w:rFonts w:cs="Arial" w:hint="cs"/>
          <w:sz w:val="16"/>
          <w:szCs w:val="16"/>
          <w:u w:val="single"/>
          <w:rtl/>
        </w:rPr>
        <w:t>(</w:t>
      </w:r>
      <w:r w:rsidRPr="00792B79">
        <w:rPr>
          <w:rFonts w:cs="Arial"/>
          <w:sz w:val="16"/>
          <w:szCs w:val="16"/>
          <w:u w:val="single"/>
          <w:rtl/>
        </w:rPr>
        <w:t xml:space="preserve">או </w:t>
      </w:r>
      <w:r w:rsidRPr="00792B79">
        <w:rPr>
          <w:rFonts w:cs="Arial" w:hint="cs"/>
          <w:sz w:val="16"/>
          <w:szCs w:val="16"/>
          <w:u w:val="single"/>
          <w:rtl/>
        </w:rPr>
        <w:t>הפוך)</w:t>
      </w:r>
      <w:r w:rsidRPr="00792B79">
        <w:rPr>
          <w:rFonts w:cs="Arial" w:hint="cs"/>
          <w:u w:val="single"/>
          <w:rtl/>
        </w:rPr>
        <w:t>:</w:t>
      </w:r>
    </w:p>
    <w:p w14:paraId="343595A2" w14:textId="77777777" w:rsidR="002E5BAD" w:rsidRDefault="002E5BAD" w:rsidP="00B75458">
      <w:pPr>
        <w:pStyle w:val="ab"/>
        <w:numPr>
          <w:ilvl w:val="0"/>
          <w:numId w:val="192"/>
        </w:numPr>
      </w:pPr>
      <w:r>
        <w:rPr>
          <w:rFonts w:cs="Arial" w:hint="cs"/>
          <w:rtl/>
        </w:rPr>
        <w:t xml:space="preserve">תוס' </w:t>
      </w:r>
      <w:r>
        <w:rPr>
          <w:rFonts w:cs="Arial" w:hint="cs"/>
          <w:sz w:val="16"/>
          <w:szCs w:val="16"/>
          <w:rtl/>
        </w:rPr>
        <w:t xml:space="preserve">(שם) </w:t>
      </w:r>
      <w:r>
        <w:rPr>
          <w:rFonts w:cs="Arial" w:hint="cs"/>
          <w:rtl/>
        </w:rPr>
        <w:t xml:space="preserve">וטור- </w:t>
      </w:r>
      <w:r w:rsidRPr="00031435">
        <w:rPr>
          <w:rFonts w:cs="Arial"/>
          <w:rtl/>
        </w:rPr>
        <w:t>היתה כתובתה מאתים</w:t>
      </w:r>
      <w:r>
        <w:rPr>
          <w:rFonts w:cs="Arial" w:hint="cs"/>
          <w:rtl/>
        </w:rPr>
        <w:t>,</w:t>
      </w:r>
      <w:r w:rsidRPr="00031435">
        <w:rPr>
          <w:rFonts w:cs="Arial"/>
          <w:rtl/>
        </w:rPr>
        <w:t xml:space="preserve"> ומכרה שוה מאתים במנה</w:t>
      </w:r>
      <w:r>
        <w:rPr>
          <w:rFonts w:cs="Arial" w:hint="cs"/>
          <w:rtl/>
        </w:rPr>
        <w:t>,</w:t>
      </w:r>
      <w:r w:rsidRPr="00031435">
        <w:rPr>
          <w:rFonts w:cs="Arial"/>
          <w:rtl/>
        </w:rPr>
        <w:t xml:space="preserve"> והוזל שאינו שוה אלא מנה</w:t>
      </w:r>
      <w:r>
        <w:rPr>
          <w:rFonts w:cs="Arial" w:hint="cs"/>
          <w:rtl/>
        </w:rPr>
        <w:t>,</w:t>
      </w:r>
      <w:r w:rsidRPr="00031435">
        <w:rPr>
          <w:rFonts w:cs="Arial"/>
          <w:rtl/>
        </w:rPr>
        <w:t xml:space="preserve"> והיא רוצה</w:t>
      </w:r>
      <w:r>
        <w:rPr>
          <w:rStyle w:val="a7"/>
          <w:rFonts w:cs="Arial"/>
          <w:rtl/>
        </w:rPr>
        <w:footnoteReference w:id="2667"/>
      </w:r>
      <w:r w:rsidRPr="00031435">
        <w:rPr>
          <w:rFonts w:cs="Arial"/>
          <w:rtl/>
        </w:rPr>
        <w:t xml:space="preserve"> לקיים המקח </w:t>
      </w:r>
      <w:r>
        <w:rPr>
          <w:rFonts w:cs="Arial" w:hint="cs"/>
          <w:rtl/>
        </w:rPr>
        <w:t xml:space="preserve">- </w:t>
      </w:r>
      <w:r w:rsidRPr="00031435">
        <w:rPr>
          <w:rFonts w:cs="Arial"/>
          <w:rtl/>
        </w:rPr>
        <w:t>נתקבלה כתובתה</w:t>
      </w:r>
      <w:r>
        <w:rPr>
          <w:rFonts w:cs="Arial" w:hint="cs"/>
          <w:rtl/>
        </w:rPr>
        <w:t>,</w:t>
      </w:r>
      <w:r w:rsidRPr="00031435">
        <w:rPr>
          <w:rFonts w:cs="Arial"/>
          <w:rtl/>
        </w:rPr>
        <w:t xml:space="preserve"> ולא אמרינן כיון שהיה המקח בטעות לא יצא הקרקע מחזקת היתומים וברשותם הוזל</w:t>
      </w:r>
      <w:r>
        <w:rPr>
          <w:rFonts w:cs="Arial" w:hint="cs"/>
          <w:rtl/>
        </w:rPr>
        <w:t>,</w:t>
      </w:r>
      <w:r w:rsidRPr="00031435">
        <w:rPr>
          <w:rFonts w:cs="Arial"/>
          <w:rtl/>
        </w:rPr>
        <w:t xml:space="preserve"> אלא כיון שבשעה שקבלה הקרקע להכניסו לרשות הלוקח היה שוה מאתים</w:t>
      </w:r>
      <w:r>
        <w:rPr>
          <w:rFonts w:cs="Arial" w:hint="cs"/>
          <w:rtl/>
        </w:rPr>
        <w:t>,</w:t>
      </w:r>
      <w:r w:rsidRPr="00031435">
        <w:rPr>
          <w:rFonts w:cs="Arial"/>
          <w:rtl/>
        </w:rPr>
        <w:t xml:space="preserve"> כאילו כוונה לקנות הקרקע ונתקבלה כתובתה ואינה חוזרת ליתומים</w:t>
      </w:r>
      <w:r>
        <w:rPr>
          <w:rStyle w:val="a7"/>
          <w:rFonts w:cs="Arial"/>
          <w:rtl/>
        </w:rPr>
        <w:footnoteReference w:id="2668"/>
      </w:r>
      <w:r>
        <w:rPr>
          <w:rFonts w:cs="Arial" w:hint="cs"/>
          <w:rtl/>
        </w:rPr>
        <w:t>.</w:t>
      </w:r>
      <w:r w:rsidRPr="00031435">
        <w:rPr>
          <w:rFonts w:cs="Arial"/>
          <w:rtl/>
        </w:rPr>
        <w:t xml:space="preserve"> וכן אם מכרה שוה מנה במאתים והוקר</w:t>
      </w:r>
      <w:r>
        <w:rPr>
          <w:rFonts w:cs="Arial" w:hint="cs"/>
          <w:rtl/>
        </w:rPr>
        <w:t>,</w:t>
      </w:r>
      <w:r w:rsidRPr="00031435">
        <w:rPr>
          <w:rFonts w:cs="Arial"/>
          <w:rtl/>
        </w:rPr>
        <w:t xml:space="preserve"> והלוקח רוצה לקיים המקח</w:t>
      </w:r>
      <w:r>
        <w:rPr>
          <w:rFonts w:cs="Arial" w:hint="cs"/>
          <w:rtl/>
        </w:rPr>
        <w:t xml:space="preserve"> </w:t>
      </w:r>
      <w:r w:rsidRPr="00031435">
        <w:rPr>
          <w:rFonts w:cs="Arial"/>
          <w:rtl/>
        </w:rPr>
        <w:t>ונתקבלה כתובתה והריוח ליתומים</w:t>
      </w:r>
      <w:r>
        <w:rPr>
          <w:rFonts w:cs="Arial" w:hint="cs"/>
          <w:rtl/>
        </w:rPr>
        <w:t>.</w:t>
      </w:r>
      <w:r w:rsidRPr="00031435">
        <w:rPr>
          <w:rFonts w:cs="Arial"/>
          <w:rtl/>
        </w:rPr>
        <w:t xml:space="preserve"> </w:t>
      </w:r>
    </w:p>
    <w:p w14:paraId="06BA47B0" w14:textId="77777777" w:rsidR="002E5BAD" w:rsidRPr="00E26319" w:rsidRDefault="002E5BAD" w:rsidP="00B75458">
      <w:pPr>
        <w:pStyle w:val="ab"/>
        <w:numPr>
          <w:ilvl w:val="0"/>
          <w:numId w:val="192"/>
        </w:numPr>
        <w:rPr>
          <w:rtl/>
        </w:rPr>
      </w:pPr>
      <w:r>
        <w:rPr>
          <w:rFonts w:cs="Arial" w:hint="cs"/>
          <w:rtl/>
        </w:rPr>
        <w:t xml:space="preserve">רי"ף </w:t>
      </w:r>
      <w:r w:rsidRPr="00A23EB8">
        <w:rPr>
          <w:rFonts w:cs="Arial"/>
          <w:sz w:val="16"/>
          <w:szCs w:val="16"/>
          <w:rtl/>
        </w:rPr>
        <w:t xml:space="preserve">(כתובות נז.) </w:t>
      </w:r>
      <w:r>
        <w:rPr>
          <w:rFonts w:cs="Arial" w:hint="cs"/>
          <w:rtl/>
        </w:rPr>
        <w:t>ורמב"ם</w:t>
      </w:r>
      <w:r>
        <w:rPr>
          <w:rFonts w:cs="Arial" w:hint="cs"/>
          <w:sz w:val="16"/>
          <w:szCs w:val="16"/>
          <w:rtl/>
        </w:rPr>
        <w:t xml:space="preserve"> (פי"ז הט"ו)</w:t>
      </w:r>
      <w:r>
        <w:rPr>
          <w:rFonts w:cs="Arial" w:hint="cs"/>
          <w:rtl/>
        </w:rPr>
        <w:t xml:space="preserve">- </w:t>
      </w:r>
      <w:r w:rsidRPr="00A23EB8">
        <w:rPr>
          <w:rFonts w:cs="Arial"/>
          <w:rtl/>
        </w:rPr>
        <w:t>היתה כתובתה מאתים ומכרה שוה מאה במאתים או שוה מאתים במאה נתקבלה כתובתה ואין לה כלום ובלבד שתשבע שבועת אלמנה</w:t>
      </w:r>
      <w:r>
        <w:rPr>
          <w:rFonts w:cs="Arial" w:hint="cs"/>
          <w:sz w:val="16"/>
          <w:szCs w:val="16"/>
          <w:rtl/>
        </w:rPr>
        <w:t xml:space="preserve"> (ל' הרמב"ם)</w:t>
      </w:r>
      <w:r>
        <w:rPr>
          <w:rFonts w:hint="cs"/>
          <w:rtl/>
        </w:rPr>
        <w:t xml:space="preserve">. </w:t>
      </w:r>
      <w:r w:rsidRPr="007B16F4">
        <w:rPr>
          <w:rFonts w:hint="cs"/>
          <w:color w:val="E36C0A" w:themeColor="accent6" w:themeShade="BF"/>
          <w:rtl/>
        </w:rPr>
        <w:t>(וכ"פ בשו"ע)</w:t>
      </w:r>
    </w:p>
    <w:p w14:paraId="335CEAA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A1E51A" w14:textId="77777777" w:rsidR="002E5BAD" w:rsidRDefault="002E5BAD" w:rsidP="002E5BAD">
      <w:pPr>
        <w:rPr>
          <w:rtl/>
        </w:rPr>
      </w:pPr>
      <w:r>
        <w:rPr>
          <w:rFonts w:cs="Arial"/>
          <w:rtl/>
        </w:rPr>
        <w:t xml:space="preserve">אלמנה שהיתה כתובתה מאתים, ומכרה שוה מאה במאתים או שוה מאתים במאה, נתקבלה כתובתה. </w:t>
      </w:r>
    </w:p>
    <w:p w14:paraId="73DEDC47" w14:textId="77777777" w:rsidR="002E5BAD" w:rsidRDefault="002E5BAD" w:rsidP="002E5BAD">
      <w:pPr>
        <w:rPr>
          <w:rtl/>
        </w:rPr>
      </w:pPr>
    </w:p>
    <w:p w14:paraId="47B574B9" w14:textId="77777777" w:rsidR="002E5BAD" w:rsidRDefault="002E5BAD" w:rsidP="002E5BAD">
      <w:pPr>
        <w:pStyle w:val="2"/>
        <w:rPr>
          <w:rtl/>
        </w:rPr>
      </w:pPr>
      <w:r>
        <w:rPr>
          <w:rtl/>
        </w:rPr>
        <w:t>סעיף ז</w:t>
      </w:r>
      <w:r>
        <w:rPr>
          <w:rFonts w:hint="cs"/>
          <w:rtl/>
        </w:rPr>
        <w:t>:</w:t>
      </w:r>
      <w:r w:rsidRPr="00437109">
        <w:rPr>
          <w:rtl/>
        </w:rPr>
        <w:t xml:space="preserve"> </w:t>
      </w:r>
      <w:r w:rsidRPr="00031435">
        <w:rPr>
          <w:rtl/>
        </w:rPr>
        <w:t>טעתה ומכרה שוה מנה ודינר במנה</w:t>
      </w:r>
      <w:r>
        <w:rPr>
          <w:rFonts w:hint="cs"/>
          <w:rtl/>
        </w:rPr>
        <w:t>.</w:t>
      </w:r>
    </w:p>
    <w:p w14:paraId="174BAA76" w14:textId="77777777" w:rsidR="002E5BAD" w:rsidRDefault="002E5BAD" w:rsidP="002E5BAD">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ח</w:t>
      </w:r>
      <w:r w:rsidRPr="00EC2DBD">
        <w:rPr>
          <w:rFonts w:hint="cs"/>
          <w:b/>
          <w:bCs/>
          <w:rtl/>
        </w:rPr>
        <w:t xml:space="preserve"> ע"</w:t>
      </w:r>
      <w:r>
        <w:rPr>
          <w:rFonts w:hint="cs"/>
          <w:b/>
          <w:bCs/>
          <w:rtl/>
        </w:rPr>
        <w:t>א</w:t>
      </w:r>
      <w:r w:rsidRPr="00EC2DBD">
        <w:rPr>
          <w:rFonts w:hint="cs"/>
          <w:b/>
          <w:bCs/>
          <w:rtl/>
        </w:rPr>
        <w:t xml:space="preserve">: </w:t>
      </w:r>
      <w:r w:rsidRPr="00EC2DBD">
        <w:rPr>
          <w:rFonts w:cs="Arial"/>
          <w:u w:val="double"/>
          <w:rtl/>
        </w:rPr>
        <w:t>מתני'</w:t>
      </w:r>
      <w:r w:rsidRPr="00EC2DBD">
        <w:rPr>
          <w:rFonts w:cs="Arial" w:hint="cs"/>
          <w:rtl/>
        </w:rPr>
        <w:t>:</w:t>
      </w:r>
      <w:r>
        <w:rPr>
          <w:rFonts w:cs="Arial" w:hint="cs"/>
          <w:rtl/>
        </w:rPr>
        <w:t>...</w:t>
      </w:r>
      <w:r w:rsidRPr="00437109">
        <w:rPr>
          <w:rtl/>
        </w:rPr>
        <w:t xml:space="preserve"> </w:t>
      </w:r>
      <w:r w:rsidRPr="00437109">
        <w:rPr>
          <w:rFonts w:cs="Arial"/>
          <w:rtl/>
        </w:rPr>
        <w:t>היתה כתובתה מנה, ומכרה שוה מנה ודינר</w:t>
      </w:r>
      <w:r>
        <w:rPr>
          <w:rStyle w:val="a7"/>
          <w:rFonts w:cs="Arial"/>
          <w:rtl/>
        </w:rPr>
        <w:footnoteReference w:id="2669"/>
      </w:r>
      <w:r w:rsidRPr="00437109">
        <w:rPr>
          <w:rFonts w:cs="Arial"/>
          <w:rtl/>
        </w:rPr>
        <w:t xml:space="preserve"> במנה - מכרה בטל</w:t>
      </w:r>
      <w:r>
        <w:rPr>
          <w:rStyle w:val="a7"/>
          <w:rFonts w:cs="Arial"/>
          <w:rtl/>
        </w:rPr>
        <w:footnoteReference w:id="2670"/>
      </w:r>
      <w:r w:rsidRPr="00437109">
        <w:rPr>
          <w:rFonts w:cs="Arial"/>
          <w:rtl/>
        </w:rPr>
        <w:t>, אפילו היא אומרת אחזיר דינר ליורשין - מכרה בטל</w:t>
      </w:r>
      <w:r>
        <w:rPr>
          <w:rFonts w:cs="Arial" w:hint="cs"/>
          <w:rtl/>
        </w:rPr>
        <w:t>.</w:t>
      </w:r>
      <w:r w:rsidRPr="00437109">
        <w:rPr>
          <w:rFonts w:cs="Arial"/>
          <w:rtl/>
        </w:rPr>
        <w:t xml:space="preserve"> </w:t>
      </w:r>
      <w:r w:rsidRPr="00437109">
        <w:rPr>
          <w:rFonts w:cs="Arial"/>
          <w:u w:val="single"/>
          <w:rtl/>
        </w:rPr>
        <w:t>רשב"ג אומר</w:t>
      </w:r>
      <w:r w:rsidRPr="00437109">
        <w:rPr>
          <w:rFonts w:cs="Arial"/>
          <w:rtl/>
        </w:rPr>
        <w:t>: לעולם מכרה קיים, עד שתהא שם כדי שתשייר בשדה בת תשעה קבין, ובגנה בת חצי קב, וכדברי רבי עקיבא בית רובע.</w:t>
      </w:r>
      <w:r>
        <w:rPr>
          <w:rFonts w:cs="Arial" w:hint="cs"/>
          <w:rtl/>
        </w:rPr>
        <w:t>..</w:t>
      </w:r>
      <w:r w:rsidRPr="00437109">
        <w:rPr>
          <w:rFonts w:cs="Arial"/>
          <w:rtl/>
        </w:rPr>
        <w:t xml:space="preserve"> </w:t>
      </w:r>
      <w:r w:rsidRPr="0082504A">
        <w:rPr>
          <w:rFonts w:cs="Arial" w:hint="cs"/>
          <w:sz w:val="16"/>
          <w:szCs w:val="16"/>
          <w:rtl/>
        </w:rPr>
        <w:t>(</w:t>
      </w:r>
      <w:r w:rsidRPr="0082504A">
        <w:rPr>
          <w:rFonts w:cs="Arial"/>
          <w:sz w:val="16"/>
          <w:szCs w:val="16"/>
          <w:rtl/>
        </w:rPr>
        <w:t>הרמב"ם בפי"ז מהלכות אישות (שם) פסק כת"ק</w:t>
      </w:r>
      <w:r>
        <w:rPr>
          <w:rFonts w:cs="Arial" w:hint="cs"/>
          <w:sz w:val="16"/>
          <w:szCs w:val="16"/>
          <w:rtl/>
        </w:rPr>
        <w:t>, ב"י)</w:t>
      </w:r>
    </w:p>
    <w:p w14:paraId="4CD72EC2" w14:textId="77777777" w:rsidR="002E5BAD" w:rsidRPr="00437109" w:rsidRDefault="002E5BAD" w:rsidP="002E5BAD">
      <w:pPr>
        <w:rPr>
          <w:u w:val="single"/>
          <w:rtl/>
        </w:rPr>
      </w:pPr>
      <w:r w:rsidRPr="00437109">
        <w:rPr>
          <w:rFonts w:cs="Arial"/>
          <w:u w:val="single"/>
          <w:rtl/>
        </w:rPr>
        <w:t>טעתה ומכרה שוה מנה ודינר במנה</w:t>
      </w:r>
      <w:r w:rsidRPr="00437109">
        <w:rPr>
          <w:rFonts w:hint="cs"/>
          <w:u w:val="single"/>
          <w:rtl/>
        </w:rPr>
        <w:t>:</w:t>
      </w:r>
    </w:p>
    <w:p w14:paraId="7629A3A9" w14:textId="77777777" w:rsidR="002E5BAD" w:rsidRPr="0082504A" w:rsidRDefault="002E5BAD" w:rsidP="00B75458">
      <w:pPr>
        <w:pStyle w:val="ab"/>
        <w:numPr>
          <w:ilvl w:val="0"/>
          <w:numId w:val="192"/>
        </w:numPr>
      </w:pPr>
      <w:r>
        <w:rPr>
          <w:rFonts w:cs="Arial"/>
          <w:rtl/>
        </w:rPr>
        <w:t>רא"ש</w:t>
      </w:r>
      <w:r w:rsidRPr="0082504A">
        <w:rPr>
          <w:rFonts w:cs="Arial"/>
          <w:sz w:val="16"/>
          <w:szCs w:val="16"/>
          <w:rtl/>
        </w:rPr>
        <w:t xml:space="preserve"> (</w:t>
      </w:r>
      <w:r w:rsidRPr="0082504A">
        <w:rPr>
          <w:rFonts w:cs="Arial" w:hint="cs"/>
          <w:sz w:val="16"/>
          <w:szCs w:val="16"/>
          <w:rtl/>
        </w:rPr>
        <w:t xml:space="preserve">פי"א </w:t>
      </w:r>
      <w:r w:rsidRPr="0082504A">
        <w:rPr>
          <w:rFonts w:cs="Arial"/>
          <w:sz w:val="16"/>
          <w:szCs w:val="16"/>
          <w:rtl/>
        </w:rPr>
        <w:t>סי' יז)</w:t>
      </w:r>
      <w:r w:rsidRPr="0082504A">
        <w:rPr>
          <w:rFonts w:cs="Arial" w:hint="cs"/>
          <w:sz w:val="16"/>
          <w:szCs w:val="16"/>
          <w:rtl/>
        </w:rPr>
        <w:t xml:space="preserve"> </w:t>
      </w:r>
      <w:r>
        <w:rPr>
          <w:rFonts w:cs="Arial" w:hint="cs"/>
          <w:rtl/>
        </w:rPr>
        <w:t xml:space="preserve">וטור- </w:t>
      </w:r>
      <w:r w:rsidRPr="00031435">
        <w:rPr>
          <w:rFonts w:cs="Arial"/>
          <w:rtl/>
        </w:rPr>
        <w:t>טעתה ומכרה שוה מנה ודינר במנה או שטעתה אפילו כל שהו</w:t>
      </w:r>
      <w:r>
        <w:rPr>
          <w:rFonts w:cs="Arial" w:hint="cs"/>
          <w:rtl/>
        </w:rPr>
        <w:t>,</w:t>
      </w:r>
      <w:r w:rsidRPr="00031435">
        <w:rPr>
          <w:rFonts w:cs="Arial"/>
          <w:rtl/>
        </w:rPr>
        <w:t xml:space="preserve"> אפילו אם רוצה ליתן ליתומים מה שטעתה </w:t>
      </w:r>
      <w:r>
        <w:rPr>
          <w:rFonts w:cs="Arial" w:hint="cs"/>
          <w:rtl/>
        </w:rPr>
        <w:t xml:space="preserve">- </w:t>
      </w:r>
      <w:r w:rsidRPr="00031435">
        <w:rPr>
          <w:rFonts w:cs="Arial"/>
          <w:rtl/>
        </w:rPr>
        <w:t>מכרה בטל</w:t>
      </w:r>
      <w:r>
        <w:rPr>
          <w:rStyle w:val="a7"/>
          <w:rFonts w:cs="Arial"/>
          <w:rtl/>
        </w:rPr>
        <w:footnoteReference w:id="2671"/>
      </w:r>
      <w:r>
        <w:rPr>
          <w:rFonts w:cs="Arial" w:hint="cs"/>
          <w:rtl/>
        </w:rPr>
        <w:t>.</w:t>
      </w:r>
      <w:r w:rsidRPr="00031435">
        <w:rPr>
          <w:rFonts w:cs="Arial"/>
          <w:rtl/>
        </w:rPr>
        <w:t xml:space="preserve"> </w:t>
      </w:r>
    </w:p>
    <w:p w14:paraId="36788CC5" w14:textId="77777777" w:rsidR="002E5BAD" w:rsidRPr="00E26319" w:rsidRDefault="002E5BAD" w:rsidP="00B75458">
      <w:pPr>
        <w:pStyle w:val="ab"/>
        <w:numPr>
          <w:ilvl w:val="0"/>
          <w:numId w:val="192"/>
        </w:numPr>
        <w:rPr>
          <w:rtl/>
        </w:rPr>
      </w:pPr>
      <w:r>
        <w:rPr>
          <w:rFonts w:cs="Arial" w:hint="cs"/>
          <w:rtl/>
        </w:rPr>
        <w:t>רמב"ם</w:t>
      </w:r>
      <w:r>
        <w:rPr>
          <w:rFonts w:cs="Arial" w:hint="cs"/>
          <w:sz w:val="16"/>
          <w:szCs w:val="16"/>
          <w:rtl/>
        </w:rPr>
        <w:t xml:space="preserve"> (פי"ז הט"ו)</w:t>
      </w:r>
      <w:r>
        <w:rPr>
          <w:rFonts w:cs="Arial" w:hint="cs"/>
          <w:rtl/>
        </w:rPr>
        <w:t xml:space="preserve">- </w:t>
      </w:r>
      <w:r w:rsidRPr="0082504A">
        <w:rPr>
          <w:rFonts w:cs="Arial"/>
          <w:rtl/>
        </w:rPr>
        <w:t>היתה כתובתה מאה ומכרה שוה מאה ודינר במאה מכרה בטל, ואפילו אמרה אני אחזיר את הדינר ליורשים מכרה בטל</w:t>
      </w:r>
      <w:r>
        <w:rPr>
          <w:rFonts w:hint="cs"/>
          <w:rtl/>
        </w:rPr>
        <w:t xml:space="preserve">. </w:t>
      </w:r>
      <w:r w:rsidRPr="007B16F4">
        <w:rPr>
          <w:rFonts w:hint="cs"/>
          <w:color w:val="E36C0A" w:themeColor="accent6" w:themeShade="BF"/>
          <w:rtl/>
        </w:rPr>
        <w:t>(וכ"פ בשו"ע)</w:t>
      </w:r>
    </w:p>
    <w:p w14:paraId="49BD3D8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BED52D4" w14:textId="77777777" w:rsidR="002E5BAD" w:rsidRDefault="002E5BAD" w:rsidP="002E5BAD">
      <w:pPr>
        <w:rPr>
          <w:rFonts w:cs="Arial"/>
          <w:rtl/>
        </w:rPr>
      </w:pPr>
      <w:r>
        <w:rPr>
          <w:rFonts w:cs="Arial"/>
          <w:rtl/>
        </w:rPr>
        <w:t>היתה כתובתה מאה ומכרה שוה מאה ודינר במאה, מכרה בטל</w:t>
      </w:r>
      <w:r>
        <w:rPr>
          <w:rStyle w:val="a7"/>
          <w:rFonts w:cs="Arial"/>
          <w:rtl/>
        </w:rPr>
        <w:footnoteReference w:id="2672"/>
      </w:r>
      <w:r>
        <w:rPr>
          <w:rFonts w:cs="Arial"/>
          <w:rtl/>
        </w:rPr>
        <w:t>. ואפי</w:t>
      </w:r>
      <w:r>
        <w:rPr>
          <w:rFonts w:cs="Arial" w:hint="cs"/>
          <w:rtl/>
        </w:rPr>
        <w:t>לו</w:t>
      </w:r>
      <w:r>
        <w:rPr>
          <w:rFonts w:cs="Arial"/>
          <w:rtl/>
        </w:rPr>
        <w:t xml:space="preserve"> היא אומרת: אני אחזיר את הדינר ליורשים. </w:t>
      </w:r>
    </w:p>
    <w:p w14:paraId="5A8F8E78" w14:textId="77777777" w:rsidR="002E5BAD" w:rsidRDefault="002E5BAD" w:rsidP="002E5BAD">
      <w:pPr>
        <w:rPr>
          <w:rtl/>
        </w:rPr>
      </w:pPr>
    </w:p>
    <w:p w14:paraId="50596A62" w14:textId="77777777" w:rsidR="002E5BAD" w:rsidRDefault="002E5BAD" w:rsidP="002E5BAD">
      <w:pPr>
        <w:pStyle w:val="2"/>
        <w:rPr>
          <w:rtl/>
        </w:rPr>
      </w:pPr>
      <w:r>
        <w:rPr>
          <w:rtl/>
        </w:rPr>
        <w:t>סעיף ח</w:t>
      </w:r>
      <w:r>
        <w:rPr>
          <w:rFonts w:hint="cs"/>
          <w:rtl/>
        </w:rPr>
        <w:t>: מכרה למספר אנשים שוה בשוה ובאחד מהם טעתה.</w:t>
      </w:r>
    </w:p>
    <w:p w14:paraId="115314CF" w14:textId="77777777" w:rsidR="002E5BAD" w:rsidRDefault="002E5BAD" w:rsidP="002E5BAD">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ט</w:t>
      </w:r>
      <w:r w:rsidRPr="00EC2DBD">
        <w:rPr>
          <w:rFonts w:hint="cs"/>
          <w:b/>
          <w:bCs/>
          <w:rtl/>
        </w:rPr>
        <w:t xml:space="preserve"> ע"</w:t>
      </w:r>
      <w:r>
        <w:rPr>
          <w:rFonts w:hint="cs"/>
          <w:b/>
          <w:bCs/>
          <w:rtl/>
        </w:rPr>
        <w:t>א</w:t>
      </w:r>
      <w:r w:rsidRPr="00EC2DBD">
        <w:rPr>
          <w:rFonts w:hint="cs"/>
          <w:b/>
          <w:bCs/>
          <w:rtl/>
        </w:rPr>
        <w:t>:</w:t>
      </w:r>
      <w:r>
        <w:rPr>
          <w:rFonts w:cs="Arial" w:hint="cs"/>
          <w:rtl/>
        </w:rPr>
        <w:t xml:space="preserve"> </w:t>
      </w:r>
      <w:r w:rsidRPr="00B35C87">
        <w:rPr>
          <w:rFonts w:cs="Arial"/>
          <w:rtl/>
        </w:rPr>
        <w:t>כי תיבעי לך - דאמר ליה זיל זבין לי כורא, ואזיל וזבין ליה ליתכא</w:t>
      </w:r>
      <w:r>
        <w:rPr>
          <w:rStyle w:val="a7"/>
          <w:rFonts w:cs="Arial"/>
          <w:rtl/>
        </w:rPr>
        <w:footnoteReference w:id="2673"/>
      </w:r>
      <w:r w:rsidRPr="00B35C87">
        <w:rPr>
          <w:rFonts w:cs="Arial"/>
          <w:rtl/>
        </w:rPr>
        <w:t>, מאי? מי אמרינן, א"ל: דטבא לך עבדי לך, דאי לא מצטרכי לך זוזי</w:t>
      </w:r>
      <w:r>
        <w:rPr>
          <w:rStyle w:val="a7"/>
          <w:rFonts w:cs="Arial"/>
          <w:rtl/>
        </w:rPr>
        <w:footnoteReference w:id="2674"/>
      </w:r>
      <w:r w:rsidRPr="00B35C87">
        <w:rPr>
          <w:rFonts w:cs="Arial"/>
          <w:rtl/>
        </w:rPr>
        <w:t xml:space="preserve"> לא מצית הדרת ביה, או דלמא אמר ליה: לא ניחא לי דליפשו שטרי </w:t>
      </w:r>
      <w:r w:rsidRPr="00B35C87">
        <w:rPr>
          <w:rFonts w:cs="Arial"/>
          <w:rtl/>
        </w:rPr>
        <w:lastRenderedPageBreak/>
        <w:t>עילואי?</w:t>
      </w:r>
      <w:r>
        <w:rPr>
          <w:rFonts w:cs="Arial" w:hint="cs"/>
          <w:rtl/>
        </w:rPr>
        <w:t>...</w:t>
      </w:r>
      <w:r>
        <w:rPr>
          <w:rFonts w:hint="cs"/>
          <w:sz w:val="14"/>
          <w:szCs w:val="14"/>
          <w:rtl/>
        </w:rPr>
        <w:t xml:space="preserve"> (צט:)</w:t>
      </w:r>
      <w:r w:rsidRPr="00044BB5">
        <w:rPr>
          <w:rtl/>
        </w:rPr>
        <w:t xml:space="preserve"> </w:t>
      </w:r>
      <w:r w:rsidRPr="00044BB5">
        <w:rPr>
          <w:rFonts w:cs="Arial"/>
          <w:rtl/>
        </w:rPr>
        <w:t>ת"ש: היתה כתובתה ארבע מאות זוז, מכרה לזה במנה ולזה במנה, ולאחרון יפה מנה ודינר במנה, של אחרון - בטל, ושל כולן - מכרן קיים</w:t>
      </w:r>
      <w:r>
        <w:rPr>
          <w:rStyle w:val="a7"/>
          <w:rFonts w:cs="Arial"/>
          <w:rtl/>
        </w:rPr>
        <w:footnoteReference w:id="2675"/>
      </w:r>
      <w:r w:rsidRPr="00044BB5">
        <w:rPr>
          <w:rFonts w:cs="Arial"/>
          <w:rtl/>
        </w:rPr>
        <w:t>! כדאמר רב שישא בריה דרב אידי: בקטיני</w:t>
      </w:r>
      <w:r>
        <w:rPr>
          <w:rStyle w:val="a7"/>
          <w:rFonts w:cs="Arial"/>
          <w:rtl/>
        </w:rPr>
        <w:footnoteReference w:id="2676"/>
      </w:r>
      <w:r w:rsidRPr="00044BB5">
        <w:rPr>
          <w:rFonts w:cs="Arial"/>
          <w:rtl/>
        </w:rPr>
        <w:t>, הכא נמי בקטיני.</w:t>
      </w:r>
    </w:p>
    <w:p w14:paraId="3B520F8F" w14:textId="77777777" w:rsidR="002E5BAD" w:rsidRPr="00403403" w:rsidRDefault="002E5BAD" w:rsidP="002E5BAD">
      <w:pPr>
        <w:rPr>
          <w:rFonts w:cs="Arial"/>
          <w:u w:val="single"/>
          <w:rtl/>
        </w:rPr>
      </w:pPr>
      <w:r>
        <w:rPr>
          <w:rFonts w:cs="Arial" w:hint="cs"/>
          <w:u w:val="single"/>
          <w:rtl/>
        </w:rPr>
        <w:t>מיש אמר לשלוחו</w:t>
      </w:r>
      <w:r w:rsidRPr="00403403">
        <w:rPr>
          <w:rFonts w:cs="Arial"/>
          <w:u w:val="single"/>
          <w:rtl/>
        </w:rPr>
        <w:t xml:space="preserve"> </w:t>
      </w:r>
      <w:r>
        <w:rPr>
          <w:rFonts w:cs="Arial" w:hint="cs"/>
          <w:u w:val="single"/>
          <w:rtl/>
        </w:rPr>
        <w:t>'</w:t>
      </w:r>
      <w:r w:rsidRPr="00403403">
        <w:rPr>
          <w:rFonts w:cs="Arial"/>
          <w:u w:val="single"/>
          <w:rtl/>
        </w:rPr>
        <w:t>זיל זבין לי כורא</w:t>
      </w:r>
      <w:r>
        <w:rPr>
          <w:rFonts w:cs="Arial" w:hint="cs"/>
          <w:u w:val="single"/>
          <w:rtl/>
        </w:rPr>
        <w:t>'</w:t>
      </w:r>
      <w:r w:rsidRPr="00403403">
        <w:rPr>
          <w:rFonts w:cs="Arial"/>
          <w:u w:val="single"/>
          <w:rtl/>
        </w:rPr>
        <w:t>, ואזיל וזבין ליה ליתכא</w:t>
      </w:r>
      <w:r w:rsidRPr="00403403">
        <w:rPr>
          <w:rFonts w:cs="Arial" w:hint="cs"/>
          <w:u w:val="single"/>
          <w:rtl/>
        </w:rPr>
        <w:t xml:space="preserve"> </w:t>
      </w:r>
      <w:r w:rsidRPr="00403403">
        <w:rPr>
          <w:rFonts w:cs="Arial"/>
          <w:u w:val="single"/>
          <w:rtl/>
        </w:rPr>
        <w:t>–</w:t>
      </w:r>
      <w:r w:rsidRPr="00403403">
        <w:rPr>
          <w:rFonts w:cs="Arial" w:hint="cs"/>
          <w:u w:val="single"/>
          <w:rtl/>
        </w:rPr>
        <w:t xml:space="preserve"> האם המכר קיים:</w:t>
      </w:r>
      <w:r w:rsidRPr="00403403">
        <w:rPr>
          <w:rFonts w:cs="Arial"/>
          <w:u w:val="single"/>
          <w:rtl/>
        </w:rPr>
        <w:t xml:space="preserve">  </w:t>
      </w:r>
    </w:p>
    <w:p w14:paraId="562BA9EE" w14:textId="77777777" w:rsidR="002E5BAD" w:rsidRPr="00152DF5" w:rsidRDefault="002E5BAD" w:rsidP="00B75458">
      <w:pPr>
        <w:pStyle w:val="ab"/>
        <w:numPr>
          <w:ilvl w:val="0"/>
          <w:numId w:val="192"/>
        </w:numPr>
      </w:pPr>
      <w:r>
        <w:rPr>
          <w:rFonts w:cs="Arial" w:hint="cs"/>
          <w:rtl/>
        </w:rPr>
        <w:t xml:space="preserve">רי"ף </w:t>
      </w:r>
      <w:r w:rsidRPr="00403403">
        <w:rPr>
          <w:rFonts w:cs="Arial"/>
          <w:sz w:val="16"/>
          <w:szCs w:val="16"/>
          <w:rtl/>
        </w:rPr>
        <w:t>(נז:)</w:t>
      </w:r>
      <w:r>
        <w:rPr>
          <w:rFonts w:cs="Arial" w:hint="cs"/>
          <w:rtl/>
        </w:rPr>
        <w:t xml:space="preserve"> ורמב"ם</w:t>
      </w:r>
      <w:r>
        <w:rPr>
          <w:rFonts w:cs="Arial" w:hint="cs"/>
          <w:sz w:val="16"/>
          <w:szCs w:val="16"/>
          <w:rtl/>
        </w:rPr>
        <w:t xml:space="preserve"> (פ"א משלוחין ה"ד)</w:t>
      </w:r>
      <w:r>
        <w:rPr>
          <w:rFonts w:cs="Arial" w:hint="cs"/>
          <w:rtl/>
        </w:rPr>
        <w:t>-</w:t>
      </w:r>
      <w:r>
        <w:rPr>
          <w:rFonts w:cs="Arial"/>
          <w:rtl/>
        </w:rPr>
        <w:t xml:space="preserve"> </w:t>
      </w:r>
      <w:r w:rsidRPr="00031435">
        <w:rPr>
          <w:rFonts w:cs="Arial"/>
          <w:rtl/>
        </w:rPr>
        <w:t>מכור לי כורא וזבין לי</w:t>
      </w:r>
      <w:r>
        <w:rPr>
          <w:rFonts w:cs="Arial" w:hint="cs"/>
          <w:rtl/>
        </w:rPr>
        <w:t>ה</w:t>
      </w:r>
      <w:r w:rsidRPr="00031435">
        <w:rPr>
          <w:rFonts w:cs="Arial"/>
          <w:rtl/>
        </w:rPr>
        <w:t xml:space="preserve"> ליתכא </w:t>
      </w:r>
      <w:r>
        <w:rPr>
          <w:rFonts w:cs="Arial" w:hint="cs"/>
          <w:rtl/>
        </w:rPr>
        <w:t xml:space="preserve">- </w:t>
      </w:r>
      <w:r w:rsidRPr="00031435">
        <w:rPr>
          <w:rFonts w:cs="Arial"/>
          <w:rtl/>
        </w:rPr>
        <w:t>המכר בטל</w:t>
      </w:r>
      <w:r>
        <w:rPr>
          <w:rFonts w:cs="Arial" w:hint="cs"/>
          <w:rtl/>
        </w:rPr>
        <w:t>,</w:t>
      </w:r>
      <w:r w:rsidRPr="00031435">
        <w:rPr>
          <w:rFonts w:cs="Arial"/>
          <w:rtl/>
        </w:rPr>
        <w:t xml:space="preserve"> שחשוב כמעביר על דבריו</w:t>
      </w:r>
      <w:r>
        <w:rPr>
          <w:rFonts w:cs="Arial" w:hint="cs"/>
          <w:rtl/>
        </w:rPr>
        <w:t>.</w:t>
      </w:r>
      <w:r w:rsidRPr="00031435">
        <w:rPr>
          <w:rFonts w:cs="Arial"/>
          <w:rtl/>
        </w:rPr>
        <w:t xml:space="preserve"> </w:t>
      </w:r>
      <w:r w:rsidRPr="00DB7F47">
        <w:rPr>
          <w:rFonts w:hint="cs"/>
          <w:color w:val="E36C0A" w:themeColor="accent6" w:themeShade="BF"/>
          <w:rtl/>
        </w:rPr>
        <w:t>(וכ"פ בשו"ע</w:t>
      </w:r>
      <w:r w:rsidRPr="00DB7F47">
        <w:rPr>
          <w:rFonts w:hint="cs"/>
          <w:color w:val="E36C0A" w:themeColor="accent6" w:themeShade="BF"/>
          <w:sz w:val="16"/>
          <w:szCs w:val="16"/>
          <w:rtl/>
        </w:rPr>
        <w:t xml:space="preserve"> </w:t>
      </w:r>
      <w:r>
        <w:rPr>
          <w:rFonts w:hint="cs"/>
          <w:sz w:val="16"/>
          <w:szCs w:val="16"/>
          <w:rtl/>
        </w:rPr>
        <w:t>[בחו"מ סי' קפב ס"ט]</w:t>
      </w:r>
      <w:r w:rsidRPr="00DB7F47">
        <w:rPr>
          <w:rFonts w:hint="cs"/>
          <w:color w:val="E36C0A" w:themeColor="accent6" w:themeShade="BF"/>
          <w:rtl/>
        </w:rPr>
        <w:t>)</w:t>
      </w:r>
    </w:p>
    <w:p w14:paraId="6422E627" w14:textId="77777777" w:rsidR="002E5BAD" w:rsidRPr="00403403" w:rsidRDefault="002E5BAD" w:rsidP="00B75458">
      <w:pPr>
        <w:pStyle w:val="ab"/>
        <w:numPr>
          <w:ilvl w:val="0"/>
          <w:numId w:val="192"/>
        </w:numPr>
        <w:rPr>
          <w:rtl/>
        </w:rPr>
      </w:pPr>
      <w:r w:rsidRPr="00031435">
        <w:rPr>
          <w:rFonts w:cs="Arial"/>
          <w:rtl/>
        </w:rPr>
        <w:t xml:space="preserve">רב האי </w:t>
      </w:r>
      <w:r w:rsidRPr="009139F8">
        <w:rPr>
          <w:rFonts w:cs="Arial"/>
          <w:sz w:val="16"/>
          <w:szCs w:val="16"/>
          <w:rtl/>
        </w:rPr>
        <w:t>(ס' המקח והממכר שער ו</w:t>
      </w:r>
      <w:r>
        <w:rPr>
          <w:rFonts w:cs="Arial" w:hint="cs"/>
          <w:sz w:val="16"/>
          <w:szCs w:val="16"/>
          <w:rtl/>
        </w:rPr>
        <w:t>, הביאוהו הרא"ש [פי"א סי' טו] והטור</w:t>
      </w:r>
      <w:r w:rsidRPr="009139F8">
        <w:rPr>
          <w:rFonts w:cs="Arial"/>
          <w:sz w:val="16"/>
          <w:szCs w:val="16"/>
          <w:rtl/>
        </w:rPr>
        <w:t>)</w:t>
      </w:r>
      <w:r>
        <w:rPr>
          <w:rFonts w:cs="Arial" w:hint="cs"/>
          <w:rtl/>
        </w:rPr>
        <w:t xml:space="preserve">- </w:t>
      </w:r>
      <w:r w:rsidRPr="00031435">
        <w:rPr>
          <w:rFonts w:cs="Arial"/>
          <w:rtl/>
        </w:rPr>
        <w:t xml:space="preserve">מכור לי כורא וזבין ליה לתכא </w:t>
      </w:r>
      <w:r>
        <w:rPr>
          <w:rFonts w:cs="Arial" w:hint="cs"/>
          <w:rtl/>
        </w:rPr>
        <w:t xml:space="preserve">- </w:t>
      </w:r>
      <w:r w:rsidRPr="00031435">
        <w:rPr>
          <w:rFonts w:cs="Arial"/>
          <w:rtl/>
        </w:rPr>
        <w:t>המכר קיים</w:t>
      </w:r>
      <w:r>
        <w:rPr>
          <w:rFonts w:cs="Arial" w:hint="cs"/>
          <w:rtl/>
        </w:rPr>
        <w:t>.</w:t>
      </w:r>
      <w:r w:rsidRPr="00031435">
        <w:rPr>
          <w:rFonts w:cs="Arial"/>
          <w:rtl/>
        </w:rPr>
        <w:t xml:space="preserve"> </w:t>
      </w:r>
    </w:p>
    <w:p w14:paraId="29E44614" w14:textId="77777777" w:rsidR="002E5BAD" w:rsidRPr="00152DF5" w:rsidRDefault="002E5BAD" w:rsidP="002E5BAD">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 xml:space="preserve">צח ע"א: </w:t>
      </w:r>
      <w:r w:rsidRPr="009E3B5F">
        <w:rPr>
          <w:rFonts w:cs="Arial"/>
          <w:u w:val="double"/>
          <w:rtl/>
        </w:rPr>
        <w:t>מתני'</w:t>
      </w:r>
      <w:r w:rsidRPr="009E3B5F">
        <w:rPr>
          <w:rFonts w:cs="Arial" w:hint="cs"/>
          <w:rtl/>
        </w:rPr>
        <w:t xml:space="preserve">:... </w:t>
      </w:r>
      <w:r w:rsidRPr="009E3B5F">
        <w:rPr>
          <w:rFonts w:cs="Arial"/>
          <w:rtl/>
        </w:rPr>
        <w:t>היתה כתובתה ארבע מאות זוז, ומכרה לזה במנה ולזה במנה, ולאחרון יפה מנה ודינר במנה, של אחרון - בטל, ושל כולן - מכרן קיים.</w:t>
      </w:r>
    </w:p>
    <w:p w14:paraId="356133ED" w14:textId="77777777" w:rsidR="002E5BAD" w:rsidRPr="00152DF5" w:rsidRDefault="002E5BAD" w:rsidP="002E5BAD">
      <w:pPr>
        <w:rPr>
          <w:u w:val="single"/>
          <w:rtl/>
        </w:rPr>
      </w:pPr>
      <w:r w:rsidRPr="00152DF5">
        <w:rPr>
          <w:rFonts w:hint="cs"/>
          <w:u w:val="single"/>
          <w:rtl/>
        </w:rPr>
        <w:t xml:space="preserve">מכרה </w:t>
      </w:r>
      <w:r w:rsidRPr="00403403">
        <w:rPr>
          <w:rFonts w:hint="cs"/>
          <w:b/>
          <w:bCs/>
          <w:u w:val="single"/>
          <w:rtl/>
        </w:rPr>
        <w:t>נכסים נפרדים</w:t>
      </w:r>
      <w:r>
        <w:rPr>
          <w:rFonts w:hint="cs"/>
          <w:u w:val="single"/>
          <w:rtl/>
        </w:rPr>
        <w:t xml:space="preserve"> </w:t>
      </w:r>
      <w:r w:rsidRPr="00152DF5">
        <w:rPr>
          <w:rFonts w:hint="cs"/>
          <w:u w:val="single"/>
          <w:rtl/>
        </w:rPr>
        <w:t>למספר אנשים שוה בשוה</w:t>
      </w:r>
      <w:r>
        <w:rPr>
          <w:rFonts w:hint="cs"/>
          <w:u w:val="single"/>
          <w:rtl/>
        </w:rPr>
        <w:t>,</w:t>
      </w:r>
      <w:r w:rsidRPr="00152DF5">
        <w:rPr>
          <w:rFonts w:hint="cs"/>
          <w:u w:val="single"/>
          <w:rtl/>
        </w:rPr>
        <w:t xml:space="preserve"> ובאחד מהם טעתה</w:t>
      </w:r>
      <w:r w:rsidRPr="00152DF5">
        <w:rPr>
          <w:rFonts w:cs="Arial"/>
          <w:u w:val="single"/>
          <w:rtl/>
        </w:rPr>
        <w:t xml:space="preserve"> ומכרה שוה מנה ודינר במנה</w:t>
      </w:r>
      <w:r w:rsidRPr="00152DF5">
        <w:rPr>
          <w:rFonts w:hint="cs"/>
          <w:u w:val="single"/>
          <w:rtl/>
        </w:rPr>
        <w:t>:</w:t>
      </w:r>
    </w:p>
    <w:p w14:paraId="6D11C996" w14:textId="77777777" w:rsidR="002E5BAD" w:rsidRDefault="002E5BAD" w:rsidP="00B75458">
      <w:pPr>
        <w:pStyle w:val="ab"/>
        <w:numPr>
          <w:ilvl w:val="0"/>
          <w:numId w:val="192"/>
        </w:numPr>
      </w:pPr>
      <w:r>
        <w:rPr>
          <w:rFonts w:cs="Arial" w:hint="cs"/>
          <w:rtl/>
        </w:rPr>
        <w:t xml:space="preserve">טור- </w:t>
      </w:r>
      <w:r w:rsidRPr="00031435">
        <w:rPr>
          <w:rFonts w:cs="Arial"/>
          <w:rtl/>
        </w:rPr>
        <w:t>היתה כתובתה ד' מאות</w:t>
      </w:r>
      <w:r>
        <w:rPr>
          <w:rFonts w:cs="Arial" w:hint="cs"/>
          <w:rtl/>
        </w:rPr>
        <w:t>,</w:t>
      </w:r>
      <w:r w:rsidRPr="00031435">
        <w:rPr>
          <w:rFonts w:cs="Arial"/>
          <w:rtl/>
        </w:rPr>
        <w:t xml:space="preserve"> ומכרה לזה במנה ולזה במנה</w:t>
      </w:r>
      <w:r>
        <w:rPr>
          <w:rFonts w:cs="Arial" w:hint="cs"/>
          <w:rtl/>
        </w:rPr>
        <w:t>,</w:t>
      </w:r>
      <w:r w:rsidRPr="00031435">
        <w:rPr>
          <w:rFonts w:cs="Arial"/>
          <w:rtl/>
        </w:rPr>
        <w:t xml:space="preserve"> ולאחרון שוה מנה ודינר במנה</w:t>
      </w:r>
      <w:r>
        <w:rPr>
          <w:rFonts w:cs="Arial" w:hint="cs"/>
          <w:rtl/>
        </w:rPr>
        <w:t xml:space="preserve">, </w:t>
      </w:r>
      <w:r w:rsidRPr="00031435">
        <w:rPr>
          <w:rFonts w:cs="Arial"/>
          <w:rtl/>
        </w:rPr>
        <w:t xml:space="preserve">הראשונים </w:t>
      </w:r>
      <w:r>
        <w:rPr>
          <w:rFonts w:cs="Arial" w:hint="cs"/>
          <w:rtl/>
        </w:rPr>
        <w:t>- מ</w:t>
      </w:r>
      <w:r w:rsidRPr="00031435">
        <w:rPr>
          <w:rFonts w:cs="Arial"/>
          <w:rtl/>
        </w:rPr>
        <w:t>כרן קיים</w:t>
      </w:r>
      <w:r>
        <w:rPr>
          <w:rFonts w:cs="Arial" w:hint="cs"/>
          <w:rtl/>
        </w:rPr>
        <w:t>,</w:t>
      </w:r>
      <w:r w:rsidRPr="00031435">
        <w:rPr>
          <w:rFonts w:cs="Arial"/>
          <w:rtl/>
        </w:rPr>
        <w:t xml:space="preserve"> והאחרון</w:t>
      </w:r>
      <w:r>
        <w:rPr>
          <w:rFonts w:cs="Arial" w:hint="cs"/>
          <w:rtl/>
        </w:rPr>
        <w:t xml:space="preserve"> - </w:t>
      </w:r>
      <w:r w:rsidRPr="00031435">
        <w:rPr>
          <w:rFonts w:cs="Arial"/>
          <w:rtl/>
        </w:rPr>
        <w:t>מכרו בטל</w:t>
      </w:r>
      <w:r>
        <w:rPr>
          <w:rFonts w:cs="Arial" w:hint="cs"/>
          <w:rtl/>
        </w:rPr>
        <w:t>.</w:t>
      </w:r>
      <w:r w:rsidRPr="00031435">
        <w:rPr>
          <w:rFonts w:cs="Arial"/>
          <w:rtl/>
        </w:rPr>
        <w:t xml:space="preserve"> </w:t>
      </w:r>
      <w:r w:rsidRPr="00BB2C57">
        <w:rPr>
          <w:rFonts w:hint="cs"/>
          <w:color w:val="E36C0A" w:themeColor="accent6" w:themeShade="BF"/>
          <w:rtl/>
        </w:rPr>
        <w:t>(וכ"פ בשו"ע)</w:t>
      </w:r>
    </w:p>
    <w:p w14:paraId="5E6F6C10" w14:textId="77777777" w:rsidR="002E5BAD" w:rsidRPr="00152DF5" w:rsidRDefault="002E5BAD" w:rsidP="002E5BAD">
      <w:pPr>
        <w:ind w:left="360"/>
        <w:rPr>
          <w:u w:val="dotted"/>
        </w:rPr>
      </w:pPr>
      <w:r w:rsidRPr="00152DF5">
        <w:rPr>
          <w:rFonts w:hint="cs"/>
          <w:u w:val="dotted"/>
          <w:rtl/>
        </w:rPr>
        <w:t>ומה הדין אם מכרה חלקים של שדה אחת:</w:t>
      </w:r>
    </w:p>
    <w:p w14:paraId="7391834B" w14:textId="77777777" w:rsidR="002E5BAD" w:rsidRPr="00152DF5" w:rsidRDefault="002E5BAD" w:rsidP="00B75458">
      <w:pPr>
        <w:pStyle w:val="ab"/>
        <w:numPr>
          <w:ilvl w:val="0"/>
          <w:numId w:val="192"/>
        </w:numPr>
      </w:pPr>
      <w:r>
        <w:rPr>
          <w:rFonts w:cs="Arial" w:hint="cs"/>
          <w:rtl/>
        </w:rPr>
        <w:t xml:space="preserve">רי"ף </w:t>
      </w:r>
      <w:r w:rsidRPr="00403403">
        <w:rPr>
          <w:rFonts w:cs="Arial"/>
          <w:sz w:val="16"/>
          <w:szCs w:val="16"/>
          <w:rtl/>
        </w:rPr>
        <w:t>(</w:t>
      </w:r>
      <w:r>
        <w:rPr>
          <w:rFonts w:cs="Arial" w:hint="cs"/>
          <w:sz w:val="16"/>
          <w:szCs w:val="16"/>
          <w:rtl/>
        </w:rPr>
        <w:t xml:space="preserve">[נז:] </w:t>
      </w:r>
      <w:r w:rsidRPr="00403403">
        <w:rPr>
          <w:rFonts w:cs="Arial" w:hint="cs"/>
          <w:sz w:val="16"/>
          <w:szCs w:val="16"/>
          <w:rtl/>
        </w:rPr>
        <w:t>להב' הטור</w:t>
      </w:r>
      <w:r w:rsidRPr="00403403">
        <w:rPr>
          <w:rFonts w:cs="Arial"/>
          <w:sz w:val="16"/>
          <w:szCs w:val="16"/>
          <w:rtl/>
        </w:rPr>
        <w:t>)</w:t>
      </w:r>
      <w:r>
        <w:rPr>
          <w:rFonts w:cs="Arial" w:hint="cs"/>
          <w:rtl/>
        </w:rPr>
        <w:t>-</w:t>
      </w:r>
      <w:r>
        <w:rPr>
          <w:rFonts w:cs="Arial"/>
          <w:rtl/>
        </w:rPr>
        <w:t xml:space="preserve"> </w:t>
      </w:r>
      <w:r>
        <w:rPr>
          <w:rFonts w:cs="Arial" w:hint="cs"/>
          <w:rtl/>
        </w:rPr>
        <w:t>כיון שב</w:t>
      </w:r>
      <w:r w:rsidRPr="00031435">
        <w:rPr>
          <w:rFonts w:cs="Arial"/>
          <w:rtl/>
        </w:rPr>
        <w:t xml:space="preserve">מכור לי כורא וזבין לי' ליתכא המכר בטל שחשוב כמעביר על דבריו </w:t>
      </w:r>
      <w:r>
        <w:rPr>
          <w:rFonts w:cs="Arial" w:hint="cs"/>
          <w:rtl/>
        </w:rPr>
        <w:t xml:space="preserve">- </w:t>
      </w:r>
      <w:r w:rsidRPr="00031435">
        <w:rPr>
          <w:rFonts w:cs="Arial"/>
          <w:rtl/>
        </w:rPr>
        <w:t>אפי' הראשונים מכרן בטל אם עשה לכל אחד ואחד שטר בפני עצמו</w:t>
      </w:r>
      <w:r>
        <w:rPr>
          <w:rFonts w:cs="Arial" w:hint="cs"/>
          <w:rtl/>
        </w:rPr>
        <w:t>.</w:t>
      </w:r>
      <w:r w:rsidRPr="00031435">
        <w:rPr>
          <w:rFonts w:cs="Arial"/>
          <w:rtl/>
        </w:rPr>
        <w:t xml:space="preserve"> אא</w:t>
      </w:r>
      <w:r>
        <w:rPr>
          <w:rFonts w:cs="Arial" w:hint="cs"/>
          <w:rtl/>
        </w:rPr>
        <w:t>"</w:t>
      </w:r>
      <w:r w:rsidRPr="00031435">
        <w:rPr>
          <w:rFonts w:cs="Arial"/>
          <w:rtl/>
        </w:rPr>
        <w:t>כ מכרה לכולם בשטר אחד</w:t>
      </w:r>
      <w:r>
        <w:rPr>
          <w:rFonts w:cs="Arial" w:hint="cs"/>
          <w:rtl/>
        </w:rPr>
        <w:t xml:space="preserve">, </w:t>
      </w:r>
      <w:r w:rsidRPr="00031435">
        <w:rPr>
          <w:rFonts w:cs="Arial"/>
          <w:rtl/>
        </w:rPr>
        <w:t>אז מכר הראשונים קיים</w:t>
      </w:r>
      <w:r>
        <w:rPr>
          <w:rStyle w:val="a7"/>
          <w:rFonts w:cs="Arial"/>
          <w:rtl/>
        </w:rPr>
        <w:footnoteReference w:id="2677"/>
      </w:r>
      <w:r>
        <w:rPr>
          <w:rFonts w:cs="Arial" w:hint="cs"/>
          <w:rtl/>
        </w:rPr>
        <w:t>.</w:t>
      </w:r>
      <w:r w:rsidRPr="00031435">
        <w:rPr>
          <w:rFonts w:cs="Arial"/>
          <w:rtl/>
        </w:rPr>
        <w:t xml:space="preserve"> </w:t>
      </w:r>
    </w:p>
    <w:p w14:paraId="3066BA26" w14:textId="77777777" w:rsidR="002E5BAD" w:rsidRDefault="002E5BAD" w:rsidP="00B75458">
      <w:pPr>
        <w:pStyle w:val="ab"/>
        <w:numPr>
          <w:ilvl w:val="0"/>
          <w:numId w:val="192"/>
        </w:numPr>
      </w:pPr>
      <w:r w:rsidRPr="00031435">
        <w:rPr>
          <w:rFonts w:cs="Arial"/>
          <w:rtl/>
        </w:rPr>
        <w:t xml:space="preserve">רב האי </w:t>
      </w:r>
      <w:r w:rsidRPr="009139F8">
        <w:rPr>
          <w:rFonts w:cs="Arial"/>
          <w:sz w:val="16"/>
          <w:szCs w:val="16"/>
          <w:rtl/>
        </w:rPr>
        <w:t>(ס' המקח והממכר שער ו)</w:t>
      </w:r>
      <w:r>
        <w:rPr>
          <w:rFonts w:cs="Arial" w:hint="cs"/>
          <w:rtl/>
        </w:rPr>
        <w:t xml:space="preserve"> ורא"ש </w:t>
      </w:r>
      <w:r>
        <w:rPr>
          <w:rFonts w:cs="Arial" w:hint="cs"/>
          <w:sz w:val="16"/>
          <w:szCs w:val="16"/>
          <w:rtl/>
        </w:rPr>
        <w:t>(פי"א סי' טו, כ"כ הטור בשמו</w:t>
      </w:r>
      <w:r w:rsidRPr="009139F8">
        <w:rPr>
          <w:rStyle w:val="a7"/>
          <w:rFonts w:cs="Arial"/>
          <w:rtl/>
        </w:rPr>
        <w:footnoteReference w:id="2678"/>
      </w:r>
      <w:r>
        <w:rPr>
          <w:rFonts w:cs="Arial" w:hint="cs"/>
          <w:sz w:val="16"/>
          <w:szCs w:val="16"/>
          <w:rtl/>
        </w:rPr>
        <w:t>)</w:t>
      </w:r>
      <w:r>
        <w:rPr>
          <w:rFonts w:cs="Arial" w:hint="cs"/>
          <w:rtl/>
        </w:rPr>
        <w:t>-</w:t>
      </w:r>
      <w:r w:rsidRPr="00031435">
        <w:rPr>
          <w:rFonts w:cs="Arial"/>
          <w:rtl/>
        </w:rPr>
        <w:t xml:space="preserve"> </w:t>
      </w:r>
      <w:r>
        <w:rPr>
          <w:rFonts w:cs="Arial" w:hint="cs"/>
          <w:rtl/>
        </w:rPr>
        <w:t>כיון ש</w:t>
      </w:r>
      <w:r w:rsidRPr="00031435">
        <w:rPr>
          <w:rFonts w:cs="Arial"/>
          <w:rtl/>
        </w:rPr>
        <w:t xml:space="preserve">במכור לי כורא וזבין ליה לתכא המכר קיים </w:t>
      </w:r>
      <w:r>
        <w:rPr>
          <w:rFonts w:cs="Arial" w:hint="cs"/>
          <w:rtl/>
        </w:rPr>
        <w:t>-</w:t>
      </w:r>
      <w:r w:rsidRPr="00031435">
        <w:rPr>
          <w:rFonts w:cs="Arial"/>
          <w:rtl/>
        </w:rPr>
        <w:t xml:space="preserve"> אפילו מכרה לד' בד' שטרות הראשונים מכרן קיים לבד מהאחרון</w:t>
      </w:r>
      <w:r>
        <w:rPr>
          <w:rStyle w:val="a7"/>
          <w:rFonts w:cs="Arial"/>
          <w:rtl/>
        </w:rPr>
        <w:footnoteReference w:id="2679"/>
      </w:r>
      <w:r>
        <w:rPr>
          <w:rFonts w:hint="cs"/>
          <w:rtl/>
        </w:rPr>
        <w:t>.</w:t>
      </w:r>
    </w:p>
    <w:p w14:paraId="70001ED7" w14:textId="77777777" w:rsidR="002E5BAD" w:rsidRPr="00E26319" w:rsidRDefault="002E5BAD" w:rsidP="00B75458">
      <w:pPr>
        <w:pStyle w:val="ab"/>
        <w:numPr>
          <w:ilvl w:val="0"/>
          <w:numId w:val="192"/>
        </w:numPr>
        <w:rPr>
          <w:rtl/>
        </w:rPr>
      </w:pPr>
      <w:r>
        <w:rPr>
          <w:rFonts w:hint="cs"/>
          <w:rtl/>
        </w:rPr>
        <w:t xml:space="preserve">רמב"ם </w:t>
      </w:r>
      <w:r>
        <w:rPr>
          <w:rFonts w:hint="cs"/>
          <w:sz w:val="16"/>
          <w:szCs w:val="16"/>
          <w:rtl/>
        </w:rPr>
        <w:t>([פי"ז מאישות הט"ז] להב' הב"י</w:t>
      </w:r>
      <w:r>
        <w:rPr>
          <w:rStyle w:val="a7"/>
          <w:rtl/>
        </w:rPr>
        <w:footnoteReference w:id="2680"/>
      </w:r>
      <w:r>
        <w:rPr>
          <w:rFonts w:hint="cs"/>
          <w:sz w:val="16"/>
          <w:szCs w:val="16"/>
          <w:rtl/>
        </w:rPr>
        <w:t>)</w:t>
      </w:r>
      <w:r>
        <w:rPr>
          <w:rFonts w:hint="cs"/>
          <w:rtl/>
        </w:rPr>
        <w:t xml:space="preserve">- אע"ג </w:t>
      </w:r>
      <w:r>
        <w:rPr>
          <w:rFonts w:cs="Arial" w:hint="cs"/>
          <w:rtl/>
        </w:rPr>
        <w:t>שב</w:t>
      </w:r>
      <w:r w:rsidRPr="00031435">
        <w:rPr>
          <w:rFonts w:cs="Arial"/>
          <w:rtl/>
        </w:rPr>
        <w:t>מכור לי כורא וזבין לי' ליתכא המכר בטל שחשוב כמעביר על דבריו</w:t>
      </w:r>
      <w:r>
        <w:rPr>
          <w:rFonts w:hint="cs"/>
          <w:rtl/>
        </w:rPr>
        <w:t xml:space="preserve">, </w:t>
      </w:r>
      <w:r>
        <w:rPr>
          <w:rFonts w:cs="Arial" w:hint="cs"/>
          <w:rtl/>
        </w:rPr>
        <w:t xml:space="preserve">מכל מקום </w:t>
      </w:r>
      <w:r w:rsidRPr="000E61EB">
        <w:rPr>
          <w:rFonts w:cs="Arial"/>
          <w:rtl/>
        </w:rPr>
        <w:t xml:space="preserve">אלמנה שמכרה אפילו שדה אחת לד' בני אדם בד' שטרות </w:t>
      </w:r>
      <w:r>
        <w:rPr>
          <w:rFonts w:cs="Arial" w:hint="cs"/>
          <w:rtl/>
        </w:rPr>
        <w:t xml:space="preserve">- </w:t>
      </w:r>
      <w:r w:rsidRPr="000E61EB">
        <w:rPr>
          <w:rFonts w:cs="Arial"/>
          <w:rtl/>
        </w:rPr>
        <w:t>מכרה קיים</w:t>
      </w:r>
      <w:r>
        <w:rPr>
          <w:rFonts w:cs="Arial" w:hint="cs"/>
          <w:rtl/>
        </w:rPr>
        <w:t>, ד</w:t>
      </w:r>
      <w:r w:rsidRPr="000E61EB">
        <w:rPr>
          <w:rFonts w:cs="Arial"/>
          <w:rtl/>
        </w:rPr>
        <w:t>ליכא למיחש</w:t>
      </w:r>
      <w:r>
        <w:rPr>
          <w:rFonts w:cs="Arial" w:hint="cs"/>
          <w:rtl/>
        </w:rPr>
        <w:t xml:space="preserve"> אצלה</w:t>
      </w:r>
      <w:r w:rsidRPr="000E61EB">
        <w:rPr>
          <w:rFonts w:cs="Arial"/>
          <w:rtl/>
        </w:rPr>
        <w:t xml:space="preserve"> לאפושי שטרי</w:t>
      </w:r>
      <w:r>
        <w:rPr>
          <w:rFonts w:cs="Arial" w:hint="cs"/>
          <w:rtl/>
        </w:rPr>
        <w:t>,</w:t>
      </w:r>
      <w:r w:rsidRPr="00642E2F">
        <w:rPr>
          <w:rFonts w:cs="Arial" w:hint="cs"/>
          <w:rtl/>
        </w:rPr>
        <w:t xml:space="preserve"> </w:t>
      </w:r>
      <w:r w:rsidRPr="000E61EB">
        <w:rPr>
          <w:rFonts w:cs="Arial"/>
          <w:rtl/>
        </w:rPr>
        <w:t>דאלמנה לאו שליחותא דיתמי קא עבדה דהא נכסי בחזקת אלמנה קיימי</w:t>
      </w:r>
      <w:r>
        <w:rPr>
          <w:rFonts w:cs="Arial" w:hint="cs"/>
          <w:sz w:val="16"/>
          <w:szCs w:val="16"/>
          <w:rtl/>
        </w:rPr>
        <w:t xml:space="preserve"> (ע"פ ל' הב"י בשם הרמב"ם)</w:t>
      </w:r>
      <w:r>
        <w:rPr>
          <w:rFonts w:cs="Arial" w:hint="cs"/>
          <w:rtl/>
        </w:rPr>
        <w:t>.</w:t>
      </w:r>
      <w:r>
        <w:rPr>
          <w:rFonts w:hint="cs"/>
          <w:rtl/>
        </w:rPr>
        <w:t xml:space="preserve"> </w:t>
      </w:r>
      <w:r w:rsidRPr="00BB2C57">
        <w:rPr>
          <w:rFonts w:hint="cs"/>
          <w:color w:val="E36C0A" w:themeColor="accent6" w:themeShade="BF"/>
          <w:rtl/>
        </w:rPr>
        <w:t>(וכ"פ בשו"ע)</w:t>
      </w:r>
    </w:p>
    <w:p w14:paraId="4FAC128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5042D4" w14:textId="77777777" w:rsidR="002E5BAD" w:rsidRPr="007A3469" w:rsidRDefault="002E5BAD" w:rsidP="002E5BAD">
      <w:pPr>
        <w:rPr>
          <w:rtl/>
        </w:rPr>
        <w:sectPr w:rsidR="002E5BAD" w:rsidRPr="007A3469" w:rsidSect="00A347B3">
          <w:headerReference w:type="default" r:id="rId60"/>
          <w:footnotePr>
            <w:numRestart w:val="eachPage"/>
          </w:footnotePr>
          <w:pgSz w:w="11906" w:h="16838"/>
          <w:pgMar w:top="720" w:right="1134" w:bottom="720" w:left="1134" w:header="0" w:footer="0" w:gutter="0"/>
          <w:cols w:space="720"/>
          <w:bidi/>
          <w:rtlGutter/>
          <w:docGrid w:linePitch="360"/>
        </w:sectPr>
      </w:pPr>
      <w:r>
        <w:rPr>
          <w:rFonts w:cs="Arial"/>
          <w:rtl/>
        </w:rPr>
        <w:t>היתה כתובתה ארבע מאות זוז, ומכרה לזה מנה שוה בשוה, וכן לשני, וכן לשלישי, ומכרה לרביעי שוה מנה ודינר, במנה של רביעי בלבד מכרה בטל.</w:t>
      </w:r>
    </w:p>
    <w:p w14:paraId="7D207ACE" w14:textId="77777777" w:rsidR="002E5BAD" w:rsidRDefault="002E5BAD" w:rsidP="002E5BAD">
      <w:pPr>
        <w:pStyle w:val="1"/>
        <w:rPr>
          <w:rtl/>
        </w:rPr>
      </w:pPr>
      <w:r>
        <w:rPr>
          <w:rFonts w:hint="cs"/>
          <w:rtl/>
        </w:rPr>
        <w:lastRenderedPageBreak/>
        <w:t>סימן קד:</w:t>
      </w:r>
      <w:r w:rsidRPr="00C12B74">
        <w:rPr>
          <w:rtl/>
        </w:rPr>
        <w:t xml:space="preserve"> </w:t>
      </w:r>
      <w:r>
        <w:rPr>
          <w:rFonts w:cs="Arial"/>
          <w:rtl/>
        </w:rPr>
        <w:t xml:space="preserve">בית דין שמכרו וטעו, וכן שאר שלוחין, ובו ו' סעיפים. </w:t>
      </w:r>
    </w:p>
    <w:p w14:paraId="62142F17" w14:textId="77777777" w:rsidR="002E5BAD" w:rsidRDefault="002E5BAD" w:rsidP="002E5BAD">
      <w:pPr>
        <w:pStyle w:val="2"/>
        <w:rPr>
          <w:rtl/>
        </w:rPr>
      </w:pPr>
      <w:r>
        <w:rPr>
          <w:rtl/>
        </w:rPr>
        <w:t>סעיף א</w:t>
      </w:r>
      <w:r>
        <w:rPr>
          <w:rFonts w:hint="cs"/>
          <w:rtl/>
        </w:rPr>
        <w:t>: הכרזה על מכירת הנכסים.</w:t>
      </w:r>
    </w:p>
    <w:p w14:paraId="3B5F61BE" w14:textId="77777777" w:rsidR="002E5BAD" w:rsidRPr="002C711E" w:rsidRDefault="002E5BAD" w:rsidP="002E5BAD">
      <w:pPr>
        <w:rPr>
          <w:rtl/>
        </w:rPr>
      </w:pPr>
      <w:r w:rsidRPr="002C711E">
        <w:rPr>
          <w:rFonts w:cs="Arial" w:hint="cs"/>
          <w:b/>
          <w:bCs/>
          <w:rtl/>
        </w:rPr>
        <w:t xml:space="preserve">ערכין </w:t>
      </w:r>
      <w:r>
        <w:rPr>
          <w:rFonts w:cs="Arial" w:hint="cs"/>
          <w:b/>
          <w:bCs/>
          <w:sz w:val="16"/>
          <w:szCs w:val="16"/>
          <w:rtl/>
        </w:rPr>
        <w:t>(ר"פ שום היתומים)</w:t>
      </w:r>
      <w:r>
        <w:rPr>
          <w:rFonts w:cs="Arial" w:hint="cs"/>
          <w:b/>
          <w:bCs/>
          <w:rtl/>
        </w:rPr>
        <w:t xml:space="preserve"> </w:t>
      </w:r>
      <w:r w:rsidRPr="002C711E">
        <w:rPr>
          <w:rFonts w:cs="Arial" w:hint="cs"/>
          <w:b/>
          <w:bCs/>
          <w:rtl/>
        </w:rPr>
        <w:t xml:space="preserve">כא ע"ב: </w:t>
      </w:r>
      <w:r w:rsidRPr="002C711E">
        <w:rPr>
          <w:rFonts w:cs="Arial"/>
          <w:u w:val="double"/>
          <w:rtl/>
        </w:rPr>
        <w:t>מתני'</w:t>
      </w:r>
      <w:r>
        <w:rPr>
          <w:rFonts w:cs="Arial" w:hint="cs"/>
          <w:rtl/>
        </w:rPr>
        <w:t>:</w:t>
      </w:r>
      <w:r>
        <w:rPr>
          <w:rFonts w:cs="Arial"/>
          <w:rtl/>
        </w:rPr>
        <w:t xml:space="preserve"> שום היתומים שלשים יום, ושום ההקדש ששים יום, ומכריזין בבקר ובערב. </w:t>
      </w:r>
      <w:r>
        <w:rPr>
          <w:rFonts w:hint="cs"/>
          <w:rtl/>
        </w:rPr>
        <w:t xml:space="preserve">       </w:t>
      </w:r>
      <w:r w:rsidRPr="002C711E">
        <w:rPr>
          <w:rFonts w:cs="Arial"/>
          <w:u w:val="double"/>
          <w:rtl/>
        </w:rPr>
        <w:t>גמ'</w:t>
      </w:r>
      <w:r>
        <w:rPr>
          <w:rFonts w:cs="Arial" w:hint="cs"/>
          <w:rtl/>
        </w:rPr>
        <w:t>:</w:t>
      </w:r>
      <w:r>
        <w:rPr>
          <w:rFonts w:cs="Arial"/>
          <w:rtl/>
        </w:rPr>
        <w:t xml:space="preserve"> מאי שנא בבקר ובערב? </w:t>
      </w:r>
      <w:r w:rsidRPr="003E4D8D">
        <w:rPr>
          <w:rFonts w:cs="Arial"/>
          <w:u w:val="single"/>
          <w:rtl/>
        </w:rPr>
        <w:t>אמר רב יהודה אמר רב</w:t>
      </w:r>
      <w:r>
        <w:rPr>
          <w:rFonts w:cs="Arial"/>
          <w:rtl/>
        </w:rPr>
        <w:t>: בשעת הוצאת פועלים ובשעת הכנסת פועלים</w:t>
      </w:r>
      <w:r>
        <w:rPr>
          <w:rStyle w:val="a7"/>
          <w:rFonts w:cs="Arial"/>
          <w:rtl/>
        </w:rPr>
        <w:footnoteReference w:id="2681"/>
      </w:r>
      <w:r>
        <w:rPr>
          <w:rFonts w:cs="Arial" w:hint="cs"/>
          <w:rtl/>
        </w:rPr>
        <w:t>.</w:t>
      </w:r>
      <w:r>
        <w:rPr>
          <w:rFonts w:cs="Arial"/>
          <w:rtl/>
        </w:rPr>
        <w:t xml:space="preserve"> בשעת הוצאת פועלים, דאיכא דניחא למיזבן, אמר להו לפועלים: איזילו סיירו לה ניהלי</w:t>
      </w:r>
      <w:r>
        <w:rPr>
          <w:rFonts w:cs="Arial" w:hint="cs"/>
          <w:rtl/>
        </w:rPr>
        <w:t>.</w:t>
      </w:r>
      <w:r>
        <w:rPr>
          <w:rFonts w:cs="Arial"/>
          <w:rtl/>
        </w:rPr>
        <w:t xml:space="preserve"> בשעת הכנסת פועלים, דנידכר דאמר להו: ניזיל נישיילינהו. תניא נמי הכי: שום היתומים שלשים יום, ושום ההקדש ששים יום, ומכריזין בבקר ובערב, בשעת הוצאת פועלים ובשעת הכנסת פועלים, אומר: שדה פלוני בסימניה ובמצריה כך היא יפה</w:t>
      </w:r>
      <w:r>
        <w:rPr>
          <w:rStyle w:val="a7"/>
          <w:rFonts w:cs="Arial"/>
          <w:rtl/>
        </w:rPr>
        <w:footnoteReference w:id="2682"/>
      </w:r>
      <w:r>
        <w:rPr>
          <w:rFonts w:cs="Arial"/>
          <w:rtl/>
        </w:rPr>
        <w:t xml:space="preserve"> וכך היא שומא</w:t>
      </w:r>
      <w:r>
        <w:rPr>
          <w:rStyle w:val="a7"/>
          <w:rFonts w:cs="Arial"/>
          <w:rtl/>
        </w:rPr>
        <w:footnoteReference w:id="2683"/>
      </w:r>
      <w:r>
        <w:rPr>
          <w:rFonts w:cs="Arial"/>
          <w:rtl/>
        </w:rPr>
        <w:t>, כל הרוצה ליקח יבא ויקח על מנת ליתן לאשה בכתובתה ולבעל חוב בחובו. למה לי למימר על מנת ליתן לאשה כתובתה ולבעל חוב חובו? דאיכא דניחא ליה בבעל חוב דמיקל בזוזי, ואיכא דניחא ליה באשה דשקלה על יד על יד</w:t>
      </w:r>
      <w:r>
        <w:rPr>
          <w:rStyle w:val="a7"/>
          <w:rFonts w:cs="Arial"/>
          <w:rtl/>
        </w:rPr>
        <w:footnoteReference w:id="2684"/>
      </w:r>
      <w:r>
        <w:rPr>
          <w:rFonts w:cs="Arial"/>
          <w:rtl/>
        </w:rPr>
        <w:t>.</w:t>
      </w:r>
      <w:r>
        <w:rPr>
          <w:rFonts w:hint="cs"/>
          <w:sz w:val="14"/>
          <w:szCs w:val="14"/>
          <w:rtl/>
        </w:rPr>
        <w:t xml:space="preserve"> (כב.)</w:t>
      </w:r>
      <w:r w:rsidRPr="003E4D8D">
        <w:rPr>
          <w:rtl/>
        </w:rPr>
        <w:t xml:space="preserve"> </w:t>
      </w:r>
      <w:r w:rsidRPr="003E4D8D">
        <w:rPr>
          <w:rFonts w:cs="Arial"/>
          <w:rtl/>
        </w:rPr>
        <w:t xml:space="preserve">תנו רבנן: שום היתומים שלשים יום, ושום ההקדש ששים יום, </w:t>
      </w:r>
      <w:r w:rsidRPr="00FD1B46">
        <w:rPr>
          <w:rFonts w:cs="Arial"/>
          <w:u w:val="single"/>
          <w:rtl/>
        </w:rPr>
        <w:t>דברי רבי מאיר</w:t>
      </w:r>
      <w:r>
        <w:rPr>
          <w:rFonts w:cs="Arial" w:hint="cs"/>
          <w:rtl/>
        </w:rPr>
        <w:t>.</w:t>
      </w:r>
      <w:r w:rsidRPr="003E4D8D">
        <w:rPr>
          <w:rFonts w:cs="Arial"/>
          <w:rtl/>
        </w:rPr>
        <w:t xml:space="preserve"> </w:t>
      </w:r>
      <w:r w:rsidRPr="00FD1B46">
        <w:rPr>
          <w:rFonts w:cs="Arial"/>
          <w:u w:val="single"/>
          <w:rtl/>
        </w:rPr>
        <w:t>רבי יהודה אומר</w:t>
      </w:r>
      <w:r w:rsidRPr="003E4D8D">
        <w:rPr>
          <w:rFonts w:cs="Arial"/>
          <w:rtl/>
        </w:rPr>
        <w:t>: שום היתומים ששים יום, ושום ההקדש תשעים יום</w:t>
      </w:r>
      <w:r>
        <w:rPr>
          <w:rFonts w:cs="Arial" w:hint="cs"/>
          <w:rtl/>
        </w:rPr>
        <w:t>.</w:t>
      </w:r>
      <w:r w:rsidRPr="003E4D8D">
        <w:rPr>
          <w:rFonts w:cs="Arial"/>
          <w:rtl/>
        </w:rPr>
        <w:t xml:space="preserve"> </w:t>
      </w:r>
      <w:r w:rsidRPr="00FD1B46">
        <w:rPr>
          <w:rFonts w:cs="Arial"/>
          <w:u w:val="single"/>
          <w:rtl/>
        </w:rPr>
        <w:t>וחכמים אומרים</w:t>
      </w:r>
      <w:r w:rsidRPr="003E4D8D">
        <w:rPr>
          <w:rFonts w:cs="Arial"/>
          <w:rtl/>
        </w:rPr>
        <w:t xml:space="preserve">: אחד זה ואחד זה ששים יום. </w:t>
      </w:r>
      <w:r w:rsidRPr="00FD1B46">
        <w:rPr>
          <w:rFonts w:cs="Arial"/>
          <w:u w:val="single"/>
          <w:rtl/>
        </w:rPr>
        <w:t>אמר רב חסדא אמר אבימי</w:t>
      </w:r>
      <w:r>
        <w:rPr>
          <w:rFonts w:cs="Arial" w:hint="cs"/>
          <w:rtl/>
        </w:rPr>
        <w:t>:</w:t>
      </w:r>
      <w:r w:rsidRPr="003E4D8D">
        <w:rPr>
          <w:rFonts w:cs="Arial"/>
          <w:rtl/>
        </w:rPr>
        <w:t xml:space="preserve"> הלכה</w:t>
      </w:r>
      <w:r>
        <w:rPr>
          <w:rFonts w:cs="Arial" w:hint="cs"/>
          <w:rtl/>
        </w:rPr>
        <w:t>,</w:t>
      </w:r>
      <w:r w:rsidRPr="003E4D8D">
        <w:rPr>
          <w:rFonts w:cs="Arial"/>
          <w:rtl/>
        </w:rPr>
        <w:t xml:space="preserve"> שום היתומים ששים יום. </w:t>
      </w:r>
      <w:r w:rsidRPr="00FD1B46">
        <w:rPr>
          <w:rFonts w:cs="Arial"/>
          <w:u w:val="single"/>
          <w:rtl/>
        </w:rPr>
        <w:t>יתיב רבי חייא בר אבין וקאמר</w:t>
      </w:r>
      <w:r w:rsidRPr="003E4D8D">
        <w:rPr>
          <w:rFonts w:cs="Arial"/>
          <w:rtl/>
        </w:rPr>
        <w:t xml:space="preserve"> להא שמעתא. </w:t>
      </w:r>
      <w:r w:rsidRPr="00FD1B46">
        <w:rPr>
          <w:rFonts w:cs="Arial"/>
          <w:u w:val="single"/>
          <w:rtl/>
        </w:rPr>
        <w:t>אמר ליה רב נחמן בר יצחק לרבי חייא בר אבין</w:t>
      </w:r>
      <w:r w:rsidRPr="003E4D8D">
        <w:rPr>
          <w:rFonts w:cs="Arial"/>
          <w:rtl/>
        </w:rPr>
        <w:t xml:space="preserve">: ששים קאמרת או שלשים קאמרת? </w:t>
      </w:r>
      <w:r w:rsidRPr="00FD1B46">
        <w:rPr>
          <w:rFonts w:cs="Arial"/>
          <w:u w:val="single"/>
          <w:rtl/>
        </w:rPr>
        <w:t>אמר ליה</w:t>
      </w:r>
      <w:r w:rsidRPr="003E4D8D">
        <w:rPr>
          <w:rFonts w:cs="Arial"/>
          <w:rtl/>
        </w:rPr>
        <w:t xml:space="preserve">: ששים. דיתומים או דהקדש? </w:t>
      </w:r>
      <w:r w:rsidRPr="00FD1B46">
        <w:rPr>
          <w:rFonts w:cs="Arial"/>
          <w:u w:val="single"/>
          <w:rtl/>
        </w:rPr>
        <w:t>אמר ליה</w:t>
      </w:r>
      <w:r w:rsidRPr="003E4D8D">
        <w:rPr>
          <w:rFonts w:cs="Arial"/>
          <w:rtl/>
        </w:rPr>
        <w:t xml:space="preserve">: דיתומים. כרבי מאיר או כרבי יהודה? </w:t>
      </w:r>
      <w:r w:rsidRPr="00FD1B46">
        <w:rPr>
          <w:rFonts w:cs="Arial"/>
          <w:u w:val="single"/>
          <w:rtl/>
        </w:rPr>
        <w:t>אמר ליה</w:t>
      </w:r>
      <w:r w:rsidRPr="003E4D8D">
        <w:rPr>
          <w:rFonts w:cs="Arial"/>
          <w:rtl/>
        </w:rPr>
        <w:t xml:space="preserve">: כרבי מאיר. והא רבי מאיר שלשים קאמר! </w:t>
      </w:r>
      <w:r w:rsidRPr="00FD1B46">
        <w:rPr>
          <w:rFonts w:cs="Arial"/>
          <w:u w:val="single"/>
          <w:rtl/>
        </w:rPr>
        <w:t>אמר ליה</w:t>
      </w:r>
      <w:r w:rsidRPr="003E4D8D">
        <w:rPr>
          <w:rFonts w:cs="Arial"/>
          <w:rtl/>
        </w:rPr>
        <w:t>: הכי אמר רב חסדא, מאבימי קולפי טאבי בלעי עלה דהא שמעתא: בא להכריז רצופים - שלשים, בשני ובחמישי - ששים, ואף על גב דכי חשיב להו מר ליומי הכרזה לא הוו אלא תמניסר יומי, כיון דמשכא מילתא שמעי אינשי.</w:t>
      </w:r>
      <w:r w:rsidRPr="00FD1B46">
        <w:rPr>
          <w:rFonts w:cs="Arial"/>
          <w:sz w:val="16"/>
          <w:szCs w:val="16"/>
          <w:rtl/>
        </w:rPr>
        <w:t xml:space="preserve"> </w:t>
      </w:r>
      <w:r>
        <w:rPr>
          <w:rFonts w:cs="Arial" w:hint="cs"/>
          <w:sz w:val="16"/>
          <w:szCs w:val="16"/>
          <w:rtl/>
        </w:rPr>
        <w:t>(</w:t>
      </w:r>
      <w:r w:rsidRPr="00FD1B46">
        <w:rPr>
          <w:rFonts w:cs="Arial"/>
          <w:sz w:val="16"/>
          <w:szCs w:val="16"/>
          <w:rtl/>
        </w:rPr>
        <w:t>וכתבו הרי"ף בפרק אלמנה נזונת (נח:)</w:t>
      </w:r>
      <w:r>
        <w:rPr>
          <w:rFonts w:cs="Arial" w:hint="cs"/>
          <w:sz w:val="16"/>
          <w:szCs w:val="16"/>
          <w:rtl/>
        </w:rPr>
        <w:t>, ב"י)</w:t>
      </w:r>
    </w:p>
    <w:p w14:paraId="55358E70" w14:textId="77777777" w:rsidR="002E5BAD" w:rsidRDefault="002E5BAD" w:rsidP="002E5BAD">
      <w:pPr>
        <w:rPr>
          <w:rtl/>
        </w:rPr>
      </w:pPr>
      <w:r w:rsidRPr="002C711E">
        <w:rPr>
          <w:rFonts w:cs="Arial" w:hint="cs"/>
          <w:b/>
          <w:bCs/>
          <w:rtl/>
        </w:rPr>
        <w:t>כת</w:t>
      </w:r>
      <w:r>
        <w:rPr>
          <w:rFonts w:cs="Arial" w:hint="cs"/>
          <w:b/>
          <w:bCs/>
          <w:rtl/>
        </w:rPr>
        <w:t>ו</w:t>
      </w:r>
      <w:r w:rsidRPr="002C711E">
        <w:rPr>
          <w:rFonts w:cs="Arial" w:hint="cs"/>
          <w:b/>
          <w:bCs/>
          <w:rtl/>
        </w:rPr>
        <w:t xml:space="preserve">בות </w:t>
      </w:r>
      <w:r>
        <w:rPr>
          <w:rFonts w:cs="Arial" w:hint="cs"/>
          <w:b/>
          <w:bCs/>
          <w:sz w:val="16"/>
          <w:szCs w:val="16"/>
          <w:rtl/>
        </w:rPr>
        <w:t>(פ' אלמנה ניזונת)</w:t>
      </w:r>
      <w:r>
        <w:rPr>
          <w:rFonts w:cs="Arial" w:hint="cs"/>
          <w:b/>
          <w:bCs/>
          <w:rtl/>
        </w:rPr>
        <w:t xml:space="preserve"> </w:t>
      </w:r>
      <w:r w:rsidRPr="002C711E">
        <w:rPr>
          <w:rFonts w:cs="Arial" w:hint="cs"/>
          <w:b/>
          <w:bCs/>
          <w:rtl/>
        </w:rPr>
        <w:t xml:space="preserve">ק ע"ב: </w:t>
      </w:r>
      <w:r w:rsidRPr="002C711E">
        <w:rPr>
          <w:rFonts w:cs="Arial"/>
          <w:u w:val="single"/>
          <w:rtl/>
        </w:rPr>
        <w:t>אמר אמימר משמיה דרב יוסף</w:t>
      </w:r>
      <w:r w:rsidRPr="002C711E">
        <w:rPr>
          <w:rFonts w:cs="Arial"/>
          <w:rtl/>
        </w:rPr>
        <w:t>: ב"ד שמכרו בלא הכרזה, נעשו כמי שטעו בדבר משנה וחוזרין</w:t>
      </w:r>
      <w:r>
        <w:rPr>
          <w:rFonts w:cs="Arial" w:hint="cs"/>
          <w:rtl/>
        </w:rPr>
        <w:t>.</w:t>
      </w:r>
      <w:r w:rsidRPr="002C711E">
        <w:rPr>
          <w:rFonts w:cs="Arial"/>
          <w:rtl/>
        </w:rPr>
        <w:t xml:space="preserve"> נעשו? ודאי טעו! דתנן. שום היתומין - שלשים יום, ושום ההקדש - ששים יום, ומכריזין בבקר ובערב! אי מההיא הוה אמינא ה"מ שליח, אבל ב"ד לא, קמ"ל.</w:t>
      </w:r>
    </w:p>
    <w:p w14:paraId="02A6456B" w14:textId="77777777" w:rsidR="002E5BAD" w:rsidRPr="003E4D8D" w:rsidRDefault="002E5BAD" w:rsidP="002E5BAD">
      <w:pPr>
        <w:rPr>
          <w:u w:val="single"/>
          <w:rtl/>
        </w:rPr>
      </w:pPr>
      <w:r w:rsidRPr="003E4D8D">
        <w:rPr>
          <w:rFonts w:hint="cs"/>
          <w:u w:val="single"/>
          <w:rtl/>
        </w:rPr>
        <w:t>הכרזה על מכירת הנכסים כדי להגבות לאלמנה כתובתה:</w:t>
      </w:r>
    </w:p>
    <w:p w14:paraId="3FC1CE79" w14:textId="77777777" w:rsidR="002E5BAD" w:rsidRPr="000F0969" w:rsidRDefault="002E5BAD" w:rsidP="00B75458">
      <w:pPr>
        <w:pStyle w:val="ab"/>
        <w:numPr>
          <w:ilvl w:val="0"/>
          <w:numId w:val="195"/>
        </w:numPr>
        <w:rPr>
          <w:rtl/>
        </w:rPr>
      </w:pPr>
      <w:r>
        <w:rPr>
          <w:rFonts w:cs="Arial" w:hint="cs"/>
          <w:rtl/>
        </w:rPr>
        <w:t xml:space="preserve">טור- </w:t>
      </w:r>
      <w:r w:rsidRPr="002C73A2">
        <w:rPr>
          <w:rFonts w:cs="Arial"/>
          <w:rtl/>
        </w:rPr>
        <w:t xml:space="preserve">בית דין שמוכרין להגבות לאלמנה כתובתה </w:t>
      </w:r>
      <w:r>
        <w:rPr>
          <w:rFonts w:cs="Arial" w:hint="cs"/>
          <w:rtl/>
        </w:rPr>
        <w:t xml:space="preserve">- </w:t>
      </w:r>
      <w:r w:rsidRPr="002C73A2">
        <w:rPr>
          <w:rFonts w:cs="Arial"/>
          <w:rtl/>
        </w:rPr>
        <w:t>אין מוכרין אלא בהכרזה</w:t>
      </w:r>
      <w:r>
        <w:rPr>
          <w:rFonts w:cs="Arial" w:hint="cs"/>
          <w:rtl/>
        </w:rPr>
        <w:t>,</w:t>
      </w:r>
      <w:r w:rsidRPr="002C73A2">
        <w:rPr>
          <w:rFonts w:cs="Arial"/>
          <w:rtl/>
        </w:rPr>
        <w:t xml:space="preserve"> ומכריזין ל' יום רצופין זה אחר זה</w:t>
      </w:r>
      <w:r>
        <w:rPr>
          <w:rFonts w:cs="Arial" w:hint="cs"/>
          <w:rtl/>
        </w:rPr>
        <w:t>.</w:t>
      </w:r>
      <w:r w:rsidRPr="002C73A2">
        <w:rPr>
          <w:rFonts w:cs="Arial"/>
          <w:rtl/>
        </w:rPr>
        <w:t xml:space="preserve"> ואם אינם רוצים להכריז רצופים אלא בכל יום שני וחמישי</w:t>
      </w:r>
      <w:r>
        <w:rPr>
          <w:rFonts w:cs="Arial" w:hint="cs"/>
          <w:rtl/>
        </w:rPr>
        <w:t xml:space="preserve"> -</w:t>
      </w:r>
      <w:r w:rsidRPr="002C73A2">
        <w:rPr>
          <w:rFonts w:cs="Arial"/>
          <w:rtl/>
        </w:rPr>
        <w:t xml:space="preserve"> יכריזו ס' יום</w:t>
      </w:r>
      <w:r>
        <w:rPr>
          <w:rFonts w:cs="Arial" w:hint="cs"/>
          <w:rtl/>
        </w:rPr>
        <w:t>,</w:t>
      </w:r>
      <w:r w:rsidRPr="002C73A2">
        <w:rPr>
          <w:rFonts w:cs="Arial"/>
          <w:rtl/>
        </w:rPr>
        <w:t xml:space="preserve"> בכל ב' וה'</w:t>
      </w:r>
      <w:r>
        <w:rPr>
          <w:rFonts w:cs="Arial" w:hint="cs"/>
          <w:rtl/>
        </w:rPr>
        <w:t>.</w:t>
      </w:r>
      <w:r w:rsidRPr="002C73A2">
        <w:rPr>
          <w:rFonts w:cs="Arial"/>
          <w:rtl/>
        </w:rPr>
        <w:t xml:space="preserve"> כיצד מכריזין</w:t>
      </w:r>
      <w:r>
        <w:rPr>
          <w:rFonts w:cs="Arial" w:hint="cs"/>
          <w:rtl/>
        </w:rPr>
        <w:t>,</w:t>
      </w:r>
      <w:r w:rsidRPr="002C73A2">
        <w:rPr>
          <w:rFonts w:cs="Arial"/>
          <w:rtl/>
        </w:rPr>
        <w:t xml:space="preserve"> הכרוז יוצא פעם אחת בבקר בשעת הכנסת פועלים</w:t>
      </w:r>
      <w:r>
        <w:rPr>
          <w:rFonts w:cs="Arial" w:hint="cs"/>
          <w:rtl/>
        </w:rPr>
        <w:t>,</w:t>
      </w:r>
      <w:r w:rsidRPr="002C73A2">
        <w:rPr>
          <w:rFonts w:cs="Arial"/>
          <w:rtl/>
        </w:rPr>
        <w:t xml:space="preserve"> ופעם אחת בערב בשעת הוצאת פועלים</w:t>
      </w:r>
      <w:r>
        <w:rPr>
          <w:rFonts w:cs="Arial" w:hint="cs"/>
          <w:rtl/>
        </w:rPr>
        <w:t>,</w:t>
      </w:r>
      <w:r w:rsidRPr="002C73A2">
        <w:rPr>
          <w:rFonts w:cs="Arial"/>
          <w:rtl/>
        </w:rPr>
        <w:t xml:space="preserve"> שדה פלוני שסימניה כך וכך ומצריה כך וכך עומדת לימכר כל הרוצה ליקח יבא ויקח</w:t>
      </w:r>
      <w:r>
        <w:rPr>
          <w:rFonts w:cs="Arial" w:hint="cs"/>
          <w:rtl/>
        </w:rPr>
        <w:t>.</w:t>
      </w:r>
      <w:r w:rsidRPr="002C73A2">
        <w:rPr>
          <w:rFonts w:cs="Arial"/>
          <w:rtl/>
        </w:rPr>
        <w:t xml:space="preserve"> ויפרש הכרוז שמוכרין אותה כדי לפרוע לאשה כתובתה</w:t>
      </w:r>
      <w:r>
        <w:rPr>
          <w:rFonts w:cs="Arial" w:hint="cs"/>
          <w:rtl/>
        </w:rPr>
        <w:t>,</w:t>
      </w:r>
      <w:r w:rsidRPr="002C73A2">
        <w:rPr>
          <w:rFonts w:cs="Arial"/>
          <w:rtl/>
        </w:rPr>
        <w:t xml:space="preserve"> שלא יסבור הלוקח שנמכרה כדי לפרוע לב"ח</w:t>
      </w:r>
      <w:r>
        <w:rPr>
          <w:rFonts w:cs="Arial" w:hint="cs"/>
          <w:rtl/>
        </w:rPr>
        <w:t>,</w:t>
      </w:r>
      <w:r w:rsidRPr="002C73A2">
        <w:rPr>
          <w:rFonts w:cs="Arial"/>
          <w:rtl/>
        </w:rPr>
        <w:t xml:space="preserve"> שיש מי שרוצה יותר ליתן לאשה מפני שלוקחת המעות מעט מעט</w:t>
      </w:r>
      <w:r>
        <w:rPr>
          <w:rFonts w:cs="Arial" w:hint="cs"/>
          <w:rtl/>
        </w:rPr>
        <w:t>.</w:t>
      </w:r>
      <w:r w:rsidRPr="005B7292">
        <w:rPr>
          <w:rFonts w:cs="Arial"/>
          <w:color w:val="E36C0A" w:themeColor="accent6" w:themeShade="BF"/>
          <w:rtl/>
        </w:rPr>
        <w:t xml:space="preserve"> </w:t>
      </w:r>
      <w:r w:rsidRPr="005B7292">
        <w:rPr>
          <w:rFonts w:hint="cs"/>
          <w:color w:val="E36C0A" w:themeColor="accent6" w:themeShade="BF"/>
          <w:rtl/>
        </w:rPr>
        <w:t>(וכ"פ בשו"ע)</w:t>
      </w:r>
    </w:p>
    <w:p w14:paraId="091ABF1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20C81D" w14:textId="77777777" w:rsidR="002E5BAD" w:rsidRDefault="002E5BAD" w:rsidP="002E5BAD">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שמוכרים להגבות לאלמנה</w:t>
      </w:r>
      <w:r>
        <w:rPr>
          <w:rStyle w:val="a7"/>
          <w:rFonts w:cs="Arial"/>
          <w:rtl/>
        </w:rPr>
        <w:footnoteReference w:id="2685"/>
      </w:r>
      <w:r>
        <w:rPr>
          <w:rFonts w:cs="Arial"/>
          <w:rtl/>
        </w:rPr>
        <w:t xml:space="preserve"> כתובתה, אין מוכרים אלא בהכרזה. ומכריזים שלשים יום רצופים, או ששים יום שני וחמישי. ומכריזין בבקר ובערב. ובשעה שמכריזין מסיימין השדה במצריה ומודיעים כמה היא יפה ובכמה היא שומא, ושרוצים למכרה כדי להגבות לאשה כתובתה. </w:t>
      </w:r>
    </w:p>
    <w:p w14:paraId="1EA9F1AE" w14:textId="77777777" w:rsidR="002E5BAD" w:rsidRDefault="002E5BAD" w:rsidP="002E5BAD">
      <w:pPr>
        <w:rPr>
          <w:rtl/>
        </w:rPr>
      </w:pPr>
    </w:p>
    <w:p w14:paraId="78A95E53" w14:textId="77777777" w:rsidR="002E5BAD" w:rsidRDefault="002E5BAD" w:rsidP="002E5BAD">
      <w:pPr>
        <w:pStyle w:val="2"/>
        <w:rPr>
          <w:rtl/>
        </w:rPr>
      </w:pPr>
      <w:r>
        <w:rPr>
          <w:rtl/>
        </w:rPr>
        <w:lastRenderedPageBreak/>
        <w:t>סעיף ב</w:t>
      </w:r>
      <w:r>
        <w:rPr>
          <w:rFonts w:hint="cs"/>
          <w:rtl/>
        </w:rPr>
        <w:t>: בית דין שלא הכריזו, וטעו.</w:t>
      </w:r>
    </w:p>
    <w:p w14:paraId="1494863F" w14:textId="77777777" w:rsidR="002E5BAD" w:rsidRPr="00FF1A47" w:rsidRDefault="002E5BAD" w:rsidP="002E5BAD">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צ</w:t>
      </w:r>
      <w:r>
        <w:rPr>
          <w:rFonts w:hint="cs"/>
          <w:b/>
          <w:bCs/>
          <w:rtl/>
        </w:rPr>
        <w:t>ט</w:t>
      </w:r>
      <w:r w:rsidRPr="009E3B5F">
        <w:rPr>
          <w:rFonts w:hint="cs"/>
          <w:b/>
          <w:bCs/>
          <w:rtl/>
        </w:rPr>
        <w:t xml:space="preserve"> ע"</w:t>
      </w:r>
      <w:r>
        <w:rPr>
          <w:rFonts w:hint="cs"/>
          <w:b/>
          <w:bCs/>
          <w:rtl/>
        </w:rPr>
        <w:t>ב</w:t>
      </w:r>
      <w:r w:rsidRPr="009E3B5F">
        <w:rPr>
          <w:rFonts w:hint="cs"/>
          <w:b/>
          <w:bCs/>
          <w:rtl/>
        </w:rPr>
        <w:t xml:space="preserve">: </w:t>
      </w:r>
      <w:r w:rsidRPr="009E3B5F">
        <w:rPr>
          <w:rFonts w:cs="Arial"/>
          <w:u w:val="double"/>
          <w:rtl/>
        </w:rPr>
        <w:t>מתני'</w:t>
      </w:r>
      <w:r w:rsidRPr="009E3B5F">
        <w:rPr>
          <w:rFonts w:cs="Arial" w:hint="cs"/>
          <w:rtl/>
        </w:rPr>
        <w:t>:</w:t>
      </w:r>
      <w:r w:rsidRPr="007A6D4A">
        <w:rPr>
          <w:rFonts w:cs="Arial"/>
          <w:rtl/>
        </w:rPr>
        <w:t xml:space="preserve"> שום הדיינין שפיחתו שתות או הוסיפו שתות - מכרן בטל</w:t>
      </w:r>
      <w:r>
        <w:rPr>
          <w:rFonts w:cs="Arial" w:hint="cs"/>
          <w:rtl/>
        </w:rPr>
        <w:t>.</w:t>
      </w:r>
      <w:r w:rsidRPr="007A6D4A">
        <w:rPr>
          <w:rFonts w:cs="Arial"/>
          <w:rtl/>
        </w:rPr>
        <w:t xml:space="preserve"> </w:t>
      </w:r>
      <w:r w:rsidRPr="007A6D4A">
        <w:rPr>
          <w:rFonts w:cs="Arial"/>
          <w:u w:val="single"/>
          <w:rtl/>
        </w:rPr>
        <w:t>רשב"ג אומר</w:t>
      </w:r>
      <w:r w:rsidRPr="007A6D4A">
        <w:rPr>
          <w:rFonts w:cs="Arial"/>
          <w:rtl/>
        </w:rPr>
        <w:t>: מכרן קיים, אם כן, מה כח בית דין יפה. אבל אם עשו אגרת בקורת</w:t>
      </w:r>
      <w:r>
        <w:rPr>
          <w:rStyle w:val="a7"/>
          <w:rFonts w:cs="Arial"/>
          <w:rtl/>
        </w:rPr>
        <w:footnoteReference w:id="2686"/>
      </w:r>
      <w:r w:rsidRPr="007A6D4A">
        <w:rPr>
          <w:rFonts w:cs="Arial"/>
          <w:rtl/>
        </w:rPr>
        <w:t xml:space="preserve"> ביניהן, אפילו מכרו שוה מנה במאתים או שוה מאתים במנה - מכרן קיים.</w:t>
      </w:r>
      <w:r>
        <w:rPr>
          <w:rFonts w:cs="Arial" w:hint="cs"/>
          <w:rtl/>
        </w:rPr>
        <w:t xml:space="preserve">        </w:t>
      </w:r>
      <w:r w:rsidRPr="000C4C4A">
        <w:rPr>
          <w:rFonts w:cs="Arial"/>
          <w:u w:val="double"/>
          <w:rtl/>
        </w:rPr>
        <w:t>גמ'</w:t>
      </w:r>
      <w:r w:rsidRPr="000C4C4A">
        <w:rPr>
          <w:rFonts w:cs="Arial" w:hint="cs"/>
          <w:sz w:val="14"/>
          <w:szCs w:val="14"/>
          <w:u w:val="double"/>
          <w:rtl/>
        </w:rPr>
        <w:t>(ק.)</w:t>
      </w:r>
      <w:r w:rsidRPr="000C4C4A">
        <w:rPr>
          <w:rFonts w:cs="Arial" w:hint="cs"/>
          <w:u w:val="double"/>
          <w:rtl/>
        </w:rPr>
        <w:t>:</w:t>
      </w:r>
      <w:r w:rsidRPr="000C4C4A">
        <w:rPr>
          <w:rtl/>
        </w:rPr>
        <w:t xml:space="preserve"> </w:t>
      </w:r>
      <w:r w:rsidRPr="000C4C4A">
        <w:rPr>
          <w:rFonts w:cs="Arial"/>
          <w:u w:val="single"/>
          <w:rtl/>
        </w:rPr>
        <w:t>אמר רב הונא בר חנינא אמר ר"נ</w:t>
      </w:r>
      <w:r w:rsidRPr="000C4C4A">
        <w:rPr>
          <w:rFonts w:cs="Arial"/>
          <w:rtl/>
        </w:rPr>
        <w:t>: הלכה כדברי חכמים. ולית ליה לר"נ מה כח ב"ד יפה? והאמר ר"נ אמר שמואל: יתומים שבאו לחלוק בנכסי אביהן, ב"ד מעמידין להן אפוטרופוס ובוררין להם חלק יפה, הגדילו - יכולין למחות</w:t>
      </w:r>
      <w:r>
        <w:rPr>
          <w:rFonts w:cs="Arial" w:hint="cs"/>
          <w:rtl/>
        </w:rPr>
        <w:t>.</w:t>
      </w:r>
      <w:r w:rsidRPr="000C4C4A">
        <w:rPr>
          <w:rFonts w:cs="Arial"/>
          <w:rtl/>
        </w:rPr>
        <w:t xml:space="preserve"> ור"נ דידיה אמר: הגדילו - אין יכולין למחות, א"כ, מה כח ב"ד יפה! לא קשיא: הא דטעו, הא דלא טעו. אי דלא טעו, במאי יכולין למחות? ברוחות</w:t>
      </w:r>
      <w:r>
        <w:rPr>
          <w:rStyle w:val="a7"/>
          <w:rFonts w:cs="Arial"/>
          <w:rtl/>
        </w:rPr>
        <w:footnoteReference w:id="2687"/>
      </w:r>
      <w:r w:rsidRPr="000C4C4A">
        <w:rPr>
          <w:rFonts w:cs="Arial"/>
          <w:rtl/>
        </w:rPr>
        <w:t xml:space="preserve">. </w:t>
      </w:r>
      <w:r w:rsidRPr="000C4C4A">
        <w:rPr>
          <w:rFonts w:cs="Arial"/>
          <w:u w:val="single"/>
          <w:rtl/>
        </w:rPr>
        <w:t>כי אתא רב דימי אמר</w:t>
      </w:r>
      <w:r w:rsidRPr="000C4C4A">
        <w:rPr>
          <w:rFonts w:cs="Arial"/>
          <w:rtl/>
        </w:rPr>
        <w:t>: מעשה ועשה רבי כדברי חכמים, אמר לפניו פרטא בנו של רבי אלעזר בן פרטא בן בנו של ר' פרטא הגדול: א"כ: מה כח ב"ד יפה? והחזיר רבי את המעשה</w:t>
      </w:r>
      <w:r>
        <w:rPr>
          <w:rStyle w:val="a7"/>
          <w:rFonts w:cs="Arial"/>
          <w:rtl/>
        </w:rPr>
        <w:footnoteReference w:id="2688"/>
      </w:r>
      <w:r w:rsidRPr="000C4C4A">
        <w:rPr>
          <w:rFonts w:cs="Arial"/>
          <w:rtl/>
        </w:rPr>
        <w:t>.</w:t>
      </w:r>
      <w:r>
        <w:rPr>
          <w:rFonts w:cs="Arial" w:hint="cs"/>
          <w:rtl/>
        </w:rPr>
        <w:t>..</w:t>
      </w:r>
      <w:r>
        <w:rPr>
          <w:rFonts w:cs="Arial" w:hint="cs"/>
          <w:sz w:val="14"/>
          <w:szCs w:val="14"/>
          <w:rtl/>
        </w:rPr>
        <w:t xml:space="preserve"> (ק:)</w:t>
      </w:r>
      <w:r w:rsidRPr="007A6D4A">
        <w:rPr>
          <w:rFonts w:cs="Arial"/>
          <w:rtl/>
        </w:rPr>
        <w:t xml:space="preserve"> </w:t>
      </w:r>
      <w:r w:rsidRPr="001D0BF2">
        <w:rPr>
          <w:rFonts w:cs="Arial"/>
          <w:u w:val="single"/>
          <w:rtl/>
        </w:rPr>
        <w:t>אמר אמימר משמיה דרב יוסף</w:t>
      </w:r>
      <w:r w:rsidRPr="00744AD3">
        <w:rPr>
          <w:rFonts w:cs="Arial"/>
          <w:rtl/>
        </w:rPr>
        <w:t>: ב"ד שמכרו בלא הכרזה, נעשו כמי שטעו בדבר משנה וחוזרין</w:t>
      </w:r>
      <w:r>
        <w:rPr>
          <w:rFonts w:cs="Arial" w:hint="cs"/>
          <w:rtl/>
        </w:rPr>
        <w:t>..</w:t>
      </w:r>
      <w:r w:rsidRPr="00744AD3">
        <w:rPr>
          <w:rFonts w:cs="Arial"/>
          <w:rtl/>
        </w:rPr>
        <w:t xml:space="preserve">. </w:t>
      </w:r>
      <w:r w:rsidRPr="001D0BF2">
        <w:rPr>
          <w:rFonts w:cs="Arial"/>
          <w:u w:val="single"/>
          <w:rtl/>
        </w:rPr>
        <w:t>איתיביה רב אשי לאמימר</w:t>
      </w:r>
      <w:r w:rsidRPr="00744AD3">
        <w:rPr>
          <w:rFonts w:cs="Arial"/>
          <w:rtl/>
        </w:rPr>
        <w:t>: שום הדיינין שפחתו שתות או הותירו שתות - מכרן בטל, הא שוה בשוה - מכרן קיים, מאי לאו דלא אכרוז! לא, בדאכרוז. הא מדסיפא בדאכרוז, הוי רישא בדלא אכרוז! דקתני סיפא: אם עשו אגרת בקורת, אפי' מכרו שוה מנה במאתים או שוה מאתים במנה - מכרן קיים! אלא לעולם בדלא אכרוז, ולא קשיא: כאן בדברים שמכריזין עליהן, כאן בדברים שאין מכריזין עליהן</w:t>
      </w:r>
      <w:r>
        <w:rPr>
          <w:rStyle w:val="a7"/>
          <w:rFonts w:cs="Arial"/>
          <w:rtl/>
        </w:rPr>
        <w:footnoteReference w:id="2689"/>
      </w:r>
      <w:r>
        <w:rPr>
          <w:rFonts w:cs="Arial" w:hint="cs"/>
          <w:rtl/>
        </w:rPr>
        <w:t>.</w:t>
      </w:r>
      <w:r w:rsidRPr="00744AD3">
        <w:rPr>
          <w:rFonts w:cs="Arial"/>
          <w:rtl/>
        </w:rPr>
        <w:t xml:space="preserve"> ואלו הן דברים שאין מכריזין עליהן: העבדים, והמטלטלין, והשטרות</w:t>
      </w:r>
      <w:r>
        <w:rPr>
          <w:rFonts w:cs="Arial" w:hint="cs"/>
          <w:rtl/>
        </w:rPr>
        <w:t>.</w:t>
      </w:r>
      <w:r w:rsidRPr="00744AD3">
        <w:rPr>
          <w:rFonts w:cs="Arial"/>
          <w:rtl/>
        </w:rPr>
        <w:t xml:space="preserve"> עבדים טעמא מאי? שמא ישמעו ויברחו</w:t>
      </w:r>
      <w:r>
        <w:rPr>
          <w:rFonts w:cs="Arial" w:hint="cs"/>
          <w:rtl/>
        </w:rPr>
        <w:t>.</w:t>
      </w:r>
      <w:r w:rsidRPr="00744AD3">
        <w:rPr>
          <w:rFonts w:cs="Arial"/>
          <w:rtl/>
        </w:rPr>
        <w:t xml:space="preserve"> מטלטלין ושטרות? שמא יגנבו. ואיבעית אימא: כאן בשעה שמכריזין, כאן בשעה שאין מכריזין, דאמרי נהרדעי: לכרגא, למזוני, ולקבורה</w:t>
      </w:r>
      <w:r>
        <w:rPr>
          <w:rStyle w:val="a7"/>
          <w:rFonts w:cs="Arial"/>
          <w:rtl/>
        </w:rPr>
        <w:footnoteReference w:id="2690"/>
      </w:r>
      <w:r w:rsidRPr="00744AD3">
        <w:rPr>
          <w:rFonts w:cs="Arial"/>
          <w:rtl/>
        </w:rPr>
        <w:t xml:space="preserve"> - מזבנינן בלא אכרזתא. ואב"א: כאן במקום שמכריזין, כאן במקום שאין מכריזין, </w:t>
      </w:r>
      <w:r w:rsidRPr="0069760E">
        <w:rPr>
          <w:rFonts w:cs="Arial"/>
          <w:u w:val="single"/>
          <w:rtl/>
        </w:rPr>
        <w:t>דאמר רב נחמן</w:t>
      </w:r>
      <w:r w:rsidRPr="00744AD3">
        <w:rPr>
          <w:rFonts w:cs="Arial"/>
          <w:rtl/>
        </w:rPr>
        <w:t xml:space="preserve">: מעולם לא עשו אגרת בקורת בנהרדעא. סבור מינה, משום דבקיאי בשומא, </w:t>
      </w:r>
      <w:r w:rsidRPr="0069760E">
        <w:rPr>
          <w:rFonts w:cs="Arial"/>
          <w:u w:val="single"/>
          <w:rtl/>
        </w:rPr>
        <w:t>א"ל רב יוסף בר מניומי</w:t>
      </w:r>
      <w:r w:rsidRPr="00744AD3">
        <w:rPr>
          <w:rFonts w:cs="Arial"/>
          <w:rtl/>
        </w:rPr>
        <w:t>: לדידי מיפרשא לי מיניה דרב נחמן, משום דקרו להו בני אכלי נכסי דאכרזתא</w:t>
      </w:r>
      <w:r>
        <w:rPr>
          <w:rStyle w:val="a7"/>
          <w:rFonts w:cs="Arial"/>
          <w:rtl/>
        </w:rPr>
        <w:footnoteReference w:id="2691"/>
      </w:r>
      <w:r w:rsidRPr="00744AD3">
        <w:rPr>
          <w:rFonts w:cs="Arial"/>
          <w:rtl/>
        </w:rPr>
        <w:t>.</w:t>
      </w:r>
      <w:r>
        <w:rPr>
          <w:rFonts w:cs="Arial" w:hint="cs"/>
          <w:rtl/>
        </w:rPr>
        <w:t xml:space="preserve"> </w:t>
      </w:r>
      <w:r w:rsidRPr="006A1671">
        <w:rPr>
          <w:rFonts w:cs="Arial"/>
          <w:u w:val="single"/>
          <w:rtl/>
        </w:rPr>
        <w:t>אמר רב יהודה אמר שמואל</w:t>
      </w:r>
      <w:r w:rsidRPr="006A1671">
        <w:rPr>
          <w:rFonts w:cs="Arial"/>
          <w:rtl/>
        </w:rPr>
        <w:t>: מטלטלין של יתומים - שמין אותן ומוכרין אותן לאלתר</w:t>
      </w:r>
      <w:r>
        <w:rPr>
          <w:rStyle w:val="a7"/>
          <w:rFonts w:cs="Arial"/>
          <w:rtl/>
        </w:rPr>
        <w:footnoteReference w:id="2692"/>
      </w:r>
      <w:r>
        <w:rPr>
          <w:rFonts w:cs="Arial" w:hint="cs"/>
          <w:rtl/>
        </w:rPr>
        <w:t>.</w:t>
      </w:r>
      <w:r w:rsidRPr="006A1671">
        <w:rPr>
          <w:rFonts w:cs="Arial"/>
          <w:rtl/>
        </w:rPr>
        <w:t xml:space="preserve"> </w:t>
      </w:r>
      <w:r w:rsidRPr="006A1671">
        <w:rPr>
          <w:rFonts w:cs="Arial"/>
          <w:u w:val="single"/>
          <w:rtl/>
        </w:rPr>
        <w:t>רב חסדא אמר אבימי</w:t>
      </w:r>
      <w:r w:rsidRPr="006A1671">
        <w:rPr>
          <w:rFonts w:cs="Arial"/>
          <w:rtl/>
        </w:rPr>
        <w:t>: מוכרין אותן לשווקים. ולא פליגי, הא דמיקרב שוקא, הא דמרחק שוקא.</w:t>
      </w:r>
    </w:p>
    <w:p w14:paraId="20EEEE8A" w14:textId="77777777" w:rsidR="002E5BAD" w:rsidRPr="004F6F87" w:rsidRDefault="002E5BAD" w:rsidP="002E5BAD">
      <w:pPr>
        <w:rPr>
          <w:u w:val="single"/>
          <w:rtl/>
        </w:rPr>
      </w:pPr>
      <w:r w:rsidRPr="004F6F87">
        <w:rPr>
          <w:rFonts w:hint="cs"/>
          <w:u w:val="single"/>
          <w:rtl/>
        </w:rPr>
        <w:t>בית דין שהכריזו</w:t>
      </w:r>
      <w:r>
        <w:rPr>
          <w:rFonts w:hint="cs"/>
          <w:u w:val="single"/>
          <w:rtl/>
        </w:rPr>
        <w:t xml:space="preserve"> או לא הכריזו </w:t>
      </w:r>
      <w:r w:rsidRPr="004F6F87">
        <w:rPr>
          <w:u w:val="single"/>
          <w:rtl/>
        </w:rPr>
        <w:t>–</w:t>
      </w:r>
      <w:r w:rsidRPr="004F6F87">
        <w:rPr>
          <w:rFonts w:hint="cs"/>
          <w:u w:val="single"/>
          <w:rtl/>
        </w:rPr>
        <w:t xml:space="preserve"> וטעו ומכרו שלא כשווי המכר:</w:t>
      </w:r>
    </w:p>
    <w:p w14:paraId="0941DAD6" w14:textId="77777777" w:rsidR="002E5BAD" w:rsidRDefault="002E5BAD" w:rsidP="00B75458">
      <w:pPr>
        <w:pStyle w:val="ab"/>
        <w:numPr>
          <w:ilvl w:val="0"/>
          <w:numId w:val="195"/>
        </w:numPr>
      </w:pPr>
      <w:r>
        <w:rPr>
          <w:rFonts w:cs="Arial" w:hint="cs"/>
          <w:rtl/>
        </w:rPr>
        <w:t xml:space="preserve">טור- </w:t>
      </w:r>
      <w:r w:rsidRPr="002C73A2">
        <w:rPr>
          <w:rFonts w:cs="Arial"/>
          <w:rtl/>
        </w:rPr>
        <w:t>אם הכריזו וטעו</w:t>
      </w:r>
      <w:r>
        <w:rPr>
          <w:rFonts w:cs="Arial" w:hint="cs"/>
          <w:rtl/>
        </w:rPr>
        <w:t>,</w:t>
      </w:r>
      <w:r w:rsidRPr="002C73A2">
        <w:rPr>
          <w:rFonts w:cs="Arial"/>
          <w:rtl/>
        </w:rPr>
        <w:t xml:space="preserve"> ומכרו אפי</w:t>
      </w:r>
      <w:r>
        <w:rPr>
          <w:rFonts w:cs="Arial" w:hint="cs"/>
          <w:rtl/>
        </w:rPr>
        <w:t>לו</w:t>
      </w:r>
      <w:r w:rsidRPr="002C73A2">
        <w:rPr>
          <w:rFonts w:cs="Arial"/>
          <w:rtl/>
        </w:rPr>
        <w:t xml:space="preserve"> שוה מאתים במנה </w:t>
      </w:r>
      <w:r>
        <w:rPr>
          <w:rFonts w:cs="Arial" w:hint="cs"/>
          <w:rtl/>
        </w:rPr>
        <w:t xml:space="preserve">- </w:t>
      </w:r>
      <w:r w:rsidRPr="002C73A2">
        <w:rPr>
          <w:rFonts w:cs="Arial"/>
          <w:rtl/>
        </w:rPr>
        <w:t>מכרן קיים</w:t>
      </w:r>
      <w:r>
        <w:rPr>
          <w:rFonts w:cs="Arial" w:hint="cs"/>
          <w:rtl/>
        </w:rPr>
        <w:t>.</w:t>
      </w:r>
      <w:r w:rsidRPr="002C73A2">
        <w:rPr>
          <w:rFonts w:cs="Arial"/>
          <w:rtl/>
        </w:rPr>
        <w:t xml:space="preserve"> אבל אם לא הכריזו</w:t>
      </w:r>
      <w:r>
        <w:rPr>
          <w:rFonts w:cs="Arial" w:hint="cs"/>
          <w:rtl/>
        </w:rPr>
        <w:t>,</w:t>
      </w:r>
      <w:r w:rsidRPr="002C73A2">
        <w:rPr>
          <w:rFonts w:cs="Arial"/>
          <w:rtl/>
        </w:rPr>
        <w:t xml:space="preserve"> אפילו מכרו שוה בשוה </w:t>
      </w:r>
      <w:r>
        <w:rPr>
          <w:rFonts w:cs="Arial" w:hint="cs"/>
          <w:rtl/>
        </w:rPr>
        <w:t xml:space="preserve">- </w:t>
      </w:r>
      <w:r w:rsidRPr="002C73A2">
        <w:rPr>
          <w:rFonts w:cs="Arial"/>
          <w:rtl/>
        </w:rPr>
        <w:t>מכרן בטל</w:t>
      </w:r>
      <w:r>
        <w:rPr>
          <w:rFonts w:cs="Arial" w:hint="cs"/>
          <w:rtl/>
        </w:rPr>
        <w:t>.</w:t>
      </w:r>
      <w:r w:rsidRPr="002C73A2">
        <w:rPr>
          <w:rFonts w:cs="Arial"/>
          <w:rtl/>
        </w:rPr>
        <w:t xml:space="preserve"> בד"א</w:t>
      </w:r>
      <w:r>
        <w:rPr>
          <w:rFonts w:cs="Arial" w:hint="cs"/>
          <w:rtl/>
        </w:rPr>
        <w:t>,</w:t>
      </w:r>
      <w:r w:rsidRPr="002C73A2">
        <w:rPr>
          <w:rFonts w:cs="Arial"/>
          <w:rtl/>
        </w:rPr>
        <w:t xml:space="preserve"> בדברים שצריכין הכרזה</w:t>
      </w:r>
      <w:r>
        <w:rPr>
          <w:rFonts w:cs="Arial" w:hint="cs"/>
          <w:rtl/>
        </w:rPr>
        <w:t>,</w:t>
      </w:r>
      <w:r w:rsidRPr="002C73A2">
        <w:rPr>
          <w:rFonts w:cs="Arial"/>
          <w:rtl/>
        </w:rPr>
        <w:t xml:space="preserve"> ובשעה שמכריזין</w:t>
      </w:r>
      <w:r>
        <w:rPr>
          <w:rFonts w:cs="Arial" w:hint="cs"/>
          <w:rtl/>
        </w:rPr>
        <w:t>,</w:t>
      </w:r>
      <w:r w:rsidRPr="002C73A2">
        <w:rPr>
          <w:rFonts w:cs="Arial"/>
          <w:rtl/>
        </w:rPr>
        <w:t xml:space="preserve"> ובמקום שמכריזין</w:t>
      </w:r>
      <w:r>
        <w:rPr>
          <w:rFonts w:cs="Arial" w:hint="cs"/>
          <w:rtl/>
        </w:rPr>
        <w:t>.</w:t>
      </w:r>
      <w:r w:rsidRPr="002C73A2">
        <w:rPr>
          <w:rFonts w:cs="Arial"/>
          <w:rtl/>
        </w:rPr>
        <w:t xml:space="preserve"> אבל דברים שאין מכריזין עליהן</w:t>
      </w:r>
      <w:r>
        <w:rPr>
          <w:rFonts w:cs="Arial" w:hint="cs"/>
          <w:rtl/>
        </w:rPr>
        <w:t>,</w:t>
      </w:r>
      <w:r w:rsidRPr="002C73A2">
        <w:rPr>
          <w:rFonts w:cs="Arial"/>
          <w:rtl/>
        </w:rPr>
        <w:t xml:space="preserve"> כמו עבדים ושטרות ומטלטלין</w:t>
      </w:r>
      <w:r>
        <w:rPr>
          <w:rFonts w:cs="Arial" w:hint="cs"/>
          <w:rtl/>
        </w:rPr>
        <w:t>,</w:t>
      </w:r>
      <w:r w:rsidRPr="002C73A2">
        <w:rPr>
          <w:rFonts w:cs="Arial"/>
          <w:rtl/>
        </w:rPr>
        <w:t xml:space="preserve"> שנמכרין לעולם בלא הכרזה</w:t>
      </w:r>
      <w:r>
        <w:rPr>
          <w:rFonts w:cs="Arial" w:hint="cs"/>
          <w:rtl/>
        </w:rPr>
        <w:t>.</w:t>
      </w:r>
      <w:r w:rsidRPr="002C73A2">
        <w:rPr>
          <w:rFonts w:cs="Arial"/>
          <w:rtl/>
        </w:rPr>
        <w:t xml:space="preserve"> ושעה שאין מכריזין</w:t>
      </w:r>
      <w:r>
        <w:rPr>
          <w:rFonts w:cs="Arial" w:hint="cs"/>
          <w:rtl/>
        </w:rPr>
        <w:t>,</w:t>
      </w:r>
      <w:r w:rsidRPr="002C73A2">
        <w:rPr>
          <w:rFonts w:cs="Arial"/>
          <w:rtl/>
        </w:rPr>
        <w:t xml:space="preserve"> היינו לכרגא ולמזוני ולקבורה</w:t>
      </w:r>
      <w:r>
        <w:rPr>
          <w:rFonts w:cs="Arial" w:hint="cs"/>
          <w:rtl/>
        </w:rPr>
        <w:t>,</w:t>
      </w:r>
      <w:r w:rsidRPr="002C73A2">
        <w:rPr>
          <w:rFonts w:cs="Arial"/>
          <w:rtl/>
        </w:rPr>
        <w:t xml:space="preserve"> שלצורך אלו מוכרין בלא הכרזה</w:t>
      </w:r>
      <w:r>
        <w:rPr>
          <w:rFonts w:cs="Arial" w:hint="cs"/>
          <w:rtl/>
        </w:rPr>
        <w:t>.</w:t>
      </w:r>
      <w:r w:rsidRPr="002C73A2">
        <w:rPr>
          <w:rFonts w:cs="Arial"/>
          <w:rtl/>
        </w:rPr>
        <w:t xml:space="preserve"> ואפי' מי שמלוה לצורך אחד מאלו כשפורעין לו מוכרין בלא הכרזה</w:t>
      </w:r>
      <w:r>
        <w:rPr>
          <w:rFonts w:cs="Arial" w:hint="cs"/>
          <w:rtl/>
        </w:rPr>
        <w:t>.</w:t>
      </w:r>
      <w:r w:rsidRPr="002C73A2">
        <w:rPr>
          <w:rFonts w:cs="Arial"/>
          <w:rtl/>
        </w:rPr>
        <w:t xml:space="preserve"> ובמקום שאין מכריזין</w:t>
      </w:r>
      <w:r>
        <w:rPr>
          <w:rStyle w:val="a7"/>
          <w:rFonts w:cs="Arial"/>
          <w:rtl/>
        </w:rPr>
        <w:footnoteReference w:id="2693"/>
      </w:r>
      <w:r>
        <w:rPr>
          <w:rFonts w:cs="Arial" w:hint="cs"/>
          <w:rtl/>
        </w:rPr>
        <w:t>,</w:t>
      </w:r>
      <w:r w:rsidRPr="002C73A2">
        <w:rPr>
          <w:rFonts w:cs="Arial"/>
          <w:rtl/>
        </w:rPr>
        <w:t xml:space="preserve"> שיש מקומות שנוהגים שלא להכריז</w:t>
      </w:r>
      <w:r>
        <w:rPr>
          <w:rFonts w:cs="Arial" w:hint="cs"/>
          <w:rtl/>
        </w:rPr>
        <w:t>,</w:t>
      </w:r>
      <w:r w:rsidRPr="002C73A2">
        <w:rPr>
          <w:rFonts w:cs="Arial"/>
          <w:rtl/>
        </w:rPr>
        <w:t xml:space="preserve"> מפני שיש שלא ירצו לקנות אם יכריזו שלא יקראו אותם אוכלי נכסי דאכרזתא</w:t>
      </w:r>
      <w:r>
        <w:rPr>
          <w:rFonts w:cs="Arial" w:hint="cs"/>
          <w:rtl/>
        </w:rPr>
        <w:t>,</w:t>
      </w:r>
      <w:r w:rsidRPr="002C73A2">
        <w:rPr>
          <w:rFonts w:cs="Arial"/>
          <w:rtl/>
        </w:rPr>
        <w:t xml:space="preserve"> פירוש שצריכין למכור מפני הדחק</w:t>
      </w:r>
      <w:r>
        <w:rPr>
          <w:rFonts w:cs="Arial" w:hint="cs"/>
          <w:rtl/>
        </w:rPr>
        <w:t>.</w:t>
      </w:r>
      <w:r>
        <w:rPr>
          <w:rFonts w:cs="Arial" w:hint="cs"/>
          <w:sz w:val="16"/>
          <w:szCs w:val="16"/>
          <w:rtl/>
        </w:rPr>
        <w:t xml:space="preserve"> {בכל אלו}</w:t>
      </w:r>
      <w:r w:rsidRPr="002C73A2">
        <w:rPr>
          <w:rFonts w:cs="Arial"/>
          <w:rtl/>
        </w:rPr>
        <w:t xml:space="preserve"> כיון שאין צריכין הכרזה</w:t>
      </w:r>
      <w:r>
        <w:rPr>
          <w:rFonts w:cs="Arial" w:hint="cs"/>
          <w:rtl/>
        </w:rPr>
        <w:t>,</w:t>
      </w:r>
      <w:r w:rsidRPr="002C73A2">
        <w:rPr>
          <w:rFonts w:cs="Arial"/>
          <w:rtl/>
        </w:rPr>
        <w:t xml:space="preserve"> אם מכרו וטעו פחות משתות </w:t>
      </w:r>
      <w:r>
        <w:rPr>
          <w:rFonts w:cs="Arial" w:hint="cs"/>
          <w:rtl/>
        </w:rPr>
        <w:t xml:space="preserve">- </w:t>
      </w:r>
      <w:r w:rsidRPr="002C73A2">
        <w:rPr>
          <w:rFonts w:cs="Arial"/>
          <w:rtl/>
        </w:rPr>
        <w:t>מכרן קיים</w:t>
      </w:r>
      <w:r>
        <w:rPr>
          <w:rFonts w:cs="Arial" w:hint="cs"/>
          <w:rtl/>
        </w:rPr>
        <w:t>.</w:t>
      </w:r>
      <w:r w:rsidRPr="002C73A2">
        <w:rPr>
          <w:rFonts w:cs="Arial"/>
          <w:rtl/>
        </w:rPr>
        <w:t xml:space="preserve"> טעו בשתות </w:t>
      </w:r>
      <w:r>
        <w:rPr>
          <w:rFonts w:cs="Arial" w:hint="cs"/>
          <w:rtl/>
        </w:rPr>
        <w:t xml:space="preserve">- </w:t>
      </w:r>
      <w:r w:rsidRPr="002C73A2">
        <w:rPr>
          <w:rFonts w:cs="Arial"/>
          <w:rtl/>
        </w:rPr>
        <w:t>מכרן בטל</w:t>
      </w:r>
      <w:r>
        <w:rPr>
          <w:rFonts w:cs="Arial" w:hint="cs"/>
          <w:rtl/>
        </w:rPr>
        <w:t>.</w:t>
      </w:r>
      <w:r>
        <w:rPr>
          <w:rFonts w:hint="cs"/>
          <w:rtl/>
        </w:rPr>
        <w:t xml:space="preserve"> </w:t>
      </w:r>
    </w:p>
    <w:p w14:paraId="3E74E7C8" w14:textId="77777777" w:rsidR="002E5BAD" w:rsidRDefault="002E5BAD" w:rsidP="00B75458">
      <w:pPr>
        <w:pStyle w:val="ab"/>
        <w:numPr>
          <w:ilvl w:val="0"/>
          <w:numId w:val="195"/>
        </w:numPr>
        <w:rPr>
          <w:rtl/>
        </w:rPr>
      </w:pPr>
      <w:r>
        <w:rPr>
          <w:rFonts w:cs="Arial" w:hint="cs"/>
          <w:rtl/>
        </w:rPr>
        <w:lastRenderedPageBreak/>
        <w:t>רמב"ם</w:t>
      </w:r>
      <w:r>
        <w:rPr>
          <w:rFonts w:cs="Arial" w:hint="cs"/>
          <w:sz w:val="16"/>
          <w:szCs w:val="16"/>
          <w:rtl/>
        </w:rPr>
        <w:t xml:space="preserve"> (פי"ב ממלוה ה"י-יא)</w:t>
      </w:r>
      <w:r>
        <w:rPr>
          <w:rFonts w:cs="Arial" w:hint="cs"/>
          <w:rtl/>
        </w:rPr>
        <w:t>-</w:t>
      </w:r>
      <w:r w:rsidRPr="009E5E83">
        <w:rPr>
          <w:rtl/>
        </w:rPr>
        <w:t xml:space="preserve"> </w:t>
      </w:r>
      <w:r w:rsidRPr="009E5E83">
        <w:rPr>
          <w:rFonts w:cs="Arial"/>
          <w:rtl/>
        </w:rPr>
        <w:t>בית דין שמכרו שלא בהכרזה נעשו כמי שטעו בדבר משנה וחוזרים ומוכרין בהכרזה</w:t>
      </w:r>
      <w:r>
        <w:rPr>
          <w:rFonts w:cs="Arial" w:hint="cs"/>
          <w:rtl/>
        </w:rPr>
        <w:t>...</w:t>
      </w:r>
      <w:r w:rsidRPr="00065DD2">
        <w:rPr>
          <w:rFonts w:cs="Arial"/>
          <w:rtl/>
        </w:rPr>
        <w:t xml:space="preserve"> ובית דין שהכריזו כראוי ובדקו יפה יפה ודקדקו בשומא אע</w:t>
      </w:r>
      <w:r>
        <w:rPr>
          <w:rFonts w:cs="Arial" w:hint="cs"/>
          <w:rtl/>
        </w:rPr>
        <w:t>"</w:t>
      </w:r>
      <w:r w:rsidRPr="00065DD2">
        <w:rPr>
          <w:rFonts w:cs="Arial"/>
          <w:rtl/>
        </w:rPr>
        <w:t>פ שטעו ומכרו שוה מנה במאתים או מאתים במנה הרי מכרן קיים</w:t>
      </w:r>
      <w:r>
        <w:rPr>
          <w:rFonts w:cs="Arial" w:hint="cs"/>
          <w:rtl/>
        </w:rPr>
        <w:t>.</w:t>
      </w:r>
      <w:r w:rsidRPr="00065DD2">
        <w:rPr>
          <w:rFonts w:cs="Arial"/>
          <w:rtl/>
        </w:rPr>
        <w:t xml:space="preserve"> אבל אם לא בדקו בשומא ולא כתבו אגרת בקורת שהיא דקדוק השומא וההכרזה וטעו והותירו שתות או פחתו שתות מכרן בטל פחות משתות מכרן קיים, וכן אם מכרו קרקע בעת שאינן צריכין להכריז עליה וטעו שתות או הותירו שתות מכרן בטל אע</w:t>
      </w:r>
      <w:r>
        <w:rPr>
          <w:rFonts w:cs="Arial" w:hint="cs"/>
          <w:rtl/>
        </w:rPr>
        <w:t>"</w:t>
      </w:r>
      <w:r w:rsidRPr="00065DD2">
        <w:rPr>
          <w:rFonts w:cs="Arial"/>
          <w:rtl/>
        </w:rPr>
        <w:t>פ שהכריזו, פחות משתות מכרן קיים אע</w:t>
      </w:r>
      <w:r>
        <w:rPr>
          <w:rFonts w:cs="Arial" w:hint="cs"/>
          <w:rtl/>
        </w:rPr>
        <w:t>"</w:t>
      </w:r>
      <w:r w:rsidRPr="00065DD2">
        <w:rPr>
          <w:rFonts w:cs="Arial"/>
          <w:rtl/>
        </w:rPr>
        <w:t>פ שלא הכריזו שאינן צריכין הכרזה באותו העת</w:t>
      </w:r>
      <w:r>
        <w:rPr>
          <w:rFonts w:cs="Arial" w:hint="cs"/>
          <w:rtl/>
        </w:rPr>
        <w:t>.</w:t>
      </w:r>
      <w:r w:rsidRPr="00065DD2">
        <w:rPr>
          <w:rFonts w:cs="Arial"/>
          <w:rtl/>
        </w:rPr>
        <w:t xml:space="preserve"> איזהו העת שאינן צריכין הכרזה בעת שימכרו קרקע לקבורה או למזון האשה והבנות או ליתן מנת המלך אין צריכין הכרזה לפי שהדבר נחוץ</w:t>
      </w:r>
      <w:r>
        <w:rPr>
          <w:rFonts w:cs="Arial" w:hint="cs"/>
          <w:rtl/>
        </w:rPr>
        <w:t>.</w:t>
      </w:r>
      <w:r w:rsidRPr="00065DD2">
        <w:rPr>
          <w:rFonts w:cs="Arial"/>
          <w:rtl/>
        </w:rPr>
        <w:t xml:space="preserve"> וכן ב"ד שמכרו דברים שאינן טעונין הכרזה וטעו בשתות מכרן בטל</w:t>
      </w:r>
      <w:r>
        <w:rPr>
          <w:rFonts w:cs="Arial" w:hint="cs"/>
          <w:rtl/>
        </w:rPr>
        <w:t>.</w:t>
      </w:r>
      <w:r w:rsidRPr="00065DD2">
        <w:rPr>
          <w:rFonts w:cs="Arial"/>
          <w:rtl/>
        </w:rPr>
        <w:t xml:space="preserve"> פחות משתות מכרן קיים</w:t>
      </w:r>
      <w:r>
        <w:rPr>
          <w:rFonts w:cs="Arial" w:hint="cs"/>
          <w:rtl/>
        </w:rPr>
        <w:t>.</w:t>
      </w:r>
      <w:r w:rsidRPr="00065DD2">
        <w:rPr>
          <w:rFonts w:cs="Arial"/>
          <w:rtl/>
        </w:rPr>
        <w:t xml:space="preserve"> ואלו הן הדברים שאין מכריזין עליהם העבדים והשטרות והמטלטלין, העבדים שמא ישמעו ויברחו, והשטרות והמטלטלין שמא יגנבו</w:t>
      </w:r>
      <w:r>
        <w:rPr>
          <w:rFonts w:cs="Arial" w:hint="cs"/>
          <w:rtl/>
        </w:rPr>
        <w:t>.</w:t>
      </w:r>
      <w:r w:rsidRPr="00065DD2">
        <w:rPr>
          <w:rFonts w:cs="Arial"/>
          <w:rtl/>
        </w:rPr>
        <w:t xml:space="preserve"> לפיכך שמין אותן בבית דין ומוכרין אותן מיד, ואם השוק קרוב למדינה מוליכין אותן לשוק.</w:t>
      </w:r>
      <w:r>
        <w:rPr>
          <w:rFonts w:hint="cs"/>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[כאן ובסע' ג-ד]</w:t>
      </w:r>
      <w:r w:rsidRPr="00CE0309">
        <w:rPr>
          <w:rFonts w:hint="cs"/>
          <w:color w:val="E36C0A" w:themeColor="accent6" w:themeShade="BF"/>
          <w:rtl/>
        </w:rPr>
        <w:t>)</w:t>
      </w:r>
    </w:p>
    <w:p w14:paraId="25ECCBA9" w14:textId="77777777" w:rsidR="002E5BAD" w:rsidRPr="004F6F87" w:rsidRDefault="002E5BAD" w:rsidP="002E5BAD">
      <w:pPr>
        <w:ind w:left="360"/>
        <w:rPr>
          <w:u w:val="dotted"/>
        </w:rPr>
      </w:pPr>
      <w:r w:rsidRPr="004F6F87">
        <w:rPr>
          <w:rFonts w:cs="Arial" w:hint="cs"/>
          <w:u w:val="dotted"/>
          <w:rtl/>
        </w:rPr>
        <w:t xml:space="preserve">ומה הדין </w:t>
      </w:r>
      <w:r w:rsidRPr="004F6F87">
        <w:rPr>
          <w:rFonts w:cs="Arial"/>
          <w:u w:val="dotted"/>
          <w:rtl/>
        </w:rPr>
        <w:t>אם הכריזו בדבר</w:t>
      </w:r>
      <w:r>
        <w:rPr>
          <w:rFonts w:cs="Arial" w:hint="cs"/>
          <w:u w:val="dotted"/>
          <w:rtl/>
        </w:rPr>
        <w:t>/במקום/בשעה</w:t>
      </w:r>
      <w:r w:rsidRPr="004F6F87">
        <w:rPr>
          <w:rFonts w:cs="Arial"/>
          <w:u w:val="dotted"/>
          <w:rtl/>
        </w:rPr>
        <w:t xml:space="preserve"> שאין </w:t>
      </w:r>
      <w:r>
        <w:rPr>
          <w:rFonts w:cs="Arial" w:hint="cs"/>
          <w:u w:val="dotted"/>
          <w:rtl/>
        </w:rPr>
        <w:t>מ</w:t>
      </w:r>
      <w:r w:rsidRPr="004F6F87">
        <w:rPr>
          <w:rFonts w:cs="Arial"/>
          <w:u w:val="dotted"/>
          <w:rtl/>
        </w:rPr>
        <w:t>כר</w:t>
      </w:r>
      <w:r>
        <w:rPr>
          <w:rFonts w:cs="Arial" w:hint="cs"/>
          <w:u w:val="dotted"/>
          <w:rtl/>
        </w:rPr>
        <w:t>י</w:t>
      </w:r>
      <w:r w:rsidRPr="004F6F87">
        <w:rPr>
          <w:rFonts w:cs="Arial"/>
          <w:u w:val="dotted"/>
          <w:rtl/>
        </w:rPr>
        <w:t>ז</w:t>
      </w:r>
      <w:r>
        <w:rPr>
          <w:rFonts w:cs="Arial" w:hint="cs"/>
          <w:u w:val="dotted"/>
          <w:rtl/>
        </w:rPr>
        <w:t>ים</w:t>
      </w:r>
      <w:r w:rsidRPr="004F6F87">
        <w:rPr>
          <w:rFonts w:cs="Arial" w:hint="cs"/>
          <w:u w:val="dotted"/>
          <w:rtl/>
        </w:rPr>
        <w:t xml:space="preserve"> </w:t>
      </w:r>
      <w:r>
        <w:rPr>
          <w:rFonts w:cs="Arial"/>
          <w:u w:val="dotted"/>
          <w:rtl/>
        </w:rPr>
        <w:t>–</w:t>
      </w:r>
      <w:r w:rsidRPr="004F6F87">
        <w:rPr>
          <w:rFonts w:cs="Arial" w:hint="cs"/>
          <w:u w:val="dotted"/>
          <w:rtl/>
        </w:rPr>
        <w:t xml:space="preserve"> וטעו</w:t>
      </w:r>
      <w:r>
        <w:rPr>
          <w:rFonts w:cs="Arial" w:hint="cs"/>
          <w:u w:val="dotted"/>
          <w:rtl/>
        </w:rPr>
        <w:t xml:space="preserve"> בשתות</w:t>
      </w:r>
      <w:r w:rsidRPr="004F6F87">
        <w:rPr>
          <w:rFonts w:cs="Arial" w:hint="cs"/>
          <w:u w:val="dotted"/>
          <w:rtl/>
        </w:rPr>
        <w:t>:</w:t>
      </w:r>
    </w:p>
    <w:p w14:paraId="084DCA5F" w14:textId="77777777" w:rsidR="002E5BAD" w:rsidRPr="004F6F87" w:rsidRDefault="002E5BAD" w:rsidP="00B75458">
      <w:pPr>
        <w:pStyle w:val="ab"/>
        <w:numPr>
          <w:ilvl w:val="0"/>
          <w:numId w:val="195"/>
        </w:numPr>
      </w:pPr>
      <w:r>
        <w:rPr>
          <w:rFonts w:cs="Arial" w:hint="cs"/>
          <w:rtl/>
        </w:rPr>
        <w:t xml:space="preserve">רי"ף </w:t>
      </w:r>
      <w:r w:rsidRPr="00FD09D2">
        <w:rPr>
          <w:rFonts w:cs="Arial" w:hint="cs"/>
          <w:sz w:val="16"/>
          <w:szCs w:val="16"/>
          <w:rtl/>
        </w:rPr>
        <w:t>(נח.)</w:t>
      </w:r>
      <w:r>
        <w:rPr>
          <w:rFonts w:cs="Arial" w:hint="cs"/>
          <w:rtl/>
        </w:rPr>
        <w:t xml:space="preserve"> ורמב"ם </w:t>
      </w:r>
      <w:r w:rsidRPr="00FD09D2">
        <w:rPr>
          <w:rFonts w:cs="Arial" w:hint="cs"/>
          <w:sz w:val="16"/>
          <w:szCs w:val="16"/>
          <w:rtl/>
        </w:rPr>
        <w:t>(פי"ב ממלוה הי"א)</w:t>
      </w:r>
      <w:r>
        <w:rPr>
          <w:rFonts w:cs="Arial" w:hint="cs"/>
          <w:rtl/>
        </w:rPr>
        <w:t xml:space="preserve">- </w:t>
      </w:r>
      <w:r w:rsidRPr="002C73A2">
        <w:rPr>
          <w:rFonts w:cs="Arial"/>
          <w:rtl/>
        </w:rPr>
        <w:t xml:space="preserve">אם הכריזו בדבר שאין צריך הכרזה או בשעה או במקום שאין מכריזין </w:t>
      </w:r>
      <w:r>
        <w:rPr>
          <w:rFonts w:cs="Arial" w:hint="cs"/>
          <w:rtl/>
        </w:rPr>
        <w:t xml:space="preserve">- </w:t>
      </w:r>
      <w:r w:rsidRPr="002C73A2">
        <w:rPr>
          <w:rFonts w:cs="Arial"/>
          <w:rtl/>
        </w:rPr>
        <w:t>כמאן דליתיה דמי ואם טעו בשתות מכרן בטל</w:t>
      </w:r>
      <w:r>
        <w:rPr>
          <w:rFonts w:cs="Arial" w:hint="cs"/>
          <w:sz w:val="16"/>
          <w:szCs w:val="16"/>
          <w:rtl/>
        </w:rPr>
        <w:t xml:space="preserve"> (ל' הטור בשם הרי"ף)</w:t>
      </w:r>
      <w:r>
        <w:rPr>
          <w:rFonts w:cs="Arial" w:hint="cs"/>
          <w:rtl/>
        </w:rPr>
        <w:t>.</w:t>
      </w:r>
      <w:r w:rsidRPr="002C73A2">
        <w:rPr>
          <w:rFonts w:cs="Arial"/>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p w14:paraId="2B5945ED" w14:textId="77777777" w:rsidR="002E5BAD" w:rsidRPr="00FF1A47" w:rsidRDefault="002E5BAD" w:rsidP="00B75458">
      <w:pPr>
        <w:pStyle w:val="ab"/>
        <w:numPr>
          <w:ilvl w:val="0"/>
          <w:numId w:val="195"/>
        </w:numPr>
      </w:pPr>
      <w:r>
        <w:rPr>
          <w:rFonts w:cs="Arial"/>
          <w:rtl/>
        </w:rPr>
        <w:t>רבינו האיי</w:t>
      </w:r>
      <w:r w:rsidRPr="00FD09D2">
        <w:rPr>
          <w:rFonts w:cs="Arial"/>
          <w:sz w:val="16"/>
          <w:szCs w:val="16"/>
          <w:rtl/>
        </w:rPr>
        <w:t xml:space="preserve"> (ס' המקח והממכר שער ו</w:t>
      </w:r>
      <w:r w:rsidRPr="00FD09D2">
        <w:rPr>
          <w:rFonts w:cs="Arial" w:hint="cs"/>
          <w:sz w:val="16"/>
          <w:szCs w:val="16"/>
          <w:rtl/>
        </w:rPr>
        <w:t xml:space="preserve">, הביאן הר"ן [נח.] </w:t>
      </w:r>
      <w:r>
        <w:rPr>
          <w:rFonts w:cs="Arial" w:hint="cs"/>
          <w:rtl/>
        </w:rPr>
        <w:t>ו</w:t>
      </w:r>
      <w:r w:rsidRPr="002C73A2">
        <w:rPr>
          <w:rFonts w:cs="Arial"/>
          <w:rtl/>
        </w:rPr>
        <w:t>רא"ש</w:t>
      </w:r>
      <w:r>
        <w:rPr>
          <w:rFonts w:cs="Arial" w:hint="cs"/>
          <w:sz w:val="16"/>
          <w:szCs w:val="16"/>
          <w:rtl/>
        </w:rPr>
        <w:t xml:space="preserve"> (פי"א ס"כ)</w:t>
      </w:r>
      <w:r>
        <w:rPr>
          <w:rFonts w:cs="Arial" w:hint="cs"/>
          <w:rtl/>
        </w:rPr>
        <w:t>-</w:t>
      </w:r>
      <w:r w:rsidRPr="002C73A2">
        <w:rPr>
          <w:rFonts w:cs="Arial"/>
          <w:rtl/>
        </w:rPr>
        <w:t xml:space="preserve"> כיון שהכריזו אף על פי שלא היו צריכין אם טעו אפילו בכפל</w:t>
      </w:r>
      <w:r>
        <w:rPr>
          <w:rStyle w:val="a7"/>
          <w:rFonts w:cs="Arial"/>
          <w:rtl/>
        </w:rPr>
        <w:footnoteReference w:id="2694"/>
      </w:r>
      <w:r w:rsidRPr="002C73A2">
        <w:rPr>
          <w:rFonts w:cs="Arial"/>
          <w:rtl/>
        </w:rPr>
        <w:t xml:space="preserve"> המקח קיים</w:t>
      </w:r>
      <w:r>
        <w:rPr>
          <w:rFonts w:cs="Arial" w:hint="cs"/>
          <w:sz w:val="16"/>
          <w:szCs w:val="16"/>
          <w:rtl/>
        </w:rPr>
        <w:t xml:space="preserve"> (ל' הטור בשם הרא"ש)</w:t>
      </w:r>
      <w:r>
        <w:rPr>
          <w:rFonts w:cs="Arial" w:hint="cs"/>
          <w:rtl/>
        </w:rPr>
        <w:t>.</w:t>
      </w:r>
      <w:r w:rsidRPr="00CE0309">
        <w:rPr>
          <w:rFonts w:hint="cs"/>
          <w:color w:val="E36C0A" w:themeColor="accent6" w:themeShade="BF"/>
          <w:rtl/>
        </w:rPr>
        <w:t xml:space="preserve"> </w:t>
      </w:r>
      <w:r w:rsidRPr="00CE0309">
        <w:rPr>
          <w:rFonts w:hint="cs"/>
          <w:color w:val="00B0F0"/>
          <w:rtl/>
        </w:rPr>
        <w:t xml:space="preserve">(וכ"כ הרמ"א </w:t>
      </w:r>
      <w:r>
        <w:rPr>
          <w:rFonts w:hint="cs"/>
          <w:sz w:val="16"/>
          <w:szCs w:val="16"/>
          <w:rtl/>
        </w:rPr>
        <w:t>[בסע' ג]</w:t>
      </w:r>
      <w:r w:rsidRPr="00CE0309">
        <w:rPr>
          <w:rFonts w:hint="cs"/>
          <w:color w:val="00B0F0"/>
          <w:rtl/>
        </w:rPr>
        <w:t>)</w:t>
      </w:r>
    </w:p>
    <w:p w14:paraId="1ADC5D68" w14:textId="77777777" w:rsidR="002E5BAD" w:rsidRPr="00FF1A47" w:rsidRDefault="002E5BAD" w:rsidP="002E5BAD">
      <w:pPr>
        <w:ind w:left="360"/>
        <w:rPr>
          <w:u w:val="dotted"/>
        </w:rPr>
      </w:pPr>
      <w:r w:rsidRPr="00FF1A47">
        <w:rPr>
          <w:rFonts w:hint="cs"/>
          <w:u w:val="dotted"/>
          <w:rtl/>
        </w:rPr>
        <w:t xml:space="preserve">במקרה שטעו בכפל ומכרן קיים </w:t>
      </w:r>
      <w:r w:rsidRPr="00FF1A47">
        <w:rPr>
          <w:rFonts w:hint="cs"/>
          <w:sz w:val="16"/>
          <w:szCs w:val="16"/>
          <w:u w:val="dotted"/>
          <w:rtl/>
        </w:rPr>
        <w:t>(מר כדאית ליה ומר כדאית ליה)</w:t>
      </w:r>
      <w:r w:rsidRPr="00FF1A47">
        <w:rPr>
          <w:rFonts w:hint="cs"/>
          <w:u w:val="dotted"/>
          <w:rtl/>
        </w:rPr>
        <w:t xml:space="preserve"> </w:t>
      </w:r>
      <w:r w:rsidRPr="00FF1A47">
        <w:rPr>
          <w:u w:val="dotted"/>
          <w:rtl/>
        </w:rPr>
        <w:t>–</w:t>
      </w:r>
      <w:r w:rsidRPr="00FF1A47">
        <w:rPr>
          <w:rFonts w:hint="cs"/>
          <w:u w:val="dotted"/>
          <w:rtl/>
        </w:rPr>
        <w:t xml:space="preserve"> האם הוא הדין אפילו אם טעו ביותר מכך:</w:t>
      </w:r>
    </w:p>
    <w:p w14:paraId="12F81D20" w14:textId="77777777" w:rsidR="002E5BAD" w:rsidRPr="004F6F87" w:rsidRDefault="002E5BAD" w:rsidP="00B75458">
      <w:pPr>
        <w:pStyle w:val="ab"/>
        <w:numPr>
          <w:ilvl w:val="0"/>
          <w:numId w:val="195"/>
        </w:numPr>
      </w:pPr>
      <w:r>
        <w:rPr>
          <w:rFonts w:cs="Arial"/>
          <w:rtl/>
        </w:rPr>
        <w:t xml:space="preserve">רמב"ן </w:t>
      </w:r>
      <w:r w:rsidRPr="00FF1A47">
        <w:rPr>
          <w:rFonts w:cs="Arial"/>
          <w:sz w:val="16"/>
          <w:szCs w:val="16"/>
          <w:rtl/>
        </w:rPr>
        <w:t>(צט: ד"ה ומסתברא</w:t>
      </w:r>
      <w:r>
        <w:rPr>
          <w:rFonts w:cs="Arial" w:hint="cs"/>
          <w:sz w:val="16"/>
          <w:szCs w:val="16"/>
          <w:rtl/>
        </w:rPr>
        <w:t>, הביאו הר"ן [נח.]</w:t>
      </w:r>
      <w:r w:rsidRPr="00FF1A47">
        <w:rPr>
          <w:rFonts w:cs="Arial"/>
          <w:sz w:val="16"/>
          <w:szCs w:val="16"/>
          <w:rtl/>
        </w:rPr>
        <w:t>)</w:t>
      </w:r>
      <w:r>
        <w:rPr>
          <w:rFonts w:cs="Arial" w:hint="cs"/>
          <w:rtl/>
        </w:rPr>
        <w:t>-</w:t>
      </w:r>
      <w:r>
        <w:rPr>
          <w:rFonts w:cs="Arial"/>
          <w:rtl/>
        </w:rPr>
        <w:t xml:space="preserve"> דוקא שוה ק' בק"ק</w:t>
      </w:r>
      <w:r>
        <w:rPr>
          <w:rFonts w:cs="Arial" w:hint="cs"/>
          <w:rtl/>
        </w:rPr>
        <w:t>,</w:t>
      </w:r>
      <w:r>
        <w:rPr>
          <w:rFonts w:cs="Arial"/>
          <w:rtl/>
        </w:rPr>
        <w:t xml:space="preserve"> או ק"ק במנה</w:t>
      </w:r>
      <w:r>
        <w:rPr>
          <w:rFonts w:cs="Arial" w:hint="cs"/>
          <w:rtl/>
        </w:rPr>
        <w:t>,</w:t>
      </w:r>
      <w:r>
        <w:rPr>
          <w:rFonts w:cs="Arial"/>
          <w:rtl/>
        </w:rPr>
        <w:t xml:space="preserve"> אבל יותר על כן או פחות מכן </w:t>
      </w:r>
      <w:r>
        <w:rPr>
          <w:rFonts w:cs="Arial" w:hint="cs"/>
          <w:rtl/>
        </w:rPr>
        <w:t xml:space="preserve">- </w:t>
      </w:r>
      <w:r>
        <w:rPr>
          <w:rFonts w:cs="Arial"/>
          <w:rtl/>
        </w:rPr>
        <w:t>מכרן בטל</w:t>
      </w:r>
      <w:r>
        <w:rPr>
          <w:rFonts w:cs="Arial" w:hint="cs"/>
          <w:rtl/>
        </w:rPr>
        <w:t>,</w:t>
      </w:r>
      <w:r>
        <w:rPr>
          <w:rFonts w:cs="Arial"/>
          <w:rtl/>
        </w:rPr>
        <w:t xml:space="preserve"> כדאמרינן בפרק מי שמת (ב"ב קמו.) גבי אכל שם סעודת חתן אפילו בדינר</w:t>
      </w:r>
      <w:r>
        <w:rPr>
          <w:rFonts w:cs="Arial" w:hint="cs"/>
          <w:rtl/>
        </w:rPr>
        <w:t>.</w:t>
      </w:r>
      <w:r w:rsidRPr="002C73A2">
        <w:rPr>
          <w:rFonts w:cs="Arial"/>
          <w:rtl/>
        </w:rPr>
        <w:t xml:space="preserve"> </w:t>
      </w:r>
    </w:p>
    <w:p w14:paraId="53820CE5" w14:textId="77777777" w:rsidR="002E5BAD" w:rsidRPr="00C532DC" w:rsidRDefault="002E5BAD" w:rsidP="002E5BAD">
      <w:pPr>
        <w:ind w:left="360"/>
        <w:rPr>
          <w:u w:val="dotted"/>
        </w:rPr>
      </w:pPr>
      <w:r w:rsidRPr="00C532DC">
        <w:rPr>
          <w:rFonts w:cs="Arial"/>
          <w:u w:val="dotted"/>
          <w:rtl/>
        </w:rPr>
        <w:t xml:space="preserve">היכא שטעו בפחות משתות בדבר שאין מכריזין </w:t>
      </w:r>
      <w:r w:rsidRPr="00C532DC">
        <w:rPr>
          <w:rFonts w:cs="Arial" w:hint="cs"/>
          <w:sz w:val="16"/>
          <w:szCs w:val="16"/>
          <w:u w:val="dotted"/>
          <w:rtl/>
        </w:rPr>
        <w:t>(</w:t>
      </w:r>
      <w:r w:rsidRPr="00C532DC">
        <w:rPr>
          <w:rFonts w:cs="Arial"/>
          <w:sz w:val="16"/>
          <w:szCs w:val="16"/>
          <w:u w:val="dotted"/>
          <w:rtl/>
        </w:rPr>
        <w:t>שמכרן קיים</w:t>
      </w:r>
      <w:r>
        <w:rPr>
          <w:rFonts w:cs="Arial" w:hint="cs"/>
          <w:sz w:val="16"/>
          <w:szCs w:val="16"/>
          <w:u w:val="dotted"/>
          <w:rtl/>
        </w:rPr>
        <w:t>)</w:t>
      </w:r>
      <w:r w:rsidRPr="00C532DC">
        <w:rPr>
          <w:rFonts w:cs="Arial" w:hint="cs"/>
          <w:u w:val="dotted"/>
          <w:rtl/>
        </w:rPr>
        <w:t xml:space="preserve"> </w:t>
      </w:r>
      <w:r w:rsidRPr="00C532DC">
        <w:rPr>
          <w:rFonts w:cs="Arial"/>
          <w:u w:val="dotted"/>
          <w:rtl/>
        </w:rPr>
        <w:t>–</w:t>
      </w:r>
      <w:r w:rsidRPr="00C532DC">
        <w:rPr>
          <w:rFonts w:cs="Arial" w:hint="cs"/>
          <w:u w:val="dotted"/>
          <w:rtl/>
        </w:rPr>
        <w:t xml:space="preserve"> האם צריכים להחזיר את ההונאה:</w:t>
      </w:r>
    </w:p>
    <w:p w14:paraId="3F3596D7" w14:textId="77777777" w:rsidR="002E5BAD" w:rsidRPr="00C532DC" w:rsidRDefault="002E5BAD" w:rsidP="00B75458">
      <w:pPr>
        <w:pStyle w:val="ab"/>
        <w:numPr>
          <w:ilvl w:val="0"/>
          <w:numId w:val="195"/>
        </w:numPr>
      </w:pPr>
      <w:r>
        <w:rPr>
          <w:rFonts w:cs="Arial" w:hint="cs"/>
          <w:rtl/>
        </w:rPr>
        <w:t>ר"י</w:t>
      </w:r>
      <w:r>
        <w:rPr>
          <w:rFonts w:cs="Arial" w:hint="cs"/>
          <w:sz w:val="16"/>
          <w:szCs w:val="16"/>
          <w:rtl/>
        </w:rPr>
        <w:t xml:space="preserve"> (כ"כ בשמו הרא"ש</w:t>
      </w:r>
      <w:r>
        <w:rPr>
          <w:rStyle w:val="a7"/>
          <w:rFonts w:cs="Arial"/>
          <w:sz w:val="16"/>
          <w:szCs w:val="16"/>
          <w:rtl/>
        </w:rPr>
        <w:footnoteReference w:id="2695"/>
      </w:r>
      <w:r>
        <w:rPr>
          <w:rFonts w:cs="Arial" w:hint="cs"/>
          <w:sz w:val="16"/>
          <w:szCs w:val="16"/>
          <w:rtl/>
        </w:rPr>
        <w:t xml:space="preserve"> והטור)</w:t>
      </w:r>
      <w:r>
        <w:rPr>
          <w:rFonts w:cs="Arial" w:hint="cs"/>
          <w:rtl/>
        </w:rPr>
        <w:t xml:space="preserve">- </w:t>
      </w:r>
      <w:r w:rsidRPr="002C73A2">
        <w:rPr>
          <w:rFonts w:cs="Arial"/>
          <w:rtl/>
        </w:rPr>
        <w:t xml:space="preserve">היכא שטעו בפחות משתות בדבר שאין מכריזין שמכרן קיים </w:t>
      </w:r>
      <w:r>
        <w:rPr>
          <w:rFonts w:cs="Arial" w:hint="cs"/>
          <w:rtl/>
        </w:rPr>
        <w:t xml:space="preserve">- </w:t>
      </w:r>
      <w:r w:rsidRPr="002C73A2">
        <w:rPr>
          <w:rFonts w:cs="Arial"/>
          <w:rtl/>
        </w:rPr>
        <w:t>צריכין להחזיר האונאה</w:t>
      </w:r>
      <w:r>
        <w:rPr>
          <w:rFonts w:cs="Arial" w:hint="cs"/>
          <w:sz w:val="16"/>
          <w:szCs w:val="16"/>
          <w:rtl/>
        </w:rPr>
        <w:t xml:space="preserve"> (ל' הטור בשם ר"י)</w:t>
      </w:r>
      <w:r>
        <w:rPr>
          <w:rFonts w:cs="Arial" w:hint="cs"/>
          <w:rtl/>
        </w:rPr>
        <w:t>.</w:t>
      </w:r>
    </w:p>
    <w:p w14:paraId="05E8944B" w14:textId="77777777" w:rsidR="002E5BAD" w:rsidRDefault="002E5BAD" w:rsidP="00B75458">
      <w:pPr>
        <w:pStyle w:val="ab"/>
        <w:numPr>
          <w:ilvl w:val="0"/>
          <w:numId w:val="195"/>
        </w:numPr>
      </w:pPr>
      <w:r w:rsidRPr="002C73A2">
        <w:rPr>
          <w:rFonts w:cs="Arial"/>
          <w:rtl/>
        </w:rPr>
        <w:t>רמב"ם</w:t>
      </w:r>
      <w:r>
        <w:rPr>
          <w:rFonts w:cs="Arial" w:hint="cs"/>
          <w:sz w:val="16"/>
          <w:szCs w:val="16"/>
          <w:rtl/>
        </w:rPr>
        <w:t xml:space="preserve"> (פי"ג ממכירה ה"י)</w:t>
      </w:r>
      <w:r w:rsidRPr="002C73A2">
        <w:rPr>
          <w:rFonts w:cs="Arial"/>
          <w:rtl/>
        </w:rPr>
        <w:t xml:space="preserve"> </w:t>
      </w:r>
      <w:r>
        <w:rPr>
          <w:rFonts w:cs="Arial" w:hint="cs"/>
          <w:rtl/>
        </w:rPr>
        <w:t xml:space="preserve">ורא"ש </w:t>
      </w:r>
      <w:r w:rsidRPr="00D65942">
        <w:rPr>
          <w:rFonts w:cs="Arial"/>
          <w:sz w:val="16"/>
          <w:szCs w:val="16"/>
          <w:rtl/>
        </w:rPr>
        <w:t>(</w:t>
      </w:r>
      <w:r w:rsidRPr="00D65942">
        <w:rPr>
          <w:rFonts w:cs="Arial" w:hint="cs"/>
          <w:sz w:val="16"/>
          <w:szCs w:val="16"/>
          <w:rtl/>
        </w:rPr>
        <w:t xml:space="preserve">פי"א </w:t>
      </w:r>
      <w:r w:rsidRPr="00D65942">
        <w:rPr>
          <w:rFonts w:cs="Arial"/>
          <w:sz w:val="16"/>
          <w:szCs w:val="16"/>
          <w:rtl/>
        </w:rPr>
        <w:t>סי' יז)</w:t>
      </w:r>
      <w:r>
        <w:rPr>
          <w:rFonts w:cs="Arial" w:hint="cs"/>
          <w:rtl/>
        </w:rPr>
        <w:t xml:space="preserve">- </w:t>
      </w:r>
      <w:r w:rsidRPr="00D65942">
        <w:rPr>
          <w:rFonts w:cs="Arial"/>
          <w:rtl/>
        </w:rPr>
        <w:t>בית דין שמכרו נכסי יתומים וטעו בין בקרקעות בין במטלטלין, אם טעו בפחות משתות הרי זו מחילה כהדיוט</w:t>
      </w:r>
      <w:r>
        <w:rPr>
          <w:rFonts w:cs="Arial" w:hint="cs"/>
          <w:sz w:val="16"/>
          <w:szCs w:val="16"/>
          <w:rtl/>
        </w:rPr>
        <w:t xml:space="preserve"> (ל' הרמב"ם)</w:t>
      </w:r>
      <w:r>
        <w:rPr>
          <w:rFonts w:cs="Arial" w:hint="cs"/>
          <w:rtl/>
        </w:rPr>
        <w:t>.</w:t>
      </w:r>
      <w:r w:rsidRPr="002C73A2">
        <w:rPr>
          <w:rFonts w:cs="Arial"/>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p w14:paraId="468DC11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35398A" w14:textId="77777777" w:rsidR="002E5BAD" w:rsidRDefault="002E5BAD" w:rsidP="002E5BAD">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שמכרו שלא בהכרזה, אפילו מכרו שוה בשוה, נעשו כמי שטעה בדבר משנה וחוזרים ומוכרים בהכרזה. </w:t>
      </w:r>
    </w:p>
    <w:p w14:paraId="5FED4716" w14:textId="77777777" w:rsidR="002E5BAD" w:rsidRDefault="002E5BAD" w:rsidP="002E5BAD">
      <w:pPr>
        <w:rPr>
          <w:rtl/>
        </w:rPr>
      </w:pPr>
    </w:p>
    <w:p w14:paraId="2CCCFCAC" w14:textId="77777777" w:rsidR="002E5BAD" w:rsidRDefault="002E5BAD" w:rsidP="002E5BAD">
      <w:pPr>
        <w:pStyle w:val="2"/>
        <w:rPr>
          <w:rtl/>
        </w:rPr>
      </w:pPr>
      <w:r>
        <w:rPr>
          <w:rtl/>
        </w:rPr>
        <w:t>סעיף ג</w:t>
      </w:r>
      <w:r>
        <w:rPr>
          <w:rFonts w:hint="cs"/>
          <w:rtl/>
        </w:rPr>
        <w:t>:</w:t>
      </w:r>
      <w:r w:rsidRPr="007E3F62">
        <w:rPr>
          <w:rFonts w:hint="cs"/>
          <w:rtl/>
        </w:rPr>
        <w:t xml:space="preserve"> </w:t>
      </w:r>
      <w:r>
        <w:rPr>
          <w:rFonts w:hint="cs"/>
          <w:rtl/>
        </w:rPr>
        <w:t>בית דין שהכריזו, וטעו</w:t>
      </w:r>
    </w:p>
    <w:p w14:paraId="4F06189E" w14:textId="77777777" w:rsidR="002E5BAD" w:rsidRPr="009777C0" w:rsidRDefault="002E5BAD" w:rsidP="002E5BAD">
      <w:pPr>
        <w:rPr>
          <w:rtl/>
        </w:rPr>
      </w:pPr>
      <w:r>
        <w:rPr>
          <w:rFonts w:hint="cs"/>
          <w:rtl/>
        </w:rPr>
        <w:t>עיין במקורות בסעיף ב.</w:t>
      </w:r>
    </w:p>
    <w:p w14:paraId="37EB3FD6" w14:textId="77777777" w:rsidR="002E5BAD" w:rsidRPr="00E23D01" w:rsidRDefault="002E5BAD" w:rsidP="002E5BAD">
      <w:pPr>
        <w:rPr>
          <w:rFonts w:cs="Arial"/>
          <w:u w:val="single"/>
        </w:rPr>
      </w:pPr>
      <w:r w:rsidRPr="00CD733A">
        <w:rPr>
          <w:rFonts w:cs="Arial"/>
          <w:u w:val="single"/>
          <w:rtl/>
        </w:rPr>
        <w:t xml:space="preserve">מקום שנהגו בו שלא להכריז </w:t>
      </w:r>
      <w:r>
        <w:rPr>
          <w:rFonts w:cs="Arial" w:hint="cs"/>
          <w:u w:val="single"/>
          <w:rtl/>
        </w:rPr>
        <w:t xml:space="preserve">- </w:t>
      </w:r>
      <w:r w:rsidRPr="00CD733A">
        <w:rPr>
          <w:rFonts w:cs="Arial"/>
          <w:u w:val="single"/>
          <w:rtl/>
        </w:rPr>
        <w:t>ולא נודע עיקרו של דבר למה נמנעו מלהכריז</w:t>
      </w:r>
      <w:r w:rsidRPr="00CD733A">
        <w:rPr>
          <w:rFonts w:cs="Arial" w:hint="cs"/>
          <w:u w:val="single"/>
          <w:rtl/>
        </w:rPr>
        <w:t>:</w:t>
      </w:r>
      <w:r w:rsidRPr="00CD733A">
        <w:rPr>
          <w:rFonts w:cs="Arial"/>
          <w:u w:val="single"/>
          <w:rtl/>
        </w:rPr>
        <w:t xml:space="preserve"> </w:t>
      </w:r>
    </w:p>
    <w:p w14:paraId="56FCD7CC" w14:textId="77777777" w:rsidR="002E5BAD" w:rsidRDefault="002E5BAD" w:rsidP="00B75458">
      <w:pPr>
        <w:pStyle w:val="ab"/>
        <w:numPr>
          <w:ilvl w:val="0"/>
          <w:numId w:val="196"/>
        </w:numPr>
      </w:pPr>
      <w:r>
        <w:rPr>
          <w:rFonts w:cs="Arial" w:hint="cs"/>
          <w:rtl/>
        </w:rPr>
        <w:t xml:space="preserve">רשב"א </w:t>
      </w:r>
      <w:r w:rsidRPr="004862B7">
        <w:rPr>
          <w:rFonts w:cs="Arial" w:hint="cs"/>
          <w:sz w:val="16"/>
          <w:szCs w:val="16"/>
          <w:rtl/>
        </w:rPr>
        <w:t>(במיוחסות סי' נד)</w:t>
      </w:r>
      <w:r>
        <w:rPr>
          <w:rFonts w:cs="Arial" w:hint="cs"/>
          <w:rtl/>
        </w:rPr>
        <w:t xml:space="preserve">- </w:t>
      </w:r>
      <w:r>
        <w:rPr>
          <w:rFonts w:cs="Arial"/>
          <w:rtl/>
        </w:rPr>
        <w:t>שאלה באלמנה שהגבו לה בית דין קרקע בשומא על פי בקיאין</w:t>
      </w:r>
      <w:r>
        <w:rPr>
          <w:rFonts w:cs="Arial" w:hint="cs"/>
          <w:rtl/>
        </w:rPr>
        <w:t>,</w:t>
      </w:r>
      <w:r>
        <w:rPr>
          <w:rFonts w:cs="Arial"/>
          <w:rtl/>
        </w:rPr>
        <w:t xml:space="preserve"> אבל לא עשו הכרזה</w:t>
      </w:r>
      <w:r>
        <w:rPr>
          <w:rFonts w:cs="Arial" w:hint="cs"/>
          <w:rtl/>
        </w:rPr>
        <w:t>..</w:t>
      </w:r>
      <w:r>
        <w:rPr>
          <w:rFonts w:cs="Arial"/>
          <w:rtl/>
        </w:rPr>
        <w:t>. ובכל הארץ הזאת כשבית דין מגבין קרקע לאלמנה בכתובתה שמין לה ואין מכריזין כלל</w:t>
      </w:r>
      <w:r>
        <w:rPr>
          <w:rFonts w:cs="Arial" w:hint="cs"/>
          <w:rtl/>
        </w:rPr>
        <w:t>.</w:t>
      </w:r>
      <w:r>
        <w:rPr>
          <w:rFonts w:cs="Arial"/>
          <w:rtl/>
        </w:rPr>
        <w:t xml:space="preserve"> </w:t>
      </w:r>
      <w:r>
        <w:rPr>
          <w:rFonts w:cs="Arial" w:hint="cs"/>
          <w:rtl/>
        </w:rPr>
        <w:t xml:space="preserve">    </w:t>
      </w:r>
      <w:r w:rsidRPr="00C038A9">
        <w:rPr>
          <w:rFonts w:cs="Arial"/>
          <w:rtl/>
        </w:rPr>
        <w:t>תשובה</w:t>
      </w:r>
      <w:r>
        <w:rPr>
          <w:rFonts w:cs="Arial" w:hint="cs"/>
          <w:rtl/>
        </w:rPr>
        <w:t>-...</w:t>
      </w:r>
      <w:r w:rsidRPr="00C038A9">
        <w:rPr>
          <w:rFonts w:cs="Arial"/>
          <w:rtl/>
        </w:rPr>
        <w:t xml:space="preserve"> גרסינן התם </w:t>
      </w:r>
      <w:r>
        <w:rPr>
          <w:rFonts w:cs="Arial" w:hint="cs"/>
          <w:rtl/>
        </w:rPr>
        <w:t>(כתובות ק.)</w:t>
      </w:r>
      <w:r w:rsidRPr="00C038A9">
        <w:rPr>
          <w:rFonts w:cs="Arial"/>
          <w:rtl/>
        </w:rPr>
        <w:t xml:space="preserve"> דלא שנא שליח ולא שנא בית דין שמכרו שלא בהכרזה נעשו כמי שטעו בדבר משנה וחוזרין. ולעולם מכריזין חוץ מתלת.</w:t>
      </w:r>
      <w:r>
        <w:rPr>
          <w:rFonts w:cs="Arial" w:hint="cs"/>
          <w:rtl/>
        </w:rPr>
        <w:t>.</w:t>
      </w:r>
      <w:r w:rsidRPr="00C038A9">
        <w:rPr>
          <w:rFonts w:cs="Arial"/>
          <w:rtl/>
        </w:rPr>
        <w:t>. ואע</w:t>
      </w:r>
      <w:r>
        <w:rPr>
          <w:rFonts w:cs="Arial" w:hint="cs"/>
          <w:rtl/>
        </w:rPr>
        <w:t>"</w:t>
      </w:r>
      <w:r w:rsidRPr="00C038A9">
        <w:rPr>
          <w:rFonts w:cs="Arial"/>
          <w:rtl/>
        </w:rPr>
        <w:t>פ שאמרו דבמקום שאין מכריזין מוכרין שלא בהכרזה</w:t>
      </w:r>
      <w:r>
        <w:rPr>
          <w:rFonts w:cs="Arial" w:hint="cs"/>
          <w:rtl/>
        </w:rPr>
        <w:t>,</w:t>
      </w:r>
      <w:r w:rsidRPr="00C038A9">
        <w:rPr>
          <w:rtl/>
        </w:rPr>
        <w:t xml:space="preserve"> </w:t>
      </w:r>
      <w:r w:rsidRPr="00C038A9">
        <w:rPr>
          <w:rFonts w:cs="Arial"/>
          <w:rtl/>
        </w:rPr>
        <w:t>וכדאמר רב נחמן</w:t>
      </w:r>
      <w:r>
        <w:rPr>
          <w:rFonts w:cs="Arial" w:hint="cs"/>
          <w:rtl/>
        </w:rPr>
        <w:t xml:space="preserve"> (ק:)...</w:t>
      </w:r>
      <w:r w:rsidRPr="00C038A9">
        <w:rPr>
          <w:rFonts w:cs="Arial"/>
          <w:rtl/>
        </w:rPr>
        <w:t xml:space="preserve"> ואמרת שלא נהגו בכל אותה הארץ להכריז כשמגבין כתובת אלמנה</w:t>
      </w:r>
      <w:r>
        <w:rPr>
          <w:rFonts w:cs="Arial" w:hint="cs"/>
          <w:rtl/>
        </w:rPr>
        <w:t xml:space="preserve"> -</w:t>
      </w:r>
      <w:r w:rsidRPr="00C038A9">
        <w:rPr>
          <w:rFonts w:cs="Arial"/>
          <w:rtl/>
        </w:rPr>
        <w:t xml:space="preserve"> מסתברא שאין קרוי מקום שאין מכריזין. דלא אמרו אלא כשנמנעין מלהכריז מחמת שלא ימנעו מלקנות. ובלא הכרזה טב להו ליתמי</w:t>
      </w:r>
      <w:r>
        <w:rPr>
          <w:rFonts w:cs="Arial" w:hint="cs"/>
          <w:rtl/>
        </w:rPr>
        <w:t xml:space="preserve"> </w:t>
      </w:r>
      <w:r w:rsidRPr="00C038A9">
        <w:rPr>
          <w:rFonts w:cs="Arial"/>
          <w:rtl/>
        </w:rPr>
        <w:t xml:space="preserve">כדאמר התם </w:t>
      </w:r>
      <w:r>
        <w:rPr>
          <w:rFonts w:cs="Arial" w:hint="cs"/>
          <w:rtl/>
        </w:rPr>
        <w:t>(ק.)...</w:t>
      </w:r>
      <w:r w:rsidRPr="00C038A9">
        <w:rPr>
          <w:rFonts w:cs="Arial"/>
          <w:rtl/>
        </w:rPr>
        <w:t xml:space="preserve"> אבל בארץ ההיא שנמנעין מלהכריז כשמגבין לאלמנה </w:t>
      </w:r>
      <w:r w:rsidRPr="00E23D01">
        <w:rPr>
          <w:rFonts w:cs="Arial"/>
          <w:b/>
          <w:bCs/>
          <w:rtl/>
        </w:rPr>
        <w:t>בלא טעם</w:t>
      </w:r>
      <w:r w:rsidRPr="00C038A9">
        <w:rPr>
          <w:rFonts w:cs="Arial"/>
          <w:rtl/>
        </w:rPr>
        <w:t xml:space="preserve"> טועין בדבר משנה הם וחוזרים.</w:t>
      </w:r>
    </w:p>
    <w:p w14:paraId="3CEF8BE5" w14:textId="77777777" w:rsidR="002E5BAD" w:rsidRPr="003D1481" w:rsidRDefault="002E5BAD" w:rsidP="00B75458">
      <w:pPr>
        <w:pStyle w:val="ab"/>
        <w:numPr>
          <w:ilvl w:val="0"/>
          <w:numId w:val="196"/>
        </w:numPr>
        <w:rPr>
          <w:rtl/>
        </w:rPr>
      </w:pPr>
      <w:r>
        <w:rPr>
          <w:rFonts w:cs="Arial" w:hint="cs"/>
          <w:rtl/>
        </w:rPr>
        <w:t xml:space="preserve">רשב"א </w:t>
      </w:r>
      <w:r w:rsidRPr="004862B7">
        <w:rPr>
          <w:rFonts w:cs="Arial" w:hint="cs"/>
          <w:sz w:val="16"/>
          <w:szCs w:val="16"/>
          <w:rtl/>
        </w:rPr>
        <w:t>(במיוחסות סי' נ</w:t>
      </w:r>
      <w:r>
        <w:rPr>
          <w:rFonts w:cs="Arial" w:hint="cs"/>
          <w:sz w:val="16"/>
          <w:szCs w:val="16"/>
          <w:rtl/>
        </w:rPr>
        <w:t>א</w:t>
      </w:r>
      <w:r w:rsidRPr="004862B7">
        <w:rPr>
          <w:rFonts w:cs="Arial" w:hint="cs"/>
          <w:sz w:val="16"/>
          <w:szCs w:val="16"/>
          <w:rtl/>
        </w:rPr>
        <w:t>)</w:t>
      </w:r>
      <w:r>
        <w:rPr>
          <w:rFonts w:cs="Arial" w:hint="cs"/>
          <w:rtl/>
        </w:rPr>
        <w:t>-</w:t>
      </w:r>
      <w:r w:rsidRPr="00E23D01">
        <w:rPr>
          <w:rtl/>
        </w:rPr>
        <w:t xml:space="preserve"> </w:t>
      </w:r>
      <w:r>
        <w:rPr>
          <w:rFonts w:cs="Arial"/>
          <w:rtl/>
        </w:rPr>
        <w:t>שאלה מקום שנהגו להגבות קרקע לאלמנה שלא בהכרזת ב"ד הגבו לאלמנה אחת שלא בהכרזה.</w:t>
      </w:r>
      <w:r>
        <w:rPr>
          <w:rFonts w:cs="Arial" w:hint="cs"/>
          <w:rtl/>
        </w:rPr>
        <w:t>.</w:t>
      </w:r>
      <w:r>
        <w:rPr>
          <w:rFonts w:cs="Arial"/>
          <w:rtl/>
        </w:rPr>
        <w:t xml:space="preserve">. </w:t>
      </w:r>
      <w:r w:rsidRPr="00E23D01">
        <w:rPr>
          <w:rFonts w:cs="Arial"/>
          <w:b/>
          <w:bCs/>
          <w:rtl/>
        </w:rPr>
        <w:t>והב"ד טוענין</w:t>
      </w:r>
      <w:r>
        <w:rPr>
          <w:rFonts w:cs="Arial"/>
          <w:rtl/>
        </w:rPr>
        <w:t xml:space="preserve"> שכיון שהוא מנהג למכור שלא בהכרזה לא חשו להכריז.</w:t>
      </w:r>
      <w:r>
        <w:rPr>
          <w:rFonts w:cs="Arial" w:hint="cs"/>
          <w:rtl/>
        </w:rPr>
        <w:t>..</w:t>
      </w:r>
      <w:r>
        <w:rPr>
          <w:rFonts w:cs="Arial"/>
          <w:rtl/>
        </w:rPr>
        <w:t xml:space="preserve"> </w:t>
      </w:r>
      <w:r>
        <w:rPr>
          <w:rFonts w:cs="Arial" w:hint="cs"/>
          <w:rtl/>
        </w:rPr>
        <w:t xml:space="preserve">    </w:t>
      </w:r>
      <w:r w:rsidRPr="00E23D01">
        <w:rPr>
          <w:rFonts w:cs="Arial"/>
          <w:rtl/>
        </w:rPr>
        <w:t>תשובה</w:t>
      </w:r>
      <w:r>
        <w:rPr>
          <w:rFonts w:cs="Arial" w:hint="cs"/>
          <w:rtl/>
        </w:rPr>
        <w:t>-</w:t>
      </w:r>
      <w:r w:rsidRPr="00E23D01">
        <w:rPr>
          <w:rFonts w:cs="Arial"/>
          <w:rtl/>
        </w:rPr>
        <w:t xml:space="preserve"> </w:t>
      </w:r>
      <w:r w:rsidRPr="00E23D01">
        <w:rPr>
          <w:rFonts w:cs="Arial"/>
          <w:rtl/>
        </w:rPr>
        <w:lastRenderedPageBreak/>
        <w:t>מסתברא כל מקום שנהגו שלא להכריז ולא נודע עיקרו של דבר למה נמנעו מלהכריז סתמא דמילתא לאו בטעות נהגו. אלא אני אומר עיקר המנהג בדין היה ובדין נמנעו. שאף במקום שאין מכריזין שם ראו שהיה בזה קלקול ליתומים או שנמנעים מליקח מפני שהיו מתבזים בכך כההוא דנהרדעא. א"נ שכל אחד נמנע מליקח יאמר שמא יעלה אחד על מה שאומר ואחזיק עצמי כאמיד שלא במקום תועלת. וזה דעת רוב העולם עכשיו. עוד יש צדדין אחרים שיגיע בהכרזה נזק ליתומים שאין אותה טענה של נהרדעא דוקא</w:t>
      </w:r>
      <w:r>
        <w:rPr>
          <w:rStyle w:val="a7"/>
          <w:rFonts w:cs="Arial"/>
          <w:rtl/>
        </w:rPr>
        <w:footnoteReference w:id="2696"/>
      </w:r>
      <w:r w:rsidRPr="00E23D01">
        <w:rPr>
          <w:rFonts w:cs="Arial"/>
          <w:rtl/>
        </w:rPr>
        <w:t xml:space="preserve">. </w:t>
      </w:r>
    </w:p>
    <w:p w14:paraId="4CD6A16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FB3573" w14:textId="77777777" w:rsidR="002E5BAD" w:rsidRDefault="002E5BAD" w:rsidP="002E5BAD">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שהכריזו כראוי ובדקו יפה ודקדקו בשומא, אף על פי שטעו ומכרו שוה מנה במאתים או מאתים במנה, הרי מכרם קיים. אבל אם לא בדקו בשומא, ולא כתבו אגרת בקורת שהיא דקדוק השומא והכרזה</w:t>
      </w:r>
      <w:r>
        <w:rPr>
          <w:rStyle w:val="a7"/>
          <w:rFonts w:cs="Arial"/>
          <w:rtl/>
        </w:rPr>
        <w:footnoteReference w:id="2697"/>
      </w:r>
      <w:r>
        <w:rPr>
          <w:rFonts w:cs="Arial"/>
          <w:rtl/>
        </w:rPr>
        <w:t>, וטעו והותירו שתות או פחתו שתות מכרם בטל. פחות משתות מכרם קיים. וכן אם מכרו קרקע</w:t>
      </w:r>
      <w:r>
        <w:rPr>
          <w:rStyle w:val="a7"/>
          <w:rFonts w:cs="Arial"/>
          <w:rtl/>
        </w:rPr>
        <w:footnoteReference w:id="2698"/>
      </w:r>
      <w:r>
        <w:rPr>
          <w:rFonts w:cs="Arial"/>
          <w:rtl/>
        </w:rPr>
        <w:t xml:space="preserve"> בעת שאינם צריכים להכריז עליה, וטעו, ופחתו שתות או הותירו שתות, מכרן בטל אף על פי שהכריזו</w:t>
      </w:r>
      <w:r>
        <w:rPr>
          <w:rStyle w:val="a7"/>
          <w:rFonts w:cs="Arial"/>
          <w:rtl/>
        </w:rPr>
        <w:footnoteReference w:id="2699"/>
      </w:r>
      <w:r>
        <w:rPr>
          <w:rFonts w:cs="Arial"/>
          <w:rtl/>
        </w:rPr>
        <w:t xml:space="preserve">. </w:t>
      </w:r>
      <w:r>
        <w:rPr>
          <w:rFonts w:cs="Arial" w:hint="cs"/>
          <w:sz w:val="18"/>
          <w:szCs w:val="18"/>
          <w:rtl/>
        </w:rPr>
        <w:t xml:space="preserve">[הגה] </w:t>
      </w:r>
      <w:r w:rsidRPr="003D1481">
        <w:rPr>
          <w:rFonts w:cs="Arial"/>
          <w:sz w:val="18"/>
          <w:szCs w:val="18"/>
          <w:rtl/>
        </w:rPr>
        <w:t xml:space="preserve">וי"א כיון שהכריזו, אפילו טעו בכפל, המקח קיים (טור בשם הרא"ש). </w:t>
      </w:r>
      <w:r>
        <w:rPr>
          <w:rFonts w:cs="Arial"/>
          <w:rtl/>
        </w:rPr>
        <w:t xml:space="preserve">פחות משתות, מכרן קיים ואינו צריך להחזיר אונאה אף על פי שלא הכריזו. איזהו העת שאינם צריכים הכרזה, בעת שימכרו קרקע לקבורה או למזון האשה והבנות או ליתן מנת המלך, אינם צריכים הכרזה, לפי שהדבר נחוץ. וכן אם לוו לצורך דברים אלו, כשמוכרים לפורעם אינם צריכים הכרזה. </w:t>
      </w:r>
    </w:p>
    <w:p w14:paraId="203E63BB" w14:textId="77777777" w:rsidR="002E5BAD" w:rsidRDefault="002E5BAD" w:rsidP="002E5BAD">
      <w:pPr>
        <w:rPr>
          <w:rtl/>
        </w:rPr>
      </w:pPr>
    </w:p>
    <w:p w14:paraId="1484C671" w14:textId="77777777" w:rsidR="002E5BAD" w:rsidRDefault="002E5BAD" w:rsidP="002E5BAD">
      <w:pPr>
        <w:pStyle w:val="2"/>
        <w:rPr>
          <w:rtl/>
        </w:rPr>
      </w:pPr>
      <w:r>
        <w:rPr>
          <w:rtl/>
        </w:rPr>
        <w:t>סעיף ד</w:t>
      </w:r>
      <w:r>
        <w:rPr>
          <w:rFonts w:hint="cs"/>
          <w:rtl/>
        </w:rPr>
        <w:t>:</w:t>
      </w:r>
      <w:r w:rsidRPr="007E3F62">
        <w:rPr>
          <w:rFonts w:hint="cs"/>
          <w:rtl/>
        </w:rPr>
        <w:t xml:space="preserve"> </w:t>
      </w:r>
      <w:r>
        <w:rPr>
          <w:rFonts w:hint="cs"/>
          <w:rtl/>
        </w:rPr>
        <w:t>בית דין שמכרו דברים שאינם טעונים הכרזה, וטעו.</w:t>
      </w:r>
    </w:p>
    <w:p w14:paraId="44BD97CB" w14:textId="77777777" w:rsidR="002E5BAD" w:rsidRPr="003D1481" w:rsidRDefault="002E5BAD" w:rsidP="002E5BAD">
      <w:pPr>
        <w:rPr>
          <w:rtl/>
        </w:rPr>
      </w:pPr>
      <w:r>
        <w:rPr>
          <w:rFonts w:hint="cs"/>
          <w:rtl/>
        </w:rPr>
        <w:t>עיין במקורות בסעיף ב.</w:t>
      </w:r>
    </w:p>
    <w:p w14:paraId="3875302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C5D145" w14:textId="77777777" w:rsidR="002E5BAD" w:rsidRDefault="002E5BAD" w:rsidP="002E5BAD">
      <w:pPr>
        <w:rPr>
          <w:rtl/>
        </w:rPr>
      </w:pPr>
      <w:r>
        <w:rPr>
          <w:rFonts w:cs="Arial"/>
          <w:rtl/>
        </w:rPr>
        <w:t>וכן בית דין שמכרו דברים שאינם טעונים הכרזה וטעו בשתות, מכרם בטל. פחות משתות, מכרם קיים. ואלו הם הדברים שאין מכריזין עליהם: העבדים והשטרות והמטלטלים. העבדים, שמא ישמעו ויברחו. והשטרות והמטלטלים, שמא יגנבו</w:t>
      </w:r>
      <w:r>
        <w:rPr>
          <w:rFonts w:cs="Arial" w:hint="cs"/>
          <w:rtl/>
        </w:rPr>
        <w:t>.</w:t>
      </w:r>
      <w:r>
        <w:rPr>
          <w:rFonts w:cs="Arial"/>
          <w:rtl/>
        </w:rPr>
        <w:t xml:space="preserve"> לפיכך שמין אותם בבית דין ומוכרים אותם מיד. ואם השוק קרוב למדינה, מוליכין אותם לשוק.</w:t>
      </w:r>
      <w:r w:rsidRPr="003D1481">
        <w:rPr>
          <w:rFonts w:cs="Arial"/>
          <w:sz w:val="18"/>
          <w:szCs w:val="18"/>
          <w:rtl/>
        </w:rPr>
        <w:t xml:space="preserve"> </w:t>
      </w:r>
      <w:r w:rsidRPr="003D1481">
        <w:rPr>
          <w:rFonts w:cs="Arial" w:hint="cs"/>
          <w:sz w:val="18"/>
          <w:szCs w:val="18"/>
          <w:rtl/>
        </w:rPr>
        <w:t xml:space="preserve">[הגה] </w:t>
      </w:r>
      <w:r w:rsidRPr="003D1481">
        <w:rPr>
          <w:rFonts w:cs="Arial"/>
          <w:sz w:val="18"/>
          <w:szCs w:val="18"/>
          <w:rtl/>
        </w:rPr>
        <w:t xml:space="preserve">ובמקום שאין נוהגין להכריז שום דבר, דינו כדברים שאינן מכריזין (טור). </w:t>
      </w:r>
    </w:p>
    <w:p w14:paraId="79F9E9E7" w14:textId="77777777" w:rsidR="002E5BAD" w:rsidRDefault="002E5BAD" w:rsidP="002E5BAD">
      <w:pPr>
        <w:rPr>
          <w:rtl/>
        </w:rPr>
      </w:pPr>
    </w:p>
    <w:p w14:paraId="038F38B6" w14:textId="77777777" w:rsidR="002E5BAD" w:rsidRDefault="002E5BAD" w:rsidP="002E5BAD">
      <w:pPr>
        <w:pStyle w:val="2"/>
        <w:rPr>
          <w:rtl/>
        </w:rPr>
      </w:pPr>
      <w:r>
        <w:rPr>
          <w:rtl/>
        </w:rPr>
        <w:t>סעיף ה</w:t>
      </w:r>
      <w:r>
        <w:rPr>
          <w:rFonts w:hint="cs"/>
          <w:rtl/>
        </w:rPr>
        <w:t xml:space="preserve">: ביד ימי לבטל המקח כשהבית דין טעו בשתות </w:t>
      </w:r>
      <w:r w:rsidRPr="000B19A4">
        <w:rPr>
          <w:rFonts w:hint="cs"/>
          <w:sz w:val="20"/>
          <w:szCs w:val="20"/>
          <w:rtl/>
        </w:rPr>
        <w:t>(שמכר</w:t>
      </w:r>
      <w:r>
        <w:rPr>
          <w:rFonts w:hint="cs"/>
          <w:sz w:val="20"/>
          <w:szCs w:val="20"/>
          <w:rtl/>
        </w:rPr>
        <w:t>ן</w:t>
      </w:r>
      <w:r w:rsidRPr="000B19A4">
        <w:rPr>
          <w:rFonts w:hint="cs"/>
          <w:sz w:val="20"/>
          <w:szCs w:val="20"/>
          <w:rtl/>
        </w:rPr>
        <w:t xml:space="preserve"> בטל</w:t>
      </w:r>
      <w:r>
        <w:rPr>
          <w:rFonts w:hint="cs"/>
          <w:sz w:val="20"/>
          <w:szCs w:val="20"/>
          <w:rtl/>
        </w:rPr>
        <w:t>)</w:t>
      </w:r>
      <w:r>
        <w:rPr>
          <w:rFonts w:hint="cs"/>
          <w:rtl/>
        </w:rPr>
        <w:t>.</w:t>
      </w:r>
    </w:p>
    <w:p w14:paraId="287F56FD" w14:textId="77777777" w:rsidR="002E5BAD" w:rsidRPr="000B19A4" w:rsidRDefault="002E5BAD" w:rsidP="002E5BAD">
      <w:pPr>
        <w:rPr>
          <w:u w:val="single"/>
        </w:rPr>
      </w:pPr>
      <w:r>
        <w:rPr>
          <w:rFonts w:cs="Arial" w:hint="cs"/>
          <w:u w:val="single"/>
          <w:rtl/>
        </w:rPr>
        <w:t>בית דין</w:t>
      </w:r>
      <w:r w:rsidRPr="000B19A4">
        <w:rPr>
          <w:rFonts w:cs="Arial"/>
          <w:u w:val="single"/>
          <w:rtl/>
        </w:rPr>
        <w:t xml:space="preserve"> שטעו </w:t>
      </w:r>
      <w:r w:rsidRPr="000B19A4">
        <w:rPr>
          <w:rFonts w:cs="Arial" w:hint="cs"/>
          <w:u w:val="single"/>
          <w:rtl/>
        </w:rPr>
        <w:t>ב</w:t>
      </w:r>
      <w:r w:rsidRPr="000B19A4">
        <w:rPr>
          <w:rFonts w:cs="Arial"/>
          <w:u w:val="single"/>
          <w:rtl/>
        </w:rPr>
        <w:t xml:space="preserve">שתות </w:t>
      </w:r>
      <w:r w:rsidRPr="000B19A4">
        <w:rPr>
          <w:rFonts w:cs="Arial" w:hint="cs"/>
          <w:sz w:val="16"/>
          <w:szCs w:val="16"/>
          <w:u w:val="single"/>
          <w:rtl/>
        </w:rPr>
        <w:t>(</w:t>
      </w:r>
      <w:r w:rsidRPr="000B19A4">
        <w:rPr>
          <w:rFonts w:cs="Arial"/>
          <w:sz w:val="16"/>
          <w:szCs w:val="16"/>
          <w:u w:val="single"/>
          <w:rtl/>
        </w:rPr>
        <w:t xml:space="preserve">שמכרן </w:t>
      </w:r>
      <w:r w:rsidRPr="000B19A4">
        <w:rPr>
          <w:rFonts w:cs="Arial" w:hint="cs"/>
          <w:sz w:val="16"/>
          <w:szCs w:val="16"/>
          <w:u w:val="single"/>
          <w:rtl/>
        </w:rPr>
        <w:t>בטל)</w:t>
      </w:r>
      <w:r w:rsidRPr="000B19A4">
        <w:rPr>
          <w:rFonts w:cs="Arial" w:hint="cs"/>
          <w:u w:val="single"/>
          <w:rtl/>
        </w:rPr>
        <w:t xml:space="preserve"> </w:t>
      </w:r>
      <w:r w:rsidRPr="000B19A4">
        <w:rPr>
          <w:rFonts w:cs="Arial"/>
          <w:u w:val="single"/>
          <w:rtl/>
        </w:rPr>
        <w:t>–</w:t>
      </w:r>
      <w:r w:rsidRPr="000B19A4">
        <w:rPr>
          <w:rFonts w:cs="Arial" w:hint="cs"/>
          <w:u w:val="single"/>
          <w:rtl/>
        </w:rPr>
        <w:t xml:space="preserve"> ביד מי לבטל את המקח:</w:t>
      </w:r>
    </w:p>
    <w:p w14:paraId="3838FC94" w14:textId="77777777" w:rsidR="002E5BAD" w:rsidRDefault="002E5BAD" w:rsidP="00B75458">
      <w:pPr>
        <w:pStyle w:val="ab"/>
        <w:numPr>
          <w:ilvl w:val="0"/>
          <w:numId w:val="195"/>
        </w:numPr>
      </w:pPr>
      <w:r w:rsidRPr="002C73A2">
        <w:rPr>
          <w:rFonts w:cs="Arial"/>
          <w:rtl/>
        </w:rPr>
        <w:t>רמב"ם</w:t>
      </w:r>
      <w:r>
        <w:rPr>
          <w:rFonts w:cs="Arial" w:hint="cs"/>
          <w:sz w:val="16"/>
          <w:szCs w:val="16"/>
          <w:rtl/>
        </w:rPr>
        <w:t xml:space="preserve"> (פי"ג ממכירה ה"י)</w:t>
      </w:r>
      <w:r>
        <w:rPr>
          <w:rFonts w:cs="Arial" w:hint="cs"/>
          <w:rtl/>
        </w:rPr>
        <w:t xml:space="preserve">- </w:t>
      </w:r>
      <w:r w:rsidRPr="00980853">
        <w:rPr>
          <w:rFonts w:cs="Arial"/>
          <w:rtl/>
        </w:rPr>
        <w:t>בית דין שמכרו נכסי יתומים וטעו בין בקרקעות בין במטלטלין</w:t>
      </w:r>
      <w:r>
        <w:rPr>
          <w:rFonts w:cs="Arial" w:hint="cs"/>
          <w:rtl/>
        </w:rPr>
        <w:t>...</w:t>
      </w:r>
      <w:r w:rsidRPr="00980853">
        <w:rPr>
          <w:rFonts w:cs="Arial"/>
          <w:rtl/>
        </w:rPr>
        <w:t xml:space="preserve"> טעו בשתות</w:t>
      </w:r>
      <w:r>
        <w:rPr>
          <w:rFonts w:cs="Arial" w:hint="cs"/>
          <w:rtl/>
        </w:rPr>
        <w:t xml:space="preserve"> -</w:t>
      </w:r>
      <w:r w:rsidRPr="00980853">
        <w:rPr>
          <w:rFonts w:cs="Arial"/>
          <w:rtl/>
        </w:rPr>
        <w:t xml:space="preserve"> בטל המקח</w:t>
      </w:r>
      <w:r>
        <w:rPr>
          <w:rFonts w:cs="Arial" w:hint="cs"/>
          <w:rtl/>
        </w:rPr>
        <w:t>.</w:t>
      </w:r>
      <w:r w:rsidRPr="00980853">
        <w:rPr>
          <w:rFonts w:cs="Arial"/>
          <w:rtl/>
        </w:rPr>
        <w:t xml:space="preserve"> ואם רצו שלא לבטל הממכר ויחזירו ההונייה </w:t>
      </w:r>
      <w:r>
        <w:rPr>
          <w:rFonts w:cs="Arial" w:hint="cs"/>
          <w:rtl/>
        </w:rPr>
        <w:t xml:space="preserve">- </w:t>
      </w:r>
      <w:r w:rsidRPr="00980853">
        <w:rPr>
          <w:rFonts w:cs="Arial"/>
          <w:rtl/>
        </w:rPr>
        <w:t>מחזירין, לא יהיה כח הדיוט חמור מהן.</w:t>
      </w:r>
      <w:r w:rsidRPr="00980853">
        <w:rPr>
          <w:rFonts w:hint="cs"/>
          <w:color w:val="E36C0A" w:themeColor="accent6" w:themeShade="BF"/>
          <w:rtl/>
        </w:rPr>
        <w:t xml:space="preserve"> (וכ"פ בשו"ע)</w:t>
      </w:r>
    </w:p>
    <w:p w14:paraId="7D3E9D58" w14:textId="77777777" w:rsidR="002E5BAD" w:rsidRPr="00980853" w:rsidRDefault="002E5BAD" w:rsidP="00B75458">
      <w:pPr>
        <w:pStyle w:val="ab"/>
        <w:numPr>
          <w:ilvl w:val="0"/>
          <w:numId w:val="195"/>
        </w:numPr>
      </w:pPr>
      <w:r>
        <w:rPr>
          <w:rFonts w:cs="Arial" w:hint="cs"/>
          <w:rtl/>
        </w:rPr>
        <w:lastRenderedPageBreak/>
        <w:t xml:space="preserve">ה"ר יונה </w:t>
      </w:r>
      <w:r>
        <w:rPr>
          <w:rFonts w:cs="Arial" w:hint="cs"/>
          <w:sz w:val="16"/>
          <w:szCs w:val="16"/>
          <w:rtl/>
        </w:rPr>
        <w:t xml:space="preserve">(כ"כ הרא"ש בשמו) </w:t>
      </w:r>
      <w:r>
        <w:rPr>
          <w:rFonts w:cs="Arial" w:hint="cs"/>
          <w:rtl/>
        </w:rPr>
        <w:t xml:space="preserve"> ורא"ש</w:t>
      </w:r>
      <w:r>
        <w:rPr>
          <w:rStyle w:val="a7"/>
          <w:rFonts w:cs="Arial"/>
          <w:rtl/>
        </w:rPr>
        <w:footnoteReference w:id="2700"/>
      </w:r>
      <w:r>
        <w:rPr>
          <w:rFonts w:cs="Arial" w:hint="cs"/>
          <w:rtl/>
        </w:rPr>
        <w:t xml:space="preserve"> </w:t>
      </w:r>
      <w:r w:rsidRPr="00D65942">
        <w:rPr>
          <w:rFonts w:cs="Arial"/>
          <w:sz w:val="16"/>
          <w:szCs w:val="16"/>
          <w:rtl/>
        </w:rPr>
        <w:t>(</w:t>
      </w:r>
      <w:r w:rsidRPr="00D65942">
        <w:rPr>
          <w:rFonts w:cs="Arial" w:hint="cs"/>
          <w:sz w:val="16"/>
          <w:szCs w:val="16"/>
          <w:rtl/>
        </w:rPr>
        <w:t xml:space="preserve">פי"א </w:t>
      </w:r>
      <w:r w:rsidRPr="00D65942">
        <w:rPr>
          <w:rFonts w:cs="Arial"/>
          <w:sz w:val="16"/>
          <w:szCs w:val="16"/>
          <w:rtl/>
        </w:rPr>
        <w:t xml:space="preserve">סי' </w:t>
      </w:r>
      <w:r>
        <w:rPr>
          <w:rFonts w:cs="Arial" w:hint="cs"/>
          <w:sz w:val="16"/>
          <w:szCs w:val="16"/>
          <w:rtl/>
        </w:rPr>
        <w:t>ט</w:t>
      </w:r>
      <w:r w:rsidRPr="00D65942">
        <w:rPr>
          <w:rFonts w:cs="Arial"/>
          <w:sz w:val="16"/>
          <w:szCs w:val="16"/>
          <w:rtl/>
        </w:rPr>
        <w:t>ז)</w:t>
      </w:r>
      <w:r>
        <w:rPr>
          <w:rFonts w:cs="Arial" w:hint="cs"/>
          <w:rtl/>
        </w:rPr>
        <w:t xml:space="preserve">- </w:t>
      </w:r>
      <w:r w:rsidRPr="00980853">
        <w:rPr>
          <w:rFonts w:cs="Arial"/>
          <w:rtl/>
        </w:rPr>
        <w:t>אין שומעין להם</w:t>
      </w:r>
      <w:r w:rsidRPr="00980853">
        <w:rPr>
          <w:rFonts w:cs="Arial" w:hint="cs"/>
          <w:rtl/>
        </w:rPr>
        <w:t>,</w:t>
      </w:r>
      <w:r w:rsidRPr="00980853">
        <w:rPr>
          <w:rFonts w:cs="Arial"/>
          <w:rtl/>
        </w:rPr>
        <w:t xml:space="preserve"> דכיון שהרשות ביד ב"ד לבטל המקח גם כן הרשות ביד הלוקח לבטלו ואם ירצו להכריח הלוקח שיתקיים המקח ויחזיר האונאה אין שומעין להם</w:t>
      </w:r>
      <w:r>
        <w:rPr>
          <w:rFonts w:cs="Arial" w:hint="cs"/>
          <w:sz w:val="16"/>
          <w:szCs w:val="16"/>
          <w:rtl/>
        </w:rPr>
        <w:t xml:space="preserve"> (ל' הטור בשם הרא"ש)</w:t>
      </w:r>
      <w:r w:rsidRPr="00980853">
        <w:rPr>
          <w:rFonts w:cs="Arial" w:hint="cs"/>
          <w:rtl/>
        </w:rPr>
        <w:t>.</w:t>
      </w:r>
      <w:r w:rsidRPr="00980853">
        <w:rPr>
          <w:rFonts w:cs="Arial"/>
          <w:rtl/>
        </w:rPr>
        <w:t xml:space="preserve">  </w:t>
      </w:r>
    </w:p>
    <w:p w14:paraId="6627222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56A65D" w14:textId="77777777" w:rsidR="002E5BAD" w:rsidRDefault="002E5BAD" w:rsidP="002E5BAD">
      <w:pPr>
        <w:rPr>
          <w:rtl/>
        </w:rPr>
      </w:pPr>
      <w:r>
        <w:rPr>
          <w:rFonts w:cs="Arial"/>
          <w:rtl/>
        </w:rPr>
        <w:t xml:space="preserve">היכא דטעו ונתאנו בשתות, שהמכר בטל, אם ירצו בית דין לקיים המקח ולהחזיר האונאה, הרשות בידם. ויש חולקים בזה. </w:t>
      </w:r>
    </w:p>
    <w:p w14:paraId="4538EFFD" w14:textId="77777777" w:rsidR="002E5BAD" w:rsidRDefault="002E5BAD" w:rsidP="002E5BAD">
      <w:pPr>
        <w:rPr>
          <w:rtl/>
        </w:rPr>
      </w:pPr>
    </w:p>
    <w:p w14:paraId="345B8B36" w14:textId="77777777" w:rsidR="002E5BAD" w:rsidRDefault="002E5BAD" w:rsidP="002E5BAD">
      <w:pPr>
        <w:pStyle w:val="2"/>
        <w:rPr>
          <w:rtl/>
        </w:rPr>
      </w:pPr>
      <w:r>
        <w:rPr>
          <w:rtl/>
        </w:rPr>
        <w:t>סעיף ו</w:t>
      </w:r>
      <w:r>
        <w:rPr>
          <w:rFonts w:hint="cs"/>
          <w:rtl/>
        </w:rPr>
        <w:t>:</w:t>
      </w:r>
      <w:r w:rsidRPr="00546514">
        <w:rPr>
          <w:rtl/>
        </w:rPr>
        <w:t xml:space="preserve"> </w:t>
      </w:r>
      <w:r w:rsidRPr="002C73A2">
        <w:rPr>
          <w:rtl/>
        </w:rPr>
        <w:t>שליח שמכר וטעה</w:t>
      </w:r>
      <w:r>
        <w:rPr>
          <w:rFonts w:hint="cs"/>
          <w:rtl/>
        </w:rPr>
        <w:t>.</w:t>
      </w:r>
    </w:p>
    <w:p w14:paraId="36F86957" w14:textId="77777777" w:rsidR="002E5BAD" w:rsidRDefault="002E5BAD" w:rsidP="002E5BAD">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צ</w:t>
      </w:r>
      <w:r>
        <w:rPr>
          <w:rFonts w:hint="cs"/>
          <w:b/>
          <w:bCs/>
          <w:rtl/>
        </w:rPr>
        <w:t>ט</w:t>
      </w:r>
      <w:r w:rsidRPr="009E3B5F">
        <w:rPr>
          <w:rFonts w:hint="cs"/>
          <w:b/>
          <w:bCs/>
          <w:rtl/>
        </w:rPr>
        <w:t xml:space="preserve"> ע"</w:t>
      </w:r>
      <w:r>
        <w:rPr>
          <w:rFonts w:hint="cs"/>
          <w:b/>
          <w:bCs/>
          <w:rtl/>
        </w:rPr>
        <w:t>ב</w:t>
      </w:r>
      <w:r w:rsidRPr="009E3B5F">
        <w:rPr>
          <w:rFonts w:hint="cs"/>
          <w:b/>
          <w:bCs/>
          <w:rtl/>
        </w:rPr>
        <w:t xml:space="preserve">: </w:t>
      </w:r>
      <w:r w:rsidRPr="00363EFC">
        <w:rPr>
          <w:rFonts w:cs="Arial"/>
          <w:rtl/>
        </w:rPr>
        <w:t>איבעיא להו: שליח כמאן</w:t>
      </w:r>
      <w:r>
        <w:rPr>
          <w:rStyle w:val="a7"/>
          <w:rFonts w:cs="Arial"/>
          <w:rtl/>
        </w:rPr>
        <w:footnoteReference w:id="2701"/>
      </w:r>
      <w:r w:rsidRPr="00363EFC">
        <w:rPr>
          <w:rFonts w:cs="Arial"/>
          <w:rtl/>
        </w:rPr>
        <w:t>?</w:t>
      </w:r>
      <w:r w:rsidRPr="00363EFC">
        <w:rPr>
          <w:rtl/>
        </w:rPr>
        <w:t xml:space="preserve"> </w:t>
      </w:r>
      <w:r>
        <w:rPr>
          <w:rFonts w:hint="cs"/>
          <w:sz w:val="14"/>
          <w:szCs w:val="14"/>
          <w:rtl/>
        </w:rPr>
        <w:t xml:space="preserve">(ק.) </w:t>
      </w:r>
      <w:r w:rsidRPr="00363EFC">
        <w:rPr>
          <w:rFonts w:cs="Arial"/>
          <w:u w:val="single"/>
          <w:rtl/>
        </w:rPr>
        <w:t>רבא אמר ר"נ</w:t>
      </w:r>
      <w:r w:rsidRPr="00363EFC">
        <w:rPr>
          <w:rFonts w:cs="Arial"/>
          <w:rtl/>
        </w:rPr>
        <w:t>: שליח כדיינין</w:t>
      </w:r>
      <w:r>
        <w:rPr>
          <w:rFonts w:cs="Arial" w:hint="cs"/>
          <w:rtl/>
        </w:rPr>
        <w:t>.</w:t>
      </w:r>
      <w:r w:rsidRPr="00363EFC">
        <w:rPr>
          <w:rFonts w:cs="Arial"/>
          <w:rtl/>
        </w:rPr>
        <w:t xml:space="preserve"> </w:t>
      </w:r>
      <w:r w:rsidRPr="00363EFC">
        <w:rPr>
          <w:rFonts w:cs="Arial"/>
          <w:u w:val="single"/>
          <w:rtl/>
        </w:rPr>
        <w:t>רב שמואל בר ביסנא אמר ר"נ</w:t>
      </w:r>
      <w:r w:rsidRPr="00363EFC">
        <w:rPr>
          <w:rFonts w:cs="Arial"/>
          <w:rtl/>
        </w:rPr>
        <w:t>: כאלמנה. רבא אמר ר"נ שליח כדיינין, מה דיינין לאו לדידהו, אף שליח נמי לאו לדידיה, לאפוקי אלמנה דלדידה</w:t>
      </w:r>
      <w:r>
        <w:rPr>
          <w:rFonts w:cs="Arial" w:hint="cs"/>
          <w:rtl/>
        </w:rPr>
        <w:t>.</w:t>
      </w:r>
      <w:r w:rsidRPr="00363EFC">
        <w:rPr>
          <w:rFonts w:cs="Arial"/>
          <w:rtl/>
        </w:rPr>
        <w:t xml:space="preserve"> רב שמואל בר ביסנא אמר ר"נ כאלמנה, מה אלמנה יחידה, אף שליח יחיד, לאפוקי ב"ד דרבים נינהו. והלכתא: שליח כאלמנה.</w:t>
      </w:r>
      <w:r w:rsidRPr="00F364BD">
        <w:rPr>
          <w:rFonts w:cs="Arial"/>
          <w:sz w:val="16"/>
          <w:szCs w:val="16"/>
          <w:rtl/>
        </w:rPr>
        <w:t xml:space="preserve"> </w:t>
      </w:r>
      <w:r>
        <w:rPr>
          <w:rFonts w:cs="Arial" w:hint="cs"/>
          <w:sz w:val="16"/>
          <w:szCs w:val="16"/>
          <w:rtl/>
        </w:rPr>
        <w:t>(</w:t>
      </w:r>
      <w:r w:rsidRPr="00F364BD">
        <w:rPr>
          <w:rFonts w:cs="Arial"/>
          <w:sz w:val="16"/>
          <w:szCs w:val="16"/>
          <w:rtl/>
        </w:rPr>
        <w:t>וכתב הרא"ש (סי' יז) פירש ר"ת דהאי שליח מיירי בשעשאוהו בית דין שליח למכור</w:t>
      </w:r>
      <w:r>
        <w:rPr>
          <w:rFonts w:cs="Arial" w:hint="cs"/>
          <w:sz w:val="16"/>
          <w:szCs w:val="16"/>
          <w:rtl/>
        </w:rPr>
        <w:t>.</w:t>
      </w:r>
      <w:r w:rsidRPr="00F364BD">
        <w:rPr>
          <w:rFonts w:cs="Arial"/>
          <w:sz w:val="16"/>
          <w:szCs w:val="16"/>
          <w:rtl/>
        </w:rPr>
        <w:t xml:space="preserve"> דאי בשליח שעשוהו בעלים היכי קאמר רבא משמיה דרב נחמן שליח כדיינים</w:t>
      </w:r>
      <w:r>
        <w:rPr>
          <w:rFonts w:cs="Arial" w:hint="cs"/>
          <w:sz w:val="16"/>
          <w:szCs w:val="16"/>
          <w:rtl/>
        </w:rPr>
        <w:t>,</w:t>
      </w:r>
      <w:r w:rsidRPr="00F364BD">
        <w:rPr>
          <w:rFonts w:cs="Arial"/>
          <w:sz w:val="16"/>
          <w:szCs w:val="16"/>
          <w:rtl/>
        </w:rPr>
        <w:t xml:space="preserve"> הא אמר רב נחמן לעיל אבל טעה שליח אמר ליה לתקוני שדרתיך</w:t>
      </w:r>
      <w:r>
        <w:rPr>
          <w:rFonts w:cs="Arial" w:hint="cs"/>
          <w:sz w:val="16"/>
          <w:szCs w:val="16"/>
          <w:rtl/>
        </w:rPr>
        <w:t>.</w:t>
      </w:r>
      <w:r w:rsidRPr="00F364BD">
        <w:rPr>
          <w:rFonts w:cs="Arial"/>
          <w:sz w:val="16"/>
          <w:szCs w:val="16"/>
          <w:rtl/>
        </w:rPr>
        <w:t xml:space="preserve"> ועוד דבר"פ האיש מקדש (קידושין מב:) אמר רב נחמן האחין שחלקו וכו' אבל שוייה שליח אמר ליה לתקוני שדרתיך ולא לעוותי</w:t>
      </w:r>
      <w:r>
        <w:rPr>
          <w:rFonts w:cs="Arial" w:hint="cs"/>
          <w:sz w:val="16"/>
          <w:szCs w:val="16"/>
          <w:rtl/>
        </w:rPr>
        <w:t>.</w:t>
      </w:r>
      <w:r w:rsidRPr="00F364BD">
        <w:rPr>
          <w:rFonts w:cs="Arial"/>
          <w:sz w:val="16"/>
          <w:szCs w:val="16"/>
          <w:rtl/>
        </w:rPr>
        <w:t xml:space="preserve"> אלמא בשליח אפילו בפחות משתות בטל מקח</w:t>
      </w:r>
      <w:r>
        <w:rPr>
          <w:rFonts w:cs="Arial" w:hint="cs"/>
          <w:sz w:val="16"/>
          <w:szCs w:val="16"/>
          <w:rtl/>
        </w:rPr>
        <w:t>.</w:t>
      </w:r>
      <w:r w:rsidRPr="00F364BD">
        <w:rPr>
          <w:rFonts w:cs="Arial"/>
          <w:sz w:val="16"/>
          <w:szCs w:val="16"/>
          <w:rtl/>
        </w:rPr>
        <w:t xml:space="preserve"> הילכך בשליח דיינים איירי הכא דאלים כחו</w:t>
      </w:r>
      <w:r>
        <w:rPr>
          <w:rFonts w:cs="Arial" w:hint="cs"/>
          <w:sz w:val="16"/>
          <w:szCs w:val="16"/>
          <w:rtl/>
        </w:rPr>
        <w:t>.</w:t>
      </w:r>
      <w:r w:rsidRPr="00F364BD">
        <w:rPr>
          <w:rFonts w:cs="Arial"/>
          <w:sz w:val="16"/>
          <w:szCs w:val="16"/>
          <w:rtl/>
        </w:rPr>
        <w:t xml:space="preserve"> ור"י פירש כיון דקאמר תלמודא שליח סתם</w:t>
      </w:r>
      <w:r>
        <w:rPr>
          <w:rFonts w:cs="Arial" w:hint="cs"/>
          <w:sz w:val="16"/>
          <w:szCs w:val="16"/>
          <w:rtl/>
        </w:rPr>
        <w:t>,</w:t>
      </w:r>
      <w:r w:rsidRPr="00F364BD">
        <w:rPr>
          <w:rFonts w:cs="Arial"/>
          <w:sz w:val="16"/>
          <w:szCs w:val="16"/>
          <w:rtl/>
        </w:rPr>
        <w:t xml:space="preserve"> משמע בסתם שליחות שעשאוהו בעלים</w:t>
      </w:r>
      <w:r>
        <w:rPr>
          <w:rFonts w:cs="Arial" w:hint="cs"/>
          <w:sz w:val="16"/>
          <w:szCs w:val="16"/>
          <w:rtl/>
        </w:rPr>
        <w:t>.</w:t>
      </w:r>
      <w:r w:rsidRPr="00F364BD">
        <w:rPr>
          <w:rFonts w:cs="Arial"/>
          <w:sz w:val="16"/>
          <w:szCs w:val="16"/>
          <w:rtl/>
        </w:rPr>
        <w:t xml:space="preserve"> ופר"ת עיקר</w:t>
      </w:r>
      <w:r>
        <w:rPr>
          <w:rFonts w:cs="Arial" w:hint="cs"/>
          <w:sz w:val="16"/>
          <w:szCs w:val="16"/>
          <w:rtl/>
        </w:rPr>
        <w:t>,</w:t>
      </w:r>
      <w:r w:rsidRPr="00F364BD">
        <w:rPr>
          <w:rFonts w:cs="Arial"/>
          <w:sz w:val="16"/>
          <w:szCs w:val="16"/>
          <w:rtl/>
        </w:rPr>
        <w:t xml:space="preserve"> דנקבעה בעיא זו אמתניתין דשום הדיינים שפיחת שתות</w:t>
      </w:r>
      <w:r>
        <w:rPr>
          <w:rFonts w:cs="Arial" w:hint="cs"/>
          <w:sz w:val="16"/>
          <w:szCs w:val="16"/>
          <w:rtl/>
        </w:rPr>
        <w:t>,</w:t>
      </w:r>
      <w:r w:rsidRPr="00F364BD">
        <w:rPr>
          <w:rFonts w:cs="Arial"/>
          <w:sz w:val="16"/>
          <w:szCs w:val="16"/>
          <w:rtl/>
        </w:rPr>
        <w:t xml:space="preserve"> משמע דבשליח דיינים איירי עכ"ל</w:t>
      </w:r>
      <w:r>
        <w:rPr>
          <w:rFonts w:cs="Arial" w:hint="cs"/>
          <w:sz w:val="16"/>
          <w:szCs w:val="16"/>
          <w:rtl/>
        </w:rPr>
        <w:t>, ב"י)</w:t>
      </w:r>
    </w:p>
    <w:p w14:paraId="72EDF675" w14:textId="77777777" w:rsidR="002E5BAD" w:rsidRPr="00546514" w:rsidRDefault="002E5BAD" w:rsidP="002E5BAD">
      <w:pPr>
        <w:rPr>
          <w:u w:val="single"/>
          <w:rtl/>
        </w:rPr>
      </w:pPr>
      <w:r w:rsidRPr="00546514">
        <w:rPr>
          <w:rFonts w:cs="Arial"/>
          <w:u w:val="single"/>
          <w:rtl/>
        </w:rPr>
        <w:t>שליח שמכר וטעה ונתאנה</w:t>
      </w:r>
      <w:r w:rsidRPr="00546514">
        <w:rPr>
          <w:rFonts w:hint="cs"/>
          <w:u w:val="single"/>
          <w:rtl/>
        </w:rPr>
        <w:t>:</w:t>
      </w:r>
    </w:p>
    <w:p w14:paraId="2E14EE20" w14:textId="77777777" w:rsidR="002E5BAD" w:rsidRDefault="002E5BAD" w:rsidP="00B75458">
      <w:pPr>
        <w:pStyle w:val="ab"/>
        <w:numPr>
          <w:ilvl w:val="0"/>
          <w:numId w:val="195"/>
        </w:numPr>
      </w:pPr>
      <w:r>
        <w:rPr>
          <w:rFonts w:cs="Arial" w:hint="cs"/>
          <w:rtl/>
        </w:rPr>
        <w:t xml:space="preserve">ר"ת </w:t>
      </w:r>
      <w:r>
        <w:rPr>
          <w:rFonts w:cs="Arial" w:hint="cs"/>
          <w:sz w:val="16"/>
          <w:szCs w:val="16"/>
          <w:rtl/>
        </w:rPr>
        <w:t>(כ"כ הרא"ש בשמו)</w:t>
      </w:r>
      <w:r>
        <w:rPr>
          <w:rFonts w:cs="Arial" w:hint="cs"/>
          <w:rtl/>
        </w:rPr>
        <w:t xml:space="preserve"> רא"ש</w:t>
      </w:r>
      <w:r>
        <w:rPr>
          <w:rFonts w:cs="Arial" w:hint="cs"/>
          <w:sz w:val="16"/>
          <w:szCs w:val="16"/>
          <w:rtl/>
        </w:rPr>
        <w:t xml:space="preserve"> (פי"א סי' יז)</w:t>
      </w:r>
      <w:r>
        <w:rPr>
          <w:rFonts w:cs="Arial" w:hint="cs"/>
          <w:rtl/>
        </w:rPr>
        <w:t xml:space="preserve"> וטור- </w:t>
      </w:r>
      <w:r w:rsidRPr="002C73A2">
        <w:rPr>
          <w:rFonts w:cs="Arial"/>
          <w:rtl/>
        </w:rPr>
        <w:t xml:space="preserve">שליח שמכר וטעה ונתאנה </w:t>
      </w:r>
      <w:r>
        <w:rPr>
          <w:rFonts w:cs="Arial" w:hint="cs"/>
          <w:rtl/>
        </w:rPr>
        <w:t xml:space="preserve">- </w:t>
      </w:r>
      <w:r w:rsidRPr="002C73A2">
        <w:rPr>
          <w:rFonts w:cs="Arial"/>
          <w:rtl/>
        </w:rPr>
        <w:t>המכר בטל</w:t>
      </w:r>
      <w:r>
        <w:rPr>
          <w:rFonts w:cs="Arial" w:hint="cs"/>
          <w:rtl/>
        </w:rPr>
        <w:t>,</w:t>
      </w:r>
      <w:r w:rsidRPr="002C73A2">
        <w:rPr>
          <w:rFonts w:cs="Arial"/>
          <w:rtl/>
        </w:rPr>
        <w:t xml:space="preserve"> ואפילו בכל שהו שנתאנה</w:t>
      </w:r>
      <w:r>
        <w:rPr>
          <w:rFonts w:cs="Arial" w:hint="cs"/>
          <w:rtl/>
        </w:rPr>
        <w:t>,</w:t>
      </w:r>
      <w:r w:rsidRPr="002C73A2">
        <w:rPr>
          <w:rFonts w:cs="Arial"/>
          <w:rtl/>
        </w:rPr>
        <w:t xml:space="preserve"> בין אם הוא שליח ב"ד או שליח כל אדם</w:t>
      </w:r>
      <w:r>
        <w:rPr>
          <w:rFonts w:cs="Arial" w:hint="cs"/>
          <w:sz w:val="16"/>
          <w:szCs w:val="16"/>
          <w:rtl/>
        </w:rPr>
        <w:t xml:space="preserve"> (ל' הטור)</w:t>
      </w:r>
      <w:r>
        <w:rPr>
          <w:rFonts w:cs="Arial" w:hint="cs"/>
          <w:rtl/>
        </w:rPr>
        <w:t>.</w:t>
      </w:r>
      <w:r w:rsidRPr="002C73A2">
        <w:rPr>
          <w:rFonts w:cs="Arial"/>
          <w:rtl/>
        </w:rPr>
        <w:t xml:space="preserve"> </w:t>
      </w:r>
      <w:r w:rsidRPr="002B5FCF">
        <w:rPr>
          <w:rFonts w:hint="cs"/>
          <w:color w:val="E36C0A" w:themeColor="accent6" w:themeShade="BF"/>
          <w:rtl/>
        </w:rPr>
        <w:t>(וכ"פ בשו"ע)</w:t>
      </w:r>
    </w:p>
    <w:p w14:paraId="740012C5" w14:textId="77777777" w:rsidR="002E5BAD" w:rsidRDefault="002E5BAD" w:rsidP="002E5BAD">
      <w:pPr>
        <w:rPr>
          <w:rtl/>
        </w:rPr>
      </w:pPr>
      <w:r w:rsidRPr="006C7DCB">
        <w:rPr>
          <w:rFonts w:hint="cs"/>
          <w:b/>
          <w:bCs/>
          <w:rtl/>
        </w:rPr>
        <w:t xml:space="preserve">כתובות </w:t>
      </w:r>
      <w:r w:rsidRPr="006C7DCB">
        <w:rPr>
          <w:rFonts w:hint="cs"/>
          <w:b/>
          <w:bCs/>
          <w:sz w:val="16"/>
          <w:szCs w:val="16"/>
          <w:rtl/>
        </w:rPr>
        <w:t xml:space="preserve">(פ' אלמנה נזונת) </w:t>
      </w:r>
      <w:r w:rsidRPr="006C7DCB">
        <w:rPr>
          <w:rFonts w:hint="cs"/>
          <w:b/>
          <w:bCs/>
          <w:rtl/>
        </w:rPr>
        <w:t xml:space="preserve">צט ע"ב: </w:t>
      </w:r>
      <w:r w:rsidRPr="006C7DCB">
        <w:rPr>
          <w:rFonts w:cs="Arial"/>
          <w:u w:val="double"/>
          <w:rtl/>
        </w:rPr>
        <w:t>מתני'</w:t>
      </w:r>
      <w:r w:rsidRPr="006C7DCB">
        <w:rPr>
          <w:rFonts w:cs="Arial" w:hint="cs"/>
          <w:rtl/>
        </w:rPr>
        <w:t>:</w:t>
      </w:r>
      <w:r w:rsidRPr="006C7DCB">
        <w:rPr>
          <w:rFonts w:cs="Arial"/>
          <w:rtl/>
        </w:rPr>
        <w:t xml:space="preserve"> שום הדיינין שפיחתו שתות או הוסיפו שתות - מכרן בטל</w:t>
      </w:r>
      <w:r w:rsidRPr="006C7DCB">
        <w:rPr>
          <w:rFonts w:cs="Arial" w:hint="cs"/>
          <w:rtl/>
        </w:rPr>
        <w:t>.</w:t>
      </w:r>
      <w:r w:rsidRPr="006C7DCB">
        <w:rPr>
          <w:rFonts w:cs="Arial" w:hint="cs"/>
          <w:sz w:val="16"/>
          <w:szCs w:val="16"/>
          <w:rtl/>
        </w:rPr>
        <w:t xml:space="preserve"> (ו</w:t>
      </w:r>
      <w:r w:rsidRPr="006C7DCB">
        <w:rPr>
          <w:rFonts w:cs="Arial"/>
          <w:sz w:val="16"/>
          <w:szCs w:val="16"/>
          <w:rtl/>
        </w:rPr>
        <w:t xml:space="preserve">כתב הרא"ש (סי' טז) הא דקתני פחתו מכרן בטל </w:t>
      </w:r>
      <w:r w:rsidRPr="006C7DCB">
        <w:rPr>
          <w:rFonts w:cs="Arial" w:hint="cs"/>
          <w:sz w:val="16"/>
          <w:szCs w:val="16"/>
          <w:rtl/>
        </w:rPr>
        <w:t xml:space="preserve">- </w:t>
      </w:r>
      <w:r w:rsidRPr="006C7DCB">
        <w:rPr>
          <w:rFonts w:cs="Arial"/>
          <w:sz w:val="16"/>
          <w:szCs w:val="16"/>
          <w:rtl/>
        </w:rPr>
        <w:t>ניחא דנתאנו היתומים</w:t>
      </w:r>
      <w:r w:rsidRPr="006C7DCB">
        <w:rPr>
          <w:rFonts w:cs="Arial" w:hint="cs"/>
          <w:sz w:val="16"/>
          <w:szCs w:val="16"/>
          <w:rtl/>
        </w:rPr>
        <w:t>,</w:t>
      </w:r>
      <w:r w:rsidRPr="006C7DCB">
        <w:rPr>
          <w:rFonts w:cs="Arial"/>
          <w:sz w:val="16"/>
          <w:szCs w:val="16"/>
          <w:rtl/>
        </w:rPr>
        <w:t xml:space="preserve"> אבל אם הותירו שתות שנתאנה לוקח אמאי בטל</w:t>
      </w:r>
      <w:r w:rsidRPr="006C7DCB">
        <w:rPr>
          <w:rFonts w:cs="Arial" w:hint="cs"/>
          <w:sz w:val="16"/>
          <w:szCs w:val="16"/>
          <w:rtl/>
        </w:rPr>
        <w:t>,</w:t>
      </w:r>
      <w:r w:rsidRPr="006C7DCB">
        <w:rPr>
          <w:rFonts w:cs="Arial"/>
          <w:sz w:val="16"/>
          <w:szCs w:val="16"/>
          <w:rtl/>
        </w:rPr>
        <w:t xml:space="preserve"> לא יהא כח היתומים גרוע מכח אחר דאין אונאה לקרקעות</w:t>
      </w:r>
      <w:r w:rsidRPr="006C7DCB">
        <w:rPr>
          <w:rFonts w:cs="Arial" w:hint="cs"/>
          <w:sz w:val="16"/>
          <w:szCs w:val="16"/>
          <w:rtl/>
        </w:rPr>
        <w:t>.</w:t>
      </w:r>
      <w:r w:rsidRPr="006C7DCB">
        <w:rPr>
          <w:rFonts w:cs="Arial"/>
          <w:sz w:val="16"/>
          <w:szCs w:val="16"/>
          <w:rtl/>
        </w:rPr>
        <w:t xml:space="preserve"> ומתוך פירוש רש"י משמע דכיון דלגבי אונאת יתומים אמרינן מכרו בטל</w:t>
      </w:r>
      <w:r w:rsidRPr="006C7DCB">
        <w:rPr>
          <w:rFonts w:cs="Arial" w:hint="cs"/>
          <w:sz w:val="16"/>
          <w:szCs w:val="16"/>
          <w:rtl/>
        </w:rPr>
        <w:t>,</w:t>
      </w:r>
      <w:r w:rsidRPr="006C7DCB">
        <w:rPr>
          <w:rFonts w:cs="Arial"/>
          <w:sz w:val="16"/>
          <w:szCs w:val="16"/>
          <w:rtl/>
        </w:rPr>
        <w:t xml:space="preserve"> הוא הדין נמי לגבי אונאת לוקח</w:t>
      </w:r>
      <w:r w:rsidRPr="006C7DCB">
        <w:rPr>
          <w:rFonts w:cs="Arial" w:hint="cs"/>
          <w:sz w:val="16"/>
          <w:szCs w:val="16"/>
          <w:rtl/>
        </w:rPr>
        <w:t>.</w:t>
      </w:r>
      <w:r w:rsidRPr="006C7DCB">
        <w:rPr>
          <w:rFonts w:cs="Arial"/>
          <w:sz w:val="16"/>
          <w:szCs w:val="16"/>
          <w:rtl/>
        </w:rPr>
        <w:t xml:space="preserve"> ולסברא זו גם בשליח הדין כן</w:t>
      </w:r>
      <w:r w:rsidRPr="006C7DCB">
        <w:rPr>
          <w:rFonts w:cs="Arial" w:hint="cs"/>
          <w:sz w:val="16"/>
          <w:szCs w:val="16"/>
          <w:rtl/>
        </w:rPr>
        <w:t>,</w:t>
      </w:r>
      <w:r w:rsidRPr="006C7DCB">
        <w:rPr>
          <w:rFonts w:cs="Arial"/>
          <w:sz w:val="16"/>
          <w:szCs w:val="16"/>
          <w:rtl/>
        </w:rPr>
        <w:t xml:space="preserve"> כי היכי דאי טעה שליח ונתאנה</w:t>
      </w:r>
      <w:r w:rsidRPr="006C7DCB">
        <w:rPr>
          <w:rFonts w:cs="Arial" w:hint="cs"/>
          <w:sz w:val="16"/>
          <w:szCs w:val="16"/>
          <w:rtl/>
        </w:rPr>
        <w:t>,</w:t>
      </w:r>
      <w:r w:rsidRPr="006C7DCB">
        <w:rPr>
          <w:rFonts w:cs="Arial"/>
          <w:sz w:val="16"/>
          <w:szCs w:val="16"/>
          <w:rtl/>
        </w:rPr>
        <w:t xml:space="preserve"> המקח בטל</w:t>
      </w:r>
      <w:r w:rsidRPr="006C7DCB">
        <w:rPr>
          <w:rFonts w:cs="Arial" w:hint="cs"/>
          <w:sz w:val="16"/>
          <w:szCs w:val="16"/>
          <w:rtl/>
        </w:rPr>
        <w:t>,</w:t>
      </w:r>
      <w:r w:rsidRPr="006C7DCB">
        <w:rPr>
          <w:rFonts w:cs="Arial"/>
          <w:sz w:val="16"/>
          <w:szCs w:val="16"/>
          <w:rtl/>
        </w:rPr>
        <w:t xml:space="preserve"> דאמר ליה לתקוני שדרתיך ולא לעוותי</w:t>
      </w:r>
      <w:r w:rsidRPr="006C7DCB">
        <w:rPr>
          <w:rFonts w:cs="Arial" w:hint="cs"/>
          <w:sz w:val="16"/>
          <w:szCs w:val="16"/>
          <w:rtl/>
        </w:rPr>
        <w:t>,</w:t>
      </w:r>
      <w:r w:rsidRPr="006C7DCB">
        <w:rPr>
          <w:rFonts w:cs="Arial"/>
          <w:sz w:val="16"/>
          <w:szCs w:val="16"/>
          <w:rtl/>
        </w:rPr>
        <w:t xml:space="preserve"> הכי נמי אם נתאנה לוקח</w:t>
      </w:r>
      <w:r w:rsidRPr="006C7DCB">
        <w:rPr>
          <w:rFonts w:cs="Arial" w:hint="cs"/>
          <w:sz w:val="16"/>
          <w:szCs w:val="16"/>
          <w:rtl/>
        </w:rPr>
        <w:t>.</w:t>
      </w:r>
      <w:r w:rsidRPr="006C7DCB">
        <w:rPr>
          <w:rFonts w:cs="Arial"/>
          <w:sz w:val="16"/>
          <w:szCs w:val="16"/>
          <w:rtl/>
        </w:rPr>
        <w:t xml:space="preserve"> וכן כתב רבינו האיי ז"ל דבשליח אם הותירו שתות מכרן בטל</w:t>
      </w:r>
      <w:r w:rsidRPr="006C7DCB">
        <w:rPr>
          <w:rFonts w:cs="Arial" w:hint="cs"/>
          <w:sz w:val="16"/>
          <w:szCs w:val="16"/>
          <w:rtl/>
        </w:rPr>
        <w:t>.</w:t>
      </w:r>
      <w:r w:rsidRPr="006C7DCB">
        <w:rPr>
          <w:rFonts w:cs="Arial"/>
          <w:sz w:val="16"/>
          <w:szCs w:val="16"/>
          <w:rtl/>
        </w:rPr>
        <w:t xml:space="preserve"> ותמהני למה הזכיר שתות</w:t>
      </w:r>
      <w:r w:rsidRPr="006C7DCB">
        <w:rPr>
          <w:rFonts w:cs="Arial" w:hint="cs"/>
          <w:sz w:val="16"/>
          <w:szCs w:val="16"/>
          <w:rtl/>
        </w:rPr>
        <w:t>,</w:t>
      </w:r>
      <w:r w:rsidRPr="006C7DCB">
        <w:rPr>
          <w:rFonts w:cs="Arial"/>
          <w:sz w:val="16"/>
          <w:szCs w:val="16"/>
          <w:rtl/>
        </w:rPr>
        <w:t xml:space="preserve"> אם רוצה לדמות הותיר לפיחת</w:t>
      </w:r>
      <w:r w:rsidRPr="006C7DCB">
        <w:rPr>
          <w:rFonts w:cs="Arial" w:hint="cs"/>
          <w:sz w:val="16"/>
          <w:szCs w:val="16"/>
          <w:rtl/>
        </w:rPr>
        <w:t xml:space="preserve"> -</w:t>
      </w:r>
      <w:r w:rsidRPr="006C7DCB">
        <w:rPr>
          <w:rFonts w:cs="Arial"/>
          <w:sz w:val="16"/>
          <w:szCs w:val="16"/>
          <w:rtl/>
        </w:rPr>
        <w:t xml:space="preserve"> אפילו בדינר נמי דהא קיי"ל שליח כאלמנה</w:t>
      </w:r>
      <w:r w:rsidRPr="006C7DCB">
        <w:rPr>
          <w:rFonts w:cs="Arial" w:hint="cs"/>
          <w:sz w:val="16"/>
          <w:szCs w:val="16"/>
          <w:rtl/>
        </w:rPr>
        <w:t>.</w:t>
      </w:r>
      <w:r w:rsidRPr="006C7DCB">
        <w:rPr>
          <w:rFonts w:cs="Arial"/>
          <w:sz w:val="16"/>
          <w:szCs w:val="16"/>
          <w:rtl/>
        </w:rPr>
        <w:t xml:space="preserve"> וה"ר יונה ז"ל כתב דאם הותיר השליח דינו כאיניש דעלמא שמוכר את שלו וזוכה המשלח ביתרון ואם פיחת אמר ליה לתקוני שדרתיך ולא לעוותי עכ"ל</w:t>
      </w:r>
      <w:r>
        <w:rPr>
          <w:rFonts w:cs="Arial" w:hint="cs"/>
          <w:sz w:val="16"/>
          <w:szCs w:val="16"/>
          <w:rtl/>
        </w:rPr>
        <w:t>, ב"י</w:t>
      </w:r>
      <w:r w:rsidRPr="006C7DCB">
        <w:rPr>
          <w:rFonts w:cs="Arial" w:hint="cs"/>
          <w:sz w:val="16"/>
          <w:szCs w:val="16"/>
          <w:rtl/>
        </w:rPr>
        <w:t>)</w:t>
      </w:r>
    </w:p>
    <w:p w14:paraId="41DD04E8" w14:textId="77777777" w:rsidR="002E5BAD" w:rsidRPr="006C7DCB" w:rsidRDefault="002E5BAD" w:rsidP="002E5BAD">
      <w:pPr>
        <w:rPr>
          <w:u w:val="single"/>
        </w:rPr>
      </w:pPr>
      <w:r w:rsidRPr="006C7DCB">
        <w:rPr>
          <w:rFonts w:hint="cs"/>
          <w:u w:val="single"/>
          <w:rtl/>
        </w:rPr>
        <w:t xml:space="preserve">שליח שהטעה את הלוקח </w:t>
      </w:r>
      <w:r w:rsidRPr="006C7DCB">
        <w:rPr>
          <w:u w:val="single"/>
          <w:rtl/>
        </w:rPr>
        <w:t>–</w:t>
      </w:r>
      <w:r w:rsidRPr="006C7DCB">
        <w:rPr>
          <w:rFonts w:hint="cs"/>
          <w:u w:val="single"/>
          <w:rtl/>
        </w:rPr>
        <w:t xml:space="preserve"> האם היתרון ליתומים:</w:t>
      </w:r>
    </w:p>
    <w:p w14:paraId="5711FD24" w14:textId="77777777" w:rsidR="002E5BAD" w:rsidRPr="00F364BD" w:rsidRDefault="002E5BAD" w:rsidP="00B75458">
      <w:pPr>
        <w:pStyle w:val="ab"/>
        <w:numPr>
          <w:ilvl w:val="0"/>
          <w:numId w:val="195"/>
        </w:numPr>
      </w:pPr>
      <w:r>
        <w:rPr>
          <w:rFonts w:cs="Arial" w:hint="cs"/>
          <w:rtl/>
        </w:rPr>
        <w:t xml:space="preserve">רב האי </w:t>
      </w:r>
      <w:r w:rsidRPr="00F364BD">
        <w:rPr>
          <w:rFonts w:cs="Arial"/>
          <w:sz w:val="16"/>
          <w:szCs w:val="16"/>
          <w:rtl/>
        </w:rPr>
        <w:t>(ס' המקח והממכר שער ו)</w:t>
      </w:r>
      <w:r>
        <w:rPr>
          <w:rFonts w:cs="Arial" w:hint="cs"/>
          <w:rtl/>
        </w:rPr>
        <w:t xml:space="preserve">- </w:t>
      </w:r>
      <w:r w:rsidRPr="002C73A2">
        <w:rPr>
          <w:rFonts w:cs="Arial"/>
          <w:rtl/>
        </w:rPr>
        <w:t>אם הטעה הלוקח</w:t>
      </w:r>
      <w:r>
        <w:rPr>
          <w:rFonts w:cs="Arial" w:hint="cs"/>
          <w:rtl/>
        </w:rPr>
        <w:t>...</w:t>
      </w:r>
      <w:r w:rsidRPr="002C73A2">
        <w:rPr>
          <w:rFonts w:cs="Arial"/>
          <w:rtl/>
        </w:rPr>
        <w:t xml:space="preserve"> </w:t>
      </w:r>
      <w:r>
        <w:rPr>
          <w:rFonts w:cs="Arial" w:hint="cs"/>
          <w:rtl/>
        </w:rPr>
        <w:t xml:space="preserve">- </w:t>
      </w:r>
      <w:r w:rsidRPr="002C73A2">
        <w:rPr>
          <w:rFonts w:cs="Arial"/>
          <w:rtl/>
        </w:rPr>
        <w:t>המקח בטל בכל שהו</w:t>
      </w:r>
      <w:r>
        <w:rPr>
          <w:rFonts w:cs="Arial" w:hint="cs"/>
          <w:rtl/>
        </w:rPr>
        <w:t xml:space="preserve"> </w:t>
      </w:r>
      <w:r>
        <w:rPr>
          <w:rFonts w:cs="Arial" w:hint="cs"/>
          <w:sz w:val="16"/>
          <w:szCs w:val="16"/>
          <w:rtl/>
        </w:rPr>
        <w:t>(ל' הטור בשמו)</w:t>
      </w:r>
      <w:r>
        <w:rPr>
          <w:rFonts w:cs="Arial" w:hint="cs"/>
          <w:rtl/>
        </w:rPr>
        <w:t>.</w:t>
      </w:r>
      <w:r w:rsidRPr="002B5FCF">
        <w:rPr>
          <w:rFonts w:hint="cs"/>
          <w:color w:val="E36C0A" w:themeColor="accent6" w:themeShade="BF"/>
          <w:rtl/>
        </w:rPr>
        <w:t xml:space="preserve"> </w:t>
      </w:r>
    </w:p>
    <w:p w14:paraId="68292525" w14:textId="77777777" w:rsidR="002E5BAD" w:rsidRDefault="002E5BAD" w:rsidP="00B75458">
      <w:pPr>
        <w:pStyle w:val="ab"/>
        <w:numPr>
          <w:ilvl w:val="0"/>
          <w:numId w:val="195"/>
        </w:numPr>
        <w:rPr>
          <w:rtl/>
        </w:rPr>
      </w:pPr>
      <w:r w:rsidRPr="002C73A2">
        <w:rPr>
          <w:rFonts w:cs="Arial"/>
          <w:rtl/>
        </w:rPr>
        <w:t>ה"ר יונה</w:t>
      </w:r>
      <w:r>
        <w:rPr>
          <w:rFonts w:cs="Arial" w:hint="cs"/>
          <w:sz w:val="16"/>
          <w:szCs w:val="16"/>
          <w:rtl/>
        </w:rPr>
        <w:t xml:space="preserve"> (כ"כ בשמו הרא"ש והטור)</w:t>
      </w:r>
      <w:r>
        <w:rPr>
          <w:rFonts w:cs="Arial" w:hint="cs"/>
          <w:rtl/>
        </w:rPr>
        <w:t xml:space="preserve">- </w:t>
      </w:r>
      <w:r w:rsidRPr="002C73A2">
        <w:rPr>
          <w:rFonts w:cs="Arial"/>
          <w:rtl/>
        </w:rPr>
        <w:t xml:space="preserve">אם טעה הוא ונתאנה </w:t>
      </w:r>
      <w:r>
        <w:rPr>
          <w:rFonts w:cs="Arial" w:hint="cs"/>
          <w:rtl/>
        </w:rPr>
        <w:t xml:space="preserve">- </w:t>
      </w:r>
      <w:r w:rsidRPr="002C73A2">
        <w:rPr>
          <w:rFonts w:cs="Arial"/>
          <w:rtl/>
        </w:rPr>
        <w:t>המקח בטל בכל שהו שיאמר לו המשלח לתקוני שדרתיך ולא לעוותי</w:t>
      </w:r>
      <w:r>
        <w:rPr>
          <w:rFonts w:cs="Arial" w:hint="cs"/>
          <w:rtl/>
        </w:rPr>
        <w:t>.</w:t>
      </w:r>
      <w:r w:rsidRPr="002C73A2">
        <w:rPr>
          <w:rFonts w:cs="Arial"/>
          <w:rtl/>
        </w:rPr>
        <w:t xml:space="preserve"> אבל אם הטעה את הלוקח </w:t>
      </w:r>
      <w:r>
        <w:rPr>
          <w:rFonts w:cs="Arial" w:hint="cs"/>
          <w:rtl/>
        </w:rPr>
        <w:t xml:space="preserve">- </w:t>
      </w:r>
      <w:r w:rsidRPr="002C73A2">
        <w:rPr>
          <w:rFonts w:cs="Arial"/>
          <w:rtl/>
        </w:rPr>
        <w:t>זכה המשלח ביתרון</w:t>
      </w:r>
      <w:r>
        <w:rPr>
          <w:rStyle w:val="a7"/>
          <w:rFonts w:cs="Arial"/>
          <w:rtl/>
        </w:rPr>
        <w:footnoteReference w:id="2702"/>
      </w:r>
      <w:r>
        <w:rPr>
          <w:rFonts w:cs="Arial" w:hint="cs"/>
          <w:sz w:val="16"/>
          <w:szCs w:val="16"/>
          <w:rtl/>
        </w:rPr>
        <w:t xml:space="preserve"> (ל' הטור בשמו)</w:t>
      </w:r>
      <w:r>
        <w:rPr>
          <w:rFonts w:cs="Arial" w:hint="cs"/>
          <w:rtl/>
        </w:rPr>
        <w:t xml:space="preserve">. </w:t>
      </w:r>
      <w:r w:rsidRPr="002B5FCF">
        <w:rPr>
          <w:rFonts w:hint="cs"/>
          <w:color w:val="E36C0A" w:themeColor="accent6" w:themeShade="BF"/>
          <w:rtl/>
        </w:rPr>
        <w:t>(וכ"פ בשו"ע)</w:t>
      </w:r>
    </w:p>
    <w:p w14:paraId="0D82D8D5" w14:textId="77777777" w:rsidR="002E5BAD" w:rsidRPr="00546514" w:rsidRDefault="002E5BAD" w:rsidP="002E5BAD">
      <w:pPr>
        <w:rPr>
          <w:u w:val="single"/>
        </w:rPr>
      </w:pPr>
      <w:r w:rsidRPr="00546514">
        <w:rPr>
          <w:rFonts w:cs="Arial"/>
          <w:u w:val="single"/>
          <w:rtl/>
        </w:rPr>
        <w:t>קרקע של יתומים שהכריזו ב"ד עליו למוכרו להגבות אשה כתובתה ואחר ההכרזה מחלה ליתומים כתובתה</w:t>
      </w:r>
    </w:p>
    <w:p w14:paraId="6FC5156E" w14:textId="77777777" w:rsidR="002E5BAD" w:rsidRDefault="002E5BAD" w:rsidP="00B75458">
      <w:pPr>
        <w:pStyle w:val="ab"/>
        <w:numPr>
          <w:ilvl w:val="0"/>
          <w:numId w:val="195"/>
        </w:numPr>
      </w:pPr>
      <w:r>
        <w:rPr>
          <w:rFonts w:cs="Arial" w:hint="cs"/>
          <w:rtl/>
        </w:rPr>
        <w:t xml:space="preserve">רא"ש </w:t>
      </w:r>
      <w:r>
        <w:rPr>
          <w:rFonts w:cs="Arial" w:hint="cs"/>
          <w:sz w:val="16"/>
          <w:szCs w:val="16"/>
          <w:rtl/>
        </w:rPr>
        <w:t>(כלל סג סי' ב)</w:t>
      </w:r>
      <w:r>
        <w:rPr>
          <w:rFonts w:cs="Arial" w:hint="cs"/>
          <w:rtl/>
        </w:rPr>
        <w:t xml:space="preserve"> וטור- </w:t>
      </w:r>
      <w:r w:rsidRPr="002C73A2">
        <w:rPr>
          <w:rFonts w:cs="Arial"/>
          <w:rtl/>
        </w:rPr>
        <w:t>ששאלת על קרקע של יתומים שהכריזו ב"ד עליו למוכרו להגבות אשה כתובתה</w:t>
      </w:r>
      <w:r>
        <w:rPr>
          <w:rFonts w:cs="Arial" w:hint="cs"/>
          <w:rtl/>
        </w:rPr>
        <w:t>.</w:t>
      </w:r>
      <w:r w:rsidRPr="002C73A2">
        <w:rPr>
          <w:rFonts w:cs="Arial"/>
          <w:rtl/>
        </w:rPr>
        <w:t xml:space="preserve"> ואחר ההכרזה מחלה ליתומים כתובתה ושלחה מצד אחר מורשה שלה לב"ד להגבות כתובתה</w:t>
      </w:r>
      <w:r>
        <w:rPr>
          <w:rFonts w:cs="Arial" w:hint="cs"/>
          <w:rtl/>
        </w:rPr>
        <w:t>.</w:t>
      </w:r>
      <w:r w:rsidRPr="002C73A2">
        <w:rPr>
          <w:rFonts w:cs="Arial"/>
          <w:rtl/>
        </w:rPr>
        <w:t xml:space="preserve"> ומכרו ב"ד הקרקע וכתבו אחריות המכר על היתומים</w:t>
      </w:r>
      <w:r>
        <w:rPr>
          <w:rFonts w:cs="Arial" w:hint="cs"/>
          <w:rtl/>
        </w:rPr>
        <w:t>.</w:t>
      </w:r>
      <w:r w:rsidRPr="002C73A2">
        <w:rPr>
          <w:rFonts w:cs="Arial"/>
          <w:rtl/>
        </w:rPr>
        <w:t xml:space="preserve"> ועתה רוצים היתומים להוציא הקרקע מיד הלוקח כי אמרו שלא כדין מכרוהו שכבר מחלה להם כתובתה</w:t>
      </w:r>
      <w:r>
        <w:rPr>
          <w:rFonts w:cs="Arial" w:hint="cs"/>
          <w:rtl/>
        </w:rPr>
        <w:t>.</w:t>
      </w:r>
      <w:r w:rsidRPr="002C73A2">
        <w:rPr>
          <w:rFonts w:cs="Arial"/>
          <w:rtl/>
        </w:rPr>
        <w:t xml:space="preserve"> </w:t>
      </w:r>
      <w:r>
        <w:rPr>
          <w:rFonts w:cs="Arial" w:hint="cs"/>
          <w:rtl/>
        </w:rPr>
        <w:t xml:space="preserve">    </w:t>
      </w:r>
      <w:r w:rsidRPr="002C73A2">
        <w:rPr>
          <w:rFonts w:cs="Arial"/>
          <w:rtl/>
        </w:rPr>
        <w:t>תשובה</w:t>
      </w:r>
      <w:r>
        <w:rPr>
          <w:rFonts w:cs="Arial" w:hint="cs"/>
          <w:rtl/>
        </w:rPr>
        <w:t>-</w:t>
      </w:r>
      <w:r w:rsidRPr="002C73A2">
        <w:rPr>
          <w:rFonts w:cs="Arial"/>
          <w:rtl/>
        </w:rPr>
        <w:t xml:space="preserve"> מרמה עשו ולא תעשנה ידיהם תושיה כי ב"ד מכרוהו כי לא ידעו באותה מחילה טמירתא ואחריות המכר על היתומים</w:t>
      </w:r>
      <w:r>
        <w:rPr>
          <w:rFonts w:cs="Arial" w:hint="cs"/>
          <w:rtl/>
        </w:rPr>
        <w:t>.</w:t>
      </w:r>
      <w:r w:rsidRPr="002C73A2">
        <w:rPr>
          <w:rFonts w:cs="Arial"/>
          <w:rtl/>
        </w:rPr>
        <w:t xml:space="preserve"> ואי איניש דעלמא היה הבא להוציא הקרקע היו היתומים חייבים לפרוע</w:t>
      </w:r>
      <w:r>
        <w:rPr>
          <w:rFonts w:cs="Arial" w:hint="cs"/>
          <w:rtl/>
        </w:rPr>
        <w:t>,</w:t>
      </w:r>
      <w:r w:rsidRPr="002C73A2">
        <w:rPr>
          <w:rFonts w:cs="Arial"/>
          <w:rtl/>
        </w:rPr>
        <w:t xml:space="preserve"> ועתה נמי שהם באים להוציא מיד הלוקח האחריות עליהם</w:t>
      </w:r>
      <w:r>
        <w:rPr>
          <w:rFonts w:cs="Arial" w:hint="cs"/>
          <w:rtl/>
        </w:rPr>
        <w:t>.</w:t>
      </w:r>
      <w:r w:rsidRPr="002C73A2">
        <w:rPr>
          <w:rFonts w:cs="Arial"/>
          <w:rtl/>
        </w:rPr>
        <w:t xml:space="preserve"> הילכך אינה מחילה וישאר הקרקע ביד הלוקח</w:t>
      </w:r>
      <w:r>
        <w:rPr>
          <w:rFonts w:cs="Arial" w:hint="cs"/>
          <w:rtl/>
        </w:rPr>
        <w:t>.</w:t>
      </w:r>
    </w:p>
    <w:p w14:paraId="76D403AF" w14:textId="77777777" w:rsidR="002E5BAD" w:rsidRPr="002B5FCF" w:rsidRDefault="002E5BAD" w:rsidP="002E5BAD">
      <w:r w:rsidRPr="002B5FCF">
        <w:rPr>
          <w:rFonts w:cs="Arial" w:hint="cs"/>
          <w:u w:val="single"/>
          <w:rtl/>
        </w:rPr>
        <w:lastRenderedPageBreak/>
        <w:t xml:space="preserve">דיין שנתמנה ע"פ הורמנא דמלכא </w:t>
      </w:r>
      <w:r w:rsidRPr="002B5FCF">
        <w:rPr>
          <w:rFonts w:cs="Arial"/>
          <w:u w:val="single"/>
          <w:rtl/>
        </w:rPr>
        <w:t>–</w:t>
      </w:r>
      <w:r w:rsidRPr="002B5FCF">
        <w:rPr>
          <w:rFonts w:cs="Arial" w:hint="cs"/>
          <w:u w:val="single"/>
          <w:rtl/>
        </w:rPr>
        <w:t xml:space="preserve"> וטעה:</w:t>
      </w:r>
      <w:r>
        <w:rPr>
          <w:rFonts w:cs="Arial" w:hint="cs"/>
          <w:rtl/>
        </w:rPr>
        <w:t xml:space="preserve"> </w:t>
      </w:r>
      <w:r w:rsidRPr="002B5FCF">
        <w:rPr>
          <w:rFonts w:cs="Arial"/>
          <w:sz w:val="16"/>
          <w:szCs w:val="16"/>
          <w:rtl/>
        </w:rPr>
        <w:t>(</w:t>
      </w:r>
      <w:r w:rsidRPr="002B5FCF">
        <w:rPr>
          <w:rFonts w:cs="Arial" w:hint="cs"/>
          <w:sz w:val="16"/>
          <w:szCs w:val="16"/>
          <w:rtl/>
        </w:rPr>
        <w:t xml:space="preserve">דרכ"מ אות </w:t>
      </w:r>
      <w:r w:rsidRPr="002B5FCF">
        <w:rPr>
          <w:rFonts w:cs="Arial"/>
          <w:sz w:val="16"/>
          <w:szCs w:val="16"/>
          <w:rtl/>
        </w:rPr>
        <w:t>א)</w:t>
      </w:r>
    </w:p>
    <w:p w14:paraId="3E9E51FA" w14:textId="77777777" w:rsidR="002E5BAD" w:rsidRDefault="002E5BAD" w:rsidP="00B75458">
      <w:pPr>
        <w:pStyle w:val="ab"/>
        <w:numPr>
          <w:ilvl w:val="0"/>
          <w:numId w:val="195"/>
        </w:numPr>
      </w:pPr>
      <w:r w:rsidRPr="002C73A2">
        <w:rPr>
          <w:rFonts w:cs="Arial"/>
          <w:rtl/>
        </w:rPr>
        <w:t xml:space="preserve">ריב"ש </w:t>
      </w:r>
      <w:r w:rsidRPr="002B5FCF">
        <w:rPr>
          <w:rFonts w:cs="Arial" w:hint="cs"/>
          <w:sz w:val="16"/>
          <w:szCs w:val="16"/>
          <w:rtl/>
        </w:rPr>
        <w:t>(</w:t>
      </w:r>
      <w:r w:rsidRPr="002B5FCF">
        <w:rPr>
          <w:rFonts w:cs="Arial"/>
          <w:sz w:val="16"/>
          <w:szCs w:val="16"/>
          <w:rtl/>
        </w:rPr>
        <w:t>סי</w:t>
      </w:r>
      <w:r w:rsidRPr="002B5FCF">
        <w:rPr>
          <w:rFonts w:cs="Arial" w:hint="cs"/>
          <w:sz w:val="16"/>
          <w:szCs w:val="16"/>
          <w:rtl/>
        </w:rPr>
        <w:t>'</w:t>
      </w:r>
      <w:r w:rsidRPr="002B5FCF">
        <w:rPr>
          <w:rFonts w:cs="Arial"/>
          <w:sz w:val="16"/>
          <w:szCs w:val="16"/>
          <w:rtl/>
        </w:rPr>
        <w:t xml:space="preserve"> קעט</w:t>
      </w:r>
      <w:r w:rsidRPr="002B5FCF">
        <w:rPr>
          <w:rFonts w:cs="Arial" w:hint="cs"/>
          <w:sz w:val="16"/>
          <w:szCs w:val="16"/>
          <w:rtl/>
        </w:rPr>
        <w:t>)</w:t>
      </w:r>
      <w:r>
        <w:rPr>
          <w:rFonts w:cs="Arial" w:hint="cs"/>
          <w:rtl/>
        </w:rPr>
        <w:t>-</w:t>
      </w:r>
      <w:r w:rsidRPr="002C73A2">
        <w:rPr>
          <w:rFonts w:cs="Arial"/>
          <w:rtl/>
        </w:rPr>
        <w:t xml:space="preserve"> אם אחד נתמנה דיין ע"פ הורמנא דמלכא ומכר וטעה בין הוא בין שלוחו </w:t>
      </w:r>
      <w:r>
        <w:rPr>
          <w:rFonts w:cs="Arial" w:hint="cs"/>
          <w:rtl/>
        </w:rPr>
        <w:t xml:space="preserve">- </w:t>
      </w:r>
      <w:r w:rsidRPr="002C73A2">
        <w:rPr>
          <w:rFonts w:cs="Arial"/>
          <w:rtl/>
        </w:rPr>
        <w:t>הוי כבית דין שטעה ועדיף טפי משאר שליח בית דין</w:t>
      </w:r>
      <w:r>
        <w:rPr>
          <w:rFonts w:cs="Arial" w:hint="cs"/>
          <w:rtl/>
        </w:rPr>
        <w:t>.</w:t>
      </w:r>
      <w:r w:rsidRPr="00ED54A6">
        <w:rPr>
          <w:rFonts w:hint="cs"/>
          <w:color w:val="00B0F0"/>
          <w:rtl/>
        </w:rPr>
        <w:t xml:space="preserve"> (וכ"כ הרמ"א)</w:t>
      </w:r>
    </w:p>
    <w:p w14:paraId="5ABBB1F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A7623D" w14:textId="77777777" w:rsidR="002E5BAD" w:rsidRPr="007A3469" w:rsidRDefault="002E5BAD" w:rsidP="002E5BAD">
      <w:pPr>
        <w:rPr>
          <w:rtl/>
        </w:rPr>
        <w:sectPr w:rsidR="002E5BAD" w:rsidRPr="007A3469" w:rsidSect="00A347B3">
          <w:headerReference w:type="default" r:id="rId61"/>
          <w:footnotePr>
            <w:numRestart w:val="eachPage"/>
          </w:footnotePr>
          <w:pgSz w:w="11906" w:h="16838"/>
          <w:pgMar w:top="720" w:right="1134" w:bottom="720" w:left="1134" w:header="0" w:footer="0" w:gutter="0"/>
          <w:cols w:space="720"/>
          <w:bidi/>
          <w:rtlGutter/>
          <w:docGrid w:linePitch="360"/>
        </w:sectPr>
      </w:pPr>
      <w:r>
        <w:rPr>
          <w:rFonts w:cs="Arial"/>
          <w:rtl/>
        </w:rPr>
        <w:t>שליח שמכר וטעה ונתאנה אפילו בכל שהוא, המכר בטל אפילו אם הוא שליח ב</w:t>
      </w:r>
      <w:r>
        <w:rPr>
          <w:rFonts w:cs="Arial" w:hint="cs"/>
          <w:rtl/>
        </w:rPr>
        <w:t xml:space="preserve">ית </w:t>
      </w:r>
      <w:r>
        <w:rPr>
          <w:rFonts w:cs="Arial"/>
          <w:rtl/>
        </w:rPr>
        <w:t>ד</w:t>
      </w:r>
      <w:r>
        <w:rPr>
          <w:rFonts w:cs="Arial" w:hint="cs"/>
          <w:rtl/>
        </w:rPr>
        <w:t>ין</w:t>
      </w:r>
      <w:r>
        <w:rPr>
          <w:rFonts w:cs="Arial"/>
          <w:rtl/>
        </w:rPr>
        <w:t>. ואם הטעה את הלוקח עד שתות</w:t>
      </w:r>
      <w:r>
        <w:rPr>
          <w:rStyle w:val="a7"/>
          <w:rFonts w:cs="Arial"/>
          <w:rtl/>
        </w:rPr>
        <w:footnoteReference w:id="2703"/>
      </w:r>
      <w:r>
        <w:rPr>
          <w:rFonts w:cs="Arial"/>
          <w:rtl/>
        </w:rPr>
        <w:t xml:space="preserve">, המקח קיים וזכה המשלח ביתרון. </w:t>
      </w:r>
      <w:r w:rsidRPr="003D1481">
        <w:rPr>
          <w:rFonts w:cs="Arial"/>
          <w:sz w:val="18"/>
          <w:szCs w:val="18"/>
          <w:rtl/>
        </w:rPr>
        <w:t>הגה: י"א דדיין שנתמנה על פי הורמנא דמלכא ומכר ע"י שלוחו, עדיף משאר שליח בית דין, והוי כב"ד שטעו ומכרן קיים</w:t>
      </w:r>
      <w:r>
        <w:rPr>
          <w:rStyle w:val="a7"/>
          <w:rFonts w:cs="Arial"/>
          <w:sz w:val="18"/>
          <w:szCs w:val="18"/>
          <w:rtl/>
        </w:rPr>
        <w:footnoteReference w:id="2704"/>
      </w:r>
      <w:r>
        <w:rPr>
          <w:rFonts w:cs="Arial" w:hint="cs"/>
          <w:sz w:val="18"/>
          <w:szCs w:val="18"/>
          <w:rtl/>
        </w:rPr>
        <w:t>,</w:t>
      </w:r>
      <w:r w:rsidRPr="003D1481">
        <w:rPr>
          <w:rFonts w:cs="Arial"/>
          <w:sz w:val="18"/>
          <w:szCs w:val="18"/>
          <w:rtl/>
        </w:rPr>
        <w:t xml:space="preserve"> וכ"ש אם מכרו בעצמו (ריב"ש סי</w:t>
      </w:r>
      <w:r>
        <w:rPr>
          <w:rFonts w:cs="Arial" w:hint="cs"/>
          <w:sz w:val="18"/>
          <w:szCs w:val="18"/>
          <w:rtl/>
        </w:rPr>
        <w:t>'</w:t>
      </w:r>
      <w:r w:rsidRPr="003D1481">
        <w:rPr>
          <w:rFonts w:cs="Arial"/>
          <w:sz w:val="18"/>
          <w:szCs w:val="18"/>
          <w:rtl/>
        </w:rPr>
        <w:t xml:space="preserve"> קעט).</w:t>
      </w:r>
    </w:p>
    <w:p w14:paraId="4970B49F" w14:textId="77777777" w:rsidR="002E5BAD" w:rsidRDefault="002E5BAD" w:rsidP="002E5BAD">
      <w:pPr>
        <w:pStyle w:val="1"/>
        <w:rPr>
          <w:rtl/>
        </w:rPr>
      </w:pPr>
      <w:r>
        <w:rPr>
          <w:rFonts w:hint="cs"/>
          <w:rtl/>
        </w:rPr>
        <w:lastRenderedPageBreak/>
        <w:t>סימן קה:</w:t>
      </w:r>
      <w:r w:rsidRPr="00C12B74">
        <w:rPr>
          <w:rtl/>
        </w:rPr>
        <w:t xml:space="preserve"> </w:t>
      </w:r>
      <w:r>
        <w:rPr>
          <w:rFonts w:cs="Arial"/>
          <w:rtl/>
        </w:rPr>
        <w:t xml:space="preserve">דין המוכרת ומוחלת כתובתה, ובו ז' סעיפים. </w:t>
      </w:r>
    </w:p>
    <w:p w14:paraId="03CE1859" w14:textId="77777777" w:rsidR="002E5BAD" w:rsidRDefault="002E5BAD" w:rsidP="002E5BAD">
      <w:pPr>
        <w:pStyle w:val="2"/>
        <w:rPr>
          <w:rtl/>
        </w:rPr>
      </w:pPr>
      <w:r>
        <w:rPr>
          <w:rtl/>
        </w:rPr>
        <w:t>סעיף א</w:t>
      </w:r>
      <w:r>
        <w:rPr>
          <w:rFonts w:hint="cs"/>
          <w:rtl/>
        </w:rPr>
        <w:t xml:space="preserve">: </w:t>
      </w:r>
    </w:p>
    <w:p w14:paraId="1488C6FB" w14:textId="77777777" w:rsidR="002E5BAD" w:rsidRPr="00AB6908" w:rsidRDefault="002E5BAD" w:rsidP="00B75458">
      <w:pPr>
        <w:pStyle w:val="ab"/>
        <w:numPr>
          <w:ilvl w:val="0"/>
          <w:numId w:val="195"/>
        </w:numPr>
      </w:pPr>
      <w:r>
        <w:rPr>
          <w:rFonts w:cs="Arial" w:hint="cs"/>
          <w:rtl/>
        </w:rPr>
        <w:t xml:space="preserve">טור- </w:t>
      </w:r>
      <w:r w:rsidRPr="00AB6908">
        <w:rPr>
          <w:rFonts w:cs="Arial"/>
          <w:rtl/>
        </w:rPr>
        <w:t>יכולה אשה שתמכור כתובתה או ליתנה לאחרים בין כולה בין מקצתה והלוקח והמקבל עומדים במקומה שאם תתאלמן או תתגרש יקחו הם כתובתה ואם תמות בחיי הבעל אין להם כלום לפיכך אין הלוקח קונה אותה אלא בדבר מועט ואם מכרה לבעלה המכר מכר ואסור להשהותה כדפירש' לעיל אלא א"כ יעשו לה אחרת בעיקר הכתובה</w:t>
      </w:r>
      <w:r>
        <w:rPr>
          <w:rFonts w:cs="Arial" w:hint="cs"/>
          <w:rtl/>
        </w:rPr>
        <w:t>.</w:t>
      </w:r>
      <w:r w:rsidRPr="00AB6908">
        <w:rPr>
          <w:rFonts w:cs="Arial"/>
          <w:rtl/>
        </w:rPr>
        <w:t xml:space="preserve"> </w:t>
      </w:r>
    </w:p>
    <w:p w14:paraId="5E464AF2" w14:textId="77777777" w:rsidR="002E5BAD" w:rsidRDefault="002E5BAD" w:rsidP="002E5BAD">
      <w:pPr>
        <w:rPr>
          <w:rtl/>
        </w:rPr>
      </w:pPr>
      <w:r w:rsidRPr="00AB6908">
        <w:rPr>
          <w:rFonts w:cs="Arial"/>
          <w:rtl/>
        </w:rPr>
        <w:t>א יכולה אשה שתמכור כתובתה או ליתנה לאחרים בין כולה בין מקצתה והלוקח והמקבל עומדים במקומה וכו' ואם מכרה לבעלה המכר מכר ואסור לשהותה וכו'. בפרק החובל:</w:t>
      </w:r>
    </w:p>
    <w:p w14:paraId="49B615DB" w14:textId="77777777" w:rsidR="002E5BAD" w:rsidRPr="003D1481" w:rsidRDefault="002E5BAD" w:rsidP="002E5BAD">
      <w:pPr>
        <w:rPr>
          <w:rtl/>
        </w:rPr>
      </w:pPr>
      <w:r w:rsidRPr="00AB6908">
        <w:rPr>
          <w:rFonts w:cs="Arial"/>
          <w:rtl/>
        </w:rPr>
        <w:t>ומ"ש כדפרי' לעיל. הוא בסימן ס"ו (צח.):</w:t>
      </w:r>
    </w:p>
    <w:p w14:paraId="69715AA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AEDE28" w14:textId="77777777" w:rsidR="002E5BAD" w:rsidRDefault="002E5BAD" w:rsidP="002E5BAD">
      <w:pPr>
        <w:rPr>
          <w:rtl/>
        </w:rPr>
      </w:pPr>
      <w:r>
        <w:rPr>
          <w:rFonts w:cs="Arial"/>
          <w:rtl/>
        </w:rPr>
        <w:t xml:space="preserve">יכולה אשה למכור כתובתה או ליתנה לאחרים, בין כולה בין מקצתה, והלוקח והמקבל עומדים במקומה, שאם תתאלמן או תתגרש יקחו הם כתובתה, ואם תמות בחיי הבעל אין להם כלום. ואם מכרה לבעלה המכר מכר ואסור להשהותה אלא אם כן יכתוב לה אחרת בעיקר הכתובה. </w:t>
      </w:r>
    </w:p>
    <w:p w14:paraId="1B8D6E30" w14:textId="77777777" w:rsidR="002E5BAD" w:rsidRDefault="002E5BAD" w:rsidP="002E5BAD">
      <w:pPr>
        <w:rPr>
          <w:rtl/>
        </w:rPr>
      </w:pPr>
    </w:p>
    <w:p w14:paraId="1BC8F01F" w14:textId="77777777" w:rsidR="002E5BAD" w:rsidRDefault="002E5BAD" w:rsidP="002E5BAD">
      <w:pPr>
        <w:pStyle w:val="2"/>
        <w:rPr>
          <w:rtl/>
        </w:rPr>
      </w:pPr>
      <w:r>
        <w:rPr>
          <w:rtl/>
        </w:rPr>
        <w:t>סעיף ב</w:t>
      </w:r>
      <w:r>
        <w:rPr>
          <w:rFonts w:hint="cs"/>
          <w:rtl/>
        </w:rPr>
        <w:t>:</w:t>
      </w:r>
    </w:p>
    <w:p w14:paraId="06B09016" w14:textId="77777777" w:rsidR="002E5BAD" w:rsidRPr="00AB6908" w:rsidRDefault="002E5BAD" w:rsidP="00B75458">
      <w:pPr>
        <w:pStyle w:val="ab"/>
        <w:numPr>
          <w:ilvl w:val="0"/>
          <w:numId w:val="195"/>
        </w:numPr>
      </w:pPr>
      <w:r>
        <w:rPr>
          <w:rFonts w:cs="Arial" w:hint="cs"/>
          <w:rtl/>
        </w:rPr>
        <w:t xml:space="preserve">טור- </w:t>
      </w:r>
      <w:r w:rsidRPr="00AB6908">
        <w:rPr>
          <w:rFonts w:cs="Arial"/>
          <w:rtl/>
        </w:rPr>
        <w:t>ואפילו אם מת הבעל בחייה אם מתה קודם שנשבעה על כתובתה אין ללוקח ולמקבל כלום במה דברים אמורים כשנתאלמנה ומתה שהיא לא היתה יכולה ליפרע מהיתומים אלא בשבועה אבל נתגרשה ומתה לקוחות נשבעים שבועה שלא פקדתנו ונוטלים ודוקא שמתה אבל אם היא חיה צריכה לישבע שלא נפרעת ואם אינה רוצה לישבע יפסידו הלקוחות ואם אמרה שנפרעה אחר שמכרה נאמנת במגו שאם היתה רוצה למחול אבל אם אמרה שנפרעה קודם המכר אינה נאמנת</w:t>
      </w:r>
      <w:r>
        <w:rPr>
          <w:rFonts w:cs="Arial" w:hint="cs"/>
          <w:rtl/>
        </w:rPr>
        <w:t>.</w:t>
      </w:r>
      <w:r w:rsidRPr="00AB6908">
        <w:rPr>
          <w:rFonts w:cs="Arial"/>
          <w:rtl/>
        </w:rPr>
        <w:t xml:space="preserve"> </w:t>
      </w:r>
    </w:p>
    <w:p w14:paraId="3E943FA9" w14:textId="77777777" w:rsidR="002E5BAD" w:rsidRDefault="002E5BAD" w:rsidP="002E5BAD">
      <w:pPr>
        <w:rPr>
          <w:rtl/>
        </w:rPr>
      </w:pPr>
      <w:r>
        <w:rPr>
          <w:rFonts w:cs="Arial"/>
          <w:rtl/>
        </w:rPr>
        <w:t>ב ומ"ש ואפילו אם מת הבעל בחייה אם מתה קודם שנשבעה על כתובתה אין ללוקח ולמקבל כלום במה דברים אמורים כשנתאלמנה ומתה שהיא לא היתה יכולה לפרוע מן היתומים אלא בשבועה אבל נתגרשה ומתה לקוחות נשבעין שבועה שלא פקדתנו ונוטלים. כך היא הגירסא הנכונה בספרי רבינו ובקצת ספרים יש בהם חסרון הניכר ודברים אלו נלמדים ממה שנתבאר בסימן צ"ו (קמג.):</w:t>
      </w:r>
    </w:p>
    <w:p w14:paraId="585AFB8D" w14:textId="77777777" w:rsidR="002E5BAD" w:rsidRDefault="002E5BAD" w:rsidP="002E5BAD">
      <w:pPr>
        <w:rPr>
          <w:rtl/>
        </w:rPr>
      </w:pPr>
      <w:r>
        <w:rPr>
          <w:rFonts w:cs="Arial"/>
          <w:rtl/>
        </w:rPr>
        <w:t>ומ"ש ודוקא שמתה אבל אם היא חיה צריכה לישבע שלא נפרע' ואם אינה רוצה לישבע יפסידו הלקוחות:</w:t>
      </w:r>
    </w:p>
    <w:p w14:paraId="3571432A" w14:textId="77777777" w:rsidR="002E5BAD" w:rsidRPr="003D1481" w:rsidRDefault="002E5BAD" w:rsidP="002E5BAD">
      <w:pPr>
        <w:rPr>
          <w:rtl/>
        </w:rPr>
      </w:pPr>
      <w:r>
        <w:rPr>
          <w:rFonts w:cs="Arial"/>
          <w:rtl/>
        </w:rPr>
        <w:t>ומ"ש ואם אמרה שנפרע' אחר שמכר' נאמנת במגו וכו':</w:t>
      </w:r>
    </w:p>
    <w:p w14:paraId="552A6E2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7D0F4CF" w14:textId="77777777" w:rsidR="002E5BAD" w:rsidRDefault="002E5BAD" w:rsidP="002E5BAD">
      <w:pPr>
        <w:rPr>
          <w:rtl/>
        </w:rPr>
      </w:pPr>
      <w:r>
        <w:rPr>
          <w:rFonts w:cs="Arial"/>
          <w:rtl/>
        </w:rPr>
        <w:t xml:space="preserve">המוכרת כתובתה לאחרים ומת הבעל בחייה, אם מתה קודם שנשבעה על כתובתה אין ללוקח ולמקבל כלום. בד"א, כשנתאלמנה ומתה, שהיא לא היתה יכולה ליפרע מן היתומים אלא בשבועה. אבל אם נתגרשה ומתה, לקוחות נשבעים שבועה שלא פקדתנו, ונוטלים. ודוקא שמתה, אבל אם היא בחייה צריכה לישבע שלא נפרעה, ואם אינה רוצה לישבע יפסידו הלקוחות. ואם אמרה שנפרעה אחר שמכרה, נאמנת, במגו שאם היתה רוצה למחול. אבל אם אמרה שנפרעה קודם המכר, אינה נאמנת. </w:t>
      </w:r>
    </w:p>
    <w:p w14:paraId="064C81D8" w14:textId="77777777" w:rsidR="002E5BAD" w:rsidRDefault="002E5BAD" w:rsidP="002E5BAD">
      <w:pPr>
        <w:rPr>
          <w:rtl/>
        </w:rPr>
      </w:pPr>
    </w:p>
    <w:p w14:paraId="401DEA60" w14:textId="77777777" w:rsidR="002E5BAD" w:rsidRDefault="002E5BAD" w:rsidP="002E5BAD">
      <w:pPr>
        <w:pStyle w:val="2"/>
        <w:rPr>
          <w:rtl/>
        </w:rPr>
      </w:pPr>
      <w:r>
        <w:rPr>
          <w:rtl/>
        </w:rPr>
        <w:t>סעיף ג</w:t>
      </w:r>
      <w:r>
        <w:rPr>
          <w:rFonts w:hint="cs"/>
          <w:rtl/>
        </w:rPr>
        <w:t>:</w:t>
      </w:r>
    </w:p>
    <w:p w14:paraId="56B53379" w14:textId="77777777" w:rsidR="002E5BAD" w:rsidRPr="00AB6908" w:rsidRDefault="002E5BAD" w:rsidP="00B75458">
      <w:pPr>
        <w:pStyle w:val="ab"/>
        <w:numPr>
          <w:ilvl w:val="0"/>
          <w:numId w:val="195"/>
        </w:numPr>
      </w:pPr>
      <w:r>
        <w:rPr>
          <w:rFonts w:cs="Arial" w:hint="cs"/>
          <w:rtl/>
        </w:rPr>
        <w:t xml:space="preserve">טור- </w:t>
      </w:r>
      <w:r w:rsidRPr="00AB6908">
        <w:rPr>
          <w:rFonts w:cs="Arial"/>
          <w:rtl/>
        </w:rPr>
        <w:t>שאלה לא"א הרא"ש ז"ל ששאלת ראובן שמת והניח בנים ואלמנה ומתה האלמנה קודם שנשבעה על כתובתה אם יש לבכור פי שנים דמספקא לן אם קרויין נכסי האם כל זמן שלא נשבעה על כתובתה תשובה כל זמן שלא נשבעה האלמנה על כתובתה ולא הגבוה בית דין הכתובה כל הנכסים בחזקת בעלה ולא זכתה בהם כלום והבנים את אביהם הם יורשים ויש להן דין בכורה</w:t>
      </w:r>
      <w:r>
        <w:rPr>
          <w:rFonts w:cs="Arial" w:hint="cs"/>
          <w:rtl/>
        </w:rPr>
        <w:t>.</w:t>
      </w:r>
      <w:r w:rsidRPr="00AB6908">
        <w:rPr>
          <w:rFonts w:cs="Arial"/>
          <w:rtl/>
        </w:rPr>
        <w:t xml:space="preserve"> </w:t>
      </w:r>
    </w:p>
    <w:p w14:paraId="0084978E" w14:textId="77777777" w:rsidR="002E5BAD" w:rsidRPr="003D1481" w:rsidRDefault="002E5BAD" w:rsidP="002E5BAD">
      <w:pPr>
        <w:rPr>
          <w:rtl/>
        </w:rPr>
      </w:pPr>
      <w:r w:rsidRPr="00AB6908">
        <w:rPr>
          <w:rFonts w:cs="Arial"/>
          <w:rtl/>
        </w:rPr>
        <w:lastRenderedPageBreak/>
        <w:t>ג שאלה לאדוני אבי הרא"ש ז"ל ששאלת ראובן שמת והניח בנים ואלמנה ומתה האלמנה וכו'. בסוף כלל נ' (סי' יא):</w:t>
      </w:r>
    </w:p>
    <w:p w14:paraId="79B6D9F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D46EC2" w14:textId="77777777" w:rsidR="002E5BAD" w:rsidRDefault="002E5BAD" w:rsidP="002E5BAD">
      <w:pPr>
        <w:rPr>
          <w:rFonts w:cs="Arial"/>
          <w:rtl/>
        </w:rPr>
      </w:pPr>
      <w:r>
        <w:rPr>
          <w:rFonts w:cs="Arial"/>
          <w:rtl/>
        </w:rPr>
        <w:t xml:space="preserve">מי שמת והניח בנים ואלמנה, ומתה האלמנה קודם שנשבעה על הכתובה, הבכור נוטל פי שנים. </w:t>
      </w:r>
    </w:p>
    <w:p w14:paraId="4EA9FD4A" w14:textId="77777777" w:rsidR="002E5BAD" w:rsidRDefault="002E5BAD" w:rsidP="002E5BAD">
      <w:pPr>
        <w:rPr>
          <w:rtl/>
        </w:rPr>
      </w:pPr>
    </w:p>
    <w:p w14:paraId="6A66E09D" w14:textId="77777777" w:rsidR="002E5BAD" w:rsidRDefault="002E5BAD" w:rsidP="002E5BAD">
      <w:pPr>
        <w:pStyle w:val="2"/>
        <w:rPr>
          <w:rtl/>
        </w:rPr>
      </w:pPr>
      <w:r>
        <w:rPr>
          <w:rtl/>
        </w:rPr>
        <w:t>סעיף ד</w:t>
      </w:r>
      <w:r>
        <w:rPr>
          <w:rFonts w:hint="cs"/>
          <w:rtl/>
        </w:rPr>
        <w:t>:</w:t>
      </w:r>
    </w:p>
    <w:p w14:paraId="07C3D3FC" w14:textId="77777777" w:rsidR="002E5BAD" w:rsidRPr="00AB6908" w:rsidRDefault="002E5BAD" w:rsidP="00B75458">
      <w:pPr>
        <w:pStyle w:val="ab"/>
        <w:numPr>
          <w:ilvl w:val="0"/>
          <w:numId w:val="195"/>
        </w:numPr>
      </w:pPr>
      <w:r>
        <w:rPr>
          <w:rFonts w:cs="Arial" w:hint="cs"/>
          <w:rtl/>
        </w:rPr>
        <w:t xml:space="preserve">טור- </w:t>
      </w:r>
      <w:r w:rsidRPr="00AB6908">
        <w:rPr>
          <w:rFonts w:cs="Arial"/>
          <w:rtl/>
        </w:rPr>
        <w:t>המוכרת כתובתה בין לבעלה בין לאחרים לא הפסידה שום דבר מתנאי כתובה אבל המוחלת כתובתה לבעלה אף ע"פ שאסורה לישב תחתיו מכל מקום מחילתה מחילה והפסידה כתובת בנין דכרין ונראה דהוא הדין נמי שהפסידה כל שאר תנאי הכתובה</w:t>
      </w:r>
      <w:r>
        <w:rPr>
          <w:rStyle w:val="a7"/>
          <w:rFonts w:cs="Arial"/>
          <w:rtl/>
        </w:rPr>
        <w:footnoteReference w:id="2705"/>
      </w:r>
      <w:r w:rsidRPr="00AB6908">
        <w:rPr>
          <w:rFonts w:cs="Arial"/>
          <w:rtl/>
        </w:rPr>
        <w:t xml:space="preserve"> וכ"כ הרמב"ם המוחלת כתובתה לבעלה הפסידה כל תנאי כתובת' ואפילו מזוני לית לה ויראה מדבריו שאפילו בחייו אין לה מזונות ואני כתבתי למעלה שיש לה מזונות בחייו ולא אבדה אלא מזונות שלאחר מיתה</w:t>
      </w:r>
      <w:r>
        <w:rPr>
          <w:rFonts w:cs="Arial" w:hint="cs"/>
          <w:rtl/>
        </w:rPr>
        <w:t>.</w:t>
      </w:r>
      <w:r w:rsidRPr="00AB6908">
        <w:rPr>
          <w:rFonts w:cs="Arial"/>
          <w:rtl/>
        </w:rPr>
        <w:t xml:space="preserve"> </w:t>
      </w:r>
    </w:p>
    <w:p w14:paraId="7EA82211" w14:textId="77777777" w:rsidR="002E5BAD" w:rsidRDefault="002E5BAD" w:rsidP="002E5BAD">
      <w:pPr>
        <w:rPr>
          <w:rtl/>
        </w:rPr>
      </w:pPr>
      <w:r>
        <w:rPr>
          <w:rFonts w:cs="Arial"/>
          <w:rtl/>
        </w:rPr>
        <w:t>ד המוכרת כתובתה בין לבעלה בין לאחרים לא הפסיד[ה] שום דבר מתנאי כתובה אבל המוחלת כתובתה לבעלה אף על פי שאסורה לישב תחתיו מכל מקום מחילתה מחילה והפסידה כתובת בנין דכרין. בסוף פרק נערה שנתפתתה (כתובות נג.) אמר רבא פשיטא לי מוכרת כתובתה לאחרים יש לה כתובת בנין דכרין מאי טעמא זוזי אנסוה מוחלת כתובתה לבעלה אין לה כתובת בנין דכרין מאי טעמא אחולי אחילתה בעי רבא מוכרת כתובתה לבעלה כמוכרת לאחרים דמי או כמוחלת לבעלה דמי הדר פשטה מוכרת כתובתה לבעלה כמוכרת לאחרים דמי:</w:t>
      </w:r>
    </w:p>
    <w:p w14:paraId="132FD6DF" w14:textId="77777777" w:rsidR="002E5BAD" w:rsidRDefault="002E5BAD" w:rsidP="002E5BAD">
      <w:pPr>
        <w:rPr>
          <w:rtl/>
        </w:rPr>
      </w:pPr>
      <w:r>
        <w:rPr>
          <w:rFonts w:cs="Arial"/>
          <w:rtl/>
        </w:rPr>
        <w:t>ומ"ש בשם הרמב"ם. הוא בפרק י"ז מהלכות אישות (הי"ט):</w:t>
      </w:r>
    </w:p>
    <w:p w14:paraId="2D52E3AF" w14:textId="77777777" w:rsidR="002E5BAD" w:rsidRDefault="002E5BAD" w:rsidP="002E5BAD">
      <w:pPr>
        <w:rPr>
          <w:rtl/>
        </w:rPr>
      </w:pPr>
      <w:r>
        <w:rPr>
          <w:rFonts w:cs="Arial"/>
          <w:rtl/>
        </w:rPr>
        <w:t>ומ"ש שנראה מדבריו שאפילו בחייו אין לה מזונות. כ"כ הרב המגיד לדעתו ז"ל ושרש"י (נג. ד"ה אין לה) פירש אין לה מזונות באלמנותה וכ"כ הרמב"ן (נג. ד"ה מוכרת) והרשב"א (נג. ד"ה הא) ז"ל:</w:t>
      </w:r>
    </w:p>
    <w:p w14:paraId="5FF56CAA" w14:textId="77777777" w:rsidR="002E5BAD" w:rsidRPr="003D1481" w:rsidRDefault="002E5BAD" w:rsidP="002E5BAD">
      <w:pPr>
        <w:rPr>
          <w:rtl/>
        </w:rPr>
      </w:pPr>
      <w:r>
        <w:rPr>
          <w:rFonts w:cs="Arial"/>
          <w:rtl/>
        </w:rPr>
        <w:t>ומ"ש ואני כתבתי למעלה שיש לה מזונות בחייו וכו'. בסימן צ"ג (קלז:):</w:t>
      </w:r>
    </w:p>
    <w:p w14:paraId="6556A98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B24582" w14:textId="77777777" w:rsidR="002E5BAD" w:rsidRDefault="002E5BAD" w:rsidP="002E5BAD">
      <w:pPr>
        <w:rPr>
          <w:rFonts w:cs="Arial"/>
          <w:rtl/>
        </w:rPr>
      </w:pPr>
      <w:r>
        <w:rPr>
          <w:rFonts w:cs="Arial"/>
          <w:rtl/>
        </w:rPr>
        <w:t xml:space="preserve">המוכרת כתובתה, בין לבעלה בין לאחרים, לא הפסידה שום דבר מתנאי כתובה. אבל המוחלת כתובתה לבעלה, איבדה כל תנאי כתובה. </w:t>
      </w:r>
      <w:r w:rsidRPr="003D1481">
        <w:rPr>
          <w:rFonts w:cs="Arial"/>
          <w:sz w:val="18"/>
          <w:szCs w:val="18"/>
          <w:rtl/>
        </w:rPr>
        <w:t>הגה: ואפילו נדוניתא הפסידה, אם אינה בעין. (ריב"ש סימן קמ"ט בשם הרמב"ן והרשב"א). וי"א דלא הפסידה נדונייתה אא"כ אמרה: כל מה שבשטר מחול לך (מהרי"ו סימן י"ט).</w:t>
      </w:r>
      <w:r>
        <w:rPr>
          <w:rFonts w:cs="Arial"/>
          <w:rtl/>
        </w:rPr>
        <w:t xml:space="preserve"> </w:t>
      </w:r>
    </w:p>
    <w:p w14:paraId="7A215F2B" w14:textId="77777777" w:rsidR="002E5BAD" w:rsidRDefault="002E5BAD" w:rsidP="002E5BAD">
      <w:pPr>
        <w:rPr>
          <w:rtl/>
        </w:rPr>
      </w:pPr>
    </w:p>
    <w:p w14:paraId="6D4CF7BE" w14:textId="77777777" w:rsidR="002E5BAD" w:rsidRDefault="002E5BAD" w:rsidP="002E5BAD">
      <w:pPr>
        <w:pStyle w:val="2"/>
        <w:rPr>
          <w:rtl/>
        </w:rPr>
      </w:pPr>
      <w:r>
        <w:rPr>
          <w:rtl/>
        </w:rPr>
        <w:t>סעיף ה</w:t>
      </w:r>
      <w:r>
        <w:rPr>
          <w:rFonts w:hint="cs"/>
          <w:rtl/>
        </w:rPr>
        <w:t>:</w:t>
      </w:r>
    </w:p>
    <w:p w14:paraId="3CC92F6E" w14:textId="77777777" w:rsidR="002E5BAD" w:rsidRPr="00AB6908" w:rsidRDefault="002E5BAD" w:rsidP="00B75458">
      <w:pPr>
        <w:pStyle w:val="ab"/>
        <w:numPr>
          <w:ilvl w:val="0"/>
          <w:numId w:val="195"/>
        </w:numPr>
      </w:pPr>
      <w:r>
        <w:rPr>
          <w:rFonts w:cs="Arial" w:hint="cs"/>
          <w:rtl/>
        </w:rPr>
        <w:t xml:space="preserve">טור- </w:t>
      </w:r>
      <w:r w:rsidRPr="00AB6908">
        <w:rPr>
          <w:rFonts w:cs="Arial"/>
          <w:rtl/>
        </w:rPr>
        <w:t>כתב הרמב"ם המוחלת כתובתה אינה צריכה לא קנין ולא עדים כשאר מוחלין והוא שיהיה דברים שהדעת סומכת עליהם ולא יהיה שחוק והיתול או דברי תימה אלא בדעת נכונה</w:t>
      </w:r>
      <w:r>
        <w:rPr>
          <w:rFonts w:cs="Arial" w:hint="cs"/>
          <w:rtl/>
        </w:rPr>
        <w:t>.</w:t>
      </w:r>
      <w:r w:rsidRPr="00AB6908">
        <w:rPr>
          <w:rFonts w:cs="Arial"/>
          <w:rtl/>
        </w:rPr>
        <w:t xml:space="preserve"> </w:t>
      </w:r>
    </w:p>
    <w:p w14:paraId="0D2D6F19" w14:textId="77777777" w:rsidR="002E5BAD" w:rsidRPr="003D1481" w:rsidRDefault="002E5BAD" w:rsidP="002E5BAD">
      <w:pPr>
        <w:rPr>
          <w:rtl/>
        </w:rPr>
      </w:pPr>
      <w:r w:rsidRPr="00AB6908">
        <w:rPr>
          <w:rFonts w:cs="Arial"/>
          <w:rtl/>
        </w:rPr>
        <w:t xml:space="preserve">ה כתב הרמב"ם המוחלת כתובתה אינה צריכה לא קנין ולא עדים וכו'. ג"ז בפרק י"ז מהלכות אישות (הי"ט) וכתב הרב המגיד כבר נתבאר פ"ה מהלכות מכירה (הי"א) שאין המחילה צריכה קנין ושם הבאתי ראיה לזה וכן אין צרי' לעדים כל שהוא מודה דלא איברו סהדי אלא לשקרי כדאיתא בקידושין פרק האומר (סה:) עכ"ל. כתוב בתשובות הרשב"א (ח"א) סימן תתפ"ג מוחלת כתובתה לבעלה מה שעשתה עשוי ולא שייך בכי הא טענת נחת רוח וכן כתב הרמב"ם בפרק י"ז ומיהו דווקא במוחלת שלא מחמת אונס ידוע אבל אם נאנסה ומחלה ויש עדים על האונס כגון זה שהיה מתקוטט עמה כדי שתמחול לו והוציאה מביתו ונתפייסה ומחלה לו כדי שתשב עמו בשלום אף על פי שלא מסרה מודעא המחילה בטלה וכל שיש בידו ספק לעשות אותו אונס ומפחידה הרי זה אונס. כתב עוד הרב המגיד בסוף פרק (י"ח) [י"ז] מהלכות אישות (שם) כבר העלו הרמב"ן (נג. ד"ה והא) והרשב"א (נג. ד"ה ולעקר) דמוחלת עיקר כתובה </w:t>
      </w:r>
      <w:r w:rsidRPr="00AB6908">
        <w:rPr>
          <w:rFonts w:cs="Arial"/>
          <w:rtl/>
        </w:rPr>
        <w:lastRenderedPageBreak/>
        <w:t>אינה יכולה לטעון נחת רוח עשיתי לבעלי שהרי כל הנשים יש להם כתובה ולא תהיה לה איבה אם לא תמחול ואדרבה היא יכולה לומר לו שהוא נותן עיניו לגרשה כשמבקש שתמחול כתובתה מה שאין כן בנכסי צאן ברזל עכ"ל:</w:t>
      </w:r>
    </w:p>
    <w:p w14:paraId="230BC74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E8EDA6" w14:textId="77777777" w:rsidR="002E5BAD" w:rsidRDefault="002E5BAD" w:rsidP="002E5BAD">
      <w:pPr>
        <w:rPr>
          <w:rFonts w:cs="Arial"/>
          <w:sz w:val="18"/>
          <w:szCs w:val="18"/>
          <w:rtl/>
        </w:rPr>
      </w:pPr>
      <w:r>
        <w:rPr>
          <w:rFonts w:cs="Arial"/>
          <w:rtl/>
        </w:rPr>
        <w:t xml:space="preserve">המוחלת כתובתה אינה צריכה לא קנין ולא עדים, והוא שיהיו דברים שהדעת סומכת עליהם ולא יהיו דברי שחוק והיתול או דברי תימה, אלא בדעת נכונה. </w:t>
      </w:r>
      <w:r w:rsidRPr="003D1481">
        <w:rPr>
          <w:rFonts w:cs="Arial"/>
          <w:sz w:val="18"/>
          <w:szCs w:val="18"/>
          <w:rtl/>
        </w:rPr>
        <w:t xml:space="preserve">הגה: אנסה למחול, כגון שהיה מתקוטט עמה תמיד ומחלה לו כדי שתשב עמו בשלוה, מחילתה בטילה אף על פי שלא מסרה מודעא (תשובת הרשב"א סימן תקפ"ג /תתפ"ג/). </w:t>
      </w:r>
    </w:p>
    <w:p w14:paraId="23F1C0A3" w14:textId="77777777" w:rsidR="002E5BAD" w:rsidRDefault="002E5BAD" w:rsidP="002E5BAD">
      <w:pPr>
        <w:rPr>
          <w:rtl/>
        </w:rPr>
      </w:pPr>
    </w:p>
    <w:p w14:paraId="0C78040F" w14:textId="77777777" w:rsidR="002E5BAD" w:rsidRDefault="002E5BAD" w:rsidP="002E5BAD">
      <w:pPr>
        <w:pStyle w:val="2"/>
        <w:rPr>
          <w:rtl/>
        </w:rPr>
      </w:pPr>
      <w:r>
        <w:rPr>
          <w:rtl/>
        </w:rPr>
        <w:t>סעיף ו</w:t>
      </w:r>
      <w:r>
        <w:rPr>
          <w:rFonts w:hint="cs"/>
          <w:rtl/>
        </w:rPr>
        <w:t>:</w:t>
      </w:r>
    </w:p>
    <w:p w14:paraId="73407AEE" w14:textId="77777777" w:rsidR="002E5BAD" w:rsidRPr="00AB6908" w:rsidRDefault="002E5BAD" w:rsidP="00B75458">
      <w:pPr>
        <w:pStyle w:val="ab"/>
        <w:numPr>
          <w:ilvl w:val="0"/>
          <w:numId w:val="195"/>
        </w:numPr>
      </w:pPr>
      <w:r>
        <w:rPr>
          <w:rFonts w:cs="Arial" w:hint="cs"/>
          <w:rtl/>
        </w:rPr>
        <w:t xml:space="preserve">טור- </w:t>
      </w:r>
      <w:r w:rsidRPr="00AB6908">
        <w:rPr>
          <w:rFonts w:cs="Arial"/>
          <w:rtl/>
        </w:rPr>
        <w:t>המוכר שטר חוב לחבירו וחזר ומחלו מחול ואפי' יורש מוחל לפיכך מכרה כתובתה ומת הבעל ואח"כ מתה בנה יכול למחול והמכר בטל ואפילו אין לה יורש אחר אלא זה הבן ונמצא פרעון הכתובה עליו יכול למחול לעצמו כדי לבטל המקח ויורש הכתוב' מכח אביו</w:t>
      </w:r>
      <w:r>
        <w:rPr>
          <w:rFonts w:cs="Arial" w:hint="cs"/>
          <w:rtl/>
        </w:rPr>
        <w:t>.</w:t>
      </w:r>
      <w:r w:rsidRPr="00AB6908">
        <w:rPr>
          <w:rFonts w:cs="Arial"/>
          <w:rtl/>
        </w:rPr>
        <w:t xml:space="preserve"> </w:t>
      </w:r>
    </w:p>
    <w:p w14:paraId="0BB8E13E" w14:textId="77777777" w:rsidR="002E5BAD" w:rsidRDefault="002E5BAD" w:rsidP="002E5BAD">
      <w:pPr>
        <w:rPr>
          <w:rtl/>
        </w:rPr>
      </w:pPr>
      <w:r>
        <w:rPr>
          <w:rFonts w:cs="Arial"/>
          <w:rtl/>
        </w:rPr>
        <w:t>ו המוכר שטר חוב לחבירו וחזר ומחלו מחול ואפילו יורש (מחול) [מוחל]. מימרא בפרק הכותב (כתובות פה:):</w:t>
      </w:r>
    </w:p>
    <w:p w14:paraId="4EA5C6D6" w14:textId="77777777" w:rsidR="002E5BAD" w:rsidRPr="003D1481" w:rsidRDefault="002E5BAD" w:rsidP="002E5BAD">
      <w:pPr>
        <w:rPr>
          <w:rtl/>
        </w:rPr>
      </w:pPr>
      <w:r>
        <w:rPr>
          <w:rFonts w:cs="Arial"/>
          <w:rtl/>
        </w:rPr>
        <w:t>ומ"ש לפיכך מכרה כתובתה ומת הבעל ואחר כך מתה בנה יכול למחול וכו'. שם קריבתיה דרב נחמן זבינתה לכתובתה בטובת הנאה איגרשא ושכיבא אתו לקוחות וקא תבעי לברתה אמר רב נחמן ליכא דליסבא עצה ותיזיל ותיחלה לכתובתה דאמה לגבי אבוה ותירתה מיניה ופירש רש"י אתו לקוחות וקא תבעי לברתה הלוקח תבעה הבת לדין לגבות כתובת אמה מאביה וכתב הרא"ש (סי' י) ואין הלשון משמע כן דמה לו ללוקח אצל הבת הילכך הפירוש הנכון הוא שמת גם האב ואין להם יורש אלא זו הבת ואשמועינן תלמודא דאף בכה"ג שהמחילה היה לעצמה יכולה למחול לאביה והיא זוכה במקום אביה עכ"ל. וסתם רבינו דבריו כדעת הרא"ש:</w:t>
      </w:r>
    </w:p>
    <w:p w14:paraId="48C9EC3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578BA9A" w14:textId="77777777" w:rsidR="002E5BAD" w:rsidRDefault="002E5BAD" w:rsidP="002E5BAD">
      <w:pPr>
        <w:rPr>
          <w:rtl/>
        </w:rPr>
      </w:pPr>
      <w:r>
        <w:rPr>
          <w:rFonts w:cs="Arial"/>
          <w:rtl/>
        </w:rPr>
        <w:t xml:space="preserve">המוכר שטר חוב לחבירו, וחזר ומחלו, מחול. ואפילו יורש מוחל. לפיכך מכרה כתובתה ומת הבעל ואחר כך מתה, בנה יכול למחול והמכר בטל. ואפילו אין לה יורש אחר אלא זה הבן ונמצא פרעון הכתובה עליו, יכול למחול לעצמו כדי לבטל המקח, ויורש הכתובה. </w:t>
      </w:r>
    </w:p>
    <w:p w14:paraId="039B62A4" w14:textId="77777777" w:rsidR="002E5BAD" w:rsidRDefault="002E5BAD" w:rsidP="002E5BAD">
      <w:pPr>
        <w:rPr>
          <w:rtl/>
        </w:rPr>
      </w:pPr>
    </w:p>
    <w:p w14:paraId="7B23E5FF" w14:textId="77777777" w:rsidR="002E5BAD" w:rsidRDefault="002E5BAD" w:rsidP="002E5BAD">
      <w:pPr>
        <w:pStyle w:val="2"/>
        <w:rPr>
          <w:rtl/>
        </w:rPr>
      </w:pPr>
      <w:r>
        <w:rPr>
          <w:rtl/>
        </w:rPr>
        <w:t>סעיף ז</w:t>
      </w:r>
      <w:r>
        <w:rPr>
          <w:rFonts w:hint="cs"/>
          <w:rtl/>
        </w:rPr>
        <w:t>:</w:t>
      </w:r>
    </w:p>
    <w:p w14:paraId="2B3B5F39" w14:textId="77777777" w:rsidR="002E5BAD" w:rsidRDefault="002E5BAD" w:rsidP="00B75458">
      <w:pPr>
        <w:pStyle w:val="ab"/>
        <w:numPr>
          <w:ilvl w:val="0"/>
          <w:numId w:val="195"/>
        </w:numPr>
      </w:pPr>
      <w:r>
        <w:rPr>
          <w:rFonts w:cs="Arial" w:hint="cs"/>
          <w:rtl/>
        </w:rPr>
        <w:t xml:space="preserve">טור- </w:t>
      </w:r>
      <w:r w:rsidRPr="00AB6908">
        <w:rPr>
          <w:rFonts w:cs="Arial"/>
          <w:rtl/>
        </w:rPr>
        <w:t>בן שמכר כתובת אמו פי' שמכרה בחיי אביו שאם ימות אביו ואח"כ תמות אמו ויורש הוא את כתובתה שיהיה הלוקח עומד במקומו ליקח אותה והתנה שאם תערער אמו על המקח שלא יסלקו מערעור ומתה ולא ערערה אינו יכול לומר אני במקום אמי וכמו שהיא היתה יכולה לערער על המקח גם אני מערער ואבטלנו שערעור של עצמו ודאי קבל על עצמו:</w:t>
      </w:r>
    </w:p>
    <w:p w14:paraId="1FC0E3A7" w14:textId="77777777" w:rsidR="002E5BAD" w:rsidRPr="003D1481" w:rsidRDefault="002E5BAD" w:rsidP="002E5BAD">
      <w:pPr>
        <w:rPr>
          <w:rtl/>
        </w:rPr>
      </w:pPr>
      <w:r w:rsidRPr="00AB6908">
        <w:rPr>
          <w:rFonts w:cs="Arial"/>
          <w:rtl/>
        </w:rPr>
        <w:t>ז בן שמכר כתובת אמו פירוש שמכר בחיי אביו שאם ימות אביו ואחר כך תמות אמו ויורש הוא את כתובתה שיהיה הלוקח עומד במקומו וכו'. בפרק מי שהיה נשוי (כתובות צא:) ההוא גברא דזבנה לכתובת אמיה בטובת הנאה א"ל אי אתיא אם ומערערא לא מפצינא לך שכיבא אם ולא איערערא אתא איהו וקא מערער סבר רמי בר חמא למימר איהו במקום אימיה קאי א"ל רבא נהי דאחריות דידה לא קביל אחריות דידיה מי לא קביל. עיין במישרים (לרבינו ירוחם) נתיב כ"ג חלק ד' (נו ע"ד) דינים דשייכי לסימן זה:</w:t>
      </w:r>
      <w:r>
        <w:rPr>
          <w:rStyle w:val="a7"/>
          <w:rtl/>
        </w:rPr>
        <w:footnoteReference w:id="2706"/>
      </w:r>
    </w:p>
    <w:p w14:paraId="45EA3E4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63337B" w14:textId="77777777" w:rsidR="002E5BAD" w:rsidRPr="007A3469" w:rsidRDefault="002E5BAD" w:rsidP="002E5BAD">
      <w:pPr>
        <w:rPr>
          <w:rtl/>
        </w:rPr>
        <w:sectPr w:rsidR="002E5BAD" w:rsidRPr="007A3469" w:rsidSect="00A347B3">
          <w:headerReference w:type="default" r:id="rId62"/>
          <w:footnotePr>
            <w:numRestart w:val="eachPage"/>
          </w:footnotePr>
          <w:pgSz w:w="11906" w:h="16838"/>
          <w:pgMar w:top="720" w:right="1134" w:bottom="720" w:left="1134" w:header="0" w:footer="0" w:gutter="0"/>
          <w:cols w:space="720"/>
          <w:bidi/>
          <w:rtlGutter/>
          <w:docGrid w:linePitch="360"/>
        </w:sectPr>
      </w:pPr>
      <w:r>
        <w:rPr>
          <w:rFonts w:cs="Arial"/>
          <w:rtl/>
        </w:rPr>
        <w:t>מי שמכר בחיי אביו כתובת אמו שאם ימות אביו ואח"כ תמות אמו ויירש הוא את כתובתה שיהיה הלוקח עומד במקומה לגבותה, והתנה שאם תערער אמו על המכר שלא יסלקנו מערער, ומתה ולא ערערה, אינו יכול לומר: אני במקום אמי וכמו שהיא יכולה לערער על המקח גם אני מערער ואבטלנו, שערעור של עצמו קיבל עליו ודאי.</w:t>
      </w:r>
    </w:p>
    <w:p w14:paraId="66BAD6CA" w14:textId="77777777" w:rsidR="002E5BAD" w:rsidRDefault="002E5BAD" w:rsidP="002E5BAD">
      <w:pPr>
        <w:pStyle w:val="1"/>
        <w:rPr>
          <w:rtl/>
        </w:rPr>
      </w:pPr>
      <w:r>
        <w:rPr>
          <w:rFonts w:hint="cs"/>
          <w:rtl/>
        </w:rPr>
        <w:lastRenderedPageBreak/>
        <w:t>סימן קו:</w:t>
      </w:r>
      <w:r w:rsidRPr="00C12B74">
        <w:rPr>
          <w:rtl/>
        </w:rPr>
        <w:t xml:space="preserve"> </w:t>
      </w:r>
      <w:r>
        <w:rPr>
          <w:rFonts w:cs="Arial"/>
          <w:rtl/>
        </w:rPr>
        <w:t xml:space="preserve">הכותב כל נכסיו לבניו וכתב לאשתו קרקע כל שהוא, ובו ב' סעיפים. </w:t>
      </w:r>
    </w:p>
    <w:p w14:paraId="28CEECCF" w14:textId="77777777" w:rsidR="002E5BAD" w:rsidRDefault="002E5BAD" w:rsidP="002E5BAD">
      <w:pPr>
        <w:pStyle w:val="2"/>
        <w:rPr>
          <w:rtl/>
        </w:rPr>
      </w:pPr>
      <w:r>
        <w:rPr>
          <w:rtl/>
        </w:rPr>
        <w:t>סעיף א</w:t>
      </w:r>
      <w:r>
        <w:rPr>
          <w:rFonts w:hint="cs"/>
          <w:rtl/>
        </w:rPr>
        <w:t>:</w:t>
      </w:r>
    </w:p>
    <w:p w14:paraId="255F8A7B" w14:textId="77777777" w:rsidR="002E5BAD" w:rsidRPr="0076432A" w:rsidRDefault="002E5BAD" w:rsidP="00B75458">
      <w:pPr>
        <w:pStyle w:val="ab"/>
        <w:numPr>
          <w:ilvl w:val="0"/>
          <w:numId w:val="195"/>
        </w:numPr>
        <w:rPr>
          <w:rtl/>
        </w:rPr>
      </w:pPr>
      <w:r>
        <w:rPr>
          <w:rFonts w:hint="cs"/>
          <w:rtl/>
        </w:rPr>
        <w:t xml:space="preserve">טור- </w:t>
      </w:r>
      <w:r w:rsidRPr="0076432A">
        <w:rPr>
          <w:rFonts w:cs="Arial"/>
          <w:rtl/>
        </w:rPr>
        <w:t>המחלק נכסיו לבניו וחלק לאשתו קרקע כל שהוא אבדה כתובתה בין אם הוא בריא או ש"מ ואפילו אם לא חילק בפניה רק ששתקה כשנודע לה דאמרינן כיון שחלק לה כבוד לחלוק עם הבנים ודאי מחלה ור"ח פי' דוקא כשחלק לה חלק אחד כאחד מן הבנים אז מחלה בשתיקה לחוד אבל אם לא נתן לה כאחד מן הבנים אז לא מחלה בשתיקה אלא א"כ כתב לה וקבלה עליה ורב אלפס כתב כסברא הראשונה ולזה הסכים א"א הרא"ש ז"ל ודוקא שחלק לה קרקע וחלק כל נכסיו אבל אם כתב מטלטלי או שלא חלק כל נכסיו לא אבדה כתובתה ומיהו אפי' לא כתב לה אלא דקל לפירותיו או פירות מחוברין והן צריכין עדיין לקרקע חשיב שפיר קרקע ואפילו כתב לה קרקע וחלק כל נכסיו לא אבדה אלא מאותן נכסים אבל אם קנה נכסים אחרים או אפילו באו לידה מאותן הנכסים כגון שמת אחד מהבנים וירשו גובה מהם ודוקא שחלק נכסיו בינה ובין בניו אבל אם חלק נכסיו בינה ובין אחרים לא אבדה ורשב"ם כתב דהוא הדין נמי אם חלק בינה ובין אחרים ולא נהירא לאדוני אבי ז"ל:</w:t>
      </w:r>
    </w:p>
    <w:p w14:paraId="5D505CE2" w14:textId="77777777" w:rsidR="002E5BAD" w:rsidRDefault="002E5BAD" w:rsidP="002E5BAD">
      <w:pPr>
        <w:rPr>
          <w:rtl/>
        </w:rPr>
      </w:pPr>
      <w:r>
        <w:rPr>
          <w:rFonts w:cs="Arial"/>
          <w:rtl/>
        </w:rPr>
        <w:t>א - ב המחלק נכסיו לבניו וחלק לאשתו קרקע כל שהו אבדה כתובתה בין אם הוא בריא או שכיב מרע ואפילו אם לא חילק לפניה רק ששתקה כשנודע לה וכו'. בפ"ג דפאה (מ"ז) תנן הכותב נכסיו לבניו וכתב לאשתו קרקע כל שהוא איבדה כתובתה רבי יוסי אומר אם קיבלה אף על פי שלא כתב לה איבדה כתובתה ומייתי להאי מתניתין בפרק יש נוחלין (ב"ב קלב.) וקאמר עלה משום דכתב לה קרקע כל שהו איבדה כתובתה אמר רב במזכה להם על ידה ושמואל אמר במחלק לפניה והיא שותקת ר' יוסי בר חנינא אמר באומר לה טלי קרקע זה בכתובתיך ומקולי כתובה שנו כאן ואותבינן עלייהו מדקתני סיפא ר' יוסי אומר אם קיבלה עליה אף על פי שלא כתב לה וכו' מכלל דתנא קמא כתיבה וקבלה בעי ובתר הכי א"ל רבא לרב נחמן הא רב הא שמואל הא ר' יוסי בר חנינא מר מאי ס"ל א"ל שאני אומר כיון שעשאה שותף בין הבנים איבדה כתובתה. ופרשב"ם (קלב: ד"ה שותף בין הבנים) וס"ל כשמואל רביה דאמר במחלק לפניה והיא שותקת ואף על גב דאיתותב היינו אליבא דרבנן ורב נחמן אליבא דרבי יוסי דאית ליה דקבלה מהניא והוא הדין כתיבה. וכן דעת רב אלפס (ס.) שכתב שעשאה שותף בין הבנים איבדה כתובתה ודוקא בשותקת וכל שכן הנך עכ"ל. וכתב הרא"ש משמע דהא דרב נחמן קילא טפי מדכולהו ואף על פי שלא חילק בפניה ולא אמר לה טלי קרקע זו בכתובתיך אלא ידעה שכתב נכסיו לבניו וכתב לה קרקע זו וכשנודע לה שתקה אנו אומדים דעתה דכיון שחלק לה כבוד ועשאה שותף בין הבנים מחלה שעבוד כתובתה מאלו הנכסים ור"ח פי' דוקא כשעשאה שותף בין הבנים שנתן לה חלק כאחד מן הבנים אז ודאי מחלה כתובתה בקבלה לחודה דחשיבא לה מילתא שהשוה אותה לאחד מבניו אבל כתב לה קרקע כל שהו כתיבה וקבלה בעינן כת"ק דר' יוסי ואין לשון כיון מורה על פי' זה אלא משמע שבא להקל הילכך נראין דברי רב אלפס עכ"ל. וכך הם דברי הרמב"ם בפרק ו' מהלכות זכיה ומתנה (ה"ט). וגם הר"ן (קלב: ד"ה אמר ליה) כתב על דברי ר"ח אין דרך זה מחוור מדקאמר כיון שעשאה שותף בין הבנים משמע דלאקולי אתא למימר דכל דהו סגי ואם כפי שיטה זו אדרבה לאחמורי אתא אכולהו דכתיבה וקבלה בעינן לפיכך נראה עיקרן של דברים כדברי ר"ש ז"ל דהכי קאמר שאני אומר וכו' כלומר אנא כרבי יוסי ס"ל ופירש הרב ז"ל דרב נחמן כשמואל רביה פשוט ליה ואיכא מאן דאמר דכרבי חנינא דמיקל מכולהו פשט ליה והאי לישנא דכיון שעשאה כלומר כמאן דמיקל מכולהו ומדברי הרמב"ם נ"ל שהוא מפרש לומר דלא בעי' לא מילתא דרב ולא מילתא דשמואל ולא דרבי יוסי בר חנינא אלא כיון שעשאה שותף בין הבנים ולא מיחתה איבדה כתובתה והלשון הזה נוח לי יותר דכיון דא"ל רבא לרב נחמן הא רב הא שמואל והא רבי יוסי בר חנינא מר כמאן ס"ל אם איתא דס"ל כחד מינייהו הל"ל אנא כפלוני ס"ל מדקאמר שאני אומר כיון שעשאה שותף בין הבנים וכו' ש"מ דלאקולי טפי מכולהו אתא עכ"ל:</w:t>
      </w:r>
    </w:p>
    <w:p w14:paraId="6F083FE3" w14:textId="77777777" w:rsidR="002E5BAD" w:rsidRDefault="002E5BAD" w:rsidP="002E5BAD">
      <w:pPr>
        <w:rPr>
          <w:rtl/>
        </w:rPr>
      </w:pPr>
      <w:r>
        <w:rPr>
          <w:rFonts w:cs="Arial"/>
          <w:rtl/>
        </w:rPr>
        <w:t>ומ"ש בין אם הוא בריא או שכיב מרע. שם (קלב:) בעי רבא בבריא היאך וסלקא בתיקו וכתב הרא"ש (שם) ולא מפקינן מיתמי וכן פסק רשב"ם (קלג. ד"ה והשתא) וכן פסק הרמב"ם ז"ל בפרק ו' מהלכות זכייה ומתנה (שם) וכן הסכים הרב המגיד ז"ל וכן דעת הר"ן ז"ל (קלב: ד"ה ומסקנא). ובספרי הרי"ף שבידי כתוב (ס.) אחר התיקו הילכך מוקמי' כתובה אחזקתה ועל הבעל להביא ראיה שמחלה ויש לתמוה היאך לא הביא הרא"ש דבריו:</w:t>
      </w:r>
    </w:p>
    <w:p w14:paraId="2A87D5FC" w14:textId="77777777" w:rsidR="002E5BAD" w:rsidRDefault="002E5BAD" w:rsidP="002E5BAD">
      <w:pPr>
        <w:rPr>
          <w:rtl/>
        </w:rPr>
      </w:pPr>
      <w:r>
        <w:rPr>
          <w:rFonts w:cs="Arial"/>
          <w:rtl/>
        </w:rPr>
        <w:t xml:space="preserve">ומ"ש ודוקא שחילק לה קרקע וחילק כל נכסיו אבל אם כתב מטלטלי או שלא כתב כל נכסיו לא איבדה כתובתה. שם ההוא דאמר פלגא לברת ופלגא לברת ותילתא לאיתת בפירי איקלע רב נחמן לסורא לגבי רב חסדא אמר ליה כי האי גוונא מאי אמר ליה הכי אמר שמואל אפילו לא הקנה לה אלא דקל אחד לפירותיו איבדה כתובתה אמר ליה אימור דאמר שמואל התם דאקני לה בגופא דארעא הכא פירא הוא אמר ליה מטלטלא קא אמרת מטלטלא ודאי לא קא אמינא ואיתא תו התם (קלג.) ההוא דפלגינהו נכסיה לאתתיה ולבניה שייר חד דיקלא ואסיקנא מגו דנחתא לדקל נחתא נמי לכולהו ניכסיה. והרמב"ם בפרק ו' מהלכות זכייה ומתנה (ה"י) כתב כלשון הזה כתב לה עמהם מטלטלין בלבד או ששייר לעצמו קרקע כל שהו כתובתה קיימת ותקנת הגאונים היא ואפילו שייר מטלטלין כל שהו וכתב הרב המגיד ותקנת הגאונים וכו' פירוש כבר נתבאר בהלכות אישות פרק י' שאין האשה גובה ממטלטלין אחר מיתת בעלה </w:t>
      </w:r>
      <w:r>
        <w:rPr>
          <w:rFonts w:cs="Arial"/>
          <w:rtl/>
        </w:rPr>
        <w:lastRenderedPageBreak/>
        <w:t>מדין התלמוד וכיון שכן בששייר מטלטלין לבד איבדה כתובתה דליכא למימר בהו מגו דלא טרפא להו וזה נראה לי שהוא פירוש מה שאמרו בפרק מי שמת (ב"ב קנ:) בכולהו הוי שיור בר מכתובת אשה במקרקעי תקינו לה רבנן במטלטלי לא תקינו לה אבל הגאונים שהתקינו כתובה שתגבה אף מן המטלטלין יש לומר מגו דנחתא אמטלטלין דשייר נחתא אכולהו נכסי וזה פשוט עכ"ל. וכן כתב הר"ן (קלב: ד"ה ומסקנא) לאחר שתקנו הגדולים ז"ל שתהא כתובה נגבית מן המטלטלין אפילו שייר מטלטלין כל שהן כתובתה קיימת וכן כתב הרמב"ם ז"ל עכ"ל</w:t>
      </w:r>
      <w:r>
        <w:rPr>
          <w:rStyle w:val="a7"/>
          <w:rFonts w:cs="Arial"/>
          <w:rtl/>
        </w:rPr>
        <w:footnoteReference w:id="2707"/>
      </w:r>
      <w:r>
        <w:rPr>
          <w:rFonts w:cs="Arial"/>
          <w:rtl/>
        </w:rPr>
        <w:t>. ואף על פי שאחר כך כתב וכי אמרינן דאיבדה כתובתה דוקא בשכתב לה קרקע אבל מטלטלי לא וכדאמרינן בסוגיין מטלטלי ודאי לא קא אמינא לפי דין התלמוד כתב כן:</w:t>
      </w:r>
    </w:p>
    <w:p w14:paraId="3828FB64" w14:textId="77777777" w:rsidR="002E5BAD" w:rsidRDefault="002E5BAD" w:rsidP="002E5BAD">
      <w:pPr>
        <w:rPr>
          <w:rtl/>
        </w:rPr>
      </w:pPr>
      <w:r>
        <w:rPr>
          <w:rFonts w:cs="Arial"/>
          <w:rtl/>
        </w:rPr>
        <w:t>ומ"ש רבינו ומיהו אפילו לא כתב לה אלא דקל לפירותיו. היינו מימרא דשמואל שכתבתי בסמוך:</w:t>
      </w:r>
    </w:p>
    <w:p w14:paraId="1740F2D0" w14:textId="77777777" w:rsidR="002E5BAD" w:rsidRDefault="002E5BAD" w:rsidP="002E5BAD">
      <w:pPr>
        <w:rPr>
          <w:rtl/>
        </w:rPr>
      </w:pPr>
      <w:r>
        <w:rPr>
          <w:rFonts w:cs="Arial"/>
          <w:rtl/>
        </w:rPr>
        <w:t>ומ"ש או פירות מחוברים והן צריכין עדיין לקרקע חשיב שפיר קרקע. בעובדא שכתבתי בסמוך אימור דאמר שמואל דאקני לה בגופא דארעא וכו' כתב רשב"ם (ד"ה אבדה כתובתה) והוא הדין לפירות מחוברים והא דאמר דקל לפירותיו רבותא הוא דאע"ג דגוף האילן אינה שלה לכשייבש והשתא לית ביה פירי אפילו הכי כקרקע דמי וכל שכן היכא דאקני לה פירות גופייהו שגדלו כבר ומחוברים לקרקע והכא פירא בעלמא דהא פירות תלושים מיבעי לן:</w:t>
      </w:r>
    </w:p>
    <w:p w14:paraId="31AFD3FB" w14:textId="77777777" w:rsidR="002E5BAD" w:rsidRDefault="002E5BAD" w:rsidP="002E5BAD">
      <w:pPr>
        <w:rPr>
          <w:rtl/>
        </w:rPr>
      </w:pPr>
      <w:r>
        <w:rPr>
          <w:rFonts w:cs="Arial"/>
          <w:rtl/>
        </w:rPr>
        <w:t>ומ"ש ואפילו כתב לה קרקע וחלק כל נכסיו לא איבדה אלא מאותם נכסים אבל אם קנה נכסים אחרים או אפילו באו לידו מאותם הנכסים כגון שמת אחד מהבנים וירשו גובה מהם. שם (קלב:) ההוא דאמר תלתא לברת ותלתא לברת ותלתא לאיתת שכיבא חדא מבנתיה סבר רב פפי למימ' לא שקלא אלא תלתא אמר ליה רב כהנא אילו קני מי לא שקלא כיון דאילו הדר קני שקלא השתא נמי שקלה. ופר"ש שכיבא חדא מבנתיה. בחייו וחזר וירשה שהאב יורש את בתו: אלו קנה. נכסים אחרים בתר הכי לית לה לאשה בתמיה הא ודאי אית לה דנהי דמחלה שעבודא לבנות בשביל שעשאה שותף ביניהם חוב כתובה מיהא לא מחלה שאם תמצא מקום לטרוף כגון שיקנה נכסי' טורפת מהם וכדכתב דעתיד אני למיקני נכסים העתידים לבא ישתעבדו לה וכיון דאלו הדר קני מאדם אחר או ממורישיו אית לה לאשה השתא נמי כי נפלו לה מאותם נכסים עצמם אית לה דמה לי אותם נכסים עצמם מה לי אחרים שאם נתרצית להקנות המתנה לבנות ולמחול להם שעבודה לבעלה מיהא לא מחלה מידי אם תמצא מקום לגבות:</w:t>
      </w:r>
    </w:p>
    <w:p w14:paraId="4164036C" w14:textId="77777777" w:rsidR="002E5BAD" w:rsidRPr="003D1481" w:rsidRDefault="002E5BAD" w:rsidP="002E5BAD">
      <w:pPr>
        <w:rPr>
          <w:rtl/>
        </w:rPr>
      </w:pPr>
      <w:r>
        <w:rPr>
          <w:rFonts w:cs="Arial"/>
          <w:rtl/>
        </w:rPr>
        <w:t>ומ"ש ודוקא שחלק נכסיו בינה ובין בניו וכו'. ז"ל הרא"ש שם (סי' לד) כתב רשב"ם (קלג. ד"ה והשתא) לאו דוקא כתב לבניו אלא הוא הדין לאחר ודברים הללו קשים לאומרם בלי ראיה דלישנא דשעשאה שותף בין הבנים אינו מורה כן דמשמע דדוקא בשביל כבוד שעשה לה שחלק לה מנכסיו עם בניו שתקה ומחלה אבל אם חלק נכסיו לאחרים מה לה לערער ומה כבוד עשה לה דאית לן למימר שמחלה כתובתה ובשתיקה לא הפסידה כתובתה דמציא למימר נחת רוח עשיתי לבעלי וגם מתני' מוכח כן דקתני הכותב נכסיו לבניו ולא קתני המחלק נכסיו סתם עכ"ל. ואי מהא לא איריא דרשב"ם לא קאמר אלא בכותב ליורשיו ואם כן מתניתין לא מצי למיתני המחלק נכסיו סתם דהוה משמע אפילו מחלק לשאינם יורשיו ומכל מקום מדברי הרמב"ם בפרק ו' מהלכות זכייה (ה"ט) נראה שסובר כדברי הרא"ש שכתב הכותב נכסיו לבניו בין זכרים בין נקבות ומדנחית למימר בין זכרים בין נקבות משמע דבבניו דוקא קאמר ויש לתמוה על הרב המגיד (הי"א) שכתב דברי רשב"ם ולא שת לבו לראות אם הרמב"ם חלוק עליו. כתב בעל התרומות בשער נ"ט (ח"א אות ב) שאין דברים הללו אמורים אלא לענין כתובה ומקולי כתובה שנו כאן אבל בעל חוב לא לא שנא אם הלוה חילק כל נכסיו לבניו בפניו והוא שותק לא שנא אם חילק כל נכסיו לבניו בפניו וכתב למלוה קרקע כל שהו ביניהם לא איבד זכות חובו כלל עכ"ל. וכתב הרב המגיד בפ"ו מהלכות זכייה (הי"א) בשם ר"ש (קלב: ד"ה ומקולי) ובשם המפרשים. ומדבריהם ז"ל נלמוד דאין דברים הללו אמורים אלא בעיקר כתובה דהיינו ק' וק"ק ואיפשר דאף תוספת דינו כן אבל נדוניא ודאי לא. וכ"כ הר"ן ז"ל (קלב: ד"ה אמר ליה) וז"ל מראים הדברים דדוקא בכתובה ומקולי כתובה אבל בבעל חוב אי נמי בנדוניא שהיא כב"ח לא עכ"ל. וכן כתב הרא"ש בתשובה כלל מ"א סימן ב'</w:t>
      </w:r>
      <w:r>
        <w:rPr>
          <w:rStyle w:val="a7"/>
          <w:rFonts w:cs="Arial"/>
          <w:rtl/>
        </w:rPr>
        <w:footnoteReference w:id="2708"/>
      </w:r>
      <w:r>
        <w:rPr>
          <w:rFonts w:cs="Arial"/>
          <w:rtl/>
        </w:rPr>
        <w:t xml:space="preserve">. כתב המרדכי בפרק אלמנה נזונת (סי' רמח) על ראובן שהיה לו זקוק ביד שמעון וחלה וצוה לשמעון שיתן הזקוק לאביו ולא מיחת אשתו והוקל </w:t>
      </w:r>
      <w:r>
        <w:rPr>
          <w:rFonts w:cs="Arial"/>
          <w:rtl/>
        </w:rPr>
        <w:lastRenderedPageBreak/>
        <w:t>חליו והלך בבית על משענתו ואח"כ הכביד חליו וחזר וצוה לשמעון שיתן הזקוק לאביו ואז מיחת אשתו והלך ראובן לעולמו וקיים שמעון דברי המת ואח"כ תבעה היא את שמעון לדין ועיין שם. וכבר העירותי על זה בסימן צ"ו (קמג. ד"ה וכתב ה"ה):</w:t>
      </w:r>
    </w:p>
    <w:p w14:paraId="34E42BC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6FB667" w14:textId="77777777" w:rsidR="002E5BAD" w:rsidRDefault="002E5BAD" w:rsidP="002E5BAD">
      <w:pPr>
        <w:rPr>
          <w:rFonts w:cs="Arial"/>
          <w:rtl/>
        </w:rPr>
      </w:pPr>
      <w:r>
        <w:rPr>
          <w:rFonts w:cs="Arial"/>
          <w:rtl/>
        </w:rPr>
        <w:t xml:space="preserve">הכותב כל נכסיו לבניו, בין זכרים בין נקבות, בין בריא בין שכיב מרע, וכתב לאשתו עמהם קרקע כל שהוא או דקל לפירותיו או פירות מחוברים והם צריכים עדיין לקרקע, הואיל ועשה אותה שותף בין הבנים ושתקה כשנודע לה ולא מיחתה, איבדה עיקר כתובתה ותוספת </w:t>
      </w:r>
      <w:r>
        <w:rPr>
          <w:rFonts w:cs="Arial" w:hint="cs"/>
          <w:sz w:val="18"/>
          <w:szCs w:val="18"/>
          <w:rtl/>
        </w:rPr>
        <w:t xml:space="preserve">[הגה] </w:t>
      </w:r>
      <w:r w:rsidRPr="003D1481">
        <w:rPr>
          <w:rFonts w:cs="Arial"/>
          <w:sz w:val="18"/>
          <w:szCs w:val="18"/>
          <w:rtl/>
        </w:rPr>
        <w:t>אבל לא נדונייתא (המ"מ פ"ו מזכייה).</w:t>
      </w:r>
      <w:r>
        <w:rPr>
          <w:rFonts w:cs="Arial"/>
          <w:rtl/>
        </w:rPr>
        <w:t xml:space="preserve"> ואינה טורפת מנכסים אלו כלום. אבל מנכסים שיבואו לו אחר כך גובה מהם, אפילו באו לידו מאותם הנכסים עצמם, כגון שמת אחד מהבנים וירשו. </w:t>
      </w:r>
    </w:p>
    <w:p w14:paraId="48B549BC" w14:textId="77777777" w:rsidR="002E5BAD" w:rsidRDefault="002E5BAD" w:rsidP="002E5BAD">
      <w:pPr>
        <w:rPr>
          <w:rtl/>
        </w:rPr>
      </w:pPr>
    </w:p>
    <w:p w14:paraId="6DDA939A" w14:textId="77777777" w:rsidR="002E5BAD" w:rsidRDefault="002E5BAD" w:rsidP="002E5BAD">
      <w:pPr>
        <w:pStyle w:val="2"/>
        <w:rPr>
          <w:rtl/>
        </w:rPr>
      </w:pPr>
      <w:r>
        <w:rPr>
          <w:rtl/>
        </w:rPr>
        <w:t>סעיף ב</w:t>
      </w:r>
      <w:r>
        <w:rPr>
          <w:rFonts w:hint="cs"/>
          <w:rtl/>
        </w:rPr>
        <w:t>:</w:t>
      </w:r>
    </w:p>
    <w:p w14:paraId="755D60C5" w14:textId="77777777" w:rsidR="002E5BAD" w:rsidRPr="003D1481" w:rsidRDefault="002E5BAD" w:rsidP="002E5BAD">
      <w:pPr>
        <w:rPr>
          <w:rtl/>
        </w:rPr>
      </w:pPr>
    </w:p>
    <w:p w14:paraId="1A56601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B09223" w14:textId="77777777" w:rsidR="002E5BAD" w:rsidRDefault="002E5BAD" w:rsidP="002E5BAD">
      <w:pPr>
        <w:rPr>
          <w:rFonts w:cs="Arial"/>
          <w:sz w:val="18"/>
          <w:szCs w:val="18"/>
          <w:rtl/>
        </w:rPr>
      </w:pPr>
      <w:r>
        <w:rPr>
          <w:rFonts w:cs="Arial"/>
          <w:rtl/>
        </w:rPr>
        <w:t xml:space="preserve">כתב לה עמהם מטלטלין בלבד, או ששייר לעצמו קרקע כל שהוא, כתובתה קיימת. ולפי מה שתקנו הגאונים שכתובה נגבית מהמטלטלין, אפילו שייר מטלטלין כל שהוא, כתובתה קיימת, שהרי היא אומרת: ממה ששייר אני גובה, ומתוך שתרד למה ששייר תרד לשאר נכסים ותטרוף. </w:t>
      </w:r>
      <w:r w:rsidRPr="003D1481">
        <w:rPr>
          <w:rFonts w:cs="Arial"/>
          <w:sz w:val="18"/>
          <w:szCs w:val="18"/>
          <w:rtl/>
        </w:rPr>
        <w:t>הגה: מי שצוה לתת לבניו כך וכך, או לאחרים, וצוה כך לפני אשתו, ושתקה, י"א שצריכה לקיים (מרדכי ריש אלמנה ניזונית בשם ראב"ן ובפרק מי שמת). ויש חולקים (מרדכי פ' י"נ בשם הר"ם). ולכולי עלמא אם אמרה למקצת דבריו אין, ומקצת דבריו שתקה, דלא הוי מחילה במה ששתקה, אבל במה שאמרה אין, צריכה לקיים (פסקי מהרא"י סימן פ"ו). ואינה יכולה לומר שעשתה שלא לטרוף דעתו (מהרי"ו סימן י"ט). ואם קבלה קנין לקיים מתנותיו, ואחר כך אומרת שלא מחלה כתובתה ומה שקבלה קנין משום שהנכסים היו בידה וברשותה, הדין עמה וגובאת כתובתה (ריב"ש סימן רמ"ז /רמ"ד/).</w:t>
      </w:r>
    </w:p>
    <w:p w14:paraId="56E355BB" w14:textId="77777777" w:rsidR="002E5BAD" w:rsidRPr="007A3469" w:rsidRDefault="002E5BAD" w:rsidP="002E5BAD">
      <w:pPr>
        <w:rPr>
          <w:rtl/>
        </w:rPr>
      </w:pPr>
    </w:p>
    <w:p w14:paraId="6A5CBB13" w14:textId="77777777" w:rsidR="002E5BAD" w:rsidRDefault="002E5BAD" w:rsidP="002E5BAD">
      <w:pPr>
        <w:pStyle w:val="1"/>
        <w:rPr>
          <w:rtl/>
        </w:rPr>
        <w:sectPr w:rsidR="002E5BAD" w:rsidSect="00A347B3">
          <w:headerReference w:type="default" r:id="rId63"/>
          <w:footnotePr>
            <w:numRestart w:val="eachPage"/>
          </w:footnotePr>
          <w:pgSz w:w="11906" w:h="16838"/>
          <w:pgMar w:top="720" w:right="1134" w:bottom="720" w:left="1134" w:header="0" w:footer="0" w:gutter="0"/>
          <w:cols w:space="720"/>
          <w:bidi/>
          <w:rtlGutter/>
          <w:docGrid w:linePitch="360"/>
        </w:sectPr>
      </w:pPr>
    </w:p>
    <w:p w14:paraId="0281C76F" w14:textId="77777777" w:rsidR="002E5BAD" w:rsidRDefault="002E5BAD" w:rsidP="002E5BAD">
      <w:pPr>
        <w:pStyle w:val="1"/>
        <w:rPr>
          <w:rtl/>
        </w:rPr>
      </w:pPr>
      <w:r>
        <w:rPr>
          <w:rFonts w:hint="cs"/>
          <w:rtl/>
        </w:rPr>
        <w:lastRenderedPageBreak/>
        <w:t>סימן קז:</w:t>
      </w:r>
      <w:r w:rsidRPr="00C12B74">
        <w:rPr>
          <w:rtl/>
        </w:rPr>
        <w:t xml:space="preserve"> </w:t>
      </w:r>
      <w:r>
        <w:rPr>
          <w:rFonts w:cs="Arial"/>
          <w:rtl/>
        </w:rPr>
        <w:t xml:space="preserve">הכותב כל נכסיו לאשתו אם קנתה, ויצא עליו שטר חוב, ובו י' סעיפים. </w:t>
      </w:r>
    </w:p>
    <w:p w14:paraId="47CCA6A5" w14:textId="77777777" w:rsidR="002E5BAD" w:rsidRDefault="002E5BAD" w:rsidP="002E5BAD">
      <w:pPr>
        <w:pStyle w:val="2"/>
        <w:rPr>
          <w:rtl/>
        </w:rPr>
      </w:pPr>
      <w:r>
        <w:rPr>
          <w:rtl/>
        </w:rPr>
        <w:t>סעיף א</w:t>
      </w:r>
    </w:p>
    <w:p w14:paraId="1121E01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9D814E" w14:textId="77777777" w:rsidR="002E5BAD" w:rsidRDefault="002E5BAD" w:rsidP="002E5BAD">
      <w:pPr>
        <w:rPr>
          <w:rtl/>
        </w:rPr>
      </w:pPr>
      <w:r>
        <w:rPr>
          <w:rFonts w:cs="Arial"/>
          <w:rtl/>
        </w:rPr>
        <w:t xml:space="preserve">הכותב כל נכסיו לאשתו, בין בריא בין שכיב מרע, אף על פי שקנו מידו, לא עשאה אלא אפוטרופא על יורשיו, בין שהיו יורשיו בניו ממנה או מאשה אחרת או אחיו, או שאר יורשין. ואם שייר כל שהוא, בין קרקע בין מטלטלין, קנתה כל מה שכתב לה. (בין כך ובין כך לא אבדה כתובתה) (טור). </w:t>
      </w:r>
    </w:p>
    <w:p w14:paraId="44766FB8" w14:textId="77777777" w:rsidR="002E5BAD" w:rsidRDefault="002E5BAD" w:rsidP="002E5BAD">
      <w:pPr>
        <w:pStyle w:val="2"/>
        <w:rPr>
          <w:rtl/>
        </w:rPr>
      </w:pPr>
      <w:r>
        <w:rPr>
          <w:rtl/>
        </w:rPr>
        <w:t>סעיף ב</w:t>
      </w:r>
    </w:p>
    <w:p w14:paraId="0EA8AC4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E5EFBD" w14:textId="77777777" w:rsidR="002E5BAD" w:rsidRDefault="002E5BAD" w:rsidP="002E5BAD">
      <w:pPr>
        <w:rPr>
          <w:rtl/>
        </w:rPr>
      </w:pPr>
      <w:r>
        <w:rPr>
          <w:rFonts w:cs="Arial"/>
          <w:rtl/>
        </w:rPr>
        <w:t xml:space="preserve">בד"א, בנשואה. אבל אם כתב כל נכסיו לאשתו ארוסה, או לגרושה, אף על פי שלא שייר כלום, מתנתו קיימת. (ואבדה כתובתה, אא"כ ששייר מקצת נכסים) (ג"ז טור). </w:t>
      </w:r>
    </w:p>
    <w:p w14:paraId="4B2B1E98" w14:textId="77777777" w:rsidR="002E5BAD" w:rsidRDefault="002E5BAD" w:rsidP="002E5BAD">
      <w:pPr>
        <w:pStyle w:val="2"/>
        <w:rPr>
          <w:rtl/>
        </w:rPr>
      </w:pPr>
      <w:r>
        <w:rPr>
          <w:rtl/>
        </w:rPr>
        <w:t>סעיף ג</w:t>
      </w:r>
    </w:p>
    <w:p w14:paraId="50418DA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E410BD" w14:textId="77777777" w:rsidR="002E5BAD" w:rsidRDefault="002E5BAD" w:rsidP="002E5BAD">
      <w:pPr>
        <w:rPr>
          <w:rtl/>
        </w:rPr>
      </w:pPr>
      <w:r>
        <w:rPr>
          <w:rFonts w:cs="Arial"/>
          <w:rtl/>
        </w:rPr>
        <w:t xml:space="preserve">כל אשה שקנתה כל נכסי בעלה במתנה גמורה, איבדה כתובתה ותקרע. לפיכך אם יצא שטר חוב עליו מוקדם למתנה זו, והלכו כל הנכסים בפריעת החוב, תשאר היא בלא כלום ולא תקח בכתובתה שקדמה לחוב, שאומדן דעת הוא שבהנאה שבאה לה בשמועה זו שכתב לה כל נכסיו איבדה כל זכות שיש לה בנכסיו מצד כתובתה בין מאותם שהיו לו בין מאותם שמכר או נתן קודם לכן. אבל אם אחר כך זכה בנכסים, גובה כתובתה מהם. </w:t>
      </w:r>
    </w:p>
    <w:p w14:paraId="31631108" w14:textId="77777777" w:rsidR="002E5BAD" w:rsidRDefault="002E5BAD" w:rsidP="002E5BAD">
      <w:pPr>
        <w:pStyle w:val="2"/>
        <w:rPr>
          <w:rtl/>
        </w:rPr>
      </w:pPr>
      <w:r>
        <w:rPr>
          <w:rtl/>
        </w:rPr>
        <w:t>סעיף ד</w:t>
      </w:r>
    </w:p>
    <w:p w14:paraId="409128D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D7834A" w14:textId="77777777" w:rsidR="002E5BAD" w:rsidRDefault="002E5BAD" w:rsidP="002E5BAD">
      <w:pPr>
        <w:rPr>
          <w:rtl/>
        </w:rPr>
      </w:pPr>
      <w:r>
        <w:rPr>
          <w:rFonts w:cs="Arial"/>
          <w:rtl/>
        </w:rPr>
        <w:t xml:space="preserve">יש מי שאומר דהא דלא הפסידה כתובתה בששייר, היינו כשכותב לה סכום מנכסיו, ואפילו אם הסכום הוא גדול כגון שכתב לה מחציתם או שני שלישים. אבל אם כתב לה כל נכסיו ופירש השיור, אפילו אם שייר הרבה, איבדה כתובתה מנכסים שיש לו, שכבוד שעושה לה שכתב לה כל נכסיו גורם המחילה. </w:t>
      </w:r>
    </w:p>
    <w:p w14:paraId="35D46B8D" w14:textId="77777777" w:rsidR="002E5BAD" w:rsidRDefault="002E5BAD" w:rsidP="002E5BAD">
      <w:pPr>
        <w:pStyle w:val="2"/>
        <w:rPr>
          <w:rtl/>
        </w:rPr>
      </w:pPr>
      <w:r>
        <w:rPr>
          <w:rtl/>
        </w:rPr>
        <w:t>סעיף ה</w:t>
      </w:r>
    </w:p>
    <w:p w14:paraId="312EC682" w14:textId="77777777" w:rsidR="002E5BAD" w:rsidRDefault="002E5BAD" w:rsidP="002E5BAD">
      <w:pPr>
        <w:rPr>
          <w:rtl/>
        </w:rPr>
      </w:pPr>
      <w:r>
        <w:rPr>
          <w:rFonts w:cs="Arial"/>
          <w:rtl/>
        </w:rPr>
        <w:t xml:space="preserve">יש מי שאומר שאם הוברר הדבר שהערים במתכוין כדי להפסידה, לא איבדה כתובתה. </w:t>
      </w:r>
    </w:p>
    <w:p w14:paraId="6A822B3C" w14:textId="77777777" w:rsidR="002E5BAD" w:rsidRDefault="002E5BAD" w:rsidP="002E5BAD">
      <w:pPr>
        <w:pStyle w:val="2"/>
        <w:rPr>
          <w:rtl/>
        </w:rPr>
      </w:pPr>
      <w:r>
        <w:rPr>
          <w:rtl/>
        </w:rPr>
        <w:t>סעיף ו</w:t>
      </w:r>
    </w:p>
    <w:p w14:paraId="1EC19DF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D638FF" w14:textId="77777777" w:rsidR="002E5BAD" w:rsidRDefault="002E5BAD" w:rsidP="002E5BAD">
      <w:pPr>
        <w:rPr>
          <w:rtl/>
        </w:rPr>
      </w:pPr>
      <w:r>
        <w:rPr>
          <w:rFonts w:cs="Arial"/>
          <w:rtl/>
        </w:rPr>
        <w:t xml:space="preserve">היו לו שתי נשים וכתב כל נכסיו לשתיהן, לא קנתה שום אחת מהן, ושתיהן אפוטרופסות. אבל אם כתב חצי נכסי לאשתי פלונית וחצי נכסי לאשתי פלונית, הראשונה קנתה שהרי שייר, והשנייה לא קנתה. </w:t>
      </w:r>
    </w:p>
    <w:p w14:paraId="29553274" w14:textId="77777777" w:rsidR="002E5BAD" w:rsidRDefault="002E5BAD" w:rsidP="002E5BAD">
      <w:pPr>
        <w:pStyle w:val="2"/>
        <w:rPr>
          <w:rtl/>
        </w:rPr>
      </w:pPr>
      <w:r>
        <w:rPr>
          <w:rtl/>
        </w:rPr>
        <w:t>סעיף ז</w:t>
      </w:r>
    </w:p>
    <w:p w14:paraId="447D5F3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BB6B7F" w14:textId="77777777" w:rsidR="002E5BAD" w:rsidRDefault="002E5BAD" w:rsidP="002E5BAD">
      <w:pPr>
        <w:rPr>
          <w:rtl/>
        </w:rPr>
      </w:pPr>
      <w:r>
        <w:rPr>
          <w:rFonts w:cs="Arial"/>
          <w:rtl/>
        </w:rPr>
        <w:t xml:space="preserve">כתב כל נכסיו לאשתו ולבנו, אשתו קנתה החצי, ובנו לא קנה, אלא הוא אפוטרופוס. ויש מי שאומר ששניהם אפוטרופסים. הגה: היה לו בן ואשה, ואמר: כך וכך נכסים לבני והשאר לאשתי, ודאי נתכוין למתנה גמורה. דאם היה רוצה לעשות אפוטרופוס, לא היה נותן המקצת לבן, שהרי הכל שלו (ב"י בשם תשובת רב האי). </w:t>
      </w:r>
    </w:p>
    <w:p w14:paraId="6917B3C9" w14:textId="77777777" w:rsidR="002E5BAD" w:rsidRDefault="002E5BAD" w:rsidP="002E5BAD">
      <w:pPr>
        <w:pStyle w:val="2"/>
        <w:rPr>
          <w:rtl/>
        </w:rPr>
      </w:pPr>
      <w:r>
        <w:rPr>
          <w:rtl/>
        </w:rPr>
        <w:lastRenderedPageBreak/>
        <w:t>סעיף ח</w:t>
      </w:r>
    </w:p>
    <w:p w14:paraId="4D591F4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10D667" w14:textId="77777777" w:rsidR="002E5BAD" w:rsidRDefault="002E5BAD" w:rsidP="002E5BAD">
      <w:pPr>
        <w:rPr>
          <w:rtl/>
        </w:rPr>
      </w:pPr>
      <w:r>
        <w:rPr>
          <w:rFonts w:cs="Arial"/>
          <w:rtl/>
        </w:rPr>
        <w:t xml:space="preserve">כתבם לאשתו ולאחר, האחר קנה החצי, ואשתו הוי אפוטרופוס בשאר וכל היכא שיש להוכיח מתוך השטר דלא נתכוין לאפוטרופא אלא למתנה גמורה, הויא מתנה. </w:t>
      </w:r>
    </w:p>
    <w:p w14:paraId="73FE2CCB" w14:textId="77777777" w:rsidR="002E5BAD" w:rsidRDefault="002E5BAD" w:rsidP="002E5BAD">
      <w:pPr>
        <w:pStyle w:val="2"/>
        <w:rPr>
          <w:rtl/>
        </w:rPr>
      </w:pPr>
      <w:r>
        <w:rPr>
          <w:rtl/>
        </w:rPr>
        <w:t>סעיף ט</w:t>
      </w:r>
    </w:p>
    <w:p w14:paraId="79095FD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AF34FD" w14:textId="77777777" w:rsidR="002E5BAD" w:rsidRDefault="002E5BAD" w:rsidP="002E5BAD">
      <w:pPr>
        <w:rPr>
          <w:rtl/>
        </w:rPr>
      </w:pPr>
      <w:r>
        <w:rPr>
          <w:rFonts w:cs="Arial"/>
          <w:rtl/>
        </w:rPr>
        <w:t xml:space="preserve">אם אמר: אשתי תמשול בכל הנכסים, אינו לשון מתנה אלא לשון אפוטרופוס. (מי שכתב נכסיו לאשתו ואחריה ליורשיו, הוי מתנה ולא אפוטרופסות) (הגהות מרדכי דב"ב). </w:t>
      </w:r>
    </w:p>
    <w:p w14:paraId="1790C56C" w14:textId="77777777" w:rsidR="002E5BAD" w:rsidRDefault="002E5BAD" w:rsidP="002E5BAD">
      <w:pPr>
        <w:pStyle w:val="2"/>
        <w:rPr>
          <w:rtl/>
        </w:rPr>
      </w:pPr>
      <w:r>
        <w:rPr>
          <w:rtl/>
        </w:rPr>
        <w:t>סעיף י</w:t>
      </w:r>
    </w:p>
    <w:p w14:paraId="27F28F4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6FAF33" w14:textId="77777777" w:rsidR="002E5BAD" w:rsidRPr="007A3469" w:rsidRDefault="002E5BAD" w:rsidP="002E5BAD">
      <w:pPr>
        <w:rPr>
          <w:rtl/>
        </w:rPr>
        <w:sectPr w:rsidR="002E5BAD" w:rsidRPr="007A3469" w:rsidSect="00A347B3">
          <w:headerReference w:type="default" r:id="rId64"/>
          <w:footnotePr>
            <w:numRestart w:val="eachPage"/>
          </w:footnotePr>
          <w:pgSz w:w="11906" w:h="16838"/>
          <w:pgMar w:top="720" w:right="1134" w:bottom="720" w:left="1134" w:header="0" w:footer="0" w:gutter="0"/>
          <w:cols w:space="720"/>
          <w:bidi/>
          <w:rtlGutter/>
          <w:docGrid w:linePitch="360"/>
        </w:sectPr>
      </w:pPr>
      <w:r>
        <w:rPr>
          <w:rFonts w:cs="Arial"/>
          <w:rtl/>
        </w:rPr>
        <w:t>אם אמר: תטול בתי פלונית חמשים זהובים ופלונית בתי חמשים זהובים, והיו לו שלש בנות ואשה אחת, אמרו לו: ואשתך מה תהא עליה, אמר: השאר שלה, של אשתו הוי מתנה גמורה כיון שהעמיד ירושת התורה אפילו באחד מיורשיו. (צוה לתת מנכסיו לצדקה הוי שיור. ויש חולקים) (ב' הדעות בהגהות מרדכי דב"ב).</w:t>
      </w:r>
    </w:p>
    <w:p w14:paraId="1AA0FC8A" w14:textId="77777777" w:rsidR="002E5BAD" w:rsidRDefault="002E5BAD" w:rsidP="002E5BAD">
      <w:pPr>
        <w:pStyle w:val="1"/>
        <w:rPr>
          <w:rtl/>
        </w:rPr>
      </w:pPr>
      <w:r>
        <w:rPr>
          <w:rFonts w:hint="cs"/>
          <w:rtl/>
        </w:rPr>
        <w:lastRenderedPageBreak/>
        <w:t>סימן קח:</w:t>
      </w:r>
      <w:r w:rsidRPr="00C12B74">
        <w:rPr>
          <w:rtl/>
        </w:rPr>
        <w:t xml:space="preserve"> </w:t>
      </w:r>
      <w:r>
        <w:rPr>
          <w:rFonts w:cs="Arial"/>
          <w:rtl/>
        </w:rPr>
        <w:t xml:space="preserve">דין שכיב מרע שאמר: תטול אשתי כאחד מן הבנים, ובו ג' סעיפים. </w:t>
      </w:r>
    </w:p>
    <w:p w14:paraId="2D04F8C6" w14:textId="77777777" w:rsidR="002E5BAD" w:rsidRDefault="002E5BAD" w:rsidP="002E5BAD">
      <w:pPr>
        <w:pStyle w:val="2"/>
        <w:rPr>
          <w:rtl/>
        </w:rPr>
      </w:pPr>
      <w:r>
        <w:rPr>
          <w:rtl/>
        </w:rPr>
        <w:t>סעיף א</w:t>
      </w:r>
    </w:p>
    <w:p w14:paraId="32C8981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7EEA11" w14:textId="77777777" w:rsidR="002E5BAD" w:rsidRDefault="002E5BAD" w:rsidP="002E5BAD">
      <w:pPr>
        <w:rPr>
          <w:rtl/>
        </w:rPr>
      </w:pPr>
      <w:r>
        <w:rPr>
          <w:rFonts w:cs="Arial"/>
          <w:rtl/>
        </w:rPr>
        <w:t xml:space="preserve">שכיב מרע שאמר (או בריא שקנו ממנו) (רשב"ם פרק יש נוחלין) תטול אשתי כאחד מן הבנים, נוטלת כאחד מבניו יתר על כתובתה. ואם נולדו לו בנים אחר הצואה, מצטרפים עם אלו שהיו בשעת הצואה ונוטלת חלק עם כלם. כיצד, היו לו שלשה בנים בשעת הצואה, ולאחר זמן נולדו לו שנים, נוטלת כאחד מחמשה שהוא שתות כל הממון, ואינה נוחלת עמהן אלא בנכסים שהיו לו בשעת צוואה, אבל נכסים שבאו לו אחר זמן הצוואה, אין לה בהם חלק, שאין אדם מקנה דבר שלא בא לרשותו. הגה: היה ספק בנכסים אם היו בשעת הצואה או לא, על האשה להביא ראיה או לא תטול חלק בהם (ב"י בשם הריטב"א פ' יש נוחלין). </w:t>
      </w:r>
    </w:p>
    <w:p w14:paraId="23E66DDC" w14:textId="77777777" w:rsidR="002E5BAD" w:rsidRDefault="002E5BAD" w:rsidP="002E5BAD">
      <w:pPr>
        <w:pStyle w:val="2"/>
        <w:rPr>
          <w:rtl/>
        </w:rPr>
      </w:pPr>
      <w:r>
        <w:rPr>
          <w:rtl/>
        </w:rPr>
        <w:t>סעיף ב</w:t>
      </w:r>
    </w:p>
    <w:p w14:paraId="5A11690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F76F7C" w14:textId="77777777" w:rsidR="002E5BAD" w:rsidRDefault="002E5BAD" w:rsidP="002E5BAD">
      <w:pPr>
        <w:rPr>
          <w:rtl/>
        </w:rPr>
      </w:pPr>
      <w:r>
        <w:rPr>
          <w:rFonts w:cs="Arial"/>
          <w:rtl/>
        </w:rPr>
        <w:t xml:space="preserve">אם היו הבנים מרובים, ונתמעטו, נוטלת חלק כאחד מהבנים שבשעת מיתה. ויש מי שנסתפק בזה. </w:t>
      </w:r>
    </w:p>
    <w:p w14:paraId="777CD37E" w14:textId="77777777" w:rsidR="002E5BAD" w:rsidRDefault="002E5BAD" w:rsidP="002E5BAD">
      <w:pPr>
        <w:pStyle w:val="2"/>
        <w:rPr>
          <w:rtl/>
        </w:rPr>
      </w:pPr>
      <w:r>
        <w:rPr>
          <w:rtl/>
        </w:rPr>
        <w:t>סעיף ג</w:t>
      </w:r>
    </w:p>
    <w:p w14:paraId="0ACA74C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ED937D" w14:textId="77777777" w:rsidR="002E5BAD" w:rsidRPr="007A3469" w:rsidRDefault="002E5BAD" w:rsidP="002E5BAD">
      <w:pPr>
        <w:rPr>
          <w:rtl/>
        </w:rPr>
        <w:sectPr w:rsidR="002E5BAD" w:rsidRPr="007A3469" w:rsidSect="00A347B3">
          <w:headerReference w:type="default" r:id="rId65"/>
          <w:footnotePr>
            <w:numRestart w:val="eachPage"/>
          </w:footnotePr>
          <w:pgSz w:w="11906" w:h="16838"/>
          <w:pgMar w:top="720" w:right="1134" w:bottom="720" w:left="1134" w:header="0" w:footer="0" w:gutter="0"/>
          <w:cols w:space="720"/>
          <w:bidi/>
          <w:rtlGutter/>
          <w:docGrid w:linePitch="360"/>
        </w:sectPr>
      </w:pPr>
      <w:r>
        <w:rPr>
          <w:rFonts w:cs="Arial"/>
          <w:rtl/>
        </w:rPr>
        <w:t>אם מתו כל הבנים, רואים כמה היו בשעת הצואה, ונוטלת חלק הראוי לאחד מהם, והשאר ליורשיו. הגה: הכותב לבתו ולחתנו שיטלו חלק כאחד מבניו, הוי כאלו כתב כך לאשתו ואינו נוטל אלא בנכסים שהיו לו בשעת הכתיבה (מרדכי פ' יש נוחלין). ומה שנוהגין בשטר חצי זכר שכותבים עכשיו לבנות שנוטלין בכל אשר ימצא לו כמו הזכרים, משום דכותב להם דרך הודאה שחייב סך מה, ולא יפטר אלא כשנותן להם כמו הזכרים, ובדרך זה יכול להקנות אף מה שלא ברשותו, הן ראוי הן מוחזק (ד"ע). הנותן מתנה לאשתו או לבנותיו, אסור להערים אחר כך וליתן מנכסיו לבניו או לאשתו כדי להפקיע ממקבל מתנה מה שראוי לו (כן נראה מתשו' מהרי"ל סימן פ"ח).</w:t>
      </w:r>
    </w:p>
    <w:p w14:paraId="1C3FDC8F" w14:textId="77777777" w:rsidR="002E5BAD" w:rsidRDefault="002E5BAD" w:rsidP="002E5BAD">
      <w:pPr>
        <w:pStyle w:val="1"/>
        <w:rPr>
          <w:rtl/>
        </w:rPr>
      </w:pPr>
      <w:r>
        <w:rPr>
          <w:rFonts w:hint="cs"/>
          <w:rtl/>
        </w:rPr>
        <w:lastRenderedPageBreak/>
        <w:t>סימן קט:</w:t>
      </w:r>
      <w:r w:rsidRPr="00C12B74">
        <w:rPr>
          <w:rtl/>
        </w:rPr>
        <w:t xml:space="preserve"> </w:t>
      </w:r>
      <w:r>
        <w:rPr>
          <w:rFonts w:cs="Arial"/>
          <w:rtl/>
        </w:rPr>
        <w:t xml:space="preserve">שכיב מרע שאמר: תנו מאתים זהובים לאשתי בכתובתה, ובו ד' סעיפים. </w:t>
      </w:r>
    </w:p>
    <w:p w14:paraId="58FD0BA0" w14:textId="77777777" w:rsidR="002E5BAD" w:rsidRDefault="002E5BAD" w:rsidP="002E5BAD">
      <w:pPr>
        <w:pStyle w:val="2"/>
        <w:rPr>
          <w:rtl/>
        </w:rPr>
      </w:pPr>
      <w:r>
        <w:rPr>
          <w:rtl/>
        </w:rPr>
        <w:t>סעיף א</w:t>
      </w:r>
    </w:p>
    <w:p w14:paraId="7EB3E35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26A314" w14:textId="77777777" w:rsidR="002E5BAD" w:rsidRDefault="002E5BAD" w:rsidP="002E5BAD">
      <w:pPr>
        <w:rPr>
          <w:rtl/>
        </w:rPr>
      </w:pPr>
      <w:r>
        <w:rPr>
          <w:rFonts w:cs="Arial"/>
          <w:rtl/>
        </w:rPr>
        <w:t xml:space="preserve">שכיב מרע שאמר: תנו מאתים זוז לאשתי כראוי לה, נוטלתן לבד מכתובתה. ואם אמר: תטול מאתים זוז בכתובתה, לא תטול שתיהן, אלא ידה על העליונה, אם ר' זוז יותר, נוטלתן. ואם כתובתה יותר, נוטלתן. </w:t>
      </w:r>
    </w:p>
    <w:p w14:paraId="234B21F1" w14:textId="77777777" w:rsidR="002E5BAD" w:rsidRDefault="002E5BAD" w:rsidP="002E5BAD">
      <w:pPr>
        <w:pStyle w:val="2"/>
        <w:rPr>
          <w:rtl/>
        </w:rPr>
      </w:pPr>
      <w:r>
        <w:rPr>
          <w:rtl/>
        </w:rPr>
        <w:t>סעיף ב</w:t>
      </w:r>
    </w:p>
    <w:p w14:paraId="1461CEB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43930E" w14:textId="77777777" w:rsidR="002E5BAD" w:rsidRDefault="002E5BAD" w:rsidP="002E5BAD">
      <w:pPr>
        <w:rPr>
          <w:rtl/>
        </w:rPr>
      </w:pPr>
      <w:r>
        <w:rPr>
          <w:rFonts w:cs="Arial"/>
          <w:rtl/>
        </w:rPr>
        <w:t xml:space="preserve">הא דאמרינן דכי אמר בכתובתה ידה על העליונה, בשלא חלק נכסיו. אבל אם חלק נכסיו, נתבאר משפטו בסימן ק"ו. </w:t>
      </w:r>
    </w:p>
    <w:p w14:paraId="466D3463" w14:textId="77777777" w:rsidR="002E5BAD" w:rsidRDefault="002E5BAD" w:rsidP="002E5BAD">
      <w:pPr>
        <w:pStyle w:val="2"/>
        <w:rPr>
          <w:rtl/>
        </w:rPr>
      </w:pPr>
      <w:r>
        <w:rPr>
          <w:rtl/>
        </w:rPr>
        <w:t>סעיף ג</w:t>
      </w:r>
    </w:p>
    <w:p w14:paraId="667F8B8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19E5BC" w14:textId="77777777" w:rsidR="002E5BAD" w:rsidRDefault="002E5BAD" w:rsidP="002E5BAD">
      <w:pPr>
        <w:rPr>
          <w:rtl/>
        </w:rPr>
      </w:pPr>
      <w:r>
        <w:rPr>
          <w:rFonts w:cs="Arial"/>
          <w:rtl/>
        </w:rPr>
        <w:t xml:space="preserve">אם אמר: תנו מנה לאשתי, סתם, יש מי שאומר דידה על העליונה. ויש מי שאומר דהוי מתנה לבד מכתובתה. (ואם אמר בפירוש: תנו לה במתנה, נוטלתן לכולי עלמא לבד מכתובתה) (ריב"ש סי' ת"פ). </w:t>
      </w:r>
    </w:p>
    <w:p w14:paraId="6A8F2FA4" w14:textId="77777777" w:rsidR="002E5BAD" w:rsidRDefault="002E5BAD" w:rsidP="002E5BAD">
      <w:pPr>
        <w:pStyle w:val="2"/>
        <w:rPr>
          <w:rtl/>
        </w:rPr>
      </w:pPr>
      <w:r>
        <w:rPr>
          <w:rtl/>
        </w:rPr>
        <w:t>סעיף ד</w:t>
      </w:r>
    </w:p>
    <w:p w14:paraId="1223985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975149" w14:textId="77777777" w:rsidR="002E5BAD" w:rsidRPr="007A3469" w:rsidRDefault="002E5BAD" w:rsidP="002E5BAD">
      <w:pPr>
        <w:rPr>
          <w:rtl/>
        </w:rPr>
      </w:pPr>
      <w:r>
        <w:rPr>
          <w:rFonts w:cs="Arial"/>
          <w:rtl/>
        </w:rPr>
        <w:t>שכיב מרע שצוה שיתנו לאשתו בגדיה, נוטלת כל בגדיה בין של חול בין של שבת. הגה: ויש אומרים דאם נתן לה במתנה בשעת מותו, אף צמידים שבבגדיה בכלל. אבל אם כתב לה כך בשעה שנשאת, אין צמידים בכלל (מהרי"ו סימן קמ"ד). ואם אמר: מלבושיה, גם הסרבל ואונקלי ומטפחות וסידר בכלל, דבכל דבר שאדם לובש ומתעטף, נקרא מלבוש.</w:t>
      </w:r>
    </w:p>
    <w:p w14:paraId="1A165302" w14:textId="77777777" w:rsidR="002E5BAD" w:rsidRDefault="002E5BAD" w:rsidP="002E5BAD">
      <w:pPr>
        <w:pStyle w:val="1"/>
        <w:rPr>
          <w:rtl/>
        </w:rPr>
        <w:sectPr w:rsidR="002E5BAD" w:rsidSect="00A347B3">
          <w:headerReference w:type="default" r:id="rId66"/>
          <w:footnotePr>
            <w:numRestart w:val="eachPage"/>
          </w:footnotePr>
          <w:pgSz w:w="11906" w:h="16838"/>
          <w:pgMar w:top="720" w:right="1134" w:bottom="720" w:left="1134" w:header="0" w:footer="0" w:gutter="0"/>
          <w:cols w:space="720"/>
          <w:bidi/>
          <w:rtlGutter/>
          <w:docGrid w:linePitch="360"/>
        </w:sectPr>
      </w:pPr>
    </w:p>
    <w:p w14:paraId="657B465F" w14:textId="77777777" w:rsidR="002E5BAD" w:rsidRDefault="002E5BAD" w:rsidP="002E5BAD">
      <w:pPr>
        <w:pStyle w:val="1"/>
        <w:rPr>
          <w:rtl/>
        </w:rPr>
      </w:pPr>
      <w:r>
        <w:rPr>
          <w:rFonts w:hint="cs"/>
          <w:rtl/>
        </w:rPr>
        <w:lastRenderedPageBreak/>
        <w:t>סימן קי:</w:t>
      </w:r>
      <w:r w:rsidRPr="00C12B74">
        <w:rPr>
          <w:rtl/>
        </w:rPr>
        <w:t xml:space="preserve"> </w:t>
      </w:r>
      <w:r>
        <w:rPr>
          <w:rFonts w:cs="Arial"/>
          <w:rtl/>
        </w:rPr>
        <w:t xml:space="preserve">שכותבין שובר לאשה אף על פי שאין בעלה עמה, ובו ב' סעיפים. </w:t>
      </w:r>
    </w:p>
    <w:p w14:paraId="454791C3" w14:textId="77777777" w:rsidR="002E5BAD" w:rsidRDefault="002E5BAD" w:rsidP="002E5BAD">
      <w:pPr>
        <w:pStyle w:val="2"/>
        <w:rPr>
          <w:rtl/>
        </w:rPr>
      </w:pPr>
      <w:r>
        <w:rPr>
          <w:rtl/>
        </w:rPr>
        <w:t>סעיף א</w:t>
      </w:r>
    </w:p>
    <w:p w14:paraId="65AFCB3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13F3F8" w14:textId="77777777" w:rsidR="002E5BAD" w:rsidRDefault="002E5BAD" w:rsidP="002E5BAD">
      <w:pPr>
        <w:rPr>
          <w:rtl/>
        </w:rPr>
      </w:pPr>
      <w:r>
        <w:rPr>
          <w:rFonts w:cs="Arial"/>
          <w:rtl/>
        </w:rPr>
        <w:t xml:space="preserve">כותבין שובר לאשה אף על פי שאין בעלה עמה, ובלבד שיהא מכירה. והבעל נותן את שכר הסופר. הגה: ותלמיד חכם שאין דרכו לדקדק בנשים, נאמן אח"כ לומר שטעה וכתב שובר לאשה אחרת על שם זו כי טעה בה. (טעם זה מפורש גמרא בפרק גט פשוט). </w:t>
      </w:r>
    </w:p>
    <w:p w14:paraId="2C8335A8" w14:textId="77777777" w:rsidR="002E5BAD" w:rsidRDefault="002E5BAD" w:rsidP="002E5BAD">
      <w:pPr>
        <w:pStyle w:val="2"/>
        <w:rPr>
          <w:rtl/>
        </w:rPr>
      </w:pPr>
      <w:r>
        <w:rPr>
          <w:rtl/>
        </w:rPr>
        <w:t>סעיף ב</w:t>
      </w:r>
    </w:p>
    <w:p w14:paraId="40AE293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705C93" w14:textId="77777777" w:rsidR="002E5BAD" w:rsidRPr="007A3469" w:rsidRDefault="002E5BAD" w:rsidP="002E5BAD">
      <w:pPr>
        <w:rPr>
          <w:rtl/>
        </w:rPr>
        <w:sectPr w:rsidR="002E5BAD" w:rsidRPr="007A3469" w:rsidSect="00A347B3">
          <w:headerReference w:type="default" r:id="rId67"/>
          <w:footnotePr>
            <w:numRestart w:val="eachPage"/>
          </w:footnotePr>
          <w:pgSz w:w="11906" w:h="16838"/>
          <w:pgMar w:top="720" w:right="1134" w:bottom="720" w:left="1134" w:header="0" w:footer="0" w:gutter="0"/>
          <w:cols w:space="720"/>
          <w:bidi/>
          <w:rtlGutter/>
          <w:docGrid w:linePitch="360"/>
        </w:sectPr>
      </w:pPr>
      <w:r>
        <w:rPr>
          <w:rFonts w:cs="Arial"/>
          <w:rtl/>
        </w:rPr>
        <w:t>המוצא שובר על שם האשה שנפרעה מכתובתה, בזמן שהאשה מודה שנתנתו לבעל, יחזירנו לו. ואם אינה מודה, אלא אומרת: ממנו נפל, לא יתננו לא לאיש ולא לאשה.</w:t>
      </w:r>
    </w:p>
    <w:p w14:paraId="159C70AF" w14:textId="77777777" w:rsidR="002E5BAD" w:rsidRDefault="002E5BAD" w:rsidP="002E5BAD">
      <w:pPr>
        <w:pStyle w:val="1"/>
        <w:rPr>
          <w:rtl/>
        </w:rPr>
      </w:pPr>
      <w:r>
        <w:rPr>
          <w:rFonts w:hint="cs"/>
          <w:rtl/>
        </w:rPr>
        <w:lastRenderedPageBreak/>
        <w:t>סימן קיא:</w:t>
      </w:r>
      <w:r w:rsidRPr="00C12B74">
        <w:rPr>
          <w:rtl/>
        </w:rPr>
        <w:t xml:space="preserve"> </w:t>
      </w:r>
      <w:r>
        <w:rPr>
          <w:rFonts w:cs="Arial"/>
          <w:rtl/>
        </w:rPr>
        <w:t xml:space="preserve">דין כתובת בנין דכרין, ובו י"ז סעיפים. </w:t>
      </w:r>
    </w:p>
    <w:p w14:paraId="2D9BB807" w14:textId="77777777" w:rsidR="002E5BAD" w:rsidRDefault="002E5BAD" w:rsidP="002E5BAD">
      <w:pPr>
        <w:pStyle w:val="2"/>
        <w:rPr>
          <w:rtl/>
        </w:rPr>
      </w:pPr>
      <w:r>
        <w:rPr>
          <w:rtl/>
        </w:rPr>
        <w:t>סעיף א</w:t>
      </w:r>
      <w:r>
        <w:rPr>
          <w:rFonts w:hint="cs"/>
          <w:rtl/>
        </w:rPr>
        <w:t>: כתובת בנין דכרין.</w:t>
      </w:r>
    </w:p>
    <w:p w14:paraId="49EF9ED6" w14:textId="77777777" w:rsidR="002E5BAD" w:rsidRPr="003E4BB7" w:rsidRDefault="002E5BAD" w:rsidP="002E5BAD">
      <w:pPr>
        <w:rPr>
          <w:rtl/>
        </w:rPr>
      </w:pPr>
      <w:r w:rsidRPr="003E4BB7">
        <w:rPr>
          <w:rFonts w:cs="Arial" w:hint="cs"/>
          <w:b/>
          <w:bCs/>
          <w:rtl/>
        </w:rPr>
        <w:t xml:space="preserve">כתובות </w:t>
      </w:r>
      <w:r>
        <w:rPr>
          <w:rFonts w:cs="Arial" w:hint="cs"/>
          <w:b/>
          <w:bCs/>
          <w:rtl/>
        </w:rPr>
        <w:t>נב</w:t>
      </w:r>
      <w:r>
        <w:rPr>
          <w:rStyle w:val="a7"/>
          <w:rFonts w:cs="Arial"/>
          <w:b/>
          <w:bCs/>
          <w:rtl/>
        </w:rPr>
        <w:footnoteReference w:id="2709"/>
      </w:r>
      <w:r w:rsidRPr="003E4BB7">
        <w:rPr>
          <w:rFonts w:cs="Arial" w:hint="cs"/>
          <w:b/>
          <w:bCs/>
          <w:rtl/>
        </w:rPr>
        <w:t xml:space="preserve"> </w:t>
      </w:r>
      <w:r>
        <w:rPr>
          <w:rFonts w:cs="Arial" w:hint="cs"/>
          <w:b/>
          <w:bCs/>
          <w:sz w:val="16"/>
          <w:szCs w:val="16"/>
          <w:rtl/>
        </w:rPr>
        <w:t xml:space="preserve">(פ' נערה שנתפתתה) </w:t>
      </w:r>
      <w:r w:rsidRPr="003E4BB7">
        <w:rPr>
          <w:rFonts w:cs="Arial" w:hint="cs"/>
          <w:b/>
          <w:bCs/>
          <w:rtl/>
        </w:rPr>
        <w:t>ע"</w:t>
      </w:r>
      <w:r>
        <w:rPr>
          <w:rFonts w:cs="Arial" w:hint="cs"/>
          <w:b/>
          <w:bCs/>
          <w:rtl/>
        </w:rPr>
        <w:t>ב</w:t>
      </w:r>
      <w:r w:rsidRPr="003E4BB7">
        <w:rPr>
          <w:rFonts w:cs="Arial" w:hint="cs"/>
          <w:b/>
          <w:bCs/>
          <w:rtl/>
        </w:rPr>
        <w:t>:</w:t>
      </w:r>
      <w:r>
        <w:rPr>
          <w:rFonts w:cs="Arial" w:hint="cs"/>
          <w:rtl/>
        </w:rPr>
        <w:t xml:space="preserve"> </w:t>
      </w:r>
      <w:r w:rsidRPr="003E4BB7">
        <w:rPr>
          <w:rFonts w:cs="Arial"/>
          <w:u w:val="double"/>
          <w:rtl/>
        </w:rPr>
        <w:t>מתני'</w:t>
      </w:r>
      <w:r>
        <w:rPr>
          <w:rFonts w:cs="Arial" w:hint="cs"/>
          <w:rtl/>
        </w:rPr>
        <w:t>:</w:t>
      </w:r>
      <w:r w:rsidRPr="007D127A">
        <w:rPr>
          <w:rFonts w:cs="Arial"/>
          <w:rtl/>
        </w:rPr>
        <w:t xml:space="preserve"> לא כתב לה בנין דכרין דיהוו ליכי מינאי, אינון ירתון כסף כתובתיך יתר על חולקהון דעם אחוהון</w:t>
      </w:r>
      <w:r>
        <w:rPr>
          <w:rStyle w:val="a7"/>
          <w:rFonts w:cs="Arial"/>
          <w:rtl/>
        </w:rPr>
        <w:footnoteReference w:id="2710"/>
      </w:r>
      <w:r w:rsidRPr="007D127A">
        <w:rPr>
          <w:rFonts w:cs="Arial"/>
          <w:rtl/>
        </w:rPr>
        <w:t xml:space="preserve"> - חייב, שהוא תנאי ב"ד.</w:t>
      </w:r>
      <w:r>
        <w:rPr>
          <w:rFonts w:cs="Arial" w:hint="cs"/>
          <w:rtl/>
        </w:rPr>
        <w:t>.</w:t>
      </w:r>
      <w:r w:rsidRPr="007D127A">
        <w:rPr>
          <w:rFonts w:cs="Arial"/>
          <w:rtl/>
        </w:rPr>
        <w:t>.</w:t>
      </w:r>
      <w:r w:rsidRPr="005C2F9B">
        <w:rPr>
          <w:rtl/>
        </w:rPr>
        <w:t xml:space="preserve"> </w:t>
      </w:r>
      <w:r>
        <w:rPr>
          <w:rFonts w:cs="Arial" w:hint="cs"/>
          <w:rtl/>
        </w:rPr>
        <w:t xml:space="preserve">      </w:t>
      </w:r>
      <w:r w:rsidRPr="005C2F9B">
        <w:rPr>
          <w:rFonts w:cs="Arial"/>
          <w:u w:val="double"/>
          <w:rtl/>
        </w:rPr>
        <w:t>גמ'</w:t>
      </w:r>
      <w:r>
        <w:rPr>
          <w:rFonts w:cs="Arial" w:hint="cs"/>
          <w:rtl/>
        </w:rPr>
        <w:t>:</w:t>
      </w:r>
      <w:r w:rsidRPr="005C2F9B">
        <w:rPr>
          <w:rFonts w:cs="Arial"/>
          <w:rtl/>
        </w:rPr>
        <w:t xml:space="preserve"> </w:t>
      </w:r>
      <w:r w:rsidRPr="005C2F9B">
        <w:rPr>
          <w:rFonts w:cs="Arial"/>
          <w:u w:val="single"/>
          <w:rtl/>
        </w:rPr>
        <w:t>אמר רבי יוחנן משום רבי שמעון בן יוחאי</w:t>
      </w:r>
      <w:r w:rsidRPr="005C2F9B">
        <w:rPr>
          <w:rFonts w:cs="Arial"/>
          <w:rtl/>
        </w:rPr>
        <w:t>: מפני מה התקינו כתובת בנין דכרין</w:t>
      </w:r>
      <w:r>
        <w:rPr>
          <w:rStyle w:val="a7"/>
          <w:rFonts w:cs="Arial"/>
          <w:rtl/>
        </w:rPr>
        <w:footnoteReference w:id="2711"/>
      </w:r>
      <w:r w:rsidRPr="005C2F9B">
        <w:rPr>
          <w:rFonts w:cs="Arial"/>
          <w:rtl/>
        </w:rPr>
        <w:t>? כדי שיקפוץ אדם ויכתוב לבתו</w:t>
      </w:r>
      <w:r>
        <w:rPr>
          <w:rStyle w:val="a7"/>
          <w:rFonts w:cs="Arial"/>
          <w:rtl/>
        </w:rPr>
        <w:footnoteReference w:id="2712"/>
      </w:r>
      <w:r w:rsidRPr="005C2F9B">
        <w:rPr>
          <w:rFonts w:cs="Arial"/>
          <w:rtl/>
        </w:rPr>
        <w:t xml:space="preserve"> כבנו. ומי איכא מידי, דרחמנא אמר ברא לירות</w:t>
      </w:r>
      <w:r>
        <w:rPr>
          <w:rStyle w:val="a7"/>
          <w:rFonts w:cs="Arial"/>
          <w:rtl/>
        </w:rPr>
        <w:footnoteReference w:id="2713"/>
      </w:r>
      <w:r w:rsidRPr="005C2F9B">
        <w:rPr>
          <w:rFonts w:cs="Arial"/>
          <w:rtl/>
        </w:rPr>
        <w:t xml:space="preserve"> ברתא לא תירות, ואתו רבנן ומתקני דתירות ברתא</w:t>
      </w:r>
      <w:r>
        <w:rPr>
          <w:rStyle w:val="a7"/>
          <w:rFonts w:cs="Arial"/>
          <w:rtl/>
        </w:rPr>
        <w:footnoteReference w:id="2714"/>
      </w:r>
      <w:r w:rsidRPr="005C2F9B">
        <w:rPr>
          <w:rFonts w:cs="Arial"/>
          <w:rtl/>
        </w:rPr>
        <w:t>? הא נמי דאורייתא הוא, דכתיב: קחו נשים והולידו בנים ובנות וקחו לבניכם נשים ואת בנותיכם תנו לאנשים, בשלמא בנים בידיה קיימי</w:t>
      </w:r>
      <w:r>
        <w:rPr>
          <w:rStyle w:val="a7"/>
          <w:rFonts w:cs="Arial"/>
          <w:rtl/>
        </w:rPr>
        <w:footnoteReference w:id="2715"/>
      </w:r>
      <w:r w:rsidRPr="005C2F9B">
        <w:rPr>
          <w:rFonts w:cs="Arial"/>
          <w:rtl/>
        </w:rPr>
        <w:t>, אלא בנתיה מי קיימן בידיה</w:t>
      </w:r>
      <w:r>
        <w:rPr>
          <w:rStyle w:val="a7"/>
          <w:rFonts w:cs="Arial"/>
          <w:rtl/>
        </w:rPr>
        <w:footnoteReference w:id="2716"/>
      </w:r>
      <w:r w:rsidRPr="005C2F9B">
        <w:rPr>
          <w:rFonts w:cs="Arial"/>
          <w:rtl/>
        </w:rPr>
        <w:t xml:space="preserve">? הא קא משמע לן, דנלבשה וניכסה וניתיב לה מידי, כי היכי דקפצי עלה ואתו נסבי לה. ועד כמה? </w:t>
      </w:r>
      <w:r w:rsidRPr="00A811EA">
        <w:rPr>
          <w:rFonts w:cs="Arial"/>
          <w:u w:val="single"/>
          <w:rtl/>
        </w:rPr>
        <w:t>אביי ורבא דאמרי תרוייהו</w:t>
      </w:r>
      <w:r w:rsidRPr="005C2F9B">
        <w:rPr>
          <w:rFonts w:cs="Arial"/>
          <w:rtl/>
        </w:rPr>
        <w:t>: עד לעישור נכסי. ואימא: דאב לירות, דבעל לא לירות</w:t>
      </w:r>
      <w:r>
        <w:rPr>
          <w:rStyle w:val="a7"/>
          <w:rFonts w:cs="Arial"/>
          <w:rtl/>
        </w:rPr>
        <w:footnoteReference w:id="2717"/>
      </w:r>
      <w:r w:rsidRPr="005C2F9B">
        <w:rPr>
          <w:rFonts w:cs="Arial"/>
          <w:rtl/>
        </w:rPr>
        <w:t>! אם כן</w:t>
      </w:r>
      <w:r>
        <w:rPr>
          <w:rStyle w:val="a7"/>
          <w:rFonts w:cs="Arial"/>
          <w:rtl/>
        </w:rPr>
        <w:footnoteReference w:id="2718"/>
      </w:r>
      <w:r w:rsidRPr="005C2F9B">
        <w:rPr>
          <w:rFonts w:cs="Arial"/>
          <w:rtl/>
        </w:rPr>
        <w:t>, אב נמי מימנע ולא כתב</w:t>
      </w:r>
      <w:r>
        <w:rPr>
          <w:rStyle w:val="a7"/>
          <w:rFonts w:cs="Arial"/>
          <w:rtl/>
        </w:rPr>
        <w:footnoteReference w:id="2719"/>
      </w:r>
      <w:r w:rsidRPr="005C2F9B">
        <w:rPr>
          <w:rFonts w:cs="Arial"/>
          <w:rtl/>
        </w:rPr>
        <w:t>. ואימא: היכא דכתב אב לכתוב בעל, היכא דלא כתב אב לא לכתוב בעל</w:t>
      </w:r>
      <w:r>
        <w:rPr>
          <w:rStyle w:val="a7"/>
          <w:rFonts w:cs="Arial"/>
          <w:rtl/>
        </w:rPr>
        <w:footnoteReference w:id="2720"/>
      </w:r>
      <w:r w:rsidRPr="005C2F9B">
        <w:rPr>
          <w:rFonts w:cs="Arial"/>
          <w:rtl/>
        </w:rPr>
        <w:t>! לא פלוג רבנן</w:t>
      </w:r>
      <w:r>
        <w:rPr>
          <w:rStyle w:val="a7"/>
          <w:rFonts w:cs="Arial"/>
          <w:rtl/>
        </w:rPr>
        <w:footnoteReference w:id="2721"/>
      </w:r>
      <w:r w:rsidRPr="005C2F9B">
        <w:rPr>
          <w:rFonts w:cs="Arial"/>
          <w:rtl/>
        </w:rPr>
        <w:t>. בת בין הבנים נמי תירות</w:t>
      </w:r>
      <w:r>
        <w:rPr>
          <w:rStyle w:val="a7"/>
          <w:rFonts w:cs="Arial"/>
          <w:rtl/>
        </w:rPr>
        <w:footnoteReference w:id="2722"/>
      </w:r>
      <w:r w:rsidRPr="005C2F9B">
        <w:rPr>
          <w:rFonts w:cs="Arial"/>
          <w:rtl/>
        </w:rPr>
        <w:t>! כנחלה שויוה רבנן</w:t>
      </w:r>
      <w:r>
        <w:rPr>
          <w:rStyle w:val="a7"/>
          <w:rFonts w:cs="Arial"/>
          <w:rtl/>
        </w:rPr>
        <w:footnoteReference w:id="2723"/>
      </w:r>
      <w:r w:rsidRPr="005C2F9B">
        <w:rPr>
          <w:rFonts w:cs="Arial"/>
          <w:rtl/>
        </w:rPr>
        <w:t>. בת בין הבנות תירות</w:t>
      </w:r>
      <w:r>
        <w:rPr>
          <w:rStyle w:val="a7"/>
          <w:rFonts w:cs="Arial"/>
          <w:rtl/>
        </w:rPr>
        <w:footnoteReference w:id="2724"/>
      </w:r>
      <w:r w:rsidRPr="005C2F9B">
        <w:rPr>
          <w:rFonts w:cs="Arial"/>
          <w:rtl/>
        </w:rPr>
        <w:t>! לא פלוג רבנן</w:t>
      </w:r>
      <w:r>
        <w:rPr>
          <w:rStyle w:val="a7"/>
          <w:rFonts w:cs="Arial"/>
          <w:rtl/>
        </w:rPr>
        <w:footnoteReference w:id="2725"/>
      </w:r>
      <w:r w:rsidRPr="005C2F9B">
        <w:rPr>
          <w:rFonts w:cs="Arial"/>
          <w:rtl/>
        </w:rPr>
        <w:t>. ותיגבי ממטלטלי</w:t>
      </w:r>
      <w:r>
        <w:rPr>
          <w:rStyle w:val="a7"/>
          <w:rFonts w:cs="Arial"/>
          <w:rtl/>
        </w:rPr>
        <w:footnoteReference w:id="2726"/>
      </w:r>
      <w:r w:rsidRPr="005C2F9B">
        <w:rPr>
          <w:rFonts w:cs="Arial"/>
          <w:rtl/>
        </w:rPr>
        <w:t>! ככתובה שויוה רבנן</w:t>
      </w:r>
      <w:r>
        <w:rPr>
          <w:rStyle w:val="a7"/>
          <w:rFonts w:cs="Arial"/>
          <w:rtl/>
        </w:rPr>
        <w:footnoteReference w:id="2727"/>
      </w:r>
      <w:r w:rsidRPr="005C2F9B">
        <w:rPr>
          <w:rFonts w:cs="Arial"/>
          <w:rtl/>
        </w:rPr>
        <w:t>. תטרוף ממשעבדי</w:t>
      </w:r>
      <w:r>
        <w:rPr>
          <w:rStyle w:val="a7"/>
          <w:rFonts w:cs="Arial"/>
          <w:rtl/>
        </w:rPr>
        <w:footnoteReference w:id="2728"/>
      </w:r>
      <w:r w:rsidRPr="005C2F9B">
        <w:rPr>
          <w:rFonts w:cs="Arial"/>
          <w:rtl/>
        </w:rPr>
        <w:t>! ירתון תנן</w:t>
      </w:r>
      <w:r>
        <w:rPr>
          <w:rStyle w:val="a7"/>
          <w:rFonts w:cs="Arial"/>
          <w:rtl/>
        </w:rPr>
        <w:footnoteReference w:id="2729"/>
      </w:r>
      <w:r w:rsidRPr="005C2F9B">
        <w:rPr>
          <w:rFonts w:cs="Arial"/>
          <w:rtl/>
        </w:rPr>
        <w:t>. ואימא: אף על גב דליכא מותר דינר</w:t>
      </w:r>
      <w:r>
        <w:rPr>
          <w:rStyle w:val="a7"/>
          <w:rFonts w:cs="Arial"/>
          <w:rtl/>
        </w:rPr>
        <w:footnoteReference w:id="2730"/>
      </w:r>
      <w:r w:rsidRPr="005C2F9B">
        <w:rPr>
          <w:rFonts w:cs="Arial"/>
          <w:rtl/>
        </w:rPr>
        <w:t>! במקום דקא מיעקרא נחלה דאורייתא</w:t>
      </w:r>
      <w:r>
        <w:rPr>
          <w:rStyle w:val="a7"/>
          <w:rFonts w:cs="Arial"/>
          <w:rtl/>
        </w:rPr>
        <w:footnoteReference w:id="2731"/>
      </w:r>
      <w:r w:rsidRPr="005C2F9B">
        <w:rPr>
          <w:rFonts w:cs="Arial"/>
          <w:rtl/>
        </w:rPr>
        <w:t xml:space="preserve"> - לא תקינו רבנן</w:t>
      </w:r>
      <w:r>
        <w:rPr>
          <w:rStyle w:val="a7"/>
          <w:rFonts w:cs="Arial"/>
          <w:rtl/>
        </w:rPr>
        <w:footnoteReference w:id="2732"/>
      </w:r>
      <w:r w:rsidRPr="005C2F9B">
        <w:rPr>
          <w:rFonts w:cs="Arial"/>
          <w:rtl/>
        </w:rPr>
        <w:t>.</w:t>
      </w:r>
    </w:p>
    <w:p w14:paraId="08AD5DB9" w14:textId="77777777" w:rsidR="002E5BAD" w:rsidRDefault="002E5BAD" w:rsidP="002E5BAD">
      <w:pPr>
        <w:rPr>
          <w:rFonts w:cs="Arial"/>
          <w:rtl/>
        </w:rPr>
      </w:pPr>
      <w:r w:rsidRPr="003E4BB7">
        <w:rPr>
          <w:rFonts w:cs="Arial" w:hint="cs"/>
          <w:b/>
          <w:bCs/>
          <w:rtl/>
        </w:rPr>
        <w:t>כתובות צא</w:t>
      </w:r>
      <w:r>
        <w:rPr>
          <w:rStyle w:val="a7"/>
          <w:rFonts w:cs="Arial"/>
          <w:b/>
          <w:bCs/>
          <w:rtl/>
        </w:rPr>
        <w:footnoteReference w:id="2733"/>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734"/>
      </w:r>
      <w:r w:rsidRPr="003E4BB7">
        <w:rPr>
          <w:rFonts w:cs="Arial"/>
          <w:rtl/>
        </w:rPr>
        <w:t xml:space="preserve"> ואין שם אלא שתי כתובות - חולקין בשוה</w:t>
      </w:r>
      <w:r>
        <w:rPr>
          <w:rStyle w:val="a7"/>
          <w:rFonts w:cs="Arial"/>
          <w:rtl/>
        </w:rPr>
        <w:footnoteReference w:id="2735"/>
      </w:r>
      <w:r>
        <w:rPr>
          <w:rFonts w:cs="Arial" w:hint="cs"/>
          <w:rtl/>
        </w:rPr>
        <w:t>.</w:t>
      </w:r>
      <w:r w:rsidRPr="003E4BB7">
        <w:rPr>
          <w:rFonts w:cs="Arial"/>
          <w:rtl/>
        </w:rPr>
        <w:t xml:space="preserve"> היה שם מותר דינר - אלו נוטלים כתובת אמן, ואלו נוטלים כתובת</w:t>
      </w:r>
      <w:r>
        <w:rPr>
          <w:rFonts w:cs="Arial" w:hint="cs"/>
          <w:rtl/>
        </w:rPr>
        <w:t xml:space="preserve"> אמן...</w:t>
      </w:r>
    </w:p>
    <w:p w14:paraId="7DF13DD9" w14:textId="77777777" w:rsidR="002E5BAD" w:rsidRPr="0039780B" w:rsidRDefault="002E5BAD" w:rsidP="002E5BAD">
      <w:pPr>
        <w:rPr>
          <w:rFonts w:cs="Arial"/>
          <w:u w:val="single"/>
          <w:rtl/>
        </w:rPr>
      </w:pPr>
      <w:r>
        <w:rPr>
          <w:rFonts w:cs="Arial" w:hint="cs"/>
          <w:u w:val="single"/>
          <w:rtl/>
        </w:rPr>
        <w:t>כתובת</w:t>
      </w:r>
      <w:r w:rsidRPr="0039780B">
        <w:rPr>
          <w:rFonts w:cs="Arial" w:hint="cs"/>
          <w:u w:val="single"/>
          <w:rtl/>
        </w:rPr>
        <w:t xml:space="preserve"> בנים זכרים מתנאי בית דין:</w:t>
      </w:r>
    </w:p>
    <w:p w14:paraId="2ADE9E27" w14:textId="77777777" w:rsidR="002E5BAD" w:rsidRDefault="002E5BAD" w:rsidP="00B75458">
      <w:pPr>
        <w:pStyle w:val="ab"/>
        <w:numPr>
          <w:ilvl w:val="0"/>
          <w:numId w:val="195"/>
        </w:numPr>
        <w:rPr>
          <w:rtl/>
        </w:rPr>
      </w:pPr>
      <w:r w:rsidRPr="008A1F1E">
        <w:rPr>
          <w:rFonts w:cs="Arial" w:hint="cs"/>
          <w:rtl/>
        </w:rPr>
        <w:t xml:space="preserve">טור- </w:t>
      </w:r>
      <w:r w:rsidRPr="008A1F1E">
        <w:rPr>
          <w:rFonts w:cs="Arial"/>
          <w:rtl/>
        </w:rPr>
        <w:t>תנאי כתובה שיהיו בניה זכרים יורשים כתובת אמן ונדונייתה שהכניסה בתורת נצ"ב ותוספת שהוסיף לה בעלה אפילו אם מתה בחיי הבעל ואח"כ חולקים המותר עם אחיהם</w:t>
      </w:r>
      <w:r>
        <w:rPr>
          <w:rFonts w:cs="Arial" w:hint="cs"/>
          <w:rtl/>
        </w:rPr>
        <w:t>,</w:t>
      </w:r>
      <w:r w:rsidRPr="008A1F1E">
        <w:rPr>
          <w:rFonts w:cs="Arial"/>
          <w:rtl/>
        </w:rPr>
        <w:t xml:space="preserve"> אפי' לא נכתב בכתובה</w:t>
      </w:r>
      <w:r>
        <w:rPr>
          <w:rFonts w:cs="Arial" w:hint="cs"/>
          <w:rtl/>
        </w:rPr>
        <w:t>,</w:t>
      </w:r>
      <w:r w:rsidRPr="008A1F1E">
        <w:rPr>
          <w:rFonts w:cs="Arial"/>
          <w:rtl/>
        </w:rPr>
        <w:t xml:space="preserve"> או אין לה </w:t>
      </w:r>
      <w:r w:rsidRPr="008A1F1E">
        <w:rPr>
          <w:rFonts w:cs="Arial"/>
          <w:rtl/>
        </w:rPr>
        <w:lastRenderedPageBreak/>
        <w:t>כתובה ובמקום שאין כותבין כתובה</w:t>
      </w:r>
      <w:r>
        <w:rPr>
          <w:rFonts w:cs="Arial" w:hint="cs"/>
          <w:rtl/>
        </w:rPr>
        <w:t>.</w:t>
      </w:r>
      <w:r w:rsidRPr="008A1F1E">
        <w:rPr>
          <w:rFonts w:cs="Arial"/>
          <w:rtl/>
        </w:rPr>
        <w:t xml:space="preserve"> ודוקא זכרים אבל אם אין לה אלא נקבות </w:t>
      </w:r>
      <w:r>
        <w:rPr>
          <w:rFonts w:cs="Arial" w:hint="cs"/>
          <w:rtl/>
        </w:rPr>
        <w:t xml:space="preserve">- </w:t>
      </w:r>
      <w:r w:rsidRPr="008A1F1E">
        <w:rPr>
          <w:rFonts w:cs="Arial"/>
          <w:rtl/>
        </w:rPr>
        <w:t>לא</w:t>
      </w:r>
      <w:r>
        <w:rPr>
          <w:rFonts w:cs="Arial" w:hint="cs"/>
          <w:rtl/>
        </w:rPr>
        <w:t>,</w:t>
      </w:r>
      <w:r w:rsidRPr="008A1F1E">
        <w:rPr>
          <w:rFonts w:cs="Arial"/>
          <w:rtl/>
        </w:rPr>
        <w:t xml:space="preserve"> אפילו אם אין שם יורשים אלא בנות</w:t>
      </w:r>
      <w:r>
        <w:rPr>
          <w:rFonts w:cs="Arial" w:hint="cs"/>
          <w:rtl/>
        </w:rPr>
        <w:t>,</w:t>
      </w:r>
      <w:r w:rsidRPr="008A1F1E">
        <w:rPr>
          <w:rFonts w:cs="Arial"/>
          <w:rtl/>
        </w:rPr>
        <w:t xml:space="preserve"> וזהו שנקרא כתובת בנין דכרין</w:t>
      </w:r>
      <w:r>
        <w:rPr>
          <w:rFonts w:cs="Arial" w:hint="cs"/>
          <w:rtl/>
        </w:rPr>
        <w:t>.</w:t>
      </w:r>
      <w:r w:rsidRPr="008A1F1E">
        <w:rPr>
          <w:rFonts w:cs="Arial"/>
          <w:rtl/>
        </w:rPr>
        <w:t xml:space="preserve"> כיצד</w:t>
      </w:r>
      <w:r>
        <w:rPr>
          <w:rFonts w:cs="Arial" w:hint="cs"/>
          <w:rtl/>
        </w:rPr>
        <w:t>,</w:t>
      </w:r>
      <w:r w:rsidRPr="008A1F1E">
        <w:rPr>
          <w:rFonts w:cs="Arial"/>
          <w:rtl/>
        </w:rPr>
        <w:t xml:space="preserve"> היו לו שתי נשים</w:t>
      </w:r>
      <w:r>
        <w:rPr>
          <w:rFonts w:cs="Arial" w:hint="cs"/>
          <w:rtl/>
        </w:rPr>
        <w:t>,</w:t>
      </w:r>
      <w:r w:rsidRPr="008A1F1E">
        <w:rPr>
          <w:rFonts w:cs="Arial"/>
          <w:rtl/>
        </w:rPr>
        <w:t xml:space="preserve"> לזו בן וכתובתה אלף זוז</w:t>
      </w:r>
      <w:r>
        <w:rPr>
          <w:rFonts w:cs="Arial" w:hint="cs"/>
          <w:rtl/>
        </w:rPr>
        <w:t>,</w:t>
      </w:r>
      <w:r w:rsidRPr="008A1F1E">
        <w:rPr>
          <w:rFonts w:cs="Arial"/>
          <w:rtl/>
        </w:rPr>
        <w:t xml:space="preserve"> ולזו בן וכתובה ה' מאות זוז</w:t>
      </w:r>
      <w:r>
        <w:rPr>
          <w:rFonts w:cs="Arial" w:hint="cs"/>
          <w:rtl/>
        </w:rPr>
        <w:t>,</w:t>
      </w:r>
      <w:r w:rsidRPr="008A1F1E">
        <w:rPr>
          <w:rFonts w:cs="Arial"/>
          <w:rtl/>
        </w:rPr>
        <w:t xml:space="preserve"> ומתו בחייו</w:t>
      </w:r>
      <w:r>
        <w:rPr>
          <w:rFonts w:cs="Arial" w:hint="cs"/>
          <w:rtl/>
        </w:rPr>
        <w:t>,</w:t>
      </w:r>
      <w:r w:rsidRPr="008A1F1E">
        <w:rPr>
          <w:rFonts w:cs="Arial"/>
          <w:rtl/>
        </w:rPr>
        <w:t xml:space="preserve"> ואח"כ מת הוא </w:t>
      </w:r>
      <w:r>
        <w:rPr>
          <w:rFonts w:cs="Arial" w:hint="cs"/>
          <w:rtl/>
        </w:rPr>
        <w:t xml:space="preserve">- </w:t>
      </w:r>
      <w:r w:rsidRPr="008A1F1E">
        <w:rPr>
          <w:rFonts w:cs="Arial"/>
          <w:rtl/>
        </w:rPr>
        <w:t>כל אחד נוטל כתובת אמו ואח"כ חולקים המותר</w:t>
      </w:r>
      <w:r>
        <w:rPr>
          <w:rFonts w:cs="Arial" w:hint="cs"/>
          <w:rtl/>
        </w:rPr>
        <w:t>.</w:t>
      </w:r>
      <w:r w:rsidRPr="008A1F1E">
        <w:rPr>
          <w:rFonts w:cs="Arial"/>
          <w:rtl/>
        </w:rPr>
        <w:t xml:space="preserve"> </w:t>
      </w:r>
    </w:p>
    <w:p w14:paraId="3965FC6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9205FE" w14:textId="77777777" w:rsidR="002E5BAD" w:rsidRDefault="002E5BAD" w:rsidP="002E5BAD">
      <w:pPr>
        <w:rPr>
          <w:rtl/>
        </w:rPr>
      </w:pPr>
      <w:r>
        <w:rPr>
          <w:rFonts w:cs="Arial"/>
          <w:rtl/>
        </w:rPr>
        <w:t>מתנאי הכתובה שיהיו בניו הזכרים יורשים כתובת אמן ונדוניתא שהכניסה בתורת נכסי צאן ברזל, וי</w:t>
      </w:r>
      <w:r>
        <w:rPr>
          <w:rFonts w:cs="Arial" w:hint="cs"/>
          <w:rtl/>
        </w:rPr>
        <w:t xml:space="preserve">ש </w:t>
      </w:r>
      <w:r>
        <w:rPr>
          <w:rFonts w:cs="Arial"/>
          <w:rtl/>
        </w:rPr>
        <w:t>א</w:t>
      </w:r>
      <w:r>
        <w:rPr>
          <w:rFonts w:cs="Arial" w:hint="cs"/>
          <w:rtl/>
        </w:rPr>
        <w:t>ומרים</w:t>
      </w:r>
      <w:r>
        <w:rPr>
          <w:rStyle w:val="a7"/>
          <w:rFonts w:cs="Arial"/>
          <w:rtl/>
        </w:rPr>
        <w:footnoteReference w:id="2736"/>
      </w:r>
      <w:r>
        <w:rPr>
          <w:rFonts w:cs="Arial"/>
          <w:rtl/>
        </w:rPr>
        <w:t xml:space="preserve"> שאף התוספת בכלל, ואח</w:t>
      </w:r>
      <w:r>
        <w:rPr>
          <w:rFonts w:cs="Arial" w:hint="cs"/>
          <w:rtl/>
        </w:rPr>
        <w:t xml:space="preserve">ר </w:t>
      </w:r>
      <w:r>
        <w:rPr>
          <w:rFonts w:cs="Arial"/>
          <w:rtl/>
        </w:rPr>
        <w:t>כ</w:t>
      </w:r>
      <w:r>
        <w:rPr>
          <w:rFonts w:cs="Arial" w:hint="cs"/>
          <w:rtl/>
        </w:rPr>
        <w:t>ך</w:t>
      </w:r>
      <w:r>
        <w:rPr>
          <w:rFonts w:cs="Arial"/>
          <w:rtl/>
        </w:rPr>
        <w:t xml:space="preserve"> חולקים השאר עם אחיהם בשוה. כיצד, נשא אשה, כתובתה ונדוניתה אלף, וילדה בן ומתה בחייו</w:t>
      </w:r>
      <w:r>
        <w:rPr>
          <w:rFonts w:cs="Arial" w:hint="cs"/>
          <w:rtl/>
        </w:rPr>
        <w:t>.</w:t>
      </w:r>
      <w:r>
        <w:rPr>
          <w:rFonts w:cs="Arial"/>
          <w:rtl/>
        </w:rPr>
        <w:t xml:space="preserve"> ואח</w:t>
      </w:r>
      <w:r>
        <w:rPr>
          <w:rFonts w:cs="Arial" w:hint="cs"/>
          <w:rtl/>
        </w:rPr>
        <w:t xml:space="preserve">ר </w:t>
      </w:r>
      <w:r>
        <w:rPr>
          <w:rFonts w:cs="Arial"/>
          <w:rtl/>
        </w:rPr>
        <w:t>כ</w:t>
      </w:r>
      <w:r>
        <w:rPr>
          <w:rFonts w:cs="Arial" w:hint="cs"/>
          <w:rtl/>
        </w:rPr>
        <w:t>ך</w:t>
      </w:r>
      <w:r>
        <w:rPr>
          <w:rStyle w:val="a7"/>
          <w:rFonts w:cs="Arial"/>
          <w:rtl/>
        </w:rPr>
        <w:footnoteReference w:id="2737"/>
      </w:r>
      <w:r>
        <w:rPr>
          <w:rFonts w:cs="Arial"/>
          <w:rtl/>
        </w:rPr>
        <w:t xml:space="preserve"> נשא אשה אחרת, כתובתה ונדוניתה ק"ק</w:t>
      </w:r>
      <w:r>
        <w:rPr>
          <w:rStyle w:val="a7"/>
          <w:rFonts w:cs="Arial"/>
          <w:rtl/>
        </w:rPr>
        <w:footnoteReference w:id="2738"/>
      </w:r>
      <w:r>
        <w:rPr>
          <w:rFonts w:cs="Arial"/>
          <w:rtl/>
        </w:rPr>
        <w:t xml:space="preserve"> וילדה בן ומתה בחייו</w:t>
      </w:r>
      <w:r>
        <w:rPr>
          <w:rFonts w:cs="Arial" w:hint="cs"/>
          <w:rtl/>
        </w:rPr>
        <w:t>.</w:t>
      </w:r>
      <w:r>
        <w:rPr>
          <w:rFonts w:cs="Arial"/>
          <w:rtl/>
        </w:rPr>
        <w:t xml:space="preserve"> ואח"כ מת הוא והניח אלפים</w:t>
      </w:r>
      <w:r>
        <w:rPr>
          <w:rFonts w:cs="Arial" w:hint="cs"/>
          <w:rtl/>
        </w:rPr>
        <w:t>.</w:t>
      </w:r>
      <w:r>
        <w:rPr>
          <w:rFonts w:cs="Arial"/>
          <w:rtl/>
        </w:rPr>
        <w:t xml:space="preserve"> בנו מן הראשונה יורש אלף שבכתובת אמו, ובנו מן השנייה יורש ק"ק שבכתובת אמו, והשאר יורשים אותו בשוה</w:t>
      </w:r>
      <w:r>
        <w:rPr>
          <w:rFonts w:cs="Arial" w:hint="cs"/>
          <w:rtl/>
        </w:rPr>
        <w:t>.</w:t>
      </w:r>
      <w:r>
        <w:rPr>
          <w:rFonts w:cs="Arial"/>
          <w:rtl/>
        </w:rPr>
        <w:t xml:space="preserve"> נמצא ביד בן הראשונה אלף ות', וביד בן השניה ת"ר. </w:t>
      </w:r>
    </w:p>
    <w:p w14:paraId="34FCA8AE" w14:textId="77777777" w:rsidR="002E5BAD" w:rsidRDefault="002E5BAD" w:rsidP="002E5BAD">
      <w:pPr>
        <w:rPr>
          <w:rtl/>
        </w:rPr>
      </w:pPr>
    </w:p>
    <w:p w14:paraId="5BDFF905" w14:textId="77777777" w:rsidR="002E5BAD" w:rsidRDefault="002E5BAD" w:rsidP="002E5BAD">
      <w:pPr>
        <w:pStyle w:val="2"/>
        <w:rPr>
          <w:rtl/>
        </w:rPr>
      </w:pPr>
      <w:r>
        <w:rPr>
          <w:rtl/>
        </w:rPr>
        <w:t>סעיף ב</w:t>
      </w:r>
      <w:r>
        <w:rPr>
          <w:rFonts w:hint="cs"/>
          <w:rtl/>
        </w:rPr>
        <w:t>: יש בנכסים כדי שתי כתובות.</w:t>
      </w:r>
    </w:p>
    <w:p w14:paraId="3A611E8A" w14:textId="77777777" w:rsidR="002E5BAD" w:rsidRDefault="002E5BAD" w:rsidP="002E5BAD">
      <w:pPr>
        <w:rPr>
          <w:rFonts w:cs="Arial"/>
          <w:rtl/>
        </w:rPr>
      </w:pPr>
      <w:r w:rsidRPr="003E4BB7">
        <w:rPr>
          <w:rFonts w:cs="Arial" w:hint="cs"/>
          <w:b/>
          <w:bCs/>
          <w:rtl/>
        </w:rPr>
        <w:t>כתובות צא</w:t>
      </w:r>
      <w:r>
        <w:rPr>
          <w:rStyle w:val="a7"/>
          <w:rFonts w:cs="Arial"/>
          <w:b/>
          <w:bCs/>
          <w:rtl/>
        </w:rPr>
        <w:footnoteReference w:id="2739"/>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740"/>
      </w:r>
      <w:r w:rsidRPr="003E4BB7">
        <w:rPr>
          <w:rFonts w:cs="Arial"/>
          <w:rtl/>
        </w:rPr>
        <w:t xml:space="preserve"> ואין שם אלא שתי כתובות - חולקין בשוה</w:t>
      </w:r>
      <w:r>
        <w:rPr>
          <w:rStyle w:val="a7"/>
          <w:rFonts w:cs="Arial"/>
          <w:rtl/>
        </w:rPr>
        <w:footnoteReference w:id="2741"/>
      </w:r>
      <w:r>
        <w:rPr>
          <w:rFonts w:cs="Arial" w:hint="cs"/>
          <w:rtl/>
        </w:rPr>
        <w:t>.</w:t>
      </w:r>
      <w:r w:rsidRPr="003E4BB7">
        <w:rPr>
          <w:rFonts w:cs="Arial"/>
          <w:rtl/>
        </w:rPr>
        <w:t xml:space="preserve"> היה שם מותר דינר</w:t>
      </w:r>
      <w:r>
        <w:rPr>
          <w:rStyle w:val="a7"/>
          <w:rFonts w:cs="Arial"/>
          <w:rtl/>
        </w:rPr>
        <w:footnoteReference w:id="2742"/>
      </w:r>
      <w:r w:rsidRPr="003E4BB7">
        <w:rPr>
          <w:rFonts w:cs="Arial"/>
          <w:rtl/>
        </w:rPr>
        <w:t xml:space="preserve"> - אלו נוטלים כתובת אמן, ואלו נוטלים כתובת אמן</w:t>
      </w:r>
      <w:r>
        <w:rPr>
          <w:rFonts w:cs="Arial" w:hint="cs"/>
          <w:rtl/>
        </w:rPr>
        <w:t>...</w:t>
      </w:r>
    </w:p>
    <w:p w14:paraId="3ADD7949" w14:textId="77777777" w:rsidR="002E5BAD" w:rsidRPr="008E7F76" w:rsidRDefault="002E5BAD" w:rsidP="002E5BAD">
      <w:pPr>
        <w:rPr>
          <w:rFonts w:cs="Arial"/>
          <w:u w:val="single"/>
          <w:rtl/>
        </w:rPr>
      </w:pPr>
      <w:r>
        <w:rPr>
          <w:rFonts w:hint="cs"/>
          <w:u w:val="single"/>
          <w:rtl/>
        </w:rPr>
        <w:t xml:space="preserve">האם יש </w:t>
      </w:r>
      <w:r w:rsidRPr="008E7F76">
        <w:rPr>
          <w:rFonts w:hint="cs"/>
          <w:u w:val="single"/>
          <w:rtl/>
        </w:rPr>
        <w:t xml:space="preserve">כתובת בנינן דכרין </w:t>
      </w:r>
      <w:r>
        <w:rPr>
          <w:rFonts w:hint="cs"/>
          <w:u w:val="single"/>
          <w:rtl/>
        </w:rPr>
        <w:t>כש</w:t>
      </w:r>
      <w:r w:rsidRPr="008D400E">
        <w:rPr>
          <w:rFonts w:hint="cs"/>
          <w:u w:val="single"/>
          <w:rtl/>
        </w:rPr>
        <w:t xml:space="preserve">יש בנכסים </w:t>
      </w:r>
      <w:r>
        <w:rPr>
          <w:rFonts w:hint="cs"/>
          <w:u w:val="single"/>
          <w:rtl/>
        </w:rPr>
        <w:t xml:space="preserve">רק </w:t>
      </w:r>
      <w:r w:rsidRPr="008D400E">
        <w:rPr>
          <w:rFonts w:hint="cs"/>
          <w:u w:val="single"/>
          <w:rtl/>
        </w:rPr>
        <w:t xml:space="preserve">כדי שתי </w:t>
      </w:r>
      <w:r>
        <w:rPr>
          <w:rFonts w:hint="cs"/>
          <w:u w:val="single"/>
          <w:rtl/>
        </w:rPr>
        <w:t>ה</w:t>
      </w:r>
      <w:r w:rsidRPr="008D400E">
        <w:rPr>
          <w:rFonts w:hint="cs"/>
          <w:u w:val="single"/>
          <w:rtl/>
        </w:rPr>
        <w:t>כתובות</w:t>
      </w:r>
      <w:r w:rsidRPr="008E7F76">
        <w:rPr>
          <w:rFonts w:cs="Arial" w:hint="cs"/>
          <w:u w:val="single"/>
          <w:rtl/>
        </w:rPr>
        <w:t>:</w:t>
      </w:r>
    </w:p>
    <w:p w14:paraId="5D82C799" w14:textId="77777777" w:rsidR="002E5BAD" w:rsidRDefault="002E5BAD" w:rsidP="00B75458">
      <w:pPr>
        <w:pStyle w:val="ab"/>
        <w:numPr>
          <w:ilvl w:val="0"/>
          <w:numId w:val="195"/>
        </w:numPr>
      </w:pPr>
      <w:r w:rsidRPr="008E67BE">
        <w:rPr>
          <w:rFonts w:cs="Arial" w:hint="cs"/>
          <w:rtl/>
        </w:rPr>
        <w:t xml:space="preserve">רמב"ם </w:t>
      </w:r>
      <w:r w:rsidRPr="008E67BE">
        <w:rPr>
          <w:rFonts w:cs="Arial" w:hint="cs"/>
          <w:sz w:val="16"/>
          <w:szCs w:val="16"/>
          <w:rtl/>
        </w:rPr>
        <w:t>(פי"ט מאישות ה"ג)</w:t>
      </w:r>
      <w:r w:rsidRPr="008E7F76">
        <w:rPr>
          <w:rFonts w:cs="Arial"/>
          <w:rtl/>
        </w:rPr>
        <w:t xml:space="preserve"> </w:t>
      </w:r>
      <w:r>
        <w:rPr>
          <w:rFonts w:cs="Arial"/>
          <w:rtl/>
        </w:rPr>
        <w:t xml:space="preserve">רא"ש </w:t>
      </w:r>
      <w:r w:rsidRPr="000804DB">
        <w:rPr>
          <w:rFonts w:cs="Arial"/>
          <w:sz w:val="16"/>
          <w:szCs w:val="16"/>
          <w:rtl/>
        </w:rPr>
        <w:t xml:space="preserve">(סי' ב) </w:t>
      </w:r>
      <w:r>
        <w:rPr>
          <w:rFonts w:cs="Arial" w:hint="cs"/>
          <w:rtl/>
        </w:rPr>
        <w:t>וטור</w:t>
      </w:r>
      <w:r w:rsidRPr="008E67BE">
        <w:rPr>
          <w:rFonts w:cs="Arial" w:hint="cs"/>
          <w:rtl/>
        </w:rPr>
        <w:t xml:space="preserve">- </w:t>
      </w:r>
      <w:r w:rsidRPr="008E67BE">
        <w:rPr>
          <w:rFonts w:cs="Arial"/>
          <w:rtl/>
        </w:rPr>
        <w:t>במה דברים אמורים בשהניח יתר על כדי שתי הכתובות דינר אחד או יתר</w:t>
      </w:r>
      <w:r>
        <w:rPr>
          <w:rFonts w:cs="Arial" w:hint="cs"/>
          <w:rtl/>
        </w:rPr>
        <w:t>,</w:t>
      </w:r>
      <w:r w:rsidRPr="008E67BE">
        <w:rPr>
          <w:rFonts w:cs="Arial"/>
          <w:rtl/>
        </w:rPr>
        <w:t xml:space="preserve"> כדי שיחלקו השאר בשוה</w:t>
      </w:r>
      <w:r>
        <w:rPr>
          <w:rFonts w:cs="Arial" w:hint="cs"/>
          <w:rtl/>
        </w:rPr>
        <w:t>.</w:t>
      </w:r>
      <w:r w:rsidRPr="008E67BE">
        <w:rPr>
          <w:rFonts w:cs="Arial"/>
          <w:rtl/>
        </w:rPr>
        <w:t xml:space="preserve"> אבל אם לא הניח יתר דינר </w:t>
      </w:r>
      <w:r>
        <w:rPr>
          <w:rFonts w:cs="Arial" w:hint="cs"/>
          <w:rtl/>
        </w:rPr>
        <w:t xml:space="preserve">- </w:t>
      </w:r>
      <w:r w:rsidRPr="008E67BE">
        <w:rPr>
          <w:rFonts w:cs="Arial"/>
          <w:rtl/>
        </w:rPr>
        <w:t>חולקים הכל בשוה, שאם יירשו אלו כתובת אמן ואלו כתובת אמן ולא ישאר דינר אחד לחלוק אותו בין היורשים נמצא תנאי זה מבטל חלוק ירושה בין הבנים בשוה שהוא מן התורה</w:t>
      </w:r>
      <w:r>
        <w:rPr>
          <w:rFonts w:cs="Arial" w:hint="cs"/>
          <w:sz w:val="16"/>
          <w:szCs w:val="16"/>
          <w:rtl/>
        </w:rPr>
        <w:t xml:space="preserve"> (ל' הרמב"ם)</w:t>
      </w:r>
      <w:r w:rsidRPr="008E67BE">
        <w:rPr>
          <w:rFonts w:cs="Arial"/>
          <w:rtl/>
        </w:rPr>
        <w:t>.</w:t>
      </w:r>
      <w:r w:rsidRPr="008E7F76">
        <w:rPr>
          <w:rFonts w:hint="cs"/>
          <w:color w:val="E36C0A" w:themeColor="accent6" w:themeShade="BF"/>
          <w:rtl/>
        </w:rPr>
        <w:t xml:space="preserve"> (וכ"פ בשו"ע)</w:t>
      </w:r>
    </w:p>
    <w:p w14:paraId="7D302FD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A93815" w14:textId="77777777" w:rsidR="002E5BAD" w:rsidRDefault="002E5BAD" w:rsidP="002E5BAD">
      <w:pPr>
        <w:rPr>
          <w:rtl/>
        </w:rPr>
      </w:pPr>
      <w:r>
        <w:rPr>
          <w:rFonts w:cs="Arial"/>
          <w:rtl/>
        </w:rPr>
        <w:t>ב</w:t>
      </w:r>
      <w:r>
        <w:rPr>
          <w:rFonts w:cs="Arial" w:hint="cs"/>
          <w:rtl/>
        </w:rPr>
        <w:t xml:space="preserve">מה דברים </w:t>
      </w:r>
      <w:r>
        <w:rPr>
          <w:rFonts w:cs="Arial"/>
          <w:rtl/>
        </w:rPr>
        <w:t>א</w:t>
      </w:r>
      <w:r>
        <w:rPr>
          <w:rFonts w:cs="Arial" w:hint="cs"/>
          <w:rtl/>
        </w:rPr>
        <w:t>מורים</w:t>
      </w:r>
      <w:r>
        <w:rPr>
          <w:rFonts w:cs="Arial"/>
          <w:rtl/>
        </w:rPr>
        <w:t>, שהניח יותר על שתי הכתובות דינר אחד או יותר כדי שיחלקו השאר בשוה. אבל אם לא הניח יותר דינר, חולקים הכל בשוה</w:t>
      </w:r>
      <w:r>
        <w:rPr>
          <w:rFonts w:cs="Arial" w:hint="cs"/>
          <w:rtl/>
        </w:rPr>
        <w:t>,</w:t>
      </w:r>
      <w:r>
        <w:rPr>
          <w:rFonts w:cs="Arial"/>
          <w:rtl/>
        </w:rPr>
        <w:t xml:space="preserve"> שאם ירשו אלו כתובת אמן ולא ישאר דינר א</w:t>
      </w:r>
      <w:r>
        <w:rPr>
          <w:rFonts w:cs="Arial" w:hint="cs"/>
          <w:rtl/>
        </w:rPr>
        <w:t>חד</w:t>
      </w:r>
      <w:r>
        <w:rPr>
          <w:rFonts w:cs="Arial"/>
          <w:rtl/>
        </w:rPr>
        <w:t xml:space="preserve"> לחלוק אותו בין היורשים, נמצאת תנאי זה מבטל חלק ירושה בין הבנים בשוה שהוא מן התורה. </w:t>
      </w:r>
    </w:p>
    <w:p w14:paraId="42D94EC7" w14:textId="77777777" w:rsidR="002E5BAD" w:rsidRDefault="002E5BAD" w:rsidP="002E5BAD">
      <w:pPr>
        <w:rPr>
          <w:rtl/>
        </w:rPr>
      </w:pPr>
    </w:p>
    <w:p w14:paraId="25AFF745" w14:textId="77777777" w:rsidR="002E5BAD" w:rsidRDefault="002E5BAD" w:rsidP="002E5BAD">
      <w:pPr>
        <w:pStyle w:val="2"/>
        <w:rPr>
          <w:rtl/>
        </w:rPr>
      </w:pPr>
      <w:r>
        <w:rPr>
          <w:rtl/>
        </w:rPr>
        <w:t>סעיף ג</w:t>
      </w:r>
      <w:r>
        <w:rPr>
          <w:rFonts w:hint="cs"/>
          <w:rtl/>
        </w:rPr>
        <w:t>: ראוי כבמוחזק.</w:t>
      </w:r>
    </w:p>
    <w:p w14:paraId="6AADD6C6" w14:textId="77777777" w:rsidR="002E5BAD" w:rsidRDefault="002E5BAD" w:rsidP="002E5BAD">
      <w:pPr>
        <w:rPr>
          <w:rFonts w:cs="Arial"/>
          <w:rtl/>
        </w:rPr>
      </w:pPr>
      <w:r w:rsidRPr="003E4BB7">
        <w:rPr>
          <w:rFonts w:cs="Arial" w:hint="cs"/>
          <w:b/>
          <w:bCs/>
          <w:rtl/>
        </w:rPr>
        <w:t>כתובות צא</w:t>
      </w:r>
      <w:r>
        <w:rPr>
          <w:rStyle w:val="a7"/>
          <w:rFonts w:cs="Arial"/>
          <w:b/>
          <w:bCs/>
          <w:rtl/>
        </w:rPr>
        <w:footnoteReference w:id="2743"/>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744"/>
      </w:r>
      <w:r w:rsidRPr="003E4BB7">
        <w:rPr>
          <w:rFonts w:cs="Arial"/>
          <w:rtl/>
        </w:rPr>
        <w:t xml:space="preserve"> ואין שם אלא שתי כתובות - חולקין בשוה</w:t>
      </w:r>
      <w:r>
        <w:rPr>
          <w:rStyle w:val="a7"/>
          <w:rFonts w:cs="Arial"/>
          <w:rtl/>
        </w:rPr>
        <w:footnoteReference w:id="2745"/>
      </w:r>
      <w:r>
        <w:rPr>
          <w:rFonts w:cs="Arial" w:hint="cs"/>
          <w:rtl/>
        </w:rPr>
        <w:t>.</w:t>
      </w:r>
      <w:r w:rsidRPr="003E4BB7">
        <w:rPr>
          <w:rFonts w:cs="Arial"/>
          <w:rtl/>
        </w:rPr>
        <w:t xml:space="preserve"> היה שם מותר דינר</w:t>
      </w:r>
      <w:r>
        <w:rPr>
          <w:rStyle w:val="a7"/>
          <w:rFonts w:cs="Arial"/>
          <w:rtl/>
        </w:rPr>
        <w:footnoteReference w:id="2746"/>
      </w:r>
      <w:r w:rsidRPr="003E4BB7">
        <w:rPr>
          <w:rFonts w:cs="Arial"/>
          <w:rtl/>
        </w:rPr>
        <w:t xml:space="preserve"> - אלו נוטלים כתובת אמן, ואלו נוטלים כתובת אמן.</w:t>
      </w:r>
      <w:r>
        <w:rPr>
          <w:rFonts w:hint="cs"/>
          <w:rtl/>
        </w:rPr>
        <w:t>.</w:t>
      </w:r>
      <w:r w:rsidRPr="00DC2E30">
        <w:rPr>
          <w:rFonts w:cs="Arial"/>
          <w:rtl/>
        </w:rPr>
        <w:t>. היו שם נכסים בראוי</w:t>
      </w:r>
      <w:r>
        <w:rPr>
          <w:rStyle w:val="a7"/>
          <w:rFonts w:cs="Arial"/>
          <w:rtl/>
        </w:rPr>
        <w:footnoteReference w:id="2747"/>
      </w:r>
      <w:r w:rsidRPr="00DC2E30">
        <w:rPr>
          <w:rFonts w:cs="Arial"/>
          <w:rtl/>
        </w:rPr>
        <w:t xml:space="preserve"> - אינן כבמוחזק</w:t>
      </w:r>
      <w:r>
        <w:rPr>
          <w:rStyle w:val="a7"/>
          <w:rFonts w:cs="Arial"/>
          <w:rtl/>
        </w:rPr>
        <w:footnoteReference w:id="2748"/>
      </w:r>
      <w:r w:rsidRPr="00DC2E30">
        <w:rPr>
          <w:rFonts w:cs="Arial"/>
          <w:rtl/>
        </w:rPr>
        <w:t>.</w:t>
      </w:r>
      <w:r>
        <w:rPr>
          <w:rFonts w:cs="Arial" w:hint="cs"/>
          <w:rtl/>
        </w:rPr>
        <w:t>.</w:t>
      </w:r>
      <w:r w:rsidRPr="00DC2E30">
        <w:rPr>
          <w:rFonts w:cs="Arial"/>
          <w:rtl/>
        </w:rPr>
        <w:t>.</w:t>
      </w:r>
    </w:p>
    <w:p w14:paraId="2A15596D" w14:textId="77777777" w:rsidR="002E5BAD" w:rsidRPr="0081621B" w:rsidRDefault="002E5BAD" w:rsidP="002E5BAD">
      <w:pPr>
        <w:rPr>
          <w:u w:val="single"/>
          <w:rtl/>
        </w:rPr>
      </w:pPr>
      <w:r w:rsidRPr="0081621B">
        <w:rPr>
          <w:rFonts w:hint="cs"/>
          <w:u w:val="single"/>
          <w:rtl/>
        </w:rPr>
        <w:lastRenderedPageBreak/>
        <w:t>האם אמרינן ראוי כבמוחזק לגבי כתובת בנין דכרין:</w:t>
      </w:r>
    </w:p>
    <w:p w14:paraId="101468DE" w14:textId="77777777" w:rsidR="002E5BAD" w:rsidRPr="00D96223" w:rsidRDefault="002E5BAD" w:rsidP="00B75458">
      <w:pPr>
        <w:pStyle w:val="ab"/>
        <w:numPr>
          <w:ilvl w:val="0"/>
          <w:numId w:val="195"/>
        </w:numPr>
      </w:pPr>
      <w:r>
        <w:rPr>
          <w:rFonts w:cs="Arial" w:hint="cs"/>
          <w:rtl/>
        </w:rPr>
        <w:t xml:space="preserve">טור- </w:t>
      </w:r>
      <w:r w:rsidRPr="008A1F1E">
        <w:rPr>
          <w:rFonts w:cs="Arial"/>
          <w:rtl/>
        </w:rPr>
        <w:t>לא היה שם קרקע</w:t>
      </w:r>
      <w:r>
        <w:rPr>
          <w:rStyle w:val="a7"/>
          <w:rFonts w:cs="Arial"/>
          <w:rtl/>
        </w:rPr>
        <w:footnoteReference w:id="2749"/>
      </w:r>
      <w:r w:rsidRPr="008A1F1E">
        <w:rPr>
          <w:rFonts w:cs="Arial"/>
          <w:rtl/>
        </w:rPr>
        <w:t xml:space="preserve"> כדי שתי כתובות או שיש שם קרקע ואין שם מותר דינר </w:t>
      </w:r>
      <w:r>
        <w:rPr>
          <w:rFonts w:cs="Arial" w:hint="cs"/>
          <w:rtl/>
        </w:rPr>
        <w:t xml:space="preserve">- </w:t>
      </w:r>
      <w:r w:rsidRPr="008A1F1E">
        <w:rPr>
          <w:rFonts w:cs="Arial"/>
          <w:rtl/>
        </w:rPr>
        <w:t>אין כאן כתובת בנין דכרין אפילו יש עליהם חוב</w:t>
      </w:r>
      <w:r>
        <w:rPr>
          <w:rFonts w:cs="Arial" w:hint="cs"/>
          <w:rtl/>
        </w:rPr>
        <w:t>,</w:t>
      </w:r>
      <w:r w:rsidRPr="008A1F1E">
        <w:rPr>
          <w:rFonts w:cs="Arial"/>
          <w:rtl/>
        </w:rPr>
        <w:t xml:space="preserve"> ולא אמרינן בפרעון חוב יתקיים נחלה דאורייתא והמותר על הפרעון יחלוקו כפי ב' הכתובות</w:t>
      </w:r>
      <w:r>
        <w:rPr>
          <w:rFonts w:cs="Arial" w:hint="cs"/>
          <w:rtl/>
        </w:rPr>
        <w:t>,</w:t>
      </w:r>
      <w:r w:rsidRPr="008A1F1E">
        <w:rPr>
          <w:rFonts w:cs="Arial"/>
          <w:rtl/>
        </w:rPr>
        <w:t xml:space="preserve"> אלא כיון שאין שם מותר </w:t>
      </w:r>
      <w:r>
        <w:rPr>
          <w:rFonts w:cs="Arial" w:hint="cs"/>
          <w:rtl/>
        </w:rPr>
        <w:t xml:space="preserve">- </w:t>
      </w:r>
      <w:r w:rsidRPr="008A1F1E">
        <w:rPr>
          <w:rFonts w:cs="Arial"/>
          <w:rtl/>
        </w:rPr>
        <w:t>אין כאן כתובת בנין דכרין</w:t>
      </w:r>
      <w:r>
        <w:rPr>
          <w:rStyle w:val="a7"/>
          <w:rFonts w:cs="Arial"/>
          <w:rtl/>
        </w:rPr>
        <w:footnoteReference w:id="2750"/>
      </w:r>
      <w:r>
        <w:rPr>
          <w:rFonts w:cs="Arial" w:hint="cs"/>
          <w:rtl/>
        </w:rPr>
        <w:t>.</w:t>
      </w:r>
      <w:r w:rsidRPr="008A1F1E">
        <w:rPr>
          <w:rFonts w:cs="Arial"/>
          <w:rtl/>
        </w:rPr>
        <w:t xml:space="preserve"> אפילו היה ראוי ליפול להם ירושה מאבי אביהן בענין שיהיה שם מותר </w:t>
      </w:r>
      <w:r>
        <w:rPr>
          <w:rFonts w:cs="Arial" w:hint="cs"/>
          <w:rtl/>
        </w:rPr>
        <w:t xml:space="preserve">- </w:t>
      </w:r>
      <w:r w:rsidRPr="008A1F1E">
        <w:rPr>
          <w:rFonts w:cs="Arial"/>
          <w:rtl/>
        </w:rPr>
        <w:t>לא חשיב מותר</w:t>
      </w:r>
      <w:r>
        <w:rPr>
          <w:rFonts w:cs="Arial" w:hint="cs"/>
          <w:rtl/>
        </w:rPr>
        <w:t>.</w:t>
      </w:r>
      <w:r w:rsidRPr="008A1F1E">
        <w:rPr>
          <w:rFonts w:cs="Arial"/>
          <w:rtl/>
        </w:rPr>
        <w:t xml:space="preserve"> אפילו מת אבי אביהן קודם שיחלקו</w:t>
      </w:r>
      <w:r>
        <w:rPr>
          <w:rFonts w:cs="Arial" w:hint="cs"/>
          <w:rtl/>
        </w:rPr>
        <w:t>,</w:t>
      </w:r>
      <w:r w:rsidRPr="008A1F1E">
        <w:rPr>
          <w:rFonts w:cs="Arial"/>
          <w:rtl/>
        </w:rPr>
        <w:t xml:space="preserve"> כיון שלא היה שם מותר דינר בשעת מיתה </w:t>
      </w:r>
      <w:r>
        <w:rPr>
          <w:rFonts w:cs="Arial" w:hint="cs"/>
          <w:rtl/>
        </w:rPr>
        <w:t xml:space="preserve">- </w:t>
      </w:r>
      <w:r w:rsidRPr="008A1F1E">
        <w:rPr>
          <w:rFonts w:cs="Arial"/>
          <w:rtl/>
        </w:rPr>
        <w:t>לא חשיב מותר</w:t>
      </w:r>
      <w:r>
        <w:rPr>
          <w:rFonts w:cs="Arial" w:hint="cs"/>
          <w:rtl/>
        </w:rPr>
        <w:t>.</w:t>
      </w:r>
      <w:r w:rsidRPr="008A1F1E">
        <w:rPr>
          <w:rFonts w:cs="Arial"/>
          <w:rtl/>
        </w:rPr>
        <w:t xml:space="preserve"> </w:t>
      </w:r>
    </w:p>
    <w:p w14:paraId="7A07BDF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0F010D" w14:textId="77777777" w:rsidR="002E5BAD" w:rsidRDefault="002E5BAD" w:rsidP="002E5BAD">
      <w:pPr>
        <w:rPr>
          <w:rtl/>
        </w:rPr>
      </w:pPr>
      <w:r>
        <w:rPr>
          <w:rFonts w:cs="Arial"/>
          <w:rtl/>
        </w:rPr>
        <w:t xml:space="preserve">אם אין שם יותר על שתי הכתובות דינר, אפילו היה ראוי ליפול ירושה מאבי אביהם בענין שהיה שם מותר, לא חשיב מותר, אפילו מת אבי אביהם קודם שיחלקו, כיון שלא היה שם מותר דינר בשעת מיתה. </w:t>
      </w:r>
    </w:p>
    <w:p w14:paraId="58A8073E" w14:textId="77777777" w:rsidR="002E5BAD" w:rsidRDefault="002E5BAD" w:rsidP="002E5BAD">
      <w:pPr>
        <w:rPr>
          <w:rtl/>
        </w:rPr>
      </w:pPr>
    </w:p>
    <w:p w14:paraId="412AC637" w14:textId="77777777" w:rsidR="002E5BAD" w:rsidRDefault="002E5BAD" w:rsidP="002E5BAD">
      <w:pPr>
        <w:pStyle w:val="2"/>
        <w:rPr>
          <w:rtl/>
        </w:rPr>
      </w:pPr>
      <w:r>
        <w:rPr>
          <w:rtl/>
        </w:rPr>
        <w:t>סעיף ד</w:t>
      </w:r>
      <w:r>
        <w:rPr>
          <w:rFonts w:hint="cs"/>
          <w:rtl/>
        </w:rPr>
        <w:t>: נשא נשים רבות ומתו כולן בחייו.</w:t>
      </w:r>
    </w:p>
    <w:p w14:paraId="21030D04" w14:textId="77777777" w:rsidR="002E5BAD" w:rsidRPr="0081621B" w:rsidRDefault="002E5BAD" w:rsidP="002E5BAD">
      <w:pPr>
        <w:rPr>
          <w:u w:val="single"/>
          <w:rtl/>
        </w:rPr>
      </w:pPr>
      <w:r w:rsidRPr="0081621B">
        <w:rPr>
          <w:rFonts w:hint="cs"/>
          <w:u w:val="single"/>
          <w:rtl/>
        </w:rPr>
        <w:t>נשא נשים רבות ומתו כולן בחייו:</w:t>
      </w:r>
    </w:p>
    <w:p w14:paraId="0D170E8D" w14:textId="77777777" w:rsidR="002E5BAD" w:rsidRPr="00CA185A" w:rsidRDefault="002E5BAD" w:rsidP="00B75458">
      <w:pPr>
        <w:pStyle w:val="ab"/>
        <w:numPr>
          <w:ilvl w:val="0"/>
          <w:numId w:val="195"/>
        </w:numPr>
        <w:rPr>
          <w:rtl/>
        </w:rPr>
      </w:pPr>
      <w:r w:rsidRPr="0081621B">
        <w:rPr>
          <w:rFonts w:cs="Arial" w:hint="cs"/>
          <w:rtl/>
        </w:rPr>
        <w:t xml:space="preserve">רמב"ם </w:t>
      </w:r>
      <w:r w:rsidRPr="0081621B">
        <w:rPr>
          <w:rFonts w:cs="Arial" w:hint="cs"/>
          <w:sz w:val="16"/>
          <w:szCs w:val="16"/>
          <w:rtl/>
        </w:rPr>
        <w:t>(פי"ט מאישות ה"ד)</w:t>
      </w:r>
      <w:r w:rsidRPr="0081621B">
        <w:rPr>
          <w:rFonts w:cs="Arial" w:hint="cs"/>
          <w:rtl/>
        </w:rPr>
        <w:t xml:space="preserve">- </w:t>
      </w:r>
      <w:r w:rsidRPr="0081621B">
        <w:rPr>
          <w:rFonts w:cs="Arial"/>
          <w:rtl/>
        </w:rPr>
        <w:t>והוא הדין למי שנשא נשים רבות בין בזו אחר זו בין בבת אחת ומתו כולן בחייו ולו מהן בנים זכרים אם היה שם יתר על כדי כל הכתובות דינר כל אחד ואחד יורש כתובת אמו והשאר חולקין בשוה.</w:t>
      </w:r>
      <w:r w:rsidRPr="0081621B">
        <w:rPr>
          <w:rFonts w:hint="cs"/>
          <w:color w:val="E36C0A" w:themeColor="accent6" w:themeShade="BF"/>
          <w:rtl/>
        </w:rPr>
        <w:t xml:space="preserve"> (וכ"פ בשו"ע)</w:t>
      </w:r>
    </w:p>
    <w:p w14:paraId="4895DE4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7C7C2B" w14:textId="77777777" w:rsidR="002E5BAD" w:rsidRDefault="002E5BAD" w:rsidP="002E5BAD">
      <w:pPr>
        <w:rPr>
          <w:rtl/>
        </w:rPr>
      </w:pPr>
      <w:r>
        <w:rPr>
          <w:rFonts w:cs="Arial"/>
          <w:rtl/>
        </w:rPr>
        <w:t>וה</w:t>
      </w:r>
      <w:r>
        <w:rPr>
          <w:rFonts w:cs="Arial" w:hint="cs"/>
          <w:rtl/>
        </w:rPr>
        <w:t xml:space="preserve">וא </w:t>
      </w:r>
      <w:r>
        <w:rPr>
          <w:rFonts w:cs="Arial"/>
          <w:rtl/>
        </w:rPr>
        <w:t>ה</w:t>
      </w:r>
      <w:r>
        <w:rPr>
          <w:rFonts w:cs="Arial" w:hint="cs"/>
          <w:rtl/>
        </w:rPr>
        <w:t>דין</w:t>
      </w:r>
      <w:r>
        <w:rPr>
          <w:rFonts w:cs="Arial"/>
          <w:rtl/>
        </w:rPr>
        <w:t xml:space="preserve"> למי שנשא נשים רבות, בין בזו אחר זו בין בבת אחת, ומתו כולן בחייו, ולו מהם בנים זכרים, אם היה שם יותר על כדי כל הכתובות דינר, כל אחד ואחד יורש כתובת אמו, והשאר חולקים בשוה. </w:t>
      </w:r>
    </w:p>
    <w:p w14:paraId="1AB45092" w14:textId="77777777" w:rsidR="002E5BAD" w:rsidRDefault="002E5BAD" w:rsidP="002E5BAD">
      <w:pPr>
        <w:rPr>
          <w:rtl/>
        </w:rPr>
      </w:pPr>
    </w:p>
    <w:p w14:paraId="1283A771" w14:textId="77777777" w:rsidR="002E5BAD" w:rsidRDefault="002E5BAD" w:rsidP="002E5BAD">
      <w:pPr>
        <w:pStyle w:val="2"/>
        <w:rPr>
          <w:rtl/>
        </w:rPr>
      </w:pPr>
      <w:r>
        <w:rPr>
          <w:rtl/>
        </w:rPr>
        <w:t>סעיף ה</w:t>
      </w:r>
      <w:r>
        <w:rPr>
          <w:rFonts w:hint="cs"/>
          <w:rtl/>
        </w:rPr>
        <w:t>: הערכת הנכסים בדינר יותר משווים. נכסים שנתרבו או נתמעטו לאחר מיתה.</w:t>
      </w:r>
    </w:p>
    <w:p w14:paraId="5FBB4894" w14:textId="77777777" w:rsidR="002E5BAD" w:rsidRDefault="002E5BAD" w:rsidP="002E5BAD">
      <w:pPr>
        <w:rPr>
          <w:rFonts w:cs="Arial"/>
          <w:rtl/>
        </w:rPr>
      </w:pPr>
      <w:r w:rsidRPr="003E4BB7">
        <w:rPr>
          <w:rFonts w:cs="Arial" w:hint="cs"/>
          <w:b/>
          <w:bCs/>
          <w:rtl/>
        </w:rPr>
        <w:t>כתובות צא</w:t>
      </w:r>
      <w:r>
        <w:rPr>
          <w:rStyle w:val="a7"/>
          <w:rFonts w:cs="Arial"/>
          <w:b/>
          <w:bCs/>
          <w:rtl/>
        </w:rPr>
        <w:footnoteReference w:id="2751"/>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752"/>
      </w:r>
      <w:r w:rsidRPr="003E4BB7">
        <w:rPr>
          <w:rFonts w:cs="Arial"/>
          <w:rtl/>
        </w:rPr>
        <w:t xml:space="preserve"> ואין שם אלא שתי כתובות - חולקין בשוה</w:t>
      </w:r>
      <w:r>
        <w:rPr>
          <w:rStyle w:val="a7"/>
          <w:rFonts w:cs="Arial"/>
          <w:rtl/>
        </w:rPr>
        <w:footnoteReference w:id="2753"/>
      </w:r>
      <w:r>
        <w:rPr>
          <w:rFonts w:cs="Arial" w:hint="cs"/>
          <w:rtl/>
        </w:rPr>
        <w:t>.</w:t>
      </w:r>
      <w:r w:rsidRPr="003E4BB7">
        <w:rPr>
          <w:rFonts w:cs="Arial"/>
          <w:rtl/>
        </w:rPr>
        <w:t xml:space="preserve"> היה שם מותר דינר</w:t>
      </w:r>
      <w:r>
        <w:rPr>
          <w:rStyle w:val="a7"/>
          <w:rFonts w:cs="Arial"/>
          <w:rtl/>
        </w:rPr>
        <w:footnoteReference w:id="2754"/>
      </w:r>
      <w:r w:rsidRPr="003E4BB7">
        <w:rPr>
          <w:rFonts w:cs="Arial"/>
          <w:rtl/>
        </w:rPr>
        <w:t xml:space="preserve"> - אלו נוטלים כתובת אמן, ואלו נוטלים כתובת אמן.</w:t>
      </w:r>
      <w:r w:rsidRPr="00DC2E30">
        <w:rPr>
          <w:rtl/>
        </w:rPr>
        <w:t xml:space="preserve"> </w:t>
      </w:r>
      <w:r w:rsidRPr="00DC2E30">
        <w:rPr>
          <w:rFonts w:cs="Arial"/>
          <w:rtl/>
        </w:rPr>
        <w:t>אם אמרו יתומים</w:t>
      </w:r>
      <w:r>
        <w:rPr>
          <w:rStyle w:val="a7"/>
          <w:rFonts w:cs="Arial"/>
          <w:rtl/>
        </w:rPr>
        <w:footnoteReference w:id="2755"/>
      </w:r>
      <w:r w:rsidRPr="00DC2E30">
        <w:rPr>
          <w:rFonts w:cs="Arial"/>
          <w:rtl/>
        </w:rPr>
        <w:t xml:space="preserve"> אנחנו מעלים על נכסי אבינו</w:t>
      </w:r>
      <w:r>
        <w:rPr>
          <w:rStyle w:val="a7"/>
          <w:rFonts w:cs="Arial"/>
          <w:rtl/>
        </w:rPr>
        <w:footnoteReference w:id="2756"/>
      </w:r>
      <w:r w:rsidRPr="00DC2E30">
        <w:rPr>
          <w:rFonts w:cs="Arial"/>
          <w:rtl/>
        </w:rPr>
        <w:t xml:space="preserve"> יפה דינר, כדי שיטלו כתובת אמן - אין שומעין להן, אלא שמין את הנכסים בבית דין</w:t>
      </w:r>
      <w:r>
        <w:rPr>
          <w:rFonts w:cs="Arial" w:hint="cs"/>
          <w:rtl/>
        </w:rPr>
        <w:t>..</w:t>
      </w:r>
      <w:r w:rsidRPr="00DC2E30">
        <w:rPr>
          <w:rFonts w:cs="Arial"/>
          <w:rtl/>
        </w:rPr>
        <w:t>.</w:t>
      </w:r>
      <w:r>
        <w:rPr>
          <w:rFonts w:cs="Arial" w:hint="cs"/>
          <w:rtl/>
        </w:rPr>
        <w:t xml:space="preserve">     </w:t>
      </w:r>
      <w:r w:rsidRPr="007D0E4B">
        <w:rPr>
          <w:rFonts w:cs="Arial" w:hint="cs"/>
          <w:u w:val="double"/>
          <w:rtl/>
        </w:rPr>
        <w:t>גמ'</w:t>
      </w:r>
      <w:r>
        <w:rPr>
          <w:rFonts w:cs="Arial" w:hint="cs"/>
          <w:rtl/>
        </w:rPr>
        <w:t>:</w:t>
      </w:r>
      <w:r w:rsidRPr="000611C9">
        <w:rPr>
          <w:rFonts w:cs="Arial"/>
          <w:rtl/>
        </w:rPr>
        <w:t xml:space="preserve"> ת"ר: לזו אלף ולזו חמש מאות, אם יש שם מותר דינר - אלו נוטלין כתובת אמן ואלו נוטלין כתובת אמן, ואם לאו - יחלקו בשוה. פשיטא, מרובין ונתמעטו - כבר זכו בהן יורשין, מועטין ונתרבו, מאי? ת"ש: דניכסי דבי בר צרצור מועטין ונתרבו הוו, ואתו לקמיה דרב עמרם, </w:t>
      </w:r>
      <w:r w:rsidRPr="000611C9">
        <w:rPr>
          <w:rFonts w:cs="Arial"/>
          <w:u w:val="single"/>
          <w:rtl/>
        </w:rPr>
        <w:t>אמר להו</w:t>
      </w:r>
      <w:r w:rsidRPr="000611C9">
        <w:rPr>
          <w:rFonts w:cs="Arial"/>
          <w:rtl/>
        </w:rPr>
        <w:t xml:space="preserve">: זילו פייסינהו, לא אשגחו. </w:t>
      </w:r>
      <w:r w:rsidRPr="000611C9">
        <w:rPr>
          <w:rFonts w:cs="Arial"/>
          <w:u w:val="single"/>
          <w:rtl/>
        </w:rPr>
        <w:t>אמר להו</w:t>
      </w:r>
      <w:r w:rsidRPr="000611C9">
        <w:rPr>
          <w:rFonts w:cs="Arial"/>
          <w:rtl/>
        </w:rPr>
        <w:t xml:space="preserve">: אי לא מפייסיתו להו, מחינא לכו בסילוא דלא מבע דמא. שדרינהו לקמיה דרב נחמן, </w:t>
      </w:r>
      <w:r w:rsidRPr="000611C9">
        <w:rPr>
          <w:rFonts w:cs="Arial"/>
          <w:u w:val="single"/>
          <w:rtl/>
        </w:rPr>
        <w:t>אמר להן</w:t>
      </w:r>
      <w:r w:rsidRPr="000611C9">
        <w:rPr>
          <w:rFonts w:cs="Arial"/>
          <w:rtl/>
        </w:rPr>
        <w:t>: כשם שמרובין ונתמעטו</w:t>
      </w:r>
      <w:r w:rsidRPr="000611C9">
        <w:rPr>
          <w:rtl/>
        </w:rPr>
        <w:t xml:space="preserve"> </w:t>
      </w:r>
      <w:r>
        <w:rPr>
          <w:rFonts w:hint="cs"/>
          <w:sz w:val="14"/>
          <w:szCs w:val="14"/>
          <w:rtl/>
        </w:rPr>
        <w:t xml:space="preserve">(צא:) </w:t>
      </w:r>
      <w:r w:rsidRPr="000611C9">
        <w:rPr>
          <w:rFonts w:cs="Arial"/>
          <w:rtl/>
        </w:rPr>
        <w:t>זכו בהן יורשין, כך מועטין ונתרבו זכו בהן יורשין.</w:t>
      </w:r>
    </w:p>
    <w:p w14:paraId="2EDC4E40" w14:textId="77777777" w:rsidR="002E5BAD" w:rsidRPr="003F358F" w:rsidRDefault="002E5BAD" w:rsidP="002E5BAD">
      <w:pPr>
        <w:rPr>
          <w:u w:val="single"/>
          <w:rtl/>
        </w:rPr>
      </w:pPr>
      <w:r>
        <w:rPr>
          <w:rFonts w:hint="cs"/>
          <w:u w:val="single"/>
          <w:rtl/>
        </w:rPr>
        <w:t>יש בנכסים כדי שתי ה</w:t>
      </w:r>
      <w:r w:rsidRPr="003F358F">
        <w:rPr>
          <w:rFonts w:hint="cs"/>
          <w:u w:val="single"/>
          <w:rtl/>
        </w:rPr>
        <w:t xml:space="preserve">כתובות </w:t>
      </w:r>
      <w:r>
        <w:rPr>
          <w:rFonts w:hint="cs"/>
          <w:u w:val="single"/>
          <w:rtl/>
        </w:rPr>
        <w:t>בדיוק,</w:t>
      </w:r>
      <w:r w:rsidRPr="003F358F">
        <w:rPr>
          <w:rFonts w:hint="cs"/>
          <w:u w:val="single"/>
          <w:rtl/>
        </w:rPr>
        <w:t xml:space="preserve"> ובן </w:t>
      </w:r>
      <w:r>
        <w:rPr>
          <w:rFonts w:hint="cs"/>
          <w:u w:val="single"/>
          <w:rtl/>
        </w:rPr>
        <w:t xml:space="preserve">האשה שכתובתה גדולה </w:t>
      </w:r>
      <w:r w:rsidRPr="003F358F">
        <w:rPr>
          <w:rFonts w:hint="cs"/>
          <w:u w:val="single"/>
          <w:rtl/>
        </w:rPr>
        <w:t xml:space="preserve">רוצה להעריך את </w:t>
      </w:r>
      <w:r>
        <w:rPr>
          <w:rFonts w:hint="cs"/>
          <w:u w:val="single"/>
          <w:rtl/>
        </w:rPr>
        <w:t xml:space="preserve">הנכסים </w:t>
      </w:r>
      <w:r w:rsidRPr="003F358F">
        <w:rPr>
          <w:rFonts w:hint="cs"/>
          <w:u w:val="single"/>
          <w:rtl/>
        </w:rPr>
        <w:t>בדינר יתר על שווי</w:t>
      </w:r>
      <w:r>
        <w:rPr>
          <w:rFonts w:hint="cs"/>
          <w:u w:val="single"/>
          <w:rtl/>
        </w:rPr>
        <w:t>ם:</w:t>
      </w:r>
    </w:p>
    <w:p w14:paraId="54B2CA16" w14:textId="77777777" w:rsidR="002E5BAD" w:rsidRDefault="002E5BAD" w:rsidP="00B75458">
      <w:pPr>
        <w:pStyle w:val="ab"/>
        <w:numPr>
          <w:ilvl w:val="0"/>
          <w:numId w:val="195"/>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 xml:space="preserve">אמר בן הכתובה הגדולה </w:t>
      </w:r>
      <w:r>
        <w:rPr>
          <w:rFonts w:cs="Arial" w:hint="cs"/>
          <w:rtl/>
        </w:rPr>
        <w:t>'</w:t>
      </w:r>
      <w:r w:rsidRPr="008A1F1E">
        <w:rPr>
          <w:rFonts w:cs="Arial"/>
          <w:rtl/>
        </w:rPr>
        <w:t>הריני מעלה על הנכסים דינר כדי שיהא שם מותר ואטול כתובת אמי</w:t>
      </w:r>
      <w:r>
        <w:rPr>
          <w:rFonts w:cs="Arial" w:hint="cs"/>
          <w:rtl/>
        </w:rPr>
        <w:t>' -</w:t>
      </w:r>
      <w:r w:rsidRPr="008A1F1E">
        <w:rPr>
          <w:rFonts w:cs="Arial"/>
          <w:rtl/>
        </w:rPr>
        <w:t xml:space="preserve"> אין שומעין לו</w:t>
      </w:r>
      <w:r>
        <w:rPr>
          <w:rFonts w:cs="Arial" w:hint="cs"/>
          <w:rtl/>
        </w:rPr>
        <w:t>,</w:t>
      </w:r>
      <w:r w:rsidRPr="008A1F1E">
        <w:rPr>
          <w:rFonts w:cs="Arial"/>
          <w:rtl/>
        </w:rPr>
        <w:t xml:space="preserve"> אלא שמין את הנכסים בב"ד כפי מה שהיו שוין בשעת מיתת אביהן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69FF89DA" w14:textId="77777777" w:rsidR="002E5BAD" w:rsidRPr="003F358F" w:rsidRDefault="002E5BAD" w:rsidP="002E5BAD">
      <w:pPr>
        <w:rPr>
          <w:u w:val="single"/>
        </w:rPr>
      </w:pPr>
      <w:r>
        <w:rPr>
          <w:rFonts w:hint="cs"/>
          <w:u w:val="single"/>
          <w:rtl/>
        </w:rPr>
        <w:lastRenderedPageBreak/>
        <w:t xml:space="preserve">נכסים </w:t>
      </w:r>
      <w:r w:rsidRPr="003F358F">
        <w:rPr>
          <w:rFonts w:hint="cs"/>
          <w:u w:val="single"/>
          <w:rtl/>
        </w:rPr>
        <w:t>שהיה בה</w:t>
      </w:r>
      <w:r>
        <w:rPr>
          <w:rFonts w:hint="cs"/>
          <w:u w:val="single"/>
          <w:rtl/>
        </w:rPr>
        <w:t>ם</w:t>
      </w:r>
      <w:r w:rsidRPr="003F358F">
        <w:rPr>
          <w:rFonts w:hint="cs"/>
          <w:u w:val="single"/>
          <w:rtl/>
        </w:rPr>
        <w:t xml:space="preserve"> מותר בשעת מיתה</w:t>
      </w:r>
      <w:r>
        <w:rPr>
          <w:rFonts w:hint="cs"/>
          <w:u w:val="single"/>
          <w:rtl/>
        </w:rPr>
        <w:t>,</w:t>
      </w:r>
      <w:r w:rsidRPr="003F358F">
        <w:rPr>
          <w:rFonts w:hint="cs"/>
          <w:u w:val="single"/>
          <w:rtl/>
        </w:rPr>
        <w:t xml:space="preserve"> ואח"כ בשעת חלוקה נתמע</w:t>
      </w:r>
      <w:r>
        <w:rPr>
          <w:rFonts w:hint="cs"/>
          <w:u w:val="single"/>
          <w:rtl/>
        </w:rPr>
        <w:t>ט</w:t>
      </w:r>
      <w:r w:rsidRPr="003F358F">
        <w:rPr>
          <w:rFonts w:hint="cs"/>
          <w:u w:val="single"/>
          <w:rtl/>
        </w:rPr>
        <w:t>ו:</w:t>
      </w:r>
    </w:p>
    <w:p w14:paraId="0B586490" w14:textId="77777777" w:rsidR="002E5BAD" w:rsidRDefault="002E5BAD" w:rsidP="00B75458">
      <w:pPr>
        <w:pStyle w:val="ab"/>
        <w:numPr>
          <w:ilvl w:val="0"/>
          <w:numId w:val="195"/>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היו מרובים בשעת מיתה ויש שם מותר ונתמעטו</w:t>
      </w:r>
      <w:r>
        <w:rPr>
          <w:rStyle w:val="a7"/>
          <w:rFonts w:cs="Arial"/>
          <w:rtl/>
        </w:rPr>
        <w:footnoteReference w:id="2757"/>
      </w:r>
      <w:r w:rsidRPr="008A1F1E">
        <w:rPr>
          <w:rFonts w:cs="Arial"/>
          <w:rtl/>
        </w:rPr>
        <w:t xml:space="preserve"> בשעת חלוקה</w:t>
      </w:r>
      <w:r>
        <w:rPr>
          <w:rFonts w:cs="Arial" w:hint="cs"/>
          <w:rtl/>
        </w:rPr>
        <w:t xml:space="preserve"> -</w:t>
      </w:r>
      <w:r w:rsidRPr="008A1F1E">
        <w:rPr>
          <w:rFonts w:cs="Arial"/>
          <w:rtl/>
        </w:rPr>
        <w:t xml:space="preserve"> כבר זכה בן הגדולה בכתובת אמו</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59169F29" w14:textId="77777777" w:rsidR="002E5BAD" w:rsidRPr="00FE297E" w:rsidRDefault="002E5BAD" w:rsidP="002E5BAD">
      <w:pPr>
        <w:ind w:left="360"/>
        <w:rPr>
          <w:u w:val="dotted"/>
        </w:rPr>
      </w:pPr>
      <w:r w:rsidRPr="00FE297E">
        <w:rPr>
          <w:rFonts w:hint="cs"/>
          <w:u w:val="dotted"/>
          <w:rtl/>
        </w:rPr>
        <w:t>ומה הדין אם לא נשאר בנכסים כדי שתי הכתובות:</w:t>
      </w:r>
    </w:p>
    <w:p w14:paraId="53E4C03C" w14:textId="77777777" w:rsidR="002E5BAD" w:rsidRPr="007D0E4B" w:rsidRDefault="002E5BAD" w:rsidP="00B75458">
      <w:pPr>
        <w:pStyle w:val="ab"/>
        <w:numPr>
          <w:ilvl w:val="0"/>
          <w:numId w:val="195"/>
        </w:numPr>
      </w:pPr>
      <w:r>
        <w:rPr>
          <w:rFonts w:cs="Arial" w:hint="cs"/>
          <w:rtl/>
        </w:rPr>
        <w:t xml:space="preserve">טור- </w:t>
      </w:r>
      <w:r w:rsidRPr="008A1F1E">
        <w:rPr>
          <w:rFonts w:cs="Arial"/>
          <w:rtl/>
        </w:rPr>
        <w:t>והיכא שלא נשאר כדי ב' כתובות שמין לכל אחד כפי חלקו שהיה לו בנכסים</w:t>
      </w:r>
      <w:r>
        <w:rPr>
          <w:rStyle w:val="a7"/>
          <w:rFonts w:cs="Arial"/>
          <w:rtl/>
        </w:rPr>
        <w:footnoteReference w:id="2758"/>
      </w:r>
      <w:r>
        <w:rPr>
          <w:rFonts w:cs="Arial" w:hint="cs"/>
          <w:sz w:val="16"/>
          <w:szCs w:val="16"/>
          <w:rtl/>
        </w:rPr>
        <w:t xml:space="preserve"> (ל' הטור)</w:t>
      </w:r>
      <w:r>
        <w:rPr>
          <w:rFonts w:cs="Arial" w:hint="cs"/>
          <w:rtl/>
        </w:rPr>
        <w:t>.</w:t>
      </w:r>
      <w:r w:rsidRPr="008A1F1E">
        <w:rPr>
          <w:rFonts w:cs="Arial"/>
          <w:rtl/>
        </w:rPr>
        <w:t xml:space="preserve"> </w:t>
      </w:r>
    </w:p>
    <w:p w14:paraId="09AF9D8F" w14:textId="77777777" w:rsidR="002E5BAD" w:rsidRPr="003F358F" w:rsidRDefault="002E5BAD" w:rsidP="002E5BAD">
      <w:pPr>
        <w:rPr>
          <w:u w:val="single"/>
        </w:rPr>
      </w:pPr>
      <w:r w:rsidRPr="003F358F">
        <w:rPr>
          <w:rFonts w:hint="cs"/>
          <w:u w:val="single"/>
          <w:rtl/>
        </w:rPr>
        <w:t>נכסים ש</w:t>
      </w:r>
      <w:r>
        <w:rPr>
          <w:rFonts w:hint="cs"/>
          <w:u w:val="single"/>
          <w:rtl/>
        </w:rPr>
        <w:t>היו מועטים בשעת מיתה, ואח"כ בשעת חלוקה נתרבו</w:t>
      </w:r>
      <w:r w:rsidRPr="003F358F">
        <w:rPr>
          <w:rFonts w:hint="cs"/>
          <w:u w:val="single"/>
          <w:rtl/>
        </w:rPr>
        <w:t xml:space="preserve">: </w:t>
      </w:r>
    </w:p>
    <w:p w14:paraId="313C2FAC" w14:textId="77777777" w:rsidR="002E5BAD" w:rsidRPr="00D96223" w:rsidRDefault="002E5BAD" w:rsidP="00B75458">
      <w:pPr>
        <w:pStyle w:val="ab"/>
        <w:numPr>
          <w:ilvl w:val="0"/>
          <w:numId w:val="195"/>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וכן אם היו מועטים ואין שם מותר</w:t>
      </w:r>
      <w:r>
        <w:rPr>
          <w:rFonts w:cs="Arial" w:hint="cs"/>
          <w:rtl/>
        </w:rPr>
        <w:t>,</w:t>
      </w:r>
      <w:r w:rsidRPr="008A1F1E">
        <w:rPr>
          <w:rFonts w:cs="Arial"/>
          <w:rtl/>
        </w:rPr>
        <w:t xml:space="preserve"> ונתרבו </w:t>
      </w:r>
      <w:r>
        <w:rPr>
          <w:rFonts w:cs="Arial" w:hint="cs"/>
          <w:rtl/>
        </w:rPr>
        <w:t xml:space="preserve">- </w:t>
      </w:r>
      <w:r w:rsidRPr="008A1F1E">
        <w:rPr>
          <w:rFonts w:cs="Arial"/>
          <w:rtl/>
        </w:rPr>
        <w:t>כבר זכה בן הקטנה ואין כאן כתובת בנין דכרין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6CFDA03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F849CD" w14:textId="77777777" w:rsidR="002E5BAD" w:rsidRDefault="002E5BAD" w:rsidP="002E5BAD">
      <w:pPr>
        <w:rPr>
          <w:rtl/>
        </w:rPr>
      </w:pPr>
      <w:r>
        <w:rPr>
          <w:rFonts w:cs="Arial"/>
          <w:rtl/>
        </w:rPr>
        <w:t>אמרו היתומים: הרי אנו מעלים על נכסי אבינו יותר דינר, כדי שיטלו כתובת אמן, אין שומעין להם אלא שמין את הנכסים בב</w:t>
      </w:r>
      <w:r>
        <w:rPr>
          <w:rFonts w:cs="Arial" w:hint="cs"/>
          <w:rtl/>
        </w:rPr>
        <w:t xml:space="preserve">ית </w:t>
      </w:r>
      <w:r>
        <w:rPr>
          <w:rFonts w:cs="Arial"/>
          <w:rtl/>
        </w:rPr>
        <w:t>ד</w:t>
      </w:r>
      <w:r>
        <w:rPr>
          <w:rFonts w:cs="Arial" w:hint="cs"/>
          <w:rtl/>
        </w:rPr>
        <w:t>ין</w:t>
      </w:r>
      <w:r>
        <w:rPr>
          <w:rFonts w:cs="Arial"/>
          <w:rtl/>
        </w:rPr>
        <w:t xml:space="preserve"> כמה היו שוים בשעת מיתת אביהם</w:t>
      </w:r>
      <w:r>
        <w:rPr>
          <w:rFonts w:cs="Arial" w:hint="cs"/>
          <w:rtl/>
        </w:rPr>
        <w:t>.</w:t>
      </w:r>
      <w:r>
        <w:rPr>
          <w:rFonts w:cs="Arial"/>
          <w:rtl/>
        </w:rPr>
        <w:t xml:space="preserve"> אף על פי שנתרבו או נתמעטו אחר מיתת אביהם קודם שיבואו לחלוק, אין שמין אותם אלא כשעת מיתת אביהם. </w:t>
      </w:r>
      <w:r>
        <w:rPr>
          <w:rFonts w:cs="Arial" w:hint="cs"/>
          <w:sz w:val="18"/>
          <w:szCs w:val="18"/>
          <w:rtl/>
        </w:rPr>
        <w:t xml:space="preserve">[הגה] </w:t>
      </w:r>
      <w:r w:rsidRPr="008A1F1E">
        <w:rPr>
          <w:rFonts w:cs="Arial"/>
          <w:sz w:val="18"/>
          <w:szCs w:val="18"/>
          <w:rtl/>
        </w:rPr>
        <w:t xml:space="preserve">ודוקא שהוזלו הנכסים או נשתדפו, אבל נמצא שדה שאינו שלו, איגלאי מילתא למפרע דלא היה שם יותר דינר (ר"ן והמ"מ). </w:t>
      </w:r>
    </w:p>
    <w:p w14:paraId="483425FF" w14:textId="77777777" w:rsidR="002E5BAD" w:rsidRDefault="002E5BAD" w:rsidP="002E5BAD">
      <w:pPr>
        <w:rPr>
          <w:rtl/>
        </w:rPr>
      </w:pPr>
    </w:p>
    <w:p w14:paraId="13A29064" w14:textId="77777777" w:rsidR="002E5BAD" w:rsidRDefault="002E5BAD" w:rsidP="002E5BAD">
      <w:pPr>
        <w:pStyle w:val="2"/>
        <w:rPr>
          <w:rtl/>
        </w:rPr>
      </w:pPr>
      <w:r>
        <w:rPr>
          <w:rtl/>
        </w:rPr>
        <w:t>סעיף ו</w:t>
      </w:r>
      <w:r>
        <w:rPr>
          <w:rFonts w:hint="cs"/>
          <w:rtl/>
        </w:rPr>
        <w:t>: בעל חוב על המותר שבנכסים.</w:t>
      </w:r>
    </w:p>
    <w:p w14:paraId="5E89FD41" w14:textId="77777777" w:rsidR="002E5BAD" w:rsidRPr="00F77343" w:rsidRDefault="002E5BAD" w:rsidP="002E5BAD">
      <w:pPr>
        <w:rPr>
          <w:u w:val="single"/>
          <w:rtl/>
        </w:rPr>
      </w:pPr>
      <w:r w:rsidRPr="00F77343">
        <w:rPr>
          <w:rFonts w:hint="cs"/>
          <w:u w:val="single"/>
          <w:rtl/>
        </w:rPr>
        <w:t>יש ב</w:t>
      </w:r>
      <w:r>
        <w:rPr>
          <w:rFonts w:hint="cs"/>
          <w:u w:val="single"/>
          <w:rtl/>
        </w:rPr>
        <w:t>נכסים</w:t>
      </w:r>
      <w:r w:rsidRPr="00F77343">
        <w:rPr>
          <w:rFonts w:hint="cs"/>
          <w:u w:val="single"/>
          <w:rtl/>
        </w:rPr>
        <w:t xml:space="preserve"> מותר על </w:t>
      </w:r>
      <w:r>
        <w:rPr>
          <w:rFonts w:hint="cs"/>
          <w:u w:val="single"/>
          <w:rtl/>
        </w:rPr>
        <w:t>שתי הכתובות,</w:t>
      </w:r>
      <w:r w:rsidRPr="00F77343">
        <w:rPr>
          <w:rFonts w:hint="cs"/>
          <w:u w:val="single"/>
          <w:rtl/>
        </w:rPr>
        <w:t xml:space="preserve"> אבל צריך לפרוע המותר לבעל חוב:</w:t>
      </w:r>
    </w:p>
    <w:p w14:paraId="6EC597E7" w14:textId="77777777" w:rsidR="002E5BAD" w:rsidRPr="00F77343" w:rsidRDefault="002E5BAD" w:rsidP="00B75458">
      <w:pPr>
        <w:pStyle w:val="ab"/>
        <w:numPr>
          <w:ilvl w:val="0"/>
          <w:numId w:val="195"/>
        </w:numPr>
      </w:pPr>
      <w:r>
        <w:rPr>
          <w:rFonts w:cs="Arial"/>
          <w:rtl/>
        </w:rPr>
        <w:t>רי"ף</w:t>
      </w:r>
      <w:r>
        <w:rPr>
          <w:rStyle w:val="a7"/>
          <w:rFonts w:cs="Arial"/>
          <w:rtl/>
        </w:rPr>
        <w:footnoteReference w:id="2759"/>
      </w:r>
      <w:r>
        <w:rPr>
          <w:rFonts w:cs="Arial"/>
          <w:rtl/>
        </w:rPr>
        <w:t xml:space="preserve"> </w:t>
      </w:r>
      <w:r w:rsidRPr="00C95125">
        <w:rPr>
          <w:rFonts w:cs="Arial" w:hint="cs"/>
          <w:sz w:val="16"/>
          <w:szCs w:val="16"/>
          <w:rtl/>
        </w:rPr>
        <w:t xml:space="preserve">(מט:) </w:t>
      </w:r>
      <w:r>
        <w:rPr>
          <w:rFonts w:cs="Arial" w:hint="cs"/>
          <w:rtl/>
        </w:rPr>
        <w:t xml:space="preserve">רמב"ם </w:t>
      </w:r>
      <w:r w:rsidRPr="0081621B">
        <w:rPr>
          <w:rFonts w:cs="Arial" w:hint="cs"/>
          <w:sz w:val="16"/>
          <w:szCs w:val="16"/>
          <w:rtl/>
        </w:rPr>
        <w:t>(פי"ט מאישות ה"</w:t>
      </w:r>
      <w:r>
        <w:rPr>
          <w:rFonts w:cs="Arial" w:hint="cs"/>
          <w:sz w:val="16"/>
          <w:szCs w:val="16"/>
          <w:rtl/>
        </w:rPr>
        <w:t>ו</w:t>
      </w:r>
      <w:r w:rsidRPr="0081621B">
        <w:rPr>
          <w:rFonts w:cs="Arial" w:hint="cs"/>
          <w:sz w:val="16"/>
          <w:szCs w:val="16"/>
          <w:rtl/>
        </w:rPr>
        <w:t>)</w:t>
      </w:r>
      <w:r>
        <w:rPr>
          <w:rFonts w:cs="Arial" w:hint="cs"/>
          <w:sz w:val="16"/>
          <w:szCs w:val="16"/>
          <w:rtl/>
        </w:rPr>
        <w:t xml:space="preserve"> </w:t>
      </w:r>
      <w:r>
        <w:rPr>
          <w:rFonts w:cs="Arial"/>
          <w:rtl/>
        </w:rPr>
        <w:t xml:space="preserve">רא"ש </w:t>
      </w:r>
      <w:r w:rsidRPr="00C95125">
        <w:rPr>
          <w:rFonts w:cs="Arial" w:hint="cs"/>
          <w:sz w:val="16"/>
          <w:szCs w:val="16"/>
          <w:rtl/>
        </w:rPr>
        <w:t>(</w:t>
      </w:r>
      <w:r>
        <w:rPr>
          <w:rFonts w:cs="Arial" w:hint="cs"/>
          <w:sz w:val="16"/>
          <w:szCs w:val="16"/>
          <w:rtl/>
        </w:rPr>
        <w:t xml:space="preserve">פ"י </w:t>
      </w:r>
      <w:r w:rsidRPr="00C95125">
        <w:rPr>
          <w:rFonts w:cs="Arial" w:hint="cs"/>
          <w:sz w:val="16"/>
          <w:szCs w:val="16"/>
          <w:rtl/>
        </w:rPr>
        <w:t xml:space="preserve">סי' ב) </w:t>
      </w:r>
      <w:r>
        <w:rPr>
          <w:rFonts w:cs="Arial" w:hint="cs"/>
          <w:rtl/>
        </w:rPr>
        <w:t xml:space="preserve">וטור- </w:t>
      </w:r>
      <w:r w:rsidRPr="008A1F1E">
        <w:rPr>
          <w:rFonts w:cs="Arial"/>
          <w:rtl/>
        </w:rPr>
        <w:t>ואפילו יש בעל חוב שצריכים לפרוע לו המותר</w:t>
      </w:r>
      <w:r>
        <w:rPr>
          <w:rFonts w:cs="Arial" w:hint="cs"/>
          <w:rtl/>
        </w:rPr>
        <w:t xml:space="preserve"> -</w:t>
      </w:r>
      <w:r w:rsidRPr="008A1F1E">
        <w:rPr>
          <w:rFonts w:cs="Arial"/>
          <w:rtl/>
        </w:rPr>
        <w:t xml:space="preserve"> יש כאן כתובת בנין דכרין</w:t>
      </w:r>
      <w:r>
        <w:rPr>
          <w:rStyle w:val="a7"/>
          <w:rFonts w:cs="Arial"/>
          <w:rtl/>
        </w:rPr>
        <w:footnoteReference w:id="2760"/>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2D616B56" w14:textId="77777777" w:rsidR="002E5BAD" w:rsidRPr="00F77343" w:rsidRDefault="002E5BAD" w:rsidP="002E5BAD">
      <w:pPr>
        <w:rPr>
          <w:u w:val="dotted"/>
        </w:rPr>
      </w:pPr>
      <w:r w:rsidRPr="00F77343">
        <w:rPr>
          <w:rFonts w:hint="cs"/>
          <w:u w:val="dotted"/>
          <w:rtl/>
        </w:rPr>
        <w:t>ומה הדין אם החוב יתר על המותר:</w:t>
      </w:r>
    </w:p>
    <w:p w14:paraId="0D5F83CF" w14:textId="77777777" w:rsidR="002E5BAD" w:rsidRDefault="002E5BAD" w:rsidP="00B75458">
      <w:pPr>
        <w:pStyle w:val="ab"/>
        <w:numPr>
          <w:ilvl w:val="0"/>
          <w:numId w:val="195"/>
        </w:numPr>
        <w:rPr>
          <w:rtl/>
        </w:rPr>
      </w:pPr>
      <w:r>
        <w:rPr>
          <w:rFonts w:cs="Arial" w:hint="cs"/>
          <w:rtl/>
        </w:rPr>
        <w:t>רא"ש</w:t>
      </w:r>
      <w:r>
        <w:rPr>
          <w:rStyle w:val="a7"/>
          <w:rFonts w:cs="Arial"/>
          <w:rtl/>
        </w:rPr>
        <w:footnoteReference w:id="2761"/>
      </w:r>
      <w:r>
        <w:rPr>
          <w:rFonts w:cs="Arial" w:hint="cs"/>
          <w:sz w:val="16"/>
          <w:szCs w:val="16"/>
          <w:rtl/>
        </w:rPr>
        <w:t xml:space="preserve"> (פ"י סי' ב)</w:t>
      </w:r>
      <w:r>
        <w:rPr>
          <w:rFonts w:cs="Arial" w:hint="cs"/>
          <w:rtl/>
        </w:rPr>
        <w:t xml:space="preserve"> וטור- </w:t>
      </w:r>
      <w:r w:rsidRPr="008A1F1E">
        <w:rPr>
          <w:rFonts w:cs="Arial"/>
          <w:rtl/>
        </w:rPr>
        <w:t xml:space="preserve">אפילו אם החוב יותר מהמותר שעל שתי הכתובות </w:t>
      </w:r>
      <w:r>
        <w:rPr>
          <w:rFonts w:cs="Arial" w:hint="cs"/>
          <w:rtl/>
        </w:rPr>
        <w:t xml:space="preserve">- </w:t>
      </w:r>
      <w:r w:rsidRPr="008A1F1E">
        <w:rPr>
          <w:rFonts w:cs="Arial"/>
          <w:rtl/>
        </w:rPr>
        <w:t>יפרעו לב"ח חובו</w:t>
      </w:r>
      <w:r>
        <w:rPr>
          <w:rFonts w:cs="Arial" w:hint="cs"/>
          <w:rtl/>
        </w:rPr>
        <w:t>,</w:t>
      </w:r>
      <w:r w:rsidRPr="008A1F1E">
        <w:rPr>
          <w:rFonts w:cs="Arial"/>
          <w:rtl/>
        </w:rPr>
        <w:t xml:space="preserve"> ומה שיותר יחלקו כפי שתי הכתובות</w:t>
      </w:r>
      <w:r>
        <w:rPr>
          <w:rStyle w:val="a7"/>
          <w:rFonts w:cs="Arial"/>
          <w:rtl/>
        </w:rPr>
        <w:footnoteReference w:id="2762"/>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w:t>
      </w:r>
      <w:r>
        <w:rPr>
          <w:rFonts w:hint="cs"/>
          <w:color w:val="E36C0A" w:themeColor="accent6" w:themeShade="BF"/>
          <w:rtl/>
        </w:rPr>
        <w:t>כ</w:t>
      </w:r>
      <w:r w:rsidRPr="0081621B">
        <w:rPr>
          <w:rFonts w:hint="cs"/>
          <w:color w:val="E36C0A" w:themeColor="accent6" w:themeShade="BF"/>
          <w:rtl/>
        </w:rPr>
        <w:t xml:space="preserve"> בשו"ע</w:t>
      </w:r>
      <w:r>
        <w:rPr>
          <w:rFonts w:hint="cs"/>
          <w:color w:val="E36C0A" w:themeColor="accent6" w:themeShade="BF"/>
          <w:sz w:val="16"/>
          <w:szCs w:val="16"/>
          <w:rtl/>
        </w:rPr>
        <w:t xml:space="preserve"> </w:t>
      </w:r>
      <w:r w:rsidRPr="00D90444">
        <w:rPr>
          <w:rFonts w:hint="cs"/>
          <w:color w:val="000000" w:themeColor="text1"/>
          <w:sz w:val="16"/>
          <w:szCs w:val="16"/>
          <w:rtl/>
        </w:rPr>
        <w:t>[בסע' ז]</w:t>
      </w:r>
      <w:r w:rsidRPr="0081621B">
        <w:rPr>
          <w:rFonts w:hint="cs"/>
          <w:color w:val="E36C0A" w:themeColor="accent6" w:themeShade="BF"/>
          <w:rtl/>
        </w:rPr>
        <w:t>)</w:t>
      </w:r>
    </w:p>
    <w:p w14:paraId="24504D3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AE95CA" w14:textId="77777777" w:rsidR="002E5BAD" w:rsidRDefault="002E5BAD" w:rsidP="002E5BAD">
      <w:pPr>
        <w:rPr>
          <w:rtl/>
        </w:rPr>
      </w:pPr>
      <w:r>
        <w:rPr>
          <w:rFonts w:cs="Arial"/>
          <w:rtl/>
        </w:rPr>
        <w:lastRenderedPageBreak/>
        <w:t>היה שם יותר על כדי כל הכתובות דינר או יותר, אף על פי שיש עליו שטר חוב כנגד</w:t>
      </w:r>
      <w:r>
        <w:rPr>
          <w:rStyle w:val="a7"/>
          <w:rFonts w:cs="Arial"/>
          <w:rtl/>
        </w:rPr>
        <w:footnoteReference w:id="2763"/>
      </w:r>
      <w:r>
        <w:rPr>
          <w:rFonts w:cs="Arial"/>
          <w:rtl/>
        </w:rPr>
        <w:t xml:space="preserve"> היותר, אינו ממעט</w:t>
      </w:r>
      <w:r>
        <w:rPr>
          <w:rStyle w:val="a7"/>
          <w:rFonts w:cs="Arial"/>
          <w:rtl/>
        </w:rPr>
        <w:footnoteReference w:id="2764"/>
      </w:r>
      <w:r>
        <w:rPr>
          <w:rFonts w:cs="Arial" w:hint="cs"/>
          <w:rtl/>
        </w:rPr>
        <w:t>,</w:t>
      </w:r>
      <w:r>
        <w:rPr>
          <w:rFonts w:cs="Arial"/>
          <w:rtl/>
        </w:rPr>
        <w:t xml:space="preserve"> אלא כל אחד מהם יורש כתובת אמו. </w:t>
      </w:r>
    </w:p>
    <w:p w14:paraId="3FB52E50" w14:textId="77777777" w:rsidR="002E5BAD" w:rsidRDefault="002E5BAD" w:rsidP="002E5BAD">
      <w:pPr>
        <w:rPr>
          <w:rtl/>
        </w:rPr>
      </w:pPr>
    </w:p>
    <w:p w14:paraId="24BE9B4A" w14:textId="77777777" w:rsidR="002E5BAD" w:rsidRDefault="002E5BAD" w:rsidP="002E5BAD">
      <w:pPr>
        <w:pStyle w:val="2"/>
        <w:rPr>
          <w:rtl/>
        </w:rPr>
      </w:pPr>
      <w:r>
        <w:rPr>
          <w:rtl/>
        </w:rPr>
        <w:t>סעיף ז</w:t>
      </w:r>
      <w:r>
        <w:rPr>
          <w:rFonts w:hint="cs"/>
          <w:rtl/>
        </w:rPr>
        <w:t>:</w:t>
      </w:r>
      <w:r w:rsidRPr="00026106">
        <w:rPr>
          <w:rFonts w:hint="cs"/>
          <w:rtl/>
        </w:rPr>
        <w:t xml:space="preserve"> </w:t>
      </w:r>
      <w:r>
        <w:rPr>
          <w:rFonts w:hint="cs"/>
          <w:rtl/>
        </w:rPr>
        <w:t>בעל חוב על יותר מהמותר שבנכסים.</w:t>
      </w:r>
    </w:p>
    <w:p w14:paraId="3F5832C2" w14:textId="77777777" w:rsidR="002E5BAD" w:rsidRPr="00D96223" w:rsidRDefault="002E5BAD" w:rsidP="002E5BAD">
      <w:pPr>
        <w:rPr>
          <w:rtl/>
        </w:rPr>
      </w:pPr>
      <w:r>
        <w:rPr>
          <w:rFonts w:hint="cs"/>
          <w:rtl/>
        </w:rPr>
        <w:t>עיין במקורות בסעיף ו.</w:t>
      </w:r>
    </w:p>
    <w:p w14:paraId="35A0244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9B9B0B" w14:textId="77777777" w:rsidR="002E5BAD" w:rsidRDefault="002E5BAD" w:rsidP="002E5BAD">
      <w:pPr>
        <w:rPr>
          <w:rtl/>
        </w:rPr>
      </w:pPr>
      <w:r>
        <w:rPr>
          <w:rFonts w:cs="Arial"/>
          <w:rtl/>
        </w:rPr>
        <w:t>וי</w:t>
      </w:r>
      <w:r>
        <w:rPr>
          <w:rFonts w:cs="Arial" w:hint="cs"/>
          <w:rtl/>
        </w:rPr>
        <w:t xml:space="preserve">ש </w:t>
      </w:r>
      <w:r>
        <w:rPr>
          <w:rFonts w:cs="Arial"/>
          <w:rtl/>
        </w:rPr>
        <w:t>א</w:t>
      </w:r>
      <w:r>
        <w:rPr>
          <w:rFonts w:cs="Arial" w:hint="cs"/>
          <w:rtl/>
        </w:rPr>
        <w:t>ומרים</w:t>
      </w:r>
      <w:r>
        <w:rPr>
          <w:rFonts w:cs="Arial"/>
          <w:rtl/>
        </w:rPr>
        <w:t xml:space="preserve"> שאפילו החוב יותר מהמותר שעל שתי כתובות, יפרעו לבעל חוב והשאר יחלקו כפי שתי הכתובות. </w:t>
      </w:r>
    </w:p>
    <w:p w14:paraId="7B97CF22" w14:textId="77777777" w:rsidR="002E5BAD" w:rsidRDefault="002E5BAD" w:rsidP="002E5BAD">
      <w:pPr>
        <w:rPr>
          <w:rtl/>
        </w:rPr>
      </w:pPr>
    </w:p>
    <w:p w14:paraId="09F238E6" w14:textId="77777777" w:rsidR="002E5BAD" w:rsidRDefault="002E5BAD" w:rsidP="002E5BAD">
      <w:pPr>
        <w:pStyle w:val="2"/>
        <w:rPr>
          <w:rtl/>
        </w:rPr>
      </w:pPr>
      <w:r>
        <w:rPr>
          <w:rtl/>
        </w:rPr>
        <w:t>סעיף ח</w:t>
      </w:r>
      <w:r>
        <w:rPr>
          <w:rFonts w:hint="cs"/>
          <w:rtl/>
        </w:rPr>
        <w:t>: היה נשוי שתי נשים, אחת מתה בחייו ואחת לאחר מותו.</w:t>
      </w:r>
    </w:p>
    <w:p w14:paraId="2C7D989C" w14:textId="77777777" w:rsidR="002E5BAD" w:rsidRDefault="002E5BAD" w:rsidP="002E5BAD">
      <w:pPr>
        <w:rPr>
          <w:rtl/>
        </w:rPr>
      </w:pPr>
      <w:r w:rsidRPr="003E4BB7">
        <w:rPr>
          <w:rFonts w:cs="Arial" w:hint="cs"/>
          <w:b/>
          <w:bCs/>
          <w:rtl/>
        </w:rPr>
        <w:t xml:space="preserve">כתובות צ </w:t>
      </w:r>
      <w:r>
        <w:rPr>
          <w:rFonts w:cs="Arial" w:hint="cs"/>
          <w:b/>
          <w:bCs/>
          <w:sz w:val="16"/>
          <w:szCs w:val="16"/>
          <w:rtl/>
        </w:rPr>
        <w:t xml:space="preserve">(ר"פ מי שהיה נשוי) </w:t>
      </w:r>
      <w:r w:rsidRPr="003E4BB7">
        <w:rPr>
          <w:rFonts w:cs="Arial" w:hint="cs"/>
          <w:b/>
          <w:bCs/>
          <w:rtl/>
        </w:rPr>
        <w:t>ע"</w:t>
      </w:r>
      <w:r>
        <w:rPr>
          <w:rFonts w:cs="Arial" w:hint="cs"/>
          <w:b/>
          <w:bCs/>
          <w:rtl/>
        </w:rPr>
        <w:t>א</w:t>
      </w:r>
      <w:r w:rsidRPr="003E4BB7">
        <w:rPr>
          <w:rFonts w:cs="Arial" w:hint="cs"/>
          <w:b/>
          <w:bCs/>
          <w:rtl/>
        </w:rPr>
        <w:t>:</w:t>
      </w:r>
      <w:r>
        <w:rPr>
          <w:rFonts w:cs="Arial" w:hint="cs"/>
          <w:rtl/>
        </w:rPr>
        <w:t xml:space="preserve"> </w:t>
      </w:r>
      <w:r w:rsidRPr="003500E9">
        <w:rPr>
          <w:rFonts w:cs="Arial" w:hint="cs"/>
          <w:u w:val="double"/>
          <w:rtl/>
        </w:rPr>
        <w:t>מתני'</w:t>
      </w:r>
      <w:r>
        <w:rPr>
          <w:rFonts w:cs="Arial" w:hint="cs"/>
          <w:rtl/>
        </w:rPr>
        <w:t xml:space="preserve">:... </w:t>
      </w:r>
      <w:r w:rsidRPr="003500E9">
        <w:rPr>
          <w:rFonts w:cs="Arial"/>
          <w:rtl/>
        </w:rPr>
        <w:t>נשא את הראשונה ומתה</w:t>
      </w:r>
      <w:r>
        <w:rPr>
          <w:rStyle w:val="a7"/>
          <w:rFonts w:cs="Arial"/>
          <w:rtl/>
        </w:rPr>
        <w:footnoteReference w:id="2765"/>
      </w:r>
      <w:r w:rsidRPr="003500E9">
        <w:rPr>
          <w:rFonts w:cs="Arial"/>
          <w:rtl/>
        </w:rPr>
        <w:t>, נשא שניה ומת הוא - שניה ויורשיה קודמין</w:t>
      </w:r>
      <w:r>
        <w:rPr>
          <w:rStyle w:val="a7"/>
          <w:rFonts w:cs="Arial"/>
          <w:rtl/>
        </w:rPr>
        <w:footnoteReference w:id="2766"/>
      </w:r>
      <w:r w:rsidRPr="003500E9">
        <w:rPr>
          <w:rFonts w:cs="Arial"/>
          <w:rtl/>
        </w:rPr>
        <w:t xml:space="preserve"> ליורשי הראשונה.</w:t>
      </w:r>
      <w:r>
        <w:rPr>
          <w:rFonts w:cs="Arial" w:hint="cs"/>
          <w:rtl/>
        </w:rPr>
        <w:t>..</w:t>
      </w:r>
      <w:r w:rsidRPr="003500E9">
        <w:rPr>
          <w:rFonts w:cs="Arial"/>
          <w:rtl/>
        </w:rPr>
        <w:t xml:space="preserve"> </w:t>
      </w:r>
      <w:r>
        <w:rPr>
          <w:rFonts w:cs="Arial" w:hint="cs"/>
          <w:rtl/>
        </w:rPr>
        <w:t xml:space="preserve">      </w:t>
      </w:r>
      <w:r w:rsidRPr="003500E9">
        <w:rPr>
          <w:rFonts w:cs="Arial" w:hint="cs"/>
          <w:u w:val="double"/>
          <w:rtl/>
        </w:rPr>
        <w:t>גמ'</w:t>
      </w:r>
      <w:r>
        <w:rPr>
          <w:rFonts w:cs="Arial" w:hint="cs"/>
          <w:sz w:val="14"/>
          <w:szCs w:val="14"/>
          <w:u w:val="double"/>
          <w:rtl/>
        </w:rPr>
        <w:t>(צ:)</w:t>
      </w:r>
      <w:r w:rsidRPr="003500E9">
        <w:rPr>
          <w:rFonts w:cs="Arial" w:hint="cs"/>
          <w:u w:val="double"/>
          <w:rtl/>
        </w:rPr>
        <w:t>:</w:t>
      </w:r>
      <w:r>
        <w:rPr>
          <w:rFonts w:cs="Arial" w:hint="cs"/>
          <w:rtl/>
        </w:rPr>
        <w:t xml:space="preserve"> </w:t>
      </w:r>
      <w:r w:rsidRPr="002535AE">
        <w:rPr>
          <w:rFonts w:cs="Arial"/>
          <w:rtl/>
        </w:rPr>
        <w:t>נשא את הראשונה. שמע מינה תלת:</w:t>
      </w:r>
      <w:r w:rsidRPr="002535AE">
        <w:rPr>
          <w:rtl/>
        </w:rPr>
        <w:t xml:space="preserve"> </w:t>
      </w:r>
      <w:r w:rsidRPr="002535AE">
        <w:rPr>
          <w:rFonts w:cs="Arial"/>
          <w:rtl/>
        </w:rPr>
        <w:t>שמע מינה, אחת בחייו ואחת במותו - יש להן</w:t>
      </w:r>
      <w:r>
        <w:rPr>
          <w:rStyle w:val="a7"/>
          <w:rFonts w:cs="Arial"/>
          <w:rtl/>
        </w:rPr>
        <w:footnoteReference w:id="2767"/>
      </w:r>
      <w:r w:rsidRPr="002535AE">
        <w:rPr>
          <w:rFonts w:cs="Arial"/>
          <w:rtl/>
        </w:rPr>
        <w:t xml:space="preserve"> כתובת בנין דכרין, ולא חיישינן לאינצויי, ממאי? מדקתני שניה ויורשיה קודמים ליורשי ראשונה, מיקדם הוא דקדמי, הא איכא שקלי</w:t>
      </w:r>
      <w:r>
        <w:rPr>
          <w:rFonts w:cs="Arial" w:hint="cs"/>
          <w:rtl/>
        </w:rPr>
        <w:t>.</w:t>
      </w:r>
      <w:r w:rsidRPr="002535AE">
        <w:rPr>
          <w:rFonts w:cs="Arial"/>
          <w:rtl/>
        </w:rPr>
        <w:t xml:space="preserve"> ושמע מינה, כתובה נעשית מותר לחברתה</w:t>
      </w:r>
      <w:r>
        <w:rPr>
          <w:rStyle w:val="a7"/>
          <w:rFonts w:cs="Arial"/>
          <w:rtl/>
        </w:rPr>
        <w:footnoteReference w:id="2768"/>
      </w:r>
      <w:r>
        <w:rPr>
          <w:rFonts w:cs="Arial" w:hint="cs"/>
          <w:rtl/>
        </w:rPr>
        <w:t>.</w:t>
      </w:r>
      <w:r w:rsidRPr="002535AE">
        <w:rPr>
          <w:rFonts w:cs="Arial"/>
          <w:rtl/>
        </w:rPr>
        <w:t xml:space="preserve"> ממאי? מדלא קתני אם יש שם מותר דינר</w:t>
      </w:r>
      <w:r>
        <w:rPr>
          <w:rFonts w:cs="Arial" w:hint="cs"/>
          <w:rtl/>
        </w:rPr>
        <w:t>...</w:t>
      </w:r>
      <w:r>
        <w:rPr>
          <w:rFonts w:hint="cs"/>
          <w:sz w:val="14"/>
          <w:szCs w:val="14"/>
          <w:rtl/>
        </w:rPr>
        <w:t xml:space="preserve"> (צא.)</w:t>
      </w:r>
      <w:r w:rsidRPr="002535AE">
        <w:rPr>
          <w:rtl/>
        </w:rPr>
        <w:t xml:space="preserve"> </w:t>
      </w:r>
      <w:r w:rsidRPr="002535AE">
        <w:rPr>
          <w:rFonts w:cs="Arial"/>
          <w:u w:val="single"/>
          <w:rtl/>
        </w:rPr>
        <w:t>אמר מר זוטרא משמיה דרב פפא</w:t>
      </w:r>
      <w:r>
        <w:rPr>
          <w:rFonts w:cs="Arial" w:hint="cs"/>
          <w:rtl/>
        </w:rPr>
        <w:t>:</w:t>
      </w:r>
      <w:r w:rsidRPr="002535AE">
        <w:rPr>
          <w:rFonts w:cs="Arial"/>
          <w:rtl/>
        </w:rPr>
        <w:t xml:space="preserve"> הלכתא</w:t>
      </w:r>
      <w:r>
        <w:rPr>
          <w:rFonts w:cs="Arial" w:hint="cs"/>
          <w:rtl/>
        </w:rPr>
        <w:t>,</w:t>
      </w:r>
      <w:r w:rsidRPr="002535AE">
        <w:rPr>
          <w:rFonts w:cs="Arial"/>
          <w:rtl/>
        </w:rPr>
        <w:t xml:space="preserve"> אחת בחייו ואחת במותו - יש להן כתובת בנין דכרין, וכתובה נעשית מותר לחברתה.</w:t>
      </w:r>
    </w:p>
    <w:p w14:paraId="69547654" w14:textId="77777777" w:rsidR="002E5BAD" w:rsidRPr="008A7171" w:rsidRDefault="002E5BAD" w:rsidP="002E5BAD">
      <w:pPr>
        <w:rPr>
          <w:sz w:val="16"/>
          <w:szCs w:val="16"/>
          <w:rtl/>
        </w:rPr>
      </w:pPr>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מח ע"א:</w:t>
      </w:r>
      <w:r>
        <w:rPr>
          <w:rFonts w:hint="cs"/>
          <w:rtl/>
        </w:rPr>
        <w:t xml:space="preserve"> </w:t>
      </w:r>
      <w:r w:rsidRPr="008A7171">
        <w:rPr>
          <w:rFonts w:cs="Arial"/>
          <w:rtl/>
        </w:rPr>
        <w:t>תא שמע: נשא ראשונה ומתה, נשא שניה ומת הוא - שניה ויורשיה קודמין ליורשי הראשונה! ה"נ שנשבעה ומתה.</w:t>
      </w:r>
      <w:r>
        <w:rPr>
          <w:rFonts w:hint="cs"/>
          <w:sz w:val="16"/>
          <w:szCs w:val="16"/>
          <w:rtl/>
        </w:rPr>
        <w:t xml:space="preserve"> (וכתב הב"י שנתבאר דין זה בסימן צ"ו)</w:t>
      </w:r>
    </w:p>
    <w:p w14:paraId="684C76AA" w14:textId="77777777" w:rsidR="002E5BAD" w:rsidRPr="00F50CEC" w:rsidRDefault="002E5BAD" w:rsidP="002E5BAD">
      <w:pPr>
        <w:rPr>
          <w:u w:val="single"/>
          <w:rtl/>
        </w:rPr>
      </w:pPr>
      <w:r w:rsidRPr="00F50CEC">
        <w:rPr>
          <w:rFonts w:hint="cs"/>
          <w:u w:val="single"/>
          <w:rtl/>
        </w:rPr>
        <w:t xml:space="preserve">היה נשוי שתי נשים, אחת מתה בחייו ואחת לאחר מותו </w:t>
      </w:r>
      <w:r w:rsidRPr="00F50CEC">
        <w:rPr>
          <w:u w:val="single"/>
          <w:rtl/>
        </w:rPr>
        <w:t>–</w:t>
      </w:r>
      <w:r w:rsidRPr="00F50CEC">
        <w:rPr>
          <w:rFonts w:hint="cs"/>
          <w:u w:val="single"/>
          <w:rtl/>
        </w:rPr>
        <w:t xml:space="preserve"> האם יש ליורשים כתובת בנין דכרין: </w:t>
      </w:r>
    </w:p>
    <w:p w14:paraId="58714527" w14:textId="77777777" w:rsidR="002E5BAD" w:rsidRPr="00A059EA" w:rsidRDefault="002E5BAD" w:rsidP="00B75458">
      <w:pPr>
        <w:pStyle w:val="ab"/>
        <w:numPr>
          <w:ilvl w:val="0"/>
          <w:numId w:val="195"/>
        </w:numPr>
      </w:pPr>
      <w:r>
        <w:rPr>
          <w:rFonts w:hint="cs"/>
          <w:rtl/>
        </w:rPr>
        <w:t xml:space="preserve">רמב"ם </w:t>
      </w:r>
      <w:r w:rsidRPr="00880514">
        <w:rPr>
          <w:rFonts w:hint="cs"/>
          <w:sz w:val="16"/>
          <w:szCs w:val="16"/>
          <w:rtl/>
        </w:rPr>
        <w:t xml:space="preserve">(פי"ט ה"ז) </w:t>
      </w:r>
      <w:r>
        <w:rPr>
          <w:rFonts w:hint="cs"/>
          <w:rtl/>
        </w:rPr>
        <w:t>וטור-</w:t>
      </w:r>
      <w:r>
        <w:rPr>
          <w:rFonts w:cs="Arial" w:hint="cs"/>
          <w:rtl/>
        </w:rPr>
        <w:t xml:space="preserve"> </w:t>
      </w:r>
      <w:r w:rsidRPr="008A1F1E">
        <w:rPr>
          <w:rFonts w:cs="Arial"/>
          <w:rtl/>
        </w:rPr>
        <w:t>והא דבעינן שיהא שם מותר דינר דוקא כששתיהם מתו בחייו</w:t>
      </w:r>
      <w:r>
        <w:rPr>
          <w:rFonts w:cs="Arial" w:hint="cs"/>
          <w:rtl/>
        </w:rPr>
        <w:t>,</w:t>
      </w:r>
      <w:r w:rsidRPr="008A1F1E">
        <w:rPr>
          <w:rFonts w:cs="Arial"/>
          <w:rtl/>
        </w:rPr>
        <w:t xml:space="preserve"> ששניהם באין מכח התקנה</w:t>
      </w:r>
      <w:r>
        <w:rPr>
          <w:rFonts w:cs="Arial" w:hint="cs"/>
          <w:rtl/>
        </w:rPr>
        <w:t>,</w:t>
      </w:r>
      <w:r w:rsidRPr="008A1F1E">
        <w:rPr>
          <w:rFonts w:cs="Arial"/>
          <w:rtl/>
        </w:rPr>
        <w:t xml:space="preserve"> לפיכך בעינן מותר לקיים בו נחלה דאורייתא</w:t>
      </w:r>
      <w:r>
        <w:rPr>
          <w:rFonts w:cs="Arial" w:hint="cs"/>
          <w:rtl/>
        </w:rPr>
        <w:t>.</w:t>
      </w:r>
      <w:r w:rsidRPr="008A1F1E">
        <w:rPr>
          <w:rFonts w:cs="Arial"/>
          <w:rtl/>
        </w:rPr>
        <w:t xml:space="preserve"> אבל אם מתה אחת בחייו ואחת אחר מותו</w:t>
      </w:r>
      <w:r>
        <w:rPr>
          <w:rFonts w:cs="Arial" w:hint="cs"/>
          <w:rtl/>
        </w:rPr>
        <w:t>,</w:t>
      </w:r>
      <w:r w:rsidRPr="008A1F1E">
        <w:rPr>
          <w:rFonts w:cs="Arial"/>
          <w:rtl/>
        </w:rPr>
        <w:t xml:space="preserve"> ונשבעה על כתובתה אותה שמתה אחרי מותו קודם שמתה</w:t>
      </w:r>
      <w:r>
        <w:rPr>
          <w:rFonts w:cs="Arial" w:hint="cs"/>
          <w:rtl/>
        </w:rPr>
        <w:t>,</w:t>
      </w:r>
      <w:r w:rsidRPr="00A059EA">
        <w:rPr>
          <w:rFonts w:cs="Arial"/>
          <w:rtl/>
        </w:rPr>
        <w:t xml:space="preserve"> </w:t>
      </w:r>
      <w:r w:rsidRPr="008A1F1E">
        <w:rPr>
          <w:rFonts w:cs="Arial"/>
          <w:rtl/>
        </w:rPr>
        <w:t>שאם לא כן אין בניה יורשים כתובתה</w:t>
      </w:r>
      <w:r>
        <w:rPr>
          <w:rFonts w:cs="Arial" w:hint="cs"/>
          <w:rtl/>
        </w:rPr>
        <w:t>,</w:t>
      </w:r>
      <w:r w:rsidRPr="008A1F1E">
        <w:rPr>
          <w:rFonts w:cs="Arial"/>
          <w:rtl/>
        </w:rPr>
        <w:t xml:space="preserve"> נמצא שבני אותה שמתה אחרי מותו אינן באים מכח התקנה</w:t>
      </w:r>
      <w:r>
        <w:rPr>
          <w:rFonts w:cs="Arial" w:hint="cs"/>
          <w:rtl/>
        </w:rPr>
        <w:t>,</w:t>
      </w:r>
      <w:r w:rsidRPr="008A1F1E">
        <w:rPr>
          <w:rFonts w:cs="Arial"/>
          <w:rtl/>
        </w:rPr>
        <w:t xml:space="preserve"> שמן הדין יורשים כתובת אמן </w:t>
      </w:r>
      <w:r>
        <w:rPr>
          <w:rFonts w:cs="Arial" w:hint="cs"/>
          <w:rtl/>
        </w:rPr>
        <w:t xml:space="preserve">- </w:t>
      </w:r>
      <w:r w:rsidRPr="008A1F1E">
        <w:rPr>
          <w:rFonts w:cs="Arial"/>
          <w:rtl/>
        </w:rPr>
        <w:t>אז א"צ שיהיה שם מותר אלא בני כל אחת נוטלים כתובת אמן</w:t>
      </w:r>
      <w:r>
        <w:rPr>
          <w:rFonts w:cs="Arial" w:hint="cs"/>
          <w:rtl/>
        </w:rPr>
        <w:t>,</w:t>
      </w:r>
      <w:r w:rsidRPr="008A1F1E">
        <w:rPr>
          <w:rFonts w:cs="Arial"/>
          <w:rtl/>
        </w:rPr>
        <w:t xml:space="preserve"> שהרי בפרעון כתובת השנייה מתקיים נחלה דאורייתא</w:t>
      </w:r>
      <w:r>
        <w:rPr>
          <w:rFonts w:cs="Arial" w:hint="cs"/>
          <w:sz w:val="16"/>
          <w:szCs w:val="16"/>
          <w:rtl/>
        </w:rPr>
        <w:t xml:space="preserve"> (ל' הטור)</w:t>
      </w:r>
      <w:r>
        <w:rPr>
          <w:rFonts w:cs="Arial" w:hint="cs"/>
          <w:rtl/>
        </w:rPr>
        <w:t>.</w:t>
      </w:r>
      <w:r w:rsidRPr="005457C1">
        <w:rPr>
          <w:rFonts w:hint="cs"/>
          <w:color w:val="E36C0A" w:themeColor="accent6" w:themeShade="BF"/>
          <w:rtl/>
        </w:rPr>
        <w:t xml:space="preserve"> </w:t>
      </w:r>
      <w:r w:rsidRPr="0081621B">
        <w:rPr>
          <w:rFonts w:hint="cs"/>
          <w:color w:val="E36C0A" w:themeColor="accent6" w:themeShade="BF"/>
          <w:rtl/>
        </w:rPr>
        <w:t>(וכ"פ בשו"ע)</w:t>
      </w:r>
    </w:p>
    <w:p w14:paraId="0C76CA81" w14:textId="77777777" w:rsidR="002E5BAD" w:rsidRPr="00A059EA" w:rsidRDefault="002E5BAD" w:rsidP="002E5BAD">
      <w:pPr>
        <w:ind w:left="360"/>
        <w:rPr>
          <w:u w:val="dotted"/>
        </w:rPr>
      </w:pPr>
      <w:r w:rsidRPr="00A059EA">
        <w:rPr>
          <w:rFonts w:cs="Arial" w:hint="cs"/>
          <w:u w:val="dotted"/>
          <w:rtl/>
        </w:rPr>
        <w:t xml:space="preserve">ומה הדין </w:t>
      </w:r>
      <w:r w:rsidRPr="00A059EA">
        <w:rPr>
          <w:rFonts w:hint="cs"/>
          <w:u w:val="dotted"/>
          <w:rtl/>
        </w:rPr>
        <w:t>אם אותה שמתה בחייו לא נשבעה:</w:t>
      </w:r>
    </w:p>
    <w:p w14:paraId="44436877" w14:textId="77777777" w:rsidR="002E5BAD" w:rsidRDefault="002E5BAD" w:rsidP="00B75458">
      <w:pPr>
        <w:pStyle w:val="ab"/>
        <w:numPr>
          <w:ilvl w:val="0"/>
          <w:numId w:val="195"/>
        </w:numPr>
      </w:pPr>
      <w:r>
        <w:rPr>
          <w:rFonts w:cs="Arial" w:hint="cs"/>
          <w:rtl/>
        </w:rPr>
        <w:lastRenderedPageBreak/>
        <w:t xml:space="preserve">טור- </w:t>
      </w:r>
      <w:r w:rsidRPr="00F50CEC">
        <w:rPr>
          <w:rFonts w:cs="Arial"/>
          <w:rtl/>
        </w:rPr>
        <w:t>ואותה שמתה בחייו אף על פי שלא נשבעה בניה נוטלים כתובת בנין דכרין</w:t>
      </w:r>
      <w:r w:rsidRPr="00F50CEC">
        <w:rPr>
          <w:rFonts w:cs="Arial" w:hint="cs"/>
          <w:rtl/>
        </w:rPr>
        <w:t>,</w:t>
      </w:r>
      <w:r w:rsidRPr="00F50CEC">
        <w:rPr>
          <w:rFonts w:cs="Arial"/>
          <w:rtl/>
        </w:rPr>
        <w:t xml:space="preserve"> שאין עליה שבועה שלא נתנה כתובה לגבות מחיים</w:t>
      </w:r>
      <w:r>
        <w:rPr>
          <w:rStyle w:val="a7"/>
          <w:rFonts w:cs="Arial"/>
          <w:rtl/>
        </w:rPr>
        <w:footnoteReference w:id="2769"/>
      </w:r>
      <w:r w:rsidRPr="00F50CEC">
        <w:rPr>
          <w:rFonts w:cs="Arial" w:hint="cs"/>
          <w:rtl/>
        </w:rPr>
        <w:t>.</w:t>
      </w:r>
      <w:r w:rsidRPr="00F50CEC">
        <w:rPr>
          <w:rFonts w:cs="Arial"/>
          <w:rtl/>
        </w:rPr>
        <w:t xml:space="preserve"> </w:t>
      </w:r>
      <w:r w:rsidRPr="0081621B">
        <w:rPr>
          <w:rFonts w:hint="cs"/>
          <w:color w:val="E36C0A" w:themeColor="accent6" w:themeShade="BF"/>
          <w:rtl/>
        </w:rPr>
        <w:t>(וכ"פ בשו"ע)</w:t>
      </w:r>
    </w:p>
    <w:p w14:paraId="690B8082" w14:textId="77777777" w:rsidR="002E5BAD" w:rsidRPr="00A059EA" w:rsidRDefault="002E5BAD" w:rsidP="002E5BAD">
      <w:pPr>
        <w:ind w:left="360"/>
        <w:rPr>
          <w:u w:val="dotted"/>
        </w:rPr>
      </w:pPr>
      <w:r w:rsidRPr="00A059EA">
        <w:rPr>
          <w:rFonts w:cs="Arial" w:hint="cs"/>
          <w:u w:val="dotted"/>
          <w:rtl/>
        </w:rPr>
        <w:t xml:space="preserve">ומה הדין </w:t>
      </w:r>
      <w:r w:rsidRPr="00A059EA">
        <w:rPr>
          <w:rFonts w:hint="cs"/>
          <w:u w:val="dotted"/>
          <w:rtl/>
        </w:rPr>
        <w:t xml:space="preserve">אם </w:t>
      </w:r>
      <w:r>
        <w:rPr>
          <w:rFonts w:hint="cs"/>
          <w:u w:val="dotted"/>
          <w:rtl/>
        </w:rPr>
        <w:t>האשה</w:t>
      </w:r>
      <w:r w:rsidRPr="00A059EA">
        <w:rPr>
          <w:rFonts w:hint="cs"/>
          <w:u w:val="dotted"/>
          <w:rtl/>
        </w:rPr>
        <w:t xml:space="preserve"> שמתה לאחר מותו לא נשבעה:</w:t>
      </w:r>
    </w:p>
    <w:p w14:paraId="794DEEEA" w14:textId="77777777" w:rsidR="002E5BAD" w:rsidRPr="00F45401" w:rsidRDefault="002E5BAD" w:rsidP="00B75458">
      <w:pPr>
        <w:pStyle w:val="ab"/>
        <w:numPr>
          <w:ilvl w:val="0"/>
          <w:numId w:val="195"/>
        </w:numPr>
      </w:pPr>
      <w:r>
        <w:rPr>
          <w:rFonts w:hint="cs"/>
          <w:rtl/>
        </w:rPr>
        <w:t xml:space="preserve">רמב"ם </w:t>
      </w:r>
      <w:r w:rsidRPr="00880514">
        <w:rPr>
          <w:rFonts w:hint="cs"/>
          <w:sz w:val="16"/>
          <w:szCs w:val="16"/>
          <w:rtl/>
        </w:rPr>
        <w:t xml:space="preserve">(פי"ט ה"ז) </w:t>
      </w:r>
      <w:r>
        <w:rPr>
          <w:rFonts w:hint="cs"/>
          <w:rtl/>
        </w:rPr>
        <w:t>וטור</w:t>
      </w:r>
      <w:r>
        <w:rPr>
          <w:rStyle w:val="a7"/>
          <w:rFonts w:cs="Arial"/>
          <w:rtl/>
        </w:rPr>
        <w:footnoteReference w:id="2770"/>
      </w:r>
      <w:r>
        <w:rPr>
          <w:rFonts w:hint="cs"/>
          <w:rtl/>
        </w:rPr>
        <w:t xml:space="preserve">- </w:t>
      </w:r>
      <w:r w:rsidRPr="00880514">
        <w:rPr>
          <w:rFonts w:cs="Arial"/>
          <w:rtl/>
        </w:rPr>
        <w:t>אם מתה קודם שתשבע בני הראשונה יורשים כתובת אמן בלבד והשאר חולקין בשוה</w:t>
      </w:r>
      <w:r>
        <w:rPr>
          <w:rStyle w:val="a7"/>
          <w:rFonts w:cs="Arial"/>
          <w:rtl/>
        </w:rPr>
        <w:footnoteReference w:id="2771"/>
      </w:r>
      <w:r>
        <w:rPr>
          <w:rFonts w:cs="Arial" w:hint="cs"/>
          <w:sz w:val="16"/>
          <w:szCs w:val="16"/>
          <w:rtl/>
        </w:rPr>
        <w:t xml:space="preserve"> (ל' הרמב"ם)</w:t>
      </w:r>
      <w:r w:rsidRPr="00880514">
        <w:rPr>
          <w:rFonts w:cs="Arial"/>
          <w:rtl/>
        </w:rPr>
        <w:t>.</w:t>
      </w:r>
      <w:r w:rsidRPr="005457C1">
        <w:rPr>
          <w:rFonts w:hint="cs"/>
          <w:color w:val="E36C0A" w:themeColor="accent6" w:themeShade="BF"/>
          <w:rtl/>
        </w:rPr>
        <w:t xml:space="preserve"> </w:t>
      </w:r>
      <w:r w:rsidRPr="0081621B">
        <w:rPr>
          <w:rFonts w:hint="cs"/>
          <w:color w:val="E36C0A" w:themeColor="accent6" w:themeShade="BF"/>
          <w:rtl/>
        </w:rPr>
        <w:t>(וכ"פ בשו"ע)</w:t>
      </w:r>
    </w:p>
    <w:p w14:paraId="3DD3723B" w14:textId="77777777" w:rsidR="002E5BAD" w:rsidRDefault="002E5BAD" w:rsidP="00B75458">
      <w:pPr>
        <w:pStyle w:val="ab"/>
        <w:numPr>
          <w:ilvl w:val="0"/>
          <w:numId w:val="195"/>
        </w:numPr>
      </w:pPr>
      <w:r w:rsidRPr="008A1F1E">
        <w:rPr>
          <w:rFonts w:cs="Arial"/>
          <w:rtl/>
        </w:rPr>
        <w:t>בהע</w:t>
      </w:r>
      <w:r>
        <w:rPr>
          <w:rFonts w:cs="Arial" w:hint="cs"/>
          <w:rtl/>
        </w:rPr>
        <w:t xml:space="preserve">י"ט </w:t>
      </w:r>
      <w:r w:rsidRPr="00880514">
        <w:rPr>
          <w:rFonts w:cs="Arial" w:hint="cs"/>
          <w:sz w:val="16"/>
          <w:szCs w:val="16"/>
          <w:rtl/>
        </w:rPr>
        <w:t>(אות כ כתובות לב ע"ד, ועיין במרדכי סי' רלה)</w:t>
      </w:r>
      <w:r>
        <w:rPr>
          <w:rFonts w:cs="Arial" w:hint="cs"/>
          <w:rtl/>
        </w:rPr>
        <w:t xml:space="preserve">- </w:t>
      </w:r>
      <w:r w:rsidRPr="008A1F1E">
        <w:rPr>
          <w:rFonts w:cs="Arial"/>
          <w:rtl/>
        </w:rPr>
        <w:t>גם בני השנייה שמתה אחרי מותו נוטלין כתובת בנין דכרין אף על פי שלא נשבעה אמן קודם מיתתה</w:t>
      </w:r>
      <w:r>
        <w:rPr>
          <w:rFonts w:cs="Arial" w:hint="cs"/>
          <w:rtl/>
        </w:rPr>
        <w:t>.</w:t>
      </w:r>
      <w:r w:rsidRPr="008A1F1E">
        <w:rPr>
          <w:rFonts w:cs="Arial"/>
          <w:rtl/>
        </w:rPr>
        <w:t xml:space="preserve"> </w:t>
      </w:r>
    </w:p>
    <w:p w14:paraId="73D21893" w14:textId="77777777" w:rsidR="002E5BAD" w:rsidRPr="005457C1" w:rsidRDefault="002E5BAD" w:rsidP="002E5BAD">
      <w:pPr>
        <w:ind w:left="360"/>
        <w:rPr>
          <w:u w:val="dotted"/>
        </w:rPr>
      </w:pPr>
      <w:r w:rsidRPr="005457C1">
        <w:rPr>
          <w:rFonts w:hint="cs"/>
          <w:u w:val="dotted"/>
          <w:rtl/>
        </w:rPr>
        <w:t>ומה הדין מתו שתיהן לאחר מותו:</w:t>
      </w:r>
    </w:p>
    <w:p w14:paraId="5E05A2C1" w14:textId="77777777" w:rsidR="002E5BAD" w:rsidRPr="00880514" w:rsidRDefault="002E5BAD" w:rsidP="00B75458">
      <w:pPr>
        <w:pStyle w:val="ab"/>
        <w:numPr>
          <w:ilvl w:val="0"/>
          <w:numId w:val="195"/>
        </w:numPr>
      </w:pPr>
      <w:r>
        <w:rPr>
          <w:rFonts w:cs="Arial" w:hint="cs"/>
          <w:rtl/>
        </w:rPr>
        <w:t xml:space="preserve">טור- </w:t>
      </w:r>
      <w:r w:rsidRPr="008A1F1E">
        <w:rPr>
          <w:rFonts w:cs="Arial"/>
          <w:rtl/>
        </w:rPr>
        <w:t>וכ"ש אם מתו שתיהן אחרי מותו שבני כל אחת נוטלין כתובת אמן אפי' אם אין שם מותר</w:t>
      </w:r>
      <w:r>
        <w:rPr>
          <w:rFonts w:cs="Arial" w:hint="cs"/>
          <w:rtl/>
        </w:rPr>
        <w:t>,</w:t>
      </w:r>
      <w:r w:rsidRPr="008A1F1E">
        <w:rPr>
          <w:rFonts w:cs="Arial"/>
          <w:rtl/>
        </w:rPr>
        <w:t xml:space="preserve"> שהרי באין בתורת חוב</w:t>
      </w:r>
      <w:r>
        <w:rPr>
          <w:rStyle w:val="a7"/>
          <w:rFonts w:cs="Arial"/>
          <w:rtl/>
        </w:rPr>
        <w:footnoteReference w:id="2772"/>
      </w:r>
      <w:r>
        <w:rPr>
          <w:rFonts w:cs="Arial" w:hint="cs"/>
          <w:rtl/>
        </w:rPr>
        <w:t>.</w:t>
      </w:r>
      <w:r w:rsidRPr="008A1F1E">
        <w:rPr>
          <w:rFonts w:cs="Arial"/>
          <w:rtl/>
        </w:rPr>
        <w:t xml:space="preserve"> </w:t>
      </w:r>
      <w:r w:rsidRPr="0081621B">
        <w:rPr>
          <w:rFonts w:hint="cs"/>
          <w:color w:val="E36C0A" w:themeColor="accent6" w:themeShade="BF"/>
          <w:rtl/>
        </w:rPr>
        <w:t>(וכ"פ בשו"ע)</w:t>
      </w:r>
    </w:p>
    <w:p w14:paraId="1941C0EC" w14:textId="77777777" w:rsidR="002E5BAD" w:rsidRPr="005457C1" w:rsidRDefault="002E5BAD" w:rsidP="002E5BAD">
      <w:pPr>
        <w:ind w:left="360"/>
        <w:rPr>
          <w:rFonts w:cs="Arial"/>
          <w:u w:val="dotted"/>
          <w:rtl/>
        </w:rPr>
      </w:pPr>
      <w:r w:rsidRPr="005457C1">
        <w:rPr>
          <w:rFonts w:cs="Arial" w:hint="cs"/>
          <w:u w:val="dotted"/>
          <w:rtl/>
        </w:rPr>
        <w:t>ומה הדין אם גירש אחת, ולאחר מותו מתה השניה:</w:t>
      </w:r>
    </w:p>
    <w:p w14:paraId="0A92EC6A" w14:textId="77777777" w:rsidR="002E5BAD" w:rsidRDefault="002E5BAD" w:rsidP="00B75458">
      <w:pPr>
        <w:pStyle w:val="ab"/>
        <w:numPr>
          <w:ilvl w:val="0"/>
          <w:numId w:val="195"/>
        </w:numPr>
      </w:pPr>
      <w:r>
        <w:rPr>
          <w:rFonts w:cs="Arial" w:hint="cs"/>
          <w:rtl/>
        </w:rPr>
        <w:t xml:space="preserve">טור- </w:t>
      </w:r>
      <w:r w:rsidRPr="008A1F1E">
        <w:rPr>
          <w:rFonts w:cs="Arial"/>
          <w:rtl/>
        </w:rPr>
        <w:t>וכן אם גירש אחת</w:t>
      </w:r>
      <w:r>
        <w:rPr>
          <w:rStyle w:val="a7"/>
          <w:rFonts w:cs="Arial"/>
          <w:rtl/>
        </w:rPr>
        <w:footnoteReference w:id="2773"/>
      </w:r>
      <w:r>
        <w:rPr>
          <w:rFonts w:cs="Arial" w:hint="cs"/>
          <w:rtl/>
        </w:rPr>
        <w:t>,</w:t>
      </w:r>
      <w:r w:rsidRPr="008A1F1E">
        <w:rPr>
          <w:rFonts w:cs="Arial"/>
          <w:rtl/>
        </w:rPr>
        <w:t xml:space="preserve"> ומתה אחת בחייו</w:t>
      </w:r>
      <w:r>
        <w:rPr>
          <w:rFonts w:cs="Arial" w:hint="cs"/>
          <w:rtl/>
        </w:rPr>
        <w:t>,</w:t>
      </w:r>
      <w:r w:rsidRPr="008A1F1E">
        <w:rPr>
          <w:rFonts w:cs="Arial"/>
          <w:rtl/>
        </w:rPr>
        <w:t xml:space="preserve"> ואח"כ מת והניח בנים משתיהן </w:t>
      </w:r>
      <w:r>
        <w:rPr>
          <w:rFonts w:cs="Arial" w:hint="cs"/>
          <w:rtl/>
        </w:rPr>
        <w:t xml:space="preserve">- </w:t>
      </w:r>
      <w:r w:rsidRPr="008A1F1E">
        <w:rPr>
          <w:rFonts w:cs="Arial"/>
          <w:rtl/>
        </w:rPr>
        <w:t>בני המתה נוטלין כתובת בנין דכרין אפי' אין שם מותר דינר</w:t>
      </w:r>
      <w:r>
        <w:rPr>
          <w:rFonts w:cs="Arial" w:hint="cs"/>
          <w:rtl/>
        </w:rPr>
        <w:t>,</w:t>
      </w:r>
      <w:r w:rsidRPr="008A1F1E">
        <w:rPr>
          <w:rFonts w:cs="Arial"/>
          <w:rtl/>
        </w:rPr>
        <w:t xml:space="preserve"> דכתובת הגרושה שהיא חוב נעשית מותר לחבירתה</w:t>
      </w:r>
      <w:r>
        <w:rPr>
          <w:rFonts w:cs="Arial" w:hint="cs"/>
          <w:rtl/>
        </w:rPr>
        <w:t>.</w:t>
      </w:r>
      <w:r w:rsidRPr="008A1F1E">
        <w:rPr>
          <w:rFonts w:cs="Arial"/>
          <w:rtl/>
        </w:rPr>
        <w:t xml:space="preserve"> לפיכך בני הגרושה נוטלים תחילה</w:t>
      </w:r>
      <w:r>
        <w:rPr>
          <w:rFonts w:cs="Arial" w:hint="cs"/>
          <w:rtl/>
        </w:rPr>
        <w:t>,</w:t>
      </w:r>
      <w:r w:rsidRPr="008A1F1E">
        <w:rPr>
          <w:rFonts w:cs="Arial"/>
          <w:rtl/>
        </w:rPr>
        <w:t xml:space="preserve"> ואח"כ בני המתה</w:t>
      </w:r>
      <w:r>
        <w:rPr>
          <w:rStyle w:val="a7"/>
          <w:rFonts w:cs="Arial"/>
          <w:rtl/>
        </w:rPr>
        <w:footnoteReference w:id="2774"/>
      </w:r>
      <w:r>
        <w:rPr>
          <w:rFonts w:cs="Arial" w:hint="cs"/>
          <w:rtl/>
        </w:rPr>
        <w:t>.</w:t>
      </w:r>
      <w:r w:rsidRPr="008A1F1E">
        <w:rPr>
          <w:rFonts w:cs="Arial"/>
          <w:rtl/>
        </w:rPr>
        <w:t xml:space="preserve"> </w:t>
      </w:r>
      <w:r w:rsidRPr="0081621B">
        <w:rPr>
          <w:rFonts w:hint="cs"/>
          <w:color w:val="E36C0A" w:themeColor="accent6" w:themeShade="BF"/>
          <w:rtl/>
        </w:rPr>
        <w:t>(וכ"פ בשו"ע)</w:t>
      </w:r>
    </w:p>
    <w:p w14:paraId="41844758" w14:textId="77777777" w:rsidR="002E5BAD" w:rsidRDefault="002E5BAD" w:rsidP="002E5BAD">
      <w:pPr>
        <w:rPr>
          <w:rFonts w:cs="Arial"/>
          <w:rtl/>
        </w:rPr>
      </w:pPr>
      <w:r w:rsidRPr="009F2A14">
        <w:rPr>
          <w:rFonts w:cs="Arial" w:hint="cs"/>
          <w:u w:val="single"/>
          <w:rtl/>
        </w:rPr>
        <w:t>האם הבכור נוטל פי שנים בכתובת בנין דכרין:</w:t>
      </w:r>
      <w:r>
        <w:rPr>
          <w:rFonts w:cs="Arial" w:hint="cs"/>
          <w:rtl/>
        </w:rPr>
        <w:t xml:space="preserve"> </w:t>
      </w:r>
      <w:r w:rsidRPr="009F2A14">
        <w:rPr>
          <w:rFonts w:cs="Arial"/>
          <w:sz w:val="16"/>
          <w:szCs w:val="16"/>
          <w:rtl/>
        </w:rPr>
        <w:t>(</w:t>
      </w:r>
      <w:r w:rsidRPr="009F2A14">
        <w:rPr>
          <w:rFonts w:cs="Arial" w:hint="cs"/>
          <w:sz w:val="16"/>
          <w:szCs w:val="16"/>
          <w:rtl/>
        </w:rPr>
        <w:t xml:space="preserve">דרכ"מ אות </w:t>
      </w:r>
      <w:r w:rsidRPr="009F2A14">
        <w:rPr>
          <w:rFonts w:cs="Arial"/>
          <w:sz w:val="16"/>
          <w:szCs w:val="16"/>
          <w:rtl/>
        </w:rPr>
        <w:t>ד)</w:t>
      </w:r>
      <w:r w:rsidRPr="008A1F1E">
        <w:rPr>
          <w:rFonts w:cs="Arial"/>
          <w:rtl/>
        </w:rPr>
        <w:t xml:space="preserve"> </w:t>
      </w:r>
    </w:p>
    <w:p w14:paraId="0AB1D496" w14:textId="77777777" w:rsidR="002E5BAD" w:rsidRDefault="002E5BAD" w:rsidP="00B75458">
      <w:pPr>
        <w:pStyle w:val="ab"/>
        <w:numPr>
          <w:ilvl w:val="0"/>
          <w:numId w:val="195"/>
        </w:numPr>
        <w:rPr>
          <w:rtl/>
        </w:rPr>
      </w:pPr>
      <w:r w:rsidRPr="009F2A14">
        <w:rPr>
          <w:rFonts w:cs="Arial" w:hint="cs"/>
          <w:rtl/>
        </w:rPr>
        <w:t>שלט"ג</w:t>
      </w:r>
      <w:r w:rsidRPr="009F2A14">
        <w:rPr>
          <w:rFonts w:cs="Arial"/>
          <w:rtl/>
        </w:rPr>
        <w:t xml:space="preserve"> </w:t>
      </w:r>
      <w:r w:rsidRPr="009F2A14">
        <w:rPr>
          <w:rFonts w:cs="Arial"/>
          <w:sz w:val="16"/>
          <w:szCs w:val="16"/>
          <w:rtl/>
        </w:rPr>
        <w:t>(</w:t>
      </w:r>
      <w:r w:rsidRPr="009F2A14">
        <w:rPr>
          <w:rFonts w:cs="Arial" w:hint="cs"/>
          <w:sz w:val="16"/>
          <w:szCs w:val="16"/>
          <w:rtl/>
        </w:rPr>
        <w:t xml:space="preserve">פ' נערה </w:t>
      </w:r>
      <w:r w:rsidRPr="009F2A14">
        <w:rPr>
          <w:rFonts w:cs="Arial"/>
          <w:sz w:val="16"/>
          <w:szCs w:val="16"/>
          <w:rtl/>
        </w:rPr>
        <w:t xml:space="preserve">יט. </w:t>
      </w:r>
      <w:r>
        <w:rPr>
          <w:rFonts w:cs="Arial" w:hint="cs"/>
          <w:sz w:val="16"/>
          <w:szCs w:val="16"/>
          <w:rtl/>
        </w:rPr>
        <w:t xml:space="preserve">מדפה"ר </w:t>
      </w:r>
      <w:r w:rsidRPr="009F2A14">
        <w:rPr>
          <w:rFonts w:cs="Arial"/>
          <w:sz w:val="16"/>
          <w:szCs w:val="16"/>
          <w:rtl/>
        </w:rPr>
        <w:t>אות ו)</w:t>
      </w:r>
      <w:r w:rsidRPr="009F2A14">
        <w:rPr>
          <w:rFonts w:cs="Arial" w:hint="cs"/>
          <w:rtl/>
        </w:rPr>
        <w:t>-</w:t>
      </w:r>
      <w:r w:rsidRPr="009F2A14">
        <w:rPr>
          <w:rFonts w:cs="Arial"/>
          <w:rtl/>
        </w:rPr>
        <w:t xml:space="preserve"> אין בכור נוטל פי שנים בכתובת בנין דכרין של אמו</w:t>
      </w:r>
      <w:r w:rsidRPr="009F2A14">
        <w:rPr>
          <w:rFonts w:cs="Arial" w:hint="cs"/>
          <w:rtl/>
        </w:rPr>
        <w:t>,</w:t>
      </w:r>
      <w:r w:rsidRPr="009F2A14">
        <w:rPr>
          <w:rFonts w:cs="Arial"/>
          <w:rtl/>
        </w:rPr>
        <w:t xml:space="preserve"> אלא רואין כל הנכסים שהניח אביו בשוה ובאלו חולקין כל האחים ביחד</w:t>
      </w:r>
      <w:r w:rsidRPr="009F2A14">
        <w:rPr>
          <w:rFonts w:cs="Arial" w:hint="cs"/>
          <w:rtl/>
        </w:rPr>
        <w:t>,</w:t>
      </w:r>
      <w:r w:rsidRPr="009F2A14">
        <w:rPr>
          <w:rFonts w:cs="Arial"/>
          <w:rtl/>
        </w:rPr>
        <w:t xml:space="preserve"> ונוטל פי שנים כאחד מהן</w:t>
      </w:r>
      <w:r w:rsidRPr="009F2A14">
        <w:rPr>
          <w:rFonts w:cs="Arial" w:hint="cs"/>
          <w:rtl/>
        </w:rPr>
        <w:t>.</w:t>
      </w:r>
      <w:r>
        <w:rPr>
          <w:rFonts w:hint="cs"/>
          <w:rtl/>
        </w:rPr>
        <w:t xml:space="preserve"> (וכ"פ ב"ש </w:t>
      </w:r>
      <w:r>
        <w:rPr>
          <w:rFonts w:hint="cs"/>
          <w:sz w:val="16"/>
          <w:szCs w:val="16"/>
          <w:rtl/>
        </w:rPr>
        <w:t>[סק"ח]</w:t>
      </w:r>
      <w:r>
        <w:rPr>
          <w:rFonts w:hint="cs"/>
          <w:rtl/>
        </w:rPr>
        <w:t>)</w:t>
      </w:r>
    </w:p>
    <w:p w14:paraId="63353B4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2F38BC" w14:textId="77777777" w:rsidR="002E5BAD" w:rsidRDefault="002E5BAD" w:rsidP="002E5BAD">
      <w:pPr>
        <w:rPr>
          <w:rtl/>
        </w:rPr>
      </w:pPr>
      <w:r>
        <w:rPr>
          <w:rFonts w:cs="Arial"/>
          <w:rtl/>
        </w:rPr>
        <w:t>מי שהיה נשוי שתי נשים ומתה אחת מהם בחייו ואחת אחר מותו, ולו בנים משתיהן, אף על פי שלא הניח יותר על שתי הכתובות</w:t>
      </w:r>
      <w:r>
        <w:rPr>
          <w:rStyle w:val="a7"/>
          <w:rFonts w:cs="Arial"/>
          <w:rtl/>
        </w:rPr>
        <w:footnoteReference w:id="2775"/>
      </w:r>
      <w:r>
        <w:rPr>
          <w:rFonts w:cs="Arial"/>
          <w:rtl/>
        </w:rPr>
        <w:t>, אם נשבעה השניה שבועת אלמנה קודם שתמות, בניה קודמים לירושת כתובתה, מפני שאינם יורשים כתובת אמם בתנאי זה, אלא ירושה של תורה, ואח</w:t>
      </w:r>
      <w:r>
        <w:rPr>
          <w:rFonts w:cs="Arial" w:hint="cs"/>
          <w:rtl/>
        </w:rPr>
        <w:t xml:space="preserve">ר </w:t>
      </w:r>
      <w:r>
        <w:rPr>
          <w:rFonts w:cs="Arial"/>
          <w:rtl/>
        </w:rPr>
        <w:t>כ</w:t>
      </w:r>
      <w:r>
        <w:rPr>
          <w:rFonts w:cs="Arial" w:hint="cs"/>
          <w:rtl/>
        </w:rPr>
        <w:t>ך</w:t>
      </w:r>
      <w:r>
        <w:rPr>
          <w:rFonts w:cs="Arial"/>
          <w:rtl/>
        </w:rPr>
        <w:t xml:space="preserve"> יורשים בני הראשונה כתובת אמם בתנאי זה</w:t>
      </w:r>
      <w:r>
        <w:rPr>
          <w:rFonts w:cs="Arial" w:hint="cs"/>
          <w:rtl/>
        </w:rPr>
        <w:t>,</w:t>
      </w:r>
      <w:r>
        <w:rPr>
          <w:rFonts w:cs="Arial"/>
          <w:rtl/>
        </w:rPr>
        <w:t xml:space="preserve"> ואם נשאר שם כלום, חולקין אותו בשוה. ואם מתה קודם שתשבע, בני הראשונה יורשים כתובת אמם בלבד, והשאר חולקין בשוה</w:t>
      </w:r>
      <w:r>
        <w:rPr>
          <w:rStyle w:val="a7"/>
          <w:rFonts w:cs="Arial"/>
          <w:rtl/>
        </w:rPr>
        <w:footnoteReference w:id="2776"/>
      </w:r>
      <w:r>
        <w:rPr>
          <w:rFonts w:cs="Arial"/>
          <w:rtl/>
        </w:rPr>
        <w:t>. וכ</w:t>
      </w:r>
      <w:r>
        <w:rPr>
          <w:rFonts w:cs="Arial" w:hint="cs"/>
          <w:rtl/>
        </w:rPr>
        <w:t xml:space="preserve">ל </w:t>
      </w:r>
      <w:r>
        <w:rPr>
          <w:rFonts w:cs="Arial"/>
          <w:rtl/>
        </w:rPr>
        <w:t>ש</w:t>
      </w:r>
      <w:r>
        <w:rPr>
          <w:rFonts w:cs="Arial" w:hint="cs"/>
          <w:rtl/>
        </w:rPr>
        <w:t>כן</w:t>
      </w:r>
      <w:r>
        <w:rPr>
          <w:rFonts w:cs="Arial"/>
          <w:rtl/>
        </w:rPr>
        <w:t xml:space="preserve"> אם מתו שתיהן אחר מותו</w:t>
      </w:r>
      <w:r>
        <w:rPr>
          <w:rStyle w:val="a7"/>
          <w:rFonts w:cs="Arial"/>
          <w:rtl/>
        </w:rPr>
        <w:footnoteReference w:id="2777"/>
      </w:r>
      <w:r>
        <w:rPr>
          <w:rFonts w:cs="Arial"/>
          <w:rtl/>
        </w:rPr>
        <w:t>, שבני כל אחת נוטלים כתובת אמם אפי</w:t>
      </w:r>
      <w:r>
        <w:rPr>
          <w:rFonts w:cs="Arial" w:hint="cs"/>
          <w:rtl/>
        </w:rPr>
        <w:t>לו</w:t>
      </w:r>
      <w:r>
        <w:rPr>
          <w:rFonts w:cs="Arial"/>
          <w:rtl/>
        </w:rPr>
        <w:t xml:space="preserve"> אין שם מותר, שהרי באים בתורת חוב. וכן אם גירש אחת, ומתה אחת בחייו, ואח</w:t>
      </w:r>
      <w:r>
        <w:rPr>
          <w:rFonts w:cs="Arial" w:hint="cs"/>
          <w:rtl/>
        </w:rPr>
        <w:t xml:space="preserve">ר </w:t>
      </w:r>
      <w:r>
        <w:rPr>
          <w:rFonts w:cs="Arial"/>
          <w:rtl/>
        </w:rPr>
        <w:t>כ</w:t>
      </w:r>
      <w:r>
        <w:rPr>
          <w:rFonts w:cs="Arial" w:hint="cs"/>
          <w:rtl/>
        </w:rPr>
        <w:t>ך</w:t>
      </w:r>
      <w:r>
        <w:rPr>
          <w:rFonts w:cs="Arial"/>
          <w:rtl/>
        </w:rPr>
        <w:t xml:space="preserve"> מת והניח בנים משתיהן, בני המתה נוטלין כתובת בנין דכרין אפילו אין שם מותר דינר, דכתובת הגרושה שהוא חוב נעשית מותר לחבירתה. לפיכך בני הגרושה נוטלים תחלה</w:t>
      </w:r>
      <w:r>
        <w:rPr>
          <w:rStyle w:val="a7"/>
          <w:rFonts w:cs="Arial"/>
          <w:rtl/>
        </w:rPr>
        <w:footnoteReference w:id="2778"/>
      </w:r>
      <w:r>
        <w:rPr>
          <w:rFonts w:cs="Arial"/>
          <w:rtl/>
        </w:rPr>
        <w:t>, ואח</w:t>
      </w:r>
      <w:r>
        <w:rPr>
          <w:rFonts w:cs="Arial" w:hint="cs"/>
          <w:rtl/>
        </w:rPr>
        <w:t xml:space="preserve">ר </w:t>
      </w:r>
      <w:r>
        <w:rPr>
          <w:rFonts w:cs="Arial"/>
          <w:rtl/>
        </w:rPr>
        <w:t>כ</w:t>
      </w:r>
      <w:r>
        <w:rPr>
          <w:rFonts w:cs="Arial" w:hint="cs"/>
          <w:rtl/>
        </w:rPr>
        <w:t>ך</w:t>
      </w:r>
      <w:r>
        <w:rPr>
          <w:rFonts w:cs="Arial"/>
          <w:rtl/>
        </w:rPr>
        <w:t xml:space="preserve"> בני המתה. </w:t>
      </w:r>
    </w:p>
    <w:p w14:paraId="0AA02B0A" w14:textId="77777777" w:rsidR="002E5BAD" w:rsidRDefault="002E5BAD" w:rsidP="002E5BAD">
      <w:pPr>
        <w:rPr>
          <w:rtl/>
        </w:rPr>
      </w:pPr>
    </w:p>
    <w:p w14:paraId="3D9FCE96" w14:textId="77777777" w:rsidR="002E5BAD" w:rsidRDefault="002E5BAD" w:rsidP="002E5BAD">
      <w:pPr>
        <w:pStyle w:val="2"/>
        <w:rPr>
          <w:rtl/>
        </w:rPr>
      </w:pPr>
      <w:r>
        <w:rPr>
          <w:rtl/>
        </w:rPr>
        <w:t>סעיף ט</w:t>
      </w:r>
      <w:r>
        <w:rPr>
          <w:rFonts w:hint="cs"/>
          <w:rtl/>
        </w:rPr>
        <w:t xml:space="preserve">: כנ"ל, ויש בנכסים רק כדי כתובה ראשונה </w:t>
      </w:r>
      <w:r w:rsidRPr="007B177D">
        <w:rPr>
          <w:rFonts w:hint="cs"/>
          <w:sz w:val="20"/>
          <w:szCs w:val="20"/>
          <w:rtl/>
        </w:rPr>
        <w:t>(ויש/אין מותר דינר</w:t>
      </w:r>
      <w:r>
        <w:rPr>
          <w:rFonts w:hint="cs"/>
          <w:sz w:val="20"/>
          <w:szCs w:val="20"/>
          <w:rtl/>
        </w:rPr>
        <w:t>)</w:t>
      </w:r>
      <w:r>
        <w:rPr>
          <w:rFonts w:hint="cs"/>
          <w:rtl/>
        </w:rPr>
        <w:t>.</w:t>
      </w:r>
    </w:p>
    <w:p w14:paraId="36C533EC" w14:textId="77777777" w:rsidR="002E5BAD" w:rsidRPr="00E41289" w:rsidRDefault="002E5BAD" w:rsidP="002E5BAD">
      <w:pPr>
        <w:rPr>
          <w:rtl/>
        </w:rPr>
      </w:pPr>
      <w:r w:rsidRPr="00F50CEC">
        <w:rPr>
          <w:rFonts w:hint="cs"/>
          <w:u w:val="single"/>
          <w:rtl/>
        </w:rPr>
        <w:t xml:space="preserve">היה נשוי שתי נשים, אחת מתה בחייו ואחת לאחר מותו </w:t>
      </w:r>
      <w:r w:rsidRPr="00F50CEC">
        <w:rPr>
          <w:u w:val="single"/>
          <w:rtl/>
        </w:rPr>
        <w:t>–</w:t>
      </w:r>
      <w:r>
        <w:rPr>
          <w:rFonts w:hint="cs"/>
          <w:u w:val="single"/>
          <w:rtl/>
        </w:rPr>
        <w:t xml:space="preserve"> ויש בנכסים רק כדי כתובה ראשונה:</w:t>
      </w:r>
    </w:p>
    <w:p w14:paraId="4665BFFF" w14:textId="77777777" w:rsidR="002E5BAD" w:rsidRDefault="002E5BAD" w:rsidP="00B75458">
      <w:pPr>
        <w:pStyle w:val="ab"/>
        <w:numPr>
          <w:ilvl w:val="0"/>
          <w:numId w:val="195"/>
        </w:numPr>
      </w:pPr>
      <w:r>
        <w:rPr>
          <w:rFonts w:cs="Arial" w:hint="cs"/>
          <w:rtl/>
        </w:rPr>
        <w:lastRenderedPageBreak/>
        <w:t>רא"ש</w:t>
      </w:r>
      <w:r>
        <w:rPr>
          <w:rStyle w:val="a7"/>
          <w:rFonts w:cs="Arial"/>
          <w:rtl/>
        </w:rPr>
        <w:footnoteReference w:id="2779"/>
      </w:r>
      <w:r>
        <w:rPr>
          <w:rFonts w:cs="Arial" w:hint="cs"/>
          <w:rtl/>
        </w:rPr>
        <w:t xml:space="preserve">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sidRPr="00A16126">
        <w:rPr>
          <w:rFonts w:cs="Arial"/>
          <w:sz w:val="16"/>
          <w:szCs w:val="16"/>
          <w:rtl/>
        </w:rPr>
        <w:t xml:space="preserve"> </w:t>
      </w:r>
      <w:r>
        <w:rPr>
          <w:rFonts w:cs="Arial" w:hint="cs"/>
          <w:rtl/>
        </w:rPr>
        <w:t xml:space="preserve">וטור- </w:t>
      </w:r>
      <w:r w:rsidRPr="008A1F1E">
        <w:rPr>
          <w:rFonts w:cs="Arial"/>
          <w:rtl/>
        </w:rPr>
        <w:t>אין שם אלא כדי כתובה הראשונה</w:t>
      </w:r>
      <w:r>
        <w:rPr>
          <w:rFonts w:cs="Arial" w:hint="cs"/>
          <w:rtl/>
        </w:rPr>
        <w:t>,</w:t>
      </w:r>
      <w:r w:rsidRPr="008A1F1E">
        <w:rPr>
          <w:rFonts w:cs="Arial"/>
          <w:rtl/>
        </w:rPr>
        <w:t xml:space="preserve"> לא אמרינן יפרעו לבני השנייה שבאין בתורת חוב והמותר יקחו בני הראשונה בתורת כתובת בנין דכרין</w:t>
      </w:r>
      <w:r>
        <w:rPr>
          <w:rStyle w:val="a7"/>
          <w:rFonts w:cs="Arial"/>
          <w:rtl/>
        </w:rPr>
        <w:footnoteReference w:id="2780"/>
      </w:r>
      <w:r>
        <w:rPr>
          <w:rFonts w:cs="Arial" w:hint="cs"/>
          <w:rtl/>
        </w:rPr>
        <w:t>,</w:t>
      </w:r>
      <w:r w:rsidRPr="008A1F1E">
        <w:rPr>
          <w:rFonts w:cs="Arial"/>
          <w:rtl/>
        </w:rPr>
        <w:t xml:space="preserve"> אלא אין כאן כתובת בנין דכרין ובני השנייה יטלו כתובת אמן והמותר יחלקו שוה בשוה</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48837C9E" w14:textId="77777777" w:rsidR="002E5BAD" w:rsidRPr="007B177D" w:rsidRDefault="002E5BAD" w:rsidP="002E5BAD">
      <w:pPr>
        <w:ind w:left="360"/>
        <w:rPr>
          <w:u w:val="dotted"/>
        </w:rPr>
      </w:pPr>
      <w:r w:rsidRPr="007B177D">
        <w:rPr>
          <w:rFonts w:hint="cs"/>
          <w:u w:val="dotted"/>
          <w:rtl/>
        </w:rPr>
        <w:t xml:space="preserve">ומה הדין אם יש בנכסים </w:t>
      </w:r>
      <w:r>
        <w:rPr>
          <w:rFonts w:hint="cs"/>
          <w:u w:val="dotted"/>
          <w:rtl/>
        </w:rPr>
        <w:t>מותר דינר על ה</w:t>
      </w:r>
      <w:r w:rsidRPr="007B177D">
        <w:rPr>
          <w:rFonts w:hint="cs"/>
          <w:u w:val="dotted"/>
          <w:rtl/>
        </w:rPr>
        <w:t xml:space="preserve">כתובה </w:t>
      </w:r>
      <w:r>
        <w:rPr>
          <w:rFonts w:hint="cs"/>
          <w:u w:val="dotted"/>
          <w:rtl/>
        </w:rPr>
        <w:t>ה</w:t>
      </w:r>
      <w:r w:rsidRPr="007B177D">
        <w:rPr>
          <w:rFonts w:hint="cs"/>
          <w:u w:val="dotted"/>
          <w:rtl/>
        </w:rPr>
        <w:t>ראשונה:</w:t>
      </w:r>
    </w:p>
    <w:p w14:paraId="77509136" w14:textId="77777777" w:rsidR="002E5BAD" w:rsidRPr="00D96223" w:rsidRDefault="002E5BAD" w:rsidP="00B75458">
      <w:pPr>
        <w:pStyle w:val="ab"/>
        <w:numPr>
          <w:ilvl w:val="0"/>
          <w:numId w:val="195"/>
        </w:numPr>
      </w:pPr>
      <w:r>
        <w:rPr>
          <w:rFonts w:cs="Arial" w:hint="cs"/>
          <w:rtl/>
        </w:rPr>
        <w:t xml:space="preserve">רא"ש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sidRPr="00A16126">
        <w:rPr>
          <w:rFonts w:cs="Arial"/>
          <w:sz w:val="16"/>
          <w:szCs w:val="16"/>
          <w:rtl/>
        </w:rPr>
        <w:t xml:space="preserve"> </w:t>
      </w:r>
      <w:r>
        <w:rPr>
          <w:rFonts w:cs="Arial" w:hint="cs"/>
          <w:rtl/>
        </w:rPr>
        <w:t xml:space="preserve">וטור- </w:t>
      </w:r>
      <w:r w:rsidRPr="008A1F1E">
        <w:rPr>
          <w:rFonts w:cs="Arial"/>
          <w:rtl/>
        </w:rPr>
        <w:t xml:space="preserve">אבל אם יש מותר על כתובה הראשונה אפילו דינר </w:t>
      </w:r>
      <w:r>
        <w:rPr>
          <w:rFonts w:cs="Arial" w:hint="cs"/>
          <w:rtl/>
        </w:rPr>
        <w:t xml:space="preserve">- </w:t>
      </w:r>
      <w:r w:rsidRPr="008A1F1E">
        <w:rPr>
          <w:rFonts w:cs="Arial"/>
          <w:rtl/>
        </w:rPr>
        <w:t>יפרעו לשנייה כתובת אמן והמותר יקחו בני הראשונה בתורת כתובת בנין דכרין</w:t>
      </w:r>
      <w:r>
        <w:rPr>
          <w:rFonts w:cs="Arial" w:hint="cs"/>
          <w:rtl/>
        </w:rPr>
        <w:t>.</w:t>
      </w:r>
      <w:r w:rsidRPr="008A1F1E">
        <w:rPr>
          <w:rFonts w:cs="Arial"/>
          <w:rtl/>
        </w:rPr>
        <w:t xml:space="preserve"> </w:t>
      </w:r>
      <w:r w:rsidRPr="0081621B">
        <w:rPr>
          <w:rFonts w:hint="cs"/>
          <w:color w:val="E36C0A" w:themeColor="accent6" w:themeShade="BF"/>
          <w:rtl/>
        </w:rPr>
        <w:t>(וכ"פ בשו"ע)</w:t>
      </w:r>
    </w:p>
    <w:p w14:paraId="68DFC05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E205CB" w14:textId="77777777" w:rsidR="002E5BAD" w:rsidRDefault="002E5BAD" w:rsidP="002E5BAD">
      <w:pPr>
        <w:rPr>
          <w:rtl/>
        </w:rPr>
      </w:pPr>
      <w:r>
        <w:rPr>
          <w:rFonts w:cs="Arial"/>
          <w:rtl/>
        </w:rPr>
        <w:t xml:space="preserve">מתה אחת בחייו ואחת לאחר מותו, ונשבעה על כתובתה אותה שמתה אחר מותו, ואין שם נכסים אלא כדי כתובת הראשונה, אין כאן </w:t>
      </w:r>
      <w:r>
        <w:rPr>
          <w:rStyle w:val="a7"/>
          <w:rFonts w:cs="Arial"/>
          <w:rtl/>
        </w:rPr>
        <w:footnoteReference w:id="2781"/>
      </w:r>
      <w:r w:rsidRPr="00F43FC3">
        <w:rPr>
          <w:rFonts w:cs="Arial"/>
          <w:rtl/>
        </w:rPr>
        <w:t>כתובת בנין דכרין</w:t>
      </w:r>
      <w:r>
        <w:rPr>
          <w:rFonts w:cs="Arial" w:hint="cs"/>
          <w:rtl/>
        </w:rPr>
        <w:t>.</w:t>
      </w:r>
      <w:r w:rsidRPr="00F43FC3">
        <w:rPr>
          <w:rFonts w:cs="Arial"/>
          <w:rtl/>
        </w:rPr>
        <w:t xml:space="preserve"> אבל אם יש </w:t>
      </w:r>
      <w:r>
        <w:rPr>
          <w:rFonts w:cs="Arial" w:hint="cs"/>
          <w:rtl/>
        </w:rPr>
        <w:t xml:space="preserve">שם </w:t>
      </w:r>
      <w:r w:rsidRPr="00F43FC3">
        <w:rPr>
          <w:rFonts w:cs="Arial"/>
          <w:rtl/>
        </w:rPr>
        <w:t>מותר ע</w:t>
      </w:r>
      <w:r>
        <w:rPr>
          <w:rFonts w:cs="Arial" w:hint="cs"/>
          <w:rtl/>
        </w:rPr>
        <w:t>ל</w:t>
      </w:r>
      <w:r>
        <w:rPr>
          <w:rFonts w:cs="Arial"/>
          <w:rtl/>
        </w:rPr>
        <w:t xml:space="preserve"> כתובה הראשונה אפילו דינר, יפרעו לשניה כתובת אמם והמותר יקחו בני הראשונה בתורת כתובת בנין דכרין</w:t>
      </w:r>
      <w:r>
        <w:rPr>
          <w:rStyle w:val="a7"/>
          <w:rFonts w:cs="Arial"/>
          <w:rtl/>
        </w:rPr>
        <w:footnoteReference w:id="2782"/>
      </w:r>
      <w:r>
        <w:rPr>
          <w:rFonts w:cs="Arial"/>
          <w:rtl/>
        </w:rPr>
        <w:t xml:space="preserve">. </w:t>
      </w:r>
    </w:p>
    <w:p w14:paraId="7C052E2F" w14:textId="77777777" w:rsidR="002E5BAD" w:rsidRDefault="002E5BAD" w:rsidP="002E5BAD">
      <w:pPr>
        <w:rPr>
          <w:rtl/>
        </w:rPr>
      </w:pPr>
    </w:p>
    <w:p w14:paraId="6DC9C193" w14:textId="77777777" w:rsidR="002E5BAD" w:rsidRDefault="002E5BAD" w:rsidP="002E5BAD">
      <w:pPr>
        <w:pStyle w:val="2"/>
        <w:rPr>
          <w:rtl/>
        </w:rPr>
      </w:pPr>
      <w:r>
        <w:rPr>
          <w:rtl/>
        </w:rPr>
        <w:t>סעיף י</w:t>
      </w:r>
      <w:r>
        <w:rPr>
          <w:rFonts w:hint="cs"/>
          <w:rtl/>
        </w:rPr>
        <w:t>:</w:t>
      </w:r>
      <w:r w:rsidRPr="0037496F">
        <w:rPr>
          <w:rFonts w:hint="cs"/>
          <w:rtl/>
        </w:rPr>
        <w:t xml:space="preserve"> </w:t>
      </w:r>
      <w:r>
        <w:rPr>
          <w:rFonts w:hint="cs"/>
          <w:rtl/>
        </w:rPr>
        <w:t>היה נשוי שתי נשים, אחת מתה בחייו, ומת הוא, והשניה קיימת.</w:t>
      </w:r>
    </w:p>
    <w:p w14:paraId="70141205" w14:textId="77777777" w:rsidR="002E5BAD" w:rsidRPr="00CE4035" w:rsidRDefault="002E5BAD" w:rsidP="002E5BAD">
      <w:pPr>
        <w:rPr>
          <w:u w:val="single"/>
          <w:rtl/>
        </w:rPr>
      </w:pPr>
      <w:r w:rsidRPr="00CE4035">
        <w:rPr>
          <w:rFonts w:hint="cs"/>
          <w:u w:val="single"/>
          <w:rtl/>
        </w:rPr>
        <w:t>היה נשוי שתי נשים, אחת מתה בחייו, ומת הוא, והשניה קיימת:</w:t>
      </w:r>
    </w:p>
    <w:p w14:paraId="4D044021" w14:textId="77777777" w:rsidR="002E5BAD" w:rsidRPr="0037496F" w:rsidRDefault="002E5BAD" w:rsidP="00B75458">
      <w:pPr>
        <w:pStyle w:val="ab"/>
        <w:numPr>
          <w:ilvl w:val="0"/>
          <w:numId w:val="195"/>
        </w:numPr>
      </w:pPr>
      <w:r>
        <w:rPr>
          <w:rFonts w:cs="Arial" w:hint="cs"/>
          <w:rtl/>
        </w:rPr>
        <w:t>רא"ש</w:t>
      </w:r>
      <w:r>
        <w:rPr>
          <w:rStyle w:val="a7"/>
          <w:rFonts w:cs="Arial"/>
          <w:rtl/>
        </w:rPr>
        <w:footnoteReference w:id="2783"/>
      </w:r>
      <w:r>
        <w:rPr>
          <w:rFonts w:cs="Arial" w:hint="cs"/>
          <w:sz w:val="16"/>
          <w:szCs w:val="16"/>
          <w:rtl/>
        </w:rPr>
        <w:t xml:space="preserve">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Pr>
          <w:rFonts w:cs="Arial" w:hint="cs"/>
          <w:rtl/>
        </w:rPr>
        <w:t xml:space="preserve"> וטור- </w:t>
      </w:r>
      <w:r w:rsidRPr="008A1F1E">
        <w:rPr>
          <w:rFonts w:cs="Arial"/>
          <w:rtl/>
        </w:rPr>
        <w:t>וכאשר הדין במתה אחת בחייו ואחת אחרי מותו</w:t>
      </w:r>
      <w:r>
        <w:rPr>
          <w:rFonts w:cs="Arial" w:hint="cs"/>
          <w:rtl/>
        </w:rPr>
        <w:t>,</w:t>
      </w:r>
      <w:r w:rsidRPr="008A1F1E">
        <w:rPr>
          <w:rFonts w:cs="Arial"/>
          <w:rtl/>
        </w:rPr>
        <w:t xml:space="preserve"> כן הדין אם מתה אחת בחייו והשנייה קיימת</w:t>
      </w:r>
      <w:r>
        <w:rPr>
          <w:rFonts w:cs="Arial" w:hint="cs"/>
          <w:rtl/>
        </w:rPr>
        <w:t>.</w:t>
      </w:r>
      <w:r w:rsidRPr="008A1F1E">
        <w:rPr>
          <w:rFonts w:cs="Arial"/>
          <w:rtl/>
        </w:rPr>
        <w:t xml:space="preserve"> שדין בני הראשונה עם השנייה כדינם עם בניה</w:t>
      </w:r>
      <w:r>
        <w:rPr>
          <w:rFonts w:cs="Arial" w:hint="cs"/>
          <w:rtl/>
        </w:rPr>
        <w:t>.</w:t>
      </w:r>
      <w:r w:rsidRPr="008A1F1E">
        <w:rPr>
          <w:rFonts w:cs="Arial"/>
          <w:rtl/>
        </w:rPr>
        <w:t xml:space="preserve"> אם יש שם כדי ב' כתובות </w:t>
      </w:r>
      <w:r>
        <w:rPr>
          <w:rFonts w:cs="Arial" w:hint="cs"/>
          <w:rtl/>
        </w:rPr>
        <w:t xml:space="preserve">- </w:t>
      </w:r>
      <w:r w:rsidRPr="008A1F1E">
        <w:rPr>
          <w:rFonts w:cs="Arial"/>
          <w:rtl/>
        </w:rPr>
        <w:t>בני הראשונה נוטלים כתובת אמן והשנייה כתובתה</w:t>
      </w:r>
      <w:r>
        <w:rPr>
          <w:rStyle w:val="a7"/>
          <w:rFonts w:cs="Arial"/>
          <w:rtl/>
        </w:rPr>
        <w:footnoteReference w:id="2784"/>
      </w:r>
      <w:r>
        <w:rPr>
          <w:rFonts w:cs="Arial" w:hint="cs"/>
          <w:sz w:val="16"/>
          <w:szCs w:val="16"/>
          <w:rtl/>
        </w:rPr>
        <w:t xml:space="preserve"> (ל' הטור)</w:t>
      </w:r>
      <w:r>
        <w:rPr>
          <w:rFonts w:cs="Arial" w:hint="cs"/>
          <w:rtl/>
        </w:rPr>
        <w:t>.</w:t>
      </w:r>
      <w:r w:rsidRPr="008A1F1E">
        <w:rPr>
          <w:rFonts w:cs="Arial"/>
          <w:rtl/>
        </w:rPr>
        <w:t xml:space="preserve"> </w:t>
      </w:r>
      <w:r>
        <w:rPr>
          <w:rFonts w:hint="cs"/>
          <w:rtl/>
        </w:rPr>
        <w:t xml:space="preserve"> </w:t>
      </w:r>
      <w:r w:rsidRPr="0081621B">
        <w:rPr>
          <w:rFonts w:hint="cs"/>
          <w:color w:val="E36C0A" w:themeColor="accent6" w:themeShade="BF"/>
          <w:rtl/>
        </w:rPr>
        <w:t>(וכ"פ בשו"ע)</w:t>
      </w:r>
    </w:p>
    <w:p w14:paraId="371D04A3" w14:textId="77777777" w:rsidR="002E5BAD" w:rsidRPr="00D96223" w:rsidRDefault="002E5BAD" w:rsidP="00B75458">
      <w:pPr>
        <w:pStyle w:val="ab"/>
        <w:numPr>
          <w:ilvl w:val="0"/>
          <w:numId w:val="195"/>
        </w:numPr>
      </w:pPr>
      <w:r w:rsidRPr="008A1F1E">
        <w:rPr>
          <w:rFonts w:cs="Arial"/>
          <w:rtl/>
        </w:rPr>
        <w:t>יש מהגאונים</w:t>
      </w:r>
      <w:r>
        <w:rPr>
          <w:rFonts w:cs="Arial" w:hint="cs"/>
          <w:sz w:val="16"/>
          <w:szCs w:val="16"/>
          <w:rtl/>
        </w:rPr>
        <w:t xml:space="preserve"> (הביאום הרא"ש והטור)</w:t>
      </w:r>
      <w:r>
        <w:rPr>
          <w:rFonts w:cs="Arial" w:hint="cs"/>
          <w:rtl/>
        </w:rPr>
        <w:t xml:space="preserve">- </w:t>
      </w:r>
      <w:r w:rsidRPr="008A1F1E">
        <w:rPr>
          <w:rFonts w:cs="Arial"/>
          <w:rtl/>
        </w:rPr>
        <w:t>אם השנייה קיימת אין בני הראשונה נוטלין כתובת אמן</w:t>
      </w:r>
      <w:r>
        <w:rPr>
          <w:rFonts w:cs="Arial" w:hint="cs"/>
          <w:rtl/>
        </w:rPr>
        <w:t>.</w:t>
      </w:r>
      <w:r w:rsidRPr="008A1F1E">
        <w:rPr>
          <w:rFonts w:cs="Arial"/>
          <w:rtl/>
        </w:rPr>
        <w:t xml:space="preserve"> </w:t>
      </w:r>
    </w:p>
    <w:p w14:paraId="6F47A21A" w14:textId="77777777" w:rsidR="002E5BAD" w:rsidRPr="0037496F" w:rsidRDefault="002E5BAD" w:rsidP="002E5BAD">
      <w:pPr>
        <w:ind w:left="360"/>
        <w:rPr>
          <w:u w:val="dotted"/>
        </w:rPr>
      </w:pPr>
      <w:r w:rsidRPr="0037496F">
        <w:rPr>
          <w:rFonts w:hint="cs"/>
          <w:u w:val="dotted"/>
          <w:rtl/>
        </w:rPr>
        <w:t>ומה דין אם יש בנכסים מעט יותר על כתובת הראשונה:</w:t>
      </w:r>
    </w:p>
    <w:p w14:paraId="2A22A4D3" w14:textId="77777777" w:rsidR="002E5BAD" w:rsidRPr="00D050EE" w:rsidRDefault="002E5BAD" w:rsidP="00B75458">
      <w:pPr>
        <w:pStyle w:val="ab"/>
        <w:numPr>
          <w:ilvl w:val="0"/>
          <w:numId w:val="195"/>
        </w:numPr>
        <w:rPr>
          <w:rtl/>
        </w:rPr>
      </w:pPr>
      <w:r>
        <w:rPr>
          <w:rFonts w:cs="Arial" w:hint="cs"/>
          <w:rtl/>
        </w:rPr>
        <w:t xml:space="preserve">רא"ש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Pr>
          <w:rFonts w:cs="Arial" w:hint="cs"/>
          <w:rtl/>
        </w:rPr>
        <w:t xml:space="preserve"> וטור- </w:t>
      </w:r>
      <w:r w:rsidRPr="008A1F1E">
        <w:rPr>
          <w:rFonts w:cs="Arial"/>
          <w:rtl/>
        </w:rPr>
        <w:t xml:space="preserve">ואם יש מעט יותר על כתובת הראשונה </w:t>
      </w:r>
      <w:r>
        <w:rPr>
          <w:rFonts w:cs="Arial" w:hint="cs"/>
          <w:rtl/>
        </w:rPr>
        <w:t xml:space="preserve">- </w:t>
      </w:r>
      <w:r w:rsidRPr="008A1F1E">
        <w:rPr>
          <w:rFonts w:cs="Arial"/>
          <w:rtl/>
        </w:rPr>
        <w:t>השנייה נוטלת כתובתה והמותר לבני הראשונה אף על פי שבני השנייה אינם נוטלין כלום</w:t>
      </w:r>
      <w:r>
        <w:rPr>
          <w:rFonts w:cs="Arial" w:hint="cs"/>
          <w:rtl/>
        </w:rPr>
        <w:t>.</w:t>
      </w:r>
      <w:r w:rsidRPr="008A1F1E">
        <w:rPr>
          <w:rFonts w:cs="Arial"/>
          <w:rtl/>
        </w:rPr>
        <w:t xml:space="preserve"> ואם אין שם אלא כדי כתובה הראשונה </w:t>
      </w:r>
      <w:r>
        <w:rPr>
          <w:rFonts w:cs="Arial" w:hint="cs"/>
          <w:rtl/>
        </w:rPr>
        <w:t xml:space="preserve">- </w:t>
      </w:r>
      <w:r w:rsidRPr="008A1F1E">
        <w:rPr>
          <w:rFonts w:cs="Arial"/>
          <w:rtl/>
        </w:rPr>
        <w:t>השנייה נוטלת כתובתה והמותר יחלקו בני הראשונה ובני השנייה</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0E1A035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FF5F3A" w14:textId="77777777" w:rsidR="002E5BAD" w:rsidRDefault="002E5BAD" w:rsidP="002E5BAD">
      <w:pPr>
        <w:rPr>
          <w:rtl/>
        </w:rPr>
      </w:pPr>
      <w:r>
        <w:rPr>
          <w:rFonts w:cs="Arial"/>
          <w:rtl/>
        </w:rPr>
        <w:lastRenderedPageBreak/>
        <w:t xml:space="preserve">מתה אחת בחייו והשנייה קיימת, דינם כדין מתה אחת בחייו ואחת לאחר מותו. </w:t>
      </w:r>
    </w:p>
    <w:p w14:paraId="5DF4EB24" w14:textId="77777777" w:rsidR="002E5BAD" w:rsidRDefault="002E5BAD" w:rsidP="002E5BAD">
      <w:pPr>
        <w:rPr>
          <w:rtl/>
        </w:rPr>
      </w:pPr>
    </w:p>
    <w:p w14:paraId="17EDB154" w14:textId="77777777" w:rsidR="002E5BAD" w:rsidRDefault="002E5BAD" w:rsidP="002E5BAD">
      <w:pPr>
        <w:pStyle w:val="2"/>
        <w:rPr>
          <w:rtl/>
        </w:rPr>
      </w:pPr>
      <w:r>
        <w:rPr>
          <w:rtl/>
        </w:rPr>
        <w:t>סעיף יא</w:t>
      </w:r>
      <w:r>
        <w:rPr>
          <w:rFonts w:hint="cs"/>
          <w:rtl/>
        </w:rPr>
        <w:t>: היה נשוי שתי נשים, ומת, ואח"כ מתו שתי הנשים.</w:t>
      </w:r>
    </w:p>
    <w:p w14:paraId="14B8908D" w14:textId="77777777" w:rsidR="002E5BAD" w:rsidRPr="00CE4035" w:rsidRDefault="002E5BAD" w:rsidP="002E5BAD">
      <w:pPr>
        <w:rPr>
          <w:u w:val="single"/>
          <w:rtl/>
        </w:rPr>
      </w:pPr>
      <w:r w:rsidRPr="00CE4035">
        <w:rPr>
          <w:rFonts w:hint="cs"/>
          <w:u w:val="single"/>
          <w:rtl/>
        </w:rPr>
        <w:t>היה נשוי שתי נשים, ומת, ואח"כ מתו שתי הנשים:</w:t>
      </w:r>
    </w:p>
    <w:p w14:paraId="078E2B12" w14:textId="77777777" w:rsidR="002E5BAD" w:rsidRDefault="002E5BAD" w:rsidP="00B75458">
      <w:pPr>
        <w:pStyle w:val="ab"/>
        <w:numPr>
          <w:ilvl w:val="0"/>
          <w:numId w:val="195"/>
        </w:numPr>
        <w:rPr>
          <w:rFonts w:cs="Arial"/>
        </w:rPr>
      </w:pPr>
      <w:r>
        <w:rPr>
          <w:rFonts w:hint="cs"/>
          <w:rtl/>
        </w:rPr>
        <w:t xml:space="preserve">רמב"ם </w:t>
      </w:r>
      <w:r w:rsidRPr="00433E0F">
        <w:rPr>
          <w:rFonts w:hint="cs"/>
          <w:sz w:val="16"/>
          <w:szCs w:val="16"/>
          <w:rtl/>
        </w:rPr>
        <w:t>(פי"ט מאישות ה"ח)</w:t>
      </w:r>
      <w:r w:rsidRPr="00433E0F">
        <w:rPr>
          <w:rFonts w:cs="Arial" w:hint="cs"/>
          <w:rtl/>
        </w:rPr>
        <w:t xml:space="preserve">- </w:t>
      </w:r>
      <w:r w:rsidRPr="00984C1C">
        <w:rPr>
          <w:rFonts w:cs="Arial"/>
          <w:rtl/>
        </w:rPr>
        <w:t>היה נשוי שתי נשים</w:t>
      </w:r>
      <w:r>
        <w:rPr>
          <w:rFonts w:cs="Arial" w:hint="cs"/>
          <w:rtl/>
        </w:rPr>
        <w:t>,</w:t>
      </w:r>
      <w:r w:rsidRPr="00984C1C">
        <w:rPr>
          <w:rFonts w:cs="Arial"/>
          <w:rtl/>
        </w:rPr>
        <w:t xml:space="preserve"> ולו מהן בנים</w:t>
      </w:r>
      <w:r>
        <w:rPr>
          <w:rFonts w:cs="Arial" w:hint="cs"/>
          <w:rtl/>
        </w:rPr>
        <w:t>.</w:t>
      </w:r>
      <w:r w:rsidRPr="00984C1C">
        <w:rPr>
          <w:rFonts w:cs="Arial"/>
          <w:rtl/>
        </w:rPr>
        <w:t xml:space="preserve"> ומת</w:t>
      </w:r>
      <w:r>
        <w:rPr>
          <w:rFonts w:cs="Arial" w:hint="cs"/>
          <w:rtl/>
        </w:rPr>
        <w:t>,</w:t>
      </w:r>
      <w:r w:rsidRPr="00984C1C">
        <w:rPr>
          <w:rFonts w:cs="Arial"/>
          <w:rtl/>
        </w:rPr>
        <w:t xml:space="preserve"> ואחר כך מתו הנשים</w:t>
      </w:r>
      <w:r>
        <w:rPr>
          <w:rFonts w:cs="Arial" w:hint="cs"/>
          <w:rtl/>
        </w:rPr>
        <w:t>.</w:t>
      </w:r>
      <w:r w:rsidRPr="00984C1C">
        <w:rPr>
          <w:rFonts w:cs="Arial"/>
          <w:rtl/>
        </w:rPr>
        <w:t xml:space="preserve"> אם נשבעו ואחר כך מתו </w:t>
      </w:r>
      <w:r>
        <w:rPr>
          <w:rFonts w:cs="Arial" w:hint="cs"/>
          <w:rtl/>
        </w:rPr>
        <w:t xml:space="preserve">- </w:t>
      </w:r>
      <w:r w:rsidRPr="00984C1C">
        <w:rPr>
          <w:rFonts w:cs="Arial"/>
          <w:rtl/>
        </w:rPr>
        <w:t>כל אחד ואחד יורש כתובת אמו בירושה של תורה ולא בתנאי זה, לפיכך אין משגיחין אם יש שם מותר או אין שם, ויורשי הראשונה קודמין ליורשי השניה</w:t>
      </w:r>
      <w:r>
        <w:rPr>
          <w:rFonts w:cs="Arial" w:hint="cs"/>
          <w:rtl/>
        </w:rPr>
        <w:t>.</w:t>
      </w:r>
      <w:r w:rsidRPr="00984C1C">
        <w:rPr>
          <w:rFonts w:cs="Arial"/>
          <w:rtl/>
        </w:rPr>
        <w:t xml:space="preserve"> ואם לא נשבעו </w:t>
      </w:r>
      <w:r>
        <w:rPr>
          <w:rFonts w:cs="Arial" w:hint="cs"/>
          <w:rtl/>
        </w:rPr>
        <w:t xml:space="preserve">- </w:t>
      </w:r>
      <w:r w:rsidRPr="00984C1C">
        <w:rPr>
          <w:rFonts w:cs="Arial"/>
          <w:rtl/>
        </w:rPr>
        <w:t>חולקין הבנים הכל בשוה ואין שם ירושת כתובה</w:t>
      </w:r>
      <w:r>
        <w:rPr>
          <w:rFonts w:cs="Arial" w:hint="cs"/>
          <w:rtl/>
        </w:rPr>
        <w:t>,</w:t>
      </w:r>
      <w:r w:rsidRPr="00984C1C">
        <w:rPr>
          <w:rFonts w:cs="Arial"/>
          <w:rtl/>
        </w:rPr>
        <w:t xml:space="preserve"> לפי שאין לאלמנה כתובה עד שתשבע</w:t>
      </w:r>
      <w:r w:rsidRPr="00433E0F">
        <w:rPr>
          <w:rStyle w:val="a7"/>
          <w:rtl/>
        </w:rPr>
        <w:footnoteReference w:id="2785"/>
      </w:r>
      <w:r w:rsidRPr="00984C1C">
        <w:rPr>
          <w:rFonts w:cs="Arial"/>
          <w:rtl/>
        </w:rPr>
        <w:t>.</w:t>
      </w:r>
      <w:r w:rsidRPr="00984C1C">
        <w:rPr>
          <w:rFonts w:cs="Arial" w:hint="cs"/>
          <w:rtl/>
        </w:rPr>
        <w:t xml:space="preserve"> </w:t>
      </w:r>
      <w:r w:rsidRPr="0081621B">
        <w:rPr>
          <w:rFonts w:hint="cs"/>
          <w:color w:val="E36C0A" w:themeColor="accent6" w:themeShade="BF"/>
          <w:rtl/>
        </w:rPr>
        <w:t>(וכ"פ בשו"ע)</w:t>
      </w:r>
    </w:p>
    <w:p w14:paraId="74170DB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75AD20" w14:textId="77777777" w:rsidR="002E5BAD" w:rsidRDefault="002E5BAD" w:rsidP="002E5BAD">
      <w:pPr>
        <w:rPr>
          <w:rtl/>
        </w:rPr>
      </w:pPr>
      <w:r>
        <w:rPr>
          <w:rFonts w:cs="Arial"/>
          <w:rtl/>
        </w:rPr>
        <w:t>היה נשוי שתי נשים, והיו לו בנים מהן ומת, ואח</w:t>
      </w:r>
      <w:r>
        <w:rPr>
          <w:rFonts w:cs="Arial" w:hint="cs"/>
          <w:rtl/>
        </w:rPr>
        <w:t xml:space="preserve">ר </w:t>
      </w:r>
      <w:r>
        <w:rPr>
          <w:rFonts w:cs="Arial"/>
          <w:rtl/>
        </w:rPr>
        <w:t>כ</w:t>
      </w:r>
      <w:r>
        <w:rPr>
          <w:rFonts w:cs="Arial" w:hint="cs"/>
          <w:rtl/>
        </w:rPr>
        <w:t>ך</w:t>
      </w:r>
      <w:r>
        <w:rPr>
          <w:rFonts w:cs="Arial"/>
          <w:rtl/>
        </w:rPr>
        <w:t xml:space="preserve"> מתו הנשים, אם נשבעו ואחר כך מתו, כל אחד ואחד יורש כתובת אמו בירושה של תורה ולא בתנאי זה, לפיכך אין משגיחין אם יש שם מותר או אין שם. ויורשי הראשונה קודמים ליורשי השניה. ואם לא נשבעו, חולקין כל הבנים בשוה</w:t>
      </w:r>
      <w:r>
        <w:rPr>
          <w:rStyle w:val="a7"/>
          <w:rFonts w:cs="Arial"/>
          <w:rtl/>
        </w:rPr>
        <w:footnoteReference w:id="2786"/>
      </w:r>
      <w:r>
        <w:rPr>
          <w:rFonts w:cs="Arial"/>
          <w:rtl/>
        </w:rPr>
        <w:t xml:space="preserve"> ואין שם ירושת כתובה, לפי שאין לאלמנה כתובה עד שתשבע. </w:t>
      </w:r>
    </w:p>
    <w:p w14:paraId="447F6C7B" w14:textId="77777777" w:rsidR="002E5BAD" w:rsidRDefault="002E5BAD" w:rsidP="002E5BAD">
      <w:pPr>
        <w:rPr>
          <w:rtl/>
        </w:rPr>
      </w:pPr>
    </w:p>
    <w:p w14:paraId="67718BF0" w14:textId="77777777" w:rsidR="002E5BAD" w:rsidRDefault="002E5BAD" w:rsidP="002E5BAD">
      <w:pPr>
        <w:pStyle w:val="2"/>
        <w:rPr>
          <w:rtl/>
        </w:rPr>
      </w:pPr>
      <w:r>
        <w:rPr>
          <w:rtl/>
        </w:rPr>
        <w:t>סעיף יב</w:t>
      </w:r>
      <w:r>
        <w:rPr>
          <w:rFonts w:hint="cs"/>
          <w:rtl/>
        </w:rPr>
        <w:t>: כנ"ל, ואחת נשבעה לפני מותה ואחת לא.</w:t>
      </w:r>
    </w:p>
    <w:p w14:paraId="0A126D8D" w14:textId="77777777" w:rsidR="002E5BAD" w:rsidRPr="00CE4035" w:rsidRDefault="002E5BAD" w:rsidP="002E5BAD">
      <w:pPr>
        <w:rPr>
          <w:u w:val="single"/>
          <w:rtl/>
        </w:rPr>
      </w:pPr>
      <w:r w:rsidRPr="00CE4035">
        <w:rPr>
          <w:rFonts w:hint="cs"/>
          <w:u w:val="single"/>
          <w:rtl/>
        </w:rPr>
        <w:t>היה נשוי שתי נשים, ומת, ואח"כ מתו שתי הנשים</w:t>
      </w:r>
      <w:r>
        <w:rPr>
          <w:rFonts w:hint="cs"/>
          <w:u w:val="single"/>
          <w:rtl/>
        </w:rPr>
        <w:t xml:space="preserve"> - </w:t>
      </w:r>
      <w:r w:rsidRPr="00CE4035">
        <w:rPr>
          <w:rFonts w:hint="cs"/>
          <w:u w:val="single"/>
          <w:rtl/>
        </w:rPr>
        <w:t>אחת נשבעה לפני מותה ואחת לא:</w:t>
      </w:r>
    </w:p>
    <w:p w14:paraId="00017B44" w14:textId="77777777" w:rsidR="002E5BAD" w:rsidRPr="00CE4035" w:rsidRDefault="002E5BAD" w:rsidP="00B75458">
      <w:pPr>
        <w:pStyle w:val="ab"/>
        <w:numPr>
          <w:ilvl w:val="0"/>
          <w:numId w:val="195"/>
        </w:numPr>
        <w:rPr>
          <w:rFonts w:cs="Arial"/>
          <w:rtl/>
        </w:rPr>
      </w:pPr>
      <w:r>
        <w:rPr>
          <w:rFonts w:hint="cs"/>
          <w:rtl/>
        </w:rPr>
        <w:t xml:space="preserve">רמב"ם </w:t>
      </w:r>
      <w:r w:rsidRPr="00433E0F">
        <w:rPr>
          <w:rFonts w:hint="cs"/>
          <w:sz w:val="16"/>
          <w:szCs w:val="16"/>
          <w:rtl/>
        </w:rPr>
        <w:t>(פי"ט מאישות ה"</w:t>
      </w:r>
      <w:r>
        <w:rPr>
          <w:rFonts w:hint="cs"/>
          <w:sz w:val="16"/>
          <w:szCs w:val="16"/>
          <w:rtl/>
        </w:rPr>
        <w:t>ט</w:t>
      </w:r>
      <w:r w:rsidRPr="00433E0F">
        <w:rPr>
          <w:rFonts w:hint="cs"/>
          <w:sz w:val="16"/>
          <w:szCs w:val="16"/>
          <w:rtl/>
        </w:rPr>
        <w:t>)</w:t>
      </w:r>
      <w:r w:rsidRPr="00433E0F">
        <w:rPr>
          <w:rFonts w:cs="Arial" w:hint="cs"/>
          <w:rtl/>
        </w:rPr>
        <w:t>-</w:t>
      </w:r>
      <w:r>
        <w:rPr>
          <w:rFonts w:cs="Arial" w:hint="cs"/>
          <w:rtl/>
        </w:rPr>
        <w:t xml:space="preserve"> </w:t>
      </w:r>
      <w:r w:rsidRPr="00984C1C">
        <w:rPr>
          <w:rFonts w:cs="Arial"/>
          <w:rtl/>
        </w:rPr>
        <w:t>אחת נשבעה ואחת לא נשבעה, זו שנשבעה בניה יורשין כתובתה תחלה והשאר חולקין אותו בשוה</w:t>
      </w:r>
      <w:r>
        <w:rPr>
          <w:rFonts w:cs="Arial" w:hint="cs"/>
          <w:rtl/>
        </w:rPr>
        <w:t xml:space="preserve">. </w:t>
      </w:r>
      <w:r w:rsidRPr="0081621B">
        <w:rPr>
          <w:rFonts w:hint="cs"/>
          <w:color w:val="E36C0A" w:themeColor="accent6" w:themeShade="BF"/>
          <w:rtl/>
        </w:rPr>
        <w:t>(וכ"פ בשו"ע)</w:t>
      </w:r>
    </w:p>
    <w:p w14:paraId="53E2864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46B3A1" w14:textId="77777777" w:rsidR="002E5BAD" w:rsidRDefault="002E5BAD" w:rsidP="002E5BAD">
      <w:pPr>
        <w:rPr>
          <w:rtl/>
        </w:rPr>
      </w:pPr>
      <w:r>
        <w:rPr>
          <w:rFonts w:cs="Arial"/>
          <w:rtl/>
        </w:rPr>
        <w:t xml:space="preserve">אחת נשבעה ואחת לא נשבעה, זו שנשבעה בניה יורשים כתובתה תחלה, והשאר חולקין אותו בשוה. </w:t>
      </w:r>
    </w:p>
    <w:p w14:paraId="1765FAA9" w14:textId="77777777" w:rsidR="002E5BAD" w:rsidRDefault="002E5BAD" w:rsidP="002E5BAD">
      <w:pPr>
        <w:rPr>
          <w:rtl/>
        </w:rPr>
      </w:pPr>
    </w:p>
    <w:p w14:paraId="3E4DF0B3" w14:textId="77777777" w:rsidR="002E5BAD" w:rsidRDefault="002E5BAD" w:rsidP="002E5BAD">
      <w:pPr>
        <w:pStyle w:val="2"/>
        <w:rPr>
          <w:rtl/>
        </w:rPr>
      </w:pPr>
      <w:r>
        <w:rPr>
          <w:rtl/>
        </w:rPr>
        <w:t>סעיף יג</w:t>
      </w:r>
      <w:r>
        <w:rPr>
          <w:rFonts w:hint="cs"/>
          <w:rtl/>
        </w:rPr>
        <w:t>: גביית כתובת בנין דכרין ממשעבדי.</w:t>
      </w:r>
    </w:p>
    <w:p w14:paraId="4F17CB8F" w14:textId="77777777" w:rsidR="002E5BAD" w:rsidRDefault="002E5BAD" w:rsidP="002E5BAD">
      <w:pPr>
        <w:rPr>
          <w:rtl/>
        </w:rPr>
      </w:pPr>
      <w:r w:rsidRPr="003E4BB7">
        <w:rPr>
          <w:rFonts w:cs="Arial" w:hint="cs"/>
          <w:b/>
          <w:bCs/>
          <w:rtl/>
        </w:rPr>
        <w:t xml:space="preserve">כתובות צ </w:t>
      </w:r>
      <w:r>
        <w:rPr>
          <w:rFonts w:cs="Arial" w:hint="cs"/>
          <w:b/>
          <w:bCs/>
          <w:sz w:val="16"/>
          <w:szCs w:val="16"/>
          <w:rtl/>
        </w:rPr>
        <w:t xml:space="preserve">(ר"פ מי שהיה נשוי) </w:t>
      </w:r>
      <w:r w:rsidRPr="003E4BB7">
        <w:rPr>
          <w:rFonts w:cs="Arial" w:hint="cs"/>
          <w:b/>
          <w:bCs/>
          <w:rtl/>
        </w:rPr>
        <w:t>ע"</w:t>
      </w:r>
      <w:r>
        <w:rPr>
          <w:rFonts w:cs="Arial" w:hint="cs"/>
          <w:b/>
          <w:bCs/>
          <w:rtl/>
        </w:rPr>
        <w:t>א</w:t>
      </w:r>
      <w:r w:rsidRPr="003E4BB7">
        <w:rPr>
          <w:rFonts w:cs="Arial" w:hint="cs"/>
          <w:b/>
          <w:bCs/>
          <w:rtl/>
        </w:rPr>
        <w:t>:</w:t>
      </w:r>
      <w:r>
        <w:rPr>
          <w:rFonts w:cs="Arial" w:hint="cs"/>
          <w:rtl/>
        </w:rPr>
        <w:t xml:space="preserve"> </w:t>
      </w:r>
      <w:r w:rsidRPr="003500E9">
        <w:rPr>
          <w:rFonts w:cs="Arial" w:hint="cs"/>
          <w:u w:val="double"/>
          <w:rtl/>
        </w:rPr>
        <w:t>מתני'</w:t>
      </w:r>
      <w:r>
        <w:rPr>
          <w:rFonts w:cs="Arial" w:hint="cs"/>
          <w:rtl/>
        </w:rPr>
        <w:t xml:space="preserve">:... </w:t>
      </w:r>
      <w:r w:rsidRPr="003500E9">
        <w:rPr>
          <w:rFonts w:cs="Arial"/>
          <w:rtl/>
        </w:rPr>
        <w:t>נשא את הראשונה ומתה</w:t>
      </w:r>
      <w:r>
        <w:rPr>
          <w:rStyle w:val="a7"/>
          <w:rFonts w:cs="Arial"/>
          <w:rtl/>
        </w:rPr>
        <w:footnoteReference w:id="2787"/>
      </w:r>
      <w:r w:rsidRPr="003500E9">
        <w:rPr>
          <w:rFonts w:cs="Arial"/>
          <w:rtl/>
        </w:rPr>
        <w:t>, נשא שניה ומת הוא - שניה ויורשיה קודמין</w:t>
      </w:r>
      <w:r>
        <w:rPr>
          <w:rStyle w:val="a7"/>
          <w:rFonts w:cs="Arial"/>
          <w:rtl/>
        </w:rPr>
        <w:footnoteReference w:id="2788"/>
      </w:r>
      <w:r w:rsidRPr="003500E9">
        <w:rPr>
          <w:rFonts w:cs="Arial"/>
          <w:rtl/>
        </w:rPr>
        <w:t xml:space="preserve"> ליורשי הראשונה.</w:t>
      </w:r>
      <w:r>
        <w:rPr>
          <w:rFonts w:cs="Arial" w:hint="cs"/>
          <w:rtl/>
        </w:rPr>
        <w:t>..</w:t>
      </w:r>
      <w:r w:rsidRPr="003500E9">
        <w:rPr>
          <w:rFonts w:cs="Arial"/>
          <w:rtl/>
        </w:rPr>
        <w:t xml:space="preserve"> </w:t>
      </w:r>
      <w:r>
        <w:rPr>
          <w:rFonts w:cs="Arial" w:hint="cs"/>
          <w:rtl/>
        </w:rPr>
        <w:t xml:space="preserve">      </w:t>
      </w:r>
      <w:r w:rsidRPr="003500E9">
        <w:rPr>
          <w:rFonts w:cs="Arial" w:hint="cs"/>
          <w:u w:val="double"/>
          <w:rtl/>
        </w:rPr>
        <w:t>גמ'</w:t>
      </w:r>
      <w:r>
        <w:rPr>
          <w:rFonts w:cs="Arial" w:hint="cs"/>
          <w:sz w:val="14"/>
          <w:szCs w:val="14"/>
          <w:u w:val="double"/>
          <w:rtl/>
        </w:rPr>
        <w:t>(צ:)</w:t>
      </w:r>
      <w:r w:rsidRPr="003500E9">
        <w:rPr>
          <w:rFonts w:cs="Arial" w:hint="cs"/>
          <w:u w:val="double"/>
          <w:rtl/>
        </w:rPr>
        <w:t>:</w:t>
      </w:r>
      <w:r>
        <w:rPr>
          <w:rFonts w:cs="Arial" w:hint="cs"/>
          <w:rtl/>
        </w:rPr>
        <w:t xml:space="preserve"> </w:t>
      </w:r>
      <w:r w:rsidRPr="002535AE">
        <w:rPr>
          <w:rFonts w:cs="Arial"/>
          <w:rtl/>
        </w:rPr>
        <w:t>נשא את הראשונה. שמע מינה תלת:</w:t>
      </w:r>
      <w:r>
        <w:rPr>
          <w:rFonts w:hint="cs"/>
          <w:rtl/>
        </w:rPr>
        <w:t>...</w:t>
      </w:r>
      <w:r w:rsidRPr="00A26819">
        <w:rPr>
          <w:rtl/>
        </w:rPr>
        <w:t xml:space="preserve"> </w:t>
      </w:r>
      <w:r w:rsidRPr="00A26819">
        <w:rPr>
          <w:rFonts w:cs="Arial"/>
          <w:rtl/>
        </w:rPr>
        <w:t>ושמע מינה, כתובת בנין דכרין לא טרפה ממשעבדי</w:t>
      </w:r>
      <w:r>
        <w:rPr>
          <w:rStyle w:val="a7"/>
          <w:rFonts w:cs="Arial"/>
          <w:rtl/>
        </w:rPr>
        <w:footnoteReference w:id="2789"/>
      </w:r>
      <w:r w:rsidRPr="00A26819">
        <w:rPr>
          <w:rFonts w:cs="Arial"/>
          <w:rtl/>
        </w:rPr>
        <w:t>, דאי סלקא דעתין טרפה ממשעבדי, ליתו בני ראשונה ולטרפינהו לבני שניה.</w:t>
      </w:r>
    </w:p>
    <w:p w14:paraId="5EE90031" w14:textId="77777777" w:rsidR="002E5BAD" w:rsidRPr="00A26819" w:rsidRDefault="002E5BAD" w:rsidP="002E5BAD">
      <w:pPr>
        <w:rPr>
          <w:u w:val="single"/>
          <w:rtl/>
        </w:rPr>
      </w:pPr>
      <w:r w:rsidRPr="00A26819">
        <w:rPr>
          <w:rFonts w:hint="cs"/>
          <w:u w:val="single"/>
          <w:rtl/>
        </w:rPr>
        <w:t>ממה נגבית כתובת בנין דכרין:</w:t>
      </w:r>
    </w:p>
    <w:p w14:paraId="2BB95070" w14:textId="77777777" w:rsidR="002E5BAD" w:rsidRDefault="002E5BAD" w:rsidP="00B75458">
      <w:pPr>
        <w:pStyle w:val="ab"/>
        <w:numPr>
          <w:ilvl w:val="0"/>
          <w:numId w:val="195"/>
        </w:numPr>
      </w:pPr>
      <w:r>
        <w:rPr>
          <w:rFonts w:cs="Arial" w:hint="cs"/>
          <w:rtl/>
        </w:rPr>
        <w:t xml:space="preserve">טור- </w:t>
      </w:r>
      <w:r w:rsidRPr="008A1F1E">
        <w:rPr>
          <w:rFonts w:cs="Arial"/>
          <w:rtl/>
        </w:rPr>
        <w:t>ואינה נגבית אלא מבני חרי ולא ממשעבדי כשאר ירושה</w:t>
      </w:r>
      <w:r>
        <w:rPr>
          <w:rFonts w:cs="Arial" w:hint="cs"/>
          <w:rtl/>
        </w:rPr>
        <w:t>.</w:t>
      </w:r>
      <w:r w:rsidRPr="008A1F1E">
        <w:rPr>
          <w:rFonts w:cs="Arial"/>
          <w:rtl/>
        </w:rPr>
        <w:t xml:space="preserve"> </w:t>
      </w:r>
      <w:r w:rsidRPr="0081621B">
        <w:rPr>
          <w:rFonts w:hint="cs"/>
          <w:color w:val="E36C0A" w:themeColor="accent6" w:themeShade="BF"/>
          <w:rtl/>
        </w:rPr>
        <w:t>(וכ"פ בשו"ע)</w:t>
      </w:r>
    </w:p>
    <w:p w14:paraId="7F4F9D18" w14:textId="77777777" w:rsidR="002E5BAD" w:rsidRPr="00707E37" w:rsidRDefault="002E5BAD" w:rsidP="002E5BAD">
      <w:pPr>
        <w:rPr>
          <w:rFonts w:cs="Arial"/>
        </w:rPr>
      </w:pPr>
      <w:r w:rsidRPr="00974A61">
        <w:rPr>
          <w:rFonts w:cs="Arial"/>
          <w:u w:val="single"/>
          <w:rtl/>
        </w:rPr>
        <w:t xml:space="preserve">כתב לחתנו </w:t>
      </w:r>
      <w:r w:rsidRPr="00974A61">
        <w:rPr>
          <w:rFonts w:cs="Arial" w:hint="cs"/>
          <w:sz w:val="16"/>
          <w:szCs w:val="16"/>
          <w:u w:val="single"/>
          <w:rtl/>
        </w:rPr>
        <w:t>(</w:t>
      </w:r>
      <w:r w:rsidRPr="00974A61">
        <w:rPr>
          <w:rFonts w:cs="Arial"/>
          <w:sz w:val="16"/>
          <w:szCs w:val="16"/>
          <w:u w:val="single"/>
          <w:rtl/>
        </w:rPr>
        <w:t>מהיום ולאחר מיתה</w:t>
      </w:r>
      <w:r w:rsidRPr="00974A61">
        <w:rPr>
          <w:rFonts w:cs="Arial" w:hint="cs"/>
          <w:sz w:val="16"/>
          <w:szCs w:val="16"/>
          <w:u w:val="single"/>
          <w:rtl/>
        </w:rPr>
        <w:t>)</w:t>
      </w:r>
      <w:r w:rsidRPr="00974A61">
        <w:rPr>
          <w:rFonts w:cs="Arial"/>
          <w:u w:val="single"/>
          <w:rtl/>
        </w:rPr>
        <w:t xml:space="preserve"> ליקח מכל נכסיו כאחד מבניו </w:t>
      </w:r>
      <w:r w:rsidRPr="00974A61">
        <w:rPr>
          <w:rFonts w:cs="Arial" w:hint="cs"/>
          <w:u w:val="single"/>
          <w:rtl/>
        </w:rPr>
        <w:t xml:space="preserve">- </w:t>
      </w:r>
      <w:r>
        <w:rPr>
          <w:rFonts w:cs="Arial" w:hint="cs"/>
          <w:u w:val="single"/>
          <w:rtl/>
        </w:rPr>
        <w:t>האם</w:t>
      </w:r>
      <w:r w:rsidRPr="00974A61">
        <w:rPr>
          <w:rFonts w:cs="Arial"/>
          <w:u w:val="single"/>
          <w:rtl/>
        </w:rPr>
        <w:t xml:space="preserve"> כתובת בנין דכרין נגבית</w:t>
      </w:r>
      <w:r>
        <w:rPr>
          <w:rFonts w:cs="Arial" w:hint="cs"/>
          <w:u w:val="single"/>
          <w:rtl/>
        </w:rPr>
        <w:t xml:space="preserve"> ממתנה זו</w:t>
      </w:r>
      <w:r w:rsidRPr="00707E37">
        <w:rPr>
          <w:rFonts w:cs="Arial" w:hint="cs"/>
          <w:u w:val="single"/>
          <w:rtl/>
        </w:rPr>
        <w:t>:</w:t>
      </w:r>
      <w:r w:rsidRPr="00707E37">
        <w:rPr>
          <w:rFonts w:cs="Arial"/>
          <w:sz w:val="16"/>
          <w:szCs w:val="16"/>
          <w:rtl/>
        </w:rPr>
        <w:t xml:space="preserve"> </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w:t>
      </w:r>
      <w:r>
        <w:rPr>
          <w:rFonts w:cs="Arial" w:hint="cs"/>
          <w:sz w:val="16"/>
          <w:szCs w:val="16"/>
          <w:rtl/>
        </w:rPr>
        <w:t>אות א</w:t>
      </w:r>
      <w:r w:rsidRPr="00707E37">
        <w:rPr>
          <w:rFonts w:cs="Arial"/>
          <w:sz w:val="16"/>
          <w:szCs w:val="16"/>
          <w:rtl/>
        </w:rPr>
        <w:t>)</w:t>
      </w:r>
      <w:r w:rsidRPr="00707E37">
        <w:rPr>
          <w:rFonts w:cs="Arial"/>
          <w:rtl/>
        </w:rPr>
        <w:t xml:space="preserve"> </w:t>
      </w:r>
    </w:p>
    <w:p w14:paraId="2C4A9BB4" w14:textId="77777777" w:rsidR="002E5BAD" w:rsidRPr="00922AE5" w:rsidRDefault="002E5BAD" w:rsidP="00B75458">
      <w:pPr>
        <w:pStyle w:val="ab"/>
        <w:numPr>
          <w:ilvl w:val="0"/>
          <w:numId w:val="195"/>
        </w:numPr>
      </w:pPr>
      <w:r w:rsidRPr="008A1F1E">
        <w:rPr>
          <w:rFonts w:cs="Arial"/>
          <w:rtl/>
        </w:rPr>
        <w:lastRenderedPageBreak/>
        <w:t xml:space="preserve">מרדכי </w:t>
      </w:r>
      <w:r w:rsidRPr="00A030DB">
        <w:rPr>
          <w:rFonts w:cs="Arial" w:hint="cs"/>
          <w:sz w:val="16"/>
          <w:szCs w:val="16"/>
          <w:rtl/>
        </w:rPr>
        <w:t>(</w:t>
      </w:r>
      <w:r w:rsidRPr="00A030DB">
        <w:rPr>
          <w:rFonts w:cs="Arial"/>
          <w:sz w:val="16"/>
          <w:szCs w:val="16"/>
          <w:rtl/>
        </w:rPr>
        <w:t>ס</w:t>
      </w:r>
      <w:r w:rsidRPr="00A030DB">
        <w:rPr>
          <w:rFonts w:cs="Arial" w:hint="cs"/>
          <w:sz w:val="16"/>
          <w:szCs w:val="16"/>
          <w:rtl/>
        </w:rPr>
        <w:t>"פ</w:t>
      </w:r>
      <w:r w:rsidRPr="00A030DB">
        <w:rPr>
          <w:rFonts w:cs="Arial"/>
          <w:sz w:val="16"/>
          <w:szCs w:val="16"/>
          <w:rtl/>
        </w:rPr>
        <w:t xml:space="preserve"> יש נוחלין ב"ב סי' תקצט)</w:t>
      </w:r>
      <w:r>
        <w:rPr>
          <w:rFonts w:cs="Arial" w:hint="cs"/>
          <w:rtl/>
        </w:rPr>
        <w:t>-</w:t>
      </w:r>
      <w:r w:rsidRPr="008A1F1E">
        <w:rPr>
          <w:rFonts w:cs="Arial"/>
          <w:rtl/>
        </w:rPr>
        <w:t xml:space="preserve"> אחד כתב לחתנו ליקח מכל נכסיו כאחד מבניו</w:t>
      </w:r>
      <w:r>
        <w:rPr>
          <w:rFonts w:cs="Arial" w:hint="cs"/>
          <w:rtl/>
        </w:rPr>
        <w:t>.</w:t>
      </w:r>
      <w:r w:rsidRPr="008A1F1E">
        <w:rPr>
          <w:rFonts w:cs="Arial"/>
          <w:rtl/>
        </w:rPr>
        <w:t xml:space="preserve"> ושטר מתנה זו כתב בו מהיום ולאחר מיתה </w:t>
      </w:r>
      <w:r>
        <w:rPr>
          <w:rFonts w:cs="Arial" w:hint="cs"/>
          <w:rtl/>
        </w:rPr>
        <w:t xml:space="preserve">- </w:t>
      </w:r>
      <w:r w:rsidRPr="008A1F1E">
        <w:rPr>
          <w:rFonts w:cs="Arial"/>
          <w:rtl/>
        </w:rPr>
        <w:t>הרי הוא כמתנת בריא</w:t>
      </w:r>
      <w:r>
        <w:rPr>
          <w:rStyle w:val="a7"/>
          <w:rFonts w:cs="Arial"/>
          <w:rtl/>
        </w:rPr>
        <w:footnoteReference w:id="2790"/>
      </w:r>
      <w:r w:rsidRPr="008A1F1E">
        <w:rPr>
          <w:rFonts w:cs="Arial"/>
          <w:rtl/>
        </w:rPr>
        <w:t xml:space="preserve"> וזכה בגוף מהיום ובפירות לאחר מיתה</w:t>
      </w:r>
      <w:r>
        <w:rPr>
          <w:rFonts w:cs="Arial" w:hint="cs"/>
          <w:rtl/>
        </w:rPr>
        <w:t>.</w:t>
      </w:r>
      <w:r w:rsidRPr="008A1F1E">
        <w:rPr>
          <w:rFonts w:cs="Arial"/>
          <w:rtl/>
        </w:rPr>
        <w:t xml:space="preserve"> ואין כתובת בנין דכרין נגבית ממתנה זו</w:t>
      </w:r>
      <w:r>
        <w:rPr>
          <w:rFonts w:cs="Arial" w:hint="cs"/>
          <w:rtl/>
        </w:rPr>
        <w:t>,</w:t>
      </w:r>
      <w:r w:rsidRPr="008A1F1E">
        <w:rPr>
          <w:rFonts w:cs="Arial"/>
          <w:rtl/>
        </w:rPr>
        <w:t xml:space="preserve"> דהא כתובת בנין דכרין אינה אלא ירושה</w:t>
      </w:r>
      <w:r>
        <w:rPr>
          <w:rFonts w:cs="Arial" w:hint="cs"/>
          <w:rtl/>
        </w:rPr>
        <w:t>,</w:t>
      </w:r>
      <w:r w:rsidRPr="008A1F1E">
        <w:rPr>
          <w:rFonts w:cs="Arial"/>
          <w:rtl/>
        </w:rPr>
        <w:t xml:space="preserve"> וזו היא מתנה ומפקעת אותה</w:t>
      </w:r>
      <w:r>
        <w:rPr>
          <w:rFonts w:cs="Arial" w:hint="cs"/>
          <w:rtl/>
        </w:rPr>
        <w:t>.</w:t>
      </w:r>
      <w:r w:rsidRPr="008A1F1E">
        <w:rPr>
          <w:rFonts w:cs="Arial"/>
          <w:rtl/>
        </w:rPr>
        <w:t xml:space="preserve"> ועוד דמתנה זו חיילא מהיום ותו לא פקעה</w:t>
      </w:r>
      <w:r>
        <w:rPr>
          <w:rFonts w:cs="Arial" w:hint="cs"/>
          <w:rtl/>
        </w:rPr>
        <w:t>,</w:t>
      </w:r>
      <w:r w:rsidRPr="008A1F1E">
        <w:rPr>
          <w:rFonts w:cs="Arial"/>
          <w:rtl/>
        </w:rPr>
        <w:t xml:space="preserve"> ואע</w:t>
      </w:r>
      <w:r>
        <w:rPr>
          <w:rFonts w:cs="Arial" w:hint="cs"/>
          <w:rtl/>
        </w:rPr>
        <w:t>"</w:t>
      </w:r>
      <w:r w:rsidRPr="008A1F1E">
        <w:rPr>
          <w:rFonts w:cs="Arial"/>
          <w:rtl/>
        </w:rPr>
        <w:t>ג דפירות לא גביא מהיום מכל מקום לא גביא כתובת בנין דכרין מינייהו ולא מן השבח</w:t>
      </w:r>
      <w:r>
        <w:rPr>
          <w:rFonts w:cs="Arial" w:hint="cs"/>
          <w:rtl/>
        </w:rPr>
        <w:t>,</w:t>
      </w:r>
      <w:r w:rsidRPr="008A1F1E">
        <w:rPr>
          <w:rFonts w:cs="Arial"/>
          <w:rtl/>
        </w:rPr>
        <w:t xml:space="preserve"> קל וחומר מכתובה דאורייתא דלא גביא מינייהו</w:t>
      </w:r>
      <w:r>
        <w:rPr>
          <w:rStyle w:val="a7"/>
          <w:rFonts w:cs="Arial"/>
          <w:rtl/>
        </w:rPr>
        <w:footnoteReference w:id="2791"/>
      </w:r>
      <w:r>
        <w:rPr>
          <w:rFonts w:cs="Arial" w:hint="cs"/>
          <w:rtl/>
        </w:rPr>
        <w:t>.</w:t>
      </w:r>
    </w:p>
    <w:p w14:paraId="4544172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38963E" w14:textId="77777777" w:rsidR="002E5BAD" w:rsidRDefault="002E5BAD" w:rsidP="002E5BAD">
      <w:pPr>
        <w:rPr>
          <w:rtl/>
        </w:rPr>
      </w:pPr>
      <w:r>
        <w:rPr>
          <w:rFonts w:cs="Arial"/>
          <w:rtl/>
        </w:rPr>
        <w:t xml:space="preserve">כל היורש כתובת אמו שמתה בחיי אביו, אינו טורף מנכסים משועבדים אלא מבני חורין, ככל היורשין. </w:t>
      </w:r>
      <w:r w:rsidRPr="00974A61">
        <w:rPr>
          <w:rFonts w:cs="Arial" w:hint="cs"/>
          <w:sz w:val="18"/>
          <w:szCs w:val="18"/>
          <w:rtl/>
        </w:rPr>
        <w:t xml:space="preserve">[הגה] </w:t>
      </w:r>
      <w:r w:rsidRPr="00974A61">
        <w:rPr>
          <w:rFonts w:cs="Arial"/>
          <w:sz w:val="18"/>
          <w:szCs w:val="18"/>
          <w:rtl/>
        </w:rPr>
        <w:t>ועיין למטה סוף הסימן.</w:t>
      </w:r>
      <w:r>
        <w:rPr>
          <w:rFonts w:cs="Arial"/>
          <w:rtl/>
        </w:rPr>
        <w:t xml:space="preserve"> </w:t>
      </w:r>
    </w:p>
    <w:p w14:paraId="75E8C460" w14:textId="77777777" w:rsidR="002E5BAD" w:rsidRDefault="002E5BAD" w:rsidP="002E5BAD">
      <w:pPr>
        <w:rPr>
          <w:rtl/>
        </w:rPr>
      </w:pPr>
    </w:p>
    <w:p w14:paraId="7DC2A0BD" w14:textId="77777777" w:rsidR="002E5BAD" w:rsidRDefault="002E5BAD" w:rsidP="002E5BAD">
      <w:pPr>
        <w:pStyle w:val="2"/>
        <w:rPr>
          <w:rtl/>
        </w:rPr>
      </w:pPr>
      <w:r>
        <w:rPr>
          <w:rtl/>
        </w:rPr>
        <w:t>סעיף יד</w:t>
      </w:r>
      <w:r>
        <w:rPr>
          <w:rFonts w:hint="cs"/>
          <w:rtl/>
        </w:rPr>
        <w:t>: גביית כתובת בנין דכרין ממטלטלים.</w:t>
      </w:r>
    </w:p>
    <w:p w14:paraId="2E9D7B41" w14:textId="77777777" w:rsidR="002E5BAD" w:rsidRDefault="002E5BAD" w:rsidP="002E5BAD">
      <w:pPr>
        <w:rPr>
          <w:rFonts w:cs="Arial"/>
          <w:rtl/>
        </w:rPr>
      </w:pPr>
      <w:r w:rsidRPr="003E4BB7">
        <w:rPr>
          <w:rFonts w:cs="Arial" w:hint="cs"/>
          <w:b/>
          <w:bCs/>
          <w:rtl/>
        </w:rPr>
        <w:t>כתובות צא</w:t>
      </w:r>
      <w:r>
        <w:rPr>
          <w:rStyle w:val="a7"/>
          <w:rFonts w:cs="Arial"/>
          <w:b/>
          <w:bCs/>
          <w:rtl/>
        </w:rPr>
        <w:footnoteReference w:id="2792"/>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2793"/>
      </w:r>
      <w:r w:rsidRPr="003E4BB7">
        <w:rPr>
          <w:rFonts w:cs="Arial"/>
          <w:rtl/>
        </w:rPr>
        <w:t xml:space="preserve"> ואין שם אלא שתי כתובות - חולקין בשוה</w:t>
      </w:r>
      <w:r>
        <w:rPr>
          <w:rStyle w:val="a7"/>
          <w:rFonts w:cs="Arial"/>
          <w:rtl/>
        </w:rPr>
        <w:footnoteReference w:id="2794"/>
      </w:r>
      <w:r>
        <w:rPr>
          <w:rFonts w:cs="Arial" w:hint="cs"/>
          <w:rtl/>
        </w:rPr>
        <w:t>.</w:t>
      </w:r>
      <w:r w:rsidRPr="003E4BB7">
        <w:rPr>
          <w:rFonts w:cs="Arial"/>
          <w:rtl/>
        </w:rPr>
        <w:t xml:space="preserve"> היה שם מותר דינר</w:t>
      </w:r>
      <w:r>
        <w:rPr>
          <w:rStyle w:val="a7"/>
          <w:rFonts w:cs="Arial"/>
          <w:rtl/>
        </w:rPr>
        <w:footnoteReference w:id="2795"/>
      </w:r>
      <w:r w:rsidRPr="003E4BB7">
        <w:rPr>
          <w:rFonts w:cs="Arial"/>
          <w:rtl/>
        </w:rPr>
        <w:t xml:space="preserve"> - אלו נוטלים כתובת אמן, ואלו נוטלים כתובת אמן.</w:t>
      </w:r>
      <w:r w:rsidRPr="00DC2E30">
        <w:rPr>
          <w:rtl/>
        </w:rPr>
        <w:t xml:space="preserve"> </w:t>
      </w:r>
      <w:r w:rsidRPr="00DC2E30">
        <w:rPr>
          <w:rFonts w:cs="Arial"/>
          <w:rtl/>
        </w:rPr>
        <w:t>אם אמרו יתומים</w:t>
      </w:r>
      <w:r>
        <w:rPr>
          <w:rStyle w:val="a7"/>
          <w:rFonts w:cs="Arial"/>
          <w:rtl/>
        </w:rPr>
        <w:footnoteReference w:id="2796"/>
      </w:r>
      <w:r w:rsidRPr="00DC2E30">
        <w:rPr>
          <w:rFonts w:cs="Arial"/>
          <w:rtl/>
        </w:rPr>
        <w:t xml:space="preserve"> אנחנו מעלים על נכסי אבינו</w:t>
      </w:r>
      <w:r>
        <w:rPr>
          <w:rStyle w:val="a7"/>
          <w:rFonts w:cs="Arial"/>
          <w:rtl/>
        </w:rPr>
        <w:footnoteReference w:id="2797"/>
      </w:r>
      <w:r w:rsidRPr="00DC2E30">
        <w:rPr>
          <w:rFonts w:cs="Arial"/>
          <w:rtl/>
        </w:rPr>
        <w:t xml:space="preserve"> יפה דינר, כדי שיטלו כתובת אמן - אין שומעין להן, אלא שמין את הנכסים בבית דין. היו שם נכסים בראוי</w:t>
      </w:r>
      <w:r>
        <w:rPr>
          <w:rStyle w:val="a7"/>
          <w:rFonts w:cs="Arial"/>
          <w:rtl/>
        </w:rPr>
        <w:footnoteReference w:id="2798"/>
      </w:r>
      <w:r w:rsidRPr="00DC2E30">
        <w:rPr>
          <w:rFonts w:cs="Arial"/>
          <w:rtl/>
        </w:rPr>
        <w:t xml:space="preserve"> - אינן כבמוחזק</w:t>
      </w:r>
      <w:r>
        <w:rPr>
          <w:rStyle w:val="a7"/>
          <w:rFonts w:cs="Arial"/>
          <w:rtl/>
        </w:rPr>
        <w:footnoteReference w:id="2799"/>
      </w:r>
      <w:r w:rsidRPr="00DC2E30">
        <w:rPr>
          <w:rFonts w:cs="Arial"/>
          <w:rtl/>
        </w:rPr>
        <w:t xml:space="preserve">. </w:t>
      </w:r>
      <w:r w:rsidRPr="00DC2E30">
        <w:rPr>
          <w:rFonts w:cs="Arial"/>
          <w:u w:val="single"/>
          <w:rtl/>
        </w:rPr>
        <w:t>ר"ש אומר</w:t>
      </w:r>
      <w:r w:rsidRPr="00DC2E30">
        <w:rPr>
          <w:rFonts w:cs="Arial"/>
          <w:rtl/>
        </w:rPr>
        <w:t>: אפי' יש שם נכסים שאין להם אחריות - אינן כלום, עד שיהיו שם נכסים שיש להן אחריות יותר על שתי הכתובות דינר.</w:t>
      </w:r>
    </w:p>
    <w:p w14:paraId="6A8E4B8C" w14:textId="77777777" w:rsidR="002E5BAD" w:rsidRPr="00387D29" w:rsidRDefault="002E5BAD" w:rsidP="002E5BAD">
      <w:pPr>
        <w:rPr>
          <w:u w:val="single"/>
          <w:rtl/>
        </w:rPr>
      </w:pPr>
      <w:r w:rsidRPr="00387D29">
        <w:rPr>
          <w:rFonts w:hint="cs"/>
          <w:u w:val="single"/>
          <w:rtl/>
        </w:rPr>
        <w:t>האם כתובת בנין דכרין נגבית ממטלטלים:</w:t>
      </w:r>
    </w:p>
    <w:p w14:paraId="6FF51904" w14:textId="77777777" w:rsidR="002E5BAD" w:rsidRPr="00631525" w:rsidRDefault="002E5BAD" w:rsidP="00B75458">
      <w:pPr>
        <w:pStyle w:val="ab"/>
        <w:numPr>
          <w:ilvl w:val="0"/>
          <w:numId w:val="195"/>
        </w:numPr>
      </w:pPr>
      <w:r>
        <w:rPr>
          <w:rFonts w:cs="Arial"/>
          <w:rtl/>
        </w:rPr>
        <w:t>רא"ש</w:t>
      </w:r>
      <w:r>
        <w:rPr>
          <w:rStyle w:val="a7"/>
          <w:rFonts w:cs="Arial"/>
          <w:rtl/>
        </w:rPr>
        <w:footnoteReference w:id="2800"/>
      </w:r>
      <w:r>
        <w:rPr>
          <w:rFonts w:cs="Arial"/>
          <w:rtl/>
        </w:rPr>
        <w:t xml:space="preserve"> </w:t>
      </w:r>
      <w:r w:rsidRPr="000804DB">
        <w:rPr>
          <w:rFonts w:cs="Arial"/>
          <w:sz w:val="16"/>
          <w:szCs w:val="16"/>
          <w:rtl/>
        </w:rPr>
        <w:t xml:space="preserve">(סי' ב) </w:t>
      </w:r>
      <w:r>
        <w:rPr>
          <w:rFonts w:cs="Arial" w:hint="cs"/>
          <w:rtl/>
        </w:rPr>
        <w:t xml:space="preserve">וטור- </w:t>
      </w:r>
      <w:r w:rsidRPr="008A1F1E">
        <w:rPr>
          <w:rFonts w:cs="Arial"/>
          <w:rtl/>
        </w:rPr>
        <w:t>ודוקא במקרקעי שיש שם קרקע כדי שתי הכתובות</w:t>
      </w:r>
      <w:r>
        <w:rPr>
          <w:rFonts w:cs="Arial" w:hint="cs"/>
          <w:rtl/>
        </w:rPr>
        <w:t>,</w:t>
      </w:r>
      <w:r w:rsidRPr="008A1F1E">
        <w:rPr>
          <w:rFonts w:cs="Arial"/>
          <w:rtl/>
        </w:rPr>
        <w:t xml:space="preserve"> אבל אם אין שם אלא מטלטלי </w:t>
      </w:r>
      <w:r>
        <w:rPr>
          <w:rFonts w:cs="Arial" w:hint="cs"/>
          <w:rtl/>
        </w:rPr>
        <w:t xml:space="preserve">- </w:t>
      </w:r>
      <w:r w:rsidRPr="008A1F1E">
        <w:rPr>
          <w:rFonts w:cs="Arial"/>
          <w:rtl/>
        </w:rPr>
        <w:t>לא</w:t>
      </w:r>
      <w:r>
        <w:rPr>
          <w:rFonts w:cs="Arial" w:hint="cs"/>
          <w:rtl/>
        </w:rPr>
        <w:t>.</w:t>
      </w:r>
      <w:r w:rsidRPr="008A1F1E">
        <w:rPr>
          <w:rFonts w:cs="Arial"/>
          <w:rtl/>
        </w:rPr>
        <w:t xml:space="preserve"> </w:t>
      </w:r>
      <w:r w:rsidRPr="008E7F76">
        <w:rPr>
          <w:rFonts w:cs="Arial"/>
          <w:rtl/>
        </w:rPr>
        <w:t>וצריך שיהיה שם מותר על שתי כתובות כל שהוא אפילו דינר</w:t>
      </w:r>
      <w:r w:rsidRPr="008E7F76">
        <w:rPr>
          <w:rFonts w:cs="Arial" w:hint="cs"/>
          <w:rtl/>
        </w:rPr>
        <w:t>,</w:t>
      </w:r>
      <w:r w:rsidRPr="008E7F76">
        <w:rPr>
          <w:rFonts w:cs="Arial"/>
          <w:rtl/>
        </w:rPr>
        <w:t xml:space="preserve"> ומיהו אפילו אין המותר אלא מטלטלי</w:t>
      </w:r>
      <w:r w:rsidRPr="008E7F76">
        <w:rPr>
          <w:rFonts w:cs="Arial" w:hint="cs"/>
          <w:rtl/>
        </w:rPr>
        <w:t xml:space="preserve"> -</w:t>
      </w:r>
      <w:r w:rsidRPr="008E7F76">
        <w:rPr>
          <w:rFonts w:cs="Arial"/>
          <w:rtl/>
        </w:rPr>
        <w:t xml:space="preserve"> שפיר דמי</w:t>
      </w:r>
      <w:r>
        <w:rPr>
          <w:rFonts w:cs="Arial" w:hint="cs"/>
          <w:sz w:val="16"/>
          <w:szCs w:val="16"/>
          <w:rtl/>
        </w:rPr>
        <w:t xml:space="preserve"> (ל' הטור)</w:t>
      </w:r>
      <w:r w:rsidRPr="008E7F76">
        <w:rPr>
          <w:rFonts w:cs="Arial" w:hint="cs"/>
          <w:rtl/>
        </w:rPr>
        <w:t>.</w:t>
      </w:r>
    </w:p>
    <w:p w14:paraId="28CDA285" w14:textId="77777777" w:rsidR="002E5BAD" w:rsidRPr="00631525" w:rsidRDefault="002E5BAD" w:rsidP="00B75458">
      <w:pPr>
        <w:pStyle w:val="ab"/>
        <w:numPr>
          <w:ilvl w:val="0"/>
          <w:numId w:val="195"/>
        </w:numPr>
      </w:pPr>
      <w:r w:rsidRPr="00631525">
        <w:rPr>
          <w:rFonts w:cs="Arial" w:hint="cs"/>
          <w:rtl/>
        </w:rPr>
        <w:t xml:space="preserve">רי"ף </w:t>
      </w:r>
      <w:r w:rsidRPr="00631525">
        <w:rPr>
          <w:rFonts w:cs="Arial" w:hint="cs"/>
          <w:sz w:val="16"/>
          <w:szCs w:val="16"/>
          <w:rtl/>
        </w:rPr>
        <w:t>([מט:] להב' הב"י)</w:t>
      </w:r>
      <w:r w:rsidRPr="00631525">
        <w:rPr>
          <w:rFonts w:cs="Arial" w:hint="cs"/>
          <w:rtl/>
        </w:rPr>
        <w:t xml:space="preserve">- </w:t>
      </w:r>
      <w:r w:rsidRPr="00631525">
        <w:rPr>
          <w:rStyle w:val="a7"/>
          <w:rFonts w:cs="Arial"/>
          <w:rtl/>
        </w:rPr>
        <w:footnoteReference w:id="2801"/>
      </w:r>
      <w:r w:rsidRPr="00631525">
        <w:rPr>
          <w:rFonts w:cs="Arial"/>
          <w:rtl/>
        </w:rPr>
        <w:t>במטלטלי נמי איתא אע</w:t>
      </w:r>
      <w:r w:rsidRPr="00631525">
        <w:rPr>
          <w:rFonts w:cs="Arial" w:hint="cs"/>
          <w:rtl/>
        </w:rPr>
        <w:t>"</w:t>
      </w:r>
      <w:r w:rsidRPr="00631525">
        <w:rPr>
          <w:rFonts w:cs="Arial"/>
          <w:rtl/>
        </w:rPr>
        <w:t>ג דכתובה ליתא במטלטלי</w:t>
      </w:r>
      <w:r w:rsidRPr="00631525">
        <w:rPr>
          <w:rFonts w:cs="Arial" w:hint="cs"/>
          <w:rtl/>
        </w:rPr>
        <w:t>.</w:t>
      </w:r>
      <w:r w:rsidRPr="00631525">
        <w:rPr>
          <w:rFonts w:cs="Arial"/>
          <w:rtl/>
        </w:rPr>
        <w:t xml:space="preserve"> ואת"ל דס"ל דלרבנן נמי ליתא אלא במקרקעי מכל מקום למאי דתקינו רבנן בתנאי דכתובה גביא ממטלטלי כתובת בנין דכרין נמי איתא במטלטלי.</w:t>
      </w:r>
    </w:p>
    <w:p w14:paraId="73E089BA" w14:textId="77777777" w:rsidR="002E5BAD" w:rsidRDefault="002E5BAD" w:rsidP="00B75458">
      <w:pPr>
        <w:pStyle w:val="ab"/>
        <w:numPr>
          <w:ilvl w:val="0"/>
          <w:numId w:val="195"/>
        </w:numPr>
      </w:pPr>
      <w:r w:rsidRPr="00631525">
        <w:rPr>
          <w:rFonts w:cs="Arial"/>
          <w:rtl/>
        </w:rPr>
        <w:t xml:space="preserve">רמב"ם </w:t>
      </w:r>
      <w:r w:rsidRPr="00631525">
        <w:rPr>
          <w:rFonts w:cs="Arial" w:hint="cs"/>
          <w:sz w:val="16"/>
          <w:szCs w:val="16"/>
          <w:rtl/>
        </w:rPr>
        <w:t>(פט</w:t>
      </w:r>
      <w:r>
        <w:rPr>
          <w:rFonts w:cs="Arial" w:hint="cs"/>
          <w:sz w:val="16"/>
          <w:szCs w:val="16"/>
          <w:rtl/>
        </w:rPr>
        <w:t>"ז</w:t>
      </w:r>
      <w:r w:rsidRPr="00631525">
        <w:rPr>
          <w:rFonts w:cs="Arial" w:hint="cs"/>
          <w:sz w:val="16"/>
          <w:szCs w:val="16"/>
          <w:rtl/>
        </w:rPr>
        <w:t xml:space="preserve"> מאישות ה"</w:t>
      </w:r>
      <w:r>
        <w:rPr>
          <w:rFonts w:cs="Arial" w:hint="cs"/>
          <w:sz w:val="16"/>
          <w:szCs w:val="16"/>
          <w:rtl/>
        </w:rPr>
        <w:t>ז</w:t>
      </w:r>
      <w:r w:rsidRPr="00631525">
        <w:rPr>
          <w:rFonts w:cs="Arial" w:hint="cs"/>
          <w:sz w:val="16"/>
          <w:szCs w:val="16"/>
          <w:rtl/>
        </w:rPr>
        <w:t>)</w:t>
      </w:r>
      <w:r>
        <w:rPr>
          <w:rFonts w:cs="Arial" w:hint="cs"/>
          <w:rtl/>
        </w:rPr>
        <w:t xml:space="preserve">- </w:t>
      </w:r>
      <w:r>
        <w:rPr>
          <w:rStyle w:val="a7"/>
          <w:rFonts w:cs="Arial"/>
          <w:rtl/>
        </w:rPr>
        <w:footnoteReference w:id="2802"/>
      </w:r>
      <w:r w:rsidRPr="00631525">
        <w:rPr>
          <w:rFonts w:cs="Arial"/>
          <w:rtl/>
        </w:rPr>
        <w:t>תקנו הגאונים בכל הישיבות שתהיה האשה גובה כתובתה אחרי מות בעלה אף מן המטלטלין</w:t>
      </w:r>
      <w:r>
        <w:rPr>
          <w:rFonts w:cs="Arial" w:hint="cs"/>
          <w:rtl/>
        </w:rPr>
        <w:t>,</w:t>
      </w:r>
      <w:r w:rsidRPr="00631525">
        <w:rPr>
          <w:rFonts w:cs="Arial"/>
          <w:rtl/>
        </w:rPr>
        <w:t xml:space="preserve"> ופשטה תקנה זו ברוב ישראל</w:t>
      </w:r>
      <w:r>
        <w:rPr>
          <w:rFonts w:cs="Arial" w:hint="cs"/>
          <w:rtl/>
        </w:rPr>
        <w:t>.</w:t>
      </w:r>
      <w:r w:rsidRPr="00631525">
        <w:rPr>
          <w:rFonts w:cs="Arial"/>
          <w:rtl/>
        </w:rPr>
        <w:t xml:space="preserve"> וכן שאר תנאי כתובה כולן ככתובה הן וישנן במטלטלין כקרקע חוץ מכתובת בנין דכרין שלא מצאנו מנהג ירושתן פשוט בכל הישיבות</w:t>
      </w:r>
      <w:r>
        <w:rPr>
          <w:rFonts w:cs="Arial" w:hint="cs"/>
          <w:rtl/>
        </w:rPr>
        <w:t>,</w:t>
      </w:r>
      <w:r w:rsidRPr="00631525">
        <w:rPr>
          <w:rFonts w:cs="Arial"/>
          <w:rtl/>
        </w:rPr>
        <w:t xml:space="preserve"> לפיכך אני אומר מעמידין אותה על דין התלמוד שאין יורשין כתובת אמן אלא מן הקרקע</w:t>
      </w:r>
      <w:r>
        <w:rPr>
          <w:rStyle w:val="a7"/>
          <w:rFonts w:cs="Arial"/>
          <w:rtl/>
        </w:rPr>
        <w:footnoteReference w:id="2803"/>
      </w:r>
      <w:r>
        <w:rPr>
          <w:rFonts w:cs="Arial" w:hint="cs"/>
          <w:rtl/>
        </w:rPr>
        <w:t>.</w:t>
      </w:r>
      <w:r w:rsidRPr="00631525">
        <w:rPr>
          <w:rFonts w:cs="Arial"/>
          <w:rtl/>
        </w:rPr>
        <w:t xml:space="preserve"> </w:t>
      </w:r>
    </w:p>
    <w:p w14:paraId="0810945E" w14:textId="77777777" w:rsidR="002E5BAD" w:rsidRPr="00C2170A" w:rsidRDefault="002E5BAD" w:rsidP="002E5BAD">
      <w:pPr>
        <w:ind w:left="360"/>
        <w:rPr>
          <w:u w:val="dotted"/>
        </w:rPr>
      </w:pPr>
      <w:r w:rsidRPr="00C2170A">
        <w:rPr>
          <w:rFonts w:hint="cs"/>
          <w:u w:val="dotted"/>
          <w:rtl/>
        </w:rPr>
        <w:lastRenderedPageBreak/>
        <w:t>ומה הדין עתה כשכותבים בכל הכתובות מטלטלי אגב מקרקעי:</w:t>
      </w:r>
    </w:p>
    <w:p w14:paraId="7F188DEC" w14:textId="77777777" w:rsidR="002E5BAD" w:rsidRDefault="002E5BAD" w:rsidP="00B75458">
      <w:pPr>
        <w:pStyle w:val="ab"/>
        <w:numPr>
          <w:ilvl w:val="0"/>
          <w:numId w:val="195"/>
        </w:numPr>
        <w:rPr>
          <w:rtl/>
        </w:rPr>
      </w:pPr>
      <w:r w:rsidRPr="00C2170A">
        <w:rPr>
          <w:rFonts w:cs="Arial" w:hint="cs"/>
          <w:rtl/>
        </w:rPr>
        <w:t xml:space="preserve">ריב"ש </w:t>
      </w:r>
      <w:r w:rsidRPr="00C2170A">
        <w:rPr>
          <w:rFonts w:cs="Arial" w:hint="cs"/>
          <w:sz w:val="16"/>
          <w:szCs w:val="16"/>
          <w:rtl/>
        </w:rPr>
        <w:t>(סי' קו)</w:t>
      </w:r>
      <w:r w:rsidRPr="00C2170A">
        <w:rPr>
          <w:rFonts w:cs="Arial" w:hint="cs"/>
          <w:rtl/>
        </w:rPr>
        <w:t xml:space="preserve">- </w:t>
      </w:r>
      <w:r>
        <w:rPr>
          <w:rStyle w:val="a7"/>
          <w:rFonts w:cs="Arial"/>
          <w:rtl/>
        </w:rPr>
        <w:footnoteReference w:id="2804"/>
      </w:r>
      <w:r w:rsidRPr="00C2170A">
        <w:rPr>
          <w:rFonts w:cs="Arial"/>
          <w:rtl/>
        </w:rPr>
        <w:t>נראה שעתה שכותבין בכל הכתובות מטלטלי אגב מקרקעי והיא נגבית מן המטלטלין מן הדין בזולת תקנת הגאונים גם כתובת בנין דכרין נגבית מן המטלטלין דתנאי כתובה ככתובה</w:t>
      </w:r>
      <w:r w:rsidRPr="00C2170A">
        <w:rPr>
          <w:rFonts w:cs="Arial" w:hint="cs"/>
          <w:rtl/>
        </w:rPr>
        <w:t>.</w:t>
      </w:r>
      <w:r>
        <w:rPr>
          <w:rFonts w:hint="cs"/>
          <w:rtl/>
        </w:rPr>
        <w:t xml:space="preserve"> </w:t>
      </w:r>
      <w:r w:rsidRPr="00707460">
        <w:rPr>
          <w:rFonts w:hint="cs"/>
          <w:color w:val="E36C0A" w:themeColor="accent6" w:themeShade="BF"/>
          <w:rtl/>
        </w:rPr>
        <w:t>(וכ"פ בשו"ע</w:t>
      </w:r>
      <w:r w:rsidRPr="00707460">
        <w:rPr>
          <w:rFonts w:hint="cs"/>
          <w:color w:val="E36C0A" w:themeColor="accent6" w:themeShade="BF"/>
          <w:sz w:val="16"/>
          <w:szCs w:val="16"/>
          <w:rtl/>
        </w:rPr>
        <w:t xml:space="preserve"> </w:t>
      </w:r>
      <w:r>
        <w:rPr>
          <w:rFonts w:hint="cs"/>
          <w:sz w:val="16"/>
          <w:szCs w:val="16"/>
          <w:rtl/>
        </w:rPr>
        <w:t>[כאן ובסע' ג</w:t>
      </w:r>
      <w:r>
        <w:rPr>
          <w:rStyle w:val="a7"/>
          <w:rFonts w:cs="Arial"/>
          <w:rtl/>
        </w:rPr>
        <w:footnoteReference w:id="2805"/>
      </w:r>
      <w:r>
        <w:rPr>
          <w:rFonts w:hint="cs"/>
          <w:sz w:val="16"/>
          <w:szCs w:val="16"/>
          <w:rtl/>
        </w:rPr>
        <w:t>]</w:t>
      </w:r>
      <w:r w:rsidRPr="00707460">
        <w:rPr>
          <w:rFonts w:hint="cs"/>
          <w:color w:val="E36C0A" w:themeColor="accent6" w:themeShade="BF"/>
          <w:rtl/>
        </w:rPr>
        <w:t>)</w:t>
      </w:r>
    </w:p>
    <w:p w14:paraId="6C09844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4248736" w14:textId="77777777" w:rsidR="002E5BAD" w:rsidRDefault="002E5BAD" w:rsidP="002E5BAD">
      <w:pPr>
        <w:rPr>
          <w:rtl/>
        </w:rPr>
      </w:pPr>
      <w:r>
        <w:rPr>
          <w:rFonts w:cs="Arial"/>
          <w:rtl/>
        </w:rPr>
        <w:t>י</w:t>
      </w:r>
      <w:r>
        <w:rPr>
          <w:rFonts w:cs="Arial" w:hint="cs"/>
          <w:rtl/>
        </w:rPr>
        <w:t xml:space="preserve">ש </w:t>
      </w:r>
      <w:r>
        <w:rPr>
          <w:rFonts w:cs="Arial"/>
          <w:rtl/>
        </w:rPr>
        <w:t>א</w:t>
      </w:r>
      <w:r>
        <w:rPr>
          <w:rFonts w:cs="Arial" w:hint="cs"/>
          <w:rtl/>
        </w:rPr>
        <w:t>ומרים</w:t>
      </w:r>
      <w:r>
        <w:rPr>
          <w:rFonts w:cs="Arial"/>
          <w:rtl/>
        </w:rPr>
        <w:t xml:space="preserve"> דוקא במקרקעי, שיש שם קרקע כדי שתי הכתובות, נהיגא כתובת בנין דכרין. אבל אם אין שם אלא מטלטלי, לא. ומיהו אפילו אין המותר אלא מטלטלי, שפיר דמי. ויש מי שאומר דהאידנא דכתבינן בכתובה דילן מטלטלי אגב מקרקעי, גם כתובות בנין דכרין נגבית ממטלטלים, דתנאי כתובה ככתובה. </w:t>
      </w:r>
    </w:p>
    <w:p w14:paraId="4864005A" w14:textId="77777777" w:rsidR="002E5BAD" w:rsidRDefault="002E5BAD" w:rsidP="002E5BAD">
      <w:pPr>
        <w:rPr>
          <w:rtl/>
        </w:rPr>
      </w:pPr>
    </w:p>
    <w:p w14:paraId="3F6E5F73" w14:textId="77777777" w:rsidR="002E5BAD" w:rsidRDefault="002E5BAD" w:rsidP="002E5BAD">
      <w:pPr>
        <w:pStyle w:val="2"/>
        <w:rPr>
          <w:rtl/>
        </w:rPr>
      </w:pPr>
      <w:r>
        <w:rPr>
          <w:rtl/>
        </w:rPr>
        <w:t>סעיף טו</w:t>
      </w:r>
      <w:r>
        <w:rPr>
          <w:rFonts w:hint="cs"/>
          <w:rtl/>
        </w:rPr>
        <w:t>: מכרה/מחלה כתובתה.</w:t>
      </w:r>
    </w:p>
    <w:p w14:paraId="0850A80E" w14:textId="77777777" w:rsidR="002E5BAD" w:rsidRDefault="002E5BAD" w:rsidP="002E5BAD">
      <w:pPr>
        <w:rPr>
          <w:rFonts w:cs="Arial"/>
          <w:rtl/>
        </w:rPr>
      </w:pPr>
      <w:r w:rsidRPr="00974066">
        <w:rPr>
          <w:rFonts w:cs="Arial" w:hint="cs"/>
          <w:b/>
          <w:bCs/>
          <w:rtl/>
        </w:rPr>
        <w:t xml:space="preserve">כתובות </w:t>
      </w:r>
      <w:r w:rsidRPr="00974066">
        <w:rPr>
          <w:rFonts w:cs="Arial" w:hint="cs"/>
          <w:b/>
          <w:bCs/>
          <w:sz w:val="16"/>
          <w:szCs w:val="16"/>
          <w:rtl/>
        </w:rPr>
        <w:t>(</w:t>
      </w:r>
      <w:r w:rsidRPr="00974066">
        <w:rPr>
          <w:rFonts w:cs="Arial"/>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נג</w:t>
      </w:r>
      <w:r w:rsidRPr="00974066">
        <w:rPr>
          <w:rFonts w:cs="Arial" w:hint="cs"/>
          <w:b/>
          <w:bCs/>
          <w:rtl/>
        </w:rPr>
        <w:t xml:space="preserve"> ע"א</w:t>
      </w:r>
      <w:r w:rsidRPr="00974066">
        <w:rPr>
          <w:rFonts w:cs="Arial"/>
          <w:b/>
          <w:bCs/>
          <w:rtl/>
        </w:rPr>
        <w:t>:</w:t>
      </w:r>
      <w:r>
        <w:rPr>
          <w:rFonts w:cs="Arial" w:hint="cs"/>
          <w:rtl/>
        </w:rPr>
        <w:t xml:space="preserve"> </w:t>
      </w:r>
      <w:r w:rsidRPr="00974066">
        <w:rPr>
          <w:rFonts w:cs="Arial"/>
          <w:u w:val="single"/>
          <w:rtl/>
        </w:rPr>
        <w:t>אמר רבא</w:t>
      </w:r>
      <w:r w:rsidRPr="00974066">
        <w:rPr>
          <w:rFonts w:cs="Arial"/>
          <w:rtl/>
        </w:rPr>
        <w:t>: פשיטא לי, מוכרת כתובתה לאחרים</w:t>
      </w:r>
      <w:r>
        <w:rPr>
          <w:rStyle w:val="a7"/>
          <w:rFonts w:cs="Arial"/>
          <w:rtl/>
        </w:rPr>
        <w:footnoteReference w:id="2806"/>
      </w:r>
      <w:r w:rsidRPr="00974066">
        <w:rPr>
          <w:rFonts w:cs="Arial"/>
          <w:rtl/>
        </w:rPr>
        <w:t xml:space="preserve"> - יש לה כתובת בנין דכרין</w:t>
      </w:r>
      <w:r>
        <w:rPr>
          <w:rStyle w:val="a7"/>
          <w:rFonts w:cs="Arial"/>
          <w:rtl/>
        </w:rPr>
        <w:footnoteReference w:id="2807"/>
      </w:r>
      <w:r w:rsidRPr="00974066">
        <w:rPr>
          <w:rFonts w:cs="Arial"/>
          <w:rtl/>
        </w:rPr>
        <w:t>, מאי טעמא? זוזי אנסוה</w:t>
      </w:r>
      <w:r>
        <w:rPr>
          <w:rFonts w:cs="Arial" w:hint="cs"/>
          <w:rtl/>
        </w:rPr>
        <w:t>.</w:t>
      </w:r>
      <w:r w:rsidRPr="00974066">
        <w:rPr>
          <w:rFonts w:cs="Arial"/>
          <w:rtl/>
        </w:rPr>
        <w:t xml:space="preserve"> מוחלת כתובתה לבעלה - אין לה כתובת בנין דכרין, מאי טעמא? אחולי אחילתא</w:t>
      </w:r>
      <w:r>
        <w:rPr>
          <w:rStyle w:val="a7"/>
          <w:rFonts w:cs="Arial"/>
          <w:rtl/>
        </w:rPr>
        <w:footnoteReference w:id="2808"/>
      </w:r>
      <w:r w:rsidRPr="00974066">
        <w:rPr>
          <w:rFonts w:cs="Arial"/>
          <w:rtl/>
        </w:rPr>
        <w:t xml:space="preserve">. </w:t>
      </w:r>
      <w:r w:rsidRPr="00974066">
        <w:rPr>
          <w:rFonts w:cs="Arial"/>
          <w:u w:val="single"/>
          <w:rtl/>
        </w:rPr>
        <w:t>בעי רבא</w:t>
      </w:r>
      <w:r w:rsidRPr="00974066">
        <w:rPr>
          <w:rFonts w:cs="Arial"/>
          <w:rtl/>
        </w:rPr>
        <w:t>: מוכרת כתובתה לבעלה</w:t>
      </w:r>
      <w:r>
        <w:rPr>
          <w:rStyle w:val="a7"/>
          <w:rFonts w:cs="Arial"/>
          <w:rtl/>
        </w:rPr>
        <w:footnoteReference w:id="2809"/>
      </w:r>
      <w:r w:rsidRPr="00974066">
        <w:rPr>
          <w:rFonts w:cs="Arial"/>
          <w:rtl/>
        </w:rPr>
        <w:t>, כמוכרת לאחרים דמי או כמוחלת לבעלה דמי</w:t>
      </w:r>
      <w:r>
        <w:rPr>
          <w:rStyle w:val="a7"/>
          <w:rFonts w:cs="Arial"/>
          <w:rtl/>
        </w:rPr>
        <w:footnoteReference w:id="2810"/>
      </w:r>
      <w:r w:rsidRPr="00974066">
        <w:rPr>
          <w:rFonts w:cs="Arial"/>
          <w:rtl/>
        </w:rPr>
        <w:t>? בתר דבעיא הדר פשטא: מוכרת כתובה לבעלה - כמוכרת לאחרים דמי.</w:t>
      </w:r>
      <w:r>
        <w:rPr>
          <w:rFonts w:cs="Arial" w:hint="cs"/>
          <w:rtl/>
        </w:rPr>
        <w:t xml:space="preserve">  </w:t>
      </w:r>
    </w:p>
    <w:p w14:paraId="194BDC6F" w14:textId="77777777" w:rsidR="002E5BAD" w:rsidRPr="00974066" w:rsidRDefault="002E5BAD" w:rsidP="002E5BAD">
      <w:pPr>
        <w:rPr>
          <w:u w:val="single"/>
          <w:rtl/>
        </w:rPr>
      </w:pPr>
      <w:r w:rsidRPr="00974066">
        <w:rPr>
          <w:rFonts w:hint="cs"/>
          <w:u w:val="single"/>
          <w:rtl/>
        </w:rPr>
        <w:t xml:space="preserve">מכרה/מחלה כתובתה </w:t>
      </w:r>
      <w:r w:rsidRPr="00974066">
        <w:rPr>
          <w:u w:val="single"/>
          <w:rtl/>
        </w:rPr>
        <w:t>–</w:t>
      </w:r>
      <w:r w:rsidRPr="00974066">
        <w:rPr>
          <w:rFonts w:hint="cs"/>
          <w:u w:val="single"/>
          <w:rtl/>
        </w:rPr>
        <w:t xml:space="preserve"> האם בניה גובים כתובת בנין דכרין:</w:t>
      </w:r>
    </w:p>
    <w:p w14:paraId="0E543C69" w14:textId="77777777" w:rsidR="002E5BAD" w:rsidRPr="00D96223" w:rsidRDefault="002E5BAD" w:rsidP="00B75458">
      <w:pPr>
        <w:pStyle w:val="ab"/>
        <w:numPr>
          <w:ilvl w:val="0"/>
          <w:numId w:val="195"/>
        </w:numPr>
      </w:pPr>
      <w:r w:rsidRPr="000469C0">
        <w:rPr>
          <w:rFonts w:cs="Arial"/>
          <w:rtl/>
        </w:rPr>
        <w:t xml:space="preserve">רמב"ם </w:t>
      </w:r>
      <w:r w:rsidRPr="000469C0">
        <w:rPr>
          <w:rFonts w:cs="Arial" w:hint="cs"/>
          <w:sz w:val="16"/>
          <w:szCs w:val="16"/>
          <w:rtl/>
        </w:rPr>
        <w:t>(</w:t>
      </w:r>
      <w:r w:rsidRPr="000469C0">
        <w:rPr>
          <w:rFonts w:cs="Arial"/>
          <w:sz w:val="16"/>
          <w:szCs w:val="16"/>
          <w:rtl/>
        </w:rPr>
        <w:t>פי"</w:t>
      </w:r>
      <w:r>
        <w:rPr>
          <w:rFonts w:cs="Arial" w:hint="cs"/>
          <w:sz w:val="16"/>
          <w:szCs w:val="16"/>
          <w:rtl/>
        </w:rPr>
        <w:t>ז</w:t>
      </w:r>
      <w:r w:rsidRPr="000469C0">
        <w:rPr>
          <w:rFonts w:cs="Arial"/>
          <w:sz w:val="16"/>
          <w:szCs w:val="16"/>
          <w:rtl/>
        </w:rPr>
        <w:t xml:space="preserve"> הי"</w:t>
      </w:r>
      <w:r>
        <w:rPr>
          <w:rFonts w:cs="Arial" w:hint="cs"/>
          <w:sz w:val="16"/>
          <w:szCs w:val="16"/>
          <w:rtl/>
        </w:rPr>
        <w:t>ט</w:t>
      </w:r>
      <w:r w:rsidRPr="000469C0">
        <w:rPr>
          <w:rFonts w:cs="Arial"/>
          <w:sz w:val="16"/>
          <w:szCs w:val="16"/>
          <w:rtl/>
        </w:rPr>
        <w:t>)</w:t>
      </w:r>
      <w:r>
        <w:rPr>
          <w:rFonts w:cs="Arial" w:hint="cs"/>
          <w:rtl/>
        </w:rPr>
        <w:t xml:space="preserve"> וטור- </w:t>
      </w:r>
      <w:r w:rsidRPr="008A1F1E">
        <w:rPr>
          <w:rFonts w:cs="Arial"/>
          <w:rtl/>
        </w:rPr>
        <w:t xml:space="preserve">המוכרת כתובתה בין לבעלה בין לאחרים </w:t>
      </w:r>
      <w:r>
        <w:rPr>
          <w:rFonts w:cs="Arial" w:hint="cs"/>
          <w:rtl/>
        </w:rPr>
        <w:t xml:space="preserve">- </w:t>
      </w:r>
      <w:r w:rsidRPr="008A1F1E">
        <w:rPr>
          <w:rFonts w:cs="Arial"/>
          <w:rtl/>
        </w:rPr>
        <w:t>לא הפסידה כתובת בנין דכרין</w:t>
      </w:r>
      <w:r>
        <w:rPr>
          <w:rFonts w:cs="Arial" w:hint="cs"/>
          <w:rtl/>
        </w:rPr>
        <w:t>.</w:t>
      </w:r>
      <w:r w:rsidRPr="008A1F1E">
        <w:rPr>
          <w:rFonts w:cs="Arial"/>
          <w:rtl/>
        </w:rPr>
        <w:t xml:space="preserve"> ואם תמות בחייו ואח"כ מת הוא </w:t>
      </w:r>
      <w:r>
        <w:rPr>
          <w:rFonts w:cs="Arial" w:hint="cs"/>
          <w:rtl/>
        </w:rPr>
        <w:t xml:space="preserve">- </w:t>
      </w:r>
      <w:r w:rsidRPr="008A1F1E">
        <w:rPr>
          <w:rFonts w:cs="Arial"/>
          <w:rtl/>
        </w:rPr>
        <w:t>בניה נוטלים כתובת אמן כאילו לא מכרה</w:t>
      </w:r>
      <w:r>
        <w:rPr>
          <w:rFonts w:cs="Arial" w:hint="cs"/>
          <w:rtl/>
        </w:rPr>
        <w:t>.</w:t>
      </w:r>
      <w:r w:rsidRPr="008A1F1E">
        <w:rPr>
          <w:rFonts w:cs="Arial"/>
          <w:rtl/>
        </w:rPr>
        <w:t xml:space="preserve"> אבל אם מחלה כתובתה לבעלה </w:t>
      </w:r>
      <w:r>
        <w:rPr>
          <w:rFonts w:cs="Arial" w:hint="cs"/>
          <w:rtl/>
        </w:rPr>
        <w:t xml:space="preserve">- </w:t>
      </w:r>
      <w:r w:rsidRPr="008A1F1E">
        <w:rPr>
          <w:rFonts w:cs="Arial"/>
          <w:rtl/>
        </w:rPr>
        <w:t>הפסידו בניה כתובת בנין דכרין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509E3075" w14:textId="77777777" w:rsidR="002E5BAD" w:rsidRPr="000469C0" w:rsidRDefault="002E5BAD" w:rsidP="002E5BAD">
      <w:pPr>
        <w:rPr>
          <w:rFonts w:cs="Arial"/>
          <w:u w:val="single"/>
          <w:rtl/>
        </w:rPr>
      </w:pPr>
      <w:r w:rsidRPr="000469C0">
        <w:rPr>
          <w:rFonts w:cs="Arial" w:hint="cs"/>
          <w:u w:val="single"/>
          <w:rtl/>
        </w:rPr>
        <w:t>האם הבנים צריכים להחזיק בשטר הכתובה של אמן כדי לגבות כתובת בנין דכרין:</w:t>
      </w:r>
    </w:p>
    <w:p w14:paraId="5FB5C7B4" w14:textId="77777777" w:rsidR="002E5BAD" w:rsidRPr="008A1F1E" w:rsidRDefault="002E5BAD" w:rsidP="00B75458">
      <w:pPr>
        <w:pStyle w:val="ab"/>
        <w:numPr>
          <w:ilvl w:val="0"/>
          <w:numId w:val="195"/>
        </w:numPr>
        <w:rPr>
          <w:rtl/>
        </w:rPr>
      </w:pPr>
      <w:r w:rsidRPr="000469C0">
        <w:rPr>
          <w:rFonts w:cs="Arial"/>
          <w:rtl/>
        </w:rPr>
        <w:t xml:space="preserve">רמב"ם </w:t>
      </w:r>
      <w:r w:rsidRPr="000469C0">
        <w:rPr>
          <w:rFonts w:cs="Arial" w:hint="cs"/>
          <w:sz w:val="16"/>
          <w:szCs w:val="16"/>
          <w:rtl/>
        </w:rPr>
        <w:t>(</w:t>
      </w:r>
      <w:r w:rsidRPr="000469C0">
        <w:rPr>
          <w:rFonts w:cs="Arial"/>
          <w:sz w:val="16"/>
          <w:szCs w:val="16"/>
          <w:rtl/>
        </w:rPr>
        <w:t>פי"ט הי"ב)</w:t>
      </w:r>
      <w:r w:rsidRPr="000469C0">
        <w:rPr>
          <w:rFonts w:cs="Arial" w:hint="cs"/>
          <w:rtl/>
        </w:rPr>
        <w:t>-</w:t>
      </w:r>
      <w:r w:rsidRPr="000469C0">
        <w:rPr>
          <w:rFonts w:cs="Arial"/>
          <w:rtl/>
        </w:rPr>
        <w:t xml:space="preserve"> אין הבנים יורשין כתובת אמן</w:t>
      </w:r>
      <w:r w:rsidRPr="000469C0">
        <w:rPr>
          <w:rFonts w:cs="Arial" w:hint="cs"/>
          <w:rtl/>
        </w:rPr>
        <w:t>...</w:t>
      </w:r>
      <w:r w:rsidRPr="000469C0">
        <w:rPr>
          <w:rFonts w:cs="Arial"/>
          <w:rtl/>
        </w:rPr>
        <w:t xml:space="preserve"> עד שיהיה שטר כתובה יוצא מתחת ידם</w:t>
      </w:r>
      <w:r w:rsidRPr="000469C0">
        <w:rPr>
          <w:rFonts w:cs="Arial" w:hint="cs"/>
          <w:rtl/>
        </w:rPr>
        <w:t>.</w:t>
      </w:r>
      <w:r w:rsidRPr="000469C0">
        <w:rPr>
          <w:rFonts w:cs="Arial"/>
          <w:rtl/>
        </w:rPr>
        <w:t xml:space="preserve"> אבל אם אין שם שטר כתובה </w:t>
      </w:r>
      <w:r w:rsidRPr="000469C0">
        <w:rPr>
          <w:rFonts w:cs="Arial" w:hint="cs"/>
          <w:rtl/>
        </w:rPr>
        <w:t xml:space="preserve">- </w:t>
      </w:r>
      <w:r w:rsidRPr="000469C0">
        <w:rPr>
          <w:rFonts w:cs="Arial"/>
          <w:rtl/>
        </w:rPr>
        <w:t>אין להם כלום</w:t>
      </w:r>
      <w:r w:rsidRPr="000469C0">
        <w:rPr>
          <w:rFonts w:cs="Arial" w:hint="cs"/>
          <w:rtl/>
        </w:rPr>
        <w:t>,</w:t>
      </w:r>
      <w:r w:rsidRPr="000469C0">
        <w:rPr>
          <w:rFonts w:cs="Arial"/>
          <w:rtl/>
        </w:rPr>
        <w:t xml:space="preserve"> שמא מחלה אמן כתובתה</w:t>
      </w:r>
      <w:r w:rsidRPr="000469C0">
        <w:rPr>
          <w:rFonts w:cs="Arial" w:hint="cs"/>
          <w:rtl/>
        </w:rPr>
        <w:t>.</w:t>
      </w:r>
      <w:r w:rsidRPr="000469C0">
        <w:rPr>
          <w:rFonts w:cs="Arial"/>
          <w:rtl/>
        </w:rPr>
        <w:t xml:space="preserve"> ואם אין דרכם לכתוב כתובה </w:t>
      </w:r>
      <w:r w:rsidRPr="000469C0">
        <w:rPr>
          <w:rFonts w:cs="Arial" w:hint="cs"/>
          <w:rtl/>
        </w:rPr>
        <w:t xml:space="preserve">- </w:t>
      </w:r>
      <w:r w:rsidRPr="000469C0">
        <w:rPr>
          <w:rFonts w:cs="Arial"/>
          <w:rtl/>
        </w:rPr>
        <w:t>יש להן</w:t>
      </w:r>
      <w:r w:rsidRPr="000469C0">
        <w:rPr>
          <w:rFonts w:cs="Arial" w:hint="cs"/>
          <w:rtl/>
        </w:rPr>
        <w:t>..</w:t>
      </w:r>
      <w:r w:rsidRPr="000469C0">
        <w:rPr>
          <w:rFonts w:cs="Arial"/>
          <w:rtl/>
        </w:rPr>
        <w:t>.</w:t>
      </w:r>
      <w:r w:rsidRPr="004A0B46">
        <w:rPr>
          <w:rFonts w:hint="cs"/>
          <w:color w:val="E36C0A" w:themeColor="accent6" w:themeShade="BF"/>
          <w:rtl/>
        </w:rPr>
        <w:t xml:space="preserve"> </w:t>
      </w:r>
      <w:r w:rsidRPr="0081621B">
        <w:rPr>
          <w:rFonts w:hint="cs"/>
          <w:color w:val="E36C0A" w:themeColor="accent6" w:themeShade="BF"/>
          <w:rtl/>
        </w:rPr>
        <w:t>(וכ"פ בשו"ע)</w:t>
      </w:r>
    </w:p>
    <w:p w14:paraId="5BBB1E0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7AEF7F" w14:textId="77777777" w:rsidR="002E5BAD" w:rsidRDefault="002E5BAD" w:rsidP="002E5BAD">
      <w:pPr>
        <w:rPr>
          <w:rtl/>
        </w:rPr>
      </w:pPr>
      <w:r>
        <w:rPr>
          <w:rFonts w:cs="Arial"/>
          <w:rtl/>
        </w:rPr>
        <w:lastRenderedPageBreak/>
        <w:t>המוכרת כתובתה, בין לבעלה בין לאחרים, לא הפסידה כתובת בנין דכרין. אבל אם מחלה כתובתה</w:t>
      </w:r>
      <w:r>
        <w:rPr>
          <w:rStyle w:val="a7"/>
          <w:rFonts w:cs="Arial"/>
          <w:rtl/>
        </w:rPr>
        <w:footnoteReference w:id="2811"/>
      </w:r>
      <w:r>
        <w:rPr>
          <w:rFonts w:cs="Arial"/>
          <w:rtl/>
        </w:rPr>
        <w:t xml:space="preserve"> לבעלה, הפסידו בניה כתובת בנין דכרין. לפיכך אין הבנים יורשין כתובת בנין דכרין עד שיהיה שטר הכתובה יוצא מתחת ידם</w:t>
      </w:r>
      <w:r>
        <w:rPr>
          <w:rStyle w:val="a7"/>
          <w:rFonts w:cs="Arial"/>
          <w:rtl/>
        </w:rPr>
        <w:footnoteReference w:id="2812"/>
      </w:r>
      <w:r>
        <w:rPr>
          <w:rFonts w:cs="Arial"/>
          <w:rtl/>
        </w:rPr>
        <w:t xml:space="preserve">, אבל אם אין שם שטר כתובה אין להם כלום, שמא מחלה אמם. ואם אין דרכם לכתוב כתובה, יש להם. </w:t>
      </w:r>
    </w:p>
    <w:p w14:paraId="6B429A86" w14:textId="77777777" w:rsidR="002E5BAD" w:rsidRDefault="002E5BAD" w:rsidP="002E5BAD">
      <w:pPr>
        <w:rPr>
          <w:rtl/>
        </w:rPr>
      </w:pPr>
    </w:p>
    <w:p w14:paraId="752EFA24" w14:textId="77777777" w:rsidR="002E5BAD" w:rsidRDefault="002E5BAD" w:rsidP="002E5BAD">
      <w:pPr>
        <w:pStyle w:val="2"/>
        <w:rPr>
          <w:rtl/>
        </w:rPr>
      </w:pPr>
      <w:r>
        <w:rPr>
          <w:rtl/>
        </w:rPr>
        <w:t>סעיף טז</w:t>
      </w:r>
      <w:r>
        <w:rPr>
          <w:rFonts w:hint="cs"/>
          <w:rtl/>
        </w:rPr>
        <w:t>: צוה בשעת מותו שלא ירשו בניו כתובת בנין דכרין.</w:t>
      </w:r>
    </w:p>
    <w:p w14:paraId="263F33D6" w14:textId="77777777" w:rsidR="002E5BAD" w:rsidRPr="002C27E2" w:rsidRDefault="002E5BAD" w:rsidP="002E5BAD">
      <w:pPr>
        <w:rPr>
          <w:sz w:val="16"/>
          <w:szCs w:val="16"/>
          <w:rtl/>
        </w:rPr>
      </w:pPr>
      <w:r w:rsidRPr="002F4753">
        <w:rPr>
          <w:rFonts w:cs="Arial" w:hint="cs"/>
          <w:b/>
          <w:bCs/>
          <w:rtl/>
        </w:rPr>
        <w:t xml:space="preserve">כתובות </w:t>
      </w:r>
      <w:r>
        <w:rPr>
          <w:rFonts w:cs="Arial" w:hint="cs"/>
          <w:b/>
          <w:bCs/>
          <w:sz w:val="16"/>
          <w:szCs w:val="16"/>
          <w:rtl/>
        </w:rPr>
        <w:t xml:space="preserve">(פ' מציאת האשה) </w:t>
      </w:r>
      <w:r w:rsidRPr="002F4753">
        <w:rPr>
          <w:rFonts w:cs="Arial" w:hint="cs"/>
          <w:b/>
          <w:bCs/>
          <w:rtl/>
        </w:rPr>
        <w:t>סח ע"ב:</w:t>
      </w:r>
      <w:r>
        <w:rPr>
          <w:rFonts w:cs="Arial" w:hint="cs"/>
          <w:rtl/>
        </w:rPr>
        <w:t xml:space="preserve"> </w:t>
      </w:r>
      <w:r w:rsidRPr="002F4753">
        <w:rPr>
          <w:rFonts w:cs="Arial"/>
          <w:rtl/>
        </w:rPr>
        <w:t>לכדתניא: האומר אל יזונו בנותיו מנכסיו - אין שומעין לו, אל יתפרנסו בנותיו מנכסיו - שומעין לו, שהפרנסה אינה כתנאי כתובה.</w:t>
      </w:r>
      <w:r>
        <w:rPr>
          <w:rFonts w:hint="cs"/>
          <w:sz w:val="16"/>
          <w:szCs w:val="16"/>
          <w:rtl/>
        </w:rPr>
        <w:t xml:space="preserve"> (דין זה מתבאר בסי' קיב, ומדין זה יש ללמוד שהאומר כן לגבי כתובת בנין דכרין גם כן לא מהני, ע"פ ב"י)</w:t>
      </w:r>
    </w:p>
    <w:p w14:paraId="61B45CDA" w14:textId="77777777" w:rsidR="002E5BAD" w:rsidRPr="00BF67F0" w:rsidRDefault="002E5BAD" w:rsidP="002E5BAD">
      <w:pPr>
        <w:rPr>
          <w:u w:val="single"/>
          <w:rtl/>
        </w:rPr>
      </w:pPr>
      <w:r w:rsidRPr="00BF67F0">
        <w:rPr>
          <w:rFonts w:cs="Arial"/>
          <w:u w:val="single"/>
          <w:rtl/>
        </w:rPr>
        <w:t>מי שצוה בשעת מיתה שלא יירשו בניו כתובת בנין דכרין</w:t>
      </w:r>
      <w:r w:rsidRPr="00BF67F0">
        <w:rPr>
          <w:rFonts w:hint="cs"/>
          <w:u w:val="single"/>
          <w:rtl/>
        </w:rPr>
        <w:t>:</w:t>
      </w:r>
    </w:p>
    <w:p w14:paraId="5F5AF54E" w14:textId="77777777" w:rsidR="002E5BAD" w:rsidRPr="00BF67F0" w:rsidRDefault="002E5BAD" w:rsidP="00B75458">
      <w:pPr>
        <w:pStyle w:val="ab"/>
        <w:numPr>
          <w:ilvl w:val="0"/>
          <w:numId w:val="195"/>
        </w:numPr>
      </w:pPr>
      <w:r>
        <w:rPr>
          <w:rFonts w:cs="Arial" w:hint="cs"/>
          <w:rtl/>
        </w:rPr>
        <w:t xml:space="preserve">טור- </w:t>
      </w:r>
      <w:r w:rsidRPr="008A1F1E">
        <w:rPr>
          <w:rFonts w:cs="Arial"/>
          <w:rtl/>
        </w:rPr>
        <w:t xml:space="preserve">מי שצוה בשעת מיתה שלא יירשו בניו כתובת בנין דכרין </w:t>
      </w:r>
      <w:r>
        <w:rPr>
          <w:rFonts w:cs="Arial" w:hint="cs"/>
          <w:rtl/>
        </w:rPr>
        <w:t xml:space="preserve">- </w:t>
      </w:r>
      <w:r w:rsidRPr="008A1F1E">
        <w:rPr>
          <w:rFonts w:cs="Arial"/>
          <w:rtl/>
        </w:rPr>
        <w:t>אין שומעין לו</w:t>
      </w:r>
      <w:r>
        <w:rPr>
          <w:rFonts w:cs="Arial" w:hint="cs"/>
          <w:rtl/>
        </w:rPr>
        <w:t>,</w:t>
      </w:r>
      <w:r w:rsidRPr="008A1F1E">
        <w:rPr>
          <w:rFonts w:cs="Arial"/>
          <w:rtl/>
        </w:rPr>
        <w:t xml:space="preserve"> שא"א לו לבטל תקנת חכמים</w:t>
      </w:r>
      <w:r>
        <w:rPr>
          <w:rFonts w:cs="Arial" w:hint="cs"/>
          <w:rtl/>
        </w:rPr>
        <w:t>.</w:t>
      </w:r>
      <w:r w:rsidRPr="008A1F1E">
        <w:rPr>
          <w:rFonts w:cs="Arial"/>
          <w:rtl/>
        </w:rPr>
        <w:t xml:space="preserve"> </w:t>
      </w:r>
      <w:r w:rsidRPr="0081621B">
        <w:rPr>
          <w:rFonts w:hint="cs"/>
          <w:color w:val="E36C0A" w:themeColor="accent6" w:themeShade="BF"/>
          <w:rtl/>
        </w:rPr>
        <w:t>(וכ"פ בשו"ע)</w:t>
      </w:r>
    </w:p>
    <w:p w14:paraId="3F819092" w14:textId="77777777" w:rsidR="002E5BAD" w:rsidRPr="00BF67F0" w:rsidRDefault="002E5BAD" w:rsidP="002E5BAD">
      <w:pPr>
        <w:ind w:left="360"/>
        <w:rPr>
          <w:u w:val="dotted"/>
        </w:rPr>
      </w:pPr>
      <w:r w:rsidRPr="00BF67F0">
        <w:rPr>
          <w:rFonts w:hint="cs"/>
          <w:u w:val="dotted"/>
          <w:rtl/>
        </w:rPr>
        <w:t>ומה הדין אם התנה כן בשעת הנישואין:</w:t>
      </w:r>
    </w:p>
    <w:p w14:paraId="689405B5" w14:textId="77777777" w:rsidR="002E5BAD" w:rsidRDefault="002E5BAD" w:rsidP="00B75458">
      <w:pPr>
        <w:pStyle w:val="ab"/>
        <w:numPr>
          <w:ilvl w:val="0"/>
          <w:numId w:val="195"/>
        </w:numPr>
      </w:pPr>
      <w:r>
        <w:rPr>
          <w:rFonts w:cs="Arial" w:hint="cs"/>
          <w:rtl/>
        </w:rPr>
        <w:t xml:space="preserve">טור- </w:t>
      </w:r>
      <w:r w:rsidRPr="008A1F1E">
        <w:rPr>
          <w:rFonts w:cs="Arial"/>
          <w:rtl/>
        </w:rPr>
        <w:t xml:space="preserve">אבל אם התנה כן בשעת נישואין </w:t>
      </w:r>
      <w:r>
        <w:rPr>
          <w:rFonts w:cs="Arial" w:hint="cs"/>
          <w:rtl/>
        </w:rPr>
        <w:t xml:space="preserve">- </w:t>
      </w:r>
      <w:r w:rsidRPr="008A1F1E">
        <w:rPr>
          <w:rFonts w:cs="Arial"/>
          <w:rtl/>
        </w:rPr>
        <w:t>הוי תנאי שבממון וקיים</w:t>
      </w:r>
      <w:r>
        <w:rPr>
          <w:rFonts w:cs="Arial" w:hint="cs"/>
          <w:rtl/>
        </w:rPr>
        <w:t>.</w:t>
      </w:r>
      <w:r w:rsidRPr="008A1F1E">
        <w:rPr>
          <w:rFonts w:cs="Arial"/>
          <w:rtl/>
        </w:rPr>
        <w:t xml:space="preserve"> </w:t>
      </w:r>
      <w:r w:rsidRPr="00EF7FF2">
        <w:rPr>
          <w:rFonts w:hint="cs"/>
          <w:color w:val="00B0F0"/>
          <w:rtl/>
        </w:rPr>
        <w:t>(וכ"פ הרמ"א)</w:t>
      </w:r>
    </w:p>
    <w:p w14:paraId="11ABD456" w14:textId="77777777" w:rsidR="002E5BAD" w:rsidRPr="00851BF6" w:rsidRDefault="002E5BAD" w:rsidP="002E5BAD">
      <w:pPr>
        <w:rPr>
          <w:u w:val="single"/>
        </w:rPr>
      </w:pPr>
      <w:r w:rsidRPr="00851BF6">
        <w:rPr>
          <w:rFonts w:hint="cs"/>
          <w:u w:val="single"/>
          <w:rtl/>
        </w:rPr>
        <w:t>האם כתובת בנין דכרין נוהגת היום:</w:t>
      </w:r>
    </w:p>
    <w:p w14:paraId="07FDAA15" w14:textId="77777777" w:rsidR="002E5BAD" w:rsidRPr="00BF67F0" w:rsidRDefault="002E5BAD" w:rsidP="00B75458">
      <w:pPr>
        <w:pStyle w:val="ab"/>
        <w:numPr>
          <w:ilvl w:val="0"/>
          <w:numId w:val="195"/>
        </w:numPr>
      </w:pPr>
      <w:r>
        <w:rPr>
          <w:rFonts w:cs="Arial" w:hint="cs"/>
          <w:rtl/>
        </w:rPr>
        <w:t xml:space="preserve">רב חנניא גאון רב שמואל גאון </w:t>
      </w:r>
      <w:r>
        <w:rPr>
          <w:rFonts w:cs="Arial" w:hint="cs"/>
          <w:sz w:val="16"/>
          <w:szCs w:val="16"/>
          <w:rtl/>
        </w:rPr>
        <w:t>(הביאם בהעי"ט [שם], והטור כתב כן בשם 'רבים מהגאונים')</w:t>
      </w:r>
      <w:r>
        <w:rPr>
          <w:rFonts w:cs="Arial" w:hint="cs"/>
          <w:rtl/>
        </w:rPr>
        <w:t xml:space="preserve"> ובהעי"ט</w:t>
      </w:r>
      <w:r>
        <w:rPr>
          <w:rStyle w:val="a7"/>
          <w:rFonts w:cs="Arial"/>
          <w:rtl/>
        </w:rPr>
        <w:footnoteReference w:id="2813"/>
      </w:r>
      <w:r>
        <w:rPr>
          <w:rFonts w:cs="Arial" w:hint="cs"/>
          <w:rtl/>
        </w:rPr>
        <w:t xml:space="preserve">- </w:t>
      </w:r>
      <w:r w:rsidRPr="008A1F1E">
        <w:rPr>
          <w:rFonts w:cs="Arial"/>
          <w:rtl/>
        </w:rPr>
        <w:t>אין כתובת בנין דכרין עתה נוהג כלל</w:t>
      </w:r>
      <w:r>
        <w:rPr>
          <w:rFonts w:cs="Arial" w:hint="cs"/>
          <w:rtl/>
        </w:rPr>
        <w:t>.</w:t>
      </w:r>
      <w:r w:rsidRPr="008A1F1E">
        <w:rPr>
          <w:rFonts w:cs="Arial"/>
          <w:rtl/>
        </w:rPr>
        <w:t xml:space="preserve"> שעיקר התקנה היתה כדי שיתן אדם לבתו כבנו</w:t>
      </w:r>
      <w:r>
        <w:rPr>
          <w:rFonts w:cs="Arial" w:hint="cs"/>
          <w:rtl/>
        </w:rPr>
        <w:t>,</w:t>
      </w:r>
      <w:r w:rsidRPr="008A1F1E">
        <w:rPr>
          <w:rFonts w:cs="Arial"/>
          <w:rtl/>
        </w:rPr>
        <w:t xml:space="preserve"> ועכשיו נוהגים לתת להם יותר ויותר</w:t>
      </w:r>
      <w:r>
        <w:rPr>
          <w:rFonts w:cs="Arial" w:hint="cs"/>
          <w:rtl/>
        </w:rPr>
        <w:t xml:space="preserve"> </w:t>
      </w:r>
      <w:r>
        <w:rPr>
          <w:rFonts w:cs="Arial" w:hint="cs"/>
          <w:sz w:val="16"/>
          <w:szCs w:val="16"/>
          <w:rtl/>
        </w:rPr>
        <w:t>(ל' הטור בשמם)</w:t>
      </w:r>
      <w:r>
        <w:rPr>
          <w:rFonts w:cs="Arial" w:hint="cs"/>
          <w:rtl/>
        </w:rPr>
        <w:t>.</w:t>
      </w:r>
      <w:r w:rsidRPr="008A1F1E">
        <w:rPr>
          <w:rFonts w:cs="Arial"/>
          <w:rtl/>
        </w:rPr>
        <w:t xml:space="preserve"> </w:t>
      </w:r>
      <w:r w:rsidRPr="00EF7FF2">
        <w:rPr>
          <w:rFonts w:hint="cs"/>
          <w:color w:val="00B0F0"/>
          <w:rtl/>
        </w:rPr>
        <w:t>(וכ"</w:t>
      </w:r>
      <w:r>
        <w:rPr>
          <w:rFonts w:hint="cs"/>
          <w:color w:val="00B0F0"/>
          <w:rtl/>
        </w:rPr>
        <w:t>כ</w:t>
      </w:r>
      <w:r w:rsidRPr="00EF7FF2">
        <w:rPr>
          <w:rFonts w:hint="cs"/>
          <w:color w:val="00B0F0"/>
          <w:rtl/>
        </w:rPr>
        <w:t xml:space="preserve"> הרמ"א)</w:t>
      </w:r>
    </w:p>
    <w:p w14:paraId="29729C01" w14:textId="77777777" w:rsidR="002E5BAD" w:rsidRDefault="002E5BAD" w:rsidP="00B75458">
      <w:pPr>
        <w:pStyle w:val="ab"/>
        <w:numPr>
          <w:ilvl w:val="0"/>
          <w:numId w:val="195"/>
        </w:numPr>
      </w:pPr>
      <w:r w:rsidRPr="008A1F1E">
        <w:rPr>
          <w:rFonts w:cs="Arial"/>
          <w:rtl/>
        </w:rPr>
        <w:t xml:space="preserve">רב האי </w:t>
      </w:r>
      <w:r>
        <w:rPr>
          <w:rFonts w:cs="Arial" w:hint="cs"/>
          <w:sz w:val="16"/>
          <w:szCs w:val="16"/>
          <w:rtl/>
        </w:rPr>
        <w:t>(כ"כ בהעי"ט [שם] בשמו)</w:t>
      </w:r>
      <w:r>
        <w:rPr>
          <w:rFonts w:cs="Arial" w:hint="cs"/>
          <w:rtl/>
        </w:rPr>
        <w:t xml:space="preserve"> רמב"ם</w:t>
      </w:r>
      <w:r>
        <w:rPr>
          <w:rFonts w:cs="Arial" w:hint="cs"/>
          <w:sz w:val="16"/>
          <w:szCs w:val="16"/>
          <w:rtl/>
        </w:rPr>
        <w:t xml:space="preserve"> </w:t>
      </w:r>
      <w:r w:rsidRPr="00631525">
        <w:rPr>
          <w:rFonts w:cs="Arial" w:hint="cs"/>
          <w:sz w:val="16"/>
          <w:szCs w:val="16"/>
          <w:rtl/>
        </w:rPr>
        <w:t>(פט</w:t>
      </w:r>
      <w:r>
        <w:rPr>
          <w:rFonts w:cs="Arial" w:hint="cs"/>
          <w:sz w:val="16"/>
          <w:szCs w:val="16"/>
          <w:rtl/>
        </w:rPr>
        <w:t>"ז</w:t>
      </w:r>
      <w:r w:rsidRPr="00631525">
        <w:rPr>
          <w:rFonts w:cs="Arial" w:hint="cs"/>
          <w:sz w:val="16"/>
          <w:szCs w:val="16"/>
          <w:rtl/>
        </w:rPr>
        <w:t xml:space="preserve"> מאישות ה"</w:t>
      </w:r>
      <w:r>
        <w:rPr>
          <w:rFonts w:cs="Arial" w:hint="cs"/>
          <w:sz w:val="16"/>
          <w:szCs w:val="16"/>
          <w:rtl/>
        </w:rPr>
        <w:t>ז, הביאוהו המרדכי [שם] והטור</w:t>
      </w:r>
      <w:r w:rsidRPr="00631525">
        <w:rPr>
          <w:rFonts w:cs="Arial" w:hint="cs"/>
          <w:sz w:val="16"/>
          <w:szCs w:val="16"/>
          <w:rtl/>
        </w:rPr>
        <w:t>)</w:t>
      </w:r>
      <w:r>
        <w:rPr>
          <w:rFonts w:cs="Arial" w:hint="cs"/>
          <w:rtl/>
        </w:rPr>
        <w:t xml:space="preserve"> ורא"ש </w:t>
      </w:r>
      <w:r>
        <w:rPr>
          <w:rFonts w:cs="Arial" w:hint="cs"/>
          <w:sz w:val="16"/>
          <w:szCs w:val="16"/>
          <w:rtl/>
        </w:rPr>
        <w:t>(כלל לו סי' ו)</w:t>
      </w:r>
      <w:r>
        <w:rPr>
          <w:rFonts w:cs="Arial" w:hint="cs"/>
          <w:rtl/>
        </w:rPr>
        <w:t xml:space="preserve">- </w:t>
      </w:r>
      <w:r w:rsidRPr="008A1F1E">
        <w:rPr>
          <w:rFonts w:cs="Arial"/>
          <w:rtl/>
        </w:rPr>
        <w:t>היא נוהגת</w:t>
      </w:r>
      <w:r>
        <w:rPr>
          <w:rFonts w:cs="Arial" w:hint="cs"/>
          <w:rtl/>
        </w:rPr>
        <w:t>,</w:t>
      </w:r>
      <w:r w:rsidRPr="008A1F1E">
        <w:rPr>
          <w:rFonts w:cs="Arial"/>
          <w:rtl/>
        </w:rPr>
        <w:t xml:space="preserve"> שאין לנו כח לבטל תקנת חכמים</w:t>
      </w:r>
      <w:r>
        <w:rPr>
          <w:rFonts w:cs="Arial" w:hint="cs"/>
          <w:rtl/>
        </w:rPr>
        <w:t xml:space="preserve"> </w:t>
      </w:r>
      <w:r>
        <w:rPr>
          <w:rFonts w:cs="Arial" w:hint="cs"/>
          <w:sz w:val="16"/>
          <w:szCs w:val="16"/>
          <w:rtl/>
        </w:rPr>
        <w:t>(ל' הטור בשמם)</w:t>
      </w:r>
      <w:r>
        <w:rPr>
          <w:rFonts w:cs="Arial" w:hint="cs"/>
          <w:rtl/>
        </w:rPr>
        <w:t>.</w:t>
      </w:r>
      <w:r w:rsidRPr="008A1F1E">
        <w:rPr>
          <w:rFonts w:cs="Arial"/>
          <w:rtl/>
        </w:rPr>
        <w:t xml:space="preserve"> </w:t>
      </w:r>
    </w:p>
    <w:p w14:paraId="2CD7AAEE" w14:textId="77777777" w:rsidR="002E5BAD" w:rsidRPr="00046747" w:rsidRDefault="002E5BAD" w:rsidP="002E5BAD">
      <w:pPr>
        <w:ind w:left="360"/>
        <w:rPr>
          <w:u w:val="dotted"/>
        </w:rPr>
      </w:pPr>
      <w:r w:rsidRPr="00046747">
        <w:rPr>
          <w:rFonts w:hint="cs"/>
          <w:u w:val="dotted"/>
          <w:rtl/>
        </w:rPr>
        <w:t xml:space="preserve">האם נוהגת </w:t>
      </w:r>
      <w:r w:rsidRPr="00273BFF">
        <w:rPr>
          <w:rFonts w:hint="cs"/>
          <w:b/>
          <w:bCs/>
          <w:u w:val="dotted"/>
          <w:rtl/>
        </w:rPr>
        <w:t>היום</w:t>
      </w:r>
      <w:r w:rsidRPr="00EF7FF2">
        <w:rPr>
          <w:rStyle w:val="a7"/>
          <w:rFonts w:cs="Arial"/>
          <w:u w:val="dotted"/>
          <w:rtl/>
        </w:rPr>
        <w:footnoteReference w:id="2814"/>
      </w:r>
      <w:r>
        <w:rPr>
          <w:rFonts w:hint="cs"/>
          <w:u w:val="dotted"/>
          <w:rtl/>
        </w:rPr>
        <w:t xml:space="preserve"> </w:t>
      </w:r>
      <w:r w:rsidRPr="00046747">
        <w:rPr>
          <w:rFonts w:hint="cs"/>
          <w:u w:val="dotted"/>
          <w:rtl/>
        </w:rPr>
        <w:t>גם במטלטלי:</w:t>
      </w:r>
    </w:p>
    <w:p w14:paraId="68C53AC2" w14:textId="77777777" w:rsidR="002E5BAD" w:rsidRPr="00851BF6" w:rsidRDefault="002E5BAD" w:rsidP="00B75458">
      <w:pPr>
        <w:pStyle w:val="ab"/>
        <w:numPr>
          <w:ilvl w:val="0"/>
          <w:numId w:val="195"/>
        </w:numPr>
      </w:pPr>
      <w:r w:rsidRPr="008A1F1E">
        <w:rPr>
          <w:rFonts w:cs="Arial"/>
          <w:rtl/>
        </w:rPr>
        <w:t>ריב"א ור' שמשון</w:t>
      </w:r>
      <w:r>
        <w:rPr>
          <w:rFonts w:cs="Arial" w:hint="cs"/>
          <w:rtl/>
        </w:rPr>
        <w:t xml:space="preserve"> </w:t>
      </w:r>
      <w:r>
        <w:rPr>
          <w:rFonts w:cs="Arial" w:hint="cs"/>
          <w:sz w:val="16"/>
          <w:szCs w:val="16"/>
          <w:rtl/>
        </w:rPr>
        <w:t>(כ"כ הטור בשמם)</w:t>
      </w:r>
      <w:r>
        <w:rPr>
          <w:rFonts w:cs="Arial" w:hint="cs"/>
          <w:rtl/>
        </w:rPr>
        <w:t xml:space="preserve">- </w:t>
      </w:r>
      <w:r w:rsidRPr="008A1F1E">
        <w:rPr>
          <w:rFonts w:cs="Arial"/>
          <w:rtl/>
        </w:rPr>
        <w:t>נוהגת אפי' במטלטלי</w:t>
      </w:r>
      <w:r>
        <w:rPr>
          <w:rFonts w:cs="Arial" w:hint="cs"/>
          <w:rtl/>
        </w:rPr>
        <w:t>,</w:t>
      </w:r>
      <w:r w:rsidRPr="008A1F1E">
        <w:rPr>
          <w:rFonts w:cs="Arial"/>
          <w:rtl/>
        </w:rPr>
        <w:t xml:space="preserve"> דכיון דתיקון רבנן בתראי דכתובה נוהגת במטלטלין ה"ה כתובת בנין דכרין</w:t>
      </w:r>
      <w:r>
        <w:rPr>
          <w:rFonts w:cs="Arial" w:hint="cs"/>
          <w:rtl/>
        </w:rPr>
        <w:t xml:space="preserve"> </w:t>
      </w:r>
      <w:r>
        <w:rPr>
          <w:rFonts w:cs="Arial" w:hint="cs"/>
          <w:sz w:val="16"/>
          <w:szCs w:val="16"/>
          <w:rtl/>
        </w:rPr>
        <w:t>(ל' הטור בשמם)</w:t>
      </w:r>
      <w:r>
        <w:rPr>
          <w:rFonts w:cs="Arial" w:hint="cs"/>
          <w:rtl/>
        </w:rPr>
        <w:t>.</w:t>
      </w:r>
      <w:r>
        <w:rPr>
          <w:rFonts w:hint="cs"/>
          <w:rtl/>
        </w:rPr>
        <w:t xml:space="preserve"> </w:t>
      </w:r>
    </w:p>
    <w:p w14:paraId="716C1D8F" w14:textId="77777777" w:rsidR="002E5BAD" w:rsidRDefault="002E5BAD" w:rsidP="00B75458">
      <w:pPr>
        <w:pStyle w:val="ab"/>
        <w:numPr>
          <w:ilvl w:val="0"/>
          <w:numId w:val="195"/>
        </w:numPr>
      </w:pPr>
      <w:r w:rsidRPr="008A1F1E">
        <w:rPr>
          <w:rFonts w:cs="Arial"/>
          <w:rtl/>
        </w:rPr>
        <w:lastRenderedPageBreak/>
        <w:t>ר"י</w:t>
      </w:r>
      <w:r>
        <w:rPr>
          <w:rFonts w:cs="Arial" w:hint="cs"/>
          <w:sz w:val="16"/>
          <w:szCs w:val="16"/>
          <w:rtl/>
        </w:rPr>
        <w:t xml:space="preserve"> </w:t>
      </w:r>
      <w:r>
        <w:rPr>
          <w:rFonts w:cs="Arial" w:hint="cs"/>
          <w:rtl/>
        </w:rPr>
        <w:t xml:space="preserve">רמב"ם </w:t>
      </w:r>
      <w:r w:rsidRPr="008A1F1E">
        <w:rPr>
          <w:rFonts w:cs="Arial"/>
          <w:rtl/>
        </w:rPr>
        <w:t>רמ"ה</w:t>
      </w:r>
      <w:r>
        <w:rPr>
          <w:rFonts w:cs="Arial" w:hint="cs"/>
          <w:rtl/>
        </w:rPr>
        <w:t xml:space="preserve"> רשב"א</w:t>
      </w:r>
      <w:r>
        <w:rPr>
          <w:rStyle w:val="a7"/>
          <w:rFonts w:cs="Arial"/>
          <w:rtl/>
        </w:rPr>
        <w:footnoteReference w:id="2815"/>
      </w:r>
      <w:r>
        <w:rPr>
          <w:rFonts w:cs="Arial" w:hint="cs"/>
          <w:sz w:val="16"/>
          <w:szCs w:val="16"/>
          <w:rtl/>
        </w:rPr>
        <w:t xml:space="preserve"> </w:t>
      </w:r>
      <w:r>
        <w:rPr>
          <w:rFonts w:cs="Arial" w:hint="cs"/>
          <w:rtl/>
        </w:rPr>
        <w:t>ורא"ש</w:t>
      </w:r>
      <w:r>
        <w:rPr>
          <w:rStyle w:val="a7"/>
          <w:rFonts w:cs="Arial"/>
          <w:rtl/>
        </w:rPr>
        <w:footnoteReference w:id="2816"/>
      </w:r>
      <w:r>
        <w:rPr>
          <w:rFonts w:cs="Arial" w:hint="cs"/>
          <w:rtl/>
        </w:rPr>
        <w:t>-</w:t>
      </w:r>
      <w:r w:rsidRPr="008A1F1E">
        <w:rPr>
          <w:rFonts w:cs="Arial"/>
          <w:rtl/>
        </w:rPr>
        <w:t xml:space="preserve"> ודאי כתובת בנין דכרין נהגו האידנא</w:t>
      </w:r>
      <w:r>
        <w:rPr>
          <w:rFonts w:cs="Arial" w:hint="cs"/>
          <w:rtl/>
        </w:rPr>
        <w:t>,</w:t>
      </w:r>
      <w:r w:rsidRPr="008A1F1E">
        <w:rPr>
          <w:rFonts w:cs="Arial"/>
          <w:rtl/>
        </w:rPr>
        <w:t xml:space="preserve"> שאין לעקור תקנת חכמים</w:t>
      </w:r>
      <w:r>
        <w:rPr>
          <w:rFonts w:cs="Arial" w:hint="cs"/>
          <w:rtl/>
        </w:rPr>
        <w:t>,</w:t>
      </w:r>
      <w:r w:rsidRPr="008A1F1E">
        <w:rPr>
          <w:rFonts w:cs="Arial"/>
          <w:rtl/>
        </w:rPr>
        <w:t xml:space="preserve"> אבל כיון שמרבים ליתן לבנות </w:t>
      </w:r>
      <w:r>
        <w:rPr>
          <w:rFonts w:cs="Arial" w:hint="cs"/>
          <w:rtl/>
        </w:rPr>
        <w:t xml:space="preserve">- </w:t>
      </w:r>
      <w:r w:rsidRPr="008A1F1E">
        <w:rPr>
          <w:rFonts w:cs="Arial"/>
          <w:rtl/>
        </w:rPr>
        <w:t>נעמידנה בחזקה דמעיקרא דוקא במקרקעי ולא במטלטלי</w:t>
      </w:r>
      <w:r>
        <w:rPr>
          <w:rStyle w:val="a7"/>
          <w:rFonts w:cs="Arial"/>
          <w:rtl/>
        </w:rPr>
        <w:footnoteReference w:id="2817"/>
      </w:r>
      <w:r>
        <w:rPr>
          <w:rFonts w:cs="Arial" w:hint="cs"/>
          <w:rtl/>
        </w:rPr>
        <w:t>.</w:t>
      </w:r>
      <w:r w:rsidRPr="008A1F1E">
        <w:rPr>
          <w:rFonts w:cs="Arial"/>
          <w:rtl/>
        </w:rPr>
        <w:t xml:space="preserve"> ולענין מה שתקנו הגאונים דכתובה נגבית ממטלטלין לענין זה לא עשו כתובת בנין דכרין כתובה</w:t>
      </w:r>
      <w:r>
        <w:rPr>
          <w:rFonts w:cs="Arial" w:hint="cs"/>
          <w:rtl/>
        </w:rPr>
        <w:t xml:space="preserve"> </w:t>
      </w:r>
      <w:r>
        <w:rPr>
          <w:rFonts w:cs="Arial" w:hint="cs"/>
          <w:sz w:val="16"/>
          <w:szCs w:val="16"/>
          <w:rtl/>
        </w:rPr>
        <w:t>(ל' הטור בשמם)</w:t>
      </w:r>
      <w:r>
        <w:rPr>
          <w:rStyle w:val="a7"/>
          <w:rtl/>
        </w:rPr>
        <w:footnoteReference w:id="2818"/>
      </w:r>
      <w:r>
        <w:rPr>
          <w:rFonts w:hint="cs"/>
          <w:rtl/>
        </w:rPr>
        <w:t xml:space="preserve">. </w:t>
      </w:r>
    </w:p>
    <w:p w14:paraId="5BB6E52B" w14:textId="77777777" w:rsidR="002E5BAD" w:rsidRPr="001174FA" w:rsidRDefault="002E5BAD" w:rsidP="002E5BAD">
      <w:pPr>
        <w:ind w:left="720"/>
        <w:rPr>
          <w:u w:val="wave"/>
        </w:rPr>
      </w:pPr>
      <w:r w:rsidRPr="001174FA">
        <w:rPr>
          <w:rFonts w:hint="cs"/>
          <w:u w:val="wave"/>
          <w:rtl/>
        </w:rPr>
        <w:t xml:space="preserve">לדעת </w:t>
      </w:r>
      <w:r>
        <w:rPr>
          <w:rFonts w:hint="cs"/>
          <w:u w:val="wave"/>
          <w:rtl/>
        </w:rPr>
        <w:t>ה</w:t>
      </w:r>
      <w:r w:rsidRPr="001174FA">
        <w:rPr>
          <w:rFonts w:hint="cs"/>
          <w:u w:val="wave"/>
          <w:rtl/>
        </w:rPr>
        <w:t xml:space="preserve">רמב"ם </w:t>
      </w:r>
      <w:r>
        <w:rPr>
          <w:rFonts w:hint="cs"/>
          <w:u w:val="wave"/>
          <w:rtl/>
        </w:rPr>
        <w:t>ה</w:t>
      </w:r>
      <w:r w:rsidRPr="001174FA">
        <w:rPr>
          <w:rFonts w:hint="cs"/>
          <w:u w:val="wave"/>
          <w:rtl/>
        </w:rPr>
        <w:t xml:space="preserve">רא"ש וסיעתם - מה הדין </w:t>
      </w:r>
      <w:r>
        <w:rPr>
          <w:rFonts w:hint="cs"/>
          <w:u w:val="wave"/>
          <w:rtl/>
        </w:rPr>
        <w:t>כ</w:t>
      </w:r>
      <w:r w:rsidRPr="001174FA">
        <w:rPr>
          <w:rFonts w:hint="cs"/>
          <w:u w:val="wave"/>
          <w:rtl/>
        </w:rPr>
        <w:t>שכותבים מטלט</w:t>
      </w:r>
      <w:r>
        <w:rPr>
          <w:rFonts w:hint="cs"/>
          <w:u w:val="wave"/>
          <w:rtl/>
        </w:rPr>
        <w:t>ל</w:t>
      </w:r>
      <w:r w:rsidRPr="001174FA">
        <w:rPr>
          <w:rFonts w:hint="cs"/>
          <w:u w:val="wave"/>
          <w:rtl/>
        </w:rPr>
        <w:t>י אגב מקרקעי:</w:t>
      </w:r>
    </w:p>
    <w:p w14:paraId="128283F5" w14:textId="77777777" w:rsidR="002E5BAD" w:rsidRPr="008A1F1E" w:rsidRDefault="002E5BAD" w:rsidP="00B75458">
      <w:pPr>
        <w:pStyle w:val="ab"/>
        <w:numPr>
          <w:ilvl w:val="0"/>
          <w:numId w:val="195"/>
        </w:numPr>
        <w:rPr>
          <w:rtl/>
        </w:rPr>
      </w:pPr>
      <w:r>
        <w:rPr>
          <w:rFonts w:hint="cs"/>
          <w:rtl/>
        </w:rPr>
        <w:t xml:space="preserve">ב"י- </w:t>
      </w:r>
      <w:r w:rsidRPr="001174FA">
        <w:rPr>
          <w:rFonts w:cs="Arial"/>
          <w:rtl/>
        </w:rPr>
        <w:t xml:space="preserve">כבר נתבאר בתחלת סימן זה </w:t>
      </w:r>
      <w:r w:rsidRPr="001174FA">
        <w:rPr>
          <w:rFonts w:cs="Arial"/>
          <w:sz w:val="16"/>
          <w:szCs w:val="16"/>
          <w:rtl/>
        </w:rPr>
        <w:t>(</w:t>
      </w:r>
      <w:r w:rsidRPr="001174FA">
        <w:rPr>
          <w:rFonts w:cs="Arial" w:hint="cs"/>
          <w:sz w:val="16"/>
          <w:szCs w:val="16"/>
          <w:rtl/>
        </w:rPr>
        <w:t>בב"י, אך בשו"ע הוא בסע' יד</w:t>
      </w:r>
      <w:r w:rsidRPr="001174FA">
        <w:rPr>
          <w:rFonts w:cs="Arial"/>
          <w:sz w:val="16"/>
          <w:szCs w:val="16"/>
          <w:rtl/>
        </w:rPr>
        <w:t xml:space="preserve">) </w:t>
      </w:r>
      <w:r w:rsidRPr="001174FA">
        <w:rPr>
          <w:rFonts w:cs="Arial"/>
          <w:rtl/>
        </w:rPr>
        <w:t xml:space="preserve">ושם כתבתי דעת הריב"ש (סי' קו) דהשתא דכתבינן בכתובות דילן מטלטלי אגב מקרקעי לדעת הרמב"ם והרא"ש ז"ל גביא נמי אף ממטלטלי. וכתב עוד </w:t>
      </w:r>
      <w:r w:rsidRPr="001174FA">
        <w:rPr>
          <w:rFonts w:cs="Arial" w:hint="cs"/>
          <w:sz w:val="16"/>
          <w:szCs w:val="16"/>
          <w:rtl/>
        </w:rPr>
        <w:t xml:space="preserve">{הריב"ש} </w:t>
      </w:r>
      <w:r w:rsidRPr="001174FA">
        <w:rPr>
          <w:rFonts w:cs="Arial"/>
          <w:rtl/>
        </w:rPr>
        <w:t>באותה תשובה אחר שרוב הגאונים כתבו והשיבו הלכה למעשה שהיא נגבית והרי"ף והרמב"ם והרמב"ן ז"ל לא הזכירו תקנת שום גאון כנגדה כבר נראה שלא חשו לדברי אותם הגאונים שאמרו שאין לגבותה ואנן אם יבא אדם לגבותה מגבין ליה</w:t>
      </w:r>
      <w:r w:rsidRPr="001174FA">
        <w:rPr>
          <w:rFonts w:cs="Arial" w:hint="cs"/>
          <w:rtl/>
        </w:rPr>
        <w:t>.</w:t>
      </w:r>
    </w:p>
    <w:p w14:paraId="340CFF9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B6C096" w14:textId="77777777" w:rsidR="002E5BAD" w:rsidRDefault="002E5BAD" w:rsidP="002E5BAD">
      <w:pPr>
        <w:rPr>
          <w:rtl/>
        </w:rPr>
      </w:pPr>
      <w:r>
        <w:rPr>
          <w:rFonts w:cs="Arial"/>
          <w:rtl/>
        </w:rPr>
        <w:t xml:space="preserve">מי שצוה בשעת מיתה שלא ירשו בניו כתובת בנין דכרין, אין שומעין לו. </w:t>
      </w:r>
      <w:r w:rsidRPr="00CA185A">
        <w:rPr>
          <w:rFonts w:cs="Arial"/>
          <w:sz w:val="18"/>
          <w:szCs w:val="18"/>
          <w:rtl/>
        </w:rPr>
        <w:t>הגה: אבל אם התנה כן בשעת נשואין, תנאו קיים (טור). וי"א דאין כתובת בנין דכרין נוהגת האידנא, דעיקר התקנה היתה כדי שיתן אדם לבתו כבנו, ועכשיו נוהגים ליתן לבת יותר ויותר (</w:t>
      </w:r>
      <w:r>
        <w:rPr>
          <w:rFonts w:cs="Arial" w:hint="cs"/>
          <w:sz w:val="18"/>
          <w:szCs w:val="18"/>
          <w:rtl/>
        </w:rPr>
        <w:t>בהעי"ט</w:t>
      </w:r>
      <w:r w:rsidRPr="00CA185A">
        <w:rPr>
          <w:rFonts w:cs="Arial"/>
          <w:sz w:val="18"/>
          <w:szCs w:val="18"/>
          <w:rtl/>
        </w:rPr>
        <w:t>), וכן נוהגין במדינות אלו.</w:t>
      </w:r>
      <w:r>
        <w:rPr>
          <w:rFonts w:cs="Arial"/>
          <w:rtl/>
        </w:rPr>
        <w:t xml:space="preserve"> </w:t>
      </w:r>
    </w:p>
    <w:p w14:paraId="0B072E2F" w14:textId="77777777" w:rsidR="002E5BAD" w:rsidRDefault="002E5BAD" w:rsidP="002E5BAD">
      <w:pPr>
        <w:rPr>
          <w:rtl/>
        </w:rPr>
      </w:pPr>
    </w:p>
    <w:p w14:paraId="2D8385EF" w14:textId="77777777" w:rsidR="002E5BAD" w:rsidRDefault="002E5BAD" w:rsidP="002E5BAD">
      <w:pPr>
        <w:pStyle w:val="2"/>
        <w:rPr>
          <w:rtl/>
        </w:rPr>
      </w:pPr>
      <w:r>
        <w:rPr>
          <w:rtl/>
        </w:rPr>
        <w:t>סעיף יז</w:t>
      </w:r>
      <w:r>
        <w:rPr>
          <w:rFonts w:hint="cs"/>
          <w:rtl/>
        </w:rPr>
        <w:t>: נתן נכסיו במתנת שכיב מרע או בריא.</w:t>
      </w:r>
    </w:p>
    <w:p w14:paraId="29B5F8E5" w14:textId="77777777" w:rsidR="002E5BAD" w:rsidRPr="009F75B4" w:rsidRDefault="002E5BAD" w:rsidP="002E5BAD">
      <w:pPr>
        <w:rPr>
          <w:u w:val="single"/>
          <w:rtl/>
        </w:rPr>
      </w:pPr>
      <w:r w:rsidRPr="009F75B4">
        <w:rPr>
          <w:rFonts w:hint="cs"/>
          <w:u w:val="single"/>
          <w:rtl/>
        </w:rPr>
        <w:t xml:space="preserve">הנותן כל נכסיו במתנת שכיב מרע </w:t>
      </w:r>
      <w:r w:rsidRPr="009F75B4">
        <w:rPr>
          <w:u w:val="single"/>
          <w:rtl/>
        </w:rPr>
        <w:t>–</w:t>
      </w:r>
      <w:r w:rsidRPr="009F75B4">
        <w:rPr>
          <w:rFonts w:hint="cs"/>
          <w:u w:val="single"/>
          <w:rtl/>
        </w:rPr>
        <w:t xml:space="preserve"> האם היורשים גובים כתובת בנין דכרין:</w:t>
      </w:r>
    </w:p>
    <w:p w14:paraId="451A1F37" w14:textId="77777777" w:rsidR="002E5BAD" w:rsidRDefault="002E5BAD" w:rsidP="00B75458">
      <w:pPr>
        <w:pStyle w:val="ab"/>
        <w:numPr>
          <w:ilvl w:val="0"/>
          <w:numId w:val="195"/>
        </w:numPr>
        <w:rPr>
          <w:rFonts w:cs="Arial"/>
        </w:rPr>
      </w:pPr>
      <w:r w:rsidRPr="00D8152A">
        <w:rPr>
          <w:rFonts w:cs="Arial"/>
          <w:rtl/>
        </w:rPr>
        <w:t xml:space="preserve">רמב"ם </w:t>
      </w:r>
      <w:r w:rsidRPr="009F75B4">
        <w:rPr>
          <w:rFonts w:cs="Arial" w:hint="cs"/>
          <w:sz w:val="16"/>
          <w:szCs w:val="16"/>
          <w:rtl/>
        </w:rPr>
        <w:t>(</w:t>
      </w:r>
      <w:r w:rsidRPr="009F75B4">
        <w:rPr>
          <w:rFonts w:cs="Arial"/>
          <w:sz w:val="16"/>
          <w:szCs w:val="16"/>
          <w:rtl/>
        </w:rPr>
        <w:t>פי"ט הי"ג)</w:t>
      </w:r>
      <w:r>
        <w:rPr>
          <w:rFonts w:cs="Arial" w:hint="cs"/>
          <w:rtl/>
        </w:rPr>
        <w:t xml:space="preserve">- </w:t>
      </w:r>
      <w:r w:rsidRPr="00D8152A">
        <w:rPr>
          <w:rFonts w:cs="Arial"/>
          <w:rtl/>
        </w:rPr>
        <w:t>אם נתן כל נכסיו לאחרים במתנת שכיב מרע</w:t>
      </w:r>
      <w:r>
        <w:rPr>
          <w:rFonts w:cs="Arial" w:hint="cs"/>
          <w:rtl/>
        </w:rPr>
        <w:t>,</w:t>
      </w:r>
      <w:r w:rsidRPr="00D8152A">
        <w:rPr>
          <w:rFonts w:cs="Arial"/>
          <w:rtl/>
        </w:rPr>
        <w:t xml:space="preserve"> הואיל ומתנת שכיב מרע אינה קונה אלא לאחר מיתה</w:t>
      </w:r>
      <w:r>
        <w:rPr>
          <w:rFonts w:cs="Arial" w:hint="cs"/>
          <w:rtl/>
        </w:rPr>
        <w:t>,</w:t>
      </w:r>
      <w:r w:rsidRPr="00D8152A">
        <w:rPr>
          <w:rFonts w:cs="Arial"/>
          <w:rtl/>
        </w:rPr>
        <w:t xml:space="preserve"> הרי המתנה וחיוב התנאים באים כאחד</w:t>
      </w:r>
      <w:r>
        <w:rPr>
          <w:rFonts w:cs="Arial" w:hint="cs"/>
          <w:rtl/>
        </w:rPr>
        <w:t>,</w:t>
      </w:r>
      <w:r w:rsidRPr="00D8152A">
        <w:rPr>
          <w:rFonts w:cs="Arial"/>
          <w:rtl/>
        </w:rPr>
        <w:t xml:space="preserve"> ולפיכך בניו יורשים כתובת אמן שמתה בחיי בעלה</w:t>
      </w:r>
      <w:r>
        <w:rPr>
          <w:rFonts w:cs="Arial" w:hint="cs"/>
          <w:rtl/>
        </w:rPr>
        <w:t>.</w:t>
      </w:r>
      <w:r w:rsidRPr="009C7725">
        <w:rPr>
          <w:rFonts w:hint="cs"/>
          <w:color w:val="E36C0A" w:themeColor="accent6" w:themeShade="BF"/>
          <w:rtl/>
        </w:rPr>
        <w:t xml:space="preserve"> </w:t>
      </w:r>
      <w:r w:rsidRPr="0081621B">
        <w:rPr>
          <w:rFonts w:hint="cs"/>
          <w:color w:val="E36C0A" w:themeColor="accent6" w:themeShade="BF"/>
          <w:rtl/>
        </w:rPr>
        <w:t>(וכ"פ בשו"ע)</w:t>
      </w:r>
    </w:p>
    <w:p w14:paraId="162C5966" w14:textId="77777777" w:rsidR="002E5BAD" w:rsidRPr="009F75B4" w:rsidRDefault="002E5BAD" w:rsidP="002E5BAD">
      <w:pPr>
        <w:ind w:left="360"/>
        <w:rPr>
          <w:rFonts w:cs="Arial"/>
          <w:u w:val="dotted"/>
          <w:rtl/>
        </w:rPr>
      </w:pPr>
      <w:r w:rsidRPr="009F75B4">
        <w:rPr>
          <w:rFonts w:cs="Arial" w:hint="cs"/>
          <w:u w:val="dotted"/>
          <w:rtl/>
        </w:rPr>
        <w:t>ומה הדין אם נתן במתנת בריא:</w:t>
      </w:r>
    </w:p>
    <w:p w14:paraId="3E6E5E6B" w14:textId="77777777" w:rsidR="002E5BAD" w:rsidRDefault="002E5BAD" w:rsidP="00B75458">
      <w:pPr>
        <w:pStyle w:val="ab"/>
        <w:numPr>
          <w:ilvl w:val="0"/>
          <w:numId w:val="195"/>
        </w:numPr>
        <w:rPr>
          <w:rFonts w:cs="Arial"/>
        </w:rPr>
      </w:pPr>
      <w:r>
        <w:rPr>
          <w:rFonts w:cs="Arial" w:hint="cs"/>
          <w:rtl/>
        </w:rPr>
        <w:t xml:space="preserve">ב"י </w:t>
      </w:r>
      <w:r>
        <w:rPr>
          <w:rFonts w:cs="Arial" w:hint="cs"/>
          <w:sz w:val="16"/>
          <w:szCs w:val="16"/>
          <w:rtl/>
        </w:rPr>
        <w:t>(בבדה"ב)</w:t>
      </w:r>
      <w:r>
        <w:rPr>
          <w:rFonts w:cs="Arial" w:hint="cs"/>
          <w:rtl/>
        </w:rPr>
        <w:t>-</w:t>
      </w:r>
      <w:r w:rsidRPr="00D8152A">
        <w:rPr>
          <w:rFonts w:cs="Arial"/>
          <w:rtl/>
        </w:rPr>
        <w:t xml:space="preserve"> אם נתנה במתנת בריא מהיום ולאחר מיתה אע</w:t>
      </w:r>
      <w:r>
        <w:rPr>
          <w:rFonts w:cs="Arial" w:hint="cs"/>
          <w:rtl/>
        </w:rPr>
        <w:t>"</w:t>
      </w:r>
      <w:r w:rsidRPr="00D8152A">
        <w:rPr>
          <w:rFonts w:cs="Arial"/>
          <w:rtl/>
        </w:rPr>
        <w:t xml:space="preserve">פ שכתב הרמב"ם </w:t>
      </w:r>
      <w:r w:rsidRPr="009C7725">
        <w:rPr>
          <w:rFonts w:cs="Arial" w:hint="cs"/>
          <w:sz w:val="16"/>
          <w:szCs w:val="16"/>
          <w:rtl/>
        </w:rPr>
        <w:t>(</w:t>
      </w:r>
      <w:r w:rsidRPr="009C7725">
        <w:rPr>
          <w:rFonts w:cs="Arial"/>
          <w:sz w:val="16"/>
          <w:szCs w:val="16"/>
          <w:rtl/>
        </w:rPr>
        <w:t xml:space="preserve">פי"ב מזכיה ומתנה הי"ד) </w:t>
      </w:r>
      <w:r w:rsidRPr="00D8152A">
        <w:rPr>
          <w:rFonts w:cs="Arial"/>
          <w:rtl/>
        </w:rPr>
        <w:t>שהיא כמתנת שכיב מרע</w:t>
      </w:r>
      <w:r>
        <w:rPr>
          <w:rFonts w:cs="Arial" w:hint="cs"/>
          <w:rtl/>
        </w:rPr>
        <w:t>,</w:t>
      </w:r>
      <w:r w:rsidRPr="00D8152A">
        <w:rPr>
          <w:rFonts w:cs="Arial"/>
          <w:rtl/>
        </w:rPr>
        <w:t xml:space="preserve"> היינו לענין הפירות</w:t>
      </w:r>
      <w:r>
        <w:rPr>
          <w:rFonts w:cs="Arial" w:hint="cs"/>
          <w:rtl/>
        </w:rPr>
        <w:t>,</w:t>
      </w:r>
      <w:r w:rsidRPr="00D8152A">
        <w:rPr>
          <w:rFonts w:cs="Arial"/>
          <w:rtl/>
        </w:rPr>
        <w:t xml:space="preserve"> אבל לענין הגוף דין מתנת בריא יש לה</w:t>
      </w:r>
      <w:r>
        <w:rPr>
          <w:rFonts w:cs="Arial" w:hint="cs"/>
          <w:rtl/>
        </w:rPr>
        <w:t>,</w:t>
      </w:r>
      <w:r w:rsidRPr="00D8152A">
        <w:rPr>
          <w:rFonts w:cs="Arial"/>
          <w:rtl/>
        </w:rPr>
        <w:t xml:space="preserve"> וכן מפורש בדברי הרמב"ם שם</w:t>
      </w:r>
      <w:r>
        <w:rPr>
          <w:rFonts w:cs="Arial" w:hint="cs"/>
          <w:rtl/>
        </w:rPr>
        <w:t>.</w:t>
      </w:r>
      <w:r w:rsidRPr="00D8152A">
        <w:rPr>
          <w:rFonts w:cs="Arial"/>
          <w:rtl/>
        </w:rPr>
        <w:t xml:space="preserve"> וכן כתב בפירוש המרדכי פרק יש נוחלין </w:t>
      </w:r>
      <w:r w:rsidRPr="009C7725">
        <w:rPr>
          <w:rFonts w:cs="Arial"/>
          <w:sz w:val="16"/>
          <w:szCs w:val="16"/>
          <w:rtl/>
        </w:rPr>
        <w:t xml:space="preserve">(ב"ב סי' תקצא) </w:t>
      </w:r>
      <w:r w:rsidRPr="00D8152A">
        <w:rPr>
          <w:rFonts w:cs="Arial"/>
          <w:rtl/>
        </w:rPr>
        <w:t>בשם תשובת הר"מ</w:t>
      </w:r>
      <w:r>
        <w:rPr>
          <w:rFonts w:cs="Arial" w:hint="cs"/>
          <w:rtl/>
        </w:rPr>
        <w:t>.</w:t>
      </w:r>
      <w:r w:rsidRPr="009C7725">
        <w:rPr>
          <w:rFonts w:hint="cs"/>
          <w:color w:val="E36C0A" w:themeColor="accent6" w:themeShade="BF"/>
          <w:rtl/>
        </w:rPr>
        <w:t xml:space="preserve"> </w:t>
      </w:r>
      <w:r w:rsidRPr="0081621B">
        <w:rPr>
          <w:rFonts w:hint="cs"/>
          <w:color w:val="E36C0A" w:themeColor="accent6" w:themeShade="BF"/>
          <w:rtl/>
        </w:rPr>
        <w:t>(וכ"פ בשו"ע)</w:t>
      </w:r>
    </w:p>
    <w:p w14:paraId="2B2909D6" w14:textId="77777777" w:rsidR="002E5BAD" w:rsidRPr="00E8453E" w:rsidRDefault="002E5BAD" w:rsidP="002E5BAD">
      <w:pPr>
        <w:rPr>
          <w:rFonts w:cs="Arial"/>
          <w:rtl/>
        </w:rPr>
      </w:pPr>
      <w:r>
        <w:rPr>
          <w:rFonts w:hint="cs"/>
          <w:u w:val="single"/>
          <w:rtl/>
        </w:rPr>
        <w:t>נשא שתי נשים, ומתה הראשונה ויש לו ממנה ילדים, ומשהניה אין לו - ונתן מנכסיו מתנת שכ"מ ומת:</w:t>
      </w:r>
    </w:p>
    <w:p w14:paraId="606B1DD9" w14:textId="77777777" w:rsidR="002E5BAD" w:rsidRPr="008A1F1E" w:rsidRDefault="002E5BAD" w:rsidP="00B75458">
      <w:pPr>
        <w:pStyle w:val="ab"/>
        <w:numPr>
          <w:ilvl w:val="0"/>
          <w:numId w:val="195"/>
        </w:numPr>
        <w:rPr>
          <w:rtl/>
        </w:rPr>
      </w:pPr>
      <w:r w:rsidRPr="00D8152A">
        <w:rPr>
          <w:rFonts w:cs="Arial"/>
          <w:rtl/>
        </w:rPr>
        <w:t>רש</w:t>
      </w:r>
      <w:r>
        <w:rPr>
          <w:rFonts w:cs="Arial" w:hint="cs"/>
          <w:rtl/>
        </w:rPr>
        <w:t>ב"צ</w:t>
      </w:r>
      <w:r w:rsidRPr="00D8152A">
        <w:rPr>
          <w:rFonts w:cs="Arial"/>
          <w:rtl/>
        </w:rPr>
        <w:t xml:space="preserve"> </w:t>
      </w:r>
      <w:r w:rsidRPr="00E8453E">
        <w:rPr>
          <w:rFonts w:cs="Arial"/>
          <w:sz w:val="16"/>
          <w:szCs w:val="16"/>
          <w:rtl/>
        </w:rPr>
        <w:t>(ח"א סי' קנ)</w:t>
      </w:r>
      <w:r>
        <w:rPr>
          <w:rFonts w:cs="Arial" w:hint="cs"/>
          <w:rtl/>
        </w:rPr>
        <w:t>-</w:t>
      </w:r>
      <w:r w:rsidRPr="00D8152A">
        <w:rPr>
          <w:rFonts w:cs="Arial"/>
          <w:rtl/>
        </w:rPr>
        <w:t xml:space="preserve"> ראובן מת והיו לו שתי נשים</w:t>
      </w:r>
      <w:r>
        <w:rPr>
          <w:rFonts w:cs="Arial" w:hint="cs"/>
          <w:rtl/>
        </w:rPr>
        <w:t>.</w:t>
      </w:r>
      <w:r w:rsidRPr="00D8152A">
        <w:rPr>
          <w:rFonts w:cs="Arial"/>
          <w:rtl/>
        </w:rPr>
        <w:t xml:space="preserve"> והיו לו בנים מהאחת שמתה בחייו</w:t>
      </w:r>
      <w:r>
        <w:rPr>
          <w:rFonts w:cs="Arial" w:hint="cs"/>
          <w:rtl/>
        </w:rPr>
        <w:t>,</w:t>
      </w:r>
      <w:r w:rsidRPr="00D8152A">
        <w:rPr>
          <w:rFonts w:cs="Arial"/>
          <w:rtl/>
        </w:rPr>
        <w:t xml:space="preserve"> ואין לו בנים מהשנייה</w:t>
      </w:r>
      <w:r>
        <w:rPr>
          <w:rFonts w:cs="Arial" w:hint="cs"/>
          <w:rtl/>
        </w:rPr>
        <w:t>.</w:t>
      </w:r>
      <w:r w:rsidRPr="00D8152A">
        <w:rPr>
          <w:rFonts w:cs="Arial"/>
          <w:rtl/>
        </w:rPr>
        <w:t xml:space="preserve"> ונתן מנכסיו במתנת שכיב מרע</w:t>
      </w:r>
      <w:r>
        <w:rPr>
          <w:rFonts w:cs="Arial" w:hint="cs"/>
          <w:rtl/>
        </w:rPr>
        <w:t>,</w:t>
      </w:r>
      <w:r w:rsidRPr="00D8152A">
        <w:rPr>
          <w:rFonts w:cs="Arial"/>
          <w:rtl/>
        </w:rPr>
        <w:t xml:space="preserve"> והשנייה באה לגבות כתובתה שקודמת למתנת שכיב מרע</w:t>
      </w:r>
      <w:r>
        <w:rPr>
          <w:rFonts w:cs="Arial" w:hint="cs"/>
          <w:rtl/>
        </w:rPr>
        <w:t>.</w:t>
      </w:r>
      <w:r w:rsidRPr="00D8152A">
        <w:rPr>
          <w:rFonts w:cs="Arial"/>
          <w:rtl/>
        </w:rPr>
        <w:t xml:space="preserve"> ובני הראשונה אומרים אנו קודמים מפני תנאי כתובת בנין דכרין</w:t>
      </w:r>
      <w:r>
        <w:rPr>
          <w:rFonts w:cs="Arial" w:hint="cs"/>
          <w:rtl/>
        </w:rPr>
        <w:t>.</w:t>
      </w:r>
      <w:r w:rsidRPr="00D8152A">
        <w:rPr>
          <w:rFonts w:cs="Arial"/>
          <w:rtl/>
        </w:rPr>
        <w:t xml:space="preserve"> ונשאל הריב"ש על זה והשיב דכתובת בנין דכרין קודמת למתנת שכיב מרע ולכתובת השניה</w:t>
      </w:r>
      <w:r>
        <w:rPr>
          <w:rFonts w:cs="Arial" w:hint="cs"/>
          <w:rtl/>
        </w:rPr>
        <w:t>.</w:t>
      </w:r>
      <w:r w:rsidRPr="00D8152A">
        <w:rPr>
          <w:rFonts w:cs="Arial"/>
          <w:rtl/>
        </w:rPr>
        <w:t xml:space="preserve"> אלא שנסתפק לו אם דין כתובת בנין דכרין הוא כשאין בנים לשנייה </w:t>
      </w:r>
      <w:r w:rsidRPr="00803D85">
        <w:rPr>
          <w:rFonts w:cs="Arial"/>
          <w:rtl/>
        </w:rPr>
        <w:t>אלא שהיא באה לגבות כתובתה כמו שהוא כשיש לה בנים או לא</w:t>
      </w:r>
      <w:r>
        <w:rPr>
          <w:rFonts w:cs="Arial" w:hint="cs"/>
          <w:rtl/>
        </w:rPr>
        <w:t>.</w:t>
      </w:r>
      <w:r w:rsidRPr="00803D85">
        <w:rPr>
          <w:rFonts w:cs="Arial"/>
          <w:rtl/>
        </w:rPr>
        <w:t xml:space="preserve"> ורצה לעמוד על דעתי</w:t>
      </w:r>
      <w:r>
        <w:rPr>
          <w:rFonts w:cs="Arial" w:hint="cs"/>
          <w:rtl/>
        </w:rPr>
        <w:t xml:space="preserve">, </w:t>
      </w:r>
      <w:r w:rsidRPr="00803D85">
        <w:rPr>
          <w:rFonts w:cs="Arial"/>
          <w:rtl/>
        </w:rPr>
        <w:t>וכתבתי לו זה</w:t>
      </w:r>
      <w:r>
        <w:rPr>
          <w:rFonts w:cs="Arial" w:hint="cs"/>
          <w:rtl/>
        </w:rPr>
        <w:t>:</w:t>
      </w:r>
      <w:r w:rsidRPr="00D8152A">
        <w:rPr>
          <w:rFonts w:cs="Arial"/>
          <w:rtl/>
        </w:rPr>
        <w:t xml:space="preserve"> במאי דבדיק לן מר כתובת בנין דכרין אע"ג דבין אית להו כתובת בנין דכרין בין לית להו אינהו ירתי כולהו נכסי</w:t>
      </w:r>
      <w:r>
        <w:rPr>
          <w:rFonts w:cs="Arial" w:hint="cs"/>
          <w:rtl/>
        </w:rPr>
        <w:t>,</w:t>
      </w:r>
      <w:r w:rsidRPr="00D8152A">
        <w:rPr>
          <w:rFonts w:cs="Arial"/>
          <w:rtl/>
        </w:rPr>
        <w:t xml:space="preserve"> מיהו נ"מ לענין מתנת שכיב מרע שנתן אביהם</w:t>
      </w:r>
      <w:r>
        <w:rPr>
          <w:rFonts w:cs="Arial" w:hint="cs"/>
          <w:rtl/>
        </w:rPr>
        <w:t>.</w:t>
      </w:r>
      <w:r w:rsidRPr="00D8152A">
        <w:rPr>
          <w:rFonts w:cs="Arial"/>
          <w:rtl/>
        </w:rPr>
        <w:t xml:space="preserve"> דאי אית להו</w:t>
      </w:r>
      <w:r>
        <w:rPr>
          <w:rFonts w:cs="Arial" w:hint="cs"/>
          <w:rtl/>
        </w:rPr>
        <w:t>,</w:t>
      </w:r>
      <w:r w:rsidRPr="00D8152A">
        <w:rPr>
          <w:rFonts w:cs="Arial"/>
          <w:rtl/>
        </w:rPr>
        <w:t xml:space="preserve"> אינהו קדמי</w:t>
      </w:r>
      <w:r>
        <w:rPr>
          <w:rFonts w:cs="Arial" w:hint="cs"/>
          <w:rtl/>
        </w:rPr>
        <w:t>,</w:t>
      </w:r>
      <w:r w:rsidRPr="00D8152A">
        <w:rPr>
          <w:rFonts w:cs="Arial"/>
          <w:rtl/>
        </w:rPr>
        <w:t xml:space="preserve"> דמתנת שכיב מרע כמשעבדי </w:t>
      </w:r>
      <w:r w:rsidRPr="00D8152A">
        <w:rPr>
          <w:rFonts w:cs="Arial"/>
          <w:rtl/>
        </w:rPr>
        <w:lastRenderedPageBreak/>
        <w:t>דמיא כדכתב מר</w:t>
      </w:r>
      <w:r>
        <w:rPr>
          <w:rFonts w:cs="Arial" w:hint="cs"/>
          <w:rtl/>
        </w:rPr>
        <w:t>.</w:t>
      </w:r>
      <w:r w:rsidRPr="00D8152A">
        <w:rPr>
          <w:rFonts w:cs="Arial"/>
          <w:rtl/>
        </w:rPr>
        <w:t xml:space="preserve"> ואי לית להו כתובת בנין דכרין ומכח אביהם שקלי</w:t>
      </w:r>
      <w:r>
        <w:rPr>
          <w:rFonts w:cs="Arial" w:hint="cs"/>
          <w:rtl/>
        </w:rPr>
        <w:t>,</w:t>
      </w:r>
      <w:r w:rsidRPr="00D8152A">
        <w:rPr>
          <w:rFonts w:cs="Arial"/>
          <w:rtl/>
        </w:rPr>
        <w:t xml:space="preserve"> מתנת שכיב מרע קדמה</w:t>
      </w:r>
      <w:r>
        <w:rPr>
          <w:rStyle w:val="a7"/>
          <w:rFonts w:cs="Arial"/>
          <w:rtl/>
        </w:rPr>
        <w:footnoteReference w:id="2819"/>
      </w:r>
      <w:r>
        <w:rPr>
          <w:rFonts w:cs="Arial" w:hint="cs"/>
          <w:rtl/>
        </w:rPr>
        <w:t>.</w:t>
      </w:r>
      <w:r w:rsidRPr="00D8152A">
        <w:rPr>
          <w:rFonts w:cs="Arial"/>
          <w:rtl/>
        </w:rPr>
        <w:t xml:space="preserve"> לישנא דמתניתין דפרק נערה משמע דבעינן שיהו בנים לזו ולזו</w:t>
      </w:r>
      <w:r>
        <w:rPr>
          <w:rFonts w:cs="Arial" w:hint="cs"/>
          <w:rtl/>
        </w:rPr>
        <w:t>,</w:t>
      </w:r>
      <w:r w:rsidRPr="00D8152A">
        <w:rPr>
          <w:rFonts w:cs="Arial"/>
          <w:rtl/>
        </w:rPr>
        <w:t xml:space="preserve"> דקתני אינון יירתון כתובתיך יתר על חולקהון דעם אחוהון</w:t>
      </w:r>
      <w:r>
        <w:rPr>
          <w:rFonts w:cs="Arial" w:hint="cs"/>
          <w:rtl/>
        </w:rPr>
        <w:t>...</w:t>
      </w:r>
    </w:p>
    <w:p w14:paraId="0864F62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434A33" w14:textId="77777777" w:rsidR="002E5BAD" w:rsidRPr="00775641" w:rsidRDefault="002E5BAD" w:rsidP="002E5BAD">
      <w:pPr>
        <w:rPr>
          <w:rFonts w:cs="Arial"/>
          <w:rtl/>
        </w:rPr>
        <w:sectPr w:rsidR="002E5BAD" w:rsidRPr="00775641" w:rsidSect="00A347B3">
          <w:headerReference w:type="default" r:id="rId68"/>
          <w:footnotePr>
            <w:numRestart w:val="eachPage"/>
          </w:footnotePr>
          <w:pgSz w:w="11906" w:h="16838"/>
          <w:pgMar w:top="720" w:right="1134" w:bottom="720" w:left="1134" w:header="0" w:footer="0" w:gutter="0"/>
          <w:cols w:space="720"/>
          <w:bidi/>
          <w:rtlGutter/>
          <w:docGrid w:linePitch="360"/>
        </w:sectPr>
      </w:pPr>
      <w:r>
        <w:rPr>
          <w:rFonts w:cs="Arial"/>
          <w:rtl/>
        </w:rPr>
        <w:t>נתן כל נכסיו לאחרים במתנת שכ</w:t>
      </w:r>
      <w:r>
        <w:rPr>
          <w:rFonts w:cs="Arial" w:hint="cs"/>
          <w:rtl/>
        </w:rPr>
        <w:t xml:space="preserve">יב </w:t>
      </w:r>
      <w:r>
        <w:rPr>
          <w:rFonts w:cs="Arial"/>
          <w:rtl/>
        </w:rPr>
        <w:t>מ</w:t>
      </w:r>
      <w:r>
        <w:rPr>
          <w:rFonts w:cs="Arial" w:hint="cs"/>
          <w:rtl/>
        </w:rPr>
        <w:t>רע</w:t>
      </w:r>
      <w:r>
        <w:rPr>
          <w:rFonts w:cs="Arial"/>
          <w:rtl/>
        </w:rPr>
        <w:t>, הואיל ומתנת ש</w:t>
      </w:r>
      <w:r>
        <w:rPr>
          <w:rFonts w:cs="Arial" w:hint="cs"/>
          <w:rtl/>
        </w:rPr>
        <w:t xml:space="preserve">כיב </w:t>
      </w:r>
      <w:r>
        <w:rPr>
          <w:rFonts w:cs="Arial"/>
          <w:rtl/>
        </w:rPr>
        <w:t>מ</w:t>
      </w:r>
      <w:r>
        <w:rPr>
          <w:rFonts w:cs="Arial" w:hint="cs"/>
          <w:rtl/>
        </w:rPr>
        <w:t>רע</w:t>
      </w:r>
      <w:r>
        <w:rPr>
          <w:rFonts w:cs="Arial"/>
          <w:rtl/>
        </w:rPr>
        <w:t xml:space="preserve"> אינה קונה אלא לאחר מיתה, הרי המתנה וחיוב התנאים באים כאחד, לפיכך בנים יורשים כתובת אמם שמתה בחיי בעלה. ואם נתנם במתנת בריא מהיום ולאחר מיתה, דינן כדין מתנות בריא לענין זה.</w:t>
      </w:r>
      <w:r>
        <w:rPr>
          <w:rFonts w:cs="Arial" w:hint="cs"/>
          <w:rtl/>
        </w:rPr>
        <w:t xml:space="preserve"> </w:t>
      </w:r>
    </w:p>
    <w:p w14:paraId="448243D2" w14:textId="77777777" w:rsidR="002E5BAD" w:rsidRPr="00523CDE" w:rsidRDefault="002E5BAD" w:rsidP="002E5BAD">
      <w:pPr>
        <w:pStyle w:val="1"/>
        <w:rPr>
          <w:rtl/>
        </w:rPr>
      </w:pPr>
      <w:r>
        <w:rPr>
          <w:rFonts w:hint="cs"/>
          <w:rtl/>
        </w:rPr>
        <w:lastRenderedPageBreak/>
        <w:t>סימן קיב:</w:t>
      </w:r>
      <w:r w:rsidRPr="00C12B74">
        <w:rPr>
          <w:rtl/>
        </w:rPr>
        <w:t xml:space="preserve"> </w:t>
      </w:r>
      <w:r w:rsidRPr="00523CDE">
        <w:rPr>
          <w:rFonts w:cs="Arial"/>
          <w:rtl/>
        </w:rPr>
        <w:t xml:space="preserve">מזונות הבנות ממה ניזונות ועד כמה, וכל דיניהם, ובו י"ח סעיפים. </w:t>
      </w:r>
    </w:p>
    <w:p w14:paraId="54709918" w14:textId="77777777" w:rsidR="002E5BAD" w:rsidRDefault="002E5BAD" w:rsidP="002E5BAD">
      <w:pPr>
        <w:pStyle w:val="2"/>
        <w:rPr>
          <w:rtl/>
        </w:rPr>
      </w:pPr>
      <w:r w:rsidRPr="00523CDE">
        <w:rPr>
          <w:rtl/>
        </w:rPr>
        <w:t>סעיף א</w:t>
      </w:r>
      <w:r>
        <w:rPr>
          <w:rFonts w:hint="cs"/>
          <w:rtl/>
        </w:rPr>
        <w:t>: מזונות הבנות לאחר מות האב.</w:t>
      </w:r>
    </w:p>
    <w:p w14:paraId="7EAE0455" w14:textId="77777777" w:rsidR="002E5BAD" w:rsidRPr="00D93E62" w:rsidRDefault="002E5BAD" w:rsidP="002E5BAD">
      <w:pPr>
        <w:rPr>
          <w:sz w:val="16"/>
          <w:szCs w:val="16"/>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w:t>
      </w:r>
      <w:r>
        <w:rPr>
          <w:rFonts w:cs="Arial" w:hint="cs"/>
          <w:b/>
          <w:bCs/>
          <w:rtl/>
        </w:rPr>
        <w:t>ב</w:t>
      </w:r>
      <w:r w:rsidRPr="00974066">
        <w:rPr>
          <w:rFonts w:cs="Arial" w:hint="cs"/>
          <w:b/>
          <w:bCs/>
          <w:rtl/>
        </w:rPr>
        <w:t xml:space="preserve"> ע"</w:t>
      </w:r>
      <w:r>
        <w:rPr>
          <w:rFonts w:cs="Arial" w:hint="cs"/>
          <w:b/>
          <w:bCs/>
          <w:rtl/>
        </w:rPr>
        <w:t>ב</w:t>
      </w:r>
      <w:r w:rsidRPr="00974066">
        <w:rPr>
          <w:rFonts w:cs="Arial"/>
          <w:b/>
          <w:bCs/>
          <w:rtl/>
        </w:rPr>
        <w:t>:</w:t>
      </w:r>
      <w:r>
        <w:rPr>
          <w:rFonts w:cs="Arial" w:hint="cs"/>
          <w:rtl/>
        </w:rPr>
        <w:t xml:space="preserve"> </w:t>
      </w:r>
      <w:r w:rsidRPr="00F8140D">
        <w:rPr>
          <w:rFonts w:cs="Arial"/>
          <w:u w:val="double"/>
          <w:rtl/>
        </w:rPr>
        <w:t>מתני'</w:t>
      </w:r>
      <w:r>
        <w:rPr>
          <w:rFonts w:cs="Arial" w:hint="cs"/>
          <w:rtl/>
        </w:rPr>
        <w:t>:</w:t>
      </w:r>
      <w:r w:rsidRPr="00F8140D">
        <w:rPr>
          <w:rFonts w:cs="Arial"/>
          <w:rtl/>
        </w:rPr>
        <w:t xml:space="preserve"> לא כתב לה</w:t>
      </w:r>
      <w:r>
        <w:rPr>
          <w:rFonts w:cs="Arial" w:hint="cs"/>
          <w:rtl/>
        </w:rPr>
        <w:t>...</w:t>
      </w:r>
      <w:r w:rsidRPr="00F8140D">
        <w:rPr>
          <w:rFonts w:cs="Arial"/>
          <w:rtl/>
        </w:rPr>
        <w:t xml:space="preserve"> בנן נוקבן דיהוין ליכי מינאי, יהוין יתבן בביתי ומיתזנן מנכסי עד דתלקחון לגוברין - חייב, שהוא תנאי בית דין.</w:t>
      </w:r>
      <w:r>
        <w:rPr>
          <w:rFonts w:hint="cs"/>
          <w:rtl/>
        </w:rPr>
        <w:t xml:space="preserve"> </w:t>
      </w:r>
      <w:r>
        <w:rPr>
          <w:rFonts w:cs="Arial" w:hint="cs"/>
          <w:rtl/>
        </w:rPr>
        <w:t xml:space="preserve">      </w:t>
      </w:r>
      <w:r w:rsidRPr="00EB2DB3">
        <w:rPr>
          <w:rFonts w:cs="Arial" w:hint="cs"/>
          <w:u w:val="double"/>
          <w:rtl/>
        </w:rPr>
        <w:t>גמ'</w:t>
      </w:r>
      <w:r>
        <w:rPr>
          <w:rFonts w:cs="Arial" w:hint="cs"/>
          <w:sz w:val="14"/>
          <w:szCs w:val="14"/>
          <w:u w:val="double"/>
          <w:rtl/>
        </w:rPr>
        <w:t>(נג:)</w:t>
      </w:r>
      <w:r w:rsidRPr="00EB2DB3">
        <w:rPr>
          <w:rFonts w:cs="Arial" w:hint="cs"/>
          <w:u w:val="double"/>
          <w:rtl/>
        </w:rPr>
        <w:t>:</w:t>
      </w:r>
      <w:r>
        <w:rPr>
          <w:rFonts w:cs="Arial" w:hint="cs"/>
          <w:rtl/>
        </w:rPr>
        <w:t xml:space="preserve"> </w:t>
      </w:r>
      <w:r w:rsidRPr="00EB2DB3">
        <w:rPr>
          <w:rFonts w:cs="Arial"/>
          <w:rtl/>
        </w:rPr>
        <w:t xml:space="preserve">בנן נוקבן דיהויין ליכי מינאי וכו'. </w:t>
      </w:r>
      <w:r w:rsidRPr="00EB2DB3">
        <w:rPr>
          <w:rFonts w:cs="Arial"/>
          <w:u w:val="single"/>
          <w:rtl/>
        </w:rPr>
        <w:t>רב תני</w:t>
      </w:r>
      <w:r w:rsidRPr="00EB2DB3">
        <w:rPr>
          <w:rFonts w:cs="Arial"/>
          <w:rtl/>
        </w:rPr>
        <w:t>: עד דתלקחן לגוברין</w:t>
      </w:r>
      <w:r>
        <w:rPr>
          <w:rFonts w:cs="Arial" w:hint="cs"/>
          <w:rtl/>
        </w:rPr>
        <w:t>.</w:t>
      </w:r>
      <w:r w:rsidRPr="00EB2DB3">
        <w:rPr>
          <w:rFonts w:cs="Arial"/>
          <w:rtl/>
        </w:rPr>
        <w:t xml:space="preserve"> </w:t>
      </w:r>
      <w:r w:rsidRPr="00EB2DB3">
        <w:rPr>
          <w:rFonts w:cs="Arial"/>
          <w:u w:val="single"/>
          <w:rtl/>
        </w:rPr>
        <w:t>ולוי תני</w:t>
      </w:r>
      <w:r w:rsidRPr="00EB2DB3">
        <w:rPr>
          <w:rFonts w:cs="Arial"/>
          <w:rtl/>
        </w:rPr>
        <w:t>: עד דתבגרן. לרב אף על גב דבגר</w:t>
      </w:r>
      <w:r>
        <w:rPr>
          <w:rStyle w:val="a7"/>
          <w:rFonts w:cs="Arial"/>
          <w:rtl/>
        </w:rPr>
        <w:footnoteReference w:id="2820"/>
      </w:r>
      <w:r w:rsidRPr="00EB2DB3">
        <w:rPr>
          <w:rFonts w:cs="Arial"/>
          <w:rtl/>
        </w:rPr>
        <w:t>? ולוי אף על גב דאינסיב? אלא בגר ולא אינסיב, אינסיב ולא בגר - דכולי עלמא לא פליגי, כי פליגי - בארוסה</w:t>
      </w:r>
      <w:r>
        <w:rPr>
          <w:rStyle w:val="a7"/>
          <w:rFonts w:cs="Arial"/>
          <w:rtl/>
        </w:rPr>
        <w:footnoteReference w:id="2821"/>
      </w:r>
      <w:r w:rsidRPr="00EB2DB3">
        <w:rPr>
          <w:rFonts w:cs="Arial"/>
          <w:rtl/>
        </w:rPr>
        <w:t xml:space="preserve"> ולא בגר. וכן תני לוי במתניתיה</w:t>
      </w:r>
      <w:r>
        <w:rPr>
          <w:rStyle w:val="a7"/>
          <w:rFonts w:cs="Arial"/>
          <w:rtl/>
        </w:rPr>
        <w:footnoteReference w:id="2822"/>
      </w:r>
      <w:r w:rsidRPr="00EB2DB3">
        <w:rPr>
          <w:rFonts w:cs="Arial"/>
          <w:rtl/>
        </w:rPr>
        <w:t xml:space="preserve">: עד דתבגרן וימטי זמניהון דאינסבן. תרתי? אלא, או תבגרן או ימטי זמניהון לאיתנסבא. כתנאי: עד מתי הבת נזונית? עד שתארס, </w:t>
      </w:r>
      <w:r w:rsidRPr="00EB2DB3">
        <w:rPr>
          <w:rFonts w:cs="Arial"/>
          <w:u w:val="single"/>
          <w:rtl/>
        </w:rPr>
        <w:t>משום רבי אלעזר אמרו</w:t>
      </w:r>
      <w:r w:rsidRPr="00EB2DB3">
        <w:rPr>
          <w:rFonts w:cs="Arial"/>
          <w:rtl/>
        </w:rPr>
        <w:t>: עד שתבגר.</w:t>
      </w:r>
      <w:r w:rsidRPr="00EB2DB3">
        <w:rPr>
          <w:rtl/>
        </w:rPr>
        <w:t xml:space="preserve"> </w:t>
      </w:r>
      <w:r>
        <w:rPr>
          <w:rFonts w:cs="Arial" w:hint="cs"/>
          <w:sz w:val="16"/>
          <w:szCs w:val="16"/>
          <w:rtl/>
        </w:rPr>
        <w:t>(</w:t>
      </w:r>
      <w:r w:rsidRPr="00D93E62">
        <w:rPr>
          <w:rFonts w:cs="Arial"/>
          <w:sz w:val="16"/>
          <w:szCs w:val="16"/>
          <w:rtl/>
        </w:rPr>
        <w:t>רב כתנא קמא</w:t>
      </w:r>
      <w:r>
        <w:rPr>
          <w:rFonts w:cs="Arial" w:hint="cs"/>
          <w:sz w:val="16"/>
          <w:szCs w:val="16"/>
          <w:rtl/>
        </w:rPr>
        <w:t>,</w:t>
      </w:r>
      <w:r w:rsidRPr="00D93E62">
        <w:rPr>
          <w:rFonts w:cs="Arial"/>
          <w:sz w:val="16"/>
          <w:szCs w:val="16"/>
          <w:rtl/>
        </w:rPr>
        <w:t xml:space="preserve"> ולוי כרבי אליעזר</w:t>
      </w:r>
      <w:r w:rsidRPr="00D93E62">
        <w:rPr>
          <w:rFonts w:cs="Arial" w:hint="cs"/>
          <w:sz w:val="16"/>
          <w:szCs w:val="16"/>
          <w:rtl/>
        </w:rPr>
        <w:t>.</w:t>
      </w:r>
      <w:r w:rsidRPr="00D93E62">
        <w:rPr>
          <w:rFonts w:cs="Arial"/>
          <w:sz w:val="16"/>
          <w:szCs w:val="16"/>
          <w:rtl/>
        </w:rPr>
        <w:t xml:space="preserve"> וכתבו הרי"ף (כ.) והרא"ש (סי' כו) והלכתא כרב דקאי כתנא קמא</w:t>
      </w:r>
      <w:r w:rsidRPr="00D93E62">
        <w:rPr>
          <w:rFonts w:cs="Arial" w:hint="cs"/>
          <w:sz w:val="16"/>
          <w:szCs w:val="16"/>
          <w:rtl/>
        </w:rPr>
        <w:t>.</w:t>
      </w:r>
      <w:r w:rsidRPr="00D93E62">
        <w:rPr>
          <w:rFonts w:cs="Arial"/>
          <w:sz w:val="16"/>
          <w:szCs w:val="16"/>
          <w:rtl/>
        </w:rPr>
        <w:t xml:space="preserve"> וכן פסק הרמב"ם ז"ל בפי"ט מהלכות אישות (ה"י)</w:t>
      </w:r>
      <w:r w:rsidRPr="00D93E62">
        <w:rPr>
          <w:rFonts w:cs="Arial" w:hint="cs"/>
          <w:sz w:val="16"/>
          <w:szCs w:val="16"/>
          <w:rtl/>
        </w:rPr>
        <w:t>, ב"י)</w:t>
      </w:r>
    </w:p>
    <w:p w14:paraId="74E9302E" w14:textId="77777777" w:rsidR="002E5BAD" w:rsidRDefault="002E5BAD" w:rsidP="002E5BAD">
      <w:pPr>
        <w:rPr>
          <w:rFonts w:cs="Arial"/>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מט</w:t>
      </w:r>
      <w:r w:rsidRPr="00974066">
        <w:rPr>
          <w:rFonts w:cs="Arial" w:hint="cs"/>
          <w:b/>
          <w:bCs/>
          <w:rtl/>
        </w:rPr>
        <w:t xml:space="preserve"> ע"</w:t>
      </w:r>
      <w:r>
        <w:rPr>
          <w:rFonts w:cs="Arial" w:hint="cs"/>
          <w:b/>
          <w:bCs/>
          <w:rtl/>
        </w:rPr>
        <w:t>א</w:t>
      </w:r>
      <w:r w:rsidRPr="00974066">
        <w:rPr>
          <w:rFonts w:cs="Arial"/>
          <w:b/>
          <w:bCs/>
          <w:rtl/>
        </w:rPr>
        <w:t>:</w:t>
      </w:r>
      <w:r>
        <w:rPr>
          <w:rFonts w:cs="Arial" w:hint="cs"/>
          <w:rtl/>
        </w:rPr>
        <w:t xml:space="preserve"> </w:t>
      </w:r>
      <w:r w:rsidRPr="00F8140D">
        <w:rPr>
          <w:rFonts w:cs="Arial"/>
          <w:u w:val="double"/>
          <w:rtl/>
        </w:rPr>
        <w:t>מתני'</w:t>
      </w:r>
      <w:r>
        <w:rPr>
          <w:rFonts w:cs="Arial" w:hint="cs"/>
          <w:rtl/>
        </w:rPr>
        <w:t>:</w:t>
      </w:r>
      <w:r w:rsidRPr="00F8140D">
        <w:rPr>
          <w:rFonts w:cs="Arial"/>
          <w:rtl/>
        </w:rPr>
        <w:t xml:space="preserve"> </w:t>
      </w:r>
      <w:r w:rsidRPr="00E4117B">
        <w:rPr>
          <w:rFonts w:cs="Arial"/>
          <w:rtl/>
        </w:rPr>
        <w:t>האב אינו חייב במזונות בתו. זה מדרש דרש רבי אלעזר בן עזריה לפני חכמים בכרם ביבנה: הבנים יירשו והבנות יזונו, מה הבנים אינן יורשין אלא לאחר מיתת האב, אף הבנות אין ניזונות אלא לאחר מיתת אביהן</w:t>
      </w:r>
      <w:r w:rsidRPr="00F8140D">
        <w:rPr>
          <w:rFonts w:cs="Arial"/>
          <w:rtl/>
        </w:rPr>
        <w:t>.</w:t>
      </w:r>
      <w:r>
        <w:rPr>
          <w:rFonts w:hint="cs"/>
          <w:rtl/>
        </w:rPr>
        <w:t xml:space="preserve"> </w:t>
      </w:r>
      <w:r>
        <w:rPr>
          <w:rFonts w:cs="Arial" w:hint="cs"/>
          <w:rtl/>
        </w:rPr>
        <w:t xml:space="preserve">      </w:t>
      </w:r>
      <w:r w:rsidRPr="00EB2DB3">
        <w:rPr>
          <w:rFonts w:cs="Arial" w:hint="cs"/>
          <w:u w:val="double"/>
          <w:rtl/>
        </w:rPr>
        <w:t>גמ'</w:t>
      </w:r>
      <w:r>
        <w:rPr>
          <w:rFonts w:cs="Arial" w:hint="cs"/>
          <w:sz w:val="14"/>
          <w:szCs w:val="14"/>
          <w:u w:val="double"/>
          <w:rtl/>
        </w:rPr>
        <w:t>(מט:)</w:t>
      </w:r>
      <w:r w:rsidRPr="00EB2DB3">
        <w:rPr>
          <w:rFonts w:cs="Arial" w:hint="cs"/>
          <w:u w:val="double"/>
          <w:rtl/>
        </w:rPr>
        <w:t>:</w:t>
      </w:r>
      <w:r>
        <w:rPr>
          <w:rFonts w:cs="Arial" w:hint="cs"/>
          <w:rtl/>
        </w:rPr>
        <w:t xml:space="preserve"> </w:t>
      </w:r>
      <w:r w:rsidRPr="00E4117B">
        <w:rPr>
          <w:rFonts w:cs="Arial"/>
          <w:u w:val="single"/>
          <w:rtl/>
        </w:rPr>
        <w:t>אמר רבי אילעא אמר ריש לקיש משום רבי יהודה בר חנינא</w:t>
      </w:r>
      <w:r w:rsidRPr="00E4117B">
        <w:rPr>
          <w:rFonts w:cs="Arial"/>
          <w:rtl/>
        </w:rPr>
        <w:t>: באושא התקינו, שיהא אדם זן את בניו ואת בנותיו כשהן קטנים.</w:t>
      </w:r>
    </w:p>
    <w:p w14:paraId="30EA45EE" w14:textId="77777777" w:rsidR="002E5BAD" w:rsidRPr="00CE5034" w:rsidRDefault="002E5BAD" w:rsidP="002E5BAD">
      <w:pPr>
        <w:rPr>
          <w:rFonts w:cs="Arial"/>
          <w:u w:val="single"/>
          <w:rtl/>
        </w:rPr>
      </w:pPr>
      <w:r w:rsidRPr="00CE5034">
        <w:rPr>
          <w:rFonts w:hint="cs"/>
          <w:u w:val="single"/>
          <w:rtl/>
        </w:rPr>
        <w:t>מזונות הבנות לאחר מות האב</w:t>
      </w:r>
      <w:r w:rsidRPr="00CE5034">
        <w:rPr>
          <w:rFonts w:cs="Arial" w:hint="cs"/>
          <w:u w:val="single"/>
          <w:rtl/>
        </w:rPr>
        <w:t>:</w:t>
      </w:r>
    </w:p>
    <w:p w14:paraId="2689809F" w14:textId="77777777" w:rsidR="002E5BAD" w:rsidRDefault="002E5BAD" w:rsidP="00B75458">
      <w:pPr>
        <w:pStyle w:val="ab"/>
        <w:numPr>
          <w:ilvl w:val="0"/>
          <w:numId w:val="195"/>
        </w:numPr>
      </w:pPr>
      <w:r w:rsidRPr="00B345A5">
        <w:rPr>
          <w:rFonts w:cs="Arial" w:hint="cs"/>
          <w:rtl/>
        </w:rPr>
        <w:t xml:space="preserve">טור- </w:t>
      </w:r>
      <w:r w:rsidRPr="00B345A5">
        <w:rPr>
          <w:rFonts w:cs="Arial"/>
          <w:rtl/>
        </w:rPr>
        <w:t>תנאי כתובה שיהיו בנותיה ניזונות מנכסיו אחר מותו</w:t>
      </w:r>
      <w:r>
        <w:rPr>
          <w:rStyle w:val="a7"/>
          <w:rFonts w:cs="Arial"/>
          <w:rtl/>
        </w:rPr>
        <w:footnoteReference w:id="2823"/>
      </w:r>
      <w:r w:rsidRPr="00B345A5">
        <w:rPr>
          <w:rFonts w:cs="Arial"/>
          <w:rtl/>
        </w:rPr>
        <w:t xml:space="preserve"> עד שינשאו או עד שיבגרו אפי' לא נכתב</w:t>
      </w:r>
      <w:r>
        <w:rPr>
          <w:rFonts w:cs="Arial" w:hint="cs"/>
          <w:rtl/>
        </w:rPr>
        <w:t>,</w:t>
      </w:r>
      <w:r w:rsidRPr="00B345A5">
        <w:rPr>
          <w:rFonts w:cs="Arial"/>
          <w:rtl/>
        </w:rPr>
        <w:t xml:space="preserve"> או אפילו אין לה כתובה ובמקום שאין כותבין</w:t>
      </w:r>
      <w:r>
        <w:rPr>
          <w:rFonts w:cs="Arial" w:hint="cs"/>
          <w:rtl/>
        </w:rPr>
        <w:t>.</w:t>
      </w:r>
      <w:r w:rsidRPr="00F011B0">
        <w:rPr>
          <w:rFonts w:hint="cs"/>
          <w:color w:val="E36C0A" w:themeColor="accent6" w:themeShade="BF"/>
          <w:rtl/>
        </w:rPr>
        <w:t xml:space="preserve"> (וכ"פ בשו"ע)</w:t>
      </w:r>
    </w:p>
    <w:p w14:paraId="04182058" w14:textId="77777777" w:rsidR="002E5BAD" w:rsidRPr="00F011B0" w:rsidRDefault="002E5BAD" w:rsidP="002E5BAD">
      <w:pPr>
        <w:ind w:left="360"/>
        <w:rPr>
          <w:u w:val="dotted"/>
        </w:rPr>
      </w:pPr>
      <w:r w:rsidRPr="00F011B0">
        <w:rPr>
          <w:rFonts w:hint="cs"/>
          <w:u w:val="dotted"/>
          <w:rtl/>
        </w:rPr>
        <w:t>ומה הדין אם אין לה כתובה והם במקום שכותבים:</w:t>
      </w:r>
    </w:p>
    <w:p w14:paraId="2C9D7582" w14:textId="77777777" w:rsidR="002E5BAD" w:rsidRPr="000F4A99" w:rsidRDefault="002E5BAD" w:rsidP="00B75458">
      <w:pPr>
        <w:pStyle w:val="ab"/>
        <w:numPr>
          <w:ilvl w:val="0"/>
          <w:numId w:val="195"/>
        </w:numPr>
      </w:pPr>
      <w:r>
        <w:rPr>
          <w:rFonts w:cs="Arial" w:hint="cs"/>
          <w:rtl/>
        </w:rPr>
        <w:t xml:space="preserve">רמב"ם </w:t>
      </w:r>
      <w:r w:rsidRPr="000F4A99">
        <w:rPr>
          <w:rFonts w:cs="Arial" w:hint="cs"/>
          <w:sz w:val="16"/>
          <w:szCs w:val="16"/>
          <w:rtl/>
        </w:rPr>
        <w:t>(פי"ט מאישות הי"ב)</w:t>
      </w:r>
      <w:r>
        <w:rPr>
          <w:rFonts w:cs="Arial" w:hint="cs"/>
          <w:rtl/>
        </w:rPr>
        <w:t xml:space="preserve">- </w:t>
      </w:r>
      <w:r w:rsidRPr="000F4A99">
        <w:rPr>
          <w:rFonts w:cs="Arial"/>
          <w:rtl/>
        </w:rPr>
        <w:t>אין הבנים יורשין כתובת אמן ולא הבנות ניזונות בתנאים אלו עד שיהיה שטר כתובה יוצא מתחת ידם, אבל אם אין שם שטר כתובה אין להם כלום שמא מחלה אמן כתובתה</w:t>
      </w:r>
      <w:r>
        <w:rPr>
          <w:rStyle w:val="a7"/>
          <w:rFonts w:cs="Arial"/>
          <w:rtl/>
        </w:rPr>
        <w:footnoteReference w:id="2824"/>
      </w:r>
      <w:r w:rsidRPr="000F4A99">
        <w:rPr>
          <w:rFonts w:cs="Arial"/>
          <w:rtl/>
        </w:rPr>
        <w:t>, ואם אין דרכם לכתוב כתובה יש להן כפי התנאים.</w:t>
      </w:r>
    </w:p>
    <w:p w14:paraId="2FB1D624" w14:textId="77777777" w:rsidR="002E5BAD" w:rsidRPr="00EF7111" w:rsidRDefault="002E5BAD" w:rsidP="00B75458">
      <w:pPr>
        <w:pStyle w:val="ab"/>
        <w:numPr>
          <w:ilvl w:val="0"/>
          <w:numId w:val="195"/>
        </w:numPr>
      </w:pPr>
      <w:r w:rsidRPr="000F4A99">
        <w:rPr>
          <w:rFonts w:cs="Arial"/>
          <w:rtl/>
        </w:rPr>
        <w:t>ראב"ד</w:t>
      </w:r>
      <w:r>
        <w:rPr>
          <w:rFonts w:cs="Arial" w:hint="cs"/>
          <w:sz w:val="16"/>
          <w:szCs w:val="16"/>
          <w:rtl/>
        </w:rPr>
        <w:t xml:space="preserve"> (בהשגות שם)</w:t>
      </w:r>
      <w:r>
        <w:rPr>
          <w:rFonts w:cs="Arial" w:hint="cs"/>
          <w:rtl/>
        </w:rPr>
        <w:t xml:space="preserve">- </w:t>
      </w:r>
      <w:r w:rsidRPr="000F4A99">
        <w:rPr>
          <w:rFonts w:cs="Arial"/>
          <w:rtl/>
        </w:rPr>
        <w:t>הפלא ופלא</w:t>
      </w:r>
      <w:r>
        <w:rPr>
          <w:rFonts w:cs="Arial" w:hint="cs"/>
          <w:rtl/>
        </w:rPr>
        <w:t>,</w:t>
      </w:r>
      <w:r w:rsidRPr="000F4A99">
        <w:rPr>
          <w:rFonts w:cs="Arial"/>
          <w:rtl/>
        </w:rPr>
        <w:t xml:space="preserve"> וכי מזון הבנות תלוי בפרעון כתובתה</w:t>
      </w:r>
      <w:r>
        <w:rPr>
          <w:rFonts w:cs="Arial" w:hint="cs"/>
          <w:rtl/>
        </w:rPr>
        <w:t>?</w:t>
      </w:r>
      <w:r w:rsidRPr="000F4A99">
        <w:rPr>
          <w:rFonts w:cs="Arial"/>
          <w:rtl/>
        </w:rPr>
        <w:t xml:space="preserve"> והמחילה אינה אלא כפרעון</w:t>
      </w:r>
      <w:r>
        <w:rPr>
          <w:rFonts w:cs="Arial" w:hint="cs"/>
          <w:rtl/>
        </w:rPr>
        <w:t>,</w:t>
      </w:r>
      <w:r w:rsidRPr="000F4A99">
        <w:rPr>
          <w:rFonts w:cs="Arial"/>
          <w:rtl/>
        </w:rPr>
        <w:t xml:space="preserve"> ואם פרע הבעל כתובת אשתו לא יטלו בנותיו מזונותיהן</w:t>
      </w:r>
      <w:r>
        <w:rPr>
          <w:rFonts w:cs="Arial" w:hint="cs"/>
          <w:rtl/>
        </w:rPr>
        <w:t>?</w:t>
      </w:r>
      <w:r w:rsidRPr="000F4A99">
        <w:rPr>
          <w:rFonts w:cs="Arial"/>
          <w:rtl/>
        </w:rPr>
        <w:t>.</w:t>
      </w:r>
    </w:p>
    <w:p w14:paraId="5470FBB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D75971E" w14:textId="77777777" w:rsidR="002E5BAD" w:rsidRDefault="002E5BAD" w:rsidP="002E5BAD">
      <w:pPr>
        <w:rPr>
          <w:rFonts w:cs="Arial"/>
          <w:sz w:val="18"/>
          <w:szCs w:val="18"/>
          <w:rtl/>
        </w:rPr>
      </w:pPr>
      <w:r w:rsidRPr="00523CDE">
        <w:rPr>
          <w:rFonts w:cs="Arial"/>
          <w:rtl/>
        </w:rPr>
        <w:lastRenderedPageBreak/>
        <w:t xml:space="preserve">מתנאי כתובה שתהיינה הבנות נזונות מנכסי אביהם אחר מותו, עד שיתארסו או עד שיבגרו. </w:t>
      </w:r>
      <w:r w:rsidRPr="00621C37">
        <w:rPr>
          <w:rFonts w:cs="Arial"/>
          <w:sz w:val="18"/>
          <w:szCs w:val="18"/>
          <w:rtl/>
        </w:rPr>
        <w:t>הגה: אפילו לא נכתב בכתובה</w:t>
      </w:r>
      <w:r>
        <w:rPr>
          <w:rStyle w:val="a7"/>
          <w:rFonts w:cs="Arial"/>
          <w:sz w:val="18"/>
          <w:szCs w:val="18"/>
          <w:rtl/>
        </w:rPr>
        <w:footnoteReference w:id="2825"/>
      </w:r>
      <w:r w:rsidRPr="00621C37">
        <w:rPr>
          <w:rFonts w:cs="Arial"/>
          <w:sz w:val="18"/>
          <w:szCs w:val="18"/>
          <w:rtl/>
        </w:rPr>
        <w:t>, או אפילו אין לה כתובה ובמקום שאין כותבין</w:t>
      </w:r>
      <w:r>
        <w:rPr>
          <w:rStyle w:val="a7"/>
          <w:rFonts w:cs="Arial"/>
          <w:sz w:val="18"/>
          <w:szCs w:val="18"/>
          <w:rtl/>
        </w:rPr>
        <w:footnoteReference w:id="2826"/>
      </w:r>
      <w:r w:rsidRPr="00621C37">
        <w:rPr>
          <w:rFonts w:cs="Arial"/>
          <w:sz w:val="18"/>
          <w:szCs w:val="18"/>
          <w:rtl/>
        </w:rPr>
        <w:t xml:space="preserve"> כתובה (טור). וי"א</w:t>
      </w:r>
      <w:r>
        <w:rPr>
          <w:rStyle w:val="a7"/>
          <w:rFonts w:cs="Arial"/>
          <w:sz w:val="18"/>
          <w:szCs w:val="18"/>
          <w:rtl/>
        </w:rPr>
        <w:footnoteReference w:id="2827"/>
      </w:r>
      <w:r w:rsidRPr="00621C37">
        <w:rPr>
          <w:rFonts w:cs="Arial"/>
          <w:sz w:val="18"/>
          <w:szCs w:val="18"/>
          <w:rtl/>
        </w:rPr>
        <w:t xml:space="preserve"> דאפילו במקום שכותבין כתובה ואין להם שטר כתובה</w:t>
      </w:r>
      <w:r>
        <w:rPr>
          <w:rStyle w:val="a7"/>
          <w:rFonts w:cs="Arial"/>
          <w:sz w:val="18"/>
          <w:szCs w:val="18"/>
          <w:rtl/>
        </w:rPr>
        <w:footnoteReference w:id="2828"/>
      </w:r>
      <w:r w:rsidRPr="00621C37">
        <w:rPr>
          <w:rFonts w:cs="Arial"/>
          <w:sz w:val="18"/>
          <w:szCs w:val="18"/>
          <w:rtl/>
        </w:rPr>
        <w:t xml:space="preserve">, ואפילו מחלה </w:t>
      </w:r>
      <w:r w:rsidRPr="00171F5A">
        <w:rPr>
          <w:rFonts w:cs="Arial"/>
          <w:sz w:val="18"/>
          <w:szCs w:val="18"/>
          <w:rtl/>
        </w:rPr>
        <w:t>אמם כתובתה בפירוש</w:t>
      </w:r>
      <w:r>
        <w:rPr>
          <w:rStyle w:val="a7"/>
          <w:rFonts w:cs="Arial"/>
          <w:sz w:val="18"/>
          <w:szCs w:val="18"/>
          <w:rtl/>
        </w:rPr>
        <w:footnoteReference w:id="2829"/>
      </w:r>
      <w:r w:rsidRPr="00171F5A">
        <w:rPr>
          <w:rFonts w:cs="Arial"/>
          <w:sz w:val="18"/>
          <w:szCs w:val="18"/>
          <w:rtl/>
        </w:rPr>
        <w:t>, יש לבנות מזונות (הראב"ד פי"ט דאישות). וכן אם נתגרשה האם</w:t>
      </w:r>
      <w:r>
        <w:rPr>
          <w:rStyle w:val="a7"/>
          <w:rFonts w:cs="Arial"/>
          <w:sz w:val="18"/>
          <w:szCs w:val="18"/>
          <w:rtl/>
        </w:rPr>
        <w:footnoteReference w:id="2830"/>
      </w:r>
      <w:r w:rsidRPr="00171F5A">
        <w:rPr>
          <w:rFonts w:cs="Arial"/>
          <w:sz w:val="18"/>
          <w:szCs w:val="18"/>
          <w:rtl/>
        </w:rPr>
        <w:t>, אפילו הכי חייב במזונות הבנות</w:t>
      </w:r>
      <w:r>
        <w:rPr>
          <w:rStyle w:val="a7"/>
          <w:rFonts w:cs="Arial"/>
          <w:sz w:val="18"/>
          <w:szCs w:val="18"/>
          <w:rtl/>
        </w:rPr>
        <w:footnoteReference w:id="2831"/>
      </w:r>
      <w:r w:rsidRPr="00171F5A">
        <w:rPr>
          <w:rFonts w:cs="Arial"/>
          <w:sz w:val="18"/>
          <w:szCs w:val="18"/>
          <w:rtl/>
        </w:rPr>
        <w:t xml:space="preserve">. </w:t>
      </w:r>
    </w:p>
    <w:p w14:paraId="73330222" w14:textId="77777777" w:rsidR="002E5BAD" w:rsidRPr="00235ADC" w:rsidRDefault="002E5BAD" w:rsidP="002E5BAD">
      <w:pPr>
        <w:rPr>
          <w:rFonts w:cs="Arial"/>
          <w:sz w:val="16"/>
          <w:szCs w:val="16"/>
          <w:u w:val="single"/>
          <w:rtl/>
        </w:rPr>
      </w:pPr>
      <w:r w:rsidRPr="00235ADC">
        <w:rPr>
          <w:rFonts w:cs="Arial" w:hint="cs"/>
          <w:u w:val="single"/>
          <w:rtl/>
        </w:rPr>
        <w:t>בת לא קיבלה מזונות מחמת הנושים, ואחר פ</w:t>
      </w:r>
      <w:r>
        <w:rPr>
          <w:rFonts w:cs="Arial" w:hint="cs"/>
          <w:u w:val="single"/>
          <w:rtl/>
        </w:rPr>
        <w:t>י</w:t>
      </w:r>
      <w:r w:rsidRPr="00235ADC">
        <w:rPr>
          <w:rFonts w:cs="Arial" w:hint="cs"/>
          <w:u w:val="single"/>
          <w:rtl/>
        </w:rPr>
        <w:t xml:space="preserve">רנסה, </w:t>
      </w:r>
      <w:r>
        <w:rPr>
          <w:rFonts w:cs="Arial" w:hint="cs"/>
          <w:u w:val="single"/>
          <w:rtl/>
        </w:rPr>
        <w:t>ואח"כ</w:t>
      </w:r>
      <w:r w:rsidRPr="00235ADC">
        <w:rPr>
          <w:rFonts w:cs="Arial" w:hint="cs"/>
          <w:u w:val="single"/>
          <w:rtl/>
        </w:rPr>
        <w:t xml:space="preserve"> נתברר שיש ממה לגבות ור</w:t>
      </w:r>
      <w:r>
        <w:rPr>
          <w:rFonts w:cs="Arial" w:hint="cs"/>
          <w:u w:val="single"/>
          <w:rtl/>
        </w:rPr>
        <w:t>ו</w:t>
      </w:r>
      <w:r w:rsidRPr="00235ADC">
        <w:rPr>
          <w:rFonts w:cs="Arial" w:hint="cs"/>
          <w:u w:val="single"/>
          <w:rtl/>
        </w:rPr>
        <w:t>צה לגבות למפרע:</w:t>
      </w:r>
      <w:r w:rsidRPr="00235ADC">
        <w:rPr>
          <w:rFonts w:cs="Arial" w:hint="cs"/>
          <w:rtl/>
        </w:rPr>
        <w:t xml:space="preserve"> </w:t>
      </w:r>
      <w:r w:rsidRPr="00235ADC">
        <w:rPr>
          <w:rFonts w:cs="Arial" w:hint="cs"/>
          <w:sz w:val="16"/>
          <w:szCs w:val="16"/>
          <w:rtl/>
        </w:rPr>
        <w:t>(פת"ש סק"א)</w:t>
      </w:r>
    </w:p>
    <w:p w14:paraId="06E5C0F3" w14:textId="77777777" w:rsidR="002E5BAD" w:rsidRPr="00235ADC" w:rsidRDefault="002E5BAD" w:rsidP="00B75458">
      <w:pPr>
        <w:pStyle w:val="ab"/>
        <w:numPr>
          <w:ilvl w:val="0"/>
          <w:numId w:val="199"/>
        </w:numPr>
        <w:rPr>
          <w:rFonts w:cs="Arial"/>
          <w:rtl/>
        </w:rPr>
      </w:pPr>
      <w:r w:rsidRPr="00235ADC">
        <w:rPr>
          <w:rFonts w:cs="Arial"/>
          <w:rtl/>
        </w:rPr>
        <w:t xml:space="preserve">נו"ב </w:t>
      </w:r>
      <w:r w:rsidRPr="00235ADC">
        <w:rPr>
          <w:rFonts w:cs="Arial" w:hint="cs"/>
          <w:sz w:val="16"/>
          <w:szCs w:val="16"/>
          <w:rtl/>
        </w:rPr>
        <w:t>(</w:t>
      </w:r>
      <w:r w:rsidRPr="00235ADC">
        <w:rPr>
          <w:rFonts w:cs="Arial"/>
          <w:sz w:val="16"/>
          <w:szCs w:val="16"/>
          <w:rtl/>
        </w:rPr>
        <w:t>תניינא סי</w:t>
      </w:r>
      <w:r w:rsidRPr="00235ADC">
        <w:rPr>
          <w:rFonts w:cs="Arial" w:hint="cs"/>
          <w:sz w:val="16"/>
          <w:szCs w:val="16"/>
          <w:rtl/>
        </w:rPr>
        <w:t>'</w:t>
      </w:r>
      <w:r w:rsidRPr="00235ADC">
        <w:rPr>
          <w:rFonts w:cs="Arial"/>
          <w:sz w:val="16"/>
          <w:szCs w:val="16"/>
          <w:rtl/>
        </w:rPr>
        <w:t xml:space="preserve"> צה</w:t>
      </w:r>
      <w:r w:rsidRPr="00235ADC">
        <w:rPr>
          <w:rFonts w:cs="Arial" w:hint="cs"/>
          <w:sz w:val="16"/>
          <w:szCs w:val="16"/>
          <w:rtl/>
        </w:rPr>
        <w:t>)</w:t>
      </w:r>
      <w:r w:rsidRPr="00235ADC">
        <w:rPr>
          <w:rFonts w:cs="Arial" w:hint="cs"/>
          <w:rtl/>
        </w:rPr>
        <w:t>-</w:t>
      </w:r>
      <w:r w:rsidRPr="00235ADC">
        <w:rPr>
          <w:rFonts w:cs="Arial"/>
          <w:rtl/>
        </w:rPr>
        <w:t xml:space="preserve"> אחד מת ונשאר בעל חוב</w:t>
      </w:r>
      <w:r w:rsidRPr="00235ADC">
        <w:rPr>
          <w:rFonts w:cs="Arial" w:hint="cs"/>
          <w:rtl/>
        </w:rPr>
        <w:t>,</w:t>
      </w:r>
      <w:r w:rsidRPr="00235ADC">
        <w:rPr>
          <w:rFonts w:cs="Arial"/>
          <w:rtl/>
        </w:rPr>
        <w:t xml:space="preserve"> ועזבונו לא היה מספיק לפרוע החובות</w:t>
      </w:r>
      <w:r w:rsidRPr="00235ADC">
        <w:rPr>
          <w:rFonts w:cs="Arial" w:hint="cs"/>
          <w:rtl/>
        </w:rPr>
        <w:t>.</w:t>
      </w:r>
      <w:r w:rsidRPr="00235ADC">
        <w:rPr>
          <w:rFonts w:cs="Arial"/>
          <w:rtl/>
        </w:rPr>
        <w:t xml:space="preserve"> ומסרו הנכסים ביד אפטרופוס עד שיבואו הנושים כל אחד ליקח את שלו</w:t>
      </w:r>
      <w:r w:rsidRPr="00235ADC">
        <w:rPr>
          <w:rFonts w:cs="Arial" w:hint="cs"/>
          <w:rtl/>
        </w:rPr>
        <w:t>.</w:t>
      </w:r>
      <w:r w:rsidRPr="00235ADC">
        <w:rPr>
          <w:rFonts w:cs="Arial"/>
          <w:rtl/>
        </w:rPr>
        <w:t xml:space="preserve"> וזה המת הניח שני בנים ובת קטנה</w:t>
      </w:r>
      <w:r w:rsidRPr="00235ADC">
        <w:rPr>
          <w:rFonts w:cs="Arial" w:hint="cs"/>
          <w:rtl/>
        </w:rPr>
        <w:t>.</w:t>
      </w:r>
      <w:r w:rsidRPr="00235ADC">
        <w:rPr>
          <w:rFonts w:cs="Arial"/>
          <w:rtl/>
        </w:rPr>
        <w:t xml:space="preserve"> והואיל שהיו סבורים שיהיה הכרח לשלם כל הנושים היה הכל נשאר מונח ולא ניתן מזה למזונות היתומי'</w:t>
      </w:r>
      <w:r w:rsidRPr="00235ADC">
        <w:rPr>
          <w:rFonts w:cs="Arial" w:hint="cs"/>
          <w:rtl/>
        </w:rPr>
        <w:t>.</w:t>
      </w:r>
      <w:r w:rsidRPr="00235ADC">
        <w:rPr>
          <w:rFonts w:cs="Arial"/>
          <w:rtl/>
        </w:rPr>
        <w:t xml:space="preserve"> ואם הבת החזיקה את בתה אצלה וזנה ופרנסה והשיאה לגבר</w:t>
      </w:r>
      <w:r w:rsidRPr="00235ADC">
        <w:rPr>
          <w:rFonts w:cs="Arial" w:hint="cs"/>
          <w:rtl/>
        </w:rPr>
        <w:t>.</w:t>
      </w:r>
      <w:r w:rsidRPr="00235ADC">
        <w:rPr>
          <w:rFonts w:cs="Arial"/>
          <w:rtl/>
        </w:rPr>
        <w:t xml:space="preserve"> ועכשיו ברבות השנים בעל חוב אחד לא בא לתבוע את שלו לא נודע מקומו ועכשיו היורשים רוצים לחלק הנכסים</w:t>
      </w:r>
      <w:r w:rsidRPr="00235ADC">
        <w:rPr>
          <w:rFonts w:cs="Arial" w:hint="cs"/>
          <w:rtl/>
        </w:rPr>
        <w:t>.</w:t>
      </w:r>
      <w:r w:rsidRPr="00235ADC">
        <w:rPr>
          <w:rFonts w:cs="Arial"/>
          <w:rtl/>
        </w:rPr>
        <w:t xml:space="preserve"> וגם הבת באה לתבוע מזונות שהיה מגיע לה בקטנותה עד שבגרה</w:t>
      </w:r>
      <w:r w:rsidRPr="00235ADC">
        <w:rPr>
          <w:rFonts w:cs="Arial" w:hint="cs"/>
          <w:rtl/>
        </w:rPr>
        <w:t>.</w:t>
      </w:r>
      <w:r w:rsidRPr="00235ADC">
        <w:rPr>
          <w:rFonts w:cs="Arial"/>
          <w:rtl/>
        </w:rPr>
        <w:t xml:space="preserve"> ופסק הרב השואל שהנכסים כולם שייכים להבנים ואין להבת שום תביעה מחמת מזונות כיון שהיה לה מזונות ממקום אחר שאמה נתנה לה מזונות</w:t>
      </w:r>
      <w:r w:rsidRPr="00235ADC">
        <w:rPr>
          <w:rFonts w:cs="Arial" w:hint="cs"/>
          <w:rtl/>
        </w:rPr>
        <w:t>,</w:t>
      </w:r>
      <w:r w:rsidRPr="00235ADC">
        <w:rPr>
          <w:rFonts w:cs="Arial"/>
          <w:rtl/>
        </w:rPr>
        <w:t xml:space="preserve"> שלא תיקנו מזונות להבנות אלא שלא יצטרכו לחזור על הפתחים וזו שכבר ניזונה כו'.</w:t>
      </w:r>
      <w:r w:rsidRPr="00235ADC">
        <w:rPr>
          <w:rFonts w:cs="Arial" w:hint="cs"/>
          <w:rtl/>
        </w:rPr>
        <w:t>..</w:t>
      </w:r>
      <w:r w:rsidRPr="00235ADC">
        <w:rPr>
          <w:rFonts w:cs="Arial"/>
          <w:rtl/>
        </w:rPr>
        <w:t xml:space="preserve"> </w:t>
      </w:r>
      <w:r w:rsidRPr="00235ADC">
        <w:rPr>
          <w:rFonts w:cs="Arial" w:hint="cs"/>
          <w:rtl/>
        </w:rPr>
        <w:t>ו</w:t>
      </w:r>
      <w:r w:rsidRPr="00235ADC">
        <w:rPr>
          <w:rFonts w:cs="Arial"/>
          <w:rtl/>
        </w:rPr>
        <w:t>סברא זו נזכר בכנה"ג ואינו מסכים לזה</w:t>
      </w:r>
      <w:r>
        <w:rPr>
          <w:rFonts w:cs="Arial" w:hint="cs"/>
          <w:rtl/>
        </w:rPr>
        <w:t>,</w:t>
      </w:r>
      <w:r w:rsidRPr="00235ADC">
        <w:rPr>
          <w:rFonts w:cs="Arial"/>
          <w:rtl/>
        </w:rPr>
        <w:t xml:space="preserve"> שז"ל </w:t>
      </w:r>
      <w:r>
        <w:rPr>
          <w:rFonts w:cs="Arial" w:hint="cs"/>
          <w:rtl/>
        </w:rPr>
        <w:t>(</w:t>
      </w:r>
      <w:r w:rsidRPr="00235ADC">
        <w:rPr>
          <w:rFonts w:cs="Arial"/>
          <w:rtl/>
        </w:rPr>
        <w:t>הגהות הטור אות ו'</w:t>
      </w:r>
      <w:r>
        <w:rPr>
          <w:rFonts w:cs="Arial" w:hint="cs"/>
          <w:rtl/>
        </w:rPr>
        <w:t>)-</w:t>
      </w:r>
      <w:r w:rsidRPr="00235ADC">
        <w:rPr>
          <w:rFonts w:cs="Arial"/>
          <w:rtl/>
        </w:rPr>
        <w:t xml:space="preserve"> אם נתחסד אחד עמה לזונה אין לה מזונות מן האחין הר"י הלוי סי' ב' ובשם חכם אחד כ' שאפ"ה יש לה מזונות ולזה דעתי נוטה עכ"ל</w:t>
      </w:r>
      <w:r>
        <w:rPr>
          <w:rFonts w:cs="Arial" w:hint="cs"/>
          <w:rtl/>
        </w:rPr>
        <w:t>.</w:t>
      </w:r>
      <w:r w:rsidRPr="00235ADC">
        <w:rPr>
          <w:rFonts w:cs="Arial"/>
          <w:rtl/>
        </w:rPr>
        <w:t xml:space="preserve"> אך באמת דבר זה תלוי בפלוגת' שבין הרי"ף ורמב"ם ובין רש"י ותוס' והרא"ש באבעיא דכתובות </w:t>
      </w:r>
      <w:r>
        <w:rPr>
          <w:rFonts w:cs="Arial" w:hint="cs"/>
          <w:rtl/>
        </w:rPr>
        <w:t>(</w:t>
      </w:r>
      <w:r w:rsidRPr="00235ADC">
        <w:rPr>
          <w:rFonts w:cs="Arial"/>
          <w:rtl/>
        </w:rPr>
        <w:t>נג</w:t>
      </w:r>
      <w:r>
        <w:rPr>
          <w:rFonts w:cs="Arial" w:hint="cs"/>
          <w:rtl/>
        </w:rPr>
        <w:t>.)</w:t>
      </w:r>
      <w:r w:rsidRPr="00235ADC">
        <w:rPr>
          <w:rFonts w:cs="Arial"/>
          <w:rtl/>
        </w:rPr>
        <w:t xml:space="preserve"> ארוסה יש לה מזונות</w:t>
      </w:r>
      <w:r>
        <w:rPr>
          <w:rFonts w:cs="Arial" w:hint="cs"/>
          <w:rtl/>
        </w:rPr>
        <w:t>.</w:t>
      </w:r>
      <w:r w:rsidRPr="00235ADC">
        <w:rPr>
          <w:rFonts w:cs="Arial"/>
          <w:rtl/>
        </w:rPr>
        <w:t xml:space="preserve"> ובפלוגתא זו פסק המחבר בסעיף ג' כרי"ף ורמב"ם והב"ש בסק"ו כתב דיכול הארוס לומר קים לי כרש"י. ומעתה סיומא דפסקא אם הנכסים שנשארו בעת מיתת המנוח היו מרובים (ע' סעיף י"א מה נקרא מרובים) ואף שהיה חייב לאחרים כהנה וכהנה מ"מ נקראו מרובים כמבואר בסט"ו ואז כל הנכסים בחזקת הבנים אלא שהם חייבים ליתן מזונות להבת וכיון שיש כאן ספיקא דדינא יכולים לומר קי"ל כרש"י ותוס' ורא"ש ואמנם אם היו הנכסים מועטים דהיינו שלא היו מספיקים רק כדי מזונות הבת לחוד עד שתבגור ואז מגיע הכל להבת וא"כ ספק הוא אם מגיע הכל להבת או הכל להבנים וכיון שהם מושלשים ביד אפטרופס בתורת פקדון הרי הוא ממון המוטל בספק ויחלוקו הבנים עם הבת. אלא שזה היה שייך אם היה נשאר קרקע אבל אם נשאר מטלטלים שבזה אפילו בנכסים מועטים עכ"פ הבנים שוים עם הבנות כמבואר סעיף י"ב וא"כ הבנים ודאי יש להם זכות בנכסים הללו והבנות ספק ואין ספק מוציא מידי ודאי ואף שכתב הרמ"א שם בהג"ה שבמקום שכותבים בכתובה מטלטלים אג"ק איכא למימר דמטלטלים הם כמו קרקע לא ברירא ליה להרמ"א ז"ל הך סברא והבנות הם ספק ספיקא באופן אם הנכסים </w:t>
      </w:r>
      <w:r w:rsidRPr="00235ADC">
        <w:rPr>
          <w:rFonts w:cs="Arial"/>
          <w:rtl/>
        </w:rPr>
        <w:lastRenderedPageBreak/>
        <w:t>היו מרובים בשעת מיתה אז ודאי הבנים יכולים לומר קי"ל ושייך הכל להבנים ואם היו מועטים וכנ"ל היה מקום לעיין בזה אך הואיל שכבר פסק הרב השואל ששייך הכל להבנים לא מהדרינן עובדא</w:t>
      </w:r>
      <w:r w:rsidRPr="00235ADC">
        <w:rPr>
          <w:rFonts w:cs="Arial" w:hint="cs"/>
          <w:rtl/>
        </w:rPr>
        <w:t>.</w:t>
      </w:r>
    </w:p>
    <w:p w14:paraId="3727E1A6" w14:textId="77777777" w:rsidR="002E5BAD" w:rsidRPr="00523CDE" w:rsidRDefault="002E5BAD" w:rsidP="002E5BAD">
      <w:pPr>
        <w:rPr>
          <w:rFonts w:cs="Arial"/>
          <w:rtl/>
        </w:rPr>
      </w:pPr>
    </w:p>
    <w:p w14:paraId="10088010" w14:textId="77777777" w:rsidR="002E5BAD" w:rsidRDefault="002E5BAD" w:rsidP="002E5BAD">
      <w:pPr>
        <w:pStyle w:val="2"/>
        <w:rPr>
          <w:rtl/>
        </w:rPr>
      </w:pPr>
      <w:r w:rsidRPr="00523CDE">
        <w:rPr>
          <w:rtl/>
        </w:rPr>
        <w:t>סעיף ב</w:t>
      </w:r>
      <w:r>
        <w:rPr>
          <w:rFonts w:hint="cs"/>
          <w:rtl/>
        </w:rPr>
        <w:t>: מעשה ידיה ומציאתה של הבת הניזונת.</w:t>
      </w:r>
    </w:p>
    <w:p w14:paraId="3125A8BA" w14:textId="77777777" w:rsidR="002E5BAD" w:rsidRPr="00F06DB8" w:rsidRDefault="002E5BAD" w:rsidP="002E5BAD">
      <w:pPr>
        <w:rPr>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מג</w:t>
      </w:r>
      <w:r w:rsidRPr="00974066">
        <w:rPr>
          <w:rFonts w:cs="Arial" w:hint="cs"/>
          <w:b/>
          <w:bCs/>
          <w:rtl/>
        </w:rPr>
        <w:t xml:space="preserve"> ע"</w:t>
      </w:r>
      <w:r>
        <w:rPr>
          <w:rFonts w:cs="Arial" w:hint="cs"/>
          <w:b/>
          <w:bCs/>
          <w:rtl/>
        </w:rPr>
        <w:t>א</w:t>
      </w:r>
      <w:r w:rsidRPr="00974066">
        <w:rPr>
          <w:rFonts w:cs="Arial"/>
          <w:b/>
          <w:bCs/>
          <w:rtl/>
        </w:rPr>
        <w:t>:</w:t>
      </w:r>
      <w:r w:rsidRPr="00F8140D">
        <w:rPr>
          <w:rFonts w:cs="Arial"/>
          <w:rtl/>
        </w:rPr>
        <w:t xml:space="preserve"> </w:t>
      </w:r>
      <w:r w:rsidRPr="00425323">
        <w:rPr>
          <w:rFonts w:cs="Arial"/>
          <w:u w:val="single"/>
          <w:rtl/>
        </w:rPr>
        <w:t>בעא מיניה רבי אבינא מרב ששת</w:t>
      </w:r>
      <w:r w:rsidRPr="00425323">
        <w:rPr>
          <w:rFonts w:cs="Arial"/>
          <w:rtl/>
        </w:rPr>
        <w:t>: בת הניזונת מן האחין, מעשה ידיה למי? במקום אב קיימי, מה התם מעשה ידיה לאב, ה"נ מעשה ידיה לאחין, או דלמא לא דמי לאב, התם מדידיה מיתזנא, הכא לאו מדידהו מיתזנא?</w:t>
      </w:r>
      <w:r>
        <w:rPr>
          <w:rFonts w:hint="cs"/>
          <w:rtl/>
        </w:rPr>
        <w:t>...</w:t>
      </w:r>
      <w:r>
        <w:rPr>
          <w:rFonts w:hint="cs"/>
          <w:sz w:val="14"/>
          <w:szCs w:val="14"/>
          <w:rtl/>
        </w:rPr>
        <w:t xml:space="preserve"> (מג:)</w:t>
      </w:r>
      <w:r w:rsidRPr="00425323">
        <w:rPr>
          <w:rtl/>
        </w:rPr>
        <w:t xml:space="preserve"> </w:t>
      </w:r>
      <w:r w:rsidRPr="00425323">
        <w:rPr>
          <w:rFonts w:cs="Arial"/>
          <w:u w:val="single"/>
          <w:rtl/>
        </w:rPr>
        <w:t>אמר רב זירא אמר רב מתנה אמר רב</w:t>
      </w:r>
      <w:r w:rsidRPr="00425323">
        <w:rPr>
          <w:rFonts w:cs="Arial"/>
          <w:rtl/>
        </w:rPr>
        <w:t xml:space="preserve">, ואמרי לה </w:t>
      </w:r>
      <w:r w:rsidRPr="00425323">
        <w:rPr>
          <w:rFonts w:cs="Arial"/>
          <w:u w:val="single"/>
          <w:rtl/>
        </w:rPr>
        <w:t>אמר רבי זירא</w:t>
      </w:r>
      <w:r>
        <w:rPr>
          <w:rStyle w:val="a7"/>
          <w:rFonts w:cs="Arial"/>
          <w:u w:val="single"/>
          <w:rtl/>
        </w:rPr>
        <w:footnoteReference w:id="2832"/>
      </w:r>
      <w:r w:rsidRPr="00425323">
        <w:rPr>
          <w:rFonts w:cs="Arial"/>
          <w:u w:val="single"/>
          <w:rtl/>
        </w:rPr>
        <w:t xml:space="preserve"> א"ר מתנה אמר רב</w:t>
      </w:r>
      <w:r w:rsidRPr="00425323">
        <w:rPr>
          <w:rFonts w:cs="Arial"/>
          <w:rtl/>
        </w:rPr>
        <w:t>: בת הניזונת מן האחין - מעשה ידיה לעצמה, דכתיב</w:t>
      </w:r>
      <w:r>
        <w:rPr>
          <w:rStyle w:val="a7"/>
          <w:rFonts w:cs="Arial"/>
          <w:rtl/>
        </w:rPr>
        <w:footnoteReference w:id="2833"/>
      </w:r>
      <w:r w:rsidRPr="00425323">
        <w:rPr>
          <w:rFonts w:cs="Arial"/>
          <w:rtl/>
        </w:rPr>
        <w:t xml:space="preserve">: </w:t>
      </w:r>
      <w:r>
        <w:rPr>
          <w:rFonts w:cs="Arial" w:hint="cs"/>
          <w:rtl/>
        </w:rPr>
        <w:t>'</w:t>
      </w:r>
      <w:r w:rsidRPr="00425323">
        <w:rPr>
          <w:rFonts w:cs="Arial"/>
          <w:rtl/>
        </w:rPr>
        <w:t>והתנחלתם אותם לבניכם אחריכם</w:t>
      </w:r>
      <w:r>
        <w:rPr>
          <w:rFonts w:cs="Arial" w:hint="cs"/>
          <w:rtl/>
        </w:rPr>
        <w:t>'</w:t>
      </w:r>
      <w:r w:rsidRPr="00425323">
        <w:rPr>
          <w:rFonts w:cs="Arial"/>
          <w:rtl/>
        </w:rPr>
        <w:t xml:space="preserve">, אותם לבניכם - ולא בנותיכם לבניכם, מגיד שאין אדם מוריש זכות בתו לבנו. </w:t>
      </w:r>
      <w:r w:rsidRPr="00F05CBF">
        <w:rPr>
          <w:rFonts w:cs="Arial"/>
          <w:u w:val="single"/>
          <w:rtl/>
        </w:rPr>
        <w:t>א"ל אבימי בר פפי</w:t>
      </w:r>
      <w:r w:rsidRPr="00425323">
        <w:rPr>
          <w:rFonts w:cs="Arial"/>
          <w:rtl/>
        </w:rPr>
        <w:t xml:space="preserve">: שקוד אמרה. שקוד מנו? שמואל, הא רב אמרה! אימא: אף שקוד אמרה. </w:t>
      </w:r>
      <w:r w:rsidRPr="00F05CBF">
        <w:rPr>
          <w:rFonts w:cs="Arial"/>
          <w:u w:val="single"/>
          <w:rtl/>
        </w:rPr>
        <w:t>אמר מר בר אמימר לרב אשי</w:t>
      </w:r>
      <w:r>
        <w:rPr>
          <w:rFonts w:cs="Arial" w:hint="cs"/>
          <w:rtl/>
        </w:rPr>
        <w:t>:</w:t>
      </w:r>
      <w:r w:rsidRPr="00425323">
        <w:rPr>
          <w:rFonts w:cs="Arial"/>
          <w:rtl/>
        </w:rPr>
        <w:t xml:space="preserve"> הכי אמרי נהרדעי: הלכתא כוותיה דרב ששת. </w:t>
      </w:r>
      <w:r w:rsidRPr="00F05CBF">
        <w:rPr>
          <w:rFonts w:cs="Arial"/>
          <w:u w:val="single"/>
          <w:rtl/>
        </w:rPr>
        <w:t>רב אשי אמר</w:t>
      </w:r>
      <w:r w:rsidRPr="00425323">
        <w:rPr>
          <w:rFonts w:cs="Arial"/>
          <w:rtl/>
        </w:rPr>
        <w:t>: הלכתא כוותיה דרב. והלכתא כוותיה דרב.</w:t>
      </w:r>
    </w:p>
    <w:p w14:paraId="0CC6A2EB" w14:textId="77777777" w:rsidR="002E5BAD" w:rsidRPr="00F06DB8" w:rsidRDefault="002E5BAD" w:rsidP="002E5BAD">
      <w:pPr>
        <w:rPr>
          <w:u w:val="single"/>
          <w:rtl/>
        </w:rPr>
      </w:pPr>
      <w:r w:rsidRPr="00F06DB8">
        <w:rPr>
          <w:rFonts w:hint="cs"/>
          <w:u w:val="single"/>
          <w:rtl/>
        </w:rPr>
        <w:t xml:space="preserve">מעשה ידיה ומציאתה של הבת הניזונת </w:t>
      </w:r>
      <w:r w:rsidRPr="00F06DB8">
        <w:rPr>
          <w:u w:val="single"/>
          <w:rtl/>
        </w:rPr>
        <w:t>–</w:t>
      </w:r>
      <w:r w:rsidRPr="00F06DB8">
        <w:rPr>
          <w:rFonts w:hint="cs"/>
          <w:u w:val="single"/>
          <w:rtl/>
        </w:rPr>
        <w:t xml:space="preserve"> למי:</w:t>
      </w:r>
    </w:p>
    <w:p w14:paraId="3B64BF74" w14:textId="77777777" w:rsidR="002E5BAD" w:rsidRPr="00EF7111" w:rsidRDefault="002E5BAD" w:rsidP="00B75458">
      <w:pPr>
        <w:pStyle w:val="ab"/>
        <w:numPr>
          <w:ilvl w:val="0"/>
          <w:numId w:val="195"/>
        </w:numPr>
      </w:pPr>
      <w:r>
        <w:rPr>
          <w:rFonts w:cs="Arial" w:hint="cs"/>
          <w:rtl/>
        </w:rPr>
        <w:t xml:space="preserve">טור- </w:t>
      </w:r>
      <w:r w:rsidRPr="00B345A5">
        <w:rPr>
          <w:rFonts w:cs="Arial"/>
          <w:rtl/>
        </w:rPr>
        <w:t>ואף על פי שניזונת מן האחין מעשה ידיה ומציאתה לעצמה</w:t>
      </w:r>
      <w:r>
        <w:rPr>
          <w:rFonts w:cs="Arial" w:hint="cs"/>
          <w:rtl/>
        </w:rPr>
        <w:t>.</w:t>
      </w:r>
      <w:r w:rsidRPr="00B345A5">
        <w:rPr>
          <w:rFonts w:cs="Arial"/>
          <w:rtl/>
        </w:rPr>
        <w:t xml:space="preserve"> </w:t>
      </w:r>
      <w:r w:rsidRPr="00F011B0">
        <w:rPr>
          <w:rFonts w:hint="cs"/>
          <w:color w:val="E36C0A" w:themeColor="accent6" w:themeShade="BF"/>
          <w:rtl/>
        </w:rPr>
        <w:t>(וכ"פ בשו"ע)</w:t>
      </w:r>
    </w:p>
    <w:p w14:paraId="231193D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60881F" w14:textId="77777777" w:rsidR="002E5BAD" w:rsidRDefault="002E5BAD" w:rsidP="002E5BAD">
      <w:pPr>
        <w:rPr>
          <w:rFonts w:cs="Arial"/>
          <w:rtl/>
        </w:rPr>
      </w:pPr>
      <w:r w:rsidRPr="00523CDE">
        <w:rPr>
          <w:rFonts w:cs="Arial"/>
          <w:rtl/>
        </w:rPr>
        <w:t>בת הניזונת מנכסי אביה לאחר מותו, מעשה ידיה ומציאתה לעצמה</w:t>
      </w:r>
      <w:r>
        <w:rPr>
          <w:rStyle w:val="a7"/>
          <w:rFonts w:cs="Arial"/>
          <w:rtl/>
        </w:rPr>
        <w:footnoteReference w:id="2834"/>
      </w:r>
      <w:r w:rsidRPr="00523CDE">
        <w:rPr>
          <w:rFonts w:cs="Arial"/>
          <w:rtl/>
        </w:rPr>
        <w:t xml:space="preserve">. </w:t>
      </w:r>
    </w:p>
    <w:p w14:paraId="36530D3D" w14:textId="77777777" w:rsidR="002E5BAD" w:rsidRPr="00523CDE" w:rsidRDefault="002E5BAD" w:rsidP="002E5BAD">
      <w:pPr>
        <w:rPr>
          <w:rFonts w:cs="Arial"/>
          <w:rtl/>
        </w:rPr>
      </w:pPr>
    </w:p>
    <w:p w14:paraId="2B2FC04B" w14:textId="77777777" w:rsidR="002E5BAD" w:rsidRDefault="002E5BAD" w:rsidP="002E5BAD">
      <w:pPr>
        <w:pStyle w:val="2"/>
        <w:rPr>
          <w:rtl/>
        </w:rPr>
      </w:pPr>
      <w:r w:rsidRPr="00523CDE">
        <w:rPr>
          <w:rtl/>
        </w:rPr>
        <w:t>סעיף ג</w:t>
      </w:r>
      <w:r>
        <w:rPr>
          <w:rFonts w:hint="cs"/>
          <w:rtl/>
        </w:rPr>
        <w:t xml:space="preserve">: </w:t>
      </w:r>
      <w:r w:rsidRPr="00523CDE">
        <w:rPr>
          <w:rtl/>
        </w:rPr>
        <w:t>נתארסה בעודה קטנה</w:t>
      </w:r>
      <w:r>
        <w:rPr>
          <w:rFonts w:hint="cs"/>
          <w:rtl/>
        </w:rPr>
        <w:t>.</w:t>
      </w:r>
    </w:p>
    <w:p w14:paraId="61F0BCA2" w14:textId="77777777" w:rsidR="002E5BAD" w:rsidRPr="00F05CBF" w:rsidRDefault="002E5BAD" w:rsidP="002E5BAD">
      <w:pPr>
        <w:rPr>
          <w:u w:val="single"/>
          <w:rtl/>
        </w:rPr>
      </w:pPr>
      <w:r w:rsidRPr="00F05CBF">
        <w:rPr>
          <w:rFonts w:cs="Arial"/>
          <w:u w:val="single"/>
          <w:rtl/>
        </w:rPr>
        <w:t xml:space="preserve">נתארסה בעודה </w:t>
      </w:r>
      <w:r>
        <w:rPr>
          <w:rFonts w:cs="Arial" w:hint="cs"/>
          <w:u w:val="single"/>
          <w:rtl/>
        </w:rPr>
        <w:t xml:space="preserve">נערה או </w:t>
      </w:r>
      <w:r w:rsidRPr="00F05CBF">
        <w:rPr>
          <w:rFonts w:cs="Arial"/>
          <w:u w:val="single"/>
          <w:rtl/>
        </w:rPr>
        <w:t>קטנה</w:t>
      </w:r>
      <w:r>
        <w:rPr>
          <w:rFonts w:hint="cs"/>
          <w:u w:val="single"/>
          <w:rtl/>
        </w:rPr>
        <w:t xml:space="preserve"> </w:t>
      </w:r>
      <w:r>
        <w:rPr>
          <w:u w:val="single"/>
          <w:rtl/>
        </w:rPr>
        <w:t>–</w:t>
      </w:r>
      <w:r>
        <w:rPr>
          <w:rFonts w:hint="cs"/>
          <w:u w:val="single"/>
          <w:rtl/>
        </w:rPr>
        <w:t xml:space="preserve"> האם ממשיכה לקבל מזונות</w:t>
      </w:r>
      <w:r w:rsidRPr="00F05CBF">
        <w:rPr>
          <w:rFonts w:hint="cs"/>
          <w:u w:val="single"/>
          <w:rtl/>
        </w:rPr>
        <w:t>:</w:t>
      </w:r>
    </w:p>
    <w:p w14:paraId="6B818650" w14:textId="77777777" w:rsidR="002E5BAD" w:rsidRPr="001B0B78" w:rsidRDefault="002E5BAD" w:rsidP="00B75458">
      <w:pPr>
        <w:pStyle w:val="ab"/>
        <w:numPr>
          <w:ilvl w:val="0"/>
          <w:numId w:val="195"/>
        </w:numPr>
      </w:pPr>
      <w:r>
        <w:rPr>
          <w:rFonts w:cs="Arial" w:hint="cs"/>
          <w:rtl/>
        </w:rPr>
        <w:t xml:space="preserve">רמב"ם </w:t>
      </w:r>
      <w:r w:rsidRPr="000F4A99">
        <w:rPr>
          <w:rFonts w:cs="Arial" w:hint="cs"/>
          <w:sz w:val="16"/>
          <w:szCs w:val="16"/>
          <w:rtl/>
        </w:rPr>
        <w:t>(פי"ט מאישות ה</w:t>
      </w:r>
      <w:r>
        <w:rPr>
          <w:rFonts w:cs="Arial" w:hint="cs"/>
          <w:sz w:val="16"/>
          <w:szCs w:val="16"/>
          <w:rtl/>
        </w:rPr>
        <w:t>ט"ו</w:t>
      </w:r>
      <w:r w:rsidRPr="000F4A99">
        <w:rPr>
          <w:rFonts w:cs="Arial" w:hint="cs"/>
          <w:sz w:val="16"/>
          <w:szCs w:val="16"/>
          <w:rtl/>
        </w:rPr>
        <w:t>)</w:t>
      </w:r>
      <w:r>
        <w:rPr>
          <w:rFonts w:cs="Arial" w:hint="cs"/>
          <w:rtl/>
        </w:rPr>
        <w:t xml:space="preserve"> רא"ש </w:t>
      </w:r>
      <w:r>
        <w:rPr>
          <w:rFonts w:cs="Arial" w:hint="cs"/>
          <w:sz w:val="16"/>
          <w:szCs w:val="16"/>
          <w:rtl/>
        </w:rPr>
        <w:t>(פ"ד סי' כו)</w:t>
      </w:r>
      <w:r>
        <w:rPr>
          <w:rFonts w:cs="Arial" w:hint="cs"/>
          <w:rtl/>
        </w:rPr>
        <w:t xml:space="preserve"> וטור- </w:t>
      </w:r>
      <w:r w:rsidRPr="00B345A5">
        <w:rPr>
          <w:rFonts w:cs="Arial"/>
          <w:rtl/>
        </w:rPr>
        <w:t xml:space="preserve">בגרה הבת או נתארסה אפילו בקטנותה </w:t>
      </w:r>
      <w:r>
        <w:rPr>
          <w:rFonts w:cs="Arial" w:hint="cs"/>
          <w:rtl/>
        </w:rPr>
        <w:t xml:space="preserve">- </w:t>
      </w:r>
      <w:r w:rsidRPr="00B345A5">
        <w:rPr>
          <w:rFonts w:cs="Arial"/>
          <w:rtl/>
        </w:rPr>
        <w:t>שוב אין לה מזונות</w:t>
      </w:r>
      <w:r>
        <w:rPr>
          <w:rFonts w:cs="Arial" w:hint="cs"/>
          <w:sz w:val="16"/>
          <w:szCs w:val="16"/>
          <w:rtl/>
        </w:rPr>
        <w:t xml:space="preserve"> (ל' הטור)</w:t>
      </w:r>
      <w:r>
        <w:rPr>
          <w:rFonts w:cs="Arial" w:hint="cs"/>
          <w:rtl/>
        </w:rPr>
        <w:t xml:space="preserve">. </w:t>
      </w:r>
      <w:r w:rsidRPr="008B0555">
        <w:rPr>
          <w:rFonts w:hint="cs"/>
          <w:color w:val="E36C0A" w:themeColor="accent6" w:themeShade="BF"/>
          <w:rtl/>
        </w:rPr>
        <w:t>(וכ"פ בשו"ע</w:t>
      </w:r>
      <w:r w:rsidRPr="008B0555">
        <w:rPr>
          <w:rFonts w:hint="cs"/>
          <w:color w:val="E36C0A" w:themeColor="accent6" w:themeShade="BF"/>
          <w:sz w:val="16"/>
          <w:szCs w:val="16"/>
          <w:rtl/>
        </w:rPr>
        <w:t xml:space="preserve"> </w:t>
      </w:r>
      <w:r w:rsidRPr="008B0555">
        <w:rPr>
          <w:rFonts w:hint="cs"/>
          <w:color w:val="000000" w:themeColor="text1"/>
          <w:sz w:val="16"/>
          <w:szCs w:val="16"/>
          <w:rtl/>
        </w:rPr>
        <w:t>[כאן ובסי' נה ס"ד]</w:t>
      </w:r>
      <w:r w:rsidRPr="008B0555">
        <w:rPr>
          <w:rFonts w:hint="cs"/>
          <w:color w:val="E36C0A" w:themeColor="accent6" w:themeShade="BF"/>
          <w:rtl/>
        </w:rPr>
        <w:t>)</w:t>
      </w:r>
    </w:p>
    <w:p w14:paraId="630AA7BE" w14:textId="77777777" w:rsidR="002E5BAD" w:rsidRDefault="002E5BAD" w:rsidP="00B75458">
      <w:pPr>
        <w:pStyle w:val="ab"/>
        <w:numPr>
          <w:ilvl w:val="0"/>
          <w:numId w:val="195"/>
        </w:numPr>
      </w:pPr>
      <w:r w:rsidRPr="001B0B78">
        <w:rPr>
          <w:rFonts w:cs="Arial"/>
          <w:rtl/>
        </w:rPr>
        <w:t>ר"ח</w:t>
      </w:r>
      <w:r w:rsidRPr="00EC48C9">
        <w:rPr>
          <w:rFonts w:cs="Arial"/>
          <w:rtl/>
        </w:rPr>
        <w:t xml:space="preserve"> </w:t>
      </w:r>
      <w:r w:rsidRPr="001B0B78">
        <w:rPr>
          <w:rFonts w:cs="Arial"/>
          <w:rtl/>
        </w:rPr>
        <w:t>בהעי</w:t>
      </w:r>
      <w:r>
        <w:rPr>
          <w:rFonts w:cs="Arial" w:hint="cs"/>
          <w:rtl/>
        </w:rPr>
        <w:t>"</w:t>
      </w:r>
      <w:r w:rsidRPr="001B0B78">
        <w:rPr>
          <w:rFonts w:cs="Arial"/>
          <w:rtl/>
        </w:rPr>
        <w:t>ט ורשב"א</w:t>
      </w:r>
      <w:r>
        <w:rPr>
          <w:rStyle w:val="a7"/>
          <w:rFonts w:cs="Arial"/>
          <w:rtl/>
        </w:rPr>
        <w:footnoteReference w:id="2835"/>
      </w:r>
      <w:r>
        <w:rPr>
          <w:rFonts w:cs="Arial" w:hint="cs"/>
          <w:rtl/>
        </w:rPr>
        <w:t xml:space="preserve">- </w:t>
      </w:r>
      <w:r w:rsidRPr="001B0B78">
        <w:rPr>
          <w:rFonts w:cs="Arial"/>
          <w:rtl/>
        </w:rPr>
        <w:t>דוקא ארוסה נערה הוא שאבדה מזונות משעת אירוסין</w:t>
      </w:r>
      <w:r>
        <w:rPr>
          <w:rFonts w:cs="Arial" w:hint="cs"/>
          <w:rtl/>
        </w:rPr>
        <w:t>,</w:t>
      </w:r>
      <w:r w:rsidRPr="001B0B78">
        <w:rPr>
          <w:rFonts w:cs="Arial"/>
          <w:rtl/>
        </w:rPr>
        <w:t xml:space="preserve"> לפי שאירוסיה אירוסין גמורים מדאורייתא</w:t>
      </w:r>
      <w:r>
        <w:rPr>
          <w:rFonts w:cs="Arial" w:hint="cs"/>
          <w:rtl/>
        </w:rPr>
        <w:t>.</w:t>
      </w:r>
      <w:r w:rsidRPr="001B0B78">
        <w:rPr>
          <w:rFonts w:cs="Arial"/>
          <w:rtl/>
        </w:rPr>
        <w:t xml:space="preserve"> אבל קטנה </w:t>
      </w:r>
      <w:r>
        <w:rPr>
          <w:rFonts w:cs="Arial" w:hint="cs"/>
          <w:rtl/>
        </w:rPr>
        <w:t xml:space="preserve">- </w:t>
      </w:r>
      <w:r w:rsidRPr="001B0B78">
        <w:rPr>
          <w:rFonts w:cs="Arial"/>
          <w:rtl/>
        </w:rPr>
        <w:t>לא הפסידה באירוסין בלבד</w:t>
      </w:r>
      <w:r>
        <w:rPr>
          <w:rStyle w:val="a7"/>
          <w:rFonts w:cs="Arial"/>
          <w:rtl/>
        </w:rPr>
        <w:footnoteReference w:id="2836"/>
      </w:r>
      <w:r>
        <w:rPr>
          <w:rFonts w:cs="Arial" w:hint="cs"/>
          <w:sz w:val="16"/>
          <w:szCs w:val="16"/>
          <w:rtl/>
        </w:rPr>
        <w:t xml:space="preserve"> (ל' הה"מ בשם ר"ח)</w:t>
      </w:r>
      <w:r>
        <w:rPr>
          <w:rFonts w:cs="Arial" w:hint="cs"/>
          <w:rtl/>
        </w:rPr>
        <w:t>.</w:t>
      </w:r>
      <w:r w:rsidRPr="008B0555">
        <w:rPr>
          <w:rFonts w:hint="cs"/>
          <w:color w:val="00B0F0"/>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00B0F0"/>
          <w:rtl/>
        </w:rPr>
        <w:t>)</w:t>
      </w:r>
    </w:p>
    <w:p w14:paraId="2AD20774" w14:textId="77777777" w:rsidR="002E5BAD" w:rsidRPr="009A15F4" w:rsidRDefault="002E5BAD" w:rsidP="002E5BAD">
      <w:pPr>
        <w:ind w:left="360"/>
        <w:rPr>
          <w:u w:val="dotted"/>
        </w:rPr>
      </w:pPr>
      <w:r w:rsidRPr="003F6249">
        <w:rPr>
          <w:rFonts w:hint="cs"/>
          <w:u w:val="dotted"/>
          <w:rtl/>
        </w:rPr>
        <w:t xml:space="preserve">לדעת הרמב"ם וסיעתו </w:t>
      </w:r>
      <w:r w:rsidRPr="003F6249">
        <w:rPr>
          <w:u w:val="dotted"/>
          <w:rtl/>
        </w:rPr>
        <w:t>–</w:t>
      </w:r>
      <w:r w:rsidRPr="003F6249">
        <w:rPr>
          <w:rFonts w:hint="cs"/>
          <w:u w:val="dotted"/>
          <w:rtl/>
        </w:rPr>
        <w:t xml:space="preserve"> </w:t>
      </w:r>
      <w:r w:rsidRPr="009A15F4">
        <w:rPr>
          <w:rFonts w:hint="cs"/>
          <w:u w:val="dotted"/>
          <w:rtl/>
        </w:rPr>
        <w:t>מה הדין אם נתארסה מדעת היורשים:</w:t>
      </w:r>
    </w:p>
    <w:p w14:paraId="5674C867" w14:textId="77777777" w:rsidR="002E5BAD" w:rsidRPr="001B0B78" w:rsidRDefault="002E5BAD" w:rsidP="00B75458">
      <w:pPr>
        <w:pStyle w:val="ab"/>
        <w:numPr>
          <w:ilvl w:val="0"/>
          <w:numId w:val="195"/>
        </w:numPr>
      </w:pPr>
      <w:r w:rsidRPr="00B345A5">
        <w:rPr>
          <w:rFonts w:cs="Arial"/>
          <w:rtl/>
        </w:rPr>
        <w:t>רמ"ה</w:t>
      </w:r>
      <w:r>
        <w:rPr>
          <w:rFonts w:cs="Arial" w:hint="cs"/>
          <w:sz w:val="16"/>
          <w:szCs w:val="16"/>
          <w:rtl/>
        </w:rPr>
        <w:t xml:space="preserve"> (כ"כ הטור בשמו)</w:t>
      </w:r>
      <w:r>
        <w:rPr>
          <w:rFonts w:cs="Arial" w:hint="cs"/>
          <w:rtl/>
        </w:rPr>
        <w:t>-</w:t>
      </w:r>
      <w:r w:rsidRPr="00B345A5">
        <w:rPr>
          <w:rFonts w:cs="Arial"/>
          <w:rtl/>
        </w:rPr>
        <w:t xml:space="preserve"> ה"מ שלא נתארסה מדעת היורשים אבל נתארסה מדעת היורשים אית לה מזונות דלאו כל כמינייהו דיורשים להשיאה עצה להתארס דתפסיד מזוני ואי נמי נתארסה שלא מדעת יורשים וחזו בי דינא דליכא מאן דיהיב לה מזוני מלמדין אותה שתמאן ושקלה מזוני מאחי</w:t>
      </w:r>
      <w:r>
        <w:rPr>
          <w:rFonts w:cs="Arial" w:hint="cs"/>
          <w:rtl/>
        </w:rPr>
        <w:t>.</w:t>
      </w:r>
      <w:r w:rsidRPr="00B345A5">
        <w:rPr>
          <w:rFonts w:cs="Arial"/>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00B0F0"/>
          <w:rtl/>
        </w:rPr>
        <w:t>)</w:t>
      </w:r>
    </w:p>
    <w:p w14:paraId="5938FA66" w14:textId="77777777" w:rsidR="002E5BAD" w:rsidRDefault="002E5BAD" w:rsidP="002E5BAD">
      <w:pPr>
        <w:rPr>
          <w:rFonts w:cs="Arial"/>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רש"י)</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יש לה מזונות</w:t>
      </w:r>
      <w:r w:rsidRPr="000276D5">
        <w:rPr>
          <w:rStyle w:val="a7"/>
          <w:rFonts w:cs="Arial"/>
          <w:rtl/>
        </w:rPr>
        <w:footnoteReference w:id="2837"/>
      </w:r>
      <w:r w:rsidRPr="000276D5">
        <w:rPr>
          <w:rFonts w:cs="Arial"/>
          <w:rtl/>
        </w:rPr>
        <w:t xml:space="preserve"> או אין לה מזונות? </w:t>
      </w:r>
      <w:r w:rsidRPr="000276D5">
        <w:rPr>
          <w:rFonts w:cs="Arial"/>
          <w:u w:val="single"/>
          <w:rtl/>
        </w:rPr>
        <w:t>אמר ליה</w:t>
      </w:r>
      <w:r w:rsidRPr="000276D5">
        <w:rPr>
          <w:rFonts w:cs="Arial"/>
          <w:rtl/>
        </w:rPr>
        <w:t xml:space="preserve">: משמע לא שמיע לי, אלא מסברא לית לה, כיון דאירסה - לא ניחא ליה </w:t>
      </w:r>
      <w:r w:rsidRPr="000276D5">
        <w:rPr>
          <w:rFonts w:cs="Arial"/>
          <w:rtl/>
        </w:rPr>
        <w:lastRenderedPageBreak/>
        <w:t>דתיתזיל</w:t>
      </w:r>
      <w:r w:rsidRPr="000276D5">
        <w:rPr>
          <w:rStyle w:val="a7"/>
          <w:rFonts w:cs="Arial"/>
          <w:rtl/>
        </w:rPr>
        <w:footnoteReference w:id="2838"/>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w:t>
      </w:r>
      <w:r w:rsidRPr="000276D5">
        <w:rPr>
          <w:rStyle w:val="a7"/>
          <w:rFonts w:cs="Arial"/>
          <w:rtl/>
        </w:rPr>
        <w:footnoteReference w:id="2839"/>
      </w:r>
      <w:r w:rsidRPr="000276D5">
        <w:rPr>
          <w:rFonts w:cs="Arial"/>
          <w:rtl/>
        </w:rPr>
        <w:t>, מסברא אית לה</w:t>
      </w:r>
      <w:r w:rsidRPr="000276D5">
        <w:rPr>
          <w:rStyle w:val="a7"/>
          <w:rFonts w:cs="Arial"/>
          <w:rtl/>
        </w:rPr>
        <w:footnoteReference w:id="2840"/>
      </w:r>
      <w:r w:rsidRPr="000276D5">
        <w:rPr>
          <w:rFonts w:cs="Arial"/>
          <w:rtl/>
        </w:rPr>
        <w:t>, כיון דלא קים ליה בגוה</w:t>
      </w:r>
      <w:r w:rsidRPr="000276D5">
        <w:rPr>
          <w:rStyle w:val="a7"/>
          <w:rFonts w:cs="Arial"/>
          <w:rtl/>
        </w:rPr>
        <w:footnoteReference w:id="2841"/>
      </w:r>
      <w:r w:rsidRPr="000276D5">
        <w:rPr>
          <w:rFonts w:cs="Arial"/>
          <w:rtl/>
        </w:rPr>
        <w:t xml:space="preserve"> - לא שדי זוזי בכדי.</w:t>
      </w:r>
      <w:r w:rsidRPr="000276D5">
        <w:rPr>
          <w:rtl/>
        </w:rPr>
        <w:t xml:space="preserve"> </w:t>
      </w:r>
      <w:r w:rsidRPr="000276D5">
        <w:rPr>
          <w:rFonts w:cs="Arial" w:hint="cs"/>
          <w:sz w:val="16"/>
          <w:szCs w:val="16"/>
          <w:rtl/>
        </w:rPr>
        <w:t>(</w:t>
      </w:r>
      <w:r w:rsidRPr="000276D5">
        <w:rPr>
          <w:rFonts w:cs="Arial"/>
          <w:sz w:val="16"/>
          <w:szCs w:val="16"/>
          <w:rtl/>
        </w:rPr>
        <w:t>ואיכא</w:t>
      </w:r>
      <w:r w:rsidRPr="002D185C">
        <w:rPr>
          <w:rFonts w:cs="Arial"/>
          <w:sz w:val="16"/>
          <w:szCs w:val="16"/>
          <w:rtl/>
        </w:rPr>
        <w:t xml:space="preserve"> לישנא אחרינא איפכא</w:t>
      </w:r>
      <w:r>
        <w:rPr>
          <w:rStyle w:val="a7"/>
          <w:rFonts w:cs="Arial"/>
          <w:sz w:val="16"/>
          <w:szCs w:val="16"/>
          <w:rtl/>
        </w:rPr>
        <w:footnoteReference w:id="2842"/>
      </w:r>
      <w:r>
        <w:rPr>
          <w:rFonts w:cs="Arial" w:hint="cs"/>
          <w:sz w:val="16"/>
          <w:szCs w:val="16"/>
          <w:rtl/>
        </w:rPr>
        <w:t>,</w:t>
      </w:r>
      <w:r w:rsidRPr="002D185C">
        <w:rPr>
          <w:rFonts w:cs="Arial"/>
          <w:sz w:val="16"/>
          <w:szCs w:val="16"/>
          <w:rtl/>
        </w:rPr>
        <w:t xml:space="preserve"> זו היא גירסת </w:t>
      </w:r>
      <w:r w:rsidRPr="003622F0">
        <w:rPr>
          <w:rFonts w:cs="Arial"/>
          <w:sz w:val="16"/>
          <w:szCs w:val="16"/>
          <w:rtl/>
        </w:rPr>
        <w:t>רש"י</w:t>
      </w:r>
      <w:r>
        <w:rPr>
          <w:rFonts w:cs="Arial" w:hint="cs"/>
          <w:sz w:val="16"/>
          <w:szCs w:val="16"/>
          <w:rtl/>
        </w:rPr>
        <w:t>,</w:t>
      </w:r>
      <w:r w:rsidRPr="003622F0">
        <w:rPr>
          <w:rFonts w:cs="Arial"/>
          <w:sz w:val="16"/>
          <w:szCs w:val="16"/>
          <w:rtl/>
        </w:rPr>
        <w:t xml:space="preserve"> </w:t>
      </w:r>
      <w:r>
        <w:rPr>
          <w:rFonts w:cs="Arial" w:hint="cs"/>
          <w:sz w:val="16"/>
          <w:szCs w:val="16"/>
          <w:rtl/>
        </w:rPr>
        <w:t>ו</w:t>
      </w:r>
      <w:r w:rsidRPr="003622F0">
        <w:rPr>
          <w:rFonts w:cs="Arial"/>
          <w:sz w:val="16"/>
          <w:szCs w:val="16"/>
          <w:rtl/>
        </w:rPr>
        <w:t>מפרש לה ביתומה ארוסה אם ניזונת מן האחין</w:t>
      </w:r>
      <w:r>
        <w:rPr>
          <w:rFonts w:cs="Arial" w:hint="cs"/>
          <w:sz w:val="16"/>
          <w:szCs w:val="16"/>
          <w:rtl/>
        </w:rPr>
        <w:t>,</w:t>
      </w:r>
      <w:r w:rsidRPr="003622F0">
        <w:rPr>
          <w:rFonts w:cs="Arial"/>
          <w:sz w:val="16"/>
          <w:szCs w:val="16"/>
          <w:rtl/>
        </w:rPr>
        <w:t xml:space="preserve"> ולא שמיע ליה </w:t>
      </w:r>
      <w:r>
        <w:rPr>
          <w:rFonts w:cs="Arial" w:hint="cs"/>
          <w:sz w:val="14"/>
          <w:szCs w:val="14"/>
          <w:rtl/>
        </w:rPr>
        <w:t xml:space="preserve">{לרב חסדא וכו'} </w:t>
      </w:r>
      <w:r w:rsidRPr="003622F0">
        <w:rPr>
          <w:rFonts w:cs="Arial"/>
          <w:sz w:val="16"/>
          <w:szCs w:val="16"/>
          <w:rtl/>
        </w:rPr>
        <w:t>פלוגתא דהנך אמוראי אי נמי שמיע ליה ומבעיא ליה הילכתא כמאן</w:t>
      </w:r>
      <w:r>
        <w:rPr>
          <w:rFonts w:cs="Arial" w:hint="cs"/>
          <w:sz w:val="16"/>
          <w:szCs w:val="16"/>
          <w:rtl/>
        </w:rPr>
        <w:t>,</w:t>
      </w:r>
      <w:r w:rsidRPr="003622F0">
        <w:rPr>
          <w:rFonts w:cs="Arial"/>
          <w:sz w:val="16"/>
          <w:szCs w:val="16"/>
          <w:rtl/>
        </w:rPr>
        <w:t xml:space="preserve"> וקי"ל כלישנא בתראה דאמר מסברא לית לה והיינו כרב</w:t>
      </w:r>
      <w:r>
        <w:rPr>
          <w:rFonts w:cs="Arial" w:hint="cs"/>
          <w:sz w:val="16"/>
          <w:szCs w:val="16"/>
          <w:rtl/>
        </w:rPr>
        <w:t>...</w:t>
      </w:r>
      <w:r w:rsidRPr="00DA177B">
        <w:rPr>
          <w:rtl/>
        </w:rPr>
        <w:t xml:space="preserve"> </w:t>
      </w:r>
      <w:r w:rsidRPr="00DA177B">
        <w:rPr>
          <w:rFonts w:cs="Arial"/>
          <w:sz w:val="16"/>
          <w:szCs w:val="16"/>
          <w:rtl/>
        </w:rPr>
        <w:t>ופרש"י עיקר</w:t>
      </w:r>
      <w:r>
        <w:rPr>
          <w:rFonts w:cs="Arial" w:hint="cs"/>
          <w:sz w:val="16"/>
          <w:szCs w:val="16"/>
          <w:rtl/>
        </w:rPr>
        <w:t>, רא"ש (פ"ד סי' כו))</w:t>
      </w:r>
    </w:p>
    <w:p w14:paraId="79EAF2DE" w14:textId="77777777" w:rsidR="002E5BAD" w:rsidRPr="002D185C" w:rsidRDefault="002E5BAD" w:rsidP="002E5BAD">
      <w:pPr>
        <w:rPr>
          <w:rFonts w:cs="Arial"/>
          <w:sz w:val="16"/>
          <w:szCs w:val="16"/>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הרי"ף [ע"פ </w:t>
      </w:r>
      <w:r w:rsidRPr="00A37F89">
        <w:rPr>
          <w:rFonts w:cs="Arial" w:hint="cs"/>
          <w:b/>
          <w:bCs/>
          <w:sz w:val="16"/>
          <w:szCs w:val="16"/>
          <w:u w:val="dotted"/>
          <w:rtl/>
        </w:rPr>
        <w:t>רא"ש</w:t>
      </w:r>
      <w:r>
        <w:rPr>
          <w:rFonts w:cs="Arial" w:hint="cs"/>
          <w:b/>
          <w:bCs/>
          <w:sz w:val="16"/>
          <w:szCs w:val="16"/>
          <w:rtl/>
        </w:rPr>
        <w:t>])</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 xml:space="preserve">יש לה מזונות או אין לה מזונות? </w:t>
      </w:r>
      <w:r w:rsidRPr="000276D5">
        <w:rPr>
          <w:rFonts w:cs="Arial"/>
          <w:u w:val="single"/>
          <w:rtl/>
        </w:rPr>
        <w:t>אמר ליה</w:t>
      </w:r>
      <w:r w:rsidRPr="000276D5">
        <w:rPr>
          <w:rFonts w:cs="Arial"/>
          <w:rtl/>
        </w:rPr>
        <w:t>: משמע לא שמיע לי, מסברא אית לה, כיון דאירסה - לא ניחא ליה דתיתזיל</w:t>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 אלא מסברא לית לה, כיון דלא קים ליה בגוה - לא שדי זוזי בכדי</w:t>
      </w:r>
      <w:r w:rsidRPr="000276D5">
        <w:rPr>
          <w:rFonts w:cs="Arial" w:hint="cs"/>
          <w:rtl/>
        </w:rPr>
        <w:t xml:space="preserve">. </w:t>
      </w:r>
      <w:r w:rsidRPr="000276D5">
        <w:rPr>
          <w:rFonts w:cs="Arial" w:hint="cs"/>
          <w:sz w:val="16"/>
          <w:szCs w:val="16"/>
          <w:rtl/>
        </w:rPr>
        <w:t>(</w:t>
      </w:r>
      <w:r w:rsidRPr="000276D5">
        <w:rPr>
          <w:rFonts w:cs="Arial"/>
          <w:sz w:val="16"/>
          <w:szCs w:val="16"/>
          <w:rtl/>
        </w:rPr>
        <w:t>דהא לית לה מזוני מן האחים וקא פסקי רבנן הלכתא כי האי לישנא בתרא והני מילי לאחר י"ב חדש</w:t>
      </w:r>
      <w:r>
        <w:rPr>
          <w:rFonts w:cs="Arial" w:hint="cs"/>
          <w:sz w:val="16"/>
          <w:szCs w:val="16"/>
          <w:rtl/>
        </w:rPr>
        <w:t>, רי"ף (כ.).</w:t>
      </w:r>
      <w:r w:rsidRPr="000276D5">
        <w:rPr>
          <w:rFonts w:cs="Arial"/>
          <w:sz w:val="16"/>
          <w:szCs w:val="16"/>
          <w:rtl/>
        </w:rPr>
        <w:t xml:space="preserve"> </w:t>
      </w:r>
      <w:r w:rsidRPr="002D185C">
        <w:rPr>
          <w:rFonts w:cs="Arial"/>
          <w:sz w:val="16"/>
          <w:szCs w:val="16"/>
          <w:rtl/>
        </w:rPr>
        <w:t>ומפרש לה במארס יתומה הניזונת מן האחין</w:t>
      </w:r>
      <w:r>
        <w:rPr>
          <w:rFonts w:cs="Arial" w:hint="cs"/>
          <w:sz w:val="16"/>
          <w:szCs w:val="16"/>
          <w:rtl/>
        </w:rPr>
        <w:t>,</w:t>
      </w:r>
      <w:r w:rsidRPr="002D185C">
        <w:rPr>
          <w:rFonts w:cs="Arial"/>
          <w:sz w:val="16"/>
          <w:szCs w:val="16"/>
          <w:rtl/>
        </w:rPr>
        <w:t xml:space="preserve"> ומשום דידע ארוס דאחר שנתארסה אינה ניזונת מן האחין</w:t>
      </w:r>
      <w:r>
        <w:rPr>
          <w:rFonts w:cs="Arial" w:hint="cs"/>
          <w:sz w:val="16"/>
          <w:szCs w:val="16"/>
          <w:rtl/>
        </w:rPr>
        <w:t>,</w:t>
      </w:r>
      <w:r w:rsidRPr="002D185C">
        <w:rPr>
          <w:rFonts w:cs="Arial"/>
          <w:sz w:val="16"/>
          <w:szCs w:val="16"/>
          <w:rtl/>
        </w:rPr>
        <w:t xml:space="preserve"> דקי"ל כרב</w:t>
      </w:r>
      <w:r>
        <w:rPr>
          <w:rFonts w:cs="Arial" w:hint="cs"/>
          <w:sz w:val="16"/>
          <w:szCs w:val="16"/>
          <w:rtl/>
        </w:rPr>
        <w:t>,</w:t>
      </w:r>
      <w:r w:rsidRPr="002D185C">
        <w:rPr>
          <w:rFonts w:cs="Arial"/>
          <w:sz w:val="16"/>
          <w:szCs w:val="16"/>
          <w:rtl/>
        </w:rPr>
        <w:t xml:space="preserve"> מספקא ליה אי אירסה אדעתא דהכי שיזונה או לא</w:t>
      </w:r>
      <w:r>
        <w:rPr>
          <w:rFonts w:cs="Arial" w:hint="cs"/>
          <w:sz w:val="16"/>
          <w:szCs w:val="16"/>
          <w:rtl/>
        </w:rPr>
        <w:t>,</w:t>
      </w:r>
      <w:r w:rsidRPr="002D185C">
        <w:rPr>
          <w:rFonts w:cs="Arial"/>
          <w:sz w:val="16"/>
          <w:szCs w:val="16"/>
          <w:rtl/>
        </w:rPr>
        <w:t xml:space="preserve"> ופסק הלכה כלישנא בתראה דאית לה</w:t>
      </w:r>
      <w:r>
        <w:rPr>
          <w:rFonts w:cs="Arial" w:hint="cs"/>
          <w:sz w:val="16"/>
          <w:szCs w:val="16"/>
          <w:rtl/>
        </w:rPr>
        <w:t>, רא"ש (פ"ד סי' כו))</w:t>
      </w:r>
    </w:p>
    <w:p w14:paraId="45742A5B" w14:textId="77777777" w:rsidR="002E5BAD" w:rsidRPr="002D185C" w:rsidRDefault="002E5BAD" w:rsidP="002E5BAD">
      <w:pPr>
        <w:rPr>
          <w:rFonts w:cs="Arial"/>
          <w:sz w:val="16"/>
          <w:szCs w:val="16"/>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הרי"ף [ע"פ </w:t>
      </w:r>
      <w:r w:rsidRPr="00A37F89">
        <w:rPr>
          <w:rFonts w:cs="Arial" w:hint="cs"/>
          <w:b/>
          <w:bCs/>
          <w:sz w:val="16"/>
          <w:szCs w:val="16"/>
          <w:u w:val="dotted"/>
          <w:rtl/>
        </w:rPr>
        <w:t>ר"ן</w:t>
      </w:r>
      <w:r>
        <w:rPr>
          <w:rFonts w:cs="Arial" w:hint="cs"/>
          <w:b/>
          <w:bCs/>
          <w:sz w:val="16"/>
          <w:szCs w:val="16"/>
          <w:rtl/>
        </w:rPr>
        <w:t>])</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 xml:space="preserve">יש לה מזונות או אין לה מזונות? </w:t>
      </w:r>
      <w:r w:rsidRPr="000276D5">
        <w:rPr>
          <w:rFonts w:cs="Arial"/>
          <w:u w:val="single"/>
          <w:rtl/>
        </w:rPr>
        <w:t>אמר ליה</w:t>
      </w:r>
      <w:r w:rsidRPr="000276D5">
        <w:rPr>
          <w:rFonts w:cs="Arial"/>
          <w:rtl/>
        </w:rPr>
        <w:t>: משמע לא שמיע לי, אלא מסברא לית לה, כיון דלא קים ליה בגוה - לא שדי זוזי בכדי</w:t>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 מסברא אית לה, כיון דאירסה - לא ניחא ליה דתיתזיל</w:t>
      </w:r>
      <w:r w:rsidRPr="000276D5">
        <w:rPr>
          <w:rFonts w:cs="Arial" w:hint="cs"/>
          <w:rtl/>
        </w:rPr>
        <w:t xml:space="preserve">. </w:t>
      </w:r>
      <w:r w:rsidRPr="000276D5">
        <w:rPr>
          <w:rFonts w:cs="Arial" w:hint="cs"/>
          <w:sz w:val="16"/>
          <w:szCs w:val="16"/>
          <w:rtl/>
        </w:rPr>
        <w:t>(</w:t>
      </w:r>
      <w:r w:rsidRPr="00A37F89">
        <w:rPr>
          <w:rFonts w:cs="Arial"/>
          <w:sz w:val="16"/>
          <w:szCs w:val="16"/>
          <w:rtl/>
        </w:rPr>
        <w:t>כך נמצא בנוסחי הלכות מדויקות</w:t>
      </w:r>
      <w:r>
        <w:rPr>
          <w:rFonts w:cs="Arial" w:hint="cs"/>
          <w:sz w:val="16"/>
          <w:szCs w:val="16"/>
          <w:rtl/>
        </w:rPr>
        <w:t>,</w:t>
      </w:r>
      <w:r w:rsidRPr="00A37F89">
        <w:rPr>
          <w:rFonts w:cs="Arial"/>
          <w:sz w:val="16"/>
          <w:szCs w:val="16"/>
          <w:rtl/>
        </w:rPr>
        <w:t xml:space="preserve"> וה"פ דבארוסה שנתאלמנה עסקינן וכגון שכתב לה כתובה והגיע זמן בחיי הבעל וקא מיבעיא ליה אם יש לה מזונות מיורשי ארוס או לא ואסיקנא ללישנא בתרא דאית לה דכיון דארסה לא ניחא ליה דתתזיל ונזונת היא מנכסיו דכיון דאכלה בחיי הבעל אף לאחר מיתתו אוכלת דכל יומי מיגר אלמנותיך בביתי קרינא ביה ואף על גב דתנן אלמנה מן האירוסין אינה מוכרת אלא בב"ד מפני שאין לה מזונות ההיא כשלא הגיע זמן אבל הגיע זמן בהדיא אשכחן בירושלמי ובתוספתא שניזונית היא לאחר מיתתו מנכסיו</w:t>
      </w:r>
      <w:r>
        <w:rPr>
          <w:rFonts w:cs="Arial" w:hint="cs"/>
          <w:sz w:val="14"/>
          <w:szCs w:val="14"/>
          <w:rtl/>
        </w:rPr>
        <w:t xml:space="preserve"> {כך פירש הרי"ף}</w:t>
      </w:r>
      <w:r>
        <w:rPr>
          <w:rFonts w:cs="Arial" w:hint="cs"/>
          <w:sz w:val="16"/>
          <w:szCs w:val="16"/>
          <w:rtl/>
        </w:rPr>
        <w:t>.</w:t>
      </w:r>
      <w:r w:rsidRPr="00A37F89">
        <w:rPr>
          <w:rtl/>
        </w:rPr>
        <w:t xml:space="preserve"> </w:t>
      </w:r>
      <w:r w:rsidRPr="00A37F89">
        <w:rPr>
          <w:rFonts w:cs="Arial"/>
          <w:sz w:val="16"/>
          <w:szCs w:val="16"/>
          <w:rtl/>
        </w:rPr>
        <w:t>והנגיד ז"ל פירשה דיתומה שנתארסה קמיבעיא ליה אם יש לה מזונות מן הארוס אפילו לא הגיע זמן נמי אמרינן דכי בעי הגיע זמן ה"מ בשנתארסה בחיי האב דלא מפסדא מזוני משום ארוס דהא אין האב חייב במזונות בתו אבל יתומה דקי"ל דמפסדא מזוני מן האחין מי אמרינן דכיון דמפסדא מזוני משום לתא דארוס אית לה מן האירוסין או דילמא ל"ש</w:t>
      </w:r>
      <w:r>
        <w:rPr>
          <w:rFonts w:cs="Arial" w:hint="cs"/>
          <w:sz w:val="16"/>
          <w:szCs w:val="16"/>
          <w:rtl/>
        </w:rPr>
        <w:t>.</w:t>
      </w:r>
      <w:r w:rsidRPr="00A37F89">
        <w:rPr>
          <w:rFonts w:cs="Arial"/>
          <w:sz w:val="16"/>
          <w:szCs w:val="16"/>
          <w:rtl/>
        </w:rPr>
        <w:t xml:space="preserve"> ואסיקנא ללישנא בתרא דאית לה דכיון דארסה לא ניחא ליה דתתזיל</w:t>
      </w:r>
      <w:r>
        <w:rPr>
          <w:rFonts w:cs="Arial" w:hint="cs"/>
          <w:sz w:val="16"/>
          <w:szCs w:val="16"/>
          <w:rtl/>
        </w:rPr>
        <w:t>.</w:t>
      </w:r>
      <w:r w:rsidRPr="00A37F89">
        <w:rPr>
          <w:rFonts w:cs="Arial"/>
          <w:sz w:val="16"/>
          <w:szCs w:val="16"/>
          <w:rtl/>
        </w:rPr>
        <w:t xml:space="preserve"> וכלשון הזה כתב הרמב"ם בפי"ט מהל' אישות</w:t>
      </w:r>
      <w:r>
        <w:rPr>
          <w:rFonts w:cs="Arial" w:hint="cs"/>
          <w:sz w:val="16"/>
          <w:szCs w:val="16"/>
          <w:rtl/>
        </w:rPr>
        <w:t>, ר"ן (כ.))</w:t>
      </w:r>
    </w:p>
    <w:p w14:paraId="1489BAB4" w14:textId="77777777" w:rsidR="002E5BAD" w:rsidRPr="008B0555" w:rsidRDefault="002E5BAD" w:rsidP="002E5BAD">
      <w:pPr>
        <w:rPr>
          <w:sz w:val="16"/>
          <w:szCs w:val="16"/>
        </w:rPr>
      </w:pPr>
      <w:r w:rsidRPr="00B94D84">
        <w:rPr>
          <w:rFonts w:hint="cs"/>
          <w:u w:val="single"/>
          <w:rtl/>
        </w:rPr>
        <w:t>לדעת הרמב"ם וסיעתו</w:t>
      </w:r>
      <w:r>
        <w:rPr>
          <w:rFonts w:hint="cs"/>
          <w:u w:val="single"/>
          <w:rtl/>
        </w:rPr>
        <w:t xml:space="preserve"> </w:t>
      </w:r>
      <w:r>
        <w:rPr>
          <w:rFonts w:hint="cs"/>
          <w:sz w:val="16"/>
          <w:szCs w:val="16"/>
          <w:u w:val="single"/>
          <w:rtl/>
        </w:rPr>
        <w:t>(</w:t>
      </w:r>
      <w:r w:rsidRPr="00B94D84">
        <w:rPr>
          <w:rFonts w:hint="cs"/>
          <w:sz w:val="16"/>
          <w:szCs w:val="16"/>
          <w:u w:val="single"/>
          <w:rtl/>
        </w:rPr>
        <w:t>דלעיל)</w:t>
      </w:r>
      <w:r w:rsidRPr="00B94D84">
        <w:rPr>
          <w:rFonts w:hint="cs"/>
          <w:u w:val="single"/>
          <w:rtl/>
        </w:rPr>
        <w:t xml:space="preserve"> </w:t>
      </w:r>
      <w:r w:rsidRPr="00B94D84">
        <w:rPr>
          <w:u w:val="single"/>
          <w:rtl/>
        </w:rPr>
        <w:t>–</w:t>
      </w:r>
      <w:r w:rsidRPr="00B94D84">
        <w:rPr>
          <w:rFonts w:hint="cs"/>
          <w:u w:val="single"/>
          <w:rtl/>
        </w:rPr>
        <w:t xml:space="preserve"> האם הארוס חייב במזונות</w:t>
      </w:r>
      <w:r>
        <w:rPr>
          <w:rFonts w:hint="cs"/>
          <w:u w:val="single"/>
          <w:rtl/>
        </w:rPr>
        <w:t xml:space="preserve"> ארוסתו הקטנה</w:t>
      </w:r>
      <w:r w:rsidRPr="00B94D84">
        <w:rPr>
          <w:rFonts w:hint="cs"/>
          <w:u w:val="single"/>
          <w:rtl/>
        </w:rPr>
        <w:t>:</w:t>
      </w:r>
      <w:r>
        <w:rPr>
          <w:rFonts w:hint="cs"/>
          <w:rtl/>
        </w:rPr>
        <w:t xml:space="preserve">  </w:t>
      </w:r>
      <w:r>
        <w:rPr>
          <w:rFonts w:hint="cs"/>
          <w:sz w:val="16"/>
          <w:szCs w:val="16"/>
          <w:rtl/>
        </w:rPr>
        <w:t>(דין זה מובא בסי' נה סע' ד)</w:t>
      </w:r>
    </w:p>
    <w:p w14:paraId="02CC5679" w14:textId="77777777" w:rsidR="002E5BAD" w:rsidRDefault="002E5BAD" w:rsidP="00B75458">
      <w:pPr>
        <w:pStyle w:val="ab"/>
        <w:numPr>
          <w:ilvl w:val="0"/>
          <w:numId w:val="195"/>
        </w:numPr>
      </w:pPr>
      <w:r>
        <w:rPr>
          <w:rFonts w:cs="Arial" w:hint="cs"/>
          <w:rtl/>
        </w:rPr>
        <w:t xml:space="preserve">רש"י </w:t>
      </w:r>
      <w:r>
        <w:rPr>
          <w:rFonts w:cs="Arial" w:hint="cs"/>
          <w:sz w:val="16"/>
          <w:szCs w:val="16"/>
          <w:rtl/>
        </w:rPr>
        <w:t xml:space="preserve">(לפי גירסתו, וכ"כ הרא"ש בשמו) </w:t>
      </w:r>
      <w:r>
        <w:rPr>
          <w:rFonts w:cs="Arial" w:hint="cs"/>
          <w:rtl/>
        </w:rPr>
        <w:t xml:space="preserve">ורא"ש </w:t>
      </w:r>
      <w:r>
        <w:rPr>
          <w:rFonts w:cs="Arial" w:hint="cs"/>
          <w:sz w:val="16"/>
          <w:szCs w:val="16"/>
          <w:rtl/>
        </w:rPr>
        <w:t>(פ"ד סי' כו, הביאו הטור בסי' נה)</w:t>
      </w:r>
      <w:r>
        <w:rPr>
          <w:rFonts w:cs="Arial" w:hint="cs"/>
          <w:rtl/>
        </w:rPr>
        <w:t>- אין הארוס חייב במזונותיה</w:t>
      </w:r>
      <w:r>
        <w:rPr>
          <w:rStyle w:val="a7"/>
          <w:rFonts w:cs="Arial"/>
          <w:rtl/>
        </w:rPr>
        <w:footnoteReference w:id="2843"/>
      </w:r>
      <w:r>
        <w:rPr>
          <w:rFonts w:cs="Arial" w:hint="cs"/>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E36C0A" w:themeColor="accent6" w:themeShade="BF"/>
          <w:sz w:val="16"/>
          <w:szCs w:val="16"/>
          <w:rtl/>
        </w:rPr>
        <w:t xml:space="preserve"> </w:t>
      </w:r>
      <w:r w:rsidRPr="003F6249">
        <w:rPr>
          <w:rFonts w:hint="cs"/>
          <w:color w:val="000000" w:themeColor="text1"/>
          <w:sz w:val="16"/>
          <w:szCs w:val="16"/>
          <w:rtl/>
        </w:rPr>
        <w:t>[בסי' נה ס"ד]</w:t>
      </w:r>
      <w:r w:rsidRPr="003F6249">
        <w:rPr>
          <w:rFonts w:hint="cs"/>
          <w:color w:val="00B0F0"/>
          <w:rtl/>
        </w:rPr>
        <w:t>)</w:t>
      </w:r>
    </w:p>
    <w:p w14:paraId="741E1394" w14:textId="77777777" w:rsidR="002E5BAD" w:rsidRPr="00B345A5" w:rsidRDefault="002E5BAD" w:rsidP="00B75458">
      <w:pPr>
        <w:pStyle w:val="ab"/>
        <w:numPr>
          <w:ilvl w:val="0"/>
          <w:numId w:val="195"/>
        </w:numPr>
        <w:rPr>
          <w:rtl/>
        </w:rPr>
      </w:pPr>
      <w:r>
        <w:rPr>
          <w:rFonts w:cs="Arial" w:hint="cs"/>
          <w:rtl/>
        </w:rPr>
        <w:t xml:space="preserve">רי"ף </w:t>
      </w:r>
      <w:r>
        <w:rPr>
          <w:rFonts w:cs="Arial" w:hint="cs"/>
          <w:sz w:val="16"/>
          <w:szCs w:val="16"/>
          <w:rtl/>
        </w:rPr>
        <w:t>(כ., לפי גי' הרא"ש בדבריו)</w:t>
      </w:r>
      <w:r>
        <w:rPr>
          <w:rFonts w:cs="Arial" w:hint="cs"/>
          <w:rtl/>
        </w:rPr>
        <w:t xml:space="preserve"> הנגיד</w:t>
      </w:r>
      <w:r>
        <w:rPr>
          <w:rStyle w:val="a7"/>
          <w:rFonts w:cs="Arial"/>
          <w:rtl/>
        </w:rPr>
        <w:footnoteReference w:id="2844"/>
      </w:r>
      <w:r>
        <w:rPr>
          <w:rFonts w:cs="Arial" w:hint="cs"/>
          <w:sz w:val="16"/>
          <w:szCs w:val="16"/>
          <w:rtl/>
        </w:rPr>
        <w:t xml:space="preserve"> (כ"כ בשמו הה"מ [</w:t>
      </w:r>
      <w:r w:rsidRPr="000F4A99">
        <w:rPr>
          <w:rFonts w:cs="Arial" w:hint="cs"/>
          <w:sz w:val="16"/>
          <w:szCs w:val="16"/>
          <w:rtl/>
        </w:rPr>
        <w:t>פי"ט ה</w:t>
      </w:r>
      <w:r>
        <w:rPr>
          <w:rFonts w:cs="Arial" w:hint="cs"/>
          <w:sz w:val="16"/>
          <w:szCs w:val="16"/>
          <w:rtl/>
        </w:rPr>
        <w:t>ט"ו] והר"ן [כ.])</w:t>
      </w:r>
      <w:r>
        <w:rPr>
          <w:rFonts w:cs="Arial" w:hint="cs"/>
          <w:rtl/>
        </w:rPr>
        <w:t xml:space="preserve"> ורמב"ם </w:t>
      </w:r>
      <w:r w:rsidRPr="000F4A99">
        <w:rPr>
          <w:rFonts w:cs="Arial" w:hint="cs"/>
          <w:sz w:val="16"/>
          <w:szCs w:val="16"/>
          <w:rtl/>
        </w:rPr>
        <w:t>(פי"ט מאישות ה</w:t>
      </w:r>
      <w:r>
        <w:rPr>
          <w:rFonts w:cs="Arial" w:hint="cs"/>
          <w:sz w:val="16"/>
          <w:szCs w:val="16"/>
          <w:rtl/>
        </w:rPr>
        <w:t>ט"ו</w:t>
      </w:r>
      <w:r w:rsidRPr="000F4A99">
        <w:rPr>
          <w:rFonts w:cs="Arial" w:hint="cs"/>
          <w:sz w:val="16"/>
          <w:szCs w:val="16"/>
          <w:rtl/>
        </w:rPr>
        <w:t>)</w:t>
      </w:r>
      <w:r>
        <w:rPr>
          <w:rFonts w:cs="Arial" w:hint="cs"/>
          <w:rtl/>
        </w:rPr>
        <w:t xml:space="preserve">- </w:t>
      </w:r>
      <w:r w:rsidRPr="001B0B78">
        <w:rPr>
          <w:rFonts w:cs="Arial"/>
          <w:rtl/>
        </w:rPr>
        <w:t>המארס בת הניזונת מן האחין חייב במזונותיה משעת האירוסין, שהרי אין לה מזונות מאחיה משנתארסה</w:t>
      </w:r>
      <w:r>
        <w:rPr>
          <w:rFonts w:cs="Arial" w:hint="cs"/>
          <w:rtl/>
        </w:rPr>
        <w:t>,</w:t>
      </w:r>
      <w:r w:rsidRPr="001B0B78">
        <w:rPr>
          <w:rFonts w:cs="Arial"/>
          <w:rtl/>
        </w:rPr>
        <w:t xml:space="preserve"> ואינה בוגרת כדי שתזון עצמה אלא קטנה או נערה</w:t>
      </w:r>
      <w:r>
        <w:rPr>
          <w:rFonts w:cs="Arial" w:hint="cs"/>
          <w:rtl/>
        </w:rPr>
        <w:t>,</w:t>
      </w:r>
      <w:r w:rsidRPr="001B0B78">
        <w:rPr>
          <w:rFonts w:cs="Arial"/>
          <w:rtl/>
        </w:rPr>
        <w:t xml:space="preserve"> ואין אדם רוצה שתתבזה ארוסתו ותלך ותשאל על הפתחים</w:t>
      </w:r>
      <w:r>
        <w:rPr>
          <w:rStyle w:val="a7"/>
          <w:rFonts w:cs="Arial"/>
          <w:rtl/>
        </w:rPr>
        <w:footnoteReference w:id="2845"/>
      </w:r>
      <w:r>
        <w:rPr>
          <w:rFonts w:cs="Arial" w:hint="cs"/>
          <w:sz w:val="16"/>
          <w:szCs w:val="16"/>
          <w:rtl/>
        </w:rPr>
        <w:t xml:space="preserve"> (ל' הרמב"ם)</w:t>
      </w:r>
      <w:r w:rsidRPr="001B0B78">
        <w:rPr>
          <w:rFonts w:cs="Arial"/>
          <w:rtl/>
        </w:rPr>
        <w:t>.</w:t>
      </w:r>
      <w:r w:rsidRPr="00840BEB">
        <w:rPr>
          <w:rFonts w:hint="cs"/>
          <w:color w:val="E36C0A" w:themeColor="accent6" w:themeShade="BF"/>
          <w:rtl/>
        </w:rPr>
        <w:t xml:space="preserve"> </w:t>
      </w:r>
      <w:r w:rsidRPr="00F011B0">
        <w:rPr>
          <w:rFonts w:hint="cs"/>
          <w:color w:val="E36C0A" w:themeColor="accent6" w:themeShade="BF"/>
          <w:rtl/>
        </w:rPr>
        <w:t>(וכ"פ בשו"ע</w:t>
      </w:r>
      <w:r>
        <w:rPr>
          <w:rFonts w:hint="cs"/>
          <w:color w:val="E36C0A" w:themeColor="accent6" w:themeShade="BF"/>
          <w:sz w:val="16"/>
          <w:szCs w:val="16"/>
          <w:rtl/>
        </w:rPr>
        <w:t xml:space="preserve"> </w:t>
      </w:r>
      <w:r w:rsidRPr="003F6249">
        <w:rPr>
          <w:rFonts w:hint="cs"/>
          <w:color w:val="000000" w:themeColor="text1"/>
          <w:sz w:val="16"/>
          <w:szCs w:val="16"/>
          <w:rtl/>
        </w:rPr>
        <w:t>[כאן</w:t>
      </w:r>
      <w:r>
        <w:rPr>
          <w:rFonts w:hint="cs"/>
          <w:color w:val="000000" w:themeColor="text1"/>
          <w:sz w:val="16"/>
          <w:szCs w:val="16"/>
          <w:rtl/>
        </w:rPr>
        <w:t>,</w:t>
      </w:r>
      <w:r w:rsidRPr="003F6249">
        <w:rPr>
          <w:rFonts w:hint="cs"/>
          <w:color w:val="000000" w:themeColor="text1"/>
          <w:sz w:val="16"/>
          <w:szCs w:val="16"/>
          <w:rtl/>
        </w:rPr>
        <w:t xml:space="preserve"> ובסי' נה ס"ד]</w:t>
      </w:r>
      <w:r w:rsidRPr="00F011B0">
        <w:rPr>
          <w:rFonts w:hint="cs"/>
          <w:color w:val="E36C0A" w:themeColor="accent6" w:themeShade="BF"/>
          <w:rtl/>
        </w:rPr>
        <w:t>)</w:t>
      </w:r>
    </w:p>
    <w:p w14:paraId="40E21AB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28ACE3" w14:textId="77777777" w:rsidR="002E5BAD" w:rsidRDefault="002E5BAD" w:rsidP="002E5BAD">
      <w:pPr>
        <w:rPr>
          <w:rFonts w:cs="Arial"/>
          <w:rtl/>
        </w:rPr>
      </w:pPr>
      <w:r w:rsidRPr="00523CDE">
        <w:rPr>
          <w:rFonts w:cs="Arial"/>
          <w:rtl/>
        </w:rPr>
        <w:t xml:space="preserve">נתארסה בעודה קטנה, איבדה מזונות מן האחין והארוס חייב במזונותיה. </w:t>
      </w:r>
      <w:r w:rsidRPr="00621C37">
        <w:rPr>
          <w:rFonts w:cs="Arial"/>
          <w:sz w:val="18"/>
          <w:szCs w:val="18"/>
          <w:rtl/>
        </w:rPr>
        <w:t>הגה: וי"א דלא אבדה מזונות אלא כשתתארס משהיא נערה (כ"כ המ"מ בשם ר"ח ורשב"א). ויש אומרים דוקא שנתארסה מעצמה</w:t>
      </w:r>
      <w:r>
        <w:rPr>
          <w:rStyle w:val="a7"/>
          <w:rFonts w:cs="Arial"/>
          <w:sz w:val="18"/>
          <w:szCs w:val="18"/>
          <w:rtl/>
        </w:rPr>
        <w:footnoteReference w:id="2846"/>
      </w:r>
      <w:r w:rsidRPr="00621C37">
        <w:rPr>
          <w:rFonts w:cs="Arial"/>
          <w:sz w:val="18"/>
          <w:szCs w:val="18"/>
          <w:rtl/>
        </w:rPr>
        <w:t>, אבל נתארסה מדעת אחיה לא אבדה מזונות (טור בשם הרמ"ה).</w:t>
      </w:r>
      <w:r w:rsidRPr="00523CDE">
        <w:rPr>
          <w:rFonts w:cs="Arial"/>
          <w:rtl/>
        </w:rPr>
        <w:t xml:space="preserve"> </w:t>
      </w:r>
    </w:p>
    <w:p w14:paraId="5C7D4D57" w14:textId="77777777" w:rsidR="002E5BAD" w:rsidRPr="00523CDE" w:rsidRDefault="002E5BAD" w:rsidP="002E5BAD">
      <w:pPr>
        <w:rPr>
          <w:rFonts w:cs="Arial"/>
          <w:rtl/>
        </w:rPr>
      </w:pPr>
    </w:p>
    <w:p w14:paraId="4E0CEA61" w14:textId="77777777" w:rsidR="002E5BAD" w:rsidRDefault="002E5BAD" w:rsidP="002E5BAD">
      <w:pPr>
        <w:pStyle w:val="2"/>
        <w:rPr>
          <w:rtl/>
        </w:rPr>
      </w:pPr>
      <w:r w:rsidRPr="00523CDE">
        <w:rPr>
          <w:rtl/>
        </w:rPr>
        <w:lastRenderedPageBreak/>
        <w:t>סעיף ד</w:t>
      </w:r>
      <w:r>
        <w:rPr>
          <w:rFonts w:hint="cs"/>
          <w:rtl/>
        </w:rPr>
        <w:t>:</w:t>
      </w:r>
      <w:r w:rsidRPr="003B21C9">
        <w:rPr>
          <w:rFonts w:cs="Arial"/>
          <w:rtl/>
        </w:rPr>
        <w:t xml:space="preserve"> </w:t>
      </w:r>
      <w:r w:rsidRPr="00B345A5">
        <w:rPr>
          <w:rFonts w:cs="Arial"/>
          <w:rtl/>
        </w:rPr>
        <w:t>קטנה שהשיאוה</w:t>
      </w:r>
      <w:r>
        <w:rPr>
          <w:rFonts w:hint="cs"/>
          <w:rtl/>
        </w:rPr>
        <w:t xml:space="preserve"> ומיאנה/נתגרשה/נתאלמנה.</w:t>
      </w:r>
    </w:p>
    <w:p w14:paraId="60887B08" w14:textId="77777777" w:rsidR="002E5BAD" w:rsidRPr="00405406" w:rsidRDefault="002E5BAD" w:rsidP="002E5BAD">
      <w:pPr>
        <w:rPr>
          <w:rtl/>
        </w:rPr>
      </w:pPr>
      <w:r w:rsidRPr="00B14D69">
        <w:rPr>
          <w:rFonts w:cs="Arial" w:hint="cs"/>
          <w:b/>
          <w:bCs/>
          <w:rtl/>
        </w:rPr>
        <w:t xml:space="preserve">כתובות </w:t>
      </w:r>
      <w:r w:rsidRPr="00B14D69">
        <w:rPr>
          <w:rFonts w:cs="Arial" w:hint="cs"/>
          <w:b/>
          <w:bCs/>
          <w:sz w:val="16"/>
          <w:szCs w:val="16"/>
          <w:rtl/>
        </w:rPr>
        <w:t>(ס"פ</w:t>
      </w:r>
      <w:r w:rsidRPr="00B14D69">
        <w:rPr>
          <w:rFonts w:cs="Arial"/>
          <w:b/>
          <w:bCs/>
          <w:sz w:val="16"/>
          <w:szCs w:val="16"/>
          <w:rtl/>
        </w:rPr>
        <w:t xml:space="preserve"> נערה שנתפתתה</w:t>
      </w:r>
      <w:r w:rsidRPr="00B14D69">
        <w:rPr>
          <w:rFonts w:cs="Arial" w:hint="cs"/>
          <w:b/>
          <w:bCs/>
          <w:sz w:val="16"/>
          <w:szCs w:val="16"/>
          <w:rtl/>
        </w:rPr>
        <w:t>)</w:t>
      </w:r>
      <w:r w:rsidRPr="00B14D69">
        <w:rPr>
          <w:rFonts w:cs="Arial"/>
          <w:b/>
          <w:bCs/>
          <w:rtl/>
        </w:rPr>
        <w:t xml:space="preserve"> </w:t>
      </w:r>
      <w:r w:rsidRPr="00B14D69">
        <w:rPr>
          <w:rFonts w:cs="Arial" w:hint="cs"/>
          <w:b/>
          <w:bCs/>
          <w:rtl/>
        </w:rPr>
        <w:t>נג ע"ב</w:t>
      </w:r>
      <w:r>
        <w:rPr>
          <w:rFonts w:cs="Arial" w:hint="cs"/>
          <w:b/>
          <w:bCs/>
          <w:rtl/>
        </w:rPr>
        <w:t>:</w:t>
      </w:r>
      <w:r w:rsidRPr="00B14D69">
        <w:rPr>
          <w:rtl/>
        </w:rPr>
        <w:t xml:space="preserve"> </w:t>
      </w:r>
      <w:r w:rsidRPr="00B14D69">
        <w:rPr>
          <w:rFonts w:cs="Arial"/>
          <w:u w:val="single"/>
          <w:rtl/>
        </w:rPr>
        <w:t>בעו מיניה מרב ששת</w:t>
      </w:r>
      <w:r w:rsidRPr="00B14D69">
        <w:rPr>
          <w:rFonts w:cs="Arial"/>
          <w:rtl/>
        </w:rPr>
        <w:t>: ממאנת</w:t>
      </w:r>
      <w:r>
        <w:rPr>
          <w:rStyle w:val="a7"/>
          <w:rFonts w:cs="Arial"/>
          <w:rtl/>
        </w:rPr>
        <w:footnoteReference w:id="2847"/>
      </w:r>
      <w:r w:rsidRPr="00B14D69">
        <w:rPr>
          <w:rFonts w:cs="Arial"/>
          <w:rtl/>
        </w:rPr>
        <w:t>, יש לה מזונות</w:t>
      </w:r>
      <w:r>
        <w:rPr>
          <w:rStyle w:val="a7"/>
          <w:rFonts w:cs="Arial"/>
          <w:rtl/>
        </w:rPr>
        <w:footnoteReference w:id="2848"/>
      </w:r>
      <w:r w:rsidRPr="00B14D69">
        <w:rPr>
          <w:rFonts w:cs="Arial"/>
          <w:rtl/>
        </w:rPr>
        <w:t xml:space="preserve"> או אין לה מזונות? </w:t>
      </w:r>
      <w:r w:rsidRPr="00B14D69">
        <w:rPr>
          <w:rFonts w:cs="Arial"/>
          <w:u w:val="single"/>
          <w:rtl/>
        </w:rPr>
        <w:t>אמר להו רב ששת</w:t>
      </w:r>
      <w:r>
        <w:rPr>
          <w:rFonts w:cs="Arial" w:hint="cs"/>
          <w:rtl/>
        </w:rPr>
        <w:t>:</w:t>
      </w:r>
      <w:r w:rsidRPr="00B14D69">
        <w:rPr>
          <w:rFonts w:cs="Arial"/>
          <w:rtl/>
        </w:rPr>
        <w:t xml:space="preserve"> תניתוה</w:t>
      </w:r>
      <w:r>
        <w:rPr>
          <w:rFonts w:cs="Arial" w:hint="cs"/>
          <w:rtl/>
        </w:rPr>
        <w:t>,</w:t>
      </w:r>
      <w:r w:rsidRPr="00B14D69">
        <w:rPr>
          <w:rFonts w:cs="Arial"/>
          <w:rtl/>
        </w:rPr>
        <w:t xml:space="preserve"> אלמנה בבית אביה</w:t>
      </w:r>
      <w:r>
        <w:rPr>
          <w:rStyle w:val="a7"/>
          <w:rFonts w:cs="Arial"/>
          <w:rtl/>
        </w:rPr>
        <w:footnoteReference w:id="2849"/>
      </w:r>
      <w:r w:rsidRPr="00B14D69">
        <w:rPr>
          <w:rFonts w:cs="Arial"/>
          <w:rtl/>
        </w:rPr>
        <w:t>, וגרושה בבית אביה, ושומרת יבם בבית אביה - יש לה מזונות</w:t>
      </w:r>
      <w:r>
        <w:rPr>
          <w:rFonts w:cs="Arial" w:hint="cs"/>
          <w:rtl/>
        </w:rPr>
        <w:t>.</w:t>
      </w:r>
      <w:r w:rsidRPr="00B14D69">
        <w:rPr>
          <w:rFonts w:cs="Arial"/>
          <w:rtl/>
        </w:rPr>
        <w:t xml:space="preserve"> </w:t>
      </w:r>
      <w:r w:rsidRPr="00B14D69">
        <w:rPr>
          <w:rFonts w:cs="Arial"/>
          <w:u w:val="single"/>
          <w:rtl/>
        </w:rPr>
        <w:t>רבי יהודה אומר</w:t>
      </w:r>
      <w:r w:rsidRPr="00B14D69">
        <w:rPr>
          <w:rFonts w:cs="Arial"/>
          <w:rtl/>
        </w:rPr>
        <w:t>: עודה בבית אביה - יש לה מזונות, אינה בבית אביה - אין לה מזונות</w:t>
      </w:r>
      <w:r>
        <w:rPr>
          <w:rFonts w:cs="Arial" w:hint="cs"/>
          <w:rtl/>
        </w:rPr>
        <w:t>.</w:t>
      </w:r>
      <w:r w:rsidRPr="00B14D69">
        <w:rPr>
          <w:rFonts w:cs="Arial"/>
          <w:rtl/>
        </w:rPr>
        <w:t xml:space="preserve"> רבי יהודה היינו ת"ק! אלא לאו ממאנת איכא בינייהו, דתנא קמא סבר: אית לה</w:t>
      </w:r>
      <w:r>
        <w:rPr>
          <w:rStyle w:val="a7"/>
          <w:rFonts w:cs="Arial"/>
          <w:rtl/>
        </w:rPr>
        <w:footnoteReference w:id="2850"/>
      </w:r>
      <w:r w:rsidRPr="00B14D69">
        <w:rPr>
          <w:rFonts w:cs="Arial"/>
          <w:rtl/>
        </w:rPr>
        <w:t>, ורבי יהודה סבר: לית לה.</w:t>
      </w:r>
      <w:r>
        <w:rPr>
          <w:rFonts w:hint="cs"/>
          <w:rtl/>
        </w:rPr>
        <w:t xml:space="preserve"> </w:t>
      </w:r>
      <w:r w:rsidRPr="00405406">
        <w:rPr>
          <w:rFonts w:hint="cs"/>
          <w:sz w:val="16"/>
          <w:szCs w:val="16"/>
          <w:rtl/>
        </w:rPr>
        <w:t>(</w:t>
      </w:r>
      <w:r w:rsidRPr="00405406">
        <w:rPr>
          <w:rFonts w:cs="Arial"/>
          <w:sz w:val="16"/>
          <w:szCs w:val="16"/>
          <w:rtl/>
        </w:rPr>
        <w:t>וידוע דהלכה כת"ק וכן פסקו הפוסקים</w:t>
      </w:r>
      <w:r>
        <w:rPr>
          <w:rFonts w:cs="Arial" w:hint="cs"/>
          <w:sz w:val="16"/>
          <w:szCs w:val="16"/>
          <w:rtl/>
        </w:rPr>
        <w:t>, ב"י)</w:t>
      </w:r>
    </w:p>
    <w:p w14:paraId="6EE4BC0B" w14:textId="77777777" w:rsidR="002E5BAD" w:rsidRPr="003B21C9" w:rsidRDefault="002E5BAD" w:rsidP="002E5BAD">
      <w:pPr>
        <w:rPr>
          <w:u w:val="single"/>
          <w:rtl/>
        </w:rPr>
      </w:pPr>
      <w:r w:rsidRPr="003B21C9">
        <w:rPr>
          <w:rFonts w:cs="Arial"/>
          <w:u w:val="single"/>
          <w:rtl/>
        </w:rPr>
        <w:t>קטנה שהשיאוה</w:t>
      </w:r>
      <w:r w:rsidRPr="003B21C9">
        <w:rPr>
          <w:rFonts w:hint="cs"/>
          <w:u w:val="single"/>
          <w:rtl/>
        </w:rPr>
        <w:t xml:space="preserve"> ומיאנה/נתגרשה/נתאלמנה:</w:t>
      </w:r>
    </w:p>
    <w:p w14:paraId="580EDF8A" w14:textId="77777777" w:rsidR="002E5BAD" w:rsidRPr="00C44D14" w:rsidRDefault="002E5BAD" w:rsidP="00B75458">
      <w:pPr>
        <w:pStyle w:val="ab"/>
        <w:numPr>
          <w:ilvl w:val="0"/>
          <w:numId w:val="195"/>
        </w:numPr>
      </w:pPr>
      <w:r>
        <w:rPr>
          <w:rFonts w:cs="Arial" w:hint="cs"/>
          <w:rtl/>
        </w:rPr>
        <w:t xml:space="preserve">טור- </w:t>
      </w:r>
      <w:r w:rsidRPr="00B345A5">
        <w:rPr>
          <w:rFonts w:cs="Arial"/>
          <w:rtl/>
        </w:rPr>
        <w:t>קטנה שהשיאוה האחין</w:t>
      </w:r>
      <w:r>
        <w:rPr>
          <w:rFonts w:cs="Arial" w:hint="cs"/>
          <w:rtl/>
        </w:rPr>
        <w:t>,</w:t>
      </w:r>
      <w:r w:rsidRPr="00B345A5">
        <w:rPr>
          <w:rFonts w:cs="Arial"/>
          <w:rtl/>
        </w:rPr>
        <w:t xml:space="preserve"> ומיאנה</w:t>
      </w:r>
      <w:r>
        <w:rPr>
          <w:rFonts w:cs="Arial" w:hint="cs"/>
          <w:rtl/>
        </w:rPr>
        <w:t xml:space="preserve"> -</w:t>
      </w:r>
      <w:r w:rsidRPr="00B345A5">
        <w:rPr>
          <w:rFonts w:cs="Arial"/>
          <w:rtl/>
        </w:rPr>
        <w:t xml:space="preserve"> יש לה מזונות</w:t>
      </w:r>
      <w:r>
        <w:rPr>
          <w:rFonts w:cs="Arial" w:hint="cs"/>
          <w:rtl/>
        </w:rPr>
        <w:t>.</w:t>
      </w:r>
      <w:r w:rsidRPr="00B345A5">
        <w:rPr>
          <w:rFonts w:cs="Arial"/>
          <w:rtl/>
        </w:rPr>
        <w:t xml:space="preserve"> ארסה אביה</w:t>
      </w:r>
      <w:r>
        <w:rPr>
          <w:rFonts w:cs="Arial" w:hint="cs"/>
          <w:rtl/>
        </w:rPr>
        <w:t>,</w:t>
      </w:r>
      <w:r w:rsidRPr="00B345A5">
        <w:rPr>
          <w:rFonts w:cs="Arial"/>
          <w:rtl/>
        </w:rPr>
        <w:t xml:space="preserve"> ונתגרשה מן האירוסין</w:t>
      </w:r>
      <w:r>
        <w:rPr>
          <w:rFonts w:cs="Arial" w:hint="cs"/>
          <w:rtl/>
        </w:rPr>
        <w:t>,</w:t>
      </w:r>
      <w:r w:rsidRPr="00B345A5">
        <w:rPr>
          <w:rFonts w:cs="Arial"/>
          <w:rtl/>
        </w:rPr>
        <w:t xml:space="preserve"> ומת</w:t>
      </w:r>
      <w:r>
        <w:rPr>
          <w:rFonts w:cs="Arial" w:hint="cs"/>
          <w:rtl/>
        </w:rPr>
        <w:t xml:space="preserve"> -</w:t>
      </w:r>
      <w:r w:rsidRPr="00B345A5">
        <w:rPr>
          <w:rFonts w:cs="Arial"/>
          <w:rtl/>
        </w:rPr>
        <w:t xml:space="preserve"> יש לה מזונות</w:t>
      </w:r>
      <w:r>
        <w:rPr>
          <w:rFonts w:cs="Arial" w:hint="cs"/>
          <w:rtl/>
        </w:rPr>
        <w:t>.</w:t>
      </w:r>
      <w:r w:rsidRPr="00B345A5">
        <w:rPr>
          <w:rFonts w:cs="Arial"/>
          <w:rtl/>
        </w:rPr>
        <w:t xml:space="preserve"> וכן נתאלמנה מן האירוסין אפילו היא שומרת יבם </w:t>
      </w:r>
      <w:r>
        <w:rPr>
          <w:rFonts w:cs="Arial" w:hint="cs"/>
          <w:rtl/>
        </w:rPr>
        <w:t xml:space="preserve">- </w:t>
      </w:r>
      <w:r w:rsidRPr="00B345A5">
        <w:rPr>
          <w:rFonts w:cs="Arial"/>
          <w:rtl/>
        </w:rPr>
        <w:t>יש לה מזונות</w:t>
      </w:r>
      <w:r>
        <w:rPr>
          <w:rFonts w:cs="Arial" w:hint="cs"/>
          <w:rtl/>
        </w:rPr>
        <w:t>.</w:t>
      </w:r>
      <w:r>
        <w:rPr>
          <w:rFonts w:hint="cs"/>
          <w:rtl/>
        </w:rPr>
        <w:t xml:space="preserve"> </w:t>
      </w:r>
      <w:r w:rsidRPr="009F066B">
        <w:rPr>
          <w:rFonts w:hint="cs"/>
          <w:color w:val="00B0F0"/>
          <w:rtl/>
        </w:rPr>
        <w:t>(וכ"פ הרמ"א)</w:t>
      </w:r>
    </w:p>
    <w:p w14:paraId="4DA2A08D" w14:textId="77777777" w:rsidR="002E5BAD" w:rsidRPr="00C44D14" w:rsidRDefault="002E5BAD" w:rsidP="00B75458">
      <w:pPr>
        <w:pStyle w:val="ab"/>
        <w:numPr>
          <w:ilvl w:val="0"/>
          <w:numId w:val="195"/>
        </w:numPr>
      </w:pPr>
      <w:r w:rsidRPr="00C44D14">
        <w:rPr>
          <w:rFonts w:cs="Arial"/>
          <w:rtl/>
        </w:rPr>
        <w:t xml:space="preserve">רמב"ם </w:t>
      </w:r>
      <w:r w:rsidRPr="00C44D14">
        <w:rPr>
          <w:rFonts w:cs="Arial" w:hint="cs"/>
          <w:sz w:val="16"/>
          <w:szCs w:val="16"/>
          <w:rtl/>
        </w:rPr>
        <w:t>(</w:t>
      </w:r>
      <w:r w:rsidRPr="00C44D14">
        <w:rPr>
          <w:rFonts w:cs="Arial"/>
          <w:sz w:val="16"/>
          <w:szCs w:val="16"/>
          <w:rtl/>
        </w:rPr>
        <w:t>פי"ט הט"ז)</w:t>
      </w:r>
      <w:r>
        <w:rPr>
          <w:rFonts w:cs="Arial" w:hint="cs"/>
          <w:rtl/>
        </w:rPr>
        <w:t>-</w:t>
      </w:r>
      <w:r w:rsidRPr="00C44D14">
        <w:rPr>
          <w:rFonts w:cs="Arial"/>
          <w:rtl/>
        </w:rPr>
        <w:t xml:space="preserve"> נשאת</w:t>
      </w:r>
      <w:r>
        <w:rPr>
          <w:rStyle w:val="a7"/>
          <w:rFonts w:cs="Arial"/>
          <w:rtl/>
        </w:rPr>
        <w:footnoteReference w:id="2851"/>
      </w:r>
      <w:r w:rsidRPr="00C44D14">
        <w:rPr>
          <w:rFonts w:cs="Arial"/>
          <w:rtl/>
        </w:rPr>
        <w:t xml:space="preserve"> הבת ומיאנה או נתגרשה או נתאלמנה אפילו היא שומרת יבם הואיל וחזרה לבית אביה ועדיין לא בגרה </w:t>
      </w:r>
      <w:r>
        <w:rPr>
          <w:rFonts w:cs="Arial" w:hint="cs"/>
          <w:rtl/>
        </w:rPr>
        <w:t xml:space="preserve">- </w:t>
      </w:r>
      <w:r w:rsidRPr="00C44D14">
        <w:rPr>
          <w:rFonts w:cs="Arial"/>
          <w:rtl/>
        </w:rPr>
        <w:t>הרי זו נזונת מנכסי אביה עד שתבגור או עד שתתארס</w:t>
      </w:r>
      <w:r>
        <w:rPr>
          <w:rFonts w:cs="Arial" w:hint="cs"/>
          <w:rtl/>
        </w:rPr>
        <w:t>.</w:t>
      </w:r>
      <w:r w:rsidRPr="00C44D14">
        <w:rPr>
          <w:rFonts w:cs="Arial"/>
          <w:rtl/>
        </w:rPr>
        <w:t xml:space="preserve"> </w:t>
      </w:r>
      <w:r w:rsidRPr="009F066B">
        <w:rPr>
          <w:rFonts w:hint="cs"/>
          <w:color w:val="E36C0A" w:themeColor="accent6" w:themeShade="BF"/>
          <w:rtl/>
        </w:rPr>
        <w:t>(וכ"פ בשו"ע)</w:t>
      </w:r>
    </w:p>
    <w:p w14:paraId="72F61EE1" w14:textId="77777777" w:rsidR="002E5BAD" w:rsidRPr="00C44D14" w:rsidRDefault="002E5BAD" w:rsidP="002E5BAD">
      <w:pPr>
        <w:ind w:left="360"/>
        <w:rPr>
          <w:u w:val="dotted"/>
        </w:rPr>
      </w:pPr>
      <w:r w:rsidRPr="00C44D14">
        <w:rPr>
          <w:rFonts w:cs="Arial" w:hint="cs"/>
          <w:u w:val="dotted"/>
          <w:rtl/>
        </w:rPr>
        <w:t>ומה הדין אם מת אביה קודם שנתאלמנה/נתגרשה:</w:t>
      </w:r>
      <w:r w:rsidRPr="00C44D14">
        <w:rPr>
          <w:rFonts w:cs="Arial"/>
          <w:u w:val="dotted"/>
          <w:rtl/>
        </w:rPr>
        <w:t xml:space="preserve"> </w:t>
      </w:r>
    </w:p>
    <w:p w14:paraId="670B9FE3" w14:textId="77777777" w:rsidR="002E5BAD" w:rsidRDefault="002E5BAD" w:rsidP="00B75458">
      <w:pPr>
        <w:pStyle w:val="ab"/>
        <w:numPr>
          <w:ilvl w:val="0"/>
          <w:numId w:val="195"/>
        </w:numPr>
      </w:pPr>
      <w:r>
        <w:rPr>
          <w:rFonts w:cs="Arial" w:hint="cs"/>
          <w:rtl/>
        </w:rPr>
        <w:t xml:space="preserve">רא"ש </w:t>
      </w:r>
      <w:r>
        <w:rPr>
          <w:rFonts w:cs="Arial" w:hint="cs"/>
          <w:sz w:val="16"/>
          <w:szCs w:val="16"/>
          <w:rtl/>
        </w:rPr>
        <w:t xml:space="preserve">(כ"כ הטור בשמו) </w:t>
      </w:r>
      <w:r>
        <w:rPr>
          <w:rFonts w:cs="Arial" w:hint="cs"/>
          <w:rtl/>
        </w:rPr>
        <w:t>ו</w:t>
      </w:r>
      <w:r>
        <w:rPr>
          <w:rFonts w:cs="Arial"/>
          <w:rtl/>
        </w:rPr>
        <w:t xml:space="preserve">ר"ן </w:t>
      </w:r>
      <w:r w:rsidRPr="00C44D14">
        <w:rPr>
          <w:rFonts w:cs="Arial"/>
          <w:sz w:val="16"/>
          <w:szCs w:val="16"/>
          <w:rtl/>
        </w:rPr>
        <w:t>(כ. דיבור ראשון)</w:t>
      </w:r>
      <w:r>
        <w:rPr>
          <w:rFonts w:cs="Arial" w:hint="cs"/>
          <w:rtl/>
        </w:rPr>
        <w:t>-</w:t>
      </w:r>
      <w:r w:rsidRPr="00B345A5">
        <w:rPr>
          <w:rFonts w:cs="Arial"/>
          <w:rtl/>
        </w:rPr>
        <w:t xml:space="preserve"> דוקא נתאלמנה או נתגרשה בחיי אביה שבשעת מיתת האב היתה ברשותו</w:t>
      </w:r>
      <w:r>
        <w:rPr>
          <w:rFonts w:cs="Arial" w:hint="cs"/>
          <w:rtl/>
        </w:rPr>
        <w:t>,</w:t>
      </w:r>
      <w:r w:rsidRPr="00B345A5">
        <w:rPr>
          <w:rFonts w:cs="Arial"/>
          <w:rtl/>
        </w:rPr>
        <w:t xml:space="preserve"> אבל אם נתארסה בחייו ונתגרשה או נתאלמנה אחרי מותו שבשעת מיתת אביה לא היתה ברשותו אין לה מזונות</w:t>
      </w:r>
      <w:r>
        <w:rPr>
          <w:rFonts w:cs="Arial" w:hint="cs"/>
          <w:sz w:val="16"/>
          <w:szCs w:val="16"/>
          <w:rtl/>
        </w:rPr>
        <w:t xml:space="preserve"> (ל' הטור בשם הרא"ש)</w:t>
      </w:r>
      <w:r>
        <w:rPr>
          <w:rFonts w:cs="Arial" w:hint="cs"/>
          <w:rtl/>
        </w:rPr>
        <w:t>.</w:t>
      </w:r>
      <w:r w:rsidRPr="00B345A5">
        <w:rPr>
          <w:rFonts w:cs="Arial"/>
          <w:rtl/>
        </w:rPr>
        <w:t xml:space="preserve"> </w:t>
      </w:r>
      <w:r w:rsidRPr="009F066B">
        <w:rPr>
          <w:rFonts w:hint="cs"/>
          <w:color w:val="00B0F0"/>
          <w:rtl/>
        </w:rPr>
        <w:t>(וכ"פ הרמ"א)</w:t>
      </w:r>
    </w:p>
    <w:p w14:paraId="4401B4EF" w14:textId="77777777" w:rsidR="002E5BAD" w:rsidRPr="009F066B" w:rsidRDefault="002E5BAD" w:rsidP="002E5BAD">
      <w:pPr>
        <w:rPr>
          <w:u w:val="single"/>
        </w:rPr>
      </w:pPr>
      <w:r w:rsidRPr="009F066B">
        <w:rPr>
          <w:rFonts w:hint="cs"/>
          <w:u w:val="single"/>
          <w:rtl/>
        </w:rPr>
        <w:t>בתה של הממאנת</w:t>
      </w:r>
      <w:r>
        <w:rPr>
          <w:rFonts w:hint="cs"/>
          <w:u w:val="single"/>
          <w:rtl/>
        </w:rPr>
        <w:t xml:space="preserve"> </w:t>
      </w:r>
      <w:r>
        <w:rPr>
          <w:u w:val="single"/>
          <w:rtl/>
        </w:rPr>
        <w:t>–</w:t>
      </w:r>
      <w:r>
        <w:rPr>
          <w:rFonts w:hint="cs"/>
          <w:u w:val="single"/>
          <w:rtl/>
        </w:rPr>
        <w:t xml:space="preserve"> האם יש לה מזונות</w:t>
      </w:r>
      <w:r w:rsidRPr="009F066B">
        <w:rPr>
          <w:rFonts w:hint="cs"/>
          <w:u w:val="single"/>
          <w:rtl/>
        </w:rPr>
        <w:t>:</w:t>
      </w:r>
    </w:p>
    <w:p w14:paraId="10871D21" w14:textId="77777777" w:rsidR="002E5BAD" w:rsidRPr="00B93D0C" w:rsidRDefault="002E5BAD" w:rsidP="00B75458">
      <w:pPr>
        <w:pStyle w:val="ab"/>
        <w:numPr>
          <w:ilvl w:val="0"/>
          <w:numId w:val="195"/>
        </w:numPr>
      </w:pPr>
      <w:r w:rsidRPr="00C44D14">
        <w:rPr>
          <w:rFonts w:cs="Arial"/>
          <w:rtl/>
        </w:rPr>
        <w:t xml:space="preserve">רמב"ם </w:t>
      </w:r>
      <w:r w:rsidRPr="00C44D14">
        <w:rPr>
          <w:rFonts w:cs="Arial" w:hint="cs"/>
          <w:sz w:val="16"/>
          <w:szCs w:val="16"/>
          <w:rtl/>
        </w:rPr>
        <w:t>(</w:t>
      </w:r>
      <w:r w:rsidRPr="00C44D14">
        <w:rPr>
          <w:rFonts w:cs="Arial"/>
          <w:sz w:val="16"/>
          <w:szCs w:val="16"/>
          <w:rtl/>
        </w:rPr>
        <w:t>פי"ט ה</w:t>
      </w:r>
      <w:r>
        <w:rPr>
          <w:rFonts w:cs="Arial" w:hint="cs"/>
          <w:sz w:val="16"/>
          <w:szCs w:val="16"/>
          <w:rtl/>
        </w:rPr>
        <w:t>י"ד</w:t>
      </w:r>
      <w:r w:rsidRPr="00B93D0C">
        <w:rPr>
          <w:rFonts w:cs="Arial"/>
          <w:sz w:val="16"/>
          <w:szCs w:val="16"/>
          <w:rtl/>
        </w:rPr>
        <w:t>)</w:t>
      </w:r>
      <w:r w:rsidRPr="00B93D0C">
        <w:rPr>
          <w:rFonts w:cs="Arial" w:hint="cs"/>
          <w:rtl/>
        </w:rPr>
        <w:t>-</w:t>
      </w:r>
      <w:r w:rsidRPr="00B93D0C">
        <w:rPr>
          <w:rFonts w:cs="Arial"/>
          <w:rtl/>
        </w:rPr>
        <w:t xml:space="preserve"> בת הממאנת</w:t>
      </w:r>
      <w:r>
        <w:rPr>
          <w:rStyle w:val="a7"/>
          <w:rFonts w:cs="Arial"/>
          <w:rtl/>
        </w:rPr>
        <w:footnoteReference w:id="2852"/>
      </w:r>
      <w:r w:rsidRPr="00B93D0C">
        <w:rPr>
          <w:rFonts w:cs="Arial"/>
          <w:rtl/>
        </w:rPr>
        <w:t xml:space="preserve"> הרי היא כשאר הבנות ויש לה מזונות</w:t>
      </w:r>
      <w:r>
        <w:rPr>
          <w:rFonts w:cs="Arial" w:hint="cs"/>
          <w:rtl/>
        </w:rPr>
        <w:t>...</w:t>
      </w:r>
      <w:r w:rsidRPr="00B93D0C">
        <w:rPr>
          <w:rFonts w:cs="Arial"/>
          <w:rtl/>
        </w:rPr>
        <w:t xml:space="preserve">. </w:t>
      </w:r>
    </w:p>
    <w:p w14:paraId="2A752879" w14:textId="77777777" w:rsidR="002E5BAD" w:rsidRPr="00B345A5" w:rsidRDefault="002E5BAD" w:rsidP="00B75458">
      <w:pPr>
        <w:pStyle w:val="ab"/>
        <w:numPr>
          <w:ilvl w:val="0"/>
          <w:numId w:val="195"/>
        </w:numPr>
        <w:rPr>
          <w:rtl/>
        </w:rPr>
      </w:pPr>
      <w:r>
        <w:rPr>
          <w:rFonts w:cs="Arial" w:hint="cs"/>
          <w:rtl/>
        </w:rPr>
        <w:t xml:space="preserve">ראב"ד </w:t>
      </w:r>
      <w:r>
        <w:rPr>
          <w:rFonts w:cs="Arial" w:hint="cs"/>
          <w:sz w:val="16"/>
          <w:szCs w:val="16"/>
          <w:rtl/>
        </w:rPr>
        <w:t>(שם בהשגות)</w:t>
      </w:r>
      <w:r w:rsidRPr="009F066B">
        <w:rPr>
          <w:rFonts w:cs="Arial"/>
          <w:rtl/>
        </w:rPr>
        <w:t xml:space="preserve"> </w:t>
      </w:r>
      <w:r>
        <w:rPr>
          <w:rFonts w:cs="Arial"/>
          <w:rtl/>
        </w:rPr>
        <w:t xml:space="preserve">ור"ן </w:t>
      </w:r>
      <w:r w:rsidRPr="009F066B">
        <w:rPr>
          <w:rFonts w:cs="Arial"/>
          <w:sz w:val="16"/>
          <w:szCs w:val="16"/>
          <w:rtl/>
        </w:rPr>
        <w:t>(שם)</w:t>
      </w:r>
      <w:r>
        <w:rPr>
          <w:rFonts w:cs="Arial" w:hint="cs"/>
          <w:rtl/>
        </w:rPr>
        <w:t xml:space="preserve">- </w:t>
      </w:r>
      <w:r w:rsidRPr="00B93D0C">
        <w:rPr>
          <w:rFonts w:cs="Arial"/>
          <w:rtl/>
        </w:rPr>
        <w:t>מה שאינו כתב, בת הממאנת, אין לה לא בת ולא בן</w:t>
      </w:r>
      <w:r>
        <w:rPr>
          <w:rStyle w:val="a7"/>
          <w:rFonts w:cs="Arial"/>
          <w:rtl/>
        </w:rPr>
        <w:footnoteReference w:id="2853"/>
      </w:r>
      <w:r>
        <w:rPr>
          <w:rFonts w:cs="Arial" w:hint="cs"/>
          <w:rtl/>
        </w:rPr>
        <w:t>,</w:t>
      </w:r>
      <w:r w:rsidRPr="00B93D0C">
        <w:rPr>
          <w:rFonts w:cs="Arial"/>
          <w:rtl/>
        </w:rPr>
        <w:t xml:space="preserve"> ולא שאלו עליה אלא על עצמה אם תחזור לבית אביה אם יש לה מזונות מן האחים או לא ופשטו לה שיש לה</w:t>
      </w:r>
      <w:r>
        <w:rPr>
          <w:rFonts w:cs="Arial" w:hint="cs"/>
          <w:sz w:val="16"/>
          <w:szCs w:val="16"/>
          <w:rtl/>
        </w:rPr>
        <w:t xml:space="preserve"> (ל' הראב"ד)</w:t>
      </w:r>
      <w:r w:rsidRPr="00B93D0C">
        <w:rPr>
          <w:rFonts w:cs="Arial"/>
          <w:rtl/>
        </w:rPr>
        <w:t xml:space="preserve">. </w:t>
      </w:r>
    </w:p>
    <w:p w14:paraId="6B9E673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EBCC0E" w14:textId="77777777" w:rsidR="002E5BAD" w:rsidRDefault="002E5BAD" w:rsidP="002E5BAD">
      <w:pPr>
        <w:rPr>
          <w:rFonts w:cs="Arial"/>
          <w:rtl/>
        </w:rPr>
      </w:pPr>
      <w:r w:rsidRPr="00523CDE">
        <w:rPr>
          <w:rFonts w:cs="Arial"/>
          <w:rtl/>
        </w:rPr>
        <w:t xml:space="preserve">נשאת הבת, או מיאנה או נתגרשה או נתאלמנה, אפילו היא שומרת יבם, הואיל וחזרה לבית אביה ועדיין לא בגרה, הרי זו נזונית מנכסי אביה עד שתבגר או עד שתתארס. </w:t>
      </w:r>
      <w:r w:rsidRPr="00621C37">
        <w:rPr>
          <w:rFonts w:cs="Arial"/>
          <w:sz w:val="18"/>
          <w:szCs w:val="18"/>
          <w:rtl/>
        </w:rPr>
        <w:t>הגה: וי"א דוקא מן האירוסין, אבל משנשאת שוב אין לה מזונות (טור). וי"א עוד דוקא בחיי אביה</w:t>
      </w:r>
      <w:r>
        <w:rPr>
          <w:rStyle w:val="a7"/>
          <w:rFonts w:cs="Arial"/>
          <w:sz w:val="18"/>
          <w:szCs w:val="18"/>
          <w:rtl/>
        </w:rPr>
        <w:footnoteReference w:id="2854"/>
      </w:r>
      <w:r w:rsidRPr="00621C37">
        <w:rPr>
          <w:rFonts w:cs="Arial"/>
          <w:sz w:val="18"/>
          <w:szCs w:val="18"/>
          <w:rtl/>
        </w:rPr>
        <w:t>, דכשמת אביה היתה ברשותו, אבל לאחר מיתת אביה אבדה מזונות מיד שנתארסה (טור בשם הרא"ש), וכן נראה עיקר.</w:t>
      </w:r>
    </w:p>
    <w:p w14:paraId="0F000BC8" w14:textId="77777777" w:rsidR="002E5BAD" w:rsidRPr="0094552B" w:rsidRDefault="002E5BAD" w:rsidP="002E5BAD">
      <w:pPr>
        <w:rPr>
          <w:rFonts w:cs="Arial"/>
          <w:u w:val="single"/>
          <w:rtl/>
        </w:rPr>
      </w:pPr>
      <w:r w:rsidRPr="0094552B">
        <w:rPr>
          <w:rFonts w:cs="Arial"/>
          <w:u w:val="single"/>
          <w:rtl/>
        </w:rPr>
        <w:t>נתארסה כשהיא נערה אחר מיתת אביה ונתגרשה בעודה נערה</w:t>
      </w:r>
      <w:r>
        <w:rPr>
          <w:rFonts w:cs="Arial" w:hint="cs"/>
          <w:u w:val="single"/>
          <w:rtl/>
        </w:rPr>
        <w:t xml:space="preserve"> </w:t>
      </w:r>
      <w:r>
        <w:rPr>
          <w:rFonts w:cs="Arial"/>
          <w:u w:val="single"/>
          <w:rtl/>
        </w:rPr>
        <w:t>–</w:t>
      </w:r>
      <w:r>
        <w:rPr>
          <w:rFonts w:cs="Arial" w:hint="cs"/>
          <w:u w:val="single"/>
          <w:rtl/>
        </w:rPr>
        <w:t xml:space="preserve"> האם</w:t>
      </w:r>
      <w:r w:rsidRPr="0094552B">
        <w:rPr>
          <w:rFonts w:cs="Arial"/>
          <w:u w:val="single"/>
          <w:rtl/>
        </w:rPr>
        <w:t xml:space="preserve"> יש לה מזונות</w:t>
      </w:r>
      <w:r w:rsidRPr="0094552B">
        <w:rPr>
          <w:rFonts w:cs="Arial" w:hint="cs"/>
          <w:u w:val="single"/>
          <w:rtl/>
        </w:rPr>
        <w:t>:</w:t>
      </w:r>
    </w:p>
    <w:p w14:paraId="0FD0B134" w14:textId="77777777" w:rsidR="002E5BAD" w:rsidRDefault="002E5BAD" w:rsidP="00B75458">
      <w:pPr>
        <w:pStyle w:val="ab"/>
        <w:numPr>
          <w:ilvl w:val="0"/>
          <w:numId w:val="198"/>
        </w:numPr>
        <w:rPr>
          <w:rFonts w:cs="Arial"/>
        </w:rPr>
      </w:pPr>
      <w:r w:rsidRPr="0094552B">
        <w:rPr>
          <w:rFonts w:cs="Arial"/>
          <w:rtl/>
        </w:rPr>
        <w:lastRenderedPageBreak/>
        <w:t>פרישה</w:t>
      </w:r>
      <w:r>
        <w:rPr>
          <w:rFonts w:cs="Arial" w:hint="cs"/>
          <w:sz w:val="16"/>
          <w:szCs w:val="16"/>
          <w:rtl/>
        </w:rPr>
        <w:t xml:space="preserve"> </w:t>
      </w:r>
      <w:r w:rsidRPr="0094552B">
        <w:rPr>
          <w:rFonts w:cs="Arial" w:hint="cs"/>
          <w:sz w:val="16"/>
          <w:szCs w:val="16"/>
          <w:rtl/>
        </w:rPr>
        <w:t>(</w:t>
      </w:r>
      <w:r>
        <w:rPr>
          <w:rFonts w:cs="Arial" w:hint="cs"/>
          <w:sz w:val="16"/>
          <w:szCs w:val="16"/>
          <w:rtl/>
        </w:rPr>
        <w:t>כ"כ בשמו הב"ש [</w:t>
      </w:r>
      <w:r w:rsidRPr="0094552B">
        <w:rPr>
          <w:rFonts w:cs="Arial" w:hint="cs"/>
          <w:sz w:val="16"/>
          <w:szCs w:val="16"/>
          <w:rtl/>
        </w:rPr>
        <w:t>סק"ט</w:t>
      </w:r>
      <w:r>
        <w:rPr>
          <w:rFonts w:cs="Arial" w:hint="cs"/>
          <w:sz w:val="16"/>
          <w:szCs w:val="16"/>
          <w:rtl/>
        </w:rPr>
        <w:t>]</w:t>
      </w:r>
      <w:r w:rsidRPr="0094552B">
        <w:rPr>
          <w:rFonts w:cs="Arial" w:hint="cs"/>
          <w:sz w:val="16"/>
          <w:szCs w:val="16"/>
          <w:rtl/>
        </w:rPr>
        <w:t>)</w:t>
      </w:r>
      <w:r>
        <w:rPr>
          <w:rFonts w:cs="Arial" w:hint="cs"/>
          <w:rtl/>
        </w:rPr>
        <w:t>-</w:t>
      </w:r>
      <w:r w:rsidRPr="0094552B">
        <w:rPr>
          <w:rFonts w:cs="Arial"/>
          <w:rtl/>
        </w:rPr>
        <w:t xml:space="preserve"> אם נתארסה כשהיא נערה אחר מיתת אביה ונתגרשה בעודה נערה יש לה מזונות דכיון משמת אביה היה לה שיעבוד וחוב על האחין אע</w:t>
      </w:r>
      <w:r>
        <w:rPr>
          <w:rFonts w:cs="Arial" w:hint="cs"/>
          <w:rtl/>
        </w:rPr>
        <w:t>"</w:t>
      </w:r>
      <w:r w:rsidRPr="0094552B">
        <w:rPr>
          <w:rFonts w:cs="Arial"/>
          <w:rtl/>
        </w:rPr>
        <w:t>ג דפקע לה משנתארסה מ"מ כיון שנתגרשה חזרה לזכותה דומה לקטנה שנישאת כשמיאנה בנשואין חזרה למזונות</w:t>
      </w:r>
      <w:r>
        <w:rPr>
          <w:rFonts w:cs="Arial" w:hint="cs"/>
          <w:sz w:val="16"/>
          <w:szCs w:val="16"/>
          <w:rtl/>
        </w:rPr>
        <w:t xml:space="preserve"> (ל' הב"ש בשמו)</w:t>
      </w:r>
      <w:r>
        <w:rPr>
          <w:rFonts w:cs="Arial" w:hint="cs"/>
          <w:rtl/>
        </w:rPr>
        <w:t>.</w:t>
      </w:r>
      <w:r w:rsidRPr="0094552B">
        <w:rPr>
          <w:rFonts w:cs="Arial"/>
          <w:rtl/>
        </w:rPr>
        <w:t xml:space="preserve"> </w:t>
      </w:r>
    </w:p>
    <w:p w14:paraId="542ADE8C" w14:textId="77777777" w:rsidR="002E5BAD" w:rsidRPr="004C49EE" w:rsidRDefault="002E5BAD" w:rsidP="00B75458">
      <w:pPr>
        <w:pStyle w:val="ab"/>
        <w:numPr>
          <w:ilvl w:val="0"/>
          <w:numId w:val="198"/>
        </w:numPr>
        <w:rPr>
          <w:rFonts w:cs="Arial"/>
          <w:rtl/>
        </w:rPr>
      </w:pPr>
      <w:r w:rsidRPr="0094552B">
        <w:rPr>
          <w:rFonts w:cs="Arial"/>
          <w:rtl/>
        </w:rPr>
        <w:t>ט"ז</w:t>
      </w:r>
      <w:r>
        <w:rPr>
          <w:rFonts w:cs="Arial" w:hint="cs"/>
          <w:rtl/>
        </w:rPr>
        <w:t xml:space="preserve"> </w:t>
      </w:r>
      <w:r w:rsidRPr="0094552B">
        <w:rPr>
          <w:rFonts w:cs="Arial" w:hint="cs"/>
          <w:sz w:val="16"/>
          <w:szCs w:val="16"/>
          <w:rtl/>
        </w:rPr>
        <w:t>(</w:t>
      </w:r>
      <w:r>
        <w:rPr>
          <w:rFonts w:cs="Arial" w:hint="cs"/>
          <w:sz w:val="16"/>
          <w:szCs w:val="16"/>
          <w:rtl/>
        </w:rPr>
        <w:t>כ"כ בשמו הב"ש [</w:t>
      </w:r>
      <w:r w:rsidRPr="0094552B">
        <w:rPr>
          <w:rFonts w:cs="Arial" w:hint="cs"/>
          <w:sz w:val="16"/>
          <w:szCs w:val="16"/>
          <w:rtl/>
        </w:rPr>
        <w:t>סק"ט</w:t>
      </w:r>
      <w:r>
        <w:rPr>
          <w:rFonts w:cs="Arial" w:hint="cs"/>
          <w:sz w:val="16"/>
          <w:szCs w:val="16"/>
          <w:rtl/>
        </w:rPr>
        <w:t>]</w:t>
      </w:r>
      <w:r w:rsidRPr="0094552B">
        <w:rPr>
          <w:rFonts w:cs="Arial" w:hint="cs"/>
          <w:sz w:val="16"/>
          <w:szCs w:val="16"/>
          <w:rtl/>
        </w:rPr>
        <w:t>)</w:t>
      </w:r>
      <w:r>
        <w:rPr>
          <w:rFonts w:cs="Arial" w:hint="cs"/>
          <w:rtl/>
        </w:rPr>
        <w:t>-</w:t>
      </w:r>
      <w:r w:rsidRPr="0094552B">
        <w:rPr>
          <w:rFonts w:cs="Arial"/>
          <w:rtl/>
        </w:rPr>
        <w:t xml:space="preserve"> ל</w:t>
      </w:r>
      <w:r>
        <w:rPr>
          <w:rFonts w:cs="Arial" w:hint="cs"/>
          <w:rtl/>
        </w:rPr>
        <w:t xml:space="preserve">א </w:t>
      </w:r>
      <w:r w:rsidRPr="0094552B">
        <w:rPr>
          <w:rFonts w:cs="Arial"/>
          <w:rtl/>
        </w:rPr>
        <w:t>ד</w:t>
      </w:r>
      <w:r>
        <w:rPr>
          <w:rFonts w:cs="Arial" w:hint="cs"/>
          <w:rtl/>
        </w:rPr>
        <w:t>מי</w:t>
      </w:r>
      <w:r w:rsidRPr="0094552B">
        <w:rPr>
          <w:rFonts w:cs="Arial"/>
          <w:rtl/>
        </w:rPr>
        <w:t xml:space="preserve"> למיאון שעוקר נישואין הראשונים משא"כ בארוסין של נערה ומשמע לדעת י"א אפילו אם נתאלמנה אחר מות אביה יש לה מזונות</w:t>
      </w:r>
      <w:r>
        <w:rPr>
          <w:rStyle w:val="a7"/>
          <w:rFonts w:cs="Arial"/>
          <w:rtl/>
        </w:rPr>
        <w:footnoteReference w:id="2855"/>
      </w:r>
      <w:r>
        <w:rPr>
          <w:rFonts w:cs="Arial" w:hint="cs"/>
          <w:sz w:val="16"/>
          <w:szCs w:val="16"/>
          <w:rtl/>
        </w:rPr>
        <w:t xml:space="preserve"> (ל' הב"ש בשמו)</w:t>
      </w:r>
      <w:r w:rsidRPr="004C49EE">
        <w:rPr>
          <w:rFonts w:cs="Arial" w:hint="cs"/>
          <w:rtl/>
        </w:rPr>
        <w:t>.</w:t>
      </w:r>
    </w:p>
    <w:p w14:paraId="0BA885B7" w14:textId="77777777" w:rsidR="002E5BAD" w:rsidRPr="00523CDE" w:rsidRDefault="002E5BAD" w:rsidP="002E5BAD">
      <w:pPr>
        <w:rPr>
          <w:rFonts w:cs="Arial"/>
          <w:rtl/>
        </w:rPr>
      </w:pPr>
      <w:r w:rsidRPr="00523CDE">
        <w:rPr>
          <w:rFonts w:cs="Arial"/>
          <w:rtl/>
        </w:rPr>
        <w:t xml:space="preserve"> </w:t>
      </w:r>
    </w:p>
    <w:p w14:paraId="5B1E83B0" w14:textId="77777777" w:rsidR="002E5BAD" w:rsidRDefault="002E5BAD" w:rsidP="002E5BAD">
      <w:pPr>
        <w:pStyle w:val="2"/>
        <w:rPr>
          <w:rtl/>
        </w:rPr>
      </w:pPr>
      <w:r w:rsidRPr="00523CDE">
        <w:rPr>
          <w:rtl/>
        </w:rPr>
        <w:t>סעיף ה</w:t>
      </w:r>
      <w:r>
        <w:rPr>
          <w:rFonts w:hint="cs"/>
          <w:rtl/>
        </w:rPr>
        <w:t>: מזונות בתו מיבמה/שניה/אנוסה/ארוסה.</w:t>
      </w:r>
    </w:p>
    <w:p w14:paraId="3CAED858" w14:textId="77777777" w:rsidR="002E5BAD" w:rsidRDefault="002E5BAD" w:rsidP="002E5BAD">
      <w:pPr>
        <w:rPr>
          <w:rFonts w:cs="Arial"/>
          <w:rtl/>
        </w:rPr>
      </w:pPr>
      <w:r>
        <w:rPr>
          <w:rFonts w:cs="Arial" w:hint="cs"/>
          <w:b/>
          <w:bCs/>
          <w:rtl/>
        </w:rPr>
        <w:t>יבמות</w:t>
      </w:r>
      <w:r w:rsidRPr="00B14D69">
        <w:rPr>
          <w:rFonts w:cs="Arial" w:hint="cs"/>
          <w:b/>
          <w:bCs/>
          <w:rtl/>
        </w:rPr>
        <w:t xml:space="preserve"> </w:t>
      </w:r>
      <w:r w:rsidRPr="00B14D69">
        <w:rPr>
          <w:rFonts w:cs="Arial" w:hint="cs"/>
          <w:b/>
          <w:bCs/>
          <w:sz w:val="16"/>
          <w:szCs w:val="16"/>
          <w:rtl/>
        </w:rPr>
        <w:t>(</w:t>
      </w:r>
      <w:r>
        <w:rPr>
          <w:rFonts w:cs="Arial" w:hint="cs"/>
          <w:b/>
          <w:bCs/>
          <w:sz w:val="16"/>
          <w:szCs w:val="16"/>
          <w:rtl/>
        </w:rPr>
        <w:t>פ' החולץ</w:t>
      </w:r>
      <w:r w:rsidRPr="00B14D69">
        <w:rPr>
          <w:rFonts w:cs="Arial" w:hint="cs"/>
          <w:b/>
          <w:bCs/>
          <w:sz w:val="16"/>
          <w:szCs w:val="16"/>
          <w:rtl/>
        </w:rPr>
        <w:t>)</w:t>
      </w:r>
      <w:r w:rsidRPr="00B14D69">
        <w:rPr>
          <w:rFonts w:cs="Arial"/>
          <w:b/>
          <w:bCs/>
          <w:rtl/>
        </w:rPr>
        <w:t xml:space="preserve"> </w:t>
      </w:r>
      <w:r>
        <w:rPr>
          <w:rFonts w:cs="Arial" w:hint="cs"/>
          <w:b/>
          <w:bCs/>
          <w:rtl/>
        </w:rPr>
        <w:t>לח</w:t>
      </w:r>
      <w:r w:rsidRPr="00B14D69">
        <w:rPr>
          <w:rFonts w:cs="Arial" w:hint="cs"/>
          <w:b/>
          <w:bCs/>
          <w:rtl/>
        </w:rPr>
        <w:t xml:space="preserve"> ע"</w:t>
      </w:r>
      <w:r>
        <w:rPr>
          <w:rFonts w:cs="Arial" w:hint="cs"/>
          <w:b/>
          <w:bCs/>
          <w:rtl/>
        </w:rPr>
        <w:t>א:</w:t>
      </w:r>
      <w:r>
        <w:rPr>
          <w:rFonts w:cs="Arial" w:hint="cs"/>
          <w:rtl/>
        </w:rPr>
        <w:t xml:space="preserve"> </w:t>
      </w:r>
      <w:r w:rsidRPr="00821488">
        <w:rPr>
          <w:rFonts w:cs="Arial"/>
          <w:u w:val="double"/>
          <w:rtl/>
        </w:rPr>
        <w:t>מתני'</w:t>
      </w:r>
      <w:r>
        <w:rPr>
          <w:rFonts w:cs="Arial" w:hint="cs"/>
          <w:rtl/>
        </w:rPr>
        <w:t>:</w:t>
      </w:r>
      <w:r w:rsidRPr="00821488">
        <w:rPr>
          <w:rFonts w:cs="Arial"/>
          <w:rtl/>
        </w:rPr>
        <w:t xml:space="preserve"> שומרת יבם</w:t>
      </w:r>
      <w:r>
        <w:rPr>
          <w:rFonts w:cs="Arial" w:hint="cs"/>
          <w:rtl/>
        </w:rPr>
        <w:t>...</w:t>
      </w:r>
      <w:r w:rsidRPr="00821488">
        <w:rPr>
          <w:rFonts w:cs="Arial"/>
          <w:rtl/>
        </w:rPr>
        <w:t xml:space="preserve"> כנסה - הרי היא כאשתו לכל דבר, ובלבד שתהא כתובה על נכסי בעלה הראשון.</w:t>
      </w:r>
    </w:p>
    <w:p w14:paraId="1AAE86E8" w14:textId="77777777" w:rsidR="002E5BAD" w:rsidRDefault="002E5BAD" w:rsidP="002E5BAD">
      <w:pPr>
        <w:rPr>
          <w:rFonts w:cs="Arial"/>
          <w:rtl/>
        </w:rPr>
      </w:pPr>
      <w:r w:rsidRPr="00B14D69">
        <w:rPr>
          <w:rFonts w:cs="Arial" w:hint="cs"/>
          <w:b/>
          <w:bCs/>
          <w:rtl/>
        </w:rPr>
        <w:t xml:space="preserve">כתובות </w:t>
      </w:r>
      <w:r w:rsidRPr="00B14D69">
        <w:rPr>
          <w:rFonts w:cs="Arial" w:hint="cs"/>
          <w:b/>
          <w:bCs/>
          <w:sz w:val="16"/>
          <w:szCs w:val="16"/>
          <w:rtl/>
        </w:rPr>
        <w:t>(ס"פ</w:t>
      </w:r>
      <w:r w:rsidRPr="00B14D69">
        <w:rPr>
          <w:rFonts w:cs="Arial"/>
          <w:b/>
          <w:bCs/>
          <w:sz w:val="16"/>
          <w:szCs w:val="16"/>
          <w:rtl/>
        </w:rPr>
        <w:t xml:space="preserve"> נערה שנתפתתה</w:t>
      </w:r>
      <w:r w:rsidRPr="00B14D69">
        <w:rPr>
          <w:rFonts w:cs="Arial" w:hint="cs"/>
          <w:b/>
          <w:bCs/>
          <w:sz w:val="16"/>
          <w:szCs w:val="16"/>
          <w:rtl/>
        </w:rPr>
        <w:t>)</w:t>
      </w:r>
      <w:r w:rsidRPr="00B14D69">
        <w:rPr>
          <w:rFonts w:cs="Arial"/>
          <w:b/>
          <w:bCs/>
          <w:rtl/>
        </w:rPr>
        <w:t xml:space="preserve"> </w:t>
      </w:r>
      <w:r w:rsidRPr="00B14D69">
        <w:rPr>
          <w:rFonts w:cs="Arial" w:hint="cs"/>
          <w:b/>
          <w:bCs/>
          <w:rtl/>
        </w:rPr>
        <w:t>נג ע"ב</w:t>
      </w:r>
      <w:r>
        <w:rPr>
          <w:rFonts w:cs="Arial" w:hint="cs"/>
          <w:b/>
          <w:bCs/>
          <w:rtl/>
        </w:rPr>
        <w:t>:</w:t>
      </w:r>
      <w:r>
        <w:rPr>
          <w:rFonts w:cs="Arial" w:hint="cs"/>
          <w:rtl/>
        </w:rPr>
        <w:t xml:space="preserve"> </w:t>
      </w:r>
      <w:r w:rsidRPr="008F28F3">
        <w:rPr>
          <w:rFonts w:cs="Arial"/>
          <w:u w:val="single"/>
          <w:rtl/>
        </w:rPr>
        <w:t>בעי ריש לקיש</w:t>
      </w:r>
      <w:r w:rsidRPr="008F28F3">
        <w:rPr>
          <w:rFonts w:cs="Arial"/>
          <w:rtl/>
        </w:rPr>
        <w:t>: בת יבמה</w:t>
      </w:r>
      <w:r>
        <w:rPr>
          <w:rStyle w:val="a7"/>
          <w:rFonts w:cs="Arial"/>
          <w:rtl/>
        </w:rPr>
        <w:footnoteReference w:id="2856"/>
      </w:r>
      <w:r w:rsidRPr="008F28F3">
        <w:rPr>
          <w:rFonts w:cs="Arial"/>
          <w:rtl/>
        </w:rPr>
        <w:t>, יש לה מזונות או אין לה מזונות? כיון דאמר מר</w:t>
      </w:r>
      <w:r>
        <w:rPr>
          <w:rStyle w:val="a7"/>
          <w:rFonts w:cs="Arial"/>
          <w:rtl/>
        </w:rPr>
        <w:footnoteReference w:id="2857"/>
      </w:r>
      <w:r w:rsidRPr="008F28F3">
        <w:rPr>
          <w:rFonts w:cs="Arial"/>
          <w:rtl/>
        </w:rPr>
        <w:t xml:space="preserve"> כתובתה על נכסי בעלה הראשון - לית לה, או דלמא</w:t>
      </w:r>
      <w:r>
        <w:rPr>
          <w:rStyle w:val="a7"/>
          <w:rFonts w:cs="Arial"/>
          <w:rtl/>
        </w:rPr>
        <w:footnoteReference w:id="2858"/>
      </w:r>
      <w:r w:rsidRPr="008F28F3">
        <w:rPr>
          <w:rFonts w:cs="Arial"/>
          <w:rtl/>
        </w:rPr>
        <w:t xml:space="preserve"> כיון דאי לית לה מראשון תקינו לה רבנן משני - אית לה</w:t>
      </w:r>
      <w:r>
        <w:rPr>
          <w:rStyle w:val="a7"/>
          <w:rFonts w:cs="Arial"/>
          <w:rtl/>
        </w:rPr>
        <w:footnoteReference w:id="2859"/>
      </w:r>
      <w:r w:rsidRPr="008F28F3">
        <w:rPr>
          <w:rFonts w:cs="Arial"/>
          <w:rtl/>
        </w:rPr>
        <w:t>? תיקו</w:t>
      </w:r>
      <w:r>
        <w:rPr>
          <w:rStyle w:val="a7"/>
          <w:rFonts w:cs="Arial"/>
          <w:rtl/>
        </w:rPr>
        <w:footnoteReference w:id="2860"/>
      </w:r>
      <w:r w:rsidRPr="008F28F3">
        <w:rPr>
          <w:rFonts w:cs="Arial"/>
          <w:rtl/>
        </w:rPr>
        <w:t xml:space="preserve">. </w:t>
      </w:r>
      <w:r w:rsidRPr="008F28F3">
        <w:rPr>
          <w:rFonts w:cs="Arial"/>
          <w:u w:val="single"/>
          <w:rtl/>
        </w:rPr>
        <w:t>בעי רבי אלעזר</w:t>
      </w:r>
      <w:r w:rsidRPr="008F28F3">
        <w:rPr>
          <w:rFonts w:cs="Arial"/>
          <w:rtl/>
        </w:rPr>
        <w:t>: בת שניה</w:t>
      </w:r>
      <w:r>
        <w:rPr>
          <w:rStyle w:val="a7"/>
          <w:rFonts w:cs="Arial"/>
          <w:rtl/>
        </w:rPr>
        <w:footnoteReference w:id="2861"/>
      </w:r>
      <w:r w:rsidRPr="008F28F3">
        <w:rPr>
          <w:rFonts w:cs="Arial"/>
          <w:rtl/>
        </w:rPr>
        <w:t>, יש לה מזונות או אין לה מזונות?</w:t>
      </w:r>
      <w:r w:rsidRPr="008F28F3">
        <w:rPr>
          <w:rtl/>
        </w:rPr>
        <w:t xml:space="preserve"> </w:t>
      </w:r>
      <w:r>
        <w:rPr>
          <w:rFonts w:hint="cs"/>
          <w:sz w:val="14"/>
          <w:szCs w:val="14"/>
          <w:rtl/>
        </w:rPr>
        <w:t xml:space="preserve">(נד.) </w:t>
      </w:r>
      <w:r w:rsidRPr="008F28F3">
        <w:rPr>
          <w:rFonts w:cs="Arial"/>
          <w:rtl/>
        </w:rPr>
        <w:t>כיון דלית לה כתובה</w:t>
      </w:r>
      <w:r>
        <w:rPr>
          <w:rStyle w:val="a7"/>
          <w:rFonts w:cs="Arial"/>
          <w:rtl/>
        </w:rPr>
        <w:footnoteReference w:id="2862"/>
      </w:r>
      <w:r w:rsidRPr="008F28F3">
        <w:rPr>
          <w:rFonts w:cs="Arial"/>
          <w:rtl/>
        </w:rPr>
        <w:t xml:space="preserve"> לית לה מזוני, או דלמא אמה דעבדא איסורא קנסוה רבנן, איהי דלא עבדא איסורא לא קנסוה רבנן? תיקו. </w:t>
      </w:r>
      <w:r w:rsidRPr="008F28F3">
        <w:rPr>
          <w:rFonts w:cs="Arial"/>
          <w:u w:val="single"/>
          <w:rtl/>
        </w:rPr>
        <w:t>בעי רבא</w:t>
      </w:r>
      <w:r w:rsidRPr="008F28F3">
        <w:rPr>
          <w:rFonts w:cs="Arial"/>
          <w:rtl/>
        </w:rPr>
        <w:t>: בת ארוסה</w:t>
      </w:r>
      <w:r>
        <w:rPr>
          <w:rStyle w:val="a7"/>
          <w:rFonts w:cs="Arial"/>
          <w:rtl/>
        </w:rPr>
        <w:footnoteReference w:id="2863"/>
      </w:r>
      <w:r w:rsidRPr="008F28F3">
        <w:rPr>
          <w:rFonts w:cs="Arial"/>
          <w:rtl/>
        </w:rPr>
        <w:t>, יש לה מזונות או אין לה מזונות? כיון דאית לה כתובה</w:t>
      </w:r>
      <w:r>
        <w:rPr>
          <w:rStyle w:val="a7"/>
          <w:rFonts w:cs="Arial"/>
          <w:rtl/>
        </w:rPr>
        <w:footnoteReference w:id="2864"/>
      </w:r>
      <w:r w:rsidRPr="008F28F3">
        <w:rPr>
          <w:rFonts w:cs="Arial"/>
          <w:rtl/>
        </w:rPr>
        <w:t xml:space="preserve"> - אית לה, או דלמא כיון דלא תקינו רבנן</w:t>
      </w:r>
      <w:r>
        <w:rPr>
          <w:rStyle w:val="a7"/>
          <w:rFonts w:cs="Arial"/>
          <w:rtl/>
        </w:rPr>
        <w:footnoteReference w:id="2865"/>
      </w:r>
      <w:r w:rsidRPr="008F28F3">
        <w:rPr>
          <w:rFonts w:cs="Arial"/>
          <w:rtl/>
        </w:rPr>
        <w:t xml:space="preserve"> כתובה עד שעת נישואין - לית לה? תיקו. </w:t>
      </w:r>
      <w:r w:rsidRPr="008F28F3">
        <w:rPr>
          <w:rFonts w:cs="Arial"/>
          <w:u w:val="single"/>
          <w:rtl/>
        </w:rPr>
        <w:t>בעי רב פפא</w:t>
      </w:r>
      <w:r w:rsidRPr="008F28F3">
        <w:rPr>
          <w:rFonts w:cs="Arial"/>
          <w:rtl/>
        </w:rPr>
        <w:t>: בת אנוסה</w:t>
      </w:r>
      <w:r>
        <w:rPr>
          <w:rStyle w:val="a7"/>
          <w:rFonts w:cs="Arial"/>
          <w:rtl/>
        </w:rPr>
        <w:footnoteReference w:id="2866"/>
      </w:r>
      <w:r w:rsidRPr="008F28F3">
        <w:rPr>
          <w:rFonts w:cs="Arial"/>
          <w:rtl/>
        </w:rPr>
        <w:t>, יש לה מזונות או אין לה מזונות? אליבא דרבי יוסי ברבי יהודה לא תיבעי לך, דאמר: יש לה כתובה</w:t>
      </w:r>
      <w:r>
        <w:rPr>
          <w:rStyle w:val="a7"/>
          <w:rFonts w:cs="Arial"/>
          <w:rtl/>
        </w:rPr>
        <w:footnoteReference w:id="2867"/>
      </w:r>
      <w:r w:rsidRPr="008F28F3">
        <w:rPr>
          <w:rFonts w:cs="Arial"/>
          <w:rtl/>
        </w:rPr>
        <w:t xml:space="preserve"> מנה</w:t>
      </w:r>
      <w:r>
        <w:rPr>
          <w:rStyle w:val="a7"/>
          <w:rFonts w:cs="Arial"/>
          <w:rtl/>
        </w:rPr>
        <w:footnoteReference w:id="2868"/>
      </w:r>
      <w:r w:rsidRPr="008F28F3">
        <w:rPr>
          <w:rFonts w:cs="Arial"/>
          <w:rtl/>
        </w:rPr>
        <w:t>, כי תיבעי לך - אליבא דרבנן, דאמרי: יצא כסף קנסה בכתובתה</w:t>
      </w:r>
      <w:r>
        <w:rPr>
          <w:rStyle w:val="a7"/>
          <w:rFonts w:cs="Arial"/>
          <w:rtl/>
        </w:rPr>
        <w:footnoteReference w:id="2869"/>
      </w:r>
      <w:r w:rsidRPr="008F28F3">
        <w:rPr>
          <w:rFonts w:cs="Arial"/>
          <w:rtl/>
        </w:rPr>
        <w:t>, מאי</w:t>
      </w:r>
      <w:r>
        <w:rPr>
          <w:rStyle w:val="a7"/>
          <w:rFonts w:cs="Arial"/>
          <w:rtl/>
        </w:rPr>
        <w:footnoteReference w:id="2870"/>
      </w:r>
      <w:r w:rsidRPr="008F28F3">
        <w:rPr>
          <w:rFonts w:cs="Arial"/>
          <w:rtl/>
        </w:rPr>
        <w:t>? כיון דלית לה כתובה לית לה מזוני, או דלמא כתובה טעמא מאי? כדי שלא תהא קלה בעיניו להוציאה, והא לא מצי מפיק לה</w:t>
      </w:r>
      <w:r>
        <w:rPr>
          <w:rStyle w:val="a7"/>
          <w:rFonts w:cs="Arial"/>
          <w:rtl/>
        </w:rPr>
        <w:footnoteReference w:id="2871"/>
      </w:r>
      <w:r w:rsidRPr="008F28F3">
        <w:rPr>
          <w:rFonts w:cs="Arial"/>
          <w:rtl/>
        </w:rPr>
        <w:t>? תיקו.</w:t>
      </w:r>
      <w:r w:rsidRPr="00F501C4">
        <w:rPr>
          <w:rFonts w:cs="Arial"/>
          <w:sz w:val="16"/>
          <w:szCs w:val="16"/>
          <w:rtl/>
        </w:rPr>
        <w:t xml:space="preserve"> </w:t>
      </w:r>
      <w:r>
        <w:rPr>
          <w:rFonts w:cs="Arial" w:hint="cs"/>
          <w:sz w:val="16"/>
          <w:szCs w:val="16"/>
          <w:rtl/>
        </w:rPr>
        <w:t>(</w:t>
      </w:r>
      <w:r w:rsidRPr="00F501C4">
        <w:rPr>
          <w:rFonts w:cs="Arial"/>
          <w:sz w:val="16"/>
          <w:szCs w:val="16"/>
          <w:rtl/>
        </w:rPr>
        <w:t>בכל הני מיבעיא ולא איפשיטא</w:t>
      </w:r>
      <w:r w:rsidRPr="00F501C4">
        <w:rPr>
          <w:rFonts w:cs="Arial" w:hint="cs"/>
          <w:sz w:val="16"/>
          <w:szCs w:val="16"/>
          <w:rtl/>
        </w:rPr>
        <w:t>...</w:t>
      </w:r>
      <w:r w:rsidRPr="00F501C4">
        <w:rPr>
          <w:rFonts w:cs="Arial"/>
          <w:sz w:val="16"/>
          <w:szCs w:val="16"/>
          <w:rtl/>
        </w:rPr>
        <w:t xml:space="preserve"> וכתבו הפוסקים דכיון דספיקא דממונא הוא הוי קולא לנתבע ואין להם מזונות</w:t>
      </w:r>
      <w:r>
        <w:rPr>
          <w:rFonts w:cs="Arial" w:hint="cs"/>
          <w:sz w:val="16"/>
          <w:szCs w:val="16"/>
          <w:rtl/>
        </w:rPr>
        <w:t>, ב"י)</w:t>
      </w:r>
    </w:p>
    <w:p w14:paraId="347A2B14" w14:textId="77777777" w:rsidR="002E5BAD" w:rsidRPr="009F5D5A" w:rsidRDefault="002E5BAD" w:rsidP="002E5BAD">
      <w:pPr>
        <w:rPr>
          <w:u w:val="single"/>
          <w:rtl/>
        </w:rPr>
      </w:pPr>
      <w:r w:rsidRPr="009F5D5A">
        <w:rPr>
          <w:rFonts w:hint="cs"/>
          <w:u w:val="single"/>
          <w:rtl/>
        </w:rPr>
        <w:t xml:space="preserve">בת יבמה, או בת שניה, או בת מאנוסתו שנשאה, או בת מארוסתו שנשאה </w:t>
      </w:r>
      <w:r w:rsidRPr="009F5D5A">
        <w:rPr>
          <w:u w:val="single"/>
          <w:rtl/>
        </w:rPr>
        <w:t>–</w:t>
      </w:r>
      <w:r w:rsidRPr="009F5D5A">
        <w:rPr>
          <w:rFonts w:hint="cs"/>
          <w:u w:val="single"/>
          <w:rtl/>
        </w:rPr>
        <w:t xml:space="preserve"> האם יש להן מזונות:</w:t>
      </w:r>
    </w:p>
    <w:p w14:paraId="4DD36BF7" w14:textId="77777777" w:rsidR="002E5BAD" w:rsidRPr="00F501C4" w:rsidRDefault="002E5BAD" w:rsidP="00B75458">
      <w:pPr>
        <w:pStyle w:val="ab"/>
        <w:numPr>
          <w:ilvl w:val="0"/>
          <w:numId w:val="195"/>
        </w:numPr>
      </w:pPr>
      <w:r w:rsidRPr="00C44D14">
        <w:rPr>
          <w:rFonts w:cs="Arial"/>
          <w:rtl/>
        </w:rPr>
        <w:t xml:space="preserve">רמב"ם </w:t>
      </w:r>
      <w:r w:rsidRPr="00C44D14">
        <w:rPr>
          <w:rFonts w:cs="Arial" w:hint="cs"/>
          <w:sz w:val="16"/>
          <w:szCs w:val="16"/>
          <w:rtl/>
        </w:rPr>
        <w:t>(</w:t>
      </w:r>
      <w:r w:rsidRPr="00C44D14">
        <w:rPr>
          <w:rFonts w:cs="Arial"/>
          <w:sz w:val="16"/>
          <w:szCs w:val="16"/>
          <w:rtl/>
        </w:rPr>
        <w:t>פי"ט ה</w:t>
      </w:r>
      <w:r>
        <w:rPr>
          <w:rFonts w:cs="Arial" w:hint="cs"/>
          <w:sz w:val="16"/>
          <w:szCs w:val="16"/>
          <w:rtl/>
        </w:rPr>
        <w:t>י"ד</w:t>
      </w:r>
      <w:r w:rsidRPr="00B93D0C">
        <w:rPr>
          <w:rFonts w:cs="Arial"/>
          <w:sz w:val="16"/>
          <w:szCs w:val="16"/>
          <w:rtl/>
        </w:rPr>
        <w:t>)</w:t>
      </w:r>
      <w:r>
        <w:rPr>
          <w:rFonts w:cs="Arial" w:hint="cs"/>
          <w:rtl/>
        </w:rPr>
        <w:t xml:space="preserve"> וטור- </w:t>
      </w:r>
      <w:r w:rsidRPr="00B345A5">
        <w:rPr>
          <w:rFonts w:cs="Arial"/>
          <w:rtl/>
        </w:rPr>
        <w:t>בת יבמה</w:t>
      </w:r>
      <w:r>
        <w:rPr>
          <w:rFonts w:cs="Arial" w:hint="cs"/>
          <w:rtl/>
        </w:rPr>
        <w:t>,</w:t>
      </w:r>
      <w:r w:rsidRPr="00B345A5">
        <w:rPr>
          <w:rFonts w:cs="Arial"/>
          <w:rtl/>
        </w:rPr>
        <w:t xml:space="preserve"> כגון שיבם אשת אחיו וילדה לו בת</w:t>
      </w:r>
      <w:r>
        <w:rPr>
          <w:rFonts w:cs="Arial" w:hint="cs"/>
          <w:rtl/>
        </w:rPr>
        <w:t>,</w:t>
      </w:r>
      <w:r w:rsidRPr="00B345A5">
        <w:rPr>
          <w:rFonts w:cs="Arial"/>
          <w:rtl/>
        </w:rPr>
        <w:t xml:space="preserve"> אם אין לאחי המת נכסים שאז חל עליו חיוב הכתובה וכל תנאיה </w:t>
      </w:r>
      <w:r>
        <w:rPr>
          <w:rFonts w:cs="Arial" w:hint="cs"/>
          <w:rtl/>
        </w:rPr>
        <w:t xml:space="preserve">- </w:t>
      </w:r>
      <w:r w:rsidRPr="00B345A5">
        <w:rPr>
          <w:rFonts w:cs="Arial"/>
          <w:rtl/>
        </w:rPr>
        <w:t>פשיטא שהבת ניזונת מנכסיו אחרי מותו</w:t>
      </w:r>
      <w:r>
        <w:rPr>
          <w:rFonts w:cs="Arial" w:hint="cs"/>
          <w:rtl/>
        </w:rPr>
        <w:t>.</w:t>
      </w:r>
      <w:r w:rsidRPr="00B345A5">
        <w:rPr>
          <w:rFonts w:cs="Arial"/>
          <w:rtl/>
        </w:rPr>
        <w:t xml:space="preserve"> אבל אם יש לאחיו נכסים</w:t>
      </w:r>
      <w:r>
        <w:rPr>
          <w:rFonts w:cs="Arial" w:hint="cs"/>
          <w:rtl/>
        </w:rPr>
        <w:t>,</w:t>
      </w:r>
      <w:r w:rsidRPr="00B345A5">
        <w:rPr>
          <w:rFonts w:cs="Arial"/>
          <w:rtl/>
        </w:rPr>
        <w:t xml:space="preserve"> שלא חל חיוב הכתובה על היבם</w:t>
      </w:r>
      <w:r>
        <w:rPr>
          <w:rFonts w:cs="Arial" w:hint="cs"/>
          <w:rtl/>
        </w:rPr>
        <w:t>,</w:t>
      </w:r>
      <w:r w:rsidRPr="00B345A5">
        <w:rPr>
          <w:rFonts w:cs="Arial"/>
          <w:rtl/>
        </w:rPr>
        <w:t xml:space="preserve"> מיבעיא אם הבת ניזונת מנכסי היבם</w:t>
      </w:r>
      <w:r>
        <w:rPr>
          <w:rFonts w:cs="Arial" w:hint="cs"/>
          <w:rtl/>
        </w:rPr>
        <w:t>.</w:t>
      </w:r>
      <w:r w:rsidRPr="00B345A5">
        <w:rPr>
          <w:rFonts w:cs="Arial"/>
          <w:rtl/>
        </w:rPr>
        <w:t xml:space="preserve"> וכן מיבעיא בנושא שנייה וילדה לו בת</w:t>
      </w:r>
      <w:r>
        <w:rPr>
          <w:rFonts w:cs="Arial" w:hint="cs"/>
          <w:rtl/>
        </w:rPr>
        <w:t>,</w:t>
      </w:r>
      <w:r w:rsidRPr="00B345A5">
        <w:rPr>
          <w:rFonts w:cs="Arial"/>
          <w:rtl/>
        </w:rPr>
        <w:t xml:space="preserve"> ובאנס נערה </w:t>
      </w:r>
      <w:r w:rsidRPr="00B345A5">
        <w:rPr>
          <w:rFonts w:cs="Arial"/>
          <w:rtl/>
        </w:rPr>
        <w:lastRenderedPageBreak/>
        <w:t>ונשאה אחר כך וילדה לו בת</w:t>
      </w:r>
      <w:r>
        <w:rPr>
          <w:rFonts w:cs="Arial" w:hint="cs"/>
          <w:rtl/>
        </w:rPr>
        <w:t>,</w:t>
      </w:r>
      <w:r w:rsidRPr="00B345A5">
        <w:rPr>
          <w:rFonts w:cs="Arial"/>
          <w:rtl/>
        </w:rPr>
        <w:t xml:space="preserve"> ובבת ארוסתו שבא על ארוסתו וילדה לו בת ואחר כך נשאה</w:t>
      </w:r>
      <w:r>
        <w:rPr>
          <w:rFonts w:cs="Arial" w:hint="cs"/>
          <w:rtl/>
        </w:rPr>
        <w:t xml:space="preserve"> -</w:t>
      </w:r>
      <w:r w:rsidRPr="00B345A5">
        <w:rPr>
          <w:rFonts w:cs="Arial"/>
          <w:rtl/>
        </w:rPr>
        <w:t xml:space="preserve"> בכל הנך מיבעיא ולא איפשיטא ואין להן מזונות</w:t>
      </w:r>
      <w:r>
        <w:rPr>
          <w:rFonts w:cs="Arial" w:hint="cs"/>
          <w:rtl/>
        </w:rPr>
        <w:t>.</w:t>
      </w:r>
      <w:r w:rsidRPr="00B345A5">
        <w:rPr>
          <w:rFonts w:cs="Arial"/>
          <w:rtl/>
        </w:rPr>
        <w:t xml:space="preserve"> בד"א</w:t>
      </w:r>
      <w:r>
        <w:rPr>
          <w:rStyle w:val="a7"/>
          <w:rFonts w:cs="Arial"/>
          <w:rtl/>
        </w:rPr>
        <w:footnoteReference w:id="2872"/>
      </w:r>
      <w:r w:rsidRPr="00B345A5">
        <w:rPr>
          <w:rFonts w:cs="Arial"/>
          <w:rtl/>
        </w:rPr>
        <w:t xml:space="preserve"> אחרי מותו</w:t>
      </w:r>
      <w:r>
        <w:rPr>
          <w:rFonts w:cs="Arial" w:hint="cs"/>
          <w:rtl/>
        </w:rPr>
        <w:t>,</w:t>
      </w:r>
      <w:r w:rsidRPr="00B345A5">
        <w:rPr>
          <w:rFonts w:cs="Arial"/>
          <w:rtl/>
        </w:rPr>
        <w:t xml:space="preserve"> אבל בחייו חייב לזונם מתקנת אושא עד ששה שנים</w:t>
      </w:r>
      <w:r>
        <w:rPr>
          <w:rFonts w:cs="Arial" w:hint="cs"/>
          <w:sz w:val="16"/>
          <w:szCs w:val="16"/>
          <w:rtl/>
        </w:rPr>
        <w:t xml:space="preserve"> (ל' הטור)</w:t>
      </w:r>
      <w:r>
        <w:rPr>
          <w:rFonts w:cs="Arial" w:hint="cs"/>
          <w:rtl/>
        </w:rPr>
        <w:t>.</w:t>
      </w:r>
      <w:r w:rsidRPr="00A50850">
        <w:rPr>
          <w:rFonts w:hint="cs"/>
          <w:color w:val="E36C0A" w:themeColor="accent6" w:themeShade="BF"/>
          <w:rtl/>
        </w:rPr>
        <w:t xml:space="preserve"> (וכ"פ בשו"ע)</w:t>
      </w:r>
    </w:p>
    <w:p w14:paraId="42E1CA6E" w14:textId="77777777" w:rsidR="002E5BAD" w:rsidRPr="00F501C4" w:rsidRDefault="002E5BAD" w:rsidP="002E5BAD">
      <w:pPr>
        <w:ind w:left="360"/>
        <w:rPr>
          <w:u w:val="dotted"/>
        </w:rPr>
      </w:pPr>
      <w:r w:rsidRPr="00F501C4">
        <w:rPr>
          <w:rFonts w:hint="cs"/>
          <w:u w:val="dotted"/>
          <w:rtl/>
        </w:rPr>
        <w:t>ומה הדין אם תפסה:</w:t>
      </w:r>
    </w:p>
    <w:p w14:paraId="6B1FC6C9" w14:textId="77777777" w:rsidR="002E5BAD" w:rsidRPr="00F501C4" w:rsidRDefault="002E5BAD" w:rsidP="00B75458">
      <w:pPr>
        <w:pStyle w:val="ab"/>
        <w:numPr>
          <w:ilvl w:val="0"/>
          <w:numId w:val="195"/>
        </w:numPr>
        <w:rPr>
          <w:rtl/>
        </w:rPr>
      </w:pPr>
      <w:r w:rsidRPr="00F501C4">
        <w:rPr>
          <w:rFonts w:cs="Arial" w:hint="cs"/>
          <w:rtl/>
        </w:rPr>
        <w:t xml:space="preserve">רי"ו </w:t>
      </w:r>
      <w:r w:rsidRPr="00F501C4">
        <w:rPr>
          <w:rFonts w:cs="Arial" w:hint="cs"/>
          <w:sz w:val="16"/>
          <w:szCs w:val="16"/>
          <w:rtl/>
        </w:rPr>
        <w:t>(</w:t>
      </w:r>
      <w:r w:rsidRPr="00F501C4">
        <w:rPr>
          <w:rFonts w:cs="Arial"/>
          <w:sz w:val="16"/>
          <w:szCs w:val="16"/>
          <w:rtl/>
        </w:rPr>
        <w:t>מישרים נכ"ג חי"ב סז ע"ד)</w:t>
      </w:r>
      <w:r w:rsidRPr="00F501C4">
        <w:rPr>
          <w:rFonts w:cs="Arial" w:hint="cs"/>
          <w:rtl/>
        </w:rPr>
        <w:t>-</w:t>
      </w:r>
      <w:r w:rsidRPr="00F501C4">
        <w:rPr>
          <w:rFonts w:cs="Arial"/>
          <w:rtl/>
        </w:rPr>
        <w:t xml:space="preserve"> אם תפסה לא מפקינן מינה</w:t>
      </w:r>
      <w:r w:rsidRPr="00F501C4">
        <w:rPr>
          <w:rFonts w:cs="Arial" w:hint="cs"/>
          <w:rtl/>
        </w:rPr>
        <w:t>.</w:t>
      </w:r>
    </w:p>
    <w:p w14:paraId="3D19EB4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63F01D" w14:textId="77777777" w:rsidR="002E5BAD" w:rsidRDefault="002E5BAD" w:rsidP="002E5BAD">
      <w:pPr>
        <w:rPr>
          <w:rFonts w:cs="Arial"/>
          <w:rtl/>
        </w:rPr>
      </w:pPr>
      <w:r w:rsidRPr="00523CDE">
        <w:rPr>
          <w:rFonts w:cs="Arial"/>
          <w:rtl/>
        </w:rPr>
        <w:t>יבם אשת אחיו וילדה לו בת, אם לא היה לאחיו נכסים, הבת נזונת מנכסי אביה. אבל אם היו לאחיו נכסים</w:t>
      </w:r>
      <w:r>
        <w:rPr>
          <w:rStyle w:val="a7"/>
          <w:rFonts w:cs="Arial"/>
          <w:rtl/>
        </w:rPr>
        <w:footnoteReference w:id="2873"/>
      </w:r>
      <w:r w:rsidRPr="00523CDE">
        <w:rPr>
          <w:rFonts w:cs="Arial"/>
          <w:rtl/>
        </w:rPr>
        <w:t>, וכן בת שנייה</w:t>
      </w:r>
      <w:r>
        <w:rPr>
          <w:rFonts w:cs="Arial" w:hint="cs"/>
          <w:rtl/>
        </w:rPr>
        <w:t>,</w:t>
      </w:r>
      <w:r w:rsidRPr="00523CDE">
        <w:rPr>
          <w:rFonts w:cs="Arial"/>
          <w:rtl/>
        </w:rPr>
        <w:t xml:space="preserve"> וכן בת</w:t>
      </w:r>
      <w:r>
        <w:rPr>
          <w:rStyle w:val="a7"/>
          <w:rFonts w:cs="Arial"/>
          <w:rtl/>
        </w:rPr>
        <w:footnoteReference w:id="2874"/>
      </w:r>
      <w:r w:rsidRPr="00523CDE">
        <w:rPr>
          <w:rFonts w:cs="Arial"/>
          <w:rtl/>
        </w:rPr>
        <w:t xml:space="preserve"> אנוסתו אפילו נולדו לו אחר שנשאה, וכן בת ארוסתו שנולדה לו בעודה ארוסה</w:t>
      </w:r>
      <w:r>
        <w:rPr>
          <w:rStyle w:val="a7"/>
          <w:rFonts w:cs="Arial"/>
          <w:rtl/>
        </w:rPr>
        <w:footnoteReference w:id="2875"/>
      </w:r>
      <w:r w:rsidRPr="00523CDE">
        <w:rPr>
          <w:rFonts w:cs="Arial"/>
          <w:rtl/>
        </w:rPr>
        <w:t xml:space="preserve"> ואחר כך נשא</w:t>
      </w:r>
      <w:r>
        <w:rPr>
          <w:rFonts w:cs="Arial" w:hint="cs"/>
          <w:rtl/>
        </w:rPr>
        <w:t>ה</w:t>
      </w:r>
      <w:r>
        <w:rPr>
          <w:rStyle w:val="a7"/>
          <w:rFonts w:cs="Arial"/>
          <w:rtl/>
        </w:rPr>
        <w:footnoteReference w:id="2876"/>
      </w:r>
      <w:r w:rsidRPr="00523CDE">
        <w:rPr>
          <w:rFonts w:cs="Arial"/>
          <w:rtl/>
        </w:rPr>
        <w:t>, אין להן מזונות</w:t>
      </w:r>
      <w:r>
        <w:rPr>
          <w:rStyle w:val="a7"/>
          <w:rFonts w:cs="Arial"/>
          <w:rtl/>
        </w:rPr>
        <w:footnoteReference w:id="2877"/>
      </w:r>
      <w:r w:rsidRPr="00523CDE">
        <w:rPr>
          <w:rFonts w:cs="Arial"/>
          <w:rtl/>
        </w:rPr>
        <w:t xml:space="preserve"> אחר מיתת אביהן</w:t>
      </w:r>
      <w:r>
        <w:rPr>
          <w:rFonts w:cs="Arial" w:hint="cs"/>
          <w:rtl/>
        </w:rPr>
        <w:t>.</w:t>
      </w:r>
      <w:r w:rsidRPr="00523CDE">
        <w:rPr>
          <w:rFonts w:cs="Arial"/>
          <w:rtl/>
        </w:rPr>
        <w:t xml:space="preserve"> אבל בחייו הוא חייב במזונותן</w:t>
      </w:r>
      <w:r>
        <w:rPr>
          <w:rStyle w:val="a7"/>
          <w:rFonts w:cs="Arial"/>
          <w:rtl/>
        </w:rPr>
        <w:footnoteReference w:id="2878"/>
      </w:r>
      <w:r w:rsidRPr="00523CDE">
        <w:rPr>
          <w:rFonts w:cs="Arial"/>
          <w:rtl/>
        </w:rPr>
        <w:t xml:space="preserve"> כדין שאר הבנים והבנות בחיי אביהן. </w:t>
      </w:r>
    </w:p>
    <w:p w14:paraId="62FF62E6" w14:textId="77777777" w:rsidR="002E5BAD" w:rsidRPr="00523CDE" w:rsidRDefault="002E5BAD" w:rsidP="002E5BAD">
      <w:pPr>
        <w:rPr>
          <w:rFonts w:cs="Arial"/>
          <w:rtl/>
        </w:rPr>
      </w:pPr>
      <w:r>
        <w:rPr>
          <w:rFonts w:cs="Arial" w:hint="cs"/>
          <w:rtl/>
        </w:rPr>
        <w:t xml:space="preserve"> </w:t>
      </w:r>
    </w:p>
    <w:p w14:paraId="7A81EDA3" w14:textId="77777777" w:rsidR="002E5BAD" w:rsidRDefault="002E5BAD" w:rsidP="002E5BAD">
      <w:pPr>
        <w:pStyle w:val="2"/>
        <w:rPr>
          <w:rtl/>
        </w:rPr>
      </w:pPr>
      <w:r w:rsidRPr="00523CDE">
        <w:rPr>
          <w:rtl/>
        </w:rPr>
        <w:t>סעיף ו</w:t>
      </w:r>
      <w:r>
        <w:rPr>
          <w:rFonts w:hint="cs"/>
          <w:rtl/>
        </w:rPr>
        <w:t>: פסיקת מזונות כסות ומדור לבת, ומכירה.</w:t>
      </w:r>
    </w:p>
    <w:p w14:paraId="65868F7B" w14:textId="77777777" w:rsidR="002E5BAD" w:rsidRDefault="002E5BAD" w:rsidP="002E5BAD">
      <w:pPr>
        <w:rPr>
          <w:rtl/>
        </w:rPr>
      </w:pPr>
      <w:r w:rsidRPr="00E02518">
        <w:rPr>
          <w:rFonts w:cs="Arial" w:hint="cs"/>
          <w:b/>
          <w:bCs/>
          <w:rtl/>
        </w:rPr>
        <w:t>ירושלמי כתובות פי"ב ה"א:</w:t>
      </w:r>
      <w:r>
        <w:rPr>
          <w:rFonts w:cs="Arial" w:hint="cs"/>
          <w:rtl/>
        </w:rPr>
        <w:t xml:space="preserve"> </w:t>
      </w:r>
      <w:r w:rsidRPr="00075FF9">
        <w:rPr>
          <w:rFonts w:cs="Arial"/>
          <w:rtl/>
        </w:rPr>
        <w:t>הדא היא הבת לא עולה ולא יורדת</w:t>
      </w:r>
      <w:r>
        <w:rPr>
          <w:rFonts w:cs="Arial" w:hint="cs"/>
          <w:rtl/>
        </w:rPr>
        <w:t>.</w:t>
      </w:r>
      <w:r w:rsidRPr="00075FF9">
        <w:rPr>
          <w:rFonts w:cs="Arial"/>
          <w:rtl/>
        </w:rPr>
        <w:t xml:space="preserve"> </w:t>
      </w:r>
      <w:r w:rsidRPr="00E02518">
        <w:rPr>
          <w:rFonts w:cs="Arial"/>
          <w:rtl/>
        </w:rPr>
        <w:t>תמן תנינן</w:t>
      </w:r>
      <w:r>
        <w:rPr>
          <w:rFonts w:cs="Arial" w:hint="cs"/>
          <w:rtl/>
        </w:rPr>
        <w:t>:</w:t>
      </w:r>
      <w:r w:rsidRPr="00E02518">
        <w:rPr>
          <w:rFonts w:cs="Arial"/>
          <w:rtl/>
        </w:rPr>
        <w:t xml:space="preserve"> בנן נוקבן דיהוון ליכי מינאי יהון יתבן בביתי</w:t>
      </w:r>
      <w:r>
        <w:rPr>
          <w:rFonts w:cs="Arial" w:hint="cs"/>
          <w:rtl/>
        </w:rPr>
        <w:t>,</w:t>
      </w:r>
      <w:r w:rsidRPr="00E02518">
        <w:rPr>
          <w:rFonts w:cs="Arial"/>
          <w:rtl/>
        </w:rPr>
        <w:t xml:space="preserve"> ומיתזנן מניכסיי</w:t>
      </w:r>
      <w:r>
        <w:rPr>
          <w:rFonts w:cs="Arial" w:hint="cs"/>
          <w:rtl/>
        </w:rPr>
        <w:t>.</w:t>
      </w:r>
      <w:r w:rsidRPr="00E02518">
        <w:rPr>
          <w:rFonts w:cs="Arial"/>
          <w:rtl/>
        </w:rPr>
        <w:t xml:space="preserve"> ותני עלה</w:t>
      </w:r>
      <w:r>
        <w:rPr>
          <w:rFonts w:cs="Arial" w:hint="cs"/>
          <w:rtl/>
        </w:rPr>
        <w:t>:</w:t>
      </w:r>
      <w:r w:rsidRPr="00E02518">
        <w:rPr>
          <w:rFonts w:cs="Arial"/>
          <w:rtl/>
        </w:rPr>
        <w:t xml:space="preserve"> ומתכסיין בכסותי</w:t>
      </w:r>
      <w:r>
        <w:rPr>
          <w:rFonts w:hint="cs"/>
          <w:rtl/>
        </w:rPr>
        <w:t>.</w:t>
      </w:r>
      <w:r w:rsidRPr="009D583D">
        <w:rPr>
          <w:rFonts w:cs="Arial" w:hint="cs"/>
          <w:rtl/>
        </w:rPr>
        <w:t xml:space="preserve"> </w:t>
      </w:r>
      <w:r w:rsidRPr="009D583D">
        <w:rPr>
          <w:rFonts w:cs="Arial" w:hint="cs"/>
          <w:sz w:val="16"/>
          <w:szCs w:val="16"/>
          <w:rtl/>
        </w:rPr>
        <w:t>(וכ"כ ה</w:t>
      </w:r>
      <w:r w:rsidRPr="009D583D">
        <w:rPr>
          <w:rFonts w:cs="Arial"/>
          <w:sz w:val="16"/>
          <w:szCs w:val="16"/>
          <w:rtl/>
        </w:rPr>
        <w:t>נמוק</w:t>
      </w:r>
      <w:r w:rsidRPr="009D583D">
        <w:rPr>
          <w:rFonts w:cs="Arial" w:hint="cs"/>
          <w:sz w:val="16"/>
          <w:szCs w:val="16"/>
          <w:rtl/>
        </w:rPr>
        <w:t>"</w:t>
      </w:r>
      <w:r w:rsidRPr="009D583D">
        <w:rPr>
          <w:rFonts w:cs="Arial"/>
          <w:sz w:val="16"/>
          <w:szCs w:val="16"/>
          <w:rtl/>
        </w:rPr>
        <w:t>י (סה. ד"ה גמ') בשם הריטב"א (קלט: ד"ה כל)</w:t>
      </w:r>
      <w:r w:rsidRPr="009D583D">
        <w:rPr>
          <w:rFonts w:cs="Arial" w:hint="cs"/>
          <w:sz w:val="16"/>
          <w:szCs w:val="16"/>
          <w:rtl/>
        </w:rPr>
        <w:t xml:space="preserve"> </w:t>
      </w:r>
      <w:r>
        <w:rPr>
          <w:rFonts w:cs="Arial" w:hint="cs"/>
          <w:sz w:val="16"/>
          <w:szCs w:val="16"/>
          <w:rtl/>
        </w:rPr>
        <w:t>ש</w:t>
      </w:r>
      <w:r w:rsidRPr="009D583D">
        <w:rPr>
          <w:rFonts w:cs="Arial"/>
          <w:sz w:val="16"/>
          <w:szCs w:val="16"/>
          <w:rtl/>
        </w:rPr>
        <w:t>בכלל מזונות הוי כסות ומלבוש שכן תנאי מזון האשה והבנות</w:t>
      </w:r>
      <w:r>
        <w:rPr>
          <w:rFonts w:cs="Arial" w:hint="cs"/>
          <w:sz w:val="16"/>
          <w:szCs w:val="16"/>
          <w:rtl/>
        </w:rPr>
        <w:t>, ב"י)</w:t>
      </w:r>
    </w:p>
    <w:p w14:paraId="763B58E4" w14:textId="77777777" w:rsidR="002E5BAD" w:rsidRDefault="002E5BAD" w:rsidP="002E5BAD">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אע"פ</w:t>
      </w:r>
      <w:r w:rsidRPr="009E3B5F">
        <w:rPr>
          <w:rFonts w:hint="cs"/>
          <w:b/>
          <w:bCs/>
          <w:sz w:val="16"/>
          <w:szCs w:val="16"/>
          <w:rtl/>
        </w:rPr>
        <w:t xml:space="preserve">) </w:t>
      </w:r>
      <w:r>
        <w:rPr>
          <w:rFonts w:hint="cs"/>
          <w:b/>
          <w:bCs/>
          <w:rtl/>
        </w:rPr>
        <w:t>סה</w:t>
      </w:r>
      <w:r w:rsidRPr="009E3B5F">
        <w:rPr>
          <w:rFonts w:hint="cs"/>
          <w:b/>
          <w:bCs/>
          <w:rtl/>
        </w:rPr>
        <w:t xml:space="preserve"> ע"</w:t>
      </w:r>
      <w:r>
        <w:rPr>
          <w:rFonts w:hint="cs"/>
          <w:b/>
          <w:bCs/>
          <w:rtl/>
        </w:rPr>
        <w:t>א</w:t>
      </w:r>
      <w:r w:rsidRPr="009E3B5F">
        <w:rPr>
          <w:rFonts w:hint="cs"/>
          <w:b/>
          <w:bCs/>
          <w:rtl/>
        </w:rPr>
        <w:t>:</w:t>
      </w:r>
      <w:r w:rsidRPr="004C0F3E">
        <w:rPr>
          <w:rtl/>
        </w:rPr>
        <w:t xml:space="preserve"> </w:t>
      </w:r>
      <w:r w:rsidRPr="004C0F3E">
        <w:rPr>
          <w:rFonts w:cs="Arial"/>
          <w:rtl/>
        </w:rPr>
        <w:t>דביתהו דרב יוסף בריה דרב מנשיא מדויל אתאי לקמיה דרב יוסף, א"ל: פסוק לי מזוני, פסק לה. פסוק לי חמרא, פסק לה. פסוק לי שיראי, אמר לה: שיראי למה? אמרה ליה: לך ולחברך ולחברורך</w:t>
      </w:r>
      <w:r>
        <w:rPr>
          <w:rStyle w:val="a7"/>
          <w:rFonts w:cs="Arial"/>
          <w:rtl/>
        </w:rPr>
        <w:footnoteReference w:id="2879"/>
      </w:r>
      <w:r w:rsidRPr="004C0F3E">
        <w:rPr>
          <w:rFonts w:cs="Arial"/>
          <w:rtl/>
        </w:rPr>
        <w:t>.</w:t>
      </w:r>
    </w:p>
    <w:p w14:paraId="5DCE22A8" w14:textId="77777777" w:rsidR="002E5BAD" w:rsidRPr="000454C9" w:rsidRDefault="002E5BAD" w:rsidP="002E5BAD">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rtl/>
        </w:rPr>
        <w:t>מתיבי: הבנות ניזונות ומתפרנסות מנכסי אביהן</w:t>
      </w:r>
      <w:r>
        <w:rPr>
          <w:rFonts w:cs="Arial" w:hint="cs"/>
          <w:rtl/>
        </w:rPr>
        <w:t>.</w:t>
      </w:r>
      <w:r w:rsidRPr="000454C9">
        <w:rPr>
          <w:rFonts w:cs="Arial"/>
          <w:rtl/>
        </w:rPr>
        <w:t xml:space="preserve"> כיצד? אין אומרים אילו אביה קיים כך וכך היה נותן לה, אלא שמין את הנכסים ונותנין לה</w:t>
      </w:r>
      <w:r>
        <w:rPr>
          <w:rFonts w:hint="cs"/>
          <w:rtl/>
        </w:rPr>
        <w:t>.</w:t>
      </w:r>
      <w:r w:rsidRPr="000454C9">
        <w:rPr>
          <w:rFonts w:cs="Arial"/>
          <w:sz w:val="16"/>
          <w:szCs w:val="16"/>
          <w:rtl/>
        </w:rPr>
        <w:t xml:space="preserve"> </w:t>
      </w:r>
      <w:r>
        <w:rPr>
          <w:rFonts w:cs="Arial" w:hint="cs"/>
          <w:sz w:val="16"/>
          <w:szCs w:val="16"/>
          <w:rtl/>
        </w:rPr>
        <w:t>(</w:t>
      </w:r>
      <w:r w:rsidRPr="000454C9">
        <w:rPr>
          <w:rFonts w:cs="Arial"/>
          <w:sz w:val="16"/>
          <w:szCs w:val="16"/>
          <w:rtl/>
        </w:rPr>
        <w:t>ונר</w:t>
      </w:r>
      <w:r w:rsidRPr="000454C9">
        <w:rPr>
          <w:rFonts w:cs="Arial" w:hint="cs"/>
          <w:sz w:val="16"/>
          <w:szCs w:val="16"/>
          <w:rtl/>
        </w:rPr>
        <w:t>אה</w:t>
      </w:r>
      <w:r w:rsidRPr="000454C9">
        <w:rPr>
          <w:rFonts w:cs="Arial"/>
          <w:sz w:val="16"/>
          <w:szCs w:val="16"/>
          <w:rtl/>
        </w:rPr>
        <w:t xml:space="preserve"> דמכאן ג"כ למד הרמב"ם מה שכתב אלא שהאשה פוסקין לה לפי כבודה ולבת פוסקין לה דבר המספיק לה בלבד</w:t>
      </w:r>
      <w:r>
        <w:rPr>
          <w:rFonts w:cs="Arial" w:hint="cs"/>
          <w:sz w:val="16"/>
          <w:szCs w:val="16"/>
          <w:rtl/>
        </w:rPr>
        <w:t>, ב"י)</w:t>
      </w:r>
    </w:p>
    <w:p w14:paraId="48145C60" w14:textId="77777777" w:rsidR="002E5BAD" w:rsidRDefault="002E5BAD" w:rsidP="002E5BAD">
      <w:pPr>
        <w:rPr>
          <w:rtl/>
        </w:rPr>
      </w:pPr>
      <w:r w:rsidRPr="009E3B5F">
        <w:rPr>
          <w:rFonts w:hint="cs"/>
          <w:b/>
          <w:bCs/>
          <w:rtl/>
        </w:rPr>
        <w:t xml:space="preserve">כתובות </w:t>
      </w:r>
      <w:r w:rsidRPr="009E3B5F">
        <w:rPr>
          <w:rFonts w:hint="cs"/>
          <w:b/>
          <w:bCs/>
          <w:sz w:val="16"/>
          <w:szCs w:val="16"/>
          <w:rtl/>
        </w:rPr>
        <w:t xml:space="preserve">(פ' אלמנה נזונת) </w:t>
      </w:r>
      <w:r>
        <w:rPr>
          <w:rFonts w:hint="cs"/>
          <w:b/>
          <w:bCs/>
          <w:rtl/>
        </w:rPr>
        <w:t>ק</w:t>
      </w:r>
      <w:r>
        <w:rPr>
          <w:rStyle w:val="a7"/>
          <w:b/>
          <w:bCs/>
          <w:rtl/>
        </w:rPr>
        <w:footnoteReference w:id="2880"/>
      </w:r>
      <w:r w:rsidRPr="009E3B5F">
        <w:rPr>
          <w:rFonts w:hint="cs"/>
          <w:b/>
          <w:bCs/>
          <w:rtl/>
        </w:rPr>
        <w:t xml:space="preserve"> ע"</w:t>
      </w:r>
      <w:r>
        <w:rPr>
          <w:rFonts w:hint="cs"/>
          <w:b/>
          <w:bCs/>
          <w:rtl/>
        </w:rPr>
        <w:t>ב</w:t>
      </w:r>
      <w:r w:rsidRPr="009E3B5F">
        <w:rPr>
          <w:rFonts w:hint="cs"/>
          <w:b/>
          <w:bCs/>
          <w:rtl/>
        </w:rPr>
        <w:t xml:space="preserve">: </w:t>
      </w:r>
      <w:r w:rsidRPr="00075FF9">
        <w:rPr>
          <w:rFonts w:cs="Arial"/>
          <w:u w:val="single"/>
          <w:rtl/>
        </w:rPr>
        <w:t>דאמרי נהרדעי</w:t>
      </w:r>
      <w:r w:rsidRPr="00744AD3">
        <w:rPr>
          <w:rFonts w:cs="Arial"/>
          <w:rtl/>
        </w:rPr>
        <w:t>: לכרגא, למזוני, ולקבורה - מזבנינן בלא אכרזתא.</w:t>
      </w:r>
    </w:p>
    <w:p w14:paraId="5028A471" w14:textId="77777777" w:rsidR="002E5BAD" w:rsidRDefault="002E5BAD" w:rsidP="002E5BAD">
      <w:pPr>
        <w:rPr>
          <w:sz w:val="16"/>
          <w:szCs w:val="16"/>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Fonts w:cs="Arial" w:hint="cs"/>
          <w:rtl/>
        </w:rPr>
        <w:t>..</w:t>
      </w:r>
      <w:r w:rsidRPr="000454C9">
        <w:rPr>
          <w:rFonts w:cs="Arial"/>
          <w:rtl/>
        </w:rPr>
        <w:t xml:space="preserve"> </w:t>
      </w:r>
      <w:r w:rsidRPr="000454C9">
        <w:rPr>
          <w:rFonts w:cs="Arial"/>
          <w:u w:val="single"/>
          <w:rtl/>
        </w:rPr>
        <w:t>רב אשי אמר</w:t>
      </w:r>
      <w:r w:rsidRPr="000454C9">
        <w:rPr>
          <w:rFonts w:cs="Arial"/>
          <w:rtl/>
        </w:rPr>
        <w:t>: בת - בעלת חוב הויא. ואף אמימר הדר ביה</w:t>
      </w:r>
      <w:r>
        <w:rPr>
          <w:rFonts w:cs="Arial" w:hint="cs"/>
          <w:rtl/>
        </w:rPr>
        <w:t>..</w:t>
      </w:r>
      <w:r w:rsidRPr="000454C9">
        <w:rPr>
          <w:rFonts w:cs="Arial"/>
          <w:rtl/>
        </w:rPr>
        <w:t>. והשתא דאמרת: בעלת חוב הויא, דאבא או דאחי? למאי נפקא מינה? למיגבא לבינונית שלא בשבועה וזיבורית בשבועה, מאי? תא שמע: דרבינא אגביה לברתיה דרב אשי ממר בריה דרב אשי בינונית ושלא בשבועה, מבריה דרב סמא בריה דרב אשי - זבורית בשבועה.</w:t>
      </w:r>
      <w:r>
        <w:rPr>
          <w:rFonts w:hint="cs"/>
          <w:rtl/>
        </w:rPr>
        <w:t xml:space="preserve"> </w:t>
      </w:r>
      <w:r w:rsidRPr="000454C9">
        <w:rPr>
          <w:rFonts w:hint="cs"/>
          <w:sz w:val="16"/>
          <w:szCs w:val="16"/>
          <w:rtl/>
        </w:rPr>
        <w:t xml:space="preserve">(וכ"פ הרמב"ם </w:t>
      </w:r>
      <w:r>
        <w:rPr>
          <w:rFonts w:hint="cs"/>
          <w:sz w:val="16"/>
          <w:szCs w:val="16"/>
          <w:rtl/>
        </w:rPr>
        <w:t>(</w:t>
      </w:r>
      <w:r w:rsidRPr="000454C9">
        <w:rPr>
          <w:rFonts w:hint="cs"/>
          <w:sz w:val="16"/>
          <w:szCs w:val="16"/>
          <w:rtl/>
        </w:rPr>
        <w:t>פ"כ מאישות ה"ו</w:t>
      </w:r>
      <w:r>
        <w:rPr>
          <w:rFonts w:hint="cs"/>
          <w:sz w:val="16"/>
          <w:szCs w:val="16"/>
          <w:rtl/>
        </w:rPr>
        <w:t>)</w:t>
      </w:r>
      <w:r w:rsidRPr="000454C9">
        <w:rPr>
          <w:rFonts w:hint="cs"/>
          <w:sz w:val="16"/>
          <w:szCs w:val="16"/>
          <w:rtl/>
        </w:rPr>
        <w:t xml:space="preserve">. </w:t>
      </w:r>
      <w:r w:rsidRPr="000454C9">
        <w:rPr>
          <w:rFonts w:hint="cs"/>
          <w:color w:val="E36C0A" w:themeColor="accent6" w:themeShade="BF"/>
          <w:sz w:val="16"/>
          <w:szCs w:val="16"/>
          <w:rtl/>
        </w:rPr>
        <w:t xml:space="preserve">וכ"פ בשו"ע </w:t>
      </w:r>
      <w:r>
        <w:rPr>
          <w:rFonts w:hint="cs"/>
          <w:sz w:val="16"/>
          <w:szCs w:val="16"/>
          <w:rtl/>
        </w:rPr>
        <w:t>(</w:t>
      </w:r>
      <w:r w:rsidRPr="000454C9">
        <w:rPr>
          <w:rFonts w:hint="cs"/>
          <w:sz w:val="16"/>
          <w:szCs w:val="16"/>
          <w:rtl/>
        </w:rPr>
        <w:t>סי' קיג ס"ג</w:t>
      </w:r>
      <w:r>
        <w:rPr>
          <w:rFonts w:hint="cs"/>
          <w:sz w:val="16"/>
          <w:szCs w:val="16"/>
          <w:rtl/>
        </w:rPr>
        <w:t>))</w:t>
      </w:r>
    </w:p>
    <w:p w14:paraId="42396D86" w14:textId="77777777" w:rsidR="002E5BAD" w:rsidRPr="00E62B51" w:rsidRDefault="002E5BAD" w:rsidP="002E5BAD">
      <w:pPr>
        <w:rPr>
          <w:u w:val="single"/>
          <w:rtl/>
        </w:rPr>
      </w:pPr>
      <w:r w:rsidRPr="00E62B51">
        <w:rPr>
          <w:rFonts w:hint="cs"/>
          <w:u w:val="single"/>
          <w:rtl/>
        </w:rPr>
        <w:t>פסיקת מזונות כסות ומדור לבת, ומכירה:</w:t>
      </w:r>
    </w:p>
    <w:p w14:paraId="302B8BCA" w14:textId="77777777" w:rsidR="002E5BAD" w:rsidRPr="00B345A5" w:rsidRDefault="002E5BAD" w:rsidP="00B75458">
      <w:pPr>
        <w:pStyle w:val="ab"/>
        <w:numPr>
          <w:ilvl w:val="0"/>
          <w:numId w:val="195"/>
        </w:numPr>
        <w:rPr>
          <w:rtl/>
        </w:rPr>
      </w:pPr>
      <w:r w:rsidRPr="00B345A5">
        <w:rPr>
          <w:rFonts w:cs="Arial"/>
          <w:rtl/>
        </w:rPr>
        <w:t xml:space="preserve">רמב"ם </w:t>
      </w:r>
      <w:r>
        <w:rPr>
          <w:rFonts w:cs="Arial" w:hint="cs"/>
          <w:sz w:val="16"/>
          <w:szCs w:val="16"/>
          <w:rtl/>
        </w:rPr>
        <w:t xml:space="preserve">(פי"ט הי"א) </w:t>
      </w:r>
      <w:r>
        <w:rPr>
          <w:rFonts w:cs="Arial" w:hint="cs"/>
          <w:rtl/>
        </w:rPr>
        <w:t xml:space="preserve">וטור- </w:t>
      </w:r>
      <w:r w:rsidRPr="00E62B51">
        <w:rPr>
          <w:rFonts w:cs="Arial"/>
          <w:rtl/>
        </w:rPr>
        <w:t>פוסקין לבת מזונות וכסות ומדור מנכסי אביה כדרך שפוסקין לאלמנה</w:t>
      </w:r>
      <w:r>
        <w:rPr>
          <w:rFonts w:cs="Arial" w:hint="cs"/>
          <w:rtl/>
        </w:rPr>
        <w:t>.</w:t>
      </w:r>
      <w:r w:rsidRPr="00E62B51">
        <w:rPr>
          <w:rFonts w:cs="Arial"/>
          <w:rtl/>
        </w:rPr>
        <w:t xml:space="preserve"> ומוכרין למזון הבנות וכסותן בלא הכרזה כדרך שמוכרין למזון האלמנה וכסותה</w:t>
      </w:r>
      <w:r>
        <w:rPr>
          <w:rFonts w:cs="Arial" w:hint="cs"/>
          <w:rtl/>
        </w:rPr>
        <w:t>.</w:t>
      </w:r>
      <w:r w:rsidRPr="00E62B51">
        <w:rPr>
          <w:rFonts w:cs="Arial"/>
          <w:rtl/>
        </w:rPr>
        <w:t xml:space="preserve"> אלא שהאשה פוסקין לה לפי כבודה וכבוד בעלה</w:t>
      </w:r>
      <w:r>
        <w:rPr>
          <w:rFonts w:cs="Arial" w:hint="cs"/>
          <w:rtl/>
        </w:rPr>
        <w:t>,</w:t>
      </w:r>
      <w:r w:rsidRPr="00E62B51">
        <w:rPr>
          <w:rFonts w:cs="Arial"/>
          <w:rtl/>
        </w:rPr>
        <w:t xml:space="preserve"> ולבנות פוסקין להן דבר המספיק להן בלבד</w:t>
      </w:r>
      <w:r>
        <w:rPr>
          <w:rFonts w:cs="Arial" w:hint="cs"/>
          <w:rtl/>
        </w:rPr>
        <w:t>.</w:t>
      </w:r>
      <w:r w:rsidRPr="00E62B51">
        <w:rPr>
          <w:rFonts w:cs="Arial"/>
          <w:rtl/>
        </w:rPr>
        <w:t xml:space="preserve"> ואין הבנות נשבעות</w:t>
      </w:r>
      <w:r>
        <w:rPr>
          <w:rFonts w:cs="Arial" w:hint="cs"/>
          <w:sz w:val="16"/>
          <w:szCs w:val="16"/>
          <w:rtl/>
        </w:rPr>
        <w:t xml:space="preserve"> (ל' הרמב"ם)</w:t>
      </w:r>
      <w:r>
        <w:rPr>
          <w:rFonts w:cs="Arial" w:hint="cs"/>
          <w:rtl/>
        </w:rPr>
        <w:t>.</w:t>
      </w:r>
      <w:r w:rsidRPr="00B345A5">
        <w:rPr>
          <w:rFonts w:cs="Arial"/>
          <w:rtl/>
        </w:rPr>
        <w:t xml:space="preserve"> </w:t>
      </w:r>
    </w:p>
    <w:p w14:paraId="119EA39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0DF7B912" w14:textId="77777777" w:rsidR="002E5BAD" w:rsidRDefault="002E5BAD" w:rsidP="002E5BAD">
      <w:pPr>
        <w:rPr>
          <w:rFonts w:cs="Arial"/>
          <w:rtl/>
        </w:rPr>
      </w:pPr>
      <w:r w:rsidRPr="00523CDE">
        <w:rPr>
          <w:rFonts w:cs="Arial"/>
          <w:rtl/>
        </w:rPr>
        <w:t>פוסקין לבת מזונות וכסות ומדור מנכסי אביה, כדרך שפוסקין לאלמנה. ומוכרין למזון הבנות וכסותן בלא הכרזה, כדרך שמוכרין למזון האלמנה וכסותה</w:t>
      </w:r>
      <w:r>
        <w:rPr>
          <w:rFonts w:cs="Arial" w:hint="cs"/>
          <w:rtl/>
        </w:rPr>
        <w:t>.</w:t>
      </w:r>
      <w:r w:rsidRPr="00523CDE">
        <w:rPr>
          <w:rFonts w:cs="Arial"/>
          <w:rtl/>
        </w:rPr>
        <w:t xml:space="preserve"> אלא שהאשה פוסקין לה לפי כבודה וכבוד בעלה, ולבת פוסקין לה דבר המספיק</w:t>
      </w:r>
      <w:r>
        <w:rPr>
          <w:rStyle w:val="a7"/>
          <w:rFonts w:cs="Arial"/>
          <w:rtl/>
        </w:rPr>
        <w:footnoteReference w:id="2881"/>
      </w:r>
      <w:r w:rsidRPr="00523CDE">
        <w:rPr>
          <w:rFonts w:cs="Arial"/>
          <w:rtl/>
        </w:rPr>
        <w:t xml:space="preserve"> לה בלבד. ואין הבנות נשבעות</w:t>
      </w:r>
      <w:r>
        <w:rPr>
          <w:rStyle w:val="a7"/>
          <w:rFonts w:cs="Arial"/>
          <w:rtl/>
        </w:rPr>
        <w:footnoteReference w:id="2882"/>
      </w:r>
      <w:r w:rsidRPr="00523CDE">
        <w:rPr>
          <w:rFonts w:cs="Arial"/>
          <w:rtl/>
        </w:rPr>
        <w:t xml:space="preserve">. </w:t>
      </w:r>
    </w:p>
    <w:p w14:paraId="7383A4C1" w14:textId="77777777" w:rsidR="002E5BAD" w:rsidRPr="00523CDE" w:rsidRDefault="002E5BAD" w:rsidP="002E5BAD">
      <w:pPr>
        <w:rPr>
          <w:rFonts w:cs="Arial"/>
          <w:rtl/>
        </w:rPr>
      </w:pPr>
    </w:p>
    <w:p w14:paraId="1C546951" w14:textId="77777777" w:rsidR="002E5BAD" w:rsidRPr="00B72D3C" w:rsidRDefault="002E5BAD" w:rsidP="002E5BAD">
      <w:pPr>
        <w:pStyle w:val="2"/>
        <w:rPr>
          <w:rtl/>
        </w:rPr>
      </w:pPr>
      <w:r w:rsidRPr="00B72D3C">
        <w:rPr>
          <w:rtl/>
        </w:rPr>
        <w:t>סעיף ז</w:t>
      </w:r>
      <w:r w:rsidRPr="00B72D3C">
        <w:rPr>
          <w:rFonts w:hint="cs"/>
          <w:rtl/>
        </w:rPr>
        <w:t xml:space="preserve">: </w:t>
      </w:r>
      <w:r>
        <w:rPr>
          <w:rFonts w:hint="cs"/>
          <w:rtl/>
        </w:rPr>
        <w:t xml:space="preserve">מאלו נכסים גובים את </w:t>
      </w:r>
      <w:r w:rsidRPr="00B72D3C">
        <w:rPr>
          <w:rFonts w:hint="cs"/>
          <w:rtl/>
        </w:rPr>
        <w:t>מזונות הבת.</w:t>
      </w:r>
    </w:p>
    <w:p w14:paraId="6D58FCCC" w14:textId="77777777" w:rsidR="002E5BAD" w:rsidRPr="005A2FCA" w:rsidRDefault="002E5BAD" w:rsidP="002E5BAD">
      <w:pPr>
        <w:rPr>
          <w:rFonts w:cs="Arial"/>
          <w:u w:val="single"/>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נערה שנתפתתה</w:t>
      </w:r>
      <w:r w:rsidRPr="009E3B5F">
        <w:rPr>
          <w:rFonts w:hint="cs"/>
          <w:b/>
          <w:bCs/>
          <w:sz w:val="16"/>
          <w:szCs w:val="16"/>
          <w:rtl/>
        </w:rPr>
        <w:t xml:space="preserve">) </w:t>
      </w:r>
      <w:r>
        <w:rPr>
          <w:rFonts w:hint="cs"/>
          <w:b/>
          <w:bCs/>
          <w:rtl/>
        </w:rPr>
        <w:t>נ</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CC0FD2">
        <w:rPr>
          <w:rFonts w:cs="Arial"/>
          <w:u w:val="single"/>
          <w:rtl/>
        </w:rPr>
        <w:t>יתיב רב יוסף קמיה דרב המנונא, ויתיב רב המנונא וקאמר</w:t>
      </w:r>
      <w:r w:rsidRPr="00D4525B">
        <w:rPr>
          <w:rFonts w:cs="Arial"/>
          <w:rtl/>
        </w:rPr>
        <w:t>: כשם שאין הבנים יורשין אלא מן הקרקע, כך אין בנות ניזונות אלא מן הקרקע. אווש עליה כולי עלמא</w:t>
      </w:r>
      <w:r>
        <w:rPr>
          <w:rStyle w:val="a7"/>
          <w:rFonts w:cs="Arial"/>
          <w:rtl/>
        </w:rPr>
        <w:footnoteReference w:id="2883"/>
      </w:r>
      <w:r w:rsidRPr="00D4525B">
        <w:rPr>
          <w:rFonts w:cs="Arial"/>
          <w:rtl/>
        </w:rPr>
        <w:t xml:space="preserve">, דשביק ארעא הוא דירתי ליה בניה, דלא שביק ארעא לא ירתי ליה בניה? </w:t>
      </w:r>
      <w:r w:rsidRPr="00CC0FD2">
        <w:rPr>
          <w:rFonts w:cs="Arial"/>
          <w:u w:val="single"/>
          <w:rtl/>
        </w:rPr>
        <w:t>אמר ליה רב יוסף</w:t>
      </w:r>
      <w:r w:rsidRPr="00D4525B">
        <w:rPr>
          <w:rFonts w:cs="Arial"/>
          <w:rtl/>
        </w:rPr>
        <w:t>: ודלמא כתובת בנין דכרין קאמר מר</w:t>
      </w:r>
      <w:r>
        <w:rPr>
          <w:rStyle w:val="a7"/>
          <w:rFonts w:cs="Arial"/>
          <w:rtl/>
        </w:rPr>
        <w:footnoteReference w:id="2884"/>
      </w:r>
      <w:r w:rsidRPr="00D4525B">
        <w:rPr>
          <w:rFonts w:cs="Arial"/>
          <w:rtl/>
        </w:rPr>
        <w:t xml:space="preserve">? </w:t>
      </w:r>
      <w:r w:rsidRPr="00B5620B">
        <w:rPr>
          <w:rFonts w:cs="Arial"/>
          <w:u w:val="single"/>
          <w:rtl/>
        </w:rPr>
        <w:t>אמר ליה</w:t>
      </w:r>
      <w:r w:rsidRPr="00D4525B">
        <w:rPr>
          <w:rFonts w:cs="Arial"/>
          <w:rtl/>
        </w:rPr>
        <w:t>: מר דגברא רבא הוא ידע</w:t>
      </w:r>
      <w:r>
        <w:rPr>
          <w:rStyle w:val="a7"/>
          <w:rFonts w:cs="Arial"/>
          <w:rtl/>
        </w:rPr>
        <w:footnoteReference w:id="2885"/>
      </w:r>
      <w:r w:rsidRPr="00D4525B">
        <w:rPr>
          <w:rFonts w:cs="Arial"/>
          <w:rtl/>
        </w:rPr>
        <w:t xml:space="preserve"> מאי קאמינא.</w:t>
      </w:r>
      <w:r>
        <w:rPr>
          <w:rFonts w:cs="Arial" w:hint="cs"/>
          <w:rtl/>
        </w:rPr>
        <w:t>..</w:t>
      </w:r>
      <w:r w:rsidRPr="00D4525B">
        <w:rPr>
          <w:rFonts w:cs="Arial"/>
          <w:rtl/>
        </w:rPr>
        <w:t xml:space="preserve"> הוה עובדא בנהרדעא, ודון דייני</w:t>
      </w:r>
      <w:r>
        <w:rPr>
          <w:rStyle w:val="a7"/>
          <w:rFonts w:cs="Arial"/>
          <w:rtl/>
        </w:rPr>
        <w:footnoteReference w:id="2886"/>
      </w:r>
      <w:r w:rsidRPr="00D4525B">
        <w:rPr>
          <w:rFonts w:cs="Arial"/>
          <w:rtl/>
        </w:rPr>
        <w:t xml:space="preserve"> דנהרדעא</w:t>
      </w:r>
      <w:r>
        <w:rPr>
          <w:rFonts w:cs="Arial" w:hint="cs"/>
          <w:rtl/>
        </w:rPr>
        <w:t>.</w:t>
      </w:r>
      <w:r w:rsidRPr="00D4525B">
        <w:rPr>
          <w:rFonts w:cs="Arial"/>
          <w:rtl/>
        </w:rPr>
        <w:t xml:space="preserve"> בפומבדיתא, ואגבי רב חנא בר ביזנא. </w:t>
      </w:r>
      <w:r w:rsidRPr="00812C86">
        <w:rPr>
          <w:rFonts w:cs="Arial"/>
          <w:u w:val="single"/>
          <w:rtl/>
        </w:rPr>
        <w:t>אמר להו רב נחמן</w:t>
      </w:r>
      <w:r w:rsidRPr="00D4525B">
        <w:rPr>
          <w:rFonts w:cs="Arial"/>
          <w:rtl/>
        </w:rPr>
        <w:t>: זילו אהדרו, ואי לא - מגבינא לכו לאפדנייכו מינייכו. רבי אמי ורבי אסי סבור למיזן ממטלטלי</w:t>
      </w:r>
      <w:r>
        <w:rPr>
          <w:rFonts w:cs="Arial" w:hint="cs"/>
          <w:rtl/>
        </w:rPr>
        <w:t>.</w:t>
      </w:r>
      <w:r w:rsidRPr="00D4525B">
        <w:rPr>
          <w:rFonts w:cs="Arial"/>
          <w:rtl/>
        </w:rPr>
        <w:t xml:space="preserve"> </w:t>
      </w:r>
      <w:r w:rsidRPr="00812C86">
        <w:rPr>
          <w:rFonts w:cs="Arial"/>
          <w:u w:val="single"/>
          <w:rtl/>
        </w:rPr>
        <w:t>אמר להו רבי יעקב בר אידי</w:t>
      </w:r>
      <w:r w:rsidRPr="00D4525B">
        <w:rPr>
          <w:rFonts w:cs="Arial"/>
          <w:rtl/>
        </w:rPr>
        <w:t>: מילתא דר' יוחנן ור"ל לא עבדו בה עובדא, אתון עבדין בה עובדא? רבי אלעזר סבר למיזן ממטלטלין</w:t>
      </w:r>
      <w:r>
        <w:rPr>
          <w:rFonts w:cs="Arial" w:hint="cs"/>
          <w:rtl/>
        </w:rPr>
        <w:t>.</w:t>
      </w:r>
      <w:r w:rsidRPr="00D4525B">
        <w:rPr>
          <w:rFonts w:cs="Arial"/>
          <w:rtl/>
        </w:rPr>
        <w:t xml:space="preserve"> </w:t>
      </w:r>
      <w:r w:rsidRPr="00812C86">
        <w:rPr>
          <w:rFonts w:cs="Arial"/>
          <w:u w:val="single"/>
          <w:rtl/>
        </w:rPr>
        <w:t>אמר לפניו רבי שמעון בן אליקים</w:t>
      </w:r>
      <w:r w:rsidRPr="00D4525B">
        <w:rPr>
          <w:rFonts w:cs="Arial"/>
          <w:rtl/>
        </w:rPr>
        <w:t>: רבי, יודע אני בך שאין מדת הדין אתה עושה אלא מדת רחמנות, אלא שמא יראו התלמידים ויקבעו הלכה לדורות.</w:t>
      </w:r>
      <w:r>
        <w:rPr>
          <w:rFonts w:cs="Arial" w:hint="cs"/>
          <w:rtl/>
        </w:rPr>
        <w:t>.</w:t>
      </w:r>
      <w:r w:rsidRPr="000C2B9F">
        <w:rPr>
          <w:rFonts w:cs="Arial"/>
          <w:rtl/>
        </w:rPr>
        <w:t>.</w:t>
      </w:r>
      <w:r>
        <w:rPr>
          <w:rFonts w:hint="cs"/>
          <w:rtl/>
        </w:rPr>
        <w:t xml:space="preserve"> </w:t>
      </w:r>
      <w:r>
        <w:rPr>
          <w:rFonts w:hint="cs"/>
          <w:sz w:val="14"/>
          <w:szCs w:val="14"/>
          <w:rtl/>
        </w:rPr>
        <w:t>(נא.)</w:t>
      </w:r>
      <w:r w:rsidRPr="000C2B9F">
        <w:rPr>
          <w:rFonts w:cs="Arial"/>
          <w:rtl/>
        </w:rPr>
        <w:t xml:space="preserve"> תנו רבנן: אחד נכסים שיש להן אחריות, ואחד נכסים שאין להן אחריות - מוציאין למזון אשה ולבנות, </w:t>
      </w:r>
      <w:r w:rsidRPr="000C2B9F">
        <w:rPr>
          <w:rFonts w:cs="Arial"/>
          <w:u w:val="single"/>
          <w:rtl/>
        </w:rPr>
        <w:t>דברי רבי</w:t>
      </w:r>
      <w:r>
        <w:rPr>
          <w:rFonts w:cs="Arial" w:hint="cs"/>
          <w:rtl/>
        </w:rPr>
        <w:t>.</w:t>
      </w:r>
      <w:r w:rsidRPr="000C2B9F">
        <w:rPr>
          <w:rFonts w:cs="Arial"/>
          <w:rtl/>
        </w:rPr>
        <w:t xml:space="preserve"> </w:t>
      </w:r>
      <w:r w:rsidRPr="000C2B9F">
        <w:rPr>
          <w:rFonts w:cs="Arial"/>
          <w:u w:val="single"/>
          <w:rtl/>
        </w:rPr>
        <w:t>רבי שמעון בן אלעזר אומר</w:t>
      </w:r>
      <w:r w:rsidRPr="000C2B9F">
        <w:rPr>
          <w:rFonts w:cs="Arial"/>
          <w:rtl/>
        </w:rPr>
        <w:t>: נכסים שיש להן אחריות - מוציאין לבנות מן הבנים ולבנות מן הבנות ולבנים מן הבנים ולבנים מן הבנות בנכסים מרובין, אבל לא לבנים מן הבנות בנכסים מועטין; נכסים שאין להן אחריות - מוציאין לבנים מן הבנים ולבנות מן הבנות ולבנים מן הבנות, אבל לא לבנות מן הבנים. אף על גב דקיימא לן הלכה כרבי מחבירו, הכא הלכה כרבי שמעון בן אלעזר, דאמר רבא, הלכתא: ממקרקעי ולא ממטלטלי, בין לכתובה, בין למזוני, בין לפרנסה.</w:t>
      </w:r>
      <w:r w:rsidRPr="000C2B9F">
        <w:rPr>
          <w:rFonts w:cs="Arial" w:hint="cs"/>
          <w:sz w:val="16"/>
          <w:szCs w:val="16"/>
          <w:rtl/>
        </w:rPr>
        <w:t xml:space="preserve"> (מכאן נלמד ד</w:t>
      </w:r>
      <w:r w:rsidRPr="000C2B9F">
        <w:rPr>
          <w:rFonts w:cs="Arial"/>
          <w:sz w:val="16"/>
          <w:szCs w:val="16"/>
          <w:rtl/>
        </w:rPr>
        <w:t>מדינא דגמרא אין הבנות נזונות אלא ממקרקעי. אבל מתקנת הגאונים שכתובה נגבית ממטלטלין</w:t>
      </w:r>
      <w:r>
        <w:rPr>
          <w:rFonts w:cs="Arial" w:hint="cs"/>
          <w:sz w:val="16"/>
          <w:szCs w:val="16"/>
          <w:rtl/>
        </w:rPr>
        <w:t xml:space="preserve"> -</w:t>
      </w:r>
      <w:r w:rsidRPr="000C2B9F">
        <w:rPr>
          <w:rFonts w:cs="Arial"/>
          <w:sz w:val="16"/>
          <w:szCs w:val="16"/>
          <w:rtl/>
        </w:rPr>
        <w:t xml:space="preserve"> גם הבנות נזונות מהם</w:t>
      </w:r>
      <w:r w:rsidRPr="000C2B9F">
        <w:rPr>
          <w:rFonts w:cs="Arial" w:hint="cs"/>
          <w:sz w:val="16"/>
          <w:szCs w:val="16"/>
          <w:rtl/>
        </w:rPr>
        <w:t>, טור</w:t>
      </w:r>
      <w:r w:rsidRPr="000C2B9F">
        <w:rPr>
          <w:rFonts w:cs="Arial"/>
          <w:sz w:val="16"/>
          <w:szCs w:val="16"/>
          <w:rtl/>
        </w:rPr>
        <w:t xml:space="preserve">. </w:t>
      </w:r>
      <w:r w:rsidRPr="000C2B9F">
        <w:rPr>
          <w:rFonts w:cs="Arial" w:hint="cs"/>
          <w:sz w:val="16"/>
          <w:szCs w:val="16"/>
          <w:rtl/>
        </w:rPr>
        <w:t>ו</w:t>
      </w:r>
      <w:r w:rsidRPr="000C2B9F">
        <w:rPr>
          <w:rFonts w:cs="Arial"/>
          <w:sz w:val="16"/>
          <w:szCs w:val="16"/>
          <w:rtl/>
        </w:rPr>
        <w:t>כ"כ שם הרי"ף (יח:) והרא"ש (סי' יט)</w:t>
      </w:r>
      <w:r w:rsidRPr="000C2B9F">
        <w:rPr>
          <w:rFonts w:cs="Arial" w:hint="cs"/>
          <w:sz w:val="16"/>
          <w:szCs w:val="16"/>
          <w:rtl/>
        </w:rPr>
        <w:t>, ב"י</w:t>
      </w:r>
      <w:r>
        <w:rPr>
          <w:rFonts w:cs="Arial" w:hint="cs"/>
          <w:sz w:val="16"/>
          <w:szCs w:val="16"/>
          <w:rtl/>
        </w:rPr>
        <w:t>)</w:t>
      </w:r>
    </w:p>
    <w:p w14:paraId="09E71D0B" w14:textId="77777777" w:rsidR="002E5BAD" w:rsidRDefault="002E5BAD" w:rsidP="002E5BAD">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ר"</w:t>
      </w:r>
      <w:r w:rsidRPr="009E3B5F">
        <w:rPr>
          <w:rFonts w:hint="cs"/>
          <w:b/>
          <w:bCs/>
          <w:sz w:val="16"/>
          <w:szCs w:val="16"/>
          <w:rtl/>
        </w:rPr>
        <w:t>פ</w:t>
      </w:r>
      <w:r>
        <w:rPr>
          <w:rFonts w:hint="cs"/>
          <w:b/>
          <w:bCs/>
          <w:sz w:val="16"/>
          <w:szCs w:val="16"/>
          <w:rtl/>
        </w:rPr>
        <w:t xml:space="preserve"> נושא</w:t>
      </w:r>
      <w:r w:rsidRPr="009E3B5F">
        <w:rPr>
          <w:rFonts w:hint="cs"/>
          <w:b/>
          <w:bCs/>
          <w:sz w:val="16"/>
          <w:szCs w:val="16"/>
          <w:rtl/>
        </w:rPr>
        <w:t xml:space="preserve">) </w:t>
      </w:r>
      <w:r>
        <w:rPr>
          <w:rFonts w:hint="cs"/>
          <w:b/>
          <w:bCs/>
          <w:rtl/>
        </w:rPr>
        <w:t>קא</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5A2FCA">
        <w:rPr>
          <w:rFonts w:cs="Arial"/>
          <w:u w:val="double"/>
          <w:rtl/>
        </w:rPr>
        <w:t>מתני'</w:t>
      </w:r>
      <w:r>
        <w:rPr>
          <w:rFonts w:cs="Arial" w:hint="cs"/>
          <w:rtl/>
        </w:rPr>
        <w:t>:</w:t>
      </w:r>
      <w:r w:rsidRPr="005A2FCA">
        <w:rPr>
          <w:rFonts w:cs="Arial"/>
          <w:rtl/>
        </w:rPr>
        <w:t xml:space="preserve"> הנושא את האשה, ופסקה עמו כדי שיזון את בתה חמש שנים - חייב לזונה חמש שנים.</w:t>
      </w:r>
      <w:r>
        <w:rPr>
          <w:rFonts w:cs="Arial" w:hint="cs"/>
          <w:rtl/>
        </w:rPr>
        <w:t>.</w:t>
      </w:r>
      <w:r w:rsidRPr="005A2FCA">
        <w:rPr>
          <w:rFonts w:cs="Arial"/>
          <w:rtl/>
        </w:rPr>
        <w:t>. ניסת - הבעל נותן לה מזונות, והן נותנין לה דמי מזונות. מתו - בנותיהן ניזונות מנכסים בני חורין</w:t>
      </w:r>
      <w:r>
        <w:rPr>
          <w:rStyle w:val="a7"/>
          <w:rFonts w:cs="Arial"/>
          <w:rtl/>
        </w:rPr>
        <w:footnoteReference w:id="2887"/>
      </w:r>
      <w:r w:rsidRPr="005A2FCA">
        <w:rPr>
          <w:rFonts w:cs="Arial"/>
          <w:rtl/>
        </w:rPr>
        <w:t xml:space="preserve">, והיא ניזונת מנכסים משועבדים, מפני שהיא כבעלת חוב.  </w:t>
      </w:r>
    </w:p>
    <w:p w14:paraId="0251D716" w14:textId="77777777" w:rsidR="002E5BAD" w:rsidRDefault="002E5BAD" w:rsidP="002E5BAD">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925437">
        <w:rPr>
          <w:rFonts w:cs="Arial"/>
          <w:u w:val="single"/>
          <w:rtl/>
        </w:rPr>
        <w:t>תלה ליה רב לרבי ביני חטי</w:t>
      </w:r>
      <w:r w:rsidRPr="00925437">
        <w:rPr>
          <w:rStyle w:val="a7"/>
          <w:rFonts w:cs="Arial"/>
          <w:u w:val="single"/>
          <w:rtl/>
        </w:rPr>
        <w:footnoteReference w:id="2888"/>
      </w:r>
      <w:r w:rsidRPr="00B6418B">
        <w:rPr>
          <w:rFonts w:cs="Arial"/>
          <w:rtl/>
        </w:rPr>
        <w:t xml:space="preserve">: האחין ששיעבדו, מהו? </w:t>
      </w:r>
      <w:r w:rsidRPr="00925437">
        <w:rPr>
          <w:rFonts w:cs="Arial"/>
          <w:u w:val="single"/>
          <w:rtl/>
        </w:rPr>
        <w:t>הוה יתיב ר' חייא קמיה</w:t>
      </w:r>
      <w:r w:rsidRPr="00925437">
        <w:rPr>
          <w:rStyle w:val="a7"/>
          <w:rFonts w:cs="Arial"/>
          <w:u w:val="single"/>
          <w:rtl/>
        </w:rPr>
        <w:footnoteReference w:id="2889"/>
      </w:r>
      <w:r w:rsidRPr="00925437">
        <w:rPr>
          <w:rFonts w:cs="Arial"/>
          <w:u w:val="single"/>
          <w:rtl/>
        </w:rPr>
        <w:t>, אמר ליה</w:t>
      </w:r>
      <w:r w:rsidRPr="00B6418B">
        <w:rPr>
          <w:rFonts w:cs="Arial"/>
          <w:rtl/>
        </w:rPr>
        <w:t xml:space="preserve">: מכרו או משכנו? </w:t>
      </w:r>
      <w:r w:rsidRPr="00925437">
        <w:rPr>
          <w:rFonts w:cs="Arial"/>
          <w:u w:val="single"/>
          <w:rtl/>
        </w:rPr>
        <w:t>אמר ליה</w:t>
      </w:r>
      <w:r w:rsidRPr="00B6418B">
        <w:rPr>
          <w:rFonts w:cs="Arial"/>
          <w:rtl/>
        </w:rPr>
        <w:t>: מאי נפקא מינה? בין מכרו בין שמשכנו, מוציאין לפרנסה ואין מוציאין למזונות.</w:t>
      </w:r>
      <w:r>
        <w:rPr>
          <w:rFonts w:cs="Arial" w:hint="cs"/>
          <w:rtl/>
        </w:rPr>
        <w:t>.</w:t>
      </w:r>
      <w:r w:rsidRPr="00B6418B">
        <w:rPr>
          <w:rFonts w:cs="Arial"/>
          <w:rtl/>
        </w:rPr>
        <w:t>.</w:t>
      </w:r>
    </w:p>
    <w:p w14:paraId="18B5214A" w14:textId="77777777" w:rsidR="002E5BAD" w:rsidRPr="00D4525B" w:rsidRDefault="002E5BAD" w:rsidP="002E5BAD">
      <w:pPr>
        <w:rPr>
          <w:u w:val="single"/>
          <w:rtl/>
        </w:rPr>
      </w:pPr>
      <w:r w:rsidRPr="00861563">
        <w:rPr>
          <w:rFonts w:hint="cs"/>
          <w:u w:val="single"/>
          <w:rtl/>
        </w:rPr>
        <w:t>מאלו נכסים גובים את מזונות הבת</w:t>
      </w:r>
      <w:r w:rsidRPr="00D4525B">
        <w:rPr>
          <w:rFonts w:hint="cs"/>
          <w:u w:val="single"/>
          <w:rtl/>
        </w:rPr>
        <w:t>:</w:t>
      </w:r>
    </w:p>
    <w:p w14:paraId="77CAD37F" w14:textId="77777777" w:rsidR="002E5BAD" w:rsidRDefault="002E5BAD" w:rsidP="00B75458">
      <w:pPr>
        <w:pStyle w:val="ab"/>
        <w:numPr>
          <w:ilvl w:val="0"/>
          <w:numId w:val="195"/>
        </w:numPr>
      </w:pPr>
      <w:r>
        <w:rPr>
          <w:rFonts w:cs="Arial" w:hint="cs"/>
          <w:rtl/>
        </w:rPr>
        <w:t xml:space="preserve">טור- </w:t>
      </w:r>
      <w:r w:rsidRPr="00B345A5">
        <w:rPr>
          <w:rFonts w:cs="Arial"/>
          <w:rtl/>
        </w:rPr>
        <w:t>מדינא דגמרא אין הבנות ניזונות אלא ממקרקעי</w:t>
      </w:r>
      <w:r>
        <w:rPr>
          <w:rFonts w:cs="Arial" w:hint="cs"/>
          <w:rtl/>
        </w:rPr>
        <w:t>,</w:t>
      </w:r>
      <w:r w:rsidRPr="00B345A5">
        <w:rPr>
          <w:rFonts w:cs="Arial"/>
          <w:rtl/>
        </w:rPr>
        <w:t xml:space="preserve"> אבל מתקנת הגאונים שכתובה נגבית ממטלטלי </w:t>
      </w:r>
      <w:r>
        <w:rPr>
          <w:rFonts w:cs="Arial" w:hint="cs"/>
          <w:rtl/>
        </w:rPr>
        <w:t xml:space="preserve">- </w:t>
      </w:r>
      <w:r w:rsidRPr="00B345A5">
        <w:rPr>
          <w:rFonts w:cs="Arial"/>
          <w:rtl/>
        </w:rPr>
        <w:t>גם הבנות ניזונות מהם</w:t>
      </w:r>
      <w:r>
        <w:rPr>
          <w:rFonts w:cs="Arial" w:hint="cs"/>
          <w:rtl/>
        </w:rPr>
        <w:t>.</w:t>
      </w:r>
      <w:r w:rsidRPr="00B345A5">
        <w:rPr>
          <w:rFonts w:cs="Arial"/>
          <w:rtl/>
        </w:rPr>
        <w:t xml:space="preserve"> ואינן ניזונות אלא מבני חרי</w:t>
      </w:r>
      <w:r>
        <w:rPr>
          <w:rFonts w:cs="Arial" w:hint="cs"/>
          <w:rtl/>
        </w:rPr>
        <w:t>.</w:t>
      </w:r>
      <w:r w:rsidRPr="00B345A5">
        <w:rPr>
          <w:rFonts w:cs="Arial"/>
          <w:rtl/>
        </w:rPr>
        <w:t xml:space="preserve"> אבל אם מכר האב או נתן</w:t>
      </w:r>
      <w:r>
        <w:rPr>
          <w:rFonts w:cs="Arial" w:hint="cs"/>
          <w:rtl/>
        </w:rPr>
        <w:t>,</w:t>
      </w:r>
      <w:r w:rsidRPr="00B345A5">
        <w:rPr>
          <w:rFonts w:cs="Arial"/>
          <w:rtl/>
        </w:rPr>
        <w:t xml:space="preserve"> או אפי' הבנים אחרי מותו אם מכרו או משכנו או נתנו </w:t>
      </w:r>
      <w:r>
        <w:rPr>
          <w:rFonts w:cs="Arial" w:hint="cs"/>
          <w:rtl/>
        </w:rPr>
        <w:t xml:space="preserve">- </w:t>
      </w:r>
      <w:r w:rsidRPr="00B345A5">
        <w:rPr>
          <w:rFonts w:cs="Arial"/>
          <w:rtl/>
        </w:rPr>
        <w:t>אין ניזונות ממנו</w:t>
      </w:r>
      <w:r>
        <w:rPr>
          <w:rFonts w:cs="Arial" w:hint="cs"/>
          <w:rtl/>
        </w:rPr>
        <w:t>.</w:t>
      </w:r>
      <w:r w:rsidRPr="004206BB">
        <w:rPr>
          <w:rFonts w:cs="Arial"/>
          <w:color w:val="E36C0A" w:themeColor="accent6" w:themeShade="BF"/>
          <w:rtl/>
        </w:rPr>
        <w:t xml:space="preserve"> </w:t>
      </w:r>
      <w:r w:rsidRPr="004206BB">
        <w:rPr>
          <w:rFonts w:hint="cs"/>
          <w:color w:val="E36C0A" w:themeColor="accent6" w:themeShade="BF"/>
          <w:rtl/>
        </w:rPr>
        <w:t>(וכ"פ בשו"ע)</w:t>
      </w:r>
    </w:p>
    <w:p w14:paraId="3B20A826" w14:textId="77777777" w:rsidR="002E5BAD" w:rsidRPr="00D9333A" w:rsidRDefault="002E5BAD" w:rsidP="002E5BAD">
      <w:pPr>
        <w:ind w:left="360"/>
        <w:rPr>
          <w:u w:val="dotted"/>
        </w:rPr>
      </w:pPr>
      <w:r w:rsidRPr="00D9333A">
        <w:rPr>
          <w:rFonts w:hint="cs"/>
          <w:u w:val="dotted"/>
          <w:rtl/>
        </w:rPr>
        <w:t>ומה הדין אם נתן הא</w:t>
      </w:r>
      <w:r>
        <w:rPr>
          <w:rFonts w:hint="cs"/>
          <w:u w:val="dotted"/>
          <w:rtl/>
        </w:rPr>
        <w:t>ב</w:t>
      </w:r>
      <w:r w:rsidRPr="00D9333A">
        <w:rPr>
          <w:rFonts w:hint="cs"/>
          <w:u w:val="dotted"/>
          <w:rtl/>
        </w:rPr>
        <w:t xml:space="preserve"> במתנת </w:t>
      </w:r>
      <w:r>
        <w:rPr>
          <w:rFonts w:hint="cs"/>
          <w:u w:val="dotted"/>
          <w:rtl/>
        </w:rPr>
        <w:t>שכיב מרע</w:t>
      </w:r>
      <w:r w:rsidRPr="00D9333A">
        <w:rPr>
          <w:rFonts w:hint="cs"/>
          <w:u w:val="dotted"/>
          <w:rtl/>
        </w:rPr>
        <w:t>:</w:t>
      </w:r>
    </w:p>
    <w:p w14:paraId="6EDF7AC4" w14:textId="77777777" w:rsidR="002E5BAD" w:rsidRPr="00303A49" w:rsidRDefault="002E5BAD" w:rsidP="00B75458">
      <w:pPr>
        <w:pStyle w:val="ab"/>
        <w:numPr>
          <w:ilvl w:val="0"/>
          <w:numId w:val="195"/>
        </w:numPr>
      </w:pPr>
      <w:r>
        <w:rPr>
          <w:rFonts w:cs="Arial" w:hint="cs"/>
          <w:rtl/>
        </w:rPr>
        <w:lastRenderedPageBreak/>
        <w:t>רמב"ם</w:t>
      </w:r>
      <w:r>
        <w:rPr>
          <w:rStyle w:val="a7"/>
          <w:rFonts w:cs="Arial"/>
          <w:rtl/>
        </w:rPr>
        <w:footnoteReference w:id="2890"/>
      </w:r>
      <w:r>
        <w:rPr>
          <w:rFonts w:cs="Arial" w:hint="cs"/>
          <w:rtl/>
        </w:rPr>
        <w:t xml:space="preserve"> </w:t>
      </w:r>
      <w:r>
        <w:rPr>
          <w:rFonts w:cs="Arial" w:hint="cs"/>
          <w:sz w:val="16"/>
          <w:szCs w:val="16"/>
          <w:rtl/>
        </w:rPr>
        <w:t>(פי"ט הי"ג)</w:t>
      </w:r>
      <w:r>
        <w:rPr>
          <w:rFonts w:cs="Arial" w:hint="cs"/>
          <w:rtl/>
        </w:rPr>
        <w:t xml:space="preserve"> רא"ש </w:t>
      </w:r>
      <w:r>
        <w:rPr>
          <w:rFonts w:cs="Arial" w:hint="cs"/>
          <w:sz w:val="16"/>
          <w:szCs w:val="16"/>
          <w:rtl/>
        </w:rPr>
        <w:t>(פ' יש נוחלין סי' לה)</w:t>
      </w:r>
      <w:r>
        <w:rPr>
          <w:rFonts w:cs="Arial" w:hint="cs"/>
          <w:rtl/>
        </w:rPr>
        <w:t xml:space="preserve"> וטור- </w:t>
      </w:r>
      <w:r w:rsidRPr="00B345A5">
        <w:rPr>
          <w:rFonts w:cs="Arial"/>
          <w:rtl/>
        </w:rPr>
        <w:t>בד"א שנתן האב מתנת בריא</w:t>
      </w:r>
      <w:r>
        <w:rPr>
          <w:rFonts w:cs="Arial" w:hint="cs"/>
          <w:rtl/>
        </w:rPr>
        <w:t>,</w:t>
      </w:r>
      <w:r w:rsidRPr="00B345A5">
        <w:rPr>
          <w:rFonts w:cs="Arial"/>
          <w:rtl/>
        </w:rPr>
        <w:t xml:space="preserve"> אבל אם נתן מתנת שכיב מרע </w:t>
      </w:r>
      <w:r>
        <w:rPr>
          <w:rFonts w:cs="Arial" w:hint="cs"/>
          <w:rtl/>
        </w:rPr>
        <w:t xml:space="preserve">- </w:t>
      </w:r>
      <w:r w:rsidRPr="00B345A5">
        <w:rPr>
          <w:rFonts w:cs="Arial"/>
          <w:rtl/>
        </w:rPr>
        <w:t>ניזונות ממנו</w:t>
      </w:r>
      <w:r>
        <w:rPr>
          <w:rStyle w:val="a7"/>
          <w:rFonts w:cs="Arial"/>
          <w:rtl/>
        </w:rPr>
        <w:footnoteReference w:id="2891"/>
      </w:r>
      <w:r>
        <w:rPr>
          <w:rFonts w:cs="Arial" w:hint="cs"/>
          <w:sz w:val="16"/>
          <w:szCs w:val="16"/>
          <w:rtl/>
        </w:rPr>
        <w:t xml:space="preserve"> (ל' הטור)</w:t>
      </w:r>
      <w:r>
        <w:rPr>
          <w:rFonts w:cs="Arial" w:hint="cs"/>
          <w:rtl/>
        </w:rPr>
        <w:t>.</w:t>
      </w:r>
    </w:p>
    <w:p w14:paraId="0E759D8E" w14:textId="77777777" w:rsidR="002E5BAD" w:rsidRDefault="002E5BAD" w:rsidP="00B75458">
      <w:pPr>
        <w:pStyle w:val="ab"/>
        <w:numPr>
          <w:ilvl w:val="0"/>
          <w:numId w:val="195"/>
        </w:numPr>
        <w:rPr>
          <w:rtl/>
        </w:rPr>
      </w:pPr>
      <w:r w:rsidRPr="00B345A5">
        <w:rPr>
          <w:rFonts w:cs="Arial"/>
          <w:rtl/>
        </w:rPr>
        <w:t>ראב"ד</w:t>
      </w:r>
      <w:r>
        <w:rPr>
          <w:rStyle w:val="a7"/>
          <w:rFonts w:cs="Arial"/>
          <w:rtl/>
        </w:rPr>
        <w:footnoteReference w:id="2892"/>
      </w:r>
      <w:r>
        <w:rPr>
          <w:rFonts w:cs="Arial" w:hint="cs"/>
          <w:sz w:val="16"/>
          <w:szCs w:val="16"/>
          <w:rtl/>
        </w:rPr>
        <w:t xml:space="preserve"> (בהשגות שם)</w:t>
      </w:r>
      <w:r>
        <w:rPr>
          <w:rFonts w:cs="Arial" w:hint="cs"/>
          <w:rtl/>
        </w:rPr>
        <w:t>-</w:t>
      </w:r>
      <w:r w:rsidRPr="00B345A5">
        <w:rPr>
          <w:rFonts w:cs="Arial"/>
          <w:rtl/>
        </w:rPr>
        <w:t xml:space="preserve"> </w:t>
      </w:r>
      <w:r>
        <w:rPr>
          <w:rFonts w:cs="Arial" w:hint="cs"/>
          <w:rtl/>
        </w:rPr>
        <w:t>א</w:t>
      </w:r>
      <w:r w:rsidRPr="00B345A5">
        <w:rPr>
          <w:rFonts w:cs="Arial"/>
          <w:rtl/>
        </w:rPr>
        <w:t>ף במתנת שכיב מרע אינ</w:t>
      </w:r>
      <w:r>
        <w:rPr>
          <w:rFonts w:cs="Arial" w:hint="cs"/>
          <w:rtl/>
        </w:rPr>
        <w:t>ן</w:t>
      </w:r>
      <w:r w:rsidRPr="00B345A5">
        <w:rPr>
          <w:rFonts w:cs="Arial"/>
          <w:rtl/>
        </w:rPr>
        <w:t xml:space="preserve"> ניזונות</w:t>
      </w:r>
      <w:r>
        <w:rPr>
          <w:rFonts w:cs="Arial" w:hint="cs"/>
          <w:sz w:val="16"/>
          <w:szCs w:val="16"/>
          <w:rtl/>
        </w:rPr>
        <w:t xml:space="preserve"> (ל' הטור בשמו)</w:t>
      </w:r>
      <w:r>
        <w:rPr>
          <w:rFonts w:cs="Arial" w:hint="cs"/>
          <w:rtl/>
        </w:rPr>
        <w:t>.</w:t>
      </w:r>
      <w:r w:rsidRPr="00B345A5">
        <w:rPr>
          <w:rFonts w:cs="Arial"/>
          <w:rtl/>
        </w:rPr>
        <w:t xml:space="preserve"> </w:t>
      </w:r>
    </w:p>
    <w:p w14:paraId="5129F6E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F0C23F" w14:textId="77777777" w:rsidR="002E5BAD" w:rsidRDefault="002E5BAD" w:rsidP="002E5BAD">
      <w:pPr>
        <w:rPr>
          <w:rFonts w:cs="Arial"/>
          <w:rtl/>
        </w:rPr>
      </w:pPr>
      <w:r w:rsidRPr="00523CDE">
        <w:rPr>
          <w:rFonts w:cs="Arial"/>
          <w:rtl/>
        </w:rPr>
        <w:t>עכשיו שכתובה נגבית אפילו ממטלטלים, גם הבנות נזונות מהם. ואינם ניזונות אלא מבני חרי, אבל לא ממשעבדי</w:t>
      </w:r>
      <w:r>
        <w:rPr>
          <w:rFonts w:cs="Arial" w:hint="cs"/>
          <w:rtl/>
        </w:rPr>
        <w:t>.</w:t>
      </w:r>
      <w:r w:rsidRPr="00523CDE">
        <w:rPr>
          <w:rFonts w:cs="Arial"/>
          <w:rtl/>
        </w:rPr>
        <w:t xml:space="preserve"> כגון אם מכר האב</w:t>
      </w:r>
      <w:r>
        <w:rPr>
          <w:rStyle w:val="a7"/>
          <w:rFonts w:cs="Arial"/>
          <w:rtl/>
        </w:rPr>
        <w:footnoteReference w:id="2893"/>
      </w:r>
      <w:r w:rsidRPr="00523CDE">
        <w:rPr>
          <w:rFonts w:cs="Arial"/>
          <w:rtl/>
        </w:rPr>
        <w:t xml:space="preserve"> או נתן האב במתנת בריא</w:t>
      </w:r>
      <w:r>
        <w:rPr>
          <w:rStyle w:val="a7"/>
          <w:rFonts w:cs="Arial"/>
          <w:rtl/>
        </w:rPr>
        <w:footnoteReference w:id="2894"/>
      </w:r>
      <w:r>
        <w:rPr>
          <w:rFonts w:cs="Arial" w:hint="cs"/>
          <w:rtl/>
        </w:rPr>
        <w:t>,</w:t>
      </w:r>
      <w:r w:rsidRPr="00523CDE">
        <w:rPr>
          <w:rFonts w:cs="Arial"/>
          <w:rtl/>
        </w:rPr>
        <w:t xml:space="preserve"> או אם הבנים אחר מיתת אביהם מכרו</w:t>
      </w:r>
      <w:r>
        <w:rPr>
          <w:rStyle w:val="a7"/>
          <w:rFonts w:cs="Arial"/>
          <w:rtl/>
        </w:rPr>
        <w:footnoteReference w:id="2895"/>
      </w:r>
      <w:r w:rsidRPr="00523CDE">
        <w:rPr>
          <w:rFonts w:cs="Arial"/>
          <w:rtl/>
        </w:rPr>
        <w:t xml:space="preserve"> או משכנו</w:t>
      </w:r>
      <w:r>
        <w:rPr>
          <w:rStyle w:val="a7"/>
          <w:rFonts w:cs="Arial"/>
          <w:rtl/>
        </w:rPr>
        <w:footnoteReference w:id="2896"/>
      </w:r>
      <w:r w:rsidRPr="00523CDE">
        <w:rPr>
          <w:rFonts w:cs="Arial"/>
          <w:rtl/>
        </w:rPr>
        <w:t xml:space="preserve"> או נתנו, אינן נזונות מהן. </w:t>
      </w:r>
    </w:p>
    <w:p w14:paraId="1C58C0AF" w14:textId="77777777" w:rsidR="002E5BAD" w:rsidRPr="00523CDE" w:rsidRDefault="002E5BAD" w:rsidP="002E5BAD">
      <w:pPr>
        <w:rPr>
          <w:rFonts w:cs="Arial"/>
          <w:rtl/>
        </w:rPr>
      </w:pPr>
    </w:p>
    <w:p w14:paraId="13E4AC3B" w14:textId="77777777" w:rsidR="002E5BAD" w:rsidRDefault="002E5BAD" w:rsidP="002E5BAD">
      <w:pPr>
        <w:pStyle w:val="2"/>
        <w:rPr>
          <w:rtl/>
        </w:rPr>
      </w:pPr>
      <w:r w:rsidRPr="00523CDE">
        <w:rPr>
          <w:rtl/>
        </w:rPr>
        <w:t>סעיף ח</w:t>
      </w:r>
      <w:r>
        <w:rPr>
          <w:rFonts w:hint="cs"/>
          <w:rtl/>
        </w:rPr>
        <w:t>: גביה ל</w:t>
      </w:r>
      <w:r w:rsidRPr="00B72D3C">
        <w:rPr>
          <w:rFonts w:hint="cs"/>
          <w:rtl/>
        </w:rPr>
        <w:t>מזונות הבת מ</w:t>
      </w:r>
      <w:r>
        <w:rPr>
          <w:rFonts w:hint="cs"/>
          <w:rtl/>
        </w:rPr>
        <w:t>מ</w:t>
      </w:r>
      <w:r w:rsidRPr="00B72D3C">
        <w:rPr>
          <w:rFonts w:hint="cs"/>
          <w:rtl/>
        </w:rPr>
        <w:t>שעבדי</w:t>
      </w:r>
      <w:r>
        <w:rPr>
          <w:rFonts w:hint="cs"/>
          <w:rtl/>
        </w:rPr>
        <w:t xml:space="preserve"> - כשקנו מהאב על חיוב מזונותיהן.</w:t>
      </w:r>
    </w:p>
    <w:p w14:paraId="46AFFED1" w14:textId="77777777" w:rsidR="002E5BAD" w:rsidRPr="006D1D4D" w:rsidRDefault="002E5BAD" w:rsidP="002E5BAD">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ר"</w:t>
      </w:r>
      <w:r w:rsidRPr="009E3B5F">
        <w:rPr>
          <w:rFonts w:hint="cs"/>
          <w:b/>
          <w:bCs/>
          <w:sz w:val="16"/>
          <w:szCs w:val="16"/>
          <w:rtl/>
        </w:rPr>
        <w:t>פ</w:t>
      </w:r>
      <w:r>
        <w:rPr>
          <w:rFonts w:hint="cs"/>
          <w:b/>
          <w:bCs/>
          <w:sz w:val="16"/>
          <w:szCs w:val="16"/>
          <w:rtl/>
        </w:rPr>
        <w:t xml:space="preserve"> נושא</w:t>
      </w:r>
      <w:r w:rsidRPr="009E3B5F">
        <w:rPr>
          <w:rFonts w:hint="cs"/>
          <w:b/>
          <w:bCs/>
          <w:sz w:val="16"/>
          <w:szCs w:val="16"/>
          <w:rtl/>
        </w:rPr>
        <w:t xml:space="preserve">) </w:t>
      </w:r>
      <w:r>
        <w:rPr>
          <w:rFonts w:hint="cs"/>
          <w:b/>
          <w:bCs/>
          <w:rtl/>
        </w:rPr>
        <w:t>קא</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5A2FCA">
        <w:rPr>
          <w:rFonts w:cs="Arial"/>
          <w:u w:val="double"/>
          <w:rtl/>
        </w:rPr>
        <w:t>מתני'</w:t>
      </w:r>
      <w:r>
        <w:rPr>
          <w:rFonts w:cs="Arial" w:hint="cs"/>
          <w:rtl/>
        </w:rPr>
        <w:t>:</w:t>
      </w:r>
      <w:r w:rsidRPr="005A2FCA">
        <w:rPr>
          <w:rFonts w:cs="Arial"/>
          <w:rtl/>
        </w:rPr>
        <w:t xml:space="preserve"> הנושא את האשה, ופסקה עמו כדי שיזון את בתה חמש שנים - חייב לזונה חמש שנים.</w:t>
      </w:r>
      <w:r w:rsidRPr="006740EA">
        <w:rPr>
          <w:rtl/>
        </w:rPr>
        <w:t xml:space="preserve"> </w:t>
      </w:r>
      <w:r w:rsidRPr="006740EA">
        <w:rPr>
          <w:rFonts w:cs="Arial"/>
          <w:rtl/>
        </w:rPr>
        <w:t>ניסת</w:t>
      </w:r>
      <w:r>
        <w:rPr>
          <w:rStyle w:val="a7"/>
          <w:rFonts w:cs="Arial"/>
          <w:rtl/>
        </w:rPr>
        <w:footnoteReference w:id="2897"/>
      </w:r>
      <w:r w:rsidRPr="006740EA">
        <w:rPr>
          <w:rFonts w:cs="Arial"/>
          <w:rtl/>
        </w:rPr>
        <w:t xml:space="preserve">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 ניסת - הבעל נותן לה מזונות, והן נותנין לה דמי מזונות.</w:t>
      </w:r>
      <w:r w:rsidRPr="005A2FCA">
        <w:rPr>
          <w:rFonts w:cs="Arial"/>
          <w:rtl/>
        </w:rPr>
        <w:t xml:space="preserve"> מתו - בנותיהן ניזונות מנכסים בני חורין</w:t>
      </w:r>
      <w:r>
        <w:rPr>
          <w:rStyle w:val="a7"/>
          <w:rFonts w:cs="Arial"/>
          <w:rtl/>
        </w:rPr>
        <w:footnoteReference w:id="2898"/>
      </w:r>
      <w:r w:rsidRPr="005A2FCA">
        <w:rPr>
          <w:rFonts w:cs="Arial"/>
          <w:rtl/>
        </w:rPr>
        <w:t>, והיא</w:t>
      </w:r>
      <w:r>
        <w:rPr>
          <w:rStyle w:val="a7"/>
          <w:rFonts w:cs="Arial"/>
          <w:rtl/>
        </w:rPr>
        <w:footnoteReference w:id="2899"/>
      </w:r>
      <w:r w:rsidRPr="005A2FCA">
        <w:rPr>
          <w:rFonts w:cs="Arial"/>
          <w:rtl/>
        </w:rPr>
        <w:t xml:space="preserve"> ניזונת מנכסים משועבדים, מפני שהיא כבעלת חוב.</w:t>
      </w:r>
      <w:r w:rsidRPr="00A9731F">
        <w:rPr>
          <w:rtl/>
        </w:rPr>
        <w:t xml:space="preserve"> </w:t>
      </w:r>
      <w:r w:rsidRPr="00A9731F">
        <w:rPr>
          <w:rFonts w:cs="Arial"/>
          <w:rtl/>
        </w:rPr>
        <w:t xml:space="preserve">הפקחים היו כותבים ע"מ שאזון את בתך חמש שנים כל זמן שאת עמי. </w:t>
      </w:r>
      <w:r w:rsidRPr="005A2FCA">
        <w:rPr>
          <w:rFonts w:cs="Arial"/>
          <w:rtl/>
        </w:rPr>
        <w:t xml:space="preserve">  </w:t>
      </w:r>
      <w:r>
        <w:rPr>
          <w:rFonts w:cs="Arial" w:hint="cs"/>
          <w:rtl/>
        </w:rPr>
        <w:t xml:space="preserve">   </w:t>
      </w:r>
      <w:r w:rsidRPr="009941F9">
        <w:rPr>
          <w:rFonts w:cs="Arial" w:hint="cs"/>
          <w:u w:val="double"/>
          <w:rtl/>
        </w:rPr>
        <w:t>גמ'</w:t>
      </w:r>
      <w:r w:rsidRPr="009941F9">
        <w:rPr>
          <w:rFonts w:cs="Arial" w:hint="cs"/>
          <w:sz w:val="14"/>
          <w:szCs w:val="14"/>
          <w:u w:val="double"/>
          <w:rtl/>
        </w:rPr>
        <w:t>(קב:)</w:t>
      </w:r>
      <w:r w:rsidRPr="009941F9">
        <w:rPr>
          <w:rFonts w:cs="Arial" w:hint="cs"/>
          <w:u w:val="double"/>
          <w:rtl/>
        </w:rPr>
        <w:t>:</w:t>
      </w:r>
      <w:r>
        <w:rPr>
          <w:rFonts w:cs="Arial" w:hint="cs"/>
          <w:rtl/>
        </w:rPr>
        <w:t xml:space="preserve"> </w:t>
      </w:r>
      <w:r w:rsidRPr="00A9731F">
        <w:rPr>
          <w:rFonts w:cs="Arial"/>
          <w:rtl/>
        </w:rPr>
        <w:t xml:space="preserve">גופא, </w:t>
      </w:r>
      <w:r w:rsidRPr="006339E4">
        <w:rPr>
          <w:rFonts w:cs="Arial"/>
          <w:u w:val="single"/>
          <w:rtl/>
        </w:rPr>
        <w:t>אמר רב גידל אמר רב</w:t>
      </w:r>
      <w:r w:rsidRPr="00A9731F">
        <w:rPr>
          <w:rFonts w:cs="Arial"/>
          <w:rtl/>
        </w:rPr>
        <w:t>: כמה אתה נותן לבנך? כך וכך, וכמה אתה נותן לבתך? כך וכך, עמדו וקידשו - קנו, הן הן הדברים הנקנים באמירה.</w:t>
      </w:r>
      <w:r>
        <w:rPr>
          <w:rFonts w:cs="Arial" w:hint="cs"/>
          <w:rtl/>
        </w:rPr>
        <w:t>.</w:t>
      </w:r>
      <w:r w:rsidRPr="00A9731F">
        <w:rPr>
          <w:rFonts w:cs="Arial"/>
          <w:rtl/>
        </w:rPr>
        <w:t xml:space="preserve">. </w:t>
      </w:r>
      <w:r w:rsidRPr="006339E4">
        <w:rPr>
          <w:rFonts w:cs="Arial"/>
          <w:u w:val="single"/>
          <w:rtl/>
        </w:rPr>
        <w:t>א"ל רבינא לרב אשי</w:t>
      </w:r>
      <w:r w:rsidRPr="00A9731F">
        <w:rPr>
          <w:rFonts w:cs="Arial"/>
          <w:rtl/>
        </w:rPr>
        <w:t>: דברים הללו ניתנו ליכתב</w:t>
      </w:r>
      <w:r>
        <w:rPr>
          <w:rStyle w:val="a7"/>
          <w:rFonts w:cs="Arial"/>
          <w:rtl/>
        </w:rPr>
        <w:footnoteReference w:id="2900"/>
      </w:r>
      <w:r w:rsidRPr="00A9731F">
        <w:rPr>
          <w:rFonts w:cs="Arial"/>
          <w:rtl/>
        </w:rPr>
        <w:t xml:space="preserve"> או לא ניתנו ליכתב</w:t>
      </w:r>
      <w:r>
        <w:rPr>
          <w:rStyle w:val="a7"/>
          <w:rFonts w:cs="Arial"/>
          <w:rtl/>
        </w:rPr>
        <w:footnoteReference w:id="2901"/>
      </w:r>
      <w:r w:rsidRPr="00A9731F">
        <w:rPr>
          <w:rFonts w:cs="Arial"/>
          <w:rtl/>
        </w:rPr>
        <w:t xml:space="preserve">? </w:t>
      </w:r>
      <w:r w:rsidRPr="006339E4">
        <w:rPr>
          <w:rFonts w:cs="Arial"/>
          <w:u w:val="single"/>
          <w:rtl/>
        </w:rPr>
        <w:t>א"ל</w:t>
      </w:r>
      <w:r w:rsidRPr="00A9731F">
        <w:rPr>
          <w:rFonts w:cs="Arial"/>
          <w:rtl/>
        </w:rPr>
        <w:t>: לא ניתנו ליכתב. איתיביה:</w:t>
      </w:r>
      <w:r>
        <w:rPr>
          <w:rFonts w:cs="Arial" w:hint="cs"/>
          <w:rtl/>
        </w:rPr>
        <w:t>...</w:t>
      </w:r>
      <w:r w:rsidRPr="00A9731F">
        <w:rPr>
          <w:rFonts w:cs="Arial"/>
          <w:rtl/>
        </w:rPr>
        <w:t xml:space="preserve"> תא שמע: מתו - בנותיהן ניזונות מנכסים בני חורין, והיא ניזונת מנכסים משועבדים, מפני שהיא כבעלת חוב</w:t>
      </w:r>
      <w:r>
        <w:rPr>
          <w:rStyle w:val="a7"/>
          <w:rFonts w:cs="Arial"/>
          <w:rtl/>
        </w:rPr>
        <w:footnoteReference w:id="2902"/>
      </w:r>
      <w:r>
        <w:rPr>
          <w:rFonts w:cs="Arial" w:hint="cs"/>
          <w:rtl/>
        </w:rPr>
        <w:t>.</w:t>
      </w:r>
      <w:r w:rsidRPr="00A9731F">
        <w:rPr>
          <w:rFonts w:cs="Arial"/>
          <w:rtl/>
        </w:rPr>
        <w:t xml:space="preserve"> </w:t>
      </w:r>
      <w:r w:rsidRPr="009941F9">
        <w:rPr>
          <w:rFonts w:cs="Arial"/>
          <w:rtl/>
        </w:rPr>
        <w:t>הכא במאי עסקינן - בשקנו מידו. אי הכי, בנות</w:t>
      </w:r>
      <w:r>
        <w:rPr>
          <w:rStyle w:val="a7"/>
          <w:rFonts w:cs="Arial"/>
          <w:rtl/>
        </w:rPr>
        <w:footnoteReference w:id="2903"/>
      </w:r>
      <w:r w:rsidRPr="009941F9">
        <w:rPr>
          <w:rFonts w:cs="Arial"/>
          <w:rtl/>
        </w:rPr>
        <w:t xml:space="preserve"> נמי! בשקנו לזו ולא קנו לזו. ומאי פסקא</w:t>
      </w:r>
      <w:r>
        <w:rPr>
          <w:rStyle w:val="a7"/>
          <w:rFonts w:cs="Arial"/>
          <w:rtl/>
        </w:rPr>
        <w:footnoteReference w:id="2904"/>
      </w:r>
      <w:r w:rsidRPr="009941F9">
        <w:rPr>
          <w:rFonts w:cs="Arial"/>
          <w:rtl/>
        </w:rPr>
        <w:t>? איהי דהואי בשעת קנין - מהני לה קנין, בנות דלא הוו בשעת קנין - לא מהני להו קנין. מי לא עסקינן דהואי בשעת קנין</w:t>
      </w:r>
      <w:r>
        <w:rPr>
          <w:rStyle w:val="a7"/>
          <w:rFonts w:cs="Arial"/>
          <w:rtl/>
        </w:rPr>
        <w:footnoteReference w:id="2905"/>
      </w:r>
      <w:r w:rsidRPr="009941F9">
        <w:rPr>
          <w:rFonts w:cs="Arial"/>
          <w:rtl/>
        </w:rPr>
        <w:t>, והיכי דמי? כגון דגרשה ואהדרה? אלא, איהי</w:t>
      </w:r>
      <w:r>
        <w:rPr>
          <w:rStyle w:val="a7"/>
          <w:rFonts w:cs="Arial"/>
          <w:rtl/>
        </w:rPr>
        <w:footnoteReference w:id="2906"/>
      </w:r>
      <w:r w:rsidRPr="009941F9">
        <w:rPr>
          <w:rFonts w:cs="Arial"/>
          <w:rtl/>
        </w:rPr>
        <w:t xml:space="preserve"> דליתא בתנאי ב"ד</w:t>
      </w:r>
      <w:r>
        <w:rPr>
          <w:rStyle w:val="a7"/>
          <w:rFonts w:cs="Arial"/>
          <w:rtl/>
        </w:rPr>
        <w:footnoteReference w:id="2907"/>
      </w:r>
      <w:r w:rsidRPr="009941F9">
        <w:rPr>
          <w:rFonts w:cs="Arial"/>
          <w:rtl/>
        </w:rPr>
        <w:t xml:space="preserve"> - מהני לה קנין, בנות</w:t>
      </w:r>
      <w:r>
        <w:rPr>
          <w:rStyle w:val="a7"/>
          <w:rFonts w:cs="Arial"/>
          <w:rtl/>
        </w:rPr>
        <w:footnoteReference w:id="2908"/>
      </w:r>
      <w:r w:rsidRPr="009941F9">
        <w:rPr>
          <w:rFonts w:cs="Arial"/>
          <w:rtl/>
        </w:rPr>
        <w:t xml:space="preserve"> דאיתנהו בתנאי ב"ד - לא מהני להו קנין. מגרע גרעי? אלא בנותיו היינו טעמא, כיון דאיתנהו בתנאי ב"ד - אימר צררי אתפסינהו</w:t>
      </w:r>
      <w:r>
        <w:rPr>
          <w:rStyle w:val="a7"/>
          <w:rFonts w:cs="Arial"/>
          <w:rtl/>
        </w:rPr>
        <w:footnoteReference w:id="2909"/>
      </w:r>
      <w:r w:rsidRPr="009941F9">
        <w:rPr>
          <w:rFonts w:cs="Arial"/>
          <w:rtl/>
        </w:rPr>
        <w:t>.</w:t>
      </w:r>
      <w:r>
        <w:rPr>
          <w:rFonts w:cs="Arial" w:hint="cs"/>
          <w:rtl/>
        </w:rPr>
        <w:t xml:space="preserve"> </w:t>
      </w:r>
      <w:r w:rsidRPr="00D91CCB">
        <w:rPr>
          <w:rFonts w:cs="Arial" w:hint="cs"/>
          <w:sz w:val="16"/>
          <w:szCs w:val="16"/>
          <w:rtl/>
        </w:rPr>
        <w:t>(</w:t>
      </w:r>
      <w:r w:rsidRPr="00D91CCB">
        <w:rPr>
          <w:rFonts w:cs="Arial"/>
          <w:sz w:val="16"/>
          <w:szCs w:val="16"/>
          <w:rtl/>
        </w:rPr>
        <w:t xml:space="preserve">תימה לרבי דבגיטין פ' הנזקין (מח:) תנן אין מוציאין לאכילת פירות ולשבח קרקעות ולמזון האשה והבנות </w:t>
      </w:r>
      <w:r w:rsidRPr="00D91CCB">
        <w:rPr>
          <w:rFonts w:cs="Arial"/>
          <w:sz w:val="16"/>
          <w:szCs w:val="16"/>
          <w:rtl/>
        </w:rPr>
        <w:lastRenderedPageBreak/>
        <w:t>מנכסים משועבדים מפני תיקון העולם</w:t>
      </w:r>
      <w:r>
        <w:rPr>
          <w:rFonts w:cs="Arial" w:hint="cs"/>
          <w:sz w:val="16"/>
          <w:szCs w:val="16"/>
          <w:rtl/>
        </w:rPr>
        <w:t>,</w:t>
      </w:r>
      <w:r w:rsidRPr="00D91CCB">
        <w:rPr>
          <w:rFonts w:cs="Arial"/>
          <w:sz w:val="16"/>
          <w:szCs w:val="16"/>
          <w:rtl/>
        </w:rPr>
        <w:t xml:space="preserve"> ומפרש ר"ל בגמ' (שם נ:) טעמא לפי שאין כתובין</w:t>
      </w:r>
      <w:r>
        <w:rPr>
          <w:rFonts w:cs="Arial" w:hint="cs"/>
          <w:sz w:val="16"/>
          <w:szCs w:val="16"/>
          <w:rtl/>
        </w:rPr>
        <w:t>,</w:t>
      </w:r>
      <w:r w:rsidRPr="00D91CCB">
        <w:rPr>
          <w:rFonts w:cs="Arial"/>
          <w:sz w:val="16"/>
          <w:szCs w:val="16"/>
          <w:rtl/>
        </w:rPr>
        <w:t xml:space="preserve"> והיינו טעמא נמי דמזון הבנות</w:t>
      </w:r>
      <w:r>
        <w:rPr>
          <w:rFonts w:cs="Arial" w:hint="cs"/>
          <w:sz w:val="16"/>
          <w:szCs w:val="16"/>
          <w:rtl/>
        </w:rPr>
        <w:t>,</w:t>
      </w:r>
      <w:r w:rsidRPr="00D91CCB">
        <w:rPr>
          <w:rFonts w:cs="Arial"/>
          <w:sz w:val="16"/>
          <w:szCs w:val="16"/>
          <w:rtl/>
        </w:rPr>
        <w:t xml:space="preserve"> והכא מפרש טעמא משום אימר צררי אתפסה</w:t>
      </w:r>
      <w:r>
        <w:rPr>
          <w:rFonts w:cs="Arial" w:hint="cs"/>
          <w:sz w:val="16"/>
          <w:szCs w:val="16"/>
          <w:rtl/>
        </w:rPr>
        <w:t>.</w:t>
      </w:r>
      <w:r w:rsidRPr="00D91CCB">
        <w:rPr>
          <w:rFonts w:cs="Arial"/>
          <w:sz w:val="16"/>
          <w:szCs w:val="16"/>
          <w:rtl/>
        </w:rPr>
        <w:t xml:space="preserve"> </w:t>
      </w:r>
      <w:r w:rsidRPr="006D5AC0">
        <w:rPr>
          <w:rFonts w:cs="Arial"/>
          <w:sz w:val="16"/>
          <w:szCs w:val="16"/>
          <w:u w:val="single"/>
          <w:rtl/>
        </w:rPr>
        <w:t xml:space="preserve">וי"ל </w:t>
      </w:r>
      <w:r w:rsidRPr="00D91CCB">
        <w:rPr>
          <w:rFonts w:cs="Arial"/>
          <w:sz w:val="16"/>
          <w:szCs w:val="16"/>
          <w:rtl/>
        </w:rPr>
        <w:t>דאיצטריך טעמא לפי שאין כתובין היכא שהודה האב שלא התפיס צררי</w:t>
      </w:r>
      <w:r>
        <w:rPr>
          <w:rFonts w:cs="Arial" w:hint="cs"/>
          <w:sz w:val="16"/>
          <w:szCs w:val="16"/>
          <w:rtl/>
        </w:rPr>
        <w:t>...</w:t>
      </w:r>
      <w:r w:rsidRPr="00D91CCB">
        <w:rPr>
          <w:rFonts w:cs="Arial"/>
          <w:sz w:val="16"/>
          <w:szCs w:val="16"/>
          <w:rtl/>
        </w:rPr>
        <w:t xml:space="preserve"> עוד תימה לרבי כיון דהיינו טעמא דלא גבו בנות ממשעבדי משום דכיון דאיתנהו בתנאי ב"ד אימר אתפסינהו צררי</w:t>
      </w:r>
      <w:r>
        <w:rPr>
          <w:rFonts w:cs="Arial" w:hint="cs"/>
          <w:sz w:val="16"/>
          <w:szCs w:val="16"/>
          <w:rtl/>
        </w:rPr>
        <w:t>,</w:t>
      </w:r>
      <w:r w:rsidRPr="00D91CCB">
        <w:rPr>
          <w:rFonts w:cs="Arial"/>
          <w:sz w:val="16"/>
          <w:szCs w:val="16"/>
          <w:rtl/>
        </w:rPr>
        <w:t xml:space="preserve"> כתובה נמי מהאי טעמא לא תגבי ממשעבדי</w:t>
      </w:r>
      <w:r>
        <w:rPr>
          <w:rFonts w:cs="Arial" w:hint="cs"/>
          <w:sz w:val="16"/>
          <w:szCs w:val="16"/>
          <w:rtl/>
        </w:rPr>
        <w:t>.</w:t>
      </w:r>
      <w:r w:rsidRPr="00D91CCB">
        <w:rPr>
          <w:rFonts w:cs="Arial"/>
          <w:sz w:val="16"/>
          <w:szCs w:val="16"/>
          <w:rtl/>
        </w:rPr>
        <w:t xml:space="preserve"> </w:t>
      </w:r>
      <w:r w:rsidRPr="006D5AC0">
        <w:rPr>
          <w:rFonts w:cs="Arial"/>
          <w:sz w:val="16"/>
          <w:szCs w:val="16"/>
          <w:u w:val="single"/>
          <w:rtl/>
        </w:rPr>
        <w:t>ותירץ רבי</w:t>
      </w:r>
      <w:r>
        <w:rPr>
          <w:rFonts w:cs="Arial" w:hint="cs"/>
          <w:sz w:val="16"/>
          <w:szCs w:val="16"/>
          <w:rtl/>
        </w:rPr>
        <w:t xml:space="preserve"> </w:t>
      </w:r>
      <w:r w:rsidRPr="00D91CCB">
        <w:rPr>
          <w:rFonts w:cs="Arial"/>
          <w:sz w:val="16"/>
          <w:szCs w:val="16"/>
          <w:rtl/>
        </w:rPr>
        <w:t>דטפי מתפיס צררי לבתו כדאמרינן לעיל בפרק נערה (מג. ושם) לענין הרווחה דבתו עדיפא ליה</w:t>
      </w:r>
      <w:r>
        <w:rPr>
          <w:rFonts w:cs="Arial" w:hint="cs"/>
          <w:sz w:val="16"/>
          <w:szCs w:val="16"/>
          <w:rtl/>
        </w:rPr>
        <w:t>.</w:t>
      </w:r>
      <w:r w:rsidRPr="00D91CCB">
        <w:rPr>
          <w:rFonts w:cs="Arial"/>
          <w:sz w:val="16"/>
          <w:szCs w:val="16"/>
          <w:rtl/>
        </w:rPr>
        <w:t xml:space="preserve"> ואמרתי לפני רבי דמשמע הכא דבת אשתו אי הוה גובה בתנאי ב"ד לא היתה גובה ממשעבדי</w:t>
      </w:r>
      <w:r>
        <w:rPr>
          <w:rFonts w:cs="Arial" w:hint="cs"/>
          <w:sz w:val="16"/>
          <w:szCs w:val="16"/>
          <w:rtl/>
        </w:rPr>
        <w:t>,</w:t>
      </w:r>
      <w:r w:rsidRPr="00D91CCB">
        <w:rPr>
          <w:rFonts w:cs="Arial"/>
          <w:sz w:val="16"/>
          <w:szCs w:val="16"/>
          <w:rtl/>
        </w:rPr>
        <w:t xml:space="preserve"> דהוה חיישינן להתפיס צררי אע</w:t>
      </w:r>
      <w:r>
        <w:rPr>
          <w:rFonts w:cs="Arial" w:hint="cs"/>
          <w:sz w:val="16"/>
          <w:szCs w:val="16"/>
          <w:rtl/>
        </w:rPr>
        <w:t>"</w:t>
      </w:r>
      <w:r w:rsidRPr="00D91CCB">
        <w:rPr>
          <w:rFonts w:cs="Arial"/>
          <w:sz w:val="16"/>
          <w:szCs w:val="16"/>
          <w:rtl/>
        </w:rPr>
        <w:t>ג דלא ניחא ליה בהרווחה</w:t>
      </w:r>
      <w:r>
        <w:rPr>
          <w:rFonts w:cs="Arial" w:hint="cs"/>
          <w:sz w:val="16"/>
          <w:szCs w:val="16"/>
          <w:rtl/>
        </w:rPr>
        <w:t>.</w:t>
      </w:r>
      <w:r w:rsidRPr="00D91CCB">
        <w:rPr>
          <w:rFonts w:cs="Arial"/>
          <w:sz w:val="16"/>
          <w:szCs w:val="16"/>
          <w:rtl/>
        </w:rPr>
        <w:t xml:space="preserve"> ואמר לי רבי דודאי הוה מצי למימר </w:t>
      </w:r>
      <w:r>
        <w:rPr>
          <w:rFonts w:cs="Arial" w:hint="cs"/>
          <w:sz w:val="14"/>
          <w:szCs w:val="14"/>
          <w:rtl/>
        </w:rPr>
        <w:t xml:space="preserve">{רק את הטעם ש-} </w:t>
      </w:r>
      <w:r w:rsidRPr="00D91CCB">
        <w:rPr>
          <w:rFonts w:cs="Arial"/>
          <w:sz w:val="16"/>
          <w:szCs w:val="16"/>
          <w:rtl/>
        </w:rPr>
        <w:t>בתה לא ניחא ליה בהרווחה</w:t>
      </w:r>
      <w:r>
        <w:rPr>
          <w:rFonts w:cs="Arial" w:hint="cs"/>
          <w:sz w:val="16"/>
          <w:szCs w:val="16"/>
          <w:rtl/>
        </w:rPr>
        <w:t>,</w:t>
      </w:r>
      <w:r w:rsidRPr="00D91CCB">
        <w:rPr>
          <w:rFonts w:cs="Arial"/>
          <w:sz w:val="16"/>
          <w:szCs w:val="16"/>
          <w:rtl/>
        </w:rPr>
        <w:t xml:space="preserve"> בתו ניחא ליה</w:t>
      </w:r>
      <w:r>
        <w:rPr>
          <w:rFonts w:cs="Arial" w:hint="cs"/>
          <w:sz w:val="16"/>
          <w:szCs w:val="16"/>
          <w:rtl/>
        </w:rPr>
        <w:t>,</w:t>
      </w:r>
      <w:r w:rsidRPr="00D91CCB">
        <w:rPr>
          <w:rFonts w:cs="Arial"/>
          <w:sz w:val="16"/>
          <w:szCs w:val="16"/>
          <w:rtl/>
        </w:rPr>
        <w:t xml:space="preserve"> אלא איצטריך </w:t>
      </w:r>
      <w:r>
        <w:rPr>
          <w:rFonts w:cs="Arial" w:hint="cs"/>
          <w:sz w:val="14"/>
          <w:szCs w:val="14"/>
          <w:rtl/>
        </w:rPr>
        <w:t xml:space="preserve">{הכא דווקא את} </w:t>
      </w:r>
      <w:r w:rsidRPr="00D91CCB">
        <w:rPr>
          <w:rFonts w:cs="Arial"/>
          <w:sz w:val="16"/>
          <w:szCs w:val="16"/>
          <w:rtl/>
        </w:rPr>
        <w:t>טעמא דתנאי ב"ד</w:t>
      </w:r>
      <w:r>
        <w:rPr>
          <w:rFonts w:cs="Arial" w:hint="cs"/>
          <w:sz w:val="16"/>
          <w:szCs w:val="16"/>
          <w:rtl/>
        </w:rPr>
        <w:t>,</w:t>
      </w:r>
      <w:r w:rsidRPr="00D91CCB">
        <w:rPr>
          <w:rFonts w:cs="Arial"/>
          <w:sz w:val="16"/>
          <w:szCs w:val="16"/>
          <w:rtl/>
        </w:rPr>
        <w:t xml:space="preserve"> </w:t>
      </w:r>
      <w:r>
        <w:rPr>
          <w:rFonts w:cs="Arial" w:hint="cs"/>
          <w:sz w:val="14"/>
          <w:szCs w:val="14"/>
          <w:rtl/>
        </w:rPr>
        <w:t xml:space="preserve">{כדי להורות} </w:t>
      </w:r>
      <w:r w:rsidRPr="00D91CCB">
        <w:rPr>
          <w:rFonts w:cs="Arial"/>
          <w:sz w:val="16"/>
          <w:szCs w:val="16"/>
          <w:rtl/>
        </w:rPr>
        <w:t>שאם פסקה עמו לזון את בתה מחיים</w:t>
      </w:r>
      <w:r>
        <w:rPr>
          <w:rFonts w:cs="Arial" w:hint="cs"/>
          <w:sz w:val="16"/>
          <w:szCs w:val="16"/>
          <w:rtl/>
        </w:rPr>
        <w:t>,</w:t>
      </w:r>
      <w:r w:rsidRPr="00D91CCB">
        <w:rPr>
          <w:rFonts w:cs="Arial"/>
          <w:sz w:val="16"/>
          <w:szCs w:val="16"/>
          <w:rtl/>
        </w:rPr>
        <w:t xml:space="preserve"> דאז לא אכלה בתנאי ב"ד</w:t>
      </w:r>
      <w:r>
        <w:rPr>
          <w:rFonts w:cs="Arial" w:hint="cs"/>
          <w:sz w:val="16"/>
          <w:szCs w:val="16"/>
          <w:rtl/>
        </w:rPr>
        <w:t>,</w:t>
      </w:r>
      <w:r w:rsidRPr="00D91CCB">
        <w:rPr>
          <w:rFonts w:cs="Arial"/>
          <w:sz w:val="16"/>
          <w:szCs w:val="16"/>
          <w:rtl/>
        </w:rPr>
        <w:t xml:space="preserve"> א"נ לאחר מיתה ולאחר שתבגר </w:t>
      </w:r>
      <w:r>
        <w:rPr>
          <w:rFonts w:cs="Arial" w:hint="cs"/>
          <w:sz w:val="16"/>
          <w:szCs w:val="16"/>
          <w:rtl/>
        </w:rPr>
        <w:t xml:space="preserve">- </w:t>
      </w:r>
      <w:r w:rsidRPr="00D91CCB">
        <w:rPr>
          <w:rFonts w:cs="Arial"/>
          <w:sz w:val="16"/>
          <w:szCs w:val="16"/>
          <w:rtl/>
        </w:rPr>
        <w:t>היתה גובה ממשעבדי</w:t>
      </w:r>
      <w:r>
        <w:rPr>
          <w:rFonts w:cs="Arial" w:hint="cs"/>
          <w:sz w:val="16"/>
          <w:szCs w:val="16"/>
          <w:rtl/>
        </w:rPr>
        <w:t>,</w:t>
      </w:r>
      <w:r w:rsidRPr="00D91CCB">
        <w:rPr>
          <w:rFonts w:cs="Arial"/>
          <w:sz w:val="16"/>
          <w:szCs w:val="16"/>
          <w:rtl/>
        </w:rPr>
        <w:t xml:space="preserve"> דלא חיישינן לצררי אלא היכא דאיכא תרי טעמי דאכלה בתנאי ב"ד וניחא ליה בהרווחה</w:t>
      </w:r>
      <w:r>
        <w:rPr>
          <w:rFonts w:cs="Arial" w:hint="cs"/>
          <w:sz w:val="16"/>
          <w:szCs w:val="16"/>
          <w:rtl/>
        </w:rPr>
        <w:t>...</w:t>
      </w:r>
      <w:r w:rsidRPr="00D91CCB">
        <w:rPr>
          <w:rFonts w:cs="Arial"/>
          <w:sz w:val="16"/>
          <w:szCs w:val="16"/>
          <w:rtl/>
        </w:rPr>
        <w:t xml:space="preserve"> </w:t>
      </w:r>
      <w:r>
        <w:rPr>
          <w:rStyle w:val="a7"/>
          <w:rFonts w:cs="Arial"/>
          <w:sz w:val="16"/>
          <w:szCs w:val="16"/>
          <w:rtl/>
        </w:rPr>
        <w:footnoteReference w:id="2910"/>
      </w:r>
      <w:r w:rsidRPr="006D5AC0">
        <w:rPr>
          <w:rFonts w:cs="Arial"/>
          <w:sz w:val="16"/>
          <w:szCs w:val="16"/>
          <w:u w:val="single"/>
          <w:rtl/>
        </w:rPr>
        <w:t>עוד תירץ</w:t>
      </w:r>
      <w:r w:rsidRPr="00D91CCB">
        <w:rPr>
          <w:rFonts w:cs="Arial"/>
          <w:sz w:val="16"/>
          <w:szCs w:val="16"/>
          <w:rtl/>
        </w:rPr>
        <w:t xml:space="preserve"> דה"ק</w:t>
      </w:r>
      <w:r>
        <w:rPr>
          <w:rFonts w:cs="Arial" w:hint="cs"/>
          <w:sz w:val="16"/>
          <w:szCs w:val="16"/>
          <w:rtl/>
        </w:rPr>
        <w:t>,</w:t>
      </w:r>
      <w:r w:rsidRPr="00D91CCB">
        <w:rPr>
          <w:rFonts w:cs="Arial"/>
          <w:sz w:val="16"/>
          <w:szCs w:val="16"/>
          <w:rtl/>
        </w:rPr>
        <w:t xml:space="preserve"> כיון דאיתנהו בתנאי ב"ד</w:t>
      </w:r>
      <w:r>
        <w:rPr>
          <w:rFonts w:cs="Arial" w:hint="cs"/>
          <w:sz w:val="16"/>
          <w:szCs w:val="16"/>
          <w:rtl/>
        </w:rPr>
        <w:t>,</w:t>
      </w:r>
      <w:r w:rsidRPr="00D91CCB">
        <w:rPr>
          <w:rFonts w:cs="Arial"/>
          <w:sz w:val="16"/>
          <w:szCs w:val="16"/>
          <w:rtl/>
        </w:rPr>
        <w:t xml:space="preserve"> פי' שכל כך יפה כחה שהקנה לה אע</w:t>
      </w:r>
      <w:r>
        <w:rPr>
          <w:rFonts w:cs="Arial" w:hint="cs"/>
          <w:sz w:val="16"/>
          <w:szCs w:val="16"/>
          <w:rtl/>
        </w:rPr>
        <w:t>"</w:t>
      </w:r>
      <w:r w:rsidRPr="00D91CCB">
        <w:rPr>
          <w:rFonts w:cs="Arial"/>
          <w:sz w:val="16"/>
          <w:szCs w:val="16"/>
          <w:rtl/>
        </w:rPr>
        <w:t xml:space="preserve">ג דאיתנהו בתנאי ב"ד </w:t>
      </w:r>
      <w:r>
        <w:rPr>
          <w:rFonts w:cs="Arial" w:hint="cs"/>
          <w:sz w:val="16"/>
          <w:szCs w:val="16"/>
          <w:rtl/>
        </w:rPr>
        <w:t xml:space="preserve">- </w:t>
      </w:r>
      <w:r w:rsidRPr="00D91CCB">
        <w:rPr>
          <w:rFonts w:cs="Arial"/>
          <w:sz w:val="16"/>
          <w:szCs w:val="16"/>
          <w:rtl/>
        </w:rPr>
        <w:t>ודאי איכא למיחש לצררי</w:t>
      </w:r>
      <w:r>
        <w:rPr>
          <w:rFonts w:cs="Arial" w:hint="cs"/>
          <w:sz w:val="16"/>
          <w:szCs w:val="16"/>
          <w:rtl/>
        </w:rPr>
        <w:t>.</w:t>
      </w:r>
      <w:r w:rsidRPr="00D91CCB">
        <w:rPr>
          <w:rFonts w:cs="Arial"/>
          <w:sz w:val="16"/>
          <w:szCs w:val="16"/>
          <w:rtl/>
        </w:rPr>
        <w:t xml:space="preserve"> ובהאי שינויא מתורצין לגמרי כל הנך פירכי ההיא דגיטין וההיא דקטנה וההיא דכתובה, מ"ר</w:t>
      </w:r>
      <w:r>
        <w:rPr>
          <w:rFonts w:cs="Arial" w:hint="cs"/>
          <w:sz w:val="16"/>
          <w:szCs w:val="16"/>
          <w:rtl/>
        </w:rPr>
        <w:t>, תוס' (ד"ה אימר צררי). ועיין בדברי הב"ש (סקי"ז) שמובאים בסוף הסעיף)</w:t>
      </w:r>
    </w:p>
    <w:p w14:paraId="68CF7848" w14:textId="77777777" w:rsidR="002E5BAD" w:rsidRPr="001A203B" w:rsidRDefault="002E5BAD" w:rsidP="002E5BAD">
      <w:pPr>
        <w:rPr>
          <w:rtl/>
        </w:rPr>
      </w:pPr>
      <w:r w:rsidRPr="001A203B">
        <w:rPr>
          <w:rFonts w:cs="Arial" w:hint="cs"/>
          <w:b/>
          <w:bCs/>
          <w:rtl/>
        </w:rPr>
        <w:t xml:space="preserve">גיטין </w:t>
      </w:r>
      <w:r>
        <w:rPr>
          <w:rFonts w:cs="Arial" w:hint="cs"/>
          <w:b/>
          <w:bCs/>
          <w:sz w:val="16"/>
          <w:szCs w:val="16"/>
          <w:rtl/>
        </w:rPr>
        <w:t>(ר"פ הניזקין)</w:t>
      </w:r>
      <w:r>
        <w:rPr>
          <w:rFonts w:cs="Arial" w:hint="cs"/>
          <w:b/>
          <w:bCs/>
          <w:rtl/>
        </w:rPr>
        <w:t xml:space="preserve"> </w:t>
      </w:r>
      <w:r w:rsidRPr="001A203B">
        <w:rPr>
          <w:rFonts w:cs="Arial" w:hint="cs"/>
          <w:b/>
          <w:bCs/>
          <w:rtl/>
        </w:rPr>
        <w:t xml:space="preserve">מח ע"ב: </w:t>
      </w:r>
      <w:r w:rsidRPr="00900521">
        <w:rPr>
          <w:rFonts w:cs="Arial"/>
          <w:u w:val="double"/>
          <w:rtl/>
        </w:rPr>
        <w:t>מתני'</w:t>
      </w:r>
      <w:r>
        <w:rPr>
          <w:rFonts w:cs="Arial" w:hint="cs"/>
          <w:rtl/>
        </w:rPr>
        <w:t>:...</w:t>
      </w:r>
      <w:r>
        <w:rPr>
          <w:rFonts w:cs="Arial"/>
          <w:rtl/>
        </w:rPr>
        <w:t xml:space="preserve"> אין מוציאין לאכילת פירות ולשבח קרקעות ולמזון האשה והבנות מנכסים משועבדין, מפני תיקון העולם.</w:t>
      </w:r>
      <w:r>
        <w:rPr>
          <w:rFonts w:cs="Arial" w:hint="cs"/>
          <w:rtl/>
        </w:rPr>
        <w:t>.</w:t>
      </w:r>
      <w:r>
        <w:rPr>
          <w:rFonts w:cs="Arial"/>
          <w:rtl/>
        </w:rPr>
        <w:t xml:space="preserve">. </w:t>
      </w:r>
      <w:r>
        <w:rPr>
          <w:rFonts w:hint="cs"/>
          <w:rtl/>
        </w:rPr>
        <w:t xml:space="preserve">        </w:t>
      </w:r>
      <w:r w:rsidRPr="00900521">
        <w:rPr>
          <w:rFonts w:cs="Arial"/>
          <w:u w:val="double"/>
          <w:rtl/>
        </w:rPr>
        <w:t>גמ'</w:t>
      </w:r>
      <w:r>
        <w:rPr>
          <w:rFonts w:cs="Arial" w:hint="cs"/>
          <w:sz w:val="14"/>
          <w:szCs w:val="14"/>
          <w:u w:val="double"/>
          <w:rtl/>
        </w:rPr>
        <w:t>(נ:)</w:t>
      </w:r>
      <w:r>
        <w:rPr>
          <w:rFonts w:cs="Arial" w:hint="cs"/>
          <w:u w:val="double"/>
          <w:rtl/>
        </w:rPr>
        <w:t>:</w:t>
      </w:r>
      <w:r w:rsidRPr="00900521">
        <w:rPr>
          <w:rtl/>
        </w:rPr>
        <w:t xml:space="preserve"> </w:t>
      </w:r>
      <w:r w:rsidRPr="00900521">
        <w:rPr>
          <w:rFonts w:cs="Arial"/>
          <w:rtl/>
        </w:rPr>
        <w:t xml:space="preserve">אין מוציאין לאכילת פירות. מאי טעמא? </w:t>
      </w:r>
      <w:r w:rsidRPr="00900521">
        <w:rPr>
          <w:rFonts w:cs="Arial"/>
          <w:u w:val="single"/>
          <w:rtl/>
        </w:rPr>
        <w:t>אמר עולא אמר ריש לקיש</w:t>
      </w:r>
      <w:r w:rsidRPr="00900521">
        <w:rPr>
          <w:rFonts w:cs="Arial"/>
          <w:rtl/>
        </w:rPr>
        <w:t xml:space="preserve">: לפי שאין כתובין. </w:t>
      </w:r>
      <w:r w:rsidRPr="00900521">
        <w:rPr>
          <w:rFonts w:cs="Arial"/>
          <w:u w:val="single"/>
          <w:rtl/>
        </w:rPr>
        <w:t>אמר ליה רבי אבא לעולא</w:t>
      </w:r>
      <w:r w:rsidRPr="00900521">
        <w:rPr>
          <w:rFonts w:cs="Arial"/>
          <w:rtl/>
        </w:rPr>
        <w:t>: והא מזון האשה והבנות דכמאן דכתיבי דמו</w:t>
      </w:r>
      <w:r>
        <w:rPr>
          <w:rStyle w:val="a7"/>
          <w:rFonts w:cs="Arial"/>
          <w:rtl/>
        </w:rPr>
        <w:footnoteReference w:id="2911"/>
      </w:r>
      <w:r w:rsidRPr="00900521">
        <w:rPr>
          <w:rFonts w:cs="Arial"/>
          <w:rtl/>
        </w:rPr>
        <w:t xml:space="preserve">, וקתני: אין מוציאין! </w:t>
      </w:r>
      <w:r w:rsidRPr="008172A3">
        <w:rPr>
          <w:rFonts w:cs="Arial"/>
          <w:u w:val="single"/>
          <w:rtl/>
        </w:rPr>
        <w:t>א"ל</w:t>
      </w:r>
      <w:r w:rsidRPr="00900521">
        <w:rPr>
          <w:rFonts w:cs="Arial"/>
          <w:rtl/>
        </w:rPr>
        <w:t>: התם מעיקרא הכי אתקון</w:t>
      </w:r>
      <w:r>
        <w:rPr>
          <w:rStyle w:val="a7"/>
          <w:rFonts w:cs="Arial"/>
          <w:rtl/>
        </w:rPr>
        <w:footnoteReference w:id="2912"/>
      </w:r>
      <w:r w:rsidRPr="00900521">
        <w:rPr>
          <w:rFonts w:cs="Arial"/>
          <w:rtl/>
        </w:rPr>
        <w:t xml:space="preserve">, כתובין הן אצל בני חורין, ואין כתובין הן אצל משועבדין. </w:t>
      </w:r>
      <w:r w:rsidRPr="008172A3">
        <w:rPr>
          <w:rFonts w:cs="Arial"/>
          <w:u w:val="single"/>
          <w:rtl/>
        </w:rPr>
        <w:t>וכן אמר רבי אסי אמר ר' יוחנן</w:t>
      </w:r>
      <w:r w:rsidRPr="00900521">
        <w:rPr>
          <w:rFonts w:cs="Arial"/>
          <w:rtl/>
        </w:rPr>
        <w:t xml:space="preserve">: לפי שאין כתובין. אמר ליה רבי זירא לרב אסי: והא מזון האשה והבנות דכמאן דכתיבי דמו, וקתני: אין מוציאין! א"ל: מעיקרא הכי אתקון, כתובין הן אצל בני חורין, ואין כתובין הן אצל משועבדין. </w:t>
      </w:r>
      <w:r w:rsidRPr="008172A3">
        <w:rPr>
          <w:rFonts w:cs="Arial"/>
          <w:u w:val="single"/>
          <w:rtl/>
        </w:rPr>
        <w:t>ר' חנינא אמר</w:t>
      </w:r>
      <w:r w:rsidRPr="00900521">
        <w:rPr>
          <w:rFonts w:cs="Arial"/>
          <w:rtl/>
        </w:rPr>
        <w:t>: לפי שאין קצובין.</w:t>
      </w:r>
      <w:r>
        <w:rPr>
          <w:rFonts w:hint="cs"/>
          <w:rtl/>
        </w:rPr>
        <w:t>..</w:t>
      </w:r>
      <w:r>
        <w:rPr>
          <w:rFonts w:hint="cs"/>
          <w:sz w:val="16"/>
          <w:szCs w:val="16"/>
          <w:rtl/>
        </w:rPr>
        <w:t xml:space="preserve"> </w:t>
      </w:r>
      <w:r w:rsidRPr="006A0A35">
        <w:rPr>
          <w:rFonts w:hint="cs"/>
          <w:sz w:val="14"/>
          <w:szCs w:val="14"/>
          <w:rtl/>
        </w:rPr>
        <w:t>(נ</w:t>
      </w:r>
      <w:r>
        <w:rPr>
          <w:rFonts w:hint="cs"/>
          <w:sz w:val="14"/>
          <w:szCs w:val="14"/>
          <w:rtl/>
        </w:rPr>
        <w:t>א</w:t>
      </w:r>
      <w:r w:rsidRPr="006A0A35">
        <w:rPr>
          <w:rFonts w:hint="cs"/>
          <w:sz w:val="14"/>
          <w:szCs w:val="14"/>
          <w:rtl/>
        </w:rPr>
        <w:t>.)</w:t>
      </w:r>
      <w:r>
        <w:rPr>
          <w:rFonts w:hint="cs"/>
          <w:rtl/>
        </w:rPr>
        <w:t xml:space="preserve"> </w:t>
      </w:r>
      <w:r w:rsidRPr="006A0A35">
        <w:rPr>
          <w:rFonts w:cs="Arial"/>
          <w:u w:val="single"/>
          <w:rtl/>
        </w:rPr>
        <w:t>מתיב רב הונא בר מנוח</w:t>
      </w:r>
      <w:r w:rsidRPr="006A0A35">
        <w:rPr>
          <w:rFonts w:cs="Arial"/>
          <w:rtl/>
        </w:rPr>
        <w:t>: מתו - בנותיהן נזונות מנכסים בני חורין, והיא נזונת מנכסים משועבדים</w:t>
      </w:r>
      <w:r>
        <w:rPr>
          <w:rStyle w:val="a7"/>
          <w:rFonts w:cs="Arial"/>
          <w:rtl/>
        </w:rPr>
        <w:footnoteReference w:id="2913"/>
      </w:r>
      <w:r w:rsidRPr="006A0A35">
        <w:rPr>
          <w:rFonts w:cs="Arial"/>
          <w:rtl/>
        </w:rPr>
        <w:t>, מפני שהיא כבעלת חוב! הכא במאי עסקינן - בשקנו מידו. אי הכי, בנות נמי! בשקנו לזו ולא קנו לזו. מאי פסקא?</w:t>
      </w:r>
      <w:r>
        <w:rPr>
          <w:rFonts w:cs="Arial" w:hint="cs"/>
          <w:rtl/>
        </w:rPr>
        <w:t>...</w:t>
      </w:r>
      <w:r w:rsidRPr="006A0A35">
        <w:rPr>
          <w:rFonts w:cs="Arial"/>
          <w:rtl/>
        </w:rPr>
        <w:t xml:space="preserve"> אלא, בתו כיון דבתנאי בית דין קאכלה, אימר צררי אתפסה.</w:t>
      </w:r>
      <w:r w:rsidRPr="001C7364">
        <w:rPr>
          <w:sz w:val="16"/>
          <w:szCs w:val="16"/>
          <w:rtl/>
        </w:rPr>
        <w:t xml:space="preserve"> </w:t>
      </w:r>
      <w:r w:rsidRPr="001C7364">
        <w:rPr>
          <w:rFonts w:cs="Arial" w:hint="cs"/>
          <w:sz w:val="16"/>
          <w:szCs w:val="16"/>
          <w:rtl/>
        </w:rPr>
        <w:t>(</w:t>
      </w:r>
      <w:r w:rsidRPr="001C7364">
        <w:rPr>
          <w:rFonts w:cs="Arial"/>
          <w:sz w:val="16"/>
          <w:szCs w:val="16"/>
          <w:rtl/>
        </w:rPr>
        <w:t>ו</w:t>
      </w:r>
      <w:r w:rsidRPr="001C7364">
        <w:rPr>
          <w:rFonts w:cs="Arial" w:hint="cs"/>
          <w:sz w:val="16"/>
          <w:szCs w:val="16"/>
          <w:rtl/>
        </w:rPr>
        <w:t xml:space="preserve">פסק </w:t>
      </w:r>
      <w:r w:rsidRPr="001C7364">
        <w:rPr>
          <w:rFonts w:cs="Arial"/>
          <w:sz w:val="16"/>
          <w:szCs w:val="16"/>
          <w:rtl/>
        </w:rPr>
        <w:t xml:space="preserve">הרמב"ם </w:t>
      </w:r>
      <w:r w:rsidRPr="001C7364">
        <w:rPr>
          <w:rFonts w:cs="Arial" w:hint="cs"/>
          <w:sz w:val="16"/>
          <w:szCs w:val="16"/>
          <w:rtl/>
        </w:rPr>
        <w:t xml:space="preserve">כר' חנינא, </w:t>
      </w:r>
      <w:r w:rsidRPr="001C7364">
        <w:rPr>
          <w:rFonts w:cs="Arial"/>
          <w:sz w:val="16"/>
          <w:szCs w:val="16"/>
          <w:rtl/>
        </w:rPr>
        <w:t>עיין סי' קי"ד</w:t>
      </w:r>
      <w:r w:rsidRPr="001C7364">
        <w:rPr>
          <w:rFonts w:cs="Arial" w:hint="cs"/>
          <w:sz w:val="16"/>
          <w:szCs w:val="16"/>
          <w:rtl/>
        </w:rPr>
        <w:t>)</w:t>
      </w:r>
    </w:p>
    <w:p w14:paraId="7A46529F" w14:textId="77777777" w:rsidR="002E5BAD" w:rsidRPr="003F6091" w:rsidRDefault="002E5BAD" w:rsidP="002E5BAD">
      <w:pPr>
        <w:rPr>
          <w:u w:val="single"/>
          <w:rtl/>
        </w:rPr>
      </w:pPr>
      <w:r w:rsidRPr="003F6091">
        <w:rPr>
          <w:rFonts w:hint="cs"/>
          <w:u w:val="single"/>
          <w:rtl/>
        </w:rPr>
        <w:t>כשקנו מהאב על חיוב מזונות בת</w:t>
      </w:r>
      <w:r>
        <w:rPr>
          <w:rFonts w:hint="cs"/>
          <w:u w:val="single"/>
          <w:rtl/>
        </w:rPr>
        <w:t>ו</w:t>
      </w:r>
      <w:r w:rsidRPr="003F6091">
        <w:rPr>
          <w:rFonts w:hint="cs"/>
          <w:u w:val="single"/>
          <w:rtl/>
        </w:rPr>
        <w:t xml:space="preserve"> </w:t>
      </w:r>
      <w:r w:rsidRPr="003F6091">
        <w:rPr>
          <w:u w:val="single"/>
          <w:rtl/>
        </w:rPr>
        <w:t>–</w:t>
      </w:r>
      <w:r w:rsidRPr="003F6091">
        <w:rPr>
          <w:rFonts w:hint="cs"/>
          <w:u w:val="single"/>
          <w:rtl/>
        </w:rPr>
        <w:t xml:space="preserve"> האם היא ניזונת ממשעבדי:</w:t>
      </w:r>
    </w:p>
    <w:p w14:paraId="76DC9040" w14:textId="77777777" w:rsidR="002E5BAD" w:rsidRDefault="002E5BAD" w:rsidP="00B75458">
      <w:pPr>
        <w:pStyle w:val="ab"/>
        <w:numPr>
          <w:ilvl w:val="0"/>
          <w:numId w:val="195"/>
        </w:numPr>
      </w:pPr>
      <w:r>
        <w:rPr>
          <w:rFonts w:cs="Arial" w:hint="cs"/>
          <w:rtl/>
        </w:rPr>
        <w:t xml:space="preserve">טור- </w:t>
      </w:r>
      <w:r w:rsidRPr="00B345A5">
        <w:rPr>
          <w:rFonts w:cs="Arial"/>
          <w:rtl/>
        </w:rPr>
        <w:t>ואפי</w:t>
      </w:r>
      <w:r>
        <w:rPr>
          <w:rFonts w:cs="Arial" w:hint="cs"/>
          <w:rtl/>
        </w:rPr>
        <w:t>לו</w:t>
      </w:r>
      <w:r w:rsidRPr="00B345A5">
        <w:rPr>
          <w:rFonts w:cs="Arial"/>
          <w:rtl/>
        </w:rPr>
        <w:t xml:space="preserve"> קנו מיניה והיו בשעת קניין</w:t>
      </w:r>
      <w:r>
        <w:rPr>
          <w:rFonts w:cs="Arial" w:hint="cs"/>
          <w:rtl/>
        </w:rPr>
        <w:t>,</w:t>
      </w:r>
      <w:r w:rsidRPr="00B345A5">
        <w:rPr>
          <w:rFonts w:cs="Arial"/>
          <w:rtl/>
        </w:rPr>
        <w:t xml:space="preserve"> כגון שגרשה והיו לו בנות ממנה</w:t>
      </w:r>
      <w:r>
        <w:rPr>
          <w:rFonts w:cs="Arial" w:hint="cs"/>
          <w:rtl/>
        </w:rPr>
        <w:t>,</w:t>
      </w:r>
      <w:r w:rsidRPr="00B345A5">
        <w:rPr>
          <w:rFonts w:cs="Arial"/>
          <w:rtl/>
        </w:rPr>
        <w:t xml:space="preserve"> והחזירה וקנו מיניה לפרנסן </w:t>
      </w:r>
      <w:r>
        <w:rPr>
          <w:rFonts w:cs="Arial" w:hint="cs"/>
          <w:rtl/>
        </w:rPr>
        <w:t xml:space="preserve">- </w:t>
      </w:r>
      <w:r w:rsidRPr="00B345A5">
        <w:rPr>
          <w:rFonts w:cs="Arial"/>
          <w:rtl/>
        </w:rPr>
        <w:t>אפ"ה אינ</w:t>
      </w:r>
      <w:r>
        <w:rPr>
          <w:rFonts w:cs="Arial" w:hint="cs"/>
          <w:rtl/>
        </w:rPr>
        <w:t>ן</w:t>
      </w:r>
      <w:r w:rsidRPr="00B345A5">
        <w:rPr>
          <w:rFonts w:cs="Arial"/>
          <w:rtl/>
        </w:rPr>
        <w:t xml:space="preserve"> ניזונות ממשעבדי</w:t>
      </w:r>
      <w:r>
        <w:rPr>
          <w:rFonts w:cs="Arial" w:hint="cs"/>
          <w:rtl/>
        </w:rPr>
        <w:t>,</w:t>
      </w:r>
      <w:r w:rsidRPr="00B345A5">
        <w:rPr>
          <w:rFonts w:cs="Arial"/>
          <w:rtl/>
        </w:rPr>
        <w:t xml:space="preserve"> כיון דבתנאי ב"ד אכלי וגם ניחא ליה בהרווחה דידהו חיישינן לצררי</w:t>
      </w:r>
      <w:r>
        <w:rPr>
          <w:rStyle w:val="a7"/>
          <w:rFonts w:cs="Arial"/>
          <w:rtl/>
        </w:rPr>
        <w:footnoteReference w:id="2914"/>
      </w:r>
      <w:r>
        <w:rPr>
          <w:rFonts w:cs="Arial" w:hint="cs"/>
          <w:rtl/>
        </w:rPr>
        <w:t>.</w:t>
      </w:r>
      <w:r w:rsidRPr="00B345A5">
        <w:rPr>
          <w:rFonts w:cs="Arial"/>
          <w:rtl/>
        </w:rPr>
        <w:t xml:space="preserve"> אבל מבני חרי ניזונו</w:t>
      </w:r>
      <w:r>
        <w:rPr>
          <w:rFonts w:cs="Arial" w:hint="cs"/>
          <w:rtl/>
        </w:rPr>
        <w:t>ת</w:t>
      </w:r>
      <w:r w:rsidRPr="00B345A5">
        <w:rPr>
          <w:rFonts w:cs="Arial"/>
          <w:rtl/>
        </w:rPr>
        <w:t xml:space="preserve"> אע</w:t>
      </w:r>
      <w:r>
        <w:rPr>
          <w:rFonts w:cs="Arial" w:hint="cs"/>
          <w:rtl/>
        </w:rPr>
        <w:t>"</w:t>
      </w:r>
      <w:r w:rsidRPr="00B345A5">
        <w:rPr>
          <w:rFonts w:cs="Arial"/>
          <w:rtl/>
        </w:rPr>
        <w:t>פ שגירשה</w:t>
      </w:r>
      <w:r>
        <w:rPr>
          <w:rFonts w:cs="Arial" w:hint="cs"/>
          <w:rtl/>
        </w:rPr>
        <w:t>,</w:t>
      </w:r>
      <w:r w:rsidRPr="00B345A5">
        <w:rPr>
          <w:rFonts w:cs="Arial"/>
          <w:rtl/>
        </w:rPr>
        <w:t xml:space="preserve"> ולא אמרינן כבר נתבטל תנאי ב"ד</w:t>
      </w:r>
      <w:r>
        <w:rPr>
          <w:rFonts w:cs="Arial" w:hint="cs"/>
          <w:rtl/>
        </w:rPr>
        <w:t>,</w:t>
      </w:r>
      <w:r w:rsidRPr="00B345A5">
        <w:rPr>
          <w:rFonts w:cs="Arial"/>
          <w:rtl/>
        </w:rPr>
        <w:t xml:space="preserve"> אלא חייב לזון בנותיה שנולדו לה ממנו קודם שגירשה בתנאי ב"ד אחרי מותו</w:t>
      </w:r>
      <w:r>
        <w:rPr>
          <w:rFonts w:cs="Arial" w:hint="cs"/>
          <w:rtl/>
        </w:rPr>
        <w:t>.</w:t>
      </w:r>
      <w:r w:rsidRPr="00B345A5">
        <w:rPr>
          <w:rFonts w:cs="Arial"/>
          <w:rtl/>
        </w:rPr>
        <w:t xml:space="preserve"> </w:t>
      </w:r>
      <w:r w:rsidRPr="00861563">
        <w:rPr>
          <w:rFonts w:hint="cs"/>
          <w:color w:val="E36C0A" w:themeColor="accent6" w:themeShade="BF"/>
          <w:rtl/>
        </w:rPr>
        <w:t>(וכ"פ בשו"ע)</w:t>
      </w:r>
    </w:p>
    <w:p w14:paraId="0696D613" w14:textId="77777777" w:rsidR="002E5BAD" w:rsidRPr="006D1D4D" w:rsidRDefault="002E5BAD" w:rsidP="002E5BAD">
      <w:pPr>
        <w:ind w:left="360"/>
        <w:rPr>
          <w:u w:val="dotted"/>
        </w:rPr>
      </w:pPr>
      <w:r w:rsidRPr="006D1D4D">
        <w:rPr>
          <w:rFonts w:hint="cs"/>
          <w:u w:val="dotted"/>
          <w:rtl/>
        </w:rPr>
        <w:t xml:space="preserve">ומה הדין אם כתב להן שטר בפני עצמו </w:t>
      </w:r>
      <w:r w:rsidRPr="006D1D4D">
        <w:rPr>
          <w:rFonts w:hint="cs"/>
          <w:sz w:val="16"/>
          <w:szCs w:val="16"/>
          <w:u w:val="dotted"/>
          <w:rtl/>
        </w:rPr>
        <w:t xml:space="preserve">(חוץ </w:t>
      </w:r>
      <w:r>
        <w:rPr>
          <w:rFonts w:hint="cs"/>
          <w:sz w:val="16"/>
          <w:szCs w:val="16"/>
          <w:u w:val="dotted"/>
          <w:rtl/>
        </w:rPr>
        <w:t>מ</w:t>
      </w:r>
      <w:r w:rsidRPr="006D1D4D">
        <w:rPr>
          <w:rFonts w:hint="cs"/>
          <w:sz w:val="16"/>
          <w:szCs w:val="16"/>
          <w:u w:val="dotted"/>
          <w:rtl/>
        </w:rPr>
        <w:t>שטר כתובה שבו מוזכר תנאי זה)</w:t>
      </w:r>
      <w:r>
        <w:rPr>
          <w:rFonts w:hint="cs"/>
          <w:u w:val="dotted"/>
          <w:rtl/>
        </w:rPr>
        <w:t>,</w:t>
      </w:r>
      <w:r w:rsidRPr="006D1D4D">
        <w:rPr>
          <w:rFonts w:hint="cs"/>
          <w:u w:val="dotted"/>
          <w:rtl/>
        </w:rPr>
        <w:t xml:space="preserve"> או שקנו ממנו לאחר הנישואין</w:t>
      </w:r>
      <w:r>
        <w:rPr>
          <w:rFonts w:hint="cs"/>
          <w:u w:val="dotted"/>
          <w:rtl/>
        </w:rPr>
        <w:t>:</w:t>
      </w:r>
    </w:p>
    <w:p w14:paraId="639F3CE4" w14:textId="77777777" w:rsidR="002E5BAD" w:rsidRDefault="002E5BAD" w:rsidP="00B75458">
      <w:pPr>
        <w:pStyle w:val="ab"/>
        <w:numPr>
          <w:ilvl w:val="0"/>
          <w:numId w:val="195"/>
        </w:numPr>
        <w:rPr>
          <w:rtl/>
        </w:rPr>
      </w:pPr>
      <w:r w:rsidRPr="00B345A5">
        <w:rPr>
          <w:rFonts w:cs="Arial"/>
          <w:rtl/>
        </w:rPr>
        <w:t>רמ"ה</w:t>
      </w:r>
      <w:r>
        <w:rPr>
          <w:rFonts w:cs="Arial" w:hint="cs"/>
          <w:rtl/>
        </w:rPr>
        <w:t xml:space="preserve"> </w:t>
      </w:r>
      <w:r>
        <w:rPr>
          <w:rFonts w:cs="Arial" w:hint="cs"/>
          <w:sz w:val="16"/>
          <w:szCs w:val="16"/>
          <w:rtl/>
        </w:rPr>
        <w:t>(כ"כ הטור בשמו)</w:t>
      </w:r>
      <w:r>
        <w:rPr>
          <w:rFonts w:cs="Arial" w:hint="cs"/>
          <w:rtl/>
        </w:rPr>
        <w:t>-</w:t>
      </w:r>
      <w:r w:rsidRPr="00B345A5">
        <w:rPr>
          <w:rFonts w:cs="Arial"/>
          <w:rtl/>
        </w:rPr>
        <w:t xml:space="preserve"> הא דלא מהני לה קנין דוקא דקנו מיניה בשעת נישואין בכלל מאי דקנו מיניה בתנאי כתובה ולא כתב לבנות שטר באפי נפשייהו</w:t>
      </w:r>
      <w:r>
        <w:rPr>
          <w:rFonts w:cs="Arial" w:hint="cs"/>
          <w:rtl/>
        </w:rPr>
        <w:t>,</w:t>
      </w:r>
      <w:r w:rsidRPr="00B345A5">
        <w:rPr>
          <w:rFonts w:cs="Arial"/>
          <w:rtl/>
        </w:rPr>
        <w:t xml:space="preserve"> אבל אי כתב להו שטרא באפי נפשייהו</w:t>
      </w:r>
      <w:r>
        <w:rPr>
          <w:rFonts w:cs="Arial" w:hint="cs"/>
          <w:rtl/>
        </w:rPr>
        <w:t>,</w:t>
      </w:r>
      <w:r w:rsidRPr="00B345A5">
        <w:rPr>
          <w:rFonts w:cs="Arial"/>
          <w:rtl/>
        </w:rPr>
        <w:t xml:space="preserve"> אי נמי קנו ממנו לאחר נישואין</w:t>
      </w:r>
      <w:r>
        <w:rPr>
          <w:rStyle w:val="a7"/>
          <w:rFonts w:cs="Arial"/>
          <w:rtl/>
        </w:rPr>
        <w:footnoteReference w:id="2915"/>
      </w:r>
      <w:r w:rsidRPr="00B345A5">
        <w:rPr>
          <w:rFonts w:cs="Arial"/>
          <w:rtl/>
        </w:rPr>
        <w:t xml:space="preserve"> </w:t>
      </w:r>
      <w:r>
        <w:rPr>
          <w:rFonts w:cs="Arial" w:hint="cs"/>
          <w:rtl/>
        </w:rPr>
        <w:t xml:space="preserve">- </w:t>
      </w:r>
      <w:r w:rsidRPr="00B345A5">
        <w:rPr>
          <w:rFonts w:cs="Arial"/>
          <w:rtl/>
        </w:rPr>
        <w:t>סתם קנין לכתיבה עומד וגבי ממשעבדי</w:t>
      </w:r>
      <w:r>
        <w:rPr>
          <w:rFonts w:cs="Arial" w:hint="cs"/>
          <w:rtl/>
        </w:rPr>
        <w:t>,</w:t>
      </w:r>
      <w:r w:rsidRPr="00B345A5">
        <w:rPr>
          <w:rFonts w:cs="Arial"/>
          <w:rtl/>
        </w:rPr>
        <w:t xml:space="preserve"> דמעידנא דקנו מיניה גמר ומשעבד נפשיה</w:t>
      </w:r>
      <w:r>
        <w:rPr>
          <w:rFonts w:cs="Arial" w:hint="cs"/>
          <w:rtl/>
        </w:rPr>
        <w:t>.</w:t>
      </w:r>
      <w:r w:rsidRPr="00B345A5">
        <w:rPr>
          <w:rFonts w:cs="Arial"/>
          <w:rtl/>
        </w:rPr>
        <w:t xml:space="preserve"> ואם איתא דאתפיס צררי</w:t>
      </w:r>
      <w:r>
        <w:rPr>
          <w:rFonts w:cs="Arial" w:hint="cs"/>
          <w:rtl/>
        </w:rPr>
        <w:t>,</w:t>
      </w:r>
      <w:r w:rsidRPr="00B345A5">
        <w:rPr>
          <w:rFonts w:cs="Arial"/>
          <w:rtl/>
        </w:rPr>
        <w:t xml:space="preserve"> איבעי ליה למנקט שטרא מינה או למכתב תברא עליה</w:t>
      </w:r>
      <w:r>
        <w:rPr>
          <w:rFonts w:cs="Arial" w:hint="cs"/>
          <w:sz w:val="16"/>
          <w:szCs w:val="16"/>
          <w:rtl/>
        </w:rPr>
        <w:t xml:space="preserve"> (ל' הטור בשמו)</w:t>
      </w:r>
      <w:r>
        <w:rPr>
          <w:rFonts w:cs="Arial" w:hint="cs"/>
          <w:rtl/>
        </w:rPr>
        <w:t>.</w:t>
      </w:r>
      <w:r w:rsidRPr="00B345A5">
        <w:rPr>
          <w:rFonts w:cs="Arial"/>
          <w:rtl/>
        </w:rPr>
        <w:t xml:space="preserve"> </w:t>
      </w:r>
    </w:p>
    <w:p w14:paraId="6EEFD430" w14:textId="77777777" w:rsidR="002E5BAD" w:rsidRDefault="002E5BAD" w:rsidP="002E5BAD">
      <w:pPr>
        <w:rPr>
          <w:rFonts w:cs="Arial"/>
          <w:rtl/>
        </w:rPr>
      </w:pPr>
      <w:r w:rsidRPr="00F07BB8">
        <w:rPr>
          <w:rFonts w:cs="Arial" w:hint="cs"/>
          <w:u w:val="single"/>
          <w:rtl/>
        </w:rPr>
        <w:t xml:space="preserve">מזונות הבת וכתובת האלמנה </w:t>
      </w:r>
      <w:r w:rsidRPr="00F07BB8">
        <w:rPr>
          <w:rFonts w:cs="Arial"/>
          <w:u w:val="single"/>
          <w:rtl/>
        </w:rPr>
        <w:t>–</w:t>
      </w:r>
      <w:r w:rsidRPr="00F07BB8">
        <w:rPr>
          <w:rFonts w:cs="Arial" w:hint="cs"/>
          <w:u w:val="single"/>
          <w:rtl/>
        </w:rPr>
        <w:t xml:space="preserve"> מי קודם:</w:t>
      </w:r>
    </w:p>
    <w:p w14:paraId="01AC1BB8" w14:textId="77777777" w:rsidR="002E5BAD" w:rsidRDefault="002E5BAD" w:rsidP="00B75458">
      <w:pPr>
        <w:pStyle w:val="ab"/>
        <w:numPr>
          <w:ilvl w:val="0"/>
          <w:numId w:val="195"/>
        </w:numPr>
        <w:rPr>
          <w:rtl/>
        </w:rPr>
      </w:pPr>
      <w:r w:rsidRPr="00F07BB8">
        <w:rPr>
          <w:rFonts w:cs="Arial" w:hint="cs"/>
          <w:rtl/>
        </w:rPr>
        <w:t xml:space="preserve">רשב"א </w:t>
      </w:r>
      <w:r w:rsidRPr="00F07BB8">
        <w:rPr>
          <w:rFonts w:cs="Arial"/>
          <w:sz w:val="16"/>
          <w:szCs w:val="16"/>
          <w:rtl/>
        </w:rPr>
        <w:t>(במיוחסות סי</w:t>
      </w:r>
      <w:r w:rsidRPr="00F07BB8">
        <w:rPr>
          <w:rFonts w:cs="Arial" w:hint="cs"/>
          <w:sz w:val="16"/>
          <w:szCs w:val="16"/>
          <w:rtl/>
        </w:rPr>
        <w:t>'</w:t>
      </w:r>
      <w:r w:rsidRPr="00F07BB8">
        <w:rPr>
          <w:rFonts w:cs="Arial"/>
          <w:sz w:val="16"/>
          <w:szCs w:val="16"/>
          <w:rtl/>
        </w:rPr>
        <w:t xml:space="preserve"> מ</w:t>
      </w:r>
      <w:r w:rsidRPr="00F07BB8">
        <w:rPr>
          <w:rFonts w:cs="Arial" w:hint="cs"/>
          <w:sz w:val="16"/>
          <w:szCs w:val="16"/>
          <w:rtl/>
        </w:rPr>
        <w:t>)</w:t>
      </w:r>
      <w:r w:rsidRPr="00F07BB8">
        <w:rPr>
          <w:rFonts w:cs="Arial" w:hint="cs"/>
          <w:rtl/>
        </w:rPr>
        <w:t>-</w:t>
      </w:r>
      <w:r w:rsidRPr="00F07BB8">
        <w:rPr>
          <w:rFonts w:cs="Arial"/>
          <w:rtl/>
        </w:rPr>
        <w:t xml:space="preserve"> אם אין הנכסים מספיקים אלא לכתובת האלמנה והניח בת קטנה </w:t>
      </w:r>
      <w:r>
        <w:rPr>
          <w:rFonts w:cs="Arial" w:hint="cs"/>
          <w:rtl/>
        </w:rPr>
        <w:t xml:space="preserve">- </w:t>
      </w:r>
      <w:r w:rsidRPr="00F07BB8">
        <w:rPr>
          <w:rFonts w:cs="Arial"/>
          <w:rtl/>
        </w:rPr>
        <w:t>אין הבת נזונת מנכסיו שהרי הם משועבדים לכתובה</w:t>
      </w:r>
      <w:r>
        <w:rPr>
          <w:rFonts w:cs="Arial" w:hint="cs"/>
          <w:rtl/>
        </w:rPr>
        <w:t>,</w:t>
      </w:r>
      <w:r w:rsidRPr="00F07BB8">
        <w:rPr>
          <w:rFonts w:cs="Arial"/>
          <w:rtl/>
        </w:rPr>
        <w:t xml:space="preserve"> ואפילו שעבדם אחר שנולדה הבת</w:t>
      </w:r>
      <w:r>
        <w:rPr>
          <w:rFonts w:cs="Arial" w:hint="cs"/>
          <w:rtl/>
        </w:rPr>
        <w:t>,</w:t>
      </w:r>
      <w:r w:rsidRPr="00F07BB8">
        <w:rPr>
          <w:rFonts w:cs="Arial"/>
          <w:rtl/>
        </w:rPr>
        <w:t xml:space="preserve"> ואפילו קנו מידו אחר שנולדה הבת</w:t>
      </w:r>
      <w:r>
        <w:rPr>
          <w:rFonts w:cs="Arial" w:hint="cs"/>
          <w:rtl/>
        </w:rPr>
        <w:t>...</w:t>
      </w:r>
    </w:p>
    <w:p w14:paraId="42B0131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D88057" w14:textId="77777777" w:rsidR="002E5BAD" w:rsidRDefault="002E5BAD" w:rsidP="002E5BAD">
      <w:pPr>
        <w:rPr>
          <w:rFonts w:cs="Arial"/>
          <w:rtl/>
        </w:rPr>
      </w:pPr>
      <w:r w:rsidRPr="00523CDE">
        <w:rPr>
          <w:rFonts w:cs="Arial"/>
          <w:rtl/>
        </w:rPr>
        <w:lastRenderedPageBreak/>
        <w:t>אין הבנות נזונות ממשעבדי, אפילו קנו ממנו, ואפילו היו בשעת קנין, כגון שגירשה והיו לה בנות ממנו והחזירה וקנו ממנו. ויש מי שאומר דה</w:t>
      </w:r>
      <w:r>
        <w:rPr>
          <w:rFonts w:cs="Arial" w:hint="cs"/>
          <w:rtl/>
        </w:rPr>
        <w:t xml:space="preserve">ני </w:t>
      </w:r>
      <w:r w:rsidRPr="00523CDE">
        <w:rPr>
          <w:rFonts w:cs="Arial"/>
          <w:rtl/>
        </w:rPr>
        <w:t>מ</w:t>
      </w:r>
      <w:r>
        <w:rPr>
          <w:rFonts w:cs="Arial" w:hint="cs"/>
          <w:rtl/>
        </w:rPr>
        <w:t>ילי</w:t>
      </w:r>
      <w:r w:rsidRPr="00523CDE">
        <w:rPr>
          <w:rFonts w:cs="Arial"/>
          <w:rtl/>
        </w:rPr>
        <w:t xml:space="preserve"> כשקנו ממנו בשעת נשואין בכלל מה שקנו ממנו בתנאי כתובה, אבל אם קנו ממנו לאחר נשואין</w:t>
      </w:r>
      <w:r>
        <w:rPr>
          <w:rStyle w:val="a7"/>
          <w:rFonts w:cs="Arial"/>
          <w:rtl/>
        </w:rPr>
        <w:footnoteReference w:id="2916"/>
      </w:r>
      <w:r w:rsidRPr="00523CDE">
        <w:rPr>
          <w:rFonts w:cs="Arial"/>
          <w:rtl/>
        </w:rPr>
        <w:t xml:space="preserve"> על מזון הבנות, ניזונות אף ממשעבדי. </w:t>
      </w:r>
    </w:p>
    <w:p w14:paraId="47C0828A" w14:textId="77777777" w:rsidR="002E5BAD" w:rsidRPr="00F2693A" w:rsidRDefault="002E5BAD" w:rsidP="002E5BAD">
      <w:pPr>
        <w:rPr>
          <w:u w:val="single"/>
        </w:rPr>
      </w:pPr>
      <w:r w:rsidRPr="00F2693A">
        <w:rPr>
          <w:rFonts w:hint="cs"/>
          <w:u w:val="single"/>
          <w:rtl/>
        </w:rPr>
        <w:t xml:space="preserve">האם הבת יכולה לגבות ממשעבדי בשבועה: </w:t>
      </w:r>
    </w:p>
    <w:p w14:paraId="3F5CC891" w14:textId="77777777" w:rsidR="002E5BAD" w:rsidRDefault="002E5BAD" w:rsidP="00B75458">
      <w:pPr>
        <w:pStyle w:val="ab"/>
        <w:numPr>
          <w:ilvl w:val="0"/>
          <w:numId w:val="195"/>
        </w:numPr>
      </w:pPr>
      <w:r>
        <w:rPr>
          <w:rFonts w:cs="Arial" w:hint="cs"/>
          <w:rtl/>
        </w:rPr>
        <w:t>ב"י</w:t>
      </w:r>
      <w:r>
        <w:rPr>
          <w:rStyle w:val="a7"/>
          <w:rFonts w:cs="Arial"/>
          <w:rtl/>
        </w:rPr>
        <w:footnoteReference w:id="2917"/>
      </w:r>
      <w:r>
        <w:rPr>
          <w:rFonts w:hint="cs"/>
          <w:sz w:val="16"/>
          <w:szCs w:val="16"/>
          <w:rtl/>
        </w:rPr>
        <w:t xml:space="preserve"> (בבדה"ב)</w:t>
      </w:r>
      <w:r>
        <w:rPr>
          <w:rFonts w:hint="cs"/>
          <w:rtl/>
        </w:rPr>
        <w:t>-</w:t>
      </w:r>
      <w:r w:rsidRPr="00913A11">
        <w:rPr>
          <w:rStyle w:val="a7"/>
          <w:rFonts w:cs="Arial"/>
          <w:rtl/>
        </w:rPr>
        <w:t xml:space="preserve"> </w:t>
      </w:r>
      <w:r>
        <w:rPr>
          <w:rFonts w:cs="Arial"/>
          <w:rtl/>
        </w:rPr>
        <w:t xml:space="preserve">כיון דטעמא משום התפסת צררי </w:t>
      </w:r>
      <w:r>
        <w:rPr>
          <w:rFonts w:cs="Arial" w:hint="cs"/>
          <w:rtl/>
        </w:rPr>
        <w:t xml:space="preserve">- </w:t>
      </w:r>
      <w:r>
        <w:rPr>
          <w:rFonts w:cs="Arial"/>
          <w:rtl/>
        </w:rPr>
        <w:t>ישבעו הבנות ויזונו ממשעבדי</w:t>
      </w:r>
      <w:r>
        <w:rPr>
          <w:rStyle w:val="a7"/>
          <w:rFonts w:cs="Arial"/>
          <w:rtl/>
        </w:rPr>
        <w:footnoteReference w:id="2918"/>
      </w:r>
      <w:r>
        <w:rPr>
          <w:rFonts w:cs="Arial"/>
          <w:rtl/>
        </w:rPr>
        <w:t>.</w:t>
      </w:r>
    </w:p>
    <w:p w14:paraId="658733BF" w14:textId="77777777" w:rsidR="002E5BAD" w:rsidRPr="00913A11" w:rsidRDefault="002E5BAD" w:rsidP="00B75458">
      <w:pPr>
        <w:pStyle w:val="ab"/>
        <w:numPr>
          <w:ilvl w:val="0"/>
          <w:numId w:val="195"/>
        </w:numPr>
      </w:pPr>
      <w:r>
        <w:rPr>
          <w:rFonts w:hint="cs"/>
          <w:rtl/>
        </w:rPr>
        <w:t>ח"מ</w:t>
      </w:r>
      <w:r w:rsidRPr="00F2693A">
        <w:rPr>
          <w:rFonts w:hint="cs"/>
          <w:sz w:val="16"/>
          <w:szCs w:val="16"/>
          <w:rtl/>
        </w:rPr>
        <w:t xml:space="preserve"> (סקי"ט)</w:t>
      </w:r>
      <w:r>
        <w:rPr>
          <w:rFonts w:hint="cs"/>
          <w:rtl/>
        </w:rPr>
        <w:t xml:space="preserve">- </w:t>
      </w:r>
      <w:r w:rsidRPr="00DE298F">
        <w:rPr>
          <w:rFonts w:cs="Arial"/>
          <w:rtl/>
        </w:rPr>
        <w:t>משמע שם מדברי התוס'</w:t>
      </w:r>
      <w:r>
        <w:rPr>
          <w:rFonts w:cs="Arial" w:hint="cs"/>
          <w:rtl/>
        </w:rPr>
        <w:t xml:space="preserve"> </w:t>
      </w:r>
      <w:r w:rsidRPr="00F2693A">
        <w:rPr>
          <w:rFonts w:cs="Arial" w:hint="cs"/>
          <w:sz w:val="16"/>
          <w:szCs w:val="16"/>
          <w:rtl/>
        </w:rPr>
        <w:t>(ד"ה אימר)</w:t>
      </w:r>
      <w:r w:rsidRPr="00F2693A">
        <w:rPr>
          <w:rFonts w:cs="Arial"/>
          <w:sz w:val="16"/>
          <w:szCs w:val="16"/>
          <w:rtl/>
        </w:rPr>
        <w:t xml:space="preserve"> </w:t>
      </w:r>
      <w:r w:rsidRPr="00DE298F">
        <w:rPr>
          <w:rFonts w:cs="Arial"/>
          <w:rtl/>
        </w:rPr>
        <w:t>בתחל</w:t>
      </w:r>
      <w:r>
        <w:rPr>
          <w:rFonts w:cs="Arial" w:hint="cs"/>
          <w:rtl/>
        </w:rPr>
        <w:t>ת</w:t>
      </w:r>
      <w:r w:rsidRPr="00DE298F">
        <w:rPr>
          <w:rFonts w:cs="Arial"/>
          <w:rtl/>
        </w:rPr>
        <w:t xml:space="preserve"> הדבור דאם הודה האב בשעת מותו דלא אתפסה צררי לא חיישינן לקנוניא וגובה ממשעבדי בשבועה אם היו בשעת קנין</w:t>
      </w:r>
      <w:r>
        <w:rPr>
          <w:rFonts w:hint="cs"/>
          <w:rtl/>
        </w:rPr>
        <w:t>.</w:t>
      </w:r>
    </w:p>
    <w:p w14:paraId="0ED914C2" w14:textId="77777777" w:rsidR="002E5BAD" w:rsidRDefault="002E5BAD" w:rsidP="00B75458">
      <w:pPr>
        <w:pStyle w:val="ab"/>
        <w:numPr>
          <w:ilvl w:val="0"/>
          <w:numId w:val="195"/>
        </w:numPr>
      </w:pPr>
      <w:r>
        <w:rPr>
          <w:rFonts w:cs="Arial" w:hint="cs"/>
          <w:rtl/>
        </w:rPr>
        <w:t xml:space="preserve">ב"ש </w:t>
      </w:r>
      <w:r>
        <w:rPr>
          <w:rFonts w:cs="Arial" w:hint="cs"/>
          <w:sz w:val="16"/>
          <w:szCs w:val="16"/>
          <w:rtl/>
        </w:rPr>
        <w:t>(סקי"ז)</w:t>
      </w:r>
      <w:r>
        <w:rPr>
          <w:rFonts w:cs="Arial" w:hint="cs"/>
          <w:rtl/>
        </w:rPr>
        <w:t xml:space="preserve">- לפי התירוץ האחרון של התוס' </w:t>
      </w:r>
      <w:r w:rsidRPr="00913A11">
        <w:rPr>
          <w:rFonts w:cs="Arial"/>
          <w:rtl/>
        </w:rPr>
        <w:t>הבנות אי</w:t>
      </w:r>
      <w:r>
        <w:rPr>
          <w:rFonts w:cs="Arial" w:hint="cs"/>
          <w:rtl/>
        </w:rPr>
        <w:t>נ</w:t>
      </w:r>
      <w:r w:rsidRPr="00913A11">
        <w:rPr>
          <w:rFonts w:cs="Arial"/>
          <w:rtl/>
        </w:rPr>
        <w:t>ן טורפ</w:t>
      </w:r>
      <w:r>
        <w:rPr>
          <w:rFonts w:cs="Arial" w:hint="cs"/>
          <w:rtl/>
        </w:rPr>
        <w:t>ות</w:t>
      </w:r>
      <w:r w:rsidRPr="00913A11">
        <w:rPr>
          <w:rFonts w:cs="Arial"/>
          <w:rtl/>
        </w:rPr>
        <w:t xml:space="preserve"> אפי</w:t>
      </w:r>
      <w:r>
        <w:rPr>
          <w:rFonts w:cs="Arial" w:hint="cs"/>
          <w:rtl/>
        </w:rPr>
        <w:t>לו</w:t>
      </w:r>
      <w:r w:rsidRPr="00913A11">
        <w:rPr>
          <w:rFonts w:cs="Arial"/>
          <w:rtl/>
        </w:rPr>
        <w:t xml:space="preserve"> בשבועה</w:t>
      </w:r>
      <w:r>
        <w:rPr>
          <w:rStyle w:val="a7"/>
          <w:rFonts w:cs="Arial"/>
          <w:rtl/>
        </w:rPr>
        <w:footnoteReference w:id="2919"/>
      </w:r>
      <w:r>
        <w:rPr>
          <w:rFonts w:cs="Arial" w:hint="cs"/>
          <w:rtl/>
        </w:rPr>
        <w:t xml:space="preserve">. </w:t>
      </w:r>
    </w:p>
    <w:p w14:paraId="38FE1F4F" w14:textId="77777777" w:rsidR="002E5BAD" w:rsidRPr="00F2693A" w:rsidRDefault="002E5BAD" w:rsidP="002E5BAD">
      <w:pPr>
        <w:rPr>
          <w:rFonts w:cs="Arial"/>
          <w:rtl/>
        </w:rPr>
      </w:pPr>
    </w:p>
    <w:p w14:paraId="0803E275" w14:textId="77777777" w:rsidR="002E5BAD" w:rsidRDefault="002E5BAD" w:rsidP="002E5BAD">
      <w:pPr>
        <w:pStyle w:val="2"/>
        <w:rPr>
          <w:rtl/>
        </w:rPr>
      </w:pPr>
      <w:r w:rsidRPr="00523CDE">
        <w:rPr>
          <w:rtl/>
        </w:rPr>
        <w:t>סעיף ט</w:t>
      </w:r>
      <w:r>
        <w:rPr>
          <w:rFonts w:hint="cs"/>
          <w:rtl/>
        </w:rPr>
        <w:t>: גביה ל</w:t>
      </w:r>
      <w:r w:rsidRPr="00B72D3C">
        <w:rPr>
          <w:rFonts w:hint="cs"/>
          <w:rtl/>
        </w:rPr>
        <w:t>מזונות הבת מ</w:t>
      </w:r>
      <w:r>
        <w:rPr>
          <w:rFonts w:hint="cs"/>
          <w:rtl/>
        </w:rPr>
        <w:t>מ</w:t>
      </w:r>
      <w:r w:rsidRPr="00B72D3C">
        <w:rPr>
          <w:rFonts w:hint="cs"/>
          <w:rtl/>
        </w:rPr>
        <w:t>שעבדי</w:t>
      </w:r>
      <w:r>
        <w:rPr>
          <w:rFonts w:hint="cs"/>
          <w:rtl/>
        </w:rPr>
        <w:t xml:space="preserve"> </w:t>
      </w:r>
      <w:r>
        <w:rPr>
          <w:rtl/>
        </w:rPr>
        <w:t>–</w:t>
      </w:r>
      <w:r>
        <w:rPr>
          <w:rFonts w:hint="cs"/>
          <w:rtl/>
        </w:rPr>
        <w:t xml:space="preserve"> כשפסק האב שיתפרנסו הבנות אף לאחר שיבגרו.</w:t>
      </w:r>
    </w:p>
    <w:p w14:paraId="1813644B" w14:textId="77777777" w:rsidR="002E5BAD" w:rsidRPr="002D5C63" w:rsidRDefault="002E5BAD" w:rsidP="002E5BAD">
      <w:pPr>
        <w:rPr>
          <w:u w:val="single"/>
          <w:rtl/>
        </w:rPr>
      </w:pPr>
      <w:r w:rsidRPr="002D5C63">
        <w:rPr>
          <w:rFonts w:hint="cs"/>
          <w:u w:val="single"/>
          <w:rtl/>
        </w:rPr>
        <w:t>פסק עם האשה שיתפרנסו הבנות אף לאחר שיבגרו:</w:t>
      </w:r>
    </w:p>
    <w:p w14:paraId="3AFB5728" w14:textId="77777777" w:rsidR="002E5BAD" w:rsidRPr="00D9333A" w:rsidRDefault="002E5BAD" w:rsidP="00B75458">
      <w:pPr>
        <w:pStyle w:val="ab"/>
        <w:numPr>
          <w:ilvl w:val="0"/>
          <w:numId w:val="195"/>
        </w:numPr>
      </w:pPr>
      <w:r>
        <w:rPr>
          <w:rFonts w:cs="Arial" w:hint="cs"/>
          <w:rtl/>
        </w:rPr>
        <w:t xml:space="preserve">טור- </w:t>
      </w:r>
      <w:r w:rsidRPr="00B345A5">
        <w:rPr>
          <w:rFonts w:cs="Arial"/>
          <w:rtl/>
        </w:rPr>
        <w:t>ומיהו זימנין דמשכח לה דמיתזני בנות ממשעבדי</w:t>
      </w:r>
      <w:r>
        <w:rPr>
          <w:rFonts w:cs="Arial" w:hint="cs"/>
          <w:rtl/>
        </w:rPr>
        <w:t>,</w:t>
      </w:r>
      <w:r w:rsidRPr="00B345A5">
        <w:rPr>
          <w:rFonts w:cs="Arial"/>
          <w:rtl/>
        </w:rPr>
        <w:t xml:space="preserve"> כגון שפסק עמה שיתפרנסו אף אחר שיבגרו</w:t>
      </w:r>
      <w:r>
        <w:rPr>
          <w:rFonts w:cs="Arial" w:hint="cs"/>
          <w:rtl/>
        </w:rPr>
        <w:t>,</w:t>
      </w:r>
      <w:r w:rsidRPr="00B345A5">
        <w:rPr>
          <w:rFonts w:cs="Arial"/>
          <w:rtl/>
        </w:rPr>
        <w:t xml:space="preserve"> דכיון דלא אכלי בתנאי ב"ד לא חיישינן שמא התפיס צררי</w:t>
      </w:r>
      <w:r>
        <w:rPr>
          <w:rFonts w:cs="Arial" w:hint="cs"/>
          <w:rtl/>
        </w:rPr>
        <w:t>.</w:t>
      </w:r>
      <w:r w:rsidRPr="00B345A5">
        <w:rPr>
          <w:rFonts w:cs="Arial"/>
          <w:rtl/>
        </w:rPr>
        <w:t xml:space="preserve"> </w:t>
      </w:r>
      <w:r w:rsidRPr="002D5C63">
        <w:rPr>
          <w:rFonts w:hint="cs"/>
          <w:color w:val="E36C0A" w:themeColor="accent6" w:themeShade="BF"/>
          <w:rtl/>
        </w:rPr>
        <w:t>(וכ"פ בשו"ע)</w:t>
      </w:r>
    </w:p>
    <w:p w14:paraId="574B5F1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8AD83C" w14:textId="77777777" w:rsidR="002E5BAD" w:rsidRDefault="002E5BAD" w:rsidP="002E5BAD">
      <w:pPr>
        <w:rPr>
          <w:rFonts w:cs="Arial"/>
          <w:rtl/>
        </w:rPr>
      </w:pPr>
      <w:r w:rsidRPr="00523CDE">
        <w:rPr>
          <w:rFonts w:cs="Arial"/>
          <w:rtl/>
        </w:rPr>
        <w:t>אם פסק עם האשה</w:t>
      </w:r>
      <w:r>
        <w:rPr>
          <w:rStyle w:val="a7"/>
          <w:rFonts w:cs="Arial"/>
          <w:rtl/>
        </w:rPr>
        <w:footnoteReference w:id="2920"/>
      </w:r>
      <w:r w:rsidRPr="00523CDE">
        <w:rPr>
          <w:rFonts w:cs="Arial"/>
          <w:rtl/>
        </w:rPr>
        <w:t xml:space="preserve"> שיתפרנסו הבנות אף אחר שיבגרו, נזונות ממשעבדי. </w:t>
      </w:r>
    </w:p>
    <w:p w14:paraId="46962D18" w14:textId="77777777" w:rsidR="002E5BAD" w:rsidRPr="00523CDE" w:rsidRDefault="002E5BAD" w:rsidP="002E5BAD">
      <w:pPr>
        <w:rPr>
          <w:rFonts w:cs="Arial"/>
          <w:rtl/>
        </w:rPr>
      </w:pPr>
    </w:p>
    <w:p w14:paraId="0A4CCD83" w14:textId="77777777" w:rsidR="002E5BAD" w:rsidRDefault="002E5BAD" w:rsidP="002E5BAD">
      <w:pPr>
        <w:pStyle w:val="2"/>
        <w:rPr>
          <w:rtl/>
        </w:rPr>
      </w:pPr>
      <w:r w:rsidRPr="00523CDE">
        <w:rPr>
          <w:rtl/>
        </w:rPr>
        <w:t>סעיף י</w:t>
      </w:r>
      <w:r>
        <w:rPr>
          <w:rFonts w:hint="cs"/>
          <w:rtl/>
        </w:rPr>
        <w:t xml:space="preserve">: </w:t>
      </w:r>
      <w:r>
        <w:rPr>
          <w:rFonts w:cs="Arial" w:hint="cs"/>
          <w:rtl/>
        </w:rPr>
        <w:t>האומר</w:t>
      </w:r>
      <w:r w:rsidRPr="00B345A5">
        <w:rPr>
          <w:rFonts w:cs="Arial"/>
          <w:rtl/>
        </w:rPr>
        <w:t xml:space="preserve"> </w:t>
      </w:r>
      <w:r>
        <w:rPr>
          <w:rFonts w:cs="Arial" w:hint="cs"/>
          <w:rtl/>
        </w:rPr>
        <w:t>'</w:t>
      </w:r>
      <w:r w:rsidRPr="00B345A5">
        <w:rPr>
          <w:rFonts w:cs="Arial"/>
          <w:rtl/>
        </w:rPr>
        <w:t>אל יזונו בנותי מנכסי</w:t>
      </w:r>
      <w:r>
        <w:rPr>
          <w:rFonts w:cs="Arial" w:hint="cs"/>
          <w:rtl/>
        </w:rPr>
        <w:t>'.</w:t>
      </w:r>
    </w:p>
    <w:p w14:paraId="3F74C6B9" w14:textId="77777777" w:rsidR="002E5BAD" w:rsidRDefault="002E5BAD" w:rsidP="002E5BAD">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ס"</w:t>
      </w:r>
      <w:r w:rsidRPr="009E3B5F">
        <w:rPr>
          <w:rFonts w:hint="cs"/>
          <w:b/>
          <w:bCs/>
          <w:sz w:val="16"/>
          <w:szCs w:val="16"/>
          <w:rtl/>
        </w:rPr>
        <w:t>פ</w:t>
      </w:r>
      <w:r>
        <w:rPr>
          <w:rFonts w:hint="cs"/>
          <w:b/>
          <w:bCs/>
          <w:sz w:val="16"/>
          <w:szCs w:val="16"/>
          <w:rtl/>
        </w:rPr>
        <w:t xml:space="preserve"> 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hint="cs"/>
          <w:rtl/>
        </w:rPr>
        <w:t xml:space="preserve"> </w:t>
      </w:r>
      <w:r w:rsidRPr="007A7A77">
        <w:rPr>
          <w:rFonts w:cs="Arial"/>
          <w:rtl/>
        </w:rPr>
        <w:t>לכדתניא: האומר אל יזונו בנותיו מנכסיו - אין שומעין לו</w:t>
      </w:r>
      <w:r>
        <w:rPr>
          <w:rFonts w:cs="Arial" w:hint="cs"/>
          <w:rtl/>
        </w:rPr>
        <w:t>..</w:t>
      </w:r>
      <w:r w:rsidRPr="007A7A77">
        <w:rPr>
          <w:rFonts w:cs="Arial"/>
          <w:rtl/>
        </w:rPr>
        <w:t>.</w:t>
      </w:r>
      <w:r w:rsidRPr="00411FBD">
        <w:rPr>
          <w:rFonts w:cs="Arial" w:hint="cs"/>
          <w:sz w:val="16"/>
          <w:szCs w:val="16"/>
          <w:rtl/>
        </w:rPr>
        <w:t xml:space="preserve"> </w:t>
      </w:r>
      <w:r>
        <w:rPr>
          <w:rFonts w:cs="Arial" w:hint="cs"/>
          <w:sz w:val="16"/>
          <w:szCs w:val="16"/>
          <w:rtl/>
        </w:rPr>
        <w:t>(</w:t>
      </w:r>
      <w:r w:rsidRPr="00411FBD">
        <w:rPr>
          <w:rFonts w:cs="Arial" w:hint="cs"/>
          <w:sz w:val="16"/>
          <w:szCs w:val="16"/>
          <w:rtl/>
        </w:rPr>
        <w:t>ו</w:t>
      </w:r>
      <w:r w:rsidRPr="00411FBD">
        <w:rPr>
          <w:rFonts w:cs="Arial"/>
          <w:sz w:val="16"/>
          <w:szCs w:val="16"/>
          <w:rtl/>
        </w:rPr>
        <w:t xml:space="preserve">שם כתבו הרא"ש (סי' טו) והר"ן (ל: דיבור ראשון) דרב האיי גריס </w:t>
      </w:r>
      <w:r w:rsidRPr="00411FBD">
        <w:rPr>
          <w:rFonts w:cs="Arial" w:hint="cs"/>
          <w:sz w:val="16"/>
          <w:szCs w:val="16"/>
          <w:rtl/>
        </w:rPr>
        <w:t>'</w:t>
      </w:r>
      <w:r w:rsidRPr="00411FBD">
        <w:rPr>
          <w:rFonts w:cs="Arial"/>
          <w:sz w:val="16"/>
          <w:szCs w:val="16"/>
          <w:rtl/>
        </w:rPr>
        <w:t>שומעין לו</w:t>
      </w:r>
      <w:r w:rsidRPr="00411FBD">
        <w:rPr>
          <w:rFonts w:cs="Arial" w:hint="cs"/>
          <w:sz w:val="16"/>
          <w:szCs w:val="16"/>
          <w:rtl/>
        </w:rPr>
        <w:t>',</w:t>
      </w:r>
      <w:r w:rsidRPr="00411FBD">
        <w:rPr>
          <w:rFonts w:cs="Arial"/>
          <w:sz w:val="16"/>
          <w:szCs w:val="16"/>
          <w:rtl/>
        </w:rPr>
        <w:t xml:space="preserve"> ומיירי בשהתנה בשעת נשואין שלא יהא לה תנאי כתובה </w:t>
      </w:r>
      <w:r w:rsidRPr="00411FBD">
        <w:rPr>
          <w:rFonts w:cs="Arial" w:hint="cs"/>
          <w:sz w:val="16"/>
          <w:szCs w:val="16"/>
          <w:rtl/>
        </w:rPr>
        <w:t xml:space="preserve">- </w:t>
      </w:r>
      <w:r w:rsidRPr="00411FBD">
        <w:rPr>
          <w:rFonts w:cs="Arial"/>
          <w:sz w:val="16"/>
          <w:szCs w:val="16"/>
          <w:rtl/>
        </w:rPr>
        <w:t>שומעין לו</w:t>
      </w:r>
      <w:r w:rsidRPr="00411FBD">
        <w:rPr>
          <w:rFonts w:cs="Arial" w:hint="cs"/>
          <w:sz w:val="16"/>
          <w:szCs w:val="16"/>
          <w:rtl/>
        </w:rPr>
        <w:t>,</w:t>
      </w:r>
      <w:r w:rsidRPr="00411FBD">
        <w:rPr>
          <w:rFonts w:cs="Arial"/>
          <w:sz w:val="16"/>
          <w:szCs w:val="16"/>
          <w:rtl/>
        </w:rPr>
        <w:t xml:space="preserve"> דכל דבר שבממון תנאו קיים</w:t>
      </w:r>
      <w:r w:rsidRPr="00411FBD">
        <w:rPr>
          <w:rFonts w:cs="Arial" w:hint="cs"/>
          <w:sz w:val="16"/>
          <w:szCs w:val="16"/>
          <w:rtl/>
        </w:rPr>
        <w:t>, ב"י</w:t>
      </w:r>
      <w:r>
        <w:rPr>
          <w:rFonts w:cs="Arial" w:hint="cs"/>
          <w:sz w:val="16"/>
          <w:szCs w:val="16"/>
          <w:rtl/>
        </w:rPr>
        <w:t>)</w:t>
      </w:r>
    </w:p>
    <w:p w14:paraId="7DF88085" w14:textId="77777777" w:rsidR="002E5BAD" w:rsidRPr="007A7A77" w:rsidRDefault="002E5BAD" w:rsidP="002E5BAD">
      <w:pPr>
        <w:rPr>
          <w:u w:val="single"/>
          <w:rtl/>
        </w:rPr>
      </w:pPr>
      <w:r w:rsidRPr="007A7A77">
        <w:rPr>
          <w:rFonts w:cs="Arial"/>
          <w:u w:val="single"/>
          <w:rtl/>
        </w:rPr>
        <w:lastRenderedPageBreak/>
        <w:t xml:space="preserve">מי שצוה בשעת מיתה </w:t>
      </w:r>
      <w:r>
        <w:rPr>
          <w:rFonts w:cs="Arial" w:hint="cs"/>
          <w:u w:val="single"/>
          <w:rtl/>
        </w:rPr>
        <w:t>'</w:t>
      </w:r>
      <w:r w:rsidRPr="007A7A77">
        <w:rPr>
          <w:rFonts w:cs="Arial"/>
          <w:u w:val="single"/>
          <w:rtl/>
        </w:rPr>
        <w:t>אל יזונו בנותי מנכסי</w:t>
      </w:r>
      <w:r>
        <w:rPr>
          <w:rFonts w:hint="cs"/>
          <w:u w:val="single"/>
          <w:rtl/>
        </w:rPr>
        <w:t>'</w:t>
      </w:r>
      <w:r w:rsidRPr="007A7A77">
        <w:rPr>
          <w:rFonts w:hint="cs"/>
          <w:u w:val="single"/>
          <w:rtl/>
        </w:rPr>
        <w:t>:</w:t>
      </w:r>
    </w:p>
    <w:p w14:paraId="41675BF0" w14:textId="77777777" w:rsidR="002E5BAD" w:rsidRPr="007A7A77" w:rsidRDefault="002E5BAD" w:rsidP="00B75458">
      <w:pPr>
        <w:pStyle w:val="ab"/>
        <w:numPr>
          <w:ilvl w:val="0"/>
          <w:numId w:val="195"/>
        </w:numPr>
      </w:pPr>
      <w:r>
        <w:rPr>
          <w:rFonts w:cs="Arial" w:hint="cs"/>
          <w:rtl/>
        </w:rPr>
        <w:t xml:space="preserve">רמב"ם </w:t>
      </w:r>
      <w:r>
        <w:rPr>
          <w:rFonts w:cs="Arial" w:hint="cs"/>
          <w:sz w:val="16"/>
          <w:szCs w:val="16"/>
          <w:rtl/>
        </w:rPr>
        <w:t>(פי"ט הי"ג)</w:t>
      </w:r>
      <w:r>
        <w:rPr>
          <w:rFonts w:cs="Arial" w:hint="cs"/>
          <w:rtl/>
        </w:rPr>
        <w:t xml:space="preserve"> רא"ש </w:t>
      </w:r>
      <w:r w:rsidRPr="00411FBD">
        <w:rPr>
          <w:rFonts w:cs="Arial"/>
          <w:sz w:val="16"/>
          <w:szCs w:val="16"/>
          <w:rtl/>
        </w:rPr>
        <w:t xml:space="preserve">(סי' טו) </w:t>
      </w:r>
      <w:r>
        <w:rPr>
          <w:rFonts w:cs="Arial" w:hint="cs"/>
          <w:rtl/>
        </w:rPr>
        <w:t xml:space="preserve">וטור- </w:t>
      </w:r>
      <w:r w:rsidRPr="00B345A5">
        <w:rPr>
          <w:rFonts w:cs="Arial"/>
          <w:rtl/>
        </w:rPr>
        <w:t xml:space="preserve">מי שצוה בשעת מיתה אל יזונו בנותי מנכסי </w:t>
      </w:r>
      <w:r>
        <w:rPr>
          <w:rFonts w:cs="Arial" w:hint="cs"/>
          <w:rtl/>
        </w:rPr>
        <w:t xml:space="preserve">- </w:t>
      </w:r>
      <w:r w:rsidRPr="00B345A5">
        <w:rPr>
          <w:rFonts w:cs="Arial"/>
          <w:rtl/>
        </w:rPr>
        <w:t>אין שומעין לו</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353ED623" w14:textId="77777777" w:rsidR="002E5BAD" w:rsidRPr="007A7A77" w:rsidRDefault="002E5BAD" w:rsidP="002E5BAD">
      <w:pPr>
        <w:ind w:left="360"/>
        <w:rPr>
          <w:u w:val="dotted"/>
        </w:rPr>
      </w:pPr>
      <w:r w:rsidRPr="007A7A77">
        <w:rPr>
          <w:rFonts w:hint="cs"/>
          <w:u w:val="dotted"/>
          <w:rtl/>
        </w:rPr>
        <w:t>ומה הדין אם התנה כן בשעת נישואין:</w:t>
      </w:r>
    </w:p>
    <w:p w14:paraId="46A9CF49" w14:textId="77777777" w:rsidR="002E5BAD" w:rsidRPr="00F16681" w:rsidRDefault="002E5BAD" w:rsidP="00B75458">
      <w:pPr>
        <w:pStyle w:val="ab"/>
        <w:numPr>
          <w:ilvl w:val="0"/>
          <w:numId w:val="195"/>
        </w:numPr>
        <w:rPr>
          <w:rtl/>
        </w:rPr>
      </w:pPr>
      <w:r>
        <w:rPr>
          <w:rFonts w:cs="Arial" w:hint="cs"/>
          <w:rtl/>
        </w:rPr>
        <w:t xml:space="preserve">רא"ש </w:t>
      </w:r>
      <w:r w:rsidRPr="00411FBD">
        <w:rPr>
          <w:rFonts w:cs="Arial"/>
          <w:sz w:val="16"/>
          <w:szCs w:val="16"/>
          <w:rtl/>
        </w:rPr>
        <w:t xml:space="preserve">(סי' טו) </w:t>
      </w:r>
      <w:r>
        <w:rPr>
          <w:rFonts w:cs="Arial" w:hint="cs"/>
          <w:rtl/>
        </w:rPr>
        <w:t xml:space="preserve">טור ור"ן </w:t>
      </w:r>
      <w:r w:rsidRPr="00411FBD">
        <w:rPr>
          <w:rFonts w:cs="Arial"/>
          <w:sz w:val="16"/>
          <w:szCs w:val="16"/>
          <w:rtl/>
        </w:rPr>
        <w:t>(ל: דיבור ראשון)</w:t>
      </w:r>
      <w:r>
        <w:rPr>
          <w:rFonts w:cs="Arial" w:hint="cs"/>
          <w:rtl/>
        </w:rPr>
        <w:t xml:space="preserve">- </w:t>
      </w:r>
      <w:r w:rsidRPr="00B345A5">
        <w:rPr>
          <w:rFonts w:cs="Arial"/>
          <w:rtl/>
        </w:rPr>
        <w:t xml:space="preserve">ואם התנה בשעת נישואין שלא יזונו </w:t>
      </w:r>
      <w:r>
        <w:rPr>
          <w:rFonts w:cs="Arial" w:hint="cs"/>
          <w:rtl/>
        </w:rPr>
        <w:t xml:space="preserve">- </w:t>
      </w:r>
      <w:r w:rsidRPr="00B345A5">
        <w:rPr>
          <w:rFonts w:cs="Arial"/>
          <w:rtl/>
        </w:rPr>
        <w:t>הוי בכלל תנאי שבממון וקיים</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7B8203C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D8B8F9" w14:textId="77777777" w:rsidR="002E5BAD" w:rsidRDefault="002E5BAD" w:rsidP="002E5BAD">
      <w:pPr>
        <w:rPr>
          <w:rFonts w:cs="Arial"/>
          <w:rtl/>
        </w:rPr>
      </w:pPr>
      <w:r w:rsidRPr="00523CDE">
        <w:rPr>
          <w:rFonts w:cs="Arial"/>
          <w:rtl/>
        </w:rPr>
        <w:t xml:space="preserve">מי שצוה בשעת מיתתו: אל יזונו בנותי מנכסי, אין שומעין לו. ואם בשעת נישואין התנה שלא יזונו מנכסיו, הוי בכלל תנאי שבממון, וקיים. </w:t>
      </w:r>
    </w:p>
    <w:p w14:paraId="263CF8B5" w14:textId="77777777" w:rsidR="002E5BAD" w:rsidRPr="00523CDE" w:rsidRDefault="002E5BAD" w:rsidP="002E5BAD">
      <w:pPr>
        <w:rPr>
          <w:rFonts w:cs="Arial"/>
          <w:rtl/>
        </w:rPr>
      </w:pPr>
    </w:p>
    <w:p w14:paraId="0C1DFFD7" w14:textId="77777777" w:rsidR="002E5BAD" w:rsidRDefault="002E5BAD" w:rsidP="002E5BAD">
      <w:pPr>
        <w:pStyle w:val="2"/>
        <w:rPr>
          <w:rtl/>
        </w:rPr>
      </w:pPr>
      <w:r w:rsidRPr="00523CDE">
        <w:rPr>
          <w:rtl/>
        </w:rPr>
        <w:t>סעיף יא</w:t>
      </w:r>
      <w:r>
        <w:rPr>
          <w:rFonts w:hint="cs"/>
          <w:rtl/>
        </w:rPr>
        <w:t>: חלוקת הנכסים בין בניו ובנותיו (לענין מזונות).</w:t>
      </w:r>
    </w:p>
    <w:p w14:paraId="75EC848A" w14:textId="77777777" w:rsidR="002E5BAD" w:rsidRDefault="002E5BAD" w:rsidP="002E5BAD">
      <w:pPr>
        <w:rPr>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קלט ע"ב:</w:t>
      </w:r>
      <w:r>
        <w:rPr>
          <w:rFonts w:hint="cs"/>
          <w:rtl/>
        </w:rPr>
        <w:t xml:space="preserve"> </w:t>
      </w:r>
      <w:r w:rsidRPr="00D134DC">
        <w:rPr>
          <w:rFonts w:hint="cs"/>
          <w:u w:val="double"/>
          <w:rtl/>
        </w:rPr>
        <w:t>מתני'</w:t>
      </w:r>
      <w:r>
        <w:rPr>
          <w:rFonts w:hint="cs"/>
          <w:rtl/>
        </w:rPr>
        <w:t xml:space="preserve">: </w:t>
      </w:r>
      <w:r w:rsidRPr="00D134DC">
        <w:rPr>
          <w:rFonts w:cs="Arial"/>
          <w:rtl/>
        </w:rPr>
        <w:t>מי שמת והניח בנים ובנות, בזמן שהנכסים מרובין - הבנים יירשו והבנות יזונו</w:t>
      </w:r>
      <w:r>
        <w:rPr>
          <w:rFonts w:cs="Arial" w:hint="cs"/>
          <w:rtl/>
        </w:rPr>
        <w:t>.</w:t>
      </w:r>
      <w:r w:rsidRPr="00D134DC">
        <w:rPr>
          <w:rFonts w:cs="Arial"/>
          <w:rtl/>
        </w:rPr>
        <w:t xml:space="preserve"> נכסים מועטין - הבנות יזונו</w:t>
      </w:r>
      <w:r>
        <w:rPr>
          <w:rFonts w:cs="Arial" w:hint="cs"/>
          <w:rtl/>
        </w:rPr>
        <w:t>,</w:t>
      </w:r>
      <w:r w:rsidRPr="00D134DC">
        <w:rPr>
          <w:rFonts w:cs="Arial"/>
          <w:rtl/>
        </w:rPr>
        <w:t xml:space="preserve"> והבנים ישאלו על הפתחים</w:t>
      </w:r>
      <w:r>
        <w:rPr>
          <w:rStyle w:val="a7"/>
          <w:rFonts w:cs="Arial"/>
          <w:rtl/>
        </w:rPr>
        <w:footnoteReference w:id="2921"/>
      </w:r>
      <w:r>
        <w:rPr>
          <w:rFonts w:cs="Arial" w:hint="cs"/>
          <w:rtl/>
        </w:rPr>
        <w:t>.</w:t>
      </w:r>
      <w:r w:rsidRPr="00D134DC">
        <w:rPr>
          <w:rFonts w:cs="Arial"/>
          <w:rtl/>
        </w:rPr>
        <w:t xml:space="preserve"> </w:t>
      </w:r>
      <w:r w:rsidRPr="00D134DC">
        <w:rPr>
          <w:rFonts w:cs="Arial"/>
          <w:u w:val="single"/>
          <w:rtl/>
        </w:rPr>
        <w:t>אדמון אומר</w:t>
      </w:r>
      <w:r w:rsidRPr="00D134DC">
        <w:rPr>
          <w:rFonts w:cs="Arial"/>
          <w:rtl/>
        </w:rPr>
        <w:t xml:space="preserve">: בשביל שאני זכר הפסדתי? </w:t>
      </w:r>
      <w:r w:rsidRPr="00D134DC">
        <w:rPr>
          <w:rFonts w:cs="Arial"/>
          <w:u w:val="single"/>
          <w:rtl/>
        </w:rPr>
        <w:t>אמר רבן גמליאל</w:t>
      </w:r>
      <w:r w:rsidRPr="00D134DC">
        <w:rPr>
          <w:rFonts w:cs="Arial"/>
          <w:rtl/>
        </w:rPr>
        <w:t>: רואה אני את דברי אדמון.</w:t>
      </w:r>
      <w:r w:rsidRPr="009731D8">
        <w:rPr>
          <w:rtl/>
        </w:rPr>
        <w:t xml:space="preserve"> </w:t>
      </w:r>
      <w:r>
        <w:rPr>
          <w:rFonts w:cs="Arial" w:hint="cs"/>
          <w:rtl/>
        </w:rPr>
        <w:t xml:space="preserve">          </w:t>
      </w:r>
      <w:r w:rsidRPr="009731D8">
        <w:rPr>
          <w:rFonts w:cs="Arial"/>
          <w:u w:val="double"/>
          <w:rtl/>
        </w:rPr>
        <w:t>גמ'</w:t>
      </w:r>
      <w:r>
        <w:rPr>
          <w:rFonts w:cs="Arial" w:hint="cs"/>
          <w:rtl/>
        </w:rPr>
        <w:t>:</w:t>
      </w:r>
      <w:r w:rsidRPr="009731D8">
        <w:rPr>
          <w:rFonts w:cs="Arial"/>
          <w:rtl/>
        </w:rPr>
        <w:t xml:space="preserve"> וכמה מרובין? </w:t>
      </w:r>
      <w:r w:rsidRPr="009731D8">
        <w:rPr>
          <w:rFonts w:cs="Arial"/>
          <w:u w:val="single"/>
          <w:rtl/>
        </w:rPr>
        <w:t>אמר רב יהודה אמר רב</w:t>
      </w:r>
      <w:r w:rsidRPr="009731D8">
        <w:rPr>
          <w:rFonts w:cs="Arial"/>
          <w:rtl/>
        </w:rPr>
        <w:t xml:space="preserve">: כדי שיזונו מהן אלו ואלו שנים עשר חדש. </w:t>
      </w:r>
      <w:r w:rsidRPr="009731D8">
        <w:rPr>
          <w:rFonts w:cs="Arial"/>
          <w:u w:val="single"/>
          <w:rtl/>
        </w:rPr>
        <w:t>כי אמריתא קמיה דשמואל, אמר</w:t>
      </w:r>
      <w:r w:rsidRPr="009731D8">
        <w:rPr>
          <w:rFonts w:cs="Arial"/>
          <w:rtl/>
        </w:rPr>
        <w:t>: זו דברי רבן גמליאל בר רבי, אבל חכמים אומרים: כדי שיזונו מהן אלו ואלו עד שיבגרו</w:t>
      </w:r>
      <w:r>
        <w:rPr>
          <w:rStyle w:val="a7"/>
          <w:rFonts w:cs="Arial"/>
          <w:rtl/>
        </w:rPr>
        <w:footnoteReference w:id="2922"/>
      </w:r>
      <w:r w:rsidRPr="009731D8">
        <w:rPr>
          <w:rFonts w:cs="Arial"/>
          <w:rtl/>
        </w:rPr>
        <w:t>. איתמר נמי</w:t>
      </w:r>
      <w:r>
        <w:rPr>
          <w:rFonts w:cs="Arial" w:hint="cs"/>
          <w:rtl/>
        </w:rPr>
        <w:t>,</w:t>
      </w:r>
      <w:r w:rsidRPr="009731D8">
        <w:rPr>
          <w:rFonts w:cs="Arial"/>
          <w:rtl/>
        </w:rPr>
        <w:t xml:space="preserve"> </w:t>
      </w:r>
      <w:r w:rsidRPr="009731D8">
        <w:rPr>
          <w:rFonts w:cs="Arial"/>
          <w:u w:val="single"/>
          <w:rtl/>
        </w:rPr>
        <w:t>כי אתא רבין אמר ר' יוחנן</w:t>
      </w:r>
      <w:r w:rsidRPr="009731D8">
        <w:rPr>
          <w:rFonts w:cs="Arial" w:hint="cs"/>
          <w:u w:val="single"/>
          <w:rtl/>
        </w:rPr>
        <w:t>,</w:t>
      </w:r>
      <w:r w:rsidRPr="009731D8">
        <w:rPr>
          <w:rFonts w:cs="Arial"/>
          <w:u w:val="single"/>
          <w:rtl/>
        </w:rPr>
        <w:t xml:space="preserve"> ואמרי לה</w:t>
      </w:r>
      <w:r w:rsidRPr="009731D8">
        <w:rPr>
          <w:rFonts w:cs="Arial" w:hint="cs"/>
          <w:u w:val="single"/>
          <w:rtl/>
        </w:rPr>
        <w:t xml:space="preserve"> </w:t>
      </w:r>
      <w:r w:rsidRPr="009731D8">
        <w:rPr>
          <w:rFonts w:cs="Arial"/>
          <w:u w:val="single"/>
          <w:rtl/>
        </w:rPr>
        <w:t>אמר רבה בר בר חנה אמר רבי יוחנן</w:t>
      </w:r>
      <w:r w:rsidRPr="009731D8">
        <w:rPr>
          <w:rFonts w:cs="Arial"/>
          <w:rtl/>
        </w:rPr>
        <w:t>: כל שיזונו מהן אלו ואלו עד שיבגרו - הן מרובין, פחות מכאן - הרי אלו מועטין. ואי ליכא לאלו ואלו עד שיבגרו,</w:t>
      </w:r>
      <w:r w:rsidRPr="009731D8">
        <w:rPr>
          <w:rtl/>
        </w:rPr>
        <w:t xml:space="preserve"> </w:t>
      </w:r>
      <w:r>
        <w:rPr>
          <w:rFonts w:hint="cs"/>
          <w:sz w:val="14"/>
          <w:szCs w:val="14"/>
          <w:rtl/>
        </w:rPr>
        <w:t xml:space="preserve">(קמ.) </w:t>
      </w:r>
      <w:r w:rsidRPr="009731D8">
        <w:rPr>
          <w:rFonts w:cs="Arial"/>
          <w:rtl/>
        </w:rPr>
        <w:t xml:space="preserve">שקלי להו בנות לכולהו? </w:t>
      </w:r>
      <w:r w:rsidRPr="009731D8">
        <w:rPr>
          <w:rFonts w:cs="Arial"/>
          <w:u w:val="single"/>
          <w:rtl/>
        </w:rPr>
        <w:t>אלא אמר רבא</w:t>
      </w:r>
      <w:r w:rsidRPr="009731D8">
        <w:rPr>
          <w:rFonts w:cs="Arial"/>
          <w:rtl/>
        </w:rPr>
        <w:t>: מוציאין להן מזונות לבנות עד שיבגרו, והשאר לבנים.</w:t>
      </w:r>
      <w:r w:rsidRPr="00483F54">
        <w:rPr>
          <w:rFonts w:cs="Arial"/>
          <w:sz w:val="16"/>
          <w:szCs w:val="16"/>
          <w:rtl/>
        </w:rPr>
        <w:t xml:space="preserve"> </w:t>
      </w:r>
      <w:r>
        <w:rPr>
          <w:rFonts w:cs="Arial" w:hint="cs"/>
          <w:sz w:val="16"/>
          <w:szCs w:val="16"/>
          <w:rtl/>
        </w:rPr>
        <w:t xml:space="preserve">(וז"ל </w:t>
      </w:r>
      <w:r w:rsidRPr="00483F54">
        <w:rPr>
          <w:rFonts w:cs="Arial"/>
          <w:sz w:val="16"/>
          <w:szCs w:val="16"/>
          <w:rtl/>
        </w:rPr>
        <w:t xml:space="preserve">הרא"ש </w:t>
      </w:r>
      <w:r>
        <w:rPr>
          <w:rFonts w:cs="Arial" w:hint="cs"/>
          <w:sz w:val="16"/>
          <w:szCs w:val="16"/>
          <w:rtl/>
        </w:rPr>
        <w:t>(</w:t>
      </w:r>
      <w:r w:rsidRPr="00483F54">
        <w:rPr>
          <w:rFonts w:cs="Arial"/>
          <w:sz w:val="16"/>
          <w:szCs w:val="16"/>
          <w:rtl/>
        </w:rPr>
        <w:t>בר"פ מי שמת שם)</w:t>
      </w:r>
      <w:r>
        <w:rPr>
          <w:rFonts w:cs="Arial" w:hint="cs"/>
          <w:sz w:val="16"/>
          <w:szCs w:val="16"/>
          <w:rtl/>
        </w:rPr>
        <w:t>-</w:t>
      </w:r>
      <w:r w:rsidRPr="00483F54">
        <w:rPr>
          <w:rFonts w:cs="Arial"/>
          <w:sz w:val="16"/>
          <w:szCs w:val="16"/>
          <w:rtl/>
        </w:rPr>
        <w:t xml:space="preserve"> פרשב"ם (קלט: ד"ה אמר) דהלכה כאדמון משום דאמרינן בפרק בתרא דכתובות (קט.) כל מקום שאמר רבן גמליאל רואה אני את דברי אדמון הלכה כמותו</w:t>
      </w:r>
      <w:r>
        <w:rPr>
          <w:rFonts w:cs="Arial" w:hint="cs"/>
          <w:sz w:val="16"/>
          <w:szCs w:val="16"/>
          <w:rtl/>
        </w:rPr>
        <w:t>.</w:t>
      </w:r>
      <w:r w:rsidRPr="00483F54">
        <w:rPr>
          <w:rFonts w:cs="Arial"/>
          <w:sz w:val="16"/>
          <w:szCs w:val="16"/>
          <w:rtl/>
        </w:rPr>
        <w:t xml:space="preserve"> ורב אלפס (ב"ב סה. כתובות סג:) פסק כת"ק</w:t>
      </w:r>
      <w:r>
        <w:rPr>
          <w:rFonts w:cs="Arial" w:hint="cs"/>
          <w:sz w:val="16"/>
          <w:szCs w:val="16"/>
          <w:rtl/>
        </w:rPr>
        <w:t>,</w:t>
      </w:r>
      <w:r w:rsidRPr="00483F54">
        <w:rPr>
          <w:rFonts w:cs="Arial"/>
          <w:sz w:val="16"/>
          <w:szCs w:val="16"/>
          <w:rtl/>
        </w:rPr>
        <w:t xml:space="preserve"> משום דסוגיא דשמעתין בפרק מי שמת כוותיה אזלא</w:t>
      </w:r>
      <w:r>
        <w:rPr>
          <w:rFonts w:cs="Arial" w:hint="cs"/>
          <w:sz w:val="16"/>
          <w:szCs w:val="16"/>
          <w:rtl/>
        </w:rPr>
        <w:t>.</w:t>
      </w:r>
      <w:r w:rsidRPr="00483F54">
        <w:rPr>
          <w:rFonts w:cs="Arial"/>
          <w:sz w:val="16"/>
          <w:szCs w:val="16"/>
          <w:rtl/>
        </w:rPr>
        <w:t xml:space="preserve"> ושלא לסתור כלל דהתם איכא למימר דאדמון אינו אלא כמתמיה בעלמא</w:t>
      </w:r>
      <w:r>
        <w:rPr>
          <w:rFonts w:cs="Arial" w:hint="cs"/>
          <w:sz w:val="16"/>
          <w:szCs w:val="16"/>
          <w:rtl/>
        </w:rPr>
        <w:t>,</w:t>
      </w:r>
      <w:r w:rsidRPr="00483F54">
        <w:rPr>
          <w:rFonts w:cs="Arial"/>
          <w:sz w:val="16"/>
          <w:szCs w:val="16"/>
          <w:rtl/>
        </w:rPr>
        <w:t xml:space="preserve"> ונראה לרבן גמליאל דבריו דיפה היה תמיה עכ"ל</w:t>
      </w:r>
      <w:r>
        <w:rPr>
          <w:rFonts w:cs="Arial" w:hint="cs"/>
          <w:sz w:val="16"/>
          <w:szCs w:val="16"/>
          <w:rtl/>
        </w:rPr>
        <w:t>.</w:t>
      </w:r>
      <w:r w:rsidRPr="00483F54">
        <w:rPr>
          <w:rFonts w:cs="Arial"/>
          <w:sz w:val="16"/>
          <w:szCs w:val="16"/>
          <w:rtl/>
        </w:rPr>
        <w:t xml:space="preserve"> וכן כתב בפרק בתרא דכתובות (סי' ט) וז"ל</w:t>
      </w:r>
      <w:r>
        <w:rPr>
          <w:rFonts w:cs="Arial" w:hint="cs"/>
          <w:sz w:val="16"/>
          <w:szCs w:val="16"/>
          <w:rtl/>
        </w:rPr>
        <w:t>-</w:t>
      </w:r>
      <w:r w:rsidRPr="00483F54">
        <w:rPr>
          <w:rFonts w:cs="Arial"/>
          <w:sz w:val="16"/>
          <w:szCs w:val="16"/>
          <w:rtl/>
        </w:rPr>
        <w:t xml:space="preserve"> אע</w:t>
      </w:r>
      <w:r>
        <w:rPr>
          <w:rFonts w:cs="Arial" w:hint="cs"/>
          <w:sz w:val="16"/>
          <w:szCs w:val="16"/>
          <w:rtl/>
        </w:rPr>
        <w:t>"</w:t>
      </w:r>
      <w:r w:rsidRPr="00483F54">
        <w:rPr>
          <w:rFonts w:cs="Arial"/>
          <w:sz w:val="16"/>
          <w:szCs w:val="16"/>
          <w:rtl/>
        </w:rPr>
        <w:t>ג דפסקינן לקמן כל מקום שאמר רבן גמליאל רואה אני את דברי אדמון הלכה כמותו מכל מקום ר"ח והרי"ף ור"ת (תוס' כתובות קח: ד"ה אדמון) ז"ל פסקו דלית הלכתא בהך כוותיה</w:t>
      </w:r>
      <w:r w:rsidRPr="00483F54">
        <w:rPr>
          <w:rFonts w:cs="Arial" w:hint="cs"/>
          <w:sz w:val="16"/>
          <w:szCs w:val="16"/>
          <w:rtl/>
        </w:rPr>
        <w:t>,</w:t>
      </w:r>
      <w:r w:rsidRPr="00483F54">
        <w:rPr>
          <w:rFonts w:cs="Arial"/>
          <w:sz w:val="16"/>
          <w:szCs w:val="16"/>
          <w:rtl/>
        </w:rPr>
        <w:t xml:space="preserve"> דסוגיא דתלמודא דלא כוותיה בפרק נערה (מג.) ובפרק הנושא (קג.) ובפרק מי שמת (קמ.)</w:t>
      </w:r>
      <w:r w:rsidRPr="00483F54">
        <w:rPr>
          <w:rFonts w:cs="Arial" w:hint="cs"/>
          <w:sz w:val="16"/>
          <w:szCs w:val="16"/>
          <w:rtl/>
        </w:rPr>
        <w:t>.</w:t>
      </w:r>
      <w:r w:rsidRPr="00483F54">
        <w:rPr>
          <w:rFonts w:cs="Arial"/>
          <w:sz w:val="16"/>
          <w:szCs w:val="16"/>
          <w:rtl/>
        </w:rPr>
        <w:t xml:space="preserve"> והיה אומר ר"ת (שם, וב"ב קלט: ד"ה אמר) דאדמון לאו לפלוגי אחכמים הוא דאתא אלא אתמוהי בעלמא קמתמה וקאמר רבן גמליאל יפה אמר אדמון שהיה מתמיה על דברי חכמים עכ"ל. וכן פסק הרמב"ם בפרק י"ט מהלכות אישות (הי"ז) וכתב הרב המגיד שכן פסקו כל הגאונים</w:t>
      </w:r>
      <w:r>
        <w:rPr>
          <w:rFonts w:cs="Arial" w:hint="cs"/>
          <w:sz w:val="16"/>
          <w:szCs w:val="16"/>
          <w:rtl/>
        </w:rPr>
        <w:t>, ב"י)</w:t>
      </w:r>
    </w:p>
    <w:p w14:paraId="0DA58D22" w14:textId="77777777" w:rsidR="002E5BAD" w:rsidRPr="00483F54" w:rsidRDefault="002E5BAD" w:rsidP="002E5BAD">
      <w:pPr>
        <w:rPr>
          <w:u w:val="single"/>
          <w:rtl/>
        </w:rPr>
      </w:pPr>
      <w:r w:rsidRPr="00483F54">
        <w:rPr>
          <w:rFonts w:cs="Arial"/>
          <w:u w:val="single"/>
          <w:rtl/>
        </w:rPr>
        <w:t>מי שמת והניח בנים ובנות</w:t>
      </w:r>
      <w:r w:rsidRPr="00483F54">
        <w:rPr>
          <w:rFonts w:hint="cs"/>
          <w:u w:val="single"/>
          <w:rtl/>
        </w:rPr>
        <w:t xml:space="preserve"> </w:t>
      </w:r>
      <w:r w:rsidRPr="00483F54">
        <w:rPr>
          <w:u w:val="single"/>
          <w:rtl/>
        </w:rPr>
        <w:t>–</w:t>
      </w:r>
      <w:r w:rsidRPr="00483F54">
        <w:rPr>
          <w:rFonts w:hint="cs"/>
          <w:u w:val="single"/>
          <w:rtl/>
        </w:rPr>
        <w:t xml:space="preserve"> כיצד מחלקים את הנכסים</w:t>
      </w:r>
      <w:r>
        <w:rPr>
          <w:rFonts w:hint="cs"/>
          <w:u w:val="single"/>
          <w:rtl/>
        </w:rPr>
        <w:t xml:space="preserve"> לעניין המזונות</w:t>
      </w:r>
      <w:r w:rsidRPr="00483F54">
        <w:rPr>
          <w:rFonts w:hint="cs"/>
          <w:u w:val="single"/>
          <w:rtl/>
        </w:rPr>
        <w:t>:</w:t>
      </w:r>
    </w:p>
    <w:p w14:paraId="23241384" w14:textId="77777777" w:rsidR="002E5BAD" w:rsidRPr="00D134DC" w:rsidRDefault="002E5BAD" w:rsidP="00B75458">
      <w:pPr>
        <w:pStyle w:val="ab"/>
        <w:numPr>
          <w:ilvl w:val="0"/>
          <w:numId w:val="195"/>
        </w:numPr>
      </w:pPr>
      <w:r>
        <w:rPr>
          <w:rFonts w:cs="Arial" w:hint="cs"/>
          <w:rtl/>
        </w:rPr>
        <w:t xml:space="preserve">רי"ף </w:t>
      </w:r>
      <w:r w:rsidRPr="00483F54">
        <w:rPr>
          <w:rFonts w:cs="Arial"/>
          <w:sz w:val="16"/>
          <w:szCs w:val="16"/>
          <w:rtl/>
        </w:rPr>
        <w:t>(ב"ב סה. כתובות סג:)</w:t>
      </w:r>
      <w:r>
        <w:rPr>
          <w:rFonts w:cs="Arial" w:hint="cs"/>
          <w:rtl/>
        </w:rPr>
        <w:t xml:space="preserve"> </w:t>
      </w:r>
      <w:r>
        <w:rPr>
          <w:rFonts w:cs="Arial"/>
          <w:rtl/>
        </w:rPr>
        <w:t xml:space="preserve">רמב"ם </w:t>
      </w:r>
      <w:r w:rsidRPr="008B4495">
        <w:rPr>
          <w:rFonts w:cs="Arial" w:hint="cs"/>
          <w:sz w:val="16"/>
          <w:szCs w:val="16"/>
          <w:rtl/>
        </w:rPr>
        <w:t>(</w:t>
      </w:r>
      <w:r w:rsidRPr="008B4495">
        <w:rPr>
          <w:rFonts w:cs="Arial"/>
          <w:sz w:val="16"/>
          <w:szCs w:val="16"/>
          <w:rtl/>
        </w:rPr>
        <w:t>פי"ט מאישות הי"ז)</w:t>
      </w:r>
      <w:r w:rsidRPr="008B4495">
        <w:rPr>
          <w:rFonts w:cs="Arial" w:hint="cs"/>
          <w:sz w:val="16"/>
          <w:szCs w:val="16"/>
          <w:rtl/>
        </w:rPr>
        <w:t xml:space="preserve"> </w:t>
      </w:r>
      <w:r>
        <w:rPr>
          <w:rFonts w:cs="Arial"/>
          <w:rtl/>
        </w:rPr>
        <w:t xml:space="preserve">רא"ש </w:t>
      </w:r>
      <w:r w:rsidRPr="008B4495">
        <w:rPr>
          <w:rFonts w:cs="Arial"/>
          <w:sz w:val="16"/>
          <w:szCs w:val="16"/>
          <w:rtl/>
        </w:rPr>
        <w:t>(סי' א)</w:t>
      </w:r>
      <w:r w:rsidRPr="008B4495">
        <w:rPr>
          <w:rFonts w:cs="Arial" w:hint="cs"/>
          <w:sz w:val="16"/>
          <w:szCs w:val="16"/>
          <w:rtl/>
        </w:rPr>
        <w:t xml:space="preserve"> </w:t>
      </w:r>
      <w:r>
        <w:rPr>
          <w:rFonts w:cs="Arial" w:hint="cs"/>
          <w:rtl/>
        </w:rPr>
        <w:t xml:space="preserve">וטור- </w:t>
      </w:r>
      <w:r w:rsidRPr="00B345A5">
        <w:rPr>
          <w:rFonts w:cs="Arial"/>
          <w:rtl/>
        </w:rPr>
        <w:t>מי שמת והניח בנים ובנות</w:t>
      </w:r>
      <w:r>
        <w:rPr>
          <w:rFonts w:cs="Arial" w:hint="cs"/>
          <w:rtl/>
        </w:rPr>
        <w:t>,</w:t>
      </w:r>
      <w:r w:rsidRPr="00B345A5">
        <w:rPr>
          <w:rFonts w:cs="Arial"/>
          <w:rtl/>
        </w:rPr>
        <w:t xml:space="preserve"> אם הנכסים מרובים שיש בהם כדי שיזונו בנים ובנות עד שיבגרו הבנות</w:t>
      </w:r>
      <w:r>
        <w:rPr>
          <w:rFonts w:cs="Arial" w:hint="cs"/>
          <w:rtl/>
        </w:rPr>
        <w:t xml:space="preserve"> -</w:t>
      </w:r>
      <w:r w:rsidRPr="00B345A5">
        <w:rPr>
          <w:rFonts w:cs="Arial"/>
          <w:rtl/>
        </w:rPr>
        <w:t xml:space="preserve"> יירשו הבנים הכל שישארו הנכסים בחזקתן והם יפרנסו הבנות מתחת ידם</w:t>
      </w:r>
      <w:r>
        <w:rPr>
          <w:rFonts w:cs="Arial" w:hint="cs"/>
          <w:rtl/>
        </w:rPr>
        <w:t>,</w:t>
      </w:r>
      <w:r w:rsidRPr="00B837C8">
        <w:rPr>
          <w:rFonts w:cs="Arial"/>
          <w:rtl/>
        </w:rPr>
        <w:t xml:space="preserve"> </w:t>
      </w:r>
      <w:r>
        <w:rPr>
          <w:rFonts w:cs="Arial" w:hint="cs"/>
          <w:rtl/>
        </w:rPr>
        <w:t>ש</w:t>
      </w:r>
      <w:r w:rsidRPr="00B345A5">
        <w:rPr>
          <w:rFonts w:cs="Arial"/>
          <w:rtl/>
        </w:rPr>
        <w:t>אין מחייבים אותם להפריש חלק הבנות עד שיבגרו</w:t>
      </w:r>
      <w:r>
        <w:rPr>
          <w:rFonts w:cs="Arial" w:hint="cs"/>
          <w:rtl/>
        </w:rPr>
        <w:t>...</w:t>
      </w:r>
      <w:r w:rsidRPr="00B345A5">
        <w:rPr>
          <w:rFonts w:cs="Arial"/>
          <w:rtl/>
        </w:rPr>
        <w:t xml:space="preserve"> </w:t>
      </w:r>
      <w:r w:rsidRPr="00A2733A">
        <w:rPr>
          <w:rFonts w:cs="Arial"/>
          <w:rtl/>
        </w:rPr>
        <w:t>ואם אין בנכסים כדי שיזונו אלו ואלו עד שיבגרו הבנות</w:t>
      </w:r>
      <w:r w:rsidRPr="00A2733A">
        <w:rPr>
          <w:rFonts w:cs="Arial" w:hint="cs"/>
          <w:rtl/>
        </w:rPr>
        <w:t xml:space="preserve"> -</w:t>
      </w:r>
      <w:r w:rsidRPr="00A2733A">
        <w:rPr>
          <w:rFonts w:cs="Arial"/>
          <w:rtl/>
        </w:rPr>
        <w:t xml:space="preserve"> אז נקראים מועטים ומפרישים חלק הבנות עד שיבגרו</w:t>
      </w:r>
      <w:r w:rsidRPr="00A2733A">
        <w:rPr>
          <w:rFonts w:cs="Arial" w:hint="cs"/>
          <w:rtl/>
        </w:rPr>
        <w:t>,</w:t>
      </w:r>
      <w:r w:rsidRPr="00A2733A">
        <w:rPr>
          <w:rFonts w:cs="Arial"/>
          <w:rtl/>
        </w:rPr>
        <w:t xml:space="preserve"> והשאר לבניו</w:t>
      </w:r>
      <w:r w:rsidRPr="00A2733A">
        <w:rPr>
          <w:rFonts w:cs="Arial" w:hint="cs"/>
          <w:rtl/>
        </w:rPr>
        <w:t>.</w:t>
      </w:r>
      <w:r w:rsidRPr="00A2733A">
        <w:rPr>
          <w:rFonts w:cs="Arial"/>
          <w:rtl/>
        </w:rPr>
        <w:t xml:space="preserve"> ואם אין שם אלא עד כדי שיבגרו הבנות </w:t>
      </w:r>
      <w:r w:rsidRPr="00A2733A">
        <w:rPr>
          <w:rFonts w:cs="Arial" w:hint="cs"/>
          <w:rtl/>
        </w:rPr>
        <w:t xml:space="preserve">- </w:t>
      </w:r>
      <w:r w:rsidRPr="00A2733A">
        <w:rPr>
          <w:rFonts w:cs="Arial"/>
          <w:rtl/>
        </w:rPr>
        <w:t>הכל לבנות</w:t>
      </w:r>
      <w:r w:rsidRPr="00A2733A">
        <w:rPr>
          <w:rFonts w:cs="Arial" w:hint="cs"/>
          <w:rtl/>
        </w:rPr>
        <w:t>,</w:t>
      </w:r>
      <w:r w:rsidRPr="00A2733A">
        <w:rPr>
          <w:rFonts w:cs="Arial"/>
          <w:rtl/>
        </w:rPr>
        <w:t xml:space="preserve"> והבנים ישאלו על הפתחים</w:t>
      </w:r>
      <w:r>
        <w:rPr>
          <w:rFonts w:cs="Arial" w:hint="cs"/>
          <w:sz w:val="16"/>
          <w:szCs w:val="16"/>
          <w:rtl/>
        </w:rPr>
        <w:t xml:space="preserve"> (ל' הטור)</w:t>
      </w:r>
      <w:r w:rsidRPr="00A2733A">
        <w:rPr>
          <w:rFonts w:cs="Arial" w:hint="cs"/>
          <w:rtl/>
        </w:rPr>
        <w:t>.</w:t>
      </w:r>
      <w:r w:rsidRPr="00A2733A">
        <w:rPr>
          <w:rFonts w:cs="Arial"/>
          <w:rtl/>
        </w:rPr>
        <w:t xml:space="preserve"> </w:t>
      </w:r>
      <w:r w:rsidRPr="002D5C63">
        <w:rPr>
          <w:rFonts w:hint="cs"/>
          <w:color w:val="E36C0A" w:themeColor="accent6" w:themeShade="BF"/>
          <w:rtl/>
        </w:rPr>
        <w:t>(וכ"פ בשו"ע)</w:t>
      </w:r>
    </w:p>
    <w:p w14:paraId="3A0D7157" w14:textId="77777777" w:rsidR="002E5BAD" w:rsidRDefault="002E5BAD" w:rsidP="00B75458">
      <w:pPr>
        <w:pStyle w:val="ab"/>
        <w:numPr>
          <w:ilvl w:val="0"/>
          <w:numId w:val="195"/>
        </w:numPr>
      </w:pPr>
      <w:r>
        <w:rPr>
          <w:rFonts w:cs="Arial" w:hint="cs"/>
          <w:rtl/>
        </w:rPr>
        <w:t>רשב"ם</w:t>
      </w:r>
      <w:r w:rsidRPr="008B4495">
        <w:rPr>
          <w:rFonts w:cs="Arial" w:hint="cs"/>
          <w:sz w:val="16"/>
          <w:szCs w:val="16"/>
          <w:rtl/>
        </w:rPr>
        <w:t xml:space="preserve"> (</w:t>
      </w:r>
      <w:r>
        <w:rPr>
          <w:rFonts w:cs="Arial" w:hint="cs"/>
          <w:sz w:val="16"/>
          <w:szCs w:val="16"/>
          <w:rtl/>
        </w:rPr>
        <w:t>קלט: ד"ה אמר רבן גמליאל</w:t>
      </w:r>
      <w:r w:rsidRPr="008B4495">
        <w:rPr>
          <w:rFonts w:cs="Arial" w:hint="cs"/>
          <w:sz w:val="16"/>
          <w:szCs w:val="16"/>
          <w:rtl/>
        </w:rPr>
        <w:t>)</w:t>
      </w:r>
      <w:r>
        <w:rPr>
          <w:rFonts w:cs="Arial" w:hint="cs"/>
          <w:rtl/>
        </w:rPr>
        <w:t>-</w:t>
      </w:r>
      <w:r w:rsidRPr="00B345A5">
        <w:rPr>
          <w:rFonts w:cs="Arial"/>
          <w:rtl/>
        </w:rPr>
        <w:t xml:space="preserve"> לעולם יירשו הבנים הכל</w:t>
      </w:r>
      <w:r>
        <w:rPr>
          <w:rFonts w:cs="Arial" w:hint="cs"/>
          <w:sz w:val="16"/>
          <w:szCs w:val="16"/>
          <w:rtl/>
        </w:rPr>
        <w:t xml:space="preserve"> (ל' הטור בשם אדמון)</w:t>
      </w:r>
      <w:r>
        <w:rPr>
          <w:rFonts w:cs="Arial" w:hint="cs"/>
          <w:rtl/>
        </w:rPr>
        <w:t>.</w:t>
      </w:r>
      <w:r w:rsidRPr="00B345A5">
        <w:rPr>
          <w:rFonts w:cs="Arial"/>
          <w:rtl/>
        </w:rPr>
        <w:t xml:space="preserve"> </w:t>
      </w:r>
    </w:p>
    <w:p w14:paraId="30C1EDE6" w14:textId="77777777" w:rsidR="002E5BAD" w:rsidRPr="00CD4CBF" w:rsidRDefault="002E5BAD" w:rsidP="002E5BAD">
      <w:pPr>
        <w:ind w:left="360"/>
        <w:rPr>
          <w:u w:val="dotted"/>
        </w:rPr>
      </w:pPr>
      <w:r w:rsidRPr="00CD4CBF">
        <w:rPr>
          <w:rFonts w:hint="cs"/>
          <w:u w:val="dotted"/>
          <w:rtl/>
        </w:rPr>
        <w:t xml:space="preserve">לרי"ף וסיעתו </w:t>
      </w:r>
      <w:r w:rsidRPr="00CD4CBF">
        <w:rPr>
          <w:u w:val="dotted"/>
          <w:rtl/>
        </w:rPr>
        <w:t>–</w:t>
      </w:r>
      <w:r w:rsidRPr="00CD4CBF">
        <w:rPr>
          <w:rFonts w:hint="cs"/>
          <w:u w:val="dotted"/>
          <w:rtl/>
        </w:rPr>
        <w:t xml:space="preserve"> האם מחייבים את הבנים לצמצם במזונות </w:t>
      </w:r>
      <w:r w:rsidRPr="00CD4CBF">
        <w:rPr>
          <w:rFonts w:hint="cs"/>
          <w:sz w:val="16"/>
          <w:szCs w:val="16"/>
          <w:u w:val="dotted"/>
          <w:rtl/>
        </w:rPr>
        <w:t>(כדי שישמרו מזונות הבנות)</w:t>
      </w:r>
      <w:r w:rsidRPr="00CD4CBF">
        <w:rPr>
          <w:rFonts w:hint="cs"/>
          <w:u w:val="dotted"/>
          <w:rtl/>
        </w:rPr>
        <w:t xml:space="preserve">: </w:t>
      </w:r>
    </w:p>
    <w:p w14:paraId="1AD05B7C" w14:textId="77777777" w:rsidR="002E5BAD" w:rsidRPr="00D134DC" w:rsidRDefault="002E5BAD" w:rsidP="00B75458">
      <w:pPr>
        <w:pStyle w:val="ab"/>
        <w:numPr>
          <w:ilvl w:val="0"/>
          <w:numId w:val="195"/>
        </w:numPr>
      </w:pPr>
      <w:r>
        <w:rPr>
          <w:rFonts w:cs="Arial" w:hint="cs"/>
          <w:rtl/>
        </w:rPr>
        <w:t>טור-</w:t>
      </w:r>
      <w:r w:rsidRPr="00B345A5">
        <w:rPr>
          <w:rFonts w:cs="Arial"/>
          <w:rtl/>
        </w:rPr>
        <w:t xml:space="preserve"> אין מחייבים אותם לצמצם במזונות</w:t>
      </w:r>
      <w:r>
        <w:rPr>
          <w:rFonts w:cs="Arial" w:hint="cs"/>
          <w:rtl/>
        </w:rPr>
        <w:t>,</w:t>
      </w:r>
      <w:r w:rsidRPr="00B345A5">
        <w:rPr>
          <w:rFonts w:cs="Arial"/>
          <w:rtl/>
        </w:rPr>
        <w:t xml:space="preserve"> אלא אם ירצו יותירו במזונות</w:t>
      </w:r>
      <w:r>
        <w:rPr>
          <w:rFonts w:cs="Arial" w:hint="cs"/>
          <w:rtl/>
        </w:rPr>
        <w:t>.</w:t>
      </w:r>
      <w:r w:rsidRPr="00B345A5">
        <w:rPr>
          <w:rFonts w:cs="Arial"/>
          <w:rtl/>
        </w:rPr>
        <w:t xml:space="preserve"> ומ"מ אם ב"ד רואין שמכלין הממון ואין משגיחין בישוב העולם</w:t>
      </w:r>
      <w:r>
        <w:rPr>
          <w:rFonts w:cs="Arial" w:hint="cs"/>
          <w:rtl/>
        </w:rPr>
        <w:t xml:space="preserve"> -</w:t>
      </w:r>
      <w:r w:rsidRPr="00B345A5">
        <w:rPr>
          <w:rFonts w:cs="Arial"/>
          <w:rtl/>
        </w:rPr>
        <w:t xml:space="preserve"> חייבים ב"ד להשגיח בתיקון הבנות ולהפריש להן חלקן</w:t>
      </w:r>
      <w:r>
        <w:rPr>
          <w:rFonts w:hint="cs"/>
          <w:rtl/>
        </w:rPr>
        <w:t>.</w:t>
      </w:r>
      <w:r w:rsidRPr="00B837C8">
        <w:rPr>
          <w:rFonts w:hint="cs"/>
          <w:color w:val="00B0F0"/>
          <w:rtl/>
        </w:rPr>
        <w:t xml:space="preserve"> (וכ"כ הרמ"א)</w:t>
      </w:r>
    </w:p>
    <w:p w14:paraId="46527019" w14:textId="77777777" w:rsidR="002E5BAD" w:rsidRPr="00483F54" w:rsidRDefault="002E5BAD" w:rsidP="002E5BAD">
      <w:pPr>
        <w:ind w:left="360"/>
        <w:rPr>
          <w:rFonts w:cs="Arial"/>
          <w:u w:val="dotted"/>
          <w:rtl/>
        </w:rPr>
      </w:pPr>
      <w:r w:rsidRPr="00483F54">
        <w:rPr>
          <w:rFonts w:cs="Arial" w:hint="cs"/>
          <w:u w:val="dotted"/>
          <w:rtl/>
        </w:rPr>
        <w:lastRenderedPageBreak/>
        <w:t>מה נכלל בתוך מזונות אלו:</w:t>
      </w:r>
      <w:r w:rsidRPr="00483F54">
        <w:rPr>
          <w:rFonts w:cs="Arial"/>
          <w:u w:val="dotted"/>
          <w:rtl/>
        </w:rPr>
        <w:t xml:space="preserve"> </w:t>
      </w:r>
    </w:p>
    <w:p w14:paraId="63A356EE" w14:textId="77777777" w:rsidR="002E5BAD" w:rsidRPr="000259A9" w:rsidRDefault="002E5BAD" w:rsidP="00B75458">
      <w:pPr>
        <w:pStyle w:val="ab"/>
        <w:numPr>
          <w:ilvl w:val="0"/>
          <w:numId w:val="200"/>
        </w:numPr>
      </w:pPr>
      <w:r w:rsidRPr="000259A9">
        <w:rPr>
          <w:rFonts w:cs="Arial"/>
          <w:rtl/>
        </w:rPr>
        <w:t xml:space="preserve">ריטב"א </w:t>
      </w:r>
      <w:r w:rsidRPr="008B4495">
        <w:rPr>
          <w:rFonts w:cs="Arial"/>
          <w:sz w:val="16"/>
          <w:szCs w:val="16"/>
          <w:rtl/>
        </w:rPr>
        <w:t>(קלט: ד"ה כל</w:t>
      </w:r>
      <w:r>
        <w:rPr>
          <w:rFonts w:cs="Arial" w:hint="cs"/>
          <w:sz w:val="16"/>
          <w:szCs w:val="16"/>
          <w:rtl/>
        </w:rPr>
        <w:t>, וכ"כ בשמו הנמוק"י [</w:t>
      </w:r>
      <w:r w:rsidRPr="008B4495">
        <w:rPr>
          <w:rFonts w:cs="Arial"/>
          <w:sz w:val="16"/>
          <w:szCs w:val="16"/>
          <w:rtl/>
        </w:rPr>
        <w:t>סה. ד"ה גמ'</w:t>
      </w:r>
      <w:r>
        <w:rPr>
          <w:rFonts w:cs="Arial" w:hint="cs"/>
          <w:sz w:val="16"/>
          <w:szCs w:val="16"/>
          <w:rtl/>
        </w:rPr>
        <w:t>]</w:t>
      </w:r>
      <w:r w:rsidRPr="008B4495">
        <w:rPr>
          <w:rFonts w:cs="Arial"/>
          <w:sz w:val="16"/>
          <w:szCs w:val="16"/>
          <w:rtl/>
        </w:rPr>
        <w:t>)</w:t>
      </w:r>
      <w:r w:rsidRPr="000259A9">
        <w:rPr>
          <w:rFonts w:cs="Arial" w:hint="cs"/>
          <w:rtl/>
        </w:rPr>
        <w:t>-</w:t>
      </w:r>
      <w:r w:rsidRPr="00B63236">
        <w:rPr>
          <w:rtl/>
        </w:rPr>
        <w:t xml:space="preserve"> </w:t>
      </w:r>
      <w:r w:rsidRPr="004C0F3E">
        <w:rPr>
          <w:rFonts w:cs="Arial"/>
          <w:rtl/>
        </w:rPr>
        <w:t>בכלל מזונות אלו כסוי מלבוש</w:t>
      </w:r>
      <w:r>
        <w:rPr>
          <w:rFonts w:cs="Arial" w:hint="cs"/>
          <w:rtl/>
        </w:rPr>
        <w:t>,</w:t>
      </w:r>
      <w:r w:rsidRPr="004C0F3E">
        <w:rPr>
          <w:rFonts w:cs="Arial"/>
          <w:rtl/>
        </w:rPr>
        <w:t xml:space="preserve"> שכן תנאי מזון האשה והבנות</w:t>
      </w:r>
      <w:r>
        <w:rPr>
          <w:rStyle w:val="a7"/>
          <w:rFonts w:cs="Arial"/>
          <w:rtl/>
        </w:rPr>
        <w:footnoteReference w:id="2923"/>
      </w:r>
      <w:r>
        <w:rPr>
          <w:rFonts w:cs="Arial" w:hint="cs"/>
          <w:rtl/>
        </w:rPr>
        <w:t>,</w:t>
      </w:r>
      <w:r w:rsidRPr="004C0F3E">
        <w:rPr>
          <w:rFonts w:cs="Arial"/>
          <w:rtl/>
        </w:rPr>
        <w:t xml:space="preserve"> כדאמרינן התם (כתובות סה</w:t>
      </w:r>
      <w:r>
        <w:rPr>
          <w:rFonts w:cs="Arial" w:hint="cs"/>
          <w:rtl/>
        </w:rPr>
        <w:t>.</w:t>
      </w:r>
      <w:r w:rsidRPr="004C0F3E">
        <w:rPr>
          <w:rFonts w:cs="Arial"/>
          <w:rtl/>
        </w:rPr>
        <w:t>) גבי דביתהו דרב יוסף מדויל דאמרה פסיק לי שיראי פסק לה</w:t>
      </w:r>
      <w:r>
        <w:rPr>
          <w:rFonts w:cs="Arial" w:hint="cs"/>
          <w:rtl/>
        </w:rPr>
        <w:t>.</w:t>
      </w:r>
      <w:r w:rsidRPr="004C0F3E">
        <w:rPr>
          <w:rFonts w:cs="Arial"/>
          <w:rtl/>
        </w:rPr>
        <w:t xml:space="preserve"> אבל פרנסת הבת אינה בכלל תקנה זו</w:t>
      </w:r>
      <w:r>
        <w:rPr>
          <w:rStyle w:val="a7"/>
          <w:rFonts w:cs="Arial"/>
          <w:rtl/>
        </w:rPr>
        <w:footnoteReference w:id="2924"/>
      </w:r>
      <w:r>
        <w:rPr>
          <w:rFonts w:cs="Arial" w:hint="cs"/>
          <w:rtl/>
        </w:rPr>
        <w:t>.</w:t>
      </w:r>
      <w:r w:rsidRPr="004C0F3E">
        <w:rPr>
          <w:rFonts w:cs="Arial"/>
          <w:rtl/>
        </w:rPr>
        <w:t xml:space="preserve"> ואינה נקראת אלא בשם פרנסה בכל מקום</w:t>
      </w:r>
      <w:r>
        <w:rPr>
          <w:rFonts w:cs="Arial" w:hint="cs"/>
          <w:rtl/>
        </w:rPr>
        <w:t>.</w:t>
      </w:r>
      <w:r w:rsidRPr="004C0F3E">
        <w:rPr>
          <w:rFonts w:cs="Arial"/>
          <w:rtl/>
        </w:rPr>
        <w:t xml:space="preserve"> ומה שכתב רבינו שמואל</w:t>
      </w:r>
      <w:r>
        <w:rPr>
          <w:rStyle w:val="a7"/>
          <w:rFonts w:cs="Arial"/>
          <w:rtl/>
        </w:rPr>
        <w:footnoteReference w:id="2925"/>
      </w:r>
      <w:r w:rsidRPr="004C0F3E">
        <w:rPr>
          <w:rFonts w:cs="Arial"/>
          <w:rtl/>
        </w:rPr>
        <w:t xml:space="preserve"> </w:t>
      </w:r>
      <w:r>
        <w:rPr>
          <w:rFonts w:cs="Arial" w:hint="cs"/>
          <w:sz w:val="16"/>
          <w:szCs w:val="16"/>
          <w:rtl/>
        </w:rPr>
        <w:t>(קלט: ד"ה והבנות יזונו)</w:t>
      </w:r>
      <w:r>
        <w:rPr>
          <w:rFonts w:cs="Arial" w:hint="cs"/>
          <w:rtl/>
        </w:rPr>
        <w:t xml:space="preserve"> </w:t>
      </w:r>
      <w:r w:rsidRPr="004C0F3E">
        <w:rPr>
          <w:rFonts w:cs="Arial"/>
          <w:rtl/>
        </w:rPr>
        <w:t>במשנתינו פרנסת הבת בכלל מזונות</w:t>
      </w:r>
      <w:r>
        <w:rPr>
          <w:rFonts w:cs="Arial" w:hint="cs"/>
          <w:rtl/>
        </w:rPr>
        <w:t xml:space="preserve"> -</w:t>
      </w:r>
      <w:r w:rsidRPr="004C0F3E">
        <w:rPr>
          <w:rFonts w:cs="Arial"/>
          <w:rtl/>
        </w:rPr>
        <w:t xml:space="preserve"> גבי נכסים מרובין כתב לאשמועינן עיקר הדין, אבל לא שיהא בכלל לשון </w:t>
      </w:r>
      <w:r>
        <w:rPr>
          <w:rFonts w:cs="Arial" w:hint="cs"/>
          <w:rtl/>
        </w:rPr>
        <w:t>'</w:t>
      </w:r>
      <w:r w:rsidRPr="004C0F3E">
        <w:rPr>
          <w:rFonts w:cs="Arial"/>
          <w:rtl/>
        </w:rPr>
        <w:t>ניזונת</w:t>
      </w:r>
      <w:r>
        <w:rPr>
          <w:rFonts w:cs="Arial" w:hint="cs"/>
          <w:rtl/>
        </w:rPr>
        <w:t>'</w:t>
      </w:r>
      <w:r w:rsidRPr="004C0F3E">
        <w:rPr>
          <w:rFonts w:cs="Arial"/>
          <w:rtl/>
        </w:rPr>
        <w:t xml:space="preserve"> ולא בתקנת מזונות</w:t>
      </w:r>
      <w:r>
        <w:rPr>
          <w:rFonts w:cs="Arial" w:hint="cs"/>
          <w:rtl/>
        </w:rPr>
        <w:t>,</w:t>
      </w:r>
      <w:r w:rsidRPr="004C0F3E">
        <w:rPr>
          <w:rFonts w:cs="Arial"/>
          <w:rtl/>
        </w:rPr>
        <w:t xml:space="preserve"> ואין מחשבין אותו בנכסים מועטים כלל, וזה ברור</w:t>
      </w:r>
      <w:r w:rsidRPr="000259A9">
        <w:rPr>
          <w:rFonts w:cs="Arial" w:hint="cs"/>
          <w:rtl/>
        </w:rPr>
        <w:t>.</w:t>
      </w:r>
      <w:r>
        <w:rPr>
          <w:rFonts w:cs="Arial" w:hint="cs"/>
          <w:rtl/>
        </w:rPr>
        <w:t xml:space="preserve"> </w:t>
      </w:r>
      <w:r>
        <w:rPr>
          <w:rFonts w:hint="cs"/>
          <w:rtl/>
        </w:rPr>
        <w:t xml:space="preserve">(וכ"פ ח"מ </w:t>
      </w:r>
      <w:r>
        <w:rPr>
          <w:rFonts w:hint="cs"/>
          <w:sz w:val="16"/>
          <w:szCs w:val="16"/>
          <w:rtl/>
        </w:rPr>
        <w:t>[סקכ"ב]</w:t>
      </w:r>
      <w:r>
        <w:rPr>
          <w:rFonts w:hint="cs"/>
          <w:rtl/>
        </w:rPr>
        <w:t xml:space="preserve"> וב"ש </w:t>
      </w:r>
      <w:r>
        <w:rPr>
          <w:rFonts w:hint="cs"/>
          <w:sz w:val="16"/>
          <w:szCs w:val="16"/>
          <w:rtl/>
        </w:rPr>
        <w:t>[סק"כ]</w:t>
      </w:r>
      <w:r>
        <w:rPr>
          <w:rFonts w:hint="cs"/>
          <w:rtl/>
        </w:rPr>
        <w:t>)</w:t>
      </w:r>
    </w:p>
    <w:p w14:paraId="0C4ADF3A" w14:textId="77777777" w:rsidR="002E5BAD" w:rsidRPr="00C4750E" w:rsidRDefault="002E5BAD" w:rsidP="002E5BAD">
      <w:pPr>
        <w:ind w:left="360"/>
        <w:rPr>
          <w:u w:val="dotted"/>
        </w:rPr>
      </w:pPr>
      <w:r w:rsidRPr="00C4750E">
        <w:rPr>
          <w:rFonts w:hint="cs"/>
          <w:u w:val="dotted"/>
          <w:rtl/>
        </w:rPr>
        <w:t xml:space="preserve">כשיש נכסים מרובים </w:t>
      </w:r>
      <w:r w:rsidRPr="00C4750E">
        <w:rPr>
          <w:u w:val="dotted"/>
          <w:rtl/>
        </w:rPr>
        <w:t>–</w:t>
      </w:r>
      <w:r w:rsidRPr="00C4750E">
        <w:rPr>
          <w:rFonts w:hint="cs"/>
          <w:u w:val="dotted"/>
          <w:rtl/>
        </w:rPr>
        <w:t xml:space="preserve"> האם האחים יכולים למכור חלק מהנכסים</w:t>
      </w:r>
      <w:r>
        <w:rPr>
          <w:rFonts w:hint="cs"/>
          <w:u w:val="dotted"/>
          <w:rtl/>
        </w:rPr>
        <w:t xml:space="preserve"> לכתחילה</w:t>
      </w:r>
      <w:r w:rsidRPr="00C4750E">
        <w:rPr>
          <w:rFonts w:hint="cs"/>
          <w:u w:val="dotted"/>
          <w:rtl/>
        </w:rPr>
        <w:t>:</w:t>
      </w:r>
    </w:p>
    <w:p w14:paraId="2F6263BA" w14:textId="77777777" w:rsidR="002E5BAD" w:rsidRPr="00C4750E" w:rsidRDefault="002E5BAD" w:rsidP="00B75458">
      <w:pPr>
        <w:pStyle w:val="ab"/>
        <w:numPr>
          <w:ilvl w:val="0"/>
          <w:numId w:val="200"/>
        </w:numPr>
      </w:pPr>
      <w:r w:rsidRPr="00F16681">
        <w:rPr>
          <w:rFonts w:cs="Arial"/>
          <w:rtl/>
        </w:rPr>
        <w:t>נמוק</w:t>
      </w:r>
      <w:r>
        <w:rPr>
          <w:rFonts w:cs="Arial" w:hint="cs"/>
          <w:rtl/>
        </w:rPr>
        <w:t>"</w:t>
      </w:r>
      <w:r w:rsidRPr="00F16681">
        <w:rPr>
          <w:rFonts w:cs="Arial"/>
          <w:rtl/>
        </w:rPr>
        <w:t xml:space="preserve">י </w:t>
      </w:r>
      <w:r w:rsidRPr="00C4750E">
        <w:rPr>
          <w:rFonts w:cs="Arial"/>
          <w:sz w:val="16"/>
          <w:szCs w:val="16"/>
          <w:rtl/>
        </w:rPr>
        <w:t>(סה. ד"ה מי שמת)</w:t>
      </w:r>
      <w:r>
        <w:rPr>
          <w:rFonts w:cs="Arial" w:hint="cs"/>
          <w:rtl/>
        </w:rPr>
        <w:t>-</w:t>
      </w:r>
      <w:r w:rsidRPr="00F16681">
        <w:rPr>
          <w:rFonts w:cs="Arial"/>
          <w:rtl/>
        </w:rPr>
        <w:t xml:space="preserve"> האחין יכולין למכור בנכסים מרובין</w:t>
      </w:r>
      <w:r>
        <w:rPr>
          <w:rStyle w:val="a7"/>
          <w:rFonts w:cs="Arial"/>
          <w:rtl/>
        </w:rPr>
        <w:footnoteReference w:id="2926"/>
      </w:r>
      <w:r>
        <w:rPr>
          <w:rFonts w:cs="Arial" w:hint="cs"/>
          <w:rtl/>
        </w:rPr>
        <w:t>.</w:t>
      </w:r>
      <w:r w:rsidRPr="00F16681">
        <w:rPr>
          <w:rFonts w:cs="Arial"/>
          <w:rtl/>
        </w:rPr>
        <w:t xml:space="preserve"> </w:t>
      </w:r>
    </w:p>
    <w:p w14:paraId="6C989E20" w14:textId="77777777" w:rsidR="002E5BAD" w:rsidRDefault="002E5BAD" w:rsidP="00B75458">
      <w:pPr>
        <w:pStyle w:val="ab"/>
        <w:numPr>
          <w:ilvl w:val="0"/>
          <w:numId w:val="200"/>
        </w:numPr>
        <w:rPr>
          <w:rtl/>
        </w:rPr>
      </w:pPr>
      <w:r>
        <w:rPr>
          <w:rFonts w:cs="Arial" w:hint="cs"/>
          <w:rtl/>
        </w:rPr>
        <w:t>תוס'</w:t>
      </w:r>
      <w:r>
        <w:rPr>
          <w:rStyle w:val="a7"/>
          <w:rFonts w:cs="Arial"/>
          <w:rtl/>
        </w:rPr>
        <w:footnoteReference w:id="2927"/>
      </w:r>
      <w:r>
        <w:rPr>
          <w:rFonts w:cs="Arial" w:hint="cs"/>
          <w:rtl/>
        </w:rPr>
        <w:t xml:space="preserve"> </w:t>
      </w:r>
      <w:r>
        <w:rPr>
          <w:rFonts w:cs="Arial" w:hint="cs"/>
          <w:sz w:val="16"/>
          <w:szCs w:val="16"/>
          <w:rtl/>
        </w:rPr>
        <w:t>(קמ. ד"ה יתומים)</w:t>
      </w:r>
      <w:r>
        <w:rPr>
          <w:rFonts w:cs="Arial" w:hint="cs"/>
          <w:rtl/>
        </w:rPr>
        <w:t xml:space="preserve"> ו</w:t>
      </w:r>
      <w:r w:rsidRPr="00F16681">
        <w:rPr>
          <w:rFonts w:cs="Arial"/>
          <w:rtl/>
        </w:rPr>
        <w:t>מרדכ</w:t>
      </w:r>
      <w:r>
        <w:rPr>
          <w:rFonts w:cs="Arial" w:hint="cs"/>
          <w:rtl/>
        </w:rPr>
        <w:t>י</w:t>
      </w:r>
      <w:r>
        <w:rPr>
          <w:rStyle w:val="a7"/>
          <w:rFonts w:cs="Arial"/>
          <w:rtl/>
        </w:rPr>
        <w:footnoteReference w:id="2928"/>
      </w:r>
      <w:r w:rsidRPr="00F16681">
        <w:rPr>
          <w:rFonts w:cs="Arial"/>
          <w:rtl/>
        </w:rPr>
        <w:t xml:space="preserve"> </w:t>
      </w:r>
      <w:r w:rsidRPr="00C4750E">
        <w:rPr>
          <w:rFonts w:cs="Arial"/>
          <w:sz w:val="16"/>
          <w:szCs w:val="16"/>
          <w:rtl/>
        </w:rPr>
        <w:t>(</w:t>
      </w:r>
      <w:r>
        <w:rPr>
          <w:rFonts w:cs="Arial" w:hint="cs"/>
          <w:sz w:val="16"/>
          <w:szCs w:val="16"/>
          <w:rtl/>
        </w:rPr>
        <w:t xml:space="preserve">ב"ב פ' מי שמת </w:t>
      </w:r>
      <w:r w:rsidRPr="00C4750E">
        <w:rPr>
          <w:rFonts w:cs="Arial"/>
          <w:sz w:val="16"/>
          <w:szCs w:val="16"/>
          <w:rtl/>
        </w:rPr>
        <w:t>סי' תרא)</w:t>
      </w:r>
      <w:r>
        <w:rPr>
          <w:rFonts w:cs="Arial" w:hint="cs"/>
          <w:rtl/>
        </w:rPr>
        <w:t>-</w:t>
      </w:r>
      <w:r w:rsidRPr="00F16681">
        <w:rPr>
          <w:rFonts w:cs="Arial"/>
          <w:rtl/>
        </w:rPr>
        <w:t xml:space="preserve"> אף בנכסים מרובים אסורין למכור לכתחלה</w:t>
      </w:r>
      <w:r>
        <w:rPr>
          <w:rFonts w:cs="Arial" w:hint="cs"/>
          <w:rtl/>
        </w:rPr>
        <w:t>,</w:t>
      </w:r>
      <w:r w:rsidRPr="00F16681">
        <w:rPr>
          <w:rFonts w:cs="Arial"/>
          <w:rtl/>
        </w:rPr>
        <w:t xml:space="preserve"> אא</w:t>
      </w:r>
      <w:r>
        <w:rPr>
          <w:rFonts w:cs="Arial" w:hint="cs"/>
          <w:rtl/>
        </w:rPr>
        <w:t>"</w:t>
      </w:r>
      <w:r w:rsidRPr="00F16681">
        <w:rPr>
          <w:rFonts w:cs="Arial"/>
          <w:rtl/>
        </w:rPr>
        <w:t>כ היה לצורך פדיון שבויים וכיוצא בזה</w:t>
      </w:r>
      <w:r>
        <w:rPr>
          <w:rFonts w:cs="Arial" w:hint="cs"/>
          <w:rtl/>
        </w:rPr>
        <w:t>.</w:t>
      </w:r>
      <w:r w:rsidRPr="00F16681">
        <w:rPr>
          <w:rFonts w:cs="Arial"/>
          <w:rtl/>
        </w:rPr>
        <w:t xml:space="preserve"> ובנכסים מועטין אפילו בכה"ג אסור</w:t>
      </w:r>
      <w:r>
        <w:rPr>
          <w:rFonts w:cs="Arial" w:hint="cs"/>
          <w:sz w:val="16"/>
          <w:szCs w:val="16"/>
          <w:rtl/>
        </w:rPr>
        <w:t xml:space="preserve"> (ל' הדרכ"מ בשם המרדכי)</w:t>
      </w:r>
      <w:r>
        <w:rPr>
          <w:rFonts w:cs="Arial" w:hint="cs"/>
          <w:rtl/>
        </w:rPr>
        <w:t>.</w:t>
      </w:r>
      <w:r>
        <w:rPr>
          <w:rFonts w:hint="cs"/>
          <w:rtl/>
        </w:rPr>
        <w:t xml:space="preserve"> </w:t>
      </w:r>
      <w:r w:rsidRPr="00B837C8">
        <w:rPr>
          <w:rFonts w:hint="cs"/>
          <w:color w:val="00B0F0"/>
          <w:rtl/>
        </w:rPr>
        <w:t>(וכ"כ הרמ"א)</w:t>
      </w:r>
    </w:p>
    <w:p w14:paraId="35F71D5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2EA724" w14:textId="77777777" w:rsidR="002E5BAD" w:rsidRDefault="002E5BAD" w:rsidP="002E5BAD">
      <w:pPr>
        <w:rPr>
          <w:rFonts w:cs="Arial"/>
          <w:rtl/>
        </w:rPr>
      </w:pPr>
      <w:r w:rsidRPr="00523CDE">
        <w:rPr>
          <w:rFonts w:cs="Arial"/>
          <w:rtl/>
        </w:rPr>
        <w:t xml:space="preserve">מי שמת והניח בנים ובנות, יירשו הבנים כל הנכסים והם זנים אחיותיהם עד שיבגרו או עד שיתארסו. </w:t>
      </w:r>
      <w:r w:rsidRPr="00621C37">
        <w:rPr>
          <w:rFonts w:cs="Arial"/>
          <w:sz w:val="18"/>
          <w:szCs w:val="18"/>
          <w:rtl/>
        </w:rPr>
        <w:t xml:space="preserve">הגה: ואין מחייבים הבנים לצמצם במזונות, אלא אם ירצו יותירו במזונות. ומכל מקום אם רואים בית דין שהבנים מכלין הממון ואין משגיחין בישוב העולם, חייבים בית דין להשגיח בתיקון הבנות ולהפריש להן חלקן (טור). </w:t>
      </w:r>
      <w:r w:rsidRPr="00523CDE">
        <w:rPr>
          <w:rFonts w:cs="Arial"/>
          <w:rtl/>
        </w:rPr>
        <w:t>ב</w:t>
      </w:r>
      <w:r>
        <w:rPr>
          <w:rFonts w:cs="Arial" w:hint="cs"/>
          <w:rtl/>
        </w:rPr>
        <w:t>מה דברים אמורים</w:t>
      </w:r>
      <w:r w:rsidRPr="00523CDE">
        <w:rPr>
          <w:rFonts w:cs="Arial"/>
          <w:rtl/>
        </w:rPr>
        <w:t>, כשהניח נכסים שאיפשר שיזונו מהם הבנים</w:t>
      </w:r>
      <w:r>
        <w:rPr>
          <w:rStyle w:val="a7"/>
          <w:rFonts w:cs="Arial"/>
          <w:rtl/>
        </w:rPr>
        <w:footnoteReference w:id="2929"/>
      </w:r>
      <w:r w:rsidRPr="00523CDE">
        <w:rPr>
          <w:rFonts w:cs="Arial"/>
          <w:rtl/>
        </w:rPr>
        <w:t xml:space="preserve"> והבנות כאחד עד שיבגרו הבנות, ואלו הם הנקראים נכסים מרובים. אבל אם אין בנכסים שהניח אלא פחות מזה, מוציאים מהם מזונות</w:t>
      </w:r>
      <w:r>
        <w:rPr>
          <w:rStyle w:val="a7"/>
          <w:rFonts w:cs="Arial"/>
          <w:rtl/>
        </w:rPr>
        <w:footnoteReference w:id="2930"/>
      </w:r>
      <w:r w:rsidRPr="00523CDE">
        <w:rPr>
          <w:rFonts w:cs="Arial"/>
          <w:rtl/>
        </w:rPr>
        <w:t xml:space="preserve"> לבנות עד שיבגרו, ונותנים השאר לבנים. ואם אין שם אלא כדי מזון הבנות בלבד, נזונות מהם עד שיבגרו או עד שיתארסו, והבנים ישאלו על הפתחים</w:t>
      </w:r>
      <w:r>
        <w:rPr>
          <w:rStyle w:val="a7"/>
          <w:rFonts w:cs="Arial"/>
          <w:rtl/>
        </w:rPr>
        <w:footnoteReference w:id="2931"/>
      </w:r>
      <w:r w:rsidRPr="00523CDE">
        <w:rPr>
          <w:rFonts w:cs="Arial"/>
          <w:rtl/>
        </w:rPr>
        <w:t xml:space="preserve">. </w:t>
      </w:r>
      <w:r w:rsidRPr="00621C37">
        <w:rPr>
          <w:rFonts w:cs="Arial"/>
          <w:sz w:val="18"/>
          <w:szCs w:val="18"/>
          <w:rtl/>
        </w:rPr>
        <w:t>הגה: וי"א דאסור לבנים למכור</w:t>
      </w:r>
      <w:r>
        <w:rPr>
          <w:rStyle w:val="a7"/>
          <w:rFonts w:cs="Arial"/>
          <w:sz w:val="18"/>
          <w:szCs w:val="18"/>
          <w:rtl/>
        </w:rPr>
        <w:footnoteReference w:id="2932"/>
      </w:r>
      <w:r w:rsidRPr="00621C37">
        <w:rPr>
          <w:rFonts w:cs="Arial"/>
          <w:sz w:val="18"/>
          <w:szCs w:val="18"/>
          <w:rtl/>
        </w:rPr>
        <w:t xml:space="preserve"> אפילו נכסים מרובים</w:t>
      </w:r>
      <w:r>
        <w:rPr>
          <w:rStyle w:val="a7"/>
          <w:rFonts w:cs="Arial"/>
          <w:sz w:val="18"/>
          <w:szCs w:val="18"/>
          <w:rtl/>
        </w:rPr>
        <w:footnoteReference w:id="2933"/>
      </w:r>
      <w:r w:rsidRPr="00621C37">
        <w:rPr>
          <w:rFonts w:cs="Arial"/>
          <w:sz w:val="18"/>
          <w:szCs w:val="18"/>
          <w:rtl/>
        </w:rPr>
        <w:t>, אם לא שהוא לצורך פדיון שבוים וכיוצא בזה</w:t>
      </w:r>
      <w:r>
        <w:rPr>
          <w:rFonts w:cs="Arial" w:hint="cs"/>
          <w:sz w:val="18"/>
          <w:szCs w:val="18"/>
          <w:rtl/>
        </w:rPr>
        <w:t>.</w:t>
      </w:r>
      <w:r w:rsidRPr="00621C37">
        <w:rPr>
          <w:rFonts w:cs="Arial"/>
          <w:sz w:val="18"/>
          <w:szCs w:val="18"/>
          <w:rtl/>
        </w:rPr>
        <w:t xml:space="preserve"> אבל בנכסים מועטים, אפילו בכה"ג אסור (מרדכי). ואם עברו ומכרו יתבאר לקמן סעיף י"ד.</w:t>
      </w:r>
    </w:p>
    <w:p w14:paraId="6CCF03EA" w14:textId="77777777" w:rsidR="002E5BAD" w:rsidRPr="00523CDE" w:rsidRDefault="002E5BAD" w:rsidP="002E5BAD">
      <w:pPr>
        <w:rPr>
          <w:rFonts w:cs="Arial"/>
          <w:rtl/>
        </w:rPr>
      </w:pPr>
    </w:p>
    <w:p w14:paraId="5CD6212A" w14:textId="77777777" w:rsidR="002E5BAD" w:rsidRDefault="002E5BAD" w:rsidP="002E5BAD">
      <w:pPr>
        <w:pStyle w:val="2"/>
        <w:rPr>
          <w:rtl/>
        </w:rPr>
      </w:pPr>
      <w:r w:rsidRPr="00523CDE">
        <w:rPr>
          <w:rtl/>
        </w:rPr>
        <w:lastRenderedPageBreak/>
        <w:t>סעיף יב</w:t>
      </w:r>
      <w:r>
        <w:rPr>
          <w:rFonts w:hint="cs"/>
          <w:rtl/>
        </w:rPr>
        <w:t>: חלוקת מטלטלים בין בניו ובנותיו (לענין מזונות).</w:t>
      </w:r>
    </w:p>
    <w:p w14:paraId="1DC33D86" w14:textId="77777777" w:rsidR="002E5BAD" w:rsidRPr="003F1E52" w:rsidRDefault="002E5BAD" w:rsidP="002E5BAD">
      <w:pPr>
        <w:rPr>
          <w:u w:val="single"/>
          <w:rtl/>
        </w:rPr>
      </w:pPr>
      <w:r w:rsidRPr="003F1E52">
        <w:rPr>
          <w:rFonts w:hint="cs"/>
          <w:u w:val="single"/>
          <w:rtl/>
        </w:rPr>
        <w:t>חלוקת מטלטלים בין בניו ובנותיו לעניין מזונות:</w:t>
      </w:r>
    </w:p>
    <w:p w14:paraId="661BFB6B" w14:textId="77777777" w:rsidR="002E5BAD" w:rsidRDefault="002E5BAD" w:rsidP="00B75458">
      <w:pPr>
        <w:pStyle w:val="ab"/>
        <w:numPr>
          <w:ilvl w:val="0"/>
          <w:numId w:val="195"/>
        </w:numPr>
      </w:pPr>
      <w:r>
        <w:rPr>
          <w:rFonts w:cs="Arial"/>
          <w:rtl/>
        </w:rPr>
        <w:t xml:space="preserve">רי"ף </w:t>
      </w:r>
      <w:r w:rsidRPr="003F1E52">
        <w:rPr>
          <w:rFonts w:cs="Arial"/>
          <w:sz w:val="16"/>
          <w:szCs w:val="16"/>
          <w:rtl/>
        </w:rPr>
        <w:t>(ב"ב סה.)</w:t>
      </w:r>
      <w:r>
        <w:rPr>
          <w:rFonts w:cs="Arial" w:hint="cs"/>
          <w:sz w:val="16"/>
          <w:szCs w:val="16"/>
          <w:rtl/>
        </w:rPr>
        <w:t xml:space="preserve"> </w:t>
      </w:r>
      <w:r>
        <w:rPr>
          <w:rFonts w:cs="Arial"/>
          <w:rtl/>
        </w:rPr>
        <w:t xml:space="preserve">רמב"ם </w:t>
      </w:r>
      <w:r w:rsidRPr="003F1E52">
        <w:rPr>
          <w:rFonts w:cs="Arial"/>
          <w:sz w:val="16"/>
          <w:szCs w:val="16"/>
          <w:rtl/>
        </w:rPr>
        <w:t>(</w:t>
      </w:r>
      <w:r>
        <w:rPr>
          <w:rFonts w:cs="Arial" w:hint="cs"/>
          <w:sz w:val="16"/>
          <w:szCs w:val="16"/>
          <w:rtl/>
        </w:rPr>
        <w:t xml:space="preserve">פי"ט </w:t>
      </w:r>
      <w:r w:rsidRPr="003F1E52">
        <w:rPr>
          <w:rFonts w:cs="Arial"/>
          <w:sz w:val="16"/>
          <w:szCs w:val="16"/>
          <w:rtl/>
        </w:rPr>
        <w:t>הי"ח)</w:t>
      </w:r>
      <w:r>
        <w:rPr>
          <w:rFonts w:cs="Arial" w:hint="cs"/>
          <w:rtl/>
        </w:rPr>
        <w:t xml:space="preserve"> </w:t>
      </w:r>
      <w:r>
        <w:rPr>
          <w:rFonts w:cs="Arial"/>
          <w:rtl/>
        </w:rPr>
        <w:t xml:space="preserve">רא"ש </w:t>
      </w:r>
      <w:r w:rsidRPr="003F1E52">
        <w:rPr>
          <w:rFonts w:cs="Arial"/>
          <w:sz w:val="16"/>
          <w:szCs w:val="16"/>
          <w:rtl/>
        </w:rPr>
        <w:t>(סי' א)</w:t>
      </w:r>
      <w:r>
        <w:rPr>
          <w:rFonts w:cs="Arial" w:hint="cs"/>
          <w:rtl/>
        </w:rPr>
        <w:t xml:space="preserve"> וטור- </w:t>
      </w:r>
      <w:r w:rsidRPr="00B345A5">
        <w:rPr>
          <w:rFonts w:cs="Arial"/>
          <w:rtl/>
        </w:rPr>
        <w:t>בד"א במקרקעי</w:t>
      </w:r>
      <w:r>
        <w:rPr>
          <w:rFonts w:cs="Arial" w:hint="cs"/>
          <w:rtl/>
        </w:rPr>
        <w:t>,</w:t>
      </w:r>
      <w:r w:rsidRPr="00B345A5">
        <w:rPr>
          <w:rFonts w:cs="Arial"/>
          <w:rtl/>
        </w:rPr>
        <w:t xml:space="preserve"> אבל במטלטלי אם הנכסים מועטים </w:t>
      </w:r>
      <w:r>
        <w:rPr>
          <w:rFonts w:cs="Arial" w:hint="cs"/>
          <w:rtl/>
        </w:rPr>
        <w:t xml:space="preserve">- </w:t>
      </w:r>
      <w:r w:rsidRPr="00B345A5">
        <w:rPr>
          <w:rFonts w:cs="Arial"/>
          <w:rtl/>
        </w:rPr>
        <w:t>יזונו אלו ואלו יחד עד שיכלו</w:t>
      </w:r>
      <w:r>
        <w:rPr>
          <w:rFonts w:cs="Arial" w:hint="cs"/>
          <w:rtl/>
        </w:rPr>
        <w:t>.</w:t>
      </w:r>
      <w:r w:rsidRPr="00B345A5">
        <w:rPr>
          <w:rFonts w:cs="Arial"/>
          <w:rtl/>
        </w:rPr>
        <w:t xml:space="preserve"> דכיון שאינ</w:t>
      </w:r>
      <w:r>
        <w:rPr>
          <w:rFonts w:cs="Arial" w:hint="cs"/>
          <w:rtl/>
        </w:rPr>
        <w:t>ן</w:t>
      </w:r>
      <w:r w:rsidRPr="00B345A5">
        <w:rPr>
          <w:rFonts w:cs="Arial"/>
          <w:rtl/>
        </w:rPr>
        <w:t xml:space="preserve"> ניזונות אלא בתקנת הגאונים</w:t>
      </w:r>
      <w:r>
        <w:rPr>
          <w:rFonts w:cs="Arial" w:hint="cs"/>
          <w:rtl/>
        </w:rPr>
        <w:t>,</w:t>
      </w:r>
      <w:r w:rsidRPr="00B345A5">
        <w:rPr>
          <w:rFonts w:cs="Arial"/>
          <w:rtl/>
        </w:rPr>
        <w:t xml:space="preserve"> די להן שיהיו כבנים</w:t>
      </w:r>
      <w:r>
        <w:rPr>
          <w:rFonts w:cs="Arial" w:hint="cs"/>
          <w:rtl/>
        </w:rPr>
        <w:t>,</w:t>
      </w:r>
      <w:r w:rsidRPr="00B345A5">
        <w:rPr>
          <w:rFonts w:cs="Arial"/>
          <w:rtl/>
        </w:rPr>
        <w:t xml:space="preserve"> ולא שיפה כחן יותר מן הבנים ליקח הכל</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5A892B7C" w14:textId="77777777" w:rsidR="002E5BAD" w:rsidRPr="009B5382" w:rsidRDefault="002E5BAD" w:rsidP="002E5BAD">
      <w:pPr>
        <w:ind w:left="360"/>
        <w:rPr>
          <w:u w:val="dotted"/>
        </w:rPr>
      </w:pPr>
      <w:r w:rsidRPr="009B5382">
        <w:rPr>
          <w:rFonts w:hint="cs"/>
          <w:u w:val="dotted"/>
          <w:rtl/>
        </w:rPr>
        <w:t xml:space="preserve">ומה הדין השתא שכותבים בכתובה מטלטלי אגב מקרקעי: </w:t>
      </w:r>
    </w:p>
    <w:p w14:paraId="5B56184D" w14:textId="77777777" w:rsidR="002E5BAD" w:rsidRDefault="002E5BAD" w:rsidP="00B75458">
      <w:pPr>
        <w:pStyle w:val="ab"/>
        <w:numPr>
          <w:ilvl w:val="0"/>
          <w:numId w:val="195"/>
        </w:numPr>
      </w:pPr>
      <w:r>
        <w:rPr>
          <w:rFonts w:cs="Arial" w:hint="cs"/>
          <w:rtl/>
        </w:rPr>
        <w:t xml:space="preserve">ב"י- </w:t>
      </w:r>
      <w:r w:rsidRPr="009B5382">
        <w:rPr>
          <w:rFonts w:cs="Arial"/>
          <w:rtl/>
        </w:rPr>
        <w:t>השתא דכותבין בכל הכתובות שהוא משעבד מטלטלי אגב מקרקעי איפשר דלענין מזון הבנות נמי דין מטלטלי כמקרקעי</w:t>
      </w:r>
      <w:r>
        <w:rPr>
          <w:rStyle w:val="a7"/>
          <w:rFonts w:cs="Arial"/>
          <w:rtl/>
        </w:rPr>
        <w:footnoteReference w:id="2934"/>
      </w:r>
      <w:r>
        <w:rPr>
          <w:rFonts w:cs="Arial" w:hint="cs"/>
          <w:rtl/>
        </w:rPr>
        <w:t>.</w:t>
      </w:r>
      <w:r>
        <w:rPr>
          <w:rFonts w:hint="cs"/>
          <w:rtl/>
        </w:rPr>
        <w:t xml:space="preserve"> </w:t>
      </w:r>
      <w:r w:rsidRPr="00F338F4">
        <w:rPr>
          <w:rFonts w:hint="cs"/>
          <w:color w:val="00B0F0"/>
          <w:rtl/>
        </w:rPr>
        <w:t>(וכ"כ הרמ"א)</w:t>
      </w:r>
    </w:p>
    <w:p w14:paraId="10EF1D2A" w14:textId="77777777" w:rsidR="002E5BAD" w:rsidRPr="009F258A" w:rsidRDefault="002E5BAD" w:rsidP="002E5BAD">
      <w:pPr>
        <w:rPr>
          <w:u w:val="single"/>
        </w:rPr>
      </w:pPr>
      <w:r>
        <w:rPr>
          <w:rFonts w:hint="cs"/>
          <w:u w:val="single"/>
          <w:rtl/>
        </w:rPr>
        <w:t xml:space="preserve">חלוקת נכסים כשיש </w:t>
      </w:r>
      <w:r w:rsidRPr="009F258A">
        <w:rPr>
          <w:rFonts w:cs="Arial"/>
          <w:u w:val="single"/>
          <w:rtl/>
        </w:rPr>
        <w:t>מטלטלי ומקרקעי</w:t>
      </w:r>
      <w:r w:rsidRPr="009F258A">
        <w:rPr>
          <w:rFonts w:cs="Arial" w:hint="cs"/>
          <w:u w:val="single"/>
          <w:rtl/>
        </w:rPr>
        <w:t>,</w:t>
      </w:r>
      <w:r w:rsidRPr="009F258A">
        <w:rPr>
          <w:rFonts w:cs="Arial"/>
          <w:u w:val="single"/>
          <w:rtl/>
        </w:rPr>
        <w:t xml:space="preserve"> והמקרקעי הם מועטי</w:t>
      </w:r>
      <w:r w:rsidRPr="009F258A">
        <w:rPr>
          <w:rFonts w:cs="Arial" w:hint="cs"/>
          <w:u w:val="single"/>
          <w:rtl/>
        </w:rPr>
        <w:t>ם,</w:t>
      </w:r>
      <w:r w:rsidRPr="009F258A">
        <w:rPr>
          <w:rFonts w:cs="Arial"/>
          <w:u w:val="single"/>
          <w:rtl/>
        </w:rPr>
        <w:t xml:space="preserve"> וע"י המטלטלים יהיו מרובי</w:t>
      </w:r>
      <w:r w:rsidRPr="009F258A">
        <w:rPr>
          <w:rFonts w:cs="Arial" w:hint="cs"/>
          <w:u w:val="single"/>
          <w:rtl/>
        </w:rPr>
        <w:t>ם:</w:t>
      </w:r>
    </w:p>
    <w:p w14:paraId="403E89E8" w14:textId="77777777" w:rsidR="002E5BAD" w:rsidRPr="00EF7111" w:rsidRDefault="002E5BAD" w:rsidP="00B75458">
      <w:pPr>
        <w:pStyle w:val="ab"/>
        <w:numPr>
          <w:ilvl w:val="0"/>
          <w:numId w:val="195"/>
        </w:numPr>
      </w:pPr>
      <w:r>
        <w:rPr>
          <w:rFonts w:cs="Arial"/>
          <w:rtl/>
        </w:rPr>
        <w:t xml:space="preserve">רא"ש </w:t>
      </w:r>
      <w:r w:rsidRPr="003F1E52">
        <w:rPr>
          <w:rFonts w:cs="Arial"/>
          <w:sz w:val="16"/>
          <w:szCs w:val="16"/>
          <w:rtl/>
        </w:rPr>
        <w:t>(</w:t>
      </w:r>
      <w:r>
        <w:rPr>
          <w:rFonts w:cs="Arial" w:hint="cs"/>
          <w:sz w:val="16"/>
          <w:szCs w:val="16"/>
          <w:rtl/>
        </w:rPr>
        <w:t xml:space="preserve">פ' מי שמת </w:t>
      </w:r>
      <w:r w:rsidRPr="003F1E52">
        <w:rPr>
          <w:rFonts w:cs="Arial"/>
          <w:sz w:val="16"/>
          <w:szCs w:val="16"/>
          <w:rtl/>
        </w:rPr>
        <w:t>סי' א)</w:t>
      </w:r>
      <w:r>
        <w:rPr>
          <w:rFonts w:cs="Arial" w:hint="cs"/>
          <w:rtl/>
        </w:rPr>
        <w:t xml:space="preserve"> וטור- </w:t>
      </w:r>
      <w:r w:rsidRPr="00B345A5">
        <w:rPr>
          <w:rFonts w:cs="Arial"/>
          <w:rtl/>
        </w:rPr>
        <w:t>ואם יש מטלטלי ומקרקעי והמקרקעי הם מועטי</w:t>
      </w:r>
      <w:r>
        <w:rPr>
          <w:rFonts w:cs="Arial" w:hint="cs"/>
          <w:rtl/>
        </w:rPr>
        <w:t>ם</w:t>
      </w:r>
      <w:r w:rsidRPr="00B345A5">
        <w:rPr>
          <w:rFonts w:cs="Arial"/>
          <w:rtl/>
        </w:rPr>
        <w:t xml:space="preserve"> וע"י המטלטלים יהיו מרובים </w:t>
      </w:r>
      <w:r>
        <w:rPr>
          <w:rFonts w:cs="Arial" w:hint="cs"/>
          <w:rtl/>
        </w:rPr>
        <w:t xml:space="preserve">- </w:t>
      </w:r>
      <w:r w:rsidRPr="00B345A5">
        <w:rPr>
          <w:rFonts w:cs="Arial"/>
          <w:rtl/>
        </w:rPr>
        <w:t>יירשו הבנים</w:t>
      </w:r>
      <w:r>
        <w:rPr>
          <w:rFonts w:cs="Arial" w:hint="cs"/>
          <w:rtl/>
        </w:rPr>
        <w:t>,</w:t>
      </w:r>
      <w:r w:rsidRPr="00B345A5">
        <w:rPr>
          <w:rFonts w:cs="Arial"/>
          <w:rtl/>
        </w:rPr>
        <w:t xml:space="preserve"> ואין הבנות יכולות לומר כיון ששיעבודנו על הקרקע</w:t>
      </w:r>
      <w:r>
        <w:rPr>
          <w:rFonts w:cs="Arial" w:hint="cs"/>
          <w:rtl/>
        </w:rPr>
        <w:t>,</w:t>
      </w:r>
      <w:r w:rsidRPr="00B345A5">
        <w:rPr>
          <w:rFonts w:cs="Arial"/>
          <w:rtl/>
        </w:rPr>
        <w:t xml:space="preserve"> והרי הן מועטים</w:t>
      </w:r>
      <w:r>
        <w:rPr>
          <w:rFonts w:cs="Arial" w:hint="cs"/>
          <w:rtl/>
        </w:rPr>
        <w:t>,</w:t>
      </w:r>
      <w:r w:rsidRPr="00B345A5">
        <w:rPr>
          <w:rFonts w:cs="Arial"/>
          <w:rtl/>
        </w:rPr>
        <w:t xml:space="preserve"> יפרשו לנו מזונותינו</w:t>
      </w:r>
      <w:r>
        <w:rPr>
          <w:rFonts w:cs="Arial" w:hint="cs"/>
          <w:rtl/>
        </w:rPr>
        <w:t>.</w:t>
      </w:r>
      <w:r w:rsidRPr="00B345A5">
        <w:rPr>
          <w:rFonts w:cs="Arial"/>
          <w:rtl/>
        </w:rPr>
        <w:t xml:space="preserve"> אלא המטלטלין מצטרפין עם המקרקעי לעשות מרובים</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3A3D653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60EA50" w14:textId="77777777" w:rsidR="002E5BAD" w:rsidRDefault="002E5BAD" w:rsidP="002E5BAD">
      <w:pPr>
        <w:rPr>
          <w:rFonts w:cs="Arial"/>
          <w:sz w:val="18"/>
          <w:szCs w:val="18"/>
          <w:rtl/>
        </w:rPr>
      </w:pPr>
      <w:r w:rsidRPr="00523CDE">
        <w:rPr>
          <w:rFonts w:cs="Arial"/>
          <w:rtl/>
        </w:rPr>
        <w:t>ב</w:t>
      </w:r>
      <w:r>
        <w:rPr>
          <w:rFonts w:cs="Arial" w:hint="cs"/>
          <w:rtl/>
        </w:rPr>
        <w:t>מה דברים אמורים</w:t>
      </w:r>
      <w:r w:rsidRPr="00523CDE">
        <w:rPr>
          <w:rFonts w:cs="Arial"/>
          <w:rtl/>
        </w:rPr>
        <w:t>, כשהניח קרקע. אבל אם לא הניח אלא מטלטלין, אם הנכסים מועטים יזונו אלו ואלו יחד</w:t>
      </w:r>
      <w:r>
        <w:rPr>
          <w:rStyle w:val="a7"/>
          <w:rFonts w:cs="Arial"/>
          <w:rtl/>
        </w:rPr>
        <w:footnoteReference w:id="2935"/>
      </w:r>
      <w:r w:rsidRPr="00523CDE">
        <w:rPr>
          <w:rFonts w:cs="Arial"/>
          <w:rtl/>
        </w:rPr>
        <w:t xml:space="preserve"> עד שיכלו</w:t>
      </w:r>
      <w:r>
        <w:rPr>
          <w:rFonts w:cs="Arial" w:hint="cs"/>
          <w:rtl/>
        </w:rPr>
        <w:t>.</w:t>
      </w:r>
      <w:r w:rsidRPr="00523CDE">
        <w:rPr>
          <w:rFonts w:cs="Arial"/>
          <w:rtl/>
        </w:rPr>
        <w:t xml:space="preserve"> דכיון שאינן נזונות אלא בתקנת הגאונים</w:t>
      </w:r>
      <w:r>
        <w:rPr>
          <w:rFonts w:cs="Arial" w:hint="cs"/>
          <w:rtl/>
        </w:rPr>
        <w:t>,</w:t>
      </w:r>
      <w:r w:rsidRPr="00523CDE">
        <w:rPr>
          <w:rFonts w:cs="Arial"/>
          <w:rtl/>
        </w:rPr>
        <w:t xml:space="preserve"> די שתהיינה כבנים ולא שיפה כחן יותר מהבנים. ואם הניח מטלטלין ומקרקעי, והמקרקעי הם מועטים</w:t>
      </w:r>
      <w:r>
        <w:rPr>
          <w:rFonts w:cs="Arial" w:hint="cs"/>
          <w:rtl/>
        </w:rPr>
        <w:t>,</w:t>
      </w:r>
      <w:r w:rsidRPr="00523CDE">
        <w:rPr>
          <w:rFonts w:cs="Arial"/>
          <w:rtl/>
        </w:rPr>
        <w:t xml:space="preserve"> וע</w:t>
      </w:r>
      <w:r>
        <w:rPr>
          <w:rFonts w:cs="Arial" w:hint="cs"/>
          <w:rtl/>
        </w:rPr>
        <w:t>ל ידי</w:t>
      </w:r>
      <w:r w:rsidRPr="00523CDE">
        <w:rPr>
          <w:rFonts w:cs="Arial"/>
          <w:rtl/>
        </w:rPr>
        <w:t xml:space="preserve"> המטלטלים יהיו מרובים, יירשו הבנים. </w:t>
      </w:r>
      <w:r w:rsidRPr="003F4D9E">
        <w:rPr>
          <w:rFonts w:cs="Arial"/>
          <w:sz w:val="18"/>
          <w:szCs w:val="18"/>
          <w:rtl/>
        </w:rPr>
        <w:t>הגה: מיהו במקום שכותבין בכתובות מטלטלין אגב קרקע, איכא למימר דמטלטלין הוי כמו קרקע (ב"י), וכמו ש</w:t>
      </w:r>
      <w:r>
        <w:rPr>
          <w:rFonts w:cs="Arial" w:hint="cs"/>
          <w:sz w:val="18"/>
          <w:szCs w:val="18"/>
          <w:rtl/>
        </w:rPr>
        <w:t>נ</w:t>
      </w:r>
      <w:r w:rsidRPr="003F4D9E">
        <w:rPr>
          <w:rFonts w:cs="Arial"/>
          <w:sz w:val="18"/>
          <w:szCs w:val="18"/>
          <w:rtl/>
        </w:rPr>
        <w:t xml:space="preserve">תבאר לעיל סימן קי"א סעיף י"ד. </w:t>
      </w:r>
    </w:p>
    <w:p w14:paraId="0109D828" w14:textId="77777777" w:rsidR="002E5BAD" w:rsidRPr="00523CDE" w:rsidRDefault="002E5BAD" w:rsidP="002E5BAD">
      <w:pPr>
        <w:rPr>
          <w:rFonts w:cs="Arial"/>
          <w:rtl/>
        </w:rPr>
      </w:pPr>
    </w:p>
    <w:p w14:paraId="71B628E1" w14:textId="77777777" w:rsidR="002E5BAD" w:rsidRDefault="002E5BAD" w:rsidP="002E5BAD">
      <w:pPr>
        <w:pStyle w:val="2"/>
        <w:rPr>
          <w:rtl/>
        </w:rPr>
      </w:pPr>
      <w:r w:rsidRPr="00523CDE">
        <w:rPr>
          <w:rtl/>
        </w:rPr>
        <w:t>סעיף יג</w:t>
      </w:r>
      <w:r>
        <w:rPr>
          <w:rFonts w:hint="cs"/>
          <w:rtl/>
        </w:rPr>
        <w:t>: נכסים מרובים ונתמעטו.</w:t>
      </w:r>
    </w:p>
    <w:p w14:paraId="744B4256" w14:textId="77777777" w:rsidR="002E5BAD" w:rsidRPr="0001487A" w:rsidRDefault="002E5BAD" w:rsidP="002E5BAD">
      <w:pPr>
        <w:rPr>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01487A">
        <w:rPr>
          <w:rFonts w:cs="Arial"/>
          <w:rtl/>
        </w:rPr>
        <w:t>פשיטא, מרובין ונתמעטו</w:t>
      </w:r>
      <w:r>
        <w:rPr>
          <w:rStyle w:val="a7"/>
          <w:rFonts w:cs="Arial"/>
          <w:rtl/>
        </w:rPr>
        <w:footnoteReference w:id="2936"/>
      </w:r>
      <w:r w:rsidRPr="0001487A">
        <w:rPr>
          <w:rFonts w:cs="Arial"/>
          <w:rtl/>
        </w:rPr>
        <w:t xml:space="preserve"> - כבר זכו בהן יורשין</w:t>
      </w:r>
      <w:r>
        <w:rPr>
          <w:rStyle w:val="a7"/>
          <w:rtl/>
        </w:rPr>
        <w:footnoteReference w:id="2937"/>
      </w:r>
      <w:r>
        <w:rPr>
          <w:rFonts w:hint="cs"/>
          <w:rtl/>
        </w:rPr>
        <w:t>.</w:t>
      </w:r>
      <w:r w:rsidRPr="007038B3">
        <w:rPr>
          <w:rFonts w:cs="Arial"/>
          <w:rtl/>
        </w:rPr>
        <w:t xml:space="preserve"> </w:t>
      </w:r>
      <w:r w:rsidRPr="007038B3">
        <w:rPr>
          <w:rFonts w:cs="Arial" w:hint="cs"/>
          <w:sz w:val="16"/>
          <w:szCs w:val="16"/>
          <w:rtl/>
        </w:rPr>
        <w:t>(</w:t>
      </w:r>
      <w:r w:rsidRPr="007038B3">
        <w:rPr>
          <w:rFonts w:cs="Arial"/>
          <w:sz w:val="16"/>
          <w:szCs w:val="16"/>
          <w:rtl/>
        </w:rPr>
        <w:t>וכתב הרב המגיד (פי"ט הי"ט) אפילו נתמעטו קודם שיבואו לב"ד כיון שבשעת מיתה היו מרובים זכו הבנים</w:t>
      </w:r>
      <w:r>
        <w:rPr>
          <w:rFonts w:cs="Arial" w:hint="cs"/>
          <w:sz w:val="16"/>
          <w:szCs w:val="16"/>
          <w:rtl/>
        </w:rPr>
        <w:t>, ב"י)</w:t>
      </w:r>
    </w:p>
    <w:p w14:paraId="063CD9B4" w14:textId="77777777" w:rsidR="002E5BAD" w:rsidRPr="0001487A" w:rsidRDefault="002E5BAD" w:rsidP="002E5BAD">
      <w:pPr>
        <w:rPr>
          <w:u w:val="single"/>
          <w:rtl/>
        </w:rPr>
      </w:pPr>
      <w:r w:rsidRPr="0001487A">
        <w:rPr>
          <w:rFonts w:hint="cs"/>
          <w:u w:val="single"/>
          <w:rtl/>
        </w:rPr>
        <w:t>היו נכסים מרובים בשעת מיתה ונתמעטו:</w:t>
      </w:r>
    </w:p>
    <w:p w14:paraId="677876A0" w14:textId="77777777" w:rsidR="002E5BAD" w:rsidRPr="0001487A" w:rsidRDefault="002E5BAD" w:rsidP="00B75458">
      <w:pPr>
        <w:pStyle w:val="ab"/>
        <w:numPr>
          <w:ilvl w:val="0"/>
          <w:numId w:val="195"/>
        </w:numPr>
      </w:pPr>
      <w:r>
        <w:rPr>
          <w:rFonts w:cs="Arial" w:hint="cs"/>
          <w:rtl/>
        </w:rPr>
        <w:t xml:space="preserve">רא"ש </w:t>
      </w:r>
      <w:r w:rsidRPr="007038B3">
        <w:rPr>
          <w:rFonts w:cs="Arial"/>
          <w:sz w:val="16"/>
          <w:szCs w:val="16"/>
          <w:rtl/>
        </w:rPr>
        <w:t>(סי' ב)</w:t>
      </w:r>
      <w:r>
        <w:rPr>
          <w:rFonts w:cs="Arial" w:hint="cs"/>
          <w:sz w:val="16"/>
          <w:szCs w:val="16"/>
          <w:rtl/>
        </w:rPr>
        <w:t xml:space="preserve"> </w:t>
      </w:r>
      <w:r>
        <w:rPr>
          <w:rFonts w:cs="Arial" w:hint="cs"/>
          <w:rtl/>
        </w:rPr>
        <w:t xml:space="preserve">וטור- </w:t>
      </w:r>
      <w:r w:rsidRPr="00B345A5">
        <w:rPr>
          <w:rFonts w:cs="Arial"/>
          <w:rtl/>
        </w:rPr>
        <w:t xml:space="preserve">היו מרובים בשעת מיתה ונתמעטו </w:t>
      </w:r>
      <w:r>
        <w:rPr>
          <w:rFonts w:cs="Arial" w:hint="cs"/>
          <w:rtl/>
        </w:rPr>
        <w:t xml:space="preserve">- </w:t>
      </w:r>
      <w:r w:rsidRPr="00B345A5">
        <w:rPr>
          <w:rFonts w:cs="Arial"/>
          <w:rtl/>
        </w:rPr>
        <w:t>כבר זכו בהן הבנים</w:t>
      </w:r>
      <w:r>
        <w:rPr>
          <w:rFonts w:cs="Arial" w:hint="cs"/>
          <w:rtl/>
        </w:rPr>
        <w:t>,</w:t>
      </w:r>
      <w:r w:rsidRPr="00B345A5">
        <w:rPr>
          <w:rFonts w:cs="Arial"/>
          <w:rtl/>
        </w:rPr>
        <w:t xml:space="preserve"> ויש להן דין מרובים</w:t>
      </w:r>
      <w:r>
        <w:rPr>
          <w:rStyle w:val="a7"/>
          <w:rFonts w:cs="Arial"/>
          <w:rtl/>
        </w:rPr>
        <w:footnoteReference w:id="2938"/>
      </w:r>
      <w:r>
        <w:rPr>
          <w:rFonts w:cs="Arial" w:hint="cs"/>
          <w:rtl/>
        </w:rPr>
        <w:t>,</w:t>
      </w:r>
      <w:r w:rsidRPr="00B345A5">
        <w:rPr>
          <w:rFonts w:cs="Arial"/>
          <w:rtl/>
        </w:rPr>
        <w:t xml:space="preserve"> ויזונו יחד עד שיכלו הנכסים</w:t>
      </w:r>
      <w:r>
        <w:rPr>
          <w:rStyle w:val="a7"/>
          <w:rFonts w:cs="Arial"/>
          <w:rtl/>
        </w:rPr>
        <w:footnoteReference w:id="2939"/>
      </w:r>
      <w:r>
        <w:rPr>
          <w:rFonts w:cs="Arial" w:hint="cs"/>
          <w:sz w:val="16"/>
          <w:szCs w:val="16"/>
          <w:rtl/>
        </w:rPr>
        <w:t xml:space="preserve"> (ל' הטור)</w:t>
      </w:r>
      <w:r>
        <w:rPr>
          <w:rFonts w:cs="Arial" w:hint="cs"/>
          <w:rtl/>
        </w:rPr>
        <w:t>.</w:t>
      </w:r>
      <w:r>
        <w:rPr>
          <w:rFonts w:hint="cs"/>
          <w:rtl/>
        </w:rPr>
        <w:t xml:space="preserve"> </w:t>
      </w:r>
      <w:r w:rsidRPr="00EA5C7B">
        <w:rPr>
          <w:rFonts w:hint="cs"/>
          <w:color w:val="E36C0A" w:themeColor="accent6" w:themeShade="BF"/>
          <w:rtl/>
        </w:rPr>
        <w:t>(וכ"פ בשו"ע)</w:t>
      </w:r>
      <w:r>
        <w:rPr>
          <w:rFonts w:hint="cs"/>
          <w:rtl/>
        </w:rPr>
        <w:t xml:space="preserve"> </w:t>
      </w:r>
    </w:p>
    <w:p w14:paraId="136BC6B9" w14:textId="77777777" w:rsidR="002E5BAD" w:rsidRPr="00F16681" w:rsidRDefault="002E5BAD" w:rsidP="00B75458">
      <w:pPr>
        <w:pStyle w:val="ab"/>
        <w:numPr>
          <w:ilvl w:val="0"/>
          <w:numId w:val="195"/>
        </w:numPr>
        <w:rPr>
          <w:rtl/>
        </w:rPr>
      </w:pPr>
      <w:r w:rsidRPr="0001487A">
        <w:rPr>
          <w:rFonts w:cs="Arial"/>
          <w:rtl/>
        </w:rPr>
        <w:t xml:space="preserve">רשב"ם </w:t>
      </w:r>
      <w:r>
        <w:rPr>
          <w:rFonts w:cs="Arial" w:hint="cs"/>
          <w:sz w:val="16"/>
          <w:szCs w:val="16"/>
          <w:rtl/>
        </w:rPr>
        <w:t xml:space="preserve">(שם) </w:t>
      </w:r>
      <w:r>
        <w:rPr>
          <w:rFonts w:cs="Arial" w:hint="cs"/>
          <w:rtl/>
        </w:rPr>
        <w:t>ורמ"ה</w:t>
      </w:r>
      <w:r>
        <w:rPr>
          <w:rFonts w:cs="Arial" w:hint="cs"/>
          <w:sz w:val="16"/>
          <w:szCs w:val="16"/>
          <w:rtl/>
        </w:rPr>
        <w:t xml:space="preserve"> (כ"כ הטור בשמו)</w:t>
      </w:r>
      <w:r>
        <w:rPr>
          <w:rFonts w:cs="Arial" w:hint="cs"/>
          <w:rtl/>
        </w:rPr>
        <w:t xml:space="preserve">- </w:t>
      </w:r>
      <w:r w:rsidRPr="0001487A">
        <w:rPr>
          <w:rFonts w:cs="Arial"/>
          <w:rtl/>
        </w:rPr>
        <w:t>שמין כמה הגיע לבנות במזונותיהן עד שיבגרו</w:t>
      </w:r>
      <w:r w:rsidRPr="0001487A">
        <w:rPr>
          <w:rFonts w:cs="Arial" w:hint="cs"/>
          <w:rtl/>
        </w:rPr>
        <w:t>,</w:t>
      </w:r>
      <w:r w:rsidRPr="0001487A">
        <w:rPr>
          <w:rFonts w:cs="Arial"/>
          <w:rtl/>
        </w:rPr>
        <w:t xml:space="preserve"> ולבנים כירושתן</w:t>
      </w:r>
      <w:r w:rsidRPr="0001487A">
        <w:rPr>
          <w:rFonts w:cs="Arial" w:hint="cs"/>
          <w:rtl/>
        </w:rPr>
        <w:t>,</w:t>
      </w:r>
      <w:r w:rsidRPr="0001487A">
        <w:rPr>
          <w:rFonts w:cs="Arial"/>
          <w:rtl/>
        </w:rPr>
        <w:t xml:space="preserve"> ורואין כמה נפחתו מהנכסים</w:t>
      </w:r>
      <w:r w:rsidRPr="0001487A">
        <w:rPr>
          <w:rFonts w:cs="Arial" w:hint="cs"/>
          <w:rtl/>
        </w:rPr>
        <w:t>,</w:t>
      </w:r>
      <w:r w:rsidRPr="0001487A">
        <w:rPr>
          <w:rFonts w:cs="Arial"/>
          <w:rtl/>
        </w:rPr>
        <w:t xml:space="preserve"> ויפסיד כל אחד בפחות כפי שיעור שהיה לו בנכסים</w:t>
      </w:r>
      <w:r w:rsidRPr="0001487A">
        <w:rPr>
          <w:rFonts w:cs="Arial" w:hint="cs"/>
          <w:rtl/>
        </w:rPr>
        <w:t>.</w:t>
      </w:r>
      <w:r w:rsidRPr="0001487A">
        <w:rPr>
          <w:rFonts w:cs="Arial"/>
          <w:rtl/>
        </w:rPr>
        <w:t xml:space="preserve"> ולפ"ז אפשר שכלה חלק הבנות ועדיין חלק הבנים קיים ואפ"ה אין הבנות ניזונות עמהם</w:t>
      </w:r>
      <w:r>
        <w:rPr>
          <w:rFonts w:cs="Arial" w:hint="cs"/>
          <w:sz w:val="16"/>
          <w:szCs w:val="16"/>
          <w:rtl/>
        </w:rPr>
        <w:t xml:space="preserve"> (ל' הטור בשם הרשב"ם)</w:t>
      </w:r>
      <w:r w:rsidRPr="007038B3">
        <w:rPr>
          <w:rFonts w:cs="Arial" w:hint="cs"/>
          <w:rtl/>
        </w:rPr>
        <w:t>.</w:t>
      </w:r>
    </w:p>
    <w:p w14:paraId="28B35E9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403686" w14:textId="77777777" w:rsidR="002E5BAD" w:rsidRDefault="002E5BAD" w:rsidP="002E5BAD">
      <w:pPr>
        <w:rPr>
          <w:rFonts w:cs="Arial"/>
          <w:rtl/>
        </w:rPr>
      </w:pPr>
      <w:r w:rsidRPr="00523CDE">
        <w:rPr>
          <w:rFonts w:cs="Arial"/>
          <w:rtl/>
        </w:rPr>
        <w:t>היו מרובים בשעת מיתה</w:t>
      </w:r>
      <w:r>
        <w:rPr>
          <w:rFonts w:cs="Arial" w:hint="cs"/>
          <w:rtl/>
        </w:rPr>
        <w:t>,</w:t>
      </w:r>
      <w:r w:rsidRPr="00523CDE">
        <w:rPr>
          <w:rFonts w:cs="Arial"/>
          <w:rtl/>
        </w:rPr>
        <w:t xml:space="preserve"> </w:t>
      </w:r>
      <w:r>
        <w:rPr>
          <w:rFonts w:cs="Arial" w:hint="cs"/>
          <w:rtl/>
        </w:rPr>
        <w:t>ו</w:t>
      </w:r>
      <w:r w:rsidRPr="00523CDE">
        <w:rPr>
          <w:rFonts w:cs="Arial"/>
          <w:rtl/>
        </w:rPr>
        <w:t xml:space="preserve">נתמעטו אחר כך, כבר זכו בהם הבנים ויש להם דין מרובים. </w:t>
      </w:r>
    </w:p>
    <w:p w14:paraId="2E787598" w14:textId="77777777" w:rsidR="002E5BAD" w:rsidRPr="00523CDE" w:rsidRDefault="002E5BAD" w:rsidP="002E5BAD">
      <w:pPr>
        <w:rPr>
          <w:rFonts w:cs="Arial"/>
          <w:rtl/>
        </w:rPr>
      </w:pPr>
    </w:p>
    <w:p w14:paraId="5E44038F" w14:textId="77777777" w:rsidR="002E5BAD" w:rsidRDefault="002E5BAD" w:rsidP="002E5BAD">
      <w:pPr>
        <w:pStyle w:val="2"/>
        <w:rPr>
          <w:rtl/>
        </w:rPr>
      </w:pPr>
      <w:r w:rsidRPr="00523CDE">
        <w:rPr>
          <w:rtl/>
        </w:rPr>
        <w:lastRenderedPageBreak/>
        <w:t>סעיף יד</w:t>
      </w:r>
      <w:r>
        <w:rPr>
          <w:rFonts w:hint="cs"/>
          <w:rtl/>
        </w:rPr>
        <w:t>: נכסים מועטים ונתרבו.</w:t>
      </w:r>
    </w:p>
    <w:p w14:paraId="72497FC1" w14:textId="77777777" w:rsidR="002E5BAD" w:rsidRPr="00D535F4" w:rsidRDefault="002E5BAD" w:rsidP="002E5BAD">
      <w:pPr>
        <w:rPr>
          <w:rFonts w:cs="Arial"/>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01487A">
        <w:rPr>
          <w:rFonts w:cs="Arial"/>
          <w:rtl/>
        </w:rPr>
        <w:t>פשיטא, מרובין ונתמעטו - כבר זכו בהן יורשין</w:t>
      </w:r>
      <w:r>
        <w:rPr>
          <w:rFonts w:cs="Arial" w:hint="cs"/>
          <w:rtl/>
        </w:rPr>
        <w:t>.</w:t>
      </w:r>
      <w:r w:rsidRPr="00E66C1A">
        <w:rPr>
          <w:rFonts w:cs="Arial"/>
          <w:rtl/>
        </w:rPr>
        <w:t xml:space="preserve"> מועטין ונתרבו</w:t>
      </w:r>
      <w:r>
        <w:rPr>
          <w:rStyle w:val="a7"/>
          <w:rFonts w:cs="Arial"/>
          <w:rtl/>
        </w:rPr>
        <w:footnoteReference w:id="2940"/>
      </w:r>
      <w:r w:rsidRPr="00E66C1A">
        <w:rPr>
          <w:rFonts w:cs="Arial"/>
          <w:rtl/>
        </w:rPr>
        <w:t xml:space="preserve"> מאי? ברשות יורשין קיימי, הלכך ברשות יורשין שבוח, או דלמא סלוקי מסלקי יורשין מהכא? תא שמע, </w:t>
      </w:r>
      <w:r w:rsidRPr="00E66C1A">
        <w:rPr>
          <w:rFonts w:cs="Arial"/>
          <w:u w:val="single"/>
          <w:rtl/>
        </w:rPr>
        <w:t>דאמר רבי אסי אמר רבי יוחנן</w:t>
      </w:r>
      <w:r w:rsidRPr="00E66C1A">
        <w:rPr>
          <w:rFonts w:cs="Arial"/>
          <w:rtl/>
        </w:rPr>
        <w:t>: יתומין שקדמו ומכרו בנכסים מועטין - מה שמכרו מכרו.</w:t>
      </w:r>
      <w:r>
        <w:rPr>
          <w:rFonts w:cs="Arial" w:hint="cs"/>
          <w:rtl/>
        </w:rPr>
        <w:t xml:space="preserve"> </w:t>
      </w:r>
      <w:r w:rsidRPr="00D535F4">
        <w:rPr>
          <w:rFonts w:cs="Arial" w:hint="cs"/>
          <w:sz w:val="16"/>
          <w:szCs w:val="16"/>
          <w:rtl/>
        </w:rPr>
        <w:t>(</w:t>
      </w:r>
      <w:r w:rsidRPr="00D535F4">
        <w:rPr>
          <w:rFonts w:cs="Arial"/>
          <w:sz w:val="16"/>
          <w:szCs w:val="16"/>
          <w:rtl/>
        </w:rPr>
        <w:t>ופרש</w:t>
      </w:r>
      <w:r w:rsidRPr="00D535F4">
        <w:rPr>
          <w:rFonts w:cs="Arial" w:hint="cs"/>
          <w:sz w:val="16"/>
          <w:szCs w:val="16"/>
          <w:rtl/>
        </w:rPr>
        <w:t xml:space="preserve"> רשב"ם</w:t>
      </w:r>
      <w:r w:rsidRPr="00D535F4">
        <w:rPr>
          <w:rFonts w:cs="Arial"/>
          <w:sz w:val="16"/>
          <w:szCs w:val="16"/>
          <w:rtl/>
        </w:rPr>
        <w:t xml:space="preserve"> וכיון שאם מכרו מכירתן מכירה ש"מ יש להם תפיסת יד בנכסים ואם נתרבו יש להם חלק בהם וזכותן בהן עומדת</w:t>
      </w:r>
      <w:r w:rsidRPr="00D535F4">
        <w:rPr>
          <w:rFonts w:cs="Arial" w:hint="cs"/>
          <w:sz w:val="16"/>
          <w:szCs w:val="16"/>
          <w:rtl/>
        </w:rPr>
        <w:t>, ב"י)</w:t>
      </w:r>
    </w:p>
    <w:p w14:paraId="08B70428" w14:textId="77777777" w:rsidR="002E5BAD" w:rsidRPr="0049752C" w:rsidRDefault="002E5BAD" w:rsidP="002E5BAD">
      <w:pPr>
        <w:rPr>
          <w:u w:val="single"/>
          <w:rtl/>
        </w:rPr>
      </w:pPr>
      <w:r w:rsidRPr="0001487A">
        <w:rPr>
          <w:rFonts w:hint="cs"/>
          <w:u w:val="single"/>
          <w:rtl/>
        </w:rPr>
        <w:t xml:space="preserve">היו נכסים </w:t>
      </w:r>
      <w:r>
        <w:rPr>
          <w:rFonts w:hint="cs"/>
          <w:u w:val="single"/>
          <w:rtl/>
        </w:rPr>
        <w:t>מועטים</w:t>
      </w:r>
      <w:r w:rsidRPr="0001487A">
        <w:rPr>
          <w:rFonts w:hint="cs"/>
          <w:u w:val="single"/>
          <w:rtl/>
        </w:rPr>
        <w:t xml:space="preserve"> בשעת מיתה </w:t>
      </w:r>
      <w:r>
        <w:rPr>
          <w:rFonts w:hint="cs"/>
          <w:u w:val="single"/>
          <w:rtl/>
        </w:rPr>
        <w:t>ונתרבו</w:t>
      </w:r>
      <w:r w:rsidRPr="0001487A">
        <w:rPr>
          <w:rFonts w:hint="cs"/>
          <w:u w:val="single"/>
          <w:rtl/>
        </w:rPr>
        <w:t>:</w:t>
      </w:r>
    </w:p>
    <w:p w14:paraId="70271B84" w14:textId="77777777" w:rsidR="002E5BAD" w:rsidRDefault="002E5BAD" w:rsidP="00B75458">
      <w:pPr>
        <w:pStyle w:val="ab"/>
        <w:numPr>
          <w:ilvl w:val="0"/>
          <w:numId w:val="195"/>
        </w:numPr>
      </w:pPr>
      <w:r>
        <w:rPr>
          <w:rFonts w:cs="Arial" w:hint="cs"/>
          <w:rtl/>
        </w:rPr>
        <w:t>רמב"ם</w:t>
      </w:r>
      <w:r>
        <w:rPr>
          <w:rFonts w:cs="Arial" w:hint="cs"/>
          <w:sz w:val="16"/>
          <w:szCs w:val="16"/>
          <w:rtl/>
        </w:rPr>
        <w:t xml:space="preserve"> (פי"ט הי"ט)</w:t>
      </w:r>
      <w:r>
        <w:rPr>
          <w:rFonts w:cs="Arial" w:hint="cs"/>
          <w:rtl/>
        </w:rPr>
        <w:t xml:space="preserve"> וטור- </w:t>
      </w:r>
      <w:r w:rsidRPr="00B345A5">
        <w:rPr>
          <w:rFonts w:cs="Arial"/>
          <w:rtl/>
        </w:rPr>
        <w:t xml:space="preserve">וכן אם היו מועטים בשעת מיתה ונתרבו </w:t>
      </w:r>
      <w:r>
        <w:rPr>
          <w:rFonts w:cs="Arial" w:hint="cs"/>
          <w:rtl/>
        </w:rPr>
        <w:t xml:space="preserve">- </w:t>
      </w:r>
      <w:r w:rsidRPr="00B345A5">
        <w:rPr>
          <w:rFonts w:cs="Arial"/>
          <w:rtl/>
        </w:rPr>
        <w:t>יש להם דין מרובים</w:t>
      </w:r>
      <w:r>
        <w:rPr>
          <w:rFonts w:cs="Arial" w:hint="cs"/>
          <w:rtl/>
        </w:rPr>
        <w:t>.</w:t>
      </w:r>
      <w:r w:rsidRPr="00B345A5">
        <w:rPr>
          <w:rFonts w:cs="Arial"/>
          <w:rtl/>
        </w:rPr>
        <w:t xml:space="preserve"> </w:t>
      </w:r>
      <w:r w:rsidRPr="00EA5C7B">
        <w:rPr>
          <w:rFonts w:hint="cs"/>
          <w:color w:val="E36C0A" w:themeColor="accent6" w:themeShade="BF"/>
          <w:rtl/>
        </w:rPr>
        <w:t>(וכ"פ בשו"ע)</w:t>
      </w:r>
    </w:p>
    <w:p w14:paraId="27577E82" w14:textId="77777777" w:rsidR="002E5BAD" w:rsidRPr="00D535F4" w:rsidRDefault="002E5BAD" w:rsidP="002E5BAD">
      <w:pPr>
        <w:ind w:left="360"/>
        <w:rPr>
          <w:u w:val="dotted"/>
        </w:rPr>
      </w:pPr>
      <w:r>
        <w:rPr>
          <w:rFonts w:hint="cs"/>
          <w:u w:val="dotted"/>
          <w:rtl/>
        </w:rPr>
        <w:t>האם הדין כן</w:t>
      </w:r>
      <w:r w:rsidRPr="00D535F4">
        <w:rPr>
          <w:rFonts w:hint="cs"/>
          <w:u w:val="dotted"/>
          <w:rtl/>
        </w:rPr>
        <w:t xml:space="preserve"> </w:t>
      </w:r>
      <w:r>
        <w:rPr>
          <w:rFonts w:hint="cs"/>
          <w:u w:val="dotted"/>
          <w:rtl/>
        </w:rPr>
        <w:t xml:space="preserve">אף </w:t>
      </w:r>
      <w:r w:rsidRPr="00D535F4">
        <w:rPr>
          <w:rFonts w:hint="cs"/>
          <w:u w:val="dotted"/>
          <w:rtl/>
        </w:rPr>
        <w:t>אם</w:t>
      </w:r>
      <w:r w:rsidRPr="00D535F4">
        <w:rPr>
          <w:rFonts w:cs="Arial"/>
          <w:u w:val="dotted"/>
          <w:rtl/>
        </w:rPr>
        <w:t xml:space="preserve"> כבר </w:t>
      </w:r>
      <w:r w:rsidRPr="00D535F4">
        <w:rPr>
          <w:rFonts w:cs="Arial" w:hint="cs"/>
          <w:u w:val="dotted"/>
          <w:rtl/>
        </w:rPr>
        <w:t>עמדו בדין ו</w:t>
      </w:r>
      <w:r w:rsidRPr="00D535F4">
        <w:rPr>
          <w:rFonts w:cs="Arial"/>
          <w:u w:val="dotted"/>
          <w:rtl/>
        </w:rPr>
        <w:t xml:space="preserve">פסקו להם </w:t>
      </w:r>
      <w:r w:rsidRPr="00D535F4">
        <w:rPr>
          <w:rFonts w:cs="Arial" w:hint="cs"/>
          <w:u w:val="dotted"/>
          <w:rtl/>
        </w:rPr>
        <w:t xml:space="preserve">בית דין </w:t>
      </w:r>
      <w:r w:rsidRPr="00D535F4">
        <w:rPr>
          <w:rFonts w:cs="Arial"/>
          <w:u w:val="dotted"/>
          <w:rtl/>
        </w:rPr>
        <w:t>נכסים מועטים</w:t>
      </w:r>
      <w:r w:rsidRPr="00D535F4">
        <w:rPr>
          <w:rFonts w:cs="Arial" w:hint="cs"/>
          <w:u w:val="dotted"/>
          <w:rtl/>
        </w:rPr>
        <w:t>:</w:t>
      </w:r>
    </w:p>
    <w:p w14:paraId="629CF5E6" w14:textId="77777777" w:rsidR="002E5BAD" w:rsidRPr="00D535F4" w:rsidRDefault="002E5BAD" w:rsidP="00B75458">
      <w:pPr>
        <w:pStyle w:val="ab"/>
        <w:numPr>
          <w:ilvl w:val="0"/>
          <w:numId w:val="195"/>
        </w:numPr>
      </w:pPr>
      <w:r w:rsidRPr="00FF003E">
        <w:rPr>
          <w:rFonts w:cs="Arial"/>
          <w:rtl/>
        </w:rPr>
        <w:t xml:space="preserve">ר"י </w:t>
      </w:r>
      <w:r w:rsidRPr="00D63611">
        <w:rPr>
          <w:rFonts w:cs="Arial"/>
          <w:sz w:val="16"/>
          <w:szCs w:val="16"/>
          <w:rtl/>
        </w:rPr>
        <w:t>(תוס' ב"ב שם ד"ה יתומים</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D63611">
        <w:rPr>
          <w:rFonts w:cs="Arial"/>
          <w:sz w:val="16"/>
          <w:szCs w:val="16"/>
          <w:rtl/>
        </w:rPr>
        <w:t xml:space="preserve">) </w:t>
      </w:r>
      <w:r w:rsidRPr="00FF003E">
        <w:rPr>
          <w:rFonts w:cs="Arial"/>
          <w:rtl/>
        </w:rPr>
        <w:t xml:space="preserve">רשב"א </w:t>
      </w:r>
      <w:r w:rsidRPr="00D63611">
        <w:rPr>
          <w:rFonts w:cs="Arial"/>
          <w:sz w:val="16"/>
          <w:szCs w:val="16"/>
          <w:rtl/>
        </w:rPr>
        <w:t>(ב"ב שם ד"ה מועטין</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D63611">
        <w:rPr>
          <w:rFonts w:cs="Arial"/>
          <w:sz w:val="16"/>
          <w:szCs w:val="16"/>
          <w:rtl/>
        </w:rPr>
        <w:t>)</w:t>
      </w:r>
      <w:r w:rsidRPr="00D63611">
        <w:rPr>
          <w:rFonts w:cs="Arial" w:hint="cs"/>
          <w:sz w:val="16"/>
          <w:szCs w:val="16"/>
          <w:rtl/>
        </w:rPr>
        <w:t xml:space="preserve"> </w:t>
      </w:r>
      <w:r>
        <w:rPr>
          <w:rFonts w:cs="Arial" w:hint="cs"/>
          <w:rtl/>
        </w:rPr>
        <w:t>וטור</w:t>
      </w:r>
      <w:r>
        <w:rPr>
          <w:rStyle w:val="a7"/>
          <w:rFonts w:cs="Arial"/>
          <w:rtl/>
        </w:rPr>
        <w:footnoteReference w:id="2941"/>
      </w:r>
      <w:r>
        <w:rPr>
          <w:rFonts w:cs="Arial" w:hint="cs"/>
          <w:rtl/>
        </w:rPr>
        <w:t xml:space="preserve">- </w:t>
      </w:r>
      <w:r w:rsidRPr="00B345A5">
        <w:rPr>
          <w:rFonts w:cs="Arial"/>
          <w:rtl/>
        </w:rPr>
        <w:t>אפילו העמידו כבר בדין ופסקו להם ב"ד נכסים מועטים</w:t>
      </w:r>
      <w:r>
        <w:rPr>
          <w:rFonts w:cs="Arial" w:hint="cs"/>
          <w:rtl/>
        </w:rPr>
        <w:t>,</w:t>
      </w:r>
      <w:r w:rsidRPr="00B345A5">
        <w:rPr>
          <w:rFonts w:cs="Arial"/>
          <w:rtl/>
        </w:rPr>
        <w:t xml:space="preserve"> כיון שנתרבו חזרו לדין מרובים</w:t>
      </w:r>
      <w:r>
        <w:rPr>
          <w:rFonts w:cs="Arial" w:hint="cs"/>
          <w:rtl/>
        </w:rPr>
        <w:t>,</w:t>
      </w:r>
      <w:r w:rsidRPr="00B345A5">
        <w:rPr>
          <w:rFonts w:cs="Arial"/>
          <w:rtl/>
        </w:rPr>
        <w:t xml:space="preserve"> ויעמידום בחזקת הבנים והם יזונו הבנות מדי יום יום</w:t>
      </w:r>
      <w:r>
        <w:rPr>
          <w:rFonts w:cs="Arial" w:hint="cs"/>
          <w:rtl/>
        </w:rPr>
        <w:t>.</w:t>
      </w:r>
      <w:r w:rsidRPr="00B345A5">
        <w:rPr>
          <w:rFonts w:cs="Arial"/>
          <w:rtl/>
        </w:rPr>
        <w:t xml:space="preserve"> ואפי' חזרו אחר כך ונתמעטו יש להם דין נכסים מרובים ונתמעטו</w:t>
      </w:r>
      <w:r>
        <w:rPr>
          <w:rFonts w:cs="Arial" w:hint="cs"/>
          <w:rtl/>
        </w:rPr>
        <w:t>,</w:t>
      </w:r>
      <w:r w:rsidRPr="00B345A5">
        <w:rPr>
          <w:rFonts w:cs="Arial"/>
          <w:rtl/>
        </w:rPr>
        <w:t xml:space="preserve"> ויזונו אלו עם אלו</w:t>
      </w:r>
      <w:r>
        <w:rPr>
          <w:rFonts w:cs="Arial" w:hint="cs"/>
          <w:sz w:val="16"/>
          <w:szCs w:val="16"/>
          <w:rtl/>
        </w:rPr>
        <w:t xml:space="preserve"> (ל' הטור)</w:t>
      </w:r>
      <w:r>
        <w:rPr>
          <w:rFonts w:cs="Arial" w:hint="cs"/>
          <w:rtl/>
        </w:rPr>
        <w:t>.</w:t>
      </w:r>
      <w:r w:rsidRPr="0054316E">
        <w:rPr>
          <w:rFonts w:hint="cs"/>
          <w:color w:val="00B0F0"/>
          <w:rtl/>
        </w:rPr>
        <w:t xml:space="preserve"> </w:t>
      </w:r>
    </w:p>
    <w:p w14:paraId="3A926CFE" w14:textId="77777777" w:rsidR="002E5BAD" w:rsidRDefault="002E5BAD" w:rsidP="00B75458">
      <w:pPr>
        <w:pStyle w:val="ab"/>
        <w:numPr>
          <w:ilvl w:val="0"/>
          <w:numId w:val="195"/>
        </w:numPr>
      </w:pPr>
      <w:r w:rsidRPr="00FF003E">
        <w:rPr>
          <w:rFonts w:cs="Arial"/>
          <w:rtl/>
        </w:rPr>
        <w:t xml:space="preserve">רש"י </w:t>
      </w:r>
      <w:r w:rsidRPr="002767D6">
        <w:rPr>
          <w:rFonts w:cs="Arial"/>
          <w:sz w:val="16"/>
          <w:szCs w:val="16"/>
          <w:rtl/>
        </w:rPr>
        <w:t>(כתובות קג. ד"ה וקדמו</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2767D6">
        <w:rPr>
          <w:rFonts w:cs="Arial"/>
          <w:sz w:val="16"/>
          <w:szCs w:val="16"/>
          <w:rtl/>
        </w:rPr>
        <w:t xml:space="preserve">) </w:t>
      </w:r>
      <w:r w:rsidRPr="00FF003E">
        <w:rPr>
          <w:rFonts w:cs="Arial"/>
          <w:rtl/>
        </w:rPr>
        <w:t xml:space="preserve">ורמב"ן </w:t>
      </w:r>
      <w:r w:rsidRPr="002767D6">
        <w:rPr>
          <w:rFonts w:cs="Arial"/>
          <w:sz w:val="16"/>
          <w:szCs w:val="16"/>
          <w:rtl/>
        </w:rPr>
        <w:t>(ב"ב שם ד"ה פי'</w:t>
      </w:r>
      <w:r w:rsidRPr="002767D6">
        <w:rPr>
          <w:rFonts w:cs="Arial" w:hint="cs"/>
          <w:sz w:val="16"/>
          <w:szCs w:val="16"/>
          <w:rtl/>
        </w:rPr>
        <w:t>, כ"כ בשמו הה"מ [שם])</w:t>
      </w:r>
      <w:r>
        <w:rPr>
          <w:rFonts w:cs="Arial" w:hint="cs"/>
          <w:rtl/>
        </w:rPr>
        <w:t>-</w:t>
      </w:r>
      <w:r w:rsidRPr="00FF003E">
        <w:rPr>
          <w:rFonts w:cs="Arial"/>
          <w:rtl/>
        </w:rPr>
        <w:t xml:space="preserve"> מועטים ונתרבו דוקא קודם שיבואו לבית דין אבל אחר שבאו וזיכו בהם ב"ד את הבנות אין לאחר מעשה ב"ד כלום</w:t>
      </w:r>
      <w:r>
        <w:rPr>
          <w:rFonts w:cs="Arial" w:hint="cs"/>
          <w:sz w:val="16"/>
          <w:szCs w:val="16"/>
          <w:rtl/>
        </w:rPr>
        <w:t xml:space="preserve"> (ל' הה"מ בשמם)</w:t>
      </w:r>
      <w:r>
        <w:rPr>
          <w:rFonts w:cs="Arial" w:hint="cs"/>
          <w:rtl/>
        </w:rPr>
        <w:t>.</w:t>
      </w:r>
      <w:r w:rsidRPr="00FF003E">
        <w:rPr>
          <w:rFonts w:cs="Arial"/>
          <w:rtl/>
        </w:rPr>
        <w:t xml:space="preserve"> </w:t>
      </w:r>
    </w:p>
    <w:p w14:paraId="1E6C3074" w14:textId="77777777" w:rsidR="002E5BAD" w:rsidRDefault="002E5BAD" w:rsidP="002E5BAD">
      <w:pPr>
        <w:rPr>
          <w:rFonts w:cs="Arial"/>
          <w:u w:val="single"/>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E66C1A">
        <w:rPr>
          <w:rFonts w:cs="Arial"/>
          <w:u w:val="single"/>
          <w:rtl/>
        </w:rPr>
        <w:t>דאמר רבי אסי אמר רבי יוחנן</w:t>
      </w:r>
      <w:r w:rsidRPr="00E66C1A">
        <w:rPr>
          <w:rFonts w:cs="Arial"/>
          <w:rtl/>
        </w:rPr>
        <w:t>: יתומין שקדמו ומכרו בנכסים מועטין - מה שמכרו מכרו.</w:t>
      </w:r>
      <w:r>
        <w:rPr>
          <w:rFonts w:cs="Arial" w:hint="cs"/>
          <w:rtl/>
        </w:rPr>
        <w:t xml:space="preserve"> </w:t>
      </w:r>
    </w:p>
    <w:p w14:paraId="378BA65C" w14:textId="77777777" w:rsidR="002E5BAD" w:rsidRDefault="002E5BAD" w:rsidP="002E5BAD">
      <w:pPr>
        <w:rPr>
          <w:rtl/>
        </w:rPr>
      </w:pPr>
      <w:r w:rsidRPr="00D63611">
        <w:rPr>
          <w:rFonts w:cs="Arial"/>
          <w:u w:val="single"/>
          <w:rtl/>
        </w:rPr>
        <w:t>היו הנכסים מועטים וקדמו הבנים ומכרום</w:t>
      </w:r>
      <w:r w:rsidRPr="00D63611">
        <w:rPr>
          <w:rFonts w:cs="Arial" w:hint="cs"/>
          <w:u w:val="single"/>
          <w:rtl/>
        </w:rPr>
        <w:t>:</w:t>
      </w:r>
    </w:p>
    <w:p w14:paraId="0379F78F" w14:textId="77777777" w:rsidR="002E5BAD" w:rsidRPr="00A72EB6" w:rsidRDefault="002E5BAD" w:rsidP="00B75458">
      <w:pPr>
        <w:pStyle w:val="ab"/>
        <w:numPr>
          <w:ilvl w:val="0"/>
          <w:numId w:val="195"/>
        </w:numPr>
      </w:pPr>
      <w:r>
        <w:rPr>
          <w:rFonts w:cs="Arial" w:hint="cs"/>
          <w:rtl/>
        </w:rPr>
        <w:t>רמב"ם</w:t>
      </w:r>
      <w:r>
        <w:rPr>
          <w:rFonts w:cs="Arial" w:hint="cs"/>
          <w:sz w:val="16"/>
          <w:szCs w:val="16"/>
          <w:rtl/>
        </w:rPr>
        <w:t xml:space="preserve"> (פי"ט הי"ט)</w:t>
      </w:r>
      <w:r>
        <w:rPr>
          <w:rFonts w:cs="Arial" w:hint="cs"/>
          <w:rtl/>
        </w:rPr>
        <w:t xml:space="preserve"> וטור- </w:t>
      </w:r>
      <w:r w:rsidRPr="00B345A5">
        <w:rPr>
          <w:rFonts w:cs="Arial"/>
          <w:rtl/>
        </w:rPr>
        <w:t xml:space="preserve">היו הנכסים מועטים וקדמו הבנים ומכרום </w:t>
      </w:r>
      <w:r>
        <w:rPr>
          <w:rFonts w:cs="Arial" w:hint="cs"/>
          <w:rtl/>
        </w:rPr>
        <w:t xml:space="preserve">- </w:t>
      </w:r>
      <w:r w:rsidRPr="00B345A5">
        <w:rPr>
          <w:rFonts w:cs="Arial"/>
          <w:rtl/>
        </w:rPr>
        <w:t>מכרן מכר</w:t>
      </w:r>
      <w:r>
        <w:rPr>
          <w:rFonts w:cs="Arial" w:hint="cs"/>
          <w:rtl/>
        </w:rPr>
        <w:t>,</w:t>
      </w:r>
      <w:r w:rsidRPr="00B345A5">
        <w:rPr>
          <w:rFonts w:cs="Arial"/>
          <w:rtl/>
        </w:rPr>
        <w:t xml:space="preserve"> ונדחו הבנות</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791ADE25" w14:textId="77777777" w:rsidR="002E5BAD" w:rsidRPr="00D338D7" w:rsidRDefault="002E5BAD" w:rsidP="002E5BAD">
      <w:pPr>
        <w:ind w:left="360"/>
        <w:rPr>
          <w:u w:val="dotted"/>
        </w:rPr>
      </w:pPr>
      <w:r w:rsidRPr="00D338D7">
        <w:rPr>
          <w:rFonts w:hint="cs"/>
          <w:u w:val="dotted"/>
          <w:rtl/>
        </w:rPr>
        <w:t xml:space="preserve">האם </w:t>
      </w:r>
      <w:r>
        <w:rPr>
          <w:rFonts w:hint="cs"/>
          <w:u w:val="dotted"/>
          <w:rtl/>
        </w:rPr>
        <w:t xml:space="preserve">הדין כן אף </w:t>
      </w:r>
      <w:r w:rsidRPr="00D338D7">
        <w:rPr>
          <w:rFonts w:hint="cs"/>
          <w:u w:val="dotted"/>
          <w:rtl/>
        </w:rPr>
        <w:t xml:space="preserve">שמכרו האחים </w:t>
      </w:r>
      <w:r>
        <w:rPr>
          <w:rFonts w:hint="cs"/>
          <w:u w:val="dotted"/>
          <w:rtl/>
        </w:rPr>
        <w:t>לאחר</w:t>
      </w:r>
      <w:r w:rsidRPr="00D338D7">
        <w:rPr>
          <w:rFonts w:hint="cs"/>
          <w:u w:val="dotted"/>
          <w:rtl/>
        </w:rPr>
        <w:t xml:space="preserve"> שב"ד החזיק הבנות בנכסים: </w:t>
      </w:r>
    </w:p>
    <w:p w14:paraId="16C9304C" w14:textId="77777777" w:rsidR="002E5BAD" w:rsidRPr="00D338D7" w:rsidRDefault="002E5BAD" w:rsidP="00B75458">
      <w:pPr>
        <w:pStyle w:val="ab"/>
        <w:numPr>
          <w:ilvl w:val="0"/>
          <w:numId w:val="195"/>
        </w:numPr>
      </w:pPr>
      <w:r w:rsidRPr="00B345A5">
        <w:rPr>
          <w:rFonts w:cs="Arial"/>
          <w:rtl/>
        </w:rPr>
        <w:t>רש"י</w:t>
      </w:r>
      <w:r>
        <w:rPr>
          <w:rFonts w:cs="Arial" w:hint="cs"/>
          <w:rtl/>
        </w:rPr>
        <w:t xml:space="preserve"> </w:t>
      </w:r>
      <w:r>
        <w:rPr>
          <w:rFonts w:cs="Arial" w:hint="cs"/>
          <w:sz w:val="16"/>
          <w:szCs w:val="16"/>
          <w:rtl/>
        </w:rPr>
        <w:t>(כתובות קג. ד"ה וקדמו)</w:t>
      </w:r>
      <w:r>
        <w:rPr>
          <w:rFonts w:cs="Arial" w:hint="cs"/>
          <w:rtl/>
        </w:rPr>
        <w:t xml:space="preserve"> רשב"ם </w:t>
      </w:r>
      <w:r>
        <w:rPr>
          <w:rFonts w:cs="Arial" w:hint="cs"/>
          <w:sz w:val="16"/>
          <w:szCs w:val="16"/>
          <w:rtl/>
        </w:rPr>
        <w:t>(קמ. ד"ה יתומים שקדמו)</w:t>
      </w:r>
      <w:r>
        <w:rPr>
          <w:rFonts w:cs="Arial" w:hint="cs"/>
          <w:rtl/>
        </w:rPr>
        <w:t xml:space="preserve"> </w:t>
      </w:r>
      <w:r>
        <w:rPr>
          <w:rFonts w:cs="Arial"/>
          <w:rtl/>
        </w:rPr>
        <w:t xml:space="preserve">רמב"ן </w:t>
      </w:r>
      <w:r w:rsidRPr="00F223B8">
        <w:rPr>
          <w:rFonts w:cs="Arial"/>
          <w:sz w:val="16"/>
          <w:szCs w:val="16"/>
          <w:rtl/>
        </w:rPr>
        <w:t>(</w:t>
      </w:r>
      <w:r>
        <w:rPr>
          <w:rFonts w:cs="Arial" w:hint="cs"/>
          <w:sz w:val="16"/>
          <w:szCs w:val="16"/>
          <w:rtl/>
        </w:rPr>
        <w:t>ב"ב קמ.</w:t>
      </w:r>
      <w:r w:rsidRPr="00F223B8">
        <w:rPr>
          <w:rFonts w:cs="Arial"/>
          <w:sz w:val="16"/>
          <w:szCs w:val="16"/>
          <w:rtl/>
        </w:rPr>
        <w:t xml:space="preserve"> ד"ה פי')</w:t>
      </w:r>
      <w:r w:rsidRPr="00F223B8">
        <w:rPr>
          <w:rFonts w:cs="Arial" w:hint="cs"/>
          <w:sz w:val="16"/>
          <w:szCs w:val="16"/>
          <w:rtl/>
        </w:rPr>
        <w:t xml:space="preserve"> </w:t>
      </w:r>
      <w:r>
        <w:rPr>
          <w:rFonts w:cs="Arial" w:hint="cs"/>
          <w:rtl/>
        </w:rPr>
        <w:t>ורא"ש</w:t>
      </w:r>
      <w:r>
        <w:rPr>
          <w:rFonts w:cs="Arial" w:hint="cs"/>
          <w:sz w:val="16"/>
          <w:szCs w:val="16"/>
          <w:rtl/>
        </w:rPr>
        <w:t xml:space="preserve"> (ב"ב פ"ט סי' ב)</w:t>
      </w:r>
      <w:r>
        <w:rPr>
          <w:rFonts w:cs="Arial" w:hint="cs"/>
          <w:rtl/>
        </w:rPr>
        <w:t>-</w:t>
      </w:r>
      <w:r w:rsidRPr="00B345A5">
        <w:rPr>
          <w:rFonts w:cs="Arial"/>
          <w:rtl/>
        </w:rPr>
        <w:t xml:space="preserve"> דוקא שמכרום קודם שהחזיק ב"ד הבנות בנכסים</w:t>
      </w:r>
      <w:r>
        <w:rPr>
          <w:rFonts w:cs="Arial" w:hint="cs"/>
          <w:rtl/>
        </w:rPr>
        <w:t>,</w:t>
      </w:r>
      <w:r w:rsidRPr="00B345A5">
        <w:rPr>
          <w:rFonts w:cs="Arial"/>
          <w:rtl/>
        </w:rPr>
        <w:t xml:space="preserve"> אבל מכרום אח"כ </w:t>
      </w:r>
      <w:r>
        <w:rPr>
          <w:rFonts w:cs="Arial" w:hint="cs"/>
          <w:rtl/>
        </w:rPr>
        <w:t xml:space="preserve">- </w:t>
      </w:r>
      <w:r w:rsidRPr="00B345A5">
        <w:rPr>
          <w:rFonts w:cs="Arial"/>
          <w:rtl/>
        </w:rPr>
        <w:t>אינו מכור</w:t>
      </w:r>
      <w:r>
        <w:rPr>
          <w:rFonts w:cs="Arial" w:hint="cs"/>
          <w:sz w:val="16"/>
          <w:szCs w:val="16"/>
          <w:rtl/>
        </w:rPr>
        <w:t xml:space="preserve"> (ל' הטור בשם רש"י)</w:t>
      </w:r>
      <w:r>
        <w:rPr>
          <w:rFonts w:cs="Arial" w:hint="cs"/>
          <w:rtl/>
        </w:rPr>
        <w:t>.</w:t>
      </w:r>
      <w:r w:rsidRPr="00B345A5">
        <w:rPr>
          <w:rFonts w:cs="Arial"/>
          <w:rtl/>
        </w:rPr>
        <w:t xml:space="preserve"> </w:t>
      </w:r>
    </w:p>
    <w:p w14:paraId="3F4E9B04" w14:textId="77777777" w:rsidR="002E5BAD" w:rsidRDefault="002E5BAD" w:rsidP="00B75458">
      <w:pPr>
        <w:pStyle w:val="ab"/>
        <w:numPr>
          <w:ilvl w:val="0"/>
          <w:numId w:val="195"/>
        </w:numPr>
      </w:pPr>
      <w:r>
        <w:rPr>
          <w:rFonts w:cs="Arial" w:hint="cs"/>
          <w:rtl/>
        </w:rPr>
        <w:t xml:space="preserve">תוס' </w:t>
      </w:r>
      <w:r>
        <w:rPr>
          <w:rFonts w:cs="Arial" w:hint="cs"/>
          <w:sz w:val="16"/>
          <w:szCs w:val="16"/>
          <w:rtl/>
        </w:rPr>
        <w:t>(קמ. ד"ה יתומים)</w:t>
      </w:r>
      <w:r>
        <w:rPr>
          <w:rFonts w:cs="Arial" w:hint="cs"/>
          <w:rtl/>
        </w:rPr>
        <w:t xml:space="preserve"> </w:t>
      </w:r>
      <w:r>
        <w:rPr>
          <w:rFonts w:cs="Arial"/>
          <w:rtl/>
        </w:rPr>
        <w:t xml:space="preserve">רשב"א </w:t>
      </w:r>
      <w:r w:rsidRPr="00F223B8">
        <w:rPr>
          <w:rFonts w:cs="Arial"/>
          <w:sz w:val="16"/>
          <w:szCs w:val="16"/>
          <w:rtl/>
        </w:rPr>
        <w:t>(שם ד"ה מועטין</w:t>
      </w:r>
      <w:r>
        <w:rPr>
          <w:rFonts w:cs="Arial" w:hint="cs"/>
          <w:sz w:val="16"/>
          <w:szCs w:val="16"/>
          <w:rtl/>
        </w:rPr>
        <w:t>, כ"כ בשמו הה"מ [פי"ט הי"ט]</w:t>
      </w:r>
      <w:r w:rsidRPr="00F223B8">
        <w:rPr>
          <w:rFonts w:cs="Arial"/>
          <w:sz w:val="16"/>
          <w:szCs w:val="16"/>
          <w:rtl/>
        </w:rPr>
        <w:t>)</w:t>
      </w:r>
      <w:r>
        <w:rPr>
          <w:rFonts w:cs="Arial" w:hint="cs"/>
          <w:rtl/>
        </w:rPr>
        <w:t xml:space="preserve"> ומרדכי </w:t>
      </w:r>
      <w:r>
        <w:rPr>
          <w:rFonts w:cs="Arial" w:hint="cs"/>
          <w:sz w:val="16"/>
          <w:szCs w:val="16"/>
          <w:rtl/>
        </w:rPr>
        <w:t>(ב"ב סי' תרא)</w:t>
      </w:r>
      <w:r>
        <w:rPr>
          <w:rFonts w:cs="Arial" w:hint="cs"/>
          <w:rtl/>
        </w:rPr>
        <w:t xml:space="preserve">- </w:t>
      </w:r>
      <w:r w:rsidRPr="00B345A5">
        <w:rPr>
          <w:rFonts w:cs="Arial"/>
          <w:rtl/>
        </w:rPr>
        <w:t>אפי' אם מכרום אחר שהחזיקו ב"ד בנכסים</w:t>
      </w:r>
      <w:r>
        <w:rPr>
          <w:rFonts w:cs="Arial" w:hint="cs"/>
          <w:rtl/>
        </w:rPr>
        <w:t xml:space="preserve"> - </w:t>
      </w:r>
      <w:r w:rsidRPr="00B345A5">
        <w:rPr>
          <w:rFonts w:cs="Arial"/>
          <w:rtl/>
        </w:rPr>
        <w:t>מכרם מכר</w:t>
      </w:r>
      <w:r>
        <w:rPr>
          <w:rFonts w:cs="Arial" w:hint="cs"/>
          <w:sz w:val="16"/>
          <w:szCs w:val="16"/>
          <w:rtl/>
        </w:rPr>
        <w:t xml:space="preserve"> (ל' הטור בשם י"א)</w:t>
      </w:r>
      <w:r>
        <w:rPr>
          <w:rFonts w:cs="Arial" w:hint="cs"/>
          <w:rtl/>
        </w:rPr>
        <w:t>.</w:t>
      </w:r>
      <w:r w:rsidRPr="00B345A5">
        <w:rPr>
          <w:rFonts w:cs="Arial"/>
          <w:rtl/>
        </w:rPr>
        <w:t xml:space="preserve"> </w:t>
      </w:r>
    </w:p>
    <w:p w14:paraId="459DC643" w14:textId="77777777" w:rsidR="002E5BAD" w:rsidRPr="00D338D7" w:rsidRDefault="002E5BAD" w:rsidP="002E5BAD">
      <w:pPr>
        <w:ind w:left="360"/>
        <w:rPr>
          <w:u w:val="dotted"/>
        </w:rPr>
      </w:pPr>
      <w:r w:rsidRPr="00D338D7">
        <w:rPr>
          <w:rFonts w:hint="cs"/>
          <w:u w:val="dotted"/>
          <w:rtl/>
        </w:rPr>
        <w:t xml:space="preserve">האידנא שהבנות ניזונות ממטלטלין </w:t>
      </w:r>
      <w:r w:rsidRPr="00D338D7">
        <w:rPr>
          <w:u w:val="dotted"/>
          <w:rtl/>
        </w:rPr>
        <w:t>–</w:t>
      </w:r>
      <w:r w:rsidRPr="00D338D7">
        <w:rPr>
          <w:rFonts w:hint="cs"/>
          <w:u w:val="dotted"/>
          <w:rtl/>
        </w:rPr>
        <w:t xml:space="preserve"> האם הן ניזונות מהמעות שקיבלו האחים מהמכר:</w:t>
      </w:r>
    </w:p>
    <w:p w14:paraId="50CBE210" w14:textId="77777777" w:rsidR="002E5BAD" w:rsidRPr="00D338D7" w:rsidRDefault="002E5BAD" w:rsidP="00B75458">
      <w:pPr>
        <w:pStyle w:val="ab"/>
        <w:numPr>
          <w:ilvl w:val="0"/>
          <w:numId w:val="195"/>
        </w:numPr>
      </w:pPr>
      <w:r w:rsidRPr="00B345A5">
        <w:rPr>
          <w:rFonts w:cs="Arial"/>
          <w:rtl/>
        </w:rPr>
        <w:t>רב האי</w:t>
      </w:r>
      <w:r>
        <w:rPr>
          <w:rFonts w:cs="Arial" w:hint="cs"/>
          <w:sz w:val="16"/>
          <w:szCs w:val="16"/>
          <w:rtl/>
        </w:rPr>
        <w:t xml:space="preserve"> (כ"כ הרא"ש והטור בשמו)</w:t>
      </w:r>
      <w:r>
        <w:rPr>
          <w:rFonts w:cs="Arial" w:hint="cs"/>
          <w:rtl/>
        </w:rPr>
        <w:t>-</w:t>
      </w:r>
      <w:r w:rsidRPr="00B345A5">
        <w:rPr>
          <w:rFonts w:cs="Arial"/>
          <w:rtl/>
        </w:rPr>
        <w:t xml:space="preserve"> כיון דהאידנא תקנו הגאונים שיזונו ממטלטלין ניזונו' מהדמים שקבלו מהם</w:t>
      </w:r>
      <w:r>
        <w:rPr>
          <w:rFonts w:cs="Arial" w:hint="cs"/>
          <w:rtl/>
        </w:rPr>
        <w:t>.</w:t>
      </w:r>
      <w:r w:rsidRPr="00B345A5">
        <w:rPr>
          <w:rFonts w:cs="Arial"/>
          <w:rtl/>
        </w:rPr>
        <w:t xml:space="preserve"> </w:t>
      </w:r>
    </w:p>
    <w:p w14:paraId="38AC64F7" w14:textId="77777777" w:rsidR="002E5BAD" w:rsidRPr="00A72EB6" w:rsidRDefault="002E5BAD" w:rsidP="00B75458">
      <w:pPr>
        <w:pStyle w:val="ab"/>
        <w:numPr>
          <w:ilvl w:val="0"/>
          <w:numId w:val="195"/>
        </w:numPr>
      </w:pPr>
      <w:r w:rsidRPr="00B345A5">
        <w:rPr>
          <w:rFonts w:cs="Arial"/>
          <w:rtl/>
        </w:rPr>
        <w:t>רא"ש</w:t>
      </w:r>
      <w:r>
        <w:rPr>
          <w:rFonts w:cs="Arial" w:hint="cs"/>
          <w:rtl/>
        </w:rPr>
        <w:t xml:space="preserve"> </w:t>
      </w:r>
      <w:r>
        <w:rPr>
          <w:rFonts w:cs="Arial" w:hint="cs"/>
          <w:sz w:val="16"/>
          <w:szCs w:val="16"/>
          <w:rtl/>
        </w:rPr>
        <w:t>(ב"ב פ"ט סי' ב)</w:t>
      </w:r>
      <w:r>
        <w:rPr>
          <w:rFonts w:cs="Arial" w:hint="cs"/>
          <w:rtl/>
        </w:rPr>
        <w:t xml:space="preserve"> ונמוק"י </w:t>
      </w:r>
      <w:r>
        <w:rPr>
          <w:rFonts w:cs="Arial" w:hint="cs"/>
          <w:sz w:val="16"/>
          <w:szCs w:val="16"/>
          <w:rtl/>
        </w:rPr>
        <w:t>(פ' מי שמת שם, הביאו הדרכ"מ [אות ו])</w:t>
      </w:r>
      <w:r>
        <w:rPr>
          <w:rFonts w:cs="Arial" w:hint="cs"/>
          <w:rtl/>
        </w:rPr>
        <w:t>-</w:t>
      </w:r>
      <w:r w:rsidRPr="00B345A5">
        <w:rPr>
          <w:rFonts w:cs="Arial"/>
          <w:rtl/>
        </w:rPr>
        <w:t xml:space="preserve"> </w:t>
      </w:r>
      <w:r>
        <w:rPr>
          <w:rFonts w:cs="Arial" w:hint="cs"/>
          <w:rtl/>
        </w:rPr>
        <w:t xml:space="preserve">אינן ניזונות מהמעות, </w:t>
      </w:r>
      <w:r w:rsidRPr="00B345A5">
        <w:rPr>
          <w:rFonts w:cs="Arial"/>
          <w:rtl/>
        </w:rPr>
        <w:t>שהרי אין שיעבודן אלא על נכסי אביהן וכיון שמכרום ואינם יכולין לטרוף מהלקוחות גם במעות אין להם כלום והם של הבנים</w:t>
      </w:r>
      <w:r>
        <w:rPr>
          <w:rFonts w:cs="Arial" w:hint="cs"/>
          <w:rtl/>
        </w:rPr>
        <w:t xml:space="preserve"> </w:t>
      </w:r>
      <w:r w:rsidRPr="00D338D7">
        <w:rPr>
          <w:rFonts w:hint="cs"/>
          <w:sz w:val="16"/>
          <w:szCs w:val="16"/>
          <w:rtl/>
        </w:rPr>
        <w:t>(ל' הטור בש</w:t>
      </w:r>
      <w:r>
        <w:rPr>
          <w:rFonts w:hint="cs"/>
          <w:sz w:val="16"/>
          <w:szCs w:val="16"/>
          <w:rtl/>
        </w:rPr>
        <w:t>ם הרא"ש</w:t>
      </w:r>
      <w:r w:rsidRPr="00D338D7">
        <w:rPr>
          <w:rFonts w:hint="cs"/>
          <w:sz w:val="16"/>
          <w:szCs w:val="16"/>
          <w:rtl/>
        </w:rPr>
        <w:t>)</w:t>
      </w:r>
      <w:r>
        <w:rPr>
          <w:rFonts w:cs="Arial" w:hint="cs"/>
          <w:rtl/>
        </w:rPr>
        <w:t xml:space="preserve">. </w:t>
      </w:r>
      <w:r w:rsidRPr="00A56D15">
        <w:rPr>
          <w:rFonts w:cs="Arial" w:hint="cs"/>
          <w:color w:val="E36C0A" w:themeColor="accent6" w:themeShade="BF"/>
          <w:rtl/>
        </w:rPr>
        <w:t>(וכ"פ בשו"ע</w:t>
      </w:r>
      <w:r w:rsidRPr="009356F2">
        <w:rPr>
          <w:rStyle w:val="a7"/>
          <w:rFonts w:cs="Arial"/>
          <w:rtl/>
        </w:rPr>
        <w:footnoteReference w:id="2942"/>
      </w:r>
      <w:r>
        <w:rPr>
          <w:rFonts w:cs="Arial" w:hint="cs"/>
          <w:sz w:val="16"/>
          <w:szCs w:val="16"/>
          <w:rtl/>
        </w:rPr>
        <w:t xml:space="preserve"> [חו"מ סי' קז ס"ד]</w:t>
      </w:r>
      <w:r w:rsidRPr="00A56D15">
        <w:rPr>
          <w:rFonts w:cs="Arial" w:hint="cs"/>
          <w:color w:val="E36C0A" w:themeColor="accent6" w:themeShade="BF"/>
          <w:rtl/>
        </w:rPr>
        <w:t>)</w:t>
      </w:r>
      <w:r w:rsidRPr="00B345A5">
        <w:rPr>
          <w:rFonts w:cs="Arial"/>
          <w:rtl/>
        </w:rPr>
        <w:t xml:space="preserve"> </w:t>
      </w:r>
      <w:r w:rsidRPr="0054316E">
        <w:rPr>
          <w:rFonts w:hint="cs"/>
          <w:color w:val="00B0F0"/>
          <w:rtl/>
        </w:rPr>
        <w:t>(וכ"</w:t>
      </w:r>
      <w:r>
        <w:rPr>
          <w:rFonts w:hint="cs"/>
          <w:color w:val="00B0F0"/>
          <w:rtl/>
        </w:rPr>
        <w:t>פ</w:t>
      </w:r>
      <w:r w:rsidRPr="0054316E">
        <w:rPr>
          <w:rFonts w:hint="cs"/>
          <w:color w:val="00B0F0"/>
          <w:rtl/>
        </w:rPr>
        <w:t xml:space="preserve"> הרמ"א)</w:t>
      </w:r>
    </w:p>
    <w:p w14:paraId="48AA39D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78B17C" w14:textId="77777777" w:rsidR="002E5BAD" w:rsidRDefault="002E5BAD" w:rsidP="002E5BAD">
      <w:pPr>
        <w:rPr>
          <w:rFonts w:cs="Arial"/>
          <w:rtl/>
        </w:rPr>
      </w:pPr>
      <w:r w:rsidRPr="00523CDE">
        <w:rPr>
          <w:rFonts w:cs="Arial"/>
          <w:rtl/>
        </w:rPr>
        <w:lastRenderedPageBreak/>
        <w:t>היו מועטים בשעת מיתה ונתרבו אחר כך, הבנים יורשים אותם כדין מרובים</w:t>
      </w:r>
      <w:r>
        <w:rPr>
          <w:rStyle w:val="a7"/>
          <w:rFonts w:cs="Arial"/>
          <w:rtl/>
        </w:rPr>
        <w:footnoteReference w:id="2943"/>
      </w:r>
      <w:r w:rsidRPr="00523CDE">
        <w:rPr>
          <w:rFonts w:cs="Arial"/>
          <w:rtl/>
        </w:rPr>
        <w:t xml:space="preserve">. </w:t>
      </w:r>
      <w:r w:rsidRPr="003F4D9E">
        <w:rPr>
          <w:rFonts w:cs="Arial"/>
          <w:sz w:val="18"/>
          <w:szCs w:val="18"/>
          <w:rtl/>
        </w:rPr>
        <w:t>הגה: וי"א אפילו עמדו כבר בדין ופסקו להם</w:t>
      </w:r>
      <w:r>
        <w:rPr>
          <w:rStyle w:val="a7"/>
          <w:rFonts w:cs="Arial"/>
          <w:sz w:val="18"/>
          <w:szCs w:val="18"/>
          <w:rtl/>
        </w:rPr>
        <w:footnoteReference w:id="2944"/>
      </w:r>
      <w:r w:rsidRPr="003F4D9E">
        <w:rPr>
          <w:rFonts w:cs="Arial"/>
          <w:sz w:val="18"/>
          <w:szCs w:val="18"/>
          <w:rtl/>
        </w:rPr>
        <w:t xml:space="preserve"> דין נכסים מועטים, כיון שנתרבו חזרו לדין מרובים, ואפילו חזרו אחר כך ונתמעטו יש להם דין נכסים מרובים ונתמעטו</w:t>
      </w:r>
      <w:r>
        <w:rPr>
          <w:rStyle w:val="a7"/>
          <w:rFonts w:cs="Arial"/>
          <w:sz w:val="18"/>
          <w:szCs w:val="18"/>
          <w:rtl/>
        </w:rPr>
        <w:footnoteReference w:id="2945"/>
      </w:r>
      <w:r w:rsidRPr="003F4D9E">
        <w:rPr>
          <w:rFonts w:cs="Arial"/>
          <w:sz w:val="18"/>
          <w:szCs w:val="18"/>
          <w:rtl/>
        </w:rPr>
        <w:t xml:space="preserve"> (טור). </w:t>
      </w:r>
      <w:r w:rsidRPr="00523CDE">
        <w:rPr>
          <w:rFonts w:cs="Arial"/>
          <w:rtl/>
        </w:rPr>
        <w:t xml:space="preserve">ואפילו לא נתרבו, אם קדמו הבנים ומכרו נכסים מועטין, מכרן קיים. </w:t>
      </w:r>
      <w:r w:rsidRPr="003F4D9E">
        <w:rPr>
          <w:rFonts w:cs="Arial"/>
          <w:sz w:val="18"/>
          <w:szCs w:val="18"/>
          <w:rtl/>
        </w:rPr>
        <w:t>הגה: ונדחו הבנות אפי' ממעות שקבלו מן המקח</w:t>
      </w:r>
      <w:r>
        <w:rPr>
          <w:rStyle w:val="a7"/>
          <w:rFonts w:cs="Arial"/>
          <w:sz w:val="18"/>
          <w:szCs w:val="18"/>
          <w:rtl/>
        </w:rPr>
        <w:footnoteReference w:id="2946"/>
      </w:r>
      <w:r w:rsidRPr="003F4D9E">
        <w:rPr>
          <w:rFonts w:cs="Arial"/>
          <w:sz w:val="18"/>
          <w:szCs w:val="18"/>
          <w:rtl/>
        </w:rPr>
        <w:t xml:space="preserve"> (טור בשם הרא"ש). וי"א דדוקא קודם שהחזיקו הבית דין הבנות בנכסים</w:t>
      </w:r>
      <w:r>
        <w:rPr>
          <w:rStyle w:val="a7"/>
          <w:rFonts w:cs="Arial"/>
          <w:sz w:val="18"/>
          <w:szCs w:val="18"/>
          <w:rtl/>
        </w:rPr>
        <w:footnoteReference w:id="2947"/>
      </w:r>
      <w:r w:rsidRPr="003F4D9E">
        <w:rPr>
          <w:rFonts w:cs="Arial"/>
          <w:sz w:val="18"/>
          <w:szCs w:val="18"/>
          <w:rtl/>
        </w:rPr>
        <w:t xml:space="preserve"> (טור בשם רש"י והרא"ש). </w:t>
      </w:r>
    </w:p>
    <w:p w14:paraId="423DC27B" w14:textId="77777777" w:rsidR="002E5BAD" w:rsidRPr="007E545B" w:rsidRDefault="002E5BAD" w:rsidP="002E5BAD">
      <w:pPr>
        <w:rPr>
          <w:rFonts w:cs="Arial"/>
          <w:sz w:val="16"/>
          <w:szCs w:val="16"/>
          <w:u w:val="single"/>
          <w:rtl/>
        </w:rPr>
      </w:pPr>
      <w:r w:rsidRPr="007E545B">
        <w:rPr>
          <w:rFonts w:cs="Arial" w:hint="cs"/>
          <w:u w:val="single"/>
          <w:rtl/>
        </w:rPr>
        <w:t>מעשה באחד שמת והניח ב' בנים וב' בנות, וחילקו שלא כפי דין תורה, והבת לא קיבלה מספיק</w:t>
      </w:r>
      <w:r w:rsidRPr="007E545B">
        <w:rPr>
          <w:rFonts w:cs="Arial" w:hint="cs"/>
          <w:rtl/>
        </w:rPr>
        <w:t xml:space="preserve">:  </w:t>
      </w:r>
      <w:r w:rsidRPr="007E545B">
        <w:rPr>
          <w:rFonts w:cs="Arial" w:hint="cs"/>
          <w:sz w:val="16"/>
          <w:szCs w:val="16"/>
          <w:rtl/>
        </w:rPr>
        <w:t>(</w:t>
      </w:r>
      <w:r>
        <w:rPr>
          <w:rFonts w:cs="Arial" w:hint="cs"/>
          <w:sz w:val="16"/>
          <w:szCs w:val="16"/>
          <w:rtl/>
        </w:rPr>
        <w:t>פת"ש סק"ה)</w:t>
      </w:r>
    </w:p>
    <w:p w14:paraId="565AB9C1" w14:textId="77777777" w:rsidR="002E5BAD" w:rsidRPr="00C208C3" w:rsidRDefault="002E5BAD" w:rsidP="00B75458">
      <w:pPr>
        <w:pStyle w:val="ab"/>
        <w:numPr>
          <w:ilvl w:val="0"/>
          <w:numId w:val="202"/>
        </w:numPr>
        <w:rPr>
          <w:rFonts w:cs="Arial"/>
          <w:rtl/>
        </w:rPr>
      </w:pPr>
      <w:r w:rsidRPr="00C208C3">
        <w:rPr>
          <w:rFonts w:cs="Arial"/>
          <w:rtl/>
        </w:rPr>
        <w:t>ח</w:t>
      </w:r>
      <w:r w:rsidRPr="00C208C3">
        <w:rPr>
          <w:rFonts w:cs="Arial" w:hint="cs"/>
          <w:rtl/>
        </w:rPr>
        <w:t>ת</w:t>
      </w:r>
      <w:r w:rsidRPr="00C208C3">
        <w:rPr>
          <w:rFonts w:cs="Arial"/>
          <w:rtl/>
        </w:rPr>
        <w:t xml:space="preserve">"ס </w:t>
      </w:r>
      <w:r w:rsidRPr="00C208C3">
        <w:rPr>
          <w:rFonts w:cs="Arial" w:hint="cs"/>
          <w:sz w:val="16"/>
          <w:szCs w:val="16"/>
          <w:rtl/>
        </w:rPr>
        <w:t>(</w:t>
      </w:r>
      <w:r w:rsidRPr="00C208C3">
        <w:rPr>
          <w:rFonts w:cs="Arial"/>
          <w:sz w:val="16"/>
          <w:szCs w:val="16"/>
          <w:rtl/>
        </w:rPr>
        <w:t>סי' קכז</w:t>
      </w:r>
      <w:r w:rsidRPr="00C208C3">
        <w:rPr>
          <w:rFonts w:cs="Arial" w:hint="cs"/>
          <w:sz w:val="16"/>
          <w:szCs w:val="16"/>
          <w:rtl/>
        </w:rPr>
        <w:t>)</w:t>
      </w:r>
      <w:r w:rsidRPr="00C208C3">
        <w:rPr>
          <w:rFonts w:cs="Arial" w:hint="cs"/>
          <w:rtl/>
        </w:rPr>
        <w:t>-</w:t>
      </w:r>
      <w:r w:rsidRPr="00C208C3">
        <w:rPr>
          <w:rFonts w:cs="Arial"/>
          <w:rtl/>
        </w:rPr>
        <w:t xml:space="preserve"> במי שמת והניח ב' בנים א' גדול ואחד קטן וב' בנות ובעזבונו נמצא בית וחובות ובא החלוקה בדיניהם להיות כל החובות להבנות והבית לב' הבנים ויען כי היה הבית רעוע ראו לטובת הקטן למכור חלקו להגדול והמעות ניתן ביד אפטרופוס ישראל לטובת יתום הקטן ועתה הגיעה אחת מהבנות לפרק נישואין והחובות שעלו על חלקה אינם מספיקים ושאל האפטרופוס אי מותר לו ליתן ממעות יתום הקטן שבידו. והרב השואל שם דעתו להתיר כי אנו אין לנו אלא דתה"ק שמגיע לבת פרנסת נדונייתה באומד האב והכל יודעים שאילו היה האב בחיים היה נותן לבתו יותר ויותר וקיי"ל לפרנס' מוציאין מהבנים אפי' לא נשאר להם כלום מירושת אביהם ואמנם מאח הגדול המוחזק בבית א"א להוציא ממנו כלום משום דאלים טובא אבל עכ"פ חלקו של הקטן שהאפטרופוס רוצה בכך למה לא נוציא להבת פרנסת נדוניא מצורף לזה ג"כ כי אלו הבנות לא היו ניזונות כלל מהעיזבון ולא שייך מחילה כי היו הבנות קטנות וא"כ יש להן לתבוע מהבנים גם מזונות שלהן. והוא ז"ל השיב דפשוט דאסור לו להאפטרופוס ליגע בהמעות מזומנים שהונחו תחת ידו דדבר ברור הוא דלא משתעבדי לא למזונות ולא לפרנסה</w:t>
      </w:r>
      <w:r>
        <w:rPr>
          <w:rStyle w:val="a7"/>
          <w:rFonts w:cs="Arial"/>
          <w:rtl/>
        </w:rPr>
        <w:footnoteReference w:id="2948"/>
      </w:r>
      <w:r w:rsidRPr="00C208C3">
        <w:rPr>
          <w:rFonts w:cs="Arial"/>
          <w:rtl/>
        </w:rPr>
        <w:t xml:space="preserve"> אלא הני נכסי ממש דשבק אבוהון ולא חילופיהן והני זוזי חלופי הבית נינהו ולא הני זוזי שבק אבוהון ודין זה פשוט ומבואר בסי</w:t>
      </w:r>
      <w:r>
        <w:rPr>
          <w:rFonts w:cs="Arial" w:hint="cs"/>
          <w:rtl/>
        </w:rPr>
        <w:t>'</w:t>
      </w:r>
      <w:r w:rsidRPr="00C208C3">
        <w:rPr>
          <w:rFonts w:cs="Arial"/>
          <w:rtl/>
        </w:rPr>
        <w:t xml:space="preserve"> קי"ב ובב"ש שם סק"ל ולא נשאר אלא לטרוף ממשעבדי מהאח הגדול והוא יחזור אחר כך על הקטן מדין אחריות ולפי דברי השואל הוא דבר בטל משום שהשני קשה ואלים טובא. ואמנם א"נ היה אפשר לטרוף ממשעבדי מ"מ השואל ממזונות הבת ליתא דאין טורפין למזונות ממשעבדי ששעבדו האחים ורק לפרנס' טורפים וכל זה אם לא בגרה הבת אבל אם בגרה ושתקה ויתרה אפי' שתקה מחמת שלא ידעה הדין ע' סי' קי"ג ובב"ש ססקי"ח וכל הדברים הללו פשוטים. </w:t>
      </w:r>
    </w:p>
    <w:p w14:paraId="71950F7B" w14:textId="77777777" w:rsidR="002E5BAD" w:rsidRPr="00523CDE" w:rsidRDefault="002E5BAD" w:rsidP="002E5BAD">
      <w:pPr>
        <w:rPr>
          <w:rFonts w:cs="Arial"/>
          <w:rtl/>
        </w:rPr>
      </w:pPr>
    </w:p>
    <w:p w14:paraId="7E7FD0E0" w14:textId="77777777" w:rsidR="002E5BAD" w:rsidRDefault="002E5BAD" w:rsidP="002E5BAD">
      <w:pPr>
        <w:pStyle w:val="2"/>
        <w:rPr>
          <w:rtl/>
        </w:rPr>
      </w:pPr>
      <w:r w:rsidRPr="00523CDE">
        <w:rPr>
          <w:rtl/>
        </w:rPr>
        <w:t>סעיף טו</w:t>
      </w:r>
      <w:r>
        <w:rPr>
          <w:rFonts w:hint="cs"/>
          <w:rtl/>
        </w:rPr>
        <w:t>:</w:t>
      </w:r>
      <w:r w:rsidRPr="001D444C">
        <w:rPr>
          <w:rFonts w:hint="cs"/>
          <w:rtl/>
        </w:rPr>
        <w:t xml:space="preserve"> </w:t>
      </w:r>
      <w:r>
        <w:rPr>
          <w:rFonts w:hint="cs"/>
          <w:rtl/>
        </w:rPr>
        <w:t>נכסים מרובים אבל יש עליהם חיוב למזונות/עישור נכסים/בע"ח.</w:t>
      </w:r>
    </w:p>
    <w:p w14:paraId="087D107F" w14:textId="77777777" w:rsidR="002E5BAD" w:rsidRDefault="002E5BAD" w:rsidP="002E5BAD">
      <w:pPr>
        <w:rPr>
          <w:rFonts w:cs="Arial"/>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sidRPr="001D444C">
        <w:rPr>
          <w:rtl/>
        </w:rPr>
        <w:t xml:space="preserve"> </w:t>
      </w:r>
      <w:r w:rsidRPr="001D444C">
        <w:rPr>
          <w:rFonts w:cs="Arial"/>
          <w:u w:val="single"/>
          <w:rtl/>
        </w:rPr>
        <w:t>יתיב רבי ירמיה קמיה דרבי אבהו וקא בעי מיניה</w:t>
      </w:r>
      <w:r w:rsidRPr="001D444C">
        <w:rPr>
          <w:rFonts w:cs="Arial"/>
          <w:rtl/>
        </w:rPr>
        <w:t>: אלמנתו מהו שתמעט בנכסים?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hint="cs"/>
          <w:sz w:val="14"/>
          <w:szCs w:val="14"/>
          <w:rtl/>
        </w:rPr>
        <w:t xml:space="preserve"> (קמ:) </w:t>
      </w:r>
      <w:r w:rsidRPr="001D444C">
        <w:rPr>
          <w:rFonts w:cs="Arial"/>
          <w:rtl/>
        </w:rPr>
        <w:t xml:space="preserve">בת אשתו מהו שתמעט בנכסים? אלמנתו מהו שתמעט בנכסים? אלמנתו ובת אי זה מהן קודמת? </w:t>
      </w:r>
      <w:r w:rsidRPr="001D444C">
        <w:rPr>
          <w:rFonts w:cs="Arial"/>
          <w:u w:val="single"/>
          <w:rtl/>
        </w:rPr>
        <w:t>אמר ליה</w:t>
      </w:r>
      <w:r w:rsidRPr="001D444C">
        <w:rPr>
          <w:rFonts w:cs="Arial"/>
          <w:rtl/>
        </w:rPr>
        <w:t xml:space="preserve">: זיל האידנא ותא למחר. </w:t>
      </w:r>
      <w:r w:rsidRPr="001D444C">
        <w:rPr>
          <w:rFonts w:cs="Arial"/>
          <w:u w:val="single"/>
          <w:rtl/>
        </w:rPr>
        <w:t>כי אתא, אמר ליה</w:t>
      </w:r>
      <w:r w:rsidRPr="001D444C">
        <w:rPr>
          <w:rFonts w:cs="Arial"/>
          <w:rtl/>
        </w:rPr>
        <w:t>: פשוט מיהת חדא, דאמר רבי אבא אמר רבי אסי: עשו אלמנה אצל הבת</w:t>
      </w:r>
      <w:r>
        <w:rPr>
          <w:rFonts w:cs="Arial" w:hint="cs"/>
          <w:rtl/>
        </w:rPr>
        <w:t>,</w:t>
      </w:r>
      <w:r w:rsidRPr="001D444C">
        <w:rPr>
          <w:rFonts w:cs="Arial"/>
          <w:rtl/>
        </w:rPr>
        <w:t xml:space="preserve"> כבת אצל האחין בנכסים מועטין</w:t>
      </w:r>
      <w:r>
        <w:rPr>
          <w:rFonts w:cs="Arial" w:hint="cs"/>
          <w:rtl/>
        </w:rPr>
        <w:t>.</w:t>
      </w:r>
      <w:r w:rsidRPr="001D444C">
        <w:rPr>
          <w:rFonts w:cs="Arial"/>
          <w:rtl/>
        </w:rPr>
        <w:t xml:space="preserve"> מה בת אצל אחין - הבת ניזונת והאחין ישאלו על הפתחים, אף אלמנה אצל הבת - אלמנה ניזונת והבת תשאל על הפתחים.</w:t>
      </w:r>
      <w:r>
        <w:rPr>
          <w:rFonts w:hint="cs"/>
          <w:rtl/>
        </w:rPr>
        <w:t xml:space="preserve"> </w:t>
      </w:r>
      <w:r w:rsidRPr="00F0077E">
        <w:rPr>
          <w:rFonts w:hint="cs"/>
          <w:sz w:val="16"/>
          <w:szCs w:val="16"/>
          <w:rtl/>
        </w:rPr>
        <w:t>(</w:t>
      </w:r>
      <w:r w:rsidRPr="00F0077E">
        <w:rPr>
          <w:rFonts w:cs="Arial"/>
          <w:sz w:val="16"/>
          <w:szCs w:val="16"/>
          <w:rtl/>
        </w:rPr>
        <w:t>וכתבו הרי"ף (סה:) והרא"ש (סי' ג) והני בעיי לא איפשיטו ולקולא עבדינן ולא ממעטי דנכסי בחזקת בנים קיימי ולא מפקינן מינייהו אלא בראיה</w:t>
      </w:r>
      <w:r w:rsidRPr="00F0077E">
        <w:rPr>
          <w:rFonts w:cs="Arial" w:hint="cs"/>
          <w:sz w:val="16"/>
          <w:szCs w:val="16"/>
          <w:rtl/>
        </w:rPr>
        <w:t>.</w:t>
      </w:r>
      <w:r w:rsidRPr="00F0077E">
        <w:rPr>
          <w:rFonts w:cs="Arial"/>
          <w:sz w:val="16"/>
          <w:szCs w:val="16"/>
          <w:rtl/>
        </w:rPr>
        <w:t xml:space="preserve"> [בדק הבית] וכן פסק הרמב"ם (פי"ט ה"כ) אלא שלא הזכיר דין אלמנה אם ממעטת וגם הרי"ף לא הזכיר ונראה שלא היה כתוב בנסחתם בגמרא אלמנה מהו שתמעט [עד כאן]. וכתב עוד הרא"ש (שם) והא דלא איבעיא ליה בכתובת אלמנה אי ממעטא</w:t>
      </w:r>
      <w:r w:rsidRPr="00F0077E">
        <w:rPr>
          <w:rFonts w:cs="Arial" w:hint="cs"/>
          <w:sz w:val="16"/>
          <w:szCs w:val="16"/>
          <w:rtl/>
        </w:rPr>
        <w:t>,</w:t>
      </w:r>
      <w:r w:rsidRPr="00F0077E">
        <w:rPr>
          <w:rFonts w:cs="Arial"/>
          <w:sz w:val="16"/>
          <w:szCs w:val="16"/>
          <w:rtl/>
        </w:rPr>
        <w:t xml:space="preserve"> משום דפשיטא ליה כיון דבתנאי ב"ד אית לה דכמאן דגביא דמי וממעטא</w:t>
      </w:r>
      <w:r w:rsidRPr="00F0077E">
        <w:rPr>
          <w:rFonts w:cs="Arial" w:hint="cs"/>
          <w:sz w:val="16"/>
          <w:szCs w:val="16"/>
          <w:rtl/>
        </w:rPr>
        <w:t>.</w:t>
      </w:r>
      <w:r w:rsidRPr="00F0077E">
        <w:rPr>
          <w:rFonts w:cs="Arial"/>
          <w:sz w:val="16"/>
          <w:szCs w:val="16"/>
          <w:rtl/>
        </w:rPr>
        <w:t xml:space="preserve"> ותימא דאמאי לא מיבעיא ליה פרנסה מהו שתמעט</w:t>
      </w:r>
      <w:r w:rsidRPr="00F0077E">
        <w:rPr>
          <w:rFonts w:cs="Arial" w:hint="cs"/>
          <w:sz w:val="16"/>
          <w:szCs w:val="16"/>
          <w:rtl/>
        </w:rPr>
        <w:t>,</w:t>
      </w:r>
      <w:r w:rsidRPr="00F0077E">
        <w:rPr>
          <w:rFonts w:cs="Arial"/>
          <w:sz w:val="16"/>
          <w:szCs w:val="16"/>
          <w:rtl/>
        </w:rPr>
        <w:t xml:space="preserve"> אי בעינן שיהיו מרובים בלא עישור נכסי</w:t>
      </w:r>
      <w:r w:rsidRPr="00F0077E">
        <w:rPr>
          <w:rFonts w:cs="Arial" w:hint="cs"/>
          <w:sz w:val="16"/>
          <w:szCs w:val="16"/>
          <w:rtl/>
        </w:rPr>
        <w:t>,</w:t>
      </w:r>
      <w:r w:rsidRPr="00F0077E">
        <w:rPr>
          <w:rFonts w:cs="Arial"/>
          <w:sz w:val="16"/>
          <w:szCs w:val="16"/>
          <w:rtl/>
        </w:rPr>
        <w:t xml:space="preserve"> או דילמא אפילו הכי נקראים מרובים</w:t>
      </w:r>
      <w:r w:rsidRPr="00F0077E">
        <w:rPr>
          <w:rFonts w:cs="Arial" w:hint="cs"/>
          <w:sz w:val="16"/>
          <w:szCs w:val="16"/>
          <w:rtl/>
        </w:rPr>
        <w:t>.</w:t>
      </w:r>
      <w:r w:rsidRPr="00F0077E">
        <w:rPr>
          <w:rFonts w:cs="Arial"/>
          <w:sz w:val="16"/>
          <w:szCs w:val="16"/>
          <w:rtl/>
        </w:rPr>
        <w:t xml:space="preserve"> ומסתברא כיון שלא הגיע זמנה לגבות לא ממעטא עכ"ל</w:t>
      </w:r>
      <w:r>
        <w:rPr>
          <w:rFonts w:cs="Arial" w:hint="cs"/>
          <w:sz w:val="16"/>
          <w:szCs w:val="16"/>
          <w:rtl/>
        </w:rPr>
        <w:t>, ב"י</w:t>
      </w:r>
      <w:r w:rsidRPr="00F0077E">
        <w:rPr>
          <w:rFonts w:cs="Arial" w:hint="cs"/>
          <w:sz w:val="16"/>
          <w:szCs w:val="16"/>
          <w:rtl/>
        </w:rPr>
        <w:t>)</w:t>
      </w:r>
      <w:r w:rsidRPr="00F16681">
        <w:rPr>
          <w:rFonts w:cs="Arial"/>
          <w:rtl/>
        </w:rPr>
        <w:t xml:space="preserve"> </w:t>
      </w:r>
    </w:p>
    <w:p w14:paraId="40EE9A00" w14:textId="77777777" w:rsidR="002E5BAD" w:rsidRPr="004C7B27" w:rsidRDefault="002E5BAD" w:rsidP="002E5BAD">
      <w:pPr>
        <w:rPr>
          <w:rFonts w:cs="Arial"/>
          <w:rtl/>
        </w:rPr>
      </w:pPr>
      <w:r w:rsidRPr="004C7B27">
        <w:rPr>
          <w:rFonts w:hint="cs"/>
          <w:b/>
          <w:bCs/>
          <w:rtl/>
        </w:rPr>
        <w:lastRenderedPageBreak/>
        <w:t>ירושלמי בבא בתרא פ"ט ה"א</w:t>
      </w:r>
      <w:r>
        <w:rPr>
          <w:rStyle w:val="a7"/>
          <w:rFonts w:cs="Arial"/>
          <w:b/>
          <w:bCs/>
          <w:rtl/>
        </w:rPr>
        <w:footnoteReference w:id="2949"/>
      </w:r>
      <w:r w:rsidRPr="004C7B27">
        <w:rPr>
          <w:rFonts w:hint="cs"/>
          <w:b/>
          <w:bCs/>
          <w:rtl/>
        </w:rPr>
        <w:t>:</w:t>
      </w:r>
      <w:r>
        <w:rPr>
          <w:rFonts w:hint="cs"/>
          <w:rtl/>
        </w:rPr>
        <w:t xml:space="preserve"> </w:t>
      </w:r>
      <w:r w:rsidRPr="004C7B27">
        <w:rPr>
          <w:rFonts w:cs="Arial"/>
          <w:u w:val="single"/>
          <w:rtl/>
        </w:rPr>
        <w:t>רב חסדא בעי</w:t>
      </w:r>
      <w:r>
        <w:rPr>
          <w:rFonts w:cs="Arial" w:hint="cs"/>
          <w:rtl/>
        </w:rPr>
        <w:t>:</w:t>
      </w:r>
      <w:r w:rsidRPr="004C7B27">
        <w:rPr>
          <w:rFonts w:cs="Arial"/>
          <w:rtl/>
        </w:rPr>
        <w:t xml:space="preserve"> היה שם לאילו ולאילו מזון שנים עשר חדש ואלמנה לזון</w:t>
      </w:r>
      <w:r>
        <w:rPr>
          <w:rFonts w:cs="Arial" w:hint="cs"/>
          <w:rtl/>
        </w:rPr>
        <w:t>,</w:t>
      </w:r>
      <w:r w:rsidRPr="004C7B27">
        <w:rPr>
          <w:rFonts w:cs="Arial"/>
          <w:rtl/>
        </w:rPr>
        <w:t xml:space="preserve"> מהו שיאמרו בנים לבנות אין לכם אלא מזון שנים עשר חדש</w:t>
      </w:r>
      <w:r>
        <w:rPr>
          <w:rFonts w:cs="Arial" w:hint="cs"/>
          <w:rtl/>
        </w:rPr>
        <w:t>?</w:t>
      </w:r>
      <w:r w:rsidRPr="004C7B27">
        <w:rPr>
          <w:rFonts w:cs="Arial"/>
          <w:rtl/>
        </w:rPr>
        <w:t xml:space="preserve"> ודא דתימר והוא שיהא שם לאילו ולאילו מזון שנים עשר חדש חוץ מכתובת אשה</w:t>
      </w:r>
      <w:r>
        <w:rPr>
          <w:rFonts w:cs="Arial" w:hint="cs"/>
          <w:rtl/>
        </w:rPr>
        <w:t>,</w:t>
      </w:r>
      <w:r w:rsidRPr="004C7B27">
        <w:rPr>
          <w:rFonts w:cs="Arial"/>
          <w:rtl/>
        </w:rPr>
        <w:t xml:space="preserve"> חוץ ממזונות אלמנה</w:t>
      </w:r>
      <w:r>
        <w:rPr>
          <w:rFonts w:cs="Arial" w:hint="cs"/>
          <w:rtl/>
        </w:rPr>
        <w:t>,</w:t>
      </w:r>
      <w:r w:rsidRPr="004C7B27">
        <w:rPr>
          <w:rFonts w:cs="Arial"/>
          <w:rtl/>
        </w:rPr>
        <w:t xml:space="preserve"> חוץ מפרנסת בנות</w:t>
      </w:r>
      <w:r>
        <w:rPr>
          <w:rFonts w:cs="Arial" w:hint="cs"/>
          <w:rtl/>
        </w:rPr>
        <w:t>,</w:t>
      </w:r>
      <w:r w:rsidRPr="004C7B27">
        <w:rPr>
          <w:rFonts w:cs="Arial"/>
          <w:rtl/>
        </w:rPr>
        <w:t xml:space="preserve"> חוץ ממלוה בשטר</w:t>
      </w:r>
      <w:r>
        <w:rPr>
          <w:rFonts w:cs="Arial" w:hint="cs"/>
          <w:rtl/>
        </w:rPr>
        <w:t>,</w:t>
      </w:r>
      <w:r w:rsidRPr="004C7B27">
        <w:rPr>
          <w:rFonts w:cs="Arial"/>
          <w:rtl/>
        </w:rPr>
        <w:t xml:space="preserve"> חוץ ממלו' בעדים</w:t>
      </w:r>
      <w:r>
        <w:rPr>
          <w:rFonts w:cs="Arial" w:hint="cs"/>
          <w:rtl/>
        </w:rPr>
        <w:t>,</w:t>
      </w:r>
      <w:r w:rsidRPr="004C7B27">
        <w:rPr>
          <w:rFonts w:cs="Arial"/>
          <w:rtl/>
        </w:rPr>
        <w:t xml:space="preserve"> חוץ מקבורת'. </w:t>
      </w:r>
      <w:r w:rsidRPr="004C7B27">
        <w:rPr>
          <w:rFonts w:cs="Arial" w:hint="cs"/>
          <w:sz w:val="16"/>
          <w:szCs w:val="16"/>
          <w:rtl/>
        </w:rPr>
        <w:t>(</w:t>
      </w:r>
      <w:r w:rsidRPr="004C7B27">
        <w:rPr>
          <w:rFonts w:cs="Arial"/>
          <w:sz w:val="16"/>
          <w:szCs w:val="16"/>
          <w:rtl/>
        </w:rPr>
        <w:t>משמע דפליגא אגמרא דידן דסלקו בתיקו</w:t>
      </w:r>
      <w:r w:rsidRPr="004C7B27">
        <w:rPr>
          <w:rFonts w:cs="Arial" w:hint="cs"/>
          <w:sz w:val="16"/>
          <w:szCs w:val="16"/>
          <w:rtl/>
        </w:rPr>
        <w:t>, רא"ש (פ"ב סי ג))</w:t>
      </w:r>
    </w:p>
    <w:p w14:paraId="1C96BEE1" w14:textId="77777777" w:rsidR="002E5BAD" w:rsidRPr="001D444C" w:rsidRDefault="002E5BAD" w:rsidP="002E5BAD">
      <w:pPr>
        <w:rPr>
          <w:u w:val="single"/>
          <w:rtl/>
        </w:rPr>
      </w:pPr>
      <w:r w:rsidRPr="001D444C">
        <w:rPr>
          <w:rFonts w:hint="cs"/>
          <w:u w:val="single"/>
          <w:rtl/>
        </w:rPr>
        <w:t>נכסים מרובים אבל יש עליהם חיוב ל</w:t>
      </w:r>
      <w:r w:rsidRPr="00A13A6B">
        <w:rPr>
          <w:rFonts w:hint="cs"/>
          <w:b/>
          <w:bCs/>
          <w:u w:val="single"/>
          <w:rtl/>
        </w:rPr>
        <w:t>מזונות בת אשתו</w:t>
      </w:r>
      <w:r>
        <w:rPr>
          <w:rFonts w:hint="cs"/>
          <w:u w:val="single"/>
          <w:rtl/>
        </w:rPr>
        <w:t xml:space="preserve"> </w:t>
      </w:r>
      <w:r w:rsidRPr="00A13A6B">
        <w:rPr>
          <w:rFonts w:hint="cs"/>
          <w:b/>
          <w:bCs/>
          <w:u w:val="single"/>
          <w:rtl/>
        </w:rPr>
        <w:t>/</w:t>
      </w:r>
      <w:r>
        <w:rPr>
          <w:rFonts w:hint="cs"/>
          <w:u w:val="single"/>
          <w:rtl/>
        </w:rPr>
        <w:t xml:space="preserve"> </w:t>
      </w:r>
      <w:r w:rsidRPr="00A13A6B">
        <w:rPr>
          <w:rFonts w:hint="cs"/>
          <w:b/>
          <w:bCs/>
          <w:u w:val="single"/>
          <w:rtl/>
        </w:rPr>
        <w:t>בע"ח</w:t>
      </w:r>
      <w:r w:rsidRPr="001D444C">
        <w:rPr>
          <w:rFonts w:hint="cs"/>
          <w:u w:val="single"/>
          <w:rtl/>
        </w:rPr>
        <w:t>, ולאחר תשלום החיוב יהיו מועטים:</w:t>
      </w:r>
    </w:p>
    <w:p w14:paraId="5E257F26" w14:textId="77777777" w:rsidR="002E5BAD" w:rsidRDefault="002E5BAD" w:rsidP="00B75458">
      <w:pPr>
        <w:pStyle w:val="ab"/>
        <w:numPr>
          <w:ilvl w:val="0"/>
          <w:numId w:val="195"/>
        </w:numPr>
      </w:pPr>
      <w:r>
        <w:rPr>
          <w:rFonts w:hint="cs"/>
          <w:rtl/>
        </w:rPr>
        <w:t>רמב"ם</w:t>
      </w:r>
      <w:r>
        <w:rPr>
          <w:rStyle w:val="a7"/>
          <w:rtl/>
        </w:rPr>
        <w:footnoteReference w:id="2950"/>
      </w:r>
      <w:r>
        <w:rPr>
          <w:rFonts w:hint="cs"/>
          <w:sz w:val="16"/>
          <w:szCs w:val="16"/>
          <w:rtl/>
        </w:rPr>
        <w:t xml:space="preserve"> (פי"ט ה"כ)</w:t>
      </w:r>
      <w:r>
        <w:rPr>
          <w:rFonts w:cs="Arial" w:hint="cs"/>
          <w:rtl/>
        </w:rPr>
        <w:t xml:space="preserve"> וטור- </w:t>
      </w:r>
      <w:r w:rsidRPr="00B345A5">
        <w:rPr>
          <w:rFonts w:cs="Arial"/>
          <w:rtl/>
        </w:rPr>
        <w:t>היו מרובים ויש עליהם ב"ח</w:t>
      </w:r>
      <w:r>
        <w:rPr>
          <w:rStyle w:val="a7"/>
          <w:rFonts w:cs="Arial"/>
          <w:rtl/>
        </w:rPr>
        <w:footnoteReference w:id="2951"/>
      </w:r>
      <w:r>
        <w:rPr>
          <w:rFonts w:cs="Arial" w:hint="cs"/>
          <w:rtl/>
        </w:rPr>
        <w:t>,</w:t>
      </w:r>
      <w:r w:rsidRPr="00B345A5">
        <w:rPr>
          <w:rFonts w:cs="Arial"/>
          <w:rtl/>
        </w:rPr>
        <w:t xml:space="preserve"> או חיוב מזונות בת אשתו</w:t>
      </w:r>
      <w:r>
        <w:rPr>
          <w:rFonts w:cs="Arial" w:hint="cs"/>
          <w:rtl/>
        </w:rPr>
        <w:t xml:space="preserve">... </w:t>
      </w:r>
      <w:r w:rsidRPr="00B345A5">
        <w:rPr>
          <w:rFonts w:cs="Arial"/>
          <w:rtl/>
        </w:rPr>
        <w:t xml:space="preserve">וכשיוציא אחד מאלו ישארו מועטים </w:t>
      </w:r>
      <w:r>
        <w:rPr>
          <w:rFonts w:cs="Arial" w:hint="cs"/>
          <w:rtl/>
        </w:rPr>
        <w:t xml:space="preserve">- </w:t>
      </w:r>
      <w:r w:rsidRPr="00B345A5">
        <w:rPr>
          <w:rFonts w:cs="Arial"/>
          <w:rtl/>
        </w:rPr>
        <w:t>יש להם דין מרובים ויפרעו החוב שעליהן ויזונו הבנות מתחת ידיהם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5F8BC499" w14:textId="77777777" w:rsidR="002E5BAD" w:rsidRPr="009551D3" w:rsidRDefault="002E5BAD" w:rsidP="002E5BAD">
      <w:pPr>
        <w:ind w:left="360"/>
        <w:rPr>
          <w:u w:val="dotted"/>
        </w:rPr>
      </w:pPr>
      <w:r w:rsidRPr="009551D3">
        <w:rPr>
          <w:rFonts w:hint="cs"/>
          <w:u w:val="dotted"/>
          <w:rtl/>
        </w:rPr>
        <w:t xml:space="preserve">ומה הדין אם יש </w:t>
      </w:r>
      <w:r>
        <w:rPr>
          <w:rFonts w:hint="cs"/>
          <w:u w:val="dotted"/>
          <w:rtl/>
        </w:rPr>
        <w:t xml:space="preserve">עליהם </w:t>
      </w:r>
      <w:r w:rsidRPr="009551D3">
        <w:rPr>
          <w:rFonts w:hint="cs"/>
          <w:u w:val="dotted"/>
          <w:rtl/>
        </w:rPr>
        <w:t xml:space="preserve">חיוב </w:t>
      </w:r>
      <w:r w:rsidRPr="00A13A6B">
        <w:rPr>
          <w:rFonts w:hint="cs"/>
          <w:b/>
          <w:bCs/>
          <w:u w:val="dotted"/>
          <w:rtl/>
        </w:rPr>
        <w:t>עישור נכסים</w:t>
      </w:r>
      <w:r w:rsidRPr="009551D3">
        <w:rPr>
          <w:rFonts w:hint="cs"/>
          <w:u w:val="dotted"/>
          <w:rtl/>
        </w:rPr>
        <w:t>:</w:t>
      </w:r>
    </w:p>
    <w:p w14:paraId="1001FBB9" w14:textId="77777777" w:rsidR="002E5BAD" w:rsidRDefault="002E5BAD" w:rsidP="00B75458">
      <w:pPr>
        <w:pStyle w:val="ab"/>
        <w:numPr>
          <w:ilvl w:val="0"/>
          <w:numId w:val="195"/>
        </w:numPr>
      </w:pPr>
      <w:r>
        <w:rPr>
          <w:rFonts w:cs="Arial" w:hint="cs"/>
          <w:rtl/>
        </w:rPr>
        <w:t xml:space="preserve">רא"ש </w:t>
      </w:r>
      <w:r>
        <w:rPr>
          <w:rFonts w:cs="Arial" w:hint="cs"/>
          <w:sz w:val="16"/>
          <w:szCs w:val="16"/>
          <w:rtl/>
        </w:rPr>
        <w:t xml:space="preserve">(פ"ט סי' ג) </w:t>
      </w:r>
      <w:r>
        <w:rPr>
          <w:rFonts w:cs="Arial" w:hint="cs"/>
          <w:rtl/>
        </w:rPr>
        <w:t xml:space="preserve">וטור- </w:t>
      </w:r>
      <w:r w:rsidRPr="00B345A5">
        <w:rPr>
          <w:rFonts w:cs="Arial"/>
          <w:rtl/>
        </w:rPr>
        <w:t>היו מרובים ויש עליהם</w:t>
      </w:r>
      <w:r>
        <w:rPr>
          <w:rFonts w:cs="Arial" w:hint="cs"/>
          <w:rtl/>
        </w:rPr>
        <w:t>...</w:t>
      </w:r>
      <w:r w:rsidRPr="00B345A5">
        <w:rPr>
          <w:rFonts w:cs="Arial"/>
          <w:rtl/>
        </w:rPr>
        <w:t xml:space="preserve"> חיוב עישור נכסים לפרנס בתו</w:t>
      </w:r>
      <w:r>
        <w:rPr>
          <w:rFonts w:cs="Arial" w:hint="cs"/>
          <w:rtl/>
        </w:rPr>
        <w:t>...</w:t>
      </w:r>
      <w:r w:rsidRPr="00B345A5">
        <w:rPr>
          <w:rFonts w:cs="Arial"/>
          <w:rtl/>
        </w:rPr>
        <w:t xml:space="preserve"> </w:t>
      </w:r>
      <w:r>
        <w:rPr>
          <w:rFonts w:cs="Arial" w:hint="cs"/>
          <w:rtl/>
        </w:rPr>
        <w:t xml:space="preserve">- </w:t>
      </w:r>
      <w:r w:rsidRPr="00B345A5">
        <w:rPr>
          <w:rFonts w:cs="Arial"/>
          <w:rtl/>
        </w:rPr>
        <w:t>יש להם דין מרובים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3722AF64" w14:textId="77777777" w:rsidR="002E5BAD" w:rsidRPr="00A13A6B" w:rsidRDefault="002E5BAD" w:rsidP="002E5BAD">
      <w:pPr>
        <w:ind w:left="360"/>
        <w:rPr>
          <w:u w:val="dotted"/>
        </w:rPr>
      </w:pPr>
      <w:r w:rsidRPr="00A13A6B">
        <w:rPr>
          <w:rFonts w:hint="cs"/>
          <w:u w:val="dotted"/>
          <w:rtl/>
        </w:rPr>
        <w:t xml:space="preserve">ומה הדין אם יש עליהם חיוב </w:t>
      </w:r>
      <w:r w:rsidRPr="00A13A6B">
        <w:rPr>
          <w:rFonts w:hint="cs"/>
          <w:b/>
          <w:bCs/>
          <w:u w:val="dotted"/>
          <w:rtl/>
        </w:rPr>
        <w:t>מזונות אלמנה</w:t>
      </w:r>
      <w:r w:rsidRPr="00A13A6B">
        <w:rPr>
          <w:rFonts w:hint="cs"/>
          <w:u w:val="dotted"/>
          <w:rtl/>
        </w:rPr>
        <w:t>:</w:t>
      </w:r>
    </w:p>
    <w:p w14:paraId="48AF583C" w14:textId="77777777" w:rsidR="002E5BAD" w:rsidRDefault="002E5BAD" w:rsidP="00B75458">
      <w:pPr>
        <w:pStyle w:val="ab"/>
        <w:numPr>
          <w:ilvl w:val="0"/>
          <w:numId w:val="195"/>
        </w:numPr>
      </w:pPr>
      <w:r>
        <w:rPr>
          <w:rFonts w:cs="Arial" w:hint="cs"/>
          <w:rtl/>
        </w:rPr>
        <w:t xml:space="preserve">טור- </w:t>
      </w:r>
      <w:r w:rsidRPr="00B345A5">
        <w:rPr>
          <w:rFonts w:cs="Arial"/>
          <w:rtl/>
        </w:rPr>
        <w:t>היו מרובים ויש עליהם</w:t>
      </w:r>
      <w:r>
        <w:rPr>
          <w:rFonts w:cs="Arial" w:hint="cs"/>
          <w:rtl/>
        </w:rPr>
        <w:t>...</w:t>
      </w:r>
      <w:r w:rsidRPr="00B345A5">
        <w:rPr>
          <w:rFonts w:cs="Arial"/>
          <w:rtl/>
        </w:rPr>
        <w:t xml:space="preserve"> מזונות האלמנה</w:t>
      </w:r>
      <w:r>
        <w:rPr>
          <w:rFonts w:cs="Arial" w:hint="cs"/>
          <w:rtl/>
        </w:rPr>
        <w:t>...</w:t>
      </w:r>
      <w:r w:rsidRPr="00B345A5">
        <w:rPr>
          <w:rFonts w:cs="Arial"/>
          <w:rtl/>
        </w:rPr>
        <w:t xml:space="preserve"> </w:t>
      </w:r>
      <w:r>
        <w:rPr>
          <w:rFonts w:cs="Arial" w:hint="cs"/>
          <w:rtl/>
        </w:rPr>
        <w:t xml:space="preserve">- </w:t>
      </w:r>
      <w:r w:rsidRPr="00B345A5">
        <w:rPr>
          <w:rFonts w:cs="Arial"/>
          <w:rtl/>
        </w:rPr>
        <w:t>יש להם דין מרובים</w:t>
      </w:r>
      <w:r>
        <w:rPr>
          <w:rFonts w:cs="Arial" w:hint="cs"/>
          <w:rtl/>
        </w:rPr>
        <w:t>...</w:t>
      </w:r>
      <w:r w:rsidRPr="00B345A5">
        <w:rPr>
          <w:rFonts w:cs="Arial"/>
          <w:rtl/>
        </w:rPr>
        <w:t xml:space="preserve"> </w:t>
      </w:r>
      <w:r>
        <w:rPr>
          <w:rFonts w:cs="Arial" w:hint="cs"/>
          <w:rtl/>
        </w:rPr>
        <w:t>וי</w:t>
      </w:r>
      <w:r w:rsidRPr="00B345A5">
        <w:rPr>
          <w:rFonts w:cs="Arial"/>
          <w:rtl/>
        </w:rPr>
        <w:t>זונו שלשתן יחד</w:t>
      </w:r>
      <w:r>
        <w:rPr>
          <w:rFonts w:cs="Arial" w:hint="cs"/>
          <w:rtl/>
        </w:rPr>
        <w:t>.</w:t>
      </w:r>
      <w:r w:rsidRPr="00B345A5">
        <w:rPr>
          <w:rFonts w:cs="Arial"/>
          <w:rtl/>
        </w:rPr>
        <w:t xml:space="preserve"> </w:t>
      </w:r>
    </w:p>
    <w:p w14:paraId="09D8C586" w14:textId="77777777" w:rsidR="002E5BAD" w:rsidRDefault="002E5BAD" w:rsidP="00B75458">
      <w:pPr>
        <w:pStyle w:val="ab"/>
        <w:numPr>
          <w:ilvl w:val="0"/>
          <w:numId w:val="195"/>
        </w:numPr>
        <w:rPr>
          <w:rtl/>
        </w:rPr>
      </w:pPr>
      <w:r>
        <w:rPr>
          <w:rFonts w:cs="Arial" w:hint="cs"/>
          <w:rtl/>
        </w:rPr>
        <w:t xml:space="preserve">הה"מ </w:t>
      </w:r>
      <w:r w:rsidRPr="00C573F5">
        <w:rPr>
          <w:rFonts w:cs="Arial" w:hint="cs"/>
          <w:sz w:val="16"/>
          <w:szCs w:val="16"/>
          <w:rtl/>
        </w:rPr>
        <w:t>(</w:t>
      </w:r>
      <w:r w:rsidRPr="00C573F5">
        <w:rPr>
          <w:rFonts w:cs="Arial"/>
          <w:sz w:val="16"/>
          <w:szCs w:val="16"/>
          <w:rtl/>
        </w:rPr>
        <w:t>פי"ט הכ"א</w:t>
      </w:r>
      <w:r>
        <w:rPr>
          <w:rFonts w:cs="Arial" w:hint="cs"/>
          <w:sz w:val="16"/>
          <w:szCs w:val="16"/>
          <w:rtl/>
        </w:rPr>
        <w:t>, הביאו הב"י בבדה"ב</w:t>
      </w:r>
      <w:r w:rsidRPr="00C573F5">
        <w:rPr>
          <w:rFonts w:cs="Arial"/>
          <w:sz w:val="16"/>
          <w:szCs w:val="16"/>
          <w:rtl/>
        </w:rPr>
        <w:t>)</w:t>
      </w:r>
      <w:r w:rsidRPr="00F0077E">
        <w:rPr>
          <w:rFonts w:cs="Arial"/>
          <w:rtl/>
        </w:rPr>
        <w:t xml:space="preserve"> בשם המפרשים</w:t>
      </w:r>
      <w:r>
        <w:rPr>
          <w:rFonts w:cs="Arial" w:hint="cs"/>
          <w:sz w:val="16"/>
          <w:szCs w:val="16"/>
          <w:rtl/>
        </w:rPr>
        <w:t xml:space="preserve"> (רי"ף רמב"ם רמב"ן ור"ן)</w:t>
      </w:r>
      <w:r>
        <w:rPr>
          <w:rFonts w:cs="Arial" w:hint="cs"/>
          <w:rtl/>
        </w:rPr>
        <w:t xml:space="preserve">- </w:t>
      </w:r>
      <w:r w:rsidRPr="00F0077E">
        <w:rPr>
          <w:rFonts w:cs="Arial"/>
          <w:rtl/>
        </w:rPr>
        <w:t>מזונות אלמנה ממעטים</w:t>
      </w:r>
      <w:r w:rsidRPr="00F0077E">
        <w:rPr>
          <w:rFonts w:cs="Arial" w:hint="cs"/>
          <w:rtl/>
        </w:rPr>
        <w:t>.</w:t>
      </w:r>
      <w:r w:rsidRPr="00C573F5">
        <w:rPr>
          <w:rFonts w:hint="cs"/>
          <w:color w:val="E36C0A" w:themeColor="accent6" w:themeShade="BF"/>
          <w:rtl/>
        </w:rPr>
        <w:t xml:space="preserve"> </w:t>
      </w:r>
      <w:r w:rsidRPr="00EA5C7B">
        <w:rPr>
          <w:rFonts w:hint="cs"/>
          <w:color w:val="E36C0A" w:themeColor="accent6" w:themeShade="BF"/>
          <w:rtl/>
        </w:rPr>
        <w:t>(וכ"פ בשו"ע</w:t>
      </w:r>
      <w:r>
        <w:rPr>
          <w:rFonts w:hint="cs"/>
          <w:color w:val="E36C0A" w:themeColor="accent6" w:themeShade="BF"/>
          <w:rtl/>
        </w:rPr>
        <w:t xml:space="preserve"> </w:t>
      </w:r>
      <w:r w:rsidRPr="00290018">
        <w:rPr>
          <w:rFonts w:hint="cs"/>
          <w:color w:val="000000" w:themeColor="text1"/>
          <w:sz w:val="16"/>
          <w:szCs w:val="16"/>
          <w:rtl/>
        </w:rPr>
        <w:t>[</w:t>
      </w:r>
      <w:r>
        <w:rPr>
          <w:rFonts w:hint="cs"/>
          <w:color w:val="000000" w:themeColor="text1"/>
          <w:sz w:val="16"/>
          <w:szCs w:val="16"/>
          <w:rtl/>
        </w:rPr>
        <w:t>בסע' הבא ובסי' צג ס"ד</w:t>
      </w:r>
      <w:r>
        <w:rPr>
          <w:rStyle w:val="a7"/>
          <w:color w:val="000000" w:themeColor="text1"/>
          <w:sz w:val="16"/>
          <w:szCs w:val="16"/>
          <w:rtl/>
        </w:rPr>
        <w:footnoteReference w:id="2952"/>
      </w:r>
      <w:r>
        <w:rPr>
          <w:rFonts w:hint="cs"/>
          <w:color w:val="000000" w:themeColor="text1"/>
          <w:sz w:val="16"/>
          <w:szCs w:val="16"/>
          <w:rtl/>
        </w:rPr>
        <w:t>]</w:t>
      </w:r>
      <w:r w:rsidRPr="00EA5C7B">
        <w:rPr>
          <w:rFonts w:hint="cs"/>
          <w:color w:val="E36C0A" w:themeColor="accent6" w:themeShade="BF"/>
          <w:rtl/>
        </w:rPr>
        <w:t>)</w:t>
      </w:r>
    </w:p>
    <w:p w14:paraId="5C1E6358" w14:textId="77777777" w:rsidR="002E5BAD" w:rsidRPr="00A13A6B" w:rsidRDefault="002E5BAD" w:rsidP="002E5BAD">
      <w:pPr>
        <w:ind w:left="360"/>
        <w:rPr>
          <w:u w:val="dotted"/>
        </w:rPr>
      </w:pPr>
      <w:r w:rsidRPr="00A13A6B">
        <w:rPr>
          <w:rFonts w:hint="cs"/>
          <w:u w:val="dotted"/>
          <w:rtl/>
        </w:rPr>
        <w:t xml:space="preserve">ומה הדין אם יש עליהם חיוב </w:t>
      </w:r>
      <w:r w:rsidRPr="00A13A6B">
        <w:rPr>
          <w:rFonts w:hint="cs"/>
          <w:b/>
          <w:bCs/>
          <w:u w:val="dotted"/>
          <w:rtl/>
        </w:rPr>
        <w:t>כתובת אלמנה</w:t>
      </w:r>
      <w:r w:rsidRPr="00A13A6B">
        <w:rPr>
          <w:rFonts w:hint="cs"/>
          <w:u w:val="dotted"/>
          <w:rtl/>
        </w:rPr>
        <w:t>:</w:t>
      </w:r>
    </w:p>
    <w:p w14:paraId="14D6139E" w14:textId="77777777" w:rsidR="002E5BAD" w:rsidRPr="00EF7111" w:rsidRDefault="002E5BAD" w:rsidP="00B75458">
      <w:pPr>
        <w:pStyle w:val="ab"/>
        <w:numPr>
          <w:ilvl w:val="0"/>
          <w:numId w:val="195"/>
        </w:numPr>
      </w:pPr>
      <w:r>
        <w:rPr>
          <w:rFonts w:cs="Arial" w:hint="cs"/>
          <w:rtl/>
        </w:rPr>
        <w:t xml:space="preserve">רא"ש </w:t>
      </w:r>
      <w:r>
        <w:rPr>
          <w:rFonts w:cs="Arial" w:hint="cs"/>
          <w:sz w:val="16"/>
          <w:szCs w:val="16"/>
          <w:rtl/>
        </w:rPr>
        <w:t xml:space="preserve">(פ"ט סי' ג) </w:t>
      </w:r>
      <w:r>
        <w:rPr>
          <w:rFonts w:cs="Arial" w:hint="cs"/>
          <w:rtl/>
        </w:rPr>
        <w:t xml:space="preserve">וטור- </w:t>
      </w:r>
      <w:r w:rsidRPr="00B345A5">
        <w:rPr>
          <w:rFonts w:cs="Arial"/>
          <w:rtl/>
        </w:rPr>
        <w:t>היו מרובים ויש עליהם</w:t>
      </w:r>
      <w:r>
        <w:rPr>
          <w:rFonts w:cs="Arial" w:hint="cs"/>
          <w:rtl/>
        </w:rPr>
        <w:t>...</w:t>
      </w:r>
      <w:r w:rsidRPr="00B345A5">
        <w:rPr>
          <w:rFonts w:cs="Arial"/>
          <w:rtl/>
        </w:rPr>
        <w:t xml:space="preserve"> כתובת אלמנה </w:t>
      </w:r>
      <w:r>
        <w:rPr>
          <w:rFonts w:cs="Arial" w:hint="cs"/>
          <w:rtl/>
        </w:rPr>
        <w:t xml:space="preserve">- </w:t>
      </w:r>
      <w:r w:rsidRPr="00B345A5">
        <w:rPr>
          <w:rFonts w:cs="Arial"/>
          <w:rtl/>
        </w:rPr>
        <w:t>ממעטת</w:t>
      </w:r>
      <w:r>
        <w:rPr>
          <w:rFonts w:cs="Arial" w:hint="cs"/>
          <w:rtl/>
        </w:rPr>
        <w:t>,</w:t>
      </w:r>
      <w:r w:rsidRPr="00B345A5">
        <w:rPr>
          <w:rFonts w:cs="Arial"/>
          <w:rtl/>
        </w:rPr>
        <w:t xml:space="preserve"> ועושין אותם מועטים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73BB566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EED4F4" w14:textId="77777777" w:rsidR="002E5BAD" w:rsidRDefault="002E5BAD" w:rsidP="002E5BAD">
      <w:pPr>
        <w:rPr>
          <w:rFonts w:cs="Arial"/>
          <w:rtl/>
        </w:rPr>
      </w:pPr>
      <w:r w:rsidRPr="00523CDE">
        <w:rPr>
          <w:rFonts w:cs="Arial"/>
          <w:rtl/>
        </w:rPr>
        <w:t>היו הנכסים מרובים ויש עליו חוב</w:t>
      </w:r>
      <w:r>
        <w:rPr>
          <w:rStyle w:val="a7"/>
          <w:rFonts w:cs="Arial"/>
          <w:rtl/>
        </w:rPr>
        <w:footnoteReference w:id="2953"/>
      </w:r>
      <w:r>
        <w:rPr>
          <w:rFonts w:cs="Arial" w:hint="cs"/>
          <w:rtl/>
        </w:rPr>
        <w:t>,</w:t>
      </w:r>
      <w:r w:rsidRPr="00523CDE">
        <w:rPr>
          <w:rFonts w:cs="Arial"/>
          <w:rtl/>
        </w:rPr>
        <w:t xml:space="preserve"> או חיוב מזונות בת אשתו</w:t>
      </w:r>
      <w:r>
        <w:rPr>
          <w:rFonts w:cs="Arial" w:hint="cs"/>
          <w:rtl/>
        </w:rPr>
        <w:t>,</w:t>
      </w:r>
      <w:r w:rsidRPr="00523CDE">
        <w:rPr>
          <w:rFonts w:cs="Arial"/>
          <w:rtl/>
        </w:rPr>
        <w:t xml:space="preserve"> או חיוב עישור נכסים</w:t>
      </w:r>
      <w:r>
        <w:rPr>
          <w:rStyle w:val="a7"/>
          <w:rFonts w:cs="Arial"/>
          <w:rtl/>
        </w:rPr>
        <w:footnoteReference w:id="2954"/>
      </w:r>
      <w:r w:rsidRPr="00523CDE">
        <w:rPr>
          <w:rFonts w:cs="Arial"/>
          <w:rtl/>
        </w:rPr>
        <w:t xml:space="preserve"> לפרנסת בתו, וכשיוציא אחד מאלו ישארו מועטים, יש להם דין מרובים. אבל כתובת האלמנה ממעטת ועושה אותה מועטים. ומזונות האלמנה, י</w:t>
      </w:r>
      <w:r>
        <w:rPr>
          <w:rFonts w:cs="Arial" w:hint="cs"/>
          <w:rtl/>
        </w:rPr>
        <w:t>ש אומרים</w:t>
      </w:r>
      <w:r w:rsidRPr="00523CDE">
        <w:rPr>
          <w:rFonts w:cs="Arial"/>
          <w:rtl/>
        </w:rPr>
        <w:t xml:space="preserve"> שממעטים</w:t>
      </w:r>
      <w:r>
        <w:rPr>
          <w:rFonts w:cs="Arial" w:hint="cs"/>
          <w:rtl/>
        </w:rPr>
        <w:t>,</w:t>
      </w:r>
      <w:r w:rsidRPr="00523CDE">
        <w:rPr>
          <w:rFonts w:cs="Arial"/>
          <w:rtl/>
        </w:rPr>
        <w:t xml:space="preserve"> וי</w:t>
      </w:r>
      <w:r>
        <w:rPr>
          <w:rFonts w:cs="Arial" w:hint="cs"/>
          <w:rtl/>
        </w:rPr>
        <w:t xml:space="preserve">ש </w:t>
      </w:r>
      <w:r w:rsidRPr="00523CDE">
        <w:rPr>
          <w:rFonts w:cs="Arial"/>
          <w:rtl/>
        </w:rPr>
        <w:t>א</w:t>
      </w:r>
      <w:r>
        <w:rPr>
          <w:rFonts w:cs="Arial" w:hint="cs"/>
          <w:rtl/>
        </w:rPr>
        <w:t>ומרים</w:t>
      </w:r>
      <w:r w:rsidRPr="00523CDE">
        <w:rPr>
          <w:rFonts w:cs="Arial"/>
          <w:rtl/>
        </w:rPr>
        <w:t xml:space="preserve"> שאין ממעטים</w:t>
      </w:r>
      <w:r>
        <w:rPr>
          <w:rStyle w:val="a7"/>
          <w:rFonts w:cs="Arial"/>
          <w:rtl/>
        </w:rPr>
        <w:footnoteReference w:id="2955"/>
      </w:r>
      <w:r w:rsidRPr="00523CDE">
        <w:rPr>
          <w:rFonts w:cs="Arial"/>
          <w:rtl/>
        </w:rPr>
        <w:t xml:space="preserve">. </w:t>
      </w:r>
    </w:p>
    <w:p w14:paraId="096C9A8B" w14:textId="77777777" w:rsidR="002E5BAD" w:rsidRPr="00523CDE" w:rsidRDefault="002E5BAD" w:rsidP="002E5BAD">
      <w:pPr>
        <w:rPr>
          <w:rFonts w:cs="Arial"/>
          <w:rtl/>
        </w:rPr>
      </w:pPr>
    </w:p>
    <w:p w14:paraId="26716A63" w14:textId="77777777" w:rsidR="002E5BAD" w:rsidRDefault="002E5BAD" w:rsidP="002E5BAD">
      <w:pPr>
        <w:pStyle w:val="2"/>
        <w:rPr>
          <w:rtl/>
        </w:rPr>
      </w:pPr>
      <w:r w:rsidRPr="00523CDE">
        <w:rPr>
          <w:rtl/>
        </w:rPr>
        <w:t>סעיף טז</w:t>
      </w:r>
      <w:r>
        <w:rPr>
          <w:rFonts w:hint="cs"/>
          <w:rtl/>
        </w:rPr>
        <w:t>: נכסים מועטים ויש אלמנה ובת ו/או בן.</w:t>
      </w:r>
    </w:p>
    <w:p w14:paraId="680B3207" w14:textId="77777777" w:rsidR="002E5BAD" w:rsidRDefault="002E5BAD" w:rsidP="002E5BAD">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w:t>
      </w:r>
      <w:r>
        <w:rPr>
          <w:rStyle w:val="a7"/>
          <w:rFonts w:cs="Arial"/>
          <w:b/>
          <w:bCs/>
          <w:rtl/>
        </w:rPr>
        <w:footnoteReference w:id="2956"/>
      </w:r>
      <w:r>
        <w:rPr>
          <w:rFonts w:cs="Arial" w:hint="cs"/>
          <w:b/>
          <w:bCs/>
          <w:rtl/>
        </w:rPr>
        <w:t xml:space="preserve"> ע"ב: </w:t>
      </w:r>
      <w:r w:rsidRPr="009F73FD">
        <w:rPr>
          <w:rFonts w:cs="Arial"/>
          <w:u w:val="double"/>
          <w:rtl/>
        </w:rPr>
        <w:t>מתני'</w:t>
      </w:r>
      <w:r>
        <w:rPr>
          <w:rFonts w:cs="Arial" w:hint="cs"/>
          <w:rtl/>
        </w:rPr>
        <w:t>:</w:t>
      </w:r>
      <w:r w:rsidRPr="009F73FD">
        <w:rPr>
          <w:rFonts w:cs="Arial"/>
          <w:rtl/>
        </w:rPr>
        <w:t xml:space="preserve"> מי שמת והניח בנים ובנות, בזמן שהנכסים מרובין - הבנים יירשו והבנות יזונו, נכסים מועטין - הבנות יזונו והבנים ישאלו על הפתחים</w:t>
      </w:r>
      <w:r>
        <w:rPr>
          <w:rFonts w:cs="Arial" w:hint="cs"/>
          <w:rtl/>
        </w:rPr>
        <w:t>.</w:t>
      </w:r>
      <w:r w:rsidRPr="009F73FD">
        <w:rPr>
          <w:rFonts w:cs="Arial"/>
          <w:rtl/>
        </w:rPr>
        <w:t xml:space="preserve"> </w:t>
      </w:r>
      <w:r w:rsidRPr="009F73FD">
        <w:rPr>
          <w:rFonts w:cs="Arial"/>
          <w:u w:val="single"/>
          <w:rtl/>
        </w:rPr>
        <w:t>אדמון אומר</w:t>
      </w:r>
      <w:r w:rsidRPr="009F73FD">
        <w:rPr>
          <w:rFonts w:cs="Arial"/>
          <w:rtl/>
        </w:rPr>
        <w:t xml:space="preserve">: בשביל שאני זכר הפסדתי? </w:t>
      </w:r>
      <w:r w:rsidRPr="009F73FD">
        <w:rPr>
          <w:rFonts w:cs="Arial"/>
          <w:u w:val="single"/>
          <w:rtl/>
        </w:rPr>
        <w:t xml:space="preserve">אמר רבן </w:t>
      </w:r>
      <w:r w:rsidRPr="009F73FD">
        <w:rPr>
          <w:rFonts w:cs="Arial"/>
          <w:u w:val="single"/>
          <w:rtl/>
        </w:rPr>
        <w:lastRenderedPageBreak/>
        <w:t>גמליאל</w:t>
      </w:r>
      <w:r w:rsidRPr="009F73FD">
        <w:rPr>
          <w:rFonts w:cs="Arial"/>
          <w:rtl/>
        </w:rPr>
        <w:t xml:space="preserve">: רואה אני את דברי אדמון. </w:t>
      </w:r>
      <w:r>
        <w:rPr>
          <w:rFonts w:cs="Arial" w:hint="cs"/>
          <w:rtl/>
        </w:rPr>
        <w:t xml:space="preserve">        </w:t>
      </w:r>
      <w:r w:rsidRPr="0078313F">
        <w:rPr>
          <w:rFonts w:cs="Arial" w:hint="cs"/>
          <w:u w:val="double"/>
          <w:rtl/>
        </w:rPr>
        <w:t>גמ'</w:t>
      </w:r>
      <w:r>
        <w:rPr>
          <w:rFonts w:cs="Arial" w:hint="cs"/>
          <w:sz w:val="14"/>
          <w:szCs w:val="14"/>
          <w:u w:val="double"/>
          <w:rtl/>
        </w:rPr>
        <w:t>(קמ.)</w:t>
      </w:r>
      <w:r w:rsidRPr="0078313F">
        <w:rPr>
          <w:rFonts w:cs="Arial" w:hint="cs"/>
          <w:u w:val="double"/>
          <w:rtl/>
        </w:rPr>
        <w:t>:</w:t>
      </w:r>
      <w:r>
        <w:rPr>
          <w:rFonts w:cs="Arial" w:hint="cs"/>
          <w:rtl/>
        </w:rPr>
        <w:t xml:space="preserve"> </w:t>
      </w:r>
      <w:r w:rsidRPr="0078313F">
        <w:rPr>
          <w:rFonts w:cs="Arial"/>
          <w:u w:val="single"/>
          <w:rtl/>
        </w:rPr>
        <w:t>יתיב רבי ירמיה קמיה דרבי אבהו וקא בעי מיניה</w:t>
      </w:r>
      <w:r w:rsidRPr="0078313F">
        <w:rPr>
          <w:rFonts w:cs="Arial"/>
          <w:rtl/>
        </w:rPr>
        <w:t>: אלמנתו מהו שתמעט בנכסים</w:t>
      </w:r>
      <w:r>
        <w:rPr>
          <w:rStyle w:val="a7"/>
          <w:rFonts w:cs="Arial"/>
          <w:rtl/>
        </w:rPr>
        <w:footnoteReference w:id="2957"/>
      </w:r>
      <w:r w:rsidRPr="0078313F">
        <w:rPr>
          <w:rFonts w:cs="Arial"/>
          <w:rtl/>
        </w:rPr>
        <w:t>?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cs="Arial" w:hint="cs"/>
          <w:sz w:val="14"/>
          <w:szCs w:val="14"/>
          <w:rtl/>
        </w:rPr>
        <w:t>(קמ:)</w:t>
      </w:r>
      <w:r w:rsidRPr="0078313F">
        <w:rPr>
          <w:rtl/>
        </w:rPr>
        <w:t xml:space="preserve"> </w:t>
      </w:r>
      <w:r w:rsidRPr="0078313F">
        <w:rPr>
          <w:rFonts w:cs="Arial"/>
          <w:rtl/>
        </w:rPr>
        <w:t>בת אשתו מהו שתמעט בנכסים? אלמנתו מהו שתמעט בנכסים? אלמנתו ובת אי זה מהן קודמת? אמר ליה: זיל האידנא ותא למחר. כי אתא, אמר ליה: פשוט מיהת חדא, דאמר רבי אבא אמר רבי אסי: עשו אלמנה אצל הבת כבת אצל האחין בנכסים מועטין, מה בת אצל אחין - הבת ניזונת והאחין ישאלו על הפתחים, אף אלמנה אצל הבת - אלמנה ניזונת והבת תשאל על הפתחים.</w:t>
      </w:r>
      <w:r>
        <w:rPr>
          <w:rFonts w:cs="Arial" w:hint="cs"/>
          <w:rtl/>
        </w:rPr>
        <w:t xml:space="preserve"> </w:t>
      </w:r>
    </w:p>
    <w:p w14:paraId="108B1D1F" w14:textId="77777777" w:rsidR="002E5BAD" w:rsidRDefault="002E5BAD" w:rsidP="002E5BAD">
      <w:pPr>
        <w:rPr>
          <w:rFonts w:cs="Arial"/>
          <w:rtl/>
        </w:rPr>
      </w:pPr>
      <w:r w:rsidRPr="004854C8">
        <w:rPr>
          <w:rFonts w:cs="Arial" w:hint="cs"/>
          <w:b/>
          <w:bCs/>
          <w:rtl/>
        </w:rPr>
        <w:t>ירושלמי בבא בתרא פ"ט ה"א</w:t>
      </w:r>
      <w:r>
        <w:rPr>
          <w:rStyle w:val="a7"/>
          <w:rFonts w:cs="Arial"/>
          <w:b/>
          <w:bCs/>
          <w:rtl/>
        </w:rPr>
        <w:footnoteReference w:id="2958"/>
      </w:r>
      <w:r w:rsidRPr="004854C8">
        <w:rPr>
          <w:rFonts w:cs="Arial" w:hint="cs"/>
          <w:b/>
          <w:bCs/>
          <w:rtl/>
        </w:rPr>
        <w:t xml:space="preserve">: </w:t>
      </w:r>
      <w:r w:rsidRPr="004854C8">
        <w:rPr>
          <w:rFonts w:cs="Arial"/>
          <w:u w:val="single"/>
          <w:rtl/>
        </w:rPr>
        <w:t>רב חסדא בעי</w:t>
      </w:r>
      <w:r>
        <w:rPr>
          <w:rFonts w:cs="Arial" w:hint="cs"/>
          <w:rtl/>
        </w:rPr>
        <w:t>:</w:t>
      </w:r>
      <w:r w:rsidRPr="004854C8">
        <w:rPr>
          <w:rFonts w:cs="Arial"/>
          <w:rtl/>
        </w:rPr>
        <w:t xml:space="preserve"> היה שם לאילו ולאילו מזון שנים עשר חדש ואלמנה לזון</w:t>
      </w:r>
      <w:r>
        <w:rPr>
          <w:rFonts w:cs="Arial" w:hint="cs"/>
          <w:rtl/>
        </w:rPr>
        <w:t>.</w:t>
      </w:r>
      <w:r w:rsidRPr="004854C8">
        <w:rPr>
          <w:rFonts w:cs="Arial"/>
          <w:rtl/>
        </w:rPr>
        <w:t xml:space="preserve"> מהו שיאמרו בנים לבנות אין לכם אלא מזון שנים עשר חדש. ודא דתימר והוא שיהא שם לאילו ולאילו מזון שנים עשר חדש חוץ מכתובת אשה</w:t>
      </w:r>
      <w:r>
        <w:rPr>
          <w:rFonts w:cs="Arial" w:hint="cs"/>
          <w:rtl/>
        </w:rPr>
        <w:t>,</w:t>
      </w:r>
      <w:r w:rsidRPr="004854C8">
        <w:rPr>
          <w:rFonts w:cs="Arial"/>
          <w:rtl/>
        </w:rPr>
        <w:t xml:space="preserve"> חוץ ממזונות אלמנה</w:t>
      </w:r>
      <w:r>
        <w:rPr>
          <w:rFonts w:cs="Arial" w:hint="cs"/>
          <w:rtl/>
        </w:rPr>
        <w:t>,</w:t>
      </w:r>
      <w:r w:rsidRPr="004854C8">
        <w:rPr>
          <w:rFonts w:cs="Arial"/>
          <w:rtl/>
        </w:rPr>
        <w:t xml:space="preserve"> חוץ מפרנסת בנות</w:t>
      </w:r>
      <w:r>
        <w:rPr>
          <w:rFonts w:cs="Arial" w:hint="cs"/>
          <w:rtl/>
        </w:rPr>
        <w:t>,</w:t>
      </w:r>
      <w:r w:rsidRPr="004854C8">
        <w:rPr>
          <w:rFonts w:cs="Arial"/>
          <w:rtl/>
        </w:rPr>
        <w:t xml:space="preserve"> חוץ ממלוה בשטר</w:t>
      </w:r>
      <w:r>
        <w:rPr>
          <w:rFonts w:cs="Arial" w:hint="cs"/>
          <w:rtl/>
        </w:rPr>
        <w:t>,</w:t>
      </w:r>
      <w:r w:rsidRPr="004854C8">
        <w:rPr>
          <w:rFonts w:cs="Arial"/>
          <w:rtl/>
        </w:rPr>
        <w:t xml:space="preserve"> חוץ ממלו' בעדים</w:t>
      </w:r>
      <w:r>
        <w:rPr>
          <w:rFonts w:cs="Arial" w:hint="cs"/>
          <w:rtl/>
        </w:rPr>
        <w:t>,</w:t>
      </w:r>
      <w:r w:rsidRPr="004854C8">
        <w:rPr>
          <w:rFonts w:cs="Arial"/>
          <w:rtl/>
        </w:rPr>
        <w:t xml:space="preserve"> חוץ מקבורת'. אלמנה ובנות שתי</w:t>
      </w:r>
      <w:r>
        <w:rPr>
          <w:rFonts w:cs="Arial" w:hint="cs"/>
          <w:rtl/>
        </w:rPr>
        <w:t>הן</w:t>
      </w:r>
      <w:r w:rsidRPr="004854C8">
        <w:rPr>
          <w:rFonts w:cs="Arial"/>
          <w:rtl/>
        </w:rPr>
        <w:t xml:space="preserve"> שוות</w:t>
      </w:r>
      <w:r>
        <w:rPr>
          <w:rFonts w:cs="Arial" w:hint="cs"/>
          <w:rtl/>
        </w:rPr>
        <w:t>.</w:t>
      </w:r>
      <w:r w:rsidRPr="004854C8">
        <w:rPr>
          <w:rFonts w:cs="Arial"/>
          <w:rtl/>
        </w:rPr>
        <w:t xml:space="preserve"> אלמנה ובנים שניה</w:t>
      </w:r>
      <w:r>
        <w:rPr>
          <w:rFonts w:cs="Arial" w:hint="cs"/>
          <w:rtl/>
        </w:rPr>
        <w:t>ם</w:t>
      </w:r>
      <w:r w:rsidRPr="004854C8">
        <w:rPr>
          <w:rFonts w:cs="Arial"/>
          <w:rtl/>
        </w:rPr>
        <w:t xml:space="preserve"> שוין</w:t>
      </w:r>
      <w:r>
        <w:rPr>
          <w:rFonts w:cs="Arial" w:hint="cs"/>
          <w:rtl/>
        </w:rPr>
        <w:t>.</w:t>
      </w:r>
      <w:r w:rsidRPr="004854C8">
        <w:rPr>
          <w:rFonts w:cs="Arial"/>
          <w:rtl/>
        </w:rPr>
        <w:t xml:space="preserve"> אין אלמנה דוחה לבנות</w:t>
      </w:r>
      <w:r>
        <w:rPr>
          <w:rFonts w:cs="Arial" w:hint="cs"/>
          <w:rtl/>
        </w:rPr>
        <w:t>,</w:t>
      </w:r>
      <w:r w:rsidRPr="004854C8">
        <w:rPr>
          <w:rFonts w:cs="Arial"/>
          <w:rtl/>
        </w:rPr>
        <w:t xml:space="preserve"> ולא בנות דוחות לאלמנה. פעמים שאלמנה דוחה לבנות על ידי בנים</w:t>
      </w:r>
      <w:r>
        <w:rPr>
          <w:rFonts w:cs="Arial" w:hint="cs"/>
          <w:rtl/>
        </w:rPr>
        <w:t>.</w:t>
      </w:r>
      <w:r w:rsidRPr="004854C8">
        <w:rPr>
          <w:rFonts w:cs="Arial"/>
          <w:rtl/>
        </w:rPr>
        <w:t xml:space="preserve"> כשם שהאלמנ' דוחה לבנות על ידי בנים כך תדחה אלמנה לבנים.</w:t>
      </w:r>
      <w:r>
        <w:rPr>
          <w:rFonts w:cs="Arial" w:hint="cs"/>
          <w:rtl/>
        </w:rPr>
        <w:t xml:space="preserve"> </w:t>
      </w:r>
      <w:r w:rsidRPr="00217F3F">
        <w:rPr>
          <w:rFonts w:cs="Arial" w:hint="cs"/>
          <w:sz w:val="16"/>
          <w:szCs w:val="16"/>
          <w:rtl/>
        </w:rPr>
        <w:t xml:space="preserve">(והביאו התוס' והרא"ש ירושלמי זה ופסקוהו. אך הרמב"ן כתב וז"ל- </w:t>
      </w:r>
      <w:r w:rsidRPr="00217F3F">
        <w:rPr>
          <w:rFonts w:cs="Arial"/>
          <w:sz w:val="16"/>
          <w:szCs w:val="16"/>
          <w:rtl/>
        </w:rPr>
        <w:t>ולא ידעתי אם ראוי לסמוך על הירושלמי בזה, שהיה להם לפרש כן בגמרא שלנו, אבל רבותי' סומכין עליו, ובודאי לא מצינו אף בגמרא שלנו מפורש שיהו מוציאין הנכסים מרשות הבנים משום מזונות אלמנה, אלא הבנים ירשו והאלמנה ניזונית, ונראה שהרב ר' משה הספרדי ז"ל לא סמך על הירושלמי בכאן ודעתי נוטה לו</w:t>
      </w:r>
      <w:r>
        <w:rPr>
          <w:rFonts w:cs="Arial" w:hint="cs"/>
          <w:sz w:val="16"/>
          <w:szCs w:val="16"/>
          <w:rtl/>
        </w:rPr>
        <w:t>. עכ"ל)</w:t>
      </w:r>
    </w:p>
    <w:p w14:paraId="43E8FB4A" w14:textId="77777777" w:rsidR="002E5BAD" w:rsidRPr="00F67790" w:rsidRDefault="002E5BAD" w:rsidP="002E5BAD">
      <w:pPr>
        <w:rPr>
          <w:rFonts w:cs="Arial"/>
          <w:u w:val="single"/>
          <w:rtl/>
        </w:rPr>
      </w:pPr>
      <w:r w:rsidRPr="00F67790">
        <w:rPr>
          <w:rFonts w:cs="Arial" w:hint="cs"/>
          <w:u w:val="single"/>
          <w:rtl/>
        </w:rPr>
        <w:t xml:space="preserve">כיצד יש לפרש את שאלת רבי ירמיה </w:t>
      </w:r>
      <w:r>
        <w:rPr>
          <w:rFonts w:cs="Arial"/>
          <w:u w:val="single"/>
          <w:rtl/>
        </w:rPr>
        <w:t>–</w:t>
      </w:r>
      <w:r w:rsidRPr="00F67790">
        <w:rPr>
          <w:rFonts w:cs="Arial" w:hint="cs"/>
          <w:u w:val="single"/>
          <w:rtl/>
        </w:rPr>
        <w:t xml:space="preserve"> </w:t>
      </w:r>
      <w:r>
        <w:rPr>
          <w:rFonts w:cs="Arial" w:hint="cs"/>
          <w:u w:val="single"/>
          <w:rtl/>
        </w:rPr>
        <w:t>'</w:t>
      </w:r>
      <w:r w:rsidRPr="00F67790">
        <w:rPr>
          <w:rFonts w:cs="Arial"/>
          <w:u w:val="single"/>
          <w:rtl/>
        </w:rPr>
        <w:t>אלמנתו מהו שתמעט בנכסים?</w:t>
      </w:r>
      <w:r>
        <w:rPr>
          <w:rFonts w:cs="Arial" w:hint="cs"/>
          <w:u w:val="single"/>
          <w:rtl/>
        </w:rPr>
        <w:t>'</w:t>
      </w:r>
      <w:r w:rsidRPr="00F67790">
        <w:rPr>
          <w:rFonts w:cs="Arial" w:hint="cs"/>
          <w:u w:val="single"/>
          <w:rtl/>
        </w:rPr>
        <w:t>:</w:t>
      </w:r>
    </w:p>
    <w:p w14:paraId="5BFD153B" w14:textId="77777777" w:rsidR="002E5BAD" w:rsidRDefault="002E5BAD" w:rsidP="00B75458">
      <w:pPr>
        <w:pStyle w:val="ab"/>
        <w:numPr>
          <w:ilvl w:val="0"/>
          <w:numId w:val="201"/>
        </w:numPr>
        <w:rPr>
          <w:rFonts w:cs="Arial"/>
        </w:rPr>
      </w:pPr>
      <w:r w:rsidRPr="008D2C72">
        <w:rPr>
          <w:rFonts w:cs="Arial"/>
          <w:rtl/>
        </w:rPr>
        <w:t>תוס</w:t>
      </w:r>
      <w:r>
        <w:rPr>
          <w:rFonts w:cs="Arial" w:hint="cs"/>
          <w:rtl/>
        </w:rPr>
        <w:t>'</w:t>
      </w:r>
      <w:r>
        <w:rPr>
          <w:rStyle w:val="a7"/>
          <w:rFonts w:cs="Arial"/>
          <w:rtl/>
        </w:rPr>
        <w:footnoteReference w:id="2959"/>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sidRPr="006872FF">
        <w:rPr>
          <w:rFonts w:cs="Arial"/>
          <w:rtl/>
        </w:rPr>
        <w:t>רא"ש</w:t>
      </w:r>
      <w:r>
        <w:rPr>
          <w:rStyle w:val="a7"/>
          <w:rFonts w:cs="Arial"/>
          <w:rtl/>
        </w:rPr>
        <w:footnoteReference w:id="2960"/>
      </w:r>
      <w:r w:rsidRPr="006872FF">
        <w:rPr>
          <w:rFonts w:cs="Arial"/>
          <w:rtl/>
        </w:rPr>
        <w:t xml:space="preserve"> </w:t>
      </w:r>
      <w:r w:rsidRPr="006872FF">
        <w:rPr>
          <w:rFonts w:cs="Arial" w:hint="cs"/>
          <w:sz w:val="16"/>
          <w:szCs w:val="16"/>
          <w:rtl/>
        </w:rPr>
        <w:t>(פ"ט</w:t>
      </w:r>
      <w:r w:rsidRPr="006872FF">
        <w:rPr>
          <w:rFonts w:cs="Arial"/>
          <w:sz w:val="16"/>
          <w:szCs w:val="16"/>
          <w:rtl/>
        </w:rPr>
        <w:t xml:space="preserve"> סי' ג)</w:t>
      </w:r>
      <w:r>
        <w:rPr>
          <w:rFonts w:cs="Arial" w:hint="cs"/>
          <w:rtl/>
        </w:rPr>
        <w:t xml:space="preserve"> וטור- </w:t>
      </w:r>
      <w:r w:rsidRPr="006872FF">
        <w:rPr>
          <w:rFonts w:cs="Arial"/>
          <w:rtl/>
        </w:rPr>
        <w:t>נראה לפרש דודאי אם אין כאן אלא אלמנה אצל הבנים שניהם שוין בנכסים</w:t>
      </w:r>
      <w:r w:rsidRPr="006872FF">
        <w:rPr>
          <w:rFonts w:cs="Arial" w:hint="cs"/>
          <w:rtl/>
        </w:rPr>
        <w:t>.</w:t>
      </w:r>
      <w:r w:rsidRPr="006872FF">
        <w:rPr>
          <w:rFonts w:cs="Arial"/>
          <w:rtl/>
        </w:rPr>
        <w:t xml:space="preserve"> וכן אם אין כאן אלא אלמנה ובנות</w:t>
      </w:r>
      <w:r>
        <w:rPr>
          <w:rFonts w:cs="Arial" w:hint="cs"/>
          <w:rtl/>
        </w:rPr>
        <w:t xml:space="preserve"> </w:t>
      </w:r>
      <w:r>
        <w:rPr>
          <w:rFonts w:cs="Arial" w:hint="cs"/>
          <w:sz w:val="16"/>
          <w:szCs w:val="16"/>
          <w:rtl/>
        </w:rPr>
        <w:t>(ל' התוס')</w:t>
      </w:r>
      <w:r>
        <w:rPr>
          <w:rFonts w:cs="Arial" w:hint="cs"/>
          <w:rtl/>
        </w:rPr>
        <w:t>,</w:t>
      </w:r>
      <w:r w:rsidRPr="003632FA">
        <w:rPr>
          <w:rFonts w:cs="Arial"/>
          <w:rtl/>
        </w:rPr>
        <w:t xml:space="preserve"> </w:t>
      </w:r>
      <w:r>
        <w:rPr>
          <w:rFonts w:cs="Arial" w:hint="cs"/>
          <w:rtl/>
        </w:rPr>
        <w:t>ו</w:t>
      </w:r>
      <w:r w:rsidRPr="006872FF">
        <w:rPr>
          <w:rFonts w:cs="Arial"/>
          <w:rtl/>
        </w:rPr>
        <w:t>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cs="Arial" w:hint="cs"/>
          <w:sz w:val="16"/>
          <w:szCs w:val="16"/>
          <w:rtl/>
        </w:rPr>
        <w:t xml:space="preserve"> (ל' הרא"ש)</w:t>
      </w:r>
      <w:r>
        <w:rPr>
          <w:rFonts w:cs="Arial" w:hint="cs"/>
          <w:rtl/>
        </w:rPr>
        <w:t>.</w:t>
      </w:r>
    </w:p>
    <w:p w14:paraId="17245FFD" w14:textId="77777777" w:rsidR="002E5BAD" w:rsidRDefault="002E5BAD" w:rsidP="00B75458">
      <w:pPr>
        <w:pStyle w:val="ab"/>
        <w:numPr>
          <w:ilvl w:val="0"/>
          <w:numId w:val="201"/>
        </w:numPr>
        <w:rPr>
          <w:rFonts w:cs="Arial"/>
        </w:rPr>
      </w:pPr>
      <w:r>
        <w:rPr>
          <w:rFonts w:cs="Arial" w:hint="cs"/>
          <w:rtl/>
        </w:rPr>
        <w:t>רשב"ם</w:t>
      </w:r>
      <w:r>
        <w:rPr>
          <w:rFonts w:cs="Arial" w:hint="cs"/>
          <w:sz w:val="16"/>
          <w:szCs w:val="16"/>
          <w:rtl/>
        </w:rPr>
        <w:t xml:space="preserve"> (קמ. ד"ה אלמנתו מהו)</w:t>
      </w:r>
      <w:r>
        <w:rPr>
          <w:rFonts w:cs="Arial" w:hint="cs"/>
          <w:rtl/>
        </w:rPr>
        <w:t xml:space="preserve">- </w:t>
      </w:r>
      <w:r w:rsidRPr="003632FA">
        <w:rPr>
          <w:rFonts w:cs="Arial"/>
          <w:rtl/>
        </w:rPr>
        <w:t>מי שמת והניח בנים ובנות והניח נמי אלמנתו וצריכה נמי מזונות כל ימי מיגר ארמלותה ואין כאן נכסים אלא כדי מזון הבנים והבנות עד שיבגרו מי אמרינן כיון דאית לה מזוני ממעטא ולא מיקרו נכסים מרובין ומפרישין מהנכסים מזון האשה והבנות עד שיבגרו והמותר לבנים דהא מועטין נינהו ולאחר שיוציאו המותר ישאלו על הפתחים או דלמא כיון דאילו מינסבא לבעל לית לה מזוני לא ממעטא וכמאן דליתא דמיא ומוציאין מן הנכסים לבנות כדי מזונן עד שיבגרו וכל השאר יירשו הבנים כדין נכסים מרובין</w:t>
      </w:r>
      <w:r>
        <w:rPr>
          <w:rStyle w:val="a7"/>
          <w:rFonts w:cs="Arial"/>
          <w:rtl/>
        </w:rPr>
        <w:footnoteReference w:id="2961"/>
      </w:r>
      <w:r>
        <w:rPr>
          <w:rFonts w:cs="Arial" w:hint="cs"/>
          <w:rtl/>
        </w:rPr>
        <w:t>.</w:t>
      </w:r>
    </w:p>
    <w:p w14:paraId="6983216F" w14:textId="77777777" w:rsidR="002E5BAD" w:rsidRPr="00217F3F" w:rsidRDefault="002E5BAD" w:rsidP="00B75458">
      <w:pPr>
        <w:pStyle w:val="ab"/>
        <w:numPr>
          <w:ilvl w:val="0"/>
          <w:numId w:val="201"/>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 </w:t>
      </w:r>
      <w:r>
        <w:rPr>
          <w:rFonts w:cs="Arial" w:hint="cs"/>
          <w:rtl/>
        </w:rPr>
        <w:t>ו</w:t>
      </w:r>
      <w:r w:rsidRPr="00217F3F">
        <w:rPr>
          <w:rFonts w:cs="Arial"/>
          <w:rtl/>
        </w:rPr>
        <w:t xml:space="preserve">ר"ן </w:t>
      </w:r>
      <w:r w:rsidRPr="00217F3F">
        <w:rPr>
          <w:rFonts w:cs="Arial"/>
          <w:sz w:val="16"/>
          <w:szCs w:val="16"/>
          <w:rtl/>
        </w:rPr>
        <w:t>(ב"ב קמ: ד"ה אלמנה)</w:t>
      </w:r>
      <w:r w:rsidRPr="00217F3F">
        <w:rPr>
          <w:rFonts w:cs="Arial" w:hint="cs"/>
          <w:rtl/>
        </w:rPr>
        <w:t xml:space="preserve">- </w:t>
      </w:r>
      <w:r w:rsidRPr="00217F3F">
        <w:rPr>
          <w:rFonts w:cs="Arial"/>
          <w:rtl/>
        </w:rPr>
        <w:t>לפום פשטא דגמרין משמע דאלמנה אצל הבת בלא בן קאמר</w:t>
      </w:r>
      <w:r w:rsidRPr="00217F3F">
        <w:rPr>
          <w:rFonts w:cs="Arial" w:hint="cs"/>
          <w:rtl/>
        </w:rPr>
        <w:t>.</w:t>
      </w:r>
      <w:r w:rsidRPr="00217F3F">
        <w:rPr>
          <w:rFonts w:cs="Arial"/>
          <w:rtl/>
        </w:rPr>
        <w:t xml:space="preserve"> ומשמע דכיון שאלמנה דוחה את הבת</w:t>
      </w:r>
      <w:r w:rsidRPr="00217F3F">
        <w:rPr>
          <w:rFonts w:cs="Arial" w:hint="cs"/>
          <w:rtl/>
        </w:rPr>
        <w:t>,</w:t>
      </w:r>
      <w:r w:rsidRPr="00217F3F">
        <w:rPr>
          <w:rFonts w:cs="Arial"/>
          <w:rtl/>
        </w:rPr>
        <w:t xml:space="preserve"> כל שכן שדוחה את הבן</w:t>
      </w:r>
      <w:r w:rsidRPr="00217F3F">
        <w:rPr>
          <w:rFonts w:cs="Arial" w:hint="cs"/>
          <w:rtl/>
        </w:rPr>
        <w:t>,</w:t>
      </w:r>
      <w:r w:rsidRPr="00217F3F">
        <w:rPr>
          <w:rFonts w:cs="Arial"/>
          <w:rtl/>
        </w:rPr>
        <w:t xml:space="preserve"> ואמרינן </w:t>
      </w:r>
      <w:r w:rsidRPr="00217F3F">
        <w:rPr>
          <w:rFonts w:cs="Arial"/>
          <w:rtl/>
        </w:rPr>
        <w:lastRenderedPageBreak/>
        <w:t>דאלמנה נזונת ובן ישאל על הפתחים</w:t>
      </w:r>
      <w:r w:rsidRPr="00217F3F">
        <w:rPr>
          <w:rFonts w:cs="Arial" w:hint="cs"/>
          <w:rtl/>
        </w:rPr>
        <w:t>.</w:t>
      </w:r>
      <w:r w:rsidRPr="00217F3F">
        <w:rPr>
          <w:rFonts w:cs="Arial"/>
          <w:rtl/>
        </w:rPr>
        <w:t xml:space="preserve"> דקל וחומר הוא</w:t>
      </w:r>
      <w:r w:rsidRPr="00217F3F">
        <w:rPr>
          <w:rFonts w:cs="Arial" w:hint="cs"/>
          <w:rtl/>
        </w:rPr>
        <w:t>,</w:t>
      </w:r>
      <w:r w:rsidRPr="00217F3F">
        <w:rPr>
          <w:rFonts w:cs="Arial"/>
          <w:rtl/>
        </w:rPr>
        <w:t xml:space="preserve"> אם בת שדוחה את הבן נדחית מפני האלמנה</w:t>
      </w:r>
      <w:r w:rsidRPr="00217F3F">
        <w:rPr>
          <w:rFonts w:cs="Arial" w:hint="cs"/>
          <w:rtl/>
        </w:rPr>
        <w:t>,</w:t>
      </w:r>
      <w:r w:rsidRPr="00217F3F">
        <w:rPr>
          <w:rFonts w:cs="Arial"/>
          <w:rtl/>
        </w:rPr>
        <w:t xml:space="preserve"> כל שכן שהבן נדחה מפניה</w:t>
      </w:r>
      <w:r>
        <w:rPr>
          <w:rStyle w:val="a7"/>
          <w:rFonts w:cs="Arial"/>
          <w:rtl/>
        </w:rPr>
        <w:footnoteReference w:id="2962"/>
      </w:r>
      <w:r>
        <w:rPr>
          <w:rFonts w:cs="Arial" w:hint="cs"/>
          <w:sz w:val="16"/>
          <w:szCs w:val="16"/>
          <w:rtl/>
        </w:rPr>
        <w:t xml:space="preserve"> (ל' הר"ן)</w:t>
      </w:r>
      <w:r w:rsidRPr="00217F3F">
        <w:rPr>
          <w:rFonts w:cs="Arial"/>
          <w:rtl/>
        </w:rPr>
        <w:t>.</w:t>
      </w:r>
    </w:p>
    <w:p w14:paraId="66A685D3" w14:textId="77777777" w:rsidR="002E5BAD" w:rsidRPr="00E35923" w:rsidRDefault="002E5BAD" w:rsidP="002E5BAD">
      <w:pPr>
        <w:ind w:left="360"/>
        <w:rPr>
          <w:u w:val="dotted"/>
          <w:rtl/>
        </w:rPr>
      </w:pPr>
      <w:r w:rsidRPr="00E35923">
        <w:rPr>
          <w:rFonts w:hint="cs"/>
          <w:u w:val="dotted"/>
          <w:rtl/>
        </w:rPr>
        <w:t xml:space="preserve">למעשה </w:t>
      </w:r>
      <w:r w:rsidRPr="00E35923">
        <w:rPr>
          <w:u w:val="dotted"/>
          <w:rtl/>
        </w:rPr>
        <w:t>–</w:t>
      </w:r>
      <w:r w:rsidRPr="00E35923">
        <w:rPr>
          <w:rFonts w:hint="cs"/>
          <w:u w:val="dotted"/>
          <w:rtl/>
        </w:rPr>
        <w:t xml:space="preserve"> כיצד </w:t>
      </w:r>
      <w:r>
        <w:rPr>
          <w:rFonts w:hint="cs"/>
          <w:u w:val="dotted"/>
          <w:rtl/>
        </w:rPr>
        <w:t>אלמנה ניזונת</w:t>
      </w:r>
      <w:r w:rsidRPr="00E35923">
        <w:rPr>
          <w:rFonts w:hint="cs"/>
          <w:u w:val="dotted"/>
          <w:rtl/>
        </w:rPr>
        <w:t xml:space="preserve"> </w:t>
      </w:r>
      <w:r>
        <w:rPr>
          <w:rFonts w:hint="cs"/>
          <w:u w:val="dotted"/>
          <w:rtl/>
        </w:rPr>
        <w:t>כשה</w:t>
      </w:r>
      <w:r w:rsidRPr="00E35923">
        <w:rPr>
          <w:rFonts w:hint="cs"/>
          <w:u w:val="dotted"/>
          <w:rtl/>
        </w:rPr>
        <w:t>נכסים מועטים ו</w:t>
      </w:r>
      <w:r>
        <w:rPr>
          <w:rFonts w:hint="cs"/>
          <w:u w:val="dotted"/>
          <w:rtl/>
        </w:rPr>
        <w:t xml:space="preserve">יש עמה </w:t>
      </w:r>
      <w:r w:rsidRPr="00E35923">
        <w:rPr>
          <w:rFonts w:hint="cs"/>
          <w:u w:val="dotted"/>
          <w:rtl/>
        </w:rPr>
        <w:t>בת ו/או בן:</w:t>
      </w:r>
    </w:p>
    <w:p w14:paraId="1D68DC13" w14:textId="77777777" w:rsidR="002E5BAD" w:rsidRPr="00872E10" w:rsidRDefault="002E5BAD" w:rsidP="00B75458">
      <w:pPr>
        <w:pStyle w:val="ab"/>
        <w:numPr>
          <w:ilvl w:val="0"/>
          <w:numId w:val="192"/>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w:t>
      </w:r>
      <w:r>
        <w:rPr>
          <w:rFonts w:cs="Arial" w:hint="cs"/>
          <w:rtl/>
        </w:rPr>
        <w:t xml:space="preserve">- </w:t>
      </w:r>
      <w:r w:rsidRPr="00872E10">
        <w:rPr>
          <w:rFonts w:cs="Arial"/>
          <w:rtl/>
        </w:rPr>
        <w:t>הניח אלמנה ובת</w:t>
      </w:r>
      <w:r>
        <w:rPr>
          <w:rFonts w:cs="Arial" w:hint="cs"/>
          <w:rtl/>
        </w:rPr>
        <w:t>,</w:t>
      </w:r>
      <w:r w:rsidRPr="00872E10">
        <w:rPr>
          <w:rFonts w:cs="Arial"/>
          <w:rtl/>
        </w:rPr>
        <w:t xml:space="preserve"> ממנה או מאשה אחרת</w:t>
      </w:r>
      <w:r>
        <w:rPr>
          <w:rFonts w:cs="Arial" w:hint="cs"/>
          <w:rtl/>
        </w:rPr>
        <w:t>,</w:t>
      </w:r>
      <w:r w:rsidRPr="00872E10">
        <w:rPr>
          <w:rFonts w:cs="Arial"/>
          <w:rtl/>
        </w:rPr>
        <w:t xml:space="preserve"> ואין בנכסים כדי שיזונו שתיהן </w:t>
      </w:r>
      <w:r>
        <w:rPr>
          <w:rFonts w:cs="Arial" w:hint="cs"/>
          <w:rtl/>
        </w:rPr>
        <w:t xml:space="preserve">- </w:t>
      </w:r>
      <w:r w:rsidRPr="00872E10">
        <w:rPr>
          <w:rFonts w:cs="Arial"/>
          <w:rtl/>
        </w:rPr>
        <w:t>האלמנה ניזונת</w:t>
      </w:r>
      <w:r>
        <w:rPr>
          <w:rFonts w:cs="Arial" w:hint="cs"/>
          <w:rtl/>
        </w:rPr>
        <w:t>,</w:t>
      </w:r>
      <w:r w:rsidRPr="00872E10">
        <w:rPr>
          <w:rFonts w:cs="Arial"/>
          <w:rtl/>
        </w:rPr>
        <w:t xml:space="preserve"> והבת תשאל על הפתחים</w:t>
      </w:r>
      <w:r>
        <w:rPr>
          <w:rFonts w:cs="Arial" w:hint="cs"/>
          <w:rtl/>
        </w:rPr>
        <w:t>.</w:t>
      </w:r>
      <w:r w:rsidRPr="00290018">
        <w:rPr>
          <w:rFonts w:cs="Arial"/>
          <w:color w:val="E36C0A" w:themeColor="accent6" w:themeShade="BF"/>
          <w:rtl/>
        </w:rPr>
        <w:t xml:space="preserve"> </w:t>
      </w:r>
      <w:r w:rsidRPr="00290018">
        <w:rPr>
          <w:rFonts w:hint="cs"/>
          <w:color w:val="E36C0A" w:themeColor="accent6" w:themeShade="BF"/>
          <w:rtl/>
        </w:rPr>
        <w:t>(וכ"פ בשו"ע</w:t>
      </w:r>
      <w:r>
        <w:rPr>
          <w:rFonts w:hint="cs"/>
          <w:color w:val="E36C0A" w:themeColor="accent6" w:themeShade="BF"/>
          <w:sz w:val="16"/>
          <w:szCs w:val="16"/>
          <w:rtl/>
        </w:rPr>
        <w:t xml:space="preserve"> </w:t>
      </w:r>
      <w:r w:rsidRPr="00290018">
        <w:rPr>
          <w:rFonts w:hint="cs"/>
          <w:color w:val="000000" w:themeColor="text1"/>
          <w:sz w:val="16"/>
          <w:szCs w:val="16"/>
          <w:rtl/>
        </w:rPr>
        <w:t>[</w:t>
      </w:r>
      <w:r>
        <w:rPr>
          <w:rFonts w:hint="cs"/>
          <w:color w:val="000000" w:themeColor="text1"/>
          <w:sz w:val="16"/>
          <w:szCs w:val="16"/>
          <w:rtl/>
        </w:rPr>
        <w:t>כאן ובסי' צג ס"ד]</w:t>
      </w:r>
      <w:r w:rsidRPr="00290018">
        <w:rPr>
          <w:rFonts w:hint="cs"/>
          <w:color w:val="E36C0A" w:themeColor="accent6" w:themeShade="BF"/>
          <w:rtl/>
        </w:rPr>
        <w:t>)</w:t>
      </w:r>
    </w:p>
    <w:p w14:paraId="5ACF985F" w14:textId="77777777" w:rsidR="002E5BAD" w:rsidRDefault="002E5BAD" w:rsidP="00B75458">
      <w:pPr>
        <w:pStyle w:val="ab"/>
        <w:numPr>
          <w:ilvl w:val="0"/>
          <w:numId w:val="192"/>
        </w:numPr>
      </w:pPr>
      <w:r>
        <w:rPr>
          <w:rFonts w:cs="Arial" w:hint="cs"/>
          <w:rtl/>
        </w:rPr>
        <w:t xml:space="preserve">טור- </w:t>
      </w:r>
      <w:r w:rsidRPr="000A1431">
        <w:rPr>
          <w:rFonts w:cs="Arial"/>
          <w:rtl/>
        </w:rPr>
        <w:t>ואין חילוק בין אם הנכסים מרובים למועטים</w:t>
      </w:r>
      <w:r>
        <w:rPr>
          <w:rFonts w:cs="Arial" w:hint="cs"/>
          <w:rtl/>
        </w:rPr>
        <w:t>,</w:t>
      </w:r>
      <w:r w:rsidRPr="000A1431">
        <w:rPr>
          <w:rFonts w:cs="Arial"/>
          <w:rtl/>
        </w:rPr>
        <w:t xml:space="preserve"> אע</w:t>
      </w:r>
      <w:r>
        <w:rPr>
          <w:rFonts w:cs="Arial" w:hint="cs"/>
          <w:rtl/>
        </w:rPr>
        <w:t>"</w:t>
      </w:r>
      <w:r w:rsidRPr="000A1431">
        <w:rPr>
          <w:rFonts w:cs="Arial"/>
          <w:rtl/>
        </w:rPr>
        <w:t>ג דגבי בת הניזונת יש חילוק בין מרובים למועטים כדלקמן</w:t>
      </w:r>
      <w:r>
        <w:rPr>
          <w:rFonts w:cs="Arial" w:hint="cs"/>
          <w:sz w:val="16"/>
          <w:szCs w:val="16"/>
          <w:rtl/>
        </w:rPr>
        <w:t xml:space="preserve"> (סי' קיב)</w:t>
      </w:r>
      <w:r>
        <w:rPr>
          <w:rFonts w:cs="Arial" w:hint="cs"/>
          <w:rtl/>
        </w:rPr>
        <w:t>,</w:t>
      </w:r>
      <w:r w:rsidRPr="000A1431">
        <w:rPr>
          <w:rFonts w:cs="Arial"/>
          <w:rtl/>
        </w:rPr>
        <w:t xml:space="preserve"> הכא אין חילוק</w:t>
      </w:r>
      <w:r>
        <w:rPr>
          <w:rFonts w:cs="Arial" w:hint="cs"/>
          <w:rtl/>
        </w:rPr>
        <w:t>,</w:t>
      </w:r>
      <w:r w:rsidRPr="000A1431">
        <w:rPr>
          <w:rFonts w:cs="Arial"/>
          <w:rtl/>
        </w:rPr>
        <w:t xml:space="preserve"> אלא בכל ענין אם יש אלמנה ובן או אלמנה ובת </w:t>
      </w:r>
      <w:r>
        <w:rPr>
          <w:rFonts w:cs="Arial" w:hint="cs"/>
          <w:rtl/>
        </w:rPr>
        <w:t xml:space="preserve">- </w:t>
      </w:r>
      <w:r w:rsidRPr="000A1431">
        <w:rPr>
          <w:rFonts w:cs="Arial"/>
          <w:rtl/>
        </w:rPr>
        <w:t>תיזון היא עם הבן או עם הבת עד שיאכלו הנכסים</w:t>
      </w:r>
      <w:r>
        <w:rPr>
          <w:rFonts w:cs="Arial" w:hint="cs"/>
          <w:rtl/>
        </w:rPr>
        <w:t>..</w:t>
      </w:r>
      <w:r w:rsidRPr="0084491B">
        <w:rPr>
          <w:rFonts w:cs="Arial" w:hint="cs"/>
          <w:rtl/>
        </w:rPr>
        <w:t>.</w:t>
      </w:r>
      <w:r w:rsidRPr="0084491B">
        <w:rPr>
          <w:rFonts w:cs="Arial"/>
          <w:rtl/>
        </w:rPr>
        <w:t xml:space="preserve"> אבל אם יש אלמנה ובן ובת</w:t>
      </w:r>
      <w:r w:rsidRPr="0084491B">
        <w:rPr>
          <w:rFonts w:cs="Arial" w:hint="cs"/>
          <w:rtl/>
        </w:rPr>
        <w:t>,</w:t>
      </w:r>
      <w:r w:rsidRPr="0084491B">
        <w:rPr>
          <w:rFonts w:cs="Arial"/>
          <w:rtl/>
        </w:rPr>
        <w:t xml:space="preserve"> והנכסים מועטים שאין בהן כדי שיזונו הבת והבן עד שתיבגר הבת</w:t>
      </w:r>
      <w:r w:rsidRPr="0084491B">
        <w:rPr>
          <w:rFonts w:cs="Arial" w:hint="cs"/>
          <w:rtl/>
        </w:rPr>
        <w:t>,</w:t>
      </w:r>
      <w:r w:rsidRPr="0084491B">
        <w:rPr>
          <w:rFonts w:cs="Arial"/>
          <w:rtl/>
        </w:rPr>
        <w:t xml:space="preserve"> אז ידחו הבן והבת ותיזון האלמנה לבדה עד שתגבה כתובתה</w:t>
      </w:r>
      <w:r w:rsidRPr="0084491B">
        <w:rPr>
          <w:rFonts w:cs="Arial" w:hint="cs"/>
          <w:rtl/>
        </w:rPr>
        <w:t>.</w:t>
      </w:r>
      <w:r w:rsidRPr="0084491B">
        <w:rPr>
          <w:rFonts w:cs="Arial"/>
          <w:rtl/>
        </w:rPr>
        <w:t xml:space="preserve"> </w:t>
      </w:r>
    </w:p>
    <w:p w14:paraId="69155BB0" w14:textId="77777777" w:rsidR="002E5BAD" w:rsidRPr="00E35923" w:rsidRDefault="002E5BAD" w:rsidP="002E5BAD">
      <w:pPr>
        <w:ind w:left="360"/>
        <w:rPr>
          <w:u w:val="dotted"/>
        </w:rPr>
      </w:pPr>
      <w:r>
        <w:rPr>
          <w:rFonts w:hint="cs"/>
          <w:u w:val="dotted"/>
          <w:rtl/>
        </w:rPr>
        <w:t>ל</w:t>
      </w:r>
      <w:r w:rsidRPr="00E35923">
        <w:rPr>
          <w:rFonts w:hint="cs"/>
          <w:u w:val="dotted"/>
          <w:rtl/>
        </w:rPr>
        <w:t xml:space="preserve">רמב"ם וסיעתו </w:t>
      </w:r>
      <w:r w:rsidRPr="00E35923">
        <w:rPr>
          <w:u w:val="dotted"/>
          <w:rtl/>
        </w:rPr>
        <w:t>–</w:t>
      </w:r>
      <w:r w:rsidRPr="00E35923">
        <w:rPr>
          <w:rFonts w:hint="cs"/>
          <w:u w:val="dotted"/>
          <w:rtl/>
        </w:rPr>
        <w:t xml:space="preserve"> כשהאלמנה דוחה את הבת, כמה מזונות פוסקים לה:</w:t>
      </w:r>
    </w:p>
    <w:p w14:paraId="736B4D58" w14:textId="77777777" w:rsidR="002E5BAD" w:rsidRPr="00E35923" w:rsidRDefault="002E5BAD" w:rsidP="00B75458">
      <w:pPr>
        <w:pStyle w:val="ab"/>
        <w:numPr>
          <w:ilvl w:val="0"/>
          <w:numId w:val="192"/>
        </w:numPr>
        <w:rPr>
          <w:rFonts w:cs="Arial"/>
        </w:rPr>
      </w:pPr>
      <w:r>
        <w:rPr>
          <w:rFonts w:cs="Arial" w:hint="cs"/>
          <w:rtl/>
        </w:rPr>
        <w:t>הה"מ</w:t>
      </w:r>
      <w:r>
        <w:rPr>
          <w:rFonts w:cs="Arial" w:hint="cs"/>
          <w:sz w:val="16"/>
          <w:szCs w:val="16"/>
          <w:rtl/>
        </w:rPr>
        <w:t xml:space="preserve"> (שם)</w:t>
      </w:r>
      <w:r>
        <w:rPr>
          <w:rFonts w:cs="Arial" w:hint="cs"/>
          <w:rtl/>
        </w:rPr>
        <w:t>-</w:t>
      </w:r>
      <w:r w:rsidRPr="008D2C72">
        <w:rPr>
          <w:rFonts w:cs="Arial"/>
          <w:rtl/>
        </w:rPr>
        <w:t xml:space="preserve"> דע שכשהאלמנה דוחה את הבנות כתבו הרמב"ן (קמ: ד"ה אבל בירושלמי) והרשב"א (שם ד"ה עשו) ז"ל שמוציאין לאלמנה מזון עד זמן שאומדים ב"ד שראויה לחיות אם זקנה ואם ילדה ומעמידין ביד שליש והוא מפרנסה אחד לשלשים יום כדרך שאמרו בלוקח כנזכר </w:t>
      </w:r>
      <w:r>
        <w:rPr>
          <w:rFonts w:cs="Arial" w:hint="cs"/>
          <w:rtl/>
        </w:rPr>
        <w:t>ב</w:t>
      </w:r>
      <w:r w:rsidRPr="008D2C72">
        <w:rPr>
          <w:rFonts w:cs="Arial"/>
          <w:rtl/>
        </w:rPr>
        <w:t>פ</w:t>
      </w:r>
      <w:r>
        <w:rPr>
          <w:rFonts w:cs="Arial" w:hint="cs"/>
          <w:rtl/>
        </w:rPr>
        <w:t>י</w:t>
      </w:r>
      <w:r w:rsidRPr="008D2C72">
        <w:rPr>
          <w:rFonts w:cs="Arial"/>
          <w:rtl/>
        </w:rPr>
        <w:t xml:space="preserve">"ג. </w:t>
      </w:r>
      <w:r w:rsidRPr="00290018">
        <w:rPr>
          <w:rFonts w:cs="Arial" w:hint="cs"/>
          <w:color w:val="00B0F0"/>
          <w:rtl/>
        </w:rPr>
        <w:t>(וכ"פ הרמ"א</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צג ס"ד]</w:t>
      </w:r>
      <w:r w:rsidRPr="00290018">
        <w:rPr>
          <w:rFonts w:cs="Arial" w:hint="cs"/>
          <w:color w:val="00B0F0"/>
          <w:rtl/>
        </w:rPr>
        <w:t>)</w:t>
      </w:r>
    </w:p>
    <w:p w14:paraId="76832413" w14:textId="77777777" w:rsidR="002E5BAD" w:rsidRPr="00311F2C" w:rsidRDefault="002E5BAD" w:rsidP="002E5BAD">
      <w:pPr>
        <w:ind w:left="360"/>
        <w:rPr>
          <w:rFonts w:cs="Arial"/>
          <w:u w:val="dotted"/>
        </w:rPr>
      </w:pPr>
      <w:r w:rsidRPr="00311F2C">
        <w:rPr>
          <w:rFonts w:cs="Arial" w:hint="cs"/>
          <w:u w:val="dotted"/>
          <w:rtl/>
        </w:rPr>
        <w:t>לרמב</w:t>
      </w:r>
      <w:r>
        <w:rPr>
          <w:rFonts w:cs="Arial" w:hint="cs"/>
          <w:u w:val="dotted"/>
          <w:rtl/>
        </w:rPr>
        <w:t>"</w:t>
      </w:r>
      <w:r w:rsidRPr="00311F2C">
        <w:rPr>
          <w:rFonts w:cs="Arial" w:hint="cs"/>
          <w:u w:val="dotted"/>
          <w:rtl/>
        </w:rPr>
        <w:t xml:space="preserve">ם וסיעתו </w:t>
      </w:r>
      <w:r w:rsidRPr="00311F2C">
        <w:rPr>
          <w:rFonts w:cs="Arial"/>
          <w:u w:val="dotted"/>
          <w:rtl/>
        </w:rPr>
        <w:t>–</w:t>
      </w:r>
      <w:r w:rsidRPr="00311F2C">
        <w:rPr>
          <w:rFonts w:cs="Arial" w:hint="cs"/>
          <w:u w:val="dotted"/>
          <w:rtl/>
        </w:rPr>
        <w:t xml:space="preserve"> מה הדין כשהבת נישאת, האם היא נוטלת ממזון האלמנה עישור נכסים:</w:t>
      </w:r>
    </w:p>
    <w:p w14:paraId="200BD787" w14:textId="77777777" w:rsidR="002E5BAD" w:rsidRPr="00311F2C" w:rsidRDefault="002E5BAD" w:rsidP="00B75458">
      <w:pPr>
        <w:pStyle w:val="ab"/>
        <w:numPr>
          <w:ilvl w:val="0"/>
          <w:numId w:val="192"/>
        </w:numPr>
        <w:rPr>
          <w:rFonts w:cs="Arial"/>
        </w:rPr>
      </w:pPr>
      <w:r w:rsidRPr="00290018">
        <w:rPr>
          <w:rFonts w:cs="Arial"/>
          <w:rtl/>
        </w:rPr>
        <w:t xml:space="preserve">סמ"ג </w:t>
      </w:r>
      <w:r w:rsidRPr="00290018">
        <w:rPr>
          <w:rFonts w:cs="Arial"/>
          <w:sz w:val="16"/>
          <w:szCs w:val="16"/>
          <w:rtl/>
        </w:rPr>
        <w:t>(לאוין פא לג ע"ב)</w:t>
      </w:r>
      <w:r>
        <w:rPr>
          <w:rFonts w:cs="Arial" w:hint="cs"/>
          <w:rtl/>
        </w:rPr>
        <w:t>-</w:t>
      </w:r>
      <w:r w:rsidRPr="00290018">
        <w:rPr>
          <w:rFonts w:cs="Arial"/>
          <w:rtl/>
        </w:rPr>
        <w:t xml:space="preserve"> מי שמת והניח אלמנה ובת </w:t>
      </w:r>
      <w:r>
        <w:rPr>
          <w:rFonts w:cs="Arial" w:hint="cs"/>
          <w:rtl/>
        </w:rPr>
        <w:t xml:space="preserve">- </w:t>
      </w:r>
      <w:r w:rsidRPr="00290018">
        <w:rPr>
          <w:rFonts w:cs="Arial"/>
          <w:rtl/>
        </w:rPr>
        <w:t>מזונות האלמנה קודמין למזונות הבת</w:t>
      </w:r>
      <w:r>
        <w:rPr>
          <w:rFonts w:cs="Arial" w:hint="cs"/>
          <w:rtl/>
        </w:rPr>
        <w:t>.</w:t>
      </w:r>
      <w:r w:rsidRPr="00290018">
        <w:rPr>
          <w:rFonts w:cs="Arial"/>
          <w:rtl/>
        </w:rPr>
        <w:t xml:space="preserve"> וכן נשאת הבת </w:t>
      </w:r>
      <w:r>
        <w:rPr>
          <w:rFonts w:cs="Arial" w:hint="cs"/>
          <w:rtl/>
        </w:rPr>
        <w:t xml:space="preserve">- </w:t>
      </w:r>
      <w:r w:rsidRPr="00290018">
        <w:rPr>
          <w:rFonts w:cs="Arial"/>
          <w:rtl/>
        </w:rPr>
        <w:t>אין נוטלת עישור נכסים</w:t>
      </w:r>
      <w:r>
        <w:rPr>
          <w:rFonts w:cs="Arial" w:hint="cs"/>
          <w:rtl/>
        </w:rPr>
        <w:t>,</w:t>
      </w:r>
      <w:r w:rsidRPr="00290018">
        <w:rPr>
          <w:rFonts w:cs="Arial"/>
          <w:rtl/>
        </w:rPr>
        <w:t xml:space="preserve"> מפני מזונות האלמנה</w:t>
      </w:r>
      <w:r w:rsidRPr="00290018">
        <w:rPr>
          <w:rFonts w:cs="Arial" w:hint="cs"/>
          <w:rtl/>
        </w:rPr>
        <w:t>.</w:t>
      </w:r>
      <w:r w:rsidRPr="00311F2C">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p>
    <w:p w14:paraId="01581BCE" w14:textId="77777777" w:rsidR="002E5BAD" w:rsidRDefault="002E5BAD" w:rsidP="002E5BAD">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 ע"א:</w:t>
      </w:r>
      <w:r>
        <w:rPr>
          <w:rFonts w:cs="Arial" w:hint="cs"/>
          <w:rtl/>
        </w:rPr>
        <w:t xml:space="preserve"> </w:t>
      </w:r>
      <w:r w:rsidRPr="00432426">
        <w:rPr>
          <w:rFonts w:cs="Arial"/>
          <w:rtl/>
        </w:rPr>
        <w:t>דשלח רבין באגרתיה: מי שמת והניח אלמנה ובת - אלמנתו נזונת מנכסיו</w:t>
      </w:r>
      <w:r>
        <w:rPr>
          <w:rFonts w:cs="Arial" w:hint="cs"/>
          <w:rtl/>
        </w:rPr>
        <w:t>.</w:t>
      </w:r>
      <w:r w:rsidRPr="00432426">
        <w:rPr>
          <w:rFonts w:cs="Arial"/>
          <w:rtl/>
        </w:rPr>
        <w:t xml:space="preserve"> נשאת הבת</w:t>
      </w:r>
      <w:r>
        <w:rPr>
          <w:rStyle w:val="a7"/>
          <w:rFonts w:cs="Arial"/>
          <w:rtl/>
        </w:rPr>
        <w:footnoteReference w:id="2963"/>
      </w:r>
      <w:r w:rsidRPr="00432426">
        <w:rPr>
          <w:rFonts w:cs="Arial"/>
          <w:rtl/>
        </w:rPr>
        <w:t xml:space="preserve"> - אלמנתו נזונת מנכסיו</w:t>
      </w:r>
      <w:r>
        <w:rPr>
          <w:rFonts w:cs="Arial" w:hint="cs"/>
          <w:rtl/>
        </w:rPr>
        <w:t>.</w:t>
      </w:r>
      <w:r w:rsidRPr="00432426">
        <w:rPr>
          <w:rFonts w:cs="Arial"/>
          <w:rtl/>
        </w:rPr>
        <w:t xml:space="preserve"> מתה הבת</w:t>
      </w:r>
      <w:r>
        <w:rPr>
          <w:rFonts w:cs="Arial" w:hint="cs"/>
          <w:rtl/>
        </w:rPr>
        <w:t>,</w:t>
      </w:r>
      <w:r w:rsidRPr="00432426">
        <w:rPr>
          <w:rFonts w:cs="Arial"/>
          <w:rtl/>
        </w:rPr>
        <w:t xml:space="preserve"> </w:t>
      </w:r>
      <w:r w:rsidRPr="00432426">
        <w:rPr>
          <w:rFonts w:cs="Arial"/>
          <w:u w:val="single"/>
          <w:rtl/>
        </w:rPr>
        <w:t>אמר רב יהודה בן אחותו של ר' יוסי ברבי חנינא</w:t>
      </w:r>
      <w:r>
        <w:rPr>
          <w:rFonts w:cs="Arial" w:hint="cs"/>
          <w:rtl/>
        </w:rPr>
        <w:t>:</w:t>
      </w:r>
      <w:r w:rsidRPr="00432426">
        <w:rPr>
          <w:rFonts w:cs="Arial"/>
          <w:rtl/>
        </w:rPr>
        <w:t xml:space="preserve"> ע"י היה מעשה ואמרו</w:t>
      </w:r>
      <w:r>
        <w:rPr>
          <w:rFonts w:cs="Arial" w:hint="cs"/>
          <w:rtl/>
        </w:rPr>
        <w:t xml:space="preserve"> -</w:t>
      </w:r>
      <w:r w:rsidRPr="00432426">
        <w:rPr>
          <w:rFonts w:cs="Arial"/>
          <w:rtl/>
        </w:rPr>
        <w:t xml:space="preserve"> אלמנתו נזונת מנכסיו</w:t>
      </w:r>
      <w:r>
        <w:rPr>
          <w:rFonts w:cs="Arial" w:hint="cs"/>
          <w:rtl/>
        </w:rPr>
        <w:t>.</w:t>
      </w:r>
      <w:r w:rsidRPr="00556503">
        <w:rPr>
          <w:rtl/>
        </w:rPr>
        <w:t xml:space="preserve"> </w:t>
      </w:r>
      <w:r w:rsidRPr="00556503">
        <w:rPr>
          <w:rFonts w:cs="Arial"/>
          <w:rtl/>
        </w:rPr>
        <w:t>אי אמרת בשלמא</w:t>
      </w:r>
      <w:r>
        <w:rPr>
          <w:rStyle w:val="a7"/>
          <w:rFonts w:cs="Arial"/>
          <w:rtl/>
        </w:rPr>
        <w:footnoteReference w:id="2964"/>
      </w:r>
      <w:r w:rsidRPr="00556503">
        <w:rPr>
          <w:rFonts w:cs="Arial"/>
          <w:rtl/>
        </w:rPr>
        <w:t xml:space="preserve"> יורש הוי, משום הכי אלמנתו נזונת מנכסיו, אלא אי אמרת לוקח הוי, אמאי נזונת מנכסיו?</w:t>
      </w:r>
      <w:r>
        <w:rPr>
          <w:rFonts w:cs="Arial" w:hint="cs"/>
          <w:rtl/>
        </w:rPr>
        <w:t>...</w:t>
      </w:r>
      <w:r>
        <w:rPr>
          <w:rFonts w:cs="Arial" w:hint="cs"/>
          <w:sz w:val="14"/>
          <w:szCs w:val="14"/>
          <w:rtl/>
        </w:rPr>
        <w:t xml:space="preserve"> (קלט:)</w:t>
      </w:r>
      <w:r w:rsidRPr="00432426">
        <w:rPr>
          <w:rtl/>
        </w:rPr>
        <w:t xml:space="preserve"> </w:t>
      </w:r>
      <w:r w:rsidRPr="00432426">
        <w:rPr>
          <w:rFonts w:cs="Arial"/>
          <w:u w:val="single"/>
          <w:rtl/>
        </w:rPr>
        <w:t>אמר רב אשי</w:t>
      </w:r>
      <w:r w:rsidRPr="00432426">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w:t>
      </w:r>
    </w:p>
    <w:p w14:paraId="2C2F656F" w14:textId="77777777" w:rsidR="002E5BAD" w:rsidRPr="00A16ADE" w:rsidRDefault="002E5BAD" w:rsidP="002E5BAD">
      <w:pPr>
        <w:rPr>
          <w:rFonts w:cs="Arial"/>
          <w:u w:val="single"/>
          <w:rtl/>
        </w:rPr>
      </w:pPr>
      <w:r>
        <w:rPr>
          <w:rFonts w:cs="Arial" w:hint="cs"/>
          <w:u w:val="single"/>
          <w:rtl/>
        </w:rPr>
        <w:t xml:space="preserve">מי שמת והניח אלמנה בת ונכסים </w:t>
      </w:r>
      <w:r>
        <w:rPr>
          <w:rFonts w:cs="Arial" w:hint="cs"/>
          <w:sz w:val="16"/>
          <w:szCs w:val="16"/>
          <w:u w:val="single"/>
          <w:rtl/>
        </w:rPr>
        <w:t>(מועטים או מרובים [לטור] / מרובים [לרמב"ם])</w:t>
      </w:r>
      <w:r>
        <w:rPr>
          <w:rFonts w:cs="Arial" w:hint="cs"/>
          <w:u w:val="single"/>
          <w:rtl/>
        </w:rPr>
        <w:t xml:space="preserve"> </w:t>
      </w:r>
      <w:r>
        <w:rPr>
          <w:rFonts w:cs="Arial"/>
          <w:u w:val="single"/>
          <w:rtl/>
        </w:rPr>
        <w:t>–</w:t>
      </w:r>
      <w:r>
        <w:rPr>
          <w:rFonts w:cs="Arial" w:hint="cs"/>
          <w:u w:val="single"/>
          <w:rtl/>
        </w:rPr>
        <w:t xml:space="preserve"> מה הדין אם </w:t>
      </w:r>
      <w:r w:rsidRPr="00A16ADE">
        <w:rPr>
          <w:rFonts w:cs="Arial" w:hint="cs"/>
          <w:u w:val="single"/>
          <w:rtl/>
        </w:rPr>
        <w:t>הבת נישאת:</w:t>
      </w:r>
    </w:p>
    <w:p w14:paraId="315324A0" w14:textId="77777777" w:rsidR="002E5BAD" w:rsidRDefault="002E5BAD" w:rsidP="00B75458">
      <w:pPr>
        <w:pStyle w:val="ab"/>
        <w:numPr>
          <w:ilvl w:val="0"/>
          <w:numId w:val="192"/>
        </w:numPr>
        <w:rPr>
          <w:rFonts w:cs="Arial"/>
        </w:rPr>
      </w:pPr>
      <w:r w:rsidRPr="00A16ADE">
        <w:rPr>
          <w:rFonts w:cs="Arial" w:hint="cs"/>
          <w:rtl/>
        </w:rPr>
        <w:t xml:space="preserve">טור- </w:t>
      </w:r>
      <w:r w:rsidRPr="00A16ADE">
        <w:rPr>
          <w:rFonts w:cs="Arial"/>
          <w:rtl/>
        </w:rPr>
        <w:t>אם יש אלמנה ובן או אלמנה ובת</w:t>
      </w:r>
      <w:r>
        <w:rPr>
          <w:rFonts w:cs="Arial" w:hint="cs"/>
          <w:rtl/>
        </w:rPr>
        <w:t>...</w:t>
      </w:r>
      <w:r w:rsidRPr="00A16ADE">
        <w:rPr>
          <w:rFonts w:cs="Arial"/>
          <w:rtl/>
        </w:rPr>
        <w:t xml:space="preserve"> ואפי' אם תינשא הבת ומכנסת הנכסים לבעל </w:t>
      </w:r>
      <w:r w:rsidRPr="00A16ADE">
        <w:rPr>
          <w:rFonts w:cs="Arial" w:hint="cs"/>
          <w:rtl/>
        </w:rPr>
        <w:t xml:space="preserve">- </w:t>
      </w:r>
      <w:r w:rsidRPr="00A16ADE">
        <w:rPr>
          <w:rFonts w:cs="Arial"/>
          <w:rtl/>
        </w:rPr>
        <w:t>היא תיזון מהן אפי' אחר מיתת הבת</w:t>
      </w:r>
      <w:r w:rsidRPr="00A16ADE">
        <w:rPr>
          <w:rFonts w:cs="Arial" w:hint="cs"/>
          <w:rtl/>
        </w:rPr>
        <w:t>.</w:t>
      </w:r>
      <w:r w:rsidRPr="00761138">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r>
        <w:rPr>
          <w:rFonts w:cs="Arial" w:hint="cs"/>
          <w:rtl/>
        </w:rPr>
        <w:t xml:space="preserve"> </w:t>
      </w:r>
    </w:p>
    <w:p w14:paraId="5DB0D02C" w14:textId="77777777" w:rsidR="002E5BAD" w:rsidRPr="00D657B6" w:rsidRDefault="002E5BAD" w:rsidP="002E5BAD">
      <w:pPr>
        <w:rPr>
          <w:rFonts w:cs="Arial"/>
          <w:u w:val="single"/>
        </w:rPr>
      </w:pPr>
      <w:r w:rsidRPr="00D657B6">
        <w:rPr>
          <w:rFonts w:cs="Arial" w:hint="cs"/>
          <w:u w:val="single"/>
          <w:rtl/>
        </w:rPr>
        <w:t>בת תובעת מזונות</w:t>
      </w:r>
      <w:r>
        <w:rPr>
          <w:rFonts w:cs="Arial" w:hint="cs"/>
          <w:u w:val="single"/>
          <w:rtl/>
        </w:rPr>
        <w:t>,</w:t>
      </w:r>
      <w:r w:rsidRPr="00D657B6">
        <w:rPr>
          <w:rFonts w:cs="Arial" w:hint="cs"/>
          <w:u w:val="single"/>
          <w:rtl/>
        </w:rPr>
        <w:t xml:space="preserve"> ואלמנה תובעת כתובתה </w:t>
      </w:r>
      <w:r w:rsidRPr="00D657B6">
        <w:rPr>
          <w:rFonts w:cs="Arial"/>
          <w:u w:val="single"/>
          <w:rtl/>
        </w:rPr>
        <w:t>–</w:t>
      </w:r>
      <w:r w:rsidRPr="00D657B6">
        <w:rPr>
          <w:rFonts w:cs="Arial" w:hint="cs"/>
          <w:u w:val="single"/>
          <w:rtl/>
        </w:rPr>
        <w:t xml:space="preserve"> מי קודם:</w:t>
      </w:r>
    </w:p>
    <w:p w14:paraId="632F1976" w14:textId="77777777" w:rsidR="002E5BAD" w:rsidRPr="00D657B6" w:rsidRDefault="002E5BAD" w:rsidP="00B75458">
      <w:pPr>
        <w:pStyle w:val="ab"/>
        <w:numPr>
          <w:ilvl w:val="0"/>
          <w:numId w:val="192"/>
        </w:numPr>
      </w:pPr>
      <w:r w:rsidRPr="00D657B6">
        <w:rPr>
          <w:rFonts w:cs="Arial"/>
          <w:rtl/>
        </w:rPr>
        <w:t xml:space="preserve">ר"ן </w:t>
      </w:r>
      <w:r w:rsidRPr="00D657B6">
        <w:rPr>
          <w:rFonts w:cs="Arial" w:hint="cs"/>
          <w:sz w:val="16"/>
          <w:szCs w:val="16"/>
          <w:rtl/>
        </w:rPr>
        <w:t>(</w:t>
      </w:r>
      <w:r w:rsidRPr="00D657B6">
        <w:rPr>
          <w:rFonts w:cs="Arial"/>
          <w:sz w:val="16"/>
          <w:szCs w:val="16"/>
          <w:rtl/>
        </w:rPr>
        <w:t>ס</w:t>
      </w:r>
      <w:r w:rsidRPr="00D657B6">
        <w:rPr>
          <w:rFonts w:cs="Arial" w:hint="cs"/>
          <w:sz w:val="16"/>
          <w:szCs w:val="16"/>
          <w:rtl/>
        </w:rPr>
        <w:t>"פ</w:t>
      </w:r>
      <w:r w:rsidRPr="00D657B6">
        <w:rPr>
          <w:rFonts w:cs="Arial"/>
          <w:sz w:val="16"/>
          <w:szCs w:val="16"/>
          <w:rtl/>
        </w:rPr>
        <w:t xml:space="preserve"> מציאת האשה לא. דיבור ראשון)</w:t>
      </w:r>
      <w:r>
        <w:rPr>
          <w:rFonts w:cs="Arial" w:hint="cs"/>
          <w:rtl/>
        </w:rPr>
        <w:t>-</w:t>
      </w:r>
      <w:r w:rsidRPr="00D657B6">
        <w:rPr>
          <w:rFonts w:cs="Arial"/>
          <w:rtl/>
        </w:rPr>
        <w:t xml:space="preserve"> היכא דבת תובעת מזונות ואלמנה תובעת כתובה ואיכא מקרקעי </w:t>
      </w:r>
      <w:r>
        <w:rPr>
          <w:rFonts w:cs="Arial" w:hint="cs"/>
          <w:rtl/>
        </w:rPr>
        <w:t xml:space="preserve">- </w:t>
      </w:r>
      <w:r w:rsidRPr="00D657B6">
        <w:rPr>
          <w:rFonts w:cs="Arial"/>
          <w:rtl/>
        </w:rPr>
        <w:t>ודאי אלמנה קודמת</w:t>
      </w:r>
      <w:r>
        <w:rPr>
          <w:rFonts w:cs="Arial" w:hint="cs"/>
          <w:rtl/>
        </w:rPr>
        <w:t>.</w:t>
      </w:r>
      <w:r w:rsidRPr="00D657B6">
        <w:rPr>
          <w:rFonts w:cs="Arial"/>
          <w:rtl/>
        </w:rPr>
        <w:t xml:space="preserve"> ואפילו היכא דאיכא מטלטלי דאין בהם דין קדימה </w:t>
      </w:r>
      <w:r>
        <w:rPr>
          <w:rFonts w:cs="Arial" w:hint="cs"/>
          <w:rtl/>
        </w:rPr>
        <w:t xml:space="preserve">- </w:t>
      </w:r>
      <w:r w:rsidRPr="00D657B6">
        <w:rPr>
          <w:rFonts w:cs="Arial"/>
          <w:rtl/>
        </w:rPr>
        <w:t>אעפ</w:t>
      </w:r>
      <w:r>
        <w:rPr>
          <w:rFonts w:cs="Arial" w:hint="cs"/>
          <w:rtl/>
        </w:rPr>
        <w:t>"</w:t>
      </w:r>
      <w:r w:rsidRPr="00D657B6">
        <w:rPr>
          <w:rFonts w:cs="Arial"/>
          <w:rtl/>
        </w:rPr>
        <w:t>כ כתובה קודמת</w:t>
      </w:r>
      <w:r>
        <w:rPr>
          <w:rFonts w:cs="Arial" w:hint="cs"/>
          <w:rtl/>
        </w:rPr>
        <w:t>,</w:t>
      </w:r>
      <w:r w:rsidRPr="00D657B6">
        <w:rPr>
          <w:rFonts w:cs="Arial"/>
          <w:rtl/>
        </w:rPr>
        <w:t xml:space="preserve"> שזו וזו מתקנת האחרונים הוא שיש להם לגבות ממטלטלין כי תקינו כעין דאורייתא תקינו</w:t>
      </w:r>
      <w:r w:rsidRPr="00D657B6">
        <w:rPr>
          <w:rFonts w:cs="Arial" w:hint="cs"/>
          <w:rtl/>
        </w:rPr>
        <w:t>.</w:t>
      </w:r>
    </w:p>
    <w:p w14:paraId="20F0B49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4BB2FB" w14:textId="77777777" w:rsidR="002E5BAD" w:rsidRDefault="002E5BAD" w:rsidP="002E5BAD">
      <w:pPr>
        <w:rPr>
          <w:rFonts w:cs="Arial"/>
          <w:rtl/>
        </w:rPr>
      </w:pPr>
      <w:r w:rsidRPr="00523CDE">
        <w:rPr>
          <w:rFonts w:cs="Arial"/>
          <w:rtl/>
        </w:rPr>
        <w:t>הניח אלמנה ובת</w:t>
      </w:r>
      <w:r>
        <w:rPr>
          <w:rFonts w:cs="Arial" w:hint="cs"/>
          <w:rtl/>
        </w:rPr>
        <w:t>,</w:t>
      </w:r>
      <w:r w:rsidRPr="00523CDE">
        <w:rPr>
          <w:rFonts w:cs="Arial"/>
          <w:rtl/>
        </w:rPr>
        <w:t xml:space="preserve"> ממנה או מאשה אחרת, ואין בנכסים כדי שיזונו שתיהן, האלמנה ניזונית והבת תשאל על הפתחים. ויש חולקין כמו שנתבאר בסימן צ"ג. </w:t>
      </w:r>
    </w:p>
    <w:p w14:paraId="6C1E29A3" w14:textId="77777777" w:rsidR="002E5BAD" w:rsidRPr="00523CDE" w:rsidRDefault="002E5BAD" w:rsidP="002E5BAD">
      <w:pPr>
        <w:rPr>
          <w:rFonts w:cs="Arial"/>
          <w:rtl/>
        </w:rPr>
      </w:pPr>
    </w:p>
    <w:p w14:paraId="5C3045FA" w14:textId="77777777" w:rsidR="002E5BAD" w:rsidRDefault="002E5BAD" w:rsidP="002E5BAD">
      <w:pPr>
        <w:pStyle w:val="2"/>
        <w:rPr>
          <w:rtl/>
        </w:rPr>
      </w:pPr>
      <w:r w:rsidRPr="00523CDE">
        <w:rPr>
          <w:rtl/>
        </w:rPr>
        <w:lastRenderedPageBreak/>
        <w:t>סעיף יז</w:t>
      </w:r>
      <w:r>
        <w:rPr>
          <w:rFonts w:hint="cs"/>
          <w:rtl/>
        </w:rPr>
        <w:t>: קדימת מזונות הבת לכתובת בנין דכרין.</w:t>
      </w:r>
    </w:p>
    <w:p w14:paraId="42F97A16" w14:textId="77777777" w:rsidR="002E5BAD" w:rsidRPr="00070732" w:rsidRDefault="002E5BAD" w:rsidP="002E5BAD">
      <w:pPr>
        <w:rPr>
          <w:u w:val="single"/>
          <w:rtl/>
        </w:rPr>
      </w:pPr>
      <w:r w:rsidRPr="00070732">
        <w:rPr>
          <w:rFonts w:hint="cs"/>
          <w:u w:val="single"/>
          <w:rtl/>
        </w:rPr>
        <w:t xml:space="preserve">מזונות הבת וכתובת בנין דכרין </w:t>
      </w:r>
      <w:r w:rsidRPr="00070732">
        <w:rPr>
          <w:u w:val="single"/>
          <w:rtl/>
        </w:rPr>
        <w:t>–</w:t>
      </w:r>
      <w:r>
        <w:rPr>
          <w:rFonts w:hint="cs"/>
          <w:u w:val="single"/>
          <w:rtl/>
        </w:rPr>
        <w:t xml:space="preserve"> מי </w:t>
      </w:r>
      <w:r w:rsidRPr="00070732">
        <w:rPr>
          <w:rFonts w:hint="cs"/>
          <w:u w:val="single"/>
          <w:rtl/>
        </w:rPr>
        <w:t>קודם:</w:t>
      </w:r>
    </w:p>
    <w:p w14:paraId="77CD77E7" w14:textId="77777777" w:rsidR="002E5BAD" w:rsidRPr="00D535F4" w:rsidRDefault="002E5BAD" w:rsidP="00B75458">
      <w:pPr>
        <w:pStyle w:val="ab"/>
        <w:numPr>
          <w:ilvl w:val="0"/>
          <w:numId w:val="195"/>
        </w:numPr>
      </w:pPr>
      <w:r>
        <w:rPr>
          <w:rFonts w:cs="Arial" w:hint="cs"/>
          <w:rtl/>
        </w:rPr>
        <w:t xml:space="preserve">רמב"ם </w:t>
      </w:r>
      <w:r>
        <w:rPr>
          <w:rFonts w:cs="Arial" w:hint="cs"/>
          <w:sz w:val="16"/>
          <w:szCs w:val="16"/>
          <w:rtl/>
        </w:rPr>
        <w:t>(</w:t>
      </w:r>
      <w:r w:rsidRPr="00D535F4">
        <w:rPr>
          <w:rFonts w:cs="Arial" w:hint="cs"/>
          <w:sz w:val="16"/>
          <w:szCs w:val="16"/>
          <w:rtl/>
        </w:rPr>
        <w:t>פי"</w:t>
      </w:r>
      <w:r>
        <w:rPr>
          <w:rFonts w:cs="Arial" w:hint="cs"/>
          <w:sz w:val="16"/>
          <w:szCs w:val="16"/>
          <w:rtl/>
        </w:rPr>
        <w:t>ט</w:t>
      </w:r>
      <w:r w:rsidRPr="00D535F4">
        <w:rPr>
          <w:rFonts w:cs="Arial" w:hint="cs"/>
          <w:sz w:val="16"/>
          <w:szCs w:val="16"/>
          <w:rtl/>
        </w:rPr>
        <w:t xml:space="preserve"> הכ"א)</w:t>
      </w:r>
      <w:r>
        <w:rPr>
          <w:rFonts w:cs="Arial" w:hint="cs"/>
          <w:rtl/>
        </w:rPr>
        <w:t xml:space="preserve"> וטור- </w:t>
      </w:r>
      <w:r w:rsidRPr="00FF003E">
        <w:rPr>
          <w:rFonts w:cs="Arial"/>
          <w:rtl/>
        </w:rPr>
        <w:t>וכן אני אומר שמזונות הבת קודמין לירושת הבן כתובת אמו שמתה בחיי אביו</w:t>
      </w:r>
      <w:r w:rsidRPr="00FF003E">
        <w:rPr>
          <w:rFonts w:cs="Arial" w:hint="cs"/>
          <w:rtl/>
        </w:rPr>
        <w:t>,</w:t>
      </w:r>
      <w:r w:rsidRPr="00FF003E">
        <w:rPr>
          <w:rFonts w:cs="Arial"/>
          <w:rtl/>
        </w:rPr>
        <w:t xml:space="preserve"> ואע</w:t>
      </w:r>
      <w:r w:rsidRPr="00FF003E">
        <w:rPr>
          <w:rFonts w:cs="Arial" w:hint="cs"/>
          <w:rtl/>
        </w:rPr>
        <w:t>"</w:t>
      </w:r>
      <w:r w:rsidRPr="00FF003E">
        <w:rPr>
          <w:rFonts w:cs="Arial"/>
          <w:rtl/>
        </w:rPr>
        <w:t>פ ששניהם מתנאי כתובה, קל וחומר הדברים</w:t>
      </w:r>
      <w:r w:rsidRPr="00FF003E">
        <w:rPr>
          <w:rFonts w:cs="Arial" w:hint="cs"/>
          <w:rtl/>
        </w:rPr>
        <w:t>,</w:t>
      </w:r>
      <w:r w:rsidRPr="00FF003E">
        <w:rPr>
          <w:rFonts w:cs="Arial"/>
          <w:rtl/>
        </w:rPr>
        <w:t xml:space="preserve"> ומה אם נדחת ירושה של תורה מפני מזונות הבת לא תדחה ירושת הכתובה שהיא תנאי בית דין מפני מזונות הבת</w:t>
      </w:r>
      <w:r>
        <w:rPr>
          <w:rFonts w:cs="Arial" w:hint="cs"/>
          <w:sz w:val="16"/>
          <w:szCs w:val="16"/>
          <w:rtl/>
        </w:rPr>
        <w:t xml:space="preserve"> (ל' הרמב"ם)</w:t>
      </w:r>
      <w:r w:rsidRPr="00FF003E">
        <w:rPr>
          <w:rFonts w:cs="Arial"/>
          <w:rtl/>
        </w:rPr>
        <w:t>.</w:t>
      </w:r>
      <w:r>
        <w:rPr>
          <w:rFonts w:hint="cs"/>
          <w:rtl/>
        </w:rPr>
        <w:t xml:space="preserve"> </w:t>
      </w:r>
      <w:r w:rsidRPr="00D657B6">
        <w:rPr>
          <w:rFonts w:hint="cs"/>
          <w:color w:val="E36C0A" w:themeColor="accent6" w:themeShade="BF"/>
          <w:rtl/>
        </w:rPr>
        <w:t>(וכ"פ בשו"ע)</w:t>
      </w:r>
    </w:p>
    <w:p w14:paraId="207DD7E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D14E15" w14:textId="77777777" w:rsidR="002E5BAD" w:rsidRDefault="002E5BAD" w:rsidP="002E5BAD">
      <w:pPr>
        <w:rPr>
          <w:rFonts w:cs="Arial"/>
          <w:rtl/>
        </w:rPr>
      </w:pPr>
      <w:r w:rsidRPr="00523CDE">
        <w:rPr>
          <w:rFonts w:cs="Arial"/>
          <w:rtl/>
        </w:rPr>
        <w:t xml:space="preserve">מזונות הבת קודמת לכתובת בנין דכרין. </w:t>
      </w:r>
    </w:p>
    <w:p w14:paraId="76AD2AD5" w14:textId="77777777" w:rsidR="002E5BAD" w:rsidRPr="00523CDE" w:rsidRDefault="002E5BAD" w:rsidP="002E5BAD">
      <w:pPr>
        <w:rPr>
          <w:rFonts w:cs="Arial"/>
          <w:rtl/>
        </w:rPr>
      </w:pPr>
    </w:p>
    <w:p w14:paraId="6C5117DA" w14:textId="77777777" w:rsidR="002E5BAD" w:rsidRDefault="002E5BAD" w:rsidP="002E5BAD">
      <w:pPr>
        <w:pStyle w:val="2"/>
        <w:rPr>
          <w:rtl/>
        </w:rPr>
      </w:pPr>
      <w:r w:rsidRPr="00523CDE">
        <w:rPr>
          <w:rtl/>
        </w:rPr>
        <w:t>סעיף יח</w:t>
      </w:r>
      <w:r>
        <w:rPr>
          <w:rFonts w:hint="cs"/>
          <w:rtl/>
        </w:rPr>
        <w:t xml:space="preserve">: </w:t>
      </w:r>
      <w:r>
        <w:rPr>
          <w:rFonts w:cs="Arial" w:hint="cs"/>
          <w:rtl/>
        </w:rPr>
        <w:t>חלוקת הנכסים כשיש</w:t>
      </w:r>
      <w:r w:rsidRPr="00B345A5">
        <w:rPr>
          <w:rFonts w:cs="Arial"/>
          <w:rtl/>
        </w:rPr>
        <w:t xml:space="preserve"> בנות גדולות וקטנו</w:t>
      </w:r>
      <w:r>
        <w:rPr>
          <w:rFonts w:cs="Arial" w:hint="cs"/>
          <w:rtl/>
        </w:rPr>
        <w:t>ת</w:t>
      </w:r>
      <w:r>
        <w:rPr>
          <w:rFonts w:hint="cs"/>
          <w:rtl/>
        </w:rPr>
        <w:t>.</w:t>
      </w:r>
    </w:p>
    <w:p w14:paraId="7E0CE460" w14:textId="77777777" w:rsidR="002E5BAD" w:rsidRDefault="002E5BAD" w:rsidP="002E5BAD">
      <w:pPr>
        <w:rPr>
          <w:rtl/>
        </w:rPr>
      </w:pPr>
      <w:r>
        <w:rPr>
          <w:rFonts w:cs="Arial" w:hint="cs"/>
          <w:b/>
          <w:bCs/>
          <w:rtl/>
        </w:rPr>
        <w:t>בבא בתרא</w:t>
      </w:r>
      <w:r>
        <w:rPr>
          <w:rFonts w:cs="Arial" w:hint="cs"/>
          <w:b/>
          <w:bCs/>
          <w:sz w:val="16"/>
          <w:szCs w:val="16"/>
          <w:rtl/>
        </w:rPr>
        <w:t xml:space="preserve"> (ס"פ יש נוחלין)</w:t>
      </w:r>
      <w:r>
        <w:rPr>
          <w:rFonts w:cs="Arial" w:hint="cs"/>
          <w:b/>
          <w:bCs/>
          <w:rtl/>
        </w:rPr>
        <w:t xml:space="preserve"> קלט ע"א: </w:t>
      </w:r>
      <w:r w:rsidRPr="009F73FD">
        <w:rPr>
          <w:rFonts w:cs="Arial"/>
          <w:u w:val="double"/>
          <w:rtl/>
        </w:rPr>
        <w:t>מתני'</w:t>
      </w:r>
      <w:r>
        <w:rPr>
          <w:rFonts w:cs="Arial" w:hint="cs"/>
          <w:rtl/>
        </w:rPr>
        <w:t>:...</w:t>
      </w:r>
      <w:r w:rsidRPr="0056720C">
        <w:rPr>
          <w:rFonts w:cs="Arial"/>
          <w:rtl/>
        </w:rPr>
        <w:t xml:space="preserve"> הניח בנות גדולות וקטנות - אין הגדולות מתפרנסות על ידי הקטנות, ולא הקטנות נזונות על הגדולות, אלא חולקות בשוה.</w:t>
      </w:r>
      <w:r>
        <w:rPr>
          <w:rFonts w:cs="Arial" w:hint="cs"/>
          <w:rtl/>
        </w:rPr>
        <w:t>.</w:t>
      </w:r>
      <w:r w:rsidRPr="0056720C">
        <w:rPr>
          <w:rFonts w:cs="Arial"/>
          <w:rtl/>
        </w:rPr>
        <w:t>.</w:t>
      </w:r>
    </w:p>
    <w:p w14:paraId="4FA24384" w14:textId="77777777" w:rsidR="002E5BAD" w:rsidRPr="0056720C" w:rsidRDefault="002E5BAD" w:rsidP="002E5BAD">
      <w:pPr>
        <w:rPr>
          <w:u w:val="single"/>
          <w:rtl/>
        </w:rPr>
      </w:pPr>
      <w:r w:rsidRPr="0056720C">
        <w:rPr>
          <w:rFonts w:cs="Arial"/>
          <w:u w:val="single"/>
          <w:rtl/>
        </w:rPr>
        <w:t>הניח בנות גדולות וקטנו</w:t>
      </w:r>
      <w:r w:rsidRPr="0056720C">
        <w:rPr>
          <w:rFonts w:cs="Arial" w:hint="cs"/>
          <w:u w:val="single"/>
          <w:rtl/>
        </w:rPr>
        <w:t>ת</w:t>
      </w:r>
      <w:r w:rsidRPr="0056720C">
        <w:rPr>
          <w:rFonts w:hint="cs"/>
          <w:u w:val="single"/>
          <w:rtl/>
        </w:rPr>
        <w:t xml:space="preserve"> </w:t>
      </w:r>
      <w:r w:rsidRPr="0056720C">
        <w:rPr>
          <w:u w:val="single"/>
          <w:rtl/>
        </w:rPr>
        <w:t>–</w:t>
      </w:r>
      <w:r w:rsidRPr="0056720C">
        <w:rPr>
          <w:rFonts w:hint="cs"/>
          <w:u w:val="single"/>
          <w:rtl/>
        </w:rPr>
        <w:t xml:space="preserve"> כיצד מחלקים את הנכסים:</w:t>
      </w:r>
    </w:p>
    <w:p w14:paraId="1F04F68C" w14:textId="77777777" w:rsidR="002E5BAD" w:rsidRDefault="002E5BAD" w:rsidP="00B75458">
      <w:pPr>
        <w:pStyle w:val="ab"/>
        <w:numPr>
          <w:ilvl w:val="0"/>
          <w:numId w:val="195"/>
        </w:numPr>
      </w:pPr>
      <w:r>
        <w:rPr>
          <w:rFonts w:cs="Arial" w:hint="cs"/>
          <w:rtl/>
        </w:rPr>
        <w:t xml:space="preserve">טור- </w:t>
      </w:r>
      <w:r w:rsidRPr="00B345A5">
        <w:rPr>
          <w:rFonts w:cs="Arial"/>
          <w:rtl/>
        </w:rPr>
        <w:t>הניח בנות גדולות וקטנו</w:t>
      </w:r>
      <w:r>
        <w:rPr>
          <w:rFonts w:cs="Arial" w:hint="cs"/>
          <w:rtl/>
        </w:rPr>
        <w:t>ת,</w:t>
      </w:r>
      <w:r w:rsidRPr="00B345A5">
        <w:rPr>
          <w:rFonts w:cs="Arial"/>
          <w:rtl/>
        </w:rPr>
        <w:t xml:space="preserve"> אין אומרים יזונו הקטנות עד שיבגרו ואח"כ יחלקו הנכסים</w:t>
      </w:r>
      <w:r>
        <w:rPr>
          <w:rFonts w:cs="Arial" w:hint="cs"/>
          <w:rtl/>
        </w:rPr>
        <w:t>,</w:t>
      </w:r>
      <w:r w:rsidRPr="00B345A5">
        <w:rPr>
          <w:rFonts w:cs="Arial"/>
          <w:rtl/>
        </w:rPr>
        <w:t xml:space="preserve"> אלא מיד יחלקו בשוה וכל אחת תיזון ותתפרנס משלה</w:t>
      </w:r>
      <w:r>
        <w:rPr>
          <w:rFonts w:cs="Arial" w:hint="cs"/>
          <w:rtl/>
        </w:rPr>
        <w:t>.</w:t>
      </w:r>
      <w:r w:rsidRPr="0056720C">
        <w:rPr>
          <w:rFonts w:hint="cs"/>
          <w:color w:val="E36C0A" w:themeColor="accent6" w:themeShade="BF"/>
          <w:rtl/>
        </w:rPr>
        <w:t xml:space="preserve"> (וכ"פ בשו"ע)</w:t>
      </w:r>
    </w:p>
    <w:p w14:paraId="1C73194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9E5A8B" w14:textId="77777777" w:rsidR="002E5BAD" w:rsidRPr="007A3469" w:rsidRDefault="002E5BAD" w:rsidP="002E5BAD">
      <w:pPr>
        <w:rPr>
          <w:rtl/>
        </w:rPr>
        <w:sectPr w:rsidR="002E5BAD" w:rsidRPr="007A3469" w:rsidSect="00A347B3">
          <w:headerReference w:type="default" r:id="rId69"/>
          <w:footnotePr>
            <w:numRestart w:val="eachPage"/>
          </w:footnotePr>
          <w:pgSz w:w="11906" w:h="16838"/>
          <w:pgMar w:top="720" w:right="1134" w:bottom="720" w:left="1134" w:header="0" w:footer="0" w:gutter="0"/>
          <w:cols w:space="720"/>
          <w:bidi/>
          <w:rtlGutter/>
          <w:docGrid w:linePitch="360"/>
        </w:sectPr>
      </w:pPr>
      <w:r w:rsidRPr="00523CDE">
        <w:rPr>
          <w:rFonts w:cs="Arial"/>
          <w:rtl/>
        </w:rPr>
        <w:t>מי שמת והניח בנות גדולות וקטנות, ולא הניח בן, אין אומרים: יזונו הקטנות עד שיבגרו ויחלקו שאר נכסים בשוה, אלא כלן חולקות.</w:t>
      </w:r>
    </w:p>
    <w:p w14:paraId="0404497C" w14:textId="77777777" w:rsidR="002E5BAD" w:rsidRDefault="002E5BAD" w:rsidP="002E5BAD">
      <w:pPr>
        <w:pStyle w:val="1"/>
        <w:rPr>
          <w:rtl/>
        </w:rPr>
      </w:pPr>
      <w:r>
        <w:rPr>
          <w:rFonts w:hint="cs"/>
          <w:rtl/>
        </w:rPr>
        <w:lastRenderedPageBreak/>
        <w:t>סימן קיג:</w:t>
      </w:r>
      <w:r w:rsidRPr="00C12B74">
        <w:rPr>
          <w:rtl/>
        </w:rPr>
        <w:t xml:space="preserve"> </w:t>
      </w:r>
      <w:r>
        <w:rPr>
          <w:rFonts w:cs="Arial"/>
          <w:rtl/>
        </w:rPr>
        <w:t xml:space="preserve">דין עישור נכסים ממה נגבים, ובו י' סעיפים. </w:t>
      </w:r>
    </w:p>
    <w:p w14:paraId="3383DC5C" w14:textId="77777777" w:rsidR="002E5BAD" w:rsidRDefault="002E5BAD" w:rsidP="002E5BAD">
      <w:pPr>
        <w:pStyle w:val="2"/>
        <w:rPr>
          <w:rtl/>
        </w:rPr>
      </w:pPr>
      <w:r>
        <w:rPr>
          <w:rtl/>
        </w:rPr>
        <w:t>סעיף א</w:t>
      </w:r>
      <w:r>
        <w:rPr>
          <w:rFonts w:hint="cs"/>
          <w:rtl/>
        </w:rPr>
        <w:t>: פרנסת הבת.</w:t>
      </w:r>
    </w:p>
    <w:p w14:paraId="64A985BE" w14:textId="77777777" w:rsidR="002E5BAD" w:rsidRDefault="002E5BAD" w:rsidP="002E5BAD">
      <w:pPr>
        <w:rPr>
          <w:rtl/>
        </w:rPr>
      </w:pPr>
      <w:r w:rsidRPr="009164FE">
        <w:rPr>
          <w:rFonts w:cs="Arial" w:hint="cs"/>
          <w:b/>
          <w:bCs/>
          <w:rtl/>
        </w:rPr>
        <w:t xml:space="preserve">כתובות </w:t>
      </w:r>
      <w:r w:rsidRPr="009164FE">
        <w:rPr>
          <w:rFonts w:cs="Arial" w:hint="cs"/>
          <w:b/>
          <w:bCs/>
          <w:sz w:val="16"/>
          <w:szCs w:val="16"/>
          <w:rtl/>
        </w:rPr>
        <w:t xml:space="preserve">(פ' מציאת האשה) </w:t>
      </w:r>
      <w:r w:rsidRPr="009164FE">
        <w:rPr>
          <w:rFonts w:cs="Arial" w:hint="cs"/>
          <w:b/>
          <w:bCs/>
          <w:rtl/>
        </w:rPr>
        <w:t>סח ע"א:</w:t>
      </w:r>
      <w:r>
        <w:rPr>
          <w:rFonts w:cs="Arial" w:hint="cs"/>
          <w:rtl/>
        </w:rPr>
        <w:t xml:space="preserve"> </w:t>
      </w:r>
      <w:r w:rsidRPr="009164FE">
        <w:rPr>
          <w:rFonts w:cs="Arial"/>
          <w:u w:val="double"/>
          <w:rtl/>
        </w:rPr>
        <w:t>מתני'</w:t>
      </w:r>
      <w:r>
        <w:rPr>
          <w:rFonts w:cs="Arial" w:hint="cs"/>
          <w:rtl/>
        </w:rPr>
        <w:t>:</w:t>
      </w:r>
      <w:r>
        <w:rPr>
          <w:rFonts w:cs="Arial"/>
          <w:rtl/>
        </w:rPr>
        <w:t xml:space="preserve"> יתומה שהשיאתה אמה או אחיה מדעתה, וכתבו לה במאה או בחמשים זוז, יכולה היא משתגדיל להוציא מידן מה שראוי להנתן לה. </w:t>
      </w:r>
      <w:r w:rsidRPr="009164FE">
        <w:rPr>
          <w:rFonts w:cs="Arial"/>
          <w:u w:val="single"/>
          <w:rtl/>
        </w:rPr>
        <w:t>רבי יהודה אומר</w:t>
      </w:r>
      <w:r>
        <w:rPr>
          <w:rFonts w:cs="Arial"/>
          <w:rtl/>
        </w:rPr>
        <w:t>: אם השיא את הבת הראשונה, ינתן לשניה כדרך שנתן לראשונה</w:t>
      </w:r>
      <w:r>
        <w:rPr>
          <w:rFonts w:cs="Arial" w:hint="cs"/>
          <w:rtl/>
        </w:rPr>
        <w:t>.</w:t>
      </w:r>
      <w:r>
        <w:rPr>
          <w:rFonts w:cs="Arial"/>
          <w:rtl/>
        </w:rPr>
        <w:t xml:space="preserve"> </w:t>
      </w:r>
      <w:r w:rsidRPr="009164FE">
        <w:rPr>
          <w:rFonts w:cs="Arial"/>
          <w:u w:val="single"/>
          <w:rtl/>
        </w:rPr>
        <w:t>וחכ"א</w:t>
      </w:r>
      <w:r>
        <w:rPr>
          <w:rFonts w:cs="Arial"/>
          <w:rtl/>
        </w:rPr>
        <w:t xml:space="preserve">: פעמים שאדם עני והעשיר או עשיר והעני, אלא שמין את הנכסים ונותנין לה. </w:t>
      </w:r>
      <w:r>
        <w:rPr>
          <w:rFonts w:hint="cs"/>
          <w:rtl/>
        </w:rPr>
        <w:t xml:space="preserve">       </w:t>
      </w:r>
      <w:r w:rsidRPr="009164FE">
        <w:rPr>
          <w:rFonts w:cs="Arial"/>
          <w:u w:val="double"/>
          <w:rtl/>
        </w:rPr>
        <w:t>גמ'</w:t>
      </w:r>
      <w:r>
        <w:rPr>
          <w:rFonts w:cs="Arial" w:hint="cs"/>
          <w:rtl/>
        </w:rPr>
        <w:t>:</w:t>
      </w:r>
      <w:r>
        <w:rPr>
          <w:rFonts w:cs="Arial"/>
          <w:rtl/>
        </w:rPr>
        <w:t xml:space="preserve"> </w:t>
      </w:r>
      <w:r w:rsidRPr="009164FE">
        <w:rPr>
          <w:rFonts w:cs="Arial"/>
          <w:u w:val="single"/>
          <w:rtl/>
        </w:rPr>
        <w:t>אמר שמואל</w:t>
      </w:r>
      <w:r>
        <w:rPr>
          <w:rFonts w:cs="Arial"/>
          <w:rtl/>
        </w:rPr>
        <w:t>: לפרנסה שמין באב</w:t>
      </w:r>
      <w:r>
        <w:rPr>
          <w:rStyle w:val="a7"/>
          <w:rFonts w:cs="Arial"/>
          <w:rtl/>
        </w:rPr>
        <w:footnoteReference w:id="2965"/>
      </w:r>
      <w:r>
        <w:rPr>
          <w:rFonts w:cs="Arial"/>
          <w:rtl/>
        </w:rPr>
        <w:t>.</w:t>
      </w:r>
      <w:r>
        <w:rPr>
          <w:rFonts w:cs="Arial" w:hint="cs"/>
          <w:rtl/>
        </w:rPr>
        <w:t>.</w:t>
      </w:r>
      <w:r>
        <w:rPr>
          <w:rFonts w:cs="Arial"/>
          <w:rtl/>
        </w:rPr>
        <w:t>. תנן, וחכ"א: פעמים שאדם עני והעשיר או עשיר והעני, אלא שמין הנכסים ונותנין לה</w:t>
      </w:r>
      <w:r>
        <w:rPr>
          <w:rFonts w:cs="Arial" w:hint="cs"/>
          <w:rtl/>
        </w:rPr>
        <w:t>.</w:t>
      </w:r>
      <w:r>
        <w:rPr>
          <w:rFonts w:cs="Arial"/>
          <w:rtl/>
        </w:rPr>
        <w:t xml:space="preserve"> מאי עני ומאי עשיר? אי נימא עני - עני בנכסים, עשיר - עשיר בנכסים, מכלל דתנא קמא סבר: אפילו עשיר והעני כדמעיקרא יהבינן לה, הא לית ליה! אלא לאו עני - עני בדעת</w:t>
      </w:r>
      <w:r>
        <w:rPr>
          <w:rStyle w:val="a7"/>
          <w:rFonts w:cs="Arial"/>
          <w:rtl/>
        </w:rPr>
        <w:footnoteReference w:id="2966"/>
      </w:r>
      <w:r>
        <w:rPr>
          <w:rFonts w:cs="Arial"/>
          <w:rtl/>
        </w:rPr>
        <w:t>, עשיר - עשיר בדעת, וקתני: שמין את הנכסים ונותנין לה, אלמא לא אזלינן בתר אומדנא, ותיובתא דשמואל</w:t>
      </w:r>
      <w:r>
        <w:rPr>
          <w:rFonts w:cs="Arial" w:hint="cs"/>
          <w:rtl/>
        </w:rPr>
        <w:t>?</w:t>
      </w:r>
      <w:r>
        <w:rPr>
          <w:rFonts w:cs="Arial"/>
          <w:rtl/>
        </w:rPr>
        <w:t xml:space="preserve">! הוא דאמר </w:t>
      </w:r>
      <w:r>
        <w:rPr>
          <w:rFonts w:cs="Arial" w:hint="cs"/>
          <w:rtl/>
        </w:rPr>
        <w:t xml:space="preserve">- </w:t>
      </w:r>
      <w:r>
        <w:rPr>
          <w:rFonts w:cs="Arial"/>
          <w:rtl/>
        </w:rPr>
        <w:t>כרבי יהודה</w:t>
      </w:r>
      <w:r>
        <w:rPr>
          <w:rFonts w:cs="Arial" w:hint="cs"/>
          <w:rtl/>
        </w:rPr>
        <w:t>.</w:t>
      </w:r>
      <w:r>
        <w:rPr>
          <w:rFonts w:cs="Arial"/>
          <w:rtl/>
        </w:rPr>
        <w:t xml:space="preserve"> דתנן, רבי יהודה אומר: אם השיא בת הראשונה, ינתן לשניה כדרך שנתן לראשונה. ונימא: הלכה כרבי יהודה!</w:t>
      </w:r>
      <w:r>
        <w:rPr>
          <w:rFonts w:cs="Arial" w:hint="cs"/>
          <w:rtl/>
        </w:rPr>
        <w:t>?</w:t>
      </w:r>
      <w:r>
        <w:rPr>
          <w:rFonts w:cs="Arial"/>
          <w:rtl/>
        </w:rPr>
        <w:t xml:space="preserve"> אי אמר הלכה כרבי יהודה, הוה אמינא דוקא השיאה, דגלי דעתיה, אבל לא השיאה לא, קמ"ל טעמא דר' יהודה דאזלינן בתר אומדנא לא שנא השיאה ולא שנא לא השיאה</w:t>
      </w:r>
      <w:r>
        <w:rPr>
          <w:rFonts w:cs="Arial" w:hint="cs"/>
          <w:rtl/>
        </w:rPr>
        <w:t>.</w:t>
      </w:r>
      <w:r>
        <w:rPr>
          <w:rFonts w:cs="Arial"/>
          <w:rtl/>
        </w:rPr>
        <w:t xml:space="preserve"> והאי דקתני השיאה? להודיעך כחן דרבנן, דאע"ג דהשיאה וגלי דעתיה לא אזלינן בתר אומדנא. </w:t>
      </w:r>
      <w:r w:rsidRPr="009164FE">
        <w:rPr>
          <w:rFonts w:cs="Arial"/>
          <w:u w:val="single"/>
          <w:rtl/>
        </w:rPr>
        <w:t>א"ל רבא לרב חסדא</w:t>
      </w:r>
      <w:r>
        <w:rPr>
          <w:rFonts w:cs="Arial" w:hint="cs"/>
          <w:rtl/>
        </w:rPr>
        <w:t>:</w:t>
      </w:r>
      <w:r>
        <w:rPr>
          <w:rFonts w:cs="Arial"/>
          <w:rtl/>
        </w:rPr>
        <w:t xml:space="preserve"> דרשינן משמך הלכה כר' יהודה</w:t>
      </w:r>
      <w:r>
        <w:rPr>
          <w:rFonts w:cs="Arial" w:hint="cs"/>
          <w:rtl/>
        </w:rPr>
        <w:t>.</w:t>
      </w:r>
      <w:r>
        <w:rPr>
          <w:rFonts w:cs="Arial"/>
          <w:rtl/>
        </w:rPr>
        <w:t xml:space="preserve"> </w:t>
      </w:r>
      <w:r w:rsidRPr="009164FE">
        <w:rPr>
          <w:rFonts w:cs="Arial"/>
          <w:u w:val="single"/>
          <w:rtl/>
        </w:rPr>
        <w:t>א"ל</w:t>
      </w:r>
      <w:r>
        <w:rPr>
          <w:rFonts w:cs="Arial"/>
          <w:rtl/>
        </w:rPr>
        <w:t>: יהא רעוא כל כי הני מילי מעלייתא תדרשו משמאי. ומי אמר רבא הכי? והתניא, רבי אומר: בת הניזונת מן האחין - נוטלת עישור נכסים</w:t>
      </w:r>
      <w:r>
        <w:rPr>
          <w:rStyle w:val="a7"/>
          <w:rFonts w:cs="Arial"/>
          <w:rtl/>
        </w:rPr>
        <w:footnoteReference w:id="2967"/>
      </w:r>
      <w:r>
        <w:rPr>
          <w:rFonts w:cs="Arial" w:hint="cs"/>
          <w:rtl/>
        </w:rPr>
        <w:t>.</w:t>
      </w:r>
      <w:r>
        <w:rPr>
          <w:rFonts w:cs="Arial"/>
          <w:rtl/>
        </w:rPr>
        <w:t xml:space="preserve"> ואמר רבא: הלכתא כרבי! לא קשיא: הא דאמידניה, הא דלא אמידניה</w:t>
      </w:r>
      <w:r>
        <w:rPr>
          <w:rStyle w:val="a7"/>
          <w:rFonts w:cs="Arial"/>
          <w:rtl/>
        </w:rPr>
        <w:footnoteReference w:id="2968"/>
      </w:r>
      <w:r>
        <w:rPr>
          <w:rFonts w:cs="Arial"/>
          <w:rtl/>
        </w:rPr>
        <w:t>. הכי נמי מסתברא</w:t>
      </w:r>
      <w:r>
        <w:rPr>
          <w:rStyle w:val="a7"/>
          <w:rFonts w:cs="Arial"/>
          <w:rtl/>
        </w:rPr>
        <w:footnoteReference w:id="2969"/>
      </w:r>
      <w:r>
        <w:rPr>
          <w:rFonts w:cs="Arial"/>
          <w:rtl/>
        </w:rPr>
        <w:t>, דאמר רב אדא בר אהבה: מעשה ונתן לה רבי אחד משנים עשר בנכסים, קשיין אהדדי! אלא לאו ש"מ: הא דאמידניה, הא דלא אמידניה, ש"מ.</w:t>
      </w:r>
    </w:p>
    <w:p w14:paraId="567CBF6F" w14:textId="77777777" w:rsidR="002E5BAD" w:rsidRPr="00740D47" w:rsidRDefault="002E5BAD" w:rsidP="002E5BAD">
      <w:pPr>
        <w:rPr>
          <w:u w:val="single"/>
          <w:rtl/>
        </w:rPr>
      </w:pPr>
      <w:r w:rsidRPr="00740D47">
        <w:rPr>
          <w:rFonts w:hint="cs"/>
          <w:u w:val="single"/>
          <w:rtl/>
        </w:rPr>
        <w:t>פרנסת הבת כיצד:</w:t>
      </w:r>
    </w:p>
    <w:p w14:paraId="0AC8F75E" w14:textId="77777777" w:rsidR="002E5BAD" w:rsidRPr="00F4222F" w:rsidRDefault="002E5BAD" w:rsidP="00B75458">
      <w:pPr>
        <w:pStyle w:val="ab"/>
        <w:numPr>
          <w:ilvl w:val="0"/>
          <w:numId w:val="195"/>
        </w:numPr>
      </w:pPr>
      <w:r>
        <w:rPr>
          <w:rFonts w:cs="Arial" w:hint="cs"/>
          <w:rtl/>
        </w:rPr>
        <w:t xml:space="preserve">טור- </w:t>
      </w:r>
      <w:r w:rsidRPr="00E04543">
        <w:rPr>
          <w:rFonts w:cs="Arial"/>
          <w:rtl/>
        </w:rPr>
        <w:t>מי שמת והניח בת להשיאה</w:t>
      </w:r>
      <w:r>
        <w:rPr>
          <w:rFonts w:cs="Arial" w:hint="cs"/>
          <w:rtl/>
        </w:rPr>
        <w:t>,</w:t>
      </w:r>
      <w:r w:rsidRPr="00E04543">
        <w:rPr>
          <w:rFonts w:cs="Arial"/>
          <w:rtl/>
        </w:rPr>
        <w:t xml:space="preserve"> משיאין אותה מנכסיו</w:t>
      </w:r>
      <w:r>
        <w:rPr>
          <w:rFonts w:cs="Arial" w:hint="cs"/>
          <w:rtl/>
        </w:rPr>
        <w:t>,</w:t>
      </w:r>
      <w:r w:rsidRPr="00E04543">
        <w:rPr>
          <w:rFonts w:cs="Arial"/>
          <w:rtl/>
        </w:rPr>
        <w:t xml:space="preserve"> וזה נקרא פרנסת הבת</w:t>
      </w:r>
      <w:r>
        <w:rPr>
          <w:rFonts w:cs="Arial" w:hint="cs"/>
          <w:rtl/>
        </w:rPr>
        <w:t xml:space="preserve">... </w:t>
      </w:r>
      <w:r w:rsidRPr="000F0C6A">
        <w:rPr>
          <w:rFonts w:cs="Arial"/>
          <w:rtl/>
        </w:rPr>
        <w:t>וכמה נותנים לפרנסתה</w:t>
      </w:r>
      <w:r>
        <w:rPr>
          <w:rFonts w:cs="Arial" w:hint="cs"/>
          <w:rtl/>
        </w:rPr>
        <w:t>,</w:t>
      </w:r>
      <w:r w:rsidRPr="000F0C6A">
        <w:rPr>
          <w:rFonts w:cs="Arial"/>
          <w:rtl/>
        </w:rPr>
        <w:t xml:space="preserve"> רואין</w:t>
      </w:r>
      <w:r>
        <w:rPr>
          <w:rFonts w:cs="Arial" w:hint="cs"/>
          <w:rtl/>
        </w:rPr>
        <w:t>,</w:t>
      </w:r>
      <w:r w:rsidRPr="000F0C6A">
        <w:rPr>
          <w:rFonts w:cs="Arial"/>
          <w:rtl/>
        </w:rPr>
        <w:t xml:space="preserve"> אם השיא שום בת בחייו </w:t>
      </w:r>
      <w:r>
        <w:rPr>
          <w:rFonts w:cs="Arial" w:hint="cs"/>
          <w:rtl/>
        </w:rPr>
        <w:t xml:space="preserve">- </w:t>
      </w:r>
      <w:r w:rsidRPr="000F0C6A">
        <w:rPr>
          <w:rFonts w:cs="Arial"/>
          <w:rtl/>
        </w:rPr>
        <w:t>נותנין לה כמו שנתן לאחותה שהשיאה אותו בחייו</w:t>
      </w:r>
      <w:r>
        <w:rPr>
          <w:rFonts w:cs="Arial" w:hint="cs"/>
          <w:rtl/>
        </w:rPr>
        <w:t xml:space="preserve">... </w:t>
      </w:r>
      <w:r w:rsidRPr="005129D3">
        <w:rPr>
          <w:rFonts w:cs="Arial"/>
          <w:rtl/>
        </w:rPr>
        <w:t>ואם לא השיא שום אחת</w:t>
      </w:r>
      <w:r w:rsidRPr="005129D3">
        <w:rPr>
          <w:rFonts w:cs="Arial" w:hint="cs"/>
          <w:rtl/>
        </w:rPr>
        <w:t xml:space="preserve"> - </w:t>
      </w:r>
      <w:r w:rsidRPr="005129D3">
        <w:rPr>
          <w:rFonts w:cs="Arial"/>
          <w:rtl/>
        </w:rPr>
        <w:t>אומדין דעתו כמה היה נותן אילו היה חי ולפי עושרו ולפי כבודו ולפי ותרנותו וכך יתנו לזאת</w:t>
      </w:r>
      <w:r w:rsidRPr="005129D3">
        <w:rPr>
          <w:rFonts w:cs="Arial" w:hint="cs"/>
          <w:rtl/>
        </w:rPr>
        <w:t>.</w:t>
      </w:r>
      <w:r>
        <w:rPr>
          <w:rFonts w:cs="Arial" w:hint="cs"/>
          <w:rtl/>
        </w:rPr>
        <w:t>..</w:t>
      </w:r>
      <w:r w:rsidRPr="005129D3">
        <w:rPr>
          <w:rFonts w:cs="Arial"/>
          <w:rtl/>
        </w:rPr>
        <w:t xml:space="preserve"> ואם אין יודעין לשער דעתו </w:t>
      </w:r>
      <w:r w:rsidRPr="005129D3">
        <w:rPr>
          <w:rFonts w:cs="Arial" w:hint="cs"/>
          <w:rtl/>
        </w:rPr>
        <w:t xml:space="preserve">- </w:t>
      </w:r>
      <w:r w:rsidRPr="005129D3">
        <w:rPr>
          <w:rFonts w:cs="Arial"/>
          <w:rtl/>
        </w:rPr>
        <w:t>יתנו לה עישור הנכסים</w:t>
      </w:r>
      <w:r w:rsidRPr="005129D3">
        <w:rPr>
          <w:rFonts w:cs="Arial" w:hint="cs"/>
          <w:rtl/>
        </w:rPr>
        <w:t>.</w:t>
      </w:r>
      <w:r w:rsidRPr="005129D3">
        <w:rPr>
          <w:rFonts w:cs="Arial"/>
          <w:rtl/>
        </w:rPr>
        <w:t xml:space="preserve"> </w:t>
      </w:r>
      <w:r w:rsidRPr="00F4222F">
        <w:rPr>
          <w:rFonts w:hint="cs"/>
          <w:color w:val="E36C0A" w:themeColor="accent6" w:themeShade="BF"/>
          <w:rtl/>
        </w:rPr>
        <w:t>(וכ"פ בשו"ע)</w:t>
      </w:r>
    </w:p>
    <w:p w14:paraId="5AC69628" w14:textId="77777777" w:rsidR="002E5BAD" w:rsidRPr="00F4222F" w:rsidRDefault="002E5BAD" w:rsidP="002E5BAD">
      <w:pPr>
        <w:ind w:left="360"/>
        <w:rPr>
          <w:u w:val="dotted"/>
        </w:rPr>
      </w:pPr>
      <w:r w:rsidRPr="00F4222F">
        <w:rPr>
          <w:rFonts w:hint="cs"/>
          <w:u w:val="dotted"/>
          <w:rtl/>
        </w:rPr>
        <w:t>ומה הדין אם נשתנתה דעתו או שהעשיר/העני:</w:t>
      </w:r>
    </w:p>
    <w:p w14:paraId="0F7B618A" w14:textId="77777777" w:rsidR="002E5BAD" w:rsidRDefault="002E5BAD" w:rsidP="00B75458">
      <w:pPr>
        <w:pStyle w:val="ab"/>
        <w:numPr>
          <w:ilvl w:val="0"/>
          <w:numId w:val="195"/>
        </w:numPr>
      </w:pPr>
      <w:r>
        <w:rPr>
          <w:rFonts w:cs="Arial" w:hint="cs"/>
          <w:rtl/>
        </w:rPr>
        <w:t xml:space="preserve">טור- </w:t>
      </w:r>
      <w:r w:rsidRPr="005129D3">
        <w:rPr>
          <w:rFonts w:cs="Arial"/>
          <w:rtl/>
        </w:rPr>
        <w:t>ואם היה עשיר והעני</w:t>
      </w:r>
      <w:r w:rsidRPr="005129D3">
        <w:rPr>
          <w:rFonts w:cs="Arial" w:hint="cs"/>
          <w:rtl/>
        </w:rPr>
        <w:t>,</w:t>
      </w:r>
      <w:r w:rsidRPr="005129D3">
        <w:rPr>
          <w:rFonts w:cs="Arial"/>
          <w:rtl/>
        </w:rPr>
        <w:t xml:space="preserve"> או ותרן ונשתנה דעתו</w:t>
      </w:r>
      <w:r w:rsidRPr="005129D3">
        <w:rPr>
          <w:rFonts w:cs="Arial" w:hint="cs"/>
          <w:rtl/>
        </w:rPr>
        <w:t xml:space="preserve"> -</w:t>
      </w:r>
      <w:r w:rsidRPr="005129D3">
        <w:rPr>
          <w:rFonts w:cs="Arial"/>
          <w:rtl/>
        </w:rPr>
        <w:t xml:space="preserve"> אומדין אותו כפי ממונו ודעתו האחרון</w:t>
      </w:r>
      <w:r w:rsidRPr="005129D3">
        <w:rPr>
          <w:rFonts w:cs="Arial" w:hint="cs"/>
          <w:rtl/>
        </w:rPr>
        <w:t>.</w:t>
      </w:r>
      <w:r>
        <w:rPr>
          <w:rFonts w:hint="cs"/>
          <w:rtl/>
        </w:rPr>
        <w:t xml:space="preserve"> </w:t>
      </w:r>
      <w:r w:rsidRPr="00F4222F">
        <w:rPr>
          <w:rFonts w:hint="cs"/>
          <w:color w:val="00B0F0"/>
          <w:rtl/>
        </w:rPr>
        <w:t>(וכ"</w:t>
      </w:r>
      <w:r>
        <w:rPr>
          <w:rFonts w:hint="cs"/>
          <w:color w:val="00B0F0"/>
          <w:rtl/>
        </w:rPr>
        <w:t>פ</w:t>
      </w:r>
      <w:r w:rsidRPr="00F4222F">
        <w:rPr>
          <w:rFonts w:hint="cs"/>
          <w:color w:val="00B0F0"/>
          <w:rtl/>
        </w:rPr>
        <w:t xml:space="preserve"> הרמ"א)</w:t>
      </w:r>
    </w:p>
    <w:p w14:paraId="0B5998EB" w14:textId="77777777" w:rsidR="002E5BAD" w:rsidRPr="005129D3" w:rsidRDefault="002E5BAD" w:rsidP="002E5BAD">
      <w:pPr>
        <w:ind w:left="360"/>
        <w:rPr>
          <w:u w:val="dotted"/>
        </w:rPr>
      </w:pPr>
      <w:r w:rsidRPr="005129D3">
        <w:rPr>
          <w:rFonts w:hint="cs"/>
          <w:u w:val="dotted"/>
          <w:rtl/>
        </w:rPr>
        <w:t>מה הדין אם לא הניח האב אלא כשיעור מה שנתן לראשונה:</w:t>
      </w:r>
    </w:p>
    <w:p w14:paraId="074C222D" w14:textId="77777777" w:rsidR="002E5BAD" w:rsidRDefault="002E5BAD" w:rsidP="00B75458">
      <w:pPr>
        <w:pStyle w:val="ab"/>
        <w:numPr>
          <w:ilvl w:val="0"/>
          <w:numId w:val="195"/>
        </w:numPr>
      </w:pPr>
      <w:r w:rsidRPr="000F0C6A">
        <w:rPr>
          <w:rFonts w:cs="Arial"/>
          <w:rtl/>
        </w:rPr>
        <w:t>ראב"ד</w:t>
      </w:r>
      <w:r>
        <w:rPr>
          <w:rFonts w:cs="Arial" w:hint="cs"/>
          <w:sz w:val="16"/>
          <w:szCs w:val="16"/>
          <w:rtl/>
        </w:rPr>
        <w:t xml:space="preserve"> (כ"כ הטור בשמו)</w:t>
      </w:r>
      <w:r>
        <w:rPr>
          <w:rFonts w:cs="Arial" w:hint="cs"/>
          <w:rtl/>
        </w:rPr>
        <w:t>-</w:t>
      </w:r>
      <w:r w:rsidRPr="000F0C6A">
        <w:rPr>
          <w:rFonts w:cs="Arial"/>
          <w:rtl/>
        </w:rPr>
        <w:t xml:space="preserve"> אפילו לא הניח אלא שיעור מה שנתן לראשונה ב"ד אומדין דעתו שיתן לשנייה כל מה שהניח והוא יטרח לחזור אחר נכסים אחרים וכופין ג"כ את היורשים ליתן לה כולו</w:t>
      </w:r>
      <w:r>
        <w:rPr>
          <w:rStyle w:val="a7"/>
          <w:rFonts w:cs="Arial"/>
          <w:rtl/>
        </w:rPr>
        <w:footnoteReference w:id="2970"/>
      </w:r>
      <w:r>
        <w:rPr>
          <w:rFonts w:cs="Arial" w:hint="cs"/>
          <w:rtl/>
        </w:rPr>
        <w:t>.</w:t>
      </w:r>
      <w:r w:rsidRPr="000F0C6A">
        <w:rPr>
          <w:rFonts w:cs="Arial"/>
          <w:rtl/>
        </w:rPr>
        <w:t xml:space="preserve"> </w:t>
      </w:r>
    </w:p>
    <w:p w14:paraId="0EC7D1AC" w14:textId="77777777" w:rsidR="002E5BAD" w:rsidRDefault="002E5BAD" w:rsidP="002E5BAD">
      <w:pPr>
        <w:rPr>
          <w:rFonts w:cs="Arial"/>
          <w:rtl/>
        </w:rPr>
      </w:pPr>
      <w:r w:rsidRPr="00F4222F">
        <w:rPr>
          <w:rFonts w:cs="Arial" w:hint="cs"/>
          <w:u w:val="single"/>
          <w:rtl/>
        </w:rPr>
        <w:t xml:space="preserve">האם </w:t>
      </w:r>
      <w:r w:rsidRPr="00F4222F">
        <w:rPr>
          <w:rFonts w:cs="Arial"/>
          <w:u w:val="single"/>
          <w:rtl/>
        </w:rPr>
        <w:t xml:space="preserve">מפרנסין הבת </w:t>
      </w:r>
      <w:r>
        <w:rPr>
          <w:rFonts w:cs="Arial" w:hint="cs"/>
          <w:u w:val="single"/>
          <w:rtl/>
        </w:rPr>
        <w:t xml:space="preserve">גם </w:t>
      </w:r>
      <w:r w:rsidRPr="00F4222F">
        <w:rPr>
          <w:rFonts w:cs="Arial"/>
          <w:u w:val="single"/>
          <w:rtl/>
        </w:rPr>
        <w:t>מנכסי א</w:t>
      </w:r>
      <w:r w:rsidRPr="00F4222F">
        <w:rPr>
          <w:rFonts w:cs="Arial" w:hint="cs"/>
          <w:u w:val="single"/>
          <w:rtl/>
        </w:rPr>
        <w:t>מה:</w:t>
      </w:r>
      <w:r w:rsidRPr="00E04543">
        <w:rPr>
          <w:rFonts w:cs="Arial"/>
          <w:rtl/>
        </w:rPr>
        <w:t xml:space="preserve"> </w:t>
      </w:r>
      <w:r w:rsidRPr="00F4222F">
        <w:rPr>
          <w:rFonts w:cs="Arial"/>
          <w:sz w:val="16"/>
          <w:szCs w:val="16"/>
          <w:rtl/>
        </w:rPr>
        <w:t>(</w:t>
      </w:r>
      <w:r w:rsidRPr="00F4222F">
        <w:rPr>
          <w:rFonts w:cs="Arial" w:hint="cs"/>
          <w:sz w:val="16"/>
          <w:szCs w:val="16"/>
          <w:rtl/>
        </w:rPr>
        <w:t xml:space="preserve">דרכ"מ אות </w:t>
      </w:r>
      <w:r w:rsidRPr="00F4222F">
        <w:rPr>
          <w:rFonts w:cs="Arial"/>
          <w:sz w:val="16"/>
          <w:szCs w:val="16"/>
          <w:rtl/>
        </w:rPr>
        <w:t>א)</w:t>
      </w:r>
      <w:r w:rsidRPr="00E04543">
        <w:rPr>
          <w:rFonts w:cs="Arial"/>
          <w:rtl/>
        </w:rPr>
        <w:t xml:space="preserve"> </w:t>
      </w:r>
    </w:p>
    <w:p w14:paraId="22C3653D" w14:textId="77777777" w:rsidR="002E5BAD" w:rsidRPr="00DB6A77" w:rsidRDefault="002E5BAD" w:rsidP="00B75458">
      <w:pPr>
        <w:pStyle w:val="ab"/>
        <w:numPr>
          <w:ilvl w:val="0"/>
          <w:numId w:val="195"/>
        </w:numPr>
      </w:pPr>
      <w:r>
        <w:rPr>
          <w:rFonts w:cs="Arial" w:hint="cs"/>
          <w:rtl/>
        </w:rPr>
        <w:t xml:space="preserve">רא"ה </w:t>
      </w:r>
      <w:r w:rsidRPr="001B3F60">
        <w:rPr>
          <w:rFonts w:cs="Arial" w:hint="cs"/>
          <w:sz w:val="16"/>
          <w:szCs w:val="16"/>
          <w:rtl/>
        </w:rPr>
        <w:t>(כ"כ בשמו הריטב"א</w:t>
      </w:r>
      <w:r>
        <w:rPr>
          <w:rFonts w:cs="Arial" w:hint="cs"/>
          <w:sz w:val="16"/>
          <w:szCs w:val="16"/>
          <w:rtl/>
        </w:rPr>
        <w:t xml:space="preserve"> [</w:t>
      </w:r>
      <w:r w:rsidRPr="002B5716">
        <w:rPr>
          <w:rFonts w:cs="Arial" w:hint="cs"/>
          <w:sz w:val="16"/>
          <w:szCs w:val="16"/>
          <w:rtl/>
        </w:rPr>
        <w:t>ב"ב קכב: דיבור ראשון</w:t>
      </w:r>
      <w:r>
        <w:rPr>
          <w:rFonts w:cs="Arial" w:hint="cs"/>
          <w:sz w:val="16"/>
          <w:szCs w:val="16"/>
          <w:rtl/>
        </w:rPr>
        <w:t>]</w:t>
      </w:r>
      <w:r w:rsidRPr="002B5716">
        <w:rPr>
          <w:rFonts w:cs="Arial" w:hint="cs"/>
          <w:sz w:val="16"/>
          <w:szCs w:val="16"/>
          <w:rtl/>
        </w:rPr>
        <w:t>)</w:t>
      </w:r>
      <w:r>
        <w:rPr>
          <w:rStyle w:val="a7"/>
          <w:rFonts w:cs="Arial"/>
          <w:rtl/>
        </w:rPr>
        <w:footnoteReference w:id="2971"/>
      </w:r>
      <w:r>
        <w:rPr>
          <w:rFonts w:cs="Arial" w:hint="cs"/>
          <w:rtl/>
        </w:rPr>
        <w:t>-</w:t>
      </w:r>
      <w:r w:rsidRPr="00F4222F">
        <w:rPr>
          <w:rFonts w:cs="Arial"/>
          <w:rtl/>
        </w:rPr>
        <w:t xml:space="preserve"> </w:t>
      </w:r>
      <w:r w:rsidRPr="002B5716">
        <w:rPr>
          <w:rFonts w:cs="Arial"/>
          <w:rtl/>
        </w:rPr>
        <w:t>הא דתנן שהבנות ניזונות מנכסי האב ואינן ניזונות מנכסי האם.</w:t>
      </w:r>
      <w:r>
        <w:rPr>
          <w:rFonts w:cs="Arial" w:hint="cs"/>
          <w:rtl/>
        </w:rPr>
        <w:t xml:space="preserve">.. - </w:t>
      </w:r>
      <w:r w:rsidRPr="002B5716">
        <w:rPr>
          <w:rFonts w:cs="Arial"/>
          <w:rtl/>
        </w:rPr>
        <w:t xml:space="preserve"> לישנא דניזונות דאמרינן הכא כולל הוא אף לפרנסה בין פרנסת גופן בין פרנסת נישואיהן </w:t>
      </w:r>
      <w:r w:rsidRPr="005405F1">
        <w:rPr>
          <w:rFonts w:cs="Arial" w:hint="cs"/>
          <w:sz w:val="16"/>
          <w:szCs w:val="16"/>
          <w:rtl/>
        </w:rPr>
        <w:t>(</w:t>
      </w:r>
      <w:r w:rsidRPr="005405F1">
        <w:rPr>
          <w:rFonts w:cs="Arial"/>
          <w:sz w:val="16"/>
          <w:szCs w:val="16"/>
          <w:rtl/>
        </w:rPr>
        <w:t>דתנאי כתובה דבנן נוקבן וכן דאלמנה דתנן התם (כתובות נב</w:t>
      </w:r>
      <w:r w:rsidRPr="005405F1">
        <w:rPr>
          <w:rFonts w:cs="Arial" w:hint="cs"/>
          <w:sz w:val="16"/>
          <w:szCs w:val="16"/>
          <w:rtl/>
        </w:rPr>
        <w:t>:</w:t>
      </w:r>
      <w:r w:rsidRPr="005405F1">
        <w:rPr>
          <w:rFonts w:cs="Arial"/>
          <w:sz w:val="16"/>
          <w:szCs w:val="16"/>
          <w:rtl/>
        </w:rPr>
        <w:t>) את תהא יתבא בביתי ומתזנא מנכסאי ובנן נוקבן דיהווין ליכי מינאי תיהוון יתבן בביתי ומתזנא מנכסאי, אף פרנסת גופן בכלל, וכדמוכח בכתובות (ס</w:t>
      </w:r>
      <w:r w:rsidRPr="005405F1">
        <w:rPr>
          <w:rFonts w:cs="Arial" w:hint="cs"/>
          <w:sz w:val="16"/>
          <w:szCs w:val="16"/>
          <w:rtl/>
        </w:rPr>
        <w:t>ה.</w:t>
      </w:r>
      <w:r w:rsidRPr="005405F1">
        <w:rPr>
          <w:rFonts w:cs="Arial"/>
          <w:sz w:val="16"/>
          <w:szCs w:val="16"/>
          <w:rtl/>
        </w:rPr>
        <w:t>) גבי עובדא דאתתיה דרב יוסף דאמרה פסוק לי שיראי</w:t>
      </w:r>
      <w:r>
        <w:rPr>
          <w:rFonts w:cs="Arial" w:hint="cs"/>
          <w:sz w:val="16"/>
          <w:szCs w:val="16"/>
          <w:rtl/>
        </w:rPr>
        <w:t>)</w:t>
      </w:r>
      <w:r>
        <w:rPr>
          <w:rFonts w:cs="Arial" w:hint="cs"/>
          <w:rtl/>
        </w:rPr>
        <w:t>,</w:t>
      </w:r>
      <w:r w:rsidRPr="002B5716">
        <w:rPr>
          <w:rFonts w:cs="Arial"/>
          <w:rtl/>
        </w:rPr>
        <w:t xml:space="preserve"> וגם פרנסת הבת שחייבו חכמים לנשואין ועישור נכסים אינן אלא מנכסי האב </w:t>
      </w:r>
      <w:r w:rsidRPr="005405F1">
        <w:rPr>
          <w:rFonts w:cs="Arial" w:hint="cs"/>
          <w:sz w:val="16"/>
          <w:szCs w:val="16"/>
          <w:rtl/>
        </w:rPr>
        <w:t>(</w:t>
      </w:r>
      <w:r w:rsidRPr="005405F1">
        <w:rPr>
          <w:rFonts w:cs="Arial"/>
          <w:sz w:val="16"/>
          <w:szCs w:val="16"/>
          <w:rtl/>
        </w:rPr>
        <w:t>דבדידיה כתיב קרא ואת בנותיכם תנו לאנשים שסמכו משם חכמים לפרנסת הבת כדאיתא בכתובות (נב</w:t>
      </w:r>
      <w:r w:rsidRPr="005405F1">
        <w:rPr>
          <w:rFonts w:cs="Arial" w:hint="cs"/>
          <w:sz w:val="16"/>
          <w:szCs w:val="16"/>
          <w:rtl/>
        </w:rPr>
        <w:t>:</w:t>
      </w:r>
      <w:r w:rsidRPr="005405F1">
        <w:rPr>
          <w:rFonts w:cs="Arial"/>
          <w:sz w:val="16"/>
          <w:szCs w:val="16"/>
          <w:rtl/>
        </w:rPr>
        <w:t>), הילכך הכא תנא ניזונות ונקט לשון כולל לכולן</w:t>
      </w:r>
      <w:r w:rsidRPr="005405F1">
        <w:rPr>
          <w:rFonts w:cs="Arial" w:hint="cs"/>
          <w:sz w:val="16"/>
          <w:szCs w:val="16"/>
          <w:rtl/>
        </w:rPr>
        <w:t>.</w:t>
      </w:r>
      <w:r w:rsidRPr="005405F1">
        <w:rPr>
          <w:rFonts w:cs="Arial"/>
          <w:sz w:val="16"/>
          <w:szCs w:val="16"/>
          <w:rtl/>
        </w:rPr>
        <w:t xml:space="preserve"> א"נ דמזונות משום פרנסת גופן דמאכל ומלבוש וחדא מינייהו נקט אבל ה"ה לפרנסת בנות דנשואין</w:t>
      </w:r>
      <w:r w:rsidRPr="005405F1">
        <w:rPr>
          <w:rFonts w:cs="Arial" w:hint="cs"/>
          <w:sz w:val="16"/>
          <w:szCs w:val="16"/>
          <w:rtl/>
        </w:rPr>
        <w:t>)</w:t>
      </w:r>
      <w:r>
        <w:rPr>
          <w:rFonts w:cs="Arial" w:hint="cs"/>
          <w:rtl/>
        </w:rPr>
        <w:t>.</w:t>
      </w:r>
      <w:r w:rsidRPr="002B5716">
        <w:rPr>
          <w:rFonts w:cs="Arial"/>
          <w:rtl/>
        </w:rPr>
        <w:t xml:space="preserve"> </w:t>
      </w:r>
    </w:p>
    <w:p w14:paraId="3D0FA004" w14:textId="77777777" w:rsidR="002E5BAD" w:rsidRPr="00F4222F" w:rsidRDefault="002E5BAD" w:rsidP="00B75458">
      <w:pPr>
        <w:pStyle w:val="ab"/>
        <w:numPr>
          <w:ilvl w:val="0"/>
          <w:numId w:val="195"/>
        </w:numPr>
      </w:pPr>
      <w:r>
        <w:rPr>
          <w:rFonts w:cs="Arial" w:hint="cs"/>
          <w:rtl/>
        </w:rPr>
        <w:lastRenderedPageBreak/>
        <w:t xml:space="preserve">רמ"ה </w:t>
      </w:r>
      <w:r>
        <w:rPr>
          <w:rFonts w:cs="Arial" w:hint="cs"/>
          <w:sz w:val="16"/>
          <w:szCs w:val="16"/>
          <w:rtl/>
        </w:rPr>
        <w:t>(כ"כ בשמו הריטב"א [שם] באחרונה)</w:t>
      </w:r>
      <w:r>
        <w:rPr>
          <w:rFonts w:cs="Arial" w:hint="cs"/>
          <w:rtl/>
        </w:rPr>
        <w:t xml:space="preserve">- </w:t>
      </w:r>
      <w:r w:rsidRPr="002B5716">
        <w:rPr>
          <w:rFonts w:cs="Arial"/>
          <w:rtl/>
        </w:rPr>
        <w:t xml:space="preserve">כיון דלא קתני הכא אלא מזונות ש"מ דפרנסת נישואין אף מנכסי האם היא </w:t>
      </w:r>
      <w:r w:rsidRPr="005405F1">
        <w:rPr>
          <w:rFonts w:cs="Arial" w:hint="cs"/>
          <w:sz w:val="16"/>
          <w:szCs w:val="16"/>
          <w:rtl/>
        </w:rPr>
        <w:t>(</w:t>
      </w:r>
      <w:r w:rsidRPr="005405F1">
        <w:rPr>
          <w:rFonts w:cs="Arial"/>
          <w:sz w:val="16"/>
          <w:szCs w:val="16"/>
          <w:rtl/>
        </w:rPr>
        <w:t>דבשלמא מזונות שהם תנאי כתובה אינם מנכסי האם אבל פרנסת נישואין שאינה מתנאי כתובה שוה היא בנכסי האם כנכסי האב</w:t>
      </w:r>
      <w:r>
        <w:rPr>
          <w:rFonts w:cs="Arial" w:hint="cs"/>
          <w:sz w:val="16"/>
          <w:szCs w:val="16"/>
          <w:rtl/>
        </w:rPr>
        <w:t>)</w:t>
      </w:r>
      <w:r>
        <w:rPr>
          <w:rStyle w:val="a7"/>
          <w:rFonts w:cs="Arial"/>
          <w:rtl/>
        </w:rPr>
        <w:footnoteReference w:id="2972"/>
      </w:r>
      <w:r>
        <w:rPr>
          <w:rFonts w:cs="Arial" w:hint="cs"/>
          <w:rtl/>
        </w:rPr>
        <w:t>.</w:t>
      </w:r>
      <w:r w:rsidRPr="00F4222F">
        <w:rPr>
          <w:rFonts w:cs="Arial"/>
          <w:rtl/>
        </w:rPr>
        <w:t xml:space="preserve"> </w:t>
      </w:r>
    </w:p>
    <w:p w14:paraId="1B7A7E8A" w14:textId="77777777" w:rsidR="002E5BAD" w:rsidRDefault="002E5BAD" w:rsidP="002E5BAD">
      <w:r w:rsidRPr="009F6248">
        <w:rPr>
          <w:rFonts w:cs="Arial" w:hint="cs"/>
          <w:b/>
          <w:bCs/>
          <w:rtl/>
        </w:rPr>
        <w:t xml:space="preserve">כתובות </w:t>
      </w:r>
      <w:r>
        <w:rPr>
          <w:rFonts w:cs="Arial" w:hint="cs"/>
          <w:b/>
          <w:bCs/>
          <w:sz w:val="16"/>
          <w:szCs w:val="16"/>
          <w:rtl/>
        </w:rPr>
        <w:t xml:space="preserve">(פ' נערה שנתפתתה) </w:t>
      </w:r>
      <w:r w:rsidRPr="009F6248">
        <w:rPr>
          <w:rFonts w:cs="Arial" w:hint="cs"/>
          <w:b/>
          <w:bCs/>
          <w:rtl/>
        </w:rPr>
        <w:t xml:space="preserve">נב ע"ב: </w:t>
      </w:r>
      <w:r w:rsidRPr="009F6248">
        <w:rPr>
          <w:rFonts w:cs="Arial"/>
          <w:rtl/>
        </w:rPr>
        <w:t xml:space="preserve">רב פפא איעסק ליה לבריה בי אבא סוראה, אזיל למיכתב לה כתובתה, שמע יהודה בר מרימר, נפק אתא איתחזי ליה. כי מטו לפיתחא הוה קא מפטר מיניה, </w:t>
      </w:r>
      <w:r w:rsidRPr="00C55B53">
        <w:rPr>
          <w:rFonts w:cs="Arial"/>
          <w:u w:val="single"/>
          <w:rtl/>
        </w:rPr>
        <w:t>אמר ליה</w:t>
      </w:r>
      <w:r w:rsidRPr="009F6248">
        <w:rPr>
          <w:rFonts w:cs="Arial"/>
          <w:rtl/>
        </w:rPr>
        <w:t>: ניעול מר בהדאי,</w:t>
      </w:r>
      <w:r w:rsidRPr="009F6248">
        <w:rPr>
          <w:rtl/>
        </w:rPr>
        <w:t xml:space="preserve"> </w:t>
      </w:r>
      <w:r w:rsidRPr="009F6248">
        <w:rPr>
          <w:rFonts w:cs="Arial" w:hint="cs"/>
          <w:sz w:val="14"/>
          <w:szCs w:val="14"/>
          <w:rtl/>
        </w:rPr>
        <w:t>(</w:t>
      </w:r>
      <w:r>
        <w:rPr>
          <w:rFonts w:cs="Arial" w:hint="cs"/>
          <w:sz w:val="14"/>
          <w:szCs w:val="14"/>
          <w:rtl/>
        </w:rPr>
        <w:t>נג.</w:t>
      </w:r>
      <w:r w:rsidRPr="009F6248">
        <w:rPr>
          <w:rFonts w:cs="Arial" w:hint="cs"/>
          <w:sz w:val="14"/>
          <w:szCs w:val="14"/>
          <w:rtl/>
        </w:rPr>
        <w:t>)</w:t>
      </w:r>
      <w:r>
        <w:rPr>
          <w:rFonts w:cs="Arial" w:hint="cs"/>
          <w:rtl/>
        </w:rPr>
        <w:t xml:space="preserve"> </w:t>
      </w:r>
      <w:r w:rsidRPr="009F6248">
        <w:rPr>
          <w:rFonts w:cs="Arial"/>
          <w:rtl/>
        </w:rPr>
        <w:t>חזייה דלא הוה ניחא ליה</w:t>
      </w:r>
      <w:r>
        <w:rPr>
          <w:rFonts w:cs="Arial" w:hint="cs"/>
          <w:rtl/>
        </w:rPr>
        <w:t>.</w:t>
      </w:r>
      <w:r w:rsidRPr="009F6248">
        <w:rPr>
          <w:rFonts w:cs="Arial"/>
          <w:rtl/>
        </w:rPr>
        <w:t xml:space="preserve"> </w:t>
      </w:r>
      <w:r w:rsidRPr="00C55B53">
        <w:rPr>
          <w:rFonts w:cs="Arial"/>
          <w:u w:val="single"/>
          <w:rtl/>
        </w:rPr>
        <w:t>אמר ליה</w:t>
      </w:r>
      <w:r w:rsidRPr="009F6248">
        <w:rPr>
          <w:rFonts w:cs="Arial"/>
          <w:rtl/>
        </w:rPr>
        <w:t>: מאי דעתיך? משום דאמר ליה שמואל לרב יהודה: שיננא, לא תיהוי בעבורי אחסנתא אפילו מברא בישא לברא טבא, דלא ידיעא מאי זרעא נפיק מיניה, וכל שכן מברא לברתא</w:t>
      </w:r>
      <w:r>
        <w:rPr>
          <w:rStyle w:val="a7"/>
          <w:rFonts w:cs="Arial"/>
          <w:rtl/>
        </w:rPr>
        <w:footnoteReference w:id="2973"/>
      </w:r>
      <w:r>
        <w:rPr>
          <w:rFonts w:cs="Arial" w:hint="cs"/>
          <w:rtl/>
        </w:rPr>
        <w:t xml:space="preserve"> -</w:t>
      </w:r>
      <w:r w:rsidRPr="009F6248">
        <w:rPr>
          <w:rFonts w:cs="Arial"/>
          <w:rtl/>
        </w:rPr>
        <w:t xml:space="preserve"> האי נמי תקנתא דרבנן היא, דאמר רבי יוחנן</w:t>
      </w:r>
      <w:r>
        <w:rPr>
          <w:rStyle w:val="a7"/>
          <w:rFonts w:cs="Arial"/>
          <w:rtl/>
        </w:rPr>
        <w:footnoteReference w:id="2974"/>
      </w:r>
      <w:r w:rsidRPr="009F6248">
        <w:rPr>
          <w:rFonts w:cs="Arial"/>
          <w:rtl/>
        </w:rPr>
        <w:t xml:space="preserve"> משום ר' שמעון בן יוחי! </w:t>
      </w:r>
      <w:r w:rsidRPr="00C55B53">
        <w:rPr>
          <w:rFonts w:cs="Arial"/>
          <w:u w:val="single"/>
          <w:rtl/>
        </w:rPr>
        <w:t>אמר ליה</w:t>
      </w:r>
      <w:r w:rsidRPr="009F6248">
        <w:rPr>
          <w:rFonts w:cs="Arial"/>
          <w:rtl/>
        </w:rPr>
        <w:t xml:space="preserve">: ה"מ מדעתיה, לעשוייה נמי? </w:t>
      </w:r>
      <w:r w:rsidRPr="00C55B53">
        <w:rPr>
          <w:rFonts w:cs="Arial"/>
          <w:u w:val="single"/>
          <w:rtl/>
        </w:rPr>
        <w:t>א"ל</w:t>
      </w:r>
      <w:r w:rsidRPr="009F6248">
        <w:rPr>
          <w:rFonts w:cs="Arial"/>
          <w:rtl/>
        </w:rPr>
        <w:t xml:space="preserve">: אטו מי קאמינא לך דעול ועשייה? עול ולא תעשייה קאמינא! </w:t>
      </w:r>
      <w:r w:rsidRPr="00C55B53">
        <w:rPr>
          <w:rFonts w:cs="Arial"/>
          <w:u w:val="single"/>
          <w:rtl/>
        </w:rPr>
        <w:t>אמר ליה</w:t>
      </w:r>
      <w:r w:rsidRPr="009F6248">
        <w:rPr>
          <w:rFonts w:cs="Arial"/>
          <w:rtl/>
        </w:rPr>
        <w:t xml:space="preserve">: מעלאי דידי היינו עשייה. אכפייה ועול, אישתיק ויתיב. סבר ההוא מירתח רתח, כתביה לכל מאי דהוה ליה. </w:t>
      </w:r>
      <w:r w:rsidRPr="00C55B53">
        <w:rPr>
          <w:rFonts w:cs="Arial"/>
          <w:u w:val="single"/>
          <w:rtl/>
        </w:rPr>
        <w:t>לסוף אמר ליה</w:t>
      </w:r>
      <w:r w:rsidRPr="009F6248">
        <w:rPr>
          <w:rFonts w:cs="Arial"/>
          <w:rtl/>
        </w:rPr>
        <w:t xml:space="preserve">: השתא נמי לא מישתעי מר? חיי דמר, לא שביקי מידי לנפשאי! </w:t>
      </w:r>
      <w:r w:rsidRPr="00C55B53">
        <w:rPr>
          <w:rFonts w:cs="Arial"/>
          <w:u w:val="single"/>
          <w:rtl/>
        </w:rPr>
        <w:t>אמר ליה</w:t>
      </w:r>
      <w:r w:rsidRPr="009F6248">
        <w:rPr>
          <w:rFonts w:cs="Arial"/>
          <w:rtl/>
        </w:rPr>
        <w:t>: אי מינאי דידי</w:t>
      </w:r>
      <w:r>
        <w:rPr>
          <w:rStyle w:val="a7"/>
          <w:rFonts w:cs="Arial"/>
          <w:rtl/>
        </w:rPr>
        <w:footnoteReference w:id="2975"/>
      </w:r>
      <w:r w:rsidRPr="009F6248">
        <w:rPr>
          <w:rFonts w:cs="Arial"/>
          <w:rtl/>
        </w:rPr>
        <w:t xml:space="preserve">, אפי' האי נמי דכתבת לא ניחא לי. </w:t>
      </w:r>
      <w:r w:rsidRPr="00C55B53">
        <w:rPr>
          <w:rFonts w:cs="Arial"/>
          <w:u w:val="single"/>
          <w:rtl/>
        </w:rPr>
        <w:t>א"ל</w:t>
      </w:r>
      <w:r w:rsidRPr="009F6248">
        <w:rPr>
          <w:rFonts w:cs="Arial"/>
          <w:rtl/>
        </w:rPr>
        <w:t xml:space="preserve">: השתא נמי אהדר בי! א"ל: שוייה נפשך </w:t>
      </w:r>
      <w:r>
        <w:rPr>
          <w:rFonts w:cs="Arial" w:hint="cs"/>
          <w:rtl/>
        </w:rPr>
        <w:t>'</w:t>
      </w:r>
      <w:r w:rsidRPr="009F6248">
        <w:rPr>
          <w:rFonts w:cs="Arial"/>
          <w:rtl/>
        </w:rPr>
        <w:t>הדרנא</w:t>
      </w:r>
      <w:r>
        <w:rPr>
          <w:rFonts w:cs="Arial" w:hint="cs"/>
          <w:rtl/>
        </w:rPr>
        <w:t>'</w:t>
      </w:r>
      <w:r w:rsidRPr="009F6248">
        <w:rPr>
          <w:rFonts w:cs="Arial"/>
          <w:rtl/>
        </w:rPr>
        <w:t xml:space="preserve"> </w:t>
      </w:r>
      <w:r>
        <w:rPr>
          <w:rFonts w:cs="Arial" w:hint="cs"/>
          <w:rtl/>
        </w:rPr>
        <w:t xml:space="preserve">- </w:t>
      </w:r>
      <w:r w:rsidRPr="009F6248">
        <w:rPr>
          <w:rFonts w:cs="Arial"/>
          <w:rtl/>
        </w:rPr>
        <w:t>לא קאמינא.</w:t>
      </w:r>
    </w:p>
    <w:p w14:paraId="455539BE" w14:textId="77777777" w:rsidR="002E5BAD" w:rsidRPr="00065ACA" w:rsidRDefault="002E5BAD" w:rsidP="002E5BAD">
      <w:r w:rsidRPr="00065ACA">
        <w:rPr>
          <w:rFonts w:cs="Arial" w:hint="cs"/>
          <w:u w:val="single"/>
          <w:rtl/>
        </w:rPr>
        <w:t xml:space="preserve">האם </w:t>
      </w:r>
      <w:r>
        <w:rPr>
          <w:rFonts w:cs="Arial" w:hint="cs"/>
          <w:u w:val="single"/>
          <w:rtl/>
        </w:rPr>
        <w:t>ה</w:t>
      </w:r>
      <w:r w:rsidRPr="00065ACA">
        <w:rPr>
          <w:rFonts w:cs="Arial" w:hint="cs"/>
          <w:u w:val="single"/>
          <w:rtl/>
        </w:rPr>
        <w:t>אב יכול לתת לבתו יותר מעישור נכסים</w:t>
      </w:r>
      <w:r>
        <w:rPr>
          <w:rFonts w:cs="Arial" w:hint="cs"/>
          <w:u w:val="single"/>
          <w:rtl/>
        </w:rPr>
        <w:t xml:space="preserve"> לנדונייתה</w:t>
      </w:r>
      <w:r w:rsidRPr="00065ACA">
        <w:rPr>
          <w:rFonts w:cs="Arial" w:hint="cs"/>
          <w:u w:val="single"/>
          <w:rtl/>
        </w:rPr>
        <w:t>:</w:t>
      </w:r>
      <w:r>
        <w:rPr>
          <w:rFonts w:cs="Arial" w:hint="cs"/>
          <w:rtl/>
        </w:rPr>
        <w:t xml:space="preserve"> </w:t>
      </w:r>
      <w:r w:rsidRPr="00065ACA">
        <w:rPr>
          <w:rFonts w:cs="Arial"/>
          <w:sz w:val="16"/>
          <w:szCs w:val="16"/>
          <w:rtl/>
        </w:rPr>
        <w:t>(</w:t>
      </w:r>
      <w:r w:rsidRPr="00065ACA">
        <w:rPr>
          <w:rFonts w:cs="Arial" w:hint="cs"/>
          <w:sz w:val="16"/>
          <w:szCs w:val="16"/>
          <w:rtl/>
        </w:rPr>
        <w:t xml:space="preserve">דרכ"מ אות </w:t>
      </w:r>
      <w:r w:rsidRPr="00065ACA">
        <w:rPr>
          <w:rFonts w:cs="Arial"/>
          <w:sz w:val="16"/>
          <w:szCs w:val="16"/>
          <w:rtl/>
        </w:rPr>
        <w:t xml:space="preserve">ג) </w:t>
      </w:r>
    </w:p>
    <w:p w14:paraId="7194FE0B" w14:textId="77777777" w:rsidR="002E5BAD" w:rsidRDefault="002E5BAD" w:rsidP="00B75458">
      <w:pPr>
        <w:pStyle w:val="ab"/>
        <w:numPr>
          <w:ilvl w:val="0"/>
          <w:numId w:val="195"/>
        </w:numPr>
      </w:pPr>
      <w:r>
        <w:rPr>
          <w:rFonts w:cs="Arial" w:hint="cs"/>
          <w:rtl/>
        </w:rPr>
        <w:t xml:space="preserve">רב חנניה בן יהודה גאון </w:t>
      </w:r>
      <w:r w:rsidRPr="006D6996">
        <w:rPr>
          <w:rFonts w:cs="Arial" w:hint="cs"/>
          <w:sz w:val="16"/>
          <w:szCs w:val="16"/>
          <w:rtl/>
        </w:rPr>
        <w:t>(</w:t>
      </w:r>
      <w:r>
        <w:rPr>
          <w:rFonts w:cs="Arial" w:hint="cs"/>
          <w:sz w:val="16"/>
          <w:szCs w:val="16"/>
          <w:rtl/>
        </w:rPr>
        <w:t xml:space="preserve">הביאו </w:t>
      </w:r>
      <w:r w:rsidRPr="006D6996">
        <w:rPr>
          <w:rFonts w:cs="Arial" w:hint="cs"/>
          <w:sz w:val="16"/>
          <w:szCs w:val="16"/>
          <w:rtl/>
        </w:rPr>
        <w:t>בהעי"ט</w:t>
      </w:r>
      <w:r w:rsidRPr="006D6996">
        <w:rPr>
          <w:rStyle w:val="a7"/>
          <w:sz w:val="16"/>
          <w:szCs w:val="16"/>
          <w:rtl/>
        </w:rPr>
        <w:footnoteReference w:id="2976"/>
      </w:r>
      <w:r w:rsidRPr="006D6996">
        <w:rPr>
          <w:rFonts w:cs="Arial" w:hint="cs"/>
          <w:sz w:val="16"/>
          <w:szCs w:val="16"/>
          <w:rtl/>
        </w:rPr>
        <w:t xml:space="preserve"> </w:t>
      </w:r>
      <w:r>
        <w:rPr>
          <w:rFonts w:cs="Arial" w:hint="cs"/>
          <w:sz w:val="16"/>
          <w:szCs w:val="16"/>
          <w:rtl/>
        </w:rPr>
        <w:t>[</w:t>
      </w:r>
      <w:r w:rsidRPr="002C27E2">
        <w:rPr>
          <w:rFonts w:cs="Arial"/>
          <w:sz w:val="16"/>
          <w:szCs w:val="16"/>
          <w:rtl/>
        </w:rPr>
        <w:t>אות כ - כתובות דף לב טור ד</w:t>
      </w:r>
      <w:r>
        <w:rPr>
          <w:rFonts w:cs="Arial" w:hint="cs"/>
          <w:sz w:val="16"/>
          <w:szCs w:val="16"/>
          <w:rtl/>
        </w:rPr>
        <w:t>])</w:t>
      </w:r>
      <w:r>
        <w:rPr>
          <w:rFonts w:cs="Arial" w:hint="cs"/>
          <w:rtl/>
        </w:rPr>
        <w:t xml:space="preserve">- </w:t>
      </w:r>
      <w:r w:rsidRPr="002C27E2">
        <w:rPr>
          <w:rFonts w:cs="Arial"/>
          <w:rtl/>
        </w:rPr>
        <w:t>ולואי שיתן לבנו כבתו וכמה פעמים הוצרך הדבר לנדות כל מי שירבה למתנת בתו</w:t>
      </w:r>
      <w:r>
        <w:rPr>
          <w:rFonts w:hint="cs"/>
          <w:rtl/>
        </w:rPr>
        <w:t>.</w:t>
      </w:r>
    </w:p>
    <w:p w14:paraId="7BE2EBE5" w14:textId="77777777" w:rsidR="002E5BAD" w:rsidRPr="003D3F9F" w:rsidRDefault="002E5BAD" w:rsidP="00B75458">
      <w:pPr>
        <w:pStyle w:val="ab"/>
        <w:numPr>
          <w:ilvl w:val="0"/>
          <w:numId w:val="195"/>
        </w:numPr>
      </w:pPr>
      <w:r w:rsidRPr="00E04543">
        <w:rPr>
          <w:rFonts w:cs="Arial"/>
          <w:rtl/>
        </w:rPr>
        <w:t xml:space="preserve">ר"ן </w:t>
      </w:r>
      <w:r w:rsidRPr="00065ACA">
        <w:rPr>
          <w:rFonts w:cs="Arial" w:hint="cs"/>
          <w:sz w:val="16"/>
          <w:szCs w:val="16"/>
          <w:rtl/>
        </w:rPr>
        <w:t>(</w:t>
      </w:r>
      <w:r w:rsidRPr="00065ACA">
        <w:rPr>
          <w:rFonts w:cs="Arial"/>
          <w:sz w:val="16"/>
          <w:szCs w:val="16"/>
          <w:rtl/>
        </w:rPr>
        <w:t>פרק מציאת האשה ל</w:t>
      </w:r>
      <w:r w:rsidRPr="00065ACA">
        <w:rPr>
          <w:rFonts w:cs="Arial" w:hint="cs"/>
          <w:sz w:val="16"/>
          <w:szCs w:val="16"/>
          <w:rtl/>
        </w:rPr>
        <w:t>.</w:t>
      </w:r>
      <w:r w:rsidRPr="00065ACA">
        <w:rPr>
          <w:rFonts w:cs="Arial"/>
          <w:sz w:val="16"/>
          <w:szCs w:val="16"/>
          <w:rtl/>
        </w:rPr>
        <w:t>)</w:t>
      </w:r>
      <w:r>
        <w:rPr>
          <w:rFonts w:cs="Arial" w:hint="cs"/>
          <w:rtl/>
        </w:rPr>
        <w:t>-</w:t>
      </w:r>
      <w:r w:rsidRPr="00E04543">
        <w:rPr>
          <w:rFonts w:cs="Arial"/>
          <w:rtl/>
        </w:rPr>
        <w:t xml:space="preserve"> </w:t>
      </w:r>
      <w:r w:rsidRPr="00FE7F23">
        <w:rPr>
          <w:rFonts w:cs="Arial"/>
          <w:rtl/>
        </w:rPr>
        <w:t>ועד כמה אביי ורבא דאמרי תרוייהו עד עישור נכסי</w:t>
      </w:r>
      <w:r>
        <w:rPr>
          <w:rFonts w:cs="Arial" w:hint="cs"/>
          <w:rtl/>
        </w:rPr>
        <w:t>.</w:t>
      </w:r>
      <w:r w:rsidRPr="00FE7F23">
        <w:rPr>
          <w:rFonts w:cs="Arial"/>
          <w:rtl/>
        </w:rPr>
        <w:t xml:space="preserve"> ומשמע ודאי דה"ק עד כמה מחייב ושרי דליכא משום עבורי אחסנתא</w:t>
      </w:r>
      <w:r>
        <w:rPr>
          <w:rFonts w:cs="Arial" w:hint="cs"/>
          <w:rtl/>
        </w:rPr>
        <w:t>,</w:t>
      </w:r>
      <w:r w:rsidRPr="00FE7F23">
        <w:rPr>
          <w:rFonts w:cs="Arial"/>
          <w:rtl/>
        </w:rPr>
        <w:t xml:space="preserve"> ומהדרינן עד עישור נכסי</w:t>
      </w:r>
      <w:r>
        <w:rPr>
          <w:rFonts w:cs="Arial" w:hint="cs"/>
          <w:rtl/>
        </w:rPr>
        <w:t>,</w:t>
      </w:r>
      <w:r w:rsidRPr="00FE7F23">
        <w:rPr>
          <w:rFonts w:cs="Arial"/>
          <w:rtl/>
        </w:rPr>
        <w:t xml:space="preserve"> אבל טפי מהכי לא</w:t>
      </w:r>
      <w:r>
        <w:rPr>
          <w:rFonts w:cs="Arial" w:hint="cs"/>
          <w:rtl/>
        </w:rPr>
        <w:t>,</w:t>
      </w:r>
      <w:r w:rsidRPr="00FE7F23">
        <w:rPr>
          <w:rFonts w:cs="Arial"/>
          <w:rtl/>
        </w:rPr>
        <w:t xml:space="preserve"> וכעובדא דרב פפא דאיעסק ליה לבריה בי אבא סוראה דמשמע בהדיא דלרבות בפרנסה אסור</w:t>
      </w:r>
      <w:r>
        <w:rPr>
          <w:rFonts w:cs="Arial" w:hint="cs"/>
          <w:rtl/>
        </w:rPr>
        <w:t>.</w:t>
      </w:r>
      <w:r>
        <w:rPr>
          <w:rFonts w:hint="cs"/>
          <w:rtl/>
        </w:rPr>
        <w:t xml:space="preserve"> </w:t>
      </w:r>
    </w:p>
    <w:p w14:paraId="4B80B2C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57E04D" w14:textId="77777777" w:rsidR="002E5BAD" w:rsidRDefault="002E5BAD" w:rsidP="002E5BAD">
      <w:pPr>
        <w:rPr>
          <w:rtl/>
        </w:rPr>
      </w:pPr>
      <w:r>
        <w:rPr>
          <w:rFonts w:cs="Arial"/>
          <w:rtl/>
        </w:rPr>
        <w:t>מי שמת והניח בת, אומדים דעתו כמה היה בלבו ליתן לה לפרנסת נדונייתה ונותנים לה</w:t>
      </w:r>
      <w:r>
        <w:rPr>
          <w:rStyle w:val="a7"/>
          <w:rFonts w:cs="Arial"/>
          <w:rtl/>
        </w:rPr>
        <w:footnoteReference w:id="2977"/>
      </w:r>
      <w:r>
        <w:rPr>
          <w:rFonts w:cs="Arial"/>
          <w:rtl/>
        </w:rPr>
        <w:t>. ומנין יהיו יודעים אומדן דעתו, מריעיו ומיודעיו ומשאו ומתנו וכבודו</w:t>
      </w:r>
      <w:r>
        <w:rPr>
          <w:rFonts w:cs="Arial" w:hint="cs"/>
          <w:rtl/>
        </w:rPr>
        <w:t>,</w:t>
      </w:r>
      <w:r>
        <w:rPr>
          <w:rFonts w:cs="Arial"/>
          <w:rtl/>
        </w:rPr>
        <w:t xml:space="preserve"> וכן אם השיא בת בחייו אומדים בה</w:t>
      </w:r>
      <w:r>
        <w:rPr>
          <w:rStyle w:val="a7"/>
          <w:rFonts w:cs="Arial"/>
          <w:rtl/>
        </w:rPr>
        <w:footnoteReference w:id="2978"/>
      </w:r>
      <w:r>
        <w:rPr>
          <w:rFonts w:cs="Arial"/>
          <w:rtl/>
        </w:rPr>
        <w:t xml:space="preserve">. </w:t>
      </w:r>
      <w:r w:rsidRPr="00C208C3">
        <w:rPr>
          <w:rFonts w:cs="Arial"/>
          <w:sz w:val="18"/>
          <w:szCs w:val="18"/>
          <w:rtl/>
        </w:rPr>
        <w:t>הגה: ואם היה עשיר והעני, או ותרן ונשתנה דעתו</w:t>
      </w:r>
      <w:r>
        <w:rPr>
          <w:rStyle w:val="a7"/>
          <w:rFonts w:cs="Arial"/>
          <w:sz w:val="18"/>
          <w:szCs w:val="18"/>
          <w:rtl/>
        </w:rPr>
        <w:footnoteReference w:id="2979"/>
      </w:r>
      <w:r w:rsidRPr="00C208C3">
        <w:rPr>
          <w:rFonts w:cs="Arial"/>
          <w:sz w:val="18"/>
          <w:szCs w:val="18"/>
          <w:rtl/>
        </w:rPr>
        <w:t>, הולכין אחר דעתו האחרונה (טור).</w:t>
      </w:r>
      <w:r>
        <w:rPr>
          <w:rFonts w:cs="Arial"/>
          <w:rtl/>
        </w:rPr>
        <w:t xml:space="preserve"> ואם לא ידעו ב</w:t>
      </w:r>
      <w:r>
        <w:rPr>
          <w:rFonts w:cs="Arial" w:hint="cs"/>
          <w:rtl/>
        </w:rPr>
        <w:t xml:space="preserve">ית </w:t>
      </w:r>
      <w:r>
        <w:rPr>
          <w:rFonts w:cs="Arial"/>
          <w:rtl/>
        </w:rPr>
        <w:t>ד</w:t>
      </w:r>
      <w:r>
        <w:rPr>
          <w:rFonts w:cs="Arial" w:hint="cs"/>
          <w:rtl/>
        </w:rPr>
        <w:t>ין</w:t>
      </w:r>
      <w:r>
        <w:rPr>
          <w:rFonts w:cs="Arial"/>
          <w:rtl/>
        </w:rPr>
        <w:t xml:space="preserve"> אומדן דעתו, נותנים לה מנכסיו עישור לפרנסת נדונייתה. </w:t>
      </w:r>
      <w:r w:rsidRPr="00F038E9">
        <w:rPr>
          <w:rFonts w:cs="Arial"/>
          <w:sz w:val="18"/>
          <w:szCs w:val="18"/>
          <w:rtl/>
        </w:rPr>
        <w:t>הגה: וכשם שנותנין לבת פרנסה לנדוניא מנכסי האב, כך נותנים לה פרנסה מנכסי האם (</w:t>
      </w:r>
      <w:r>
        <w:rPr>
          <w:rFonts w:cs="Arial" w:hint="cs"/>
          <w:sz w:val="18"/>
          <w:szCs w:val="18"/>
          <w:rtl/>
        </w:rPr>
        <w:t>נמוק"י בשם ריטב"א בשם רמ"ה</w:t>
      </w:r>
      <w:r w:rsidRPr="00F038E9">
        <w:rPr>
          <w:rFonts w:cs="Arial"/>
          <w:sz w:val="18"/>
          <w:szCs w:val="18"/>
          <w:rtl/>
        </w:rPr>
        <w:t>). ויש חולקין</w:t>
      </w:r>
      <w:r>
        <w:rPr>
          <w:rStyle w:val="a7"/>
          <w:rFonts w:cs="Arial"/>
          <w:sz w:val="18"/>
          <w:szCs w:val="18"/>
          <w:rtl/>
        </w:rPr>
        <w:footnoteReference w:id="2980"/>
      </w:r>
      <w:r w:rsidRPr="00F038E9">
        <w:rPr>
          <w:rFonts w:cs="Arial"/>
          <w:sz w:val="18"/>
          <w:szCs w:val="18"/>
          <w:rtl/>
        </w:rPr>
        <w:t xml:space="preserve"> (מהרי"ל סי' עה). י"א דאף האב בחיים אין לו להוסיף לבתו יותר מעישור נכסים (הר"ן פ' מציאת האשה), ואין נוהגין כן.</w:t>
      </w:r>
      <w:r>
        <w:rPr>
          <w:rFonts w:cs="Arial"/>
          <w:rtl/>
        </w:rPr>
        <w:t xml:space="preserve"> </w:t>
      </w:r>
    </w:p>
    <w:p w14:paraId="7D44B98B" w14:textId="77777777" w:rsidR="002E5BAD" w:rsidRPr="00754C20" w:rsidRDefault="002E5BAD" w:rsidP="002E5BAD">
      <w:pPr>
        <w:rPr>
          <w:rtl/>
        </w:rPr>
      </w:pPr>
      <w:r w:rsidRPr="00A45093">
        <w:rPr>
          <w:rFonts w:hint="cs"/>
          <w:u w:val="single"/>
          <w:rtl/>
        </w:rPr>
        <w:t xml:space="preserve">אב שמת, ואח"כ מת אביו, ונפלו נכסיו לפני הנכדים </w:t>
      </w:r>
      <w:r w:rsidRPr="00A45093">
        <w:rPr>
          <w:u w:val="single"/>
          <w:rtl/>
        </w:rPr>
        <w:t>–</w:t>
      </w:r>
      <w:r w:rsidRPr="00A45093">
        <w:rPr>
          <w:rFonts w:hint="cs"/>
          <w:u w:val="single"/>
          <w:rtl/>
        </w:rPr>
        <w:t xml:space="preserve"> האם מחשבין נכסים אלו לעניין עישור נכסים:</w:t>
      </w:r>
      <w:r>
        <w:rPr>
          <w:rFonts w:hint="cs"/>
          <w:rtl/>
        </w:rPr>
        <w:t xml:space="preserve"> </w:t>
      </w:r>
      <w:r w:rsidRPr="00754C20">
        <w:rPr>
          <w:rFonts w:hint="cs"/>
          <w:sz w:val="16"/>
          <w:szCs w:val="16"/>
          <w:rtl/>
        </w:rPr>
        <w:t xml:space="preserve"> (פת"ש סק"ב)</w:t>
      </w:r>
    </w:p>
    <w:p w14:paraId="508F05F4" w14:textId="77777777" w:rsidR="002E5BAD" w:rsidRDefault="002E5BAD" w:rsidP="00B75458">
      <w:pPr>
        <w:pStyle w:val="ab"/>
        <w:numPr>
          <w:ilvl w:val="0"/>
          <w:numId w:val="203"/>
        </w:numPr>
        <w:rPr>
          <w:rtl/>
        </w:rPr>
      </w:pPr>
      <w:r w:rsidRPr="00A45093">
        <w:rPr>
          <w:rFonts w:cs="Arial"/>
          <w:rtl/>
        </w:rPr>
        <w:lastRenderedPageBreak/>
        <w:t>ח</w:t>
      </w:r>
      <w:r w:rsidRPr="00A45093">
        <w:rPr>
          <w:rFonts w:cs="Arial" w:hint="cs"/>
          <w:rtl/>
        </w:rPr>
        <w:t>ת</w:t>
      </w:r>
      <w:r w:rsidRPr="00A45093">
        <w:rPr>
          <w:rFonts w:cs="Arial"/>
          <w:rtl/>
        </w:rPr>
        <w:t xml:space="preserve">"ס </w:t>
      </w:r>
      <w:r w:rsidRPr="00A45093">
        <w:rPr>
          <w:rFonts w:cs="Arial" w:hint="cs"/>
          <w:sz w:val="16"/>
          <w:szCs w:val="16"/>
          <w:rtl/>
        </w:rPr>
        <w:t>(</w:t>
      </w:r>
      <w:r w:rsidRPr="00A45093">
        <w:rPr>
          <w:rFonts w:cs="Arial"/>
          <w:sz w:val="16"/>
          <w:szCs w:val="16"/>
          <w:rtl/>
        </w:rPr>
        <w:t>סי' קמ</w:t>
      </w:r>
      <w:r w:rsidRPr="00A45093">
        <w:rPr>
          <w:rFonts w:cs="Arial" w:hint="cs"/>
          <w:sz w:val="16"/>
          <w:szCs w:val="16"/>
          <w:rtl/>
        </w:rPr>
        <w:t>ה)</w:t>
      </w:r>
      <w:r w:rsidRPr="00A45093">
        <w:rPr>
          <w:rFonts w:cs="Arial" w:hint="cs"/>
          <w:rtl/>
        </w:rPr>
        <w:t xml:space="preserve">- </w:t>
      </w:r>
      <w:r w:rsidRPr="00A45093">
        <w:rPr>
          <w:rFonts w:cs="Arial"/>
          <w:rtl/>
        </w:rPr>
        <w:t>אבי אב שמת ונפלו נכסיו לפני נכדיו</w:t>
      </w:r>
      <w:r>
        <w:rPr>
          <w:rFonts w:cs="Arial" w:hint="cs"/>
          <w:rtl/>
        </w:rPr>
        <w:t>,</w:t>
      </w:r>
      <w:r w:rsidRPr="00A45093">
        <w:rPr>
          <w:rFonts w:cs="Arial"/>
          <w:rtl/>
        </w:rPr>
        <w:t xml:space="preserve"> צ"ע אם מוציאין עישור נכסיו להבנות דבקידושין </w:t>
      </w:r>
      <w:r>
        <w:rPr>
          <w:rFonts w:cs="Arial" w:hint="cs"/>
          <w:rtl/>
        </w:rPr>
        <w:t>(</w:t>
      </w:r>
      <w:r w:rsidRPr="00A45093">
        <w:rPr>
          <w:rFonts w:cs="Arial"/>
          <w:rtl/>
        </w:rPr>
        <w:t>ל</w:t>
      </w:r>
      <w:r>
        <w:rPr>
          <w:rFonts w:cs="Arial" w:hint="cs"/>
          <w:rtl/>
        </w:rPr>
        <w:t>.)</w:t>
      </w:r>
      <w:r w:rsidRPr="00A45093">
        <w:rPr>
          <w:rFonts w:cs="Arial"/>
          <w:rtl/>
        </w:rPr>
        <w:t xml:space="preserve"> צריך קרא דאבי אביו מחוייב ללמדו תורה דאי לאו הכי ה"א בניכם ולא בני בניכם וא"כ בההיא דקחו נשים לבניכם ואת בנותיכם תתנו לאנשים דליכא ריבוי אמרי' בניכם ובנותיכם ולא בני בניכם ובנותיכם. ועובדא הוה קמן במותב תלתא</w:t>
      </w:r>
      <w:r>
        <w:rPr>
          <w:rFonts w:cs="Arial" w:hint="cs"/>
          <w:rtl/>
        </w:rPr>
        <w:t xml:space="preserve">- </w:t>
      </w:r>
      <w:r w:rsidRPr="00A45093">
        <w:rPr>
          <w:rFonts w:cs="Arial"/>
          <w:rtl/>
        </w:rPr>
        <w:t xml:space="preserve"> ולא פסקנו לבת הבן כלום מנכסי אבי אביה במקום אח</w:t>
      </w:r>
      <w:r>
        <w:rPr>
          <w:rFonts w:cs="Arial" w:hint="cs"/>
          <w:rtl/>
        </w:rPr>
        <w:t>.</w:t>
      </w:r>
      <w:r w:rsidRPr="00A45093">
        <w:rPr>
          <w:rFonts w:cs="Arial"/>
          <w:rtl/>
        </w:rPr>
        <w:t xml:space="preserve"> דאין לומר דהאב יורש בקבר מאביו ומוריש לבניו ומחוייבי' בפרנסת הבת</w:t>
      </w:r>
      <w:r>
        <w:rPr>
          <w:rFonts w:cs="Arial" w:hint="cs"/>
          <w:rtl/>
        </w:rPr>
        <w:t>,</w:t>
      </w:r>
      <w:r w:rsidRPr="00A45093">
        <w:rPr>
          <w:rFonts w:cs="Arial"/>
          <w:rtl/>
        </w:rPr>
        <w:t xml:space="preserve"> ז</w:t>
      </w:r>
      <w:r>
        <w:rPr>
          <w:rFonts w:cs="Arial" w:hint="cs"/>
          <w:rtl/>
        </w:rPr>
        <w:t xml:space="preserve">ה </w:t>
      </w:r>
      <w:r w:rsidRPr="00A45093">
        <w:rPr>
          <w:rFonts w:cs="Arial"/>
          <w:rtl/>
        </w:rPr>
        <w:t>א</w:t>
      </w:r>
      <w:r>
        <w:rPr>
          <w:rFonts w:cs="Arial" w:hint="cs"/>
          <w:rtl/>
        </w:rPr>
        <w:t>ינו.</w:t>
      </w:r>
      <w:r w:rsidRPr="00A45093">
        <w:rPr>
          <w:rFonts w:cs="Arial"/>
          <w:rtl/>
        </w:rPr>
        <w:t xml:space="preserve"> חדא דיכולים לטעון מכח אבוה דאבא קאתינא כדפסקי' בח"מ סימן רי"א סעיף ג' ד'</w:t>
      </w:r>
      <w:r>
        <w:rPr>
          <w:rFonts w:cs="Arial" w:hint="cs"/>
          <w:rtl/>
        </w:rPr>
        <w:t>.</w:t>
      </w:r>
      <w:r w:rsidRPr="00A45093">
        <w:rPr>
          <w:rFonts w:cs="Arial"/>
          <w:rtl/>
        </w:rPr>
        <w:t xml:space="preserve"> ותו דהאב בקבר לא מחייב במצות הבן על האב כו'</w:t>
      </w:r>
      <w:r>
        <w:rPr>
          <w:rFonts w:cs="Arial" w:hint="cs"/>
          <w:rtl/>
        </w:rPr>
        <w:t>.</w:t>
      </w:r>
      <w:r w:rsidRPr="00A45093">
        <w:rPr>
          <w:rFonts w:cs="Arial"/>
          <w:rtl/>
        </w:rPr>
        <w:t xml:space="preserve"> ואי משום אומדנא דאילו היה זקן חי היה נותן כך לנדוניית נכדו </w:t>
      </w:r>
      <w:r>
        <w:rPr>
          <w:rFonts w:cs="Arial" w:hint="cs"/>
          <w:rtl/>
        </w:rPr>
        <w:t xml:space="preserve">- </w:t>
      </w:r>
      <w:r w:rsidRPr="00A45093">
        <w:rPr>
          <w:rFonts w:cs="Arial"/>
          <w:rtl/>
        </w:rPr>
        <w:t>אין לנו לדון בדמיונות ואומדנות דלא מתפרשו בש"ס דלא נאמר אלא באב דגוף הנישואין מחויב מה"ת להשיא בתו אלא דאנן אמדינן דעתיה כמה היה מפריז לנדן אבל באבי אב כו' ע"כ אין להוציא אפילו מנכסי אבי האב ומכ"ש מנכסי אבי האם.</w:t>
      </w:r>
      <w:r>
        <w:rPr>
          <w:rFonts w:cs="Arial" w:hint="cs"/>
          <w:rtl/>
        </w:rPr>
        <w:t xml:space="preserve">.. </w:t>
      </w:r>
      <w:r w:rsidRPr="00A45093">
        <w:rPr>
          <w:rFonts w:cs="Arial"/>
          <w:rtl/>
        </w:rPr>
        <w:t>אמנם אם היו הבנים כולם גדולי' בין הזכרים ובין הנקיבות פשוט שהב"ד יכולים לכוף בדברים עכ"פ מטעם צדקה לסייע בסך מסויים לפי עשרם ואפילו אם הזכרים קטנים ורק הבנות הגיעו לפרק נישואין עכשיו רשאי לאפטרופס ליתן סיום לפי עשרם של הבנים לאחשבינהו עח"מ סי' ר"צ סעיף י"ד ממתני' דגיטין נ"ב ע"א</w:t>
      </w:r>
      <w:r>
        <w:rPr>
          <w:rFonts w:cs="Arial" w:hint="cs"/>
          <w:rtl/>
        </w:rPr>
        <w:t>.</w:t>
      </w:r>
      <w:r w:rsidRPr="00A45093">
        <w:rPr>
          <w:rFonts w:cs="Arial"/>
          <w:rtl/>
        </w:rPr>
        <w:t xml:space="preserve"> אבל אם הבנות קטנות להפריש עתה ממעות הזכרים קטנים משום הבנות כשיתגדלו אינו נכון דהא אינו רשאי לעשר ולהניח. ומ"מ הכל לפי ראות עיני הדיינים אם יראו אם יתגדלו הבנים לא ישמעו קול הורים כדור הזה הפרוץ בעו"ה ותשבו הבנות עד שילבינו אפשר יש רשות לב"ד לקצוב המעשר מירושתם לחלק בין הבנות לכשיגיעו לנישואין. ואמנם יהיה הקרן ההוא עומד בחזקת הזכרים והפירות שלהם אך יוכתב בפנקס הקהל שסך הזה שהוא לעשר ירושתה יחולק בין הבנות ולכשיגיעו לנישואין והוא להם מתנה מאחיהם מעשר מעותיהם ויש בזה קצת ועשית הישר והטוב</w:t>
      </w:r>
      <w:r>
        <w:rPr>
          <w:rFonts w:cs="Arial" w:hint="cs"/>
          <w:rtl/>
        </w:rPr>
        <w:t>...</w:t>
      </w:r>
    </w:p>
    <w:p w14:paraId="19E4303E" w14:textId="77777777" w:rsidR="002E5BAD" w:rsidRDefault="002E5BAD" w:rsidP="002E5BAD">
      <w:pPr>
        <w:rPr>
          <w:rtl/>
        </w:rPr>
      </w:pPr>
    </w:p>
    <w:p w14:paraId="621B82C1" w14:textId="77777777" w:rsidR="002E5BAD" w:rsidRDefault="002E5BAD" w:rsidP="002E5BAD">
      <w:pPr>
        <w:pStyle w:val="2"/>
        <w:rPr>
          <w:rtl/>
        </w:rPr>
      </w:pPr>
      <w:r>
        <w:rPr>
          <w:rtl/>
        </w:rPr>
        <w:t>סעיף ב</w:t>
      </w:r>
      <w:r>
        <w:rPr>
          <w:rFonts w:hint="cs"/>
          <w:rtl/>
        </w:rPr>
        <w:t>: ממה נגבית פרנסת הבת.</w:t>
      </w:r>
    </w:p>
    <w:p w14:paraId="547403D9" w14:textId="77777777" w:rsidR="002E5BAD" w:rsidRDefault="002E5BAD" w:rsidP="002E5BAD">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3B2777">
        <w:rPr>
          <w:rFonts w:cs="Arial"/>
          <w:u w:val="single"/>
          <w:rtl/>
        </w:rPr>
        <w:t>אמר רב הונא אמר רבי</w:t>
      </w:r>
      <w:r w:rsidRPr="009C31B7">
        <w:rPr>
          <w:rFonts w:cs="Arial"/>
          <w:rtl/>
        </w:rPr>
        <w:t>: פרנסה אינה כתנאי כתובה</w:t>
      </w:r>
      <w:r>
        <w:rPr>
          <w:rFonts w:cs="Arial" w:hint="cs"/>
          <w:rtl/>
        </w:rPr>
        <w:t>...</w:t>
      </w:r>
      <w:r w:rsidRPr="009C31B7">
        <w:rPr>
          <w:rFonts w:cs="Arial"/>
          <w:rtl/>
        </w:rPr>
        <w:t xml:space="preserve"> </w:t>
      </w:r>
    </w:p>
    <w:p w14:paraId="01C47E97" w14:textId="77777777" w:rsidR="002E5BAD" w:rsidRPr="00FE4D36" w:rsidRDefault="002E5BAD" w:rsidP="002E5BAD">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Style w:val="a7"/>
          <w:rFonts w:cs="Arial"/>
          <w:rtl/>
        </w:rPr>
        <w:footnoteReference w:id="2981"/>
      </w:r>
      <w:r w:rsidRPr="000454C9">
        <w:rPr>
          <w:rFonts w:cs="Arial"/>
          <w:rtl/>
        </w:rPr>
        <w:t>.</w:t>
      </w:r>
      <w:r w:rsidRPr="003B2777">
        <w:rPr>
          <w:rtl/>
        </w:rPr>
        <w:t xml:space="preserve"> </w:t>
      </w:r>
      <w:r w:rsidRPr="003B2777">
        <w:rPr>
          <w:rFonts w:cs="Arial"/>
          <w:u w:val="single"/>
          <w:rtl/>
        </w:rPr>
        <w:t>אמר ליה רב אשי לאמימר</w:t>
      </w:r>
      <w:r w:rsidRPr="003B2777">
        <w:rPr>
          <w:rFonts w:cs="Arial"/>
          <w:rtl/>
        </w:rPr>
        <w:t>: אילו בעי לסלוקה בזוזי, הכי נמי דלא מצי לסלוקה? אמר ליה: אין. אי בעי לסלוקה בחדא ארעא, הכי נמי דלא מצי מסלק לה? אמר ליה: אין</w:t>
      </w:r>
      <w:r>
        <w:rPr>
          <w:rStyle w:val="a7"/>
          <w:rFonts w:cs="Arial"/>
          <w:rtl/>
        </w:rPr>
        <w:footnoteReference w:id="2982"/>
      </w:r>
      <w:r w:rsidRPr="003B2777">
        <w:rPr>
          <w:rFonts w:cs="Arial"/>
          <w:rtl/>
        </w:rPr>
        <w:t xml:space="preserve">. </w:t>
      </w:r>
      <w:r w:rsidRPr="000454C9">
        <w:rPr>
          <w:rFonts w:cs="Arial"/>
          <w:rtl/>
        </w:rPr>
        <w:t xml:space="preserve"> </w:t>
      </w:r>
      <w:r w:rsidRPr="000454C9">
        <w:rPr>
          <w:rFonts w:cs="Arial"/>
          <w:u w:val="single"/>
          <w:rtl/>
        </w:rPr>
        <w:t>רב אשי אמר</w:t>
      </w:r>
      <w:r w:rsidRPr="000454C9">
        <w:rPr>
          <w:rFonts w:cs="Arial"/>
          <w:rtl/>
        </w:rPr>
        <w:t>: בת - בעלת חוב הויא. ואף אמימר הדר ביה</w:t>
      </w:r>
      <w:r w:rsidRPr="003B2777">
        <w:rPr>
          <w:rFonts w:cs="Arial"/>
          <w:rtl/>
        </w:rPr>
        <w:t>, דאמר רב מניומי בריה דרב ניחומי: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0454C9">
        <w:rPr>
          <w:rFonts w:cs="Arial"/>
          <w:rtl/>
        </w:rPr>
        <w:t xml:space="preserve"> והשתא דאמרת: בעלת חוב הויא, דאבא או דאחי? למאי נפקא מינה? למיגבא לבינונית שלא בשבועה וזיבורית בשבועה, מאי? תא שמע: דרבינא אגביה לברתיה דרב אשי ממר בריה דרב אשי בינונית ושלא בשבועה, מבריה דרב סמא בריה דרב אשי - זבורית בשבועה</w:t>
      </w:r>
      <w:r>
        <w:rPr>
          <w:rFonts w:cs="Arial" w:hint="cs"/>
          <w:rtl/>
        </w:rPr>
        <w:t xml:space="preserve">. </w:t>
      </w:r>
      <w:r w:rsidRPr="00154112">
        <w:rPr>
          <w:rFonts w:cs="Arial"/>
          <w:u w:val="single"/>
          <w:rtl/>
        </w:rPr>
        <w:t>שלח ליה רב נחמיה בריה דרב יוסף לרבה בר רב הונא זוטא מנהרדע</w:t>
      </w:r>
      <w:r w:rsidRPr="00154112">
        <w:rPr>
          <w:rFonts w:cs="Arial"/>
          <w:rtl/>
        </w:rPr>
        <w:t>א: כי אתיא הא איתתא</w:t>
      </w:r>
      <w:r>
        <w:rPr>
          <w:rStyle w:val="a7"/>
          <w:rFonts w:cs="Arial"/>
          <w:rtl/>
        </w:rPr>
        <w:footnoteReference w:id="2983"/>
      </w:r>
      <w:r w:rsidRPr="00154112">
        <w:rPr>
          <w:rFonts w:cs="Arial"/>
          <w:rtl/>
        </w:rPr>
        <w:t xml:space="preserve"> לקמך, אגבה עישור נכסים אפילו מאיצטרובלא</w:t>
      </w:r>
      <w:r>
        <w:rPr>
          <w:rStyle w:val="a7"/>
          <w:rFonts w:cs="Arial"/>
          <w:rtl/>
        </w:rPr>
        <w:footnoteReference w:id="2984"/>
      </w:r>
      <w:r w:rsidRPr="00154112">
        <w:rPr>
          <w:rFonts w:cs="Arial"/>
          <w:rtl/>
        </w:rPr>
        <w:t xml:space="preserve">. </w:t>
      </w:r>
      <w:r w:rsidRPr="00154112">
        <w:rPr>
          <w:rFonts w:cs="Arial"/>
          <w:u w:val="single"/>
          <w:rtl/>
        </w:rPr>
        <w:t>אמר רב אשי</w:t>
      </w:r>
      <w:r w:rsidRPr="00154112">
        <w:rPr>
          <w:rFonts w:cs="Arial"/>
          <w:rtl/>
        </w:rPr>
        <w:t>: כי הוינן בי רב כהנא, הוה מגבינן אפילו מעמלא דביתי</w:t>
      </w:r>
      <w:r>
        <w:rPr>
          <w:rStyle w:val="a7"/>
          <w:rFonts w:cs="Arial"/>
          <w:rtl/>
        </w:rPr>
        <w:footnoteReference w:id="2985"/>
      </w:r>
      <w:r w:rsidRPr="00154112">
        <w:rPr>
          <w:rFonts w:cs="Arial"/>
          <w:rtl/>
        </w:rPr>
        <w:t>.</w:t>
      </w:r>
      <w:r>
        <w:rPr>
          <w:rFonts w:cs="Arial" w:hint="cs"/>
          <w:rtl/>
        </w:rPr>
        <w:t>..</w:t>
      </w:r>
      <w:r w:rsidRPr="004D4855">
        <w:rPr>
          <w:rtl/>
        </w:rPr>
        <w:t xml:space="preserve"> </w:t>
      </w:r>
      <w:r w:rsidRPr="004D4855">
        <w:rPr>
          <w:rFonts w:cs="Arial"/>
          <w:u w:val="single"/>
          <w:rtl/>
        </w:rPr>
        <w:t>אמר רבא</w:t>
      </w:r>
      <w:r>
        <w:rPr>
          <w:rFonts w:cs="Arial" w:hint="cs"/>
          <w:rtl/>
        </w:rPr>
        <w:t>:</w:t>
      </w:r>
      <w:r w:rsidRPr="004D4855">
        <w:rPr>
          <w:rFonts w:cs="Arial"/>
          <w:rtl/>
        </w:rPr>
        <w:t xml:space="preserve"> הלכתא</w:t>
      </w:r>
      <w:r>
        <w:rPr>
          <w:rFonts w:cs="Arial" w:hint="cs"/>
          <w:rtl/>
        </w:rPr>
        <w:t>,</w:t>
      </w:r>
      <w:r w:rsidRPr="004D4855">
        <w:rPr>
          <w:rFonts w:cs="Arial"/>
          <w:rtl/>
        </w:rPr>
        <w:t xml:space="preserve"> ממקרקעי ולא ממטלטלי, בין למזוני, בין לכתובה, בין לפרנסה.</w:t>
      </w:r>
    </w:p>
    <w:p w14:paraId="6A3929C4" w14:textId="77777777" w:rsidR="002E5BAD" w:rsidRDefault="002E5BAD" w:rsidP="002E5BAD">
      <w:pPr>
        <w:rPr>
          <w:u w:val="single"/>
          <w:rtl/>
        </w:rPr>
      </w:pPr>
      <w:r>
        <w:rPr>
          <w:rFonts w:hint="cs"/>
          <w:u w:val="single"/>
          <w:rtl/>
        </w:rPr>
        <w:t>מאלו נכסים מחשבים את</w:t>
      </w:r>
      <w:r w:rsidRPr="009C31B7">
        <w:rPr>
          <w:rFonts w:hint="cs"/>
          <w:u w:val="single"/>
          <w:rtl/>
        </w:rPr>
        <w:t xml:space="preserve"> פרנסת הבת</w:t>
      </w:r>
      <w:r>
        <w:rPr>
          <w:rFonts w:hint="cs"/>
          <w:u w:val="single"/>
          <w:rtl/>
        </w:rPr>
        <w:t>, ומאלו נכסים גובים</w:t>
      </w:r>
      <w:r w:rsidRPr="009C31B7">
        <w:rPr>
          <w:rFonts w:hint="cs"/>
          <w:u w:val="single"/>
          <w:rtl/>
        </w:rPr>
        <w:t>:</w:t>
      </w:r>
    </w:p>
    <w:p w14:paraId="2E0425EA" w14:textId="77777777" w:rsidR="002E5BAD" w:rsidRPr="00DC2768" w:rsidRDefault="002E5BAD" w:rsidP="002E5BAD">
      <w:pPr>
        <w:ind w:left="360"/>
        <w:rPr>
          <w:u w:val="dotted"/>
          <w:rtl/>
        </w:rPr>
      </w:pPr>
      <w:r>
        <w:rPr>
          <w:rFonts w:hint="cs"/>
          <w:u w:val="dotted"/>
          <w:rtl/>
        </w:rPr>
        <w:t>כשמגבים לה לפני אומדנותו של אב:</w:t>
      </w:r>
    </w:p>
    <w:p w14:paraId="702F4717" w14:textId="77777777" w:rsidR="002E5BAD" w:rsidRDefault="002E5BAD" w:rsidP="00B75458">
      <w:pPr>
        <w:pStyle w:val="ab"/>
        <w:numPr>
          <w:ilvl w:val="0"/>
          <w:numId w:val="195"/>
        </w:numPr>
      </w:pPr>
      <w:r>
        <w:rPr>
          <w:rFonts w:hint="cs"/>
          <w:rtl/>
        </w:rPr>
        <w:t xml:space="preserve">רמב"ם </w:t>
      </w:r>
      <w:r>
        <w:rPr>
          <w:rFonts w:hint="cs"/>
          <w:sz w:val="16"/>
          <w:szCs w:val="16"/>
          <w:rtl/>
        </w:rPr>
        <w:t>(להב' הה"מ</w:t>
      </w:r>
      <w:r>
        <w:rPr>
          <w:rStyle w:val="a7"/>
          <w:sz w:val="16"/>
          <w:szCs w:val="16"/>
          <w:rtl/>
        </w:rPr>
        <w:footnoteReference w:id="2986"/>
      </w:r>
      <w:r>
        <w:rPr>
          <w:rFonts w:hint="cs"/>
          <w:sz w:val="16"/>
          <w:szCs w:val="16"/>
          <w:rtl/>
        </w:rPr>
        <w:t xml:space="preserve"> [עי' בפ"כ הי"ב])</w:t>
      </w:r>
      <w:r>
        <w:rPr>
          <w:rFonts w:cs="Arial" w:hint="cs"/>
          <w:rtl/>
        </w:rPr>
        <w:t xml:space="preserve"> </w:t>
      </w:r>
      <w:r w:rsidRPr="00F60F50">
        <w:rPr>
          <w:rFonts w:cs="Arial"/>
          <w:rtl/>
        </w:rPr>
        <w:t xml:space="preserve">רמב"ן </w:t>
      </w:r>
      <w:r w:rsidRPr="0014710D">
        <w:rPr>
          <w:rFonts w:cs="Arial"/>
          <w:sz w:val="16"/>
          <w:szCs w:val="16"/>
          <w:rtl/>
        </w:rPr>
        <w:t xml:space="preserve">(סח. ד"ה ומסתברא) </w:t>
      </w:r>
      <w:r w:rsidRPr="00F60F50">
        <w:rPr>
          <w:rFonts w:cs="Arial"/>
          <w:rtl/>
        </w:rPr>
        <w:t xml:space="preserve">רשב"א </w:t>
      </w:r>
      <w:r w:rsidRPr="0014710D">
        <w:rPr>
          <w:rFonts w:cs="Arial"/>
          <w:sz w:val="16"/>
          <w:szCs w:val="16"/>
          <w:rtl/>
        </w:rPr>
        <w:t>(סח. ד"ה והלכך)</w:t>
      </w:r>
      <w:r>
        <w:rPr>
          <w:rFonts w:cs="Arial" w:hint="cs"/>
          <w:rtl/>
        </w:rPr>
        <w:t xml:space="preserve"> רא"ש</w:t>
      </w:r>
      <w:r w:rsidRPr="00FE4D36">
        <w:rPr>
          <w:rFonts w:cs="Arial" w:hint="cs"/>
          <w:sz w:val="16"/>
          <w:szCs w:val="16"/>
          <w:rtl/>
        </w:rPr>
        <w:t xml:space="preserve"> (פ"ו סי</w:t>
      </w:r>
      <w:r>
        <w:rPr>
          <w:rFonts w:cs="Arial" w:hint="cs"/>
          <w:sz w:val="16"/>
          <w:szCs w:val="16"/>
          <w:rtl/>
        </w:rPr>
        <w:t>"</w:t>
      </w:r>
      <w:r w:rsidRPr="00FE4D36">
        <w:rPr>
          <w:rFonts w:cs="Arial" w:hint="cs"/>
          <w:sz w:val="16"/>
          <w:szCs w:val="16"/>
          <w:rtl/>
        </w:rPr>
        <w:t>ט)</w:t>
      </w:r>
      <w:r>
        <w:rPr>
          <w:rFonts w:cs="Arial" w:hint="cs"/>
          <w:rtl/>
        </w:rPr>
        <w:t xml:space="preserve"> וטור- </w:t>
      </w:r>
      <w:r w:rsidRPr="00E04543">
        <w:rPr>
          <w:rFonts w:cs="Arial"/>
          <w:rtl/>
        </w:rPr>
        <w:t>כשנותנים לפי אומד דעתו</w:t>
      </w:r>
      <w:r>
        <w:rPr>
          <w:rFonts w:cs="Arial" w:hint="cs"/>
          <w:rtl/>
        </w:rPr>
        <w:t>,</w:t>
      </w:r>
      <w:r w:rsidRPr="00E04543">
        <w:rPr>
          <w:rFonts w:cs="Arial"/>
          <w:rtl/>
        </w:rPr>
        <w:t xml:space="preserve"> אין חילוק בין מקרקעי למטלטלי</w:t>
      </w:r>
      <w:r>
        <w:rPr>
          <w:rFonts w:cs="Arial" w:hint="cs"/>
          <w:rtl/>
        </w:rPr>
        <w:t>.</w:t>
      </w:r>
      <w:r w:rsidRPr="00E04543">
        <w:rPr>
          <w:rFonts w:cs="Arial"/>
          <w:rtl/>
        </w:rPr>
        <w:t xml:space="preserve"> שאם השיא בת</w:t>
      </w:r>
      <w:r>
        <w:rPr>
          <w:rFonts w:cs="Arial" w:hint="cs"/>
          <w:rtl/>
        </w:rPr>
        <w:t>,</w:t>
      </w:r>
      <w:r w:rsidRPr="00E04543">
        <w:rPr>
          <w:rFonts w:cs="Arial"/>
          <w:rtl/>
        </w:rPr>
        <w:t xml:space="preserve"> בכל מה שנתן לה בין מטלטלי בין מקרקעי כך יתנו לזאת</w:t>
      </w:r>
      <w:r>
        <w:rPr>
          <w:rFonts w:cs="Arial" w:hint="cs"/>
          <w:rtl/>
        </w:rPr>
        <w:t>.</w:t>
      </w:r>
      <w:r w:rsidRPr="00E04543">
        <w:rPr>
          <w:rFonts w:cs="Arial"/>
          <w:rtl/>
        </w:rPr>
        <w:t xml:space="preserve"> ואם לא השיא ואומדין דעתו שהיה נותן מטלטלי ומקרקעי</w:t>
      </w:r>
      <w:r>
        <w:rPr>
          <w:rFonts w:cs="Arial" w:hint="cs"/>
          <w:rtl/>
        </w:rPr>
        <w:t>,</w:t>
      </w:r>
      <w:r w:rsidRPr="00E04543">
        <w:rPr>
          <w:rFonts w:cs="Arial"/>
          <w:rtl/>
        </w:rPr>
        <w:t xml:space="preserve"> כך יתנו לזאת</w:t>
      </w:r>
      <w:r>
        <w:rPr>
          <w:rFonts w:cs="Arial" w:hint="cs"/>
          <w:rtl/>
        </w:rPr>
        <w:t xml:space="preserve"> </w:t>
      </w:r>
      <w:r>
        <w:rPr>
          <w:rFonts w:cs="Arial" w:hint="cs"/>
          <w:sz w:val="16"/>
          <w:szCs w:val="16"/>
          <w:rtl/>
        </w:rPr>
        <w:t>(ל' הטור)</w:t>
      </w:r>
      <w:r>
        <w:rPr>
          <w:rFonts w:cs="Arial" w:hint="cs"/>
          <w:rtl/>
        </w:rPr>
        <w:t>.</w:t>
      </w:r>
    </w:p>
    <w:p w14:paraId="60C72953" w14:textId="77777777" w:rsidR="002E5BAD" w:rsidRPr="001A165B" w:rsidRDefault="002E5BAD" w:rsidP="002E5BAD">
      <w:pPr>
        <w:ind w:left="360"/>
        <w:rPr>
          <w:u w:val="dotted"/>
        </w:rPr>
      </w:pPr>
      <w:r>
        <w:rPr>
          <w:rFonts w:hint="cs"/>
          <w:u w:val="dotted"/>
          <w:rtl/>
        </w:rPr>
        <w:lastRenderedPageBreak/>
        <w:t>כשמגבים לה עישור נכסים</w:t>
      </w:r>
      <w:r w:rsidRPr="001A165B">
        <w:rPr>
          <w:rFonts w:hint="cs"/>
          <w:u w:val="dotted"/>
          <w:rtl/>
        </w:rPr>
        <w:t>:</w:t>
      </w:r>
    </w:p>
    <w:p w14:paraId="53894B9D" w14:textId="77777777" w:rsidR="002E5BAD" w:rsidRDefault="002E5BAD" w:rsidP="00B75458">
      <w:pPr>
        <w:pStyle w:val="ab"/>
        <w:numPr>
          <w:ilvl w:val="0"/>
          <w:numId w:val="195"/>
        </w:numPr>
      </w:pPr>
      <w:r>
        <w:rPr>
          <w:rFonts w:cs="Arial" w:hint="cs"/>
          <w:rtl/>
        </w:rPr>
        <w:t>רא"ש</w:t>
      </w:r>
      <w:r w:rsidRPr="00FE4D36">
        <w:rPr>
          <w:rFonts w:cs="Arial" w:hint="cs"/>
          <w:sz w:val="16"/>
          <w:szCs w:val="16"/>
          <w:rtl/>
        </w:rPr>
        <w:t xml:space="preserve"> (פ"ו סי</w:t>
      </w:r>
      <w:r>
        <w:rPr>
          <w:rFonts w:cs="Arial" w:hint="cs"/>
          <w:sz w:val="16"/>
          <w:szCs w:val="16"/>
          <w:rtl/>
        </w:rPr>
        <w:t>"</w:t>
      </w:r>
      <w:r w:rsidRPr="00FE4D36">
        <w:rPr>
          <w:rFonts w:cs="Arial" w:hint="cs"/>
          <w:sz w:val="16"/>
          <w:szCs w:val="16"/>
          <w:rtl/>
        </w:rPr>
        <w:t>ט)</w:t>
      </w:r>
      <w:r>
        <w:rPr>
          <w:rFonts w:cs="Arial" w:hint="cs"/>
          <w:rtl/>
        </w:rPr>
        <w:t xml:space="preserve"> טור ור"ן </w:t>
      </w:r>
      <w:r>
        <w:rPr>
          <w:rFonts w:cs="Arial" w:hint="cs"/>
          <w:sz w:val="16"/>
          <w:szCs w:val="16"/>
          <w:rtl/>
        </w:rPr>
        <w:t>(ל: ד"ה אבל פרנסה)</w:t>
      </w:r>
      <w:r>
        <w:rPr>
          <w:rFonts w:cs="Arial" w:hint="cs"/>
          <w:rtl/>
        </w:rPr>
        <w:t xml:space="preserve">- </w:t>
      </w:r>
      <w:r w:rsidRPr="00E04543">
        <w:rPr>
          <w:rFonts w:cs="Arial"/>
          <w:rtl/>
        </w:rPr>
        <w:t xml:space="preserve">אבל כשאין יודעין לשער דעתו ונותנין לה עישור נכסים </w:t>
      </w:r>
      <w:r>
        <w:rPr>
          <w:rFonts w:cs="Arial" w:hint="cs"/>
          <w:rtl/>
        </w:rPr>
        <w:t xml:space="preserve">- </w:t>
      </w:r>
      <w:r w:rsidRPr="00E04543">
        <w:rPr>
          <w:rFonts w:cs="Arial"/>
          <w:rtl/>
        </w:rPr>
        <w:t>אין נותנין לה אלא מקרקעי</w:t>
      </w:r>
      <w:r>
        <w:rPr>
          <w:rFonts w:cs="Arial" w:hint="cs"/>
          <w:rtl/>
        </w:rPr>
        <w:t>. ו</w:t>
      </w:r>
      <w:r w:rsidRPr="00E04543">
        <w:rPr>
          <w:rFonts w:cs="Arial"/>
          <w:rtl/>
        </w:rPr>
        <w:t>דוקא לגבות אינה נגבית אלא מקרקע</w:t>
      </w:r>
      <w:r>
        <w:rPr>
          <w:rFonts w:cs="Arial" w:hint="cs"/>
          <w:rtl/>
        </w:rPr>
        <w:t>,</w:t>
      </w:r>
      <w:r w:rsidRPr="00E04543">
        <w:rPr>
          <w:rFonts w:cs="Arial"/>
          <w:rtl/>
        </w:rPr>
        <w:t xml:space="preserve"> אבל כששמין הנכסים לידע העישור</w:t>
      </w:r>
      <w:r>
        <w:rPr>
          <w:rFonts w:cs="Arial" w:hint="cs"/>
          <w:sz w:val="16"/>
          <w:szCs w:val="16"/>
          <w:rtl/>
        </w:rPr>
        <w:t xml:space="preserve"> </w:t>
      </w:r>
      <w:r>
        <w:rPr>
          <w:rFonts w:cs="Arial" w:hint="cs"/>
          <w:rtl/>
        </w:rPr>
        <w:t xml:space="preserve">- </w:t>
      </w:r>
      <w:r w:rsidRPr="00E04543">
        <w:rPr>
          <w:rFonts w:cs="Arial"/>
          <w:rtl/>
        </w:rPr>
        <w:t>שמין בין מקרקעי בין מטלטלי</w:t>
      </w:r>
      <w:r>
        <w:rPr>
          <w:rFonts w:cs="Arial" w:hint="cs"/>
          <w:rtl/>
        </w:rPr>
        <w:t>,</w:t>
      </w:r>
      <w:r w:rsidRPr="00E04543">
        <w:rPr>
          <w:rFonts w:cs="Arial"/>
          <w:rtl/>
        </w:rPr>
        <w:t xml:space="preserve"> ומגבין לה העישור ממקרקעי</w:t>
      </w:r>
      <w:r>
        <w:rPr>
          <w:rFonts w:cs="Arial" w:hint="cs"/>
          <w:sz w:val="16"/>
          <w:szCs w:val="16"/>
          <w:rtl/>
        </w:rPr>
        <w:t xml:space="preserve"> (ל' הטור)</w:t>
      </w:r>
      <w:r>
        <w:rPr>
          <w:rFonts w:cs="Arial" w:hint="cs"/>
          <w:rtl/>
        </w:rPr>
        <w:t>.</w:t>
      </w:r>
      <w:r w:rsidRPr="00E04543">
        <w:rPr>
          <w:rFonts w:cs="Arial"/>
          <w:rtl/>
        </w:rPr>
        <w:t xml:space="preserve"> </w:t>
      </w:r>
    </w:p>
    <w:p w14:paraId="5526A68B" w14:textId="77777777" w:rsidR="002E5BAD" w:rsidRPr="001A165B" w:rsidRDefault="002E5BAD" w:rsidP="00B75458">
      <w:pPr>
        <w:pStyle w:val="ab"/>
        <w:numPr>
          <w:ilvl w:val="0"/>
          <w:numId w:val="195"/>
        </w:numPr>
      </w:pPr>
      <w:r>
        <w:rPr>
          <w:rFonts w:cs="Arial" w:hint="cs"/>
          <w:rtl/>
        </w:rPr>
        <w:t xml:space="preserve">רמב"ם </w:t>
      </w:r>
      <w:r>
        <w:rPr>
          <w:rFonts w:cs="Arial" w:hint="cs"/>
          <w:sz w:val="16"/>
          <w:szCs w:val="16"/>
          <w:rtl/>
        </w:rPr>
        <w:t>(פ"כ ה"ה והי"ב)</w:t>
      </w:r>
      <w:r>
        <w:rPr>
          <w:rFonts w:cs="Arial" w:hint="cs"/>
          <w:rtl/>
        </w:rPr>
        <w:t xml:space="preserve"> </w:t>
      </w:r>
      <w:r w:rsidRPr="00F60F50">
        <w:rPr>
          <w:rFonts w:cs="Arial"/>
          <w:rtl/>
        </w:rPr>
        <w:t>וה</w:t>
      </w:r>
      <w:r>
        <w:rPr>
          <w:rFonts w:cs="Arial" w:hint="cs"/>
          <w:rtl/>
        </w:rPr>
        <w:t xml:space="preserve">ה"מ </w:t>
      </w:r>
      <w:r>
        <w:rPr>
          <w:rFonts w:cs="Arial" w:hint="cs"/>
          <w:sz w:val="16"/>
          <w:szCs w:val="16"/>
          <w:rtl/>
        </w:rPr>
        <w:t>(פ"כ ה"ה)</w:t>
      </w:r>
      <w:r>
        <w:rPr>
          <w:rFonts w:cs="Arial" w:hint="cs"/>
          <w:rtl/>
        </w:rPr>
        <w:t xml:space="preserve">- </w:t>
      </w:r>
      <w:r w:rsidRPr="00DC2768">
        <w:rPr>
          <w:rFonts w:cs="Arial"/>
          <w:rtl/>
        </w:rPr>
        <w:t xml:space="preserve">אם היו לו מטלטלין וקרקעות אין המטלטלין נחשבים לכלום אלא הקרקעות בלבד ונוטלת העישור של קרקעות בקרקע </w:t>
      </w:r>
      <w:r>
        <w:rPr>
          <w:rFonts w:cs="Arial" w:hint="cs"/>
          <w:sz w:val="16"/>
          <w:szCs w:val="16"/>
          <w:rtl/>
        </w:rPr>
        <w:t>(ל' הה"מ בשם הרמב"ם)</w:t>
      </w:r>
      <w:r w:rsidRPr="00016B45">
        <w:rPr>
          <w:rFonts w:cs="Arial"/>
          <w:rtl/>
        </w:rPr>
        <w:t xml:space="preserve">. </w:t>
      </w:r>
    </w:p>
    <w:p w14:paraId="46CFFA89" w14:textId="77777777" w:rsidR="002E5BAD" w:rsidRPr="009C31B7" w:rsidRDefault="002E5BAD" w:rsidP="002E5BAD">
      <w:pPr>
        <w:ind w:left="360"/>
        <w:rPr>
          <w:u w:val="dotted"/>
        </w:rPr>
      </w:pPr>
      <w:r w:rsidRPr="009C31B7">
        <w:rPr>
          <w:rFonts w:hint="cs"/>
          <w:u w:val="dotted"/>
          <w:rtl/>
        </w:rPr>
        <w:t xml:space="preserve">האם לאחר תקנת הגאונים </w:t>
      </w:r>
      <w:r w:rsidRPr="009C31B7">
        <w:rPr>
          <w:rFonts w:hint="cs"/>
          <w:sz w:val="16"/>
          <w:szCs w:val="16"/>
          <w:u w:val="dotted"/>
          <w:rtl/>
        </w:rPr>
        <w:t>(שכתובה נגבית גם ממטלטלים</w:t>
      </w:r>
      <w:r>
        <w:rPr>
          <w:rFonts w:hint="cs"/>
          <w:sz w:val="16"/>
          <w:szCs w:val="16"/>
          <w:u w:val="dotted"/>
          <w:rtl/>
        </w:rPr>
        <w:t>)</w:t>
      </w:r>
      <w:r w:rsidRPr="009C31B7">
        <w:rPr>
          <w:rFonts w:hint="cs"/>
          <w:sz w:val="16"/>
          <w:szCs w:val="16"/>
          <w:u w:val="dotted"/>
          <w:rtl/>
        </w:rPr>
        <w:t xml:space="preserve"> </w:t>
      </w:r>
      <w:r w:rsidRPr="009C31B7">
        <w:rPr>
          <w:rFonts w:hint="cs"/>
          <w:u w:val="dotted"/>
          <w:rtl/>
        </w:rPr>
        <w:t xml:space="preserve">אפשר לגבות </w:t>
      </w:r>
      <w:r>
        <w:rPr>
          <w:rFonts w:hint="cs"/>
          <w:u w:val="dotted"/>
          <w:rtl/>
        </w:rPr>
        <w:t xml:space="preserve">לפרנסת הבת </w:t>
      </w:r>
      <w:r w:rsidRPr="009C31B7">
        <w:rPr>
          <w:rFonts w:hint="cs"/>
          <w:u w:val="dotted"/>
          <w:rtl/>
        </w:rPr>
        <w:t>גם ממטלטלים:</w:t>
      </w:r>
    </w:p>
    <w:p w14:paraId="33CB4405" w14:textId="77777777" w:rsidR="002E5BAD" w:rsidRPr="00EB28EB" w:rsidRDefault="002E5BAD" w:rsidP="00B75458">
      <w:pPr>
        <w:pStyle w:val="ab"/>
        <w:numPr>
          <w:ilvl w:val="0"/>
          <w:numId w:val="195"/>
        </w:numPr>
      </w:pPr>
      <w:r>
        <w:rPr>
          <w:rFonts w:cs="Arial" w:hint="cs"/>
          <w:rtl/>
        </w:rPr>
        <w:t xml:space="preserve">סמ"ג </w:t>
      </w:r>
      <w:r>
        <w:rPr>
          <w:rFonts w:cs="Arial" w:hint="cs"/>
          <w:sz w:val="16"/>
          <w:szCs w:val="16"/>
          <w:rtl/>
        </w:rPr>
        <w:t>(עשין מח, הטור הביא חלק מדבריו)</w:t>
      </w:r>
      <w:r>
        <w:rPr>
          <w:rFonts w:cs="Arial" w:hint="cs"/>
          <w:rtl/>
        </w:rPr>
        <w:t xml:space="preserve">- </w:t>
      </w:r>
      <w:r w:rsidRPr="00A46CD8">
        <w:rPr>
          <w:rFonts w:cs="Arial"/>
          <w:rtl/>
        </w:rPr>
        <w:t>וכן עישור נכסים ממטלטלין בזמן הזה</w:t>
      </w:r>
      <w:r>
        <w:rPr>
          <w:rFonts w:cs="Arial" w:hint="cs"/>
          <w:rtl/>
        </w:rPr>
        <w:t>,</w:t>
      </w:r>
      <w:r w:rsidRPr="00A46CD8">
        <w:rPr>
          <w:rFonts w:cs="Arial"/>
          <w:rtl/>
        </w:rPr>
        <w:t xml:space="preserve"> שמואל בפרק נערה (</w:t>
      </w:r>
      <w:r>
        <w:rPr>
          <w:rFonts w:cs="Arial" w:hint="cs"/>
          <w:rtl/>
        </w:rPr>
        <w:t xml:space="preserve">שם </w:t>
      </w:r>
      <w:r w:rsidRPr="00A46CD8">
        <w:rPr>
          <w:rFonts w:cs="Arial"/>
          <w:rtl/>
        </w:rPr>
        <w:t>נ</w:t>
      </w:r>
      <w:r>
        <w:rPr>
          <w:rFonts w:cs="Arial" w:hint="cs"/>
          <w:rtl/>
        </w:rPr>
        <w:t>:</w:t>
      </w:r>
      <w:r w:rsidRPr="00A46CD8">
        <w:rPr>
          <w:rFonts w:cs="Arial"/>
          <w:rtl/>
        </w:rPr>
        <w:t>)</w:t>
      </w:r>
      <w:r>
        <w:rPr>
          <w:rFonts w:cs="Arial" w:hint="cs"/>
          <w:rtl/>
        </w:rPr>
        <w:t>.</w:t>
      </w:r>
      <w:r w:rsidRPr="00A46CD8">
        <w:rPr>
          <w:rFonts w:cs="Arial"/>
          <w:rtl/>
        </w:rPr>
        <w:t xml:space="preserve"> וגם בזמן הזה רגיל כל אדם להשיא בתו ממטלטלין</w:t>
      </w:r>
      <w:r>
        <w:rPr>
          <w:rFonts w:cs="Arial" w:hint="cs"/>
          <w:rtl/>
        </w:rPr>
        <w:t>,</w:t>
      </w:r>
      <w:r w:rsidRPr="00A46CD8">
        <w:rPr>
          <w:rFonts w:cs="Arial"/>
          <w:rtl/>
        </w:rPr>
        <w:t xml:space="preserve"> וזהו כמו אומדנא שסובר רבא כרבי יהודה וכשמואל באמידניה בפרק מציאת האשה (סח</w:t>
      </w:r>
      <w:r>
        <w:rPr>
          <w:rFonts w:cs="Arial" w:hint="cs"/>
          <w:rtl/>
        </w:rPr>
        <w:t>., ו</w:t>
      </w:r>
      <w:r w:rsidRPr="00A46CD8">
        <w:rPr>
          <w:rFonts w:cs="Arial"/>
          <w:rtl/>
        </w:rPr>
        <w:t>שם נא</w:t>
      </w:r>
      <w:r>
        <w:rPr>
          <w:rFonts w:cs="Arial" w:hint="cs"/>
          <w:rtl/>
        </w:rPr>
        <w:t>.</w:t>
      </w:r>
      <w:r w:rsidRPr="00A46CD8">
        <w:rPr>
          <w:rFonts w:cs="Arial"/>
          <w:rtl/>
        </w:rPr>
        <w:t xml:space="preserve"> ת</w:t>
      </w:r>
      <w:r>
        <w:rPr>
          <w:rFonts w:cs="Arial" w:hint="cs"/>
          <w:rtl/>
        </w:rPr>
        <w:t xml:space="preserve">וס' </w:t>
      </w:r>
      <w:r w:rsidRPr="00A46CD8">
        <w:rPr>
          <w:rFonts w:cs="Arial"/>
          <w:rtl/>
        </w:rPr>
        <w:t>ד"ה ממקרקעי).</w:t>
      </w:r>
    </w:p>
    <w:p w14:paraId="17FD3D06" w14:textId="77777777" w:rsidR="002E5BAD" w:rsidRDefault="002E5BAD" w:rsidP="00B75458">
      <w:pPr>
        <w:pStyle w:val="ab"/>
        <w:numPr>
          <w:ilvl w:val="0"/>
          <w:numId w:val="195"/>
        </w:numPr>
      </w:pPr>
      <w:r>
        <w:rPr>
          <w:rFonts w:cs="Arial" w:hint="cs"/>
          <w:rtl/>
        </w:rPr>
        <w:t xml:space="preserve">ר"ח </w:t>
      </w:r>
      <w:r>
        <w:rPr>
          <w:rFonts w:cs="Arial" w:hint="cs"/>
          <w:sz w:val="16"/>
          <w:szCs w:val="16"/>
          <w:rtl/>
        </w:rPr>
        <w:t xml:space="preserve">(כ"כ בשמו סמ"ג עשין מח) </w:t>
      </w:r>
      <w:r>
        <w:rPr>
          <w:rFonts w:cs="Arial"/>
          <w:rtl/>
        </w:rPr>
        <w:t xml:space="preserve">רי"ף </w:t>
      </w:r>
      <w:r w:rsidRPr="003B2777">
        <w:rPr>
          <w:rFonts w:cs="Arial"/>
          <w:sz w:val="16"/>
          <w:szCs w:val="16"/>
          <w:rtl/>
        </w:rPr>
        <w:t>(ל:</w:t>
      </w:r>
      <w:r w:rsidRPr="003B2777">
        <w:rPr>
          <w:rFonts w:cs="Arial" w:hint="cs"/>
          <w:sz w:val="16"/>
          <w:szCs w:val="16"/>
          <w:rtl/>
        </w:rPr>
        <w:t>)</w:t>
      </w:r>
      <w:r>
        <w:rPr>
          <w:rFonts w:cs="Arial"/>
          <w:rtl/>
        </w:rPr>
        <w:t xml:space="preserve"> </w:t>
      </w:r>
      <w:r>
        <w:rPr>
          <w:rFonts w:cs="Arial" w:hint="cs"/>
          <w:rtl/>
        </w:rPr>
        <w:t xml:space="preserve">רמב"ם </w:t>
      </w:r>
      <w:r>
        <w:rPr>
          <w:rFonts w:cs="Arial" w:hint="cs"/>
          <w:sz w:val="16"/>
          <w:szCs w:val="16"/>
          <w:rtl/>
        </w:rPr>
        <w:t xml:space="preserve"> (פי"ט ה"ה)</w:t>
      </w:r>
      <w:r>
        <w:rPr>
          <w:rFonts w:cs="Arial" w:hint="cs"/>
          <w:rtl/>
        </w:rPr>
        <w:t xml:space="preserve"> רא"ש</w:t>
      </w:r>
      <w:r>
        <w:rPr>
          <w:rStyle w:val="a7"/>
          <w:rFonts w:cs="Arial"/>
          <w:rtl/>
        </w:rPr>
        <w:footnoteReference w:id="2987"/>
      </w:r>
      <w:r>
        <w:rPr>
          <w:rFonts w:cs="Arial" w:hint="cs"/>
          <w:rtl/>
        </w:rPr>
        <w:t xml:space="preserve"> </w:t>
      </w:r>
      <w:r>
        <w:rPr>
          <w:rFonts w:cs="Arial" w:hint="cs"/>
          <w:sz w:val="16"/>
          <w:szCs w:val="16"/>
          <w:rtl/>
        </w:rPr>
        <w:t>(פ"ו סי' יט)</w:t>
      </w:r>
      <w:r>
        <w:rPr>
          <w:rFonts w:cs="Arial" w:hint="cs"/>
          <w:rtl/>
        </w:rPr>
        <w:t xml:space="preserve"> וטור- </w:t>
      </w:r>
      <w:r w:rsidRPr="00AC3B3E">
        <w:rPr>
          <w:rFonts w:cs="Arial"/>
          <w:rtl/>
        </w:rPr>
        <w:t>עישור זה שהוא לפרנסה אינו מתנאי כתובה לפיכך אפילו לתקנת אחרונים</w:t>
      </w:r>
      <w:r>
        <w:rPr>
          <w:rFonts w:cs="Arial" w:hint="cs"/>
          <w:rtl/>
        </w:rPr>
        <w:t xml:space="preserve"> -</w:t>
      </w:r>
      <w:r w:rsidRPr="00AC3B3E">
        <w:rPr>
          <w:rFonts w:cs="Arial"/>
          <w:rtl/>
        </w:rPr>
        <w:t xml:space="preserve"> אינו ניטל אלא מן הקרקע</w:t>
      </w:r>
      <w:r>
        <w:rPr>
          <w:rStyle w:val="a7"/>
          <w:rFonts w:cs="Arial"/>
          <w:rtl/>
        </w:rPr>
        <w:footnoteReference w:id="2988"/>
      </w:r>
      <w:r>
        <w:rPr>
          <w:rFonts w:cs="Arial" w:hint="cs"/>
          <w:sz w:val="16"/>
          <w:szCs w:val="16"/>
          <w:rtl/>
        </w:rPr>
        <w:t xml:space="preserve"> (ל' הרמב"ם)</w:t>
      </w:r>
      <w:r>
        <w:rPr>
          <w:rFonts w:cs="Arial" w:hint="cs"/>
          <w:rtl/>
        </w:rPr>
        <w:t>.</w:t>
      </w:r>
      <w:r w:rsidRPr="00D67C33">
        <w:rPr>
          <w:rFonts w:hint="cs"/>
          <w:color w:val="E36C0A" w:themeColor="accent6" w:themeShade="BF"/>
          <w:rtl/>
        </w:rPr>
        <w:t xml:space="preserve"> (וכ"פ בשו"ע)</w:t>
      </w:r>
    </w:p>
    <w:p w14:paraId="691AD469" w14:textId="77777777" w:rsidR="002E5BAD" w:rsidRPr="008449F3" w:rsidRDefault="002E5BAD" w:rsidP="002E5BAD">
      <w:pPr>
        <w:ind w:left="360"/>
        <w:rPr>
          <w:u w:val="dotted"/>
        </w:rPr>
      </w:pPr>
      <w:r w:rsidRPr="008449F3">
        <w:rPr>
          <w:rFonts w:hint="cs"/>
          <w:u w:val="dotted"/>
          <w:rtl/>
        </w:rPr>
        <w:t>ומה הדין במקום שכולם רגילים לתת פרנסה ממטלטלי:</w:t>
      </w:r>
    </w:p>
    <w:p w14:paraId="4553BA0E" w14:textId="77777777" w:rsidR="002E5BAD" w:rsidRDefault="002E5BAD" w:rsidP="00B75458">
      <w:pPr>
        <w:pStyle w:val="ab"/>
        <w:numPr>
          <w:ilvl w:val="0"/>
          <w:numId w:val="195"/>
        </w:numPr>
      </w:pPr>
      <w:r>
        <w:rPr>
          <w:rFonts w:cs="Arial"/>
          <w:rtl/>
        </w:rPr>
        <w:t>תוס</w:t>
      </w:r>
      <w:r>
        <w:rPr>
          <w:rFonts w:cs="Arial" w:hint="cs"/>
          <w:rtl/>
        </w:rPr>
        <w:t>'</w:t>
      </w:r>
      <w:r>
        <w:rPr>
          <w:rFonts w:cs="Arial"/>
          <w:rtl/>
        </w:rPr>
        <w:t xml:space="preserve"> </w:t>
      </w:r>
      <w:r>
        <w:rPr>
          <w:rFonts w:cs="Arial" w:hint="cs"/>
          <w:sz w:val="16"/>
          <w:szCs w:val="16"/>
          <w:rtl/>
        </w:rPr>
        <w:t xml:space="preserve">(כתובות </w:t>
      </w:r>
      <w:r w:rsidRPr="005D4DC6">
        <w:rPr>
          <w:rFonts w:cs="Arial"/>
          <w:sz w:val="16"/>
          <w:szCs w:val="16"/>
          <w:rtl/>
        </w:rPr>
        <w:t>נא. ד"ה ממקרקעי)</w:t>
      </w:r>
      <w:r>
        <w:rPr>
          <w:rFonts w:cs="Arial" w:hint="cs"/>
          <w:rtl/>
        </w:rPr>
        <w:t xml:space="preserve">- </w:t>
      </w:r>
      <w:r>
        <w:rPr>
          <w:rFonts w:cs="Arial"/>
          <w:rtl/>
        </w:rPr>
        <w:t>נראה דבזמן הזה דכולהו גבי ממטלטלי כתובה ומזונות מתקנת הגאונים</w:t>
      </w:r>
      <w:r>
        <w:rPr>
          <w:rFonts w:cs="Arial" w:hint="cs"/>
          <w:rtl/>
        </w:rPr>
        <w:t>,</w:t>
      </w:r>
      <w:r>
        <w:rPr>
          <w:rFonts w:cs="Arial"/>
          <w:rtl/>
        </w:rPr>
        <w:t xml:space="preserve"> ופרנסה נמי אנן סהדי שכל בני אדם רגילין להשיא בנותיהן ממטלטלי וחשיב כמו באמידניה דפסק רבא כר' יהודה</w:t>
      </w:r>
      <w:r>
        <w:rPr>
          <w:rFonts w:cs="Arial" w:hint="cs"/>
          <w:sz w:val="16"/>
          <w:szCs w:val="16"/>
          <w:rtl/>
        </w:rPr>
        <w:t xml:space="preserve"> (ל' התוס')</w:t>
      </w:r>
      <w:r>
        <w:rPr>
          <w:rFonts w:cs="Arial" w:hint="cs"/>
          <w:rtl/>
        </w:rPr>
        <w:t>.</w:t>
      </w:r>
      <w:r w:rsidRPr="008449F3">
        <w:rPr>
          <w:rFonts w:hint="cs"/>
          <w:color w:val="E36C0A" w:themeColor="accent6" w:themeShade="BF"/>
          <w:rtl/>
        </w:rPr>
        <w:t xml:space="preserve"> </w:t>
      </w:r>
      <w:r w:rsidRPr="00D67C33">
        <w:rPr>
          <w:rFonts w:hint="cs"/>
          <w:color w:val="E36C0A" w:themeColor="accent6" w:themeShade="BF"/>
          <w:rtl/>
        </w:rPr>
        <w:t>(וכ"פ בשו"ע</w:t>
      </w:r>
      <w:r>
        <w:rPr>
          <w:rFonts w:hint="cs"/>
          <w:color w:val="E36C0A" w:themeColor="accent6" w:themeShade="BF"/>
          <w:sz w:val="16"/>
          <w:szCs w:val="16"/>
          <w:rtl/>
        </w:rPr>
        <w:t xml:space="preserve"> </w:t>
      </w:r>
      <w:r w:rsidRPr="008449F3">
        <w:rPr>
          <w:rFonts w:hint="cs"/>
          <w:color w:val="000000" w:themeColor="text1"/>
          <w:sz w:val="16"/>
          <w:szCs w:val="16"/>
          <w:rtl/>
        </w:rPr>
        <w:t>[</w:t>
      </w:r>
      <w:r>
        <w:rPr>
          <w:rFonts w:hint="cs"/>
          <w:color w:val="000000" w:themeColor="text1"/>
          <w:sz w:val="16"/>
          <w:szCs w:val="16"/>
          <w:rtl/>
        </w:rPr>
        <w:t>ב</w:t>
      </w:r>
      <w:r w:rsidRPr="008449F3">
        <w:rPr>
          <w:rFonts w:hint="cs"/>
          <w:color w:val="000000" w:themeColor="text1"/>
          <w:sz w:val="16"/>
          <w:szCs w:val="16"/>
          <w:rtl/>
        </w:rPr>
        <w:t>סע' ג]</w:t>
      </w:r>
      <w:r w:rsidRPr="00D67C33">
        <w:rPr>
          <w:rFonts w:hint="cs"/>
          <w:color w:val="E36C0A" w:themeColor="accent6" w:themeShade="BF"/>
          <w:rtl/>
        </w:rPr>
        <w:t>)</w:t>
      </w:r>
    </w:p>
    <w:p w14:paraId="381572DE" w14:textId="77777777" w:rsidR="002E5BAD" w:rsidRPr="00FB514A" w:rsidRDefault="002E5BAD" w:rsidP="002E5BAD">
      <w:pPr>
        <w:ind w:left="360"/>
        <w:rPr>
          <w:u w:val="dotted"/>
        </w:rPr>
      </w:pPr>
      <w:r w:rsidRPr="00FB514A">
        <w:rPr>
          <w:rFonts w:cs="Arial"/>
          <w:u w:val="dotted"/>
          <w:rtl/>
        </w:rPr>
        <w:t>כשנותנין לפי אומד דעת</w:t>
      </w:r>
      <w:r>
        <w:rPr>
          <w:rFonts w:cs="Arial" w:hint="cs"/>
          <w:u w:val="dotted"/>
          <w:rtl/>
        </w:rPr>
        <w:t xml:space="preserve"> האב</w:t>
      </w:r>
      <w:r w:rsidRPr="00FB514A">
        <w:rPr>
          <w:rFonts w:cs="Arial" w:hint="cs"/>
          <w:u w:val="dotted"/>
          <w:rtl/>
        </w:rPr>
        <w:t>, ומשערים שהיה נותן יותר מעישור</w:t>
      </w:r>
      <w:r>
        <w:rPr>
          <w:rFonts w:cs="Arial" w:hint="cs"/>
          <w:u w:val="dotted"/>
          <w:rtl/>
        </w:rPr>
        <w:t xml:space="preserve"> נכסי</w:t>
      </w:r>
      <w:r w:rsidRPr="00FB514A">
        <w:rPr>
          <w:rFonts w:cs="Arial"/>
          <w:u w:val="dotted"/>
          <w:rtl/>
        </w:rPr>
        <w:t xml:space="preserve"> –</w:t>
      </w:r>
      <w:r w:rsidRPr="00FB514A">
        <w:rPr>
          <w:rFonts w:cs="Arial" w:hint="cs"/>
          <w:u w:val="dotted"/>
          <w:rtl/>
        </w:rPr>
        <w:t xml:space="preserve"> האם </w:t>
      </w:r>
      <w:r w:rsidRPr="00FB514A">
        <w:rPr>
          <w:rFonts w:cs="Arial"/>
          <w:u w:val="dotted"/>
          <w:rtl/>
        </w:rPr>
        <w:t>נותני</w:t>
      </w:r>
      <w:r w:rsidRPr="00FB514A">
        <w:rPr>
          <w:rFonts w:cs="Arial" w:hint="cs"/>
          <w:u w:val="dotted"/>
          <w:rtl/>
        </w:rPr>
        <w:t>ם לה כך:</w:t>
      </w:r>
    </w:p>
    <w:p w14:paraId="29E488F0" w14:textId="77777777" w:rsidR="002E5BAD" w:rsidRPr="00FB514A" w:rsidRDefault="002E5BAD" w:rsidP="00B75458">
      <w:pPr>
        <w:pStyle w:val="ab"/>
        <w:numPr>
          <w:ilvl w:val="0"/>
          <w:numId w:val="195"/>
        </w:numPr>
      </w:pPr>
      <w:r w:rsidRPr="00E04543">
        <w:rPr>
          <w:rFonts w:cs="Arial"/>
          <w:rtl/>
        </w:rPr>
        <w:t>יש</w:t>
      </w:r>
      <w:r>
        <w:rPr>
          <w:rFonts w:cs="Arial" w:hint="cs"/>
          <w:rtl/>
        </w:rPr>
        <w:t xml:space="preserve"> מה</w:t>
      </w:r>
      <w:r w:rsidRPr="00E04543">
        <w:rPr>
          <w:rFonts w:cs="Arial"/>
          <w:rtl/>
        </w:rPr>
        <w:t>גאונים</w:t>
      </w:r>
      <w:r w:rsidRPr="00676BC0">
        <w:rPr>
          <w:rFonts w:cs="Arial"/>
          <w:rtl/>
        </w:rPr>
        <w:t xml:space="preserve"> </w:t>
      </w:r>
      <w:r w:rsidRPr="00A37DE1">
        <w:rPr>
          <w:rFonts w:cs="Arial"/>
          <w:rtl/>
        </w:rPr>
        <w:t>רש"י ראב"ד רמב"ם</w:t>
      </w:r>
      <w:r>
        <w:rPr>
          <w:rFonts w:cs="Arial" w:hint="cs"/>
          <w:sz w:val="16"/>
          <w:szCs w:val="16"/>
          <w:rtl/>
        </w:rPr>
        <w:t xml:space="preserve"> </w:t>
      </w:r>
      <w:r>
        <w:rPr>
          <w:rFonts w:cs="Arial" w:hint="cs"/>
          <w:rtl/>
        </w:rPr>
        <w:t>והה"מ</w:t>
      </w:r>
      <w:r>
        <w:rPr>
          <w:rStyle w:val="a7"/>
          <w:rFonts w:cs="Arial"/>
          <w:rtl/>
        </w:rPr>
        <w:footnoteReference w:id="2989"/>
      </w:r>
      <w:r>
        <w:rPr>
          <w:rFonts w:cs="Arial" w:hint="cs"/>
          <w:rtl/>
        </w:rPr>
        <w:t>-</w:t>
      </w:r>
      <w:r w:rsidRPr="00E04543">
        <w:rPr>
          <w:rFonts w:cs="Arial"/>
          <w:rtl/>
        </w:rPr>
        <w:t xml:space="preserve"> כשנותנין לפי אומד דעתו נותנין לה כפי מה שישערו שהיה נותן בין להוסיף על עישור נכסים בין לגרוע ממנו</w:t>
      </w:r>
      <w:r>
        <w:rPr>
          <w:rFonts w:cs="Arial" w:hint="cs"/>
          <w:sz w:val="16"/>
          <w:szCs w:val="16"/>
          <w:rtl/>
        </w:rPr>
        <w:t xml:space="preserve"> (ל' הטור בשמם)</w:t>
      </w:r>
      <w:r>
        <w:rPr>
          <w:rFonts w:cs="Arial" w:hint="cs"/>
          <w:rtl/>
        </w:rPr>
        <w:t>.</w:t>
      </w:r>
    </w:p>
    <w:p w14:paraId="3F66344E" w14:textId="77777777" w:rsidR="002E5BAD" w:rsidRPr="00676BC0" w:rsidRDefault="002E5BAD" w:rsidP="00B75458">
      <w:pPr>
        <w:pStyle w:val="ab"/>
        <w:numPr>
          <w:ilvl w:val="0"/>
          <w:numId w:val="195"/>
        </w:numPr>
      </w:pPr>
      <w:r>
        <w:rPr>
          <w:rFonts w:cs="Arial" w:hint="cs"/>
          <w:rtl/>
        </w:rPr>
        <w:t xml:space="preserve">מרדכי </w:t>
      </w:r>
      <w:r>
        <w:rPr>
          <w:rFonts w:cs="Arial" w:hint="cs"/>
          <w:sz w:val="16"/>
          <w:szCs w:val="16"/>
          <w:rtl/>
        </w:rPr>
        <w:t>(סי' קצ)</w:t>
      </w:r>
      <w:r>
        <w:rPr>
          <w:rFonts w:cs="Arial" w:hint="cs"/>
          <w:rtl/>
        </w:rPr>
        <w:t xml:space="preserve"> רא"ש </w:t>
      </w:r>
      <w:r>
        <w:rPr>
          <w:rFonts w:cs="Arial" w:hint="cs"/>
          <w:sz w:val="16"/>
          <w:szCs w:val="16"/>
          <w:rtl/>
        </w:rPr>
        <w:t>(פ"ו סי' יט)</w:t>
      </w:r>
      <w:r>
        <w:rPr>
          <w:rFonts w:cs="Arial" w:hint="cs"/>
          <w:rtl/>
        </w:rPr>
        <w:t xml:space="preserve"> ר"ן </w:t>
      </w:r>
      <w:r>
        <w:rPr>
          <w:rFonts w:cs="Arial" w:hint="cs"/>
          <w:sz w:val="16"/>
          <w:szCs w:val="16"/>
          <w:rtl/>
        </w:rPr>
        <w:t>(ל.)</w:t>
      </w:r>
      <w:r>
        <w:rPr>
          <w:rFonts w:cs="Arial" w:hint="cs"/>
          <w:rtl/>
        </w:rPr>
        <w:t xml:space="preserve"> ומהרי"ק</w:t>
      </w:r>
      <w:r>
        <w:rPr>
          <w:rStyle w:val="a7"/>
          <w:rFonts w:cs="Arial"/>
          <w:rtl/>
        </w:rPr>
        <w:footnoteReference w:id="2990"/>
      </w:r>
      <w:r w:rsidRPr="000A007C">
        <w:rPr>
          <w:rFonts w:cs="Arial" w:hint="cs"/>
          <w:sz w:val="16"/>
          <w:szCs w:val="16"/>
          <w:rtl/>
        </w:rPr>
        <w:t xml:space="preserve"> (שורש עח)</w:t>
      </w:r>
      <w:r>
        <w:rPr>
          <w:rFonts w:cs="Arial" w:hint="cs"/>
          <w:rtl/>
        </w:rPr>
        <w:t xml:space="preserve">- </w:t>
      </w:r>
      <w:r w:rsidRPr="00E04543">
        <w:rPr>
          <w:rFonts w:cs="Arial"/>
          <w:rtl/>
        </w:rPr>
        <w:t>אין הולכים אחר אומד דעתו אלא לגרוע מהעישור אבל לא להוסיף עליו</w:t>
      </w:r>
      <w:r>
        <w:rPr>
          <w:rStyle w:val="a7"/>
          <w:rFonts w:cs="Arial"/>
          <w:rtl/>
        </w:rPr>
        <w:footnoteReference w:id="2991"/>
      </w:r>
      <w:r>
        <w:rPr>
          <w:rFonts w:cs="Arial" w:hint="cs"/>
          <w:rtl/>
        </w:rPr>
        <w:t>.</w:t>
      </w:r>
      <w:r w:rsidRPr="00E04543">
        <w:rPr>
          <w:rFonts w:cs="Arial"/>
          <w:rtl/>
        </w:rPr>
        <w:t xml:space="preserve"> </w:t>
      </w:r>
    </w:p>
    <w:p w14:paraId="4EF17B5D" w14:textId="77777777" w:rsidR="002E5BAD" w:rsidRPr="00FE4D36" w:rsidRDefault="002E5BAD" w:rsidP="002E5BAD">
      <w:pPr>
        <w:rPr>
          <w:u w:val="single"/>
        </w:rPr>
      </w:pPr>
      <w:r w:rsidRPr="00FE4D36">
        <w:rPr>
          <w:rFonts w:hint="cs"/>
          <w:u w:val="single"/>
          <w:rtl/>
        </w:rPr>
        <w:t>דברים שנחשבים כמקרקעי אע"ג דאינם קרקע ממש:</w:t>
      </w:r>
    </w:p>
    <w:p w14:paraId="21166F43" w14:textId="77777777" w:rsidR="002E5BAD" w:rsidRPr="00A37F47" w:rsidRDefault="002E5BAD" w:rsidP="002E5BAD">
      <w:pPr>
        <w:ind w:left="360"/>
        <w:rPr>
          <w:u w:val="dotted"/>
        </w:rPr>
      </w:pPr>
      <w:r w:rsidRPr="00A37F47">
        <w:rPr>
          <w:rFonts w:hint="cs"/>
          <w:u w:val="dotted"/>
          <w:rtl/>
        </w:rPr>
        <w:t>דברים המחוברים לקרקע:</w:t>
      </w:r>
    </w:p>
    <w:p w14:paraId="74B713F6" w14:textId="77777777" w:rsidR="002E5BAD" w:rsidRPr="00A37F47" w:rsidRDefault="002E5BAD" w:rsidP="00B75458">
      <w:pPr>
        <w:pStyle w:val="ab"/>
        <w:numPr>
          <w:ilvl w:val="0"/>
          <w:numId w:val="195"/>
        </w:numPr>
      </w:pPr>
      <w:r>
        <w:rPr>
          <w:rFonts w:cs="Arial" w:hint="cs"/>
          <w:rtl/>
        </w:rPr>
        <w:t xml:space="preserve">טור- </w:t>
      </w:r>
      <w:r w:rsidRPr="00E04543">
        <w:rPr>
          <w:rFonts w:cs="Arial"/>
          <w:rtl/>
        </w:rPr>
        <w:t>אצטרובלי חשוב מקרקעי לגבות ממנו</w:t>
      </w:r>
      <w:r>
        <w:rPr>
          <w:rFonts w:cs="Arial" w:hint="cs"/>
          <w:rtl/>
        </w:rPr>
        <w:t>.</w:t>
      </w:r>
      <w:r w:rsidRPr="00E04543">
        <w:rPr>
          <w:rFonts w:cs="Arial"/>
          <w:rtl/>
        </w:rPr>
        <w:t xml:space="preserve"> </w:t>
      </w:r>
    </w:p>
    <w:p w14:paraId="2E85AE2B" w14:textId="77777777" w:rsidR="002E5BAD" w:rsidRPr="00A37F47" w:rsidRDefault="002E5BAD" w:rsidP="002E5BAD">
      <w:pPr>
        <w:ind w:left="360"/>
        <w:rPr>
          <w:u w:val="dotted"/>
        </w:rPr>
      </w:pPr>
      <w:r>
        <w:rPr>
          <w:rFonts w:hint="cs"/>
          <w:u w:val="dotted"/>
          <w:rtl/>
        </w:rPr>
        <w:t xml:space="preserve">דמי </w:t>
      </w:r>
      <w:r w:rsidRPr="00A37F47">
        <w:rPr>
          <w:rFonts w:hint="cs"/>
          <w:u w:val="dotted"/>
          <w:rtl/>
        </w:rPr>
        <w:t>שכירות של קרקע:</w:t>
      </w:r>
    </w:p>
    <w:p w14:paraId="59776D61" w14:textId="77777777" w:rsidR="002E5BAD" w:rsidRPr="00F4644D" w:rsidRDefault="002E5BAD" w:rsidP="00B75458">
      <w:pPr>
        <w:pStyle w:val="ab"/>
        <w:numPr>
          <w:ilvl w:val="0"/>
          <w:numId w:val="195"/>
        </w:numPr>
      </w:pPr>
      <w:r>
        <w:rPr>
          <w:rFonts w:cs="Arial" w:hint="cs"/>
          <w:rtl/>
        </w:rPr>
        <w:t xml:space="preserve">רמב"ם </w:t>
      </w:r>
      <w:r>
        <w:rPr>
          <w:rFonts w:cs="Arial" w:hint="cs"/>
          <w:sz w:val="16"/>
          <w:szCs w:val="16"/>
          <w:rtl/>
        </w:rPr>
        <w:t xml:space="preserve"> (פי"ט ה"ה)</w:t>
      </w:r>
      <w:r>
        <w:rPr>
          <w:rFonts w:cs="Arial" w:hint="cs"/>
          <w:rtl/>
        </w:rPr>
        <w:t xml:space="preserve"> וטור- </w:t>
      </w:r>
      <w:r w:rsidRPr="00F4644D">
        <w:rPr>
          <w:rFonts w:cs="Arial"/>
          <w:rtl/>
        </w:rPr>
        <w:t>ויש לה לגבות עישור זה משכירות הקרקע</w:t>
      </w:r>
      <w:r>
        <w:rPr>
          <w:rFonts w:cs="Arial" w:hint="cs"/>
          <w:sz w:val="16"/>
          <w:szCs w:val="16"/>
          <w:rtl/>
        </w:rPr>
        <w:t xml:space="preserve"> (ל' הרמב"ם)</w:t>
      </w:r>
      <w:r>
        <w:rPr>
          <w:rFonts w:cs="Arial" w:hint="cs"/>
          <w:rtl/>
        </w:rPr>
        <w:t>.</w:t>
      </w:r>
      <w:r w:rsidRPr="00E04543">
        <w:rPr>
          <w:rFonts w:cs="Arial"/>
          <w:rtl/>
        </w:rPr>
        <w:t xml:space="preserve"> </w:t>
      </w:r>
      <w:r w:rsidRPr="00D67C33">
        <w:rPr>
          <w:rFonts w:hint="cs"/>
          <w:color w:val="E36C0A" w:themeColor="accent6" w:themeShade="BF"/>
          <w:rtl/>
        </w:rPr>
        <w:t>(וכ"פ בשו"ע)</w:t>
      </w:r>
    </w:p>
    <w:p w14:paraId="55AC0033" w14:textId="77777777" w:rsidR="002E5BAD" w:rsidRPr="00F4644D" w:rsidRDefault="002E5BAD" w:rsidP="002E5BAD">
      <w:pPr>
        <w:ind w:left="720"/>
      </w:pPr>
      <w:r w:rsidRPr="00F4644D">
        <w:rPr>
          <w:rFonts w:hint="cs"/>
          <w:u w:val="wave"/>
          <w:rtl/>
        </w:rPr>
        <w:t>ומה הדין בשכירות קרקע שעדיין לא הגיע זמנה להיגבות</w:t>
      </w:r>
      <w:r>
        <w:rPr>
          <w:rFonts w:hint="cs"/>
          <w:rtl/>
        </w:rPr>
        <w:t>:</w:t>
      </w:r>
    </w:p>
    <w:p w14:paraId="429075D3" w14:textId="77777777" w:rsidR="002E5BAD" w:rsidRDefault="002E5BAD" w:rsidP="00B75458">
      <w:pPr>
        <w:pStyle w:val="ab"/>
        <w:numPr>
          <w:ilvl w:val="0"/>
          <w:numId w:val="195"/>
        </w:numPr>
      </w:pPr>
      <w:r>
        <w:rPr>
          <w:rFonts w:cs="Arial"/>
          <w:rtl/>
        </w:rPr>
        <w:lastRenderedPageBreak/>
        <w:t>תוס</w:t>
      </w:r>
      <w:r>
        <w:rPr>
          <w:rFonts w:cs="Arial" w:hint="cs"/>
          <w:rtl/>
        </w:rPr>
        <w:t>'</w:t>
      </w:r>
      <w:r>
        <w:rPr>
          <w:rFonts w:cs="Arial"/>
          <w:rtl/>
        </w:rPr>
        <w:t xml:space="preserve"> </w:t>
      </w:r>
      <w:r w:rsidRPr="00D67C33">
        <w:rPr>
          <w:rFonts w:cs="Arial"/>
          <w:sz w:val="16"/>
          <w:szCs w:val="16"/>
          <w:rtl/>
        </w:rPr>
        <w:t xml:space="preserve">(ד"ה מעמלא) </w:t>
      </w:r>
      <w:r>
        <w:rPr>
          <w:rFonts w:cs="Arial"/>
          <w:rtl/>
        </w:rPr>
        <w:t xml:space="preserve">רשב"א </w:t>
      </w:r>
      <w:r w:rsidRPr="00D67C33">
        <w:rPr>
          <w:rFonts w:cs="Arial"/>
          <w:sz w:val="16"/>
          <w:szCs w:val="16"/>
          <w:rtl/>
        </w:rPr>
        <w:t>(סט. ד"ה הא</w:t>
      </w:r>
      <w:r w:rsidRPr="00D67C33">
        <w:rPr>
          <w:rFonts w:cs="Arial" w:hint="cs"/>
          <w:sz w:val="16"/>
          <w:szCs w:val="16"/>
          <w:rtl/>
        </w:rPr>
        <w:t>, כ"כ בשמו הה"מ [פ"</w:t>
      </w:r>
      <w:r>
        <w:rPr>
          <w:rFonts w:cs="Arial" w:hint="cs"/>
          <w:sz w:val="16"/>
          <w:szCs w:val="16"/>
          <w:rtl/>
        </w:rPr>
        <w:t>כ</w:t>
      </w:r>
      <w:r w:rsidRPr="00D67C33">
        <w:rPr>
          <w:rFonts w:cs="Arial" w:hint="cs"/>
          <w:sz w:val="16"/>
          <w:szCs w:val="16"/>
          <w:rtl/>
        </w:rPr>
        <w:t>]</w:t>
      </w:r>
      <w:r w:rsidRPr="00D67C33">
        <w:rPr>
          <w:rFonts w:cs="Arial"/>
          <w:sz w:val="16"/>
          <w:szCs w:val="16"/>
          <w:rtl/>
        </w:rPr>
        <w:t xml:space="preserve">) </w:t>
      </w:r>
      <w:r>
        <w:rPr>
          <w:rFonts w:cs="Arial"/>
          <w:rtl/>
        </w:rPr>
        <w:t xml:space="preserve">רא"ש </w:t>
      </w:r>
      <w:r w:rsidRPr="00D67C33">
        <w:rPr>
          <w:rFonts w:cs="Arial"/>
          <w:sz w:val="16"/>
          <w:szCs w:val="16"/>
          <w:rtl/>
        </w:rPr>
        <w:t>(סי' יט)</w:t>
      </w:r>
      <w:r w:rsidRPr="00D67C33">
        <w:rPr>
          <w:rFonts w:cs="Arial" w:hint="cs"/>
          <w:sz w:val="16"/>
          <w:szCs w:val="16"/>
          <w:rtl/>
        </w:rPr>
        <w:t xml:space="preserve"> </w:t>
      </w:r>
      <w:r>
        <w:rPr>
          <w:rFonts w:cs="Arial" w:hint="cs"/>
          <w:rtl/>
        </w:rPr>
        <w:t>טור ו</w:t>
      </w:r>
      <w:r>
        <w:rPr>
          <w:rFonts w:cs="Arial"/>
          <w:rtl/>
        </w:rPr>
        <w:t xml:space="preserve">ר"ן </w:t>
      </w:r>
      <w:r w:rsidRPr="00D67C33">
        <w:rPr>
          <w:rFonts w:cs="Arial"/>
          <w:sz w:val="16"/>
          <w:szCs w:val="16"/>
          <w:rtl/>
        </w:rPr>
        <w:t>(לא. דיבור ראשון)</w:t>
      </w:r>
      <w:r>
        <w:rPr>
          <w:rFonts w:cs="Arial" w:hint="cs"/>
          <w:rtl/>
        </w:rPr>
        <w:t xml:space="preserve">- </w:t>
      </w:r>
      <w:r w:rsidRPr="00E04543">
        <w:rPr>
          <w:rFonts w:cs="Arial"/>
          <w:rtl/>
        </w:rPr>
        <w:t>ואפי' מה שעבר</w:t>
      </w:r>
      <w:r>
        <w:rPr>
          <w:rFonts w:cs="Arial" w:hint="cs"/>
          <w:rtl/>
        </w:rPr>
        <w:t>,</w:t>
      </w:r>
      <w:r w:rsidRPr="00E04543">
        <w:rPr>
          <w:rFonts w:cs="Arial"/>
          <w:rtl/>
        </w:rPr>
        <w:t xml:space="preserve"> כגון אם השכיר בית לשנה</w:t>
      </w:r>
      <w:r>
        <w:rPr>
          <w:rFonts w:cs="Arial" w:hint="cs"/>
          <w:rtl/>
        </w:rPr>
        <w:t>,</w:t>
      </w:r>
      <w:r w:rsidRPr="00E04543">
        <w:rPr>
          <w:rFonts w:cs="Arial"/>
          <w:rtl/>
        </w:rPr>
        <w:t xml:space="preserve"> ודר בו </w:t>
      </w:r>
      <w:r>
        <w:rPr>
          <w:rStyle w:val="a7"/>
          <w:rFonts w:cs="Arial"/>
          <w:rtl/>
        </w:rPr>
        <w:footnoteReference w:id="2992"/>
      </w:r>
      <w:r w:rsidRPr="00E04543">
        <w:rPr>
          <w:rFonts w:cs="Arial"/>
          <w:rtl/>
        </w:rPr>
        <w:t>ה</w:t>
      </w:r>
      <w:r>
        <w:rPr>
          <w:rFonts w:cs="Arial" w:hint="cs"/>
          <w:rtl/>
        </w:rPr>
        <w:t>מ</w:t>
      </w:r>
      <w:r w:rsidRPr="00E04543">
        <w:rPr>
          <w:rFonts w:cs="Arial"/>
          <w:rtl/>
        </w:rPr>
        <w:t>וכר חצי שנה</w:t>
      </w:r>
      <w:r>
        <w:rPr>
          <w:rFonts w:cs="Arial" w:hint="cs"/>
          <w:rtl/>
        </w:rPr>
        <w:t>,</w:t>
      </w:r>
      <w:r w:rsidRPr="00E04543">
        <w:rPr>
          <w:rFonts w:cs="Arial"/>
          <w:rtl/>
        </w:rPr>
        <w:t xml:space="preserve"> מנכין אותה</w:t>
      </w:r>
      <w:r>
        <w:rPr>
          <w:rFonts w:cs="Arial" w:hint="cs"/>
          <w:rtl/>
        </w:rPr>
        <w:t>.</w:t>
      </w:r>
      <w:r w:rsidRPr="00E04543">
        <w:rPr>
          <w:rFonts w:cs="Arial"/>
          <w:rtl/>
        </w:rPr>
        <w:t xml:space="preserve"> אפי' מחצי השנה שעברה</w:t>
      </w:r>
      <w:r>
        <w:rPr>
          <w:rFonts w:cs="Arial" w:hint="cs"/>
          <w:rtl/>
        </w:rPr>
        <w:t>,</w:t>
      </w:r>
      <w:r w:rsidRPr="00E04543">
        <w:rPr>
          <w:rFonts w:cs="Arial"/>
          <w:rtl/>
        </w:rPr>
        <w:t xml:space="preserve"> ואפי' על השכירות בחיי האב</w:t>
      </w:r>
      <w:r>
        <w:rPr>
          <w:rStyle w:val="a7"/>
          <w:rFonts w:cs="Arial"/>
          <w:rtl/>
        </w:rPr>
        <w:footnoteReference w:id="2993"/>
      </w:r>
      <w:r>
        <w:rPr>
          <w:rFonts w:cs="Arial" w:hint="cs"/>
          <w:rtl/>
        </w:rPr>
        <w:t>.</w:t>
      </w:r>
      <w:r w:rsidRPr="00E04543">
        <w:rPr>
          <w:rFonts w:cs="Arial"/>
          <w:rtl/>
        </w:rPr>
        <w:t xml:space="preserve"> דכיון דשכירות אינה משתלמת אלא לבסוף</w:t>
      </w:r>
      <w:r>
        <w:rPr>
          <w:rFonts w:cs="Arial" w:hint="cs"/>
          <w:rtl/>
        </w:rPr>
        <w:t>,</w:t>
      </w:r>
      <w:r w:rsidRPr="00E04543">
        <w:rPr>
          <w:rFonts w:cs="Arial"/>
          <w:rtl/>
        </w:rPr>
        <w:t xml:space="preserve"> חשיב כמקרקעי</w:t>
      </w:r>
      <w:r>
        <w:rPr>
          <w:rFonts w:cs="Arial" w:hint="cs"/>
          <w:rtl/>
        </w:rPr>
        <w:t>.</w:t>
      </w:r>
      <w:r w:rsidRPr="00E04543">
        <w:rPr>
          <w:rFonts w:cs="Arial"/>
          <w:rtl/>
        </w:rPr>
        <w:t xml:space="preserve"> אבל אם כבר גבו אותו היתומים</w:t>
      </w:r>
      <w:r>
        <w:rPr>
          <w:rFonts w:cs="Arial" w:hint="cs"/>
          <w:rtl/>
        </w:rPr>
        <w:t>,</w:t>
      </w:r>
      <w:r w:rsidRPr="00E04543">
        <w:rPr>
          <w:rFonts w:cs="Arial"/>
          <w:rtl/>
        </w:rPr>
        <w:t xml:space="preserve"> הוי כשאר מטלטלין</w:t>
      </w:r>
      <w:r>
        <w:rPr>
          <w:rFonts w:cs="Arial" w:hint="cs"/>
          <w:sz w:val="16"/>
          <w:szCs w:val="16"/>
          <w:rtl/>
        </w:rPr>
        <w:t xml:space="preserve"> (ל' הטור)</w:t>
      </w:r>
      <w:r>
        <w:rPr>
          <w:rFonts w:cs="Arial" w:hint="cs"/>
          <w:rtl/>
        </w:rPr>
        <w:t>.</w:t>
      </w:r>
      <w:r>
        <w:rPr>
          <w:rFonts w:hint="cs"/>
          <w:rtl/>
        </w:rPr>
        <w:t xml:space="preserve"> </w:t>
      </w:r>
      <w:r w:rsidRPr="00D67C33">
        <w:rPr>
          <w:rFonts w:hint="cs"/>
          <w:color w:val="00B0F0"/>
          <w:rtl/>
        </w:rPr>
        <w:t>(וכ"פ הרמ"א)</w:t>
      </w:r>
    </w:p>
    <w:p w14:paraId="3B04FC90" w14:textId="77777777" w:rsidR="002E5BAD" w:rsidRPr="00F4644D" w:rsidRDefault="002E5BAD" w:rsidP="002E5BAD">
      <w:pPr>
        <w:rPr>
          <w:u w:val="single"/>
        </w:rPr>
      </w:pPr>
      <w:r w:rsidRPr="00F4644D">
        <w:rPr>
          <w:rFonts w:hint="cs"/>
          <w:u w:val="single"/>
          <w:rtl/>
        </w:rPr>
        <w:t>אחים שרוצים לפרוע את פרנסת הבת במעות:</w:t>
      </w:r>
    </w:p>
    <w:p w14:paraId="495A0325" w14:textId="77777777" w:rsidR="002E5BAD" w:rsidRDefault="002E5BAD" w:rsidP="00B75458">
      <w:pPr>
        <w:pStyle w:val="ab"/>
        <w:numPr>
          <w:ilvl w:val="0"/>
          <w:numId w:val="195"/>
        </w:numPr>
      </w:pPr>
      <w:r>
        <w:rPr>
          <w:rFonts w:cs="Arial" w:hint="cs"/>
          <w:rtl/>
        </w:rPr>
        <w:t xml:space="preserve">רמב"ם </w:t>
      </w:r>
      <w:r>
        <w:rPr>
          <w:rFonts w:cs="Arial" w:hint="cs"/>
          <w:sz w:val="16"/>
          <w:szCs w:val="16"/>
          <w:rtl/>
        </w:rPr>
        <w:t xml:space="preserve"> (פי"ט ה"ה)</w:t>
      </w:r>
      <w:r>
        <w:rPr>
          <w:rFonts w:cs="Arial" w:hint="cs"/>
          <w:rtl/>
        </w:rPr>
        <w:t xml:space="preserve"> וטור- </w:t>
      </w:r>
      <w:r w:rsidRPr="00F4644D">
        <w:rPr>
          <w:rFonts w:cs="Arial"/>
          <w:rtl/>
        </w:rPr>
        <w:t xml:space="preserve">אם רצו האחין ליתן לה מעות כנגד עישור הקרקע </w:t>
      </w:r>
      <w:r>
        <w:rPr>
          <w:rFonts w:cs="Arial"/>
          <w:rtl/>
        </w:rPr>
        <w:t>–</w:t>
      </w:r>
      <w:r>
        <w:rPr>
          <w:rFonts w:cs="Arial" w:hint="cs"/>
          <w:rtl/>
        </w:rPr>
        <w:t xml:space="preserve"> </w:t>
      </w:r>
      <w:r w:rsidRPr="00F4644D">
        <w:rPr>
          <w:rFonts w:cs="Arial"/>
          <w:rtl/>
        </w:rPr>
        <w:t>נותנין</w:t>
      </w:r>
      <w:r>
        <w:rPr>
          <w:rStyle w:val="a7"/>
          <w:rFonts w:cs="Arial"/>
          <w:rtl/>
        </w:rPr>
        <w:footnoteReference w:id="2994"/>
      </w:r>
      <w:r>
        <w:rPr>
          <w:rFonts w:cs="Arial" w:hint="cs"/>
          <w:sz w:val="16"/>
          <w:szCs w:val="16"/>
          <w:rtl/>
        </w:rPr>
        <w:t xml:space="preserve"> (ל' הרמב"ם)</w:t>
      </w:r>
      <w:r w:rsidRPr="00F4644D">
        <w:rPr>
          <w:rFonts w:cs="Arial"/>
          <w:rtl/>
        </w:rPr>
        <w:t>.</w:t>
      </w:r>
      <w:r w:rsidRPr="00D67C33">
        <w:rPr>
          <w:rFonts w:hint="cs"/>
          <w:color w:val="E36C0A" w:themeColor="accent6" w:themeShade="BF"/>
          <w:rtl/>
        </w:rPr>
        <w:t xml:space="preserve"> (וכ"פ בשו"ע)</w:t>
      </w:r>
    </w:p>
    <w:p w14:paraId="1D376C53" w14:textId="77777777" w:rsidR="002E5BAD" w:rsidRPr="00B472A5" w:rsidRDefault="002E5BAD" w:rsidP="002E5BAD">
      <w:r w:rsidRPr="00B752F5">
        <w:rPr>
          <w:rFonts w:hint="cs"/>
          <w:u w:val="single"/>
          <w:rtl/>
        </w:rPr>
        <w:t>מי שמת והניח מקרקעי ומטלטלי, ויש עליהם בע</w:t>
      </w:r>
      <w:r>
        <w:rPr>
          <w:rFonts w:hint="cs"/>
          <w:u w:val="single"/>
          <w:rtl/>
        </w:rPr>
        <w:t>"</w:t>
      </w:r>
      <w:r w:rsidRPr="00B752F5">
        <w:rPr>
          <w:rFonts w:hint="cs"/>
          <w:u w:val="single"/>
          <w:rtl/>
        </w:rPr>
        <w:t>ח כתובת אשה ופרנסת בנות:</w:t>
      </w:r>
      <w:r>
        <w:rPr>
          <w:rFonts w:hint="cs"/>
          <w:rtl/>
        </w:rPr>
        <w:t xml:space="preserve"> </w:t>
      </w:r>
      <w:r w:rsidRPr="00B472A5">
        <w:rPr>
          <w:rFonts w:hint="cs"/>
          <w:sz w:val="16"/>
          <w:szCs w:val="16"/>
          <w:rtl/>
        </w:rPr>
        <w:t>(דרכ"מ אות ה)</w:t>
      </w:r>
    </w:p>
    <w:p w14:paraId="7243635F" w14:textId="77777777" w:rsidR="002E5BAD" w:rsidRPr="00B472A5" w:rsidRDefault="002E5BAD" w:rsidP="00B75458">
      <w:pPr>
        <w:pStyle w:val="ab"/>
        <w:numPr>
          <w:ilvl w:val="0"/>
          <w:numId w:val="195"/>
        </w:numPr>
        <w:rPr>
          <w:rFonts w:cs="Arial"/>
          <w:rtl/>
        </w:rPr>
      </w:pPr>
      <w:r>
        <w:rPr>
          <w:rFonts w:cs="Arial" w:hint="cs"/>
          <w:rtl/>
        </w:rPr>
        <w:t xml:space="preserve">מהר"ם </w:t>
      </w:r>
      <w:r>
        <w:rPr>
          <w:rFonts w:cs="Arial" w:hint="cs"/>
          <w:sz w:val="16"/>
          <w:szCs w:val="16"/>
          <w:rtl/>
        </w:rPr>
        <w:t>(</w:t>
      </w:r>
      <w:r w:rsidRPr="009D57F4">
        <w:rPr>
          <w:rFonts w:cs="Arial"/>
          <w:sz w:val="16"/>
          <w:szCs w:val="16"/>
          <w:rtl/>
        </w:rPr>
        <w:t>ספר סיני וליקוטים סי</w:t>
      </w:r>
      <w:r>
        <w:rPr>
          <w:rFonts w:cs="Arial" w:hint="cs"/>
          <w:sz w:val="16"/>
          <w:szCs w:val="16"/>
          <w:rtl/>
        </w:rPr>
        <w:t>'</w:t>
      </w:r>
      <w:r w:rsidRPr="009D57F4">
        <w:rPr>
          <w:rFonts w:cs="Arial"/>
          <w:sz w:val="16"/>
          <w:szCs w:val="16"/>
          <w:rtl/>
        </w:rPr>
        <w:t xml:space="preserve"> תקעה</w:t>
      </w:r>
      <w:r>
        <w:rPr>
          <w:rFonts w:cs="Arial" w:hint="cs"/>
          <w:sz w:val="16"/>
          <w:szCs w:val="16"/>
          <w:rtl/>
        </w:rPr>
        <w:t>, הביאו בשלט"ג [אות א] על המרדכי [כתובות סי' קצ])</w:t>
      </w:r>
      <w:r>
        <w:rPr>
          <w:rFonts w:cs="Arial" w:hint="cs"/>
          <w:rtl/>
        </w:rPr>
        <w:t xml:space="preserve">- </w:t>
      </w:r>
      <w:r w:rsidRPr="009D57F4">
        <w:rPr>
          <w:rFonts w:cs="Arial"/>
          <w:rtl/>
        </w:rPr>
        <w:t>מסקנא דמילתא דווקא במקרקעי ולא במטלטלי. ואם הניח ראובן בעל חוב וכתובת אשה וגם הניח נכסים מרובים ומקרקעי, ורוצה אפוטרופוס של יתומים ליטול עשור מכל הקרקעות קודם שיפרע הבעל חוב והאשה. וכתב מו' שהם יפרעו תחילה מן הקרקעות אם ירצו היתומים לסלקם במקרקעי, ומן הנשאר תטול מן היתומים העשור</w:t>
      </w:r>
      <w:r>
        <w:rPr>
          <w:rFonts w:cs="Arial" w:hint="cs"/>
          <w:rtl/>
        </w:rPr>
        <w:t>.</w:t>
      </w:r>
      <w:r w:rsidRPr="009D57F4">
        <w:rPr>
          <w:rFonts w:cs="Arial"/>
          <w:rtl/>
        </w:rPr>
        <w:t xml:space="preserve"> אמנם אם אין מגיעין הקרקעות אך כפי החוב והכתובה </w:t>
      </w:r>
      <w:r>
        <w:rPr>
          <w:rFonts w:cs="Arial" w:hint="cs"/>
          <w:rtl/>
        </w:rPr>
        <w:t xml:space="preserve">- </w:t>
      </w:r>
      <w:r w:rsidRPr="009D57F4">
        <w:rPr>
          <w:rFonts w:cs="Arial"/>
          <w:rtl/>
        </w:rPr>
        <w:t>לא תטול מן היתומים כלום</w:t>
      </w:r>
      <w:r>
        <w:rPr>
          <w:rFonts w:cs="Arial" w:hint="cs"/>
          <w:rtl/>
        </w:rPr>
        <w:t>.</w:t>
      </w:r>
      <w:r w:rsidRPr="009D57F4">
        <w:rPr>
          <w:rFonts w:cs="Arial"/>
          <w:rtl/>
        </w:rPr>
        <w:t xml:space="preserve"> ואין היכולת ביד האפוטרופוס לומר ליתומים דליסלקו לבעל חוב וכתובה בזוזי, משום דאסמכתייהו על הקרקעות, ואין לפקפק</w:t>
      </w:r>
      <w:r>
        <w:rPr>
          <w:rStyle w:val="a7"/>
          <w:rFonts w:cs="Arial"/>
          <w:rtl/>
        </w:rPr>
        <w:footnoteReference w:id="2995"/>
      </w:r>
      <w:r w:rsidRPr="00B472A5">
        <w:rPr>
          <w:rFonts w:cs="Arial" w:hint="cs"/>
          <w:rtl/>
        </w:rPr>
        <w:t>.</w:t>
      </w:r>
    </w:p>
    <w:p w14:paraId="1E482EB2" w14:textId="77777777" w:rsidR="002E5BAD" w:rsidRPr="00C208C3"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342DD1" w14:textId="77777777" w:rsidR="002E5BAD" w:rsidRDefault="002E5BAD" w:rsidP="002E5BAD">
      <w:pPr>
        <w:rPr>
          <w:rtl/>
        </w:rPr>
      </w:pPr>
      <w:r>
        <w:rPr>
          <w:rFonts w:cs="Arial"/>
          <w:rtl/>
        </w:rPr>
        <w:t>עישור זה לפרנסת נדוניא אינו מתנאי כתובה</w:t>
      </w:r>
      <w:r>
        <w:rPr>
          <w:rStyle w:val="a7"/>
          <w:rFonts w:cs="Arial"/>
          <w:rtl/>
        </w:rPr>
        <w:footnoteReference w:id="2996"/>
      </w:r>
      <w:r>
        <w:rPr>
          <w:rFonts w:cs="Arial"/>
          <w:rtl/>
        </w:rPr>
        <w:t>. לפיכך אפילו לפי תקנת חכמים הראשונים והאחרונים</w:t>
      </w:r>
      <w:r>
        <w:rPr>
          <w:rStyle w:val="a7"/>
          <w:rFonts w:cs="Arial"/>
          <w:rtl/>
        </w:rPr>
        <w:footnoteReference w:id="2997"/>
      </w:r>
      <w:r>
        <w:rPr>
          <w:rFonts w:cs="Arial"/>
          <w:rtl/>
        </w:rPr>
        <w:t xml:space="preserve"> אינה נוטלת אלא הקרקע. ויש לה לגבות עישור זה משכירות הקרקע</w:t>
      </w:r>
      <w:r>
        <w:rPr>
          <w:rStyle w:val="a7"/>
          <w:rFonts w:cs="Arial"/>
          <w:rtl/>
        </w:rPr>
        <w:footnoteReference w:id="2998"/>
      </w:r>
      <w:r>
        <w:rPr>
          <w:rFonts w:cs="Arial"/>
          <w:rtl/>
        </w:rPr>
        <w:t xml:space="preserve"> </w:t>
      </w:r>
      <w:r>
        <w:rPr>
          <w:rFonts w:cs="Arial" w:hint="cs"/>
          <w:sz w:val="18"/>
          <w:szCs w:val="18"/>
          <w:rtl/>
        </w:rPr>
        <w:t xml:space="preserve">[הגה] </w:t>
      </w:r>
      <w:r w:rsidRPr="00F038E9">
        <w:rPr>
          <w:rFonts w:cs="Arial"/>
          <w:sz w:val="18"/>
          <w:szCs w:val="18"/>
          <w:rtl/>
        </w:rPr>
        <w:t>אם לא גבו היתומים עדיין (טור)</w:t>
      </w:r>
      <w:r>
        <w:rPr>
          <w:rFonts w:cs="Arial" w:hint="cs"/>
          <w:rtl/>
        </w:rPr>
        <w:t>,</w:t>
      </w:r>
      <w:r>
        <w:rPr>
          <w:rFonts w:cs="Arial"/>
          <w:rtl/>
        </w:rPr>
        <w:t xml:space="preserve"> ומן הראוי</w:t>
      </w:r>
      <w:r>
        <w:rPr>
          <w:rStyle w:val="a7"/>
          <w:rFonts w:cs="Arial"/>
          <w:rtl/>
        </w:rPr>
        <w:footnoteReference w:id="2999"/>
      </w:r>
      <w:r>
        <w:rPr>
          <w:rFonts w:cs="Arial"/>
          <w:rtl/>
        </w:rPr>
        <w:t xml:space="preserve">. ואם רצו האחים ליתן לה מעות כנגד עישור הקרקע, נותנים. </w:t>
      </w:r>
      <w:r w:rsidRPr="00F038E9">
        <w:rPr>
          <w:rFonts w:cs="Arial"/>
          <w:sz w:val="18"/>
          <w:szCs w:val="18"/>
          <w:rtl/>
        </w:rPr>
        <w:t>הגה: ודוקא לגבות אינה נגבית רק ממקרקעי, אבל כששמין הנכסים לידע העישור שמין אף מטלטלין</w:t>
      </w:r>
      <w:r>
        <w:rPr>
          <w:rFonts w:cs="Arial" w:hint="cs"/>
          <w:sz w:val="18"/>
          <w:szCs w:val="18"/>
          <w:rtl/>
        </w:rPr>
        <w:t>,</w:t>
      </w:r>
      <w:r w:rsidRPr="00F038E9">
        <w:rPr>
          <w:rFonts w:cs="Arial"/>
          <w:sz w:val="18"/>
          <w:szCs w:val="18"/>
          <w:rtl/>
        </w:rPr>
        <w:t xml:space="preserve"> ומגבינן לה העישור ממקרקעי. ודוקא שנותנים לה עישור נכסים, אבל כשנוכל לאמוד דעת האב נותנים לה לפי דעתו, כפי מה שהיה נותן לה</w:t>
      </w:r>
      <w:r>
        <w:rPr>
          <w:rFonts w:cs="Arial" w:hint="cs"/>
          <w:sz w:val="18"/>
          <w:szCs w:val="18"/>
          <w:rtl/>
        </w:rPr>
        <w:t>,</w:t>
      </w:r>
      <w:r w:rsidRPr="00F038E9">
        <w:rPr>
          <w:rFonts w:cs="Arial"/>
          <w:sz w:val="18"/>
          <w:szCs w:val="18"/>
          <w:rtl/>
        </w:rPr>
        <w:t xml:space="preserve"> הן מטלטלי הן מקרקעי, כך נותנים לה (הכל בטור). וי"א דאף כששמין אין שמין אלא בקרקע (מ"מ </w:t>
      </w:r>
      <w:r>
        <w:rPr>
          <w:rFonts w:cs="Arial" w:hint="cs"/>
          <w:sz w:val="18"/>
          <w:szCs w:val="18"/>
          <w:rtl/>
        </w:rPr>
        <w:t>בשם ה</w:t>
      </w:r>
      <w:r w:rsidRPr="00F038E9">
        <w:rPr>
          <w:rFonts w:cs="Arial"/>
          <w:sz w:val="18"/>
          <w:szCs w:val="18"/>
          <w:rtl/>
        </w:rPr>
        <w:t>רמב"ם). ואם היו כאן בעלי חובות</w:t>
      </w:r>
      <w:r>
        <w:rPr>
          <w:rStyle w:val="a7"/>
          <w:rFonts w:cs="Arial"/>
          <w:sz w:val="18"/>
          <w:szCs w:val="18"/>
          <w:rtl/>
        </w:rPr>
        <w:footnoteReference w:id="3000"/>
      </w:r>
      <w:r w:rsidRPr="00F038E9">
        <w:rPr>
          <w:rFonts w:cs="Arial"/>
          <w:sz w:val="18"/>
          <w:szCs w:val="18"/>
          <w:rtl/>
        </w:rPr>
        <w:t>, והבנים אומרים לסלק אותן בקרקעות</w:t>
      </w:r>
      <w:r>
        <w:rPr>
          <w:rStyle w:val="a7"/>
          <w:rFonts w:cs="Arial"/>
          <w:sz w:val="18"/>
          <w:szCs w:val="18"/>
          <w:rtl/>
        </w:rPr>
        <w:footnoteReference w:id="3001"/>
      </w:r>
      <w:r w:rsidRPr="00F038E9">
        <w:rPr>
          <w:rFonts w:cs="Arial"/>
          <w:sz w:val="18"/>
          <w:szCs w:val="18"/>
          <w:rtl/>
        </w:rPr>
        <w:t>, והבנות אומרות לסלק אותן במטלטלין כדי שישארו הקרקעות ליתומים ויטלו מהן עישור נכסים, הדין עם הבנים (מהר"ם). ונראה לי דהוא הדין לענין שטר חצי חלק זכר הנוהג בינינו שאין הבנות נוטלות חלק בקרקעות</w:t>
      </w:r>
      <w:r>
        <w:rPr>
          <w:rStyle w:val="a7"/>
          <w:rFonts w:cs="Arial"/>
          <w:sz w:val="18"/>
          <w:szCs w:val="18"/>
          <w:rtl/>
        </w:rPr>
        <w:footnoteReference w:id="3002"/>
      </w:r>
      <w:r w:rsidRPr="00F038E9">
        <w:rPr>
          <w:rFonts w:cs="Arial"/>
          <w:sz w:val="18"/>
          <w:szCs w:val="18"/>
          <w:rtl/>
        </w:rPr>
        <w:t xml:space="preserve"> אם היו כאן </w:t>
      </w:r>
      <w:r w:rsidRPr="00F038E9">
        <w:rPr>
          <w:rFonts w:cs="Arial"/>
          <w:sz w:val="18"/>
          <w:szCs w:val="18"/>
          <w:rtl/>
        </w:rPr>
        <w:lastRenderedPageBreak/>
        <w:t>בעלי חובות, הרשות ביד הבנים לסלק אותן במטלטלין כדי שישארו להם הקרקעות ולא יהא לבנות חלק בהם</w:t>
      </w:r>
      <w:r>
        <w:rPr>
          <w:rFonts w:cs="Arial" w:hint="cs"/>
          <w:sz w:val="18"/>
          <w:szCs w:val="18"/>
          <w:rtl/>
        </w:rPr>
        <w:t xml:space="preserve"> (ד"ע)</w:t>
      </w:r>
      <w:r w:rsidRPr="00F038E9">
        <w:rPr>
          <w:rFonts w:cs="Arial"/>
          <w:sz w:val="18"/>
          <w:szCs w:val="18"/>
          <w:rtl/>
        </w:rPr>
        <w:t>. כשאומדים דעת האב, יש אומרים דוקא למעוטי מעישור נכסים, אבל לא להרבות עליהם (רא"ש). וי"א דאפילו להוסיף עליהם (גאונים)</w:t>
      </w:r>
      <w:r>
        <w:rPr>
          <w:rFonts w:cs="Arial" w:hint="cs"/>
          <w:sz w:val="18"/>
          <w:szCs w:val="18"/>
          <w:rtl/>
        </w:rPr>
        <w:t>,</w:t>
      </w:r>
      <w:r w:rsidRPr="00F038E9">
        <w:rPr>
          <w:rFonts w:cs="Arial"/>
          <w:sz w:val="18"/>
          <w:szCs w:val="18"/>
          <w:rtl/>
        </w:rPr>
        <w:t xml:space="preserve"> ואפילו אין כאן אלא מה שנתן לבתו הראשונה, נותנים הכל לשנייה</w:t>
      </w:r>
      <w:r>
        <w:rPr>
          <w:rStyle w:val="a7"/>
          <w:rFonts w:cs="Arial"/>
          <w:sz w:val="18"/>
          <w:szCs w:val="18"/>
          <w:rtl/>
        </w:rPr>
        <w:footnoteReference w:id="3003"/>
      </w:r>
      <w:r w:rsidRPr="00F038E9">
        <w:rPr>
          <w:rFonts w:cs="Arial"/>
          <w:sz w:val="18"/>
          <w:szCs w:val="18"/>
          <w:rtl/>
        </w:rPr>
        <w:t xml:space="preserve"> (טור בשם הראב"ד). וראוי לאומדו כפי הממון שהניח בשעת מותו</w:t>
      </w:r>
      <w:r>
        <w:rPr>
          <w:rStyle w:val="a7"/>
          <w:rFonts w:cs="Arial"/>
          <w:sz w:val="18"/>
          <w:szCs w:val="18"/>
          <w:rtl/>
        </w:rPr>
        <w:footnoteReference w:id="3004"/>
      </w:r>
      <w:r w:rsidRPr="00F038E9">
        <w:rPr>
          <w:rFonts w:cs="Arial"/>
          <w:sz w:val="18"/>
          <w:szCs w:val="18"/>
          <w:rtl/>
        </w:rPr>
        <w:t xml:space="preserve"> (מהרי"ק שורש עח), וכן נראה לי. </w:t>
      </w:r>
    </w:p>
    <w:p w14:paraId="36CE8BE2" w14:textId="77777777" w:rsidR="002E5BAD" w:rsidRDefault="002E5BAD" w:rsidP="002E5BAD">
      <w:pPr>
        <w:rPr>
          <w:rtl/>
        </w:rPr>
      </w:pPr>
    </w:p>
    <w:p w14:paraId="2CD93897" w14:textId="77777777" w:rsidR="002E5BAD" w:rsidRDefault="002E5BAD" w:rsidP="002E5BAD">
      <w:pPr>
        <w:pStyle w:val="2"/>
        <w:rPr>
          <w:rtl/>
        </w:rPr>
      </w:pPr>
      <w:r>
        <w:rPr>
          <w:rtl/>
        </w:rPr>
        <w:t>סעיף ג</w:t>
      </w:r>
      <w:r>
        <w:rPr>
          <w:rFonts w:hint="cs"/>
          <w:rtl/>
        </w:rPr>
        <w:t>: פרנסת הבת - חוב על האחים</w:t>
      </w:r>
      <w:r>
        <w:rPr>
          <w:rFonts w:hint="cs"/>
          <w:sz w:val="20"/>
          <w:szCs w:val="20"/>
          <w:rtl/>
        </w:rPr>
        <w:t xml:space="preserve"> (נפ"מ לגביה מבינונית בלא שבועה ומן הראוי)</w:t>
      </w:r>
      <w:r>
        <w:rPr>
          <w:rFonts w:hint="cs"/>
          <w:rtl/>
        </w:rPr>
        <w:t>.</w:t>
      </w:r>
    </w:p>
    <w:p w14:paraId="245CCA61" w14:textId="77777777" w:rsidR="002E5BAD" w:rsidRDefault="002E5BAD" w:rsidP="002E5BAD">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Style w:val="a7"/>
          <w:rFonts w:cs="Arial"/>
          <w:rtl/>
        </w:rPr>
        <w:footnoteReference w:id="3005"/>
      </w:r>
      <w:r w:rsidRPr="000454C9">
        <w:rPr>
          <w:rFonts w:cs="Arial"/>
          <w:rtl/>
        </w:rPr>
        <w:t>.</w:t>
      </w:r>
      <w:r w:rsidRPr="003B2777">
        <w:rPr>
          <w:rtl/>
        </w:rPr>
        <w:t xml:space="preserve"> </w:t>
      </w:r>
      <w:r w:rsidRPr="003B2777">
        <w:rPr>
          <w:rFonts w:cs="Arial"/>
          <w:u w:val="single"/>
          <w:rtl/>
        </w:rPr>
        <w:t>אמר ליה רב אשי לאמימר</w:t>
      </w:r>
      <w:r w:rsidRPr="003B2777">
        <w:rPr>
          <w:rFonts w:cs="Arial"/>
          <w:rtl/>
        </w:rPr>
        <w:t>: אילו בעי לסלוקה בזוזי, הכי נמי דלא מצי לסלוקה? אמר ליה: אין. אי בעי לסלוקה בחדא ארעא, הכי נמי דלא מצי מסלק לה? אמר ליה: אין</w:t>
      </w:r>
      <w:r>
        <w:rPr>
          <w:rStyle w:val="a7"/>
          <w:rFonts w:cs="Arial"/>
          <w:rtl/>
        </w:rPr>
        <w:footnoteReference w:id="3006"/>
      </w:r>
      <w:r w:rsidRPr="003B2777">
        <w:rPr>
          <w:rFonts w:cs="Arial"/>
          <w:rtl/>
        </w:rPr>
        <w:t xml:space="preserve">. </w:t>
      </w:r>
      <w:r w:rsidRPr="000454C9">
        <w:rPr>
          <w:rFonts w:cs="Arial"/>
          <w:rtl/>
        </w:rPr>
        <w:t xml:space="preserve"> </w:t>
      </w:r>
      <w:r w:rsidRPr="000454C9">
        <w:rPr>
          <w:rFonts w:cs="Arial"/>
          <w:u w:val="single"/>
          <w:rtl/>
        </w:rPr>
        <w:t>רב אשי אמר</w:t>
      </w:r>
      <w:r w:rsidRPr="000454C9">
        <w:rPr>
          <w:rFonts w:cs="Arial"/>
          <w:rtl/>
        </w:rPr>
        <w:t>: בת - בעלת חוב הויא</w:t>
      </w:r>
      <w:r>
        <w:rPr>
          <w:rStyle w:val="a7"/>
          <w:rFonts w:cs="Arial"/>
          <w:rtl/>
        </w:rPr>
        <w:footnoteReference w:id="3007"/>
      </w:r>
      <w:r w:rsidRPr="000454C9">
        <w:rPr>
          <w:rFonts w:cs="Arial"/>
          <w:rtl/>
        </w:rPr>
        <w:t>. ואף אמימר הדר ביה</w:t>
      </w:r>
      <w:r w:rsidRPr="003B2777">
        <w:rPr>
          <w:rFonts w:cs="Arial"/>
          <w:rtl/>
        </w:rPr>
        <w:t>, דאמר רב מניומי בריה דרב ניחומי: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0454C9">
        <w:rPr>
          <w:rFonts w:cs="Arial"/>
          <w:rtl/>
        </w:rPr>
        <w:t xml:space="preserve"> והשתא דאמרת: בעלת חוב הויא, דאבא או דאחי? למאי נפקא מינה? למיגבא לבינונית שלא בשבועה וזיבורית בשבועה</w:t>
      </w:r>
      <w:r>
        <w:rPr>
          <w:rStyle w:val="a7"/>
          <w:rFonts w:cs="Arial"/>
          <w:rtl/>
        </w:rPr>
        <w:footnoteReference w:id="3008"/>
      </w:r>
      <w:r>
        <w:rPr>
          <w:rFonts w:cs="Arial" w:hint="cs"/>
          <w:rtl/>
        </w:rPr>
        <w:t>.</w:t>
      </w:r>
      <w:r w:rsidRPr="000454C9">
        <w:rPr>
          <w:rFonts w:cs="Arial"/>
          <w:rtl/>
        </w:rPr>
        <w:t xml:space="preserve"> מאי? תא שמע: דרבינא אגביה לברתיה דרב אשי</w:t>
      </w:r>
      <w:r>
        <w:rPr>
          <w:rStyle w:val="a7"/>
          <w:rFonts w:cs="Arial"/>
          <w:rtl/>
        </w:rPr>
        <w:footnoteReference w:id="3009"/>
      </w:r>
      <w:r w:rsidRPr="000454C9">
        <w:rPr>
          <w:rFonts w:cs="Arial"/>
          <w:rtl/>
        </w:rPr>
        <w:t xml:space="preserve"> ממר בריה דרב אשי בינונית ושלא בשבועה</w:t>
      </w:r>
      <w:r>
        <w:rPr>
          <w:rFonts w:cs="Arial" w:hint="cs"/>
          <w:rtl/>
        </w:rPr>
        <w:t>.</w:t>
      </w:r>
      <w:r w:rsidRPr="000454C9">
        <w:rPr>
          <w:rFonts w:cs="Arial"/>
          <w:rtl/>
        </w:rPr>
        <w:t xml:space="preserve"> מבריה דרב סמא בריה דרב אשי - זבורית</w:t>
      </w:r>
      <w:r>
        <w:rPr>
          <w:rStyle w:val="a7"/>
          <w:rFonts w:cs="Arial"/>
          <w:rtl/>
        </w:rPr>
        <w:footnoteReference w:id="3010"/>
      </w:r>
      <w:r w:rsidRPr="000454C9">
        <w:rPr>
          <w:rFonts w:cs="Arial"/>
          <w:rtl/>
        </w:rPr>
        <w:t xml:space="preserve"> בשבועה</w:t>
      </w:r>
      <w:r>
        <w:rPr>
          <w:rFonts w:cs="Arial" w:hint="cs"/>
          <w:rtl/>
        </w:rPr>
        <w:t>.</w:t>
      </w:r>
      <w:r>
        <w:rPr>
          <w:rFonts w:hint="cs"/>
          <w:rtl/>
        </w:rPr>
        <w:t xml:space="preserve"> </w:t>
      </w:r>
    </w:p>
    <w:p w14:paraId="16CCB6B2" w14:textId="77777777" w:rsidR="002E5BAD" w:rsidRPr="000009EE" w:rsidRDefault="002E5BAD" w:rsidP="002E5BAD">
      <w:pPr>
        <w:rPr>
          <w:u w:val="single"/>
          <w:rtl/>
        </w:rPr>
      </w:pPr>
      <w:r w:rsidRPr="000009EE">
        <w:rPr>
          <w:rFonts w:hint="cs"/>
          <w:u w:val="single"/>
          <w:rtl/>
        </w:rPr>
        <w:t xml:space="preserve">פרנסת הבת </w:t>
      </w:r>
      <w:r>
        <w:rPr>
          <w:rFonts w:hint="cs"/>
          <w:u w:val="single"/>
          <w:rtl/>
        </w:rPr>
        <w:t xml:space="preserve">- </w:t>
      </w:r>
      <w:r w:rsidRPr="000009EE">
        <w:rPr>
          <w:rFonts w:hint="cs"/>
          <w:u w:val="single"/>
          <w:rtl/>
        </w:rPr>
        <w:t>חוב על האחים:</w:t>
      </w:r>
    </w:p>
    <w:p w14:paraId="46897AC5" w14:textId="77777777" w:rsidR="002E5BAD" w:rsidRDefault="002E5BAD" w:rsidP="00B75458">
      <w:pPr>
        <w:pStyle w:val="ab"/>
        <w:numPr>
          <w:ilvl w:val="0"/>
          <w:numId w:val="195"/>
        </w:numPr>
        <w:rPr>
          <w:rtl/>
        </w:rPr>
      </w:pPr>
      <w:r>
        <w:rPr>
          <w:rFonts w:cs="Arial" w:hint="cs"/>
          <w:rtl/>
        </w:rPr>
        <w:t xml:space="preserve">טור- </w:t>
      </w:r>
      <w:r w:rsidRPr="00E04543">
        <w:rPr>
          <w:rFonts w:cs="Arial"/>
          <w:rtl/>
        </w:rPr>
        <w:t>הבת לגבי עישור נכסים חשובה כבעל חוב של האחין</w:t>
      </w:r>
      <w:r>
        <w:rPr>
          <w:rFonts w:cs="Arial" w:hint="cs"/>
          <w:rtl/>
        </w:rPr>
        <w:t>.</w:t>
      </w:r>
      <w:r w:rsidRPr="00E04543">
        <w:rPr>
          <w:rFonts w:cs="Arial"/>
          <w:rtl/>
        </w:rPr>
        <w:t xml:space="preserve"> לפיכך נוטלת מהן מהבינונית בלא שבועה</w:t>
      </w:r>
      <w:r>
        <w:rPr>
          <w:rStyle w:val="a7"/>
          <w:rFonts w:cs="Arial"/>
          <w:rtl/>
        </w:rPr>
        <w:footnoteReference w:id="3011"/>
      </w:r>
      <w:r>
        <w:rPr>
          <w:rFonts w:cs="Arial" w:hint="cs"/>
          <w:rtl/>
        </w:rPr>
        <w:t>,</w:t>
      </w:r>
      <w:r w:rsidRPr="00E04543">
        <w:rPr>
          <w:rFonts w:cs="Arial"/>
          <w:rtl/>
        </w:rPr>
        <w:t xml:space="preserve"> ומן הראוי</w:t>
      </w:r>
      <w:r>
        <w:rPr>
          <w:rFonts w:cs="Arial" w:hint="cs"/>
          <w:rtl/>
        </w:rPr>
        <w:t>.</w:t>
      </w:r>
      <w:r w:rsidRPr="00E04543">
        <w:rPr>
          <w:rFonts w:cs="Arial"/>
          <w:rtl/>
        </w:rPr>
        <w:t xml:space="preserve"> כגון אם מת אביה בחיי זקנה</w:t>
      </w:r>
      <w:r>
        <w:rPr>
          <w:rFonts w:cs="Arial" w:hint="cs"/>
          <w:rtl/>
        </w:rPr>
        <w:t>,</w:t>
      </w:r>
      <w:r w:rsidRPr="00E04543">
        <w:rPr>
          <w:rFonts w:cs="Arial"/>
          <w:rtl/>
        </w:rPr>
        <w:t xml:space="preserve"> ולא היו נכסים לאביה</w:t>
      </w:r>
      <w:r>
        <w:rPr>
          <w:rFonts w:cs="Arial" w:hint="cs"/>
          <w:rtl/>
        </w:rPr>
        <w:t>,</w:t>
      </w:r>
      <w:r w:rsidRPr="00E04543">
        <w:rPr>
          <w:rFonts w:cs="Arial"/>
          <w:rtl/>
        </w:rPr>
        <w:t xml:space="preserve"> ואח"כ מת זקנה וירשוה אחיה </w:t>
      </w:r>
      <w:r>
        <w:rPr>
          <w:rFonts w:cs="Arial" w:hint="cs"/>
          <w:rtl/>
        </w:rPr>
        <w:t xml:space="preserve">- </w:t>
      </w:r>
      <w:r w:rsidRPr="00E04543">
        <w:rPr>
          <w:rFonts w:cs="Arial"/>
          <w:rtl/>
        </w:rPr>
        <w:t>נוטלת מהם עישור נכסים</w:t>
      </w:r>
      <w:r>
        <w:rPr>
          <w:rFonts w:cs="Arial" w:hint="cs"/>
          <w:rtl/>
        </w:rPr>
        <w:t>.</w:t>
      </w:r>
      <w:r w:rsidRPr="00E04543">
        <w:rPr>
          <w:rFonts w:cs="Arial"/>
          <w:rtl/>
        </w:rPr>
        <w:t xml:space="preserve"> ויכולים ליתן לה איזה קרקע בינונית שירצו</w:t>
      </w:r>
      <w:r>
        <w:rPr>
          <w:rFonts w:cs="Arial" w:hint="cs"/>
          <w:rtl/>
        </w:rPr>
        <w:t>,</w:t>
      </w:r>
      <w:r w:rsidRPr="00E04543">
        <w:rPr>
          <w:rFonts w:cs="Arial"/>
          <w:rtl/>
        </w:rPr>
        <w:t xml:space="preserve"> ולסלקה בזוזי</w:t>
      </w:r>
      <w:r>
        <w:rPr>
          <w:rFonts w:cs="Arial" w:hint="cs"/>
          <w:rtl/>
        </w:rPr>
        <w:t>.</w:t>
      </w:r>
      <w:r w:rsidRPr="00E04543">
        <w:rPr>
          <w:rFonts w:cs="Arial"/>
          <w:rtl/>
        </w:rPr>
        <w:t xml:space="preserve"> אבל אם מתו אחיה קודם שנטלה עישור נכסים </w:t>
      </w:r>
      <w:r>
        <w:rPr>
          <w:rFonts w:cs="Arial" w:hint="cs"/>
          <w:rtl/>
        </w:rPr>
        <w:t xml:space="preserve">- </w:t>
      </w:r>
      <w:r w:rsidRPr="00E04543">
        <w:rPr>
          <w:rFonts w:cs="Arial"/>
          <w:rtl/>
        </w:rPr>
        <w:t>אינה גובה מבניהם אלא מזיבורית ובשבועה</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sz w:val="16"/>
          <w:szCs w:val="16"/>
          <w:rtl/>
        </w:rPr>
        <w:t xml:space="preserve"> </w:t>
      </w:r>
      <w:r w:rsidRPr="00F50FF3">
        <w:rPr>
          <w:rFonts w:cs="Arial" w:hint="cs"/>
          <w:color w:val="000000" w:themeColor="text1"/>
          <w:sz w:val="16"/>
          <w:szCs w:val="16"/>
          <w:rtl/>
        </w:rPr>
        <w:t>[</w:t>
      </w:r>
      <w:r>
        <w:rPr>
          <w:rFonts w:cs="Arial" w:hint="cs"/>
          <w:color w:val="000000" w:themeColor="text1"/>
          <w:sz w:val="16"/>
          <w:szCs w:val="16"/>
          <w:rtl/>
        </w:rPr>
        <w:t>כאן ובסע' ב</w:t>
      </w:r>
      <w:r w:rsidRPr="00F50FF3">
        <w:rPr>
          <w:rFonts w:cs="Arial" w:hint="cs"/>
          <w:color w:val="000000" w:themeColor="text1"/>
          <w:sz w:val="16"/>
          <w:szCs w:val="16"/>
          <w:rtl/>
        </w:rPr>
        <w:t>]</w:t>
      </w:r>
      <w:r w:rsidRPr="000009EE">
        <w:rPr>
          <w:rFonts w:cs="Arial" w:hint="cs"/>
          <w:color w:val="E36C0A" w:themeColor="accent6" w:themeShade="BF"/>
          <w:rtl/>
        </w:rPr>
        <w:t>)</w:t>
      </w:r>
    </w:p>
    <w:p w14:paraId="2337A29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648E10" w14:textId="77777777" w:rsidR="002E5BAD" w:rsidRDefault="002E5BAD" w:rsidP="002E5BAD">
      <w:pPr>
        <w:rPr>
          <w:rtl/>
        </w:rPr>
      </w:pPr>
      <w:r>
        <w:rPr>
          <w:rFonts w:cs="Arial"/>
          <w:rtl/>
        </w:rPr>
        <w:lastRenderedPageBreak/>
        <w:t>הבת בעישור זה כבעל חוב של אחין היא, לפיכך נוטלת אותו מן הבינונית בלא שבועה</w:t>
      </w:r>
      <w:r>
        <w:rPr>
          <w:rStyle w:val="a7"/>
          <w:rFonts w:cs="Arial"/>
          <w:rtl/>
        </w:rPr>
        <w:footnoteReference w:id="3012"/>
      </w:r>
      <w:r>
        <w:rPr>
          <w:rFonts w:cs="Arial"/>
          <w:rtl/>
        </w:rPr>
        <w:t>. ואם מתו האחים, נוטלת אותו מבניהם מזיבורית ובשבועה</w:t>
      </w:r>
      <w:r>
        <w:rPr>
          <w:rStyle w:val="a7"/>
          <w:rFonts w:cs="Arial"/>
          <w:rtl/>
        </w:rPr>
        <w:footnoteReference w:id="3013"/>
      </w:r>
      <w:r>
        <w:rPr>
          <w:rFonts w:cs="Arial"/>
          <w:rtl/>
        </w:rPr>
        <w:t>, שהרי היא נפרעת מנכסי יתומים. ובזמן הזה שכל בני אדם רגילין להשיא בנותיהם מהמטלטלים, חשוב כמו אומדניה</w:t>
      </w:r>
      <w:r>
        <w:rPr>
          <w:rStyle w:val="a7"/>
          <w:rFonts w:cs="Arial"/>
          <w:rtl/>
        </w:rPr>
        <w:footnoteReference w:id="3014"/>
      </w:r>
      <w:r>
        <w:rPr>
          <w:rFonts w:cs="Arial"/>
          <w:rtl/>
        </w:rPr>
        <w:t xml:space="preserve">. </w:t>
      </w:r>
    </w:p>
    <w:p w14:paraId="34AAB92E" w14:textId="77777777" w:rsidR="002E5BAD" w:rsidRDefault="002E5BAD" w:rsidP="002E5BAD">
      <w:pPr>
        <w:rPr>
          <w:rtl/>
        </w:rPr>
      </w:pPr>
    </w:p>
    <w:p w14:paraId="148EEA7D" w14:textId="77777777" w:rsidR="002E5BAD" w:rsidRDefault="002E5BAD" w:rsidP="002E5BAD">
      <w:pPr>
        <w:pStyle w:val="2"/>
        <w:rPr>
          <w:rtl/>
        </w:rPr>
      </w:pPr>
      <w:r>
        <w:rPr>
          <w:rtl/>
        </w:rPr>
        <w:t>סעיף ד</w:t>
      </w:r>
      <w:r>
        <w:rPr>
          <w:rFonts w:hint="cs"/>
          <w:rtl/>
        </w:rPr>
        <w:t xml:space="preserve">: הניח מספר בנות שצריכות להנשא, כיצד מחשבים את העישור. </w:t>
      </w:r>
    </w:p>
    <w:p w14:paraId="49C6698B" w14:textId="77777777" w:rsidR="002E5BAD" w:rsidRPr="00A2673D" w:rsidRDefault="002E5BAD" w:rsidP="002E5BAD">
      <w:pPr>
        <w:rPr>
          <w:rFonts w:cs="Arial"/>
          <w:u w:val="single"/>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א</w:t>
      </w:r>
      <w:r w:rsidRPr="009E3B5F">
        <w:rPr>
          <w:rFonts w:hint="cs"/>
          <w:b/>
          <w:bCs/>
          <w:rtl/>
        </w:rPr>
        <w:t>:</w:t>
      </w:r>
      <w:r w:rsidRPr="009C31B7">
        <w:rPr>
          <w:rFonts w:cs="Arial"/>
          <w:rtl/>
        </w:rPr>
        <w:t xml:space="preserve"> </w:t>
      </w:r>
      <w:r w:rsidRPr="00A2673D">
        <w:rPr>
          <w:rFonts w:cs="Arial"/>
          <w:rtl/>
        </w:rPr>
        <w:t xml:space="preserve">גופא, </w:t>
      </w:r>
      <w:r w:rsidRPr="00CD4FF2">
        <w:rPr>
          <w:rFonts w:cs="Arial"/>
          <w:u w:val="single"/>
          <w:rtl/>
        </w:rPr>
        <w:t>אמר רבי</w:t>
      </w:r>
      <w:r w:rsidRPr="00A2673D">
        <w:rPr>
          <w:rFonts w:cs="Arial"/>
          <w:rtl/>
        </w:rPr>
        <w:t xml:space="preserve">: בת הניזונת מן האחין - נוטלת עישור נכסים. </w:t>
      </w:r>
      <w:r w:rsidRPr="00CD4FF2">
        <w:rPr>
          <w:rFonts w:cs="Arial"/>
          <w:u w:val="single"/>
          <w:rtl/>
        </w:rPr>
        <w:t>אמרו לו לרבי</w:t>
      </w:r>
      <w:r w:rsidRPr="00A2673D">
        <w:rPr>
          <w:rFonts w:cs="Arial"/>
          <w:rtl/>
        </w:rPr>
        <w:t xml:space="preserve">: לדבריך, מי שיש לו עשר בנות ובן, אין לו לבן במקום בנות כלום! </w:t>
      </w:r>
      <w:r w:rsidRPr="00CD4FF2">
        <w:rPr>
          <w:rFonts w:cs="Arial"/>
          <w:u w:val="single"/>
          <w:rtl/>
        </w:rPr>
        <w:t>אמר להן, כך אני אומר</w:t>
      </w:r>
      <w:r w:rsidRPr="00A2673D">
        <w:rPr>
          <w:rFonts w:cs="Arial"/>
          <w:rtl/>
        </w:rPr>
        <w:t>: ראשונה נוטלת עישור נכסים, שניה - במה ששיירה, ושלישית - במה ששיירה, וחוזרות וחולקות בשוה.</w:t>
      </w:r>
      <w:r w:rsidRPr="00A2673D">
        <w:rPr>
          <w:rtl/>
        </w:rPr>
        <w:t xml:space="preserve"> </w:t>
      </w:r>
      <w:r>
        <w:rPr>
          <w:rFonts w:hint="cs"/>
          <w:sz w:val="14"/>
          <w:szCs w:val="14"/>
          <w:rtl/>
        </w:rPr>
        <w:t xml:space="preserve">(סח:) </w:t>
      </w:r>
      <w:r w:rsidRPr="00A2673D">
        <w:rPr>
          <w:rFonts w:cs="Arial"/>
          <w:rtl/>
        </w:rPr>
        <w:t>כל חדא וחדא דנפשה שקלה</w:t>
      </w:r>
      <w:r>
        <w:rPr>
          <w:rStyle w:val="a7"/>
          <w:rFonts w:cs="Arial"/>
          <w:rtl/>
        </w:rPr>
        <w:footnoteReference w:id="3015"/>
      </w:r>
      <w:r w:rsidRPr="00A2673D">
        <w:rPr>
          <w:rFonts w:cs="Arial"/>
          <w:rtl/>
        </w:rPr>
        <w:t>! הכי קאמר: אם באו כולם להנשא כאחת</w:t>
      </w:r>
      <w:r>
        <w:rPr>
          <w:rStyle w:val="a7"/>
          <w:rFonts w:cs="Arial"/>
          <w:rtl/>
        </w:rPr>
        <w:footnoteReference w:id="3016"/>
      </w:r>
      <w:r w:rsidRPr="00A2673D">
        <w:rPr>
          <w:rFonts w:cs="Arial"/>
          <w:rtl/>
        </w:rPr>
        <w:t xml:space="preserve"> - חולקות בשוה. מסייע ליה לרב מתנה, דאמר רב מתנה: אם באו להנשא כולם כאחת - נוטלות עישור אחד</w:t>
      </w:r>
      <w:r>
        <w:rPr>
          <w:rFonts w:cs="Arial" w:hint="cs"/>
          <w:rtl/>
        </w:rPr>
        <w:t>.</w:t>
      </w:r>
      <w:r w:rsidRPr="00A2673D">
        <w:rPr>
          <w:rFonts w:cs="Arial"/>
          <w:rtl/>
        </w:rPr>
        <w:t xml:space="preserve"> עישור אחד סלקא דעתך? אלא, נוטלות עישור כאחד.</w:t>
      </w:r>
    </w:p>
    <w:p w14:paraId="5BCBD2CF" w14:textId="77777777" w:rsidR="002E5BAD" w:rsidRPr="006155CA" w:rsidRDefault="002E5BAD" w:rsidP="002E5BAD">
      <w:pPr>
        <w:rPr>
          <w:u w:val="single"/>
          <w:rtl/>
        </w:rPr>
      </w:pPr>
      <w:r w:rsidRPr="006155CA">
        <w:rPr>
          <w:rFonts w:hint="cs"/>
          <w:u w:val="single"/>
          <w:rtl/>
        </w:rPr>
        <w:t>הניח מספר בנות שצריכות להנשא, כיצד מחשבים את העישור:</w:t>
      </w:r>
    </w:p>
    <w:p w14:paraId="35633CD2" w14:textId="77777777" w:rsidR="002E5BAD" w:rsidRPr="006155CA" w:rsidRDefault="002E5BAD" w:rsidP="00B75458">
      <w:pPr>
        <w:pStyle w:val="ab"/>
        <w:numPr>
          <w:ilvl w:val="0"/>
          <w:numId w:val="195"/>
        </w:numPr>
      </w:pPr>
      <w:r>
        <w:rPr>
          <w:rFonts w:cs="Arial" w:hint="cs"/>
          <w:rtl/>
        </w:rPr>
        <w:t xml:space="preserve">טור- </w:t>
      </w:r>
      <w:r w:rsidRPr="00E04543">
        <w:rPr>
          <w:rFonts w:cs="Arial"/>
          <w:rtl/>
        </w:rPr>
        <w:t>אם יש בנות רבות להשיא</w:t>
      </w:r>
      <w:r>
        <w:rPr>
          <w:rFonts w:cs="Arial" w:hint="cs"/>
          <w:rtl/>
        </w:rPr>
        <w:t>,</w:t>
      </w:r>
      <w:r w:rsidRPr="00E04543">
        <w:rPr>
          <w:rFonts w:cs="Arial"/>
          <w:rtl/>
        </w:rPr>
        <w:t xml:space="preserve"> נותנין לראשונה עישור נכסים</w:t>
      </w:r>
      <w:r>
        <w:rPr>
          <w:rFonts w:cs="Arial" w:hint="cs"/>
          <w:rtl/>
        </w:rPr>
        <w:t>,</w:t>
      </w:r>
      <w:r w:rsidRPr="00E04543">
        <w:rPr>
          <w:rFonts w:cs="Arial"/>
          <w:rtl/>
        </w:rPr>
        <w:t xml:space="preserve"> ולשנייה עישור מה ששיירה הראשונה</w:t>
      </w:r>
      <w:r>
        <w:rPr>
          <w:rFonts w:cs="Arial" w:hint="cs"/>
          <w:rtl/>
        </w:rPr>
        <w:t>,</w:t>
      </w:r>
      <w:r w:rsidRPr="00E04543">
        <w:rPr>
          <w:rFonts w:cs="Arial"/>
          <w:rtl/>
        </w:rPr>
        <w:t xml:space="preserve"> וכן כולן</w:t>
      </w:r>
      <w:r>
        <w:rPr>
          <w:rFonts w:cs="Arial" w:hint="cs"/>
          <w:rtl/>
        </w:rPr>
        <w:t>.</w:t>
      </w:r>
      <w:r w:rsidRPr="00E04543">
        <w:rPr>
          <w:rFonts w:cs="Arial"/>
          <w:rtl/>
        </w:rPr>
        <w:t xml:space="preserve"> באו לישא כאחת</w:t>
      </w:r>
      <w:r>
        <w:rPr>
          <w:rFonts w:cs="Arial" w:hint="cs"/>
          <w:rtl/>
        </w:rPr>
        <w:t>,</w:t>
      </w:r>
      <w:r w:rsidRPr="00E04543">
        <w:rPr>
          <w:rFonts w:cs="Arial"/>
          <w:rtl/>
        </w:rPr>
        <w:t xml:space="preserve"> ראשונה נוטלת עישור נכסים</w:t>
      </w:r>
      <w:r>
        <w:rPr>
          <w:rFonts w:cs="Arial" w:hint="cs"/>
          <w:rtl/>
        </w:rPr>
        <w:t>,</w:t>
      </w:r>
      <w:r w:rsidRPr="00E04543">
        <w:rPr>
          <w:rFonts w:cs="Arial"/>
          <w:rtl/>
        </w:rPr>
        <w:t xml:space="preserve"> והשנייה עישור במה ששיירה ראשונה</w:t>
      </w:r>
      <w:r>
        <w:rPr>
          <w:rFonts w:cs="Arial" w:hint="cs"/>
          <w:rtl/>
        </w:rPr>
        <w:t>,</w:t>
      </w:r>
      <w:r w:rsidRPr="00E04543">
        <w:rPr>
          <w:rFonts w:cs="Arial"/>
          <w:rtl/>
        </w:rPr>
        <w:t xml:space="preserve"> והשלישית במה ששיירה שנייה</w:t>
      </w:r>
      <w:r>
        <w:rPr>
          <w:rFonts w:cs="Arial" w:hint="cs"/>
          <w:rtl/>
        </w:rPr>
        <w:t>,</w:t>
      </w:r>
      <w:r w:rsidRPr="00E04543">
        <w:rPr>
          <w:rFonts w:cs="Arial"/>
          <w:rtl/>
        </w:rPr>
        <w:t xml:space="preserve"> וחוזרות וחולקות כל העישורים בשוה</w:t>
      </w:r>
      <w:r>
        <w:rPr>
          <w:rFonts w:cs="Arial" w:hint="cs"/>
          <w:rtl/>
        </w:rPr>
        <w:t>,</w:t>
      </w:r>
      <w:r w:rsidRPr="00E04543">
        <w:rPr>
          <w:rFonts w:cs="Arial"/>
          <w:rtl/>
        </w:rPr>
        <w:t xml:space="preserve"> והמותר לבנים</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3B21142A" w14:textId="77777777" w:rsidR="002E5BAD" w:rsidRPr="00DD61F7" w:rsidRDefault="002E5BAD" w:rsidP="002E5BAD">
      <w:pPr>
        <w:rPr>
          <w:u w:val="single"/>
        </w:rPr>
      </w:pPr>
      <w:r w:rsidRPr="00DD61F7">
        <w:rPr>
          <w:rFonts w:hint="cs"/>
          <w:u w:val="single"/>
          <w:rtl/>
        </w:rPr>
        <w:t>מתי הבת נוטל</w:t>
      </w:r>
      <w:r>
        <w:rPr>
          <w:rFonts w:hint="cs"/>
          <w:u w:val="single"/>
          <w:rtl/>
        </w:rPr>
        <w:t>ת</w:t>
      </w:r>
      <w:r w:rsidRPr="00DD61F7">
        <w:rPr>
          <w:rFonts w:hint="cs"/>
          <w:u w:val="single"/>
          <w:rtl/>
        </w:rPr>
        <w:t xml:space="preserve"> את עישור הנכסים:</w:t>
      </w:r>
    </w:p>
    <w:p w14:paraId="7F0F5ADB" w14:textId="77777777" w:rsidR="002E5BAD" w:rsidRPr="00DD61F7" w:rsidRDefault="002E5BAD" w:rsidP="00B75458">
      <w:pPr>
        <w:pStyle w:val="ab"/>
        <w:numPr>
          <w:ilvl w:val="0"/>
          <w:numId w:val="195"/>
        </w:numPr>
      </w:pPr>
      <w:r w:rsidRPr="00A37DE1">
        <w:rPr>
          <w:rFonts w:cs="Arial"/>
          <w:rtl/>
        </w:rPr>
        <w:t>ר</w:t>
      </w:r>
      <w:r>
        <w:rPr>
          <w:rFonts w:cs="Arial" w:hint="cs"/>
          <w:rtl/>
        </w:rPr>
        <w:t>שב"א</w:t>
      </w:r>
      <w:r w:rsidRPr="00A37DE1">
        <w:rPr>
          <w:rFonts w:cs="Arial"/>
          <w:rtl/>
        </w:rPr>
        <w:t xml:space="preserve"> </w:t>
      </w:r>
      <w:r w:rsidRPr="00473B4D">
        <w:rPr>
          <w:rFonts w:cs="Arial" w:hint="cs"/>
          <w:sz w:val="16"/>
          <w:szCs w:val="16"/>
          <w:rtl/>
        </w:rPr>
        <w:t>(</w:t>
      </w:r>
      <w:r>
        <w:rPr>
          <w:rFonts w:cs="Arial" w:hint="cs"/>
          <w:sz w:val="16"/>
          <w:szCs w:val="16"/>
          <w:rtl/>
        </w:rPr>
        <w:t xml:space="preserve">במיוחסות </w:t>
      </w:r>
      <w:r w:rsidRPr="00473B4D">
        <w:rPr>
          <w:rFonts w:cs="Arial"/>
          <w:sz w:val="16"/>
          <w:szCs w:val="16"/>
          <w:rtl/>
        </w:rPr>
        <w:t>סי</w:t>
      </w:r>
      <w:r w:rsidRPr="00473B4D">
        <w:rPr>
          <w:rFonts w:cs="Arial" w:hint="cs"/>
          <w:sz w:val="16"/>
          <w:szCs w:val="16"/>
          <w:rtl/>
        </w:rPr>
        <w:t>'</w:t>
      </w:r>
      <w:r w:rsidRPr="00473B4D">
        <w:rPr>
          <w:rFonts w:cs="Arial"/>
          <w:sz w:val="16"/>
          <w:szCs w:val="16"/>
          <w:rtl/>
        </w:rPr>
        <w:t xml:space="preserve"> מו</w:t>
      </w:r>
      <w:r w:rsidRPr="00473B4D">
        <w:rPr>
          <w:rFonts w:cs="Arial" w:hint="cs"/>
          <w:sz w:val="16"/>
          <w:szCs w:val="16"/>
          <w:rtl/>
        </w:rPr>
        <w:t>)</w:t>
      </w:r>
      <w:r>
        <w:rPr>
          <w:rFonts w:cs="Arial" w:hint="cs"/>
          <w:rtl/>
        </w:rPr>
        <w:t xml:space="preserve"> והה"מ</w:t>
      </w:r>
      <w:r w:rsidRPr="006155CA">
        <w:rPr>
          <w:rFonts w:cs="Arial"/>
          <w:rtl/>
        </w:rPr>
        <w:t xml:space="preserve"> </w:t>
      </w:r>
      <w:r w:rsidRPr="00DD61F7">
        <w:rPr>
          <w:rFonts w:cs="Arial" w:hint="cs"/>
          <w:sz w:val="16"/>
          <w:szCs w:val="16"/>
          <w:rtl/>
        </w:rPr>
        <w:t>(</w:t>
      </w:r>
      <w:r w:rsidRPr="00DD61F7">
        <w:rPr>
          <w:rFonts w:cs="Arial"/>
          <w:sz w:val="16"/>
          <w:szCs w:val="16"/>
          <w:rtl/>
        </w:rPr>
        <w:t>פ</w:t>
      </w:r>
      <w:r w:rsidRPr="00DD61F7">
        <w:rPr>
          <w:rFonts w:cs="Arial" w:hint="cs"/>
          <w:sz w:val="16"/>
          <w:szCs w:val="16"/>
          <w:rtl/>
        </w:rPr>
        <w:t>"</w:t>
      </w:r>
      <w:r w:rsidRPr="00DD61F7">
        <w:rPr>
          <w:rFonts w:cs="Arial"/>
          <w:sz w:val="16"/>
          <w:szCs w:val="16"/>
          <w:rtl/>
        </w:rPr>
        <w:t>ב ה"ד)</w:t>
      </w:r>
      <w:r>
        <w:rPr>
          <w:rFonts w:cs="Arial" w:hint="cs"/>
          <w:rtl/>
        </w:rPr>
        <w:t>-</w:t>
      </w:r>
      <w:r w:rsidRPr="006155CA">
        <w:rPr>
          <w:rFonts w:cs="Arial"/>
          <w:rtl/>
        </w:rPr>
        <w:t xml:space="preserve"> מתבאר מכאן שאין הבת נוטלת פרנסתה אלא לזמן נישואיה</w:t>
      </w:r>
      <w:r>
        <w:rPr>
          <w:rFonts w:cs="Arial" w:hint="cs"/>
          <w:sz w:val="16"/>
          <w:szCs w:val="16"/>
          <w:rtl/>
        </w:rPr>
        <w:t xml:space="preserve"> (ל' הה"מ)</w:t>
      </w:r>
      <w:r w:rsidRPr="006155CA">
        <w:rPr>
          <w:rFonts w:cs="Arial"/>
          <w:rtl/>
        </w:rPr>
        <w:t>.</w:t>
      </w:r>
      <w:r>
        <w:rPr>
          <w:rFonts w:hint="cs"/>
          <w:rtl/>
        </w:rPr>
        <w:t xml:space="preserve"> </w:t>
      </w:r>
      <w:r w:rsidRPr="003439CD">
        <w:rPr>
          <w:rFonts w:hint="cs"/>
          <w:color w:val="00B0F0"/>
          <w:rtl/>
        </w:rPr>
        <w:t>(וכ"פ הרמ"א)</w:t>
      </w:r>
    </w:p>
    <w:p w14:paraId="0B1D8E54" w14:textId="77777777" w:rsidR="002E5BAD" w:rsidRPr="002C24EF" w:rsidRDefault="002E5BAD" w:rsidP="002E5BAD">
      <w:pPr>
        <w:rPr>
          <w:u w:val="single"/>
        </w:rPr>
      </w:pPr>
      <w:r w:rsidRPr="002C24EF">
        <w:rPr>
          <w:rFonts w:hint="cs"/>
          <w:u w:val="single"/>
          <w:rtl/>
        </w:rPr>
        <w:t>מתי אומדין דעת האב</w:t>
      </w:r>
      <w:r>
        <w:rPr>
          <w:rFonts w:hint="cs"/>
          <w:u w:val="single"/>
          <w:rtl/>
        </w:rPr>
        <w:t>, בשעת מיתה או בשעת נישואין</w:t>
      </w:r>
      <w:r w:rsidRPr="002C24EF">
        <w:rPr>
          <w:rFonts w:hint="cs"/>
          <w:u w:val="single"/>
          <w:rtl/>
        </w:rPr>
        <w:t>:</w:t>
      </w:r>
    </w:p>
    <w:p w14:paraId="07E9EF48" w14:textId="77777777" w:rsidR="002E5BAD" w:rsidRPr="006155CA" w:rsidRDefault="002E5BAD" w:rsidP="00B75458">
      <w:pPr>
        <w:pStyle w:val="ab"/>
        <w:numPr>
          <w:ilvl w:val="0"/>
          <w:numId w:val="195"/>
        </w:numPr>
      </w:pPr>
      <w:r w:rsidRPr="006155CA">
        <w:rPr>
          <w:rFonts w:cs="Arial"/>
          <w:rtl/>
        </w:rPr>
        <w:t xml:space="preserve">רשב"א </w:t>
      </w:r>
      <w:r w:rsidRPr="002C24EF">
        <w:rPr>
          <w:rFonts w:cs="Arial"/>
          <w:sz w:val="16"/>
          <w:szCs w:val="16"/>
          <w:rtl/>
        </w:rPr>
        <w:t>(סח: ד"ה שוכרות)</w:t>
      </w:r>
      <w:r>
        <w:rPr>
          <w:rFonts w:cs="Arial" w:hint="cs"/>
          <w:rtl/>
        </w:rPr>
        <w:t>-</w:t>
      </w:r>
      <w:r w:rsidRPr="006155CA">
        <w:rPr>
          <w:rFonts w:cs="Arial"/>
          <w:rtl/>
        </w:rPr>
        <w:t xml:space="preserve"> </w:t>
      </w:r>
      <w:r w:rsidRPr="00724589">
        <w:rPr>
          <w:rFonts w:cs="Arial"/>
          <w:rtl/>
        </w:rPr>
        <w:t>שוכרות להם בעלים ומוציאין להם פרנסתם. מהא שמעינן דאינה נוטלת עשור נכסים עד שעת נשואין וה"נ שמעינן לה מדאמרינן לעיל באו כולן לינשא כאחת נוטלות עישור כאחת</w:t>
      </w:r>
      <w:r>
        <w:rPr>
          <w:rFonts w:cs="Arial" w:hint="cs"/>
          <w:rtl/>
        </w:rPr>
        <w:t>.</w:t>
      </w:r>
      <w:r w:rsidRPr="00724589">
        <w:rPr>
          <w:rFonts w:cs="Arial"/>
          <w:rtl/>
        </w:rPr>
        <w:t xml:space="preserve"> וה"ה להיכא דאמידניה לאב</w:t>
      </w:r>
      <w:r>
        <w:rPr>
          <w:rFonts w:cs="Arial" w:hint="cs"/>
          <w:rtl/>
        </w:rPr>
        <w:t>.</w:t>
      </w:r>
      <w:r w:rsidRPr="00724589">
        <w:rPr>
          <w:rFonts w:cs="Arial"/>
          <w:rtl/>
        </w:rPr>
        <w:t xml:space="preserve"> ומסתברא לי דהיכא דאזלינן בתר אומדנא דאב</w:t>
      </w:r>
      <w:r>
        <w:rPr>
          <w:rFonts w:cs="Arial" w:hint="cs"/>
          <w:rtl/>
        </w:rPr>
        <w:t>,</w:t>
      </w:r>
      <w:r w:rsidRPr="00724589">
        <w:rPr>
          <w:rFonts w:cs="Arial"/>
          <w:rtl/>
        </w:rPr>
        <w:t xml:space="preserve"> אע</w:t>
      </w:r>
      <w:r>
        <w:rPr>
          <w:rFonts w:cs="Arial" w:hint="cs"/>
          <w:rtl/>
        </w:rPr>
        <w:t>"</w:t>
      </w:r>
      <w:r w:rsidRPr="00724589">
        <w:rPr>
          <w:rFonts w:cs="Arial"/>
          <w:rtl/>
        </w:rPr>
        <w:t xml:space="preserve">ג דאין מוציאין לה עד שעת נשואין </w:t>
      </w:r>
      <w:r>
        <w:rPr>
          <w:rFonts w:cs="Arial" w:hint="cs"/>
          <w:rtl/>
        </w:rPr>
        <w:t xml:space="preserve">- </w:t>
      </w:r>
      <w:r w:rsidRPr="00724589">
        <w:rPr>
          <w:rFonts w:cs="Arial"/>
          <w:rtl/>
        </w:rPr>
        <w:t>אומדנא מיהא מהשתא עבדינן, דהא אמדינן ליה לפי נכסי מקרקעי ומטלטלי וכדכתיבנא לעיל</w:t>
      </w:r>
      <w:r>
        <w:rPr>
          <w:rFonts w:cs="Arial" w:hint="cs"/>
          <w:rtl/>
        </w:rPr>
        <w:t>,</w:t>
      </w:r>
      <w:r w:rsidRPr="00724589">
        <w:rPr>
          <w:rFonts w:cs="Arial"/>
          <w:rtl/>
        </w:rPr>
        <w:t xml:space="preserve"> והשתא הוא דידעינן לפי אומדן דעתא מאי דשבק אב, ו</w:t>
      </w:r>
      <w:r>
        <w:rPr>
          <w:rFonts w:cs="Arial" w:hint="cs"/>
          <w:rtl/>
        </w:rPr>
        <w:t>ע</w:t>
      </w:r>
      <w:r w:rsidRPr="00724589">
        <w:rPr>
          <w:rFonts w:cs="Arial"/>
          <w:rtl/>
        </w:rPr>
        <w:t>ד דאתי לקמי בי דינא דילמא לא ידעי ובמאי אמדינן, אלא מהשתא אומדין בית דין ופוסקין לה מאי דחזו לה למשקל כנ"ל</w:t>
      </w:r>
      <w:r>
        <w:rPr>
          <w:rFonts w:cs="Arial" w:hint="cs"/>
          <w:rtl/>
        </w:rPr>
        <w:t>.</w:t>
      </w:r>
      <w:r w:rsidRPr="003439CD">
        <w:rPr>
          <w:rFonts w:hint="cs"/>
          <w:color w:val="00B0F0"/>
          <w:rtl/>
        </w:rPr>
        <w:t xml:space="preserve"> (וכ"פ הרמ"א)</w:t>
      </w:r>
    </w:p>
    <w:p w14:paraId="348D4A90" w14:textId="77777777" w:rsidR="002E5BAD" w:rsidRPr="00B946AC" w:rsidRDefault="002E5BAD" w:rsidP="002E5BAD">
      <w:pPr>
        <w:ind w:left="360"/>
        <w:rPr>
          <w:u w:val="dotted"/>
        </w:rPr>
      </w:pPr>
      <w:r w:rsidRPr="00B946AC">
        <w:rPr>
          <w:rFonts w:hint="cs"/>
          <w:u w:val="dotted"/>
          <w:rtl/>
        </w:rPr>
        <w:t>האם הדין כן גם כשעושים עישור נכסים:</w:t>
      </w:r>
    </w:p>
    <w:p w14:paraId="2B725300" w14:textId="77777777" w:rsidR="002E5BAD" w:rsidRDefault="002E5BAD" w:rsidP="00B75458">
      <w:pPr>
        <w:pStyle w:val="ab"/>
        <w:numPr>
          <w:ilvl w:val="0"/>
          <w:numId w:val="195"/>
        </w:numPr>
        <w:rPr>
          <w:rtl/>
        </w:rPr>
      </w:pPr>
      <w:r w:rsidRPr="006155CA">
        <w:rPr>
          <w:rFonts w:cs="Arial"/>
          <w:rtl/>
        </w:rPr>
        <w:lastRenderedPageBreak/>
        <w:t>ר"ן</w:t>
      </w:r>
      <w:r w:rsidRPr="00B946AC">
        <w:rPr>
          <w:rFonts w:cs="Arial"/>
          <w:sz w:val="16"/>
          <w:szCs w:val="16"/>
          <w:rtl/>
        </w:rPr>
        <w:t xml:space="preserve"> </w:t>
      </w:r>
      <w:r w:rsidRPr="00B946AC">
        <w:rPr>
          <w:rFonts w:cs="Arial" w:hint="cs"/>
          <w:sz w:val="16"/>
          <w:szCs w:val="16"/>
          <w:rtl/>
        </w:rPr>
        <w:t>(</w:t>
      </w:r>
      <w:r w:rsidRPr="00B946AC">
        <w:rPr>
          <w:rFonts w:cs="Arial"/>
          <w:sz w:val="16"/>
          <w:szCs w:val="16"/>
          <w:rtl/>
        </w:rPr>
        <w:t>פ</w:t>
      </w:r>
      <w:r w:rsidRPr="00B946AC">
        <w:rPr>
          <w:rFonts w:cs="Arial" w:hint="cs"/>
          <w:sz w:val="16"/>
          <w:szCs w:val="16"/>
          <w:rtl/>
        </w:rPr>
        <w:t>'</w:t>
      </w:r>
      <w:r w:rsidRPr="00B946AC">
        <w:rPr>
          <w:rFonts w:cs="Arial"/>
          <w:sz w:val="16"/>
          <w:szCs w:val="16"/>
          <w:rtl/>
        </w:rPr>
        <w:t xml:space="preserve"> מציאת האשה ל.)</w:t>
      </w:r>
      <w:r>
        <w:rPr>
          <w:rFonts w:cs="Arial" w:hint="cs"/>
          <w:rtl/>
        </w:rPr>
        <w:t>-</w:t>
      </w:r>
      <w:r w:rsidRPr="006155CA">
        <w:rPr>
          <w:rFonts w:cs="Arial"/>
          <w:rtl/>
        </w:rPr>
        <w:t xml:space="preserve"> על זה תמהני אם הדין כן כי לא אמידניה נמי</w:t>
      </w:r>
      <w:r>
        <w:rPr>
          <w:rFonts w:cs="Arial" w:hint="cs"/>
          <w:rtl/>
        </w:rPr>
        <w:t>,</w:t>
      </w:r>
      <w:r w:rsidRPr="006155CA">
        <w:rPr>
          <w:rFonts w:cs="Arial"/>
          <w:rtl/>
        </w:rPr>
        <w:t xml:space="preserve"> למה אין עושין כן כדי לידע שיעור הנכסים</w:t>
      </w:r>
      <w:r>
        <w:rPr>
          <w:rFonts w:cs="Arial" w:hint="cs"/>
          <w:rtl/>
        </w:rPr>
        <w:t>.</w:t>
      </w:r>
      <w:r w:rsidRPr="006155CA">
        <w:rPr>
          <w:rFonts w:cs="Arial"/>
          <w:rtl/>
        </w:rPr>
        <w:t xml:space="preserve"> ואיפשר שהוא סובר דבדלא אמידניה אין נותנין לה אלא עישור הקרקעות ולפיכך אין צורך לפסוק לה בשעת מיתה</w:t>
      </w:r>
      <w:r>
        <w:rPr>
          <w:rFonts w:cs="Arial" w:hint="cs"/>
          <w:rtl/>
        </w:rPr>
        <w:t>,</w:t>
      </w:r>
      <w:r w:rsidRPr="006155CA">
        <w:rPr>
          <w:rFonts w:cs="Arial"/>
          <w:rtl/>
        </w:rPr>
        <w:t xml:space="preserve"> שהקרקעות ידועים הם ואם מכרו אחיה הא קיי"ל (סט.) דמוציאין לפרנסה</w:t>
      </w:r>
      <w:r>
        <w:rPr>
          <w:rFonts w:cs="Arial" w:hint="cs"/>
          <w:rtl/>
        </w:rPr>
        <w:t>.</w:t>
      </w:r>
      <w:r w:rsidRPr="006155CA">
        <w:rPr>
          <w:rFonts w:cs="Arial"/>
          <w:rtl/>
        </w:rPr>
        <w:t xml:space="preserve"> אבל לפי דעתי אע</w:t>
      </w:r>
      <w:r>
        <w:rPr>
          <w:rFonts w:cs="Arial" w:hint="cs"/>
          <w:rtl/>
        </w:rPr>
        <w:t>"</w:t>
      </w:r>
      <w:r w:rsidRPr="006155CA">
        <w:rPr>
          <w:rFonts w:cs="Arial"/>
          <w:rtl/>
        </w:rPr>
        <w:t>פ שאין הפרנסה נגבית אלא מן הקרקעות מכל מקום גובה היא מהם כדי עישור כל נכסיו ואפילו כנגד מטלטלין</w:t>
      </w:r>
      <w:r>
        <w:rPr>
          <w:rFonts w:cs="Arial" w:hint="cs"/>
          <w:rtl/>
        </w:rPr>
        <w:t>...</w:t>
      </w:r>
      <w:r w:rsidRPr="00C25749">
        <w:rPr>
          <w:rtl/>
        </w:rPr>
        <w:t xml:space="preserve"> </w:t>
      </w:r>
      <w:r>
        <w:rPr>
          <w:rStyle w:val="a7"/>
          <w:rFonts w:cs="Arial"/>
          <w:rtl/>
        </w:rPr>
        <w:footnoteReference w:id="3017"/>
      </w:r>
      <w:r w:rsidRPr="00C25749">
        <w:rPr>
          <w:rFonts w:cs="Arial"/>
          <w:rtl/>
        </w:rPr>
        <w:t>ולפיכך אם הדין כן אפילו בדלא אמדינן ראוי שיפסקו לה בית דין חלקה אחר מיתת האב</w:t>
      </w:r>
      <w:r>
        <w:rPr>
          <w:rFonts w:hint="cs"/>
          <w:rtl/>
        </w:rPr>
        <w:t>.</w:t>
      </w:r>
    </w:p>
    <w:p w14:paraId="5BE6F4E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4EFE57" w14:textId="77777777" w:rsidR="002E5BAD" w:rsidRPr="00847391" w:rsidRDefault="002E5BAD" w:rsidP="002E5BAD">
      <w:pPr>
        <w:rPr>
          <w:rtl/>
        </w:rPr>
      </w:pPr>
      <w:r>
        <w:rPr>
          <w:rFonts w:cs="Arial"/>
          <w:rtl/>
        </w:rPr>
        <w:t xml:space="preserve">הניח בנות רבות, כל שתבא לינשא נותנין לה עישור הנכסים, ושל אחריה עישור מה ששיירה הראשונה, ושל אחריה עישור מה ששיירה שניה. ואם באו כלם לינשא כאחת, ראשונה נוטלת עישור, ושניה עישור מה ששיירה ראשונה, וכן אפילו הן עשר, וחוזרת וחולקות כל העישורים בשוה. </w:t>
      </w:r>
      <w:r w:rsidRPr="00F038E9">
        <w:rPr>
          <w:rFonts w:cs="Arial"/>
          <w:sz w:val="18"/>
          <w:szCs w:val="18"/>
          <w:rtl/>
        </w:rPr>
        <w:t>הגה: אע</w:t>
      </w:r>
      <w:r>
        <w:rPr>
          <w:rFonts w:cs="Arial" w:hint="cs"/>
          <w:sz w:val="18"/>
          <w:szCs w:val="18"/>
          <w:rtl/>
        </w:rPr>
        <w:t>"</w:t>
      </w:r>
      <w:r w:rsidRPr="00F038E9">
        <w:rPr>
          <w:rFonts w:cs="Arial"/>
          <w:sz w:val="18"/>
          <w:szCs w:val="18"/>
          <w:rtl/>
        </w:rPr>
        <w:t>פ שעישור נכסים אינה נגבה עד שתבא הבת להנשא, מכל מקום משערים לפי מה שהניח בעת מותו. וכן אם אומדים אותו, אומדים אותו מיד שמת, ואינה נוטלת עד שתנשא (</w:t>
      </w:r>
      <w:r>
        <w:rPr>
          <w:rFonts w:cs="Arial" w:hint="cs"/>
          <w:sz w:val="18"/>
          <w:szCs w:val="18"/>
          <w:rtl/>
        </w:rPr>
        <w:t>רשב"א</w:t>
      </w:r>
      <w:r w:rsidRPr="00F038E9">
        <w:rPr>
          <w:rFonts w:cs="Arial"/>
          <w:sz w:val="18"/>
          <w:szCs w:val="18"/>
          <w:rtl/>
        </w:rPr>
        <w:t xml:space="preserve">). </w:t>
      </w:r>
    </w:p>
    <w:p w14:paraId="5F802C11" w14:textId="77777777" w:rsidR="002E5BAD" w:rsidRPr="009357EC" w:rsidRDefault="002E5BAD" w:rsidP="002E5BAD">
      <w:pPr>
        <w:rPr>
          <w:rFonts w:cs="Arial"/>
          <w:u w:val="single"/>
          <w:rtl/>
        </w:rPr>
      </w:pPr>
      <w:r w:rsidRPr="009357EC">
        <w:rPr>
          <w:rFonts w:cs="Arial" w:hint="cs"/>
          <w:u w:val="single"/>
          <w:rtl/>
        </w:rPr>
        <w:t>אחים שהרוויחו מ</w:t>
      </w:r>
      <w:r>
        <w:rPr>
          <w:rFonts w:cs="Arial" w:hint="cs"/>
          <w:u w:val="single"/>
          <w:rtl/>
        </w:rPr>
        <w:t>עישור הנכסים</w:t>
      </w:r>
      <w:r w:rsidRPr="009357EC">
        <w:rPr>
          <w:rFonts w:cs="Arial" w:hint="cs"/>
          <w:u w:val="single"/>
          <w:rtl/>
        </w:rPr>
        <w:t xml:space="preserve"> שפסקו בית </w:t>
      </w:r>
      <w:r>
        <w:rPr>
          <w:rFonts w:cs="Arial" w:hint="cs"/>
          <w:u w:val="single"/>
          <w:rtl/>
        </w:rPr>
        <w:t>ה</w:t>
      </w:r>
      <w:r w:rsidRPr="009357EC">
        <w:rPr>
          <w:rFonts w:cs="Arial" w:hint="cs"/>
          <w:u w:val="single"/>
          <w:rtl/>
        </w:rPr>
        <w:t xml:space="preserve">דין לבנות </w:t>
      </w:r>
      <w:r w:rsidRPr="009357EC">
        <w:rPr>
          <w:rFonts w:cs="Arial"/>
          <w:u w:val="single"/>
          <w:rtl/>
        </w:rPr>
        <w:t>–</w:t>
      </w:r>
      <w:r w:rsidRPr="009357EC">
        <w:rPr>
          <w:rFonts w:cs="Arial" w:hint="cs"/>
          <w:u w:val="single"/>
          <w:rtl/>
        </w:rPr>
        <w:t xml:space="preserve"> למי הרווחים:</w:t>
      </w:r>
      <w:r w:rsidRPr="00847391">
        <w:rPr>
          <w:rFonts w:cs="Arial" w:hint="cs"/>
          <w:sz w:val="16"/>
          <w:szCs w:val="16"/>
          <w:rtl/>
        </w:rPr>
        <w:t xml:space="preserve"> </w:t>
      </w:r>
      <w:r>
        <w:rPr>
          <w:rFonts w:cs="Arial" w:hint="cs"/>
          <w:sz w:val="16"/>
          <w:szCs w:val="16"/>
          <w:rtl/>
        </w:rPr>
        <w:t xml:space="preserve"> </w:t>
      </w:r>
      <w:r w:rsidRPr="00847391">
        <w:rPr>
          <w:rFonts w:cs="Arial" w:hint="cs"/>
          <w:sz w:val="16"/>
          <w:szCs w:val="16"/>
          <w:rtl/>
        </w:rPr>
        <w:t xml:space="preserve">(באה"ט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5327678F" w14:textId="77777777" w:rsidR="002E5BAD" w:rsidRDefault="002E5BAD" w:rsidP="00B75458">
      <w:pPr>
        <w:pStyle w:val="ab"/>
        <w:numPr>
          <w:ilvl w:val="0"/>
          <w:numId w:val="195"/>
        </w:numPr>
        <w:rPr>
          <w:rFonts w:cs="Arial"/>
        </w:rPr>
      </w:pPr>
      <w:r w:rsidRPr="00CD6DC5">
        <w:rPr>
          <w:rFonts w:cs="Arial"/>
          <w:rtl/>
        </w:rPr>
        <w:t xml:space="preserve">רש"ך </w:t>
      </w:r>
      <w:r w:rsidRPr="00CD6DC5">
        <w:rPr>
          <w:rFonts w:cs="Arial" w:hint="cs"/>
          <w:sz w:val="16"/>
          <w:szCs w:val="16"/>
          <w:rtl/>
        </w:rPr>
        <w:t>(</w:t>
      </w:r>
      <w:r w:rsidRPr="00CD6DC5">
        <w:rPr>
          <w:rFonts w:cs="Arial"/>
          <w:sz w:val="16"/>
          <w:szCs w:val="16"/>
          <w:rtl/>
        </w:rPr>
        <w:t>ח"א סי' רב</w:t>
      </w:r>
      <w:r w:rsidRPr="00CD6DC5">
        <w:rPr>
          <w:rFonts w:cs="Arial" w:hint="cs"/>
          <w:sz w:val="16"/>
          <w:szCs w:val="16"/>
          <w:rtl/>
        </w:rPr>
        <w:t>)</w:t>
      </w:r>
      <w:r w:rsidRPr="00CD6DC5">
        <w:rPr>
          <w:rFonts w:cs="Arial" w:hint="cs"/>
          <w:rtl/>
        </w:rPr>
        <w:t>-</w:t>
      </w:r>
      <w:r w:rsidRPr="00CD6DC5">
        <w:rPr>
          <w:rFonts w:cs="Arial"/>
          <w:rtl/>
        </w:rPr>
        <w:t xml:space="preserve"> כיון שאין העישור נגבה עד שעת נשואין </w:t>
      </w:r>
      <w:r>
        <w:rPr>
          <w:rFonts w:cs="Arial" w:hint="cs"/>
          <w:rtl/>
        </w:rPr>
        <w:t xml:space="preserve">- </w:t>
      </w:r>
      <w:r w:rsidRPr="00CD6DC5">
        <w:rPr>
          <w:rFonts w:cs="Arial"/>
          <w:rtl/>
        </w:rPr>
        <w:t>הנכסים בחזקת האחים קיימי וכל מה שירויחו עם הנכסים הם שלהם</w:t>
      </w:r>
      <w:r>
        <w:rPr>
          <w:rFonts w:cs="Arial" w:hint="cs"/>
          <w:rtl/>
        </w:rPr>
        <w:t>.</w:t>
      </w:r>
      <w:r w:rsidRPr="00CD6DC5">
        <w:rPr>
          <w:rFonts w:cs="Arial"/>
          <w:rtl/>
        </w:rPr>
        <w:t xml:space="preserve"> אמנם טוב הוא שיחלקו הריוח</w:t>
      </w:r>
      <w:r>
        <w:rPr>
          <w:rFonts w:cs="Arial" w:hint="cs"/>
          <w:rtl/>
        </w:rPr>
        <w:t>,</w:t>
      </w:r>
      <w:r w:rsidRPr="00CD6DC5">
        <w:rPr>
          <w:rFonts w:cs="Arial"/>
          <w:rtl/>
        </w:rPr>
        <w:t xml:space="preserve"> החצי תטול הבת והחצי יטלו כל האחים</w:t>
      </w:r>
      <w:r>
        <w:rPr>
          <w:rStyle w:val="a7"/>
          <w:rFonts w:cs="Arial"/>
          <w:rtl/>
        </w:rPr>
        <w:footnoteReference w:id="3018"/>
      </w:r>
      <w:r w:rsidRPr="00CD6DC5">
        <w:rPr>
          <w:rFonts w:cs="Arial"/>
          <w:rtl/>
        </w:rPr>
        <w:t xml:space="preserve">. </w:t>
      </w:r>
    </w:p>
    <w:p w14:paraId="29BCBB8E" w14:textId="77777777" w:rsidR="002E5BAD" w:rsidRPr="00847391" w:rsidRDefault="002E5BAD" w:rsidP="002E5BAD">
      <w:pPr>
        <w:rPr>
          <w:u w:val="single"/>
        </w:rPr>
      </w:pPr>
      <w:r w:rsidRPr="00847391">
        <w:rPr>
          <w:rFonts w:hint="cs"/>
          <w:u w:val="single"/>
          <w:rtl/>
        </w:rPr>
        <w:t>בן ש</w:t>
      </w:r>
      <w:r>
        <w:rPr>
          <w:rFonts w:hint="cs"/>
          <w:u w:val="single"/>
          <w:rtl/>
        </w:rPr>
        <w:t>מפסיד</w:t>
      </w:r>
      <w:r w:rsidRPr="00847391">
        <w:rPr>
          <w:rFonts w:hint="cs"/>
          <w:u w:val="single"/>
          <w:rtl/>
        </w:rPr>
        <w:t xml:space="preserve"> </w:t>
      </w:r>
      <w:r>
        <w:rPr>
          <w:rFonts w:hint="cs"/>
          <w:u w:val="single"/>
          <w:rtl/>
        </w:rPr>
        <w:t>מעישור ה</w:t>
      </w:r>
      <w:r w:rsidRPr="00847391">
        <w:rPr>
          <w:rFonts w:hint="cs"/>
          <w:u w:val="single"/>
          <w:rtl/>
        </w:rPr>
        <w:t>נכסים שפסקו בית הדין לבנות</w:t>
      </w:r>
      <w:r>
        <w:rPr>
          <w:rFonts w:hint="cs"/>
          <w:u w:val="single"/>
          <w:rtl/>
        </w:rPr>
        <w:t xml:space="preserve"> </w:t>
      </w:r>
      <w:r>
        <w:rPr>
          <w:u w:val="single"/>
          <w:rtl/>
        </w:rPr>
        <w:t>–</w:t>
      </w:r>
      <w:r>
        <w:rPr>
          <w:rFonts w:hint="cs"/>
          <w:u w:val="single"/>
          <w:rtl/>
        </w:rPr>
        <w:t xml:space="preserve"> האם מוציאים ממנו</w:t>
      </w:r>
      <w:r w:rsidRPr="00847391">
        <w:rPr>
          <w:rFonts w:hint="cs"/>
          <w:u w:val="single"/>
          <w:rtl/>
        </w:rPr>
        <w:t>:</w:t>
      </w:r>
      <w:r w:rsidRPr="00847391">
        <w:rPr>
          <w:rFonts w:cs="Arial" w:hint="cs"/>
          <w:sz w:val="16"/>
          <w:szCs w:val="16"/>
          <w:rtl/>
        </w:rPr>
        <w:t xml:space="preserve"> (באה"ט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487411EC" w14:textId="77777777" w:rsidR="002E5BAD" w:rsidRPr="0012512E" w:rsidRDefault="002E5BAD" w:rsidP="00B75458">
      <w:pPr>
        <w:pStyle w:val="ab"/>
        <w:numPr>
          <w:ilvl w:val="0"/>
          <w:numId w:val="195"/>
        </w:numPr>
      </w:pPr>
      <w:r w:rsidRPr="00CD6DC5">
        <w:rPr>
          <w:rFonts w:cs="Arial"/>
          <w:rtl/>
        </w:rPr>
        <w:t>כנה"ג</w:t>
      </w:r>
      <w:r>
        <w:rPr>
          <w:rFonts w:cs="Arial" w:hint="cs"/>
          <w:rtl/>
        </w:rPr>
        <w:t xml:space="preserve"> </w:t>
      </w:r>
      <w:r w:rsidRPr="0012512E">
        <w:rPr>
          <w:rFonts w:cs="Arial" w:hint="cs"/>
          <w:sz w:val="16"/>
          <w:szCs w:val="16"/>
          <w:rtl/>
        </w:rPr>
        <w:t>(הגב"י סע' ו)</w:t>
      </w:r>
      <w:r w:rsidRPr="0012512E">
        <w:rPr>
          <w:rFonts w:cs="Arial"/>
          <w:sz w:val="16"/>
          <w:szCs w:val="16"/>
          <w:rtl/>
        </w:rPr>
        <w:t xml:space="preserve"> </w:t>
      </w:r>
      <w:r w:rsidRPr="00CD6DC5">
        <w:rPr>
          <w:rFonts w:cs="Arial"/>
          <w:rtl/>
        </w:rPr>
        <w:t>בש</w:t>
      </w:r>
      <w:r>
        <w:rPr>
          <w:rFonts w:cs="Arial" w:hint="cs"/>
          <w:rtl/>
        </w:rPr>
        <w:t>ם</w:t>
      </w:r>
      <w:r w:rsidRPr="00CD6DC5">
        <w:rPr>
          <w:rFonts w:cs="Arial"/>
          <w:rtl/>
        </w:rPr>
        <w:t xml:space="preserve"> הרדב"ז </w:t>
      </w:r>
      <w:r w:rsidRPr="0012512E">
        <w:rPr>
          <w:rFonts w:cs="Arial" w:hint="cs"/>
          <w:sz w:val="16"/>
          <w:szCs w:val="16"/>
          <w:rtl/>
        </w:rPr>
        <w:t>(ח"א סי' תל)</w:t>
      </w:r>
      <w:r>
        <w:rPr>
          <w:rFonts w:cs="Arial" w:hint="cs"/>
          <w:rtl/>
        </w:rPr>
        <w:t xml:space="preserve">- </w:t>
      </w:r>
      <w:r w:rsidRPr="00CD6DC5">
        <w:rPr>
          <w:rFonts w:cs="Arial"/>
          <w:rtl/>
        </w:rPr>
        <w:t>כיון דעישור נכסי אינו נגבה עד שעת נשואין אפי' שהבן מפסיד הנכסים</w:t>
      </w:r>
      <w:r>
        <w:rPr>
          <w:rFonts w:cs="Arial" w:hint="cs"/>
          <w:rtl/>
        </w:rPr>
        <w:t>,</w:t>
      </w:r>
      <w:r w:rsidRPr="00CD6DC5">
        <w:rPr>
          <w:rFonts w:cs="Arial"/>
          <w:rtl/>
        </w:rPr>
        <w:t xml:space="preserve"> </w:t>
      </w:r>
      <w:r>
        <w:rPr>
          <w:rFonts w:cs="Arial" w:hint="cs"/>
          <w:rtl/>
        </w:rPr>
        <w:t>ו</w:t>
      </w:r>
      <w:r w:rsidRPr="00CD6DC5">
        <w:rPr>
          <w:rFonts w:cs="Arial"/>
          <w:rtl/>
        </w:rPr>
        <w:t>אפי' הנכסים ביד שליש</w:t>
      </w:r>
      <w:r>
        <w:rPr>
          <w:rFonts w:cs="Arial" w:hint="cs"/>
          <w:rtl/>
        </w:rPr>
        <w:t xml:space="preserve"> -</w:t>
      </w:r>
      <w:r w:rsidRPr="00CD6DC5">
        <w:rPr>
          <w:rFonts w:cs="Arial"/>
          <w:rtl/>
        </w:rPr>
        <w:t xml:space="preserve"> ינתנו ביד הבן</w:t>
      </w:r>
      <w:r>
        <w:rPr>
          <w:rStyle w:val="a7"/>
          <w:rFonts w:cs="Arial"/>
          <w:rtl/>
        </w:rPr>
        <w:footnoteReference w:id="3019"/>
      </w:r>
      <w:r>
        <w:rPr>
          <w:rFonts w:cs="Arial" w:hint="cs"/>
          <w:rtl/>
        </w:rPr>
        <w:t>.</w:t>
      </w:r>
      <w:r w:rsidRPr="00CD6DC5">
        <w:rPr>
          <w:rFonts w:cs="Arial"/>
          <w:rtl/>
        </w:rPr>
        <w:t xml:space="preserve"> </w:t>
      </w:r>
    </w:p>
    <w:p w14:paraId="27E074AF" w14:textId="77777777" w:rsidR="002E5BAD" w:rsidRPr="009357EC" w:rsidRDefault="002E5BAD" w:rsidP="00B75458">
      <w:pPr>
        <w:pStyle w:val="ab"/>
        <w:numPr>
          <w:ilvl w:val="0"/>
          <w:numId w:val="195"/>
        </w:numPr>
        <w:rPr>
          <w:rFonts w:cs="Arial"/>
          <w:rtl/>
        </w:rPr>
      </w:pPr>
      <w:r>
        <w:rPr>
          <w:rFonts w:cs="Arial" w:hint="cs"/>
          <w:rtl/>
        </w:rPr>
        <w:t xml:space="preserve">ישועות יעקב </w:t>
      </w:r>
      <w:r w:rsidRPr="009357EC">
        <w:rPr>
          <w:rFonts w:cs="Arial" w:hint="cs"/>
          <w:sz w:val="16"/>
          <w:szCs w:val="16"/>
          <w:rtl/>
        </w:rPr>
        <w:t>(סק"ה)</w:t>
      </w:r>
      <w:r>
        <w:rPr>
          <w:rFonts w:cs="Arial" w:hint="cs"/>
          <w:rtl/>
        </w:rPr>
        <w:t xml:space="preserve">- </w:t>
      </w:r>
      <w:r w:rsidRPr="0012512E">
        <w:rPr>
          <w:rFonts w:cs="Arial"/>
          <w:rtl/>
        </w:rPr>
        <w:t xml:space="preserve">הדין בזה כמו בבע"ח קודם זמנו אם מתמוטט או מבזבז נכסיו </w:t>
      </w:r>
      <w:r w:rsidRPr="009357EC">
        <w:rPr>
          <w:rFonts w:cs="Arial"/>
          <w:sz w:val="16"/>
          <w:szCs w:val="16"/>
          <w:rtl/>
        </w:rPr>
        <w:t>(שנתבאר בח</w:t>
      </w:r>
      <w:r>
        <w:rPr>
          <w:rFonts w:cs="Arial" w:hint="cs"/>
          <w:sz w:val="16"/>
          <w:szCs w:val="16"/>
          <w:rtl/>
        </w:rPr>
        <w:t>ו</w:t>
      </w:r>
      <w:r w:rsidRPr="009357EC">
        <w:rPr>
          <w:rFonts w:cs="Arial"/>
          <w:sz w:val="16"/>
          <w:szCs w:val="16"/>
          <w:rtl/>
        </w:rPr>
        <w:t>"מ סי' עג ס"י)</w:t>
      </w:r>
      <w:r>
        <w:rPr>
          <w:rFonts w:cs="Arial" w:hint="cs"/>
          <w:rtl/>
        </w:rPr>
        <w:t>.</w:t>
      </w:r>
    </w:p>
    <w:p w14:paraId="68E93144" w14:textId="77777777" w:rsidR="002E5BAD" w:rsidRPr="00847391" w:rsidRDefault="002E5BAD" w:rsidP="002E5BAD">
      <w:pPr>
        <w:rPr>
          <w:u w:val="single"/>
        </w:rPr>
      </w:pPr>
      <w:r w:rsidRPr="00847391">
        <w:rPr>
          <w:rFonts w:hint="cs"/>
          <w:u w:val="single"/>
          <w:rtl/>
        </w:rPr>
        <w:t xml:space="preserve">אחים שרוצים ללכת לעיר אחרת </w:t>
      </w:r>
      <w:r w:rsidRPr="00847391">
        <w:rPr>
          <w:u w:val="single"/>
          <w:rtl/>
        </w:rPr>
        <w:t>–</w:t>
      </w:r>
      <w:r w:rsidRPr="00847391">
        <w:rPr>
          <w:rFonts w:hint="cs"/>
          <w:u w:val="single"/>
          <w:rtl/>
        </w:rPr>
        <w:t xml:space="preserve"> האם צריכים להניח את העישור בעיר הבנות לפני כן:</w:t>
      </w:r>
      <w:r w:rsidRPr="00847391">
        <w:rPr>
          <w:rFonts w:cs="Arial" w:hint="cs"/>
          <w:sz w:val="16"/>
          <w:szCs w:val="16"/>
          <w:rtl/>
        </w:rPr>
        <w:t xml:space="preserve"> (באה"ט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5513F9C9" w14:textId="77777777" w:rsidR="002E5BAD" w:rsidRPr="0012512E" w:rsidRDefault="002E5BAD" w:rsidP="00B75458">
      <w:pPr>
        <w:pStyle w:val="ab"/>
        <w:numPr>
          <w:ilvl w:val="0"/>
          <w:numId w:val="195"/>
        </w:numPr>
      </w:pPr>
      <w:r w:rsidRPr="00CD6DC5">
        <w:rPr>
          <w:rFonts w:cs="Arial"/>
          <w:rtl/>
        </w:rPr>
        <w:t xml:space="preserve">רשד"ם </w:t>
      </w:r>
      <w:r w:rsidRPr="0012512E">
        <w:rPr>
          <w:rFonts w:cs="Arial" w:hint="cs"/>
          <w:sz w:val="16"/>
          <w:szCs w:val="16"/>
          <w:rtl/>
        </w:rPr>
        <w:t>(</w:t>
      </w:r>
      <w:r w:rsidRPr="0012512E">
        <w:rPr>
          <w:rFonts w:cs="Arial"/>
          <w:sz w:val="16"/>
          <w:szCs w:val="16"/>
          <w:rtl/>
        </w:rPr>
        <w:t>א</w:t>
      </w:r>
      <w:r w:rsidRPr="0012512E">
        <w:rPr>
          <w:rFonts w:cs="Arial" w:hint="cs"/>
          <w:sz w:val="16"/>
          <w:szCs w:val="16"/>
          <w:rtl/>
        </w:rPr>
        <w:t>ב</w:t>
      </w:r>
      <w:r w:rsidRPr="0012512E">
        <w:rPr>
          <w:rFonts w:cs="Arial"/>
          <w:sz w:val="16"/>
          <w:szCs w:val="16"/>
          <w:rtl/>
        </w:rPr>
        <w:t>ה</w:t>
      </w:r>
      <w:r w:rsidRPr="0012512E">
        <w:rPr>
          <w:rFonts w:cs="Arial" w:hint="cs"/>
          <w:sz w:val="16"/>
          <w:szCs w:val="16"/>
          <w:rtl/>
        </w:rPr>
        <w:t>"ע</w:t>
      </w:r>
      <w:r w:rsidRPr="0012512E">
        <w:rPr>
          <w:rFonts w:cs="Arial"/>
          <w:sz w:val="16"/>
          <w:szCs w:val="16"/>
          <w:rtl/>
        </w:rPr>
        <w:t xml:space="preserve"> סי' קפא</w:t>
      </w:r>
      <w:r w:rsidRPr="0012512E">
        <w:rPr>
          <w:rFonts w:cs="Arial" w:hint="cs"/>
          <w:sz w:val="16"/>
          <w:szCs w:val="16"/>
          <w:rtl/>
        </w:rPr>
        <w:t>)</w:t>
      </w:r>
      <w:r>
        <w:rPr>
          <w:rFonts w:cs="Arial" w:hint="cs"/>
          <w:rtl/>
        </w:rPr>
        <w:t xml:space="preserve">- </w:t>
      </w:r>
      <w:r w:rsidRPr="00CD6DC5">
        <w:rPr>
          <w:rFonts w:cs="Arial"/>
          <w:rtl/>
        </w:rPr>
        <w:t>אם האחים רוצים ללכת לעיר אחרת מחייבין אותם הב"ד להניח העישור בב"ד</w:t>
      </w:r>
      <w:r>
        <w:rPr>
          <w:rFonts w:cs="Arial" w:hint="cs"/>
          <w:rtl/>
        </w:rPr>
        <w:t>.</w:t>
      </w:r>
      <w:r w:rsidRPr="00CD6DC5">
        <w:rPr>
          <w:rFonts w:cs="Arial"/>
          <w:rtl/>
        </w:rPr>
        <w:t xml:space="preserve"> </w:t>
      </w:r>
    </w:p>
    <w:p w14:paraId="7A626610" w14:textId="77777777" w:rsidR="002E5BAD" w:rsidRDefault="002E5BAD" w:rsidP="00B75458">
      <w:pPr>
        <w:pStyle w:val="ab"/>
        <w:numPr>
          <w:ilvl w:val="0"/>
          <w:numId w:val="195"/>
        </w:numPr>
      </w:pPr>
      <w:r w:rsidRPr="00CD6DC5">
        <w:rPr>
          <w:rFonts w:cs="Arial"/>
          <w:rtl/>
        </w:rPr>
        <w:t>דב</w:t>
      </w:r>
      <w:r>
        <w:rPr>
          <w:rFonts w:cs="Arial" w:hint="cs"/>
          <w:rtl/>
        </w:rPr>
        <w:t>ר</w:t>
      </w:r>
      <w:r w:rsidRPr="00CD6DC5">
        <w:rPr>
          <w:rFonts w:cs="Arial"/>
          <w:rtl/>
        </w:rPr>
        <w:t>י</w:t>
      </w:r>
      <w:r>
        <w:rPr>
          <w:rFonts w:cs="Arial" w:hint="cs"/>
          <w:rtl/>
        </w:rPr>
        <w:t xml:space="preserve"> ריבות</w:t>
      </w:r>
      <w:r w:rsidRPr="00CD6DC5">
        <w:rPr>
          <w:rFonts w:cs="Arial"/>
          <w:rtl/>
        </w:rPr>
        <w:t xml:space="preserve"> </w:t>
      </w:r>
      <w:r w:rsidRPr="0012512E">
        <w:rPr>
          <w:rFonts w:cs="Arial" w:hint="cs"/>
          <w:sz w:val="16"/>
          <w:szCs w:val="16"/>
          <w:rtl/>
        </w:rPr>
        <w:t>(</w:t>
      </w:r>
      <w:r w:rsidRPr="0012512E">
        <w:rPr>
          <w:rFonts w:cs="Arial"/>
          <w:sz w:val="16"/>
          <w:szCs w:val="16"/>
          <w:rtl/>
        </w:rPr>
        <w:t xml:space="preserve">סי' </w:t>
      </w:r>
      <w:r w:rsidRPr="0012512E">
        <w:rPr>
          <w:rFonts w:cs="Arial" w:hint="cs"/>
          <w:sz w:val="16"/>
          <w:szCs w:val="16"/>
          <w:rtl/>
        </w:rPr>
        <w:t>ת)</w:t>
      </w:r>
      <w:r>
        <w:rPr>
          <w:rFonts w:cs="Arial" w:hint="cs"/>
          <w:rtl/>
        </w:rPr>
        <w:t>-</w:t>
      </w:r>
      <w:r w:rsidRPr="00CD6DC5">
        <w:rPr>
          <w:rFonts w:cs="Arial"/>
          <w:rtl/>
        </w:rPr>
        <w:t xml:space="preserve"> אין מחייבין אותו להניח העישור בב"ד אלא בשעת נשואין</w:t>
      </w:r>
      <w:r>
        <w:rPr>
          <w:rStyle w:val="a7"/>
          <w:rFonts w:cs="Arial"/>
          <w:rtl/>
        </w:rPr>
        <w:footnoteReference w:id="3020"/>
      </w:r>
      <w:r>
        <w:rPr>
          <w:rFonts w:cs="Arial" w:hint="cs"/>
          <w:rtl/>
        </w:rPr>
        <w:t>.</w:t>
      </w:r>
    </w:p>
    <w:p w14:paraId="2BF2700C" w14:textId="77777777" w:rsidR="002E5BAD" w:rsidRPr="009357EC" w:rsidRDefault="002E5BAD" w:rsidP="00B75458">
      <w:pPr>
        <w:pStyle w:val="ab"/>
        <w:numPr>
          <w:ilvl w:val="0"/>
          <w:numId w:val="195"/>
        </w:numPr>
        <w:rPr>
          <w:rFonts w:cs="Arial"/>
          <w:rtl/>
        </w:rPr>
      </w:pPr>
      <w:r>
        <w:rPr>
          <w:rFonts w:cs="Arial" w:hint="cs"/>
          <w:rtl/>
        </w:rPr>
        <w:t xml:space="preserve">ישועות יעקב </w:t>
      </w:r>
      <w:r w:rsidRPr="009357EC">
        <w:rPr>
          <w:rFonts w:cs="Arial" w:hint="cs"/>
          <w:sz w:val="16"/>
          <w:szCs w:val="16"/>
          <w:rtl/>
        </w:rPr>
        <w:t>(סק"ה)</w:t>
      </w:r>
      <w:r>
        <w:rPr>
          <w:rFonts w:cs="Arial" w:hint="cs"/>
          <w:rtl/>
        </w:rPr>
        <w:t xml:space="preserve">- </w:t>
      </w:r>
      <w:r w:rsidRPr="0012512E">
        <w:rPr>
          <w:rFonts w:cs="Arial"/>
          <w:rtl/>
        </w:rPr>
        <w:t xml:space="preserve">הדין בזה כמו בבע"ח קודם זמנו אם מתמוטט או מבזבז נכסיו </w:t>
      </w:r>
      <w:r w:rsidRPr="009357EC">
        <w:rPr>
          <w:rFonts w:cs="Arial"/>
          <w:sz w:val="16"/>
          <w:szCs w:val="16"/>
          <w:rtl/>
        </w:rPr>
        <w:t>(שנתבאר בח</w:t>
      </w:r>
      <w:r>
        <w:rPr>
          <w:rFonts w:cs="Arial" w:hint="cs"/>
          <w:sz w:val="16"/>
          <w:szCs w:val="16"/>
          <w:rtl/>
        </w:rPr>
        <w:t>ו</w:t>
      </w:r>
      <w:r w:rsidRPr="009357EC">
        <w:rPr>
          <w:rFonts w:cs="Arial"/>
          <w:sz w:val="16"/>
          <w:szCs w:val="16"/>
          <w:rtl/>
        </w:rPr>
        <w:t>"מ סי' עג ס"י)</w:t>
      </w:r>
      <w:r>
        <w:rPr>
          <w:rFonts w:cs="Arial" w:hint="cs"/>
          <w:rtl/>
        </w:rPr>
        <w:t>.</w:t>
      </w:r>
    </w:p>
    <w:p w14:paraId="0EC13622" w14:textId="77777777" w:rsidR="002E5BAD" w:rsidRDefault="002E5BAD" w:rsidP="002E5BAD">
      <w:pPr>
        <w:rPr>
          <w:rtl/>
        </w:rPr>
      </w:pPr>
    </w:p>
    <w:p w14:paraId="25466B8D" w14:textId="77777777" w:rsidR="002E5BAD" w:rsidRDefault="002E5BAD" w:rsidP="002E5BAD">
      <w:pPr>
        <w:pStyle w:val="2"/>
        <w:rPr>
          <w:rtl/>
        </w:rPr>
      </w:pPr>
      <w:r>
        <w:rPr>
          <w:rtl/>
        </w:rPr>
        <w:t>סעיף ה</w:t>
      </w:r>
      <w:r>
        <w:rPr>
          <w:rFonts w:hint="cs"/>
          <w:rtl/>
        </w:rPr>
        <w:t>: טריפת פרנסת הבת מלקוחות.</w:t>
      </w:r>
    </w:p>
    <w:p w14:paraId="1998D8B7" w14:textId="77777777" w:rsidR="002E5BAD" w:rsidRDefault="002E5BAD" w:rsidP="002E5BAD">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925437">
        <w:rPr>
          <w:rFonts w:cs="Arial"/>
          <w:u w:val="single"/>
          <w:rtl/>
        </w:rPr>
        <w:t>תלה ליה רב לרבי ביני חטי</w:t>
      </w:r>
      <w:r w:rsidRPr="00925437">
        <w:rPr>
          <w:rStyle w:val="a7"/>
          <w:rFonts w:cs="Arial"/>
          <w:u w:val="single"/>
          <w:rtl/>
        </w:rPr>
        <w:footnoteReference w:id="3021"/>
      </w:r>
      <w:r w:rsidRPr="00B6418B">
        <w:rPr>
          <w:rFonts w:cs="Arial"/>
          <w:rtl/>
        </w:rPr>
        <w:t xml:space="preserve">: האחין ששיעבדו, מהו? </w:t>
      </w:r>
      <w:r w:rsidRPr="00925437">
        <w:rPr>
          <w:rFonts w:cs="Arial"/>
          <w:u w:val="single"/>
          <w:rtl/>
        </w:rPr>
        <w:t>הוה יתיב ר' חייא קמיה</w:t>
      </w:r>
      <w:r w:rsidRPr="00925437">
        <w:rPr>
          <w:rStyle w:val="a7"/>
          <w:rFonts w:cs="Arial"/>
          <w:u w:val="single"/>
          <w:rtl/>
        </w:rPr>
        <w:footnoteReference w:id="3022"/>
      </w:r>
      <w:r w:rsidRPr="00925437">
        <w:rPr>
          <w:rFonts w:cs="Arial"/>
          <w:u w:val="single"/>
          <w:rtl/>
        </w:rPr>
        <w:t>, אמר ליה</w:t>
      </w:r>
      <w:r w:rsidRPr="00B6418B">
        <w:rPr>
          <w:rFonts w:cs="Arial"/>
          <w:rtl/>
        </w:rPr>
        <w:t xml:space="preserve">: מכרו או משכנו? </w:t>
      </w:r>
      <w:r w:rsidRPr="00925437">
        <w:rPr>
          <w:rFonts w:cs="Arial"/>
          <w:u w:val="single"/>
          <w:rtl/>
        </w:rPr>
        <w:t>אמר ליה</w:t>
      </w:r>
      <w:r w:rsidRPr="00B6418B">
        <w:rPr>
          <w:rFonts w:cs="Arial"/>
          <w:rtl/>
        </w:rPr>
        <w:t>: מאי נפקא מינה? בין מכרו בין שמשכנו, מוציאין לפרנסה ואין מוציאין למזונות.</w:t>
      </w:r>
      <w:r>
        <w:rPr>
          <w:rFonts w:cs="Arial" w:hint="cs"/>
          <w:rtl/>
        </w:rPr>
        <w:t>.</w:t>
      </w:r>
      <w:r w:rsidRPr="00B6418B">
        <w:rPr>
          <w:rFonts w:cs="Arial"/>
          <w:rtl/>
        </w:rPr>
        <w:t>.</w:t>
      </w:r>
      <w:r w:rsidRPr="00925437">
        <w:rPr>
          <w:rFonts w:cs="Arial"/>
          <w:sz w:val="16"/>
          <w:szCs w:val="16"/>
          <w:rtl/>
        </w:rPr>
        <w:t xml:space="preserve"> </w:t>
      </w:r>
      <w:r>
        <w:rPr>
          <w:rFonts w:cs="Arial" w:hint="cs"/>
          <w:sz w:val="16"/>
          <w:szCs w:val="16"/>
          <w:rtl/>
        </w:rPr>
        <w:t>(</w:t>
      </w:r>
      <w:r w:rsidRPr="00925437">
        <w:rPr>
          <w:rFonts w:cs="Arial"/>
          <w:sz w:val="16"/>
          <w:szCs w:val="16"/>
          <w:rtl/>
        </w:rPr>
        <w:t>ואע</w:t>
      </w:r>
      <w:r>
        <w:rPr>
          <w:rFonts w:cs="Arial" w:hint="cs"/>
          <w:sz w:val="16"/>
          <w:szCs w:val="16"/>
          <w:rtl/>
        </w:rPr>
        <w:t>"</w:t>
      </w:r>
      <w:r w:rsidRPr="00925437">
        <w:rPr>
          <w:rFonts w:cs="Arial"/>
          <w:sz w:val="16"/>
          <w:szCs w:val="16"/>
          <w:rtl/>
        </w:rPr>
        <w:t>ג דרבי יוחנן פליג התם פסקו הפוסקים כר</w:t>
      </w:r>
      <w:r>
        <w:rPr>
          <w:rFonts w:cs="Arial" w:hint="cs"/>
          <w:sz w:val="16"/>
          <w:szCs w:val="16"/>
          <w:rtl/>
        </w:rPr>
        <w:t>בי, ב"י)</w:t>
      </w:r>
    </w:p>
    <w:p w14:paraId="17BEABD1" w14:textId="77777777" w:rsidR="002E5BAD" w:rsidRPr="009D5BAF" w:rsidRDefault="002E5BAD" w:rsidP="002E5BAD">
      <w:pPr>
        <w:rPr>
          <w:u w:val="single"/>
          <w:rtl/>
        </w:rPr>
      </w:pPr>
      <w:r w:rsidRPr="009D5BAF">
        <w:rPr>
          <w:rFonts w:hint="cs"/>
          <w:u w:val="single"/>
          <w:rtl/>
        </w:rPr>
        <w:t>טריפת פרנסת הבת מלקוחות:</w:t>
      </w:r>
    </w:p>
    <w:p w14:paraId="08D22168" w14:textId="77777777" w:rsidR="002E5BAD" w:rsidRPr="00B710BB" w:rsidRDefault="002E5BAD" w:rsidP="00B75458">
      <w:pPr>
        <w:pStyle w:val="ab"/>
        <w:numPr>
          <w:ilvl w:val="0"/>
          <w:numId w:val="195"/>
        </w:numPr>
      </w:pPr>
      <w:r>
        <w:rPr>
          <w:rFonts w:cs="Arial" w:hint="cs"/>
          <w:rtl/>
        </w:rPr>
        <w:t xml:space="preserve">טור- </w:t>
      </w:r>
      <w:r w:rsidRPr="00E04543">
        <w:rPr>
          <w:rFonts w:cs="Arial"/>
          <w:rtl/>
        </w:rPr>
        <w:t>מכרו האחין או משכנו אחר מיתת אביהן</w:t>
      </w:r>
      <w:r>
        <w:rPr>
          <w:rFonts w:cs="Arial" w:hint="cs"/>
          <w:rtl/>
        </w:rPr>
        <w:t xml:space="preserve"> -</w:t>
      </w:r>
      <w:r w:rsidRPr="00E04543">
        <w:rPr>
          <w:rFonts w:cs="Arial"/>
          <w:rtl/>
        </w:rPr>
        <w:t xml:space="preserve"> טורפת מהלקוחות</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00585A44" w14:textId="77777777" w:rsidR="002E5BAD" w:rsidRPr="00B710BB" w:rsidRDefault="002E5BAD" w:rsidP="002E5BAD">
      <w:pPr>
        <w:ind w:left="360"/>
        <w:rPr>
          <w:u w:val="dotted"/>
        </w:rPr>
      </w:pPr>
      <w:r w:rsidRPr="00B710BB">
        <w:rPr>
          <w:rFonts w:hint="cs"/>
          <w:u w:val="dotted"/>
          <w:rtl/>
        </w:rPr>
        <w:t>האם צריכות להישבע:</w:t>
      </w:r>
    </w:p>
    <w:p w14:paraId="588BA11E" w14:textId="77777777" w:rsidR="002E5BAD" w:rsidRPr="00F038E9" w:rsidRDefault="002E5BAD" w:rsidP="00B75458">
      <w:pPr>
        <w:pStyle w:val="ab"/>
        <w:numPr>
          <w:ilvl w:val="0"/>
          <w:numId w:val="195"/>
        </w:numPr>
        <w:rPr>
          <w:rtl/>
        </w:rPr>
      </w:pPr>
      <w:r>
        <w:rPr>
          <w:rFonts w:cs="Arial" w:hint="cs"/>
          <w:rtl/>
        </w:rPr>
        <w:t xml:space="preserve">הה"מ </w:t>
      </w:r>
      <w:r w:rsidRPr="00B710BB">
        <w:rPr>
          <w:rFonts w:cs="Arial" w:hint="cs"/>
          <w:sz w:val="16"/>
          <w:szCs w:val="16"/>
          <w:rtl/>
        </w:rPr>
        <w:t>(</w:t>
      </w:r>
      <w:r w:rsidRPr="00B710BB">
        <w:rPr>
          <w:rFonts w:cs="Arial"/>
          <w:sz w:val="16"/>
          <w:szCs w:val="16"/>
          <w:rtl/>
        </w:rPr>
        <w:t>פ"</w:t>
      </w:r>
      <w:r w:rsidRPr="00B710BB">
        <w:rPr>
          <w:rFonts w:cs="Arial" w:hint="cs"/>
          <w:sz w:val="16"/>
          <w:szCs w:val="16"/>
          <w:rtl/>
        </w:rPr>
        <w:t>כ ה"ז)</w:t>
      </w:r>
      <w:r w:rsidRPr="00B710BB">
        <w:rPr>
          <w:rFonts w:cs="Arial"/>
          <w:sz w:val="16"/>
          <w:szCs w:val="16"/>
          <w:rtl/>
        </w:rPr>
        <w:t xml:space="preserve"> </w:t>
      </w:r>
      <w:r w:rsidRPr="00B710BB">
        <w:rPr>
          <w:rFonts w:cs="Arial"/>
          <w:rtl/>
        </w:rPr>
        <w:t xml:space="preserve">בשם הרשב"א </w:t>
      </w:r>
      <w:r w:rsidRPr="00B710BB">
        <w:rPr>
          <w:rFonts w:cs="Arial"/>
          <w:sz w:val="16"/>
          <w:szCs w:val="16"/>
          <w:rtl/>
        </w:rPr>
        <w:t>(סט. ד"ה ומבריה)</w:t>
      </w:r>
      <w:r>
        <w:rPr>
          <w:rFonts w:cs="Arial" w:hint="cs"/>
          <w:rtl/>
        </w:rPr>
        <w:t>-</w:t>
      </w:r>
      <w:r w:rsidRPr="00B710BB">
        <w:rPr>
          <w:rFonts w:cs="Arial"/>
          <w:rtl/>
        </w:rPr>
        <w:t xml:space="preserve"> כמו שאינן מוציאות מן היתומים אלא בשבועה כך אין מוציאות מן המשועבדין אלא בשבועה כשאר ב"ח הבאים לטרוף ממשעבדי</w:t>
      </w:r>
      <w:r w:rsidRPr="00B710BB">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7FB0E18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C7DF6A" w14:textId="77777777" w:rsidR="002E5BAD" w:rsidRDefault="002E5BAD" w:rsidP="002E5BAD">
      <w:pPr>
        <w:rPr>
          <w:rtl/>
        </w:rPr>
      </w:pPr>
      <w:r>
        <w:rPr>
          <w:rFonts w:cs="Arial"/>
          <w:rtl/>
        </w:rPr>
        <w:lastRenderedPageBreak/>
        <w:t>האחים</w:t>
      </w:r>
      <w:r>
        <w:rPr>
          <w:rStyle w:val="a7"/>
          <w:rFonts w:cs="Arial"/>
          <w:rtl/>
        </w:rPr>
        <w:footnoteReference w:id="3023"/>
      </w:r>
      <w:r>
        <w:rPr>
          <w:rFonts w:cs="Arial"/>
          <w:rtl/>
        </w:rPr>
        <w:t xml:space="preserve"> שמכרו או משכנו קרקע אביהם, הבת טורפת מהלקוחות פרנסת נדוניתה, ובשבועה, כדרך שטורפין בעלי חובות מהלקוחות. </w:t>
      </w:r>
    </w:p>
    <w:p w14:paraId="71D2BF58" w14:textId="77777777" w:rsidR="002E5BAD" w:rsidRDefault="002E5BAD" w:rsidP="002E5BAD">
      <w:pPr>
        <w:rPr>
          <w:rFonts w:cs="Arial"/>
          <w:rtl/>
        </w:rPr>
      </w:pPr>
      <w:r w:rsidRPr="00282295">
        <w:rPr>
          <w:rFonts w:cs="Arial" w:hint="cs"/>
          <w:u w:val="single"/>
          <w:rtl/>
        </w:rPr>
        <w:t>אחים שמכרו את הנכסים של פרנסת הבת באופן שאי אפשר לטרוף מהלקוחות:</w:t>
      </w:r>
      <w:r>
        <w:rPr>
          <w:rFonts w:cs="Arial" w:hint="cs"/>
          <w:rtl/>
        </w:rPr>
        <w:t xml:space="preserve"> </w:t>
      </w:r>
      <w:r w:rsidRPr="00282295">
        <w:rPr>
          <w:rFonts w:cs="Arial" w:hint="cs"/>
          <w:sz w:val="16"/>
          <w:szCs w:val="16"/>
          <w:rtl/>
        </w:rPr>
        <w:t xml:space="preserve"> (פת"ש סק</w:t>
      </w:r>
      <w:r w:rsidRPr="00282295">
        <w:rPr>
          <w:rFonts w:cs="Arial"/>
          <w:sz w:val="16"/>
          <w:szCs w:val="16"/>
          <w:rtl/>
        </w:rPr>
        <w:t>י</w:t>
      </w:r>
      <w:r w:rsidRPr="00282295">
        <w:rPr>
          <w:rFonts w:cs="Arial" w:hint="cs"/>
          <w:sz w:val="16"/>
          <w:szCs w:val="16"/>
          <w:rtl/>
        </w:rPr>
        <w:t>"</w:t>
      </w:r>
      <w:r w:rsidRPr="00282295">
        <w:rPr>
          <w:rFonts w:cs="Arial"/>
          <w:sz w:val="16"/>
          <w:szCs w:val="16"/>
          <w:rtl/>
        </w:rPr>
        <w:t>א)</w:t>
      </w:r>
      <w:r w:rsidRPr="00B710BB">
        <w:rPr>
          <w:rFonts w:cs="Arial"/>
          <w:rtl/>
        </w:rPr>
        <w:t xml:space="preserve"> </w:t>
      </w:r>
    </w:p>
    <w:p w14:paraId="3D038B01" w14:textId="77777777" w:rsidR="002E5BAD" w:rsidRDefault="002E5BAD" w:rsidP="00B75458">
      <w:pPr>
        <w:pStyle w:val="ab"/>
        <w:numPr>
          <w:ilvl w:val="0"/>
          <w:numId w:val="195"/>
        </w:numPr>
        <w:rPr>
          <w:rtl/>
        </w:rPr>
      </w:pPr>
      <w:r w:rsidRPr="00282295">
        <w:rPr>
          <w:rFonts w:cs="Arial"/>
          <w:rtl/>
        </w:rPr>
        <w:t>ישועות יעקב</w:t>
      </w:r>
      <w:r>
        <w:rPr>
          <w:rFonts w:cs="Arial" w:hint="cs"/>
          <w:sz w:val="16"/>
          <w:szCs w:val="16"/>
          <w:rtl/>
        </w:rPr>
        <w:t xml:space="preserve"> (סק"ו)</w:t>
      </w:r>
      <w:r w:rsidRPr="00282295">
        <w:rPr>
          <w:rFonts w:cs="Arial" w:hint="cs"/>
          <w:rtl/>
        </w:rPr>
        <w:t xml:space="preserve">- </w:t>
      </w:r>
      <w:r w:rsidRPr="00282295">
        <w:rPr>
          <w:rFonts w:cs="Arial"/>
          <w:rtl/>
        </w:rPr>
        <w:t xml:space="preserve">אם מכרו הנכסים באופן שא"א לגבות מהם </w:t>
      </w:r>
      <w:r>
        <w:rPr>
          <w:rFonts w:cs="Arial" w:hint="cs"/>
          <w:rtl/>
        </w:rPr>
        <w:t xml:space="preserve">- </w:t>
      </w:r>
      <w:r w:rsidRPr="00282295">
        <w:rPr>
          <w:rFonts w:cs="Arial"/>
          <w:rtl/>
        </w:rPr>
        <w:t>מחוייבים היורשים לסלק מהמעות</w:t>
      </w:r>
      <w:r>
        <w:rPr>
          <w:rFonts w:cs="Arial" w:hint="cs"/>
          <w:rtl/>
        </w:rPr>
        <w:t>,</w:t>
      </w:r>
      <w:r w:rsidRPr="00282295">
        <w:rPr>
          <w:rFonts w:cs="Arial"/>
          <w:rtl/>
        </w:rPr>
        <w:t xml:space="preserve"> אף דלעיל גבי מזונות נחלקו הקדמונים בזה </w:t>
      </w:r>
      <w:r w:rsidRPr="00D65159">
        <w:rPr>
          <w:rFonts w:cs="Arial"/>
          <w:sz w:val="16"/>
          <w:szCs w:val="16"/>
          <w:rtl/>
        </w:rPr>
        <w:t>(בסימן קי"ב סי"ד בהגה</w:t>
      </w:r>
      <w:r w:rsidRPr="00D65159">
        <w:rPr>
          <w:rFonts w:cs="Arial" w:hint="cs"/>
          <w:sz w:val="16"/>
          <w:szCs w:val="16"/>
          <w:rtl/>
        </w:rPr>
        <w:t>,</w:t>
      </w:r>
      <w:r w:rsidRPr="00D65159">
        <w:rPr>
          <w:rFonts w:cs="Arial"/>
          <w:sz w:val="16"/>
          <w:szCs w:val="16"/>
          <w:rtl/>
        </w:rPr>
        <w:t xml:space="preserve"> ובב"ש שם</w:t>
      </w:r>
      <w:r w:rsidRPr="00D65159">
        <w:rPr>
          <w:rFonts w:cs="Arial" w:hint="cs"/>
          <w:sz w:val="16"/>
          <w:szCs w:val="16"/>
          <w:rtl/>
        </w:rPr>
        <w:t xml:space="preserve"> סק"ל)</w:t>
      </w:r>
      <w:r>
        <w:rPr>
          <w:rFonts w:cs="Arial" w:hint="cs"/>
          <w:rtl/>
        </w:rPr>
        <w:t xml:space="preserve"> </w:t>
      </w:r>
      <w:r w:rsidRPr="00282295">
        <w:rPr>
          <w:rFonts w:cs="Arial"/>
          <w:rtl/>
        </w:rPr>
        <w:t>כאן כ</w:t>
      </w:r>
      <w:r w:rsidRPr="00282295">
        <w:rPr>
          <w:rFonts w:cs="Arial" w:hint="cs"/>
          <w:rtl/>
        </w:rPr>
        <w:t>ו</w:t>
      </w:r>
      <w:r w:rsidRPr="00282295">
        <w:rPr>
          <w:rFonts w:cs="Arial"/>
          <w:rtl/>
        </w:rPr>
        <w:t>"ע מודים דצריכים היורשים לסלק לה מן המעות שקיבלו בעד הקרקעות</w:t>
      </w:r>
      <w:r>
        <w:rPr>
          <w:rStyle w:val="a7"/>
          <w:rFonts w:cs="Arial"/>
          <w:rtl/>
        </w:rPr>
        <w:footnoteReference w:id="3024"/>
      </w:r>
      <w:r w:rsidRPr="00610120">
        <w:rPr>
          <w:rFonts w:cs="Arial" w:hint="cs"/>
          <w:rtl/>
        </w:rPr>
        <w:t>.</w:t>
      </w:r>
    </w:p>
    <w:p w14:paraId="4BF87EE7" w14:textId="77777777" w:rsidR="002E5BAD" w:rsidRDefault="002E5BAD" w:rsidP="002E5BAD">
      <w:pPr>
        <w:rPr>
          <w:rtl/>
        </w:rPr>
      </w:pPr>
    </w:p>
    <w:p w14:paraId="17294015" w14:textId="77777777" w:rsidR="002E5BAD" w:rsidRDefault="002E5BAD" w:rsidP="002E5BAD">
      <w:pPr>
        <w:pStyle w:val="2"/>
        <w:rPr>
          <w:rtl/>
        </w:rPr>
      </w:pPr>
      <w:r>
        <w:rPr>
          <w:rtl/>
        </w:rPr>
        <w:t>סעיף ו</w:t>
      </w:r>
      <w:r>
        <w:rPr>
          <w:rFonts w:hint="cs"/>
          <w:rtl/>
        </w:rPr>
        <w:t>: קדימת כתובת/מזונות אלמנה לפרנסת הבת.</w:t>
      </w:r>
    </w:p>
    <w:p w14:paraId="248C2924" w14:textId="77777777" w:rsidR="002E5BAD" w:rsidRPr="003176A5" w:rsidRDefault="002E5BAD" w:rsidP="002E5BAD">
      <w:pPr>
        <w:rPr>
          <w:u w:val="single"/>
          <w:rtl/>
        </w:rPr>
      </w:pPr>
      <w:r w:rsidRPr="003176A5">
        <w:rPr>
          <w:rFonts w:hint="cs"/>
          <w:u w:val="single"/>
          <w:rtl/>
        </w:rPr>
        <w:t xml:space="preserve">אלמנה שבאה לגבות מזונות/כתובה, ובת שבאה לגבות פרנסתה </w:t>
      </w:r>
      <w:r w:rsidRPr="003176A5">
        <w:rPr>
          <w:u w:val="single"/>
          <w:rtl/>
        </w:rPr>
        <w:t>–</w:t>
      </w:r>
      <w:r w:rsidRPr="003176A5">
        <w:rPr>
          <w:rFonts w:hint="cs"/>
          <w:u w:val="single"/>
          <w:rtl/>
        </w:rPr>
        <w:t xml:space="preserve"> מי קודם:</w:t>
      </w:r>
    </w:p>
    <w:p w14:paraId="301316CE" w14:textId="77777777" w:rsidR="002E5BAD" w:rsidRPr="00AF6AA8" w:rsidRDefault="002E5BAD" w:rsidP="00B75458">
      <w:pPr>
        <w:pStyle w:val="ab"/>
        <w:numPr>
          <w:ilvl w:val="0"/>
          <w:numId w:val="195"/>
        </w:numPr>
      </w:pPr>
      <w:r>
        <w:rPr>
          <w:rFonts w:cs="Arial" w:hint="cs"/>
          <w:rtl/>
        </w:rPr>
        <w:t>ר"</w:t>
      </w:r>
      <w:r w:rsidRPr="00E04543">
        <w:rPr>
          <w:rFonts w:cs="Arial"/>
          <w:rtl/>
        </w:rPr>
        <w:t>י קרקושא</w:t>
      </w:r>
      <w:r>
        <w:rPr>
          <w:rStyle w:val="a7"/>
          <w:rFonts w:cs="Arial"/>
          <w:rtl/>
        </w:rPr>
        <w:footnoteReference w:id="3025"/>
      </w:r>
      <w:r w:rsidRPr="00E04543">
        <w:rPr>
          <w:rFonts w:cs="Arial"/>
          <w:rtl/>
        </w:rPr>
        <w:t xml:space="preserve"> </w:t>
      </w:r>
      <w:r>
        <w:rPr>
          <w:rFonts w:cs="Arial" w:hint="cs"/>
          <w:sz w:val="16"/>
          <w:szCs w:val="16"/>
          <w:rtl/>
        </w:rPr>
        <w:t>(כ"כ הטור בשמו)</w:t>
      </w:r>
      <w:r>
        <w:rPr>
          <w:rFonts w:cs="Arial" w:hint="cs"/>
          <w:rtl/>
        </w:rPr>
        <w:t xml:space="preserve"> טור</w:t>
      </w:r>
      <w:r w:rsidRPr="00FF41BE">
        <w:rPr>
          <w:rFonts w:cs="Arial"/>
          <w:rtl/>
        </w:rPr>
        <w:t xml:space="preserve"> </w:t>
      </w:r>
      <w:r>
        <w:rPr>
          <w:rFonts w:cs="Arial" w:hint="cs"/>
          <w:rtl/>
        </w:rPr>
        <w:t>ו</w:t>
      </w:r>
      <w:r w:rsidRPr="00863D97">
        <w:rPr>
          <w:rFonts w:cs="Arial"/>
          <w:rtl/>
        </w:rPr>
        <w:t>ר"ן</w:t>
      </w:r>
      <w:r>
        <w:rPr>
          <w:rFonts w:cs="Arial" w:hint="cs"/>
          <w:rtl/>
        </w:rPr>
        <w:t xml:space="preserve"> </w:t>
      </w:r>
      <w:r w:rsidRPr="00FF41BE">
        <w:rPr>
          <w:rFonts w:cs="Arial"/>
          <w:sz w:val="16"/>
          <w:szCs w:val="16"/>
          <w:rtl/>
        </w:rPr>
        <w:t>(לא. דיבור ראשון)</w:t>
      </w:r>
      <w:r>
        <w:rPr>
          <w:rFonts w:cs="Arial" w:hint="cs"/>
          <w:rtl/>
        </w:rPr>
        <w:t xml:space="preserve">- </w:t>
      </w:r>
      <w:r w:rsidRPr="00E04543">
        <w:rPr>
          <w:rFonts w:cs="Arial"/>
          <w:rtl/>
        </w:rPr>
        <w:t>אי איכא אלמנה ובת</w:t>
      </w:r>
      <w:r>
        <w:rPr>
          <w:rFonts w:cs="Arial" w:hint="cs"/>
          <w:rtl/>
        </w:rPr>
        <w:t>,</w:t>
      </w:r>
      <w:r w:rsidRPr="00E04543">
        <w:rPr>
          <w:rFonts w:cs="Arial"/>
          <w:rtl/>
        </w:rPr>
        <w:t xml:space="preserve"> אלמנה תובעת כתובתה או מזונו</w:t>
      </w:r>
      <w:r>
        <w:rPr>
          <w:rFonts w:cs="Arial" w:hint="cs"/>
          <w:rtl/>
        </w:rPr>
        <w:t>ת,</w:t>
      </w:r>
      <w:r w:rsidRPr="00E04543">
        <w:rPr>
          <w:rFonts w:cs="Arial"/>
          <w:rtl/>
        </w:rPr>
        <w:t xml:space="preserve"> ובת פרנסתה </w:t>
      </w:r>
      <w:r>
        <w:rPr>
          <w:rFonts w:cs="Arial" w:hint="cs"/>
          <w:rtl/>
        </w:rPr>
        <w:t xml:space="preserve">- </w:t>
      </w:r>
      <w:r w:rsidRPr="00E04543">
        <w:rPr>
          <w:rFonts w:cs="Arial"/>
          <w:rtl/>
        </w:rPr>
        <w:t>אלמנה קודמת</w:t>
      </w:r>
      <w:r>
        <w:rPr>
          <w:rStyle w:val="a7"/>
          <w:rFonts w:cs="Arial"/>
          <w:rtl/>
        </w:rPr>
        <w:footnoteReference w:id="3026"/>
      </w:r>
      <w:r>
        <w:rPr>
          <w:rFonts w:cs="Arial" w:hint="cs"/>
          <w:rtl/>
        </w:rPr>
        <w:t>,</w:t>
      </w:r>
      <w:r w:rsidRPr="00E04543">
        <w:rPr>
          <w:rFonts w:cs="Arial"/>
          <w:rtl/>
        </w:rPr>
        <w:t xml:space="preserve"> שהיא בעלת חוב דאב</w:t>
      </w:r>
      <w:r>
        <w:rPr>
          <w:rFonts w:cs="Arial" w:hint="cs"/>
          <w:rtl/>
        </w:rPr>
        <w:t>,</w:t>
      </w:r>
      <w:r w:rsidRPr="00E04543">
        <w:rPr>
          <w:rFonts w:cs="Arial"/>
          <w:rtl/>
        </w:rPr>
        <w:t xml:space="preserve"> ובת בעלת חוב דאחים</w:t>
      </w:r>
      <w:r>
        <w:rPr>
          <w:rFonts w:cs="Arial" w:hint="cs"/>
          <w:rtl/>
        </w:rPr>
        <w:t>.</w:t>
      </w:r>
      <w:r w:rsidRPr="00E04543">
        <w:rPr>
          <w:rFonts w:cs="Arial"/>
          <w:rtl/>
        </w:rPr>
        <w:t xml:space="preserve"> ואפי</w:t>
      </w:r>
      <w:r>
        <w:rPr>
          <w:rFonts w:cs="Arial" w:hint="cs"/>
          <w:rtl/>
        </w:rPr>
        <w:t>לו</w:t>
      </w:r>
      <w:r w:rsidRPr="00E04543">
        <w:rPr>
          <w:rFonts w:cs="Arial"/>
          <w:rtl/>
        </w:rPr>
        <w:t xml:space="preserve"> אין שם אלא מטלטלי דלא שייך בהו דין קדימה</w:t>
      </w:r>
      <w:r>
        <w:rPr>
          <w:rFonts w:cs="Arial" w:hint="cs"/>
          <w:rtl/>
        </w:rPr>
        <w:t>,</w:t>
      </w:r>
      <w:r w:rsidRPr="00E04543">
        <w:rPr>
          <w:rFonts w:cs="Arial"/>
          <w:rtl/>
        </w:rPr>
        <w:t xml:space="preserve"> כי היכי שהיא קודמת כי איכא מקרקעי</w:t>
      </w:r>
      <w:r>
        <w:rPr>
          <w:rFonts w:cs="Arial" w:hint="cs"/>
          <w:rtl/>
        </w:rPr>
        <w:t>.</w:t>
      </w:r>
      <w:r w:rsidRPr="00E04543">
        <w:rPr>
          <w:rFonts w:cs="Arial"/>
          <w:rtl/>
        </w:rPr>
        <w:t xml:space="preserve"> דכי תקנו הגאונים לגבות כתובתה ומזונו</w:t>
      </w:r>
      <w:r>
        <w:rPr>
          <w:rFonts w:cs="Arial" w:hint="cs"/>
          <w:rtl/>
        </w:rPr>
        <w:t>ת</w:t>
      </w:r>
      <w:r w:rsidRPr="00E04543">
        <w:rPr>
          <w:rFonts w:cs="Arial"/>
          <w:rtl/>
        </w:rPr>
        <w:t xml:space="preserve"> ממטלטלין</w:t>
      </w:r>
      <w:r>
        <w:rPr>
          <w:rFonts w:cs="Arial" w:hint="cs"/>
          <w:rtl/>
        </w:rPr>
        <w:t>,</w:t>
      </w:r>
      <w:r w:rsidRPr="00E04543">
        <w:rPr>
          <w:rFonts w:cs="Arial"/>
          <w:rtl/>
        </w:rPr>
        <w:t xml:space="preserve"> כעין דינא תיקון</w:t>
      </w:r>
      <w:r>
        <w:rPr>
          <w:rFonts w:cs="Arial" w:hint="cs"/>
          <w:rtl/>
        </w:rPr>
        <w:t>,</w:t>
      </w:r>
      <w:r w:rsidRPr="00E04543">
        <w:rPr>
          <w:rFonts w:cs="Arial"/>
          <w:rtl/>
        </w:rPr>
        <w:t xml:space="preserve"> ולענין דינא היכא דאיכא קרקע אלמנה קודמ</w:t>
      </w:r>
      <w:r>
        <w:rPr>
          <w:rFonts w:cs="Arial" w:hint="cs"/>
          <w:rtl/>
        </w:rPr>
        <w:t>ת</w:t>
      </w:r>
      <w:r w:rsidRPr="00E04543">
        <w:rPr>
          <w:rFonts w:cs="Arial"/>
          <w:rtl/>
        </w:rPr>
        <w:t xml:space="preserve"> לגבו</w:t>
      </w:r>
      <w:r>
        <w:rPr>
          <w:rFonts w:cs="Arial" w:hint="cs"/>
          <w:rtl/>
        </w:rPr>
        <w:t>ת</w:t>
      </w:r>
      <w:r w:rsidRPr="00E04543">
        <w:rPr>
          <w:rFonts w:cs="Arial"/>
          <w:rtl/>
        </w:rPr>
        <w:t xml:space="preserve"> כתובתה</w:t>
      </w:r>
      <w:r>
        <w:rPr>
          <w:rFonts w:cs="Arial" w:hint="cs"/>
          <w:sz w:val="16"/>
          <w:szCs w:val="16"/>
          <w:rtl/>
        </w:rPr>
        <w:t xml:space="preserve"> (ל' הטור בשם ר"י קרקושא)</w:t>
      </w:r>
      <w:r>
        <w:rPr>
          <w:rFonts w:cs="Arial" w:hint="cs"/>
          <w:rtl/>
        </w:rPr>
        <w:t>.</w:t>
      </w:r>
      <w:r w:rsidRPr="00E04543">
        <w:rPr>
          <w:rFonts w:cs="Arial"/>
          <w:rtl/>
        </w:rPr>
        <w:t xml:space="preserve"> </w:t>
      </w:r>
    </w:p>
    <w:p w14:paraId="675EB6AC" w14:textId="77777777" w:rsidR="002E5BAD" w:rsidRDefault="002E5BAD" w:rsidP="00B75458">
      <w:pPr>
        <w:pStyle w:val="ab"/>
        <w:numPr>
          <w:ilvl w:val="0"/>
          <w:numId w:val="195"/>
        </w:numPr>
      </w:pPr>
      <w:r w:rsidRPr="00AF6AA8">
        <w:rPr>
          <w:rFonts w:cs="Arial"/>
          <w:rtl/>
        </w:rPr>
        <w:t xml:space="preserve">רמב"ם </w:t>
      </w:r>
      <w:r w:rsidRPr="00AF6AA8">
        <w:rPr>
          <w:rFonts w:cs="Arial" w:hint="cs"/>
          <w:sz w:val="16"/>
          <w:szCs w:val="16"/>
          <w:rtl/>
        </w:rPr>
        <w:t>(פ"</w:t>
      </w:r>
      <w:r w:rsidRPr="00AF6AA8">
        <w:rPr>
          <w:rFonts w:cs="Arial"/>
          <w:sz w:val="16"/>
          <w:szCs w:val="16"/>
          <w:rtl/>
        </w:rPr>
        <w:t>כ הי"א)</w:t>
      </w:r>
      <w:r w:rsidRPr="00AF6AA8">
        <w:rPr>
          <w:rFonts w:cs="Arial" w:hint="cs"/>
          <w:rtl/>
        </w:rPr>
        <w:t>-</w:t>
      </w:r>
      <w:r w:rsidRPr="00AF6AA8">
        <w:rPr>
          <w:rFonts w:cs="Arial"/>
          <w:rtl/>
        </w:rPr>
        <w:t xml:space="preserve"> מי שמת והניח אלמנה ובת</w:t>
      </w:r>
      <w:r w:rsidRPr="00AF6AA8">
        <w:rPr>
          <w:rFonts w:cs="Arial" w:hint="cs"/>
          <w:rtl/>
        </w:rPr>
        <w:t>,</w:t>
      </w:r>
      <w:r w:rsidRPr="00AF6AA8">
        <w:rPr>
          <w:rFonts w:cs="Arial"/>
          <w:rtl/>
        </w:rPr>
        <w:t xml:space="preserve"> כבר ביארנו </w:t>
      </w:r>
      <w:r w:rsidRPr="00AF6AA8">
        <w:rPr>
          <w:rFonts w:cs="Arial"/>
          <w:sz w:val="16"/>
          <w:szCs w:val="16"/>
          <w:rtl/>
        </w:rPr>
        <w:t xml:space="preserve">(פי"ט הכ"א) </w:t>
      </w:r>
      <w:r w:rsidRPr="00AF6AA8">
        <w:rPr>
          <w:rFonts w:cs="Arial"/>
          <w:rtl/>
        </w:rPr>
        <w:t>שמזונות האלמנה קודמין למזונות הבת</w:t>
      </w:r>
      <w:r w:rsidRPr="00AF6AA8">
        <w:rPr>
          <w:rFonts w:cs="Arial" w:hint="cs"/>
          <w:rtl/>
        </w:rPr>
        <w:t>.</w:t>
      </w:r>
      <w:r w:rsidRPr="00AF6AA8">
        <w:rPr>
          <w:rFonts w:cs="Arial"/>
          <w:rtl/>
        </w:rPr>
        <w:t xml:space="preserve"> וכן אם נישאת הבת</w:t>
      </w:r>
      <w:r w:rsidRPr="00AF6AA8">
        <w:rPr>
          <w:rFonts w:cs="Arial" w:hint="cs"/>
          <w:rtl/>
        </w:rPr>
        <w:t>,</w:t>
      </w:r>
      <w:r w:rsidRPr="00AF6AA8">
        <w:rPr>
          <w:rFonts w:cs="Arial"/>
          <w:rtl/>
        </w:rPr>
        <w:t xml:space="preserve"> אינה נוטלת עישור נכסים מפני מזונות האלמנה</w:t>
      </w:r>
      <w:r w:rsidRPr="00AF6AA8">
        <w:rPr>
          <w:rFonts w:cs="Arial" w:hint="cs"/>
          <w:rtl/>
        </w:rPr>
        <w:t>.</w:t>
      </w:r>
      <w:r w:rsidRPr="00AF6AA8">
        <w:rPr>
          <w:rFonts w:cs="Arial"/>
          <w:rtl/>
        </w:rPr>
        <w:t xml:space="preserve"> ואפילו מתה הבת אחר שנישאת</w:t>
      </w:r>
      <w:r w:rsidRPr="00AF6AA8">
        <w:rPr>
          <w:rFonts w:cs="Arial" w:hint="cs"/>
          <w:rtl/>
        </w:rPr>
        <w:t>,</w:t>
      </w:r>
      <w:r w:rsidRPr="00AF6AA8">
        <w:rPr>
          <w:rFonts w:cs="Arial"/>
          <w:rtl/>
        </w:rPr>
        <w:t xml:space="preserve"> אין הבעל יורש פרנסה הראויה לינתן לה</w:t>
      </w:r>
      <w:r w:rsidRPr="00AF6AA8">
        <w:rPr>
          <w:rFonts w:cs="Arial" w:hint="cs"/>
          <w:rtl/>
        </w:rPr>
        <w:t>,</w:t>
      </w:r>
      <w:r w:rsidRPr="00AF6AA8">
        <w:rPr>
          <w:rFonts w:cs="Arial"/>
          <w:rtl/>
        </w:rPr>
        <w:t xml:space="preserve"> שהרי הנכסים כולם בחזקת האלמנה שתהא נזונת מהם</w:t>
      </w:r>
      <w:r>
        <w:rPr>
          <w:rStyle w:val="a7"/>
          <w:rFonts w:cs="Arial"/>
          <w:rtl/>
        </w:rPr>
        <w:footnoteReference w:id="3027"/>
      </w:r>
      <w:r w:rsidRPr="00AF6AA8">
        <w:rPr>
          <w:rFonts w:cs="Arial" w:hint="cs"/>
          <w:rtl/>
        </w:rPr>
        <w:t>.</w:t>
      </w:r>
      <w:r>
        <w:rPr>
          <w:rFonts w:hint="cs"/>
          <w:rtl/>
        </w:rPr>
        <w:t xml:space="preserve"> </w:t>
      </w:r>
      <w:r w:rsidRPr="00AF6AA8">
        <w:rPr>
          <w:rFonts w:hint="cs"/>
          <w:color w:val="E36C0A" w:themeColor="accent6" w:themeShade="BF"/>
          <w:rtl/>
        </w:rPr>
        <w:t>(וכ"פ בשו"ע)</w:t>
      </w:r>
    </w:p>
    <w:p w14:paraId="3792DC85" w14:textId="77777777" w:rsidR="002E5BAD" w:rsidRPr="003176A5" w:rsidRDefault="002E5BAD" w:rsidP="00B75458">
      <w:pPr>
        <w:pStyle w:val="ab"/>
        <w:numPr>
          <w:ilvl w:val="0"/>
          <w:numId w:val="195"/>
        </w:numPr>
        <w:rPr>
          <w:color w:val="FF0000"/>
          <w:rtl/>
        </w:rPr>
      </w:pPr>
      <w:r w:rsidRPr="003176A5">
        <w:rPr>
          <w:rFonts w:hint="cs"/>
          <w:color w:val="FF0000"/>
          <w:rtl/>
        </w:rPr>
        <w:t>למה השו"ע העתיק דווקא את לשון הרמב"ם והרי כולם מסכימים שהוא הדין לכתובה.</w:t>
      </w:r>
    </w:p>
    <w:p w14:paraId="1822B3B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54F4FC" w14:textId="77777777" w:rsidR="002E5BAD" w:rsidRDefault="002E5BAD" w:rsidP="002E5BAD">
      <w:pPr>
        <w:rPr>
          <w:rtl/>
        </w:rPr>
      </w:pPr>
      <w:r>
        <w:rPr>
          <w:rFonts w:cs="Arial"/>
          <w:rtl/>
        </w:rPr>
        <w:lastRenderedPageBreak/>
        <w:t>מי שמת והניח אלמנה ובת, אין הבת נוטלת עישור נכסים</w:t>
      </w:r>
      <w:r>
        <w:rPr>
          <w:rStyle w:val="a7"/>
          <w:rFonts w:cs="Arial"/>
          <w:rtl/>
        </w:rPr>
        <w:footnoteReference w:id="3028"/>
      </w:r>
      <w:r>
        <w:rPr>
          <w:rFonts w:cs="Arial"/>
          <w:rtl/>
        </w:rPr>
        <w:t xml:space="preserve">, מפני מזונות האלמנה. ואפילו מתה הבת אחר שנשאת, אין הבעל יורש פרנסה הראויה להנתן לה, שהרי כולן בחזקת האלמנה שתהא ניזונית מהן. </w:t>
      </w:r>
      <w:r>
        <w:rPr>
          <w:rFonts w:cs="Arial" w:hint="cs"/>
          <w:sz w:val="18"/>
          <w:szCs w:val="18"/>
          <w:rtl/>
        </w:rPr>
        <w:t xml:space="preserve">[הגה] </w:t>
      </w:r>
      <w:r w:rsidRPr="00F038E9">
        <w:rPr>
          <w:rFonts w:cs="Arial"/>
          <w:sz w:val="18"/>
          <w:szCs w:val="18"/>
          <w:rtl/>
        </w:rPr>
        <w:t>וכן פרנסת בנות קודמת לכתובת בנין דכרין</w:t>
      </w:r>
      <w:r>
        <w:rPr>
          <w:rStyle w:val="a7"/>
          <w:rFonts w:cs="Arial"/>
          <w:sz w:val="18"/>
          <w:szCs w:val="18"/>
          <w:rtl/>
        </w:rPr>
        <w:footnoteReference w:id="3029"/>
      </w:r>
      <w:r w:rsidRPr="00F038E9">
        <w:rPr>
          <w:rFonts w:cs="Arial"/>
          <w:sz w:val="18"/>
          <w:szCs w:val="18"/>
          <w:rtl/>
        </w:rPr>
        <w:t xml:space="preserve"> (הר"ן פ' מציאת האשה). </w:t>
      </w:r>
      <w:r>
        <w:rPr>
          <w:rFonts w:hint="cs"/>
          <w:rtl/>
        </w:rPr>
        <w:t xml:space="preserve"> </w:t>
      </w:r>
    </w:p>
    <w:p w14:paraId="04470CF1" w14:textId="77777777" w:rsidR="002E5BAD" w:rsidRDefault="002E5BAD" w:rsidP="002E5BAD">
      <w:pPr>
        <w:rPr>
          <w:rtl/>
        </w:rPr>
      </w:pPr>
    </w:p>
    <w:p w14:paraId="34C81F2A" w14:textId="77777777" w:rsidR="002E5BAD" w:rsidRDefault="002E5BAD" w:rsidP="002E5BAD">
      <w:pPr>
        <w:pStyle w:val="2"/>
        <w:rPr>
          <w:rtl/>
        </w:rPr>
      </w:pPr>
      <w:r>
        <w:rPr>
          <w:rtl/>
        </w:rPr>
        <w:t>סעיף ז</w:t>
      </w:r>
      <w:r>
        <w:rPr>
          <w:rFonts w:hint="cs"/>
          <w:rtl/>
        </w:rPr>
        <w:t>:</w:t>
      </w:r>
      <w:r w:rsidRPr="006553C2">
        <w:rPr>
          <w:rFonts w:hint="cs"/>
          <w:rtl/>
        </w:rPr>
        <w:t xml:space="preserve"> </w:t>
      </w:r>
      <w:r>
        <w:rPr>
          <w:rFonts w:hint="cs"/>
          <w:rtl/>
        </w:rPr>
        <w:t>בת שנשאת ולא נתנו לה אחיה פרנסתה כדין.</w:t>
      </w:r>
    </w:p>
    <w:p w14:paraId="7C606F23" w14:textId="77777777" w:rsidR="002E5BAD" w:rsidRPr="00CA76E2" w:rsidRDefault="002E5BAD" w:rsidP="002E5BAD">
      <w:pPr>
        <w:rPr>
          <w:rtl/>
        </w:rPr>
      </w:pPr>
      <w:r w:rsidRPr="009164FE">
        <w:rPr>
          <w:rFonts w:cs="Arial" w:hint="cs"/>
          <w:b/>
          <w:bCs/>
          <w:rtl/>
        </w:rPr>
        <w:t xml:space="preserve">כתובות </w:t>
      </w:r>
      <w:r w:rsidRPr="009164FE">
        <w:rPr>
          <w:rFonts w:cs="Arial" w:hint="cs"/>
          <w:b/>
          <w:bCs/>
          <w:sz w:val="16"/>
          <w:szCs w:val="16"/>
          <w:rtl/>
        </w:rPr>
        <w:t xml:space="preserve">(פ' מציאת האשה) </w:t>
      </w:r>
      <w:r w:rsidRPr="009164FE">
        <w:rPr>
          <w:rFonts w:cs="Arial" w:hint="cs"/>
          <w:b/>
          <w:bCs/>
          <w:rtl/>
        </w:rPr>
        <w:t>סח ע"א:</w:t>
      </w:r>
      <w:r>
        <w:rPr>
          <w:rFonts w:cs="Arial" w:hint="cs"/>
          <w:rtl/>
        </w:rPr>
        <w:t xml:space="preserve"> </w:t>
      </w:r>
      <w:r w:rsidRPr="009164FE">
        <w:rPr>
          <w:rFonts w:cs="Arial"/>
          <w:u w:val="double"/>
          <w:rtl/>
        </w:rPr>
        <w:t>מתני'</w:t>
      </w:r>
      <w:r>
        <w:rPr>
          <w:rFonts w:cs="Arial" w:hint="cs"/>
          <w:rtl/>
        </w:rPr>
        <w:t>:</w:t>
      </w:r>
      <w:r>
        <w:rPr>
          <w:rFonts w:cs="Arial"/>
          <w:rtl/>
        </w:rPr>
        <w:t xml:space="preserve"> יתומה שהשיאתה אמה או אחיה מדעתה</w:t>
      </w:r>
      <w:r>
        <w:rPr>
          <w:rStyle w:val="a7"/>
          <w:rFonts w:cs="Arial"/>
          <w:rtl/>
        </w:rPr>
        <w:footnoteReference w:id="3030"/>
      </w:r>
      <w:r>
        <w:rPr>
          <w:rFonts w:cs="Arial"/>
          <w:rtl/>
        </w:rPr>
        <w:t>, וכתבו לה במאה או בחמשים זוז, יכולה היא משתגדיל להוציא מידן מה שראוי להנתן לה</w:t>
      </w:r>
      <w:r>
        <w:rPr>
          <w:rStyle w:val="a7"/>
          <w:rFonts w:cs="Arial"/>
          <w:rtl/>
        </w:rPr>
        <w:footnoteReference w:id="3031"/>
      </w:r>
      <w:r>
        <w:rPr>
          <w:rFonts w:cs="Arial"/>
          <w:rtl/>
        </w:rPr>
        <w:t>.</w:t>
      </w:r>
      <w:r>
        <w:rPr>
          <w:rFonts w:cs="Arial" w:hint="cs"/>
          <w:rtl/>
        </w:rPr>
        <w:t>.</w:t>
      </w:r>
      <w:r>
        <w:rPr>
          <w:rFonts w:cs="Arial"/>
          <w:rtl/>
        </w:rPr>
        <w:t xml:space="preserve">. </w:t>
      </w:r>
      <w:r>
        <w:rPr>
          <w:rFonts w:hint="cs"/>
          <w:rtl/>
        </w:rPr>
        <w:t xml:space="preserve">        </w:t>
      </w:r>
      <w:r w:rsidRPr="009164FE">
        <w:rPr>
          <w:rFonts w:cs="Arial"/>
          <w:u w:val="double"/>
          <w:rtl/>
        </w:rPr>
        <w:t>גמ'</w:t>
      </w:r>
      <w:r>
        <w:rPr>
          <w:rFonts w:cs="Arial" w:hint="cs"/>
          <w:sz w:val="14"/>
          <w:szCs w:val="14"/>
          <w:u w:val="double"/>
          <w:rtl/>
        </w:rPr>
        <w:t>(סח:)</w:t>
      </w:r>
      <w:r>
        <w:rPr>
          <w:rFonts w:cs="Arial" w:hint="cs"/>
          <w:u w:val="double"/>
          <w:rtl/>
        </w:rPr>
        <w:t>:</w:t>
      </w:r>
      <w:r w:rsidRPr="00CA76E2">
        <w:rPr>
          <w:rtl/>
        </w:rPr>
        <w:t xml:space="preserve"> </w:t>
      </w:r>
      <w:r w:rsidRPr="00CA76E2">
        <w:rPr>
          <w:rFonts w:cs="Arial"/>
          <w:rtl/>
        </w:rPr>
        <w:t>ת"ר: הבנות, בין בגרו עד שלא נישאו ובין נישאו עד שלא בגרו - איבדו מזונותיהן</w:t>
      </w:r>
      <w:r>
        <w:rPr>
          <w:rStyle w:val="a7"/>
          <w:rFonts w:cs="Arial"/>
          <w:rtl/>
        </w:rPr>
        <w:footnoteReference w:id="3032"/>
      </w:r>
      <w:r w:rsidRPr="00CA76E2">
        <w:rPr>
          <w:rFonts w:cs="Arial"/>
          <w:rtl/>
        </w:rPr>
        <w:t xml:space="preserve"> ולא איבדו פרנסתן, </w:t>
      </w:r>
      <w:r w:rsidRPr="00CA76E2">
        <w:rPr>
          <w:rFonts w:cs="Arial"/>
          <w:u w:val="single"/>
          <w:rtl/>
        </w:rPr>
        <w:t>דברי רבי</w:t>
      </w:r>
      <w:r>
        <w:rPr>
          <w:rFonts w:cs="Arial" w:hint="cs"/>
          <w:rtl/>
        </w:rPr>
        <w:t>.</w:t>
      </w:r>
      <w:r w:rsidRPr="00CA76E2">
        <w:rPr>
          <w:rFonts w:cs="Arial"/>
          <w:rtl/>
        </w:rPr>
        <w:t xml:space="preserve"> </w:t>
      </w:r>
      <w:r w:rsidRPr="00CA76E2">
        <w:rPr>
          <w:rFonts w:cs="Arial"/>
          <w:u w:val="single"/>
          <w:rtl/>
        </w:rPr>
        <w:t>ר' שמעון בן אלעזר אומר</w:t>
      </w:r>
      <w:r w:rsidRPr="00CA76E2">
        <w:rPr>
          <w:rFonts w:cs="Arial"/>
          <w:rtl/>
        </w:rPr>
        <w:t>: אף איבדו פרנסתן</w:t>
      </w:r>
      <w:r>
        <w:rPr>
          <w:rStyle w:val="a7"/>
          <w:rFonts w:cs="Arial"/>
          <w:rtl/>
        </w:rPr>
        <w:footnoteReference w:id="3033"/>
      </w:r>
      <w:r w:rsidRPr="00CA76E2">
        <w:rPr>
          <w:rFonts w:cs="Arial"/>
          <w:rtl/>
        </w:rPr>
        <w:t>, כיצד הן עושות? שוכרות להן בעלים</w:t>
      </w:r>
      <w:r>
        <w:rPr>
          <w:rStyle w:val="a7"/>
          <w:rFonts w:cs="Arial"/>
          <w:rtl/>
        </w:rPr>
        <w:footnoteReference w:id="3034"/>
      </w:r>
      <w:r w:rsidRPr="00CA76E2">
        <w:rPr>
          <w:rFonts w:cs="Arial"/>
          <w:rtl/>
        </w:rPr>
        <w:t xml:space="preserve"> ומוציאין להן פרנסתן. </w:t>
      </w:r>
      <w:r w:rsidRPr="00AB7135">
        <w:rPr>
          <w:rFonts w:cs="Arial"/>
          <w:u w:val="single"/>
          <w:rtl/>
        </w:rPr>
        <w:t>אמר רב נחמן, אמר לי הונא</w:t>
      </w:r>
      <w:r w:rsidRPr="00CA76E2">
        <w:rPr>
          <w:rFonts w:cs="Arial"/>
          <w:rtl/>
        </w:rPr>
        <w:t xml:space="preserve">: הלכתא כרבי. </w:t>
      </w:r>
      <w:r w:rsidRPr="00AB7135">
        <w:rPr>
          <w:rFonts w:cs="Arial"/>
          <w:u w:val="single"/>
          <w:rtl/>
        </w:rPr>
        <w:t>איתיביה רבא לרב נחמן</w:t>
      </w:r>
      <w:r w:rsidRPr="00CA76E2">
        <w:rPr>
          <w:rFonts w:cs="Arial"/>
          <w:rtl/>
        </w:rPr>
        <w:t>: יתומה שהשיאתה אמה או אחיה מדעתה, וכתבו לה במאה או בחמשים זוז, יכולה היא משתגדיל להוציא מידם מה שראוי להנתן לה</w:t>
      </w:r>
      <w:r>
        <w:rPr>
          <w:rFonts w:cs="Arial" w:hint="cs"/>
          <w:rtl/>
        </w:rPr>
        <w:t>.</w:t>
      </w:r>
      <w:r w:rsidRPr="00CA76E2">
        <w:rPr>
          <w:rFonts w:cs="Arial"/>
          <w:rtl/>
        </w:rPr>
        <w:t xml:space="preserve"> טעמא דקטנה, הא גדולה</w:t>
      </w:r>
      <w:r>
        <w:rPr>
          <w:rStyle w:val="a7"/>
          <w:rFonts w:cs="Arial"/>
          <w:rtl/>
        </w:rPr>
        <w:footnoteReference w:id="3035"/>
      </w:r>
      <w:r w:rsidRPr="00CA76E2">
        <w:rPr>
          <w:rFonts w:cs="Arial"/>
          <w:rtl/>
        </w:rPr>
        <w:t xml:space="preserve"> ויתרה! לא קשיא: הא דמחאי</w:t>
      </w:r>
      <w:r>
        <w:rPr>
          <w:rStyle w:val="a7"/>
          <w:rFonts w:cs="Arial"/>
          <w:rtl/>
        </w:rPr>
        <w:footnoteReference w:id="3036"/>
      </w:r>
      <w:r w:rsidRPr="00CA76E2">
        <w:rPr>
          <w:rFonts w:cs="Arial"/>
          <w:rtl/>
        </w:rPr>
        <w:t>, הא דלא מחאי. הכי נמי מסתברא, דאם כן, קשיא דרבי אדרבי! דתניא, רבי אומר: בת הניזונת מן האחין - נוטלת עישור נכסים, ניזונת אין</w:t>
      </w:r>
      <w:r>
        <w:rPr>
          <w:rStyle w:val="a7"/>
          <w:rFonts w:cs="Arial"/>
          <w:rtl/>
        </w:rPr>
        <w:footnoteReference w:id="3037"/>
      </w:r>
      <w:r w:rsidRPr="00CA76E2">
        <w:rPr>
          <w:rFonts w:cs="Arial"/>
          <w:rtl/>
        </w:rPr>
        <w:t xml:space="preserve">, שאינה ניזונת לא! אלא לאו ש"מ: הא דמחאי, הא דלא מחאי, ש"מ. </w:t>
      </w:r>
      <w:r w:rsidRPr="004326CA">
        <w:rPr>
          <w:rFonts w:cs="Arial"/>
          <w:u w:val="single"/>
          <w:rtl/>
        </w:rPr>
        <w:t>אמר ליה רבינא לרבא, אמר לן רב אדא בר אהבה משמך</w:t>
      </w:r>
      <w:r w:rsidRPr="00CA76E2">
        <w:rPr>
          <w:rFonts w:cs="Arial"/>
          <w:rtl/>
        </w:rPr>
        <w:t>: בגרה - אינה צריכה למחות</w:t>
      </w:r>
      <w:r>
        <w:rPr>
          <w:rStyle w:val="a7"/>
          <w:rFonts w:cs="Arial"/>
          <w:rtl/>
        </w:rPr>
        <w:footnoteReference w:id="3038"/>
      </w:r>
      <w:r w:rsidRPr="00CA76E2">
        <w:rPr>
          <w:rFonts w:cs="Arial"/>
          <w:rtl/>
        </w:rPr>
        <w:t>, נישאת - אינה צריכה למחות, בגרה ונישאת - צריכה למחות. מי אמר רבא הכי? והא איתיביה רבא לרב נחמן יתומה, ושני ליה</w:t>
      </w:r>
      <w:r>
        <w:rPr>
          <w:rStyle w:val="a7"/>
          <w:rFonts w:cs="Arial"/>
          <w:rtl/>
        </w:rPr>
        <w:footnoteReference w:id="3039"/>
      </w:r>
      <w:r w:rsidRPr="00CA76E2">
        <w:rPr>
          <w:rFonts w:cs="Arial"/>
          <w:rtl/>
        </w:rPr>
        <w:t>: הא דמחי, הא דלא מחי! לא קשיא: הא</w:t>
      </w:r>
      <w:r>
        <w:rPr>
          <w:rStyle w:val="a7"/>
          <w:rFonts w:cs="Arial"/>
          <w:rtl/>
        </w:rPr>
        <w:footnoteReference w:id="3040"/>
      </w:r>
      <w:r w:rsidRPr="00CA76E2">
        <w:rPr>
          <w:rFonts w:cs="Arial"/>
          <w:rtl/>
        </w:rPr>
        <w:t xml:space="preserve"> דקא מיתזנא מינייהו, הא דלא קא מיתזנא מינייהו.</w:t>
      </w:r>
      <w:r>
        <w:rPr>
          <w:rFonts w:hint="cs"/>
          <w:rtl/>
        </w:rPr>
        <w:t xml:space="preserve"> </w:t>
      </w:r>
      <w:r w:rsidRPr="00935A52">
        <w:rPr>
          <w:rFonts w:hint="cs"/>
          <w:sz w:val="16"/>
          <w:szCs w:val="16"/>
          <w:rtl/>
        </w:rPr>
        <w:t>(</w:t>
      </w:r>
      <w:r w:rsidRPr="00935A52">
        <w:rPr>
          <w:rFonts w:cs="Arial"/>
          <w:sz w:val="16"/>
          <w:szCs w:val="16"/>
          <w:rtl/>
        </w:rPr>
        <w:t>וכתב הר"ן (ל ריש ע"ב) דהא דאמרינן דכי מיתזנא מינייהו אינה צריכה למחות</w:t>
      </w:r>
      <w:r w:rsidRPr="00935A52">
        <w:rPr>
          <w:rFonts w:cs="Arial" w:hint="cs"/>
          <w:sz w:val="16"/>
          <w:szCs w:val="16"/>
          <w:rtl/>
        </w:rPr>
        <w:t xml:space="preserve"> -</w:t>
      </w:r>
      <w:r w:rsidRPr="00935A52">
        <w:rPr>
          <w:rFonts w:cs="Arial"/>
          <w:sz w:val="16"/>
          <w:szCs w:val="16"/>
          <w:rtl/>
        </w:rPr>
        <w:t xml:space="preserve"> היינו דוקא בשידעה בשעת נישואין שהם יזונו אותה</w:t>
      </w:r>
      <w:r w:rsidRPr="00935A52">
        <w:rPr>
          <w:rFonts w:cs="Arial" w:hint="cs"/>
          <w:sz w:val="16"/>
          <w:szCs w:val="16"/>
          <w:rtl/>
        </w:rPr>
        <w:t>.</w:t>
      </w:r>
      <w:r w:rsidRPr="00935A52">
        <w:rPr>
          <w:rFonts w:cs="Arial"/>
          <w:sz w:val="16"/>
          <w:szCs w:val="16"/>
          <w:rtl/>
        </w:rPr>
        <w:t xml:space="preserve"> ואפילו הכי</w:t>
      </w:r>
      <w:r>
        <w:rPr>
          <w:rFonts w:cs="Arial" w:hint="cs"/>
          <w:sz w:val="16"/>
          <w:szCs w:val="16"/>
          <w:rtl/>
        </w:rPr>
        <w:t>,</w:t>
      </w:r>
      <w:r w:rsidRPr="00935A52">
        <w:rPr>
          <w:rFonts w:cs="Arial"/>
          <w:sz w:val="16"/>
          <w:szCs w:val="16"/>
          <w:rtl/>
        </w:rPr>
        <w:t xml:space="preserve"> בגרה ונישאת </w:t>
      </w:r>
      <w:r w:rsidRPr="00935A52">
        <w:rPr>
          <w:rFonts w:cs="Arial" w:hint="cs"/>
          <w:sz w:val="16"/>
          <w:szCs w:val="16"/>
          <w:rtl/>
        </w:rPr>
        <w:t xml:space="preserve">- </w:t>
      </w:r>
      <w:r w:rsidRPr="00935A52">
        <w:rPr>
          <w:rFonts w:cs="Arial"/>
          <w:sz w:val="16"/>
          <w:szCs w:val="16"/>
          <w:rtl/>
        </w:rPr>
        <w:t>צריכה למחות</w:t>
      </w:r>
      <w:r>
        <w:rPr>
          <w:rFonts w:cs="Arial" w:hint="cs"/>
          <w:sz w:val="16"/>
          <w:szCs w:val="16"/>
          <w:rtl/>
        </w:rPr>
        <w:t>, ב"י.</w:t>
      </w:r>
      <w:r w:rsidRPr="00935A52">
        <w:rPr>
          <w:rFonts w:cs="Arial" w:hint="cs"/>
          <w:color w:val="00B0F0"/>
          <w:sz w:val="16"/>
          <w:szCs w:val="16"/>
          <w:rtl/>
        </w:rPr>
        <w:t xml:space="preserve"> (וכ"פ הרמ"א)</w:t>
      </w:r>
      <w:r>
        <w:rPr>
          <w:rFonts w:cs="Arial" w:hint="cs"/>
          <w:sz w:val="16"/>
          <w:szCs w:val="16"/>
          <w:rtl/>
        </w:rPr>
        <w:t>)</w:t>
      </w:r>
    </w:p>
    <w:p w14:paraId="1A948C9A" w14:textId="77777777" w:rsidR="002E5BAD" w:rsidRDefault="002E5BAD" w:rsidP="002E5BAD">
      <w:pPr>
        <w:rPr>
          <w:u w:val="single"/>
          <w:rtl/>
        </w:rPr>
      </w:pPr>
      <w:r w:rsidRPr="006553C2">
        <w:rPr>
          <w:rFonts w:hint="cs"/>
          <w:u w:val="single"/>
          <w:rtl/>
        </w:rPr>
        <w:t>בת ש</w:t>
      </w:r>
      <w:r>
        <w:rPr>
          <w:rFonts w:hint="cs"/>
          <w:u w:val="single"/>
          <w:rtl/>
        </w:rPr>
        <w:t>נפטר אביה והשיאוה אחיה</w:t>
      </w:r>
      <w:r w:rsidRPr="006553C2">
        <w:rPr>
          <w:rFonts w:hint="cs"/>
          <w:u w:val="single"/>
          <w:rtl/>
        </w:rPr>
        <w:t xml:space="preserve"> ולא נתנו לה </w:t>
      </w:r>
      <w:r>
        <w:rPr>
          <w:rFonts w:hint="cs"/>
          <w:u w:val="single"/>
          <w:rtl/>
        </w:rPr>
        <w:t xml:space="preserve">את </w:t>
      </w:r>
      <w:r w:rsidRPr="006553C2">
        <w:rPr>
          <w:rFonts w:hint="cs"/>
          <w:u w:val="single"/>
          <w:rtl/>
        </w:rPr>
        <w:t xml:space="preserve">פרנסתה כדין </w:t>
      </w:r>
      <w:r w:rsidRPr="006553C2">
        <w:rPr>
          <w:u w:val="single"/>
          <w:rtl/>
        </w:rPr>
        <w:t>–</w:t>
      </w:r>
      <w:r w:rsidRPr="006553C2">
        <w:rPr>
          <w:rFonts w:hint="cs"/>
          <w:u w:val="single"/>
          <w:rtl/>
        </w:rPr>
        <w:t xml:space="preserve"> האם יכולה להוציא מהם אח"כ:</w:t>
      </w:r>
    </w:p>
    <w:p w14:paraId="4FE29F39" w14:textId="77777777" w:rsidR="002E5BAD" w:rsidRPr="005B0330" w:rsidRDefault="002E5BAD" w:rsidP="002E5BAD">
      <w:pPr>
        <w:ind w:left="360"/>
        <w:rPr>
          <w:u w:val="dotted"/>
          <w:rtl/>
        </w:rPr>
      </w:pPr>
      <w:r w:rsidRPr="005B0330">
        <w:rPr>
          <w:rFonts w:hint="cs"/>
          <w:u w:val="dotted"/>
          <w:rtl/>
        </w:rPr>
        <w:t xml:space="preserve">נשאת קטנה: </w:t>
      </w:r>
    </w:p>
    <w:p w14:paraId="44033F26" w14:textId="77777777" w:rsidR="002E5BAD" w:rsidRPr="005B0330" w:rsidRDefault="002E5BAD" w:rsidP="00B75458">
      <w:pPr>
        <w:pStyle w:val="ab"/>
        <w:numPr>
          <w:ilvl w:val="0"/>
          <w:numId w:val="195"/>
        </w:numPr>
      </w:pPr>
      <w:r>
        <w:rPr>
          <w:rFonts w:cs="Arial" w:hint="cs"/>
          <w:rtl/>
        </w:rPr>
        <w:lastRenderedPageBreak/>
        <w:t>רי"ף</w:t>
      </w:r>
      <w:r>
        <w:rPr>
          <w:rStyle w:val="a7"/>
          <w:rFonts w:cs="Arial"/>
          <w:rtl/>
        </w:rPr>
        <w:footnoteReference w:id="3041"/>
      </w:r>
      <w:r>
        <w:rPr>
          <w:rFonts w:cs="Arial" w:hint="cs"/>
          <w:rtl/>
        </w:rPr>
        <w:t xml:space="preserve"> </w:t>
      </w:r>
      <w:r w:rsidRPr="00935A52">
        <w:rPr>
          <w:rFonts w:cs="Arial"/>
          <w:sz w:val="16"/>
          <w:szCs w:val="16"/>
          <w:rtl/>
        </w:rPr>
        <w:t xml:space="preserve">(ל:) </w:t>
      </w:r>
      <w:r>
        <w:rPr>
          <w:rFonts w:cs="Arial"/>
          <w:rtl/>
        </w:rPr>
        <w:t>רמב"ם</w:t>
      </w:r>
      <w:r>
        <w:rPr>
          <w:rStyle w:val="a7"/>
          <w:rFonts w:cs="Arial"/>
          <w:rtl/>
        </w:rPr>
        <w:footnoteReference w:id="3042"/>
      </w:r>
      <w:r>
        <w:rPr>
          <w:rFonts w:cs="Arial"/>
          <w:rtl/>
        </w:rPr>
        <w:t xml:space="preserve"> </w:t>
      </w:r>
      <w:r w:rsidRPr="002B699E">
        <w:rPr>
          <w:rFonts w:cs="Arial" w:hint="cs"/>
          <w:sz w:val="16"/>
          <w:szCs w:val="16"/>
          <w:rtl/>
        </w:rPr>
        <w:t>(</w:t>
      </w:r>
      <w:r w:rsidRPr="002B699E">
        <w:rPr>
          <w:rFonts w:cs="Arial"/>
          <w:sz w:val="16"/>
          <w:szCs w:val="16"/>
          <w:rtl/>
        </w:rPr>
        <w:t>פ"כ הי"ג)</w:t>
      </w:r>
      <w:r>
        <w:rPr>
          <w:rFonts w:cs="Arial" w:hint="cs"/>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 xml:space="preserve">השיאוה האחין ולא נתנו לה פרנסתה או שלא נתנו לה כראוי לה </w:t>
      </w:r>
      <w:r>
        <w:rPr>
          <w:rFonts w:cs="Arial" w:hint="cs"/>
          <w:rtl/>
        </w:rPr>
        <w:t xml:space="preserve">- </w:t>
      </w:r>
      <w:r w:rsidRPr="00E04543">
        <w:rPr>
          <w:rFonts w:cs="Arial"/>
          <w:rtl/>
        </w:rPr>
        <w:t>יכולה להוציא מהן כשתגדיל פרנסתה הראוי לה או באומדן דעת האב או עישור נכסים</w:t>
      </w:r>
      <w:r>
        <w:rPr>
          <w:rFonts w:cs="Arial" w:hint="cs"/>
          <w:rtl/>
        </w:rPr>
        <w:t>,</w:t>
      </w:r>
      <w:r w:rsidRPr="00E04543">
        <w:rPr>
          <w:rFonts w:cs="Arial"/>
          <w:rtl/>
        </w:rPr>
        <w:t xml:space="preserve"> אפילו לא מחתה בשעת הנישואין</w:t>
      </w:r>
      <w:r>
        <w:rPr>
          <w:rStyle w:val="a7"/>
          <w:rFonts w:cs="Arial"/>
          <w:rtl/>
        </w:rPr>
        <w:footnoteReference w:id="3043"/>
      </w:r>
      <w:r w:rsidRPr="00E04543">
        <w:rPr>
          <w:rFonts w:cs="Arial"/>
          <w:rtl/>
        </w:rPr>
        <w:t xml:space="preserve"> לומר דעו שאיני מוחלת על פרנסתי</w:t>
      </w:r>
      <w:r>
        <w:rPr>
          <w:rFonts w:cs="Arial" w:hint="cs"/>
          <w:rtl/>
        </w:rPr>
        <w:t>,</w:t>
      </w:r>
      <w:r w:rsidRPr="00E04543">
        <w:rPr>
          <w:rFonts w:cs="Arial"/>
          <w:rtl/>
        </w:rPr>
        <w:t xml:space="preserve"> וגם לא פסקו שיתנו לה עוד מזונות</w:t>
      </w:r>
      <w:r>
        <w:rPr>
          <w:rFonts w:cs="Arial" w:hint="cs"/>
          <w:sz w:val="16"/>
          <w:szCs w:val="16"/>
          <w:rtl/>
        </w:rPr>
        <w:t xml:space="preserve"> (ל' הטור)</w:t>
      </w:r>
      <w:r>
        <w:rPr>
          <w:rFonts w:cs="Arial" w:hint="cs"/>
          <w:rtl/>
        </w:rPr>
        <w:t>.</w:t>
      </w:r>
      <w:r w:rsidRPr="00E04543">
        <w:rPr>
          <w:rFonts w:cs="Arial"/>
          <w:rtl/>
        </w:rPr>
        <w:t xml:space="preserve"> </w:t>
      </w:r>
      <w:r w:rsidRPr="008C5D9B">
        <w:rPr>
          <w:rFonts w:hint="cs"/>
          <w:color w:val="E36C0A" w:themeColor="accent6" w:themeShade="BF"/>
          <w:rtl/>
        </w:rPr>
        <w:t>(וכ"פ בשו"ע)</w:t>
      </w:r>
    </w:p>
    <w:p w14:paraId="4B9A6ECB" w14:textId="77777777" w:rsidR="002E5BAD" w:rsidRPr="005B0330" w:rsidRDefault="002E5BAD" w:rsidP="002E5BAD">
      <w:pPr>
        <w:ind w:left="360"/>
      </w:pPr>
      <w:r w:rsidRPr="005B0330">
        <w:rPr>
          <w:rFonts w:hint="cs"/>
          <w:u w:val="dotted"/>
          <w:rtl/>
        </w:rPr>
        <w:t xml:space="preserve">נשאת </w:t>
      </w:r>
      <w:r>
        <w:rPr>
          <w:rFonts w:hint="cs"/>
          <w:u w:val="dotted"/>
          <w:rtl/>
        </w:rPr>
        <w:t>נערה</w:t>
      </w:r>
      <w:r w:rsidRPr="005B0330">
        <w:rPr>
          <w:rFonts w:hint="cs"/>
          <w:u w:val="dotted"/>
          <w:rtl/>
        </w:rPr>
        <w:t>:</w:t>
      </w:r>
    </w:p>
    <w:p w14:paraId="7E99415A" w14:textId="77777777" w:rsidR="002E5BAD" w:rsidRPr="005B0330" w:rsidRDefault="002E5BAD" w:rsidP="00B75458">
      <w:pPr>
        <w:pStyle w:val="ab"/>
        <w:numPr>
          <w:ilvl w:val="0"/>
          <w:numId w:val="195"/>
        </w:numPr>
      </w:pPr>
      <w:r>
        <w:rPr>
          <w:rFonts w:cs="Arial" w:hint="cs"/>
          <w:rtl/>
        </w:rPr>
        <w:t xml:space="preserve">רי"ף </w:t>
      </w:r>
      <w:r w:rsidRPr="00935A52">
        <w:rPr>
          <w:rFonts w:cs="Arial"/>
          <w:sz w:val="16"/>
          <w:szCs w:val="16"/>
          <w:rtl/>
        </w:rPr>
        <w:t xml:space="preserve">(ל:) </w:t>
      </w:r>
      <w:r>
        <w:rPr>
          <w:rFonts w:cs="Arial"/>
          <w:rtl/>
        </w:rPr>
        <w:t>רמב"ם</w:t>
      </w:r>
      <w:r>
        <w:rPr>
          <w:rStyle w:val="a7"/>
          <w:rFonts w:cs="Arial"/>
          <w:rtl/>
        </w:rPr>
        <w:footnoteReference w:id="3044"/>
      </w:r>
      <w:r>
        <w:rPr>
          <w:rFonts w:cs="Arial"/>
          <w:rtl/>
        </w:rPr>
        <w:t xml:space="preserve"> </w:t>
      </w:r>
      <w:r w:rsidRPr="002B699E">
        <w:rPr>
          <w:rFonts w:cs="Arial" w:hint="cs"/>
          <w:sz w:val="16"/>
          <w:szCs w:val="16"/>
          <w:rtl/>
        </w:rPr>
        <w:t>(</w:t>
      </w:r>
      <w:r>
        <w:rPr>
          <w:rFonts w:cs="Arial" w:hint="cs"/>
          <w:sz w:val="16"/>
          <w:szCs w:val="16"/>
          <w:rtl/>
        </w:rPr>
        <w:t>שם, להב' הב"י</w:t>
      </w:r>
      <w:r w:rsidRPr="002B699E">
        <w:rPr>
          <w:rFonts w:cs="Arial"/>
          <w:sz w:val="16"/>
          <w:szCs w:val="16"/>
          <w:rtl/>
        </w:rPr>
        <w:t>)</w:t>
      </w:r>
      <w:r>
        <w:rPr>
          <w:rFonts w:cs="Arial" w:hint="cs"/>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בד"א כשנישא</w:t>
      </w:r>
      <w:r>
        <w:rPr>
          <w:rFonts w:cs="Arial" w:hint="cs"/>
          <w:rtl/>
        </w:rPr>
        <w:t>ת</w:t>
      </w:r>
      <w:r w:rsidRPr="00E04543">
        <w:rPr>
          <w:rFonts w:cs="Arial"/>
          <w:rtl/>
        </w:rPr>
        <w:t xml:space="preserve"> ועודה קטנה</w:t>
      </w:r>
      <w:r>
        <w:rPr>
          <w:rFonts w:cs="Arial" w:hint="cs"/>
          <w:rtl/>
        </w:rPr>
        <w:t>,</w:t>
      </w:r>
      <w:r w:rsidRPr="00E04543">
        <w:rPr>
          <w:rFonts w:cs="Arial"/>
          <w:rtl/>
        </w:rPr>
        <w:t xml:space="preserve"> אבל נישאת נערה ולא נתנו לה פרנסת</w:t>
      </w:r>
      <w:r>
        <w:rPr>
          <w:rFonts w:cs="Arial" w:hint="cs"/>
          <w:rtl/>
        </w:rPr>
        <w:t>ה,</w:t>
      </w:r>
      <w:r w:rsidRPr="00E04543">
        <w:rPr>
          <w:rFonts w:cs="Arial"/>
          <w:rtl/>
        </w:rPr>
        <w:t xml:space="preserve"> אם לא מחתה וגם לא פסקו ליתן לה עוד מזונו</w:t>
      </w:r>
      <w:r>
        <w:rPr>
          <w:rFonts w:cs="Arial" w:hint="cs"/>
          <w:rtl/>
        </w:rPr>
        <w:t>ת -</w:t>
      </w:r>
      <w:r w:rsidRPr="00E04543">
        <w:rPr>
          <w:rFonts w:cs="Arial"/>
          <w:rtl/>
        </w:rPr>
        <w:t xml:space="preserve"> אבדה פרנסתה</w:t>
      </w:r>
      <w:r>
        <w:rPr>
          <w:rFonts w:cs="Arial" w:hint="cs"/>
          <w:rtl/>
        </w:rPr>
        <w:t>,</w:t>
      </w:r>
      <w:r w:rsidRPr="00E04543">
        <w:rPr>
          <w:rFonts w:cs="Arial"/>
          <w:rtl/>
        </w:rPr>
        <w:t xml:space="preserve"> אא"כ מחתה או פסקו לה עוד מזונו</w:t>
      </w:r>
      <w:r>
        <w:rPr>
          <w:rFonts w:cs="Arial" w:hint="cs"/>
          <w:rtl/>
        </w:rPr>
        <w:t>ת</w:t>
      </w:r>
      <w:r>
        <w:rPr>
          <w:rStyle w:val="a7"/>
          <w:rFonts w:cs="Arial"/>
          <w:rtl/>
        </w:rPr>
        <w:footnoteReference w:id="3045"/>
      </w:r>
      <w:r>
        <w:rPr>
          <w:rFonts w:cs="Arial" w:hint="cs"/>
          <w:sz w:val="16"/>
          <w:szCs w:val="16"/>
          <w:rtl/>
        </w:rPr>
        <w:t xml:space="preserve"> (ל' הטור)</w:t>
      </w:r>
      <w:r>
        <w:rPr>
          <w:rFonts w:cs="Arial" w:hint="cs"/>
          <w:rtl/>
        </w:rPr>
        <w:t>.</w:t>
      </w:r>
      <w:r w:rsidRPr="00E04543">
        <w:rPr>
          <w:rFonts w:cs="Arial"/>
          <w:rtl/>
        </w:rPr>
        <w:t xml:space="preserve"> </w:t>
      </w:r>
      <w:r w:rsidRPr="008C5D9B">
        <w:rPr>
          <w:rFonts w:hint="cs"/>
          <w:color w:val="E36C0A" w:themeColor="accent6" w:themeShade="BF"/>
          <w:rtl/>
        </w:rPr>
        <w:t>(וכ"פ בשו"ע)</w:t>
      </w:r>
    </w:p>
    <w:p w14:paraId="586D1134" w14:textId="77777777" w:rsidR="002E5BAD" w:rsidRPr="005B0330" w:rsidRDefault="002E5BAD" w:rsidP="002E5BAD">
      <w:pPr>
        <w:ind w:left="360"/>
      </w:pPr>
      <w:r w:rsidRPr="005B0330">
        <w:rPr>
          <w:rFonts w:hint="cs"/>
          <w:u w:val="dotted"/>
          <w:rtl/>
        </w:rPr>
        <w:t xml:space="preserve">נשאת </w:t>
      </w:r>
      <w:r>
        <w:rPr>
          <w:rFonts w:hint="cs"/>
          <w:u w:val="dotted"/>
          <w:rtl/>
        </w:rPr>
        <w:t>בוגרת</w:t>
      </w:r>
      <w:r w:rsidRPr="005B0330">
        <w:rPr>
          <w:rFonts w:hint="cs"/>
          <w:u w:val="dotted"/>
          <w:rtl/>
        </w:rPr>
        <w:t>:</w:t>
      </w:r>
    </w:p>
    <w:p w14:paraId="6B39ED4D" w14:textId="77777777" w:rsidR="002E5BAD" w:rsidRPr="005B0330" w:rsidRDefault="002E5BAD" w:rsidP="00B75458">
      <w:pPr>
        <w:pStyle w:val="ab"/>
        <w:numPr>
          <w:ilvl w:val="0"/>
          <w:numId w:val="195"/>
        </w:numPr>
      </w:pPr>
      <w:r>
        <w:rPr>
          <w:rFonts w:cs="Arial" w:hint="cs"/>
          <w:rtl/>
        </w:rPr>
        <w:t xml:space="preserve">רי"ף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sz w:val="16"/>
          <w:szCs w:val="16"/>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ואם בגרה ואח"כ נישאת</w:t>
      </w:r>
      <w:r>
        <w:rPr>
          <w:rFonts w:cs="Arial" w:hint="cs"/>
          <w:rtl/>
        </w:rPr>
        <w:t>,</w:t>
      </w:r>
      <w:r w:rsidRPr="00E04543">
        <w:rPr>
          <w:rFonts w:cs="Arial"/>
          <w:rtl/>
        </w:rPr>
        <w:t xml:space="preserve"> אפי' אם יפסקו ליתן לה מזונות </w:t>
      </w:r>
      <w:r>
        <w:rPr>
          <w:rFonts w:cs="Arial" w:hint="cs"/>
          <w:rtl/>
        </w:rPr>
        <w:t xml:space="preserve">- </w:t>
      </w:r>
      <w:r w:rsidRPr="00E04543">
        <w:rPr>
          <w:rFonts w:cs="Arial"/>
          <w:rtl/>
        </w:rPr>
        <w:t>אבדה מזונותיה אא"כ מחתה</w:t>
      </w:r>
      <w:r>
        <w:rPr>
          <w:rStyle w:val="a7"/>
          <w:rFonts w:cs="Arial"/>
          <w:rtl/>
        </w:rPr>
        <w:footnoteReference w:id="3046"/>
      </w:r>
      <w:r>
        <w:rPr>
          <w:rFonts w:cs="Arial" w:hint="cs"/>
          <w:sz w:val="16"/>
          <w:szCs w:val="16"/>
          <w:rtl/>
        </w:rPr>
        <w:t xml:space="preserve"> (ל' הטור)</w:t>
      </w:r>
      <w:r>
        <w:rPr>
          <w:rFonts w:cs="Arial" w:hint="cs"/>
          <w:rtl/>
        </w:rPr>
        <w:t xml:space="preserve">. </w:t>
      </w:r>
      <w:r w:rsidRPr="008C5D9B">
        <w:rPr>
          <w:rFonts w:hint="cs"/>
          <w:color w:val="E36C0A" w:themeColor="accent6" w:themeShade="BF"/>
          <w:rtl/>
        </w:rPr>
        <w:t>(וכ"פ בשו"ע)</w:t>
      </w:r>
    </w:p>
    <w:p w14:paraId="28519504" w14:textId="77777777" w:rsidR="002E5BAD" w:rsidRPr="005B0330" w:rsidRDefault="002E5BAD" w:rsidP="002E5BAD">
      <w:pPr>
        <w:ind w:left="360"/>
        <w:rPr>
          <w:u w:val="dotted"/>
        </w:rPr>
      </w:pPr>
      <w:r w:rsidRPr="005B0330">
        <w:rPr>
          <w:rFonts w:hint="cs"/>
          <w:u w:val="dotted"/>
          <w:rtl/>
        </w:rPr>
        <w:t>בגרה ולא נשאת:</w:t>
      </w:r>
    </w:p>
    <w:p w14:paraId="5CCE7F9C" w14:textId="77777777" w:rsidR="002E5BAD" w:rsidRDefault="002E5BAD" w:rsidP="00B75458">
      <w:pPr>
        <w:pStyle w:val="ab"/>
        <w:numPr>
          <w:ilvl w:val="0"/>
          <w:numId w:val="195"/>
        </w:numPr>
      </w:pPr>
      <w:r>
        <w:rPr>
          <w:rFonts w:cs="Arial" w:hint="cs"/>
          <w:rtl/>
        </w:rPr>
        <w:t xml:space="preserve">רי"ף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sz w:val="16"/>
          <w:szCs w:val="16"/>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6553C2">
        <w:rPr>
          <w:rFonts w:cs="Arial"/>
          <w:rtl/>
        </w:rPr>
        <w:t>וכן נמי מיד כשבגרה</w:t>
      </w:r>
      <w:r w:rsidRPr="006553C2">
        <w:rPr>
          <w:rFonts w:cs="Arial" w:hint="cs"/>
          <w:rtl/>
        </w:rPr>
        <w:t>,</w:t>
      </w:r>
      <w:r w:rsidRPr="006553C2">
        <w:rPr>
          <w:rFonts w:cs="Arial"/>
          <w:rtl/>
        </w:rPr>
        <w:t xml:space="preserve"> אפילו לא ניסת </w:t>
      </w:r>
      <w:r w:rsidRPr="006553C2">
        <w:rPr>
          <w:rFonts w:cs="Arial" w:hint="cs"/>
          <w:rtl/>
        </w:rPr>
        <w:t xml:space="preserve">- </w:t>
      </w:r>
      <w:r w:rsidRPr="006553C2">
        <w:rPr>
          <w:rFonts w:cs="Arial"/>
          <w:rtl/>
        </w:rPr>
        <w:t>אבדה פרנסתה אא"כ מחתה או שפסקו ליתן לה עוד מזונות</w:t>
      </w:r>
      <w:r w:rsidRPr="006553C2">
        <w:rPr>
          <w:rFonts w:cs="Arial" w:hint="cs"/>
          <w:rtl/>
        </w:rPr>
        <w:t>.</w:t>
      </w:r>
      <w:r w:rsidRPr="006553C2">
        <w:rPr>
          <w:rFonts w:cs="Arial"/>
          <w:rtl/>
        </w:rPr>
        <w:t xml:space="preserve"> ומיהו במחאה לחוד סגי</w:t>
      </w:r>
      <w:r>
        <w:rPr>
          <w:rFonts w:cs="Arial" w:hint="cs"/>
          <w:rtl/>
        </w:rPr>
        <w:t>,</w:t>
      </w:r>
      <w:r w:rsidRPr="006553C2">
        <w:rPr>
          <w:rFonts w:cs="Arial"/>
          <w:rtl/>
        </w:rPr>
        <w:t xml:space="preserve"> אפי' אין פוסקין ליתן לה עוד מזונו</w:t>
      </w:r>
      <w:r w:rsidRPr="006553C2">
        <w:rPr>
          <w:rFonts w:cs="Arial" w:hint="cs"/>
          <w:rtl/>
        </w:rPr>
        <w:t>ת</w:t>
      </w:r>
      <w:r>
        <w:rPr>
          <w:rFonts w:cs="Arial" w:hint="cs"/>
          <w:sz w:val="16"/>
          <w:szCs w:val="16"/>
          <w:rtl/>
        </w:rPr>
        <w:t xml:space="preserve"> (ל' הטור)</w:t>
      </w:r>
      <w:r w:rsidRPr="006553C2">
        <w:rPr>
          <w:rFonts w:cs="Arial" w:hint="cs"/>
          <w:rtl/>
        </w:rPr>
        <w:t>.</w:t>
      </w:r>
      <w:r w:rsidRPr="006553C2">
        <w:rPr>
          <w:rFonts w:cs="Arial"/>
          <w:rtl/>
        </w:rPr>
        <w:t xml:space="preserve"> </w:t>
      </w:r>
      <w:r w:rsidRPr="008C5D9B">
        <w:rPr>
          <w:rFonts w:hint="cs"/>
          <w:color w:val="E36C0A" w:themeColor="accent6" w:themeShade="BF"/>
          <w:rtl/>
        </w:rPr>
        <w:t>(וכ"פ בשו"ע)</w:t>
      </w:r>
    </w:p>
    <w:p w14:paraId="7902769C" w14:textId="77777777" w:rsidR="002E5BAD" w:rsidRPr="006523DB" w:rsidRDefault="002E5BAD" w:rsidP="002E5BAD">
      <w:pPr>
        <w:rPr>
          <w:u w:val="single"/>
        </w:rPr>
      </w:pPr>
      <w:r w:rsidRPr="006523DB">
        <w:rPr>
          <w:rFonts w:hint="cs"/>
          <w:u w:val="single"/>
          <w:rtl/>
        </w:rPr>
        <w:t>האם אירוסין בנערה חשיב כנישואין וצריכה למחות כדי לקבל פרנסתה:</w:t>
      </w:r>
    </w:p>
    <w:p w14:paraId="6E8D30EF" w14:textId="77777777" w:rsidR="002E5BAD" w:rsidRPr="006553C2" w:rsidRDefault="002E5BAD" w:rsidP="00B75458">
      <w:pPr>
        <w:pStyle w:val="ab"/>
        <w:numPr>
          <w:ilvl w:val="0"/>
          <w:numId w:val="195"/>
        </w:numPr>
      </w:pPr>
      <w:r w:rsidRPr="00E04543">
        <w:rPr>
          <w:rFonts w:cs="Arial"/>
          <w:rtl/>
        </w:rPr>
        <w:t>רמ"ה</w:t>
      </w:r>
      <w:r>
        <w:rPr>
          <w:rFonts w:cs="Arial" w:hint="cs"/>
          <w:sz w:val="16"/>
          <w:szCs w:val="16"/>
          <w:rtl/>
        </w:rPr>
        <w:t xml:space="preserve"> (כ"כ הטור בשמו)</w:t>
      </w:r>
      <w:r>
        <w:rPr>
          <w:rFonts w:cs="Arial" w:hint="cs"/>
          <w:rtl/>
        </w:rPr>
        <w:t xml:space="preserve">- </w:t>
      </w:r>
      <w:r w:rsidRPr="00E04543">
        <w:rPr>
          <w:rFonts w:cs="Arial"/>
          <w:rtl/>
        </w:rPr>
        <w:t xml:space="preserve">אירוסין בנערות חשיבי כנישואין ואם אין פוסקין לה מזונות </w:t>
      </w:r>
      <w:r>
        <w:rPr>
          <w:rFonts w:cs="Arial" w:hint="cs"/>
          <w:rtl/>
        </w:rPr>
        <w:t xml:space="preserve">- </w:t>
      </w:r>
      <w:r w:rsidRPr="00E04543">
        <w:rPr>
          <w:rFonts w:cs="Arial"/>
          <w:rtl/>
        </w:rPr>
        <w:t>צריכה למחות</w:t>
      </w:r>
      <w:r>
        <w:rPr>
          <w:rStyle w:val="a7"/>
          <w:rFonts w:cs="Arial"/>
          <w:rtl/>
        </w:rPr>
        <w:footnoteReference w:id="3047"/>
      </w:r>
      <w:r>
        <w:rPr>
          <w:rFonts w:cs="Arial" w:hint="cs"/>
          <w:rtl/>
        </w:rPr>
        <w:t>.</w:t>
      </w:r>
      <w:r w:rsidRPr="00E04543">
        <w:rPr>
          <w:rFonts w:cs="Arial"/>
          <w:rtl/>
        </w:rPr>
        <w:t xml:space="preserve"> </w:t>
      </w:r>
    </w:p>
    <w:p w14:paraId="399B412D" w14:textId="77777777" w:rsidR="002E5BAD" w:rsidRDefault="002E5BAD" w:rsidP="00B75458">
      <w:pPr>
        <w:pStyle w:val="ab"/>
        <w:numPr>
          <w:ilvl w:val="0"/>
          <w:numId w:val="195"/>
        </w:numPr>
      </w:pPr>
      <w:r w:rsidRPr="00E04543">
        <w:rPr>
          <w:rFonts w:cs="Arial"/>
          <w:rtl/>
        </w:rPr>
        <w:lastRenderedPageBreak/>
        <w:t>תוס</w:t>
      </w:r>
      <w:r>
        <w:rPr>
          <w:rFonts w:cs="Arial" w:hint="cs"/>
          <w:rtl/>
        </w:rPr>
        <w:t>'</w:t>
      </w:r>
      <w:r>
        <w:rPr>
          <w:rFonts w:cs="Arial" w:hint="cs"/>
          <w:sz w:val="16"/>
          <w:szCs w:val="16"/>
          <w:rtl/>
        </w:rPr>
        <w:t xml:space="preserve"> (כ"כ הטור בשמו [ועי' בתוס' סח: ד"ה בין])</w:t>
      </w:r>
      <w:r>
        <w:rPr>
          <w:rFonts w:cs="Arial" w:hint="cs"/>
          <w:rtl/>
        </w:rPr>
        <w:t>-</w:t>
      </w:r>
      <w:r w:rsidRPr="00E04543">
        <w:rPr>
          <w:rFonts w:cs="Arial"/>
          <w:rtl/>
        </w:rPr>
        <w:t xml:space="preserve"> </w:t>
      </w:r>
      <w:r w:rsidRPr="005973FB">
        <w:rPr>
          <w:rFonts w:cs="Arial"/>
          <w:rtl/>
        </w:rPr>
        <w:t>מדלא תני רבי נתארסו עד שלא בגרו איבדו מזונותיהן דהוי רבותא טפי אלמא דנתארסו לא איבדו מזונותיהן ודלא כרב בפרק נערה</w:t>
      </w:r>
      <w:r>
        <w:rPr>
          <w:rStyle w:val="a7"/>
          <w:rFonts w:cs="Arial"/>
          <w:rtl/>
        </w:rPr>
        <w:footnoteReference w:id="3048"/>
      </w:r>
      <w:r>
        <w:rPr>
          <w:rFonts w:cs="Arial" w:hint="cs"/>
          <w:rtl/>
        </w:rPr>
        <w:t>.</w:t>
      </w:r>
      <w:r w:rsidRPr="005973FB">
        <w:rPr>
          <w:rFonts w:cs="Arial"/>
          <w:rtl/>
        </w:rPr>
        <w:t xml:space="preserve"> </w:t>
      </w:r>
    </w:p>
    <w:p w14:paraId="14203B09" w14:textId="77777777" w:rsidR="002E5BAD" w:rsidRPr="006523DB" w:rsidRDefault="002E5BAD" w:rsidP="002E5BAD">
      <w:pPr>
        <w:rPr>
          <w:u w:val="single"/>
        </w:rPr>
      </w:pPr>
      <w:r w:rsidRPr="006523DB">
        <w:rPr>
          <w:rFonts w:hint="cs"/>
          <w:u w:val="single"/>
          <w:rtl/>
        </w:rPr>
        <w:t xml:space="preserve">בת שבגרה בחיי האב </w:t>
      </w:r>
      <w:r w:rsidRPr="006523DB">
        <w:rPr>
          <w:u w:val="single"/>
          <w:rtl/>
        </w:rPr>
        <w:t>–</w:t>
      </w:r>
      <w:r w:rsidRPr="006523DB">
        <w:rPr>
          <w:rFonts w:hint="cs"/>
          <w:u w:val="single"/>
          <w:rtl/>
        </w:rPr>
        <w:t xml:space="preserve"> האם מועיל לה העצות הנ"ל </w:t>
      </w:r>
      <w:r w:rsidRPr="006523DB">
        <w:rPr>
          <w:rFonts w:hint="cs"/>
          <w:sz w:val="16"/>
          <w:szCs w:val="16"/>
          <w:u w:val="single"/>
          <w:rtl/>
        </w:rPr>
        <w:t>(למחות או שנותנים לה מזונות)</w:t>
      </w:r>
      <w:r w:rsidRPr="006523DB">
        <w:rPr>
          <w:rFonts w:hint="cs"/>
          <w:u w:val="single"/>
          <w:rtl/>
        </w:rPr>
        <w:t>:</w:t>
      </w:r>
    </w:p>
    <w:p w14:paraId="33857A06" w14:textId="77777777" w:rsidR="002E5BAD" w:rsidRPr="00284E7E" w:rsidRDefault="002E5BAD" w:rsidP="00B75458">
      <w:pPr>
        <w:pStyle w:val="ab"/>
        <w:numPr>
          <w:ilvl w:val="0"/>
          <w:numId w:val="195"/>
        </w:numPr>
      </w:pPr>
      <w:r w:rsidRPr="00E04543">
        <w:rPr>
          <w:rFonts w:cs="Arial"/>
          <w:rtl/>
        </w:rPr>
        <w:t>ה"ר יונה</w:t>
      </w:r>
      <w:r>
        <w:rPr>
          <w:rFonts w:cs="Arial" w:hint="cs"/>
          <w:rtl/>
        </w:rPr>
        <w:t xml:space="preserve"> </w:t>
      </w:r>
      <w:r>
        <w:rPr>
          <w:rFonts w:cs="Arial" w:hint="cs"/>
          <w:sz w:val="16"/>
          <w:szCs w:val="16"/>
          <w:rtl/>
        </w:rPr>
        <w:t>(כ"כ בשמו הרא"ש [</w:t>
      </w:r>
      <w:r w:rsidRPr="00CF4F52">
        <w:rPr>
          <w:rFonts w:cs="Arial"/>
          <w:sz w:val="16"/>
          <w:szCs w:val="16"/>
          <w:rtl/>
        </w:rPr>
        <w:t>סי' יד</w:t>
      </w:r>
      <w:r>
        <w:rPr>
          <w:rFonts w:cs="Arial" w:hint="cs"/>
          <w:sz w:val="16"/>
          <w:szCs w:val="16"/>
          <w:rtl/>
        </w:rPr>
        <w:t>]</w:t>
      </w:r>
      <w:r w:rsidRPr="00CF4F52">
        <w:rPr>
          <w:rFonts w:cs="Arial" w:hint="cs"/>
          <w:sz w:val="16"/>
          <w:szCs w:val="16"/>
          <w:rtl/>
        </w:rPr>
        <w:t xml:space="preserve"> </w:t>
      </w:r>
      <w:r>
        <w:rPr>
          <w:rFonts w:cs="Arial" w:hint="cs"/>
          <w:sz w:val="16"/>
          <w:szCs w:val="16"/>
          <w:rtl/>
        </w:rPr>
        <w:t>והטור)</w:t>
      </w:r>
      <w:r>
        <w:rPr>
          <w:rFonts w:cs="Arial" w:hint="cs"/>
          <w:rtl/>
        </w:rPr>
        <w:t xml:space="preserve"> ורא"ש </w:t>
      </w:r>
      <w:r>
        <w:rPr>
          <w:rFonts w:cs="Arial" w:hint="cs"/>
          <w:sz w:val="16"/>
          <w:szCs w:val="16"/>
          <w:rtl/>
        </w:rPr>
        <w:t>(שם, כ"כ הטור בשמו)</w:t>
      </w:r>
      <w:r>
        <w:rPr>
          <w:rFonts w:cs="Arial" w:hint="cs"/>
          <w:rtl/>
        </w:rPr>
        <w:t>-</w:t>
      </w:r>
      <w:r w:rsidRPr="00E04543">
        <w:rPr>
          <w:rFonts w:cs="Arial"/>
          <w:rtl/>
        </w:rPr>
        <w:t xml:space="preserve"> הא דבוגרת לא הפסידה עישור נכסים אם מחתה</w:t>
      </w:r>
      <w:r>
        <w:rPr>
          <w:rFonts w:cs="Arial" w:hint="cs"/>
          <w:rtl/>
        </w:rPr>
        <w:t>,</w:t>
      </w:r>
      <w:r w:rsidRPr="00E04543">
        <w:rPr>
          <w:rFonts w:cs="Arial"/>
          <w:rtl/>
        </w:rPr>
        <w:t xml:space="preserve"> היינו דוקא כשבגרה אחרי מות האב</w:t>
      </w:r>
      <w:r>
        <w:rPr>
          <w:rFonts w:cs="Arial" w:hint="cs"/>
          <w:rtl/>
        </w:rPr>
        <w:t>.</w:t>
      </w:r>
      <w:r w:rsidRPr="00E04543">
        <w:rPr>
          <w:rFonts w:cs="Arial"/>
          <w:rtl/>
        </w:rPr>
        <w:t xml:space="preserve"> אבל אם בגרה בחיי האב</w:t>
      </w:r>
      <w:r>
        <w:rPr>
          <w:rFonts w:cs="Arial" w:hint="cs"/>
          <w:rtl/>
        </w:rPr>
        <w:t xml:space="preserve"> -</w:t>
      </w:r>
      <w:r w:rsidRPr="00E04543">
        <w:rPr>
          <w:rFonts w:cs="Arial"/>
          <w:rtl/>
        </w:rPr>
        <w:t xml:space="preserve"> אין האחין חייבים להשיאה</w:t>
      </w:r>
      <w:r>
        <w:rPr>
          <w:rFonts w:cs="Arial" w:hint="cs"/>
          <w:rtl/>
        </w:rPr>
        <w:t>.</w:t>
      </w:r>
      <w:r w:rsidRPr="00E04543">
        <w:rPr>
          <w:rFonts w:cs="Arial"/>
          <w:rtl/>
        </w:rPr>
        <w:t xml:space="preserve"> שלא תקנו עישור נכסים אלא במי שמת והניח בנות קטנות</w:t>
      </w:r>
      <w:r>
        <w:rPr>
          <w:rFonts w:cs="Arial" w:hint="cs"/>
          <w:rtl/>
        </w:rPr>
        <w:t>,</w:t>
      </w:r>
      <w:r w:rsidRPr="00E04543">
        <w:rPr>
          <w:rFonts w:cs="Arial"/>
          <w:rtl/>
        </w:rPr>
        <w:t xml:space="preserve"> מפני שאמרו חכמים דעתו של אדם שאינו מניח בתו עד שתיבגר</w:t>
      </w:r>
      <w:r>
        <w:rPr>
          <w:rFonts w:cs="Arial" w:hint="cs"/>
          <w:rtl/>
        </w:rPr>
        <w:t>.</w:t>
      </w:r>
      <w:r w:rsidRPr="00E04543">
        <w:rPr>
          <w:rFonts w:cs="Arial"/>
          <w:rtl/>
        </w:rPr>
        <w:t xml:space="preserve"> אבל זאת שבגרה בחיי האב</w:t>
      </w:r>
      <w:r>
        <w:rPr>
          <w:rFonts w:cs="Arial" w:hint="cs"/>
          <w:rtl/>
        </w:rPr>
        <w:t>,</w:t>
      </w:r>
      <w:r w:rsidRPr="00E04543">
        <w:rPr>
          <w:rFonts w:cs="Arial"/>
          <w:rtl/>
        </w:rPr>
        <w:t xml:space="preserve"> כיון דאשתהי אשתהי</w:t>
      </w:r>
      <w:r>
        <w:rPr>
          <w:rFonts w:cs="Arial" w:hint="cs"/>
          <w:sz w:val="16"/>
          <w:szCs w:val="16"/>
          <w:rtl/>
        </w:rPr>
        <w:t xml:space="preserve"> (ל' הטור בשם ה"ר יונה)</w:t>
      </w:r>
      <w:r>
        <w:rPr>
          <w:rFonts w:cs="Arial" w:hint="cs"/>
          <w:rtl/>
        </w:rPr>
        <w:t>.</w:t>
      </w:r>
      <w:r>
        <w:rPr>
          <w:rFonts w:hint="cs"/>
          <w:rtl/>
        </w:rPr>
        <w:t xml:space="preserve"> </w:t>
      </w:r>
      <w:r w:rsidRPr="008C5D9B">
        <w:rPr>
          <w:rFonts w:hint="cs"/>
          <w:color w:val="00B0F0"/>
          <w:rtl/>
        </w:rPr>
        <w:t>(וכ"כ הרמ"א)</w:t>
      </w:r>
    </w:p>
    <w:p w14:paraId="22A70309" w14:textId="77777777" w:rsidR="002E5BAD" w:rsidRPr="002B699E" w:rsidRDefault="002E5BAD" w:rsidP="00B75458">
      <w:pPr>
        <w:pStyle w:val="ab"/>
        <w:numPr>
          <w:ilvl w:val="0"/>
          <w:numId w:val="195"/>
        </w:numPr>
        <w:rPr>
          <w:rtl/>
        </w:rPr>
      </w:pPr>
      <w:r w:rsidRPr="00284E7E">
        <w:rPr>
          <w:rFonts w:cs="Arial"/>
          <w:rtl/>
        </w:rPr>
        <w:t>רמב"ם</w:t>
      </w:r>
      <w:r>
        <w:rPr>
          <w:rFonts w:cs="Arial" w:hint="cs"/>
          <w:sz w:val="16"/>
          <w:szCs w:val="16"/>
          <w:rtl/>
        </w:rPr>
        <w:t xml:space="preserve"> (פ"כ הי"ג)</w:t>
      </w:r>
      <w:r w:rsidRPr="00284E7E">
        <w:rPr>
          <w:rFonts w:cs="Arial" w:hint="cs"/>
          <w:rtl/>
        </w:rPr>
        <w:t xml:space="preserve">- </w:t>
      </w:r>
      <w:r w:rsidRPr="00284E7E">
        <w:rPr>
          <w:rFonts w:cs="Arial"/>
          <w:rtl/>
        </w:rPr>
        <w:t>אפי' בגרה בחיי האב לא אבדה פרנסתה אם מחתה או אם נתנו לה מזונות</w:t>
      </w:r>
      <w:r>
        <w:rPr>
          <w:rFonts w:cs="Arial" w:hint="cs"/>
          <w:sz w:val="16"/>
          <w:szCs w:val="16"/>
          <w:rtl/>
        </w:rPr>
        <w:t xml:space="preserve"> (ל' הטור בשמו)</w:t>
      </w:r>
      <w:r w:rsidRPr="00284E7E">
        <w:rPr>
          <w:rFonts w:cs="Arial" w:hint="cs"/>
          <w:rtl/>
        </w:rPr>
        <w:t>.</w:t>
      </w:r>
      <w:r w:rsidRPr="00284E7E">
        <w:rPr>
          <w:rFonts w:cs="Arial"/>
          <w:rtl/>
        </w:rPr>
        <w:t xml:space="preserve"> </w:t>
      </w:r>
      <w:r w:rsidRPr="008C5D9B">
        <w:rPr>
          <w:rFonts w:hint="cs"/>
          <w:color w:val="E36C0A" w:themeColor="accent6" w:themeShade="BF"/>
          <w:rtl/>
        </w:rPr>
        <w:t>(וכ"פ בשו"ע)</w:t>
      </w:r>
    </w:p>
    <w:p w14:paraId="7C2C355A" w14:textId="77777777" w:rsidR="002E5BAD" w:rsidRDefault="002E5BAD" w:rsidP="002E5BAD">
      <w:pPr>
        <w:rPr>
          <w:rFonts w:cs="Arial"/>
          <w:rtl/>
        </w:rPr>
      </w:pPr>
      <w:r w:rsidRPr="00B17AD5">
        <w:rPr>
          <w:rFonts w:cs="Arial" w:hint="cs"/>
          <w:u w:val="single"/>
          <w:rtl/>
        </w:rPr>
        <w:t xml:space="preserve">אב שציוה לתת לבתו שליש נכסיו, והשיאוה ולא נתנו לה </w:t>
      </w:r>
      <w:r w:rsidRPr="00B17AD5">
        <w:rPr>
          <w:rFonts w:cs="Arial"/>
          <w:u w:val="single"/>
          <w:rtl/>
        </w:rPr>
        <w:t>–</w:t>
      </w:r>
      <w:r w:rsidRPr="00B17AD5">
        <w:rPr>
          <w:rFonts w:cs="Arial" w:hint="cs"/>
          <w:u w:val="single"/>
          <w:rtl/>
        </w:rPr>
        <w:t xml:space="preserve"> האם הפסידה מה שציוה לה אביה:</w:t>
      </w:r>
      <w:r>
        <w:rPr>
          <w:rFonts w:cs="Arial" w:hint="cs"/>
          <w:rtl/>
        </w:rPr>
        <w:t xml:space="preserve"> </w:t>
      </w:r>
      <w:r w:rsidRPr="00B17AD5">
        <w:rPr>
          <w:rFonts w:cs="Arial" w:hint="cs"/>
          <w:sz w:val="16"/>
          <w:szCs w:val="16"/>
          <w:rtl/>
        </w:rPr>
        <w:t xml:space="preserve">(דרכ"מ אות יא) </w:t>
      </w:r>
    </w:p>
    <w:p w14:paraId="4707A9AB" w14:textId="77777777" w:rsidR="002E5BAD" w:rsidRPr="00F038E9" w:rsidRDefault="002E5BAD" w:rsidP="00B75458">
      <w:pPr>
        <w:pStyle w:val="ab"/>
        <w:numPr>
          <w:ilvl w:val="0"/>
          <w:numId w:val="204"/>
        </w:numPr>
        <w:rPr>
          <w:rtl/>
        </w:rPr>
      </w:pPr>
      <w:r w:rsidRPr="00B17AD5">
        <w:rPr>
          <w:rFonts w:cs="Arial"/>
          <w:rtl/>
        </w:rPr>
        <w:t>רשב"א</w:t>
      </w:r>
      <w:r w:rsidRPr="00B17AD5">
        <w:rPr>
          <w:rFonts w:cs="Arial"/>
          <w:sz w:val="16"/>
          <w:szCs w:val="16"/>
          <w:rtl/>
        </w:rPr>
        <w:t xml:space="preserve"> (ח"א סי</w:t>
      </w:r>
      <w:r w:rsidRPr="00B17AD5">
        <w:rPr>
          <w:rFonts w:cs="Arial" w:hint="cs"/>
          <w:sz w:val="16"/>
          <w:szCs w:val="16"/>
          <w:rtl/>
        </w:rPr>
        <w:t>'</w:t>
      </w:r>
      <w:r w:rsidRPr="00B17AD5">
        <w:rPr>
          <w:rFonts w:cs="Arial"/>
          <w:sz w:val="16"/>
          <w:szCs w:val="16"/>
          <w:rtl/>
        </w:rPr>
        <w:t xml:space="preserve"> אלף מג</w:t>
      </w:r>
      <w:r w:rsidRPr="00B17AD5">
        <w:rPr>
          <w:rFonts w:cs="Arial" w:hint="cs"/>
          <w:sz w:val="16"/>
          <w:szCs w:val="16"/>
          <w:rtl/>
        </w:rPr>
        <w:t>)</w:t>
      </w:r>
      <w:r w:rsidRPr="00B17AD5">
        <w:rPr>
          <w:rFonts w:cs="Arial" w:hint="cs"/>
          <w:rtl/>
        </w:rPr>
        <w:t>-</w:t>
      </w:r>
      <w:r w:rsidRPr="00B17AD5">
        <w:rPr>
          <w:rFonts w:cs="Arial"/>
          <w:rtl/>
        </w:rPr>
        <w:t xml:space="preserve"> </w:t>
      </w:r>
      <w:r w:rsidRPr="001539B8">
        <w:rPr>
          <w:rFonts w:cs="Arial"/>
          <w:rtl/>
        </w:rPr>
        <w:t>שאלת</w:t>
      </w:r>
      <w:r w:rsidRPr="001539B8">
        <w:rPr>
          <w:rFonts w:cs="Arial" w:hint="cs"/>
          <w:rtl/>
        </w:rPr>
        <w:t>,</w:t>
      </w:r>
      <w:r w:rsidRPr="001539B8">
        <w:rPr>
          <w:rFonts w:cs="Arial"/>
          <w:rtl/>
        </w:rPr>
        <w:t xml:space="preserve"> מעשה בראובן שהיו לו שני בנים ובת</w:t>
      </w:r>
      <w:r w:rsidRPr="001539B8">
        <w:rPr>
          <w:rFonts w:cs="Arial" w:hint="cs"/>
          <w:rtl/>
        </w:rPr>
        <w:t>,</w:t>
      </w:r>
      <w:r w:rsidRPr="001539B8">
        <w:rPr>
          <w:rFonts w:cs="Arial"/>
          <w:rtl/>
        </w:rPr>
        <w:t xml:space="preserve"> ונתן לשלשתן כל נכסיו. והתנ</w:t>
      </w:r>
      <w:r w:rsidRPr="001539B8">
        <w:rPr>
          <w:rFonts w:cs="Arial" w:hint="cs"/>
          <w:rtl/>
        </w:rPr>
        <w:t>ה</w:t>
      </w:r>
      <w:r w:rsidRPr="001539B8">
        <w:rPr>
          <w:rFonts w:cs="Arial"/>
          <w:rtl/>
        </w:rPr>
        <w:t xml:space="preserve"> שבזמן שישיאו הבת או שתשיא היא עצמה שתטול נדוניא ותסתלק. ודן מורי ז"ל שזכתה הבת בשליש הנכסים. ואם השיאה אח אחד ופסק לה בנדוניתה פחות משליש </w:t>
      </w:r>
      <w:r w:rsidRPr="001539B8">
        <w:rPr>
          <w:rFonts w:cs="Arial" w:hint="cs"/>
          <w:rtl/>
        </w:rPr>
        <w:t xml:space="preserve">- </w:t>
      </w:r>
      <w:r w:rsidRPr="001539B8">
        <w:rPr>
          <w:rFonts w:cs="Arial"/>
          <w:rtl/>
        </w:rPr>
        <w:t>לאו כל כמיניה</w:t>
      </w:r>
      <w:r w:rsidRPr="001539B8">
        <w:rPr>
          <w:rFonts w:cs="Arial" w:hint="cs"/>
          <w:rtl/>
        </w:rPr>
        <w:t>,</w:t>
      </w:r>
      <w:r w:rsidRPr="001539B8">
        <w:rPr>
          <w:rFonts w:cs="Arial"/>
          <w:rtl/>
        </w:rPr>
        <w:t xml:space="preserve"> שלא בא אלא לגרוע כחה אם השיאה הוא או שנשאת היא והכניסה בנדונית</w:t>
      </w:r>
      <w:r w:rsidRPr="001539B8">
        <w:rPr>
          <w:rFonts w:cs="Arial" w:hint="cs"/>
          <w:rtl/>
        </w:rPr>
        <w:t>ה</w:t>
      </w:r>
      <w:r w:rsidRPr="001539B8">
        <w:rPr>
          <w:rFonts w:cs="Arial"/>
          <w:rtl/>
        </w:rPr>
        <w:t xml:space="preserve"> פחות משליש הנכסים שתסתלק בכך. אבל אין בידו לפסוק לה יותר משליש. </w:t>
      </w:r>
      <w:r w:rsidRPr="008C5D9B">
        <w:rPr>
          <w:rFonts w:hint="cs"/>
          <w:color w:val="00B0F0"/>
          <w:rtl/>
        </w:rPr>
        <w:t>(וכ"</w:t>
      </w:r>
      <w:r>
        <w:rPr>
          <w:rFonts w:hint="cs"/>
          <w:color w:val="00B0F0"/>
          <w:rtl/>
        </w:rPr>
        <w:t>פ</w:t>
      </w:r>
      <w:r w:rsidRPr="008C5D9B">
        <w:rPr>
          <w:rFonts w:hint="cs"/>
          <w:color w:val="00B0F0"/>
          <w:rtl/>
        </w:rPr>
        <w:t xml:space="preserve"> הרמ"א)</w:t>
      </w:r>
    </w:p>
    <w:p w14:paraId="0C04D53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74A5DA" w14:textId="77777777" w:rsidR="002E5BAD" w:rsidRDefault="002E5BAD" w:rsidP="002E5BAD">
      <w:pPr>
        <w:rPr>
          <w:rtl/>
        </w:rPr>
      </w:pPr>
      <w:r>
        <w:rPr>
          <w:rFonts w:cs="Arial"/>
          <w:rtl/>
        </w:rPr>
        <w:t>קטנה יתומה שהשיאתה אמה או אחיה לדעתה, ונתנו לה מאה או חמשים זוז, יכולה היא משתגדיל להוציא מידם פרנסת נדוניא הראויה לה</w:t>
      </w:r>
      <w:r>
        <w:rPr>
          <w:rFonts w:cs="Arial" w:hint="cs"/>
          <w:rtl/>
        </w:rPr>
        <w:t>,</w:t>
      </w:r>
      <w:r>
        <w:rPr>
          <w:rFonts w:cs="Arial"/>
          <w:rtl/>
        </w:rPr>
        <w:t xml:space="preserve"> </w:t>
      </w:r>
      <w:r>
        <w:rPr>
          <w:rFonts w:cs="Arial" w:hint="cs"/>
          <w:sz w:val="18"/>
          <w:szCs w:val="18"/>
          <w:rtl/>
        </w:rPr>
        <w:t xml:space="preserve">[הגה] </w:t>
      </w:r>
      <w:r w:rsidRPr="00F038E9">
        <w:rPr>
          <w:rFonts w:cs="Arial"/>
          <w:sz w:val="18"/>
          <w:szCs w:val="18"/>
          <w:rtl/>
        </w:rPr>
        <w:t>ואפילו שתקה זמן רב משתגדיל, יכולה אח"כ לתבוע פרנסתה</w:t>
      </w:r>
      <w:r>
        <w:rPr>
          <w:rStyle w:val="a7"/>
          <w:rFonts w:cs="Arial"/>
          <w:sz w:val="18"/>
          <w:szCs w:val="18"/>
          <w:rtl/>
        </w:rPr>
        <w:footnoteReference w:id="3049"/>
      </w:r>
      <w:r w:rsidRPr="00F038E9">
        <w:rPr>
          <w:rFonts w:cs="Arial"/>
          <w:sz w:val="18"/>
          <w:szCs w:val="18"/>
          <w:rtl/>
        </w:rPr>
        <w:t xml:space="preserve"> (כ</w:t>
      </w:r>
      <w:r>
        <w:rPr>
          <w:rFonts w:cs="Arial" w:hint="cs"/>
          <w:sz w:val="18"/>
          <w:szCs w:val="18"/>
          <w:rtl/>
        </w:rPr>
        <w:t>"</w:t>
      </w:r>
      <w:r w:rsidRPr="00F038E9">
        <w:rPr>
          <w:rFonts w:cs="Arial"/>
          <w:sz w:val="18"/>
          <w:szCs w:val="18"/>
          <w:rtl/>
        </w:rPr>
        <w:t xml:space="preserve">מ </w:t>
      </w:r>
      <w:r>
        <w:rPr>
          <w:rFonts w:cs="Arial" w:hint="cs"/>
          <w:sz w:val="18"/>
          <w:szCs w:val="18"/>
          <w:rtl/>
        </w:rPr>
        <w:t>מ</w:t>
      </w:r>
      <w:r w:rsidRPr="00F038E9">
        <w:rPr>
          <w:rFonts w:cs="Arial"/>
          <w:sz w:val="18"/>
          <w:szCs w:val="18"/>
          <w:rtl/>
        </w:rPr>
        <w:t>הטור</w:t>
      </w:r>
      <w:r>
        <w:rPr>
          <w:rFonts w:cs="Arial" w:hint="cs"/>
          <w:sz w:val="18"/>
          <w:szCs w:val="18"/>
          <w:rtl/>
        </w:rPr>
        <w:t>,</w:t>
      </w:r>
      <w:r w:rsidRPr="00F038E9">
        <w:rPr>
          <w:rFonts w:cs="Arial"/>
          <w:sz w:val="18"/>
          <w:szCs w:val="18"/>
          <w:rtl/>
        </w:rPr>
        <w:t xml:space="preserve"> וכ</w:t>
      </w:r>
      <w:r>
        <w:rPr>
          <w:rFonts w:cs="Arial" w:hint="cs"/>
          <w:sz w:val="18"/>
          <w:szCs w:val="18"/>
          <w:rtl/>
        </w:rPr>
        <w:t xml:space="preserve">"כ </w:t>
      </w:r>
      <w:r w:rsidRPr="00F038E9">
        <w:rPr>
          <w:rFonts w:cs="Arial"/>
          <w:sz w:val="18"/>
          <w:szCs w:val="18"/>
          <w:rtl/>
        </w:rPr>
        <w:t>המ"מ בשם הרשב"א</w:t>
      </w:r>
      <w:r>
        <w:rPr>
          <w:rFonts w:cs="Arial" w:hint="cs"/>
          <w:sz w:val="18"/>
          <w:szCs w:val="18"/>
          <w:rtl/>
        </w:rPr>
        <w:t>, וכ"כ ה</w:t>
      </w:r>
      <w:r w:rsidRPr="00F038E9">
        <w:rPr>
          <w:rFonts w:cs="Arial"/>
          <w:sz w:val="18"/>
          <w:szCs w:val="18"/>
          <w:rtl/>
        </w:rPr>
        <w:t>ר"ן)</w:t>
      </w:r>
      <w:r>
        <w:rPr>
          <w:rFonts w:cs="Arial" w:hint="cs"/>
          <w:sz w:val="18"/>
          <w:szCs w:val="18"/>
          <w:rtl/>
        </w:rPr>
        <w:t>,</w:t>
      </w:r>
      <w:r w:rsidRPr="00F038E9">
        <w:rPr>
          <w:rFonts w:cs="Arial"/>
          <w:sz w:val="18"/>
          <w:szCs w:val="18"/>
          <w:rtl/>
        </w:rPr>
        <w:t xml:space="preserve"> </w:t>
      </w:r>
      <w:r>
        <w:rPr>
          <w:rFonts w:cs="Arial"/>
          <w:rtl/>
        </w:rPr>
        <w:t>ואפילו לא היו האחים זנים אותה</w:t>
      </w:r>
      <w:r>
        <w:rPr>
          <w:rFonts w:cs="Arial" w:hint="cs"/>
          <w:rtl/>
        </w:rPr>
        <w:t>,</w:t>
      </w:r>
      <w:r>
        <w:rPr>
          <w:rFonts w:cs="Arial"/>
          <w:rtl/>
        </w:rPr>
        <w:t xml:space="preserve"> ואף על פי שלא מחתה בשעת נשואין, מפני שהקטנה אינה בת מחאה</w:t>
      </w:r>
      <w:r>
        <w:rPr>
          <w:rStyle w:val="a7"/>
          <w:rFonts w:cs="Arial"/>
          <w:rtl/>
        </w:rPr>
        <w:footnoteReference w:id="3050"/>
      </w:r>
      <w:r>
        <w:rPr>
          <w:rFonts w:cs="Arial"/>
          <w:rtl/>
        </w:rPr>
        <w:t>. ואם נשאת הבת אחר שגדלה, בין נערה בין בוגרת, ולא תבעה פרנסתה, אבדה פרנסתה א</w:t>
      </w:r>
      <w:r>
        <w:rPr>
          <w:rFonts w:cs="Arial" w:hint="cs"/>
          <w:rtl/>
        </w:rPr>
        <w:t>לא אם כן</w:t>
      </w:r>
      <w:r>
        <w:rPr>
          <w:rStyle w:val="a7"/>
          <w:rFonts w:cs="Arial"/>
          <w:rtl/>
        </w:rPr>
        <w:footnoteReference w:id="3051"/>
      </w:r>
      <w:r>
        <w:rPr>
          <w:rFonts w:cs="Arial"/>
          <w:rtl/>
        </w:rPr>
        <w:t xml:space="preserve"> היו האחים זנין אותה אחר נשואיה </w:t>
      </w:r>
      <w:r>
        <w:rPr>
          <w:rFonts w:cs="Arial" w:hint="cs"/>
          <w:sz w:val="18"/>
          <w:szCs w:val="18"/>
          <w:rtl/>
        </w:rPr>
        <w:t>[הגה]</w:t>
      </w:r>
      <w:r w:rsidRPr="00F038E9">
        <w:rPr>
          <w:rFonts w:cs="Arial"/>
          <w:sz w:val="18"/>
          <w:szCs w:val="18"/>
          <w:rtl/>
        </w:rPr>
        <w:t xml:space="preserve"> והיא ידעה כן בשעת נישואין (ר"ן)</w:t>
      </w:r>
      <w:r>
        <w:rPr>
          <w:rFonts w:cs="Arial" w:hint="cs"/>
          <w:rtl/>
        </w:rPr>
        <w:t xml:space="preserve">. </w:t>
      </w:r>
      <w:r>
        <w:rPr>
          <w:rFonts w:cs="Arial"/>
          <w:rtl/>
        </w:rPr>
        <w:t xml:space="preserve">ואם מחתה בעת נישואיה, הרי זו מוציאה הראוי לה כל זמן שתרצה. ואם בגרה ועודה בבית אביה, בין שבגרה אחר מותו בין שהניחה בוגרת, </w:t>
      </w:r>
      <w:r>
        <w:rPr>
          <w:rFonts w:cs="Arial" w:hint="cs"/>
          <w:sz w:val="18"/>
          <w:szCs w:val="18"/>
          <w:rtl/>
        </w:rPr>
        <w:t xml:space="preserve">[הגה] </w:t>
      </w:r>
      <w:r w:rsidRPr="00F038E9">
        <w:rPr>
          <w:rFonts w:cs="Arial"/>
          <w:sz w:val="18"/>
          <w:szCs w:val="18"/>
          <w:rtl/>
        </w:rPr>
        <w:t>ויש חולקין וסבירא להו דאם הניחה בוגרת אין לה פרנסה כלל</w:t>
      </w:r>
      <w:r>
        <w:rPr>
          <w:rStyle w:val="a7"/>
          <w:rFonts w:cs="Arial"/>
          <w:sz w:val="18"/>
          <w:szCs w:val="18"/>
          <w:rtl/>
        </w:rPr>
        <w:footnoteReference w:id="3052"/>
      </w:r>
      <w:r w:rsidRPr="00F038E9">
        <w:rPr>
          <w:rFonts w:cs="Arial"/>
          <w:sz w:val="18"/>
          <w:szCs w:val="18"/>
          <w:rtl/>
        </w:rPr>
        <w:t xml:space="preserve"> (טור בשם הר"ר יונה והרא"ש)</w:t>
      </w:r>
      <w:r>
        <w:rPr>
          <w:rFonts w:cs="Arial"/>
          <w:rtl/>
        </w:rPr>
        <w:t>, אם פסקו האחים מלתת לה מזונותיה, שהרי אין לה מזונות, ושתקה ולא תבעה פרנסת נדוניתה, אבדה</w:t>
      </w:r>
      <w:r>
        <w:rPr>
          <w:rStyle w:val="a7"/>
          <w:rFonts w:cs="Arial"/>
          <w:rtl/>
        </w:rPr>
        <w:footnoteReference w:id="3053"/>
      </w:r>
      <w:r>
        <w:rPr>
          <w:rFonts w:cs="Arial"/>
          <w:rtl/>
        </w:rPr>
        <w:t xml:space="preserve">. ואם מחתה, לא אבדה. ואם לא פסקו האחים מלזונה, וזנו אותה בבגר, אף על פי שלא מחתה לא אבדה פרנסת נדוניתה כל זמן שהם זנין אותה, שיש לה לטעון מפני שהם זנים אותה אף על פי שאינם חייבים והיא עדיין לא נשאת, מפני זה לא תבעה פרנסתה. </w:t>
      </w:r>
      <w:r>
        <w:rPr>
          <w:rFonts w:cs="Arial" w:hint="cs"/>
          <w:sz w:val="18"/>
          <w:szCs w:val="18"/>
          <w:rtl/>
        </w:rPr>
        <w:t xml:space="preserve">[הגה] </w:t>
      </w:r>
      <w:r w:rsidRPr="00F038E9">
        <w:rPr>
          <w:rFonts w:cs="Arial"/>
          <w:sz w:val="18"/>
          <w:szCs w:val="18"/>
          <w:rtl/>
        </w:rPr>
        <w:t>מי שצוה לתת לבתו שליש נכסיו, והשיאוה אחיה ולא נתנו לה, צריכים ליתן לה אחר כך</w:t>
      </w:r>
      <w:r>
        <w:rPr>
          <w:rStyle w:val="a7"/>
          <w:rFonts w:cs="Arial"/>
          <w:sz w:val="18"/>
          <w:szCs w:val="18"/>
          <w:rtl/>
        </w:rPr>
        <w:footnoteReference w:id="3054"/>
      </w:r>
      <w:r w:rsidRPr="00F038E9">
        <w:rPr>
          <w:rFonts w:cs="Arial"/>
          <w:sz w:val="18"/>
          <w:szCs w:val="18"/>
          <w:rtl/>
        </w:rPr>
        <w:t xml:space="preserve"> (רשב"א</w:t>
      </w:r>
      <w:r>
        <w:rPr>
          <w:rFonts w:cs="Arial" w:hint="cs"/>
          <w:sz w:val="18"/>
          <w:szCs w:val="18"/>
          <w:rtl/>
        </w:rPr>
        <w:t xml:space="preserve"> בתשו'</w:t>
      </w:r>
      <w:r w:rsidRPr="00F038E9">
        <w:rPr>
          <w:rFonts w:cs="Arial"/>
          <w:sz w:val="18"/>
          <w:szCs w:val="18"/>
          <w:rtl/>
        </w:rPr>
        <w:t>).</w:t>
      </w:r>
    </w:p>
    <w:p w14:paraId="060B743D" w14:textId="77777777" w:rsidR="002E5BAD" w:rsidRDefault="002E5BAD" w:rsidP="002E5BAD">
      <w:pPr>
        <w:rPr>
          <w:rtl/>
        </w:rPr>
      </w:pPr>
    </w:p>
    <w:p w14:paraId="00770C0D" w14:textId="77777777" w:rsidR="002E5BAD" w:rsidRDefault="002E5BAD" w:rsidP="002E5BAD">
      <w:pPr>
        <w:pStyle w:val="2"/>
        <w:rPr>
          <w:rtl/>
        </w:rPr>
      </w:pPr>
      <w:r>
        <w:rPr>
          <w:rtl/>
        </w:rPr>
        <w:t>סעיף ח</w:t>
      </w:r>
      <w:r>
        <w:rPr>
          <w:rFonts w:hint="cs"/>
          <w:rtl/>
        </w:rPr>
        <w:t>:</w:t>
      </w:r>
      <w:r w:rsidRPr="00F939CB">
        <w:rPr>
          <w:rFonts w:hint="cs"/>
          <w:rtl/>
        </w:rPr>
        <w:t xml:space="preserve"> </w:t>
      </w:r>
      <w:r>
        <w:rPr>
          <w:rFonts w:hint="cs"/>
          <w:rtl/>
        </w:rPr>
        <w:t>הניח שתי בנות ובן, אחת נטלה פרנסה, ואח"כ האח מת, האם שניה נוטלת פרנסתה.</w:t>
      </w:r>
    </w:p>
    <w:p w14:paraId="7215F190" w14:textId="77777777" w:rsidR="002E5BAD" w:rsidRDefault="002E5BAD" w:rsidP="002E5BAD">
      <w:pPr>
        <w:rPr>
          <w:rtl/>
        </w:rPr>
      </w:pPr>
      <w:r w:rsidRPr="009164FE">
        <w:rPr>
          <w:rFonts w:cs="Arial" w:hint="cs"/>
          <w:b/>
          <w:bCs/>
          <w:rtl/>
        </w:rPr>
        <w:t xml:space="preserve">כתובות </w:t>
      </w:r>
      <w:r w:rsidRPr="009164FE">
        <w:rPr>
          <w:rFonts w:cs="Arial" w:hint="cs"/>
          <w:b/>
          <w:bCs/>
          <w:sz w:val="16"/>
          <w:szCs w:val="16"/>
          <w:rtl/>
        </w:rPr>
        <w:t>(</w:t>
      </w:r>
      <w:r>
        <w:rPr>
          <w:rFonts w:cs="Arial" w:hint="cs"/>
          <w:b/>
          <w:bCs/>
          <w:sz w:val="16"/>
          <w:szCs w:val="16"/>
          <w:rtl/>
        </w:rPr>
        <w:t>ס"</w:t>
      </w:r>
      <w:r w:rsidRPr="009164FE">
        <w:rPr>
          <w:rFonts w:cs="Arial" w:hint="cs"/>
          <w:b/>
          <w:bCs/>
          <w:sz w:val="16"/>
          <w:szCs w:val="16"/>
          <w:rtl/>
        </w:rPr>
        <w:t xml:space="preserve">פ מציאת האשה) </w:t>
      </w:r>
      <w:r w:rsidRPr="009164FE">
        <w:rPr>
          <w:rFonts w:cs="Arial" w:hint="cs"/>
          <w:b/>
          <w:bCs/>
          <w:rtl/>
        </w:rPr>
        <w:t>סח ע"א:</w:t>
      </w:r>
      <w:r>
        <w:rPr>
          <w:rFonts w:cs="Arial"/>
          <w:rtl/>
        </w:rPr>
        <w:t xml:space="preserve"> </w:t>
      </w:r>
      <w:r w:rsidRPr="00516AC0">
        <w:rPr>
          <w:rFonts w:cs="Arial"/>
          <w:rtl/>
        </w:rPr>
        <w:t xml:space="preserve">תלה ליה רב לרבי ביני חטי: האחין ששיעבדו, מהו? </w:t>
      </w:r>
      <w:r w:rsidRPr="00516AC0">
        <w:rPr>
          <w:rFonts w:cs="Arial"/>
          <w:u w:val="single"/>
          <w:rtl/>
        </w:rPr>
        <w:t>הוה יתיב ר' חייא קמיה, אמר ליה</w:t>
      </w:r>
      <w:r w:rsidRPr="00516AC0">
        <w:rPr>
          <w:rFonts w:cs="Arial"/>
          <w:rtl/>
        </w:rPr>
        <w:t xml:space="preserve">: מכרו או משכנו? </w:t>
      </w:r>
      <w:r w:rsidRPr="00516AC0">
        <w:rPr>
          <w:rFonts w:cs="Arial"/>
          <w:u w:val="single"/>
          <w:rtl/>
        </w:rPr>
        <w:t>אמר ליה</w:t>
      </w:r>
      <w:r w:rsidRPr="00516AC0">
        <w:rPr>
          <w:rFonts w:cs="Arial"/>
          <w:rtl/>
        </w:rPr>
        <w:t>: מאי נפקא מינה? בין מכרו בין שמשכנו, מוציאין לפרנסה ואין מוציאין למזונות.</w:t>
      </w:r>
      <w:r>
        <w:rPr>
          <w:rFonts w:cs="Arial" w:hint="cs"/>
          <w:rtl/>
        </w:rPr>
        <w:t>..</w:t>
      </w:r>
      <w:r w:rsidRPr="00516AC0">
        <w:rPr>
          <w:rFonts w:cs="Arial"/>
          <w:rtl/>
        </w:rPr>
        <w:t xml:space="preserve"> </w:t>
      </w:r>
      <w:r w:rsidRPr="00516AC0">
        <w:rPr>
          <w:rFonts w:cs="Arial"/>
          <w:u w:val="single"/>
          <w:rtl/>
        </w:rPr>
        <w:t>ורבי יוחנן אמר</w:t>
      </w:r>
      <w:r w:rsidRPr="00516AC0">
        <w:rPr>
          <w:rFonts w:cs="Arial"/>
          <w:rtl/>
        </w:rPr>
        <w:t>: אחד זה ואחד זה אין מוציאין. איבעיא להו: לרבי יוחנן לא שמיע ליה הא דרבי, ואי שמיע ליה הוה מקבל ליה, או דלמא שמיע ליה ולא מקבל ליה? ת"ש</w:t>
      </w:r>
      <w:r w:rsidRPr="00F939CB">
        <w:rPr>
          <w:rFonts w:cs="Arial"/>
          <w:rtl/>
        </w:rPr>
        <w:t>, דאתמר: מי שמת והניח שתי בנות ובן, וקדמה הראשונה ונטלה עישור נכסים, ולא הספיקה שניה לגבות עד שמת הבן</w:t>
      </w:r>
      <w:r>
        <w:rPr>
          <w:rStyle w:val="a7"/>
          <w:rFonts w:cs="Arial"/>
          <w:rtl/>
        </w:rPr>
        <w:footnoteReference w:id="3055"/>
      </w:r>
      <w:r w:rsidRPr="00F939CB">
        <w:rPr>
          <w:rFonts w:cs="Arial"/>
          <w:rtl/>
        </w:rPr>
        <w:t xml:space="preserve">, </w:t>
      </w:r>
      <w:r w:rsidRPr="00F939CB">
        <w:rPr>
          <w:rFonts w:cs="Arial"/>
          <w:u w:val="single"/>
          <w:rtl/>
        </w:rPr>
        <w:t>אמר ר' יוחנן</w:t>
      </w:r>
      <w:r w:rsidRPr="00F939CB">
        <w:rPr>
          <w:rFonts w:cs="Arial"/>
          <w:rtl/>
        </w:rPr>
        <w:t>: שניה ויתרה</w:t>
      </w:r>
      <w:r>
        <w:rPr>
          <w:rStyle w:val="a7"/>
          <w:rFonts w:cs="Arial"/>
          <w:rtl/>
        </w:rPr>
        <w:footnoteReference w:id="3056"/>
      </w:r>
      <w:r>
        <w:rPr>
          <w:rFonts w:cs="Arial" w:hint="cs"/>
          <w:rtl/>
        </w:rPr>
        <w:t>.</w:t>
      </w:r>
      <w:r w:rsidRPr="00F939CB">
        <w:rPr>
          <w:rFonts w:cs="Arial"/>
          <w:rtl/>
        </w:rPr>
        <w:t xml:space="preserve"> </w:t>
      </w:r>
      <w:r w:rsidRPr="00F939CB">
        <w:rPr>
          <w:rFonts w:cs="Arial"/>
          <w:u w:val="single"/>
          <w:rtl/>
        </w:rPr>
        <w:t>אמר ר' חנינא</w:t>
      </w:r>
      <w:r>
        <w:rPr>
          <w:rFonts w:cs="Arial" w:hint="cs"/>
          <w:rtl/>
        </w:rPr>
        <w:t>:</w:t>
      </w:r>
      <w:r w:rsidRPr="00F939CB">
        <w:rPr>
          <w:rFonts w:cs="Arial"/>
          <w:rtl/>
        </w:rPr>
        <w:t xml:space="preserve"> גדולה מזו</w:t>
      </w:r>
      <w:r>
        <w:rPr>
          <w:rStyle w:val="a7"/>
          <w:rFonts w:cs="Arial"/>
          <w:rtl/>
        </w:rPr>
        <w:footnoteReference w:id="3057"/>
      </w:r>
      <w:r w:rsidRPr="00F939CB">
        <w:rPr>
          <w:rFonts w:cs="Arial"/>
          <w:rtl/>
        </w:rPr>
        <w:t xml:space="preserve"> אמרו: מוציאין לפרנסה ואין מוציאין למזונות, ואת אמרת: שניה ויתרה</w:t>
      </w:r>
      <w:r>
        <w:rPr>
          <w:rFonts w:hint="cs"/>
          <w:rtl/>
        </w:rPr>
        <w:t>?.</w:t>
      </w:r>
      <w:r w:rsidRPr="00516AC0">
        <w:rPr>
          <w:rtl/>
        </w:rPr>
        <w:t xml:space="preserve"> </w:t>
      </w:r>
      <w:r w:rsidRPr="00516AC0">
        <w:rPr>
          <w:rFonts w:cs="Arial"/>
          <w:rtl/>
        </w:rPr>
        <w:t>ואם איתא, נימא ליה: מאן אמרה</w:t>
      </w:r>
      <w:r>
        <w:rPr>
          <w:rStyle w:val="a7"/>
          <w:rFonts w:cs="Arial"/>
          <w:rtl/>
        </w:rPr>
        <w:footnoteReference w:id="3058"/>
      </w:r>
      <w:r w:rsidRPr="00516AC0">
        <w:rPr>
          <w:rFonts w:cs="Arial"/>
          <w:rtl/>
        </w:rPr>
        <w:t>? ודלמא לעולם לא שמיע ליה</w:t>
      </w:r>
      <w:r>
        <w:rPr>
          <w:rStyle w:val="a7"/>
          <w:rFonts w:cs="Arial"/>
          <w:rtl/>
        </w:rPr>
        <w:footnoteReference w:id="3059"/>
      </w:r>
      <w:r w:rsidRPr="00516AC0">
        <w:rPr>
          <w:rFonts w:cs="Arial"/>
          <w:rtl/>
        </w:rPr>
        <w:t>, וכי שמיע ליה קביל, ושאני התם</w:t>
      </w:r>
      <w:r>
        <w:rPr>
          <w:rStyle w:val="a7"/>
          <w:rFonts w:cs="Arial"/>
          <w:rtl/>
        </w:rPr>
        <w:footnoteReference w:id="3060"/>
      </w:r>
      <w:r w:rsidRPr="00516AC0">
        <w:rPr>
          <w:rFonts w:cs="Arial"/>
          <w:rtl/>
        </w:rPr>
        <w:t>, דאיכא רווח ביתא</w:t>
      </w:r>
      <w:r>
        <w:rPr>
          <w:rStyle w:val="a7"/>
          <w:rFonts w:cs="Arial"/>
          <w:rtl/>
        </w:rPr>
        <w:footnoteReference w:id="3061"/>
      </w:r>
      <w:r w:rsidRPr="00516AC0">
        <w:rPr>
          <w:rFonts w:cs="Arial"/>
          <w:rtl/>
        </w:rPr>
        <w:t xml:space="preserve">. </w:t>
      </w:r>
      <w:r w:rsidRPr="004B5D9E">
        <w:rPr>
          <w:rFonts w:cs="Arial"/>
          <w:u w:val="single"/>
          <w:rtl/>
        </w:rPr>
        <w:t>אמר ליה רב יימר לרב אשי</w:t>
      </w:r>
      <w:r w:rsidRPr="00516AC0">
        <w:rPr>
          <w:rFonts w:cs="Arial"/>
          <w:rtl/>
        </w:rPr>
        <w:t xml:space="preserve">: אלא מעתה, אשכחה מציאה בעלמא, דאיכא רווח ביתא, הכי נמי דלא יהבינן לה עישור נכסים? </w:t>
      </w:r>
      <w:r w:rsidRPr="004B5D9E">
        <w:rPr>
          <w:rFonts w:cs="Arial"/>
          <w:u w:val="single"/>
          <w:rtl/>
        </w:rPr>
        <w:t>אמר ליה</w:t>
      </w:r>
      <w:r w:rsidRPr="00516AC0">
        <w:rPr>
          <w:rFonts w:cs="Arial"/>
          <w:rtl/>
        </w:rPr>
        <w:t>: אנא רווח ביתא מהני נכסי קאמינא.</w:t>
      </w:r>
      <w:r w:rsidRPr="009674DA">
        <w:rPr>
          <w:rFonts w:cs="Arial"/>
          <w:sz w:val="16"/>
          <w:szCs w:val="16"/>
          <w:rtl/>
        </w:rPr>
        <w:t xml:space="preserve"> </w:t>
      </w:r>
      <w:r>
        <w:rPr>
          <w:rFonts w:cs="Arial" w:hint="cs"/>
          <w:sz w:val="16"/>
          <w:szCs w:val="16"/>
          <w:rtl/>
        </w:rPr>
        <w:t>(</w:t>
      </w:r>
      <w:r w:rsidRPr="009674DA">
        <w:rPr>
          <w:rFonts w:cs="Arial"/>
          <w:sz w:val="16"/>
          <w:szCs w:val="16"/>
          <w:rtl/>
        </w:rPr>
        <w:t>וכתב הרי"ף (ל:) מסתברא לן דהלכה כרבי יוחנן משום דרב אשי דהוא בתרא ס"ל כוותיה</w:t>
      </w:r>
      <w:r w:rsidRPr="009674DA">
        <w:rPr>
          <w:rFonts w:cs="Arial" w:hint="cs"/>
          <w:sz w:val="16"/>
          <w:szCs w:val="16"/>
          <w:rtl/>
        </w:rPr>
        <w:t>.</w:t>
      </w:r>
      <w:r w:rsidRPr="009674DA">
        <w:rPr>
          <w:rFonts w:cs="Arial"/>
          <w:sz w:val="16"/>
          <w:szCs w:val="16"/>
          <w:rtl/>
        </w:rPr>
        <w:t xml:space="preserve"> אבל בירושלמי (שם ה"ו) פסק כרבי חנינא. וכתב הרא"ש (סי' יז) על זה וכיון דבירושלמי פסק בהדיא כרבי חנינא</w:t>
      </w:r>
      <w:r w:rsidRPr="009674DA">
        <w:rPr>
          <w:rFonts w:cs="Arial" w:hint="cs"/>
          <w:sz w:val="16"/>
          <w:szCs w:val="16"/>
          <w:rtl/>
        </w:rPr>
        <w:t xml:space="preserve"> -</w:t>
      </w:r>
      <w:r w:rsidRPr="009674DA">
        <w:rPr>
          <w:rFonts w:cs="Arial"/>
          <w:sz w:val="16"/>
          <w:szCs w:val="16"/>
          <w:rtl/>
        </w:rPr>
        <w:t xml:space="preserve"> עבדינן כוותיה</w:t>
      </w:r>
      <w:r w:rsidRPr="009674DA">
        <w:rPr>
          <w:rFonts w:cs="Arial" w:hint="cs"/>
          <w:sz w:val="16"/>
          <w:szCs w:val="16"/>
          <w:rtl/>
        </w:rPr>
        <w:t>.</w:t>
      </w:r>
      <w:r w:rsidRPr="009674DA">
        <w:rPr>
          <w:rFonts w:cs="Arial"/>
          <w:sz w:val="16"/>
          <w:szCs w:val="16"/>
          <w:rtl/>
        </w:rPr>
        <w:t xml:space="preserve"> ורב אשי שקיל וטרי ולא משום דס"ל כרבי יוחנן. וכתבו הר"ן (ל: ד"ה תלא) והרב המגיד (פ"כ ה"ט) שגם הרשב"א (סט. ד"ה והא) הסכים לפסוק הלכה כרבי חנינא כדברי הירושלמי</w:t>
      </w:r>
      <w:r w:rsidRPr="009674DA">
        <w:rPr>
          <w:rFonts w:cs="Arial" w:hint="cs"/>
          <w:sz w:val="16"/>
          <w:szCs w:val="16"/>
          <w:rtl/>
        </w:rPr>
        <w:t>.</w:t>
      </w:r>
      <w:r w:rsidRPr="009674DA">
        <w:rPr>
          <w:rFonts w:cs="Arial"/>
          <w:sz w:val="16"/>
          <w:szCs w:val="16"/>
          <w:rtl/>
        </w:rPr>
        <w:t xml:space="preserve"> אבל הרמב"ם בפ"כ פסק כרבי יוחנן</w:t>
      </w:r>
      <w:r w:rsidRPr="009674DA">
        <w:rPr>
          <w:rFonts w:cs="Arial" w:hint="cs"/>
          <w:sz w:val="16"/>
          <w:szCs w:val="16"/>
          <w:rtl/>
        </w:rPr>
        <w:t>.</w:t>
      </w:r>
      <w:r w:rsidRPr="009674DA">
        <w:rPr>
          <w:rFonts w:cs="Arial"/>
          <w:sz w:val="16"/>
          <w:szCs w:val="16"/>
          <w:rtl/>
        </w:rPr>
        <w:t xml:space="preserve"> ומפרש בגמרא טעמא דרבי יוחנן משום דאיכא ריוח ביתא כלומר שהרי נשתכרה הרבה שנוטלת חצי הירושה</w:t>
      </w:r>
      <w:r>
        <w:rPr>
          <w:rFonts w:cs="Arial" w:hint="cs"/>
          <w:sz w:val="16"/>
          <w:szCs w:val="16"/>
          <w:rtl/>
        </w:rPr>
        <w:t>, ב"י)</w:t>
      </w:r>
    </w:p>
    <w:p w14:paraId="4EE10CE9" w14:textId="77777777" w:rsidR="002E5BAD" w:rsidRDefault="002E5BAD" w:rsidP="002E5BAD">
      <w:pPr>
        <w:rPr>
          <w:rtl/>
        </w:rPr>
      </w:pPr>
      <w:r w:rsidRPr="00E84EC5">
        <w:rPr>
          <w:rFonts w:cs="Arial"/>
          <w:b/>
          <w:bCs/>
          <w:rtl/>
        </w:rPr>
        <w:t>ירושלמי כתובות פ</w:t>
      </w:r>
      <w:r>
        <w:rPr>
          <w:rFonts w:cs="Arial" w:hint="cs"/>
          <w:b/>
          <w:bCs/>
          <w:rtl/>
        </w:rPr>
        <w:t>"ו</w:t>
      </w:r>
      <w:r w:rsidRPr="00E84EC5">
        <w:rPr>
          <w:rFonts w:cs="Arial"/>
          <w:b/>
          <w:bCs/>
          <w:rtl/>
        </w:rPr>
        <w:t xml:space="preserve"> ה</w:t>
      </w:r>
      <w:r>
        <w:rPr>
          <w:rFonts w:cs="Arial" w:hint="cs"/>
          <w:b/>
          <w:bCs/>
          <w:rtl/>
        </w:rPr>
        <w:t>"ו:</w:t>
      </w:r>
      <w:r w:rsidRPr="00E84EC5">
        <w:rPr>
          <w:rFonts w:cs="Arial"/>
          <w:b/>
          <w:bCs/>
          <w:rtl/>
        </w:rPr>
        <w:t xml:space="preserve"> </w:t>
      </w:r>
      <w:r w:rsidRPr="00E84EC5">
        <w:rPr>
          <w:rFonts w:cs="Arial"/>
          <w:rtl/>
        </w:rPr>
        <w:t>הרי שהיו שתי נקיבות ובן אחד</w:t>
      </w:r>
      <w:r>
        <w:rPr>
          <w:rFonts w:cs="Arial" w:hint="cs"/>
          <w:rtl/>
        </w:rPr>
        <w:t>,</w:t>
      </w:r>
      <w:r w:rsidRPr="00E84EC5">
        <w:rPr>
          <w:rFonts w:cs="Arial"/>
          <w:rtl/>
        </w:rPr>
        <w:t xml:space="preserve"> ונטלה הראשונה עישור נכסים</w:t>
      </w:r>
      <w:r>
        <w:rPr>
          <w:rFonts w:cs="Arial" w:hint="cs"/>
          <w:rtl/>
        </w:rPr>
        <w:t>.</w:t>
      </w:r>
      <w:r w:rsidRPr="00E84EC5">
        <w:rPr>
          <w:rFonts w:cs="Arial"/>
          <w:rtl/>
        </w:rPr>
        <w:t xml:space="preserve"> לא הספיקה השנייה ליטול עישור נכסים עד שמת הבן</w:t>
      </w:r>
      <w:r>
        <w:rPr>
          <w:rFonts w:cs="Arial" w:hint="cs"/>
          <w:rtl/>
        </w:rPr>
        <w:t>,</w:t>
      </w:r>
      <w:r w:rsidRPr="00E84EC5">
        <w:rPr>
          <w:rFonts w:cs="Arial"/>
          <w:rtl/>
        </w:rPr>
        <w:t xml:space="preserve"> </w:t>
      </w:r>
      <w:r w:rsidRPr="00E84EC5">
        <w:rPr>
          <w:rFonts w:cs="Arial"/>
          <w:u w:val="single"/>
          <w:rtl/>
        </w:rPr>
        <w:t>רבי חנינה סבר מימר</w:t>
      </w:r>
      <w:r>
        <w:rPr>
          <w:rFonts w:cs="Arial" w:hint="cs"/>
          <w:rtl/>
        </w:rPr>
        <w:t>:</w:t>
      </w:r>
      <w:r w:rsidRPr="00E84EC5">
        <w:rPr>
          <w:rFonts w:cs="Arial"/>
          <w:rtl/>
        </w:rPr>
        <w:t xml:space="preserve"> השנייה נוטלת עישור נכסים והשאר חולקות אותו בשוה</w:t>
      </w:r>
      <w:r>
        <w:rPr>
          <w:rFonts w:cs="Arial" w:hint="cs"/>
          <w:rtl/>
        </w:rPr>
        <w:t>.</w:t>
      </w:r>
      <w:r w:rsidRPr="00E84EC5">
        <w:rPr>
          <w:rFonts w:cs="Arial"/>
          <w:rtl/>
        </w:rPr>
        <w:t xml:space="preserve"> </w:t>
      </w:r>
      <w:r w:rsidRPr="00E84EC5">
        <w:rPr>
          <w:rFonts w:cs="Arial"/>
          <w:u w:val="single"/>
          <w:rtl/>
        </w:rPr>
        <w:t>אמר ליה רבי יוחנן</w:t>
      </w:r>
      <w:r>
        <w:rPr>
          <w:rFonts w:cs="Arial" w:hint="cs"/>
          <w:rtl/>
        </w:rPr>
        <w:t>:</w:t>
      </w:r>
      <w:r w:rsidRPr="00E84EC5">
        <w:rPr>
          <w:rFonts w:cs="Arial"/>
          <w:rtl/>
        </w:rPr>
        <w:t xml:space="preserve"> תמן בשלא היה להתפרנס</w:t>
      </w:r>
      <w:r>
        <w:rPr>
          <w:rFonts w:cs="Arial" w:hint="cs"/>
          <w:rtl/>
        </w:rPr>
        <w:t>,</w:t>
      </w:r>
      <w:r w:rsidRPr="00E84EC5">
        <w:rPr>
          <w:rFonts w:cs="Arial"/>
          <w:rtl/>
        </w:rPr>
        <w:t xml:space="preserve"> ברם הכא תמכור את השאר ותתפרנס ממנו</w:t>
      </w:r>
      <w:r>
        <w:rPr>
          <w:rFonts w:cs="Arial" w:hint="cs"/>
          <w:rtl/>
        </w:rPr>
        <w:t>.</w:t>
      </w:r>
      <w:r w:rsidRPr="00E84EC5">
        <w:rPr>
          <w:rFonts w:cs="Arial"/>
          <w:rtl/>
        </w:rPr>
        <w:t xml:space="preserve"> </w:t>
      </w:r>
      <w:r w:rsidRPr="00E84EC5">
        <w:rPr>
          <w:rFonts w:cs="Arial"/>
          <w:u w:val="single"/>
          <w:rtl/>
        </w:rPr>
        <w:t>ר' טבי בשם רבי יאשיה</w:t>
      </w:r>
      <w:r>
        <w:rPr>
          <w:rFonts w:cs="Arial" w:hint="cs"/>
          <w:rtl/>
        </w:rPr>
        <w:t>:</w:t>
      </w:r>
      <w:r w:rsidRPr="00E84EC5">
        <w:rPr>
          <w:rFonts w:cs="Arial"/>
          <w:rtl/>
        </w:rPr>
        <w:t xml:space="preserve"> טעמא דרבי חנינה אין מן המשועבדין היא גובה</w:t>
      </w:r>
      <w:r>
        <w:rPr>
          <w:rFonts w:cs="Arial" w:hint="cs"/>
          <w:rtl/>
        </w:rPr>
        <w:t>?</w:t>
      </w:r>
      <w:r w:rsidRPr="00E84EC5">
        <w:rPr>
          <w:rFonts w:cs="Arial"/>
          <w:rtl/>
        </w:rPr>
        <w:t xml:space="preserve"> לא כל שכן ממה שלפניה</w:t>
      </w:r>
      <w:r>
        <w:rPr>
          <w:rFonts w:cs="Arial" w:hint="cs"/>
          <w:rtl/>
        </w:rPr>
        <w:t>!</w:t>
      </w:r>
      <w:r w:rsidRPr="00E84EC5">
        <w:rPr>
          <w:rFonts w:cs="Arial"/>
          <w:rtl/>
        </w:rPr>
        <w:t xml:space="preserve"> רבי יוחנן כדעתיה </w:t>
      </w:r>
      <w:r w:rsidRPr="00E84EC5">
        <w:rPr>
          <w:rFonts w:cs="Arial"/>
          <w:u w:val="single"/>
          <w:rtl/>
        </w:rPr>
        <w:t>דמר רבי זעירא</w:t>
      </w:r>
      <w:r>
        <w:rPr>
          <w:rFonts w:cs="Arial" w:hint="cs"/>
          <w:rtl/>
        </w:rPr>
        <w:t>:</w:t>
      </w:r>
      <w:r w:rsidRPr="00E84EC5">
        <w:rPr>
          <w:rFonts w:cs="Arial"/>
          <w:rtl/>
        </w:rPr>
        <w:t xml:space="preserve"> רבי יוחנן לא גבי</w:t>
      </w:r>
      <w:r>
        <w:rPr>
          <w:rFonts w:cs="Arial" w:hint="cs"/>
          <w:rtl/>
        </w:rPr>
        <w:t>.</w:t>
      </w:r>
      <w:r w:rsidRPr="00E84EC5">
        <w:rPr>
          <w:rFonts w:cs="Arial"/>
          <w:rtl/>
        </w:rPr>
        <w:t xml:space="preserve"> מאן גבי</w:t>
      </w:r>
      <w:r>
        <w:rPr>
          <w:rFonts w:cs="Arial" w:hint="cs"/>
          <w:rtl/>
        </w:rPr>
        <w:t>?</w:t>
      </w:r>
      <w:r w:rsidRPr="00E84EC5">
        <w:rPr>
          <w:rFonts w:cs="Arial"/>
          <w:rtl/>
        </w:rPr>
        <w:t xml:space="preserve"> רבי חנינה גבי</w:t>
      </w:r>
      <w:r>
        <w:rPr>
          <w:rFonts w:cs="Arial" w:hint="cs"/>
          <w:rtl/>
        </w:rPr>
        <w:t>..</w:t>
      </w:r>
      <w:r>
        <w:rPr>
          <w:rFonts w:hint="cs"/>
          <w:rtl/>
        </w:rPr>
        <w:t>.</w:t>
      </w:r>
      <w:r w:rsidRPr="009674DA">
        <w:rPr>
          <w:rtl/>
        </w:rPr>
        <w:t xml:space="preserve"> </w:t>
      </w:r>
      <w:r w:rsidRPr="009674DA">
        <w:rPr>
          <w:rFonts w:cs="Arial"/>
          <w:u w:val="single"/>
          <w:rtl/>
        </w:rPr>
        <w:t>רבי זעירא בעא קומי רבי יוסי</w:t>
      </w:r>
      <w:r>
        <w:rPr>
          <w:rFonts w:cs="Arial" w:hint="cs"/>
          <w:rtl/>
        </w:rPr>
        <w:t>:</w:t>
      </w:r>
      <w:r w:rsidRPr="009674DA">
        <w:rPr>
          <w:rFonts w:cs="Arial"/>
          <w:rtl/>
        </w:rPr>
        <w:t xml:space="preserve"> היך עבדין עובדא</w:t>
      </w:r>
      <w:r>
        <w:rPr>
          <w:rFonts w:cs="Arial" w:hint="cs"/>
          <w:rtl/>
        </w:rPr>
        <w:t>?</w:t>
      </w:r>
      <w:r w:rsidRPr="009674DA">
        <w:rPr>
          <w:rFonts w:cs="Arial"/>
          <w:rtl/>
        </w:rPr>
        <w:t xml:space="preserve"> </w:t>
      </w:r>
      <w:r w:rsidRPr="009674DA">
        <w:rPr>
          <w:rFonts w:cs="Arial"/>
          <w:u w:val="single"/>
          <w:rtl/>
        </w:rPr>
        <w:t>אמר ליה</w:t>
      </w:r>
      <w:r>
        <w:rPr>
          <w:rFonts w:cs="Arial" w:hint="cs"/>
          <w:rtl/>
        </w:rPr>
        <w:t>:</w:t>
      </w:r>
      <w:r w:rsidRPr="009674DA">
        <w:rPr>
          <w:rFonts w:cs="Arial"/>
          <w:rtl/>
        </w:rPr>
        <w:t xml:space="preserve"> כרבי חנינה</w:t>
      </w:r>
      <w:r>
        <w:rPr>
          <w:rFonts w:cs="Arial" w:hint="cs"/>
          <w:rtl/>
        </w:rPr>
        <w:t>.</w:t>
      </w:r>
      <w:r w:rsidRPr="009674DA">
        <w:rPr>
          <w:rFonts w:cs="Arial"/>
          <w:rtl/>
        </w:rPr>
        <w:t xml:space="preserve"> וכן נפק עובדא כרבי חנינה</w:t>
      </w:r>
      <w:r>
        <w:rPr>
          <w:rFonts w:cs="Arial" w:hint="cs"/>
          <w:rtl/>
        </w:rPr>
        <w:t>.</w:t>
      </w:r>
      <w:r w:rsidRPr="009674DA">
        <w:rPr>
          <w:rFonts w:cs="Arial"/>
          <w:rtl/>
        </w:rPr>
        <w:t xml:space="preserve"> </w:t>
      </w:r>
      <w:r w:rsidRPr="009674DA">
        <w:rPr>
          <w:rFonts w:cs="Arial"/>
          <w:u w:val="single"/>
          <w:rtl/>
        </w:rPr>
        <w:t>רבי אבון בשם רבי הילא</w:t>
      </w:r>
      <w:r>
        <w:rPr>
          <w:rFonts w:cs="Arial" w:hint="cs"/>
          <w:rtl/>
        </w:rPr>
        <w:t>:</w:t>
      </w:r>
      <w:r w:rsidRPr="009674DA">
        <w:rPr>
          <w:rFonts w:cs="Arial"/>
          <w:rtl/>
        </w:rPr>
        <w:t xml:space="preserve"> רואין את הנכסין</w:t>
      </w:r>
      <w:r>
        <w:rPr>
          <w:rStyle w:val="a7"/>
          <w:rFonts w:cs="Arial"/>
          <w:rtl/>
        </w:rPr>
        <w:footnoteReference w:id="3062"/>
      </w:r>
      <w:r w:rsidRPr="009674DA">
        <w:rPr>
          <w:rFonts w:cs="Arial"/>
          <w:rtl/>
        </w:rPr>
        <w:t xml:space="preserve"> כאילו חריבין</w:t>
      </w:r>
      <w:r>
        <w:rPr>
          <w:rFonts w:hint="cs"/>
          <w:rtl/>
        </w:rPr>
        <w:t>.</w:t>
      </w:r>
    </w:p>
    <w:p w14:paraId="2AB925BB" w14:textId="77777777" w:rsidR="002E5BAD" w:rsidRPr="00F939CB" w:rsidRDefault="002E5BAD" w:rsidP="002E5BAD">
      <w:pPr>
        <w:rPr>
          <w:u w:val="single"/>
          <w:rtl/>
        </w:rPr>
      </w:pPr>
      <w:r>
        <w:rPr>
          <w:rFonts w:hint="cs"/>
          <w:u w:val="single"/>
          <w:rtl/>
        </w:rPr>
        <w:t xml:space="preserve">הניח </w:t>
      </w:r>
      <w:r w:rsidRPr="00F939CB">
        <w:rPr>
          <w:rFonts w:hint="cs"/>
          <w:u w:val="single"/>
          <w:rtl/>
        </w:rPr>
        <w:t xml:space="preserve">שתי בנות ובן, אחת נטלה פרנסה, ואח"כ האח מת </w:t>
      </w:r>
      <w:r w:rsidRPr="00F939CB">
        <w:rPr>
          <w:u w:val="single"/>
          <w:rtl/>
        </w:rPr>
        <w:t>–</w:t>
      </w:r>
      <w:r w:rsidRPr="00F939CB">
        <w:rPr>
          <w:rFonts w:hint="cs"/>
          <w:u w:val="single"/>
          <w:rtl/>
        </w:rPr>
        <w:t xml:space="preserve"> האם האחות השניה נוטלת פרנסתה:</w:t>
      </w:r>
    </w:p>
    <w:p w14:paraId="1BE93DAB" w14:textId="77777777" w:rsidR="002E5BAD" w:rsidRPr="009674DA" w:rsidRDefault="002E5BAD" w:rsidP="00B75458">
      <w:pPr>
        <w:pStyle w:val="ab"/>
        <w:numPr>
          <w:ilvl w:val="0"/>
          <w:numId w:val="195"/>
        </w:numPr>
      </w:pPr>
      <w:r>
        <w:rPr>
          <w:rFonts w:cs="Arial" w:hint="cs"/>
          <w:rtl/>
        </w:rPr>
        <w:t xml:space="preserve">רי"ף </w:t>
      </w:r>
      <w:r w:rsidRPr="009674DA">
        <w:rPr>
          <w:rFonts w:cs="Arial"/>
          <w:sz w:val="16"/>
          <w:szCs w:val="16"/>
          <w:rtl/>
        </w:rPr>
        <w:t>(ל:)</w:t>
      </w:r>
      <w:r>
        <w:rPr>
          <w:rFonts w:cs="Arial" w:hint="cs"/>
          <w:rtl/>
        </w:rPr>
        <w:t xml:space="preserve"> רמב"ם </w:t>
      </w:r>
      <w:r>
        <w:rPr>
          <w:rFonts w:cs="Arial" w:hint="cs"/>
          <w:sz w:val="16"/>
          <w:szCs w:val="16"/>
          <w:rtl/>
        </w:rPr>
        <w:t>(פ"כ ה"ט)</w:t>
      </w:r>
      <w:r>
        <w:rPr>
          <w:rFonts w:cs="Arial" w:hint="cs"/>
          <w:rtl/>
        </w:rPr>
        <w:t xml:space="preserve">- </w:t>
      </w:r>
      <w:r w:rsidRPr="009674DA">
        <w:rPr>
          <w:rFonts w:cs="Arial"/>
          <w:rtl/>
        </w:rPr>
        <w:t>מי שמת והניח שתי בנות ובן</w:t>
      </w:r>
      <w:r>
        <w:rPr>
          <w:rFonts w:cs="Arial" w:hint="cs"/>
          <w:rtl/>
        </w:rPr>
        <w:t>,</w:t>
      </w:r>
      <w:r w:rsidRPr="009674DA">
        <w:rPr>
          <w:rFonts w:cs="Arial"/>
          <w:rtl/>
        </w:rPr>
        <w:t xml:space="preserve"> וקדמה ראשונה ונטלה עישור נכסים</w:t>
      </w:r>
      <w:r>
        <w:rPr>
          <w:rFonts w:cs="Arial" w:hint="cs"/>
          <w:rtl/>
        </w:rPr>
        <w:t>,</w:t>
      </w:r>
      <w:r w:rsidRPr="009674DA">
        <w:rPr>
          <w:rFonts w:cs="Arial"/>
          <w:rtl/>
        </w:rPr>
        <w:t xml:space="preserve"> ולא הספיקה השניה לגבות עד שמת הבן ונפלו כל הנכסים לשתיהן </w:t>
      </w:r>
      <w:r>
        <w:rPr>
          <w:rFonts w:cs="Arial" w:hint="cs"/>
          <w:rtl/>
        </w:rPr>
        <w:t xml:space="preserve">- </w:t>
      </w:r>
      <w:r w:rsidRPr="009674DA">
        <w:rPr>
          <w:rFonts w:cs="Arial"/>
          <w:rtl/>
        </w:rPr>
        <w:t>אין השניה נוטלת עישור</w:t>
      </w:r>
      <w:r>
        <w:rPr>
          <w:rFonts w:cs="Arial" w:hint="cs"/>
          <w:rtl/>
        </w:rPr>
        <w:t>,</w:t>
      </w:r>
      <w:r w:rsidRPr="009674DA">
        <w:rPr>
          <w:rFonts w:cs="Arial"/>
          <w:rtl/>
        </w:rPr>
        <w:t xml:space="preserve"> אלא חולקות בשוה</w:t>
      </w:r>
      <w:r>
        <w:rPr>
          <w:rFonts w:cs="Arial" w:hint="cs"/>
          <w:rtl/>
        </w:rPr>
        <w:t>,</w:t>
      </w:r>
      <w:r w:rsidRPr="009674DA">
        <w:rPr>
          <w:rFonts w:cs="Arial"/>
          <w:rtl/>
        </w:rPr>
        <w:t xml:space="preserve"> וזכת ראשונה בעישור שלה</w:t>
      </w:r>
      <w:r>
        <w:rPr>
          <w:rFonts w:cs="Arial" w:hint="cs"/>
          <w:sz w:val="16"/>
          <w:szCs w:val="16"/>
          <w:rtl/>
        </w:rPr>
        <w:t xml:space="preserve"> (ל' הרמב"ם)</w:t>
      </w:r>
      <w:r w:rsidRPr="009674DA">
        <w:rPr>
          <w:rFonts w:cs="Arial"/>
          <w:rtl/>
        </w:rPr>
        <w:t>.</w:t>
      </w:r>
      <w:r w:rsidRPr="00A3392E">
        <w:rPr>
          <w:rFonts w:cs="Arial"/>
          <w:color w:val="E36C0A" w:themeColor="accent6" w:themeShade="BF"/>
          <w:rtl/>
        </w:rPr>
        <w:t xml:space="preserve"> </w:t>
      </w:r>
      <w:r w:rsidRPr="00A3392E">
        <w:rPr>
          <w:rFonts w:hint="cs"/>
          <w:color w:val="E36C0A" w:themeColor="accent6" w:themeShade="BF"/>
          <w:rtl/>
        </w:rPr>
        <w:t>(וכ"פ בשו"ע)</w:t>
      </w:r>
    </w:p>
    <w:p w14:paraId="5DEF8E94" w14:textId="77777777" w:rsidR="002E5BAD" w:rsidRPr="00A3392E" w:rsidRDefault="002E5BAD" w:rsidP="00B75458">
      <w:pPr>
        <w:pStyle w:val="ab"/>
        <w:numPr>
          <w:ilvl w:val="0"/>
          <w:numId w:val="195"/>
        </w:numPr>
      </w:pPr>
      <w:r>
        <w:rPr>
          <w:rFonts w:cs="Arial" w:hint="cs"/>
          <w:rtl/>
        </w:rPr>
        <w:t>רשב"א</w:t>
      </w:r>
      <w:r w:rsidRPr="009674DA">
        <w:rPr>
          <w:rFonts w:cs="Arial"/>
          <w:sz w:val="16"/>
          <w:szCs w:val="16"/>
          <w:rtl/>
        </w:rPr>
        <w:t xml:space="preserve"> (סט. ד"ה והא) </w:t>
      </w:r>
      <w:r>
        <w:rPr>
          <w:rFonts w:cs="Arial" w:hint="cs"/>
          <w:rtl/>
        </w:rPr>
        <w:t xml:space="preserve">ורא"ש </w:t>
      </w:r>
      <w:r w:rsidRPr="009674DA">
        <w:rPr>
          <w:rFonts w:cs="Arial"/>
          <w:sz w:val="16"/>
          <w:szCs w:val="16"/>
          <w:rtl/>
        </w:rPr>
        <w:t>(סי' יז)</w:t>
      </w:r>
      <w:r>
        <w:rPr>
          <w:rFonts w:cs="Arial" w:hint="cs"/>
          <w:rtl/>
        </w:rPr>
        <w:t xml:space="preserve">- </w:t>
      </w:r>
      <w:r w:rsidRPr="00A3392E">
        <w:rPr>
          <w:rFonts w:cs="Arial"/>
          <w:rtl/>
        </w:rPr>
        <w:t>מי שמת והניח שתי בנות ובן ונטלה הראשונה עישור נכסים ולא הספיקה שנייה ליטול עישור נכסים עד שמת הבן</w:t>
      </w:r>
      <w:r>
        <w:rPr>
          <w:rFonts w:cs="Arial" w:hint="cs"/>
          <w:rtl/>
        </w:rPr>
        <w:t>...</w:t>
      </w:r>
      <w:r w:rsidRPr="00A3392E">
        <w:rPr>
          <w:rFonts w:cs="Arial"/>
          <w:rtl/>
        </w:rPr>
        <w:t xml:space="preserve"> </w:t>
      </w:r>
      <w:r>
        <w:rPr>
          <w:rFonts w:cs="Arial" w:hint="cs"/>
          <w:rtl/>
        </w:rPr>
        <w:t xml:space="preserve">- </w:t>
      </w:r>
      <w:r w:rsidRPr="009674DA">
        <w:rPr>
          <w:rFonts w:cs="Arial"/>
          <w:rtl/>
        </w:rPr>
        <w:t>גם היא נוטלת העישור שלה ואח"כ יחלקו</w:t>
      </w:r>
      <w:r>
        <w:rPr>
          <w:rFonts w:cs="Arial" w:hint="cs"/>
          <w:sz w:val="16"/>
          <w:szCs w:val="16"/>
          <w:rtl/>
        </w:rPr>
        <w:t xml:space="preserve"> (ל' הטור בשם  הרא"ש)</w:t>
      </w:r>
      <w:r w:rsidRPr="009674DA">
        <w:rPr>
          <w:rFonts w:cs="Arial" w:hint="cs"/>
          <w:rtl/>
        </w:rPr>
        <w:t>.</w:t>
      </w:r>
      <w:r w:rsidRPr="009674DA">
        <w:rPr>
          <w:rFonts w:cs="Arial"/>
          <w:rtl/>
        </w:rPr>
        <w:t xml:space="preserve"> </w:t>
      </w:r>
      <w:r w:rsidRPr="00A3392E">
        <w:rPr>
          <w:rFonts w:hint="cs"/>
          <w:color w:val="00B0F0"/>
          <w:rtl/>
        </w:rPr>
        <w:t>(וכ"כ הרמ"א)</w:t>
      </w:r>
    </w:p>
    <w:p w14:paraId="4A3DAC37" w14:textId="77777777" w:rsidR="002E5BAD" w:rsidRPr="00A3392E" w:rsidRDefault="002E5BAD" w:rsidP="002E5BAD">
      <w:pPr>
        <w:ind w:left="360"/>
        <w:rPr>
          <w:u w:val="dotted"/>
        </w:rPr>
      </w:pPr>
      <w:r>
        <w:rPr>
          <w:rFonts w:hint="cs"/>
          <w:u w:val="dotted"/>
          <w:rtl/>
        </w:rPr>
        <w:t xml:space="preserve">לפוסקים כר' יוחנן </w:t>
      </w:r>
      <w:r>
        <w:rPr>
          <w:rFonts w:hint="cs"/>
          <w:sz w:val="16"/>
          <w:szCs w:val="16"/>
          <w:u w:val="dotted"/>
          <w:rtl/>
        </w:rPr>
        <w:t>(רי"ף ורמב"ם)</w:t>
      </w:r>
      <w:r>
        <w:rPr>
          <w:rFonts w:hint="cs"/>
          <w:u w:val="dotted"/>
          <w:rtl/>
        </w:rPr>
        <w:t xml:space="preserve"> - </w:t>
      </w:r>
      <w:r w:rsidRPr="00A3392E">
        <w:rPr>
          <w:rFonts w:hint="cs"/>
          <w:u w:val="dotted"/>
          <w:rtl/>
        </w:rPr>
        <w:t xml:space="preserve">מה הדין </w:t>
      </w:r>
      <w:r>
        <w:rPr>
          <w:rFonts w:hint="cs"/>
          <w:u w:val="dotted"/>
          <w:rtl/>
        </w:rPr>
        <w:t xml:space="preserve">היכא דליכא רווח ביתא </w:t>
      </w:r>
      <w:r w:rsidRPr="00BE1B6B">
        <w:rPr>
          <w:rFonts w:hint="cs"/>
          <w:sz w:val="16"/>
          <w:szCs w:val="16"/>
          <w:u w:val="dotted"/>
          <w:rtl/>
        </w:rPr>
        <w:t>(כגון שיש עשר בנות ובן אחד)</w:t>
      </w:r>
      <w:r w:rsidRPr="00A3392E">
        <w:rPr>
          <w:rFonts w:hint="cs"/>
          <w:u w:val="dotted"/>
          <w:rtl/>
        </w:rPr>
        <w:t>:</w:t>
      </w:r>
    </w:p>
    <w:p w14:paraId="3B049BC3" w14:textId="77777777" w:rsidR="002E5BAD" w:rsidRPr="00BE1B6B" w:rsidRDefault="002E5BAD" w:rsidP="00B75458">
      <w:pPr>
        <w:pStyle w:val="ab"/>
        <w:numPr>
          <w:ilvl w:val="0"/>
          <w:numId w:val="195"/>
        </w:numPr>
      </w:pPr>
      <w:r>
        <w:rPr>
          <w:rFonts w:cs="Arial" w:hint="cs"/>
          <w:rtl/>
        </w:rPr>
        <w:t xml:space="preserve">תוס' </w:t>
      </w:r>
      <w:r w:rsidRPr="00BE1B6B">
        <w:rPr>
          <w:rFonts w:cs="Arial" w:hint="cs"/>
          <w:sz w:val="16"/>
          <w:szCs w:val="16"/>
          <w:rtl/>
        </w:rPr>
        <w:t xml:space="preserve">(סט. ד"ה </w:t>
      </w:r>
      <w:r w:rsidRPr="00BE1B6B">
        <w:rPr>
          <w:rFonts w:cs="Arial"/>
          <w:sz w:val="16"/>
          <w:szCs w:val="16"/>
          <w:rtl/>
        </w:rPr>
        <w:t>משום רווח ביתא</w:t>
      </w:r>
      <w:r w:rsidRPr="00BE1B6B">
        <w:rPr>
          <w:rFonts w:cs="Arial" w:hint="cs"/>
          <w:sz w:val="16"/>
          <w:szCs w:val="16"/>
          <w:rtl/>
        </w:rPr>
        <w:t>)</w:t>
      </w:r>
      <w:r w:rsidRPr="00BE1B6B">
        <w:rPr>
          <w:rFonts w:cs="Arial"/>
          <w:rtl/>
        </w:rPr>
        <w:t>- יש להסתפק היכא דאיכא עשר בנות דליכא רווח ביתא מהו</w:t>
      </w:r>
      <w:r>
        <w:rPr>
          <w:rStyle w:val="a7"/>
          <w:rFonts w:cs="Arial"/>
          <w:rtl/>
        </w:rPr>
        <w:footnoteReference w:id="3063"/>
      </w:r>
      <w:r>
        <w:rPr>
          <w:rFonts w:cs="Arial" w:hint="cs"/>
          <w:rtl/>
        </w:rPr>
        <w:t>.</w:t>
      </w:r>
    </w:p>
    <w:p w14:paraId="3AD8634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647F2B" w14:textId="77777777" w:rsidR="002E5BAD" w:rsidRDefault="002E5BAD" w:rsidP="002E5BAD">
      <w:pPr>
        <w:rPr>
          <w:rFonts w:cs="Arial"/>
          <w:sz w:val="18"/>
          <w:szCs w:val="18"/>
          <w:rtl/>
        </w:rPr>
      </w:pPr>
      <w:r>
        <w:rPr>
          <w:rFonts w:cs="Arial"/>
          <w:rtl/>
        </w:rPr>
        <w:lastRenderedPageBreak/>
        <w:t xml:space="preserve">מי שמת והניח שתי בנות ובן, וקדמה ראשונה ונטלה עישור נכסים, ולא הספיקה השניה לגבות עד שמת הבן ונפלו כל הנכסים לשתיהן, אין השניה נוטלת עישור, אלא חולקות בשוה וזכתה הראשונה בעישור שלה. </w:t>
      </w:r>
      <w:r>
        <w:rPr>
          <w:rFonts w:cs="Arial" w:hint="cs"/>
          <w:sz w:val="18"/>
          <w:szCs w:val="18"/>
          <w:rtl/>
        </w:rPr>
        <w:t xml:space="preserve">[הגה] </w:t>
      </w:r>
      <w:r w:rsidRPr="00F038E9">
        <w:rPr>
          <w:rFonts w:cs="Arial"/>
          <w:sz w:val="18"/>
          <w:szCs w:val="18"/>
          <w:rtl/>
        </w:rPr>
        <w:t xml:space="preserve">ויש חולקין וסבירא להו דגם השניה נוטלת עישור שלה תחלה ואחר כך חולקין (טור בשם הרא"ש). </w:t>
      </w:r>
    </w:p>
    <w:p w14:paraId="1C6F6433" w14:textId="77777777" w:rsidR="002E5BAD" w:rsidRDefault="002E5BAD" w:rsidP="002E5BAD">
      <w:pPr>
        <w:rPr>
          <w:rtl/>
        </w:rPr>
      </w:pPr>
    </w:p>
    <w:p w14:paraId="7863A841" w14:textId="77777777" w:rsidR="002E5BAD" w:rsidRDefault="002E5BAD" w:rsidP="002E5BAD">
      <w:pPr>
        <w:pStyle w:val="2"/>
        <w:rPr>
          <w:rtl/>
        </w:rPr>
      </w:pPr>
      <w:r>
        <w:rPr>
          <w:rtl/>
        </w:rPr>
        <w:t>סעיף ט</w:t>
      </w:r>
      <w:r>
        <w:rPr>
          <w:rFonts w:hint="cs"/>
          <w:rtl/>
        </w:rPr>
        <w:t>: הניח רק בנות.</w:t>
      </w:r>
    </w:p>
    <w:p w14:paraId="223ABA81" w14:textId="77777777" w:rsidR="002E5BAD" w:rsidRDefault="002E5BAD" w:rsidP="002E5BAD">
      <w:pPr>
        <w:rPr>
          <w:rtl/>
        </w:rPr>
      </w:pPr>
      <w:r w:rsidRPr="009063CC">
        <w:rPr>
          <w:rFonts w:hint="cs"/>
          <w:b/>
          <w:bCs/>
          <w:rtl/>
        </w:rPr>
        <w:t xml:space="preserve">בבא בתרא </w:t>
      </w:r>
      <w:r w:rsidRPr="009063CC">
        <w:rPr>
          <w:rFonts w:hint="cs"/>
          <w:b/>
          <w:bCs/>
          <w:sz w:val="16"/>
          <w:szCs w:val="16"/>
          <w:rtl/>
        </w:rPr>
        <w:t xml:space="preserve">(ס"פ יש נוחלין) </w:t>
      </w:r>
      <w:r w:rsidRPr="009063CC">
        <w:rPr>
          <w:rFonts w:hint="cs"/>
          <w:b/>
          <w:bCs/>
          <w:rtl/>
        </w:rPr>
        <w:t>קלט ע"א:</w:t>
      </w:r>
      <w:r>
        <w:rPr>
          <w:rFonts w:hint="cs"/>
          <w:rtl/>
        </w:rPr>
        <w:t xml:space="preserve"> </w:t>
      </w:r>
      <w:r w:rsidRPr="009063CC">
        <w:rPr>
          <w:rFonts w:cs="Arial"/>
          <w:u w:val="double"/>
          <w:rtl/>
        </w:rPr>
        <w:t>מתני'</w:t>
      </w:r>
      <w:r>
        <w:rPr>
          <w:rFonts w:cs="Arial" w:hint="cs"/>
          <w:rtl/>
        </w:rPr>
        <w:t>:...</w:t>
      </w:r>
      <w:r>
        <w:rPr>
          <w:rFonts w:cs="Arial"/>
          <w:rtl/>
        </w:rPr>
        <w:t xml:space="preserve"> הניח בנות גדולות וקטנות - אין הגדולות מתפרנסות על ידי הקטנות, ולא הקטנות נזונות על הגדולות, אלא חולקות בשוה. נשאו גדולות - ישאו קטנות, ואם אמרו קטנות: הרי אנו נושאות כדרך שנשאתם אתם - אין שומעין להן.</w:t>
      </w:r>
      <w:r>
        <w:rPr>
          <w:rFonts w:cs="Arial" w:hint="cs"/>
          <w:rtl/>
        </w:rPr>
        <w:t>.</w:t>
      </w:r>
      <w:r>
        <w:rPr>
          <w:rFonts w:cs="Arial"/>
          <w:rtl/>
        </w:rPr>
        <w:t xml:space="preserve">. </w:t>
      </w:r>
      <w:r>
        <w:rPr>
          <w:rFonts w:hint="cs"/>
          <w:rtl/>
        </w:rPr>
        <w:t xml:space="preserve">       </w:t>
      </w:r>
      <w:r w:rsidRPr="009063CC">
        <w:rPr>
          <w:rFonts w:cs="Arial"/>
          <w:u w:val="double"/>
          <w:rtl/>
        </w:rPr>
        <w:t>גמ'</w:t>
      </w:r>
      <w:r>
        <w:rPr>
          <w:rFonts w:cs="Arial" w:hint="cs"/>
          <w:rtl/>
        </w:rPr>
        <w:t>:</w:t>
      </w:r>
      <w:r>
        <w:rPr>
          <w:rFonts w:cs="Arial"/>
          <w:rtl/>
        </w:rPr>
        <w:t xml:space="preserve"> נשאו גדולים ישאו קטנים. מאי קאמר? אמר רב יהודה, הכי קאמר: נשאו גדולים לאחר מיתת אביהן - ישאו קטנים לאחר מיתת אביהן, אבל נשאו גדולים בחיי אביהן, ואמרו קטנים לאחר מיתת אביהן: הרי אנו נושאין כדרך שנשאתם אתם - אין שומעין להן, אלא מה שנתן להן אביהן נתן.</w:t>
      </w:r>
    </w:p>
    <w:p w14:paraId="4211A820" w14:textId="77777777" w:rsidR="002E5BAD" w:rsidRPr="00967D8E" w:rsidRDefault="002E5BAD" w:rsidP="002E5BAD">
      <w:pPr>
        <w:rPr>
          <w:u w:val="single"/>
          <w:rtl/>
        </w:rPr>
      </w:pPr>
      <w:r w:rsidRPr="00967D8E">
        <w:rPr>
          <w:rFonts w:hint="cs"/>
          <w:u w:val="single"/>
          <w:rtl/>
        </w:rPr>
        <w:t xml:space="preserve">הניח רק בנות </w:t>
      </w:r>
      <w:r w:rsidRPr="00967D8E">
        <w:rPr>
          <w:u w:val="single"/>
          <w:rtl/>
        </w:rPr>
        <w:t>–</w:t>
      </w:r>
      <w:r w:rsidRPr="00967D8E">
        <w:rPr>
          <w:rFonts w:hint="cs"/>
          <w:u w:val="single"/>
          <w:rtl/>
        </w:rPr>
        <w:t xml:space="preserve"> האם יש להן פרנסה:</w:t>
      </w:r>
    </w:p>
    <w:p w14:paraId="3A6BB57B" w14:textId="77777777" w:rsidR="002E5BAD" w:rsidRPr="00967D8E" w:rsidRDefault="002E5BAD" w:rsidP="00B75458">
      <w:pPr>
        <w:pStyle w:val="ab"/>
        <w:numPr>
          <w:ilvl w:val="0"/>
          <w:numId w:val="195"/>
        </w:numPr>
      </w:pPr>
      <w:r>
        <w:rPr>
          <w:rFonts w:cs="Arial" w:hint="cs"/>
          <w:rtl/>
        </w:rPr>
        <w:t xml:space="preserve">טור- </w:t>
      </w:r>
      <w:r w:rsidRPr="00E04543">
        <w:rPr>
          <w:rFonts w:cs="Arial"/>
          <w:rtl/>
        </w:rPr>
        <w:t>לא תקנ</w:t>
      </w:r>
      <w:r>
        <w:rPr>
          <w:rFonts w:cs="Arial" w:hint="cs"/>
          <w:rtl/>
        </w:rPr>
        <w:t>ו</w:t>
      </w:r>
      <w:r w:rsidRPr="00E04543">
        <w:rPr>
          <w:rFonts w:cs="Arial"/>
          <w:rtl/>
        </w:rPr>
        <w:t xml:space="preserve"> פרנסה לבת אלא במקום בן</w:t>
      </w:r>
      <w:r>
        <w:rPr>
          <w:rFonts w:cs="Arial" w:hint="cs"/>
          <w:rtl/>
        </w:rPr>
        <w:t>,</w:t>
      </w:r>
      <w:r w:rsidRPr="00E04543">
        <w:rPr>
          <w:rFonts w:cs="Arial"/>
          <w:rtl/>
        </w:rPr>
        <w:t xml:space="preserve"> אבל אם לא הניח אלא בנות </w:t>
      </w:r>
      <w:r>
        <w:rPr>
          <w:rFonts w:cs="Arial" w:hint="cs"/>
          <w:rtl/>
        </w:rPr>
        <w:t xml:space="preserve">- </w:t>
      </w:r>
      <w:r w:rsidRPr="00E04543">
        <w:rPr>
          <w:rFonts w:cs="Arial"/>
          <w:rtl/>
        </w:rPr>
        <w:t>לא תיקנו</w:t>
      </w:r>
      <w:r>
        <w:rPr>
          <w:rFonts w:cs="Arial" w:hint="cs"/>
          <w:rtl/>
        </w:rPr>
        <w:t>,</w:t>
      </w:r>
      <w:r w:rsidRPr="00E04543">
        <w:rPr>
          <w:rFonts w:cs="Arial"/>
          <w:rtl/>
        </w:rPr>
        <w:t xml:space="preserve"> אלא יחלקו הכל בשוה</w:t>
      </w:r>
      <w:r>
        <w:rPr>
          <w:rFonts w:cs="Arial" w:hint="cs"/>
          <w:rtl/>
        </w:rPr>
        <w:t>.</w:t>
      </w:r>
      <w:r w:rsidRPr="00E04543">
        <w:rPr>
          <w:rFonts w:cs="Arial"/>
          <w:rtl/>
        </w:rPr>
        <w:t xml:space="preserve"> </w:t>
      </w:r>
      <w:r w:rsidRPr="00A3392E">
        <w:rPr>
          <w:rFonts w:hint="cs"/>
          <w:color w:val="E36C0A" w:themeColor="accent6" w:themeShade="BF"/>
          <w:rtl/>
        </w:rPr>
        <w:t>(וכ"פ בשו"ע)</w:t>
      </w:r>
    </w:p>
    <w:p w14:paraId="511E1210" w14:textId="77777777" w:rsidR="002E5BAD" w:rsidRPr="00967D8E" w:rsidRDefault="002E5BAD" w:rsidP="002E5BAD">
      <w:pPr>
        <w:ind w:left="360"/>
        <w:rPr>
          <w:u w:val="dotted"/>
        </w:rPr>
      </w:pPr>
      <w:r w:rsidRPr="00967D8E">
        <w:rPr>
          <w:rFonts w:hint="cs"/>
          <w:u w:val="dotted"/>
          <w:rtl/>
        </w:rPr>
        <w:t>ומה הדין אם בת אחת נישא</w:t>
      </w:r>
      <w:r>
        <w:rPr>
          <w:rFonts w:hint="cs"/>
          <w:u w:val="dotted"/>
          <w:rtl/>
        </w:rPr>
        <w:t>ת וקיבלה כסף</w:t>
      </w:r>
      <w:r w:rsidRPr="00967D8E">
        <w:rPr>
          <w:rFonts w:hint="cs"/>
          <w:u w:val="dotted"/>
          <w:rtl/>
        </w:rPr>
        <w:t>, ועתה רוצות שאר הבנות לקבל כמותה ורק אח"כ לחלוק:</w:t>
      </w:r>
    </w:p>
    <w:p w14:paraId="09A7DC9D" w14:textId="77777777" w:rsidR="002E5BAD" w:rsidRDefault="002E5BAD" w:rsidP="00B75458">
      <w:pPr>
        <w:pStyle w:val="ab"/>
        <w:numPr>
          <w:ilvl w:val="0"/>
          <w:numId w:val="195"/>
        </w:numPr>
      </w:pPr>
      <w:r>
        <w:rPr>
          <w:rFonts w:cs="Arial" w:hint="cs"/>
          <w:rtl/>
        </w:rPr>
        <w:t xml:space="preserve">טור- </w:t>
      </w:r>
      <w:r w:rsidRPr="00E04543">
        <w:rPr>
          <w:rFonts w:cs="Arial"/>
          <w:rtl/>
        </w:rPr>
        <w:t>ואפילו נשאו הגדולו</w:t>
      </w:r>
      <w:r>
        <w:rPr>
          <w:rFonts w:cs="Arial" w:hint="cs"/>
          <w:rtl/>
        </w:rPr>
        <w:t>ת</w:t>
      </w:r>
      <w:r w:rsidRPr="00E04543">
        <w:rPr>
          <w:rFonts w:cs="Arial"/>
          <w:rtl/>
        </w:rPr>
        <w:t xml:space="preserve"> בחיי אביהן ואומרו</w:t>
      </w:r>
      <w:r>
        <w:rPr>
          <w:rFonts w:cs="Arial" w:hint="cs"/>
          <w:rtl/>
        </w:rPr>
        <w:t>ת</w:t>
      </w:r>
      <w:r w:rsidRPr="00E04543">
        <w:rPr>
          <w:rFonts w:cs="Arial"/>
          <w:rtl/>
        </w:rPr>
        <w:t xml:space="preserve"> הקטנו</w:t>
      </w:r>
      <w:r>
        <w:rPr>
          <w:rFonts w:cs="Arial" w:hint="cs"/>
          <w:rtl/>
        </w:rPr>
        <w:t>ת</w:t>
      </w:r>
      <w:r w:rsidRPr="00E04543">
        <w:rPr>
          <w:rFonts w:cs="Arial"/>
          <w:rtl/>
        </w:rPr>
        <w:t xml:space="preserve"> גם אנחנו נישא מהממון קודם חלוקה </w:t>
      </w:r>
      <w:r>
        <w:rPr>
          <w:rFonts w:cs="Arial" w:hint="cs"/>
          <w:rtl/>
        </w:rPr>
        <w:t xml:space="preserve">- </w:t>
      </w:r>
      <w:r w:rsidRPr="00E04543">
        <w:rPr>
          <w:rFonts w:cs="Arial"/>
          <w:rtl/>
        </w:rPr>
        <w:t>אין שומעין להן</w:t>
      </w:r>
      <w:r>
        <w:rPr>
          <w:rFonts w:cs="Arial" w:hint="cs"/>
          <w:rtl/>
        </w:rPr>
        <w:t>.</w:t>
      </w:r>
      <w:r w:rsidRPr="00E04543">
        <w:rPr>
          <w:rFonts w:cs="Arial"/>
          <w:rtl/>
        </w:rPr>
        <w:t xml:space="preserve"> אבל אם נשאו הגדולו</w:t>
      </w:r>
      <w:r>
        <w:rPr>
          <w:rFonts w:cs="Arial" w:hint="cs"/>
          <w:rtl/>
        </w:rPr>
        <w:t>ת</w:t>
      </w:r>
      <w:r w:rsidRPr="00E04543">
        <w:rPr>
          <w:rFonts w:cs="Arial"/>
          <w:rtl/>
        </w:rPr>
        <w:t xml:space="preserve"> אחר מיתת אביהן מהאמצע</w:t>
      </w:r>
      <w:r>
        <w:rPr>
          <w:rFonts w:cs="Arial" w:hint="cs"/>
          <w:rtl/>
        </w:rPr>
        <w:t xml:space="preserve"> -</w:t>
      </w:r>
      <w:r w:rsidRPr="00E04543">
        <w:rPr>
          <w:rFonts w:cs="Arial"/>
          <w:rtl/>
        </w:rPr>
        <w:t xml:space="preserve"> ישאו גם הקטנות</w:t>
      </w:r>
      <w:r>
        <w:rPr>
          <w:rFonts w:cs="Arial" w:hint="cs"/>
          <w:rtl/>
        </w:rPr>
        <w:t>,</w:t>
      </w:r>
      <w:r w:rsidRPr="00E04543">
        <w:rPr>
          <w:rFonts w:cs="Arial"/>
          <w:rtl/>
        </w:rPr>
        <w:t xml:space="preserve"> ואח"כ יחלקו</w:t>
      </w:r>
      <w:r>
        <w:rPr>
          <w:rFonts w:cs="Arial" w:hint="cs"/>
          <w:rtl/>
        </w:rPr>
        <w:t>.</w:t>
      </w:r>
      <w:r w:rsidRPr="00967D8E">
        <w:rPr>
          <w:rFonts w:hint="cs"/>
          <w:color w:val="E36C0A" w:themeColor="accent6" w:themeShade="BF"/>
          <w:rtl/>
        </w:rPr>
        <w:t xml:space="preserve"> </w:t>
      </w:r>
      <w:r w:rsidRPr="00A3392E">
        <w:rPr>
          <w:rFonts w:hint="cs"/>
          <w:color w:val="E36C0A" w:themeColor="accent6" w:themeShade="BF"/>
          <w:rtl/>
        </w:rPr>
        <w:t>(וכ"פ בשו"ע)</w:t>
      </w:r>
    </w:p>
    <w:p w14:paraId="07C71CA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A1D254" w14:textId="77777777" w:rsidR="002E5BAD" w:rsidRDefault="002E5BAD" w:rsidP="002E5BAD">
      <w:pPr>
        <w:rPr>
          <w:rtl/>
        </w:rPr>
      </w:pPr>
      <w:r>
        <w:rPr>
          <w:rFonts w:cs="Arial"/>
          <w:rtl/>
        </w:rPr>
        <w:t>לא תקנו פרנסת נדוניה לבת אלא במקום בן, אבל אם לא הניח אלא בנות, יחלקו הכל בשוה. ואפילו נשאו הגדולות בחיי אביהן, ואומרות הקטנות: גם אנו נשא מהממון קודם חלוקה, אין שומעין להם. אבל אם נשאו הגדולות אחר מיתת אביהם מהאמצע, ישאו גם הקטנות ואח</w:t>
      </w:r>
      <w:r>
        <w:rPr>
          <w:rFonts w:cs="Arial" w:hint="cs"/>
          <w:rtl/>
        </w:rPr>
        <w:t xml:space="preserve">ר </w:t>
      </w:r>
      <w:r>
        <w:rPr>
          <w:rFonts w:cs="Arial"/>
          <w:rtl/>
        </w:rPr>
        <w:t>כ</w:t>
      </w:r>
      <w:r>
        <w:rPr>
          <w:rFonts w:cs="Arial" w:hint="cs"/>
          <w:rtl/>
        </w:rPr>
        <w:t>ך</w:t>
      </w:r>
      <w:r>
        <w:rPr>
          <w:rFonts w:cs="Arial"/>
          <w:rtl/>
        </w:rPr>
        <w:t xml:space="preserve"> יחלוקו. </w:t>
      </w:r>
    </w:p>
    <w:p w14:paraId="670EE729" w14:textId="77777777" w:rsidR="002E5BAD" w:rsidRDefault="002E5BAD" w:rsidP="002E5BAD">
      <w:pPr>
        <w:rPr>
          <w:rtl/>
        </w:rPr>
      </w:pPr>
    </w:p>
    <w:p w14:paraId="41C6F978" w14:textId="77777777" w:rsidR="002E5BAD" w:rsidRDefault="002E5BAD" w:rsidP="002E5BAD">
      <w:pPr>
        <w:pStyle w:val="2"/>
        <w:rPr>
          <w:rtl/>
        </w:rPr>
      </w:pPr>
      <w:r>
        <w:rPr>
          <w:rtl/>
        </w:rPr>
        <w:t>סעיף י</w:t>
      </w:r>
      <w:r>
        <w:rPr>
          <w:rFonts w:hint="cs"/>
          <w:rtl/>
        </w:rPr>
        <w:t xml:space="preserve">: </w:t>
      </w:r>
      <w:r>
        <w:rPr>
          <w:rFonts w:cs="Arial" w:hint="cs"/>
          <w:rtl/>
        </w:rPr>
        <w:t>האומר</w:t>
      </w:r>
      <w:r w:rsidRPr="00B345A5">
        <w:rPr>
          <w:rFonts w:cs="Arial"/>
          <w:rtl/>
        </w:rPr>
        <w:t xml:space="preserve"> </w:t>
      </w:r>
      <w:r>
        <w:rPr>
          <w:rFonts w:cs="Arial" w:hint="cs"/>
          <w:rtl/>
        </w:rPr>
        <w:t>'</w:t>
      </w:r>
      <w:r w:rsidRPr="00B345A5">
        <w:rPr>
          <w:rFonts w:cs="Arial"/>
          <w:rtl/>
        </w:rPr>
        <w:t xml:space="preserve">אל </w:t>
      </w:r>
      <w:r>
        <w:rPr>
          <w:rFonts w:cs="Arial" w:hint="cs"/>
          <w:rtl/>
        </w:rPr>
        <w:t>יתפרנסו</w:t>
      </w:r>
      <w:r w:rsidRPr="00B345A5">
        <w:rPr>
          <w:rFonts w:cs="Arial"/>
          <w:rtl/>
        </w:rPr>
        <w:t xml:space="preserve"> בנותי מנכסי</w:t>
      </w:r>
      <w:r>
        <w:rPr>
          <w:rFonts w:cs="Arial" w:hint="cs"/>
          <w:rtl/>
        </w:rPr>
        <w:t>'</w:t>
      </w:r>
      <w:r>
        <w:rPr>
          <w:rFonts w:hint="cs"/>
          <w:rtl/>
        </w:rPr>
        <w:t xml:space="preserve">. </w:t>
      </w:r>
    </w:p>
    <w:p w14:paraId="095D47D0" w14:textId="77777777" w:rsidR="002E5BAD" w:rsidRPr="00554E82" w:rsidRDefault="002E5BAD" w:rsidP="002E5BAD">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3B2777">
        <w:rPr>
          <w:rFonts w:cs="Arial"/>
          <w:u w:val="single"/>
          <w:rtl/>
        </w:rPr>
        <w:t>אמר רב הונא אמר רבי</w:t>
      </w:r>
      <w:r w:rsidRPr="009C31B7">
        <w:rPr>
          <w:rFonts w:cs="Arial"/>
          <w:rtl/>
        </w:rPr>
        <w:t>: פרנסה אינה כתנאי כתובה</w:t>
      </w:r>
      <w:r>
        <w:rPr>
          <w:rFonts w:cs="Arial" w:hint="cs"/>
          <w:rtl/>
        </w:rPr>
        <w:t>.</w:t>
      </w:r>
      <w:r w:rsidRPr="00554E82">
        <w:rPr>
          <w:rtl/>
        </w:rPr>
        <w:t xml:space="preserve"> </w:t>
      </w:r>
      <w:r w:rsidRPr="00554E82">
        <w:rPr>
          <w:rFonts w:cs="Arial"/>
          <w:rtl/>
        </w:rPr>
        <w:t>מאי אינה כתנאי כתובה?</w:t>
      </w:r>
      <w:r>
        <w:rPr>
          <w:rFonts w:cs="Arial" w:hint="cs"/>
          <w:rtl/>
        </w:rPr>
        <w:t>...</w:t>
      </w:r>
      <w:r w:rsidRPr="009C31B7">
        <w:rPr>
          <w:rFonts w:cs="Arial"/>
          <w:rtl/>
        </w:rPr>
        <w:t xml:space="preserve"> </w:t>
      </w:r>
      <w:r w:rsidRPr="00554E82">
        <w:rPr>
          <w:rFonts w:cs="Arial"/>
          <w:rtl/>
        </w:rPr>
        <w:t>לכדתניא: האומר אל יזונו בנותיו מנכסיו - אין שומעין לו</w:t>
      </w:r>
      <w:r>
        <w:rPr>
          <w:rFonts w:cs="Arial" w:hint="cs"/>
          <w:rtl/>
        </w:rPr>
        <w:t>.</w:t>
      </w:r>
      <w:r w:rsidRPr="00554E82">
        <w:rPr>
          <w:rFonts w:cs="Arial"/>
          <w:rtl/>
        </w:rPr>
        <w:t xml:space="preserve"> אל יתפרנסו בנותיו מנכסיו - שומעין לו, שהפרנסה אינה כתנאי כתובה.</w:t>
      </w:r>
    </w:p>
    <w:p w14:paraId="5A98BA85" w14:textId="77777777" w:rsidR="002E5BAD" w:rsidRPr="00554E82" w:rsidRDefault="002E5BAD" w:rsidP="002E5BAD">
      <w:pPr>
        <w:rPr>
          <w:u w:val="single"/>
          <w:rtl/>
        </w:rPr>
      </w:pPr>
      <w:r w:rsidRPr="00554E82">
        <w:rPr>
          <w:rFonts w:hint="cs"/>
          <w:u w:val="single"/>
          <w:rtl/>
        </w:rPr>
        <w:t>מי שצוה בשעת מיתתו 'אל יתפרנסו בנותי מנכסי':</w:t>
      </w:r>
    </w:p>
    <w:p w14:paraId="303876DB" w14:textId="77777777" w:rsidR="002E5BAD" w:rsidRDefault="002E5BAD" w:rsidP="00B75458">
      <w:pPr>
        <w:pStyle w:val="ab"/>
        <w:numPr>
          <w:ilvl w:val="0"/>
          <w:numId w:val="195"/>
        </w:numPr>
        <w:rPr>
          <w:rFonts w:cs="Arial"/>
        </w:rPr>
      </w:pPr>
      <w:r>
        <w:rPr>
          <w:rFonts w:cs="Arial" w:hint="cs"/>
          <w:rtl/>
        </w:rPr>
        <w:t xml:space="preserve">רמב"ם </w:t>
      </w:r>
      <w:r>
        <w:rPr>
          <w:rFonts w:cs="Arial" w:hint="cs"/>
          <w:sz w:val="16"/>
          <w:szCs w:val="16"/>
          <w:rtl/>
        </w:rPr>
        <w:t>(</w:t>
      </w:r>
      <w:r w:rsidRPr="00554E82">
        <w:rPr>
          <w:rFonts w:cs="Arial" w:hint="cs"/>
          <w:sz w:val="16"/>
          <w:szCs w:val="16"/>
          <w:rtl/>
        </w:rPr>
        <w:t>פ"כ ה"י)</w:t>
      </w:r>
      <w:r>
        <w:rPr>
          <w:rFonts w:cs="Arial" w:hint="cs"/>
          <w:rtl/>
        </w:rPr>
        <w:t xml:space="preserve"> ו</w:t>
      </w:r>
      <w:r w:rsidRPr="00967D8E">
        <w:rPr>
          <w:rFonts w:cs="Arial" w:hint="cs"/>
          <w:rtl/>
        </w:rPr>
        <w:t xml:space="preserve">טור- </w:t>
      </w:r>
      <w:r w:rsidRPr="00967D8E">
        <w:rPr>
          <w:rFonts w:cs="Arial"/>
          <w:rtl/>
        </w:rPr>
        <w:t>ואינו כשאר תנאי הכתובה אלא תקנה שתקנו חכמים</w:t>
      </w:r>
      <w:r w:rsidRPr="00967D8E">
        <w:rPr>
          <w:rFonts w:cs="Arial" w:hint="cs"/>
          <w:rtl/>
        </w:rPr>
        <w:t>.</w:t>
      </w:r>
      <w:r w:rsidRPr="00967D8E">
        <w:rPr>
          <w:rFonts w:cs="Arial"/>
          <w:rtl/>
        </w:rPr>
        <w:t xml:space="preserve"> לפיכך אם צוה בשעת מיתה אל יתפרנסו בנותי מנכסי </w:t>
      </w:r>
      <w:r>
        <w:rPr>
          <w:rFonts w:cs="Arial" w:hint="cs"/>
          <w:rtl/>
        </w:rPr>
        <w:t xml:space="preserve">- </w:t>
      </w:r>
      <w:r w:rsidRPr="00967D8E">
        <w:rPr>
          <w:rFonts w:cs="Arial"/>
          <w:rtl/>
        </w:rPr>
        <w:t>שומעין לו</w:t>
      </w:r>
      <w:r>
        <w:rPr>
          <w:rFonts w:cs="Arial" w:hint="cs"/>
          <w:sz w:val="16"/>
          <w:szCs w:val="16"/>
          <w:rtl/>
        </w:rPr>
        <w:t xml:space="preserve"> (ל' הטור)</w:t>
      </w:r>
      <w:r>
        <w:rPr>
          <w:rFonts w:cs="Arial" w:hint="cs"/>
          <w:rtl/>
        </w:rPr>
        <w:t>.</w:t>
      </w:r>
      <w:r w:rsidRPr="00967D8E">
        <w:rPr>
          <w:rFonts w:cs="Arial"/>
          <w:rtl/>
        </w:rPr>
        <w:t xml:space="preserve"> </w:t>
      </w:r>
      <w:r w:rsidRPr="00A3392E">
        <w:rPr>
          <w:rFonts w:hint="cs"/>
          <w:color w:val="E36C0A" w:themeColor="accent6" w:themeShade="BF"/>
          <w:rtl/>
        </w:rPr>
        <w:t>(וכ"פ בשו"ע)</w:t>
      </w:r>
    </w:p>
    <w:p w14:paraId="013470AD" w14:textId="77777777" w:rsidR="002E5BAD" w:rsidRPr="00DC22EE" w:rsidRDefault="002E5BAD" w:rsidP="002E5BAD">
      <w:pPr>
        <w:rPr>
          <w:rFonts w:cs="Arial"/>
        </w:rPr>
      </w:pPr>
      <w:r w:rsidRPr="00DC22EE">
        <w:rPr>
          <w:rFonts w:hint="cs"/>
          <w:b/>
          <w:bCs/>
          <w:rtl/>
        </w:rPr>
        <w:t xml:space="preserve">כתובות </w:t>
      </w:r>
      <w:r w:rsidRPr="00DC22EE">
        <w:rPr>
          <w:rFonts w:hint="cs"/>
          <w:b/>
          <w:bCs/>
          <w:sz w:val="16"/>
          <w:szCs w:val="16"/>
          <w:rtl/>
        </w:rPr>
        <w:t xml:space="preserve">(פ' מציאת האשה) </w:t>
      </w:r>
      <w:r w:rsidRPr="00DC22EE">
        <w:rPr>
          <w:rFonts w:hint="cs"/>
          <w:b/>
          <w:bCs/>
          <w:rtl/>
        </w:rPr>
        <w:t>סח ע"ב</w:t>
      </w:r>
      <w:r>
        <w:rPr>
          <w:rFonts w:hint="cs"/>
          <w:b/>
          <w:bCs/>
          <w:sz w:val="16"/>
          <w:szCs w:val="16"/>
          <w:rtl/>
        </w:rPr>
        <w:t xml:space="preserve"> [לגיר' רב האי]</w:t>
      </w:r>
      <w:r w:rsidRPr="00DC22EE">
        <w:rPr>
          <w:rFonts w:hint="cs"/>
          <w:b/>
          <w:bCs/>
          <w:rtl/>
        </w:rPr>
        <w:t>:</w:t>
      </w:r>
      <w:r w:rsidRPr="00DC22EE">
        <w:rPr>
          <w:rFonts w:cs="Arial"/>
          <w:rtl/>
        </w:rPr>
        <w:t xml:space="preserve"> לכדתניא: האומר אל יזונו בנותיו מנכסיו - שומעין לו</w:t>
      </w:r>
      <w:r w:rsidRPr="00DC22EE">
        <w:rPr>
          <w:rFonts w:cs="Arial" w:hint="cs"/>
          <w:rtl/>
        </w:rPr>
        <w:t>.</w:t>
      </w:r>
      <w:r w:rsidRPr="00DC22EE">
        <w:rPr>
          <w:rFonts w:cs="Arial"/>
          <w:rtl/>
        </w:rPr>
        <w:t xml:space="preserve"> אל יתפרנסו בנותיו מנכסיו -</w:t>
      </w:r>
      <w:r>
        <w:rPr>
          <w:rFonts w:cs="Arial" w:hint="cs"/>
          <w:rtl/>
        </w:rPr>
        <w:t xml:space="preserve"> אין</w:t>
      </w:r>
      <w:r w:rsidRPr="00DC22EE">
        <w:rPr>
          <w:rFonts w:cs="Arial"/>
          <w:rtl/>
        </w:rPr>
        <w:t xml:space="preserve"> שומעין לו, שהפרנסה אינה כתנאי כתובה.</w:t>
      </w:r>
      <w:r>
        <w:rPr>
          <w:rFonts w:cs="Arial" w:hint="cs"/>
          <w:rtl/>
        </w:rPr>
        <w:t xml:space="preserve"> </w:t>
      </w:r>
      <w:r w:rsidRPr="00DC22EE">
        <w:rPr>
          <w:rFonts w:cs="Arial" w:hint="cs"/>
          <w:sz w:val="16"/>
          <w:szCs w:val="16"/>
          <w:rtl/>
        </w:rPr>
        <w:t>(</w:t>
      </w:r>
      <w:r w:rsidRPr="00DC22EE">
        <w:rPr>
          <w:rFonts w:cs="Arial"/>
          <w:sz w:val="16"/>
          <w:szCs w:val="16"/>
          <w:rtl/>
        </w:rPr>
        <w:t>הרא"ש (סי' טו)</w:t>
      </w:r>
      <w:r w:rsidRPr="0054586D">
        <w:rPr>
          <w:rFonts w:cs="Arial"/>
          <w:rtl/>
        </w:rPr>
        <w:t xml:space="preserve"> </w:t>
      </w:r>
      <w:r>
        <w:rPr>
          <w:rFonts w:cs="Arial" w:hint="cs"/>
          <w:sz w:val="16"/>
          <w:szCs w:val="16"/>
          <w:rtl/>
        </w:rPr>
        <w:t xml:space="preserve">והר"ן </w:t>
      </w:r>
      <w:r w:rsidRPr="0054586D">
        <w:rPr>
          <w:rFonts w:cs="Arial"/>
          <w:sz w:val="16"/>
          <w:szCs w:val="16"/>
          <w:rtl/>
        </w:rPr>
        <w:t>(ל: סוף דיבור ראשון)</w:t>
      </w:r>
      <w:r w:rsidRPr="00DC22EE">
        <w:rPr>
          <w:rFonts w:cs="Arial"/>
          <w:sz w:val="16"/>
          <w:szCs w:val="16"/>
          <w:rtl/>
        </w:rPr>
        <w:t xml:space="preserve"> </w:t>
      </w:r>
      <w:r>
        <w:rPr>
          <w:rFonts w:cs="Arial" w:hint="cs"/>
          <w:sz w:val="16"/>
          <w:szCs w:val="16"/>
          <w:rtl/>
        </w:rPr>
        <w:t xml:space="preserve">כתבו שכך היא גירסת </w:t>
      </w:r>
      <w:r w:rsidRPr="00DC22EE">
        <w:rPr>
          <w:rFonts w:cs="Arial"/>
          <w:sz w:val="16"/>
          <w:szCs w:val="16"/>
          <w:rtl/>
        </w:rPr>
        <w:t>רבינו האיי</w:t>
      </w:r>
      <w:r w:rsidRPr="00DC22EE">
        <w:rPr>
          <w:rFonts w:cs="Arial" w:hint="cs"/>
          <w:sz w:val="16"/>
          <w:szCs w:val="16"/>
          <w:rtl/>
        </w:rPr>
        <w:t>,</w:t>
      </w:r>
      <w:r w:rsidRPr="00DC22EE">
        <w:rPr>
          <w:rFonts w:cs="Arial"/>
          <w:sz w:val="16"/>
          <w:szCs w:val="16"/>
          <w:rtl/>
        </w:rPr>
        <w:t xml:space="preserve"> ומפרש </w:t>
      </w:r>
      <w:r>
        <w:rPr>
          <w:rFonts w:cs="Arial" w:hint="cs"/>
          <w:sz w:val="16"/>
          <w:szCs w:val="16"/>
          <w:rtl/>
        </w:rPr>
        <w:t>רב האי ש</w:t>
      </w:r>
      <w:r w:rsidRPr="00DC22EE">
        <w:rPr>
          <w:rFonts w:cs="Arial"/>
          <w:sz w:val="16"/>
          <w:szCs w:val="16"/>
          <w:rtl/>
        </w:rPr>
        <w:t>כשהתנה בשעת נישואין שלא יהא לה תנאי כתובה</w:t>
      </w:r>
      <w:r w:rsidRPr="00DC22EE">
        <w:rPr>
          <w:rFonts w:cs="Arial" w:hint="cs"/>
          <w:sz w:val="16"/>
          <w:szCs w:val="16"/>
          <w:rtl/>
        </w:rPr>
        <w:t xml:space="preserve"> -</w:t>
      </w:r>
      <w:r w:rsidRPr="00DC22EE">
        <w:rPr>
          <w:rFonts w:cs="Arial"/>
          <w:sz w:val="16"/>
          <w:szCs w:val="16"/>
          <w:rtl/>
        </w:rPr>
        <w:t xml:space="preserve"> שומעין לו</w:t>
      </w:r>
      <w:r>
        <w:rPr>
          <w:rFonts w:cs="Arial" w:hint="cs"/>
          <w:sz w:val="16"/>
          <w:szCs w:val="16"/>
          <w:rtl/>
        </w:rPr>
        <w:t>,</w:t>
      </w:r>
      <w:r w:rsidRPr="00DC22EE">
        <w:rPr>
          <w:rFonts w:cs="Arial"/>
          <w:sz w:val="16"/>
          <w:szCs w:val="16"/>
          <w:rtl/>
        </w:rPr>
        <w:t xml:space="preserve"> דכל דבר שבממון תנאו קיים</w:t>
      </w:r>
      <w:r>
        <w:rPr>
          <w:rFonts w:cs="Arial" w:hint="cs"/>
          <w:sz w:val="16"/>
          <w:szCs w:val="16"/>
          <w:rtl/>
        </w:rPr>
        <w:t xml:space="preserve">. </w:t>
      </w:r>
      <w:r w:rsidRPr="0054586D">
        <w:rPr>
          <w:rFonts w:cs="Arial" w:hint="cs"/>
          <w:color w:val="E36C0A" w:themeColor="accent6" w:themeShade="BF"/>
          <w:sz w:val="16"/>
          <w:szCs w:val="16"/>
          <w:rtl/>
        </w:rPr>
        <w:t xml:space="preserve">(וכ"פ בשו"ע </w:t>
      </w:r>
      <w:r w:rsidRPr="0054586D">
        <w:rPr>
          <w:rFonts w:cs="Arial" w:hint="cs"/>
          <w:sz w:val="14"/>
          <w:szCs w:val="14"/>
          <w:rtl/>
        </w:rPr>
        <w:t>[סי' קיב ס"י]</w:t>
      </w:r>
      <w:r w:rsidRPr="0054586D">
        <w:rPr>
          <w:rFonts w:cs="Arial" w:hint="cs"/>
          <w:color w:val="E36C0A" w:themeColor="accent6" w:themeShade="BF"/>
          <w:sz w:val="16"/>
          <w:szCs w:val="16"/>
          <w:rtl/>
        </w:rPr>
        <w:t>)</w:t>
      </w:r>
      <w:r w:rsidRPr="00DC22EE">
        <w:rPr>
          <w:rFonts w:cs="Arial" w:hint="cs"/>
          <w:sz w:val="16"/>
          <w:szCs w:val="16"/>
          <w:rtl/>
        </w:rPr>
        <w:t>.</w:t>
      </w:r>
      <w:r w:rsidRPr="00DC22EE">
        <w:rPr>
          <w:rFonts w:cs="Arial"/>
          <w:sz w:val="16"/>
          <w:szCs w:val="16"/>
          <w:rtl/>
        </w:rPr>
        <w:t xml:space="preserve"> אבל פרנסה לאו מכח דכתובה היא באה אלא שתקנת חכמים שתקנו לבנות ישראל ונתנו להן חלק בממון אביהם להיות נישאות בו </w:t>
      </w:r>
      <w:r w:rsidRPr="00DC22EE">
        <w:rPr>
          <w:rFonts w:cs="Arial" w:hint="cs"/>
          <w:sz w:val="16"/>
          <w:szCs w:val="16"/>
          <w:rtl/>
        </w:rPr>
        <w:t xml:space="preserve">- </w:t>
      </w:r>
      <w:r w:rsidRPr="00DC22EE">
        <w:rPr>
          <w:rFonts w:cs="Arial"/>
          <w:sz w:val="16"/>
          <w:szCs w:val="16"/>
          <w:rtl/>
        </w:rPr>
        <w:t>אין בידו להפקיע מה שזיכו להם חכמים</w:t>
      </w:r>
      <w:r w:rsidRPr="00DC22EE">
        <w:rPr>
          <w:rFonts w:cs="Arial" w:hint="cs"/>
          <w:sz w:val="16"/>
          <w:szCs w:val="16"/>
          <w:rtl/>
        </w:rPr>
        <w:t>.</w:t>
      </w:r>
      <w:r w:rsidRPr="00DC22EE">
        <w:rPr>
          <w:rFonts w:cs="Arial"/>
          <w:sz w:val="16"/>
          <w:szCs w:val="16"/>
          <w:rtl/>
        </w:rPr>
        <w:t xml:space="preserve"> ואע</w:t>
      </w:r>
      <w:r w:rsidRPr="00DC22EE">
        <w:rPr>
          <w:rFonts w:cs="Arial" w:hint="cs"/>
          <w:sz w:val="16"/>
          <w:szCs w:val="16"/>
          <w:rtl/>
        </w:rPr>
        <w:t>"</w:t>
      </w:r>
      <w:r w:rsidRPr="00DC22EE">
        <w:rPr>
          <w:rFonts w:cs="Arial"/>
          <w:sz w:val="16"/>
          <w:szCs w:val="16"/>
          <w:rtl/>
        </w:rPr>
        <w:t>ג דגלי דעתיה בשעת נישואין שאינו רוצה שינשאו בנותיו מנכסיו</w:t>
      </w:r>
      <w:r>
        <w:rPr>
          <w:rFonts w:cs="Arial" w:hint="cs"/>
          <w:sz w:val="16"/>
          <w:szCs w:val="16"/>
          <w:rtl/>
        </w:rPr>
        <w:t>,</w:t>
      </w:r>
      <w:r w:rsidRPr="00DC22EE">
        <w:rPr>
          <w:rFonts w:cs="Arial"/>
          <w:sz w:val="16"/>
          <w:szCs w:val="16"/>
          <w:rtl/>
        </w:rPr>
        <w:t xml:space="preserve"> וקיי"ל דבפרנסה שמין באב</w:t>
      </w:r>
      <w:r>
        <w:rPr>
          <w:rFonts w:cs="Arial" w:hint="cs"/>
          <w:sz w:val="16"/>
          <w:szCs w:val="16"/>
          <w:rtl/>
        </w:rPr>
        <w:t xml:space="preserve"> -</w:t>
      </w:r>
      <w:r w:rsidRPr="00DC22EE">
        <w:rPr>
          <w:rFonts w:cs="Arial"/>
          <w:sz w:val="16"/>
          <w:szCs w:val="16"/>
          <w:rtl/>
        </w:rPr>
        <w:t xml:space="preserve"> הני מילי כי גלי דעתיה בתר נישואין כשהשיא בנותיו או שראינו ותרנותו או קמצנותו או שצוה בשעת מיתה</w:t>
      </w:r>
      <w:r w:rsidRPr="00DC22EE">
        <w:rPr>
          <w:rFonts w:cs="Arial" w:hint="cs"/>
          <w:sz w:val="16"/>
          <w:szCs w:val="16"/>
          <w:rtl/>
        </w:rPr>
        <w:t>,</w:t>
      </w:r>
      <w:r w:rsidRPr="00DC22EE">
        <w:rPr>
          <w:rFonts w:cs="Arial"/>
          <w:sz w:val="16"/>
          <w:szCs w:val="16"/>
          <w:rtl/>
        </w:rPr>
        <w:t xml:space="preserve"> אבל גילוי דעתא בשעת נישואין </w:t>
      </w:r>
      <w:r w:rsidRPr="00DC22EE">
        <w:rPr>
          <w:rFonts w:cs="Arial" w:hint="cs"/>
          <w:sz w:val="16"/>
          <w:szCs w:val="16"/>
          <w:rtl/>
        </w:rPr>
        <w:t xml:space="preserve">- </w:t>
      </w:r>
      <w:r w:rsidRPr="00DC22EE">
        <w:rPr>
          <w:rFonts w:cs="Arial"/>
          <w:sz w:val="16"/>
          <w:szCs w:val="16"/>
          <w:rtl/>
        </w:rPr>
        <w:t>לאו מילתא היא</w:t>
      </w:r>
      <w:r w:rsidRPr="00DC22EE">
        <w:rPr>
          <w:rFonts w:cs="Arial" w:hint="cs"/>
          <w:sz w:val="16"/>
          <w:szCs w:val="16"/>
          <w:rtl/>
        </w:rPr>
        <w:t>,</w:t>
      </w:r>
      <w:r w:rsidRPr="00DC22EE">
        <w:rPr>
          <w:rFonts w:cs="Arial"/>
          <w:sz w:val="16"/>
          <w:szCs w:val="16"/>
          <w:rtl/>
        </w:rPr>
        <w:t xml:space="preserve"> דאיפשר שהיה בדעתו שלא לעשות חוב על בניו</w:t>
      </w:r>
      <w:r>
        <w:rPr>
          <w:rFonts w:cs="Arial" w:hint="cs"/>
          <w:sz w:val="16"/>
          <w:szCs w:val="16"/>
          <w:rtl/>
        </w:rPr>
        <w:t>.</w:t>
      </w:r>
      <w:r w:rsidRPr="00DC22EE">
        <w:rPr>
          <w:rFonts w:cs="Arial"/>
          <w:sz w:val="16"/>
          <w:szCs w:val="16"/>
          <w:rtl/>
        </w:rPr>
        <w:t xml:space="preserve"> ועוד איפשר אח"כ שהיה רואה בנותיו שהגיעו לפירקן היה מרחם עליהן ומשיאן</w:t>
      </w:r>
      <w:r w:rsidRPr="00DC22EE">
        <w:rPr>
          <w:rFonts w:cs="Arial" w:hint="cs"/>
          <w:sz w:val="16"/>
          <w:szCs w:val="16"/>
          <w:rtl/>
        </w:rPr>
        <w:t>.</w:t>
      </w:r>
      <w:r w:rsidRPr="00DC22EE">
        <w:rPr>
          <w:rFonts w:cs="Arial"/>
          <w:sz w:val="16"/>
          <w:szCs w:val="16"/>
          <w:rtl/>
        </w:rPr>
        <w:t xml:space="preserve"> הילכך תנאי של שעת נישואין לא חשיב גילוי דעת עכ"ל. ואיפשר דלאו לרבינו האיי בלחוד הוי דינא הכי אלא לכולי עלמא</w:t>
      </w:r>
      <w:r w:rsidRPr="00DC22EE">
        <w:rPr>
          <w:rFonts w:cs="Arial" w:hint="cs"/>
          <w:sz w:val="16"/>
          <w:szCs w:val="16"/>
          <w:rtl/>
        </w:rPr>
        <w:t>,</w:t>
      </w:r>
      <w:r w:rsidRPr="00DC22EE">
        <w:rPr>
          <w:rFonts w:cs="Arial"/>
          <w:sz w:val="16"/>
          <w:szCs w:val="16"/>
          <w:rtl/>
        </w:rPr>
        <w:t xml:space="preserve"> דהא כיון דפרנסה לאו מכח כתובה קא אתי אלא מתקנת חכמים</w:t>
      </w:r>
      <w:r w:rsidRPr="00DC22EE">
        <w:rPr>
          <w:rFonts w:cs="Arial" w:hint="cs"/>
          <w:sz w:val="16"/>
          <w:szCs w:val="16"/>
          <w:rtl/>
        </w:rPr>
        <w:t>,</w:t>
      </w:r>
      <w:r w:rsidRPr="00DC22EE">
        <w:rPr>
          <w:rFonts w:cs="Arial"/>
          <w:sz w:val="16"/>
          <w:szCs w:val="16"/>
          <w:rtl/>
        </w:rPr>
        <w:t xml:space="preserve"> כי אתני בשעת נישואין עם האשה מאי הוי</w:t>
      </w:r>
      <w:r w:rsidRPr="00DC22EE">
        <w:rPr>
          <w:rFonts w:cs="Arial" w:hint="cs"/>
          <w:sz w:val="16"/>
          <w:szCs w:val="16"/>
          <w:rtl/>
        </w:rPr>
        <w:t>?</w:t>
      </w:r>
      <w:r w:rsidRPr="00DC22EE">
        <w:rPr>
          <w:rFonts w:cs="Arial"/>
          <w:sz w:val="16"/>
          <w:szCs w:val="16"/>
          <w:rtl/>
        </w:rPr>
        <w:t xml:space="preserve"> והכל תלוי במה שאמר בשעת מיתה</w:t>
      </w:r>
      <w:r>
        <w:rPr>
          <w:rFonts w:cs="Arial" w:hint="cs"/>
          <w:sz w:val="16"/>
          <w:szCs w:val="16"/>
          <w:rtl/>
        </w:rPr>
        <w:t>, ב"י)</w:t>
      </w:r>
    </w:p>
    <w:p w14:paraId="53D34A67" w14:textId="77777777" w:rsidR="002E5BAD" w:rsidRPr="0054586D" w:rsidRDefault="002E5BAD" w:rsidP="002E5BAD">
      <w:pPr>
        <w:rPr>
          <w:rFonts w:cs="Arial"/>
          <w:u w:val="single"/>
        </w:rPr>
      </w:pPr>
      <w:r w:rsidRPr="00554E82">
        <w:rPr>
          <w:rFonts w:hint="cs"/>
          <w:u w:val="single"/>
          <w:rtl/>
        </w:rPr>
        <w:t>מי שצוה</w:t>
      </w:r>
      <w:r w:rsidRPr="0054586D">
        <w:rPr>
          <w:rFonts w:cs="Arial" w:hint="cs"/>
          <w:u w:val="single"/>
          <w:rtl/>
        </w:rPr>
        <w:t xml:space="preserve"> בשעת נישואין</w:t>
      </w:r>
      <w:r>
        <w:rPr>
          <w:rFonts w:cs="Arial" w:hint="cs"/>
          <w:u w:val="single"/>
          <w:rtl/>
        </w:rPr>
        <w:t xml:space="preserve"> </w:t>
      </w:r>
      <w:r w:rsidRPr="00554E82">
        <w:rPr>
          <w:rFonts w:hint="cs"/>
          <w:u w:val="single"/>
          <w:rtl/>
        </w:rPr>
        <w:t>'אל יתפרנסו בנותי מנכסי'</w:t>
      </w:r>
      <w:r w:rsidRPr="0054586D">
        <w:rPr>
          <w:rFonts w:cs="Arial" w:hint="cs"/>
          <w:u w:val="single"/>
          <w:rtl/>
        </w:rPr>
        <w:t>:</w:t>
      </w:r>
    </w:p>
    <w:p w14:paraId="6BDA3C0A" w14:textId="77777777" w:rsidR="002E5BAD" w:rsidRDefault="002E5BAD" w:rsidP="00B75458">
      <w:pPr>
        <w:pStyle w:val="ab"/>
        <w:numPr>
          <w:ilvl w:val="0"/>
          <w:numId w:val="195"/>
        </w:numPr>
        <w:rPr>
          <w:rFonts w:cs="Arial"/>
        </w:rPr>
      </w:pPr>
      <w:r>
        <w:rPr>
          <w:rFonts w:cs="Arial" w:hint="cs"/>
          <w:rtl/>
        </w:rPr>
        <w:t xml:space="preserve">טור- </w:t>
      </w:r>
      <w:r w:rsidRPr="00967D8E">
        <w:rPr>
          <w:rFonts w:cs="Arial"/>
          <w:rtl/>
        </w:rPr>
        <w:t xml:space="preserve">ואם התנה בשעת נישואין שלא יתפרנסו מנכסיו </w:t>
      </w:r>
      <w:r>
        <w:rPr>
          <w:rFonts w:cs="Arial" w:hint="cs"/>
          <w:rtl/>
        </w:rPr>
        <w:t xml:space="preserve">- </w:t>
      </w:r>
      <w:r w:rsidRPr="00967D8E">
        <w:rPr>
          <w:rFonts w:cs="Arial"/>
          <w:rtl/>
        </w:rPr>
        <w:t>לפירוש רב האי אין שומעין לו</w:t>
      </w:r>
      <w:r w:rsidRPr="00967D8E">
        <w:rPr>
          <w:rFonts w:cs="Arial" w:hint="cs"/>
          <w:rtl/>
        </w:rPr>
        <w:t>.</w:t>
      </w:r>
      <w:r w:rsidRPr="00967D8E">
        <w:rPr>
          <w:rFonts w:cs="Arial"/>
          <w:rtl/>
        </w:rPr>
        <w:t xml:space="preserve"> </w:t>
      </w:r>
      <w:r w:rsidRPr="00A3392E">
        <w:rPr>
          <w:rFonts w:hint="cs"/>
          <w:color w:val="E36C0A" w:themeColor="accent6" w:themeShade="BF"/>
          <w:rtl/>
        </w:rPr>
        <w:t>(וכ"פ בשו"ע)</w:t>
      </w:r>
    </w:p>
    <w:p w14:paraId="2E3E432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A2B17E" w14:textId="77777777" w:rsidR="002E5BAD" w:rsidRPr="007A3469" w:rsidRDefault="002E5BAD" w:rsidP="002E5BAD">
      <w:pPr>
        <w:rPr>
          <w:rtl/>
        </w:rPr>
        <w:sectPr w:rsidR="002E5BAD" w:rsidRPr="007A3469" w:rsidSect="00A347B3">
          <w:headerReference w:type="default" r:id="rId70"/>
          <w:footnotePr>
            <w:numRestart w:val="eachPage"/>
          </w:footnotePr>
          <w:pgSz w:w="11906" w:h="16838"/>
          <w:pgMar w:top="720" w:right="1134" w:bottom="720" w:left="1134" w:header="0" w:footer="0" w:gutter="0"/>
          <w:cols w:space="720"/>
          <w:bidi/>
          <w:rtlGutter/>
          <w:docGrid w:linePitch="360"/>
        </w:sectPr>
      </w:pPr>
      <w:r>
        <w:rPr>
          <w:rFonts w:cs="Arial"/>
          <w:rtl/>
        </w:rPr>
        <w:lastRenderedPageBreak/>
        <w:t>מי שצוה בשעת מיתה: אל תפרנסו לבנותי פרנסת נדוניא מנכסי, שומעין לו. אבל אם התנה בשעת נשואין שלא יתפרנסו בנותיו מנכסיו, אין שומעין לו</w:t>
      </w:r>
      <w:r>
        <w:rPr>
          <w:rStyle w:val="a7"/>
          <w:rFonts w:cs="Arial"/>
          <w:rtl/>
        </w:rPr>
        <w:footnoteReference w:id="3064"/>
      </w:r>
      <w:r>
        <w:rPr>
          <w:rFonts w:cs="Arial"/>
          <w:rtl/>
        </w:rPr>
        <w:t>.</w:t>
      </w:r>
    </w:p>
    <w:p w14:paraId="6D7FFA73" w14:textId="77777777" w:rsidR="002E5BAD" w:rsidRDefault="002E5BAD" w:rsidP="002E5BAD">
      <w:pPr>
        <w:pStyle w:val="1"/>
        <w:rPr>
          <w:rtl/>
        </w:rPr>
      </w:pPr>
      <w:r>
        <w:rPr>
          <w:rFonts w:hint="cs"/>
          <w:rtl/>
        </w:rPr>
        <w:lastRenderedPageBreak/>
        <w:t>סימן קיד:</w:t>
      </w:r>
      <w:r w:rsidRPr="00C12B74">
        <w:rPr>
          <w:rtl/>
        </w:rPr>
        <w:t xml:space="preserve"> </w:t>
      </w:r>
      <w:r>
        <w:rPr>
          <w:rFonts w:cs="Arial"/>
          <w:rtl/>
        </w:rPr>
        <w:t xml:space="preserve">דין מי שקבל עליו לזון בת אשתו וחבירו, ובו י"ב סעיפים. </w:t>
      </w:r>
    </w:p>
    <w:p w14:paraId="61B7F926" w14:textId="77777777" w:rsidR="002E5BAD" w:rsidRDefault="002E5BAD" w:rsidP="002E5BAD">
      <w:pPr>
        <w:pStyle w:val="2"/>
        <w:rPr>
          <w:rtl/>
        </w:rPr>
      </w:pPr>
      <w:r>
        <w:rPr>
          <w:rtl/>
        </w:rPr>
        <w:t>סעיף א</w:t>
      </w:r>
      <w:r>
        <w:rPr>
          <w:rFonts w:hint="cs"/>
          <w:rtl/>
        </w:rPr>
        <w:t>: מזונות בת אשתו. והמתחייב לזון את בת אשתו.</w:t>
      </w:r>
    </w:p>
    <w:p w14:paraId="69DE0BE1" w14:textId="77777777" w:rsidR="002E5BAD" w:rsidRDefault="002E5BAD" w:rsidP="002E5BAD">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3065"/>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 xml:space="preserve">      </w:t>
      </w:r>
      <w:r w:rsidRPr="00B44A91">
        <w:rPr>
          <w:rFonts w:cs="Arial"/>
          <w:rtl/>
        </w:rPr>
        <w:t xml:space="preserve"> </w:t>
      </w:r>
      <w:r w:rsidRPr="00B44A91">
        <w:rPr>
          <w:rFonts w:cs="Arial" w:hint="cs"/>
          <w:u w:val="double"/>
          <w:rtl/>
        </w:rPr>
        <w:t>גמ'</w:t>
      </w:r>
      <w:r>
        <w:rPr>
          <w:rFonts w:cs="Arial" w:hint="cs"/>
          <w:rtl/>
        </w:rPr>
        <w:t xml:space="preserve">: </w:t>
      </w:r>
      <w:r w:rsidRPr="000F1C0E">
        <w:rPr>
          <w:rFonts w:cs="Arial"/>
          <w:rtl/>
        </w:rPr>
        <w:t xml:space="preserve">אתמר: האומר לחבירו חייב אני לך מנה, </w:t>
      </w:r>
      <w:r w:rsidRPr="003022C3">
        <w:rPr>
          <w:rFonts w:cs="Arial"/>
          <w:u w:val="single"/>
          <w:rtl/>
        </w:rPr>
        <w:t>רבי יוחנן אמר</w:t>
      </w:r>
      <w:r w:rsidRPr="000F1C0E">
        <w:rPr>
          <w:rFonts w:cs="Arial"/>
          <w:rtl/>
        </w:rPr>
        <w:t xml:space="preserve">: חייב, </w:t>
      </w:r>
      <w:r w:rsidRPr="003022C3">
        <w:rPr>
          <w:rFonts w:cs="Arial"/>
          <w:u w:val="single"/>
          <w:rtl/>
        </w:rPr>
        <w:t>ור"ל אמר</w:t>
      </w:r>
      <w:r w:rsidRPr="000F1C0E">
        <w:rPr>
          <w:rFonts w:cs="Arial"/>
          <w:rtl/>
        </w:rPr>
        <w:t>: פטור. ה"ד?</w:t>
      </w:r>
      <w:r>
        <w:rPr>
          <w:rFonts w:cs="Arial" w:hint="cs"/>
          <w:rtl/>
        </w:rPr>
        <w:t>...</w:t>
      </w:r>
      <w:r w:rsidRPr="000F1C0E">
        <w:rPr>
          <w:rFonts w:cs="Arial"/>
          <w:rtl/>
        </w:rPr>
        <w:t xml:space="preserve"> לעולם דלא קאמר להו אתם עדיי, והכא במאי עסקינן - דא"ל חייב אני לך מנה בשטר, רבי יוחנן אמר: חייב, אלימא מילתא דשטרא כמאן דאמר להו אתם עדים דמי; ר"ל אמר: פטור, לא אלימא מילתא דשטרא. תנן: הנושא את האשה, ופסקה עמו לזון את בתה חמש שנים - חייב לזונה חמש שנים; מאי לאו כי האי גוונא!</w:t>
      </w:r>
      <w:r>
        <w:rPr>
          <w:rFonts w:cs="Arial" w:hint="cs"/>
          <w:rtl/>
        </w:rPr>
        <w:t xml:space="preserve"> </w:t>
      </w:r>
      <w:r>
        <w:rPr>
          <w:rFonts w:cs="Arial" w:hint="cs"/>
          <w:sz w:val="14"/>
          <w:szCs w:val="14"/>
          <w:rtl/>
        </w:rPr>
        <w:t xml:space="preserve">(קב.) </w:t>
      </w:r>
      <w:r w:rsidRPr="000F1C0E">
        <w:rPr>
          <w:rFonts w:cs="Arial"/>
          <w:rtl/>
        </w:rPr>
        <w:t xml:space="preserve">לא, בשטרי פסיקתא, וכדרב גידל, </w:t>
      </w:r>
      <w:r w:rsidRPr="003022C3">
        <w:rPr>
          <w:rFonts w:cs="Arial"/>
          <w:u w:val="single"/>
          <w:rtl/>
        </w:rPr>
        <w:t>דאמר רב גידל אמר רב</w:t>
      </w:r>
      <w:r w:rsidRPr="000F1C0E">
        <w:rPr>
          <w:rFonts w:cs="Arial"/>
          <w:rtl/>
        </w:rPr>
        <w:t>: כמה אתה נותן לבנך? כך וכך, וכמה אתה נותן לבתך? כך וכך, עמדו וקידשו - קנו, הן הן הדברים הנקנין באמירה.</w:t>
      </w:r>
      <w:r>
        <w:rPr>
          <w:rFonts w:hint="cs"/>
          <w:rtl/>
        </w:rPr>
        <w:t>..</w:t>
      </w:r>
      <w:r w:rsidRPr="00CA7CD4">
        <w:rPr>
          <w:rtl/>
        </w:rPr>
        <w:t xml:space="preserve"> </w:t>
      </w:r>
    </w:p>
    <w:p w14:paraId="067AB838" w14:textId="77777777" w:rsidR="002E5BAD" w:rsidRPr="009D37AE" w:rsidRDefault="002E5BAD" w:rsidP="002E5BAD">
      <w:pPr>
        <w:rPr>
          <w:u w:val="single"/>
          <w:rtl/>
        </w:rPr>
      </w:pPr>
      <w:r w:rsidRPr="009D37AE">
        <w:rPr>
          <w:rFonts w:hint="cs"/>
          <w:u w:val="single"/>
          <w:rtl/>
        </w:rPr>
        <w:t>מזונות בת אשתו:</w:t>
      </w:r>
    </w:p>
    <w:p w14:paraId="2CF9EB07" w14:textId="77777777" w:rsidR="002E5BAD" w:rsidRPr="00003C2E" w:rsidRDefault="002E5BAD" w:rsidP="00B75458">
      <w:pPr>
        <w:pStyle w:val="ab"/>
        <w:numPr>
          <w:ilvl w:val="0"/>
          <w:numId w:val="195"/>
        </w:numPr>
      </w:pPr>
      <w:r>
        <w:rPr>
          <w:rFonts w:hint="cs"/>
          <w:rtl/>
        </w:rPr>
        <w:t xml:space="preserve">טור- </w:t>
      </w:r>
      <w:r w:rsidRPr="00716457">
        <w:rPr>
          <w:rFonts w:cs="Arial"/>
          <w:rtl/>
        </w:rPr>
        <w:t>כל אלו הדברים אינו חייב אלא בבת אשתו שילדה לו</w:t>
      </w:r>
      <w:r>
        <w:rPr>
          <w:rFonts w:cs="Arial" w:hint="cs"/>
          <w:rtl/>
        </w:rPr>
        <w:t>.</w:t>
      </w:r>
      <w:r w:rsidRPr="00716457">
        <w:rPr>
          <w:rFonts w:cs="Arial"/>
          <w:rtl/>
        </w:rPr>
        <w:t xml:space="preserve"> אבל אם יש לה בת מאיש אחר </w:t>
      </w:r>
      <w:r>
        <w:rPr>
          <w:rFonts w:cs="Arial" w:hint="cs"/>
          <w:rtl/>
        </w:rPr>
        <w:t xml:space="preserve">- </w:t>
      </w:r>
      <w:r w:rsidRPr="00716457">
        <w:rPr>
          <w:rFonts w:cs="Arial"/>
          <w:rtl/>
        </w:rPr>
        <w:t>אינו חייב לה כלום אלא מה שהתנתה עמו</w:t>
      </w:r>
      <w:r>
        <w:rPr>
          <w:rStyle w:val="a7"/>
          <w:rFonts w:cs="Arial"/>
          <w:rtl/>
        </w:rPr>
        <w:footnoteReference w:id="3066"/>
      </w:r>
      <w:r>
        <w:rPr>
          <w:rFonts w:cs="Arial" w:hint="cs"/>
          <w:rtl/>
        </w:rPr>
        <w:t>.</w:t>
      </w:r>
      <w:r w:rsidRPr="00716457">
        <w:rPr>
          <w:rFonts w:cs="Arial"/>
          <w:rtl/>
        </w:rPr>
        <w:t xml:space="preserve"> דתנן הנושא את האשה ופסק עמה שיזון את בתה ה' שנים חייב לזונה ה' שנים</w:t>
      </w:r>
      <w:r>
        <w:rPr>
          <w:rFonts w:cs="Arial" w:hint="cs"/>
          <w:rtl/>
        </w:rPr>
        <w:t>.</w:t>
      </w:r>
      <w:r w:rsidRPr="00716457">
        <w:rPr>
          <w:rFonts w:cs="Arial"/>
          <w:rtl/>
        </w:rPr>
        <w:t xml:space="preserve"> אבל אם לא פסקה</w:t>
      </w:r>
      <w:r>
        <w:rPr>
          <w:rFonts w:cs="Arial" w:hint="cs"/>
          <w:rtl/>
        </w:rPr>
        <w:t xml:space="preserve"> -</w:t>
      </w:r>
      <w:r w:rsidRPr="00716457">
        <w:rPr>
          <w:rFonts w:cs="Arial"/>
          <w:rtl/>
        </w:rPr>
        <w:t xml:space="preserve"> לא</w:t>
      </w:r>
      <w:r>
        <w:rPr>
          <w:rFonts w:cs="Arial" w:hint="cs"/>
          <w:rtl/>
        </w:rPr>
        <w:t>.</w:t>
      </w:r>
      <w:r w:rsidRPr="00716457">
        <w:rPr>
          <w:rFonts w:cs="Arial"/>
          <w:rtl/>
        </w:rPr>
        <w:t xml:space="preserve"> </w:t>
      </w:r>
      <w:r w:rsidRPr="004663D7">
        <w:rPr>
          <w:rFonts w:hint="cs"/>
          <w:color w:val="E36C0A" w:themeColor="accent6" w:themeShade="BF"/>
          <w:rtl/>
        </w:rPr>
        <w:t>(וכ"פ בשו"ע)</w:t>
      </w:r>
    </w:p>
    <w:p w14:paraId="0ABA253E" w14:textId="77777777" w:rsidR="002E5BAD" w:rsidRPr="00943D88" w:rsidRDefault="002E5BAD" w:rsidP="002E5BAD">
      <w:pPr>
        <w:ind w:left="360"/>
        <w:rPr>
          <w:u w:val="dotted"/>
        </w:rPr>
      </w:pPr>
      <w:r>
        <w:rPr>
          <w:rFonts w:cs="Arial" w:hint="cs"/>
          <w:u w:val="dotted"/>
          <w:rtl/>
        </w:rPr>
        <w:t xml:space="preserve">כשפסק עמה לזון את בתה חמש שנים </w:t>
      </w:r>
      <w:r>
        <w:rPr>
          <w:rFonts w:cs="Arial"/>
          <w:u w:val="dotted"/>
          <w:rtl/>
        </w:rPr>
        <w:t>–</w:t>
      </w:r>
      <w:r>
        <w:rPr>
          <w:rFonts w:cs="Arial" w:hint="cs"/>
          <w:u w:val="dotted"/>
          <w:rtl/>
        </w:rPr>
        <w:t xml:space="preserve"> האם מספיק דיבור בעלמא או שצריך לעשות קנין/כתיבה</w:t>
      </w:r>
      <w:r w:rsidRPr="00943D88">
        <w:rPr>
          <w:rFonts w:cs="Arial" w:hint="cs"/>
          <w:u w:val="dotted"/>
          <w:rtl/>
        </w:rPr>
        <w:t>:</w:t>
      </w:r>
    </w:p>
    <w:p w14:paraId="223369C2" w14:textId="77777777" w:rsidR="002E5BAD" w:rsidRDefault="002E5BAD" w:rsidP="00B75458">
      <w:pPr>
        <w:pStyle w:val="ab"/>
        <w:numPr>
          <w:ilvl w:val="0"/>
          <w:numId w:val="195"/>
        </w:numPr>
      </w:pPr>
      <w:r w:rsidRPr="00716457">
        <w:rPr>
          <w:rFonts w:cs="Arial"/>
          <w:rtl/>
        </w:rPr>
        <w:t>רמב"ם</w:t>
      </w:r>
      <w:r>
        <w:rPr>
          <w:rFonts w:cs="Arial" w:hint="cs"/>
          <w:sz w:val="16"/>
          <w:szCs w:val="16"/>
          <w:rtl/>
        </w:rPr>
        <w:t xml:space="preserve"> (פכ"ג מאישות הי"ז, הביאו הטור)</w:t>
      </w:r>
      <w:r>
        <w:rPr>
          <w:rFonts w:cs="Arial" w:hint="cs"/>
          <w:rtl/>
        </w:rPr>
        <w:t xml:space="preserve"> וטור- </w:t>
      </w:r>
      <w:r w:rsidRPr="00003C2E">
        <w:rPr>
          <w:rFonts w:cs="Arial"/>
          <w:rtl/>
        </w:rPr>
        <w:t xml:space="preserve">הנושא את האשה ופסקה עמו שיהיה זן את בתה כך וכך שנים </w:t>
      </w:r>
      <w:r>
        <w:rPr>
          <w:rFonts w:cs="Arial" w:hint="cs"/>
          <w:rtl/>
        </w:rPr>
        <w:t xml:space="preserve">- </w:t>
      </w:r>
      <w:r w:rsidRPr="00003C2E">
        <w:rPr>
          <w:rFonts w:cs="Arial"/>
          <w:rtl/>
        </w:rPr>
        <w:t>חייב לזון אותם שנים שקיבל על עצמו</w:t>
      </w:r>
      <w:r>
        <w:rPr>
          <w:rFonts w:cs="Arial" w:hint="cs"/>
          <w:rtl/>
        </w:rPr>
        <w:t>.</w:t>
      </w:r>
      <w:r w:rsidRPr="00003C2E">
        <w:rPr>
          <w:rFonts w:cs="Arial"/>
          <w:rtl/>
        </w:rPr>
        <w:t xml:space="preserve"> </w:t>
      </w:r>
      <w:r w:rsidRPr="00943D88">
        <w:rPr>
          <w:rFonts w:cs="Arial"/>
          <w:rtl/>
        </w:rPr>
        <w:t>והוא שיתנו על דבר זה בשעת קידושין</w:t>
      </w:r>
      <w:r w:rsidRPr="00943D88">
        <w:rPr>
          <w:rFonts w:cs="Arial" w:hint="cs"/>
          <w:rtl/>
        </w:rPr>
        <w:t>.</w:t>
      </w:r>
      <w:r w:rsidRPr="00943D88">
        <w:rPr>
          <w:rFonts w:cs="Arial"/>
          <w:rtl/>
        </w:rPr>
        <w:t xml:space="preserve"> אבל שלא בשעת קידושין </w:t>
      </w:r>
      <w:r w:rsidRPr="00943D88">
        <w:rPr>
          <w:rFonts w:cs="Arial" w:hint="cs"/>
          <w:rtl/>
        </w:rPr>
        <w:t xml:space="preserve">- </w:t>
      </w:r>
      <w:r w:rsidRPr="00943D88">
        <w:rPr>
          <w:rFonts w:cs="Arial"/>
          <w:rtl/>
        </w:rPr>
        <w:t>עד שיקנו מידו</w:t>
      </w:r>
      <w:r>
        <w:rPr>
          <w:rStyle w:val="a7"/>
          <w:rFonts w:cs="Arial"/>
          <w:rtl/>
        </w:rPr>
        <w:footnoteReference w:id="3067"/>
      </w:r>
      <w:r w:rsidRPr="00943D88">
        <w:rPr>
          <w:rFonts w:cs="Arial"/>
          <w:rtl/>
        </w:rPr>
        <w:t xml:space="preserve"> או עד שיכתוב בשטר וכיוצא בו</w:t>
      </w:r>
      <w:r>
        <w:rPr>
          <w:rStyle w:val="a7"/>
          <w:rFonts w:cs="Arial"/>
          <w:rtl/>
        </w:rPr>
        <w:footnoteReference w:id="3068"/>
      </w:r>
      <w:r>
        <w:rPr>
          <w:rFonts w:cs="Arial" w:hint="cs"/>
          <w:rtl/>
        </w:rPr>
        <w:t>,</w:t>
      </w:r>
      <w:r w:rsidRPr="00943D88">
        <w:rPr>
          <w:rFonts w:cs="Arial"/>
          <w:rtl/>
        </w:rPr>
        <w:t xml:space="preserve"> כמו שיתבאר בהלכות מקח וממכר</w:t>
      </w:r>
      <w:r>
        <w:rPr>
          <w:rFonts w:cs="Arial" w:hint="cs"/>
          <w:sz w:val="16"/>
          <w:szCs w:val="16"/>
          <w:rtl/>
        </w:rPr>
        <w:t xml:space="preserve"> (ל' הרמב"ם)</w:t>
      </w:r>
      <w:r w:rsidRPr="00943D88">
        <w:rPr>
          <w:rFonts w:cs="Arial" w:hint="cs"/>
          <w:rtl/>
        </w:rPr>
        <w:t>.</w:t>
      </w:r>
    </w:p>
    <w:p w14:paraId="296CEDBA" w14:textId="77777777" w:rsidR="002E5BAD" w:rsidRDefault="002E5BAD" w:rsidP="002E5BAD">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986539">
        <w:rPr>
          <w:rFonts w:cs="Arial"/>
          <w:rtl/>
        </w:rPr>
        <w:t>תני</w:t>
      </w:r>
      <w:r>
        <w:rPr>
          <w:rFonts w:cs="Arial" w:hint="cs"/>
          <w:rtl/>
        </w:rPr>
        <w:t>:</w:t>
      </w:r>
      <w:r w:rsidRPr="00986539">
        <w:rPr>
          <w:rFonts w:cs="Arial"/>
          <w:rtl/>
        </w:rPr>
        <w:t xml:space="preserve"> זנה חמש שנים הראשונים בין ביוקר בין בזול</w:t>
      </w:r>
      <w:r>
        <w:rPr>
          <w:rFonts w:cs="Arial" w:hint="cs"/>
          <w:rtl/>
        </w:rPr>
        <w:t>.</w:t>
      </w:r>
      <w:r w:rsidRPr="00986539">
        <w:rPr>
          <w:rFonts w:cs="Arial"/>
          <w:rtl/>
        </w:rPr>
        <w:t xml:space="preserve"> היו ביוקר והזילו</w:t>
      </w:r>
      <w:r>
        <w:rPr>
          <w:rFonts w:cs="Arial" w:hint="cs"/>
          <w:rtl/>
        </w:rPr>
        <w:t>,</w:t>
      </w:r>
      <w:r w:rsidRPr="00986539">
        <w:rPr>
          <w:rFonts w:cs="Arial"/>
          <w:rtl/>
        </w:rPr>
        <w:t xml:space="preserve"> אם הוא גרים </w:t>
      </w:r>
      <w:r>
        <w:rPr>
          <w:rFonts w:cs="Arial" w:hint="cs"/>
          <w:rtl/>
        </w:rPr>
        <w:t xml:space="preserve">- </w:t>
      </w:r>
      <w:r w:rsidRPr="00986539">
        <w:rPr>
          <w:rFonts w:cs="Arial"/>
          <w:rtl/>
        </w:rPr>
        <w:t>נותן ביוקר</w:t>
      </w:r>
      <w:r>
        <w:rPr>
          <w:rFonts w:cs="Arial" w:hint="cs"/>
          <w:rtl/>
        </w:rPr>
        <w:t>.</w:t>
      </w:r>
      <w:r w:rsidRPr="00986539">
        <w:rPr>
          <w:rFonts w:cs="Arial"/>
          <w:rtl/>
        </w:rPr>
        <w:t xml:space="preserve"> ואם היא גרמה </w:t>
      </w:r>
      <w:r>
        <w:rPr>
          <w:rFonts w:cs="Arial" w:hint="cs"/>
          <w:rtl/>
        </w:rPr>
        <w:t xml:space="preserve">- </w:t>
      </w:r>
      <w:r w:rsidRPr="00986539">
        <w:rPr>
          <w:rFonts w:cs="Arial"/>
          <w:rtl/>
        </w:rPr>
        <w:t>נותן בזול</w:t>
      </w:r>
      <w:r>
        <w:rPr>
          <w:rFonts w:cs="Arial" w:hint="cs"/>
          <w:rtl/>
        </w:rPr>
        <w:t>.</w:t>
      </w:r>
      <w:r w:rsidRPr="00986539">
        <w:rPr>
          <w:rFonts w:cs="Arial"/>
          <w:rtl/>
        </w:rPr>
        <w:t xml:space="preserve"> היו בזול והוקירו</w:t>
      </w:r>
      <w:r>
        <w:rPr>
          <w:rFonts w:cs="Arial" w:hint="cs"/>
          <w:rtl/>
        </w:rPr>
        <w:t>,</w:t>
      </w:r>
      <w:r w:rsidRPr="00986539">
        <w:rPr>
          <w:rFonts w:cs="Arial"/>
          <w:rtl/>
        </w:rPr>
        <w:t xml:space="preserve"> בין שהוא גרם בין שהיא גרמה </w:t>
      </w:r>
      <w:r>
        <w:rPr>
          <w:rFonts w:cs="Arial" w:hint="cs"/>
          <w:rtl/>
        </w:rPr>
        <w:t xml:space="preserve">- </w:t>
      </w:r>
      <w:r w:rsidRPr="00986539">
        <w:rPr>
          <w:rFonts w:cs="Arial"/>
          <w:rtl/>
        </w:rPr>
        <w:t>נותנין בזול</w:t>
      </w:r>
      <w:r>
        <w:rPr>
          <w:rFonts w:cs="Arial" w:hint="cs"/>
          <w:rtl/>
        </w:rPr>
        <w:t>.</w:t>
      </w:r>
      <w:r w:rsidRPr="0012094B">
        <w:rPr>
          <w:rtl/>
        </w:rPr>
        <w:t xml:space="preserve"> </w:t>
      </w:r>
      <w:r w:rsidRPr="0012094B">
        <w:rPr>
          <w:rFonts w:cs="Arial"/>
          <w:rtl/>
        </w:rPr>
        <w:t>הדא היא הבת לא עולה ולא יורדת</w:t>
      </w:r>
      <w:r>
        <w:rPr>
          <w:rFonts w:cs="Arial" w:hint="cs"/>
          <w:rtl/>
        </w:rPr>
        <w:t>.</w:t>
      </w:r>
      <w:r w:rsidRPr="004663D7">
        <w:rPr>
          <w:rFonts w:cs="Arial"/>
          <w:sz w:val="16"/>
          <w:szCs w:val="16"/>
          <w:rtl/>
        </w:rPr>
        <w:t xml:space="preserve"> </w:t>
      </w:r>
      <w:r>
        <w:rPr>
          <w:rFonts w:cs="Arial" w:hint="cs"/>
          <w:sz w:val="16"/>
          <w:szCs w:val="16"/>
          <w:rtl/>
        </w:rPr>
        <w:t>(</w:t>
      </w:r>
      <w:r w:rsidRPr="004663D7">
        <w:rPr>
          <w:rFonts w:cs="Arial"/>
          <w:sz w:val="16"/>
          <w:szCs w:val="16"/>
          <w:rtl/>
        </w:rPr>
        <w:t xml:space="preserve">כתבוהו הרא"ש </w:t>
      </w:r>
      <w:r>
        <w:rPr>
          <w:rFonts w:cs="Arial" w:hint="cs"/>
          <w:sz w:val="16"/>
          <w:szCs w:val="16"/>
          <w:rtl/>
        </w:rPr>
        <w:t xml:space="preserve">(סי' א) </w:t>
      </w:r>
      <w:r w:rsidRPr="004663D7">
        <w:rPr>
          <w:rFonts w:cs="Arial"/>
          <w:sz w:val="16"/>
          <w:szCs w:val="16"/>
          <w:rtl/>
        </w:rPr>
        <w:t xml:space="preserve">והר"ן </w:t>
      </w:r>
      <w:r>
        <w:rPr>
          <w:rFonts w:cs="Arial" w:hint="cs"/>
          <w:sz w:val="16"/>
          <w:szCs w:val="16"/>
          <w:rtl/>
        </w:rPr>
        <w:t xml:space="preserve">(ס:) </w:t>
      </w:r>
      <w:r w:rsidRPr="004663D7">
        <w:rPr>
          <w:rFonts w:cs="Arial"/>
          <w:sz w:val="16"/>
          <w:szCs w:val="16"/>
          <w:rtl/>
        </w:rPr>
        <w:t>ז"ל בר"פ הנושא</w:t>
      </w:r>
      <w:r>
        <w:rPr>
          <w:rFonts w:cs="Arial" w:hint="cs"/>
          <w:sz w:val="16"/>
          <w:szCs w:val="16"/>
          <w:rtl/>
        </w:rPr>
        <w:t>.</w:t>
      </w:r>
      <w:r w:rsidRPr="004663D7">
        <w:rPr>
          <w:rFonts w:cs="Arial"/>
          <w:sz w:val="16"/>
          <w:szCs w:val="16"/>
          <w:rtl/>
        </w:rPr>
        <w:t xml:space="preserve"> וכתב הרא"ש דטעמא דבסיפא אע</w:t>
      </w:r>
      <w:r>
        <w:rPr>
          <w:rFonts w:cs="Arial" w:hint="cs"/>
          <w:sz w:val="16"/>
          <w:szCs w:val="16"/>
          <w:rtl/>
        </w:rPr>
        <w:t>"</w:t>
      </w:r>
      <w:r w:rsidRPr="004663D7">
        <w:rPr>
          <w:rFonts w:cs="Arial"/>
          <w:sz w:val="16"/>
          <w:szCs w:val="16"/>
          <w:rtl/>
        </w:rPr>
        <w:t>פ שעיכב הוא אינו נותן אלא כדמי הזול מפני שאינו חייב לשלם אלא כעין שגזל דהיינו אותם שנים שהיה בזול</w:t>
      </w:r>
      <w:r>
        <w:rPr>
          <w:rFonts w:cs="Arial" w:hint="cs"/>
          <w:sz w:val="16"/>
          <w:szCs w:val="16"/>
          <w:rtl/>
        </w:rPr>
        <w:t>, ב"י)</w:t>
      </w:r>
    </w:p>
    <w:p w14:paraId="52E8BF87" w14:textId="77777777" w:rsidR="002E5BAD" w:rsidRPr="004663D7" w:rsidRDefault="002E5BAD" w:rsidP="002E5BAD">
      <w:pPr>
        <w:rPr>
          <w:u w:val="single"/>
          <w:rtl/>
        </w:rPr>
      </w:pPr>
      <w:r w:rsidRPr="004663D7">
        <w:rPr>
          <w:rFonts w:hint="cs"/>
          <w:u w:val="single"/>
          <w:rtl/>
        </w:rPr>
        <w:t>התחייב לזונה כך וכך שנים והתייקרו/הוזילו המזונות:</w:t>
      </w:r>
    </w:p>
    <w:p w14:paraId="46087868" w14:textId="77777777" w:rsidR="002E5BAD" w:rsidRPr="008A32F1" w:rsidRDefault="002E5BAD" w:rsidP="00B75458">
      <w:pPr>
        <w:pStyle w:val="ab"/>
        <w:numPr>
          <w:ilvl w:val="0"/>
          <w:numId w:val="195"/>
        </w:numPr>
        <w:rPr>
          <w:rtl/>
        </w:rPr>
      </w:pPr>
      <w:r>
        <w:rPr>
          <w:rFonts w:cs="Arial" w:hint="cs"/>
          <w:rtl/>
        </w:rPr>
        <w:t xml:space="preserve">טור- </w:t>
      </w:r>
      <w:r w:rsidRPr="00716457">
        <w:rPr>
          <w:rFonts w:cs="Arial"/>
          <w:rtl/>
        </w:rPr>
        <w:t>וצריך לזונה ה' שנים הראשונים שאחר הנישואין בין אם המזונו</w:t>
      </w:r>
      <w:r>
        <w:rPr>
          <w:rFonts w:cs="Arial" w:hint="cs"/>
          <w:rtl/>
        </w:rPr>
        <w:t>ת</w:t>
      </w:r>
      <w:r w:rsidRPr="00716457">
        <w:rPr>
          <w:rFonts w:cs="Arial"/>
          <w:rtl/>
        </w:rPr>
        <w:t xml:space="preserve"> ביוקר או בזול</w:t>
      </w:r>
      <w:r>
        <w:rPr>
          <w:rFonts w:cs="Arial" w:hint="cs"/>
          <w:rtl/>
        </w:rPr>
        <w:t>.</w:t>
      </w:r>
      <w:r w:rsidRPr="00716457">
        <w:rPr>
          <w:rFonts w:cs="Arial"/>
          <w:rtl/>
        </w:rPr>
        <w:t xml:space="preserve"> לא זנה בהם והוזלו המזונות</w:t>
      </w:r>
      <w:r>
        <w:rPr>
          <w:rFonts w:cs="Arial" w:hint="cs"/>
          <w:rtl/>
        </w:rPr>
        <w:t>,</w:t>
      </w:r>
      <w:r w:rsidRPr="00716457">
        <w:rPr>
          <w:rFonts w:cs="Arial"/>
          <w:rtl/>
        </w:rPr>
        <w:t xml:space="preserve"> אם הוא עיכב לזונה </w:t>
      </w:r>
      <w:r>
        <w:rPr>
          <w:rFonts w:cs="Arial" w:hint="cs"/>
          <w:rtl/>
        </w:rPr>
        <w:t xml:space="preserve">- </w:t>
      </w:r>
      <w:r w:rsidRPr="00716457">
        <w:rPr>
          <w:rFonts w:cs="Arial"/>
          <w:rtl/>
        </w:rPr>
        <w:t>צריך לפרוע לה בדמים ביוקר של עכשיו</w:t>
      </w:r>
      <w:r>
        <w:rPr>
          <w:rFonts w:cs="Arial" w:hint="cs"/>
          <w:rtl/>
        </w:rPr>
        <w:t>.</w:t>
      </w:r>
      <w:r w:rsidRPr="00716457">
        <w:rPr>
          <w:rFonts w:cs="Arial"/>
          <w:rtl/>
        </w:rPr>
        <w:t xml:space="preserve"> ואם היא עכבה </w:t>
      </w:r>
      <w:r>
        <w:rPr>
          <w:rFonts w:cs="Arial" w:hint="cs"/>
          <w:rtl/>
        </w:rPr>
        <w:t xml:space="preserve">- </w:t>
      </w:r>
      <w:r w:rsidRPr="00716457">
        <w:rPr>
          <w:rFonts w:cs="Arial"/>
          <w:rtl/>
        </w:rPr>
        <w:t>אין נותנין לה אלא כדמי הזול</w:t>
      </w:r>
      <w:r>
        <w:rPr>
          <w:rFonts w:cs="Arial" w:hint="cs"/>
          <w:rtl/>
        </w:rPr>
        <w:t>.</w:t>
      </w:r>
      <w:r w:rsidRPr="00716457">
        <w:rPr>
          <w:rFonts w:cs="Arial"/>
          <w:rtl/>
        </w:rPr>
        <w:t xml:space="preserve"> היו בזול והוקרו בין שעכבה היא או הוא </w:t>
      </w:r>
      <w:r>
        <w:rPr>
          <w:rFonts w:cs="Arial" w:hint="cs"/>
          <w:rtl/>
        </w:rPr>
        <w:t xml:space="preserve">- </w:t>
      </w:r>
      <w:r w:rsidRPr="00716457">
        <w:rPr>
          <w:rFonts w:cs="Arial"/>
          <w:rtl/>
        </w:rPr>
        <w:t>אין נותן לה אלא כדמי הזול</w:t>
      </w:r>
      <w:r>
        <w:rPr>
          <w:rFonts w:cs="Arial" w:hint="cs"/>
          <w:rtl/>
        </w:rPr>
        <w:t>.</w:t>
      </w:r>
      <w:r w:rsidRPr="00716457">
        <w:rPr>
          <w:rFonts w:cs="Arial"/>
          <w:rtl/>
        </w:rPr>
        <w:t xml:space="preserve"> </w:t>
      </w:r>
      <w:r w:rsidRPr="004663D7">
        <w:rPr>
          <w:rFonts w:hint="cs"/>
          <w:color w:val="E36C0A" w:themeColor="accent6" w:themeShade="BF"/>
          <w:rtl/>
        </w:rPr>
        <w:t>(וכ"פ בשו"ע)</w:t>
      </w:r>
    </w:p>
    <w:p w14:paraId="4E0009D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876C8D" w14:textId="77777777" w:rsidR="002E5BAD" w:rsidRDefault="002E5BAD" w:rsidP="002E5BAD">
      <w:pPr>
        <w:rPr>
          <w:rtl/>
        </w:rPr>
      </w:pPr>
      <w:r>
        <w:rPr>
          <w:rFonts w:cs="Arial"/>
          <w:rtl/>
        </w:rPr>
        <w:lastRenderedPageBreak/>
        <w:t>הנושא אשה, ופסקה עמו לזון את בתה ה' שנים, חייב לזונה במאכל ובמשקה</w:t>
      </w:r>
      <w:r>
        <w:rPr>
          <w:rStyle w:val="a7"/>
          <w:rFonts w:cs="Arial"/>
          <w:rtl/>
        </w:rPr>
        <w:footnoteReference w:id="3069"/>
      </w:r>
      <w:r>
        <w:rPr>
          <w:rFonts w:cs="Arial"/>
          <w:rtl/>
        </w:rPr>
        <w:t xml:space="preserve"> חמש שנים הראשונים</w:t>
      </w:r>
      <w:r>
        <w:rPr>
          <w:rStyle w:val="a7"/>
          <w:rFonts w:cs="Arial"/>
          <w:rtl/>
        </w:rPr>
        <w:footnoteReference w:id="3070"/>
      </w:r>
      <w:r>
        <w:rPr>
          <w:rFonts w:cs="Arial"/>
          <w:rtl/>
        </w:rPr>
        <w:t xml:space="preserve"> שאחר הנשואין, בין אם המזונות ביוקר או בזול. ואם לא זנה בהם, והוזלו המזונות, אם הוא עיכב</w:t>
      </w:r>
      <w:r>
        <w:rPr>
          <w:rFonts w:cs="Arial" w:hint="cs"/>
          <w:rtl/>
        </w:rPr>
        <w:t>,</w:t>
      </w:r>
      <w:r>
        <w:rPr>
          <w:rFonts w:cs="Arial"/>
          <w:rtl/>
        </w:rPr>
        <w:t xml:space="preserve"> צריך לפרוע לה</w:t>
      </w:r>
      <w:r>
        <w:rPr>
          <w:rStyle w:val="a7"/>
          <w:rFonts w:cs="Arial"/>
          <w:rtl/>
        </w:rPr>
        <w:footnoteReference w:id="3071"/>
      </w:r>
      <w:r>
        <w:rPr>
          <w:rFonts w:cs="Arial"/>
          <w:rtl/>
        </w:rPr>
        <w:t xml:space="preserve"> כזמן היוקר. ואם היא עיכבה, אינו נותן לה אלא </w:t>
      </w:r>
      <w:r>
        <w:rPr>
          <w:rFonts w:cs="Arial" w:hint="cs"/>
          <w:rtl/>
        </w:rPr>
        <w:t>כ</w:t>
      </w:r>
      <w:r>
        <w:rPr>
          <w:rFonts w:cs="Arial"/>
          <w:rtl/>
        </w:rPr>
        <w:t>זמן הזול</w:t>
      </w:r>
      <w:r>
        <w:rPr>
          <w:rStyle w:val="a7"/>
          <w:rFonts w:cs="Arial"/>
          <w:rtl/>
        </w:rPr>
        <w:footnoteReference w:id="3072"/>
      </w:r>
      <w:r>
        <w:rPr>
          <w:rFonts w:cs="Arial"/>
          <w:rtl/>
        </w:rPr>
        <w:t xml:space="preserve">. ואם היו בזול והוקרו, אפילו אם עיכב הוא, אינו נותן לה אלא כדמי הזול. </w:t>
      </w:r>
    </w:p>
    <w:p w14:paraId="505C546F" w14:textId="77777777" w:rsidR="002E5BAD" w:rsidRDefault="002E5BAD" w:rsidP="002E5BAD">
      <w:pPr>
        <w:rPr>
          <w:rtl/>
        </w:rPr>
      </w:pPr>
    </w:p>
    <w:p w14:paraId="011FFFDE" w14:textId="77777777" w:rsidR="002E5BAD" w:rsidRDefault="002E5BAD" w:rsidP="002E5BAD">
      <w:pPr>
        <w:pStyle w:val="2"/>
        <w:rPr>
          <w:rtl/>
        </w:rPr>
      </w:pPr>
      <w:r>
        <w:rPr>
          <w:rtl/>
        </w:rPr>
        <w:t>סעיף ב</w:t>
      </w:r>
      <w:r>
        <w:rPr>
          <w:rFonts w:hint="cs"/>
          <w:rtl/>
        </w:rPr>
        <w:t>: מעשה ידיה של בת אשתו.</w:t>
      </w:r>
    </w:p>
    <w:p w14:paraId="43A79D72" w14:textId="77777777" w:rsidR="002E5BAD" w:rsidRDefault="002E5BAD" w:rsidP="002E5BAD">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C81756">
        <w:rPr>
          <w:rFonts w:cs="Arial"/>
          <w:rtl/>
        </w:rPr>
        <w:t>מעשה ידי הבת</w:t>
      </w:r>
      <w:r>
        <w:rPr>
          <w:rStyle w:val="a7"/>
          <w:rFonts w:cs="Arial"/>
          <w:rtl/>
        </w:rPr>
        <w:footnoteReference w:id="3073"/>
      </w:r>
      <w:r w:rsidRPr="00C81756">
        <w:rPr>
          <w:rFonts w:cs="Arial"/>
          <w:rtl/>
        </w:rPr>
        <w:t xml:space="preserve"> של מי</w:t>
      </w:r>
      <w:r>
        <w:rPr>
          <w:rFonts w:cs="Arial" w:hint="cs"/>
          <w:rtl/>
        </w:rPr>
        <w:t>?</w:t>
      </w:r>
      <w:r w:rsidRPr="00C81756">
        <w:rPr>
          <w:rFonts w:cs="Arial"/>
          <w:rtl/>
        </w:rPr>
        <w:t xml:space="preserve"> נישמעינה מן הדא</w:t>
      </w:r>
      <w:r>
        <w:rPr>
          <w:rFonts w:cs="Arial" w:hint="cs"/>
          <w:rtl/>
        </w:rPr>
        <w:t>:</w:t>
      </w:r>
      <w:r w:rsidRPr="00C81756">
        <w:rPr>
          <w:rFonts w:cs="Arial"/>
          <w:rtl/>
        </w:rPr>
        <w:t xml:space="preserve"> נישאת</w:t>
      </w:r>
      <w:r>
        <w:rPr>
          <w:rFonts w:cs="Arial" w:hint="cs"/>
          <w:rtl/>
        </w:rPr>
        <w:t>,</w:t>
      </w:r>
      <w:r w:rsidRPr="00C81756">
        <w:rPr>
          <w:rFonts w:cs="Arial"/>
          <w:rtl/>
        </w:rPr>
        <w:t xml:space="preserve"> הבעל חייב במזונותיה</w:t>
      </w:r>
      <w:r>
        <w:rPr>
          <w:rFonts w:cs="Arial" w:hint="cs"/>
          <w:rtl/>
        </w:rPr>
        <w:t>,</w:t>
      </w:r>
      <w:r w:rsidRPr="00C81756">
        <w:rPr>
          <w:rFonts w:cs="Arial"/>
          <w:rtl/>
        </w:rPr>
        <w:t xml:space="preserve"> והן נותנין לה דמי מזונות</w:t>
      </w:r>
      <w:r>
        <w:rPr>
          <w:rFonts w:cs="Arial" w:hint="cs"/>
          <w:rtl/>
        </w:rPr>
        <w:t>.</w:t>
      </w:r>
      <w:r w:rsidRPr="00C81756">
        <w:rPr>
          <w:rFonts w:cs="Arial"/>
          <w:rtl/>
        </w:rPr>
        <w:t xml:space="preserve"> הדא אמרה</w:t>
      </w:r>
      <w:r>
        <w:rPr>
          <w:rStyle w:val="a7"/>
          <w:rFonts w:cs="Arial"/>
          <w:rtl/>
        </w:rPr>
        <w:footnoteReference w:id="3074"/>
      </w:r>
      <w:r>
        <w:rPr>
          <w:rFonts w:cs="Arial" w:hint="cs"/>
          <w:rtl/>
        </w:rPr>
        <w:t xml:space="preserve"> -</w:t>
      </w:r>
      <w:r w:rsidRPr="00C81756">
        <w:rPr>
          <w:rFonts w:cs="Arial"/>
          <w:rtl/>
        </w:rPr>
        <w:t xml:space="preserve"> זנה ומעשה ידיה של בעלה</w:t>
      </w:r>
      <w:r>
        <w:rPr>
          <w:rFonts w:cs="Arial" w:hint="cs"/>
          <w:rtl/>
        </w:rPr>
        <w:t>.</w:t>
      </w:r>
      <w:r w:rsidRPr="00C81756">
        <w:rPr>
          <w:rFonts w:cs="Arial"/>
          <w:rtl/>
        </w:rPr>
        <w:t xml:space="preserve"> </w:t>
      </w:r>
      <w:r w:rsidRPr="00C81756">
        <w:rPr>
          <w:rFonts w:cs="Arial"/>
          <w:u w:val="single"/>
          <w:rtl/>
        </w:rPr>
        <w:t>אמר ר' יוסי</w:t>
      </w:r>
      <w:r>
        <w:rPr>
          <w:rFonts w:cs="Arial" w:hint="cs"/>
          <w:rtl/>
        </w:rPr>
        <w:t>:</w:t>
      </w:r>
      <w:r w:rsidRPr="00C81756">
        <w:rPr>
          <w:rFonts w:cs="Arial"/>
          <w:rtl/>
        </w:rPr>
        <w:t xml:space="preserve"> הדא אמרה</w:t>
      </w:r>
      <w:r>
        <w:rPr>
          <w:rFonts w:cs="Arial" w:hint="cs"/>
          <w:rtl/>
        </w:rPr>
        <w:t>:</w:t>
      </w:r>
      <w:r w:rsidRPr="00C81756">
        <w:rPr>
          <w:rFonts w:cs="Arial"/>
          <w:rtl/>
        </w:rPr>
        <w:t xml:space="preserve"> פסק לזון כלתו</w:t>
      </w:r>
      <w:r>
        <w:rPr>
          <w:rFonts w:cs="Arial" w:hint="cs"/>
          <w:rtl/>
        </w:rPr>
        <w:t xml:space="preserve"> </w:t>
      </w:r>
      <w:r>
        <w:rPr>
          <w:rFonts w:cs="Arial"/>
          <w:rtl/>
        </w:rPr>
        <w:t>–</w:t>
      </w:r>
      <w:r w:rsidRPr="00C81756">
        <w:rPr>
          <w:rFonts w:cs="Arial"/>
          <w:rtl/>
        </w:rPr>
        <w:t xml:space="preserve"> זנה</w:t>
      </w:r>
      <w:r>
        <w:rPr>
          <w:rFonts w:cs="Arial" w:hint="cs"/>
          <w:rtl/>
        </w:rPr>
        <w:t>,</w:t>
      </w:r>
      <w:r w:rsidRPr="00C81756">
        <w:rPr>
          <w:rFonts w:cs="Arial"/>
          <w:rtl/>
        </w:rPr>
        <w:t xml:space="preserve"> ומעשה ידיה של בנו</w:t>
      </w:r>
      <w:r>
        <w:rPr>
          <w:rFonts w:cs="Arial" w:hint="cs"/>
          <w:rtl/>
        </w:rPr>
        <w:t>.</w:t>
      </w:r>
      <w:r w:rsidRPr="00C81756">
        <w:rPr>
          <w:rFonts w:cs="Arial" w:hint="cs"/>
          <w:sz w:val="16"/>
          <w:szCs w:val="16"/>
          <w:rtl/>
        </w:rPr>
        <w:t xml:space="preserve"> </w:t>
      </w:r>
      <w:r>
        <w:rPr>
          <w:rFonts w:cs="Arial" w:hint="cs"/>
          <w:sz w:val="16"/>
          <w:szCs w:val="16"/>
          <w:rtl/>
        </w:rPr>
        <w:t>(</w:t>
      </w:r>
      <w:r w:rsidRPr="00C81756">
        <w:rPr>
          <w:rFonts w:cs="Arial" w:hint="cs"/>
          <w:sz w:val="16"/>
          <w:szCs w:val="16"/>
          <w:rtl/>
        </w:rPr>
        <w:t>ו</w:t>
      </w:r>
      <w:r w:rsidRPr="00C81756">
        <w:rPr>
          <w:rFonts w:cs="Arial"/>
          <w:sz w:val="16"/>
          <w:szCs w:val="16"/>
          <w:rtl/>
        </w:rPr>
        <w:t xml:space="preserve">כתבו הרא"ש </w:t>
      </w:r>
      <w:r>
        <w:rPr>
          <w:rFonts w:cs="Arial" w:hint="cs"/>
          <w:sz w:val="16"/>
          <w:szCs w:val="16"/>
          <w:rtl/>
        </w:rPr>
        <w:t>(פ' הנושא סי' א)</w:t>
      </w:r>
      <w:r w:rsidRPr="00C81756">
        <w:rPr>
          <w:rFonts w:cs="Arial" w:hint="cs"/>
          <w:sz w:val="16"/>
          <w:szCs w:val="16"/>
          <w:rtl/>
        </w:rPr>
        <w:t>.</w:t>
      </w:r>
      <w:r w:rsidRPr="00C81756">
        <w:rPr>
          <w:rFonts w:cs="Arial"/>
          <w:sz w:val="16"/>
          <w:szCs w:val="16"/>
          <w:rtl/>
        </w:rPr>
        <w:t xml:space="preserve"> והריב"ש </w:t>
      </w:r>
      <w:r>
        <w:rPr>
          <w:rFonts w:cs="Arial" w:hint="cs"/>
          <w:sz w:val="16"/>
          <w:szCs w:val="16"/>
          <w:rtl/>
        </w:rPr>
        <w:t>(</w:t>
      </w:r>
      <w:r w:rsidRPr="00C81756">
        <w:rPr>
          <w:rFonts w:cs="Arial"/>
          <w:sz w:val="16"/>
          <w:szCs w:val="16"/>
          <w:rtl/>
        </w:rPr>
        <w:t>בתשו</w:t>
      </w:r>
      <w:r>
        <w:rPr>
          <w:rFonts w:cs="Arial" w:hint="cs"/>
          <w:sz w:val="16"/>
          <w:szCs w:val="16"/>
          <w:rtl/>
        </w:rPr>
        <w:t>'</w:t>
      </w:r>
      <w:r w:rsidRPr="00C81756">
        <w:rPr>
          <w:rFonts w:cs="Arial"/>
          <w:sz w:val="16"/>
          <w:szCs w:val="16"/>
          <w:rtl/>
        </w:rPr>
        <w:t xml:space="preserve"> סי</w:t>
      </w:r>
      <w:r>
        <w:rPr>
          <w:rFonts w:cs="Arial" w:hint="cs"/>
          <w:sz w:val="16"/>
          <w:szCs w:val="16"/>
          <w:rtl/>
        </w:rPr>
        <w:t>'</w:t>
      </w:r>
      <w:r w:rsidRPr="00C81756">
        <w:rPr>
          <w:rFonts w:cs="Arial"/>
          <w:sz w:val="16"/>
          <w:szCs w:val="16"/>
          <w:rtl/>
        </w:rPr>
        <w:t xml:space="preserve"> תפ</w:t>
      </w:r>
      <w:r>
        <w:rPr>
          <w:rFonts w:cs="Arial" w:hint="cs"/>
          <w:sz w:val="16"/>
          <w:szCs w:val="16"/>
          <w:rtl/>
        </w:rPr>
        <w:t>)</w:t>
      </w:r>
      <w:r w:rsidRPr="00C81756">
        <w:rPr>
          <w:rFonts w:cs="Arial"/>
          <w:sz w:val="16"/>
          <w:szCs w:val="16"/>
          <w:rtl/>
        </w:rPr>
        <w:t xml:space="preserve"> כתבו בשם התוספתא (כתובות פ"י ה"ג) ונתן טעם לדבר</w:t>
      </w:r>
      <w:r>
        <w:rPr>
          <w:rFonts w:cs="Arial" w:hint="cs"/>
          <w:sz w:val="16"/>
          <w:szCs w:val="16"/>
          <w:rtl/>
        </w:rPr>
        <w:t>, ב"י)</w:t>
      </w:r>
    </w:p>
    <w:p w14:paraId="1050084B" w14:textId="77777777" w:rsidR="002E5BAD" w:rsidRPr="00C81756" w:rsidRDefault="002E5BAD" w:rsidP="002E5BAD">
      <w:pPr>
        <w:rPr>
          <w:rtl/>
        </w:rPr>
      </w:pPr>
      <w:r w:rsidRPr="00CF5559">
        <w:rPr>
          <w:rFonts w:cs="Arial" w:hint="cs"/>
          <w:b/>
          <w:bCs/>
          <w:rtl/>
        </w:rPr>
        <w:t>תוספתא כתובות פ"י ה"ב:</w:t>
      </w:r>
      <w:r>
        <w:rPr>
          <w:rFonts w:cs="Arial" w:hint="cs"/>
          <w:rtl/>
        </w:rPr>
        <w:t xml:space="preserve"> </w:t>
      </w:r>
      <w:r w:rsidRPr="00CF5559">
        <w:rPr>
          <w:rFonts w:cs="Arial"/>
          <w:rtl/>
        </w:rPr>
        <w:t xml:space="preserve">כתב לזון את בת אשתו ואת בן אשתו </w:t>
      </w:r>
      <w:r>
        <w:rPr>
          <w:rFonts w:cs="Arial" w:hint="cs"/>
          <w:rtl/>
        </w:rPr>
        <w:t xml:space="preserve">- </w:t>
      </w:r>
      <w:r w:rsidRPr="00CF5559">
        <w:rPr>
          <w:rFonts w:cs="Arial"/>
          <w:rtl/>
        </w:rPr>
        <w:t>הרי הן כבעלי חוב וקודמין לכל</w:t>
      </w:r>
      <w:r>
        <w:rPr>
          <w:rFonts w:cs="Arial" w:hint="cs"/>
          <w:rtl/>
        </w:rPr>
        <w:t>.</w:t>
      </w:r>
      <w:r w:rsidRPr="00CF5559">
        <w:rPr>
          <w:rFonts w:cs="Arial"/>
          <w:rtl/>
        </w:rPr>
        <w:t xml:space="preserve"> לא יאמר להן צאו ועשו מלאכה ואני זן אתכם</w:t>
      </w:r>
      <w:r>
        <w:rPr>
          <w:rFonts w:cs="Arial" w:hint="cs"/>
          <w:rtl/>
        </w:rPr>
        <w:t>,</w:t>
      </w:r>
      <w:r w:rsidRPr="00CF5559">
        <w:rPr>
          <w:rFonts w:cs="Arial"/>
          <w:rtl/>
        </w:rPr>
        <w:t xml:space="preserve"> אלא יושבין ומעלה להן מזונות</w:t>
      </w:r>
      <w:r>
        <w:rPr>
          <w:rFonts w:hint="cs"/>
          <w:rtl/>
        </w:rPr>
        <w:t>...</w:t>
      </w:r>
    </w:p>
    <w:p w14:paraId="695AD712" w14:textId="77777777" w:rsidR="002E5BAD" w:rsidRPr="00E931A9" w:rsidRDefault="002E5BAD" w:rsidP="002E5BAD">
      <w:pPr>
        <w:rPr>
          <w:u w:val="single"/>
          <w:rtl/>
        </w:rPr>
      </w:pPr>
      <w:r w:rsidRPr="00E931A9">
        <w:rPr>
          <w:rFonts w:hint="cs"/>
          <w:u w:val="single"/>
          <w:rtl/>
        </w:rPr>
        <w:t xml:space="preserve">כשהוא זן את בת אשתו </w:t>
      </w:r>
      <w:r w:rsidRPr="00E931A9">
        <w:rPr>
          <w:u w:val="single"/>
          <w:rtl/>
        </w:rPr>
        <w:t>–</w:t>
      </w:r>
      <w:r w:rsidRPr="00E931A9">
        <w:rPr>
          <w:rFonts w:hint="cs"/>
          <w:u w:val="single"/>
          <w:rtl/>
        </w:rPr>
        <w:t xml:space="preserve"> למי שיי</w:t>
      </w:r>
      <w:r>
        <w:rPr>
          <w:rFonts w:hint="cs"/>
          <w:u w:val="single"/>
          <w:rtl/>
        </w:rPr>
        <w:t>כ</w:t>
      </w:r>
      <w:r w:rsidRPr="00E931A9">
        <w:rPr>
          <w:rFonts w:hint="cs"/>
          <w:u w:val="single"/>
          <w:rtl/>
        </w:rPr>
        <w:t>ים מעשה ידיה:</w:t>
      </w:r>
    </w:p>
    <w:p w14:paraId="5CF9C5B9" w14:textId="77777777" w:rsidR="002E5BAD" w:rsidRPr="00716457" w:rsidRDefault="002E5BAD" w:rsidP="00B75458">
      <w:pPr>
        <w:pStyle w:val="ab"/>
        <w:numPr>
          <w:ilvl w:val="0"/>
          <w:numId w:val="195"/>
        </w:numPr>
        <w:rPr>
          <w:rtl/>
        </w:rPr>
      </w:pPr>
      <w:r>
        <w:rPr>
          <w:rFonts w:hint="cs"/>
          <w:rtl/>
        </w:rPr>
        <w:t>טור-</w:t>
      </w:r>
      <w:r>
        <w:rPr>
          <w:rFonts w:cs="Arial" w:hint="cs"/>
          <w:rtl/>
        </w:rPr>
        <w:t xml:space="preserve"> </w:t>
      </w:r>
      <w:r w:rsidRPr="00716457">
        <w:rPr>
          <w:rFonts w:cs="Arial"/>
          <w:rtl/>
        </w:rPr>
        <w:t>ומעשה ידיה שלה אף על פי שזנה</w:t>
      </w:r>
      <w:r>
        <w:rPr>
          <w:rFonts w:cs="Arial" w:hint="cs"/>
          <w:rtl/>
        </w:rPr>
        <w:t>.</w:t>
      </w:r>
      <w:r w:rsidRPr="00716457">
        <w:rPr>
          <w:rFonts w:cs="Arial"/>
          <w:rtl/>
        </w:rPr>
        <w:t xml:space="preserve"> </w:t>
      </w:r>
      <w:r w:rsidRPr="004663D7">
        <w:rPr>
          <w:rFonts w:hint="cs"/>
          <w:color w:val="E36C0A" w:themeColor="accent6" w:themeShade="BF"/>
          <w:rtl/>
        </w:rPr>
        <w:t>(וכ"פ בשו"ע)</w:t>
      </w:r>
    </w:p>
    <w:p w14:paraId="75233188" w14:textId="77777777" w:rsidR="002E5BAD" w:rsidRPr="008A32F1"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301AC0" w14:textId="77777777" w:rsidR="002E5BAD" w:rsidRDefault="002E5BAD" w:rsidP="002E5BAD">
      <w:pPr>
        <w:rPr>
          <w:rFonts w:cs="Arial"/>
          <w:rtl/>
        </w:rPr>
      </w:pPr>
      <w:r>
        <w:rPr>
          <w:rFonts w:cs="Arial"/>
          <w:rtl/>
        </w:rPr>
        <w:t>אף על פי שהוא זנה, מעשה ידיה שלה</w:t>
      </w:r>
      <w:r>
        <w:rPr>
          <w:rStyle w:val="a7"/>
          <w:rFonts w:cs="Arial"/>
          <w:rtl/>
        </w:rPr>
        <w:footnoteReference w:id="3075"/>
      </w:r>
      <w:r>
        <w:rPr>
          <w:rFonts w:cs="Arial"/>
          <w:rtl/>
        </w:rPr>
        <w:t xml:space="preserve">. </w:t>
      </w:r>
    </w:p>
    <w:p w14:paraId="6A7F2AC3" w14:textId="77777777" w:rsidR="002E5BAD" w:rsidRDefault="002E5BAD" w:rsidP="002E5BAD">
      <w:pPr>
        <w:rPr>
          <w:rtl/>
        </w:rPr>
      </w:pPr>
    </w:p>
    <w:p w14:paraId="2B987413" w14:textId="77777777" w:rsidR="002E5BAD" w:rsidRDefault="002E5BAD" w:rsidP="002E5BAD">
      <w:pPr>
        <w:pStyle w:val="2"/>
        <w:rPr>
          <w:rtl/>
        </w:rPr>
      </w:pPr>
      <w:r>
        <w:rPr>
          <w:rtl/>
        </w:rPr>
        <w:t>סעיף ג</w:t>
      </w:r>
      <w:r>
        <w:rPr>
          <w:rFonts w:hint="cs"/>
          <w:rtl/>
        </w:rPr>
        <w:t>: אשה שויתרה לבעל על מזונות הבת.</w:t>
      </w:r>
    </w:p>
    <w:p w14:paraId="12A9D2B3" w14:textId="77777777" w:rsidR="002E5BAD" w:rsidRDefault="002E5BAD" w:rsidP="002E5BAD">
      <w:pPr>
        <w:rPr>
          <w:rtl/>
        </w:rPr>
      </w:pPr>
      <w:r w:rsidRPr="00CF5559">
        <w:rPr>
          <w:rFonts w:cs="Arial" w:hint="cs"/>
          <w:b/>
          <w:bCs/>
          <w:rtl/>
        </w:rPr>
        <w:t>תוספתא כתובות פ"י ה"ב:</w:t>
      </w:r>
      <w:r>
        <w:rPr>
          <w:rFonts w:cs="Arial" w:hint="cs"/>
          <w:rtl/>
        </w:rPr>
        <w:t xml:space="preserve"> </w:t>
      </w:r>
      <w:r w:rsidRPr="00CF5559">
        <w:rPr>
          <w:rFonts w:cs="Arial"/>
          <w:rtl/>
        </w:rPr>
        <w:t>כתב לזון את בת אשתו ושברה לו לא כל הימנו שזכין לקטן ואין חבין לו</w:t>
      </w:r>
      <w:r>
        <w:rPr>
          <w:rFonts w:hint="cs"/>
          <w:rtl/>
        </w:rPr>
        <w:t>.</w:t>
      </w:r>
      <w:r>
        <w:rPr>
          <w:rFonts w:cs="Arial" w:hint="cs"/>
          <w:rtl/>
        </w:rPr>
        <w:t xml:space="preserve"> </w:t>
      </w:r>
      <w:r>
        <w:rPr>
          <w:rFonts w:cs="Arial" w:hint="cs"/>
          <w:sz w:val="16"/>
          <w:szCs w:val="16"/>
          <w:rtl/>
        </w:rPr>
        <w:t>(</w:t>
      </w:r>
      <w:r w:rsidRPr="00C81756">
        <w:rPr>
          <w:rFonts w:cs="Arial"/>
          <w:sz w:val="16"/>
          <w:szCs w:val="16"/>
          <w:rtl/>
        </w:rPr>
        <w:t>כתב</w:t>
      </w:r>
      <w:r>
        <w:rPr>
          <w:rFonts w:cs="Arial" w:hint="cs"/>
          <w:sz w:val="16"/>
          <w:szCs w:val="16"/>
          <w:rtl/>
        </w:rPr>
        <w:t>ה</w:t>
      </w:r>
      <w:r w:rsidRPr="00C81756">
        <w:rPr>
          <w:rFonts w:cs="Arial"/>
          <w:sz w:val="16"/>
          <w:szCs w:val="16"/>
          <w:rtl/>
        </w:rPr>
        <w:t xml:space="preserve"> הרא"ש </w:t>
      </w:r>
      <w:r>
        <w:rPr>
          <w:rFonts w:cs="Arial" w:hint="cs"/>
          <w:sz w:val="16"/>
          <w:szCs w:val="16"/>
          <w:rtl/>
        </w:rPr>
        <w:t>(פ' הנושא סי' א), ב"י)</w:t>
      </w:r>
    </w:p>
    <w:p w14:paraId="1804CFAE" w14:textId="77777777" w:rsidR="002E5BAD" w:rsidRPr="00CF5559" w:rsidRDefault="002E5BAD" w:rsidP="002E5BAD">
      <w:pPr>
        <w:rPr>
          <w:u w:val="single"/>
          <w:rtl/>
        </w:rPr>
      </w:pPr>
      <w:r w:rsidRPr="00CF5559">
        <w:rPr>
          <w:rFonts w:hint="cs"/>
          <w:u w:val="single"/>
          <w:rtl/>
        </w:rPr>
        <w:t xml:space="preserve">אשה שויתרה לבעל על מזונות </w:t>
      </w:r>
      <w:r>
        <w:rPr>
          <w:rFonts w:hint="cs"/>
          <w:u w:val="single"/>
          <w:rtl/>
        </w:rPr>
        <w:t>הבת</w:t>
      </w:r>
      <w:r w:rsidRPr="00CF5559">
        <w:rPr>
          <w:rFonts w:hint="cs"/>
          <w:u w:val="single"/>
          <w:rtl/>
        </w:rPr>
        <w:t>:</w:t>
      </w:r>
    </w:p>
    <w:p w14:paraId="0BA017F6" w14:textId="77777777" w:rsidR="002E5BAD" w:rsidRPr="00696880" w:rsidRDefault="002E5BAD" w:rsidP="00B75458">
      <w:pPr>
        <w:pStyle w:val="ab"/>
        <w:numPr>
          <w:ilvl w:val="0"/>
          <w:numId w:val="195"/>
        </w:numPr>
      </w:pPr>
      <w:r>
        <w:rPr>
          <w:rFonts w:hint="cs"/>
          <w:rtl/>
        </w:rPr>
        <w:t>טור-</w:t>
      </w:r>
      <w:r>
        <w:rPr>
          <w:rFonts w:cs="Arial" w:hint="cs"/>
          <w:rtl/>
        </w:rPr>
        <w:t xml:space="preserve"> </w:t>
      </w:r>
      <w:r w:rsidRPr="00716457">
        <w:rPr>
          <w:rFonts w:cs="Arial"/>
          <w:rtl/>
        </w:rPr>
        <w:t>ואם האם פוטרת אותו מלזונה אחר שפסקה עמו לזונה</w:t>
      </w:r>
      <w:r>
        <w:rPr>
          <w:rFonts w:cs="Arial" w:hint="cs"/>
          <w:rtl/>
        </w:rPr>
        <w:t xml:space="preserve"> -</w:t>
      </w:r>
      <w:r w:rsidRPr="00716457">
        <w:rPr>
          <w:rFonts w:cs="Arial"/>
          <w:rtl/>
        </w:rPr>
        <w:t xml:space="preserve"> אין שומעין לה</w:t>
      </w:r>
      <w:r>
        <w:rPr>
          <w:rFonts w:cs="Arial" w:hint="cs"/>
          <w:rtl/>
        </w:rPr>
        <w:t>,</w:t>
      </w:r>
      <w:r w:rsidRPr="00716457">
        <w:rPr>
          <w:rFonts w:cs="Arial"/>
          <w:rtl/>
        </w:rPr>
        <w:t xml:space="preserve"> דלאו כל כמינה להפסיד בתה</w:t>
      </w:r>
      <w:r>
        <w:rPr>
          <w:rFonts w:cs="Arial" w:hint="cs"/>
          <w:rtl/>
        </w:rPr>
        <w:t>.</w:t>
      </w:r>
      <w:r w:rsidRPr="00716457">
        <w:rPr>
          <w:rFonts w:cs="Arial"/>
          <w:rtl/>
        </w:rPr>
        <w:t xml:space="preserve"> </w:t>
      </w:r>
      <w:r w:rsidRPr="004663D7">
        <w:rPr>
          <w:rFonts w:hint="cs"/>
          <w:color w:val="E36C0A" w:themeColor="accent6" w:themeShade="BF"/>
          <w:rtl/>
        </w:rPr>
        <w:t>(וכ"פ בשו"ע)</w:t>
      </w:r>
    </w:p>
    <w:p w14:paraId="17C3F25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35A3E3" w14:textId="77777777" w:rsidR="002E5BAD" w:rsidRDefault="002E5BAD" w:rsidP="002E5BAD">
      <w:pPr>
        <w:rPr>
          <w:rtl/>
        </w:rPr>
      </w:pPr>
      <w:r>
        <w:rPr>
          <w:rFonts w:cs="Arial"/>
          <w:rtl/>
        </w:rPr>
        <w:t>אם האם פטרו מלזונה, אין הפיטור כלום</w:t>
      </w:r>
      <w:r>
        <w:rPr>
          <w:rStyle w:val="a7"/>
          <w:rFonts w:cs="Arial"/>
          <w:rtl/>
        </w:rPr>
        <w:footnoteReference w:id="3076"/>
      </w:r>
      <w:r>
        <w:rPr>
          <w:rFonts w:cs="Arial"/>
          <w:rtl/>
        </w:rPr>
        <w:t xml:space="preserve">. </w:t>
      </w:r>
    </w:p>
    <w:p w14:paraId="4BDD2DF4" w14:textId="77777777" w:rsidR="002E5BAD" w:rsidRDefault="002E5BAD" w:rsidP="002E5BAD">
      <w:pPr>
        <w:rPr>
          <w:rtl/>
        </w:rPr>
      </w:pPr>
    </w:p>
    <w:p w14:paraId="7F38D875" w14:textId="77777777" w:rsidR="002E5BAD" w:rsidRDefault="002E5BAD" w:rsidP="002E5BAD">
      <w:pPr>
        <w:pStyle w:val="2"/>
        <w:rPr>
          <w:rtl/>
        </w:rPr>
      </w:pPr>
      <w:r>
        <w:rPr>
          <w:rtl/>
        </w:rPr>
        <w:lastRenderedPageBreak/>
        <w:t>סעיף ד</w:t>
      </w:r>
      <w:r>
        <w:rPr>
          <w:rFonts w:hint="cs"/>
          <w:rtl/>
        </w:rPr>
        <w:t>: פסק לבת אשתו מזונות, ומת.</w:t>
      </w:r>
    </w:p>
    <w:p w14:paraId="42D4F325" w14:textId="77777777" w:rsidR="002E5BAD" w:rsidRDefault="002E5BAD" w:rsidP="002E5BAD">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3077"/>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2F224D">
        <w:rPr>
          <w:rFonts w:cs="Arial"/>
          <w:rtl/>
        </w:rPr>
        <w:t xml:space="preserve"> מתו - בנותיהן ניזונות מנכסים בני חורין, והיא ניזונת מנכסים משועבדים, מפני שהיא כבעלת חוב.</w:t>
      </w:r>
    </w:p>
    <w:p w14:paraId="7E80A8FB" w14:textId="77777777" w:rsidR="002E5BAD" w:rsidRDefault="002E5BAD" w:rsidP="002E5BAD">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w:t>
      </w:r>
      <w:r>
        <w:rPr>
          <w:rFonts w:cs="Arial" w:hint="cs"/>
          <w:b/>
          <w:bCs/>
          <w:rtl/>
        </w:rPr>
        <w:t>ב</w:t>
      </w:r>
      <w:r w:rsidRPr="00C46108">
        <w:rPr>
          <w:rFonts w:cs="Arial" w:hint="cs"/>
          <w:b/>
          <w:bCs/>
          <w:rtl/>
        </w:rPr>
        <w:t xml:space="preserve"> ע"ב:</w:t>
      </w:r>
      <w:r>
        <w:rPr>
          <w:rFonts w:cs="Arial" w:hint="cs"/>
          <w:b/>
          <w:bCs/>
          <w:rtl/>
        </w:rPr>
        <w:t xml:space="preserve"> </w:t>
      </w:r>
      <w:r w:rsidRPr="00486131">
        <w:rPr>
          <w:rFonts w:cs="Arial"/>
          <w:rtl/>
        </w:rPr>
        <w:t xml:space="preserve">גופא, </w:t>
      </w:r>
      <w:r w:rsidRPr="00486131">
        <w:rPr>
          <w:rFonts w:cs="Arial"/>
          <w:u w:val="single"/>
          <w:rtl/>
        </w:rPr>
        <w:t>אמר רב גידל אמר רב</w:t>
      </w:r>
      <w:r w:rsidRPr="00486131">
        <w:rPr>
          <w:rFonts w:cs="Arial"/>
          <w:rtl/>
        </w:rPr>
        <w:t>: כמה אתה נותן לבנך? כך וכך, וכמה אתה נותן לבתך? כך וכך, עמדו וקידשו - קנו, הן הן הדברים הנקנים באמירה</w:t>
      </w:r>
      <w:r>
        <w:rPr>
          <w:rFonts w:cs="Arial" w:hint="cs"/>
          <w:rtl/>
        </w:rPr>
        <w:t>..</w:t>
      </w:r>
      <w:r w:rsidRPr="00486131">
        <w:rPr>
          <w:rFonts w:cs="Arial"/>
          <w:rtl/>
        </w:rPr>
        <w:t>.</w:t>
      </w:r>
      <w:r w:rsidRPr="00486131">
        <w:rPr>
          <w:rFonts w:cs="Arial"/>
          <w:b/>
          <w:bCs/>
          <w:rtl/>
        </w:rPr>
        <w:t xml:space="preserve"> </w:t>
      </w:r>
      <w:r w:rsidRPr="00581D8B">
        <w:rPr>
          <w:rFonts w:cs="Arial"/>
          <w:u w:val="single"/>
          <w:rtl/>
        </w:rPr>
        <w:t>א"ל רבינא לרב אשי</w:t>
      </w:r>
      <w:r w:rsidRPr="00581D8B">
        <w:rPr>
          <w:rFonts w:cs="Arial"/>
          <w:rtl/>
        </w:rPr>
        <w:t>: דברים הללו ניתנו ליכתב</w:t>
      </w:r>
      <w:r>
        <w:rPr>
          <w:rStyle w:val="a7"/>
          <w:rFonts w:cs="Arial"/>
          <w:rtl/>
        </w:rPr>
        <w:footnoteReference w:id="3078"/>
      </w:r>
      <w:r w:rsidRPr="00581D8B">
        <w:rPr>
          <w:rFonts w:cs="Arial"/>
          <w:rtl/>
        </w:rPr>
        <w:t xml:space="preserve"> או לא ניתנו ליכתב? </w:t>
      </w:r>
      <w:r w:rsidRPr="00581D8B">
        <w:rPr>
          <w:rFonts w:cs="Arial"/>
          <w:u w:val="single"/>
          <w:rtl/>
        </w:rPr>
        <w:t>א"ל</w:t>
      </w:r>
      <w:r w:rsidRPr="00581D8B">
        <w:rPr>
          <w:rFonts w:cs="Arial"/>
          <w:rtl/>
        </w:rPr>
        <w:t>: לא ניתנו ליכתב</w:t>
      </w:r>
      <w:r>
        <w:rPr>
          <w:rStyle w:val="a7"/>
          <w:rFonts w:cs="Arial"/>
          <w:rtl/>
        </w:rPr>
        <w:footnoteReference w:id="3079"/>
      </w:r>
      <w:r w:rsidRPr="00581D8B">
        <w:rPr>
          <w:rFonts w:cs="Arial"/>
          <w:rtl/>
        </w:rPr>
        <w:t>.איתיביה: הפקחין היו כותבין על מנת שאזון את בתך חמש שנים כל זמן שאת עמי! מאי כותבין? אומרים. וקרי ליה לאמירה כתיבה? אין, והתנן: הכותב לאשתו דין ודברים אין לי בנכסייך, ותני ר' חייא: האומר לאשתו.</w:t>
      </w:r>
      <w:r>
        <w:rPr>
          <w:rFonts w:cs="Arial" w:hint="cs"/>
          <w:rtl/>
        </w:rPr>
        <w:t>..</w:t>
      </w:r>
      <w:r w:rsidRPr="00581D8B">
        <w:rPr>
          <w:rFonts w:cs="Arial"/>
          <w:rtl/>
        </w:rPr>
        <w:t xml:space="preserve"> תא שמע: מתו - בנותיהן ניזונות מנכסים בני חורין, והיא ניזונת מנכסים משועבדים, מפני שהיא כבעלת חוב! הכא במאי עסקינן - בשקנו מידו.</w:t>
      </w:r>
    </w:p>
    <w:p w14:paraId="28DF9D85" w14:textId="77777777" w:rsidR="002E5BAD" w:rsidRPr="00385D28" w:rsidRDefault="002E5BAD" w:rsidP="002E5BAD">
      <w:pPr>
        <w:rPr>
          <w:u w:val="single"/>
          <w:rtl/>
        </w:rPr>
      </w:pPr>
      <w:r w:rsidRPr="00385D28">
        <w:rPr>
          <w:rFonts w:hint="cs"/>
          <w:u w:val="single"/>
          <w:rtl/>
        </w:rPr>
        <w:t xml:space="preserve">פסק לבת אשתו מזונות, ומת </w:t>
      </w:r>
      <w:r w:rsidRPr="00385D28">
        <w:rPr>
          <w:u w:val="single"/>
          <w:rtl/>
        </w:rPr>
        <w:t>–</w:t>
      </w:r>
      <w:r w:rsidRPr="00385D28">
        <w:rPr>
          <w:rFonts w:hint="cs"/>
          <w:u w:val="single"/>
          <w:rtl/>
        </w:rPr>
        <w:t xml:space="preserve"> מ</w:t>
      </w:r>
      <w:r>
        <w:rPr>
          <w:rFonts w:hint="cs"/>
          <w:u w:val="single"/>
          <w:rtl/>
        </w:rPr>
        <w:t>א</w:t>
      </w:r>
      <w:r w:rsidRPr="00385D28">
        <w:rPr>
          <w:rFonts w:hint="cs"/>
          <w:u w:val="single"/>
          <w:rtl/>
        </w:rPr>
        <w:t>יזה נכסים גובה הבת:</w:t>
      </w:r>
    </w:p>
    <w:p w14:paraId="25AAC65E" w14:textId="77777777" w:rsidR="002E5BAD" w:rsidRPr="00716457" w:rsidRDefault="002E5BAD" w:rsidP="00B75458">
      <w:pPr>
        <w:pStyle w:val="ab"/>
        <w:numPr>
          <w:ilvl w:val="0"/>
          <w:numId w:val="195"/>
        </w:numPr>
        <w:rPr>
          <w:rtl/>
        </w:rPr>
      </w:pPr>
      <w:r>
        <w:rPr>
          <w:rFonts w:cs="Arial" w:hint="cs"/>
          <w:rtl/>
        </w:rPr>
        <w:t xml:space="preserve">רמב"ם </w:t>
      </w:r>
      <w:r>
        <w:rPr>
          <w:rFonts w:cs="Arial" w:hint="cs"/>
          <w:sz w:val="16"/>
          <w:szCs w:val="16"/>
          <w:rtl/>
        </w:rPr>
        <w:t>(פכ"ג הי"ח)</w:t>
      </w:r>
      <w:r>
        <w:rPr>
          <w:rFonts w:hint="cs"/>
          <w:rtl/>
        </w:rPr>
        <w:t xml:space="preserve"> וטור-</w:t>
      </w:r>
      <w:r>
        <w:rPr>
          <w:rFonts w:cs="Arial" w:hint="cs"/>
          <w:rtl/>
        </w:rPr>
        <w:t xml:space="preserve"> </w:t>
      </w:r>
      <w:r w:rsidRPr="00716457">
        <w:rPr>
          <w:rFonts w:cs="Arial"/>
          <w:rtl/>
        </w:rPr>
        <w:t>מת הבעל הבת מוציאה מזונותיה מנכסים משועבדים כשאר בעלי חוב ודוקא שקנו מידו או שחייב עצמו במזונותיה בשטר אבל אם פסקו בשעת קידושין ולא היה שם קנין הן הן הדברים שלא ניתנו ליכתב ואינה ניזונת ממשועבדים</w:t>
      </w:r>
      <w:r>
        <w:rPr>
          <w:rStyle w:val="a7"/>
          <w:rFonts w:cs="Arial"/>
          <w:rtl/>
        </w:rPr>
        <w:footnoteReference w:id="3080"/>
      </w:r>
      <w:r>
        <w:rPr>
          <w:rFonts w:cs="Arial" w:hint="cs"/>
          <w:sz w:val="16"/>
          <w:szCs w:val="16"/>
          <w:rtl/>
        </w:rPr>
        <w:t xml:space="preserve"> (ל' הטור)</w:t>
      </w:r>
      <w:r>
        <w:rPr>
          <w:rFonts w:cs="Arial" w:hint="cs"/>
          <w:rtl/>
        </w:rPr>
        <w:t>.</w:t>
      </w:r>
      <w:r w:rsidRPr="00EF4840">
        <w:rPr>
          <w:rFonts w:hint="cs"/>
          <w:color w:val="E36C0A" w:themeColor="accent6" w:themeShade="BF"/>
          <w:rtl/>
        </w:rPr>
        <w:t xml:space="preserve"> </w:t>
      </w:r>
      <w:r w:rsidRPr="004663D7">
        <w:rPr>
          <w:rFonts w:hint="cs"/>
          <w:color w:val="E36C0A" w:themeColor="accent6" w:themeShade="BF"/>
          <w:rtl/>
        </w:rPr>
        <w:t>(וכ"פ בשו"ע)</w:t>
      </w:r>
    </w:p>
    <w:p w14:paraId="2388CFD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99BD06" w14:textId="77777777" w:rsidR="002E5BAD" w:rsidRDefault="002E5BAD" w:rsidP="002E5BAD">
      <w:pPr>
        <w:rPr>
          <w:rtl/>
        </w:rPr>
      </w:pPr>
      <w:r>
        <w:rPr>
          <w:rFonts w:cs="Arial"/>
          <w:rtl/>
        </w:rPr>
        <w:t>מת</w:t>
      </w:r>
      <w:r>
        <w:rPr>
          <w:rStyle w:val="a7"/>
          <w:rFonts w:cs="Arial"/>
          <w:rtl/>
        </w:rPr>
        <w:footnoteReference w:id="3081"/>
      </w:r>
      <w:r>
        <w:rPr>
          <w:rFonts w:cs="Arial"/>
          <w:rtl/>
        </w:rPr>
        <w:t xml:space="preserve"> הבעל, הבת מוציאה מזונותיה מנכסים משועבדים כשאר בעל חוב. ודוקא שקנו מידו או שחייב עצמו במזונותיה בשטר</w:t>
      </w:r>
      <w:r>
        <w:rPr>
          <w:rFonts w:cs="Arial" w:hint="cs"/>
          <w:rtl/>
        </w:rPr>
        <w:t>.</w:t>
      </w:r>
      <w:r>
        <w:rPr>
          <w:rFonts w:cs="Arial"/>
          <w:rtl/>
        </w:rPr>
        <w:t xml:space="preserve"> אבל אם לא היה שם קנין, הם דברים שלא נתנו ליכתב ואינה ניזונית ממשועבדים</w:t>
      </w:r>
      <w:r>
        <w:rPr>
          <w:rStyle w:val="a7"/>
          <w:rFonts w:cs="Arial"/>
          <w:rtl/>
        </w:rPr>
        <w:footnoteReference w:id="3082"/>
      </w:r>
      <w:r>
        <w:rPr>
          <w:rFonts w:cs="Arial"/>
          <w:rtl/>
        </w:rPr>
        <w:t xml:space="preserve">. </w:t>
      </w:r>
    </w:p>
    <w:p w14:paraId="6EF5742E" w14:textId="77777777" w:rsidR="002E5BAD" w:rsidRDefault="002E5BAD" w:rsidP="002E5BAD">
      <w:pPr>
        <w:rPr>
          <w:rtl/>
        </w:rPr>
      </w:pPr>
    </w:p>
    <w:p w14:paraId="59770338" w14:textId="77777777" w:rsidR="002E5BAD" w:rsidRDefault="002E5BAD" w:rsidP="002E5BAD">
      <w:pPr>
        <w:pStyle w:val="2"/>
        <w:rPr>
          <w:rtl/>
        </w:rPr>
      </w:pPr>
      <w:r>
        <w:rPr>
          <w:rtl/>
        </w:rPr>
        <w:t>סעיף ה</w:t>
      </w:r>
      <w:r>
        <w:rPr>
          <w:rFonts w:hint="cs"/>
          <w:rtl/>
        </w:rPr>
        <w:t>: מתה/חלתה הבת.</w:t>
      </w:r>
    </w:p>
    <w:p w14:paraId="45C35495" w14:textId="77777777" w:rsidR="002E5BAD" w:rsidRDefault="002E5BAD" w:rsidP="002E5BAD">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8D4CEB">
        <w:rPr>
          <w:rFonts w:cs="Arial"/>
          <w:rtl/>
        </w:rPr>
        <w:t>חלת</w:t>
      </w:r>
      <w:r>
        <w:rPr>
          <w:rFonts w:cs="Arial" w:hint="cs"/>
          <w:rtl/>
        </w:rPr>
        <w:t>ה -</w:t>
      </w:r>
      <w:r w:rsidRPr="008D4CEB">
        <w:rPr>
          <w:rFonts w:cs="Arial"/>
          <w:rtl/>
        </w:rPr>
        <w:t xml:space="preserve"> כמי שנישאת</w:t>
      </w:r>
      <w:r>
        <w:rPr>
          <w:rStyle w:val="a7"/>
          <w:rFonts w:cs="Arial"/>
          <w:rtl/>
        </w:rPr>
        <w:footnoteReference w:id="3083"/>
      </w:r>
      <w:r>
        <w:rPr>
          <w:rFonts w:cs="Arial" w:hint="cs"/>
          <w:rtl/>
        </w:rPr>
        <w:t>.</w:t>
      </w:r>
      <w:r w:rsidRPr="008D4CEB">
        <w:rPr>
          <w:rFonts w:cs="Arial"/>
          <w:rtl/>
        </w:rPr>
        <w:t xml:space="preserve"> מתה </w:t>
      </w:r>
      <w:r>
        <w:rPr>
          <w:rFonts w:cs="Arial" w:hint="cs"/>
          <w:rtl/>
        </w:rPr>
        <w:t xml:space="preserve">- </w:t>
      </w:r>
      <w:r w:rsidRPr="008D4CEB">
        <w:rPr>
          <w:rFonts w:cs="Arial"/>
          <w:rtl/>
        </w:rPr>
        <w:t>כמי שנישאת</w:t>
      </w:r>
      <w:r>
        <w:rPr>
          <w:rStyle w:val="a7"/>
          <w:rFonts w:cs="Arial"/>
          <w:rtl/>
        </w:rPr>
        <w:footnoteReference w:id="3084"/>
      </w:r>
      <w:r>
        <w:rPr>
          <w:rFonts w:cs="Arial" w:hint="cs"/>
          <w:rtl/>
        </w:rPr>
        <w:t>.</w:t>
      </w:r>
      <w:r w:rsidRPr="008D4CEB">
        <w:rPr>
          <w:rFonts w:cs="Arial"/>
          <w:rtl/>
        </w:rPr>
        <w:t xml:space="preserve"> מתה</w:t>
      </w:r>
      <w:r>
        <w:rPr>
          <w:rFonts w:cs="Arial" w:hint="cs"/>
          <w:rtl/>
        </w:rPr>
        <w:t xml:space="preserve">? </w:t>
      </w:r>
      <w:r w:rsidRPr="008D4CEB">
        <w:rPr>
          <w:rFonts w:cs="Arial"/>
          <w:rtl/>
        </w:rPr>
        <w:t>כבר מתה</w:t>
      </w:r>
      <w:r>
        <w:rPr>
          <w:rStyle w:val="a7"/>
          <w:rFonts w:cs="Arial"/>
          <w:rtl/>
        </w:rPr>
        <w:footnoteReference w:id="3085"/>
      </w:r>
      <w:r>
        <w:rPr>
          <w:rFonts w:cs="Arial" w:hint="cs"/>
          <w:rtl/>
        </w:rPr>
        <w:t>!?</w:t>
      </w:r>
    </w:p>
    <w:p w14:paraId="7190BEC7" w14:textId="77777777" w:rsidR="002E5BAD" w:rsidRPr="00EF4840" w:rsidRDefault="002E5BAD" w:rsidP="002E5BAD">
      <w:pPr>
        <w:rPr>
          <w:u w:val="single"/>
          <w:rtl/>
        </w:rPr>
      </w:pPr>
      <w:r w:rsidRPr="00EF4840">
        <w:rPr>
          <w:rFonts w:hint="cs"/>
          <w:u w:val="single"/>
          <w:rtl/>
        </w:rPr>
        <w:t xml:space="preserve">מתה הבת </w:t>
      </w:r>
      <w:r w:rsidRPr="00EF4840">
        <w:rPr>
          <w:u w:val="single"/>
          <w:rtl/>
        </w:rPr>
        <w:t>–</w:t>
      </w:r>
      <w:r w:rsidRPr="00EF4840">
        <w:rPr>
          <w:rFonts w:hint="cs"/>
          <w:u w:val="single"/>
          <w:rtl/>
        </w:rPr>
        <w:t xml:space="preserve"> מה דין המזונות שפסקו לה:</w:t>
      </w:r>
    </w:p>
    <w:p w14:paraId="58F3D2A6" w14:textId="77777777" w:rsidR="002E5BAD" w:rsidRDefault="002E5BAD" w:rsidP="00B75458">
      <w:pPr>
        <w:pStyle w:val="ab"/>
        <w:numPr>
          <w:ilvl w:val="0"/>
          <w:numId w:val="195"/>
        </w:numPr>
      </w:pPr>
      <w:r>
        <w:rPr>
          <w:rFonts w:hint="cs"/>
          <w:rtl/>
        </w:rPr>
        <w:t>טור-</w:t>
      </w:r>
      <w:r>
        <w:rPr>
          <w:rFonts w:cs="Arial" w:hint="cs"/>
          <w:rtl/>
        </w:rPr>
        <w:t xml:space="preserve"> </w:t>
      </w:r>
      <w:r w:rsidRPr="00716457">
        <w:rPr>
          <w:rFonts w:cs="Arial"/>
          <w:rtl/>
        </w:rPr>
        <w:t xml:space="preserve">מתה הבת </w:t>
      </w:r>
      <w:r>
        <w:rPr>
          <w:rFonts w:cs="Arial" w:hint="cs"/>
          <w:rtl/>
        </w:rPr>
        <w:t xml:space="preserve">- </w:t>
      </w:r>
      <w:r w:rsidRPr="00716457">
        <w:rPr>
          <w:rFonts w:cs="Arial"/>
          <w:rtl/>
        </w:rPr>
        <w:t>אין יורשיה יורשים מזונותיה</w:t>
      </w:r>
      <w:r>
        <w:rPr>
          <w:rFonts w:cs="Arial" w:hint="cs"/>
          <w:rtl/>
        </w:rPr>
        <w:t>.</w:t>
      </w:r>
      <w:r w:rsidRPr="00716457">
        <w:rPr>
          <w:rFonts w:cs="Arial"/>
          <w:rtl/>
        </w:rPr>
        <w:t xml:space="preserve"> </w:t>
      </w:r>
      <w:r w:rsidRPr="004663D7">
        <w:rPr>
          <w:rFonts w:hint="cs"/>
          <w:color w:val="E36C0A" w:themeColor="accent6" w:themeShade="BF"/>
          <w:rtl/>
        </w:rPr>
        <w:t>(וכ"פ בשו"ע)</w:t>
      </w:r>
    </w:p>
    <w:p w14:paraId="1CE51BF9" w14:textId="77777777" w:rsidR="002E5BAD" w:rsidRPr="00EF4840" w:rsidRDefault="002E5BAD" w:rsidP="002E5BAD">
      <w:pPr>
        <w:rPr>
          <w:u w:val="single"/>
        </w:rPr>
      </w:pPr>
      <w:r w:rsidRPr="00EF4840">
        <w:rPr>
          <w:rFonts w:hint="cs"/>
          <w:u w:val="single"/>
          <w:rtl/>
        </w:rPr>
        <w:t xml:space="preserve">חלתה הבת </w:t>
      </w:r>
      <w:r w:rsidRPr="00EF4840">
        <w:rPr>
          <w:u w:val="single"/>
          <w:rtl/>
        </w:rPr>
        <w:t>–</w:t>
      </w:r>
      <w:r w:rsidRPr="00EF4840">
        <w:rPr>
          <w:rFonts w:hint="cs"/>
          <w:u w:val="single"/>
          <w:rtl/>
        </w:rPr>
        <w:t xml:space="preserve"> מה דין המזונות שפסקו לה:</w:t>
      </w:r>
    </w:p>
    <w:p w14:paraId="1C6EE7FD" w14:textId="77777777" w:rsidR="002E5BAD" w:rsidRPr="00696880" w:rsidRDefault="002E5BAD" w:rsidP="00B75458">
      <w:pPr>
        <w:pStyle w:val="ab"/>
        <w:numPr>
          <w:ilvl w:val="0"/>
          <w:numId w:val="195"/>
        </w:numPr>
      </w:pPr>
      <w:r w:rsidRPr="0093243A">
        <w:rPr>
          <w:rFonts w:cs="Arial" w:hint="cs"/>
          <w:rtl/>
        </w:rPr>
        <w:t>ריטב"א</w:t>
      </w:r>
      <w:r>
        <w:rPr>
          <w:rFonts w:cs="Arial" w:hint="cs"/>
          <w:sz w:val="16"/>
          <w:szCs w:val="16"/>
          <w:rtl/>
        </w:rPr>
        <w:t xml:space="preserve"> (קא:) </w:t>
      </w:r>
      <w:r>
        <w:rPr>
          <w:rFonts w:cs="Arial" w:hint="cs"/>
          <w:rtl/>
        </w:rPr>
        <w:t xml:space="preserve">רי"ו </w:t>
      </w:r>
      <w:r>
        <w:rPr>
          <w:rFonts w:cs="Arial" w:hint="cs"/>
          <w:sz w:val="16"/>
          <w:szCs w:val="16"/>
          <w:rtl/>
        </w:rPr>
        <w:t>(מישרים נכ"ג ח"ג, כ"כ הדרכ"מ [אות ג] בשמו)</w:t>
      </w:r>
      <w:r>
        <w:rPr>
          <w:rFonts w:cs="Arial" w:hint="cs"/>
          <w:rtl/>
        </w:rPr>
        <w:t xml:space="preserve"> וב"י- </w:t>
      </w:r>
      <w:r w:rsidRPr="00EF4840">
        <w:rPr>
          <w:rFonts w:cs="Arial"/>
          <w:rtl/>
        </w:rPr>
        <w:t>חלתה כמי שנישאת כלומר וחייב ליתן לה מזונותיה כבריאה</w:t>
      </w:r>
      <w:r>
        <w:rPr>
          <w:rFonts w:cs="Arial" w:hint="cs"/>
          <w:sz w:val="16"/>
          <w:szCs w:val="16"/>
          <w:rtl/>
        </w:rPr>
        <w:t xml:space="preserve"> (ל' הב"י)</w:t>
      </w:r>
      <w:r>
        <w:rPr>
          <w:rFonts w:hint="cs"/>
          <w:rtl/>
        </w:rPr>
        <w:t>.</w:t>
      </w:r>
      <w:r w:rsidRPr="00EF4840">
        <w:rPr>
          <w:rFonts w:hint="cs"/>
          <w:color w:val="E36C0A" w:themeColor="accent6" w:themeShade="BF"/>
          <w:rtl/>
        </w:rPr>
        <w:t xml:space="preserve"> </w:t>
      </w:r>
      <w:r w:rsidRPr="0047740F">
        <w:rPr>
          <w:rFonts w:hint="cs"/>
          <w:color w:val="00B0F0"/>
          <w:rtl/>
        </w:rPr>
        <w:t>(וכ"פ הרמ"א)</w:t>
      </w:r>
    </w:p>
    <w:p w14:paraId="65C6A82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2DD8CE" w14:textId="77777777" w:rsidR="002E5BAD" w:rsidRDefault="002E5BAD" w:rsidP="002E5BAD">
      <w:pPr>
        <w:rPr>
          <w:rtl/>
        </w:rPr>
      </w:pPr>
      <w:r>
        <w:rPr>
          <w:rFonts w:cs="Arial"/>
          <w:rtl/>
        </w:rPr>
        <w:lastRenderedPageBreak/>
        <w:t>מתה הבת, אין יורשיה יורשים מזונותיה</w:t>
      </w:r>
      <w:r>
        <w:rPr>
          <w:rStyle w:val="a7"/>
          <w:rFonts w:cs="Arial"/>
          <w:rtl/>
        </w:rPr>
        <w:footnoteReference w:id="3086"/>
      </w:r>
      <w:r>
        <w:rPr>
          <w:rFonts w:cs="Arial"/>
          <w:rtl/>
        </w:rPr>
        <w:t xml:space="preserve">. </w:t>
      </w:r>
      <w:r w:rsidRPr="00EF4840">
        <w:rPr>
          <w:rFonts w:cs="Arial" w:hint="cs"/>
          <w:sz w:val="18"/>
          <w:szCs w:val="18"/>
          <w:rtl/>
        </w:rPr>
        <w:t xml:space="preserve">[הגה] </w:t>
      </w:r>
      <w:r w:rsidRPr="00EF4840">
        <w:rPr>
          <w:rFonts w:cs="Arial"/>
          <w:sz w:val="18"/>
          <w:szCs w:val="18"/>
          <w:rtl/>
        </w:rPr>
        <w:t>חלתה הבת, הרי היא כנשאת ומעלה לה מזונות כאלו היתה בריאה</w:t>
      </w:r>
      <w:r>
        <w:rPr>
          <w:rStyle w:val="a7"/>
          <w:rFonts w:cs="Arial"/>
          <w:sz w:val="18"/>
          <w:szCs w:val="18"/>
          <w:rtl/>
        </w:rPr>
        <w:footnoteReference w:id="3087"/>
      </w:r>
      <w:r>
        <w:rPr>
          <w:rFonts w:cs="Arial" w:hint="cs"/>
          <w:sz w:val="18"/>
          <w:szCs w:val="18"/>
          <w:rtl/>
        </w:rPr>
        <w:t xml:space="preserve"> (ב"י בשם הירושלמי)</w:t>
      </w:r>
      <w:r w:rsidRPr="00EF4840">
        <w:rPr>
          <w:rFonts w:cs="Arial" w:hint="cs"/>
          <w:sz w:val="18"/>
          <w:szCs w:val="18"/>
          <w:rtl/>
        </w:rPr>
        <w:t>.</w:t>
      </w:r>
    </w:p>
    <w:p w14:paraId="26E31B3F" w14:textId="77777777" w:rsidR="002E5BAD" w:rsidRPr="00685B96" w:rsidRDefault="002E5BAD" w:rsidP="002E5BAD">
      <w:pPr>
        <w:rPr>
          <w:rFonts w:cs="Arial"/>
          <w:u w:val="single"/>
          <w:rtl/>
        </w:rPr>
      </w:pPr>
      <w:r w:rsidRPr="00685B96">
        <w:rPr>
          <w:rFonts w:cs="Arial" w:hint="cs"/>
          <w:u w:val="single"/>
          <w:rtl/>
        </w:rPr>
        <w:t>אב</w:t>
      </w:r>
      <w:r w:rsidRPr="00685B96">
        <w:rPr>
          <w:rFonts w:cs="Arial"/>
          <w:u w:val="single"/>
          <w:rtl/>
        </w:rPr>
        <w:t xml:space="preserve"> פסק לבנו ולכלתו ליתן להם מזונות זמן מה</w:t>
      </w:r>
      <w:r w:rsidRPr="00685B96">
        <w:rPr>
          <w:rFonts w:cs="Arial" w:hint="cs"/>
          <w:u w:val="single"/>
          <w:rtl/>
        </w:rPr>
        <w:t>,</w:t>
      </w:r>
      <w:r w:rsidRPr="00685B96">
        <w:rPr>
          <w:rFonts w:cs="Arial"/>
          <w:u w:val="single"/>
          <w:rtl/>
        </w:rPr>
        <w:t xml:space="preserve"> ובתוך הזמן מת הבן</w:t>
      </w:r>
      <w:r w:rsidRPr="00685B96">
        <w:rPr>
          <w:rFonts w:cs="Arial" w:hint="cs"/>
          <w:u w:val="single"/>
          <w:rtl/>
        </w:rPr>
        <w:t xml:space="preserve"> -</w:t>
      </w:r>
      <w:r w:rsidRPr="00685B96">
        <w:rPr>
          <w:rFonts w:cs="Arial"/>
          <w:u w:val="single"/>
          <w:rtl/>
        </w:rPr>
        <w:t xml:space="preserve"> אי מחויב </w:t>
      </w:r>
      <w:r>
        <w:rPr>
          <w:rFonts w:cs="Arial" w:hint="cs"/>
          <w:u w:val="single"/>
          <w:rtl/>
        </w:rPr>
        <w:t xml:space="preserve">להמשיך </w:t>
      </w:r>
      <w:r w:rsidRPr="00685B96">
        <w:rPr>
          <w:rFonts w:cs="Arial"/>
          <w:u w:val="single"/>
          <w:rtl/>
        </w:rPr>
        <w:t>ליתן</w:t>
      </w:r>
      <w:r>
        <w:rPr>
          <w:rFonts w:cs="Arial" w:hint="cs"/>
          <w:u w:val="single"/>
          <w:rtl/>
        </w:rPr>
        <w:t>:</w:t>
      </w:r>
      <w:r w:rsidRPr="00685B96">
        <w:rPr>
          <w:rFonts w:cs="Arial" w:hint="cs"/>
          <w:sz w:val="16"/>
          <w:szCs w:val="16"/>
          <w:rtl/>
        </w:rPr>
        <w:t xml:space="preserve">  (באה"ט סק"ז)</w:t>
      </w:r>
      <w:r w:rsidRPr="00685B96">
        <w:rPr>
          <w:rFonts w:cs="Arial"/>
          <w:u w:val="single"/>
          <w:rtl/>
        </w:rPr>
        <w:t xml:space="preserve"> </w:t>
      </w:r>
    </w:p>
    <w:p w14:paraId="71991381" w14:textId="77777777" w:rsidR="002E5BAD" w:rsidRPr="00685B96" w:rsidRDefault="002E5BAD" w:rsidP="00B75458">
      <w:pPr>
        <w:pStyle w:val="ab"/>
        <w:numPr>
          <w:ilvl w:val="0"/>
          <w:numId w:val="195"/>
        </w:numPr>
        <w:rPr>
          <w:rFonts w:cs="Arial"/>
          <w:rtl/>
        </w:rPr>
      </w:pPr>
      <w:r w:rsidRPr="00685B96">
        <w:rPr>
          <w:rFonts w:cs="Arial"/>
          <w:rtl/>
        </w:rPr>
        <w:t xml:space="preserve">ט"ז </w:t>
      </w:r>
      <w:r w:rsidRPr="00685B96">
        <w:rPr>
          <w:rFonts w:cs="Arial" w:hint="cs"/>
          <w:sz w:val="16"/>
          <w:szCs w:val="16"/>
          <w:rtl/>
        </w:rPr>
        <w:t>(</w:t>
      </w:r>
      <w:r w:rsidRPr="00685B96">
        <w:rPr>
          <w:rFonts w:cs="Arial"/>
          <w:sz w:val="16"/>
          <w:szCs w:val="16"/>
          <w:rtl/>
        </w:rPr>
        <w:t>ח</w:t>
      </w:r>
      <w:r w:rsidRPr="00685B96">
        <w:rPr>
          <w:rFonts w:cs="Arial" w:hint="cs"/>
          <w:sz w:val="16"/>
          <w:szCs w:val="16"/>
          <w:rtl/>
        </w:rPr>
        <w:t>ו</w:t>
      </w:r>
      <w:r w:rsidRPr="00685B96">
        <w:rPr>
          <w:rFonts w:cs="Arial"/>
          <w:sz w:val="16"/>
          <w:szCs w:val="16"/>
          <w:rtl/>
        </w:rPr>
        <w:t>"מ סי' ס</w:t>
      </w:r>
      <w:r w:rsidRPr="00685B96">
        <w:rPr>
          <w:rFonts w:cs="Arial" w:hint="cs"/>
          <w:sz w:val="16"/>
          <w:szCs w:val="16"/>
          <w:rtl/>
        </w:rPr>
        <w:t xml:space="preserve"> סע' ג ד"ה ראובן)</w:t>
      </w:r>
      <w:r w:rsidRPr="00685B96">
        <w:rPr>
          <w:rFonts w:cs="Arial" w:hint="cs"/>
          <w:rtl/>
        </w:rPr>
        <w:t xml:space="preserve">- </w:t>
      </w:r>
      <w:r w:rsidRPr="00685B96">
        <w:rPr>
          <w:rFonts w:cs="Arial"/>
          <w:rtl/>
        </w:rPr>
        <w:t>צריך ליתן לה מזונות עד זמן שקבע</w:t>
      </w:r>
      <w:r w:rsidRPr="00685B96">
        <w:rPr>
          <w:rFonts w:cs="Arial" w:hint="cs"/>
          <w:rtl/>
        </w:rPr>
        <w:t>.</w:t>
      </w:r>
      <w:r w:rsidRPr="00685B96">
        <w:rPr>
          <w:rFonts w:cs="Arial"/>
          <w:rtl/>
        </w:rPr>
        <w:t xml:space="preserve"> </w:t>
      </w:r>
    </w:p>
    <w:p w14:paraId="188E30FB" w14:textId="77777777" w:rsidR="002E5BAD" w:rsidRDefault="002E5BAD" w:rsidP="00B75458">
      <w:pPr>
        <w:pStyle w:val="ab"/>
        <w:numPr>
          <w:ilvl w:val="0"/>
          <w:numId w:val="195"/>
        </w:numPr>
        <w:rPr>
          <w:rtl/>
        </w:rPr>
      </w:pPr>
      <w:r w:rsidRPr="00685B96">
        <w:rPr>
          <w:rFonts w:cs="Arial"/>
          <w:rtl/>
        </w:rPr>
        <w:t xml:space="preserve">שבות יעקב </w:t>
      </w:r>
      <w:r w:rsidRPr="00685B96">
        <w:rPr>
          <w:rFonts w:cs="Arial" w:hint="cs"/>
          <w:sz w:val="16"/>
          <w:szCs w:val="16"/>
          <w:rtl/>
        </w:rPr>
        <w:t>(</w:t>
      </w:r>
      <w:r w:rsidRPr="00685B96">
        <w:rPr>
          <w:rFonts w:cs="Arial"/>
          <w:sz w:val="16"/>
          <w:szCs w:val="16"/>
          <w:rtl/>
        </w:rPr>
        <w:t>ח"ב שאלה קמב</w:t>
      </w:r>
      <w:r w:rsidRPr="00685B96">
        <w:rPr>
          <w:rFonts w:cs="Arial" w:hint="cs"/>
          <w:sz w:val="16"/>
          <w:szCs w:val="16"/>
          <w:rtl/>
        </w:rPr>
        <w:t>)</w:t>
      </w:r>
      <w:r w:rsidRPr="00685B96">
        <w:rPr>
          <w:rFonts w:cs="Arial" w:hint="cs"/>
          <w:rtl/>
        </w:rPr>
        <w:t>-</w:t>
      </w:r>
      <w:r w:rsidRPr="00685B96">
        <w:rPr>
          <w:rFonts w:cs="Arial"/>
          <w:rtl/>
        </w:rPr>
        <w:t xml:space="preserve"> אין לה מזונות כשמת הבן</w:t>
      </w:r>
      <w:r>
        <w:rPr>
          <w:rStyle w:val="a7"/>
          <w:rFonts w:cs="Arial"/>
          <w:rtl/>
        </w:rPr>
        <w:footnoteReference w:id="3088"/>
      </w:r>
      <w:r w:rsidRPr="00685B96">
        <w:rPr>
          <w:rFonts w:cs="Arial" w:hint="cs"/>
          <w:rtl/>
        </w:rPr>
        <w:t>.</w:t>
      </w:r>
    </w:p>
    <w:p w14:paraId="21F9BD11" w14:textId="77777777" w:rsidR="002E5BAD" w:rsidRDefault="002E5BAD" w:rsidP="002E5BAD">
      <w:pPr>
        <w:rPr>
          <w:rtl/>
        </w:rPr>
      </w:pPr>
    </w:p>
    <w:p w14:paraId="04D6EB47" w14:textId="77777777" w:rsidR="002E5BAD" w:rsidRDefault="002E5BAD" w:rsidP="002E5BAD">
      <w:pPr>
        <w:pStyle w:val="2"/>
        <w:rPr>
          <w:rtl/>
        </w:rPr>
      </w:pPr>
      <w:r>
        <w:rPr>
          <w:rtl/>
        </w:rPr>
        <w:t>סעיף ו</w:t>
      </w:r>
      <w:r>
        <w:rPr>
          <w:rFonts w:hint="cs"/>
          <w:rtl/>
        </w:rPr>
        <w:t>: גרש את אשתו תוך הזמן שפסק מזונות לבתה.</w:t>
      </w:r>
    </w:p>
    <w:p w14:paraId="440CBBD0" w14:textId="77777777" w:rsidR="002E5BAD" w:rsidRDefault="002E5BAD" w:rsidP="002E5BAD">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3089"/>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w:t>
      </w:r>
      <w:r>
        <w:rPr>
          <w:rFonts w:cs="Arial" w:hint="cs"/>
          <w:rtl/>
        </w:rPr>
        <w:t>.</w:t>
      </w:r>
      <w:r w:rsidRPr="00B77EF1">
        <w:rPr>
          <w:rFonts w:cs="Arial"/>
          <w:rtl/>
        </w:rPr>
        <w:t>.</w:t>
      </w:r>
    </w:p>
    <w:p w14:paraId="378DFD2B" w14:textId="77777777" w:rsidR="002E5BAD" w:rsidRPr="007702CA" w:rsidRDefault="002E5BAD" w:rsidP="002E5BAD">
      <w:pPr>
        <w:rPr>
          <w:u w:val="single"/>
          <w:rtl/>
        </w:rPr>
      </w:pPr>
      <w:r w:rsidRPr="007702CA">
        <w:rPr>
          <w:rFonts w:hint="cs"/>
          <w:u w:val="single"/>
          <w:rtl/>
        </w:rPr>
        <w:t xml:space="preserve">גרש את אשתו </w:t>
      </w:r>
      <w:r w:rsidRPr="007702CA">
        <w:rPr>
          <w:u w:val="single"/>
          <w:rtl/>
        </w:rPr>
        <w:t>–</w:t>
      </w:r>
      <w:r w:rsidRPr="007702CA">
        <w:rPr>
          <w:rFonts w:hint="cs"/>
          <w:u w:val="single"/>
          <w:rtl/>
        </w:rPr>
        <w:t xml:space="preserve"> האם חייב עדיין ליתן מזונות לבתה:</w:t>
      </w:r>
    </w:p>
    <w:p w14:paraId="5D3635F5" w14:textId="77777777" w:rsidR="002E5BAD" w:rsidRPr="007702CA" w:rsidRDefault="002E5BAD" w:rsidP="00B75458">
      <w:pPr>
        <w:pStyle w:val="ab"/>
        <w:numPr>
          <w:ilvl w:val="0"/>
          <w:numId w:val="195"/>
        </w:numPr>
      </w:pPr>
      <w:r>
        <w:rPr>
          <w:rFonts w:hint="cs"/>
          <w:rtl/>
        </w:rPr>
        <w:t>טור-</w:t>
      </w:r>
      <w:r>
        <w:rPr>
          <w:rFonts w:cs="Arial" w:hint="cs"/>
          <w:rtl/>
        </w:rPr>
        <w:t xml:space="preserve"> </w:t>
      </w:r>
      <w:r w:rsidRPr="00716457">
        <w:rPr>
          <w:rFonts w:cs="Arial"/>
          <w:rtl/>
        </w:rPr>
        <w:t>נתגרשה בתוך הזמן שקבל לזון את הבת</w:t>
      </w:r>
      <w:r>
        <w:rPr>
          <w:rFonts w:cs="Arial" w:hint="cs"/>
          <w:rtl/>
        </w:rPr>
        <w:t>,</w:t>
      </w:r>
      <w:r w:rsidRPr="00716457">
        <w:rPr>
          <w:rFonts w:cs="Arial"/>
          <w:rtl/>
        </w:rPr>
        <w:t xml:space="preserve"> לא יוכל לומר כשתבא הבת אצלי אתן לה מזונות </w:t>
      </w:r>
      <w:r>
        <w:rPr>
          <w:rFonts w:cs="Arial" w:hint="cs"/>
          <w:rtl/>
        </w:rPr>
        <w:t xml:space="preserve">- </w:t>
      </w:r>
      <w:r w:rsidRPr="00716457">
        <w:rPr>
          <w:rFonts w:cs="Arial"/>
          <w:rtl/>
        </w:rPr>
        <w:t>אלא נותן לה מזונות משלם במקום שתהיה אמה ולא לפי ברכת הבית</w:t>
      </w:r>
      <w:r>
        <w:rPr>
          <w:rStyle w:val="a7"/>
          <w:rFonts w:cs="Arial"/>
          <w:rtl/>
        </w:rPr>
        <w:footnoteReference w:id="3090"/>
      </w:r>
      <w:r>
        <w:rPr>
          <w:rFonts w:cs="Arial" w:hint="cs"/>
          <w:rtl/>
        </w:rPr>
        <w:t>.</w:t>
      </w:r>
      <w:r w:rsidRPr="00716457">
        <w:rPr>
          <w:rFonts w:cs="Arial"/>
          <w:rtl/>
        </w:rPr>
        <w:t xml:space="preserve"> </w:t>
      </w:r>
      <w:r w:rsidRPr="004663D7">
        <w:rPr>
          <w:rFonts w:hint="cs"/>
          <w:color w:val="E36C0A" w:themeColor="accent6" w:themeShade="BF"/>
          <w:rtl/>
        </w:rPr>
        <w:t>(וכ"פ בשו"ע)</w:t>
      </w:r>
    </w:p>
    <w:p w14:paraId="03C0E1F5" w14:textId="77777777" w:rsidR="002E5BAD" w:rsidRPr="007702CA" w:rsidRDefault="002E5BAD" w:rsidP="002E5BAD">
      <w:pPr>
        <w:rPr>
          <w:u w:val="single"/>
          <w:rtl/>
        </w:rPr>
      </w:pPr>
      <w:r w:rsidRPr="007702CA">
        <w:rPr>
          <w:rFonts w:hint="cs"/>
          <w:u w:val="single"/>
          <w:rtl/>
        </w:rPr>
        <w:t>כמה מזונות צריך ליתן לבת אשתו:</w:t>
      </w:r>
    </w:p>
    <w:p w14:paraId="19A92157" w14:textId="77777777" w:rsidR="002E5BAD" w:rsidRPr="007702CA" w:rsidRDefault="002E5BAD" w:rsidP="00B75458">
      <w:pPr>
        <w:pStyle w:val="ab"/>
        <w:numPr>
          <w:ilvl w:val="0"/>
          <w:numId w:val="195"/>
        </w:numPr>
      </w:pPr>
      <w:r w:rsidRPr="00716457">
        <w:rPr>
          <w:rFonts w:cs="Arial"/>
          <w:rtl/>
        </w:rPr>
        <w:t>רמ"ה</w:t>
      </w:r>
      <w:r>
        <w:rPr>
          <w:rFonts w:cs="Arial" w:hint="cs"/>
          <w:sz w:val="16"/>
          <w:szCs w:val="16"/>
          <w:rtl/>
        </w:rPr>
        <w:t xml:space="preserve"> (כ"כ הרא"ש [שם] והטור בשמו)</w:t>
      </w:r>
      <w:r>
        <w:rPr>
          <w:rFonts w:cs="Arial" w:hint="cs"/>
          <w:rtl/>
        </w:rPr>
        <w:t>-</w:t>
      </w:r>
      <w:r w:rsidRPr="00716457">
        <w:rPr>
          <w:rFonts w:cs="Arial"/>
          <w:rtl/>
        </w:rPr>
        <w:t xml:space="preserve"> אלו המזונות שנותן לה אינו נותן לה אלא כזן את אשתו ע"י שליש</w:t>
      </w:r>
      <w:r>
        <w:rPr>
          <w:rFonts w:cs="Arial" w:hint="cs"/>
          <w:rtl/>
        </w:rPr>
        <w:t>.</w:t>
      </w:r>
      <w:r w:rsidRPr="00716457">
        <w:rPr>
          <w:rFonts w:cs="Arial"/>
          <w:rtl/>
        </w:rPr>
        <w:t xml:space="preserve"> ואפי' עשיר שבישראל אינו חייב ליתן לה לפי כבודו</w:t>
      </w:r>
      <w:r>
        <w:rPr>
          <w:rFonts w:cs="Arial" w:hint="cs"/>
          <w:rtl/>
        </w:rPr>
        <w:t>,</w:t>
      </w:r>
      <w:r w:rsidRPr="00716457">
        <w:rPr>
          <w:rFonts w:cs="Arial"/>
          <w:rtl/>
        </w:rPr>
        <w:t xml:space="preserve"> ואפי' היא עשירה הרבה אינו חייב לזונה אלא בפחות</w:t>
      </w:r>
      <w:r>
        <w:rPr>
          <w:rFonts w:cs="Arial" w:hint="cs"/>
          <w:rtl/>
        </w:rPr>
        <w:t>.</w:t>
      </w:r>
      <w:r w:rsidRPr="00716457">
        <w:rPr>
          <w:rFonts w:cs="Arial"/>
          <w:rtl/>
        </w:rPr>
        <w:t xml:space="preserve"> שלא אמרו שנותן לפי כבודו אלא באשתו שאוכלת בתנאי ב"ד</w:t>
      </w:r>
      <w:r>
        <w:rPr>
          <w:rFonts w:cs="Arial" w:hint="cs"/>
          <w:rtl/>
        </w:rPr>
        <w:t>.</w:t>
      </w:r>
      <w:r w:rsidRPr="00716457">
        <w:rPr>
          <w:rFonts w:cs="Arial"/>
          <w:rtl/>
        </w:rPr>
        <w:t xml:space="preserve"> אבל בבת אשתו שהוא חייב את עצמו </w:t>
      </w:r>
      <w:r>
        <w:rPr>
          <w:rFonts w:cs="Arial" w:hint="cs"/>
          <w:rtl/>
        </w:rPr>
        <w:t xml:space="preserve">- </w:t>
      </w:r>
      <w:r w:rsidRPr="00716457">
        <w:rPr>
          <w:rFonts w:cs="Arial"/>
          <w:rtl/>
        </w:rPr>
        <w:t>יד בעל השטר על התחתונה</w:t>
      </w:r>
      <w:r>
        <w:rPr>
          <w:rFonts w:cs="Arial" w:hint="cs"/>
          <w:sz w:val="16"/>
          <w:szCs w:val="16"/>
          <w:rtl/>
        </w:rPr>
        <w:t xml:space="preserve"> (ל' הטור בשמו)</w:t>
      </w:r>
      <w:r>
        <w:rPr>
          <w:rFonts w:cs="Arial" w:hint="cs"/>
          <w:rtl/>
        </w:rPr>
        <w:t>.</w:t>
      </w:r>
      <w:r w:rsidRPr="00716457">
        <w:rPr>
          <w:rFonts w:cs="Arial"/>
          <w:rtl/>
        </w:rPr>
        <w:t xml:space="preserve"> </w:t>
      </w:r>
      <w:r w:rsidRPr="004663D7">
        <w:rPr>
          <w:rFonts w:hint="cs"/>
          <w:color w:val="E36C0A" w:themeColor="accent6" w:themeShade="BF"/>
          <w:rtl/>
        </w:rPr>
        <w:t>(וכ"פ בשו"ע)</w:t>
      </w:r>
    </w:p>
    <w:p w14:paraId="0870B5F7" w14:textId="77777777" w:rsidR="002E5BAD" w:rsidRPr="00716457" w:rsidRDefault="002E5BAD" w:rsidP="00B75458">
      <w:pPr>
        <w:pStyle w:val="ab"/>
        <w:numPr>
          <w:ilvl w:val="0"/>
          <w:numId w:val="195"/>
        </w:numPr>
        <w:rPr>
          <w:rtl/>
        </w:rPr>
      </w:pPr>
      <w:r w:rsidRPr="00716457">
        <w:rPr>
          <w:rFonts w:cs="Arial"/>
          <w:rtl/>
        </w:rPr>
        <w:t>רא"ש</w:t>
      </w:r>
      <w:r>
        <w:rPr>
          <w:rFonts w:cs="Arial" w:hint="cs"/>
          <w:sz w:val="16"/>
          <w:szCs w:val="16"/>
          <w:rtl/>
        </w:rPr>
        <w:t xml:space="preserve"> (כתובות פי"ב סי' א)</w:t>
      </w:r>
      <w:r>
        <w:rPr>
          <w:rFonts w:cs="Arial" w:hint="cs"/>
          <w:rtl/>
        </w:rPr>
        <w:t>-</w:t>
      </w:r>
      <w:r w:rsidRPr="00716457">
        <w:rPr>
          <w:rFonts w:cs="Arial"/>
          <w:rtl/>
        </w:rPr>
        <w:t xml:space="preserve"> </w:t>
      </w:r>
      <w:r>
        <w:rPr>
          <w:rStyle w:val="a7"/>
          <w:rFonts w:cs="Arial"/>
          <w:rtl/>
        </w:rPr>
        <w:footnoteReference w:id="3091"/>
      </w:r>
      <w:r w:rsidRPr="00716457">
        <w:rPr>
          <w:rFonts w:cs="Arial"/>
          <w:rtl/>
        </w:rPr>
        <w:t xml:space="preserve">כל המתחייב בפרנסת אדם </w:t>
      </w:r>
      <w:r>
        <w:rPr>
          <w:rFonts w:cs="Arial" w:hint="cs"/>
          <w:rtl/>
        </w:rPr>
        <w:t xml:space="preserve">- </w:t>
      </w:r>
      <w:r w:rsidRPr="00716457">
        <w:rPr>
          <w:rFonts w:cs="Arial"/>
          <w:rtl/>
        </w:rPr>
        <w:t>מתחייב לפרנסו כשאר ב</w:t>
      </w:r>
      <w:r>
        <w:rPr>
          <w:rFonts w:cs="Arial" w:hint="cs"/>
          <w:rtl/>
        </w:rPr>
        <w:t>ני ביתו</w:t>
      </w:r>
      <w:r>
        <w:rPr>
          <w:rStyle w:val="a7"/>
          <w:rFonts w:cs="Arial"/>
          <w:rtl/>
        </w:rPr>
        <w:footnoteReference w:id="3092"/>
      </w:r>
      <w:r>
        <w:rPr>
          <w:rFonts w:cs="Arial" w:hint="cs"/>
          <w:rtl/>
        </w:rPr>
        <w:t>.</w:t>
      </w:r>
      <w:r w:rsidRPr="003E426D">
        <w:rPr>
          <w:rFonts w:cs="Arial" w:hint="cs"/>
          <w:rtl/>
        </w:rPr>
        <w:t xml:space="preserve"> ו</w:t>
      </w:r>
      <w:r w:rsidRPr="003E426D">
        <w:rPr>
          <w:rFonts w:cs="Arial"/>
          <w:rtl/>
        </w:rPr>
        <w:t xml:space="preserve">אם חלה </w:t>
      </w:r>
      <w:r w:rsidRPr="003E426D">
        <w:rPr>
          <w:rFonts w:cs="Arial" w:hint="cs"/>
          <w:rtl/>
        </w:rPr>
        <w:t xml:space="preserve">- </w:t>
      </w:r>
      <w:r w:rsidRPr="003E426D">
        <w:rPr>
          <w:rFonts w:cs="Arial"/>
          <w:rtl/>
        </w:rPr>
        <w:t>אינו חייב לרפאותו</w:t>
      </w:r>
      <w:r w:rsidRPr="003E426D">
        <w:rPr>
          <w:rFonts w:cs="Arial" w:hint="cs"/>
          <w:rtl/>
        </w:rPr>
        <w:t>,</w:t>
      </w:r>
      <w:r w:rsidRPr="003E426D">
        <w:rPr>
          <w:rFonts w:cs="Arial"/>
          <w:rtl/>
        </w:rPr>
        <w:t xml:space="preserve"> א</w:t>
      </w:r>
      <w:r w:rsidRPr="003E426D">
        <w:rPr>
          <w:rFonts w:cs="Arial" w:hint="cs"/>
          <w:rtl/>
        </w:rPr>
        <w:t>ע"ג</w:t>
      </w:r>
      <w:r w:rsidRPr="003E426D">
        <w:rPr>
          <w:rFonts w:cs="Arial"/>
          <w:rtl/>
        </w:rPr>
        <w:t xml:space="preserve"> דתנן במזון האשה דרפואה שאין לה קצבה הרי היא כמזונות</w:t>
      </w:r>
      <w:r w:rsidRPr="003E426D">
        <w:rPr>
          <w:rFonts w:cs="Arial" w:hint="cs"/>
          <w:rtl/>
        </w:rPr>
        <w:t>,</w:t>
      </w:r>
      <w:r w:rsidRPr="003E426D">
        <w:rPr>
          <w:rFonts w:cs="Arial"/>
          <w:rtl/>
        </w:rPr>
        <w:t xml:space="preserve"> ה</w:t>
      </w:r>
      <w:r w:rsidRPr="003E426D">
        <w:rPr>
          <w:rFonts w:cs="Arial" w:hint="cs"/>
          <w:rtl/>
        </w:rPr>
        <w:t xml:space="preserve">ני </w:t>
      </w:r>
      <w:r w:rsidRPr="003E426D">
        <w:rPr>
          <w:rFonts w:cs="Arial"/>
          <w:rtl/>
        </w:rPr>
        <w:t>מ</w:t>
      </w:r>
      <w:r w:rsidRPr="003E426D">
        <w:rPr>
          <w:rFonts w:cs="Arial" w:hint="cs"/>
          <w:rtl/>
        </w:rPr>
        <w:t>ילי</w:t>
      </w:r>
      <w:r w:rsidRPr="003E426D">
        <w:rPr>
          <w:rFonts w:cs="Arial"/>
          <w:rtl/>
        </w:rPr>
        <w:t xml:space="preserve"> כשאוכלת בתנאי ב"ד שהוא חייב להספיק כל צרכה</w:t>
      </w:r>
      <w:r w:rsidRPr="003E426D">
        <w:rPr>
          <w:rFonts w:cs="Arial" w:hint="cs"/>
          <w:rtl/>
        </w:rPr>
        <w:t>,</w:t>
      </w:r>
      <w:r w:rsidRPr="003E426D">
        <w:rPr>
          <w:rFonts w:cs="Arial"/>
          <w:rtl/>
        </w:rPr>
        <w:t xml:space="preserve"> אבל המקבל עליו לפרנס חבירו אין הרפואה בכלל</w:t>
      </w:r>
      <w:r w:rsidRPr="003E426D">
        <w:rPr>
          <w:rFonts w:cs="Arial" w:hint="cs"/>
          <w:sz w:val="16"/>
          <w:szCs w:val="16"/>
          <w:rtl/>
        </w:rPr>
        <w:t xml:space="preserve"> (ל' הטור בשמו)</w:t>
      </w:r>
      <w:r w:rsidRPr="003E426D">
        <w:rPr>
          <w:rFonts w:cs="Arial" w:hint="cs"/>
          <w:rtl/>
        </w:rPr>
        <w:t>.</w:t>
      </w:r>
      <w:r w:rsidRPr="003E426D">
        <w:rPr>
          <w:rFonts w:hint="cs"/>
          <w:color w:val="E36C0A" w:themeColor="accent6" w:themeShade="BF"/>
          <w:rtl/>
        </w:rPr>
        <w:t xml:space="preserve"> (וכ"פ בשו"ע)</w:t>
      </w:r>
    </w:p>
    <w:p w14:paraId="6701706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D426860" w14:textId="77777777" w:rsidR="002E5BAD" w:rsidRDefault="002E5BAD" w:rsidP="002E5BAD">
      <w:pPr>
        <w:rPr>
          <w:rtl/>
        </w:rPr>
      </w:pPr>
      <w:r>
        <w:rPr>
          <w:rFonts w:cs="Arial"/>
          <w:rtl/>
        </w:rPr>
        <w:t>נתגרשה בתוך הזמן שקבל לזון את הבת, נותן לה במקום שתהיה אמה מזונות משלם כמי שזן את אשתו ע</w:t>
      </w:r>
      <w:r>
        <w:rPr>
          <w:rFonts w:cs="Arial" w:hint="cs"/>
          <w:rtl/>
        </w:rPr>
        <w:t>ל ידי</w:t>
      </w:r>
      <w:r>
        <w:rPr>
          <w:rFonts w:cs="Arial"/>
          <w:rtl/>
        </w:rPr>
        <w:t xml:space="preserve"> שליש, ואינו חייב ליתן לה לפי כבודו ולא לפי כבודה. </w:t>
      </w:r>
      <w:r w:rsidRPr="007905FE">
        <w:rPr>
          <w:rFonts w:cs="Arial" w:hint="cs"/>
          <w:sz w:val="18"/>
          <w:szCs w:val="18"/>
          <w:rtl/>
        </w:rPr>
        <w:t xml:space="preserve">[הגה] </w:t>
      </w:r>
      <w:r w:rsidRPr="007905FE">
        <w:rPr>
          <w:rFonts w:cs="Arial"/>
          <w:sz w:val="18"/>
          <w:szCs w:val="18"/>
          <w:rtl/>
        </w:rPr>
        <w:t>ויש חולקים וסוברים דצריך לתת לה כאחד מבני ביתו (טור בשם הרא"ש) וכן נ"ל.</w:t>
      </w:r>
      <w:r>
        <w:rPr>
          <w:rFonts w:cs="Arial"/>
          <w:rtl/>
        </w:rPr>
        <w:t xml:space="preserve"> ואם מאכילה על שלחנו, ניזונת עמו כאחד מאוכלי שלחנו. ובין כך ובין כך אינו חייב ברפואתה. </w:t>
      </w:r>
    </w:p>
    <w:p w14:paraId="37AB0ADC" w14:textId="77777777" w:rsidR="002E5BAD" w:rsidRDefault="002E5BAD" w:rsidP="002E5BAD">
      <w:pPr>
        <w:rPr>
          <w:rtl/>
        </w:rPr>
      </w:pPr>
    </w:p>
    <w:p w14:paraId="37CC678C" w14:textId="77777777" w:rsidR="002E5BAD" w:rsidRDefault="002E5BAD" w:rsidP="002E5BAD">
      <w:pPr>
        <w:pStyle w:val="2"/>
        <w:rPr>
          <w:rtl/>
        </w:rPr>
      </w:pPr>
      <w:r>
        <w:rPr>
          <w:rtl/>
        </w:rPr>
        <w:t>סעיף ז</w:t>
      </w:r>
      <w:r>
        <w:rPr>
          <w:rFonts w:hint="cs"/>
          <w:rtl/>
        </w:rPr>
        <w:t>: המקבל עליו לזון אדם כל שהוא.</w:t>
      </w:r>
    </w:p>
    <w:p w14:paraId="37AD4698" w14:textId="77777777" w:rsidR="002E5BAD" w:rsidRPr="0093243A" w:rsidRDefault="002E5BAD" w:rsidP="002E5BAD">
      <w:pPr>
        <w:rPr>
          <w:rFonts w:cs="Arial"/>
          <w:u w:val="single"/>
          <w:rtl/>
        </w:rPr>
      </w:pPr>
      <w:r w:rsidRPr="0093243A">
        <w:rPr>
          <w:rFonts w:cs="Arial" w:hint="cs"/>
          <w:u w:val="single"/>
          <w:rtl/>
        </w:rPr>
        <w:t>המקבל עליו לזון את חברו לכך וכך זמן:</w:t>
      </w:r>
    </w:p>
    <w:p w14:paraId="0D79FBCE" w14:textId="77777777" w:rsidR="002E5BAD" w:rsidRDefault="002E5BAD" w:rsidP="00B75458">
      <w:pPr>
        <w:pStyle w:val="ab"/>
        <w:numPr>
          <w:ilvl w:val="0"/>
          <w:numId w:val="206"/>
        </w:numPr>
        <w:rPr>
          <w:rFonts w:cs="Arial"/>
        </w:rPr>
      </w:pPr>
      <w:r w:rsidRPr="0093243A">
        <w:rPr>
          <w:rFonts w:cs="Arial"/>
          <w:rtl/>
        </w:rPr>
        <w:t>רשב"א</w:t>
      </w:r>
      <w:r w:rsidRPr="0093243A">
        <w:rPr>
          <w:rFonts w:cs="Arial"/>
          <w:sz w:val="16"/>
          <w:szCs w:val="16"/>
          <w:rtl/>
        </w:rPr>
        <w:t xml:space="preserve"> </w:t>
      </w:r>
      <w:r w:rsidRPr="0093243A">
        <w:rPr>
          <w:rFonts w:cs="Arial" w:hint="cs"/>
          <w:sz w:val="16"/>
          <w:szCs w:val="16"/>
          <w:rtl/>
        </w:rPr>
        <w:t>(</w:t>
      </w:r>
      <w:r w:rsidRPr="0093243A">
        <w:rPr>
          <w:rFonts w:cs="Arial"/>
          <w:sz w:val="16"/>
          <w:szCs w:val="16"/>
          <w:rtl/>
        </w:rPr>
        <w:t>בתשו</w:t>
      </w:r>
      <w:r w:rsidRPr="0093243A">
        <w:rPr>
          <w:rFonts w:cs="Arial" w:hint="cs"/>
          <w:sz w:val="16"/>
          <w:szCs w:val="16"/>
          <w:rtl/>
        </w:rPr>
        <w:t>', כ"כ הב"י בשמו)</w:t>
      </w:r>
      <w:r w:rsidRPr="0093243A">
        <w:rPr>
          <w:rFonts w:cs="Arial"/>
          <w:rtl/>
        </w:rPr>
        <w:t xml:space="preserve"> </w:t>
      </w:r>
      <w:r>
        <w:rPr>
          <w:rFonts w:cs="Arial" w:hint="cs"/>
          <w:rtl/>
        </w:rPr>
        <w:t xml:space="preserve">ור"ן </w:t>
      </w:r>
      <w:r w:rsidRPr="0093243A">
        <w:rPr>
          <w:rFonts w:cs="Arial"/>
          <w:sz w:val="16"/>
          <w:szCs w:val="16"/>
          <w:rtl/>
        </w:rPr>
        <w:t>(</w:t>
      </w:r>
      <w:r w:rsidRPr="0093243A">
        <w:rPr>
          <w:rFonts w:cs="Arial" w:hint="cs"/>
          <w:sz w:val="16"/>
          <w:szCs w:val="16"/>
          <w:rtl/>
        </w:rPr>
        <w:t xml:space="preserve">ר"פ הנושא </w:t>
      </w:r>
      <w:r w:rsidRPr="0093243A">
        <w:rPr>
          <w:rFonts w:cs="Arial"/>
          <w:sz w:val="16"/>
          <w:szCs w:val="16"/>
          <w:rtl/>
        </w:rPr>
        <w:t>ס: ד"ה נשאת</w:t>
      </w:r>
      <w:r>
        <w:rPr>
          <w:rFonts w:cs="Arial" w:hint="cs"/>
          <w:sz w:val="16"/>
          <w:szCs w:val="16"/>
          <w:rtl/>
        </w:rPr>
        <w:t>, כ"כ בשמו הדרכ"מ [אות א]</w:t>
      </w:r>
      <w:r w:rsidRPr="0093243A">
        <w:rPr>
          <w:rFonts w:cs="Arial"/>
          <w:sz w:val="16"/>
          <w:szCs w:val="16"/>
          <w:rtl/>
        </w:rPr>
        <w:t>)</w:t>
      </w:r>
      <w:r w:rsidRPr="0093243A">
        <w:rPr>
          <w:rFonts w:cs="Arial" w:hint="cs"/>
          <w:rtl/>
        </w:rPr>
        <w:t>-</w:t>
      </w:r>
      <w:r w:rsidRPr="0093243A">
        <w:rPr>
          <w:rFonts w:cs="Arial"/>
          <w:rtl/>
        </w:rPr>
        <w:t xml:space="preserve"> דינים אלו שוים במקבל עליו לזון את חבירו ה' שנים כמו במקבל עליו לזון את בת אשתו. </w:t>
      </w:r>
      <w:r w:rsidRPr="004663D7">
        <w:rPr>
          <w:rFonts w:hint="cs"/>
          <w:color w:val="E36C0A" w:themeColor="accent6" w:themeShade="BF"/>
          <w:rtl/>
        </w:rPr>
        <w:t>(וכ"פ בשו"ע)</w:t>
      </w:r>
    </w:p>
    <w:p w14:paraId="1BBDC55C" w14:textId="77777777" w:rsidR="002E5BAD" w:rsidRPr="00070245" w:rsidRDefault="002E5BAD" w:rsidP="002E5BAD">
      <w:pPr>
        <w:rPr>
          <w:rFonts w:cs="Arial"/>
          <w:u w:val="single"/>
        </w:rPr>
      </w:pPr>
      <w:r w:rsidRPr="00070245">
        <w:rPr>
          <w:rFonts w:cs="Arial" w:hint="cs"/>
          <w:u w:val="single"/>
          <w:rtl/>
        </w:rPr>
        <w:t>המקבל עליו לזון את חברו בסתם</w:t>
      </w:r>
      <w:r>
        <w:rPr>
          <w:rFonts w:cs="Arial" w:hint="cs"/>
          <w:u w:val="single"/>
          <w:rtl/>
        </w:rPr>
        <w:t xml:space="preserve"> </w:t>
      </w:r>
      <w:r>
        <w:rPr>
          <w:rFonts w:cs="Arial" w:hint="cs"/>
          <w:sz w:val="16"/>
          <w:szCs w:val="16"/>
          <w:u w:val="single"/>
          <w:rtl/>
        </w:rPr>
        <w:t>(ולא אמר כמה זמן)</w:t>
      </w:r>
      <w:r w:rsidRPr="00070245">
        <w:rPr>
          <w:rFonts w:cs="Arial" w:hint="cs"/>
          <w:u w:val="single"/>
          <w:rtl/>
        </w:rPr>
        <w:t>:</w:t>
      </w:r>
    </w:p>
    <w:p w14:paraId="5A4924C0" w14:textId="77777777" w:rsidR="002E5BAD" w:rsidRDefault="002E5BAD" w:rsidP="00B75458">
      <w:pPr>
        <w:pStyle w:val="ab"/>
        <w:numPr>
          <w:ilvl w:val="0"/>
          <w:numId w:val="206"/>
        </w:numPr>
        <w:rPr>
          <w:rFonts w:cs="Arial"/>
        </w:rPr>
      </w:pPr>
      <w:r>
        <w:rPr>
          <w:rFonts w:cs="Arial" w:hint="cs"/>
          <w:rtl/>
        </w:rPr>
        <w:t>רשב"א</w:t>
      </w:r>
      <w:r w:rsidRPr="00290810">
        <w:rPr>
          <w:rFonts w:cs="Arial"/>
          <w:rtl/>
        </w:rPr>
        <w:t xml:space="preserve"> </w:t>
      </w:r>
      <w:r w:rsidRPr="00290810">
        <w:rPr>
          <w:rFonts w:cs="Arial"/>
          <w:sz w:val="16"/>
          <w:szCs w:val="16"/>
          <w:rtl/>
        </w:rPr>
        <w:t>(ח"ו סי' ה)</w:t>
      </w:r>
      <w:r>
        <w:rPr>
          <w:rFonts w:cs="Arial" w:hint="cs"/>
          <w:rtl/>
        </w:rPr>
        <w:t>-</w:t>
      </w:r>
      <w:r w:rsidRPr="00290810">
        <w:rPr>
          <w:rFonts w:cs="Arial"/>
          <w:rtl/>
        </w:rPr>
        <w:t xml:space="preserve"> כל שמקבל עליו לזון או שמזכה לאיש בנכסיו מזונות</w:t>
      </w:r>
      <w:r>
        <w:rPr>
          <w:rFonts w:cs="Arial" w:hint="cs"/>
          <w:rtl/>
        </w:rPr>
        <w:t>,</w:t>
      </w:r>
      <w:r w:rsidRPr="00290810">
        <w:rPr>
          <w:rFonts w:cs="Arial"/>
          <w:rtl/>
        </w:rPr>
        <w:t xml:space="preserve"> סתם </w:t>
      </w:r>
      <w:r>
        <w:rPr>
          <w:rFonts w:cs="Arial" w:hint="cs"/>
          <w:rtl/>
        </w:rPr>
        <w:t xml:space="preserve">- </w:t>
      </w:r>
      <w:r w:rsidRPr="00290810">
        <w:rPr>
          <w:rFonts w:cs="Arial"/>
          <w:rtl/>
        </w:rPr>
        <w:t>כל זמן שצריך מזונות משמע</w:t>
      </w:r>
      <w:r>
        <w:rPr>
          <w:rFonts w:cs="Arial" w:hint="cs"/>
          <w:rtl/>
        </w:rPr>
        <w:t>.</w:t>
      </w:r>
      <w:r w:rsidRPr="00290810">
        <w:rPr>
          <w:rFonts w:cs="Arial"/>
          <w:rtl/>
        </w:rPr>
        <w:t xml:space="preserve"> וכמי שאסר על עצמו סתם שלא יאכל מן המינים</w:t>
      </w:r>
      <w:r>
        <w:rPr>
          <w:rFonts w:cs="Arial" w:hint="cs"/>
          <w:rtl/>
        </w:rPr>
        <w:t>,</w:t>
      </w:r>
      <w:r w:rsidRPr="00290810">
        <w:rPr>
          <w:rFonts w:cs="Arial"/>
          <w:rtl/>
        </w:rPr>
        <w:t xml:space="preserve"> שאסור בהם לעולם</w:t>
      </w:r>
      <w:r>
        <w:rPr>
          <w:rFonts w:cs="Arial" w:hint="cs"/>
          <w:rtl/>
        </w:rPr>
        <w:t>.</w:t>
      </w:r>
      <w:r w:rsidRPr="00290810">
        <w:rPr>
          <w:rFonts w:cs="Arial"/>
          <w:rtl/>
        </w:rPr>
        <w:t xml:space="preserve"> וכדאמרינן בפרק ד' נדרים (נדרים כח.) אמתניתין דנודרין להרגין כיון דאמר יאסרו כל פירות העולם עלי איתסור כל פירי דעלמא עילויה</w:t>
      </w:r>
      <w:r>
        <w:rPr>
          <w:rFonts w:cs="Arial" w:hint="cs"/>
          <w:rtl/>
        </w:rPr>
        <w:t>!?</w:t>
      </w:r>
      <w:r w:rsidRPr="00290810">
        <w:rPr>
          <w:rFonts w:cs="Arial"/>
          <w:rtl/>
        </w:rPr>
        <w:t xml:space="preserve"> ופרקינן דאמר היום</w:t>
      </w:r>
      <w:r>
        <w:rPr>
          <w:rFonts w:cs="Arial" w:hint="cs"/>
          <w:rtl/>
        </w:rPr>
        <w:t>.</w:t>
      </w:r>
      <w:r w:rsidRPr="00290810">
        <w:rPr>
          <w:rFonts w:cs="Arial"/>
          <w:rtl/>
        </w:rPr>
        <w:t xml:space="preserve"> אלמא כל סתם </w:t>
      </w:r>
      <w:r>
        <w:rPr>
          <w:rFonts w:cs="Arial" w:hint="cs"/>
          <w:rtl/>
        </w:rPr>
        <w:t xml:space="preserve">- </w:t>
      </w:r>
      <w:r w:rsidRPr="00290810">
        <w:rPr>
          <w:rFonts w:cs="Arial"/>
          <w:rtl/>
        </w:rPr>
        <w:t>כלעולם דמי</w:t>
      </w:r>
      <w:r>
        <w:rPr>
          <w:rStyle w:val="a7"/>
          <w:rFonts w:cs="Arial"/>
          <w:rtl/>
        </w:rPr>
        <w:footnoteReference w:id="3093"/>
      </w:r>
      <w:r w:rsidRPr="00290810">
        <w:rPr>
          <w:rFonts w:cs="Arial"/>
          <w:rtl/>
        </w:rPr>
        <w:t xml:space="preserve">. </w:t>
      </w:r>
    </w:p>
    <w:p w14:paraId="4313BAC8" w14:textId="77777777" w:rsidR="002E5BAD" w:rsidRPr="00290810" w:rsidRDefault="002E5BAD" w:rsidP="00B75458">
      <w:pPr>
        <w:pStyle w:val="ab"/>
        <w:numPr>
          <w:ilvl w:val="0"/>
          <w:numId w:val="206"/>
        </w:numPr>
        <w:rPr>
          <w:rFonts w:cs="Arial"/>
          <w:rtl/>
        </w:rPr>
      </w:pPr>
      <w:r w:rsidRPr="00290810">
        <w:rPr>
          <w:rFonts w:cs="Arial"/>
          <w:rtl/>
        </w:rPr>
        <w:t xml:space="preserve">רא"ש </w:t>
      </w:r>
      <w:r w:rsidRPr="00290810">
        <w:rPr>
          <w:rFonts w:cs="Arial" w:hint="cs"/>
          <w:sz w:val="16"/>
          <w:szCs w:val="16"/>
          <w:rtl/>
        </w:rPr>
        <w:t>(</w:t>
      </w:r>
      <w:r w:rsidRPr="00290810">
        <w:rPr>
          <w:rFonts w:cs="Arial"/>
          <w:sz w:val="16"/>
          <w:szCs w:val="16"/>
          <w:rtl/>
        </w:rPr>
        <w:t xml:space="preserve">כלל </w:t>
      </w:r>
      <w:r w:rsidRPr="00290810">
        <w:rPr>
          <w:rFonts w:cs="Arial" w:hint="cs"/>
          <w:sz w:val="16"/>
          <w:szCs w:val="16"/>
          <w:rtl/>
        </w:rPr>
        <w:t>ו</w:t>
      </w:r>
      <w:r w:rsidRPr="00290810">
        <w:rPr>
          <w:rFonts w:cs="Arial"/>
          <w:sz w:val="16"/>
          <w:szCs w:val="16"/>
          <w:rtl/>
        </w:rPr>
        <w:t xml:space="preserve"> סי</w:t>
      </w:r>
      <w:r w:rsidRPr="00290810">
        <w:rPr>
          <w:rFonts w:cs="Arial" w:hint="cs"/>
          <w:sz w:val="16"/>
          <w:szCs w:val="16"/>
          <w:rtl/>
        </w:rPr>
        <w:t xml:space="preserve">' </w:t>
      </w:r>
      <w:r w:rsidRPr="00290810">
        <w:rPr>
          <w:rFonts w:cs="Arial"/>
          <w:sz w:val="16"/>
          <w:szCs w:val="16"/>
          <w:rtl/>
        </w:rPr>
        <w:t>יט</w:t>
      </w:r>
      <w:r w:rsidRPr="00290810">
        <w:rPr>
          <w:rFonts w:cs="Arial" w:hint="cs"/>
          <w:sz w:val="16"/>
          <w:szCs w:val="16"/>
          <w:rtl/>
        </w:rPr>
        <w:t>)</w:t>
      </w:r>
      <w:r>
        <w:rPr>
          <w:rFonts w:cs="Arial" w:hint="cs"/>
          <w:rtl/>
        </w:rPr>
        <w:t xml:space="preserve">- </w:t>
      </w:r>
      <w:r w:rsidRPr="00290810">
        <w:rPr>
          <w:rFonts w:cs="Arial"/>
          <w:rtl/>
        </w:rPr>
        <w:t xml:space="preserve">המקבל עליו לזון את חבירו בסתם </w:t>
      </w:r>
      <w:r>
        <w:rPr>
          <w:rFonts w:cs="Arial" w:hint="cs"/>
          <w:rtl/>
        </w:rPr>
        <w:t xml:space="preserve">- </w:t>
      </w:r>
      <w:r w:rsidRPr="00290810">
        <w:rPr>
          <w:rFonts w:cs="Arial"/>
          <w:rtl/>
        </w:rPr>
        <w:t>או יתן ק' זהובים לשנה בשנה אחת יפטר מנדרו</w:t>
      </w:r>
      <w:r>
        <w:rPr>
          <w:rFonts w:cs="Arial" w:hint="cs"/>
          <w:rtl/>
        </w:rPr>
        <w:t>.</w:t>
      </w:r>
    </w:p>
    <w:p w14:paraId="66F16D1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F3BEEF" w14:textId="77777777" w:rsidR="002E5BAD" w:rsidRDefault="002E5BAD" w:rsidP="002E5BAD">
      <w:pPr>
        <w:rPr>
          <w:rtl/>
        </w:rPr>
      </w:pPr>
      <w:r>
        <w:rPr>
          <w:rFonts w:cs="Arial"/>
          <w:rtl/>
        </w:rPr>
        <w:t>הוא הדין למי שמתחייב בפרנסת אדם אחר</w:t>
      </w:r>
      <w:r>
        <w:rPr>
          <w:rStyle w:val="a7"/>
          <w:rFonts w:cs="Arial"/>
          <w:rtl/>
        </w:rPr>
        <w:footnoteReference w:id="3094"/>
      </w:r>
      <w:r>
        <w:rPr>
          <w:rFonts w:cs="Arial"/>
          <w:rtl/>
        </w:rPr>
        <w:t xml:space="preserve"> </w:t>
      </w:r>
      <w:r>
        <w:rPr>
          <w:rFonts w:cs="Arial" w:hint="cs"/>
          <w:sz w:val="18"/>
          <w:szCs w:val="18"/>
          <w:rtl/>
        </w:rPr>
        <w:t>(</w:t>
      </w:r>
      <w:r w:rsidRPr="00290810">
        <w:rPr>
          <w:rFonts w:cs="Arial"/>
          <w:sz w:val="18"/>
          <w:szCs w:val="18"/>
          <w:rtl/>
        </w:rPr>
        <w:t>ועיין באלו דינים בחשן המשפט סי' ס')</w:t>
      </w:r>
      <w:r>
        <w:rPr>
          <w:rFonts w:cs="Arial"/>
          <w:rtl/>
        </w:rPr>
        <w:t xml:space="preserve">. </w:t>
      </w:r>
    </w:p>
    <w:p w14:paraId="5FF0C903" w14:textId="77777777" w:rsidR="002E5BAD" w:rsidRDefault="002E5BAD" w:rsidP="002E5BAD">
      <w:pPr>
        <w:rPr>
          <w:rtl/>
        </w:rPr>
      </w:pPr>
    </w:p>
    <w:p w14:paraId="335C7166" w14:textId="77777777" w:rsidR="002E5BAD" w:rsidRDefault="002E5BAD" w:rsidP="002E5BAD">
      <w:pPr>
        <w:pStyle w:val="2"/>
        <w:rPr>
          <w:rtl/>
        </w:rPr>
      </w:pPr>
      <w:r>
        <w:rPr>
          <w:rtl/>
        </w:rPr>
        <w:t>סעיף ח</w:t>
      </w:r>
      <w:r>
        <w:rPr>
          <w:rFonts w:hint="cs"/>
          <w:rtl/>
        </w:rPr>
        <w:t>: גרש את אשתו ונשאת לאחר, ופסקה גם עמו שיזון את בתה.</w:t>
      </w:r>
    </w:p>
    <w:p w14:paraId="7C7732D0" w14:textId="77777777" w:rsidR="002E5BAD" w:rsidRDefault="002E5BAD" w:rsidP="002E5BAD">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3095"/>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w:t>
      </w:r>
      <w:r>
        <w:rPr>
          <w:rFonts w:cs="Arial" w:hint="cs"/>
          <w:rtl/>
        </w:rPr>
        <w:t>.</w:t>
      </w:r>
      <w:r w:rsidRPr="00B77EF1">
        <w:rPr>
          <w:rFonts w:cs="Arial"/>
          <w:rtl/>
        </w:rPr>
        <w:t>.</w:t>
      </w:r>
    </w:p>
    <w:p w14:paraId="03E550D3" w14:textId="77777777" w:rsidR="002E5BAD" w:rsidRPr="00070245" w:rsidRDefault="002E5BAD" w:rsidP="002E5BAD">
      <w:pPr>
        <w:rPr>
          <w:u w:val="single"/>
          <w:rtl/>
        </w:rPr>
      </w:pPr>
      <w:r w:rsidRPr="00070245">
        <w:rPr>
          <w:rFonts w:hint="cs"/>
          <w:u w:val="single"/>
          <w:rtl/>
        </w:rPr>
        <w:t>נשאת לאחר ופסקה גם עמו שיזון את בתה:</w:t>
      </w:r>
    </w:p>
    <w:p w14:paraId="0F5A5A7D" w14:textId="77777777" w:rsidR="002E5BAD" w:rsidRPr="00696880" w:rsidRDefault="002E5BAD" w:rsidP="00B75458">
      <w:pPr>
        <w:pStyle w:val="ab"/>
        <w:numPr>
          <w:ilvl w:val="0"/>
          <w:numId w:val="195"/>
        </w:numPr>
      </w:pPr>
      <w:r>
        <w:rPr>
          <w:rFonts w:hint="cs"/>
          <w:rtl/>
        </w:rPr>
        <w:t>טור-</w:t>
      </w:r>
      <w:r>
        <w:rPr>
          <w:rFonts w:cs="Arial" w:hint="cs"/>
          <w:rtl/>
        </w:rPr>
        <w:t xml:space="preserve"> </w:t>
      </w:r>
      <w:r w:rsidRPr="00716457">
        <w:rPr>
          <w:rFonts w:cs="Arial"/>
          <w:rtl/>
        </w:rPr>
        <w:t xml:space="preserve">נשאת לאחר ופסקה גם עמו שיזון את בתה </w:t>
      </w:r>
      <w:r>
        <w:rPr>
          <w:rFonts w:cs="Arial" w:hint="cs"/>
          <w:rtl/>
        </w:rPr>
        <w:t xml:space="preserve">- </w:t>
      </w:r>
      <w:r w:rsidRPr="00716457">
        <w:rPr>
          <w:rFonts w:cs="Arial"/>
          <w:rtl/>
        </w:rPr>
        <w:t>אחד זנה ואחד נותן לה דמי מזונו</w:t>
      </w:r>
      <w:r>
        <w:rPr>
          <w:rFonts w:cs="Arial" w:hint="cs"/>
          <w:rtl/>
        </w:rPr>
        <w:t>ת</w:t>
      </w:r>
      <w:r w:rsidRPr="00716457">
        <w:rPr>
          <w:rFonts w:cs="Arial"/>
          <w:rtl/>
        </w:rPr>
        <w:t xml:space="preserve"> משלם</w:t>
      </w:r>
      <w:r>
        <w:rPr>
          <w:rFonts w:cs="Arial" w:hint="cs"/>
          <w:rtl/>
        </w:rPr>
        <w:t>.</w:t>
      </w:r>
      <w:r w:rsidRPr="00716457">
        <w:rPr>
          <w:rFonts w:cs="Arial"/>
          <w:rtl/>
        </w:rPr>
        <w:t xml:space="preserve"> </w:t>
      </w:r>
      <w:r w:rsidRPr="004663D7">
        <w:rPr>
          <w:rFonts w:hint="cs"/>
          <w:color w:val="E36C0A" w:themeColor="accent6" w:themeShade="BF"/>
          <w:rtl/>
        </w:rPr>
        <w:t>(וכ"פ בשו"ע)</w:t>
      </w:r>
    </w:p>
    <w:p w14:paraId="184E2AD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CEC4F1" w14:textId="77777777" w:rsidR="002E5BAD" w:rsidRDefault="002E5BAD" w:rsidP="002E5BAD">
      <w:pPr>
        <w:rPr>
          <w:rtl/>
        </w:rPr>
      </w:pPr>
      <w:r>
        <w:rPr>
          <w:rFonts w:cs="Arial"/>
          <w:rtl/>
        </w:rPr>
        <w:t>נשאת לאחר, ופסקה גם עמו שיזון את בתה, אחד זנה ואחד נותן לה דמי מזונות</w:t>
      </w:r>
      <w:r>
        <w:rPr>
          <w:rStyle w:val="a7"/>
          <w:rFonts w:cs="Arial"/>
          <w:rtl/>
        </w:rPr>
        <w:footnoteReference w:id="3096"/>
      </w:r>
      <w:r>
        <w:rPr>
          <w:rFonts w:cs="Arial"/>
          <w:rtl/>
        </w:rPr>
        <w:t xml:space="preserve"> משלם. </w:t>
      </w:r>
    </w:p>
    <w:p w14:paraId="5C65F990" w14:textId="77777777" w:rsidR="002E5BAD" w:rsidRDefault="002E5BAD" w:rsidP="002E5BAD">
      <w:pPr>
        <w:rPr>
          <w:rFonts w:cs="Arial"/>
          <w:rtl/>
        </w:rPr>
      </w:pPr>
      <w:r w:rsidRPr="00E8419F">
        <w:rPr>
          <w:rFonts w:cs="Arial"/>
          <w:u w:val="single"/>
          <w:rtl/>
        </w:rPr>
        <w:t>מי שנשא אשה ונתחייב להשי</w:t>
      </w:r>
      <w:r w:rsidRPr="00E8419F">
        <w:rPr>
          <w:rFonts w:cs="Arial" w:hint="cs"/>
          <w:u w:val="single"/>
          <w:rtl/>
        </w:rPr>
        <w:t>א</w:t>
      </w:r>
      <w:r w:rsidRPr="00E8419F">
        <w:rPr>
          <w:rFonts w:cs="Arial"/>
          <w:u w:val="single"/>
          <w:rtl/>
        </w:rPr>
        <w:t xml:space="preserve"> את בתה מפני שלא היה על מה לסמוך</w:t>
      </w:r>
      <w:r w:rsidRPr="00E8419F">
        <w:rPr>
          <w:rFonts w:cs="Arial" w:hint="cs"/>
          <w:u w:val="single"/>
          <w:rtl/>
        </w:rPr>
        <w:t>,</w:t>
      </w:r>
      <w:r w:rsidRPr="00E8419F">
        <w:rPr>
          <w:rFonts w:cs="Arial"/>
          <w:u w:val="single"/>
          <w:rtl/>
        </w:rPr>
        <w:t xml:space="preserve"> ואח"כ מת</w:t>
      </w:r>
      <w:r w:rsidRPr="00E8419F">
        <w:rPr>
          <w:rFonts w:cs="Arial" w:hint="cs"/>
          <w:u w:val="single"/>
          <w:rtl/>
        </w:rPr>
        <w:t>:</w:t>
      </w:r>
      <w:r w:rsidRPr="00E8419F">
        <w:rPr>
          <w:rFonts w:cs="Arial"/>
          <w:rtl/>
        </w:rPr>
        <w:t xml:space="preserve"> </w:t>
      </w:r>
    </w:p>
    <w:p w14:paraId="4F23E300" w14:textId="77777777" w:rsidR="002E5BAD" w:rsidRDefault="002E5BAD" w:rsidP="00B75458">
      <w:pPr>
        <w:pStyle w:val="ab"/>
        <w:numPr>
          <w:ilvl w:val="0"/>
          <w:numId w:val="195"/>
        </w:numPr>
        <w:rPr>
          <w:rtl/>
        </w:rPr>
      </w:pPr>
      <w:r w:rsidRPr="00E8419F">
        <w:rPr>
          <w:rFonts w:cs="Arial" w:hint="cs"/>
          <w:rtl/>
        </w:rPr>
        <w:lastRenderedPageBreak/>
        <w:t xml:space="preserve">באה"ט </w:t>
      </w:r>
      <w:r w:rsidRPr="00E8419F">
        <w:rPr>
          <w:rFonts w:cs="Arial" w:hint="cs"/>
          <w:sz w:val="16"/>
          <w:szCs w:val="16"/>
          <w:rtl/>
        </w:rPr>
        <w:t>(סק"י)</w:t>
      </w:r>
      <w:r w:rsidRPr="00E8419F">
        <w:rPr>
          <w:rFonts w:cs="Arial" w:hint="cs"/>
          <w:rtl/>
        </w:rPr>
        <w:t xml:space="preserve">- </w:t>
      </w:r>
      <w:r w:rsidRPr="00E8419F">
        <w:rPr>
          <w:rFonts w:cs="Arial"/>
          <w:rtl/>
        </w:rPr>
        <w:t>אף על פי שאמה תגבה כתובתה ותוכל להשיאה אפ"ה חייבים היורשים להשיאה</w:t>
      </w:r>
      <w:r w:rsidRPr="00E8419F">
        <w:rPr>
          <w:rFonts w:cs="Arial" w:hint="cs"/>
          <w:rtl/>
        </w:rPr>
        <w:t>,</w:t>
      </w:r>
      <w:r w:rsidRPr="00E8419F">
        <w:rPr>
          <w:rFonts w:cs="Arial"/>
          <w:rtl/>
        </w:rPr>
        <w:t xml:space="preserve"> הר"ם מטראני ח"א סי' קס"א. וכ' כנה"ג עליו וה"ה אם העשיר' הבת שחייב הוא או יורשיו להשיאה ע"ש וע' בהרשד"ם קי"ד סי' רי"ט</w:t>
      </w:r>
      <w:r w:rsidRPr="00E8419F">
        <w:rPr>
          <w:rFonts w:cs="Arial" w:hint="cs"/>
          <w:rtl/>
        </w:rPr>
        <w:t>.</w:t>
      </w:r>
    </w:p>
    <w:p w14:paraId="2EC8611A" w14:textId="77777777" w:rsidR="002E5BAD" w:rsidRDefault="002E5BAD" w:rsidP="002E5BAD">
      <w:pPr>
        <w:rPr>
          <w:rtl/>
        </w:rPr>
      </w:pPr>
    </w:p>
    <w:p w14:paraId="5841DDB6" w14:textId="77777777" w:rsidR="002E5BAD" w:rsidRDefault="002E5BAD" w:rsidP="002E5BAD">
      <w:pPr>
        <w:pStyle w:val="2"/>
        <w:rPr>
          <w:rtl/>
        </w:rPr>
      </w:pPr>
      <w:r>
        <w:rPr>
          <w:rtl/>
        </w:rPr>
        <w:t>סעיף ט</w:t>
      </w:r>
      <w:r>
        <w:rPr>
          <w:rFonts w:hint="cs"/>
          <w:rtl/>
        </w:rPr>
        <w:t>: גרשה גם השני, ושני הבעלים רוצים לזון ולא לתת דמים.</w:t>
      </w:r>
    </w:p>
    <w:p w14:paraId="71E382F4" w14:textId="77777777" w:rsidR="002E5BAD" w:rsidRPr="00070245" w:rsidRDefault="002E5BAD" w:rsidP="002E5BAD">
      <w:pPr>
        <w:rPr>
          <w:u w:val="single"/>
          <w:rtl/>
        </w:rPr>
      </w:pPr>
      <w:r w:rsidRPr="00070245">
        <w:rPr>
          <w:rFonts w:cs="Arial"/>
          <w:u w:val="single"/>
          <w:rtl/>
        </w:rPr>
        <w:t>גירשה גם השני</w:t>
      </w:r>
      <w:r w:rsidRPr="00070245">
        <w:rPr>
          <w:rFonts w:cs="Arial" w:hint="cs"/>
          <w:u w:val="single"/>
          <w:rtl/>
        </w:rPr>
        <w:t>,</w:t>
      </w:r>
      <w:r w:rsidRPr="00070245">
        <w:rPr>
          <w:rFonts w:cs="Arial"/>
          <w:u w:val="single"/>
          <w:rtl/>
        </w:rPr>
        <w:t xml:space="preserve"> ושניהם חייבים במזונותיה</w:t>
      </w:r>
      <w:r w:rsidRPr="00070245">
        <w:rPr>
          <w:rFonts w:cs="Arial" w:hint="cs"/>
          <w:u w:val="single"/>
          <w:rtl/>
        </w:rPr>
        <w:t xml:space="preserve"> =</w:t>
      </w:r>
      <w:r w:rsidRPr="00070245">
        <w:rPr>
          <w:rFonts w:cs="Arial"/>
          <w:u w:val="single"/>
          <w:rtl/>
        </w:rPr>
        <w:t xml:space="preserve"> וכל אחד ואחד אומר </w:t>
      </w:r>
      <w:r>
        <w:rPr>
          <w:rFonts w:cs="Arial" w:hint="cs"/>
          <w:u w:val="single"/>
          <w:rtl/>
        </w:rPr>
        <w:t>'</w:t>
      </w:r>
      <w:r w:rsidRPr="00070245">
        <w:rPr>
          <w:rFonts w:cs="Arial"/>
          <w:u w:val="single"/>
          <w:rtl/>
        </w:rPr>
        <w:t>אני אזון אותה ולא אתן דמים</w:t>
      </w:r>
      <w:r>
        <w:rPr>
          <w:rFonts w:cs="Arial" w:hint="cs"/>
          <w:u w:val="single"/>
          <w:rtl/>
        </w:rPr>
        <w:t>'</w:t>
      </w:r>
      <w:r w:rsidRPr="00070245">
        <w:rPr>
          <w:rFonts w:hint="cs"/>
          <w:u w:val="single"/>
          <w:rtl/>
        </w:rPr>
        <w:t>:</w:t>
      </w:r>
    </w:p>
    <w:p w14:paraId="4023C3CD" w14:textId="77777777" w:rsidR="002E5BAD" w:rsidRPr="00696880" w:rsidRDefault="002E5BAD" w:rsidP="00B75458">
      <w:pPr>
        <w:pStyle w:val="ab"/>
        <w:numPr>
          <w:ilvl w:val="0"/>
          <w:numId w:val="195"/>
        </w:numPr>
      </w:pPr>
      <w:r>
        <w:rPr>
          <w:rFonts w:hint="cs"/>
          <w:rtl/>
        </w:rPr>
        <w:t>טור-</w:t>
      </w:r>
      <w:r>
        <w:rPr>
          <w:rFonts w:cs="Arial" w:hint="cs"/>
          <w:rtl/>
        </w:rPr>
        <w:t xml:space="preserve"> </w:t>
      </w:r>
      <w:r w:rsidRPr="00716457">
        <w:rPr>
          <w:rFonts w:cs="Arial"/>
          <w:rtl/>
        </w:rPr>
        <w:t>ואם גירשה גם השני ושניהם חייבים במזונותיה וכל אחד ואחד אומר אני אזון אותה ולא אתן דמים כתב הרמ"ה שהדבר תלוי בה שתבחר איזה מהם שתרצה שיזון אותה</w:t>
      </w:r>
      <w:r>
        <w:rPr>
          <w:rFonts w:cs="Arial" w:hint="cs"/>
          <w:rtl/>
        </w:rPr>
        <w:t>.</w:t>
      </w:r>
      <w:r w:rsidRPr="00716457">
        <w:rPr>
          <w:rFonts w:cs="Arial"/>
          <w:rtl/>
        </w:rPr>
        <w:t xml:space="preserve"> ואם היא חרשת שאין בה דעת לבחור </w:t>
      </w:r>
      <w:r>
        <w:rPr>
          <w:rFonts w:cs="Arial" w:hint="cs"/>
          <w:rtl/>
        </w:rPr>
        <w:t xml:space="preserve">- </w:t>
      </w:r>
      <w:r w:rsidRPr="00716457">
        <w:rPr>
          <w:rFonts w:cs="Arial"/>
          <w:rtl/>
        </w:rPr>
        <w:t>זנין אותה לפרקים</w:t>
      </w:r>
      <w:r>
        <w:rPr>
          <w:rFonts w:cs="Arial" w:hint="cs"/>
          <w:rtl/>
        </w:rPr>
        <w:t>,</w:t>
      </w:r>
      <w:r w:rsidRPr="00716457">
        <w:rPr>
          <w:rFonts w:cs="Arial"/>
          <w:rtl/>
        </w:rPr>
        <w:t xml:space="preserve"> זה שבת וזה שבת</w:t>
      </w:r>
      <w:r>
        <w:rPr>
          <w:rFonts w:cs="Arial" w:hint="cs"/>
          <w:rtl/>
        </w:rPr>
        <w:t>. וכן מסתבר לאדוני אבי הרא"ש</w:t>
      </w:r>
      <w:r>
        <w:rPr>
          <w:rStyle w:val="a7"/>
          <w:rFonts w:cs="Arial"/>
          <w:rtl/>
        </w:rPr>
        <w:footnoteReference w:id="3097"/>
      </w:r>
      <w:r>
        <w:rPr>
          <w:rFonts w:cs="Arial" w:hint="cs"/>
          <w:rtl/>
        </w:rPr>
        <w:t xml:space="preserve"> </w:t>
      </w:r>
      <w:r>
        <w:rPr>
          <w:rFonts w:cs="Arial" w:hint="cs"/>
          <w:sz w:val="16"/>
          <w:szCs w:val="16"/>
          <w:rtl/>
        </w:rPr>
        <w:t>(כתובות פי"ב סי' א)</w:t>
      </w:r>
      <w:r>
        <w:rPr>
          <w:rFonts w:cs="Arial" w:hint="cs"/>
          <w:rtl/>
        </w:rPr>
        <w:t>.</w:t>
      </w:r>
      <w:r w:rsidRPr="00716457">
        <w:rPr>
          <w:rFonts w:cs="Arial"/>
          <w:rtl/>
        </w:rPr>
        <w:t xml:space="preserve"> </w:t>
      </w:r>
    </w:p>
    <w:p w14:paraId="371B5E5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00469E" w14:textId="77777777" w:rsidR="002E5BAD" w:rsidRDefault="002E5BAD" w:rsidP="002E5BAD">
      <w:pPr>
        <w:rPr>
          <w:rtl/>
        </w:rPr>
      </w:pPr>
      <w:r>
        <w:rPr>
          <w:rFonts w:cs="Arial"/>
          <w:rtl/>
        </w:rPr>
        <w:t>גירשה גם השני ושניהם חייבים במזונותיה, וכל אחד אומר: אני אזונה ולא אתן דמים, הדבר תלוי בה שתבחר איזה מהם שתרצה שיזון אותה</w:t>
      </w:r>
      <w:r>
        <w:rPr>
          <w:rStyle w:val="a7"/>
          <w:rFonts w:cs="Arial"/>
          <w:rtl/>
        </w:rPr>
        <w:footnoteReference w:id="3098"/>
      </w:r>
      <w:r>
        <w:rPr>
          <w:rFonts w:cs="Arial"/>
          <w:rtl/>
        </w:rPr>
        <w:t xml:space="preserve">. ואם היא חרשת שאין בה דעת לבחור, זנין אותה לפרקים זה שבת וזה שבת. </w:t>
      </w:r>
    </w:p>
    <w:p w14:paraId="15A1E8A7" w14:textId="77777777" w:rsidR="002E5BAD" w:rsidRDefault="002E5BAD" w:rsidP="002E5BAD">
      <w:pPr>
        <w:rPr>
          <w:rtl/>
        </w:rPr>
      </w:pPr>
    </w:p>
    <w:p w14:paraId="7F670C8E" w14:textId="77777777" w:rsidR="002E5BAD" w:rsidRDefault="002E5BAD" w:rsidP="002E5BAD">
      <w:pPr>
        <w:pStyle w:val="2"/>
        <w:rPr>
          <w:rtl/>
        </w:rPr>
      </w:pPr>
      <w:r>
        <w:rPr>
          <w:rtl/>
        </w:rPr>
        <w:t>סעיף י</w:t>
      </w:r>
      <w:r>
        <w:rPr>
          <w:rFonts w:hint="cs"/>
          <w:rtl/>
        </w:rPr>
        <w:t>: נישאת בת אשתו תוך הזמן שפסק לה מזונות.</w:t>
      </w:r>
    </w:p>
    <w:p w14:paraId="2F59A523" w14:textId="77777777" w:rsidR="002E5BAD" w:rsidRDefault="002E5BAD" w:rsidP="002E5BAD">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3099"/>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w:t>
      </w:r>
      <w:r>
        <w:rPr>
          <w:rFonts w:hint="cs"/>
          <w:rtl/>
        </w:rPr>
        <w:t>..</w:t>
      </w:r>
      <w:r w:rsidRPr="00BA62EC">
        <w:rPr>
          <w:rtl/>
        </w:rPr>
        <w:t xml:space="preserve"> </w:t>
      </w:r>
      <w:r w:rsidRPr="00BA62EC">
        <w:rPr>
          <w:rFonts w:cs="Arial"/>
          <w:rtl/>
        </w:rPr>
        <w:t>ניסת - הבעל נותן לה מזונות, והן נותנין לה דמי מזונות.</w:t>
      </w:r>
    </w:p>
    <w:p w14:paraId="1D210BCE" w14:textId="77777777" w:rsidR="002E5BAD" w:rsidRPr="00E8419F" w:rsidRDefault="002E5BAD" w:rsidP="002E5BAD">
      <w:pPr>
        <w:rPr>
          <w:u w:val="single"/>
          <w:rtl/>
        </w:rPr>
      </w:pPr>
      <w:r w:rsidRPr="00E8419F">
        <w:rPr>
          <w:rFonts w:hint="cs"/>
          <w:u w:val="single"/>
          <w:rtl/>
        </w:rPr>
        <w:t>נישאת בת אשתו תוך הזמן שפסק לה מזונות:</w:t>
      </w:r>
    </w:p>
    <w:p w14:paraId="17CE9A61" w14:textId="77777777" w:rsidR="002E5BAD" w:rsidRPr="00696880" w:rsidRDefault="002E5BAD" w:rsidP="00B75458">
      <w:pPr>
        <w:pStyle w:val="ab"/>
        <w:numPr>
          <w:ilvl w:val="0"/>
          <w:numId w:val="195"/>
        </w:numPr>
      </w:pPr>
      <w:r>
        <w:rPr>
          <w:rFonts w:hint="cs"/>
          <w:rtl/>
        </w:rPr>
        <w:t>טור-</w:t>
      </w:r>
      <w:r>
        <w:rPr>
          <w:rFonts w:cs="Arial" w:hint="cs"/>
          <w:rtl/>
        </w:rPr>
        <w:t xml:space="preserve"> </w:t>
      </w:r>
      <w:r w:rsidRPr="00716457">
        <w:rPr>
          <w:rFonts w:cs="Arial"/>
          <w:rtl/>
        </w:rPr>
        <w:t xml:space="preserve">נישאת הבת תוך הזמן </w:t>
      </w:r>
      <w:r>
        <w:rPr>
          <w:rFonts w:cs="Arial" w:hint="cs"/>
          <w:rtl/>
        </w:rPr>
        <w:t xml:space="preserve">- </w:t>
      </w:r>
      <w:r w:rsidRPr="00716457">
        <w:rPr>
          <w:rFonts w:cs="Arial"/>
          <w:rtl/>
        </w:rPr>
        <w:t>הבעל חייב במזונותיה</w:t>
      </w:r>
      <w:r>
        <w:rPr>
          <w:rFonts w:cs="Arial" w:hint="cs"/>
          <w:rtl/>
        </w:rPr>
        <w:t>,</w:t>
      </w:r>
      <w:r w:rsidRPr="00716457">
        <w:rPr>
          <w:rFonts w:cs="Arial"/>
          <w:rtl/>
        </w:rPr>
        <w:t xml:space="preserve"> והשנים כל אחד ואחד נותן לה דמי מזונו</w:t>
      </w:r>
      <w:r>
        <w:rPr>
          <w:rFonts w:cs="Arial" w:hint="cs"/>
          <w:rtl/>
        </w:rPr>
        <w:t>ת.</w:t>
      </w:r>
      <w:r w:rsidRPr="00716457">
        <w:rPr>
          <w:rFonts w:cs="Arial"/>
          <w:rtl/>
        </w:rPr>
        <w:t xml:space="preserve"> </w:t>
      </w:r>
    </w:p>
    <w:p w14:paraId="6C054C1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44C175" w14:textId="77777777" w:rsidR="002E5BAD" w:rsidRDefault="002E5BAD" w:rsidP="002E5BAD">
      <w:pPr>
        <w:rPr>
          <w:rtl/>
        </w:rPr>
      </w:pPr>
      <w:r>
        <w:rPr>
          <w:rFonts w:cs="Arial"/>
          <w:rtl/>
        </w:rPr>
        <w:t xml:space="preserve">נשאת הבת תוך הזמן, הבעל חייב במזונותיה והשנים כל אחד ואחד נותן לה דמי מזונות. </w:t>
      </w:r>
    </w:p>
    <w:p w14:paraId="42BE7AD9" w14:textId="77777777" w:rsidR="002E5BAD" w:rsidRDefault="002E5BAD" w:rsidP="002E5BAD">
      <w:pPr>
        <w:rPr>
          <w:rtl/>
        </w:rPr>
      </w:pPr>
    </w:p>
    <w:p w14:paraId="207BAC67" w14:textId="77777777" w:rsidR="002E5BAD" w:rsidRDefault="002E5BAD" w:rsidP="002E5BAD">
      <w:pPr>
        <w:pStyle w:val="2"/>
        <w:rPr>
          <w:rtl/>
        </w:rPr>
      </w:pPr>
      <w:r>
        <w:rPr>
          <w:rtl/>
        </w:rPr>
        <w:t>סעיף יא</w:t>
      </w:r>
      <w:r>
        <w:rPr>
          <w:rFonts w:hint="cs"/>
          <w:rtl/>
        </w:rPr>
        <w:t>: הכותב לאשתו 'אזון את בתך חמש שנים כל זמן שאת עמי'.</w:t>
      </w:r>
    </w:p>
    <w:p w14:paraId="4391AF87" w14:textId="77777777" w:rsidR="002E5BAD" w:rsidRDefault="002E5BAD" w:rsidP="002E5BAD">
      <w:pPr>
        <w:rPr>
          <w:rFonts w:cs="Arial"/>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3100"/>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Pr>
          <w:rFonts w:hint="cs"/>
          <w:rtl/>
        </w:rPr>
        <w:t>..</w:t>
      </w:r>
      <w:r w:rsidRPr="00864336">
        <w:rPr>
          <w:rtl/>
        </w:rPr>
        <w:t xml:space="preserve"> </w:t>
      </w:r>
      <w:r w:rsidRPr="00864336">
        <w:rPr>
          <w:rFonts w:cs="Arial"/>
          <w:rtl/>
        </w:rPr>
        <w:t>הפקחים היו כותבים ע"מ שאזון את בתך חמש שנים כל זמן שאת עמי.</w:t>
      </w:r>
    </w:p>
    <w:p w14:paraId="4707AC27" w14:textId="77777777" w:rsidR="002E5BAD" w:rsidRPr="00864336" w:rsidRDefault="002E5BAD" w:rsidP="002E5BAD">
      <w:pPr>
        <w:rPr>
          <w:u w:val="single"/>
          <w:rtl/>
        </w:rPr>
      </w:pPr>
      <w:r>
        <w:rPr>
          <w:rFonts w:hint="cs"/>
          <w:u w:val="single"/>
          <w:rtl/>
        </w:rPr>
        <w:t>הכותב לאשתו '</w:t>
      </w:r>
      <w:r w:rsidRPr="00864336">
        <w:rPr>
          <w:rFonts w:hint="cs"/>
          <w:u w:val="single"/>
          <w:rtl/>
        </w:rPr>
        <w:t xml:space="preserve">אזון את בתך </w:t>
      </w:r>
      <w:r>
        <w:rPr>
          <w:rFonts w:hint="cs"/>
          <w:u w:val="single"/>
          <w:rtl/>
        </w:rPr>
        <w:t>חמש</w:t>
      </w:r>
      <w:r w:rsidRPr="00864336">
        <w:rPr>
          <w:rFonts w:hint="cs"/>
          <w:u w:val="single"/>
          <w:rtl/>
        </w:rPr>
        <w:t xml:space="preserve"> שנים כל זמן שאת עמי</w:t>
      </w:r>
      <w:r>
        <w:rPr>
          <w:rFonts w:hint="cs"/>
          <w:u w:val="single"/>
          <w:rtl/>
        </w:rPr>
        <w:t>'</w:t>
      </w:r>
      <w:r w:rsidRPr="00864336">
        <w:rPr>
          <w:rFonts w:hint="cs"/>
          <w:u w:val="single"/>
          <w:rtl/>
        </w:rPr>
        <w:t>:</w:t>
      </w:r>
    </w:p>
    <w:p w14:paraId="0C643368" w14:textId="77777777" w:rsidR="002E5BAD" w:rsidRPr="007A508C" w:rsidRDefault="002E5BAD" w:rsidP="00B75458">
      <w:pPr>
        <w:pStyle w:val="ab"/>
        <w:numPr>
          <w:ilvl w:val="0"/>
          <w:numId w:val="195"/>
        </w:numPr>
      </w:pPr>
      <w:r>
        <w:rPr>
          <w:rFonts w:hint="cs"/>
          <w:rtl/>
        </w:rPr>
        <w:t xml:space="preserve">רא"ש </w:t>
      </w:r>
      <w:r>
        <w:rPr>
          <w:rFonts w:cs="Arial" w:hint="cs"/>
          <w:sz w:val="16"/>
          <w:szCs w:val="16"/>
          <w:rtl/>
        </w:rPr>
        <w:t xml:space="preserve">(כתובות פי"ב סי' א) </w:t>
      </w:r>
      <w:r>
        <w:rPr>
          <w:rFonts w:hint="cs"/>
          <w:rtl/>
        </w:rPr>
        <w:t>וטור-</w:t>
      </w:r>
      <w:r>
        <w:rPr>
          <w:rFonts w:cs="Arial" w:hint="cs"/>
          <w:rtl/>
        </w:rPr>
        <w:t xml:space="preserve"> </w:t>
      </w:r>
      <w:r w:rsidRPr="00716457">
        <w:rPr>
          <w:rFonts w:cs="Arial"/>
          <w:rtl/>
        </w:rPr>
        <w:t>כתב לה אני אזון את בתך כל זמן שאת עמי</w:t>
      </w:r>
      <w:r>
        <w:rPr>
          <w:rFonts w:cs="Arial" w:hint="cs"/>
          <w:rtl/>
        </w:rPr>
        <w:t>,</w:t>
      </w:r>
      <w:r w:rsidRPr="00716457">
        <w:rPr>
          <w:rFonts w:cs="Arial"/>
          <w:rtl/>
        </w:rPr>
        <w:t xml:space="preserve"> מתה</w:t>
      </w:r>
      <w:r>
        <w:rPr>
          <w:rFonts w:cs="Arial" w:hint="cs"/>
          <w:rtl/>
        </w:rPr>
        <w:t xml:space="preserve"> -</w:t>
      </w:r>
      <w:r w:rsidRPr="00716457">
        <w:rPr>
          <w:rFonts w:cs="Arial"/>
          <w:rtl/>
        </w:rPr>
        <w:t xml:space="preserve"> אינו חייב עוד לזונה</w:t>
      </w:r>
      <w:r>
        <w:rPr>
          <w:rFonts w:cs="Arial" w:hint="cs"/>
          <w:rtl/>
        </w:rPr>
        <w:t>.</w:t>
      </w:r>
      <w:r w:rsidRPr="00716457">
        <w:rPr>
          <w:rFonts w:cs="Arial"/>
          <w:rtl/>
        </w:rPr>
        <w:t xml:space="preserve"> וכן אם נתגרשה</w:t>
      </w:r>
      <w:r>
        <w:rPr>
          <w:rFonts w:cs="Arial" w:hint="cs"/>
          <w:rtl/>
        </w:rPr>
        <w:t>,</w:t>
      </w:r>
      <w:r w:rsidRPr="00716457">
        <w:rPr>
          <w:rFonts w:cs="Arial"/>
          <w:rtl/>
        </w:rPr>
        <w:t xml:space="preserve"> אפי</w:t>
      </w:r>
      <w:r>
        <w:rPr>
          <w:rFonts w:cs="Arial" w:hint="cs"/>
          <w:rtl/>
        </w:rPr>
        <w:t>לו</w:t>
      </w:r>
      <w:r w:rsidRPr="00716457">
        <w:rPr>
          <w:rFonts w:cs="Arial"/>
          <w:rtl/>
        </w:rPr>
        <w:t xml:space="preserve"> חזר ונשאה</w:t>
      </w:r>
      <w:r>
        <w:rPr>
          <w:rFonts w:cs="Arial" w:hint="cs"/>
          <w:rtl/>
        </w:rPr>
        <w:t>,</w:t>
      </w:r>
      <w:r w:rsidRPr="00716457">
        <w:rPr>
          <w:rFonts w:cs="Arial"/>
          <w:rtl/>
        </w:rPr>
        <w:t xml:space="preserve"> דכל זמן שאת עמי מאלו הנישואין משמע</w:t>
      </w:r>
      <w:r>
        <w:rPr>
          <w:rFonts w:cs="Arial" w:hint="cs"/>
          <w:sz w:val="16"/>
          <w:szCs w:val="16"/>
          <w:rtl/>
        </w:rPr>
        <w:t xml:space="preserve"> (ל' הטור)</w:t>
      </w:r>
      <w:r>
        <w:rPr>
          <w:rFonts w:cs="Arial" w:hint="cs"/>
          <w:rtl/>
        </w:rPr>
        <w:t>.</w:t>
      </w:r>
      <w:r w:rsidRPr="00716457">
        <w:rPr>
          <w:rFonts w:cs="Arial"/>
          <w:rtl/>
        </w:rPr>
        <w:t xml:space="preserve"> </w:t>
      </w:r>
      <w:r w:rsidRPr="00864336">
        <w:rPr>
          <w:rFonts w:hint="cs"/>
          <w:color w:val="E36C0A" w:themeColor="accent6" w:themeShade="BF"/>
          <w:rtl/>
        </w:rPr>
        <w:t>(וכ"פ בשו"ע)</w:t>
      </w:r>
    </w:p>
    <w:p w14:paraId="7B14CB1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BFEE92" w14:textId="77777777" w:rsidR="002E5BAD" w:rsidRDefault="002E5BAD" w:rsidP="002E5BAD">
      <w:pPr>
        <w:rPr>
          <w:rFonts w:cs="Arial"/>
          <w:rtl/>
        </w:rPr>
      </w:pPr>
      <w:r>
        <w:rPr>
          <w:rFonts w:cs="Arial"/>
          <w:rtl/>
        </w:rPr>
        <w:lastRenderedPageBreak/>
        <w:t>כתב לה: אזון את בתך כל זמן שאת עמי, ומתה האם, אינו חייב עוד לזונה. וכן אם נתגרשה, אפילו חזר ונשאה</w:t>
      </w:r>
      <w:r>
        <w:rPr>
          <w:rStyle w:val="a7"/>
          <w:rFonts w:cs="Arial"/>
          <w:rtl/>
        </w:rPr>
        <w:footnoteReference w:id="3101"/>
      </w:r>
      <w:r>
        <w:rPr>
          <w:rFonts w:cs="Arial"/>
          <w:rtl/>
        </w:rPr>
        <w:t>.</w:t>
      </w:r>
    </w:p>
    <w:p w14:paraId="49304050" w14:textId="77777777" w:rsidR="002E5BAD" w:rsidRDefault="002E5BAD" w:rsidP="002E5BAD">
      <w:pPr>
        <w:rPr>
          <w:rtl/>
        </w:rPr>
      </w:pPr>
      <w:r>
        <w:rPr>
          <w:rFonts w:cs="Arial"/>
          <w:rtl/>
        </w:rPr>
        <w:t xml:space="preserve"> </w:t>
      </w:r>
    </w:p>
    <w:p w14:paraId="5B201EC5" w14:textId="77777777" w:rsidR="002E5BAD" w:rsidRDefault="002E5BAD" w:rsidP="002E5BAD">
      <w:pPr>
        <w:pStyle w:val="2"/>
        <w:rPr>
          <w:rtl/>
        </w:rPr>
      </w:pPr>
      <w:r>
        <w:rPr>
          <w:rtl/>
        </w:rPr>
        <w:t>סעיף יב</w:t>
      </w:r>
      <w:r>
        <w:rPr>
          <w:rFonts w:hint="cs"/>
          <w:rtl/>
        </w:rPr>
        <w:t>: חיוב מלבוש כשהתחייב לזון מדעתו.</w:t>
      </w:r>
    </w:p>
    <w:p w14:paraId="7A494002" w14:textId="77777777" w:rsidR="002E5BAD" w:rsidRPr="00864336" w:rsidRDefault="002E5BAD" w:rsidP="002E5BAD">
      <w:pPr>
        <w:rPr>
          <w:u w:val="single"/>
          <w:rtl/>
        </w:rPr>
      </w:pPr>
      <w:r w:rsidRPr="00864336">
        <w:rPr>
          <w:rFonts w:hint="cs"/>
          <w:u w:val="single"/>
          <w:rtl/>
        </w:rPr>
        <w:t xml:space="preserve">המתחייב לזון מדעתו </w:t>
      </w:r>
      <w:r w:rsidRPr="00864336">
        <w:rPr>
          <w:u w:val="single"/>
          <w:rtl/>
        </w:rPr>
        <w:t>–</w:t>
      </w:r>
      <w:r w:rsidRPr="00864336">
        <w:rPr>
          <w:rFonts w:hint="cs"/>
          <w:u w:val="single"/>
          <w:rtl/>
        </w:rPr>
        <w:t xml:space="preserve"> האם חייב גם במלבוש:</w:t>
      </w:r>
    </w:p>
    <w:p w14:paraId="672981C3" w14:textId="77777777" w:rsidR="002E5BAD" w:rsidRPr="00E12E0D" w:rsidRDefault="002E5BAD" w:rsidP="00B75458">
      <w:pPr>
        <w:pStyle w:val="ab"/>
        <w:numPr>
          <w:ilvl w:val="0"/>
          <w:numId w:val="195"/>
        </w:numPr>
      </w:pPr>
      <w:r w:rsidRPr="00E8419F">
        <w:rPr>
          <w:rFonts w:cs="Arial"/>
          <w:rtl/>
        </w:rPr>
        <w:t xml:space="preserve">רשב"א </w:t>
      </w:r>
      <w:r w:rsidRPr="00E8419F">
        <w:rPr>
          <w:rFonts w:cs="Arial"/>
          <w:sz w:val="16"/>
          <w:szCs w:val="16"/>
          <w:rtl/>
        </w:rPr>
        <w:t>(ח"ב סי' קטז, ובמיוחסות סי' קח)</w:t>
      </w:r>
      <w:r w:rsidRPr="00E8419F">
        <w:rPr>
          <w:rFonts w:cs="Arial" w:hint="cs"/>
          <w:rtl/>
        </w:rPr>
        <w:t>-</w:t>
      </w:r>
      <w:r w:rsidRPr="00E8419F">
        <w:rPr>
          <w:rFonts w:cs="Arial"/>
          <w:rtl/>
        </w:rPr>
        <w:t xml:space="preserve"> ששאלתם אם יש בכלל המזונות מלבושים</w:t>
      </w:r>
      <w:r>
        <w:rPr>
          <w:rFonts w:cs="Arial" w:hint="cs"/>
          <w:rtl/>
        </w:rPr>
        <w:t>.</w:t>
      </w:r>
      <w:r w:rsidRPr="00E8419F">
        <w:rPr>
          <w:rFonts w:cs="Arial"/>
          <w:rtl/>
        </w:rPr>
        <w:t xml:space="preserve"> משמו של רבינו האיי אמרו שהמלבושים וצרכי הנישואין בכלל המזונות</w:t>
      </w:r>
      <w:r>
        <w:rPr>
          <w:rFonts w:cs="Arial" w:hint="cs"/>
          <w:rtl/>
        </w:rPr>
        <w:t>.</w:t>
      </w:r>
      <w:r w:rsidRPr="00E8419F">
        <w:rPr>
          <w:rFonts w:cs="Arial"/>
          <w:rtl/>
        </w:rPr>
        <w:t xml:space="preserve"> וריב"ם כתב שאין בכלל המזונות אלא מאכל ומשקה</w:t>
      </w:r>
      <w:r>
        <w:rPr>
          <w:rFonts w:cs="Arial" w:hint="cs"/>
          <w:rtl/>
        </w:rPr>
        <w:t>,</w:t>
      </w:r>
      <w:r w:rsidRPr="00E8419F">
        <w:rPr>
          <w:rFonts w:cs="Arial"/>
          <w:rtl/>
        </w:rPr>
        <w:t xml:space="preserve"> אבל מלבושים ונדוניא </w:t>
      </w:r>
      <w:r>
        <w:rPr>
          <w:rFonts w:cs="Arial" w:hint="cs"/>
          <w:rtl/>
        </w:rPr>
        <w:t xml:space="preserve">- </w:t>
      </w:r>
      <w:r w:rsidRPr="00E8419F">
        <w:rPr>
          <w:rFonts w:cs="Arial"/>
          <w:rtl/>
        </w:rPr>
        <w:t>פרנסה מיקרו</w:t>
      </w:r>
      <w:r>
        <w:rPr>
          <w:rFonts w:cs="Arial" w:hint="cs"/>
          <w:rtl/>
        </w:rPr>
        <w:t>.</w:t>
      </w:r>
      <w:r w:rsidRPr="00E8419F">
        <w:rPr>
          <w:rFonts w:cs="Arial"/>
          <w:rtl/>
        </w:rPr>
        <w:t xml:space="preserve"> ומסתברא שהמלבושים גם כן בכלל מזונות הם</w:t>
      </w:r>
      <w:r>
        <w:rPr>
          <w:rFonts w:cs="Arial" w:hint="cs"/>
          <w:rtl/>
        </w:rPr>
        <w:t>,</w:t>
      </w:r>
      <w:r w:rsidRPr="00E8419F">
        <w:rPr>
          <w:rFonts w:cs="Arial"/>
          <w:rtl/>
        </w:rPr>
        <w:t xml:space="preserve"> כמו ששנינו (כתובות נב:) את תהא יתבא בביתי ומתזנא מנכסי וכו'</w:t>
      </w:r>
      <w:r>
        <w:rPr>
          <w:rFonts w:cs="Arial" w:hint="cs"/>
          <w:rtl/>
        </w:rPr>
        <w:t>.</w:t>
      </w:r>
      <w:r w:rsidRPr="00E8419F">
        <w:rPr>
          <w:rFonts w:cs="Arial"/>
          <w:rtl/>
        </w:rPr>
        <w:t xml:space="preserve"> ואלמנה ודאי יש לה מלבושים בנכסי בעלה מתנאי זה</w:t>
      </w:r>
      <w:r>
        <w:rPr>
          <w:rFonts w:cs="Arial" w:hint="cs"/>
          <w:rtl/>
        </w:rPr>
        <w:t>.</w:t>
      </w:r>
      <w:r w:rsidRPr="00E8419F">
        <w:rPr>
          <w:rFonts w:cs="Arial"/>
          <w:rtl/>
        </w:rPr>
        <w:t xml:space="preserve"> אבל כשבאים חכמים לחלק בין דין המאכל והמשקה לדין הפרנסה</w:t>
      </w:r>
      <w:r>
        <w:rPr>
          <w:rFonts w:cs="Arial" w:hint="cs"/>
          <w:rtl/>
        </w:rPr>
        <w:t>,</w:t>
      </w:r>
      <w:r w:rsidRPr="00E8419F">
        <w:rPr>
          <w:rFonts w:cs="Arial"/>
          <w:rtl/>
        </w:rPr>
        <w:t xml:space="preserve"> קורים לאלו מזונות</w:t>
      </w:r>
      <w:r>
        <w:rPr>
          <w:rFonts w:cs="Arial" w:hint="cs"/>
          <w:rtl/>
        </w:rPr>
        <w:t>,</w:t>
      </w:r>
      <w:r w:rsidRPr="00E8419F">
        <w:rPr>
          <w:rFonts w:cs="Arial"/>
          <w:rtl/>
        </w:rPr>
        <w:t xml:space="preserve"> ולאלו פרנסה</w:t>
      </w:r>
      <w:r>
        <w:rPr>
          <w:rFonts w:cs="Arial" w:hint="cs"/>
          <w:rtl/>
        </w:rPr>
        <w:t>.</w:t>
      </w:r>
      <w:r w:rsidRPr="00E8419F">
        <w:rPr>
          <w:rFonts w:cs="Arial"/>
          <w:rtl/>
        </w:rPr>
        <w:t xml:space="preserve"> ואלא מיהו במי שבא לחייב עצמו מדעתו</w:t>
      </w:r>
      <w:r>
        <w:rPr>
          <w:rFonts w:cs="Arial" w:hint="cs"/>
          <w:rtl/>
        </w:rPr>
        <w:t>,</w:t>
      </w:r>
      <w:r w:rsidRPr="00E8419F">
        <w:rPr>
          <w:rFonts w:cs="Arial"/>
          <w:rtl/>
        </w:rPr>
        <w:t xml:space="preserve"> שלא מתנאי בית דין </w:t>
      </w:r>
      <w:r>
        <w:rPr>
          <w:rFonts w:cs="Arial" w:hint="cs"/>
          <w:rtl/>
        </w:rPr>
        <w:t xml:space="preserve">- </w:t>
      </w:r>
      <w:r w:rsidRPr="00E8419F">
        <w:rPr>
          <w:rFonts w:cs="Arial"/>
          <w:rtl/>
        </w:rPr>
        <w:t xml:space="preserve">אין דנין ומוציאין לבעל השטר המלבושים מחמת מזונות סתם עד שיפרש </w:t>
      </w:r>
      <w:r>
        <w:rPr>
          <w:rFonts w:cs="Arial" w:hint="cs"/>
          <w:rtl/>
        </w:rPr>
        <w:t>'</w:t>
      </w:r>
      <w:r w:rsidRPr="00E8419F">
        <w:rPr>
          <w:rFonts w:cs="Arial"/>
          <w:rtl/>
        </w:rPr>
        <w:t>אזון ואפרנס</w:t>
      </w:r>
      <w:r>
        <w:rPr>
          <w:rFonts w:cs="Arial" w:hint="cs"/>
          <w:rtl/>
        </w:rPr>
        <w:t>',</w:t>
      </w:r>
      <w:r w:rsidRPr="00E8419F">
        <w:rPr>
          <w:rFonts w:cs="Arial"/>
          <w:rtl/>
        </w:rPr>
        <w:t xml:space="preserve"> דיד בעל השטר על התחתונה</w:t>
      </w:r>
      <w:r>
        <w:rPr>
          <w:rFonts w:cs="Arial" w:hint="cs"/>
          <w:rtl/>
        </w:rPr>
        <w:t>.</w:t>
      </w:r>
      <w:r w:rsidRPr="00E8419F">
        <w:rPr>
          <w:rFonts w:cs="Arial"/>
          <w:rtl/>
        </w:rPr>
        <w:t xml:space="preserve"> וכיון שלעתים אינם כוללים אותם בכלל המזונות</w:t>
      </w:r>
      <w:r>
        <w:rPr>
          <w:rFonts w:cs="Arial" w:hint="cs"/>
          <w:rtl/>
        </w:rPr>
        <w:t>,</w:t>
      </w:r>
      <w:r w:rsidRPr="00E8419F">
        <w:rPr>
          <w:rFonts w:cs="Arial"/>
          <w:rtl/>
        </w:rPr>
        <w:t xml:space="preserve"> ועוד שאינם בכלל מזונות בלשון בני אדם</w:t>
      </w:r>
      <w:r>
        <w:rPr>
          <w:rFonts w:cs="Arial" w:hint="cs"/>
          <w:rtl/>
        </w:rPr>
        <w:t>,</w:t>
      </w:r>
      <w:r w:rsidRPr="00E8419F">
        <w:rPr>
          <w:rFonts w:cs="Arial"/>
          <w:rtl/>
        </w:rPr>
        <w:t xml:space="preserve"> לפיכך מי שבא להוציא עליו הראיה</w:t>
      </w:r>
      <w:r>
        <w:rPr>
          <w:rFonts w:cs="Arial" w:hint="cs"/>
          <w:rtl/>
        </w:rPr>
        <w:t>.</w:t>
      </w:r>
      <w:r w:rsidRPr="00E8419F">
        <w:rPr>
          <w:rFonts w:cs="Arial"/>
          <w:rtl/>
        </w:rPr>
        <w:t xml:space="preserve"> וזהו שנהגו עכשיו לכתוב בכתובות </w:t>
      </w:r>
      <w:r>
        <w:rPr>
          <w:rFonts w:cs="Arial" w:hint="cs"/>
          <w:rtl/>
        </w:rPr>
        <w:t>'</w:t>
      </w:r>
      <w:r w:rsidRPr="00E8419F">
        <w:rPr>
          <w:rFonts w:cs="Arial"/>
          <w:rtl/>
        </w:rPr>
        <w:t>ואזון ואפרנס יתיכי</w:t>
      </w:r>
      <w:r>
        <w:rPr>
          <w:rFonts w:cs="Arial" w:hint="cs"/>
          <w:rtl/>
        </w:rPr>
        <w:t>'</w:t>
      </w:r>
      <w:r w:rsidRPr="00E8419F">
        <w:rPr>
          <w:rFonts w:cs="Arial" w:hint="cs"/>
          <w:rtl/>
        </w:rPr>
        <w:t>.</w:t>
      </w:r>
      <w:r>
        <w:rPr>
          <w:rFonts w:hint="cs"/>
          <w:rtl/>
        </w:rPr>
        <w:t xml:space="preserve"> </w:t>
      </w:r>
      <w:r w:rsidRPr="00864336">
        <w:rPr>
          <w:rFonts w:hint="cs"/>
          <w:color w:val="E36C0A" w:themeColor="accent6" w:themeShade="BF"/>
          <w:rtl/>
        </w:rPr>
        <w:t>(וכ"פ בשו"ע)</w:t>
      </w:r>
      <w:r w:rsidRPr="00E12E0D">
        <w:rPr>
          <w:rStyle w:val="a7"/>
          <w:rFonts w:cs="Arial"/>
          <w:rtl/>
        </w:rPr>
        <w:t xml:space="preserve"> </w:t>
      </w:r>
    </w:p>
    <w:p w14:paraId="3E640B8D" w14:textId="77777777" w:rsidR="002E5BAD" w:rsidRPr="00E12E0D" w:rsidRDefault="002E5BAD" w:rsidP="002E5BAD">
      <w:r>
        <w:rPr>
          <w:rFonts w:cs="Arial" w:hint="cs"/>
          <w:u w:val="single"/>
          <w:rtl/>
        </w:rPr>
        <w:t>לוי</w:t>
      </w:r>
      <w:r w:rsidRPr="00E12E0D">
        <w:rPr>
          <w:rFonts w:cs="Arial"/>
          <w:u w:val="single"/>
          <w:rtl/>
        </w:rPr>
        <w:t xml:space="preserve"> אמר לשמעון </w:t>
      </w:r>
      <w:r w:rsidRPr="00E12E0D">
        <w:rPr>
          <w:rFonts w:cs="Arial" w:hint="cs"/>
          <w:u w:val="single"/>
          <w:rtl/>
        </w:rPr>
        <w:t>'</w:t>
      </w:r>
      <w:r w:rsidRPr="00E12E0D">
        <w:rPr>
          <w:rFonts w:cs="Arial"/>
          <w:u w:val="single"/>
          <w:rtl/>
        </w:rPr>
        <w:t xml:space="preserve">אם תשא בת </w:t>
      </w:r>
      <w:r>
        <w:rPr>
          <w:rFonts w:cs="Arial" w:hint="cs"/>
          <w:u w:val="single"/>
          <w:rtl/>
        </w:rPr>
        <w:t>ראובן</w:t>
      </w:r>
      <w:r w:rsidRPr="00E12E0D">
        <w:rPr>
          <w:rFonts w:cs="Arial"/>
          <w:u w:val="single"/>
          <w:rtl/>
        </w:rPr>
        <w:t xml:space="preserve"> אתן לך </w:t>
      </w:r>
      <w:r>
        <w:rPr>
          <w:rFonts w:cs="Arial" w:hint="cs"/>
          <w:u w:val="single"/>
          <w:rtl/>
        </w:rPr>
        <w:t>ר'</w:t>
      </w:r>
      <w:r w:rsidRPr="00E12E0D">
        <w:rPr>
          <w:rFonts w:cs="Arial"/>
          <w:u w:val="single"/>
          <w:rtl/>
        </w:rPr>
        <w:t xml:space="preserve"> זוז לפרנסתה ומזונותיה</w:t>
      </w:r>
      <w:r w:rsidRPr="00E12E0D">
        <w:rPr>
          <w:rFonts w:cs="Arial" w:hint="cs"/>
          <w:u w:val="single"/>
          <w:rtl/>
        </w:rPr>
        <w:t xml:space="preserve">', </w:t>
      </w:r>
      <w:r w:rsidRPr="00E12E0D">
        <w:rPr>
          <w:rFonts w:cs="Arial"/>
          <w:u w:val="single"/>
          <w:rtl/>
        </w:rPr>
        <w:t xml:space="preserve">ומתה בת </w:t>
      </w:r>
      <w:r>
        <w:rPr>
          <w:rFonts w:cs="Arial" w:hint="cs"/>
          <w:u w:val="single"/>
          <w:rtl/>
        </w:rPr>
        <w:t>ראובן</w:t>
      </w:r>
      <w:r w:rsidRPr="00E12E0D">
        <w:rPr>
          <w:rFonts w:cs="Arial"/>
          <w:u w:val="single"/>
          <w:rtl/>
        </w:rPr>
        <w:t xml:space="preserve"> לאחר שנשאה</w:t>
      </w:r>
      <w:r w:rsidRPr="00E12E0D">
        <w:rPr>
          <w:rFonts w:cs="Arial" w:hint="cs"/>
          <w:u w:val="single"/>
          <w:rtl/>
        </w:rPr>
        <w:t>:</w:t>
      </w:r>
      <w:r w:rsidRPr="00E12E0D">
        <w:rPr>
          <w:rFonts w:cs="Arial"/>
          <w:rtl/>
        </w:rPr>
        <w:t xml:space="preserve"> </w:t>
      </w:r>
      <w:r w:rsidRPr="00E12E0D">
        <w:rPr>
          <w:rFonts w:cs="Arial"/>
          <w:sz w:val="16"/>
          <w:szCs w:val="16"/>
          <w:rtl/>
        </w:rPr>
        <w:t>(</w:t>
      </w:r>
      <w:r w:rsidRPr="00E12E0D">
        <w:rPr>
          <w:rFonts w:cs="Arial" w:hint="cs"/>
          <w:sz w:val="16"/>
          <w:szCs w:val="16"/>
          <w:rtl/>
        </w:rPr>
        <w:t xml:space="preserve">דרכ"מ אות </w:t>
      </w:r>
      <w:r w:rsidRPr="00E12E0D">
        <w:rPr>
          <w:rFonts w:cs="Arial"/>
          <w:sz w:val="16"/>
          <w:szCs w:val="16"/>
          <w:rtl/>
        </w:rPr>
        <w:t xml:space="preserve">ו) </w:t>
      </w:r>
    </w:p>
    <w:p w14:paraId="1F1C07C7" w14:textId="77777777" w:rsidR="002E5BAD" w:rsidRPr="00BA3153" w:rsidRDefault="002E5BAD" w:rsidP="00B75458">
      <w:pPr>
        <w:pStyle w:val="ab"/>
        <w:numPr>
          <w:ilvl w:val="0"/>
          <w:numId w:val="195"/>
        </w:numPr>
        <w:rPr>
          <w:rFonts w:cs="Arial"/>
          <w:rtl/>
        </w:rPr>
      </w:pPr>
      <w:r w:rsidRPr="00716457">
        <w:rPr>
          <w:rFonts w:cs="Arial"/>
          <w:rtl/>
        </w:rPr>
        <w:t>רשב"א</w:t>
      </w:r>
      <w:r w:rsidRPr="00E12E0D">
        <w:rPr>
          <w:rFonts w:cs="Arial"/>
          <w:sz w:val="16"/>
          <w:szCs w:val="16"/>
          <w:rtl/>
        </w:rPr>
        <w:t xml:space="preserve"> (ח"א סי</w:t>
      </w:r>
      <w:r w:rsidRPr="00E12E0D">
        <w:rPr>
          <w:rFonts w:cs="Arial" w:hint="cs"/>
          <w:sz w:val="16"/>
          <w:szCs w:val="16"/>
          <w:rtl/>
        </w:rPr>
        <w:t>'</w:t>
      </w:r>
      <w:r w:rsidRPr="00E12E0D">
        <w:rPr>
          <w:rFonts w:cs="Arial"/>
          <w:sz w:val="16"/>
          <w:szCs w:val="16"/>
          <w:rtl/>
        </w:rPr>
        <w:t xml:space="preserve"> תתקע</w:t>
      </w:r>
      <w:r w:rsidRPr="00E12E0D">
        <w:rPr>
          <w:rFonts w:cs="Arial" w:hint="cs"/>
          <w:sz w:val="16"/>
          <w:szCs w:val="16"/>
          <w:rtl/>
        </w:rPr>
        <w:t>)</w:t>
      </w:r>
      <w:r>
        <w:rPr>
          <w:rFonts w:cs="Arial" w:hint="cs"/>
          <w:rtl/>
        </w:rPr>
        <w:t>-</w:t>
      </w:r>
      <w:r w:rsidRPr="00716457">
        <w:rPr>
          <w:rFonts w:cs="Arial"/>
          <w:rtl/>
        </w:rPr>
        <w:t xml:space="preserve"> </w:t>
      </w:r>
      <w:r w:rsidRPr="00BA3153">
        <w:rPr>
          <w:rFonts w:cs="Arial"/>
          <w:rtl/>
        </w:rPr>
        <w:t xml:space="preserve">נשאל עוד. לוי שאמר לשמעון אם תשא דינה בת ראובן אתן לך ולדינה הנזכרת מאתים דינרים לצורך מזונות. ועשה לו שטר חוב עליהם בכל תיקון חכמים ובפי' לצורך מזונות וקבע לו זמני'. והקנה לו עצמו ונכסיו לאותן המעות לזמנים קבועים. לימי' מתה דינה הנזכרת תוך אותם זמנים. ועכשו שמעון תובע כל אותו שטר, ולוי טוען שלא נתחייב אלא לצורך מזונות כיון שמתה מתה. </w:t>
      </w:r>
      <w:r>
        <w:rPr>
          <w:rFonts w:cs="Arial" w:hint="cs"/>
          <w:rtl/>
        </w:rPr>
        <w:t xml:space="preserve">   </w:t>
      </w:r>
      <w:r w:rsidRPr="00BA3153">
        <w:rPr>
          <w:rFonts w:cs="Arial"/>
          <w:rtl/>
        </w:rPr>
        <w:t>והשיב שאם קבל עליו לוי לזונם חמש שנים ומתה דינה לשתי שנים בכי הא ודאי אינו נותן לה אלא כנגד הב' שנים לבד כדגרסינן בירושלמי. אבל זה לא קצב למזונות אלא קבל על עצמו סך מעות לצורך מזונות סתם. אלו רצו להוציא</w:t>
      </w:r>
      <w:r>
        <w:rPr>
          <w:rStyle w:val="a7"/>
          <w:rFonts w:cs="Arial"/>
          <w:rtl/>
        </w:rPr>
        <w:footnoteReference w:id="3102"/>
      </w:r>
      <w:r w:rsidRPr="00BA3153">
        <w:rPr>
          <w:rFonts w:cs="Arial"/>
          <w:rtl/>
        </w:rPr>
        <w:t xml:space="preserve"> אותו סך ביום הא' הרשות בידם. וגם הוא שלא קצב זמן באותו חוב שחייב עצמו מעכשו והם יזונו את עצמם כמו שירצו. והילכך טענת לוי זה שטוען אינה טענה. אלא שמצד אחד הוא פטור לפרוע מחצית הממון ואפי' אותו שהגיע זמן בחיי דינה. והוא שזה חייב עצמו לשמעון ולאשתו. הרי זה כמחייב עצמו לשנים דעלמא שזהו זוכה במקצת החוב וזהו זוכה במקצתו. גם כן הוא זכה במחצית ואשתו במחצית והוה ליה כנכסי מלוג דעלמא. וכיון שלא הספיקה דינה לגבות אותו החוב הרי זה חלק דינה כמלוה והוה ליה ראוי ואין הבעל נוטל בראוי כבמוחזק. כדאמר רב פפא ביש נוחלין (קכה</w:t>
      </w:r>
      <w:r>
        <w:rPr>
          <w:rFonts w:cs="Arial" w:hint="cs"/>
          <w:rtl/>
        </w:rPr>
        <w:t>:</w:t>
      </w:r>
      <w:r w:rsidRPr="00BA3153">
        <w:rPr>
          <w:rFonts w:cs="Arial"/>
          <w:rtl/>
        </w:rPr>
        <w:t>) הלכתא אין הבעל נוטל בראוי כבמוחזק ואין הבכור נוטל במלוה. דמפרשי רבואתא ז"ל דמלוה ראויה אצל הבעל כמו שהיא ראויה אצל בכור</w:t>
      </w:r>
      <w:r>
        <w:rPr>
          <w:rStyle w:val="a7"/>
          <w:rFonts w:cs="Arial"/>
          <w:rtl/>
        </w:rPr>
        <w:footnoteReference w:id="3103"/>
      </w:r>
      <w:r>
        <w:rPr>
          <w:rFonts w:hint="cs"/>
          <w:rtl/>
        </w:rPr>
        <w:t>.</w:t>
      </w:r>
      <w:r w:rsidRPr="00BA3153">
        <w:rPr>
          <w:rFonts w:hint="cs"/>
          <w:color w:val="00B0F0"/>
          <w:rtl/>
        </w:rPr>
        <w:t xml:space="preserve"> (וכ"פ הרמ"א)</w:t>
      </w:r>
    </w:p>
    <w:p w14:paraId="116311D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AF656E" w14:textId="77777777" w:rsidR="002E5BAD" w:rsidRPr="007A3469" w:rsidRDefault="002E5BAD" w:rsidP="002E5BAD">
      <w:pPr>
        <w:rPr>
          <w:rtl/>
        </w:rPr>
        <w:sectPr w:rsidR="002E5BAD" w:rsidRPr="007A3469" w:rsidSect="00A347B3">
          <w:headerReference w:type="default" r:id="rId71"/>
          <w:footnotePr>
            <w:numRestart w:val="eachPage"/>
          </w:footnotePr>
          <w:pgSz w:w="11906" w:h="16838"/>
          <w:pgMar w:top="720" w:right="1134" w:bottom="720" w:left="1134" w:header="0" w:footer="0" w:gutter="0"/>
          <w:cols w:space="720"/>
          <w:bidi/>
          <w:rtlGutter/>
          <w:docGrid w:linePitch="360"/>
        </w:sectPr>
      </w:pPr>
      <w:r>
        <w:rPr>
          <w:rFonts w:cs="Arial"/>
          <w:rtl/>
        </w:rPr>
        <w:t xml:space="preserve">כל המחייב עצמו מדעתו לזון שלא מתנאי בית דין, אינו חייב במלבוש אלא אם כן פירש: אזון ואפרנס. </w:t>
      </w:r>
      <w:r w:rsidRPr="00F973EF">
        <w:rPr>
          <w:rFonts w:cs="Arial"/>
          <w:sz w:val="18"/>
          <w:szCs w:val="18"/>
          <w:rtl/>
        </w:rPr>
        <w:t>הגה: ואם כתב לאחד, אם ישא בת פלוני ליתן לו סך מה לצורך פרנסת מזונות, חייב ליתן לו אע</w:t>
      </w:r>
      <w:r>
        <w:rPr>
          <w:rFonts w:cs="Arial" w:hint="cs"/>
          <w:sz w:val="18"/>
          <w:szCs w:val="18"/>
          <w:rtl/>
        </w:rPr>
        <w:t>"</w:t>
      </w:r>
      <w:r w:rsidRPr="00F973EF">
        <w:rPr>
          <w:rFonts w:cs="Arial"/>
          <w:sz w:val="18"/>
          <w:szCs w:val="18"/>
          <w:rtl/>
        </w:rPr>
        <w:t>פ שמתה הבת, דהרי לא קצב לו זמן המזונות אלא קצב לו סך למזונות</w:t>
      </w:r>
      <w:r>
        <w:rPr>
          <w:rFonts w:cs="Arial" w:hint="cs"/>
          <w:sz w:val="18"/>
          <w:szCs w:val="18"/>
          <w:rtl/>
        </w:rPr>
        <w:t>,</w:t>
      </w:r>
      <w:r w:rsidRPr="00F973EF">
        <w:rPr>
          <w:rFonts w:cs="Arial"/>
          <w:sz w:val="18"/>
          <w:szCs w:val="18"/>
          <w:rtl/>
        </w:rPr>
        <w:t xml:space="preserve"> ואלו היה רוצה ליקח ממנו הסך ביחד</w:t>
      </w:r>
      <w:r>
        <w:rPr>
          <w:rStyle w:val="a7"/>
          <w:rFonts w:cs="Arial"/>
          <w:sz w:val="18"/>
          <w:szCs w:val="18"/>
          <w:rtl/>
        </w:rPr>
        <w:footnoteReference w:id="3104"/>
      </w:r>
      <w:r w:rsidRPr="00F973EF">
        <w:rPr>
          <w:rFonts w:cs="Arial"/>
          <w:sz w:val="18"/>
          <w:szCs w:val="18"/>
          <w:rtl/>
        </w:rPr>
        <w:t xml:space="preserve"> היה חייב ליתן לו. אך אם כתב לו ולאשתו, אינו יורש חלק אשתו</w:t>
      </w:r>
      <w:r>
        <w:rPr>
          <w:rStyle w:val="a7"/>
          <w:rFonts w:cs="Arial"/>
          <w:sz w:val="18"/>
          <w:szCs w:val="18"/>
          <w:rtl/>
        </w:rPr>
        <w:footnoteReference w:id="3105"/>
      </w:r>
      <w:r w:rsidRPr="00F973EF">
        <w:rPr>
          <w:rFonts w:cs="Arial"/>
          <w:sz w:val="18"/>
          <w:szCs w:val="18"/>
          <w:rtl/>
        </w:rPr>
        <w:t xml:space="preserve"> (תשובת הרשב"א סי' תתקע).</w:t>
      </w:r>
    </w:p>
    <w:p w14:paraId="03D2F306" w14:textId="77777777" w:rsidR="002E5BAD" w:rsidRDefault="002E5BAD" w:rsidP="002E5BAD">
      <w:pPr>
        <w:pStyle w:val="1"/>
        <w:rPr>
          <w:rtl/>
        </w:rPr>
      </w:pPr>
      <w:r>
        <w:rPr>
          <w:rFonts w:hint="cs"/>
          <w:rtl/>
        </w:rPr>
        <w:lastRenderedPageBreak/>
        <w:t>סימן קטו:</w:t>
      </w:r>
      <w:r w:rsidRPr="00C12B74">
        <w:rPr>
          <w:rtl/>
        </w:rPr>
        <w:t xml:space="preserve"> </w:t>
      </w:r>
      <w:r>
        <w:rPr>
          <w:rFonts w:cs="Arial"/>
          <w:rtl/>
        </w:rPr>
        <w:t xml:space="preserve">דין היוצאת בלא כתובה והמפסדת כתובתה, ובו י' סעיפים. </w:t>
      </w:r>
    </w:p>
    <w:p w14:paraId="4EC1DA49" w14:textId="77777777" w:rsidR="002E5BAD" w:rsidRDefault="002E5BAD" w:rsidP="002E5BAD">
      <w:pPr>
        <w:pStyle w:val="2"/>
        <w:rPr>
          <w:rtl/>
        </w:rPr>
      </w:pPr>
      <w:r>
        <w:rPr>
          <w:rtl/>
        </w:rPr>
        <w:t>סעיף א</w:t>
      </w:r>
      <w:r>
        <w:rPr>
          <w:rFonts w:hint="cs"/>
          <w:rtl/>
        </w:rPr>
        <w:t>:</w:t>
      </w:r>
      <w:r w:rsidRPr="00972691">
        <w:rPr>
          <w:rFonts w:cs="Arial"/>
          <w:rtl/>
        </w:rPr>
        <w:t xml:space="preserve"> </w:t>
      </w:r>
      <w:r w:rsidRPr="00671DE4">
        <w:rPr>
          <w:rFonts w:cs="Arial"/>
          <w:rtl/>
        </w:rPr>
        <w:t>העוברת על דת משה</w:t>
      </w:r>
      <w:r>
        <w:rPr>
          <w:rFonts w:hint="cs"/>
          <w:rtl/>
        </w:rPr>
        <w:t>.</w:t>
      </w:r>
    </w:p>
    <w:p w14:paraId="7DE009B1" w14:textId="77777777" w:rsidR="002E5BAD" w:rsidRDefault="002E5BAD" w:rsidP="002E5BAD">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3106"/>
      </w:r>
      <w:r w:rsidRPr="00287A5F">
        <w:rPr>
          <w:rFonts w:cs="Arial"/>
          <w:rtl/>
        </w:rPr>
        <w:t xml:space="preserve">. ואיזו היא דת משה? מאכילתו שאינו מעושר, ומשמשתו נדה, ולא קוצה לה חלה, ונודרת ואינה מקיימת. ואיזוהי דת יהודית? יוצאה וראשה פרוע, וטווה בשוק, ומדברת עם כל אדם. </w:t>
      </w:r>
      <w:r w:rsidRPr="00287A5F">
        <w:rPr>
          <w:rFonts w:cs="Arial"/>
          <w:u w:val="single"/>
          <w:rtl/>
        </w:rPr>
        <w:t>אבא שאול אומר</w:t>
      </w:r>
      <w:r w:rsidRPr="00287A5F">
        <w:rPr>
          <w:rFonts w:cs="Arial"/>
          <w:rtl/>
        </w:rPr>
        <w:t xml:space="preserve">: אף המקללת יולדיו בפניו. </w:t>
      </w:r>
      <w:r w:rsidRPr="00287A5F">
        <w:rPr>
          <w:rFonts w:cs="Arial"/>
          <w:u w:val="single"/>
          <w:rtl/>
        </w:rPr>
        <w:t>רבי טרפון אומר</w:t>
      </w:r>
      <w:r w:rsidRPr="00287A5F">
        <w:rPr>
          <w:rFonts w:cs="Arial"/>
          <w:rtl/>
        </w:rPr>
        <w:t>: אף הקולנית. ואיזוהי קולנית? לכשהיא מדברת בתוך ביתה ושכיניה שומעין קולה.</w:t>
      </w:r>
      <w:r>
        <w:rPr>
          <w:rFonts w:hint="cs"/>
          <w:rtl/>
        </w:rPr>
        <w:t xml:space="preserve">       </w:t>
      </w:r>
      <w:r w:rsidRPr="00972691">
        <w:rPr>
          <w:rFonts w:hint="cs"/>
          <w:u w:val="double"/>
          <w:rtl/>
        </w:rPr>
        <w:t>גמ'</w:t>
      </w:r>
      <w:r>
        <w:rPr>
          <w:rFonts w:hint="cs"/>
          <w:rtl/>
        </w:rPr>
        <w:t>:</w:t>
      </w:r>
      <w:r>
        <w:rPr>
          <w:rFonts w:cs="Arial"/>
          <w:rtl/>
        </w:rPr>
        <w:t xml:space="preserve"> מאכילתו שאינו מעושר. היכי דמי? אי דידע, נפרוש! אי דלא ידע, מנא ידע? לא</w:t>
      </w:r>
      <w:r>
        <w:rPr>
          <w:rFonts w:cs="Arial" w:hint="cs"/>
          <w:rtl/>
        </w:rPr>
        <w:t>,</w:t>
      </w:r>
      <w:r>
        <w:rPr>
          <w:rFonts w:cs="Arial"/>
          <w:rtl/>
        </w:rPr>
        <w:t xml:space="preserve"> צריכא</w:t>
      </w:r>
      <w:r>
        <w:rPr>
          <w:rFonts w:cs="Arial" w:hint="cs"/>
          <w:rtl/>
        </w:rPr>
        <w:t>,</w:t>
      </w:r>
      <w:r>
        <w:rPr>
          <w:rFonts w:cs="Arial"/>
          <w:rtl/>
        </w:rPr>
        <w:t xml:space="preserve"> דאמרה ליה פלוני כהן תיקן לי את הכרי, ואזיל שייליה ואשתכח שיקרא. ומשמשתו נדה. היכי דמי? אי דידע בה, נפרוש! אי דלא ידע, נסמוך עילוה! דא"ר חיננא בר כהנא אמר שמואל: מנין לנדה שסופרת לעצמה? שנאמר: וספרה לה שבעת ימים, לה - לעצמה! לא</w:t>
      </w:r>
      <w:r>
        <w:rPr>
          <w:rFonts w:cs="Arial" w:hint="cs"/>
          <w:rtl/>
        </w:rPr>
        <w:t>,</w:t>
      </w:r>
      <w:r>
        <w:rPr>
          <w:rFonts w:cs="Arial"/>
          <w:rtl/>
        </w:rPr>
        <w:t xml:space="preserve"> צריכא, דאמרה ליה פלוני חכם טיהר לי את הדם, ואזל שייליה ואשתכח שיקרא.</w:t>
      </w:r>
      <w:r>
        <w:rPr>
          <w:rFonts w:cs="Arial" w:hint="cs"/>
          <w:rtl/>
        </w:rPr>
        <w:t>.</w:t>
      </w:r>
      <w:r>
        <w:rPr>
          <w:rFonts w:cs="Arial"/>
          <w:rtl/>
        </w:rPr>
        <w:t>. ולא קוצה לה חלה. היכי דמי? אי דידע, נפרוש! אי דלא ידע, מנא ידע? לא</w:t>
      </w:r>
      <w:r>
        <w:rPr>
          <w:rFonts w:cs="Arial" w:hint="cs"/>
          <w:rtl/>
        </w:rPr>
        <w:t>,</w:t>
      </w:r>
      <w:r>
        <w:rPr>
          <w:rFonts w:cs="Arial"/>
          <w:rtl/>
        </w:rPr>
        <w:t xml:space="preserve"> צריכא, דאמרה ליה פלוני גבל תיקן לי את העיסה, ואזיל שייליה ואשתכח שיקרא.</w:t>
      </w:r>
    </w:p>
    <w:p w14:paraId="16E0D014" w14:textId="77777777" w:rsidR="002E5BAD" w:rsidRDefault="002E5BAD" w:rsidP="002E5BAD">
      <w:pPr>
        <w:rPr>
          <w:rtl/>
        </w:rPr>
      </w:pPr>
      <w:r w:rsidRPr="00F3070E">
        <w:rPr>
          <w:rFonts w:cs="Arial" w:hint="cs"/>
          <w:b/>
          <w:bCs/>
          <w:rtl/>
        </w:rPr>
        <w:t>ירושלמי כתובות פ"ז ה"ו:</w:t>
      </w:r>
      <w:r>
        <w:rPr>
          <w:rFonts w:cs="Arial" w:hint="cs"/>
          <w:rtl/>
        </w:rPr>
        <w:t xml:space="preserve"> </w:t>
      </w:r>
      <w:r w:rsidRPr="00F3070E">
        <w:rPr>
          <w:rFonts w:cs="Arial"/>
          <w:u w:val="double"/>
          <w:rtl/>
        </w:rPr>
        <w:t>מתני'</w:t>
      </w:r>
      <w:r>
        <w:rPr>
          <w:rFonts w:cs="Arial" w:hint="cs"/>
          <w:rtl/>
        </w:rPr>
        <w:t>:</w:t>
      </w:r>
      <w:r w:rsidRPr="00F3070E">
        <w:rPr>
          <w:rFonts w:cs="Arial"/>
          <w:rtl/>
        </w:rPr>
        <w:t xml:space="preserve"> אילו יוצאות שלא בכתובה</w:t>
      </w:r>
      <w:r>
        <w:rPr>
          <w:rFonts w:cs="Arial" w:hint="cs"/>
          <w:rtl/>
        </w:rPr>
        <w:t>:</w:t>
      </w:r>
      <w:r w:rsidRPr="00F3070E">
        <w:rPr>
          <w:rFonts w:cs="Arial"/>
          <w:rtl/>
        </w:rPr>
        <w:t xml:space="preserve"> העוברת על דת משה ויהודית</w:t>
      </w:r>
      <w:r>
        <w:rPr>
          <w:rFonts w:cs="Arial" w:hint="cs"/>
          <w:rtl/>
        </w:rPr>
        <w:t>.</w:t>
      </w:r>
      <w:r w:rsidRPr="00F3070E">
        <w:rPr>
          <w:rFonts w:cs="Arial"/>
          <w:rtl/>
        </w:rPr>
        <w:t xml:space="preserve"> ואי זו היא דת משה</w:t>
      </w:r>
      <w:r>
        <w:rPr>
          <w:rFonts w:cs="Arial" w:hint="cs"/>
          <w:rtl/>
        </w:rPr>
        <w:t>?</w:t>
      </w:r>
      <w:r w:rsidRPr="00F3070E">
        <w:rPr>
          <w:rFonts w:cs="Arial"/>
          <w:rtl/>
        </w:rPr>
        <w:t xml:space="preserve"> מאכילתו שאינו מעושר</w:t>
      </w:r>
      <w:r>
        <w:rPr>
          <w:rFonts w:cs="Arial" w:hint="cs"/>
          <w:rtl/>
        </w:rPr>
        <w:t>,</w:t>
      </w:r>
      <w:r w:rsidRPr="00F3070E">
        <w:rPr>
          <w:rFonts w:cs="Arial"/>
          <w:rtl/>
        </w:rPr>
        <w:t xml:space="preserve"> ומשמשתו נידה</w:t>
      </w:r>
      <w:r>
        <w:rPr>
          <w:rFonts w:cs="Arial" w:hint="cs"/>
          <w:rtl/>
        </w:rPr>
        <w:t>,</w:t>
      </w:r>
      <w:r w:rsidRPr="00F3070E">
        <w:rPr>
          <w:rFonts w:cs="Arial"/>
          <w:rtl/>
        </w:rPr>
        <w:t xml:space="preserve"> ולא קוצה לו חלה</w:t>
      </w:r>
      <w:r>
        <w:rPr>
          <w:rFonts w:cs="Arial" w:hint="cs"/>
          <w:rtl/>
        </w:rPr>
        <w:t>,</w:t>
      </w:r>
      <w:r w:rsidRPr="00F3070E">
        <w:rPr>
          <w:rFonts w:cs="Arial"/>
          <w:rtl/>
        </w:rPr>
        <w:t xml:space="preserve"> ונודרת ואינה מקיימת</w:t>
      </w:r>
      <w:r>
        <w:rPr>
          <w:rFonts w:cs="Arial" w:hint="cs"/>
          <w:rtl/>
        </w:rPr>
        <w:t>...</w:t>
      </w:r>
      <w:r w:rsidRPr="00F3070E">
        <w:rPr>
          <w:rFonts w:cs="Arial"/>
          <w:rtl/>
        </w:rPr>
        <w:t xml:space="preserve"> </w:t>
      </w:r>
      <w:r>
        <w:rPr>
          <w:rFonts w:cs="Arial" w:hint="cs"/>
          <w:rtl/>
        </w:rPr>
        <w:t xml:space="preserve">       </w:t>
      </w:r>
      <w:r w:rsidRPr="00F3070E">
        <w:rPr>
          <w:rFonts w:cs="Arial"/>
          <w:u w:val="double"/>
          <w:rtl/>
        </w:rPr>
        <w:t>גמ'</w:t>
      </w:r>
      <w:r>
        <w:rPr>
          <w:rFonts w:cs="Arial" w:hint="cs"/>
          <w:rtl/>
        </w:rPr>
        <w:t>:</w:t>
      </w:r>
      <w:r w:rsidRPr="00F3070E">
        <w:rPr>
          <w:rFonts w:cs="Arial"/>
          <w:rtl/>
        </w:rPr>
        <w:t xml:space="preserve"> וכולהון בעדים</w:t>
      </w:r>
      <w:r>
        <w:rPr>
          <w:rFonts w:cs="Arial" w:hint="cs"/>
          <w:rtl/>
        </w:rPr>
        <w:t>.</w:t>
      </w:r>
      <w:r w:rsidRPr="001437CC">
        <w:rPr>
          <w:rtl/>
        </w:rPr>
        <w:t xml:space="preserve"> </w:t>
      </w:r>
      <w:r w:rsidRPr="001437CC">
        <w:rPr>
          <w:rFonts w:cs="Arial"/>
          <w:rtl/>
        </w:rPr>
        <w:t>פלוני עישר</w:t>
      </w:r>
      <w:r>
        <w:rPr>
          <w:rFonts w:cs="Arial" w:hint="cs"/>
          <w:rtl/>
        </w:rPr>
        <w:t>,</w:t>
      </w:r>
      <w:r w:rsidRPr="001437CC">
        <w:rPr>
          <w:rFonts w:cs="Arial"/>
          <w:rtl/>
        </w:rPr>
        <w:t xml:space="preserve"> פלוני ראה כיתמן</w:t>
      </w:r>
      <w:r>
        <w:rPr>
          <w:rFonts w:cs="Arial" w:hint="cs"/>
          <w:rtl/>
        </w:rPr>
        <w:t>,</w:t>
      </w:r>
      <w:r w:rsidRPr="001437CC">
        <w:rPr>
          <w:rFonts w:cs="Arial"/>
          <w:rtl/>
        </w:rPr>
        <w:t xml:space="preserve"> פלוני קצה חלתה</w:t>
      </w:r>
      <w:r>
        <w:rPr>
          <w:rFonts w:cs="Arial" w:hint="cs"/>
          <w:rtl/>
        </w:rPr>
        <w:t>,</w:t>
      </w:r>
      <w:r w:rsidRPr="001437CC">
        <w:rPr>
          <w:rFonts w:cs="Arial"/>
          <w:rtl/>
        </w:rPr>
        <w:t xml:space="preserve"> פלוני התיר את נדרה</w:t>
      </w:r>
      <w:r>
        <w:rPr>
          <w:rFonts w:cs="Arial" w:hint="cs"/>
          <w:rtl/>
        </w:rPr>
        <w:t>,</w:t>
      </w:r>
      <w:r w:rsidRPr="001437CC">
        <w:rPr>
          <w:rFonts w:cs="Arial"/>
          <w:rtl/>
        </w:rPr>
        <w:t xml:space="preserve"> בדקו כולהון ולא אשכחון</w:t>
      </w:r>
      <w:r>
        <w:rPr>
          <w:rFonts w:cs="Arial" w:hint="cs"/>
          <w:rtl/>
        </w:rPr>
        <w:t>.</w:t>
      </w:r>
      <w:r w:rsidRPr="00F3070E">
        <w:rPr>
          <w:rFonts w:cs="Arial"/>
          <w:rtl/>
        </w:rPr>
        <w:t xml:space="preserve"> </w:t>
      </w:r>
      <w:r w:rsidRPr="00BE53A3">
        <w:rPr>
          <w:rFonts w:cs="Arial" w:hint="cs"/>
          <w:sz w:val="16"/>
          <w:szCs w:val="16"/>
          <w:rtl/>
        </w:rPr>
        <w:t>(</w:t>
      </w:r>
      <w:r w:rsidRPr="00BE53A3">
        <w:rPr>
          <w:rFonts w:cs="Arial"/>
          <w:sz w:val="16"/>
          <w:szCs w:val="16"/>
          <w:rtl/>
        </w:rPr>
        <w:t>וכתב</w:t>
      </w:r>
      <w:r w:rsidRPr="00BE53A3">
        <w:rPr>
          <w:rFonts w:cs="Arial" w:hint="cs"/>
          <w:sz w:val="16"/>
          <w:szCs w:val="16"/>
          <w:rtl/>
        </w:rPr>
        <w:t xml:space="preserve"> ה</w:t>
      </w:r>
      <w:r w:rsidRPr="00BE53A3">
        <w:rPr>
          <w:rFonts w:cs="Arial"/>
          <w:sz w:val="16"/>
          <w:szCs w:val="16"/>
          <w:rtl/>
        </w:rPr>
        <w:t>רא"ש (</w:t>
      </w:r>
      <w:r>
        <w:rPr>
          <w:rFonts w:cs="Arial" w:hint="cs"/>
          <w:sz w:val="16"/>
          <w:szCs w:val="16"/>
          <w:rtl/>
        </w:rPr>
        <w:t xml:space="preserve">כתובות פ"ז </w:t>
      </w:r>
      <w:r w:rsidRPr="00BE53A3">
        <w:rPr>
          <w:rFonts w:cs="Arial"/>
          <w:sz w:val="16"/>
          <w:szCs w:val="16"/>
          <w:rtl/>
        </w:rPr>
        <w:t>סי' ט)</w:t>
      </w:r>
      <w:r w:rsidRPr="00BE53A3">
        <w:rPr>
          <w:rFonts w:cs="Arial" w:hint="cs"/>
          <w:sz w:val="16"/>
          <w:szCs w:val="16"/>
          <w:rtl/>
        </w:rPr>
        <w:t xml:space="preserve"> דמכאן שצריך עדים להכחישה. וכתב עוד</w:t>
      </w:r>
      <w:r w:rsidRPr="00BE53A3">
        <w:rPr>
          <w:rFonts w:cs="Arial"/>
          <w:sz w:val="16"/>
          <w:szCs w:val="16"/>
          <w:rtl/>
        </w:rPr>
        <w:t xml:space="preserve"> דטעמא דמסתבר הוא דאי אפשר להפקיע ממונה אלא בעדים</w:t>
      </w:r>
      <w:r>
        <w:rPr>
          <w:rFonts w:cs="Arial" w:hint="cs"/>
          <w:sz w:val="16"/>
          <w:szCs w:val="16"/>
          <w:rtl/>
        </w:rPr>
        <w:t xml:space="preserve">. אך הר"ן (לב:) פירש דהא </w:t>
      </w:r>
      <w:r w:rsidRPr="00960CA5">
        <w:rPr>
          <w:rFonts w:cs="Arial"/>
          <w:sz w:val="16"/>
          <w:szCs w:val="16"/>
          <w:rtl/>
        </w:rPr>
        <w:t xml:space="preserve">דאמרינן </w:t>
      </w:r>
      <w:r>
        <w:rPr>
          <w:rFonts w:cs="Arial" w:hint="cs"/>
          <w:sz w:val="16"/>
          <w:szCs w:val="16"/>
          <w:rtl/>
        </w:rPr>
        <w:t>'</w:t>
      </w:r>
      <w:r w:rsidRPr="00960CA5">
        <w:rPr>
          <w:rFonts w:cs="Arial"/>
          <w:sz w:val="16"/>
          <w:szCs w:val="16"/>
          <w:rtl/>
        </w:rPr>
        <w:t>כגון דקא אמרה איש פלוני כהן תקן לי את הכרי ופלוני חכם טהר לי את הדם</w:t>
      </w:r>
      <w:r>
        <w:rPr>
          <w:rFonts w:cs="Arial" w:hint="cs"/>
          <w:sz w:val="16"/>
          <w:szCs w:val="16"/>
          <w:rtl/>
        </w:rPr>
        <w:t>'</w:t>
      </w:r>
      <w:r w:rsidRPr="00960CA5">
        <w:rPr>
          <w:rFonts w:cs="Arial"/>
          <w:sz w:val="16"/>
          <w:szCs w:val="16"/>
          <w:rtl/>
        </w:rPr>
        <w:t xml:space="preserve"> כדאמרה הכי בעדים דאותו פלוני תקן לה את הכרי</w:t>
      </w:r>
      <w:r>
        <w:rPr>
          <w:rFonts w:cs="Arial" w:hint="cs"/>
          <w:sz w:val="16"/>
          <w:szCs w:val="16"/>
          <w:rtl/>
        </w:rPr>
        <w:t>,</w:t>
      </w:r>
      <w:r w:rsidRPr="00960CA5">
        <w:rPr>
          <w:rFonts w:cs="Arial"/>
          <w:sz w:val="16"/>
          <w:szCs w:val="16"/>
          <w:rtl/>
        </w:rPr>
        <w:t xml:space="preserve"> ובדשיילוה בעדים</w:t>
      </w:r>
      <w:r w:rsidRPr="00BE53A3">
        <w:rPr>
          <w:rFonts w:hint="cs"/>
          <w:sz w:val="16"/>
          <w:szCs w:val="16"/>
          <w:rtl/>
        </w:rPr>
        <w:t>)</w:t>
      </w:r>
    </w:p>
    <w:p w14:paraId="499B3DA5" w14:textId="77777777" w:rsidR="002E5BAD" w:rsidRPr="00972691" w:rsidRDefault="002E5BAD" w:rsidP="002E5BAD">
      <w:pPr>
        <w:rPr>
          <w:u w:val="single"/>
          <w:rtl/>
        </w:rPr>
      </w:pPr>
      <w:r w:rsidRPr="00972691">
        <w:rPr>
          <w:rFonts w:cs="Arial"/>
          <w:u w:val="single"/>
          <w:rtl/>
        </w:rPr>
        <w:t>העוברת על דת משה</w:t>
      </w:r>
      <w:r w:rsidRPr="00972691">
        <w:rPr>
          <w:rFonts w:hint="cs"/>
          <w:u w:val="single"/>
          <w:rtl/>
        </w:rPr>
        <w:t>:</w:t>
      </w:r>
    </w:p>
    <w:p w14:paraId="6398CD7D" w14:textId="77777777" w:rsidR="002E5BAD" w:rsidRDefault="002E5BAD" w:rsidP="00B75458">
      <w:pPr>
        <w:pStyle w:val="ab"/>
        <w:numPr>
          <w:ilvl w:val="0"/>
          <w:numId w:val="204"/>
        </w:numPr>
      </w:pPr>
      <w:r>
        <w:rPr>
          <w:rFonts w:cs="Arial" w:hint="cs"/>
          <w:rtl/>
        </w:rPr>
        <w:t xml:space="preserve">רמב"ם </w:t>
      </w:r>
      <w:r w:rsidRPr="007D17F3">
        <w:rPr>
          <w:rFonts w:cs="Arial" w:hint="cs"/>
          <w:sz w:val="16"/>
          <w:szCs w:val="16"/>
          <w:rtl/>
        </w:rPr>
        <w:t>(פכ"ד אישות הי"א)</w:t>
      </w:r>
      <w:r>
        <w:rPr>
          <w:rFonts w:cs="Arial" w:hint="cs"/>
          <w:rtl/>
        </w:rPr>
        <w:t xml:space="preserve"> </w:t>
      </w:r>
      <w:r>
        <w:rPr>
          <w:rFonts w:cs="Arial"/>
          <w:rtl/>
        </w:rPr>
        <w:t xml:space="preserve">רא"ש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 xml:space="preserve">אלו יוצאות בלא כתובה </w:t>
      </w:r>
      <w:r>
        <w:rPr>
          <w:rFonts w:cs="Arial" w:hint="cs"/>
          <w:rtl/>
        </w:rPr>
        <w:t xml:space="preserve">- </w:t>
      </w:r>
      <w:r w:rsidRPr="00671DE4">
        <w:rPr>
          <w:rFonts w:cs="Arial"/>
          <w:rtl/>
        </w:rPr>
        <w:t>העוברת על דת משה ויהודית</w:t>
      </w:r>
      <w:r>
        <w:rPr>
          <w:rFonts w:cs="Arial" w:hint="cs"/>
          <w:rtl/>
        </w:rPr>
        <w:t>.</w:t>
      </w:r>
      <w:r w:rsidRPr="00671DE4">
        <w:rPr>
          <w:rFonts w:cs="Arial"/>
          <w:rtl/>
        </w:rPr>
        <w:t xml:space="preserve"> ואיזו היא דת משה</w:t>
      </w:r>
      <w:r>
        <w:rPr>
          <w:rFonts w:cs="Arial" w:hint="cs"/>
          <w:rtl/>
        </w:rPr>
        <w:t xml:space="preserve"> -</w:t>
      </w:r>
      <w:r w:rsidRPr="00671DE4">
        <w:rPr>
          <w:rFonts w:cs="Arial"/>
          <w:rtl/>
        </w:rPr>
        <w:t xml:space="preserve"> מאכילתו שאינו מעושר</w:t>
      </w:r>
      <w:r>
        <w:rPr>
          <w:rFonts w:cs="Arial" w:hint="cs"/>
          <w:rtl/>
        </w:rPr>
        <w:t>,</w:t>
      </w:r>
      <w:r w:rsidRPr="00671DE4">
        <w:rPr>
          <w:rFonts w:cs="Arial"/>
          <w:rtl/>
        </w:rPr>
        <w:t xml:space="preserve"> או אחד מכל האיסורים כגון דם או חלב שהכשילתו ואכלו על פיה</w:t>
      </w:r>
      <w:r>
        <w:rPr>
          <w:rFonts w:cs="Arial" w:hint="cs"/>
          <w:rtl/>
        </w:rPr>
        <w:t>,</w:t>
      </w:r>
      <w:r w:rsidRPr="00671DE4">
        <w:rPr>
          <w:rFonts w:cs="Arial"/>
          <w:rtl/>
        </w:rPr>
        <w:t xml:space="preserve"> ונודע לו אח"כ</w:t>
      </w:r>
      <w:r>
        <w:rPr>
          <w:rFonts w:cs="Arial" w:hint="cs"/>
          <w:rtl/>
        </w:rPr>
        <w:t>.</w:t>
      </w:r>
      <w:r w:rsidRPr="00671DE4">
        <w:rPr>
          <w:rFonts w:cs="Arial"/>
          <w:rtl/>
        </w:rPr>
        <w:t xml:space="preserve"> כגון שאמרה פלוני חכם תקן לי הכרי הזה</w:t>
      </w:r>
      <w:r>
        <w:rPr>
          <w:rFonts w:cs="Arial" w:hint="cs"/>
          <w:rtl/>
        </w:rPr>
        <w:t>,</w:t>
      </w:r>
      <w:r w:rsidRPr="00671DE4">
        <w:rPr>
          <w:rFonts w:cs="Arial"/>
          <w:rtl/>
        </w:rPr>
        <w:t xml:space="preserve"> או התיר לי חתיכה זו</w:t>
      </w:r>
      <w:r>
        <w:rPr>
          <w:rFonts w:cs="Arial" w:hint="cs"/>
          <w:rtl/>
        </w:rPr>
        <w:t>,</w:t>
      </w:r>
      <w:r w:rsidRPr="00671DE4">
        <w:rPr>
          <w:rFonts w:cs="Arial"/>
          <w:rtl/>
        </w:rPr>
        <w:t xml:space="preserve"> או טיהר לי הדם הזה</w:t>
      </w:r>
      <w:r>
        <w:rPr>
          <w:rFonts w:cs="Arial" w:hint="cs"/>
          <w:rtl/>
        </w:rPr>
        <w:t xml:space="preserve">, </w:t>
      </w:r>
      <w:r w:rsidRPr="00671DE4">
        <w:rPr>
          <w:rFonts w:cs="Arial"/>
          <w:rtl/>
        </w:rPr>
        <w:t>ונמצאת שקרנית</w:t>
      </w:r>
      <w:r>
        <w:rPr>
          <w:rFonts w:cs="Arial" w:hint="cs"/>
          <w:rtl/>
        </w:rPr>
        <w:t xml:space="preserve"> </w:t>
      </w:r>
      <w:r>
        <w:rPr>
          <w:rFonts w:cs="Arial" w:hint="cs"/>
          <w:sz w:val="16"/>
          <w:szCs w:val="16"/>
          <w:rtl/>
        </w:rPr>
        <w:t>(ל' הטור)</w:t>
      </w:r>
      <w:r>
        <w:rPr>
          <w:rFonts w:cs="Arial" w:hint="cs"/>
          <w:rtl/>
        </w:rPr>
        <w:t>.</w:t>
      </w:r>
      <w:r w:rsidRPr="00671DE4">
        <w:rPr>
          <w:rFonts w:cs="Arial"/>
          <w:rtl/>
        </w:rPr>
        <w:t xml:space="preserve"> </w:t>
      </w:r>
    </w:p>
    <w:p w14:paraId="7810197C" w14:textId="77777777" w:rsidR="002E5BAD" w:rsidRPr="00972691" w:rsidRDefault="002E5BAD" w:rsidP="002E5BAD">
      <w:pPr>
        <w:ind w:left="360"/>
        <w:rPr>
          <w:u w:val="dotted"/>
        </w:rPr>
      </w:pPr>
      <w:r w:rsidRPr="00972691">
        <w:rPr>
          <w:rFonts w:hint="cs"/>
          <w:u w:val="dotted"/>
          <w:rtl/>
        </w:rPr>
        <w:t>האם צריך שתוכחש בעדים או שהח</w:t>
      </w:r>
      <w:r>
        <w:rPr>
          <w:rFonts w:hint="cs"/>
          <w:u w:val="dotted"/>
          <w:rtl/>
        </w:rPr>
        <w:t>כ</w:t>
      </w:r>
      <w:r w:rsidRPr="00972691">
        <w:rPr>
          <w:rFonts w:hint="cs"/>
          <w:u w:val="dotted"/>
          <w:rtl/>
        </w:rPr>
        <w:t>ם</w:t>
      </w:r>
      <w:r>
        <w:rPr>
          <w:rFonts w:hint="cs"/>
          <w:u w:val="dotted"/>
          <w:rtl/>
        </w:rPr>
        <w:t>/הכהן</w:t>
      </w:r>
      <w:r w:rsidRPr="00972691">
        <w:rPr>
          <w:rFonts w:hint="cs"/>
          <w:u w:val="dotted"/>
          <w:rtl/>
        </w:rPr>
        <w:t xml:space="preserve"> </w:t>
      </w:r>
      <w:r>
        <w:rPr>
          <w:rFonts w:hint="cs"/>
          <w:u w:val="dotted"/>
          <w:rtl/>
        </w:rPr>
        <w:t>נאמן לה</w:t>
      </w:r>
      <w:r w:rsidRPr="00972691">
        <w:rPr>
          <w:rFonts w:hint="cs"/>
          <w:u w:val="dotted"/>
          <w:rtl/>
        </w:rPr>
        <w:t>כחישה:</w:t>
      </w:r>
    </w:p>
    <w:p w14:paraId="1CAEAB87" w14:textId="77777777" w:rsidR="002E5BAD" w:rsidRPr="00AD195C" w:rsidRDefault="002E5BAD" w:rsidP="00B75458">
      <w:pPr>
        <w:pStyle w:val="ab"/>
        <w:numPr>
          <w:ilvl w:val="0"/>
          <w:numId w:val="204"/>
        </w:numPr>
      </w:pPr>
      <w:r>
        <w:rPr>
          <w:rFonts w:cs="Arial"/>
          <w:rtl/>
        </w:rPr>
        <w:t>רשב"א</w:t>
      </w:r>
      <w:r w:rsidRPr="00BE53A3">
        <w:rPr>
          <w:rFonts w:cs="Arial"/>
          <w:sz w:val="16"/>
          <w:szCs w:val="16"/>
          <w:rtl/>
        </w:rPr>
        <w:t xml:space="preserve"> (עב. ד"ה ומשני</w:t>
      </w:r>
      <w:r>
        <w:rPr>
          <w:rFonts w:cs="Arial" w:hint="cs"/>
          <w:sz w:val="16"/>
          <w:szCs w:val="16"/>
          <w:rtl/>
        </w:rPr>
        <w:t>, כ"כ הר"ן בשמו [לב:]</w:t>
      </w:r>
      <w:r w:rsidRPr="00BE53A3">
        <w:rPr>
          <w:rFonts w:cs="Arial"/>
          <w:sz w:val="16"/>
          <w:szCs w:val="16"/>
          <w:rtl/>
        </w:rPr>
        <w:t>)</w:t>
      </w:r>
      <w:r>
        <w:rPr>
          <w:rFonts w:cs="Arial" w:hint="cs"/>
          <w:rtl/>
        </w:rPr>
        <w:t xml:space="preserve"> </w:t>
      </w:r>
      <w:r>
        <w:rPr>
          <w:rFonts w:cs="Arial"/>
          <w:rtl/>
        </w:rPr>
        <w:t xml:space="preserve">רא"ש </w:t>
      </w:r>
      <w:r w:rsidRPr="007D17F3">
        <w:rPr>
          <w:rFonts w:cs="Arial"/>
          <w:sz w:val="16"/>
          <w:szCs w:val="16"/>
          <w:rtl/>
        </w:rPr>
        <w:t>(</w:t>
      </w:r>
      <w:r>
        <w:rPr>
          <w:rFonts w:cs="Arial" w:hint="cs"/>
          <w:sz w:val="16"/>
          <w:szCs w:val="16"/>
          <w:rtl/>
        </w:rPr>
        <w:t xml:space="preserve">כתובות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ודוקא שהוכחשה בעדים</w:t>
      </w:r>
      <w:r>
        <w:rPr>
          <w:rFonts w:cs="Arial" w:hint="cs"/>
          <w:rtl/>
        </w:rPr>
        <w:t>,</w:t>
      </w:r>
      <w:r w:rsidRPr="00671DE4">
        <w:rPr>
          <w:rFonts w:cs="Arial"/>
          <w:rtl/>
        </w:rPr>
        <w:t xml:space="preserve"> כגון שהעידו שבאותה שעה שאמרה שפלוני תקן לה שלא היה אותו פלוני בעיר</w:t>
      </w:r>
      <w:r>
        <w:rPr>
          <w:rFonts w:cs="Arial" w:hint="cs"/>
          <w:rtl/>
        </w:rPr>
        <w:t>.</w:t>
      </w:r>
      <w:r w:rsidRPr="00671DE4">
        <w:rPr>
          <w:rFonts w:cs="Arial"/>
          <w:rtl/>
        </w:rPr>
        <w:t xml:space="preserve"> וגם יש עדים שאמרה לו שהוא מתוקן</w:t>
      </w:r>
      <w:r>
        <w:rPr>
          <w:rFonts w:cs="Arial" w:hint="cs"/>
          <w:rtl/>
        </w:rPr>
        <w:t>,</w:t>
      </w:r>
      <w:r w:rsidRPr="00671DE4">
        <w:rPr>
          <w:rFonts w:cs="Arial"/>
          <w:rtl/>
        </w:rPr>
        <w:t xml:space="preserve"> ושהוא אכלו על פיה</w:t>
      </w:r>
      <w:r>
        <w:rPr>
          <w:rFonts w:cs="Arial" w:hint="cs"/>
          <w:rtl/>
        </w:rPr>
        <w:t>.</w:t>
      </w:r>
      <w:r w:rsidRPr="00671DE4">
        <w:rPr>
          <w:rFonts w:cs="Arial"/>
          <w:rtl/>
        </w:rPr>
        <w:t xml:space="preserve"> אבל אם אין עדים</w:t>
      </w:r>
      <w:r>
        <w:rPr>
          <w:rFonts w:cs="Arial" w:hint="cs"/>
          <w:rtl/>
        </w:rPr>
        <w:t>,</w:t>
      </w:r>
      <w:r w:rsidRPr="00671DE4">
        <w:rPr>
          <w:rFonts w:cs="Arial"/>
          <w:rtl/>
        </w:rPr>
        <w:t xml:space="preserve"> והיא כופרת שלא האכילתו</w:t>
      </w:r>
      <w:r>
        <w:rPr>
          <w:rFonts w:cs="Arial" w:hint="cs"/>
          <w:rtl/>
        </w:rPr>
        <w:t>,</w:t>
      </w:r>
      <w:r w:rsidRPr="00671DE4">
        <w:rPr>
          <w:rFonts w:cs="Arial"/>
          <w:rtl/>
        </w:rPr>
        <w:t xml:space="preserve"> או שמכחשת החכם שאומר שלא תקן לה והיא אומרת שתקן לה </w:t>
      </w:r>
      <w:r>
        <w:rPr>
          <w:rFonts w:cs="Arial" w:hint="cs"/>
          <w:rtl/>
        </w:rPr>
        <w:t xml:space="preserve">- </w:t>
      </w:r>
      <w:r w:rsidRPr="00671DE4">
        <w:rPr>
          <w:rFonts w:cs="Arial"/>
          <w:rtl/>
        </w:rPr>
        <w:t>נאמנת</w:t>
      </w:r>
      <w:r w:rsidRPr="00972691">
        <w:rPr>
          <w:rFonts w:cs="Arial" w:hint="cs"/>
          <w:sz w:val="16"/>
          <w:szCs w:val="16"/>
          <w:rtl/>
        </w:rPr>
        <w:t xml:space="preserve"> (ל' הטור)</w:t>
      </w:r>
      <w:r w:rsidRPr="00972691">
        <w:rPr>
          <w:rFonts w:cs="Arial" w:hint="cs"/>
          <w:rtl/>
        </w:rPr>
        <w:t>.</w:t>
      </w:r>
      <w:r w:rsidRPr="00972691">
        <w:rPr>
          <w:rFonts w:cs="Arial"/>
          <w:rtl/>
        </w:rPr>
        <w:t xml:space="preserve"> </w:t>
      </w:r>
    </w:p>
    <w:p w14:paraId="73F708B8" w14:textId="77777777" w:rsidR="002E5BAD" w:rsidRDefault="002E5BAD" w:rsidP="00B75458">
      <w:pPr>
        <w:pStyle w:val="ab"/>
        <w:numPr>
          <w:ilvl w:val="0"/>
          <w:numId w:val="204"/>
        </w:numPr>
      </w:pPr>
      <w:r>
        <w:rPr>
          <w:rFonts w:cs="Arial" w:hint="cs"/>
          <w:rtl/>
        </w:rPr>
        <w:t>רמב"ם</w:t>
      </w:r>
      <w:r>
        <w:rPr>
          <w:rStyle w:val="a7"/>
          <w:rFonts w:cs="Arial"/>
          <w:rtl/>
        </w:rPr>
        <w:footnoteReference w:id="3107"/>
      </w:r>
      <w:r>
        <w:rPr>
          <w:rFonts w:cs="Arial" w:hint="cs"/>
          <w:rtl/>
        </w:rPr>
        <w:t xml:space="preserve"> </w:t>
      </w:r>
      <w:r w:rsidRPr="007D17F3">
        <w:rPr>
          <w:rFonts w:cs="Arial" w:hint="cs"/>
          <w:sz w:val="16"/>
          <w:szCs w:val="16"/>
          <w:rtl/>
        </w:rPr>
        <w:t>(פכ"ד אישות הי"</w:t>
      </w:r>
      <w:r>
        <w:rPr>
          <w:rFonts w:cs="Arial" w:hint="cs"/>
          <w:sz w:val="16"/>
          <w:szCs w:val="16"/>
          <w:rtl/>
        </w:rPr>
        <w:t>א, והי"ד</w:t>
      </w:r>
      <w:r w:rsidRPr="007D17F3">
        <w:rPr>
          <w:rFonts w:cs="Arial" w:hint="cs"/>
          <w:sz w:val="16"/>
          <w:szCs w:val="16"/>
          <w:rtl/>
        </w:rPr>
        <w:t>)</w:t>
      </w:r>
      <w:r>
        <w:rPr>
          <w:rFonts w:cs="Arial" w:hint="cs"/>
          <w:rtl/>
        </w:rPr>
        <w:t xml:space="preserve"> רמב"ן </w:t>
      </w:r>
      <w:r>
        <w:rPr>
          <w:rFonts w:cs="Arial" w:hint="cs"/>
          <w:sz w:val="16"/>
          <w:szCs w:val="16"/>
          <w:rtl/>
        </w:rPr>
        <w:t>(שבועות לב: דיבור ראשון)</w:t>
      </w:r>
      <w:r>
        <w:rPr>
          <w:rFonts w:cs="Arial" w:hint="cs"/>
          <w:rtl/>
        </w:rPr>
        <w:t xml:space="preserve"> ו</w:t>
      </w:r>
      <w:r>
        <w:rPr>
          <w:rFonts w:hint="cs"/>
          <w:rtl/>
        </w:rPr>
        <w:t xml:space="preserve">סמ"ג </w:t>
      </w:r>
      <w:r>
        <w:rPr>
          <w:rFonts w:hint="cs"/>
          <w:sz w:val="16"/>
          <w:szCs w:val="16"/>
          <w:rtl/>
        </w:rPr>
        <w:t>(עשין מח ד"ה מי שזינתה)</w:t>
      </w:r>
      <w:r>
        <w:rPr>
          <w:rFonts w:cs="Arial" w:hint="cs"/>
          <w:rtl/>
        </w:rPr>
        <w:t xml:space="preserve">- </w:t>
      </w:r>
      <w:r w:rsidRPr="00AD195C">
        <w:rPr>
          <w:rFonts w:cs="Arial"/>
          <w:rtl/>
        </w:rPr>
        <w:t>אע"ג דאיהי מהימנא</w:t>
      </w:r>
      <w:r>
        <w:rPr>
          <w:rFonts w:cs="Arial" w:hint="cs"/>
          <w:rtl/>
        </w:rPr>
        <w:t>,</w:t>
      </w:r>
      <w:r w:rsidRPr="00AD195C">
        <w:rPr>
          <w:rFonts w:cs="Arial"/>
          <w:rtl/>
        </w:rPr>
        <w:t xml:space="preserve"> כיון דאמרה בשם פלוני ושייליה ואמר דשיקרא הוא</w:t>
      </w:r>
      <w:r>
        <w:rPr>
          <w:rFonts w:cs="Arial" w:hint="cs"/>
          <w:rtl/>
        </w:rPr>
        <w:t xml:space="preserve"> -</w:t>
      </w:r>
      <w:r w:rsidRPr="00AD195C">
        <w:rPr>
          <w:rFonts w:cs="Arial"/>
          <w:rtl/>
        </w:rPr>
        <w:t xml:space="preserve"> לא מהימנא הא דאמרה בשמו</w:t>
      </w:r>
      <w:r>
        <w:rPr>
          <w:rFonts w:cs="Arial" w:hint="cs"/>
          <w:rtl/>
        </w:rPr>
        <w:t>.</w:t>
      </w:r>
      <w:r w:rsidRPr="00AD195C">
        <w:rPr>
          <w:rFonts w:cs="Arial"/>
          <w:rtl/>
        </w:rPr>
        <w:t xml:space="preserve"> ולא מצית למימר </w:t>
      </w:r>
      <w:r>
        <w:rPr>
          <w:rFonts w:cs="Arial" w:hint="cs"/>
          <w:rtl/>
        </w:rPr>
        <w:t>'</w:t>
      </w:r>
      <w:r w:rsidRPr="00AD195C">
        <w:rPr>
          <w:rFonts w:cs="Arial"/>
          <w:rtl/>
        </w:rPr>
        <w:t>אשתכח שיקרא</w:t>
      </w:r>
      <w:r>
        <w:rPr>
          <w:rFonts w:cs="Arial" w:hint="cs"/>
          <w:rtl/>
        </w:rPr>
        <w:t xml:space="preserve">', </w:t>
      </w:r>
      <w:r w:rsidRPr="00AD195C">
        <w:rPr>
          <w:rFonts w:cs="Arial"/>
          <w:rtl/>
        </w:rPr>
        <w:t>על פי עדים</w:t>
      </w:r>
      <w:r>
        <w:rPr>
          <w:rFonts w:cs="Arial" w:hint="cs"/>
          <w:rtl/>
        </w:rPr>
        <w:t>,</w:t>
      </w:r>
      <w:r w:rsidRPr="00AD195C">
        <w:rPr>
          <w:rFonts w:cs="Arial"/>
          <w:rtl/>
        </w:rPr>
        <w:t xml:space="preserve"> דהא קאמרינן </w:t>
      </w:r>
      <w:r>
        <w:rPr>
          <w:rFonts w:cs="Arial" w:hint="cs"/>
          <w:rtl/>
        </w:rPr>
        <w:t>'</w:t>
      </w:r>
      <w:r w:rsidRPr="00AD195C">
        <w:rPr>
          <w:rFonts w:cs="Arial"/>
          <w:rtl/>
        </w:rPr>
        <w:t>ואזל שייליה</w:t>
      </w:r>
      <w:r>
        <w:rPr>
          <w:rFonts w:cs="Arial" w:hint="cs"/>
          <w:rtl/>
        </w:rPr>
        <w:t>'.</w:t>
      </w:r>
      <w:r w:rsidRPr="00AD195C">
        <w:rPr>
          <w:rFonts w:cs="Arial"/>
          <w:rtl/>
        </w:rPr>
        <w:t xml:space="preserve"> וכן הדין בכל עד מפי עד אם בא הראשון וכפר</w:t>
      </w:r>
      <w:r>
        <w:rPr>
          <w:rFonts w:cs="Arial" w:hint="cs"/>
          <w:rtl/>
        </w:rPr>
        <w:t>,</w:t>
      </w:r>
      <w:r w:rsidRPr="00AD195C">
        <w:rPr>
          <w:rFonts w:cs="Arial"/>
          <w:rtl/>
        </w:rPr>
        <w:t xml:space="preserve"> אין השני האומר בשמו נאמן, וכך קבלתי דין זה</w:t>
      </w:r>
      <w:r>
        <w:rPr>
          <w:rFonts w:cs="Arial" w:hint="cs"/>
          <w:sz w:val="16"/>
          <w:szCs w:val="16"/>
          <w:rtl/>
        </w:rPr>
        <w:t xml:space="preserve"> (ל' הרמב"ן)</w:t>
      </w:r>
      <w:r>
        <w:rPr>
          <w:rFonts w:cs="Arial" w:hint="cs"/>
          <w:rtl/>
        </w:rPr>
        <w:t>.</w:t>
      </w:r>
    </w:p>
    <w:p w14:paraId="67168143" w14:textId="77777777" w:rsidR="002E5BAD" w:rsidRPr="00FE5774" w:rsidRDefault="002E5BAD" w:rsidP="002E5BAD">
      <w:pPr>
        <w:ind w:left="720"/>
        <w:rPr>
          <w:u w:val="wave"/>
        </w:rPr>
      </w:pPr>
      <w:r>
        <w:rPr>
          <w:rFonts w:hint="cs"/>
          <w:u w:val="wave"/>
          <w:rtl/>
        </w:rPr>
        <w:t>ומה הדין אם היא מודה:</w:t>
      </w:r>
    </w:p>
    <w:p w14:paraId="6569E272" w14:textId="77777777" w:rsidR="002E5BAD" w:rsidRDefault="002E5BAD" w:rsidP="00B75458">
      <w:pPr>
        <w:pStyle w:val="ab"/>
        <w:numPr>
          <w:ilvl w:val="0"/>
          <w:numId w:val="204"/>
        </w:numPr>
      </w:pPr>
      <w:r>
        <w:rPr>
          <w:rFonts w:cs="Arial" w:hint="cs"/>
          <w:rtl/>
        </w:rPr>
        <w:t xml:space="preserve">רשב"א </w:t>
      </w:r>
      <w:r>
        <w:rPr>
          <w:rFonts w:cs="Arial" w:hint="cs"/>
          <w:sz w:val="16"/>
          <w:szCs w:val="16"/>
          <w:rtl/>
        </w:rPr>
        <w:t xml:space="preserve">(עב. ד"ה ואי, הביאו הה"מ [פכ"ד הי"א]) </w:t>
      </w:r>
      <w:r w:rsidRPr="00E21A0A">
        <w:rPr>
          <w:rFonts w:cs="Arial"/>
          <w:rtl/>
        </w:rPr>
        <w:t xml:space="preserve">ר"ן </w:t>
      </w:r>
      <w:r w:rsidRPr="00FE5774">
        <w:rPr>
          <w:rFonts w:cs="Arial" w:hint="cs"/>
          <w:sz w:val="16"/>
          <w:szCs w:val="16"/>
          <w:rtl/>
        </w:rPr>
        <w:t>(לב:</w:t>
      </w:r>
      <w:r>
        <w:rPr>
          <w:rFonts w:cs="Arial" w:hint="cs"/>
          <w:sz w:val="16"/>
          <w:szCs w:val="16"/>
          <w:rtl/>
        </w:rPr>
        <w:t>, הביאו הב"י</w:t>
      </w:r>
      <w:r w:rsidRPr="00FE5774">
        <w:rPr>
          <w:rFonts w:cs="Arial" w:hint="cs"/>
          <w:sz w:val="16"/>
          <w:szCs w:val="16"/>
          <w:rtl/>
        </w:rPr>
        <w:t>)</w:t>
      </w:r>
      <w:r>
        <w:rPr>
          <w:rFonts w:cs="Arial" w:hint="cs"/>
          <w:rtl/>
        </w:rPr>
        <w:t xml:space="preserve">- </w:t>
      </w:r>
      <w:r w:rsidRPr="00E21A0A">
        <w:rPr>
          <w:rFonts w:cs="Arial"/>
          <w:rtl/>
        </w:rPr>
        <w:t>הא דלא אוקמה במודה</w:t>
      </w:r>
      <w:r>
        <w:rPr>
          <w:rFonts w:cs="Arial" w:hint="cs"/>
          <w:rtl/>
        </w:rPr>
        <w:t>,</w:t>
      </w:r>
      <w:r w:rsidRPr="00E21A0A">
        <w:rPr>
          <w:rFonts w:cs="Arial"/>
          <w:rtl/>
        </w:rPr>
        <w:t xml:space="preserve"> כתב הראב"ד ז"ל משום דאינה נאמנת דאין אדם משים עצמו רשע</w:t>
      </w:r>
      <w:r>
        <w:rPr>
          <w:rFonts w:cs="Arial" w:hint="cs"/>
          <w:rtl/>
        </w:rPr>
        <w:t>.</w:t>
      </w:r>
      <w:r w:rsidRPr="00E21A0A">
        <w:rPr>
          <w:rFonts w:cs="Arial"/>
          <w:rtl/>
        </w:rPr>
        <w:t xml:space="preserve"> ול</w:t>
      </w:r>
      <w:r>
        <w:rPr>
          <w:rFonts w:cs="Arial" w:hint="cs"/>
          <w:rtl/>
        </w:rPr>
        <w:t xml:space="preserve">י </w:t>
      </w:r>
      <w:r w:rsidRPr="00E21A0A">
        <w:rPr>
          <w:rFonts w:cs="Arial"/>
          <w:rtl/>
        </w:rPr>
        <w:t>נ</w:t>
      </w:r>
      <w:r>
        <w:rPr>
          <w:rFonts w:cs="Arial" w:hint="cs"/>
          <w:rtl/>
        </w:rPr>
        <w:t>ראה</w:t>
      </w:r>
      <w:r w:rsidRPr="00E21A0A">
        <w:rPr>
          <w:rFonts w:cs="Arial"/>
          <w:rtl/>
        </w:rPr>
        <w:t xml:space="preserve"> דלהפסידה כתובתה ודאי נאמנת דהודאת בעל דין כק' עדים דמי אלא דמשום דמילתא דלא שכיחא היא לא אוקמה בהכי</w:t>
      </w:r>
      <w:r>
        <w:rPr>
          <w:rFonts w:cs="Arial" w:hint="cs"/>
          <w:sz w:val="16"/>
          <w:szCs w:val="16"/>
          <w:rtl/>
        </w:rPr>
        <w:t xml:space="preserve"> (ל' הב"י בשם הר"ן)</w:t>
      </w:r>
      <w:r w:rsidRPr="00E21A0A">
        <w:rPr>
          <w:rFonts w:cs="Arial" w:hint="cs"/>
          <w:rtl/>
        </w:rPr>
        <w:t>.</w:t>
      </w:r>
      <w:r>
        <w:rPr>
          <w:rFonts w:hint="cs"/>
          <w:rtl/>
        </w:rPr>
        <w:t xml:space="preserve"> (וכ"פ ח"מ </w:t>
      </w:r>
      <w:r>
        <w:rPr>
          <w:rFonts w:hint="cs"/>
          <w:sz w:val="16"/>
          <w:szCs w:val="16"/>
          <w:rtl/>
        </w:rPr>
        <w:t xml:space="preserve">[סק"ד] </w:t>
      </w:r>
      <w:r>
        <w:rPr>
          <w:rFonts w:hint="cs"/>
          <w:rtl/>
        </w:rPr>
        <w:t xml:space="preserve">וב"ש </w:t>
      </w:r>
      <w:r>
        <w:rPr>
          <w:rFonts w:hint="cs"/>
          <w:sz w:val="16"/>
          <w:szCs w:val="16"/>
          <w:rtl/>
        </w:rPr>
        <w:t>[סק"ג]</w:t>
      </w:r>
      <w:r>
        <w:rPr>
          <w:rFonts w:hint="cs"/>
          <w:rtl/>
        </w:rPr>
        <w:t>)</w:t>
      </w:r>
    </w:p>
    <w:p w14:paraId="2A2119F7" w14:textId="77777777" w:rsidR="002E5BAD" w:rsidRDefault="002E5BAD" w:rsidP="00B75458">
      <w:pPr>
        <w:pStyle w:val="ab"/>
        <w:numPr>
          <w:ilvl w:val="0"/>
          <w:numId w:val="204"/>
        </w:numPr>
        <w:rPr>
          <w:rtl/>
        </w:rPr>
      </w:pPr>
      <w:r>
        <w:rPr>
          <w:rFonts w:cs="Arial" w:hint="cs"/>
          <w:rtl/>
        </w:rPr>
        <w:t xml:space="preserve">רמב"ם </w:t>
      </w:r>
      <w:r w:rsidRPr="007D17F3">
        <w:rPr>
          <w:rFonts w:cs="Arial" w:hint="cs"/>
          <w:sz w:val="16"/>
          <w:szCs w:val="16"/>
          <w:rtl/>
        </w:rPr>
        <w:t xml:space="preserve">(פכ"ד אישות </w:t>
      </w:r>
      <w:r>
        <w:rPr>
          <w:rFonts w:cs="Arial" w:hint="cs"/>
          <w:sz w:val="16"/>
          <w:szCs w:val="16"/>
          <w:rtl/>
        </w:rPr>
        <w:t>הי"ד</w:t>
      </w:r>
      <w:r w:rsidRPr="007D17F3">
        <w:rPr>
          <w:rFonts w:cs="Arial" w:hint="cs"/>
          <w:sz w:val="16"/>
          <w:szCs w:val="16"/>
          <w:rtl/>
        </w:rPr>
        <w:t>)</w:t>
      </w:r>
      <w:r>
        <w:rPr>
          <w:rFonts w:hint="cs"/>
          <w:rtl/>
        </w:rPr>
        <w:t xml:space="preserve">- </w:t>
      </w:r>
      <w:r w:rsidRPr="0067792E">
        <w:rPr>
          <w:rFonts w:cs="Arial"/>
          <w:rtl/>
        </w:rPr>
        <w:t>אם תודה שעברה אחר התראה זו אין לה כלום</w:t>
      </w:r>
      <w:r>
        <w:rPr>
          <w:rFonts w:hint="cs"/>
          <w:rtl/>
        </w:rPr>
        <w:t>.</w:t>
      </w:r>
    </w:p>
    <w:p w14:paraId="52EDD772" w14:textId="77777777" w:rsidR="002E5BAD" w:rsidRDefault="002E5BAD" w:rsidP="002E5BAD">
      <w:pPr>
        <w:ind w:left="360"/>
        <w:rPr>
          <w:u w:val="dotted"/>
          <w:rtl/>
        </w:rPr>
      </w:pPr>
      <w:r w:rsidRPr="001F0140">
        <w:rPr>
          <w:rFonts w:hint="cs"/>
          <w:u w:val="dotted"/>
          <w:rtl/>
        </w:rPr>
        <w:t>רצתה להכשילו, ולא נכשל</w:t>
      </w:r>
      <w:r>
        <w:rPr>
          <w:rFonts w:hint="cs"/>
          <w:u w:val="dotted"/>
          <w:rtl/>
        </w:rPr>
        <w:t>:</w:t>
      </w:r>
      <w:r w:rsidRPr="001F0140">
        <w:rPr>
          <w:rFonts w:hint="cs"/>
          <w:u w:val="dotted"/>
          <w:rtl/>
        </w:rPr>
        <w:t xml:space="preserve"> </w:t>
      </w:r>
    </w:p>
    <w:p w14:paraId="096F0B88" w14:textId="77777777" w:rsidR="002E5BAD" w:rsidRPr="00E21A0A" w:rsidRDefault="002E5BAD" w:rsidP="00B75458">
      <w:pPr>
        <w:pStyle w:val="ab"/>
        <w:numPr>
          <w:ilvl w:val="0"/>
          <w:numId w:val="204"/>
        </w:numPr>
      </w:pPr>
      <w:r>
        <w:rPr>
          <w:rFonts w:cs="Arial"/>
          <w:rtl/>
        </w:rPr>
        <w:lastRenderedPageBreak/>
        <w:t xml:space="preserve">רא"ש </w:t>
      </w:r>
      <w:r w:rsidRPr="007D17F3">
        <w:rPr>
          <w:rFonts w:cs="Arial"/>
          <w:sz w:val="16"/>
          <w:szCs w:val="16"/>
          <w:rtl/>
        </w:rPr>
        <w:t>(סי' ט)</w:t>
      </w:r>
      <w:r>
        <w:rPr>
          <w:rFonts w:cs="Arial" w:hint="cs"/>
          <w:sz w:val="16"/>
          <w:szCs w:val="16"/>
          <w:rtl/>
        </w:rPr>
        <w:t xml:space="preserve"> </w:t>
      </w:r>
      <w:r>
        <w:rPr>
          <w:rFonts w:cs="Arial" w:hint="cs"/>
          <w:rtl/>
        </w:rPr>
        <w:t xml:space="preserve">טור ור"ן </w:t>
      </w:r>
      <w:r>
        <w:rPr>
          <w:rFonts w:cs="Arial" w:hint="cs"/>
          <w:sz w:val="16"/>
          <w:szCs w:val="16"/>
          <w:rtl/>
        </w:rPr>
        <w:t>(לב:)</w:t>
      </w:r>
      <w:r>
        <w:rPr>
          <w:rFonts w:cs="Arial" w:hint="cs"/>
          <w:rtl/>
        </w:rPr>
        <w:t xml:space="preserve">- </w:t>
      </w:r>
      <w:r w:rsidRPr="00671DE4">
        <w:rPr>
          <w:rFonts w:cs="Arial"/>
          <w:rtl/>
        </w:rPr>
        <w:t>ודוקא שהכשילתו ואכל על פיה</w:t>
      </w:r>
      <w:r>
        <w:rPr>
          <w:rFonts w:cs="Arial" w:hint="cs"/>
          <w:rtl/>
        </w:rPr>
        <w:t>.</w:t>
      </w:r>
      <w:r w:rsidRPr="00671DE4">
        <w:rPr>
          <w:rFonts w:cs="Arial"/>
          <w:rtl/>
        </w:rPr>
        <w:t xml:space="preserve"> אבל אם רצתה להאכילו דבר איסור</w:t>
      </w:r>
      <w:r>
        <w:rPr>
          <w:rFonts w:cs="Arial" w:hint="cs"/>
          <w:rtl/>
        </w:rPr>
        <w:t>,</w:t>
      </w:r>
      <w:r w:rsidRPr="00671DE4">
        <w:rPr>
          <w:rFonts w:cs="Arial"/>
          <w:rtl/>
        </w:rPr>
        <w:t xml:space="preserve"> ונודע לו ופירש</w:t>
      </w:r>
      <w:r>
        <w:rPr>
          <w:rFonts w:cs="Arial" w:hint="cs"/>
          <w:rtl/>
        </w:rPr>
        <w:t>...</w:t>
      </w:r>
      <w:r w:rsidRPr="00671DE4">
        <w:rPr>
          <w:rFonts w:cs="Arial"/>
          <w:rtl/>
        </w:rPr>
        <w:t xml:space="preserve"> </w:t>
      </w:r>
      <w:r>
        <w:rPr>
          <w:rFonts w:cs="Arial" w:hint="cs"/>
          <w:rtl/>
        </w:rPr>
        <w:t xml:space="preserve">- </w:t>
      </w:r>
      <w:r w:rsidRPr="00671DE4">
        <w:rPr>
          <w:rFonts w:cs="Arial"/>
          <w:rtl/>
        </w:rPr>
        <w:t>לא אבדה כתובתה</w:t>
      </w:r>
      <w:r>
        <w:rPr>
          <w:rStyle w:val="a7"/>
          <w:rFonts w:cs="Arial"/>
          <w:rtl/>
        </w:rPr>
        <w:footnoteReference w:id="3108"/>
      </w:r>
      <w:r>
        <w:rPr>
          <w:rFonts w:cs="Arial" w:hint="cs"/>
          <w:sz w:val="16"/>
          <w:szCs w:val="16"/>
          <w:rtl/>
        </w:rPr>
        <w:t xml:space="preserve"> (ל' הטור)</w:t>
      </w:r>
      <w:r>
        <w:rPr>
          <w:rFonts w:cs="Arial" w:hint="cs"/>
          <w:rtl/>
        </w:rPr>
        <w:t>.</w:t>
      </w:r>
    </w:p>
    <w:p w14:paraId="041A0F17" w14:textId="77777777" w:rsidR="002E5BAD" w:rsidRPr="00E21A0A" w:rsidRDefault="002E5BAD" w:rsidP="00B75458">
      <w:pPr>
        <w:pStyle w:val="ab"/>
        <w:numPr>
          <w:ilvl w:val="0"/>
          <w:numId w:val="204"/>
        </w:numPr>
      </w:pPr>
      <w:r w:rsidRPr="00E21A0A">
        <w:rPr>
          <w:rFonts w:cs="Arial"/>
          <w:rtl/>
        </w:rPr>
        <w:t xml:space="preserve">רא"ה </w:t>
      </w:r>
      <w:r w:rsidRPr="00E21A0A">
        <w:rPr>
          <w:rFonts w:cs="Arial"/>
          <w:sz w:val="16"/>
          <w:szCs w:val="16"/>
          <w:rtl/>
        </w:rPr>
        <w:t>(עב. ד"ה הא</w:t>
      </w:r>
      <w:r w:rsidRPr="00E21A0A">
        <w:rPr>
          <w:rFonts w:cs="Arial" w:hint="cs"/>
          <w:sz w:val="16"/>
          <w:szCs w:val="16"/>
          <w:rtl/>
        </w:rPr>
        <w:t>, הביאו הר"ן [שם]</w:t>
      </w:r>
      <w:r w:rsidRPr="00E21A0A">
        <w:rPr>
          <w:rFonts w:cs="Arial"/>
          <w:sz w:val="16"/>
          <w:szCs w:val="16"/>
          <w:rtl/>
        </w:rPr>
        <w:t>)</w:t>
      </w:r>
      <w:r>
        <w:rPr>
          <w:rFonts w:cs="Arial" w:hint="cs"/>
          <w:rtl/>
        </w:rPr>
        <w:t xml:space="preserve">- </w:t>
      </w:r>
      <w:r w:rsidRPr="00E21A0A">
        <w:rPr>
          <w:rFonts w:cs="Arial"/>
          <w:rtl/>
        </w:rPr>
        <w:t>אפילו בנתכוונה להאכילו מפסדת כתובתה והכא לישנא דהאכילתו קא דייק</w:t>
      </w:r>
      <w:r>
        <w:rPr>
          <w:rFonts w:hint="cs"/>
          <w:rtl/>
        </w:rPr>
        <w:t>.</w:t>
      </w:r>
    </w:p>
    <w:p w14:paraId="76C19F0C" w14:textId="77777777" w:rsidR="002E5BAD" w:rsidRPr="001F0140" w:rsidRDefault="002E5BAD" w:rsidP="002E5BAD">
      <w:pPr>
        <w:ind w:left="360"/>
        <w:rPr>
          <w:u w:val="dotted"/>
          <w:rtl/>
        </w:rPr>
      </w:pPr>
      <w:r w:rsidRPr="001F0140">
        <w:rPr>
          <w:rFonts w:hint="cs"/>
          <w:u w:val="dotted"/>
          <w:rtl/>
        </w:rPr>
        <w:t>עברה בעצמה על דבר איסור:</w:t>
      </w:r>
    </w:p>
    <w:p w14:paraId="7CFF8A50" w14:textId="77777777" w:rsidR="002E5BAD" w:rsidRDefault="002E5BAD" w:rsidP="00B75458">
      <w:pPr>
        <w:pStyle w:val="ab"/>
        <w:numPr>
          <w:ilvl w:val="0"/>
          <w:numId w:val="204"/>
        </w:numPr>
      </w:pPr>
      <w:r>
        <w:rPr>
          <w:rFonts w:cs="Arial"/>
          <w:rtl/>
        </w:rPr>
        <w:t>רא"ש</w:t>
      </w:r>
      <w:r>
        <w:rPr>
          <w:rStyle w:val="a7"/>
          <w:rFonts w:cs="Arial"/>
          <w:rtl/>
        </w:rPr>
        <w:footnoteReference w:id="3109"/>
      </w:r>
      <w:r>
        <w:rPr>
          <w:rFonts w:cs="Arial"/>
          <w:rtl/>
        </w:rPr>
        <w:t xml:space="preserve">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 xml:space="preserve">היא בעצמה אכלה דבר איסור </w:t>
      </w:r>
      <w:r>
        <w:rPr>
          <w:rFonts w:cs="Arial" w:hint="cs"/>
          <w:rtl/>
        </w:rPr>
        <w:t xml:space="preserve">- </w:t>
      </w:r>
      <w:r w:rsidRPr="00671DE4">
        <w:rPr>
          <w:rFonts w:cs="Arial"/>
          <w:rtl/>
        </w:rPr>
        <w:t>לא אבדה כתובתה</w:t>
      </w:r>
      <w:r>
        <w:rPr>
          <w:rFonts w:cs="Arial" w:hint="cs"/>
          <w:sz w:val="16"/>
          <w:szCs w:val="16"/>
          <w:rtl/>
        </w:rPr>
        <w:t xml:space="preserve"> (ל' הטור)</w:t>
      </w:r>
      <w:r>
        <w:rPr>
          <w:rFonts w:cs="Arial" w:hint="cs"/>
          <w:rtl/>
        </w:rPr>
        <w:t>.</w:t>
      </w:r>
      <w:r w:rsidRPr="00671DE4">
        <w:rPr>
          <w:rFonts w:cs="Arial"/>
          <w:rtl/>
        </w:rPr>
        <w:t xml:space="preserve"> </w:t>
      </w:r>
    </w:p>
    <w:p w14:paraId="726A221C" w14:textId="77777777" w:rsidR="002E5BAD" w:rsidRPr="005635DE" w:rsidRDefault="002E5BAD" w:rsidP="002E5BAD">
      <w:pPr>
        <w:rPr>
          <w:u w:val="single"/>
          <w:rtl/>
        </w:rPr>
      </w:pPr>
      <w:r>
        <w:rPr>
          <w:rFonts w:hint="cs"/>
          <w:u w:val="single"/>
          <w:rtl/>
        </w:rPr>
        <w:t>בעל ש</w:t>
      </w:r>
      <w:r w:rsidRPr="005635DE">
        <w:rPr>
          <w:rFonts w:hint="cs"/>
          <w:u w:val="single"/>
          <w:rtl/>
        </w:rPr>
        <w:t>עובר על דת משה</w:t>
      </w:r>
      <w:r>
        <w:rPr>
          <w:rFonts w:hint="cs"/>
          <w:u w:val="single"/>
          <w:rtl/>
        </w:rPr>
        <w:t xml:space="preserve"> ומכשיל את אשתו</w:t>
      </w:r>
      <w:r w:rsidRPr="005635DE">
        <w:rPr>
          <w:rFonts w:hint="cs"/>
          <w:u w:val="single"/>
          <w:rtl/>
        </w:rPr>
        <w:t>:</w:t>
      </w:r>
    </w:p>
    <w:p w14:paraId="6CAB8088" w14:textId="77777777" w:rsidR="002E5BAD" w:rsidRDefault="002E5BAD" w:rsidP="00B75458">
      <w:pPr>
        <w:pStyle w:val="ab"/>
        <w:numPr>
          <w:ilvl w:val="0"/>
          <w:numId w:val="204"/>
        </w:numPr>
        <w:rPr>
          <w:rtl/>
        </w:rPr>
      </w:pPr>
      <w:r w:rsidRPr="005635DE">
        <w:rPr>
          <w:rFonts w:cs="Arial"/>
          <w:rtl/>
        </w:rPr>
        <w:t>הגהות אלפסי</w:t>
      </w:r>
      <w:r w:rsidRPr="005635DE">
        <w:rPr>
          <w:rFonts w:cs="Arial" w:hint="cs"/>
          <w:sz w:val="16"/>
          <w:szCs w:val="16"/>
          <w:rtl/>
        </w:rPr>
        <w:t xml:space="preserve"> (הביאו הח"מ [סק"א])</w:t>
      </w:r>
      <w:r w:rsidRPr="005635DE">
        <w:rPr>
          <w:rFonts w:cs="Arial" w:hint="cs"/>
          <w:rtl/>
        </w:rPr>
        <w:t>-</w:t>
      </w:r>
      <w:r w:rsidRPr="005635DE">
        <w:rPr>
          <w:rFonts w:cs="Arial"/>
          <w:rtl/>
        </w:rPr>
        <w:t xml:space="preserve"> אם הוא מאכיל אותה דברים האסורים או נודר ואינו מקיים יוציא ויתן כתוב</w:t>
      </w:r>
      <w:r w:rsidRPr="005635DE">
        <w:rPr>
          <w:rFonts w:cs="Arial" w:hint="cs"/>
          <w:rtl/>
        </w:rPr>
        <w:t xml:space="preserve">ה. </w:t>
      </w:r>
      <w:r w:rsidRPr="005635DE">
        <w:rPr>
          <w:rFonts w:cs="Arial" w:hint="cs"/>
          <w:color w:val="00B0F0"/>
          <w:rtl/>
        </w:rPr>
        <w:t>(וכ"פ הרמ"א</w:t>
      </w:r>
      <w:r w:rsidRPr="005635DE">
        <w:rPr>
          <w:rFonts w:cs="Arial" w:hint="cs"/>
          <w:color w:val="00B0F0"/>
          <w:sz w:val="16"/>
          <w:szCs w:val="16"/>
          <w:rtl/>
        </w:rPr>
        <w:t xml:space="preserve"> </w:t>
      </w:r>
      <w:r w:rsidRPr="005635DE">
        <w:rPr>
          <w:rFonts w:cs="Arial" w:hint="cs"/>
          <w:sz w:val="16"/>
          <w:szCs w:val="16"/>
          <w:rtl/>
        </w:rPr>
        <w:t>[סי' קנד ס"א]</w:t>
      </w:r>
      <w:r w:rsidRPr="005635DE">
        <w:rPr>
          <w:rFonts w:cs="Arial" w:hint="cs"/>
          <w:color w:val="00B0F0"/>
          <w:rtl/>
        </w:rPr>
        <w:t>)</w:t>
      </w:r>
    </w:p>
    <w:p w14:paraId="0A6EE50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562978" w14:textId="77777777" w:rsidR="002E5BAD" w:rsidRDefault="002E5BAD" w:rsidP="002E5BAD">
      <w:pPr>
        <w:rPr>
          <w:rtl/>
        </w:rPr>
      </w:pPr>
      <w:r>
        <w:rPr>
          <w:rFonts w:cs="Arial"/>
          <w:rtl/>
        </w:rPr>
        <w:t>אלו יוצאות שלא בכתובה: העוברת על דת משה ויהודית. ואיזו היא דת משה, שהאכילה את בעלה שאינו מעושר, או אחד מכל האיסורים</w:t>
      </w:r>
      <w:r>
        <w:rPr>
          <w:rStyle w:val="a7"/>
          <w:rFonts w:cs="Arial"/>
          <w:rtl/>
        </w:rPr>
        <w:footnoteReference w:id="3110"/>
      </w:r>
      <w:r>
        <w:rPr>
          <w:rFonts w:cs="Arial"/>
          <w:rtl/>
        </w:rPr>
        <w:t>, או ששימשתו נדה, ונודע לו אחר כך</w:t>
      </w:r>
      <w:r>
        <w:rPr>
          <w:rFonts w:cs="Arial" w:hint="cs"/>
          <w:rtl/>
        </w:rPr>
        <w:t>.</w:t>
      </w:r>
      <w:r>
        <w:rPr>
          <w:rFonts w:cs="Arial"/>
          <w:rtl/>
        </w:rPr>
        <w:t xml:space="preserve"> כגון שאמרה</w:t>
      </w:r>
      <w:r>
        <w:rPr>
          <w:rStyle w:val="a7"/>
          <w:rFonts w:cs="Arial"/>
          <w:rtl/>
        </w:rPr>
        <w:footnoteReference w:id="3111"/>
      </w:r>
      <w:r>
        <w:rPr>
          <w:rFonts w:cs="Arial"/>
          <w:rtl/>
        </w:rPr>
        <w:t>: פלוני חכם תקן לי הכרי הזה או התיר לי חתיכה זו או טיהר לי הדם</w:t>
      </w:r>
      <w:r>
        <w:rPr>
          <w:rStyle w:val="a7"/>
          <w:rFonts w:cs="Arial"/>
          <w:rtl/>
        </w:rPr>
        <w:footnoteReference w:id="3112"/>
      </w:r>
      <w:r>
        <w:rPr>
          <w:rFonts w:cs="Arial"/>
          <w:rtl/>
        </w:rPr>
        <w:t xml:space="preserve"> הזה, ונמצאת שקרנית. ודוקא שהוכחשה בעדים</w:t>
      </w:r>
      <w:r>
        <w:rPr>
          <w:rStyle w:val="a7"/>
          <w:rFonts w:cs="Arial"/>
          <w:rtl/>
        </w:rPr>
        <w:footnoteReference w:id="3113"/>
      </w:r>
      <w:r>
        <w:rPr>
          <w:rFonts w:cs="Arial"/>
          <w:rtl/>
        </w:rPr>
        <w:t>, כגון שהעידו שבאותה שעה שאמרה שפלוני תקן לה לא היה אותו פלוני בעיר, וגם יש עדים שאמרה לו שהוא מתוקן</w:t>
      </w:r>
      <w:r>
        <w:rPr>
          <w:rStyle w:val="a7"/>
          <w:rFonts w:cs="Arial"/>
          <w:rtl/>
        </w:rPr>
        <w:footnoteReference w:id="3114"/>
      </w:r>
      <w:r>
        <w:rPr>
          <w:rFonts w:cs="Arial"/>
          <w:rtl/>
        </w:rPr>
        <w:t xml:space="preserve"> ושהוא אכלו על פיה</w:t>
      </w:r>
      <w:r>
        <w:rPr>
          <w:rFonts w:cs="Arial" w:hint="cs"/>
          <w:rtl/>
        </w:rPr>
        <w:t>.</w:t>
      </w:r>
      <w:r>
        <w:rPr>
          <w:rFonts w:cs="Arial"/>
          <w:rtl/>
        </w:rPr>
        <w:t xml:space="preserve"> אבל אם אין עדים</w:t>
      </w:r>
      <w:r>
        <w:rPr>
          <w:rFonts w:cs="Arial" w:hint="cs"/>
          <w:rtl/>
        </w:rPr>
        <w:t>,</w:t>
      </w:r>
      <w:r>
        <w:rPr>
          <w:rFonts w:cs="Arial"/>
          <w:rtl/>
        </w:rPr>
        <w:t xml:space="preserve"> והיא כופרת שלא האכילתו, או שמכחשת החכם שאומר שלא תקן לה, והיא אומרת שתיקן לה, נאמנת</w:t>
      </w:r>
      <w:r>
        <w:rPr>
          <w:rStyle w:val="a7"/>
          <w:rFonts w:cs="Arial"/>
          <w:rtl/>
        </w:rPr>
        <w:footnoteReference w:id="3115"/>
      </w:r>
      <w:r>
        <w:rPr>
          <w:rFonts w:cs="Arial"/>
          <w:rtl/>
        </w:rPr>
        <w:t xml:space="preserve">. ודוקא שהכשילתו ואכל על פיה, אבל אם רצתה להאכילו דבר איסור, לא איבדה כתובתה. </w:t>
      </w:r>
    </w:p>
    <w:p w14:paraId="1381C334" w14:textId="77777777" w:rsidR="002E5BAD" w:rsidRPr="002C7D5E" w:rsidRDefault="002E5BAD" w:rsidP="002E5BAD">
      <w:pPr>
        <w:rPr>
          <w:rFonts w:cs="Arial"/>
          <w:sz w:val="16"/>
          <w:szCs w:val="16"/>
          <w:rtl/>
        </w:rPr>
      </w:pPr>
      <w:r w:rsidRPr="00E07133">
        <w:rPr>
          <w:rFonts w:cs="Arial" w:hint="cs"/>
          <w:u w:val="single"/>
          <w:rtl/>
        </w:rPr>
        <w:t xml:space="preserve">אשה ששימשה עם בעלה כשהיא נדה </w:t>
      </w:r>
      <w:r w:rsidRPr="00E07133">
        <w:rPr>
          <w:rFonts w:cs="Arial"/>
          <w:u w:val="single"/>
          <w:rtl/>
        </w:rPr>
        <w:t>–</w:t>
      </w:r>
      <w:r w:rsidRPr="00E07133">
        <w:rPr>
          <w:rFonts w:cs="Arial" w:hint="cs"/>
          <w:u w:val="single"/>
          <w:rtl/>
        </w:rPr>
        <w:t xml:space="preserve"> האם יכולה לטעון שהוא ידע בכך:</w:t>
      </w:r>
      <w:r>
        <w:rPr>
          <w:rFonts w:cs="Arial" w:hint="cs"/>
          <w:rtl/>
        </w:rPr>
        <w:t xml:space="preserve"> </w:t>
      </w:r>
      <w:r>
        <w:rPr>
          <w:rFonts w:cs="Arial" w:hint="cs"/>
          <w:sz w:val="16"/>
          <w:szCs w:val="16"/>
          <w:rtl/>
        </w:rPr>
        <w:t>(פת"ש סק"ג)</w:t>
      </w:r>
    </w:p>
    <w:p w14:paraId="742A56DD" w14:textId="77777777" w:rsidR="002E5BAD" w:rsidRDefault="002E5BAD" w:rsidP="00B75458">
      <w:pPr>
        <w:pStyle w:val="ab"/>
        <w:numPr>
          <w:ilvl w:val="0"/>
          <w:numId w:val="204"/>
        </w:numPr>
        <w:rPr>
          <w:rFonts w:cs="Arial"/>
        </w:rPr>
      </w:pPr>
      <w:r w:rsidRPr="00E07133">
        <w:rPr>
          <w:rFonts w:cs="Arial"/>
          <w:rtl/>
        </w:rPr>
        <w:lastRenderedPageBreak/>
        <w:t>פ</w:t>
      </w:r>
      <w:r w:rsidRPr="00E07133">
        <w:rPr>
          <w:rFonts w:cs="Arial" w:hint="cs"/>
          <w:rtl/>
        </w:rPr>
        <w:t>נ</w:t>
      </w:r>
      <w:r w:rsidRPr="00E07133">
        <w:rPr>
          <w:rFonts w:cs="Arial"/>
          <w:rtl/>
        </w:rPr>
        <w:t xml:space="preserve">מ"א </w:t>
      </w:r>
      <w:r w:rsidRPr="00E07133">
        <w:rPr>
          <w:rFonts w:cs="Arial" w:hint="cs"/>
          <w:sz w:val="16"/>
          <w:szCs w:val="16"/>
          <w:rtl/>
        </w:rPr>
        <w:t>(</w:t>
      </w:r>
      <w:r w:rsidRPr="00E07133">
        <w:rPr>
          <w:rFonts w:cs="Arial"/>
          <w:sz w:val="16"/>
          <w:szCs w:val="16"/>
          <w:rtl/>
        </w:rPr>
        <w:t>ח"ב סי</w:t>
      </w:r>
      <w:r w:rsidRPr="00E07133">
        <w:rPr>
          <w:rFonts w:cs="Arial" w:hint="cs"/>
          <w:sz w:val="16"/>
          <w:szCs w:val="16"/>
          <w:rtl/>
        </w:rPr>
        <w:t>'</w:t>
      </w:r>
      <w:r w:rsidRPr="00E07133">
        <w:rPr>
          <w:rFonts w:cs="Arial"/>
          <w:sz w:val="16"/>
          <w:szCs w:val="16"/>
          <w:rtl/>
        </w:rPr>
        <w:t xml:space="preserve"> יב</w:t>
      </w:r>
      <w:r w:rsidRPr="00E07133">
        <w:rPr>
          <w:rFonts w:cs="Arial" w:hint="cs"/>
          <w:sz w:val="16"/>
          <w:szCs w:val="16"/>
          <w:rtl/>
        </w:rPr>
        <w:t>)</w:t>
      </w:r>
      <w:r>
        <w:rPr>
          <w:rFonts w:cs="Arial" w:hint="cs"/>
          <w:rtl/>
        </w:rPr>
        <w:t xml:space="preserve"> ו</w:t>
      </w:r>
      <w:r>
        <w:rPr>
          <w:rFonts w:cs="Arial"/>
          <w:rtl/>
        </w:rPr>
        <w:t xml:space="preserve">בית מאיר </w:t>
      </w:r>
      <w:r w:rsidRPr="008522EA">
        <w:rPr>
          <w:rFonts w:cs="Arial" w:hint="cs"/>
          <w:sz w:val="16"/>
          <w:szCs w:val="16"/>
          <w:rtl/>
        </w:rPr>
        <w:t>(</w:t>
      </w:r>
      <w:r w:rsidRPr="008522EA">
        <w:rPr>
          <w:rFonts w:cs="Arial"/>
          <w:sz w:val="16"/>
          <w:szCs w:val="16"/>
          <w:rtl/>
        </w:rPr>
        <w:t>סי' צו סי"ב</w:t>
      </w:r>
      <w:r w:rsidRPr="008522EA">
        <w:rPr>
          <w:rFonts w:cs="Arial" w:hint="cs"/>
          <w:sz w:val="16"/>
          <w:szCs w:val="16"/>
          <w:rtl/>
        </w:rPr>
        <w:t>)</w:t>
      </w:r>
      <w:r w:rsidRPr="00E07133">
        <w:rPr>
          <w:rFonts w:cs="Arial" w:hint="cs"/>
          <w:rtl/>
        </w:rPr>
        <w:t>-</w:t>
      </w:r>
      <w:r w:rsidRPr="00E07133">
        <w:rPr>
          <w:rFonts w:cs="Arial"/>
          <w:rtl/>
        </w:rPr>
        <w:t xml:space="preserve"> בעל </w:t>
      </w:r>
      <w:r w:rsidRPr="00E07133">
        <w:rPr>
          <w:rFonts w:cs="Arial" w:hint="cs"/>
          <w:rtl/>
        </w:rPr>
        <w:t>ש</w:t>
      </w:r>
      <w:r w:rsidRPr="00E07133">
        <w:rPr>
          <w:rFonts w:cs="Arial"/>
          <w:rtl/>
        </w:rPr>
        <w:t xml:space="preserve">טען על אשתו ששמשתו נדה והיא הודית אלא שטענה שנעשה בידיעתו </w:t>
      </w:r>
      <w:r w:rsidRPr="00E07133">
        <w:rPr>
          <w:rFonts w:cs="Arial" w:hint="cs"/>
          <w:rtl/>
        </w:rPr>
        <w:t xml:space="preserve">- </w:t>
      </w:r>
      <w:r w:rsidRPr="00E07133">
        <w:rPr>
          <w:rFonts w:cs="Arial"/>
          <w:rtl/>
        </w:rPr>
        <w:t xml:space="preserve">ישבע הבעל שלא ידע והיא הכשילתו ויגרשנה בלא כתובה. </w:t>
      </w:r>
    </w:p>
    <w:p w14:paraId="1753463D" w14:textId="77777777" w:rsidR="002E5BAD" w:rsidRDefault="002E5BAD" w:rsidP="00B75458">
      <w:pPr>
        <w:pStyle w:val="ab"/>
        <w:numPr>
          <w:ilvl w:val="0"/>
          <w:numId w:val="204"/>
        </w:numPr>
        <w:rPr>
          <w:rFonts w:cs="Arial"/>
        </w:rPr>
      </w:pPr>
      <w:r w:rsidRPr="008522EA">
        <w:rPr>
          <w:rFonts w:cs="Arial"/>
          <w:rtl/>
        </w:rPr>
        <w:t xml:space="preserve">מהר"י הלוי </w:t>
      </w:r>
      <w:r w:rsidRPr="008522EA">
        <w:rPr>
          <w:rFonts w:cs="Arial" w:hint="cs"/>
          <w:sz w:val="16"/>
          <w:szCs w:val="16"/>
          <w:rtl/>
        </w:rPr>
        <w:t>(</w:t>
      </w:r>
      <w:r w:rsidRPr="008522EA">
        <w:rPr>
          <w:rFonts w:cs="Arial"/>
          <w:sz w:val="16"/>
          <w:szCs w:val="16"/>
          <w:rtl/>
        </w:rPr>
        <w:t>סי</w:t>
      </w:r>
      <w:r w:rsidRPr="008522EA">
        <w:rPr>
          <w:rFonts w:cs="Arial" w:hint="cs"/>
          <w:sz w:val="16"/>
          <w:szCs w:val="16"/>
          <w:rtl/>
        </w:rPr>
        <w:t>'</w:t>
      </w:r>
      <w:r w:rsidRPr="008522EA">
        <w:rPr>
          <w:rFonts w:cs="Arial"/>
          <w:sz w:val="16"/>
          <w:szCs w:val="16"/>
          <w:rtl/>
        </w:rPr>
        <w:t xml:space="preserve"> לט</w:t>
      </w:r>
      <w:r w:rsidRPr="008522EA">
        <w:rPr>
          <w:rFonts w:cs="Arial" w:hint="cs"/>
          <w:sz w:val="16"/>
          <w:szCs w:val="16"/>
          <w:rtl/>
        </w:rPr>
        <w:t>,</w:t>
      </w:r>
      <w:r w:rsidRPr="008522EA">
        <w:rPr>
          <w:rFonts w:cs="Arial"/>
          <w:sz w:val="16"/>
          <w:szCs w:val="16"/>
          <w:rtl/>
        </w:rPr>
        <w:t xml:space="preserve"> </w:t>
      </w:r>
      <w:r w:rsidRPr="008522EA">
        <w:rPr>
          <w:rFonts w:cs="Arial" w:hint="cs"/>
          <w:sz w:val="16"/>
          <w:szCs w:val="16"/>
          <w:rtl/>
        </w:rPr>
        <w:t xml:space="preserve">ובתשו' </w:t>
      </w:r>
      <w:r w:rsidRPr="008522EA">
        <w:rPr>
          <w:rFonts w:cs="Arial"/>
          <w:sz w:val="16"/>
          <w:szCs w:val="16"/>
          <w:rtl/>
        </w:rPr>
        <w:t>גאוני בתראי סי' כו</w:t>
      </w:r>
      <w:r w:rsidRPr="008522EA">
        <w:rPr>
          <w:rFonts w:cs="Arial" w:hint="cs"/>
          <w:sz w:val="16"/>
          <w:szCs w:val="16"/>
          <w:rtl/>
        </w:rPr>
        <w:t>)</w:t>
      </w:r>
      <w:r>
        <w:rPr>
          <w:rFonts w:cs="Arial" w:hint="cs"/>
          <w:rtl/>
        </w:rPr>
        <w:t>-</w:t>
      </w:r>
      <w:r w:rsidRPr="008522EA">
        <w:rPr>
          <w:rFonts w:cs="Arial"/>
          <w:rtl/>
        </w:rPr>
        <w:t xml:space="preserve"> </w:t>
      </w:r>
      <w:r>
        <w:rPr>
          <w:rFonts w:cs="Arial" w:hint="cs"/>
          <w:rtl/>
        </w:rPr>
        <w:t>א</w:t>
      </w:r>
      <w:r w:rsidRPr="008522EA">
        <w:rPr>
          <w:rFonts w:cs="Arial"/>
          <w:rtl/>
        </w:rPr>
        <w:t>ין בטענתה ממש ולא תוכל לומר כן אא"כ מביאה עדים ע</w:t>
      </w:r>
      <w:r>
        <w:rPr>
          <w:rFonts w:cs="Arial" w:hint="cs"/>
          <w:rtl/>
        </w:rPr>
        <w:t>ל זה</w:t>
      </w:r>
      <w:r>
        <w:rPr>
          <w:rStyle w:val="a7"/>
          <w:rFonts w:cs="Arial"/>
          <w:rtl/>
        </w:rPr>
        <w:footnoteReference w:id="3116"/>
      </w:r>
      <w:r>
        <w:rPr>
          <w:rFonts w:cs="Arial" w:hint="cs"/>
          <w:rtl/>
        </w:rPr>
        <w:t>.</w:t>
      </w:r>
      <w:r w:rsidRPr="008522EA">
        <w:rPr>
          <w:rFonts w:cs="Arial"/>
          <w:rtl/>
        </w:rPr>
        <w:t xml:space="preserve"> </w:t>
      </w:r>
    </w:p>
    <w:p w14:paraId="70BA3FA4" w14:textId="77777777" w:rsidR="002E5BAD" w:rsidRDefault="002E5BAD" w:rsidP="00B75458">
      <w:pPr>
        <w:pStyle w:val="ab"/>
        <w:numPr>
          <w:ilvl w:val="0"/>
          <w:numId w:val="204"/>
        </w:numPr>
        <w:rPr>
          <w:rFonts w:cs="Arial"/>
        </w:rPr>
      </w:pPr>
      <w:r w:rsidRPr="008522EA">
        <w:rPr>
          <w:rFonts w:cs="Arial"/>
          <w:rtl/>
        </w:rPr>
        <w:t>נו"ב</w:t>
      </w:r>
      <w:r>
        <w:rPr>
          <w:rStyle w:val="a7"/>
          <w:rFonts w:cs="Arial"/>
          <w:rtl/>
        </w:rPr>
        <w:footnoteReference w:id="3117"/>
      </w:r>
      <w:r w:rsidRPr="00653ED5">
        <w:rPr>
          <w:rFonts w:cs="Arial"/>
          <w:sz w:val="16"/>
          <w:szCs w:val="16"/>
          <w:rtl/>
        </w:rPr>
        <w:t xml:space="preserve"> </w:t>
      </w:r>
      <w:r w:rsidRPr="00653ED5">
        <w:rPr>
          <w:rFonts w:cs="Arial" w:hint="cs"/>
          <w:sz w:val="16"/>
          <w:szCs w:val="16"/>
          <w:rtl/>
        </w:rPr>
        <w:t>(</w:t>
      </w:r>
      <w:r w:rsidRPr="00653ED5">
        <w:rPr>
          <w:rFonts w:cs="Arial"/>
          <w:sz w:val="16"/>
          <w:szCs w:val="16"/>
          <w:rtl/>
        </w:rPr>
        <w:t>תניינא סי' כו</w:t>
      </w:r>
      <w:r w:rsidRPr="00653ED5">
        <w:rPr>
          <w:rFonts w:cs="Arial" w:hint="cs"/>
          <w:sz w:val="16"/>
          <w:szCs w:val="16"/>
          <w:rtl/>
        </w:rPr>
        <w:t>)</w:t>
      </w:r>
      <w:r>
        <w:rPr>
          <w:rFonts w:cs="Arial" w:hint="cs"/>
          <w:rtl/>
        </w:rPr>
        <w:t>-</w:t>
      </w:r>
      <w:r w:rsidRPr="008522EA">
        <w:rPr>
          <w:rFonts w:cs="Arial"/>
          <w:rtl/>
        </w:rPr>
        <w:t xml:space="preserve"> אם יש עדים על אשה ששימשה בנדתה</w:t>
      </w:r>
      <w:r>
        <w:rPr>
          <w:rFonts w:cs="Arial" w:hint="cs"/>
          <w:rtl/>
        </w:rPr>
        <w:t>,</w:t>
      </w:r>
      <w:r w:rsidRPr="008522EA">
        <w:rPr>
          <w:rFonts w:cs="Arial"/>
          <w:rtl/>
        </w:rPr>
        <w:t xml:space="preserve"> והיא טוענת תיכף שגם הבעל ידע </w:t>
      </w:r>
      <w:r>
        <w:rPr>
          <w:rFonts w:cs="Arial" w:hint="cs"/>
          <w:rtl/>
        </w:rPr>
        <w:t xml:space="preserve">- </w:t>
      </w:r>
      <w:r w:rsidRPr="008522EA">
        <w:rPr>
          <w:rFonts w:cs="Arial"/>
          <w:rtl/>
        </w:rPr>
        <w:t>ודאי דאינה נאמנת</w:t>
      </w:r>
      <w:r>
        <w:rPr>
          <w:rFonts w:cs="Arial" w:hint="cs"/>
          <w:rtl/>
        </w:rPr>
        <w:t>,</w:t>
      </w:r>
      <w:r w:rsidRPr="008522EA">
        <w:rPr>
          <w:rFonts w:cs="Arial"/>
          <w:rtl/>
        </w:rPr>
        <w:t xml:space="preserve"> דמהיכי תיתי להאמינה</w:t>
      </w:r>
      <w:r>
        <w:rPr>
          <w:rFonts w:cs="Arial" w:hint="cs"/>
          <w:rtl/>
        </w:rPr>
        <w:t>.</w:t>
      </w:r>
      <w:r w:rsidRPr="008522EA">
        <w:rPr>
          <w:rFonts w:cs="Arial"/>
          <w:rtl/>
        </w:rPr>
        <w:t xml:space="preserve"> רק אם אין עדים</w:t>
      </w:r>
      <w:r>
        <w:rPr>
          <w:rFonts w:cs="Arial" w:hint="cs"/>
          <w:rtl/>
        </w:rPr>
        <w:t>,</w:t>
      </w:r>
      <w:r w:rsidRPr="008522EA">
        <w:rPr>
          <w:rFonts w:cs="Arial"/>
          <w:rtl/>
        </w:rPr>
        <w:t xml:space="preserve"> אלא שהיא מודית ואמרה שהי</w:t>
      </w:r>
      <w:r>
        <w:rPr>
          <w:rFonts w:cs="Arial" w:hint="cs"/>
          <w:rtl/>
        </w:rPr>
        <w:t>ה</w:t>
      </w:r>
      <w:r w:rsidRPr="008522EA">
        <w:rPr>
          <w:rFonts w:cs="Arial"/>
          <w:rtl/>
        </w:rPr>
        <w:t xml:space="preserve"> בידיעת ורצון בעלה</w:t>
      </w:r>
      <w:r>
        <w:rPr>
          <w:rFonts w:cs="Arial" w:hint="cs"/>
          <w:rtl/>
        </w:rPr>
        <w:t xml:space="preserve"> -</w:t>
      </w:r>
      <w:r w:rsidRPr="008522EA">
        <w:rPr>
          <w:rFonts w:cs="Arial"/>
          <w:rtl/>
        </w:rPr>
        <w:t xml:space="preserve"> היא נאמנת במגו דלא שמשתי נדה</w:t>
      </w:r>
      <w:r>
        <w:rPr>
          <w:rFonts w:cs="Arial" w:hint="cs"/>
          <w:rtl/>
        </w:rPr>
        <w:t>.</w:t>
      </w:r>
      <w:r w:rsidRPr="008522EA">
        <w:rPr>
          <w:rFonts w:cs="Arial"/>
          <w:rtl/>
        </w:rPr>
        <w:t xml:space="preserve"> </w:t>
      </w:r>
    </w:p>
    <w:p w14:paraId="34285A3C" w14:textId="77777777" w:rsidR="002E5BAD" w:rsidRPr="004274B7" w:rsidRDefault="002E5BAD" w:rsidP="00B75458">
      <w:pPr>
        <w:pStyle w:val="ab"/>
        <w:numPr>
          <w:ilvl w:val="0"/>
          <w:numId w:val="204"/>
        </w:numPr>
        <w:rPr>
          <w:rFonts w:cs="Arial"/>
          <w:rtl/>
        </w:rPr>
      </w:pPr>
      <w:r>
        <w:rPr>
          <w:rFonts w:cs="Arial"/>
          <w:rtl/>
        </w:rPr>
        <w:t>רדב"ז</w:t>
      </w:r>
      <w:r w:rsidRPr="002C7D5E">
        <w:rPr>
          <w:rFonts w:cs="Arial"/>
          <w:sz w:val="16"/>
          <w:szCs w:val="16"/>
          <w:rtl/>
        </w:rPr>
        <w:t xml:space="preserve"> </w:t>
      </w:r>
      <w:r w:rsidRPr="002C7D5E">
        <w:rPr>
          <w:rFonts w:cs="Arial" w:hint="cs"/>
          <w:sz w:val="16"/>
          <w:szCs w:val="16"/>
          <w:rtl/>
        </w:rPr>
        <w:t>(</w:t>
      </w:r>
      <w:r w:rsidRPr="002C7D5E">
        <w:rPr>
          <w:rFonts w:cs="Arial"/>
          <w:sz w:val="16"/>
          <w:szCs w:val="16"/>
          <w:rtl/>
        </w:rPr>
        <w:t>ח"א סי' צ</w:t>
      </w:r>
      <w:r w:rsidRPr="002C7D5E">
        <w:rPr>
          <w:rFonts w:cs="Arial" w:hint="cs"/>
          <w:sz w:val="16"/>
          <w:szCs w:val="16"/>
          <w:rtl/>
        </w:rPr>
        <w:t>)</w:t>
      </w:r>
      <w:r>
        <w:rPr>
          <w:rFonts w:cs="Arial"/>
          <w:rtl/>
        </w:rPr>
        <w:t xml:space="preserve"> </w:t>
      </w:r>
      <w:r>
        <w:rPr>
          <w:rFonts w:cs="Arial" w:hint="cs"/>
          <w:rtl/>
        </w:rPr>
        <w:t xml:space="preserve">בשם </w:t>
      </w:r>
      <w:r>
        <w:rPr>
          <w:rFonts w:cs="Arial"/>
          <w:rtl/>
        </w:rPr>
        <w:t>תשו</w:t>
      </w:r>
      <w:r>
        <w:rPr>
          <w:rFonts w:cs="Arial" w:hint="cs"/>
          <w:rtl/>
        </w:rPr>
        <w:t xml:space="preserve">בת </w:t>
      </w:r>
      <w:r>
        <w:rPr>
          <w:rFonts w:cs="Arial"/>
          <w:rtl/>
        </w:rPr>
        <w:t>הרמב"ם</w:t>
      </w:r>
      <w:r>
        <w:rPr>
          <w:rFonts w:cs="Arial" w:hint="cs"/>
          <w:rtl/>
        </w:rPr>
        <w:t>-</w:t>
      </w:r>
      <w:r>
        <w:rPr>
          <w:rFonts w:cs="Arial"/>
          <w:rtl/>
        </w:rPr>
        <w:t xml:space="preserve"> אפילו אם בעלה ידע מזה שמשמשתו נדה והוא שותק </w:t>
      </w:r>
      <w:r>
        <w:rPr>
          <w:rFonts w:cs="Arial" w:hint="cs"/>
          <w:rtl/>
        </w:rPr>
        <w:t xml:space="preserve">- </w:t>
      </w:r>
      <w:r>
        <w:rPr>
          <w:rFonts w:cs="Arial"/>
          <w:rtl/>
        </w:rPr>
        <w:t>אין לה כתובה כלל</w:t>
      </w:r>
      <w:r>
        <w:rPr>
          <w:rFonts w:cs="Arial" w:hint="cs"/>
          <w:rtl/>
        </w:rPr>
        <w:t>,</w:t>
      </w:r>
      <w:r>
        <w:rPr>
          <w:rFonts w:cs="Arial"/>
          <w:rtl/>
        </w:rPr>
        <w:t xml:space="preserve"> כדי שלא יהא חוטא נשכר</w:t>
      </w:r>
      <w:r>
        <w:rPr>
          <w:rFonts w:cs="Arial" w:hint="cs"/>
          <w:rtl/>
        </w:rPr>
        <w:t>.</w:t>
      </w:r>
      <w:r>
        <w:rPr>
          <w:rFonts w:cs="Arial"/>
          <w:rtl/>
        </w:rPr>
        <w:t xml:space="preserve"> ואף על פי שגם הוא חוטא ונשכר שנפטר מלפרוע הכתובה</w:t>
      </w:r>
      <w:r>
        <w:rPr>
          <w:rFonts w:cs="Arial" w:hint="cs"/>
          <w:rtl/>
        </w:rPr>
        <w:t>,</w:t>
      </w:r>
      <w:r>
        <w:rPr>
          <w:rFonts w:cs="Arial"/>
          <w:rtl/>
        </w:rPr>
        <w:t xml:space="preserve"> מניעת פריעת הכתובה לא נקרא שכר כיון שלא קיבל ממנה כלום. ואם יש לה עליו בלאות חייב לפרוע אותם כדי שלא יהא חוטא נשכר כו</w:t>
      </w:r>
      <w:r>
        <w:rPr>
          <w:rFonts w:cs="Arial" w:hint="cs"/>
          <w:rtl/>
        </w:rPr>
        <w:t>'.</w:t>
      </w:r>
    </w:p>
    <w:p w14:paraId="0B1A79C1" w14:textId="77777777" w:rsidR="002E5BAD" w:rsidRDefault="002E5BAD" w:rsidP="002E5BAD">
      <w:pPr>
        <w:rPr>
          <w:rtl/>
        </w:rPr>
      </w:pPr>
    </w:p>
    <w:p w14:paraId="11BD9F4F" w14:textId="77777777" w:rsidR="002E5BAD" w:rsidRDefault="002E5BAD" w:rsidP="002E5BAD">
      <w:pPr>
        <w:pStyle w:val="2"/>
        <w:rPr>
          <w:rtl/>
        </w:rPr>
      </w:pPr>
      <w:r>
        <w:rPr>
          <w:rtl/>
        </w:rPr>
        <w:t>סעיף ב</w:t>
      </w:r>
      <w:r>
        <w:rPr>
          <w:rFonts w:hint="cs"/>
          <w:rtl/>
        </w:rPr>
        <w:t xml:space="preserve">: </w:t>
      </w:r>
      <w:r w:rsidRPr="00BC450C">
        <w:rPr>
          <w:rFonts w:cs="Arial"/>
          <w:rtl/>
        </w:rPr>
        <w:t>הוחזקה נדה בשכנותיה</w:t>
      </w:r>
      <w:r>
        <w:rPr>
          <w:rFonts w:hint="cs"/>
          <w:rtl/>
        </w:rPr>
        <w:t>.</w:t>
      </w:r>
    </w:p>
    <w:p w14:paraId="32954409" w14:textId="77777777" w:rsidR="002E5BAD" w:rsidRPr="000070F1" w:rsidRDefault="002E5BAD" w:rsidP="002E5BAD">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 ואיזו היא דת משה? מאכילתו שאינו מעושר, ומשמשתו נדה</w:t>
      </w:r>
      <w:r>
        <w:rPr>
          <w:rFonts w:cs="Arial" w:hint="cs"/>
          <w:rtl/>
        </w:rPr>
        <w:t>..</w:t>
      </w:r>
      <w:r w:rsidRPr="00287A5F">
        <w:rPr>
          <w:rFonts w:cs="Arial"/>
          <w:rtl/>
        </w:rPr>
        <w:t>.</w:t>
      </w:r>
      <w:r>
        <w:rPr>
          <w:rFonts w:hint="cs"/>
          <w:rtl/>
        </w:rPr>
        <w:t xml:space="preserve">       </w:t>
      </w:r>
      <w:r w:rsidRPr="00972691">
        <w:rPr>
          <w:rFonts w:hint="cs"/>
          <w:u w:val="double"/>
          <w:rtl/>
        </w:rPr>
        <w:t>גמ'</w:t>
      </w:r>
      <w:r>
        <w:rPr>
          <w:rFonts w:hint="cs"/>
          <w:rtl/>
        </w:rPr>
        <w:t>:</w:t>
      </w:r>
      <w:r>
        <w:rPr>
          <w:rFonts w:cs="Arial"/>
          <w:rtl/>
        </w:rPr>
        <w:t xml:space="preserve"> ומשמשתו נדה. היכי דמי? אי דידע בה, נפרוש! אי דלא ידע, נסמוך עילוה! דא"ר חיננא בר כהנא אמר שמואל: מנין לנדה שסופרת לעצמה? שנאמר: וספרה לה שבעת ימים, לה - לעצמה! לא</w:t>
      </w:r>
      <w:r>
        <w:rPr>
          <w:rFonts w:cs="Arial" w:hint="cs"/>
          <w:rtl/>
        </w:rPr>
        <w:t>,</w:t>
      </w:r>
      <w:r>
        <w:rPr>
          <w:rFonts w:cs="Arial"/>
          <w:rtl/>
        </w:rPr>
        <w:t xml:space="preserve"> צריכא, דאמרה ליה פלוני חכם טיהר לי את הדם, ואזל שייליה ואשתכח שיקרא. ואיבעית אימא: כדרב יהודה, דאמר רב יהודה: הוחזקה נדה בשכינותיה</w:t>
      </w:r>
      <w:r>
        <w:rPr>
          <w:rStyle w:val="a7"/>
          <w:rFonts w:cs="Arial"/>
          <w:rtl/>
        </w:rPr>
        <w:footnoteReference w:id="3118"/>
      </w:r>
      <w:r>
        <w:rPr>
          <w:rFonts w:cs="Arial"/>
          <w:rtl/>
        </w:rPr>
        <w:t>, בעלה לוקה</w:t>
      </w:r>
      <w:r>
        <w:rPr>
          <w:rStyle w:val="a7"/>
          <w:rFonts w:cs="Arial"/>
          <w:rtl/>
        </w:rPr>
        <w:footnoteReference w:id="3119"/>
      </w:r>
      <w:r>
        <w:rPr>
          <w:rFonts w:cs="Arial"/>
          <w:rtl/>
        </w:rPr>
        <w:t xml:space="preserve"> עליה משום נדה.</w:t>
      </w:r>
    </w:p>
    <w:p w14:paraId="235FD8CD" w14:textId="77777777" w:rsidR="002E5BAD" w:rsidRPr="00FE5774" w:rsidRDefault="002E5BAD" w:rsidP="002E5BAD">
      <w:pPr>
        <w:rPr>
          <w:u w:val="single"/>
          <w:rtl/>
        </w:rPr>
      </w:pPr>
      <w:r w:rsidRPr="00FE5774">
        <w:rPr>
          <w:rFonts w:cs="Arial"/>
          <w:u w:val="single"/>
          <w:rtl/>
        </w:rPr>
        <w:t>הוחזקה נדה בשכנותיה</w:t>
      </w:r>
      <w:r w:rsidRPr="00FE5774">
        <w:rPr>
          <w:rFonts w:hint="cs"/>
          <w:u w:val="single"/>
          <w:rtl/>
        </w:rPr>
        <w:t>:</w:t>
      </w:r>
    </w:p>
    <w:p w14:paraId="2F0CE78C" w14:textId="77777777" w:rsidR="002E5BAD" w:rsidRPr="00281DE0" w:rsidRDefault="002E5BAD" w:rsidP="00B75458">
      <w:pPr>
        <w:pStyle w:val="ab"/>
        <w:numPr>
          <w:ilvl w:val="0"/>
          <w:numId w:val="204"/>
        </w:numPr>
      </w:pPr>
      <w:r>
        <w:rPr>
          <w:rFonts w:cs="Arial" w:hint="cs"/>
          <w:rtl/>
        </w:rPr>
        <w:t xml:space="preserve">טור- </w:t>
      </w:r>
      <w:r w:rsidRPr="00671DE4">
        <w:rPr>
          <w:rFonts w:cs="Arial"/>
          <w:rtl/>
        </w:rPr>
        <w:t>הוחזקה נדה בשכנותיה</w:t>
      </w:r>
      <w:r>
        <w:rPr>
          <w:rFonts w:cs="Arial" w:hint="cs"/>
          <w:rtl/>
        </w:rPr>
        <w:t>,</w:t>
      </w:r>
      <w:r w:rsidRPr="00671DE4">
        <w:rPr>
          <w:rFonts w:cs="Arial"/>
          <w:rtl/>
        </w:rPr>
        <w:t xml:space="preserve"> שראוה לובשת בגדי נדותה</w:t>
      </w:r>
      <w:r>
        <w:rPr>
          <w:rFonts w:cs="Arial" w:hint="cs"/>
          <w:rtl/>
        </w:rPr>
        <w:t>,</w:t>
      </w:r>
      <w:r w:rsidRPr="00671DE4">
        <w:rPr>
          <w:rFonts w:cs="Arial"/>
          <w:rtl/>
        </w:rPr>
        <w:t xml:space="preserve"> ואמרה לו טהורה אני</w:t>
      </w:r>
      <w:r>
        <w:rPr>
          <w:rFonts w:cs="Arial" w:hint="cs"/>
          <w:rtl/>
        </w:rPr>
        <w:t>,</w:t>
      </w:r>
      <w:r w:rsidRPr="00671DE4">
        <w:rPr>
          <w:rFonts w:cs="Arial"/>
          <w:rtl/>
        </w:rPr>
        <w:t xml:space="preserve"> ובא עליה</w:t>
      </w:r>
      <w:r>
        <w:rPr>
          <w:rFonts w:cs="Arial" w:hint="cs"/>
          <w:rtl/>
        </w:rPr>
        <w:t xml:space="preserve"> -</w:t>
      </w:r>
      <w:r w:rsidRPr="00671DE4">
        <w:rPr>
          <w:rFonts w:cs="Arial"/>
          <w:rtl/>
        </w:rPr>
        <w:t xml:space="preserve"> יוצאת כלא כתובה</w:t>
      </w:r>
      <w:r>
        <w:rPr>
          <w:rFonts w:cs="Arial" w:hint="cs"/>
          <w:rtl/>
        </w:rPr>
        <w:t>.</w:t>
      </w:r>
      <w:r w:rsidRPr="00671DE4">
        <w:rPr>
          <w:rFonts w:cs="Arial"/>
          <w:rtl/>
        </w:rPr>
        <w:t xml:space="preserve"> </w:t>
      </w:r>
    </w:p>
    <w:p w14:paraId="1D1BACB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BEC86B" w14:textId="77777777" w:rsidR="002E5BAD" w:rsidRDefault="002E5BAD" w:rsidP="002E5BAD">
      <w:pPr>
        <w:rPr>
          <w:rtl/>
        </w:rPr>
      </w:pPr>
      <w:r>
        <w:rPr>
          <w:rFonts w:cs="Arial"/>
          <w:rtl/>
        </w:rPr>
        <w:t>הוחזקה נדה בשכנותיה, שראוה לובשת בגדי נדותה, ואמרה לו: טהורה אני, ובא עליה</w:t>
      </w:r>
      <w:r>
        <w:rPr>
          <w:rStyle w:val="a7"/>
          <w:rFonts w:cs="Arial"/>
          <w:rtl/>
        </w:rPr>
        <w:footnoteReference w:id="3120"/>
      </w:r>
      <w:r>
        <w:rPr>
          <w:rFonts w:cs="Arial"/>
          <w:rtl/>
        </w:rPr>
        <w:t xml:space="preserve">, יוצאת בלא כתובה. </w:t>
      </w:r>
    </w:p>
    <w:p w14:paraId="371B9114" w14:textId="77777777" w:rsidR="002E5BAD" w:rsidRDefault="002E5BAD" w:rsidP="002E5BAD">
      <w:pPr>
        <w:rPr>
          <w:rtl/>
        </w:rPr>
      </w:pPr>
    </w:p>
    <w:p w14:paraId="37998ECC" w14:textId="77777777" w:rsidR="002E5BAD" w:rsidRDefault="002E5BAD" w:rsidP="002E5BAD">
      <w:pPr>
        <w:pStyle w:val="2"/>
        <w:rPr>
          <w:rtl/>
        </w:rPr>
      </w:pPr>
      <w:r>
        <w:rPr>
          <w:rtl/>
        </w:rPr>
        <w:lastRenderedPageBreak/>
        <w:t>סעיף ג</w:t>
      </w:r>
      <w:r>
        <w:rPr>
          <w:rFonts w:hint="cs"/>
          <w:rtl/>
        </w:rPr>
        <w:t>: נודרת ואינה מקיימת.</w:t>
      </w:r>
    </w:p>
    <w:p w14:paraId="1907FC7B" w14:textId="77777777" w:rsidR="002E5BAD" w:rsidRPr="003014ED" w:rsidRDefault="002E5BAD" w:rsidP="002E5BAD">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 ואיזו היא דת משה? מאכילתו שאינו מעושר, ומשמשתו נדה, ולא קוצה לה חלה, ונודרת ואינה מקיימת.</w:t>
      </w:r>
      <w:r>
        <w:rPr>
          <w:rFonts w:cs="Arial" w:hint="cs"/>
          <w:rtl/>
        </w:rPr>
        <w:t>.</w:t>
      </w:r>
      <w:r w:rsidRPr="00287A5F">
        <w:rPr>
          <w:rFonts w:cs="Arial"/>
          <w:rtl/>
        </w:rPr>
        <w:t>.</w:t>
      </w:r>
      <w:r>
        <w:rPr>
          <w:rFonts w:hint="cs"/>
          <w:rtl/>
        </w:rPr>
        <w:t xml:space="preserve">       </w:t>
      </w:r>
      <w:r w:rsidRPr="00972691">
        <w:rPr>
          <w:rFonts w:hint="cs"/>
          <w:u w:val="double"/>
          <w:rtl/>
        </w:rPr>
        <w:t>גמ'</w:t>
      </w:r>
      <w:r>
        <w:rPr>
          <w:rFonts w:hint="cs"/>
          <w:rtl/>
        </w:rPr>
        <w:t>:</w:t>
      </w:r>
      <w:r>
        <w:rPr>
          <w:rFonts w:cs="Arial"/>
          <w:rtl/>
        </w:rPr>
        <w:t xml:space="preserve"> </w:t>
      </w:r>
      <w:r w:rsidRPr="003014ED">
        <w:rPr>
          <w:rFonts w:cs="Arial"/>
          <w:rtl/>
        </w:rPr>
        <w:t xml:space="preserve">ונודרת ואינה מקיימת. </w:t>
      </w:r>
      <w:r w:rsidRPr="003014ED">
        <w:rPr>
          <w:rFonts w:cs="Arial"/>
          <w:u w:val="single"/>
          <w:rtl/>
        </w:rPr>
        <w:t>דאמר מר</w:t>
      </w:r>
      <w:r w:rsidRPr="003014ED">
        <w:rPr>
          <w:rFonts w:cs="Arial"/>
          <w:rtl/>
        </w:rPr>
        <w:t>: בעון נדרים בנים מתים, שנאמר: אל תתן את פיך לחטיא את בשרך וגו'</w:t>
      </w:r>
      <w:r>
        <w:rPr>
          <w:rStyle w:val="a7"/>
          <w:rFonts w:cs="Arial"/>
          <w:rtl/>
        </w:rPr>
        <w:footnoteReference w:id="3121"/>
      </w:r>
      <w:r w:rsidRPr="003014ED">
        <w:rPr>
          <w:rFonts w:cs="Arial"/>
          <w:rtl/>
        </w:rPr>
        <w:t xml:space="preserve">, ואיזו הן מעשה ידיו של אדם? הוי אומר בניו ובנותיו. </w:t>
      </w:r>
      <w:r w:rsidRPr="003014ED">
        <w:rPr>
          <w:rFonts w:cs="Arial"/>
          <w:u w:val="single"/>
          <w:rtl/>
        </w:rPr>
        <w:t>רב נחמן אמר מהכא</w:t>
      </w:r>
      <w:r>
        <w:rPr>
          <w:rFonts w:cs="Arial" w:hint="cs"/>
          <w:rtl/>
        </w:rPr>
        <w:t>:</w:t>
      </w:r>
      <w:r w:rsidRPr="003014ED">
        <w:rPr>
          <w:rFonts w:cs="Arial"/>
          <w:rtl/>
        </w:rPr>
        <w:t xml:space="preserve"> לשוא הכיתי את בניכם, לשוא - על עסקי שוא. תניא, </w:t>
      </w:r>
      <w:r w:rsidRPr="003014ED">
        <w:rPr>
          <w:rFonts w:cs="Arial"/>
          <w:u w:val="single"/>
          <w:rtl/>
        </w:rPr>
        <w:t>היה ר"מ אומר</w:t>
      </w:r>
      <w:r w:rsidRPr="003014ED">
        <w:rPr>
          <w:rFonts w:cs="Arial"/>
          <w:rtl/>
        </w:rPr>
        <w:t>: כל היודע באשתו שנודרת ואינה מקיימת - יחזור וידירנה. ידירנה, במאי מתקן לה? אלא יחזור ויקניטנה, כדי שתדור בפניו ויפר לה, אמרו לו: אין אדם דר עם נחש בכפיפה.</w:t>
      </w:r>
    </w:p>
    <w:p w14:paraId="626DC263" w14:textId="77777777" w:rsidR="002E5BAD" w:rsidRPr="003014ED" w:rsidRDefault="002E5BAD" w:rsidP="002E5BAD">
      <w:pPr>
        <w:rPr>
          <w:u w:val="single"/>
          <w:rtl/>
        </w:rPr>
      </w:pPr>
      <w:r w:rsidRPr="003014ED">
        <w:rPr>
          <w:rFonts w:hint="cs"/>
          <w:u w:val="single"/>
          <w:rtl/>
        </w:rPr>
        <w:t>נודרת ואינה מקיימת:</w:t>
      </w:r>
    </w:p>
    <w:p w14:paraId="27C749A6" w14:textId="77777777" w:rsidR="002E5BAD" w:rsidRPr="001D1B32" w:rsidRDefault="002E5BAD" w:rsidP="00B75458">
      <w:pPr>
        <w:pStyle w:val="ab"/>
        <w:numPr>
          <w:ilvl w:val="0"/>
          <w:numId w:val="204"/>
        </w:numPr>
      </w:pPr>
      <w:r>
        <w:rPr>
          <w:rFonts w:cs="Arial" w:hint="cs"/>
          <w:rtl/>
        </w:rPr>
        <w:t xml:space="preserve">טור- </w:t>
      </w:r>
      <w:r w:rsidRPr="00671DE4">
        <w:rPr>
          <w:rFonts w:cs="Arial"/>
          <w:rtl/>
        </w:rPr>
        <w:t xml:space="preserve">הנודרת ואינה מקיימת </w:t>
      </w:r>
      <w:r>
        <w:rPr>
          <w:rFonts w:cs="Arial" w:hint="cs"/>
          <w:rtl/>
        </w:rPr>
        <w:t xml:space="preserve">- </w:t>
      </w:r>
      <w:r w:rsidRPr="00671DE4">
        <w:rPr>
          <w:rFonts w:cs="Arial"/>
          <w:rtl/>
        </w:rPr>
        <w:t>תצא בלא כתובה</w:t>
      </w:r>
      <w:r>
        <w:rPr>
          <w:rFonts w:cs="Arial" w:hint="cs"/>
          <w:rtl/>
        </w:rPr>
        <w:t>,</w:t>
      </w:r>
      <w:r w:rsidRPr="00671DE4">
        <w:rPr>
          <w:rFonts w:cs="Arial"/>
          <w:rtl/>
        </w:rPr>
        <w:t xml:space="preserve"> דבעון נדרים בנים מתים קטנים</w:t>
      </w:r>
      <w:r>
        <w:rPr>
          <w:rFonts w:cs="Arial" w:hint="cs"/>
          <w:rtl/>
        </w:rPr>
        <w:t>.</w:t>
      </w:r>
      <w:r w:rsidRPr="00671DE4">
        <w:rPr>
          <w:rFonts w:cs="Arial"/>
          <w:rtl/>
        </w:rPr>
        <w:t xml:space="preserve"> </w:t>
      </w:r>
      <w:r w:rsidRPr="00E0450D">
        <w:rPr>
          <w:rFonts w:hint="cs"/>
          <w:color w:val="E36C0A" w:themeColor="accent6" w:themeShade="BF"/>
          <w:rtl/>
        </w:rPr>
        <w:t>(וכ"פ בשו"ע)</w:t>
      </w:r>
    </w:p>
    <w:p w14:paraId="23613E8C" w14:textId="77777777" w:rsidR="002E5BAD" w:rsidRPr="00485762" w:rsidRDefault="002E5BAD" w:rsidP="002E5BAD">
      <w:pPr>
        <w:ind w:left="360"/>
        <w:rPr>
          <w:u w:val="dotted"/>
        </w:rPr>
      </w:pPr>
      <w:r w:rsidRPr="00485762">
        <w:rPr>
          <w:rFonts w:hint="cs"/>
          <w:u w:val="dotted"/>
          <w:rtl/>
        </w:rPr>
        <w:t>ומה הדין אם גם הוא נודר ואינו מקיים:</w:t>
      </w:r>
    </w:p>
    <w:p w14:paraId="64A94125" w14:textId="77777777" w:rsidR="002E5BAD" w:rsidRPr="00CD1A02" w:rsidRDefault="002E5BAD" w:rsidP="00B75458">
      <w:pPr>
        <w:pStyle w:val="ab"/>
        <w:numPr>
          <w:ilvl w:val="0"/>
          <w:numId w:val="204"/>
        </w:numPr>
      </w:pPr>
      <w:r w:rsidRPr="001D1B32">
        <w:rPr>
          <w:rFonts w:cs="Arial" w:hint="cs"/>
          <w:rtl/>
        </w:rPr>
        <w:t>מהר"ם</w:t>
      </w:r>
      <w:r>
        <w:rPr>
          <w:rFonts w:cs="Arial" w:hint="cs"/>
          <w:rtl/>
        </w:rPr>
        <w:t xml:space="preserve"> </w:t>
      </w:r>
      <w:r>
        <w:rPr>
          <w:rFonts w:cs="Arial" w:hint="cs"/>
          <w:sz w:val="16"/>
          <w:szCs w:val="16"/>
          <w:rtl/>
        </w:rPr>
        <w:t>(</w:t>
      </w:r>
      <w:r w:rsidRPr="00485762">
        <w:rPr>
          <w:rFonts w:cs="Arial"/>
          <w:sz w:val="16"/>
          <w:szCs w:val="16"/>
          <w:rtl/>
        </w:rPr>
        <w:t>ספר סיני וליקוטים סי</w:t>
      </w:r>
      <w:r>
        <w:rPr>
          <w:rFonts w:cs="Arial" w:hint="cs"/>
          <w:sz w:val="16"/>
          <w:szCs w:val="16"/>
          <w:rtl/>
        </w:rPr>
        <w:t>'</w:t>
      </w:r>
      <w:r w:rsidRPr="00485762">
        <w:rPr>
          <w:rFonts w:cs="Arial"/>
          <w:sz w:val="16"/>
          <w:szCs w:val="16"/>
          <w:rtl/>
        </w:rPr>
        <w:t xml:space="preserve"> שסב</w:t>
      </w:r>
      <w:r>
        <w:rPr>
          <w:rFonts w:cs="Arial" w:hint="cs"/>
          <w:sz w:val="16"/>
          <w:szCs w:val="16"/>
          <w:rtl/>
        </w:rPr>
        <w:t>, העתיקו דבריו הרשב"א [</w:t>
      </w:r>
      <w:r w:rsidRPr="001D1B32">
        <w:rPr>
          <w:rFonts w:cs="Arial"/>
          <w:sz w:val="16"/>
          <w:szCs w:val="16"/>
          <w:rtl/>
        </w:rPr>
        <w:t>ח"א סי</w:t>
      </w:r>
      <w:r w:rsidRPr="001D1B32">
        <w:rPr>
          <w:rFonts w:cs="Arial" w:hint="cs"/>
          <w:sz w:val="16"/>
          <w:szCs w:val="16"/>
          <w:rtl/>
        </w:rPr>
        <w:t>'</w:t>
      </w:r>
      <w:r w:rsidRPr="001D1B32">
        <w:rPr>
          <w:rFonts w:cs="Arial"/>
          <w:sz w:val="16"/>
          <w:szCs w:val="16"/>
          <w:rtl/>
        </w:rPr>
        <w:t xml:space="preserve"> תתסו</w:t>
      </w:r>
      <w:r>
        <w:rPr>
          <w:rFonts w:cs="Arial" w:hint="cs"/>
          <w:sz w:val="16"/>
          <w:szCs w:val="16"/>
          <w:rtl/>
        </w:rPr>
        <w:t>] המרדכי [סי' קצו] והג"א [כתובות פ"ז סי' ט הגהה ה])</w:t>
      </w:r>
      <w:r w:rsidRPr="001D1B32">
        <w:rPr>
          <w:rFonts w:cs="Arial" w:hint="cs"/>
          <w:rtl/>
        </w:rPr>
        <w:t>-</w:t>
      </w:r>
      <w:r w:rsidRPr="001D1B32">
        <w:rPr>
          <w:rFonts w:cs="Arial"/>
          <w:rtl/>
        </w:rPr>
        <w:t xml:space="preserve"> </w:t>
      </w:r>
      <w:r w:rsidRPr="00485762">
        <w:rPr>
          <w:rFonts w:cs="Arial"/>
          <w:rtl/>
        </w:rPr>
        <w:t>אמנם יש לדקדק במה שכתבת שהיא הביאה עדים שגם הוא עבר על החרם. אם אותם עדים שהביא הוא שהיא עברה על דת, היינו מזה שנודרת ואינה מקיימת ועוברת חרמות, נ"ל שאינו יכול להוציאה בלא כתובה. דטעמא</w:t>
      </w:r>
      <w:r>
        <w:rPr>
          <w:rFonts w:cs="Arial" w:hint="cs"/>
          <w:rtl/>
        </w:rPr>
        <w:t xml:space="preserve"> </w:t>
      </w:r>
      <w:r w:rsidRPr="00485762">
        <w:rPr>
          <w:rFonts w:cs="Arial"/>
          <w:rtl/>
        </w:rPr>
        <w:t xml:space="preserve">מאי אמור רבנן נודרת ואינה מקיימת יוצאה בלא כתובה, דמצי למימר אין אשה אלא לבנים </w:t>
      </w:r>
      <w:r>
        <w:rPr>
          <w:rFonts w:cs="Arial" w:hint="cs"/>
          <w:rtl/>
        </w:rPr>
        <w:t>(</w:t>
      </w:r>
      <w:r w:rsidRPr="00485762">
        <w:rPr>
          <w:rFonts w:cs="Arial"/>
          <w:rtl/>
        </w:rPr>
        <w:t>כתובות נט</w:t>
      </w:r>
      <w:r>
        <w:rPr>
          <w:rFonts w:cs="Arial" w:hint="cs"/>
          <w:rtl/>
        </w:rPr>
        <w:t>:)</w:t>
      </w:r>
      <w:r w:rsidRPr="00485762">
        <w:rPr>
          <w:rFonts w:cs="Arial"/>
          <w:rtl/>
        </w:rPr>
        <w:t xml:space="preserve"> ובעון נדרים בנים מתים </w:t>
      </w:r>
      <w:r>
        <w:rPr>
          <w:rFonts w:cs="Arial" w:hint="cs"/>
          <w:rtl/>
        </w:rPr>
        <w:t>(</w:t>
      </w:r>
      <w:r w:rsidRPr="00485762">
        <w:rPr>
          <w:rFonts w:cs="Arial"/>
          <w:rtl/>
        </w:rPr>
        <w:t>שם עב</w:t>
      </w:r>
      <w:r>
        <w:rPr>
          <w:rFonts w:cs="Arial" w:hint="cs"/>
          <w:rtl/>
        </w:rPr>
        <w:t>.)</w:t>
      </w:r>
      <w:r w:rsidRPr="00485762">
        <w:rPr>
          <w:rFonts w:cs="Arial"/>
          <w:rtl/>
        </w:rPr>
        <w:t>, וכיון שגם הוא עובר חרמות, ההוא גברא לא בעי בני, ואין טענתו טענה</w:t>
      </w:r>
      <w:r w:rsidRPr="001D1B32">
        <w:rPr>
          <w:rFonts w:cs="Arial"/>
          <w:rtl/>
        </w:rPr>
        <w:t>.</w:t>
      </w:r>
      <w:r w:rsidRPr="00E0450D">
        <w:rPr>
          <w:rFonts w:hint="cs"/>
          <w:color w:val="00B0F0"/>
          <w:rtl/>
        </w:rPr>
        <w:t xml:space="preserve"> (וכ"פ הרמ"א)</w:t>
      </w:r>
    </w:p>
    <w:p w14:paraId="4C3522CD" w14:textId="77777777" w:rsidR="002E5BAD" w:rsidRPr="00CD1A02" w:rsidRDefault="002E5BAD" w:rsidP="002E5BAD">
      <w:pPr>
        <w:ind w:left="360"/>
        <w:rPr>
          <w:u w:val="dotted"/>
        </w:rPr>
      </w:pPr>
      <w:r w:rsidRPr="00CD1A02">
        <w:rPr>
          <w:rFonts w:hint="cs"/>
          <w:u w:val="dotted"/>
          <w:rtl/>
        </w:rPr>
        <w:t xml:space="preserve">ומה הדין אם היא עוברת על שאר דת משה ויהודית </w:t>
      </w:r>
      <w:r w:rsidRPr="00CD1A02">
        <w:rPr>
          <w:rFonts w:hint="cs"/>
          <w:sz w:val="16"/>
          <w:szCs w:val="16"/>
          <w:u w:val="dotted"/>
          <w:rtl/>
        </w:rPr>
        <w:t>(לא על נדרים)</w:t>
      </w:r>
      <w:r w:rsidRPr="00CD1A02">
        <w:rPr>
          <w:rFonts w:hint="cs"/>
          <w:u w:val="dotted"/>
          <w:rtl/>
        </w:rPr>
        <w:t>, והוא עובר על נדרים</w:t>
      </w:r>
      <w:r>
        <w:rPr>
          <w:rFonts w:hint="cs"/>
          <w:sz w:val="16"/>
          <w:szCs w:val="16"/>
          <w:u w:val="dotted"/>
          <w:rtl/>
        </w:rPr>
        <w:t xml:space="preserve"> (וכן להפך)</w:t>
      </w:r>
      <w:r w:rsidRPr="00CD1A02">
        <w:rPr>
          <w:rFonts w:hint="cs"/>
          <w:u w:val="dotted"/>
          <w:rtl/>
        </w:rPr>
        <w:t>:</w:t>
      </w:r>
    </w:p>
    <w:p w14:paraId="2D84DDB4" w14:textId="77777777" w:rsidR="002E5BAD" w:rsidRDefault="002E5BAD" w:rsidP="00B75458">
      <w:pPr>
        <w:pStyle w:val="ab"/>
        <w:numPr>
          <w:ilvl w:val="0"/>
          <w:numId w:val="204"/>
        </w:numPr>
      </w:pPr>
      <w:r w:rsidRPr="001D1B32">
        <w:rPr>
          <w:rFonts w:cs="Arial"/>
          <w:rtl/>
        </w:rPr>
        <w:t xml:space="preserve">מרדכי </w:t>
      </w:r>
      <w:r w:rsidRPr="00EE6D01">
        <w:rPr>
          <w:rFonts w:cs="Arial" w:hint="cs"/>
          <w:sz w:val="16"/>
          <w:szCs w:val="16"/>
          <w:rtl/>
        </w:rPr>
        <w:t>(כתובות סי' קצו</w:t>
      </w:r>
      <w:r>
        <w:rPr>
          <w:rFonts w:cs="Arial" w:hint="cs"/>
          <w:sz w:val="16"/>
          <w:szCs w:val="16"/>
          <w:rtl/>
        </w:rPr>
        <w:t>)</w:t>
      </w:r>
      <w:r>
        <w:rPr>
          <w:rFonts w:cs="Arial" w:hint="cs"/>
          <w:rtl/>
        </w:rPr>
        <w:t>-</w:t>
      </w:r>
      <w:r w:rsidRPr="00485762">
        <w:rPr>
          <w:rFonts w:cs="Arial"/>
          <w:rtl/>
        </w:rPr>
        <w:t xml:space="preserve"> </w:t>
      </w:r>
      <w:r>
        <w:rPr>
          <w:rStyle w:val="a7"/>
          <w:rFonts w:cs="Arial"/>
          <w:rtl/>
        </w:rPr>
        <w:footnoteReference w:id="3122"/>
      </w:r>
      <w:r w:rsidRPr="00EE6D01">
        <w:rPr>
          <w:rFonts w:cs="Arial"/>
          <w:rtl/>
        </w:rPr>
        <w:t>אבל עדים המעידים על האשה שעוברת על שאר דת משה ויהודית</w:t>
      </w:r>
      <w:r w:rsidRPr="00EE6D01">
        <w:rPr>
          <w:rFonts w:cs="Arial" w:hint="cs"/>
          <w:rtl/>
        </w:rPr>
        <w:t>,</w:t>
      </w:r>
      <w:r w:rsidRPr="00EE6D01">
        <w:rPr>
          <w:rFonts w:cs="Arial"/>
          <w:rtl/>
        </w:rPr>
        <w:t xml:space="preserve"> אע</w:t>
      </w:r>
      <w:r w:rsidRPr="00EE6D01">
        <w:rPr>
          <w:rFonts w:cs="Arial" w:hint="cs"/>
          <w:rtl/>
        </w:rPr>
        <w:t>"</w:t>
      </w:r>
      <w:r w:rsidRPr="00EE6D01">
        <w:rPr>
          <w:rFonts w:cs="Arial"/>
          <w:rtl/>
        </w:rPr>
        <w:t>פ שהוא עובר חרמות</w:t>
      </w:r>
      <w:r>
        <w:rPr>
          <w:rFonts w:cs="Arial" w:hint="cs"/>
          <w:rtl/>
        </w:rPr>
        <w:t>,</w:t>
      </w:r>
      <w:r w:rsidRPr="00EE6D01">
        <w:rPr>
          <w:rFonts w:cs="Arial"/>
          <w:rtl/>
        </w:rPr>
        <w:t xml:space="preserve"> החשוד על דבר אחד אין חשוד לכל התורה כולה</w:t>
      </w:r>
      <w:r>
        <w:rPr>
          <w:rFonts w:cs="Arial" w:hint="cs"/>
          <w:rtl/>
        </w:rPr>
        <w:t>,</w:t>
      </w:r>
      <w:r w:rsidRPr="00EE6D01">
        <w:rPr>
          <w:rFonts w:cs="Arial"/>
          <w:rtl/>
        </w:rPr>
        <w:t xml:space="preserve"> ויכול להוציאה בלא כתובה בעל כרחה</w:t>
      </w:r>
      <w:r>
        <w:rPr>
          <w:rFonts w:cs="Arial" w:hint="cs"/>
          <w:rtl/>
        </w:rPr>
        <w:t>.</w:t>
      </w:r>
      <w:r w:rsidRPr="00EE6D01">
        <w:rPr>
          <w:rFonts w:cs="Arial"/>
          <w:rtl/>
        </w:rPr>
        <w:t xml:space="preserve"> דאיכא למימר דנהי דעבר עבירה שעובר על החרם מ"מ לא היה בא על הנדה</w:t>
      </w:r>
      <w:r>
        <w:rPr>
          <w:rFonts w:cs="Arial" w:hint="cs"/>
          <w:rtl/>
        </w:rPr>
        <w:t>.</w:t>
      </w:r>
      <w:r w:rsidRPr="00EE6D01">
        <w:rPr>
          <w:rFonts w:cs="Arial"/>
          <w:rtl/>
        </w:rPr>
        <w:t xml:space="preserve"> ואם משמשת נדה תצא או בשביל ד"א דשאר מילי דמיקריא בהו עוברת על דת ויכול לגרשה בעל כרחה וגם כתובתה הפסידה אם התרו בה</w:t>
      </w:r>
      <w:r w:rsidRPr="00EE6D01">
        <w:rPr>
          <w:rFonts w:cs="Arial" w:hint="cs"/>
          <w:rtl/>
        </w:rPr>
        <w:t>.</w:t>
      </w:r>
      <w:r>
        <w:rPr>
          <w:rFonts w:hint="cs"/>
          <w:rtl/>
        </w:rPr>
        <w:t xml:space="preserve"> (וכ"פ ח"מ </w:t>
      </w:r>
      <w:r>
        <w:rPr>
          <w:rFonts w:hint="cs"/>
          <w:sz w:val="16"/>
          <w:szCs w:val="16"/>
          <w:rtl/>
        </w:rPr>
        <w:t xml:space="preserve">[סק"ז] </w:t>
      </w:r>
      <w:r>
        <w:rPr>
          <w:rFonts w:hint="cs"/>
          <w:rtl/>
        </w:rPr>
        <w:t>וב"ש</w:t>
      </w:r>
      <w:r>
        <w:rPr>
          <w:rFonts w:hint="cs"/>
          <w:sz w:val="16"/>
          <w:szCs w:val="16"/>
          <w:rtl/>
        </w:rPr>
        <w:t xml:space="preserve"> [סק"ז]</w:t>
      </w:r>
      <w:r>
        <w:rPr>
          <w:rFonts w:hint="cs"/>
          <w:rtl/>
        </w:rPr>
        <w:t>)</w:t>
      </w:r>
    </w:p>
    <w:p w14:paraId="5D3A03F4" w14:textId="77777777" w:rsidR="002E5BAD" w:rsidRPr="00150DB4" w:rsidRDefault="002E5BAD" w:rsidP="002E5BAD">
      <w:pPr>
        <w:rPr>
          <w:u w:val="single"/>
        </w:rPr>
      </w:pPr>
      <w:r>
        <w:rPr>
          <w:rFonts w:hint="cs"/>
          <w:u w:val="single"/>
          <w:rtl/>
        </w:rPr>
        <w:t>א</w:t>
      </w:r>
      <w:r w:rsidRPr="00150DB4">
        <w:rPr>
          <w:rFonts w:hint="cs"/>
          <w:u w:val="single"/>
          <w:rtl/>
        </w:rPr>
        <w:t xml:space="preserve">שה שעוברת על </w:t>
      </w:r>
      <w:r>
        <w:rPr>
          <w:rFonts w:hint="cs"/>
          <w:u w:val="single"/>
          <w:rtl/>
        </w:rPr>
        <w:t>חרם ושבועה:</w:t>
      </w:r>
    </w:p>
    <w:p w14:paraId="15B67F03" w14:textId="77777777" w:rsidR="002E5BAD" w:rsidRPr="006F6C98" w:rsidRDefault="002E5BAD" w:rsidP="00B75458">
      <w:pPr>
        <w:pStyle w:val="ab"/>
        <w:numPr>
          <w:ilvl w:val="0"/>
          <w:numId w:val="204"/>
        </w:numPr>
      </w:pPr>
      <w:r w:rsidRPr="001D1B32">
        <w:rPr>
          <w:rFonts w:cs="Arial"/>
          <w:rtl/>
        </w:rPr>
        <w:t xml:space="preserve">מרדכי </w:t>
      </w:r>
      <w:r w:rsidRPr="00EE6D01">
        <w:rPr>
          <w:rFonts w:cs="Arial" w:hint="cs"/>
          <w:sz w:val="16"/>
          <w:szCs w:val="16"/>
          <w:rtl/>
        </w:rPr>
        <w:t>(כתובות סי' קצו</w:t>
      </w:r>
      <w:r>
        <w:rPr>
          <w:rFonts w:cs="Arial" w:hint="cs"/>
          <w:sz w:val="16"/>
          <w:szCs w:val="16"/>
          <w:rtl/>
        </w:rPr>
        <w:t>, וכ"כ הגה"מ [פכ"ד מאישות הי"א])</w:t>
      </w:r>
      <w:r>
        <w:rPr>
          <w:rFonts w:cs="Arial" w:hint="cs"/>
          <w:rtl/>
        </w:rPr>
        <w:t xml:space="preserve"> בשם</w:t>
      </w:r>
      <w:r w:rsidRPr="00150DB4">
        <w:rPr>
          <w:rFonts w:cs="Arial"/>
          <w:rtl/>
        </w:rPr>
        <w:t xml:space="preserve"> </w:t>
      </w:r>
      <w:r>
        <w:rPr>
          <w:rFonts w:cs="Arial" w:hint="cs"/>
          <w:rtl/>
        </w:rPr>
        <w:t>מ</w:t>
      </w:r>
      <w:r w:rsidRPr="00150DB4">
        <w:rPr>
          <w:rFonts w:cs="Arial"/>
          <w:rtl/>
        </w:rPr>
        <w:t>הר"ם</w:t>
      </w:r>
      <w:r>
        <w:rPr>
          <w:rFonts w:cs="Arial" w:hint="cs"/>
          <w:rtl/>
        </w:rPr>
        <w:t xml:space="preserve">- </w:t>
      </w:r>
      <w:r w:rsidRPr="00150DB4">
        <w:rPr>
          <w:rFonts w:cs="Arial"/>
          <w:rtl/>
        </w:rPr>
        <w:t>אשה שעוברת על חרם ושבועה עוברת על דת משה היא דהויא לה נודרת ואינה מקיימת</w:t>
      </w:r>
      <w:r>
        <w:rPr>
          <w:rFonts w:cs="Arial" w:hint="cs"/>
          <w:rtl/>
        </w:rPr>
        <w:t>.</w:t>
      </w:r>
      <w:r w:rsidRPr="00150DB4">
        <w:rPr>
          <w:rFonts w:cs="Arial"/>
          <w:rtl/>
        </w:rPr>
        <w:t xml:space="preserve"> ויכול לגרשה בלא הסכמת הקהלות</w:t>
      </w:r>
      <w:r>
        <w:rPr>
          <w:rFonts w:cs="Arial" w:hint="cs"/>
          <w:rtl/>
        </w:rPr>
        <w:t>.</w:t>
      </w:r>
      <w:r w:rsidRPr="00150DB4">
        <w:rPr>
          <w:rFonts w:cs="Arial"/>
          <w:rtl/>
        </w:rPr>
        <w:t xml:space="preserve"> ואע</w:t>
      </w:r>
      <w:r>
        <w:rPr>
          <w:rFonts w:cs="Arial" w:hint="cs"/>
          <w:rtl/>
        </w:rPr>
        <w:t>"</w:t>
      </w:r>
      <w:r w:rsidRPr="00150DB4">
        <w:rPr>
          <w:rFonts w:cs="Arial"/>
          <w:rtl/>
        </w:rPr>
        <w:t>ג דקא מיבעיא לן פרק ארוסה בעוברת על דת משה אם יכול לקיימה אם לאו</w:t>
      </w:r>
      <w:r>
        <w:rPr>
          <w:rFonts w:cs="Arial" w:hint="cs"/>
          <w:rtl/>
        </w:rPr>
        <w:t>,</w:t>
      </w:r>
      <w:r w:rsidRPr="00150DB4">
        <w:rPr>
          <w:rFonts w:cs="Arial"/>
          <w:rtl/>
        </w:rPr>
        <w:t xml:space="preserve"> מ"מ פשיטא שמצוה לגרשה ולהוציאה כיון שעוברת על דת</w:t>
      </w:r>
      <w:r>
        <w:rPr>
          <w:rFonts w:cs="Arial" w:hint="cs"/>
          <w:rtl/>
        </w:rPr>
        <w:t xml:space="preserve">. </w:t>
      </w:r>
      <w:r w:rsidRPr="00E0450D">
        <w:rPr>
          <w:rFonts w:hint="cs"/>
          <w:color w:val="00B0F0"/>
          <w:rtl/>
        </w:rPr>
        <w:t>(וכ"פ הרמ"א)</w:t>
      </w:r>
    </w:p>
    <w:p w14:paraId="153341A0" w14:textId="77777777" w:rsidR="002E5BAD" w:rsidRPr="00A86C98" w:rsidRDefault="002E5BAD" w:rsidP="002E5BAD">
      <w:pPr>
        <w:rPr>
          <w:u w:val="single"/>
        </w:rPr>
      </w:pPr>
      <w:r w:rsidRPr="00A86C98">
        <w:rPr>
          <w:rFonts w:hint="cs"/>
          <w:u w:val="single"/>
          <w:rtl/>
        </w:rPr>
        <w:t>אשה שאינה ראויה ללדת, ונודרת ואינה מקיימת. וכן הוצאת בלא כתובה מחמת נדרים במקום שפרוצים בנדרים:</w:t>
      </w:r>
    </w:p>
    <w:p w14:paraId="6A695F0E" w14:textId="77777777" w:rsidR="002E5BAD" w:rsidRPr="001D1B32" w:rsidRDefault="002E5BAD" w:rsidP="00B75458">
      <w:pPr>
        <w:pStyle w:val="ab"/>
        <w:numPr>
          <w:ilvl w:val="0"/>
          <w:numId w:val="204"/>
        </w:numPr>
      </w:pPr>
      <w:r w:rsidRPr="00D74B3E">
        <w:rPr>
          <w:rFonts w:cs="Arial" w:hint="cs"/>
          <w:rtl/>
        </w:rPr>
        <w:t>תרוה"ד</w:t>
      </w:r>
      <w:r w:rsidRPr="00D74B3E">
        <w:rPr>
          <w:rFonts w:cs="Arial"/>
          <w:rtl/>
        </w:rPr>
        <w:t xml:space="preserve"> </w:t>
      </w:r>
      <w:r w:rsidRPr="00D74B3E">
        <w:rPr>
          <w:rFonts w:cs="Arial" w:hint="cs"/>
          <w:sz w:val="16"/>
          <w:szCs w:val="16"/>
          <w:rtl/>
        </w:rPr>
        <w:t>(פסקים ו</w:t>
      </w:r>
      <w:r w:rsidRPr="00D74B3E">
        <w:rPr>
          <w:rFonts w:cs="Arial"/>
          <w:sz w:val="16"/>
          <w:szCs w:val="16"/>
          <w:rtl/>
        </w:rPr>
        <w:t>כתבי</w:t>
      </w:r>
      <w:r w:rsidRPr="00D74B3E">
        <w:rPr>
          <w:rFonts w:cs="Arial" w:hint="cs"/>
          <w:sz w:val="16"/>
          <w:szCs w:val="16"/>
          <w:rtl/>
        </w:rPr>
        <w:t>ם</w:t>
      </w:r>
      <w:r w:rsidRPr="00D74B3E">
        <w:rPr>
          <w:rFonts w:cs="Arial"/>
          <w:sz w:val="16"/>
          <w:szCs w:val="16"/>
          <w:rtl/>
        </w:rPr>
        <w:t xml:space="preserve"> סי</w:t>
      </w:r>
      <w:r w:rsidRPr="00D74B3E">
        <w:rPr>
          <w:rFonts w:cs="Arial" w:hint="cs"/>
          <w:sz w:val="16"/>
          <w:szCs w:val="16"/>
          <w:rtl/>
        </w:rPr>
        <w:t>'</w:t>
      </w:r>
      <w:r w:rsidRPr="00D74B3E">
        <w:rPr>
          <w:rFonts w:cs="Arial"/>
          <w:sz w:val="16"/>
          <w:szCs w:val="16"/>
          <w:rtl/>
        </w:rPr>
        <w:t xml:space="preserve"> סח</w:t>
      </w:r>
      <w:r w:rsidRPr="00D74B3E">
        <w:rPr>
          <w:rFonts w:cs="Arial" w:hint="cs"/>
          <w:sz w:val="16"/>
          <w:szCs w:val="16"/>
          <w:rtl/>
        </w:rPr>
        <w:t>)</w:t>
      </w:r>
      <w:r w:rsidRPr="00D74B3E">
        <w:rPr>
          <w:rFonts w:cs="Arial" w:hint="cs"/>
          <w:rtl/>
        </w:rPr>
        <w:t>-</w:t>
      </w:r>
      <w:r w:rsidRPr="00D74B3E">
        <w:rPr>
          <w:rFonts w:cs="Arial"/>
          <w:rtl/>
        </w:rPr>
        <w:t xml:space="preserve"> אשר שאלתני על אשה שיושבת תחת בעלה ואינה בת בנים</w:t>
      </w:r>
      <w:r>
        <w:rPr>
          <w:rFonts w:cs="Arial" w:hint="cs"/>
          <w:rtl/>
        </w:rPr>
        <w:t>,</w:t>
      </w:r>
      <w:r w:rsidRPr="00D74B3E">
        <w:rPr>
          <w:rFonts w:cs="Arial"/>
          <w:rtl/>
        </w:rPr>
        <w:t xml:space="preserve"> ונודרת ואינה מקיימת. ובעלה רוצה לגרשה בלא כתובה, דהיא מן היוצאים בלא כתובה, ומשמע מדברי מהר"ם דגם בזמנינו נוהג דין זה. אלא שהיא טוענת דהואיל ואינה בת בנים לא הפסידה כתובתה, דנודרת משום כלוי בנים</w:t>
      </w:r>
      <w:r>
        <w:rPr>
          <w:rFonts w:cs="Arial" w:hint="cs"/>
          <w:rtl/>
        </w:rPr>
        <w:t>,</w:t>
      </w:r>
      <w:r w:rsidRPr="00D74B3E">
        <w:rPr>
          <w:rFonts w:cs="Arial"/>
          <w:rtl/>
        </w:rPr>
        <w:t xml:space="preserve"> והרי היא אינה בת בנים.</w:t>
      </w:r>
      <w:r>
        <w:rPr>
          <w:rFonts w:cs="Arial" w:hint="cs"/>
          <w:rtl/>
        </w:rPr>
        <w:t>.</w:t>
      </w:r>
      <w:r w:rsidRPr="00D74B3E">
        <w:rPr>
          <w:rFonts w:cs="Arial"/>
          <w:rtl/>
        </w:rPr>
        <w:t xml:space="preserve">. לכאורה בצד הראשון יפה חלקת דהכי דייק מהר"ם במרדכי אהיכא דעובר הוא על החרם. אמנם נראה דיש לחלק ואיכא למימר דהיכא דאינה בת בנים מצי טעין אלו לא פשעת ונדרת ולא קיימת הוי מתרחיש לי ניסא כמו שנעשה לאמנו שרה ע"ה. והכי אשכחן ממש בתלמודא דהיכא דמצי למימר ליה דהוה לך למעבד מאי דמחייבת ולדידי הוי מתרחיש ניסא מצי טעין. כדאמרינן פ' המקבל </w:t>
      </w:r>
      <w:r>
        <w:rPr>
          <w:rFonts w:cs="Arial" w:hint="cs"/>
          <w:rtl/>
        </w:rPr>
        <w:t>(</w:t>
      </w:r>
      <w:r w:rsidRPr="00D74B3E">
        <w:rPr>
          <w:rFonts w:cs="Arial"/>
          <w:rtl/>
        </w:rPr>
        <w:t>ב"מ קו:</w:t>
      </w:r>
      <w:r>
        <w:rPr>
          <w:rFonts w:cs="Arial" w:hint="cs"/>
          <w:rtl/>
        </w:rPr>
        <w:t>)</w:t>
      </w:r>
      <w:r w:rsidRPr="00D74B3E">
        <w:rPr>
          <w:rFonts w:cs="Arial"/>
          <w:rtl/>
        </w:rPr>
        <w:t xml:space="preserve"> אהא דקאמר שמואל</w:t>
      </w:r>
      <w:r>
        <w:rPr>
          <w:rFonts w:cs="Arial" w:hint="cs"/>
          <w:rtl/>
        </w:rPr>
        <w:t>..</w:t>
      </w:r>
      <w:r w:rsidRPr="00D74B3E">
        <w:rPr>
          <w:rFonts w:cs="Arial"/>
          <w:rtl/>
        </w:rPr>
        <w:t>. אלמא דמצי למימר הוה מתרחיש לי ניסא, הכי נמי מצי טעין הוה מתקיים בי היפלא מה' דבר וגו'. אמנם לא ברירא לי לחלק מש"ה</w:t>
      </w:r>
      <w:r>
        <w:rPr>
          <w:rFonts w:cs="Arial" w:hint="cs"/>
          <w:rtl/>
        </w:rPr>
        <w:t>.</w:t>
      </w:r>
      <w:r w:rsidRPr="00D74B3E">
        <w:rPr>
          <w:rFonts w:cs="Arial"/>
          <w:rtl/>
        </w:rPr>
        <w:t xml:space="preserve"> אלא דהאידנא בלאו הכי אנשים ונשים פרוצים בנדרים צריך דקדוק היטב להוציא אשה בלא כתובה משום נדרים</w:t>
      </w:r>
      <w:r>
        <w:rPr>
          <w:rFonts w:cs="Arial" w:hint="cs"/>
          <w:rtl/>
        </w:rPr>
        <w:t>..</w:t>
      </w:r>
      <w:r w:rsidRPr="00D74B3E">
        <w:rPr>
          <w:rFonts w:cs="Arial" w:hint="cs"/>
          <w:rtl/>
        </w:rPr>
        <w:t>.</w:t>
      </w:r>
      <w:r>
        <w:rPr>
          <w:rFonts w:hint="cs"/>
          <w:rtl/>
        </w:rPr>
        <w:t xml:space="preserve"> (וכ"פ ח"מ </w:t>
      </w:r>
      <w:r>
        <w:rPr>
          <w:rFonts w:hint="cs"/>
          <w:sz w:val="16"/>
          <w:szCs w:val="16"/>
          <w:rtl/>
        </w:rPr>
        <w:t xml:space="preserve">[סק"ו] </w:t>
      </w:r>
      <w:r>
        <w:rPr>
          <w:rFonts w:hint="cs"/>
          <w:rtl/>
        </w:rPr>
        <w:t>וב"ש</w:t>
      </w:r>
      <w:r>
        <w:rPr>
          <w:rStyle w:val="a7"/>
          <w:rtl/>
        </w:rPr>
        <w:footnoteReference w:id="3123"/>
      </w:r>
      <w:r>
        <w:rPr>
          <w:rFonts w:hint="cs"/>
          <w:sz w:val="16"/>
          <w:szCs w:val="16"/>
          <w:rtl/>
        </w:rPr>
        <w:t xml:space="preserve"> [סק"ז]</w:t>
      </w:r>
      <w:r>
        <w:rPr>
          <w:rFonts w:hint="cs"/>
          <w:rtl/>
        </w:rPr>
        <w:t>)</w:t>
      </w:r>
    </w:p>
    <w:p w14:paraId="6770844F" w14:textId="77777777" w:rsidR="002E5BAD" w:rsidRPr="001D1B32" w:rsidRDefault="002E5BAD" w:rsidP="002E5BAD">
      <w:pPr>
        <w:rPr>
          <w:rFonts w:cs="Arial"/>
          <w:u w:val="single"/>
          <w:rtl/>
        </w:rPr>
      </w:pPr>
      <w:r w:rsidRPr="001D1B32">
        <w:rPr>
          <w:rFonts w:cs="Arial" w:hint="cs"/>
          <w:u w:val="single"/>
          <w:rtl/>
        </w:rPr>
        <w:lastRenderedPageBreak/>
        <w:t xml:space="preserve">אשה שהמירה דתה מאונס, ומיד כשיכלה חזרה בה </w:t>
      </w:r>
      <w:r w:rsidRPr="001D1B32">
        <w:rPr>
          <w:rFonts w:cs="Arial"/>
          <w:u w:val="single"/>
          <w:rtl/>
        </w:rPr>
        <w:t>–</w:t>
      </w:r>
      <w:r w:rsidRPr="001D1B32">
        <w:rPr>
          <w:rFonts w:cs="Arial" w:hint="cs"/>
          <w:u w:val="single"/>
          <w:rtl/>
        </w:rPr>
        <w:t xml:space="preserve"> האם יש לה כתובה:</w:t>
      </w:r>
    </w:p>
    <w:p w14:paraId="6290BDF0" w14:textId="77777777" w:rsidR="002E5BAD" w:rsidRPr="001D1B32" w:rsidRDefault="002E5BAD" w:rsidP="00B75458">
      <w:pPr>
        <w:pStyle w:val="ab"/>
        <w:numPr>
          <w:ilvl w:val="0"/>
          <w:numId w:val="204"/>
        </w:numPr>
        <w:rPr>
          <w:rFonts w:cs="Arial"/>
          <w:rtl/>
        </w:rPr>
      </w:pPr>
      <w:r w:rsidRPr="001D1B32">
        <w:rPr>
          <w:rFonts w:cs="Arial"/>
          <w:rtl/>
        </w:rPr>
        <w:t xml:space="preserve">רא"ש </w:t>
      </w:r>
      <w:r w:rsidRPr="001D1B32">
        <w:rPr>
          <w:rFonts w:cs="Arial" w:hint="cs"/>
          <w:sz w:val="16"/>
          <w:szCs w:val="16"/>
          <w:rtl/>
        </w:rPr>
        <w:t>(</w:t>
      </w:r>
      <w:r w:rsidRPr="001D1B32">
        <w:rPr>
          <w:rFonts w:cs="Arial"/>
          <w:sz w:val="16"/>
          <w:szCs w:val="16"/>
          <w:rtl/>
        </w:rPr>
        <w:t xml:space="preserve">כלל </w:t>
      </w:r>
      <w:r w:rsidRPr="001D1B32">
        <w:rPr>
          <w:rFonts w:cs="Arial" w:hint="cs"/>
          <w:sz w:val="16"/>
          <w:szCs w:val="16"/>
          <w:rtl/>
        </w:rPr>
        <w:t xml:space="preserve">לב </w:t>
      </w:r>
      <w:r w:rsidRPr="001D1B32">
        <w:rPr>
          <w:rFonts w:cs="Arial"/>
          <w:sz w:val="16"/>
          <w:szCs w:val="16"/>
          <w:rtl/>
        </w:rPr>
        <w:t>סי</w:t>
      </w:r>
      <w:r w:rsidRPr="001D1B32">
        <w:rPr>
          <w:rFonts w:cs="Arial" w:hint="cs"/>
          <w:sz w:val="16"/>
          <w:szCs w:val="16"/>
          <w:rtl/>
        </w:rPr>
        <w:t>'</w:t>
      </w:r>
      <w:r w:rsidRPr="001D1B32">
        <w:rPr>
          <w:rFonts w:cs="Arial"/>
          <w:sz w:val="16"/>
          <w:szCs w:val="16"/>
          <w:rtl/>
        </w:rPr>
        <w:t xml:space="preserve"> </w:t>
      </w:r>
      <w:r w:rsidRPr="001D1B32">
        <w:rPr>
          <w:rFonts w:cs="Arial" w:hint="cs"/>
          <w:sz w:val="16"/>
          <w:szCs w:val="16"/>
          <w:rtl/>
        </w:rPr>
        <w:t>ח)</w:t>
      </w:r>
      <w:r w:rsidRPr="001D1B32">
        <w:rPr>
          <w:rFonts w:cs="Arial" w:hint="cs"/>
          <w:rtl/>
        </w:rPr>
        <w:t xml:space="preserve">- </w:t>
      </w:r>
      <w:r w:rsidRPr="001D1B32">
        <w:rPr>
          <w:rFonts w:cs="Arial"/>
          <w:rtl/>
        </w:rPr>
        <w:t>על אודות הנשים אשר לא היה להם כח לעמוד בהיכל המלך ובעת הגזרה החליפו מפני אימת מות, וכאשר מצאו נס ונמלטו חזרו לדתן. אמת הדבר כי מאד הרעו לעשות וצריכות חרטה ותשובה וקבלת יסורין יותר מהמחליפין שלא בשעת הגזרה כי פרהסיא הוא</w:t>
      </w:r>
      <w:r w:rsidRPr="001D1B32">
        <w:rPr>
          <w:rFonts w:cs="Arial" w:hint="cs"/>
          <w:rtl/>
        </w:rPr>
        <w:t>...</w:t>
      </w:r>
      <w:r w:rsidRPr="001D1B32">
        <w:rPr>
          <w:rFonts w:cs="Arial"/>
          <w:rtl/>
        </w:rPr>
        <w:t xml:space="preserve"> ונראה לי שמותרות לבעליהן, אף על גב דתנן בפ"ב דכתובות (כו:) האשה שנחבשה בידי כותים על ידי ממון מותרת לבעלה על ידי נפשות אסורה לבעלה, ופי' רבינו תם אסורה לבעלה אפילו לישראל דחיישינן שמא נתרצית להבעל כדי למצוא חן בעיניהם שלא יהרגוה. הא ליכא למיחש, שהרי בשעת הגזרה קודם שחזרה לדתם אף אם היתה מתרצית ליבעל לא היתה ניצולת בכך, ואחרי שהוחלפה הדבר ידוע שיש לה שלום יותר משאם היתה כותית ואף לאנסה אינן רשאין, הילכך ליכא למיחש שמא נתרצית. ואין לומר אחרי שהוחלפה ואוכלת ושותה עמהם ג"כ הפקירה עצמה להם, כי הדבר ידוע שלבם לשמים אלא שמאימת מות החליפו.</w:t>
      </w:r>
      <w:r w:rsidRPr="001D1B32">
        <w:rPr>
          <w:rFonts w:cs="Arial" w:hint="cs"/>
          <w:rtl/>
        </w:rPr>
        <w:t xml:space="preserve">.. </w:t>
      </w:r>
      <w:r w:rsidRPr="001D1B32">
        <w:rPr>
          <w:rFonts w:cs="Arial"/>
          <w:rtl/>
        </w:rPr>
        <w:t>הנה הדבר ידוע ונראה שמיד שמוצאות מקום לימלט אינם מתאחרות אפי' רגע אחד. ואף על פי שנתיחדו זמן גדול בין הכותים קיי"ל שאין אוסרין על היחוד, הילכך נראה לי שמותרות לבעליהן. ויש רוצין לומר שיש להן דין עוברת על דת להפסיד כתובתה, ואמת הדבר כי עוברת על דת, ואף על גב דמאהבה ומיראה פטור ממיתה מכל מקום חייב אדם למסור נפשו על קידוש השם.</w:t>
      </w:r>
      <w:r w:rsidRPr="001D1B32">
        <w:rPr>
          <w:rFonts w:cs="Arial" w:hint="cs"/>
          <w:rtl/>
        </w:rPr>
        <w:t xml:space="preserve">.. </w:t>
      </w:r>
      <w:r w:rsidRPr="001D1B32">
        <w:rPr>
          <w:rFonts w:cs="Arial"/>
          <w:rtl/>
        </w:rPr>
        <w:t>מ"מ נראה לי דלא הפסידה כתובתה, דלא מיקריא עוברת על דת משה אלא בדברים שמכשלת בהם הבעל כדברים המפורשים במשנה (כתובות עב) מאכילתו שאינו מעושר ולא קוצה לו חלה ונודרת ואינה מקיימת ומשמשתו נדה.</w:t>
      </w:r>
      <w:r w:rsidRPr="001D1B32">
        <w:rPr>
          <w:rFonts w:cs="Arial" w:hint="cs"/>
          <w:rtl/>
        </w:rPr>
        <w:t>.</w:t>
      </w:r>
      <w:r w:rsidRPr="001D1B32">
        <w:rPr>
          <w:rFonts w:cs="Arial"/>
          <w:rtl/>
        </w:rPr>
        <w:t xml:space="preserve">. דוקא דת משה ויהודית דקתני במתני' אבל אכלה חלב נבלה </w:t>
      </w:r>
      <w:r w:rsidRPr="001D1B32">
        <w:rPr>
          <w:rFonts w:cs="Arial" w:hint="cs"/>
          <w:rtl/>
        </w:rPr>
        <w:t>ו</w:t>
      </w:r>
      <w:r w:rsidRPr="001D1B32">
        <w:rPr>
          <w:rFonts w:cs="Arial"/>
          <w:rtl/>
        </w:rPr>
        <w:t>דם אפי' למ"ד מומר לדבר אחד הוי מומר לכל התורה כולה אינה חשודה על אלו שאימת בעלה עליה כדאמרינן גבי עבד אימת רבו עליו ולא מגרש לה אלא בכתובתה. אמנם יש לדקדק שמא גם בדבר זה תקלה לבעלה שמא לבנים אשר תלד</w:t>
      </w:r>
      <w:r w:rsidRPr="001D1B32">
        <w:rPr>
          <w:rFonts w:cs="Arial" w:hint="cs"/>
          <w:rtl/>
        </w:rPr>
        <w:t>.</w:t>
      </w:r>
      <w:r w:rsidRPr="001D1B32">
        <w:rPr>
          <w:rFonts w:cs="Arial"/>
          <w:rtl/>
        </w:rPr>
        <w:t xml:space="preserve"> וגם שמא לא יהיה רשאי להיות עמה במקום שיפדוה שיכירוה. מיהו נראה לי שלא הפסידה כתובתה, דמסקינן בסוטה פרק ארוסה (כה) דעוברת על דת צריכה התראה להפסידה כתובתה. אלמא היכא דעברה על דת כמה פעמים ולא התרו בה אם תעבור על דת תפסידי כתובתך לא הפסידה. והנראה לי כתבתי אשר בן ה"ר יחיאל זצ"ל</w:t>
      </w:r>
      <w:r>
        <w:rPr>
          <w:rStyle w:val="a7"/>
          <w:rFonts w:cs="Arial"/>
          <w:rtl/>
        </w:rPr>
        <w:footnoteReference w:id="3124"/>
      </w:r>
      <w:r w:rsidRPr="001D1B32">
        <w:rPr>
          <w:rFonts w:cs="Arial"/>
          <w:rtl/>
        </w:rPr>
        <w:t xml:space="preserve">. </w:t>
      </w:r>
      <w:r w:rsidRPr="00E0450D">
        <w:rPr>
          <w:rFonts w:hint="cs"/>
          <w:color w:val="00B0F0"/>
          <w:rtl/>
        </w:rPr>
        <w:t xml:space="preserve"> (וכ"פ הרמ"א)</w:t>
      </w:r>
    </w:p>
    <w:p w14:paraId="65D387F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13D828" w14:textId="77777777" w:rsidR="002E5BAD" w:rsidRDefault="002E5BAD" w:rsidP="002E5BAD">
      <w:pPr>
        <w:rPr>
          <w:rtl/>
        </w:rPr>
      </w:pPr>
      <w:r>
        <w:rPr>
          <w:rFonts w:cs="Arial"/>
          <w:rtl/>
        </w:rPr>
        <w:t xml:space="preserve">הנודרת ואינה מקיימת, תצא בלא כתובה. </w:t>
      </w:r>
      <w:r w:rsidRPr="00C41C8D">
        <w:rPr>
          <w:rFonts w:cs="Arial"/>
          <w:sz w:val="18"/>
          <w:szCs w:val="18"/>
          <w:rtl/>
        </w:rPr>
        <w:t>הגה: וכן אם עברה על השבועה או על החרם (</w:t>
      </w:r>
      <w:r>
        <w:rPr>
          <w:rFonts w:cs="Arial" w:hint="cs"/>
          <w:sz w:val="18"/>
          <w:szCs w:val="18"/>
          <w:rtl/>
        </w:rPr>
        <w:t>מרדכי ו</w:t>
      </w:r>
      <w:r w:rsidRPr="00C41C8D">
        <w:rPr>
          <w:rFonts w:cs="Arial"/>
          <w:sz w:val="18"/>
          <w:szCs w:val="18"/>
          <w:rtl/>
        </w:rPr>
        <w:t>הג</w:t>
      </w:r>
      <w:r>
        <w:rPr>
          <w:rFonts w:cs="Arial" w:hint="cs"/>
          <w:sz w:val="18"/>
          <w:szCs w:val="18"/>
          <w:rtl/>
        </w:rPr>
        <w:t>ה"</w:t>
      </w:r>
      <w:r w:rsidRPr="00C41C8D">
        <w:rPr>
          <w:rFonts w:cs="Arial"/>
          <w:sz w:val="18"/>
          <w:szCs w:val="18"/>
          <w:rtl/>
        </w:rPr>
        <w:t>מ</w:t>
      </w:r>
      <w:r>
        <w:rPr>
          <w:rFonts w:cs="Arial" w:hint="cs"/>
          <w:sz w:val="18"/>
          <w:szCs w:val="18"/>
          <w:rtl/>
        </w:rPr>
        <w:t xml:space="preserve"> בשם מהר"ם</w:t>
      </w:r>
      <w:r w:rsidRPr="00C41C8D">
        <w:rPr>
          <w:rFonts w:cs="Arial"/>
          <w:sz w:val="18"/>
          <w:szCs w:val="18"/>
          <w:rtl/>
        </w:rPr>
        <w:t>). אבל אם היא מביאה עדים שגם הוא עובר על נדרים ושבועה וחרם, לא אבדה כתובתה אף אם היא עוברת</w:t>
      </w:r>
      <w:r>
        <w:rPr>
          <w:rStyle w:val="a7"/>
          <w:rFonts w:cs="Arial"/>
          <w:sz w:val="18"/>
          <w:szCs w:val="18"/>
          <w:rtl/>
        </w:rPr>
        <w:footnoteReference w:id="3125"/>
      </w:r>
      <w:r w:rsidRPr="00C41C8D">
        <w:rPr>
          <w:rFonts w:cs="Arial"/>
          <w:sz w:val="18"/>
          <w:szCs w:val="18"/>
          <w:rtl/>
        </w:rPr>
        <w:t xml:space="preserve"> (</w:t>
      </w:r>
      <w:r>
        <w:rPr>
          <w:rFonts w:cs="Arial" w:hint="cs"/>
          <w:sz w:val="18"/>
          <w:szCs w:val="18"/>
          <w:rtl/>
        </w:rPr>
        <w:t>מהר"ם</w:t>
      </w:r>
      <w:r w:rsidRPr="00C41C8D">
        <w:rPr>
          <w:rFonts w:cs="Arial"/>
          <w:sz w:val="18"/>
          <w:szCs w:val="18"/>
          <w:rtl/>
        </w:rPr>
        <w:t>). אשה שהמירה דתה</w:t>
      </w:r>
      <w:r>
        <w:rPr>
          <w:rStyle w:val="a7"/>
          <w:rFonts w:cs="Arial"/>
          <w:sz w:val="18"/>
          <w:szCs w:val="18"/>
          <w:rtl/>
        </w:rPr>
        <w:footnoteReference w:id="3126"/>
      </w:r>
      <w:r w:rsidRPr="00C41C8D">
        <w:rPr>
          <w:rFonts w:cs="Arial"/>
          <w:sz w:val="18"/>
          <w:szCs w:val="18"/>
          <w:rtl/>
        </w:rPr>
        <w:t xml:space="preserve"> וחזרה בה, אינה אלא כעוברת על דת, ולא הפסידה כתובתה אלא אחר התראה (רא"ש כלל לב</w:t>
      </w:r>
      <w:r>
        <w:rPr>
          <w:rFonts w:cs="Arial" w:hint="cs"/>
          <w:sz w:val="18"/>
          <w:szCs w:val="18"/>
          <w:rtl/>
        </w:rPr>
        <w:t xml:space="preserve"> סי' ח</w:t>
      </w:r>
      <w:r w:rsidRPr="00C41C8D">
        <w:rPr>
          <w:rFonts w:cs="Arial"/>
          <w:sz w:val="18"/>
          <w:szCs w:val="18"/>
          <w:rtl/>
        </w:rPr>
        <w:t xml:space="preserve">). </w:t>
      </w:r>
    </w:p>
    <w:p w14:paraId="37587709" w14:textId="77777777" w:rsidR="002E5BAD" w:rsidRPr="00861032" w:rsidRDefault="002E5BAD" w:rsidP="002E5BAD">
      <w:pPr>
        <w:rPr>
          <w:u w:val="single"/>
          <w:rtl/>
        </w:rPr>
      </w:pPr>
      <w:r w:rsidRPr="00861032">
        <w:rPr>
          <w:rFonts w:hint="cs"/>
          <w:u w:val="single"/>
          <w:rtl/>
        </w:rPr>
        <w:t xml:space="preserve">אשה שנשבעה </w:t>
      </w:r>
      <w:r>
        <w:rPr>
          <w:rFonts w:hint="cs"/>
          <w:u w:val="single"/>
          <w:rtl/>
        </w:rPr>
        <w:t>לא לעשות דבר מסויים</w:t>
      </w:r>
      <w:r w:rsidRPr="00CA7843">
        <w:rPr>
          <w:rFonts w:hint="cs"/>
          <w:sz w:val="16"/>
          <w:szCs w:val="16"/>
          <w:u w:val="single"/>
          <w:rtl/>
        </w:rPr>
        <w:t xml:space="preserve"> (לאו דוקא עברה)</w:t>
      </w:r>
      <w:r>
        <w:rPr>
          <w:rFonts w:hint="cs"/>
          <w:u w:val="single"/>
          <w:rtl/>
        </w:rPr>
        <w:t xml:space="preserve"> ושאם תעשה </w:t>
      </w:r>
      <w:r w:rsidRPr="00861032">
        <w:rPr>
          <w:rFonts w:hint="cs"/>
          <w:u w:val="single"/>
          <w:rtl/>
        </w:rPr>
        <w:t>תהא מחוייבת לקבל גט</w:t>
      </w:r>
      <w:r>
        <w:rPr>
          <w:rFonts w:hint="cs"/>
          <w:u w:val="single"/>
          <w:rtl/>
        </w:rPr>
        <w:t xml:space="preserve"> בעל כרחה</w:t>
      </w:r>
      <w:r w:rsidRPr="00861032">
        <w:rPr>
          <w:rFonts w:hint="cs"/>
          <w:u w:val="single"/>
          <w:rtl/>
        </w:rPr>
        <w:t>:</w:t>
      </w:r>
    </w:p>
    <w:p w14:paraId="57DB5B86" w14:textId="77777777" w:rsidR="002E5BAD" w:rsidRDefault="002E5BAD" w:rsidP="00B75458">
      <w:pPr>
        <w:pStyle w:val="ab"/>
        <w:numPr>
          <w:ilvl w:val="0"/>
          <w:numId w:val="204"/>
        </w:numPr>
        <w:rPr>
          <w:rtl/>
        </w:rPr>
      </w:pPr>
      <w:r w:rsidRPr="00CA7843">
        <w:rPr>
          <w:rFonts w:cs="Arial" w:hint="cs"/>
          <w:rtl/>
        </w:rPr>
        <w:t xml:space="preserve">ב"ש </w:t>
      </w:r>
      <w:r w:rsidRPr="00CA7843">
        <w:rPr>
          <w:rFonts w:cs="Arial" w:hint="cs"/>
          <w:sz w:val="16"/>
          <w:szCs w:val="16"/>
          <w:rtl/>
        </w:rPr>
        <w:t>(סק"ז)</w:t>
      </w:r>
      <w:r w:rsidRPr="00CA7843">
        <w:rPr>
          <w:rFonts w:cs="Arial" w:hint="cs"/>
          <w:rtl/>
        </w:rPr>
        <w:t xml:space="preserve">- </w:t>
      </w:r>
      <w:r w:rsidRPr="00CA7843">
        <w:rPr>
          <w:rFonts w:cs="Arial"/>
          <w:rtl/>
        </w:rPr>
        <w:t>אם תשבע היא על איזה דבר שעשתה שאם תעשה עוד מחויבת לקבל גט ממנו</w:t>
      </w:r>
      <w:r w:rsidRPr="00CA7843">
        <w:rPr>
          <w:rFonts w:cs="Arial" w:hint="cs"/>
          <w:rtl/>
        </w:rPr>
        <w:t>,</w:t>
      </w:r>
      <w:r w:rsidRPr="00CA7843">
        <w:rPr>
          <w:rFonts w:cs="Arial"/>
          <w:rtl/>
        </w:rPr>
        <w:t xml:space="preserve"> ועברה על השבועה </w:t>
      </w:r>
      <w:r w:rsidRPr="00CA7843">
        <w:rPr>
          <w:rFonts w:cs="Arial" w:hint="cs"/>
          <w:rtl/>
        </w:rPr>
        <w:t xml:space="preserve">- </w:t>
      </w:r>
      <w:r w:rsidRPr="00CA7843">
        <w:rPr>
          <w:rFonts w:cs="Arial"/>
          <w:rtl/>
        </w:rPr>
        <w:t xml:space="preserve">נראה </w:t>
      </w:r>
      <w:r w:rsidRPr="00CA7843">
        <w:rPr>
          <w:rFonts w:cs="Arial" w:hint="cs"/>
          <w:rtl/>
        </w:rPr>
        <w:t>ד</w:t>
      </w:r>
      <w:r w:rsidRPr="00CA7843">
        <w:rPr>
          <w:rFonts w:cs="Arial"/>
          <w:rtl/>
        </w:rPr>
        <w:t>השבועה חל</w:t>
      </w:r>
      <w:r w:rsidRPr="00CA7843">
        <w:rPr>
          <w:rFonts w:cs="Arial" w:hint="cs"/>
          <w:rtl/>
        </w:rPr>
        <w:t>ה.</w:t>
      </w:r>
      <w:r w:rsidRPr="00CA7843">
        <w:rPr>
          <w:rFonts w:cs="Arial"/>
          <w:rtl/>
        </w:rPr>
        <w:t xml:space="preserve"> דהא ח</w:t>
      </w:r>
      <w:r w:rsidRPr="00CA7843">
        <w:rPr>
          <w:rFonts w:cs="Arial" w:hint="cs"/>
          <w:rtl/>
        </w:rPr>
        <w:t xml:space="preserve">רם </w:t>
      </w:r>
      <w:r w:rsidRPr="00CA7843">
        <w:rPr>
          <w:rFonts w:cs="Arial"/>
          <w:rtl/>
        </w:rPr>
        <w:t>ר"ג היה לטובתה שאל יגרש אותה בע"כ</w:t>
      </w:r>
      <w:r w:rsidRPr="00CA7843">
        <w:rPr>
          <w:rFonts w:cs="Arial" w:hint="cs"/>
          <w:rtl/>
        </w:rPr>
        <w:t>,</w:t>
      </w:r>
      <w:r w:rsidRPr="00CA7843">
        <w:rPr>
          <w:rFonts w:cs="Arial"/>
          <w:rtl/>
        </w:rPr>
        <w:t xml:space="preserve"> והיא יכולה למחול</w:t>
      </w:r>
      <w:r w:rsidRPr="00CA7843">
        <w:rPr>
          <w:rFonts w:cs="Arial" w:hint="cs"/>
          <w:rtl/>
        </w:rPr>
        <w:t>,</w:t>
      </w:r>
      <w:r w:rsidRPr="00CA7843">
        <w:rPr>
          <w:rFonts w:cs="Arial"/>
          <w:rtl/>
        </w:rPr>
        <w:t xml:space="preserve"> מכ"ש בזה"ז די"ל כבר כל</w:t>
      </w:r>
      <w:r>
        <w:rPr>
          <w:rFonts w:cs="Arial" w:hint="cs"/>
          <w:rtl/>
        </w:rPr>
        <w:t>ה</w:t>
      </w:r>
      <w:r w:rsidRPr="00CA7843">
        <w:rPr>
          <w:rFonts w:cs="Arial"/>
          <w:rtl/>
        </w:rPr>
        <w:t xml:space="preserve"> זמן החרם, וא"כ דהשבועה היה חל עליה ועברה על השבועה נמצ</w:t>
      </w:r>
      <w:r w:rsidRPr="00CA7843">
        <w:rPr>
          <w:rFonts w:cs="Arial" w:hint="cs"/>
          <w:rtl/>
        </w:rPr>
        <w:t>את</w:t>
      </w:r>
      <w:r w:rsidRPr="00CA7843">
        <w:rPr>
          <w:rFonts w:cs="Arial"/>
          <w:rtl/>
        </w:rPr>
        <w:t xml:space="preserve"> דהיא עוברת על הדת ויכול לגרש אותה בע</w:t>
      </w:r>
      <w:r w:rsidRPr="00CA7843">
        <w:rPr>
          <w:rFonts w:cs="Arial" w:hint="cs"/>
          <w:rtl/>
        </w:rPr>
        <w:t>ל כרחה.</w:t>
      </w:r>
    </w:p>
    <w:p w14:paraId="155319EB" w14:textId="77777777" w:rsidR="002E5BAD" w:rsidRDefault="002E5BAD" w:rsidP="002E5BAD">
      <w:pPr>
        <w:rPr>
          <w:rtl/>
        </w:rPr>
      </w:pPr>
    </w:p>
    <w:p w14:paraId="301617FA" w14:textId="77777777" w:rsidR="002E5BAD" w:rsidRDefault="002E5BAD" w:rsidP="002E5BAD">
      <w:pPr>
        <w:pStyle w:val="2"/>
        <w:rPr>
          <w:rtl/>
        </w:rPr>
      </w:pPr>
      <w:r>
        <w:rPr>
          <w:rtl/>
        </w:rPr>
        <w:t>סעיף ד</w:t>
      </w:r>
      <w:r>
        <w:rPr>
          <w:rFonts w:hint="cs"/>
          <w:rtl/>
        </w:rPr>
        <w:t>: העוברת על דת יהודית.</w:t>
      </w:r>
    </w:p>
    <w:p w14:paraId="5AA28FDC" w14:textId="77777777" w:rsidR="002E5BAD" w:rsidRDefault="002E5BAD" w:rsidP="002E5BAD">
      <w:pPr>
        <w:rPr>
          <w:rFonts w:cs="Arial"/>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3127"/>
      </w:r>
      <w:r w:rsidRPr="00287A5F">
        <w:rPr>
          <w:rFonts w:cs="Arial"/>
          <w:rtl/>
        </w:rPr>
        <w:t>.</w:t>
      </w:r>
      <w:r>
        <w:rPr>
          <w:rFonts w:cs="Arial" w:hint="cs"/>
          <w:rtl/>
        </w:rPr>
        <w:t>..</w:t>
      </w:r>
      <w:r w:rsidRPr="00287A5F">
        <w:rPr>
          <w:rFonts w:cs="Arial"/>
          <w:rtl/>
        </w:rPr>
        <w:t xml:space="preserve"> ואיזוהי דת יהודית? יוצאה וראשה פרוע, וטווה בשוק, ומדברת עם כל אדם. </w:t>
      </w:r>
      <w:r w:rsidRPr="00287A5F">
        <w:rPr>
          <w:rFonts w:cs="Arial"/>
          <w:u w:val="single"/>
          <w:rtl/>
        </w:rPr>
        <w:t>אבא שאול אומר</w:t>
      </w:r>
      <w:r w:rsidRPr="00287A5F">
        <w:rPr>
          <w:rFonts w:cs="Arial"/>
          <w:rtl/>
        </w:rPr>
        <w:t xml:space="preserve">: אף המקללת יולדיו בפניו. </w:t>
      </w:r>
      <w:r w:rsidRPr="00287A5F">
        <w:rPr>
          <w:rFonts w:cs="Arial"/>
          <w:u w:val="single"/>
          <w:rtl/>
        </w:rPr>
        <w:t>רבי טרפון אומר</w:t>
      </w:r>
      <w:r w:rsidRPr="00287A5F">
        <w:rPr>
          <w:rFonts w:cs="Arial"/>
          <w:rtl/>
        </w:rPr>
        <w:t>: אף הקולנית. ואיזוהי קולנית? לכשהיא מדברת בתוך ביתה ושכיניה שומעין קולה.</w:t>
      </w:r>
      <w:r>
        <w:rPr>
          <w:rFonts w:hint="cs"/>
          <w:rtl/>
        </w:rPr>
        <w:t xml:space="preserve">       </w:t>
      </w:r>
      <w:r w:rsidRPr="00972691">
        <w:rPr>
          <w:rFonts w:hint="cs"/>
          <w:u w:val="double"/>
          <w:rtl/>
        </w:rPr>
        <w:t>גמ'</w:t>
      </w:r>
      <w:r>
        <w:rPr>
          <w:rFonts w:cs="Arial" w:hint="cs"/>
          <w:rtl/>
        </w:rPr>
        <w:t>:</w:t>
      </w:r>
      <w:r>
        <w:rPr>
          <w:rFonts w:cs="Arial"/>
          <w:rtl/>
        </w:rPr>
        <w:t xml:space="preserve"> </w:t>
      </w:r>
      <w:r w:rsidRPr="00432EB9">
        <w:rPr>
          <w:rFonts w:cs="Arial"/>
          <w:rtl/>
        </w:rPr>
        <w:t xml:space="preserve">ואיזוהי דת יהודית? יוצאה וראשה פרוע. ראשה פרוע דאורייתא היא! דכתיב: ופרע את ראש האשה, ותנא דבי רבי ישמעאל: אזהרה לבנות </w:t>
      </w:r>
      <w:r w:rsidRPr="00432EB9">
        <w:rPr>
          <w:rFonts w:cs="Arial"/>
          <w:rtl/>
        </w:rPr>
        <w:lastRenderedPageBreak/>
        <w:t xml:space="preserve">ישראל שלא יצאו בפרוע ראש! דאורייתא </w:t>
      </w:r>
      <w:r>
        <w:rPr>
          <w:rFonts w:cs="Arial" w:hint="cs"/>
          <w:rtl/>
        </w:rPr>
        <w:t xml:space="preserve">- </w:t>
      </w:r>
      <w:r>
        <w:rPr>
          <w:rFonts w:cs="Arial" w:hint="cs"/>
          <w:sz w:val="14"/>
          <w:szCs w:val="14"/>
          <w:rtl/>
        </w:rPr>
        <w:t xml:space="preserve">(עב:) </w:t>
      </w:r>
      <w:r w:rsidRPr="00432EB9">
        <w:rPr>
          <w:rFonts w:cs="Arial"/>
          <w:rtl/>
        </w:rPr>
        <w:t>קלתה</w:t>
      </w:r>
      <w:r>
        <w:rPr>
          <w:rStyle w:val="a7"/>
          <w:rFonts w:cs="Arial"/>
          <w:rtl/>
        </w:rPr>
        <w:footnoteReference w:id="3128"/>
      </w:r>
      <w:r w:rsidRPr="00432EB9">
        <w:rPr>
          <w:rFonts w:cs="Arial"/>
          <w:rtl/>
        </w:rPr>
        <w:t xml:space="preserve"> שפיר דמי, דת יהודית - אפילו קלתה נמי אסור. </w:t>
      </w:r>
      <w:r w:rsidRPr="00432EB9">
        <w:rPr>
          <w:rFonts w:cs="Arial"/>
          <w:u w:val="single"/>
          <w:rtl/>
        </w:rPr>
        <w:t>אמר רבי אסי אמר ר' יוחנן</w:t>
      </w:r>
      <w:r>
        <w:rPr>
          <w:rFonts w:cs="Arial" w:hint="cs"/>
          <w:rtl/>
        </w:rPr>
        <w:t>"</w:t>
      </w:r>
      <w:r w:rsidRPr="00432EB9">
        <w:rPr>
          <w:rFonts w:cs="Arial"/>
          <w:rtl/>
        </w:rPr>
        <w:t xml:space="preserve"> קלתה אין בה משום פרוע ראש. הוי בה רבי זירא, היכא? אילימא בשוק, דת יהודית היא! ואלא בחצר, אם כן</w:t>
      </w:r>
      <w:r>
        <w:rPr>
          <w:rStyle w:val="a7"/>
          <w:rFonts w:cs="Arial"/>
          <w:rtl/>
        </w:rPr>
        <w:footnoteReference w:id="3129"/>
      </w:r>
      <w:r w:rsidRPr="00432EB9">
        <w:rPr>
          <w:rFonts w:cs="Arial"/>
          <w:rtl/>
        </w:rPr>
        <w:t xml:space="preserve">, לא הנחת בת לאברהם אבינו שיושבת תחת בעלה! </w:t>
      </w:r>
      <w:r w:rsidRPr="00432EB9">
        <w:rPr>
          <w:rFonts w:cs="Arial"/>
          <w:u w:val="single"/>
          <w:rtl/>
        </w:rPr>
        <w:t>אמר אביי, ואיתימא רב כהנא</w:t>
      </w:r>
      <w:r w:rsidRPr="00432EB9">
        <w:rPr>
          <w:rFonts w:cs="Arial"/>
          <w:rtl/>
        </w:rPr>
        <w:t>: מחצר לחצר ודרך מבוי</w:t>
      </w:r>
      <w:r>
        <w:rPr>
          <w:rStyle w:val="a7"/>
          <w:rFonts w:cs="Arial"/>
          <w:rtl/>
        </w:rPr>
        <w:footnoteReference w:id="3130"/>
      </w:r>
      <w:r w:rsidRPr="00432EB9">
        <w:rPr>
          <w:rFonts w:cs="Arial"/>
          <w:rtl/>
        </w:rPr>
        <w:t>.</w:t>
      </w:r>
      <w:r>
        <w:rPr>
          <w:rFonts w:cs="Arial" w:hint="cs"/>
          <w:rtl/>
        </w:rPr>
        <w:t xml:space="preserve"> </w:t>
      </w:r>
      <w:r w:rsidRPr="00432EB9">
        <w:rPr>
          <w:rFonts w:cs="Arial"/>
          <w:rtl/>
        </w:rPr>
        <w:t xml:space="preserve">וטווה בשוק. </w:t>
      </w:r>
      <w:r w:rsidRPr="002B3F7D">
        <w:rPr>
          <w:rFonts w:cs="Arial"/>
          <w:u w:val="single"/>
          <w:rtl/>
        </w:rPr>
        <w:t>אמר רב יהודה אמר שמואל</w:t>
      </w:r>
      <w:r w:rsidRPr="00432EB9">
        <w:rPr>
          <w:rFonts w:cs="Arial"/>
          <w:rtl/>
        </w:rPr>
        <w:t xml:space="preserve">: במראה זרועותיה לבני אדם. </w:t>
      </w:r>
      <w:r w:rsidRPr="002B3F7D">
        <w:rPr>
          <w:rFonts w:cs="Arial"/>
          <w:u w:val="single"/>
          <w:rtl/>
        </w:rPr>
        <w:t>רב חסדא אמר אבימי</w:t>
      </w:r>
      <w:r w:rsidRPr="00432EB9">
        <w:rPr>
          <w:rFonts w:cs="Arial"/>
          <w:rtl/>
        </w:rPr>
        <w:t>: בטווה ורד כנגד פניה</w:t>
      </w:r>
      <w:r>
        <w:rPr>
          <w:rStyle w:val="a7"/>
          <w:rFonts w:cs="Arial"/>
          <w:rtl/>
        </w:rPr>
        <w:footnoteReference w:id="3131"/>
      </w:r>
      <w:r w:rsidRPr="00432EB9">
        <w:rPr>
          <w:rFonts w:cs="Arial"/>
          <w:rtl/>
        </w:rPr>
        <w:t xml:space="preserve">. ומדברת עם כל אדם. </w:t>
      </w:r>
      <w:r w:rsidRPr="002B3F7D">
        <w:rPr>
          <w:rFonts w:cs="Arial"/>
          <w:u w:val="single"/>
          <w:rtl/>
        </w:rPr>
        <w:t>אמר רב יהודה אמר שמואל</w:t>
      </w:r>
      <w:r w:rsidRPr="00432EB9">
        <w:rPr>
          <w:rFonts w:cs="Arial"/>
          <w:rtl/>
        </w:rPr>
        <w:t xml:space="preserve">: במשחקת עם בחורים. </w:t>
      </w:r>
      <w:r w:rsidRPr="002B3F7D">
        <w:rPr>
          <w:rFonts w:cs="Arial"/>
          <w:u w:val="single"/>
          <w:rtl/>
        </w:rPr>
        <w:t>אמר רבה בר בר חנה</w:t>
      </w:r>
      <w:r w:rsidRPr="00432EB9">
        <w:rPr>
          <w:rFonts w:cs="Arial"/>
          <w:rtl/>
        </w:rPr>
        <w:t xml:space="preserve">: זימנא חדא הוה קאזילנא בתריה דרב עוקבא, חזיתיה לההיא ערביא דהוה יתבה קא שדיא פילכה וטווה ורד כנגד פניה, כיון דחזיתינן פסיקתיה לפילכה שדיתיה, אמרה לי: עולם, הב לי פלך, אמר בה רב עוקבא מילתא. מאי אמר בה? </w:t>
      </w:r>
      <w:r w:rsidRPr="002B3F7D">
        <w:rPr>
          <w:rFonts w:cs="Arial"/>
          <w:u w:val="single"/>
          <w:rtl/>
        </w:rPr>
        <w:t>רבינא אמר</w:t>
      </w:r>
      <w:r w:rsidRPr="00432EB9">
        <w:rPr>
          <w:rFonts w:cs="Arial"/>
          <w:rtl/>
        </w:rPr>
        <w:t xml:space="preserve">: טווה בשוק אמר בה, </w:t>
      </w:r>
      <w:r w:rsidRPr="002B3F7D">
        <w:rPr>
          <w:rFonts w:cs="Arial"/>
          <w:u w:val="single"/>
          <w:rtl/>
        </w:rPr>
        <w:t>רבנן אמרי</w:t>
      </w:r>
      <w:r w:rsidRPr="00432EB9">
        <w:rPr>
          <w:rFonts w:cs="Arial"/>
          <w:rtl/>
        </w:rPr>
        <w:t xml:space="preserve">: מדברת עם כל אדם אמר בה. </w:t>
      </w:r>
      <w:r w:rsidRPr="002B3F7D">
        <w:rPr>
          <w:rFonts w:cs="Arial"/>
          <w:u w:val="single"/>
          <w:rtl/>
        </w:rPr>
        <w:t>אבא שאול אומר</w:t>
      </w:r>
      <w:r w:rsidRPr="00432EB9">
        <w:rPr>
          <w:rFonts w:cs="Arial"/>
          <w:rtl/>
        </w:rPr>
        <w:t xml:space="preserve">: אף המקללת יולדיו בפניו. </w:t>
      </w:r>
      <w:r w:rsidRPr="002B3F7D">
        <w:rPr>
          <w:rFonts w:cs="Arial"/>
          <w:u w:val="single"/>
          <w:rtl/>
        </w:rPr>
        <w:t>אמר רב יהודה אמר שמואל</w:t>
      </w:r>
      <w:r w:rsidRPr="00432EB9">
        <w:rPr>
          <w:rFonts w:cs="Arial"/>
          <w:rtl/>
        </w:rPr>
        <w:t>: במקללת יולידיו בפני מולידיו</w:t>
      </w:r>
      <w:r>
        <w:rPr>
          <w:rStyle w:val="a7"/>
          <w:rFonts w:cs="Arial"/>
          <w:rtl/>
        </w:rPr>
        <w:footnoteReference w:id="3132"/>
      </w:r>
      <w:r w:rsidRPr="00432EB9">
        <w:rPr>
          <w:rFonts w:cs="Arial"/>
          <w:rtl/>
        </w:rPr>
        <w:t xml:space="preserve">, וסימניך: אפרים ומנשה כראובן ושמעון יהיו לי. </w:t>
      </w:r>
      <w:r w:rsidRPr="002B3F7D">
        <w:rPr>
          <w:rFonts w:cs="Arial"/>
          <w:u w:val="single"/>
          <w:rtl/>
        </w:rPr>
        <w:t>אמר רבה</w:t>
      </w:r>
      <w:r w:rsidRPr="00432EB9">
        <w:rPr>
          <w:rFonts w:cs="Arial"/>
          <w:rtl/>
        </w:rPr>
        <w:t xml:space="preserve">: דאמרה ליה ניכליה אריא לסבא באפי בריה. רבי טרפון אומר: אף הקולנית. מאי קולנית? </w:t>
      </w:r>
      <w:r w:rsidRPr="002B3F7D">
        <w:rPr>
          <w:rFonts w:cs="Arial"/>
          <w:u w:val="single"/>
          <w:rtl/>
        </w:rPr>
        <w:t>אמר רב יהודה אמר שמואל</w:t>
      </w:r>
      <w:r w:rsidRPr="00432EB9">
        <w:rPr>
          <w:rFonts w:cs="Arial"/>
          <w:rtl/>
        </w:rPr>
        <w:t>: במשמעת קולה על עסקי תשמיש</w:t>
      </w:r>
      <w:r>
        <w:rPr>
          <w:rStyle w:val="a7"/>
          <w:rFonts w:cs="Arial"/>
          <w:rtl/>
        </w:rPr>
        <w:footnoteReference w:id="3133"/>
      </w:r>
      <w:r w:rsidRPr="00432EB9">
        <w:rPr>
          <w:rFonts w:cs="Arial"/>
          <w:rtl/>
        </w:rPr>
        <w:t xml:space="preserve">. במתניתא תנא: במשמשת בחצר זו ונשמע קולה בחצר אחרת. וניתנייה גבי מומין במתניתין! אלא, מחוורתא כדשנין מעיקרא.  </w:t>
      </w:r>
    </w:p>
    <w:p w14:paraId="2975D40C" w14:textId="77777777" w:rsidR="002E5BAD" w:rsidRPr="009F080D" w:rsidRDefault="002E5BAD" w:rsidP="002E5BAD">
      <w:pPr>
        <w:rPr>
          <w:color w:val="E36C0A" w:themeColor="accent6" w:themeShade="BF"/>
          <w:rtl/>
        </w:rPr>
      </w:pPr>
      <w:r w:rsidRPr="00F3070E">
        <w:rPr>
          <w:rFonts w:cs="Arial" w:hint="cs"/>
          <w:b/>
          <w:bCs/>
          <w:rtl/>
        </w:rPr>
        <w:t>ירושלמי כתובות פ"ז ה"ו:</w:t>
      </w:r>
      <w:r>
        <w:rPr>
          <w:rFonts w:cs="Arial" w:hint="cs"/>
          <w:rtl/>
        </w:rPr>
        <w:t xml:space="preserve"> </w:t>
      </w:r>
      <w:r w:rsidRPr="00421466">
        <w:rPr>
          <w:rFonts w:cs="Arial"/>
          <w:rtl/>
        </w:rPr>
        <w:t>וראשה פרוע</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אמרו</w:t>
      </w:r>
      <w:r>
        <w:rPr>
          <w:rFonts w:cs="Arial" w:hint="cs"/>
          <w:rtl/>
        </w:rPr>
        <w:t>:</w:t>
      </w:r>
      <w:r w:rsidRPr="00421466">
        <w:rPr>
          <w:rFonts w:cs="Arial"/>
          <w:rtl/>
        </w:rPr>
        <w:t xml:space="preserve"> ק"ו למבוי</w:t>
      </w:r>
      <w:r>
        <w:rPr>
          <w:rFonts w:cs="Arial" w:hint="cs"/>
          <w:rtl/>
        </w:rPr>
        <w:t>.</w:t>
      </w:r>
      <w:r w:rsidRPr="00421466">
        <w:rPr>
          <w:rFonts w:cs="Arial"/>
          <w:rtl/>
        </w:rPr>
        <w:t xml:space="preserve"> </w:t>
      </w:r>
      <w:r w:rsidRPr="00421466">
        <w:rPr>
          <w:rFonts w:cs="Arial"/>
          <w:u w:val="single"/>
          <w:rtl/>
        </w:rPr>
        <w:t>רבי חייה בשם רבי יוחנן</w:t>
      </w:r>
      <w:r>
        <w:rPr>
          <w:rFonts w:cs="Arial" w:hint="cs"/>
          <w:rtl/>
        </w:rPr>
        <w:t>:</w:t>
      </w:r>
      <w:r w:rsidRPr="00421466">
        <w:rPr>
          <w:rFonts w:cs="Arial"/>
          <w:rtl/>
        </w:rPr>
        <w:t xml:space="preserve"> היוצאה בקפלטין שלה </w:t>
      </w:r>
      <w:r>
        <w:rPr>
          <w:rFonts w:cs="Arial" w:hint="cs"/>
          <w:rtl/>
        </w:rPr>
        <w:t xml:space="preserve">- </w:t>
      </w:r>
      <w:r w:rsidRPr="00421466">
        <w:rPr>
          <w:rFonts w:cs="Arial"/>
          <w:rtl/>
        </w:rPr>
        <w:t>אין בה משום ראשה פרוע</w:t>
      </w:r>
      <w:r>
        <w:rPr>
          <w:rFonts w:cs="Arial" w:hint="cs"/>
          <w:rtl/>
        </w:rPr>
        <w:t>.</w:t>
      </w:r>
      <w:r w:rsidRPr="00421466">
        <w:rPr>
          <w:rFonts w:cs="Arial"/>
          <w:rtl/>
        </w:rPr>
        <w:t xml:space="preserve"> הדא דתימא</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אבל למבוי </w:t>
      </w:r>
      <w:r>
        <w:rPr>
          <w:rFonts w:cs="Arial" w:hint="cs"/>
          <w:rtl/>
        </w:rPr>
        <w:t xml:space="preserve">- </w:t>
      </w:r>
      <w:r w:rsidRPr="00421466">
        <w:rPr>
          <w:rFonts w:cs="Arial"/>
          <w:rtl/>
        </w:rPr>
        <w:t>יש בה משום יוצאה וראשה פרוע</w:t>
      </w:r>
      <w:r>
        <w:rPr>
          <w:rFonts w:cs="Arial" w:hint="cs"/>
          <w:rtl/>
        </w:rPr>
        <w:t>.</w:t>
      </w:r>
      <w:r w:rsidRPr="00421466">
        <w:rPr>
          <w:rFonts w:cs="Arial"/>
          <w:rtl/>
        </w:rPr>
        <w:t xml:space="preserve"> יש חצר שהוא כמבוי</w:t>
      </w:r>
      <w:r>
        <w:rPr>
          <w:rFonts w:cs="Arial" w:hint="cs"/>
          <w:rtl/>
        </w:rPr>
        <w:t>,</w:t>
      </w:r>
      <w:r w:rsidRPr="00421466">
        <w:rPr>
          <w:rFonts w:cs="Arial"/>
          <w:rtl/>
        </w:rPr>
        <w:t xml:space="preserve"> ויש מבוי שהוא כחצר</w:t>
      </w:r>
      <w:r>
        <w:rPr>
          <w:rFonts w:cs="Arial" w:hint="cs"/>
          <w:rtl/>
        </w:rPr>
        <w:t>.</w:t>
      </w:r>
      <w:r w:rsidRPr="00421466">
        <w:rPr>
          <w:rFonts w:cs="Arial"/>
          <w:rtl/>
        </w:rPr>
        <w:t xml:space="preserve"> חצר שהרבים בוקעין ב</w:t>
      </w:r>
      <w:r w:rsidRPr="00421466">
        <w:rPr>
          <w:rFonts w:cs="Arial"/>
          <w:color w:val="000000" w:themeColor="text1"/>
          <w:rtl/>
        </w:rPr>
        <w:t xml:space="preserve">תוכה </w:t>
      </w:r>
      <w:r>
        <w:rPr>
          <w:rFonts w:cs="Arial" w:hint="cs"/>
          <w:color w:val="000000" w:themeColor="text1"/>
          <w:rtl/>
        </w:rPr>
        <w:t xml:space="preserve">- </w:t>
      </w:r>
      <w:r w:rsidRPr="00421466">
        <w:rPr>
          <w:rFonts w:cs="Arial"/>
          <w:color w:val="000000" w:themeColor="text1"/>
          <w:rtl/>
        </w:rPr>
        <w:t>הרי הוא כמבוי</w:t>
      </w:r>
      <w:r>
        <w:rPr>
          <w:rFonts w:cs="Arial" w:hint="cs"/>
          <w:color w:val="000000" w:themeColor="text1"/>
          <w:rtl/>
        </w:rPr>
        <w:t>.</w:t>
      </w:r>
      <w:r w:rsidRPr="00421466">
        <w:rPr>
          <w:rFonts w:cs="Arial"/>
          <w:color w:val="000000" w:themeColor="text1"/>
          <w:rtl/>
        </w:rPr>
        <w:t xml:space="preserve"> ומבוי שאין הרבים בוקעין בתוכו </w:t>
      </w:r>
      <w:r>
        <w:rPr>
          <w:rFonts w:cs="Arial" w:hint="cs"/>
          <w:color w:val="000000" w:themeColor="text1"/>
          <w:rtl/>
        </w:rPr>
        <w:t xml:space="preserve">- </w:t>
      </w:r>
      <w:r w:rsidRPr="00421466">
        <w:rPr>
          <w:rFonts w:cs="Arial"/>
          <w:color w:val="000000" w:themeColor="text1"/>
          <w:rtl/>
        </w:rPr>
        <w:t>הרי הוא כחצר</w:t>
      </w:r>
      <w:r w:rsidRPr="00421466">
        <w:rPr>
          <w:rFonts w:cs="Arial" w:hint="cs"/>
          <w:color w:val="000000" w:themeColor="text1"/>
          <w:rtl/>
        </w:rPr>
        <w:t>.</w:t>
      </w:r>
      <w:r w:rsidRPr="00421466">
        <w:rPr>
          <w:rFonts w:hint="cs"/>
          <w:color w:val="000000" w:themeColor="text1"/>
          <w:rtl/>
        </w:rPr>
        <w:t xml:space="preserve"> </w:t>
      </w:r>
      <w:r w:rsidRPr="00421466">
        <w:rPr>
          <w:rFonts w:hint="cs"/>
          <w:color w:val="000000" w:themeColor="text1"/>
          <w:sz w:val="16"/>
          <w:szCs w:val="16"/>
          <w:rtl/>
        </w:rPr>
        <w:t>(והביא</w:t>
      </w:r>
      <w:r>
        <w:rPr>
          <w:rFonts w:hint="cs"/>
          <w:color w:val="000000" w:themeColor="text1"/>
          <w:sz w:val="16"/>
          <w:szCs w:val="16"/>
          <w:rtl/>
        </w:rPr>
        <w:t>ו</w:t>
      </w:r>
      <w:r w:rsidRPr="00421466">
        <w:rPr>
          <w:rFonts w:hint="cs"/>
          <w:color w:val="000000" w:themeColor="text1"/>
          <w:sz w:val="16"/>
          <w:szCs w:val="16"/>
          <w:rtl/>
        </w:rPr>
        <w:t xml:space="preserve"> הרי"ף (לב:) </w:t>
      </w:r>
      <w:r>
        <w:rPr>
          <w:rFonts w:hint="cs"/>
          <w:color w:val="000000" w:themeColor="text1"/>
          <w:sz w:val="16"/>
          <w:szCs w:val="16"/>
          <w:rtl/>
        </w:rPr>
        <w:t xml:space="preserve">והרא"ש (סי' ט) </w:t>
      </w:r>
      <w:r w:rsidRPr="00421466">
        <w:rPr>
          <w:rFonts w:hint="cs"/>
          <w:color w:val="000000" w:themeColor="text1"/>
          <w:sz w:val="16"/>
          <w:szCs w:val="16"/>
          <w:rtl/>
        </w:rPr>
        <w:t>את מסקנת הירושלמי</w:t>
      </w:r>
      <w:r>
        <w:rPr>
          <w:rFonts w:hint="cs"/>
          <w:color w:val="000000" w:themeColor="text1"/>
          <w:sz w:val="16"/>
          <w:szCs w:val="16"/>
          <w:rtl/>
        </w:rPr>
        <w:t xml:space="preserve">. וכ"כ הטור. </w:t>
      </w:r>
      <w:r w:rsidRPr="00421466">
        <w:rPr>
          <w:rFonts w:hint="cs"/>
          <w:color w:val="E36C0A" w:themeColor="accent6" w:themeShade="BF"/>
          <w:sz w:val="16"/>
          <w:szCs w:val="16"/>
          <w:rtl/>
        </w:rPr>
        <w:t>וכ"פ בשו"ע</w:t>
      </w:r>
      <w:r w:rsidRPr="00421466">
        <w:rPr>
          <w:rFonts w:hint="cs"/>
          <w:color w:val="000000" w:themeColor="text1"/>
          <w:sz w:val="16"/>
          <w:szCs w:val="16"/>
          <w:rtl/>
        </w:rPr>
        <w:t>)</w:t>
      </w:r>
    </w:p>
    <w:p w14:paraId="2854A422" w14:textId="77777777" w:rsidR="002E5BAD" w:rsidRPr="009F080D" w:rsidRDefault="002E5BAD" w:rsidP="002E5BAD">
      <w:pPr>
        <w:rPr>
          <w:u w:val="single"/>
          <w:rtl/>
        </w:rPr>
      </w:pPr>
      <w:r w:rsidRPr="009F080D">
        <w:rPr>
          <w:rFonts w:hint="cs"/>
          <w:u w:val="single"/>
          <w:rtl/>
        </w:rPr>
        <w:t>העוברת על דת יהודית:</w:t>
      </w:r>
    </w:p>
    <w:p w14:paraId="522962AC" w14:textId="77777777" w:rsidR="002E5BAD" w:rsidRDefault="002E5BAD" w:rsidP="00B75458">
      <w:pPr>
        <w:pStyle w:val="ab"/>
        <w:numPr>
          <w:ilvl w:val="0"/>
          <w:numId w:val="204"/>
        </w:numPr>
        <w:rPr>
          <w:rtl/>
        </w:rPr>
      </w:pPr>
      <w:r w:rsidRPr="009F080D">
        <w:rPr>
          <w:rFonts w:cs="Arial" w:hint="cs"/>
          <w:rtl/>
        </w:rPr>
        <w:t xml:space="preserve">טור- </w:t>
      </w:r>
      <w:r w:rsidRPr="009F080D">
        <w:rPr>
          <w:rFonts w:cs="Arial"/>
          <w:rtl/>
        </w:rPr>
        <w:t xml:space="preserve">אלו יוצאות בלא כתובה </w:t>
      </w:r>
      <w:r w:rsidRPr="009F080D">
        <w:rPr>
          <w:rFonts w:cs="Arial" w:hint="cs"/>
          <w:rtl/>
        </w:rPr>
        <w:t xml:space="preserve">- </w:t>
      </w:r>
      <w:r w:rsidRPr="009F080D">
        <w:rPr>
          <w:rFonts w:cs="Arial"/>
          <w:rtl/>
        </w:rPr>
        <w:t>העוברת על דת משה ויהודית</w:t>
      </w:r>
      <w:r w:rsidRPr="009F080D">
        <w:rPr>
          <w:rFonts w:cs="Arial" w:hint="cs"/>
          <w:rtl/>
        </w:rPr>
        <w:t>.</w:t>
      </w:r>
      <w:r>
        <w:rPr>
          <w:rFonts w:cs="Arial" w:hint="cs"/>
          <w:rtl/>
        </w:rPr>
        <w:t>..</w:t>
      </w:r>
      <w:r w:rsidRPr="009F080D">
        <w:rPr>
          <w:rFonts w:cs="Arial" w:hint="cs"/>
          <w:rtl/>
        </w:rPr>
        <w:t xml:space="preserve"> </w:t>
      </w:r>
      <w:r w:rsidRPr="009F080D">
        <w:rPr>
          <w:rFonts w:cs="Arial"/>
          <w:rtl/>
        </w:rPr>
        <w:t>ואיזו היא דת יהודית יוצאת וראשה פרוע</w:t>
      </w:r>
      <w:r>
        <w:rPr>
          <w:rFonts w:cs="Arial" w:hint="cs"/>
          <w:rtl/>
        </w:rPr>
        <w:t>...</w:t>
      </w:r>
      <w:r w:rsidRPr="009F080D">
        <w:rPr>
          <w:rFonts w:cs="Arial"/>
          <w:rtl/>
        </w:rPr>
        <w:t xml:space="preserve"> ודוקא שיוצאת כן ברשות הרבים או במבוי המפולש או בחצר שהרבים בוקעים בו</w:t>
      </w:r>
      <w:r>
        <w:rPr>
          <w:rFonts w:cs="Arial" w:hint="cs"/>
          <w:rtl/>
        </w:rPr>
        <w:t>.</w:t>
      </w:r>
      <w:r w:rsidRPr="00857BB8">
        <w:rPr>
          <w:rFonts w:cs="Arial"/>
          <w:rtl/>
        </w:rPr>
        <w:t xml:space="preserve"> </w:t>
      </w:r>
      <w:r w:rsidRPr="009F080D">
        <w:rPr>
          <w:rFonts w:cs="Arial"/>
          <w:rtl/>
        </w:rPr>
        <w:t>אבל במבוי שאינו מפולש וחצר שאין הרבים בוקעים בו</w:t>
      </w:r>
      <w:r>
        <w:rPr>
          <w:rFonts w:cs="Arial" w:hint="cs"/>
          <w:rtl/>
        </w:rPr>
        <w:t>,</w:t>
      </w:r>
      <w:r w:rsidRPr="009F080D">
        <w:rPr>
          <w:rFonts w:cs="Arial"/>
          <w:rtl/>
        </w:rPr>
        <w:t xml:space="preserve"> לא תצא</w:t>
      </w:r>
      <w:r>
        <w:rPr>
          <w:rStyle w:val="a7"/>
          <w:rFonts w:cs="Arial"/>
          <w:rtl/>
        </w:rPr>
        <w:footnoteReference w:id="3134"/>
      </w:r>
      <w:r>
        <w:rPr>
          <w:rFonts w:cs="Arial" w:hint="cs"/>
          <w:rtl/>
        </w:rPr>
        <w:t>.</w:t>
      </w:r>
      <w:r w:rsidRPr="009F080D">
        <w:rPr>
          <w:rFonts w:cs="Arial"/>
          <w:rtl/>
        </w:rPr>
        <w:t xml:space="preserve"> וכן הטווה בשוק שמראה זרועותיה לבני אדם</w:t>
      </w:r>
      <w:r>
        <w:rPr>
          <w:rFonts w:cs="Arial" w:hint="cs"/>
          <w:rtl/>
        </w:rPr>
        <w:t>.</w:t>
      </w:r>
      <w:r w:rsidRPr="009F080D">
        <w:rPr>
          <w:rFonts w:cs="Arial"/>
          <w:rtl/>
        </w:rPr>
        <w:t xml:space="preserve"> וכן הטווה ורד כנגד פניה</w:t>
      </w:r>
      <w:r>
        <w:rPr>
          <w:rFonts w:cs="Arial" w:hint="cs"/>
          <w:rtl/>
        </w:rPr>
        <w:t>...</w:t>
      </w:r>
      <w:r w:rsidRPr="009F080D">
        <w:rPr>
          <w:rFonts w:cs="Arial"/>
          <w:rtl/>
        </w:rPr>
        <w:t xml:space="preserve"> וכן המדברת ומשחקת</w:t>
      </w:r>
      <w:r>
        <w:rPr>
          <w:rStyle w:val="a7"/>
          <w:rFonts w:cs="Arial"/>
          <w:rtl/>
        </w:rPr>
        <w:footnoteReference w:id="3135"/>
      </w:r>
      <w:r w:rsidRPr="009F080D">
        <w:rPr>
          <w:rFonts w:cs="Arial"/>
          <w:rtl/>
        </w:rPr>
        <w:t xml:space="preserve"> עם הבחורים</w:t>
      </w:r>
      <w:r>
        <w:rPr>
          <w:rFonts w:cs="Arial" w:hint="cs"/>
          <w:rtl/>
        </w:rPr>
        <w:t>.</w:t>
      </w:r>
      <w:r w:rsidRPr="009F080D">
        <w:rPr>
          <w:rFonts w:cs="Arial"/>
          <w:rtl/>
        </w:rPr>
        <w:t xml:space="preserve"> וכן המקללת אביו בפניו או בפני בנו</w:t>
      </w:r>
      <w:r>
        <w:rPr>
          <w:rFonts w:cs="Arial" w:hint="cs"/>
          <w:rtl/>
        </w:rPr>
        <w:t>.</w:t>
      </w:r>
      <w:r w:rsidRPr="009F080D">
        <w:rPr>
          <w:rFonts w:cs="Arial"/>
          <w:rtl/>
        </w:rPr>
        <w:t xml:space="preserve"> וכן התובעת מבעלה </w:t>
      </w:r>
      <w:r w:rsidRPr="009F080D">
        <w:rPr>
          <w:rFonts w:cs="Arial"/>
          <w:rtl/>
        </w:rPr>
        <w:lastRenderedPageBreak/>
        <w:t>התשמיש בקול רם עד ששכנותיה שומעות אותה</w:t>
      </w:r>
      <w:r>
        <w:rPr>
          <w:rFonts w:cs="Arial" w:hint="cs"/>
          <w:rtl/>
        </w:rPr>
        <w:t>,</w:t>
      </w:r>
      <w:r w:rsidRPr="009F080D">
        <w:rPr>
          <w:rFonts w:cs="Arial"/>
          <w:rtl/>
        </w:rPr>
        <w:t xml:space="preserve"> או שמריבה עמו עד שנשמע קולה כשתובע על עסקי תשמיש</w:t>
      </w:r>
      <w:r>
        <w:rPr>
          <w:rFonts w:cs="Arial" w:hint="cs"/>
          <w:rtl/>
        </w:rPr>
        <w:t>.</w:t>
      </w:r>
      <w:r w:rsidRPr="009F080D">
        <w:rPr>
          <w:rFonts w:cs="Arial"/>
          <w:rtl/>
        </w:rPr>
        <w:t xml:space="preserve"> בכל אחד מאלו </w:t>
      </w:r>
      <w:r>
        <w:rPr>
          <w:rFonts w:cs="Arial" w:hint="cs"/>
          <w:rtl/>
        </w:rPr>
        <w:t xml:space="preserve">- </w:t>
      </w:r>
      <w:r w:rsidRPr="009F080D">
        <w:rPr>
          <w:rFonts w:cs="Arial"/>
          <w:rtl/>
        </w:rPr>
        <w:t>תצא בלא כתובה</w:t>
      </w:r>
      <w:r>
        <w:rPr>
          <w:rFonts w:cs="Arial" w:hint="cs"/>
          <w:rtl/>
        </w:rPr>
        <w:t>.</w:t>
      </w:r>
      <w:r w:rsidRPr="009F080D">
        <w:rPr>
          <w:rFonts w:cs="Arial"/>
          <w:rtl/>
        </w:rPr>
        <w:t xml:space="preserve"> </w:t>
      </w:r>
    </w:p>
    <w:p w14:paraId="18BB54C7" w14:textId="77777777" w:rsidR="002E5BAD" w:rsidRPr="00495757" w:rsidRDefault="002E5BAD" w:rsidP="002E5BAD">
      <w:r w:rsidRPr="00495757">
        <w:rPr>
          <w:rFonts w:cs="Arial" w:hint="cs"/>
          <w:b/>
          <w:bCs/>
          <w:rtl/>
        </w:rPr>
        <w:t xml:space="preserve">סוטה </w:t>
      </w:r>
      <w:r>
        <w:rPr>
          <w:rFonts w:cs="Arial" w:hint="cs"/>
          <w:b/>
          <w:bCs/>
          <w:sz w:val="16"/>
          <w:szCs w:val="16"/>
          <w:rtl/>
        </w:rPr>
        <w:t xml:space="preserve">(פ' ארוסה) </w:t>
      </w:r>
      <w:r w:rsidRPr="00495757">
        <w:rPr>
          <w:rFonts w:cs="Arial" w:hint="cs"/>
          <w:b/>
          <w:bCs/>
          <w:rtl/>
        </w:rPr>
        <w:t xml:space="preserve">כה ע"א: </w:t>
      </w:r>
      <w:r w:rsidRPr="00495757">
        <w:rPr>
          <w:rFonts w:cs="Arial"/>
          <w:rtl/>
        </w:rPr>
        <w:t>איבעיא להו: עוברת על דת, צריכה התראה להפסידה כתובתה או אינה צריכה? מי אמרינן, כיון דעוברת על דת היא לא בעיא התראה, או דלמא תיבעי התראה, דאי הדרה בה תיהדר בה?</w:t>
      </w:r>
      <w:r>
        <w:rPr>
          <w:rFonts w:cs="Arial" w:hint="cs"/>
          <w:rtl/>
        </w:rPr>
        <w:t>..</w:t>
      </w:r>
      <w:r w:rsidRPr="00495757">
        <w:rPr>
          <w:rFonts w:cs="Arial"/>
          <w:rtl/>
        </w:rPr>
        <w:t xml:space="preserve">. </w:t>
      </w:r>
      <w:r w:rsidRPr="00853310">
        <w:rPr>
          <w:rFonts w:cs="Arial"/>
          <w:u w:val="single"/>
          <w:rtl/>
        </w:rPr>
        <w:t>א"ר חנינא מסורא</w:t>
      </w:r>
      <w:r w:rsidRPr="00495757">
        <w:rPr>
          <w:rFonts w:cs="Arial"/>
          <w:rtl/>
        </w:rPr>
        <w:t>: ת"ש, ואלו שבית דין מקנין להן: מי שנתחרש בעלה, או נשתטה, או שהיה חבוש בבית האסורין, ולא להשקותה אמרו אלא לפוסלה מכתובתה</w:t>
      </w:r>
      <w:r>
        <w:rPr>
          <w:rStyle w:val="a7"/>
          <w:rFonts w:cs="Arial"/>
          <w:rtl/>
        </w:rPr>
        <w:footnoteReference w:id="3136"/>
      </w:r>
      <w:r>
        <w:rPr>
          <w:rFonts w:cs="Arial" w:hint="cs"/>
          <w:rtl/>
        </w:rPr>
        <w:t>,</w:t>
      </w:r>
      <w:r w:rsidRPr="00495757">
        <w:rPr>
          <w:rFonts w:cs="Arial"/>
          <w:rtl/>
        </w:rPr>
        <w:t xml:space="preserve"> ש"מ בעי התראה, ש"מ.</w:t>
      </w:r>
    </w:p>
    <w:p w14:paraId="65B0062C" w14:textId="77777777" w:rsidR="002E5BAD" w:rsidRPr="00495757" w:rsidRDefault="002E5BAD" w:rsidP="002E5BAD">
      <w:pPr>
        <w:rPr>
          <w:u w:val="single"/>
        </w:rPr>
      </w:pPr>
      <w:r w:rsidRPr="00495757">
        <w:rPr>
          <w:rFonts w:hint="cs"/>
          <w:u w:val="single"/>
          <w:rtl/>
        </w:rPr>
        <w:t>האם עוברת על דת צריכה התראה כדי להפסיד כתובתה:</w:t>
      </w:r>
    </w:p>
    <w:p w14:paraId="2CE9A273" w14:textId="77777777" w:rsidR="002E5BAD" w:rsidRPr="00585149" w:rsidRDefault="002E5BAD" w:rsidP="00B75458">
      <w:pPr>
        <w:pStyle w:val="ab"/>
        <w:numPr>
          <w:ilvl w:val="0"/>
          <w:numId w:val="204"/>
        </w:numPr>
      </w:pPr>
      <w:r>
        <w:rPr>
          <w:rFonts w:cs="Arial" w:hint="cs"/>
          <w:rtl/>
        </w:rPr>
        <w:t xml:space="preserve">טור- </w:t>
      </w:r>
      <w:r w:rsidRPr="009F080D">
        <w:rPr>
          <w:rFonts w:cs="Arial"/>
          <w:rtl/>
        </w:rPr>
        <w:t>ומ"מ לא אבדה כתובתה אא"כ יש עדים שהתרה בה תחילה</w:t>
      </w:r>
      <w:r>
        <w:rPr>
          <w:rFonts w:cs="Arial" w:hint="cs"/>
          <w:rtl/>
        </w:rPr>
        <w:t>,</w:t>
      </w:r>
      <w:r w:rsidRPr="009F080D">
        <w:rPr>
          <w:rFonts w:cs="Arial"/>
          <w:rtl/>
        </w:rPr>
        <w:t xml:space="preserve"> ועברה על התראתו</w:t>
      </w:r>
      <w:r>
        <w:rPr>
          <w:rStyle w:val="a7"/>
          <w:rFonts w:cs="Arial"/>
          <w:rtl/>
        </w:rPr>
        <w:footnoteReference w:id="3137"/>
      </w:r>
      <w:r>
        <w:rPr>
          <w:rFonts w:cs="Arial" w:hint="cs"/>
          <w:rtl/>
        </w:rPr>
        <w:t>.</w:t>
      </w:r>
      <w:r w:rsidRPr="009F080D">
        <w:rPr>
          <w:rFonts w:cs="Arial"/>
          <w:rtl/>
        </w:rPr>
        <w:t xml:space="preserve"> ואם אין עדים </w:t>
      </w:r>
      <w:r>
        <w:rPr>
          <w:rFonts w:cs="Arial" w:hint="cs"/>
          <w:rtl/>
        </w:rPr>
        <w:t xml:space="preserve">- </w:t>
      </w:r>
      <w:r w:rsidRPr="009F080D">
        <w:rPr>
          <w:rFonts w:cs="Arial"/>
          <w:rtl/>
        </w:rPr>
        <w:t>תשבע שהוא כדבריה</w:t>
      </w:r>
      <w:r>
        <w:rPr>
          <w:rStyle w:val="a7"/>
          <w:rFonts w:cs="Arial"/>
          <w:rtl/>
        </w:rPr>
        <w:footnoteReference w:id="3138"/>
      </w:r>
      <w:r>
        <w:rPr>
          <w:rFonts w:cs="Arial" w:hint="cs"/>
          <w:rtl/>
        </w:rPr>
        <w:t>.</w:t>
      </w:r>
      <w:r w:rsidRPr="009F080D">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1A09CECD" w14:textId="77777777" w:rsidR="002E5BAD" w:rsidRPr="00F1386B" w:rsidRDefault="002E5BAD" w:rsidP="002E5BAD">
      <w:pPr>
        <w:ind w:left="360"/>
        <w:rPr>
          <w:u w:val="dotted"/>
        </w:rPr>
      </w:pPr>
      <w:r w:rsidRPr="00F1386B">
        <w:rPr>
          <w:rFonts w:cs="Arial" w:hint="cs"/>
          <w:u w:val="dotted"/>
          <w:rtl/>
        </w:rPr>
        <w:t>מתי צריך להתרות בה:</w:t>
      </w:r>
      <w:r w:rsidRPr="00F1386B">
        <w:rPr>
          <w:rFonts w:cs="Arial"/>
          <w:u w:val="dotted"/>
          <w:rtl/>
        </w:rPr>
        <w:t xml:space="preserve"> </w:t>
      </w:r>
    </w:p>
    <w:p w14:paraId="054F4AB8" w14:textId="77777777" w:rsidR="002E5BAD" w:rsidRDefault="002E5BAD" w:rsidP="00B75458">
      <w:pPr>
        <w:pStyle w:val="ab"/>
        <w:numPr>
          <w:ilvl w:val="0"/>
          <w:numId w:val="204"/>
        </w:numPr>
      </w:pPr>
      <w:r>
        <w:rPr>
          <w:rFonts w:cs="Arial" w:hint="cs"/>
          <w:rtl/>
        </w:rPr>
        <w:t xml:space="preserve">מהר"ם </w:t>
      </w:r>
      <w:r>
        <w:rPr>
          <w:rFonts w:cs="Arial" w:hint="cs"/>
          <w:sz w:val="16"/>
          <w:szCs w:val="16"/>
          <w:rtl/>
        </w:rPr>
        <w:t>(ד"ל סי' תמ, הביאוהו הרשב"א [ח"א סי' תתסד וסי' תתסו] המרדכי [סי' קצו] ותשו' מיימוניות [סי' טז])</w:t>
      </w:r>
      <w:r>
        <w:rPr>
          <w:rFonts w:cs="Arial" w:hint="cs"/>
          <w:rtl/>
        </w:rPr>
        <w:t xml:space="preserve">- </w:t>
      </w:r>
      <w:r>
        <w:rPr>
          <w:rFonts w:cs="Arial"/>
          <w:rtl/>
        </w:rPr>
        <w:t>עודני מחזיק לקיים דברי, דע</w:t>
      </w:r>
      <w:r>
        <w:rPr>
          <w:rFonts w:cs="Arial" w:hint="cs"/>
          <w:rtl/>
        </w:rPr>
        <w:t xml:space="preserve">ל </w:t>
      </w:r>
      <w:r>
        <w:rPr>
          <w:rFonts w:cs="Arial"/>
          <w:rtl/>
        </w:rPr>
        <w:t>כ</w:t>
      </w:r>
      <w:r>
        <w:rPr>
          <w:rFonts w:cs="Arial" w:hint="cs"/>
          <w:rtl/>
        </w:rPr>
        <w:t>רחך</w:t>
      </w:r>
      <w:r>
        <w:rPr>
          <w:rFonts w:cs="Arial"/>
          <w:rtl/>
        </w:rPr>
        <w:t xml:space="preserve"> לא בעיא התראה בשעת מעשה כמו שהוכחתי שמקנין לארוסה להשקותה כשהיא נשואה, ופירש"י בפרק הבא על יבמתו </w:t>
      </w:r>
      <w:r>
        <w:rPr>
          <w:rFonts w:cs="Arial" w:hint="cs"/>
          <w:rtl/>
        </w:rPr>
        <w:t>(</w:t>
      </w:r>
      <w:r>
        <w:rPr>
          <w:rFonts w:cs="Arial"/>
          <w:rtl/>
        </w:rPr>
        <w:t>יבמות נ</w:t>
      </w:r>
      <w:r>
        <w:rPr>
          <w:rFonts w:cs="Arial" w:hint="cs"/>
          <w:rtl/>
        </w:rPr>
        <w:t>ח:</w:t>
      </w:r>
      <w:r>
        <w:rPr>
          <w:rFonts w:cs="Arial"/>
          <w:rtl/>
        </w:rPr>
        <w:t xml:space="preserve"> ד"ה רב פפא אמר</w:t>
      </w:r>
      <w:r>
        <w:rPr>
          <w:rFonts w:cs="Arial" w:hint="cs"/>
          <w:rtl/>
        </w:rPr>
        <w:t>)</w:t>
      </w:r>
      <w:r>
        <w:rPr>
          <w:rFonts w:cs="Arial"/>
          <w:rtl/>
        </w:rPr>
        <w:t xml:space="preserve"> על סתירה שנסתרה לאחר שנישאת.</w:t>
      </w:r>
      <w:r>
        <w:rPr>
          <w:rFonts w:cs="Arial" w:hint="cs"/>
          <w:rtl/>
        </w:rPr>
        <w:t>..</w:t>
      </w:r>
      <w:r>
        <w:rPr>
          <w:rFonts w:cs="Arial"/>
          <w:rtl/>
        </w:rPr>
        <w:t xml:space="preserve"> והכי איתא בהדיא בפרק ארוסה </w:t>
      </w:r>
      <w:r>
        <w:rPr>
          <w:rFonts w:cs="Arial" w:hint="cs"/>
          <w:rtl/>
        </w:rPr>
        <w:t>(</w:t>
      </w:r>
      <w:r>
        <w:rPr>
          <w:rFonts w:cs="Arial"/>
          <w:rtl/>
        </w:rPr>
        <w:t>סוטה כו</w:t>
      </w:r>
      <w:r>
        <w:rPr>
          <w:rFonts w:cs="Arial" w:hint="cs"/>
          <w:rtl/>
        </w:rPr>
        <w:t>.)</w:t>
      </w:r>
      <w:r>
        <w:rPr>
          <w:rFonts w:cs="Arial"/>
          <w:rtl/>
        </w:rPr>
        <w:t xml:space="preserve"> המקנא לארוסתו ולשומרת יבם שלו, משנכנסה נסתרה, או שותות או לא נוטלות כתובה. אלמא אע</w:t>
      </w:r>
      <w:r>
        <w:rPr>
          <w:rFonts w:cs="Arial" w:hint="cs"/>
          <w:rtl/>
        </w:rPr>
        <w:t>"</w:t>
      </w:r>
      <w:r>
        <w:rPr>
          <w:rFonts w:cs="Arial"/>
          <w:rtl/>
        </w:rPr>
        <w:t xml:space="preserve">ג דהקינוי היה קודם הסתירה הרבה מהני להשקותה על ידי ההוא קינוי, כ"ש דמהני להפסידה כתובתה כמו שכתבתי כבר. </w:t>
      </w:r>
      <w:r w:rsidRPr="00585149">
        <w:rPr>
          <w:rFonts w:cs="Arial"/>
          <w:rtl/>
        </w:rPr>
        <w:t>ומה שכתבת דומיא דמשמשתו נידה. משמשתו נדה נמי לא בעי להתרות בשעת מעשה, אלא כשהיא עוברת פעם אחת שוב מתרה בה בעדים והזהרי שלא תעברי עוד, ואם תעברי תפסדי כתובתך ותצאי בלא כתובה. ואם יש עדים שראוה שעברה תצא בלא כתובה, אע</w:t>
      </w:r>
      <w:r w:rsidRPr="00585149">
        <w:rPr>
          <w:rFonts w:cs="Arial" w:hint="cs"/>
          <w:rtl/>
        </w:rPr>
        <w:t>"</w:t>
      </w:r>
      <w:r w:rsidRPr="00585149">
        <w:rPr>
          <w:rFonts w:cs="Arial"/>
          <w:rtl/>
        </w:rPr>
        <w:t xml:space="preserve">פ שלא חזרו והתרו בה פעם שנייה בשעת מעשה, מידי דהוי אקינוי שאדם מקנה לאשתו אל תסתרי ושוב ראה שנסתרה, אף על פי שלא התרו בה בשעת מעשה משקה אותה ולא מציא למימר אישתליין, וכ"ש הכא לגבי כתובה דלא מציא למימר אישתליין. </w:t>
      </w:r>
      <w:r>
        <w:rPr>
          <w:rFonts w:hint="cs"/>
          <w:rtl/>
        </w:rPr>
        <w:t>(וכ"פ הח"מ</w:t>
      </w:r>
      <w:r>
        <w:rPr>
          <w:rFonts w:hint="cs"/>
          <w:sz w:val="16"/>
          <w:szCs w:val="16"/>
          <w:rtl/>
        </w:rPr>
        <w:t xml:space="preserve"> [סקט"ז]</w:t>
      </w:r>
      <w:r>
        <w:rPr>
          <w:rFonts w:hint="cs"/>
          <w:rtl/>
        </w:rPr>
        <w:t>)</w:t>
      </w:r>
    </w:p>
    <w:p w14:paraId="4DF229D1" w14:textId="77777777" w:rsidR="002E5BAD" w:rsidRPr="00F1386B" w:rsidRDefault="002E5BAD" w:rsidP="002E5BAD">
      <w:pPr>
        <w:ind w:left="360"/>
        <w:rPr>
          <w:u w:val="dotted"/>
        </w:rPr>
      </w:pPr>
      <w:r w:rsidRPr="00F1386B">
        <w:rPr>
          <w:rFonts w:hint="cs"/>
          <w:u w:val="dotted"/>
          <w:rtl/>
        </w:rPr>
        <w:t>מהי לשון ההתראה:</w:t>
      </w:r>
    </w:p>
    <w:p w14:paraId="5E3B20DF" w14:textId="77777777" w:rsidR="002E5BAD" w:rsidRDefault="002E5BAD" w:rsidP="00B75458">
      <w:pPr>
        <w:pStyle w:val="ab"/>
        <w:numPr>
          <w:ilvl w:val="0"/>
          <w:numId w:val="204"/>
        </w:numPr>
      </w:pPr>
      <w:r w:rsidRPr="00585149">
        <w:rPr>
          <w:rFonts w:cs="Arial"/>
          <w:rtl/>
        </w:rPr>
        <w:t xml:space="preserve">רא"ש </w:t>
      </w:r>
      <w:r>
        <w:rPr>
          <w:rFonts w:cs="Arial" w:hint="cs"/>
          <w:sz w:val="16"/>
          <w:szCs w:val="16"/>
          <w:rtl/>
        </w:rPr>
        <w:t>(כלל לב סי' יז, כ"כ הב"י [בבדה"ב] בשמו)</w:t>
      </w:r>
      <w:r>
        <w:rPr>
          <w:rFonts w:cs="Arial" w:hint="cs"/>
          <w:rtl/>
        </w:rPr>
        <w:t xml:space="preserve">- </w:t>
      </w:r>
      <w:r w:rsidRPr="00585149">
        <w:rPr>
          <w:rFonts w:cs="Arial"/>
          <w:rtl/>
        </w:rPr>
        <w:t xml:space="preserve">לשון ההתראה הוא </w:t>
      </w:r>
      <w:r>
        <w:rPr>
          <w:rFonts w:cs="Arial" w:hint="cs"/>
          <w:rtl/>
        </w:rPr>
        <w:t>'</w:t>
      </w:r>
      <w:r w:rsidRPr="00585149">
        <w:rPr>
          <w:rFonts w:cs="Arial"/>
          <w:rtl/>
        </w:rPr>
        <w:t>דעי שאם תעשי כך תפסידי כתובתיך</w:t>
      </w:r>
      <w:r>
        <w:rPr>
          <w:rFonts w:cs="Arial" w:hint="cs"/>
          <w:rtl/>
        </w:rPr>
        <w:t>'</w:t>
      </w:r>
      <w:r>
        <w:rPr>
          <w:rStyle w:val="a7"/>
          <w:rFonts w:cs="Arial"/>
          <w:rtl/>
        </w:rPr>
        <w:footnoteReference w:id="3139"/>
      </w:r>
      <w:r>
        <w:rPr>
          <w:rFonts w:hint="cs"/>
          <w:rtl/>
        </w:rPr>
        <w:t xml:space="preserve">. </w:t>
      </w:r>
      <w:r w:rsidRPr="00CE53A0">
        <w:rPr>
          <w:rFonts w:hint="cs"/>
          <w:color w:val="E36C0A" w:themeColor="accent6" w:themeShade="BF"/>
          <w:rtl/>
        </w:rPr>
        <w:t>(וכ"פ בשו"ע</w:t>
      </w:r>
      <w:r w:rsidRPr="00CE53A0">
        <w:rPr>
          <w:rFonts w:hint="cs"/>
          <w:color w:val="E36C0A" w:themeColor="accent6" w:themeShade="BF"/>
          <w:sz w:val="16"/>
          <w:szCs w:val="16"/>
          <w:rtl/>
        </w:rPr>
        <w:t xml:space="preserve"> </w:t>
      </w:r>
      <w:r>
        <w:rPr>
          <w:rFonts w:hint="cs"/>
          <w:sz w:val="16"/>
          <w:szCs w:val="16"/>
          <w:rtl/>
        </w:rPr>
        <w:t>[בסע' י]</w:t>
      </w:r>
      <w:r w:rsidRPr="00CE53A0">
        <w:rPr>
          <w:rFonts w:hint="cs"/>
          <w:color w:val="E36C0A" w:themeColor="accent6" w:themeShade="BF"/>
          <w:rtl/>
        </w:rPr>
        <w:t>)</w:t>
      </w:r>
      <w:r>
        <w:rPr>
          <w:rFonts w:hint="cs"/>
          <w:rtl/>
        </w:rPr>
        <w:t xml:space="preserve"> (וכ"פ הח"מ</w:t>
      </w:r>
      <w:r>
        <w:rPr>
          <w:rFonts w:hint="cs"/>
          <w:sz w:val="16"/>
          <w:szCs w:val="16"/>
          <w:rtl/>
        </w:rPr>
        <w:t xml:space="preserve"> [סקט"ז]</w:t>
      </w:r>
      <w:r>
        <w:rPr>
          <w:rFonts w:hint="cs"/>
          <w:rtl/>
        </w:rPr>
        <w:t>)</w:t>
      </w:r>
    </w:p>
    <w:p w14:paraId="1D690513" w14:textId="77777777" w:rsidR="002E5BAD" w:rsidRDefault="002E5BAD" w:rsidP="00B75458">
      <w:pPr>
        <w:pStyle w:val="ab"/>
        <w:numPr>
          <w:ilvl w:val="0"/>
          <w:numId w:val="204"/>
        </w:numPr>
      </w:pPr>
      <w:r>
        <w:rPr>
          <w:rFonts w:hint="cs"/>
          <w:rtl/>
        </w:rPr>
        <w:lastRenderedPageBreak/>
        <w:t xml:space="preserve">ריא"ז </w:t>
      </w:r>
      <w:r>
        <w:rPr>
          <w:rFonts w:hint="cs"/>
          <w:sz w:val="16"/>
          <w:szCs w:val="16"/>
          <w:rtl/>
        </w:rPr>
        <w:t>(פסקי ריא"ז כתובות פ"ז אות ד, וכ"כ בשמו השלט"ג [שם])</w:t>
      </w:r>
      <w:r>
        <w:rPr>
          <w:rFonts w:hint="cs"/>
          <w:rtl/>
        </w:rPr>
        <w:t xml:space="preserve"> שלט"ג </w:t>
      </w:r>
      <w:r w:rsidRPr="00133020">
        <w:rPr>
          <w:rFonts w:cs="Arial"/>
          <w:sz w:val="16"/>
          <w:szCs w:val="16"/>
          <w:rtl/>
        </w:rPr>
        <w:t>(לג. אות א)</w:t>
      </w:r>
      <w:r>
        <w:rPr>
          <w:rFonts w:hint="cs"/>
          <w:rtl/>
        </w:rPr>
        <w:t xml:space="preserve"> ומהרח"ש</w:t>
      </w:r>
      <w:r>
        <w:rPr>
          <w:rFonts w:hint="cs"/>
          <w:sz w:val="16"/>
          <w:szCs w:val="16"/>
          <w:rtl/>
        </w:rPr>
        <w:t xml:space="preserve"> (סי' נז)</w:t>
      </w:r>
      <w:r>
        <w:rPr>
          <w:rFonts w:hint="cs"/>
          <w:rtl/>
        </w:rPr>
        <w:t>- ונראה בעיני שאין צורך להתרות בהן ולהודיען שמפסידות כתובתן אלא אפי' אם התרו שלא ינהגו כמנהגות הרעות הללו והן מחזיקות ברשען יוצאות בלא כתובה ובלא תוספת כמבואר בקונטרס הראיות (ראיה י)</w:t>
      </w:r>
      <w:r>
        <w:rPr>
          <w:rFonts w:hint="cs"/>
          <w:sz w:val="16"/>
          <w:szCs w:val="16"/>
          <w:rtl/>
        </w:rPr>
        <w:t xml:space="preserve"> (ל' ריא"ז)</w:t>
      </w:r>
      <w:r>
        <w:rPr>
          <w:rStyle w:val="a7"/>
          <w:rFonts w:cs="Arial"/>
          <w:rtl/>
        </w:rPr>
        <w:footnoteReference w:id="3140"/>
      </w:r>
      <w:r>
        <w:rPr>
          <w:rFonts w:hint="cs"/>
          <w:rtl/>
        </w:rPr>
        <w:t>.</w:t>
      </w:r>
    </w:p>
    <w:p w14:paraId="60F45941" w14:textId="77777777" w:rsidR="002E5BAD" w:rsidRDefault="002E5BAD" w:rsidP="002E5BAD">
      <w:pPr>
        <w:rPr>
          <w:u w:val="single"/>
          <w:rtl/>
        </w:rPr>
      </w:pPr>
      <w:r w:rsidRPr="00495757">
        <w:rPr>
          <w:rFonts w:cs="Arial" w:hint="cs"/>
          <w:b/>
          <w:bCs/>
          <w:rtl/>
        </w:rPr>
        <w:t xml:space="preserve">סוטה </w:t>
      </w:r>
      <w:r>
        <w:rPr>
          <w:rFonts w:cs="Arial" w:hint="cs"/>
          <w:b/>
          <w:bCs/>
          <w:sz w:val="16"/>
          <w:szCs w:val="16"/>
          <w:rtl/>
        </w:rPr>
        <w:t xml:space="preserve">(פ' ארוסה) </w:t>
      </w:r>
      <w:r w:rsidRPr="00495757">
        <w:rPr>
          <w:rFonts w:cs="Arial" w:hint="cs"/>
          <w:b/>
          <w:bCs/>
          <w:rtl/>
        </w:rPr>
        <w:t>כה ע"א:</w:t>
      </w:r>
      <w:r w:rsidRPr="00A151A0">
        <w:rPr>
          <w:rFonts w:cs="Arial" w:hint="cs"/>
          <w:rtl/>
        </w:rPr>
        <w:t xml:space="preserve"> </w:t>
      </w:r>
      <w:r w:rsidRPr="00A151A0">
        <w:rPr>
          <w:rFonts w:cs="Arial"/>
          <w:rtl/>
        </w:rPr>
        <w:t>איבעיא להו: עוברת על דת ורצה בעל לקיימה, מקיימה או אינו מקיימה? מי אמרינן בקפידא דבעל תלא רחמנא, והא לא קפיד, או דלמא כיון דקפיד - קפיד? ת"ש, ואלו שבית דין מקנין להן: מי שנתחרש בעלה, או נשתטה, או שהיה חבוש בבית האסורין</w:t>
      </w:r>
      <w:r>
        <w:rPr>
          <w:rFonts w:cs="Arial" w:hint="cs"/>
          <w:rtl/>
        </w:rPr>
        <w:t>.</w:t>
      </w:r>
      <w:r w:rsidRPr="00A151A0">
        <w:rPr>
          <w:rFonts w:cs="Arial"/>
          <w:rtl/>
        </w:rPr>
        <w:t xml:space="preserve"> ואי אמרת רצה בעל לקיימה מקיימה, עבדי ב"ד מידי דדלמא לא ניחא ליה לבעל? סתמא דמילתא כיון דעוברת על דת </w:t>
      </w:r>
      <w:r w:rsidRPr="004B6EBE">
        <w:rPr>
          <w:rFonts w:cs="Arial"/>
          <w:rtl/>
        </w:rPr>
        <w:t>היא, מינח ניחא ליה</w:t>
      </w:r>
      <w:r w:rsidRPr="004B6EBE">
        <w:rPr>
          <w:rStyle w:val="a7"/>
          <w:rFonts w:cs="Arial"/>
          <w:rtl/>
        </w:rPr>
        <w:footnoteReference w:id="3141"/>
      </w:r>
      <w:r w:rsidRPr="004B6EBE">
        <w:rPr>
          <w:rFonts w:cs="Arial"/>
          <w:rtl/>
        </w:rPr>
        <w:t>.</w:t>
      </w:r>
      <w:r w:rsidRPr="004B6EBE">
        <w:rPr>
          <w:rtl/>
        </w:rPr>
        <w:t xml:space="preserve"> </w:t>
      </w:r>
      <w:r w:rsidRPr="004B6EBE">
        <w:rPr>
          <w:rFonts w:cs="Arial"/>
          <w:rtl/>
        </w:rPr>
        <w:t>איבעיא להו: בעל שמחל על קינויו, קינויו מחול או אינו מחול? מי אמרינן בקינוי דבעל תלא רחמנא, ובעל הא מחיל ליה לקינויו, או דלמא כיון דקני ליה מעיקרא - לא מצי מחיל ליה? ת"ש, ואלו שב"ד מקנין להן: מי שנתחרש בעלה, או נשתטה, או שהיה חבוש בבית האסורין; ואי אמרת בעל שמחל על קינויו קינויו מחול, עבדינן מידי דאתי בעל מחיל ליה? סתמא דמלתא אדם מסכים על דעת ב"ד. ת"ש: ומוסרין לו שני ת"ח, שמא יבא עליה בדרך; ואי אמרת בעל שמחל על קינויו קינויו מחול, לחליה לקינויה ולבעול! מ"ש תלמידי חכמים? דגמירי, דאי בעי למיבעל, אמרי ליה: אחליה לקינוייך ובעלה. ת"ש: דאמר ר' יאשיה, שלשה דברים סח לי זעירא מאנשי ירושלים: בעל שמחל על קינויו - קינויו מחול, וזקן ממרא שרצו בית דין למחול לו - מוחלין לו, ובן סורר ומורה שרצו אביו ואמו למחול לו - מוחלין לו; וכשבאתי אצל חבירי שבדרום, על שנים הודו לי ועל זקן ממרא לא הודו לי, שלא ירבו מחלוקת בישראל; ש"מ בעל שמחל על קינויו - קינויו מחול, ש"מ.</w:t>
      </w:r>
    </w:p>
    <w:p w14:paraId="19110B07" w14:textId="77777777" w:rsidR="002E5BAD" w:rsidRPr="00F1386B" w:rsidRDefault="002E5BAD" w:rsidP="002E5BAD">
      <w:pPr>
        <w:rPr>
          <w:u w:val="single"/>
        </w:rPr>
      </w:pPr>
      <w:r w:rsidRPr="00F1386B">
        <w:rPr>
          <w:rFonts w:hint="cs"/>
          <w:u w:val="single"/>
          <w:rtl/>
        </w:rPr>
        <w:t>אש</w:t>
      </w:r>
      <w:r>
        <w:rPr>
          <w:rFonts w:hint="cs"/>
          <w:u w:val="single"/>
          <w:rtl/>
        </w:rPr>
        <w:t xml:space="preserve">ה </w:t>
      </w:r>
      <w:r w:rsidRPr="00F1386B">
        <w:rPr>
          <w:rFonts w:hint="cs"/>
          <w:u w:val="single"/>
          <w:rtl/>
        </w:rPr>
        <w:t>ש</w:t>
      </w:r>
      <w:r>
        <w:rPr>
          <w:rFonts w:hint="cs"/>
          <w:u w:val="single"/>
          <w:rtl/>
        </w:rPr>
        <w:t>עו</w:t>
      </w:r>
      <w:r w:rsidRPr="00F1386B">
        <w:rPr>
          <w:rFonts w:hint="cs"/>
          <w:u w:val="single"/>
          <w:rtl/>
        </w:rPr>
        <w:t>ברת על דת</w:t>
      </w:r>
      <w:r>
        <w:rPr>
          <w:rFonts w:hint="cs"/>
          <w:u w:val="single"/>
          <w:rtl/>
        </w:rPr>
        <w:t xml:space="preserve"> </w:t>
      </w:r>
      <w:r>
        <w:rPr>
          <w:u w:val="single"/>
          <w:rtl/>
        </w:rPr>
        <w:t>–</w:t>
      </w:r>
      <w:r>
        <w:rPr>
          <w:rFonts w:hint="cs"/>
          <w:u w:val="single"/>
          <w:rtl/>
        </w:rPr>
        <w:t xml:space="preserve"> האם כופים את בעלה להוציאה</w:t>
      </w:r>
      <w:r w:rsidRPr="00F1386B">
        <w:rPr>
          <w:rFonts w:hint="cs"/>
          <w:u w:val="single"/>
          <w:rtl/>
        </w:rPr>
        <w:t>:</w:t>
      </w:r>
    </w:p>
    <w:p w14:paraId="3DE0BB0C" w14:textId="77777777" w:rsidR="002E5BAD" w:rsidRPr="00746479" w:rsidRDefault="002E5BAD" w:rsidP="00B75458">
      <w:pPr>
        <w:pStyle w:val="ab"/>
        <w:numPr>
          <w:ilvl w:val="0"/>
          <w:numId w:val="204"/>
        </w:numPr>
      </w:pPr>
      <w:r>
        <w:rPr>
          <w:rFonts w:cs="Arial" w:hint="cs"/>
          <w:rtl/>
        </w:rPr>
        <w:t xml:space="preserve">ראב"ד </w:t>
      </w:r>
      <w:r>
        <w:rPr>
          <w:rFonts w:cs="Arial" w:hint="cs"/>
          <w:sz w:val="16"/>
          <w:szCs w:val="16"/>
          <w:rtl/>
        </w:rPr>
        <w:t>(כ"כ בשמו הרשב"א [כתובות עב:] והר"ן [כתובות</w:t>
      </w:r>
      <w:r w:rsidRPr="00746479">
        <w:rPr>
          <w:rFonts w:cs="Arial" w:hint="cs"/>
          <w:sz w:val="16"/>
          <w:szCs w:val="16"/>
          <w:rtl/>
        </w:rPr>
        <w:t xml:space="preserve"> </w:t>
      </w:r>
      <w:r w:rsidRPr="00746479">
        <w:rPr>
          <w:rFonts w:cs="Arial"/>
          <w:sz w:val="16"/>
          <w:szCs w:val="16"/>
          <w:rtl/>
        </w:rPr>
        <w:t>לג.</w:t>
      </w:r>
      <w:r>
        <w:rPr>
          <w:rFonts w:cs="Arial" w:hint="cs"/>
          <w:sz w:val="16"/>
          <w:szCs w:val="16"/>
          <w:rtl/>
        </w:rPr>
        <w:t xml:space="preserve">]) </w:t>
      </w:r>
      <w:r w:rsidRPr="006F32B2">
        <w:rPr>
          <w:rFonts w:cs="Arial"/>
          <w:rtl/>
        </w:rPr>
        <w:t>רא"ש</w:t>
      </w:r>
      <w:r>
        <w:rPr>
          <w:rFonts w:cs="Arial" w:hint="cs"/>
          <w:rtl/>
        </w:rPr>
        <w:t xml:space="preserve"> </w:t>
      </w:r>
      <w:r w:rsidRPr="00746479">
        <w:rPr>
          <w:rFonts w:cs="Arial" w:hint="cs"/>
          <w:sz w:val="16"/>
          <w:szCs w:val="16"/>
          <w:rtl/>
        </w:rPr>
        <w:t>(</w:t>
      </w:r>
      <w:r w:rsidRPr="00746479">
        <w:rPr>
          <w:rFonts w:cs="Arial"/>
          <w:sz w:val="16"/>
          <w:szCs w:val="16"/>
          <w:rtl/>
        </w:rPr>
        <w:t>פ</w:t>
      </w:r>
      <w:r w:rsidRPr="00746479">
        <w:rPr>
          <w:rFonts w:cs="Arial" w:hint="cs"/>
          <w:sz w:val="16"/>
          <w:szCs w:val="16"/>
          <w:rtl/>
        </w:rPr>
        <w:t>'</w:t>
      </w:r>
      <w:r w:rsidRPr="00746479">
        <w:rPr>
          <w:rFonts w:cs="Arial"/>
          <w:sz w:val="16"/>
          <w:szCs w:val="16"/>
          <w:rtl/>
        </w:rPr>
        <w:t xml:space="preserve"> המדיר סו"ס </w:t>
      </w:r>
      <w:r w:rsidRPr="00746479">
        <w:rPr>
          <w:rFonts w:cs="Arial" w:hint="cs"/>
          <w:sz w:val="16"/>
          <w:szCs w:val="16"/>
          <w:rtl/>
        </w:rPr>
        <w:t xml:space="preserve">) </w:t>
      </w:r>
      <w:r>
        <w:rPr>
          <w:rFonts w:cs="Arial" w:hint="cs"/>
          <w:rtl/>
        </w:rPr>
        <w:t xml:space="preserve">וטור- </w:t>
      </w:r>
      <w:r w:rsidRPr="009F080D">
        <w:rPr>
          <w:rFonts w:cs="Arial"/>
          <w:rtl/>
        </w:rPr>
        <w:t>ואם רצה לקיים אותה אח"כ אין כופין אותו להוציאה</w:t>
      </w:r>
      <w:r>
        <w:rPr>
          <w:rFonts w:cs="Arial" w:hint="cs"/>
          <w:rtl/>
        </w:rPr>
        <w:t>,</w:t>
      </w:r>
      <w:r w:rsidRPr="009F080D">
        <w:rPr>
          <w:rFonts w:cs="Arial"/>
          <w:rtl/>
        </w:rPr>
        <w:t xml:space="preserve"> ומ"מ מצוה עליו שיוציאנה</w:t>
      </w:r>
      <w:r>
        <w:rPr>
          <w:rFonts w:cs="Arial" w:hint="cs"/>
          <w:sz w:val="16"/>
          <w:szCs w:val="16"/>
          <w:rtl/>
        </w:rPr>
        <w:t xml:space="preserve"> (ל' הטור)</w:t>
      </w:r>
      <w:r>
        <w:rPr>
          <w:rFonts w:cs="Arial" w:hint="cs"/>
          <w:rtl/>
        </w:rPr>
        <w:t>.</w:t>
      </w:r>
      <w:r w:rsidRPr="007C7697">
        <w:rPr>
          <w:rFonts w:cs="Arial" w:hint="cs"/>
          <w:color w:val="E36C0A" w:themeColor="accent6" w:themeShade="BF"/>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71749B57" w14:textId="77777777" w:rsidR="002E5BAD" w:rsidRDefault="002E5BAD" w:rsidP="00B75458">
      <w:pPr>
        <w:pStyle w:val="ab"/>
        <w:numPr>
          <w:ilvl w:val="0"/>
          <w:numId w:val="204"/>
        </w:numPr>
      </w:pPr>
      <w:r>
        <w:rPr>
          <w:rFonts w:cs="Arial" w:hint="cs"/>
          <w:rtl/>
        </w:rPr>
        <w:t>תוס'</w:t>
      </w:r>
      <w:r>
        <w:rPr>
          <w:rStyle w:val="a7"/>
          <w:rFonts w:cs="Arial"/>
          <w:rtl/>
        </w:rPr>
        <w:footnoteReference w:id="3142"/>
      </w:r>
      <w:r>
        <w:rPr>
          <w:rFonts w:cs="Arial" w:hint="cs"/>
          <w:rtl/>
        </w:rPr>
        <w:t xml:space="preserve"> </w:t>
      </w:r>
      <w:r>
        <w:rPr>
          <w:rFonts w:cs="Arial" w:hint="cs"/>
          <w:sz w:val="16"/>
          <w:szCs w:val="16"/>
          <w:rtl/>
        </w:rPr>
        <w:t xml:space="preserve">(סוטה כה. ד"ה שמע מינה) </w:t>
      </w:r>
      <w:r w:rsidRPr="006F32B2">
        <w:rPr>
          <w:rFonts w:cs="Arial"/>
          <w:rtl/>
        </w:rPr>
        <w:t xml:space="preserve">רמב"ם </w:t>
      </w:r>
      <w:r w:rsidRPr="00746479">
        <w:rPr>
          <w:rFonts w:cs="Arial" w:hint="cs"/>
          <w:sz w:val="16"/>
          <w:szCs w:val="16"/>
          <w:rtl/>
        </w:rPr>
        <w:t>(פכ"ד הט"ז)</w:t>
      </w:r>
      <w:r>
        <w:rPr>
          <w:rFonts w:cs="Arial" w:hint="cs"/>
          <w:rtl/>
        </w:rPr>
        <w:t xml:space="preserve"> ו</w:t>
      </w:r>
      <w:r w:rsidRPr="006F32B2">
        <w:rPr>
          <w:rFonts w:cs="Arial"/>
          <w:rtl/>
        </w:rPr>
        <w:t>רשב"א</w:t>
      </w:r>
      <w:r>
        <w:rPr>
          <w:rStyle w:val="a7"/>
          <w:rFonts w:cs="Arial"/>
          <w:rtl/>
        </w:rPr>
        <w:footnoteReference w:id="3143"/>
      </w:r>
      <w:r w:rsidRPr="00F60CE1">
        <w:rPr>
          <w:rFonts w:cs="Arial"/>
          <w:sz w:val="16"/>
          <w:szCs w:val="16"/>
          <w:rtl/>
        </w:rPr>
        <w:t xml:space="preserve"> (כתובות עב: ד"ה ואסיקנא</w:t>
      </w:r>
      <w:r w:rsidRPr="00F60CE1">
        <w:rPr>
          <w:rFonts w:cs="Arial" w:hint="cs"/>
          <w:sz w:val="16"/>
          <w:szCs w:val="16"/>
          <w:rtl/>
        </w:rPr>
        <w:t xml:space="preserve">, </w:t>
      </w:r>
      <w:r>
        <w:rPr>
          <w:rFonts w:cs="Arial" w:hint="cs"/>
          <w:sz w:val="16"/>
          <w:szCs w:val="16"/>
          <w:rtl/>
        </w:rPr>
        <w:t>ו</w:t>
      </w:r>
      <w:r w:rsidRPr="00F60CE1">
        <w:rPr>
          <w:rFonts w:cs="Arial" w:hint="cs"/>
          <w:sz w:val="16"/>
          <w:szCs w:val="16"/>
          <w:rtl/>
        </w:rPr>
        <w:t>כ"כ הר"ן בשמו [שם]</w:t>
      </w:r>
      <w:r w:rsidRPr="00F60CE1">
        <w:rPr>
          <w:rFonts w:cs="Arial"/>
          <w:sz w:val="16"/>
          <w:szCs w:val="16"/>
          <w:rtl/>
        </w:rPr>
        <w:t>)</w:t>
      </w:r>
      <w:r>
        <w:rPr>
          <w:rFonts w:cs="Arial" w:hint="cs"/>
          <w:rtl/>
        </w:rPr>
        <w:t xml:space="preserve">- </w:t>
      </w:r>
      <w:r w:rsidRPr="00746479">
        <w:rPr>
          <w:rFonts w:cs="Arial"/>
          <w:rtl/>
        </w:rPr>
        <w:t xml:space="preserve">עוברת על דת משה או על דת יהודית וכן זו שעשת דבר מכוער </w:t>
      </w:r>
      <w:r>
        <w:rPr>
          <w:rFonts w:cs="Arial" w:hint="cs"/>
          <w:rtl/>
        </w:rPr>
        <w:t xml:space="preserve">- </w:t>
      </w:r>
      <w:r w:rsidRPr="00746479">
        <w:rPr>
          <w:rFonts w:cs="Arial"/>
          <w:rtl/>
        </w:rPr>
        <w:t>אין כופין את הבעל להוציא</w:t>
      </w:r>
      <w:r>
        <w:rPr>
          <w:rFonts w:cs="Arial" w:hint="cs"/>
          <w:rtl/>
        </w:rPr>
        <w:t>,</w:t>
      </w:r>
      <w:r w:rsidRPr="00746479">
        <w:rPr>
          <w:rFonts w:cs="Arial"/>
          <w:rtl/>
        </w:rPr>
        <w:t xml:space="preserve"> אלא אם רצה לא יוציא</w:t>
      </w:r>
      <w:r>
        <w:rPr>
          <w:rStyle w:val="a7"/>
          <w:rFonts w:cs="Arial"/>
          <w:rtl/>
        </w:rPr>
        <w:footnoteReference w:id="3144"/>
      </w:r>
      <w:r>
        <w:rPr>
          <w:rFonts w:cs="Arial" w:hint="cs"/>
          <w:sz w:val="16"/>
          <w:szCs w:val="16"/>
          <w:rtl/>
        </w:rPr>
        <w:t xml:space="preserve"> (ל' הרמב"ם)</w:t>
      </w:r>
      <w:r>
        <w:rPr>
          <w:rFonts w:cs="Arial" w:hint="cs"/>
          <w:rtl/>
        </w:rPr>
        <w:t>.</w:t>
      </w:r>
      <w:r w:rsidRPr="00746479">
        <w:rPr>
          <w:rFonts w:cs="Arial"/>
          <w:rtl/>
        </w:rPr>
        <w:t xml:space="preserve"> </w:t>
      </w:r>
    </w:p>
    <w:p w14:paraId="21784C99" w14:textId="77777777" w:rsidR="002E5BAD" w:rsidRPr="004B6EBE" w:rsidRDefault="002E5BAD" w:rsidP="002E5BAD">
      <w:pPr>
        <w:ind w:left="360"/>
        <w:rPr>
          <w:u w:val="dotted"/>
        </w:rPr>
      </w:pPr>
      <w:r w:rsidRPr="004B6EBE">
        <w:rPr>
          <w:rFonts w:hint="cs"/>
          <w:u w:val="dotted"/>
          <w:rtl/>
        </w:rPr>
        <w:t xml:space="preserve">בעל שלא רצה להוציא </w:t>
      </w:r>
      <w:r w:rsidRPr="004B6EBE">
        <w:rPr>
          <w:u w:val="dotted"/>
          <w:rtl/>
        </w:rPr>
        <w:t>–</w:t>
      </w:r>
      <w:r w:rsidRPr="004B6EBE">
        <w:rPr>
          <w:rFonts w:hint="cs"/>
          <w:u w:val="dotted"/>
          <w:rtl/>
        </w:rPr>
        <w:t xml:space="preserve"> האם יש לאשתו כתובה:</w:t>
      </w:r>
    </w:p>
    <w:p w14:paraId="1F1F43F4" w14:textId="77777777" w:rsidR="002E5BAD" w:rsidRDefault="002E5BAD" w:rsidP="00B75458">
      <w:pPr>
        <w:pStyle w:val="ab"/>
        <w:numPr>
          <w:ilvl w:val="0"/>
          <w:numId w:val="204"/>
        </w:numPr>
      </w:pPr>
      <w:r w:rsidRPr="006F32B2">
        <w:rPr>
          <w:rFonts w:cs="Arial"/>
          <w:rtl/>
        </w:rPr>
        <w:t xml:space="preserve">רמב"ם </w:t>
      </w:r>
      <w:r w:rsidRPr="00746479">
        <w:rPr>
          <w:rFonts w:cs="Arial" w:hint="cs"/>
          <w:sz w:val="16"/>
          <w:szCs w:val="16"/>
          <w:rtl/>
        </w:rPr>
        <w:t>(פכ"ד הט"ז)</w:t>
      </w:r>
      <w:r>
        <w:rPr>
          <w:rFonts w:cs="Arial" w:hint="cs"/>
          <w:rtl/>
        </w:rPr>
        <w:t xml:space="preserve"> וטור- </w:t>
      </w:r>
      <w:r w:rsidRPr="00746479">
        <w:rPr>
          <w:rFonts w:cs="Arial"/>
          <w:rtl/>
        </w:rPr>
        <w:t>ואע</w:t>
      </w:r>
      <w:r>
        <w:rPr>
          <w:rFonts w:cs="Arial" w:hint="cs"/>
          <w:rtl/>
        </w:rPr>
        <w:t>"</w:t>
      </w:r>
      <w:r w:rsidRPr="00746479">
        <w:rPr>
          <w:rFonts w:cs="Arial"/>
          <w:rtl/>
        </w:rPr>
        <w:t>פ שלא הוציא אין להן כתובה, שהכתובה תקנת חכמים היא כדי שלא תהא קלה בעיניו להוציאה ולא הקפידו אלא על בנות ישראל הצנועות אבל אלו הפרוצות אין להן תקנה זו אלא תהא קלה בעיניו להוציאה</w:t>
      </w:r>
      <w:r>
        <w:rPr>
          <w:rStyle w:val="a7"/>
          <w:rFonts w:cs="Arial"/>
          <w:rtl/>
        </w:rPr>
        <w:footnoteReference w:id="3145"/>
      </w:r>
      <w:r>
        <w:rPr>
          <w:rFonts w:cs="Arial" w:hint="cs"/>
          <w:sz w:val="16"/>
          <w:szCs w:val="16"/>
          <w:rtl/>
        </w:rPr>
        <w:t xml:space="preserve"> (ל' הרמב"ם)</w:t>
      </w:r>
      <w:r w:rsidRPr="00746479">
        <w:rPr>
          <w:rFonts w:cs="Arial"/>
          <w:rtl/>
        </w:rPr>
        <w:t xml:space="preserve">. </w:t>
      </w:r>
    </w:p>
    <w:p w14:paraId="0D7EAE3A" w14:textId="77777777" w:rsidR="002E5BAD" w:rsidRPr="006F32B2" w:rsidRDefault="002E5BAD" w:rsidP="00B75458">
      <w:pPr>
        <w:pStyle w:val="ab"/>
        <w:numPr>
          <w:ilvl w:val="0"/>
          <w:numId w:val="204"/>
        </w:numPr>
        <w:rPr>
          <w:rtl/>
        </w:rPr>
      </w:pPr>
      <w:r>
        <w:rPr>
          <w:rFonts w:cs="Arial" w:hint="cs"/>
          <w:rtl/>
        </w:rPr>
        <w:t xml:space="preserve">ריטב"א </w:t>
      </w:r>
      <w:r>
        <w:rPr>
          <w:rFonts w:cs="Arial" w:hint="cs"/>
          <w:sz w:val="16"/>
          <w:szCs w:val="16"/>
          <w:rtl/>
        </w:rPr>
        <w:t>(כתובות עב. ד"ה העוברת)</w:t>
      </w:r>
      <w:r>
        <w:rPr>
          <w:rFonts w:cs="Arial" w:hint="cs"/>
          <w:rtl/>
        </w:rPr>
        <w:t xml:space="preserve">- </w:t>
      </w:r>
      <w:r w:rsidRPr="0020236E">
        <w:rPr>
          <w:rFonts w:cs="Arial"/>
          <w:rtl/>
        </w:rPr>
        <w:t>רוב רבותי ז"ל חולקין עליו</w:t>
      </w:r>
      <w:r>
        <w:rPr>
          <w:rFonts w:cs="Arial" w:hint="cs"/>
          <w:sz w:val="16"/>
          <w:szCs w:val="16"/>
          <w:rtl/>
        </w:rPr>
        <w:t xml:space="preserve"> {על הרמב"ם}</w:t>
      </w:r>
      <w:r w:rsidRPr="0020236E">
        <w:rPr>
          <w:rFonts w:cs="Arial"/>
          <w:rtl/>
        </w:rPr>
        <w:t xml:space="preserve"> בזה.</w:t>
      </w:r>
    </w:p>
    <w:p w14:paraId="4FEE9E97" w14:textId="77777777" w:rsidR="002E5BAD" w:rsidRPr="00E863A5" w:rsidRDefault="002E5BAD" w:rsidP="002E5BAD">
      <w:pPr>
        <w:rPr>
          <w:u w:val="single"/>
          <w:rtl/>
        </w:rPr>
      </w:pPr>
      <w:r w:rsidRPr="00E863A5">
        <w:rPr>
          <w:rFonts w:hint="cs"/>
          <w:u w:val="single"/>
          <w:rtl/>
        </w:rPr>
        <w:t>אשה שעברה על דת בינו לבינה, והתרה בה:</w:t>
      </w:r>
    </w:p>
    <w:p w14:paraId="1046F78D" w14:textId="77777777" w:rsidR="002E5BAD" w:rsidRDefault="002E5BAD" w:rsidP="00B75458">
      <w:pPr>
        <w:pStyle w:val="ab"/>
        <w:numPr>
          <w:ilvl w:val="0"/>
          <w:numId w:val="204"/>
        </w:numPr>
        <w:rPr>
          <w:rtl/>
        </w:rPr>
      </w:pPr>
      <w:r w:rsidRPr="006F32B2">
        <w:rPr>
          <w:rFonts w:cs="Arial"/>
          <w:rtl/>
        </w:rPr>
        <w:t xml:space="preserve">רמב"ם </w:t>
      </w:r>
      <w:r w:rsidRPr="00746479">
        <w:rPr>
          <w:rFonts w:cs="Arial" w:hint="cs"/>
          <w:sz w:val="16"/>
          <w:szCs w:val="16"/>
          <w:rtl/>
        </w:rPr>
        <w:t>(פכ"ד ה</w:t>
      </w:r>
      <w:r>
        <w:rPr>
          <w:rFonts w:cs="Arial" w:hint="cs"/>
          <w:sz w:val="16"/>
          <w:szCs w:val="16"/>
          <w:rtl/>
        </w:rPr>
        <w:t>י"ז</w:t>
      </w:r>
      <w:r w:rsidRPr="00746479">
        <w:rPr>
          <w:rFonts w:cs="Arial" w:hint="cs"/>
          <w:sz w:val="16"/>
          <w:szCs w:val="16"/>
          <w:rtl/>
        </w:rPr>
        <w:t>)</w:t>
      </w:r>
      <w:r>
        <w:rPr>
          <w:rFonts w:cs="Arial" w:hint="cs"/>
          <w:rtl/>
        </w:rPr>
        <w:t xml:space="preserve"> וטור- </w:t>
      </w:r>
      <w:r w:rsidRPr="00E863A5">
        <w:rPr>
          <w:rFonts w:cs="Arial"/>
          <w:rtl/>
        </w:rPr>
        <w:t>עברה בינו לבינה וידע שהיא עוברת על דת והתרה בה בלא עדים וחזרה ועברה הוא טוען ואומר עברה אחר התראה והיא אומרת לא עברתי כלל או לא התרה בי, אם רצה להוציא הרי זה נותן כתובה אחר שתשבע שלא עברה, שאם תודה שעברה אחר התראה זו אין לה כלום</w:t>
      </w:r>
      <w:r>
        <w:rPr>
          <w:rFonts w:cs="Arial" w:hint="cs"/>
          <w:rtl/>
        </w:rPr>
        <w:t>.</w:t>
      </w:r>
    </w:p>
    <w:p w14:paraId="0D9396E5" w14:textId="77777777" w:rsidR="002E5BAD" w:rsidRPr="006F6C98" w:rsidRDefault="002E5BAD" w:rsidP="002E5BAD">
      <w:r w:rsidRPr="00150DB4">
        <w:rPr>
          <w:rFonts w:hint="cs"/>
          <w:u w:val="single"/>
          <w:rtl/>
        </w:rPr>
        <w:t xml:space="preserve">האם </w:t>
      </w:r>
      <w:r>
        <w:rPr>
          <w:rFonts w:hint="cs"/>
          <w:u w:val="single"/>
          <w:rtl/>
        </w:rPr>
        <w:t xml:space="preserve">אדם </w:t>
      </w:r>
      <w:r w:rsidRPr="00150DB4">
        <w:rPr>
          <w:rFonts w:hint="cs"/>
          <w:u w:val="single"/>
          <w:rtl/>
        </w:rPr>
        <w:t xml:space="preserve">יכול לגרש </w:t>
      </w:r>
      <w:r>
        <w:rPr>
          <w:rFonts w:hint="cs"/>
          <w:u w:val="single"/>
          <w:rtl/>
        </w:rPr>
        <w:t xml:space="preserve">אשה שעוברת על דת </w:t>
      </w:r>
      <w:r w:rsidRPr="00150DB4">
        <w:rPr>
          <w:rFonts w:hint="cs"/>
          <w:u w:val="single"/>
          <w:rtl/>
        </w:rPr>
        <w:t>בעל כרחה לאחר תקנת רבנו גרשום</w:t>
      </w:r>
      <w:r>
        <w:rPr>
          <w:rFonts w:hint="cs"/>
          <w:u w:val="single"/>
          <w:rtl/>
        </w:rPr>
        <w:t>:</w:t>
      </w:r>
    </w:p>
    <w:p w14:paraId="72108B48" w14:textId="77777777" w:rsidR="002E5BAD" w:rsidRDefault="002E5BAD" w:rsidP="00B75458">
      <w:pPr>
        <w:pStyle w:val="ab"/>
        <w:numPr>
          <w:ilvl w:val="0"/>
          <w:numId w:val="204"/>
        </w:numPr>
      </w:pPr>
      <w:r w:rsidRPr="00E863A5">
        <w:rPr>
          <w:rFonts w:cs="Arial"/>
          <w:rtl/>
        </w:rPr>
        <w:lastRenderedPageBreak/>
        <w:t>רשב"א</w:t>
      </w:r>
      <w:r>
        <w:rPr>
          <w:rStyle w:val="a7"/>
          <w:rFonts w:cs="Arial"/>
          <w:rtl/>
        </w:rPr>
        <w:footnoteReference w:id="3146"/>
      </w:r>
      <w:r w:rsidRPr="00E863A5">
        <w:rPr>
          <w:rFonts w:cs="Arial"/>
          <w:rtl/>
        </w:rPr>
        <w:t xml:space="preserve"> </w:t>
      </w:r>
      <w:r w:rsidRPr="00E863A5">
        <w:rPr>
          <w:rFonts w:cs="Arial" w:hint="cs"/>
          <w:sz w:val="16"/>
          <w:szCs w:val="16"/>
          <w:rtl/>
        </w:rPr>
        <w:t>(</w:t>
      </w:r>
      <w:r w:rsidRPr="00E863A5">
        <w:rPr>
          <w:rFonts w:cs="Arial"/>
          <w:sz w:val="16"/>
          <w:szCs w:val="16"/>
          <w:rtl/>
        </w:rPr>
        <w:t>ח"א סי</w:t>
      </w:r>
      <w:r w:rsidRPr="00E863A5">
        <w:rPr>
          <w:rFonts w:cs="Arial" w:hint="cs"/>
          <w:sz w:val="16"/>
          <w:szCs w:val="16"/>
          <w:rtl/>
        </w:rPr>
        <w:t>'</w:t>
      </w:r>
      <w:r w:rsidRPr="00E863A5">
        <w:rPr>
          <w:rFonts w:cs="Arial"/>
          <w:sz w:val="16"/>
          <w:szCs w:val="16"/>
          <w:rtl/>
        </w:rPr>
        <w:t xml:space="preserve"> תקנז</w:t>
      </w:r>
      <w:r w:rsidRPr="00E863A5">
        <w:rPr>
          <w:rFonts w:cs="Arial" w:hint="cs"/>
          <w:sz w:val="16"/>
          <w:szCs w:val="16"/>
          <w:rtl/>
        </w:rPr>
        <w:t>)</w:t>
      </w:r>
      <w:r>
        <w:rPr>
          <w:rFonts w:cs="Arial" w:hint="cs"/>
          <w:rtl/>
        </w:rPr>
        <w:t xml:space="preserve"> ו</w:t>
      </w:r>
      <w:r w:rsidRPr="001D1B32">
        <w:rPr>
          <w:rFonts w:cs="Arial"/>
          <w:rtl/>
        </w:rPr>
        <w:t xml:space="preserve">מרדכי </w:t>
      </w:r>
      <w:r w:rsidRPr="00EE6D01">
        <w:rPr>
          <w:rFonts w:cs="Arial" w:hint="cs"/>
          <w:sz w:val="16"/>
          <w:szCs w:val="16"/>
          <w:rtl/>
        </w:rPr>
        <w:t>(כתובות סי' קצו</w:t>
      </w:r>
      <w:r>
        <w:rPr>
          <w:rFonts w:cs="Arial" w:hint="cs"/>
          <w:sz w:val="16"/>
          <w:szCs w:val="16"/>
          <w:rtl/>
        </w:rPr>
        <w:t>, וכ"כ הגה"מ [שם])</w:t>
      </w:r>
      <w:r>
        <w:rPr>
          <w:rFonts w:cs="Arial" w:hint="cs"/>
          <w:rtl/>
        </w:rPr>
        <w:t xml:space="preserve"> בשם</w:t>
      </w:r>
      <w:r w:rsidRPr="00150DB4">
        <w:rPr>
          <w:rFonts w:cs="Arial"/>
          <w:rtl/>
        </w:rPr>
        <w:t xml:space="preserve"> </w:t>
      </w:r>
      <w:r>
        <w:rPr>
          <w:rFonts w:cs="Arial" w:hint="cs"/>
          <w:rtl/>
        </w:rPr>
        <w:t>מ</w:t>
      </w:r>
      <w:r w:rsidRPr="00150DB4">
        <w:rPr>
          <w:rFonts w:cs="Arial"/>
          <w:rtl/>
        </w:rPr>
        <w:t>הר"ם</w:t>
      </w:r>
      <w:r>
        <w:rPr>
          <w:rFonts w:cs="Arial" w:hint="cs"/>
          <w:rtl/>
        </w:rPr>
        <w:t xml:space="preserve">- </w:t>
      </w:r>
      <w:r w:rsidRPr="00150DB4">
        <w:rPr>
          <w:rFonts w:cs="Arial"/>
          <w:rtl/>
        </w:rPr>
        <w:t>ודבר פשיטא שלא תיקן רבינו גרשום</w:t>
      </w:r>
      <w:r>
        <w:rPr>
          <w:rFonts w:cs="Arial" w:hint="cs"/>
          <w:rtl/>
        </w:rPr>
        <w:t xml:space="preserve"> </w:t>
      </w:r>
      <w:r w:rsidRPr="00150DB4">
        <w:rPr>
          <w:rFonts w:cs="Arial"/>
          <w:rtl/>
        </w:rPr>
        <w:t>מאור הגולה תקנתו לעכב על ידו שלא יעשה מצוה</w:t>
      </w:r>
      <w:r>
        <w:rPr>
          <w:rStyle w:val="a7"/>
          <w:rFonts w:cs="Arial"/>
          <w:rtl/>
        </w:rPr>
        <w:footnoteReference w:id="3147"/>
      </w:r>
      <w:r>
        <w:rPr>
          <w:rFonts w:cs="Arial" w:hint="cs"/>
          <w:rtl/>
        </w:rPr>
        <w:t>.</w:t>
      </w:r>
      <w:r w:rsidRPr="00150DB4">
        <w:rPr>
          <w:rFonts w:cs="Arial"/>
          <w:rtl/>
        </w:rPr>
        <w:t xml:space="preserve"> ואדרבה אם אין מגרשה כשהיא עוברת על דת מקרי רשע כדאיתא פרק המגרש</w:t>
      </w:r>
      <w:r>
        <w:rPr>
          <w:rFonts w:cs="Arial" w:hint="cs"/>
          <w:sz w:val="16"/>
          <w:szCs w:val="16"/>
          <w:rtl/>
        </w:rPr>
        <w:t xml:space="preserve"> (ל' המרדכי בשם מהר"ם)</w:t>
      </w:r>
      <w:r w:rsidRPr="009F10EF">
        <w:rPr>
          <w:rStyle w:val="a7"/>
          <w:rFonts w:cs="Arial"/>
          <w:rtl/>
        </w:rPr>
        <w:footnoteReference w:id="3148"/>
      </w:r>
      <w:r w:rsidRPr="00150DB4">
        <w:rPr>
          <w:rFonts w:cs="Arial"/>
          <w:rtl/>
        </w:rPr>
        <w:t>.</w:t>
      </w:r>
      <w:r w:rsidRPr="003402B0">
        <w:rPr>
          <w:rFonts w:hint="cs"/>
          <w:color w:val="00B0F0"/>
          <w:rtl/>
        </w:rPr>
        <w:t xml:space="preserve"> </w:t>
      </w:r>
      <w:r w:rsidRPr="00E43F63">
        <w:rPr>
          <w:rFonts w:hint="cs"/>
          <w:color w:val="00B0F0"/>
          <w:rtl/>
        </w:rPr>
        <w:t>(וכ"פ הרמ"א)</w:t>
      </w:r>
    </w:p>
    <w:p w14:paraId="7FBC3CEB" w14:textId="77777777" w:rsidR="002E5BAD" w:rsidRDefault="002E5BAD" w:rsidP="002E5BAD">
      <w:pPr>
        <w:rPr>
          <w:rFonts w:cs="Arial"/>
          <w:rtl/>
        </w:rPr>
      </w:pPr>
      <w:r w:rsidRPr="00A151A0">
        <w:rPr>
          <w:rFonts w:cs="Arial" w:hint="cs"/>
          <w:u w:val="single"/>
          <w:rtl/>
        </w:rPr>
        <w:t>אשה שרגילה להתייחד עם גוים:</w:t>
      </w:r>
    </w:p>
    <w:p w14:paraId="7379F5A2" w14:textId="77777777" w:rsidR="002E5BAD" w:rsidRPr="00BC622F" w:rsidRDefault="002E5BAD" w:rsidP="00B75458">
      <w:pPr>
        <w:pStyle w:val="ab"/>
        <w:numPr>
          <w:ilvl w:val="0"/>
          <w:numId w:val="204"/>
        </w:numPr>
        <w:rPr>
          <w:rFonts w:cs="Arial"/>
        </w:rPr>
      </w:pPr>
      <w:r w:rsidRPr="00A151A0">
        <w:rPr>
          <w:rFonts w:cs="Arial" w:hint="cs"/>
          <w:rtl/>
        </w:rPr>
        <w:t>תרוה"ד</w:t>
      </w:r>
      <w:r>
        <w:rPr>
          <w:rStyle w:val="a7"/>
          <w:rFonts w:cs="Arial"/>
          <w:rtl/>
        </w:rPr>
        <w:footnoteReference w:id="3149"/>
      </w:r>
      <w:r w:rsidRPr="00A151A0">
        <w:rPr>
          <w:rFonts w:cs="Arial" w:hint="cs"/>
          <w:rtl/>
        </w:rPr>
        <w:t xml:space="preserve"> </w:t>
      </w:r>
      <w:r w:rsidRPr="00A151A0">
        <w:rPr>
          <w:rFonts w:cs="Arial" w:hint="cs"/>
          <w:sz w:val="16"/>
          <w:szCs w:val="16"/>
          <w:rtl/>
        </w:rPr>
        <w:t>(סי' רמב)</w:t>
      </w:r>
      <w:r w:rsidRPr="00A151A0">
        <w:rPr>
          <w:rFonts w:cs="Arial" w:hint="cs"/>
          <w:rtl/>
        </w:rPr>
        <w:t>-</w:t>
      </w:r>
      <w:r>
        <w:rPr>
          <w:rFonts w:cs="Arial" w:hint="cs"/>
          <w:rtl/>
        </w:rPr>
        <w:t xml:space="preserve"> </w:t>
      </w:r>
      <w:r w:rsidRPr="00BC622F">
        <w:rPr>
          <w:rFonts w:cs="Arial"/>
          <w:rtl/>
        </w:rPr>
        <w:t>אשה שרגילה להתיחד עם הגוים הויא עוברת על דת ואיפשר שאין זו צריכה התראה</w:t>
      </w:r>
      <w:r w:rsidRPr="00BC622F">
        <w:rPr>
          <w:rFonts w:cs="Arial" w:hint="cs"/>
          <w:rtl/>
        </w:rPr>
        <w:t>.</w:t>
      </w:r>
      <w:r w:rsidRPr="00BC622F">
        <w:rPr>
          <w:rFonts w:hint="cs"/>
          <w:color w:val="00B0F0"/>
          <w:rtl/>
        </w:rPr>
        <w:t xml:space="preserve"> (וכ"פ הרמ"א)</w:t>
      </w:r>
    </w:p>
    <w:p w14:paraId="28D14835" w14:textId="77777777" w:rsidR="002E5BAD" w:rsidRPr="00607BC7" w:rsidRDefault="002E5BAD" w:rsidP="002E5BAD">
      <w:pPr>
        <w:rPr>
          <w:u w:val="single"/>
        </w:rPr>
      </w:pPr>
      <w:r w:rsidRPr="00607BC7">
        <w:rPr>
          <w:rFonts w:cs="Arial"/>
          <w:u w:val="single"/>
          <w:rtl/>
        </w:rPr>
        <w:t xml:space="preserve">מי שאומר שאשתו זנתה </w:t>
      </w:r>
      <w:r>
        <w:rPr>
          <w:rFonts w:cs="Arial" w:hint="cs"/>
          <w:u w:val="single"/>
          <w:rtl/>
        </w:rPr>
        <w:t>- ה</w:t>
      </w:r>
      <w:r w:rsidRPr="00607BC7">
        <w:rPr>
          <w:rFonts w:cs="Arial"/>
          <w:u w:val="single"/>
          <w:rtl/>
        </w:rPr>
        <w:t>אם הוא נאמן</w:t>
      </w:r>
      <w:r w:rsidRPr="00607BC7">
        <w:rPr>
          <w:rFonts w:cs="Arial" w:hint="cs"/>
          <w:u w:val="single"/>
          <w:rtl/>
        </w:rPr>
        <w:t>:</w:t>
      </w:r>
    </w:p>
    <w:p w14:paraId="7FCBD292" w14:textId="77777777" w:rsidR="002E5BAD" w:rsidRPr="00D6022C" w:rsidRDefault="002E5BAD" w:rsidP="00B75458">
      <w:pPr>
        <w:pStyle w:val="ab"/>
        <w:numPr>
          <w:ilvl w:val="0"/>
          <w:numId w:val="204"/>
        </w:numPr>
        <w:rPr>
          <w:rFonts w:cs="Arial"/>
          <w:rtl/>
        </w:rPr>
      </w:pPr>
      <w:r w:rsidRPr="00E863A5">
        <w:rPr>
          <w:rFonts w:cs="Arial"/>
          <w:rtl/>
        </w:rPr>
        <w:t xml:space="preserve">מרדכי </w:t>
      </w:r>
      <w:r w:rsidRPr="00607BC7">
        <w:rPr>
          <w:rFonts w:cs="Arial" w:hint="cs"/>
          <w:sz w:val="16"/>
          <w:szCs w:val="16"/>
          <w:rtl/>
        </w:rPr>
        <w:t>(</w:t>
      </w:r>
      <w:r w:rsidRPr="00607BC7">
        <w:rPr>
          <w:rFonts w:cs="Arial"/>
          <w:sz w:val="16"/>
          <w:szCs w:val="16"/>
          <w:rtl/>
        </w:rPr>
        <w:t>קידושין פרק האומר סי' תקל)</w:t>
      </w:r>
      <w:r>
        <w:rPr>
          <w:rFonts w:cs="Arial" w:hint="cs"/>
          <w:rtl/>
        </w:rPr>
        <w:t xml:space="preserve">- </w:t>
      </w:r>
      <w:r w:rsidRPr="00D6022C">
        <w:rPr>
          <w:rFonts w:cs="Arial"/>
          <w:rtl/>
        </w:rPr>
        <w:t>מעשה באחד שאסר אשתו עליו ואמר שזינתה מאחר</w:t>
      </w:r>
      <w:r>
        <w:rPr>
          <w:rFonts w:cs="Arial" w:hint="cs"/>
          <w:rtl/>
        </w:rPr>
        <w:t>.</w:t>
      </w:r>
      <w:r w:rsidRPr="00D6022C">
        <w:rPr>
          <w:rFonts w:cs="Arial"/>
          <w:rtl/>
        </w:rPr>
        <w:t xml:space="preserve"> ונשאל למורי ה"ר </w:t>
      </w:r>
      <w:r w:rsidRPr="00607BC7">
        <w:rPr>
          <w:rFonts w:cs="Arial"/>
          <w:rtl/>
        </w:rPr>
        <w:t>שמעון מאונפילא</w:t>
      </w:r>
      <w:r w:rsidRPr="00D6022C">
        <w:rPr>
          <w:rFonts w:cs="Arial"/>
          <w:rtl/>
        </w:rPr>
        <w:t xml:space="preserve"> אם נאמן אם לאו</w:t>
      </w:r>
      <w:r>
        <w:rPr>
          <w:rFonts w:cs="Arial" w:hint="cs"/>
          <w:rtl/>
        </w:rPr>
        <w:t>.</w:t>
      </w:r>
      <w:r w:rsidRPr="00D6022C">
        <w:rPr>
          <w:rFonts w:cs="Arial"/>
          <w:rtl/>
        </w:rPr>
        <w:t xml:space="preserve"> והשיב כמדומה לי ששמעתי מרבותי מפרשים האומרת טמאה אני לך תביא ראיה לדבריה ואינה אסורה עליו וא"כ כופין אותו ומשמשתו</w:t>
      </w:r>
      <w:r>
        <w:rPr>
          <w:rFonts w:cs="Arial" w:hint="cs"/>
          <w:rtl/>
        </w:rPr>
        <w:t xml:space="preserve"> כמו במורדת...</w:t>
      </w:r>
      <w:r w:rsidRPr="00D6022C">
        <w:rPr>
          <w:rFonts w:cs="Arial"/>
          <w:rtl/>
        </w:rPr>
        <w:t xml:space="preserve"> ומשמע דמותרת ולפי זה נותנת הסברא הואיל ונגזרה הגזירה שלא לגרש אשתו כי אם ברצונה חיישינן שמא עיניו נתן באחרת ומותר בה וכופין אותו</w:t>
      </w:r>
      <w:r>
        <w:rPr>
          <w:rFonts w:cs="Arial" w:hint="cs"/>
          <w:rtl/>
        </w:rPr>
        <w:t>...</w:t>
      </w:r>
      <w:r w:rsidRPr="00D6022C">
        <w:rPr>
          <w:rFonts w:cs="Arial"/>
          <w:rtl/>
        </w:rPr>
        <w:t xml:space="preserve"> ואפילו למי שלבו נוקפו ולומר שלא להאכיל לאדם דבר האסור לו עכ"ל ה"ר ר' שמעון</w:t>
      </w:r>
      <w:r>
        <w:rPr>
          <w:rFonts w:cs="Arial" w:hint="cs"/>
          <w:rtl/>
        </w:rPr>
        <w:t>.</w:t>
      </w:r>
      <w:r w:rsidRPr="00D6022C">
        <w:rPr>
          <w:rFonts w:cs="Arial"/>
          <w:rtl/>
        </w:rPr>
        <w:t xml:space="preserve"> ועוד האריך. ובירושלמי גרסינן עלה דההיא דאומרת טמאה אני לך כו' א"ר אילא אם היה חבר יוציא</w:t>
      </w:r>
      <w:r>
        <w:rPr>
          <w:rFonts w:cs="Arial" w:hint="cs"/>
          <w:rtl/>
        </w:rPr>
        <w:t>.</w:t>
      </w:r>
    </w:p>
    <w:p w14:paraId="495A2985" w14:textId="77777777" w:rsidR="002E5BAD" w:rsidRPr="00122471" w:rsidRDefault="002E5BAD" w:rsidP="002E5BAD">
      <w:pPr>
        <w:rPr>
          <w:u w:val="single"/>
        </w:rPr>
      </w:pPr>
      <w:r w:rsidRPr="00122471">
        <w:rPr>
          <w:rFonts w:hint="cs"/>
          <w:u w:val="single"/>
          <w:rtl/>
        </w:rPr>
        <w:t xml:space="preserve">אשה שמקללת את אביה/אמה </w:t>
      </w:r>
      <w:r w:rsidRPr="00122471">
        <w:rPr>
          <w:u w:val="single"/>
          <w:rtl/>
        </w:rPr>
        <w:t>–</w:t>
      </w:r>
      <w:r w:rsidRPr="00122471">
        <w:rPr>
          <w:rFonts w:hint="cs"/>
          <w:u w:val="single"/>
          <w:rtl/>
        </w:rPr>
        <w:t xml:space="preserve"> האם מותר להכותה:</w:t>
      </w:r>
    </w:p>
    <w:p w14:paraId="22F79E2C" w14:textId="77777777" w:rsidR="002E5BAD" w:rsidRPr="00195FC3" w:rsidRDefault="002E5BAD" w:rsidP="00B75458">
      <w:pPr>
        <w:pStyle w:val="ab"/>
        <w:numPr>
          <w:ilvl w:val="0"/>
          <w:numId w:val="204"/>
        </w:numPr>
        <w:rPr>
          <w:rtl/>
        </w:rPr>
      </w:pPr>
      <w:r w:rsidRPr="00195FC3">
        <w:rPr>
          <w:rFonts w:cs="Arial" w:hint="cs"/>
          <w:rtl/>
        </w:rPr>
        <w:t xml:space="preserve">תרוה"ד </w:t>
      </w:r>
      <w:r w:rsidRPr="00195FC3">
        <w:rPr>
          <w:rFonts w:cs="Arial" w:hint="cs"/>
          <w:sz w:val="16"/>
          <w:szCs w:val="16"/>
          <w:rtl/>
        </w:rPr>
        <w:t>(</w:t>
      </w:r>
      <w:r w:rsidRPr="00195FC3">
        <w:rPr>
          <w:rFonts w:cs="Arial"/>
          <w:sz w:val="16"/>
          <w:szCs w:val="16"/>
          <w:rtl/>
        </w:rPr>
        <w:t>סי</w:t>
      </w:r>
      <w:r w:rsidRPr="00195FC3">
        <w:rPr>
          <w:rFonts w:cs="Arial" w:hint="cs"/>
          <w:sz w:val="16"/>
          <w:szCs w:val="16"/>
          <w:rtl/>
        </w:rPr>
        <w:t>'</w:t>
      </w:r>
      <w:r w:rsidRPr="00195FC3">
        <w:rPr>
          <w:rFonts w:cs="Arial"/>
          <w:sz w:val="16"/>
          <w:szCs w:val="16"/>
          <w:rtl/>
        </w:rPr>
        <w:t xml:space="preserve"> ריח</w:t>
      </w:r>
      <w:r w:rsidRPr="00195FC3">
        <w:rPr>
          <w:rFonts w:cs="Arial" w:hint="cs"/>
          <w:sz w:val="16"/>
          <w:szCs w:val="16"/>
          <w:rtl/>
        </w:rPr>
        <w:t>)</w:t>
      </w:r>
      <w:r>
        <w:rPr>
          <w:rFonts w:cs="Arial" w:hint="cs"/>
          <w:rtl/>
        </w:rPr>
        <w:t xml:space="preserve">- </w:t>
      </w:r>
      <w:r w:rsidRPr="00195FC3">
        <w:rPr>
          <w:rFonts w:cs="Arial"/>
          <w:rtl/>
        </w:rPr>
        <w:t xml:space="preserve">אע"ג דכתב במרדכי פרק המדיר בשם רבינו שמחה שהמכה את אשתו עובר בלאו דפן יוסיף </w:t>
      </w:r>
      <w:r w:rsidRPr="00623350">
        <w:rPr>
          <w:rFonts w:cs="Arial"/>
          <w:sz w:val="16"/>
          <w:szCs w:val="16"/>
          <w:rtl/>
        </w:rPr>
        <w:t>(דברים כה ג)</w:t>
      </w:r>
      <w:r w:rsidRPr="00195FC3">
        <w:rPr>
          <w:rFonts w:cs="Arial"/>
          <w:rtl/>
        </w:rPr>
        <w:t xml:space="preserve"> והחמיר מאד בדבר</w:t>
      </w:r>
      <w:r>
        <w:rPr>
          <w:rFonts w:cs="Arial" w:hint="cs"/>
          <w:rtl/>
        </w:rPr>
        <w:t>,</w:t>
      </w:r>
      <w:r w:rsidRPr="00195FC3">
        <w:rPr>
          <w:rFonts w:cs="Arial"/>
          <w:rtl/>
        </w:rPr>
        <w:t xml:space="preserve"> מכל מקום מי ששמע באשתו מקללת ומזלזלת באביה ואמה והוכיחה בדברים על זה כמה פעמים ולא הועיל שרי להכותה כדי ליסרה שלא תעשה. </w:t>
      </w:r>
    </w:p>
    <w:p w14:paraId="107BC312" w14:textId="77777777" w:rsidR="002E5BAD" w:rsidRDefault="002E5BAD" w:rsidP="002E5BAD">
      <w:pPr>
        <w:rPr>
          <w:rFonts w:cs="Arial"/>
          <w:rtl/>
        </w:rPr>
      </w:pPr>
      <w:r w:rsidRPr="00EF53DE">
        <w:rPr>
          <w:rFonts w:cs="Arial" w:hint="cs"/>
          <w:u w:val="single"/>
          <w:rtl/>
        </w:rPr>
        <w:t>אשה שמקללת את בעלה:</w:t>
      </w:r>
    </w:p>
    <w:p w14:paraId="76F74F25" w14:textId="77777777" w:rsidR="002E5BAD" w:rsidRPr="004777B9" w:rsidRDefault="002E5BAD" w:rsidP="00B75458">
      <w:pPr>
        <w:pStyle w:val="ab"/>
        <w:numPr>
          <w:ilvl w:val="0"/>
          <w:numId w:val="207"/>
        </w:numPr>
        <w:rPr>
          <w:rFonts w:cs="Arial"/>
          <w:rtl/>
        </w:rPr>
      </w:pPr>
      <w:r w:rsidRPr="00EF53DE">
        <w:rPr>
          <w:rFonts w:cs="Arial" w:hint="cs"/>
          <w:rtl/>
        </w:rPr>
        <w:t>רשב"א</w:t>
      </w:r>
      <w:r w:rsidRPr="00EF53DE">
        <w:rPr>
          <w:rFonts w:cs="Arial"/>
          <w:rtl/>
        </w:rPr>
        <w:t xml:space="preserve"> </w:t>
      </w:r>
      <w:r w:rsidRPr="00EF53DE">
        <w:rPr>
          <w:rFonts w:cs="Arial"/>
          <w:sz w:val="16"/>
          <w:szCs w:val="16"/>
          <w:rtl/>
        </w:rPr>
        <w:t>(במיוחסות סי</w:t>
      </w:r>
      <w:r w:rsidRPr="00EF53DE">
        <w:rPr>
          <w:rFonts w:cs="Arial" w:hint="cs"/>
          <w:sz w:val="16"/>
          <w:szCs w:val="16"/>
          <w:rtl/>
        </w:rPr>
        <w:t>'</w:t>
      </w:r>
      <w:r w:rsidRPr="00EF53DE">
        <w:rPr>
          <w:rFonts w:cs="Arial"/>
          <w:sz w:val="16"/>
          <w:szCs w:val="16"/>
          <w:rtl/>
        </w:rPr>
        <w:t xml:space="preserve"> קב</w:t>
      </w:r>
      <w:r w:rsidRPr="00EF53DE">
        <w:rPr>
          <w:rFonts w:cs="Arial" w:hint="cs"/>
          <w:sz w:val="16"/>
          <w:szCs w:val="16"/>
          <w:rtl/>
        </w:rPr>
        <w:t>)</w:t>
      </w:r>
      <w:r w:rsidRPr="00EF53DE">
        <w:rPr>
          <w:rFonts w:cs="Arial" w:hint="cs"/>
          <w:rtl/>
        </w:rPr>
        <w:t xml:space="preserve">- </w:t>
      </w:r>
      <w:r w:rsidRPr="00EF53DE">
        <w:rPr>
          <w:rFonts w:cs="Arial"/>
          <w:rtl/>
        </w:rPr>
        <w:t>שאלה</w:t>
      </w:r>
      <w:r w:rsidRPr="00EF53DE">
        <w:rPr>
          <w:rFonts w:cs="Arial" w:hint="cs"/>
          <w:rtl/>
        </w:rPr>
        <w:t>,</w:t>
      </w:r>
      <w:r w:rsidRPr="00EF53DE">
        <w:rPr>
          <w:rFonts w:cs="Arial"/>
          <w:rtl/>
        </w:rPr>
        <w:t xml:space="preserve"> בעל המכה אשתו בכל יום ומצטערת עד שהצריכה לצאת מביתו. והלכה לבית אביה. והוא טוען שהיא מקללתו בפניו והיא מכחישתו.</w:t>
      </w:r>
      <w:r w:rsidRPr="00EF53DE">
        <w:rPr>
          <w:rFonts w:cs="Arial" w:hint="cs"/>
          <w:rtl/>
        </w:rPr>
        <w:t xml:space="preserve">..    </w:t>
      </w:r>
      <w:r w:rsidRPr="00EF53DE">
        <w:rPr>
          <w:rFonts w:cs="Arial"/>
          <w:rtl/>
        </w:rPr>
        <w:t xml:space="preserve"> תשובה</w:t>
      </w:r>
      <w:r w:rsidRPr="00EF53DE">
        <w:rPr>
          <w:rFonts w:cs="Arial" w:hint="cs"/>
          <w:rtl/>
        </w:rPr>
        <w:t>-</w:t>
      </w:r>
      <w:r w:rsidRPr="00EF53DE">
        <w:rPr>
          <w:rFonts w:cs="Arial"/>
          <w:rtl/>
        </w:rPr>
        <w:t xml:space="preserve"> אין לבעל להכות ולענות אשתו.</w:t>
      </w:r>
      <w:r w:rsidRPr="00EF53DE">
        <w:rPr>
          <w:rFonts w:cs="Arial" w:hint="cs"/>
          <w:rtl/>
        </w:rPr>
        <w:t>..</w:t>
      </w:r>
      <w:r w:rsidRPr="00EF53DE">
        <w:rPr>
          <w:rFonts w:cs="Arial"/>
          <w:rtl/>
        </w:rPr>
        <w:t xml:space="preserve"> ואם טען </w:t>
      </w:r>
      <w:r w:rsidRPr="00EF53DE">
        <w:rPr>
          <w:rFonts w:cs="Arial"/>
          <w:rtl/>
        </w:rPr>
        <w:lastRenderedPageBreak/>
        <w:t>שהיא מקללתו ב"ד חוקרין ושואלים לשכנים מי הגורם. ואם הוא מכה ומצער שלא כדין והיא בורחת הדין עמה. שאין אדם דר עם נחש בכפיפה. זכר לדבר הגר. אבל אם מקללתו חנם הדין עמו. דהא מקללת בעלה בפניו מן היוצאות שלא בכתובה</w:t>
      </w:r>
      <w:r>
        <w:rPr>
          <w:rStyle w:val="a7"/>
          <w:rFonts w:cs="Arial"/>
          <w:rtl/>
        </w:rPr>
        <w:footnoteReference w:id="3150"/>
      </w:r>
      <w:r w:rsidRPr="00EF53DE">
        <w:rPr>
          <w:rFonts w:cs="Arial"/>
          <w:rtl/>
        </w:rPr>
        <w:t>.</w:t>
      </w:r>
      <w:r>
        <w:rPr>
          <w:rFonts w:cs="Arial" w:hint="cs"/>
          <w:rtl/>
        </w:rPr>
        <w:t xml:space="preserve">.. </w:t>
      </w:r>
      <w:r w:rsidRPr="0029380B">
        <w:rPr>
          <w:rFonts w:cs="Arial"/>
          <w:rtl/>
        </w:rPr>
        <w:t xml:space="preserve">וקרוב בעיני הדבר שאם ידוע שהוא מכה אותה שלא כדרך בנות ישראל ההגונות ר"ל שמתמיד להכותה שאין נאמן לטעון שהיא גורמת שהיא מקללתו בפניו. דלאו כל כמיניה לאחזוקה בפרוצה. </w:t>
      </w:r>
      <w:r w:rsidRPr="00E43F63">
        <w:rPr>
          <w:rFonts w:hint="cs"/>
          <w:color w:val="00B0F0"/>
          <w:rtl/>
        </w:rPr>
        <w:t>(וכ"פ הרמ"א</w:t>
      </w:r>
      <w:r>
        <w:rPr>
          <w:rFonts w:hint="cs"/>
          <w:color w:val="00B0F0"/>
          <w:sz w:val="16"/>
          <w:szCs w:val="16"/>
          <w:rtl/>
        </w:rPr>
        <w:t xml:space="preserve"> </w:t>
      </w:r>
      <w:r w:rsidRPr="002C71B8">
        <w:rPr>
          <w:rFonts w:hint="cs"/>
          <w:color w:val="000000" w:themeColor="text1"/>
          <w:sz w:val="16"/>
          <w:szCs w:val="16"/>
          <w:rtl/>
        </w:rPr>
        <w:t>[</w:t>
      </w:r>
      <w:r>
        <w:rPr>
          <w:rFonts w:hint="cs"/>
          <w:color w:val="000000" w:themeColor="text1"/>
          <w:sz w:val="16"/>
          <w:szCs w:val="16"/>
          <w:rtl/>
        </w:rPr>
        <w:t>כאן ובסי' קנד ס"ג</w:t>
      </w:r>
      <w:r w:rsidRPr="002C71B8">
        <w:rPr>
          <w:rFonts w:hint="cs"/>
          <w:color w:val="000000" w:themeColor="text1"/>
          <w:sz w:val="16"/>
          <w:szCs w:val="16"/>
          <w:rtl/>
        </w:rPr>
        <w:t>]</w:t>
      </w:r>
      <w:r w:rsidRPr="00E43F63">
        <w:rPr>
          <w:rFonts w:hint="cs"/>
          <w:color w:val="00B0F0"/>
          <w:rtl/>
        </w:rPr>
        <w:t>)</w:t>
      </w:r>
    </w:p>
    <w:p w14:paraId="08A434D5" w14:textId="77777777" w:rsidR="002E5BAD" w:rsidRPr="00673B1B" w:rsidRDefault="002E5BAD" w:rsidP="002E5BAD">
      <w:pPr>
        <w:rPr>
          <w:u w:val="single"/>
        </w:rPr>
      </w:pPr>
      <w:r w:rsidRPr="00673B1B">
        <w:rPr>
          <w:rFonts w:hint="cs"/>
          <w:u w:val="single"/>
          <w:rtl/>
        </w:rPr>
        <w:t>אשה שעברה על דת פעם אחת באקראי:</w:t>
      </w:r>
    </w:p>
    <w:p w14:paraId="1E8B828F" w14:textId="77777777" w:rsidR="002E5BAD" w:rsidRDefault="002E5BAD" w:rsidP="00B75458">
      <w:pPr>
        <w:pStyle w:val="ab"/>
        <w:numPr>
          <w:ilvl w:val="0"/>
          <w:numId w:val="204"/>
        </w:numPr>
      </w:pPr>
      <w:r w:rsidRPr="00A3390B">
        <w:rPr>
          <w:rFonts w:cs="Arial"/>
          <w:rtl/>
        </w:rPr>
        <w:t xml:space="preserve">רשב"א </w:t>
      </w:r>
      <w:r w:rsidRPr="00A3390B">
        <w:rPr>
          <w:rFonts w:cs="Arial"/>
          <w:sz w:val="16"/>
          <w:szCs w:val="16"/>
          <w:rtl/>
        </w:rPr>
        <w:t>(ח"א סי</w:t>
      </w:r>
      <w:r w:rsidRPr="00A3390B">
        <w:rPr>
          <w:rFonts w:cs="Arial" w:hint="cs"/>
          <w:sz w:val="16"/>
          <w:szCs w:val="16"/>
          <w:rtl/>
        </w:rPr>
        <w:t>'</w:t>
      </w:r>
      <w:r w:rsidRPr="00A3390B">
        <w:rPr>
          <w:rFonts w:cs="Arial"/>
          <w:sz w:val="16"/>
          <w:szCs w:val="16"/>
          <w:rtl/>
        </w:rPr>
        <w:t xml:space="preserve"> תקעא</w:t>
      </w:r>
      <w:r w:rsidRPr="00A3390B">
        <w:rPr>
          <w:rFonts w:cs="Arial" w:hint="cs"/>
          <w:sz w:val="16"/>
          <w:szCs w:val="16"/>
          <w:rtl/>
        </w:rPr>
        <w:t>)</w:t>
      </w:r>
      <w:r>
        <w:rPr>
          <w:rFonts w:cs="Arial" w:hint="cs"/>
          <w:rtl/>
        </w:rPr>
        <w:t>-</w:t>
      </w:r>
      <w:r w:rsidRPr="00A3390B">
        <w:rPr>
          <w:rFonts w:cs="Arial"/>
          <w:rtl/>
        </w:rPr>
        <w:t xml:space="preserve"> </w:t>
      </w:r>
      <w:r w:rsidRPr="00257193">
        <w:rPr>
          <w:rFonts w:cs="Arial"/>
          <w:rtl/>
        </w:rPr>
        <w:t>אשכנז, אל הרב רבי חיים בן הרב רבי יצחק ז"ל אור זרוע מעיר ויאינא. אמרת כי מרת ארלוגה מתקוטטת על בעלה רבי יונה. ומתוך הקטטה פרצה ויצאה בשוק ואמרה בקול רם לבעלה שהיה מין. ושראתה אותו מקלקל עם עבדו ופעם אחת עם בנו ועוד קלקל עם עדים שהיו לה. ויצאה בשוק וצעקה על זה בפני גוים וישראלים רבים. ומתוך כך פרעה ראשה ונתגלו זרועותיה וקצת תחת זרועותיה</w:t>
      </w:r>
      <w:r>
        <w:rPr>
          <w:rFonts w:cs="Arial" w:hint="cs"/>
          <w:rtl/>
        </w:rPr>
        <w:t>...</w:t>
      </w:r>
      <w:r w:rsidRPr="00257193">
        <w:rPr>
          <w:rFonts w:cs="Arial"/>
          <w:rtl/>
        </w:rPr>
        <w:t xml:space="preserve"> במה שבאו לחייבה לצאת שלא בכתובה מדין עובר על דת משה ויהודית בשפרעה ראשה וקצת זרועותיה</w:t>
      </w:r>
      <w:r>
        <w:rPr>
          <w:rFonts w:cs="Arial" w:hint="cs"/>
          <w:rtl/>
        </w:rPr>
        <w:t xml:space="preserve">... - </w:t>
      </w:r>
      <w:r w:rsidRPr="00257193">
        <w:rPr>
          <w:rFonts w:cs="Arial"/>
          <w:rtl/>
        </w:rPr>
        <w:t>לא אמרו אלא ברגילה בכך. אבל אם גלתה ופרעה ראשה באקראי או שדברה עם הבחורים פעם אחת דרך מקרה ודאי לא הפסידה כתובתה. וזה ששנו במשנתי' (כתובות פז</w:t>
      </w:r>
      <w:r>
        <w:rPr>
          <w:rFonts w:cs="Arial" w:hint="cs"/>
          <w:rtl/>
        </w:rPr>
        <w:t>:</w:t>
      </w:r>
      <w:r w:rsidRPr="00257193">
        <w:rPr>
          <w:rFonts w:cs="Arial"/>
          <w:rtl/>
        </w:rPr>
        <w:t>) יוצאה וראשה פרוע וטווה בשוק. ועוד שבשעת הכעס היה ובשעת הכעס הרי היא כשוטה ואין השם ומצותיו כנגדו באותה שעה. כמו שאמרו בנדרים (כב</w:t>
      </w:r>
      <w:r>
        <w:rPr>
          <w:rFonts w:cs="Arial" w:hint="cs"/>
          <w:rtl/>
        </w:rPr>
        <w:t>:</w:t>
      </w:r>
      <w:r w:rsidRPr="00257193">
        <w:rPr>
          <w:rFonts w:cs="Arial"/>
          <w:rtl/>
        </w:rPr>
        <w:t>) שהכועס אפילו שכינה אין חשובה כנגדו</w:t>
      </w:r>
      <w:r>
        <w:rPr>
          <w:rStyle w:val="a7"/>
          <w:rFonts w:cs="Arial"/>
          <w:rtl/>
        </w:rPr>
        <w:footnoteReference w:id="3151"/>
      </w:r>
      <w:r>
        <w:rPr>
          <w:rFonts w:cs="Arial" w:hint="cs"/>
          <w:rtl/>
        </w:rPr>
        <w:t>.</w:t>
      </w:r>
      <w:r>
        <w:rPr>
          <w:rFonts w:hint="cs"/>
          <w:rtl/>
        </w:rPr>
        <w:t xml:space="preserve"> </w:t>
      </w:r>
      <w:r w:rsidRPr="00E43F63">
        <w:rPr>
          <w:rFonts w:hint="cs"/>
          <w:color w:val="00B0F0"/>
          <w:rtl/>
        </w:rPr>
        <w:t>(וכ"פ הרמ"א)</w:t>
      </w:r>
    </w:p>
    <w:p w14:paraId="691C5DBF" w14:textId="77777777" w:rsidR="002E5BAD" w:rsidRDefault="002E5BAD" w:rsidP="00B75458">
      <w:pPr>
        <w:pStyle w:val="ab"/>
        <w:numPr>
          <w:ilvl w:val="0"/>
          <w:numId w:val="204"/>
        </w:numPr>
      </w:pPr>
      <w:r>
        <w:rPr>
          <w:rFonts w:cs="Arial" w:hint="cs"/>
          <w:rtl/>
        </w:rPr>
        <w:t xml:space="preserve">ריטב"א </w:t>
      </w:r>
      <w:r>
        <w:rPr>
          <w:rFonts w:cs="Arial" w:hint="cs"/>
          <w:sz w:val="16"/>
          <w:szCs w:val="16"/>
          <w:rtl/>
        </w:rPr>
        <w:t>(כתבות עב.)</w:t>
      </w:r>
      <w:r>
        <w:rPr>
          <w:rFonts w:cs="Arial" w:hint="cs"/>
          <w:rtl/>
        </w:rPr>
        <w:t xml:space="preserve">- </w:t>
      </w:r>
      <w:r w:rsidRPr="00D37E8C">
        <w:rPr>
          <w:rFonts w:cs="Arial"/>
          <w:rtl/>
        </w:rPr>
        <w:t>העוברת על דת משה ויהודית. פירוש ואפילו לא עברה אלא פעם אחת כיון שהתרה בה, דבכמה דוכתי העושה כך וכך משום פעם אחת, העובד עבודה זרה המברך את השם ההוגה את השם באותיותיו המבזה רבותיו וכן רבים לאין סוף.</w:t>
      </w:r>
    </w:p>
    <w:p w14:paraId="00455244" w14:textId="77777777" w:rsidR="002E5BAD" w:rsidRPr="00195FC3" w:rsidRDefault="002E5BAD" w:rsidP="002E5BAD">
      <w:pPr>
        <w:rPr>
          <w:u w:val="single"/>
        </w:rPr>
      </w:pPr>
      <w:r w:rsidRPr="00195FC3">
        <w:rPr>
          <w:rFonts w:hint="cs"/>
          <w:u w:val="single"/>
          <w:rtl/>
        </w:rPr>
        <w:t>אשה שמקללת את הסבא של בעלה:</w:t>
      </w:r>
      <w:r w:rsidRPr="00195FC3">
        <w:rPr>
          <w:rFonts w:cs="Arial" w:hint="cs"/>
          <w:rtl/>
        </w:rPr>
        <w:t xml:space="preserve"> </w:t>
      </w:r>
      <w:r>
        <w:rPr>
          <w:rFonts w:cs="Arial" w:hint="cs"/>
          <w:rtl/>
        </w:rPr>
        <w:t xml:space="preserve"> </w:t>
      </w:r>
      <w:r w:rsidRPr="00195FC3">
        <w:rPr>
          <w:rFonts w:cs="Arial" w:hint="cs"/>
          <w:sz w:val="16"/>
          <w:szCs w:val="16"/>
          <w:rtl/>
        </w:rPr>
        <w:t>(דרכ"מ אות ו)</w:t>
      </w:r>
    </w:p>
    <w:p w14:paraId="7E71A110" w14:textId="77777777" w:rsidR="002E5BAD" w:rsidRDefault="002E5BAD" w:rsidP="00B75458">
      <w:pPr>
        <w:pStyle w:val="ab"/>
        <w:numPr>
          <w:ilvl w:val="0"/>
          <w:numId w:val="204"/>
        </w:numPr>
      </w:pPr>
      <w:r w:rsidRPr="00195FC3">
        <w:rPr>
          <w:rFonts w:cs="Arial" w:hint="cs"/>
          <w:rtl/>
        </w:rPr>
        <w:t>הגמ"ר</w:t>
      </w:r>
      <w:r w:rsidRPr="00195FC3">
        <w:rPr>
          <w:rFonts w:cs="Arial"/>
          <w:rtl/>
        </w:rPr>
        <w:t xml:space="preserve"> </w:t>
      </w:r>
      <w:r w:rsidRPr="00195FC3">
        <w:rPr>
          <w:rFonts w:cs="Arial" w:hint="cs"/>
          <w:sz w:val="16"/>
          <w:szCs w:val="16"/>
          <w:rtl/>
        </w:rPr>
        <w:t>(</w:t>
      </w:r>
      <w:r w:rsidRPr="00195FC3">
        <w:rPr>
          <w:rFonts w:cs="Arial"/>
          <w:sz w:val="16"/>
          <w:szCs w:val="16"/>
          <w:rtl/>
        </w:rPr>
        <w:t>כתובות סו"ס רצ)</w:t>
      </w:r>
      <w:r w:rsidRPr="00195FC3">
        <w:rPr>
          <w:rFonts w:cs="Arial" w:hint="cs"/>
          <w:rtl/>
        </w:rPr>
        <w:t xml:space="preserve">- </w:t>
      </w:r>
      <w:r w:rsidRPr="00195FC3">
        <w:rPr>
          <w:rFonts w:cs="Arial"/>
          <w:rtl/>
        </w:rPr>
        <w:t>אם קללה זקנו של בעל בפני הבעל</w:t>
      </w:r>
      <w:r>
        <w:rPr>
          <w:rFonts w:cs="Arial" w:hint="cs"/>
          <w:rtl/>
        </w:rPr>
        <w:t xml:space="preserve"> -</w:t>
      </w:r>
      <w:r w:rsidRPr="00195FC3">
        <w:rPr>
          <w:rFonts w:cs="Arial"/>
          <w:rtl/>
        </w:rPr>
        <w:t xml:space="preserve"> הוי כמקללת אבי בעלה בפני בנו</w:t>
      </w:r>
      <w:r>
        <w:rPr>
          <w:rStyle w:val="a7"/>
          <w:rFonts w:cs="Arial"/>
          <w:rtl/>
        </w:rPr>
        <w:footnoteReference w:id="3152"/>
      </w:r>
      <w:r w:rsidRPr="00195FC3">
        <w:rPr>
          <w:rFonts w:cs="Arial"/>
          <w:rtl/>
        </w:rPr>
        <w:t xml:space="preserve">. </w:t>
      </w:r>
    </w:p>
    <w:p w14:paraId="683CE304" w14:textId="77777777" w:rsidR="002E5BAD" w:rsidRPr="00122471" w:rsidRDefault="002E5BAD" w:rsidP="002E5BAD">
      <w:r w:rsidRPr="00122471">
        <w:rPr>
          <w:rFonts w:cs="Arial" w:hint="cs"/>
          <w:u w:val="single"/>
          <w:rtl/>
        </w:rPr>
        <w:t>אשה שאמרה לבעלה שהיא רוצה לשכור גוי להורגו</w:t>
      </w:r>
      <w:r>
        <w:rPr>
          <w:rFonts w:cs="Arial" w:hint="cs"/>
          <w:u w:val="single"/>
          <w:rtl/>
        </w:rPr>
        <w:t xml:space="preserve"> אם יעשה לה משהו</w:t>
      </w:r>
      <w:r w:rsidRPr="00122471">
        <w:rPr>
          <w:rFonts w:cs="Arial" w:hint="cs"/>
          <w:u w:val="single"/>
          <w:rtl/>
        </w:rPr>
        <w:t>:</w:t>
      </w:r>
      <w:r w:rsidRPr="00122471">
        <w:rPr>
          <w:rFonts w:cs="Arial" w:hint="cs"/>
          <w:rtl/>
        </w:rPr>
        <w:t xml:space="preserve">  </w:t>
      </w:r>
      <w:r w:rsidRPr="00122471">
        <w:rPr>
          <w:rFonts w:cs="Arial"/>
          <w:sz w:val="16"/>
          <w:szCs w:val="16"/>
          <w:rtl/>
        </w:rPr>
        <w:t>(</w:t>
      </w:r>
      <w:r w:rsidRPr="00122471">
        <w:rPr>
          <w:rFonts w:cs="Arial" w:hint="cs"/>
          <w:sz w:val="16"/>
          <w:szCs w:val="16"/>
          <w:rtl/>
        </w:rPr>
        <w:t xml:space="preserve">דרכ"מ אות </w:t>
      </w:r>
      <w:r w:rsidRPr="00122471">
        <w:rPr>
          <w:rFonts w:cs="Arial"/>
          <w:sz w:val="16"/>
          <w:szCs w:val="16"/>
          <w:rtl/>
        </w:rPr>
        <w:t>ז)</w:t>
      </w:r>
      <w:r w:rsidRPr="00122471">
        <w:rPr>
          <w:rFonts w:cs="Arial"/>
          <w:rtl/>
        </w:rPr>
        <w:t xml:space="preserve"> </w:t>
      </w:r>
    </w:p>
    <w:p w14:paraId="02DDF097" w14:textId="77777777" w:rsidR="002E5BAD" w:rsidRPr="00D37E8C" w:rsidRDefault="002E5BAD" w:rsidP="00B75458">
      <w:pPr>
        <w:pStyle w:val="ab"/>
        <w:numPr>
          <w:ilvl w:val="0"/>
          <w:numId w:val="204"/>
        </w:numPr>
        <w:rPr>
          <w:rFonts w:cs="Arial"/>
          <w:rtl/>
        </w:rPr>
      </w:pPr>
      <w:r>
        <w:rPr>
          <w:rFonts w:cs="Arial" w:hint="cs"/>
          <w:rtl/>
        </w:rPr>
        <w:t xml:space="preserve">מהר"ם </w:t>
      </w:r>
      <w:r w:rsidRPr="00122471">
        <w:rPr>
          <w:rFonts w:cs="Arial" w:hint="cs"/>
          <w:sz w:val="16"/>
          <w:szCs w:val="16"/>
          <w:rtl/>
        </w:rPr>
        <w:t>(</w:t>
      </w:r>
      <w:r w:rsidRPr="00D37E8C">
        <w:rPr>
          <w:rFonts w:cs="Arial"/>
          <w:sz w:val="16"/>
          <w:szCs w:val="16"/>
          <w:rtl/>
        </w:rPr>
        <w:t>ספר סיני וליקוטים סי</w:t>
      </w:r>
      <w:r>
        <w:rPr>
          <w:rFonts w:cs="Arial" w:hint="cs"/>
          <w:sz w:val="16"/>
          <w:szCs w:val="16"/>
          <w:rtl/>
        </w:rPr>
        <w:t>'</w:t>
      </w:r>
      <w:r w:rsidRPr="00D37E8C">
        <w:rPr>
          <w:rFonts w:cs="Arial"/>
          <w:sz w:val="16"/>
          <w:szCs w:val="16"/>
          <w:rtl/>
        </w:rPr>
        <w:t xml:space="preserve"> קלד</w:t>
      </w:r>
      <w:r>
        <w:rPr>
          <w:rFonts w:cs="Arial" w:hint="cs"/>
          <w:sz w:val="16"/>
          <w:szCs w:val="16"/>
          <w:rtl/>
        </w:rPr>
        <w:t>, וכ"כ בהגה"מ [</w:t>
      </w:r>
      <w:r w:rsidRPr="00122471">
        <w:rPr>
          <w:rFonts w:cs="Arial"/>
          <w:sz w:val="16"/>
          <w:szCs w:val="16"/>
          <w:rtl/>
        </w:rPr>
        <w:t>פכ"ד אות ג</w:t>
      </w:r>
      <w:r>
        <w:rPr>
          <w:rFonts w:cs="Arial" w:hint="cs"/>
          <w:sz w:val="16"/>
          <w:szCs w:val="16"/>
          <w:rtl/>
        </w:rPr>
        <w:t>]</w:t>
      </w:r>
      <w:r w:rsidRPr="00122471">
        <w:rPr>
          <w:rFonts w:cs="Arial"/>
          <w:sz w:val="16"/>
          <w:szCs w:val="16"/>
          <w:rtl/>
        </w:rPr>
        <w:t>)</w:t>
      </w:r>
      <w:r>
        <w:rPr>
          <w:rFonts w:cs="Arial" w:hint="cs"/>
          <w:rtl/>
        </w:rPr>
        <w:t>-</w:t>
      </w:r>
      <w:r w:rsidRPr="00026E9E">
        <w:rPr>
          <w:rFonts w:cs="Arial"/>
          <w:rtl/>
        </w:rPr>
        <w:t xml:space="preserve"> </w:t>
      </w:r>
      <w:r w:rsidRPr="00D37E8C">
        <w:rPr>
          <w:rFonts w:cs="Arial"/>
          <w:rtl/>
        </w:rPr>
        <w:t xml:space="preserve">ועוד אחרי שהביאה ריק אחד רוצח על בעלה לגזמו אם יעשה לה דבר וגיזם לו להורגו, לא גרע ממקללת יולדיו בפניו לאבא שאול </w:t>
      </w:r>
      <w:r>
        <w:rPr>
          <w:rFonts w:cs="Arial" w:hint="cs"/>
          <w:rtl/>
        </w:rPr>
        <w:t>(</w:t>
      </w:r>
      <w:r w:rsidRPr="00D37E8C">
        <w:rPr>
          <w:rFonts w:cs="Arial"/>
          <w:rtl/>
        </w:rPr>
        <w:t>כתובות עב</w:t>
      </w:r>
      <w:r>
        <w:rPr>
          <w:rFonts w:cs="Arial" w:hint="cs"/>
          <w:rtl/>
        </w:rPr>
        <w:t>.)</w:t>
      </w:r>
      <w:r w:rsidRPr="00D37E8C">
        <w:rPr>
          <w:rFonts w:cs="Arial"/>
          <w:rtl/>
        </w:rPr>
        <w:t xml:space="preserve"> והילכתא כוותיה, כל שכן הכא דמגיזמת לו להורגו. ועוד חשיבא כמדברת עם כל אדם כדאמר בפרק המדיר </w:t>
      </w:r>
      <w:r>
        <w:rPr>
          <w:rFonts w:cs="Arial" w:hint="cs"/>
          <w:rtl/>
        </w:rPr>
        <w:t>(</w:t>
      </w:r>
      <w:r w:rsidRPr="00D37E8C">
        <w:rPr>
          <w:rFonts w:cs="Arial"/>
          <w:rtl/>
        </w:rPr>
        <w:t xml:space="preserve">שם </w:t>
      </w:r>
      <w:r>
        <w:rPr>
          <w:rFonts w:cs="Arial" w:hint="cs"/>
          <w:rtl/>
        </w:rPr>
        <w:t>עב:)</w:t>
      </w:r>
      <w:r w:rsidRPr="00D37E8C">
        <w:rPr>
          <w:rFonts w:cs="Arial"/>
          <w:rtl/>
        </w:rPr>
        <w:t xml:space="preserve"> בההיא ערבייא דהוה יתבא ושדיא פילכא וטווה ורד כנגד פניה פסקה לפילכא אמרה עולם עולם הב לי פלך, אמר בה ר' עקיבא מילתא וכו' עד רבנן אמרי מדברת עם כל אדם אמר בה, וכל שכן זאת שבאתה עם אותו ריק ודברה עמו כל כך עד שבשביל אהבתם גיזם לבעלה להורגו</w:t>
      </w:r>
      <w:r>
        <w:rPr>
          <w:rStyle w:val="a7"/>
          <w:rFonts w:cs="Arial"/>
          <w:rtl/>
        </w:rPr>
        <w:footnoteReference w:id="3153"/>
      </w:r>
      <w:r>
        <w:rPr>
          <w:rFonts w:hint="cs"/>
          <w:rtl/>
        </w:rPr>
        <w:t>.</w:t>
      </w:r>
      <w:r w:rsidRPr="00D37E8C">
        <w:rPr>
          <w:rFonts w:hint="cs"/>
          <w:color w:val="00B0F0"/>
          <w:rtl/>
        </w:rPr>
        <w:t xml:space="preserve"> (וכ"פ הרמ"א)</w:t>
      </w:r>
    </w:p>
    <w:p w14:paraId="1763860F"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1A9F94" w14:textId="77777777" w:rsidR="002E5BAD" w:rsidRDefault="002E5BAD" w:rsidP="002E5BAD">
      <w:pPr>
        <w:rPr>
          <w:rtl/>
        </w:rPr>
      </w:pPr>
      <w:r>
        <w:rPr>
          <w:rFonts w:cs="Arial"/>
          <w:rtl/>
        </w:rPr>
        <w:t>איזו היא דת יהודית, הוא מנהג הצניעות שנהגו בנות ישראל. ואלו הם הדברים שאם עשתה אחת מהם עברה על דת יהודית: יוצאת לשוק</w:t>
      </w:r>
      <w:r>
        <w:rPr>
          <w:rStyle w:val="a7"/>
          <w:rFonts w:cs="Arial"/>
          <w:rtl/>
        </w:rPr>
        <w:footnoteReference w:id="3154"/>
      </w:r>
      <w:r>
        <w:rPr>
          <w:rFonts w:cs="Arial"/>
          <w:rtl/>
        </w:rPr>
        <w:t xml:space="preserve"> או למבוי מפולש או בחצר שהרבים בוקעים בו וראשה פרוע</w:t>
      </w:r>
      <w:r>
        <w:rPr>
          <w:rStyle w:val="a7"/>
          <w:rFonts w:cs="Arial"/>
          <w:rtl/>
        </w:rPr>
        <w:footnoteReference w:id="3155"/>
      </w:r>
      <w:r>
        <w:rPr>
          <w:rFonts w:cs="Arial"/>
          <w:rtl/>
        </w:rPr>
        <w:t xml:space="preserve"> ואין עליה רדיד ככל הנשים, אף על </w:t>
      </w:r>
      <w:r>
        <w:rPr>
          <w:rFonts w:cs="Arial"/>
          <w:rtl/>
        </w:rPr>
        <w:lastRenderedPageBreak/>
        <w:t>פי ששערה מכוסה</w:t>
      </w:r>
      <w:r>
        <w:rPr>
          <w:rStyle w:val="a7"/>
          <w:rFonts w:cs="Arial"/>
          <w:rtl/>
        </w:rPr>
        <w:footnoteReference w:id="3156"/>
      </w:r>
      <w:r>
        <w:rPr>
          <w:rFonts w:cs="Arial"/>
          <w:rtl/>
        </w:rPr>
        <w:t xml:space="preserve"> במטפחות</w:t>
      </w:r>
      <w:r>
        <w:rPr>
          <w:rStyle w:val="a7"/>
          <w:rFonts w:cs="Arial"/>
          <w:rtl/>
        </w:rPr>
        <w:footnoteReference w:id="3157"/>
      </w:r>
      <w:r>
        <w:rPr>
          <w:rFonts w:cs="Arial" w:hint="cs"/>
          <w:rtl/>
        </w:rPr>
        <w:t>.</w:t>
      </w:r>
      <w:r>
        <w:rPr>
          <w:rFonts w:cs="Arial"/>
          <w:rtl/>
        </w:rPr>
        <w:t xml:space="preserve"> או שהיתה טווה בשוק וורד וכיוצא בו כנגד פניה על פדחתה או על לחיה, כדרך שעושות </w:t>
      </w:r>
      <w:r>
        <w:rPr>
          <w:rFonts w:cs="Arial" w:hint="cs"/>
          <w:rtl/>
        </w:rPr>
        <w:t>הגויות</w:t>
      </w:r>
      <w:r>
        <w:rPr>
          <w:rFonts w:cs="Arial"/>
          <w:rtl/>
        </w:rPr>
        <w:t xml:space="preserve"> הפרוצות</w:t>
      </w:r>
      <w:r>
        <w:rPr>
          <w:rFonts w:cs="Arial" w:hint="cs"/>
          <w:rtl/>
        </w:rPr>
        <w:t>.</w:t>
      </w:r>
      <w:r>
        <w:rPr>
          <w:rFonts w:cs="Arial"/>
          <w:rtl/>
        </w:rPr>
        <w:t xml:space="preserve"> או שטווה בשוק ומראה זרועותיה לבני אדם </w:t>
      </w:r>
      <w:r>
        <w:rPr>
          <w:rFonts w:cs="Arial" w:hint="cs"/>
          <w:sz w:val="18"/>
          <w:szCs w:val="18"/>
          <w:rtl/>
        </w:rPr>
        <w:t xml:space="preserve">[הגה] </w:t>
      </w:r>
      <w:r w:rsidRPr="00B24647">
        <w:rPr>
          <w:rFonts w:cs="Arial"/>
          <w:sz w:val="18"/>
          <w:szCs w:val="18"/>
          <w:rtl/>
        </w:rPr>
        <w:t>ורגילה בכך</w:t>
      </w:r>
      <w:r>
        <w:rPr>
          <w:rStyle w:val="a7"/>
          <w:rFonts w:cs="Arial"/>
          <w:sz w:val="18"/>
          <w:szCs w:val="18"/>
          <w:rtl/>
        </w:rPr>
        <w:footnoteReference w:id="3158"/>
      </w:r>
      <w:r w:rsidRPr="00B24647">
        <w:rPr>
          <w:rFonts w:cs="Arial"/>
          <w:sz w:val="18"/>
          <w:szCs w:val="18"/>
          <w:rtl/>
        </w:rPr>
        <w:t xml:space="preserve"> (רשב"א סי' תקעא)</w:t>
      </w:r>
      <w:r>
        <w:rPr>
          <w:rFonts w:cs="Arial"/>
          <w:rtl/>
        </w:rPr>
        <w:t>, או שהיתה משחקת עם הבחורים</w:t>
      </w:r>
      <w:r>
        <w:rPr>
          <w:rStyle w:val="a7"/>
          <w:rFonts w:cs="Arial"/>
          <w:rtl/>
        </w:rPr>
        <w:footnoteReference w:id="3159"/>
      </w:r>
      <w:r>
        <w:rPr>
          <w:rFonts w:cs="Arial" w:hint="cs"/>
          <w:rtl/>
        </w:rPr>
        <w:t>.</w:t>
      </w:r>
      <w:r>
        <w:rPr>
          <w:rFonts w:cs="Arial"/>
          <w:rtl/>
        </w:rPr>
        <w:t xml:space="preserve"> או שהיתה תובעת התשמיש בקול רם מבעלה עד ששכנותיה שומעות אותה מדברת על עסקי תשמיש</w:t>
      </w:r>
      <w:r>
        <w:rPr>
          <w:rFonts w:cs="Arial" w:hint="cs"/>
          <w:rtl/>
        </w:rPr>
        <w:t>.</w:t>
      </w:r>
      <w:r>
        <w:rPr>
          <w:rFonts w:cs="Arial"/>
          <w:rtl/>
        </w:rPr>
        <w:t xml:space="preserve"> או שהיתה מקללת</w:t>
      </w:r>
      <w:r>
        <w:rPr>
          <w:rStyle w:val="a7"/>
          <w:rFonts w:cs="Arial"/>
          <w:rtl/>
        </w:rPr>
        <w:footnoteReference w:id="3160"/>
      </w:r>
      <w:r>
        <w:rPr>
          <w:rFonts w:cs="Arial"/>
          <w:rtl/>
        </w:rPr>
        <w:t xml:space="preserve"> אבי בעלה בפני בעלה, </w:t>
      </w:r>
      <w:r>
        <w:rPr>
          <w:rFonts w:cs="Arial" w:hint="cs"/>
          <w:sz w:val="18"/>
          <w:szCs w:val="18"/>
          <w:rtl/>
        </w:rPr>
        <w:t xml:space="preserve">[הגה] </w:t>
      </w:r>
      <w:r w:rsidRPr="00B24647">
        <w:rPr>
          <w:rFonts w:cs="Arial"/>
          <w:sz w:val="18"/>
          <w:szCs w:val="18"/>
          <w:rtl/>
        </w:rPr>
        <w:t>וי"א דה"ה אם קללה אפילו אבי בעלה בפני עצמו (כן משמע מפרש"י</w:t>
      </w:r>
      <w:r>
        <w:rPr>
          <w:rFonts w:cs="Arial" w:hint="cs"/>
          <w:sz w:val="18"/>
          <w:szCs w:val="18"/>
          <w:rtl/>
        </w:rPr>
        <w:t xml:space="preserve"> ותוס'</w:t>
      </w:r>
      <w:r w:rsidRPr="00B24647">
        <w:rPr>
          <w:rFonts w:cs="Arial"/>
          <w:sz w:val="18"/>
          <w:szCs w:val="18"/>
          <w:rtl/>
        </w:rPr>
        <w:t>) וע"ל סי' קנ"ד ה</w:t>
      </w:r>
      <w:r>
        <w:rPr>
          <w:rFonts w:cs="Arial" w:hint="cs"/>
          <w:sz w:val="18"/>
          <w:szCs w:val="18"/>
          <w:rtl/>
        </w:rPr>
        <w:t>וא הדין</w:t>
      </w:r>
      <w:r w:rsidRPr="00B24647">
        <w:rPr>
          <w:rFonts w:cs="Arial"/>
          <w:sz w:val="18"/>
          <w:szCs w:val="18"/>
          <w:rtl/>
        </w:rPr>
        <w:t xml:space="preserve"> המקללת בעלה בפניו (</w:t>
      </w:r>
      <w:r>
        <w:rPr>
          <w:rFonts w:cs="Arial" w:hint="cs"/>
          <w:sz w:val="18"/>
          <w:szCs w:val="18"/>
          <w:rtl/>
        </w:rPr>
        <w:t>במיוחסות</w:t>
      </w:r>
      <w:r w:rsidRPr="00B24647">
        <w:rPr>
          <w:rFonts w:cs="Arial"/>
          <w:sz w:val="18"/>
          <w:szCs w:val="18"/>
          <w:rtl/>
        </w:rPr>
        <w:t xml:space="preserve"> סי' קב)</w:t>
      </w:r>
      <w:r>
        <w:rPr>
          <w:rFonts w:cs="Arial"/>
          <w:rtl/>
        </w:rPr>
        <w:t>, בכל אחד מאלו תצא בלא כתובה, אם יש עדים שהתרה בה תחלה ועברה על התראתו. ואם אין עדים, תשבע שהוא כדבריה. ואם רצה לקיים אותה אח</w:t>
      </w:r>
      <w:r>
        <w:rPr>
          <w:rFonts w:cs="Arial" w:hint="cs"/>
          <w:rtl/>
        </w:rPr>
        <w:t xml:space="preserve">ר </w:t>
      </w:r>
      <w:r>
        <w:rPr>
          <w:rFonts w:cs="Arial"/>
          <w:rtl/>
        </w:rPr>
        <w:t>כ</w:t>
      </w:r>
      <w:r>
        <w:rPr>
          <w:rFonts w:cs="Arial" w:hint="cs"/>
          <w:rtl/>
        </w:rPr>
        <w:t>ך</w:t>
      </w:r>
      <w:r>
        <w:rPr>
          <w:rFonts w:cs="Arial"/>
          <w:rtl/>
        </w:rPr>
        <w:t>, אין כופין אותו להוציאה</w:t>
      </w:r>
      <w:r>
        <w:rPr>
          <w:rFonts w:cs="Arial" w:hint="cs"/>
          <w:rtl/>
        </w:rPr>
        <w:t>.</w:t>
      </w:r>
      <w:r>
        <w:rPr>
          <w:rFonts w:cs="Arial"/>
          <w:rtl/>
        </w:rPr>
        <w:t xml:space="preserve"> מכל מקום מצוה עליו שיוציאנה</w:t>
      </w:r>
      <w:r>
        <w:rPr>
          <w:rStyle w:val="a7"/>
          <w:rFonts w:cs="Arial"/>
          <w:rtl/>
        </w:rPr>
        <w:footnoteReference w:id="3161"/>
      </w:r>
      <w:r>
        <w:rPr>
          <w:rFonts w:cs="Arial"/>
          <w:rtl/>
        </w:rPr>
        <w:t xml:space="preserve">. </w:t>
      </w:r>
      <w:r w:rsidRPr="00B24647">
        <w:rPr>
          <w:rFonts w:cs="Arial"/>
          <w:sz w:val="18"/>
          <w:szCs w:val="18"/>
          <w:rtl/>
        </w:rPr>
        <w:t>הגה: ואינה יכולה לעכב על ידו שלא יגרשנה, ויכול לגרשה בעל כרחה, ואין בזה משום חרם ר</w:t>
      </w:r>
      <w:r>
        <w:rPr>
          <w:rFonts w:cs="Arial" w:hint="cs"/>
          <w:sz w:val="18"/>
          <w:szCs w:val="18"/>
          <w:rtl/>
        </w:rPr>
        <w:t>בנו גרשום</w:t>
      </w:r>
      <w:r w:rsidRPr="00B24647">
        <w:rPr>
          <w:rFonts w:cs="Arial"/>
          <w:sz w:val="18"/>
          <w:szCs w:val="18"/>
          <w:rtl/>
        </w:rPr>
        <w:t xml:space="preserve"> (</w:t>
      </w:r>
      <w:r>
        <w:rPr>
          <w:rFonts w:cs="Arial" w:hint="cs"/>
          <w:sz w:val="18"/>
          <w:szCs w:val="18"/>
          <w:rtl/>
        </w:rPr>
        <w:t xml:space="preserve">מרדכי בשם </w:t>
      </w:r>
      <w:r w:rsidRPr="00B24647">
        <w:rPr>
          <w:rFonts w:cs="Arial"/>
          <w:sz w:val="18"/>
          <w:szCs w:val="18"/>
          <w:rtl/>
        </w:rPr>
        <w:t xml:space="preserve">מהר"ם </w:t>
      </w:r>
      <w:r>
        <w:rPr>
          <w:rFonts w:cs="Arial" w:hint="cs"/>
          <w:sz w:val="18"/>
          <w:szCs w:val="18"/>
          <w:rtl/>
        </w:rPr>
        <w:t>ו</w:t>
      </w:r>
      <w:r w:rsidRPr="00B24647">
        <w:rPr>
          <w:rFonts w:cs="Arial"/>
          <w:sz w:val="18"/>
          <w:szCs w:val="18"/>
          <w:rtl/>
        </w:rPr>
        <w:t xml:space="preserve">רשב"א). אשה שגזמה לבעלה שרצונה להשכיר עליו </w:t>
      </w:r>
      <w:r>
        <w:rPr>
          <w:rFonts w:cs="Arial" w:hint="cs"/>
          <w:sz w:val="18"/>
          <w:szCs w:val="18"/>
          <w:rtl/>
        </w:rPr>
        <w:t>גוי</w:t>
      </w:r>
      <w:r w:rsidRPr="00B24647">
        <w:rPr>
          <w:rFonts w:cs="Arial"/>
          <w:sz w:val="18"/>
          <w:szCs w:val="18"/>
          <w:rtl/>
        </w:rPr>
        <w:t xml:space="preserve"> להרגו אם יעשה לה דבר, מיקרי עוברת על דת (</w:t>
      </w:r>
      <w:r>
        <w:rPr>
          <w:rFonts w:cs="Arial" w:hint="cs"/>
          <w:sz w:val="18"/>
          <w:szCs w:val="18"/>
          <w:rtl/>
        </w:rPr>
        <w:t>מהר"ם</w:t>
      </w:r>
      <w:r w:rsidRPr="00B24647">
        <w:rPr>
          <w:rFonts w:cs="Arial"/>
          <w:sz w:val="18"/>
          <w:szCs w:val="18"/>
          <w:rtl/>
        </w:rPr>
        <w:t xml:space="preserve">). אשה הרגילה להתייחד עם </w:t>
      </w:r>
      <w:r>
        <w:rPr>
          <w:rFonts w:cs="Arial" w:hint="cs"/>
          <w:sz w:val="18"/>
          <w:szCs w:val="18"/>
          <w:rtl/>
        </w:rPr>
        <w:t>גוי</w:t>
      </w:r>
      <w:r w:rsidRPr="00B24647">
        <w:rPr>
          <w:rFonts w:cs="Arial"/>
          <w:sz w:val="18"/>
          <w:szCs w:val="18"/>
          <w:rtl/>
        </w:rPr>
        <w:t>, נקראת עוברת על דת (ת</w:t>
      </w:r>
      <w:r>
        <w:rPr>
          <w:rFonts w:cs="Arial" w:hint="cs"/>
          <w:sz w:val="18"/>
          <w:szCs w:val="18"/>
          <w:rtl/>
        </w:rPr>
        <w:t>רו</w:t>
      </w:r>
      <w:r w:rsidRPr="00B24647">
        <w:rPr>
          <w:rFonts w:cs="Arial"/>
          <w:sz w:val="18"/>
          <w:szCs w:val="18"/>
          <w:rtl/>
        </w:rPr>
        <w:t>ה</w:t>
      </w:r>
      <w:r>
        <w:rPr>
          <w:rFonts w:cs="Arial" w:hint="cs"/>
          <w:sz w:val="18"/>
          <w:szCs w:val="18"/>
          <w:rtl/>
        </w:rPr>
        <w:t>"ד</w:t>
      </w:r>
      <w:r w:rsidRPr="00B24647">
        <w:rPr>
          <w:rFonts w:cs="Arial"/>
          <w:sz w:val="18"/>
          <w:szCs w:val="18"/>
          <w:rtl/>
        </w:rPr>
        <w:t>).</w:t>
      </w:r>
      <w:r>
        <w:rPr>
          <w:rFonts w:cs="Arial"/>
          <w:rtl/>
        </w:rPr>
        <w:t xml:space="preserve"> </w:t>
      </w:r>
    </w:p>
    <w:p w14:paraId="7868CF19" w14:textId="77777777" w:rsidR="002E5BAD" w:rsidRDefault="002E5BAD" w:rsidP="002E5BAD">
      <w:pPr>
        <w:rPr>
          <w:rtl/>
        </w:rPr>
      </w:pPr>
    </w:p>
    <w:p w14:paraId="67DDE638" w14:textId="77777777" w:rsidR="002E5BAD" w:rsidRDefault="002E5BAD" w:rsidP="002E5BAD">
      <w:pPr>
        <w:pStyle w:val="2"/>
        <w:rPr>
          <w:rtl/>
        </w:rPr>
      </w:pPr>
      <w:r>
        <w:rPr>
          <w:rtl/>
        </w:rPr>
        <w:t>סעיף ה</w:t>
      </w:r>
      <w:r>
        <w:rPr>
          <w:rFonts w:hint="cs"/>
          <w:rtl/>
        </w:rPr>
        <w:t xml:space="preserve">: היוצאת בלא כתובה </w:t>
      </w:r>
      <w:r>
        <w:rPr>
          <w:rtl/>
        </w:rPr>
        <w:t>–</w:t>
      </w:r>
      <w:r>
        <w:rPr>
          <w:rFonts w:hint="cs"/>
          <w:rtl/>
        </w:rPr>
        <w:t xml:space="preserve"> מה בכלל זה.</w:t>
      </w:r>
    </w:p>
    <w:p w14:paraId="46D5E12A" w14:textId="77777777" w:rsidR="002E5BAD" w:rsidRPr="00C544BF" w:rsidRDefault="002E5BAD" w:rsidP="002E5BAD">
      <w:pPr>
        <w:rPr>
          <w:rFonts w:cs="Arial"/>
          <w:rtl/>
        </w:rPr>
      </w:pPr>
      <w:r w:rsidRPr="00634C48">
        <w:rPr>
          <w:rFonts w:cs="Arial"/>
          <w:b/>
          <w:bCs/>
          <w:rtl/>
        </w:rPr>
        <w:t xml:space="preserve">כתובות </w:t>
      </w:r>
      <w:r w:rsidRPr="00634C48">
        <w:rPr>
          <w:rFonts w:cs="Arial" w:hint="cs"/>
          <w:b/>
          <w:bCs/>
          <w:sz w:val="16"/>
          <w:szCs w:val="16"/>
          <w:rtl/>
        </w:rPr>
        <w:t>(ס"פ</w:t>
      </w:r>
      <w:r w:rsidRPr="00634C48">
        <w:rPr>
          <w:rFonts w:cs="Arial"/>
          <w:b/>
          <w:bCs/>
          <w:sz w:val="16"/>
          <w:szCs w:val="16"/>
          <w:rtl/>
        </w:rPr>
        <w:t xml:space="preserve"> אלמנה נזונת</w:t>
      </w:r>
      <w:r w:rsidRPr="00634C48">
        <w:rPr>
          <w:rFonts w:cs="Arial" w:hint="cs"/>
          <w:b/>
          <w:bCs/>
          <w:sz w:val="16"/>
          <w:szCs w:val="16"/>
          <w:rtl/>
        </w:rPr>
        <w:t xml:space="preserve">) </w:t>
      </w:r>
      <w:r w:rsidRPr="00634C48">
        <w:rPr>
          <w:rFonts w:cs="Arial"/>
          <w:b/>
          <w:bCs/>
          <w:rtl/>
        </w:rPr>
        <w:t>קא</w:t>
      </w:r>
      <w:r w:rsidRPr="00634C48">
        <w:rPr>
          <w:rFonts w:cs="Arial" w:hint="cs"/>
          <w:b/>
          <w:bCs/>
          <w:rtl/>
        </w:rPr>
        <w:t xml:space="preserve"> ע"א:</w:t>
      </w:r>
      <w:r w:rsidRPr="00026E9E">
        <w:rPr>
          <w:rFonts w:cs="Arial"/>
          <w:rtl/>
        </w:rPr>
        <w:t xml:space="preserve"> </w:t>
      </w:r>
      <w:r w:rsidRPr="008C07EF">
        <w:rPr>
          <w:rFonts w:cs="Arial"/>
          <w:rtl/>
        </w:rPr>
        <w:t>ת</w:t>
      </w:r>
      <w:r>
        <w:rPr>
          <w:rFonts w:cs="Arial" w:hint="cs"/>
          <w:rtl/>
        </w:rPr>
        <w:t>ניא נמי הכי</w:t>
      </w:r>
      <w:r w:rsidRPr="008C07EF">
        <w:rPr>
          <w:rFonts w:cs="Arial"/>
          <w:rtl/>
        </w:rPr>
        <w:t>: נשים שאמרו חכמים אין להן כתובה, כגון הממאנת וחברותיה - אין להן מנה מאתים, אבל תוספת יש להן</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r w:rsidRPr="00C544BF">
        <w:rPr>
          <w:rFonts w:cs="Arial" w:hint="cs"/>
          <w:sz w:val="16"/>
          <w:szCs w:val="16"/>
          <w:rtl/>
        </w:rPr>
        <w:t>(</w:t>
      </w:r>
      <w:r w:rsidRPr="00C544BF">
        <w:rPr>
          <w:rFonts w:cs="Arial"/>
          <w:sz w:val="16"/>
          <w:szCs w:val="16"/>
          <w:rtl/>
        </w:rPr>
        <w:t xml:space="preserve">ופירש הרא"ש (סי' כה - כח) נשים שאמרו חכמים </w:t>
      </w:r>
      <w:r w:rsidRPr="00C544BF">
        <w:rPr>
          <w:rFonts w:cs="Arial" w:hint="cs"/>
          <w:sz w:val="16"/>
          <w:szCs w:val="16"/>
          <w:rtl/>
        </w:rPr>
        <w:t>'</w:t>
      </w:r>
      <w:r w:rsidRPr="00C544BF">
        <w:rPr>
          <w:rFonts w:cs="Arial"/>
          <w:sz w:val="16"/>
          <w:szCs w:val="16"/>
          <w:rtl/>
        </w:rPr>
        <w:t>אין להם כתובה</w:t>
      </w:r>
      <w:r w:rsidRPr="00C544BF">
        <w:rPr>
          <w:rFonts w:cs="Arial" w:hint="cs"/>
          <w:sz w:val="16"/>
          <w:szCs w:val="16"/>
          <w:rtl/>
        </w:rPr>
        <w:t>'</w:t>
      </w:r>
      <w:r w:rsidRPr="00C544BF">
        <w:rPr>
          <w:rFonts w:cs="Arial"/>
          <w:sz w:val="16"/>
          <w:szCs w:val="16"/>
          <w:rtl/>
        </w:rPr>
        <w:t xml:space="preserve"> כגון ממאנת וחבירותיה שכתחלתן כך סופן</w:t>
      </w:r>
      <w:r w:rsidRPr="00C544BF">
        <w:rPr>
          <w:rFonts w:cs="Arial" w:hint="cs"/>
          <w:sz w:val="16"/>
          <w:szCs w:val="16"/>
          <w:rtl/>
        </w:rPr>
        <w:t>,</w:t>
      </w:r>
      <w:r w:rsidRPr="00C544BF">
        <w:rPr>
          <w:rFonts w:cs="Arial"/>
          <w:sz w:val="16"/>
          <w:szCs w:val="16"/>
          <w:rtl/>
        </w:rPr>
        <w:t xml:space="preserve"> ולהכי תנא בהו ואין להם כתובה</w:t>
      </w:r>
      <w:r w:rsidRPr="00C544BF">
        <w:rPr>
          <w:rFonts w:cs="Arial" w:hint="cs"/>
          <w:sz w:val="16"/>
          <w:szCs w:val="16"/>
          <w:rtl/>
        </w:rPr>
        <w:t>,</w:t>
      </w:r>
      <w:r w:rsidRPr="00C544BF">
        <w:rPr>
          <w:rFonts w:cs="Arial"/>
          <w:sz w:val="16"/>
          <w:szCs w:val="16"/>
          <w:rtl/>
        </w:rPr>
        <w:t xml:space="preserve"> כלומר שאין להם כתובה מתחלתן</w:t>
      </w:r>
      <w:r w:rsidRPr="00C544BF">
        <w:rPr>
          <w:rFonts w:cs="Arial" w:hint="cs"/>
          <w:sz w:val="16"/>
          <w:szCs w:val="16"/>
          <w:rtl/>
        </w:rPr>
        <w:t>.</w:t>
      </w:r>
      <w:r w:rsidRPr="00C544BF">
        <w:rPr>
          <w:rFonts w:cs="Arial"/>
          <w:sz w:val="16"/>
          <w:szCs w:val="16"/>
          <w:rtl/>
        </w:rPr>
        <w:t xml:space="preserve"> והוא הדין במקום ששנה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כההיא ברייתא דפרק הבא על יבמתו (יבמות סה.) נשאת למי שאין לו בנים תצא שלא בכתובה</w:t>
      </w:r>
      <w:r w:rsidRPr="00C544BF">
        <w:rPr>
          <w:rFonts w:cs="Arial" w:hint="cs"/>
          <w:sz w:val="16"/>
          <w:szCs w:val="16"/>
          <w:rtl/>
        </w:rPr>
        <w:t xml:space="preserve">. </w:t>
      </w:r>
      <w:r w:rsidRPr="00C544BF">
        <w:rPr>
          <w:rFonts w:cs="Arial"/>
          <w:sz w:val="16"/>
          <w:szCs w:val="16"/>
          <w:rtl/>
        </w:rPr>
        <w:t>ויש לה תוספת</w:t>
      </w:r>
      <w:r w:rsidRPr="00C544BF">
        <w:rPr>
          <w:rFonts w:cs="Arial" w:hint="cs"/>
          <w:sz w:val="16"/>
          <w:szCs w:val="16"/>
          <w:rtl/>
        </w:rPr>
        <w:t>,</w:t>
      </w:r>
      <w:r w:rsidRPr="00C544BF">
        <w:rPr>
          <w:rFonts w:cs="Arial"/>
          <w:sz w:val="16"/>
          <w:szCs w:val="16"/>
          <w:rtl/>
        </w:rPr>
        <w:t xml:space="preserve"> מידי דהוה אאילונית לפי שכתחלתה כך סופה</w:t>
      </w:r>
      <w:r w:rsidRPr="00C544BF">
        <w:rPr>
          <w:rFonts w:cs="Arial" w:hint="cs"/>
          <w:sz w:val="16"/>
          <w:szCs w:val="16"/>
          <w:rtl/>
        </w:rPr>
        <w:t>.</w:t>
      </w:r>
      <w:r w:rsidRPr="00C544BF">
        <w:rPr>
          <w:rFonts w:cs="Arial"/>
          <w:sz w:val="16"/>
          <w:szCs w:val="16"/>
          <w:rtl/>
        </w:rPr>
        <w:t xml:space="preserve"> ונשים שאמרו חכמים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שמחמת קלקול שאחר הנשואין הפסידו</w:t>
      </w:r>
      <w:r w:rsidRPr="00C544BF">
        <w:rPr>
          <w:rFonts w:cs="Arial" w:hint="cs"/>
          <w:sz w:val="16"/>
          <w:szCs w:val="16"/>
          <w:rtl/>
        </w:rPr>
        <w:t>,</w:t>
      </w:r>
      <w:r w:rsidRPr="00C544BF">
        <w:rPr>
          <w:rFonts w:cs="Arial"/>
          <w:sz w:val="16"/>
          <w:szCs w:val="16"/>
          <w:rtl/>
        </w:rPr>
        <w:t xml:space="preserve"> כגון עוברת על דת וחבירותיה שאין סופן כתחלתן</w:t>
      </w:r>
      <w:r w:rsidRPr="00C544BF">
        <w:rPr>
          <w:rFonts w:cs="Arial" w:hint="cs"/>
          <w:sz w:val="16"/>
          <w:szCs w:val="16"/>
          <w:rtl/>
        </w:rPr>
        <w:t>,</w:t>
      </w:r>
      <w:r w:rsidRPr="00C544BF">
        <w:rPr>
          <w:rFonts w:cs="Arial"/>
          <w:sz w:val="16"/>
          <w:szCs w:val="16"/>
          <w:rtl/>
        </w:rPr>
        <w:t xml:space="preserve"> שמתחלה היו ראויות לכתובה ועכשיו הפסידו על עצמן</w:t>
      </w:r>
      <w:r w:rsidRPr="00C544BF">
        <w:rPr>
          <w:rFonts w:cs="Arial" w:hint="cs"/>
          <w:sz w:val="16"/>
          <w:szCs w:val="16"/>
          <w:rtl/>
        </w:rPr>
        <w:t>,</w:t>
      </w:r>
      <w:r w:rsidRPr="00C544BF">
        <w:rPr>
          <w:rFonts w:cs="Arial"/>
          <w:sz w:val="16"/>
          <w:szCs w:val="16"/>
          <w:rtl/>
        </w:rPr>
        <w:t xml:space="preserve"> בין ששנו בהם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בין ששנו בהם </w:t>
      </w:r>
      <w:r w:rsidRPr="00C544BF">
        <w:rPr>
          <w:rFonts w:cs="Arial" w:hint="cs"/>
          <w:sz w:val="16"/>
          <w:szCs w:val="16"/>
          <w:rtl/>
        </w:rPr>
        <w:t>'</w:t>
      </w:r>
      <w:r w:rsidRPr="00C544BF">
        <w:rPr>
          <w:rFonts w:cs="Arial"/>
          <w:sz w:val="16"/>
          <w:szCs w:val="16"/>
          <w:rtl/>
        </w:rPr>
        <w:t>אין להם כתובה</w:t>
      </w:r>
      <w:r w:rsidRPr="00C544BF">
        <w:rPr>
          <w:rFonts w:cs="Arial" w:hint="cs"/>
          <w:sz w:val="16"/>
          <w:szCs w:val="16"/>
          <w:rtl/>
        </w:rPr>
        <w:t>'</w:t>
      </w:r>
      <w:r w:rsidRPr="00C544BF">
        <w:rPr>
          <w:rFonts w:cs="Arial"/>
          <w:sz w:val="16"/>
          <w:szCs w:val="16"/>
          <w:rtl/>
        </w:rPr>
        <w:t xml:space="preserve"> כאותה ששנינו ביבמות (פז:) ובהזורק (גיטין עט:) </w:t>
      </w:r>
      <w:r w:rsidRPr="00C544BF">
        <w:rPr>
          <w:rFonts w:cs="Arial" w:hint="cs"/>
          <w:sz w:val="16"/>
          <w:szCs w:val="16"/>
          <w:rtl/>
        </w:rPr>
        <w:t>'</w:t>
      </w:r>
      <w:r w:rsidRPr="00C544BF">
        <w:rPr>
          <w:rFonts w:cs="Arial"/>
          <w:sz w:val="16"/>
          <w:szCs w:val="16"/>
          <w:rtl/>
        </w:rPr>
        <w:t>תצא מזה ומזה ואין לה כתובה</w:t>
      </w:r>
      <w:r w:rsidRPr="00C544BF">
        <w:rPr>
          <w:rFonts w:cs="Arial" w:hint="cs"/>
          <w:sz w:val="16"/>
          <w:szCs w:val="16"/>
          <w:rtl/>
        </w:rPr>
        <w:t>'</w:t>
      </w:r>
      <w:r w:rsidRPr="00C544BF">
        <w:rPr>
          <w:rFonts w:cs="Arial"/>
          <w:sz w:val="16"/>
          <w:szCs w:val="16"/>
          <w:rtl/>
        </w:rPr>
        <w:t xml:space="preserve"> </w:t>
      </w:r>
      <w:r w:rsidRPr="00C544BF">
        <w:rPr>
          <w:rFonts w:cs="Arial" w:hint="cs"/>
          <w:sz w:val="16"/>
          <w:szCs w:val="16"/>
          <w:rtl/>
        </w:rPr>
        <w:t xml:space="preserve">- </w:t>
      </w:r>
      <w:r w:rsidRPr="00C544BF">
        <w:rPr>
          <w:rFonts w:cs="Arial"/>
          <w:sz w:val="16"/>
          <w:szCs w:val="16"/>
          <w:rtl/>
        </w:rPr>
        <w:t>כולן אין להם לא מנה ולא תוספת</w:t>
      </w:r>
      <w:r w:rsidRPr="00C544BF">
        <w:rPr>
          <w:rFonts w:cs="Arial" w:hint="cs"/>
          <w:sz w:val="16"/>
          <w:szCs w:val="16"/>
          <w:rtl/>
        </w:rPr>
        <w:t>,</w:t>
      </w:r>
      <w:r w:rsidRPr="00C544BF">
        <w:rPr>
          <w:rFonts w:cs="Arial"/>
          <w:sz w:val="16"/>
          <w:szCs w:val="16"/>
          <w:rtl/>
        </w:rPr>
        <w:t xml:space="preserve"> שהרי כל אותם הנשים משום צד זנות הם מפסידות כתובתן ונאסרות על בעליהן</w:t>
      </w:r>
      <w:r w:rsidRPr="00C544BF">
        <w:rPr>
          <w:rFonts w:cs="Arial" w:hint="cs"/>
          <w:sz w:val="16"/>
          <w:szCs w:val="16"/>
          <w:rtl/>
        </w:rPr>
        <w:t>.</w:t>
      </w:r>
      <w:r w:rsidRPr="00C544BF">
        <w:rPr>
          <w:rFonts w:cs="Arial"/>
          <w:sz w:val="16"/>
          <w:szCs w:val="16"/>
          <w:rtl/>
        </w:rPr>
        <w:t xml:space="preserve"> הילכך עוברת על דת וחבירותיה והיוצאת משום שם רע נוטלת מה שבפניה ויוצאת</w:t>
      </w:r>
      <w:r w:rsidRPr="00C544BF">
        <w:rPr>
          <w:rFonts w:cs="Arial" w:hint="cs"/>
          <w:sz w:val="16"/>
          <w:szCs w:val="16"/>
          <w:rtl/>
        </w:rPr>
        <w:t>.</w:t>
      </w:r>
      <w:r w:rsidRPr="00C544BF">
        <w:rPr>
          <w:rFonts w:cs="Arial"/>
          <w:sz w:val="16"/>
          <w:szCs w:val="16"/>
          <w:rtl/>
        </w:rPr>
        <w:t xml:space="preserve"> מסייע לרב הונא דאמר זינתה לא הפסידה בלאותיה קיימים</w:t>
      </w:r>
      <w:r w:rsidRPr="00C544BF">
        <w:rPr>
          <w:rFonts w:cs="Arial" w:hint="cs"/>
          <w:sz w:val="16"/>
          <w:szCs w:val="16"/>
          <w:rtl/>
        </w:rPr>
        <w:t>.</w:t>
      </w:r>
      <w:r w:rsidRPr="00C544BF">
        <w:rPr>
          <w:rFonts w:cs="Arial"/>
          <w:sz w:val="16"/>
          <w:szCs w:val="16"/>
          <w:rtl/>
        </w:rPr>
        <w:t xml:space="preserve"> הן בלאות של נכסי מלוג הן של נכסי צאן ברזל</w:t>
      </w:r>
      <w:r w:rsidRPr="00C544BF">
        <w:rPr>
          <w:rFonts w:cs="Arial" w:hint="cs"/>
          <w:sz w:val="16"/>
          <w:szCs w:val="16"/>
          <w:rtl/>
        </w:rPr>
        <w:t>.</w:t>
      </w:r>
      <w:r w:rsidRPr="00C544BF">
        <w:rPr>
          <w:rFonts w:cs="Arial"/>
          <w:sz w:val="16"/>
          <w:szCs w:val="16"/>
          <w:rtl/>
        </w:rPr>
        <w:t xml:space="preserve"> דמדקתני </w:t>
      </w:r>
      <w:r w:rsidRPr="00C544BF">
        <w:rPr>
          <w:rFonts w:cs="Arial"/>
          <w:sz w:val="16"/>
          <w:szCs w:val="16"/>
          <w:rtl/>
        </w:rPr>
        <w:lastRenderedPageBreak/>
        <w:t>בלאותיה בסתם</w:t>
      </w:r>
      <w:r w:rsidRPr="00C544BF">
        <w:rPr>
          <w:rFonts w:cs="Arial" w:hint="cs"/>
          <w:sz w:val="16"/>
          <w:szCs w:val="16"/>
          <w:rtl/>
        </w:rPr>
        <w:t>,</w:t>
      </w:r>
      <w:r w:rsidRPr="00C544BF">
        <w:rPr>
          <w:rFonts w:cs="Arial"/>
          <w:sz w:val="16"/>
          <w:szCs w:val="16"/>
          <w:rtl/>
        </w:rPr>
        <w:t xml:space="preserve"> משמע מכל מה שהכניסה לו עכ"ל. וכ"כ הר"ן ז"ל שם (נט: ד"ה גמ'). וכך הם דברי רמב"ם </w:t>
      </w:r>
      <w:r>
        <w:rPr>
          <w:rFonts w:cs="Arial" w:hint="cs"/>
          <w:sz w:val="16"/>
          <w:szCs w:val="16"/>
          <w:rtl/>
        </w:rPr>
        <w:t>(</w:t>
      </w:r>
      <w:r w:rsidRPr="00C544BF">
        <w:rPr>
          <w:rFonts w:cs="Arial"/>
          <w:sz w:val="16"/>
          <w:szCs w:val="16"/>
          <w:rtl/>
        </w:rPr>
        <w:t>פכ"ד מ</w:t>
      </w:r>
      <w:r>
        <w:rPr>
          <w:rFonts w:cs="Arial" w:hint="cs"/>
          <w:sz w:val="16"/>
          <w:szCs w:val="16"/>
          <w:rtl/>
        </w:rPr>
        <w:t xml:space="preserve">אישות </w:t>
      </w:r>
      <w:r w:rsidRPr="00C544BF">
        <w:rPr>
          <w:rFonts w:cs="Arial"/>
          <w:sz w:val="16"/>
          <w:szCs w:val="16"/>
          <w:rtl/>
        </w:rPr>
        <w:t>ה"ו</w:t>
      </w:r>
      <w:r>
        <w:rPr>
          <w:rFonts w:cs="Arial" w:hint="cs"/>
          <w:sz w:val="16"/>
          <w:szCs w:val="16"/>
          <w:rtl/>
        </w:rPr>
        <w:t xml:space="preserve"> וה"י</w:t>
      </w:r>
      <w:r w:rsidRPr="00C544BF">
        <w:rPr>
          <w:rFonts w:cs="Arial"/>
          <w:sz w:val="16"/>
          <w:szCs w:val="16"/>
          <w:rtl/>
        </w:rPr>
        <w:t>). ועיין במישרים סוף נכ"ג</w:t>
      </w:r>
      <w:r w:rsidRPr="00C544BF">
        <w:rPr>
          <w:rFonts w:cs="Arial" w:hint="cs"/>
          <w:sz w:val="16"/>
          <w:szCs w:val="16"/>
          <w:rtl/>
        </w:rPr>
        <w:t>, ב"י)</w:t>
      </w:r>
    </w:p>
    <w:p w14:paraId="162BD48A" w14:textId="77777777" w:rsidR="002E5BAD" w:rsidRPr="00634C48" w:rsidRDefault="002E5BAD" w:rsidP="002E5BAD">
      <w:pPr>
        <w:rPr>
          <w:u w:val="single"/>
          <w:rtl/>
        </w:rPr>
      </w:pPr>
      <w:r w:rsidRPr="00634C48">
        <w:rPr>
          <w:rFonts w:hint="cs"/>
          <w:u w:val="single"/>
          <w:rtl/>
        </w:rPr>
        <w:t xml:space="preserve">היוצאת בלא כתובה </w:t>
      </w:r>
      <w:r w:rsidRPr="00634C48">
        <w:rPr>
          <w:u w:val="single"/>
          <w:rtl/>
        </w:rPr>
        <w:t>–</w:t>
      </w:r>
      <w:r w:rsidRPr="00634C48">
        <w:rPr>
          <w:rFonts w:hint="cs"/>
          <w:u w:val="single"/>
          <w:rtl/>
        </w:rPr>
        <w:t xml:space="preserve"> מה בכלל זה:</w:t>
      </w:r>
    </w:p>
    <w:p w14:paraId="2A85622A" w14:textId="77777777" w:rsidR="002E5BAD" w:rsidRDefault="002E5BAD" w:rsidP="00B75458">
      <w:pPr>
        <w:pStyle w:val="ab"/>
        <w:numPr>
          <w:ilvl w:val="0"/>
          <w:numId w:val="204"/>
        </w:numPr>
        <w:rPr>
          <w:rtl/>
        </w:rPr>
      </w:pPr>
      <w:r>
        <w:rPr>
          <w:rFonts w:cs="Arial" w:hint="cs"/>
          <w:rtl/>
        </w:rPr>
        <w:t xml:space="preserve">טור- </w:t>
      </w:r>
      <w:r w:rsidRPr="00671DE4">
        <w:rPr>
          <w:rFonts w:cs="Arial"/>
          <w:rtl/>
        </w:rPr>
        <w:t>כל אלו אין להם לא עיקר כתובה ולא תנאי כתובה ולא תוספת</w:t>
      </w:r>
      <w:r>
        <w:rPr>
          <w:rFonts w:cs="Arial" w:hint="cs"/>
          <w:rtl/>
        </w:rPr>
        <w:t>,</w:t>
      </w:r>
      <w:r w:rsidRPr="00671DE4">
        <w:rPr>
          <w:rFonts w:cs="Arial"/>
          <w:rtl/>
        </w:rPr>
        <w:t xml:space="preserve"> אבל תטול מה שהכניסה אליו והוא בעין בין מנכסי צאן ברזל בין מנכסי מלוג</w:t>
      </w:r>
      <w:r>
        <w:rPr>
          <w:rFonts w:cs="Arial" w:hint="cs"/>
          <w:rtl/>
        </w:rPr>
        <w:t>.</w:t>
      </w:r>
      <w:r w:rsidRPr="00671DE4">
        <w:rPr>
          <w:rFonts w:cs="Arial"/>
          <w:rtl/>
        </w:rPr>
        <w:t xml:space="preserve"> ואם כלה או נגנב או נאבד </w:t>
      </w:r>
      <w:r>
        <w:rPr>
          <w:rFonts w:cs="Arial" w:hint="cs"/>
          <w:rtl/>
        </w:rPr>
        <w:t xml:space="preserve">- </w:t>
      </w:r>
      <w:r w:rsidRPr="00671DE4">
        <w:rPr>
          <w:rFonts w:cs="Arial"/>
          <w:rtl/>
        </w:rPr>
        <w:t>אין מוציאין ממנו</w:t>
      </w:r>
      <w:r>
        <w:rPr>
          <w:rFonts w:cs="Arial" w:hint="cs"/>
          <w:rtl/>
        </w:rPr>
        <w:t>.</w:t>
      </w:r>
      <w:r w:rsidRPr="00671DE4">
        <w:rPr>
          <w:rFonts w:cs="Arial"/>
          <w:rtl/>
        </w:rPr>
        <w:t xml:space="preserve"> וכן הדין במי שזנתה או יוצאת משום שם רע</w:t>
      </w:r>
      <w:r>
        <w:rPr>
          <w:rFonts w:cs="Arial" w:hint="cs"/>
          <w:rtl/>
        </w:rPr>
        <w:t>,</w:t>
      </w:r>
      <w:r w:rsidRPr="00671DE4">
        <w:rPr>
          <w:rFonts w:cs="Arial"/>
          <w:rtl/>
        </w:rPr>
        <w:t xml:space="preserve"> שאבדה עיקר כתובתה ותוספת</w:t>
      </w:r>
      <w:r>
        <w:rPr>
          <w:rFonts w:cs="Arial" w:hint="cs"/>
          <w:rtl/>
        </w:rPr>
        <w:t>,</w:t>
      </w:r>
      <w:r w:rsidRPr="00671DE4">
        <w:rPr>
          <w:rFonts w:cs="Arial"/>
          <w:rtl/>
        </w:rPr>
        <w:t xml:space="preserve"> ונוטלת מה שהוא בעין מכל מה שהכניסה</w:t>
      </w:r>
      <w:r>
        <w:rPr>
          <w:rFonts w:cs="Arial" w:hint="cs"/>
          <w:rtl/>
        </w:rPr>
        <w:t>.</w:t>
      </w:r>
      <w:r w:rsidRPr="00671DE4">
        <w:rPr>
          <w:rFonts w:cs="Arial"/>
          <w:rtl/>
        </w:rPr>
        <w:t xml:space="preserve"> וכן הדין בכל אותן ששנינו בה </w:t>
      </w:r>
      <w:r>
        <w:rPr>
          <w:rFonts w:cs="Arial" w:hint="cs"/>
          <w:rtl/>
        </w:rPr>
        <w:t>'</w:t>
      </w:r>
      <w:r w:rsidRPr="00671DE4">
        <w:rPr>
          <w:rFonts w:cs="Arial"/>
          <w:rtl/>
        </w:rPr>
        <w:t>תצא מזה ומזה</w:t>
      </w:r>
      <w:r>
        <w:rPr>
          <w:rFonts w:cs="Arial" w:hint="cs"/>
          <w:rtl/>
        </w:rPr>
        <w:t>',</w:t>
      </w:r>
      <w:r w:rsidRPr="00671DE4">
        <w:rPr>
          <w:rFonts w:cs="Arial"/>
          <w:rtl/>
        </w:rPr>
        <w:t xml:space="preserve"> שהרי מצד זנות היא מפסדת כתובתה</w:t>
      </w:r>
      <w:r>
        <w:rPr>
          <w:rFonts w:cs="Arial" w:hint="cs"/>
          <w:rtl/>
        </w:rPr>
        <w:t>.</w:t>
      </w:r>
      <w:r w:rsidRPr="00671DE4">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5A13A94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527963" w14:textId="77777777" w:rsidR="002E5BAD" w:rsidRDefault="002E5BAD" w:rsidP="002E5BAD">
      <w:pPr>
        <w:rPr>
          <w:rtl/>
        </w:rPr>
      </w:pPr>
      <w:r>
        <w:rPr>
          <w:rFonts w:cs="Arial"/>
          <w:rtl/>
        </w:rPr>
        <w:t>כל אלו אין להם לא עיקר כתובה ולא תנאי כתובה ולא תוספת, אבל תטול מה שהכניסה לו והוא בעין</w:t>
      </w:r>
      <w:r>
        <w:rPr>
          <w:rStyle w:val="a7"/>
          <w:rFonts w:cs="Arial"/>
          <w:rtl/>
        </w:rPr>
        <w:footnoteReference w:id="3162"/>
      </w:r>
      <w:r>
        <w:rPr>
          <w:rFonts w:cs="Arial"/>
          <w:rtl/>
        </w:rPr>
        <w:t>, בין מנכסי צאן ברזל</w:t>
      </w:r>
      <w:r>
        <w:rPr>
          <w:rStyle w:val="a7"/>
          <w:rFonts w:cs="Arial"/>
          <w:rtl/>
        </w:rPr>
        <w:footnoteReference w:id="3163"/>
      </w:r>
      <w:r>
        <w:rPr>
          <w:rFonts w:cs="Arial"/>
          <w:rtl/>
        </w:rPr>
        <w:t xml:space="preserve"> בין מנכסי מלוג. ואם כלה או נגנב או נאבד, אין מוציאין ממנו</w:t>
      </w:r>
      <w:r>
        <w:rPr>
          <w:rStyle w:val="a7"/>
          <w:rFonts w:cs="Arial"/>
          <w:rtl/>
        </w:rPr>
        <w:footnoteReference w:id="3164"/>
      </w:r>
      <w:r>
        <w:rPr>
          <w:rFonts w:cs="Arial"/>
          <w:rtl/>
        </w:rPr>
        <w:t>. וכן הדין במי שזינתה</w:t>
      </w:r>
      <w:r>
        <w:rPr>
          <w:rStyle w:val="a7"/>
          <w:rFonts w:cs="Arial"/>
          <w:rtl/>
        </w:rPr>
        <w:footnoteReference w:id="3165"/>
      </w:r>
      <w:r>
        <w:rPr>
          <w:rFonts w:cs="Arial"/>
          <w:rtl/>
        </w:rPr>
        <w:t xml:space="preserve"> או שיוצאה משום שם רע, שאיבדה עיקר כתובה ותוספת, ונוטלת מה שהוא בעין מכל מה שהכניסה. וכן הדין בכל אותם ששנינו בהן תצא מזה ומזה. </w:t>
      </w:r>
    </w:p>
    <w:p w14:paraId="5A07AE52" w14:textId="77777777" w:rsidR="002E5BAD" w:rsidRDefault="002E5BAD" w:rsidP="002E5BAD">
      <w:pPr>
        <w:rPr>
          <w:rtl/>
        </w:rPr>
      </w:pPr>
    </w:p>
    <w:p w14:paraId="73B75415" w14:textId="77777777" w:rsidR="002E5BAD" w:rsidRDefault="002E5BAD" w:rsidP="002E5BAD">
      <w:pPr>
        <w:pStyle w:val="2"/>
        <w:rPr>
          <w:rtl/>
        </w:rPr>
      </w:pPr>
      <w:r>
        <w:rPr>
          <w:rtl/>
        </w:rPr>
        <w:lastRenderedPageBreak/>
        <w:t>סעיף ו</w:t>
      </w:r>
      <w:r>
        <w:rPr>
          <w:rFonts w:hint="cs"/>
          <w:rtl/>
        </w:rPr>
        <w:t>: אמרה שזינתה, ואין עדים בדבר.</w:t>
      </w:r>
    </w:p>
    <w:p w14:paraId="5B2190BB" w14:textId="77777777" w:rsidR="002E5BAD" w:rsidRDefault="002E5BAD" w:rsidP="002E5BAD">
      <w:pPr>
        <w:rPr>
          <w:rtl/>
        </w:rPr>
      </w:pPr>
      <w:r w:rsidRPr="003131E2">
        <w:rPr>
          <w:rFonts w:cs="Arial" w:hint="cs"/>
          <w:b/>
          <w:bCs/>
          <w:rtl/>
        </w:rPr>
        <w:t xml:space="preserve">נדרים </w:t>
      </w:r>
      <w:r w:rsidRPr="003131E2">
        <w:rPr>
          <w:rFonts w:cs="Arial" w:hint="cs"/>
          <w:b/>
          <w:bCs/>
          <w:sz w:val="16"/>
          <w:szCs w:val="16"/>
          <w:rtl/>
        </w:rPr>
        <w:t>(פ' בתרא)</w:t>
      </w:r>
      <w:r w:rsidRPr="003131E2">
        <w:rPr>
          <w:rFonts w:cs="Arial" w:hint="cs"/>
          <w:b/>
          <w:bCs/>
          <w:rtl/>
        </w:rPr>
        <w:t xml:space="preserve"> צ ע"ב: </w:t>
      </w:r>
      <w:r w:rsidRPr="003131E2">
        <w:rPr>
          <w:rFonts w:cs="Arial"/>
          <w:u w:val="double"/>
          <w:rtl/>
        </w:rPr>
        <w:t>מתני'</w:t>
      </w:r>
      <w:r>
        <w:rPr>
          <w:rFonts w:cs="Arial" w:hint="cs"/>
          <w:rtl/>
        </w:rPr>
        <w:t>:</w:t>
      </w:r>
      <w:r w:rsidRPr="003131E2">
        <w:rPr>
          <w:rFonts w:cs="Arial"/>
          <w:rtl/>
        </w:rPr>
        <w:t xml:space="preserve"> בראשונה היו אומרים, שלש נשים יוצאות ונוטלות כתובה: האומרת טמאה אני לך, שמים ביני לבינך, ונטולה אני מן היהודים. חזרו לומר, שלא תהא אשה נותנת עיניה באחר ומקלקלת על בעלה, האומרת טמאה אני לך - תביא ראיה לדבריה, השמים ביני לבינך - יעשו דרך בקשה, ונטולה אני מן היהודים - יפר לחלקו ותהא משמשתו, ותהא נטולה מן היהודים.</w:t>
      </w:r>
      <w:r w:rsidRPr="00146D47">
        <w:rPr>
          <w:rtl/>
        </w:rPr>
        <w:t xml:space="preserve"> </w:t>
      </w:r>
      <w:r>
        <w:rPr>
          <w:rFonts w:hint="cs"/>
          <w:rtl/>
        </w:rPr>
        <w:t xml:space="preserve">        </w:t>
      </w:r>
      <w:r w:rsidRPr="00146D47">
        <w:rPr>
          <w:rFonts w:hint="cs"/>
          <w:u w:val="double"/>
          <w:rtl/>
        </w:rPr>
        <w:t>גמ'</w:t>
      </w:r>
      <w:r>
        <w:rPr>
          <w:rFonts w:hint="cs"/>
          <w:rtl/>
        </w:rPr>
        <w:t xml:space="preserve">: </w:t>
      </w:r>
      <w:r w:rsidRPr="00146D47">
        <w:rPr>
          <w:rFonts w:cs="Arial"/>
          <w:u w:val="single"/>
          <w:rtl/>
        </w:rPr>
        <w:t>אמר רב פפא</w:t>
      </w:r>
      <w:r>
        <w:rPr>
          <w:rFonts w:cs="Arial" w:hint="cs"/>
          <w:rtl/>
        </w:rPr>
        <w:t>:</w:t>
      </w:r>
      <w:r w:rsidRPr="00146D47">
        <w:rPr>
          <w:rFonts w:cs="Arial"/>
          <w:rtl/>
        </w:rPr>
        <w:t xml:space="preserve"> בדיק לן רבא</w:t>
      </w:r>
      <w:r>
        <w:rPr>
          <w:rFonts w:cs="Arial" w:hint="cs"/>
          <w:rtl/>
        </w:rPr>
        <w:t>:</w:t>
      </w:r>
      <w:r w:rsidRPr="00146D47">
        <w:rPr>
          <w:rFonts w:cs="Arial"/>
          <w:rtl/>
        </w:rPr>
        <w:t xml:space="preserve"> אשת כהן שנאנסה, יש לה כתובה או אין לה כתובה? כיון דאונס לגבי כהן כרצון לגבי ישראל דמי - אין לה כתובה, או דילמא מצי אמרה ליה: אנא הא חזינא</w:t>
      </w:r>
      <w:r>
        <w:rPr>
          <w:rFonts w:cs="Arial" w:hint="cs"/>
          <w:sz w:val="14"/>
          <w:szCs w:val="14"/>
          <w:rtl/>
        </w:rPr>
        <w:t xml:space="preserve"> (צא.)</w:t>
      </w:r>
      <w:r w:rsidRPr="00146D47">
        <w:rPr>
          <w:rFonts w:cs="Arial"/>
          <w:rtl/>
        </w:rPr>
        <w:t>,</w:t>
      </w:r>
      <w:r w:rsidRPr="00146D47">
        <w:rPr>
          <w:rtl/>
        </w:rPr>
        <w:t xml:space="preserve"> </w:t>
      </w:r>
      <w:r w:rsidRPr="00146D47">
        <w:rPr>
          <w:rFonts w:cs="Arial"/>
          <w:rtl/>
        </w:rPr>
        <w:t>וגברא הוא דנסתחפה שדהו? ואמרינן ליה</w:t>
      </w:r>
      <w:r>
        <w:rPr>
          <w:rFonts w:cs="Arial" w:hint="cs"/>
          <w:rtl/>
        </w:rPr>
        <w:t>:</w:t>
      </w:r>
      <w:r w:rsidRPr="00146D47">
        <w:rPr>
          <w:rFonts w:cs="Arial"/>
          <w:rtl/>
        </w:rPr>
        <w:t xml:space="preserve"> מתני' היא: האומרת טמאה אני לך - יש לה כתובה</w:t>
      </w:r>
      <w:r>
        <w:rPr>
          <w:rFonts w:cs="Arial" w:hint="cs"/>
          <w:rtl/>
        </w:rPr>
        <w:t>.</w:t>
      </w:r>
      <w:r w:rsidRPr="00146D47">
        <w:rPr>
          <w:rFonts w:cs="Arial"/>
          <w:rtl/>
        </w:rPr>
        <w:t xml:space="preserve"> במאי עסקינן? אילימא באשת ישראל, אי ברצון, כלום יש לה כתובה? ואי באונס, ומי קא מיתסרא על גברא? ואלא באשת כהן, אי ברצון, כלום יש לה כתובה? מי גרעה מאשת ישראל ברצון? אלא לאו באונס, וקתני: יש לה כתובה.</w:t>
      </w:r>
      <w:r w:rsidRPr="00773835">
        <w:rPr>
          <w:rFonts w:cs="Arial"/>
          <w:sz w:val="16"/>
          <w:szCs w:val="16"/>
          <w:rtl/>
        </w:rPr>
        <w:t xml:space="preserve"> </w:t>
      </w:r>
      <w:r>
        <w:rPr>
          <w:rFonts w:cs="Arial" w:hint="cs"/>
          <w:sz w:val="16"/>
          <w:szCs w:val="16"/>
          <w:rtl/>
        </w:rPr>
        <w:t>(</w:t>
      </w:r>
      <w:r w:rsidRPr="00773835">
        <w:rPr>
          <w:rFonts w:cs="Arial"/>
          <w:sz w:val="16"/>
          <w:szCs w:val="16"/>
          <w:rtl/>
        </w:rPr>
        <w:t>וטעמא דאשת ישראל פשוט שהרי אינה נאסרת על בעלה משום אונס ואשת כהן אע</w:t>
      </w:r>
      <w:r>
        <w:rPr>
          <w:rFonts w:cs="Arial" w:hint="cs"/>
          <w:sz w:val="16"/>
          <w:szCs w:val="16"/>
          <w:rtl/>
        </w:rPr>
        <w:t>"</w:t>
      </w:r>
      <w:r w:rsidRPr="00773835">
        <w:rPr>
          <w:rFonts w:cs="Arial"/>
          <w:sz w:val="16"/>
          <w:szCs w:val="16"/>
          <w:rtl/>
        </w:rPr>
        <w:t>פ שהיא נאסרת על בעלה לא הפסידה כתובתה משום דיכלה למימר אנא הא קאימנא</w:t>
      </w:r>
      <w:r w:rsidRPr="00773835">
        <w:rPr>
          <w:rFonts w:cs="Arial" w:hint="cs"/>
          <w:sz w:val="16"/>
          <w:szCs w:val="16"/>
          <w:rtl/>
        </w:rPr>
        <w:t>,</w:t>
      </w:r>
      <w:r w:rsidRPr="00773835">
        <w:rPr>
          <w:rFonts w:cs="Arial"/>
          <w:sz w:val="16"/>
          <w:szCs w:val="16"/>
          <w:rtl/>
        </w:rPr>
        <w:t xml:space="preserve"> גברא הוא דנסתחפה שדהו</w:t>
      </w:r>
      <w:r w:rsidRPr="00773835">
        <w:rPr>
          <w:rFonts w:cs="Arial" w:hint="cs"/>
          <w:sz w:val="16"/>
          <w:szCs w:val="16"/>
          <w:rtl/>
        </w:rPr>
        <w:t>,</w:t>
      </w:r>
      <w:r w:rsidRPr="00773835">
        <w:rPr>
          <w:rFonts w:cs="Arial"/>
          <w:sz w:val="16"/>
          <w:szCs w:val="16"/>
          <w:rtl/>
        </w:rPr>
        <w:t xml:space="preserve"> כלומר שקדושת כהונתו גרמה שתהא אסורה לו דהא אונס בישראל מישרא שרי הילכך מזלו גרם</w:t>
      </w:r>
      <w:r>
        <w:rPr>
          <w:rFonts w:cs="Arial" w:hint="cs"/>
          <w:sz w:val="16"/>
          <w:szCs w:val="16"/>
          <w:rtl/>
        </w:rPr>
        <w:t>, ב"י)</w:t>
      </w:r>
    </w:p>
    <w:p w14:paraId="31BA2D60" w14:textId="77777777" w:rsidR="002E5BAD" w:rsidRDefault="002E5BAD" w:rsidP="002E5BAD">
      <w:pPr>
        <w:rPr>
          <w:rtl/>
        </w:rPr>
      </w:pPr>
      <w:r w:rsidRPr="00FA5DD7">
        <w:rPr>
          <w:rFonts w:cs="Arial" w:hint="cs"/>
          <w:b/>
          <w:bCs/>
          <w:rtl/>
        </w:rPr>
        <w:t>ירושלמי נדרים פי"א הי"ב:</w:t>
      </w:r>
      <w:r>
        <w:rPr>
          <w:rFonts w:cs="Arial" w:hint="cs"/>
          <w:rtl/>
        </w:rPr>
        <w:t xml:space="preserve"> </w:t>
      </w:r>
      <w:r w:rsidRPr="00FA5DD7">
        <w:rPr>
          <w:rFonts w:cs="Arial"/>
          <w:u w:val="double"/>
          <w:rtl/>
        </w:rPr>
        <w:t>מתני'</w:t>
      </w:r>
      <w:r>
        <w:rPr>
          <w:rFonts w:cs="Arial" w:hint="cs"/>
          <w:rtl/>
        </w:rPr>
        <w:t>:</w:t>
      </w:r>
      <w:r w:rsidRPr="00FA5DD7">
        <w:rPr>
          <w:rFonts w:cs="Arial"/>
          <w:rtl/>
        </w:rPr>
        <w:t xml:space="preserve"> בראשונה היו אומרי' שלש נשים יוצאות ונוטלות כתוב' האומרת טמאה אני לך שמים ביני לבינך ונטולה אני מן היהודים</w:t>
      </w:r>
      <w:r>
        <w:rPr>
          <w:rFonts w:cs="Arial" w:hint="cs"/>
          <w:rtl/>
        </w:rPr>
        <w:t>.</w:t>
      </w:r>
      <w:r w:rsidRPr="00FA5DD7">
        <w:rPr>
          <w:rFonts w:cs="Arial"/>
          <w:rtl/>
        </w:rPr>
        <w:t xml:space="preserve"> חזרו לומר שלא תהא אשה נותנת עיניה באחר ומקלקלת על בעלה</w:t>
      </w:r>
      <w:r>
        <w:rPr>
          <w:rFonts w:cs="Arial" w:hint="cs"/>
          <w:rtl/>
        </w:rPr>
        <w:t>.</w:t>
      </w:r>
      <w:r w:rsidRPr="00FA5DD7">
        <w:rPr>
          <w:rFonts w:cs="Arial"/>
          <w:rtl/>
        </w:rPr>
        <w:t xml:space="preserve"> האומרת טמאה אני לך תביא ראייה לדבריה</w:t>
      </w:r>
      <w:r>
        <w:rPr>
          <w:rFonts w:cs="Arial" w:hint="cs"/>
          <w:rtl/>
        </w:rPr>
        <w:t>.</w:t>
      </w:r>
      <w:r w:rsidRPr="00FA5DD7">
        <w:rPr>
          <w:rFonts w:cs="Arial"/>
          <w:rtl/>
        </w:rPr>
        <w:t xml:space="preserve"> שמים ביני לבינך יעשו דרך בקשה ונטולה אני מן היהודים יפר חלקו ומשמשתו ותהא נטולה מן היהודים</w:t>
      </w:r>
      <w:r>
        <w:rPr>
          <w:rFonts w:cs="Arial" w:hint="cs"/>
          <w:rtl/>
        </w:rPr>
        <w:t>.</w:t>
      </w:r>
      <w:r w:rsidRPr="00FA5DD7">
        <w:rPr>
          <w:rFonts w:cs="Arial"/>
          <w:rtl/>
        </w:rPr>
        <w:t xml:space="preserve"> </w:t>
      </w:r>
      <w:r>
        <w:rPr>
          <w:rFonts w:cs="Arial" w:hint="cs"/>
          <w:rtl/>
        </w:rPr>
        <w:t xml:space="preserve">        </w:t>
      </w:r>
      <w:r w:rsidRPr="00FA5DD7">
        <w:rPr>
          <w:rFonts w:cs="Arial"/>
          <w:u w:val="double"/>
          <w:rtl/>
        </w:rPr>
        <w:t>גמ'</w:t>
      </w:r>
      <w:r>
        <w:rPr>
          <w:rFonts w:cs="Arial" w:hint="cs"/>
          <w:rtl/>
        </w:rPr>
        <w:t>:</w:t>
      </w:r>
      <w:r w:rsidRPr="00FA5DD7">
        <w:rPr>
          <w:rFonts w:cs="Arial"/>
          <w:rtl/>
        </w:rPr>
        <w:t xml:space="preserve"> הא לא הביאה ראייה לדבריה </w:t>
      </w:r>
      <w:r>
        <w:rPr>
          <w:rFonts w:cs="Arial" w:hint="cs"/>
          <w:rtl/>
        </w:rPr>
        <w:t xml:space="preserve">- </w:t>
      </w:r>
      <w:r w:rsidRPr="00FA5DD7">
        <w:rPr>
          <w:rFonts w:cs="Arial"/>
          <w:rtl/>
        </w:rPr>
        <w:t xml:space="preserve">פשיטא שהיא מותרת לביתה. </w:t>
      </w:r>
      <w:r w:rsidRPr="00FA5DD7">
        <w:rPr>
          <w:rFonts w:cs="Arial"/>
          <w:u w:val="single"/>
          <w:rtl/>
        </w:rPr>
        <w:t>אמר רבי הילא</w:t>
      </w:r>
      <w:r>
        <w:rPr>
          <w:rFonts w:cs="Arial" w:hint="cs"/>
          <w:rtl/>
        </w:rPr>
        <w:t>:</w:t>
      </w:r>
      <w:r w:rsidRPr="00FA5DD7">
        <w:rPr>
          <w:rFonts w:cs="Arial"/>
          <w:rtl/>
        </w:rPr>
        <w:t xml:space="preserve"> לא מסתברא</w:t>
      </w:r>
      <w:r>
        <w:rPr>
          <w:rFonts w:cs="Arial" w:hint="cs"/>
          <w:rtl/>
        </w:rPr>
        <w:t>,</w:t>
      </w:r>
      <w:r w:rsidRPr="00FA5DD7">
        <w:rPr>
          <w:rFonts w:cs="Arial"/>
          <w:rtl/>
        </w:rPr>
        <w:t xml:space="preserve"> אם היה חבר</w:t>
      </w:r>
      <w:r>
        <w:rPr>
          <w:rFonts w:cs="Arial" w:hint="cs"/>
          <w:rtl/>
        </w:rPr>
        <w:t xml:space="preserve"> </w:t>
      </w:r>
      <w:r w:rsidRPr="00FA5DD7">
        <w:rPr>
          <w:rFonts w:cs="Arial"/>
          <w:rtl/>
        </w:rPr>
        <w:t>יחוש.</w:t>
      </w:r>
    </w:p>
    <w:p w14:paraId="4E6B94BD" w14:textId="77777777" w:rsidR="002E5BAD" w:rsidRPr="003131E2" w:rsidRDefault="002E5BAD" w:rsidP="002E5BAD">
      <w:pPr>
        <w:rPr>
          <w:u w:val="single"/>
          <w:rtl/>
        </w:rPr>
      </w:pPr>
      <w:r w:rsidRPr="003131E2">
        <w:rPr>
          <w:rFonts w:hint="cs"/>
          <w:u w:val="single"/>
          <w:rtl/>
        </w:rPr>
        <w:t xml:space="preserve">אשה שאמרה שזינתה </w:t>
      </w:r>
      <w:r w:rsidRPr="003131E2">
        <w:rPr>
          <w:u w:val="single"/>
          <w:rtl/>
        </w:rPr>
        <w:t>–</w:t>
      </w:r>
      <w:r w:rsidRPr="003131E2">
        <w:rPr>
          <w:rFonts w:hint="cs"/>
          <w:u w:val="single"/>
          <w:rtl/>
        </w:rPr>
        <w:t xml:space="preserve"> ואין עדים בדבר:</w:t>
      </w:r>
    </w:p>
    <w:p w14:paraId="103600D6" w14:textId="77777777" w:rsidR="002E5BAD" w:rsidRDefault="002E5BAD" w:rsidP="00B75458">
      <w:pPr>
        <w:pStyle w:val="ab"/>
        <w:numPr>
          <w:ilvl w:val="0"/>
          <w:numId w:val="204"/>
        </w:numPr>
      </w:pPr>
      <w:r>
        <w:rPr>
          <w:rFonts w:cs="Arial" w:hint="cs"/>
          <w:rtl/>
        </w:rPr>
        <w:t xml:space="preserve">רמב"ם </w:t>
      </w:r>
      <w:r>
        <w:rPr>
          <w:rFonts w:cs="Arial" w:hint="cs"/>
          <w:sz w:val="16"/>
          <w:szCs w:val="16"/>
          <w:rtl/>
        </w:rPr>
        <w:t>(פכ"ד מאישות הי"ח, והכ"ב)</w:t>
      </w:r>
      <w:r>
        <w:rPr>
          <w:rFonts w:cs="Arial" w:hint="cs"/>
          <w:rtl/>
        </w:rPr>
        <w:t xml:space="preserve"> וטור- </w:t>
      </w:r>
      <w:r w:rsidRPr="00671DE4">
        <w:rPr>
          <w:rFonts w:cs="Arial"/>
          <w:rtl/>
        </w:rPr>
        <w:t xml:space="preserve">אין עדים שזינתה אלא שהיא עצמה אומרת שזינתה </w:t>
      </w:r>
      <w:r>
        <w:rPr>
          <w:rFonts w:cs="Arial" w:hint="cs"/>
          <w:rtl/>
        </w:rPr>
        <w:t xml:space="preserve">- </w:t>
      </w:r>
      <w:r w:rsidRPr="00671DE4">
        <w:rPr>
          <w:rFonts w:cs="Arial"/>
          <w:rtl/>
        </w:rPr>
        <w:t>אין חוששין לדבר זה לאוסרה</w:t>
      </w:r>
      <w:r>
        <w:rPr>
          <w:rFonts w:cs="Arial" w:hint="cs"/>
          <w:rtl/>
        </w:rPr>
        <w:t>,</w:t>
      </w:r>
      <w:r w:rsidRPr="00671DE4">
        <w:rPr>
          <w:rFonts w:cs="Arial"/>
          <w:rtl/>
        </w:rPr>
        <w:t xml:space="preserve"> דשמא עיניה נתנה באחר</w:t>
      </w:r>
      <w:r>
        <w:rPr>
          <w:rFonts w:cs="Arial" w:hint="cs"/>
          <w:rtl/>
        </w:rPr>
        <w:t>,</w:t>
      </w:r>
      <w:r w:rsidRPr="00671DE4">
        <w:rPr>
          <w:rFonts w:cs="Arial"/>
          <w:rtl/>
        </w:rPr>
        <w:t xml:space="preserve"> אבל אבדה כתובתה עיקר ותוספת</w:t>
      </w:r>
      <w:r>
        <w:rPr>
          <w:rStyle w:val="a7"/>
          <w:rFonts w:cs="Arial"/>
          <w:rtl/>
        </w:rPr>
        <w:footnoteReference w:id="3166"/>
      </w:r>
      <w:r w:rsidRPr="00671DE4">
        <w:rPr>
          <w:rFonts w:cs="Arial"/>
          <w:rtl/>
        </w:rPr>
        <w:t xml:space="preserve"> ומה שאינו בעין ממה שהכניסה לו</w:t>
      </w:r>
      <w:r>
        <w:rPr>
          <w:rStyle w:val="a7"/>
          <w:rFonts w:cs="Arial"/>
          <w:rtl/>
        </w:rPr>
        <w:footnoteReference w:id="3167"/>
      </w:r>
      <w:r>
        <w:rPr>
          <w:rFonts w:cs="Arial" w:hint="cs"/>
          <w:rtl/>
        </w:rPr>
        <w:t>.</w:t>
      </w:r>
      <w:r w:rsidRPr="00671DE4">
        <w:rPr>
          <w:rFonts w:cs="Arial"/>
          <w:rtl/>
        </w:rPr>
        <w:t xml:space="preserve"> אבל אם נאנסה </w:t>
      </w:r>
      <w:r>
        <w:rPr>
          <w:rFonts w:cs="Arial" w:hint="cs"/>
          <w:rtl/>
        </w:rPr>
        <w:t xml:space="preserve">- </w:t>
      </w:r>
      <w:r w:rsidRPr="00671DE4">
        <w:rPr>
          <w:rFonts w:cs="Arial"/>
          <w:rtl/>
        </w:rPr>
        <w:t>לא הפסידה כתובתה</w:t>
      </w:r>
      <w:r>
        <w:rPr>
          <w:rFonts w:cs="Arial" w:hint="cs"/>
          <w:rtl/>
        </w:rPr>
        <w:t>,</w:t>
      </w:r>
      <w:r w:rsidRPr="00671DE4">
        <w:rPr>
          <w:rFonts w:cs="Arial"/>
          <w:rtl/>
        </w:rPr>
        <w:t xml:space="preserve"> לא אשת ישראל ולא אשת כהן</w:t>
      </w:r>
      <w:r>
        <w:rPr>
          <w:rFonts w:cs="Arial" w:hint="cs"/>
          <w:sz w:val="16"/>
          <w:szCs w:val="16"/>
          <w:rtl/>
        </w:rPr>
        <w:t xml:space="preserve"> (ל' הטור)</w:t>
      </w:r>
      <w:r>
        <w:rPr>
          <w:rFonts w:cs="Arial" w:hint="cs"/>
          <w:rtl/>
        </w:rPr>
        <w:t>.</w:t>
      </w:r>
      <w:r w:rsidRPr="00671DE4">
        <w:rPr>
          <w:rFonts w:cs="Arial"/>
          <w:rtl/>
        </w:rPr>
        <w:t xml:space="preserve"> </w:t>
      </w:r>
      <w:r w:rsidRPr="008C7592">
        <w:rPr>
          <w:rFonts w:hint="cs"/>
          <w:color w:val="E36C0A" w:themeColor="accent6" w:themeShade="BF"/>
          <w:rtl/>
        </w:rPr>
        <w:t>(וכ"פ בשו"ע)</w:t>
      </w:r>
    </w:p>
    <w:p w14:paraId="02CAD3FC" w14:textId="77777777" w:rsidR="002E5BAD" w:rsidRPr="00BD6E5D" w:rsidRDefault="002E5BAD" w:rsidP="002E5BAD">
      <w:pPr>
        <w:ind w:left="360"/>
        <w:rPr>
          <w:u w:val="dotted"/>
        </w:rPr>
      </w:pPr>
      <w:r w:rsidRPr="00BD6E5D">
        <w:rPr>
          <w:rFonts w:hint="cs"/>
          <w:u w:val="dotted"/>
          <w:rtl/>
        </w:rPr>
        <w:t>ומה הדין אם יש רגלי</w:t>
      </w:r>
      <w:r>
        <w:rPr>
          <w:rFonts w:hint="cs"/>
          <w:u w:val="dotted"/>
          <w:rtl/>
        </w:rPr>
        <w:t>ם</w:t>
      </w:r>
      <w:r w:rsidRPr="00BD6E5D">
        <w:rPr>
          <w:rFonts w:hint="cs"/>
          <w:u w:val="dotted"/>
          <w:rtl/>
        </w:rPr>
        <w:t xml:space="preserve"> לדבר:</w:t>
      </w:r>
      <w:r>
        <w:rPr>
          <w:rFonts w:hint="cs"/>
          <w:rtl/>
        </w:rPr>
        <w:t xml:space="preserve"> </w:t>
      </w:r>
      <w:r w:rsidRPr="00BD6E5D">
        <w:rPr>
          <w:rFonts w:hint="cs"/>
          <w:sz w:val="16"/>
          <w:szCs w:val="16"/>
          <w:rtl/>
        </w:rPr>
        <w:t>(דרכ"מ אות יא)</w:t>
      </w:r>
    </w:p>
    <w:p w14:paraId="3A330D8A" w14:textId="77777777" w:rsidR="002E5BAD" w:rsidRDefault="002E5BAD" w:rsidP="00B75458">
      <w:pPr>
        <w:pStyle w:val="ab"/>
        <w:numPr>
          <w:ilvl w:val="0"/>
          <w:numId w:val="204"/>
        </w:numPr>
      </w:pPr>
      <w:r>
        <w:rPr>
          <w:rFonts w:cs="Arial" w:hint="cs"/>
          <w:rtl/>
        </w:rPr>
        <w:t>הגמ"ר</w:t>
      </w:r>
      <w:r>
        <w:rPr>
          <w:rStyle w:val="a7"/>
          <w:rFonts w:cs="Arial"/>
          <w:rtl/>
        </w:rPr>
        <w:footnoteReference w:id="3168"/>
      </w:r>
      <w:r>
        <w:rPr>
          <w:rFonts w:cs="Arial" w:hint="cs"/>
          <w:rtl/>
        </w:rPr>
        <w:t xml:space="preserve"> </w:t>
      </w:r>
      <w:r w:rsidRPr="00BD6E5D">
        <w:rPr>
          <w:rFonts w:cs="Arial" w:hint="cs"/>
          <w:sz w:val="16"/>
          <w:szCs w:val="16"/>
          <w:rtl/>
        </w:rPr>
        <w:t>(</w:t>
      </w:r>
      <w:r w:rsidRPr="00BD6E5D">
        <w:rPr>
          <w:rFonts w:cs="Arial"/>
          <w:sz w:val="16"/>
          <w:szCs w:val="16"/>
          <w:rtl/>
        </w:rPr>
        <w:t>יבמות סי' קב</w:t>
      </w:r>
      <w:r>
        <w:rPr>
          <w:rFonts w:cs="Arial" w:hint="cs"/>
          <w:sz w:val="16"/>
          <w:szCs w:val="16"/>
          <w:rtl/>
        </w:rPr>
        <w:t>, וכן הוא בקיצור במרדכי [קידושין סי' תקל], כ"כ בשמו הדרכ"מ</w:t>
      </w:r>
      <w:r w:rsidRPr="00BD6E5D">
        <w:rPr>
          <w:rFonts w:cs="Arial"/>
          <w:sz w:val="16"/>
          <w:szCs w:val="16"/>
          <w:rtl/>
        </w:rPr>
        <w:t>)</w:t>
      </w:r>
      <w:r>
        <w:rPr>
          <w:rFonts w:cs="Arial" w:hint="cs"/>
          <w:rtl/>
        </w:rPr>
        <w:t xml:space="preserve"> ו</w:t>
      </w:r>
      <w:r w:rsidRPr="003D0C9A">
        <w:rPr>
          <w:rFonts w:cs="Arial" w:hint="cs"/>
          <w:rtl/>
        </w:rPr>
        <w:t>תרוה"ד</w:t>
      </w:r>
      <w:r w:rsidRPr="003D0C9A">
        <w:rPr>
          <w:rFonts w:cs="Arial"/>
          <w:sz w:val="16"/>
          <w:szCs w:val="16"/>
          <w:rtl/>
        </w:rPr>
        <w:t xml:space="preserve"> </w:t>
      </w:r>
      <w:r w:rsidRPr="003D0C9A">
        <w:rPr>
          <w:rFonts w:cs="Arial" w:hint="cs"/>
          <w:sz w:val="16"/>
          <w:szCs w:val="16"/>
          <w:rtl/>
        </w:rPr>
        <w:t>(</w:t>
      </w:r>
      <w:r w:rsidRPr="003D0C9A">
        <w:rPr>
          <w:rFonts w:cs="Arial"/>
          <w:sz w:val="16"/>
          <w:szCs w:val="16"/>
          <w:rtl/>
        </w:rPr>
        <w:t>פסקי</w:t>
      </w:r>
      <w:r w:rsidRPr="003D0C9A">
        <w:rPr>
          <w:rFonts w:cs="Arial" w:hint="cs"/>
          <w:sz w:val="16"/>
          <w:szCs w:val="16"/>
          <w:rtl/>
        </w:rPr>
        <w:t>ם</w:t>
      </w:r>
      <w:r w:rsidRPr="003D0C9A">
        <w:rPr>
          <w:rFonts w:cs="Arial"/>
          <w:sz w:val="16"/>
          <w:szCs w:val="16"/>
          <w:rtl/>
        </w:rPr>
        <w:t xml:space="preserve"> סי</w:t>
      </w:r>
      <w:r w:rsidRPr="003D0C9A">
        <w:rPr>
          <w:rFonts w:cs="Arial" w:hint="cs"/>
          <w:sz w:val="16"/>
          <w:szCs w:val="16"/>
          <w:rtl/>
        </w:rPr>
        <w:t>'</w:t>
      </w:r>
      <w:r w:rsidRPr="003D0C9A">
        <w:rPr>
          <w:rFonts w:cs="Arial"/>
          <w:sz w:val="16"/>
          <w:szCs w:val="16"/>
          <w:rtl/>
        </w:rPr>
        <w:t xml:space="preserve"> רכב</w:t>
      </w:r>
      <w:r w:rsidRPr="003D0C9A">
        <w:rPr>
          <w:rFonts w:cs="Arial" w:hint="cs"/>
          <w:sz w:val="16"/>
          <w:szCs w:val="16"/>
          <w:rtl/>
        </w:rPr>
        <w:t>)</w:t>
      </w:r>
      <w:r w:rsidRPr="003D0C9A">
        <w:rPr>
          <w:rFonts w:cs="Arial" w:hint="cs"/>
          <w:rtl/>
        </w:rPr>
        <w:t>-</w:t>
      </w:r>
      <w:r w:rsidRPr="003D0C9A">
        <w:rPr>
          <w:rFonts w:cs="Arial"/>
          <w:rtl/>
        </w:rPr>
        <w:t xml:space="preserve"> אם אמרה טמאה אני לך ויש רגלים לדבריה </w:t>
      </w:r>
      <w:r>
        <w:rPr>
          <w:rFonts w:cs="Arial" w:hint="cs"/>
          <w:rtl/>
        </w:rPr>
        <w:t xml:space="preserve">- </w:t>
      </w:r>
      <w:r w:rsidRPr="003D0C9A">
        <w:rPr>
          <w:rFonts w:cs="Arial"/>
          <w:rtl/>
        </w:rPr>
        <w:t>נאמנת</w:t>
      </w:r>
      <w:r w:rsidRPr="003D0C9A">
        <w:rPr>
          <w:rFonts w:cs="Arial" w:hint="cs"/>
          <w:rtl/>
        </w:rPr>
        <w:t xml:space="preserve">. </w:t>
      </w:r>
      <w:r w:rsidRPr="003D0C9A">
        <w:rPr>
          <w:rFonts w:hint="cs"/>
          <w:color w:val="00B0F0"/>
          <w:rtl/>
        </w:rPr>
        <w:t>(וכ"פ הרמ"א)</w:t>
      </w:r>
    </w:p>
    <w:p w14:paraId="539B3A4E" w14:textId="77777777" w:rsidR="002E5BAD" w:rsidRPr="00A8099B" w:rsidRDefault="002E5BAD" w:rsidP="002E5BAD">
      <w:pPr>
        <w:ind w:left="360"/>
        <w:rPr>
          <w:u w:val="dotted"/>
        </w:rPr>
      </w:pPr>
      <w:r w:rsidRPr="00A8099B">
        <w:rPr>
          <w:rFonts w:hint="cs"/>
          <w:u w:val="dotted"/>
          <w:rtl/>
        </w:rPr>
        <w:t>האם אבדה כתובתה אע"ג ד</w:t>
      </w:r>
      <w:r>
        <w:rPr>
          <w:rFonts w:hint="cs"/>
          <w:u w:val="dotted"/>
          <w:rtl/>
        </w:rPr>
        <w:t>חזרה בה ו</w:t>
      </w:r>
      <w:r w:rsidRPr="00A8099B">
        <w:rPr>
          <w:rFonts w:hint="cs"/>
          <w:u w:val="dotted"/>
          <w:rtl/>
        </w:rPr>
        <w:t>נתנה אמתלה לדבריה:</w:t>
      </w:r>
      <w:r>
        <w:rPr>
          <w:rFonts w:hint="cs"/>
          <w:sz w:val="16"/>
          <w:szCs w:val="16"/>
          <w:rtl/>
        </w:rPr>
        <w:t xml:space="preserve"> </w:t>
      </w:r>
      <w:r w:rsidRPr="00BD6E5D">
        <w:rPr>
          <w:rFonts w:hint="cs"/>
          <w:sz w:val="16"/>
          <w:szCs w:val="16"/>
          <w:rtl/>
        </w:rPr>
        <w:t>(דרכ"מ אות יא)</w:t>
      </w:r>
    </w:p>
    <w:p w14:paraId="0518A4A5" w14:textId="77777777" w:rsidR="002E5BAD" w:rsidRDefault="002E5BAD" w:rsidP="00B75458">
      <w:pPr>
        <w:pStyle w:val="ab"/>
        <w:numPr>
          <w:ilvl w:val="0"/>
          <w:numId w:val="204"/>
        </w:numPr>
      </w:pPr>
      <w:r>
        <w:rPr>
          <w:rFonts w:cs="Arial" w:hint="cs"/>
          <w:rtl/>
        </w:rPr>
        <w:t xml:space="preserve">הגמ"ר </w:t>
      </w:r>
      <w:r w:rsidRPr="00A8099B">
        <w:rPr>
          <w:rFonts w:cs="Arial" w:hint="cs"/>
          <w:sz w:val="16"/>
          <w:szCs w:val="16"/>
          <w:rtl/>
        </w:rPr>
        <w:t>(</w:t>
      </w:r>
      <w:r w:rsidRPr="00A8099B">
        <w:rPr>
          <w:rFonts w:cs="Arial"/>
          <w:sz w:val="16"/>
          <w:szCs w:val="16"/>
          <w:rtl/>
        </w:rPr>
        <w:t>קידושין סי' תקמז)</w:t>
      </w:r>
      <w:r>
        <w:rPr>
          <w:rFonts w:cs="Arial" w:hint="cs"/>
          <w:rtl/>
        </w:rPr>
        <w:t>-</w:t>
      </w:r>
      <w:r w:rsidRPr="00E069A0">
        <w:rPr>
          <w:rFonts w:cs="Arial"/>
          <w:rtl/>
        </w:rPr>
        <w:t xml:space="preserve"> דוקא דלא נתנה אמתלא לדבריה למה אמרה כן</w:t>
      </w:r>
      <w:r>
        <w:rPr>
          <w:rFonts w:cs="Arial" w:hint="cs"/>
          <w:rtl/>
        </w:rPr>
        <w:t>,</w:t>
      </w:r>
      <w:r w:rsidRPr="00E069A0">
        <w:rPr>
          <w:rFonts w:cs="Arial"/>
          <w:rtl/>
        </w:rPr>
        <w:t xml:space="preserve"> אבל אם נתנה אמתלא לדבריה </w:t>
      </w:r>
      <w:r>
        <w:rPr>
          <w:rFonts w:cs="Arial" w:hint="cs"/>
          <w:rtl/>
        </w:rPr>
        <w:t xml:space="preserve">- </w:t>
      </w:r>
      <w:r w:rsidRPr="00E069A0">
        <w:rPr>
          <w:rFonts w:cs="Arial"/>
          <w:rtl/>
        </w:rPr>
        <w:t xml:space="preserve">נאמנת ולא אבדה כלום. </w:t>
      </w:r>
      <w:r w:rsidRPr="003D0C9A">
        <w:rPr>
          <w:rFonts w:hint="cs"/>
          <w:color w:val="00B0F0"/>
          <w:rtl/>
        </w:rPr>
        <w:t>(וכ"פ הרמ"א)</w:t>
      </w:r>
    </w:p>
    <w:p w14:paraId="1D710D68" w14:textId="77777777" w:rsidR="002E5BAD" w:rsidRPr="002A30B2" w:rsidRDefault="002E5BAD" w:rsidP="002E5BAD">
      <w:pPr>
        <w:rPr>
          <w:rFonts w:cs="Arial"/>
          <w:rtl/>
        </w:rPr>
      </w:pPr>
      <w:r w:rsidRPr="002A30B2">
        <w:rPr>
          <w:rFonts w:cs="Arial"/>
          <w:b/>
          <w:bCs/>
          <w:rtl/>
        </w:rPr>
        <w:t>קידושין</w:t>
      </w:r>
      <w:r w:rsidRPr="002A30B2">
        <w:rPr>
          <w:rFonts w:cs="Arial"/>
          <w:b/>
          <w:bCs/>
          <w:sz w:val="16"/>
          <w:szCs w:val="16"/>
          <w:rtl/>
        </w:rPr>
        <w:t xml:space="preserve"> </w:t>
      </w:r>
      <w:r w:rsidRPr="002A30B2">
        <w:rPr>
          <w:rFonts w:cs="Arial" w:hint="cs"/>
          <w:b/>
          <w:bCs/>
          <w:sz w:val="16"/>
          <w:szCs w:val="16"/>
          <w:rtl/>
        </w:rPr>
        <w:t>(ס"פ</w:t>
      </w:r>
      <w:r w:rsidRPr="002A30B2">
        <w:rPr>
          <w:rFonts w:cs="Arial"/>
          <w:b/>
          <w:bCs/>
          <w:sz w:val="16"/>
          <w:szCs w:val="16"/>
          <w:rtl/>
        </w:rPr>
        <w:t xml:space="preserve"> האומר</w:t>
      </w:r>
      <w:r w:rsidRPr="002A30B2">
        <w:rPr>
          <w:rFonts w:cs="Arial" w:hint="cs"/>
          <w:b/>
          <w:bCs/>
          <w:sz w:val="16"/>
          <w:szCs w:val="16"/>
          <w:rtl/>
        </w:rPr>
        <w:t>)</w:t>
      </w:r>
      <w:r w:rsidRPr="002A30B2">
        <w:rPr>
          <w:rFonts w:cs="Arial"/>
          <w:b/>
          <w:bCs/>
          <w:rtl/>
        </w:rPr>
        <w:t xml:space="preserve"> סו</w:t>
      </w:r>
      <w:r w:rsidRPr="002A30B2">
        <w:rPr>
          <w:rFonts w:cs="Arial" w:hint="cs"/>
          <w:b/>
          <w:bCs/>
          <w:rtl/>
        </w:rPr>
        <w:t xml:space="preserve"> ע"א:</w:t>
      </w:r>
      <w:r w:rsidRPr="002A30B2">
        <w:rPr>
          <w:rFonts w:cs="Arial"/>
          <w:rtl/>
        </w:rPr>
        <w:t xml:space="preserve"> איבעיא להו: אשתו זינתה בעד אחד, ושותק, מהו? </w:t>
      </w:r>
      <w:r w:rsidRPr="002A30B2">
        <w:rPr>
          <w:rFonts w:cs="Arial"/>
          <w:u w:val="single"/>
          <w:rtl/>
        </w:rPr>
        <w:t>אמר אביי</w:t>
      </w:r>
      <w:r w:rsidRPr="002A30B2">
        <w:rPr>
          <w:rFonts w:cs="Arial"/>
          <w:rtl/>
        </w:rPr>
        <w:t>: נאמן</w:t>
      </w:r>
      <w:r w:rsidRPr="002A30B2">
        <w:rPr>
          <w:rFonts w:cs="Arial" w:hint="cs"/>
          <w:rtl/>
        </w:rPr>
        <w:t>.</w:t>
      </w:r>
      <w:r w:rsidRPr="002A30B2">
        <w:rPr>
          <w:rFonts w:cs="Arial"/>
          <w:rtl/>
        </w:rPr>
        <w:t xml:space="preserve"> </w:t>
      </w:r>
      <w:r w:rsidRPr="002A30B2">
        <w:rPr>
          <w:rFonts w:cs="Arial"/>
          <w:u w:val="single"/>
          <w:rtl/>
        </w:rPr>
        <w:t>רבא אמר</w:t>
      </w:r>
      <w:r w:rsidRPr="002A30B2">
        <w:rPr>
          <w:rFonts w:cs="Arial"/>
          <w:rtl/>
        </w:rPr>
        <w:t xml:space="preserve">: אינו נאמן, הוי דבר שבערוה, ואין דבר שבערוה פחות משנים. </w:t>
      </w:r>
      <w:r w:rsidRPr="002A30B2">
        <w:rPr>
          <w:rFonts w:cs="Arial"/>
          <w:u w:val="single"/>
          <w:rtl/>
        </w:rPr>
        <w:t>אמר אביי</w:t>
      </w:r>
      <w:r w:rsidRPr="002A30B2">
        <w:rPr>
          <w:rFonts w:cs="Arial"/>
          <w:rtl/>
        </w:rPr>
        <w:t xml:space="preserve">: מנא אמינא לה? דההוא סמיא דהוה מסדר מתנייתא קמיה דמר שמואל, יומא חד נגה ליה ולא הוה קאתי, שדר שליחא אבתריה. אדאזיל שליח בחדא אורחא, אתא איהו בחדא. כי אתא שליח, אמר: אשתו זינתה, אתא לקמיה דמר שמואל, א"ל: אי מהימן לך </w:t>
      </w:r>
      <w:r>
        <w:rPr>
          <w:rFonts w:cs="Arial" w:hint="cs"/>
          <w:rtl/>
        </w:rPr>
        <w:t xml:space="preserve">- </w:t>
      </w:r>
      <w:r w:rsidRPr="002A30B2">
        <w:rPr>
          <w:rFonts w:cs="Arial"/>
          <w:rtl/>
        </w:rPr>
        <w:t>זיל אפקה, ואי לא - לא תפיק</w:t>
      </w:r>
      <w:r>
        <w:rPr>
          <w:rFonts w:cs="Arial" w:hint="cs"/>
          <w:rtl/>
        </w:rPr>
        <w:t>.</w:t>
      </w:r>
      <w:r w:rsidRPr="002A30B2">
        <w:rPr>
          <w:rFonts w:cs="Arial"/>
          <w:rtl/>
        </w:rPr>
        <w:t xml:space="preserve"> מאי לאו אי מהימן עלך דלאו גזלנא הוא. ורבא? אי מהימן לך כבי תרי </w:t>
      </w:r>
      <w:r>
        <w:rPr>
          <w:rFonts w:cs="Arial" w:hint="cs"/>
          <w:rtl/>
        </w:rPr>
        <w:t xml:space="preserve">- </w:t>
      </w:r>
      <w:r w:rsidRPr="002A30B2">
        <w:rPr>
          <w:rFonts w:cs="Arial"/>
          <w:rtl/>
        </w:rPr>
        <w:t xml:space="preserve">זיל אפקה, ואי לא - לא תפקה. </w:t>
      </w:r>
    </w:p>
    <w:p w14:paraId="151C22DB" w14:textId="77777777" w:rsidR="002E5BAD" w:rsidRPr="003131E2" w:rsidRDefault="002E5BAD" w:rsidP="002E5BAD">
      <w:r w:rsidRPr="003131E2">
        <w:rPr>
          <w:rFonts w:hint="cs"/>
          <w:u w:val="single"/>
          <w:rtl/>
        </w:rPr>
        <w:t xml:space="preserve">אשה שאמרה שזינתה </w:t>
      </w:r>
      <w:r w:rsidRPr="003131E2">
        <w:rPr>
          <w:u w:val="single"/>
          <w:rtl/>
        </w:rPr>
        <w:t>–</w:t>
      </w:r>
      <w:r w:rsidRPr="003131E2">
        <w:rPr>
          <w:rFonts w:hint="cs"/>
          <w:u w:val="single"/>
          <w:rtl/>
        </w:rPr>
        <w:t xml:space="preserve"> ו</w:t>
      </w:r>
      <w:r>
        <w:rPr>
          <w:rFonts w:hint="cs"/>
          <w:u w:val="single"/>
          <w:rtl/>
        </w:rPr>
        <w:t>יש</w:t>
      </w:r>
      <w:r w:rsidRPr="003131E2">
        <w:rPr>
          <w:rFonts w:hint="cs"/>
          <w:u w:val="single"/>
          <w:rtl/>
        </w:rPr>
        <w:t xml:space="preserve"> עד</w:t>
      </w:r>
      <w:r>
        <w:rPr>
          <w:rFonts w:hint="cs"/>
          <w:u w:val="single"/>
          <w:rtl/>
        </w:rPr>
        <w:t xml:space="preserve"> אחד</w:t>
      </w:r>
      <w:r w:rsidRPr="003131E2">
        <w:rPr>
          <w:rFonts w:hint="cs"/>
          <w:u w:val="single"/>
          <w:rtl/>
        </w:rPr>
        <w:t xml:space="preserve"> בדב</w:t>
      </w:r>
      <w:r>
        <w:rPr>
          <w:rFonts w:hint="cs"/>
          <w:u w:val="single"/>
          <w:rtl/>
        </w:rPr>
        <w:t>ר</w:t>
      </w:r>
      <w:r>
        <w:rPr>
          <w:rFonts w:hint="cs"/>
          <w:sz w:val="16"/>
          <w:szCs w:val="16"/>
          <w:u w:val="single"/>
          <w:rtl/>
        </w:rPr>
        <w:t xml:space="preserve"> (והאשה מכחישה את העד, דרכ"מ [אות יד])</w:t>
      </w:r>
      <w:r w:rsidRPr="003131E2">
        <w:rPr>
          <w:rFonts w:hint="cs"/>
          <w:u w:val="single"/>
          <w:rtl/>
        </w:rPr>
        <w:t>:</w:t>
      </w:r>
    </w:p>
    <w:p w14:paraId="7371D764" w14:textId="77777777" w:rsidR="002E5BAD" w:rsidRPr="002A30B2" w:rsidRDefault="002E5BAD" w:rsidP="00B75458">
      <w:pPr>
        <w:pStyle w:val="ab"/>
        <w:numPr>
          <w:ilvl w:val="0"/>
          <w:numId w:val="204"/>
        </w:numPr>
      </w:pPr>
      <w:r>
        <w:rPr>
          <w:rFonts w:cs="Arial" w:hint="cs"/>
          <w:rtl/>
        </w:rPr>
        <w:t xml:space="preserve">טור- </w:t>
      </w:r>
      <w:r w:rsidRPr="00671DE4">
        <w:rPr>
          <w:rFonts w:cs="Arial"/>
          <w:rtl/>
        </w:rPr>
        <w:t xml:space="preserve">ואם יש עד אחד שזינתה </w:t>
      </w:r>
      <w:r>
        <w:rPr>
          <w:rFonts w:cs="Arial" w:hint="cs"/>
          <w:rtl/>
        </w:rPr>
        <w:t xml:space="preserve">- </w:t>
      </w:r>
      <w:r w:rsidRPr="00671DE4">
        <w:rPr>
          <w:rFonts w:cs="Arial"/>
          <w:rtl/>
        </w:rPr>
        <w:t>אינו חייב להוציאה בדיני אדם</w:t>
      </w:r>
      <w:r>
        <w:rPr>
          <w:rFonts w:cs="Arial" w:hint="cs"/>
          <w:rtl/>
        </w:rPr>
        <w:t>,</w:t>
      </w:r>
      <w:r w:rsidRPr="00671DE4">
        <w:rPr>
          <w:rFonts w:cs="Arial"/>
          <w:rtl/>
        </w:rPr>
        <w:t xml:space="preserve"> אבל משום לזות שפתים אסור לו לעמוד עמה אם הוא סומך עליו</w:t>
      </w:r>
      <w:r>
        <w:rPr>
          <w:rFonts w:cs="Arial" w:hint="cs"/>
          <w:rtl/>
        </w:rPr>
        <w:t xml:space="preserve"> ו</w:t>
      </w:r>
      <w:r w:rsidRPr="00671DE4">
        <w:rPr>
          <w:rFonts w:cs="Arial"/>
          <w:rtl/>
        </w:rPr>
        <w:t>מהימן ליה כבי תרי וצריך ליתן לה כתובה</w:t>
      </w:r>
      <w:r>
        <w:rPr>
          <w:rFonts w:cs="Arial" w:hint="cs"/>
          <w:rtl/>
        </w:rPr>
        <w:t>.</w:t>
      </w:r>
      <w:r w:rsidRPr="00671DE4">
        <w:rPr>
          <w:rFonts w:cs="Arial"/>
          <w:rtl/>
        </w:rPr>
        <w:t xml:space="preserve"> </w:t>
      </w:r>
    </w:p>
    <w:p w14:paraId="7160FB21" w14:textId="77777777" w:rsidR="002E5BAD" w:rsidRPr="008E63E3" w:rsidRDefault="002E5BAD" w:rsidP="00B75458">
      <w:pPr>
        <w:pStyle w:val="ab"/>
        <w:numPr>
          <w:ilvl w:val="0"/>
          <w:numId w:val="204"/>
        </w:numPr>
      </w:pPr>
      <w:r w:rsidRPr="002A30B2">
        <w:rPr>
          <w:rFonts w:cs="Arial"/>
          <w:rtl/>
        </w:rPr>
        <w:lastRenderedPageBreak/>
        <w:t xml:space="preserve">רי"ף </w:t>
      </w:r>
      <w:r w:rsidRPr="00AD45E4">
        <w:rPr>
          <w:rFonts w:cs="Arial"/>
          <w:sz w:val="16"/>
          <w:szCs w:val="16"/>
          <w:rtl/>
        </w:rPr>
        <w:t>(כח:)</w:t>
      </w:r>
      <w:r w:rsidRPr="002A30B2">
        <w:rPr>
          <w:rFonts w:cs="Arial"/>
          <w:rtl/>
        </w:rPr>
        <w:t xml:space="preserve"> </w:t>
      </w:r>
      <w:r>
        <w:rPr>
          <w:rFonts w:cs="Arial" w:hint="cs"/>
          <w:rtl/>
        </w:rPr>
        <w:t>רמב"ם</w:t>
      </w:r>
      <w:r>
        <w:rPr>
          <w:rStyle w:val="a7"/>
          <w:rFonts w:cs="Arial"/>
          <w:rtl/>
        </w:rPr>
        <w:footnoteReference w:id="3169"/>
      </w:r>
      <w:r>
        <w:rPr>
          <w:rFonts w:cs="Arial" w:hint="cs"/>
          <w:rtl/>
        </w:rPr>
        <w:t xml:space="preserve"> </w:t>
      </w:r>
      <w:r>
        <w:rPr>
          <w:rFonts w:cs="Arial" w:hint="cs"/>
          <w:sz w:val="16"/>
          <w:szCs w:val="16"/>
          <w:rtl/>
        </w:rPr>
        <w:t>(פכ"ד מאישות הי"ז)</w:t>
      </w:r>
      <w:r>
        <w:rPr>
          <w:rFonts w:cs="Arial" w:hint="cs"/>
          <w:rtl/>
        </w:rPr>
        <w:t xml:space="preserve"> </w:t>
      </w:r>
      <w:r w:rsidRPr="002A30B2">
        <w:rPr>
          <w:rFonts w:cs="Arial"/>
          <w:rtl/>
        </w:rPr>
        <w:t xml:space="preserve">ורא"ש </w:t>
      </w:r>
      <w:r w:rsidRPr="00AD45E4">
        <w:rPr>
          <w:rFonts w:cs="Arial"/>
          <w:sz w:val="16"/>
          <w:szCs w:val="16"/>
          <w:rtl/>
        </w:rPr>
        <w:t>(סי' טו)</w:t>
      </w:r>
      <w:r w:rsidRPr="002A30B2">
        <w:rPr>
          <w:rFonts w:cs="Arial" w:hint="cs"/>
          <w:rtl/>
        </w:rPr>
        <w:t xml:space="preserve">- </w:t>
      </w:r>
      <w:r w:rsidRPr="002A30B2">
        <w:rPr>
          <w:rFonts w:cs="Arial"/>
          <w:rtl/>
        </w:rPr>
        <w:t>זינתה אשתו בעד אחד</w:t>
      </w:r>
      <w:r>
        <w:rPr>
          <w:rStyle w:val="a7"/>
          <w:rFonts w:cs="Arial"/>
          <w:rtl/>
        </w:rPr>
        <w:footnoteReference w:id="3170"/>
      </w:r>
      <w:r w:rsidRPr="002A30B2">
        <w:rPr>
          <w:rFonts w:cs="Arial"/>
          <w:rtl/>
        </w:rPr>
        <w:t xml:space="preserve"> </w:t>
      </w:r>
      <w:r w:rsidRPr="002A30B2">
        <w:rPr>
          <w:rFonts w:cs="Arial" w:hint="cs"/>
          <w:rtl/>
        </w:rPr>
        <w:t xml:space="preserve">- </w:t>
      </w:r>
      <w:r w:rsidRPr="002A30B2">
        <w:rPr>
          <w:rFonts w:cs="Arial"/>
          <w:rtl/>
        </w:rPr>
        <w:t>הוי דבר שבערוה ואין דבר שבערוה פחות משנים</w:t>
      </w:r>
      <w:r w:rsidRPr="002A30B2">
        <w:rPr>
          <w:rFonts w:cs="Arial" w:hint="cs"/>
          <w:rtl/>
        </w:rPr>
        <w:t>.</w:t>
      </w:r>
      <w:r w:rsidRPr="002A30B2">
        <w:rPr>
          <w:rFonts w:cs="Arial"/>
          <w:rtl/>
        </w:rPr>
        <w:t xml:space="preserve"> והני מילי בדיני אדם</w:t>
      </w:r>
      <w:r>
        <w:rPr>
          <w:rFonts w:cs="Arial" w:hint="cs"/>
          <w:rtl/>
        </w:rPr>
        <w:t>,</w:t>
      </w:r>
      <w:r w:rsidRPr="002A30B2">
        <w:rPr>
          <w:rFonts w:cs="Arial"/>
          <w:rtl/>
        </w:rPr>
        <w:t xml:space="preserve"> אבל בבא לצאת ידי שמים אי מהימן ליה כבי תרי </w:t>
      </w:r>
      <w:r>
        <w:rPr>
          <w:rFonts w:cs="Arial" w:hint="cs"/>
          <w:rtl/>
        </w:rPr>
        <w:t xml:space="preserve">- </w:t>
      </w:r>
      <w:r w:rsidRPr="002A30B2">
        <w:rPr>
          <w:rFonts w:cs="Arial"/>
          <w:rtl/>
        </w:rPr>
        <w:t>חייב לאפוקה ולמיהב לה כתובה</w:t>
      </w:r>
      <w:r>
        <w:rPr>
          <w:rStyle w:val="a7"/>
          <w:rFonts w:cs="Arial"/>
          <w:rtl/>
        </w:rPr>
        <w:footnoteReference w:id="3171"/>
      </w:r>
      <w:r>
        <w:rPr>
          <w:rFonts w:cs="Arial" w:hint="cs"/>
          <w:sz w:val="16"/>
          <w:szCs w:val="16"/>
          <w:rtl/>
        </w:rPr>
        <w:t>(ל' הב"י בשם הרי"ף והרא"ש)</w:t>
      </w:r>
      <w:r w:rsidRPr="002A30B2">
        <w:rPr>
          <w:rFonts w:cs="Arial"/>
          <w:rtl/>
        </w:rPr>
        <w:t xml:space="preserve">. </w:t>
      </w:r>
      <w:r w:rsidRPr="008C7592">
        <w:rPr>
          <w:rFonts w:hint="cs"/>
          <w:color w:val="E36C0A" w:themeColor="accent6" w:themeShade="BF"/>
          <w:rtl/>
        </w:rPr>
        <w:t>(וכ"פ בשו"ע</w:t>
      </w:r>
      <w:r>
        <w:rPr>
          <w:rFonts w:hint="cs"/>
          <w:color w:val="E36C0A" w:themeColor="accent6" w:themeShade="BF"/>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B33253">
        <w:rPr>
          <w:rFonts w:hint="cs"/>
          <w:color w:val="000000" w:themeColor="text1"/>
          <w:sz w:val="16"/>
          <w:szCs w:val="16"/>
          <w:rtl/>
        </w:rPr>
        <w:t>]</w:t>
      </w:r>
      <w:r w:rsidRPr="008C7592">
        <w:rPr>
          <w:rFonts w:hint="cs"/>
          <w:color w:val="E36C0A" w:themeColor="accent6" w:themeShade="BF"/>
          <w:rtl/>
        </w:rPr>
        <w:t>)</w:t>
      </w:r>
    </w:p>
    <w:p w14:paraId="308F1F18" w14:textId="77777777" w:rsidR="002E5BAD" w:rsidRDefault="002E5BAD" w:rsidP="00B75458">
      <w:pPr>
        <w:pStyle w:val="ab"/>
        <w:numPr>
          <w:ilvl w:val="0"/>
          <w:numId w:val="204"/>
        </w:numPr>
      </w:pPr>
      <w:r w:rsidRPr="008E63E3">
        <w:rPr>
          <w:rFonts w:cs="Arial"/>
          <w:rtl/>
        </w:rPr>
        <w:t>רשב"א</w:t>
      </w:r>
      <w:r>
        <w:rPr>
          <w:rFonts w:cs="Arial" w:hint="cs"/>
          <w:rtl/>
        </w:rPr>
        <w:t xml:space="preserve"> </w:t>
      </w:r>
      <w:r w:rsidRPr="008E63E3">
        <w:rPr>
          <w:rFonts w:cs="Arial"/>
          <w:sz w:val="16"/>
          <w:szCs w:val="16"/>
          <w:rtl/>
        </w:rPr>
        <w:t>(ח"א</w:t>
      </w:r>
      <w:r w:rsidRPr="008E63E3">
        <w:rPr>
          <w:rFonts w:cs="Arial" w:hint="cs"/>
          <w:sz w:val="16"/>
          <w:szCs w:val="16"/>
          <w:rtl/>
        </w:rPr>
        <w:t xml:space="preserve"> </w:t>
      </w:r>
      <w:r w:rsidRPr="008E63E3">
        <w:rPr>
          <w:rFonts w:cs="Arial"/>
          <w:sz w:val="16"/>
          <w:szCs w:val="16"/>
          <w:rtl/>
        </w:rPr>
        <w:t>סי</w:t>
      </w:r>
      <w:r w:rsidRPr="008E63E3">
        <w:rPr>
          <w:rFonts w:cs="Arial" w:hint="cs"/>
          <w:sz w:val="16"/>
          <w:szCs w:val="16"/>
          <w:rtl/>
        </w:rPr>
        <w:t>'</w:t>
      </w:r>
      <w:r w:rsidRPr="008E63E3">
        <w:rPr>
          <w:rFonts w:cs="Arial"/>
          <w:sz w:val="16"/>
          <w:szCs w:val="16"/>
          <w:rtl/>
        </w:rPr>
        <w:t xml:space="preserve"> רמט</w:t>
      </w:r>
      <w:r w:rsidRPr="008E63E3">
        <w:rPr>
          <w:rFonts w:cs="Arial" w:hint="cs"/>
          <w:sz w:val="16"/>
          <w:szCs w:val="16"/>
          <w:rtl/>
        </w:rPr>
        <w:t>)</w:t>
      </w:r>
      <w:r>
        <w:rPr>
          <w:rFonts w:cs="Arial" w:hint="cs"/>
          <w:rtl/>
        </w:rPr>
        <w:t>-</w:t>
      </w:r>
      <w:r w:rsidRPr="008E63E3">
        <w:rPr>
          <w:rFonts w:cs="Arial"/>
          <w:rtl/>
        </w:rPr>
        <w:t xml:space="preserve"> מה שכתב הרמב"ם (שם) שאם א"ל א' מקרוביו שהוא מאמינם שזינתה אשתו הרי הוא חייב להוציאה ואסור לו לבא עליה </w:t>
      </w:r>
      <w:r>
        <w:rPr>
          <w:rFonts w:cs="Arial" w:hint="cs"/>
          <w:rtl/>
        </w:rPr>
        <w:t xml:space="preserve">- </w:t>
      </w:r>
      <w:r w:rsidRPr="008E63E3">
        <w:rPr>
          <w:rFonts w:cs="Arial"/>
          <w:rtl/>
        </w:rPr>
        <w:t>לא נתחוורו לי דבריו בזה</w:t>
      </w:r>
      <w:r>
        <w:rPr>
          <w:rFonts w:cs="Arial" w:hint="cs"/>
          <w:rtl/>
        </w:rPr>
        <w:t>.</w:t>
      </w:r>
      <w:r w:rsidRPr="00E34FAE">
        <w:rPr>
          <w:rFonts w:cs="Arial"/>
          <w:rtl/>
        </w:rPr>
        <w:t xml:space="preserve"> </w:t>
      </w:r>
      <w:r>
        <w:rPr>
          <w:rStyle w:val="a7"/>
          <w:rFonts w:cs="Arial"/>
          <w:rtl/>
        </w:rPr>
        <w:footnoteReference w:id="3172"/>
      </w:r>
      <w:r>
        <w:rPr>
          <w:rFonts w:cs="Arial" w:hint="cs"/>
          <w:rtl/>
        </w:rPr>
        <w:t>ש</w:t>
      </w:r>
      <w:r w:rsidRPr="00E34FAE">
        <w:rPr>
          <w:rFonts w:cs="Arial"/>
          <w:rtl/>
        </w:rPr>
        <w:t>אפילו כשר שבכשרים שהעיד עליה שזינתה עם אחר אינו נאמן כדאמרן שאין דבר שבערוה פחות משנים. ומה שטען שהוא מאמין אותו האיש במה שהעיז פניו אין מקבלין ממנו דמתוך שהרגיל קטטה שקורי משקר וכמו שכתבתי. ועוד דמסתבר לי דלא אמרינן אי מהימן לך אלא בשאינה מכחישתו אלא שותקת</w:t>
      </w:r>
      <w:r w:rsidRPr="00E34FAE">
        <w:rPr>
          <w:rFonts w:cs="Arial" w:hint="cs"/>
          <w:rtl/>
        </w:rPr>
        <w:t>,</w:t>
      </w:r>
      <w:r w:rsidRPr="00E34FAE">
        <w:rPr>
          <w:rFonts w:cs="Arial"/>
          <w:rtl/>
        </w:rPr>
        <w:t xml:space="preserve"> הא מכחישתו לא. דעד אחד בהכחשה אפילו בעלמא לא כלום הוא וכל שכן בדבר שבערוה</w:t>
      </w:r>
      <w:r>
        <w:rPr>
          <w:rFonts w:hint="cs"/>
          <w:rtl/>
        </w:rPr>
        <w:t>...</w:t>
      </w:r>
      <w:r w:rsidRPr="00413A8E">
        <w:rPr>
          <w:rtl/>
        </w:rPr>
        <w:t xml:space="preserve"> </w:t>
      </w:r>
      <w:r w:rsidRPr="00E34FAE">
        <w:rPr>
          <w:rFonts w:cs="Arial"/>
          <w:rtl/>
        </w:rPr>
        <w:t xml:space="preserve">ועוד מצד מה שאמרת דכל מה שנתן עיניו לגרשה </w:t>
      </w:r>
      <w:r w:rsidRPr="00E34FAE">
        <w:rPr>
          <w:rFonts w:cs="Arial" w:hint="cs"/>
          <w:rtl/>
        </w:rPr>
        <w:t xml:space="preserve">- </w:t>
      </w:r>
      <w:r w:rsidRPr="00E34FAE">
        <w:rPr>
          <w:rFonts w:cs="Arial"/>
          <w:rtl/>
        </w:rPr>
        <w:t>אנו חוששין לו וחזר זה להיות כמשנה אחרונה דהאומרת טמאה אני לך. דכיון שאינו יכול לגרש אלא מדעתה וכל דאגיד בה לא יהבו ליה אחריתי לפיכך חוששין כמו שחששו באומרת טמאה אני לך. וכל שכן בזה דודאי נתן עיניו באחרת ומחזר לגרש את זו. וקרוב הדבר שאפי' בעונה שהוא משועבד לה מותר</w:t>
      </w:r>
      <w:r w:rsidRPr="00E34FAE">
        <w:rPr>
          <w:rFonts w:cs="Arial" w:hint="cs"/>
          <w:rtl/>
        </w:rPr>
        <w:t>,</w:t>
      </w:r>
      <w:r w:rsidRPr="00E34FAE">
        <w:rPr>
          <w:rFonts w:cs="Arial"/>
          <w:rtl/>
        </w:rPr>
        <w:t xml:space="preserve"> דבית דין מתנין לעקור דבר מן התורה משום מגדר מילתא. וכמו שהתירו באומרת טמאה אני לך כך יש להתיר באומר טמאה היא לי במקום שאי אפשר לגרש אלא בטענה ועל פי בית דין. כדי שלא יהיו בנות ישראל ובני ישראל רגילין בכך. ומכל מקום אפילו ראה לומר שהיא אסורה לו ושוייה אנפשיה חתיכה דאיסורה. הוא יחוש לעצמו ואם תרצה היא למחול על העונה ושלא יוציא בגט יתן לה שאר וכסות כמו שאמרת ויפה אמרת.</w:t>
      </w:r>
    </w:p>
    <w:p w14:paraId="7DA8AA2A" w14:textId="77777777" w:rsidR="002E5BAD" w:rsidRPr="00F124FE" w:rsidRDefault="002E5BAD" w:rsidP="002E5BAD">
      <w:pPr>
        <w:ind w:left="360"/>
        <w:rPr>
          <w:u w:val="dotted"/>
        </w:rPr>
      </w:pPr>
      <w:r w:rsidRPr="00F124FE">
        <w:rPr>
          <w:rFonts w:hint="cs"/>
          <w:u w:val="dotted"/>
          <w:rtl/>
        </w:rPr>
        <w:t xml:space="preserve">לסוברים שצריך להוציאה ולהביא לה כתובה </w:t>
      </w:r>
      <w:r w:rsidRPr="00F124FE">
        <w:rPr>
          <w:u w:val="dotted"/>
          <w:rtl/>
        </w:rPr>
        <w:t>–</w:t>
      </w:r>
      <w:r w:rsidRPr="00F124FE">
        <w:rPr>
          <w:rFonts w:hint="cs"/>
          <w:u w:val="dotted"/>
          <w:rtl/>
        </w:rPr>
        <w:t xml:space="preserve"> האם צריכה להישבע שלא זינתה כדי לקבל כתובתה: </w:t>
      </w:r>
    </w:p>
    <w:p w14:paraId="4A951447" w14:textId="77777777" w:rsidR="002E5BAD" w:rsidRDefault="002E5BAD" w:rsidP="00B75458">
      <w:pPr>
        <w:pStyle w:val="ab"/>
        <w:numPr>
          <w:ilvl w:val="0"/>
          <w:numId w:val="204"/>
        </w:numPr>
      </w:pPr>
      <w:r>
        <w:rPr>
          <w:rFonts w:cs="Arial" w:hint="cs"/>
          <w:rtl/>
        </w:rPr>
        <w:t xml:space="preserve">רמב"ם </w:t>
      </w:r>
      <w:r>
        <w:rPr>
          <w:rFonts w:cs="Arial" w:hint="cs"/>
          <w:sz w:val="16"/>
          <w:szCs w:val="16"/>
          <w:rtl/>
        </w:rPr>
        <w:t>(פכ"ד מאישות הי"ז)</w:t>
      </w:r>
      <w:r>
        <w:rPr>
          <w:rFonts w:cs="Arial" w:hint="cs"/>
          <w:rtl/>
        </w:rPr>
        <w:t xml:space="preserve">- </w:t>
      </w:r>
      <w:r w:rsidRPr="00CA3D71">
        <w:rPr>
          <w:rFonts w:cs="Arial"/>
          <w:rtl/>
        </w:rPr>
        <w:t>מי שראה אשתו שזינת</w:t>
      </w:r>
      <w:r>
        <w:rPr>
          <w:rFonts w:cs="Arial" w:hint="cs"/>
          <w:rtl/>
        </w:rPr>
        <w:t>,</w:t>
      </w:r>
      <w:r w:rsidRPr="00CA3D71">
        <w:rPr>
          <w:rFonts w:cs="Arial"/>
          <w:rtl/>
        </w:rPr>
        <w:t xml:space="preserve"> או שאמר לו אחד מקרוביו או מקרובותיה שהוא מאמינם וסומכת דעתו עליהם שזינת אשתו</w:t>
      </w:r>
      <w:r>
        <w:rPr>
          <w:rFonts w:cs="Arial" w:hint="cs"/>
          <w:rtl/>
        </w:rPr>
        <w:t>,</w:t>
      </w:r>
      <w:r w:rsidRPr="00CA3D71">
        <w:rPr>
          <w:rFonts w:cs="Arial"/>
          <w:rtl/>
        </w:rPr>
        <w:t xml:space="preserve"> בין שהיה האומר איש בין שהיתה אשה הואיל וסמכה דעתו לדבר זה שהוא אמת</w:t>
      </w:r>
      <w:r>
        <w:rPr>
          <w:rFonts w:cs="Arial" w:hint="cs"/>
          <w:rtl/>
        </w:rPr>
        <w:t xml:space="preserve"> -</w:t>
      </w:r>
      <w:r w:rsidRPr="00CA3D71">
        <w:rPr>
          <w:rFonts w:cs="Arial"/>
          <w:rtl/>
        </w:rPr>
        <w:t xml:space="preserve"> הרי זה חייב להוציא ואסור לו לבוא עליה ויתן כתובתה</w:t>
      </w:r>
      <w:r>
        <w:rPr>
          <w:rFonts w:cs="Arial" w:hint="cs"/>
          <w:rtl/>
        </w:rPr>
        <w:t>.</w:t>
      </w:r>
      <w:r w:rsidRPr="00CA3D71">
        <w:rPr>
          <w:rFonts w:cs="Arial"/>
          <w:rtl/>
        </w:rPr>
        <w:t xml:space="preserve"> ואם הודת לו שזינת </w:t>
      </w:r>
      <w:r>
        <w:rPr>
          <w:rFonts w:cs="Arial" w:hint="cs"/>
          <w:rtl/>
        </w:rPr>
        <w:t xml:space="preserve">- </w:t>
      </w:r>
      <w:r w:rsidRPr="00CA3D71">
        <w:rPr>
          <w:rFonts w:cs="Arial"/>
          <w:rtl/>
        </w:rPr>
        <w:t>תצא בלא כתובה</w:t>
      </w:r>
      <w:r>
        <w:rPr>
          <w:rFonts w:cs="Arial" w:hint="cs"/>
          <w:rtl/>
        </w:rPr>
        <w:t>.</w:t>
      </w:r>
      <w:r w:rsidRPr="00CA3D71">
        <w:rPr>
          <w:rFonts w:cs="Arial"/>
          <w:rtl/>
        </w:rPr>
        <w:t xml:space="preserve"> לפיכך משביעה בנקיטת חפץ שלא זינת תחתיו אם ראה אותה בעצמו</w:t>
      </w:r>
      <w:r>
        <w:rPr>
          <w:rFonts w:cs="Arial" w:hint="cs"/>
          <w:rtl/>
        </w:rPr>
        <w:t>,</w:t>
      </w:r>
      <w:r w:rsidRPr="00CA3D71">
        <w:rPr>
          <w:rFonts w:cs="Arial"/>
          <w:rtl/>
        </w:rPr>
        <w:t xml:space="preserve"> ואחר כך תגבה כתובתה</w:t>
      </w:r>
      <w:r>
        <w:rPr>
          <w:rFonts w:cs="Arial" w:hint="cs"/>
          <w:rtl/>
        </w:rPr>
        <w:t>.</w:t>
      </w:r>
      <w:r w:rsidRPr="00CA3D71">
        <w:rPr>
          <w:rFonts w:cs="Arial"/>
          <w:rtl/>
        </w:rPr>
        <w:t xml:space="preserve"> אבל </w:t>
      </w:r>
      <w:r>
        <w:rPr>
          <w:rStyle w:val="a7"/>
          <w:rFonts w:cs="Arial"/>
          <w:rtl/>
        </w:rPr>
        <w:footnoteReference w:id="3173"/>
      </w:r>
      <w:r>
        <w:rPr>
          <w:rFonts w:cs="Arial" w:hint="cs"/>
          <w:rtl/>
        </w:rPr>
        <w:t>ב</w:t>
      </w:r>
      <w:r w:rsidRPr="00CA3D71">
        <w:rPr>
          <w:rFonts w:cs="Arial"/>
          <w:rtl/>
        </w:rPr>
        <w:t>דבר</w:t>
      </w:r>
      <w:r>
        <w:rPr>
          <w:rFonts w:cs="Arial" w:hint="cs"/>
          <w:rtl/>
        </w:rPr>
        <w:t>י</w:t>
      </w:r>
      <w:r w:rsidRPr="00CA3D71">
        <w:rPr>
          <w:rFonts w:cs="Arial"/>
          <w:rtl/>
        </w:rPr>
        <w:t xml:space="preserve"> אחר אינו יכול להשביעה אלא על ידי גלגול</w:t>
      </w:r>
      <w:r>
        <w:rPr>
          <w:rStyle w:val="a7"/>
          <w:rFonts w:cs="Arial"/>
          <w:rtl/>
        </w:rPr>
        <w:footnoteReference w:id="3174"/>
      </w:r>
      <w:r w:rsidRPr="00FA64E7">
        <w:rPr>
          <w:rFonts w:cs="Arial" w:hint="cs"/>
          <w:rtl/>
        </w:rPr>
        <w:t>.</w:t>
      </w:r>
      <w:r>
        <w:rPr>
          <w:rFonts w:hint="cs"/>
          <w:color w:val="E36C0A" w:themeColor="accent6" w:themeShade="BF"/>
          <w:rtl/>
        </w:rPr>
        <w:t xml:space="preserve"> </w:t>
      </w:r>
      <w:r w:rsidRPr="008C7592">
        <w:rPr>
          <w:rFonts w:hint="cs"/>
          <w:color w:val="E36C0A" w:themeColor="accent6" w:themeShade="BF"/>
          <w:rtl/>
        </w:rPr>
        <w:t>(וכ"פ בשו"ע</w:t>
      </w:r>
      <w:r>
        <w:rPr>
          <w:rFonts w:hint="cs"/>
          <w:color w:val="E36C0A" w:themeColor="accent6" w:themeShade="BF"/>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B33253">
        <w:rPr>
          <w:rFonts w:hint="cs"/>
          <w:color w:val="000000" w:themeColor="text1"/>
          <w:sz w:val="16"/>
          <w:szCs w:val="16"/>
          <w:rtl/>
        </w:rPr>
        <w:t>]</w:t>
      </w:r>
      <w:r w:rsidRPr="008C7592">
        <w:rPr>
          <w:rFonts w:hint="cs"/>
          <w:color w:val="E36C0A" w:themeColor="accent6" w:themeShade="BF"/>
          <w:rtl/>
        </w:rPr>
        <w:t>)</w:t>
      </w:r>
    </w:p>
    <w:p w14:paraId="5437CDEB" w14:textId="77777777" w:rsidR="002E5BAD" w:rsidRPr="00B31716" w:rsidRDefault="002E5BAD" w:rsidP="002E5BAD">
      <w:pPr>
        <w:ind w:left="360"/>
      </w:pPr>
      <w:r w:rsidRPr="00B31716">
        <w:rPr>
          <w:rFonts w:cs="Arial" w:hint="cs"/>
          <w:u w:val="dotted"/>
          <w:rtl/>
        </w:rPr>
        <w:t>ומה הדין אם היא מודה לדברי העד:</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 xml:space="preserve">יג) </w:t>
      </w:r>
    </w:p>
    <w:p w14:paraId="7BE3A050" w14:textId="77777777" w:rsidR="002E5BAD" w:rsidRDefault="002E5BAD" w:rsidP="00B75458">
      <w:pPr>
        <w:pStyle w:val="ab"/>
        <w:numPr>
          <w:ilvl w:val="0"/>
          <w:numId w:val="204"/>
        </w:numPr>
      </w:pPr>
      <w:r w:rsidRPr="00E069A0">
        <w:rPr>
          <w:rFonts w:cs="Arial"/>
          <w:rtl/>
        </w:rPr>
        <w:t xml:space="preserve">מרדכי </w:t>
      </w:r>
      <w:r w:rsidRPr="00B31716">
        <w:rPr>
          <w:rFonts w:cs="Arial" w:hint="cs"/>
          <w:sz w:val="16"/>
          <w:szCs w:val="16"/>
          <w:rtl/>
        </w:rPr>
        <w:t>(</w:t>
      </w:r>
      <w:r w:rsidRPr="00B31716">
        <w:rPr>
          <w:rFonts w:cs="Arial"/>
          <w:sz w:val="16"/>
          <w:szCs w:val="16"/>
          <w:rtl/>
        </w:rPr>
        <w:t>ס"פ ב' דיבמות סו"ס טו)</w:t>
      </w:r>
      <w:r>
        <w:rPr>
          <w:rFonts w:cs="Arial" w:hint="cs"/>
          <w:rtl/>
        </w:rPr>
        <w:t>-</w:t>
      </w:r>
      <w:r w:rsidRPr="00E069A0">
        <w:rPr>
          <w:rFonts w:cs="Arial"/>
          <w:rtl/>
        </w:rPr>
        <w:t xml:space="preserve"> עד אחד מעיד עליה שזנתה והיא מודה לדבריו </w:t>
      </w:r>
      <w:r>
        <w:rPr>
          <w:rFonts w:cs="Arial" w:hint="cs"/>
          <w:rtl/>
        </w:rPr>
        <w:t xml:space="preserve">- </w:t>
      </w:r>
      <w:r w:rsidRPr="00E069A0">
        <w:rPr>
          <w:rFonts w:cs="Arial"/>
          <w:rtl/>
        </w:rPr>
        <w:t>הפסידה כתובתה אבל לא נכסיה שהן בעין</w:t>
      </w:r>
      <w:r>
        <w:rPr>
          <w:rFonts w:cs="Arial" w:hint="cs"/>
          <w:rtl/>
        </w:rPr>
        <w:t>.</w:t>
      </w:r>
    </w:p>
    <w:p w14:paraId="668A0523" w14:textId="77777777" w:rsidR="002E5BAD" w:rsidRPr="008C4524" w:rsidRDefault="002E5BAD" w:rsidP="002E5BAD">
      <w:pPr>
        <w:ind w:left="360"/>
        <w:rPr>
          <w:u w:val="dotted"/>
        </w:rPr>
      </w:pPr>
      <w:r w:rsidRPr="008C4524">
        <w:rPr>
          <w:rFonts w:hint="cs"/>
          <w:u w:val="dotted"/>
          <w:rtl/>
        </w:rPr>
        <w:t xml:space="preserve">מתי נחשב העד </w:t>
      </w:r>
      <w:r>
        <w:rPr>
          <w:rFonts w:hint="cs"/>
          <w:u w:val="dotted"/>
          <w:rtl/>
        </w:rPr>
        <w:t>ל</w:t>
      </w:r>
      <w:r w:rsidRPr="008C4524">
        <w:rPr>
          <w:rFonts w:hint="cs"/>
          <w:u w:val="dotted"/>
          <w:rtl/>
        </w:rPr>
        <w:t>נאמן כבי תרי:</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י</w:t>
      </w:r>
      <w:r>
        <w:rPr>
          <w:rFonts w:cs="Arial" w:hint="cs"/>
          <w:sz w:val="16"/>
          <w:szCs w:val="16"/>
          <w:rtl/>
        </w:rPr>
        <w:t>ז</w:t>
      </w:r>
      <w:r w:rsidRPr="00B31716">
        <w:rPr>
          <w:rFonts w:cs="Arial"/>
          <w:sz w:val="16"/>
          <w:szCs w:val="16"/>
          <w:rtl/>
        </w:rPr>
        <w:t>)</w:t>
      </w:r>
    </w:p>
    <w:p w14:paraId="57F3F517" w14:textId="77777777" w:rsidR="002E5BAD" w:rsidRDefault="002E5BAD" w:rsidP="00B75458">
      <w:pPr>
        <w:pStyle w:val="ab"/>
        <w:numPr>
          <w:ilvl w:val="0"/>
          <w:numId w:val="204"/>
        </w:numPr>
        <w:rPr>
          <w:rtl/>
        </w:rPr>
      </w:pPr>
      <w:r w:rsidRPr="00671DE4">
        <w:rPr>
          <w:rFonts w:cs="Arial"/>
          <w:rtl/>
        </w:rPr>
        <w:lastRenderedPageBreak/>
        <w:t>מהרי"ק</w:t>
      </w:r>
      <w:r>
        <w:rPr>
          <w:rStyle w:val="a7"/>
          <w:rFonts w:cs="Arial"/>
          <w:rtl/>
        </w:rPr>
        <w:footnoteReference w:id="3175"/>
      </w:r>
      <w:r w:rsidRPr="008C4524">
        <w:rPr>
          <w:rFonts w:cs="Arial"/>
          <w:sz w:val="16"/>
          <w:szCs w:val="16"/>
          <w:rtl/>
        </w:rPr>
        <w:t xml:space="preserve"> </w:t>
      </w:r>
      <w:r w:rsidRPr="008C4524">
        <w:rPr>
          <w:rFonts w:cs="Arial" w:hint="cs"/>
          <w:sz w:val="16"/>
          <w:szCs w:val="16"/>
          <w:rtl/>
        </w:rPr>
        <w:t>(</w:t>
      </w:r>
      <w:r w:rsidRPr="008C4524">
        <w:rPr>
          <w:rFonts w:cs="Arial"/>
          <w:sz w:val="16"/>
          <w:szCs w:val="16"/>
          <w:rtl/>
        </w:rPr>
        <w:t>שורש פב</w:t>
      </w:r>
      <w:r w:rsidRPr="008C4524">
        <w:rPr>
          <w:rFonts w:cs="Arial" w:hint="cs"/>
          <w:sz w:val="16"/>
          <w:szCs w:val="16"/>
          <w:rtl/>
        </w:rPr>
        <w:t>)</w:t>
      </w:r>
      <w:r>
        <w:rPr>
          <w:rFonts w:cs="Arial" w:hint="cs"/>
          <w:rtl/>
        </w:rPr>
        <w:t>-</w:t>
      </w:r>
      <w:r w:rsidRPr="00671DE4">
        <w:rPr>
          <w:rFonts w:cs="Arial"/>
          <w:rtl/>
        </w:rPr>
        <w:t xml:space="preserve"> לא מיקרי מהימן ליה כבי תרי אלא דוקא שנאמן עליו בכל דבריו</w:t>
      </w:r>
      <w:r>
        <w:rPr>
          <w:rFonts w:cs="Arial" w:hint="cs"/>
          <w:rtl/>
        </w:rPr>
        <w:t>,</w:t>
      </w:r>
      <w:r w:rsidRPr="00671DE4">
        <w:rPr>
          <w:rFonts w:cs="Arial"/>
          <w:rtl/>
        </w:rPr>
        <w:t xml:space="preserve"> אבל בלאו הכי אלא שמאמין לו בדבר זה משום דבלאו הכי נחשדת קצת </w:t>
      </w:r>
      <w:r>
        <w:rPr>
          <w:rFonts w:cs="Arial" w:hint="cs"/>
          <w:rtl/>
        </w:rPr>
        <w:t xml:space="preserve">- </w:t>
      </w:r>
      <w:r w:rsidRPr="00671DE4">
        <w:rPr>
          <w:rFonts w:cs="Arial"/>
          <w:rtl/>
        </w:rPr>
        <w:t>לא נאסרה עליו משום עדות זה</w:t>
      </w:r>
      <w:r>
        <w:rPr>
          <w:rFonts w:cs="Arial" w:hint="cs"/>
          <w:rtl/>
        </w:rPr>
        <w:t>.</w:t>
      </w:r>
      <w:r w:rsidRPr="00B33253">
        <w:rPr>
          <w:rFonts w:hint="cs"/>
          <w:color w:val="00B0F0"/>
          <w:rtl/>
        </w:rPr>
        <w:t xml:space="preserve"> </w:t>
      </w:r>
      <w:r w:rsidRPr="00AE454B">
        <w:rPr>
          <w:rFonts w:hint="cs"/>
          <w:color w:val="00B0F0"/>
          <w:rtl/>
        </w:rPr>
        <w:t>(וכ"</w:t>
      </w:r>
      <w:r>
        <w:rPr>
          <w:rFonts w:hint="cs"/>
          <w:color w:val="00B0F0"/>
          <w:rtl/>
        </w:rPr>
        <w:t>כ</w:t>
      </w:r>
      <w:r w:rsidRPr="00AE454B">
        <w:rPr>
          <w:rFonts w:hint="cs"/>
          <w:color w:val="00B0F0"/>
          <w:rtl/>
        </w:rPr>
        <w:t xml:space="preserve"> הרמ"א</w:t>
      </w:r>
      <w:r>
        <w:rPr>
          <w:rFonts w:hint="cs"/>
          <w:color w:val="00B0F0"/>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AE454B">
        <w:rPr>
          <w:rFonts w:hint="cs"/>
          <w:color w:val="00B0F0"/>
          <w:rtl/>
        </w:rPr>
        <w:t>)</w:t>
      </w:r>
    </w:p>
    <w:p w14:paraId="450E6A57" w14:textId="77777777" w:rsidR="002E5BAD" w:rsidRPr="00773835" w:rsidRDefault="002E5BAD" w:rsidP="002E5BAD">
      <w:r w:rsidRPr="003131E2">
        <w:rPr>
          <w:rFonts w:hint="cs"/>
          <w:u w:val="single"/>
          <w:rtl/>
        </w:rPr>
        <w:t xml:space="preserve">אשה שאמרה שזינתה </w:t>
      </w:r>
      <w:r w:rsidRPr="003131E2">
        <w:rPr>
          <w:u w:val="single"/>
          <w:rtl/>
        </w:rPr>
        <w:t>–</w:t>
      </w:r>
      <w:r w:rsidRPr="003131E2">
        <w:rPr>
          <w:rFonts w:hint="cs"/>
          <w:u w:val="single"/>
          <w:rtl/>
        </w:rPr>
        <w:t xml:space="preserve"> ו</w:t>
      </w:r>
      <w:r>
        <w:rPr>
          <w:rFonts w:hint="cs"/>
          <w:u w:val="single"/>
          <w:rtl/>
        </w:rPr>
        <w:t>הוא סומך על דבריה</w:t>
      </w:r>
      <w:r w:rsidRPr="003131E2">
        <w:rPr>
          <w:rFonts w:hint="cs"/>
          <w:u w:val="single"/>
          <w:rtl/>
        </w:rPr>
        <w:t>:</w:t>
      </w:r>
    </w:p>
    <w:p w14:paraId="55127687" w14:textId="77777777" w:rsidR="002E5BAD" w:rsidRDefault="002E5BAD" w:rsidP="00B75458">
      <w:pPr>
        <w:pStyle w:val="ab"/>
        <w:numPr>
          <w:ilvl w:val="0"/>
          <w:numId w:val="204"/>
        </w:numPr>
      </w:pPr>
      <w:r>
        <w:rPr>
          <w:rFonts w:cs="Arial" w:hint="cs"/>
          <w:rtl/>
        </w:rPr>
        <w:t xml:space="preserve">רמב"ם </w:t>
      </w:r>
      <w:r>
        <w:rPr>
          <w:rFonts w:cs="Arial" w:hint="cs"/>
          <w:sz w:val="16"/>
          <w:szCs w:val="16"/>
          <w:rtl/>
        </w:rPr>
        <w:t>(פכ"ד מאישות הי"ח)</w:t>
      </w:r>
      <w:r>
        <w:rPr>
          <w:rFonts w:cs="Arial" w:hint="cs"/>
          <w:rtl/>
        </w:rPr>
        <w:t xml:space="preserve"> וטור- </w:t>
      </w:r>
      <w:r w:rsidRPr="00671DE4">
        <w:rPr>
          <w:rFonts w:cs="Arial"/>
          <w:rtl/>
        </w:rPr>
        <w:t xml:space="preserve">וכן כשאומרת אשתו שזינתה אם הוא מאמינה וסומך על דבריה </w:t>
      </w:r>
      <w:r>
        <w:rPr>
          <w:rFonts w:cs="Arial" w:hint="cs"/>
          <w:rtl/>
        </w:rPr>
        <w:t xml:space="preserve">- </w:t>
      </w:r>
      <w:r w:rsidRPr="00671DE4">
        <w:rPr>
          <w:rFonts w:cs="Arial"/>
          <w:rtl/>
        </w:rPr>
        <w:t>צריך להוציאה לצאת ידי שמים</w:t>
      </w:r>
      <w:r>
        <w:rPr>
          <w:rStyle w:val="a7"/>
          <w:rFonts w:cs="Arial"/>
          <w:rtl/>
        </w:rPr>
        <w:footnoteReference w:id="3176"/>
      </w:r>
      <w:r>
        <w:rPr>
          <w:rFonts w:cs="Arial" w:hint="cs"/>
          <w:sz w:val="16"/>
          <w:szCs w:val="16"/>
          <w:rtl/>
        </w:rPr>
        <w:t xml:space="preserve"> (ל' הטור)</w:t>
      </w:r>
      <w:r>
        <w:rPr>
          <w:rFonts w:cs="Arial" w:hint="cs"/>
          <w:rtl/>
        </w:rPr>
        <w:t>.</w:t>
      </w:r>
      <w:r w:rsidRPr="00671DE4">
        <w:rPr>
          <w:rFonts w:cs="Arial"/>
          <w:rtl/>
        </w:rPr>
        <w:t xml:space="preserve"> </w:t>
      </w:r>
      <w:r w:rsidRPr="008C7592">
        <w:rPr>
          <w:rFonts w:hint="cs"/>
          <w:color w:val="E36C0A" w:themeColor="accent6" w:themeShade="BF"/>
          <w:rtl/>
        </w:rPr>
        <w:t>(וכ"פ בשו"ע)</w:t>
      </w:r>
    </w:p>
    <w:p w14:paraId="4059FA9A" w14:textId="77777777" w:rsidR="002E5BAD" w:rsidRPr="00C23656" w:rsidRDefault="002E5BAD" w:rsidP="00B75458">
      <w:pPr>
        <w:pStyle w:val="ab"/>
        <w:numPr>
          <w:ilvl w:val="0"/>
          <w:numId w:val="204"/>
        </w:numPr>
        <w:rPr>
          <w:rFonts w:cs="Arial"/>
          <w:rtl/>
        </w:rPr>
      </w:pPr>
      <w:r w:rsidRPr="00E34FAE">
        <w:rPr>
          <w:rFonts w:cs="Arial"/>
          <w:rtl/>
        </w:rPr>
        <w:t>רשב"א</w:t>
      </w:r>
      <w:r w:rsidRPr="00E34FAE">
        <w:rPr>
          <w:rFonts w:cs="Arial" w:hint="cs"/>
          <w:rtl/>
        </w:rPr>
        <w:t xml:space="preserve"> </w:t>
      </w:r>
      <w:r w:rsidRPr="00E34FAE">
        <w:rPr>
          <w:rFonts w:cs="Arial"/>
          <w:sz w:val="16"/>
          <w:szCs w:val="16"/>
          <w:rtl/>
        </w:rPr>
        <w:t>(ח"א סי</w:t>
      </w:r>
      <w:r w:rsidRPr="00E34FAE">
        <w:rPr>
          <w:rFonts w:cs="Arial" w:hint="cs"/>
          <w:sz w:val="16"/>
          <w:szCs w:val="16"/>
          <w:rtl/>
        </w:rPr>
        <w:t>'</w:t>
      </w:r>
      <w:r w:rsidRPr="00E34FAE">
        <w:rPr>
          <w:rFonts w:cs="Arial"/>
          <w:sz w:val="16"/>
          <w:szCs w:val="16"/>
          <w:rtl/>
        </w:rPr>
        <w:t xml:space="preserve"> אלף רלז</w:t>
      </w:r>
      <w:r w:rsidRPr="00E34FAE">
        <w:rPr>
          <w:rFonts w:cs="Arial" w:hint="cs"/>
          <w:sz w:val="16"/>
          <w:szCs w:val="16"/>
          <w:rtl/>
        </w:rPr>
        <w:t>, ובמיוחסות</w:t>
      </w:r>
      <w:r w:rsidRPr="00E34FAE">
        <w:rPr>
          <w:rFonts w:cs="Arial"/>
          <w:sz w:val="16"/>
          <w:szCs w:val="16"/>
          <w:rtl/>
        </w:rPr>
        <w:t xml:space="preserve"> סי</w:t>
      </w:r>
      <w:r w:rsidRPr="00E34FAE">
        <w:rPr>
          <w:rFonts w:cs="Arial" w:hint="cs"/>
          <w:sz w:val="16"/>
          <w:szCs w:val="16"/>
          <w:rtl/>
        </w:rPr>
        <w:t>'</w:t>
      </w:r>
      <w:r w:rsidRPr="00E34FAE">
        <w:rPr>
          <w:rFonts w:cs="Arial"/>
          <w:sz w:val="16"/>
          <w:szCs w:val="16"/>
          <w:rtl/>
        </w:rPr>
        <w:t xml:space="preserve"> קלג</w:t>
      </w:r>
      <w:r w:rsidRPr="00E34FAE">
        <w:rPr>
          <w:rFonts w:cs="Arial" w:hint="cs"/>
          <w:sz w:val="16"/>
          <w:szCs w:val="16"/>
          <w:rtl/>
        </w:rPr>
        <w:t>)</w:t>
      </w:r>
      <w:r>
        <w:rPr>
          <w:rFonts w:cs="Arial" w:hint="cs"/>
          <w:rtl/>
        </w:rPr>
        <w:t xml:space="preserve"> והגה"מ</w:t>
      </w:r>
      <w:r>
        <w:rPr>
          <w:rFonts w:cs="Arial" w:hint="cs"/>
          <w:sz w:val="16"/>
          <w:szCs w:val="16"/>
          <w:rtl/>
        </w:rPr>
        <w:t xml:space="preserve"> (פכ"ד מאישות הי"ח אות י, וכעין זה כתב במרדכי [קידושין סי' תקל])</w:t>
      </w:r>
      <w:r>
        <w:rPr>
          <w:rFonts w:cs="Arial" w:hint="cs"/>
          <w:rtl/>
        </w:rPr>
        <w:t xml:space="preserve">- </w:t>
      </w:r>
      <w:r w:rsidRPr="0011385D">
        <w:rPr>
          <w:rFonts w:cs="Arial"/>
          <w:rtl/>
        </w:rPr>
        <w:t>הורה רבי יוסף האומר אשתו שזינתה דאינה אסורה עליו לפי משנה אחרונה דאינה נאמנת שמא עיניה נתנה באחר ה"נ שמא עיניו נתן באחרת אחר תקנת ר"ג שאינו יכול לגרשה ע</w:t>
      </w:r>
      <w:r>
        <w:rPr>
          <w:rFonts w:cs="Arial" w:hint="cs"/>
          <w:rtl/>
        </w:rPr>
        <w:t>ל כרחה.</w:t>
      </w:r>
      <w:r w:rsidRPr="0011385D">
        <w:rPr>
          <w:rFonts w:cs="Arial"/>
          <w:rtl/>
        </w:rPr>
        <w:t xml:space="preserve"> ועוד נראה דיש לנדות</w:t>
      </w:r>
      <w:r>
        <w:rPr>
          <w:rStyle w:val="a7"/>
          <w:rFonts w:cs="Arial"/>
          <w:rtl/>
        </w:rPr>
        <w:footnoteReference w:id="3177"/>
      </w:r>
      <w:r w:rsidRPr="0011385D">
        <w:rPr>
          <w:rFonts w:cs="Arial"/>
          <w:rtl/>
        </w:rPr>
        <w:t xml:space="preserve"> האוסר אשתו כמגרשה על כרחה דסוף סוף מבטל תקנת הגאונים</w:t>
      </w:r>
      <w:r>
        <w:rPr>
          <w:rStyle w:val="a7"/>
          <w:rFonts w:cs="Arial"/>
          <w:rtl/>
        </w:rPr>
        <w:footnoteReference w:id="3178"/>
      </w:r>
      <w:r>
        <w:rPr>
          <w:rFonts w:cs="Arial" w:hint="cs"/>
          <w:sz w:val="16"/>
          <w:szCs w:val="16"/>
          <w:rtl/>
        </w:rPr>
        <w:t xml:space="preserve"> (ל' הגה"מ)</w:t>
      </w:r>
      <w:r w:rsidRPr="00C23656">
        <w:rPr>
          <w:rFonts w:cs="Arial"/>
          <w:rtl/>
        </w:rPr>
        <w:t xml:space="preserve">. </w:t>
      </w:r>
    </w:p>
    <w:p w14:paraId="56EFAC74" w14:textId="77777777" w:rsidR="002E5BAD" w:rsidRPr="00B31716" w:rsidRDefault="002E5BAD" w:rsidP="002E5BAD">
      <w:pPr>
        <w:ind w:left="360"/>
      </w:pPr>
      <w:r w:rsidRPr="00B31716">
        <w:rPr>
          <w:rFonts w:cs="Arial" w:hint="cs"/>
          <w:u w:val="dotted"/>
          <w:rtl/>
        </w:rPr>
        <w:t xml:space="preserve">ומה הדין אם </w:t>
      </w:r>
      <w:r>
        <w:rPr>
          <w:rFonts w:cs="Arial" w:hint="cs"/>
          <w:u w:val="dotted"/>
          <w:rtl/>
        </w:rPr>
        <w:t>אח"כ חזרה בה ואמרה שנאנסה</w:t>
      </w:r>
      <w:r w:rsidRPr="00B31716">
        <w:rPr>
          <w:rFonts w:cs="Arial" w:hint="cs"/>
          <w:u w:val="dotted"/>
          <w:rtl/>
        </w:rPr>
        <w:t>:</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יג)</w:t>
      </w:r>
    </w:p>
    <w:p w14:paraId="43B7B50F" w14:textId="77777777" w:rsidR="002E5BAD" w:rsidRPr="00E671AE" w:rsidRDefault="002E5BAD" w:rsidP="00B75458">
      <w:pPr>
        <w:pStyle w:val="ab"/>
        <w:numPr>
          <w:ilvl w:val="0"/>
          <w:numId w:val="204"/>
        </w:numPr>
        <w:rPr>
          <w:rtl/>
        </w:rPr>
      </w:pPr>
      <w:r>
        <w:rPr>
          <w:rFonts w:cs="Arial" w:hint="cs"/>
          <w:rtl/>
        </w:rPr>
        <w:t xml:space="preserve">הה"מ </w:t>
      </w:r>
      <w:r w:rsidRPr="00E671AE">
        <w:rPr>
          <w:rFonts w:cs="Arial" w:hint="cs"/>
          <w:sz w:val="16"/>
          <w:szCs w:val="16"/>
          <w:rtl/>
        </w:rPr>
        <w:t>(</w:t>
      </w:r>
      <w:r w:rsidRPr="00E671AE">
        <w:rPr>
          <w:rFonts w:cs="Arial"/>
          <w:sz w:val="16"/>
          <w:szCs w:val="16"/>
          <w:rtl/>
        </w:rPr>
        <w:t xml:space="preserve">פכ"ד הי"ח) </w:t>
      </w:r>
      <w:r w:rsidRPr="00E069A0">
        <w:rPr>
          <w:rFonts w:cs="Arial"/>
          <w:rtl/>
        </w:rPr>
        <w:t>בשם התוספות</w:t>
      </w:r>
      <w:r>
        <w:rPr>
          <w:rFonts w:cs="Arial" w:hint="cs"/>
          <w:rtl/>
        </w:rPr>
        <w:t>-</w:t>
      </w:r>
      <w:r w:rsidRPr="00E069A0">
        <w:rPr>
          <w:rFonts w:cs="Arial"/>
          <w:rtl/>
        </w:rPr>
        <w:t xml:space="preserve"> א</w:t>
      </w:r>
      <w:r>
        <w:rPr>
          <w:rFonts w:cs="Arial" w:hint="cs"/>
          <w:rtl/>
        </w:rPr>
        <w:t xml:space="preserve">שת </w:t>
      </w:r>
      <w:r w:rsidRPr="00E069A0">
        <w:rPr>
          <w:rFonts w:cs="Arial"/>
          <w:rtl/>
        </w:rPr>
        <w:t>א</w:t>
      </w:r>
      <w:r>
        <w:rPr>
          <w:rFonts w:cs="Arial" w:hint="cs"/>
          <w:rtl/>
        </w:rPr>
        <w:t>יש</w:t>
      </w:r>
      <w:r w:rsidRPr="00E069A0">
        <w:rPr>
          <w:rFonts w:cs="Arial"/>
          <w:rtl/>
        </w:rPr>
        <w:t xml:space="preserve"> שאמרה טמאה אני לך</w:t>
      </w:r>
      <w:r>
        <w:rPr>
          <w:rFonts w:cs="Arial" w:hint="cs"/>
          <w:rtl/>
        </w:rPr>
        <w:t>,</w:t>
      </w:r>
      <w:r w:rsidRPr="00E069A0">
        <w:rPr>
          <w:rFonts w:cs="Arial"/>
          <w:rtl/>
        </w:rPr>
        <w:t xml:space="preserve"> והבעל אומר שמאמינה </w:t>
      </w:r>
      <w:r>
        <w:rPr>
          <w:rFonts w:cs="Arial" w:hint="cs"/>
          <w:rtl/>
        </w:rPr>
        <w:t xml:space="preserve">- </w:t>
      </w:r>
      <w:r w:rsidRPr="00E069A0">
        <w:rPr>
          <w:rFonts w:cs="Arial"/>
          <w:rtl/>
        </w:rPr>
        <w:t>אינה נאמנת לומר אחר כך שנאנסה</w:t>
      </w:r>
      <w:r>
        <w:rPr>
          <w:rFonts w:cs="Arial" w:hint="cs"/>
          <w:rtl/>
        </w:rPr>
        <w:t>,</w:t>
      </w:r>
      <w:r w:rsidRPr="00E069A0">
        <w:rPr>
          <w:rFonts w:cs="Arial"/>
          <w:rtl/>
        </w:rPr>
        <w:t xml:space="preserve"> שכבר שויה הבעל אנפשיה חתיכה דאיסורא. </w:t>
      </w:r>
    </w:p>
    <w:p w14:paraId="79A9CEE5" w14:textId="77777777" w:rsidR="002E5BAD" w:rsidRDefault="002E5BAD" w:rsidP="002E5BAD">
      <w:pPr>
        <w:rPr>
          <w:rFonts w:cs="Arial"/>
          <w:rtl/>
        </w:rPr>
      </w:pPr>
      <w:r w:rsidRPr="00E671AE">
        <w:rPr>
          <w:rFonts w:cs="Arial" w:hint="cs"/>
          <w:u w:val="single"/>
          <w:rtl/>
        </w:rPr>
        <w:t>אשה שזינתה ב</w:t>
      </w:r>
      <w:r>
        <w:rPr>
          <w:rFonts w:cs="Arial" w:hint="cs"/>
          <w:u w:val="single"/>
          <w:rtl/>
        </w:rPr>
        <w:t>רצון ולא ידעה שיש איסור בדבר</w:t>
      </w:r>
      <w:r w:rsidRPr="00E671AE">
        <w:rPr>
          <w:rFonts w:cs="Arial" w:hint="cs"/>
          <w:u w:val="single"/>
          <w:rtl/>
        </w:rPr>
        <w:t>:</w:t>
      </w:r>
    </w:p>
    <w:p w14:paraId="02732E37" w14:textId="77777777" w:rsidR="002E5BAD" w:rsidRDefault="002E5BAD" w:rsidP="00B75458">
      <w:pPr>
        <w:pStyle w:val="ab"/>
        <w:numPr>
          <w:ilvl w:val="0"/>
          <w:numId w:val="204"/>
        </w:numPr>
        <w:rPr>
          <w:rFonts w:cs="Arial"/>
        </w:rPr>
      </w:pPr>
      <w:r w:rsidRPr="00E671AE">
        <w:rPr>
          <w:rFonts w:cs="Arial" w:hint="cs"/>
          <w:rtl/>
        </w:rPr>
        <w:t xml:space="preserve">מהרי"ק </w:t>
      </w:r>
      <w:r w:rsidRPr="00E671AE">
        <w:rPr>
          <w:rFonts w:cs="Arial" w:hint="cs"/>
          <w:sz w:val="16"/>
          <w:szCs w:val="16"/>
          <w:rtl/>
        </w:rPr>
        <w:t>(</w:t>
      </w:r>
      <w:r w:rsidRPr="00E671AE">
        <w:rPr>
          <w:rFonts w:cs="Arial"/>
          <w:sz w:val="16"/>
          <w:szCs w:val="16"/>
          <w:rtl/>
        </w:rPr>
        <w:t>שורש קסח)</w:t>
      </w:r>
      <w:r w:rsidRPr="00E671AE">
        <w:rPr>
          <w:rFonts w:cs="Arial" w:hint="cs"/>
          <w:rtl/>
        </w:rPr>
        <w:t>-</w:t>
      </w:r>
      <w:r w:rsidRPr="00E671AE">
        <w:rPr>
          <w:rFonts w:cs="Arial"/>
          <w:rtl/>
        </w:rPr>
        <w:t xml:space="preserve"> אשה שזינתה ברצון והיא לא ידעה שיש איסור בדבר </w:t>
      </w:r>
      <w:r w:rsidRPr="00E671AE">
        <w:rPr>
          <w:rFonts w:cs="Arial" w:hint="cs"/>
          <w:rtl/>
        </w:rPr>
        <w:t xml:space="preserve">- </w:t>
      </w:r>
      <w:r w:rsidRPr="00E671AE">
        <w:rPr>
          <w:rFonts w:cs="Arial"/>
          <w:rtl/>
        </w:rPr>
        <w:t>אין לזו דין שוגגת להתירה לבעלה</w:t>
      </w:r>
      <w:r w:rsidRPr="00E671AE">
        <w:rPr>
          <w:rFonts w:cs="Arial" w:hint="cs"/>
          <w:rtl/>
        </w:rPr>
        <w:t>.</w:t>
      </w:r>
      <w:r w:rsidRPr="00E671AE">
        <w:rPr>
          <w:rFonts w:cs="Arial"/>
          <w:rtl/>
        </w:rPr>
        <w:t xml:space="preserve"> ומה שכתב הרמב"ם בפכ"ד מהלכות אישות (הי"ט) דאשה שזינתה תחת בעלה בשגגה או באונס שהיא מותרת לבעלה היינו כגון שהיא סבורה שהוא בעלה ונמצא שהוא אדם אחר</w:t>
      </w:r>
      <w:r>
        <w:rPr>
          <w:rStyle w:val="a7"/>
          <w:rFonts w:cs="Arial"/>
          <w:rtl/>
        </w:rPr>
        <w:footnoteReference w:id="3179"/>
      </w:r>
      <w:r w:rsidRPr="00E671AE">
        <w:rPr>
          <w:rFonts w:cs="Arial"/>
          <w:rtl/>
        </w:rPr>
        <w:t xml:space="preserve">. </w:t>
      </w:r>
    </w:p>
    <w:p w14:paraId="17C0B3BF" w14:textId="77777777" w:rsidR="002E5BAD" w:rsidRPr="00CA3D71" w:rsidRDefault="002E5BAD" w:rsidP="002E5BAD">
      <w:pPr>
        <w:rPr>
          <w:rFonts w:cs="Arial"/>
        </w:rPr>
      </w:pPr>
      <w:r w:rsidRPr="00E671AE">
        <w:rPr>
          <w:rFonts w:cs="Arial" w:hint="cs"/>
          <w:u w:val="single"/>
          <w:rtl/>
        </w:rPr>
        <w:t>אשה שזינתה ב</w:t>
      </w:r>
      <w:r>
        <w:rPr>
          <w:rFonts w:cs="Arial" w:hint="cs"/>
          <w:u w:val="single"/>
          <w:rtl/>
        </w:rPr>
        <w:t>שוגג, אבל הבועל היה מזיד</w:t>
      </w:r>
      <w:r>
        <w:rPr>
          <w:rFonts w:cs="Arial" w:hint="cs"/>
          <w:sz w:val="16"/>
          <w:szCs w:val="16"/>
          <w:u w:val="single"/>
          <w:rtl/>
        </w:rPr>
        <w:t xml:space="preserve"> (או להפך)</w:t>
      </w:r>
      <w:r w:rsidRPr="00E671AE">
        <w:rPr>
          <w:rFonts w:cs="Arial" w:hint="cs"/>
          <w:u w:val="single"/>
          <w:rtl/>
        </w:rPr>
        <w:t>:</w:t>
      </w:r>
    </w:p>
    <w:p w14:paraId="56BC6FF8" w14:textId="77777777" w:rsidR="002E5BAD" w:rsidRPr="00E671AE" w:rsidRDefault="002E5BAD" w:rsidP="00B75458">
      <w:pPr>
        <w:pStyle w:val="ab"/>
        <w:numPr>
          <w:ilvl w:val="0"/>
          <w:numId w:val="204"/>
        </w:numPr>
        <w:rPr>
          <w:rFonts w:cs="Arial"/>
          <w:rtl/>
        </w:rPr>
      </w:pPr>
      <w:r>
        <w:rPr>
          <w:rFonts w:cs="Arial" w:hint="cs"/>
          <w:rtl/>
        </w:rPr>
        <w:t>רי"ו</w:t>
      </w:r>
      <w:r w:rsidRPr="007433D7">
        <w:rPr>
          <w:rFonts w:cs="Arial"/>
          <w:sz w:val="16"/>
          <w:szCs w:val="16"/>
          <w:rtl/>
        </w:rPr>
        <w:t xml:space="preserve"> (</w:t>
      </w:r>
      <w:r w:rsidRPr="00CA3D71">
        <w:rPr>
          <w:rFonts w:cs="Arial"/>
          <w:sz w:val="16"/>
          <w:szCs w:val="16"/>
          <w:rtl/>
        </w:rPr>
        <w:t xml:space="preserve">תא"ו נכ"ג ח"ב קצד </w:t>
      </w:r>
      <w:r w:rsidRPr="007433D7">
        <w:rPr>
          <w:rFonts w:cs="Arial"/>
          <w:sz w:val="16"/>
          <w:szCs w:val="16"/>
          <w:rtl/>
        </w:rPr>
        <w:t>שם:)</w:t>
      </w:r>
      <w:r>
        <w:rPr>
          <w:rFonts w:cs="Arial" w:hint="cs"/>
          <w:rtl/>
        </w:rPr>
        <w:t>-</w:t>
      </w:r>
      <w:r w:rsidRPr="00E671AE">
        <w:rPr>
          <w:rFonts w:cs="Arial"/>
          <w:rtl/>
        </w:rPr>
        <w:t xml:space="preserve"> אשת ישראל שנאנסה מותרת</w:t>
      </w:r>
      <w:r>
        <w:rPr>
          <w:rFonts w:cs="Arial" w:hint="cs"/>
          <w:rtl/>
        </w:rPr>
        <w:t>.</w:t>
      </w:r>
      <w:r w:rsidRPr="00E671AE">
        <w:rPr>
          <w:rFonts w:cs="Arial"/>
          <w:rtl/>
        </w:rPr>
        <w:t xml:space="preserve"> ומוכח בפרק ד' אחין דהוא הדין דשוגג</w:t>
      </w:r>
      <w:r>
        <w:rPr>
          <w:rFonts w:cs="Arial" w:hint="cs"/>
          <w:rtl/>
        </w:rPr>
        <w:t>,</w:t>
      </w:r>
      <w:r w:rsidRPr="00E671AE">
        <w:rPr>
          <w:rFonts w:cs="Arial"/>
          <w:rtl/>
        </w:rPr>
        <w:t xml:space="preserve"> ואפילו היא שוגגת והוא מזיד</w:t>
      </w:r>
      <w:r>
        <w:rPr>
          <w:rFonts w:cs="Arial" w:hint="cs"/>
          <w:rtl/>
        </w:rPr>
        <w:t>.</w:t>
      </w:r>
      <w:r w:rsidRPr="00E671AE">
        <w:rPr>
          <w:rFonts w:cs="Arial"/>
          <w:rtl/>
        </w:rPr>
        <w:t xml:space="preserve"> אבל הוא שוגג והיא מזידה אסורה. </w:t>
      </w:r>
    </w:p>
    <w:p w14:paraId="162055D0" w14:textId="77777777" w:rsidR="002E5BAD" w:rsidRPr="00FA732A" w:rsidRDefault="002E5BAD" w:rsidP="002E5BAD">
      <w:pPr>
        <w:rPr>
          <w:rFonts w:cs="Arial"/>
          <w:sz w:val="16"/>
          <w:szCs w:val="16"/>
          <w:u w:val="single"/>
          <w:rtl/>
        </w:rPr>
      </w:pPr>
      <w:r w:rsidRPr="00FA732A">
        <w:rPr>
          <w:rFonts w:cs="Arial"/>
          <w:u w:val="single"/>
          <w:rtl/>
        </w:rPr>
        <w:t>אשה שהלכה בדרך עם שני אנשים ובאה ואמרה שאחד מהם אנסה</w:t>
      </w:r>
      <w:r w:rsidRPr="00FA732A">
        <w:rPr>
          <w:rFonts w:cs="Arial" w:hint="cs"/>
          <w:u w:val="single"/>
          <w:rtl/>
        </w:rPr>
        <w:t>:</w:t>
      </w:r>
    </w:p>
    <w:p w14:paraId="7188C26F" w14:textId="77777777" w:rsidR="002E5BAD" w:rsidRDefault="002E5BAD" w:rsidP="00B75458">
      <w:pPr>
        <w:pStyle w:val="ab"/>
        <w:numPr>
          <w:ilvl w:val="0"/>
          <w:numId w:val="204"/>
        </w:numPr>
      </w:pPr>
      <w:r w:rsidRPr="00E069A0">
        <w:rPr>
          <w:rFonts w:cs="Arial"/>
          <w:rtl/>
        </w:rPr>
        <w:t>מרדכי</w:t>
      </w:r>
      <w:r w:rsidRPr="00FA732A">
        <w:rPr>
          <w:rFonts w:cs="Arial"/>
          <w:sz w:val="16"/>
          <w:szCs w:val="16"/>
          <w:rtl/>
        </w:rPr>
        <w:t xml:space="preserve"> </w:t>
      </w:r>
      <w:r w:rsidRPr="00FA732A">
        <w:rPr>
          <w:rFonts w:cs="Arial" w:hint="cs"/>
          <w:sz w:val="16"/>
          <w:szCs w:val="16"/>
          <w:rtl/>
        </w:rPr>
        <w:t>(</w:t>
      </w:r>
      <w:r w:rsidRPr="00FA732A">
        <w:rPr>
          <w:rFonts w:cs="Arial"/>
          <w:sz w:val="16"/>
          <w:szCs w:val="16"/>
          <w:rtl/>
        </w:rPr>
        <w:t>פ</w:t>
      </w:r>
      <w:r w:rsidRPr="00FA732A">
        <w:rPr>
          <w:rFonts w:cs="Arial" w:hint="cs"/>
          <w:sz w:val="16"/>
          <w:szCs w:val="16"/>
          <w:rtl/>
        </w:rPr>
        <w:t>"ב</w:t>
      </w:r>
      <w:r w:rsidRPr="00FA732A">
        <w:rPr>
          <w:rFonts w:cs="Arial"/>
          <w:sz w:val="16"/>
          <w:szCs w:val="16"/>
          <w:rtl/>
        </w:rPr>
        <w:t xml:space="preserve"> דכתובות סי' קמז)</w:t>
      </w:r>
      <w:r>
        <w:rPr>
          <w:rFonts w:cs="Arial" w:hint="cs"/>
          <w:rtl/>
        </w:rPr>
        <w:t>-</w:t>
      </w:r>
      <w:r w:rsidRPr="00E069A0">
        <w:rPr>
          <w:rFonts w:cs="Arial"/>
          <w:rtl/>
        </w:rPr>
        <w:t xml:space="preserve"> מעשה באשה אחת שהלכה לדרך עם שני אנשים יהודים</w:t>
      </w:r>
      <w:r>
        <w:rPr>
          <w:rFonts w:cs="Arial" w:hint="cs"/>
          <w:rtl/>
        </w:rPr>
        <w:t>,</w:t>
      </w:r>
      <w:r w:rsidRPr="00E069A0">
        <w:rPr>
          <w:rFonts w:cs="Arial"/>
          <w:rtl/>
        </w:rPr>
        <w:t xml:space="preserve"> וכשבאו ביער ישבו לנוח ובא אחד ותקפה</w:t>
      </w:r>
      <w:r>
        <w:rPr>
          <w:rFonts w:cs="Arial" w:hint="cs"/>
          <w:rtl/>
        </w:rPr>
        <w:t>,</w:t>
      </w:r>
      <w:r w:rsidRPr="00E069A0">
        <w:rPr>
          <w:rFonts w:cs="Arial"/>
          <w:rtl/>
        </w:rPr>
        <w:t xml:space="preserve"> והשני טמאה</w:t>
      </w:r>
      <w:r>
        <w:rPr>
          <w:rFonts w:cs="Arial" w:hint="cs"/>
          <w:rtl/>
        </w:rPr>
        <w:t>.</w:t>
      </w:r>
      <w:r w:rsidRPr="00E069A0">
        <w:rPr>
          <w:rFonts w:cs="Arial"/>
          <w:rtl/>
        </w:rPr>
        <w:t xml:space="preserve"> וצעקה ואין מושיע לה</w:t>
      </w:r>
      <w:r>
        <w:rPr>
          <w:rFonts w:cs="Arial" w:hint="cs"/>
          <w:rtl/>
        </w:rPr>
        <w:t>,</w:t>
      </w:r>
      <w:r w:rsidRPr="00E069A0">
        <w:rPr>
          <w:rFonts w:cs="Arial"/>
          <w:rtl/>
        </w:rPr>
        <w:t xml:space="preserve"> ואין עדים</w:t>
      </w:r>
      <w:r>
        <w:rPr>
          <w:rFonts w:cs="Arial" w:hint="cs"/>
          <w:rtl/>
        </w:rPr>
        <w:t>.</w:t>
      </w:r>
      <w:r w:rsidRPr="00E069A0">
        <w:rPr>
          <w:rFonts w:cs="Arial"/>
          <w:rtl/>
        </w:rPr>
        <w:t xml:space="preserve"> ובאת לפני רבותינו וספרה המאורע ואמרה נאנסתי</w:t>
      </w:r>
      <w:r>
        <w:rPr>
          <w:rFonts w:cs="Arial" w:hint="cs"/>
          <w:rtl/>
        </w:rPr>
        <w:t xml:space="preserve"> -</w:t>
      </w:r>
      <w:r w:rsidRPr="00E069A0">
        <w:rPr>
          <w:rFonts w:cs="Arial"/>
          <w:rtl/>
        </w:rPr>
        <w:t xml:space="preserve"> והתירוה לבעל במגו דאמרה לא נבעלתי</w:t>
      </w:r>
      <w:r>
        <w:rPr>
          <w:rFonts w:cs="Arial" w:hint="cs"/>
          <w:rtl/>
        </w:rPr>
        <w:t>.</w:t>
      </w:r>
      <w:r w:rsidRPr="00E069A0">
        <w:rPr>
          <w:rFonts w:cs="Arial"/>
          <w:rtl/>
        </w:rPr>
        <w:t xml:space="preserve"> וכן פסק שם ראבי"ה</w:t>
      </w:r>
      <w:r>
        <w:rPr>
          <w:rFonts w:cs="Arial" w:hint="cs"/>
          <w:rtl/>
        </w:rPr>
        <w:t>.</w:t>
      </w:r>
      <w:r w:rsidRPr="00E069A0">
        <w:rPr>
          <w:rFonts w:cs="Arial"/>
          <w:rtl/>
        </w:rPr>
        <w:t xml:space="preserve"> אמנם רבינו שמחה אסרה</w:t>
      </w:r>
      <w:r>
        <w:rPr>
          <w:rFonts w:cs="Arial" w:hint="cs"/>
          <w:rtl/>
        </w:rPr>
        <w:t>,</w:t>
      </w:r>
      <w:r w:rsidRPr="00E069A0">
        <w:rPr>
          <w:rFonts w:cs="Arial"/>
          <w:rtl/>
        </w:rPr>
        <w:t xml:space="preserve"> ואמר דאבדה מגו שלה הואיל ונתייחדה עמהן</w:t>
      </w:r>
      <w:r>
        <w:rPr>
          <w:rFonts w:cs="Arial" w:hint="cs"/>
          <w:rtl/>
        </w:rPr>
        <w:t>.</w:t>
      </w:r>
    </w:p>
    <w:p w14:paraId="26980D2B" w14:textId="77777777" w:rsidR="002E5BAD" w:rsidRPr="008F1D9A" w:rsidRDefault="002E5BAD" w:rsidP="002E5BAD">
      <w:r w:rsidRPr="00FF1FB8">
        <w:rPr>
          <w:rFonts w:cs="Arial"/>
          <w:u w:val="single"/>
          <w:rtl/>
        </w:rPr>
        <w:t>עד אחד שאומר ל</w:t>
      </w:r>
      <w:r w:rsidRPr="00FF1FB8">
        <w:rPr>
          <w:rFonts w:cs="Arial" w:hint="cs"/>
          <w:u w:val="single"/>
          <w:rtl/>
        </w:rPr>
        <w:t>בעל</w:t>
      </w:r>
      <w:r w:rsidRPr="00FF1FB8">
        <w:rPr>
          <w:rFonts w:cs="Arial"/>
          <w:u w:val="single"/>
          <w:rtl/>
        </w:rPr>
        <w:t xml:space="preserve"> </w:t>
      </w:r>
      <w:r w:rsidRPr="00FF1FB8">
        <w:rPr>
          <w:rFonts w:cs="Arial" w:hint="cs"/>
          <w:u w:val="single"/>
          <w:rtl/>
        </w:rPr>
        <w:t>'</w:t>
      </w:r>
      <w:r w:rsidRPr="00FF1FB8">
        <w:rPr>
          <w:rFonts w:cs="Arial"/>
          <w:u w:val="single"/>
          <w:rtl/>
        </w:rPr>
        <w:t>אשתך זנתה בפניך</w:t>
      </w:r>
      <w:r w:rsidRPr="00FF1FB8">
        <w:rPr>
          <w:rFonts w:cs="Arial" w:hint="cs"/>
          <w:u w:val="single"/>
          <w:rtl/>
        </w:rPr>
        <w:t>',</w:t>
      </w:r>
      <w:r w:rsidRPr="00FF1FB8">
        <w:rPr>
          <w:rFonts w:cs="Arial"/>
          <w:u w:val="single"/>
          <w:rtl/>
        </w:rPr>
        <w:t xml:space="preserve"> ושתק </w:t>
      </w:r>
      <w:r w:rsidRPr="00FF1FB8">
        <w:rPr>
          <w:rFonts w:cs="Arial" w:hint="cs"/>
          <w:u w:val="single"/>
          <w:rtl/>
        </w:rPr>
        <w:t>הבעל:</w:t>
      </w:r>
      <w:r>
        <w:rPr>
          <w:rFonts w:cs="Arial" w:hint="cs"/>
          <w:rtl/>
        </w:rPr>
        <w:t xml:space="preserve"> </w:t>
      </w:r>
      <w:r w:rsidRPr="00FF1FB8">
        <w:rPr>
          <w:rFonts w:cs="Arial" w:hint="cs"/>
          <w:sz w:val="16"/>
          <w:szCs w:val="16"/>
          <w:rtl/>
        </w:rPr>
        <w:t>(דרכ"מ אות יח)</w:t>
      </w:r>
    </w:p>
    <w:p w14:paraId="323DF361" w14:textId="77777777" w:rsidR="002E5BAD" w:rsidRDefault="002E5BAD" w:rsidP="00B75458">
      <w:pPr>
        <w:pStyle w:val="ab"/>
        <w:numPr>
          <w:ilvl w:val="0"/>
          <w:numId w:val="204"/>
        </w:numPr>
      </w:pPr>
      <w:r>
        <w:rPr>
          <w:rFonts w:cs="Arial" w:hint="cs"/>
          <w:rtl/>
        </w:rPr>
        <w:t>רי"ו</w:t>
      </w:r>
      <w:r w:rsidRPr="008F1D9A">
        <w:rPr>
          <w:rFonts w:cs="Arial" w:hint="cs"/>
          <w:sz w:val="16"/>
          <w:szCs w:val="16"/>
          <w:rtl/>
        </w:rPr>
        <w:t xml:space="preserve"> (תא"ו</w:t>
      </w:r>
      <w:r w:rsidRPr="008F1D9A">
        <w:rPr>
          <w:rFonts w:cs="Arial"/>
          <w:sz w:val="16"/>
          <w:szCs w:val="16"/>
          <w:rtl/>
        </w:rPr>
        <w:t xml:space="preserve"> נכ"ג ח"ב קצד א)</w:t>
      </w:r>
      <w:r>
        <w:rPr>
          <w:rFonts w:cs="Arial" w:hint="cs"/>
          <w:rtl/>
        </w:rPr>
        <w:t>-</w:t>
      </w:r>
      <w:r w:rsidRPr="00E069A0">
        <w:rPr>
          <w:rFonts w:cs="Arial"/>
          <w:rtl/>
        </w:rPr>
        <w:t xml:space="preserve"> עד אחד שאומר לו אשתך זנתה בפניך</w:t>
      </w:r>
      <w:r>
        <w:rPr>
          <w:rFonts w:cs="Arial" w:hint="cs"/>
          <w:rtl/>
        </w:rPr>
        <w:t>,</w:t>
      </w:r>
      <w:r w:rsidRPr="00E069A0">
        <w:rPr>
          <w:rFonts w:cs="Arial"/>
          <w:rtl/>
        </w:rPr>
        <w:t xml:space="preserve"> ושתק </w:t>
      </w:r>
      <w:r>
        <w:rPr>
          <w:rFonts w:cs="Arial" w:hint="cs"/>
          <w:rtl/>
        </w:rPr>
        <w:t xml:space="preserve">- </w:t>
      </w:r>
      <w:r w:rsidRPr="00E069A0">
        <w:rPr>
          <w:rFonts w:cs="Arial"/>
          <w:rtl/>
        </w:rPr>
        <w:t>העד נאמן</w:t>
      </w:r>
      <w:r>
        <w:rPr>
          <w:rFonts w:cs="Arial" w:hint="cs"/>
          <w:rtl/>
        </w:rPr>
        <w:t>.</w:t>
      </w:r>
      <w:r w:rsidRPr="00E069A0">
        <w:rPr>
          <w:rFonts w:cs="Arial"/>
          <w:rtl/>
        </w:rPr>
        <w:t xml:space="preserve"> זולתי אם חזר ואמר </w:t>
      </w:r>
      <w:r>
        <w:rPr>
          <w:rFonts w:cs="Arial" w:hint="cs"/>
          <w:rtl/>
        </w:rPr>
        <w:t>'</w:t>
      </w:r>
      <w:r w:rsidRPr="00E069A0">
        <w:rPr>
          <w:rFonts w:cs="Arial"/>
          <w:rtl/>
        </w:rPr>
        <w:t>לא שתקתי אלא שלא חששתי לדברי העד</w:t>
      </w:r>
      <w:r>
        <w:rPr>
          <w:rFonts w:cs="Arial" w:hint="cs"/>
          <w:rtl/>
        </w:rPr>
        <w:t>'.</w:t>
      </w:r>
      <w:r w:rsidRPr="00E069A0">
        <w:rPr>
          <w:rFonts w:cs="Arial"/>
          <w:rtl/>
        </w:rPr>
        <w:t xml:space="preserve"> מה שאין כן בשאר איסורים.</w:t>
      </w:r>
    </w:p>
    <w:p w14:paraId="0DAE9207" w14:textId="77777777" w:rsidR="002E5BAD" w:rsidRPr="009F38AA" w:rsidRDefault="002E5BAD" w:rsidP="002E5BAD">
      <w:r>
        <w:rPr>
          <w:rFonts w:cs="Arial" w:hint="cs"/>
          <w:u w:val="single"/>
          <w:rtl/>
        </w:rPr>
        <w:t>הנחשד מעיד שזינתה עמו, ועד אחד מעיד שהודית בפניו שזינתה</w:t>
      </w:r>
      <w:r w:rsidRPr="00FF1FB8">
        <w:rPr>
          <w:rFonts w:cs="Arial" w:hint="cs"/>
          <w:u w:val="single"/>
          <w:rtl/>
        </w:rPr>
        <w:t>:</w:t>
      </w:r>
      <w:r>
        <w:rPr>
          <w:rFonts w:cs="Arial" w:hint="cs"/>
          <w:rtl/>
        </w:rPr>
        <w:t xml:space="preserve"> </w:t>
      </w:r>
      <w:r w:rsidRPr="00FF1FB8">
        <w:rPr>
          <w:rFonts w:cs="Arial" w:hint="cs"/>
          <w:sz w:val="16"/>
          <w:szCs w:val="16"/>
          <w:rtl/>
        </w:rPr>
        <w:t>(דרכ"מ אות יח)</w:t>
      </w:r>
    </w:p>
    <w:p w14:paraId="7D24DC73" w14:textId="77777777" w:rsidR="002E5BAD" w:rsidRPr="00D22AF1" w:rsidRDefault="002E5BAD" w:rsidP="00B75458">
      <w:pPr>
        <w:pStyle w:val="ab"/>
        <w:numPr>
          <w:ilvl w:val="0"/>
          <w:numId w:val="204"/>
        </w:numPr>
      </w:pPr>
      <w:r>
        <w:rPr>
          <w:rFonts w:cs="Arial" w:hint="cs"/>
          <w:rtl/>
        </w:rPr>
        <w:lastRenderedPageBreak/>
        <w:t xml:space="preserve">תרוה"ד </w:t>
      </w:r>
      <w:r w:rsidRPr="00FF1FB8">
        <w:rPr>
          <w:rFonts w:cs="Arial" w:hint="cs"/>
          <w:sz w:val="16"/>
          <w:szCs w:val="16"/>
          <w:rtl/>
        </w:rPr>
        <w:t>(פסקים סי' רכב)</w:t>
      </w:r>
      <w:r>
        <w:rPr>
          <w:rFonts w:cs="Arial" w:hint="cs"/>
          <w:rtl/>
        </w:rPr>
        <w:t xml:space="preserve">- </w:t>
      </w:r>
      <w:r w:rsidRPr="00FF1FB8">
        <w:rPr>
          <w:rFonts w:cs="Arial"/>
          <w:rtl/>
        </w:rPr>
        <w:t>אם הנחשד אומר שזנתה עמו</w:t>
      </w:r>
      <w:r>
        <w:rPr>
          <w:rStyle w:val="a7"/>
          <w:rFonts w:cs="Arial"/>
          <w:rtl/>
        </w:rPr>
        <w:footnoteReference w:id="3180"/>
      </w:r>
      <w:r w:rsidRPr="00FF1FB8">
        <w:rPr>
          <w:rFonts w:cs="Arial" w:hint="cs"/>
          <w:rtl/>
        </w:rPr>
        <w:t>,</w:t>
      </w:r>
      <w:r w:rsidRPr="00FF1FB8">
        <w:rPr>
          <w:rFonts w:cs="Arial"/>
          <w:rtl/>
        </w:rPr>
        <w:t xml:space="preserve"> והיא הודית לדבריו לפני איש אחד שנטמאה</w:t>
      </w:r>
      <w:r w:rsidRPr="00FF1FB8">
        <w:rPr>
          <w:rFonts w:cs="Arial" w:hint="cs"/>
          <w:rtl/>
        </w:rPr>
        <w:t xml:space="preserve"> -</w:t>
      </w:r>
      <w:r w:rsidRPr="00FF1FB8">
        <w:rPr>
          <w:rFonts w:cs="Arial"/>
          <w:rtl/>
        </w:rPr>
        <w:t xml:space="preserve"> אותן שנים מצטרפין ואסורה לבעלה</w:t>
      </w:r>
      <w:r>
        <w:rPr>
          <w:rFonts w:cs="Arial" w:hint="cs"/>
          <w:rtl/>
        </w:rPr>
        <w:t>.</w:t>
      </w:r>
      <w:r w:rsidRPr="00AE454B">
        <w:rPr>
          <w:rFonts w:hint="cs"/>
          <w:color w:val="00B0F0"/>
          <w:rtl/>
        </w:rPr>
        <w:t xml:space="preserve"> (וכ"פ הרמ"א)</w:t>
      </w:r>
    </w:p>
    <w:p w14:paraId="0A2A13AD" w14:textId="77777777" w:rsidR="002E5BAD" w:rsidRPr="00FF1FB8" w:rsidRDefault="002E5BAD" w:rsidP="002E5BAD">
      <w:r w:rsidRPr="00D22AF1">
        <w:rPr>
          <w:rFonts w:cs="Arial"/>
          <w:u w:val="single"/>
          <w:rtl/>
        </w:rPr>
        <w:t>אשה שאמרה לפני אחד שזנתה ואח"כ לפני בעלה אומרת שהוא שקר</w:t>
      </w:r>
      <w:r>
        <w:rPr>
          <w:rFonts w:cs="Arial" w:hint="cs"/>
          <w:u w:val="single"/>
          <w:rtl/>
        </w:rPr>
        <w:t>:</w:t>
      </w:r>
      <w:r>
        <w:rPr>
          <w:rFonts w:cs="Arial" w:hint="cs"/>
          <w:rtl/>
        </w:rPr>
        <w:t xml:space="preserve"> </w:t>
      </w:r>
      <w:r w:rsidRPr="00FF1FB8">
        <w:rPr>
          <w:rFonts w:cs="Arial" w:hint="cs"/>
          <w:sz w:val="16"/>
          <w:szCs w:val="16"/>
          <w:rtl/>
        </w:rPr>
        <w:t>(דרכ"מ אות יח)</w:t>
      </w:r>
    </w:p>
    <w:p w14:paraId="0B419CE8" w14:textId="77777777" w:rsidR="002E5BAD" w:rsidRDefault="002E5BAD" w:rsidP="00B75458">
      <w:pPr>
        <w:pStyle w:val="ab"/>
        <w:numPr>
          <w:ilvl w:val="0"/>
          <w:numId w:val="204"/>
        </w:numPr>
      </w:pPr>
      <w:r>
        <w:rPr>
          <w:rFonts w:cs="Arial" w:hint="cs"/>
          <w:rtl/>
        </w:rPr>
        <w:t xml:space="preserve">תרוה"ד </w:t>
      </w:r>
      <w:r w:rsidRPr="00FF1FB8">
        <w:rPr>
          <w:rFonts w:cs="Arial" w:hint="cs"/>
          <w:sz w:val="16"/>
          <w:szCs w:val="16"/>
          <w:rtl/>
        </w:rPr>
        <w:t>(פסקים סי' רכב)</w:t>
      </w:r>
      <w:r>
        <w:rPr>
          <w:rFonts w:cs="Arial" w:hint="cs"/>
          <w:rtl/>
        </w:rPr>
        <w:t xml:space="preserve">- </w:t>
      </w:r>
      <w:r w:rsidRPr="00FF1FB8">
        <w:rPr>
          <w:rFonts w:cs="Arial"/>
          <w:rtl/>
        </w:rPr>
        <w:t xml:space="preserve">אשה שאמרה לפני אחד שזנתה ואח"כ לפני בעלה אומרת שהוא שקר </w:t>
      </w:r>
      <w:r>
        <w:rPr>
          <w:rFonts w:cs="Arial" w:hint="cs"/>
          <w:rtl/>
        </w:rPr>
        <w:t xml:space="preserve">- </w:t>
      </w:r>
      <w:r w:rsidRPr="00FF1FB8">
        <w:rPr>
          <w:rFonts w:cs="Arial"/>
          <w:rtl/>
        </w:rPr>
        <w:t>אינו כלום</w:t>
      </w:r>
      <w:r>
        <w:rPr>
          <w:rFonts w:cs="Arial" w:hint="cs"/>
          <w:rtl/>
        </w:rPr>
        <w:t>,</w:t>
      </w:r>
      <w:r w:rsidRPr="00FF1FB8">
        <w:rPr>
          <w:rFonts w:cs="Arial"/>
          <w:rtl/>
        </w:rPr>
        <w:t xml:space="preserve"> דחיישינן שמא תחלה כשהודית עיניה נתנה באחר ואף על גב דחוזרת בה לאו כלום הוא</w:t>
      </w:r>
      <w:r>
        <w:rPr>
          <w:rStyle w:val="a7"/>
          <w:rFonts w:cs="Arial"/>
          <w:rtl/>
        </w:rPr>
        <w:footnoteReference w:id="3181"/>
      </w:r>
      <w:r>
        <w:rPr>
          <w:rFonts w:cs="Arial" w:hint="cs"/>
          <w:rtl/>
        </w:rPr>
        <w:t>.</w:t>
      </w:r>
      <w:r w:rsidRPr="00FF1FB8">
        <w:rPr>
          <w:rFonts w:cs="Arial"/>
          <w:rtl/>
        </w:rPr>
        <w:t xml:space="preserve"> </w:t>
      </w:r>
      <w:r w:rsidRPr="00AE454B">
        <w:rPr>
          <w:rFonts w:hint="cs"/>
          <w:color w:val="00B0F0"/>
          <w:rtl/>
        </w:rPr>
        <w:t>(וכ"פ הרמ"א)</w:t>
      </w:r>
    </w:p>
    <w:p w14:paraId="6F2D2793" w14:textId="77777777" w:rsidR="002E5BAD" w:rsidRPr="00DC3FF3" w:rsidRDefault="002E5BAD" w:rsidP="002E5BAD">
      <w:r w:rsidRPr="00DC3FF3">
        <w:rPr>
          <w:rFonts w:cs="Arial"/>
          <w:u w:val="single"/>
          <w:rtl/>
        </w:rPr>
        <w:t xml:space="preserve">אשה שאמרה </w:t>
      </w:r>
      <w:r>
        <w:rPr>
          <w:rFonts w:cs="Arial" w:hint="cs"/>
          <w:u w:val="single"/>
          <w:rtl/>
        </w:rPr>
        <w:t xml:space="preserve">שזנתה, ועמד בעלה וגירה אע"ג שאינה נאמנת </w:t>
      </w:r>
      <w:r>
        <w:rPr>
          <w:rFonts w:cs="Arial"/>
          <w:u w:val="single"/>
          <w:rtl/>
        </w:rPr>
        <w:t>–</w:t>
      </w:r>
      <w:r>
        <w:rPr>
          <w:rFonts w:cs="Arial" w:hint="cs"/>
          <w:u w:val="single"/>
          <w:rtl/>
        </w:rPr>
        <w:t xml:space="preserve"> האם יכול אח"כ להחזירה:</w:t>
      </w:r>
      <w:r w:rsidRPr="00DC3FF3">
        <w:rPr>
          <w:rFonts w:cs="Arial" w:hint="cs"/>
          <w:rtl/>
        </w:rPr>
        <w:t xml:space="preserve"> </w:t>
      </w:r>
      <w:r w:rsidRPr="00DC3FF3">
        <w:rPr>
          <w:rFonts w:cs="Arial" w:hint="cs"/>
          <w:sz w:val="16"/>
          <w:szCs w:val="16"/>
          <w:rtl/>
        </w:rPr>
        <w:t>(דרכ"מ אות יח)</w:t>
      </w:r>
    </w:p>
    <w:p w14:paraId="3254348E" w14:textId="77777777" w:rsidR="002E5BAD" w:rsidRDefault="002E5BAD" w:rsidP="00B75458">
      <w:pPr>
        <w:pStyle w:val="ab"/>
        <w:numPr>
          <w:ilvl w:val="0"/>
          <w:numId w:val="204"/>
        </w:numPr>
        <w:rPr>
          <w:rtl/>
        </w:rPr>
      </w:pPr>
      <w:r w:rsidRPr="00FF1FB8">
        <w:rPr>
          <w:rFonts w:cs="Arial"/>
          <w:rtl/>
        </w:rPr>
        <w:t xml:space="preserve">מהר"ם פאדו"ה </w:t>
      </w:r>
      <w:r w:rsidRPr="00DC3FF3">
        <w:rPr>
          <w:rFonts w:cs="Arial" w:hint="cs"/>
          <w:sz w:val="16"/>
          <w:szCs w:val="16"/>
          <w:rtl/>
        </w:rPr>
        <w:t>(</w:t>
      </w:r>
      <w:r w:rsidRPr="00DC3FF3">
        <w:rPr>
          <w:rFonts w:cs="Arial"/>
          <w:sz w:val="16"/>
          <w:szCs w:val="16"/>
          <w:rtl/>
        </w:rPr>
        <w:t>סי</w:t>
      </w:r>
      <w:r w:rsidRPr="00DC3FF3">
        <w:rPr>
          <w:rFonts w:cs="Arial" w:hint="cs"/>
          <w:sz w:val="16"/>
          <w:szCs w:val="16"/>
          <w:rtl/>
        </w:rPr>
        <w:t>'</w:t>
      </w:r>
      <w:r w:rsidRPr="00DC3FF3">
        <w:rPr>
          <w:rFonts w:cs="Arial"/>
          <w:sz w:val="16"/>
          <w:szCs w:val="16"/>
          <w:rtl/>
        </w:rPr>
        <w:t xml:space="preserve"> לד</w:t>
      </w:r>
      <w:r w:rsidRPr="00DC3FF3">
        <w:rPr>
          <w:rFonts w:cs="Arial" w:hint="cs"/>
          <w:sz w:val="16"/>
          <w:szCs w:val="16"/>
          <w:rtl/>
        </w:rPr>
        <w:t>)</w:t>
      </w:r>
      <w:r>
        <w:rPr>
          <w:rFonts w:cs="Arial" w:hint="cs"/>
          <w:rtl/>
        </w:rPr>
        <w:t xml:space="preserve">- </w:t>
      </w:r>
      <w:r w:rsidRPr="00FF1FB8">
        <w:rPr>
          <w:rFonts w:cs="Arial"/>
          <w:rtl/>
        </w:rPr>
        <w:t>אשה שאמרה שזנתה אף על גב דאינה נאמנת אם עמד בעלה וגירשה ועומדת בדבריה אסור להחזירה</w:t>
      </w:r>
      <w:r>
        <w:rPr>
          <w:rFonts w:cs="Arial" w:hint="cs"/>
          <w:rtl/>
        </w:rPr>
        <w:t>.</w:t>
      </w:r>
      <w:r w:rsidRPr="00FF1FB8">
        <w:rPr>
          <w:rFonts w:cs="Arial"/>
          <w:rtl/>
        </w:rPr>
        <w:t xml:space="preserve"> ואפילו החזירה</w:t>
      </w:r>
      <w:r>
        <w:rPr>
          <w:rFonts w:cs="Arial" w:hint="cs"/>
          <w:rtl/>
        </w:rPr>
        <w:t>,</w:t>
      </w:r>
      <w:r w:rsidRPr="00FF1FB8">
        <w:rPr>
          <w:rFonts w:cs="Arial"/>
          <w:rtl/>
        </w:rPr>
        <w:t xml:space="preserve"> יש לחוש</w:t>
      </w:r>
      <w:r>
        <w:rPr>
          <w:rFonts w:cs="Arial" w:hint="cs"/>
          <w:rtl/>
        </w:rPr>
        <w:t>.</w:t>
      </w:r>
      <w:r>
        <w:rPr>
          <w:rFonts w:hint="cs"/>
          <w:rtl/>
        </w:rPr>
        <w:t xml:space="preserve"> </w:t>
      </w:r>
      <w:r w:rsidRPr="00AE454B">
        <w:rPr>
          <w:rFonts w:hint="cs"/>
          <w:color w:val="00B0F0"/>
          <w:rtl/>
        </w:rPr>
        <w:t>(וכ"פ הרמ"א)</w:t>
      </w:r>
    </w:p>
    <w:p w14:paraId="6370F2B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1B5899" w14:textId="77777777" w:rsidR="002E5BAD" w:rsidRDefault="002E5BAD" w:rsidP="002E5BAD">
      <w:pPr>
        <w:rPr>
          <w:rtl/>
        </w:rPr>
      </w:pPr>
      <w:r>
        <w:rPr>
          <w:rFonts w:cs="Arial"/>
          <w:rtl/>
        </w:rPr>
        <w:t xml:space="preserve">אין עדים שזינתה, אלא שהיא אומרת שזינתה, אין חוששין לדבר זה לאוסרה, דשמא עיניה נתנה באחר. </w:t>
      </w:r>
      <w:r>
        <w:rPr>
          <w:rFonts w:cs="Arial" w:hint="cs"/>
          <w:sz w:val="18"/>
          <w:szCs w:val="18"/>
          <w:rtl/>
        </w:rPr>
        <w:t xml:space="preserve">[הגה] </w:t>
      </w:r>
      <w:r w:rsidRPr="00547575">
        <w:rPr>
          <w:rFonts w:cs="Arial"/>
          <w:sz w:val="18"/>
          <w:szCs w:val="18"/>
          <w:rtl/>
        </w:rPr>
        <w:t>ודוקא שאין רגלים לדבר, אבל אם יש רגלים לדבר נאמנת (פסקי מהרא"י סי' רכ"ב)</w:t>
      </w:r>
      <w:r>
        <w:rPr>
          <w:rFonts w:cs="Arial"/>
          <w:rtl/>
        </w:rPr>
        <w:t xml:space="preserve">, אבל איבדה כתובתה, עיקר ותוספת ומה שאינו בעין ממה שהכניסה לו. </w:t>
      </w:r>
      <w:r>
        <w:rPr>
          <w:rFonts w:cs="Arial" w:hint="cs"/>
          <w:sz w:val="18"/>
          <w:szCs w:val="18"/>
          <w:rtl/>
        </w:rPr>
        <w:t xml:space="preserve">[הגה] </w:t>
      </w:r>
      <w:r w:rsidRPr="00B24647">
        <w:rPr>
          <w:rFonts w:cs="Arial"/>
          <w:sz w:val="18"/>
          <w:szCs w:val="18"/>
          <w:rtl/>
        </w:rPr>
        <w:t>ואם חזרה בה ונתנה אמתלא לדבריה</w:t>
      </w:r>
      <w:r>
        <w:rPr>
          <w:rStyle w:val="a7"/>
          <w:rFonts w:cs="Arial"/>
          <w:sz w:val="18"/>
          <w:szCs w:val="18"/>
          <w:rtl/>
        </w:rPr>
        <w:footnoteReference w:id="3182"/>
      </w:r>
      <w:r w:rsidRPr="00B24647">
        <w:rPr>
          <w:rFonts w:cs="Arial"/>
          <w:sz w:val="18"/>
          <w:szCs w:val="18"/>
          <w:rtl/>
        </w:rPr>
        <w:t xml:space="preserve"> למה אמרה בתחלה כן, נאמנת (</w:t>
      </w:r>
      <w:r>
        <w:rPr>
          <w:rFonts w:cs="Arial" w:hint="cs"/>
          <w:sz w:val="18"/>
          <w:szCs w:val="18"/>
          <w:rtl/>
        </w:rPr>
        <w:t>הגמ"ר</w:t>
      </w:r>
      <w:r w:rsidRPr="00B24647">
        <w:rPr>
          <w:rFonts w:cs="Arial"/>
          <w:sz w:val="18"/>
          <w:szCs w:val="18"/>
          <w:rtl/>
        </w:rPr>
        <w:t xml:space="preserve"> דקדושין). </w:t>
      </w:r>
      <w:r>
        <w:rPr>
          <w:rFonts w:cs="Arial"/>
          <w:rtl/>
        </w:rPr>
        <w:t>ואם היה מאמינה ודעתו סומכת על דבריה, ה</w:t>
      </w:r>
      <w:r>
        <w:rPr>
          <w:rFonts w:cs="Arial" w:hint="cs"/>
          <w:rtl/>
        </w:rPr>
        <w:t xml:space="preserve">רי </w:t>
      </w:r>
      <w:r>
        <w:rPr>
          <w:rFonts w:cs="Arial"/>
          <w:rtl/>
        </w:rPr>
        <w:t>ז</w:t>
      </w:r>
      <w:r>
        <w:rPr>
          <w:rFonts w:cs="Arial" w:hint="cs"/>
          <w:rtl/>
        </w:rPr>
        <w:t>ה</w:t>
      </w:r>
      <w:r>
        <w:rPr>
          <w:rFonts w:cs="Arial"/>
          <w:rtl/>
        </w:rPr>
        <w:t xml:space="preserve"> חייב להוציאה, אבל אין כופין אותו להוציאה. אבל אם נאנסה, לא הפסידה כתובתה, לא אשת ישראל ולא אשת כהן. </w:t>
      </w:r>
      <w:r w:rsidRPr="00B24647">
        <w:rPr>
          <w:rFonts w:cs="Arial"/>
          <w:sz w:val="18"/>
          <w:szCs w:val="18"/>
          <w:rtl/>
        </w:rPr>
        <w:t>הגה: ועיין לקמן סימן קע"ח סעיף ט'. אמר א' על אשה אחת שזנתה עמו, נאמן עליה כעד אחד</w:t>
      </w:r>
      <w:r>
        <w:rPr>
          <w:rStyle w:val="a7"/>
          <w:rFonts w:cs="Arial"/>
          <w:sz w:val="18"/>
          <w:szCs w:val="18"/>
          <w:rtl/>
        </w:rPr>
        <w:footnoteReference w:id="3183"/>
      </w:r>
      <w:r w:rsidRPr="00B24647">
        <w:rPr>
          <w:rFonts w:cs="Arial"/>
          <w:sz w:val="18"/>
          <w:szCs w:val="18"/>
          <w:rtl/>
        </w:rPr>
        <w:t>, דפלגינן דיבוריה (רשב"א סי' תקנב). ואם היא הודית לפני אחד שנטמאת, הנחשד מצטרף עם האחד לאסרה על בעלה</w:t>
      </w:r>
      <w:r>
        <w:rPr>
          <w:rStyle w:val="a7"/>
          <w:rFonts w:cs="Arial"/>
          <w:sz w:val="18"/>
          <w:szCs w:val="18"/>
          <w:rtl/>
        </w:rPr>
        <w:footnoteReference w:id="3184"/>
      </w:r>
      <w:r w:rsidRPr="00B24647">
        <w:rPr>
          <w:rFonts w:cs="Arial"/>
          <w:sz w:val="18"/>
          <w:szCs w:val="18"/>
          <w:rtl/>
        </w:rPr>
        <w:t xml:space="preserve"> (</w:t>
      </w:r>
      <w:r>
        <w:rPr>
          <w:rFonts w:cs="Arial" w:hint="cs"/>
          <w:sz w:val="18"/>
          <w:szCs w:val="18"/>
          <w:rtl/>
        </w:rPr>
        <w:t>תרוה"ד</w:t>
      </w:r>
      <w:r w:rsidRPr="00B24647">
        <w:rPr>
          <w:rFonts w:cs="Arial"/>
          <w:sz w:val="18"/>
          <w:szCs w:val="18"/>
          <w:rtl/>
        </w:rPr>
        <w:t>). הודית לפני אחד</w:t>
      </w:r>
      <w:r>
        <w:rPr>
          <w:rStyle w:val="a7"/>
          <w:rFonts w:cs="Arial"/>
          <w:sz w:val="18"/>
          <w:szCs w:val="18"/>
          <w:rtl/>
        </w:rPr>
        <w:footnoteReference w:id="3185"/>
      </w:r>
      <w:r w:rsidRPr="00B24647">
        <w:rPr>
          <w:rFonts w:cs="Arial"/>
          <w:sz w:val="18"/>
          <w:szCs w:val="18"/>
          <w:rtl/>
        </w:rPr>
        <w:t xml:space="preserve"> שזנתה, ואח"כ אומרת ששקר הוא, ומכחשת העד המעיד עליה, מותרת לבעלה אף אם מאמין הבעל לעד המעיד עליה, דאמרינן בתחלה שהודית נתנה עיניה באחר ועכשיו חוזרת בה (</w:t>
      </w:r>
      <w:r>
        <w:rPr>
          <w:rFonts w:cs="Arial" w:hint="cs"/>
          <w:sz w:val="18"/>
          <w:szCs w:val="18"/>
          <w:rtl/>
        </w:rPr>
        <w:t>תרוה"ד ו</w:t>
      </w:r>
      <w:r w:rsidRPr="00B24647">
        <w:rPr>
          <w:rFonts w:cs="Arial"/>
          <w:sz w:val="18"/>
          <w:szCs w:val="18"/>
          <w:rtl/>
        </w:rPr>
        <w:t>מהרי"ק). אשה שאמרה לבעלה שזנתה, אע</w:t>
      </w:r>
      <w:r>
        <w:rPr>
          <w:rFonts w:cs="Arial" w:hint="cs"/>
          <w:sz w:val="18"/>
          <w:szCs w:val="18"/>
          <w:rtl/>
        </w:rPr>
        <w:t>"</w:t>
      </w:r>
      <w:r w:rsidRPr="00B24647">
        <w:rPr>
          <w:rFonts w:cs="Arial"/>
          <w:sz w:val="18"/>
          <w:szCs w:val="18"/>
          <w:rtl/>
        </w:rPr>
        <w:t>פ שאינה נאמנת, אם עמד וגירשה, אסור להחזירה</w:t>
      </w:r>
      <w:r>
        <w:rPr>
          <w:rStyle w:val="a7"/>
          <w:rFonts w:cs="Arial"/>
          <w:sz w:val="18"/>
          <w:szCs w:val="18"/>
          <w:rtl/>
        </w:rPr>
        <w:footnoteReference w:id="3186"/>
      </w:r>
      <w:r>
        <w:rPr>
          <w:rFonts w:cs="Arial" w:hint="cs"/>
          <w:sz w:val="18"/>
          <w:szCs w:val="18"/>
          <w:rtl/>
        </w:rPr>
        <w:t>.</w:t>
      </w:r>
      <w:r w:rsidRPr="00B24647">
        <w:rPr>
          <w:rFonts w:cs="Arial"/>
          <w:sz w:val="18"/>
          <w:szCs w:val="18"/>
          <w:rtl/>
        </w:rPr>
        <w:t xml:space="preserve"> ואפילו אם החזירה, יש לחוש (מהר"ם פדוואה). </w:t>
      </w:r>
    </w:p>
    <w:p w14:paraId="5722DFCA" w14:textId="77777777" w:rsidR="002E5BAD" w:rsidRDefault="002E5BAD" w:rsidP="002E5BAD">
      <w:pPr>
        <w:rPr>
          <w:rFonts w:cs="Arial"/>
          <w:rtl/>
        </w:rPr>
      </w:pPr>
      <w:r w:rsidRPr="0024576C">
        <w:rPr>
          <w:rFonts w:cs="Arial" w:hint="cs"/>
          <w:u w:val="single"/>
          <w:rtl/>
        </w:rPr>
        <w:lastRenderedPageBreak/>
        <w:t>האם אומרים 'עיניה נתנה באיש אחר' גם כשמעשיה מוכיחים שאי</w:t>
      </w:r>
      <w:r>
        <w:rPr>
          <w:rFonts w:cs="Arial" w:hint="cs"/>
          <w:u w:val="single"/>
          <w:rtl/>
        </w:rPr>
        <w:t>נ</w:t>
      </w:r>
      <w:r w:rsidRPr="0024576C">
        <w:rPr>
          <w:rFonts w:cs="Arial" w:hint="cs"/>
          <w:u w:val="single"/>
          <w:rtl/>
        </w:rPr>
        <w:t>ה רוצה להתגרש מבעלה</w:t>
      </w:r>
      <w:r>
        <w:rPr>
          <w:rFonts w:cs="Arial" w:hint="cs"/>
          <w:u w:val="single"/>
          <w:rtl/>
        </w:rPr>
        <w:t xml:space="preserve"> בשום פנים</w:t>
      </w:r>
      <w:r w:rsidRPr="0024576C">
        <w:rPr>
          <w:rFonts w:cs="Arial" w:hint="cs"/>
          <w:u w:val="single"/>
          <w:rtl/>
        </w:rPr>
        <w:t>:</w:t>
      </w:r>
      <w:r w:rsidRPr="0024576C">
        <w:rPr>
          <w:rFonts w:cs="Arial" w:hint="cs"/>
          <w:sz w:val="16"/>
          <w:szCs w:val="16"/>
          <w:rtl/>
        </w:rPr>
        <w:t xml:space="preserve"> (פת"ש סקכ"ה)</w:t>
      </w:r>
      <w:r>
        <w:rPr>
          <w:rFonts w:cs="Arial" w:hint="cs"/>
          <w:rtl/>
        </w:rPr>
        <w:t xml:space="preserve"> </w:t>
      </w:r>
    </w:p>
    <w:p w14:paraId="6FF02C1C" w14:textId="77777777" w:rsidR="002E5BAD" w:rsidRPr="00423E56" w:rsidRDefault="002E5BAD" w:rsidP="00B75458">
      <w:pPr>
        <w:pStyle w:val="ab"/>
        <w:numPr>
          <w:ilvl w:val="0"/>
          <w:numId w:val="204"/>
        </w:numPr>
        <w:rPr>
          <w:rFonts w:cs="Arial"/>
          <w:rtl/>
        </w:rPr>
      </w:pPr>
      <w:r w:rsidRPr="00423E56">
        <w:rPr>
          <w:rFonts w:cs="Arial"/>
          <w:rtl/>
        </w:rPr>
        <w:t>נו"ב</w:t>
      </w:r>
      <w:r w:rsidRPr="00423E56">
        <w:rPr>
          <w:rFonts w:cs="Arial"/>
          <w:sz w:val="16"/>
          <w:szCs w:val="16"/>
          <w:rtl/>
        </w:rPr>
        <w:t xml:space="preserve"> </w:t>
      </w:r>
      <w:r w:rsidRPr="00423E56">
        <w:rPr>
          <w:rFonts w:cs="Arial" w:hint="cs"/>
          <w:sz w:val="16"/>
          <w:szCs w:val="16"/>
          <w:rtl/>
        </w:rPr>
        <w:t>(</w:t>
      </w:r>
      <w:r w:rsidRPr="00423E56">
        <w:rPr>
          <w:rFonts w:cs="Arial"/>
          <w:sz w:val="16"/>
          <w:szCs w:val="16"/>
          <w:rtl/>
        </w:rPr>
        <w:t>סי</w:t>
      </w:r>
      <w:r w:rsidRPr="00423E56">
        <w:rPr>
          <w:rFonts w:cs="Arial" w:hint="cs"/>
          <w:sz w:val="16"/>
          <w:szCs w:val="16"/>
          <w:rtl/>
        </w:rPr>
        <w:t>'</w:t>
      </w:r>
      <w:r w:rsidRPr="00423E56">
        <w:rPr>
          <w:rFonts w:cs="Arial"/>
          <w:sz w:val="16"/>
          <w:szCs w:val="16"/>
          <w:rtl/>
        </w:rPr>
        <w:t xml:space="preserve"> ע</w:t>
      </w:r>
      <w:r w:rsidRPr="00423E56">
        <w:rPr>
          <w:rFonts w:cs="Arial" w:hint="cs"/>
          <w:sz w:val="16"/>
          <w:szCs w:val="16"/>
          <w:rtl/>
        </w:rPr>
        <w:t>)</w:t>
      </w:r>
      <w:r w:rsidRPr="00423E56">
        <w:rPr>
          <w:rFonts w:cs="Arial" w:hint="cs"/>
          <w:rtl/>
        </w:rPr>
        <w:t>-</w:t>
      </w:r>
      <w:r w:rsidRPr="00423E56">
        <w:rPr>
          <w:rFonts w:cs="Arial"/>
          <w:rtl/>
        </w:rPr>
        <w:t xml:space="preserve"> יש לדון באשה זו שאינה רוצה להתגרש בשום אופן אולי לא שייך בה עיניה נתנה באחר ומהראוי שתהא נאמנת אך באמת הדבר קשה לחלק בזה ובש"ע סתם ואמר אין עדים שזינתה אלא שהיא אומרת אין חוששין כו' וי"ל הטעם לפי מה דמסיק הר"ן בנדרים שם דגם למשנה הראשונה לא ע"פ דין היתה נאמנת כו' וא"כ כיון שנתבטל התקנה הראשונה ממילא לא מהימנא אפילו היכא דלא שייך ענ"ב.</w:t>
      </w:r>
    </w:p>
    <w:p w14:paraId="6BD9254E" w14:textId="77777777" w:rsidR="002E5BAD" w:rsidRDefault="002E5BAD" w:rsidP="00B75458">
      <w:pPr>
        <w:pStyle w:val="ab"/>
        <w:numPr>
          <w:ilvl w:val="0"/>
          <w:numId w:val="204"/>
        </w:numPr>
        <w:rPr>
          <w:rFonts w:cs="Arial"/>
        </w:rPr>
      </w:pPr>
      <w:r w:rsidRPr="00423E56">
        <w:rPr>
          <w:rFonts w:cs="Arial"/>
          <w:rtl/>
        </w:rPr>
        <w:t xml:space="preserve">מהרי"ט </w:t>
      </w:r>
      <w:r w:rsidRPr="00423E56">
        <w:rPr>
          <w:rFonts w:cs="Arial" w:hint="cs"/>
          <w:sz w:val="16"/>
          <w:szCs w:val="16"/>
          <w:rtl/>
        </w:rPr>
        <w:t>(</w:t>
      </w:r>
      <w:r w:rsidRPr="00423E56">
        <w:rPr>
          <w:rFonts w:cs="Arial"/>
          <w:sz w:val="16"/>
          <w:szCs w:val="16"/>
          <w:rtl/>
        </w:rPr>
        <w:t>ח"א ס"ס צב</w:t>
      </w:r>
      <w:r w:rsidRPr="00423E56">
        <w:rPr>
          <w:rFonts w:cs="Arial" w:hint="cs"/>
          <w:sz w:val="16"/>
          <w:szCs w:val="16"/>
          <w:rtl/>
        </w:rPr>
        <w:t>)</w:t>
      </w:r>
      <w:r w:rsidRPr="00423E56">
        <w:rPr>
          <w:rFonts w:cs="Arial" w:hint="cs"/>
          <w:rtl/>
        </w:rPr>
        <w:t xml:space="preserve"> ו</w:t>
      </w:r>
      <w:r w:rsidRPr="00423E56">
        <w:rPr>
          <w:rFonts w:cs="Arial"/>
          <w:rtl/>
        </w:rPr>
        <w:t xml:space="preserve">ברית אברהם </w:t>
      </w:r>
      <w:r w:rsidRPr="00423E56">
        <w:rPr>
          <w:rFonts w:cs="Arial" w:hint="cs"/>
          <w:sz w:val="16"/>
          <w:szCs w:val="16"/>
          <w:rtl/>
        </w:rPr>
        <w:t>(</w:t>
      </w:r>
      <w:r w:rsidRPr="00423E56">
        <w:rPr>
          <w:rFonts w:cs="Arial"/>
          <w:sz w:val="16"/>
          <w:szCs w:val="16"/>
          <w:rtl/>
        </w:rPr>
        <w:t>סי' עד אות א</w:t>
      </w:r>
      <w:r w:rsidRPr="00423E56">
        <w:rPr>
          <w:rFonts w:cs="Arial" w:hint="cs"/>
          <w:sz w:val="16"/>
          <w:szCs w:val="16"/>
          <w:rtl/>
        </w:rPr>
        <w:t>)</w:t>
      </w:r>
      <w:r w:rsidRPr="00423E56">
        <w:rPr>
          <w:rFonts w:cs="Arial" w:hint="cs"/>
          <w:rtl/>
        </w:rPr>
        <w:t xml:space="preserve">- </w:t>
      </w:r>
      <w:r w:rsidRPr="00423E56">
        <w:rPr>
          <w:rFonts w:cs="Arial"/>
          <w:rtl/>
        </w:rPr>
        <w:t>לא שייך ע</w:t>
      </w:r>
      <w:r w:rsidRPr="00423E56">
        <w:rPr>
          <w:rFonts w:cs="Arial" w:hint="cs"/>
          <w:rtl/>
        </w:rPr>
        <w:t xml:space="preserve">יניה נתנה </w:t>
      </w:r>
      <w:r w:rsidRPr="00423E56">
        <w:rPr>
          <w:rFonts w:cs="Arial"/>
          <w:rtl/>
        </w:rPr>
        <w:t>ב</w:t>
      </w:r>
      <w:r w:rsidRPr="00423E56">
        <w:rPr>
          <w:rFonts w:cs="Arial" w:hint="cs"/>
          <w:rtl/>
        </w:rPr>
        <w:t>אחר</w:t>
      </w:r>
      <w:r w:rsidRPr="00423E56">
        <w:rPr>
          <w:rFonts w:cs="Arial"/>
          <w:rtl/>
        </w:rPr>
        <w:t xml:space="preserve"> </w:t>
      </w:r>
      <w:r w:rsidRPr="00423E56">
        <w:rPr>
          <w:rFonts w:cs="Arial" w:hint="cs"/>
          <w:rtl/>
        </w:rPr>
        <w:t>כ</w:t>
      </w:r>
      <w:r w:rsidRPr="00423E56">
        <w:rPr>
          <w:rFonts w:cs="Arial"/>
          <w:rtl/>
        </w:rPr>
        <w:t>שמעשים מוכיחין שחפיצ</w:t>
      </w:r>
      <w:r w:rsidRPr="00423E56">
        <w:rPr>
          <w:rFonts w:cs="Arial" w:hint="cs"/>
          <w:rtl/>
        </w:rPr>
        <w:t>ה</w:t>
      </w:r>
      <w:r w:rsidRPr="00423E56">
        <w:rPr>
          <w:rFonts w:cs="Arial"/>
          <w:rtl/>
        </w:rPr>
        <w:t xml:space="preserve"> בבעלה כיון דטרחה לזייף גט מהראשון</w:t>
      </w:r>
      <w:r w:rsidRPr="00423E56">
        <w:rPr>
          <w:rFonts w:cs="Arial" w:hint="cs"/>
          <w:rtl/>
        </w:rPr>
        <w:t>.</w:t>
      </w:r>
    </w:p>
    <w:p w14:paraId="04791A59" w14:textId="77777777" w:rsidR="002E5BAD" w:rsidRPr="00BB1C78" w:rsidRDefault="002E5BAD" w:rsidP="002E5BAD">
      <w:pPr>
        <w:rPr>
          <w:rFonts w:cs="Arial"/>
        </w:rPr>
      </w:pPr>
      <w:r w:rsidRPr="0024576C">
        <w:rPr>
          <w:rFonts w:cs="Arial" w:hint="cs"/>
          <w:u w:val="single"/>
          <w:rtl/>
        </w:rPr>
        <w:t>האם אומרים '</w:t>
      </w:r>
      <w:r>
        <w:rPr>
          <w:rFonts w:cs="Arial" w:hint="cs"/>
          <w:u w:val="single"/>
          <w:rtl/>
        </w:rPr>
        <w:t>רגלים לדבר</w:t>
      </w:r>
      <w:r w:rsidRPr="0024576C">
        <w:rPr>
          <w:rFonts w:cs="Arial" w:hint="cs"/>
          <w:u w:val="single"/>
          <w:rtl/>
        </w:rPr>
        <w:t xml:space="preserve">' </w:t>
      </w:r>
      <w:r>
        <w:rPr>
          <w:rFonts w:cs="Arial" w:hint="cs"/>
          <w:u w:val="single"/>
          <w:rtl/>
        </w:rPr>
        <w:t>מתוך דבריה של האשה</w:t>
      </w:r>
      <w:r w:rsidRPr="0024576C">
        <w:rPr>
          <w:rFonts w:cs="Arial" w:hint="cs"/>
          <w:u w:val="single"/>
          <w:rtl/>
        </w:rPr>
        <w:t>:</w:t>
      </w:r>
      <w:r w:rsidRPr="0024576C">
        <w:rPr>
          <w:rFonts w:cs="Arial" w:hint="cs"/>
          <w:sz w:val="16"/>
          <w:szCs w:val="16"/>
          <w:rtl/>
        </w:rPr>
        <w:t xml:space="preserve"> (פת"ש סקכ"ה)</w:t>
      </w:r>
    </w:p>
    <w:p w14:paraId="34F4894C" w14:textId="77777777" w:rsidR="002E5BAD" w:rsidRDefault="002E5BAD" w:rsidP="00B75458">
      <w:pPr>
        <w:pStyle w:val="ab"/>
        <w:numPr>
          <w:ilvl w:val="0"/>
          <w:numId w:val="204"/>
        </w:numPr>
        <w:rPr>
          <w:rFonts w:cs="Arial"/>
        </w:rPr>
      </w:pPr>
      <w:r w:rsidRPr="00423E56">
        <w:rPr>
          <w:rFonts w:cs="Arial"/>
          <w:rtl/>
        </w:rPr>
        <w:t>נו"ב</w:t>
      </w:r>
      <w:r w:rsidRPr="00423E56">
        <w:rPr>
          <w:rFonts w:cs="Arial"/>
          <w:sz w:val="16"/>
          <w:szCs w:val="16"/>
          <w:rtl/>
        </w:rPr>
        <w:t xml:space="preserve"> </w:t>
      </w:r>
      <w:r>
        <w:rPr>
          <w:rFonts w:cs="Arial" w:hint="cs"/>
          <w:sz w:val="16"/>
          <w:szCs w:val="16"/>
          <w:rtl/>
        </w:rPr>
        <w:t>(תניינא סי' יב,</w:t>
      </w:r>
      <w:r w:rsidRPr="00BB1C78">
        <w:rPr>
          <w:rFonts w:cs="Arial"/>
          <w:sz w:val="16"/>
          <w:szCs w:val="16"/>
          <w:rtl/>
        </w:rPr>
        <w:t xml:space="preserve"> </w:t>
      </w:r>
      <w:r>
        <w:rPr>
          <w:rFonts w:cs="Arial" w:hint="cs"/>
          <w:sz w:val="16"/>
          <w:szCs w:val="16"/>
          <w:rtl/>
        </w:rPr>
        <w:t xml:space="preserve">ובמה"ק </w:t>
      </w:r>
      <w:r w:rsidRPr="00423E56">
        <w:rPr>
          <w:rFonts w:cs="Arial"/>
          <w:sz w:val="16"/>
          <w:szCs w:val="16"/>
          <w:rtl/>
        </w:rPr>
        <w:t>סי</w:t>
      </w:r>
      <w:r w:rsidRPr="00423E56">
        <w:rPr>
          <w:rFonts w:cs="Arial" w:hint="cs"/>
          <w:sz w:val="16"/>
          <w:szCs w:val="16"/>
          <w:rtl/>
        </w:rPr>
        <w:t>'</w:t>
      </w:r>
      <w:r w:rsidRPr="00423E56">
        <w:rPr>
          <w:rFonts w:cs="Arial"/>
          <w:sz w:val="16"/>
          <w:szCs w:val="16"/>
          <w:rtl/>
        </w:rPr>
        <w:t xml:space="preserve"> ע</w:t>
      </w:r>
      <w:r>
        <w:rPr>
          <w:rFonts w:cs="Arial" w:hint="cs"/>
          <w:sz w:val="16"/>
          <w:szCs w:val="16"/>
          <w:rtl/>
        </w:rPr>
        <w:t>א</w:t>
      </w:r>
      <w:r w:rsidRPr="00423E56">
        <w:rPr>
          <w:rFonts w:cs="Arial" w:hint="cs"/>
          <w:sz w:val="16"/>
          <w:szCs w:val="16"/>
          <w:rtl/>
        </w:rPr>
        <w:t>)</w:t>
      </w:r>
      <w:r>
        <w:rPr>
          <w:rFonts w:cs="Arial" w:hint="cs"/>
          <w:rtl/>
        </w:rPr>
        <w:t xml:space="preserve"> צ"צ </w:t>
      </w:r>
      <w:r>
        <w:rPr>
          <w:rFonts w:cs="Arial" w:hint="cs"/>
          <w:sz w:val="16"/>
          <w:szCs w:val="16"/>
          <w:rtl/>
        </w:rPr>
        <w:t>(סי' פב)</w:t>
      </w:r>
      <w:r>
        <w:rPr>
          <w:rFonts w:cs="Arial" w:hint="cs"/>
          <w:rtl/>
        </w:rPr>
        <w:t xml:space="preserve"> וברית אברהם </w:t>
      </w:r>
      <w:r>
        <w:rPr>
          <w:rFonts w:cs="Arial" w:hint="cs"/>
          <w:sz w:val="16"/>
          <w:szCs w:val="16"/>
          <w:rtl/>
        </w:rPr>
        <w:t>(סי' עד)</w:t>
      </w:r>
      <w:r w:rsidRPr="00423E56">
        <w:rPr>
          <w:rFonts w:cs="Arial" w:hint="cs"/>
          <w:rtl/>
        </w:rPr>
        <w:t>-</w:t>
      </w:r>
      <w:r w:rsidRPr="00423E56">
        <w:rPr>
          <w:rFonts w:cs="Arial"/>
          <w:rtl/>
        </w:rPr>
        <w:t xml:space="preserve"> </w:t>
      </w:r>
      <w:r w:rsidRPr="00BB1C78">
        <w:rPr>
          <w:rFonts w:cs="Arial"/>
          <w:rtl/>
        </w:rPr>
        <w:t>ובגוף הדבר שהחליט השואל כיון שאמרה כן בשעת חולי דרך וידוי מקרי רגלים לדבר לדעתי לא החמירו ברגלים לדבר אלא ביש רגלים בלי אמירה דידה שאף אם לא היתה אומרת כלל שזינתה רגלים לדבר ממקום אחר שזינתה זה מצטרף בהדי אמיר</w:t>
      </w:r>
      <w:r>
        <w:rPr>
          <w:rFonts w:cs="Arial" w:hint="cs"/>
          <w:rtl/>
        </w:rPr>
        <w:t>ה</w:t>
      </w:r>
      <w:r w:rsidRPr="00BB1C78">
        <w:rPr>
          <w:rFonts w:cs="Arial"/>
          <w:rtl/>
        </w:rPr>
        <w:t xml:space="preserve"> דיד</w:t>
      </w:r>
      <w:r>
        <w:rPr>
          <w:rFonts w:cs="Arial" w:hint="cs"/>
          <w:rtl/>
        </w:rPr>
        <w:t>ה</w:t>
      </w:r>
      <w:r w:rsidRPr="00BB1C78">
        <w:rPr>
          <w:rFonts w:cs="Arial"/>
          <w:rtl/>
        </w:rPr>
        <w:t xml:space="preserve"> וכן משמע במהרא"י סי' רכ"ב</w:t>
      </w:r>
      <w:r>
        <w:rPr>
          <w:rFonts w:cs="Arial" w:hint="cs"/>
          <w:rtl/>
        </w:rPr>
        <w:t>...</w:t>
      </w:r>
      <w:r w:rsidRPr="00BB1C78">
        <w:rPr>
          <w:rFonts w:cs="Arial"/>
          <w:rtl/>
        </w:rPr>
        <w:t xml:space="preserve"> ומ"ש בת' חו"י </w:t>
      </w:r>
      <w:r>
        <w:rPr>
          <w:rFonts w:cs="Arial" w:hint="cs"/>
          <w:rtl/>
        </w:rPr>
        <w:t>(</w:t>
      </w:r>
      <w:r w:rsidRPr="00BB1C78">
        <w:rPr>
          <w:rFonts w:cs="Arial"/>
          <w:rtl/>
        </w:rPr>
        <w:t>סי' עב</w:t>
      </w:r>
      <w:r>
        <w:rPr>
          <w:rFonts w:cs="Arial" w:hint="cs"/>
          <w:rtl/>
        </w:rPr>
        <w:t>)</w:t>
      </w:r>
      <w:r w:rsidRPr="00BB1C78">
        <w:rPr>
          <w:rFonts w:cs="Arial"/>
          <w:rtl/>
        </w:rPr>
        <w:t xml:space="preserve"> שאם אמרה דרך וידוי אסורה לא מצאתי ראי' לדבריו ובפרט לדברי הר"ן בנדרים דמצד הדין מעולם לא היתה נאמנת כו'</w:t>
      </w:r>
      <w:r>
        <w:rPr>
          <w:rFonts w:cs="Arial" w:hint="cs"/>
          <w:sz w:val="16"/>
          <w:szCs w:val="16"/>
          <w:rtl/>
        </w:rPr>
        <w:t xml:space="preserve"> (ל' הנו"ב)</w:t>
      </w:r>
      <w:r>
        <w:rPr>
          <w:rFonts w:cs="Arial" w:hint="cs"/>
          <w:rtl/>
        </w:rPr>
        <w:t>.</w:t>
      </w:r>
      <w:r w:rsidRPr="00BB1C78">
        <w:rPr>
          <w:rFonts w:cs="Arial"/>
          <w:rtl/>
        </w:rPr>
        <w:t xml:space="preserve"> </w:t>
      </w:r>
    </w:p>
    <w:p w14:paraId="2443EE98" w14:textId="77777777" w:rsidR="002E5BAD" w:rsidRPr="00BB1C78" w:rsidRDefault="002E5BAD" w:rsidP="00B75458">
      <w:pPr>
        <w:pStyle w:val="ab"/>
        <w:numPr>
          <w:ilvl w:val="0"/>
          <w:numId w:val="204"/>
        </w:numPr>
        <w:rPr>
          <w:rFonts w:cs="Arial"/>
          <w:rtl/>
        </w:rPr>
      </w:pPr>
      <w:r w:rsidRPr="00BB1C78">
        <w:rPr>
          <w:rFonts w:cs="Arial"/>
          <w:rtl/>
        </w:rPr>
        <w:t xml:space="preserve">ב"ח </w:t>
      </w:r>
      <w:r w:rsidRPr="003429C8">
        <w:rPr>
          <w:rFonts w:cs="Arial" w:hint="cs"/>
          <w:sz w:val="16"/>
          <w:szCs w:val="16"/>
          <w:rtl/>
        </w:rPr>
        <w:t>(</w:t>
      </w:r>
      <w:r w:rsidRPr="003429C8">
        <w:rPr>
          <w:rFonts w:cs="Arial"/>
          <w:sz w:val="16"/>
          <w:szCs w:val="16"/>
          <w:rtl/>
        </w:rPr>
        <w:t>ס"ס צח</w:t>
      </w:r>
      <w:r w:rsidRPr="003429C8">
        <w:rPr>
          <w:rFonts w:cs="Arial" w:hint="cs"/>
          <w:sz w:val="16"/>
          <w:szCs w:val="16"/>
          <w:rtl/>
        </w:rPr>
        <w:t>)</w:t>
      </w:r>
      <w:r>
        <w:rPr>
          <w:rFonts w:cs="Arial" w:hint="cs"/>
          <w:rtl/>
        </w:rPr>
        <w:t>-</w:t>
      </w:r>
      <w:r w:rsidRPr="00BB1C78">
        <w:rPr>
          <w:rFonts w:cs="Arial"/>
          <w:rtl/>
        </w:rPr>
        <w:t xml:space="preserve"> כיון שהודית שזינתה עם ג' מנאפים ואי משום דעיני' נ"ב הא סגי לומר שזינתה עם אחד וע</w:t>
      </w:r>
      <w:r>
        <w:rPr>
          <w:rFonts w:cs="Arial" w:hint="cs"/>
          <w:rtl/>
        </w:rPr>
        <w:t xml:space="preserve">ל </w:t>
      </w:r>
      <w:r w:rsidRPr="00BB1C78">
        <w:rPr>
          <w:rFonts w:cs="Arial"/>
          <w:rtl/>
        </w:rPr>
        <w:t>כ</w:t>
      </w:r>
      <w:r>
        <w:rPr>
          <w:rFonts w:cs="Arial" w:hint="cs"/>
          <w:rtl/>
        </w:rPr>
        <w:t>רחך</w:t>
      </w:r>
      <w:r w:rsidRPr="00BB1C78">
        <w:rPr>
          <w:rFonts w:cs="Arial"/>
          <w:rtl/>
        </w:rPr>
        <w:t xml:space="preserve"> דבאה לסדר תשובה</w:t>
      </w:r>
      <w:r>
        <w:rPr>
          <w:rStyle w:val="a7"/>
          <w:rFonts w:cs="Arial"/>
          <w:rtl/>
        </w:rPr>
        <w:footnoteReference w:id="3187"/>
      </w:r>
      <w:r>
        <w:rPr>
          <w:rFonts w:cs="Arial" w:hint="cs"/>
          <w:rtl/>
        </w:rPr>
        <w:t>.</w:t>
      </w:r>
    </w:p>
    <w:p w14:paraId="5D2509B8" w14:textId="77777777" w:rsidR="002E5BAD" w:rsidRDefault="002E5BAD" w:rsidP="002E5BAD">
      <w:pPr>
        <w:rPr>
          <w:rtl/>
        </w:rPr>
      </w:pPr>
    </w:p>
    <w:p w14:paraId="70F2C323" w14:textId="77777777" w:rsidR="002E5BAD" w:rsidRDefault="002E5BAD" w:rsidP="002E5BAD">
      <w:pPr>
        <w:pStyle w:val="2"/>
        <w:rPr>
          <w:rtl/>
        </w:rPr>
      </w:pPr>
      <w:r>
        <w:rPr>
          <w:rtl/>
        </w:rPr>
        <w:t>סעיף ז</w:t>
      </w:r>
      <w:r>
        <w:rPr>
          <w:rFonts w:hint="cs"/>
          <w:rtl/>
        </w:rPr>
        <w:t>: מי שראה את אשתו מזנה, או ששמע כך מאדם שנאמן עליו.</w:t>
      </w:r>
    </w:p>
    <w:p w14:paraId="2C351A1D" w14:textId="77777777" w:rsidR="002E5BAD" w:rsidRPr="00547575" w:rsidRDefault="002E5BAD" w:rsidP="002E5BAD">
      <w:pPr>
        <w:rPr>
          <w:rtl/>
        </w:rPr>
      </w:pPr>
      <w:r>
        <w:rPr>
          <w:rFonts w:hint="cs"/>
          <w:rtl/>
        </w:rPr>
        <w:t>עיין במקורות בסעיף ו.</w:t>
      </w:r>
    </w:p>
    <w:p w14:paraId="0C37A2E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704B22" w14:textId="77777777" w:rsidR="002E5BAD" w:rsidRDefault="002E5BAD" w:rsidP="002E5BAD">
      <w:pPr>
        <w:rPr>
          <w:rtl/>
        </w:rPr>
      </w:pPr>
      <w:r>
        <w:rPr>
          <w:rFonts w:cs="Arial"/>
          <w:rtl/>
        </w:rPr>
        <w:t>מי שראה אשתו שזינתה, או שאמר לו אחד מקרוביו או מקרובותיה, שהוא מאמינם וסומכת דעתו עליהם, שזנתה אשתו, בין שהיה האומר איש בין שהיתה אשה, הואיל וסמכה דעתו לדבר זה שהוא אמת, ה</w:t>
      </w:r>
      <w:r>
        <w:rPr>
          <w:rFonts w:cs="Arial" w:hint="cs"/>
          <w:rtl/>
        </w:rPr>
        <w:t xml:space="preserve">רי </w:t>
      </w:r>
      <w:r>
        <w:rPr>
          <w:rFonts w:cs="Arial"/>
          <w:rtl/>
        </w:rPr>
        <w:t>ז</w:t>
      </w:r>
      <w:r>
        <w:rPr>
          <w:rFonts w:cs="Arial" w:hint="cs"/>
          <w:rtl/>
        </w:rPr>
        <w:t>ה</w:t>
      </w:r>
      <w:r>
        <w:rPr>
          <w:rFonts w:cs="Arial"/>
          <w:rtl/>
        </w:rPr>
        <w:t xml:space="preserve"> חייב</w:t>
      </w:r>
      <w:r>
        <w:rPr>
          <w:rStyle w:val="a7"/>
          <w:rFonts w:cs="Arial"/>
          <w:rtl/>
        </w:rPr>
        <w:footnoteReference w:id="3188"/>
      </w:r>
      <w:r>
        <w:rPr>
          <w:rFonts w:cs="Arial"/>
          <w:rtl/>
        </w:rPr>
        <w:t xml:space="preserve"> להוציאה ואסור לו לבא עליה, ויתן כתובה. ואם הודית לו שזינתה, תצא בלא כתובה. ולפיכך משביעה</w:t>
      </w:r>
      <w:r>
        <w:rPr>
          <w:rStyle w:val="a7"/>
          <w:rFonts w:cs="Arial"/>
          <w:rtl/>
        </w:rPr>
        <w:footnoteReference w:id="3189"/>
      </w:r>
      <w:r>
        <w:rPr>
          <w:rFonts w:cs="Arial"/>
          <w:rtl/>
        </w:rPr>
        <w:t xml:space="preserve"> בנקיטת חפץ שלא זינתה תחתיו, אם ראה אותה בעצמו, ואח</w:t>
      </w:r>
      <w:r>
        <w:rPr>
          <w:rFonts w:cs="Arial" w:hint="cs"/>
          <w:rtl/>
        </w:rPr>
        <w:t xml:space="preserve">ר </w:t>
      </w:r>
      <w:r>
        <w:rPr>
          <w:rFonts w:cs="Arial"/>
          <w:rtl/>
        </w:rPr>
        <w:t>כ</w:t>
      </w:r>
      <w:r>
        <w:rPr>
          <w:rFonts w:cs="Arial" w:hint="cs"/>
          <w:rtl/>
        </w:rPr>
        <w:t>ך</w:t>
      </w:r>
      <w:r>
        <w:rPr>
          <w:rFonts w:cs="Arial"/>
          <w:rtl/>
        </w:rPr>
        <w:t xml:space="preserve"> תגבה כתובתה. אבל בדברי אחר אינו יכול להשביעה אלא ע</w:t>
      </w:r>
      <w:r>
        <w:rPr>
          <w:rFonts w:cs="Arial" w:hint="cs"/>
          <w:rtl/>
        </w:rPr>
        <w:t>ל יד</w:t>
      </w:r>
      <w:r>
        <w:rPr>
          <w:rFonts w:cs="Arial"/>
          <w:rtl/>
        </w:rPr>
        <w:t xml:space="preserve">י גלגול. </w:t>
      </w:r>
      <w:r w:rsidRPr="00B24647">
        <w:rPr>
          <w:rFonts w:cs="Arial"/>
          <w:sz w:val="18"/>
          <w:szCs w:val="18"/>
          <w:rtl/>
        </w:rPr>
        <w:t>הגה: הרבה קרובים כולם אינם רק כעד אחד (</w:t>
      </w:r>
      <w:r>
        <w:rPr>
          <w:rFonts w:cs="Arial" w:hint="cs"/>
          <w:sz w:val="18"/>
          <w:szCs w:val="18"/>
          <w:rtl/>
        </w:rPr>
        <w:t>הגמ"ר</w:t>
      </w:r>
      <w:r w:rsidRPr="00B24647">
        <w:rPr>
          <w:rFonts w:cs="Arial"/>
          <w:sz w:val="18"/>
          <w:szCs w:val="18"/>
          <w:rtl/>
        </w:rPr>
        <w:t xml:space="preserve"> דיבמות). וע"ל סי' קע"ח סעיף ט'. וי"א דלא יכול לומר שמאמין לעד אלא אם מאמין לו ג"כ בשאר דברים, אבל אם אינו מאמין לו בשאר דברים, רק בדבר זה, משום דבלאו הכי נחשדת לו קצת, לא נאסרה עליו משום זה</w:t>
      </w:r>
      <w:r>
        <w:rPr>
          <w:rStyle w:val="a7"/>
          <w:rFonts w:cs="Arial"/>
          <w:sz w:val="18"/>
          <w:szCs w:val="18"/>
          <w:rtl/>
        </w:rPr>
        <w:footnoteReference w:id="3190"/>
      </w:r>
      <w:r w:rsidRPr="00B24647">
        <w:rPr>
          <w:rFonts w:cs="Arial"/>
          <w:sz w:val="18"/>
          <w:szCs w:val="18"/>
          <w:rtl/>
        </w:rPr>
        <w:t xml:space="preserve"> (מהרי"ק שורש פ"ב).</w:t>
      </w:r>
      <w:r>
        <w:rPr>
          <w:rFonts w:cs="Arial"/>
          <w:rtl/>
        </w:rPr>
        <w:t xml:space="preserve"> </w:t>
      </w:r>
    </w:p>
    <w:p w14:paraId="67FF366F" w14:textId="77777777" w:rsidR="002E5BAD" w:rsidRDefault="002E5BAD" w:rsidP="002E5BAD">
      <w:pPr>
        <w:rPr>
          <w:rtl/>
        </w:rPr>
      </w:pPr>
    </w:p>
    <w:p w14:paraId="44D82D6B" w14:textId="77777777" w:rsidR="002E5BAD" w:rsidRDefault="002E5BAD" w:rsidP="002E5BAD">
      <w:pPr>
        <w:pStyle w:val="2"/>
        <w:rPr>
          <w:rtl/>
        </w:rPr>
      </w:pPr>
      <w:r>
        <w:rPr>
          <w:rtl/>
        </w:rPr>
        <w:t>סעיף ח</w:t>
      </w:r>
      <w:r>
        <w:rPr>
          <w:rFonts w:hint="cs"/>
          <w:rtl/>
        </w:rPr>
        <w:t>:</w:t>
      </w:r>
      <w:r w:rsidRPr="007D286B">
        <w:rPr>
          <w:rFonts w:cs="Arial"/>
          <w:rtl/>
        </w:rPr>
        <w:t xml:space="preserve"> </w:t>
      </w:r>
      <w:r w:rsidRPr="00671DE4">
        <w:rPr>
          <w:rFonts w:cs="Arial"/>
          <w:rtl/>
        </w:rPr>
        <w:t xml:space="preserve">האומר לאשתו בפני עדים </w:t>
      </w:r>
      <w:r>
        <w:rPr>
          <w:rFonts w:cs="Arial" w:hint="cs"/>
          <w:rtl/>
        </w:rPr>
        <w:t>'</w:t>
      </w:r>
      <w:r w:rsidRPr="00671DE4">
        <w:rPr>
          <w:rFonts w:cs="Arial"/>
          <w:rtl/>
        </w:rPr>
        <w:t>אל תסתרי עם איש פלוני</w:t>
      </w:r>
      <w:r>
        <w:rPr>
          <w:rFonts w:cs="Arial" w:hint="cs"/>
          <w:rtl/>
        </w:rPr>
        <w:t>', ונסתרה.</w:t>
      </w:r>
    </w:p>
    <w:p w14:paraId="34534DB2" w14:textId="77777777" w:rsidR="002E5BAD" w:rsidRDefault="002E5BAD" w:rsidP="002E5BAD">
      <w:pPr>
        <w:rPr>
          <w:rtl/>
        </w:rPr>
      </w:pPr>
      <w:r w:rsidRPr="00970BC0">
        <w:rPr>
          <w:rFonts w:hint="cs"/>
          <w:b/>
          <w:bCs/>
          <w:rtl/>
        </w:rPr>
        <w:t xml:space="preserve">סוטה </w:t>
      </w:r>
      <w:r w:rsidRPr="00970BC0">
        <w:rPr>
          <w:rFonts w:hint="cs"/>
          <w:b/>
          <w:bCs/>
          <w:sz w:val="16"/>
          <w:szCs w:val="16"/>
          <w:rtl/>
        </w:rPr>
        <w:t>(רפ"ק)</w:t>
      </w:r>
      <w:r w:rsidRPr="00970BC0">
        <w:rPr>
          <w:rFonts w:hint="cs"/>
          <w:b/>
          <w:bCs/>
          <w:rtl/>
        </w:rPr>
        <w:t xml:space="preserve"> ב ע"א:</w:t>
      </w:r>
      <w:r>
        <w:rPr>
          <w:rFonts w:hint="cs"/>
          <w:rtl/>
        </w:rPr>
        <w:t xml:space="preserve"> </w:t>
      </w:r>
      <w:r w:rsidRPr="00970BC0">
        <w:rPr>
          <w:rFonts w:cs="Arial"/>
          <w:u w:val="double"/>
          <w:rtl/>
        </w:rPr>
        <w:t>מתני'</w:t>
      </w:r>
      <w:r>
        <w:rPr>
          <w:rFonts w:cs="Arial" w:hint="cs"/>
          <w:rtl/>
        </w:rPr>
        <w:t>:</w:t>
      </w:r>
      <w:r w:rsidRPr="00970BC0">
        <w:rPr>
          <w:rFonts w:cs="Arial"/>
          <w:rtl/>
        </w:rPr>
        <w:t xml:space="preserve"> המקנא לאשתו, </w:t>
      </w:r>
      <w:r w:rsidRPr="00970BC0">
        <w:rPr>
          <w:rFonts w:cs="Arial"/>
          <w:u w:val="single"/>
          <w:rtl/>
        </w:rPr>
        <w:t>רבי אליעזר אומר</w:t>
      </w:r>
      <w:r w:rsidRPr="00970BC0">
        <w:rPr>
          <w:rFonts w:cs="Arial"/>
          <w:rtl/>
        </w:rPr>
        <w:t>: מקנא לה על פי שנים, ומשקה על פי עד אחד או ע"פ עצמו</w:t>
      </w:r>
      <w:r>
        <w:rPr>
          <w:rFonts w:cs="Arial" w:hint="cs"/>
          <w:rtl/>
        </w:rPr>
        <w:t>.</w:t>
      </w:r>
      <w:r w:rsidRPr="00970BC0">
        <w:rPr>
          <w:rFonts w:cs="Arial"/>
          <w:rtl/>
        </w:rPr>
        <w:t xml:space="preserve"> </w:t>
      </w:r>
      <w:r w:rsidRPr="00970BC0">
        <w:rPr>
          <w:rFonts w:cs="Arial"/>
          <w:u w:val="single"/>
          <w:rtl/>
        </w:rPr>
        <w:t>רבי יהושע אומר</w:t>
      </w:r>
      <w:r w:rsidRPr="00970BC0">
        <w:rPr>
          <w:rFonts w:cs="Arial"/>
          <w:rtl/>
        </w:rPr>
        <w:t xml:space="preserve">: מקנא לה על פי שנים ומשקה ע"פ שנים. כיצד מקנא לה? אומר לה בפני שנים אל תדברי עם </w:t>
      </w:r>
      <w:r w:rsidRPr="00970BC0">
        <w:rPr>
          <w:rFonts w:cs="Arial"/>
          <w:rtl/>
        </w:rPr>
        <w:lastRenderedPageBreak/>
        <w:t>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p>
    <w:p w14:paraId="7AD867BF" w14:textId="77777777" w:rsidR="002E5BAD" w:rsidRDefault="002E5BAD" w:rsidP="002E5BAD">
      <w:pPr>
        <w:rPr>
          <w:rFonts w:cs="Arial"/>
          <w:rtl/>
        </w:rPr>
      </w:pPr>
      <w:r w:rsidRPr="00970BC0">
        <w:rPr>
          <w:rFonts w:hint="cs"/>
          <w:b/>
          <w:bCs/>
          <w:rtl/>
        </w:rPr>
        <w:t xml:space="preserve">סוטה </w:t>
      </w:r>
      <w:r w:rsidRPr="00970BC0">
        <w:rPr>
          <w:rFonts w:hint="cs"/>
          <w:b/>
          <w:bCs/>
          <w:sz w:val="16"/>
          <w:szCs w:val="16"/>
          <w:rtl/>
        </w:rPr>
        <w:t>(ר</w:t>
      </w:r>
      <w:r>
        <w:rPr>
          <w:rFonts w:hint="cs"/>
          <w:b/>
          <w:bCs/>
          <w:sz w:val="16"/>
          <w:szCs w:val="16"/>
          <w:rtl/>
        </w:rPr>
        <w:t>"</w:t>
      </w:r>
      <w:r w:rsidRPr="00970BC0">
        <w:rPr>
          <w:rFonts w:hint="cs"/>
          <w:b/>
          <w:bCs/>
          <w:sz w:val="16"/>
          <w:szCs w:val="16"/>
          <w:rtl/>
        </w:rPr>
        <w:t>פ</w:t>
      </w:r>
      <w:r>
        <w:rPr>
          <w:rFonts w:hint="cs"/>
          <w:b/>
          <w:bCs/>
          <w:sz w:val="16"/>
          <w:szCs w:val="16"/>
          <w:rtl/>
        </w:rPr>
        <w:t xml:space="preserve"> ארוסה</w:t>
      </w:r>
      <w:r w:rsidRPr="00970BC0">
        <w:rPr>
          <w:rFonts w:hint="cs"/>
          <w:b/>
          <w:bCs/>
          <w:sz w:val="16"/>
          <w:szCs w:val="16"/>
          <w:rtl/>
        </w:rPr>
        <w:t>)</w:t>
      </w:r>
      <w:r w:rsidRPr="00970BC0">
        <w:rPr>
          <w:rFonts w:hint="cs"/>
          <w:b/>
          <w:bCs/>
          <w:rtl/>
        </w:rPr>
        <w:t xml:space="preserve"> </w:t>
      </w:r>
      <w:r>
        <w:rPr>
          <w:rFonts w:hint="cs"/>
          <w:b/>
          <w:bCs/>
          <w:rtl/>
        </w:rPr>
        <w:t>כד</w:t>
      </w:r>
      <w:r w:rsidRPr="00970BC0">
        <w:rPr>
          <w:rFonts w:hint="cs"/>
          <w:b/>
          <w:bCs/>
          <w:rtl/>
        </w:rPr>
        <w:t xml:space="preserve"> ע"</w:t>
      </w:r>
      <w:r>
        <w:rPr>
          <w:rFonts w:hint="cs"/>
          <w:b/>
          <w:bCs/>
          <w:rtl/>
        </w:rPr>
        <w:t>א</w:t>
      </w:r>
      <w:r w:rsidRPr="00970BC0">
        <w:rPr>
          <w:rFonts w:hint="cs"/>
          <w:b/>
          <w:bCs/>
          <w:rtl/>
        </w:rPr>
        <w:t>:</w:t>
      </w:r>
      <w:r>
        <w:rPr>
          <w:rFonts w:hint="cs"/>
          <w:rtl/>
        </w:rPr>
        <w:t xml:space="preserve"> </w:t>
      </w:r>
      <w:r w:rsidRPr="00970BC0">
        <w:rPr>
          <w:rFonts w:cs="Arial"/>
          <w:u w:val="double"/>
          <w:rtl/>
        </w:rPr>
        <w:t>מתני'</w:t>
      </w:r>
      <w:r>
        <w:rPr>
          <w:rFonts w:cs="Arial" w:hint="cs"/>
          <w:rtl/>
        </w:rPr>
        <w:t xml:space="preserve">:... </w:t>
      </w:r>
      <w:r w:rsidRPr="00970BC0">
        <w:rPr>
          <w:rFonts w:cs="Arial"/>
          <w:rtl/>
        </w:rPr>
        <w:t xml:space="preserve">מתו בעליהן עד שלא שתו - </w:t>
      </w:r>
      <w:r w:rsidRPr="005327EC">
        <w:rPr>
          <w:rFonts w:cs="Arial"/>
          <w:u w:val="single"/>
          <w:rtl/>
        </w:rPr>
        <w:t>בש"א</w:t>
      </w:r>
      <w:r w:rsidRPr="00970BC0">
        <w:rPr>
          <w:rFonts w:cs="Arial"/>
          <w:rtl/>
        </w:rPr>
        <w:t>: נוטלות כתובה ולא שותות</w:t>
      </w:r>
      <w:r>
        <w:rPr>
          <w:rFonts w:cs="Arial" w:hint="cs"/>
          <w:rtl/>
        </w:rPr>
        <w:t>.</w:t>
      </w:r>
      <w:r w:rsidRPr="00970BC0">
        <w:rPr>
          <w:rFonts w:cs="Arial"/>
          <w:rtl/>
        </w:rPr>
        <w:t xml:space="preserve"> </w:t>
      </w:r>
      <w:r w:rsidRPr="005327EC">
        <w:rPr>
          <w:rFonts w:cs="Arial"/>
          <w:u w:val="single"/>
          <w:rtl/>
        </w:rPr>
        <w:t>ובה"א</w:t>
      </w:r>
      <w:r w:rsidRPr="00970BC0">
        <w:rPr>
          <w:rFonts w:cs="Arial"/>
          <w:rtl/>
        </w:rPr>
        <w:t>: או שותות או לא נוטלות כתובתן</w:t>
      </w:r>
      <w:r>
        <w:rPr>
          <w:rFonts w:cs="Arial" w:hint="cs"/>
          <w:rtl/>
        </w:rPr>
        <w:t>..</w:t>
      </w:r>
      <w:r w:rsidRPr="00970BC0">
        <w:rPr>
          <w:rFonts w:cs="Arial"/>
          <w:rtl/>
        </w:rPr>
        <w:t>.</w:t>
      </w:r>
      <w:r>
        <w:rPr>
          <w:rFonts w:cs="Arial" w:hint="cs"/>
          <w:rtl/>
        </w:rPr>
        <w:t xml:space="preserve">        </w:t>
      </w:r>
      <w:r>
        <w:rPr>
          <w:rFonts w:cs="Arial" w:hint="cs"/>
          <w:u w:val="double"/>
          <w:rtl/>
        </w:rPr>
        <w:t>גמ'</w:t>
      </w:r>
      <w:r>
        <w:rPr>
          <w:rFonts w:cs="Arial" w:hint="cs"/>
          <w:sz w:val="14"/>
          <w:szCs w:val="14"/>
          <w:u w:val="double"/>
          <w:rtl/>
        </w:rPr>
        <w:t>(כה.)</w:t>
      </w:r>
      <w:r>
        <w:rPr>
          <w:rFonts w:cs="Arial" w:hint="cs"/>
          <w:u w:val="double"/>
          <w:rtl/>
        </w:rPr>
        <w:t>:</w:t>
      </w:r>
      <w:r>
        <w:rPr>
          <w:rFonts w:cs="Arial" w:hint="cs"/>
          <w:rtl/>
        </w:rPr>
        <w:t xml:space="preserve"> </w:t>
      </w:r>
      <w:r w:rsidRPr="00D271AA">
        <w:rPr>
          <w:rFonts w:cs="Arial"/>
          <w:rtl/>
        </w:rPr>
        <w:t>מתו בעליהן עד שלא שתו - ב"ש כו'. במאי קמיפלגי? בית שמאי סברי: שטר העומד לגבות כגבוי דמי,</w:t>
      </w:r>
      <w:r>
        <w:rPr>
          <w:rFonts w:hint="cs"/>
          <w:sz w:val="14"/>
          <w:szCs w:val="14"/>
          <w:rtl/>
        </w:rPr>
        <w:t>(כה:)</w:t>
      </w:r>
      <w:r w:rsidRPr="00D271AA">
        <w:rPr>
          <w:rtl/>
        </w:rPr>
        <w:t xml:space="preserve"> </w:t>
      </w:r>
      <w:r w:rsidRPr="00D271AA">
        <w:rPr>
          <w:rFonts w:cs="Arial"/>
          <w:rtl/>
        </w:rPr>
        <w:t>וב"ה סברי: שטר העומד לגבות לאו כגבוי דמי.</w:t>
      </w:r>
    </w:p>
    <w:p w14:paraId="5B111288" w14:textId="77777777" w:rsidR="002E5BAD" w:rsidRDefault="002E5BAD" w:rsidP="002E5BAD">
      <w:pPr>
        <w:rPr>
          <w:rtl/>
        </w:rPr>
      </w:pPr>
      <w:r w:rsidRPr="0039343A">
        <w:rPr>
          <w:rFonts w:cs="Arial" w:hint="cs"/>
          <w:b/>
          <w:bCs/>
          <w:rtl/>
        </w:rPr>
        <w:t>יבמות</w:t>
      </w:r>
      <w:r>
        <w:rPr>
          <w:rFonts w:cs="Arial" w:hint="cs"/>
          <w:b/>
          <w:bCs/>
          <w:sz w:val="16"/>
          <w:szCs w:val="16"/>
          <w:rtl/>
        </w:rPr>
        <w:t xml:space="preserve"> (פ' החולץ)</w:t>
      </w:r>
      <w:r w:rsidRPr="0039343A">
        <w:rPr>
          <w:rFonts w:cs="Arial" w:hint="cs"/>
          <w:b/>
          <w:bCs/>
          <w:rtl/>
        </w:rPr>
        <w:t xml:space="preserve"> לח ע"</w:t>
      </w:r>
      <w:r>
        <w:rPr>
          <w:rFonts w:cs="Arial" w:hint="cs"/>
          <w:b/>
          <w:bCs/>
          <w:rtl/>
        </w:rPr>
        <w:t>ב</w:t>
      </w:r>
      <w:r w:rsidRPr="0039343A">
        <w:rPr>
          <w:rFonts w:cs="Arial" w:hint="cs"/>
          <w:b/>
          <w:bCs/>
          <w:rtl/>
        </w:rPr>
        <w:t xml:space="preserve">: </w:t>
      </w:r>
      <w:r w:rsidRPr="0039343A">
        <w:rPr>
          <w:rFonts w:cs="Arial"/>
          <w:rtl/>
        </w:rPr>
        <w:t>דתנן: מתו בעליהן עד שלא שתו - ב"ש אומרים: נוטלות כתובתן ואינן שותות, וב"ה אומרים: או שותות או לא נוטלות כתובתן; או שותות? והביא האיש את אשתו אמר רחמנא, וליכא! אלא, מתוך שלא שותות - לא נוטלות כתובתן</w:t>
      </w:r>
      <w:r>
        <w:rPr>
          <w:rFonts w:hint="cs"/>
          <w:rtl/>
        </w:rPr>
        <w:t>.</w:t>
      </w:r>
    </w:p>
    <w:p w14:paraId="3900C6E5" w14:textId="77777777" w:rsidR="002E5BAD" w:rsidRDefault="002E5BAD" w:rsidP="002E5BAD">
      <w:pPr>
        <w:rPr>
          <w:rtl/>
        </w:rPr>
      </w:pPr>
      <w:r w:rsidRPr="00634C48">
        <w:rPr>
          <w:rFonts w:cs="Arial"/>
          <w:b/>
          <w:bCs/>
          <w:rtl/>
        </w:rPr>
        <w:t xml:space="preserve">כתובות </w:t>
      </w:r>
      <w:r w:rsidRPr="00634C48">
        <w:rPr>
          <w:rFonts w:cs="Arial" w:hint="cs"/>
          <w:b/>
          <w:bCs/>
          <w:sz w:val="16"/>
          <w:szCs w:val="16"/>
          <w:rtl/>
        </w:rPr>
        <w:t>(ס"פ</w:t>
      </w:r>
      <w:r w:rsidRPr="00634C48">
        <w:rPr>
          <w:rFonts w:cs="Arial"/>
          <w:b/>
          <w:bCs/>
          <w:sz w:val="16"/>
          <w:szCs w:val="16"/>
          <w:rtl/>
        </w:rPr>
        <w:t xml:space="preserve"> אלמנה נזונת</w:t>
      </w:r>
      <w:r w:rsidRPr="00634C48">
        <w:rPr>
          <w:rFonts w:cs="Arial" w:hint="cs"/>
          <w:b/>
          <w:bCs/>
          <w:sz w:val="16"/>
          <w:szCs w:val="16"/>
          <w:rtl/>
        </w:rPr>
        <w:t xml:space="preserve">) </w:t>
      </w:r>
      <w:r w:rsidRPr="00634C48">
        <w:rPr>
          <w:rFonts w:cs="Arial"/>
          <w:b/>
          <w:bCs/>
          <w:rtl/>
        </w:rPr>
        <w:t>קא</w:t>
      </w:r>
      <w:r w:rsidRPr="00634C48">
        <w:rPr>
          <w:rFonts w:cs="Arial" w:hint="cs"/>
          <w:b/>
          <w:bCs/>
          <w:rtl/>
        </w:rPr>
        <w:t xml:space="preserve"> ע"א:</w:t>
      </w:r>
      <w:r w:rsidRPr="00026E9E">
        <w:rPr>
          <w:rFonts w:cs="Arial"/>
          <w:rtl/>
        </w:rPr>
        <w:t xml:space="preserve"> </w:t>
      </w:r>
      <w:r w:rsidRPr="008C07EF">
        <w:rPr>
          <w:rFonts w:cs="Arial"/>
          <w:rtl/>
        </w:rPr>
        <w:t>ת</w:t>
      </w:r>
      <w:r>
        <w:rPr>
          <w:rFonts w:cs="Arial" w:hint="cs"/>
          <w:rtl/>
        </w:rPr>
        <w:t>ניא נמי הכי</w:t>
      </w:r>
      <w:r w:rsidRPr="008C07EF">
        <w:rPr>
          <w:rFonts w:cs="Arial"/>
          <w:rtl/>
        </w:rPr>
        <w:t>:</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Style w:val="a7"/>
          <w:rFonts w:cs="Arial"/>
          <w:rtl/>
        </w:rPr>
        <w:footnoteReference w:id="3191"/>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p>
    <w:p w14:paraId="6DDB10B6" w14:textId="77777777" w:rsidR="002E5BAD" w:rsidRPr="007D286B" w:rsidRDefault="002E5BAD" w:rsidP="002E5BAD">
      <w:pPr>
        <w:rPr>
          <w:u w:val="single"/>
          <w:rtl/>
        </w:rPr>
      </w:pPr>
      <w:r w:rsidRPr="007D286B">
        <w:rPr>
          <w:rFonts w:cs="Arial"/>
          <w:u w:val="single"/>
          <w:rtl/>
        </w:rPr>
        <w:t xml:space="preserve">האומר לאשתו בפני עדים </w:t>
      </w:r>
      <w:r w:rsidRPr="007D286B">
        <w:rPr>
          <w:rFonts w:cs="Arial" w:hint="cs"/>
          <w:u w:val="single"/>
          <w:rtl/>
        </w:rPr>
        <w:t>'</w:t>
      </w:r>
      <w:r w:rsidRPr="007D286B">
        <w:rPr>
          <w:rFonts w:cs="Arial"/>
          <w:u w:val="single"/>
          <w:rtl/>
        </w:rPr>
        <w:t>אל תסתרי עם אי</w:t>
      </w:r>
      <w:r w:rsidRPr="007D286B">
        <w:rPr>
          <w:rFonts w:cs="Arial" w:hint="cs"/>
          <w:u w:val="single"/>
          <w:rtl/>
        </w:rPr>
        <w:t>ש</w:t>
      </w:r>
      <w:r w:rsidRPr="007D286B">
        <w:rPr>
          <w:rFonts w:cs="Arial"/>
          <w:u w:val="single"/>
          <w:rtl/>
        </w:rPr>
        <w:t xml:space="preserve"> פלוני</w:t>
      </w:r>
      <w:r w:rsidRPr="007D286B">
        <w:rPr>
          <w:rFonts w:cs="Arial" w:hint="cs"/>
          <w:u w:val="single"/>
          <w:rtl/>
        </w:rPr>
        <w:t xml:space="preserve">' </w:t>
      </w:r>
      <w:r w:rsidRPr="007D286B">
        <w:rPr>
          <w:rFonts w:cs="Arial"/>
          <w:u w:val="single"/>
          <w:rtl/>
        </w:rPr>
        <w:t>–</w:t>
      </w:r>
      <w:r w:rsidRPr="007D286B">
        <w:rPr>
          <w:rFonts w:cs="Arial" w:hint="cs"/>
          <w:u w:val="single"/>
          <w:rtl/>
        </w:rPr>
        <w:t xml:space="preserve"> ונסתרה:</w:t>
      </w:r>
    </w:p>
    <w:p w14:paraId="081D07F0" w14:textId="77777777" w:rsidR="002E5BAD" w:rsidRPr="007D286B" w:rsidRDefault="002E5BAD" w:rsidP="00B75458">
      <w:pPr>
        <w:pStyle w:val="ab"/>
        <w:numPr>
          <w:ilvl w:val="0"/>
          <w:numId w:val="204"/>
        </w:numPr>
      </w:pPr>
      <w:r>
        <w:rPr>
          <w:rFonts w:cs="Arial" w:hint="cs"/>
          <w:rtl/>
        </w:rPr>
        <w:t xml:space="preserve">טור- </w:t>
      </w:r>
      <w:r w:rsidRPr="00671DE4">
        <w:rPr>
          <w:rFonts w:cs="Arial"/>
          <w:rtl/>
        </w:rPr>
        <w:t xml:space="preserve">האומר לאשתו בפני עדים </w:t>
      </w:r>
      <w:r>
        <w:rPr>
          <w:rFonts w:cs="Arial" w:hint="cs"/>
          <w:rtl/>
        </w:rPr>
        <w:t>'</w:t>
      </w:r>
      <w:r w:rsidRPr="00671DE4">
        <w:rPr>
          <w:rFonts w:cs="Arial"/>
          <w:rtl/>
        </w:rPr>
        <w:t>אל תסתרי עם איש פלוני</w:t>
      </w:r>
      <w:r>
        <w:rPr>
          <w:rFonts w:cs="Arial" w:hint="cs"/>
          <w:rtl/>
        </w:rPr>
        <w:t>'</w:t>
      </w:r>
      <w:r>
        <w:rPr>
          <w:rStyle w:val="a7"/>
          <w:rFonts w:cs="Arial"/>
          <w:rtl/>
        </w:rPr>
        <w:footnoteReference w:id="3192"/>
      </w:r>
      <w:r>
        <w:rPr>
          <w:rFonts w:cs="Arial" w:hint="cs"/>
          <w:rtl/>
        </w:rPr>
        <w:t>,</w:t>
      </w:r>
      <w:r w:rsidRPr="00671DE4">
        <w:rPr>
          <w:rFonts w:cs="Arial"/>
          <w:rtl/>
        </w:rPr>
        <w:t xml:space="preserve"> ויש עדים שנכנסה עמו בסתר ושהתה עמו כדי טומאה </w:t>
      </w:r>
      <w:r>
        <w:rPr>
          <w:rFonts w:cs="Arial" w:hint="cs"/>
          <w:rtl/>
        </w:rPr>
        <w:t xml:space="preserve">- </w:t>
      </w:r>
      <w:r w:rsidRPr="00671DE4">
        <w:rPr>
          <w:rFonts w:cs="Arial"/>
          <w:rtl/>
        </w:rPr>
        <w:t>אסורה לבעלה עד שתשתה</w:t>
      </w:r>
      <w:r>
        <w:rPr>
          <w:rFonts w:cs="Arial" w:hint="cs"/>
          <w:rtl/>
        </w:rPr>
        <w:t>.</w:t>
      </w:r>
      <w:r w:rsidRPr="00671DE4">
        <w:rPr>
          <w:rFonts w:cs="Arial"/>
          <w:rtl/>
        </w:rPr>
        <w:t xml:space="preserve"> ואם מת</w:t>
      </w:r>
      <w:r>
        <w:rPr>
          <w:rStyle w:val="a7"/>
          <w:rFonts w:cs="Arial"/>
          <w:rtl/>
        </w:rPr>
        <w:footnoteReference w:id="3193"/>
      </w:r>
      <w:r w:rsidRPr="00671DE4">
        <w:rPr>
          <w:rFonts w:cs="Arial"/>
          <w:rtl/>
        </w:rPr>
        <w:t xml:space="preserve"> קודם שישקנה </w:t>
      </w:r>
      <w:r>
        <w:rPr>
          <w:rFonts w:cs="Arial" w:hint="cs"/>
          <w:rtl/>
        </w:rPr>
        <w:t xml:space="preserve">- </w:t>
      </w:r>
      <w:r w:rsidRPr="00671DE4">
        <w:rPr>
          <w:rFonts w:cs="Arial"/>
          <w:rtl/>
        </w:rPr>
        <w:t>אין לה כתובה</w:t>
      </w:r>
      <w:r>
        <w:rPr>
          <w:rFonts w:cs="Arial" w:hint="cs"/>
          <w:rtl/>
        </w:rPr>
        <w:t>,</w:t>
      </w:r>
      <w:r w:rsidRPr="00671DE4">
        <w:rPr>
          <w:rFonts w:cs="Arial"/>
          <w:rtl/>
        </w:rPr>
        <w:t xml:space="preserve"> לא עיקר ולא תוספ</w:t>
      </w:r>
      <w:r>
        <w:rPr>
          <w:rFonts w:cs="Arial" w:hint="cs"/>
          <w:rtl/>
        </w:rPr>
        <w:t>ת</w:t>
      </w:r>
      <w:r w:rsidRPr="00671DE4">
        <w:rPr>
          <w:rFonts w:cs="Arial"/>
          <w:rtl/>
        </w:rPr>
        <w:t xml:space="preserve"> אף על פי שלא מצאו עליה דבר מכוער</w:t>
      </w:r>
      <w:r>
        <w:rPr>
          <w:rFonts w:cs="Arial" w:hint="cs"/>
          <w:rtl/>
        </w:rPr>
        <w:t>,</w:t>
      </w:r>
      <w:r w:rsidRPr="00671DE4">
        <w:rPr>
          <w:rFonts w:cs="Arial"/>
          <w:rtl/>
        </w:rPr>
        <w:t xml:space="preserve"> שאין לך דבר מכוער יותר מזה</w:t>
      </w:r>
      <w:r>
        <w:rPr>
          <w:rFonts w:cs="Arial" w:hint="cs"/>
          <w:rtl/>
        </w:rPr>
        <w:t>.</w:t>
      </w:r>
      <w:r w:rsidRPr="00671DE4">
        <w:rPr>
          <w:rFonts w:cs="Arial"/>
          <w:rtl/>
        </w:rPr>
        <w:t xml:space="preserve"> ובזמן הזה שאין מי סוטה </w:t>
      </w:r>
      <w:r>
        <w:rPr>
          <w:rFonts w:cs="Arial" w:hint="cs"/>
          <w:rtl/>
        </w:rPr>
        <w:t xml:space="preserve">- </w:t>
      </w:r>
      <w:r w:rsidRPr="00671DE4">
        <w:rPr>
          <w:rFonts w:cs="Arial"/>
          <w:rtl/>
        </w:rPr>
        <w:t>אסורה לו עולמית ותצא בלא כתובה שהרי מעשיה הרעים גרמו לה להיאסר</w:t>
      </w:r>
      <w:r>
        <w:rPr>
          <w:rStyle w:val="a7"/>
          <w:rFonts w:cs="Arial"/>
          <w:rtl/>
        </w:rPr>
        <w:footnoteReference w:id="3194"/>
      </w:r>
      <w:r>
        <w:rPr>
          <w:rFonts w:cs="Arial" w:hint="cs"/>
          <w:rtl/>
        </w:rPr>
        <w:t>.</w:t>
      </w:r>
      <w:r w:rsidRPr="00671DE4">
        <w:rPr>
          <w:rFonts w:cs="Arial"/>
          <w:rtl/>
        </w:rPr>
        <w:t xml:space="preserve"> </w:t>
      </w:r>
      <w:r w:rsidRPr="008C7592">
        <w:rPr>
          <w:rFonts w:hint="cs"/>
          <w:color w:val="E36C0A" w:themeColor="accent6" w:themeShade="BF"/>
          <w:rtl/>
        </w:rPr>
        <w:t>(וכ"פ בשו"ע)</w:t>
      </w:r>
    </w:p>
    <w:p w14:paraId="5CC6325D" w14:textId="77777777" w:rsidR="002E5BAD" w:rsidRPr="007D286B" w:rsidRDefault="002E5BAD" w:rsidP="002E5BAD">
      <w:pPr>
        <w:ind w:left="360"/>
        <w:rPr>
          <w:u w:val="dotted"/>
        </w:rPr>
      </w:pPr>
      <w:r w:rsidRPr="007D286B">
        <w:rPr>
          <w:rFonts w:hint="cs"/>
          <w:u w:val="dotted"/>
          <w:rtl/>
        </w:rPr>
        <w:t xml:space="preserve">האם יכול להתייחד עמה: </w:t>
      </w:r>
    </w:p>
    <w:p w14:paraId="3A87121F" w14:textId="77777777" w:rsidR="002E5BAD" w:rsidRPr="00E069A0" w:rsidRDefault="002E5BAD" w:rsidP="00B75458">
      <w:pPr>
        <w:pStyle w:val="ab"/>
        <w:numPr>
          <w:ilvl w:val="0"/>
          <w:numId w:val="204"/>
        </w:numPr>
        <w:rPr>
          <w:rtl/>
        </w:rPr>
      </w:pPr>
      <w:r w:rsidRPr="007D286B">
        <w:rPr>
          <w:rFonts w:cs="Arial"/>
          <w:rtl/>
        </w:rPr>
        <w:t xml:space="preserve">רא"ש </w:t>
      </w:r>
      <w:r w:rsidRPr="007D286B">
        <w:rPr>
          <w:rFonts w:cs="Arial" w:hint="cs"/>
          <w:sz w:val="16"/>
          <w:szCs w:val="16"/>
          <w:rtl/>
        </w:rPr>
        <w:t>(כלל לב סי' יא)</w:t>
      </w:r>
      <w:r w:rsidRPr="007D286B">
        <w:rPr>
          <w:rFonts w:cs="Arial" w:hint="cs"/>
          <w:rtl/>
        </w:rPr>
        <w:t>-</w:t>
      </w:r>
      <w:r w:rsidRPr="007D286B">
        <w:rPr>
          <w:rFonts w:cs="Arial"/>
          <w:rtl/>
        </w:rPr>
        <w:t xml:space="preserve"> כיון דאסורה לבעלה </w:t>
      </w:r>
      <w:r w:rsidRPr="007D286B">
        <w:rPr>
          <w:rFonts w:cs="Arial" w:hint="cs"/>
          <w:rtl/>
        </w:rPr>
        <w:t xml:space="preserve">- </w:t>
      </w:r>
      <w:r w:rsidRPr="007D286B">
        <w:rPr>
          <w:rFonts w:cs="Arial"/>
          <w:rtl/>
        </w:rPr>
        <w:t>אסור להתייחד עמה</w:t>
      </w:r>
      <w:r w:rsidRPr="007D286B">
        <w:rPr>
          <w:rFonts w:cs="Arial" w:hint="cs"/>
          <w:rtl/>
        </w:rPr>
        <w:t>,</w:t>
      </w:r>
      <w:r w:rsidRPr="007D286B">
        <w:rPr>
          <w:rFonts w:cs="Arial"/>
          <w:rtl/>
        </w:rPr>
        <w:t xml:space="preserve"> כדתנן (סוטה ז.) ומוסרין לו שני ת"ח שמא יבא עליה בדרך</w:t>
      </w:r>
      <w:r w:rsidRPr="007D286B">
        <w:rPr>
          <w:rFonts w:cs="Arial" w:hint="cs"/>
          <w:rtl/>
        </w:rPr>
        <w:t>.</w:t>
      </w:r>
      <w:r w:rsidRPr="007D286B">
        <w:rPr>
          <w:rFonts w:cs="Arial"/>
          <w:rtl/>
        </w:rPr>
        <w:t xml:space="preserve"> והאומרים שאין כופין אותו להוציאה </w:t>
      </w:r>
      <w:r w:rsidRPr="007D286B">
        <w:rPr>
          <w:rFonts w:cs="Arial" w:hint="cs"/>
          <w:rtl/>
        </w:rPr>
        <w:t xml:space="preserve">- </w:t>
      </w:r>
      <w:r w:rsidRPr="007D286B">
        <w:rPr>
          <w:rFonts w:cs="Arial"/>
          <w:rtl/>
        </w:rPr>
        <w:t>טועים הם</w:t>
      </w:r>
      <w:r w:rsidRPr="007D286B">
        <w:rPr>
          <w:rFonts w:cs="Arial" w:hint="cs"/>
          <w:rtl/>
        </w:rPr>
        <w:t>.</w:t>
      </w:r>
      <w:r w:rsidRPr="007D286B">
        <w:rPr>
          <w:rFonts w:cs="Arial"/>
          <w:rtl/>
        </w:rPr>
        <w:t xml:space="preserve"> וכיון שאסור להתייחד עמה</w:t>
      </w:r>
      <w:r w:rsidRPr="007D286B">
        <w:rPr>
          <w:rFonts w:cs="Arial" w:hint="cs"/>
          <w:rtl/>
        </w:rPr>
        <w:t>,</w:t>
      </w:r>
      <w:r w:rsidRPr="007D286B">
        <w:rPr>
          <w:rFonts w:cs="Arial"/>
          <w:rtl/>
        </w:rPr>
        <w:t xml:space="preserve"> אינו רשאי לשהותה בביתו</w:t>
      </w:r>
      <w:r w:rsidRPr="007D286B">
        <w:rPr>
          <w:rFonts w:cs="Arial" w:hint="cs"/>
          <w:rtl/>
        </w:rPr>
        <w:t>,</w:t>
      </w:r>
      <w:r w:rsidRPr="007D286B">
        <w:rPr>
          <w:rFonts w:cs="Arial"/>
          <w:rtl/>
        </w:rPr>
        <w:t xml:space="preserve"> שמא יבא עליה וכופין אותה להוציא מביתו</w:t>
      </w:r>
      <w:r w:rsidRPr="007D286B">
        <w:rPr>
          <w:rFonts w:cs="Arial" w:hint="cs"/>
          <w:rtl/>
        </w:rPr>
        <w:t>.</w:t>
      </w:r>
      <w:r w:rsidRPr="007D286B">
        <w:rPr>
          <w:rFonts w:cs="Arial"/>
          <w:rtl/>
        </w:rPr>
        <w:t xml:space="preserve"> ואפילו רצה למחול על קינויו</w:t>
      </w:r>
      <w:r w:rsidRPr="007D286B">
        <w:rPr>
          <w:rFonts w:cs="Arial" w:hint="cs"/>
          <w:rtl/>
        </w:rPr>
        <w:t xml:space="preserve"> -</w:t>
      </w:r>
      <w:r w:rsidRPr="007D286B">
        <w:rPr>
          <w:rFonts w:cs="Arial"/>
          <w:rtl/>
        </w:rPr>
        <w:t xml:space="preserve"> לאו כל כמיניה</w:t>
      </w:r>
      <w:r w:rsidRPr="007D286B">
        <w:rPr>
          <w:rFonts w:cs="Arial" w:hint="cs"/>
          <w:rtl/>
        </w:rPr>
        <w:t>,</w:t>
      </w:r>
      <w:r w:rsidRPr="007D286B">
        <w:rPr>
          <w:rFonts w:cs="Arial"/>
          <w:rtl/>
        </w:rPr>
        <w:t xml:space="preserve"> דמסקינן בסוטה פרק ארוסה (כה.) דבעל שמחל על קינויו לפני סתירה מחול</w:t>
      </w:r>
      <w:r w:rsidRPr="007D286B">
        <w:rPr>
          <w:rFonts w:cs="Arial" w:hint="cs"/>
          <w:rtl/>
        </w:rPr>
        <w:t>,</w:t>
      </w:r>
      <w:r w:rsidRPr="007D286B">
        <w:rPr>
          <w:rFonts w:cs="Arial"/>
          <w:rtl/>
        </w:rPr>
        <w:t xml:space="preserve"> לאחר סתירה אינו מחול</w:t>
      </w:r>
      <w:r w:rsidRPr="007D286B">
        <w:rPr>
          <w:rFonts w:cs="Arial" w:hint="cs"/>
          <w:rtl/>
        </w:rPr>
        <w:t>.</w:t>
      </w:r>
      <w:r w:rsidRPr="007D286B">
        <w:rPr>
          <w:rFonts w:hint="cs"/>
          <w:color w:val="E36C0A" w:themeColor="accent6" w:themeShade="BF"/>
          <w:rtl/>
        </w:rPr>
        <w:t xml:space="preserve"> </w:t>
      </w:r>
      <w:r w:rsidRPr="008C7592">
        <w:rPr>
          <w:rFonts w:hint="cs"/>
          <w:color w:val="E36C0A" w:themeColor="accent6" w:themeShade="BF"/>
          <w:rtl/>
        </w:rPr>
        <w:t>(וכ"פ בשו"ע)</w:t>
      </w:r>
    </w:p>
    <w:p w14:paraId="6ACEFE2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F94F00" w14:textId="77777777" w:rsidR="002E5BAD" w:rsidRDefault="002E5BAD" w:rsidP="002E5BAD">
      <w:pPr>
        <w:rPr>
          <w:rtl/>
        </w:rPr>
      </w:pPr>
      <w:r>
        <w:rPr>
          <w:rFonts w:cs="Arial"/>
          <w:rtl/>
        </w:rPr>
        <w:t>האומר לאשתו בפני עדים: אל תסתרי עם איש פלוני, ויש עדים שנכנסה עמו בסתר ושהתה עמו כדי טומאה, אסורה לבעלה ותצא בלא כתובה</w:t>
      </w:r>
      <w:r>
        <w:rPr>
          <w:rStyle w:val="a7"/>
          <w:rFonts w:cs="Arial"/>
          <w:rtl/>
        </w:rPr>
        <w:footnoteReference w:id="3195"/>
      </w:r>
      <w:r>
        <w:rPr>
          <w:rFonts w:cs="Arial"/>
          <w:rtl/>
        </w:rPr>
        <w:t xml:space="preserve">. ואסור לו להתייחד עמה, וכופין אותו להוציאה מביתו. </w:t>
      </w:r>
      <w:r>
        <w:rPr>
          <w:rFonts w:cs="Arial" w:hint="cs"/>
          <w:sz w:val="18"/>
          <w:szCs w:val="18"/>
          <w:rtl/>
        </w:rPr>
        <w:t xml:space="preserve">[הגה] </w:t>
      </w:r>
      <w:r w:rsidRPr="00B24647">
        <w:rPr>
          <w:rFonts w:cs="Arial"/>
          <w:sz w:val="18"/>
          <w:szCs w:val="18"/>
          <w:rtl/>
        </w:rPr>
        <w:t xml:space="preserve">ודוקא שאמר לה בלשון קינוי (מהרי"ו סי' ח'), וכדרך שיתבאר לקמן סי' קע"ח. </w:t>
      </w:r>
    </w:p>
    <w:p w14:paraId="74588040" w14:textId="77777777" w:rsidR="002E5BAD" w:rsidRDefault="002E5BAD" w:rsidP="002E5BAD">
      <w:pPr>
        <w:rPr>
          <w:rtl/>
        </w:rPr>
      </w:pPr>
    </w:p>
    <w:p w14:paraId="023CFB82" w14:textId="77777777" w:rsidR="002E5BAD" w:rsidRDefault="002E5BAD" w:rsidP="002E5BAD">
      <w:pPr>
        <w:pStyle w:val="2"/>
        <w:rPr>
          <w:rtl/>
        </w:rPr>
      </w:pPr>
      <w:r>
        <w:rPr>
          <w:rtl/>
        </w:rPr>
        <w:t>סעיף ט</w:t>
      </w:r>
      <w:r>
        <w:rPr>
          <w:rFonts w:hint="cs"/>
          <w:rtl/>
        </w:rPr>
        <w:t xml:space="preserve">: </w:t>
      </w:r>
      <w:r w:rsidRPr="00671DE4">
        <w:rPr>
          <w:rFonts w:cs="Arial"/>
          <w:rtl/>
        </w:rPr>
        <w:t xml:space="preserve">האומר לאשתו </w:t>
      </w:r>
      <w:r>
        <w:rPr>
          <w:rFonts w:cs="Arial" w:hint="cs"/>
          <w:rtl/>
        </w:rPr>
        <w:t>בינו לבינה</w:t>
      </w:r>
      <w:r w:rsidRPr="00671DE4">
        <w:rPr>
          <w:rFonts w:cs="Arial"/>
          <w:rtl/>
        </w:rPr>
        <w:t xml:space="preserve"> </w:t>
      </w:r>
      <w:r>
        <w:rPr>
          <w:rFonts w:cs="Arial" w:hint="cs"/>
          <w:rtl/>
        </w:rPr>
        <w:t>'</w:t>
      </w:r>
      <w:r w:rsidRPr="00671DE4">
        <w:rPr>
          <w:rFonts w:cs="Arial"/>
          <w:rtl/>
        </w:rPr>
        <w:t>אל תסתרי עם איש פלוני</w:t>
      </w:r>
      <w:r>
        <w:rPr>
          <w:rFonts w:cs="Arial" w:hint="cs"/>
          <w:rtl/>
        </w:rPr>
        <w:t>', ונסתרה</w:t>
      </w:r>
      <w:r>
        <w:rPr>
          <w:rFonts w:hint="cs"/>
          <w:rtl/>
        </w:rPr>
        <w:t>.</w:t>
      </w:r>
    </w:p>
    <w:p w14:paraId="78895F33" w14:textId="77777777" w:rsidR="002E5BAD" w:rsidRPr="000865CD" w:rsidRDefault="002E5BAD" w:rsidP="002E5BAD">
      <w:pPr>
        <w:rPr>
          <w:rtl/>
        </w:rPr>
      </w:pPr>
      <w:r w:rsidRPr="00970BC0">
        <w:rPr>
          <w:rFonts w:hint="cs"/>
          <w:b/>
          <w:bCs/>
          <w:rtl/>
        </w:rPr>
        <w:t xml:space="preserve">סוטה </w:t>
      </w:r>
      <w:r w:rsidRPr="00970BC0">
        <w:rPr>
          <w:rFonts w:hint="cs"/>
          <w:b/>
          <w:bCs/>
          <w:sz w:val="16"/>
          <w:szCs w:val="16"/>
          <w:rtl/>
        </w:rPr>
        <w:t>(רפ"ק)</w:t>
      </w:r>
      <w:r w:rsidRPr="00970BC0">
        <w:rPr>
          <w:rFonts w:hint="cs"/>
          <w:b/>
          <w:bCs/>
          <w:rtl/>
        </w:rPr>
        <w:t xml:space="preserve"> ב ע"</w:t>
      </w:r>
      <w:r>
        <w:rPr>
          <w:rFonts w:hint="cs"/>
          <w:b/>
          <w:bCs/>
          <w:rtl/>
        </w:rPr>
        <w:t>ב</w:t>
      </w:r>
      <w:r w:rsidRPr="00970BC0">
        <w:rPr>
          <w:rFonts w:hint="cs"/>
          <w:b/>
          <w:bCs/>
          <w:rtl/>
        </w:rPr>
        <w:t>:</w:t>
      </w:r>
      <w:r>
        <w:rPr>
          <w:rFonts w:hint="cs"/>
          <w:rtl/>
        </w:rPr>
        <w:t xml:space="preserve"> </w:t>
      </w:r>
      <w:r w:rsidRPr="00970BC0">
        <w:rPr>
          <w:rFonts w:cs="Arial"/>
          <w:u w:val="double"/>
          <w:rtl/>
        </w:rPr>
        <w:t>מתני'</w:t>
      </w:r>
      <w:r>
        <w:rPr>
          <w:rFonts w:cs="Arial" w:hint="cs"/>
          <w:rtl/>
        </w:rPr>
        <w:t>:</w:t>
      </w:r>
      <w:r w:rsidRPr="00970BC0">
        <w:rPr>
          <w:rFonts w:cs="Arial"/>
          <w:rtl/>
        </w:rPr>
        <w:t xml:space="preserve"> המקנא לאשתו, </w:t>
      </w:r>
      <w:r w:rsidRPr="00970BC0">
        <w:rPr>
          <w:rFonts w:cs="Arial"/>
          <w:u w:val="single"/>
          <w:rtl/>
        </w:rPr>
        <w:t>רבי אליעזר אומר</w:t>
      </w:r>
      <w:r w:rsidRPr="00970BC0">
        <w:rPr>
          <w:rFonts w:cs="Arial"/>
          <w:rtl/>
        </w:rPr>
        <w:t>: מקנא לה על פי שנים, ומשקה על פי עד אחד או ע"פ עצמו</w:t>
      </w:r>
      <w:r>
        <w:rPr>
          <w:rFonts w:cs="Arial" w:hint="cs"/>
          <w:rtl/>
        </w:rPr>
        <w:t>.</w:t>
      </w:r>
      <w:r w:rsidRPr="00970BC0">
        <w:rPr>
          <w:rFonts w:cs="Arial"/>
          <w:rtl/>
        </w:rPr>
        <w:t xml:space="preserve"> </w:t>
      </w:r>
      <w:r w:rsidRPr="00970BC0">
        <w:rPr>
          <w:rFonts w:cs="Arial"/>
          <w:u w:val="single"/>
          <w:rtl/>
        </w:rPr>
        <w:t>רבי יהושע אומר</w:t>
      </w:r>
      <w:r w:rsidRPr="00970BC0">
        <w:rPr>
          <w:rFonts w:cs="Arial"/>
          <w:rtl/>
        </w:rPr>
        <w:t>: מקנא לה על פי שנים ומשקה ע"פ שנים. כיצד מקנא לה? אומר לה בפני שנים אל תדברי עם 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r>
        <w:rPr>
          <w:rFonts w:cs="Arial" w:hint="cs"/>
          <w:rtl/>
        </w:rPr>
        <w:t xml:space="preserve">        </w:t>
      </w:r>
      <w:r>
        <w:rPr>
          <w:rFonts w:cs="Arial" w:hint="cs"/>
          <w:u w:val="double"/>
          <w:rtl/>
        </w:rPr>
        <w:t>גמ'</w:t>
      </w:r>
      <w:r>
        <w:rPr>
          <w:rFonts w:cs="Arial" w:hint="cs"/>
          <w:sz w:val="14"/>
          <w:szCs w:val="14"/>
          <w:u w:val="double"/>
          <w:rtl/>
        </w:rPr>
        <w:t>(ב:)</w:t>
      </w:r>
      <w:r>
        <w:rPr>
          <w:rFonts w:cs="Arial" w:hint="cs"/>
          <w:u w:val="double"/>
          <w:rtl/>
        </w:rPr>
        <w:t>:</w:t>
      </w:r>
      <w:r>
        <w:rPr>
          <w:rFonts w:cs="Arial" w:hint="cs"/>
          <w:rtl/>
        </w:rPr>
        <w:t xml:space="preserve"> </w:t>
      </w:r>
      <w:r w:rsidRPr="002D2DDF">
        <w:rPr>
          <w:rFonts w:cs="Arial"/>
          <w:rtl/>
        </w:rPr>
        <w:t>מתני' דלא כי האי תנא</w:t>
      </w:r>
      <w:r>
        <w:rPr>
          <w:rFonts w:cs="Arial" w:hint="cs"/>
          <w:rtl/>
        </w:rPr>
        <w:t>,</w:t>
      </w:r>
      <w:r w:rsidRPr="002D2DDF">
        <w:rPr>
          <w:rFonts w:cs="Arial"/>
          <w:rtl/>
        </w:rPr>
        <w:t xml:space="preserve"> </w:t>
      </w:r>
      <w:r w:rsidRPr="000865CD">
        <w:rPr>
          <w:rFonts w:cs="Arial"/>
          <w:rtl/>
        </w:rPr>
        <w:t xml:space="preserve">דתניא, </w:t>
      </w:r>
      <w:r w:rsidRPr="000865CD">
        <w:rPr>
          <w:rFonts w:cs="Arial"/>
          <w:u w:val="single"/>
          <w:rtl/>
        </w:rPr>
        <w:t>רבי יוסי ברבי יהודה אומר משום ר' אליעזר</w:t>
      </w:r>
      <w:r w:rsidRPr="000865CD">
        <w:rPr>
          <w:rFonts w:cs="Arial"/>
          <w:rtl/>
        </w:rPr>
        <w:t xml:space="preserve">: המקנא לאשתו, מקנא ע"פ עד אחד או ע"פ עצמו, ומשקה לה על </w:t>
      </w:r>
      <w:r w:rsidRPr="000865CD">
        <w:rPr>
          <w:rFonts w:cs="Arial"/>
          <w:rtl/>
        </w:rPr>
        <w:lastRenderedPageBreak/>
        <w:t>פי שנים</w:t>
      </w:r>
      <w:r>
        <w:rPr>
          <w:rFonts w:cs="Arial" w:hint="cs"/>
          <w:rtl/>
        </w:rPr>
        <w:t>.</w:t>
      </w:r>
      <w:r w:rsidRPr="000865CD">
        <w:rPr>
          <w:rFonts w:cs="Arial"/>
          <w:rtl/>
        </w:rPr>
        <w:t xml:space="preserve"> </w:t>
      </w:r>
      <w:r w:rsidRPr="002D2DDF">
        <w:rPr>
          <w:rFonts w:cs="Arial"/>
          <w:u w:val="single"/>
          <w:rtl/>
        </w:rPr>
        <w:t>השיבו חכמים</w:t>
      </w:r>
      <w:r w:rsidRPr="000865CD">
        <w:rPr>
          <w:rFonts w:cs="Arial"/>
          <w:rtl/>
        </w:rPr>
        <w:t>: לדברי רבי יוסי ברבי יהודה, אין לדבר סוף.</w:t>
      </w:r>
      <w:r>
        <w:rPr>
          <w:rFonts w:cs="Arial" w:hint="cs"/>
          <w:rtl/>
        </w:rPr>
        <w:t>..</w:t>
      </w:r>
      <w:r w:rsidRPr="000865CD">
        <w:rPr>
          <w:rFonts w:cs="Arial"/>
          <w:rtl/>
        </w:rPr>
        <w:t xml:space="preserve"> השיבו חכמים: לדברי ר' יוסי בר' יהודה, אין לדבר סוף. מאי ניהו? דזמנין דלא קני ואמר קנאי: הא למשנתינו יש לדבר סוף? זמנין דלא איסתתר ואמר איסתתר!</w:t>
      </w:r>
      <w:r>
        <w:rPr>
          <w:rFonts w:cs="Arial" w:hint="cs"/>
          <w:rtl/>
        </w:rPr>
        <w:t>...</w:t>
      </w:r>
      <w:r w:rsidRPr="000865CD">
        <w:rPr>
          <w:rFonts w:cs="Arial"/>
          <w:rtl/>
        </w:rPr>
        <w:t xml:space="preserve"> </w:t>
      </w:r>
      <w:r w:rsidRPr="002D2DDF">
        <w:rPr>
          <w:rFonts w:cs="Arial"/>
          <w:u w:val="single"/>
          <w:rtl/>
        </w:rPr>
        <w:t>א"ר יצחק בר יוסף א"ר יוחנן</w:t>
      </w:r>
      <w:r w:rsidRPr="000865CD">
        <w:rPr>
          <w:rFonts w:cs="Arial"/>
          <w:rtl/>
        </w:rPr>
        <w:t xml:space="preserve">: לדברי ר' יוסי בר' יהודה, אף למשנתינו אין לדבר סוף. </w:t>
      </w:r>
      <w:r w:rsidRPr="002D2DDF">
        <w:rPr>
          <w:rFonts w:cs="Arial"/>
          <w:u w:val="single"/>
          <w:rtl/>
        </w:rPr>
        <w:t>א"ר חנינא מסורא</w:t>
      </w:r>
      <w:r w:rsidRPr="000865CD">
        <w:rPr>
          <w:rFonts w:cs="Arial"/>
          <w:rtl/>
        </w:rPr>
        <w:t>: לא לימא איניש לאיתתיה בזמן הזה לא תיסתרי בהדי פלוני, דילמא קי"ל כרבי יוסי בר' יהודה, דאמר: קינוי על פי עצמו, ומיסתתרא, וליכא האידנא מי סוטה למיבדקה, וקאסר לה עילויה איסורא דלעולם.</w:t>
      </w:r>
      <w:r>
        <w:rPr>
          <w:rFonts w:hint="cs"/>
          <w:rtl/>
        </w:rPr>
        <w:t xml:space="preserve"> </w:t>
      </w:r>
      <w:r w:rsidRPr="002D2DDF">
        <w:rPr>
          <w:rFonts w:hint="cs"/>
          <w:sz w:val="16"/>
          <w:szCs w:val="16"/>
          <w:rtl/>
        </w:rPr>
        <w:t>(</w:t>
      </w:r>
      <w:r w:rsidRPr="002D2DDF">
        <w:rPr>
          <w:sz w:val="16"/>
          <w:szCs w:val="16"/>
          <w:rtl/>
        </w:rPr>
        <w:t xml:space="preserve">הרמב"ם פסק </w:t>
      </w:r>
      <w:r w:rsidRPr="002D2DDF">
        <w:rPr>
          <w:rFonts w:hint="cs"/>
          <w:sz w:val="16"/>
          <w:szCs w:val="16"/>
          <w:rtl/>
        </w:rPr>
        <w:t xml:space="preserve">(פ"א מסוטה ה"א) </w:t>
      </w:r>
      <w:r w:rsidRPr="002D2DDF">
        <w:rPr>
          <w:sz w:val="16"/>
          <w:szCs w:val="16"/>
          <w:rtl/>
        </w:rPr>
        <w:t>כמ"ד דוקא כשמקנא אותה ע"פ שנים</w:t>
      </w:r>
      <w:r>
        <w:rPr>
          <w:rFonts w:hint="cs"/>
          <w:sz w:val="16"/>
          <w:szCs w:val="16"/>
          <w:rtl/>
        </w:rPr>
        <w:t>.</w:t>
      </w:r>
      <w:r w:rsidRPr="002D2DDF">
        <w:rPr>
          <w:sz w:val="16"/>
          <w:szCs w:val="16"/>
          <w:rtl/>
        </w:rPr>
        <w:t xml:space="preserve"> והיינו דוקא לענין השקאת מים</w:t>
      </w:r>
      <w:r>
        <w:rPr>
          <w:rFonts w:hint="cs"/>
          <w:sz w:val="16"/>
          <w:szCs w:val="16"/>
          <w:rtl/>
        </w:rPr>
        <w:t>,</w:t>
      </w:r>
      <w:r w:rsidRPr="002D2DDF">
        <w:rPr>
          <w:sz w:val="16"/>
          <w:szCs w:val="16"/>
          <w:rtl/>
        </w:rPr>
        <w:t xml:space="preserve"> </w:t>
      </w:r>
      <w:r>
        <w:rPr>
          <w:rFonts w:hint="cs"/>
          <w:sz w:val="16"/>
          <w:szCs w:val="16"/>
          <w:rtl/>
        </w:rPr>
        <w:t>ד</w:t>
      </w:r>
      <w:r w:rsidRPr="002D2DDF">
        <w:rPr>
          <w:sz w:val="16"/>
          <w:szCs w:val="16"/>
          <w:rtl/>
        </w:rPr>
        <w:t>אין משקין אותה אא"כ כשהיה הקינוי ע"פ שנים</w:t>
      </w:r>
      <w:r>
        <w:rPr>
          <w:rFonts w:hint="cs"/>
          <w:sz w:val="16"/>
          <w:szCs w:val="16"/>
          <w:rtl/>
        </w:rPr>
        <w:t>.</w:t>
      </w:r>
      <w:r w:rsidRPr="002D2DDF">
        <w:rPr>
          <w:sz w:val="16"/>
          <w:szCs w:val="16"/>
          <w:rtl/>
        </w:rPr>
        <w:t xml:space="preserve"> אבל לענין איסור</w:t>
      </w:r>
      <w:r>
        <w:rPr>
          <w:rFonts w:hint="cs"/>
          <w:sz w:val="16"/>
          <w:szCs w:val="16"/>
          <w:rtl/>
        </w:rPr>
        <w:t>,</w:t>
      </w:r>
      <w:r w:rsidRPr="002D2DDF">
        <w:rPr>
          <w:sz w:val="16"/>
          <w:szCs w:val="16"/>
          <w:rtl/>
        </w:rPr>
        <w:t xml:space="preserve"> חושש הוא ג"כ לדברי ר"י </w:t>
      </w:r>
      <w:r>
        <w:rPr>
          <w:rFonts w:hint="cs"/>
          <w:sz w:val="16"/>
          <w:szCs w:val="16"/>
          <w:rtl/>
        </w:rPr>
        <w:t>ו</w:t>
      </w:r>
      <w:r w:rsidRPr="002D2DDF">
        <w:rPr>
          <w:sz w:val="16"/>
          <w:szCs w:val="16"/>
          <w:rtl/>
        </w:rPr>
        <w:t>אפי' אם היה הקינוי ע"פ עצמו הוי קינוי ואסורה לו</w:t>
      </w:r>
      <w:r w:rsidRPr="002D2DDF">
        <w:rPr>
          <w:rFonts w:hint="cs"/>
          <w:sz w:val="16"/>
          <w:szCs w:val="16"/>
          <w:rtl/>
        </w:rPr>
        <w:t xml:space="preserve">, </w:t>
      </w:r>
      <w:r>
        <w:rPr>
          <w:rFonts w:hint="cs"/>
          <w:sz w:val="16"/>
          <w:szCs w:val="16"/>
          <w:rtl/>
        </w:rPr>
        <w:t>ב</w:t>
      </w:r>
      <w:r w:rsidRPr="002D2DDF">
        <w:rPr>
          <w:rFonts w:hint="cs"/>
          <w:sz w:val="16"/>
          <w:szCs w:val="16"/>
          <w:rtl/>
        </w:rPr>
        <w:t>"</w:t>
      </w:r>
      <w:r>
        <w:rPr>
          <w:rFonts w:hint="cs"/>
          <w:sz w:val="16"/>
          <w:szCs w:val="16"/>
          <w:rtl/>
        </w:rPr>
        <w:t>ש</w:t>
      </w:r>
      <w:r w:rsidRPr="002D2DDF">
        <w:rPr>
          <w:rFonts w:hint="cs"/>
          <w:sz w:val="16"/>
          <w:szCs w:val="16"/>
          <w:rtl/>
        </w:rPr>
        <w:t xml:space="preserve"> (סקל"</w:t>
      </w:r>
      <w:r>
        <w:rPr>
          <w:rFonts w:hint="cs"/>
          <w:sz w:val="16"/>
          <w:szCs w:val="16"/>
          <w:rtl/>
        </w:rPr>
        <w:t>ו</w:t>
      </w:r>
      <w:r w:rsidRPr="002D2DDF">
        <w:rPr>
          <w:rFonts w:hint="cs"/>
          <w:sz w:val="16"/>
          <w:szCs w:val="16"/>
          <w:rtl/>
        </w:rPr>
        <w:t>)</w:t>
      </w:r>
      <w:r>
        <w:rPr>
          <w:rFonts w:hint="cs"/>
          <w:sz w:val="16"/>
          <w:szCs w:val="16"/>
          <w:rtl/>
        </w:rPr>
        <w:t>. וכ"כ ב"ח וח"מ (סקל"ג)</w:t>
      </w:r>
      <w:r w:rsidRPr="002D2DDF">
        <w:rPr>
          <w:rFonts w:hint="cs"/>
          <w:sz w:val="16"/>
          <w:szCs w:val="16"/>
          <w:rtl/>
        </w:rPr>
        <w:t>)</w:t>
      </w:r>
    </w:p>
    <w:p w14:paraId="4916117A" w14:textId="77777777" w:rsidR="002E5BAD" w:rsidRPr="00682025" w:rsidRDefault="002E5BAD" w:rsidP="002E5BAD">
      <w:pPr>
        <w:rPr>
          <w:u w:val="single"/>
          <w:rtl/>
        </w:rPr>
      </w:pPr>
      <w:r w:rsidRPr="00682025">
        <w:rPr>
          <w:rFonts w:cs="Arial"/>
          <w:u w:val="single"/>
          <w:rtl/>
        </w:rPr>
        <w:t xml:space="preserve">האומר לאשתו </w:t>
      </w:r>
      <w:r w:rsidRPr="00682025">
        <w:rPr>
          <w:rFonts w:cs="Arial" w:hint="cs"/>
          <w:u w:val="single"/>
          <w:rtl/>
        </w:rPr>
        <w:t>בינו לבינה</w:t>
      </w:r>
      <w:r w:rsidRPr="00682025">
        <w:rPr>
          <w:rFonts w:cs="Arial"/>
          <w:u w:val="single"/>
          <w:rtl/>
        </w:rPr>
        <w:t xml:space="preserve"> </w:t>
      </w:r>
      <w:r w:rsidRPr="00682025">
        <w:rPr>
          <w:rFonts w:cs="Arial" w:hint="cs"/>
          <w:u w:val="single"/>
          <w:rtl/>
        </w:rPr>
        <w:t>'</w:t>
      </w:r>
      <w:r w:rsidRPr="00682025">
        <w:rPr>
          <w:rFonts w:cs="Arial"/>
          <w:u w:val="single"/>
          <w:rtl/>
        </w:rPr>
        <w:t>אל תסתרי עם איש פלוני</w:t>
      </w:r>
      <w:r w:rsidRPr="00682025">
        <w:rPr>
          <w:rFonts w:cs="Arial" w:hint="cs"/>
          <w:u w:val="single"/>
          <w:rtl/>
        </w:rPr>
        <w:t>'</w:t>
      </w:r>
      <w:r>
        <w:rPr>
          <w:rFonts w:cs="Arial" w:hint="cs"/>
          <w:u w:val="single"/>
          <w:rtl/>
        </w:rPr>
        <w:t xml:space="preserve"> -</w:t>
      </w:r>
      <w:r w:rsidRPr="00682025">
        <w:rPr>
          <w:rFonts w:cs="Arial" w:hint="cs"/>
          <w:u w:val="single"/>
          <w:rtl/>
        </w:rPr>
        <w:t xml:space="preserve"> ונסתרה</w:t>
      </w:r>
      <w:r w:rsidRPr="00682025">
        <w:rPr>
          <w:rFonts w:hint="cs"/>
          <w:u w:val="single"/>
          <w:rtl/>
        </w:rPr>
        <w:t>:</w:t>
      </w:r>
    </w:p>
    <w:p w14:paraId="6EA96017" w14:textId="77777777" w:rsidR="002E5BAD" w:rsidRPr="002F21F7" w:rsidRDefault="002E5BAD" w:rsidP="00B75458">
      <w:pPr>
        <w:pStyle w:val="ab"/>
        <w:numPr>
          <w:ilvl w:val="0"/>
          <w:numId w:val="204"/>
        </w:numPr>
      </w:pPr>
      <w:r>
        <w:rPr>
          <w:rFonts w:cs="Arial" w:hint="cs"/>
          <w:rtl/>
        </w:rPr>
        <w:t xml:space="preserve">טור- </w:t>
      </w:r>
      <w:r w:rsidRPr="00671DE4">
        <w:rPr>
          <w:rFonts w:cs="Arial"/>
          <w:rtl/>
        </w:rPr>
        <w:t xml:space="preserve">אמר לה בינו לבינה </w:t>
      </w:r>
      <w:r>
        <w:rPr>
          <w:rFonts w:cs="Arial" w:hint="cs"/>
          <w:rtl/>
        </w:rPr>
        <w:t>'</w:t>
      </w:r>
      <w:r w:rsidRPr="00671DE4">
        <w:rPr>
          <w:rFonts w:cs="Arial"/>
          <w:rtl/>
        </w:rPr>
        <w:t>אל תסתרי עם איש פלוני</w:t>
      </w:r>
      <w:r>
        <w:rPr>
          <w:rFonts w:cs="Arial" w:hint="cs"/>
          <w:rtl/>
        </w:rPr>
        <w:t>',</w:t>
      </w:r>
      <w:r w:rsidRPr="00671DE4">
        <w:rPr>
          <w:rFonts w:cs="Arial"/>
          <w:rtl/>
        </w:rPr>
        <w:t xml:space="preserve"> וראה אותה שנסתרה ושהתה עמו כדי טומאה </w:t>
      </w:r>
      <w:r>
        <w:rPr>
          <w:rFonts w:cs="Arial" w:hint="cs"/>
          <w:rtl/>
        </w:rPr>
        <w:t xml:space="preserve">- </w:t>
      </w:r>
      <w:r w:rsidRPr="00671DE4">
        <w:rPr>
          <w:rFonts w:cs="Arial"/>
          <w:rtl/>
        </w:rPr>
        <w:t>אסורה לו בזמן הזה שאין מי סוטה</w:t>
      </w:r>
      <w:r>
        <w:rPr>
          <w:rFonts w:cs="Arial" w:hint="cs"/>
          <w:rtl/>
        </w:rPr>
        <w:t>,</w:t>
      </w:r>
      <w:r w:rsidRPr="00671DE4">
        <w:rPr>
          <w:rFonts w:cs="Arial"/>
          <w:rtl/>
        </w:rPr>
        <w:t xml:space="preserve"> וחייב להוציאה ויתן לה כתובה</w:t>
      </w:r>
      <w:r>
        <w:rPr>
          <w:rFonts w:cs="Arial" w:hint="cs"/>
          <w:rtl/>
        </w:rPr>
        <w:t>.</w:t>
      </w:r>
      <w:r w:rsidRPr="00671DE4">
        <w:rPr>
          <w:rFonts w:cs="Arial"/>
          <w:rtl/>
        </w:rPr>
        <w:t xml:space="preserve"> ואם הוד</w:t>
      </w:r>
      <w:r>
        <w:rPr>
          <w:rFonts w:cs="Arial" w:hint="cs"/>
          <w:rtl/>
        </w:rPr>
        <w:t>ת</w:t>
      </w:r>
      <w:r w:rsidRPr="00671DE4">
        <w:rPr>
          <w:rFonts w:cs="Arial"/>
          <w:rtl/>
        </w:rPr>
        <w:t xml:space="preserve">ה שנסתרה אחרי שהתרה בה </w:t>
      </w:r>
      <w:r>
        <w:rPr>
          <w:rFonts w:cs="Arial" w:hint="cs"/>
          <w:rtl/>
        </w:rPr>
        <w:t xml:space="preserve">- </w:t>
      </w:r>
      <w:r w:rsidRPr="00671DE4">
        <w:rPr>
          <w:rFonts w:cs="Arial"/>
          <w:rtl/>
        </w:rPr>
        <w:t>תצא בלא כתובה</w:t>
      </w:r>
      <w:r>
        <w:rPr>
          <w:rFonts w:cs="Arial" w:hint="cs"/>
          <w:rtl/>
        </w:rPr>
        <w:t>.</w:t>
      </w:r>
      <w:r w:rsidRPr="00671DE4">
        <w:rPr>
          <w:rFonts w:cs="Arial"/>
          <w:rtl/>
        </w:rPr>
        <w:t xml:space="preserve"> לפיכך משביעה על זה ואח"כ נותן לה כתובה</w:t>
      </w:r>
      <w:r>
        <w:rPr>
          <w:rStyle w:val="a7"/>
          <w:rFonts w:cs="Arial"/>
          <w:rtl/>
        </w:rPr>
        <w:footnoteReference w:id="3196"/>
      </w:r>
      <w:r>
        <w:rPr>
          <w:rFonts w:cs="Arial" w:hint="cs"/>
          <w:rtl/>
        </w:rPr>
        <w:t>.</w:t>
      </w:r>
      <w:r w:rsidRPr="00671DE4">
        <w:rPr>
          <w:rFonts w:cs="Arial"/>
          <w:rtl/>
        </w:rPr>
        <w:t xml:space="preserve"> </w:t>
      </w:r>
      <w:r w:rsidRPr="008C7592">
        <w:rPr>
          <w:rFonts w:hint="cs"/>
          <w:color w:val="E36C0A" w:themeColor="accent6" w:themeShade="BF"/>
          <w:rtl/>
        </w:rPr>
        <w:t>(וכ"פ בשו"ע)</w:t>
      </w:r>
    </w:p>
    <w:p w14:paraId="72D84C56" w14:textId="77777777" w:rsidR="002E5BAD" w:rsidRPr="002F21F7" w:rsidRDefault="002E5BAD" w:rsidP="002E5BAD">
      <w:pPr>
        <w:rPr>
          <w:sz w:val="16"/>
          <w:szCs w:val="16"/>
          <w:u w:val="single"/>
        </w:rPr>
      </w:pPr>
      <w:r w:rsidRPr="002F21F7">
        <w:rPr>
          <w:rFonts w:hint="cs"/>
          <w:u w:val="single"/>
          <w:rtl/>
        </w:rPr>
        <w:t>ב' עדים שראו אשה שנסרתה עם גוי, ולא היה קינוי:</w:t>
      </w:r>
      <w:r w:rsidRPr="002F21F7">
        <w:rPr>
          <w:rFonts w:hint="cs"/>
          <w:sz w:val="16"/>
          <w:szCs w:val="16"/>
          <w:rtl/>
        </w:rPr>
        <w:t xml:space="preserve"> (</w:t>
      </w:r>
      <w:r>
        <w:rPr>
          <w:rFonts w:hint="cs"/>
          <w:sz w:val="16"/>
          <w:szCs w:val="16"/>
          <w:rtl/>
        </w:rPr>
        <w:t>דרכ"מ אות כ)</w:t>
      </w:r>
    </w:p>
    <w:p w14:paraId="6EF5745A" w14:textId="77777777" w:rsidR="002E5BAD" w:rsidRPr="00E069A0" w:rsidRDefault="002E5BAD" w:rsidP="00B75458">
      <w:pPr>
        <w:pStyle w:val="ab"/>
        <w:numPr>
          <w:ilvl w:val="0"/>
          <w:numId w:val="204"/>
        </w:numPr>
        <w:rPr>
          <w:rtl/>
        </w:rPr>
      </w:pPr>
      <w:r w:rsidRPr="002F21F7">
        <w:rPr>
          <w:rFonts w:cs="Arial"/>
          <w:rtl/>
        </w:rPr>
        <w:t xml:space="preserve">מהרי"ו </w:t>
      </w:r>
      <w:r w:rsidRPr="002F21F7">
        <w:rPr>
          <w:rFonts w:cs="Arial" w:hint="cs"/>
          <w:sz w:val="16"/>
          <w:szCs w:val="16"/>
          <w:rtl/>
        </w:rPr>
        <w:t>(</w:t>
      </w:r>
      <w:r w:rsidRPr="002F21F7">
        <w:rPr>
          <w:rFonts w:cs="Arial"/>
          <w:sz w:val="16"/>
          <w:szCs w:val="16"/>
          <w:rtl/>
        </w:rPr>
        <w:t>סי</w:t>
      </w:r>
      <w:r w:rsidRPr="002F21F7">
        <w:rPr>
          <w:rFonts w:cs="Arial" w:hint="cs"/>
          <w:sz w:val="16"/>
          <w:szCs w:val="16"/>
          <w:rtl/>
        </w:rPr>
        <w:t>'</w:t>
      </w:r>
      <w:r w:rsidRPr="002F21F7">
        <w:rPr>
          <w:rFonts w:cs="Arial"/>
          <w:sz w:val="16"/>
          <w:szCs w:val="16"/>
          <w:rtl/>
        </w:rPr>
        <w:t xml:space="preserve"> ח</w:t>
      </w:r>
      <w:r w:rsidRPr="002F21F7">
        <w:rPr>
          <w:rFonts w:cs="Arial" w:hint="cs"/>
          <w:sz w:val="16"/>
          <w:szCs w:val="16"/>
          <w:rtl/>
        </w:rPr>
        <w:t>)</w:t>
      </w:r>
      <w:r w:rsidRPr="002F21F7">
        <w:rPr>
          <w:rFonts w:cs="Arial" w:hint="cs"/>
          <w:rtl/>
        </w:rPr>
        <w:t>-</w:t>
      </w:r>
      <w:r w:rsidRPr="002F21F7">
        <w:rPr>
          <w:rFonts w:cs="Arial"/>
          <w:rtl/>
        </w:rPr>
        <w:t xml:space="preserve"> אם ראוה ב' עדים נסתרת עם גוי אפילו בלא קינוי הוי דבר מכוער ואם היא אומרת טהורה אני יש לדרוש ולחקור היטב אם אינה נותנת אמתלא ברורה אפשר דאסורה לבעלה וגם כתובתה הפסידה אפילו בלא קינוי, אמנם אם לא ראו ב' עדים רק עד אחד ונשים לא נאסרה בלא קינוי</w:t>
      </w:r>
      <w:r w:rsidRPr="002F21F7">
        <w:rPr>
          <w:rFonts w:cs="Arial" w:hint="cs"/>
          <w:rtl/>
        </w:rPr>
        <w:t>.</w:t>
      </w:r>
    </w:p>
    <w:p w14:paraId="597D9D4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086F82" w14:textId="77777777" w:rsidR="002E5BAD" w:rsidRDefault="002E5BAD" w:rsidP="002E5BAD">
      <w:pPr>
        <w:rPr>
          <w:rtl/>
        </w:rPr>
      </w:pPr>
      <w:r>
        <w:rPr>
          <w:rFonts w:cs="Arial"/>
          <w:rtl/>
        </w:rPr>
        <w:t>אמר לה בינו לבינה: אל תסתרי עם איש פלוני, וראה אותה שנסתרה ושהתה עמו כדי טומאה, אסורה לו</w:t>
      </w:r>
      <w:r>
        <w:rPr>
          <w:rStyle w:val="a7"/>
          <w:rFonts w:cs="Arial"/>
          <w:rtl/>
        </w:rPr>
        <w:footnoteReference w:id="3197"/>
      </w:r>
      <w:r>
        <w:rPr>
          <w:rFonts w:cs="Arial"/>
          <w:rtl/>
        </w:rPr>
        <w:t xml:space="preserve"> וחייב להוציאה</w:t>
      </w:r>
      <w:r>
        <w:rPr>
          <w:rStyle w:val="a7"/>
          <w:rFonts w:cs="Arial"/>
          <w:rtl/>
        </w:rPr>
        <w:footnoteReference w:id="3198"/>
      </w:r>
      <w:r>
        <w:rPr>
          <w:rFonts w:cs="Arial"/>
          <w:rtl/>
        </w:rPr>
        <w:t xml:space="preserve"> ויתן לה כתובה</w:t>
      </w:r>
      <w:r>
        <w:rPr>
          <w:rFonts w:cs="Arial" w:hint="cs"/>
          <w:rtl/>
        </w:rPr>
        <w:t>.</w:t>
      </w:r>
      <w:r>
        <w:rPr>
          <w:rFonts w:cs="Arial"/>
          <w:rtl/>
        </w:rPr>
        <w:t xml:space="preserve"> ואם הודית שנסתרה אחר שהתרה בה, תצא בלא כתובה. לפיכך משביעה על זה</w:t>
      </w:r>
      <w:r>
        <w:rPr>
          <w:rStyle w:val="a7"/>
          <w:rFonts w:cs="Arial"/>
          <w:rtl/>
        </w:rPr>
        <w:footnoteReference w:id="3199"/>
      </w:r>
      <w:r>
        <w:rPr>
          <w:rFonts w:cs="Arial"/>
          <w:rtl/>
        </w:rPr>
        <w:t xml:space="preserve"> ואח</w:t>
      </w:r>
      <w:r>
        <w:rPr>
          <w:rFonts w:cs="Arial" w:hint="cs"/>
          <w:rtl/>
        </w:rPr>
        <w:t xml:space="preserve">ר </w:t>
      </w:r>
      <w:r>
        <w:rPr>
          <w:rFonts w:cs="Arial"/>
          <w:rtl/>
        </w:rPr>
        <w:t>כ</w:t>
      </w:r>
      <w:r>
        <w:rPr>
          <w:rFonts w:cs="Arial" w:hint="cs"/>
          <w:rtl/>
        </w:rPr>
        <w:t>ך</w:t>
      </w:r>
      <w:r>
        <w:rPr>
          <w:rFonts w:cs="Arial"/>
          <w:rtl/>
        </w:rPr>
        <w:t xml:space="preserve"> נותן לה כתובה. </w:t>
      </w:r>
    </w:p>
    <w:p w14:paraId="35AAB494" w14:textId="77777777" w:rsidR="002E5BAD" w:rsidRDefault="002E5BAD" w:rsidP="002E5BAD">
      <w:pPr>
        <w:rPr>
          <w:rtl/>
        </w:rPr>
      </w:pPr>
    </w:p>
    <w:p w14:paraId="70DE703F" w14:textId="77777777" w:rsidR="002E5BAD" w:rsidRDefault="002E5BAD" w:rsidP="002E5BAD">
      <w:pPr>
        <w:pStyle w:val="2"/>
        <w:rPr>
          <w:rtl/>
        </w:rPr>
      </w:pPr>
      <w:r>
        <w:rPr>
          <w:rtl/>
        </w:rPr>
        <w:t>סעיף י</w:t>
      </w:r>
      <w:r>
        <w:rPr>
          <w:rFonts w:hint="cs"/>
          <w:rtl/>
        </w:rPr>
        <w:t xml:space="preserve">: </w:t>
      </w:r>
      <w:r>
        <w:rPr>
          <w:rFonts w:cs="Arial"/>
          <w:rtl/>
        </w:rPr>
        <w:t>השביע אשתו שלא תדבר עם פלוני, ועברה ודברה עמו</w:t>
      </w:r>
      <w:r>
        <w:rPr>
          <w:rFonts w:hint="cs"/>
          <w:rtl/>
        </w:rPr>
        <w:t>.</w:t>
      </w:r>
    </w:p>
    <w:p w14:paraId="208522F7" w14:textId="77777777" w:rsidR="002E5BAD" w:rsidRPr="00147895" w:rsidRDefault="002E5BAD" w:rsidP="002E5BAD">
      <w:pPr>
        <w:rPr>
          <w:u w:val="single"/>
          <w:rtl/>
        </w:rPr>
      </w:pPr>
      <w:r w:rsidRPr="00147895">
        <w:rPr>
          <w:rFonts w:cs="Arial"/>
          <w:u w:val="single"/>
          <w:rtl/>
        </w:rPr>
        <w:t>השביע אשתו שלא תדבר עם פלוני, ועברה ודברה עמו</w:t>
      </w:r>
      <w:r w:rsidRPr="00147895">
        <w:rPr>
          <w:rFonts w:hint="cs"/>
          <w:u w:val="single"/>
          <w:rtl/>
        </w:rPr>
        <w:t>:</w:t>
      </w:r>
    </w:p>
    <w:p w14:paraId="2E9B1DCC" w14:textId="77777777" w:rsidR="002E5BAD" w:rsidRDefault="002E5BAD" w:rsidP="00B75458">
      <w:pPr>
        <w:pStyle w:val="ab"/>
        <w:numPr>
          <w:ilvl w:val="0"/>
          <w:numId w:val="204"/>
        </w:numPr>
      </w:pPr>
      <w:r w:rsidRPr="00671DE4">
        <w:rPr>
          <w:rFonts w:cs="Arial"/>
          <w:rtl/>
        </w:rPr>
        <w:t xml:space="preserve">רא"ש </w:t>
      </w:r>
      <w:r w:rsidRPr="0040788E">
        <w:rPr>
          <w:rFonts w:cs="Arial" w:hint="cs"/>
          <w:sz w:val="16"/>
          <w:szCs w:val="16"/>
          <w:rtl/>
        </w:rPr>
        <w:t>(כלל לב סי' יז)</w:t>
      </w:r>
      <w:r>
        <w:rPr>
          <w:rFonts w:cs="Arial" w:hint="cs"/>
          <w:rtl/>
        </w:rPr>
        <w:t xml:space="preserve"> וטור-</w:t>
      </w:r>
      <w:r w:rsidRPr="00671DE4">
        <w:rPr>
          <w:rFonts w:cs="Arial"/>
          <w:rtl/>
        </w:rPr>
        <w:t xml:space="preserve"> ששאלת ראובן השביע לאשתו שלא תדבר לפלוני ופלוני</w:t>
      </w:r>
      <w:r>
        <w:rPr>
          <w:rFonts w:cs="Arial" w:hint="cs"/>
          <w:rtl/>
        </w:rPr>
        <w:t>,</w:t>
      </w:r>
      <w:r w:rsidRPr="00671DE4">
        <w:rPr>
          <w:rFonts w:cs="Arial"/>
          <w:rtl/>
        </w:rPr>
        <w:t xml:space="preserve"> ולא תכנס עמהם לבית הסתר</w:t>
      </w:r>
      <w:r>
        <w:rPr>
          <w:rFonts w:cs="Arial" w:hint="cs"/>
          <w:rtl/>
        </w:rPr>
        <w:t>.</w:t>
      </w:r>
      <w:r w:rsidRPr="00671DE4">
        <w:rPr>
          <w:rFonts w:cs="Arial"/>
          <w:rtl/>
        </w:rPr>
        <w:t xml:space="preserve"> וקבלה שבועתו בפני עדים לזמן קצוב</w:t>
      </w:r>
      <w:r>
        <w:rPr>
          <w:rFonts w:cs="Arial" w:hint="cs"/>
          <w:rtl/>
        </w:rPr>
        <w:t>.</w:t>
      </w:r>
      <w:r w:rsidRPr="00671DE4">
        <w:rPr>
          <w:rFonts w:cs="Arial"/>
          <w:rtl/>
        </w:rPr>
        <w:t xml:space="preserve"> אם עברה על שום דבר משבועתה אם אבדה כתובתה</w:t>
      </w:r>
      <w:r>
        <w:rPr>
          <w:rFonts w:cs="Arial" w:hint="cs"/>
          <w:rtl/>
        </w:rPr>
        <w:t xml:space="preserve">.   </w:t>
      </w:r>
      <w:r w:rsidRPr="00671DE4">
        <w:rPr>
          <w:rFonts w:cs="Arial"/>
          <w:rtl/>
        </w:rPr>
        <w:t xml:space="preserve"> תשובה</w:t>
      </w:r>
      <w:r>
        <w:rPr>
          <w:rFonts w:cs="Arial" w:hint="cs"/>
          <w:rtl/>
        </w:rPr>
        <w:t>-</w:t>
      </w:r>
      <w:r w:rsidRPr="00671DE4">
        <w:rPr>
          <w:rFonts w:cs="Arial"/>
          <w:rtl/>
        </w:rPr>
        <w:t xml:space="preserve"> אם נכנסה עמו לבית הסתר ושהתה עמו כדי טומאה בשני עדים </w:t>
      </w:r>
      <w:r>
        <w:rPr>
          <w:rFonts w:cs="Arial" w:hint="cs"/>
          <w:rtl/>
        </w:rPr>
        <w:t xml:space="preserve">- </w:t>
      </w:r>
      <w:r w:rsidRPr="00671DE4">
        <w:rPr>
          <w:rFonts w:cs="Arial"/>
          <w:rtl/>
        </w:rPr>
        <w:t>אסורה לבעלה ותצא בלא כתובה</w:t>
      </w:r>
      <w:r>
        <w:rPr>
          <w:rFonts w:cs="Arial" w:hint="cs"/>
          <w:rtl/>
        </w:rPr>
        <w:t>.</w:t>
      </w:r>
      <w:r w:rsidRPr="00671DE4">
        <w:rPr>
          <w:rFonts w:cs="Arial"/>
          <w:rtl/>
        </w:rPr>
        <w:t xml:space="preserve"> ודוקא שיש ב' עדים שנסתרה</w:t>
      </w:r>
      <w:r>
        <w:rPr>
          <w:rFonts w:cs="Arial" w:hint="cs"/>
          <w:rtl/>
        </w:rPr>
        <w:t>,</w:t>
      </w:r>
      <w:r w:rsidRPr="00671DE4">
        <w:rPr>
          <w:rFonts w:cs="Arial"/>
          <w:rtl/>
        </w:rPr>
        <w:t xml:space="preserve"> אבל נסתרה עמו בעד אחד אינה אסורה</w:t>
      </w:r>
      <w:r>
        <w:rPr>
          <w:rStyle w:val="a7"/>
          <w:rFonts w:cs="Arial"/>
          <w:rtl/>
        </w:rPr>
        <w:footnoteReference w:id="3200"/>
      </w:r>
      <w:r>
        <w:rPr>
          <w:rFonts w:cs="Arial" w:hint="cs"/>
          <w:rtl/>
        </w:rPr>
        <w:t>.</w:t>
      </w:r>
      <w:r w:rsidRPr="00671DE4">
        <w:rPr>
          <w:rFonts w:cs="Arial"/>
          <w:rtl/>
        </w:rPr>
        <w:t xml:space="preserve"> אבל אם לא נכנסה לבית הסתר אלא דברה עם אחד מהם </w:t>
      </w:r>
      <w:r>
        <w:rPr>
          <w:rFonts w:cs="Arial" w:hint="cs"/>
          <w:rtl/>
        </w:rPr>
        <w:t xml:space="preserve">- </w:t>
      </w:r>
      <w:r w:rsidRPr="00671DE4">
        <w:rPr>
          <w:rFonts w:cs="Arial"/>
          <w:rtl/>
        </w:rPr>
        <w:t>לא נאסרה מכח הקינוי</w:t>
      </w:r>
      <w:r>
        <w:rPr>
          <w:rFonts w:cs="Arial" w:hint="cs"/>
          <w:rtl/>
        </w:rPr>
        <w:t>.</w:t>
      </w:r>
      <w:r w:rsidRPr="00671DE4">
        <w:rPr>
          <w:rFonts w:cs="Arial"/>
          <w:rtl/>
        </w:rPr>
        <w:t xml:space="preserve"> אבל מ"מ עוברת על דת היא כיון שנשבעה שלא לדבר עמו ועברה ודברה עמו </w:t>
      </w:r>
      <w:r>
        <w:rPr>
          <w:rFonts w:cs="Arial" w:hint="cs"/>
          <w:rtl/>
        </w:rPr>
        <w:t xml:space="preserve">- </w:t>
      </w:r>
      <w:r w:rsidRPr="00671DE4">
        <w:rPr>
          <w:rFonts w:cs="Arial"/>
          <w:rtl/>
        </w:rPr>
        <w:t>יוצאת בלא כתובה</w:t>
      </w:r>
      <w:r>
        <w:rPr>
          <w:rFonts w:cs="Arial" w:hint="cs"/>
          <w:rtl/>
        </w:rPr>
        <w:t>,</w:t>
      </w:r>
      <w:r w:rsidRPr="00671DE4">
        <w:rPr>
          <w:rFonts w:cs="Arial"/>
          <w:rtl/>
        </w:rPr>
        <w:t xml:space="preserve"> ודוקא שהתרו בה תחילה אם תעברי על שבועתך תפסידי כתובתך</w:t>
      </w:r>
      <w:r>
        <w:rPr>
          <w:rFonts w:cs="Arial" w:hint="cs"/>
          <w:rtl/>
        </w:rPr>
        <w:t>.</w:t>
      </w:r>
      <w:r w:rsidRPr="00671DE4">
        <w:rPr>
          <w:rFonts w:cs="Arial"/>
          <w:rtl/>
        </w:rPr>
        <w:t xml:space="preserve"> אבל אם לא התרו בה </w:t>
      </w:r>
      <w:r>
        <w:rPr>
          <w:rFonts w:cs="Arial" w:hint="cs"/>
          <w:rtl/>
        </w:rPr>
        <w:t xml:space="preserve">- </w:t>
      </w:r>
      <w:r w:rsidRPr="00671DE4">
        <w:rPr>
          <w:rFonts w:cs="Arial"/>
          <w:rtl/>
        </w:rPr>
        <w:t>לא הפסידה כתובתה</w:t>
      </w:r>
      <w:r>
        <w:rPr>
          <w:rStyle w:val="a7"/>
          <w:rFonts w:cs="Arial"/>
          <w:rtl/>
        </w:rPr>
        <w:footnoteReference w:id="3201"/>
      </w:r>
      <w:r>
        <w:rPr>
          <w:rFonts w:cs="Arial" w:hint="cs"/>
          <w:sz w:val="16"/>
          <w:szCs w:val="16"/>
          <w:rtl/>
        </w:rPr>
        <w:t xml:space="preserve"> (ל' הטור בשם הרא"ש)</w:t>
      </w:r>
      <w:r>
        <w:rPr>
          <w:rFonts w:cs="Arial" w:hint="cs"/>
          <w:rtl/>
        </w:rPr>
        <w:t>.</w:t>
      </w:r>
      <w:r w:rsidRPr="00147895">
        <w:rPr>
          <w:rFonts w:hint="cs"/>
          <w:color w:val="E36C0A" w:themeColor="accent6" w:themeShade="BF"/>
          <w:rtl/>
        </w:rPr>
        <w:t xml:space="preserve"> </w:t>
      </w:r>
      <w:r w:rsidRPr="008C7592">
        <w:rPr>
          <w:rFonts w:hint="cs"/>
          <w:color w:val="E36C0A" w:themeColor="accent6" w:themeShade="BF"/>
          <w:rtl/>
        </w:rPr>
        <w:t>(וכ"פ בשו"ע)</w:t>
      </w:r>
    </w:p>
    <w:p w14:paraId="0FD2DA3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09AE1F" w14:textId="77777777" w:rsidR="002E5BAD" w:rsidRPr="007A3469" w:rsidRDefault="002E5BAD" w:rsidP="002E5BAD">
      <w:pPr>
        <w:rPr>
          <w:rtl/>
        </w:rPr>
        <w:sectPr w:rsidR="002E5BAD" w:rsidRPr="007A3469" w:rsidSect="00A347B3">
          <w:headerReference w:type="default" r:id="rId72"/>
          <w:footnotePr>
            <w:numRestart w:val="eachPage"/>
          </w:footnotePr>
          <w:pgSz w:w="11906" w:h="16838"/>
          <w:pgMar w:top="720" w:right="1134" w:bottom="720" w:left="1134" w:header="0" w:footer="0" w:gutter="0"/>
          <w:cols w:space="720"/>
          <w:bidi/>
          <w:rtlGutter/>
          <w:docGrid w:linePitch="360"/>
        </w:sectPr>
      </w:pPr>
      <w:r>
        <w:rPr>
          <w:rFonts w:cs="Arial"/>
          <w:rtl/>
        </w:rPr>
        <w:lastRenderedPageBreak/>
        <w:t>אם השביע אשתו שלא תדבר עם פלוני, ועברה ודברה עמו, עוברת על דת היא</w:t>
      </w:r>
      <w:r>
        <w:rPr>
          <w:rStyle w:val="a7"/>
          <w:rFonts w:cs="Arial"/>
          <w:rtl/>
        </w:rPr>
        <w:footnoteReference w:id="3202"/>
      </w:r>
      <w:r>
        <w:rPr>
          <w:rFonts w:cs="Arial" w:hint="cs"/>
          <w:rtl/>
        </w:rPr>
        <w:t>.</w:t>
      </w:r>
      <w:r>
        <w:rPr>
          <w:rFonts w:cs="Arial"/>
          <w:rtl/>
        </w:rPr>
        <w:t xml:space="preserve"> והפסידה כתובתה אם התרו בה תחלה: אם תעברי על שבועתיך תפסידי כתובתיך.</w:t>
      </w:r>
    </w:p>
    <w:p w14:paraId="39699BB3" w14:textId="77777777" w:rsidR="002E5BAD" w:rsidRDefault="002E5BAD" w:rsidP="002E5BAD">
      <w:pPr>
        <w:pStyle w:val="1"/>
        <w:rPr>
          <w:rtl/>
        </w:rPr>
      </w:pPr>
      <w:r>
        <w:rPr>
          <w:rFonts w:hint="cs"/>
          <w:rtl/>
        </w:rPr>
        <w:lastRenderedPageBreak/>
        <w:t>סימן קטז:</w:t>
      </w:r>
      <w:r w:rsidRPr="00C12B74">
        <w:rPr>
          <w:rtl/>
        </w:rPr>
        <w:t xml:space="preserve"> </w:t>
      </w:r>
      <w:r>
        <w:rPr>
          <w:rFonts w:cs="Arial"/>
          <w:rtl/>
        </w:rPr>
        <w:t xml:space="preserve">דין כתובה ותנאיה, ודין הנושא אשה באיסור, ובו ו' סעיפים. </w:t>
      </w:r>
    </w:p>
    <w:p w14:paraId="238703F6" w14:textId="77777777" w:rsidR="002E5BAD" w:rsidRDefault="002E5BAD" w:rsidP="002E5BAD">
      <w:pPr>
        <w:pStyle w:val="2"/>
        <w:rPr>
          <w:rtl/>
        </w:rPr>
      </w:pPr>
      <w:r>
        <w:rPr>
          <w:rtl/>
        </w:rPr>
        <w:t>סעיף א</w:t>
      </w:r>
      <w:r>
        <w:rPr>
          <w:rFonts w:hint="cs"/>
          <w:rtl/>
        </w:rPr>
        <w:t>: הנושא אשה שאסורה עליו בלאו.</w:t>
      </w:r>
    </w:p>
    <w:p w14:paraId="0DAFB75B" w14:textId="77777777" w:rsidR="002E5BAD" w:rsidRDefault="002E5BAD" w:rsidP="002E5BAD">
      <w:pPr>
        <w:rPr>
          <w:rFonts w:cs="Arial"/>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3203"/>
      </w:r>
      <w:r w:rsidRPr="001D1C27">
        <w:rPr>
          <w:rFonts w:cs="Arial"/>
          <w:rtl/>
        </w:rPr>
        <w:t xml:space="preserve"> ולא פירות</w:t>
      </w:r>
      <w:r>
        <w:rPr>
          <w:rStyle w:val="a7"/>
          <w:rFonts w:cs="Arial"/>
          <w:rtl/>
        </w:rPr>
        <w:footnoteReference w:id="3204"/>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 </w:t>
      </w:r>
      <w:r w:rsidRPr="003A2932">
        <w:rPr>
          <w:rFonts w:cs="Arial"/>
          <w:rtl/>
        </w:rPr>
        <w:t>אלמנה לכ"ג</w:t>
      </w:r>
      <w:r>
        <w:rPr>
          <w:rStyle w:val="a7"/>
          <w:rFonts w:cs="Arial"/>
          <w:rtl/>
        </w:rPr>
        <w:footnoteReference w:id="3205"/>
      </w:r>
      <w:r w:rsidRPr="003A2932">
        <w:rPr>
          <w:rFonts w:cs="Arial"/>
          <w:rtl/>
        </w:rPr>
        <w:t xml:space="preserve">, גרושה וחלוצה לכהן הדיוט, ממזרת ונתינה לישראל, בת ישראל לנתין ולממזר - יש להם כתובה.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xml:space="preserve">: אהייא? אילימא אממאנת, אי דאיתנהו, אידי ואידי שקלא! ואי דליתנהו, אידי ואידי לא שקלא! אלא אאיילונית, אי דאיתנהו, אידי ואידי שקלא! אי דליתנהו, איפכא מיבעי ליה: נכסי מלוג דברשותה קיימי </w:t>
      </w:r>
      <w:r>
        <w:rPr>
          <w:rFonts w:cs="Arial" w:hint="cs"/>
          <w:rtl/>
        </w:rPr>
        <w:t xml:space="preserve">- </w:t>
      </w:r>
      <w:r w:rsidRPr="00297264">
        <w:rPr>
          <w:rFonts w:cs="Arial"/>
          <w:rtl/>
        </w:rPr>
        <w:t>אית לה, נכסי צאן ברזל דלאו ברשותה קיימי</w:t>
      </w:r>
      <w:r>
        <w:rPr>
          <w:rFonts w:cs="Arial" w:hint="cs"/>
          <w:rtl/>
        </w:rPr>
        <w:t xml:space="preserve"> -</w:t>
      </w:r>
      <w:r w:rsidRPr="00297264">
        <w:rPr>
          <w:rFonts w:cs="Arial"/>
          <w:rtl/>
        </w:rPr>
        <w:t xml:space="preserve"> לית לה! אלא אשניה, וקנסו רבנן לדידה בדידיה, ולדידיה בדידה. </w:t>
      </w:r>
      <w:r w:rsidRPr="00297264">
        <w:rPr>
          <w:rFonts w:cs="Arial"/>
          <w:u w:val="single"/>
          <w:rtl/>
        </w:rPr>
        <w:t>אמר רב שימי בר אשי</w:t>
      </w:r>
      <w:r w:rsidRPr="00297264">
        <w:rPr>
          <w:rFonts w:cs="Arial"/>
          <w:rtl/>
        </w:rPr>
        <w:t xml:space="preserve">: ש"מ מדרב כהנא, עיילא ליה גלימא - קרנא הוי, ולא מכסי לה ואזיל עד דבלי. והאמר רב נחמן: פירא הוי! דרב נחמן פליגא.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3206"/>
      </w:r>
      <w:r w:rsidRPr="00EA2802">
        <w:rPr>
          <w:rFonts w:cs="Arial"/>
          <w:rtl/>
        </w:rPr>
        <w:t xml:space="preserve">. </w:t>
      </w:r>
      <w:r w:rsidRPr="008C07EF">
        <w:rPr>
          <w:rFonts w:cs="Arial"/>
          <w:rtl/>
        </w:rPr>
        <w:t>ת</w:t>
      </w:r>
      <w:r>
        <w:rPr>
          <w:rFonts w:cs="Arial" w:hint="cs"/>
          <w:rtl/>
        </w:rPr>
        <w:t>ניא נמי הכי</w:t>
      </w:r>
      <w:r w:rsidRPr="008C07EF">
        <w:rPr>
          <w:rFonts w:cs="Arial"/>
          <w:rtl/>
        </w:rPr>
        <w:t>: נשים שאמרו חכמים אין להן כתובה, כגון הממאנת וחברותיה - אין להן מנה מאתים, אבל תוספת יש להן</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r w:rsidRPr="001D1C27">
        <w:rPr>
          <w:rFonts w:cs="Arial"/>
          <w:rtl/>
        </w:rPr>
        <w:t xml:space="preserve">אם מתחלה נשאה כו'. </w:t>
      </w:r>
      <w:r w:rsidRPr="00FD4332">
        <w:rPr>
          <w:rFonts w:cs="Arial"/>
          <w:u w:val="single"/>
          <w:rtl/>
        </w:rPr>
        <w:t>אמר רב הונא</w:t>
      </w:r>
      <w:r w:rsidRPr="001D1C27">
        <w:rPr>
          <w:rFonts w:cs="Arial"/>
          <w:rtl/>
        </w:rPr>
        <w:t>: אילונית - אשה ואינה אשה</w:t>
      </w:r>
      <w:r>
        <w:rPr>
          <w:rStyle w:val="a7"/>
          <w:rFonts w:cs="Arial"/>
          <w:rtl/>
        </w:rPr>
        <w:footnoteReference w:id="3207"/>
      </w:r>
      <w:r w:rsidRPr="001D1C27">
        <w:rPr>
          <w:rFonts w:cs="Arial"/>
          <w:rtl/>
        </w:rPr>
        <w:t>, אלמנה</w:t>
      </w:r>
      <w:r>
        <w:rPr>
          <w:rStyle w:val="a7"/>
          <w:rFonts w:cs="Arial"/>
          <w:rtl/>
        </w:rPr>
        <w:footnoteReference w:id="3208"/>
      </w:r>
      <w:r w:rsidRPr="001D1C27">
        <w:rPr>
          <w:rFonts w:cs="Arial"/>
          <w:rtl/>
        </w:rPr>
        <w:t xml:space="preserve"> - אשה גמורה</w:t>
      </w:r>
      <w:r>
        <w:rPr>
          <w:rFonts w:cs="Arial" w:hint="cs"/>
          <w:rtl/>
        </w:rPr>
        <w:t>.</w:t>
      </w:r>
      <w:r w:rsidRPr="001D1C27">
        <w:rPr>
          <w:rFonts w:cs="Arial"/>
          <w:rtl/>
        </w:rPr>
        <w:t xml:space="preserve"> אילונית אשה ואינה אשה, הכיר בה - יש לה כתובה, לא הכיר בה - אין לה כתובה</w:t>
      </w:r>
      <w:r>
        <w:rPr>
          <w:rFonts w:cs="Arial" w:hint="cs"/>
          <w:rtl/>
        </w:rPr>
        <w:t>.</w:t>
      </w:r>
      <w:r w:rsidRPr="001D1C27">
        <w:rPr>
          <w:rFonts w:cs="Arial"/>
          <w:rtl/>
        </w:rPr>
        <w:t xml:space="preserve"> אלמנה אשה גמורה, בין הכיר בה בין לא הכיר בה - יש לה כתובה</w:t>
      </w:r>
      <w:r>
        <w:rPr>
          <w:rFonts w:cs="Arial" w:hint="cs"/>
          <w:rtl/>
        </w:rPr>
        <w:t>.</w:t>
      </w:r>
      <w:r w:rsidRPr="001D1C27">
        <w:rPr>
          <w:rFonts w:cs="Arial"/>
          <w:rtl/>
        </w:rPr>
        <w:t xml:space="preserve"> </w:t>
      </w:r>
      <w:r w:rsidRPr="00FD4332">
        <w:rPr>
          <w:rFonts w:cs="Arial"/>
          <w:u w:val="single"/>
          <w:rtl/>
        </w:rPr>
        <w:t>ורב יהודה אומר</w:t>
      </w:r>
      <w:r w:rsidRPr="001D1C27">
        <w:rPr>
          <w:rFonts w:cs="Arial"/>
          <w:rtl/>
        </w:rPr>
        <w:t>: אחת זו ואחת זו אשה ואינה אשה, הכיר בה - יש לה כתובה, לא הכיר בה - אין לה כתובה. מיתיבי: כנסה בחזקת שהיא כן</w:t>
      </w:r>
      <w:r>
        <w:rPr>
          <w:rStyle w:val="a7"/>
          <w:rFonts w:cs="Arial"/>
          <w:rtl/>
        </w:rPr>
        <w:footnoteReference w:id="3209"/>
      </w:r>
      <w:r w:rsidRPr="001D1C27">
        <w:rPr>
          <w:rFonts w:cs="Arial"/>
          <w:rtl/>
        </w:rPr>
        <w:t xml:space="preserve"> ונמצאת שהיא כן - יש לה כתובה, הא סתמא</w:t>
      </w:r>
      <w:r>
        <w:rPr>
          <w:rStyle w:val="a7"/>
          <w:rFonts w:cs="Arial"/>
          <w:rtl/>
        </w:rPr>
        <w:footnoteReference w:id="3210"/>
      </w:r>
      <w:r w:rsidRPr="001D1C27">
        <w:rPr>
          <w:rFonts w:cs="Arial"/>
          <w:rtl/>
        </w:rPr>
        <w:t xml:space="preserve"> - אין לה</w:t>
      </w:r>
      <w:r>
        <w:rPr>
          <w:rStyle w:val="a7"/>
          <w:rFonts w:cs="Arial"/>
          <w:rtl/>
        </w:rPr>
        <w:footnoteReference w:id="3211"/>
      </w:r>
      <w:r w:rsidRPr="001D1C27">
        <w:rPr>
          <w:rFonts w:cs="Arial"/>
          <w:rtl/>
        </w:rPr>
        <w:t xml:space="preserve"> כתובה! לא תימא: הא סתמא - אין לה כתובה, אלא אימא: כנסה בחזקת שאינה כן</w:t>
      </w:r>
      <w:r>
        <w:rPr>
          <w:rStyle w:val="a7"/>
          <w:rFonts w:cs="Arial"/>
          <w:rtl/>
        </w:rPr>
        <w:footnoteReference w:id="3212"/>
      </w:r>
      <w:r w:rsidRPr="001D1C27">
        <w:rPr>
          <w:rFonts w:cs="Arial"/>
          <w:rtl/>
        </w:rPr>
        <w:t xml:space="preserve"> ונמצאת שהיא כן - אין לה כתובה. אבל סתמא</w:t>
      </w:r>
      <w:r>
        <w:rPr>
          <w:rStyle w:val="a7"/>
          <w:rFonts w:cs="Arial"/>
          <w:rtl/>
        </w:rPr>
        <w:footnoteReference w:id="3213"/>
      </w:r>
      <w:r w:rsidRPr="001D1C27">
        <w:rPr>
          <w:rFonts w:cs="Arial"/>
          <w:rtl/>
        </w:rPr>
        <w:t xml:space="preserve"> מאי? אית לה</w:t>
      </w:r>
      <w:r>
        <w:rPr>
          <w:rFonts w:cs="Arial" w:hint="cs"/>
          <w:rtl/>
        </w:rPr>
        <w:t>.</w:t>
      </w:r>
      <w:r w:rsidRPr="001D1C27">
        <w:rPr>
          <w:rFonts w:cs="Arial"/>
          <w:rtl/>
        </w:rPr>
        <w:t xml:space="preserve"> אדתני: בחזקת שהיא כן ונמצאת שהיא כן - יש לה כתובה, לשמעינן סתמא וכ"ש הא! ועוד תני: כנסה בידוע</w:t>
      </w:r>
      <w:r>
        <w:rPr>
          <w:rStyle w:val="a7"/>
          <w:rFonts w:cs="Arial"/>
          <w:rtl/>
        </w:rPr>
        <w:footnoteReference w:id="3214"/>
      </w:r>
      <w:r w:rsidRPr="001D1C27">
        <w:rPr>
          <w:rFonts w:cs="Arial"/>
          <w:rtl/>
        </w:rPr>
        <w:t xml:space="preserve"> ונמצאת בידוע - יש לה כתובה, כנסה סתם - אין לה כתובה, תיובתא דרב הונא! רב הונא מתני' אטעיתיה, הוא סבר: מדקא מפליג באילונית</w:t>
      </w:r>
      <w:r>
        <w:rPr>
          <w:rStyle w:val="a7"/>
          <w:rFonts w:cs="Arial"/>
          <w:rtl/>
        </w:rPr>
        <w:footnoteReference w:id="3215"/>
      </w:r>
      <w:r w:rsidRPr="001D1C27">
        <w:rPr>
          <w:rFonts w:cs="Arial"/>
          <w:rtl/>
        </w:rPr>
        <w:t xml:space="preserve"> ולא קמפליג באלמנה, מכלל דאלמנה אפי' בסתמא נמי אית לה, ולא היא, כי קתני לה לאלמנה</w:t>
      </w:r>
      <w:r>
        <w:rPr>
          <w:rStyle w:val="a7"/>
          <w:rFonts w:cs="Arial"/>
          <w:rtl/>
        </w:rPr>
        <w:footnoteReference w:id="3216"/>
      </w:r>
      <w:r w:rsidRPr="001D1C27">
        <w:rPr>
          <w:rFonts w:cs="Arial"/>
          <w:rtl/>
        </w:rPr>
        <w:t xml:space="preserve"> - אפלוגתא דאילונית קאי</w:t>
      </w:r>
      <w:r>
        <w:rPr>
          <w:rStyle w:val="a7"/>
          <w:rFonts w:cs="Arial"/>
          <w:rtl/>
        </w:rPr>
        <w:footnoteReference w:id="3217"/>
      </w:r>
      <w:r>
        <w:rPr>
          <w:rFonts w:cs="Arial" w:hint="cs"/>
          <w:rtl/>
        </w:rPr>
        <w:t xml:space="preserve">. </w:t>
      </w:r>
    </w:p>
    <w:p w14:paraId="2919E05F" w14:textId="77777777" w:rsidR="002E5BAD" w:rsidRDefault="002E5BAD" w:rsidP="002E5BAD">
      <w:pPr>
        <w:rPr>
          <w:rFonts w:cs="Arial"/>
          <w:rtl/>
        </w:rPr>
      </w:pPr>
      <w:r w:rsidRPr="00DF38A2">
        <w:rPr>
          <w:rFonts w:cs="Arial" w:hint="cs"/>
          <w:b/>
          <w:bCs/>
          <w:rtl/>
        </w:rPr>
        <w:t xml:space="preserve">יבמות </w:t>
      </w:r>
      <w:r w:rsidRPr="00DF38A2">
        <w:rPr>
          <w:rFonts w:cs="Arial" w:hint="cs"/>
          <w:b/>
          <w:bCs/>
          <w:sz w:val="16"/>
          <w:szCs w:val="16"/>
          <w:rtl/>
        </w:rPr>
        <w:t>(</w:t>
      </w:r>
      <w:r w:rsidRPr="00DF38A2">
        <w:rPr>
          <w:rFonts w:cs="Arial"/>
          <w:b/>
          <w:bCs/>
          <w:sz w:val="16"/>
          <w:szCs w:val="16"/>
          <w:rtl/>
        </w:rPr>
        <w:t>פ</w:t>
      </w:r>
      <w:r w:rsidRPr="00DF38A2">
        <w:rPr>
          <w:rFonts w:cs="Arial" w:hint="cs"/>
          <w:b/>
          <w:bCs/>
          <w:sz w:val="16"/>
          <w:szCs w:val="16"/>
          <w:rtl/>
        </w:rPr>
        <w:t>'</w:t>
      </w:r>
      <w:r w:rsidRPr="00DF38A2">
        <w:rPr>
          <w:rFonts w:cs="Arial"/>
          <w:b/>
          <w:bCs/>
          <w:sz w:val="16"/>
          <w:szCs w:val="16"/>
          <w:rtl/>
        </w:rPr>
        <w:t xml:space="preserve"> יש מותרות</w:t>
      </w:r>
      <w:r w:rsidRPr="00DF38A2">
        <w:rPr>
          <w:rFonts w:cs="Arial" w:hint="cs"/>
          <w:b/>
          <w:bCs/>
          <w:sz w:val="16"/>
          <w:szCs w:val="16"/>
          <w:rtl/>
        </w:rPr>
        <w:t xml:space="preserve">) </w:t>
      </w:r>
      <w:r w:rsidRPr="00DF38A2">
        <w:rPr>
          <w:rFonts w:cs="Arial" w:hint="cs"/>
          <w:b/>
          <w:bCs/>
          <w:rtl/>
        </w:rPr>
        <w:t>פה ע"א:</w:t>
      </w:r>
      <w:r>
        <w:rPr>
          <w:rFonts w:cs="Arial"/>
          <w:rtl/>
        </w:rPr>
        <w:t xml:space="preserve"> </w:t>
      </w:r>
      <w:r w:rsidRPr="00982EDE">
        <w:rPr>
          <w:rFonts w:cs="Arial"/>
          <w:u w:val="single"/>
          <w:rtl/>
        </w:rPr>
        <w:t>בעא מיניה רבי אלעזר מרבי יוחנן</w:t>
      </w:r>
      <w:r w:rsidRPr="00DF38A2">
        <w:rPr>
          <w:rFonts w:cs="Arial"/>
          <w:rtl/>
        </w:rPr>
        <w:t xml:space="preserve">: אלמנה לכ"ג, גרושה וחלוצה לכהן הדיוט, יש להן מזונות או אין להן מזונות? היכי דמי? אילימא דיתבה תותיה, בעמוד והוצא קאי, מזונות אית לה? לא צריכא, שהלך הוא למדינת הים ולותה ואכלה, מאי? מזוני תנאי כתובה נינהו, מדאית לה כתובה אית לה מזוני, או דלמא כתובה דלמשקל ומיפק אית לה, מזוני דלמא תיעכב גביה לית לה? א"ל: לית לה. והתניא: יש לה! כי תניא ההיא - לאחר מיתה. אית דאמר: אמר ליה, תניא: יש לה. הא בעמוד והוצא קאי! ואלא התניא: יש לה! כי תניא ההיא - לאחר מיתה. </w:t>
      </w:r>
      <w:r w:rsidRPr="00982EDE">
        <w:rPr>
          <w:rFonts w:cs="Arial" w:hint="cs"/>
          <w:sz w:val="16"/>
          <w:szCs w:val="16"/>
          <w:rtl/>
        </w:rPr>
        <w:t>(</w:t>
      </w:r>
      <w:r w:rsidRPr="00982EDE">
        <w:rPr>
          <w:rFonts w:cs="Arial"/>
          <w:sz w:val="16"/>
          <w:szCs w:val="16"/>
          <w:rtl/>
        </w:rPr>
        <w:t>וכן פסקו הרי"ף (כז.) והרא"ש (סי' ג)</w:t>
      </w:r>
      <w:r>
        <w:rPr>
          <w:rFonts w:cs="Arial" w:hint="cs"/>
          <w:sz w:val="16"/>
          <w:szCs w:val="16"/>
          <w:rtl/>
        </w:rPr>
        <w:t>, ב"י)</w:t>
      </w:r>
    </w:p>
    <w:p w14:paraId="60C16CD5" w14:textId="77777777" w:rsidR="002E5BAD" w:rsidRPr="00566416" w:rsidRDefault="002E5BAD" w:rsidP="002E5BAD">
      <w:pPr>
        <w:rPr>
          <w:u w:val="single"/>
          <w:rtl/>
        </w:rPr>
      </w:pPr>
      <w:r w:rsidRPr="00566416">
        <w:rPr>
          <w:rFonts w:hint="cs"/>
          <w:u w:val="single"/>
          <w:rtl/>
        </w:rPr>
        <w:lastRenderedPageBreak/>
        <w:t>הנושא אשה בעביר</w:t>
      </w:r>
      <w:r>
        <w:rPr>
          <w:rFonts w:hint="cs"/>
          <w:u w:val="single"/>
          <w:rtl/>
        </w:rPr>
        <w:t>ת לאו</w:t>
      </w:r>
      <w:r w:rsidRPr="00566416">
        <w:rPr>
          <w:rFonts w:hint="cs"/>
          <w:u w:val="single"/>
          <w:rtl/>
        </w:rPr>
        <w:t xml:space="preserve"> </w:t>
      </w:r>
      <w:r w:rsidRPr="00566416">
        <w:rPr>
          <w:u w:val="single"/>
          <w:rtl/>
        </w:rPr>
        <w:t>–</w:t>
      </w:r>
      <w:r w:rsidRPr="00566416">
        <w:rPr>
          <w:rFonts w:hint="cs"/>
          <w:u w:val="single"/>
          <w:rtl/>
        </w:rPr>
        <w:t xml:space="preserve"> והכיר בה</w:t>
      </w:r>
      <w:r>
        <w:rPr>
          <w:rFonts w:hint="cs"/>
          <w:u w:val="single"/>
          <w:rtl/>
        </w:rPr>
        <w:t>:</w:t>
      </w:r>
    </w:p>
    <w:p w14:paraId="77791CCA" w14:textId="77777777" w:rsidR="002E5BAD" w:rsidRDefault="002E5BAD" w:rsidP="00B75458">
      <w:pPr>
        <w:pStyle w:val="ab"/>
        <w:numPr>
          <w:ilvl w:val="0"/>
          <w:numId w:val="204"/>
        </w:numPr>
      </w:pPr>
      <w:r>
        <w:rPr>
          <w:rFonts w:cs="Arial"/>
          <w:rtl/>
        </w:rPr>
        <w:t>רי"ף</w:t>
      </w:r>
      <w:r>
        <w:rPr>
          <w:rStyle w:val="a7"/>
          <w:rFonts w:cs="Arial"/>
          <w:rtl/>
        </w:rPr>
        <w:footnoteReference w:id="3218"/>
      </w:r>
      <w:r>
        <w:rPr>
          <w:rFonts w:cs="Arial"/>
          <w:rtl/>
        </w:rPr>
        <w:t xml:space="preserve"> </w:t>
      </w:r>
      <w:r w:rsidRPr="007F7FDE">
        <w:rPr>
          <w:rFonts w:cs="Arial"/>
          <w:sz w:val="16"/>
          <w:szCs w:val="16"/>
          <w:rtl/>
        </w:rPr>
        <w:t>(</w:t>
      </w:r>
      <w:r>
        <w:rPr>
          <w:rFonts w:cs="Arial" w:hint="cs"/>
          <w:sz w:val="16"/>
          <w:szCs w:val="16"/>
          <w:rtl/>
        </w:rPr>
        <w:t xml:space="preserve">כתובות </w:t>
      </w:r>
      <w:r w:rsidRPr="007F7FDE">
        <w:rPr>
          <w:rFonts w:cs="Arial"/>
          <w:sz w:val="16"/>
          <w:szCs w:val="16"/>
          <w:rtl/>
        </w:rPr>
        <w:t>ס.</w:t>
      </w:r>
      <w:r>
        <w:rPr>
          <w:rFonts w:cs="Arial" w:hint="cs"/>
          <w:sz w:val="16"/>
          <w:szCs w:val="16"/>
          <w:rtl/>
        </w:rPr>
        <w:t>, ויבמות כז.</w:t>
      </w:r>
      <w:r w:rsidRPr="007F7FDE">
        <w:rPr>
          <w:rFonts w:cs="Arial"/>
          <w:sz w:val="16"/>
          <w:szCs w:val="16"/>
          <w:rtl/>
        </w:rPr>
        <w:t xml:space="preserve">) </w:t>
      </w:r>
      <w:r>
        <w:rPr>
          <w:rFonts w:cs="Arial" w:hint="cs"/>
          <w:rtl/>
        </w:rPr>
        <w:t>ר</w:t>
      </w:r>
      <w:r>
        <w:rPr>
          <w:rFonts w:cs="Arial"/>
          <w:rtl/>
        </w:rPr>
        <w:t xml:space="preserve">א"ש </w:t>
      </w:r>
      <w:r w:rsidRPr="007F7FDE">
        <w:rPr>
          <w:rFonts w:cs="Arial"/>
          <w:sz w:val="16"/>
          <w:szCs w:val="16"/>
          <w:rtl/>
        </w:rPr>
        <w:t>(</w:t>
      </w:r>
      <w:r>
        <w:rPr>
          <w:rFonts w:cs="Arial" w:hint="cs"/>
          <w:sz w:val="16"/>
          <w:szCs w:val="16"/>
          <w:rtl/>
        </w:rPr>
        <w:t xml:space="preserve">כתובות פי"א </w:t>
      </w:r>
      <w:r w:rsidRPr="007F7FDE">
        <w:rPr>
          <w:rFonts w:cs="Arial"/>
          <w:sz w:val="16"/>
          <w:szCs w:val="16"/>
          <w:rtl/>
        </w:rPr>
        <w:t>סי' כה</w:t>
      </w:r>
      <w:r>
        <w:rPr>
          <w:rFonts w:cs="Arial" w:hint="cs"/>
          <w:sz w:val="16"/>
          <w:szCs w:val="16"/>
          <w:rtl/>
        </w:rPr>
        <w:t>-</w:t>
      </w:r>
      <w:r w:rsidRPr="007F7FDE">
        <w:rPr>
          <w:rFonts w:cs="Arial"/>
          <w:sz w:val="16"/>
          <w:szCs w:val="16"/>
          <w:rtl/>
        </w:rPr>
        <w:t>כח</w:t>
      </w:r>
      <w:r>
        <w:rPr>
          <w:rFonts w:cs="Arial" w:hint="cs"/>
          <w:sz w:val="16"/>
          <w:szCs w:val="16"/>
          <w:rtl/>
        </w:rPr>
        <w:t>, ויבמות פ"ט סי' ג</w:t>
      </w:r>
      <w:r w:rsidRPr="007F7FDE">
        <w:rPr>
          <w:rFonts w:cs="Arial"/>
          <w:sz w:val="16"/>
          <w:szCs w:val="16"/>
          <w:rtl/>
        </w:rPr>
        <w:t>)</w:t>
      </w:r>
      <w:r>
        <w:rPr>
          <w:rFonts w:cs="Arial"/>
          <w:rtl/>
        </w:rPr>
        <w:t xml:space="preserve"> </w:t>
      </w:r>
      <w:r>
        <w:rPr>
          <w:rFonts w:hint="cs"/>
          <w:rtl/>
        </w:rPr>
        <w:t xml:space="preserve">וטור- </w:t>
      </w:r>
      <w:r w:rsidRPr="003C7FB6">
        <w:rPr>
          <w:rFonts w:cs="Arial"/>
          <w:rtl/>
        </w:rPr>
        <w:t>הנושא אשה בעבירה</w:t>
      </w:r>
      <w:r>
        <w:rPr>
          <w:rFonts w:cs="Arial" w:hint="cs"/>
          <w:rtl/>
        </w:rPr>
        <w:t>,</w:t>
      </w:r>
      <w:r w:rsidRPr="003C7FB6">
        <w:rPr>
          <w:rFonts w:cs="Arial"/>
          <w:rtl/>
        </w:rPr>
        <w:t xml:space="preserve"> כגון חייבי לאוין דתפסי בהו קידושין</w:t>
      </w:r>
      <w:r>
        <w:rPr>
          <w:rFonts w:cs="Arial" w:hint="cs"/>
          <w:rtl/>
        </w:rPr>
        <w:t>,</w:t>
      </w:r>
      <w:r w:rsidRPr="003C7FB6">
        <w:rPr>
          <w:rFonts w:cs="Arial"/>
          <w:rtl/>
        </w:rPr>
        <w:t xml:space="preserve"> כמו אלמנה לכ"ג</w:t>
      </w:r>
      <w:r>
        <w:rPr>
          <w:rFonts w:cs="Arial" w:hint="cs"/>
          <w:rtl/>
        </w:rPr>
        <w:t>,</w:t>
      </w:r>
      <w:r w:rsidRPr="003C7FB6">
        <w:rPr>
          <w:rFonts w:cs="Arial"/>
          <w:rtl/>
        </w:rPr>
        <w:t xml:space="preserve"> גרושה וחלוצה לכהן הדיוט</w:t>
      </w:r>
      <w:r>
        <w:rPr>
          <w:rFonts w:cs="Arial" w:hint="cs"/>
          <w:rtl/>
        </w:rPr>
        <w:t>,</w:t>
      </w:r>
      <w:r w:rsidRPr="003C7FB6">
        <w:rPr>
          <w:rFonts w:cs="Arial"/>
          <w:rtl/>
        </w:rPr>
        <w:t xml:space="preserve"> ממזרת ונתינה לישראל</w:t>
      </w:r>
      <w:r>
        <w:rPr>
          <w:rFonts w:cs="Arial" w:hint="cs"/>
          <w:rtl/>
        </w:rPr>
        <w:t>,</w:t>
      </w:r>
      <w:r w:rsidRPr="003C7FB6">
        <w:rPr>
          <w:rFonts w:cs="Arial"/>
          <w:rtl/>
        </w:rPr>
        <w:t xml:space="preserve"> בת ישראל לממזר ולנתין</w:t>
      </w:r>
      <w:r>
        <w:rPr>
          <w:rFonts w:cs="Arial" w:hint="cs"/>
          <w:rtl/>
        </w:rPr>
        <w:t>,</w:t>
      </w:r>
      <w:r w:rsidRPr="003C7FB6">
        <w:rPr>
          <w:rFonts w:cs="Arial"/>
          <w:rtl/>
        </w:rPr>
        <w:t xml:space="preserve"> או פצוע דכא שנשא ישראלית</w:t>
      </w:r>
      <w:r>
        <w:rPr>
          <w:rFonts w:cs="Arial" w:hint="cs"/>
          <w:rtl/>
        </w:rPr>
        <w:t>,</w:t>
      </w:r>
      <w:r w:rsidRPr="003C7FB6">
        <w:rPr>
          <w:rFonts w:cs="Arial"/>
          <w:rtl/>
        </w:rPr>
        <w:t xml:space="preserve"> אם הכיר בה </w:t>
      </w:r>
      <w:r>
        <w:rPr>
          <w:rFonts w:cs="Arial" w:hint="cs"/>
          <w:rtl/>
        </w:rPr>
        <w:t xml:space="preserve">- </w:t>
      </w:r>
      <w:r w:rsidRPr="003C7FB6">
        <w:rPr>
          <w:rFonts w:cs="Arial"/>
          <w:rtl/>
        </w:rPr>
        <w:t>יש לה עיקר כתובה ותוספת כל תנאיה</w:t>
      </w:r>
      <w:r>
        <w:rPr>
          <w:rFonts w:cs="Arial" w:hint="cs"/>
          <w:rtl/>
        </w:rPr>
        <w:t>.</w:t>
      </w:r>
      <w:r w:rsidRPr="003C7FB6">
        <w:rPr>
          <w:rFonts w:cs="Arial"/>
          <w:rtl/>
        </w:rPr>
        <w:t xml:space="preserve"> ומיהו מזונות אין לה</w:t>
      </w:r>
      <w:r>
        <w:rPr>
          <w:rStyle w:val="a7"/>
          <w:rFonts w:cs="Arial"/>
          <w:rtl/>
        </w:rPr>
        <w:footnoteReference w:id="3219"/>
      </w:r>
      <w:r w:rsidRPr="003C7FB6">
        <w:rPr>
          <w:rFonts w:cs="Arial"/>
          <w:rtl/>
        </w:rPr>
        <w:t xml:space="preserve"> אלא אחר מיתת הבעל</w:t>
      </w:r>
      <w:r>
        <w:rPr>
          <w:rFonts w:cs="Arial" w:hint="cs"/>
          <w:rtl/>
        </w:rPr>
        <w:t>,</w:t>
      </w:r>
      <w:r w:rsidRPr="003C7FB6">
        <w:rPr>
          <w:rFonts w:cs="Arial"/>
          <w:rtl/>
        </w:rPr>
        <w:t xml:space="preserve"> כגון שלא הספיק להוציאה עד שמת</w:t>
      </w:r>
      <w:r>
        <w:rPr>
          <w:rFonts w:cs="Arial" w:hint="cs"/>
          <w:rtl/>
        </w:rPr>
        <w:t>.</w:t>
      </w:r>
      <w:r w:rsidRPr="003C7FB6">
        <w:rPr>
          <w:rFonts w:cs="Arial"/>
          <w:rtl/>
        </w:rPr>
        <w:t xml:space="preserve"> אבל בחייו אין לה</w:t>
      </w:r>
      <w:r>
        <w:rPr>
          <w:rFonts w:cs="Arial" w:hint="cs"/>
          <w:rtl/>
        </w:rPr>
        <w:t>,</w:t>
      </w:r>
      <w:r w:rsidRPr="003C7FB6">
        <w:rPr>
          <w:rFonts w:cs="Arial"/>
          <w:rtl/>
        </w:rPr>
        <w:t xml:space="preserve"> לא מיבעיא בעודו לפנינו דהא בעמוד והוצא קאי ואי יהיב לה מזונות שמא תתעכב אצלו</w:t>
      </w:r>
      <w:r>
        <w:rPr>
          <w:rFonts w:cs="Arial" w:hint="cs"/>
          <w:rtl/>
        </w:rPr>
        <w:t>,</w:t>
      </w:r>
      <w:r w:rsidRPr="003C7FB6">
        <w:rPr>
          <w:rFonts w:cs="Arial"/>
          <w:rtl/>
        </w:rPr>
        <w:t xml:space="preserve"> אלא אפי' הלך למדינת הים ולותה ואכלה אינו חייב כלום</w:t>
      </w:r>
      <w:r>
        <w:rPr>
          <w:rStyle w:val="a7"/>
          <w:rFonts w:cs="Arial"/>
          <w:rtl/>
        </w:rPr>
        <w:footnoteReference w:id="3220"/>
      </w:r>
      <w:r>
        <w:rPr>
          <w:rFonts w:cs="Arial" w:hint="cs"/>
          <w:rtl/>
        </w:rPr>
        <w:t>...</w:t>
      </w:r>
      <w:r w:rsidRPr="007F7FDE">
        <w:rPr>
          <w:rFonts w:cs="Arial" w:hint="cs"/>
          <w:rtl/>
        </w:rPr>
        <w:t xml:space="preserve"> </w:t>
      </w:r>
      <w:r w:rsidRPr="007F7FDE">
        <w:rPr>
          <w:rFonts w:cs="Arial"/>
          <w:rtl/>
        </w:rPr>
        <w:t xml:space="preserve">לא הכיר בה </w:t>
      </w:r>
      <w:r w:rsidRPr="007F7FDE">
        <w:rPr>
          <w:rFonts w:cs="Arial" w:hint="cs"/>
          <w:rtl/>
        </w:rPr>
        <w:t xml:space="preserve">- </w:t>
      </w:r>
      <w:r w:rsidRPr="007F7FDE">
        <w:rPr>
          <w:rFonts w:cs="Arial"/>
          <w:rtl/>
        </w:rPr>
        <w:t>אין לה מנה ומאתים</w:t>
      </w:r>
      <w:r w:rsidRPr="007F7FDE">
        <w:rPr>
          <w:rFonts w:cs="Arial" w:hint="cs"/>
          <w:rtl/>
        </w:rPr>
        <w:t>,</w:t>
      </w:r>
      <w:r w:rsidRPr="007F7FDE">
        <w:rPr>
          <w:rFonts w:cs="Arial"/>
          <w:rtl/>
        </w:rPr>
        <w:t xml:space="preserve"> אבל תוספת יש לה</w:t>
      </w:r>
      <w:r w:rsidRPr="007F7FDE">
        <w:rPr>
          <w:rFonts w:cs="Arial" w:hint="cs"/>
          <w:rtl/>
        </w:rPr>
        <w:t>,</w:t>
      </w:r>
      <w:r w:rsidRPr="007F7FDE">
        <w:rPr>
          <w:rFonts w:cs="Arial"/>
          <w:rtl/>
        </w:rPr>
        <w:t xml:space="preserve"> ואין לה שום תנאי מתנאי הכתובה ואפילו מזונו</w:t>
      </w:r>
      <w:r>
        <w:rPr>
          <w:rFonts w:cs="Arial" w:hint="cs"/>
          <w:rtl/>
        </w:rPr>
        <w:t>ת</w:t>
      </w:r>
      <w:r w:rsidRPr="007F7FDE">
        <w:rPr>
          <w:rFonts w:cs="Arial"/>
          <w:rtl/>
        </w:rPr>
        <w:t xml:space="preserve"> אחרי מותו</w:t>
      </w:r>
      <w:r w:rsidRPr="007F7FDE">
        <w:rPr>
          <w:rFonts w:cs="Arial" w:hint="cs"/>
          <w:rtl/>
        </w:rPr>
        <w:t>,</w:t>
      </w:r>
      <w:r w:rsidRPr="007F7FDE">
        <w:rPr>
          <w:rFonts w:cs="Arial"/>
          <w:rtl/>
        </w:rPr>
        <w:t xml:space="preserve"> ואינו חייב בפרקונה</w:t>
      </w:r>
      <w:r w:rsidRPr="007F7FDE">
        <w:rPr>
          <w:rFonts w:cs="Arial" w:hint="cs"/>
          <w:rtl/>
        </w:rPr>
        <w:t>.</w:t>
      </w:r>
      <w:r w:rsidRPr="007F7FDE">
        <w:rPr>
          <w:rFonts w:cs="Arial"/>
          <w:rtl/>
        </w:rPr>
        <w:t xml:space="preserve"> ואפ"ה אינו משלם פירו</w:t>
      </w:r>
      <w:r>
        <w:rPr>
          <w:rFonts w:cs="Arial" w:hint="cs"/>
          <w:rtl/>
        </w:rPr>
        <w:t>ת</w:t>
      </w:r>
      <w:r w:rsidRPr="007F7FDE">
        <w:rPr>
          <w:rFonts w:cs="Arial"/>
          <w:rtl/>
        </w:rPr>
        <w:t xml:space="preserve"> שאכל משלה</w:t>
      </w:r>
      <w:r>
        <w:rPr>
          <w:rFonts w:cs="Arial" w:hint="cs"/>
          <w:sz w:val="16"/>
          <w:szCs w:val="16"/>
          <w:rtl/>
        </w:rPr>
        <w:t xml:space="preserve"> (ל' הטור)</w:t>
      </w:r>
      <w:r>
        <w:rPr>
          <w:rFonts w:cs="Arial" w:hint="cs"/>
          <w:rtl/>
        </w:rPr>
        <w:t>.</w:t>
      </w:r>
      <w:r w:rsidRPr="007F7FDE">
        <w:rPr>
          <w:rFonts w:cs="Arial"/>
          <w:rtl/>
        </w:rPr>
        <w:t xml:space="preserve"> </w:t>
      </w:r>
      <w:r w:rsidRPr="00F554B8">
        <w:rPr>
          <w:rFonts w:hint="cs"/>
          <w:color w:val="E36C0A" w:themeColor="accent6" w:themeShade="BF"/>
          <w:rtl/>
        </w:rPr>
        <w:t>(וכ"פ בשו"ע)</w:t>
      </w:r>
    </w:p>
    <w:p w14:paraId="7C52636C" w14:textId="77777777" w:rsidR="002E5BAD" w:rsidRPr="001E347F" w:rsidRDefault="002E5BAD" w:rsidP="002E5BAD">
      <w:pPr>
        <w:ind w:left="360"/>
        <w:rPr>
          <w:u w:val="dotted"/>
        </w:rPr>
      </w:pPr>
      <w:r w:rsidRPr="001E347F">
        <w:rPr>
          <w:rFonts w:hint="cs"/>
          <w:u w:val="dotted"/>
          <w:rtl/>
        </w:rPr>
        <w:t xml:space="preserve">כשלא הכיר בה </w:t>
      </w:r>
      <w:r w:rsidRPr="001E347F">
        <w:rPr>
          <w:u w:val="dotted"/>
          <w:rtl/>
        </w:rPr>
        <w:t>–</w:t>
      </w:r>
      <w:r w:rsidRPr="001E347F">
        <w:rPr>
          <w:rFonts w:hint="cs"/>
          <w:u w:val="dotted"/>
          <w:rtl/>
        </w:rPr>
        <w:t xml:space="preserve"> מה דין </w:t>
      </w:r>
      <w:r>
        <w:rPr>
          <w:rFonts w:hint="cs"/>
          <w:u w:val="dotted"/>
          <w:rtl/>
        </w:rPr>
        <w:t>ה</w:t>
      </w:r>
      <w:r w:rsidRPr="001E347F">
        <w:rPr>
          <w:rFonts w:hint="cs"/>
          <w:u w:val="dotted"/>
          <w:rtl/>
        </w:rPr>
        <w:t>פירות של</w:t>
      </w:r>
      <w:r>
        <w:rPr>
          <w:rFonts w:hint="cs"/>
          <w:u w:val="dotted"/>
          <w:rtl/>
        </w:rPr>
        <w:t>י</w:t>
      </w:r>
      <w:r w:rsidRPr="001E347F">
        <w:rPr>
          <w:rFonts w:hint="cs"/>
          <w:u w:val="dotted"/>
          <w:rtl/>
        </w:rPr>
        <w:t>קט</w:t>
      </w:r>
      <w:r>
        <w:rPr>
          <w:rFonts w:hint="cs"/>
          <w:u w:val="dotted"/>
          <w:rtl/>
        </w:rPr>
        <w:t xml:space="preserve"> משלה</w:t>
      </w:r>
      <w:r w:rsidRPr="001E347F">
        <w:rPr>
          <w:rFonts w:hint="cs"/>
          <w:u w:val="dotted"/>
          <w:rtl/>
        </w:rPr>
        <w:t xml:space="preserve"> ו</w:t>
      </w:r>
      <w:r>
        <w:rPr>
          <w:rFonts w:hint="cs"/>
          <w:u w:val="dotted"/>
          <w:rtl/>
        </w:rPr>
        <w:t xml:space="preserve">עדיין </w:t>
      </w:r>
      <w:r w:rsidRPr="001E347F">
        <w:rPr>
          <w:rFonts w:hint="cs"/>
          <w:u w:val="dotted"/>
          <w:rtl/>
        </w:rPr>
        <w:t>מונחים אצלו:</w:t>
      </w:r>
    </w:p>
    <w:p w14:paraId="7FBD11C1" w14:textId="77777777" w:rsidR="002E5BAD" w:rsidRPr="001E347F" w:rsidRDefault="002E5BAD" w:rsidP="00B75458">
      <w:pPr>
        <w:pStyle w:val="ab"/>
        <w:numPr>
          <w:ilvl w:val="0"/>
          <w:numId w:val="204"/>
        </w:numPr>
      </w:pPr>
      <w:r>
        <w:rPr>
          <w:rFonts w:cs="Arial" w:hint="cs"/>
          <w:rtl/>
        </w:rPr>
        <w:t xml:space="preserve">טור- </w:t>
      </w:r>
      <w:r w:rsidRPr="007F7FDE">
        <w:rPr>
          <w:rFonts w:cs="Arial"/>
          <w:rtl/>
        </w:rPr>
        <w:t xml:space="preserve">ואפילו אם הם עדיין בעין כגון שלקוטים ומונחים אצלו </w:t>
      </w:r>
      <w:r>
        <w:rPr>
          <w:rFonts w:cs="Arial"/>
          <w:rtl/>
        </w:rPr>
        <w:t>–</w:t>
      </w:r>
      <w:r>
        <w:rPr>
          <w:rFonts w:cs="Arial" w:hint="cs"/>
          <w:rtl/>
        </w:rPr>
        <w:t xml:space="preserve"> </w:t>
      </w:r>
      <w:r w:rsidRPr="007F7FDE">
        <w:rPr>
          <w:rFonts w:cs="Arial"/>
          <w:rtl/>
        </w:rPr>
        <w:t>א</w:t>
      </w:r>
      <w:r>
        <w:rPr>
          <w:rFonts w:cs="Arial" w:hint="cs"/>
          <w:rtl/>
        </w:rPr>
        <w:t xml:space="preserve">ין </w:t>
      </w:r>
      <w:r w:rsidRPr="007F7FDE">
        <w:rPr>
          <w:rFonts w:cs="Arial"/>
          <w:rtl/>
        </w:rPr>
        <w:t>צ</w:t>
      </w:r>
      <w:r>
        <w:rPr>
          <w:rFonts w:cs="Arial" w:hint="cs"/>
          <w:rtl/>
        </w:rPr>
        <w:t>ריך</w:t>
      </w:r>
      <w:r w:rsidRPr="007F7FDE">
        <w:rPr>
          <w:rFonts w:cs="Arial"/>
          <w:rtl/>
        </w:rPr>
        <w:t xml:space="preserve"> ליתנם לה</w:t>
      </w:r>
      <w:r>
        <w:rPr>
          <w:rStyle w:val="a7"/>
          <w:rFonts w:cs="Arial"/>
          <w:rtl/>
        </w:rPr>
        <w:footnoteReference w:id="3221"/>
      </w:r>
      <w:r w:rsidRPr="007F7FDE">
        <w:rPr>
          <w:rFonts w:cs="Arial" w:hint="cs"/>
          <w:rtl/>
        </w:rPr>
        <w:t>.</w:t>
      </w:r>
      <w:r w:rsidRPr="007F7FDE">
        <w:rPr>
          <w:rFonts w:cs="Arial"/>
          <w:rtl/>
        </w:rPr>
        <w:t xml:space="preserve"> </w:t>
      </w:r>
      <w:r w:rsidRPr="00F554B8">
        <w:rPr>
          <w:rFonts w:hint="cs"/>
          <w:color w:val="E36C0A" w:themeColor="accent6" w:themeShade="BF"/>
          <w:rtl/>
        </w:rPr>
        <w:t>(וכ"פ בשו"ע)</w:t>
      </w:r>
    </w:p>
    <w:p w14:paraId="135F0C22" w14:textId="77777777" w:rsidR="002E5BAD" w:rsidRDefault="002E5BAD" w:rsidP="00B75458">
      <w:pPr>
        <w:pStyle w:val="ab"/>
        <w:numPr>
          <w:ilvl w:val="0"/>
          <w:numId w:val="204"/>
        </w:numPr>
        <w:rPr>
          <w:rtl/>
        </w:rPr>
      </w:pPr>
      <w:r>
        <w:rPr>
          <w:rFonts w:cs="Arial" w:hint="cs"/>
          <w:rtl/>
        </w:rPr>
        <w:t xml:space="preserve">רי"ף </w:t>
      </w:r>
      <w:r>
        <w:rPr>
          <w:rFonts w:cs="Arial" w:hint="cs"/>
          <w:sz w:val="16"/>
          <w:szCs w:val="16"/>
          <w:rtl/>
        </w:rPr>
        <w:t>(נט:)</w:t>
      </w:r>
      <w:r>
        <w:rPr>
          <w:rFonts w:cs="Arial" w:hint="cs"/>
          <w:rtl/>
        </w:rPr>
        <w:t xml:space="preserve"> רמב"ם</w:t>
      </w:r>
      <w:r>
        <w:rPr>
          <w:rFonts w:cs="Arial" w:hint="cs"/>
          <w:sz w:val="16"/>
          <w:szCs w:val="16"/>
          <w:rtl/>
        </w:rPr>
        <w:t xml:space="preserve"> (פכ"ד ה"ב)</w:t>
      </w:r>
      <w:r>
        <w:rPr>
          <w:rFonts w:cs="Arial" w:hint="cs"/>
          <w:rtl/>
        </w:rPr>
        <w:t xml:space="preserve">- </w:t>
      </w:r>
      <w:r w:rsidRPr="001E347F">
        <w:rPr>
          <w:rFonts w:cs="Arial"/>
          <w:rtl/>
        </w:rPr>
        <w:t>כשכופין אותו ומפרישים ביניהם אין מוציאין מן הבעל פירות שאכל</w:t>
      </w:r>
      <w:r>
        <w:rPr>
          <w:rStyle w:val="a7"/>
          <w:rFonts w:cs="Arial"/>
          <w:rtl/>
        </w:rPr>
        <w:footnoteReference w:id="3222"/>
      </w:r>
      <w:r>
        <w:rPr>
          <w:rFonts w:cs="Arial" w:hint="cs"/>
          <w:sz w:val="16"/>
          <w:szCs w:val="16"/>
          <w:rtl/>
        </w:rPr>
        <w:t xml:space="preserve"> (ל' הרמב"ם)</w:t>
      </w:r>
      <w:r w:rsidRPr="001E347F">
        <w:rPr>
          <w:rFonts w:cs="Arial" w:hint="cs"/>
          <w:rtl/>
        </w:rPr>
        <w:t>.</w:t>
      </w:r>
      <w:r>
        <w:rPr>
          <w:rFonts w:hint="cs"/>
          <w:color w:val="E36C0A" w:themeColor="accent6" w:themeShade="BF"/>
          <w:rtl/>
        </w:rPr>
        <w:t xml:space="preserve"> </w:t>
      </w:r>
    </w:p>
    <w:p w14:paraId="406120EF" w14:textId="77777777" w:rsidR="002E5BAD" w:rsidRPr="006C3414" w:rsidRDefault="002E5BAD" w:rsidP="002E5BAD">
      <w:pPr>
        <w:ind w:left="360"/>
      </w:pPr>
      <w:r w:rsidRPr="001E347F">
        <w:rPr>
          <w:rFonts w:hint="cs"/>
          <w:u w:val="dotted"/>
          <w:rtl/>
        </w:rPr>
        <w:t xml:space="preserve">כשלא הכיר בה </w:t>
      </w:r>
      <w:r w:rsidRPr="001E347F">
        <w:rPr>
          <w:u w:val="dotted"/>
          <w:rtl/>
        </w:rPr>
        <w:t>–</w:t>
      </w:r>
      <w:r w:rsidRPr="001E347F">
        <w:rPr>
          <w:rFonts w:hint="cs"/>
          <w:u w:val="dotted"/>
          <w:rtl/>
        </w:rPr>
        <w:t xml:space="preserve"> מה דין </w:t>
      </w:r>
      <w:r>
        <w:rPr>
          <w:rFonts w:hint="cs"/>
          <w:u w:val="dotted"/>
          <w:rtl/>
        </w:rPr>
        <w:t>הנכסים שהכניסה לו והם בעין</w:t>
      </w:r>
      <w:r w:rsidRPr="001E347F">
        <w:rPr>
          <w:rFonts w:hint="cs"/>
          <w:u w:val="dotted"/>
          <w:rtl/>
        </w:rPr>
        <w:t>:</w:t>
      </w:r>
    </w:p>
    <w:p w14:paraId="69394D95" w14:textId="77777777" w:rsidR="002E5BAD" w:rsidRDefault="002E5BAD" w:rsidP="00B75458">
      <w:pPr>
        <w:pStyle w:val="ab"/>
        <w:numPr>
          <w:ilvl w:val="0"/>
          <w:numId w:val="204"/>
        </w:numPr>
      </w:pPr>
      <w:r>
        <w:rPr>
          <w:rFonts w:cs="Arial" w:hint="cs"/>
          <w:rtl/>
        </w:rPr>
        <w:t xml:space="preserve">רי"ף </w:t>
      </w:r>
      <w:r>
        <w:rPr>
          <w:rFonts w:cs="Arial" w:hint="cs"/>
          <w:sz w:val="16"/>
          <w:szCs w:val="16"/>
          <w:rtl/>
        </w:rPr>
        <w:t>(נט:)</w:t>
      </w:r>
      <w:r>
        <w:rPr>
          <w:rFonts w:cs="Arial" w:hint="cs"/>
          <w:rtl/>
        </w:rPr>
        <w:t xml:space="preserve"> רא"ש </w:t>
      </w:r>
      <w:r>
        <w:rPr>
          <w:rFonts w:cs="Arial" w:hint="cs"/>
          <w:sz w:val="16"/>
          <w:szCs w:val="16"/>
          <w:rtl/>
        </w:rPr>
        <w:t>(כתובות שם)</w:t>
      </w:r>
      <w:r>
        <w:rPr>
          <w:rFonts w:cs="Arial" w:hint="cs"/>
          <w:rtl/>
        </w:rPr>
        <w:t xml:space="preserve"> וטור- </w:t>
      </w:r>
      <w:r w:rsidRPr="007F7FDE">
        <w:rPr>
          <w:rFonts w:cs="Arial"/>
          <w:rtl/>
        </w:rPr>
        <w:t>נכסים שהכניסה לו</w:t>
      </w:r>
      <w:r w:rsidRPr="007F7FDE">
        <w:rPr>
          <w:rFonts w:cs="Arial" w:hint="cs"/>
          <w:rtl/>
        </w:rPr>
        <w:t>,</w:t>
      </w:r>
      <w:r w:rsidRPr="007F7FDE">
        <w:rPr>
          <w:rFonts w:cs="Arial"/>
          <w:rtl/>
        </w:rPr>
        <w:t xml:space="preserve"> אם הם בעין</w:t>
      </w:r>
      <w:r>
        <w:rPr>
          <w:rFonts w:cs="Arial" w:hint="cs"/>
          <w:rtl/>
        </w:rPr>
        <w:t>,</w:t>
      </w:r>
      <w:r w:rsidRPr="007F7FDE">
        <w:rPr>
          <w:rFonts w:cs="Arial"/>
          <w:rtl/>
        </w:rPr>
        <w:t xml:space="preserve"> בין נכסי מלוג בין נכסי צאן ברזל </w:t>
      </w:r>
      <w:r>
        <w:rPr>
          <w:rFonts w:cs="Arial"/>
          <w:rtl/>
        </w:rPr>
        <w:t>–</w:t>
      </w:r>
      <w:r w:rsidRPr="007F7FDE">
        <w:rPr>
          <w:rFonts w:cs="Arial" w:hint="cs"/>
          <w:rtl/>
        </w:rPr>
        <w:t xml:space="preserve"> </w:t>
      </w:r>
      <w:r w:rsidRPr="007F7FDE">
        <w:rPr>
          <w:rFonts w:cs="Arial"/>
          <w:rtl/>
        </w:rPr>
        <w:t>תטלם</w:t>
      </w:r>
      <w:r>
        <w:rPr>
          <w:rFonts w:cs="Arial" w:hint="cs"/>
          <w:sz w:val="16"/>
          <w:szCs w:val="16"/>
          <w:rtl/>
        </w:rPr>
        <w:t xml:space="preserve"> (ל' הטור)</w:t>
      </w:r>
      <w:r w:rsidRPr="007F7FDE">
        <w:rPr>
          <w:rFonts w:cs="Arial" w:hint="cs"/>
          <w:rtl/>
        </w:rPr>
        <w:t>.</w:t>
      </w:r>
      <w:r w:rsidRPr="007F7FDE">
        <w:rPr>
          <w:rFonts w:cs="Arial"/>
          <w:rtl/>
        </w:rPr>
        <w:t xml:space="preserve"> </w:t>
      </w:r>
      <w:r w:rsidRPr="00F554B8">
        <w:rPr>
          <w:rFonts w:hint="cs"/>
          <w:color w:val="E36C0A" w:themeColor="accent6" w:themeShade="BF"/>
          <w:rtl/>
        </w:rPr>
        <w:t>(וכ"פ בשו"ע)</w:t>
      </w:r>
    </w:p>
    <w:p w14:paraId="56624863" w14:textId="77777777" w:rsidR="002E5BAD" w:rsidRPr="00D960EA" w:rsidRDefault="002E5BAD" w:rsidP="002E5BAD">
      <w:pPr>
        <w:ind w:left="360"/>
      </w:pPr>
      <w:r w:rsidRPr="001E347F">
        <w:rPr>
          <w:rFonts w:hint="cs"/>
          <w:u w:val="dotted"/>
          <w:rtl/>
        </w:rPr>
        <w:t xml:space="preserve">כשלא הכיר בה </w:t>
      </w:r>
      <w:r w:rsidRPr="001E347F">
        <w:rPr>
          <w:u w:val="dotted"/>
          <w:rtl/>
        </w:rPr>
        <w:t>–</w:t>
      </w:r>
      <w:r w:rsidRPr="001E347F">
        <w:rPr>
          <w:rFonts w:hint="cs"/>
          <w:u w:val="dotted"/>
          <w:rtl/>
        </w:rPr>
        <w:t xml:space="preserve"> מה דין </w:t>
      </w:r>
      <w:r>
        <w:rPr>
          <w:rFonts w:hint="cs"/>
          <w:u w:val="dotted"/>
          <w:rtl/>
        </w:rPr>
        <w:t>הנכסים שהכניסה לו והם לא בעין</w:t>
      </w:r>
      <w:r w:rsidRPr="001E347F">
        <w:rPr>
          <w:rFonts w:hint="cs"/>
          <w:u w:val="dotted"/>
          <w:rtl/>
        </w:rPr>
        <w:t>:</w:t>
      </w:r>
    </w:p>
    <w:p w14:paraId="137FD017" w14:textId="77777777" w:rsidR="002E5BAD" w:rsidRPr="00157561" w:rsidRDefault="002E5BAD" w:rsidP="00B75458">
      <w:pPr>
        <w:pStyle w:val="ab"/>
        <w:numPr>
          <w:ilvl w:val="0"/>
          <w:numId w:val="204"/>
        </w:numPr>
      </w:pPr>
      <w:r>
        <w:rPr>
          <w:rFonts w:cs="Arial" w:hint="cs"/>
          <w:rtl/>
        </w:rPr>
        <w:t xml:space="preserve">טור- </w:t>
      </w:r>
      <w:r w:rsidRPr="007F7FDE">
        <w:rPr>
          <w:rFonts w:cs="Arial"/>
          <w:rtl/>
        </w:rPr>
        <w:t>ואם אינן בעין</w:t>
      </w:r>
      <w:r w:rsidRPr="007F7FDE">
        <w:rPr>
          <w:rFonts w:cs="Arial" w:hint="cs"/>
          <w:rtl/>
        </w:rPr>
        <w:t>,</w:t>
      </w:r>
      <w:r w:rsidRPr="007F7FDE">
        <w:rPr>
          <w:rFonts w:cs="Arial"/>
          <w:rtl/>
        </w:rPr>
        <w:t xml:space="preserve"> כגון שנשתמש</w:t>
      </w:r>
      <w:r>
        <w:rPr>
          <w:rStyle w:val="a7"/>
          <w:rFonts w:cs="Arial"/>
          <w:rtl/>
        </w:rPr>
        <w:footnoteReference w:id="3223"/>
      </w:r>
      <w:r w:rsidRPr="007F7FDE">
        <w:rPr>
          <w:rFonts w:cs="Arial"/>
          <w:rtl/>
        </w:rPr>
        <w:t xml:space="preserve"> בהם ובלה אותם</w:t>
      </w:r>
      <w:r w:rsidRPr="007F7FDE">
        <w:rPr>
          <w:rFonts w:cs="Arial" w:hint="cs"/>
          <w:rtl/>
        </w:rPr>
        <w:t xml:space="preserve">, </w:t>
      </w:r>
      <w:r w:rsidRPr="007F7FDE">
        <w:rPr>
          <w:rFonts w:cs="Arial"/>
          <w:rtl/>
        </w:rPr>
        <w:t xml:space="preserve">של נכסי מלוג </w:t>
      </w:r>
      <w:r w:rsidRPr="007F7FDE">
        <w:rPr>
          <w:rFonts w:cs="Arial" w:hint="cs"/>
          <w:rtl/>
        </w:rPr>
        <w:t xml:space="preserve">- </w:t>
      </w:r>
      <w:r w:rsidRPr="007F7FDE">
        <w:rPr>
          <w:rFonts w:cs="Arial"/>
          <w:rtl/>
        </w:rPr>
        <w:t>צריך לשלם</w:t>
      </w:r>
      <w:r w:rsidRPr="007F7FDE">
        <w:rPr>
          <w:rFonts w:cs="Arial" w:hint="cs"/>
          <w:rtl/>
        </w:rPr>
        <w:t>,</w:t>
      </w:r>
      <w:r w:rsidRPr="007F7FDE">
        <w:rPr>
          <w:rFonts w:cs="Arial"/>
          <w:rtl/>
        </w:rPr>
        <w:t xml:space="preserve"> ושל נכסי צאן ברזל </w:t>
      </w:r>
      <w:r>
        <w:rPr>
          <w:rFonts w:cs="Arial"/>
          <w:rtl/>
        </w:rPr>
        <w:t>–</w:t>
      </w:r>
      <w:r w:rsidRPr="007F7FDE">
        <w:rPr>
          <w:rFonts w:cs="Arial" w:hint="cs"/>
          <w:rtl/>
        </w:rPr>
        <w:t xml:space="preserve"> </w:t>
      </w:r>
      <w:r w:rsidRPr="007F7FDE">
        <w:rPr>
          <w:rFonts w:cs="Arial"/>
          <w:rtl/>
        </w:rPr>
        <w:t>א</w:t>
      </w:r>
      <w:r>
        <w:rPr>
          <w:rFonts w:cs="Arial" w:hint="cs"/>
          <w:rtl/>
        </w:rPr>
        <w:t xml:space="preserve">ין </w:t>
      </w:r>
      <w:r w:rsidRPr="007F7FDE">
        <w:rPr>
          <w:rFonts w:cs="Arial"/>
          <w:rtl/>
        </w:rPr>
        <w:t>צ</w:t>
      </w:r>
      <w:r>
        <w:rPr>
          <w:rFonts w:cs="Arial" w:hint="cs"/>
          <w:rtl/>
        </w:rPr>
        <w:t>ריך</w:t>
      </w:r>
      <w:r w:rsidRPr="007F7FDE">
        <w:rPr>
          <w:rFonts w:cs="Arial"/>
          <w:rtl/>
        </w:rPr>
        <w:t xml:space="preserve"> לשלם</w:t>
      </w:r>
      <w:r w:rsidRPr="006C3414">
        <w:rPr>
          <w:rFonts w:cs="Arial"/>
          <w:rtl/>
        </w:rPr>
        <w:t>.</w:t>
      </w:r>
    </w:p>
    <w:p w14:paraId="295EB8D4" w14:textId="77777777" w:rsidR="002E5BAD" w:rsidRDefault="002E5BAD" w:rsidP="00B75458">
      <w:pPr>
        <w:pStyle w:val="ab"/>
        <w:numPr>
          <w:ilvl w:val="0"/>
          <w:numId w:val="204"/>
        </w:numPr>
        <w:rPr>
          <w:rtl/>
        </w:rPr>
      </w:pPr>
      <w:r w:rsidRPr="00157561">
        <w:rPr>
          <w:rFonts w:cs="Arial"/>
          <w:rtl/>
        </w:rPr>
        <w:t xml:space="preserve">רמב"ם </w:t>
      </w:r>
      <w:r w:rsidRPr="00157561">
        <w:rPr>
          <w:rFonts w:cs="Arial" w:hint="cs"/>
          <w:sz w:val="16"/>
          <w:szCs w:val="16"/>
          <w:rtl/>
        </w:rPr>
        <w:t>(</w:t>
      </w:r>
      <w:r w:rsidRPr="00157561">
        <w:rPr>
          <w:rFonts w:cs="Arial"/>
          <w:sz w:val="16"/>
          <w:szCs w:val="16"/>
          <w:rtl/>
        </w:rPr>
        <w:t>פכ"ד ה"ח)</w:t>
      </w:r>
      <w:r>
        <w:rPr>
          <w:rFonts w:cs="Arial" w:hint="cs"/>
          <w:rtl/>
        </w:rPr>
        <w:t>-</w:t>
      </w:r>
      <w:r w:rsidRPr="00157561">
        <w:rPr>
          <w:rFonts w:cs="Arial"/>
          <w:rtl/>
        </w:rPr>
        <w:t xml:space="preserve"> היתה</w:t>
      </w:r>
      <w:r>
        <w:rPr>
          <w:rFonts w:cs="Arial" w:hint="cs"/>
          <w:rtl/>
        </w:rPr>
        <w:t>...</w:t>
      </w:r>
      <w:r w:rsidRPr="00157561">
        <w:rPr>
          <w:rFonts w:cs="Arial"/>
          <w:rtl/>
        </w:rPr>
        <w:t xml:space="preserve"> מחייבי לאוין ולא הכיר בה</w:t>
      </w:r>
      <w:r>
        <w:rPr>
          <w:rFonts w:cs="Arial" w:hint="cs"/>
          <w:rtl/>
        </w:rPr>
        <w:t>,</w:t>
      </w:r>
      <w:r w:rsidRPr="00157561">
        <w:rPr>
          <w:rFonts w:cs="Arial"/>
          <w:rtl/>
        </w:rPr>
        <w:t xml:space="preserve"> כל מה שנגנב או אבד או בלה או שנשחת מנכסי צאן ברזל </w:t>
      </w:r>
      <w:r>
        <w:rPr>
          <w:rFonts w:cs="Arial" w:hint="cs"/>
          <w:rtl/>
        </w:rPr>
        <w:t xml:space="preserve">- </w:t>
      </w:r>
      <w:r w:rsidRPr="00157561">
        <w:rPr>
          <w:rFonts w:cs="Arial"/>
          <w:rtl/>
        </w:rPr>
        <w:t>אין הבעל חייב לשלם</w:t>
      </w:r>
      <w:r>
        <w:rPr>
          <w:rFonts w:cs="Arial" w:hint="cs"/>
          <w:rtl/>
        </w:rPr>
        <w:t>,</w:t>
      </w:r>
      <w:r w:rsidRPr="00157561">
        <w:rPr>
          <w:rFonts w:cs="Arial"/>
          <w:rtl/>
        </w:rPr>
        <w:t xml:space="preserve"> שהרי היא נתנה לו רשות להיותן אצלו</w:t>
      </w:r>
      <w:r>
        <w:rPr>
          <w:rFonts w:cs="Arial" w:hint="cs"/>
          <w:rtl/>
        </w:rPr>
        <w:t>.</w:t>
      </w:r>
      <w:r w:rsidRPr="00157561">
        <w:rPr>
          <w:rFonts w:cs="Arial"/>
          <w:rtl/>
        </w:rPr>
        <w:t xml:space="preserve"> וכל מה שאבד או נגנב מנכסי מלוג </w:t>
      </w:r>
      <w:r>
        <w:rPr>
          <w:rFonts w:cs="Arial" w:hint="cs"/>
          <w:rtl/>
        </w:rPr>
        <w:t xml:space="preserve">- </w:t>
      </w:r>
      <w:r w:rsidRPr="00157561">
        <w:rPr>
          <w:rFonts w:cs="Arial"/>
          <w:rtl/>
        </w:rPr>
        <w:t>חייב לשלם</w:t>
      </w:r>
      <w:r>
        <w:rPr>
          <w:rFonts w:cs="Arial" w:hint="cs"/>
          <w:rtl/>
        </w:rPr>
        <w:t>,</w:t>
      </w:r>
      <w:r w:rsidRPr="00157561">
        <w:rPr>
          <w:rFonts w:cs="Arial"/>
          <w:rtl/>
        </w:rPr>
        <w:t xml:space="preserve"> הפך מכל הנשים</w:t>
      </w:r>
      <w:r>
        <w:rPr>
          <w:rStyle w:val="a7"/>
          <w:rFonts w:cs="Arial"/>
          <w:rtl/>
        </w:rPr>
        <w:footnoteReference w:id="3224"/>
      </w:r>
      <w:r>
        <w:rPr>
          <w:rFonts w:cs="Arial" w:hint="cs"/>
          <w:rtl/>
        </w:rPr>
        <w:t>,</w:t>
      </w:r>
      <w:r w:rsidRPr="00157561">
        <w:rPr>
          <w:rFonts w:cs="Arial"/>
          <w:rtl/>
        </w:rPr>
        <w:t xml:space="preserve"> מפני שאין שם אישות גמורה לא זכה בנכסי מלוג</w:t>
      </w:r>
      <w:r>
        <w:rPr>
          <w:rStyle w:val="a7"/>
          <w:rFonts w:cs="Arial"/>
          <w:rtl/>
        </w:rPr>
        <w:footnoteReference w:id="3225"/>
      </w:r>
      <w:r w:rsidRPr="00157561">
        <w:rPr>
          <w:rFonts w:cs="Arial" w:hint="cs"/>
          <w:rtl/>
        </w:rPr>
        <w:t>.</w:t>
      </w:r>
      <w:r>
        <w:rPr>
          <w:rFonts w:hint="cs"/>
          <w:rtl/>
        </w:rPr>
        <w:t xml:space="preserve"> </w:t>
      </w:r>
      <w:r w:rsidRPr="00F554B8">
        <w:rPr>
          <w:rFonts w:hint="cs"/>
          <w:color w:val="E36C0A" w:themeColor="accent6" w:themeShade="BF"/>
          <w:rtl/>
        </w:rPr>
        <w:t>(וכ"פ בשו"ע)</w:t>
      </w:r>
    </w:p>
    <w:p w14:paraId="31E578E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B5B1DBD" w14:textId="77777777" w:rsidR="002E5BAD" w:rsidRDefault="002E5BAD" w:rsidP="002E5BAD">
      <w:pPr>
        <w:rPr>
          <w:rtl/>
        </w:rPr>
      </w:pPr>
      <w:r>
        <w:rPr>
          <w:rFonts w:cs="Arial"/>
          <w:rtl/>
        </w:rPr>
        <w:t>הנושא אחת מחייבי לאוין, אם הכיר בה יש לה עיקר ותוספת וכל תנאיה</w:t>
      </w:r>
      <w:r>
        <w:rPr>
          <w:rFonts w:cs="Arial" w:hint="cs"/>
          <w:rtl/>
        </w:rPr>
        <w:t>.</w:t>
      </w:r>
      <w:r>
        <w:rPr>
          <w:rFonts w:cs="Arial"/>
          <w:rtl/>
        </w:rPr>
        <w:t xml:space="preserve"> ומיהו מזונות אין לה אלא לאחר מותו, אבל בחייו אין לה, אפילו לותה ואכלה אינו חייב כלום</w:t>
      </w:r>
      <w:r>
        <w:rPr>
          <w:rFonts w:cs="Arial" w:hint="cs"/>
          <w:rtl/>
        </w:rPr>
        <w:t>.</w:t>
      </w:r>
      <w:r>
        <w:rPr>
          <w:rFonts w:cs="Arial"/>
          <w:rtl/>
        </w:rPr>
        <w:t xml:space="preserve"> </w:t>
      </w:r>
      <w:r>
        <w:rPr>
          <w:rFonts w:cs="Arial" w:hint="cs"/>
          <w:sz w:val="18"/>
          <w:szCs w:val="18"/>
          <w:rtl/>
        </w:rPr>
        <w:t xml:space="preserve">[הגה] </w:t>
      </w:r>
      <w:r w:rsidRPr="0015263A">
        <w:rPr>
          <w:rFonts w:cs="Arial"/>
          <w:sz w:val="18"/>
          <w:szCs w:val="18"/>
          <w:rtl/>
        </w:rPr>
        <w:t>ואם זן אותה, מעשה ידיה שלו</w:t>
      </w:r>
      <w:r>
        <w:rPr>
          <w:rStyle w:val="a7"/>
          <w:rFonts w:cs="Arial"/>
          <w:rtl/>
        </w:rPr>
        <w:footnoteReference w:id="3226"/>
      </w:r>
      <w:r w:rsidRPr="0015263A">
        <w:rPr>
          <w:rFonts w:cs="Arial"/>
          <w:sz w:val="18"/>
          <w:szCs w:val="18"/>
          <w:rtl/>
        </w:rPr>
        <w:t xml:space="preserve"> (נ</w:t>
      </w:r>
      <w:r>
        <w:rPr>
          <w:rFonts w:cs="Arial" w:hint="cs"/>
          <w:sz w:val="18"/>
          <w:szCs w:val="18"/>
          <w:rtl/>
        </w:rPr>
        <w:t>מוק</w:t>
      </w:r>
      <w:r w:rsidRPr="0015263A">
        <w:rPr>
          <w:rFonts w:cs="Arial"/>
          <w:sz w:val="18"/>
          <w:szCs w:val="18"/>
          <w:rtl/>
        </w:rPr>
        <w:t>"י</w:t>
      </w:r>
      <w:r>
        <w:rPr>
          <w:rFonts w:cs="Arial" w:hint="cs"/>
          <w:sz w:val="18"/>
          <w:szCs w:val="18"/>
          <w:rtl/>
        </w:rPr>
        <w:t xml:space="preserve"> בשם הריטב"א</w:t>
      </w:r>
      <w:r w:rsidRPr="0015263A">
        <w:rPr>
          <w:rFonts w:cs="Arial"/>
          <w:sz w:val="18"/>
          <w:szCs w:val="18"/>
          <w:rtl/>
        </w:rPr>
        <w:t>).</w:t>
      </w:r>
      <w:r>
        <w:rPr>
          <w:rFonts w:cs="Arial"/>
          <w:rtl/>
        </w:rPr>
        <w:t xml:space="preserve"> ואם לא הכיר בה, אין לה מנה ומאתים אבל תוספת יש לה. ואין לה שום תנאי מתנאי כתובה, ואפילו מזונות, אחר מותו</w:t>
      </w:r>
      <w:r>
        <w:rPr>
          <w:rFonts w:cs="Arial" w:hint="cs"/>
          <w:rtl/>
        </w:rPr>
        <w:t>.</w:t>
      </w:r>
      <w:r>
        <w:rPr>
          <w:rFonts w:cs="Arial"/>
          <w:rtl/>
        </w:rPr>
        <w:t xml:space="preserve"> ואינו חייב בפרקונה</w:t>
      </w:r>
      <w:r>
        <w:rPr>
          <w:rStyle w:val="a7"/>
          <w:rFonts w:cs="Arial"/>
          <w:rtl/>
        </w:rPr>
        <w:footnoteReference w:id="3227"/>
      </w:r>
      <w:r>
        <w:rPr>
          <w:rFonts w:cs="Arial"/>
          <w:rtl/>
        </w:rPr>
        <w:t>, ואפילו הכי אינו משלם פירות</w:t>
      </w:r>
      <w:r>
        <w:rPr>
          <w:rStyle w:val="a7"/>
          <w:rFonts w:cs="Arial"/>
          <w:rtl/>
        </w:rPr>
        <w:footnoteReference w:id="3228"/>
      </w:r>
      <w:r>
        <w:rPr>
          <w:rFonts w:cs="Arial"/>
          <w:rtl/>
        </w:rPr>
        <w:t xml:space="preserve"> שאכל משלה, ואפילו הם בעין אצלו. ונכסיה שהכניסה לו, אם הם בעין, בין נכסי מלוג בין נכסי צאן ברזל, תטלם</w:t>
      </w:r>
      <w:r>
        <w:rPr>
          <w:rFonts w:cs="Arial" w:hint="cs"/>
          <w:rtl/>
        </w:rPr>
        <w:t>.</w:t>
      </w:r>
      <w:r>
        <w:rPr>
          <w:rFonts w:cs="Arial"/>
          <w:rtl/>
        </w:rPr>
        <w:t xml:space="preserve"> וכל מה שאבד או נגנב או </w:t>
      </w:r>
      <w:r>
        <w:rPr>
          <w:rFonts w:cs="Arial" w:hint="cs"/>
          <w:rtl/>
        </w:rPr>
        <w:t>ב</w:t>
      </w:r>
      <w:r>
        <w:rPr>
          <w:rFonts w:cs="Arial"/>
          <w:rtl/>
        </w:rPr>
        <w:t>לה או נשח</w:t>
      </w:r>
      <w:r>
        <w:rPr>
          <w:rFonts w:cs="Arial" w:hint="cs"/>
          <w:rtl/>
        </w:rPr>
        <w:t>ק</w:t>
      </w:r>
      <w:r>
        <w:rPr>
          <w:rFonts w:cs="Arial"/>
          <w:rtl/>
        </w:rPr>
        <w:t xml:space="preserve"> מנכסי צאן ברזל, אינו חייב לשלם</w:t>
      </w:r>
      <w:r>
        <w:rPr>
          <w:rStyle w:val="a7"/>
          <w:rFonts w:cs="Arial"/>
          <w:rtl/>
        </w:rPr>
        <w:footnoteReference w:id="3229"/>
      </w:r>
      <w:r>
        <w:rPr>
          <w:rFonts w:cs="Arial" w:hint="cs"/>
          <w:rtl/>
        </w:rPr>
        <w:t>.</w:t>
      </w:r>
      <w:r>
        <w:rPr>
          <w:rFonts w:cs="Arial"/>
          <w:rtl/>
        </w:rPr>
        <w:t xml:space="preserve"> וכל מה שאבד או נגנב מנכסי מלוג, חייב לשלם. </w:t>
      </w:r>
    </w:p>
    <w:p w14:paraId="0190B8E0" w14:textId="77777777" w:rsidR="002E5BAD" w:rsidRDefault="002E5BAD" w:rsidP="002E5BAD">
      <w:pPr>
        <w:rPr>
          <w:rtl/>
        </w:rPr>
      </w:pPr>
    </w:p>
    <w:p w14:paraId="28111B5B" w14:textId="77777777" w:rsidR="002E5BAD" w:rsidRDefault="002E5BAD" w:rsidP="002E5BAD">
      <w:pPr>
        <w:pStyle w:val="2"/>
        <w:rPr>
          <w:rtl/>
        </w:rPr>
      </w:pPr>
      <w:r>
        <w:rPr>
          <w:rtl/>
        </w:rPr>
        <w:t>סעיף ב</w:t>
      </w:r>
      <w:r>
        <w:rPr>
          <w:rFonts w:hint="cs"/>
          <w:rtl/>
        </w:rPr>
        <w:t>: הנושא אשה שאסורה עליו בעשה.</w:t>
      </w:r>
    </w:p>
    <w:p w14:paraId="33532B75" w14:textId="77777777" w:rsidR="002E5BAD" w:rsidRPr="00FA40A3" w:rsidRDefault="002E5BAD" w:rsidP="002E5BAD">
      <w:pPr>
        <w:rPr>
          <w:u w:val="single"/>
          <w:rtl/>
        </w:rPr>
      </w:pPr>
      <w:r w:rsidRPr="00FA40A3">
        <w:rPr>
          <w:rFonts w:hint="cs"/>
          <w:u w:val="single"/>
          <w:rtl/>
        </w:rPr>
        <w:t xml:space="preserve">הנושא אשה </w:t>
      </w:r>
      <w:r>
        <w:rPr>
          <w:rFonts w:hint="cs"/>
          <w:u w:val="single"/>
          <w:rtl/>
        </w:rPr>
        <w:t>שאסורה עליו</w:t>
      </w:r>
      <w:r w:rsidRPr="00FA40A3">
        <w:rPr>
          <w:rFonts w:hint="cs"/>
          <w:u w:val="single"/>
          <w:rtl/>
        </w:rPr>
        <w:t xml:space="preserve"> </w:t>
      </w:r>
      <w:r>
        <w:rPr>
          <w:rFonts w:hint="cs"/>
          <w:u w:val="single"/>
          <w:rtl/>
        </w:rPr>
        <w:t>ב</w:t>
      </w:r>
      <w:r w:rsidRPr="00FA40A3">
        <w:rPr>
          <w:rFonts w:hint="cs"/>
          <w:u w:val="single"/>
          <w:rtl/>
        </w:rPr>
        <w:t>עשה:</w:t>
      </w:r>
    </w:p>
    <w:p w14:paraId="18B6EBBB" w14:textId="77777777" w:rsidR="002E5BAD" w:rsidRPr="003B154C" w:rsidRDefault="002E5BAD" w:rsidP="00B75458">
      <w:pPr>
        <w:pStyle w:val="ab"/>
        <w:numPr>
          <w:ilvl w:val="0"/>
          <w:numId w:val="204"/>
        </w:numPr>
      </w:pPr>
      <w:r w:rsidRPr="003C7FB6">
        <w:rPr>
          <w:rFonts w:cs="Arial"/>
          <w:rtl/>
        </w:rPr>
        <w:t xml:space="preserve">רמב"ם </w:t>
      </w:r>
      <w:r>
        <w:rPr>
          <w:rFonts w:cs="Arial" w:hint="cs"/>
          <w:sz w:val="16"/>
          <w:szCs w:val="16"/>
          <w:rtl/>
        </w:rPr>
        <w:t xml:space="preserve">(פכ"ד ה"ד) </w:t>
      </w:r>
      <w:r>
        <w:rPr>
          <w:rFonts w:cs="Arial" w:hint="cs"/>
          <w:rtl/>
        </w:rPr>
        <w:t xml:space="preserve">וטור- </w:t>
      </w:r>
      <w:r w:rsidRPr="003C7FB6">
        <w:rPr>
          <w:rFonts w:cs="Arial"/>
          <w:rtl/>
        </w:rPr>
        <w:t>חייבי עשה כיון שאיסורן קל</w:t>
      </w:r>
      <w:r>
        <w:rPr>
          <w:rFonts w:cs="Arial" w:hint="cs"/>
          <w:rtl/>
        </w:rPr>
        <w:t>,</w:t>
      </w:r>
      <w:r w:rsidRPr="003C7FB6">
        <w:rPr>
          <w:rFonts w:cs="Arial"/>
          <w:rtl/>
        </w:rPr>
        <w:t xml:space="preserve"> אפילו אם </w:t>
      </w:r>
      <w:r>
        <w:rPr>
          <w:rFonts w:cs="Arial" w:hint="cs"/>
          <w:rtl/>
        </w:rPr>
        <w:t xml:space="preserve">לא </w:t>
      </w:r>
      <w:r w:rsidRPr="003C7FB6">
        <w:rPr>
          <w:rFonts w:cs="Arial"/>
          <w:rtl/>
        </w:rPr>
        <w:t xml:space="preserve">הכיר בה </w:t>
      </w:r>
      <w:r>
        <w:rPr>
          <w:rFonts w:cs="Arial" w:hint="cs"/>
          <w:rtl/>
        </w:rPr>
        <w:t xml:space="preserve">- </w:t>
      </w:r>
      <w:r w:rsidRPr="003C7FB6">
        <w:rPr>
          <w:rFonts w:cs="Arial"/>
          <w:rtl/>
        </w:rPr>
        <w:t>דינם כחייבי לאוין ש</w:t>
      </w:r>
      <w:r>
        <w:rPr>
          <w:rFonts w:cs="Arial" w:hint="cs"/>
          <w:rtl/>
        </w:rPr>
        <w:t>ה</w:t>
      </w:r>
      <w:r w:rsidRPr="003C7FB6">
        <w:rPr>
          <w:rFonts w:cs="Arial"/>
          <w:rtl/>
        </w:rPr>
        <w:t>כיר בה</w:t>
      </w:r>
      <w:r>
        <w:rPr>
          <w:rFonts w:cs="Arial" w:hint="cs"/>
          <w:sz w:val="16"/>
          <w:szCs w:val="16"/>
          <w:rtl/>
        </w:rPr>
        <w:t xml:space="preserve"> (ל' הטור בשם הרמב"ם)</w:t>
      </w:r>
      <w:r>
        <w:rPr>
          <w:rFonts w:cs="Arial" w:hint="cs"/>
          <w:rtl/>
        </w:rPr>
        <w:t>.</w:t>
      </w:r>
      <w:r w:rsidRPr="003C7FB6">
        <w:rPr>
          <w:rFonts w:cs="Arial"/>
          <w:rtl/>
        </w:rPr>
        <w:t xml:space="preserve"> </w:t>
      </w:r>
      <w:r w:rsidRPr="00781AA6">
        <w:rPr>
          <w:rFonts w:hint="cs"/>
          <w:color w:val="E36C0A" w:themeColor="accent6" w:themeShade="BF"/>
          <w:rtl/>
        </w:rPr>
        <w:t>(וכ"פ בשו"ע)</w:t>
      </w:r>
    </w:p>
    <w:p w14:paraId="3C7E13F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D03D83" w14:textId="77777777" w:rsidR="002E5BAD" w:rsidRDefault="002E5BAD" w:rsidP="002E5BAD">
      <w:pPr>
        <w:rPr>
          <w:rtl/>
        </w:rPr>
      </w:pPr>
      <w:r>
        <w:rPr>
          <w:rFonts w:cs="Arial"/>
          <w:rtl/>
        </w:rPr>
        <w:t xml:space="preserve">חייבי עשה, אפילו לא הכיר בה, דינה כחייבי לאוין שהכיר בה. </w:t>
      </w:r>
    </w:p>
    <w:p w14:paraId="0ED49FDD" w14:textId="77777777" w:rsidR="002E5BAD" w:rsidRDefault="002E5BAD" w:rsidP="002E5BAD">
      <w:pPr>
        <w:rPr>
          <w:rtl/>
        </w:rPr>
      </w:pPr>
    </w:p>
    <w:p w14:paraId="0E058986" w14:textId="77777777" w:rsidR="002E5BAD" w:rsidRDefault="002E5BAD" w:rsidP="002E5BAD">
      <w:pPr>
        <w:pStyle w:val="2"/>
        <w:rPr>
          <w:rtl/>
        </w:rPr>
      </w:pPr>
      <w:r>
        <w:rPr>
          <w:rtl/>
        </w:rPr>
        <w:t>סעיף ג</w:t>
      </w:r>
      <w:r>
        <w:rPr>
          <w:rFonts w:hint="cs"/>
          <w:rtl/>
        </w:rPr>
        <w:t>: הנושא אילונית.</w:t>
      </w:r>
    </w:p>
    <w:p w14:paraId="0579A1EA" w14:textId="77777777" w:rsidR="002E5BAD" w:rsidRPr="00781AA6" w:rsidRDefault="002E5BAD" w:rsidP="002E5BAD">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3230"/>
      </w:r>
      <w:r w:rsidRPr="001D1C27">
        <w:rPr>
          <w:rFonts w:cs="Arial"/>
          <w:rtl/>
        </w:rPr>
        <w:t xml:space="preserve"> ולא פירות</w:t>
      </w:r>
      <w:r>
        <w:rPr>
          <w:rStyle w:val="a7"/>
          <w:rFonts w:cs="Arial"/>
          <w:rtl/>
        </w:rPr>
        <w:footnoteReference w:id="3231"/>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w:t>
      </w:r>
      <w:r>
        <w:rPr>
          <w:rFonts w:cs="Arial" w:hint="cs"/>
          <w:rtl/>
        </w:rPr>
        <w:t>.</w:t>
      </w:r>
      <w:r w:rsidRPr="003A2932">
        <w:rPr>
          <w:rFonts w:cs="Arial"/>
          <w:rtl/>
        </w:rPr>
        <w:t xml:space="preserve">.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xml:space="preserve">: אהייא? אילימא אממאנת, אי דאיתנהו, אידי ואידי שקלא! ואי דליתנהו, אידי ואידי לא שקלא! אלא אאיילונית, אי דאיתנהו, אידי ואידי שקלא! אי דליתנהו, איפכא מיבעי ליה: נכסי מלוג דברשותה קיימי </w:t>
      </w:r>
      <w:r>
        <w:rPr>
          <w:rFonts w:cs="Arial" w:hint="cs"/>
          <w:rtl/>
        </w:rPr>
        <w:t xml:space="preserve">- </w:t>
      </w:r>
      <w:r w:rsidRPr="00297264">
        <w:rPr>
          <w:rFonts w:cs="Arial"/>
          <w:rtl/>
        </w:rPr>
        <w:t>אית לה, נכסי צאן ברזל דלאו ברשותה קיימי</w:t>
      </w:r>
      <w:r>
        <w:rPr>
          <w:rFonts w:cs="Arial" w:hint="cs"/>
          <w:rtl/>
        </w:rPr>
        <w:t xml:space="preserve"> -</w:t>
      </w:r>
      <w:r w:rsidRPr="00297264">
        <w:rPr>
          <w:rFonts w:cs="Arial"/>
          <w:rtl/>
        </w:rPr>
        <w:t xml:space="preserve"> לית לה</w:t>
      </w:r>
      <w:r>
        <w:rPr>
          <w:rFonts w:cs="Arial" w:hint="cs"/>
          <w:rtl/>
        </w:rPr>
        <w:t>...</w:t>
      </w:r>
      <w:r w:rsidRPr="00297264">
        <w:rPr>
          <w:rFonts w:cs="Arial"/>
          <w:rtl/>
        </w:rPr>
        <w:t xml:space="preserve">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3232"/>
      </w:r>
      <w:r w:rsidRPr="00EA2802">
        <w:rPr>
          <w:rFonts w:cs="Arial"/>
          <w:rtl/>
        </w:rPr>
        <w:t>.</w:t>
      </w:r>
      <w:r>
        <w:rPr>
          <w:rFonts w:cs="Arial" w:hint="cs"/>
          <w:rtl/>
        </w:rPr>
        <w:t>..</w:t>
      </w:r>
    </w:p>
    <w:p w14:paraId="26454562" w14:textId="77777777" w:rsidR="002E5BAD" w:rsidRPr="00781AA6" w:rsidRDefault="002E5BAD" w:rsidP="002E5BAD">
      <w:pPr>
        <w:rPr>
          <w:u w:val="single"/>
          <w:rtl/>
        </w:rPr>
      </w:pPr>
      <w:r w:rsidRPr="00781AA6">
        <w:rPr>
          <w:rFonts w:hint="cs"/>
          <w:u w:val="single"/>
          <w:rtl/>
        </w:rPr>
        <w:lastRenderedPageBreak/>
        <w:t>הנושא אילונית:</w:t>
      </w:r>
    </w:p>
    <w:p w14:paraId="4A837CFE" w14:textId="77777777" w:rsidR="002E5BAD" w:rsidRDefault="002E5BAD" w:rsidP="00B75458">
      <w:pPr>
        <w:pStyle w:val="ab"/>
        <w:numPr>
          <w:ilvl w:val="0"/>
          <w:numId w:val="204"/>
        </w:numPr>
      </w:pPr>
      <w:r>
        <w:rPr>
          <w:rFonts w:hint="cs"/>
          <w:rtl/>
        </w:rPr>
        <w:t>טור-</w:t>
      </w:r>
      <w:r>
        <w:rPr>
          <w:rFonts w:cs="Arial" w:hint="cs"/>
          <w:rtl/>
        </w:rPr>
        <w:t xml:space="preserve"> </w:t>
      </w:r>
      <w:r w:rsidRPr="003C7FB6">
        <w:rPr>
          <w:rFonts w:cs="Arial"/>
          <w:rtl/>
        </w:rPr>
        <w:t>ודין אילוני</w:t>
      </w:r>
      <w:r>
        <w:rPr>
          <w:rFonts w:cs="Arial" w:hint="cs"/>
          <w:rtl/>
        </w:rPr>
        <w:t>ת</w:t>
      </w:r>
      <w:r w:rsidRPr="003C7FB6">
        <w:rPr>
          <w:rFonts w:cs="Arial"/>
          <w:rtl/>
        </w:rPr>
        <w:t xml:space="preserve"> כדין אלו</w:t>
      </w:r>
      <w:r>
        <w:rPr>
          <w:rStyle w:val="a7"/>
          <w:rFonts w:cs="Arial"/>
          <w:rtl/>
        </w:rPr>
        <w:footnoteReference w:id="3233"/>
      </w:r>
      <w:r>
        <w:rPr>
          <w:rFonts w:cs="Arial" w:hint="cs"/>
          <w:rtl/>
        </w:rPr>
        <w:t>,</w:t>
      </w:r>
      <w:r w:rsidRPr="003C7FB6">
        <w:rPr>
          <w:rFonts w:cs="Arial"/>
          <w:rtl/>
        </w:rPr>
        <w:t xml:space="preserve"> שאם הכיר בה </w:t>
      </w:r>
      <w:r>
        <w:rPr>
          <w:rFonts w:cs="Arial" w:hint="cs"/>
          <w:rtl/>
        </w:rPr>
        <w:t xml:space="preserve">- </w:t>
      </w:r>
      <w:r w:rsidRPr="003C7FB6">
        <w:rPr>
          <w:rFonts w:cs="Arial"/>
          <w:rtl/>
        </w:rPr>
        <w:t>יש לה הכל</w:t>
      </w:r>
      <w:r>
        <w:rPr>
          <w:rFonts w:cs="Arial" w:hint="cs"/>
          <w:rtl/>
        </w:rPr>
        <w:t>.</w:t>
      </w:r>
      <w:r w:rsidRPr="003C7FB6">
        <w:rPr>
          <w:rFonts w:cs="Arial"/>
          <w:rtl/>
        </w:rPr>
        <w:t xml:space="preserve"> ואם לא הכיר בה </w:t>
      </w:r>
      <w:r>
        <w:rPr>
          <w:rFonts w:cs="Arial" w:hint="cs"/>
          <w:rtl/>
        </w:rPr>
        <w:t xml:space="preserve">- </w:t>
      </w:r>
      <w:r w:rsidRPr="003C7FB6">
        <w:rPr>
          <w:rFonts w:cs="Arial"/>
          <w:rtl/>
        </w:rPr>
        <w:t>אין לה עיקר כתובה ותנאיה</w:t>
      </w:r>
      <w:r>
        <w:rPr>
          <w:rFonts w:cs="Arial" w:hint="cs"/>
          <w:rtl/>
        </w:rPr>
        <w:t>,</w:t>
      </w:r>
      <w:r w:rsidRPr="003C7FB6">
        <w:rPr>
          <w:rFonts w:cs="Arial"/>
          <w:rtl/>
        </w:rPr>
        <w:t xml:space="preserve"> אבל יש לה תוס</w:t>
      </w:r>
      <w:r>
        <w:rPr>
          <w:rFonts w:cs="Arial" w:hint="cs"/>
          <w:rtl/>
        </w:rPr>
        <w:t>פת.</w:t>
      </w:r>
      <w:r w:rsidRPr="003C7FB6">
        <w:rPr>
          <w:rFonts w:cs="Arial"/>
          <w:rtl/>
        </w:rPr>
        <w:t xml:space="preserve"> ובלאותיה הקיימין בין של מלוג בין של צאן ברזל</w:t>
      </w:r>
      <w:r>
        <w:rPr>
          <w:rFonts w:cs="Arial" w:hint="cs"/>
          <w:rtl/>
        </w:rPr>
        <w:t>,</w:t>
      </w:r>
      <w:r w:rsidRPr="003C7FB6">
        <w:rPr>
          <w:rFonts w:cs="Arial"/>
          <w:rtl/>
        </w:rPr>
        <w:t xml:space="preserve"> ואפי' שאינן קיימין של מלוג </w:t>
      </w:r>
      <w:r>
        <w:rPr>
          <w:rFonts w:cs="Arial" w:hint="cs"/>
          <w:rtl/>
        </w:rPr>
        <w:t xml:space="preserve">- </w:t>
      </w:r>
      <w:r w:rsidRPr="003C7FB6">
        <w:rPr>
          <w:rFonts w:cs="Arial"/>
          <w:rtl/>
        </w:rPr>
        <w:t>חייב לשלם</w:t>
      </w:r>
      <w:r>
        <w:rPr>
          <w:rFonts w:cs="Arial" w:hint="cs"/>
          <w:rtl/>
        </w:rPr>
        <w:t>.</w:t>
      </w:r>
      <w:r w:rsidRPr="003C7FB6">
        <w:rPr>
          <w:rFonts w:cs="Arial"/>
          <w:rtl/>
        </w:rPr>
        <w:t xml:space="preserve"> אלא שבזה חלוקה מהם </w:t>
      </w:r>
      <w:r>
        <w:rPr>
          <w:rFonts w:cs="Arial" w:hint="cs"/>
          <w:rtl/>
        </w:rPr>
        <w:t xml:space="preserve">- </w:t>
      </w:r>
      <w:r w:rsidRPr="003C7FB6">
        <w:rPr>
          <w:rFonts w:cs="Arial"/>
          <w:rtl/>
        </w:rPr>
        <w:t>שחייב במזונו</w:t>
      </w:r>
      <w:r>
        <w:rPr>
          <w:rFonts w:cs="Arial" w:hint="cs"/>
          <w:rtl/>
        </w:rPr>
        <w:t>ת</w:t>
      </w:r>
      <w:r w:rsidRPr="003C7FB6">
        <w:rPr>
          <w:rFonts w:cs="Arial"/>
          <w:rtl/>
        </w:rPr>
        <w:t xml:space="preserve"> בהכיר בה אפי</w:t>
      </w:r>
      <w:r>
        <w:rPr>
          <w:rFonts w:cs="Arial" w:hint="cs"/>
          <w:rtl/>
        </w:rPr>
        <w:t>לו</w:t>
      </w:r>
      <w:r w:rsidRPr="003C7FB6">
        <w:rPr>
          <w:rFonts w:cs="Arial"/>
          <w:rtl/>
        </w:rPr>
        <w:t xml:space="preserve"> בחייו</w:t>
      </w:r>
      <w:r>
        <w:rPr>
          <w:rStyle w:val="a7"/>
          <w:rFonts w:cs="Arial"/>
          <w:rtl/>
        </w:rPr>
        <w:footnoteReference w:id="3234"/>
      </w:r>
      <w:r>
        <w:rPr>
          <w:rFonts w:cs="Arial" w:hint="cs"/>
          <w:rtl/>
        </w:rPr>
        <w:t>.</w:t>
      </w:r>
      <w:r w:rsidRPr="003C7FB6">
        <w:rPr>
          <w:rFonts w:cs="Arial"/>
          <w:rtl/>
        </w:rPr>
        <w:t xml:space="preserve"> והנשאת לשני ולא היו לה בנים וניסת עוד לשלישי ולא היו לה בנים </w:t>
      </w:r>
      <w:r>
        <w:rPr>
          <w:rFonts w:cs="Arial" w:hint="cs"/>
          <w:rtl/>
        </w:rPr>
        <w:t xml:space="preserve">- </w:t>
      </w:r>
      <w:r w:rsidRPr="003C7FB6">
        <w:rPr>
          <w:rFonts w:cs="Arial"/>
          <w:rtl/>
        </w:rPr>
        <w:t>דינה כיוצא באלו</w:t>
      </w:r>
      <w:r>
        <w:rPr>
          <w:rStyle w:val="a7"/>
          <w:rFonts w:cs="Arial"/>
          <w:rtl/>
        </w:rPr>
        <w:footnoteReference w:id="3235"/>
      </w:r>
      <w:r>
        <w:rPr>
          <w:rFonts w:cs="Arial" w:hint="cs"/>
          <w:rtl/>
        </w:rPr>
        <w:t>.</w:t>
      </w:r>
      <w:r w:rsidRPr="003C7FB6">
        <w:rPr>
          <w:rFonts w:cs="Arial"/>
          <w:rtl/>
        </w:rPr>
        <w:t xml:space="preserve"> </w:t>
      </w:r>
    </w:p>
    <w:p w14:paraId="315F058D" w14:textId="77777777" w:rsidR="002E5BAD" w:rsidRPr="003B154C" w:rsidRDefault="002E5BAD" w:rsidP="00B75458">
      <w:pPr>
        <w:pStyle w:val="ab"/>
        <w:numPr>
          <w:ilvl w:val="0"/>
          <w:numId w:val="204"/>
        </w:numPr>
      </w:pPr>
      <w:r>
        <w:rPr>
          <w:rFonts w:cs="Arial" w:hint="cs"/>
          <w:rtl/>
        </w:rPr>
        <w:t xml:space="preserve">רמב"ם </w:t>
      </w:r>
      <w:r>
        <w:rPr>
          <w:rFonts w:cs="Arial" w:hint="cs"/>
          <w:sz w:val="16"/>
          <w:szCs w:val="16"/>
          <w:rtl/>
        </w:rPr>
        <w:t>(פכ"ד ה"א-ב)</w:t>
      </w:r>
      <w:r>
        <w:rPr>
          <w:rFonts w:cs="Arial" w:hint="cs"/>
          <w:rtl/>
        </w:rPr>
        <w:t xml:space="preserve">- </w:t>
      </w:r>
      <w:r w:rsidRPr="00483EA3">
        <w:rPr>
          <w:rFonts w:cs="Arial"/>
          <w:rtl/>
        </w:rPr>
        <w:t>הנושא את האילונית ולא היו לו בנים ולא אשה אחרת לפרות ולרבות ממנה אף על פי שכופין אותו ומוציא הרי היא ככל הנשים ויש לה כתובה ושאר תנאי כתובה, וכן זוכה הבעל במה שזוכה בשאר הנשים.</w:t>
      </w:r>
      <w:r w:rsidRPr="00D85525">
        <w:rPr>
          <w:rtl/>
        </w:rPr>
        <w:t xml:space="preserve"> </w:t>
      </w:r>
      <w:r w:rsidRPr="00D85525">
        <w:rPr>
          <w:rFonts w:cs="Arial"/>
          <w:rtl/>
        </w:rPr>
        <w:t>אבל הנושא אשה ולא הכיר בה ונמצאת אילונית או מחייבי לאוין</w:t>
      </w:r>
      <w:r>
        <w:rPr>
          <w:rFonts w:hint="cs"/>
          <w:rtl/>
        </w:rPr>
        <w:t>... -</w:t>
      </w:r>
      <w:r w:rsidRPr="00D85525">
        <w:rPr>
          <w:rtl/>
        </w:rPr>
        <w:t xml:space="preserve"> </w:t>
      </w:r>
      <w:r w:rsidRPr="00D85525">
        <w:rPr>
          <w:rFonts w:cs="Arial"/>
          <w:rtl/>
        </w:rPr>
        <w:t xml:space="preserve">אין לה עיקר כתובה ולא תנאי מתנאי כתובה אבל תוספת יש לה ואין לה מזונות ואפילו לאחר מותו, וכשכופין אותו ומפרישין ביניהם אין מוציאין מן הבעל פירות שאכל. </w:t>
      </w:r>
      <w:r w:rsidRPr="00D85525">
        <w:rPr>
          <w:rFonts w:cs="Arial" w:hint="cs"/>
          <w:color w:val="E36C0A" w:themeColor="accent6" w:themeShade="BF"/>
          <w:rtl/>
        </w:rPr>
        <w:t>(וכ"פ בשו"ע)</w:t>
      </w:r>
    </w:p>
    <w:p w14:paraId="2564AD9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63681F" w14:textId="77777777" w:rsidR="002E5BAD" w:rsidRDefault="002E5BAD" w:rsidP="002E5BAD">
      <w:pPr>
        <w:rPr>
          <w:rFonts w:cs="Arial"/>
          <w:rtl/>
        </w:rPr>
      </w:pPr>
      <w:r>
        <w:rPr>
          <w:rFonts w:cs="Arial"/>
          <w:rtl/>
        </w:rPr>
        <w:t>אילונית, אם הכיר בה, הרי היא ככל הנשים</w:t>
      </w:r>
      <w:r>
        <w:rPr>
          <w:rStyle w:val="a7"/>
          <w:rFonts w:cs="Arial"/>
          <w:rtl/>
        </w:rPr>
        <w:footnoteReference w:id="3236"/>
      </w:r>
      <w:r>
        <w:rPr>
          <w:rFonts w:cs="Arial"/>
          <w:rtl/>
        </w:rPr>
        <w:t xml:space="preserve"> ויש לה כתובה ותנאי כתובה, וכן זוכה הבעל במה שזוכה בשאר הנשים. ואם לא הכיר בה, דינה כדין חייבי לאוין שלא הכיר בה</w:t>
      </w:r>
      <w:r>
        <w:rPr>
          <w:rStyle w:val="a7"/>
          <w:rFonts w:cs="Arial"/>
          <w:rtl/>
        </w:rPr>
        <w:footnoteReference w:id="3237"/>
      </w:r>
      <w:r>
        <w:rPr>
          <w:rFonts w:cs="Arial"/>
          <w:rtl/>
        </w:rPr>
        <w:t xml:space="preserve">. </w:t>
      </w:r>
    </w:p>
    <w:p w14:paraId="5A9E3BEF" w14:textId="77777777" w:rsidR="002E5BAD" w:rsidRDefault="002E5BAD" w:rsidP="002E5BAD">
      <w:pPr>
        <w:rPr>
          <w:rtl/>
        </w:rPr>
      </w:pPr>
    </w:p>
    <w:p w14:paraId="036E3564" w14:textId="77777777" w:rsidR="002E5BAD" w:rsidRDefault="002E5BAD" w:rsidP="002E5BAD">
      <w:pPr>
        <w:pStyle w:val="2"/>
        <w:rPr>
          <w:rtl/>
        </w:rPr>
      </w:pPr>
      <w:r>
        <w:rPr>
          <w:rtl/>
        </w:rPr>
        <w:t>סעיף ד</w:t>
      </w:r>
      <w:r>
        <w:rPr>
          <w:rFonts w:hint="cs"/>
          <w:rtl/>
        </w:rPr>
        <w:t xml:space="preserve">: הנושא אשה שאסורה עליו מדרבנן </w:t>
      </w:r>
      <w:r w:rsidRPr="00815496">
        <w:rPr>
          <w:rFonts w:hint="cs"/>
          <w:sz w:val="20"/>
          <w:szCs w:val="20"/>
          <w:rtl/>
        </w:rPr>
        <w:t>(כגון אחת מהשניות</w:t>
      </w:r>
      <w:r>
        <w:rPr>
          <w:rFonts w:hint="cs"/>
          <w:sz w:val="20"/>
          <w:szCs w:val="20"/>
          <w:rtl/>
        </w:rPr>
        <w:t>)</w:t>
      </w:r>
      <w:r>
        <w:rPr>
          <w:rFonts w:hint="cs"/>
          <w:rtl/>
        </w:rPr>
        <w:t>.</w:t>
      </w:r>
    </w:p>
    <w:p w14:paraId="3602F094" w14:textId="77777777" w:rsidR="002E5BAD" w:rsidRDefault="002E5BAD" w:rsidP="002E5BAD">
      <w:pPr>
        <w:rPr>
          <w:rFonts w:cs="Arial"/>
          <w:rtl/>
        </w:rPr>
      </w:pPr>
      <w:r w:rsidRPr="00DF38A2">
        <w:rPr>
          <w:rFonts w:cs="Arial" w:hint="cs"/>
          <w:b/>
          <w:bCs/>
          <w:rtl/>
        </w:rPr>
        <w:t xml:space="preserve">יבמות </w:t>
      </w:r>
      <w:r w:rsidRPr="00DF38A2">
        <w:rPr>
          <w:rFonts w:cs="Arial" w:hint="cs"/>
          <w:b/>
          <w:bCs/>
          <w:sz w:val="16"/>
          <w:szCs w:val="16"/>
          <w:rtl/>
        </w:rPr>
        <w:t>(</w:t>
      </w:r>
      <w:r>
        <w:rPr>
          <w:rFonts w:cs="Arial" w:hint="cs"/>
          <w:b/>
          <w:bCs/>
          <w:sz w:val="16"/>
          <w:szCs w:val="16"/>
          <w:rtl/>
        </w:rPr>
        <w:t>ר"</w:t>
      </w:r>
      <w:r w:rsidRPr="00DF38A2">
        <w:rPr>
          <w:rFonts w:cs="Arial"/>
          <w:b/>
          <w:bCs/>
          <w:sz w:val="16"/>
          <w:szCs w:val="16"/>
          <w:rtl/>
        </w:rPr>
        <w:t>פ יש מותרות</w:t>
      </w:r>
      <w:r w:rsidRPr="00DF38A2">
        <w:rPr>
          <w:rFonts w:cs="Arial" w:hint="cs"/>
          <w:b/>
          <w:bCs/>
          <w:sz w:val="16"/>
          <w:szCs w:val="16"/>
          <w:rtl/>
        </w:rPr>
        <w:t xml:space="preserve">) </w:t>
      </w:r>
      <w:r w:rsidRPr="00DF38A2">
        <w:rPr>
          <w:rFonts w:cs="Arial" w:hint="cs"/>
          <w:b/>
          <w:bCs/>
          <w:rtl/>
        </w:rPr>
        <w:t>פ</w:t>
      </w:r>
      <w:r>
        <w:rPr>
          <w:rFonts w:cs="Arial" w:hint="cs"/>
          <w:b/>
          <w:bCs/>
          <w:rtl/>
        </w:rPr>
        <w:t>ד</w:t>
      </w:r>
      <w:r w:rsidRPr="00DF38A2">
        <w:rPr>
          <w:rFonts w:cs="Arial" w:hint="cs"/>
          <w:b/>
          <w:bCs/>
          <w:rtl/>
        </w:rPr>
        <w:t xml:space="preserve"> ע"א:</w:t>
      </w:r>
      <w:r>
        <w:rPr>
          <w:rFonts w:cs="Arial"/>
          <w:rtl/>
        </w:rPr>
        <w:t xml:space="preserve"> </w:t>
      </w:r>
      <w:r w:rsidRPr="00710631">
        <w:rPr>
          <w:rFonts w:cs="Arial"/>
          <w:u w:val="double"/>
          <w:rtl/>
        </w:rPr>
        <w:t>מתני'</w:t>
      </w:r>
      <w:r>
        <w:rPr>
          <w:rFonts w:cs="Arial" w:hint="cs"/>
          <w:rtl/>
        </w:rPr>
        <w:t xml:space="preserve">:... </w:t>
      </w:r>
      <w:r w:rsidRPr="00710631">
        <w:rPr>
          <w:rFonts w:cs="Arial"/>
          <w:rtl/>
        </w:rPr>
        <w:t>שניות מד"ס</w:t>
      </w:r>
      <w:r>
        <w:rPr>
          <w:rFonts w:cs="Arial" w:hint="cs"/>
          <w:rtl/>
        </w:rPr>
        <w:t>... -</w:t>
      </w:r>
      <w:r w:rsidRPr="00710631">
        <w:rPr>
          <w:rFonts w:cs="Arial"/>
          <w:rtl/>
        </w:rPr>
        <w:t xml:space="preserve"> אין לה לא כתובה, ולא פירות, ולא מזונות, ולא בלאות, והולד כשר, וכופין אותו להוציא</w:t>
      </w:r>
      <w:r w:rsidRPr="00DF38A2">
        <w:rPr>
          <w:rFonts w:cs="Arial"/>
          <w:rtl/>
        </w:rPr>
        <w:t xml:space="preserve">. </w:t>
      </w:r>
    </w:p>
    <w:p w14:paraId="29D440E6" w14:textId="77777777" w:rsidR="002E5BAD" w:rsidRDefault="002E5BAD" w:rsidP="002E5BAD">
      <w:pPr>
        <w:rPr>
          <w:rFonts w:cs="Arial"/>
          <w:rtl/>
        </w:rPr>
      </w:pPr>
      <w:r w:rsidRPr="00DF38A2">
        <w:rPr>
          <w:rFonts w:cs="Arial" w:hint="cs"/>
          <w:b/>
          <w:bCs/>
          <w:rtl/>
        </w:rPr>
        <w:t xml:space="preserve">יבמות </w:t>
      </w:r>
      <w:r w:rsidRPr="00DF38A2">
        <w:rPr>
          <w:rFonts w:cs="Arial" w:hint="cs"/>
          <w:b/>
          <w:bCs/>
          <w:sz w:val="16"/>
          <w:szCs w:val="16"/>
          <w:rtl/>
        </w:rPr>
        <w:t>(</w:t>
      </w:r>
      <w:r w:rsidRPr="00DF38A2">
        <w:rPr>
          <w:rFonts w:cs="Arial"/>
          <w:b/>
          <w:bCs/>
          <w:sz w:val="16"/>
          <w:szCs w:val="16"/>
          <w:rtl/>
        </w:rPr>
        <w:t>פ</w:t>
      </w:r>
      <w:r>
        <w:rPr>
          <w:rFonts w:cs="Arial" w:hint="cs"/>
          <w:b/>
          <w:bCs/>
          <w:sz w:val="16"/>
          <w:szCs w:val="16"/>
          <w:rtl/>
        </w:rPr>
        <w:t>'</w:t>
      </w:r>
      <w:r w:rsidRPr="00DF38A2">
        <w:rPr>
          <w:rFonts w:cs="Arial"/>
          <w:b/>
          <w:bCs/>
          <w:sz w:val="16"/>
          <w:szCs w:val="16"/>
          <w:rtl/>
        </w:rPr>
        <w:t xml:space="preserve"> יש מותרות</w:t>
      </w:r>
      <w:r w:rsidRPr="00DF38A2">
        <w:rPr>
          <w:rFonts w:cs="Arial" w:hint="cs"/>
          <w:b/>
          <w:bCs/>
          <w:sz w:val="16"/>
          <w:szCs w:val="16"/>
          <w:rtl/>
        </w:rPr>
        <w:t xml:space="preserve">) </w:t>
      </w:r>
      <w:r w:rsidRPr="00DF38A2">
        <w:rPr>
          <w:rFonts w:cs="Arial" w:hint="cs"/>
          <w:b/>
          <w:bCs/>
          <w:rtl/>
        </w:rPr>
        <w:t>פ</w:t>
      </w:r>
      <w:r>
        <w:rPr>
          <w:rFonts w:cs="Arial" w:hint="cs"/>
          <w:b/>
          <w:bCs/>
          <w:rtl/>
        </w:rPr>
        <w:t>ה</w:t>
      </w:r>
      <w:r w:rsidRPr="00DF38A2">
        <w:rPr>
          <w:rFonts w:cs="Arial" w:hint="cs"/>
          <w:b/>
          <w:bCs/>
          <w:rtl/>
        </w:rPr>
        <w:t xml:space="preserve"> ע"א:</w:t>
      </w:r>
      <w:r>
        <w:rPr>
          <w:rFonts w:cs="Arial" w:hint="cs"/>
          <w:rtl/>
        </w:rPr>
        <w:t xml:space="preserve"> </w:t>
      </w:r>
      <w:r w:rsidRPr="00A579F5">
        <w:rPr>
          <w:rFonts w:cs="Arial"/>
          <w:rtl/>
        </w:rPr>
        <w:t>ת"ר: אלמנה לכהן גדול, גרושה וחלוצה לכהן הדיוט - יש לה כתובה, פירות, מזונות, בלאות, והיא פסולה וולדה פסול, וכופין אותו להוציא</w:t>
      </w:r>
      <w:r>
        <w:rPr>
          <w:rFonts w:cs="Arial" w:hint="cs"/>
          <w:rtl/>
        </w:rPr>
        <w:t>.</w:t>
      </w:r>
      <w:r w:rsidRPr="00A579F5">
        <w:rPr>
          <w:rFonts w:cs="Arial"/>
          <w:rtl/>
        </w:rPr>
        <w:t xml:space="preserve"> שניות מדברי סופרים - אין לה כתובה, לא פירות, לא מזונות, ולא בלאות, והיא כשירה וולדה כשר, וכופין אותו להוציא. </w:t>
      </w:r>
      <w:r w:rsidRPr="00A579F5">
        <w:rPr>
          <w:rFonts w:cs="Arial"/>
          <w:u w:val="single"/>
          <w:rtl/>
        </w:rPr>
        <w:t>אמר ר"ש בן אלעזר</w:t>
      </w:r>
      <w:r w:rsidRPr="00A579F5">
        <w:rPr>
          <w:rFonts w:cs="Arial"/>
          <w:rtl/>
        </w:rPr>
        <w:t>: מפני מה אמרו אלמנה לכ"ג יש לה כתובה? מפני שהוא פסול והיא פסולה, וכ"מ שהוא פסול והיא פסולה</w:t>
      </w:r>
      <w:r>
        <w:rPr>
          <w:rFonts w:cs="Arial" w:hint="cs"/>
          <w:rtl/>
        </w:rPr>
        <w:t xml:space="preserve"> -</w:t>
      </w:r>
      <w:r>
        <w:rPr>
          <w:rFonts w:hint="cs"/>
          <w:sz w:val="14"/>
          <w:szCs w:val="14"/>
          <w:rtl/>
        </w:rPr>
        <w:t xml:space="preserve"> (פה:) </w:t>
      </w:r>
      <w:r w:rsidRPr="00A579F5">
        <w:rPr>
          <w:rFonts w:cs="Arial"/>
          <w:rtl/>
        </w:rPr>
        <w:t>קנסו אותו כתובה</w:t>
      </w:r>
      <w:r>
        <w:rPr>
          <w:rFonts w:cs="Arial" w:hint="cs"/>
          <w:rtl/>
        </w:rPr>
        <w:t>.</w:t>
      </w:r>
      <w:r w:rsidRPr="00A579F5">
        <w:rPr>
          <w:rFonts w:cs="Arial"/>
          <w:rtl/>
        </w:rPr>
        <w:t xml:space="preserve"> ומפני מה אמרו שניות מדברי סופרים אין להן כתובה? מפני שהוא כשר והיא כשרה, וכל מקום שהוא כשר והיא כשרה - קנסו אותה כתובה. </w:t>
      </w:r>
      <w:r w:rsidRPr="005B3BEB">
        <w:rPr>
          <w:rFonts w:cs="Arial"/>
          <w:u w:val="single"/>
          <w:rtl/>
        </w:rPr>
        <w:t>רבי אומר</w:t>
      </w:r>
      <w:r w:rsidRPr="00A579F5">
        <w:rPr>
          <w:rFonts w:cs="Arial"/>
          <w:rtl/>
        </w:rPr>
        <w:t xml:space="preserve">: הללו דברי תורה, ודברי תורה אין צריכין חיזוק, והללו דברי סופרים, ודברי סופרים צריכין חיזוק. </w:t>
      </w:r>
      <w:r w:rsidRPr="005B3BEB">
        <w:rPr>
          <w:rFonts w:cs="Arial"/>
          <w:u w:val="single"/>
          <w:rtl/>
        </w:rPr>
        <w:t>דבר אחר</w:t>
      </w:r>
      <w:r w:rsidRPr="00A579F5">
        <w:rPr>
          <w:rFonts w:cs="Arial"/>
          <w:rtl/>
        </w:rPr>
        <w:t xml:space="preserve">: זהו מרגילה, וזו היא מרגילתו. דבר אחר: מאן קתני לה? </w:t>
      </w:r>
      <w:r w:rsidRPr="005B3BEB">
        <w:rPr>
          <w:rFonts w:cs="Arial"/>
          <w:u w:val="single"/>
          <w:rtl/>
        </w:rPr>
        <w:t>איכא דאמר</w:t>
      </w:r>
      <w:r w:rsidRPr="00A579F5">
        <w:rPr>
          <w:rFonts w:cs="Arial"/>
          <w:rtl/>
        </w:rPr>
        <w:t xml:space="preserve">: ר"ש בן אלעזר קתני לה, ומה טעם קאמר, מה טעם אמרו הוא פסול והיא פסולה קנסו אותו כתובה? מפני שהוא מרגילה, ומה טעם הוא כשר והיא כשרה קנסו אותה כתובה? מפני שהיא מרגילתו. </w:t>
      </w:r>
      <w:r w:rsidRPr="005B3BEB">
        <w:rPr>
          <w:rFonts w:cs="Arial"/>
          <w:u w:val="single"/>
          <w:rtl/>
        </w:rPr>
        <w:t>איכא דאמר</w:t>
      </w:r>
      <w:r w:rsidRPr="00A579F5">
        <w:rPr>
          <w:rFonts w:cs="Arial"/>
          <w:rtl/>
        </w:rPr>
        <w:t>: רבי קתני לה, וחלוצה קא קשיא ליה, והא חלוצה דרבנן ואית לה כתובה! הדר אמר: כיון דפסיל לה מדרבנן, זהו מרגילה וזו היא מרגילתו.</w:t>
      </w:r>
    </w:p>
    <w:p w14:paraId="4ECA76F2" w14:textId="77777777" w:rsidR="002E5BAD" w:rsidRPr="00815496" w:rsidRDefault="002E5BAD" w:rsidP="002E5BAD">
      <w:pPr>
        <w:rPr>
          <w:u w:val="single"/>
          <w:rtl/>
        </w:rPr>
      </w:pPr>
      <w:r w:rsidRPr="00815496">
        <w:rPr>
          <w:rFonts w:hint="cs"/>
          <w:u w:val="single"/>
          <w:rtl/>
        </w:rPr>
        <w:t xml:space="preserve">הנושא אשה שאסורה עליו מדרבנן </w:t>
      </w:r>
      <w:r w:rsidRPr="00815496">
        <w:rPr>
          <w:rFonts w:hint="cs"/>
          <w:sz w:val="16"/>
          <w:szCs w:val="16"/>
          <w:u w:val="single"/>
          <w:rtl/>
        </w:rPr>
        <w:t>(כגון אחת מהשניות)</w:t>
      </w:r>
      <w:r w:rsidRPr="00815496">
        <w:rPr>
          <w:rFonts w:hint="cs"/>
          <w:u w:val="single"/>
          <w:rtl/>
        </w:rPr>
        <w:t>:</w:t>
      </w:r>
    </w:p>
    <w:p w14:paraId="4841EF04" w14:textId="77777777" w:rsidR="002E5BAD" w:rsidRPr="00B74416" w:rsidRDefault="002E5BAD" w:rsidP="00B75458">
      <w:pPr>
        <w:pStyle w:val="ab"/>
        <w:numPr>
          <w:ilvl w:val="0"/>
          <w:numId w:val="204"/>
        </w:numPr>
        <w:rPr>
          <w:rtl/>
        </w:rPr>
      </w:pPr>
      <w:r>
        <w:rPr>
          <w:rFonts w:cs="Arial"/>
          <w:rtl/>
        </w:rPr>
        <w:lastRenderedPageBreak/>
        <w:t>רי"ף</w:t>
      </w:r>
      <w:r>
        <w:rPr>
          <w:rStyle w:val="a7"/>
          <w:rFonts w:cs="Arial"/>
          <w:rtl/>
        </w:rPr>
        <w:footnoteReference w:id="3238"/>
      </w:r>
      <w:r w:rsidRPr="006A1A57">
        <w:rPr>
          <w:rFonts w:cs="Arial"/>
          <w:sz w:val="16"/>
          <w:szCs w:val="16"/>
          <w:rtl/>
        </w:rPr>
        <w:t xml:space="preserve"> </w:t>
      </w:r>
      <w:r w:rsidRPr="006A1A57">
        <w:rPr>
          <w:rFonts w:cs="Arial" w:hint="cs"/>
          <w:sz w:val="16"/>
          <w:szCs w:val="16"/>
          <w:rtl/>
        </w:rPr>
        <w:t xml:space="preserve">(כתובות </w:t>
      </w:r>
      <w:r w:rsidRPr="006A1A57">
        <w:rPr>
          <w:rFonts w:cs="Arial"/>
          <w:sz w:val="16"/>
          <w:szCs w:val="16"/>
          <w:rtl/>
        </w:rPr>
        <w:t>ס.</w:t>
      </w:r>
      <w:r w:rsidRPr="006A1A57">
        <w:rPr>
          <w:rFonts w:cs="Arial" w:hint="cs"/>
          <w:sz w:val="16"/>
          <w:szCs w:val="16"/>
          <w:rtl/>
        </w:rPr>
        <w:t>)</w:t>
      </w:r>
      <w:r>
        <w:rPr>
          <w:rFonts w:cs="Arial"/>
          <w:rtl/>
        </w:rPr>
        <w:t xml:space="preserve"> רא"ש </w:t>
      </w:r>
      <w:r w:rsidRPr="006A1A57">
        <w:rPr>
          <w:rFonts w:cs="Arial" w:hint="cs"/>
          <w:sz w:val="16"/>
          <w:szCs w:val="16"/>
          <w:rtl/>
        </w:rPr>
        <w:t xml:space="preserve">(כתובות </w:t>
      </w:r>
      <w:r w:rsidRPr="006A1A57">
        <w:rPr>
          <w:rFonts w:cs="Arial"/>
          <w:sz w:val="16"/>
          <w:szCs w:val="16"/>
          <w:rtl/>
        </w:rPr>
        <w:t>סי' כה - כח)</w:t>
      </w:r>
      <w:r>
        <w:rPr>
          <w:rFonts w:cs="Arial"/>
          <w:rtl/>
        </w:rPr>
        <w:t xml:space="preserve"> </w:t>
      </w:r>
      <w:r>
        <w:rPr>
          <w:rFonts w:hint="cs"/>
          <w:rtl/>
        </w:rPr>
        <w:t>וטור-</w:t>
      </w:r>
      <w:r>
        <w:rPr>
          <w:rFonts w:cs="Arial" w:hint="cs"/>
          <w:rtl/>
        </w:rPr>
        <w:t xml:space="preserve"> </w:t>
      </w:r>
      <w:r w:rsidRPr="003C7FB6">
        <w:rPr>
          <w:rFonts w:cs="Arial"/>
          <w:rtl/>
        </w:rPr>
        <w:t>והנושא באיסור דרבנן</w:t>
      </w:r>
      <w:r>
        <w:rPr>
          <w:rFonts w:cs="Arial" w:hint="cs"/>
          <w:rtl/>
        </w:rPr>
        <w:t>,</w:t>
      </w:r>
      <w:r w:rsidRPr="003C7FB6">
        <w:rPr>
          <w:rFonts w:cs="Arial"/>
          <w:rtl/>
        </w:rPr>
        <w:t xml:space="preserve"> כגון שנייה</w:t>
      </w:r>
      <w:r>
        <w:rPr>
          <w:rFonts w:cs="Arial" w:hint="cs"/>
          <w:rtl/>
        </w:rPr>
        <w:t>,</w:t>
      </w:r>
      <w:r w:rsidRPr="003C7FB6">
        <w:rPr>
          <w:rFonts w:cs="Arial"/>
          <w:rtl/>
        </w:rPr>
        <w:t xml:space="preserve"> בין הכיר בה בין לא הכיר בה</w:t>
      </w:r>
      <w:r>
        <w:rPr>
          <w:rStyle w:val="a7"/>
          <w:rFonts w:cs="Arial"/>
          <w:rtl/>
        </w:rPr>
        <w:footnoteReference w:id="3239"/>
      </w:r>
      <w:r w:rsidRPr="003C7FB6">
        <w:rPr>
          <w:rFonts w:cs="Arial"/>
          <w:rtl/>
        </w:rPr>
        <w:t xml:space="preserve"> </w:t>
      </w:r>
      <w:r>
        <w:rPr>
          <w:rFonts w:cs="Arial" w:hint="cs"/>
          <w:rtl/>
        </w:rPr>
        <w:t xml:space="preserve">- </w:t>
      </w:r>
      <w:r w:rsidRPr="003C7FB6">
        <w:rPr>
          <w:rFonts w:cs="Arial"/>
          <w:rtl/>
        </w:rPr>
        <w:t>אין לה מנה ומאתים</w:t>
      </w:r>
      <w:r>
        <w:rPr>
          <w:rFonts w:cs="Arial" w:hint="cs"/>
          <w:rtl/>
        </w:rPr>
        <w:t>,</w:t>
      </w:r>
      <w:r w:rsidRPr="003C7FB6">
        <w:rPr>
          <w:rFonts w:cs="Arial"/>
          <w:rtl/>
        </w:rPr>
        <w:t xml:space="preserve"> ולא מזונו</w:t>
      </w:r>
      <w:r>
        <w:rPr>
          <w:rFonts w:cs="Arial" w:hint="cs"/>
          <w:rtl/>
        </w:rPr>
        <w:t>ת</w:t>
      </w:r>
      <w:r w:rsidRPr="003C7FB6">
        <w:rPr>
          <w:rFonts w:cs="Arial"/>
          <w:rtl/>
        </w:rPr>
        <w:t xml:space="preserve"> לא בחייו ולא אחרי מותו</w:t>
      </w:r>
      <w:r>
        <w:rPr>
          <w:rStyle w:val="a7"/>
          <w:rFonts w:cs="Arial"/>
          <w:rtl/>
        </w:rPr>
        <w:footnoteReference w:id="3240"/>
      </w:r>
      <w:r>
        <w:rPr>
          <w:rFonts w:cs="Arial" w:hint="cs"/>
          <w:rtl/>
        </w:rPr>
        <w:t>,</w:t>
      </w:r>
      <w:r w:rsidRPr="003C7FB6">
        <w:rPr>
          <w:rFonts w:cs="Arial"/>
          <w:rtl/>
        </w:rPr>
        <w:t xml:space="preserve"> ואינו חייב לפדותה ואוכל פירותיה</w:t>
      </w:r>
      <w:r>
        <w:rPr>
          <w:rFonts w:cs="Arial" w:hint="cs"/>
          <w:rtl/>
        </w:rPr>
        <w:t>.</w:t>
      </w:r>
      <w:r w:rsidRPr="003C7FB6">
        <w:rPr>
          <w:rFonts w:cs="Arial"/>
          <w:rtl/>
        </w:rPr>
        <w:t xml:space="preserve"> אבל תוס</w:t>
      </w:r>
      <w:r>
        <w:rPr>
          <w:rFonts w:cs="Arial" w:hint="cs"/>
          <w:rtl/>
        </w:rPr>
        <w:t>פת</w:t>
      </w:r>
      <w:r w:rsidRPr="003C7FB6">
        <w:rPr>
          <w:rFonts w:cs="Arial"/>
          <w:rtl/>
        </w:rPr>
        <w:t xml:space="preserve"> יש לה</w:t>
      </w:r>
      <w:r>
        <w:rPr>
          <w:rFonts w:cs="Arial" w:hint="cs"/>
          <w:rtl/>
        </w:rPr>
        <w:t>.</w:t>
      </w:r>
      <w:r w:rsidRPr="003C7FB6">
        <w:rPr>
          <w:rFonts w:cs="Arial"/>
          <w:rtl/>
        </w:rPr>
        <w:t xml:space="preserve"> ונכסים של נכסי מלוג</w:t>
      </w:r>
      <w:r>
        <w:rPr>
          <w:rFonts w:cs="Arial" w:hint="cs"/>
          <w:rtl/>
        </w:rPr>
        <w:t>,</w:t>
      </w:r>
      <w:r w:rsidRPr="003C7FB6">
        <w:rPr>
          <w:rFonts w:cs="Arial"/>
          <w:rtl/>
        </w:rPr>
        <w:t xml:space="preserve"> מה שהן בעין תטלם</w:t>
      </w:r>
      <w:r>
        <w:rPr>
          <w:rFonts w:cs="Arial" w:hint="cs"/>
          <w:rtl/>
        </w:rPr>
        <w:t>,</w:t>
      </w:r>
      <w:r w:rsidRPr="003C7FB6">
        <w:rPr>
          <w:rFonts w:cs="Arial"/>
          <w:rtl/>
        </w:rPr>
        <w:t xml:space="preserve"> ושאינן בעין אין מוציאין מידו</w:t>
      </w:r>
      <w:r>
        <w:rPr>
          <w:rFonts w:cs="Arial" w:hint="cs"/>
          <w:rtl/>
        </w:rPr>
        <w:t>.</w:t>
      </w:r>
      <w:r w:rsidRPr="003C7FB6">
        <w:rPr>
          <w:rFonts w:cs="Arial"/>
          <w:rtl/>
        </w:rPr>
        <w:t xml:space="preserve"> ושל צאן ברזל אפי' שאינן בעין חייב לשלם לה</w:t>
      </w:r>
      <w:r>
        <w:rPr>
          <w:rFonts w:cs="Arial" w:hint="cs"/>
          <w:sz w:val="16"/>
          <w:szCs w:val="16"/>
          <w:rtl/>
        </w:rPr>
        <w:t xml:space="preserve"> (ל' הטור)</w:t>
      </w:r>
      <w:r w:rsidRPr="00B74416">
        <w:rPr>
          <w:rFonts w:cs="Arial" w:hint="cs"/>
          <w:rtl/>
        </w:rPr>
        <w:t>.</w:t>
      </w:r>
    </w:p>
    <w:p w14:paraId="247B42C6" w14:textId="77777777" w:rsidR="002E5BAD" w:rsidRPr="003B154C" w:rsidRDefault="002E5BAD" w:rsidP="00B75458">
      <w:pPr>
        <w:pStyle w:val="ab"/>
        <w:numPr>
          <w:ilvl w:val="0"/>
          <w:numId w:val="204"/>
        </w:numPr>
      </w:pPr>
      <w:r>
        <w:rPr>
          <w:rFonts w:cs="Arial" w:hint="cs"/>
          <w:rtl/>
        </w:rPr>
        <w:t xml:space="preserve">רמב"ם </w:t>
      </w:r>
      <w:r>
        <w:rPr>
          <w:rFonts w:cs="Arial" w:hint="cs"/>
          <w:sz w:val="16"/>
          <w:szCs w:val="16"/>
          <w:rtl/>
        </w:rPr>
        <w:t>(פכ"ד ה"ב)</w:t>
      </w:r>
      <w:r>
        <w:rPr>
          <w:rFonts w:cs="Arial" w:hint="cs"/>
          <w:rtl/>
        </w:rPr>
        <w:t xml:space="preserve">- </w:t>
      </w:r>
      <w:r w:rsidRPr="009A6A61">
        <w:rPr>
          <w:rFonts w:cs="Arial"/>
          <w:rtl/>
        </w:rPr>
        <w:t>הנושא שנייה בין הכיר בה בין לא הכיר בה</w:t>
      </w:r>
      <w:r>
        <w:rPr>
          <w:rFonts w:cs="Arial" w:hint="cs"/>
          <w:rtl/>
        </w:rPr>
        <w:t xml:space="preserve"> - </w:t>
      </w:r>
      <w:r w:rsidRPr="009A6A61">
        <w:rPr>
          <w:rFonts w:cs="Arial"/>
          <w:rtl/>
        </w:rPr>
        <w:t>אין לה עיקר כתובה ולא תנאי מתנאי כתובה אבל תוספת יש לה</w:t>
      </w:r>
      <w:r>
        <w:rPr>
          <w:rFonts w:cs="Arial" w:hint="cs"/>
          <w:rtl/>
        </w:rPr>
        <w:t>.</w:t>
      </w:r>
      <w:r w:rsidRPr="009A6A61">
        <w:rPr>
          <w:rFonts w:cs="Arial"/>
          <w:rtl/>
        </w:rPr>
        <w:t xml:space="preserve"> ואין לה מזונות ואפילו לאחר מותו</w:t>
      </w:r>
      <w:r>
        <w:rPr>
          <w:rFonts w:cs="Arial" w:hint="cs"/>
          <w:rtl/>
        </w:rPr>
        <w:t>.</w:t>
      </w:r>
      <w:r w:rsidRPr="009A6A61">
        <w:rPr>
          <w:rFonts w:cs="Arial"/>
          <w:rtl/>
        </w:rPr>
        <w:t xml:space="preserve"> וכשכופין אותו ומפרישין ביניהם אין מוציאין מן הבעל פירות שאכל</w:t>
      </w:r>
      <w:r w:rsidRPr="00D85525">
        <w:rPr>
          <w:rFonts w:cs="Arial"/>
          <w:rtl/>
        </w:rPr>
        <w:t xml:space="preserve">. </w:t>
      </w:r>
      <w:r w:rsidRPr="00D85525">
        <w:rPr>
          <w:rFonts w:cs="Arial" w:hint="cs"/>
          <w:color w:val="E36C0A" w:themeColor="accent6" w:themeShade="BF"/>
          <w:rtl/>
        </w:rPr>
        <w:t>(וכ"פ בשו"ע)</w:t>
      </w:r>
    </w:p>
    <w:p w14:paraId="27BD6300"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8BABE7" w14:textId="77777777" w:rsidR="002E5BAD" w:rsidRDefault="002E5BAD" w:rsidP="002E5BAD">
      <w:pPr>
        <w:rPr>
          <w:rtl/>
        </w:rPr>
      </w:pPr>
      <w:r>
        <w:rPr>
          <w:rFonts w:cs="Arial"/>
          <w:rtl/>
        </w:rPr>
        <w:t>שניה, בין הכיר בה בין לא הכיר בה, דינה כדין חייבי לאוין שלא הכיר בה</w:t>
      </w:r>
      <w:r>
        <w:rPr>
          <w:rFonts w:cs="Arial" w:hint="cs"/>
          <w:rtl/>
        </w:rPr>
        <w:t>.</w:t>
      </w:r>
      <w:r>
        <w:rPr>
          <w:rFonts w:cs="Arial"/>
          <w:rtl/>
        </w:rPr>
        <w:t xml:space="preserve"> חוץ מנכסי צאן ברזל ונכסי מלוג, שדינה בהם ככל הנשים</w:t>
      </w:r>
      <w:r>
        <w:rPr>
          <w:rStyle w:val="a7"/>
          <w:rFonts w:cs="Arial"/>
          <w:rtl/>
        </w:rPr>
        <w:footnoteReference w:id="3241"/>
      </w:r>
      <w:r>
        <w:rPr>
          <w:rFonts w:cs="Arial"/>
          <w:rtl/>
        </w:rPr>
        <w:t xml:space="preserve">. </w:t>
      </w:r>
    </w:p>
    <w:p w14:paraId="344E7989" w14:textId="77777777" w:rsidR="002E5BAD" w:rsidRDefault="002E5BAD" w:rsidP="002E5BAD">
      <w:pPr>
        <w:rPr>
          <w:rtl/>
        </w:rPr>
      </w:pPr>
    </w:p>
    <w:p w14:paraId="41995496" w14:textId="77777777" w:rsidR="002E5BAD" w:rsidRDefault="002E5BAD" w:rsidP="002E5BAD">
      <w:pPr>
        <w:pStyle w:val="2"/>
        <w:rPr>
          <w:rtl/>
        </w:rPr>
      </w:pPr>
      <w:r>
        <w:rPr>
          <w:rtl/>
        </w:rPr>
        <w:t>סעיף ה</w:t>
      </w:r>
      <w:r>
        <w:rPr>
          <w:rFonts w:hint="cs"/>
          <w:rtl/>
        </w:rPr>
        <w:t>: ממאנת.</w:t>
      </w:r>
    </w:p>
    <w:p w14:paraId="324ED3D6" w14:textId="77777777" w:rsidR="002E5BAD" w:rsidRDefault="002E5BAD" w:rsidP="002E5BAD">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3242"/>
      </w:r>
      <w:r w:rsidRPr="001D1C27">
        <w:rPr>
          <w:rFonts w:cs="Arial"/>
          <w:rtl/>
        </w:rPr>
        <w:t xml:space="preserve"> ולא פירות</w:t>
      </w:r>
      <w:r>
        <w:rPr>
          <w:rStyle w:val="a7"/>
          <w:rFonts w:cs="Arial"/>
          <w:rtl/>
        </w:rPr>
        <w:footnoteReference w:id="3243"/>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w:t>
      </w:r>
      <w:r>
        <w:rPr>
          <w:rFonts w:cs="Arial" w:hint="cs"/>
          <w:rtl/>
        </w:rPr>
        <w:t>.</w:t>
      </w:r>
      <w:r w:rsidRPr="003A2932">
        <w:rPr>
          <w:rFonts w:cs="Arial"/>
          <w:rtl/>
        </w:rPr>
        <w:t xml:space="preserve">.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אהייא? אילימא אממאנת, אי דאיתנהו, אידי ואידי שקלא! ואי דליתנהו, אידי ואידי לא שקלא!</w:t>
      </w:r>
      <w:r>
        <w:rPr>
          <w:rFonts w:cs="Arial" w:hint="cs"/>
          <w:rtl/>
        </w:rPr>
        <w:t>...</w:t>
      </w:r>
      <w:r w:rsidRPr="00297264">
        <w:rPr>
          <w:rFonts w:cs="Arial"/>
          <w:rtl/>
        </w:rPr>
        <w:t xml:space="preserve">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3244"/>
      </w:r>
      <w:r w:rsidRPr="00EA2802">
        <w:rPr>
          <w:rFonts w:cs="Arial"/>
          <w:rtl/>
        </w:rPr>
        <w:t>.</w:t>
      </w:r>
      <w:r>
        <w:rPr>
          <w:rFonts w:cs="Arial" w:hint="cs"/>
          <w:rtl/>
        </w:rPr>
        <w:t>..</w:t>
      </w:r>
    </w:p>
    <w:p w14:paraId="15218E50" w14:textId="77777777" w:rsidR="002E5BAD" w:rsidRDefault="002E5BAD" w:rsidP="002E5BAD">
      <w:pPr>
        <w:rPr>
          <w:rFonts w:cs="Arial"/>
          <w:rtl/>
        </w:rPr>
      </w:pPr>
      <w:r w:rsidRPr="003A2932">
        <w:rPr>
          <w:rFonts w:cs="Arial" w:hint="cs"/>
          <w:b/>
          <w:bCs/>
          <w:rtl/>
        </w:rPr>
        <w:lastRenderedPageBreak/>
        <w:t xml:space="preserve">כתובות </w:t>
      </w:r>
      <w:r w:rsidRPr="003A2932">
        <w:rPr>
          <w:rFonts w:cs="Arial" w:hint="cs"/>
          <w:b/>
          <w:bCs/>
          <w:sz w:val="16"/>
          <w:szCs w:val="16"/>
          <w:rtl/>
        </w:rPr>
        <w:t>(פ</w:t>
      </w:r>
      <w:r>
        <w:rPr>
          <w:rFonts w:cs="Arial" w:hint="cs"/>
          <w:b/>
          <w:bCs/>
          <w:sz w:val="16"/>
          <w:szCs w:val="16"/>
          <w:rtl/>
        </w:rPr>
        <w:t>'</w:t>
      </w:r>
      <w:r w:rsidRPr="003A2932">
        <w:rPr>
          <w:rFonts w:cs="Arial" w:hint="cs"/>
          <w:b/>
          <w:bCs/>
          <w:sz w:val="16"/>
          <w:szCs w:val="16"/>
          <w:rtl/>
        </w:rPr>
        <w:t xml:space="preserve"> </w:t>
      </w:r>
      <w:r>
        <w:rPr>
          <w:rFonts w:cs="Arial" w:hint="cs"/>
          <w:b/>
          <w:bCs/>
          <w:sz w:val="16"/>
          <w:szCs w:val="16"/>
          <w:rtl/>
        </w:rPr>
        <w:t>שני דייני גזילות</w:t>
      </w:r>
      <w:r w:rsidRPr="003A2932">
        <w:rPr>
          <w:rFonts w:cs="Arial" w:hint="cs"/>
          <w:b/>
          <w:bCs/>
          <w:sz w:val="16"/>
          <w:szCs w:val="16"/>
          <w:rtl/>
        </w:rPr>
        <w:t xml:space="preserve">) </w:t>
      </w:r>
      <w:r w:rsidRPr="003A2932">
        <w:rPr>
          <w:rFonts w:cs="Arial" w:hint="cs"/>
          <w:b/>
          <w:bCs/>
          <w:rtl/>
        </w:rPr>
        <w:t>ק</w:t>
      </w:r>
      <w:r>
        <w:rPr>
          <w:rFonts w:cs="Arial" w:hint="cs"/>
          <w:b/>
          <w:bCs/>
          <w:rtl/>
        </w:rPr>
        <w:t>ז</w:t>
      </w:r>
      <w:r w:rsidRPr="003A2932">
        <w:rPr>
          <w:rFonts w:cs="Arial" w:hint="cs"/>
          <w:b/>
          <w:bCs/>
          <w:rtl/>
        </w:rPr>
        <w:t xml:space="preserve"> ע"ב:</w:t>
      </w:r>
      <w:r>
        <w:rPr>
          <w:rFonts w:cs="Arial" w:hint="cs"/>
          <w:rtl/>
        </w:rPr>
        <w:t xml:space="preserve"> </w:t>
      </w:r>
      <w:r w:rsidRPr="004E22C7">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Pr>
          <w:rFonts w:cs="Arial" w:hint="cs"/>
          <w:rtl/>
        </w:rPr>
        <w:t>.</w:t>
      </w:r>
      <w:r w:rsidRPr="004E22C7">
        <w:rPr>
          <w:rFonts w:cs="Arial"/>
          <w:rtl/>
        </w:rPr>
        <w:t xml:space="preserve"> </w:t>
      </w:r>
      <w:r w:rsidRPr="004E22C7">
        <w:rPr>
          <w:rFonts w:cs="Arial" w:hint="cs"/>
          <w:sz w:val="16"/>
          <w:szCs w:val="16"/>
          <w:rtl/>
        </w:rPr>
        <w:t>(</w:t>
      </w:r>
      <w:r w:rsidRPr="004E22C7">
        <w:rPr>
          <w:rFonts w:cs="Arial"/>
          <w:sz w:val="16"/>
          <w:szCs w:val="16"/>
          <w:rtl/>
        </w:rPr>
        <w:t>וכתב הרא"ש בפרק אלמנה נזונת (שם) הא דקתני אין לה פירות מפרש אין לה פרקונה שהוא תחת פירות וגם אין משלם פירות שאכל אף על פי שלא נתחייב בפרקונה</w:t>
      </w:r>
      <w:r w:rsidRPr="004E22C7">
        <w:rPr>
          <w:rFonts w:cs="Arial" w:hint="cs"/>
          <w:sz w:val="16"/>
          <w:szCs w:val="16"/>
          <w:rtl/>
        </w:rPr>
        <w:t>.</w:t>
      </w:r>
      <w:r w:rsidRPr="004E22C7">
        <w:rPr>
          <w:rFonts w:cs="Arial"/>
          <w:sz w:val="16"/>
          <w:szCs w:val="16"/>
          <w:rtl/>
        </w:rPr>
        <w:t xml:space="preserve"> ובשנייה ואילונית ניחא</w:t>
      </w:r>
      <w:r w:rsidRPr="004E22C7">
        <w:rPr>
          <w:rFonts w:cs="Arial" w:hint="cs"/>
          <w:sz w:val="16"/>
          <w:szCs w:val="16"/>
          <w:rtl/>
        </w:rPr>
        <w:t>,</w:t>
      </w:r>
      <w:r w:rsidRPr="004E22C7">
        <w:rPr>
          <w:rFonts w:cs="Arial"/>
          <w:sz w:val="16"/>
          <w:szCs w:val="16"/>
          <w:rtl/>
        </w:rPr>
        <w:t xml:space="preserve"> אבל בממאנת מאי אין לה פירות</w:t>
      </w:r>
      <w:r w:rsidRPr="004E22C7">
        <w:rPr>
          <w:rFonts w:cs="Arial" w:hint="cs"/>
          <w:sz w:val="16"/>
          <w:szCs w:val="16"/>
          <w:rtl/>
        </w:rPr>
        <w:t>?</w:t>
      </w:r>
      <w:r w:rsidRPr="004E22C7">
        <w:rPr>
          <w:rFonts w:cs="Arial"/>
          <w:sz w:val="16"/>
          <w:szCs w:val="16"/>
          <w:rtl/>
        </w:rPr>
        <w:t xml:space="preserve"> אין לומר תקנת פירות</w:t>
      </w:r>
      <w:r w:rsidRPr="004E22C7">
        <w:rPr>
          <w:rFonts w:cs="Arial" w:hint="cs"/>
          <w:sz w:val="16"/>
          <w:szCs w:val="16"/>
          <w:rtl/>
        </w:rPr>
        <w:t>,</w:t>
      </w:r>
      <w:r w:rsidRPr="004E22C7">
        <w:rPr>
          <w:rFonts w:cs="Arial"/>
          <w:sz w:val="16"/>
          <w:szCs w:val="16"/>
          <w:rtl/>
        </w:rPr>
        <w:t xml:space="preserve"> דהיינו פרקונה</w:t>
      </w:r>
      <w:r w:rsidRPr="004E22C7">
        <w:rPr>
          <w:rFonts w:cs="Arial" w:hint="cs"/>
          <w:sz w:val="16"/>
          <w:szCs w:val="16"/>
          <w:rtl/>
        </w:rPr>
        <w:t>,</w:t>
      </w:r>
      <w:r w:rsidRPr="004E22C7">
        <w:rPr>
          <w:rFonts w:cs="Arial"/>
          <w:sz w:val="16"/>
          <w:szCs w:val="16"/>
          <w:rtl/>
        </w:rPr>
        <w:t xml:space="preserve"> דבעודה יושבת תחתיו פשיטא דאם נשבית חייב לפדותה</w:t>
      </w:r>
      <w:r w:rsidRPr="004E22C7">
        <w:rPr>
          <w:rFonts w:cs="Arial" w:hint="cs"/>
          <w:sz w:val="16"/>
          <w:szCs w:val="16"/>
          <w:rtl/>
        </w:rPr>
        <w:t>,</w:t>
      </w:r>
      <w:r w:rsidRPr="004E22C7">
        <w:rPr>
          <w:rFonts w:cs="Arial"/>
          <w:sz w:val="16"/>
          <w:szCs w:val="16"/>
          <w:rtl/>
        </w:rPr>
        <w:t xml:space="preserve"> ואי מיאנה ואח"כ נשבית פשיטא דאינו חייב לפדותה</w:t>
      </w:r>
      <w:r w:rsidRPr="004E22C7">
        <w:rPr>
          <w:rFonts w:cs="Arial" w:hint="cs"/>
          <w:sz w:val="16"/>
          <w:szCs w:val="16"/>
          <w:rtl/>
        </w:rPr>
        <w:t>,</w:t>
      </w:r>
      <w:r w:rsidRPr="004E22C7">
        <w:rPr>
          <w:rFonts w:cs="Arial"/>
          <w:sz w:val="16"/>
          <w:szCs w:val="16"/>
          <w:rtl/>
        </w:rPr>
        <w:t xml:space="preserve"> ואם נשבית ומיאנה ועודה שבויה פשיטא דאין חייב לפדותה</w:t>
      </w:r>
      <w:r w:rsidRPr="004E22C7">
        <w:rPr>
          <w:rFonts w:cs="Arial" w:hint="cs"/>
          <w:sz w:val="16"/>
          <w:szCs w:val="16"/>
          <w:rtl/>
        </w:rPr>
        <w:t>.</w:t>
      </w:r>
      <w:r w:rsidRPr="004E22C7">
        <w:rPr>
          <w:rFonts w:cs="Arial"/>
          <w:sz w:val="16"/>
          <w:szCs w:val="16"/>
          <w:rtl/>
        </w:rPr>
        <w:t xml:space="preserve"> ובפירות שאכל נמי אין לפרש</w:t>
      </w:r>
      <w:r w:rsidRPr="004E22C7">
        <w:rPr>
          <w:rFonts w:cs="Arial" w:hint="cs"/>
          <w:sz w:val="16"/>
          <w:szCs w:val="16"/>
          <w:rtl/>
        </w:rPr>
        <w:t>,</w:t>
      </w:r>
      <w:r w:rsidRPr="004E22C7">
        <w:rPr>
          <w:rFonts w:cs="Arial"/>
          <w:sz w:val="16"/>
          <w:szCs w:val="16"/>
          <w:rtl/>
        </w:rPr>
        <w:t xml:space="preserve"> דאפילו קרן גופיה אם אכלו אין לה</w:t>
      </w:r>
      <w:r w:rsidRPr="004E22C7">
        <w:rPr>
          <w:rFonts w:cs="Arial" w:hint="cs"/>
          <w:sz w:val="16"/>
          <w:szCs w:val="16"/>
          <w:rtl/>
        </w:rPr>
        <w:t>,</w:t>
      </w:r>
      <w:r w:rsidRPr="004E22C7">
        <w:rPr>
          <w:rFonts w:cs="Arial"/>
          <w:sz w:val="16"/>
          <w:szCs w:val="16"/>
          <w:rtl/>
        </w:rPr>
        <w:t xml:space="preserve"> דאמרינן בגמרא (קא.) אי דליתנהו אידי ואידי לית לה</w:t>
      </w:r>
      <w:r w:rsidRPr="004E22C7">
        <w:rPr>
          <w:rFonts w:cs="Arial" w:hint="cs"/>
          <w:sz w:val="16"/>
          <w:szCs w:val="16"/>
          <w:rtl/>
        </w:rPr>
        <w:t>.</w:t>
      </w:r>
      <w:r w:rsidRPr="004E22C7">
        <w:rPr>
          <w:rFonts w:cs="Arial"/>
          <w:sz w:val="16"/>
          <w:szCs w:val="16"/>
          <w:rtl/>
        </w:rPr>
        <w:t xml:space="preserve"> ואיצטריך לאשמועינן דאין לה פירות שליקט אפילו הן מונחים בעין בתוך ביתו</w:t>
      </w:r>
      <w:r w:rsidRPr="004E22C7">
        <w:rPr>
          <w:rFonts w:cs="Arial" w:hint="cs"/>
          <w:sz w:val="16"/>
          <w:szCs w:val="16"/>
          <w:rtl/>
        </w:rPr>
        <w:t>.</w:t>
      </w:r>
      <w:r w:rsidRPr="004E22C7">
        <w:rPr>
          <w:rFonts w:cs="Arial"/>
          <w:sz w:val="16"/>
          <w:szCs w:val="16"/>
          <w:rtl/>
        </w:rPr>
        <w:t xml:space="preserve"> ועוד יש לפרש תקנת פירות כגון שנשבית ולוותה ופדתה את עצמה ואח"כ מיאנה</w:t>
      </w:r>
      <w:r w:rsidRPr="004E22C7">
        <w:rPr>
          <w:rFonts w:cs="Arial" w:hint="cs"/>
          <w:sz w:val="16"/>
          <w:szCs w:val="16"/>
          <w:rtl/>
        </w:rPr>
        <w:t>,</w:t>
      </w:r>
      <w:r w:rsidRPr="004E22C7">
        <w:rPr>
          <w:rFonts w:cs="Arial"/>
          <w:sz w:val="16"/>
          <w:szCs w:val="16"/>
          <w:rtl/>
        </w:rPr>
        <w:t xml:space="preserve"> דומיא דמזונות דמפרש בפרק שני דייני גזילות ע"כ</w:t>
      </w:r>
      <w:r>
        <w:rPr>
          <w:rFonts w:cs="Arial" w:hint="cs"/>
          <w:sz w:val="16"/>
          <w:szCs w:val="16"/>
          <w:rtl/>
        </w:rPr>
        <w:t>, ב"י)</w:t>
      </w:r>
      <w:r w:rsidRPr="00BE01BB">
        <w:rPr>
          <w:rFonts w:cs="Arial"/>
          <w:rtl/>
        </w:rPr>
        <w:t xml:space="preserve"> </w:t>
      </w:r>
    </w:p>
    <w:p w14:paraId="435D572C" w14:textId="77777777" w:rsidR="002E5BAD" w:rsidRPr="00EE4C94" w:rsidRDefault="002E5BAD" w:rsidP="002E5BAD">
      <w:pPr>
        <w:rPr>
          <w:u w:val="single"/>
          <w:rtl/>
        </w:rPr>
      </w:pPr>
      <w:r w:rsidRPr="00EE4C94">
        <w:rPr>
          <w:rFonts w:hint="cs"/>
          <w:u w:val="single"/>
          <w:rtl/>
        </w:rPr>
        <w:t xml:space="preserve">ממאנת </w:t>
      </w:r>
      <w:r w:rsidRPr="00EE4C94">
        <w:rPr>
          <w:u w:val="single"/>
          <w:rtl/>
        </w:rPr>
        <w:t>–</w:t>
      </w:r>
      <w:r w:rsidRPr="00EE4C94">
        <w:rPr>
          <w:rFonts w:hint="cs"/>
          <w:u w:val="single"/>
          <w:rtl/>
        </w:rPr>
        <w:t xml:space="preserve"> במה יוצאת:</w:t>
      </w:r>
    </w:p>
    <w:p w14:paraId="6EE61117" w14:textId="77777777" w:rsidR="002E5BAD" w:rsidRPr="00BE01BB" w:rsidRDefault="002E5BAD" w:rsidP="00B75458">
      <w:pPr>
        <w:pStyle w:val="ab"/>
        <w:numPr>
          <w:ilvl w:val="0"/>
          <w:numId w:val="204"/>
        </w:numPr>
        <w:rPr>
          <w:rtl/>
        </w:rPr>
      </w:pPr>
      <w:r>
        <w:rPr>
          <w:rFonts w:hint="cs"/>
          <w:rtl/>
        </w:rPr>
        <w:t>טור-</w:t>
      </w:r>
      <w:r>
        <w:rPr>
          <w:rFonts w:cs="Arial" w:hint="cs"/>
          <w:rtl/>
        </w:rPr>
        <w:t xml:space="preserve"> </w:t>
      </w:r>
      <w:r w:rsidRPr="003C7FB6">
        <w:rPr>
          <w:rFonts w:cs="Arial"/>
          <w:rtl/>
        </w:rPr>
        <w:t>קטנה היוצא</w:t>
      </w:r>
      <w:r>
        <w:rPr>
          <w:rFonts w:cs="Arial" w:hint="cs"/>
          <w:rtl/>
        </w:rPr>
        <w:t>ת</w:t>
      </w:r>
      <w:r w:rsidRPr="003C7FB6">
        <w:rPr>
          <w:rFonts w:cs="Arial"/>
          <w:rtl/>
        </w:rPr>
        <w:t xml:space="preserve"> במיאון אין לה מנה מאתים</w:t>
      </w:r>
      <w:r>
        <w:rPr>
          <w:rFonts w:cs="Arial" w:hint="cs"/>
          <w:rtl/>
        </w:rPr>
        <w:t>,</w:t>
      </w:r>
      <w:r w:rsidRPr="003C7FB6">
        <w:rPr>
          <w:rFonts w:cs="Arial"/>
          <w:rtl/>
        </w:rPr>
        <w:t xml:space="preserve"> אבל יש לה תוס</w:t>
      </w:r>
      <w:r>
        <w:rPr>
          <w:rFonts w:cs="Arial" w:hint="cs"/>
          <w:rtl/>
        </w:rPr>
        <w:t>פת,</w:t>
      </w:r>
      <w:r w:rsidRPr="003C7FB6">
        <w:rPr>
          <w:rFonts w:cs="Arial"/>
          <w:rtl/>
        </w:rPr>
        <w:t xml:space="preserve"> וחייב לזונה ולפדותה כל זמן שהיא תחתיו</w:t>
      </w:r>
      <w:r>
        <w:rPr>
          <w:rFonts w:cs="Arial" w:hint="cs"/>
          <w:rtl/>
        </w:rPr>
        <w:t>,</w:t>
      </w:r>
      <w:r w:rsidRPr="003C7FB6">
        <w:rPr>
          <w:rFonts w:cs="Arial"/>
          <w:rtl/>
        </w:rPr>
        <w:t xml:space="preserve"> ואוכל פירותיה</w:t>
      </w:r>
      <w:r>
        <w:rPr>
          <w:rFonts w:cs="Arial" w:hint="cs"/>
          <w:rtl/>
        </w:rPr>
        <w:t>.</w:t>
      </w:r>
      <w:r w:rsidRPr="003C7FB6">
        <w:rPr>
          <w:rFonts w:cs="Arial"/>
          <w:rtl/>
        </w:rPr>
        <w:t xml:space="preserve"> אבל אם הלך למדינת הים ולותה ואכלה למזונותיה או לפדיונה ואח"כ מיאנה </w:t>
      </w:r>
      <w:r>
        <w:rPr>
          <w:rFonts w:cs="Arial" w:hint="cs"/>
          <w:rtl/>
        </w:rPr>
        <w:t xml:space="preserve">- </w:t>
      </w:r>
      <w:r w:rsidRPr="003C7FB6">
        <w:rPr>
          <w:rFonts w:cs="Arial"/>
          <w:rtl/>
        </w:rPr>
        <w:t>אינו חייב לשלם</w:t>
      </w:r>
      <w:r>
        <w:rPr>
          <w:rFonts w:cs="Arial" w:hint="cs"/>
          <w:rtl/>
        </w:rPr>
        <w:t>,</w:t>
      </w:r>
      <w:r w:rsidRPr="003C7FB6">
        <w:rPr>
          <w:rFonts w:cs="Arial"/>
          <w:rtl/>
        </w:rPr>
        <w:t xml:space="preserve"> אף על פי שאכל פירותיה ואפי</w:t>
      </w:r>
      <w:r>
        <w:rPr>
          <w:rFonts w:cs="Arial" w:hint="cs"/>
          <w:rtl/>
        </w:rPr>
        <w:t>לו</w:t>
      </w:r>
      <w:r w:rsidRPr="003C7FB6">
        <w:rPr>
          <w:rFonts w:cs="Arial"/>
          <w:rtl/>
        </w:rPr>
        <w:t xml:space="preserve"> הן בעין עדיין שלקטן ומונחים ברשותו אינו נותנן</w:t>
      </w:r>
      <w:r>
        <w:rPr>
          <w:rStyle w:val="a7"/>
          <w:rFonts w:cs="Arial"/>
          <w:rtl/>
        </w:rPr>
        <w:footnoteReference w:id="3245"/>
      </w:r>
      <w:r>
        <w:rPr>
          <w:rFonts w:cs="Arial" w:hint="cs"/>
          <w:rtl/>
        </w:rPr>
        <w:t>.</w:t>
      </w:r>
      <w:r>
        <w:rPr>
          <w:rFonts w:hint="cs"/>
          <w:color w:val="E36C0A" w:themeColor="accent6" w:themeShade="BF"/>
          <w:rtl/>
        </w:rPr>
        <w:t xml:space="preserve"> </w:t>
      </w:r>
      <w:r w:rsidRPr="00544E63">
        <w:rPr>
          <w:rFonts w:hint="cs"/>
          <w:color w:val="E36C0A" w:themeColor="accent6" w:themeShade="BF"/>
          <w:rtl/>
        </w:rPr>
        <w:t>(וכ"פ בשו"ע)</w:t>
      </w:r>
    </w:p>
    <w:p w14:paraId="0B2AA4F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06F962" w14:textId="77777777" w:rsidR="002E5BAD" w:rsidRDefault="002E5BAD" w:rsidP="002E5BAD">
      <w:pPr>
        <w:rPr>
          <w:rFonts w:cs="Arial"/>
          <w:rtl/>
        </w:rPr>
      </w:pPr>
      <w:r>
        <w:rPr>
          <w:rFonts w:cs="Arial"/>
          <w:rtl/>
        </w:rPr>
        <w:t>הממאנת, אין לה מנה ומאתים אבל יש לה תוספת</w:t>
      </w:r>
      <w:r>
        <w:rPr>
          <w:rStyle w:val="a7"/>
          <w:rFonts w:cs="Arial"/>
          <w:rtl/>
        </w:rPr>
        <w:footnoteReference w:id="3246"/>
      </w:r>
      <w:r>
        <w:rPr>
          <w:rFonts w:cs="Arial" w:hint="cs"/>
          <w:rtl/>
        </w:rPr>
        <w:t>.</w:t>
      </w:r>
      <w:r>
        <w:rPr>
          <w:rFonts w:cs="Arial"/>
          <w:rtl/>
        </w:rPr>
        <w:t xml:space="preserve"> וחייב לזונה ולפדותה כל זמן שהיא תחתיו</w:t>
      </w:r>
      <w:r>
        <w:rPr>
          <w:rFonts w:cs="Arial" w:hint="cs"/>
          <w:rtl/>
        </w:rPr>
        <w:t>,</w:t>
      </w:r>
      <w:r>
        <w:rPr>
          <w:rFonts w:cs="Arial"/>
          <w:rtl/>
        </w:rPr>
        <w:t xml:space="preserve"> ואוכל פירותיה</w:t>
      </w:r>
      <w:r>
        <w:rPr>
          <w:rFonts w:cs="Arial" w:hint="cs"/>
          <w:rtl/>
        </w:rPr>
        <w:t>.</w:t>
      </w:r>
      <w:r>
        <w:rPr>
          <w:rFonts w:cs="Arial"/>
          <w:rtl/>
        </w:rPr>
        <w:t xml:space="preserve"> אבל אם הלך למדינת הים ולותה למזונותיה או לפדיונה ואח</w:t>
      </w:r>
      <w:r>
        <w:rPr>
          <w:rFonts w:cs="Arial" w:hint="cs"/>
          <w:rtl/>
        </w:rPr>
        <w:t>ר כך</w:t>
      </w:r>
      <w:r>
        <w:rPr>
          <w:rFonts w:cs="Arial"/>
          <w:rtl/>
        </w:rPr>
        <w:t xml:space="preserve"> מיאנה, אינו חייב לשלם אף על פי שאכל פירותיה, ואפילו הם בעין. </w:t>
      </w:r>
    </w:p>
    <w:p w14:paraId="6C9A0F26" w14:textId="77777777" w:rsidR="002E5BAD" w:rsidRDefault="002E5BAD" w:rsidP="002E5BAD">
      <w:pPr>
        <w:rPr>
          <w:rtl/>
        </w:rPr>
      </w:pPr>
    </w:p>
    <w:p w14:paraId="6D440A08" w14:textId="77777777" w:rsidR="002E5BAD" w:rsidRDefault="002E5BAD" w:rsidP="002E5BAD">
      <w:pPr>
        <w:pStyle w:val="2"/>
        <w:rPr>
          <w:rtl/>
        </w:rPr>
      </w:pPr>
      <w:r>
        <w:rPr>
          <w:rtl/>
        </w:rPr>
        <w:t>סעיף ו</w:t>
      </w:r>
      <w:r>
        <w:rPr>
          <w:rFonts w:hint="cs"/>
          <w:rtl/>
        </w:rPr>
        <w:t>: קטנה היוצאת בגט.</w:t>
      </w:r>
    </w:p>
    <w:p w14:paraId="6641BE07" w14:textId="77777777" w:rsidR="002E5BAD" w:rsidRPr="009A6A61" w:rsidRDefault="002E5BAD" w:rsidP="002E5BAD">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ק ע"ב:</w:t>
      </w:r>
      <w:r w:rsidRPr="009A6A61">
        <w:rPr>
          <w:rFonts w:cs="Arial"/>
          <w:rtl/>
        </w:rPr>
        <w:t xml:space="preserve"> </w:t>
      </w:r>
      <w:r w:rsidRPr="009A6A61">
        <w:rPr>
          <w:rFonts w:cs="Arial"/>
          <w:u w:val="single"/>
          <w:rtl/>
        </w:rPr>
        <w:t>רב תני</w:t>
      </w:r>
      <w:r w:rsidRPr="009A6A61">
        <w:rPr>
          <w:rFonts w:cs="Arial"/>
          <w:rtl/>
        </w:rPr>
        <w:t>: קטנה יוצאה בגט - אין לה כתובה, וכל שכן ממאנת</w:t>
      </w:r>
      <w:r>
        <w:rPr>
          <w:rFonts w:cs="Arial" w:hint="cs"/>
          <w:rtl/>
        </w:rPr>
        <w:t>.</w:t>
      </w:r>
      <w:r w:rsidRPr="009A6A61">
        <w:rPr>
          <w:rFonts w:cs="Arial"/>
          <w:rtl/>
        </w:rPr>
        <w:t xml:space="preserve"> </w:t>
      </w:r>
      <w:r w:rsidRPr="00544E63">
        <w:rPr>
          <w:rFonts w:cs="Arial"/>
          <w:u w:val="single"/>
          <w:rtl/>
        </w:rPr>
        <w:t>שמואל תני</w:t>
      </w:r>
      <w:r w:rsidRPr="009A6A61">
        <w:rPr>
          <w:rFonts w:cs="Arial"/>
          <w:rtl/>
        </w:rPr>
        <w:t>: ממאנת - אין לה כתובה, אבל יוצאה בגט - יש לה כתובה.</w:t>
      </w:r>
      <w:r w:rsidRPr="00544E63">
        <w:rPr>
          <w:rFonts w:cs="Arial"/>
          <w:rtl/>
        </w:rPr>
        <w:t xml:space="preserve"> </w:t>
      </w:r>
      <w:r>
        <w:rPr>
          <w:rFonts w:cs="Arial" w:hint="cs"/>
          <w:sz w:val="16"/>
          <w:szCs w:val="16"/>
          <w:rtl/>
        </w:rPr>
        <w:t>(</w:t>
      </w:r>
      <w:r w:rsidRPr="00544E63">
        <w:rPr>
          <w:rFonts w:cs="Arial"/>
          <w:sz w:val="16"/>
          <w:szCs w:val="16"/>
          <w:rtl/>
        </w:rPr>
        <w:t>ופסקו הפוסקים הלכה כשמואל</w:t>
      </w:r>
      <w:r w:rsidRPr="00544E63">
        <w:rPr>
          <w:rFonts w:hint="cs"/>
          <w:sz w:val="16"/>
          <w:szCs w:val="16"/>
          <w:rtl/>
        </w:rPr>
        <w:t>, ב"י)</w:t>
      </w:r>
    </w:p>
    <w:p w14:paraId="03240CC1" w14:textId="77777777" w:rsidR="002E5BAD" w:rsidRPr="009A6A61" w:rsidRDefault="002E5BAD" w:rsidP="002E5BAD">
      <w:pPr>
        <w:rPr>
          <w:u w:val="single"/>
          <w:rtl/>
        </w:rPr>
      </w:pPr>
      <w:r w:rsidRPr="009A6A61">
        <w:rPr>
          <w:rFonts w:hint="cs"/>
          <w:u w:val="single"/>
          <w:rtl/>
        </w:rPr>
        <w:t>קטנה היוצאת בגט:</w:t>
      </w:r>
    </w:p>
    <w:p w14:paraId="190A0568" w14:textId="77777777" w:rsidR="002E5BAD" w:rsidRDefault="002E5BAD" w:rsidP="00B75458">
      <w:pPr>
        <w:pStyle w:val="ab"/>
        <w:numPr>
          <w:ilvl w:val="0"/>
          <w:numId w:val="204"/>
        </w:numPr>
      </w:pPr>
      <w:r>
        <w:rPr>
          <w:rFonts w:hint="cs"/>
          <w:rtl/>
        </w:rPr>
        <w:t>טור-</w:t>
      </w:r>
      <w:r w:rsidRPr="003C7FB6">
        <w:rPr>
          <w:rFonts w:cs="Arial"/>
          <w:rtl/>
        </w:rPr>
        <w:t xml:space="preserve"> וקטנה היוצאת בגט </w:t>
      </w:r>
      <w:r>
        <w:rPr>
          <w:rFonts w:cs="Arial" w:hint="cs"/>
          <w:rtl/>
        </w:rPr>
        <w:t xml:space="preserve">- </w:t>
      </w:r>
      <w:r w:rsidRPr="003C7FB6">
        <w:rPr>
          <w:rFonts w:cs="Arial"/>
          <w:rtl/>
        </w:rPr>
        <w:t>דינה כגדולה היוצאת בגט</w:t>
      </w:r>
      <w:r>
        <w:rPr>
          <w:rFonts w:cs="Arial" w:hint="cs"/>
          <w:rtl/>
        </w:rPr>
        <w:t>.</w:t>
      </w:r>
      <w:r>
        <w:rPr>
          <w:rFonts w:hint="cs"/>
          <w:rtl/>
        </w:rPr>
        <w:t xml:space="preserve"> </w:t>
      </w:r>
      <w:r w:rsidRPr="00544E63">
        <w:rPr>
          <w:rFonts w:hint="cs"/>
          <w:color w:val="E36C0A" w:themeColor="accent6" w:themeShade="BF"/>
          <w:rtl/>
        </w:rPr>
        <w:t>(וכ"פ בשו"ע)</w:t>
      </w:r>
    </w:p>
    <w:p w14:paraId="307E309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1AD81C" w14:textId="77777777" w:rsidR="002E5BAD" w:rsidRPr="007A3469" w:rsidRDefault="002E5BAD" w:rsidP="002E5BAD">
      <w:pPr>
        <w:rPr>
          <w:rtl/>
        </w:rPr>
        <w:sectPr w:rsidR="002E5BAD" w:rsidRPr="007A3469" w:rsidSect="00A347B3">
          <w:headerReference w:type="default" r:id="rId73"/>
          <w:footnotePr>
            <w:numRestart w:val="eachPage"/>
          </w:footnotePr>
          <w:pgSz w:w="11906" w:h="16838"/>
          <w:pgMar w:top="720" w:right="1134" w:bottom="720" w:left="1134" w:header="0" w:footer="0" w:gutter="0"/>
          <w:cols w:space="720"/>
          <w:bidi/>
          <w:rtlGutter/>
          <w:docGrid w:linePitch="360"/>
        </w:sectPr>
      </w:pPr>
      <w:r>
        <w:rPr>
          <w:rFonts w:cs="Arial"/>
          <w:rtl/>
        </w:rPr>
        <w:t>קטנה היוצאת בגט, דינה כגדולה היוצאת בגט.</w:t>
      </w:r>
    </w:p>
    <w:p w14:paraId="44E1A069" w14:textId="77777777" w:rsidR="002E5BAD" w:rsidRDefault="002E5BAD" w:rsidP="002E5BAD">
      <w:pPr>
        <w:pStyle w:val="1"/>
        <w:rPr>
          <w:rtl/>
        </w:rPr>
      </w:pPr>
      <w:r>
        <w:rPr>
          <w:rFonts w:hint="cs"/>
          <w:rtl/>
        </w:rPr>
        <w:lastRenderedPageBreak/>
        <w:t>סימן קיז:</w:t>
      </w:r>
      <w:r w:rsidRPr="00C12B74">
        <w:rPr>
          <w:rtl/>
        </w:rPr>
        <w:t xml:space="preserve"> </w:t>
      </w:r>
      <w:r>
        <w:rPr>
          <w:rFonts w:cs="Arial"/>
          <w:rtl/>
        </w:rPr>
        <w:t xml:space="preserve">דין כתובה באשה שאין לה וסת או שאר מומין ודין קטלנית, ובו י"א סעיפים. </w:t>
      </w:r>
    </w:p>
    <w:p w14:paraId="1ED3A7E6" w14:textId="77777777" w:rsidR="002E5BAD" w:rsidRDefault="002E5BAD" w:rsidP="002E5BAD">
      <w:pPr>
        <w:pStyle w:val="2"/>
        <w:rPr>
          <w:rtl/>
        </w:rPr>
      </w:pPr>
      <w:r>
        <w:rPr>
          <w:rtl/>
        </w:rPr>
        <w:t>סעיף א</w:t>
      </w:r>
      <w:r>
        <w:rPr>
          <w:rFonts w:hint="cs"/>
          <w:rtl/>
        </w:rPr>
        <w:t>:</w:t>
      </w:r>
      <w:r w:rsidRPr="00E45F61">
        <w:rPr>
          <w:rFonts w:cs="Arial"/>
          <w:rtl/>
        </w:rPr>
        <w:t xml:space="preserve"> </w:t>
      </w:r>
      <w:r>
        <w:rPr>
          <w:rFonts w:cs="Arial"/>
          <w:rtl/>
        </w:rPr>
        <w:t>אשה שאין לה וסת</w:t>
      </w:r>
      <w:r>
        <w:rPr>
          <w:rFonts w:hint="cs"/>
          <w:rtl/>
        </w:rPr>
        <w:t xml:space="preserve"> קבוע שראתה דם מחמת תשמיש ג"פ.</w:t>
      </w:r>
    </w:p>
    <w:p w14:paraId="38DCEE88" w14:textId="77777777" w:rsidR="002E5BAD" w:rsidRPr="00F730D9" w:rsidRDefault="002E5BAD" w:rsidP="002E5BAD">
      <w:pPr>
        <w:rPr>
          <w:rFonts w:cs="Arial"/>
          <w:sz w:val="16"/>
          <w:szCs w:val="16"/>
          <w:rtl/>
        </w:rPr>
      </w:pPr>
      <w:r w:rsidRPr="009D028B">
        <w:rPr>
          <w:rFonts w:cs="Arial" w:hint="cs"/>
          <w:b/>
          <w:bCs/>
          <w:rtl/>
        </w:rPr>
        <w:t xml:space="preserve">נדה </w:t>
      </w:r>
      <w:r w:rsidRPr="009D028B">
        <w:rPr>
          <w:rFonts w:cs="Arial" w:hint="cs"/>
          <w:b/>
          <w:bCs/>
          <w:sz w:val="16"/>
          <w:szCs w:val="16"/>
          <w:rtl/>
        </w:rPr>
        <w:t xml:space="preserve">(ספ"ק) </w:t>
      </w:r>
      <w:r w:rsidRPr="009D028B">
        <w:rPr>
          <w:rFonts w:cs="Arial" w:hint="cs"/>
          <w:b/>
          <w:bCs/>
          <w:rtl/>
        </w:rPr>
        <w:t xml:space="preserve">יב ע"ב: </w:t>
      </w:r>
      <w:r w:rsidRPr="009D028B">
        <w:rPr>
          <w:rFonts w:cs="Arial"/>
          <w:rtl/>
        </w:rPr>
        <w:t>ת"ר</w:t>
      </w:r>
      <w:r>
        <w:rPr>
          <w:rFonts w:cs="Arial" w:hint="cs"/>
          <w:rtl/>
        </w:rPr>
        <w:t>:</w:t>
      </w:r>
      <w:r w:rsidRPr="009D028B">
        <w:rPr>
          <w:rFonts w:cs="Arial"/>
          <w:rtl/>
        </w:rPr>
        <w:t xml:space="preserve"> אשה שאין לה וסת - אסורה לשַמֵש, ואין לה לא כתובה ולא פירות ולא מזונות ולא בלאות, ויוציא ולא מחזיר עולמית - </w:t>
      </w:r>
      <w:r w:rsidRPr="009D028B">
        <w:rPr>
          <w:rFonts w:cs="Arial"/>
          <w:u w:val="single"/>
          <w:rtl/>
        </w:rPr>
        <w:t>דברי ר"מ</w:t>
      </w:r>
      <w:r w:rsidRPr="009D028B">
        <w:rPr>
          <w:rFonts w:cs="Arial"/>
          <w:rtl/>
        </w:rPr>
        <w:t xml:space="preserve">. </w:t>
      </w:r>
      <w:r w:rsidRPr="009D028B">
        <w:rPr>
          <w:rFonts w:cs="Arial"/>
          <w:u w:val="single"/>
          <w:rtl/>
        </w:rPr>
        <w:t>רבי חנינא בן אנטיגנוס אומר</w:t>
      </w:r>
      <w:r w:rsidRPr="009D028B">
        <w:rPr>
          <w:rFonts w:cs="Arial"/>
          <w:rtl/>
        </w:rPr>
        <w:t xml:space="preserve">: משמשת בשני עדים, הן עותוה הן תקנוה. </w:t>
      </w:r>
      <w:r w:rsidRPr="009D028B">
        <w:rPr>
          <w:rFonts w:cs="Arial"/>
          <w:u w:val="single"/>
          <w:rtl/>
        </w:rPr>
        <w:t>משום אבא חנן אמרו</w:t>
      </w:r>
      <w:r w:rsidRPr="009D028B">
        <w:rPr>
          <w:rFonts w:cs="Arial"/>
          <w:rtl/>
        </w:rPr>
        <w:t>: אוי לו לבעלה. אסורה לשמש - דילמא מקלקלת ליה</w:t>
      </w:r>
      <w:r>
        <w:rPr>
          <w:rFonts w:cs="Arial" w:hint="cs"/>
          <w:rtl/>
        </w:rPr>
        <w:t>.</w:t>
      </w:r>
      <w:r w:rsidRPr="009D028B">
        <w:rPr>
          <w:rFonts w:cs="Arial"/>
          <w:rtl/>
        </w:rPr>
        <w:t xml:space="preserve"> ואין לה כתובה - כיון דלא חזיא לביאה</w:t>
      </w:r>
      <w:r>
        <w:rPr>
          <w:rFonts w:cs="Arial" w:hint="cs"/>
          <w:rtl/>
        </w:rPr>
        <w:t>.</w:t>
      </w:r>
      <w:r w:rsidRPr="009D028B">
        <w:rPr>
          <w:rFonts w:cs="Arial"/>
          <w:rtl/>
        </w:rPr>
        <w:t xml:space="preserve"> לית לה כתובה ולא פירות ולא מזונות ולא בלאות - תנאי כתובה ככתובה דמו</w:t>
      </w:r>
      <w:r>
        <w:rPr>
          <w:rFonts w:cs="Arial" w:hint="cs"/>
          <w:rtl/>
        </w:rPr>
        <w:t>.</w:t>
      </w:r>
      <w:r w:rsidRPr="009D028B">
        <w:rPr>
          <w:rFonts w:cs="Arial"/>
          <w:rtl/>
        </w:rPr>
        <w:t xml:space="preserve"> ויוציא ולא יחזיר עולמית </w:t>
      </w:r>
      <w:r>
        <w:rPr>
          <w:rFonts w:cs="Arial" w:hint="cs"/>
          <w:rtl/>
        </w:rPr>
        <w:t xml:space="preserve">- </w:t>
      </w:r>
      <w:r w:rsidRPr="009D028B">
        <w:rPr>
          <w:rFonts w:cs="Arial"/>
          <w:rtl/>
        </w:rPr>
        <w:t>פשיטא! לא צריכא - דהדרה ואתקנה, מהו דתימא ליהדרה, קמ"ל - דזימנין דאזלא ומנסבא ומתקנא, ואמר: אילו הייתי יודע שכך היה - אפילו הייתם נותנין לי מאה מנה לא הייתי מגרשה, ונמצא גט בטל ובניה ממזרין</w:t>
      </w:r>
      <w:r>
        <w:rPr>
          <w:rStyle w:val="a7"/>
          <w:rFonts w:cs="Arial"/>
          <w:rtl/>
        </w:rPr>
        <w:footnoteReference w:id="3247"/>
      </w:r>
      <w:r w:rsidRPr="009D028B">
        <w:rPr>
          <w:rFonts w:cs="Arial"/>
          <w:rtl/>
        </w:rPr>
        <w:t>.</w:t>
      </w:r>
      <w:r>
        <w:rPr>
          <w:rFonts w:cs="Arial" w:hint="cs"/>
          <w:rtl/>
        </w:rPr>
        <w:t>.</w:t>
      </w:r>
      <w:r w:rsidRPr="009D028B">
        <w:rPr>
          <w:rFonts w:cs="Arial"/>
          <w:rtl/>
        </w:rPr>
        <w:t xml:space="preserve">. </w:t>
      </w:r>
      <w:r w:rsidRPr="009D028B">
        <w:rPr>
          <w:rFonts w:cs="Arial"/>
          <w:u w:val="single"/>
          <w:rtl/>
        </w:rPr>
        <w:t>אמר רב יהודה אמר שמואל</w:t>
      </w:r>
      <w:r w:rsidRPr="009D028B">
        <w:rPr>
          <w:rFonts w:cs="Arial"/>
          <w:rtl/>
        </w:rPr>
        <w:t xml:space="preserve">: הלכה כר' חנינא בן אנטיגנוס. ובמאי? אי בעסוקה בטהרות - הא אמרה שמואל חדא זימנא! ואי בשאינה עסוקה בטהרות - הא אמר כל לבעלה - לא בעיא בדיקה, דא"ר זירא א"ר אבא בר ירמיה אמר שמואל: אשה שאין לה וסת - אסורה לשמש עד שתבדוק, ואוקימנא לה - בעסוקה בטהרות! מאן דמתני הא לא מתני הא. </w:t>
      </w:r>
      <w:r>
        <w:rPr>
          <w:rFonts w:cs="Arial" w:hint="cs"/>
          <w:sz w:val="16"/>
          <w:szCs w:val="16"/>
          <w:rtl/>
        </w:rPr>
        <w:t>(</w:t>
      </w:r>
      <w:r w:rsidRPr="004A26E4">
        <w:rPr>
          <w:rFonts w:cs="Arial"/>
          <w:sz w:val="16"/>
          <w:szCs w:val="16"/>
          <w:rtl/>
        </w:rPr>
        <w:t xml:space="preserve">והרי"ף הביא ברייתא זו בסוף פרק אלמנה נזונת (כתובות ס:) וכתב כלשון הזה רבי חנינא בן אנטיגנוס אומר משמשת בשני עדים והם תיקוניה ועיוותיה שאם תשמש פעם א' וב' וג' בעדים וימצא על עד שלה או שלו בכל פעם ופעם הרי הן עיוותיה שהוחזקה נדה כל ימיה ותצא בלא כתובה ואם שמשה בשני עדים אחד לו ואחד לה ג"פ ולא נמצא באחד מהם הרי הן תיקוניה והרי היא ככל הנשים עכ"ל. וכתב הר"ן בפרק ב' דשבועות (ב: דיבור ראשון) שנראה שהוא ז"ל סובר דאע"ג דקיי"ל דכל אשה שאין לה וסת לא בעיא בדיקה לבעלה </w:t>
      </w:r>
      <w:r w:rsidRPr="004A26E4">
        <w:rPr>
          <w:rFonts w:cs="Arial" w:hint="cs"/>
          <w:sz w:val="16"/>
          <w:szCs w:val="16"/>
          <w:rtl/>
        </w:rPr>
        <w:t xml:space="preserve">- </w:t>
      </w:r>
      <w:r w:rsidRPr="004A26E4">
        <w:rPr>
          <w:rFonts w:cs="Arial"/>
          <w:sz w:val="16"/>
          <w:szCs w:val="16"/>
          <w:rtl/>
        </w:rPr>
        <w:t>היינו לאחר שתהא מוחזקת ג"פ שלא תהא רואה דם מחמת תשמיש</w:t>
      </w:r>
      <w:r w:rsidRPr="004A26E4">
        <w:rPr>
          <w:rFonts w:cs="Arial" w:hint="cs"/>
          <w:sz w:val="16"/>
          <w:szCs w:val="16"/>
          <w:rtl/>
        </w:rPr>
        <w:t>,</w:t>
      </w:r>
      <w:r w:rsidRPr="004A26E4">
        <w:rPr>
          <w:rFonts w:cs="Arial"/>
          <w:sz w:val="16"/>
          <w:szCs w:val="16"/>
          <w:rtl/>
        </w:rPr>
        <w:t xml:space="preserve"> אבל מתחלה חוששין לה</w:t>
      </w:r>
      <w:r>
        <w:rPr>
          <w:rStyle w:val="a7"/>
          <w:rFonts w:cs="Arial"/>
          <w:sz w:val="16"/>
          <w:szCs w:val="16"/>
          <w:rtl/>
        </w:rPr>
        <w:footnoteReference w:id="3248"/>
      </w:r>
      <w:r w:rsidRPr="004A26E4">
        <w:rPr>
          <w:rFonts w:cs="Arial" w:hint="cs"/>
          <w:sz w:val="16"/>
          <w:szCs w:val="16"/>
          <w:rtl/>
        </w:rPr>
        <w:t>.</w:t>
      </w:r>
      <w:r w:rsidRPr="004A26E4">
        <w:rPr>
          <w:rFonts w:cs="Arial"/>
          <w:sz w:val="16"/>
          <w:szCs w:val="16"/>
          <w:rtl/>
        </w:rPr>
        <w:t xml:space="preserve"> וכן פירש הרשב"א בתורת הבית (בדיני הפרישה בית שביעי שער שני ז:) דברי הרי"ף ז"ל</w:t>
      </w:r>
      <w:r>
        <w:rPr>
          <w:rFonts w:cs="Arial" w:hint="cs"/>
          <w:sz w:val="16"/>
          <w:szCs w:val="16"/>
          <w:rtl/>
        </w:rPr>
        <w:t>, ב"י.)</w:t>
      </w:r>
    </w:p>
    <w:p w14:paraId="0EB7B84B" w14:textId="77777777" w:rsidR="002E5BAD" w:rsidRPr="00E45F61" w:rsidRDefault="002E5BAD" w:rsidP="002E5BAD">
      <w:pPr>
        <w:rPr>
          <w:u w:val="single"/>
          <w:rtl/>
        </w:rPr>
      </w:pPr>
      <w:r w:rsidRPr="00E45F61">
        <w:rPr>
          <w:rFonts w:hint="cs"/>
          <w:u w:val="single"/>
          <w:rtl/>
        </w:rPr>
        <w:t>אשה שאין לה וסת</w:t>
      </w:r>
      <w:r>
        <w:rPr>
          <w:rFonts w:hint="cs"/>
          <w:u w:val="single"/>
          <w:rtl/>
        </w:rPr>
        <w:t xml:space="preserve"> קבוע - ו</w:t>
      </w:r>
      <w:r w:rsidRPr="001813F5">
        <w:rPr>
          <w:rFonts w:hint="cs"/>
          <w:u w:val="single"/>
          <w:rtl/>
        </w:rPr>
        <w:t>ראתה דם מחמת תשמיש ג"פ</w:t>
      </w:r>
      <w:r>
        <w:rPr>
          <w:rFonts w:hint="cs"/>
          <w:u w:val="single"/>
          <w:rtl/>
        </w:rPr>
        <w:t xml:space="preserve"> רצופים</w:t>
      </w:r>
      <w:r w:rsidRPr="00D93BAC">
        <w:rPr>
          <w:rFonts w:hint="cs"/>
          <w:b/>
          <w:bCs/>
          <w:u w:val="single"/>
          <w:rtl/>
        </w:rPr>
        <w:t xml:space="preserve"> מיד לאחר הנשואים</w:t>
      </w:r>
      <w:r w:rsidRPr="00E45F61">
        <w:rPr>
          <w:rFonts w:hint="cs"/>
          <w:u w:val="single"/>
          <w:rtl/>
        </w:rPr>
        <w:t>:</w:t>
      </w:r>
    </w:p>
    <w:p w14:paraId="3925C367" w14:textId="77777777" w:rsidR="002E5BAD" w:rsidRDefault="002E5BAD" w:rsidP="00B75458">
      <w:pPr>
        <w:pStyle w:val="ab"/>
        <w:numPr>
          <w:ilvl w:val="0"/>
          <w:numId w:val="204"/>
        </w:numPr>
      </w:pPr>
      <w:r>
        <w:rPr>
          <w:rFonts w:cs="Arial" w:hint="cs"/>
          <w:rtl/>
        </w:rPr>
        <w:t xml:space="preserve">רי"ף </w:t>
      </w:r>
      <w:r>
        <w:rPr>
          <w:rFonts w:cs="Arial" w:hint="cs"/>
          <w:sz w:val="16"/>
          <w:szCs w:val="16"/>
          <w:rtl/>
        </w:rPr>
        <w:t>(</w:t>
      </w:r>
      <w:r w:rsidRPr="004A26E4">
        <w:rPr>
          <w:rFonts w:cs="Arial" w:hint="cs"/>
          <w:sz w:val="16"/>
          <w:szCs w:val="16"/>
          <w:rtl/>
        </w:rPr>
        <w:t>כתובות ס:)</w:t>
      </w:r>
      <w:r>
        <w:rPr>
          <w:rFonts w:cs="Arial" w:hint="cs"/>
          <w:rtl/>
        </w:rPr>
        <w:t xml:space="preserve"> רמב"ם </w:t>
      </w:r>
      <w:r w:rsidRPr="00D93BAC">
        <w:rPr>
          <w:rFonts w:cs="Arial"/>
          <w:sz w:val="16"/>
          <w:szCs w:val="16"/>
          <w:rtl/>
        </w:rPr>
        <w:t xml:space="preserve">(פכ"ה </w:t>
      </w:r>
      <w:r>
        <w:rPr>
          <w:rFonts w:cs="Arial" w:hint="cs"/>
          <w:sz w:val="16"/>
          <w:szCs w:val="16"/>
          <w:rtl/>
        </w:rPr>
        <w:t>מאישות ה"ח</w:t>
      </w:r>
      <w:r w:rsidRPr="00D93BAC">
        <w:rPr>
          <w:rFonts w:cs="Arial"/>
          <w:sz w:val="16"/>
          <w:szCs w:val="16"/>
          <w:rtl/>
        </w:rPr>
        <w:t>)</w:t>
      </w:r>
      <w:r>
        <w:rPr>
          <w:rFonts w:cs="Arial" w:hint="cs"/>
          <w:sz w:val="16"/>
          <w:szCs w:val="16"/>
          <w:rtl/>
        </w:rPr>
        <w:t xml:space="preserve"> </w:t>
      </w:r>
      <w:r>
        <w:rPr>
          <w:rFonts w:cs="Arial" w:hint="cs"/>
          <w:rtl/>
        </w:rPr>
        <w:t>ו</w:t>
      </w:r>
      <w:r w:rsidRPr="008E3200">
        <w:rPr>
          <w:rFonts w:cs="Arial" w:hint="cs"/>
          <w:rtl/>
        </w:rPr>
        <w:t xml:space="preserve">טור- </w:t>
      </w:r>
      <w:r w:rsidRPr="008E3200">
        <w:rPr>
          <w:rFonts w:cs="Arial"/>
          <w:rtl/>
        </w:rPr>
        <w:t>אשה שאין לה וסת</w:t>
      </w:r>
      <w:r>
        <w:rPr>
          <w:rFonts w:cs="Arial" w:hint="cs"/>
          <w:rtl/>
        </w:rPr>
        <w:t>,</w:t>
      </w:r>
      <w:r w:rsidRPr="008E3200">
        <w:rPr>
          <w:rFonts w:cs="Arial"/>
          <w:rtl/>
        </w:rPr>
        <w:t xml:space="preserve"> לא תשמש אלא ע"י בדיקה</w:t>
      </w:r>
      <w:r>
        <w:rPr>
          <w:rFonts w:cs="Arial" w:hint="cs"/>
          <w:rtl/>
        </w:rPr>
        <w:t>.</w:t>
      </w:r>
      <w:r w:rsidRPr="008E3200">
        <w:rPr>
          <w:rFonts w:cs="Arial"/>
          <w:rtl/>
        </w:rPr>
        <w:t xml:space="preserve"> כיצד היא הבדיקה</w:t>
      </w:r>
      <w:r>
        <w:rPr>
          <w:rFonts w:cs="Arial" w:hint="cs"/>
          <w:rtl/>
        </w:rPr>
        <w:t>,</w:t>
      </w:r>
      <w:r w:rsidRPr="008E3200">
        <w:rPr>
          <w:rFonts w:cs="Arial"/>
          <w:rtl/>
        </w:rPr>
        <w:t xml:space="preserve"> בודקת קודם תשמיש ומיד אחר תשמיש</w:t>
      </w:r>
      <w:r>
        <w:rPr>
          <w:rFonts w:cs="Arial" w:hint="cs"/>
          <w:rtl/>
        </w:rPr>
        <w:t>.</w:t>
      </w:r>
      <w:r w:rsidRPr="008E3200">
        <w:rPr>
          <w:rFonts w:cs="Arial"/>
          <w:rtl/>
        </w:rPr>
        <w:t xml:space="preserve"> אם נמצא בעד שאחר תשמיש דם בג' תשמישים זה אחר זה</w:t>
      </w:r>
      <w:r>
        <w:rPr>
          <w:rFonts w:cs="Arial" w:hint="cs"/>
          <w:rtl/>
        </w:rPr>
        <w:t xml:space="preserve"> -</w:t>
      </w:r>
      <w:r w:rsidRPr="008E3200">
        <w:rPr>
          <w:rFonts w:cs="Arial"/>
          <w:rtl/>
        </w:rPr>
        <w:t xml:space="preserve"> הוחזקה נדה כל ימיה ויוצאת בלא כתובה</w:t>
      </w:r>
      <w:r>
        <w:rPr>
          <w:rStyle w:val="a7"/>
          <w:rFonts w:cs="Arial"/>
          <w:rtl/>
        </w:rPr>
        <w:footnoteReference w:id="3249"/>
      </w:r>
      <w:r>
        <w:rPr>
          <w:rFonts w:cs="Arial" w:hint="cs"/>
          <w:rtl/>
        </w:rPr>
        <w:t>.</w:t>
      </w:r>
      <w:r w:rsidRPr="008E3200">
        <w:rPr>
          <w:rFonts w:cs="Arial"/>
          <w:rtl/>
        </w:rPr>
        <w:t xml:space="preserve"> ואין לה פירות ולא מזונות ולא בלאות שאינן קיימין</w:t>
      </w:r>
      <w:r>
        <w:rPr>
          <w:rFonts w:cs="Arial" w:hint="cs"/>
          <w:rtl/>
        </w:rPr>
        <w:t>,</w:t>
      </w:r>
      <w:r w:rsidRPr="008E3200">
        <w:rPr>
          <w:rFonts w:cs="Arial"/>
          <w:rtl/>
        </w:rPr>
        <w:t xml:space="preserve"> דלאו בת תשמיש היא</w:t>
      </w:r>
      <w:r>
        <w:rPr>
          <w:rFonts w:cs="Arial" w:hint="cs"/>
          <w:rtl/>
        </w:rPr>
        <w:t>.</w:t>
      </w:r>
      <w:r w:rsidRPr="008E3200">
        <w:rPr>
          <w:rFonts w:cs="Arial"/>
          <w:rtl/>
        </w:rPr>
        <w:t xml:space="preserve"> ויוציא ולא יחזיר עולמית אפילו אם תתרפא</w:t>
      </w:r>
      <w:r>
        <w:rPr>
          <w:rFonts w:cs="Arial" w:hint="cs"/>
          <w:rtl/>
        </w:rPr>
        <w:t>.</w:t>
      </w:r>
      <w:r w:rsidRPr="008E3200">
        <w:rPr>
          <w:rFonts w:cs="Arial"/>
          <w:rtl/>
        </w:rPr>
        <w:t xml:space="preserve"> ומותרת לינשא לאחר כמו שפירשתי בהל' נדה בספר י</w:t>
      </w:r>
      <w:r>
        <w:rPr>
          <w:rFonts w:cs="Arial" w:hint="cs"/>
          <w:rtl/>
        </w:rPr>
        <w:t xml:space="preserve">ורה </w:t>
      </w:r>
      <w:r w:rsidRPr="008E3200">
        <w:rPr>
          <w:rFonts w:cs="Arial"/>
          <w:rtl/>
        </w:rPr>
        <w:t>ד</w:t>
      </w:r>
      <w:r>
        <w:rPr>
          <w:rFonts w:cs="Arial" w:hint="cs"/>
          <w:rtl/>
        </w:rPr>
        <w:t>עה</w:t>
      </w:r>
      <w:r>
        <w:rPr>
          <w:rStyle w:val="a7"/>
          <w:rFonts w:cs="Arial"/>
          <w:rtl/>
        </w:rPr>
        <w:footnoteReference w:id="3250"/>
      </w:r>
      <w:r>
        <w:rPr>
          <w:rFonts w:cs="Arial" w:hint="cs"/>
          <w:sz w:val="16"/>
          <w:szCs w:val="16"/>
          <w:rtl/>
        </w:rPr>
        <w:t xml:space="preserve"> (ל' הטור)</w:t>
      </w:r>
      <w:r>
        <w:rPr>
          <w:rFonts w:cs="Arial" w:hint="cs"/>
          <w:rtl/>
        </w:rPr>
        <w:t>.</w:t>
      </w:r>
      <w:r w:rsidRPr="008E3200">
        <w:rPr>
          <w:rFonts w:cs="Arial"/>
          <w:rtl/>
        </w:rPr>
        <w:t xml:space="preserve"> </w:t>
      </w:r>
      <w:r w:rsidRPr="00544E63">
        <w:rPr>
          <w:rFonts w:hint="cs"/>
          <w:color w:val="E36C0A" w:themeColor="accent6" w:themeShade="BF"/>
          <w:rtl/>
        </w:rPr>
        <w:t>(וכ"פ בשו"ע)</w:t>
      </w:r>
    </w:p>
    <w:p w14:paraId="78C61C0F" w14:textId="77777777" w:rsidR="002E5BAD" w:rsidRPr="00E45F61" w:rsidRDefault="002E5BAD" w:rsidP="00B75458">
      <w:pPr>
        <w:pStyle w:val="ab"/>
        <w:numPr>
          <w:ilvl w:val="0"/>
          <w:numId w:val="204"/>
        </w:numPr>
      </w:pPr>
      <w:r>
        <w:rPr>
          <w:rFonts w:cs="Arial" w:hint="cs"/>
          <w:rtl/>
        </w:rPr>
        <w:t xml:space="preserve">ראבי"ה </w:t>
      </w:r>
      <w:r>
        <w:rPr>
          <w:rFonts w:cs="Arial" w:hint="cs"/>
          <w:sz w:val="16"/>
          <w:szCs w:val="16"/>
          <w:rtl/>
        </w:rPr>
        <w:t>(סי' תתקצד, וכ"כ המרדכי [סי' תשלה], הביאו הדרכ"מ [אות א])</w:t>
      </w:r>
      <w:r>
        <w:rPr>
          <w:rFonts w:cs="Arial" w:hint="cs"/>
          <w:rtl/>
        </w:rPr>
        <w:t xml:space="preserve">- </w:t>
      </w:r>
      <w:r w:rsidRPr="001813F5">
        <w:rPr>
          <w:rFonts w:cs="Arial"/>
          <w:rtl/>
        </w:rPr>
        <w:t>האשה הזאת הרואה אחר טבילתה מחמת תשמיש והורגלה והוחזקה בכך וזאת נהייתה אחרי נישואין, לא הפסידה כתובתה ולא פירות ולא מזונות ולא בלאות.</w:t>
      </w:r>
    </w:p>
    <w:p w14:paraId="632F5CE4" w14:textId="77777777" w:rsidR="002E5BAD" w:rsidRPr="00E45F61" w:rsidRDefault="002E5BAD" w:rsidP="002E5BAD">
      <w:pPr>
        <w:ind w:left="360"/>
        <w:rPr>
          <w:u w:val="dotted"/>
        </w:rPr>
      </w:pPr>
      <w:r w:rsidRPr="00E45F61">
        <w:rPr>
          <w:rFonts w:hint="cs"/>
          <w:u w:val="dotted"/>
          <w:rtl/>
        </w:rPr>
        <w:t>ומה הדין אם שמשה ג' פעמים ולא מצאה דם:</w:t>
      </w:r>
    </w:p>
    <w:p w14:paraId="2B0B70F8" w14:textId="77777777" w:rsidR="002E5BAD" w:rsidRPr="004A26E4" w:rsidRDefault="002E5BAD" w:rsidP="00B75458">
      <w:pPr>
        <w:pStyle w:val="ab"/>
        <w:numPr>
          <w:ilvl w:val="0"/>
          <w:numId w:val="204"/>
        </w:numPr>
      </w:pPr>
      <w:r>
        <w:rPr>
          <w:rFonts w:cs="Arial" w:hint="cs"/>
          <w:rtl/>
        </w:rPr>
        <w:t xml:space="preserve">רי"ף </w:t>
      </w:r>
      <w:r>
        <w:rPr>
          <w:rFonts w:cs="Arial" w:hint="cs"/>
          <w:sz w:val="16"/>
          <w:szCs w:val="16"/>
          <w:rtl/>
        </w:rPr>
        <w:t>(</w:t>
      </w:r>
      <w:r w:rsidRPr="004A26E4">
        <w:rPr>
          <w:rFonts w:cs="Arial" w:hint="cs"/>
          <w:sz w:val="16"/>
          <w:szCs w:val="16"/>
          <w:rtl/>
        </w:rPr>
        <w:t>כתובות ס:)</w:t>
      </w:r>
      <w:r>
        <w:rPr>
          <w:rFonts w:cs="Arial" w:hint="cs"/>
          <w:rtl/>
        </w:rPr>
        <w:t xml:space="preserve">- </w:t>
      </w:r>
      <w:r w:rsidRPr="008E3200">
        <w:rPr>
          <w:rFonts w:cs="Arial"/>
          <w:rtl/>
        </w:rPr>
        <w:t xml:space="preserve">אם שמשה ג' פעמים ולא מצאה דם </w:t>
      </w:r>
      <w:r>
        <w:rPr>
          <w:rFonts w:cs="Arial" w:hint="cs"/>
          <w:rtl/>
        </w:rPr>
        <w:t xml:space="preserve">- </w:t>
      </w:r>
      <w:r w:rsidRPr="008E3200">
        <w:rPr>
          <w:rFonts w:cs="Arial"/>
          <w:rtl/>
        </w:rPr>
        <w:t>היא ככל הנשים</w:t>
      </w:r>
      <w:r>
        <w:rPr>
          <w:rFonts w:cs="Arial" w:hint="cs"/>
          <w:sz w:val="16"/>
          <w:szCs w:val="16"/>
          <w:rtl/>
        </w:rPr>
        <w:t xml:space="preserve"> (ל' הטור בשמו)</w:t>
      </w:r>
      <w:r>
        <w:rPr>
          <w:rFonts w:cs="Arial" w:hint="cs"/>
          <w:rtl/>
        </w:rPr>
        <w:t>.</w:t>
      </w:r>
      <w:r w:rsidRPr="008E3200">
        <w:rPr>
          <w:rFonts w:cs="Arial"/>
          <w:rtl/>
        </w:rPr>
        <w:t xml:space="preserve"> </w:t>
      </w:r>
    </w:p>
    <w:p w14:paraId="70F9A146" w14:textId="77777777" w:rsidR="002E5BAD" w:rsidRDefault="002E5BAD" w:rsidP="00B75458">
      <w:pPr>
        <w:pStyle w:val="ab"/>
        <w:numPr>
          <w:ilvl w:val="0"/>
          <w:numId w:val="204"/>
        </w:numPr>
      </w:pPr>
      <w:r>
        <w:rPr>
          <w:rFonts w:cs="Arial" w:hint="cs"/>
          <w:rtl/>
        </w:rPr>
        <w:t>רמב"ם ורא"ש</w:t>
      </w:r>
      <w:r>
        <w:rPr>
          <w:rFonts w:cs="Arial" w:hint="cs"/>
          <w:sz w:val="16"/>
          <w:szCs w:val="16"/>
          <w:rtl/>
        </w:rPr>
        <w:t xml:space="preserve"> (כ"כ הטור בשמם)</w:t>
      </w:r>
      <w:r>
        <w:rPr>
          <w:rFonts w:cs="Arial" w:hint="cs"/>
          <w:rtl/>
        </w:rPr>
        <w:t xml:space="preserve">- </w:t>
      </w:r>
      <w:r w:rsidRPr="008E3200">
        <w:rPr>
          <w:rFonts w:cs="Arial"/>
          <w:rtl/>
        </w:rPr>
        <w:t>לעולם לא תשמש בלא בדיקה</w:t>
      </w:r>
      <w:r>
        <w:rPr>
          <w:rFonts w:cs="Arial" w:hint="cs"/>
          <w:rtl/>
        </w:rPr>
        <w:t>.</w:t>
      </w:r>
      <w:r w:rsidRPr="008E3200">
        <w:rPr>
          <w:rFonts w:cs="Arial"/>
          <w:rtl/>
        </w:rPr>
        <w:t xml:space="preserve"> </w:t>
      </w:r>
    </w:p>
    <w:p w14:paraId="33ACE9B3" w14:textId="77777777" w:rsidR="002E5BAD" w:rsidRPr="007D071A" w:rsidRDefault="002E5BAD" w:rsidP="00B75458">
      <w:pPr>
        <w:pStyle w:val="ab"/>
        <w:numPr>
          <w:ilvl w:val="1"/>
          <w:numId w:val="204"/>
        </w:numPr>
        <w:rPr>
          <w:rtl/>
        </w:rPr>
      </w:pPr>
      <w:r>
        <w:rPr>
          <w:rFonts w:hint="cs"/>
          <w:rtl/>
        </w:rPr>
        <w:t xml:space="preserve">ב"י- </w:t>
      </w:r>
      <w:r>
        <w:rPr>
          <w:rFonts w:cs="Arial"/>
          <w:rtl/>
        </w:rPr>
        <w:t>נתבאר בארוכה בטור יורה דעה סימן קפ"ו</w:t>
      </w:r>
      <w:r>
        <w:rPr>
          <w:rFonts w:cs="Arial" w:hint="cs"/>
          <w:rtl/>
        </w:rPr>
        <w:t xml:space="preserve"> </w:t>
      </w:r>
      <w:r w:rsidRPr="00D93BAC">
        <w:rPr>
          <w:rFonts w:cs="Arial" w:hint="cs"/>
          <w:sz w:val="16"/>
          <w:szCs w:val="16"/>
          <w:rtl/>
        </w:rPr>
        <w:t>(סע' ב)</w:t>
      </w:r>
      <w:r>
        <w:rPr>
          <w:rFonts w:cs="Arial" w:hint="cs"/>
          <w:rtl/>
        </w:rPr>
        <w:t>.</w:t>
      </w:r>
    </w:p>
    <w:p w14:paraId="0B8E47D4" w14:textId="77777777" w:rsidR="002E5BAD" w:rsidRPr="00593A25" w:rsidRDefault="002E5BAD" w:rsidP="002E5BAD">
      <w:pPr>
        <w:rPr>
          <w:rFonts w:cs="Arial"/>
        </w:rPr>
      </w:pPr>
      <w:r w:rsidRPr="00593A25">
        <w:rPr>
          <w:rFonts w:cs="Arial" w:hint="cs"/>
          <w:b/>
          <w:bCs/>
          <w:rtl/>
        </w:rPr>
        <w:t xml:space="preserve">כתובות </w:t>
      </w:r>
      <w:r w:rsidRPr="00593A25">
        <w:rPr>
          <w:rFonts w:cs="Arial" w:hint="cs"/>
          <w:b/>
          <w:bCs/>
          <w:sz w:val="16"/>
          <w:szCs w:val="16"/>
          <w:rtl/>
        </w:rPr>
        <w:t xml:space="preserve">(רפ"ק) </w:t>
      </w:r>
      <w:r w:rsidRPr="00593A25">
        <w:rPr>
          <w:rFonts w:cs="Arial" w:hint="cs"/>
          <w:b/>
          <w:bCs/>
          <w:rtl/>
        </w:rPr>
        <w:t xml:space="preserve">ב ע"א: </w:t>
      </w:r>
      <w:r w:rsidRPr="00593A25">
        <w:rPr>
          <w:rFonts w:cs="Arial"/>
          <w:rtl/>
        </w:rPr>
        <w:t>חלתה היא, מהו? מצי אמר לה אנא הא קאימנא, או דלמא מציא אמרה ליה נסתחפה שדהו? ואם תמצי לומר: אמרה ליה נסתחפה שדהו, פירסה נדה, מהו? בשעת ווסתה לא תיבעי לך</w:t>
      </w:r>
      <w:r w:rsidRPr="00593A25">
        <w:rPr>
          <w:rFonts w:cs="Arial" w:hint="cs"/>
          <w:sz w:val="14"/>
          <w:szCs w:val="14"/>
          <w:rtl/>
        </w:rPr>
        <w:t xml:space="preserve"> (ב:) </w:t>
      </w:r>
      <w:r w:rsidRPr="00593A25">
        <w:rPr>
          <w:rFonts w:cs="Arial" w:hint="cs"/>
          <w:rtl/>
        </w:rPr>
        <w:t xml:space="preserve">- </w:t>
      </w:r>
      <w:r w:rsidRPr="00593A25">
        <w:rPr>
          <w:rFonts w:cs="Arial"/>
          <w:rtl/>
        </w:rPr>
        <w:t>דלא מציא אמרה ליה נסתחפה שדהו, כי תיבעי לך - שלא בשעת ווסתה מאי? כיון דלא בשעת ווסתה הויא, מציא אמרה ליה נסתחפה שדהו, או דלמא כיון דאיכא נשי דקא משנייא ווסתייהו, כשעת ווסתה דמי?</w:t>
      </w:r>
      <w:r w:rsidRPr="00593A25">
        <w:rPr>
          <w:rFonts w:cs="Arial" w:hint="cs"/>
          <w:rtl/>
        </w:rPr>
        <w:t>...</w:t>
      </w:r>
    </w:p>
    <w:p w14:paraId="6C6654A6" w14:textId="77777777" w:rsidR="002E5BAD" w:rsidRDefault="002E5BAD" w:rsidP="002E5BAD">
      <w:pPr>
        <w:rPr>
          <w:u w:val="single"/>
          <w:rtl/>
        </w:rPr>
      </w:pPr>
      <w:r w:rsidRPr="00593A25">
        <w:rPr>
          <w:rFonts w:cs="Arial" w:hint="cs"/>
          <w:b/>
          <w:bCs/>
          <w:rtl/>
        </w:rPr>
        <w:t xml:space="preserve">כתובות </w:t>
      </w:r>
      <w:r w:rsidRPr="00593A25">
        <w:rPr>
          <w:rFonts w:cs="Arial" w:hint="cs"/>
          <w:b/>
          <w:bCs/>
          <w:sz w:val="16"/>
          <w:szCs w:val="16"/>
          <w:rtl/>
        </w:rPr>
        <w:t xml:space="preserve">(פ' המדיר) </w:t>
      </w:r>
      <w:r w:rsidRPr="00593A25">
        <w:rPr>
          <w:rFonts w:cs="Arial" w:hint="cs"/>
          <w:b/>
          <w:bCs/>
          <w:rtl/>
        </w:rPr>
        <w:t xml:space="preserve">עה ע"א: </w:t>
      </w:r>
      <w:r w:rsidRPr="00593A25">
        <w:rPr>
          <w:rFonts w:cs="Arial"/>
          <w:u w:val="double"/>
          <w:rtl/>
        </w:rPr>
        <w:t>מתני'</w:t>
      </w:r>
      <w:r w:rsidRPr="00593A25">
        <w:rPr>
          <w:rFonts w:cs="Arial" w:hint="cs"/>
          <w:rtl/>
        </w:rPr>
        <w:t>:</w:t>
      </w:r>
      <w:r w:rsidRPr="00593A25">
        <w:rPr>
          <w:rFonts w:cs="Arial"/>
          <w:rtl/>
        </w:rPr>
        <w:t xml:space="preserve"> היו בה מומין ועודה בבית אביה - האב צריך להביא ראיה שמשנתארסה היו בה מומין הללו, ונסתחפה שדהו, נכנסה לרשות הבעל - הבעל צריך להביא ראיה שעד שלא נתארסה היו בה מומין אלו, </w:t>
      </w:r>
      <w:r w:rsidRPr="00593A25">
        <w:rPr>
          <w:rFonts w:cs="Arial"/>
          <w:rtl/>
        </w:rPr>
        <w:lastRenderedPageBreak/>
        <w:t>והיה מקחו מקח טעות, דברי ר"מ; וחכמים אומרים: במה דברים אמורים - במומין שבסתר,</w:t>
      </w:r>
      <w:r w:rsidRPr="00593A25">
        <w:rPr>
          <w:rFonts w:hint="cs"/>
          <w:sz w:val="14"/>
          <w:szCs w:val="14"/>
          <w:rtl/>
        </w:rPr>
        <w:t>(עה:)</w:t>
      </w:r>
      <w:r w:rsidRPr="00593A25">
        <w:rPr>
          <w:rtl/>
        </w:rPr>
        <w:t xml:space="preserve"> </w:t>
      </w:r>
      <w:r w:rsidRPr="00593A25">
        <w:rPr>
          <w:rFonts w:cs="Arial"/>
          <w:rtl/>
        </w:rPr>
        <w:t>אבל במומין שבגלוי - אינו יכול לטעון.</w:t>
      </w:r>
    </w:p>
    <w:p w14:paraId="2CCA4CD5" w14:textId="77777777" w:rsidR="002E5BAD" w:rsidRPr="007D071A" w:rsidRDefault="002E5BAD" w:rsidP="002E5BAD">
      <w:pPr>
        <w:rPr>
          <w:u w:val="single"/>
        </w:rPr>
      </w:pPr>
      <w:r w:rsidRPr="007D071A">
        <w:rPr>
          <w:rFonts w:hint="cs"/>
          <w:u w:val="single"/>
          <w:rtl/>
        </w:rPr>
        <w:t>אשה שבתחילה לא ראתה מחמת תשמיש ואח"כ התחילה להיות רואה מחמת תשמיש</w:t>
      </w:r>
      <w:r w:rsidRPr="007D071A">
        <w:rPr>
          <w:rFonts w:hint="cs"/>
          <w:sz w:val="16"/>
          <w:szCs w:val="16"/>
          <w:u w:val="single"/>
          <w:rtl/>
        </w:rPr>
        <w:t xml:space="preserve"> (וכן שאר מומים שנתגלו אח"כ)</w:t>
      </w:r>
      <w:r w:rsidRPr="007D071A">
        <w:rPr>
          <w:rFonts w:hint="cs"/>
          <w:u w:val="single"/>
          <w:rtl/>
        </w:rPr>
        <w:t>:</w:t>
      </w:r>
    </w:p>
    <w:p w14:paraId="67F249D7" w14:textId="77777777" w:rsidR="002E5BAD" w:rsidRPr="00967E8D" w:rsidRDefault="002E5BAD" w:rsidP="00B75458">
      <w:pPr>
        <w:pStyle w:val="ab"/>
        <w:numPr>
          <w:ilvl w:val="0"/>
          <w:numId w:val="204"/>
        </w:numPr>
      </w:pPr>
      <w:r>
        <w:rPr>
          <w:rFonts w:cs="Arial" w:hint="cs"/>
          <w:rtl/>
        </w:rPr>
        <w:t xml:space="preserve">רמב"ם </w:t>
      </w:r>
      <w:r w:rsidRPr="00D93BAC">
        <w:rPr>
          <w:rFonts w:cs="Arial"/>
          <w:sz w:val="16"/>
          <w:szCs w:val="16"/>
          <w:rtl/>
        </w:rPr>
        <w:t xml:space="preserve">(פכ"ה </w:t>
      </w:r>
      <w:r>
        <w:rPr>
          <w:rFonts w:cs="Arial" w:hint="cs"/>
          <w:sz w:val="16"/>
          <w:szCs w:val="16"/>
          <w:rtl/>
        </w:rPr>
        <w:t xml:space="preserve">מאישות </w:t>
      </w:r>
      <w:r w:rsidRPr="00D93BAC">
        <w:rPr>
          <w:rFonts w:cs="Arial"/>
          <w:sz w:val="16"/>
          <w:szCs w:val="16"/>
          <w:rtl/>
        </w:rPr>
        <w:t>ה</w:t>
      </w:r>
      <w:r>
        <w:rPr>
          <w:rFonts w:cs="Arial" w:hint="cs"/>
          <w:sz w:val="16"/>
          <w:szCs w:val="16"/>
          <w:rtl/>
        </w:rPr>
        <w:t>"</w:t>
      </w:r>
      <w:r w:rsidRPr="00D93BAC">
        <w:rPr>
          <w:rFonts w:cs="Arial"/>
          <w:sz w:val="16"/>
          <w:szCs w:val="16"/>
          <w:rtl/>
        </w:rPr>
        <w:t>ט-י)</w:t>
      </w:r>
      <w:r>
        <w:rPr>
          <w:rFonts w:cs="Arial" w:hint="cs"/>
          <w:sz w:val="16"/>
          <w:szCs w:val="16"/>
          <w:rtl/>
        </w:rPr>
        <w:t xml:space="preserve"> </w:t>
      </w:r>
      <w:r>
        <w:rPr>
          <w:rFonts w:cs="Arial" w:hint="cs"/>
          <w:rtl/>
        </w:rPr>
        <w:t xml:space="preserve">וטור- </w:t>
      </w:r>
      <w:r w:rsidRPr="002E7886">
        <w:rPr>
          <w:rFonts w:cs="Arial"/>
          <w:rtl/>
        </w:rPr>
        <w:t>בד"א בשהיתה כך מתחלת נישואיה ומבעילה ראשונה ראת דם אבל אם אירע לה חולי זה אחר שנשאת נסתחפה שדהו, לפיכך אם בעל פעם אחת ולא נמצא דם ואחר כך חזרה להיות רואה דם בכל עת תשמיש יוציא ויתן כתובה כולה ולא יחזיר עולמית כמו שביארנו. וכן כל אשה שנולדו בה מומין אחר שנשאת אפילו נעשית מוכת שחין אם רצה לקיים יקיים ואם רצה להוציא יתן כתובה</w:t>
      </w:r>
      <w:r>
        <w:rPr>
          <w:rFonts w:cs="Arial" w:hint="cs"/>
          <w:sz w:val="16"/>
          <w:szCs w:val="16"/>
          <w:rtl/>
        </w:rPr>
        <w:t xml:space="preserve"> (ל' הרמב"ם)</w:t>
      </w:r>
      <w:r w:rsidRPr="002E7886">
        <w:rPr>
          <w:rFonts w:cs="Arial" w:hint="cs"/>
          <w:rtl/>
        </w:rPr>
        <w:t>.</w:t>
      </w:r>
      <w:r w:rsidRPr="00F25143">
        <w:rPr>
          <w:rFonts w:hint="cs"/>
          <w:color w:val="E36C0A" w:themeColor="accent6" w:themeShade="BF"/>
          <w:rtl/>
        </w:rPr>
        <w:t xml:space="preserve"> </w:t>
      </w:r>
      <w:r w:rsidRPr="00544E63">
        <w:rPr>
          <w:rFonts w:hint="cs"/>
          <w:color w:val="E36C0A" w:themeColor="accent6" w:themeShade="BF"/>
          <w:rtl/>
        </w:rPr>
        <w:t>(וכ"פ בשו"ע)</w:t>
      </w:r>
    </w:p>
    <w:p w14:paraId="55079B5D" w14:textId="77777777" w:rsidR="002E5BAD" w:rsidRPr="00967E8D" w:rsidRDefault="002E5BAD" w:rsidP="002E5BAD">
      <w:pPr>
        <w:rPr>
          <w:u w:val="single"/>
        </w:rPr>
      </w:pPr>
      <w:r w:rsidRPr="00967E8D">
        <w:rPr>
          <w:rFonts w:hint="cs"/>
          <w:u w:val="single"/>
          <w:rtl/>
        </w:rPr>
        <w:t xml:space="preserve">מתי אוסרים על הבעל להחזיר את אשתו שנתרפאת: </w:t>
      </w:r>
    </w:p>
    <w:p w14:paraId="1FE02BF5" w14:textId="77777777" w:rsidR="002E5BAD" w:rsidRPr="00F25143" w:rsidRDefault="002E5BAD" w:rsidP="00B75458">
      <w:pPr>
        <w:pStyle w:val="ab"/>
        <w:numPr>
          <w:ilvl w:val="0"/>
          <w:numId w:val="204"/>
        </w:numPr>
      </w:pPr>
      <w:r w:rsidRPr="00967E8D">
        <w:rPr>
          <w:rFonts w:cs="Arial"/>
          <w:rtl/>
        </w:rPr>
        <w:t xml:space="preserve">ר"ן </w:t>
      </w:r>
      <w:r w:rsidRPr="00967E8D">
        <w:rPr>
          <w:rFonts w:cs="Arial" w:hint="cs"/>
          <w:sz w:val="16"/>
          <w:szCs w:val="16"/>
          <w:rtl/>
        </w:rPr>
        <w:t>(</w:t>
      </w:r>
      <w:r w:rsidRPr="00967E8D">
        <w:rPr>
          <w:rFonts w:cs="Arial"/>
          <w:sz w:val="16"/>
          <w:szCs w:val="16"/>
          <w:rtl/>
        </w:rPr>
        <w:t>שבועות ב. ד"ה ומיהו)</w:t>
      </w:r>
      <w:r w:rsidRPr="00967E8D">
        <w:rPr>
          <w:rFonts w:cs="Arial" w:hint="cs"/>
          <w:rtl/>
        </w:rPr>
        <w:t>-</w:t>
      </w:r>
      <w:r w:rsidRPr="00967E8D">
        <w:rPr>
          <w:rFonts w:cs="Arial"/>
          <w:rtl/>
        </w:rPr>
        <w:t xml:space="preserve"> כי אמרינן דלא יחזיר עולמית</w:t>
      </w:r>
      <w:r w:rsidRPr="00967E8D">
        <w:rPr>
          <w:rFonts w:cs="Arial" w:hint="cs"/>
          <w:rtl/>
        </w:rPr>
        <w:t>,</w:t>
      </w:r>
      <w:r w:rsidRPr="00967E8D">
        <w:rPr>
          <w:rFonts w:cs="Arial"/>
          <w:rtl/>
        </w:rPr>
        <w:t xml:space="preserve"> דוקא בדאמר לה </w:t>
      </w:r>
      <w:r w:rsidRPr="00967E8D">
        <w:rPr>
          <w:rFonts w:cs="Arial" w:hint="cs"/>
          <w:rtl/>
        </w:rPr>
        <w:t>'</w:t>
      </w:r>
      <w:r w:rsidRPr="00967E8D">
        <w:rPr>
          <w:rFonts w:cs="Arial"/>
          <w:rtl/>
        </w:rPr>
        <w:t>הוי יודעת דמשום דאין לך וסת אני מגרשך ואי לא לא הייתי מגרשך</w:t>
      </w:r>
      <w:r w:rsidRPr="00967E8D">
        <w:rPr>
          <w:rFonts w:cs="Arial" w:hint="cs"/>
          <w:rtl/>
        </w:rPr>
        <w:t>',</w:t>
      </w:r>
      <w:r w:rsidRPr="00967E8D">
        <w:rPr>
          <w:rFonts w:cs="Arial"/>
          <w:rtl/>
        </w:rPr>
        <w:t xml:space="preserve"> ובכה"ג אי שרית ליה לאהדורא מצי לקלקולה</w:t>
      </w:r>
      <w:r w:rsidRPr="00967E8D">
        <w:rPr>
          <w:rFonts w:cs="Arial" w:hint="cs"/>
          <w:rtl/>
        </w:rPr>
        <w:t>.</w:t>
      </w:r>
      <w:r w:rsidRPr="00967E8D">
        <w:rPr>
          <w:rFonts w:cs="Arial"/>
          <w:rtl/>
        </w:rPr>
        <w:t xml:space="preserve"> הא לאו הכי לא מצי לקלקולה</w:t>
      </w:r>
      <w:r>
        <w:rPr>
          <w:rStyle w:val="a7"/>
          <w:rFonts w:cs="Arial"/>
          <w:rtl/>
        </w:rPr>
        <w:footnoteReference w:id="3251"/>
      </w:r>
      <w:r w:rsidRPr="00967E8D">
        <w:rPr>
          <w:rFonts w:cs="Arial"/>
          <w:rtl/>
        </w:rPr>
        <w:t xml:space="preserve"> לרבי מאיר דבעי תנאי כפול</w:t>
      </w:r>
      <w:r>
        <w:rPr>
          <w:rFonts w:cs="Arial" w:hint="cs"/>
          <w:rtl/>
        </w:rPr>
        <w:t>.</w:t>
      </w:r>
      <w:r w:rsidRPr="00967E8D">
        <w:rPr>
          <w:rFonts w:cs="Arial"/>
          <w:rtl/>
        </w:rPr>
        <w:t xml:space="preserve"> דתנן בפרק השולח (גיטין מו:) המוציא את אשתו משום אילונית</w:t>
      </w:r>
      <w:r w:rsidRPr="00967E8D">
        <w:rPr>
          <w:rFonts w:cs="Arial" w:hint="cs"/>
          <w:rtl/>
        </w:rPr>
        <w:t>,</w:t>
      </w:r>
      <w:r w:rsidRPr="00967E8D">
        <w:rPr>
          <w:rFonts w:cs="Arial"/>
          <w:rtl/>
        </w:rPr>
        <w:t xml:space="preserve"> רבי יהודה אומר לא יחזיר</w:t>
      </w:r>
      <w:r w:rsidRPr="00967E8D">
        <w:rPr>
          <w:rFonts w:cs="Arial" w:hint="cs"/>
          <w:rtl/>
        </w:rPr>
        <w:t>.</w:t>
      </w:r>
      <w:r w:rsidRPr="00967E8D">
        <w:rPr>
          <w:rFonts w:cs="Arial"/>
          <w:rtl/>
        </w:rPr>
        <w:t xml:space="preserve"> וחכמים אומרים יחזיר</w:t>
      </w:r>
      <w:r w:rsidRPr="00967E8D">
        <w:rPr>
          <w:rFonts w:cs="Arial" w:hint="cs"/>
          <w:rtl/>
        </w:rPr>
        <w:t>.</w:t>
      </w:r>
      <w:r w:rsidRPr="00967E8D">
        <w:rPr>
          <w:rFonts w:cs="Arial"/>
          <w:rtl/>
        </w:rPr>
        <w:t xml:space="preserve"> ואמרינן עלה בגמרא מאן חכמים</w:t>
      </w:r>
      <w:r w:rsidRPr="00967E8D">
        <w:rPr>
          <w:rFonts w:cs="Arial" w:hint="cs"/>
          <w:rtl/>
        </w:rPr>
        <w:t>,</w:t>
      </w:r>
      <w:r w:rsidRPr="00967E8D">
        <w:rPr>
          <w:rFonts w:cs="Arial"/>
          <w:rtl/>
        </w:rPr>
        <w:t xml:space="preserve"> רבי מאיר</w:t>
      </w:r>
      <w:r w:rsidRPr="00967E8D">
        <w:rPr>
          <w:rFonts w:cs="Arial" w:hint="cs"/>
          <w:rtl/>
        </w:rPr>
        <w:t>,</w:t>
      </w:r>
      <w:r w:rsidRPr="00967E8D">
        <w:rPr>
          <w:rFonts w:cs="Arial"/>
          <w:rtl/>
        </w:rPr>
        <w:t xml:space="preserve"> וטעמא משום דכיון דלא כפליה לתנאיה לא מצי לקלקולה</w:t>
      </w:r>
      <w:r w:rsidRPr="00967E8D">
        <w:rPr>
          <w:rFonts w:cs="Arial" w:hint="cs"/>
          <w:rtl/>
        </w:rPr>
        <w:t>.</w:t>
      </w:r>
      <w:r w:rsidRPr="00967E8D">
        <w:rPr>
          <w:rFonts w:cs="Arial"/>
          <w:rtl/>
        </w:rPr>
        <w:t xml:space="preserve"> ולרבנן נמי דלא בעו תנאי כפול הכא דוקא כשאמר לה </w:t>
      </w:r>
      <w:r w:rsidRPr="00967E8D">
        <w:rPr>
          <w:rFonts w:cs="Arial" w:hint="cs"/>
          <w:rtl/>
        </w:rPr>
        <w:t>'</w:t>
      </w:r>
      <w:r w:rsidRPr="00967E8D">
        <w:rPr>
          <w:rFonts w:cs="Arial"/>
          <w:rtl/>
        </w:rPr>
        <w:t>משום כך אני מוציאך</w:t>
      </w:r>
      <w:r w:rsidRPr="00967E8D">
        <w:rPr>
          <w:rFonts w:cs="Arial" w:hint="cs"/>
          <w:rtl/>
        </w:rPr>
        <w:t>',</w:t>
      </w:r>
      <w:r w:rsidRPr="00967E8D">
        <w:rPr>
          <w:rFonts w:cs="Arial"/>
          <w:rtl/>
        </w:rPr>
        <w:t xml:space="preserve"> אבל גירש סתם יכול הוא להחזיר דהא לא מצי לקלקולה</w:t>
      </w:r>
      <w:r w:rsidRPr="00967E8D">
        <w:rPr>
          <w:rFonts w:cs="Arial" w:hint="cs"/>
          <w:rtl/>
        </w:rPr>
        <w:t>,</w:t>
      </w:r>
      <w:r w:rsidRPr="00967E8D">
        <w:rPr>
          <w:rFonts w:cs="Arial"/>
          <w:rtl/>
        </w:rPr>
        <w:t xml:space="preserve"> וכענין שאמרו שם גבי אילונית</w:t>
      </w:r>
      <w:r w:rsidRPr="00967E8D">
        <w:rPr>
          <w:rFonts w:cs="Arial" w:hint="cs"/>
          <w:rtl/>
        </w:rPr>
        <w:t>.</w:t>
      </w:r>
      <w:r w:rsidRPr="00967E8D">
        <w:rPr>
          <w:rFonts w:cs="Arial"/>
          <w:rtl/>
        </w:rPr>
        <w:t xml:space="preserve"> ואחרים אומרים דהכא אפילו לא אמר לא </w:t>
      </w:r>
      <w:r w:rsidRPr="00967E8D">
        <w:rPr>
          <w:rFonts w:cs="Arial" w:hint="cs"/>
          <w:rtl/>
        </w:rPr>
        <w:t xml:space="preserve">- </w:t>
      </w:r>
      <w:r w:rsidRPr="00967E8D">
        <w:rPr>
          <w:rFonts w:cs="Arial"/>
          <w:rtl/>
        </w:rPr>
        <w:t>מצי לקלקולה</w:t>
      </w:r>
      <w:r w:rsidRPr="00967E8D">
        <w:rPr>
          <w:rFonts w:cs="Arial" w:hint="cs"/>
          <w:rtl/>
        </w:rPr>
        <w:t>.</w:t>
      </w:r>
      <w:r w:rsidRPr="00967E8D">
        <w:rPr>
          <w:rFonts w:cs="Arial"/>
          <w:rtl/>
        </w:rPr>
        <w:t xml:space="preserve"> לפי שהדבר ידוע שאין אדם משהא אשה שהיא אסורה לשמש</w:t>
      </w:r>
      <w:r w:rsidRPr="00967E8D">
        <w:rPr>
          <w:rFonts w:cs="Arial" w:hint="cs"/>
          <w:rtl/>
        </w:rPr>
        <w:t>,</w:t>
      </w:r>
      <w:r w:rsidRPr="00967E8D">
        <w:rPr>
          <w:rFonts w:cs="Arial"/>
          <w:rtl/>
        </w:rPr>
        <w:t xml:space="preserve"> הילכך סתמו כפירושו</w:t>
      </w:r>
      <w:r w:rsidRPr="00967E8D">
        <w:rPr>
          <w:rFonts w:cs="Arial" w:hint="cs"/>
          <w:rtl/>
        </w:rPr>
        <w:t>.</w:t>
      </w:r>
      <w:r w:rsidRPr="00967E8D">
        <w:rPr>
          <w:rFonts w:cs="Arial"/>
          <w:rtl/>
        </w:rPr>
        <w:t xml:space="preserve"> אבל התם כל שלא פירש אין הדבר מוכיח שמפני כך גירשה</w:t>
      </w:r>
      <w:r w:rsidRPr="00967E8D">
        <w:rPr>
          <w:rFonts w:cs="Arial" w:hint="cs"/>
          <w:rtl/>
        </w:rPr>
        <w:t>.</w:t>
      </w:r>
      <w:r w:rsidRPr="00967E8D">
        <w:rPr>
          <w:rFonts w:cs="Arial"/>
          <w:rtl/>
        </w:rPr>
        <w:t xml:space="preserve"> ותמהני הכא היכי מצי לקלקולה</w:t>
      </w:r>
      <w:r w:rsidRPr="00967E8D">
        <w:rPr>
          <w:rFonts w:cs="Arial" w:hint="cs"/>
          <w:rtl/>
        </w:rPr>
        <w:t>,</w:t>
      </w:r>
      <w:r w:rsidRPr="00967E8D">
        <w:rPr>
          <w:rFonts w:cs="Arial"/>
          <w:rtl/>
        </w:rPr>
        <w:t xml:space="preserve"> דכיון דמדינא אמרינן יוציא הא לא מצי אמר לה אילו הייתי יודע שכן לא הייתי מגרשך</w:t>
      </w:r>
      <w:r w:rsidRPr="00967E8D">
        <w:rPr>
          <w:rFonts w:cs="Arial" w:hint="cs"/>
          <w:rtl/>
        </w:rPr>
        <w:t>,</w:t>
      </w:r>
      <w:r w:rsidRPr="00967E8D">
        <w:rPr>
          <w:rFonts w:cs="Arial"/>
          <w:rtl/>
        </w:rPr>
        <w:t xml:space="preserve"> שהרי מחוייב הוא לגרשה</w:t>
      </w:r>
      <w:r w:rsidRPr="00967E8D">
        <w:rPr>
          <w:rFonts w:cs="Arial" w:hint="cs"/>
          <w:rtl/>
        </w:rPr>
        <w:t>.</w:t>
      </w:r>
      <w:r w:rsidRPr="00967E8D">
        <w:rPr>
          <w:rFonts w:cs="Arial"/>
          <w:rtl/>
        </w:rPr>
        <w:t xml:space="preserve"> וניחא לי דמאי דאמרינן יוציא</w:t>
      </w:r>
      <w:r w:rsidRPr="00967E8D">
        <w:rPr>
          <w:rFonts w:cs="Arial" w:hint="cs"/>
          <w:rtl/>
        </w:rPr>
        <w:t>,</w:t>
      </w:r>
      <w:r w:rsidRPr="00967E8D">
        <w:rPr>
          <w:rFonts w:cs="Arial"/>
          <w:rtl/>
        </w:rPr>
        <w:t xml:space="preserve"> לא שיכפוהו ב"ד בכך אלא שכיון שאינו יכול לשמש עמה מוטל עליו להוציאה</w:t>
      </w:r>
      <w:r w:rsidRPr="00967E8D">
        <w:rPr>
          <w:rFonts w:cs="Arial" w:hint="cs"/>
          <w:rtl/>
        </w:rPr>
        <w:t>,</w:t>
      </w:r>
      <w:r w:rsidRPr="00967E8D">
        <w:rPr>
          <w:rFonts w:cs="Arial"/>
          <w:rtl/>
        </w:rPr>
        <w:t xml:space="preserve"> הילכך מצי לקלקולה ולומר אילו הייתי יודע שתהא לה תקנה הייתי שוהא מלגרש ומחזר שתהא מתוקנת</w:t>
      </w:r>
      <w:r w:rsidRPr="00967E8D">
        <w:rPr>
          <w:rFonts w:cs="Arial" w:hint="cs"/>
          <w:rtl/>
        </w:rPr>
        <w:t>.</w:t>
      </w:r>
      <w:r w:rsidRPr="00967E8D">
        <w:rPr>
          <w:rFonts w:cs="Arial"/>
          <w:rtl/>
        </w:rPr>
        <w:t xml:space="preserve"> והארכתי בזה אף על גב דלא קיימא לן כרבי מאיר</w:t>
      </w:r>
      <w:r w:rsidRPr="00967E8D">
        <w:rPr>
          <w:rFonts w:cs="Arial" w:hint="cs"/>
          <w:rtl/>
        </w:rPr>
        <w:t>,</w:t>
      </w:r>
      <w:r w:rsidRPr="00967E8D">
        <w:rPr>
          <w:rFonts w:cs="Arial"/>
          <w:rtl/>
        </w:rPr>
        <w:t xml:space="preserve"> משום דנפקא מיניה לרבי חנינא בן אנטיגנוס לפי שטתו של הרב ז"ל שהוא סובר דלרבי חנינא נמי היכא שנבדקה ג"פ ומצאה טמאה יוציא כמו שאכתוב בסמוך בס"ד</w:t>
      </w:r>
      <w:r w:rsidRPr="00967E8D">
        <w:rPr>
          <w:rFonts w:cs="Arial" w:hint="cs"/>
          <w:rtl/>
        </w:rPr>
        <w:t>.</w:t>
      </w:r>
    </w:p>
    <w:p w14:paraId="7603226E" w14:textId="77777777" w:rsidR="002E5BAD" w:rsidRPr="00F25143" w:rsidRDefault="002E5BAD" w:rsidP="002E5BAD">
      <w:r w:rsidRPr="00F25143">
        <w:rPr>
          <w:rFonts w:cs="Arial" w:hint="cs"/>
          <w:u w:val="single"/>
          <w:rtl/>
        </w:rPr>
        <w:t>בעל שרוצה להשאיר את אשתו שראתה ג"פ מחמת תשמיש:</w:t>
      </w:r>
    </w:p>
    <w:p w14:paraId="714CBA4A" w14:textId="77777777" w:rsidR="002E5BAD" w:rsidRPr="008E3200" w:rsidRDefault="002E5BAD" w:rsidP="00B75458">
      <w:pPr>
        <w:pStyle w:val="ab"/>
        <w:numPr>
          <w:ilvl w:val="0"/>
          <w:numId w:val="204"/>
        </w:numPr>
        <w:rPr>
          <w:rtl/>
        </w:rPr>
      </w:pPr>
      <w:r w:rsidRPr="00F25143">
        <w:rPr>
          <w:rFonts w:cs="Arial" w:hint="cs"/>
          <w:rtl/>
        </w:rPr>
        <w:t>מ</w:t>
      </w:r>
      <w:r w:rsidRPr="00F25143">
        <w:rPr>
          <w:rFonts w:cs="Arial"/>
          <w:rtl/>
        </w:rPr>
        <w:t>הר"</w:t>
      </w:r>
      <w:r w:rsidRPr="00F25143">
        <w:rPr>
          <w:rFonts w:cs="Arial" w:hint="cs"/>
          <w:rtl/>
        </w:rPr>
        <w:t>ם</w:t>
      </w:r>
      <w:r w:rsidRPr="00F25143">
        <w:rPr>
          <w:rFonts w:cs="Arial"/>
          <w:rtl/>
        </w:rPr>
        <w:t xml:space="preserve"> </w:t>
      </w:r>
      <w:r w:rsidRPr="00F25143">
        <w:rPr>
          <w:rFonts w:cs="Arial" w:hint="cs"/>
          <w:sz w:val="16"/>
          <w:szCs w:val="16"/>
          <w:rtl/>
        </w:rPr>
        <w:t>(</w:t>
      </w:r>
      <w:r w:rsidRPr="00F25143">
        <w:rPr>
          <w:rFonts w:cs="Arial"/>
          <w:sz w:val="16"/>
          <w:szCs w:val="16"/>
          <w:rtl/>
        </w:rPr>
        <w:t>בסוף תשובות הרשב"א ח"א סי' תתמ)</w:t>
      </w:r>
      <w:r w:rsidRPr="00F25143">
        <w:rPr>
          <w:rFonts w:cs="Arial" w:hint="cs"/>
          <w:rtl/>
        </w:rPr>
        <w:t>-</w:t>
      </w:r>
      <w:r w:rsidRPr="00F25143">
        <w:rPr>
          <w:rFonts w:cs="Arial"/>
          <w:rtl/>
        </w:rPr>
        <w:t xml:space="preserve"> רואה דם מחמת תשמיש אין לה תקנה לישאר עם בעלה אלא תתגרש לאלתר ואסור להשהותה דחיישינן שמא יבא עליה</w:t>
      </w:r>
      <w:r w:rsidRPr="00F25143">
        <w:rPr>
          <w:rFonts w:cs="Arial" w:hint="cs"/>
          <w:rtl/>
        </w:rPr>
        <w:t>.</w:t>
      </w:r>
      <w:r w:rsidRPr="00F25143">
        <w:rPr>
          <w:rFonts w:cs="Arial"/>
          <w:rtl/>
        </w:rPr>
        <w:t xml:space="preserve"> </w:t>
      </w:r>
      <w:r w:rsidRPr="00F25143">
        <w:rPr>
          <w:rFonts w:cs="Arial" w:hint="cs"/>
          <w:rtl/>
        </w:rPr>
        <w:t>ו</w:t>
      </w:r>
      <w:r w:rsidRPr="00F25143">
        <w:rPr>
          <w:rFonts w:cs="Arial"/>
          <w:rtl/>
        </w:rPr>
        <w:t xml:space="preserve">כן </w:t>
      </w:r>
      <w:r w:rsidRPr="00F25143">
        <w:rPr>
          <w:rFonts w:cs="Arial" w:hint="cs"/>
          <w:rtl/>
        </w:rPr>
        <w:t xml:space="preserve">נראה </w:t>
      </w:r>
      <w:r w:rsidRPr="00F25143">
        <w:rPr>
          <w:rFonts w:cs="Arial"/>
          <w:rtl/>
        </w:rPr>
        <w:t>מדברי הרמב"ם (שם הל' ח - י)</w:t>
      </w:r>
      <w:r w:rsidRPr="00F25143">
        <w:rPr>
          <w:rFonts w:cs="Arial" w:hint="cs"/>
          <w:rtl/>
        </w:rPr>
        <w:t>.</w:t>
      </w:r>
      <w:r w:rsidRPr="00F25143">
        <w:rPr>
          <w:rFonts w:cs="Arial"/>
          <w:rtl/>
        </w:rPr>
        <w:t xml:space="preserve"> ואע"ג דבריש זבחים (ב:) גבי אשה לאו לגירושין עומדת כתב ר"י (תוס' שם ד"ה סתם) דאפילו זינתה יכולה להיות תחתיו ותשמשנו כשפחה</w:t>
      </w:r>
      <w:r w:rsidRPr="00F25143">
        <w:rPr>
          <w:rFonts w:cs="Arial" w:hint="cs"/>
          <w:rtl/>
        </w:rPr>
        <w:t>,</w:t>
      </w:r>
      <w:r w:rsidRPr="00F25143">
        <w:rPr>
          <w:rFonts w:cs="Arial"/>
          <w:rtl/>
        </w:rPr>
        <w:t xml:space="preserve"> שאני התם דליכא למיחש כולי האי שמא יבוא עליה</w:t>
      </w:r>
      <w:r w:rsidRPr="00F25143">
        <w:rPr>
          <w:rFonts w:cs="Arial" w:hint="cs"/>
          <w:rtl/>
        </w:rPr>
        <w:t>,</w:t>
      </w:r>
      <w:r w:rsidRPr="00F25143">
        <w:rPr>
          <w:rFonts w:cs="Arial"/>
          <w:rtl/>
        </w:rPr>
        <w:t xml:space="preserve"> דכיון שזינתה תחתיו שונא אותה ומאוסה בעיניו</w:t>
      </w:r>
      <w:r>
        <w:rPr>
          <w:rStyle w:val="a7"/>
          <w:rFonts w:cs="Arial"/>
          <w:rtl/>
        </w:rPr>
        <w:footnoteReference w:id="3252"/>
      </w:r>
      <w:r w:rsidRPr="00F25143">
        <w:rPr>
          <w:rFonts w:cs="Arial" w:hint="cs"/>
          <w:rtl/>
        </w:rPr>
        <w:t>.</w:t>
      </w:r>
      <w:r w:rsidRPr="00F25143">
        <w:rPr>
          <w:rFonts w:cs="Arial"/>
          <w:rtl/>
        </w:rPr>
        <w:t xml:space="preserve"> ומיהו נראה לי דהכא עד כל זמן שאינו חפץ לישא אחרת ורוצה להשרותה ע"י שליש ובשנה אחת ולא ילך אצלה אלא בעדים אין צריך לגרש אם אינה באה מחמת טענה</w:t>
      </w:r>
      <w:r w:rsidRPr="00F25143">
        <w:rPr>
          <w:rFonts w:cs="Arial" w:hint="cs"/>
          <w:rtl/>
        </w:rPr>
        <w:t>.</w:t>
      </w:r>
      <w:r w:rsidRPr="00F25143">
        <w:rPr>
          <w:rFonts w:cs="Arial"/>
          <w:rtl/>
        </w:rPr>
        <w:t xml:space="preserve"> אבל אם רצה לישא אשה אחרת זו יוציא ויתן כתובה</w:t>
      </w:r>
      <w:r w:rsidRPr="00F25143">
        <w:rPr>
          <w:rFonts w:cs="Arial" w:hint="cs"/>
          <w:rtl/>
        </w:rPr>
        <w:t>.</w:t>
      </w:r>
      <w:r>
        <w:rPr>
          <w:rFonts w:hint="cs"/>
          <w:rtl/>
        </w:rPr>
        <w:t xml:space="preserve"> </w:t>
      </w:r>
      <w:r w:rsidRPr="00F25143">
        <w:rPr>
          <w:rFonts w:hint="cs"/>
          <w:color w:val="00B0F0"/>
          <w:rtl/>
        </w:rPr>
        <w:t>(וכ"כ הרמ"א)</w:t>
      </w:r>
    </w:p>
    <w:p w14:paraId="27938B1E"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4CB678" w14:textId="77777777" w:rsidR="002E5BAD" w:rsidRDefault="002E5BAD" w:rsidP="002E5BAD">
      <w:pPr>
        <w:rPr>
          <w:rtl/>
        </w:rPr>
      </w:pPr>
      <w:r>
        <w:rPr>
          <w:rFonts w:cs="Arial"/>
          <w:rtl/>
        </w:rPr>
        <w:t>הנושא אשה, ובדקה עצמה ונבעלה, ובעת שקנחה עצמה היא והוא נמצא דם על עד שלה או על עד שלו, אם אירע זה פעם אחר פעם ג' פעמים סמוכות זו לזו, הרי זו אסורה לישב עם בעלה, ותצא בלא כתובה, לא עיקר ולא תוספת, ולא תנאי מתנאי הכתובה</w:t>
      </w:r>
      <w:r>
        <w:rPr>
          <w:rStyle w:val="a7"/>
          <w:rFonts w:cs="Arial"/>
          <w:rtl/>
        </w:rPr>
        <w:footnoteReference w:id="3253"/>
      </w:r>
      <w:r>
        <w:rPr>
          <w:rFonts w:cs="Arial"/>
          <w:rtl/>
        </w:rPr>
        <w:t>, שהרי אינה ראויה לתשמיש</w:t>
      </w:r>
      <w:r>
        <w:rPr>
          <w:rFonts w:cs="Arial" w:hint="cs"/>
          <w:rtl/>
        </w:rPr>
        <w:t>.</w:t>
      </w:r>
      <w:r>
        <w:rPr>
          <w:rFonts w:cs="Arial"/>
          <w:rtl/>
        </w:rPr>
        <w:t xml:space="preserve"> ויוציא, ולא יחזיר לעולם. ב</w:t>
      </w:r>
      <w:r>
        <w:rPr>
          <w:rFonts w:cs="Arial" w:hint="cs"/>
          <w:rtl/>
        </w:rPr>
        <w:t>מה דברים אמורים</w:t>
      </w:r>
      <w:r>
        <w:rPr>
          <w:rFonts w:cs="Arial"/>
          <w:rtl/>
        </w:rPr>
        <w:t xml:space="preserve">, כשהיתה כך </w:t>
      </w:r>
      <w:r>
        <w:rPr>
          <w:rFonts w:cs="Arial"/>
          <w:rtl/>
        </w:rPr>
        <w:lastRenderedPageBreak/>
        <w:t>מתחלת נשואיה, ומבעילה ראשונה ראתה דם</w:t>
      </w:r>
      <w:r>
        <w:rPr>
          <w:rStyle w:val="a7"/>
          <w:rFonts w:cs="Arial"/>
          <w:rtl/>
        </w:rPr>
        <w:footnoteReference w:id="3254"/>
      </w:r>
      <w:r>
        <w:rPr>
          <w:rFonts w:cs="Arial"/>
          <w:rtl/>
        </w:rPr>
        <w:t xml:space="preserve">. אבל אם אירע לה חולי זה אחר שנשאת, נסתחפה שדהו. לפיכך אם בעל פעם אחת ולא מצא דם, ואחר כך חזרה להיות רואה דם בכל עת תשמיש, יוציא ויתן כתובה כולה, ולא יחזיר עולמית. </w:t>
      </w:r>
      <w:r w:rsidRPr="009B12C2">
        <w:rPr>
          <w:rFonts w:cs="Arial"/>
          <w:sz w:val="18"/>
          <w:szCs w:val="18"/>
          <w:rtl/>
        </w:rPr>
        <w:t>הגה: י"א דאם אינו רוצה לישא אחרת, ורוצה לשרות עם זו ע"י שליש בשנה</w:t>
      </w:r>
      <w:r>
        <w:rPr>
          <w:rStyle w:val="a7"/>
          <w:rFonts w:cs="Arial"/>
          <w:sz w:val="18"/>
          <w:szCs w:val="18"/>
          <w:rtl/>
        </w:rPr>
        <w:footnoteReference w:id="3255"/>
      </w:r>
      <w:r w:rsidRPr="009B12C2">
        <w:rPr>
          <w:rFonts w:cs="Arial"/>
          <w:sz w:val="18"/>
          <w:szCs w:val="18"/>
          <w:rtl/>
        </w:rPr>
        <w:t xml:space="preserve"> אחת, ולא ילך אצלה אלא בעדים, אין צריך לגרשה</w:t>
      </w:r>
      <w:r>
        <w:rPr>
          <w:rStyle w:val="a7"/>
          <w:rFonts w:cs="Arial"/>
          <w:sz w:val="18"/>
          <w:szCs w:val="18"/>
          <w:rtl/>
        </w:rPr>
        <w:footnoteReference w:id="3256"/>
      </w:r>
      <w:r w:rsidRPr="009B12C2">
        <w:rPr>
          <w:rFonts w:cs="Arial"/>
          <w:sz w:val="18"/>
          <w:szCs w:val="18"/>
          <w:rtl/>
        </w:rPr>
        <w:t xml:space="preserve"> (</w:t>
      </w:r>
      <w:r>
        <w:rPr>
          <w:rFonts w:cs="Arial" w:hint="cs"/>
          <w:sz w:val="18"/>
          <w:szCs w:val="18"/>
          <w:rtl/>
        </w:rPr>
        <w:t>מ</w:t>
      </w:r>
      <w:r w:rsidRPr="009B12C2">
        <w:rPr>
          <w:rFonts w:cs="Arial"/>
          <w:sz w:val="18"/>
          <w:szCs w:val="18"/>
          <w:rtl/>
        </w:rPr>
        <w:t>הר"ם). וכ"ש אם זנתה תחתיו, דמאיסה ליה, דשרי בכה"ג (שם).</w:t>
      </w:r>
      <w:r>
        <w:rPr>
          <w:rFonts w:cs="Arial"/>
          <w:rtl/>
        </w:rPr>
        <w:t xml:space="preserve"> </w:t>
      </w:r>
    </w:p>
    <w:p w14:paraId="3400F8C1" w14:textId="77777777" w:rsidR="002E5BAD" w:rsidRDefault="002E5BAD" w:rsidP="002E5BAD">
      <w:pPr>
        <w:rPr>
          <w:rtl/>
        </w:rPr>
      </w:pPr>
    </w:p>
    <w:p w14:paraId="2453D1D1" w14:textId="77777777" w:rsidR="002E5BAD" w:rsidRDefault="002E5BAD" w:rsidP="002E5BAD">
      <w:pPr>
        <w:pStyle w:val="2"/>
        <w:rPr>
          <w:rtl/>
        </w:rPr>
      </w:pPr>
      <w:r>
        <w:rPr>
          <w:rtl/>
        </w:rPr>
        <w:t>סעיף ב</w:t>
      </w:r>
      <w:r>
        <w:rPr>
          <w:rFonts w:hint="cs"/>
          <w:rtl/>
        </w:rPr>
        <w:t>: בעל שטוען על אשתו שאינה ראויה לאיש.</w:t>
      </w:r>
    </w:p>
    <w:p w14:paraId="3EA50043" w14:textId="77777777" w:rsidR="002E5BAD" w:rsidRPr="007F65E3" w:rsidRDefault="002E5BAD" w:rsidP="002E5BAD">
      <w:pPr>
        <w:rPr>
          <w:u w:val="single"/>
          <w:rtl/>
        </w:rPr>
      </w:pPr>
      <w:r w:rsidRPr="007F65E3">
        <w:rPr>
          <w:rFonts w:hint="cs"/>
          <w:u w:val="single"/>
          <w:rtl/>
        </w:rPr>
        <w:t>האומר על אשתו שאינה ראויה לאיש</w:t>
      </w:r>
      <w:r>
        <w:rPr>
          <w:rFonts w:hint="cs"/>
          <w:sz w:val="16"/>
          <w:szCs w:val="16"/>
          <w:u w:val="single"/>
          <w:rtl/>
        </w:rPr>
        <w:t xml:space="preserve"> (כגון שהיא טומטום)</w:t>
      </w:r>
      <w:r w:rsidRPr="007F65E3">
        <w:rPr>
          <w:rFonts w:hint="cs"/>
          <w:u w:val="single"/>
          <w:rtl/>
        </w:rPr>
        <w:t>, והיא אומרת שהיא כן רא</w:t>
      </w:r>
      <w:r>
        <w:rPr>
          <w:rFonts w:hint="cs"/>
          <w:u w:val="single"/>
          <w:rtl/>
        </w:rPr>
        <w:t>ו</w:t>
      </w:r>
      <w:r w:rsidRPr="007F65E3">
        <w:rPr>
          <w:rFonts w:hint="cs"/>
          <w:u w:val="single"/>
          <w:rtl/>
        </w:rPr>
        <w:t>יה:</w:t>
      </w:r>
    </w:p>
    <w:p w14:paraId="5B07F32A" w14:textId="77777777" w:rsidR="002E5BAD" w:rsidRPr="009E695B" w:rsidRDefault="002E5BAD" w:rsidP="00B75458">
      <w:pPr>
        <w:pStyle w:val="ab"/>
        <w:numPr>
          <w:ilvl w:val="0"/>
          <w:numId w:val="204"/>
        </w:numPr>
      </w:pPr>
      <w:r w:rsidRPr="008E3200">
        <w:rPr>
          <w:rFonts w:cs="Arial"/>
          <w:rtl/>
        </w:rPr>
        <w:t xml:space="preserve">רא"ש </w:t>
      </w:r>
      <w:r>
        <w:rPr>
          <w:rFonts w:cs="Arial" w:hint="cs"/>
          <w:sz w:val="16"/>
          <w:szCs w:val="16"/>
          <w:rtl/>
        </w:rPr>
        <w:t>(כלל לג סי' ב)</w:t>
      </w:r>
      <w:r>
        <w:rPr>
          <w:rFonts w:cs="Arial" w:hint="cs"/>
          <w:rtl/>
        </w:rPr>
        <w:t xml:space="preserve"> וטור-</w:t>
      </w:r>
      <w:r w:rsidRPr="008E3200">
        <w:rPr>
          <w:rFonts w:cs="Arial"/>
          <w:rtl/>
        </w:rPr>
        <w:t xml:space="preserve"> האומר על אשתו שאינה ראויה לאיש</w:t>
      </w:r>
      <w:r>
        <w:rPr>
          <w:rFonts w:cs="Arial" w:hint="cs"/>
          <w:rtl/>
        </w:rPr>
        <w:t>.</w:t>
      </w:r>
      <w:r w:rsidRPr="008E3200">
        <w:rPr>
          <w:rFonts w:cs="Arial"/>
          <w:rtl/>
        </w:rPr>
        <w:t xml:space="preserve"> והיא אומרת שהיא ככל הנשים</w:t>
      </w:r>
      <w:r>
        <w:rPr>
          <w:rFonts w:cs="Arial" w:hint="cs"/>
          <w:rtl/>
        </w:rPr>
        <w:t>.</w:t>
      </w:r>
      <w:r w:rsidRPr="008E3200">
        <w:rPr>
          <w:rFonts w:cs="Arial"/>
          <w:rtl/>
        </w:rPr>
        <w:t xml:space="preserve"> דבר זה יבדוק ע"י נשים הגונות וכשרות</w:t>
      </w:r>
      <w:r>
        <w:rPr>
          <w:rFonts w:cs="Arial" w:hint="cs"/>
          <w:rtl/>
        </w:rPr>
        <w:t>,</w:t>
      </w:r>
      <w:r w:rsidRPr="008E3200">
        <w:rPr>
          <w:rFonts w:cs="Arial"/>
          <w:rtl/>
        </w:rPr>
        <w:t xml:space="preserve"> אם הן אומרות שאינה ראויה לאיש</w:t>
      </w:r>
      <w:r>
        <w:rPr>
          <w:rFonts w:cs="Arial" w:hint="cs"/>
          <w:rtl/>
        </w:rPr>
        <w:t xml:space="preserve"> -</w:t>
      </w:r>
      <w:r w:rsidRPr="008E3200">
        <w:rPr>
          <w:rFonts w:cs="Arial"/>
          <w:rtl/>
        </w:rPr>
        <w:t xml:space="preserve"> אין לה עליו לא כתובה ולא תנאי כתובה</w:t>
      </w:r>
      <w:r>
        <w:rPr>
          <w:rFonts w:cs="Arial" w:hint="cs"/>
          <w:rtl/>
        </w:rPr>
        <w:t>.</w:t>
      </w:r>
      <w:r w:rsidRPr="008E3200">
        <w:rPr>
          <w:rFonts w:cs="Arial"/>
          <w:rtl/>
        </w:rPr>
        <w:t xml:space="preserve"> ואם הם אומרות שהיא ראויה לאיש </w:t>
      </w:r>
      <w:r>
        <w:rPr>
          <w:rFonts w:cs="Arial" w:hint="cs"/>
          <w:rtl/>
        </w:rPr>
        <w:t xml:space="preserve">- </w:t>
      </w:r>
      <w:r w:rsidRPr="008E3200">
        <w:rPr>
          <w:rFonts w:cs="Arial"/>
          <w:rtl/>
        </w:rPr>
        <w:t>הרי היא ככל הנשים</w:t>
      </w:r>
      <w:r>
        <w:rPr>
          <w:rFonts w:cs="Arial" w:hint="cs"/>
          <w:rtl/>
        </w:rPr>
        <w:t>.</w:t>
      </w:r>
      <w:r w:rsidRPr="008E3200">
        <w:rPr>
          <w:rFonts w:cs="Arial"/>
          <w:rtl/>
        </w:rPr>
        <w:t xml:space="preserve"> וכל זמן שלא נבדקה </w:t>
      </w:r>
      <w:r>
        <w:rPr>
          <w:rFonts w:cs="Arial" w:hint="cs"/>
          <w:rtl/>
        </w:rPr>
        <w:t xml:space="preserve">- </w:t>
      </w:r>
      <w:r w:rsidRPr="008E3200">
        <w:rPr>
          <w:rFonts w:cs="Arial"/>
          <w:rtl/>
        </w:rPr>
        <w:t>אינו חייב במזונותיה</w:t>
      </w:r>
      <w:r>
        <w:rPr>
          <w:rFonts w:cs="Arial" w:hint="cs"/>
          <w:sz w:val="16"/>
          <w:szCs w:val="16"/>
          <w:rtl/>
        </w:rPr>
        <w:t xml:space="preserve"> (ל' הטור בשם הרא"ש)</w:t>
      </w:r>
      <w:r>
        <w:rPr>
          <w:rFonts w:cs="Arial" w:hint="cs"/>
          <w:rtl/>
        </w:rPr>
        <w:t>.</w:t>
      </w:r>
      <w:r w:rsidRPr="008E3200">
        <w:rPr>
          <w:rFonts w:cs="Arial"/>
          <w:rtl/>
        </w:rPr>
        <w:t xml:space="preserve"> </w:t>
      </w:r>
      <w:r w:rsidRPr="00544E63">
        <w:rPr>
          <w:rFonts w:hint="cs"/>
          <w:color w:val="E36C0A" w:themeColor="accent6" w:themeShade="BF"/>
          <w:rtl/>
        </w:rPr>
        <w:t>(וכ"פ בשו"ע)</w:t>
      </w:r>
    </w:p>
    <w:p w14:paraId="5B08708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D1651F" w14:textId="77777777" w:rsidR="002E5BAD" w:rsidRDefault="002E5BAD" w:rsidP="002E5BAD">
      <w:pPr>
        <w:rPr>
          <w:rtl/>
        </w:rPr>
      </w:pPr>
      <w:r>
        <w:rPr>
          <w:rFonts w:cs="Arial"/>
          <w:rtl/>
        </w:rPr>
        <w:t>אשה שנבדקה על ידי נשים, ואמרו שאינה ראויה לאיש</w:t>
      </w:r>
      <w:r>
        <w:rPr>
          <w:rStyle w:val="a7"/>
          <w:rFonts w:cs="Arial"/>
          <w:rtl/>
        </w:rPr>
        <w:footnoteReference w:id="3257"/>
      </w:r>
      <w:r>
        <w:rPr>
          <w:rFonts w:cs="Arial"/>
          <w:rtl/>
        </w:rPr>
        <w:t xml:space="preserve">, אין לה כתובה ולא תנאי כתובה. ואם הבעל טוען עליה כך, כל זמן שלא נבדקה אינו חייב במזונותיה. </w:t>
      </w:r>
    </w:p>
    <w:p w14:paraId="1521490E" w14:textId="77777777" w:rsidR="002E5BAD" w:rsidRDefault="002E5BAD" w:rsidP="002E5BAD">
      <w:pPr>
        <w:rPr>
          <w:rtl/>
        </w:rPr>
      </w:pPr>
    </w:p>
    <w:p w14:paraId="38FC5C0D" w14:textId="77777777" w:rsidR="002E5BAD" w:rsidRDefault="002E5BAD" w:rsidP="002E5BAD">
      <w:pPr>
        <w:pStyle w:val="2"/>
        <w:rPr>
          <w:rtl/>
        </w:rPr>
      </w:pPr>
      <w:r>
        <w:rPr>
          <w:rtl/>
        </w:rPr>
        <w:t>סעיף ג</w:t>
      </w:r>
      <w:r>
        <w:rPr>
          <w:rFonts w:hint="cs"/>
          <w:rtl/>
        </w:rPr>
        <w:t>: נמצאו עליה נדרים.</w:t>
      </w:r>
    </w:p>
    <w:p w14:paraId="446440E1" w14:textId="77777777" w:rsidR="002E5BAD" w:rsidRDefault="002E5BAD" w:rsidP="002E5BAD">
      <w:pPr>
        <w:rPr>
          <w:rtl/>
        </w:rPr>
      </w:pPr>
      <w:r w:rsidRPr="00593A25">
        <w:rPr>
          <w:rFonts w:cs="Arial" w:hint="cs"/>
          <w:b/>
          <w:bCs/>
          <w:rtl/>
        </w:rPr>
        <w:t xml:space="preserve">כתובות </w:t>
      </w:r>
      <w:r w:rsidRPr="00593A25">
        <w:rPr>
          <w:rFonts w:cs="Arial" w:hint="cs"/>
          <w:b/>
          <w:bCs/>
          <w:sz w:val="16"/>
          <w:szCs w:val="16"/>
          <w:rtl/>
        </w:rPr>
        <w:t xml:space="preserve">(פ' המדיר) </w:t>
      </w:r>
      <w:r w:rsidRPr="00593A25">
        <w:rPr>
          <w:rFonts w:cs="Arial" w:hint="cs"/>
          <w:b/>
          <w:bCs/>
          <w:rtl/>
        </w:rPr>
        <w:t>ע</w:t>
      </w:r>
      <w:r>
        <w:rPr>
          <w:rFonts w:cs="Arial" w:hint="cs"/>
          <w:b/>
          <w:bCs/>
          <w:rtl/>
        </w:rPr>
        <w:t>ב</w:t>
      </w:r>
      <w:r w:rsidRPr="00593A25">
        <w:rPr>
          <w:rFonts w:cs="Arial" w:hint="cs"/>
          <w:b/>
          <w:bCs/>
          <w:rtl/>
        </w:rPr>
        <w:t xml:space="preserve"> ע"</w:t>
      </w:r>
      <w:r>
        <w:rPr>
          <w:rFonts w:cs="Arial" w:hint="cs"/>
          <w:b/>
          <w:bCs/>
          <w:rtl/>
        </w:rPr>
        <w:t>ב</w:t>
      </w:r>
      <w:r w:rsidRPr="00593A25">
        <w:rPr>
          <w:rFonts w:cs="Arial" w:hint="cs"/>
          <w:b/>
          <w:bCs/>
          <w:rtl/>
        </w:rPr>
        <w:t xml:space="preserve">: </w:t>
      </w:r>
      <w:r w:rsidRPr="00593A25">
        <w:rPr>
          <w:rFonts w:cs="Arial"/>
          <w:u w:val="double"/>
          <w:rtl/>
        </w:rPr>
        <w:t>מתני'</w:t>
      </w:r>
      <w:r w:rsidRPr="00593A25">
        <w:rPr>
          <w:rFonts w:cs="Arial" w:hint="cs"/>
          <w:rtl/>
        </w:rPr>
        <w:t>:</w:t>
      </w:r>
      <w:r>
        <w:rPr>
          <w:rFonts w:cs="Arial" w:hint="cs"/>
          <w:rtl/>
        </w:rPr>
        <w:t xml:space="preserve"> </w:t>
      </w:r>
      <w:r>
        <w:rPr>
          <w:rFonts w:cs="Arial"/>
          <w:rtl/>
        </w:rPr>
        <w:t>המקדש את האשה על מנת שאין עליה נדרים, ונמצאו עליה נדרים - אינה מקודשת</w:t>
      </w:r>
      <w:r>
        <w:rPr>
          <w:rFonts w:cs="Arial" w:hint="cs"/>
          <w:rtl/>
        </w:rPr>
        <w:t>.</w:t>
      </w:r>
      <w:r>
        <w:rPr>
          <w:rFonts w:cs="Arial"/>
          <w:rtl/>
        </w:rPr>
        <w:t xml:space="preserve"> כנסה סתם, ונמצאו עליה נדרים - תצא שלא בכתובה. על מנת שאין בה מומין, ונמצאו בה מומין - אינה מקודשת</w:t>
      </w:r>
      <w:r>
        <w:rPr>
          <w:rFonts w:cs="Arial" w:hint="cs"/>
          <w:rtl/>
        </w:rPr>
        <w:t>.</w:t>
      </w:r>
      <w:r>
        <w:rPr>
          <w:rFonts w:cs="Arial"/>
          <w:rtl/>
        </w:rPr>
        <w:t xml:space="preserve"> כנסה סתם, ונמצאו בה מומין - תצא שלא בכתובה. כל המומין הפוסלין בכהנים - פוסלין בנשים</w:t>
      </w:r>
      <w:r>
        <w:rPr>
          <w:rFonts w:cs="Arial" w:hint="cs"/>
          <w:rtl/>
        </w:rPr>
        <w:t>.</w:t>
      </w:r>
    </w:p>
    <w:p w14:paraId="5519CFA1" w14:textId="77777777" w:rsidR="002E5BAD" w:rsidRPr="00E1583F" w:rsidRDefault="002E5BAD" w:rsidP="002E5BAD">
      <w:pPr>
        <w:rPr>
          <w:u w:val="single"/>
          <w:rtl/>
        </w:rPr>
      </w:pPr>
      <w:r>
        <w:rPr>
          <w:rFonts w:hint="cs"/>
          <w:u w:val="single"/>
          <w:rtl/>
        </w:rPr>
        <w:t xml:space="preserve">אשה שבעלה </w:t>
      </w:r>
      <w:r w:rsidRPr="00E1583F">
        <w:rPr>
          <w:rFonts w:hint="cs"/>
          <w:u w:val="single"/>
          <w:rtl/>
        </w:rPr>
        <w:t>מצא עליה נדרים:</w:t>
      </w:r>
    </w:p>
    <w:p w14:paraId="5A3F2FCC" w14:textId="77777777" w:rsidR="002E5BAD" w:rsidRDefault="002E5BAD" w:rsidP="00B75458">
      <w:pPr>
        <w:pStyle w:val="ab"/>
        <w:numPr>
          <w:ilvl w:val="0"/>
          <w:numId w:val="204"/>
        </w:numPr>
        <w:rPr>
          <w:rtl/>
        </w:rPr>
      </w:pPr>
      <w:r>
        <w:rPr>
          <w:rFonts w:cs="Arial" w:hint="cs"/>
          <w:rtl/>
        </w:rPr>
        <w:lastRenderedPageBreak/>
        <w:t xml:space="preserve">טור- </w:t>
      </w:r>
      <w:r w:rsidRPr="008E3200">
        <w:rPr>
          <w:rFonts w:cs="Arial"/>
          <w:rtl/>
        </w:rPr>
        <w:t xml:space="preserve">נמצאו עליה מומין או נדרים </w:t>
      </w:r>
      <w:r>
        <w:rPr>
          <w:rFonts w:cs="Arial" w:hint="cs"/>
          <w:rtl/>
        </w:rPr>
        <w:t xml:space="preserve">- </w:t>
      </w:r>
      <w:r w:rsidRPr="008E3200">
        <w:rPr>
          <w:rFonts w:cs="Arial"/>
          <w:rtl/>
        </w:rPr>
        <w:t>תצא בלא כתובה</w:t>
      </w:r>
      <w:r>
        <w:rPr>
          <w:rFonts w:cs="Arial" w:hint="cs"/>
          <w:rtl/>
        </w:rPr>
        <w:t>,</w:t>
      </w:r>
      <w:r w:rsidRPr="008E3200">
        <w:rPr>
          <w:rFonts w:cs="Arial"/>
          <w:rtl/>
        </w:rPr>
        <w:t xml:space="preserve"> אפילו נישאת סתם</w:t>
      </w:r>
      <w:r>
        <w:rPr>
          <w:rStyle w:val="a7"/>
          <w:rFonts w:cs="Arial"/>
          <w:rtl/>
        </w:rPr>
        <w:footnoteReference w:id="3258"/>
      </w:r>
      <w:r>
        <w:rPr>
          <w:rFonts w:cs="Arial" w:hint="cs"/>
          <w:rtl/>
        </w:rPr>
        <w:t>.</w:t>
      </w:r>
      <w:r w:rsidRPr="008E3200">
        <w:rPr>
          <w:rFonts w:cs="Arial"/>
          <w:rtl/>
        </w:rPr>
        <w:t xml:space="preserve"> ולמעלה בהלכות קידושין</w:t>
      </w:r>
      <w:r>
        <w:rPr>
          <w:rStyle w:val="a7"/>
          <w:rFonts w:cs="Arial"/>
          <w:rtl/>
        </w:rPr>
        <w:footnoteReference w:id="3259"/>
      </w:r>
      <w:r w:rsidRPr="008E3200">
        <w:rPr>
          <w:rFonts w:cs="Arial"/>
          <w:rtl/>
        </w:rPr>
        <w:t xml:space="preserve"> פירשתי באיזה מומין ונדרים איירי</w:t>
      </w:r>
      <w:r>
        <w:rPr>
          <w:rStyle w:val="a7"/>
          <w:rFonts w:cs="Arial"/>
          <w:rtl/>
        </w:rPr>
        <w:footnoteReference w:id="3260"/>
      </w:r>
      <w:r w:rsidRPr="00551FED">
        <w:rPr>
          <w:rFonts w:cs="Arial" w:hint="cs"/>
          <w:rtl/>
        </w:rPr>
        <w:t>.</w:t>
      </w:r>
      <w:r>
        <w:rPr>
          <w:rFonts w:hint="cs"/>
          <w:color w:val="E36C0A" w:themeColor="accent6" w:themeShade="BF"/>
          <w:rtl/>
        </w:rPr>
        <w:t xml:space="preserve"> </w:t>
      </w:r>
      <w:r w:rsidRPr="00544E63">
        <w:rPr>
          <w:rFonts w:hint="cs"/>
          <w:color w:val="E36C0A" w:themeColor="accent6" w:themeShade="BF"/>
          <w:rtl/>
        </w:rPr>
        <w:t>(וכ"פ בשו"ע)</w:t>
      </w:r>
    </w:p>
    <w:p w14:paraId="45199CE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A5CE39" w14:textId="77777777" w:rsidR="002E5BAD" w:rsidRDefault="002E5BAD" w:rsidP="002E5BAD">
      <w:pPr>
        <w:rPr>
          <w:rtl/>
        </w:rPr>
      </w:pPr>
      <w:r>
        <w:rPr>
          <w:rFonts w:cs="Arial"/>
          <w:rtl/>
        </w:rPr>
        <w:t xml:space="preserve">הנושא אשה, סתם, ונמצאו עליה נדרים שנתבארו בסימן ל"ט, תצא בלא כתובה, לא עיקר ולא תוספת. </w:t>
      </w:r>
    </w:p>
    <w:p w14:paraId="2DE514EF" w14:textId="77777777" w:rsidR="002E5BAD" w:rsidRDefault="002E5BAD" w:rsidP="002E5BAD">
      <w:pPr>
        <w:rPr>
          <w:rtl/>
        </w:rPr>
      </w:pPr>
    </w:p>
    <w:p w14:paraId="4860DF74" w14:textId="77777777" w:rsidR="002E5BAD" w:rsidRDefault="002E5BAD" w:rsidP="002E5BAD">
      <w:pPr>
        <w:pStyle w:val="2"/>
        <w:rPr>
          <w:rtl/>
        </w:rPr>
      </w:pPr>
      <w:r>
        <w:rPr>
          <w:rtl/>
        </w:rPr>
        <w:t>סעיף ד</w:t>
      </w:r>
      <w:r>
        <w:rPr>
          <w:rFonts w:hint="cs"/>
          <w:rtl/>
        </w:rPr>
        <w:t>:</w:t>
      </w:r>
      <w:r w:rsidRPr="00420954">
        <w:rPr>
          <w:rFonts w:hint="cs"/>
          <w:rtl/>
        </w:rPr>
        <w:t xml:space="preserve"> </w:t>
      </w:r>
      <w:r>
        <w:rPr>
          <w:rFonts w:hint="cs"/>
          <w:rtl/>
        </w:rPr>
        <w:t>נמצאו עליה מומים.</w:t>
      </w:r>
    </w:p>
    <w:p w14:paraId="476952B0" w14:textId="77777777" w:rsidR="002E5BAD" w:rsidRPr="009B12C2" w:rsidRDefault="002E5BAD" w:rsidP="002E5BAD">
      <w:pPr>
        <w:rPr>
          <w:rtl/>
        </w:rPr>
      </w:pPr>
      <w:r>
        <w:rPr>
          <w:rFonts w:hint="cs"/>
          <w:rtl/>
        </w:rPr>
        <w:t>עיין במקורות בסעיף הקודם.</w:t>
      </w:r>
    </w:p>
    <w:p w14:paraId="2E95F2D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921831" w14:textId="77777777" w:rsidR="002E5BAD" w:rsidRDefault="002E5BAD" w:rsidP="002E5BAD">
      <w:pPr>
        <w:rPr>
          <w:rtl/>
        </w:rPr>
      </w:pPr>
      <w:r>
        <w:rPr>
          <w:rFonts w:cs="Arial"/>
          <w:rtl/>
        </w:rPr>
        <w:t xml:space="preserve">וכן הכונס אשה, סתם, ונמצא בה מום ממומי הנשים שנתבארו בסי' ל"ט, ולא ידע הבעל במום זה, תצא בלא כתובה, לא עיקר ולא תוספת. </w:t>
      </w:r>
    </w:p>
    <w:p w14:paraId="04B6F3D6" w14:textId="77777777" w:rsidR="002E5BAD" w:rsidRDefault="002E5BAD" w:rsidP="002E5BAD">
      <w:pPr>
        <w:rPr>
          <w:rtl/>
        </w:rPr>
      </w:pPr>
    </w:p>
    <w:p w14:paraId="79B4F8A9" w14:textId="77777777" w:rsidR="002E5BAD" w:rsidRDefault="002E5BAD" w:rsidP="002E5BAD">
      <w:pPr>
        <w:pStyle w:val="2"/>
        <w:rPr>
          <w:rtl/>
        </w:rPr>
      </w:pPr>
      <w:r>
        <w:rPr>
          <w:rtl/>
        </w:rPr>
        <w:t>סעיף ה</w:t>
      </w:r>
      <w:r>
        <w:rPr>
          <w:rFonts w:hint="cs"/>
          <w:rtl/>
        </w:rPr>
        <w:t>: טענת מומים כשיש בעיר מרחץ.</w:t>
      </w:r>
    </w:p>
    <w:p w14:paraId="2EB453C5" w14:textId="77777777" w:rsidR="002E5BAD" w:rsidRPr="009B12C2" w:rsidRDefault="002E5BAD" w:rsidP="002E5BAD">
      <w:pPr>
        <w:rPr>
          <w:rtl/>
        </w:rPr>
      </w:pPr>
    </w:p>
    <w:p w14:paraId="56FE877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9F53A4" w14:textId="77777777" w:rsidR="002E5BAD" w:rsidRDefault="002E5BAD" w:rsidP="002E5BAD">
      <w:pPr>
        <w:rPr>
          <w:rtl/>
        </w:rPr>
      </w:pPr>
      <w:r>
        <w:rPr>
          <w:rFonts w:cs="Arial"/>
          <w:rtl/>
        </w:rPr>
        <w:t>אם יש מרחץ בעיר והיו לו קרובים שם, אינו יכול לומר: לא ידעתי מומין אלו, ואפילו מומין שבסתר, מפני שהוא בודק ע</w:t>
      </w:r>
      <w:r>
        <w:rPr>
          <w:rFonts w:cs="Arial" w:hint="cs"/>
          <w:rtl/>
        </w:rPr>
        <w:t>ל יד</w:t>
      </w:r>
      <w:r>
        <w:rPr>
          <w:rFonts w:cs="Arial"/>
          <w:rtl/>
        </w:rPr>
        <w:t xml:space="preserve">י קרובותיו וחזקתו ששמע ונתרצה. ואם אין שם מרחץ, או שלא היו לו שם קרובים, טוען במומין שבסתר. ונכפה לעתים ידועים, הרי הוא כמומי סתר. אבל במומין שבגלוי אינו יכול לטעון, שחזקתו ששמע ונתפייס. </w:t>
      </w:r>
      <w:r w:rsidRPr="004C57D8">
        <w:rPr>
          <w:rFonts w:cs="Arial" w:hint="cs"/>
          <w:sz w:val="18"/>
          <w:szCs w:val="18"/>
          <w:rtl/>
        </w:rPr>
        <w:t xml:space="preserve">[הגה] </w:t>
      </w:r>
      <w:r w:rsidRPr="004C57D8">
        <w:rPr>
          <w:rFonts w:cs="Arial"/>
          <w:sz w:val="18"/>
          <w:szCs w:val="18"/>
          <w:rtl/>
        </w:rPr>
        <w:t xml:space="preserve">המשתנת במטה תמיד, י"א דלא הוי מום (ב"י בשם הרשב"ץ). וי"א דהוי מום (ב"י), וכן נראה לי עיקר. טען על אשתו שהיא מצורעת, הוי מום (ב"י). </w:t>
      </w:r>
    </w:p>
    <w:p w14:paraId="6458A6FF" w14:textId="77777777" w:rsidR="002E5BAD" w:rsidRDefault="002E5BAD" w:rsidP="002E5BAD">
      <w:pPr>
        <w:rPr>
          <w:rtl/>
        </w:rPr>
      </w:pPr>
    </w:p>
    <w:p w14:paraId="380B7E8C" w14:textId="77777777" w:rsidR="002E5BAD" w:rsidRDefault="002E5BAD" w:rsidP="002E5BAD">
      <w:pPr>
        <w:pStyle w:val="2"/>
        <w:rPr>
          <w:rtl/>
        </w:rPr>
      </w:pPr>
      <w:r>
        <w:rPr>
          <w:rtl/>
        </w:rPr>
        <w:t>סעיף ו</w:t>
      </w:r>
      <w:r>
        <w:rPr>
          <w:rFonts w:hint="cs"/>
          <w:rtl/>
        </w:rPr>
        <w:t>:</w:t>
      </w:r>
      <w:r w:rsidRPr="004C57D8">
        <w:rPr>
          <w:rFonts w:hint="cs"/>
          <w:rtl/>
        </w:rPr>
        <w:t xml:space="preserve"> </w:t>
      </w:r>
      <w:r>
        <w:rPr>
          <w:rFonts w:hint="cs"/>
          <w:rtl/>
        </w:rPr>
        <w:t>טענת מומים במקום שנוהגות לילך ופניהם מכוסות.</w:t>
      </w:r>
    </w:p>
    <w:p w14:paraId="2C0288A4" w14:textId="77777777" w:rsidR="002E5BAD" w:rsidRPr="009B12C2" w:rsidRDefault="002E5BAD" w:rsidP="002E5BAD">
      <w:pPr>
        <w:rPr>
          <w:rtl/>
        </w:rPr>
      </w:pPr>
    </w:p>
    <w:p w14:paraId="7840D5D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597AC4" w14:textId="77777777" w:rsidR="002E5BAD" w:rsidRDefault="002E5BAD" w:rsidP="002E5BAD">
      <w:pPr>
        <w:rPr>
          <w:rtl/>
        </w:rPr>
      </w:pPr>
      <w:r>
        <w:rPr>
          <w:rFonts w:cs="Arial"/>
          <w:rtl/>
        </w:rPr>
        <w:t>ב</w:t>
      </w:r>
      <w:r>
        <w:rPr>
          <w:rFonts w:cs="Arial" w:hint="cs"/>
          <w:rtl/>
        </w:rPr>
        <w:t>מה דברים אמורים</w:t>
      </w:r>
      <w:r>
        <w:rPr>
          <w:rFonts w:cs="Arial"/>
          <w:rtl/>
        </w:rPr>
        <w:t xml:space="preserve">, במקום שמנהג הנשים להלך בשוק ופניהן גלויות, אבל במקום שאין דרך הבנות לצאת לשוק כלל, ואם תצא למרחץ תצא מתנכרת, הרי זה טוען אפילו מומין שבגלוי. ואם יש שם מרחץ, אם יש לו קרובה אינו יכול לטעון, שבודאי הכל רואין אותה ערומה במרחץ. ואם דרכן להתחבא במרחץ, יכול לטעון אף מומין שבגלוי. </w:t>
      </w:r>
      <w:r w:rsidRPr="004C57D8">
        <w:rPr>
          <w:rFonts w:cs="Arial" w:hint="cs"/>
          <w:sz w:val="18"/>
          <w:szCs w:val="18"/>
          <w:rtl/>
        </w:rPr>
        <w:t xml:space="preserve">[הגה] </w:t>
      </w:r>
      <w:r w:rsidRPr="004C57D8">
        <w:rPr>
          <w:rFonts w:cs="Arial"/>
          <w:sz w:val="18"/>
          <w:szCs w:val="18"/>
          <w:rtl/>
        </w:rPr>
        <w:t>וי"א דאפילו אין לו קרובים בעיר, יש לו רעים ובודק על ידי נשותיהן (טור בשם הגאונים).</w:t>
      </w:r>
      <w:r>
        <w:rPr>
          <w:rFonts w:cs="Arial"/>
          <w:rtl/>
        </w:rPr>
        <w:t xml:space="preserve"> </w:t>
      </w:r>
    </w:p>
    <w:p w14:paraId="05C7983C" w14:textId="77777777" w:rsidR="002E5BAD" w:rsidRDefault="002E5BAD" w:rsidP="002E5BAD">
      <w:pPr>
        <w:rPr>
          <w:rtl/>
        </w:rPr>
      </w:pPr>
    </w:p>
    <w:p w14:paraId="5527DFE8" w14:textId="77777777" w:rsidR="002E5BAD" w:rsidRDefault="002E5BAD" w:rsidP="002E5BAD">
      <w:pPr>
        <w:pStyle w:val="2"/>
        <w:rPr>
          <w:rtl/>
        </w:rPr>
      </w:pPr>
      <w:r>
        <w:rPr>
          <w:rtl/>
        </w:rPr>
        <w:t>סעיף ז</w:t>
      </w:r>
      <w:r>
        <w:rPr>
          <w:rFonts w:hint="cs"/>
          <w:rtl/>
        </w:rPr>
        <w:t>: טענת מומים כיצד.</w:t>
      </w:r>
    </w:p>
    <w:p w14:paraId="75C5A444" w14:textId="77777777" w:rsidR="002E5BAD" w:rsidRPr="009B12C2" w:rsidRDefault="002E5BAD" w:rsidP="002E5BAD">
      <w:pPr>
        <w:rPr>
          <w:rtl/>
        </w:rPr>
      </w:pPr>
    </w:p>
    <w:p w14:paraId="3A3BAE8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A250A0" w14:textId="77777777" w:rsidR="002E5BAD" w:rsidRDefault="002E5BAD" w:rsidP="002E5BAD">
      <w:pPr>
        <w:rPr>
          <w:rtl/>
        </w:rPr>
      </w:pPr>
      <w:r>
        <w:rPr>
          <w:rFonts w:cs="Arial"/>
          <w:rtl/>
        </w:rPr>
        <w:lastRenderedPageBreak/>
        <w:t xml:space="preserve">כיצד היא טענת המומין, אם היו המומין שנמצאו בה מומין שודאי היה בה קודם שתתארס, כגון אצבע יתירה וכיוצא בו, על האב להביא ראיה שידע הבעל ונתרצה או שחזקתו שידע. ואם לא הביא ראיה, תצא בלא כתובה כלל. </w:t>
      </w:r>
    </w:p>
    <w:p w14:paraId="53FBC1B9" w14:textId="77777777" w:rsidR="002E5BAD" w:rsidRDefault="002E5BAD" w:rsidP="002E5BAD">
      <w:pPr>
        <w:rPr>
          <w:rtl/>
        </w:rPr>
      </w:pPr>
    </w:p>
    <w:p w14:paraId="7C43A780" w14:textId="77777777" w:rsidR="002E5BAD" w:rsidRDefault="002E5BAD" w:rsidP="002E5BAD">
      <w:pPr>
        <w:pStyle w:val="2"/>
        <w:rPr>
          <w:rtl/>
        </w:rPr>
      </w:pPr>
      <w:r>
        <w:rPr>
          <w:rtl/>
        </w:rPr>
        <w:t>סעיף ח</w:t>
      </w:r>
      <w:r>
        <w:rPr>
          <w:rFonts w:hint="cs"/>
          <w:rtl/>
        </w:rPr>
        <w:t>: מומים שאפשר שנולדו לאחר האירוסין.</w:t>
      </w:r>
    </w:p>
    <w:p w14:paraId="4A7DDCC6" w14:textId="77777777" w:rsidR="002E5BAD" w:rsidRPr="009B12C2" w:rsidRDefault="002E5BAD" w:rsidP="002E5BAD">
      <w:pPr>
        <w:rPr>
          <w:rtl/>
        </w:rPr>
      </w:pPr>
    </w:p>
    <w:p w14:paraId="598B7AC2"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F154B8" w14:textId="77777777" w:rsidR="002E5BAD" w:rsidRDefault="002E5BAD" w:rsidP="002E5BAD">
      <w:pPr>
        <w:rPr>
          <w:rtl/>
        </w:rPr>
      </w:pPr>
      <w:r>
        <w:rPr>
          <w:rFonts w:cs="Arial"/>
          <w:rtl/>
        </w:rPr>
        <w:t xml:space="preserve">היו בה מומין שאפשר שנולדו בה אחר האירוסין, אם נמצאו בה אחר שכנסה לבית הבעל, על הבעל להביא ראיה שעד שלא נתארסה היה בה והיה מקחו מקח טעות. ואם נמצאו בה והיא בבית אביה, על האב להביא ראיה שאחר האירוסין נולדו ונסתחפה שדהו. </w:t>
      </w:r>
      <w:r w:rsidRPr="009B12C2">
        <w:rPr>
          <w:rFonts w:cs="Arial"/>
          <w:sz w:val="18"/>
          <w:szCs w:val="18"/>
          <w:rtl/>
        </w:rPr>
        <w:t>הגה: וי"א דאם האב טוען ודאי, על הבעל להביא ראיה (המ"מ פכ"ה בשם הרשב"א). וי"א דאם הגיע זמן לכנס, אף על פי שלא כנסה, הוי כאילו היתה ברשות הבעל (רבינו ירוחם נכ"ג ח"ב).</w:t>
      </w:r>
      <w:r>
        <w:rPr>
          <w:rFonts w:cs="Arial"/>
          <w:rtl/>
        </w:rPr>
        <w:t xml:space="preserve"> </w:t>
      </w:r>
    </w:p>
    <w:p w14:paraId="034BF46F" w14:textId="77777777" w:rsidR="002E5BAD" w:rsidRDefault="002E5BAD" w:rsidP="002E5BAD">
      <w:pPr>
        <w:rPr>
          <w:rtl/>
        </w:rPr>
      </w:pPr>
    </w:p>
    <w:p w14:paraId="13ECF4C8" w14:textId="77777777" w:rsidR="002E5BAD" w:rsidRDefault="002E5BAD" w:rsidP="002E5BAD">
      <w:pPr>
        <w:pStyle w:val="2"/>
        <w:rPr>
          <w:rtl/>
        </w:rPr>
      </w:pPr>
      <w:r>
        <w:rPr>
          <w:rtl/>
        </w:rPr>
        <w:t>סעיף ט</w:t>
      </w:r>
      <w:r>
        <w:rPr>
          <w:rFonts w:hint="cs"/>
          <w:rtl/>
        </w:rPr>
        <w:t>: בעלה ואביה הביאו ראיה על המום.</w:t>
      </w:r>
    </w:p>
    <w:p w14:paraId="047767D1" w14:textId="77777777" w:rsidR="002E5BAD" w:rsidRPr="009B12C2" w:rsidRDefault="002E5BAD" w:rsidP="002E5BAD">
      <w:pPr>
        <w:rPr>
          <w:rtl/>
        </w:rPr>
      </w:pPr>
    </w:p>
    <w:p w14:paraId="73D6682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66BF52" w14:textId="77777777" w:rsidR="002E5BAD" w:rsidRDefault="002E5BAD" w:rsidP="002E5BAD">
      <w:pPr>
        <w:rPr>
          <w:rtl/>
        </w:rPr>
      </w:pPr>
      <w:r>
        <w:rPr>
          <w:rFonts w:cs="Arial"/>
          <w:rtl/>
        </w:rPr>
        <w:t xml:space="preserve">הביא הבעל ראיה שעד שלא תתארס היו בה, או שהודית לו בכך, והביא האב ראיה שראה ושתק ונתפייס או שחזקתו שידע בהן ונתפייס, הרי זה חייב בכתובה. </w:t>
      </w:r>
    </w:p>
    <w:p w14:paraId="17C658C6" w14:textId="77777777" w:rsidR="002E5BAD" w:rsidRDefault="002E5BAD" w:rsidP="002E5BAD">
      <w:pPr>
        <w:rPr>
          <w:rtl/>
        </w:rPr>
      </w:pPr>
    </w:p>
    <w:p w14:paraId="2F486F4F" w14:textId="77777777" w:rsidR="002E5BAD" w:rsidRDefault="002E5BAD" w:rsidP="002E5BAD">
      <w:pPr>
        <w:pStyle w:val="2"/>
        <w:rPr>
          <w:rtl/>
        </w:rPr>
      </w:pPr>
      <w:r>
        <w:rPr>
          <w:rtl/>
        </w:rPr>
        <w:t>סעיף י</w:t>
      </w:r>
      <w:r>
        <w:rPr>
          <w:rFonts w:hint="cs"/>
          <w:rtl/>
        </w:rPr>
        <w:t>: טענת מומים לאחר זמן.</w:t>
      </w:r>
    </w:p>
    <w:p w14:paraId="08E2F934" w14:textId="77777777" w:rsidR="002E5BAD" w:rsidRPr="009B12C2" w:rsidRDefault="002E5BAD" w:rsidP="002E5BAD">
      <w:pPr>
        <w:rPr>
          <w:rtl/>
        </w:rPr>
      </w:pPr>
    </w:p>
    <w:p w14:paraId="067EE8A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B02150" w14:textId="77777777" w:rsidR="002E5BAD" w:rsidRDefault="002E5BAD" w:rsidP="002E5BAD">
      <w:pPr>
        <w:rPr>
          <w:rtl/>
        </w:rPr>
      </w:pPr>
      <w:r>
        <w:rPr>
          <w:rFonts w:cs="Arial"/>
          <w:rtl/>
        </w:rPr>
        <w:t>בא על אשתו, ושהה כמה ימים, וטען שמום זה לא נראה לו עד עתה, אפילו היה בתוך הקמטים (פירוש כגון תחת בית השחי ותחת הדדים וכדומה) או בכף הרגל, אין שומעין לו, חזקה אין אדם שותה בכוס א</w:t>
      </w:r>
      <w:r>
        <w:rPr>
          <w:rFonts w:cs="Arial" w:hint="cs"/>
          <w:rtl/>
        </w:rPr>
        <w:t xml:space="preserve">לא </w:t>
      </w:r>
      <w:r>
        <w:rPr>
          <w:rFonts w:cs="Arial"/>
          <w:rtl/>
        </w:rPr>
        <w:t>א</w:t>
      </w:r>
      <w:r>
        <w:rPr>
          <w:rFonts w:cs="Arial" w:hint="cs"/>
          <w:rtl/>
        </w:rPr>
        <w:t xml:space="preserve">ם </w:t>
      </w:r>
      <w:r>
        <w:rPr>
          <w:rFonts w:cs="Arial"/>
          <w:rtl/>
        </w:rPr>
        <w:t>כ</w:t>
      </w:r>
      <w:r>
        <w:rPr>
          <w:rFonts w:cs="Arial" w:hint="cs"/>
          <w:rtl/>
        </w:rPr>
        <w:t>ן</w:t>
      </w:r>
      <w:r>
        <w:rPr>
          <w:rFonts w:cs="Arial"/>
          <w:rtl/>
        </w:rPr>
        <w:t xml:space="preserve"> בודקו וידע ונתפייס. </w:t>
      </w:r>
      <w:r w:rsidRPr="009B12C2">
        <w:rPr>
          <w:rFonts w:cs="Arial"/>
          <w:sz w:val="18"/>
          <w:szCs w:val="18"/>
          <w:rtl/>
        </w:rPr>
        <w:t xml:space="preserve">הגה: ואם שהה עמה ל' יום, אינו נאמן לומר שלא בעל (מהרי"ק שורש ק"ה). </w:t>
      </w:r>
    </w:p>
    <w:p w14:paraId="78FAE14F" w14:textId="77777777" w:rsidR="002E5BAD" w:rsidRDefault="002E5BAD" w:rsidP="002E5BAD">
      <w:pPr>
        <w:rPr>
          <w:rtl/>
        </w:rPr>
      </w:pPr>
    </w:p>
    <w:p w14:paraId="4BA29F71" w14:textId="77777777" w:rsidR="002E5BAD" w:rsidRDefault="002E5BAD" w:rsidP="002E5BAD">
      <w:pPr>
        <w:pStyle w:val="2"/>
        <w:rPr>
          <w:rtl/>
        </w:rPr>
      </w:pPr>
      <w:r>
        <w:rPr>
          <w:rtl/>
        </w:rPr>
        <w:t>סעיף יא</w:t>
      </w:r>
      <w:r>
        <w:rPr>
          <w:rFonts w:hint="cs"/>
          <w:rtl/>
        </w:rPr>
        <w:t>: מי שרוצה לגרש אשתו משום מום, ואין לו לשלם כתובתה.</w:t>
      </w:r>
    </w:p>
    <w:p w14:paraId="38CB82C0" w14:textId="77777777" w:rsidR="002E5BAD" w:rsidRPr="00551FED" w:rsidRDefault="002E5BAD" w:rsidP="002E5BAD">
      <w:pPr>
        <w:rPr>
          <w:u w:val="single"/>
          <w:rtl/>
        </w:rPr>
      </w:pPr>
      <w:r w:rsidRPr="00551FED">
        <w:rPr>
          <w:rFonts w:hint="cs"/>
          <w:u w:val="single"/>
          <w:rtl/>
        </w:rPr>
        <w:t>מי שרוצה לגרש אשתו משום מום</w:t>
      </w:r>
      <w:r>
        <w:rPr>
          <w:rFonts w:hint="cs"/>
          <w:u w:val="single"/>
          <w:rtl/>
        </w:rPr>
        <w:t>. ומה הדין</w:t>
      </w:r>
      <w:r w:rsidRPr="00551FED">
        <w:rPr>
          <w:rFonts w:hint="cs"/>
          <w:u w:val="single"/>
          <w:rtl/>
        </w:rPr>
        <w:t xml:space="preserve"> </w:t>
      </w:r>
      <w:r>
        <w:rPr>
          <w:rFonts w:hint="cs"/>
          <w:u w:val="single"/>
          <w:rtl/>
        </w:rPr>
        <w:t xml:space="preserve">אם </w:t>
      </w:r>
      <w:r w:rsidRPr="00551FED">
        <w:rPr>
          <w:rFonts w:hint="cs"/>
          <w:u w:val="single"/>
          <w:rtl/>
        </w:rPr>
        <w:t>אין לו לשלם כתובתה</w:t>
      </w:r>
      <w:r>
        <w:rPr>
          <w:rFonts w:hint="cs"/>
          <w:u w:val="single"/>
          <w:rtl/>
        </w:rPr>
        <w:t>. ומה הדין לאחר תקנת רבנו גרשום</w:t>
      </w:r>
      <w:r w:rsidRPr="00551FED">
        <w:rPr>
          <w:rFonts w:hint="cs"/>
          <w:u w:val="single"/>
          <w:rtl/>
        </w:rPr>
        <w:t>:</w:t>
      </w:r>
    </w:p>
    <w:p w14:paraId="7263CB46" w14:textId="77777777" w:rsidR="002E5BAD" w:rsidRDefault="002E5BAD" w:rsidP="00B75458">
      <w:pPr>
        <w:pStyle w:val="ab"/>
        <w:numPr>
          <w:ilvl w:val="0"/>
          <w:numId w:val="204"/>
        </w:numPr>
      </w:pPr>
      <w:r w:rsidRPr="00551FED">
        <w:rPr>
          <w:rFonts w:cs="Arial"/>
          <w:rtl/>
        </w:rPr>
        <w:t xml:space="preserve">רא"ש </w:t>
      </w:r>
      <w:r w:rsidRPr="00551FED">
        <w:rPr>
          <w:rFonts w:cs="Arial" w:hint="cs"/>
          <w:sz w:val="16"/>
          <w:szCs w:val="16"/>
          <w:rtl/>
        </w:rPr>
        <w:t>(</w:t>
      </w:r>
      <w:r w:rsidRPr="00551FED">
        <w:rPr>
          <w:rFonts w:cs="Arial"/>
          <w:sz w:val="16"/>
          <w:szCs w:val="16"/>
          <w:rtl/>
        </w:rPr>
        <w:t>כלל מב סי' א)</w:t>
      </w:r>
      <w:r w:rsidRPr="00551FED">
        <w:rPr>
          <w:rFonts w:cs="Arial" w:hint="cs"/>
          <w:rtl/>
        </w:rPr>
        <w:t>-</w:t>
      </w:r>
      <w:r w:rsidRPr="00551FED">
        <w:rPr>
          <w:rFonts w:cs="Arial"/>
          <w:rtl/>
        </w:rPr>
        <w:t xml:space="preserve"> </w:t>
      </w:r>
      <w:r w:rsidRPr="00046742">
        <w:rPr>
          <w:rFonts w:cs="Arial"/>
          <w:rtl/>
        </w:rPr>
        <w:t xml:space="preserve">על ראובן שנשא אשה ושהה עמה יותר משנתים ונודע לו שהיא נכפית והוציאה מביתו, והנה תובעת ממנו שאר כסות ועונה והוא משיב שהדבר ידוע שאין הדעת סובלתה להסתופף אצלה גם סכנה יש בדבר וחפץ לגרשה וליתן לה את כל אשר לו ועני הוא ואינו משיג לוטרין היילוייש. ומטיבותיכו נדין לפניכם כתלמיד לפני רבותיו. אמת הוא שחכמי הגמ' אמרו בין שנולדו בו מומין גדולים בין שנולדו מומין קטנים כופין אותו להוציא. ור"ג מאור הגולה ז"ל פי' בתשוב' אחת דנכפה הוי מום גדול. ובאשה אמרו חכמים אם נולדה בה מומין נסתחפה שדהו ואם בא לגרשה צריך שיתן לה כתובתה. ועתה בימי חכמי הגמרא אם אירע מום זה באשה בעלה היה מגרשה ומתחייב לה כתובה ויפרע מה שנמצא בידו והשאר באשר תשיג ידו. ועתה שתיקן הגאון רבינו גרשום ז"ל שאין לגרשה בעל כרחה איך יתכן שיתחייב לה שאר כסות ועונה אם כן יפה כח האשה הרבה מכח האיש. דאלו נולד מום זה באיש אין אנו אומרין יכפוה להיות אצלה אלא כופין אותו להוציא ויתן כתובה ואם נולד באשה יכפוהו להיות אצלה ולפרנסה. השתא באיש שאינו מוציא אלא לרצונו כופין אותו להוציא ויתן כתובה אם נולדו בו מומין אשה שמתגרשת בעל כרחה לא כל שכן, אלא שרבינו גרשום עשה גדר לדבר וכי לאו קל וחומר שלא עלתה על לבו על כיוצא בזה לעגן האיש לבטלו מפריה ורביה, אלא ודאי יגרשנה </w:t>
      </w:r>
      <w:r w:rsidRPr="00046742">
        <w:rPr>
          <w:rFonts w:cs="Arial"/>
          <w:rtl/>
        </w:rPr>
        <w:lastRenderedPageBreak/>
        <w:t>ויתן לה כתובתה כי כולי האי לא ייפה בתקנתו כח האשה מכח האיש, אך כי ראה הדור פרוץ ומזלזלין בבנות ישראל בזריקת גט ותקן להשוות כח האשה לכח האיש כמו שהאיש אינו מוציא אלא לרצונו כך האשה אינה מתגרשת אלא לרצונה. אבל לא יתכן כלל לומר במקום שהאיש כופין להוציא לא יגרשנה בעל כרחה, ואף אם תמצא לומר שהשוה מדותיו ששום אדם לא יגרש בעל כרחה מכל מקום במה שהאיש כופין אותו להוציא אף האשה כופין אותה לקבל גט. ואם תמאן לקבל ימנע ממנה שאר כסות ועונה ואינה יכולה לומר אין רצוני לקבל גט עד שיתן לי כתובתי דזו אינה טענה כיון דמן הדין היא חייבת לקבל גט כאשר הוכחתי. נמצא פריעת חוב כתובתה הוי כשאר חוב שהיה מחוייב לה, והנמצא אתו יתן והמותר כאשר תשיג ידו</w:t>
      </w:r>
      <w:r w:rsidRPr="00551FED">
        <w:rPr>
          <w:rFonts w:cs="Arial" w:hint="cs"/>
          <w:rtl/>
        </w:rPr>
        <w:t>.</w:t>
      </w:r>
      <w:r>
        <w:rPr>
          <w:rFonts w:hint="cs"/>
          <w:rtl/>
        </w:rPr>
        <w:t xml:space="preserve"> </w:t>
      </w:r>
      <w:r w:rsidRPr="00544E63">
        <w:rPr>
          <w:rFonts w:hint="cs"/>
          <w:color w:val="E36C0A" w:themeColor="accent6" w:themeShade="BF"/>
          <w:rtl/>
        </w:rPr>
        <w:t>(וכ"פ בשו"ע)</w:t>
      </w:r>
      <w:r>
        <w:rPr>
          <w:rFonts w:hint="cs"/>
          <w:rtl/>
        </w:rPr>
        <w:t xml:space="preserve"> </w:t>
      </w:r>
      <w:r w:rsidRPr="002666AC">
        <w:rPr>
          <w:rFonts w:hint="cs"/>
          <w:color w:val="00B0F0"/>
          <w:rtl/>
        </w:rPr>
        <w:t>(וכ"פ הרמ</w:t>
      </w:r>
      <w:r>
        <w:rPr>
          <w:rFonts w:hint="cs"/>
          <w:color w:val="00B0F0"/>
          <w:rtl/>
        </w:rPr>
        <w:t>"א</w:t>
      </w:r>
      <w:r>
        <w:rPr>
          <w:rFonts w:hint="cs"/>
          <w:color w:val="000000" w:themeColor="text1"/>
          <w:sz w:val="16"/>
          <w:szCs w:val="16"/>
          <w:rtl/>
        </w:rPr>
        <w:t xml:space="preserve"> </w:t>
      </w:r>
      <w:r w:rsidRPr="00EC11A0">
        <w:rPr>
          <w:rFonts w:hint="cs"/>
          <w:color w:val="000000" w:themeColor="text1"/>
          <w:sz w:val="16"/>
          <w:szCs w:val="16"/>
          <w:rtl/>
        </w:rPr>
        <w:t>[</w:t>
      </w:r>
      <w:r>
        <w:rPr>
          <w:rFonts w:hint="cs"/>
          <w:color w:val="000000" w:themeColor="text1"/>
          <w:sz w:val="16"/>
          <w:szCs w:val="16"/>
          <w:rtl/>
        </w:rPr>
        <w:t>כאן, ובסי' קיט ס"ו</w:t>
      </w:r>
      <w:r w:rsidRPr="00EC11A0">
        <w:rPr>
          <w:rFonts w:hint="cs"/>
          <w:color w:val="000000" w:themeColor="text1"/>
          <w:sz w:val="16"/>
          <w:szCs w:val="16"/>
          <w:rtl/>
        </w:rPr>
        <w:t>]</w:t>
      </w:r>
      <w:r w:rsidRPr="002666AC">
        <w:rPr>
          <w:rFonts w:hint="cs"/>
          <w:color w:val="00B0F0"/>
          <w:rtl/>
        </w:rPr>
        <w:t>)</w:t>
      </w:r>
    </w:p>
    <w:p w14:paraId="797A403A" w14:textId="77777777" w:rsidR="002E5BAD" w:rsidRDefault="002E5BAD" w:rsidP="00B75458">
      <w:pPr>
        <w:pStyle w:val="ab"/>
        <w:numPr>
          <w:ilvl w:val="0"/>
          <w:numId w:val="204"/>
        </w:numPr>
      </w:pPr>
      <w:r w:rsidRPr="0022210A">
        <w:rPr>
          <w:rFonts w:cs="Arial"/>
          <w:rtl/>
        </w:rPr>
        <w:t xml:space="preserve">רשב"א </w:t>
      </w:r>
      <w:r w:rsidRPr="0022210A">
        <w:rPr>
          <w:rFonts w:cs="Arial" w:hint="cs"/>
          <w:sz w:val="16"/>
          <w:szCs w:val="16"/>
          <w:rtl/>
        </w:rPr>
        <w:t>(</w:t>
      </w:r>
      <w:r w:rsidRPr="0022210A">
        <w:rPr>
          <w:rFonts w:cs="Arial"/>
          <w:sz w:val="16"/>
          <w:szCs w:val="16"/>
          <w:rtl/>
        </w:rPr>
        <w:t>ח"א סי</w:t>
      </w:r>
      <w:r w:rsidRPr="0022210A">
        <w:rPr>
          <w:rFonts w:cs="Arial" w:hint="cs"/>
          <w:sz w:val="16"/>
          <w:szCs w:val="16"/>
          <w:rtl/>
        </w:rPr>
        <w:t>'</w:t>
      </w:r>
      <w:r w:rsidRPr="0022210A">
        <w:rPr>
          <w:rFonts w:cs="Arial"/>
          <w:sz w:val="16"/>
          <w:szCs w:val="16"/>
          <w:rtl/>
        </w:rPr>
        <w:t xml:space="preserve"> אלף רנד</w:t>
      </w:r>
      <w:r w:rsidRPr="0022210A">
        <w:rPr>
          <w:rFonts w:cs="Arial" w:hint="cs"/>
          <w:sz w:val="16"/>
          <w:szCs w:val="16"/>
          <w:rtl/>
        </w:rPr>
        <w:t>)</w:t>
      </w:r>
      <w:r w:rsidRPr="0022210A">
        <w:rPr>
          <w:rFonts w:cs="Arial"/>
          <w:rtl/>
        </w:rPr>
        <w:t xml:space="preserve"> </w:t>
      </w:r>
      <w:r>
        <w:rPr>
          <w:rFonts w:cs="Arial" w:hint="cs"/>
          <w:rtl/>
        </w:rPr>
        <w:t>ו</w:t>
      </w:r>
      <w:r w:rsidRPr="0022210A">
        <w:rPr>
          <w:rFonts w:cs="Arial"/>
          <w:rtl/>
        </w:rPr>
        <w:t>תשב"ץ</w:t>
      </w:r>
      <w:r w:rsidRPr="00594D8E">
        <w:rPr>
          <w:rFonts w:cs="Arial"/>
          <w:sz w:val="16"/>
          <w:szCs w:val="16"/>
          <w:rtl/>
        </w:rPr>
        <w:t xml:space="preserve"> </w:t>
      </w:r>
      <w:r w:rsidRPr="00594D8E">
        <w:rPr>
          <w:rFonts w:cs="Arial" w:hint="cs"/>
          <w:sz w:val="16"/>
          <w:szCs w:val="16"/>
          <w:rtl/>
        </w:rPr>
        <w:t>(</w:t>
      </w:r>
      <w:r w:rsidRPr="00594D8E">
        <w:rPr>
          <w:rFonts w:cs="Arial"/>
          <w:sz w:val="16"/>
          <w:szCs w:val="16"/>
          <w:rtl/>
        </w:rPr>
        <w:t>ח"ג סי' רכג)</w:t>
      </w:r>
      <w:r>
        <w:rPr>
          <w:rFonts w:cs="Arial" w:hint="cs"/>
          <w:rtl/>
        </w:rPr>
        <w:t>-</w:t>
      </w:r>
      <w:r w:rsidRPr="0022210A">
        <w:rPr>
          <w:rFonts w:cs="Arial"/>
          <w:rtl/>
        </w:rPr>
        <w:t xml:space="preserve"> שמעתי משם הגאון שאין אדם רשאי לגרש את אשתו אם אין לו לפרוע כתובתה</w:t>
      </w:r>
      <w:r>
        <w:rPr>
          <w:rFonts w:cs="Arial" w:hint="cs"/>
          <w:rtl/>
        </w:rPr>
        <w:t>,</w:t>
      </w:r>
      <w:r w:rsidRPr="0022210A">
        <w:rPr>
          <w:rFonts w:cs="Arial"/>
          <w:rtl/>
        </w:rPr>
        <w:t xml:space="preserve"> כן מצאתי לרב אלפס בתשובה</w:t>
      </w:r>
      <w:r>
        <w:rPr>
          <w:rStyle w:val="a7"/>
          <w:rFonts w:cs="Arial"/>
          <w:rtl/>
        </w:rPr>
        <w:footnoteReference w:id="3261"/>
      </w:r>
      <w:r w:rsidRPr="0022210A">
        <w:rPr>
          <w:rFonts w:cs="Arial"/>
          <w:rtl/>
        </w:rPr>
        <w:t xml:space="preserve"> </w:t>
      </w:r>
      <w:r w:rsidRPr="0029088C">
        <w:rPr>
          <w:rFonts w:cs="Arial"/>
          <w:sz w:val="16"/>
          <w:szCs w:val="16"/>
          <w:rtl/>
        </w:rPr>
        <w:t>(סי' יד דפוס ליוורנו</w:t>
      </w:r>
      <w:r w:rsidRPr="0029088C">
        <w:rPr>
          <w:rFonts w:cs="Arial" w:hint="cs"/>
          <w:sz w:val="16"/>
          <w:szCs w:val="16"/>
          <w:rtl/>
        </w:rPr>
        <w:t>, וסי' קג בשו"ת הרי"ף</w:t>
      </w:r>
      <w:r w:rsidRPr="0029088C">
        <w:rPr>
          <w:rFonts w:cs="Arial"/>
          <w:sz w:val="16"/>
          <w:szCs w:val="16"/>
          <w:rtl/>
        </w:rPr>
        <w:t>)</w:t>
      </w:r>
      <w:r>
        <w:rPr>
          <w:rFonts w:cs="Arial" w:hint="cs"/>
          <w:rtl/>
        </w:rPr>
        <w:t>,</w:t>
      </w:r>
      <w:r w:rsidRPr="0022210A">
        <w:rPr>
          <w:rFonts w:cs="Arial"/>
          <w:rtl/>
        </w:rPr>
        <w:t xml:space="preserve"> והביא ראיה מדתנן </w:t>
      </w:r>
      <w:r w:rsidRPr="0029088C">
        <w:rPr>
          <w:rFonts w:cs="Arial"/>
          <w:sz w:val="16"/>
          <w:szCs w:val="16"/>
          <w:rtl/>
        </w:rPr>
        <w:t xml:space="preserve">(כתובות נא.) </w:t>
      </w:r>
      <w:r w:rsidRPr="0022210A">
        <w:rPr>
          <w:rFonts w:cs="Arial"/>
          <w:rtl/>
        </w:rPr>
        <w:t>לקתה חייב לרפאותה ואם אמר הרי גיטה וכתובתה ותרפא את עצמה רשאי</w:t>
      </w:r>
      <w:r>
        <w:rPr>
          <w:rFonts w:cs="Arial" w:hint="cs"/>
          <w:rtl/>
        </w:rPr>
        <w:t>,</w:t>
      </w:r>
      <w:r w:rsidRPr="0022210A">
        <w:rPr>
          <w:rFonts w:cs="Arial"/>
          <w:rtl/>
        </w:rPr>
        <w:t xml:space="preserve"> אבל שלא בכתובתה אינו רשאי</w:t>
      </w:r>
      <w:r>
        <w:rPr>
          <w:rFonts w:cs="Arial" w:hint="cs"/>
          <w:rtl/>
        </w:rPr>
        <w:t>.</w:t>
      </w:r>
      <w:r w:rsidRPr="0022210A">
        <w:rPr>
          <w:rFonts w:cs="Arial"/>
          <w:rtl/>
        </w:rPr>
        <w:t xml:space="preserve"> ואם לא קיבל עליו את הדין מנדין אותו</w:t>
      </w:r>
      <w:r w:rsidRPr="00A054D1">
        <w:rPr>
          <w:rtl/>
        </w:rPr>
        <w:t xml:space="preserve"> </w:t>
      </w:r>
      <w:r w:rsidRPr="00A054D1">
        <w:rPr>
          <w:rFonts w:cs="Arial"/>
          <w:rtl/>
        </w:rPr>
        <w:t>זה לשון התשובה</w:t>
      </w:r>
      <w:r>
        <w:rPr>
          <w:rStyle w:val="a7"/>
          <w:rFonts w:cs="Arial"/>
          <w:rtl/>
        </w:rPr>
        <w:footnoteReference w:id="3262"/>
      </w:r>
      <w:r>
        <w:rPr>
          <w:rFonts w:cs="Arial" w:hint="cs"/>
          <w:sz w:val="16"/>
          <w:szCs w:val="16"/>
          <w:rtl/>
        </w:rPr>
        <w:t xml:space="preserve"> (ל' הרשב"א והתשב"ץ)</w:t>
      </w:r>
      <w:r>
        <w:rPr>
          <w:rFonts w:cs="Arial" w:hint="cs"/>
          <w:rtl/>
        </w:rPr>
        <w:t>.</w:t>
      </w:r>
    </w:p>
    <w:p w14:paraId="61FEDE64" w14:textId="77777777" w:rsidR="002E5BAD" w:rsidRDefault="002E5BAD" w:rsidP="00B75458">
      <w:pPr>
        <w:pStyle w:val="ab"/>
        <w:numPr>
          <w:ilvl w:val="0"/>
          <w:numId w:val="204"/>
        </w:numPr>
        <w:rPr>
          <w:rtl/>
        </w:rPr>
      </w:pPr>
      <w:r w:rsidRPr="0039471B">
        <w:rPr>
          <w:rFonts w:cs="Arial"/>
          <w:rtl/>
        </w:rPr>
        <w:t xml:space="preserve">מהרי"ק </w:t>
      </w:r>
      <w:r w:rsidRPr="008A635F">
        <w:rPr>
          <w:rFonts w:cs="Arial" w:hint="cs"/>
          <w:sz w:val="16"/>
          <w:szCs w:val="16"/>
          <w:rtl/>
        </w:rPr>
        <w:t>(</w:t>
      </w:r>
      <w:r w:rsidRPr="008A635F">
        <w:rPr>
          <w:rFonts w:cs="Arial"/>
          <w:sz w:val="16"/>
          <w:szCs w:val="16"/>
          <w:rtl/>
        </w:rPr>
        <w:t>שורש קז</w:t>
      </w:r>
      <w:r w:rsidRPr="008A635F">
        <w:rPr>
          <w:rFonts w:cs="Arial" w:hint="cs"/>
          <w:sz w:val="16"/>
          <w:szCs w:val="16"/>
          <w:rtl/>
        </w:rPr>
        <w:t>)</w:t>
      </w:r>
      <w:r>
        <w:rPr>
          <w:rFonts w:cs="Arial" w:hint="cs"/>
          <w:rtl/>
        </w:rPr>
        <w:t xml:space="preserve">- </w:t>
      </w:r>
      <w:r w:rsidRPr="008A635F">
        <w:rPr>
          <w:rFonts w:cs="Arial"/>
          <w:rtl/>
        </w:rPr>
        <w:t>על אודות יעקב שטוען על אשתו לאה טענת מום והיא אומרת דידע ומחיל שהרי שהה עמה כמה ימים ולא ערער</w:t>
      </w:r>
      <w:r>
        <w:rPr>
          <w:rFonts w:cs="Arial" w:hint="cs"/>
          <w:rtl/>
        </w:rPr>
        <w:t>.</w:t>
      </w:r>
      <w:r w:rsidRPr="008A635F">
        <w:rPr>
          <w:rFonts w:cs="Arial"/>
          <w:rtl/>
        </w:rPr>
        <w:t xml:space="preserve"> וכתב רבינו משה דבכה"ג לא מצי טוען</w:t>
      </w:r>
      <w:r>
        <w:rPr>
          <w:rFonts w:cs="Arial" w:hint="cs"/>
          <w:rtl/>
        </w:rPr>
        <w:t>.</w:t>
      </w:r>
      <w:r w:rsidRPr="008A635F">
        <w:rPr>
          <w:rFonts w:cs="Arial"/>
          <w:rtl/>
        </w:rPr>
        <w:t xml:space="preserve"> ועתה אומר הבעל שאם תרצה לקבל גט וכתובה מוטב ואם לאו תשב עד שתלבין ראשה</w:t>
      </w:r>
      <w:r>
        <w:rPr>
          <w:rFonts w:cs="Arial" w:hint="cs"/>
          <w:rtl/>
        </w:rPr>
        <w:t>..</w:t>
      </w:r>
      <w:r w:rsidRPr="008A635F">
        <w:rPr>
          <w:rFonts w:cs="Arial"/>
          <w:rtl/>
        </w:rPr>
        <w:t>. ומכל מקום לע"ד נר' דנהי שחייב בכתובתה בלי ספק ושלא יכול להוציאה בע"כ מכח תקנת הגאון דפשיטא דאין להקל בה בלא ראיה מ"מ אנו אין בידינו לכופו להיות עמה דאפשר לומר דבכי האי גוונא לא תיקן הגאון כיון שהוא בא מחמת טענה ונמאסת בעיניו מחמת המום ומה יעשה זה שאין יכול להתרצו</w:t>
      </w:r>
      <w:r>
        <w:rPr>
          <w:rFonts w:cs="Arial" w:hint="cs"/>
          <w:rtl/>
        </w:rPr>
        <w:t>ת</w:t>
      </w:r>
      <w:r w:rsidRPr="008A635F">
        <w:rPr>
          <w:rFonts w:cs="Arial"/>
          <w:rtl/>
        </w:rPr>
        <w:t xml:space="preserve"> בה ולהתפייס במומה ואם יהיה בנים ממנה הרי הם בני שנואה וגרושת הלב</w:t>
      </w:r>
      <w:r>
        <w:rPr>
          <w:rFonts w:cs="Arial" w:hint="cs"/>
          <w:rtl/>
        </w:rPr>
        <w:t>...</w:t>
      </w:r>
      <w:r>
        <w:rPr>
          <w:rStyle w:val="a7"/>
          <w:rFonts w:cs="Arial"/>
          <w:rtl/>
        </w:rPr>
        <w:footnoteReference w:id="3263"/>
      </w:r>
      <w:r>
        <w:rPr>
          <w:rFonts w:cs="Arial" w:hint="cs"/>
          <w:rtl/>
        </w:rPr>
        <w:t>.</w:t>
      </w:r>
      <w:r w:rsidRPr="0039471B">
        <w:rPr>
          <w:rFonts w:cs="Arial"/>
          <w:rtl/>
        </w:rPr>
        <w:t xml:space="preserve"> </w:t>
      </w:r>
    </w:p>
    <w:p w14:paraId="09A67CC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0D4E42" w14:textId="77777777" w:rsidR="002E5BAD" w:rsidRDefault="002E5BAD" w:rsidP="002E5BAD">
      <w:pPr>
        <w:rPr>
          <w:rFonts w:cs="Arial"/>
          <w:sz w:val="18"/>
          <w:szCs w:val="18"/>
          <w:rtl/>
        </w:rPr>
      </w:pPr>
      <w:r>
        <w:rPr>
          <w:rFonts w:cs="Arial"/>
          <w:rtl/>
        </w:rPr>
        <w:t>מי שנודע לו שאשתו נכפת</w:t>
      </w:r>
      <w:r>
        <w:rPr>
          <w:rStyle w:val="a7"/>
          <w:rFonts w:cs="Arial"/>
          <w:rtl/>
        </w:rPr>
        <w:footnoteReference w:id="3264"/>
      </w:r>
      <w:r>
        <w:rPr>
          <w:rFonts w:cs="Arial"/>
          <w:rtl/>
        </w:rPr>
        <w:t xml:space="preserve">, ורוצה לגרשה ואינו משיג כדי כתובתה, כופין אותה לקבל גט </w:t>
      </w:r>
      <w:r>
        <w:rPr>
          <w:rFonts w:cs="Arial" w:hint="cs"/>
          <w:sz w:val="18"/>
          <w:szCs w:val="18"/>
          <w:rtl/>
        </w:rPr>
        <w:t xml:space="preserve">[הגה] </w:t>
      </w:r>
      <w:r w:rsidRPr="00352B5A">
        <w:rPr>
          <w:rFonts w:cs="Arial"/>
          <w:sz w:val="18"/>
          <w:szCs w:val="18"/>
          <w:rtl/>
        </w:rPr>
        <w:t>ואין בזה משום תקנת ר"ג</w:t>
      </w:r>
      <w:r>
        <w:rPr>
          <w:rFonts w:cs="Arial" w:hint="cs"/>
          <w:sz w:val="18"/>
          <w:szCs w:val="18"/>
          <w:rtl/>
        </w:rPr>
        <w:t xml:space="preserve"> (רא"ש כלל מב סי' א)</w:t>
      </w:r>
      <w:r>
        <w:rPr>
          <w:rFonts w:cs="Arial" w:hint="cs"/>
          <w:rtl/>
        </w:rPr>
        <w:t>.</w:t>
      </w:r>
      <w:r>
        <w:rPr>
          <w:rFonts w:cs="Arial"/>
          <w:rtl/>
        </w:rPr>
        <w:t xml:space="preserve"> ויתן הנמצא בידו לכתובתה, והמותר כשתשיג ידו</w:t>
      </w:r>
      <w:r>
        <w:rPr>
          <w:rStyle w:val="a7"/>
          <w:rFonts w:cs="Arial"/>
          <w:rtl/>
        </w:rPr>
        <w:footnoteReference w:id="3265"/>
      </w:r>
      <w:r>
        <w:rPr>
          <w:rFonts w:cs="Arial" w:hint="cs"/>
          <w:rtl/>
        </w:rPr>
        <w:t>.</w:t>
      </w:r>
      <w:r>
        <w:rPr>
          <w:rFonts w:cs="Arial"/>
          <w:rtl/>
        </w:rPr>
        <w:t xml:space="preserve"> ואם תמאן לקבל גט</w:t>
      </w:r>
      <w:r>
        <w:rPr>
          <w:rStyle w:val="a7"/>
          <w:rFonts w:cs="Arial"/>
          <w:rtl/>
        </w:rPr>
        <w:footnoteReference w:id="3266"/>
      </w:r>
      <w:r>
        <w:rPr>
          <w:rFonts w:cs="Arial"/>
          <w:rtl/>
        </w:rPr>
        <w:t xml:space="preserve">, ימנע ממנה שאר כסות </w:t>
      </w:r>
      <w:r>
        <w:rPr>
          <w:rFonts w:cs="Arial"/>
          <w:rtl/>
        </w:rPr>
        <w:lastRenderedPageBreak/>
        <w:t>ועונה</w:t>
      </w:r>
      <w:r>
        <w:rPr>
          <w:rStyle w:val="a7"/>
          <w:rFonts w:cs="Arial"/>
          <w:rtl/>
        </w:rPr>
        <w:footnoteReference w:id="3267"/>
      </w:r>
      <w:r>
        <w:rPr>
          <w:rFonts w:cs="Arial"/>
          <w:rtl/>
        </w:rPr>
        <w:t xml:space="preserve">. </w:t>
      </w:r>
      <w:r w:rsidRPr="00352B5A">
        <w:rPr>
          <w:rFonts w:cs="Arial"/>
          <w:sz w:val="18"/>
          <w:szCs w:val="18"/>
          <w:rtl/>
        </w:rPr>
        <w:t>הגה: ודוקא במום גדול כזה שאלו היה באיש היו כופין לגרש מדין התלמוד, ולא תקן ר"ג שתהא האשה עדיפא מאיש (</w:t>
      </w:r>
      <w:r>
        <w:rPr>
          <w:rFonts w:cs="Arial" w:hint="cs"/>
          <w:sz w:val="18"/>
          <w:szCs w:val="18"/>
          <w:rtl/>
        </w:rPr>
        <w:t>שם</w:t>
      </w:r>
      <w:r w:rsidRPr="00352B5A">
        <w:rPr>
          <w:rFonts w:cs="Arial"/>
          <w:sz w:val="18"/>
          <w:szCs w:val="18"/>
          <w:rtl/>
        </w:rPr>
        <w:t>), אבל משום שאר מומין אינו יכול לגרשה בעל כרחה</w:t>
      </w:r>
      <w:r>
        <w:rPr>
          <w:rStyle w:val="a7"/>
          <w:rFonts w:cs="Arial"/>
          <w:sz w:val="18"/>
          <w:szCs w:val="18"/>
          <w:rtl/>
        </w:rPr>
        <w:footnoteReference w:id="3268"/>
      </w:r>
      <w:r w:rsidRPr="00352B5A">
        <w:rPr>
          <w:rFonts w:cs="Arial"/>
          <w:sz w:val="18"/>
          <w:szCs w:val="18"/>
          <w:rtl/>
        </w:rPr>
        <w:t>, אבל מכל מקום אין כופין אותו להיות עמה, מאחר דמאיסה עליו ורוצה לגרשה ולתת לה כתובתה</w:t>
      </w:r>
      <w:r>
        <w:rPr>
          <w:rStyle w:val="a7"/>
          <w:rFonts w:cs="Arial"/>
          <w:sz w:val="18"/>
          <w:szCs w:val="18"/>
          <w:rtl/>
        </w:rPr>
        <w:footnoteReference w:id="3269"/>
      </w:r>
      <w:r w:rsidRPr="00352B5A">
        <w:rPr>
          <w:rFonts w:cs="Arial"/>
          <w:sz w:val="18"/>
          <w:szCs w:val="18"/>
          <w:rtl/>
        </w:rPr>
        <w:t xml:space="preserve"> (מהרי"ק שורש קז).</w:t>
      </w:r>
    </w:p>
    <w:p w14:paraId="408018C3" w14:textId="77777777" w:rsidR="002E5BAD" w:rsidRDefault="002E5BAD" w:rsidP="002E5BAD">
      <w:pPr>
        <w:rPr>
          <w:rFonts w:cs="Arial"/>
          <w:rtl/>
        </w:rPr>
      </w:pPr>
      <w:r w:rsidRPr="00046742">
        <w:rPr>
          <w:rFonts w:cs="Arial" w:hint="cs"/>
          <w:u w:val="single"/>
          <w:rtl/>
        </w:rPr>
        <w:t>אשה חולה, ובעלה רוצה לדמות דינה לאשה נכפית:</w:t>
      </w:r>
      <w:r>
        <w:rPr>
          <w:rFonts w:cs="Arial"/>
          <w:rtl/>
        </w:rPr>
        <w:t xml:space="preserve"> </w:t>
      </w:r>
      <w:r w:rsidRPr="00046742">
        <w:rPr>
          <w:rFonts w:cs="Arial"/>
          <w:sz w:val="16"/>
          <w:szCs w:val="16"/>
          <w:rtl/>
        </w:rPr>
        <w:t>(</w:t>
      </w:r>
      <w:r w:rsidRPr="00046742">
        <w:rPr>
          <w:rFonts w:cs="Arial" w:hint="cs"/>
          <w:sz w:val="16"/>
          <w:szCs w:val="16"/>
          <w:rtl/>
        </w:rPr>
        <w:t>פת"ש סק"</w:t>
      </w:r>
      <w:r w:rsidRPr="00046742">
        <w:rPr>
          <w:rFonts w:cs="Arial"/>
          <w:sz w:val="16"/>
          <w:szCs w:val="16"/>
          <w:rtl/>
        </w:rPr>
        <w:t xml:space="preserve">ג) </w:t>
      </w:r>
    </w:p>
    <w:p w14:paraId="0D42C211" w14:textId="77777777" w:rsidR="002E5BAD" w:rsidRPr="007A3469" w:rsidRDefault="002E5BAD" w:rsidP="00B75458">
      <w:pPr>
        <w:pStyle w:val="ab"/>
        <w:numPr>
          <w:ilvl w:val="0"/>
          <w:numId w:val="204"/>
        </w:numPr>
        <w:rPr>
          <w:rtl/>
        </w:rPr>
        <w:sectPr w:rsidR="002E5BAD" w:rsidRPr="007A3469" w:rsidSect="00A347B3">
          <w:headerReference w:type="default" r:id="rId74"/>
          <w:footnotePr>
            <w:numRestart w:val="eachPage"/>
          </w:footnotePr>
          <w:pgSz w:w="11906" w:h="16838"/>
          <w:pgMar w:top="720" w:right="1134" w:bottom="720" w:left="1134" w:header="0" w:footer="0" w:gutter="0"/>
          <w:cols w:space="720"/>
          <w:bidi/>
          <w:rtlGutter/>
          <w:docGrid w:linePitch="360"/>
        </w:sectPr>
      </w:pPr>
      <w:r w:rsidRPr="00046742">
        <w:rPr>
          <w:rFonts w:cs="Arial"/>
          <w:rtl/>
        </w:rPr>
        <w:t>נו"ב</w:t>
      </w:r>
      <w:r w:rsidRPr="00046742">
        <w:rPr>
          <w:rFonts w:cs="Arial" w:hint="cs"/>
          <w:rtl/>
        </w:rPr>
        <w:t xml:space="preserve"> </w:t>
      </w:r>
      <w:r w:rsidRPr="00046742">
        <w:rPr>
          <w:rFonts w:cs="Arial" w:hint="cs"/>
          <w:sz w:val="16"/>
          <w:szCs w:val="16"/>
          <w:rtl/>
        </w:rPr>
        <w:t>(</w:t>
      </w:r>
      <w:r w:rsidRPr="00046742">
        <w:rPr>
          <w:rFonts w:cs="Arial"/>
          <w:sz w:val="16"/>
          <w:szCs w:val="16"/>
          <w:rtl/>
        </w:rPr>
        <w:t>תניינא סי</w:t>
      </w:r>
      <w:r w:rsidRPr="00046742">
        <w:rPr>
          <w:rFonts w:cs="Arial" w:hint="cs"/>
          <w:sz w:val="16"/>
          <w:szCs w:val="16"/>
          <w:rtl/>
        </w:rPr>
        <w:t>'</w:t>
      </w:r>
      <w:r w:rsidRPr="00046742">
        <w:rPr>
          <w:rFonts w:cs="Arial"/>
          <w:sz w:val="16"/>
          <w:szCs w:val="16"/>
          <w:rtl/>
        </w:rPr>
        <w:t xml:space="preserve"> קד</w:t>
      </w:r>
      <w:r w:rsidRPr="00046742">
        <w:rPr>
          <w:rFonts w:cs="Arial" w:hint="cs"/>
          <w:sz w:val="16"/>
          <w:szCs w:val="16"/>
          <w:rtl/>
        </w:rPr>
        <w:t>)</w:t>
      </w:r>
      <w:r w:rsidRPr="00046742">
        <w:rPr>
          <w:rFonts w:cs="Arial" w:hint="cs"/>
          <w:rtl/>
        </w:rPr>
        <w:t>-</w:t>
      </w:r>
      <w:r w:rsidRPr="00046742">
        <w:rPr>
          <w:rFonts w:cs="Arial"/>
          <w:rtl/>
        </w:rPr>
        <w:t xml:space="preserve"> אשה אחת שנשאת לאיש ולפי דברי האיש זה שנה שהוא עמה היא חולנית ועסקה ברפואות ולא הועיל והוא האיש אומר שהוא מבין חולשתה שנתקלקל מוחה ושהוא שופט בשכלו שאין לה רפואות תעלה ומדמה אותה לנכפית ורוצה לגרשה בע"כ ואף שאין בידו לסלק כתובתה תשאר הכתובה חוב עליו. הנה רמות רוחא יתירתא חזינא בי' כו' ומי יסמוך על הבנתו שהוא אומר שהבין חולי' ואולי הוא שוטה כו' ומה בכך שמוחה כואב לה ואינה יכולה לילך בשוק רק בבית וכי בשביל זה אינה ראוי' לתשמיש ואם אין בכחה לסבול תשמיש כעונת הטייל בכל יום ראויה היא לעתים בכל שבוע או בכל חודש בשביל זה שימעט עונתו לא יוכל לגרש ע</w:t>
      </w:r>
      <w:r w:rsidRPr="00046742">
        <w:rPr>
          <w:rFonts w:cs="Arial" w:hint="cs"/>
          <w:rtl/>
        </w:rPr>
        <w:t xml:space="preserve">ל </w:t>
      </w:r>
      <w:r w:rsidRPr="00046742">
        <w:rPr>
          <w:rFonts w:cs="Arial"/>
          <w:rtl/>
        </w:rPr>
        <w:t>כ</w:t>
      </w:r>
      <w:r w:rsidRPr="00046742">
        <w:rPr>
          <w:rFonts w:cs="Arial" w:hint="cs"/>
          <w:rtl/>
        </w:rPr>
        <w:t>רחה.</w:t>
      </w:r>
      <w:r w:rsidRPr="00046742">
        <w:rPr>
          <w:rFonts w:cs="Arial"/>
          <w:rtl/>
        </w:rPr>
        <w:t xml:space="preserve"> ומה ענין זו לנכפית ששם יש סכנה לשמש עמה</w:t>
      </w:r>
      <w:r w:rsidRPr="00046742">
        <w:rPr>
          <w:rFonts w:cs="Arial" w:hint="cs"/>
          <w:rtl/>
        </w:rPr>
        <w:t>.</w:t>
      </w:r>
      <w:r w:rsidRPr="00046742">
        <w:rPr>
          <w:rFonts w:cs="Arial"/>
          <w:rtl/>
        </w:rPr>
        <w:t xml:space="preserve"> ולכן דברי הבעל הוא דברי שטות ומחוייב הוא להטפל באשתו בכל צרכיה</w:t>
      </w:r>
      <w:r w:rsidRPr="00046742">
        <w:rPr>
          <w:rFonts w:cs="Arial" w:hint="cs"/>
          <w:rtl/>
        </w:rPr>
        <w:t>.</w:t>
      </w:r>
    </w:p>
    <w:p w14:paraId="551BB5C1" w14:textId="77777777" w:rsidR="002E5BAD" w:rsidRDefault="002E5BAD" w:rsidP="002E5BAD">
      <w:pPr>
        <w:pStyle w:val="1"/>
        <w:rPr>
          <w:rtl/>
        </w:rPr>
      </w:pPr>
      <w:r>
        <w:rPr>
          <w:rFonts w:hint="cs"/>
          <w:rtl/>
        </w:rPr>
        <w:lastRenderedPageBreak/>
        <w:t>סימן קיח:</w:t>
      </w:r>
      <w:r w:rsidRPr="00C12B74">
        <w:rPr>
          <w:rtl/>
        </w:rPr>
        <w:t xml:space="preserve"> </w:t>
      </w:r>
      <w:r>
        <w:rPr>
          <w:rFonts w:cs="Arial"/>
          <w:rtl/>
        </w:rPr>
        <w:t xml:space="preserve">תקנת נשואין של קהל טוליטולה, ודיני נדוניא, ובו י"ט סעיפים. </w:t>
      </w:r>
    </w:p>
    <w:p w14:paraId="23189411" w14:textId="77777777" w:rsidR="002E5BAD" w:rsidRDefault="002E5BAD" w:rsidP="002E5BAD">
      <w:pPr>
        <w:pStyle w:val="2"/>
        <w:rPr>
          <w:rtl/>
        </w:rPr>
      </w:pPr>
      <w:r>
        <w:rPr>
          <w:rtl/>
        </w:rPr>
        <w:t>סעיף א</w:t>
      </w:r>
      <w:r>
        <w:rPr>
          <w:rFonts w:hint="cs"/>
          <w:rtl/>
        </w:rPr>
        <w:t xml:space="preserve">: תקנת </w:t>
      </w:r>
      <w:r w:rsidRPr="005D0708">
        <w:rPr>
          <w:rFonts w:cs="Arial"/>
          <w:rtl/>
        </w:rPr>
        <w:t>הנישואין של קהל טוליטולה</w:t>
      </w:r>
      <w:r>
        <w:rPr>
          <w:rFonts w:hint="cs"/>
          <w:rtl/>
        </w:rPr>
        <w:t>. שומת בגדי החול שעל האלמנה.</w:t>
      </w:r>
    </w:p>
    <w:p w14:paraId="00F519AF" w14:textId="77777777" w:rsidR="002E5BAD" w:rsidRPr="00213780" w:rsidRDefault="002E5BAD" w:rsidP="002E5BAD">
      <w:pPr>
        <w:rPr>
          <w:u w:val="single"/>
          <w:rtl/>
        </w:rPr>
      </w:pPr>
      <w:r w:rsidRPr="00213780">
        <w:rPr>
          <w:rFonts w:cs="Arial"/>
          <w:u w:val="single"/>
          <w:rtl/>
        </w:rPr>
        <w:t xml:space="preserve">תקנות </w:t>
      </w:r>
      <w:r w:rsidRPr="005D0708">
        <w:rPr>
          <w:rFonts w:cs="Arial"/>
          <w:u w:val="single"/>
          <w:rtl/>
        </w:rPr>
        <w:t>הנישואין של קהל טוליטולה</w:t>
      </w:r>
      <w:r w:rsidRPr="00213780">
        <w:rPr>
          <w:rFonts w:hint="cs"/>
          <w:u w:val="single"/>
          <w:rtl/>
        </w:rPr>
        <w:t>:</w:t>
      </w:r>
    </w:p>
    <w:p w14:paraId="55E70951" w14:textId="77777777" w:rsidR="002E5BAD" w:rsidRPr="0066056C" w:rsidRDefault="002E5BAD" w:rsidP="00B75458">
      <w:pPr>
        <w:pStyle w:val="ab"/>
        <w:numPr>
          <w:ilvl w:val="0"/>
          <w:numId w:val="204"/>
        </w:numPr>
      </w:pPr>
      <w:r>
        <w:rPr>
          <w:rFonts w:hint="cs"/>
          <w:rtl/>
        </w:rPr>
        <w:t>טור-</w:t>
      </w:r>
      <w:r w:rsidRPr="0040439D">
        <w:rPr>
          <w:rFonts w:cs="Arial"/>
          <w:rtl/>
        </w:rPr>
        <w:t xml:space="preserve"> כשתמות האשה תחת בעלה והניחה ממנו זרע של קיימא</w:t>
      </w:r>
      <w:r>
        <w:rPr>
          <w:rFonts w:cs="Arial" w:hint="cs"/>
          <w:rtl/>
        </w:rPr>
        <w:t>,</w:t>
      </w:r>
      <w:r w:rsidRPr="0040439D">
        <w:rPr>
          <w:rFonts w:cs="Arial"/>
          <w:rtl/>
        </w:rPr>
        <w:t xml:space="preserve"> בין שיהיה בן או בת</w:t>
      </w:r>
      <w:r>
        <w:rPr>
          <w:rFonts w:cs="Arial" w:hint="cs"/>
          <w:rtl/>
        </w:rPr>
        <w:t>,</w:t>
      </w:r>
      <w:r w:rsidRPr="0040439D">
        <w:rPr>
          <w:rFonts w:cs="Arial"/>
          <w:rtl/>
        </w:rPr>
        <w:t xml:space="preserve"> שכוונתנו בזרע של קיימא שיהיה אותו הזרע בחיי האם ואחר פטירתה ל' יום שלימים או יותר</w:t>
      </w:r>
      <w:r>
        <w:rPr>
          <w:rFonts w:cs="Arial" w:hint="cs"/>
          <w:rtl/>
        </w:rPr>
        <w:t>.</w:t>
      </w:r>
      <w:r w:rsidRPr="0040439D">
        <w:rPr>
          <w:rFonts w:cs="Arial"/>
          <w:rtl/>
        </w:rPr>
        <w:t xml:space="preserve"> מכל מה שימצא מעזבונה שהוא מבגדים שלה או קרקע נדוניתה או קרקע קנוי בשמה </w:t>
      </w:r>
      <w:r>
        <w:rPr>
          <w:rFonts w:cs="Arial" w:hint="cs"/>
          <w:rtl/>
        </w:rPr>
        <w:t xml:space="preserve">- </w:t>
      </w:r>
      <w:r w:rsidRPr="0040439D">
        <w:rPr>
          <w:rFonts w:cs="Arial"/>
          <w:rtl/>
        </w:rPr>
        <w:t>יחלוק אותו הבעל עם אותו הזרע לחצאין בשוה</w:t>
      </w:r>
      <w:r>
        <w:rPr>
          <w:rFonts w:cs="Arial" w:hint="cs"/>
          <w:rtl/>
        </w:rPr>
        <w:t>.</w:t>
      </w:r>
      <w:r w:rsidRPr="0040439D">
        <w:rPr>
          <w:rFonts w:cs="Arial"/>
          <w:rtl/>
        </w:rPr>
        <w:t xml:space="preserve"> ואם לא הניחה זרע של קיימא כמו שזכרנו </w:t>
      </w:r>
      <w:r>
        <w:rPr>
          <w:rFonts w:cs="Arial" w:hint="cs"/>
          <w:rtl/>
        </w:rPr>
        <w:t xml:space="preserve">- </w:t>
      </w:r>
      <w:r w:rsidRPr="0040439D">
        <w:rPr>
          <w:rFonts w:cs="Arial"/>
          <w:rtl/>
        </w:rPr>
        <w:t>יהיה כל מה שביארנו מעניני עזבונה הנמצאים בעין בין הבעל ובין הזוכים בירושתה זולתו</w:t>
      </w:r>
      <w:r>
        <w:rPr>
          <w:rFonts w:cs="Arial" w:hint="cs"/>
          <w:rtl/>
        </w:rPr>
        <w:t>,</w:t>
      </w:r>
      <w:r w:rsidRPr="0040439D">
        <w:rPr>
          <w:rFonts w:cs="Arial"/>
          <w:rtl/>
        </w:rPr>
        <w:t xml:space="preserve"> ויחזור החצי הנזכר ממנו שהיה לו ליורש מן הדין לאשר יהיה לו דין קדימה בירושתה משאר יורשים אם היה הוא נפטר בחייה</w:t>
      </w:r>
      <w:r>
        <w:rPr>
          <w:rFonts w:cs="Arial" w:hint="cs"/>
          <w:rtl/>
        </w:rPr>
        <w:t>.</w:t>
      </w:r>
      <w:r w:rsidRPr="0040439D">
        <w:rPr>
          <w:rFonts w:cs="Arial"/>
          <w:rtl/>
        </w:rPr>
        <w:t xml:space="preserve"> ונחשוב אז כאלו היה נפטר בחייה לענין שיזכה הזוכה בירושתה בחצי מה שמצא שנשאר מעזבונה</w:t>
      </w:r>
      <w:r>
        <w:rPr>
          <w:rFonts w:cs="Arial" w:hint="cs"/>
          <w:rtl/>
        </w:rPr>
        <w:t>,</w:t>
      </w:r>
      <w:r w:rsidRPr="0040439D">
        <w:rPr>
          <w:rFonts w:cs="Arial"/>
          <w:rtl/>
        </w:rPr>
        <w:t xml:space="preserve"> שהוא עיקר נדוניתה ומה שהכניסה לו בנישואיה קרקע או מטלטלי</w:t>
      </w:r>
      <w:r>
        <w:rPr>
          <w:rFonts w:cs="Arial" w:hint="cs"/>
          <w:rtl/>
        </w:rPr>
        <w:t>.</w:t>
      </w:r>
      <w:r w:rsidRPr="0040439D">
        <w:rPr>
          <w:rFonts w:cs="Arial"/>
          <w:rtl/>
        </w:rPr>
        <w:t xml:space="preserve"> וישאר לו החצי השני</w:t>
      </w:r>
      <w:r>
        <w:rPr>
          <w:rFonts w:cs="Arial" w:hint="cs"/>
          <w:rtl/>
        </w:rPr>
        <w:t>.</w:t>
      </w:r>
      <w:r w:rsidRPr="0040439D">
        <w:rPr>
          <w:rFonts w:cs="Arial"/>
          <w:rtl/>
        </w:rPr>
        <w:t xml:space="preserve"> ותכריכים וצרכי קבורתה עליו אם יש לו ממון מלבד זה</w:t>
      </w:r>
      <w:r>
        <w:rPr>
          <w:rFonts w:cs="Arial" w:hint="cs"/>
          <w:rtl/>
        </w:rPr>
        <w:t>.</w:t>
      </w:r>
      <w:r w:rsidRPr="0040439D">
        <w:rPr>
          <w:rFonts w:cs="Arial"/>
          <w:rtl/>
        </w:rPr>
        <w:t xml:space="preserve"> ואם אין לו ממון זולתו</w:t>
      </w:r>
      <w:r>
        <w:rPr>
          <w:rFonts w:cs="Arial" w:hint="cs"/>
          <w:rtl/>
        </w:rPr>
        <w:t>,</w:t>
      </w:r>
      <w:r w:rsidRPr="0040439D">
        <w:rPr>
          <w:rFonts w:cs="Arial"/>
          <w:rtl/>
        </w:rPr>
        <w:t xml:space="preserve"> יוציאו תחלה מכלל הממון התכריכים וצרכי הקבורה ותהיה החלוקה כשאר הממון כמו שזכרנו</w:t>
      </w:r>
      <w:r>
        <w:rPr>
          <w:rFonts w:cs="Arial" w:hint="cs"/>
          <w:rtl/>
        </w:rPr>
        <w:t>.</w:t>
      </w:r>
      <w:r w:rsidRPr="0040439D">
        <w:rPr>
          <w:rFonts w:cs="Arial"/>
          <w:rtl/>
        </w:rPr>
        <w:t xml:space="preserve"> ואם יש לה אז אם בחייה</w:t>
      </w:r>
      <w:r>
        <w:rPr>
          <w:rFonts w:cs="Arial" w:hint="cs"/>
          <w:rtl/>
        </w:rPr>
        <w:t>,</w:t>
      </w:r>
      <w:r w:rsidRPr="0040439D">
        <w:rPr>
          <w:rFonts w:cs="Arial"/>
          <w:rtl/>
        </w:rPr>
        <w:t xml:space="preserve"> ויתבאר באר היטב שאותו ממון שהניחה היא</w:t>
      </w:r>
      <w:r>
        <w:rPr>
          <w:rFonts w:cs="Arial" w:hint="cs"/>
          <w:rtl/>
        </w:rPr>
        <w:t>,</w:t>
      </w:r>
      <w:r w:rsidRPr="0040439D">
        <w:rPr>
          <w:rFonts w:cs="Arial"/>
          <w:rtl/>
        </w:rPr>
        <w:t xml:space="preserve"> ממה שהכניסה לה האם ומה שנתנה לה</w:t>
      </w:r>
      <w:r>
        <w:rPr>
          <w:rFonts w:cs="Arial" w:hint="cs"/>
          <w:rtl/>
        </w:rPr>
        <w:t>,</w:t>
      </w:r>
      <w:r w:rsidRPr="0040439D">
        <w:rPr>
          <w:rFonts w:cs="Arial"/>
          <w:rtl/>
        </w:rPr>
        <w:t xml:space="preserve"> כגון שתהיה אלמנה או גרושה</w:t>
      </w:r>
      <w:r>
        <w:rPr>
          <w:rFonts w:cs="Arial" w:hint="cs"/>
          <w:rtl/>
        </w:rPr>
        <w:t>,</w:t>
      </w:r>
      <w:r w:rsidRPr="0040439D">
        <w:rPr>
          <w:rFonts w:cs="Arial"/>
          <w:rtl/>
        </w:rPr>
        <w:t xml:space="preserve"> מלבד שהכניסה כבר לבתה בנישואיה קרקע שלה או בגדים שקנתה</w:t>
      </w:r>
      <w:r>
        <w:rPr>
          <w:rFonts w:cs="Arial" w:hint="cs"/>
          <w:rtl/>
        </w:rPr>
        <w:t>,</w:t>
      </w:r>
      <w:r w:rsidRPr="0040439D">
        <w:rPr>
          <w:rFonts w:cs="Arial"/>
          <w:rtl/>
        </w:rPr>
        <w:t xml:space="preserve"> ונכתב בכתובתה שנתחזקה לה ממה שנתנה לה פלוני</w:t>
      </w:r>
      <w:r>
        <w:rPr>
          <w:rFonts w:cs="Arial" w:hint="cs"/>
          <w:rtl/>
        </w:rPr>
        <w:t>ת</w:t>
      </w:r>
      <w:r w:rsidRPr="0040439D">
        <w:rPr>
          <w:rFonts w:cs="Arial"/>
          <w:rtl/>
        </w:rPr>
        <w:t xml:space="preserve"> אמה</w:t>
      </w:r>
      <w:r>
        <w:rPr>
          <w:rFonts w:cs="Arial" w:hint="cs"/>
          <w:rtl/>
        </w:rPr>
        <w:t>,</w:t>
      </w:r>
      <w:r w:rsidRPr="0040439D">
        <w:rPr>
          <w:rFonts w:cs="Arial"/>
          <w:rtl/>
        </w:rPr>
        <w:t xml:space="preserve"> או רמז זה הענין</w:t>
      </w:r>
      <w:r>
        <w:rPr>
          <w:rFonts w:cs="Arial" w:hint="cs"/>
          <w:rtl/>
        </w:rPr>
        <w:t>,</w:t>
      </w:r>
      <w:r w:rsidRPr="0040439D">
        <w:rPr>
          <w:rFonts w:cs="Arial"/>
          <w:rtl/>
        </w:rPr>
        <w:t xml:space="preserve"> בענין שיתברר בירור מספיק שאותו קרקע היה של האם או אותם חפצים נתנה משלה</w:t>
      </w:r>
      <w:r>
        <w:rPr>
          <w:rFonts w:cs="Arial" w:hint="cs"/>
          <w:rtl/>
        </w:rPr>
        <w:t>,</w:t>
      </w:r>
      <w:r w:rsidRPr="0040439D">
        <w:rPr>
          <w:rFonts w:cs="Arial"/>
          <w:rtl/>
        </w:rPr>
        <w:t xml:space="preserve"> ונפטרה אח"כ הבת תחת בעלה בלא זרע של קיימא כמו שביארנו </w:t>
      </w:r>
      <w:r>
        <w:rPr>
          <w:rFonts w:cs="Arial" w:hint="cs"/>
          <w:rtl/>
        </w:rPr>
        <w:t xml:space="preserve">- </w:t>
      </w:r>
      <w:r w:rsidRPr="0040439D">
        <w:rPr>
          <w:rFonts w:cs="Arial"/>
          <w:rtl/>
        </w:rPr>
        <w:t>יחזור חצי כל מה שימצא שנשאר מכל זה לרשות האם שנתנתה והכניסה לה</w:t>
      </w:r>
      <w:r>
        <w:rPr>
          <w:rFonts w:cs="Arial" w:hint="cs"/>
          <w:rtl/>
        </w:rPr>
        <w:t>,</w:t>
      </w:r>
      <w:r w:rsidRPr="0040439D">
        <w:rPr>
          <w:rFonts w:cs="Arial"/>
          <w:rtl/>
        </w:rPr>
        <w:t xml:space="preserve"> ולא יטרוף אותו מי שאין לו קורבה עם האם מיורשי הבת ותשאר היא זולתו ויתקיים בה דברי הנביא ע"ה שורך טבוח לעיניך ולא תאכל ממנו</w:t>
      </w:r>
      <w:r>
        <w:rPr>
          <w:rFonts w:cs="Arial" w:hint="cs"/>
          <w:rtl/>
        </w:rPr>
        <w:t>.</w:t>
      </w:r>
      <w:r w:rsidRPr="0040439D">
        <w:rPr>
          <w:rFonts w:cs="Arial"/>
          <w:rtl/>
        </w:rPr>
        <w:t xml:space="preserve"> אלא יחזיר לה החצי</w:t>
      </w:r>
      <w:r>
        <w:rPr>
          <w:rFonts w:cs="Arial" w:hint="cs"/>
          <w:rtl/>
        </w:rPr>
        <w:t>,</w:t>
      </w:r>
      <w:r w:rsidRPr="0040439D">
        <w:rPr>
          <w:rFonts w:cs="Arial"/>
          <w:rtl/>
        </w:rPr>
        <w:t xml:space="preserve"> וישאר החצי השני לבעל</w:t>
      </w:r>
      <w:r>
        <w:rPr>
          <w:rFonts w:cs="Arial" w:hint="cs"/>
          <w:rtl/>
        </w:rPr>
        <w:t>,</w:t>
      </w:r>
      <w:r w:rsidRPr="0040439D">
        <w:rPr>
          <w:rFonts w:cs="Arial"/>
          <w:rtl/>
        </w:rPr>
        <w:t xml:space="preserve"> והתכריכין וצרכי הקבורה מכלל הממון כמו שזכרנו</w:t>
      </w:r>
      <w:r>
        <w:rPr>
          <w:rFonts w:cs="Arial" w:hint="cs"/>
          <w:rtl/>
        </w:rPr>
        <w:t>.</w:t>
      </w:r>
      <w:r w:rsidRPr="0040439D">
        <w:rPr>
          <w:rFonts w:cs="Arial"/>
          <w:rtl/>
        </w:rPr>
        <w:t xml:space="preserve"> זהו ענין התיקון במה שימצא שנשאר בעין ממון האשה ברשות הבעל</w:t>
      </w:r>
      <w:r>
        <w:rPr>
          <w:rFonts w:cs="Arial" w:hint="cs"/>
          <w:rtl/>
        </w:rPr>
        <w:t>,</w:t>
      </w:r>
      <w:r w:rsidRPr="0040439D">
        <w:rPr>
          <w:rFonts w:cs="Arial"/>
          <w:rtl/>
        </w:rPr>
        <w:t xml:space="preserve"> בין קרקע בין טלטל</w:t>
      </w:r>
      <w:r>
        <w:rPr>
          <w:rFonts w:cs="Arial" w:hint="cs"/>
          <w:rtl/>
        </w:rPr>
        <w:t>.</w:t>
      </w:r>
      <w:r w:rsidRPr="0040439D">
        <w:rPr>
          <w:rFonts w:cs="Arial"/>
          <w:rtl/>
        </w:rPr>
        <w:t xml:space="preserve"> ואפי' אם כבר יצא אותו קרקע בשיעבוד או בהברחה ממנו שלא בקנין האשה אין לחוש לכל מה שעושה מזה אלא שיגמור בו זה התיקון</w:t>
      </w:r>
      <w:r>
        <w:rPr>
          <w:rFonts w:cs="Arial" w:hint="cs"/>
          <w:rtl/>
        </w:rPr>
        <w:t xml:space="preserve">. </w:t>
      </w:r>
      <w:r w:rsidRPr="00213780">
        <w:rPr>
          <w:rFonts w:cs="Arial"/>
          <w:rtl/>
        </w:rPr>
        <w:t>זהו בקרקע ובבגדים וחפצים שיהיו נראין בעין</w:t>
      </w:r>
      <w:r>
        <w:rPr>
          <w:rFonts w:cs="Arial" w:hint="cs"/>
          <w:rtl/>
        </w:rPr>
        <w:t>,</w:t>
      </w:r>
      <w:r w:rsidRPr="00213780">
        <w:rPr>
          <w:rFonts w:cs="Arial"/>
          <w:rtl/>
        </w:rPr>
        <w:t xml:space="preserve"> אבל מה שאינו נמצא מהבגדים והחפצים והתכשיטין והזהב ונעלם עינו</w:t>
      </w:r>
      <w:r>
        <w:rPr>
          <w:rFonts w:cs="Arial" w:hint="cs"/>
          <w:rtl/>
        </w:rPr>
        <w:t>,</w:t>
      </w:r>
      <w:r w:rsidRPr="00213780">
        <w:rPr>
          <w:rFonts w:cs="Arial"/>
          <w:rtl/>
        </w:rPr>
        <w:t xml:space="preserve"> ונחשד הבעל שהעלים</w:t>
      </w:r>
      <w:r>
        <w:rPr>
          <w:rFonts w:cs="Arial" w:hint="cs"/>
          <w:rtl/>
        </w:rPr>
        <w:t>,</w:t>
      </w:r>
      <w:r w:rsidRPr="00213780">
        <w:rPr>
          <w:rFonts w:cs="Arial"/>
          <w:rtl/>
        </w:rPr>
        <w:t xml:space="preserve"> דין זה הזוכה בחצי ע"פ זה התיקון ממנו שיביאנו לידי שבועה חמורה שישבע שלא הבריח שום דבר מהם לאחר פטירתה ולא בחייה אלא מה שהיתה במצותה ומרצונה</w:t>
      </w:r>
      <w:r>
        <w:rPr>
          <w:rFonts w:cs="Arial" w:hint="cs"/>
          <w:rtl/>
        </w:rPr>
        <w:t>.</w:t>
      </w:r>
      <w:r w:rsidRPr="00213780">
        <w:rPr>
          <w:rFonts w:cs="Arial"/>
          <w:rtl/>
        </w:rPr>
        <w:t xml:space="preserve"> ושלא החליף ממנו שום דבר שהוא נשאר ולא יתעולל בזה שום עלילה שיתכוון בה להפקיע זכות יורשים</w:t>
      </w:r>
      <w:r>
        <w:rPr>
          <w:rFonts w:cs="Arial" w:hint="cs"/>
          <w:rtl/>
        </w:rPr>
        <w:t xml:space="preserve">. </w:t>
      </w:r>
      <w:r w:rsidRPr="00213780">
        <w:rPr>
          <w:rFonts w:cs="Arial"/>
          <w:rtl/>
        </w:rPr>
        <w:t>והזוכה כמו שזכרנו מזה התיקון זהו במה שינתן בנישואי הבת או מה שתקנה לעצמה ובשמה מממונה אכל מה שיקנה הבעל מממונו בגדי מלבוש ומחלי ותכשיטין שלה הוא ראוי קודם לזכו' בה כשנפטרה ויקחנו כולו לבדו בין שהניחה זרע בין שלא הניחה בין שהיה לה אז אם או יורש או לא יהיה לה</w:t>
      </w:r>
      <w:r>
        <w:rPr>
          <w:rFonts w:cs="Arial" w:hint="cs"/>
          <w:rtl/>
        </w:rPr>
        <w:t xml:space="preserve">. </w:t>
      </w:r>
      <w:r w:rsidRPr="00213780">
        <w:rPr>
          <w:rFonts w:cs="Arial"/>
          <w:rtl/>
        </w:rPr>
        <w:t>ואין תובעין מהבעל לפרוע מה שיכתוב על עצמו לאשתו מנכסי נדוניא</w:t>
      </w:r>
      <w:r>
        <w:rPr>
          <w:rFonts w:cs="Arial" w:hint="cs"/>
          <w:rtl/>
        </w:rPr>
        <w:t>,</w:t>
      </w:r>
      <w:r w:rsidRPr="00213780">
        <w:rPr>
          <w:rFonts w:cs="Arial"/>
          <w:rtl/>
        </w:rPr>
        <w:t xml:space="preserve"> לפי שרוב בני אדם כותבין עליהן יותר ממה שהם נוטלים וכוונתם דרך כבוד ואין לו עיקר ואשר יהיה ממנו בודאי ויכתוב אותו על שטר ויזקוף לה בו ממון על עצמו בכתובה אינו חייב באחריותו כשנפטר בעודה תחתיו</w:t>
      </w:r>
      <w:r>
        <w:rPr>
          <w:rFonts w:cs="Arial" w:hint="cs"/>
          <w:rtl/>
        </w:rPr>
        <w:t>,</w:t>
      </w:r>
      <w:r w:rsidRPr="00213780">
        <w:rPr>
          <w:rFonts w:cs="Arial"/>
          <w:rtl/>
        </w:rPr>
        <w:t xml:space="preserve"> אלא יתבעו ממנו הנמצא מהנדוניא האמיתית קרקע יהיה או טלטל</w:t>
      </w:r>
      <w:r>
        <w:rPr>
          <w:rFonts w:cs="Arial" w:hint="cs"/>
          <w:rtl/>
        </w:rPr>
        <w:t>,</w:t>
      </w:r>
      <w:r w:rsidRPr="00213780">
        <w:rPr>
          <w:rFonts w:cs="Arial"/>
          <w:rtl/>
        </w:rPr>
        <w:t xml:space="preserve"> ואין לחוש למה שנכתב מזה בכתובה</w:t>
      </w:r>
      <w:r>
        <w:rPr>
          <w:rFonts w:cs="Arial" w:hint="cs"/>
          <w:rtl/>
        </w:rPr>
        <w:t>.</w:t>
      </w:r>
      <w:r w:rsidRPr="00213780">
        <w:rPr>
          <w:rFonts w:cs="Arial"/>
          <w:rtl/>
        </w:rPr>
        <w:t xml:space="preserve"> וכשיפטר הבעל בעודנו נשוי עם אשתו והוציאה שטר כתובה כדין כל אלמנה אין לה לגבו' מה שיתקיים לה מסכום כתובתה אלא ממחצית מה שהניח מנכסים קרקע או טלטל וישאר החצי משוחרר משועבד לזוכה בירוש' בעלה בין שהיה מצוי בין שאינו מצוי</w:t>
      </w:r>
      <w:r>
        <w:rPr>
          <w:rFonts w:cs="Arial" w:hint="cs"/>
          <w:rtl/>
        </w:rPr>
        <w:t>.</w:t>
      </w:r>
      <w:r w:rsidRPr="00213780">
        <w:rPr>
          <w:rFonts w:cs="Arial"/>
          <w:rtl/>
        </w:rPr>
        <w:t xml:space="preserve"> ואין לה רשות שתגבה יותר מסכום כתובתה מהחצי בלב בין שיספיק בין שלא יספיק זה בממונו ובקנינ</w:t>
      </w:r>
      <w:r>
        <w:rPr>
          <w:rFonts w:cs="Arial" w:hint="cs"/>
          <w:rtl/>
        </w:rPr>
        <w:t>.</w:t>
      </w:r>
      <w:r w:rsidRPr="00213780">
        <w:rPr>
          <w:rFonts w:cs="Arial"/>
          <w:rtl/>
        </w:rPr>
        <w:t>ו אבל ממון נדוניא ומה שהכניסה לו או מה שנפל לה בירושה מקרקע לאחר נישואיה או מה שקנתה ממנו בשמה ומת בעלה</w:t>
      </w:r>
      <w:r>
        <w:rPr>
          <w:rFonts w:cs="Arial" w:hint="cs"/>
          <w:rtl/>
        </w:rPr>
        <w:t xml:space="preserve"> -</w:t>
      </w:r>
      <w:r w:rsidRPr="00213780">
        <w:rPr>
          <w:rFonts w:cs="Arial"/>
          <w:rtl/>
        </w:rPr>
        <w:t xml:space="preserve"> יחזיר כולו בעינו לה לבדה</w:t>
      </w:r>
      <w:r>
        <w:rPr>
          <w:rFonts w:cs="Arial" w:hint="cs"/>
          <w:rtl/>
        </w:rPr>
        <w:t>,</w:t>
      </w:r>
      <w:r w:rsidRPr="00213780">
        <w:rPr>
          <w:rFonts w:cs="Arial"/>
          <w:rtl/>
        </w:rPr>
        <w:t xml:space="preserve"> כי אין זה התיקון אלא במה שידוע שיהיה מממון הבעל וקנינו והתכריכין וצרכי הקבורה יהיה מכלל ממונו</w:t>
      </w:r>
      <w:r>
        <w:rPr>
          <w:rFonts w:cs="Arial" w:hint="cs"/>
          <w:rtl/>
        </w:rPr>
        <w:t>,</w:t>
      </w:r>
      <w:r w:rsidRPr="00213780">
        <w:rPr>
          <w:rFonts w:cs="Arial"/>
          <w:rtl/>
        </w:rPr>
        <w:t xml:space="preserve"> ואז תקח האשה כתובה מחצי ממונו וישאר החצי השני ליורשיו</w:t>
      </w:r>
      <w:r>
        <w:rPr>
          <w:rFonts w:cs="Arial" w:hint="cs"/>
          <w:rtl/>
        </w:rPr>
        <w:t xml:space="preserve">. </w:t>
      </w:r>
      <w:r w:rsidRPr="00213780">
        <w:rPr>
          <w:rFonts w:cs="Arial"/>
          <w:rtl/>
        </w:rPr>
        <w:t>ואם יצא באותו החצי שיהיה ליורשיו שטר שיעבוד או הברחה בקנינו שלא בקנין אשתו</w:t>
      </w:r>
      <w:r>
        <w:rPr>
          <w:rFonts w:cs="Arial" w:hint="cs"/>
          <w:rtl/>
        </w:rPr>
        <w:t xml:space="preserve"> -</w:t>
      </w:r>
      <w:r w:rsidRPr="00213780">
        <w:rPr>
          <w:rFonts w:cs="Arial"/>
          <w:rtl/>
        </w:rPr>
        <w:t xml:space="preserve"> יגבה אותו בעל השיעבוד ויטול השאר היורש</w:t>
      </w:r>
      <w:r>
        <w:rPr>
          <w:rFonts w:cs="Arial" w:hint="cs"/>
          <w:rtl/>
        </w:rPr>
        <w:t>.</w:t>
      </w:r>
      <w:r w:rsidRPr="00213780">
        <w:rPr>
          <w:rFonts w:cs="Arial"/>
          <w:rtl/>
        </w:rPr>
        <w:t xml:space="preserve"> ואם תהיה אותו ההברחה מקודם לכן ויתקיים</w:t>
      </w:r>
      <w:r>
        <w:rPr>
          <w:rFonts w:cs="Arial" w:hint="cs"/>
          <w:rtl/>
        </w:rPr>
        <w:t xml:space="preserve"> -</w:t>
      </w:r>
      <w:r w:rsidRPr="00213780">
        <w:rPr>
          <w:rFonts w:cs="Arial"/>
          <w:rtl/>
        </w:rPr>
        <w:t xml:space="preserve"> יזכה ג"כ בו המוצא אותו שטר</w:t>
      </w:r>
      <w:r>
        <w:rPr>
          <w:rFonts w:cs="Arial" w:hint="cs"/>
          <w:rtl/>
        </w:rPr>
        <w:t>.</w:t>
      </w:r>
      <w:r w:rsidRPr="00213780">
        <w:rPr>
          <w:rFonts w:cs="Arial"/>
          <w:rtl/>
        </w:rPr>
        <w:t xml:space="preserve"> ואם תהיה אותו שיעבוד או הברחה שיצא בממונו בקנינו ובקנינה</w:t>
      </w:r>
      <w:r>
        <w:rPr>
          <w:rFonts w:cs="Arial" w:hint="cs"/>
          <w:rtl/>
        </w:rPr>
        <w:t xml:space="preserve"> -</w:t>
      </w:r>
      <w:r w:rsidRPr="00213780">
        <w:rPr>
          <w:rFonts w:cs="Arial"/>
          <w:rtl/>
        </w:rPr>
        <w:t xml:space="preserve"> יוציאו תחילה אותו שיעבוד מממונו ויפרישו אותו הקרקע המוברח מנכסיו לזוכה בו מה שישאר אחרי כן תטול הוא ממחציתו מה שיהיה לה מסכום כתובה וישאר החצי השני ליורשים</w:t>
      </w:r>
      <w:r>
        <w:rPr>
          <w:rFonts w:cs="Arial" w:hint="cs"/>
          <w:rtl/>
        </w:rPr>
        <w:t xml:space="preserve">. </w:t>
      </w:r>
    </w:p>
    <w:p w14:paraId="1B5D51DB" w14:textId="77777777" w:rsidR="002E5BAD" w:rsidRPr="00236A20" w:rsidRDefault="002E5BAD" w:rsidP="002E5BAD">
      <w:pPr>
        <w:rPr>
          <w:u w:val="single"/>
          <w:rtl/>
        </w:rPr>
      </w:pPr>
      <w:r>
        <w:rPr>
          <w:rFonts w:hint="cs"/>
          <w:u w:val="single"/>
          <w:rtl/>
        </w:rPr>
        <w:t xml:space="preserve">האם </w:t>
      </w:r>
      <w:r w:rsidRPr="00236A20">
        <w:rPr>
          <w:rFonts w:hint="cs"/>
          <w:u w:val="single"/>
          <w:rtl/>
        </w:rPr>
        <w:t>שמ</w:t>
      </w:r>
      <w:r>
        <w:rPr>
          <w:rFonts w:hint="cs"/>
          <w:u w:val="single"/>
          <w:rtl/>
        </w:rPr>
        <w:t>ים את</w:t>
      </w:r>
      <w:r w:rsidRPr="00236A20">
        <w:rPr>
          <w:rFonts w:hint="cs"/>
          <w:u w:val="single"/>
          <w:rtl/>
        </w:rPr>
        <w:t xml:space="preserve"> בגדי החול שעל</w:t>
      </w:r>
      <w:r>
        <w:rPr>
          <w:rFonts w:hint="cs"/>
          <w:u w:val="single"/>
          <w:rtl/>
        </w:rPr>
        <w:t xml:space="preserve"> האלמנה כדי</w:t>
      </w:r>
      <w:r w:rsidRPr="00236A20">
        <w:rPr>
          <w:rFonts w:hint="cs"/>
          <w:u w:val="single"/>
          <w:rtl/>
        </w:rPr>
        <w:t xml:space="preserve"> לחלוק עם היורש:</w:t>
      </w:r>
    </w:p>
    <w:p w14:paraId="6619ECF0" w14:textId="77777777" w:rsidR="002E5BAD" w:rsidRDefault="002E5BAD" w:rsidP="00B75458">
      <w:pPr>
        <w:pStyle w:val="ab"/>
        <w:numPr>
          <w:ilvl w:val="0"/>
          <w:numId w:val="204"/>
        </w:numPr>
      </w:pPr>
      <w:r w:rsidRPr="00213780">
        <w:rPr>
          <w:rFonts w:cs="Arial" w:hint="cs"/>
          <w:rtl/>
        </w:rPr>
        <w:t xml:space="preserve">רא"ש </w:t>
      </w:r>
      <w:r w:rsidRPr="00213780">
        <w:rPr>
          <w:rFonts w:cs="Arial" w:hint="cs"/>
          <w:sz w:val="16"/>
          <w:szCs w:val="16"/>
          <w:rtl/>
        </w:rPr>
        <w:t>(</w:t>
      </w:r>
      <w:r w:rsidRPr="00213780">
        <w:rPr>
          <w:rFonts w:cs="Arial"/>
          <w:sz w:val="16"/>
          <w:szCs w:val="16"/>
          <w:rtl/>
        </w:rPr>
        <w:t>כלל נ</w:t>
      </w:r>
      <w:r>
        <w:rPr>
          <w:rFonts w:cs="Arial" w:hint="cs"/>
          <w:sz w:val="16"/>
          <w:szCs w:val="16"/>
          <w:rtl/>
        </w:rPr>
        <w:t xml:space="preserve"> </w:t>
      </w:r>
      <w:r w:rsidRPr="00213780">
        <w:rPr>
          <w:rFonts w:cs="Arial"/>
          <w:sz w:val="16"/>
          <w:szCs w:val="16"/>
          <w:rtl/>
        </w:rPr>
        <w:t>סי' ה)</w:t>
      </w:r>
      <w:r>
        <w:rPr>
          <w:rFonts w:cs="Arial" w:hint="cs"/>
          <w:rtl/>
        </w:rPr>
        <w:t xml:space="preserve"> </w:t>
      </w:r>
      <w:r w:rsidRPr="00213780">
        <w:rPr>
          <w:rFonts w:cs="Arial" w:hint="cs"/>
          <w:rtl/>
        </w:rPr>
        <w:t>וטור</w:t>
      </w:r>
      <w:r>
        <w:rPr>
          <w:rFonts w:cs="Arial" w:hint="cs"/>
          <w:rtl/>
        </w:rPr>
        <w:t xml:space="preserve">- </w:t>
      </w:r>
      <w:r w:rsidRPr="00213780">
        <w:rPr>
          <w:rFonts w:cs="Arial"/>
          <w:rtl/>
        </w:rPr>
        <w:t>הדין עם האלמנה שאומרת שאין ליורש דין ודברים על בגדי חול שלה</w:t>
      </w:r>
      <w:r>
        <w:rPr>
          <w:rFonts w:cs="Arial" w:hint="cs"/>
          <w:rtl/>
        </w:rPr>
        <w:t>,</w:t>
      </w:r>
      <w:r w:rsidRPr="00213780">
        <w:rPr>
          <w:rFonts w:cs="Arial"/>
          <w:rtl/>
        </w:rPr>
        <w:t xml:space="preserve"> שכתוב בתקנה </w:t>
      </w:r>
      <w:r>
        <w:rPr>
          <w:rFonts w:cs="Arial" w:hint="cs"/>
          <w:rtl/>
        </w:rPr>
        <w:t>'</w:t>
      </w:r>
      <w:r w:rsidRPr="00213780">
        <w:rPr>
          <w:rFonts w:cs="Arial"/>
          <w:rtl/>
        </w:rPr>
        <w:t>כל אשר ימצא לו</w:t>
      </w:r>
      <w:r>
        <w:rPr>
          <w:rFonts w:cs="Arial" w:hint="cs"/>
          <w:rtl/>
        </w:rPr>
        <w:t>'</w:t>
      </w:r>
      <w:r w:rsidRPr="00213780">
        <w:rPr>
          <w:rFonts w:cs="Arial"/>
          <w:rtl/>
        </w:rPr>
        <w:t xml:space="preserve"> ובגדיה לא היו מצויים לו כי לא היה לבעלה בהם כלום</w:t>
      </w:r>
      <w:r>
        <w:rPr>
          <w:rFonts w:cs="Arial" w:hint="cs"/>
          <w:rtl/>
        </w:rPr>
        <w:t>.</w:t>
      </w:r>
      <w:r w:rsidRPr="00213780">
        <w:rPr>
          <w:rFonts w:cs="Arial"/>
          <w:rtl/>
        </w:rPr>
        <w:t xml:space="preserve"> ועוד דחלוקה זו במקום גביית כתובתה</w:t>
      </w:r>
      <w:r>
        <w:rPr>
          <w:rFonts w:cs="Arial" w:hint="cs"/>
          <w:rtl/>
        </w:rPr>
        <w:t>,</w:t>
      </w:r>
      <w:r w:rsidRPr="00213780">
        <w:rPr>
          <w:rFonts w:cs="Arial"/>
          <w:rtl/>
        </w:rPr>
        <w:t xml:space="preserve"> גם עתה לא יעלו לה בחשבון</w:t>
      </w:r>
      <w:r>
        <w:rPr>
          <w:rFonts w:hint="cs"/>
          <w:rtl/>
        </w:rPr>
        <w:t xml:space="preserve">. </w:t>
      </w:r>
      <w:r w:rsidRPr="00544E63">
        <w:rPr>
          <w:rFonts w:hint="cs"/>
          <w:color w:val="E36C0A" w:themeColor="accent6" w:themeShade="BF"/>
          <w:rtl/>
        </w:rPr>
        <w:t>(וכ"פ בשו"ע)</w:t>
      </w:r>
    </w:p>
    <w:p w14:paraId="0BA39DB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1EE71A61" w14:textId="77777777" w:rsidR="002E5BAD" w:rsidRDefault="002E5BAD" w:rsidP="002E5BAD">
      <w:pPr>
        <w:rPr>
          <w:rtl/>
        </w:rPr>
      </w:pPr>
      <w:r>
        <w:rPr>
          <w:rFonts w:cs="Arial"/>
          <w:rtl/>
        </w:rPr>
        <w:t xml:space="preserve">אלמנה שיש לה לחלוק עם יורשי בעלה בכח התקנה של טוליטולה, שמין בגדי שבת שעליה, אבל לא בגדי חול. </w:t>
      </w:r>
      <w:r w:rsidRPr="0040439D">
        <w:rPr>
          <w:rFonts w:cs="Arial" w:hint="cs"/>
          <w:sz w:val="18"/>
          <w:szCs w:val="18"/>
          <w:rtl/>
        </w:rPr>
        <w:t xml:space="preserve">[הגה] </w:t>
      </w:r>
      <w:r w:rsidRPr="0040439D">
        <w:rPr>
          <w:rFonts w:cs="Arial"/>
          <w:sz w:val="18"/>
          <w:szCs w:val="18"/>
          <w:rtl/>
        </w:rPr>
        <w:t>תנאי השיור אינו אלא אם תמות האשה בחיי בעלה, אבל לא אם תמות שומרת יבם (טור).</w:t>
      </w:r>
      <w:r>
        <w:rPr>
          <w:rFonts w:cs="Arial"/>
          <w:rtl/>
        </w:rPr>
        <w:t xml:space="preserve"> </w:t>
      </w:r>
    </w:p>
    <w:p w14:paraId="22EBAFFD" w14:textId="77777777" w:rsidR="002E5BAD" w:rsidRDefault="002E5BAD" w:rsidP="002E5BAD">
      <w:pPr>
        <w:rPr>
          <w:rtl/>
        </w:rPr>
      </w:pPr>
    </w:p>
    <w:p w14:paraId="46CB51F4" w14:textId="77777777" w:rsidR="002E5BAD" w:rsidRDefault="002E5BAD" w:rsidP="002E5BAD">
      <w:pPr>
        <w:pStyle w:val="2"/>
        <w:rPr>
          <w:rtl/>
        </w:rPr>
      </w:pPr>
      <w:r>
        <w:rPr>
          <w:rtl/>
        </w:rPr>
        <w:t>סעיף ב</w:t>
      </w:r>
      <w:r>
        <w:rPr>
          <w:rFonts w:hint="cs"/>
          <w:rtl/>
        </w:rPr>
        <w:t>: מי שגירש את אשתו סמוך למיתתו.</w:t>
      </w:r>
    </w:p>
    <w:p w14:paraId="0113DDB4" w14:textId="77777777" w:rsidR="002E5BAD" w:rsidRPr="00CD7F91" w:rsidRDefault="002E5BAD" w:rsidP="002E5BAD">
      <w:pPr>
        <w:rPr>
          <w:u w:val="single"/>
          <w:rtl/>
        </w:rPr>
      </w:pPr>
      <w:r w:rsidRPr="00CD7F91">
        <w:rPr>
          <w:rFonts w:cs="Arial"/>
          <w:u w:val="single"/>
          <w:rtl/>
        </w:rPr>
        <w:t>מי שגירש את אשתו סמוך למיתתו</w:t>
      </w:r>
      <w:r w:rsidRPr="00CD7F91">
        <w:rPr>
          <w:rFonts w:hint="cs"/>
          <w:u w:val="single"/>
          <w:rtl/>
        </w:rPr>
        <w:t>:</w:t>
      </w:r>
    </w:p>
    <w:p w14:paraId="722CF09E" w14:textId="77777777" w:rsidR="002E5BAD" w:rsidRPr="00CD7F91"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נ סי' י) </w:t>
      </w:r>
      <w:r w:rsidRPr="00236A20">
        <w:rPr>
          <w:rFonts w:cs="Arial" w:hint="cs"/>
          <w:rtl/>
        </w:rPr>
        <w:t xml:space="preserve">וטור- </w:t>
      </w:r>
      <w:r w:rsidRPr="00236A20">
        <w:rPr>
          <w:rFonts w:cs="Arial"/>
          <w:rtl/>
        </w:rPr>
        <w:t>וששאלת ראובן גירש את אשתו סמוך למיתתה ותובעת כתובתה ומתנתה כי אומרת גרושה אנכי והתקנה אינה מדברת אלא מאלמנה והיורשים אומרים כי לא נתן לה גט אלא שלא תזקק ליבם ולא שתגבה כתובתה</w:t>
      </w:r>
      <w:r>
        <w:rPr>
          <w:rStyle w:val="a7"/>
          <w:rFonts w:cs="Arial"/>
          <w:rtl/>
        </w:rPr>
        <w:footnoteReference w:id="3270"/>
      </w:r>
      <w:r>
        <w:rPr>
          <w:rFonts w:cs="Arial" w:hint="cs"/>
          <w:rtl/>
        </w:rPr>
        <w:t>.</w:t>
      </w:r>
      <w:r w:rsidRPr="00236A20">
        <w:rPr>
          <w:rFonts w:cs="Arial"/>
          <w:rtl/>
        </w:rPr>
        <w:t xml:space="preserve"> </w:t>
      </w:r>
      <w:r>
        <w:rPr>
          <w:rFonts w:cs="Arial" w:hint="cs"/>
          <w:rtl/>
        </w:rPr>
        <w:t xml:space="preserve">     </w:t>
      </w:r>
      <w:r w:rsidRPr="00236A20">
        <w:rPr>
          <w:rFonts w:cs="Arial"/>
          <w:rtl/>
        </w:rPr>
        <w:t>תשובה</w:t>
      </w:r>
      <w:r>
        <w:rPr>
          <w:rFonts w:cs="Arial" w:hint="cs"/>
          <w:rtl/>
        </w:rPr>
        <w:t>-</w:t>
      </w:r>
      <w:r w:rsidRPr="00236A20">
        <w:rPr>
          <w:rFonts w:cs="Arial"/>
          <w:rtl/>
        </w:rPr>
        <w:t xml:space="preserve"> אין בדברי היורשים כלום דכיון שנתן לה גט מאי זה טעם שיהיה מ"מ הרי היא מגורשת וזכתה בכתובתה שלא הטיל תנאי בגט על תנאי שלא תגבה כתובתה</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p>
    <w:p w14:paraId="4117E060" w14:textId="77777777" w:rsidR="002E5BAD" w:rsidRPr="00CD7F91" w:rsidRDefault="002E5BAD" w:rsidP="002E5BAD">
      <w:pPr>
        <w:ind w:left="360"/>
        <w:rPr>
          <w:u w:val="dotted"/>
        </w:rPr>
      </w:pPr>
      <w:r w:rsidRPr="00CD7F91">
        <w:rPr>
          <w:rFonts w:hint="cs"/>
          <w:u w:val="dotted"/>
          <w:rtl/>
        </w:rPr>
        <w:t xml:space="preserve">ומה הדין אם </w:t>
      </w:r>
      <w:r w:rsidRPr="00CD7F91">
        <w:rPr>
          <w:u w:val="dotted"/>
          <w:rtl/>
        </w:rPr>
        <w:t xml:space="preserve">לא יצא עליה קול גרושה בחייו, רק </w:t>
      </w:r>
      <w:r>
        <w:rPr>
          <w:rFonts w:hint="cs"/>
          <w:u w:val="dotted"/>
          <w:rtl/>
        </w:rPr>
        <w:t>ש</w:t>
      </w:r>
      <w:r w:rsidRPr="00CD7F91">
        <w:rPr>
          <w:u w:val="dotted"/>
          <w:rtl/>
        </w:rPr>
        <w:t>היתה בחזקת אלמנה</w:t>
      </w:r>
      <w:r w:rsidRPr="00CD7F91">
        <w:rPr>
          <w:rFonts w:hint="cs"/>
          <w:u w:val="dotted"/>
          <w:rtl/>
        </w:rPr>
        <w:t>:</w:t>
      </w:r>
    </w:p>
    <w:p w14:paraId="4C07955F" w14:textId="77777777" w:rsidR="002E5BAD" w:rsidRPr="0040439D" w:rsidRDefault="002E5BAD" w:rsidP="00B75458">
      <w:pPr>
        <w:pStyle w:val="ab"/>
        <w:numPr>
          <w:ilvl w:val="0"/>
          <w:numId w:val="204"/>
        </w:numPr>
        <w:rPr>
          <w:rtl/>
        </w:rPr>
      </w:pPr>
      <w:r w:rsidRPr="00236A20">
        <w:rPr>
          <w:rFonts w:cs="Arial"/>
          <w:rtl/>
        </w:rPr>
        <w:t xml:space="preserve">ה"ר יהודה </w:t>
      </w:r>
      <w:r w:rsidRPr="00236A20">
        <w:rPr>
          <w:rFonts w:cs="Arial"/>
          <w:sz w:val="16"/>
          <w:szCs w:val="16"/>
          <w:rtl/>
        </w:rPr>
        <w:t>(שו"ת זכרון יהודה סי' ס"ט)</w:t>
      </w:r>
      <w:r>
        <w:rPr>
          <w:rFonts w:cs="Arial" w:hint="cs"/>
          <w:rtl/>
        </w:rPr>
        <w:t>-</w:t>
      </w:r>
      <w:r w:rsidRPr="00236A20">
        <w:rPr>
          <w:rFonts w:cs="Arial"/>
          <w:rtl/>
        </w:rPr>
        <w:t xml:space="preserve"> ראובן מת והוציאה אשתו גטה וכתובתה לגבות בטענה שנתגרשה קודם מיתתו הרבה והם אומרים שלא תגבה אלא חצי הנכסים כיון שהיתה בחזקת נשואה במותו ונתאבלה עליו הרי היא כדין כל האלמנות. הדין עם הבעלי חובות שלא עשתה אלא להבריח הנכסים מהב"ח כי לעולם לא יצא עליה קול גירושין וישבה תחתיו כאשה עם בעלה ושמשתו בחייו ובמותו וגם נתאבלה עליו כדרך כל האלמנות ולא דמי לההוא עובדא דערכין (כג:) ההוא דזבין נכסיה וגירש אשתו וכו' דהתם היו הגירושין ידועים ואין לחוש שהיו הערמה אבל כאן שלא יצא עליה קול גירושין ודאי להברחה נעשה ועוד אפילו נאמן שנתגרשה בגט זה צריכה להביא ראיה מתי בא הגט לידה לפי פירוש רש"י (גיטין יז: ד"ה עד) גבי למה תקנו זמן בגיטין ואף על פי שהתוספות (ד"ה עד) חולקין עליו בגט כזה שיש כמה הוכחות ביום כתיבתו תביא ותביא [נ"א: והביא] והביא ראיה לדבר</w:t>
      </w:r>
      <w:r>
        <w:rPr>
          <w:rFonts w:cs="Arial" w:hint="cs"/>
          <w:rtl/>
        </w:rPr>
        <w:t>.</w:t>
      </w:r>
      <w:r>
        <w:rPr>
          <w:rFonts w:hint="cs"/>
          <w:rtl/>
        </w:rPr>
        <w:t xml:space="preserve"> </w:t>
      </w:r>
      <w:r w:rsidRPr="00CD7F91">
        <w:rPr>
          <w:rFonts w:hint="cs"/>
          <w:color w:val="00B0F0"/>
          <w:rtl/>
        </w:rPr>
        <w:t>(וכ"פ הרמ"א)</w:t>
      </w:r>
    </w:p>
    <w:p w14:paraId="59FA36D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162A45" w14:textId="77777777" w:rsidR="002E5BAD" w:rsidRDefault="002E5BAD" w:rsidP="002E5BAD">
      <w:pPr>
        <w:rPr>
          <w:rtl/>
        </w:rPr>
      </w:pPr>
      <w:r>
        <w:rPr>
          <w:rFonts w:cs="Arial"/>
          <w:rtl/>
        </w:rPr>
        <w:t xml:space="preserve">מי שגירש את אשתו סמוך למיתתו, אף על פי שלא גירשה אלא כדי שלא תזקק ליבם, דינה לענין כתובתה בתקנת טוליטולה כדין גרושה. </w:t>
      </w:r>
      <w:r w:rsidRPr="0040439D">
        <w:rPr>
          <w:rFonts w:cs="Arial"/>
          <w:sz w:val="18"/>
          <w:szCs w:val="18"/>
          <w:rtl/>
        </w:rPr>
        <w:t>הגה: אבל אם לא גירשה ממש, כגון שלא יצא עליה קול גרושה בחייו, רק היתה בחזקת אלמנה, רק אחר מותו הוציאה גט ואומרת: נתגרשתי, אינה נאמנת וצריכה ראיה על הגירושין, דודאי לא נכתב הגט רק להברחה בעלמא (בב"י בשם הר"ר יודא בן הרא"ש).</w:t>
      </w:r>
      <w:r>
        <w:rPr>
          <w:rFonts w:cs="Arial"/>
          <w:rtl/>
        </w:rPr>
        <w:t xml:space="preserve"> </w:t>
      </w:r>
    </w:p>
    <w:p w14:paraId="40608F4E" w14:textId="77777777" w:rsidR="002E5BAD" w:rsidRDefault="002E5BAD" w:rsidP="002E5BAD">
      <w:pPr>
        <w:rPr>
          <w:rtl/>
        </w:rPr>
      </w:pPr>
    </w:p>
    <w:p w14:paraId="53666F16" w14:textId="77777777" w:rsidR="002E5BAD" w:rsidRDefault="002E5BAD" w:rsidP="002E5BAD">
      <w:pPr>
        <w:pStyle w:val="2"/>
        <w:rPr>
          <w:rtl/>
        </w:rPr>
      </w:pPr>
      <w:r>
        <w:rPr>
          <w:rtl/>
        </w:rPr>
        <w:t>סעיף ג</w:t>
      </w:r>
      <w:r>
        <w:rPr>
          <w:rFonts w:hint="cs"/>
          <w:rtl/>
        </w:rPr>
        <w:t xml:space="preserve">: </w:t>
      </w:r>
      <w:r>
        <w:rPr>
          <w:rFonts w:cs="Arial"/>
          <w:rtl/>
        </w:rPr>
        <w:t>שהתה מלחלוק עם היתומים כפי התקנה</w:t>
      </w:r>
      <w:r>
        <w:rPr>
          <w:rFonts w:hint="cs"/>
          <w:rtl/>
        </w:rPr>
        <w:t>.</w:t>
      </w:r>
    </w:p>
    <w:p w14:paraId="1BC09156" w14:textId="77777777" w:rsidR="002E5BAD" w:rsidRPr="00CD7F91" w:rsidRDefault="002E5BAD" w:rsidP="002E5BAD">
      <w:pPr>
        <w:rPr>
          <w:u w:val="single"/>
          <w:rtl/>
        </w:rPr>
      </w:pPr>
      <w:r w:rsidRPr="00CD7F91">
        <w:rPr>
          <w:rFonts w:cs="Arial"/>
          <w:u w:val="single"/>
          <w:rtl/>
        </w:rPr>
        <w:t>שהתה מלחלוק עם היתומים כפי התקנה</w:t>
      </w:r>
      <w:r w:rsidRPr="00CD7F91">
        <w:rPr>
          <w:rFonts w:hint="cs"/>
          <w:u w:val="single"/>
          <w:rtl/>
        </w:rPr>
        <w:t xml:space="preserve"> </w:t>
      </w:r>
      <w:r w:rsidRPr="00CD7F91">
        <w:rPr>
          <w:u w:val="single"/>
          <w:rtl/>
        </w:rPr>
        <w:t>–</w:t>
      </w:r>
      <w:r w:rsidRPr="00CD7F91">
        <w:rPr>
          <w:rFonts w:hint="cs"/>
          <w:u w:val="single"/>
          <w:rtl/>
        </w:rPr>
        <w:t xml:space="preserve"> האם איבדה מזונות</w:t>
      </w:r>
      <w:r>
        <w:rPr>
          <w:rFonts w:hint="cs"/>
          <w:u w:val="single"/>
          <w:rtl/>
        </w:rPr>
        <w:t xml:space="preserve"> אותו הזמן</w:t>
      </w:r>
      <w:r w:rsidRPr="00CD7F91">
        <w:rPr>
          <w:rFonts w:hint="cs"/>
          <w:u w:val="single"/>
          <w:rtl/>
        </w:rPr>
        <w:t>:</w:t>
      </w:r>
    </w:p>
    <w:p w14:paraId="45944AC3" w14:textId="77777777" w:rsidR="002E5BAD" w:rsidRPr="00213780"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 xml:space="preserve">(כלל נ 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CD7F91">
        <w:rPr>
          <w:rFonts w:cs="Arial"/>
          <w:rtl/>
        </w:rPr>
        <w:t>וששאלת בענין התקנה שכל אלמנה שתבא לחלוק עם יורשי המת שתהיה יד היתומים על העליונה או יתנו לה כתובתה או חצי הנכסים ומת ראובן והניח אלמנה ובת ושהתה האלמנה חצי השנה קודם שתבעה כתובתה ולא היתה ניזונת משל בעלה ועכשיו תובעת כתובתה ומזונותיה שכך התנה לי בעלי שאהיה ניזונת מהנכסים כל זמן שאתעכב בשבילו וקרובי המת טענו שכיון שביד היתומים לסלקה מכתובתה אבדה מזונותיה תשובה לא אבדה מזונותיה שהם תנאי כתובה שתקנת הקהל אינה יכולה להפסיד לאלמנה מזונותיה שהם תנאי כתובה אלא שתקנת הקהל הוא לתועלת היתומים לענין זה שאם כתובתה מרובה שיכולה לסלקם בחצי הנכסים ואותם חצי הנכסים היינו הכתובה וכל זמן שלא תבעה כתובתה יש לה מזונות</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(וכ"פ הרמ"א)</w:t>
      </w:r>
    </w:p>
    <w:p w14:paraId="6504EF5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5F7212" w14:textId="77777777" w:rsidR="002E5BAD" w:rsidRDefault="002E5BAD" w:rsidP="002E5BAD">
      <w:pPr>
        <w:rPr>
          <w:rtl/>
        </w:rPr>
      </w:pPr>
      <w:r>
        <w:rPr>
          <w:rFonts w:cs="Arial"/>
          <w:rtl/>
        </w:rPr>
        <w:t>אם שהתה מלחלוק עם היתומים כפי התקנה, קצת זמן, לא איבדה מזונות אותו זמן</w:t>
      </w:r>
      <w:r>
        <w:rPr>
          <w:rFonts w:cs="Arial" w:hint="cs"/>
          <w:rtl/>
        </w:rPr>
        <w:t>.</w:t>
      </w:r>
      <w:r>
        <w:rPr>
          <w:rFonts w:cs="Arial"/>
          <w:rtl/>
        </w:rPr>
        <w:t xml:space="preserve"> </w:t>
      </w:r>
      <w:r>
        <w:rPr>
          <w:rFonts w:cs="Arial" w:hint="cs"/>
          <w:sz w:val="18"/>
          <w:szCs w:val="18"/>
          <w:rtl/>
        </w:rPr>
        <w:t xml:space="preserve">[הגה] </w:t>
      </w:r>
      <w:r w:rsidRPr="00213780">
        <w:rPr>
          <w:rFonts w:cs="Arial"/>
          <w:sz w:val="18"/>
          <w:szCs w:val="18"/>
          <w:rtl/>
        </w:rPr>
        <w:t xml:space="preserve">אף על פי שהכח ביד היתומים לסלק האלמנה בחצי הנכסים (טור בשם תשובת הרא"ש). </w:t>
      </w:r>
    </w:p>
    <w:p w14:paraId="2DA7C141" w14:textId="77777777" w:rsidR="002E5BAD" w:rsidRDefault="002E5BAD" w:rsidP="002E5BAD">
      <w:pPr>
        <w:rPr>
          <w:rtl/>
        </w:rPr>
      </w:pPr>
    </w:p>
    <w:p w14:paraId="17ADB49B" w14:textId="77777777" w:rsidR="002E5BAD" w:rsidRPr="00CD7F91" w:rsidRDefault="002E5BAD" w:rsidP="002E5BAD">
      <w:pPr>
        <w:pStyle w:val="2"/>
        <w:rPr>
          <w:rtl/>
        </w:rPr>
      </w:pPr>
      <w:r>
        <w:rPr>
          <w:rtl/>
        </w:rPr>
        <w:t>סעיף ד</w:t>
      </w:r>
      <w:r>
        <w:rPr>
          <w:rFonts w:hint="cs"/>
          <w:rtl/>
        </w:rPr>
        <w:t>:</w:t>
      </w:r>
      <w:r w:rsidRPr="00CD7F91">
        <w:rPr>
          <w:rFonts w:cs="Arial"/>
          <w:rtl/>
        </w:rPr>
        <w:t xml:space="preserve"> </w:t>
      </w:r>
      <w:r>
        <w:rPr>
          <w:rFonts w:cs="Arial"/>
          <w:rtl/>
        </w:rPr>
        <w:t xml:space="preserve">אלמנה שפרעה שלא ע"פ ב"ד חובות </w:t>
      </w:r>
      <w:r>
        <w:rPr>
          <w:rFonts w:cs="Arial" w:hint="cs"/>
          <w:rtl/>
        </w:rPr>
        <w:t>הגוים</w:t>
      </w:r>
      <w:r>
        <w:rPr>
          <w:rFonts w:cs="Arial"/>
          <w:rtl/>
        </w:rPr>
        <w:t xml:space="preserve"> מנכסי בעלה</w:t>
      </w:r>
      <w:r>
        <w:rPr>
          <w:rFonts w:hint="cs"/>
          <w:rtl/>
        </w:rPr>
        <w:t>.</w:t>
      </w:r>
    </w:p>
    <w:p w14:paraId="7DF6578D" w14:textId="77777777" w:rsidR="002E5BAD" w:rsidRPr="00CD7F91" w:rsidRDefault="002E5BAD" w:rsidP="002E5BAD">
      <w:pPr>
        <w:rPr>
          <w:u w:val="single"/>
          <w:rtl/>
        </w:rPr>
      </w:pPr>
      <w:r w:rsidRPr="00CD7F91">
        <w:rPr>
          <w:rFonts w:cs="Arial"/>
          <w:u w:val="single"/>
          <w:rtl/>
        </w:rPr>
        <w:t xml:space="preserve">אלמנה שפרעה שלא ע"פ ב"ד חובות </w:t>
      </w:r>
      <w:r w:rsidRPr="00CD7F91">
        <w:rPr>
          <w:rFonts w:cs="Arial" w:hint="cs"/>
          <w:u w:val="single"/>
          <w:rtl/>
        </w:rPr>
        <w:t>הגוים</w:t>
      </w:r>
      <w:r w:rsidRPr="00CD7F91">
        <w:rPr>
          <w:rFonts w:cs="Arial"/>
          <w:u w:val="single"/>
          <w:rtl/>
        </w:rPr>
        <w:t xml:space="preserve"> מנכסי בעלה</w:t>
      </w:r>
      <w:r w:rsidRPr="00CD7F91">
        <w:rPr>
          <w:rFonts w:hint="cs"/>
          <w:u w:val="single"/>
          <w:rtl/>
        </w:rPr>
        <w:t>:</w:t>
      </w:r>
    </w:p>
    <w:p w14:paraId="6E89B3BB" w14:textId="77777777" w:rsidR="002E5BAD" w:rsidRPr="00213780"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 xml:space="preserve">(כלל נ 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CD7F91">
        <w:rPr>
          <w:rFonts w:cs="Arial"/>
          <w:rtl/>
        </w:rPr>
        <w:t>וששאלת אשה שמת בעלה והיו עליו חובות לעכו"ם</w:t>
      </w:r>
      <w:r>
        <w:rPr>
          <w:rFonts w:cs="Arial" w:hint="cs"/>
          <w:rtl/>
        </w:rPr>
        <w:t>,</w:t>
      </w:r>
      <w:r w:rsidRPr="00CD7F91">
        <w:rPr>
          <w:rFonts w:cs="Arial"/>
          <w:rtl/>
        </w:rPr>
        <w:t xml:space="preserve"> ובאו לגבותה מקרקעיתו</w:t>
      </w:r>
      <w:r>
        <w:rPr>
          <w:rFonts w:cs="Arial" w:hint="cs"/>
          <w:rtl/>
        </w:rPr>
        <w:t>.</w:t>
      </w:r>
      <w:r w:rsidRPr="00CD7F91">
        <w:rPr>
          <w:rFonts w:cs="Arial"/>
          <w:rtl/>
        </w:rPr>
        <w:t xml:space="preserve"> והלכה האלמנה ופרעה אותם מנכסיו כדי שלא יזלזלו במכירת הקרקעות</w:t>
      </w:r>
      <w:r>
        <w:rPr>
          <w:rFonts w:cs="Arial" w:hint="cs"/>
          <w:rtl/>
        </w:rPr>
        <w:t>.</w:t>
      </w:r>
      <w:r w:rsidRPr="00CD7F91">
        <w:rPr>
          <w:rFonts w:cs="Arial"/>
          <w:rtl/>
        </w:rPr>
        <w:t xml:space="preserve"> ועכשיו תובעת לאפוטרופוס של היתומים כיון שאין עליה לפרוע חובות של בעלה</w:t>
      </w:r>
      <w:r>
        <w:rPr>
          <w:rFonts w:cs="Arial" w:hint="cs"/>
          <w:rtl/>
        </w:rPr>
        <w:t>,</w:t>
      </w:r>
      <w:r w:rsidRPr="00CD7F91">
        <w:rPr>
          <w:rFonts w:cs="Arial"/>
          <w:rtl/>
        </w:rPr>
        <w:t xml:space="preserve"> שיתן לה מחלק היתומים כדי חצי מה שפרעה בחובות הנזכרות</w:t>
      </w:r>
      <w:r>
        <w:rPr>
          <w:rFonts w:cs="Arial" w:hint="cs"/>
          <w:rtl/>
        </w:rPr>
        <w:t>.</w:t>
      </w:r>
      <w:r w:rsidRPr="00CD7F91">
        <w:rPr>
          <w:rFonts w:cs="Arial"/>
          <w:rtl/>
        </w:rPr>
        <w:t xml:space="preserve"> ואומרת שעשתה ע"פ אחד מזקני העיר</w:t>
      </w:r>
      <w:r>
        <w:rPr>
          <w:rFonts w:cs="Arial" w:hint="cs"/>
          <w:rtl/>
        </w:rPr>
        <w:t>,</w:t>
      </w:r>
      <w:r w:rsidRPr="00CD7F91">
        <w:rPr>
          <w:rFonts w:cs="Arial"/>
          <w:rtl/>
        </w:rPr>
        <w:t xml:space="preserve"> ויש לה מזה עדים וקיום</w:t>
      </w:r>
      <w:r>
        <w:rPr>
          <w:rFonts w:cs="Arial" w:hint="cs"/>
          <w:rtl/>
        </w:rPr>
        <w:t>.</w:t>
      </w:r>
      <w:r w:rsidRPr="00CD7F91">
        <w:rPr>
          <w:rFonts w:cs="Arial"/>
          <w:rtl/>
        </w:rPr>
        <w:t xml:space="preserve"> ואפוטרופוס אומר שאין לו לפרוע לה כלום כיון שלא אמר לה שום אדם לפרוע החובות</w:t>
      </w:r>
      <w:r>
        <w:rPr>
          <w:rFonts w:cs="Arial" w:hint="cs"/>
          <w:rtl/>
        </w:rPr>
        <w:t>.</w:t>
      </w:r>
      <w:r w:rsidRPr="00CD7F91">
        <w:rPr>
          <w:rFonts w:cs="Arial"/>
          <w:rtl/>
        </w:rPr>
        <w:t xml:space="preserve"> </w:t>
      </w:r>
      <w:r>
        <w:rPr>
          <w:rFonts w:cs="Arial" w:hint="cs"/>
          <w:rtl/>
        </w:rPr>
        <w:t xml:space="preserve">   </w:t>
      </w:r>
      <w:r w:rsidRPr="00CD7F91">
        <w:rPr>
          <w:rFonts w:cs="Arial"/>
          <w:rtl/>
        </w:rPr>
        <w:t>תשובה</w:t>
      </w:r>
      <w:r>
        <w:rPr>
          <w:rFonts w:cs="Arial" w:hint="cs"/>
          <w:rtl/>
        </w:rPr>
        <w:t>-</w:t>
      </w:r>
      <w:r w:rsidRPr="00CD7F91">
        <w:rPr>
          <w:rFonts w:cs="Arial"/>
          <w:rtl/>
        </w:rPr>
        <w:t xml:space="preserve"> אם הדבר ידוע שהיו לעכו"ם שטרות על בעלה ורצו למכור הקרקעות יפה עשתה האלמנה שפרעה החובות כדי שלא יזלזלו העכו"ם במכירת הקרקעות אע</w:t>
      </w:r>
      <w:r>
        <w:rPr>
          <w:rFonts w:cs="Arial" w:hint="cs"/>
          <w:rtl/>
        </w:rPr>
        <w:t>"</w:t>
      </w:r>
      <w:r w:rsidRPr="00CD7F91">
        <w:rPr>
          <w:rFonts w:cs="Arial"/>
          <w:rtl/>
        </w:rPr>
        <w:t>פ שלא עשתה ע"פ ב"ד</w:t>
      </w:r>
      <w:r>
        <w:rPr>
          <w:rFonts w:cs="Arial" w:hint="cs"/>
          <w:rtl/>
        </w:rPr>
        <w:t>,</w:t>
      </w:r>
      <w:r w:rsidRPr="00CD7F91">
        <w:rPr>
          <w:rFonts w:cs="Arial"/>
          <w:rtl/>
        </w:rPr>
        <w:t xml:space="preserve"> כיון שהיתומים היו סמוכים אצלה הויא כאילו נתמנית אפוטרופא עליהם ויש לה לעשות תועלת היתומים בלא ב"ד</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w:t>
      </w:r>
    </w:p>
    <w:p w14:paraId="33C10259"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83DC16" w14:textId="77777777" w:rsidR="002E5BAD" w:rsidRDefault="002E5BAD" w:rsidP="002E5BAD">
      <w:pPr>
        <w:rPr>
          <w:rFonts w:cs="Arial"/>
          <w:rtl/>
        </w:rPr>
      </w:pPr>
      <w:r>
        <w:rPr>
          <w:rFonts w:cs="Arial"/>
          <w:rtl/>
        </w:rPr>
        <w:t>אלמנה שפרעה שלא ע</w:t>
      </w:r>
      <w:r>
        <w:rPr>
          <w:rFonts w:cs="Arial" w:hint="cs"/>
          <w:rtl/>
        </w:rPr>
        <w:t xml:space="preserve">ל </w:t>
      </w:r>
      <w:r>
        <w:rPr>
          <w:rFonts w:cs="Arial"/>
          <w:rtl/>
        </w:rPr>
        <w:t>פ</w:t>
      </w:r>
      <w:r>
        <w:rPr>
          <w:rFonts w:cs="Arial" w:hint="cs"/>
          <w:rtl/>
        </w:rPr>
        <w:t>י</w:t>
      </w:r>
      <w:r>
        <w:rPr>
          <w:rFonts w:cs="Arial"/>
          <w:rtl/>
        </w:rPr>
        <w:t xml:space="preserve"> ב</w:t>
      </w:r>
      <w:r>
        <w:rPr>
          <w:rFonts w:cs="Arial" w:hint="cs"/>
          <w:rtl/>
        </w:rPr>
        <w:t>ית דין</w:t>
      </w:r>
      <w:r>
        <w:rPr>
          <w:rFonts w:cs="Arial"/>
          <w:rtl/>
        </w:rPr>
        <w:t xml:space="preserve"> חובות </w:t>
      </w:r>
      <w:r>
        <w:rPr>
          <w:rFonts w:cs="Arial" w:hint="cs"/>
          <w:rtl/>
        </w:rPr>
        <w:t>הגוים</w:t>
      </w:r>
      <w:r>
        <w:rPr>
          <w:rFonts w:cs="Arial"/>
          <w:rtl/>
        </w:rPr>
        <w:t xml:space="preserve"> מנכסי בעלה כדי שלא יזלזלו במכירת קרקעותיו, יפה עשתה.</w:t>
      </w:r>
    </w:p>
    <w:p w14:paraId="739F03F7" w14:textId="77777777" w:rsidR="002E5BAD" w:rsidRDefault="002E5BAD" w:rsidP="002E5BAD">
      <w:pPr>
        <w:rPr>
          <w:rtl/>
        </w:rPr>
      </w:pPr>
      <w:r>
        <w:rPr>
          <w:rFonts w:cs="Arial"/>
          <w:rtl/>
        </w:rPr>
        <w:t xml:space="preserve"> </w:t>
      </w:r>
    </w:p>
    <w:p w14:paraId="366821FA" w14:textId="77777777" w:rsidR="002E5BAD" w:rsidRDefault="002E5BAD" w:rsidP="002E5BAD">
      <w:pPr>
        <w:pStyle w:val="2"/>
        <w:rPr>
          <w:rtl/>
        </w:rPr>
      </w:pPr>
      <w:r>
        <w:rPr>
          <w:rtl/>
        </w:rPr>
        <w:t>סעיף ה</w:t>
      </w:r>
      <w:r>
        <w:rPr>
          <w:rFonts w:hint="cs"/>
          <w:rtl/>
        </w:rPr>
        <w:t>: נטילה מקרקעות ממושכנים כשיש למת נכסים בני חורין.</w:t>
      </w:r>
    </w:p>
    <w:p w14:paraId="53EC486A" w14:textId="77777777" w:rsidR="002E5BAD" w:rsidRPr="00CD7F91" w:rsidRDefault="002E5BAD" w:rsidP="002E5BAD">
      <w:pPr>
        <w:rPr>
          <w:u w:val="single"/>
          <w:rtl/>
        </w:rPr>
      </w:pPr>
      <w:r w:rsidRPr="00797BAD">
        <w:rPr>
          <w:rFonts w:cs="Arial" w:hint="cs"/>
          <w:u w:val="single"/>
          <w:rtl/>
        </w:rPr>
        <w:t>נטילה מקרקעות ממושכנים כשיש למת נכסים בני חורין</w:t>
      </w:r>
      <w:r w:rsidRPr="00CD7F91">
        <w:rPr>
          <w:rFonts w:hint="cs"/>
          <w:u w:val="single"/>
          <w:rtl/>
        </w:rPr>
        <w:t>:</w:t>
      </w:r>
    </w:p>
    <w:p w14:paraId="2AA2E71F" w14:textId="77777777" w:rsidR="002E5BAD" w:rsidRPr="00213780"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ד</w:t>
      </w:r>
      <w:r w:rsidRPr="00236A20">
        <w:rPr>
          <w:rFonts w:cs="Arial" w:hint="cs"/>
          <w:sz w:val="16"/>
          <w:szCs w:val="16"/>
          <w:rtl/>
        </w:rPr>
        <w:t xml:space="preserve">) </w:t>
      </w:r>
      <w:r w:rsidRPr="00236A20">
        <w:rPr>
          <w:rFonts w:cs="Arial" w:hint="cs"/>
          <w:rtl/>
        </w:rPr>
        <w:t xml:space="preserve">וטור- </w:t>
      </w:r>
      <w:r w:rsidRPr="00797BAD">
        <w:rPr>
          <w:rFonts w:cs="Arial"/>
          <w:rtl/>
        </w:rPr>
        <w:t>וששאלת ראובן משכן בית לשמעון ומת ראובן והיה עליו כתובת אשה ותובעת כתובתה והורידוה ב"ד בחצי נכסי המת בכח התקנה ובאה להוציא את שמעון מחצי הבתים הממושכנים בידו בכח ההורדה שהורידוה ב"ד בחצי נכסי ראובן ושמעון אומר שאין זכות כתובתה חל בחצי הבתים כיון שהיו משועבדים בידו והמת הניח בתים אחרים בני חורין והזכייה שיש לה תגבה מבני חרי שאין לה לגבות מן המשועבדים כל זמן שיש בני חרי תשובה יראה שהדין עם שמעון כיון שנמצאו לראובן נכסים בני חורין לפרוע להם לאלמנה חצי נכסי המת שהוא פרעון הכתובה לפי התקנה שתקנו שלא תטול כל בכתובתה אלא חצי נכסי המת והוא פרעון כתובתה לא היה להן לב"ד להורידה לנכסים משועבדים כיון שהיו למת נכסים בני חורין שתגבה מהם אלמנתו חצי נכסיו כי אין התקנה כך שתגבה חצי כל הקרקע וחצי כל המטלטלים אלא שתגבה חצי נכסיו והוא תחת גביית כתובתה הילכך אין להגבות מנכסים משועבדים במקום שיש בני חורין הלכך ההורדה שהורידו בית דין לאלמנה לבית שמשכן ראובן לשמעון לא היתה כלום ותגבה האלמנה משאר נכסי המת כנגד סך הממון שהורידוה באותם הבתים והבתים ישארו ביד שמעון עד שיפרעו יורשי ראובן לשמעון דמי המשכנות כך יראה הדין מדין ההלכה אמנם באו לפני סופרי העיר ועדיה ואמרו שכך נהגו העולם ע"פ התקנה ליתן לאלמנה חצי הנכסים חלק כחלק בכל הנכסים קרקע וטלטל כל דבר ודבר חציו ואמרתי אם כן יעשו כמנהגם ויתנו לה גם חצי הקרקע המשועבד לשמעון</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w:t>
      </w:r>
    </w:p>
    <w:p w14:paraId="46895738"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E3D9B6" w14:textId="77777777" w:rsidR="002E5BAD" w:rsidRDefault="002E5BAD" w:rsidP="002E5BAD">
      <w:pPr>
        <w:rPr>
          <w:rtl/>
        </w:rPr>
      </w:pPr>
      <w:r>
        <w:rPr>
          <w:rFonts w:cs="Arial"/>
          <w:rtl/>
        </w:rPr>
        <w:t>אלמנה שהורידוה ב</w:t>
      </w:r>
      <w:r>
        <w:rPr>
          <w:rFonts w:cs="Arial" w:hint="cs"/>
          <w:rtl/>
        </w:rPr>
        <w:t>ית דין</w:t>
      </w:r>
      <w:r>
        <w:rPr>
          <w:rFonts w:cs="Arial"/>
          <w:rtl/>
        </w:rPr>
        <w:t xml:space="preserve"> בחצי נכסי המת בכח התקנה, ויש למת קרקעות ממושכנים ביד אחר, אף על פי שיש לו נכסים בני חורין, נוטלת חצי קרקעות הממושכנים, לפי מה שנהגו על פי התקנה, לחלוק בכל דבר ודבר חציו. </w:t>
      </w:r>
    </w:p>
    <w:p w14:paraId="4923D0D7" w14:textId="77777777" w:rsidR="002E5BAD" w:rsidRDefault="002E5BAD" w:rsidP="002E5BAD">
      <w:pPr>
        <w:rPr>
          <w:rtl/>
        </w:rPr>
      </w:pPr>
    </w:p>
    <w:p w14:paraId="7E0FAB02" w14:textId="77777777" w:rsidR="002E5BAD" w:rsidRDefault="002E5BAD" w:rsidP="002E5BAD">
      <w:pPr>
        <w:pStyle w:val="2"/>
        <w:rPr>
          <w:rtl/>
        </w:rPr>
      </w:pPr>
      <w:r>
        <w:rPr>
          <w:rtl/>
        </w:rPr>
        <w:t>סעיף ו</w:t>
      </w:r>
      <w:r>
        <w:rPr>
          <w:rFonts w:hint="cs"/>
          <w:rtl/>
        </w:rPr>
        <w:t>: דבר שאינו מפורש בתקנה.</w:t>
      </w:r>
    </w:p>
    <w:p w14:paraId="3A2062F0" w14:textId="77777777" w:rsidR="002E5BAD" w:rsidRPr="00CD7F91" w:rsidRDefault="002E5BAD" w:rsidP="002E5BAD">
      <w:pPr>
        <w:rPr>
          <w:u w:val="single"/>
          <w:rtl/>
        </w:rPr>
      </w:pPr>
      <w:r w:rsidRPr="00797BAD">
        <w:rPr>
          <w:rFonts w:cs="Arial" w:hint="cs"/>
          <w:u w:val="single"/>
          <w:rtl/>
        </w:rPr>
        <w:t>דבר שאינו מפורש בתקנה</w:t>
      </w:r>
      <w:r w:rsidRPr="00CD7F91">
        <w:rPr>
          <w:rFonts w:hint="cs"/>
          <w:u w:val="single"/>
          <w:rtl/>
        </w:rPr>
        <w:t>:</w:t>
      </w:r>
    </w:p>
    <w:p w14:paraId="07806ABB" w14:textId="77777777" w:rsidR="002E5BAD" w:rsidRPr="00797BAD" w:rsidRDefault="002E5BAD" w:rsidP="00B75458">
      <w:pPr>
        <w:pStyle w:val="ab"/>
        <w:numPr>
          <w:ilvl w:val="0"/>
          <w:numId w:val="204"/>
        </w:numPr>
        <w:rPr>
          <w:rFonts w:cs="Arial"/>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ז</w:t>
      </w:r>
      <w:r w:rsidRPr="00236A20">
        <w:rPr>
          <w:rFonts w:cs="Arial" w:hint="cs"/>
          <w:sz w:val="16"/>
          <w:szCs w:val="16"/>
          <w:rtl/>
        </w:rPr>
        <w:t xml:space="preserve">) </w:t>
      </w:r>
      <w:r w:rsidRPr="00236A20">
        <w:rPr>
          <w:rFonts w:cs="Arial" w:hint="cs"/>
          <w:rtl/>
        </w:rPr>
        <w:t xml:space="preserve">וטור- </w:t>
      </w:r>
      <w:r w:rsidRPr="00797BAD">
        <w:rPr>
          <w:rFonts w:cs="Arial"/>
          <w:rtl/>
        </w:rPr>
        <w:t xml:space="preserve">שאלה ילמדנו רבינו הסכימו קהל מולינא שכל אלמנה שתבא לחלוק עם בנים שיהיה יד היתומים על העליונה או יפרעו כתובת אמן ומתנתה או יחלקו עמה לעולם שתהיה יד היתומים על העליונה לתועלתם כגון שאם היו הנכסים מרובים יפרעו לה כתובתה ומתנתה ואם היתה כתובתה יתירה על הנכסים שיחלקו עמה עכשיו מת ראובן והניח בנים ובנות והיה עליו שטר חוב מאלף זהובים לשמעון ועמדה לאה אשת ראובן והשיאה הבנות ולא מיחו בה היתומים והיתומים לא גילו דעתם אם היו רוצים לפרוע כתובת אמן </w:t>
      </w:r>
      <w:r w:rsidRPr="00797BAD">
        <w:rPr>
          <w:rFonts w:cs="Arial"/>
          <w:rtl/>
        </w:rPr>
        <w:lastRenderedPageBreak/>
        <w:t>או אם היו רוצים לחלוק אבל אומדן דעת היה שקודם ירצו לחלק כיון שהכתובה יתירה על הנכסים עכשיו מתו היתומים ובא שמעון לתבוע שטר חובו שהיה לו על ראובן וטען שיפרעו לו חצי הנכסים עמדו היתומים ואמרו אין אנו רוצות לחלוק עם אמנו אלא היא תטול כתובתה ושמעון אומר כיון שהיתומים לא גילו דעתם אלא סמכו על התנאי אנן סהדי דניחא להו כדי שיפרעו חובות אביהן טענו היתומים אנו במקום אחינו קיימינן וכי היכי שהם היו יכולים לותר גם אנחנו יכולים לותר</w:t>
      </w:r>
      <w:r>
        <w:rPr>
          <w:rFonts w:cs="Arial" w:hint="cs"/>
          <w:rtl/>
        </w:rPr>
        <w:t xml:space="preserve">.    </w:t>
      </w:r>
      <w:r w:rsidRPr="00797BAD">
        <w:rPr>
          <w:rFonts w:cs="Arial"/>
          <w:rtl/>
        </w:rPr>
        <w:t>תשובה</w:t>
      </w:r>
      <w:r>
        <w:rPr>
          <w:rFonts w:cs="Arial" w:hint="cs"/>
          <w:rtl/>
        </w:rPr>
        <w:t>-</w:t>
      </w:r>
      <w:r w:rsidRPr="00797BAD">
        <w:rPr>
          <w:rFonts w:cs="Arial"/>
          <w:rtl/>
        </w:rPr>
        <w:t xml:space="preserve"> מה שכתבת שהבריר' תלויה ביד היתומים אם ירצו יחלקו עם האלמנה ואם ירצו יעמידו הדבר על דין תורה שתטול האלמנ' כתובתה והם יטלו המותר דבר ידוע הוא שלא יעקר דין תורה ממקומו עד שיאמרו יורשים רוצים אנו לחלוק ולא שייך הכא אומדן דעת לפי שכך התקנה שלתועל' היתומים תקנו שיכולים לסלק האלמנ' בחצי הנכסים וכל זמן שלא סלקוה נעמידנה על דין תורה והרי מתו הבנים ולא סלקוה והבנות שעומדו' במקום אחיהן לירש אומרו' שאין רוצו' לסלק אמן ומי יסלקנה ועוד אדרבא אומדנא דדעתא הוא יותר שהבנים היו חפצים שתטול אמן הממון בכתובתה ממה שיטלם בעל חוב אחר וזהו לפי מה שכתבתם שהברירה תלויה ביד היורשים אם ירצו לחלוק עם האלמנה או אם ירצו יתנו לה כתובתה אבל בעיר הזאת אין התקנה כך אלא אם כתובתה מרובה מחצי הנכסים ממילא כל חצי עזבון של היורשים ובעל חוב גובה ממנו חובו ואם יאמרו היורשים תטול האלמנה כל כתובתה אין שומעין להם</w:t>
      </w:r>
      <w:r w:rsidRPr="00797BAD">
        <w:rPr>
          <w:rFonts w:cs="Arial" w:hint="cs"/>
          <w:rtl/>
        </w:rPr>
        <w:t>.</w:t>
      </w:r>
      <w:r w:rsidRPr="00797BAD">
        <w:rPr>
          <w:rFonts w:hint="cs"/>
          <w:color w:val="E36C0A" w:themeColor="accent6" w:themeShade="BF"/>
          <w:rtl/>
        </w:rPr>
        <w:t xml:space="preserve"> (וכ"פ בשו"ע)</w:t>
      </w:r>
      <w:r w:rsidRPr="00797BAD">
        <w:rPr>
          <w:rFonts w:hint="cs"/>
          <w:color w:val="00B0F0"/>
          <w:rtl/>
        </w:rPr>
        <w:t xml:space="preserve"> </w:t>
      </w:r>
    </w:p>
    <w:p w14:paraId="648B3DB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CC18CF" w14:textId="77777777" w:rsidR="002E5BAD" w:rsidRDefault="002E5BAD" w:rsidP="002E5BAD">
      <w:pPr>
        <w:rPr>
          <w:rFonts w:cs="Arial"/>
          <w:rtl/>
        </w:rPr>
      </w:pPr>
      <w:r>
        <w:rPr>
          <w:rFonts w:cs="Arial"/>
          <w:rtl/>
        </w:rPr>
        <w:t xml:space="preserve">דבר שאינו מפורש בתקנה, נעמידנו על דין תורה. </w:t>
      </w:r>
      <w:r w:rsidRPr="00213780">
        <w:rPr>
          <w:rFonts w:cs="Arial" w:hint="cs"/>
          <w:sz w:val="18"/>
          <w:szCs w:val="18"/>
          <w:rtl/>
        </w:rPr>
        <w:t xml:space="preserve">[הגה] </w:t>
      </w:r>
      <w:r w:rsidRPr="00213780">
        <w:rPr>
          <w:rFonts w:cs="Arial"/>
          <w:sz w:val="18"/>
          <w:szCs w:val="18"/>
          <w:rtl/>
        </w:rPr>
        <w:t>וכן כל ספק שיש בתקנה, על יורשי האשה להביא ראיה, דאין מוציאין ירושת הבעל מספיקא (ב"י בשם תשובת הר"ן).</w:t>
      </w:r>
    </w:p>
    <w:p w14:paraId="4CE089ED" w14:textId="77777777" w:rsidR="002E5BAD" w:rsidRDefault="002E5BAD" w:rsidP="002E5BAD">
      <w:pPr>
        <w:rPr>
          <w:rtl/>
        </w:rPr>
      </w:pPr>
      <w:r>
        <w:rPr>
          <w:rFonts w:cs="Arial"/>
          <w:rtl/>
        </w:rPr>
        <w:t xml:space="preserve"> </w:t>
      </w:r>
    </w:p>
    <w:p w14:paraId="5D1822EF" w14:textId="77777777" w:rsidR="002E5BAD" w:rsidRDefault="002E5BAD" w:rsidP="002E5BAD">
      <w:pPr>
        <w:pStyle w:val="2"/>
        <w:rPr>
          <w:rtl/>
        </w:rPr>
      </w:pPr>
      <w:r>
        <w:rPr>
          <w:rtl/>
        </w:rPr>
        <w:t>סעיף ז</w:t>
      </w:r>
      <w:r>
        <w:rPr>
          <w:rFonts w:hint="cs"/>
          <w:rtl/>
        </w:rPr>
        <w:t>: כשיש לה דין לגבות כפי דין תורה, נוטלת בחצי הנכסים מכח התקנה.</w:t>
      </w:r>
    </w:p>
    <w:p w14:paraId="020122DD" w14:textId="77777777" w:rsidR="002E5BAD" w:rsidRPr="00797BAD" w:rsidRDefault="002E5BAD" w:rsidP="002E5BAD">
      <w:pPr>
        <w:rPr>
          <w:u w:val="single"/>
          <w:rtl/>
        </w:rPr>
      </w:pPr>
      <w:r w:rsidRPr="00797BAD">
        <w:rPr>
          <w:rFonts w:hint="cs"/>
          <w:u w:val="single"/>
          <w:rtl/>
        </w:rPr>
        <w:t>כשיש לה דין לגבות כפי דין תורה, נוטלת בחצי הנכסים מכח התקנה</w:t>
      </w:r>
      <w:r>
        <w:rPr>
          <w:rFonts w:hint="cs"/>
          <w:u w:val="single"/>
          <w:rtl/>
        </w:rPr>
        <w:t>:</w:t>
      </w:r>
    </w:p>
    <w:p w14:paraId="00A32B51" w14:textId="77777777" w:rsidR="002E5BAD" w:rsidRPr="00797BAD" w:rsidRDefault="002E5BAD" w:rsidP="00B75458">
      <w:pPr>
        <w:pStyle w:val="ab"/>
        <w:numPr>
          <w:ilvl w:val="0"/>
          <w:numId w:val="204"/>
        </w:numPr>
        <w:rPr>
          <w:rFonts w:cs="Arial"/>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ח-ט</w:t>
      </w:r>
      <w:r w:rsidRPr="00236A20">
        <w:rPr>
          <w:rFonts w:cs="Arial" w:hint="cs"/>
          <w:sz w:val="16"/>
          <w:szCs w:val="16"/>
          <w:rtl/>
        </w:rPr>
        <w:t xml:space="preserve">) </w:t>
      </w:r>
      <w:r w:rsidRPr="00236A20">
        <w:rPr>
          <w:rFonts w:cs="Arial" w:hint="cs"/>
          <w:rtl/>
        </w:rPr>
        <w:t xml:space="preserve">וטור- </w:t>
      </w:r>
      <w:r w:rsidRPr="00797BAD">
        <w:rPr>
          <w:rFonts w:cs="Arial"/>
          <w:rtl/>
        </w:rPr>
        <w:t>שאלה וששאלת בענין התקנה שהאלמנה והיורשים חולקים כל עזבון המת ויצא על המת שטר חוב מאוחר לכתובת אשה והאשה לא שיעבדה עצמה באותו שטר אם יפרעו אותו מתפוסת הבית קודם חלוקה או אם יתנו לאלמנה חצי כל עזבון המת ומחלק היורשים יפרעו החוב. תשובה אחר שאין דבר זה מפורש בנוסח התקנ' יד התקנ' על התחתונ' כי התקנה באה להוציא מד"ת שהדין נותן שתטול האלמנה כל כתובתה הלכך אמרינן מסתמא כך היתה התקנה שכל הנמצא ברשות המת בשעת מיתה דבר שהגוף שלו יחלקו ולא יפחתו חלק האלמנ' בשביל שיעבוד שהיה באותו הממון משועבד לאחר כי היכי שאם לא היתה התקנה לא היה השיעבוד מגרע כח כתובתה כיון שקדמה הכתובה לחוב וגם האלמנ' לא נשתעבדה בחוב ה"נ לא יגרע השיעבוד חלק הראוי לה מכח התקנה כי התקנה שתיטול חצי הנכסים היא במקום גביית כתובתה הלכך כל דין שיש לה מגביית כתובה יש לה ג"כ בחצי הנכסים שנוטלת מכח התקנה הלכך יחלקו כל עזבון המת כל דבר שהגוף היה שלו ומחלק היורשים יפרעו החוב וכן נ"ל שנוהגים פה בטוליטולא וששאלת עוד יש בתקנה אם לא הניח בנים ובנות ותבע האלמנה לחלוק עם יורשי המת תוציא הנדוניא שהביאה לבעל כמו שהיה בשעת חלוקה ושאר הנכסים תיטול האלמנה חציה וליורשי המת נשאר החצי ונוהגין שבשעת הנישואין כותב לאשתו שטר מתנה גמורה מלבד שטר הכתובה ועתה באו לחלוק האלמנה ויורשי המת כפי התקנה וטוענת האלמנה שיש לה לקחת שטר המתנה קודם חלוקת הנכסים והיורשים אומרים שאין לה ליטול שטר המתנה אלא יחלקו כל הנכסים חוץ מנדוניתה שתוציא תחילה תשובה הדין עם היורשים דכיון שכתוב בתקנה שתוציא נדוניא שהביאה לבעלה ושאר כל הנכסים תיטול האלמנה חציה ויורשי המת חצי האחר ומאחר שהוציא לשון התקנה כל הנדוניא מכלל שאר הנכסים ולא שטר המתנה מכלל דחלוקה קיימא על כל שאר הנכסים כך נראה מלשון התקנה ועוד דיד בעל השטר על התחתונה כיון שבאה להוציא מיד היתומים הלכך לא תיטול אלא חצי הנכסים אחר שתוציא מהם תחלה נדוניתא</w:t>
      </w:r>
      <w:r w:rsidRPr="00797BAD">
        <w:rPr>
          <w:rFonts w:cs="Arial" w:hint="cs"/>
          <w:rtl/>
        </w:rPr>
        <w:t>.</w:t>
      </w:r>
      <w:r w:rsidRPr="00797BAD">
        <w:rPr>
          <w:rFonts w:hint="cs"/>
          <w:color w:val="E36C0A" w:themeColor="accent6" w:themeShade="BF"/>
          <w:rtl/>
        </w:rPr>
        <w:t xml:space="preserve"> (וכ"פ בשו"ע)</w:t>
      </w:r>
      <w:r w:rsidRPr="00797BAD">
        <w:rPr>
          <w:rFonts w:hint="cs"/>
          <w:color w:val="00B0F0"/>
          <w:rtl/>
        </w:rPr>
        <w:t xml:space="preserve"> </w:t>
      </w:r>
    </w:p>
    <w:p w14:paraId="0EC16A4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177BA2" w14:textId="77777777" w:rsidR="002E5BAD" w:rsidRDefault="002E5BAD" w:rsidP="002E5BAD">
      <w:pPr>
        <w:rPr>
          <w:rtl/>
        </w:rPr>
      </w:pPr>
      <w:r>
        <w:rPr>
          <w:rFonts w:cs="Arial"/>
          <w:rtl/>
        </w:rPr>
        <w:t xml:space="preserve">כל דין שיש לה בגביית כתובתה כפי דין תורה, יש לה בחצי נכסים שנוטלת מכח התקנה. </w:t>
      </w:r>
    </w:p>
    <w:p w14:paraId="78EECBFF" w14:textId="77777777" w:rsidR="002E5BAD" w:rsidRDefault="002E5BAD" w:rsidP="002E5BAD">
      <w:pPr>
        <w:rPr>
          <w:rtl/>
        </w:rPr>
      </w:pPr>
    </w:p>
    <w:p w14:paraId="7C14F95B" w14:textId="77777777" w:rsidR="002E5BAD" w:rsidRDefault="002E5BAD" w:rsidP="002E5BAD">
      <w:pPr>
        <w:pStyle w:val="2"/>
        <w:rPr>
          <w:rtl/>
        </w:rPr>
      </w:pPr>
      <w:r>
        <w:rPr>
          <w:rtl/>
        </w:rPr>
        <w:t>סעיף ח</w:t>
      </w:r>
      <w:r>
        <w:rPr>
          <w:rFonts w:hint="cs"/>
          <w:rtl/>
        </w:rPr>
        <w:t xml:space="preserve">: </w:t>
      </w:r>
      <w:r w:rsidRPr="0013175A">
        <w:rPr>
          <w:rFonts w:cs="Arial"/>
          <w:rtl/>
        </w:rPr>
        <w:t xml:space="preserve">אשה </w:t>
      </w:r>
      <w:r w:rsidRPr="0013175A">
        <w:rPr>
          <w:rFonts w:cs="Arial" w:hint="cs"/>
          <w:rtl/>
        </w:rPr>
        <w:t xml:space="preserve">שנתנה </w:t>
      </w:r>
      <w:r>
        <w:rPr>
          <w:rFonts w:cs="Arial" w:hint="cs"/>
          <w:rtl/>
        </w:rPr>
        <w:t>למישהו</w:t>
      </w:r>
      <w:r w:rsidRPr="0013175A">
        <w:rPr>
          <w:rFonts w:cs="Arial"/>
          <w:rtl/>
        </w:rPr>
        <w:t xml:space="preserve"> שיזכה אחר מותה בחצי נדונייתא הראוים יורשיה לירש</w:t>
      </w:r>
      <w:r>
        <w:rPr>
          <w:rFonts w:cs="Arial" w:hint="cs"/>
          <w:rtl/>
        </w:rPr>
        <w:t>.</w:t>
      </w:r>
    </w:p>
    <w:p w14:paraId="4BAF24D9" w14:textId="77777777" w:rsidR="002E5BAD" w:rsidRPr="0013175A" w:rsidRDefault="002E5BAD" w:rsidP="002E5BAD">
      <w:pPr>
        <w:rPr>
          <w:u w:val="single"/>
        </w:rPr>
      </w:pPr>
      <w:r w:rsidRPr="0013175A">
        <w:rPr>
          <w:rFonts w:cs="Arial"/>
          <w:u w:val="single"/>
          <w:rtl/>
        </w:rPr>
        <w:t xml:space="preserve">אשה </w:t>
      </w:r>
      <w:r w:rsidRPr="0013175A">
        <w:rPr>
          <w:rFonts w:cs="Arial" w:hint="cs"/>
          <w:u w:val="single"/>
          <w:rtl/>
        </w:rPr>
        <w:t xml:space="preserve">שנתנה </w:t>
      </w:r>
      <w:r w:rsidRPr="0013175A">
        <w:rPr>
          <w:rFonts w:cs="Arial"/>
          <w:u w:val="single"/>
          <w:rtl/>
        </w:rPr>
        <w:t>לבעלה או לאחר שיזכה אחר מותה בחצי נדונייתא הראוים יורשיה לירש כפי תקנת טוליטולה</w:t>
      </w:r>
      <w:r w:rsidRPr="0013175A">
        <w:rPr>
          <w:rFonts w:cs="Arial" w:hint="cs"/>
          <w:u w:val="single"/>
          <w:rtl/>
        </w:rPr>
        <w:t>:</w:t>
      </w:r>
    </w:p>
    <w:p w14:paraId="19257E5D" w14:textId="77777777" w:rsidR="002E5BAD" w:rsidRDefault="002E5BAD" w:rsidP="00B75458">
      <w:pPr>
        <w:pStyle w:val="ab"/>
        <w:numPr>
          <w:ilvl w:val="0"/>
          <w:numId w:val="204"/>
        </w:numPr>
      </w:pPr>
      <w:r w:rsidRPr="00236A20">
        <w:rPr>
          <w:rFonts w:cs="Arial" w:hint="cs"/>
          <w:rtl/>
        </w:rPr>
        <w:lastRenderedPageBreak/>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w:t>
      </w:r>
      <w:r>
        <w:rPr>
          <w:rFonts w:cs="Arial" w:hint="cs"/>
          <w:sz w:val="16"/>
          <w:szCs w:val="16"/>
          <w:rtl/>
        </w:rPr>
        <w:t>סי' א ו</w:t>
      </w:r>
      <w:r w:rsidRPr="00236A20">
        <w:rPr>
          <w:rFonts w:cs="Arial" w:hint="cs"/>
          <w:sz w:val="16"/>
          <w:szCs w:val="16"/>
          <w:rtl/>
        </w:rPr>
        <w:t xml:space="preserve">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13175A">
        <w:rPr>
          <w:rFonts w:cs="Arial"/>
          <w:rtl/>
        </w:rPr>
        <w:t>ששאלת אם האשה יכולה לתת בחייה לבעלה או לאחר מי שתרצה שיזכה אחרי מותה באותו החצי שראוי לירש זרעה או אחר הזוכה בירושתה</w:t>
      </w:r>
      <w:r>
        <w:rPr>
          <w:rFonts w:cs="Arial" w:hint="cs"/>
          <w:rtl/>
        </w:rPr>
        <w:t>...</w:t>
      </w:r>
      <w:r w:rsidRPr="0013175A">
        <w:rPr>
          <w:rFonts w:cs="Arial"/>
          <w:rtl/>
        </w:rPr>
        <w:t xml:space="preserve"> </w:t>
      </w:r>
      <w:r>
        <w:rPr>
          <w:rFonts w:cs="Arial" w:hint="cs"/>
          <w:rtl/>
        </w:rPr>
        <w:t xml:space="preserve">- </w:t>
      </w:r>
      <w:r w:rsidRPr="0013175A">
        <w:rPr>
          <w:rFonts w:cs="Arial"/>
          <w:rtl/>
        </w:rPr>
        <w:t>אין בידה לשנות כלל לתתו לא לבעלה ולא לאחר ואם נתנה אותו אין מתנתה כלום</w:t>
      </w:r>
      <w:r>
        <w:rPr>
          <w:rStyle w:val="a7"/>
          <w:rFonts w:cs="Arial"/>
          <w:rtl/>
        </w:rPr>
        <w:footnoteReference w:id="3271"/>
      </w:r>
      <w:r w:rsidRPr="0013175A">
        <w:rPr>
          <w:rFonts w:cs="Arial"/>
          <w:rtl/>
        </w:rPr>
        <w:t xml:space="preserve"> אלא הראוי לירש ירש</w:t>
      </w:r>
      <w:r>
        <w:rPr>
          <w:rFonts w:cs="Arial" w:hint="cs"/>
          <w:rtl/>
        </w:rPr>
        <w:t>.</w:t>
      </w:r>
      <w:r w:rsidRPr="0013175A">
        <w:rPr>
          <w:rFonts w:cs="Arial"/>
          <w:rtl/>
        </w:rPr>
        <w:t xml:space="preserve"> ודאי אם היתה נותנת מעכשיו נכסים לבעלה בענין שלא היתה יכולה לומר נחת רוח עשיתי לבעלי היתה המתנה קיימת אבל אם נתנה לו מעכשיו ולאחר מיתה אין מתנתה כלום</w:t>
      </w:r>
      <w:r>
        <w:rPr>
          <w:rStyle w:val="a7"/>
          <w:rFonts w:cs="Arial"/>
          <w:rtl/>
        </w:rPr>
        <w:footnoteReference w:id="3272"/>
      </w:r>
      <w:r>
        <w:rPr>
          <w:rFonts w:hint="cs"/>
          <w:rtl/>
        </w:rPr>
        <w:t xml:space="preserve">. </w:t>
      </w:r>
      <w:r w:rsidRPr="00797BAD">
        <w:rPr>
          <w:rFonts w:hint="cs"/>
          <w:color w:val="E36C0A" w:themeColor="accent6" w:themeShade="BF"/>
          <w:rtl/>
        </w:rPr>
        <w:t>(וכ"פ בשו"ע)</w:t>
      </w:r>
    </w:p>
    <w:p w14:paraId="4E6D6DFB" w14:textId="77777777" w:rsidR="002E5BAD" w:rsidRPr="009132B5" w:rsidRDefault="002E5BAD" w:rsidP="002E5BAD">
      <w:pPr>
        <w:rPr>
          <w:u w:val="single"/>
        </w:rPr>
      </w:pPr>
      <w:r>
        <w:rPr>
          <w:rFonts w:hint="cs"/>
          <w:u w:val="single"/>
          <w:rtl/>
        </w:rPr>
        <w:t>אשה שציותה לפני מותה לחלק כפי התקנה</w:t>
      </w:r>
      <w:r w:rsidRPr="002727C2">
        <w:rPr>
          <w:rFonts w:hint="cs"/>
          <w:sz w:val="16"/>
          <w:szCs w:val="16"/>
          <w:u w:val="single"/>
          <w:rtl/>
        </w:rPr>
        <w:t xml:space="preserve"> (חצי לבעלה וחצי לבתה)</w:t>
      </w:r>
      <w:r>
        <w:rPr>
          <w:rFonts w:hint="cs"/>
          <w:u w:val="single"/>
          <w:rtl/>
        </w:rPr>
        <w:t>, ושאם תמות בתה לפני נישואין, תירש אחותה החצי</w:t>
      </w:r>
      <w:r w:rsidRPr="009132B5">
        <w:rPr>
          <w:rFonts w:hint="cs"/>
          <w:u w:val="single"/>
          <w:rtl/>
        </w:rPr>
        <w:t>:</w:t>
      </w:r>
    </w:p>
    <w:p w14:paraId="572118DD"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מ סי' ג</w:t>
      </w:r>
      <w:r w:rsidRPr="00236A20">
        <w:rPr>
          <w:rFonts w:cs="Arial" w:hint="cs"/>
          <w:sz w:val="16"/>
          <w:szCs w:val="16"/>
          <w:rtl/>
        </w:rPr>
        <w:t xml:space="preserve">) </w:t>
      </w:r>
      <w:r w:rsidRPr="00236A20">
        <w:rPr>
          <w:rFonts w:cs="Arial" w:hint="cs"/>
          <w:rtl/>
        </w:rPr>
        <w:t xml:space="preserve">וטור- </w:t>
      </w:r>
      <w:r w:rsidRPr="009132B5">
        <w:rPr>
          <w:rFonts w:cs="Arial"/>
          <w:rtl/>
        </w:rPr>
        <w:t>ששאלת רחל שהיתה נשואה</w:t>
      </w:r>
      <w:r>
        <w:rPr>
          <w:rFonts w:cs="Arial" w:hint="cs"/>
          <w:rtl/>
        </w:rPr>
        <w:t>,</w:t>
      </w:r>
      <w:r w:rsidRPr="009132B5">
        <w:rPr>
          <w:rFonts w:cs="Arial"/>
          <w:rtl/>
        </w:rPr>
        <w:t xml:space="preserve"> ולה בת אחת</w:t>
      </w:r>
      <w:r>
        <w:rPr>
          <w:rFonts w:cs="Arial" w:hint="cs"/>
          <w:rtl/>
        </w:rPr>
        <w:t>.</w:t>
      </w:r>
      <w:r w:rsidRPr="009132B5">
        <w:rPr>
          <w:rFonts w:cs="Arial"/>
          <w:rtl/>
        </w:rPr>
        <w:t xml:space="preserve"> ומתה</w:t>
      </w:r>
      <w:r>
        <w:rPr>
          <w:rFonts w:cs="Arial" w:hint="cs"/>
          <w:rtl/>
        </w:rPr>
        <w:t>,</w:t>
      </w:r>
      <w:r w:rsidRPr="009132B5">
        <w:rPr>
          <w:rFonts w:cs="Arial"/>
          <w:rtl/>
        </w:rPr>
        <w:t xml:space="preserve"> וצותה שיטול בעלה חצי נכסיה</w:t>
      </w:r>
      <w:r>
        <w:rPr>
          <w:rFonts w:cs="Arial" w:hint="cs"/>
          <w:rtl/>
        </w:rPr>
        <w:t>,</w:t>
      </w:r>
      <w:r w:rsidRPr="009132B5">
        <w:rPr>
          <w:rFonts w:cs="Arial"/>
          <w:rtl/>
        </w:rPr>
        <w:t xml:space="preserve"> ובתה חצי האחר</w:t>
      </w:r>
      <w:r>
        <w:rPr>
          <w:rFonts w:cs="Arial" w:hint="cs"/>
          <w:rtl/>
        </w:rPr>
        <w:t>,</w:t>
      </w:r>
      <w:r w:rsidRPr="009132B5">
        <w:rPr>
          <w:rFonts w:cs="Arial"/>
          <w:rtl/>
        </w:rPr>
        <w:t xml:space="preserve"> כפי התקנה</w:t>
      </w:r>
      <w:r>
        <w:rPr>
          <w:rFonts w:cs="Arial" w:hint="cs"/>
          <w:rtl/>
        </w:rPr>
        <w:t>.</w:t>
      </w:r>
      <w:r w:rsidRPr="009132B5">
        <w:rPr>
          <w:rFonts w:cs="Arial"/>
          <w:rtl/>
        </w:rPr>
        <w:t xml:space="preserve"> וצותה עוד שאם תמות בתה קודם שתינשא שיהיו נכסיה לאחות רחל</w:t>
      </w:r>
      <w:r>
        <w:rPr>
          <w:rFonts w:cs="Arial" w:hint="cs"/>
          <w:rtl/>
        </w:rPr>
        <w:t>.</w:t>
      </w:r>
      <w:r w:rsidRPr="009132B5">
        <w:rPr>
          <w:rFonts w:cs="Arial"/>
          <w:rtl/>
        </w:rPr>
        <w:t xml:space="preserve"> ומתה הבת</w:t>
      </w:r>
      <w:r>
        <w:rPr>
          <w:rFonts w:cs="Arial" w:hint="cs"/>
          <w:rtl/>
        </w:rPr>
        <w:t>,</w:t>
      </w:r>
      <w:r w:rsidRPr="009132B5">
        <w:rPr>
          <w:rFonts w:cs="Arial"/>
          <w:rtl/>
        </w:rPr>
        <w:t xml:space="preserve"> ורוצה אחות רחל לזכות בנכסים בחלק הבת בכח צוואת אחותה</w:t>
      </w:r>
      <w:r>
        <w:rPr>
          <w:rFonts w:cs="Arial" w:hint="cs"/>
          <w:rtl/>
        </w:rPr>
        <w:t>.</w:t>
      </w:r>
      <w:r w:rsidRPr="009132B5">
        <w:rPr>
          <w:rFonts w:cs="Arial"/>
          <w:rtl/>
        </w:rPr>
        <w:t xml:space="preserve"> ובעלה של רחל שהוא אבי הבת אומר שיש לו לירש את בתו </w:t>
      </w:r>
      <w:r>
        <w:rPr>
          <w:rFonts w:cs="Arial" w:hint="cs"/>
          <w:rtl/>
        </w:rPr>
        <w:t xml:space="preserve">- </w:t>
      </w:r>
      <w:r w:rsidRPr="009132B5">
        <w:rPr>
          <w:rFonts w:cs="Arial"/>
          <w:rtl/>
        </w:rPr>
        <w:t>הדין עמו כי הצוואה שצוותה אם הבת שאחרי מות הבת תירש אחותה הממון אין באותה צוואה כלום אלא האב יורש אותה</w:t>
      </w:r>
      <w:r>
        <w:rPr>
          <w:rFonts w:cs="Arial" w:hint="cs"/>
          <w:rtl/>
        </w:rPr>
        <w:t>.</w:t>
      </w:r>
      <w:r w:rsidRPr="009132B5">
        <w:rPr>
          <w:rFonts w:cs="Arial"/>
          <w:rtl/>
        </w:rPr>
        <w:t xml:space="preserve"> </w:t>
      </w:r>
    </w:p>
    <w:p w14:paraId="2BC3B898" w14:textId="77777777" w:rsidR="002E5BAD" w:rsidRPr="00EE2023" w:rsidRDefault="002E5BAD" w:rsidP="002E5BAD">
      <w:pPr>
        <w:rPr>
          <w:u w:val="single"/>
        </w:rPr>
      </w:pPr>
      <w:r w:rsidRPr="00EE2023">
        <w:rPr>
          <w:rFonts w:hint="cs"/>
          <w:u w:val="single"/>
          <w:rtl/>
        </w:rPr>
        <w:t>האם בעל חוב של האב לגבות חובו מהחצי שקיבלה הבת מכח התקנה:</w:t>
      </w:r>
    </w:p>
    <w:p w14:paraId="0E8D5EB0"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נה סי' ב</w:t>
      </w:r>
      <w:r w:rsidRPr="00236A20">
        <w:rPr>
          <w:rFonts w:cs="Arial" w:hint="cs"/>
          <w:sz w:val="16"/>
          <w:szCs w:val="16"/>
          <w:rtl/>
        </w:rPr>
        <w:t xml:space="preserve">) </w:t>
      </w:r>
      <w:r w:rsidRPr="00236A20">
        <w:rPr>
          <w:rFonts w:cs="Arial" w:hint="cs"/>
          <w:rtl/>
        </w:rPr>
        <w:t xml:space="preserve">וטור- </w:t>
      </w:r>
      <w:r w:rsidRPr="009132B5">
        <w:rPr>
          <w:rFonts w:cs="Arial"/>
          <w:rtl/>
        </w:rPr>
        <w:t>וששאלת על תקנת טוליטולא שהבת יורשת חצי הנדוניא אם יכול ב"ח של אבי אם הבת ליקח מהבת מאחר שהיה יורשת החצי או נאמר מאחר שהבת אינה יורשת אלא מכח התקנה לא תפרע החוב של אבי אמה</w:t>
      </w:r>
      <w:r>
        <w:rPr>
          <w:rFonts w:cs="Arial" w:hint="cs"/>
          <w:rtl/>
        </w:rPr>
        <w:t xml:space="preserve">.   </w:t>
      </w:r>
      <w:r w:rsidRPr="009132B5">
        <w:rPr>
          <w:rFonts w:cs="Arial"/>
          <w:rtl/>
        </w:rPr>
        <w:t xml:space="preserve"> תשובה</w:t>
      </w:r>
      <w:r>
        <w:rPr>
          <w:rFonts w:cs="Arial" w:hint="cs"/>
          <w:rtl/>
        </w:rPr>
        <w:t>-</w:t>
      </w:r>
      <w:r w:rsidRPr="009132B5">
        <w:rPr>
          <w:rFonts w:cs="Arial"/>
          <w:rtl/>
        </w:rPr>
        <w:t xml:space="preserve"> דבריך סתומים אם הנדוניא שנתן האב לבתו דבר מסויים כגון קרקע ש חל שיעבוד ב"ח עליו לא פקע שיעבודו וביד מי שימצא שיעבודו יטלנו ואין אנו חוששין היאך בא לידו ואם אין מסויים היאך יגבה ב"ח אינו גובה מטלטלים בין מלוקח בין ממקבל מתנה אי לא אקני ליה מטלטלי אגב מקרקעי ואי אקני ליה מטלטלי אגב מקרקעי יש למטלטלי דין מקרקעי</w:t>
      </w:r>
      <w:r>
        <w:rPr>
          <w:rFonts w:cs="Arial" w:hint="cs"/>
          <w:rtl/>
        </w:rPr>
        <w:t>.</w:t>
      </w:r>
      <w:r w:rsidRPr="009132B5">
        <w:rPr>
          <w:rFonts w:cs="Arial"/>
          <w:rtl/>
        </w:rPr>
        <w:t xml:space="preserve"> </w:t>
      </w:r>
    </w:p>
    <w:p w14:paraId="607633A4" w14:textId="77777777" w:rsidR="002E5BAD" w:rsidRPr="00C11087" w:rsidRDefault="002E5BAD" w:rsidP="002E5BAD">
      <w:pPr>
        <w:rPr>
          <w:u w:val="single"/>
        </w:rPr>
      </w:pPr>
      <w:r w:rsidRPr="00C11087">
        <w:rPr>
          <w:rFonts w:hint="cs"/>
          <w:u w:val="single"/>
          <w:rtl/>
        </w:rPr>
        <w:t xml:space="preserve">מי שכתב לאשתו </w:t>
      </w:r>
      <w:r>
        <w:rPr>
          <w:rFonts w:hint="cs"/>
          <w:u w:val="single"/>
          <w:rtl/>
        </w:rPr>
        <w:t xml:space="preserve">בלשון ירושה את </w:t>
      </w:r>
      <w:r w:rsidRPr="00C11087">
        <w:rPr>
          <w:rFonts w:hint="cs"/>
          <w:u w:val="single"/>
          <w:rtl/>
        </w:rPr>
        <w:t>כל נכסיו אם יפטר לפניה:</w:t>
      </w:r>
    </w:p>
    <w:p w14:paraId="31A81324" w14:textId="77777777" w:rsidR="002E5BAD" w:rsidRPr="0040439D"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פד</w:t>
      </w:r>
      <w:r w:rsidRPr="00236A20">
        <w:rPr>
          <w:rFonts w:cs="Arial" w:hint="cs"/>
          <w:sz w:val="16"/>
          <w:szCs w:val="16"/>
          <w:rtl/>
        </w:rPr>
        <w:t xml:space="preserve"> </w:t>
      </w:r>
      <w:r>
        <w:rPr>
          <w:rFonts w:cs="Arial" w:hint="cs"/>
          <w:sz w:val="16"/>
          <w:szCs w:val="16"/>
          <w:rtl/>
        </w:rPr>
        <w:t>סי' ו</w:t>
      </w:r>
      <w:r w:rsidRPr="00236A20">
        <w:rPr>
          <w:rFonts w:cs="Arial" w:hint="cs"/>
          <w:sz w:val="16"/>
          <w:szCs w:val="16"/>
          <w:rtl/>
        </w:rPr>
        <w:t xml:space="preserve">) </w:t>
      </w:r>
      <w:r w:rsidRPr="00236A20">
        <w:rPr>
          <w:rFonts w:cs="Arial" w:hint="cs"/>
          <w:rtl/>
        </w:rPr>
        <w:t xml:space="preserve">וטור- </w:t>
      </w:r>
      <w:r w:rsidRPr="009132B5">
        <w:rPr>
          <w:rFonts w:cs="Arial"/>
          <w:rtl/>
        </w:rPr>
        <w:t>שאלה ילמדנו רבינו ראובן אמר לעדים הוו עלי עדים בקנין שלם מעכשיו וכתבו וחתמו עלי בכל לשון של זכות ותנו לאשתי להיות בידה לזכות ולראיה שרציתי ברצון נפשי ובגוף בריא ועשיתי אחוה עם אשתי שאם חס ושלום אפטר לבית עולמי קודם ממנה מהיום ולאחר מיתה עשיתי אותה יורשת בכל נכסי שקניתי ושאני עתיד לקנות</w:t>
      </w:r>
      <w:r>
        <w:rPr>
          <w:rFonts w:cs="Arial" w:hint="cs"/>
          <w:rtl/>
        </w:rPr>
        <w:t>,</w:t>
      </w:r>
      <w:r w:rsidRPr="009132B5">
        <w:rPr>
          <w:rFonts w:cs="Arial"/>
          <w:rtl/>
        </w:rPr>
        <w:t xml:space="preserve"> ומהיום תלך פלונית אשתי ותחזיק בכל מה שיש לי בעולם קרקע או מטלטל בגדים ושימוש ערש חוזק גמור מהיום ולעולם ומעכשיו תירש ותוריש ותנחיל ותחסין ותעשה חפצה ורצונה בכל מה שיש לי בעולם</w:t>
      </w:r>
      <w:r>
        <w:rPr>
          <w:rFonts w:cs="Arial" w:hint="cs"/>
          <w:rtl/>
        </w:rPr>
        <w:t>.</w:t>
      </w:r>
      <w:r w:rsidRPr="009132B5">
        <w:rPr>
          <w:rFonts w:cs="Arial"/>
          <w:rtl/>
        </w:rPr>
        <w:t xml:space="preserve"> ונפטר ראובן לבית עולמו</w:t>
      </w:r>
      <w:r>
        <w:rPr>
          <w:rFonts w:cs="Arial" w:hint="cs"/>
          <w:rtl/>
        </w:rPr>
        <w:t>,</w:t>
      </w:r>
      <w:r w:rsidRPr="009132B5">
        <w:rPr>
          <w:rFonts w:cs="Arial"/>
          <w:rtl/>
        </w:rPr>
        <w:t xml:space="preserve"> אם זכתה האשה בנכסיו ולפי שעשאה יורשת ואינה יורשת אלא ב"ח</w:t>
      </w:r>
      <w:r>
        <w:rPr>
          <w:rFonts w:cs="Arial" w:hint="cs"/>
          <w:rtl/>
        </w:rPr>
        <w:t>.</w:t>
      </w:r>
      <w:r w:rsidRPr="009132B5">
        <w:rPr>
          <w:rFonts w:cs="Arial"/>
          <w:rtl/>
        </w:rPr>
        <w:t xml:space="preserve"> </w:t>
      </w:r>
      <w:r>
        <w:rPr>
          <w:rFonts w:cs="Arial" w:hint="cs"/>
          <w:rtl/>
        </w:rPr>
        <w:t xml:space="preserve">   </w:t>
      </w:r>
      <w:r w:rsidRPr="009132B5">
        <w:rPr>
          <w:rFonts w:cs="Arial"/>
          <w:rtl/>
        </w:rPr>
        <w:t>תשובה</w:t>
      </w:r>
      <w:r>
        <w:rPr>
          <w:rFonts w:cs="Arial" w:hint="cs"/>
          <w:rtl/>
        </w:rPr>
        <w:t>-</w:t>
      </w:r>
      <w:r w:rsidRPr="009132B5">
        <w:rPr>
          <w:rFonts w:cs="Arial"/>
          <w:rtl/>
        </w:rPr>
        <w:t xml:space="preserve"> מה שנתן לאשתו בלשון ירושה אינו כלום כיון שאינה ראוייה לירש אמנם רואה אני לקיים שטר זה מתוך תיבה אחת שכתוב בה ותחזיק בכל מה שיש לי בעולם ומלת ותחזיק היא לשון מתנה ותנן בפרק י"נ (קל) כתב לשון מתנה בין בתחילה בין באמצע בין בסוף דבריו קיימין וקנתה בין מה שיש לו עכשיו בין מה שיש לו אחר המתנה כי כתב לה ושעתיד אני לקנות</w:t>
      </w:r>
      <w:r>
        <w:rPr>
          <w:rFonts w:hint="cs"/>
          <w:rtl/>
        </w:rPr>
        <w:t>.</w:t>
      </w:r>
    </w:p>
    <w:p w14:paraId="17F3098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C10B0E" w14:textId="77777777" w:rsidR="002E5BAD" w:rsidRDefault="002E5BAD" w:rsidP="002E5BAD">
      <w:pPr>
        <w:rPr>
          <w:rtl/>
        </w:rPr>
      </w:pPr>
      <w:r>
        <w:rPr>
          <w:rFonts w:cs="Arial"/>
          <w:rtl/>
        </w:rPr>
        <w:t xml:space="preserve">אם נתנה האשה לבעלה או לאחר שיזכה אחר מותה בחצי נדונייתא הראוים יורשיה לירש כפי תקנת טוליטולה, אינו כלום. אבל אם מחלה, מעכשיו, לבעלה כל שטרי חובות שיש לה עליו, מחילתה מחילה. </w:t>
      </w:r>
      <w:r w:rsidRPr="00213780">
        <w:rPr>
          <w:rFonts w:cs="Arial"/>
          <w:sz w:val="18"/>
          <w:szCs w:val="18"/>
          <w:rtl/>
        </w:rPr>
        <w:t xml:space="preserve">הגה: ויש לילך בזה אחר לשון התקנה, דאם משמע שם דאינה יכולה למחול בלא היורשין, או שעל מנת כן נתן הנותן, אין בידה לשנות. ואם היא בעצמה נותנת הנדוניא, יכולה למחול לבעלה או להתנות ליתן לאחר כפי מה שתחפוץ, ובלבד שתעשה בפני עדים, ובלא זה זוכים היורשים מכח המנהג (כל זה תמצא מבואר </w:t>
      </w:r>
      <w:r w:rsidRPr="00213780">
        <w:rPr>
          <w:rFonts w:cs="Arial"/>
          <w:sz w:val="18"/>
          <w:szCs w:val="18"/>
          <w:rtl/>
        </w:rPr>
        <w:lastRenderedPageBreak/>
        <w:t xml:space="preserve">בב"י בשם תשובת הרא"ש ורשב"ץ). במקום שיש תקנה שיורשי האשה יחלוקו עם הבעל כשמתה האשה תחלה, יפרעו תחלה כל החובות שהבעל חייב. ונאמן הבעל לומר כמה חייב, במגו דאי בעי היה כופר ואומר שלא הניח כל כך (תשובת הרא"ש כלל נ"ה). </w:t>
      </w:r>
    </w:p>
    <w:p w14:paraId="45D20CD3" w14:textId="77777777" w:rsidR="002E5BAD" w:rsidRDefault="002E5BAD" w:rsidP="002E5BAD">
      <w:pPr>
        <w:rPr>
          <w:rtl/>
        </w:rPr>
      </w:pPr>
    </w:p>
    <w:p w14:paraId="2642D458" w14:textId="77777777" w:rsidR="002E5BAD" w:rsidRDefault="002E5BAD" w:rsidP="002E5BAD">
      <w:pPr>
        <w:pStyle w:val="2"/>
        <w:rPr>
          <w:rtl/>
        </w:rPr>
      </w:pPr>
      <w:r>
        <w:rPr>
          <w:rtl/>
        </w:rPr>
        <w:t>סעיף ט</w:t>
      </w:r>
      <w:r>
        <w:rPr>
          <w:rFonts w:hint="cs"/>
          <w:rtl/>
        </w:rPr>
        <w:t xml:space="preserve">: </w:t>
      </w:r>
      <w:r>
        <w:rPr>
          <w:rFonts w:cs="Arial"/>
          <w:rtl/>
        </w:rPr>
        <w:t>הכותב לאשתו בשעת נשואין שטר חוב בסכום ידוע</w:t>
      </w:r>
      <w:r>
        <w:rPr>
          <w:rFonts w:hint="cs"/>
          <w:rtl/>
        </w:rPr>
        <w:t xml:space="preserve"> שתוכל לגבותו בכל עת.</w:t>
      </w:r>
    </w:p>
    <w:p w14:paraId="6CD8F7B4" w14:textId="77777777" w:rsidR="002E5BAD" w:rsidRPr="0013175A" w:rsidRDefault="002E5BAD" w:rsidP="002E5BAD">
      <w:pPr>
        <w:rPr>
          <w:u w:val="single"/>
        </w:rPr>
      </w:pPr>
      <w:r w:rsidRPr="005D0708">
        <w:rPr>
          <w:rFonts w:cs="Arial"/>
          <w:u w:val="single"/>
          <w:rtl/>
        </w:rPr>
        <w:t>הכותב לאשתו בשעת נשואין שטר חוב בסכום ידוע</w:t>
      </w:r>
      <w:r w:rsidRPr="005D0708">
        <w:rPr>
          <w:rFonts w:cs="Arial" w:hint="cs"/>
          <w:u w:val="single"/>
          <w:rtl/>
        </w:rPr>
        <w:t xml:space="preserve"> שתוכל לגבותו בכל עת</w:t>
      </w:r>
      <w:r w:rsidRPr="0013175A">
        <w:rPr>
          <w:rFonts w:cs="Arial" w:hint="cs"/>
          <w:u w:val="single"/>
          <w:rtl/>
        </w:rPr>
        <w:t>:</w:t>
      </w:r>
    </w:p>
    <w:p w14:paraId="5AA39605" w14:textId="77777777" w:rsidR="002E5BAD" w:rsidRPr="00213780" w:rsidRDefault="002E5BAD" w:rsidP="00B75458">
      <w:pPr>
        <w:pStyle w:val="ab"/>
        <w:numPr>
          <w:ilvl w:val="0"/>
          <w:numId w:val="204"/>
        </w:numPr>
        <w:rPr>
          <w:rtl/>
        </w:rPr>
      </w:pPr>
      <w:r w:rsidRPr="00236A20">
        <w:rPr>
          <w:rFonts w:cs="Arial" w:hint="cs"/>
          <w:rtl/>
        </w:rPr>
        <w:t xml:space="preserve">טור- </w:t>
      </w:r>
      <w:r w:rsidRPr="005A54C2">
        <w:rPr>
          <w:rFonts w:cs="Arial"/>
          <w:rtl/>
        </w:rPr>
        <w:t>יש נוהגין לכתוב שט"ח לנשותיהן בשעת נישואין שמחייבים עצמם בסכום ידוע וקורין אותו נדוניא יכולה לגבותו בכל עת שתרצה</w:t>
      </w:r>
      <w:r>
        <w:rPr>
          <w:rFonts w:cs="Arial" w:hint="cs"/>
          <w:rtl/>
        </w:rPr>
        <w:t>.</w:t>
      </w:r>
      <w:r w:rsidRPr="005A54C2">
        <w:rPr>
          <w:rFonts w:cs="Arial"/>
          <w:rtl/>
        </w:rPr>
        <w:t xml:space="preserve"> וכתב א"א הרא"ש ז"ל </w:t>
      </w:r>
      <w:r w:rsidRPr="00236A20">
        <w:rPr>
          <w:rFonts w:cs="Arial" w:hint="cs"/>
          <w:sz w:val="16"/>
          <w:szCs w:val="16"/>
          <w:rtl/>
        </w:rPr>
        <w:t xml:space="preserve">(כלל </w:t>
      </w:r>
      <w:r>
        <w:rPr>
          <w:rFonts w:cs="Arial" w:hint="cs"/>
          <w:sz w:val="16"/>
          <w:szCs w:val="16"/>
          <w:rtl/>
        </w:rPr>
        <w:t>לט סי' ג</w:t>
      </w:r>
      <w:r w:rsidRPr="00236A20">
        <w:rPr>
          <w:rFonts w:cs="Arial" w:hint="cs"/>
          <w:sz w:val="16"/>
          <w:szCs w:val="16"/>
          <w:rtl/>
        </w:rPr>
        <w:t>)</w:t>
      </w:r>
      <w:r>
        <w:rPr>
          <w:rFonts w:cs="Arial" w:hint="cs"/>
          <w:sz w:val="16"/>
          <w:szCs w:val="16"/>
          <w:rtl/>
        </w:rPr>
        <w:t xml:space="preserve"> </w:t>
      </w:r>
      <w:r w:rsidRPr="005A54C2">
        <w:rPr>
          <w:rFonts w:cs="Arial"/>
          <w:rtl/>
        </w:rPr>
        <w:t>שיש לו דין נכסי מלוג שמנחת החוב ביד בעלה כ"ז שהיא רוצה וכשתרצה תגבנו</w:t>
      </w:r>
      <w:r>
        <w:rPr>
          <w:rFonts w:cs="Arial" w:hint="cs"/>
          <w:rtl/>
        </w:rPr>
        <w:t>,</w:t>
      </w:r>
      <w:r w:rsidRPr="005A54C2">
        <w:rPr>
          <w:rFonts w:cs="Arial"/>
          <w:rtl/>
        </w:rPr>
        <w:t xml:space="preserve"> וילקח בהן קרקע והוא אוכל פירות</w:t>
      </w:r>
      <w:r>
        <w:rPr>
          <w:rFonts w:cs="Arial" w:hint="cs"/>
          <w:rtl/>
        </w:rPr>
        <w:t>.</w:t>
      </w:r>
      <w:r w:rsidRPr="005A54C2">
        <w:rPr>
          <w:rFonts w:cs="Arial"/>
          <w:rtl/>
        </w:rPr>
        <w:t xml:space="preserve"> דכל הנכסים הנמצאים ביד האשה היאך שבאו לידה בין בירושה בין במתנה</w:t>
      </w:r>
      <w:r>
        <w:rPr>
          <w:rFonts w:cs="Arial" w:hint="cs"/>
          <w:rtl/>
        </w:rPr>
        <w:t>,</w:t>
      </w:r>
      <w:r w:rsidRPr="005A54C2">
        <w:rPr>
          <w:rFonts w:cs="Arial"/>
          <w:rtl/>
        </w:rPr>
        <w:t xml:space="preserve"> כולן זכה בהן הבעל בפירות</w:t>
      </w:r>
      <w:r>
        <w:rPr>
          <w:rFonts w:cs="Arial" w:hint="cs"/>
          <w:rtl/>
        </w:rPr>
        <w:t>.</w:t>
      </w:r>
      <w:r w:rsidRPr="005A54C2">
        <w:rPr>
          <w:rFonts w:cs="Arial"/>
          <w:rtl/>
        </w:rPr>
        <w:t xml:space="preserve"> ולא דמיא להא דאמרינן הנותן מתנה לאשה קנתה ואין הבעל אוכל פירות</w:t>
      </w:r>
      <w:r>
        <w:rPr>
          <w:rFonts w:cs="Arial" w:hint="cs"/>
          <w:rtl/>
        </w:rPr>
        <w:t>,</w:t>
      </w:r>
      <w:r w:rsidRPr="005A54C2">
        <w:rPr>
          <w:rFonts w:cs="Arial"/>
          <w:rtl/>
        </w:rPr>
        <w:t xml:space="preserve"> דהתם מיירי שנתן לה אחר שנשאה</w:t>
      </w:r>
      <w:r>
        <w:rPr>
          <w:rFonts w:cs="Arial" w:hint="cs"/>
          <w:rtl/>
        </w:rPr>
        <w:t>,</w:t>
      </w:r>
      <w:r w:rsidRPr="005A54C2">
        <w:rPr>
          <w:rFonts w:cs="Arial"/>
          <w:rtl/>
        </w:rPr>
        <w:t xml:space="preserve"> שבעין יפה נותנה לה ואינו משייר לעצמו כלום</w:t>
      </w:r>
      <w:r>
        <w:rPr>
          <w:rFonts w:cs="Arial" w:hint="cs"/>
          <w:rtl/>
        </w:rPr>
        <w:t>.</w:t>
      </w:r>
      <w:r w:rsidRPr="005A54C2">
        <w:rPr>
          <w:rFonts w:cs="Arial"/>
          <w:rtl/>
        </w:rPr>
        <w:t xml:space="preserve"> אבל מתנה שכותב לה קודם שישאנה היא כאחת משלשה שדות שהכניס לה שום משלו</w:t>
      </w:r>
      <w:r>
        <w:rPr>
          <w:rFonts w:cs="Arial" w:hint="cs"/>
          <w:rtl/>
        </w:rPr>
        <w:t>,</w:t>
      </w:r>
      <w:r w:rsidRPr="005A54C2">
        <w:rPr>
          <w:rFonts w:cs="Arial"/>
          <w:rtl/>
        </w:rPr>
        <w:t xml:space="preserve"> אלא שאותן נקראין שיעבוד כתובה</w:t>
      </w:r>
      <w:r>
        <w:rPr>
          <w:rFonts w:cs="Arial" w:hint="cs"/>
          <w:rtl/>
        </w:rPr>
        <w:t>.</w:t>
      </w:r>
      <w:r w:rsidRPr="005A54C2">
        <w:rPr>
          <w:rFonts w:cs="Arial"/>
          <w:rtl/>
        </w:rPr>
        <w:t xml:space="preserve"> ובחוב זה יש לה יפוי כח יותר שתוכל לגבות בכל עת שתרצה וכשתגבנו יחזיר נכסי מלוג</w:t>
      </w:r>
      <w:r>
        <w:rPr>
          <w:rFonts w:cs="Arial" w:hint="cs"/>
          <w:rtl/>
        </w:rPr>
        <w:t>.</w:t>
      </w:r>
      <w:r w:rsidRPr="005A54C2">
        <w:rPr>
          <w:rFonts w:cs="Arial"/>
          <w:rtl/>
        </w:rPr>
        <w:t xml:space="preserve"> </w:t>
      </w:r>
      <w:r>
        <w:rPr>
          <w:rStyle w:val="a7"/>
          <w:rFonts w:cs="Arial"/>
          <w:rtl/>
        </w:rPr>
        <w:footnoteReference w:id="3273"/>
      </w:r>
      <w:r w:rsidRPr="005A54C2">
        <w:rPr>
          <w:rFonts w:cs="Arial"/>
          <w:rtl/>
        </w:rPr>
        <w:t xml:space="preserve">לפיכך אם יש עליה חוב שלותה קודם שניסת </w:t>
      </w:r>
      <w:r>
        <w:rPr>
          <w:rFonts w:cs="Arial" w:hint="cs"/>
          <w:rtl/>
        </w:rPr>
        <w:t xml:space="preserve">- </w:t>
      </w:r>
      <w:r w:rsidRPr="005A54C2">
        <w:rPr>
          <w:rFonts w:cs="Arial"/>
          <w:rtl/>
        </w:rPr>
        <w:t>גוב</w:t>
      </w:r>
      <w:r>
        <w:rPr>
          <w:rFonts w:cs="Arial" w:hint="cs"/>
          <w:rtl/>
        </w:rPr>
        <w:t>ֵ</w:t>
      </w:r>
      <w:r w:rsidRPr="005A54C2">
        <w:rPr>
          <w:rFonts w:cs="Arial"/>
          <w:rtl/>
        </w:rPr>
        <w:t>ה ממנו</w:t>
      </w:r>
      <w:r>
        <w:rPr>
          <w:rFonts w:cs="Arial" w:hint="cs"/>
          <w:rtl/>
        </w:rPr>
        <w:t>.</w:t>
      </w:r>
      <w:r w:rsidRPr="005A54C2">
        <w:rPr>
          <w:rFonts w:cs="Arial"/>
          <w:rtl/>
        </w:rPr>
        <w:t xml:space="preserve"> אבל אם אין שטר הנדוניא עומד לגבות בכל שעה שתרצה אלא לכשתתאלמן או תתגרש </w:t>
      </w:r>
      <w:r>
        <w:rPr>
          <w:rFonts w:cs="Arial" w:hint="cs"/>
          <w:rtl/>
        </w:rPr>
        <w:t xml:space="preserve">- </w:t>
      </w:r>
      <w:r w:rsidRPr="005A54C2">
        <w:rPr>
          <w:rFonts w:cs="Arial"/>
          <w:rtl/>
        </w:rPr>
        <w:t>אין ב"ח גובה ממנו</w:t>
      </w:r>
      <w:r>
        <w:rPr>
          <w:rFonts w:cs="Arial" w:hint="cs"/>
          <w:rtl/>
        </w:rPr>
        <w:t>.</w:t>
      </w:r>
      <w:r w:rsidRPr="005A54C2">
        <w:rPr>
          <w:rFonts w:cs="Arial"/>
          <w:rtl/>
        </w:rPr>
        <w:t xml:space="preserve"> ולא אמרו שתמכור שטר נדוניתה בטובת הנאה שאם תתאלמן או תתגרש שיגבנו הלוקח וטובת הנאה זו יטול ב"ח בחובו או ימכרו ב"ד לב"ח הנדוניא בטובת הנאה ויעכב המעות בחובו</w:t>
      </w:r>
      <w:r>
        <w:rPr>
          <w:rFonts w:cs="Arial" w:hint="cs"/>
          <w:rtl/>
        </w:rPr>
        <w:t>,</w:t>
      </w:r>
      <w:r w:rsidRPr="005A54C2">
        <w:rPr>
          <w:rFonts w:cs="Arial"/>
          <w:rtl/>
        </w:rPr>
        <w:t xml:space="preserve"> דכל לגבי בעלה ודאי מחלה שאם היתה צריכה למוכרו היתה מוחלת אותו לבעל ואטרוחי בי דינא בכדי לא מטרחינן</w:t>
      </w:r>
      <w:r w:rsidRPr="00A67BB7">
        <w:rPr>
          <w:rFonts w:cs="Arial"/>
          <w:rtl/>
        </w:rPr>
        <w:t xml:space="preserve"> </w:t>
      </w:r>
      <w:r>
        <w:rPr>
          <w:rFonts w:cs="Arial"/>
          <w:rtl/>
        </w:rPr>
        <w:t>(ב"ק פט:)</w:t>
      </w:r>
      <w:r>
        <w:rPr>
          <w:rFonts w:cs="Arial" w:hint="cs"/>
          <w:rtl/>
        </w:rPr>
        <w:t>.</w:t>
      </w:r>
      <w:r w:rsidRPr="005A54C2">
        <w:rPr>
          <w:rFonts w:cs="Arial"/>
          <w:rtl/>
        </w:rPr>
        <w:t xml:space="preserve"> ואפילו אם שטר הנדוניא עומד לגבות בכל עת שתרצה</w:t>
      </w:r>
      <w:r>
        <w:rPr>
          <w:rFonts w:cs="Arial" w:hint="cs"/>
          <w:rtl/>
        </w:rPr>
        <w:t>,</w:t>
      </w:r>
      <w:r w:rsidRPr="005A54C2">
        <w:rPr>
          <w:rFonts w:cs="Arial"/>
          <w:rtl/>
        </w:rPr>
        <w:t xml:space="preserve"> אם יש עליה חוב שלותה אחר שניסת</w:t>
      </w:r>
      <w:r>
        <w:rPr>
          <w:rFonts w:cs="Arial" w:hint="cs"/>
          <w:rtl/>
        </w:rPr>
        <w:t xml:space="preserve"> -</w:t>
      </w:r>
      <w:r w:rsidRPr="005A54C2">
        <w:rPr>
          <w:rFonts w:cs="Arial"/>
          <w:rtl/>
        </w:rPr>
        <w:t xml:space="preserve"> אינו גובה ממנו</w:t>
      </w:r>
      <w:r>
        <w:rPr>
          <w:rStyle w:val="a7"/>
          <w:rFonts w:cs="Arial"/>
          <w:rtl/>
        </w:rPr>
        <w:footnoteReference w:id="3274"/>
      </w:r>
      <w:r w:rsidRPr="005A54C2">
        <w:rPr>
          <w:rFonts w:cs="Arial" w:hint="cs"/>
          <w:rtl/>
        </w:rPr>
        <w:t>.</w:t>
      </w:r>
      <w:r w:rsidRPr="005A54C2">
        <w:rPr>
          <w:rFonts w:cs="Arial"/>
          <w:rtl/>
        </w:rPr>
        <w:t xml:space="preserve"> </w:t>
      </w:r>
      <w:r w:rsidRPr="00797BAD">
        <w:rPr>
          <w:rFonts w:hint="cs"/>
          <w:color w:val="E36C0A" w:themeColor="accent6" w:themeShade="BF"/>
          <w:rtl/>
        </w:rPr>
        <w:t>(וכ"פ בשו"ע)</w:t>
      </w:r>
    </w:p>
    <w:p w14:paraId="50BF31BB"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E3ACB2" w14:textId="77777777" w:rsidR="002E5BAD" w:rsidRDefault="002E5BAD" w:rsidP="002E5BAD">
      <w:pPr>
        <w:rPr>
          <w:rtl/>
        </w:rPr>
      </w:pPr>
      <w:r>
        <w:rPr>
          <w:rFonts w:cs="Arial"/>
          <w:rtl/>
        </w:rPr>
        <w:t>הכותב לאשתו בשעת נשואין שטר חוב בסכום ידוע, ומתנה שתוכל לגבותו בכל עת שתרצה, אם תגבנו ילקח בו קרקע והוא אוכל פירות</w:t>
      </w:r>
      <w:r>
        <w:rPr>
          <w:rFonts w:cs="Arial" w:hint="cs"/>
          <w:rtl/>
        </w:rPr>
        <w:t>.</w:t>
      </w:r>
      <w:r>
        <w:rPr>
          <w:rFonts w:cs="Arial"/>
          <w:rtl/>
        </w:rPr>
        <w:t xml:space="preserve"> ואם יש עליה חוב שלותה אחר שנשאת, אינה גובה ממנו. אבל אם לותה קודם שנשאת, גובה ממנו. אבל אם אינו עומד לגבות אלא לכשתתאלמן או תתגרש, אינו יכול ב</w:t>
      </w:r>
      <w:r>
        <w:rPr>
          <w:rFonts w:cs="Arial" w:hint="cs"/>
          <w:rtl/>
        </w:rPr>
        <w:t xml:space="preserve">על </w:t>
      </w:r>
      <w:r>
        <w:rPr>
          <w:rFonts w:cs="Arial"/>
          <w:rtl/>
        </w:rPr>
        <w:t>ח</w:t>
      </w:r>
      <w:r>
        <w:rPr>
          <w:rFonts w:cs="Arial" w:hint="cs"/>
          <w:rtl/>
        </w:rPr>
        <w:t>וב</w:t>
      </w:r>
      <w:r>
        <w:rPr>
          <w:rFonts w:cs="Arial"/>
          <w:rtl/>
        </w:rPr>
        <w:t xml:space="preserve"> לגבות ממנו, אלא ימכרוהו ב</w:t>
      </w:r>
      <w:r>
        <w:rPr>
          <w:rFonts w:cs="Arial" w:hint="cs"/>
          <w:rtl/>
        </w:rPr>
        <w:t>ית דין</w:t>
      </w:r>
      <w:r>
        <w:rPr>
          <w:rFonts w:cs="Arial"/>
          <w:rtl/>
        </w:rPr>
        <w:t xml:space="preserve"> בטובת הנאה לו או לאחר, אבל לא לבעל</w:t>
      </w:r>
      <w:r>
        <w:rPr>
          <w:rFonts w:cs="Arial" w:hint="cs"/>
          <w:rtl/>
        </w:rPr>
        <w:t>.</w:t>
      </w:r>
      <w:r>
        <w:rPr>
          <w:rFonts w:cs="Arial"/>
          <w:rtl/>
        </w:rPr>
        <w:t xml:space="preserve"> </w:t>
      </w:r>
      <w:r w:rsidRPr="00213780">
        <w:rPr>
          <w:rFonts w:cs="Arial" w:hint="cs"/>
          <w:sz w:val="18"/>
          <w:szCs w:val="18"/>
          <w:rtl/>
        </w:rPr>
        <w:t xml:space="preserve">[הגה] </w:t>
      </w:r>
      <w:r w:rsidRPr="00213780">
        <w:rPr>
          <w:rFonts w:cs="Arial"/>
          <w:sz w:val="18"/>
          <w:szCs w:val="18"/>
          <w:rtl/>
        </w:rPr>
        <w:t xml:space="preserve">וזה אינו נכון, אלא לא ימכרו בית דין בטובת הנאה לא לו ולא לאחרים, דכל לגבי בעלה ודאי מחלה, ואטרוחי בי דינא בכדי לא מטרחינן (טור וב"י בשם גמרא החובל). </w:t>
      </w:r>
    </w:p>
    <w:p w14:paraId="266519BC" w14:textId="77777777" w:rsidR="002E5BAD" w:rsidRDefault="002E5BAD" w:rsidP="002E5BAD">
      <w:pPr>
        <w:rPr>
          <w:rtl/>
        </w:rPr>
      </w:pPr>
    </w:p>
    <w:p w14:paraId="0F98F873" w14:textId="77777777" w:rsidR="002E5BAD" w:rsidRDefault="002E5BAD" w:rsidP="002E5BAD">
      <w:pPr>
        <w:pStyle w:val="2"/>
        <w:rPr>
          <w:rtl/>
        </w:rPr>
      </w:pPr>
      <w:r>
        <w:rPr>
          <w:rtl/>
        </w:rPr>
        <w:t>סעיף י</w:t>
      </w:r>
      <w:r>
        <w:rPr>
          <w:rFonts w:hint="cs"/>
          <w:rtl/>
        </w:rPr>
        <w:t>:</w:t>
      </w:r>
      <w:r w:rsidRPr="00A67BB7">
        <w:rPr>
          <w:rFonts w:cs="Arial"/>
          <w:rtl/>
        </w:rPr>
        <w:t xml:space="preserve"> </w:t>
      </w:r>
      <w:r>
        <w:rPr>
          <w:rFonts w:cs="Arial" w:hint="cs"/>
          <w:rtl/>
        </w:rPr>
        <w:t>גביית חוב ממתנה שנתן ה</w:t>
      </w:r>
      <w:r>
        <w:rPr>
          <w:rFonts w:cs="Arial"/>
          <w:rtl/>
        </w:rPr>
        <w:t xml:space="preserve">בעל </w:t>
      </w:r>
      <w:r>
        <w:rPr>
          <w:rFonts w:cs="Arial" w:hint="cs"/>
          <w:rtl/>
        </w:rPr>
        <w:t>לאשתו</w:t>
      </w:r>
      <w:r>
        <w:rPr>
          <w:rFonts w:hint="cs"/>
          <w:rtl/>
        </w:rPr>
        <w:t>.</w:t>
      </w:r>
    </w:p>
    <w:p w14:paraId="7A7FFB43" w14:textId="77777777" w:rsidR="002E5BAD" w:rsidRPr="00A67BB7" w:rsidRDefault="002E5BAD" w:rsidP="002E5BAD">
      <w:pPr>
        <w:rPr>
          <w:u w:val="single"/>
          <w:rtl/>
        </w:rPr>
      </w:pPr>
      <w:r w:rsidRPr="007A3F1A">
        <w:rPr>
          <w:rFonts w:cs="Arial"/>
          <w:u w:val="single"/>
          <w:rtl/>
        </w:rPr>
        <w:t>סעיף י</w:t>
      </w:r>
      <w:r w:rsidRPr="007A3F1A">
        <w:rPr>
          <w:rFonts w:cs="Arial" w:hint="cs"/>
          <w:u w:val="single"/>
          <w:rtl/>
        </w:rPr>
        <w:t>:</w:t>
      </w:r>
      <w:r w:rsidRPr="007A3F1A">
        <w:rPr>
          <w:rFonts w:cs="Arial"/>
          <w:u w:val="single"/>
          <w:rtl/>
        </w:rPr>
        <w:t xml:space="preserve"> </w:t>
      </w:r>
      <w:r w:rsidRPr="007A3F1A">
        <w:rPr>
          <w:rFonts w:cs="Arial" w:hint="cs"/>
          <w:u w:val="single"/>
          <w:rtl/>
        </w:rPr>
        <w:t>גביית חוב ממתנה שנתן ה</w:t>
      </w:r>
      <w:r w:rsidRPr="007A3F1A">
        <w:rPr>
          <w:rFonts w:cs="Arial"/>
          <w:u w:val="single"/>
          <w:rtl/>
        </w:rPr>
        <w:t xml:space="preserve">בעל </w:t>
      </w:r>
      <w:r w:rsidRPr="007A3F1A">
        <w:rPr>
          <w:rFonts w:cs="Arial" w:hint="cs"/>
          <w:u w:val="single"/>
          <w:rtl/>
        </w:rPr>
        <w:t>לאשתו</w:t>
      </w:r>
      <w:r w:rsidRPr="00A67BB7">
        <w:rPr>
          <w:rFonts w:hint="cs"/>
          <w:u w:val="single"/>
          <w:rtl/>
        </w:rPr>
        <w:t>:</w:t>
      </w:r>
    </w:p>
    <w:p w14:paraId="1AD72EFB" w14:textId="77777777" w:rsidR="002E5BAD" w:rsidRPr="005A54C2"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ג</w:t>
      </w:r>
      <w:r w:rsidRPr="00236A20">
        <w:rPr>
          <w:rFonts w:cs="Arial" w:hint="cs"/>
          <w:sz w:val="16"/>
          <w:szCs w:val="16"/>
          <w:rtl/>
        </w:rPr>
        <w:t xml:space="preserve">) </w:t>
      </w:r>
      <w:r w:rsidRPr="00236A20">
        <w:rPr>
          <w:rFonts w:cs="Arial" w:hint="cs"/>
          <w:rtl/>
        </w:rPr>
        <w:t xml:space="preserve">וטור- </w:t>
      </w:r>
      <w:r>
        <w:rPr>
          <w:rFonts w:cs="Arial"/>
          <w:rtl/>
        </w:rPr>
        <w:t>ואם נתן הבעל לה מתנה</w:t>
      </w:r>
      <w:r>
        <w:rPr>
          <w:rFonts w:cs="Arial" w:hint="cs"/>
          <w:rtl/>
        </w:rPr>
        <w:t>,</w:t>
      </w:r>
      <w:r>
        <w:rPr>
          <w:rFonts w:cs="Arial"/>
          <w:rtl/>
        </w:rPr>
        <w:t xml:space="preserve"> אפי' ב"ח שהלוה לה אחר שניסת גובה ממנו</w:t>
      </w:r>
      <w:r>
        <w:rPr>
          <w:rStyle w:val="a7"/>
          <w:rFonts w:cs="Arial"/>
          <w:rtl/>
        </w:rPr>
        <w:footnoteReference w:id="3275"/>
      </w:r>
      <w:r>
        <w:rPr>
          <w:rFonts w:cs="Arial" w:hint="cs"/>
          <w:rtl/>
        </w:rPr>
        <w:t>.</w:t>
      </w:r>
      <w:r>
        <w:rPr>
          <w:rFonts w:cs="Arial"/>
          <w:rtl/>
        </w:rPr>
        <w:t xml:space="preserve"> </w:t>
      </w:r>
      <w:r w:rsidRPr="00797BAD">
        <w:rPr>
          <w:rFonts w:hint="cs"/>
          <w:color w:val="E36C0A" w:themeColor="accent6" w:themeShade="BF"/>
          <w:rtl/>
        </w:rPr>
        <w:t>(וכ"פ בשו"ע)</w:t>
      </w:r>
    </w:p>
    <w:p w14:paraId="4C320D8D"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3EC72B" w14:textId="77777777" w:rsidR="002E5BAD" w:rsidRDefault="002E5BAD" w:rsidP="002E5BAD">
      <w:pPr>
        <w:rPr>
          <w:rFonts w:cs="Arial"/>
          <w:rtl/>
        </w:rPr>
      </w:pPr>
      <w:r>
        <w:rPr>
          <w:rFonts w:cs="Arial"/>
          <w:rtl/>
        </w:rPr>
        <w:t xml:space="preserve">אם נתן לה הבעל מתנה, אפילו בעל חוב שהלוה לה אחר שנשאת, גובה ממנו. </w:t>
      </w:r>
    </w:p>
    <w:p w14:paraId="7E6B9A81" w14:textId="77777777" w:rsidR="002E5BAD" w:rsidRDefault="002E5BAD" w:rsidP="002E5BAD">
      <w:pPr>
        <w:rPr>
          <w:rtl/>
        </w:rPr>
      </w:pPr>
    </w:p>
    <w:p w14:paraId="0113378F" w14:textId="77777777" w:rsidR="002E5BAD" w:rsidRDefault="002E5BAD" w:rsidP="002E5BAD">
      <w:pPr>
        <w:pStyle w:val="2"/>
        <w:rPr>
          <w:rtl/>
        </w:rPr>
      </w:pPr>
      <w:r>
        <w:rPr>
          <w:rtl/>
        </w:rPr>
        <w:t>סעיף יא</w:t>
      </w:r>
      <w:r>
        <w:rPr>
          <w:rFonts w:hint="cs"/>
          <w:rtl/>
        </w:rPr>
        <w:t>:</w:t>
      </w:r>
      <w:r w:rsidRPr="0086416D">
        <w:rPr>
          <w:rFonts w:hint="cs"/>
          <w:rtl/>
        </w:rPr>
        <w:t xml:space="preserve"> </w:t>
      </w:r>
      <w:r>
        <w:rPr>
          <w:rFonts w:hint="cs"/>
          <w:rtl/>
        </w:rPr>
        <w:t>נוסח שטר מתנה שאינו מועיל.</w:t>
      </w:r>
    </w:p>
    <w:p w14:paraId="5947239E" w14:textId="77777777" w:rsidR="002E5BAD" w:rsidRPr="0086416D" w:rsidRDefault="002E5BAD" w:rsidP="002E5BAD">
      <w:pPr>
        <w:rPr>
          <w:u w:val="single"/>
          <w:rtl/>
        </w:rPr>
      </w:pPr>
      <w:r w:rsidRPr="0086416D">
        <w:rPr>
          <w:rFonts w:hint="cs"/>
          <w:u w:val="single"/>
          <w:rtl/>
        </w:rPr>
        <w:t>נוסח שטר מתנה שאינו מועיל:</w:t>
      </w:r>
    </w:p>
    <w:p w14:paraId="192E46DC" w14:textId="77777777" w:rsidR="002E5BAD" w:rsidRPr="00A67BB7" w:rsidRDefault="002E5BAD" w:rsidP="00B75458">
      <w:pPr>
        <w:pStyle w:val="ab"/>
        <w:numPr>
          <w:ilvl w:val="0"/>
          <w:numId w:val="204"/>
        </w:numPr>
      </w:pPr>
      <w:r w:rsidRPr="00236A20">
        <w:rPr>
          <w:rFonts w:cs="Arial" w:hint="cs"/>
          <w:rtl/>
        </w:rPr>
        <w:lastRenderedPageBreak/>
        <w:t xml:space="preserve">רא"ש </w:t>
      </w:r>
      <w:r w:rsidRPr="00236A20">
        <w:rPr>
          <w:rFonts w:cs="Arial" w:hint="cs"/>
          <w:sz w:val="16"/>
          <w:szCs w:val="16"/>
          <w:rtl/>
        </w:rPr>
        <w:t xml:space="preserve">(כלל </w:t>
      </w:r>
      <w:r>
        <w:rPr>
          <w:rFonts w:cs="Arial" w:hint="cs"/>
          <w:sz w:val="16"/>
          <w:szCs w:val="16"/>
          <w:rtl/>
        </w:rPr>
        <w:t>לט סי' ו</w:t>
      </w:r>
      <w:r w:rsidRPr="00236A20">
        <w:rPr>
          <w:rFonts w:cs="Arial" w:hint="cs"/>
          <w:sz w:val="16"/>
          <w:szCs w:val="16"/>
          <w:rtl/>
        </w:rPr>
        <w:t xml:space="preserve">) </w:t>
      </w:r>
      <w:r w:rsidRPr="00236A20">
        <w:rPr>
          <w:rFonts w:cs="Arial" w:hint="cs"/>
          <w:rtl/>
        </w:rPr>
        <w:t xml:space="preserve">וטור- </w:t>
      </w:r>
      <w:r>
        <w:rPr>
          <w:rFonts w:cs="Arial"/>
          <w:rtl/>
        </w:rPr>
        <w:t>ששאלת ראובן הלוה מעות ללאה ושואל מב"ד שיגבוה משטר מתנה שכתב לה בעלה שזה נוסחו הוו עלי עדים בקנין שלם מעכשיו וכתבו וחתמו עלי בכל לשון של זכות ותנו ללאה אשתי כך וכך בתים כך וכך פרדסים ועוד נתתי לה אלף זהובים במתנה גמורה וכו' תשובה אם שטר המתנה כתוב כהלכתו אז זכתה לאה בכל הקרקעות שנתן לה והן שלה ואף על פי שמנחת לבעל לאכול פירות זה תלוי בדעתה כל זמן שהיא רוצה וכשתרצה תוציא מיד בעלה קרקע ופירות הלכך אם היה השטר נכתב כהלכתו היה גובה ב"ח מן הקרקעות שנתן לה אבל מ"ש נתתי לה אלף זהובים בשביל מתנה לא נוכל להוציא מן הבעל כלום מדרבי נתן כי לא שיעבד עצמו להתחייב לה כלום אלא שכתב לה מתנה אלף זהובים ולפי לשון המתנה כבר היה בידה כל זה כתבתי לך אם השטר היה כתוב כהלכתו אבל תורף השטר היה נ"ל שאין בו ממש לפי שכתוב בו וכתבו עלי בכל לשון של זכות ותנו ללאה אשתי כך וכך בתים וכו' ואין ניכר בשטר שהוא נותן לה כלום ודאי אם היו מטלטלין ונתנו ליד העדים ואמר להם תנו ממון זה לאשתי זכתה האשה דתן כזכי דמי אבל כיון שלא נתן ליד העדים לא זכתה האשה כי הוא צוה לעדים אבל הוא לא נתן לה כלום וכן רגילים לכתוב בשטרות הוו עלי עדים וכתבו וחתמו עלי בכל לשון של זכות ותנו לפלונית להיות בידה לזכות ולראיה מחמת שרציתי ברצון נפשי ונתתי לה כך וכך אבל מהו שצוה לעדים ליתן אין זה כלום</w:t>
      </w:r>
      <w:r>
        <w:rPr>
          <w:rFonts w:cs="Arial" w:hint="cs"/>
          <w:rtl/>
        </w:rPr>
        <w:t>.</w:t>
      </w:r>
      <w:r>
        <w:rPr>
          <w:rFonts w:cs="Arial"/>
          <w:rtl/>
        </w:rPr>
        <w:t xml:space="preserve"> </w:t>
      </w:r>
      <w:r w:rsidRPr="00797BAD">
        <w:rPr>
          <w:rFonts w:hint="cs"/>
          <w:color w:val="E36C0A" w:themeColor="accent6" w:themeShade="BF"/>
          <w:rtl/>
        </w:rPr>
        <w:t>(וכ"פ בשו"ע)</w:t>
      </w:r>
    </w:p>
    <w:p w14:paraId="1F61186D" w14:textId="77777777" w:rsidR="002E5BAD" w:rsidRPr="0086416D" w:rsidRDefault="002E5BAD" w:rsidP="002E5BAD">
      <w:pPr>
        <w:rPr>
          <w:u w:val="single"/>
        </w:rPr>
      </w:pPr>
      <w:r w:rsidRPr="0086416D">
        <w:rPr>
          <w:rFonts w:cs="Arial"/>
          <w:u w:val="single"/>
          <w:rtl/>
        </w:rPr>
        <w:t>ראובן נשא אשה ועליה שטר קודם שנשאת</w:t>
      </w:r>
      <w:r w:rsidRPr="0086416D">
        <w:rPr>
          <w:rFonts w:hint="cs"/>
          <w:u w:val="single"/>
          <w:rtl/>
        </w:rPr>
        <w:t>:</w:t>
      </w:r>
    </w:p>
    <w:p w14:paraId="6AF2D168" w14:textId="77777777" w:rsidR="002E5BAD" w:rsidRPr="00213780"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א</w:t>
      </w:r>
      <w:r w:rsidRPr="00236A20">
        <w:rPr>
          <w:rFonts w:cs="Arial" w:hint="cs"/>
          <w:sz w:val="16"/>
          <w:szCs w:val="16"/>
          <w:rtl/>
        </w:rPr>
        <w:t>)</w:t>
      </w:r>
      <w:r w:rsidRPr="00236A20">
        <w:rPr>
          <w:rFonts w:cs="Arial" w:hint="cs"/>
          <w:rtl/>
        </w:rPr>
        <w:t xml:space="preserve">- </w:t>
      </w:r>
      <w:r w:rsidRPr="00A67BB7">
        <w:rPr>
          <w:rFonts w:cs="Arial"/>
          <w:rtl/>
        </w:rPr>
        <w:t>ששאלת ראובן נשא אשה ועליה שטר קודם שנשאת ומתה ובא ב"ח לגבות חובו מנכסי' שירש הבעל מאשתו לא ידעתי במה נסתפקת פשיטא שגובה מנכסי' שירש מאשתו ולא עוד אלא אפילו לא מתה נמי גובה חובו מנכסים שהכניסה לבעלה דגרסינן בשילהי יש נוחלין (ב"ב קלט.) שלח ליה אבוה בר גניבא לרבא לותה ואכלה ועמדה ונישאת מהו בעל לוקח הוי ומלוה על פה אינה גובה מן הלקוחות או יורש הוי ומלוה על פה גובה מן היורשים אבל מלוה בשטר אפילו אי לוקח הוי גובה</w:t>
      </w:r>
      <w:r>
        <w:rPr>
          <w:rStyle w:val="a7"/>
          <w:rFonts w:cs="Arial"/>
          <w:rtl/>
        </w:rPr>
        <w:footnoteReference w:id="3276"/>
      </w:r>
      <w:r>
        <w:rPr>
          <w:rFonts w:cs="Arial" w:hint="cs"/>
          <w:rtl/>
        </w:rPr>
        <w:t>.</w:t>
      </w:r>
      <w:r w:rsidRPr="00A67BB7">
        <w:rPr>
          <w:rFonts w:cs="Arial"/>
          <w:rtl/>
        </w:rPr>
        <w:t xml:space="preserve"> </w:t>
      </w:r>
    </w:p>
    <w:p w14:paraId="00586B63"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1C57F4" w14:textId="77777777" w:rsidR="002E5BAD" w:rsidRDefault="002E5BAD" w:rsidP="002E5BAD">
      <w:pPr>
        <w:rPr>
          <w:rFonts w:cs="Arial"/>
          <w:rtl/>
        </w:rPr>
      </w:pPr>
      <w:r>
        <w:rPr>
          <w:rFonts w:cs="Arial"/>
          <w:rtl/>
        </w:rPr>
        <w:t xml:space="preserve">שטר שזה נסחו: הוו עלי עדים וכתבו וחתמו עלי בכל לשון של זכות ותנו ללאה אשתי כך וכך בתים במתנה גמורה, אינו כלום. </w:t>
      </w:r>
      <w:r w:rsidRPr="00213780">
        <w:rPr>
          <w:rFonts w:cs="Arial" w:hint="cs"/>
          <w:sz w:val="18"/>
          <w:szCs w:val="18"/>
          <w:rtl/>
        </w:rPr>
        <w:t xml:space="preserve">[הגה] </w:t>
      </w:r>
      <w:r w:rsidRPr="00213780">
        <w:rPr>
          <w:rFonts w:cs="Arial"/>
          <w:sz w:val="18"/>
          <w:szCs w:val="18"/>
          <w:rtl/>
        </w:rPr>
        <w:t xml:space="preserve">הואיל ולא כתב שהוא נותן לה, מה שאמר: תנו, לאו כלום הוא (טור בשם תשובת הרא"ש). </w:t>
      </w:r>
    </w:p>
    <w:p w14:paraId="6967252C" w14:textId="77777777" w:rsidR="002E5BAD" w:rsidRDefault="002E5BAD" w:rsidP="002E5BAD">
      <w:pPr>
        <w:rPr>
          <w:rtl/>
        </w:rPr>
      </w:pPr>
    </w:p>
    <w:p w14:paraId="350A090A" w14:textId="77777777" w:rsidR="002E5BAD" w:rsidRDefault="002E5BAD" w:rsidP="002E5BAD">
      <w:pPr>
        <w:pStyle w:val="2"/>
        <w:rPr>
          <w:rtl/>
        </w:rPr>
      </w:pPr>
      <w:r>
        <w:rPr>
          <w:rtl/>
        </w:rPr>
        <w:t>סעיף יב</w:t>
      </w:r>
      <w:r>
        <w:rPr>
          <w:rFonts w:hint="cs"/>
          <w:rtl/>
        </w:rPr>
        <w:t xml:space="preserve">: </w:t>
      </w:r>
      <w:r>
        <w:rPr>
          <w:rFonts w:cs="Arial" w:hint="cs"/>
          <w:rtl/>
        </w:rPr>
        <w:t xml:space="preserve">מנהג </w:t>
      </w:r>
      <w:r>
        <w:rPr>
          <w:rFonts w:cs="Arial"/>
          <w:rtl/>
        </w:rPr>
        <w:t xml:space="preserve">שהאשה מכנסת קרקע לבעלה </w:t>
      </w:r>
      <w:r>
        <w:rPr>
          <w:rFonts w:cs="Arial" w:hint="cs"/>
          <w:rtl/>
        </w:rPr>
        <w:t>ב</w:t>
      </w:r>
      <w:r>
        <w:rPr>
          <w:rFonts w:cs="Arial"/>
          <w:rtl/>
        </w:rPr>
        <w:t>מתנה והוא כותב לה שטר חוב</w:t>
      </w:r>
      <w:r>
        <w:rPr>
          <w:rFonts w:hint="cs"/>
          <w:rtl/>
        </w:rPr>
        <w:t>.</w:t>
      </w:r>
    </w:p>
    <w:p w14:paraId="5D09885E" w14:textId="77777777" w:rsidR="002E5BAD" w:rsidRPr="0086416D" w:rsidRDefault="002E5BAD" w:rsidP="002E5BAD">
      <w:pPr>
        <w:rPr>
          <w:rtl/>
        </w:rPr>
      </w:pPr>
      <w:r w:rsidRPr="0086416D">
        <w:rPr>
          <w:rFonts w:cs="Arial" w:hint="cs"/>
          <w:u w:val="single"/>
          <w:rtl/>
        </w:rPr>
        <w:t xml:space="preserve">מנהג </w:t>
      </w:r>
      <w:r w:rsidRPr="0086416D">
        <w:rPr>
          <w:rFonts w:cs="Arial"/>
          <w:u w:val="single"/>
          <w:rtl/>
        </w:rPr>
        <w:t xml:space="preserve">שהאשה מכנסת קרקע לבעלה </w:t>
      </w:r>
      <w:r w:rsidRPr="0086416D">
        <w:rPr>
          <w:rFonts w:cs="Arial" w:hint="cs"/>
          <w:u w:val="single"/>
          <w:rtl/>
        </w:rPr>
        <w:t>ו</w:t>
      </w:r>
      <w:r w:rsidRPr="0086416D">
        <w:rPr>
          <w:rFonts w:cs="Arial"/>
          <w:u w:val="single"/>
          <w:rtl/>
        </w:rPr>
        <w:t>כותבת לו שטר מתנה והוא כותב לה שטר חוב שתגבנו כל זמן שתרצה</w:t>
      </w:r>
      <w:r>
        <w:rPr>
          <w:rFonts w:cs="Arial" w:hint="cs"/>
          <w:u w:val="single"/>
          <w:rtl/>
        </w:rPr>
        <w:t>:</w:t>
      </w:r>
    </w:p>
    <w:p w14:paraId="51C15FC7"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ו</w:t>
      </w:r>
      <w:r w:rsidRPr="00236A20">
        <w:rPr>
          <w:rFonts w:cs="Arial" w:hint="cs"/>
          <w:sz w:val="16"/>
          <w:szCs w:val="16"/>
          <w:rtl/>
        </w:rPr>
        <w:t xml:space="preserve">) </w:t>
      </w:r>
      <w:r w:rsidRPr="00236A20">
        <w:rPr>
          <w:rFonts w:cs="Arial" w:hint="cs"/>
          <w:rtl/>
        </w:rPr>
        <w:t xml:space="preserve">וטור- </w:t>
      </w:r>
      <w:r>
        <w:rPr>
          <w:rFonts w:cs="Arial"/>
          <w:rtl/>
        </w:rPr>
        <w:t>וששאלתם שמנהג הוא כשהאשה מכנסת קרקע לבעלה היא כותבת לו שטר מתנה</w:t>
      </w:r>
      <w:r>
        <w:rPr>
          <w:rFonts w:cs="Arial" w:hint="cs"/>
          <w:rtl/>
        </w:rPr>
        <w:t>,</w:t>
      </w:r>
      <w:r>
        <w:rPr>
          <w:rFonts w:cs="Arial"/>
          <w:rtl/>
        </w:rPr>
        <w:t xml:space="preserve"> והוא כותב לה שט"ח על עצמו</w:t>
      </w:r>
      <w:r>
        <w:rPr>
          <w:rFonts w:cs="Arial" w:hint="cs"/>
          <w:rtl/>
        </w:rPr>
        <w:t>.</w:t>
      </w:r>
      <w:r>
        <w:rPr>
          <w:rFonts w:cs="Arial"/>
          <w:rtl/>
        </w:rPr>
        <w:t xml:space="preserve"> וקורין לו נדוניא</w:t>
      </w:r>
      <w:r>
        <w:rPr>
          <w:rFonts w:cs="Arial" w:hint="cs"/>
          <w:rtl/>
        </w:rPr>
        <w:t>,</w:t>
      </w:r>
      <w:r>
        <w:rPr>
          <w:rFonts w:cs="Arial"/>
          <w:rtl/>
        </w:rPr>
        <w:t xml:space="preserve"> ואין מזכירין באותו שטר הקרקע שנתנה לו אותו קרקע</w:t>
      </w:r>
      <w:r>
        <w:rPr>
          <w:rFonts w:cs="Arial" w:hint="cs"/>
          <w:rtl/>
        </w:rPr>
        <w:t>.</w:t>
      </w:r>
      <w:r>
        <w:rPr>
          <w:rFonts w:cs="Arial"/>
          <w:rtl/>
        </w:rPr>
        <w:t xml:space="preserve"> אם יש לו דין נכסי צאן ברזל</w:t>
      </w:r>
      <w:r>
        <w:rPr>
          <w:rFonts w:cs="Arial" w:hint="cs"/>
          <w:rtl/>
        </w:rPr>
        <w:t>,</w:t>
      </w:r>
      <w:r>
        <w:rPr>
          <w:rFonts w:cs="Arial"/>
          <w:rtl/>
        </w:rPr>
        <w:t xml:space="preserve"> או כדין שאר נכסיו</w:t>
      </w:r>
      <w:r>
        <w:rPr>
          <w:rFonts w:cs="Arial" w:hint="cs"/>
          <w:rtl/>
        </w:rPr>
        <w:t>.</w:t>
      </w:r>
      <w:r>
        <w:rPr>
          <w:rFonts w:cs="Arial"/>
          <w:rtl/>
        </w:rPr>
        <w:t xml:space="preserve"> </w:t>
      </w:r>
      <w:r>
        <w:rPr>
          <w:rFonts w:cs="Arial" w:hint="cs"/>
          <w:rtl/>
        </w:rPr>
        <w:t xml:space="preserve">   </w:t>
      </w:r>
      <w:r>
        <w:rPr>
          <w:rFonts w:cs="Arial"/>
          <w:rtl/>
        </w:rPr>
        <w:t>תשובה</w:t>
      </w:r>
      <w:r>
        <w:rPr>
          <w:rFonts w:cs="Arial" w:hint="cs"/>
          <w:rtl/>
        </w:rPr>
        <w:t>-</w:t>
      </w:r>
      <w:r>
        <w:rPr>
          <w:rFonts w:cs="Arial"/>
          <w:rtl/>
        </w:rPr>
        <w:t xml:space="preserve"> יראה כיון שקורין לזה השטר נדוניא ויכולין לגבותה בכל עת שתרצה</w:t>
      </w:r>
      <w:r>
        <w:rPr>
          <w:rFonts w:cs="Arial" w:hint="cs"/>
          <w:rtl/>
        </w:rPr>
        <w:t>,</w:t>
      </w:r>
      <w:r>
        <w:rPr>
          <w:rFonts w:cs="Arial"/>
          <w:rtl/>
        </w:rPr>
        <w:t xml:space="preserve"> ודאי הקרקע שנתנה לו הרי הוא כשאר כל נכסיו</w:t>
      </w:r>
      <w:r>
        <w:rPr>
          <w:rFonts w:cs="Arial" w:hint="cs"/>
          <w:rtl/>
        </w:rPr>
        <w:t>.</w:t>
      </w:r>
      <w:r>
        <w:rPr>
          <w:rFonts w:cs="Arial"/>
          <w:rtl/>
        </w:rPr>
        <w:t xml:space="preserve"> דהיאך יתנו ביניהם שהיא תוציא ממנו החוב שהוא דמי הקרקע ויהיה הקרקע בחזקתה</w:t>
      </w:r>
      <w:r>
        <w:rPr>
          <w:rFonts w:cs="Arial" w:hint="cs"/>
          <w:rtl/>
        </w:rPr>
        <w:t>.</w:t>
      </w:r>
      <w:r>
        <w:rPr>
          <w:rFonts w:cs="Arial"/>
          <w:rtl/>
        </w:rPr>
        <w:t xml:space="preserve"> </w:t>
      </w:r>
      <w:r w:rsidRPr="00797BAD">
        <w:rPr>
          <w:rFonts w:hint="cs"/>
          <w:color w:val="E36C0A" w:themeColor="accent6" w:themeShade="BF"/>
          <w:rtl/>
        </w:rPr>
        <w:t>(וכ"פ בשו"ע)</w:t>
      </w:r>
    </w:p>
    <w:p w14:paraId="02844923" w14:textId="77777777" w:rsidR="002E5BAD" w:rsidRPr="0086416D" w:rsidRDefault="002E5BAD" w:rsidP="002E5BAD">
      <w:pPr>
        <w:rPr>
          <w:u w:val="single"/>
        </w:rPr>
      </w:pPr>
      <w:r>
        <w:rPr>
          <w:rFonts w:hint="cs"/>
          <w:u w:val="single"/>
          <w:rtl/>
        </w:rPr>
        <w:t>ראובן הוציא שטר על שמעון, ומצא לו מטלטלים לגבות מהם, אבל אשתו הוציאה שטר נדונייתא שמוקדם לו, וגבתה</w:t>
      </w:r>
      <w:r w:rsidRPr="0086416D">
        <w:rPr>
          <w:rFonts w:hint="cs"/>
          <w:u w:val="single"/>
          <w:rtl/>
        </w:rPr>
        <w:t>:</w:t>
      </w:r>
    </w:p>
    <w:p w14:paraId="27F67026"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ד</w:t>
      </w:r>
      <w:r w:rsidRPr="00236A20">
        <w:rPr>
          <w:rFonts w:cs="Arial" w:hint="cs"/>
          <w:sz w:val="16"/>
          <w:szCs w:val="16"/>
          <w:rtl/>
        </w:rPr>
        <w:t xml:space="preserve">) </w:t>
      </w:r>
      <w:r w:rsidRPr="00236A20">
        <w:rPr>
          <w:rFonts w:cs="Arial" w:hint="cs"/>
          <w:rtl/>
        </w:rPr>
        <w:t xml:space="preserve">וטור- </w:t>
      </w:r>
      <w:r>
        <w:rPr>
          <w:rFonts w:cs="Arial"/>
          <w:rtl/>
        </w:rPr>
        <w:t>ששאלת ראובן הוציא שטר על שמעון</w:t>
      </w:r>
      <w:r>
        <w:rPr>
          <w:rFonts w:cs="Arial" w:hint="cs"/>
          <w:rtl/>
        </w:rPr>
        <w:t>,</w:t>
      </w:r>
      <w:r>
        <w:rPr>
          <w:rFonts w:cs="Arial"/>
          <w:rtl/>
        </w:rPr>
        <w:t xml:space="preserve"> ומצא לו מטלטלים ורוצה לגבותם</w:t>
      </w:r>
      <w:r>
        <w:rPr>
          <w:rFonts w:cs="Arial" w:hint="cs"/>
          <w:rtl/>
        </w:rPr>
        <w:t>.</w:t>
      </w:r>
      <w:r>
        <w:rPr>
          <w:rFonts w:cs="Arial"/>
          <w:rtl/>
        </w:rPr>
        <w:t xml:space="preserve"> והוציאה אשת שמעון נדוניתה מוקדם לשטרו של ראובן</w:t>
      </w:r>
      <w:r>
        <w:rPr>
          <w:rFonts w:cs="Arial" w:hint="cs"/>
          <w:rtl/>
        </w:rPr>
        <w:t>,</w:t>
      </w:r>
      <w:r>
        <w:rPr>
          <w:rFonts w:cs="Arial"/>
          <w:rtl/>
        </w:rPr>
        <w:t xml:space="preserve"> ומנעו מלגבות המטלטלים</w:t>
      </w:r>
      <w:r>
        <w:rPr>
          <w:rFonts w:cs="Arial" w:hint="cs"/>
          <w:rtl/>
        </w:rPr>
        <w:t>.</w:t>
      </w:r>
      <w:r>
        <w:rPr>
          <w:rFonts w:cs="Arial"/>
          <w:rtl/>
        </w:rPr>
        <w:t xml:space="preserve"> וטוען ראובן שכיון שתגבי מטלטלי אלו בנדוניתך תקרעי שטר נדוניתיך</w:t>
      </w:r>
      <w:r>
        <w:rPr>
          <w:rFonts w:cs="Arial" w:hint="cs"/>
          <w:rtl/>
        </w:rPr>
        <w:t>,</w:t>
      </w:r>
      <w:r>
        <w:rPr>
          <w:rFonts w:cs="Arial"/>
          <w:rtl/>
        </w:rPr>
        <w:t xml:space="preserve"> שאם ישאר היום או מחר בידך תוציאנו ותמנעני מלגבות מטלטלים אחרים </w:t>
      </w:r>
      <w:r>
        <w:rPr>
          <w:rFonts w:cs="Arial" w:hint="cs"/>
          <w:rtl/>
        </w:rPr>
        <w:t xml:space="preserve">- </w:t>
      </w:r>
      <w:r>
        <w:rPr>
          <w:rFonts w:cs="Arial"/>
          <w:rtl/>
        </w:rPr>
        <w:t>הדין עמו</w:t>
      </w:r>
      <w:r>
        <w:rPr>
          <w:rFonts w:cs="Arial" w:hint="cs"/>
          <w:rtl/>
        </w:rPr>
        <w:t>,</w:t>
      </w:r>
      <w:r>
        <w:rPr>
          <w:rFonts w:cs="Arial"/>
          <w:rtl/>
        </w:rPr>
        <w:t xml:space="preserve"> דכיון שבאה לגבות מכח נדוניתה יגבוה ואם יש במטלטלין כדי כל הנדוניא תגבה ותקרע ואם אין בהם כדי כל הנדוניא יגבוה הנמצא ויכתבו ביני שיטי כך וכך הגבנוה מחפץ פלוני ופלוני שאם יבא בעל חוב להגבותה היום או מחר שידע כמה הגבוה והמותר יקח בעל חוב</w:t>
      </w:r>
      <w:r>
        <w:rPr>
          <w:rStyle w:val="a7"/>
          <w:rFonts w:cs="Arial"/>
          <w:rtl/>
        </w:rPr>
        <w:footnoteReference w:id="3277"/>
      </w:r>
      <w:r>
        <w:rPr>
          <w:rFonts w:cs="Arial" w:hint="cs"/>
          <w:rtl/>
        </w:rPr>
        <w:t>.</w:t>
      </w:r>
    </w:p>
    <w:p w14:paraId="343930A2" w14:textId="77777777" w:rsidR="002E5BAD" w:rsidRDefault="002E5BAD" w:rsidP="002E5BAD">
      <w:pPr>
        <w:rPr>
          <w:rtl/>
        </w:rPr>
      </w:pPr>
      <w:r>
        <w:rPr>
          <w:rFonts w:hint="cs"/>
          <w:u w:val="single"/>
          <w:rtl/>
        </w:rPr>
        <w:t>מתה האשה בחיי בעלה, והוא בע"ח לשמעון, ואז מת הבעל, ורוצה שמעון לגבות מקרקעותיו קודם היתומים</w:t>
      </w:r>
      <w:r w:rsidRPr="0086416D">
        <w:rPr>
          <w:rFonts w:hint="cs"/>
          <w:u w:val="single"/>
          <w:rtl/>
        </w:rPr>
        <w:t>:</w:t>
      </w:r>
    </w:p>
    <w:p w14:paraId="110B84A1" w14:textId="77777777" w:rsidR="002E5BAD" w:rsidRDefault="002E5BAD" w:rsidP="00B75458">
      <w:pPr>
        <w:pStyle w:val="ab"/>
        <w:numPr>
          <w:ilvl w:val="0"/>
          <w:numId w:val="204"/>
        </w:numPr>
      </w:pPr>
      <w:r w:rsidRPr="00236A20">
        <w:rPr>
          <w:rFonts w:cs="Arial" w:hint="cs"/>
          <w:rtl/>
        </w:rPr>
        <w:lastRenderedPageBreak/>
        <w:t xml:space="preserve">רא"ש </w:t>
      </w:r>
      <w:r w:rsidRPr="00236A20">
        <w:rPr>
          <w:rFonts w:cs="Arial" w:hint="cs"/>
          <w:sz w:val="16"/>
          <w:szCs w:val="16"/>
          <w:rtl/>
        </w:rPr>
        <w:t xml:space="preserve">(כלל </w:t>
      </w:r>
      <w:r>
        <w:rPr>
          <w:rFonts w:cs="Arial" w:hint="cs"/>
          <w:sz w:val="16"/>
          <w:szCs w:val="16"/>
          <w:rtl/>
        </w:rPr>
        <w:t>לח סי' ג</w:t>
      </w:r>
      <w:r w:rsidRPr="00236A20">
        <w:rPr>
          <w:rFonts w:cs="Arial" w:hint="cs"/>
          <w:sz w:val="16"/>
          <w:szCs w:val="16"/>
          <w:rtl/>
        </w:rPr>
        <w:t xml:space="preserve">) </w:t>
      </w:r>
      <w:r w:rsidRPr="00236A20">
        <w:rPr>
          <w:rFonts w:cs="Arial" w:hint="cs"/>
          <w:rtl/>
        </w:rPr>
        <w:t xml:space="preserve">וטור- </w:t>
      </w:r>
      <w:r>
        <w:rPr>
          <w:rFonts w:cs="Arial"/>
          <w:rtl/>
        </w:rPr>
        <w:t>ששאלת ראובן היה חייב לשמעון מנה</w:t>
      </w:r>
      <w:r>
        <w:rPr>
          <w:rFonts w:cs="Arial" w:hint="cs"/>
          <w:rtl/>
        </w:rPr>
        <w:t>,</w:t>
      </w:r>
      <w:r>
        <w:rPr>
          <w:rFonts w:cs="Arial"/>
          <w:rtl/>
        </w:rPr>
        <w:t xml:space="preserve"> ולא נטלה לאה לאשתו בקנין באותו החוב</w:t>
      </w:r>
      <w:r>
        <w:rPr>
          <w:rFonts w:cs="Arial" w:hint="cs"/>
          <w:rtl/>
        </w:rPr>
        <w:t>.</w:t>
      </w:r>
      <w:r>
        <w:rPr>
          <w:rFonts w:cs="Arial"/>
          <w:rtl/>
        </w:rPr>
        <w:t xml:space="preserve"> ומתה לאה בחיי ראובן והניח שטר נדוניא שנתחזק לה על בעלה</w:t>
      </w:r>
      <w:r>
        <w:rPr>
          <w:rFonts w:cs="Arial" w:hint="cs"/>
          <w:rtl/>
        </w:rPr>
        <w:t>,</w:t>
      </w:r>
      <w:r>
        <w:rPr>
          <w:rFonts w:cs="Arial"/>
          <w:rtl/>
        </w:rPr>
        <w:t xml:space="preserve"> ולפי התקנה נפטר ראובן מחצי הנדוניא לפי שמתה בחייו וחצי השני ירשו בניה</w:t>
      </w:r>
      <w:r>
        <w:rPr>
          <w:rFonts w:cs="Arial" w:hint="cs"/>
          <w:rtl/>
        </w:rPr>
        <w:t>.</w:t>
      </w:r>
      <w:r>
        <w:rPr>
          <w:rFonts w:cs="Arial"/>
          <w:rtl/>
        </w:rPr>
        <w:t xml:space="preserve"> ואח"כ מת ראובן והניח הרבה נכסים מעות וקרקעות ותובע שמעון שיגבהו חובו מקרקעות ראובן</w:t>
      </w:r>
      <w:r>
        <w:rPr>
          <w:rFonts w:cs="Arial" w:hint="cs"/>
          <w:rtl/>
        </w:rPr>
        <w:t>.</w:t>
      </w:r>
      <w:r>
        <w:rPr>
          <w:rFonts w:cs="Arial"/>
          <w:rtl/>
        </w:rPr>
        <w:t xml:space="preserve"> ואומרים בני ראובן שקודם יגבהו מקרקעות ראובן חצי נדונית אמם שירשו מכחה שהיא מוקדמת לשטרו של ראובן</w:t>
      </w:r>
      <w:r>
        <w:rPr>
          <w:rFonts w:cs="Arial" w:hint="cs"/>
          <w:rtl/>
        </w:rPr>
        <w:t>.</w:t>
      </w:r>
      <w:r>
        <w:rPr>
          <w:rFonts w:cs="Arial"/>
          <w:rtl/>
        </w:rPr>
        <w:t xml:space="preserve"> וטען שמעון שאין להם לגבות מקרקעות ראובן כיון שבא לידה ממון ראובן כפליים משטר הנדוניא</w:t>
      </w:r>
      <w:r>
        <w:rPr>
          <w:rFonts w:cs="Arial" w:hint="cs"/>
          <w:rtl/>
        </w:rPr>
        <w:t xml:space="preserve">.   </w:t>
      </w:r>
      <w:r>
        <w:rPr>
          <w:rFonts w:cs="Arial"/>
          <w:rtl/>
        </w:rPr>
        <w:t xml:space="preserve"> תשובה</w:t>
      </w:r>
      <w:r>
        <w:rPr>
          <w:rFonts w:cs="Arial" w:hint="cs"/>
          <w:rtl/>
        </w:rPr>
        <w:t>-</w:t>
      </w:r>
      <w:r>
        <w:rPr>
          <w:rFonts w:cs="Arial"/>
          <w:rtl/>
        </w:rPr>
        <w:t xml:space="preserve"> כיון שבני ראובן ירשו והחזיקו בממון אביהם וירשו ג"כ ירושת אמם הרי שפרעו לעצמם מה שאביהם היה חייב לאמם כי הם עומדים במקום אמם לירש נדוניתה ומה שבא לידם כאילו בא ליד אמם ונחשוב אותו לפרעון ולא לירושה מצד אביהם ושמעון יגבה חובו</w:t>
      </w:r>
      <w:r>
        <w:rPr>
          <w:rStyle w:val="a7"/>
          <w:rFonts w:cs="Arial"/>
          <w:rtl/>
        </w:rPr>
        <w:footnoteReference w:id="3278"/>
      </w:r>
      <w:r>
        <w:rPr>
          <w:rFonts w:cs="Arial" w:hint="cs"/>
          <w:rtl/>
        </w:rPr>
        <w:t>.</w:t>
      </w:r>
    </w:p>
    <w:p w14:paraId="01EBDCCC"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823C73" w14:textId="77777777" w:rsidR="002E5BAD" w:rsidRDefault="002E5BAD" w:rsidP="002E5BAD">
      <w:pPr>
        <w:rPr>
          <w:rtl/>
        </w:rPr>
      </w:pPr>
      <w:r>
        <w:rPr>
          <w:rFonts w:cs="Arial"/>
          <w:rtl/>
        </w:rPr>
        <w:t xml:space="preserve">הנוהגים שהאשה המכנסת קרקע לבעלה כותבת לו שטר מתנה והוא כותב לה שטר חוב שתגבנו כל זמן שתרצה, ואין מזכירין באותו שטר הקרקע שנתנה לו, אין לאותה קרקע דין נכסי צאן ברזל, אלא הרי הוא כשאר נכסיו. </w:t>
      </w:r>
    </w:p>
    <w:p w14:paraId="2F55E66A" w14:textId="77777777" w:rsidR="002E5BAD" w:rsidRDefault="002E5BAD" w:rsidP="002E5BAD">
      <w:pPr>
        <w:rPr>
          <w:rtl/>
        </w:rPr>
      </w:pPr>
    </w:p>
    <w:p w14:paraId="0D754ACD" w14:textId="77777777" w:rsidR="002E5BAD" w:rsidRDefault="002E5BAD" w:rsidP="002E5BAD">
      <w:pPr>
        <w:pStyle w:val="2"/>
        <w:rPr>
          <w:rtl/>
        </w:rPr>
      </w:pPr>
      <w:r>
        <w:rPr>
          <w:rtl/>
        </w:rPr>
        <w:t>סעיף יג</w:t>
      </w:r>
      <w:r>
        <w:rPr>
          <w:rFonts w:hint="cs"/>
          <w:rtl/>
        </w:rPr>
        <w:t>:</w:t>
      </w:r>
      <w:r w:rsidRPr="00853275">
        <w:rPr>
          <w:rFonts w:cs="Arial"/>
          <w:rtl/>
        </w:rPr>
        <w:t xml:space="preserve"> </w:t>
      </w:r>
      <w:r>
        <w:rPr>
          <w:rFonts w:cs="Arial"/>
          <w:rtl/>
        </w:rPr>
        <w:t xml:space="preserve">הבעל אומר </w:t>
      </w:r>
      <w:r>
        <w:rPr>
          <w:rFonts w:cs="Arial" w:hint="cs"/>
          <w:rtl/>
        </w:rPr>
        <w:t>ש</w:t>
      </w:r>
      <w:r>
        <w:rPr>
          <w:rFonts w:cs="Arial"/>
          <w:rtl/>
        </w:rPr>
        <w:t>היא מתה תחלה ואח</w:t>
      </w:r>
      <w:r>
        <w:rPr>
          <w:rFonts w:cs="Arial" w:hint="cs"/>
          <w:rtl/>
        </w:rPr>
        <w:t>"כ</w:t>
      </w:r>
      <w:r>
        <w:rPr>
          <w:rFonts w:cs="Arial"/>
          <w:rtl/>
        </w:rPr>
        <w:t xml:space="preserve"> הבן, ויורשיה אומרים</w:t>
      </w:r>
      <w:r>
        <w:rPr>
          <w:rFonts w:cs="Arial" w:hint="cs"/>
          <w:rtl/>
        </w:rPr>
        <w:t xml:space="preserve"> להפך.</w:t>
      </w:r>
    </w:p>
    <w:p w14:paraId="67C3493A" w14:textId="77777777" w:rsidR="002E5BAD" w:rsidRPr="00853275" w:rsidRDefault="002E5BAD" w:rsidP="002E5BAD">
      <w:pPr>
        <w:rPr>
          <w:u w:val="single"/>
          <w:rtl/>
        </w:rPr>
      </w:pPr>
      <w:r w:rsidRPr="00853275">
        <w:rPr>
          <w:rFonts w:cs="Arial"/>
          <w:u w:val="single"/>
          <w:rtl/>
        </w:rPr>
        <w:t xml:space="preserve">הבעל אומר </w:t>
      </w:r>
      <w:r w:rsidRPr="00853275">
        <w:rPr>
          <w:rFonts w:cs="Arial" w:hint="cs"/>
          <w:u w:val="single"/>
          <w:rtl/>
        </w:rPr>
        <w:t>ש</w:t>
      </w:r>
      <w:r w:rsidRPr="00853275">
        <w:rPr>
          <w:rFonts w:cs="Arial"/>
          <w:u w:val="single"/>
          <w:rtl/>
        </w:rPr>
        <w:t>היא מתה תחלה ואח</w:t>
      </w:r>
      <w:r w:rsidRPr="00853275">
        <w:rPr>
          <w:rFonts w:cs="Arial" w:hint="cs"/>
          <w:u w:val="single"/>
          <w:rtl/>
        </w:rPr>
        <w:t>"כ</w:t>
      </w:r>
      <w:r w:rsidRPr="00853275">
        <w:rPr>
          <w:rFonts w:cs="Arial"/>
          <w:u w:val="single"/>
          <w:rtl/>
        </w:rPr>
        <w:t xml:space="preserve"> הבן, ויורשיה</w:t>
      </w:r>
      <w:r w:rsidRPr="00DC5EB9">
        <w:rPr>
          <w:rFonts w:cs="Arial"/>
          <w:sz w:val="16"/>
          <w:szCs w:val="16"/>
          <w:u w:val="single"/>
          <w:rtl/>
        </w:rPr>
        <w:t xml:space="preserve"> </w:t>
      </w:r>
      <w:r w:rsidRPr="00DC5EB9">
        <w:rPr>
          <w:rFonts w:cs="Arial" w:hint="cs"/>
          <w:sz w:val="16"/>
          <w:szCs w:val="16"/>
          <w:u w:val="single"/>
          <w:rtl/>
        </w:rPr>
        <w:t>(מכח התקנה)</w:t>
      </w:r>
      <w:r>
        <w:rPr>
          <w:rFonts w:cs="Arial" w:hint="cs"/>
          <w:u w:val="single"/>
          <w:rtl/>
        </w:rPr>
        <w:t xml:space="preserve"> </w:t>
      </w:r>
      <w:r w:rsidRPr="00853275">
        <w:rPr>
          <w:rFonts w:cs="Arial"/>
          <w:u w:val="single"/>
          <w:rtl/>
        </w:rPr>
        <w:t>אומרים</w:t>
      </w:r>
      <w:r w:rsidRPr="00853275">
        <w:rPr>
          <w:rFonts w:cs="Arial" w:hint="cs"/>
          <w:u w:val="single"/>
          <w:rtl/>
        </w:rPr>
        <w:t xml:space="preserve"> להפך</w:t>
      </w:r>
      <w:r w:rsidRPr="00853275">
        <w:rPr>
          <w:rFonts w:hint="cs"/>
          <w:u w:val="single"/>
          <w:rtl/>
        </w:rPr>
        <w:t>:</w:t>
      </w:r>
    </w:p>
    <w:p w14:paraId="49DD1D19" w14:textId="77777777" w:rsidR="002E5BAD" w:rsidRPr="00853275"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נה סי' ה</w:t>
      </w:r>
      <w:r w:rsidRPr="00236A20">
        <w:rPr>
          <w:rFonts w:cs="Arial" w:hint="cs"/>
          <w:sz w:val="16"/>
          <w:szCs w:val="16"/>
          <w:rtl/>
        </w:rPr>
        <w:t xml:space="preserve">) </w:t>
      </w:r>
      <w:r w:rsidRPr="00236A20">
        <w:rPr>
          <w:rFonts w:cs="Arial" w:hint="cs"/>
          <w:rtl/>
        </w:rPr>
        <w:t xml:space="preserve">וטור- </w:t>
      </w:r>
      <w:r>
        <w:rPr>
          <w:rFonts w:cs="Arial"/>
          <w:rtl/>
        </w:rPr>
        <w:t>וששאלת ראובן הוציא שטר נדונית אחותו שהיתה אשת שמעון ומתה</w:t>
      </w:r>
      <w:r>
        <w:rPr>
          <w:rFonts w:cs="Arial" w:hint="cs"/>
          <w:rtl/>
        </w:rPr>
        <w:t>,</w:t>
      </w:r>
      <w:r>
        <w:rPr>
          <w:rFonts w:cs="Arial"/>
          <w:rtl/>
        </w:rPr>
        <w:t xml:space="preserve"> ותובע חציה לפי התקנה שהוא יורש אחותו</w:t>
      </w:r>
      <w:r>
        <w:rPr>
          <w:rFonts w:cs="Arial" w:hint="cs"/>
          <w:rtl/>
        </w:rPr>
        <w:t>.</w:t>
      </w:r>
      <w:r>
        <w:rPr>
          <w:rFonts w:cs="Arial"/>
          <w:rtl/>
        </w:rPr>
        <w:t xml:space="preserve"> ושמעון אומר הניחה בן וחיה אחריה ימים רבים והוא יורשה ואח"כ מת ואני יורש בני</w:t>
      </w:r>
      <w:r>
        <w:rPr>
          <w:rFonts w:cs="Arial" w:hint="cs"/>
          <w:rtl/>
        </w:rPr>
        <w:t>.</w:t>
      </w:r>
      <w:r>
        <w:rPr>
          <w:rFonts w:cs="Arial"/>
          <w:rtl/>
        </w:rPr>
        <w:t xml:space="preserve"> וראובן אומר הבן מת תחילה</w:t>
      </w:r>
      <w:r>
        <w:rPr>
          <w:rFonts w:cs="Arial" w:hint="cs"/>
          <w:rtl/>
        </w:rPr>
        <w:t xml:space="preserve">.  </w:t>
      </w:r>
      <w:r>
        <w:rPr>
          <w:rFonts w:cs="Arial"/>
          <w:rtl/>
        </w:rPr>
        <w:t xml:space="preserve"> תשובה</w:t>
      </w:r>
      <w:r>
        <w:rPr>
          <w:rFonts w:cs="Arial" w:hint="cs"/>
          <w:rtl/>
        </w:rPr>
        <w:t>-</w:t>
      </w:r>
      <w:r>
        <w:rPr>
          <w:rFonts w:cs="Arial"/>
          <w:rtl/>
        </w:rPr>
        <w:t xml:space="preserve"> עליו להביא ראיה</w:t>
      </w:r>
      <w:r>
        <w:rPr>
          <w:rFonts w:cs="Arial" w:hint="cs"/>
          <w:rtl/>
        </w:rPr>
        <w:t>.</w:t>
      </w:r>
      <w:r w:rsidRPr="00853275">
        <w:rPr>
          <w:rFonts w:hint="cs"/>
          <w:color w:val="E36C0A" w:themeColor="accent6" w:themeShade="BF"/>
          <w:rtl/>
        </w:rPr>
        <w:t xml:space="preserve"> </w:t>
      </w:r>
      <w:r w:rsidRPr="00797BAD">
        <w:rPr>
          <w:rFonts w:hint="cs"/>
          <w:color w:val="E36C0A" w:themeColor="accent6" w:themeShade="BF"/>
          <w:rtl/>
        </w:rPr>
        <w:t>(וכ"פ בשו"ע)</w:t>
      </w:r>
    </w:p>
    <w:p w14:paraId="42B2188E" w14:textId="77777777" w:rsidR="002E5BAD" w:rsidRPr="00853275" w:rsidRDefault="002E5BAD" w:rsidP="002E5BAD">
      <w:pPr>
        <w:rPr>
          <w:u w:val="single"/>
          <w:rtl/>
        </w:rPr>
      </w:pPr>
      <w:r>
        <w:rPr>
          <w:rFonts w:hint="cs"/>
          <w:u w:val="single"/>
          <w:rtl/>
        </w:rPr>
        <w:t>שמעון חייב לראובן, ונשא שמעון אשה, ופסקה להכניס לו נדוניא, ולא היה לה, אז עשה אחיה שטר משכונא על ביתו:</w:t>
      </w:r>
    </w:p>
    <w:p w14:paraId="4564DC92" w14:textId="77777777" w:rsidR="002E5BAD" w:rsidRPr="005A54C2"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ב</w:t>
      </w:r>
      <w:r w:rsidRPr="00236A20">
        <w:rPr>
          <w:rFonts w:cs="Arial" w:hint="cs"/>
          <w:sz w:val="16"/>
          <w:szCs w:val="16"/>
          <w:rtl/>
        </w:rPr>
        <w:t xml:space="preserve">) </w:t>
      </w:r>
      <w:r w:rsidRPr="00236A20">
        <w:rPr>
          <w:rFonts w:cs="Arial" w:hint="cs"/>
          <w:rtl/>
        </w:rPr>
        <w:t xml:space="preserve">וטור- </w:t>
      </w:r>
      <w:r w:rsidRPr="00677F4D">
        <w:rPr>
          <w:rFonts w:cs="Arial"/>
          <w:rtl/>
        </w:rPr>
        <w:t>שאלה ראובן שנתחזקו לו שטרי חובות על שמעון</w:t>
      </w:r>
      <w:r>
        <w:rPr>
          <w:rFonts w:cs="Arial" w:hint="cs"/>
          <w:rtl/>
        </w:rPr>
        <w:t>.</w:t>
      </w:r>
      <w:r w:rsidRPr="00677F4D">
        <w:rPr>
          <w:rFonts w:cs="Arial"/>
          <w:rtl/>
        </w:rPr>
        <w:t xml:space="preserve"> ואח</w:t>
      </w:r>
      <w:r>
        <w:rPr>
          <w:rFonts w:cs="Arial" w:hint="cs"/>
          <w:rtl/>
        </w:rPr>
        <w:t>"</w:t>
      </w:r>
      <w:r w:rsidRPr="00677F4D">
        <w:rPr>
          <w:rFonts w:cs="Arial"/>
          <w:rtl/>
        </w:rPr>
        <w:t>כ נשא שמעון אשה ונתחזקה עליו שטר נדוניא</w:t>
      </w:r>
      <w:r>
        <w:rPr>
          <w:rFonts w:cs="Arial" w:hint="cs"/>
          <w:rtl/>
        </w:rPr>
        <w:t>.</w:t>
      </w:r>
      <w:r w:rsidRPr="00677F4D">
        <w:rPr>
          <w:rFonts w:cs="Arial"/>
          <w:rtl/>
        </w:rPr>
        <w:t xml:space="preserve"> ובעת שנשא אשתו זאת עשה לו אחד מגיסיו שטר משכונה על ביתו בדמי הנדוניא שהיה לו לקבל ונשאר שטר המשכון ביד הסופר. לאחר ימים חלה שמעון ובעת חליו צוה לסופר שיתן השטר לאשתו לאחר פטירתו והוא נפטר מתוך חליו ולא נתרפא ממנו ואחר פטירתו נתן הסופר השטר לאלמנה כאשר צוהו. ועתה בא ראובן לתבוע לב"ד שיגבו לו ממשכונה זאת קצת החובות שיש לו על שמעון, והאלמנה טוענת כיון שהשטר בא לידי בצואתו קניתי המשכונה אע</w:t>
      </w:r>
      <w:r>
        <w:rPr>
          <w:rFonts w:cs="Arial" w:hint="cs"/>
          <w:rtl/>
        </w:rPr>
        <w:t>"</w:t>
      </w:r>
      <w:r w:rsidRPr="00677F4D">
        <w:rPr>
          <w:rFonts w:cs="Arial"/>
          <w:rtl/>
        </w:rPr>
        <w:t>פ שקדמו חובותיך</w:t>
      </w:r>
      <w:r>
        <w:rPr>
          <w:rFonts w:cs="Arial" w:hint="cs"/>
          <w:rtl/>
        </w:rPr>
        <w:t>.</w:t>
      </w:r>
      <w:r>
        <w:rPr>
          <w:rFonts w:cs="Arial"/>
          <w:rtl/>
        </w:rPr>
        <w:t xml:space="preserve"> </w:t>
      </w:r>
      <w:r>
        <w:rPr>
          <w:rFonts w:cs="Arial" w:hint="cs"/>
          <w:rtl/>
        </w:rPr>
        <w:t xml:space="preserve">   </w:t>
      </w:r>
      <w:r>
        <w:rPr>
          <w:rFonts w:cs="Arial"/>
          <w:rtl/>
        </w:rPr>
        <w:t>תשובה</w:t>
      </w:r>
      <w:r>
        <w:rPr>
          <w:rFonts w:cs="Arial" w:hint="cs"/>
          <w:rtl/>
        </w:rPr>
        <w:t>-</w:t>
      </w:r>
      <w:r>
        <w:rPr>
          <w:rFonts w:cs="Arial"/>
          <w:rtl/>
        </w:rPr>
        <w:t xml:space="preserve"> אין מגבין לו ממנה דאי חשבינן להך קרקע שהיה ממושכן לשמעון בשביל מה שפסקה להכניס לו כאילו הכניסה לבעלה בנדוניתה</w:t>
      </w:r>
      <w:r>
        <w:rPr>
          <w:rFonts w:cs="Arial" w:hint="cs"/>
          <w:rtl/>
        </w:rPr>
        <w:t>,</w:t>
      </w:r>
      <w:r>
        <w:rPr>
          <w:rFonts w:cs="Arial"/>
          <w:rtl/>
        </w:rPr>
        <w:t xml:space="preserve"> הרי לא חל שיעבוד עליו כדרך שלא יוכל למוכרה</w:t>
      </w:r>
      <w:r>
        <w:rPr>
          <w:rFonts w:cs="Arial" w:hint="cs"/>
          <w:rtl/>
        </w:rPr>
        <w:t>.</w:t>
      </w:r>
      <w:r>
        <w:rPr>
          <w:rFonts w:cs="Arial"/>
          <w:rtl/>
        </w:rPr>
        <w:t xml:space="preserve"> ואי לא חשבינן ליה כאילו הכניסתו בנדוניתה כיון שאינו אלא משכון בעלה ולא שייך למימר שתיטול האשה הקרקע משום שבח בית אביה כי לא הכניסה לו הקרקע אלא משכון בעלמא בשביל נדוניתה הילכך ראובן שהיה חובו מוקדם יקח הקרקע בחובו</w:t>
      </w:r>
      <w:r>
        <w:rPr>
          <w:rFonts w:cs="Arial" w:hint="cs"/>
          <w:rtl/>
        </w:rPr>
        <w:t>,</w:t>
      </w:r>
      <w:r>
        <w:rPr>
          <w:rFonts w:cs="Arial"/>
          <w:rtl/>
        </w:rPr>
        <w:t xml:space="preserve"> הא ליתא</w:t>
      </w:r>
      <w:r>
        <w:rPr>
          <w:rFonts w:cs="Arial" w:hint="cs"/>
          <w:rtl/>
        </w:rPr>
        <w:t>,</w:t>
      </w:r>
      <w:r>
        <w:rPr>
          <w:rFonts w:cs="Arial"/>
          <w:rtl/>
        </w:rPr>
        <w:t xml:space="preserve"> שהקרקע אינו אלא שיעבוד בעלמא בשביל הנדוניא שהיא חייבת לו</w:t>
      </w:r>
      <w:r>
        <w:rPr>
          <w:rFonts w:cs="Arial" w:hint="cs"/>
          <w:rtl/>
        </w:rPr>
        <w:t>,</w:t>
      </w:r>
      <w:r>
        <w:rPr>
          <w:rFonts w:cs="Arial"/>
          <w:rtl/>
        </w:rPr>
        <w:t xml:space="preserve"> והבעל מחל לאשתו אותו החוב שהיתה חייבת לו כיון שצוה להחזיר לו השטר</w:t>
      </w:r>
      <w:r>
        <w:rPr>
          <w:rFonts w:cs="Arial" w:hint="cs"/>
          <w:rtl/>
        </w:rPr>
        <w:t>,</w:t>
      </w:r>
      <w:r>
        <w:rPr>
          <w:rFonts w:cs="Arial"/>
          <w:rtl/>
        </w:rPr>
        <w:t xml:space="preserve"> וכיון שמחל החוב ממילא פקע השיעבוד שהיה לו לבעל על הקרקע</w:t>
      </w:r>
      <w:r>
        <w:rPr>
          <w:rFonts w:cs="Arial" w:hint="cs"/>
          <w:rtl/>
        </w:rPr>
        <w:t>.</w:t>
      </w:r>
      <w:r>
        <w:rPr>
          <w:rFonts w:cs="Arial"/>
          <w:rtl/>
        </w:rPr>
        <w:t xml:space="preserve"> ועוד אפילו אם לא צוה להחזיר שטר המשכונא היה הדין עמו כמו שכתבתי שהרי האשה היתה חייבת לבעלה נדוניא שפסקה לו ומשכנה הקרקע בשביל אותו החוב וגם הבעל היה חייב לאשה נדוניתה אם יגרשנה או ימות וכשמת הבעל עוד הנדוניא ביד האשה הרי היא נפרעת החוב שהיה חייב הבעל ממעות שבידה שהיא חייבת אותם לבעל וכיון שהיא נפרעת מאותו החוב הרי פרעה לבעלה החוב שהיתה חייבת לו ונפטר המשכון ששעבדה לו בעבור החוב</w:t>
      </w:r>
      <w:r>
        <w:rPr>
          <w:rFonts w:cs="Arial" w:hint="cs"/>
          <w:rtl/>
        </w:rPr>
        <w:t>.</w:t>
      </w:r>
      <w:r>
        <w:rPr>
          <w:rFonts w:cs="Arial"/>
          <w:rtl/>
        </w:rPr>
        <w:t xml:space="preserve"> </w:t>
      </w:r>
    </w:p>
    <w:p w14:paraId="496EB6D6"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691BDD" w14:textId="77777777" w:rsidR="002E5BAD" w:rsidRDefault="002E5BAD" w:rsidP="002E5BAD">
      <w:pPr>
        <w:rPr>
          <w:rtl/>
        </w:rPr>
      </w:pPr>
      <w:r>
        <w:rPr>
          <w:rFonts w:cs="Arial"/>
          <w:rtl/>
        </w:rPr>
        <w:t xml:space="preserve">הבעל אומר: היא מתה תחלה ואחר כך הבן, ויורשיה אומרים: לא כי אלא הבן מת תחלה, עליהם להביא ראיה. </w:t>
      </w:r>
    </w:p>
    <w:p w14:paraId="565ECB3F" w14:textId="77777777" w:rsidR="002E5BAD" w:rsidRDefault="002E5BAD" w:rsidP="002E5BAD">
      <w:pPr>
        <w:rPr>
          <w:rtl/>
        </w:rPr>
      </w:pPr>
    </w:p>
    <w:p w14:paraId="0DA80130" w14:textId="77777777" w:rsidR="002E5BAD" w:rsidRDefault="002E5BAD" w:rsidP="002E5BAD">
      <w:pPr>
        <w:pStyle w:val="2"/>
        <w:rPr>
          <w:rtl/>
        </w:rPr>
      </w:pPr>
      <w:r>
        <w:rPr>
          <w:rtl/>
        </w:rPr>
        <w:t>סעיף יד</w:t>
      </w:r>
      <w:r>
        <w:rPr>
          <w:rFonts w:hint="cs"/>
          <w:rtl/>
        </w:rPr>
        <w:t xml:space="preserve">: מי </w:t>
      </w:r>
      <w:r>
        <w:rPr>
          <w:rFonts w:cs="Arial" w:hint="cs"/>
          <w:rtl/>
        </w:rPr>
        <w:t>ש</w:t>
      </w:r>
      <w:r>
        <w:rPr>
          <w:rFonts w:cs="Arial"/>
          <w:rtl/>
        </w:rPr>
        <w:t>מתנה בכתובה שלא ישא אשה אחרת עליה</w:t>
      </w:r>
      <w:r>
        <w:rPr>
          <w:rFonts w:cs="Arial" w:hint="cs"/>
          <w:rtl/>
        </w:rPr>
        <w:t>.</w:t>
      </w:r>
    </w:p>
    <w:p w14:paraId="014244FD" w14:textId="77777777" w:rsidR="002E5BAD" w:rsidRPr="00853275" w:rsidRDefault="002E5BAD" w:rsidP="002E5BAD">
      <w:pPr>
        <w:rPr>
          <w:u w:val="single"/>
          <w:rtl/>
        </w:rPr>
      </w:pPr>
      <w:r>
        <w:rPr>
          <w:rFonts w:cs="Arial" w:hint="cs"/>
          <w:u w:val="single"/>
          <w:rtl/>
        </w:rPr>
        <w:t>מי ש</w:t>
      </w:r>
      <w:r w:rsidRPr="00853275">
        <w:rPr>
          <w:rFonts w:cs="Arial"/>
          <w:u w:val="single"/>
          <w:rtl/>
        </w:rPr>
        <w:t>מתנה בכתובה שלא ישא אשה אחרת עליה</w:t>
      </w:r>
      <w:r>
        <w:rPr>
          <w:rFonts w:cs="Arial" w:hint="cs"/>
          <w:u w:val="single"/>
          <w:rtl/>
        </w:rPr>
        <w:t xml:space="preserve"> </w:t>
      </w:r>
      <w:r>
        <w:rPr>
          <w:rFonts w:cs="Arial"/>
          <w:u w:val="single"/>
          <w:rtl/>
        </w:rPr>
        <w:t>–</w:t>
      </w:r>
      <w:r>
        <w:rPr>
          <w:rFonts w:cs="Arial" w:hint="cs"/>
          <w:u w:val="single"/>
          <w:rtl/>
        </w:rPr>
        <w:t xml:space="preserve"> האם הוי כמתנה על מה שכתוב בתורה</w:t>
      </w:r>
      <w:r w:rsidRPr="00853275">
        <w:rPr>
          <w:rFonts w:hint="cs"/>
          <w:u w:val="single"/>
          <w:rtl/>
        </w:rPr>
        <w:t>:</w:t>
      </w:r>
    </w:p>
    <w:p w14:paraId="665D5A60"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לג סי' א</w:t>
      </w:r>
      <w:r w:rsidRPr="00236A20">
        <w:rPr>
          <w:rFonts w:cs="Arial" w:hint="cs"/>
          <w:sz w:val="16"/>
          <w:szCs w:val="16"/>
          <w:rtl/>
        </w:rPr>
        <w:t xml:space="preserve">) </w:t>
      </w:r>
      <w:r w:rsidRPr="00236A20">
        <w:rPr>
          <w:rFonts w:cs="Arial" w:hint="cs"/>
          <w:rtl/>
        </w:rPr>
        <w:t xml:space="preserve">וטור- </w:t>
      </w:r>
      <w:r>
        <w:rPr>
          <w:rFonts w:cs="Arial"/>
          <w:rtl/>
        </w:rPr>
        <w:t xml:space="preserve">ששאלת מה שנוהגים לכתוב בכתובה </w:t>
      </w:r>
      <w:r>
        <w:rPr>
          <w:rFonts w:cs="Arial" w:hint="cs"/>
          <w:rtl/>
        </w:rPr>
        <w:t>'</w:t>
      </w:r>
      <w:r>
        <w:rPr>
          <w:rFonts w:cs="Arial"/>
          <w:rtl/>
        </w:rPr>
        <w:t>ע</w:t>
      </w:r>
      <w:r>
        <w:rPr>
          <w:rFonts w:cs="Arial" w:hint="cs"/>
          <w:rtl/>
        </w:rPr>
        <w:t xml:space="preserve">ל </w:t>
      </w:r>
      <w:r>
        <w:rPr>
          <w:rFonts w:cs="Arial"/>
          <w:rtl/>
        </w:rPr>
        <w:t>מ</w:t>
      </w:r>
      <w:r>
        <w:rPr>
          <w:rFonts w:cs="Arial" w:hint="cs"/>
          <w:rtl/>
        </w:rPr>
        <w:t>נת</w:t>
      </w:r>
      <w:r>
        <w:rPr>
          <w:rFonts w:cs="Arial"/>
          <w:rtl/>
        </w:rPr>
        <w:t xml:space="preserve"> שלא ישא אשה אחרת</w:t>
      </w:r>
      <w:r>
        <w:rPr>
          <w:rFonts w:cs="Arial" w:hint="cs"/>
          <w:rtl/>
        </w:rPr>
        <w:t>',</w:t>
      </w:r>
      <w:r>
        <w:rPr>
          <w:rFonts w:cs="Arial"/>
          <w:rtl/>
        </w:rPr>
        <w:t xml:space="preserve"> אי הוי כמתנה ע"מ שכתוב בתורה</w:t>
      </w:r>
      <w:r>
        <w:rPr>
          <w:rFonts w:cs="Arial" w:hint="cs"/>
          <w:rtl/>
        </w:rPr>
        <w:t>,</w:t>
      </w:r>
      <w:r>
        <w:rPr>
          <w:rFonts w:cs="Arial"/>
          <w:rtl/>
        </w:rPr>
        <w:t xml:space="preserve"> שמא תשהה עמו י' שנים ולא תלד ואז הוא מחויב לישא אחרת</w:t>
      </w:r>
      <w:r>
        <w:rPr>
          <w:rFonts w:cs="Arial" w:hint="cs"/>
          <w:rtl/>
        </w:rPr>
        <w:t>,</w:t>
      </w:r>
      <w:r>
        <w:rPr>
          <w:rFonts w:cs="Arial"/>
          <w:rtl/>
        </w:rPr>
        <w:t xml:space="preserve"> והרי היא כמתנה על מה שכתוב בתורה</w:t>
      </w:r>
      <w:r>
        <w:rPr>
          <w:rFonts w:cs="Arial" w:hint="cs"/>
          <w:rtl/>
        </w:rPr>
        <w:t xml:space="preserve">.  </w:t>
      </w:r>
      <w:r>
        <w:rPr>
          <w:rFonts w:cs="Arial"/>
          <w:rtl/>
        </w:rPr>
        <w:t xml:space="preserve"> תשובה</w:t>
      </w:r>
      <w:r>
        <w:rPr>
          <w:rFonts w:cs="Arial" w:hint="cs"/>
          <w:rtl/>
        </w:rPr>
        <w:t>-</w:t>
      </w:r>
      <w:r>
        <w:rPr>
          <w:rFonts w:cs="Arial"/>
          <w:rtl/>
        </w:rPr>
        <w:t xml:space="preserve"> דע דלא הוי מתנה על מה שכתוב בתורה</w:t>
      </w:r>
      <w:r>
        <w:rPr>
          <w:rFonts w:cs="Arial" w:hint="cs"/>
          <w:rtl/>
        </w:rPr>
        <w:t>,</w:t>
      </w:r>
      <w:r>
        <w:rPr>
          <w:rFonts w:cs="Arial"/>
          <w:rtl/>
        </w:rPr>
        <w:t xml:space="preserve"> דאף אם שהתה עמו עשר שנים ולא ילדה ורוצה לישא אשה אחרת צריך לגרש הראשונה וליתן לה כתובה</w:t>
      </w:r>
      <w:r>
        <w:rPr>
          <w:rFonts w:cs="Arial" w:hint="cs"/>
          <w:rtl/>
        </w:rPr>
        <w:t>.</w:t>
      </w:r>
      <w:r>
        <w:rPr>
          <w:rFonts w:cs="Arial"/>
          <w:rtl/>
        </w:rPr>
        <w:t xml:space="preserve"> וכן נמי המנהג שנוהגין וכותבין בכתובה על מנת שלא לישא אשה אחרת</w:t>
      </w:r>
      <w:r>
        <w:rPr>
          <w:rFonts w:cs="Arial" w:hint="cs"/>
          <w:rtl/>
        </w:rPr>
        <w:t>,</w:t>
      </w:r>
      <w:r>
        <w:rPr>
          <w:rFonts w:cs="Arial"/>
          <w:rtl/>
        </w:rPr>
        <w:t xml:space="preserve"> ואם יעבור וישא אשה אחרת שיפטרנה בגט ויתן לה כתובה</w:t>
      </w:r>
      <w:r>
        <w:rPr>
          <w:rFonts w:cs="Arial" w:hint="cs"/>
          <w:rtl/>
        </w:rPr>
        <w:t>.</w:t>
      </w:r>
      <w:r>
        <w:rPr>
          <w:rFonts w:cs="Arial"/>
          <w:rtl/>
        </w:rPr>
        <w:t xml:space="preserve"> </w:t>
      </w:r>
      <w:r w:rsidRPr="00797BAD">
        <w:rPr>
          <w:rFonts w:hint="cs"/>
          <w:color w:val="E36C0A" w:themeColor="accent6" w:themeShade="BF"/>
          <w:rtl/>
        </w:rPr>
        <w:t>(וכ"פ בשו"ע)</w:t>
      </w:r>
    </w:p>
    <w:p w14:paraId="2661051F" w14:textId="77777777" w:rsidR="002E5BAD" w:rsidRPr="00C11087" w:rsidRDefault="002E5BAD" w:rsidP="002E5BAD">
      <w:pPr>
        <w:ind w:left="360"/>
        <w:rPr>
          <w:u w:val="dotted"/>
        </w:rPr>
      </w:pPr>
      <w:r w:rsidRPr="00C11087">
        <w:rPr>
          <w:rFonts w:hint="cs"/>
          <w:u w:val="dotted"/>
          <w:rtl/>
        </w:rPr>
        <w:t>ומה הדין אם לא התנה כן בשעת נישואין אלא לאחר ששהתה עמו י' שנים ולא ילדה:</w:t>
      </w:r>
    </w:p>
    <w:p w14:paraId="730E38F2"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לג סי' א</w:t>
      </w:r>
      <w:r w:rsidRPr="00236A20">
        <w:rPr>
          <w:rFonts w:cs="Arial" w:hint="cs"/>
          <w:sz w:val="16"/>
          <w:szCs w:val="16"/>
          <w:rtl/>
        </w:rPr>
        <w:t xml:space="preserve">) </w:t>
      </w:r>
      <w:r w:rsidRPr="00236A20">
        <w:rPr>
          <w:rFonts w:cs="Arial" w:hint="cs"/>
          <w:rtl/>
        </w:rPr>
        <w:t xml:space="preserve">וטור- </w:t>
      </w:r>
      <w:r>
        <w:rPr>
          <w:rFonts w:cs="Arial"/>
          <w:rtl/>
        </w:rPr>
        <w:t>וששאלת אם שהתה עמו י' שנים ולא ילדה ולא התנה עמו בשעת נישואין ועתה התנה בקנין שאם ישא אשה אחרת יתחייב לה סכום ידוע אי הוי כמתנה על מה שכתוב בתורה</w:t>
      </w:r>
      <w:r>
        <w:rPr>
          <w:rFonts w:cs="Arial" w:hint="cs"/>
          <w:rtl/>
        </w:rPr>
        <w:t>.</w:t>
      </w:r>
      <w:r>
        <w:rPr>
          <w:rFonts w:cs="Arial"/>
          <w:rtl/>
        </w:rPr>
        <w:t xml:space="preserve"> </w:t>
      </w:r>
      <w:r>
        <w:rPr>
          <w:rFonts w:cs="Arial" w:hint="cs"/>
          <w:rtl/>
        </w:rPr>
        <w:t xml:space="preserve"> - </w:t>
      </w:r>
      <w:r>
        <w:rPr>
          <w:rFonts w:cs="Arial"/>
          <w:rtl/>
        </w:rPr>
        <w:t>תשובה לא הוי כמתנה ע"מ שכתוב בתורה</w:t>
      </w:r>
      <w:r>
        <w:rPr>
          <w:rFonts w:cs="Arial" w:hint="cs"/>
          <w:rtl/>
        </w:rPr>
        <w:t>,</w:t>
      </w:r>
      <w:r>
        <w:rPr>
          <w:rFonts w:cs="Arial"/>
          <w:rtl/>
        </w:rPr>
        <w:t xml:space="preserve"> הוא רוצה ליזוק בנכסיו ויקיים מצותו ויפרע מה שקבל על עצמו</w:t>
      </w:r>
      <w:r>
        <w:rPr>
          <w:rFonts w:cs="Arial" w:hint="cs"/>
          <w:rtl/>
        </w:rPr>
        <w:t>.</w:t>
      </w:r>
      <w:r>
        <w:rPr>
          <w:rFonts w:cs="Arial"/>
          <w:rtl/>
        </w:rPr>
        <w:t xml:space="preserve"> </w:t>
      </w:r>
    </w:p>
    <w:p w14:paraId="03AB8F15" w14:textId="77777777" w:rsidR="002E5BAD" w:rsidRPr="008B303A" w:rsidRDefault="002E5BAD" w:rsidP="002E5BAD">
      <w:pPr>
        <w:rPr>
          <w:u w:val="single"/>
        </w:rPr>
      </w:pPr>
      <w:r w:rsidRPr="008B303A">
        <w:rPr>
          <w:rFonts w:cs="Arial"/>
          <w:u w:val="single"/>
          <w:rtl/>
        </w:rPr>
        <w:t>כתובה</w:t>
      </w:r>
      <w:r w:rsidRPr="008B303A">
        <w:rPr>
          <w:rFonts w:cs="Arial" w:hint="cs"/>
          <w:u w:val="single"/>
          <w:rtl/>
        </w:rPr>
        <w:t xml:space="preserve"> שכתוב בה למטה</w:t>
      </w:r>
      <w:r w:rsidRPr="008B303A">
        <w:rPr>
          <w:rFonts w:cs="Arial"/>
          <w:u w:val="single"/>
          <w:rtl/>
        </w:rPr>
        <w:t xml:space="preserve"> </w:t>
      </w:r>
      <w:r w:rsidRPr="008B303A">
        <w:rPr>
          <w:rFonts w:cs="Arial" w:hint="cs"/>
          <w:u w:val="single"/>
          <w:rtl/>
        </w:rPr>
        <w:t>'</w:t>
      </w:r>
      <w:r w:rsidRPr="008B303A">
        <w:rPr>
          <w:rFonts w:cs="Arial"/>
          <w:u w:val="single"/>
          <w:rtl/>
        </w:rPr>
        <w:t>שטר שפלוני החתן נותן לפלונית ממון מנכסיו אגב ד"א קרקע באחריות עליו ועל כל נכסיו</w:t>
      </w:r>
      <w:r w:rsidRPr="008B303A">
        <w:rPr>
          <w:rFonts w:cs="Arial" w:hint="cs"/>
          <w:u w:val="single"/>
          <w:rtl/>
        </w:rPr>
        <w:t>':</w:t>
      </w:r>
    </w:p>
    <w:p w14:paraId="679CD325" w14:textId="77777777" w:rsidR="002E5BAD" w:rsidRPr="005A54C2"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לו סי' ח</w:t>
      </w:r>
      <w:r w:rsidRPr="00236A20">
        <w:rPr>
          <w:rFonts w:cs="Arial" w:hint="cs"/>
          <w:sz w:val="16"/>
          <w:szCs w:val="16"/>
          <w:rtl/>
        </w:rPr>
        <w:t xml:space="preserve">) </w:t>
      </w:r>
      <w:r w:rsidRPr="00236A20">
        <w:rPr>
          <w:rFonts w:cs="Arial" w:hint="cs"/>
          <w:rtl/>
        </w:rPr>
        <w:t xml:space="preserve">וטור- </w:t>
      </w:r>
      <w:r w:rsidRPr="00E87AAE">
        <w:rPr>
          <w:rFonts w:cs="Arial"/>
          <w:rtl/>
        </w:rPr>
        <w:t xml:space="preserve">ששאלת שנוהגין לכתוב למטה מן הכתובה </w:t>
      </w:r>
      <w:r>
        <w:rPr>
          <w:rFonts w:cs="Arial" w:hint="cs"/>
          <w:rtl/>
        </w:rPr>
        <w:t>'</w:t>
      </w:r>
      <w:r w:rsidRPr="00E87AAE">
        <w:rPr>
          <w:rFonts w:cs="Arial"/>
          <w:rtl/>
        </w:rPr>
        <w:t>שטר שפלוני החתן נותן לפלונית כך וכך ממון מנכסיו אגב ד"א קרקע באחריות עליו ועל כל נכסיו</w:t>
      </w:r>
      <w:r>
        <w:rPr>
          <w:rFonts w:cs="Arial" w:hint="cs"/>
          <w:rtl/>
        </w:rPr>
        <w:t>'</w:t>
      </w:r>
      <w:r w:rsidRPr="00E87AAE">
        <w:rPr>
          <w:rFonts w:cs="Arial"/>
          <w:rtl/>
        </w:rPr>
        <w:t>, אם נדונית מתנה זו כדין שטר חוב כיון דאית בה אחריות. לא ידעתי במה נסתפקת</w:t>
      </w:r>
      <w:r>
        <w:rPr>
          <w:rFonts w:cs="Arial" w:hint="cs"/>
          <w:rtl/>
        </w:rPr>
        <w:t>,</w:t>
      </w:r>
      <w:r w:rsidRPr="00E87AAE">
        <w:rPr>
          <w:rFonts w:cs="Arial"/>
          <w:rtl/>
        </w:rPr>
        <w:t xml:space="preserve"> למה לא יהא כשאר כל שטר חוב לגבות ממשעבדי, אמנם צריך לדקדק בלשון שרגילין לכתוב אם כותבין </w:t>
      </w:r>
      <w:r>
        <w:rPr>
          <w:rFonts w:cs="Arial" w:hint="cs"/>
          <w:rtl/>
        </w:rPr>
        <w:t>'</w:t>
      </w:r>
      <w:r w:rsidRPr="00E87AAE">
        <w:rPr>
          <w:rFonts w:cs="Arial"/>
          <w:rtl/>
        </w:rPr>
        <w:t>אני נותן לפלוני</w:t>
      </w:r>
      <w:r>
        <w:rPr>
          <w:rFonts w:cs="Arial" w:hint="cs"/>
          <w:rtl/>
        </w:rPr>
        <w:t>ת</w:t>
      </w:r>
      <w:r w:rsidRPr="00E87AAE">
        <w:rPr>
          <w:rFonts w:cs="Arial"/>
          <w:rtl/>
        </w:rPr>
        <w:t xml:space="preserve"> כך וכך מעות אגב קרקע</w:t>
      </w:r>
      <w:r>
        <w:rPr>
          <w:rFonts w:cs="Arial" w:hint="cs"/>
          <w:rtl/>
        </w:rPr>
        <w:t>'</w:t>
      </w:r>
      <w:r w:rsidRPr="00E87AAE">
        <w:rPr>
          <w:rFonts w:cs="Arial"/>
          <w:rtl/>
        </w:rPr>
        <w:t xml:space="preserve"> </w:t>
      </w:r>
      <w:r>
        <w:rPr>
          <w:rFonts w:cs="Arial" w:hint="cs"/>
          <w:rtl/>
        </w:rPr>
        <w:t xml:space="preserve">- </w:t>
      </w:r>
      <w:r w:rsidRPr="00E87AAE">
        <w:rPr>
          <w:rFonts w:cs="Arial"/>
          <w:rtl/>
        </w:rPr>
        <w:t>קונה. ואם בקנין חליפין בלא אגב</w:t>
      </w:r>
      <w:r>
        <w:rPr>
          <w:rFonts w:cs="Arial" w:hint="cs"/>
          <w:rtl/>
        </w:rPr>
        <w:t xml:space="preserve"> -</w:t>
      </w:r>
      <w:r w:rsidRPr="00E87AAE">
        <w:rPr>
          <w:rFonts w:cs="Arial"/>
          <w:rtl/>
        </w:rPr>
        <w:t xml:space="preserve"> מטבע אינו נקנה בחליפין. ואם כותבין חייב אני לה מנה בשטר </w:t>
      </w:r>
      <w:r>
        <w:rPr>
          <w:rFonts w:cs="Arial" w:hint="cs"/>
          <w:rtl/>
        </w:rPr>
        <w:t xml:space="preserve">- </w:t>
      </w:r>
      <w:r w:rsidRPr="00E87AAE">
        <w:rPr>
          <w:rFonts w:cs="Arial"/>
          <w:rtl/>
        </w:rPr>
        <w:t>קונה, כדאיתא בריש פרק הנושא (קא:). אבל רואה אני בשאלתך שנותן לה אגב ארבע אמות קרקע</w:t>
      </w:r>
      <w:r>
        <w:rPr>
          <w:rFonts w:cs="Arial" w:hint="cs"/>
          <w:rtl/>
        </w:rPr>
        <w:t>,</w:t>
      </w:r>
      <w:r w:rsidRPr="00E87AAE">
        <w:rPr>
          <w:rFonts w:cs="Arial"/>
          <w:rtl/>
        </w:rPr>
        <w:t xml:space="preserve"> ואם כן אז היא קונה אפי' לא היה לו המטבע באותה שעה</w:t>
      </w:r>
      <w:r>
        <w:rPr>
          <w:rFonts w:cs="Arial" w:hint="cs"/>
          <w:rtl/>
        </w:rPr>
        <w:t>,</w:t>
      </w:r>
      <w:r w:rsidRPr="00E87AAE">
        <w:rPr>
          <w:rFonts w:cs="Arial"/>
          <w:rtl/>
        </w:rPr>
        <w:t xml:space="preserve"> הרי הודה שהיה לו</w:t>
      </w:r>
      <w:r>
        <w:rPr>
          <w:rFonts w:cs="Arial" w:hint="cs"/>
          <w:rtl/>
        </w:rPr>
        <w:t>,</w:t>
      </w:r>
      <w:r w:rsidRPr="00E87AAE">
        <w:rPr>
          <w:rFonts w:cs="Arial"/>
          <w:rtl/>
        </w:rPr>
        <w:t xml:space="preserve"> והודאת בעל דין כמאה עדים</w:t>
      </w:r>
      <w:r>
        <w:rPr>
          <w:rFonts w:hint="cs"/>
          <w:sz w:val="16"/>
          <w:szCs w:val="16"/>
          <w:rtl/>
        </w:rPr>
        <w:t xml:space="preserve"> </w:t>
      </w:r>
      <w:r w:rsidRPr="00E87AAE">
        <w:rPr>
          <w:rFonts w:hint="cs"/>
          <w:sz w:val="16"/>
          <w:szCs w:val="16"/>
          <w:rtl/>
        </w:rPr>
        <w:t>(ל' הרא"ש)</w:t>
      </w:r>
      <w:r>
        <w:rPr>
          <w:rFonts w:hint="cs"/>
          <w:rtl/>
        </w:rPr>
        <w:t>.</w:t>
      </w:r>
    </w:p>
    <w:p w14:paraId="065D2D54"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A09ECC" w14:textId="77777777" w:rsidR="002E5BAD" w:rsidRDefault="002E5BAD" w:rsidP="002E5BAD">
      <w:pPr>
        <w:rPr>
          <w:rtl/>
        </w:rPr>
      </w:pPr>
      <w:r>
        <w:rPr>
          <w:rFonts w:cs="Arial"/>
          <w:rtl/>
        </w:rPr>
        <w:t xml:space="preserve">המתנה בכתובה שלא ישא אשה אחרת עליה, אינו מתנה על מה שכתוב בתורה. </w:t>
      </w:r>
    </w:p>
    <w:p w14:paraId="0FF8C331" w14:textId="77777777" w:rsidR="002E5BAD" w:rsidRDefault="002E5BAD" w:rsidP="002E5BAD">
      <w:pPr>
        <w:rPr>
          <w:rtl/>
        </w:rPr>
      </w:pPr>
    </w:p>
    <w:p w14:paraId="5564E26D" w14:textId="77777777" w:rsidR="002E5BAD" w:rsidRDefault="002E5BAD" w:rsidP="002E5BAD">
      <w:pPr>
        <w:pStyle w:val="2"/>
        <w:rPr>
          <w:rtl/>
        </w:rPr>
      </w:pPr>
      <w:r>
        <w:rPr>
          <w:rtl/>
        </w:rPr>
        <w:t>סעיף טו</w:t>
      </w:r>
      <w:r>
        <w:rPr>
          <w:rFonts w:hint="cs"/>
          <w:rtl/>
        </w:rPr>
        <w:t xml:space="preserve">: </w:t>
      </w:r>
      <w:r>
        <w:rPr>
          <w:rFonts w:cs="Arial"/>
          <w:rtl/>
        </w:rPr>
        <w:t>הנושא אשה שפסקה מלדת, ונשבע שלא ישא אשה אחרת עליה שלא מרצונה</w:t>
      </w:r>
      <w:r>
        <w:rPr>
          <w:rFonts w:hint="cs"/>
          <w:rtl/>
        </w:rPr>
        <w:t>.</w:t>
      </w:r>
    </w:p>
    <w:p w14:paraId="1A4F4F35" w14:textId="77777777" w:rsidR="002E5BAD" w:rsidRPr="00ED5A2B" w:rsidRDefault="002E5BAD" w:rsidP="002E5BAD">
      <w:pPr>
        <w:rPr>
          <w:u w:val="single"/>
        </w:rPr>
      </w:pPr>
      <w:r w:rsidRPr="00ED5A2B">
        <w:rPr>
          <w:rFonts w:cs="Arial"/>
          <w:u w:val="single"/>
          <w:rtl/>
        </w:rPr>
        <w:t>הנושא אשה שפסקה מלדת, ונשבע שלא ישא אשה אחרת עליה שלא מרצונה</w:t>
      </w:r>
      <w:r>
        <w:rPr>
          <w:rFonts w:hint="cs"/>
          <w:u w:val="single"/>
          <w:rtl/>
        </w:rPr>
        <w:t>:</w:t>
      </w:r>
    </w:p>
    <w:p w14:paraId="6F9E7566"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ח סי' ח</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ששאלת אלמנה שהיתה אמודה בממון</w:t>
      </w:r>
      <w:r>
        <w:rPr>
          <w:rFonts w:cs="Arial" w:hint="cs"/>
          <w:rtl/>
        </w:rPr>
        <w:t>,</w:t>
      </w:r>
      <w:r>
        <w:rPr>
          <w:rFonts w:cs="Arial"/>
          <w:rtl/>
        </w:rPr>
        <w:t xml:space="preserve"> ומפני זה נתן בה שמעון עיניו</w:t>
      </w:r>
      <w:r>
        <w:rPr>
          <w:rFonts w:cs="Arial" w:hint="cs"/>
          <w:rtl/>
        </w:rPr>
        <w:t>,</w:t>
      </w:r>
      <w:r>
        <w:rPr>
          <w:rFonts w:cs="Arial"/>
          <w:rtl/>
        </w:rPr>
        <w:t xml:space="preserve"> ונשאה ונשבע שלא ישא אחרת</w:t>
      </w:r>
      <w:r>
        <w:rPr>
          <w:rFonts w:cs="Arial" w:hint="cs"/>
          <w:rtl/>
        </w:rPr>
        <w:t>.</w:t>
      </w:r>
      <w:r>
        <w:rPr>
          <w:rFonts w:cs="Arial"/>
          <w:rtl/>
        </w:rPr>
        <w:t xml:space="preserve"> וקודם שנשאה פסקה מלדת</w:t>
      </w:r>
      <w:r>
        <w:rPr>
          <w:rFonts w:cs="Arial" w:hint="cs"/>
          <w:rtl/>
        </w:rPr>
        <w:t>,</w:t>
      </w:r>
      <w:r>
        <w:rPr>
          <w:rFonts w:cs="Arial"/>
          <w:rtl/>
        </w:rPr>
        <w:t xml:space="preserve"> וזה ידע שמעון</w:t>
      </w:r>
      <w:r>
        <w:rPr>
          <w:rFonts w:cs="Arial" w:hint="cs"/>
          <w:rtl/>
        </w:rPr>
        <w:t>.</w:t>
      </w:r>
      <w:r>
        <w:rPr>
          <w:rFonts w:cs="Arial"/>
          <w:rtl/>
        </w:rPr>
        <w:t xml:space="preserve"> ואחר שנשאה ידע שלא היה לה ממון</w:t>
      </w:r>
      <w:r>
        <w:rPr>
          <w:rFonts w:cs="Arial" w:hint="cs"/>
          <w:rtl/>
        </w:rPr>
        <w:t>,</w:t>
      </w:r>
      <w:r>
        <w:rPr>
          <w:rFonts w:cs="Arial"/>
          <w:rtl/>
        </w:rPr>
        <w:t xml:space="preserve"> ורוצה לגרשה בטענה שרוצה לקיים פריה ורביה</w:t>
      </w:r>
      <w:r>
        <w:rPr>
          <w:rFonts w:cs="Arial" w:hint="cs"/>
          <w:rtl/>
        </w:rPr>
        <w:t>.</w:t>
      </w:r>
      <w:r>
        <w:rPr>
          <w:rFonts w:cs="Arial"/>
          <w:rtl/>
        </w:rPr>
        <w:t xml:space="preserve"> </w:t>
      </w:r>
      <w:r>
        <w:rPr>
          <w:rFonts w:cs="Arial" w:hint="cs"/>
          <w:rtl/>
        </w:rPr>
        <w:t xml:space="preserve">  </w:t>
      </w:r>
      <w:r>
        <w:rPr>
          <w:rFonts w:cs="Arial"/>
          <w:rtl/>
        </w:rPr>
        <w:t>תשובה</w:t>
      </w:r>
      <w:r>
        <w:rPr>
          <w:rFonts w:cs="Arial" w:hint="cs"/>
          <w:rtl/>
        </w:rPr>
        <w:t>-</w:t>
      </w:r>
      <w:r>
        <w:rPr>
          <w:rFonts w:cs="Arial"/>
          <w:rtl/>
        </w:rPr>
        <w:t xml:space="preserve"> אין טענתו טענה</w:t>
      </w:r>
      <w:r>
        <w:rPr>
          <w:rFonts w:cs="Arial" w:hint="cs"/>
          <w:rtl/>
        </w:rPr>
        <w:t>,</w:t>
      </w:r>
      <w:r>
        <w:rPr>
          <w:rFonts w:cs="Arial"/>
          <w:rtl/>
        </w:rPr>
        <w:t xml:space="preserve"> ואין יכולין להתיר לו שבועתו שלא מדעתה</w:t>
      </w:r>
      <w:r>
        <w:rPr>
          <w:rFonts w:cs="Arial" w:hint="cs"/>
          <w:rtl/>
        </w:rPr>
        <w:t>.</w:t>
      </w:r>
      <w:r>
        <w:rPr>
          <w:rFonts w:cs="Arial"/>
          <w:rtl/>
        </w:rPr>
        <w:t xml:space="preserve"> </w:t>
      </w:r>
      <w:r w:rsidRPr="00797BAD">
        <w:rPr>
          <w:rFonts w:hint="cs"/>
          <w:color w:val="E36C0A" w:themeColor="accent6" w:themeShade="BF"/>
          <w:rtl/>
        </w:rPr>
        <w:t>(וכ"פ בשו"ע)</w:t>
      </w:r>
    </w:p>
    <w:p w14:paraId="2D0ABF65" w14:textId="77777777" w:rsidR="002E5BAD" w:rsidRPr="00C11087" w:rsidRDefault="002E5BAD" w:rsidP="002E5BAD">
      <w:pPr>
        <w:rPr>
          <w:u w:val="single"/>
        </w:rPr>
      </w:pPr>
      <w:r w:rsidRPr="00C11087">
        <w:rPr>
          <w:rFonts w:cs="Arial"/>
          <w:u w:val="single"/>
          <w:rtl/>
        </w:rPr>
        <w:t>כתב לאשתו שלא ישא אשה אחרת עליה שלא מרצונה ואם יעבור</w:t>
      </w:r>
      <w:r w:rsidRPr="00C11087">
        <w:rPr>
          <w:rFonts w:hint="cs"/>
          <w:u w:val="single"/>
          <w:rtl/>
        </w:rPr>
        <w:t xml:space="preserve"> יתן לה כך וכך:</w:t>
      </w:r>
    </w:p>
    <w:p w14:paraId="105D4A8E" w14:textId="77777777" w:rsidR="002E5BAD" w:rsidRPr="00213780" w:rsidRDefault="002E5BAD" w:rsidP="00B75458">
      <w:pPr>
        <w:pStyle w:val="ab"/>
        <w:numPr>
          <w:ilvl w:val="0"/>
          <w:numId w:val="204"/>
        </w:numPr>
        <w:rPr>
          <w:rtl/>
        </w:rPr>
      </w:pPr>
      <w:r w:rsidRPr="00ED5A2B">
        <w:rPr>
          <w:rFonts w:cs="Arial"/>
          <w:rtl/>
        </w:rPr>
        <w:t xml:space="preserve">תשב"ץ </w:t>
      </w:r>
      <w:r w:rsidRPr="00C11087">
        <w:rPr>
          <w:rFonts w:cs="Arial" w:hint="cs"/>
          <w:sz w:val="16"/>
          <w:szCs w:val="16"/>
          <w:rtl/>
        </w:rPr>
        <w:t>(</w:t>
      </w:r>
      <w:r w:rsidRPr="00C11087">
        <w:rPr>
          <w:rFonts w:cs="Arial"/>
          <w:sz w:val="16"/>
          <w:szCs w:val="16"/>
          <w:rtl/>
        </w:rPr>
        <w:t>ח"א סי' צד)</w:t>
      </w:r>
      <w:r>
        <w:rPr>
          <w:rFonts w:cs="Arial" w:hint="cs"/>
          <w:rtl/>
        </w:rPr>
        <w:t>-</w:t>
      </w:r>
      <w:r w:rsidRPr="00ED5A2B">
        <w:rPr>
          <w:rFonts w:cs="Arial"/>
          <w:rtl/>
        </w:rPr>
        <w:t xml:space="preserve"> ראובן כתב לאשתו שלא ישא אשה אחרת עליה שלא מרצונה ואם יעבור וישא יתן לה כתובה תוספת ונדוניא דמסתמא בכל ענין היה התנאי ואפילו שהתה עמו עשר שנים ולא ילדה ואין זה מתנה על מה שכתוב בתורה שהוא לא התנה שלא ישא אשה אחרת לעולם אלא שלא ישאנה שלא מרצונה הא אם תתרצה יכול לישא ויכול לפייסה במעות שתרצה או לפרוע לה כתובתה</w:t>
      </w:r>
      <w:r w:rsidRPr="00ED5A2B">
        <w:rPr>
          <w:rFonts w:cs="Arial" w:hint="cs"/>
          <w:rtl/>
        </w:rPr>
        <w:t>.</w:t>
      </w:r>
    </w:p>
    <w:p w14:paraId="6601DA4A"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202544" w14:textId="77777777" w:rsidR="002E5BAD" w:rsidRDefault="002E5BAD" w:rsidP="002E5BAD">
      <w:pPr>
        <w:rPr>
          <w:rFonts w:cs="Arial"/>
          <w:rtl/>
        </w:rPr>
      </w:pPr>
      <w:r>
        <w:rPr>
          <w:rFonts w:cs="Arial"/>
          <w:rtl/>
        </w:rPr>
        <w:t xml:space="preserve">הנושא אשה שפסקה מלדת, ונשבע שלא ישא אשה אחרת עליה שלא מרצונה, אין יכולים להתיר לו שבועתו שלא מדעתה. </w:t>
      </w:r>
    </w:p>
    <w:p w14:paraId="1C42A07C" w14:textId="77777777" w:rsidR="002E5BAD" w:rsidRDefault="002E5BAD" w:rsidP="002E5BAD">
      <w:pPr>
        <w:rPr>
          <w:rtl/>
        </w:rPr>
      </w:pPr>
    </w:p>
    <w:p w14:paraId="43137569" w14:textId="77777777" w:rsidR="002E5BAD" w:rsidRDefault="002E5BAD" w:rsidP="002E5BAD">
      <w:pPr>
        <w:pStyle w:val="2"/>
        <w:rPr>
          <w:rtl/>
        </w:rPr>
      </w:pPr>
      <w:r>
        <w:rPr>
          <w:rtl/>
        </w:rPr>
        <w:lastRenderedPageBreak/>
        <w:t>סעיף טז</w:t>
      </w:r>
      <w:r>
        <w:rPr>
          <w:rFonts w:hint="cs"/>
          <w:rtl/>
        </w:rPr>
        <w:t xml:space="preserve">: </w:t>
      </w:r>
      <w:r>
        <w:rPr>
          <w:rFonts w:cs="Arial"/>
          <w:rtl/>
        </w:rPr>
        <w:t>מי שנשבע לתת לחבירו חצי מה שירויח, ו</w:t>
      </w:r>
      <w:r>
        <w:rPr>
          <w:rFonts w:cs="Arial" w:hint="cs"/>
          <w:rtl/>
        </w:rPr>
        <w:t>לא י</w:t>
      </w:r>
      <w:r>
        <w:rPr>
          <w:rFonts w:cs="Arial"/>
          <w:rtl/>
        </w:rPr>
        <w:t xml:space="preserve">ספיק לפרנסת אשתו אם </w:t>
      </w:r>
      <w:r>
        <w:rPr>
          <w:rFonts w:cs="Arial" w:hint="cs"/>
          <w:rtl/>
        </w:rPr>
        <w:t>יעשה כן.</w:t>
      </w:r>
    </w:p>
    <w:p w14:paraId="5C8C181B" w14:textId="77777777" w:rsidR="002E5BAD" w:rsidRPr="00C17263" w:rsidRDefault="002E5BAD" w:rsidP="002E5BAD">
      <w:pPr>
        <w:rPr>
          <w:u w:val="single"/>
          <w:rtl/>
        </w:rPr>
      </w:pPr>
      <w:r w:rsidRPr="00C17263">
        <w:rPr>
          <w:rFonts w:cs="Arial"/>
          <w:u w:val="single"/>
          <w:rtl/>
        </w:rPr>
        <w:t>מי שנשבע לתת לחבירו חצי מה שירויח, ו</w:t>
      </w:r>
      <w:r>
        <w:rPr>
          <w:rFonts w:cs="Arial" w:hint="cs"/>
          <w:u w:val="single"/>
          <w:rtl/>
        </w:rPr>
        <w:t>הממון לא י</w:t>
      </w:r>
      <w:r w:rsidRPr="00C17263">
        <w:rPr>
          <w:rFonts w:cs="Arial"/>
          <w:u w:val="single"/>
          <w:rtl/>
        </w:rPr>
        <w:t>ספיק לפרנסת אשתו אם יתן לזה חצי מה שמרויח</w:t>
      </w:r>
      <w:r w:rsidRPr="00C17263">
        <w:rPr>
          <w:rFonts w:hint="cs"/>
          <w:u w:val="single"/>
          <w:rtl/>
        </w:rPr>
        <w:t>:</w:t>
      </w:r>
    </w:p>
    <w:p w14:paraId="0585B148" w14:textId="77777777" w:rsidR="002E5BAD" w:rsidRDefault="002E5BAD" w:rsidP="00B75458">
      <w:pPr>
        <w:pStyle w:val="ab"/>
        <w:numPr>
          <w:ilvl w:val="0"/>
          <w:numId w:val="204"/>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ח סי' יח</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ששאלת ראובן חייט נשבע ליתן לשמעון חצי מה שירויח ועתה אין מספיק לראובן לפרנס אשתו באותו החצי שהרויח ואשתו תובעת מזונות או שיכפו לגרשה וכתבת שיש מי שאומר כיון שהוא משועבד לאשתו לזונה לא היה יכול לישבע ליתן חצי מה שירויח לאחר והוי שבועה לבטלה תשובה אין בדבריה כלום דאפי' אם מוכר אדם נכסיו אין מוציאין מהן למזון האשה והבנות כ"ש אם שיעבד גופו דאין שיעבוד חל על גופו של אדם בשום ממון שהוא חייב ואלמלא השבועה לא היתה המתנה כלום כי נתן לו דבר שלא בא לעולם אבל בשביל השבועה שנשבע צריך לקיימה</w:t>
      </w:r>
      <w:r>
        <w:rPr>
          <w:rFonts w:cs="Arial" w:hint="cs"/>
          <w:rtl/>
        </w:rPr>
        <w:t>.</w:t>
      </w:r>
      <w:r>
        <w:rPr>
          <w:rFonts w:cs="Arial"/>
          <w:rtl/>
        </w:rPr>
        <w:t xml:space="preserve"> </w:t>
      </w:r>
      <w:r w:rsidRPr="00797BAD">
        <w:rPr>
          <w:rFonts w:hint="cs"/>
          <w:color w:val="E36C0A" w:themeColor="accent6" w:themeShade="BF"/>
          <w:rtl/>
        </w:rPr>
        <w:t>(וכ"פ בשו"ע)</w:t>
      </w:r>
    </w:p>
    <w:p w14:paraId="74EED917" w14:textId="77777777" w:rsidR="002E5BAD" w:rsidRPr="000A6EB7" w:rsidRDefault="002E5BAD" w:rsidP="002E5BAD">
      <w:r>
        <w:rPr>
          <w:rFonts w:hint="cs"/>
          <w:u w:val="single"/>
          <w:rtl/>
        </w:rPr>
        <w:t>שתי תשובות על יהודים שנהרגו בדרך, כיצד אפשר להתיר נשותיהם</w:t>
      </w:r>
      <w:r w:rsidRPr="00C17263">
        <w:rPr>
          <w:rStyle w:val="a7"/>
          <w:rFonts w:cs="Arial"/>
          <w:u w:val="single"/>
          <w:rtl/>
        </w:rPr>
        <w:footnoteReference w:id="3279"/>
      </w:r>
      <w:r w:rsidRPr="000A6EB7">
        <w:rPr>
          <w:rFonts w:hint="cs"/>
          <w:u w:val="single"/>
          <w:rtl/>
        </w:rPr>
        <w:t>:</w:t>
      </w:r>
    </w:p>
    <w:p w14:paraId="0A0B4191" w14:textId="77777777" w:rsidR="002E5BAD" w:rsidRPr="00C17263"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נא סי' ז</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וששאלת על יהודים שנהרגו בדרך ולסוף ט"ו ימים מצאו והכירו ראשו של אחד מהם שהיה עדיין שלם בסימנים מובהקים ושאר הגוף אכלוהו חיות תשובה דע כי אינו עדות להתיר את אשתו דתנן בפרק האשה בתרא אין מעידין אלא על פרצוף פנים עם החוטם ואין מעידין אלא עד ג' ימים כי המת משתנה אחר ג' ימים ואותן שמצאו רגלו והכירו הבתי שוקים כי היו שלו סימן מלבושיו לא הוי סימן שפעמים משאיל אדם מלבושיו לאחרים ועכו"ם שאומר שהוא ועכו"ם אחרים הרגו ואומרים הסימנים שהיו בכל אחד ואחד ושמותם לא ידע הא תנן אין מעידין על סימני הגוף כגון ארוך או קטן או חיור או סומק לא הוי סימן אבל אם אמר סימן מובהק כגון שהיה חסר אחד מאיבריו או יותר ברגליו או בידיו או שום שינוי בא' מאיבריו סומכין עליו</w:t>
      </w:r>
      <w:r>
        <w:rPr>
          <w:rFonts w:cs="Arial" w:hint="cs"/>
          <w:rtl/>
        </w:rPr>
        <w:t>.</w:t>
      </w:r>
    </w:p>
    <w:p w14:paraId="6CDF150A" w14:textId="77777777" w:rsidR="002E5BAD" w:rsidRDefault="002E5BAD" w:rsidP="00B75458">
      <w:pPr>
        <w:pStyle w:val="ab"/>
        <w:numPr>
          <w:ilvl w:val="0"/>
          <w:numId w:val="204"/>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נא סי' ב</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עדות על תלמיד אחד שמת והתיר א"א הרא"ש ז"ל את אשתו ואת גיסתו</w:t>
      </w:r>
      <w:r>
        <w:rPr>
          <w:rStyle w:val="a7"/>
          <w:rFonts w:cs="Arial"/>
          <w:rtl/>
        </w:rPr>
        <w:footnoteReference w:id="3280"/>
      </w:r>
      <w:r>
        <w:rPr>
          <w:rFonts w:cs="Arial"/>
          <w:rtl/>
        </w:rPr>
        <w:t xml:space="preserve"> בהיותי במיורקא ראיתי תלמיד אחד והראה לי אגרת חתומה בחתימת מורינו הרא"ש ז"ל והיה כתוב שמו של התלמיד אשר וסיפר לי שהוא בא מטוליטולא ושלמד לפני מורינו רבי אשר והראה לי תוספות מקצת מסכתות שחבר מורינו הרב הנזכר ולפי הדבר שהגיד ומצאתי אמת נתברר לי שבא מטוליטולא ויצא ממנו ללכת לארצו אח"כ בא תלמיד א' ושמו ר' שמואל ובמל"ת אמר תלמיד חשוב אשכנזי שפירש מכאן ושמו רבי אשר ולמד לפני הרב רבי אשר ז"ל בא בציציליא בעיר שהייתי ונתאכסן עמי והיה עמי יום או יומים ואח"כ נטל רשות ללכת ופטרתי אותו בלויה וראיתי שנפל בדרך ואמרתי לו תחזור כיון שאתה חולה ולא רצה לחזור אחר ימים מועטים בא אלי המגיד והגיד לי שאותו תלמיד היה חולה נוטה למות והלכתי שם לבקרו ואני החזקתיהו בדברים ובמה שיכולתי ולא הועיל ואחר זמן מועט נפטר לבית עולמו ועשיתי לו כבוד גדול במותו וקברו אותו</w:t>
      </w:r>
      <w:r>
        <w:rPr>
          <w:rFonts w:cs="Arial" w:hint="cs"/>
          <w:rtl/>
        </w:rPr>
        <w:t>.</w:t>
      </w:r>
      <w:r>
        <w:rPr>
          <w:rFonts w:cs="Arial"/>
          <w:rtl/>
        </w:rPr>
        <w:t xml:space="preserve"> יראה לי שאשתו של ר' אשר מותרת לינשא בעדות זו כדאיתא בהדיא בשילהי יבמות מעשה באדם אחד שבא להעיד עדות אשה לפני חכמים אמרו לו בני היאך אתה יודע בעדות זו אמר להם אני והוא מהלכים בדרך ורדפו אחרינו עכו"ם ונתלה ביחור של תאנה ופשחו והחזיר את העכו"ם לאחריו אמרתי לו יישר כחך אריה א"ל מנין אתה יודע שכך קורין אותי בעירי יוחנן בן יונתן ארי' דמכפר שיחיא לימים חלה ומת והשיאו חכמים את אשתו אלמא אף על פי שלא הכירו אלא ע"י שסיפר לו שמו ושם מקומו התירו את אשתו וכן בנדון זה שהגיד להם שמו ושלמד הנה אצלינו והראה להם תוספות שידוע לנו שהוליכם עמו מכאן הרי נתברר לנו שאותו ר' אשר שיצא מכאן ומת ואנו מעידים וידוע לכל בני חבורתינו שמיום בואו לכאן לא בא שום אדם ללמוד לכאן ששמו ר' אשר אלא אותו רבי אשר בר רב סיני והוא היה מארץ רוסיא ובא לכאן עם בחור אחד ששמו ר' יהונתן לפיכך כיון שידוע לנו שרבי אשר בא מארצו ולמד פה אצלנו והועד עליו שמת אשתו מותרת</w:t>
      </w:r>
      <w:r>
        <w:rPr>
          <w:rFonts w:cs="Arial" w:hint="cs"/>
          <w:rtl/>
        </w:rPr>
        <w:t>.</w:t>
      </w:r>
    </w:p>
    <w:p w14:paraId="453717C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97B336" w14:textId="77777777" w:rsidR="002E5BAD" w:rsidRDefault="002E5BAD" w:rsidP="002E5BAD">
      <w:pPr>
        <w:rPr>
          <w:rFonts w:cs="Arial"/>
          <w:rtl/>
        </w:rPr>
      </w:pPr>
      <w:r>
        <w:rPr>
          <w:rFonts w:cs="Arial"/>
          <w:rtl/>
        </w:rPr>
        <w:t>מי שנשבע לתת לחבירו חצי מה שירויח, ואינו מספיק לפרנסת אשתו אם יתן לזה חצי מה שמרויח, א</w:t>
      </w:r>
      <w:r>
        <w:rPr>
          <w:rFonts w:cs="Arial" w:hint="cs"/>
          <w:rtl/>
        </w:rPr>
        <w:t xml:space="preserve">ף על פי </w:t>
      </w:r>
      <w:r>
        <w:rPr>
          <w:rFonts w:cs="Arial"/>
          <w:rtl/>
        </w:rPr>
        <w:t>כ</w:t>
      </w:r>
      <w:r>
        <w:rPr>
          <w:rFonts w:cs="Arial" w:hint="cs"/>
          <w:rtl/>
        </w:rPr>
        <w:t>ן</w:t>
      </w:r>
      <w:r>
        <w:rPr>
          <w:rFonts w:cs="Arial"/>
          <w:rtl/>
        </w:rPr>
        <w:t xml:space="preserve"> צריך לקיים שבועתו. </w:t>
      </w:r>
    </w:p>
    <w:p w14:paraId="6FC305DE" w14:textId="77777777" w:rsidR="002E5BAD" w:rsidRDefault="002E5BAD" w:rsidP="002E5BAD">
      <w:pPr>
        <w:rPr>
          <w:rtl/>
        </w:rPr>
      </w:pPr>
    </w:p>
    <w:p w14:paraId="27C4FB2E" w14:textId="77777777" w:rsidR="002E5BAD" w:rsidRDefault="002E5BAD" w:rsidP="002E5BAD">
      <w:pPr>
        <w:pStyle w:val="2"/>
        <w:rPr>
          <w:rtl/>
        </w:rPr>
      </w:pPr>
      <w:r>
        <w:rPr>
          <w:rtl/>
        </w:rPr>
        <w:t>סעיף יז</w:t>
      </w:r>
      <w:r>
        <w:rPr>
          <w:rFonts w:hint="cs"/>
          <w:rtl/>
        </w:rPr>
        <w:t xml:space="preserve">: </w:t>
      </w:r>
      <w:r>
        <w:rPr>
          <w:rFonts w:cs="Arial"/>
          <w:rtl/>
        </w:rPr>
        <w:t>אשה שמחלה כתובתה ונדוניתה לבעלה, ואחר כך טענה שבאונס מחלה</w:t>
      </w:r>
      <w:r>
        <w:rPr>
          <w:rFonts w:hint="cs"/>
          <w:rtl/>
        </w:rPr>
        <w:t>.</w:t>
      </w:r>
    </w:p>
    <w:p w14:paraId="4AE4CBFB" w14:textId="77777777" w:rsidR="002E5BAD" w:rsidRPr="00C17263" w:rsidRDefault="002E5BAD" w:rsidP="002E5BAD">
      <w:pPr>
        <w:rPr>
          <w:u w:val="single"/>
          <w:rtl/>
        </w:rPr>
      </w:pPr>
      <w:r w:rsidRPr="00C17263">
        <w:rPr>
          <w:rFonts w:cs="Arial"/>
          <w:u w:val="single"/>
          <w:rtl/>
        </w:rPr>
        <w:t>אשה שמחלה כתובתה ונדוניתה לבעלה, ואחר כך טענה שבאונס מחלה</w:t>
      </w:r>
      <w:r w:rsidRPr="00C17263">
        <w:rPr>
          <w:rFonts w:hint="cs"/>
          <w:u w:val="single"/>
          <w:rtl/>
        </w:rPr>
        <w:t>:</w:t>
      </w:r>
    </w:p>
    <w:p w14:paraId="467245D5" w14:textId="77777777" w:rsidR="002E5BAD" w:rsidRPr="00213780" w:rsidRDefault="002E5BAD" w:rsidP="00B75458">
      <w:pPr>
        <w:pStyle w:val="ab"/>
        <w:numPr>
          <w:ilvl w:val="0"/>
          <w:numId w:val="204"/>
        </w:numPr>
        <w:rPr>
          <w:rtl/>
        </w:rPr>
      </w:pPr>
      <w:r w:rsidRPr="00236A20">
        <w:rPr>
          <w:rFonts w:cs="Arial" w:hint="cs"/>
          <w:rtl/>
        </w:rPr>
        <w:lastRenderedPageBreak/>
        <w:t xml:space="preserve">רא"ש </w:t>
      </w:r>
      <w:r w:rsidRPr="00236A20">
        <w:rPr>
          <w:rFonts w:cs="Arial" w:hint="cs"/>
          <w:sz w:val="16"/>
          <w:szCs w:val="16"/>
          <w:rtl/>
        </w:rPr>
        <w:t xml:space="preserve">(כלל </w:t>
      </w:r>
      <w:r>
        <w:rPr>
          <w:rFonts w:cs="Arial" w:hint="cs"/>
          <w:sz w:val="16"/>
          <w:szCs w:val="16"/>
          <w:rtl/>
        </w:rPr>
        <w:t>לח סי' ז</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וששאלת אשה שמחלה כתובתה ונדוניתה לבעלה מחילה גמורה</w:t>
      </w:r>
      <w:r>
        <w:rPr>
          <w:rFonts w:cs="Arial" w:hint="cs"/>
          <w:rtl/>
        </w:rPr>
        <w:t>.</w:t>
      </w:r>
      <w:r>
        <w:rPr>
          <w:rFonts w:cs="Arial"/>
          <w:rtl/>
        </w:rPr>
        <w:t xml:space="preserve"> והיא טוענת שעשתה המחילה מפני שהיה מגזם לה לגרשה או לישא אחרת מפני שאינה יולדת</w:t>
      </w:r>
      <w:r>
        <w:rPr>
          <w:rFonts w:cs="Arial" w:hint="cs"/>
          <w:rtl/>
        </w:rPr>
        <w:t xml:space="preserve"> -</w:t>
      </w:r>
      <w:r>
        <w:rPr>
          <w:rFonts w:cs="Arial"/>
          <w:rtl/>
        </w:rPr>
        <w:t xml:space="preserve"> אין זה טענת אונס לבטל המחילה</w:t>
      </w:r>
      <w:r>
        <w:rPr>
          <w:rFonts w:cs="Arial" w:hint="cs"/>
          <w:rtl/>
        </w:rPr>
        <w:t>,</w:t>
      </w:r>
      <w:r>
        <w:rPr>
          <w:rFonts w:cs="Arial"/>
          <w:rtl/>
        </w:rPr>
        <w:t xml:space="preserve"> כי בדין היה עושה לישא אחרת כדי לקיים מצות פריה ורביה</w:t>
      </w:r>
      <w:r>
        <w:rPr>
          <w:rFonts w:cs="Arial" w:hint="cs"/>
          <w:rtl/>
        </w:rPr>
        <w:t>,</w:t>
      </w:r>
      <w:r>
        <w:rPr>
          <w:rFonts w:cs="Arial"/>
          <w:rtl/>
        </w:rPr>
        <w:t xml:space="preserve"> והיא שיחדתו בממונה מלישא אחרת</w:t>
      </w:r>
      <w:r>
        <w:rPr>
          <w:rFonts w:cs="Arial" w:hint="cs"/>
          <w:rtl/>
        </w:rPr>
        <w:t>.</w:t>
      </w:r>
      <w:r>
        <w:rPr>
          <w:rFonts w:cs="Arial"/>
          <w:rtl/>
        </w:rPr>
        <w:t xml:space="preserve"> ועוד שאין האונס ידוע ולא מסרה מודעה מעיקרא</w:t>
      </w:r>
      <w:r>
        <w:rPr>
          <w:rFonts w:cs="Arial" w:hint="cs"/>
          <w:rtl/>
        </w:rPr>
        <w:t>.</w:t>
      </w:r>
      <w:r w:rsidRPr="00C17263">
        <w:rPr>
          <w:rFonts w:hint="cs"/>
          <w:color w:val="E36C0A" w:themeColor="accent6" w:themeShade="BF"/>
          <w:rtl/>
        </w:rPr>
        <w:t xml:space="preserve"> </w:t>
      </w:r>
      <w:r w:rsidRPr="00797BAD">
        <w:rPr>
          <w:rFonts w:hint="cs"/>
          <w:color w:val="E36C0A" w:themeColor="accent6" w:themeShade="BF"/>
          <w:rtl/>
        </w:rPr>
        <w:t>(וכ"פ בשו"ע)</w:t>
      </w:r>
    </w:p>
    <w:p w14:paraId="28EDDA91"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E6AC84" w14:textId="77777777" w:rsidR="002E5BAD" w:rsidRDefault="002E5BAD" w:rsidP="002E5BAD">
      <w:pPr>
        <w:rPr>
          <w:rFonts w:cs="Arial"/>
          <w:rtl/>
        </w:rPr>
      </w:pPr>
      <w:r>
        <w:rPr>
          <w:rFonts w:cs="Arial"/>
          <w:rtl/>
        </w:rPr>
        <w:t xml:space="preserve">אשה שמחלה כתובתה ונדוניתה לבעלה, ואחר כך טענה שבאונס מחלה מפני שהיה מגזם עליה לגרשה או לישא אחרת מפני שאינה יולדת, אין זה טענת אונס לבטל המחילה. </w:t>
      </w:r>
    </w:p>
    <w:p w14:paraId="7775147F" w14:textId="77777777" w:rsidR="002E5BAD" w:rsidRDefault="002E5BAD" w:rsidP="002E5BAD">
      <w:pPr>
        <w:rPr>
          <w:rtl/>
        </w:rPr>
      </w:pPr>
    </w:p>
    <w:p w14:paraId="61A05674" w14:textId="77777777" w:rsidR="002E5BAD" w:rsidRDefault="002E5BAD" w:rsidP="002E5BAD">
      <w:pPr>
        <w:pStyle w:val="2"/>
        <w:rPr>
          <w:rtl/>
        </w:rPr>
      </w:pPr>
      <w:r>
        <w:rPr>
          <w:rtl/>
        </w:rPr>
        <w:t>סעיף יח</w:t>
      </w:r>
      <w:r>
        <w:rPr>
          <w:rFonts w:hint="cs"/>
          <w:rtl/>
        </w:rPr>
        <w:t>:</w:t>
      </w:r>
      <w:r w:rsidRPr="00C17263">
        <w:rPr>
          <w:rFonts w:cs="Arial"/>
          <w:rtl/>
        </w:rPr>
        <w:t xml:space="preserve"> </w:t>
      </w:r>
      <w:r>
        <w:rPr>
          <w:rFonts w:cs="Arial"/>
          <w:rtl/>
        </w:rPr>
        <w:t xml:space="preserve">אלמנה שגבתה כל הנכסים בכתובתה, </w:t>
      </w:r>
      <w:r>
        <w:rPr>
          <w:rFonts w:cs="Arial" w:hint="cs"/>
          <w:rtl/>
        </w:rPr>
        <w:t>האם</w:t>
      </w:r>
      <w:r>
        <w:rPr>
          <w:rFonts w:cs="Arial"/>
          <w:rtl/>
        </w:rPr>
        <w:t xml:space="preserve"> חייבת בקבורת בעלה</w:t>
      </w:r>
      <w:r>
        <w:rPr>
          <w:rFonts w:cs="Arial" w:hint="cs"/>
          <w:rtl/>
        </w:rPr>
        <w:t>.</w:t>
      </w:r>
    </w:p>
    <w:p w14:paraId="5F2185F7" w14:textId="77777777" w:rsidR="002E5BAD" w:rsidRPr="00C17263" w:rsidRDefault="002E5BAD" w:rsidP="002E5BAD">
      <w:pPr>
        <w:rPr>
          <w:u w:val="single"/>
          <w:rtl/>
        </w:rPr>
      </w:pPr>
      <w:r w:rsidRPr="00C17263">
        <w:rPr>
          <w:rFonts w:cs="Arial"/>
          <w:u w:val="single"/>
          <w:rtl/>
        </w:rPr>
        <w:t>אלמנה שגבתה כל הנכסים בכתובתה</w:t>
      </w:r>
      <w:r>
        <w:rPr>
          <w:rFonts w:cs="Arial" w:hint="cs"/>
          <w:u w:val="single"/>
          <w:rtl/>
        </w:rPr>
        <w:t xml:space="preserve"> </w:t>
      </w:r>
      <w:r>
        <w:rPr>
          <w:rFonts w:cs="Arial"/>
          <w:u w:val="single"/>
          <w:rtl/>
        </w:rPr>
        <w:t>–</w:t>
      </w:r>
      <w:r>
        <w:rPr>
          <w:rFonts w:cs="Arial" w:hint="cs"/>
          <w:u w:val="single"/>
          <w:rtl/>
        </w:rPr>
        <w:t xml:space="preserve"> האם </w:t>
      </w:r>
      <w:r w:rsidRPr="00C17263">
        <w:rPr>
          <w:rFonts w:cs="Arial"/>
          <w:u w:val="single"/>
          <w:rtl/>
        </w:rPr>
        <w:t>חייבת בקבורת בעלה</w:t>
      </w:r>
      <w:r w:rsidRPr="00C17263">
        <w:rPr>
          <w:rFonts w:hint="cs"/>
          <w:u w:val="single"/>
          <w:rtl/>
        </w:rPr>
        <w:t>:</w:t>
      </w:r>
    </w:p>
    <w:p w14:paraId="241D4F2A" w14:textId="77777777" w:rsidR="002E5BAD" w:rsidRPr="00C17263" w:rsidRDefault="002E5BAD" w:rsidP="00B75458">
      <w:pPr>
        <w:pStyle w:val="ab"/>
        <w:numPr>
          <w:ilvl w:val="0"/>
          <w:numId w:val="204"/>
        </w:numPr>
        <w:rPr>
          <w:color w:val="000000" w:themeColor="text1"/>
          <w:rtl/>
        </w:rPr>
      </w:pPr>
      <w:r w:rsidRPr="00C17263">
        <w:rPr>
          <w:rFonts w:cs="Arial"/>
          <w:color w:val="000000" w:themeColor="text1"/>
          <w:rtl/>
        </w:rPr>
        <w:t xml:space="preserve">רא"ש </w:t>
      </w:r>
      <w:r w:rsidRPr="00C17263">
        <w:rPr>
          <w:rFonts w:cs="Arial" w:hint="cs"/>
          <w:color w:val="000000" w:themeColor="text1"/>
          <w:sz w:val="16"/>
          <w:szCs w:val="16"/>
          <w:rtl/>
        </w:rPr>
        <w:t>(</w:t>
      </w:r>
      <w:r w:rsidRPr="00C17263">
        <w:rPr>
          <w:rFonts w:cs="Arial"/>
          <w:color w:val="000000" w:themeColor="text1"/>
          <w:sz w:val="16"/>
          <w:szCs w:val="16"/>
          <w:rtl/>
        </w:rPr>
        <w:t>כלל טו סי' ג</w:t>
      </w:r>
      <w:r w:rsidRPr="00C17263">
        <w:rPr>
          <w:rFonts w:cs="Arial" w:hint="cs"/>
          <w:color w:val="000000" w:themeColor="text1"/>
          <w:sz w:val="16"/>
          <w:szCs w:val="16"/>
          <w:rtl/>
        </w:rPr>
        <w:t>)</w:t>
      </w:r>
      <w:r w:rsidRPr="00C17263">
        <w:rPr>
          <w:rFonts w:cs="Arial" w:hint="cs"/>
          <w:color w:val="000000" w:themeColor="text1"/>
          <w:rtl/>
        </w:rPr>
        <w:t>-</w:t>
      </w:r>
      <w:r w:rsidRPr="00C17263">
        <w:rPr>
          <w:rFonts w:cs="Arial"/>
          <w:color w:val="000000" w:themeColor="text1"/>
          <w:rtl/>
        </w:rPr>
        <w:t xml:space="preserve"> פסק רבי מאיר הלוי דאלמנה שגבתה כל הנכסים בכתובתה אינה חייבת בקבורת בעלה</w:t>
      </w:r>
      <w:r w:rsidRPr="00C17263">
        <w:rPr>
          <w:rStyle w:val="a7"/>
          <w:rFonts w:cs="Arial"/>
          <w:color w:val="000000" w:themeColor="text1"/>
          <w:rtl/>
        </w:rPr>
        <w:footnoteReference w:id="3281"/>
      </w:r>
      <w:r w:rsidRPr="00C17263">
        <w:rPr>
          <w:rFonts w:cs="Arial" w:hint="cs"/>
          <w:color w:val="000000" w:themeColor="text1"/>
          <w:rtl/>
        </w:rPr>
        <w:t>.</w:t>
      </w:r>
      <w:r w:rsidRPr="00C17263">
        <w:rPr>
          <w:rFonts w:cs="Arial"/>
          <w:color w:val="000000" w:themeColor="text1"/>
          <w:rtl/>
        </w:rPr>
        <w:t xml:space="preserve"> </w:t>
      </w:r>
      <w:r w:rsidRPr="00C17263">
        <w:rPr>
          <w:rFonts w:hint="cs"/>
          <w:color w:val="E36C0A" w:themeColor="accent6" w:themeShade="BF"/>
          <w:rtl/>
        </w:rPr>
        <w:t>(וכ"פ בשו"ע)</w:t>
      </w:r>
    </w:p>
    <w:p w14:paraId="1372D075"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B3D5F2" w14:textId="77777777" w:rsidR="002E5BAD" w:rsidRDefault="002E5BAD" w:rsidP="002E5BAD">
      <w:pPr>
        <w:rPr>
          <w:rFonts w:cs="Arial"/>
          <w:sz w:val="18"/>
          <w:szCs w:val="18"/>
          <w:rtl/>
        </w:rPr>
      </w:pPr>
      <w:r>
        <w:rPr>
          <w:rFonts w:cs="Arial"/>
          <w:rtl/>
        </w:rPr>
        <w:t xml:space="preserve">אלמנה שגבתה כל הנכסים בכתובתה, אינה חייבת בקבורת בעלה. </w:t>
      </w:r>
      <w:r w:rsidRPr="00213780">
        <w:rPr>
          <w:rFonts w:cs="Arial"/>
          <w:sz w:val="18"/>
          <w:szCs w:val="18"/>
          <w:rtl/>
        </w:rPr>
        <w:t>הגה: ואפילו אין כאן רק כדי קבורה, היא גובאת כתובתה והוא נקבר מקופה של צדקה (רא"ש כלל טו</w:t>
      </w:r>
      <w:r>
        <w:rPr>
          <w:rFonts w:cs="Arial" w:hint="cs"/>
          <w:sz w:val="18"/>
          <w:szCs w:val="18"/>
          <w:rtl/>
        </w:rPr>
        <w:t>,</w:t>
      </w:r>
      <w:r w:rsidRPr="00213780">
        <w:rPr>
          <w:rFonts w:cs="Arial"/>
          <w:sz w:val="18"/>
          <w:szCs w:val="18"/>
          <w:rtl/>
        </w:rPr>
        <w:t xml:space="preserve"> והגה</w:t>
      </w:r>
      <w:r>
        <w:rPr>
          <w:rFonts w:cs="Arial" w:hint="cs"/>
          <w:sz w:val="18"/>
          <w:szCs w:val="18"/>
          <w:rtl/>
        </w:rPr>
        <w:t>"מ</w:t>
      </w:r>
      <w:r w:rsidRPr="00213780">
        <w:rPr>
          <w:rFonts w:cs="Arial"/>
          <w:sz w:val="18"/>
          <w:szCs w:val="18"/>
          <w:rtl/>
        </w:rPr>
        <w:t xml:space="preserve"> פי"ז ורשב"א </w:t>
      </w:r>
      <w:r>
        <w:rPr>
          <w:rFonts w:cs="Arial" w:hint="cs"/>
          <w:sz w:val="18"/>
          <w:szCs w:val="18"/>
          <w:rtl/>
        </w:rPr>
        <w:t>[</w:t>
      </w:r>
      <w:r w:rsidRPr="00213780">
        <w:rPr>
          <w:rFonts w:cs="Arial"/>
          <w:sz w:val="18"/>
          <w:szCs w:val="18"/>
          <w:rtl/>
        </w:rPr>
        <w:t>סי' אלף קג</w:t>
      </w:r>
      <w:r>
        <w:rPr>
          <w:rFonts w:cs="Arial" w:hint="cs"/>
          <w:sz w:val="18"/>
          <w:szCs w:val="18"/>
          <w:rtl/>
        </w:rPr>
        <w:t>, ובמיוחסות סד]</w:t>
      </w:r>
      <w:r w:rsidRPr="00213780">
        <w:rPr>
          <w:rFonts w:cs="Arial"/>
          <w:sz w:val="18"/>
          <w:szCs w:val="18"/>
          <w:rtl/>
        </w:rPr>
        <w:t xml:space="preserve">). אבל אם תפסו היתומים מטלטלי, וקברו אותו, אין צריכים לשלם (ריב"ש סי' קד). </w:t>
      </w:r>
    </w:p>
    <w:p w14:paraId="2C237CA8" w14:textId="77777777" w:rsidR="002E5BAD" w:rsidRDefault="002E5BAD" w:rsidP="002E5BAD">
      <w:pPr>
        <w:rPr>
          <w:rtl/>
        </w:rPr>
      </w:pPr>
    </w:p>
    <w:p w14:paraId="68720767" w14:textId="77777777" w:rsidR="002E5BAD" w:rsidRDefault="002E5BAD" w:rsidP="002E5BAD">
      <w:pPr>
        <w:pStyle w:val="2"/>
        <w:rPr>
          <w:rtl/>
        </w:rPr>
      </w:pPr>
      <w:r>
        <w:rPr>
          <w:rtl/>
        </w:rPr>
        <w:t>סעיף יט</w:t>
      </w:r>
      <w:r>
        <w:rPr>
          <w:rFonts w:hint="cs"/>
          <w:rtl/>
        </w:rPr>
        <w:t>:</w:t>
      </w:r>
      <w:r w:rsidRPr="00BC3109">
        <w:rPr>
          <w:rFonts w:cs="Arial"/>
          <w:rtl/>
        </w:rPr>
        <w:t xml:space="preserve"> </w:t>
      </w:r>
      <w:r w:rsidRPr="004638AD">
        <w:rPr>
          <w:rFonts w:cs="Arial"/>
          <w:rtl/>
        </w:rPr>
        <w:t>ה</w:t>
      </w:r>
      <w:r>
        <w:rPr>
          <w:rFonts w:cs="Arial" w:hint="cs"/>
          <w:rtl/>
        </w:rPr>
        <w:t>מתנ</w:t>
      </w:r>
      <w:r w:rsidRPr="004638AD">
        <w:rPr>
          <w:rFonts w:cs="Arial"/>
          <w:rtl/>
        </w:rPr>
        <w:t xml:space="preserve">ה </w:t>
      </w:r>
      <w:r>
        <w:rPr>
          <w:rFonts w:cs="Arial" w:hint="cs"/>
          <w:rtl/>
        </w:rPr>
        <w:t>'</w:t>
      </w:r>
      <w:r w:rsidRPr="004638AD">
        <w:rPr>
          <w:rFonts w:cs="Arial"/>
          <w:rtl/>
        </w:rPr>
        <w:t xml:space="preserve">אם </w:t>
      </w:r>
      <w:r>
        <w:rPr>
          <w:rFonts w:cs="Arial" w:hint="cs"/>
          <w:rtl/>
        </w:rPr>
        <w:t>א</w:t>
      </w:r>
      <w:r w:rsidRPr="004638AD">
        <w:rPr>
          <w:rFonts w:cs="Arial"/>
          <w:rtl/>
        </w:rPr>
        <w:t>מות תחת</w:t>
      </w:r>
      <w:r>
        <w:rPr>
          <w:rFonts w:cs="Arial" w:hint="cs"/>
          <w:rtl/>
        </w:rPr>
        <w:t>ך</w:t>
      </w:r>
      <w:r w:rsidRPr="004638AD">
        <w:rPr>
          <w:rFonts w:cs="Arial"/>
          <w:rtl/>
        </w:rPr>
        <w:t xml:space="preserve"> בלא ולד יהא שליש נדוניית</w:t>
      </w:r>
      <w:r>
        <w:rPr>
          <w:rFonts w:cs="Arial" w:hint="cs"/>
          <w:rtl/>
        </w:rPr>
        <w:t>י</w:t>
      </w:r>
      <w:r w:rsidRPr="004638AD">
        <w:rPr>
          <w:rFonts w:cs="Arial"/>
          <w:rtl/>
        </w:rPr>
        <w:t xml:space="preserve"> ליורשי</w:t>
      </w:r>
      <w:r>
        <w:rPr>
          <w:rFonts w:cs="Arial" w:hint="cs"/>
          <w:rtl/>
        </w:rPr>
        <w:t>', ו</w:t>
      </w:r>
      <w:r w:rsidRPr="004638AD">
        <w:rPr>
          <w:rFonts w:cs="Arial"/>
          <w:rtl/>
        </w:rPr>
        <w:t>גירשה והחזירה</w:t>
      </w:r>
      <w:r>
        <w:rPr>
          <w:rFonts w:cs="Arial" w:hint="cs"/>
          <w:rtl/>
        </w:rPr>
        <w:t>.</w:t>
      </w:r>
    </w:p>
    <w:p w14:paraId="7992FA78" w14:textId="77777777" w:rsidR="002E5BAD" w:rsidRPr="003F7A28" w:rsidRDefault="002E5BAD" w:rsidP="002E5BAD">
      <w:pPr>
        <w:rPr>
          <w:u w:val="single"/>
        </w:rPr>
      </w:pPr>
      <w:r w:rsidRPr="003F7A28">
        <w:rPr>
          <w:rFonts w:cs="Arial"/>
          <w:u w:val="single"/>
          <w:rtl/>
        </w:rPr>
        <w:t>המתנה עם בעלה בשעת נשואין שאם תמות תחתיו בלא ולד יהא שליש נדוניתא ליורשיה, וגירשה והחזירה סתם</w:t>
      </w:r>
      <w:r w:rsidRPr="003F7A28">
        <w:rPr>
          <w:rFonts w:hint="cs"/>
          <w:u w:val="single"/>
          <w:rtl/>
        </w:rPr>
        <w:t>:</w:t>
      </w:r>
    </w:p>
    <w:p w14:paraId="169FB7B2" w14:textId="77777777" w:rsidR="002E5BAD" w:rsidRPr="003F7A28" w:rsidRDefault="002E5BAD" w:rsidP="00B75458">
      <w:pPr>
        <w:pStyle w:val="ab"/>
        <w:numPr>
          <w:ilvl w:val="0"/>
          <w:numId w:val="204"/>
        </w:numPr>
      </w:pPr>
      <w:r w:rsidRPr="004638AD">
        <w:rPr>
          <w:rFonts w:cs="Arial"/>
          <w:rtl/>
        </w:rPr>
        <w:t>רשב"א</w:t>
      </w:r>
      <w:r w:rsidRPr="003F7A28">
        <w:rPr>
          <w:rFonts w:cs="Arial"/>
          <w:sz w:val="16"/>
          <w:szCs w:val="16"/>
          <w:rtl/>
        </w:rPr>
        <w:t xml:space="preserve"> (ח"א סי' תתקסב)</w:t>
      </w:r>
      <w:r>
        <w:rPr>
          <w:rFonts w:cs="Arial" w:hint="cs"/>
          <w:rtl/>
        </w:rPr>
        <w:t>-</w:t>
      </w:r>
      <w:r w:rsidRPr="004638AD">
        <w:rPr>
          <w:rFonts w:cs="Arial"/>
          <w:rtl/>
        </w:rPr>
        <w:t xml:space="preserve"> המתנה עם בעלה בשעת נישואין שאם תמות תחתיו בלא ולד קיימא</w:t>
      </w:r>
      <w:r>
        <w:rPr>
          <w:rFonts w:cs="Arial" w:hint="cs"/>
          <w:rtl/>
        </w:rPr>
        <w:t>,</w:t>
      </w:r>
      <w:r w:rsidRPr="004638AD">
        <w:rPr>
          <w:rFonts w:cs="Arial"/>
          <w:rtl/>
        </w:rPr>
        <w:t xml:space="preserve"> שיהא שליש נדונייתה ליורשיה</w:t>
      </w:r>
      <w:r>
        <w:rPr>
          <w:rFonts w:cs="Arial" w:hint="cs"/>
          <w:rtl/>
        </w:rPr>
        <w:t>.</w:t>
      </w:r>
      <w:r w:rsidRPr="004638AD">
        <w:rPr>
          <w:rFonts w:cs="Arial"/>
          <w:rtl/>
        </w:rPr>
        <w:t xml:space="preserve"> וגירשה ואח"כ החזירה </w:t>
      </w:r>
      <w:r>
        <w:rPr>
          <w:rFonts w:cs="Arial" w:hint="cs"/>
          <w:rtl/>
        </w:rPr>
        <w:t xml:space="preserve">- </w:t>
      </w:r>
      <w:r w:rsidRPr="004638AD">
        <w:rPr>
          <w:rFonts w:cs="Arial"/>
          <w:rtl/>
        </w:rPr>
        <w:t>מסתברא שלדעת תנאים הראשונים החזירה</w:t>
      </w:r>
      <w:r>
        <w:rPr>
          <w:rFonts w:cs="Arial" w:hint="cs"/>
          <w:rtl/>
        </w:rPr>
        <w:t>.</w:t>
      </w:r>
      <w:r w:rsidRPr="004638AD">
        <w:rPr>
          <w:rFonts w:cs="Arial"/>
          <w:rtl/>
        </w:rPr>
        <w:t xml:space="preserve"> ולא מיבעיא במקום שנהגו לכתוב</w:t>
      </w:r>
      <w:r>
        <w:rPr>
          <w:rFonts w:cs="Arial" w:hint="cs"/>
          <w:rtl/>
        </w:rPr>
        <w:t>,</w:t>
      </w:r>
      <w:r w:rsidRPr="004638AD">
        <w:rPr>
          <w:rFonts w:cs="Arial"/>
          <w:rtl/>
        </w:rPr>
        <w:t xml:space="preserve"> דהתם אפילו לא כתב דינו כמי שכתב</w:t>
      </w:r>
      <w:r>
        <w:rPr>
          <w:rFonts w:cs="Arial" w:hint="cs"/>
          <w:rtl/>
        </w:rPr>
        <w:t>,</w:t>
      </w:r>
      <w:r w:rsidRPr="004638AD">
        <w:rPr>
          <w:rFonts w:cs="Arial"/>
          <w:rtl/>
        </w:rPr>
        <w:t xml:space="preserve"> שכל המכנסת נדוניא לבעלה על מנת כן היא מכנסת</w:t>
      </w:r>
      <w:r>
        <w:rPr>
          <w:rFonts w:cs="Arial" w:hint="cs"/>
          <w:rtl/>
        </w:rPr>
        <w:t>.</w:t>
      </w:r>
      <w:r w:rsidRPr="004638AD">
        <w:rPr>
          <w:rFonts w:cs="Arial"/>
          <w:rtl/>
        </w:rPr>
        <w:t xml:space="preserve"> וכדאמרינן בפרק המקבל (ב"מ קד.) דדורשים לשון הדיוט</w:t>
      </w:r>
      <w:r>
        <w:rPr>
          <w:rFonts w:cs="Arial" w:hint="cs"/>
          <w:rtl/>
        </w:rPr>
        <w:t>.</w:t>
      </w:r>
      <w:r w:rsidRPr="004638AD">
        <w:rPr>
          <w:rFonts w:cs="Arial"/>
          <w:rtl/>
        </w:rPr>
        <w:t xml:space="preserve"> אלא אפילו במקום שלא נהגו</w:t>
      </w:r>
      <w:r>
        <w:rPr>
          <w:rFonts w:cs="Arial" w:hint="cs"/>
          <w:rtl/>
        </w:rPr>
        <w:t>,</w:t>
      </w:r>
      <w:r w:rsidRPr="004638AD">
        <w:rPr>
          <w:rFonts w:cs="Arial"/>
          <w:rtl/>
        </w:rPr>
        <w:t xml:space="preserve"> כיון שהיה תנאי ביניהם בשעת הנישואין הראשונים</w:t>
      </w:r>
      <w:r>
        <w:rPr>
          <w:rFonts w:cs="Arial" w:hint="cs"/>
          <w:rtl/>
        </w:rPr>
        <w:t>,</w:t>
      </w:r>
      <w:r w:rsidRPr="004638AD">
        <w:rPr>
          <w:rFonts w:cs="Arial"/>
          <w:rtl/>
        </w:rPr>
        <w:t xml:space="preserve"> כשהוא מחזירה ע"ד אותם התנאים מחזירה</w:t>
      </w:r>
      <w:r>
        <w:rPr>
          <w:rFonts w:cs="Arial" w:hint="cs"/>
          <w:rtl/>
        </w:rPr>
        <w:t>.</w:t>
      </w:r>
      <w:r w:rsidRPr="004638AD">
        <w:rPr>
          <w:rFonts w:cs="Arial"/>
          <w:rtl/>
        </w:rPr>
        <w:t xml:space="preserve"> וכדתנן בסוף הכותב (כתובות פט:) שהמגרש את האשה והחזירה</w:t>
      </w:r>
      <w:r>
        <w:rPr>
          <w:rFonts w:cs="Arial" w:hint="cs"/>
          <w:rtl/>
        </w:rPr>
        <w:t>,</w:t>
      </w:r>
      <w:r w:rsidRPr="004638AD">
        <w:rPr>
          <w:rFonts w:cs="Arial"/>
          <w:rtl/>
        </w:rPr>
        <w:t xml:space="preserve"> ע"ד כתובתה הראשונה החזירה</w:t>
      </w:r>
      <w:r>
        <w:rPr>
          <w:rFonts w:cs="Arial" w:hint="cs"/>
          <w:rtl/>
        </w:rPr>
        <w:t>.</w:t>
      </w:r>
      <w:r w:rsidRPr="004638AD">
        <w:rPr>
          <w:rFonts w:cs="Arial"/>
          <w:rtl/>
        </w:rPr>
        <w:t xml:space="preserve"> ואע</w:t>
      </w:r>
      <w:r>
        <w:rPr>
          <w:rFonts w:cs="Arial" w:hint="cs"/>
          <w:rtl/>
        </w:rPr>
        <w:t>"</w:t>
      </w:r>
      <w:r w:rsidRPr="004638AD">
        <w:rPr>
          <w:rFonts w:cs="Arial"/>
          <w:rtl/>
        </w:rPr>
        <w:t>ג דאמר רב הונא (שם צ.) לא שנא אלא מנה ומאתים אבל תוספת אין לה</w:t>
      </w:r>
      <w:r>
        <w:rPr>
          <w:rFonts w:cs="Arial" w:hint="cs"/>
          <w:rtl/>
        </w:rPr>
        <w:t>,</w:t>
      </w:r>
      <w:r w:rsidRPr="004638AD">
        <w:rPr>
          <w:rFonts w:cs="Arial"/>
          <w:rtl/>
        </w:rPr>
        <w:t xml:space="preserve"> היינו דוקא מה שהוסיף לה משלו</w:t>
      </w:r>
      <w:r>
        <w:rPr>
          <w:rFonts w:cs="Arial" w:hint="cs"/>
          <w:rtl/>
        </w:rPr>
        <w:t>,</w:t>
      </w:r>
      <w:r w:rsidRPr="004638AD">
        <w:rPr>
          <w:rFonts w:cs="Arial"/>
          <w:rtl/>
        </w:rPr>
        <w:t xml:space="preserve"> שעל דעת נשואים הראשונים החזירה ולא ע"ד השניים</w:t>
      </w:r>
      <w:r>
        <w:rPr>
          <w:rFonts w:cs="Arial" w:hint="cs"/>
          <w:rtl/>
        </w:rPr>
        <w:t>.</w:t>
      </w:r>
      <w:r w:rsidRPr="004638AD">
        <w:rPr>
          <w:rFonts w:cs="Arial"/>
          <w:rtl/>
        </w:rPr>
        <w:t xml:space="preserve"> אבל במה ששיירה מנדונייתה ליורשיה הרי הוא כעיקר כתובתה שהמכנסת ע"ד כן מכנסת וכשקיבל ע"ד כן קיבל</w:t>
      </w:r>
      <w:r>
        <w:rPr>
          <w:rFonts w:cs="Arial" w:hint="cs"/>
          <w:rtl/>
        </w:rPr>
        <w:t>.</w:t>
      </w:r>
      <w:r w:rsidRPr="004638AD">
        <w:rPr>
          <w:rFonts w:cs="Arial"/>
          <w:rtl/>
        </w:rPr>
        <w:t xml:space="preserve"> ועוד שלא ע"ד קידושין הראשונים נעשה התנאי אלא כל זמן שתמות תחתיו בלא ולד קיימא. </w:t>
      </w:r>
      <w:r w:rsidRPr="00C17263">
        <w:rPr>
          <w:rFonts w:hint="cs"/>
          <w:color w:val="E36C0A" w:themeColor="accent6" w:themeShade="BF"/>
          <w:rtl/>
        </w:rPr>
        <w:t>(וכ"פ בשו"ע)</w:t>
      </w:r>
    </w:p>
    <w:p w14:paraId="0856E2F0" w14:textId="77777777" w:rsidR="002E5BAD" w:rsidRPr="00DA7F60" w:rsidRDefault="002E5BAD" w:rsidP="002E5BAD">
      <w:pPr>
        <w:rPr>
          <w:u w:val="single"/>
        </w:rPr>
      </w:pPr>
      <w:r w:rsidRPr="00DA7F60">
        <w:rPr>
          <w:rFonts w:cs="Arial"/>
          <w:u w:val="single"/>
          <w:rtl/>
        </w:rPr>
        <w:t>מי שהיא תובע</w:t>
      </w:r>
      <w:r w:rsidRPr="00DA7F60">
        <w:rPr>
          <w:rFonts w:cs="Arial" w:hint="cs"/>
          <w:u w:val="single"/>
          <w:rtl/>
        </w:rPr>
        <w:t>ת</w:t>
      </w:r>
      <w:r w:rsidRPr="00DA7F60">
        <w:rPr>
          <w:rFonts w:cs="Arial"/>
          <w:u w:val="single"/>
          <w:rtl/>
        </w:rPr>
        <w:t xml:space="preserve"> לבעלה לגרשה ויצאו הגירושין ממנה</w:t>
      </w:r>
      <w:r w:rsidRPr="00DA7F60">
        <w:rPr>
          <w:rFonts w:hint="cs"/>
          <w:u w:val="single"/>
          <w:rtl/>
        </w:rPr>
        <w:t xml:space="preserve"> </w:t>
      </w:r>
      <w:r w:rsidRPr="00DA7F60">
        <w:rPr>
          <w:u w:val="single"/>
          <w:rtl/>
        </w:rPr>
        <w:t>–</w:t>
      </w:r>
      <w:r w:rsidRPr="00DA7F60">
        <w:rPr>
          <w:rFonts w:hint="cs"/>
          <w:u w:val="single"/>
          <w:rtl/>
        </w:rPr>
        <w:t xml:space="preserve"> האם גובה כל הסכום ש</w:t>
      </w:r>
      <w:r>
        <w:rPr>
          <w:rFonts w:hint="cs"/>
          <w:u w:val="single"/>
          <w:rtl/>
        </w:rPr>
        <w:t xml:space="preserve">ל </w:t>
      </w:r>
      <w:r w:rsidRPr="00DA7F60">
        <w:rPr>
          <w:rFonts w:hint="cs"/>
          <w:u w:val="single"/>
          <w:rtl/>
        </w:rPr>
        <w:t>נדונייתה</w:t>
      </w:r>
      <w:r>
        <w:rPr>
          <w:rFonts w:hint="cs"/>
          <w:u w:val="single"/>
          <w:rtl/>
        </w:rPr>
        <w:t xml:space="preserve"> שכתוב בכתובה</w:t>
      </w:r>
      <w:r w:rsidRPr="00DA7F60">
        <w:rPr>
          <w:rFonts w:hint="cs"/>
          <w:u w:val="single"/>
          <w:rtl/>
        </w:rPr>
        <w:t>:</w:t>
      </w:r>
    </w:p>
    <w:p w14:paraId="084CB84E" w14:textId="77777777" w:rsidR="002E5BAD" w:rsidRPr="008E3200" w:rsidRDefault="002E5BAD" w:rsidP="00B75458">
      <w:pPr>
        <w:pStyle w:val="ab"/>
        <w:numPr>
          <w:ilvl w:val="0"/>
          <w:numId w:val="204"/>
        </w:numPr>
        <w:rPr>
          <w:rtl/>
        </w:rPr>
      </w:pPr>
      <w:r>
        <w:rPr>
          <w:rFonts w:cs="Arial" w:hint="cs"/>
          <w:rtl/>
        </w:rPr>
        <w:t xml:space="preserve">טור- </w:t>
      </w:r>
      <w:r w:rsidRPr="00213780">
        <w:rPr>
          <w:rFonts w:cs="Arial"/>
          <w:rtl/>
        </w:rPr>
        <w:t>מי שהיא תובע</w:t>
      </w:r>
      <w:r>
        <w:rPr>
          <w:rFonts w:cs="Arial" w:hint="cs"/>
          <w:rtl/>
        </w:rPr>
        <w:t>ת</w:t>
      </w:r>
      <w:r w:rsidRPr="00213780">
        <w:rPr>
          <w:rFonts w:cs="Arial"/>
          <w:rtl/>
        </w:rPr>
        <w:t xml:space="preserve"> לבעלה לגרשה</w:t>
      </w:r>
      <w:r>
        <w:rPr>
          <w:rFonts w:cs="Arial" w:hint="cs"/>
          <w:rtl/>
        </w:rPr>
        <w:t>,</w:t>
      </w:r>
      <w:r w:rsidRPr="00213780">
        <w:rPr>
          <w:rFonts w:cs="Arial"/>
          <w:rtl/>
        </w:rPr>
        <w:t xml:space="preserve"> ויצאו הגירושין ממנה</w:t>
      </w:r>
      <w:r>
        <w:rPr>
          <w:rFonts w:cs="Arial" w:hint="cs"/>
          <w:rtl/>
        </w:rPr>
        <w:t xml:space="preserve"> -</w:t>
      </w:r>
      <w:r w:rsidRPr="00213780">
        <w:rPr>
          <w:rFonts w:cs="Arial"/>
          <w:rtl/>
        </w:rPr>
        <w:t xml:space="preserve"> אין לה מן הדין לגבו</w:t>
      </w:r>
      <w:r>
        <w:rPr>
          <w:rFonts w:cs="Arial" w:hint="cs"/>
          <w:rtl/>
        </w:rPr>
        <w:t>ת</w:t>
      </w:r>
      <w:r w:rsidRPr="00213780">
        <w:rPr>
          <w:rFonts w:cs="Arial"/>
          <w:rtl/>
        </w:rPr>
        <w:t xml:space="preserve"> זולתו מה שהיא טוענת ויתברר מסכום נדוניתה</w:t>
      </w:r>
      <w:r>
        <w:rPr>
          <w:rFonts w:cs="Arial" w:hint="cs"/>
          <w:rtl/>
        </w:rPr>
        <w:t>.</w:t>
      </w:r>
      <w:r w:rsidRPr="00213780">
        <w:rPr>
          <w:rFonts w:cs="Arial"/>
          <w:rtl/>
        </w:rPr>
        <w:t xml:space="preserve"> ולא נחוש למה שימצא כתוב ממנה בכתובה</w:t>
      </w:r>
      <w:r>
        <w:rPr>
          <w:rFonts w:cs="Arial" w:hint="cs"/>
          <w:rtl/>
        </w:rPr>
        <w:t>.</w:t>
      </w:r>
      <w:r w:rsidRPr="00213780">
        <w:rPr>
          <w:rFonts w:cs="Arial"/>
          <w:rtl/>
        </w:rPr>
        <w:t xml:space="preserve"> כי רוב הכתובו</w:t>
      </w:r>
      <w:r>
        <w:rPr>
          <w:rFonts w:cs="Arial" w:hint="cs"/>
          <w:rtl/>
        </w:rPr>
        <w:t>ת</w:t>
      </w:r>
      <w:r w:rsidRPr="00213780">
        <w:rPr>
          <w:rFonts w:cs="Arial"/>
          <w:rtl/>
        </w:rPr>
        <w:t xml:space="preserve"> נוהגין בהן להוסיף על מה שיטול הבעל</w:t>
      </w:r>
      <w:r>
        <w:rPr>
          <w:rFonts w:cs="Arial" w:hint="cs"/>
          <w:rtl/>
        </w:rPr>
        <w:t>,</w:t>
      </w:r>
      <w:r w:rsidRPr="00213780">
        <w:rPr>
          <w:rFonts w:cs="Arial"/>
          <w:rtl/>
        </w:rPr>
        <w:t xml:space="preserve"> ולא יחוש הבעל לכתוב ולהוסיף על עצמו מה שלא קיבל לענין שתשאר נשואה עמו ולא תבקש גירושין</w:t>
      </w:r>
      <w:r>
        <w:rPr>
          <w:rFonts w:cs="Arial" w:hint="cs"/>
          <w:rtl/>
        </w:rPr>
        <w:t>.</w:t>
      </w:r>
      <w:r w:rsidRPr="00213780">
        <w:rPr>
          <w:rFonts w:cs="Arial"/>
          <w:rtl/>
        </w:rPr>
        <w:t xml:space="preserve"> בענין כזה אמרו חכמינו ז"ל (כתובות נד) כי כתב לה אדעתא למיקם קמיה</w:t>
      </w:r>
      <w:r>
        <w:rPr>
          <w:rFonts w:cs="Arial" w:hint="cs"/>
          <w:rtl/>
        </w:rPr>
        <w:t>,</w:t>
      </w:r>
      <w:r w:rsidRPr="00213780">
        <w:rPr>
          <w:rFonts w:cs="Arial"/>
          <w:rtl/>
        </w:rPr>
        <w:t xml:space="preserve"> אדעתא למיפק ולמיסב לא כתב לה</w:t>
      </w:r>
      <w:r>
        <w:rPr>
          <w:rFonts w:cs="Arial" w:hint="cs"/>
          <w:rtl/>
        </w:rPr>
        <w:t>.</w:t>
      </w:r>
      <w:r w:rsidRPr="00213780">
        <w:rPr>
          <w:rFonts w:cs="Arial"/>
          <w:rtl/>
        </w:rPr>
        <w:t xml:space="preserve"> ויחזור אז בזה להשביע</w:t>
      </w:r>
      <w:r>
        <w:rPr>
          <w:rFonts w:cs="Arial" w:hint="cs"/>
          <w:rtl/>
        </w:rPr>
        <w:t>ה</w:t>
      </w:r>
      <w:r w:rsidRPr="00213780">
        <w:rPr>
          <w:rFonts w:cs="Arial"/>
          <w:rtl/>
        </w:rPr>
        <w:t xml:space="preserve"> שבועה חמורה בענין זה על סכום מה שהכניס</w:t>
      </w:r>
      <w:r>
        <w:rPr>
          <w:rFonts w:cs="Arial" w:hint="cs"/>
          <w:rtl/>
        </w:rPr>
        <w:t>ה</w:t>
      </w:r>
      <w:r w:rsidRPr="00213780">
        <w:rPr>
          <w:rFonts w:cs="Arial"/>
          <w:rtl/>
        </w:rPr>
        <w:t xml:space="preserve"> לו בודאי</w:t>
      </w:r>
      <w:r>
        <w:rPr>
          <w:rFonts w:cs="Arial" w:hint="cs"/>
          <w:rtl/>
        </w:rPr>
        <w:t>,</w:t>
      </w:r>
      <w:r w:rsidRPr="00213780">
        <w:rPr>
          <w:rFonts w:cs="Arial"/>
          <w:rtl/>
        </w:rPr>
        <w:t xml:space="preserve"> ושלא נתנה רשות למכור ממנו שום דבר ולא אבד עינו במה שנלבש או נתקרע</w:t>
      </w:r>
      <w:r>
        <w:rPr>
          <w:rFonts w:cs="Arial" w:hint="cs"/>
          <w:rtl/>
        </w:rPr>
        <w:t xml:space="preserve"> -</w:t>
      </w:r>
      <w:r w:rsidRPr="00213780">
        <w:rPr>
          <w:rFonts w:cs="Arial"/>
          <w:rtl/>
        </w:rPr>
        <w:t xml:space="preserve"> אז יפרע</w:t>
      </w:r>
      <w:r>
        <w:rPr>
          <w:rFonts w:cs="Arial" w:hint="cs"/>
          <w:rtl/>
        </w:rPr>
        <w:t>,</w:t>
      </w:r>
      <w:r w:rsidRPr="00213780">
        <w:rPr>
          <w:rFonts w:cs="Arial"/>
          <w:rtl/>
        </w:rPr>
        <w:t xml:space="preserve"> וכל מה שאבד עינו בלובשה ובהשתמש בו אין על הבעל אחריותו כשתתבע היא הגירושין</w:t>
      </w:r>
      <w:r>
        <w:rPr>
          <w:rFonts w:cs="Arial" w:hint="cs"/>
          <w:rtl/>
        </w:rPr>
        <w:t>.</w:t>
      </w:r>
      <w:r w:rsidRPr="00213780">
        <w:rPr>
          <w:rFonts w:cs="Arial"/>
          <w:rtl/>
        </w:rPr>
        <w:t xml:space="preserve"> ואם תבע הוא הגירושין </w:t>
      </w:r>
      <w:r>
        <w:rPr>
          <w:rFonts w:cs="Arial" w:hint="cs"/>
          <w:rtl/>
        </w:rPr>
        <w:t xml:space="preserve">- </w:t>
      </w:r>
      <w:r w:rsidRPr="00213780">
        <w:rPr>
          <w:rFonts w:cs="Arial"/>
          <w:rtl/>
        </w:rPr>
        <w:t>אינו יכול לגרשה אלא לרצונה</w:t>
      </w:r>
      <w:r>
        <w:rPr>
          <w:rFonts w:cs="Arial" w:hint="cs"/>
          <w:rtl/>
        </w:rPr>
        <w:t>,</w:t>
      </w:r>
      <w:r w:rsidRPr="00213780">
        <w:rPr>
          <w:rFonts w:cs="Arial"/>
          <w:rtl/>
        </w:rPr>
        <w:t xml:space="preserve"> או לאחר שיפרע לה כל סכום כתובתה עיקר ונדוניא ותוספת ומתנת כתובתה</w:t>
      </w:r>
      <w:r>
        <w:rPr>
          <w:rFonts w:cs="Arial" w:hint="cs"/>
          <w:rtl/>
        </w:rPr>
        <w:t>,</w:t>
      </w:r>
      <w:r w:rsidRPr="00213780">
        <w:rPr>
          <w:rFonts w:cs="Arial"/>
          <w:rtl/>
        </w:rPr>
        <w:t xml:space="preserve"> בין </w:t>
      </w:r>
      <w:r w:rsidRPr="00213780">
        <w:rPr>
          <w:rFonts w:cs="Arial"/>
          <w:rtl/>
        </w:rPr>
        <w:lastRenderedPageBreak/>
        <w:t>שתהא הנדוניא אמיתית או לא</w:t>
      </w:r>
      <w:r>
        <w:rPr>
          <w:rFonts w:cs="Arial" w:hint="cs"/>
          <w:rtl/>
        </w:rPr>
        <w:t>.</w:t>
      </w:r>
      <w:r w:rsidRPr="00213780">
        <w:rPr>
          <w:rFonts w:cs="Arial"/>
          <w:rtl/>
        </w:rPr>
        <w:t xml:space="preserve"> והנמצא בכתובה זהב מטבע</w:t>
      </w:r>
      <w:r>
        <w:rPr>
          <w:rFonts w:cs="Arial" w:hint="cs"/>
          <w:rtl/>
        </w:rPr>
        <w:t>,</w:t>
      </w:r>
      <w:r w:rsidRPr="00213780">
        <w:rPr>
          <w:rFonts w:cs="Arial"/>
          <w:rtl/>
        </w:rPr>
        <w:t xml:space="preserve"> והיא תובעת הגירושין </w:t>
      </w:r>
      <w:r>
        <w:rPr>
          <w:rFonts w:cs="Arial" w:hint="cs"/>
          <w:rtl/>
        </w:rPr>
        <w:t xml:space="preserve">- </w:t>
      </w:r>
      <w:r w:rsidRPr="00213780">
        <w:rPr>
          <w:rFonts w:cs="Arial"/>
          <w:rtl/>
        </w:rPr>
        <w:t>תגבהו בשבועתה שהוא אמת ולא נכתב דרך כבוד</w:t>
      </w:r>
      <w:r w:rsidRPr="00213780">
        <w:rPr>
          <w:rFonts w:cs="Arial" w:hint="cs"/>
          <w:rtl/>
        </w:rPr>
        <w:t>.</w:t>
      </w:r>
    </w:p>
    <w:p w14:paraId="024734C6" w14:textId="77777777" w:rsidR="002E5BAD" w:rsidRPr="004F4C57" w:rsidRDefault="002E5BAD" w:rsidP="002E5BAD">
      <w:pPr>
        <w:rPr>
          <w:u w:val="single"/>
          <w:rtl/>
        </w:rPr>
      </w:pPr>
      <w:r w:rsidRPr="004F4C57">
        <w:rPr>
          <w:rFonts w:hint="cs"/>
          <w:u w:val="single"/>
          <w:rtl/>
        </w:rPr>
        <w:t>מי</w:t>
      </w:r>
      <w:r w:rsidRPr="004F4C57">
        <w:rPr>
          <w:rFonts w:cs="Arial"/>
          <w:u w:val="single"/>
          <w:rtl/>
        </w:rPr>
        <w:t xml:space="preserve"> </w:t>
      </w:r>
      <w:r w:rsidRPr="004F4C57">
        <w:rPr>
          <w:rFonts w:cs="Arial" w:hint="cs"/>
          <w:u w:val="single"/>
          <w:rtl/>
        </w:rPr>
        <w:t>שטוען</w:t>
      </w:r>
      <w:r w:rsidRPr="004F4C57">
        <w:rPr>
          <w:rFonts w:cs="Arial"/>
          <w:u w:val="single"/>
          <w:rtl/>
        </w:rPr>
        <w:t xml:space="preserve"> שאשתו חיתה אחר מורישה</w:t>
      </w:r>
      <w:r w:rsidRPr="004F4C57">
        <w:rPr>
          <w:rFonts w:cs="Arial" w:hint="cs"/>
          <w:u w:val="single"/>
          <w:rtl/>
        </w:rPr>
        <w:t>, ושאר היורשים טוענים שנפטרה ל</w:t>
      </w:r>
      <w:r>
        <w:rPr>
          <w:rFonts w:cs="Arial" w:hint="cs"/>
          <w:u w:val="single"/>
          <w:rtl/>
        </w:rPr>
        <w:t>פ</w:t>
      </w:r>
      <w:r w:rsidRPr="004F4C57">
        <w:rPr>
          <w:rFonts w:cs="Arial" w:hint="cs"/>
          <w:u w:val="single"/>
          <w:rtl/>
        </w:rPr>
        <w:t>ני שנפטר מורישה:</w:t>
      </w:r>
    </w:p>
    <w:p w14:paraId="00C03865" w14:textId="77777777" w:rsidR="002E5BAD" w:rsidRDefault="002E5BAD" w:rsidP="00B75458">
      <w:pPr>
        <w:pStyle w:val="ab"/>
        <w:numPr>
          <w:ilvl w:val="0"/>
          <w:numId w:val="204"/>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סי' א)</w:t>
      </w:r>
      <w:r w:rsidRPr="004638AD">
        <w:rPr>
          <w:rFonts w:cs="Arial" w:hint="cs"/>
          <w:rtl/>
        </w:rPr>
        <w:t>-</w:t>
      </w:r>
      <w:r w:rsidRPr="004638AD">
        <w:rPr>
          <w:rFonts w:cs="Arial"/>
          <w:rtl/>
        </w:rPr>
        <w:t xml:space="preserve"> על ראובן שטען ללאה יש בידך משל אבי ומשל חמי ממון כי חיתה זוגתי אחר הרג שלשתן</w:t>
      </w:r>
      <w:r>
        <w:rPr>
          <w:rFonts w:cs="Arial" w:hint="cs"/>
          <w:rtl/>
        </w:rPr>
        <w:t>.</w:t>
      </w:r>
      <w:r w:rsidRPr="004638AD">
        <w:rPr>
          <w:rFonts w:cs="Arial"/>
          <w:rtl/>
        </w:rPr>
        <w:t xml:space="preserve"> והשיבה לאה אבי חמיך הניח בנים ולא שהית עם אשתך שנה ולא תירשנה ואף מה שהכניסה לך תחזיר ליורשיה</w:t>
      </w:r>
      <w:r>
        <w:rPr>
          <w:rFonts w:cs="Arial" w:hint="cs"/>
          <w:rtl/>
        </w:rPr>
        <w:t>.</w:t>
      </w:r>
      <w:r w:rsidRPr="004638AD">
        <w:rPr>
          <w:rFonts w:cs="Arial"/>
          <w:rtl/>
        </w:rPr>
        <w:t xml:space="preserve"> נראה לי אם יברר ראובן בעדות ברורה שאשתו חיתה אחר מורישה </w:t>
      </w:r>
      <w:r>
        <w:rPr>
          <w:rFonts w:cs="Arial" w:hint="cs"/>
          <w:rtl/>
        </w:rPr>
        <w:t xml:space="preserve">- </w:t>
      </w:r>
      <w:r w:rsidRPr="004638AD">
        <w:rPr>
          <w:rFonts w:cs="Arial"/>
          <w:rtl/>
        </w:rPr>
        <w:t>שזכה בירושתה אפילו אם לא שהתה עמו שנה אחת</w:t>
      </w:r>
      <w:r>
        <w:rPr>
          <w:rFonts w:cs="Arial" w:hint="cs"/>
          <w:rtl/>
        </w:rPr>
        <w:t xml:space="preserve">. </w:t>
      </w:r>
      <w:r w:rsidRPr="004638AD">
        <w:rPr>
          <w:rFonts w:cs="Arial"/>
          <w:rtl/>
        </w:rPr>
        <w:t>ולא דמי לנדוניית חתנים שלא גבו</w:t>
      </w:r>
      <w:r>
        <w:rPr>
          <w:rFonts w:cs="Arial" w:hint="cs"/>
          <w:rtl/>
        </w:rPr>
        <w:t>,</w:t>
      </w:r>
      <w:r w:rsidRPr="004638AD">
        <w:rPr>
          <w:rFonts w:cs="Arial"/>
          <w:rtl/>
        </w:rPr>
        <w:t xml:space="preserve"> דשאני התם דנדוניא שהאב פוסק בדעתו תליא ואנן סהדי שהאב לא היתה דעתו להקנות וליתן הנדוניא אלא על מנת שתהנה בתו כמו בעלה</w:t>
      </w:r>
      <w:r>
        <w:rPr>
          <w:rFonts w:cs="Arial" w:hint="cs"/>
          <w:rtl/>
        </w:rPr>
        <w:t>,</w:t>
      </w:r>
      <w:r w:rsidRPr="004638AD">
        <w:rPr>
          <w:rFonts w:cs="Arial"/>
          <w:rtl/>
        </w:rPr>
        <w:t xml:space="preserve"> אבל בנדון זה לא עלה על דעת חמיו גזירות הללו</w:t>
      </w:r>
      <w:r>
        <w:rPr>
          <w:rFonts w:cs="Arial" w:hint="cs"/>
          <w:rtl/>
        </w:rPr>
        <w:t>,</w:t>
      </w:r>
      <w:r w:rsidRPr="004638AD">
        <w:rPr>
          <w:rFonts w:cs="Arial"/>
          <w:rtl/>
        </w:rPr>
        <w:t xml:space="preserve"> ואף בדבר הרגיל</w:t>
      </w:r>
      <w:r>
        <w:rPr>
          <w:rFonts w:cs="Arial" w:hint="cs"/>
          <w:rtl/>
        </w:rPr>
        <w:t>,</w:t>
      </w:r>
      <w:r w:rsidRPr="004638AD">
        <w:rPr>
          <w:rFonts w:cs="Arial"/>
          <w:rtl/>
        </w:rPr>
        <w:t xml:space="preserve"> והווה כמו מיתה דאזלי בתר אומדנא</w:t>
      </w:r>
      <w:r>
        <w:rPr>
          <w:rFonts w:cs="Arial" w:hint="cs"/>
          <w:rtl/>
        </w:rPr>
        <w:t>.</w:t>
      </w:r>
      <w:r w:rsidRPr="004638AD">
        <w:rPr>
          <w:rFonts w:cs="Arial"/>
          <w:rtl/>
        </w:rPr>
        <w:t xml:space="preserve"> אבל כי האי לא אזלי בתר אומדנא אלא בממון שפסק האב ועודנו בידו</w:t>
      </w:r>
      <w:r>
        <w:rPr>
          <w:rFonts w:cs="Arial" w:hint="cs"/>
          <w:rtl/>
        </w:rPr>
        <w:t>,</w:t>
      </w:r>
      <w:r w:rsidRPr="004638AD">
        <w:rPr>
          <w:rFonts w:cs="Arial"/>
          <w:rtl/>
        </w:rPr>
        <w:t xml:space="preserve"> דלא מפקינן מיניה</w:t>
      </w:r>
      <w:r>
        <w:rPr>
          <w:rFonts w:cs="Arial" w:hint="cs"/>
          <w:rtl/>
        </w:rPr>
        <w:t>.</w:t>
      </w:r>
      <w:r w:rsidRPr="004638AD">
        <w:rPr>
          <w:rFonts w:cs="Arial"/>
          <w:rtl/>
        </w:rPr>
        <w:t xml:space="preserve"> וגם לא דמי לתקנת ר"ת (תוס' כתובות מז: דיבור ראשון) דהיכא שמתה בתוך שנת הנישואין שהבעל מחזיר נדוניא לאביה או ליורשי הנדוניא דוקא תיקן משום עגמת נפש ואסמכוה אקרא (ויקרא כו כ) ותם לריק כחכם</w:t>
      </w:r>
      <w:r>
        <w:rPr>
          <w:rFonts w:cs="Arial" w:hint="cs"/>
          <w:rtl/>
        </w:rPr>
        <w:t>.</w:t>
      </w:r>
      <w:r w:rsidRPr="004638AD">
        <w:rPr>
          <w:rFonts w:cs="Arial"/>
          <w:rtl/>
        </w:rPr>
        <w:t xml:space="preserve"> אבל ירושה שנפלה לה</w:t>
      </w:r>
      <w:r>
        <w:rPr>
          <w:rFonts w:cs="Arial" w:hint="cs"/>
          <w:rtl/>
        </w:rPr>
        <w:t>,</w:t>
      </w:r>
      <w:r w:rsidRPr="004638AD">
        <w:rPr>
          <w:rFonts w:cs="Arial"/>
          <w:rtl/>
        </w:rPr>
        <w:t xml:space="preserve"> דהיינו נכסי מלוג בהא לא תקון רבנן</w:t>
      </w:r>
      <w:r>
        <w:rPr>
          <w:rFonts w:cs="Arial" w:hint="cs"/>
          <w:rtl/>
        </w:rPr>
        <w:t>,</w:t>
      </w:r>
      <w:r w:rsidRPr="004638AD">
        <w:rPr>
          <w:rFonts w:cs="Arial"/>
          <w:rtl/>
        </w:rPr>
        <w:t xml:space="preserve"> והבו דלא לוסיף עלה. </w:t>
      </w:r>
      <w:r w:rsidRPr="00C06EE1">
        <w:rPr>
          <w:rFonts w:hint="cs"/>
          <w:color w:val="00B0F0"/>
          <w:rtl/>
        </w:rPr>
        <w:t>(וכ"</w:t>
      </w:r>
      <w:r>
        <w:rPr>
          <w:rFonts w:hint="cs"/>
          <w:color w:val="00B0F0"/>
          <w:rtl/>
        </w:rPr>
        <w:t>כ</w:t>
      </w:r>
      <w:r w:rsidRPr="00C06EE1">
        <w:rPr>
          <w:rFonts w:hint="cs"/>
          <w:color w:val="00B0F0"/>
          <w:rtl/>
        </w:rPr>
        <w:t xml:space="preserve"> הרמ"א)</w:t>
      </w:r>
    </w:p>
    <w:p w14:paraId="69403177" w14:textId="77777777" w:rsidR="002E5BAD" w:rsidRPr="004F4C57" w:rsidRDefault="002E5BAD" w:rsidP="002E5BAD">
      <w:pPr>
        <w:rPr>
          <w:u w:val="single"/>
        </w:rPr>
      </w:pPr>
      <w:r w:rsidRPr="004F4C57">
        <w:rPr>
          <w:rFonts w:hint="cs"/>
          <w:u w:val="single"/>
          <w:rtl/>
        </w:rPr>
        <w:t>תקנה</w:t>
      </w:r>
      <w:r w:rsidRPr="004F4C57">
        <w:rPr>
          <w:rFonts w:cs="Arial"/>
          <w:u w:val="single"/>
          <w:rtl/>
        </w:rPr>
        <w:t xml:space="preserve"> שאם תמות האשה בחיי בעלה</w:t>
      </w:r>
      <w:r w:rsidRPr="004F4C57">
        <w:rPr>
          <w:rFonts w:cs="Arial" w:hint="cs"/>
          <w:u w:val="single"/>
          <w:rtl/>
        </w:rPr>
        <w:t>,</w:t>
      </w:r>
      <w:r w:rsidRPr="004F4C57">
        <w:rPr>
          <w:rFonts w:cs="Arial"/>
          <w:u w:val="single"/>
          <w:rtl/>
        </w:rPr>
        <w:t xml:space="preserve"> שיחלקו הוא ויורשיה הממון</w:t>
      </w:r>
      <w:r w:rsidRPr="004F4C57">
        <w:rPr>
          <w:rFonts w:cs="Arial" w:hint="cs"/>
          <w:u w:val="single"/>
          <w:rtl/>
        </w:rPr>
        <w:t xml:space="preserve"> </w:t>
      </w:r>
      <w:r w:rsidRPr="004F4C57">
        <w:rPr>
          <w:rFonts w:cs="Arial"/>
          <w:u w:val="single"/>
          <w:rtl/>
        </w:rPr>
        <w:t>–</w:t>
      </w:r>
      <w:r w:rsidRPr="004F4C57">
        <w:rPr>
          <w:rFonts w:cs="Arial" w:hint="cs"/>
          <w:u w:val="single"/>
          <w:rtl/>
        </w:rPr>
        <w:t xml:space="preserve"> האם הבעל מנקה מהנכסים את חובות האשה:</w:t>
      </w:r>
    </w:p>
    <w:p w14:paraId="5EB68A99" w14:textId="77777777" w:rsidR="002E5BAD" w:rsidRPr="008F2232" w:rsidRDefault="002E5BAD" w:rsidP="00B75458">
      <w:pPr>
        <w:pStyle w:val="ab"/>
        <w:numPr>
          <w:ilvl w:val="0"/>
          <w:numId w:val="204"/>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ו</w:t>
      </w:r>
      <w:r w:rsidRPr="004638AD">
        <w:rPr>
          <w:rFonts w:cs="Arial"/>
          <w:sz w:val="16"/>
          <w:szCs w:val="16"/>
          <w:rtl/>
        </w:rPr>
        <w:t>)</w:t>
      </w:r>
      <w:r w:rsidRPr="004638AD">
        <w:rPr>
          <w:rFonts w:cs="Arial" w:hint="cs"/>
          <w:rtl/>
        </w:rPr>
        <w:t>-</w:t>
      </w:r>
      <w:r w:rsidRPr="004638AD">
        <w:rPr>
          <w:rFonts w:cs="Arial"/>
          <w:rtl/>
        </w:rPr>
        <w:t xml:space="preserve"> על תקנה שזה נסחה</w:t>
      </w:r>
      <w:r>
        <w:rPr>
          <w:rFonts w:cs="Arial" w:hint="cs"/>
          <w:rtl/>
        </w:rPr>
        <w:t>,</w:t>
      </w:r>
      <w:r w:rsidRPr="004638AD">
        <w:rPr>
          <w:rFonts w:cs="Arial"/>
          <w:rtl/>
        </w:rPr>
        <w:t xml:space="preserve"> שאם תמות האשה בחיי בעלה</w:t>
      </w:r>
      <w:r>
        <w:rPr>
          <w:rFonts w:cs="Arial" w:hint="cs"/>
          <w:rtl/>
        </w:rPr>
        <w:t>,</w:t>
      </w:r>
      <w:r w:rsidRPr="004638AD">
        <w:rPr>
          <w:rFonts w:cs="Arial"/>
          <w:rtl/>
        </w:rPr>
        <w:t xml:space="preserve"> שיחלקו הוא ויורשיה הממון</w:t>
      </w:r>
      <w:r>
        <w:rPr>
          <w:rFonts w:cs="Arial" w:hint="cs"/>
          <w:rtl/>
        </w:rPr>
        <w:t>.</w:t>
      </w:r>
      <w:r w:rsidRPr="004638AD">
        <w:rPr>
          <w:rFonts w:cs="Arial"/>
          <w:rtl/>
        </w:rPr>
        <w:t xml:space="preserve"> יראה לי לפי התקנה שלא יחלוק הבעל עם יורשי האשה אלא ממון שימצא לבעל אחר שיפרע כל חובותיו שהוא חייב בין בשטר בין בעל פה כי ודאי כך היתה עיקר התקנה שעיקר חלוקת הממון יהיה תלוי בשבועת הבעל שישבע כמה יש לו וינכה באותה שבועה כמה הוא חייב במגו דאיבעי אמר אין לי אלא כך וכך ממון והשאר יחלוקו. </w:t>
      </w:r>
    </w:p>
    <w:p w14:paraId="1BEFFDA7" w14:textId="77777777" w:rsidR="002E5BAD" w:rsidRPr="008F2232" w:rsidRDefault="002E5BAD" w:rsidP="002E5BAD">
      <w:pPr>
        <w:ind w:left="360"/>
        <w:rPr>
          <w:u w:val="dotted"/>
        </w:rPr>
      </w:pPr>
      <w:r>
        <w:rPr>
          <w:rFonts w:hint="cs"/>
          <w:u w:val="dotted"/>
          <w:rtl/>
        </w:rPr>
        <w:t xml:space="preserve">לתקנה זו - </w:t>
      </w:r>
      <w:r w:rsidRPr="008F2232">
        <w:rPr>
          <w:rFonts w:hint="cs"/>
          <w:u w:val="dotted"/>
          <w:rtl/>
        </w:rPr>
        <w:t>האם יכולה האשה לתת נכסיה לאחר מותה למי שתרצה:</w:t>
      </w:r>
    </w:p>
    <w:p w14:paraId="60E2C2FD" w14:textId="77777777" w:rsidR="002E5BAD" w:rsidRDefault="002E5BAD" w:rsidP="00B75458">
      <w:pPr>
        <w:pStyle w:val="ab"/>
        <w:numPr>
          <w:ilvl w:val="0"/>
          <w:numId w:val="204"/>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י</w:t>
      </w:r>
      <w:r w:rsidRPr="004638AD">
        <w:rPr>
          <w:rFonts w:cs="Arial"/>
          <w:sz w:val="16"/>
          <w:szCs w:val="16"/>
          <w:rtl/>
        </w:rPr>
        <w:t>)</w:t>
      </w:r>
      <w:r w:rsidRPr="004638AD">
        <w:rPr>
          <w:rFonts w:cs="Arial" w:hint="cs"/>
          <w:rtl/>
        </w:rPr>
        <w:t>-</w:t>
      </w:r>
      <w:r w:rsidRPr="004638AD">
        <w:rPr>
          <w:rFonts w:cs="Arial"/>
          <w:rtl/>
        </w:rPr>
        <w:t xml:space="preserve"> דקדקתי בתקנה ולא מצאתי כתוב לא בפירוש ולא ברמז שהשליטו את האשה לתת נכסיה אחר מותה למי שתרצה אלא תקנו והעבירו חצי נכסיה מבעלה וכו' עד ולא תדחה התקנה מפני המנהג</w:t>
      </w:r>
      <w:r>
        <w:rPr>
          <w:rStyle w:val="a7"/>
          <w:rFonts w:cs="Arial"/>
          <w:rtl/>
        </w:rPr>
        <w:footnoteReference w:id="3282"/>
      </w:r>
      <w:r w:rsidRPr="004638AD">
        <w:rPr>
          <w:rFonts w:cs="Arial"/>
          <w:rtl/>
        </w:rPr>
        <w:t xml:space="preserve">. </w:t>
      </w:r>
    </w:p>
    <w:p w14:paraId="765F3D26" w14:textId="77777777" w:rsidR="002E5BAD" w:rsidRPr="008F2232" w:rsidRDefault="002E5BAD" w:rsidP="002E5BAD">
      <w:pPr>
        <w:rPr>
          <w:u w:val="single"/>
        </w:rPr>
      </w:pPr>
      <w:r w:rsidRPr="008F2232">
        <w:rPr>
          <w:rFonts w:hint="cs"/>
          <w:u w:val="single"/>
          <w:rtl/>
        </w:rPr>
        <w:t xml:space="preserve">אב שהיו לו בתים, </w:t>
      </w:r>
      <w:r>
        <w:rPr>
          <w:rFonts w:hint="cs"/>
          <w:u w:val="single"/>
          <w:rtl/>
        </w:rPr>
        <w:t xml:space="preserve">ונפטר, </w:t>
      </w:r>
      <w:r w:rsidRPr="008F2232">
        <w:rPr>
          <w:rFonts w:hint="cs"/>
          <w:u w:val="single"/>
          <w:rtl/>
        </w:rPr>
        <w:t>ואחד הבנים טוען שהם בחזקתו בגלל שבנה וסתר והשכיר חלקם:</w:t>
      </w:r>
    </w:p>
    <w:p w14:paraId="3EB9C175" w14:textId="77777777" w:rsidR="002E5BAD" w:rsidRPr="003F7A28" w:rsidRDefault="002E5BAD" w:rsidP="00B75458">
      <w:pPr>
        <w:pStyle w:val="ab"/>
        <w:numPr>
          <w:ilvl w:val="0"/>
          <w:numId w:val="204"/>
        </w:numPr>
      </w:pPr>
      <w:r w:rsidRPr="004638AD">
        <w:rPr>
          <w:rFonts w:cs="Arial" w:hint="cs"/>
          <w:rtl/>
        </w:rPr>
        <w:t xml:space="preserve">רא"ש </w:t>
      </w:r>
      <w:r w:rsidRPr="004638AD">
        <w:rPr>
          <w:rFonts w:cs="Arial" w:hint="cs"/>
          <w:sz w:val="16"/>
          <w:szCs w:val="16"/>
          <w:rtl/>
        </w:rPr>
        <w:t>(</w:t>
      </w:r>
      <w:r w:rsidRPr="004638AD">
        <w:rPr>
          <w:rFonts w:cs="Arial"/>
          <w:sz w:val="16"/>
          <w:szCs w:val="16"/>
          <w:rtl/>
        </w:rPr>
        <w:t xml:space="preserve">כלל </w:t>
      </w:r>
      <w:r>
        <w:rPr>
          <w:rFonts w:cs="Arial" w:hint="cs"/>
          <w:sz w:val="16"/>
          <w:szCs w:val="16"/>
          <w:rtl/>
        </w:rPr>
        <w:t>צח</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י</w:t>
      </w:r>
      <w:r w:rsidRPr="004638AD">
        <w:rPr>
          <w:rFonts w:cs="Arial"/>
          <w:sz w:val="16"/>
          <w:szCs w:val="16"/>
          <w:rtl/>
        </w:rPr>
        <w:t>)</w:t>
      </w:r>
      <w:r w:rsidRPr="004638AD">
        <w:rPr>
          <w:rFonts w:cs="Arial" w:hint="cs"/>
          <w:rtl/>
        </w:rPr>
        <w:t>-</w:t>
      </w:r>
      <w:r w:rsidRPr="004638AD">
        <w:rPr>
          <w:rFonts w:cs="Arial"/>
          <w:rtl/>
        </w:rPr>
        <w:t xml:space="preserve"> מה שטוען שמעון שהוא מוחזק בבתים וגם אמו מוחזקת בהם י' שנים וסתרו ובנו והשכירו קצתם ופרעו המס</w:t>
      </w:r>
      <w:r>
        <w:rPr>
          <w:rFonts w:cs="Arial" w:hint="cs"/>
          <w:rtl/>
        </w:rPr>
        <w:t xml:space="preserve"> -</w:t>
      </w:r>
      <w:r w:rsidRPr="004638AD">
        <w:rPr>
          <w:rFonts w:cs="Arial"/>
          <w:rtl/>
        </w:rPr>
        <w:t xml:space="preserve"> אינה חזקה</w:t>
      </w:r>
      <w:r>
        <w:rPr>
          <w:rFonts w:cs="Arial" w:hint="cs"/>
          <w:rtl/>
        </w:rPr>
        <w:t>,</w:t>
      </w:r>
      <w:r w:rsidRPr="004638AD">
        <w:rPr>
          <w:rFonts w:cs="Arial"/>
          <w:rtl/>
        </w:rPr>
        <w:t xml:space="preserve"> כיון שידוע שהבית היה של אביהם</w:t>
      </w:r>
      <w:r>
        <w:rPr>
          <w:rFonts w:cs="Arial" w:hint="cs"/>
          <w:rtl/>
        </w:rPr>
        <w:t>,</w:t>
      </w:r>
      <w:r w:rsidRPr="004638AD">
        <w:rPr>
          <w:rFonts w:cs="Arial"/>
          <w:rtl/>
        </w:rPr>
        <w:t xml:space="preserve"> ושמעון אינו טוען שאביו מכרם או נתנם לו או שקנאם מראובן אחיו</w:t>
      </w:r>
      <w:r>
        <w:rPr>
          <w:rFonts w:cs="Arial" w:hint="cs"/>
          <w:rtl/>
        </w:rPr>
        <w:t>,</w:t>
      </w:r>
      <w:r w:rsidRPr="004638AD">
        <w:rPr>
          <w:rFonts w:cs="Arial"/>
          <w:rtl/>
        </w:rPr>
        <w:t xml:space="preserve"> אלא שטוען שהחזיק בהם</w:t>
      </w:r>
      <w:r>
        <w:rPr>
          <w:rFonts w:cs="Arial" w:hint="cs"/>
          <w:rtl/>
        </w:rPr>
        <w:t>,</w:t>
      </w:r>
      <w:r w:rsidRPr="004638AD">
        <w:rPr>
          <w:rFonts w:cs="Arial"/>
          <w:rtl/>
        </w:rPr>
        <w:t xml:space="preserve"> זו היא חזקה שאין עמה טענה ואינה חזקה</w:t>
      </w:r>
      <w:r>
        <w:rPr>
          <w:rFonts w:cs="Arial" w:hint="cs"/>
          <w:rtl/>
        </w:rPr>
        <w:t>.</w:t>
      </w:r>
      <w:r w:rsidRPr="004638AD">
        <w:rPr>
          <w:rFonts w:cs="Arial"/>
          <w:rtl/>
        </w:rPr>
        <w:t xml:space="preserve"> אבל אם מתה האם</w:t>
      </w:r>
      <w:r>
        <w:rPr>
          <w:rFonts w:cs="Arial" w:hint="cs"/>
          <w:rtl/>
        </w:rPr>
        <w:t>,</w:t>
      </w:r>
      <w:r w:rsidRPr="004638AD">
        <w:rPr>
          <w:rFonts w:cs="Arial"/>
          <w:rtl/>
        </w:rPr>
        <w:t xml:space="preserve"> ויש לשמעון עדים שאמו החזיקה בבתים </w:t>
      </w:r>
      <w:r>
        <w:rPr>
          <w:rFonts w:cs="Arial" w:hint="cs"/>
          <w:rtl/>
        </w:rPr>
        <w:t xml:space="preserve">- </w:t>
      </w:r>
      <w:r w:rsidRPr="004638AD">
        <w:rPr>
          <w:rFonts w:cs="Arial"/>
          <w:rtl/>
        </w:rPr>
        <w:t>חזקתה חזקה</w:t>
      </w:r>
      <w:r>
        <w:rPr>
          <w:rFonts w:cs="Arial" w:hint="cs"/>
          <w:rtl/>
        </w:rPr>
        <w:t>,</w:t>
      </w:r>
      <w:r w:rsidRPr="004638AD">
        <w:rPr>
          <w:rFonts w:cs="Arial"/>
          <w:rtl/>
        </w:rPr>
        <w:t xml:space="preserve"> דכיון שטוענין לכל בא מכח</w:t>
      </w:r>
      <w:r>
        <w:rPr>
          <w:rFonts w:cs="Arial" w:hint="cs"/>
          <w:rtl/>
        </w:rPr>
        <w:t>ה</w:t>
      </w:r>
      <w:r w:rsidRPr="004638AD">
        <w:rPr>
          <w:rFonts w:cs="Arial"/>
          <w:rtl/>
        </w:rPr>
        <w:t xml:space="preserve"> או יורש או לוקח כל מה שהיתה היא טוענת אם היתה קיימת</w:t>
      </w:r>
      <w:r>
        <w:rPr>
          <w:rFonts w:cs="Arial" w:hint="cs"/>
          <w:rtl/>
        </w:rPr>
        <w:t>,</w:t>
      </w:r>
      <w:r w:rsidRPr="004638AD">
        <w:rPr>
          <w:rFonts w:cs="Arial"/>
          <w:rtl/>
        </w:rPr>
        <w:t xml:space="preserve"> והיא יכולה לטעון קניתי הבתים והחזקתי בהם שני חזקה</w:t>
      </w:r>
      <w:r>
        <w:rPr>
          <w:rFonts w:cs="Arial" w:hint="cs"/>
          <w:rtl/>
        </w:rPr>
        <w:t>,</w:t>
      </w:r>
      <w:r w:rsidRPr="004638AD">
        <w:rPr>
          <w:rFonts w:cs="Arial"/>
          <w:rtl/>
        </w:rPr>
        <w:t xml:space="preserve"> ב"ד הגבום לי בנדונייתי או בכתובתי</w:t>
      </w:r>
      <w:r>
        <w:rPr>
          <w:rFonts w:cs="Arial" w:hint="cs"/>
          <w:rtl/>
        </w:rPr>
        <w:t>.</w:t>
      </w:r>
      <w:r w:rsidRPr="004638AD">
        <w:rPr>
          <w:rFonts w:cs="Arial"/>
          <w:rtl/>
        </w:rPr>
        <w:t xml:space="preserve"> וחזקה</w:t>
      </w:r>
      <w:r>
        <w:rPr>
          <w:rFonts w:cs="Arial" w:hint="cs"/>
          <w:rtl/>
        </w:rPr>
        <w:t xml:space="preserve"> </w:t>
      </w:r>
      <w:r w:rsidRPr="004638AD">
        <w:rPr>
          <w:rFonts w:cs="Arial"/>
          <w:rtl/>
        </w:rPr>
        <w:t>מועלת לכל אדם</w:t>
      </w:r>
      <w:r>
        <w:rPr>
          <w:rFonts w:cs="Arial" w:hint="cs"/>
          <w:rtl/>
        </w:rPr>
        <w:t>,</w:t>
      </w:r>
      <w:r w:rsidRPr="004638AD">
        <w:rPr>
          <w:rFonts w:cs="Arial"/>
          <w:rtl/>
        </w:rPr>
        <w:t xml:space="preserve"> דאין אדם נזהר בשטרו</w:t>
      </w:r>
      <w:r>
        <w:rPr>
          <w:rFonts w:cs="Arial" w:hint="cs"/>
          <w:rtl/>
        </w:rPr>
        <w:t>.</w:t>
      </w:r>
      <w:r w:rsidRPr="004638AD">
        <w:rPr>
          <w:rFonts w:cs="Arial"/>
          <w:rtl/>
        </w:rPr>
        <w:t xml:space="preserve"> הילכך שמעון שיש לו שטר על אמו בת"ש זהובים ונשתעבדו לו כל נכסיה</w:t>
      </w:r>
      <w:r>
        <w:rPr>
          <w:rFonts w:cs="Arial" w:hint="cs"/>
          <w:rtl/>
        </w:rPr>
        <w:t>,</w:t>
      </w:r>
      <w:r w:rsidRPr="004638AD">
        <w:rPr>
          <w:rFonts w:cs="Arial"/>
          <w:rtl/>
        </w:rPr>
        <w:t xml:space="preserve"> טוענים לו מה שהיתה יכולה לטעון ויגבה ת"ש זהובים מנכסיה</w:t>
      </w:r>
      <w:r>
        <w:rPr>
          <w:rFonts w:cs="Arial" w:hint="cs"/>
          <w:rtl/>
        </w:rPr>
        <w:t>,</w:t>
      </w:r>
      <w:r w:rsidRPr="004638AD">
        <w:rPr>
          <w:rFonts w:cs="Arial"/>
          <w:rtl/>
        </w:rPr>
        <w:t xml:space="preserve"> דכמו שטוענין ליורש ולוקח כך טוענין לב"ח שנשתעבדו לו הנכסים בחייה</w:t>
      </w:r>
      <w:r>
        <w:rPr>
          <w:rFonts w:cs="Arial" w:hint="cs"/>
          <w:rtl/>
        </w:rPr>
        <w:t>.</w:t>
      </w:r>
      <w:r w:rsidRPr="004638AD">
        <w:rPr>
          <w:rFonts w:cs="Arial"/>
          <w:rtl/>
        </w:rPr>
        <w:t xml:space="preserve"> ואם הבתים שוים יותר מת"ש זהובים </w:t>
      </w:r>
      <w:r>
        <w:rPr>
          <w:rFonts w:cs="Arial" w:hint="cs"/>
          <w:rtl/>
        </w:rPr>
        <w:t xml:space="preserve">- </w:t>
      </w:r>
      <w:r w:rsidRPr="004638AD">
        <w:rPr>
          <w:rFonts w:cs="Arial"/>
          <w:rtl/>
        </w:rPr>
        <w:t xml:space="preserve">יחלקו ראובן ושמעון המותר. </w:t>
      </w:r>
    </w:p>
    <w:p w14:paraId="773F79A5" w14:textId="77777777" w:rsidR="002E5BAD" w:rsidRPr="003F7A28" w:rsidRDefault="002E5BAD" w:rsidP="002E5BAD">
      <w:r w:rsidRPr="008A7E8C">
        <w:rPr>
          <w:rFonts w:cs="Arial" w:hint="cs"/>
          <w:u w:val="single"/>
          <w:rtl/>
        </w:rPr>
        <w:t>הורים</w:t>
      </w:r>
      <w:r w:rsidRPr="008A7E8C">
        <w:rPr>
          <w:rFonts w:cs="Arial"/>
          <w:u w:val="single"/>
          <w:rtl/>
        </w:rPr>
        <w:t xml:space="preserve"> נתחייבו לבנם ולמשודכתו רחל מאה מנה לכשיתבעום שניהם בהסכמה אחת</w:t>
      </w:r>
      <w:r w:rsidRPr="008A7E8C">
        <w:rPr>
          <w:rFonts w:cs="Arial" w:hint="cs"/>
          <w:u w:val="single"/>
          <w:rtl/>
        </w:rPr>
        <w:t>,</w:t>
      </w:r>
      <w:r w:rsidRPr="008A7E8C">
        <w:rPr>
          <w:rFonts w:cs="Arial"/>
          <w:u w:val="single"/>
          <w:rtl/>
        </w:rPr>
        <w:t xml:space="preserve"> </w:t>
      </w:r>
      <w:r w:rsidRPr="008A7E8C">
        <w:rPr>
          <w:rFonts w:cs="Arial" w:hint="cs"/>
          <w:u w:val="single"/>
          <w:rtl/>
        </w:rPr>
        <w:t>ומת בנם קודם שתבעום:</w:t>
      </w:r>
    </w:p>
    <w:p w14:paraId="592AAE78" w14:textId="77777777" w:rsidR="002E5BAD" w:rsidRDefault="002E5BAD" w:rsidP="00B75458">
      <w:pPr>
        <w:pStyle w:val="ab"/>
        <w:numPr>
          <w:ilvl w:val="0"/>
          <w:numId w:val="204"/>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תפא</w:t>
      </w:r>
      <w:r w:rsidRPr="003F7A28">
        <w:rPr>
          <w:rFonts w:cs="Arial" w:hint="cs"/>
          <w:sz w:val="16"/>
          <w:szCs w:val="16"/>
          <w:rtl/>
        </w:rPr>
        <w:t>)</w:t>
      </w:r>
      <w:r>
        <w:rPr>
          <w:rFonts w:cs="Arial" w:hint="cs"/>
          <w:rtl/>
        </w:rPr>
        <w:t>-</w:t>
      </w:r>
      <w:r w:rsidRPr="004638AD">
        <w:rPr>
          <w:rFonts w:cs="Arial"/>
          <w:rtl/>
        </w:rPr>
        <w:t xml:space="preserve"> ראובן ואשתו נתחייבו לבנם יעקב ולמשודכתו רחל מאה מנה בכל תוקף לכשיתבעום שניהם בהסכמה אחת</w:t>
      </w:r>
      <w:r>
        <w:rPr>
          <w:rFonts w:cs="Arial" w:hint="cs"/>
          <w:rtl/>
        </w:rPr>
        <w:t>.</w:t>
      </w:r>
      <w:r w:rsidRPr="004638AD">
        <w:rPr>
          <w:rFonts w:cs="Arial"/>
          <w:rtl/>
        </w:rPr>
        <w:t xml:space="preserve"> והודו בשטר שהונחו בידם לאחריות הכתובה שיכתוב בנם לרחל הנזכרת בשעה שישאנה</w:t>
      </w:r>
      <w:r>
        <w:rPr>
          <w:rFonts w:cs="Arial" w:hint="cs"/>
          <w:rtl/>
        </w:rPr>
        <w:t>.</w:t>
      </w:r>
      <w:r w:rsidRPr="004638AD">
        <w:rPr>
          <w:rFonts w:cs="Arial"/>
          <w:rtl/>
        </w:rPr>
        <w:t xml:space="preserve"> אח"כ מת הבן ובאה אלמנתו בשטר כתובתה לגבות החוב ההוא</w:t>
      </w:r>
      <w:r>
        <w:rPr>
          <w:rFonts w:cs="Arial" w:hint="cs"/>
          <w:rtl/>
        </w:rPr>
        <w:t>.</w:t>
      </w:r>
      <w:r w:rsidRPr="004638AD">
        <w:rPr>
          <w:rFonts w:cs="Arial"/>
          <w:rtl/>
        </w:rPr>
        <w:t xml:space="preserve"> וראובן טוען שלא נתחייב אלא כשיתבעום שניהם בהסכמה אחת</w:t>
      </w:r>
      <w:r>
        <w:rPr>
          <w:rFonts w:cs="Arial" w:hint="cs"/>
          <w:rtl/>
        </w:rPr>
        <w:t>,</w:t>
      </w:r>
      <w:r w:rsidRPr="004638AD">
        <w:rPr>
          <w:rFonts w:cs="Arial"/>
          <w:rtl/>
        </w:rPr>
        <w:t xml:space="preserve"> וכיון שמת בנו ואינו שיסכים בתביעה ההיא הוא פטור</w:t>
      </w:r>
      <w:r>
        <w:rPr>
          <w:rFonts w:cs="Arial" w:hint="cs"/>
          <w:rtl/>
        </w:rPr>
        <w:t>.</w:t>
      </w:r>
      <w:r w:rsidRPr="004638AD">
        <w:rPr>
          <w:rFonts w:cs="Arial"/>
          <w:rtl/>
        </w:rPr>
        <w:t xml:space="preserve"> ועוד שכיון שהיה לאחריות הכתובה העתידה ליכתב</w:t>
      </w:r>
      <w:r>
        <w:rPr>
          <w:rFonts w:cs="Arial" w:hint="cs"/>
          <w:rtl/>
        </w:rPr>
        <w:t>,</w:t>
      </w:r>
      <w:r w:rsidRPr="004638AD">
        <w:rPr>
          <w:rFonts w:cs="Arial"/>
          <w:rtl/>
        </w:rPr>
        <w:t xml:space="preserve"> אין השעבוד כלום</w:t>
      </w:r>
      <w:r>
        <w:rPr>
          <w:rFonts w:cs="Arial" w:hint="cs"/>
          <w:rtl/>
        </w:rPr>
        <w:t>,</w:t>
      </w:r>
      <w:r w:rsidRPr="004638AD">
        <w:rPr>
          <w:rFonts w:cs="Arial"/>
          <w:rtl/>
        </w:rPr>
        <w:t xml:space="preserve"> דהוי כדבר שלא בא לעולם</w:t>
      </w:r>
      <w:r>
        <w:rPr>
          <w:rFonts w:cs="Arial" w:hint="cs"/>
          <w:rtl/>
        </w:rPr>
        <w:t>.</w:t>
      </w:r>
      <w:r w:rsidRPr="004638AD">
        <w:rPr>
          <w:rFonts w:cs="Arial"/>
          <w:rtl/>
        </w:rPr>
        <w:t xml:space="preserve"> ועוד שמלת הונחו הכתוב בשטר נראה שהיו פקדון ולא מלוה</w:t>
      </w:r>
      <w:r>
        <w:rPr>
          <w:rFonts w:cs="Arial" w:hint="cs"/>
          <w:rtl/>
        </w:rPr>
        <w:t>.</w:t>
      </w:r>
      <w:r w:rsidRPr="004638AD">
        <w:rPr>
          <w:rFonts w:cs="Arial"/>
          <w:rtl/>
        </w:rPr>
        <w:t xml:space="preserve"> ועוד שאפילו היה חייב אותם הוא פרע לבנו שהוציא הוצאות הנישואין והמלבושים ופרנסת שניהם על שלחנו ורחל טוענת כנגדו על הכל</w:t>
      </w:r>
      <w:r>
        <w:rPr>
          <w:rFonts w:cs="Arial" w:hint="cs"/>
          <w:rtl/>
        </w:rPr>
        <w:t>... - ה</w:t>
      </w:r>
      <w:r w:rsidRPr="004638AD">
        <w:rPr>
          <w:rFonts w:cs="Arial"/>
          <w:rtl/>
        </w:rPr>
        <w:t xml:space="preserve">דין עם רחל. </w:t>
      </w:r>
    </w:p>
    <w:p w14:paraId="5574116D" w14:textId="77777777" w:rsidR="002E5BAD" w:rsidRPr="008F2232" w:rsidRDefault="002E5BAD" w:rsidP="002E5BAD"/>
    <w:p w14:paraId="60CD68A6" w14:textId="77777777" w:rsidR="002E5BAD" w:rsidRPr="003F7A28" w:rsidRDefault="002E5BAD" w:rsidP="00B75458">
      <w:pPr>
        <w:pStyle w:val="ab"/>
        <w:numPr>
          <w:ilvl w:val="0"/>
          <w:numId w:val="204"/>
        </w:numPr>
      </w:pPr>
      <w:r w:rsidRPr="004638AD">
        <w:rPr>
          <w:rFonts w:cs="Arial"/>
          <w:rtl/>
        </w:rPr>
        <w:lastRenderedPageBreak/>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w:t>
      </w:r>
      <w:r>
        <w:rPr>
          <w:rFonts w:cs="Arial" w:hint="cs"/>
          <w:sz w:val="16"/>
          <w:szCs w:val="16"/>
          <w:rtl/>
        </w:rPr>
        <w:t>רמד</w:t>
      </w:r>
      <w:r w:rsidRPr="003F7A28">
        <w:rPr>
          <w:rFonts w:cs="Arial" w:hint="cs"/>
          <w:sz w:val="16"/>
          <w:szCs w:val="16"/>
          <w:rtl/>
        </w:rPr>
        <w:t>)</w:t>
      </w:r>
      <w:r>
        <w:rPr>
          <w:rFonts w:cs="Arial" w:hint="cs"/>
          <w:rtl/>
        </w:rPr>
        <w:t>-</w:t>
      </w:r>
      <w:r w:rsidRPr="004638AD">
        <w:rPr>
          <w:rFonts w:cs="Arial"/>
          <w:rtl/>
        </w:rPr>
        <w:t xml:space="preserve"> מעשה בראובן שצוה מחמת מיתה ונתן מתנות עודפות על חצי נכסיו ואמרו לאשתו שתטול קנין להשלים כל צוואתו ונטלה קנין בזה הלשון אני משעבדת עצמי להשלים מנכסי המת כל צוואתו ועתה טוענת האלמנה שהנכסים שהם שלה בכתובתה לא (נ"א: ולא) שעבדה בדבר זה כי אם החלק של היורשים ולא נטלה קנין אלא לפי שהיו כל הנכסים ברשותה והשיב שהדין עם האלמנה. </w:t>
      </w:r>
    </w:p>
    <w:p w14:paraId="43349148" w14:textId="77777777" w:rsidR="002E5BAD" w:rsidRPr="004307E9" w:rsidRDefault="002E5BAD" w:rsidP="002E5BAD">
      <w:pPr>
        <w:rPr>
          <w:u w:val="single"/>
          <w:rtl/>
        </w:rPr>
      </w:pPr>
      <w:r w:rsidRPr="004307E9">
        <w:rPr>
          <w:rFonts w:hint="cs"/>
          <w:u w:val="single"/>
          <w:rtl/>
        </w:rPr>
        <w:t>תקנות שתקנו בתקופת הריב"ש לטובת היתומים:</w:t>
      </w:r>
    </w:p>
    <w:p w14:paraId="52B63CFD" w14:textId="77777777" w:rsidR="002E5BAD" w:rsidRPr="003F7A28" w:rsidRDefault="002E5BAD" w:rsidP="00B75458">
      <w:pPr>
        <w:pStyle w:val="ab"/>
        <w:numPr>
          <w:ilvl w:val="0"/>
          <w:numId w:val="204"/>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w:t>
      </w:r>
      <w:r>
        <w:rPr>
          <w:rFonts w:cs="Arial" w:hint="cs"/>
          <w:sz w:val="16"/>
          <w:szCs w:val="16"/>
          <w:rtl/>
        </w:rPr>
        <w:t>קז</w:t>
      </w:r>
      <w:r w:rsidRPr="003F7A28">
        <w:rPr>
          <w:rFonts w:cs="Arial" w:hint="cs"/>
          <w:sz w:val="16"/>
          <w:szCs w:val="16"/>
          <w:rtl/>
        </w:rPr>
        <w:t>)</w:t>
      </w:r>
      <w:r>
        <w:rPr>
          <w:rFonts w:cs="Arial" w:hint="cs"/>
          <w:rtl/>
        </w:rPr>
        <w:t>-</w:t>
      </w:r>
      <w:r w:rsidRPr="004638AD">
        <w:rPr>
          <w:rFonts w:cs="Arial"/>
          <w:rtl/>
        </w:rPr>
        <w:t xml:space="preserve"> נהגנו כאנשי גליל</w:t>
      </w:r>
      <w:r>
        <w:rPr>
          <w:rFonts w:cs="Arial" w:hint="cs"/>
          <w:rtl/>
        </w:rPr>
        <w:t>,</w:t>
      </w:r>
      <w:r w:rsidRPr="004638AD">
        <w:rPr>
          <w:rFonts w:cs="Arial"/>
          <w:rtl/>
        </w:rPr>
        <w:t xml:space="preserve"> וכשראו הקהל שנכסי היחידים מועטים</w:t>
      </w:r>
      <w:r>
        <w:rPr>
          <w:rFonts w:cs="Arial" w:hint="cs"/>
          <w:rtl/>
        </w:rPr>
        <w:t>,</w:t>
      </w:r>
      <w:r w:rsidRPr="004638AD">
        <w:rPr>
          <w:rFonts w:cs="Arial"/>
          <w:rtl/>
        </w:rPr>
        <w:t xml:space="preserve"> ואם האלמנה תהיה נזונת לעולם לא ישאר דבר ליתומים</w:t>
      </w:r>
      <w:r>
        <w:rPr>
          <w:rFonts w:cs="Arial" w:hint="cs"/>
          <w:rtl/>
        </w:rPr>
        <w:t>,</w:t>
      </w:r>
      <w:r w:rsidRPr="004638AD">
        <w:rPr>
          <w:rFonts w:cs="Arial"/>
          <w:rtl/>
        </w:rPr>
        <w:t xml:space="preserve"> עשו תקנות בענייני הנישואים הנעשים מהיום ההוא ואילך</w:t>
      </w:r>
      <w:r>
        <w:rPr>
          <w:rFonts w:cs="Arial" w:hint="cs"/>
          <w:rtl/>
        </w:rPr>
        <w:t>,</w:t>
      </w:r>
      <w:r w:rsidRPr="004638AD">
        <w:rPr>
          <w:rFonts w:cs="Arial"/>
          <w:rtl/>
        </w:rPr>
        <w:t xml:space="preserve"> כי לא ראו לגרוע זכות הנשים בנישואין שנעשו כבר אבל ישארו על דין התלמוד</w:t>
      </w:r>
      <w:r>
        <w:rPr>
          <w:rFonts w:cs="Arial" w:hint="cs"/>
          <w:rtl/>
        </w:rPr>
        <w:t>.</w:t>
      </w:r>
      <w:r w:rsidRPr="004638AD">
        <w:rPr>
          <w:rFonts w:cs="Arial"/>
          <w:rtl/>
        </w:rPr>
        <w:t xml:space="preserve"> וזה כמו שמנה שנים שנעשו התקנות ההם ומהם שכל זמן שירצו היורשים לפרוע לה כתובתה ולסלקה מזכות מזונותיה שיהא רשות בידם</w:t>
      </w:r>
      <w:r>
        <w:rPr>
          <w:rFonts w:cs="Arial" w:hint="cs"/>
          <w:rtl/>
        </w:rPr>
        <w:t>,</w:t>
      </w:r>
      <w:r w:rsidRPr="004638AD">
        <w:rPr>
          <w:rFonts w:cs="Arial"/>
          <w:rtl/>
        </w:rPr>
        <w:t xml:space="preserve"> זולתי בג' חדשים הראשונים</w:t>
      </w:r>
      <w:r>
        <w:rPr>
          <w:rFonts w:cs="Arial" w:hint="cs"/>
          <w:rtl/>
        </w:rPr>
        <w:t>.</w:t>
      </w:r>
      <w:r w:rsidRPr="004638AD">
        <w:rPr>
          <w:rFonts w:cs="Arial"/>
          <w:rtl/>
        </w:rPr>
        <w:t xml:space="preserve"> וכן תיקנו לתועלת היתומים שהתוספת הנהוג לכתוב לבתולות שלא תגבה ממנה כלום זולתי אם תתגרש שלא ברצונה</w:t>
      </w:r>
      <w:r>
        <w:rPr>
          <w:rFonts w:cs="Arial" w:hint="cs"/>
          <w:rtl/>
        </w:rPr>
        <w:t>,</w:t>
      </w:r>
      <w:r w:rsidRPr="004638AD">
        <w:rPr>
          <w:rFonts w:cs="Arial"/>
          <w:rtl/>
        </w:rPr>
        <w:t xml:space="preserve"> אבל במיתת הבעל לא תגבה מן התוספת כלום</w:t>
      </w:r>
      <w:r>
        <w:rPr>
          <w:rFonts w:cs="Arial" w:hint="cs"/>
          <w:rtl/>
        </w:rPr>
        <w:t>,</w:t>
      </w:r>
      <w:r w:rsidRPr="004638AD">
        <w:rPr>
          <w:rFonts w:cs="Arial"/>
          <w:rtl/>
        </w:rPr>
        <w:t xml:space="preserve"> ודי לה שתגבה עיקר כתובה</w:t>
      </w:r>
      <w:r>
        <w:rPr>
          <w:rFonts w:cs="Arial" w:hint="cs"/>
          <w:rtl/>
        </w:rPr>
        <w:t>.</w:t>
      </w:r>
      <w:r w:rsidRPr="004638AD">
        <w:rPr>
          <w:rFonts w:cs="Arial"/>
          <w:rtl/>
        </w:rPr>
        <w:t xml:space="preserve"> ונדוניא שהכניסה קצתה בבגדים יותר משיוויים והיא עצמה בלתה אותם</w:t>
      </w:r>
      <w:r>
        <w:rPr>
          <w:rFonts w:cs="Arial" w:hint="cs"/>
          <w:rtl/>
        </w:rPr>
        <w:t>,</w:t>
      </w:r>
      <w:r w:rsidRPr="004638AD">
        <w:rPr>
          <w:rFonts w:cs="Arial"/>
          <w:rtl/>
        </w:rPr>
        <w:t xml:space="preserve"> וגם המעות הנשארים מהנדוניא הוציא קצתם בצרכי הנישואין</w:t>
      </w:r>
      <w:r>
        <w:rPr>
          <w:rFonts w:cs="Arial" w:hint="cs"/>
          <w:rtl/>
        </w:rPr>
        <w:t>,</w:t>
      </w:r>
      <w:r w:rsidRPr="004638AD">
        <w:rPr>
          <w:rFonts w:cs="Arial"/>
          <w:rtl/>
        </w:rPr>
        <w:t xml:space="preserve"> ועתה תגבה האלמנה במעות משלם</w:t>
      </w:r>
      <w:r>
        <w:rPr>
          <w:rFonts w:cs="Arial" w:hint="cs"/>
          <w:rtl/>
        </w:rPr>
        <w:t>?</w:t>
      </w:r>
      <w:r w:rsidRPr="004638AD">
        <w:rPr>
          <w:rFonts w:cs="Arial"/>
          <w:rtl/>
        </w:rPr>
        <w:t xml:space="preserve"> </w:t>
      </w:r>
      <w:r>
        <w:rPr>
          <w:rFonts w:cs="Arial" w:hint="cs"/>
          <w:rtl/>
        </w:rPr>
        <w:t xml:space="preserve">- </w:t>
      </w:r>
      <w:r w:rsidRPr="004638AD">
        <w:rPr>
          <w:rFonts w:cs="Arial"/>
          <w:rtl/>
        </w:rPr>
        <w:t>אין ראוי שתגבה התוספת מן היתומים</w:t>
      </w:r>
      <w:r>
        <w:rPr>
          <w:rFonts w:cs="Arial" w:hint="cs"/>
          <w:rtl/>
        </w:rPr>
        <w:t>.</w:t>
      </w:r>
      <w:r w:rsidRPr="004638AD">
        <w:rPr>
          <w:rFonts w:cs="Arial"/>
          <w:rtl/>
        </w:rPr>
        <w:t xml:space="preserve"> ועוד תיקנו אז תקנות אחרות וכל הנושא מאז והנה ע"ד התקנות ההם הוא נושא</w:t>
      </w:r>
      <w:r>
        <w:rPr>
          <w:rFonts w:cs="Arial" w:hint="cs"/>
          <w:rtl/>
        </w:rPr>
        <w:t>.</w:t>
      </w:r>
      <w:r w:rsidRPr="004638AD">
        <w:rPr>
          <w:rFonts w:cs="Arial"/>
          <w:rtl/>
        </w:rPr>
        <w:t xml:space="preserve"> וכן כותבין בכתובה כהוגן וכתיקון חז"ל וע"פ התקנות שתיקנו קהל אלגזאי"ר. </w:t>
      </w:r>
    </w:p>
    <w:p w14:paraId="344E9AD7" w14:textId="77777777" w:rsidR="002E5BAD" w:rsidRPr="004307E9" w:rsidRDefault="002E5BAD" w:rsidP="002E5BAD">
      <w:pPr>
        <w:rPr>
          <w:u w:val="single"/>
        </w:rPr>
      </w:pPr>
      <w:r w:rsidRPr="004307E9">
        <w:rPr>
          <w:rFonts w:cs="Arial"/>
          <w:u w:val="single"/>
          <w:rtl/>
        </w:rPr>
        <w:t xml:space="preserve">כתובה שהתנו בה </w:t>
      </w:r>
      <w:r>
        <w:rPr>
          <w:rFonts w:cs="Arial" w:hint="cs"/>
          <w:u w:val="single"/>
          <w:rtl/>
        </w:rPr>
        <w:t xml:space="preserve">שיזכו </w:t>
      </w:r>
      <w:r w:rsidRPr="004307E9">
        <w:rPr>
          <w:rFonts w:cs="Arial"/>
          <w:u w:val="single"/>
          <w:rtl/>
        </w:rPr>
        <w:t>יורשיה</w:t>
      </w:r>
      <w:r>
        <w:rPr>
          <w:rFonts w:cs="Arial" w:hint="cs"/>
          <w:u w:val="single"/>
          <w:rtl/>
        </w:rPr>
        <w:t xml:space="preserve"> בשיור מנכסיה</w:t>
      </w:r>
      <w:r w:rsidRPr="004307E9">
        <w:rPr>
          <w:rFonts w:cs="Arial"/>
          <w:u w:val="single"/>
          <w:rtl/>
        </w:rPr>
        <w:t xml:space="preserve"> אם לא ישאר ממנה ולד של קיימא</w:t>
      </w:r>
      <w:r>
        <w:rPr>
          <w:rFonts w:cs="Arial" w:hint="cs"/>
          <w:u w:val="single"/>
          <w:rtl/>
        </w:rPr>
        <w:t>, והשאר לבעלה</w:t>
      </w:r>
      <w:r w:rsidRPr="004307E9">
        <w:rPr>
          <w:rFonts w:hint="cs"/>
          <w:u w:val="single"/>
          <w:rtl/>
        </w:rPr>
        <w:t>:</w:t>
      </w:r>
    </w:p>
    <w:p w14:paraId="4696F748" w14:textId="77777777" w:rsidR="002E5BAD" w:rsidRPr="004307E9" w:rsidRDefault="002E5BAD" w:rsidP="00B75458">
      <w:pPr>
        <w:pStyle w:val="ab"/>
        <w:numPr>
          <w:ilvl w:val="0"/>
          <w:numId w:val="204"/>
        </w:numPr>
      </w:pPr>
      <w:r>
        <w:rPr>
          <w:rFonts w:cs="Arial" w:hint="cs"/>
          <w:rtl/>
        </w:rPr>
        <w:t>רשב"א</w:t>
      </w:r>
      <w:r w:rsidRPr="004638AD">
        <w:rPr>
          <w:rFonts w:cs="Arial"/>
          <w:rtl/>
        </w:rPr>
        <w:t xml:space="preserve"> </w:t>
      </w:r>
      <w:r w:rsidRPr="003F7A28">
        <w:rPr>
          <w:rFonts w:cs="Arial"/>
          <w:sz w:val="16"/>
          <w:szCs w:val="16"/>
          <w:rtl/>
        </w:rPr>
        <w:t>(במיוחסות סי</w:t>
      </w:r>
      <w:r w:rsidRPr="003F7A28">
        <w:rPr>
          <w:rFonts w:cs="Arial" w:hint="cs"/>
          <w:sz w:val="16"/>
          <w:szCs w:val="16"/>
          <w:rtl/>
        </w:rPr>
        <w:t>'</w:t>
      </w:r>
      <w:r w:rsidRPr="003F7A28">
        <w:rPr>
          <w:rFonts w:cs="Arial"/>
          <w:sz w:val="16"/>
          <w:szCs w:val="16"/>
          <w:rtl/>
        </w:rPr>
        <w:t xml:space="preserve"> י</w:t>
      </w:r>
      <w:r w:rsidRPr="003F7A28">
        <w:rPr>
          <w:rFonts w:cs="Arial" w:hint="cs"/>
          <w:sz w:val="16"/>
          <w:szCs w:val="16"/>
          <w:rtl/>
        </w:rPr>
        <w:t>)</w:t>
      </w:r>
      <w:r>
        <w:rPr>
          <w:rFonts w:cs="Arial" w:hint="cs"/>
          <w:rtl/>
        </w:rPr>
        <w:t>-</w:t>
      </w:r>
      <w:r w:rsidRPr="004638AD">
        <w:rPr>
          <w:rFonts w:cs="Arial"/>
          <w:rtl/>
        </w:rPr>
        <w:t xml:space="preserve"> כתובה שהתנו בה שיור ליורשיה אם לא ישאר ממנה ולד של קיימא</w:t>
      </w:r>
      <w:r>
        <w:rPr>
          <w:rFonts w:cs="Arial" w:hint="cs"/>
          <w:rtl/>
        </w:rPr>
        <w:t>.</w:t>
      </w:r>
      <w:r w:rsidRPr="004638AD">
        <w:rPr>
          <w:rFonts w:cs="Arial"/>
          <w:rtl/>
        </w:rPr>
        <w:t xml:space="preserve"> ומתה היא ואח"כ מת הולד תוך ל' יום והיורשים טוענים שכיון שמת תוך ל' יום הרי זה בכלל נפל והשיב שאין בדבריהם כלום משום דכל שלא שהה שלשים יום באדם אינו ודאי נפל אפילו לרבן שמעון בן גמליאל (שבת קלה:) ומספיקא לא מפקינן ממונא וכל שכן לרבנן (שם קלו.) דפליגי עליה וקיי"ל כוותייהו ואילו היה התנאי כל שישאר ממנה ולד של קיימא לא יחזיר כלום ליורשיה היה על הבעל להביא ראיה לפי שלא זכה באותו שיור אלא אם כן ישאר ממנה ולד של קיימא ועליו הראיה</w:t>
      </w:r>
      <w:r>
        <w:rPr>
          <w:rFonts w:cs="Arial" w:hint="cs"/>
          <w:rtl/>
        </w:rPr>
        <w:t>.</w:t>
      </w:r>
      <w:r w:rsidRPr="004638AD">
        <w:rPr>
          <w:rFonts w:cs="Arial"/>
          <w:rtl/>
        </w:rPr>
        <w:t xml:space="preserve"> אבל כאן כבר זכה בכל ממון הנדוניא אלא שהתנה שאם לא ישאר ממנה ולד של קיימא שיחזיר</w:t>
      </w:r>
      <w:r>
        <w:rPr>
          <w:rFonts w:cs="Arial" w:hint="cs"/>
          <w:rtl/>
        </w:rPr>
        <w:t>,</w:t>
      </w:r>
      <w:r w:rsidRPr="004638AD">
        <w:rPr>
          <w:rFonts w:cs="Arial"/>
          <w:rtl/>
        </w:rPr>
        <w:t xml:space="preserve"> אם כן מי שאמר שלא היה ולד של קיימא עליו הראיה.</w:t>
      </w:r>
    </w:p>
    <w:p w14:paraId="28996272" w14:textId="77777777" w:rsidR="002E5BAD" w:rsidRPr="000E3CF4" w:rsidRDefault="002E5BAD" w:rsidP="002E5BAD">
      <w:pPr>
        <w:rPr>
          <w:u w:val="single"/>
        </w:rPr>
      </w:pPr>
      <w:r w:rsidRPr="000E3CF4">
        <w:rPr>
          <w:rFonts w:cs="Arial"/>
          <w:u w:val="single"/>
          <w:rtl/>
        </w:rPr>
        <w:t>ראובן ואשתו עשו תנאי ביניהם בקנין שאם תפטר היא בחייו יחזיר כל מה שהביאה וק' זהובים יותר</w:t>
      </w:r>
      <w:r w:rsidRPr="000E3CF4">
        <w:rPr>
          <w:rFonts w:hint="cs"/>
          <w:u w:val="single"/>
          <w:rtl/>
        </w:rPr>
        <w:t>:</w:t>
      </w:r>
    </w:p>
    <w:p w14:paraId="1F62685D" w14:textId="77777777" w:rsidR="002E5BAD" w:rsidRDefault="002E5BAD" w:rsidP="00B75458">
      <w:pPr>
        <w:pStyle w:val="ab"/>
        <w:numPr>
          <w:ilvl w:val="0"/>
          <w:numId w:val="204"/>
        </w:numPr>
      </w:pPr>
      <w:r w:rsidRPr="004638AD">
        <w:rPr>
          <w:rFonts w:cs="Arial"/>
          <w:rtl/>
        </w:rPr>
        <w:t xml:space="preserve">רשב"א </w:t>
      </w:r>
      <w:r w:rsidRPr="00592052">
        <w:rPr>
          <w:rFonts w:cs="Arial"/>
          <w:sz w:val="16"/>
          <w:szCs w:val="16"/>
          <w:rtl/>
        </w:rPr>
        <w:t>(ח"א סי' אלף קמב)</w:t>
      </w:r>
      <w:r>
        <w:rPr>
          <w:rFonts w:cs="Arial" w:hint="cs"/>
          <w:rtl/>
        </w:rPr>
        <w:t xml:space="preserve">- </w:t>
      </w:r>
      <w:r w:rsidRPr="004638AD">
        <w:rPr>
          <w:rFonts w:cs="Arial"/>
          <w:rtl/>
        </w:rPr>
        <w:t>ראובן ואשתו עשו תנאי ביניהם בקנין שאם תפטר היא בחייו יחזיר כל מה שהביאה וק' זהובים יותר</w:t>
      </w:r>
      <w:r>
        <w:rPr>
          <w:rFonts w:cs="Arial" w:hint="cs"/>
          <w:rtl/>
        </w:rPr>
        <w:t>.   תשובה-</w:t>
      </w:r>
      <w:r w:rsidRPr="004638AD">
        <w:rPr>
          <w:rFonts w:cs="Arial"/>
          <w:rtl/>
        </w:rPr>
        <w:t xml:space="preserve"> כל שאמר </w:t>
      </w:r>
      <w:r>
        <w:rPr>
          <w:rFonts w:cs="Arial" w:hint="cs"/>
          <w:rtl/>
        </w:rPr>
        <w:t>'</w:t>
      </w:r>
      <w:r w:rsidRPr="004638AD">
        <w:rPr>
          <w:rFonts w:cs="Arial"/>
          <w:rtl/>
        </w:rPr>
        <w:t>לכשירדו גשמים אתן לך כך וכך</w:t>
      </w:r>
      <w:r>
        <w:rPr>
          <w:rFonts w:cs="Arial" w:hint="cs"/>
          <w:rtl/>
        </w:rPr>
        <w:t>',</w:t>
      </w:r>
      <w:r w:rsidRPr="004638AD">
        <w:rPr>
          <w:rFonts w:cs="Arial"/>
          <w:rtl/>
        </w:rPr>
        <w:t xml:space="preserve"> וקנו מידו </w:t>
      </w:r>
      <w:r>
        <w:rPr>
          <w:rFonts w:cs="Arial" w:hint="cs"/>
          <w:rtl/>
        </w:rPr>
        <w:t xml:space="preserve">- </w:t>
      </w:r>
      <w:r w:rsidRPr="004638AD">
        <w:rPr>
          <w:rFonts w:cs="Arial"/>
          <w:rtl/>
        </w:rPr>
        <w:t>קנה אף על פי שלא אמר בלשון חיוב</w:t>
      </w:r>
      <w:r>
        <w:rPr>
          <w:rFonts w:cs="Arial" w:hint="cs"/>
          <w:rtl/>
        </w:rPr>
        <w:t>,</w:t>
      </w:r>
      <w:r w:rsidRPr="004638AD">
        <w:rPr>
          <w:rFonts w:cs="Arial"/>
          <w:rtl/>
        </w:rPr>
        <w:t xml:space="preserve"> דקנין מילתא אלימתא הוא</w:t>
      </w:r>
      <w:r>
        <w:rPr>
          <w:rFonts w:cs="Arial" w:hint="cs"/>
          <w:rtl/>
        </w:rPr>
        <w:t>,</w:t>
      </w:r>
      <w:r w:rsidRPr="004638AD">
        <w:rPr>
          <w:rFonts w:cs="Arial"/>
          <w:rtl/>
        </w:rPr>
        <w:t xml:space="preserve"> ומתקן הענין כאילו מחייב עצמו באותו דבר שאמר ליתן</w:t>
      </w:r>
      <w:r>
        <w:rPr>
          <w:rFonts w:cs="Arial" w:hint="cs"/>
          <w:rtl/>
        </w:rPr>
        <w:t>.</w:t>
      </w:r>
      <w:r w:rsidRPr="004638AD">
        <w:rPr>
          <w:rFonts w:cs="Arial"/>
          <w:rtl/>
        </w:rPr>
        <w:t xml:space="preserve"> וראיה מר"פ הכותב (כתובות פג:) ופרק זה בורר (סנהדרין כד:) גבי נאמן עלי אבא</w:t>
      </w:r>
      <w:r>
        <w:rPr>
          <w:rFonts w:cs="Arial" w:hint="cs"/>
          <w:rtl/>
        </w:rPr>
        <w:t>.</w:t>
      </w:r>
      <w:r w:rsidRPr="004638AD">
        <w:rPr>
          <w:rFonts w:cs="Arial"/>
          <w:rtl/>
        </w:rPr>
        <w:t xml:space="preserve"> ומה שאמרו שאין אדם מתנה עם אשתו שלא יירשנה נדוניא שנתנה לו לחלוטין מתחלה</w:t>
      </w:r>
      <w:r>
        <w:rPr>
          <w:rFonts w:cs="Arial" w:hint="cs"/>
          <w:rtl/>
        </w:rPr>
        <w:t>,</w:t>
      </w:r>
      <w:r w:rsidRPr="004638AD">
        <w:rPr>
          <w:rFonts w:cs="Arial"/>
          <w:rtl/>
        </w:rPr>
        <w:t xml:space="preserve"> כמו שרגילין עכשיו להכניס לבעל שיהיה שלו אלא אם כן תתאלמן או תתגרש</w:t>
      </w:r>
      <w:r>
        <w:rPr>
          <w:rFonts w:cs="Arial" w:hint="cs"/>
          <w:rtl/>
        </w:rPr>
        <w:t>,</w:t>
      </w:r>
      <w:r w:rsidRPr="004638AD">
        <w:rPr>
          <w:rFonts w:cs="Arial"/>
          <w:rtl/>
        </w:rPr>
        <w:t xml:space="preserve"> ואח"כ עמד הוא וכתב ליורשים שאם תמות היא בחייו שיתן להם כל מה שהביאה לו </w:t>
      </w:r>
      <w:r>
        <w:rPr>
          <w:rFonts w:cs="Arial" w:hint="cs"/>
          <w:rtl/>
        </w:rPr>
        <w:t xml:space="preserve">- </w:t>
      </w:r>
      <w:r w:rsidRPr="004638AD">
        <w:rPr>
          <w:rFonts w:cs="Arial"/>
          <w:rtl/>
        </w:rPr>
        <w:t>אין זה אלא כמתחייב ליתן להם משלו כך וכך שאין זה תלוי בדין ירושה כלל</w:t>
      </w:r>
      <w:r>
        <w:rPr>
          <w:rFonts w:cs="Arial" w:hint="cs"/>
          <w:rtl/>
        </w:rPr>
        <w:t>.</w:t>
      </w:r>
      <w:r w:rsidRPr="004638AD">
        <w:rPr>
          <w:rFonts w:cs="Arial"/>
          <w:rtl/>
        </w:rPr>
        <w:t xml:space="preserve"> אבל מה שמספק עלי ענין השטר לפי שאני רואה שלא חייב עצמו הבעל ולא קנו מידו ליורשים אלא שקנו מידו ללאה אשתו</w:t>
      </w:r>
      <w:r>
        <w:rPr>
          <w:rFonts w:cs="Arial" w:hint="cs"/>
          <w:rtl/>
        </w:rPr>
        <w:t>.</w:t>
      </w:r>
      <w:r w:rsidRPr="004638AD">
        <w:rPr>
          <w:rFonts w:cs="Arial"/>
          <w:rtl/>
        </w:rPr>
        <w:t xml:space="preserve"> וגם ללאה לא חייב עצמו ולא קנו מידו ליתן לה</w:t>
      </w:r>
      <w:r>
        <w:rPr>
          <w:rFonts w:cs="Arial" w:hint="cs"/>
          <w:rtl/>
        </w:rPr>
        <w:t>,</w:t>
      </w:r>
      <w:r w:rsidRPr="004638AD">
        <w:rPr>
          <w:rFonts w:cs="Arial"/>
          <w:rtl/>
        </w:rPr>
        <w:t xml:space="preserve"> אלא אמר לה הריני לוקח לך בקנין שאתן לפלוני כך וכך</w:t>
      </w:r>
      <w:r>
        <w:rPr>
          <w:rFonts w:cs="Arial" w:hint="cs"/>
          <w:rtl/>
        </w:rPr>
        <w:t>.</w:t>
      </w:r>
      <w:r w:rsidRPr="004638AD">
        <w:rPr>
          <w:rFonts w:cs="Arial"/>
          <w:rtl/>
        </w:rPr>
        <w:t xml:space="preserve"> ואם כן במה נשתעבד ליורשים שהרי לא קנו מידו להם</w:t>
      </w:r>
      <w:r>
        <w:rPr>
          <w:rFonts w:cs="Arial" w:hint="cs"/>
          <w:rtl/>
        </w:rPr>
        <w:t>,</w:t>
      </w:r>
      <w:r w:rsidRPr="004638AD">
        <w:rPr>
          <w:rFonts w:cs="Arial"/>
          <w:rtl/>
        </w:rPr>
        <w:t xml:space="preserve"> וגם ללאה לא קנו ליתן לה ושיזכו הם מחמתה</w:t>
      </w:r>
      <w:r>
        <w:rPr>
          <w:rFonts w:cs="Arial" w:hint="cs"/>
          <w:rtl/>
        </w:rPr>
        <w:t>,</w:t>
      </w:r>
      <w:r w:rsidRPr="004638AD">
        <w:rPr>
          <w:rFonts w:cs="Arial"/>
          <w:rtl/>
        </w:rPr>
        <w:t xml:space="preserve"> וכל האומר קנו ממני לראובן שאתן לשמעון במה קנה שמעון</w:t>
      </w:r>
      <w:r>
        <w:rPr>
          <w:rFonts w:cs="Arial" w:hint="cs"/>
          <w:rtl/>
        </w:rPr>
        <w:t>.</w:t>
      </w:r>
      <w:r w:rsidRPr="004638AD">
        <w:rPr>
          <w:rFonts w:cs="Arial"/>
          <w:rtl/>
        </w:rPr>
        <w:t xml:space="preserve"> זהו שסיפק עלי הדין כנגד היורשים</w:t>
      </w:r>
      <w:r>
        <w:rPr>
          <w:rFonts w:cs="Arial" w:hint="cs"/>
          <w:rtl/>
        </w:rPr>
        <w:t>.</w:t>
      </w:r>
      <w:r w:rsidRPr="004638AD">
        <w:rPr>
          <w:rFonts w:cs="Arial"/>
          <w:rtl/>
        </w:rPr>
        <w:t xml:space="preserve"> ואותה שאמרו בירושלמי (כתובות פ"ט סוף ה"א) אי מיתת בלא בנים תהדר מדלה לבי נשא ההיא באמת קודם נישואין היא וכאילו מתנה עמה שכל מה שהביאה יחזור לבית אביה שעל מנת כן הכניסה לו נדונייתה ועל תנאי כן קיבל הוא אבל זה שכבר זכה בנדונייתה במה מתחייב להחזיר להם וכן במאה זהובים משלו הוא מוסיף ובחיובו לפיכך אין נראה לי שמתחייב ליורשים בכך. </w:t>
      </w:r>
    </w:p>
    <w:p w14:paraId="1D4A6D10" w14:textId="77777777" w:rsidR="002E5BAD" w:rsidRPr="00FC6E08" w:rsidRDefault="002E5BAD" w:rsidP="002E5BAD">
      <w:pPr>
        <w:rPr>
          <w:u w:val="single"/>
        </w:rPr>
      </w:pPr>
      <w:r w:rsidRPr="00FC6E08">
        <w:rPr>
          <w:rFonts w:cs="Arial"/>
          <w:u w:val="single"/>
          <w:rtl/>
        </w:rPr>
        <w:t>אלמנה כתבה לראובן שטר שהיא חייבת לו מנה אם תנשא לבעל עד זמן פלוני</w:t>
      </w:r>
      <w:r w:rsidRPr="00FC6E08">
        <w:rPr>
          <w:rFonts w:cs="Arial" w:hint="cs"/>
          <w:u w:val="single"/>
          <w:rtl/>
        </w:rPr>
        <w:t>,</w:t>
      </w:r>
      <w:r w:rsidRPr="00FC6E08">
        <w:rPr>
          <w:rFonts w:cs="Arial"/>
          <w:u w:val="single"/>
          <w:rtl/>
        </w:rPr>
        <w:t xml:space="preserve"> ונישאת תוך הזמן</w:t>
      </w:r>
      <w:r w:rsidRPr="00FC6E08">
        <w:rPr>
          <w:rFonts w:cs="Arial" w:hint="cs"/>
          <w:u w:val="single"/>
          <w:rtl/>
        </w:rPr>
        <w:t xml:space="preserve"> </w:t>
      </w:r>
      <w:r w:rsidRPr="00FC6E08">
        <w:rPr>
          <w:rFonts w:cs="Arial"/>
          <w:u w:val="single"/>
          <w:rtl/>
        </w:rPr>
        <w:t>–</w:t>
      </w:r>
      <w:r w:rsidRPr="00FC6E08">
        <w:rPr>
          <w:rFonts w:cs="Arial" w:hint="cs"/>
          <w:u w:val="single"/>
          <w:rtl/>
        </w:rPr>
        <w:t xml:space="preserve"> והבעל טוען עליו:</w:t>
      </w:r>
    </w:p>
    <w:p w14:paraId="4B46B7E8" w14:textId="77777777" w:rsidR="002E5BAD" w:rsidRPr="003F7A28" w:rsidRDefault="002E5BAD" w:rsidP="00B75458">
      <w:pPr>
        <w:pStyle w:val="ab"/>
        <w:numPr>
          <w:ilvl w:val="0"/>
          <w:numId w:val="204"/>
        </w:numPr>
      </w:pPr>
      <w:r w:rsidRPr="004638AD">
        <w:rPr>
          <w:rFonts w:cs="Arial"/>
          <w:rtl/>
        </w:rPr>
        <w:t xml:space="preserve">רשב"א </w:t>
      </w:r>
      <w:r w:rsidRPr="00592052">
        <w:rPr>
          <w:rFonts w:cs="Arial"/>
          <w:sz w:val="16"/>
          <w:szCs w:val="16"/>
          <w:rtl/>
        </w:rPr>
        <w:t>(</w:t>
      </w:r>
      <w:r>
        <w:rPr>
          <w:rFonts w:cs="Arial" w:hint="cs"/>
          <w:sz w:val="16"/>
          <w:szCs w:val="16"/>
          <w:rtl/>
        </w:rPr>
        <w:t>כ"כ הב"י בשמו</w:t>
      </w:r>
      <w:r w:rsidRPr="00592052">
        <w:rPr>
          <w:rFonts w:cs="Arial"/>
          <w:sz w:val="16"/>
          <w:szCs w:val="16"/>
          <w:rtl/>
        </w:rPr>
        <w:t>)</w:t>
      </w:r>
      <w:r>
        <w:rPr>
          <w:rFonts w:cs="Arial" w:hint="cs"/>
          <w:rtl/>
        </w:rPr>
        <w:t xml:space="preserve">- </w:t>
      </w:r>
      <w:r w:rsidRPr="004638AD">
        <w:rPr>
          <w:rFonts w:cs="Arial"/>
          <w:rtl/>
        </w:rPr>
        <w:t>אלמנה שכתבה לראובן שטר שהיא חייבת לו מנה אם תנשא לבעל עד זמן פלוני</w:t>
      </w:r>
      <w:r>
        <w:rPr>
          <w:rFonts w:cs="Arial" w:hint="cs"/>
          <w:rtl/>
        </w:rPr>
        <w:t>.</w:t>
      </w:r>
      <w:r w:rsidRPr="004638AD">
        <w:rPr>
          <w:rFonts w:cs="Arial"/>
          <w:rtl/>
        </w:rPr>
        <w:t xml:space="preserve"> והלכה ונישאת תוך הזמן</w:t>
      </w:r>
      <w:r>
        <w:rPr>
          <w:rFonts w:cs="Arial" w:hint="cs"/>
          <w:rtl/>
        </w:rPr>
        <w:t>.</w:t>
      </w:r>
      <w:r w:rsidRPr="004638AD">
        <w:rPr>
          <w:rFonts w:cs="Arial"/>
          <w:rtl/>
        </w:rPr>
        <w:t xml:space="preserve"> וראובן תובע המנה</w:t>
      </w:r>
      <w:r>
        <w:rPr>
          <w:rFonts w:cs="Arial" w:hint="cs"/>
          <w:rtl/>
        </w:rPr>
        <w:t>.</w:t>
      </w:r>
      <w:r w:rsidRPr="004638AD">
        <w:rPr>
          <w:rFonts w:cs="Arial"/>
          <w:rtl/>
        </w:rPr>
        <w:t xml:space="preserve"> והבעל טוען דכיון שלא נתחייבה עד שתנשא נמצא שחל שעבודא דתקנת אושא קודם שיגיע זמן החוב והפרעון. </w:t>
      </w:r>
      <w:r>
        <w:rPr>
          <w:rFonts w:cs="Arial" w:hint="cs"/>
          <w:rtl/>
        </w:rPr>
        <w:t xml:space="preserve">  תשובה-</w:t>
      </w:r>
      <w:r w:rsidRPr="004638AD">
        <w:rPr>
          <w:rFonts w:cs="Arial"/>
          <w:rtl/>
        </w:rPr>
        <w:t xml:space="preserve"> דבר פשוט הוא שאין הולכים אחר זמן הפרעון בשום מקום אלא אחר זמן התחלת החיוב</w:t>
      </w:r>
      <w:r>
        <w:rPr>
          <w:rFonts w:cs="Arial" w:hint="cs"/>
          <w:rtl/>
        </w:rPr>
        <w:t>,</w:t>
      </w:r>
      <w:r w:rsidRPr="004638AD">
        <w:rPr>
          <w:rFonts w:cs="Arial"/>
          <w:rtl/>
        </w:rPr>
        <w:t xml:space="preserve"> ולפיכך אין טענת הבעל כלום. </w:t>
      </w:r>
    </w:p>
    <w:p w14:paraId="730A28DA" w14:textId="77777777" w:rsidR="002E5BAD" w:rsidRPr="006278ED" w:rsidRDefault="002E5BAD" w:rsidP="002E5BAD">
      <w:pPr>
        <w:rPr>
          <w:u w:val="single"/>
        </w:rPr>
      </w:pPr>
      <w:r w:rsidRPr="006278ED">
        <w:rPr>
          <w:rFonts w:cs="Arial"/>
          <w:u w:val="single"/>
          <w:rtl/>
        </w:rPr>
        <w:t>התנ</w:t>
      </w:r>
      <w:r w:rsidRPr="006278ED">
        <w:rPr>
          <w:rFonts w:cs="Arial" w:hint="cs"/>
          <w:u w:val="single"/>
          <w:rtl/>
        </w:rPr>
        <w:t>ו</w:t>
      </w:r>
      <w:r w:rsidRPr="006278ED">
        <w:rPr>
          <w:rFonts w:cs="Arial"/>
          <w:u w:val="single"/>
          <w:rtl/>
        </w:rPr>
        <w:t xml:space="preserve"> שאם תפטר </w:t>
      </w:r>
      <w:r w:rsidRPr="006278ED">
        <w:rPr>
          <w:rFonts w:cs="Arial" w:hint="cs"/>
          <w:u w:val="single"/>
          <w:rtl/>
        </w:rPr>
        <w:t>ה</w:t>
      </w:r>
      <w:r w:rsidRPr="006278ED">
        <w:rPr>
          <w:rFonts w:cs="Arial"/>
          <w:u w:val="single"/>
          <w:rtl/>
        </w:rPr>
        <w:t>אש</w:t>
      </w:r>
      <w:r w:rsidRPr="006278ED">
        <w:rPr>
          <w:rFonts w:cs="Arial" w:hint="cs"/>
          <w:u w:val="single"/>
          <w:rtl/>
        </w:rPr>
        <w:t>ה</w:t>
      </w:r>
      <w:r w:rsidRPr="006278ED">
        <w:rPr>
          <w:rFonts w:cs="Arial"/>
          <w:u w:val="single"/>
          <w:rtl/>
        </w:rPr>
        <w:t xml:space="preserve"> בחייו ולא ישאר לו ממנה ולד של קיימא </w:t>
      </w:r>
      <w:r w:rsidRPr="006278ED">
        <w:rPr>
          <w:rFonts w:cs="Arial" w:hint="cs"/>
          <w:sz w:val="16"/>
          <w:szCs w:val="16"/>
          <w:u w:val="single"/>
          <w:rtl/>
        </w:rPr>
        <w:t>(ל' יום)</w:t>
      </w:r>
      <w:r w:rsidRPr="006278ED">
        <w:rPr>
          <w:rFonts w:cs="Arial" w:hint="cs"/>
          <w:u w:val="single"/>
          <w:rtl/>
        </w:rPr>
        <w:t xml:space="preserve"> </w:t>
      </w:r>
      <w:r w:rsidRPr="006278ED">
        <w:rPr>
          <w:rFonts w:cs="Arial"/>
          <w:u w:val="single"/>
          <w:rtl/>
        </w:rPr>
        <w:t>שיחזיר מממון הנדוניא סך כך וכך ליורשיה</w:t>
      </w:r>
      <w:r w:rsidRPr="006278ED">
        <w:rPr>
          <w:rFonts w:cs="Arial" w:hint="cs"/>
          <w:u w:val="single"/>
          <w:rtl/>
        </w:rPr>
        <w:t>:</w:t>
      </w:r>
    </w:p>
    <w:p w14:paraId="67CE30C6" w14:textId="77777777" w:rsidR="002E5BAD" w:rsidRPr="006278ED" w:rsidRDefault="002E5BAD" w:rsidP="00B75458">
      <w:pPr>
        <w:pStyle w:val="ab"/>
        <w:numPr>
          <w:ilvl w:val="0"/>
          <w:numId w:val="204"/>
        </w:numPr>
      </w:pPr>
      <w:r w:rsidRPr="004638AD">
        <w:rPr>
          <w:rFonts w:cs="Arial"/>
          <w:rtl/>
        </w:rPr>
        <w:lastRenderedPageBreak/>
        <w:t xml:space="preserve">ר"ן </w:t>
      </w:r>
      <w:r w:rsidRPr="00D00CB3">
        <w:rPr>
          <w:rFonts w:cs="Arial"/>
          <w:sz w:val="16"/>
          <w:szCs w:val="16"/>
          <w:rtl/>
        </w:rPr>
        <w:t>(שו"ת סי' יד)</w:t>
      </w:r>
      <w:r>
        <w:rPr>
          <w:rFonts w:cs="Arial" w:hint="cs"/>
          <w:rtl/>
        </w:rPr>
        <w:t>-</w:t>
      </w:r>
      <w:r w:rsidRPr="004638AD">
        <w:rPr>
          <w:rFonts w:cs="Arial"/>
          <w:rtl/>
        </w:rPr>
        <w:t xml:space="preserve"> מי שהתנה שאם תפטר אשתו בחייו ולא ישאר לו ממנה ולד של קיימא שיחיה שלשים יום שיחזיר מממון הנדוניא סך כך וכך ליורשיה</w:t>
      </w:r>
      <w:r>
        <w:rPr>
          <w:rFonts w:cs="Arial" w:hint="cs"/>
          <w:rtl/>
        </w:rPr>
        <w:t>.</w:t>
      </w:r>
      <w:r w:rsidRPr="004638AD">
        <w:rPr>
          <w:rFonts w:cs="Arial"/>
          <w:rtl/>
        </w:rPr>
        <w:t xml:space="preserve"> ומתה היא בחייו ונשאר לו ממנה ולד בן חמש שנים שחיה אחריה ט"ו יום</w:t>
      </w:r>
      <w:r>
        <w:rPr>
          <w:rFonts w:cs="Arial" w:hint="cs"/>
          <w:rtl/>
        </w:rPr>
        <w:t>.</w:t>
      </w:r>
      <w:r w:rsidRPr="004638AD">
        <w:rPr>
          <w:rFonts w:cs="Arial"/>
          <w:rtl/>
        </w:rPr>
        <w:t xml:space="preserve"> ויורשיה תובעים שיחזיר להם אותו סך כיון שלא חיה הולד שלשים יום אחריה</w:t>
      </w:r>
      <w:r>
        <w:rPr>
          <w:rFonts w:cs="Arial" w:hint="cs"/>
          <w:rtl/>
        </w:rPr>
        <w:t>.</w:t>
      </w:r>
      <w:r w:rsidRPr="004638AD">
        <w:rPr>
          <w:rFonts w:cs="Arial"/>
          <w:rtl/>
        </w:rPr>
        <w:t xml:space="preserve"> והבעל טוען כיון שהולד חיה ל' יום ונשאר אחריה אפילו שעה אחת אינו חייב להחזיר</w:t>
      </w:r>
      <w:r>
        <w:rPr>
          <w:rFonts w:cs="Arial" w:hint="cs"/>
          <w:rtl/>
        </w:rPr>
        <w:t>.</w:t>
      </w:r>
      <w:r w:rsidRPr="004638AD">
        <w:rPr>
          <w:rFonts w:cs="Arial"/>
          <w:rtl/>
        </w:rPr>
        <w:t xml:space="preserve"> שמה שכתוב בתנאי שיחיה שלשים יום</w:t>
      </w:r>
      <w:r>
        <w:rPr>
          <w:rFonts w:cs="Arial" w:hint="cs"/>
          <w:rtl/>
        </w:rPr>
        <w:t>,</w:t>
      </w:r>
      <w:r w:rsidRPr="004638AD">
        <w:rPr>
          <w:rFonts w:cs="Arial"/>
          <w:rtl/>
        </w:rPr>
        <w:t xml:space="preserve"> לא שיחיה אחר אמו ל' יום קאמר</w:t>
      </w:r>
      <w:r>
        <w:rPr>
          <w:rFonts w:cs="Arial" w:hint="cs"/>
          <w:rtl/>
        </w:rPr>
        <w:t>,</w:t>
      </w:r>
      <w:r w:rsidRPr="004638AD">
        <w:rPr>
          <w:rFonts w:cs="Arial"/>
          <w:rtl/>
        </w:rPr>
        <w:t xml:space="preserve"> אלא הכי קאמר שישאר לו ממנה ולד קיימא דהיינו שיחיה שלשים יום</w:t>
      </w:r>
      <w:r>
        <w:rPr>
          <w:rFonts w:cs="Arial" w:hint="cs"/>
          <w:rtl/>
        </w:rPr>
        <w:t>.</w:t>
      </w:r>
      <w:r w:rsidRPr="004638AD">
        <w:rPr>
          <w:rFonts w:cs="Arial"/>
          <w:rtl/>
        </w:rPr>
        <w:t xml:space="preserve"> </w:t>
      </w:r>
      <w:r>
        <w:rPr>
          <w:rFonts w:cs="Arial" w:hint="cs"/>
          <w:rtl/>
        </w:rPr>
        <w:t xml:space="preserve">  תשובה-</w:t>
      </w:r>
      <w:r w:rsidRPr="004638AD">
        <w:rPr>
          <w:rFonts w:cs="Arial"/>
          <w:rtl/>
        </w:rPr>
        <w:t xml:space="preserve"> הדין עם הבעל</w:t>
      </w:r>
      <w:r>
        <w:rPr>
          <w:rFonts w:cs="Arial" w:hint="cs"/>
          <w:rtl/>
        </w:rPr>
        <w:t>.</w:t>
      </w:r>
      <w:r w:rsidRPr="004638AD">
        <w:rPr>
          <w:rFonts w:cs="Arial"/>
          <w:rtl/>
        </w:rPr>
        <w:t xml:space="preserve"> ואפילו אם היה הלשון מסופק</w:t>
      </w:r>
      <w:r>
        <w:rPr>
          <w:rFonts w:cs="Arial" w:hint="cs"/>
          <w:rtl/>
        </w:rPr>
        <w:t>,</w:t>
      </w:r>
      <w:r w:rsidRPr="004638AD">
        <w:rPr>
          <w:rFonts w:cs="Arial"/>
          <w:rtl/>
        </w:rPr>
        <w:t xml:space="preserve"> ה"ל בעל ודאי</w:t>
      </w:r>
      <w:r>
        <w:rPr>
          <w:rFonts w:cs="Arial" w:hint="cs"/>
          <w:rtl/>
        </w:rPr>
        <w:t>,</w:t>
      </w:r>
      <w:r w:rsidRPr="004638AD">
        <w:rPr>
          <w:rFonts w:cs="Arial"/>
          <w:rtl/>
        </w:rPr>
        <w:t xml:space="preserve"> ויורשי האשה ספק</w:t>
      </w:r>
      <w:r>
        <w:rPr>
          <w:rFonts w:cs="Arial" w:hint="cs"/>
          <w:rtl/>
        </w:rPr>
        <w:t>,</w:t>
      </w:r>
      <w:r w:rsidRPr="004638AD">
        <w:rPr>
          <w:rFonts w:cs="Arial"/>
          <w:rtl/>
        </w:rPr>
        <w:t xml:space="preserve"> ואין ספק מוציא מידי ודאי. </w:t>
      </w:r>
    </w:p>
    <w:p w14:paraId="6C320640" w14:textId="77777777" w:rsidR="002E5BAD" w:rsidRPr="008A2B0E" w:rsidRDefault="002E5BAD" w:rsidP="002E5BAD">
      <w:pPr>
        <w:rPr>
          <w:u w:val="single"/>
        </w:rPr>
      </w:pPr>
      <w:r w:rsidRPr="008A2B0E">
        <w:rPr>
          <w:rFonts w:cs="Arial" w:hint="cs"/>
          <w:u w:val="single"/>
          <w:rtl/>
        </w:rPr>
        <w:t>כתב לאשתו</w:t>
      </w:r>
      <w:r w:rsidRPr="008A2B0E">
        <w:rPr>
          <w:rFonts w:cs="Arial"/>
          <w:u w:val="single"/>
          <w:rtl/>
        </w:rPr>
        <w:t xml:space="preserve"> שהוא פוטר אותה מעכשיו ולאחר מותו מכל שבוע</w:t>
      </w:r>
      <w:r w:rsidRPr="008A2B0E">
        <w:rPr>
          <w:rFonts w:cs="Arial" w:hint="cs"/>
          <w:u w:val="single"/>
          <w:rtl/>
        </w:rPr>
        <w:t>ה,</w:t>
      </w:r>
      <w:r w:rsidRPr="008A2B0E">
        <w:rPr>
          <w:rFonts w:cs="Arial"/>
          <w:u w:val="single"/>
          <w:rtl/>
        </w:rPr>
        <w:t xml:space="preserve"> ואחר פטירתו </w:t>
      </w:r>
      <w:r w:rsidRPr="008A2B0E">
        <w:rPr>
          <w:rFonts w:cs="Arial" w:hint="cs"/>
          <w:u w:val="single"/>
          <w:rtl/>
        </w:rPr>
        <w:t xml:space="preserve">נצרכה להשבע כדי להאמינה: </w:t>
      </w:r>
    </w:p>
    <w:p w14:paraId="5626BBC9" w14:textId="77777777" w:rsidR="002E5BAD" w:rsidRPr="003F7A28" w:rsidRDefault="002E5BAD" w:rsidP="00B75458">
      <w:pPr>
        <w:pStyle w:val="ab"/>
        <w:numPr>
          <w:ilvl w:val="0"/>
          <w:numId w:val="204"/>
        </w:numPr>
      </w:pPr>
      <w:r>
        <w:rPr>
          <w:rFonts w:cs="Arial" w:hint="cs"/>
          <w:rtl/>
        </w:rPr>
        <w:t>ה"ר יוסף ב"ר אברהם</w:t>
      </w:r>
      <w:r w:rsidRPr="000C2E5C">
        <w:rPr>
          <w:rStyle w:val="a7"/>
          <w:rFonts w:cs="Arial"/>
          <w:rtl/>
        </w:rPr>
        <w:footnoteReference w:id="3283"/>
      </w:r>
      <w:r>
        <w:rPr>
          <w:rFonts w:cs="Arial" w:hint="cs"/>
          <w:rtl/>
        </w:rPr>
        <w:t xml:space="preserve"> </w:t>
      </w:r>
      <w:r w:rsidRPr="00BD0446">
        <w:rPr>
          <w:rFonts w:cs="Arial" w:hint="cs"/>
          <w:sz w:val="16"/>
          <w:szCs w:val="16"/>
          <w:rtl/>
        </w:rPr>
        <w:t xml:space="preserve">(כ"כ הב"י בשם </w:t>
      </w:r>
      <w:r w:rsidRPr="00BD0446">
        <w:rPr>
          <w:rFonts w:cs="Arial"/>
          <w:sz w:val="16"/>
          <w:szCs w:val="16"/>
          <w:rtl/>
        </w:rPr>
        <w:t>מצאתי כתוב</w:t>
      </w:r>
      <w:r w:rsidRPr="00BD0446">
        <w:rPr>
          <w:rFonts w:cs="Arial" w:hint="cs"/>
          <w:sz w:val="16"/>
          <w:szCs w:val="16"/>
          <w:rtl/>
        </w:rPr>
        <w:t>)</w:t>
      </w:r>
      <w:r>
        <w:rPr>
          <w:rFonts w:cs="Arial" w:hint="cs"/>
          <w:rtl/>
        </w:rPr>
        <w:t>-</w:t>
      </w:r>
      <w:r w:rsidRPr="004638AD">
        <w:rPr>
          <w:rFonts w:cs="Arial"/>
          <w:rtl/>
        </w:rPr>
        <w:t xml:space="preserve"> אשה שכתב לה בעלה שהוא פוטר אותה מעכשיו ולאחר מותו מכל שבוע</w:t>
      </w:r>
      <w:r>
        <w:rPr>
          <w:rFonts w:cs="Arial" w:hint="cs"/>
          <w:rtl/>
        </w:rPr>
        <w:t>ה</w:t>
      </w:r>
      <w:r w:rsidRPr="004638AD">
        <w:rPr>
          <w:rFonts w:cs="Arial"/>
          <w:rtl/>
        </w:rPr>
        <w:t xml:space="preserve"> ומכל חרם על העבר ועל העתיד</w:t>
      </w:r>
      <w:r>
        <w:rPr>
          <w:rFonts w:cs="Arial" w:hint="cs"/>
          <w:rtl/>
        </w:rPr>
        <w:t>,</w:t>
      </w:r>
      <w:r w:rsidRPr="004638AD">
        <w:rPr>
          <w:rFonts w:cs="Arial"/>
          <w:rtl/>
        </w:rPr>
        <w:t xml:space="preserve"> ולא יהיה רשות לשום אדם להשביעה אחר פטירתו כל ימי חייה</w:t>
      </w:r>
      <w:r>
        <w:rPr>
          <w:rFonts w:cs="Arial" w:hint="cs"/>
          <w:rtl/>
        </w:rPr>
        <w:t>.</w:t>
      </w:r>
      <w:r w:rsidRPr="004638AD">
        <w:rPr>
          <w:rFonts w:cs="Arial"/>
          <w:rtl/>
        </w:rPr>
        <w:t xml:space="preserve"> ואחר פטירתו כשהראת ליורשים נכסי בעלה אמרה על קצת שטרות </w:t>
      </w:r>
      <w:r>
        <w:rPr>
          <w:rFonts w:cs="Arial" w:hint="cs"/>
          <w:rtl/>
        </w:rPr>
        <w:t>'</w:t>
      </w:r>
      <w:r w:rsidRPr="004638AD">
        <w:rPr>
          <w:rFonts w:cs="Arial"/>
          <w:rtl/>
        </w:rPr>
        <w:t>אלו אמר לי בעלי לקרעם</w:t>
      </w:r>
      <w:r>
        <w:rPr>
          <w:rFonts w:cs="Arial" w:hint="cs"/>
          <w:rtl/>
        </w:rPr>
        <w:t>',</w:t>
      </w:r>
      <w:r w:rsidRPr="004638AD">
        <w:rPr>
          <w:rFonts w:cs="Arial"/>
          <w:rtl/>
        </w:rPr>
        <w:t xml:space="preserve"> ועל קצת ספרים אמרה </w:t>
      </w:r>
      <w:r>
        <w:rPr>
          <w:rFonts w:cs="Arial" w:hint="cs"/>
          <w:rtl/>
        </w:rPr>
        <w:t>'</w:t>
      </w:r>
      <w:r w:rsidRPr="004638AD">
        <w:rPr>
          <w:rFonts w:cs="Arial"/>
          <w:rtl/>
        </w:rPr>
        <w:t>אלו אמר לי בעלי להיותם הקדש</w:t>
      </w:r>
      <w:r>
        <w:rPr>
          <w:rFonts w:cs="Arial" w:hint="cs"/>
          <w:rtl/>
        </w:rPr>
        <w:t>'.</w:t>
      </w:r>
      <w:r w:rsidRPr="004638AD">
        <w:rPr>
          <w:rFonts w:cs="Arial"/>
          <w:rtl/>
        </w:rPr>
        <w:t xml:space="preserve"> והיורשים טוענים שלא האמינה בעלה בכך </w:t>
      </w:r>
      <w:r>
        <w:rPr>
          <w:rFonts w:cs="Arial" w:hint="cs"/>
          <w:rtl/>
        </w:rPr>
        <w:t xml:space="preserve">- </w:t>
      </w:r>
      <w:r w:rsidRPr="004638AD">
        <w:rPr>
          <w:rFonts w:cs="Arial"/>
          <w:rtl/>
        </w:rPr>
        <w:t>הדין עם היורשים</w:t>
      </w:r>
      <w:r>
        <w:rPr>
          <w:rFonts w:cs="Arial" w:hint="cs"/>
          <w:rtl/>
        </w:rPr>
        <w:t>.</w:t>
      </w:r>
      <w:r w:rsidRPr="004638AD">
        <w:rPr>
          <w:rFonts w:cs="Arial"/>
          <w:rtl/>
        </w:rPr>
        <w:t xml:space="preserve"> ואם קרעה השטרות או נתנה הספרים להקדש </w:t>
      </w:r>
      <w:r>
        <w:rPr>
          <w:rFonts w:cs="Arial" w:hint="cs"/>
          <w:rtl/>
        </w:rPr>
        <w:t xml:space="preserve">- </w:t>
      </w:r>
      <w:r w:rsidRPr="004638AD">
        <w:rPr>
          <w:rFonts w:cs="Arial"/>
          <w:rtl/>
        </w:rPr>
        <w:t>חייבת לשלמם</w:t>
      </w:r>
      <w:r>
        <w:rPr>
          <w:rFonts w:cs="Arial" w:hint="cs"/>
          <w:rtl/>
        </w:rPr>
        <w:t>,</w:t>
      </w:r>
      <w:r w:rsidRPr="004638AD">
        <w:rPr>
          <w:rFonts w:cs="Arial"/>
          <w:rtl/>
        </w:rPr>
        <w:t xml:space="preserve"> כיון שאין לה עכשיו מגו</w:t>
      </w:r>
      <w:r>
        <w:rPr>
          <w:rFonts w:cs="Arial" w:hint="cs"/>
          <w:rtl/>
        </w:rPr>
        <w:t>.</w:t>
      </w:r>
      <w:r w:rsidRPr="004638AD">
        <w:rPr>
          <w:rFonts w:cs="Arial"/>
          <w:rtl/>
        </w:rPr>
        <w:t xml:space="preserve"> אמנם אם בשטר הפיטור כתוב שעשאה כשני עדים כשרים</w:t>
      </w:r>
      <w:r>
        <w:rPr>
          <w:rFonts w:cs="Arial" w:hint="cs"/>
          <w:rtl/>
        </w:rPr>
        <w:t xml:space="preserve"> -</w:t>
      </w:r>
      <w:r w:rsidRPr="004638AD">
        <w:rPr>
          <w:rFonts w:cs="Arial"/>
          <w:rtl/>
        </w:rPr>
        <w:t xml:space="preserve"> נאמנת בכל מה שתאמר.</w:t>
      </w:r>
      <w:r>
        <w:rPr>
          <w:rFonts w:cs="Arial" w:hint="cs"/>
          <w:rtl/>
        </w:rPr>
        <w:t>..</w:t>
      </w:r>
      <w:r w:rsidRPr="004638AD">
        <w:rPr>
          <w:rFonts w:cs="Arial"/>
          <w:rtl/>
        </w:rPr>
        <w:t xml:space="preserve"> </w:t>
      </w:r>
      <w:r w:rsidRPr="000C2E5C">
        <w:rPr>
          <w:rFonts w:cs="Arial" w:hint="cs"/>
          <w:rtl/>
        </w:rPr>
        <w:t xml:space="preserve">ולענין </w:t>
      </w:r>
      <w:r w:rsidRPr="000C2E5C">
        <w:rPr>
          <w:rFonts w:cs="Arial"/>
          <w:rtl/>
        </w:rPr>
        <w:t>אם המלך תפס האלמנה והיורשים בעלילה על הנכסים</w:t>
      </w:r>
      <w:r w:rsidRPr="000C2E5C">
        <w:rPr>
          <w:rFonts w:cs="Arial" w:hint="cs"/>
          <w:rtl/>
        </w:rPr>
        <w:t>,</w:t>
      </w:r>
      <w:r w:rsidRPr="000C2E5C">
        <w:rPr>
          <w:rFonts w:cs="Arial"/>
          <w:rtl/>
        </w:rPr>
        <w:t xml:space="preserve"> ונתפשרו עמו</w:t>
      </w:r>
      <w:r w:rsidRPr="000C2E5C">
        <w:rPr>
          <w:rFonts w:cs="Arial" w:hint="cs"/>
          <w:rtl/>
        </w:rPr>
        <w:t>.</w:t>
      </w:r>
      <w:r w:rsidRPr="000C2E5C">
        <w:rPr>
          <w:rFonts w:cs="Arial"/>
          <w:rtl/>
        </w:rPr>
        <w:t xml:space="preserve"> ועתה האלמנה תובעת כתובתה משלם</w:t>
      </w:r>
      <w:r>
        <w:rPr>
          <w:rFonts w:cs="Arial" w:hint="cs"/>
          <w:rtl/>
        </w:rPr>
        <w:t xml:space="preserve"> </w:t>
      </w:r>
      <w:r w:rsidRPr="000C2E5C">
        <w:rPr>
          <w:rFonts w:cs="Arial" w:hint="cs"/>
          <w:rtl/>
        </w:rPr>
        <w:t xml:space="preserve">- </w:t>
      </w:r>
      <w:r w:rsidRPr="000C2E5C">
        <w:rPr>
          <w:rFonts w:cs="Arial"/>
          <w:rtl/>
        </w:rPr>
        <w:t>אילו לא נתפשרה גם היא עמהם</w:t>
      </w:r>
      <w:r w:rsidRPr="000C2E5C">
        <w:rPr>
          <w:rFonts w:cs="Arial" w:hint="cs"/>
          <w:rtl/>
        </w:rPr>
        <w:t>,</w:t>
      </w:r>
      <w:r w:rsidRPr="000C2E5C">
        <w:rPr>
          <w:rFonts w:cs="Arial"/>
          <w:rtl/>
        </w:rPr>
        <w:t xml:space="preserve"> לא היתה פורעת כלום לפי שאין לה חלק ידוע בממון אלא כתובתה</w:t>
      </w:r>
      <w:r w:rsidRPr="000C2E5C">
        <w:rPr>
          <w:rFonts w:cs="Arial" w:hint="cs"/>
          <w:rtl/>
        </w:rPr>
        <w:t>.</w:t>
      </w:r>
      <w:r w:rsidRPr="000C2E5C">
        <w:rPr>
          <w:rFonts w:cs="Arial"/>
          <w:rtl/>
        </w:rPr>
        <w:t xml:space="preserve"> ואילו לא נמצא בממון בעלה אלא כדי כתובתה היא היתה נוטלת</w:t>
      </w:r>
      <w:r w:rsidRPr="000C2E5C">
        <w:rPr>
          <w:rFonts w:cs="Arial" w:hint="cs"/>
          <w:rtl/>
        </w:rPr>
        <w:t>ה,</w:t>
      </w:r>
      <w:r w:rsidRPr="000C2E5C">
        <w:rPr>
          <w:rFonts w:cs="Arial"/>
          <w:rtl/>
        </w:rPr>
        <w:t xml:space="preserve"> כי לכך צוה שתטול כתובתה ליפות כחה</w:t>
      </w:r>
      <w:r w:rsidRPr="000C2E5C">
        <w:rPr>
          <w:rFonts w:cs="Arial" w:hint="cs"/>
          <w:rtl/>
        </w:rPr>
        <w:t>.</w:t>
      </w:r>
      <w:r w:rsidRPr="000C2E5C">
        <w:rPr>
          <w:rFonts w:cs="Arial"/>
          <w:rtl/>
        </w:rPr>
        <w:t xml:space="preserve"> אך עתה שגם היא פשרה חייב</w:t>
      </w:r>
      <w:r w:rsidRPr="000C2E5C">
        <w:rPr>
          <w:rFonts w:cs="Arial" w:hint="cs"/>
          <w:rtl/>
        </w:rPr>
        <w:t>ת</w:t>
      </w:r>
      <w:r w:rsidRPr="000C2E5C">
        <w:rPr>
          <w:rFonts w:cs="Arial"/>
          <w:rtl/>
        </w:rPr>
        <w:t xml:space="preserve"> לפרוע חלק</w:t>
      </w:r>
      <w:r w:rsidRPr="000C2E5C">
        <w:rPr>
          <w:rFonts w:cs="Arial" w:hint="cs"/>
          <w:rtl/>
        </w:rPr>
        <w:t>ה</w:t>
      </w:r>
      <w:r w:rsidRPr="000C2E5C">
        <w:rPr>
          <w:rFonts w:cs="Arial"/>
          <w:rtl/>
        </w:rPr>
        <w:t xml:space="preserve"> לפי חשבון</w:t>
      </w:r>
      <w:r w:rsidRPr="000C2E5C">
        <w:rPr>
          <w:rFonts w:cs="Arial" w:hint="cs"/>
          <w:rtl/>
        </w:rPr>
        <w:t>.</w:t>
      </w:r>
      <w:r w:rsidRPr="000C2E5C">
        <w:rPr>
          <w:rFonts w:cs="Arial"/>
          <w:rtl/>
        </w:rPr>
        <w:t xml:space="preserve"> דמי להא דאמרינן בפרק חזקת (ב"ב מא.) דאתא וסייע בגודא בהדאי דאי לא דהואי מחילה בטעות היה מפסיד ואם לפי שנתפסה נתפשרה אז הויא מציל עצמו בממון חבירו דחייב.</w:t>
      </w:r>
      <w:r w:rsidRPr="000C2E5C">
        <w:rPr>
          <w:rFonts w:cs="Arial" w:hint="cs"/>
          <w:rtl/>
        </w:rPr>
        <w:t xml:space="preserve">.. </w:t>
      </w:r>
      <w:r w:rsidRPr="000C2E5C">
        <w:rPr>
          <w:rFonts w:cs="Arial"/>
          <w:rtl/>
        </w:rPr>
        <w:t>ולענין מה שנעשית אפטרופא אחרי מות בעלה</w:t>
      </w:r>
      <w:r w:rsidRPr="000C2E5C">
        <w:rPr>
          <w:rFonts w:cs="Arial" w:hint="cs"/>
          <w:rtl/>
        </w:rPr>
        <w:t>,</w:t>
      </w:r>
      <w:r w:rsidRPr="000C2E5C">
        <w:rPr>
          <w:rFonts w:cs="Arial"/>
          <w:rtl/>
        </w:rPr>
        <w:t xml:space="preserve"> נ"ל שיכולים היורשים להשביעה. וכתוב ע"ש ולענין מה שנסתלקה מבתים מיוחדים</w:t>
      </w:r>
      <w:r w:rsidRPr="000C2E5C">
        <w:rPr>
          <w:rFonts w:cs="Arial" w:hint="cs"/>
          <w:rtl/>
        </w:rPr>
        <w:t>,</w:t>
      </w:r>
      <w:r w:rsidRPr="000C2E5C">
        <w:rPr>
          <w:rFonts w:cs="Arial"/>
          <w:rtl/>
        </w:rPr>
        <w:t xml:space="preserve"> כיון שאין השטר נראה לא נוכל לדונו על פי העדים</w:t>
      </w:r>
      <w:r w:rsidRPr="000C2E5C">
        <w:rPr>
          <w:rFonts w:cs="Arial" w:hint="cs"/>
          <w:rtl/>
        </w:rPr>
        <w:t>,</w:t>
      </w:r>
      <w:r w:rsidRPr="000C2E5C">
        <w:rPr>
          <w:rFonts w:cs="Arial"/>
          <w:rtl/>
        </w:rPr>
        <w:t xml:space="preserve"> שאני אומר שמא נסתלק הבעל אח"כ מאותו סילוק</w:t>
      </w:r>
      <w:r w:rsidRPr="000C2E5C">
        <w:rPr>
          <w:rFonts w:cs="Arial" w:hint="cs"/>
          <w:rtl/>
        </w:rPr>
        <w:t>.</w:t>
      </w:r>
      <w:r w:rsidRPr="000C2E5C">
        <w:rPr>
          <w:rFonts w:cs="Arial"/>
          <w:rtl/>
        </w:rPr>
        <w:t xml:space="preserve"> אא</w:t>
      </w:r>
      <w:r w:rsidRPr="000C2E5C">
        <w:rPr>
          <w:rFonts w:cs="Arial" w:hint="cs"/>
          <w:rtl/>
        </w:rPr>
        <w:t>"</w:t>
      </w:r>
      <w:r w:rsidRPr="000C2E5C">
        <w:rPr>
          <w:rFonts w:cs="Arial"/>
          <w:rtl/>
        </w:rPr>
        <w:t>כ מעידים כי סמוך למיתתו נסתלקה מהבתים ההם.</w:t>
      </w:r>
      <w:r w:rsidRPr="000C2E5C">
        <w:rPr>
          <w:rFonts w:cs="Arial" w:hint="cs"/>
          <w:rtl/>
        </w:rPr>
        <w:t>..</w:t>
      </w:r>
      <w:r w:rsidRPr="000C2E5C">
        <w:rPr>
          <w:rFonts w:cs="Arial"/>
          <w:rtl/>
        </w:rPr>
        <w:t xml:space="preserve"> ולענין מה שחושדים היורשים שלקחה כתב ביטול הפיטור יכולים להחרי' ולכלול אותה בכלל החרם סתם שלא פטרה בעלה משבועה וחרם אלא בכל מה שתאמר שהוא ממונו בשלו אבל זה אינו ממון ואינו בכלל הפיטור. </w:t>
      </w:r>
    </w:p>
    <w:p w14:paraId="26FEF5A6" w14:textId="77777777" w:rsidR="002E5BAD" w:rsidRPr="0089136D" w:rsidRDefault="002E5BAD" w:rsidP="002E5BAD">
      <w:pPr>
        <w:rPr>
          <w:u w:val="single"/>
        </w:rPr>
      </w:pPr>
      <w:r w:rsidRPr="0089136D">
        <w:rPr>
          <w:rFonts w:hint="cs"/>
          <w:u w:val="single"/>
          <w:rtl/>
        </w:rPr>
        <w:t xml:space="preserve">למנהג הקהילות שאם מתה האשה תוך זמן מסויים שמחזיר הבעל ממון הנדוניא </w:t>
      </w:r>
      <w:r w:rsidRPr="0089136D">
        <w:rPr>
          <w:u w:val="single"/>
          <w:rtl/>
        </w:rPr>
        <w:t>–</w:t>
      </w:r>
      <w:r w:rsidRPr="0089136D">
        <w:rPr>
          <w:rFonts w:hint="cs"/>
          <w:u w:val="single"/>
          <w:rtl/>
        </w:rPr>
        <w:t xml:space="preserve"> למי מחזיר:</w:t>
      </w:r>
    </w:p>
    <w:p w14:paraId="1E229CCD" w14:textId="77777777" w:rsidR="002E5BAD" w:rsidRPr="0089136D" w:rsidRDefault="002E5BAD" w:rsidP="00B75458">
      <w:pPr>
        <w:pStyle w:val="ab"/>
        <w:numPr>
          <w:ilvl w:val="0"/>
          <w:numId w:val="204"/>
        </w:numPr>
      </w:pPr>
      <w:r w:rsidRPr="004638AD">
        <w:rPr>
          <w:rFonts w:cs="Arial"/>
          <w:rtl/>
        </w:rPr>
        <w:t>תשובות מי</w:t>
      </w:r>
      <w:r>
        <w:rPr>
          <w:rFonts w:cs="Arial" w:hint="cs"/>
          <w:rtl/>
        </w:rPr>
        <w:t>י</w:t>
      </w:r>
      <w:r w:rsidRPr="004638AD">
        <w:rPr>
          <w:rFonts w:cs="Arial"/>
          <w:rtl/>
        </w:rPr>
        <w:t>מוני</w:t>
      </w:r>
      <w:r>
        <w:rPr>
          <w:rFonts w:cs="Arial" w:hint="cs"/>
          <w:rtl/>
        </w:rPr>
        <w:t xml:space="preserve">ות </w:t>
      </w:r>
      <w:r w:rsidRPr="0089136D">
        <w:rPr>
          <w:rFonts w:cs="Arial" w:hint="cs"/>
          <w:sz w:val="16"/>
          <w:szCs w:val="16"/>
          <w:rtl/>
        </w:rPr>
        <w:t>(</w:t>
      </w:r>
      <w:r w:rsidRPr="0089136D">
        <w:rPr>
          <w:rFonts w:cs="Arial"/>
          <w:sz w:val="16"/>
          <w:szCs w:val="16"/>
          <w:rtl/>
        </w:rPr>
        <w:t>ספר נשים סי' כו, לה)</w:t>
      </w:r>
      <w:r>
        <w:rPr>
          <w:rFonts w:cs="Arial" w:hint="cs"/>
          <w:rtl/>
        </w:rPr>
        <w:t>-</w:t>
      </w:r>
      <w:r w:rsidRPr="004638AD">
        <w:rPr>
          <w:rFonts w:cs="Arial"/>
          <w:rtl/>
        </w:rPr>
        <w:t xml:space="preserve"> מנהג הקהילות אם מתה תוך שנתים מחזיר ליורשיה</w:t>
      </w:r>
      <w:r>
        <w:rPr>
          <w:rFonts w:cs="Arial" w:hint="cs"/>
          <w:rtl/>
        </w:rPr>
        <w:t>.</w:t>
      </w:r>
      <w:r w:rsidRPr="004638AD">
        <w:rPr>
          <w:rFonts w:cs="Arial"/>
          <w:rtl/>
        </w:rPr>
        <w:t xml:space="preserve"> ומורי אומר שמחזירין למי שנתן הממון</w:t>
      </w:r>
      <w:r>
        <w:rPr>
          <w:rFonts w:cs="Arial" w:hint="cs"/>
          <w:rtl/>
        </w:rPr>
        <w:t>.</w:t>
      </w:r>
      <w:r w:rsidRPr="004638AD">
        <w:rPr>
          <w:rFonts w:cs="Arial"/>
          <w:rtl/>
        </w:rPr>
        <w:t xml:space="preserve"> וכן עשה מעשה כשנפטרה נינתו תוך שנתה</w:t>
      </w:r>
      <w:r>
        <w:rPr>
          <w:rFonts w:cs="Arial" w:hint="cs"/>
          <w:rtl/>
        </w:rPr>
        <w:t>,</w:t>
      </w:r>
      <w:r w:rsidRPr="004638AD">
        <w:rPr>
          <w:rFonts w:cs="Arial"/>
          <w:rtl/>
        </w:rPr>
        <w:t xml:space="preserve"> ומורי נתן הנדוניא</w:t>
      </w:r>
      <w:r>
        <w:rPr>
          <w:rFonts w:cs="Arial" w:hint="cs"/>
          <w:rtl/>
        </w:rPr>
        <w:t>,</w:t>
      </w:r>
      <w:r w:rsidRPr="004638AD">
        <w:rPr>
          <w:rFonts w:cs="Arial"/>
          <w:rtl/>
        </w:rPr>
        <w:t xml:space="preserve"> והוצרכו להחזיר לו מה שנתן ולא לאביה. </w:t>
      </w:r>
    </w:p>
    <w:p w14:paraId="30E6207E" w14:textId="77777777" w:rsidR="002E5BAD" w:rsidRDefault="002E5BAD" w:rsidP="002E5BAD">
      <w:r w:rsidRPr="0089136D">
        <w:rPr>
          <w:rFonts w:cs="Arial" w:hint="cs"/>
          <w:b/>
          <w:bCs/>
          <w:rtl/>
        </w:rPr>
        <w:t>כתובות</w:t>
      </w:r>
      <w:r w:rsidRPr="0089136D">
        <w:rPr>
          <w:rFonts w:cs="Arial"/>
          <w:b/>
          <w:bCs/>
          <w:rtl/>
        </w:rPr>
        <w:t xml:space="preserve"> </w:t>
      </w:r>
      <w:r w:rsidRPr="0089136D">
        <w:rPr>
          <w:rFonts w:cs="Arial" w:hint="cs"/>
          <w:b/>
          <w:bCs/>
          <w:sz w:val="16"/>
          <w:szCs w:val="16"/>
          <w:rtl/>
        </w:rPr>
        <w:t>(</w:t>
      </w:r>
      <w:r w:rsidRPr="0089136D">
        <w:rPr>
          <w:rFonts w:cs="Arial"/>
          <w:b/>
          <w:bCs/>
          <w:sz w:val="16"/>
          <w:szCs w:val="16"/>
          <w:rtl/>
        </w:rPr>
        <w:t>ר"פ אף על פי</w:t>
      </w:r>
      <w:r w:rsidRPr="0089136D">
        <w:rPr>
          <w:rFonts w:cs="Arial" w:hint="cs"/>
          <w:b/>
          <w:bCs/>
          <w:sz w:val="16"/>
          <w:szCs w:val="16"/>
          <w:rtl/>
        </w:rPr>
        <w:t>)</w:t>
      </w:r>
      <w:r w:rsidRPr="0089136D">
        <w:rPr>
          <w:rFonts w:cs="Arial"/>
          <w:b/>
          <w:bCs/>
          <w:rtl/>
        </w:rPr>
        <w:t xml:space="preserve"> נד</w:t>
      </w:r>
      <w:r w:rsidRPr="0089136D">
        <w:rPr>
          <w:rFonts w:cs="Arial" w:hint="cs"/>
          <w:b/>
          <w:bCs/>
          <w:rtl/>
        </w:rPr>
        <w:t xml:space="preserve"> ע"ב</w:t>
      </w:r>
      <w:r w:rsidRPr="0089136D">
        <w:rPr>
          <w:rFonts w:cs="Arial"/>
          <w:b/>
          <w:bCs/>
          <w:rtl/>
        </w:rPr>
        <w:t>:</w:t>
      </w:r>
      <w:r w:rsidRPr="0089136D">
        <w:rPr>
          <w:rFonts w:cs="Arial"/>
          <w:rtl/>
        </w:rPr>
        <w:t xml:space="preserve"> תנאי כתובה ככתובה דמי</w:t>
      </w:r>
      <w:r>
        <w:rPr>
          <w:rFonts w:cs="Arial" w:hint="cs"/>
          <w:rtl/>
        </w:rPr>
        <w:t>.</w:t>
      </w:r>
      <w:r w:rsidRPr="0089136D">
        <w:rPr>
          <w:rFonts w:cs="Arial"/>
          <w:rtl/>
        </w:rPr>
        <w:t xml:space="preserve"> </w:t>
      </w:r>
      <w:r w:rsidRPr="0089136D">
        <w:rPr>
          <w:rFonts w:cs="Arial" w:hint="cs"/>
          <w:sz w:val="16"/>
          <w:szCs w:val="16"/>
          <w:rtl/>
        </w:rPr>
        <w:t>(</w:t>
      </w:r>
      <w:r w:rsidRPr="0089136D">
        <w:rPr>
          <w:rFonts w:cs="Arial"/>
          <w:sz w:val="16"/>
          <w:szCs w:val="16"/>
          <w:rtl/>
        </w:rPr>
        <w:t>ופירש רש"י תוספת שהוא נותן לה ומזונות וכל הנך שהם תנאי כתובה דינם ככתובה וכו'</w:t>
      </w:r>
      <w:r>
        <w:rPr>
          <w:rFonts w:cs="Arial" w:hint="cs"/>
          <w:sz w:val="16"/>
          <w:szCs w:val="16"/>
          <w:rtl/>
        </w:rPr>
        <w:t>, ב"י)</w:t>
      </w:r>
      <w:r w:rsidRPr="0089136D">
        <w:rPr>
          <w:rFonts w:cs="Arial"/>
          <w:rtl/>
        </w:rPr>
        <w:t xml:space="preserve"> </w:t>
      </w:r>
    </w:p>
    <w:p w14:paraId="07794836" w14:textId="77777777" w:rsidR="002E5BAD" w:rsidRPr="0089136D" w:rsidRDefault="002E5BAD" w:rsidP="002E5BAD">
      <w:pPr>
        <w:rPr>
          <w:u w:val="single"/>
        </w:rPr>
      </w:pPr>
      <w:r w:rsidRPr="0089136D">
        <w:rPr>
          <w:rFonts w:hint="cs"/>
          <w:u w:val="single"/>
          <w:rtl/>
        </w:rPr>
        <w:t xml:space="preserve">מתנה שכותב בעל לאשתו </w:t>
      </w:r>
      <w:r w:rsidRPr="0089136D">
        <w:rPr>
          <w:u w:val="single"/>
          <w:rtl/>
        </w:rPr>
        <w:t>–</w:t>
      </w:r>
      <w:r w:rsidRPr="0089136D">
        <w:rPr>
          <w:rFonts w:hint="cs"/>
          <w:u w:val="single"/>
          <w:rtl/>
        </w:rPr>
        <w:t xml:space="preserve"> האם דינה ככתובה:</w:t>
      </w:r>
    </w:p>
    <w:p w14:paraId="52D3E934" w14:textId="77777777" w:rsidR="002E5BAD" w:rsidRPr="00213780" w:rsidRDefault="002E5BAD" w:rsidP="00B75458">
      <w:pPr>
        <w:pStyle w:val="ab"/>
        <w:numPr>
          <w:ilvl w:val="0"/>
          <w:numId w:val="204"/>
        </w:numPr>
        <w:rPr>
          <w:rtl/>
        </w:rPr>
      </w:pPr>
      <w:r>
        <w:rPr>
          <w:rFonts w:cs="Arial" w:hint="cs"/>
          <w:rtl/>
        </w:rPr>
        <w:t xml:space="preserve">רי"ו </w:t>
      </w:r>
      <w:r w:rsidRPr="0089136D">
        <w:rPr>
          <w:rFonts w:cs="Arial" w:hint="cs"/>
          <w:sz w:val="16"/>
          <w:szCs w:val="16"/>
          <w:rtl/>
        </w:rPr>
        <w:t>(</w:t>
      </w:r>
      <w:r w:rsidRPr="0089136D">
        <w:rPr>
          <w:rFonts w:cs="Arial"/>
          <w:sz w:val="16"/>
          <w:szCs w:val="16"/>
          <w:rtl/>
        </w:rPr>
        <w:t>מישרים נכ"ג חי"א סה ע"ד)</w:t>
      </w:r>
      <w:r>
        <w:rPr>
          <w:rFonts w:cs="Arial" w:hint="cs"/>
          <w:rtl/>
        </w:rPr>
        <w:t>-</w:t>
      </w:r>
      <w:r w:rsidRPr="004638AD">
        <w:rPr>
          <w:rFonts w:cs="Arial"/>
          <w:rtl/>
        </w:rPr>
        <w:t xml:space="preserve"> כל זה בתוספת שכתב והוסיף לה או שכללו עם העיקר</w:t>
      </w:r>
      <w:r>
        <w:rPr>
          <w:rFonts w:cs="Arial" w:hint="cs"/>
          <w:rtl/>
        </w:rPr>
        <w:t>.</w:t>
      </w:r>
      <w:r w:rsidRPr="004638AD">
        <w:rPr>
          <w:rFonts w:cs="Arial"/>
          <w:rtl/>
        </w:rPr>
        <w:t xml:space="preserve"> אבל אם כתב ונתן לה מתנה כך וכך אין דינה ככתובה וכל שכן אם כתב לה מתנה בשטר בפני עצמו ולפיכך נהגו לכתוב מתנה לחוד להוציאו מדין תוספת דכתובה</w:t>
      </w:r>
      <w:r>
        <w:rPr>
          <w:rFonts w:cs="Arial" w:hint="cs"/>
          <w:rtl/>
        </w:rPr>
        <w:t>.</w:t>
      </w:r>
    </w:p>
    <w:p w14:paraId="26A64277" w14:textId="77777777" w:rsidR="002E5BAD" w:rsidRPr="00351B7D" w:rsidRDefault="002E5BAD" w:rsidP="002E5BAD">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508926" w14:textId="77777777" w:rsidR="002E5BAD" w:rsidRPr="007A3469" w:rsidRDefault="002E5BAD" w:rsidP="002E5BAD">
      <w:pPr>
        <w:rPr>
          <w:rtl/>
        </w:rPr>
      </w:pPr>
      <w:r>
        <w:rPr>
          <w:rFonts w:cs="Arial"/>
          <w:rtl/>
        </w:rPr>
        <w:t xml:space="preserve">המתנה עם בעלה בשעת נשואין שאם תמות תחתיו בלא ולד קיימא יהא שליש נדוניתא ליורשיה, וגירשה והחזירה סתם, על דעת תנאים ראשונים החזירה. </w:t>
      </w:r>
      <w:r w:rsidRPr="00213780">
        <w:rPr>
          <w:rFonts w:cs="Arial"/>
          <w:sz w:val="18"/>
          <w:szCs w:val="18"/>
          <w:rtl/>
        </w:rPr>
        <w:t>הגה: תקנת קהלות שו"ם שאנו נוהגין בזמן הזה בנדוניית חתנים כמו שנתבאר לעיל סוף סימן נ"ג י"א שהתקנה לא נתקנה רק בנדוניא, אבל לא בירושה שנפלה לאשה בעודה תחתיו (רא"ש כלל נד</w:t>
      </w:r>
      <w:r>
        <w:rPr>
          <w:rFonts w:cs="Arial" w:hint="cs"/>
          <w:sz w:val="18"/>
          <w:szCs w:val="18"/>
          <w:rtl/>
        </w:rPr>
        <w:t xml:space="preserve"> סי' א</w:t>
      </w:r>
      <w:r w:rsidRPr="00213780">
        <w:rPr>
          <w:rFonts w:cs="Arial"/>
          <w:sz w:val="18"/>
          <w:szCs w:val="18"/>
          <w:rtl/>
        </w:rPr>
        <w:t>). וכן במתנות שנתנו לחתן. ובזמן שהנכסים חוזרין מכח התקנה, י"א שחוזרין לנותני הנדוניא, וי"א ליורשים (</w:t>
      </w:r>
      <w:r>
        <w:rPr>
          <w:rFonts w:cs="Arial" w:hint="cs"/>
          <w:sz w:val="18"/>
          <w:szCs w:val="18"/>
          <w:rtl/>
        </w:rPr>
        <w:t>שתי הדעות ב</w:t>
      </w:r>
      <w:r w:rsidRPr="00213780">
        <w:rPr>
          <w:rFonts w:cs="Arial"/>
          <w:sz w:val="18"/>
          <w:szCs w:val="18"/>
          <w:rtl/>
        </w:rPr>
        <w:t>תשו</w:t>
      </w:r>
      <w:r>
        <w:rPr>
          <w:rFonts w:cs="Arial" w:hint="cs"/>
          <w:sz w:val="18"/>
          <w:szCs w:val="18"/>
          <w:rtl/>
        </w:rPr>
        <w:t>'</w:t>
      </w:r>
      <w:r w:rsidRPr="00213780">
        <w:rPr>
          <w:rFonts w:cs="Arial"/>
          <w:sz w:val="18"/>
          <w:szCs w:val="18"/>
          <w:rtl/>
        </w:rPr>
        <w:t xml:space="preserve"> מיימוני), וכן מנהג הקהלות. ואין חילוק בין אם האב נותן הנדוניא או אחרים (ת</w:t>
      </w:r>
      <w:r>
        <w:rPr>
          <w:rFonts w:cs="Arial" w:hint="cs"/>
          <w:sz w:val="18"/>
          <w:szCs w:val="18"/>
          <w:rtl/>
        </w:rPr>
        <w:t>רוה"ד</w:t>
      </w:r>
      <w:r w:rsidRPr="00213780">
        <w:rPr>
          <w:rFonts w:cs="Arial"/>
          <w:sz w:val="18"/>
          <w:szCs w:val="18"/>
          <w:rtl/>
        </w:rPr>
        <w:t xml:space="preserve"> סי' שכא). אבל כשהן עצמן מכניסים נדוניה, לא תיקנו (מהרי"ו ס"ד). וכל מקום שיש מנהג, הולכין אחר המנהג</w:t>
      </w:r>
      <w:r>
        <w:rPr>
          <w:rFonts w:cs="Arial" w:hint="cs"/>
          <w:sz w:val="18"/>
          <w:szCs w:val="18"/>
          <w:rtl/>
        </w:rPr>
        <w:t>.</w:t>
      </w:r>
      <w:r w:rsidRPr="00213780">
        <w:rPr>
          <w:rFonts w:cs="Arial"/>
          <w:sz w:val="18"/>
          <w:szCs w:val="18"/>
          <w:rtl/>
        </w:rPr>
        <w:t xml:space="preserve"> ואפילו לא התנו בשעת נשואין, כאילו התנו, דכל הנושא על דעת המנהג הוא נושא (דעת עצמו ורשב"א סי' תתקסב ותשו</w:t>
      </w:r>
      <w:r>
        <w:rPr>
          <w:rFonts w:cs="Arial" w:hint="cs"/>
          <w:sz w:val="18"/>
          <w:szCs w:val="18"/>
          <w:rtl/>
        </w:rPr>
        <w:t>'</w:t>
      </w:r>
      <w:r w:rsidRPr="00213780">
        <w:rPr>
          <w:rFonts w:cs="Arial"/>
          <w:sz w:val="18"/>
          <w:szCs w:val="18"/>
          <w:rtl/>
        </w:rPr>
        <w:t xml:space="preserve"> מיימוני סוף אישות ל"ה</w:t>
      </w:r>
      <w:r w:rsidRPr="003F7A28">
        <w:rPr>
          <w:rFonts w:cs="Arial"/>
          <w:sz w:val="18"/>
          <w:szCs w:val="18"/>
          <w:rtl/>
        </w:rPr>
        <w:t>). ואפילו הלך למקום שאין נוהגים מנהג הקהילות, הולכין אחר מקום שנשאה שם (ריב"ש סי</w:t>
      </w:r>
      <w:r>
        <w:rPr>
          <w:rFonts w:cs="Arial" w:hint="cs"/>
          <w:sz w:val="18"/>
          <w:szCs w:val="18"/>
          <w:rtl/>
        </w:rPr>
        <w:t>'</w:t>
      </w:r>
      <w:r w:rsidRPr="003F7A28">
        <w:rPr>
          <w:rFonts w:cs="Arial"/>
          <w:sz w:val="18"/>
          <w:szCs w:val="18"/>
          <w:rtl/>
        </w:rPr>
        <w:t xml:space="preserve"> קה). ואם לא מתו הבת או הבן, רק </w:t>
      </w:r>
      <w:r w:rsidRPr="003F7A28">
        <w:rPr>
          <w:rFonts w:cs="Arial"/>
          <w:sz w:val="18"/>
          <w:szCs w:val="18"/>
          <w:rtl/>
        </w:rPr>
        <w:lastRenderedPageBreak/>
        <w:t>נהרגו או נשתמדו, י"א דלא שייך בזה דין חתנים, ואפילו לא נתן האב צריך ליתן. אבל אם אין כאן זרע קיימא, שצריכין להחזיר מכח תקנה, אין חילוק בין נהרגו למתו</w:t>
      </w:r>
      <w:r>
        <w:rPr>
          <w:rFonts w:cs="Arial" w:hint="cs"/>
          <w:sz w:val="18"/>
          <w:szCs w:val="18"/>
          <w:rtl/>
        </w:rPr>
        <w:t>.</w:t>
      </w:r>
      <w:r w:rsidRPr="003F7A28">
        <w:rPr>
          <w:rFonts w:cs="Arial"/>
          <w:sz w:val="18"/>
          <w:szCs w:val="18"/>
          <w:rtl/>
        </w:rPr>
        <w:t xml:space="preserve"> אבל אם המירו דתם לע"ג, אין צריך להחזיר. ויש להתיישב בדבר.</w:t>
      </w:r>
    </w:p>
    <w:p w14:paraId="2E79BA85" w14:textId="77777777" w:rsidR="002E5BAD" w:rsidRDefault="002E5BAD" w:rsidP="008E16D0">
      <w:pPr>
        <w:rPr>
          <w:rtl/>
        </w:rPr>
      </w:pPr>
    </w:p>
    <w:p w14:paraId="7123F528" w14:textId="77777777" w:rsidR="007D6167" w:rsidRDefault="007D6167" w:rsidP="008E16D0">
      <w:pPr>
        <w:rPr>
          <w:rFonts w:asciiTheme="minorBidi" w:hAnsiTheme="minorBidi"/>
          <w:rtl/>
        </w:rPr>
        <w:sectPr w:rsidR="007D6167" w:rsidSect="00A347B3">
          <w:headerReference w:type="default" r:id="rId75"/>
          <w:footnotePr>
            <w:numRestart w:val="eachPage"/>
          </w:footnotePr>
          <w:pgSz w:w="11906" w:h="16838"/>
          <w:pgMar w:top="720" w:right="1134" w:bottom="720" w:left="1134" w:header="0" w:footer="0" w:gutter="0"/>
          <w:cols w:space="720"/>
          <w:bidi/>
          <w:rtlGutter/>
          <w:docGrid w:linePitch="360"/>
        </w:sectPr>
      </w:pPr>
    </w:p>
    <w:p w14:paraId="3FD3D879" w14:textId="77777777" w:rsidR="007D6167" w:rsidRDefault="007D6167" w:rsidP="007D6167">
      <w:pPr>
        <w:pStyle w:val="1"/>
        <w:rPr>
          <w:rtl/>
        </w:rPr>
      </w:pPr>
      <w:r>
        <w:rPr>
          <w:rFonts w:hint="cs"/>
          <w:rtl/>
        </w:rPr>
        <w:lastRenderedPageBreak/>
        <w:t>סימן קיט:</w:t>
      </w:r>
      <w:r w:rsidRPr="00C12B74">
        <w:rPr>
          <w:rtl/>
        </w:rPr>
        <w:t xml:space="preserve"> </w:t>
      </w:r>
      <w:r w:rsidRPr="007B74F1">
        <w:rPr>
          <w:rFonts w:cs="Arial"/>
          <w:rtl/>
        </w:rPr>
        <w:t>מה דבה ימצא באשה שתתגרש ושלא תדור הגרושה עמו בחצר, ובו י"א סעיפים.</w:t>
      </w:r>
    </w:p>
    <w:p w14:paraId="3D247CB7" w14:textId="77777777" w:rsidR="007D6167" w:rsidRDefault="007D6167" w:rsidP="007D6167">
      <w:pPr>
        <w:pStyle w:val="2"/>
        <w:rPr>
          <w:rtl/>
        </w:rPr>
      </w:pPr>
      <w:r>
        <w:rPr>
          <w:rtl/>
        </w:rPr>
        <w:t>סעיף א</w:t>
      </w:r>
      <w:r>
        <w:rPr>
          <w:rFonts w:hint="cs"/>
          <w:rtl/>
        </w:rPr>
        <w:t>: לישא אשה על דעת לגרשה.</w:t>
      </w:r>
    </w:p>
    <w:p w14:paraId="3BD13B64" w14:textId="77777777" w:rsidR="007D6167" w:rsidRPr="00EB1DEB" w:rsidRDefault="007D6167" w:rsidP="007D6167">
      <w:pPr>
        <w:rPr>
          <w:rtl/>
        </w:rPr>
      </w:pPr>
      <w:r w:rsidRPr="00EB1DEB">
        <w:rPr>
          <w:rFonts w:hint="cs"/>
          <w:b/>
          <w:bCs/>
          <w:rtl/>
        </w:rPr>
        <w:t xml:space="preserve">יבמות </w:t>
      </w:r>
      <w:r w:rsidRPr="00EB1DEB">
        <w:rPr>
          <w:rFonts w:hint="cs"/>
          <w:b/>
          <w:bCs/>
          <w:sz w:val="16"/>
          <w:szCs w:val="16"/>
          <w:rtl/>
        </w:rPr>
        <w:t xml:space="preserve">(פ' החולץ) </w:t>
      </w:r>
      <w:r w:rsidRPr="00EB1DEB">
        <w:rPr>
          <w:rFonts w:hint="cs"/>
          <w:b/>
          <w:bCs/>
          <w:rtl/>
        </w:rPr>
        <w:t>לז ע"ב:</w:t>
      </w:r>
      <w:r w:rsidRPr="00EB1DEB">
        <w:rPr>
          <w:rtl/>
        </w:rPr>
        <w:t xml:space="preserve"> </w:t>
      </w:r>
      <w:r w:rsidRPr="00EB1DEB">
        <w:rPr>
          <w:rFonts w:cs="Arial"/>
          <w:rtl/>
        </w:rPr>
        <w:t xml:space="preserve">רב כי איקלע לדרדשיר, מכריז ואמר: מאן הויא ליומא? ורב נחמן כי איקלע לשכנציב, מכריז ואמר: מאן הויא ליומא? שאני רבנן, דפקיע שמייהו. והאמר רבא: תבעוה לינשא ונתפייסה - צריכה לישב שבעה נקיים! רבנן שלוחייהו הוו משדרי ומודעי להו. ואיבעית אימא: לרבנן יחודי בעלמא הוא דמייחדי להו, דאמר מר: אינו דומה מי שיש לו פת בסלו למי שאין לו פת בסלו. תנא, </w:t>
      </w:r>
      <w:r w:rsidRPr="00EB1DEB">
        <w:rPr>
          <w:rFonts w:cs="Arial"/>
          <w:u w:val="single"/>
          <w:rtl/>
        </w:rPr>
        <w:t>רבי אליעזר בן יעקב אומר</w:t>
      </w:r>
      <w:r w:rsidRPr="00EB1DEB">
        <w:rPr>
          <w:rFonts w:cs="Arial"/>
          <w:rtl/>
        </w:rPr>
        <w:t>: לא ישא אדם אשתו ודעתו לגרשה</w:t>
      </w:r>
      <w:r>
        <w:rPr>
          <w:rStyle w:val="a7"/>
          <w:rFonts w:cs="Arial"/>
          <w:rtl/>
        </w:rPr>
        <w:footnoteReference w:id="3284"/>
      </w:r>
      <w:r w:rsidRPr="00EB1DEB">
        <w:rPr>
          <w:rFonts w:cs="Arial"/>
          <w:rtl/>
        </w:rPr>
        <w:t>, משום שנאמר: אל תחרש על רעך רעה והוא יושב לבטח אתך.</w:t>
      </w:r>
    </w:p>
    <w:p w14:paraId="64E04D08" w14:textId="77777777" w:rsidR="007D6167" w:rsidRPr="00EB1DEB" w:rsidRDefault="007D6167" w:rsidP="007D6167">
      <w:pPr>
        <w:rPr>
          <w:u w:val="single"/>
          <w:rtl/>
        </w:rPr>
      </w:pPr>
      <w:r>
        <w:rPr>
          <w:rFonts w:hint="cs"/>
          <w:u w:val="single"/>
          <w:rtl/>
        </w:rPr>
        <w:t xml:space="preserve">האם מותר </w:t>
      </w:r>
      <w:r w:rsidRPr="00EB1DEB">
        <w:rPr>
          <w:rFonts w:hint="cs"/>
          <w:u w:val="single"/>
          <w:rtl/>
        </w:rPr>
        <w:t>לישא אשה על דעת לגרשה:</w:t>
      </w:r>
    </w:p>
    <w:p w14:paraId="0BF826B8" w14:textId="77777777" w:rsidR="007D6167" w:rsidRDefault="007D6167" w:rsidP="00B75458">
      <w:pPr>
        <w:pStyle w:val="ab"/>
        <w:numPr>
          <w:ilvl w:val="0"/>
          <w:numId w:val="193"/>
        </w:numPr>
      </w:pPr>
      <w:r>
        <w:rPr>
          <w:rFonts w:cs="Arial" w:hint="cs"/>
          <w:rtl/>
        </w:rPr>
        <w:t xml:space="preserve">טור- </w:t>
      </w:r>
      <w:r w:rsidRPr="00FE714F">
        <w:rPr>
          <w:rFonts w:cs="Arial"/>
          <w:rtl/>
        </w:rPr>
        <w:t>לא ישא אדם אשה ודעתו לגרשה</w:t>
      </w:r>
      <w:r>
        <w:rPr>
          <w:rFonts w:cs="Arial" w:hint="cs"/>
          <w:rtl/>
        </w:rPr>
        <w:t>.</w:t>
      </w:r>
      <w:r w:rsidRPr="00FE714F">
        <w:rPr>
          <w:rFonts w:cs="Arial"/>
          <w:rtl/>
        </w:rPr>
        <w:t xml:space="preserve"> </w:t>
      </w:r>
    </w:p>
    <w:p w14:paraId="49F20928" w14:textId="77777777" w:rsidR="007D6167" w:rsidRPr="00405555" w:rsidRDefault="007D6167" w:rsidP="00B75458">
      <w:pPr>
        <w:pStyle w:val="ab"/>
        <w:numPr>
          <w:ilvl w:val="0"/>
          <w:numId w:val="193"/>
        </w:numPr>
        <w:rPr>
          <w:rtl/>
        </w:rPr>
      </w:pPr>
      <w:r>
        <w:rPr>
          <w:rFonts w:cs="Arial" w:hint="cs"/>
          <w:rtl/>
        </w:rPr>
        <w:t>רמב"ם</w:t>
      </w:r>
      <w:r>
        <w:rPr>
          <w:rFonts w:cs="Arial" w:hint="cs"/>
          <w:sz w:val="16"/>
          <w:szCs w:val="16"/>
          <w:rtl/>
        </w:rPr>
        <w:t xml:space="preserve"> (פכ"א מאיסו"ב הכ"ח, ובפ"י מגרושין הכ"א)</w:t>
      </w:r>
      <w:r>
        <w:rPr>
          <w:rFonts w:cs="Arial" w:hint="cs"/>
          <w:rtl/>
        </w:rPr>
        <w:t xml:space="preserve"> ורמ"ה </w:t>
      </w:r>
      <w:r w:rsidRPr="00405555">
        <w:rPr>
          <w:rFonts w:cs="Arial"/>
          <w:sz w:val="16"/>
          <w:szCs w:val="16"/>
          <w:rtl/>
        </w:rPr>
        <w:t>(</w:t>
      </w:r>
      <w:r>
        <w:rPr>
          <w:rFonts w:cs="Arial" w:hint="cs"/>
          <w:sz w:val="16"/>
          <w:szCs w:val="16"/>
          <w:rtl/>
        </w:rPr>
        <w:t>כ"כ בשמו רי"ו [</w:t>
      </w:r>
      <w:r w:rsidRPr="00405555">
        <w:rPr>
          <w:rFonts w:cs="Arial"/>
          <w:sz w:val="16"/>
          <w:szCs w:val="16"/>
          <w:rtl/>
        </w:rPr>
        <w:t>נכ"ב ח"ב קצג:</w:t>
      </w:r>
      <w:r>
        <w:rPr>
          <w:rFonts w:cs="Arial" w:hint="cs"/>
          <w:sz w:val="16"/>
          <w:szCs w:val="16"/>
          <w:rtl/>
        </w:rPr>
        <w:t>]</w:t>
      </w:r>
      <w:r w:rsidRPr="00405555">
        <w:rPr>
          <w:rFonts w:cs="Arial"/>
          <w:sz w:val="16"/>
          <w:szCs w:val="16"/>
          <w:rtl/>
        </w:rPr>
        <w:t>)</w:t>
      </w:r>
      <w:r>
        <w:rPr>
          <w:rFonts w:cs="Arial" w:hint="cs"/>
          <w:rtl/>
        </w:rPr>
        <w:t xml:space="preserve">- </w:t>
      </w:r>
      <w:r w:rsidRPr="00405555">
        <w:rPr>
          <w:rFonts w:cs="Arial"/>
          <w:rtl/>
        </w:rPr>
        <w:t>אסור לאדם לישא אשה ודעתו לגרשה שנאמר אל תחרוש על רעך רעה והוא יושב לבטח אתך, ואם הודיעה בתחלה שהוא נושא אותה לימים מותר</w:t>
      </w:r>
      <w:r>
        <w:rPr>
          <w:rFonts w:cs="Arial" w:hint="cs"/>
          <w:sz w:val="16"/>
          <w:szCs w:val="16"/>
          <w:rtl/>
        </w:rPr>
        <w:t xml:space="preserve"> (ל' הרמב"ם [באיסו"ב])</w:t>
      </w:r>
      <w:r w:rsidRPr="00405555">
        <w:rPr>
          <w:rFonts w:cs="Arial"/>
          <w:rtl/>
        </w:rPr>
        <w:t>.</w:t>
      </w:r>
      <w:r>
        <w:rPr>
          <w:rFonts w:cs="Arial" w:hint="cs"/>
          <w:rtl/>
        </w:rPr>
        <w:t xml:space="preserve"> </w:t>
      </w:r>
      <w:r w:rsidRPr="004617D4">
        <w:rPr>
          <w:rFonts w:cs="Arial" w:hint="cs"/>
          <w:color w:val="E36C0A" w:themeColor="accent6" w:themeShade="BF"/>
          <w:rtl/>
        </w:rPr>
        <w:t>(וכ"פ בשו"ע)</w:t>
      </w:r>
      <w:r w:rsidRPr="00405555">
        <w:rPr>
          <w:rFonts w:cs="Arial"/>
          <w:rtl/>
        </w:rPr>
        <w:t xml:space="preserve"> </w:t>
      </w:r>
    </w:p>
    <w:p w14:paraId="655612BA"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19698D" w14:textId="77777777" w:rsidR="007D6167" w:rsidRDefault="007D6167" w:rsidP="007D6167">
      <w:pPr>
        <w:rPr>
          <w:rFonts w:cs="Arial"/>
          <w:rtl/>
        </w:rPr>
      </w:pPr>
      <w:r w:rsidRPr="007B74F1">
        <w:rPr>
          <w:rFonts w:cs="Arial"/>
          <w:rtl/>
        </w:rPr>
        <w:t xml:space="preserve">לא ישא אדם אשה ודעתו לגרשה. ואם הודיעה בתחלה שהוא נושא אותה לימים, מותר. </w:t>
      </w:r>
    </w:p>
    <w:p w14:paraId="13F302FE" w14:textId="77777777" w:rsidR="007D6167" w:rsidRPr="007B74F1" w:rsidRDefault="007D6167" w:rsidP="007D6167">
      <w:pPr>
        <w:rPr>
          <w:rFonts w:cs="Arial"/>
          <w:rtl/>
        </w:rPr>
      </w:pPr>
    </w:p>
    <w:p w14:paraId="6CC689A9" w14:textId="77777777" w:rsidR="007D6167" w:rsidRDefault="007D6167" w:rsidP="007D6167">
      <w:pPr>
        <w:pStyle w:val="2"/>
        <w:rPr>
          <w:rtl/>
        </w:rPr>
      </w:pPr>
      <w:r w:rsidRPr="007B74F1">
        <w:rPr>
          <w:rtl/>
        </w:rPr>
        <w:t>סעיף ב</w:t>
      </w:r>
      <w:r>
        <w:rPr>
          <w:rFonts w:hint="cs"/>
          <w:rtl/>
        </w:rPr>
        <w:t>: היושב עם אשתו ודעתו לגרשה.</w:t>
      </w:r>
    </w:p>
    <w:p w14:paraId="179C0BDD" w14:textId="77777777" w:rsidR="007D6167" w:rsidRDefault="007D6167" w:rsidP="007D6167">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 xml:space="preserve">צ ע"א: </w:t>
      </w:r>
      <w:r w:rsidRPr="008645A0">
        <w:rPr>
          <w:rFonts w:cs="Arial"/>
          <w:u w:val="single"/>
          <w:rtl/>
        </w:rPr>
        <w:t>א"ל רב משרשיא לרבא</w:t>
      </w:r>
      <w:r w:rsidRPr="008645A0">
        <w:rPr>
          <w:rFonts w:cs="Arial"/>
          <w:rtl/>
        </w:rPr>
        <w:t>: אם לבו לגרשה והיא יושבת תחתיו ומשמשתו, מהו? קרי עליה: אל תחרש על רעך רעה והוא יושב לבטח אתך.</w:t>
      </w:r>
    </w:p>
    <w:p w14:paraId="587FCD50" w14:textId="77777777" w:rsidR="007D6167" w:rsidRPr="004617D4" w:rsidRDefault="007D6167" w:rsidP="007D6167">
      <w:pPr>
        <w:rPr>
          <w:u w:val="single"/>
          <w:rtl/>
        </w:rPr>
      </w:pPr>
      <w:r w:rsidRPr="004617D4">
        <w:rPr>
          <w:rFonts w:hint="cs"/>
          <w:u w:val="single"/>
          <w:rtl/>
        </w:rPr>
        <w:t>היושב עם אשתו ודעתו לגרשה:</w:t>
      </w:r>
    </w:p>
    <w:p w14:paraId="39F46076" w14:textId="77777777" w:rsidR="007D6167" w:rsidRPr="00E5139A" w:rsidRDefault="007D6167" w:rsidP="00B75458">
      <w:pPr>
        <w:pStyle w:val="ab"/>
        <w:numPr>
          <w:ilvl w:val="0"/>
          <w:numId w:val="223"/>
        </w:numPr>
        <w:rPr>
          <w:rFonts w:cs="Arial"/>
          <w:rtl/>
        </w:rPr>
      </w:pPr>
      <w:r>
        <w:rPr>
          <w:rFonts w:cs="Arial" w:hint="cs"/>
          <w:rtl/>
        </w:rPr>
        <w:t xml:space="preserve">רמב"ם </w:t>
      </w:r>
      <w:r>
        <w:rPr>
          <w:rFonts w:cs="Arial" w:hint="cs"/>
          <w:sz w:val="16"/>
          <w:szCs w:val="16"/>
          <w:rtl/>
        </w:rPr>
        <w:t>(פ"י מגרושין הכ"א)</w:t>
      </w:r>
      <w:r>
        <w:rPr>
          <w:rFonts w:cs="Arial" w:hint="cs"/>
          <w:rtl/>
        </w:rPr>
        <w:t xml:space="preserve"> ו</w:t>
      </w:r>
      <w:r w:rsidRPr="00E5139A">
        <w:rPr>
          <w:rFonts w:cs="Arial" w:hint="cs"/>
          <w:rtl/>
        </w:rPr>
        <w:t xml:space="preserve">טור- </w:t>
      </w:r>
      <w:r w:rsidRPr="00E5139A">
        <w:rPr>
          <w:rFonts w:cs="Arial"/>
          <w:rtl/>
        </w:rPr>
        <w:t>וכן היושב עם אשתו ודעתו לגרשה עובר משום אל תחרוש על רעך רעה</w:t>
      </w:r>
      <w:r>
        <w:rPr>
          <w:rFonts w:cs="Arial" w:hint="cs"/>
          <w:sz w:val="16"/>
          <w:szCs w:val="16"/>
          <w:rtl/>
        </w:rPr>
        <w:t xml:space="preserve"> (ל' הטור)</w:t>
      </w:r>
      <w:r w:rsidRPr="00E5139A">
        <w:rPr>
          <w:rFonts w:cs="Arial" w:hint="cs"/>
          <w:rtl/>
        </w:rPr>
        <w:t>.</w:t>
      </w:r>
      <w:r w:rsidRPr="004617D4">
        <w:rPr>
          <w:rFonts w:cs="Arial" w:hint="cs"/>
          <w:color w:val="E36C0A" w:themeColor="accent6" w:themeShade="BF"/>
          <w:rtl/>
        </w:rPr>
        <w:t xml:space="preserve"> (וכ"פ בשו"ע)</w:t>
      </w:r>
    </w:p>
    <w:p w14:paraId="6F256602" w14:textId="77777777" w:rsidR="007D6167" w:rsidRPr="000F4DF0"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C73E16" w14:textId="77777777" w:rsidR="007D6167" w:rsidRDefault="007D6167" w:rsidP="007D6167">
      <w:pPr>
        <w:rPr>
          <w:rFonts w:cs="Arial"/>
          <w:rtl/>
        </w:rPr>
      </w:pPr>
      <w:r w:rsidRPr="007B74F1">
        <w:rPr>
          <w:rFonts w:cs="Arial"/>
          <w:rtl/>
        </w:rPr>
        <w:t>לא תהיה יושבת תחתיו ומשמשתו, ודעתו לגרשה</w:t>
      </w:r>
      <w:r>
        <w:rPr>
          <w:rStyle w:val="a7"/>
          <w:rFonts w:cs="Arial"/>
          <w:rtl/>
        </w:rPr>
        <w:footnoteReference w:id="3285"/>
      </w:r>
      <w:r w:rsidRPr="007B74F1">
        <w:rPr>
          <w:rFonts w:cs="Arial"/>
          <w:rtl/>
        </w:rPr>
        <w:t xml:space="preserve">. </w:t>
      </w:r>
    </w:p>
    <w:p w14:paraId="5EA58012" w14:textId="77777777" w:rsidR="007D6167" w:rsidRPr="007B74F1" w:rsidRDefault="007D6167" w:rsidP="007D6167">
      <w:pPr>
        <w:rPr>
          <w:rFonts w:cs="Arial"/>
          <w:rtl/>
        </w:rPr>
      </w:pPr>
    </w:p>
    <w:p w14:paraId="0E2F2795" w14:textId="77777777" w:rsidR="007D6167" w:rsidRDefault="007D6167" w:rsidP="007D6167">
      <w:pPr>
        <w:pStyle w:val="2"/>
        <w:rPr>
          <w:rtl/>
        </w:rPr>
      </w:pPr>
      <w:r w:rsidRPr="007B74F1">
        <w:rPr>
          <w:rtl/>
        </w:rPr>
        <w:t>סעיף ג</w:t>
      </w:r>
      <w:r>
        <w:rPr>
          <w:rFonts w:hint="cs"/>
          <w:rtl/>
        </w:rPr>
        <w:t>: מתי ועל מה יגרש אדם את אשתו.</w:t>
      </w:r>
    </w:p>
    <w:p w14:paraId="420E27F7" w14:textId="77777777" w:rsidR="007D6167" w:rsidRPr="00160F57" w:rsidRDefault="007D6167" w:rsidP="007D6167">
      <w:pPr>
        <w:rPr>
          <w:rtl/>
        </w:rPr>
      </w:pPr>
      <w:r w:rsidRPr="00160F57">
        <w:rPr>
          <w:rFonts w:cs="Arial" w:hint="cs"/>
          <w:b/>
          <w:bCs/>
          <w:rtl/>
        </w:rPr>
        <w:t xml:space="preserve">דברים </w:t>
      </w:r>
      <w:r>
        <w:rPr>
          <w:rFonts w:cs="Arial" w:hint="cs"/>
          <w:b/>
          <w:bCs/>
          <w:sz w:val="16"/>
          <w:szCs w:val="16"/>
          <w:rtl/>
        </w:rPr>
        <w:t>(פרשת כי תצא)</w:t>
      </w:r>
      <w:r>
        <w:rPr>
          <w:rFonts w:cs="Arial" w:hint="cs"/>
          <w:b/>
          <w:bCs/>
          <w:rtl/>
        </w:rPr>
        <w:t xml:space="preserve"> </w:t>
      </w:r>
      <w:r w:rsidRPr="00160F57">
        <w:rPr>
          <w:rFonts w:cs="Arial" w:hint="cs"/>
          <w:b/>
          <w:bCs/>
          <w:rtl/>
        </w:rPr>
        <w:t>פרק כד:</w:t>
      </w:r>
      <w:r w:rsidRPr="00160F57">
        <w:rPr>
          <w:rFonts w:cs="Arial"/>
          <w:rtl/>
        </w:rPr>
        <w:t xml:space="preserve"> </w:t>
      </w:r>
      <w:r>
        <w:rPr>
          <w:rFonts w:cs="Arial" w:hint="cs"/>
          <w:rtl/>
        </w:rPr>
        <w:t xml:space="preserve">(א) </w:t>
      </w:r>
      <w:r w:rsidRPr="00160F57">
        <w:rPr>
          <w:rFonts w:cs="Arial"/>
          <w:rtl/>
        </w:rPr>
        <w:t>כִּֽי־יִקַּ֥ח אִ֛ישׁ אִשָּׁ֖ה וּבְעָלָ֑הּ וְהָיָ֞ה אִם־לֹ֧א תִמְצָא־חֵ֣ן בְּעֵינָ֗יו כִּי־מָ֤צָא בָהּ֙ עֶרְוַ֣ת דָּבָ֔ר וְכָ֨תַב לָ֜הּ סֵ֤פֶר כְּרִיתֻת֙ וְנָתַ֣ן בְּיָדָ֔הּ וְשִׁלְּחָ֖הּ מִבֵּיתֽוֹ:</w:t>
      </w:r>
      <w:r w:rsidRPr="00B05510">
        <w:rPr>
          <w:rtl/>
        </w:rPr>
        <w:t xml:space="preserve"> </w:t>
      </w:r>
      <w:r w:rsidRPr="00B05510">
        <w:rPr>
          <w:rFonts w:cs="Arial"/>
          <w:rtl/>
        </w:rPr>
        <w:t>(ב) וְיָצְאָ֖ה מִבֵּית֑וֹ וְהָלְכָ֖ה וְהָיְתָ֥ה לְאִישׁ־אַחֵֽר:</w:t>
      </w:r>
    </w:p>
    <w:p w14:paraId="34200859" w14:textId="77777777" w:rsidR="007D6167" w:rsidRDefault="007D6167" w:rsidP="007D6167">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 xml:space="preserve">צ ע"א: </w:t>
      </w:r>
      <w:r w:rsidRPr="00701DC6">
        <w:rPr>
          <w:rFonts w:cs="Arial"/>
          <w:u w:val="double"/>
          <w:rtl/>
        </w:rPr>
        <w:t>מתני'</w:t>
      </w:r>
      <w:r>
        <w:rPr>
          <w:rFonts w:cs="Arial" w:hint="cs"/>
          <w:rtl/>
        </w:rPr>
        <w:t>:</w:t>
      </w:r>
      <w:r>
        <w:rPr>
          <w:rFonts w:cs="Arial"/>
          <w:rtl/>
        </w:rPr>
        <w:t xml:space="preserve"> </w:t>
      </w:r>
      <w:r w:rsidRPr="00701DC6">
        <w:rPr>
          <w:rFonts w:cs="Arial"/>
          <w:u w:val="single"/>
          <w:rtl/>
        </w:rPr>
        <w:t>בית שמאי אומרים</w:t>
      </w:r>
      <w:r>
        <w:rPr>
          <w:rFonts w:cs="Arial"/>
          <w:rtl/>
        </w:rPr>
        <w:t>: לא יגרש אדם את אשתו אלא אם כן מצא בה דבר ערוה, שנאמר: כי מצא בה ערות דבר</w:t>
      </w:r>
      <w:r>
        <w:rPr>
          <w:rFonts w:cs="Arial" w:hint="cs"/>
          <w:rtl/>
        </w:rPr>
        <w:t>.</w:t>
      </w:r>
      <w:r>
        <w:rPr>
          <w:rFonts w:cs="Arial"/>
          <w:rtl/>
        </w:rPr>
        <w:t xml:space="preserve"> </w:t>
      </w:r>
      <w:r w:rsidRPr="00701DC6">
        <w:rPr>
          <w:rFonts w:cs="Arial"/>
          <w:u w:val="single"/>
          <w:rtl/>
        </w:rPr>
        <w:t>ובית הלל אומרים</w:t>
      </w:r>
      <w:r>
        <w:rPr>
          <w:rFonts w:cs="Arial"/>
          <w:rtl/>
        </w:rPr>
        <w:t>: אפילו הקדיחה תבשילו, שנאמר: כי מצא בה ערות דבר</w:t>
      </w:r>
      <w:r>
        <w:rPr>
          <w:rStyle w:val="a7"/>
          <w:rFonts w:cs="Arial"/>
          <w:rtl/>
        </w:rPr>
        <w:footnoteReference w:id="3286"/>
      </w:r>
      <w:r>
        <w:rPr>
          <w:rFonts w:cs="Arial" w:hint="cs"/>
          <w:rtl/>
        </w:rPr>
        <w:t>.</w:t>
      </w:r>
      <w:r>
        <w:rPr>
          <w:rFonts w:cs="Arial"/>
          <w:rtl/>
        </w:rPr>
        <w:t xml:space="preserve"> </w:t>
      </w:r>
      <w:r w:rsidRPr="00701DC6">
        <w:rPr>
          <w:rFonts w:cs="Arial"/>
          <w:u w:val="single"/>
          <w:rtl/>
        </w:rPr>
        <w:t>ר' עקיבא אומר</w:t>
      </w:r>
      <w:r>
        <w:rPr>
          <w:rStyle w:val="a7"/>
          <w:rFonts w:cs="Arial"/>
          <w:u w:val="single"/>
          <w:rtl/>
        </w:rPr>
        <w:footnoteReference w:id="3287"/>
      </w:r>
      <w:r>
        <w:rPr>
          <w:rFonts w:cs="Arial"/>
          <w:rtl/>
        </w:rPr>
        <w:t xml:space="preserve">: </w:t>
      </w:r>
      <w:r>
        <w:rPr>
          <w:rFonts w:cs="Arial"/>
          <w:rtl/>
        </w:rPr>
        <w:lastRenderedPageBreak/>
        <w:t xml:space="preserve">אפי' מצא אחרת נאה הימנה, שנאמ': והיה אם לא תמצא חן בעיניו. </w:t>
      </w:r>
      <w:r>
        <w:rPr>
          <w:rFonts w:hint="cs"/>
          <w:rtl/>
        </w:rPr>
        <w:t xml:space="preserve">         </w:t>
      </w:r>
      <w:r w:rsidRPr="00701DC6">
        <w:rPr>
          <w:rFonts w:cs="Arial"/>
          <w:u w:val="double"/>
          <w:rtl/>
        </w:rPr>
        <w:t>גמ'</w:t>
      </w:r>
      <w:r>
        <w:rPr>
          <w:rFonts w:cs="Arial" w:hint="cs"/>
          <w:rtl/>
        </w:rPr>
        <w:t>:</w:t>
      </w:r>
      <w:r>
        <w:rPr>
          <w:rFonts w:cs="Arial"/>
          <w:rtl/>
        </w:rPr>
        <w:t xml:space="preserve"> תניא, </w:t>
      </w:r>
      <w:r w:rsidRPr="00444841">
        <w:rPr>
          <w:rFonts w:cs="Arial"/>
          <w:u w:val="single"/>
          <w:rtl/>
        </w:rPr>
        <w:t>אמרו בית הלל לבית שמאי</w:t>
      </w:r>
      <w:r>
        <w:rPr>
          <w:rFonts w:cs="Arial"/>
          <w:rtl/>
        </w:rPr>
        <w:t xml:space="preserve">: והלא כבר נאמר דבר! </w:t>
      </w:r>
      <w:r w:rsidRPr="00444841">
        <w:rPr>
          <w:rFonts w:cs="Arial"/>
          <w:u w:val="single"/>
          <w:rtl/>
        </w:rPr>
        <w:t>אמרו להם ב"ש</w:t>
      </w:r>
      <w:r>
        <w:rPr>
          <w:rFonts w:cs="Arial"/>
          <w:rtl/>
        </w:rPr>
        <w:t xml:space="preserve">: והלא כבר נאמר ערות! </w:t>
      </w:r>
      <w:r w:rsidRPr="00444841">
        <w:rPr>
          <w:rFonts w:cs="Arial"/>
          <w:u w:val="single"/>
          <w:rtl/>
        </w:rPr>
        <w:t>אמרו להם ב"ה</w:t>
      </w:r>
      <w:r>
        <w:rPr>
          <w:rFonts w:cs="Arial"/>
          <w:rtl/>
        </w:rPr>
        <w:t>: אם נאמר ערות ולא נאמר דבר, הייתי אומר משום ערוה תצא</w:t>
      </w:r>
      <w:r>
        <w:rPr>
          <w:rFonts w:cs="Arial" w:hint="cs"/>
          <w:rtl/>
        </w:rPr>
        <w:t>,</w:t>
      </w:r>
      <w:r>
        <w:rPr>
          <w:rFonts w:cs="Arial"/>
          <w:rtl/>
        </w:rPr>
        <w:t xml:space="preserve"> משום דבר לא תצא, לכך נאמר דבר</w:t>
      </w:r>
      <w:r>
        <w:rPr>
          <w:rFonts w:cs="Arial" w:hint="cs"/>
          <w:rtl/>
        </w:rPr>
        <w:t>.</w:t>
      </w:r>
      <w:r>
        <w:rPr>
          <w:rFonts w:cs="Arial"/>
          <w:rtl/>
        </w:rPr>
        <w:t xml:space="preserve"> ואילו נאמר דבר ולא נאמר ערות, הייתי אומר משום דבר תנשא</w:t>
      </w:r>
      <w:r>
        <w:rPr>
          <w:rStyle w:val="a7"/>
          <w:rFonts w:cs="Arial"/>
          <w:rtl/>
        </w:rPr>
        <w:footnoteReference w:id="3288"/>
      </w:r>
      <w:r>
        <w:rPr>
          <w:rFonts w:cs="Arial"/>
          <w:rtl/>
        </w:rPr>
        <w:t xml:space="preserve"> לאחר</w:t>
      </w:r>
      <w:r>
        <w:rPr>
          <w:rFonts w:cs="Arial" w:hint="cs"/>
          <w:rtl/>
        </w:rPr>
        <w:t>,</w:t>
      </w:r>
      <w:r>
        <w:rPr>
          <w:rFonts w:cs="Arial"/>
          <w:rtl/>
        </w:rPr>
        <w:t xml:space="preserve"> ומשום ערוה לא תנשא לאחר, לכך נאמר ערות. וב"ש האי דבר מאי עבדי ליה? נאמר כאן דבר ונאמר להלן דבר, על פי שני עדים או על פי שלשה עדים יקום דבר, מה להלן בשני עדים, אף כאן בשני עדים</w:t>
      </w:r>
      <w:r>
        <w:rPr>
          <w:rStyle w:val="a7"/>
          <w:rFonts w:cs="Arial"/>
          <w:rtl/>
        </w:rPr>
        <w:footnoteReference w:id="3289"/>
      </w:r>
      <w:r>
        <w:rPr>
          <w:rFonts w:cs="Arial"/>
          <w:rtl/>
        </w:rPr>
        <w:t>. וב"ה</w:t>
      </w:r>
      <w:r>
        <w:rPr>
          <w:rStyle w:val="a7"/>
          <w:rFonts w:cs="Arial"/>
          <w:rtl/>
        </w:rPr>
        <w:footnoteReference w:id="3290"/>
      </w:r>
      <w:r>
        <w:rPr>
          <w:rFonts w:cs="Arial"/>
          <w:rtl/>
        </w:rPr>
        <w:t>? מי כתיב ערוה בדבר</w:t>
      </w:r>
      <w:r>
        <w:rPr>
          <w:rStyle w:val="a7"/>
          <w:rFonts w:cs="Arial"/>
          <w:rtl/>
        </w:rPr>
        <w:footnoteReference w:id="3291"/>
      </w:r>
      <w:r>
        <w:rPr>
          <w:rFonts w:cs="Arial"/>
          <w:rtl/>
        </w:rPr>
        <w:t>? וב"ש? מי כתיב או ערוה או דבר? וב"ה</w:t>
      </w:r>
      <w:r>
        <w:rPr>
          <w:rStyle w:val="a7"/>
          <w:rFonts w:cs="Arial"/>
          <w:rtl/>
        </w:rPr>
        <w:footnoteReference w:id="3292"/>
      </w:r>
      <w:r>
        <w:rPr>
          <w:rFonts w:cs="Arial"/>
          <w:rtl/>
        </w:rPr>
        <w:t>? להכי כתיב ערות דבר, דמשמע הכי ומשמע הכי. ר"ע אומר: אפי' מצא אחרת. במאי קא מיפלגי? בדר"ל, דאמר ריש לקיש: כי משמש בד' לשונות: אי, דלמא, אלא, דהא</w:t>
      </w:r>
      <w:r>
        <w:rPr>
          <w:rFonts w:cs="Arial" w:hint="cs"/>
          <w:rtl/>
        </w:rPr>
        <w:t>.</w:t>
      </w:r>
      <w:r>
        <w:rPr>
          <w:rFonts w:cs="Arial"/>
          <w:rtl/>
        </w:rPr>
        <w:t xml:space="preserve"> ב"ש סברי: והיה אם לא תמצא חן בעיניו כי מצא בה ערות דבר - דהא מצא בה ערות דבר</w:t>
      </w:r>
      <w:r>
        <w:rPr>
          <w:rFonts w:cs="Arial" w:hint="cs"/>
          <w:rtl/>
        </w:rPr>
        <w:t>.</w:t>
      </w:r>
      <w:r>
        <w:rPr>
          <w:rFonts w:cs="Arial"/>
          <w:rtl/>
        </w:rPr>
        <w:t xml:space="preserve"> ור"ע סבר: כי מצא בה ערות דבר - אי נמי מצא בה ערות דבר. </w:t>
      </w:r>
      <w:r w:rsidRPr="006A7BB1">
        <w:rPr>
          <w:rFonts w:cs="Arial"/>
          <w:u w:val="single"/>
          <w:rtl/>
        </w:rPr>
        <w:t>אמר ליה רב פפא לרבא</w:t>
      </w:r>
      <w:r>
        <w:rPr>
          <w:rFonts w:cs="Arial"/>
          <w:rtl/>
        </w:rPr>
        <w:t>: לא מצא בה לא ערוה ולא דבר</w:t>
      </w:r>
      <w:r>
        <w:rPr>
          <w:rStyle w:val="a7"/>
          <w:rFonts w:cs="Arial"/>
          <w:rtl/>
        </w:rPr>
        <w:footnoteReference w:id="3293"/>
      </w:r>
      <w:r>
        <w:rPr>
          <w:rFonts w:cs="Arial"/>
          <w:rtl/>
        </w:rPr>
        <w:t>, מהו</w:t>
      </w:r>
      <w:r>
        <w:rPr>
          <w:rStyle w:val="a7"/>
          <w:rFonts w:cs="Arial"/>
          <w:rtl/>
        </w:rPr>
        <w:footnoteReference w:id="3294"/>
      </w:r>
      <w:r>
        <w:rPr>
          <w:rFonts w:cs="Arial"/>
          <w:rtl/>
        </w:rPr>
        <w:t xml:space="preserve">? א"ל, מדגלי רחמנא גבי אונס: לא יוכל לשלחה כל ימיו - כל ימיו בעמוד והחזיר קאי, התם הוא דגלי רחמנא, אבל הכא מאי דעבד עבד. </w:t>
      </w:r>
      <w:r>
        <w:rPr>
          <w:rFonts w:cs="Arial" w:hint="cs"/>
          <w:sz w:val="16"/>
          <w:szCs w:val="16"/>
          <w:rtl/>
        </w:rPr>
        <w:t>(</w:t>
      </w:r>
      <w:r w:rsidRPr="006A7BB1">
        <w:rPr>
          <w:rFonts w:cs="Arial"/>
          <w:sz w:val="16"/>
          <w:szCs w:val="16"/>
          <w:rtl/>
        </w:rPr>
        <w:t>והרי"ף (נ:) והרא"ש (סי' טו) לא פסקו הלכה כדברי מי</w:t>
      </w:r>
      <w:r w:rsidRPr="006A7BB1">
        <w:rPr>
          <w:rFonts w:cs="Arial" w:hint="cs"/>
          <w:sz w:val="16"/>
          <w:szCs w:val="16"/>
          <w:rtl/>
        </w:rPr>
        <w:t>.</w:t>
      </w:r>
      <w:r w:rsidRPr="006A7BB1">
        <w:rPr>
          <w:rFonts w:cs="Arial"/>
          <w:sz w:val="16"/>
          <w:szCs w:val="16"/>
          <w:rtl/>
        </w:rPr>
        <w:t xml:space="preserve"> ונראה לי שהטעם לפי שסמכו על המעיין דממילא משמע דהלכה כבית הלל לגבי בית שמאי וגם לגבי רבי עקיבא</w:t>
      </w:r>
      <w:r w:rsidRPr="006A7BB1">
        <w:rPr>
          <w:rFonts w:cs="Arial" w:hint="cs"/>
          <w:sz w:val="16"/>
          <w:szCs w:val="16"/>
          <w:rtl/>
        </w:rPr>
        <w:t>.</w:t>
      </w:r>
      <w:r w:rsidRPr="006A7BB1">
        <w:rPr>
          <w:rFonts w:cs="Arial"/>
          <w:sz w:val="16"/>
          <w:szCs w:val="16"/>
          <w:rtl/>
        </w:rPr>
        <w:t xml:space="preserve"> והרמב"ם ז"ל כתב בפירוש המשנה (גיטין ספ"ט) בהדיא והלכה כבית הלל</w:t>
      </w:r>
      <w:r w:rsidRPr="006A7BB1">
        <w:rPr>
          <w:rFonts w:cs="Arial" w:hint="cs"/>
          <w:sz w:val="16"/>
          <w:szCs w:val="16"/>
          <w:rtl/>
        </w:rPr>
        <w:t>.</w:t>
      </w:r>
      <w:r w:rsidRPr="006A7BB1">
        <w:rPr>
          <w:rFonts w:cs="Arial"/>
          <w:sz w:val="16"/>
          <w:szCs w:val="16"/>
          <w:rtl/>
        </w:rPr>
        <w:t xml:space="preserve"> וכן נראה גם כן מדבריו בפרק י' מהלכות גירושין (הכ"א) וכמו שאכתוב בסמוך (בד"ה והרמב"ם כתב) בסייעתא דשמיא</w:t>
      </w:r>
      <w:r>
        <w:rPr>
          <w:rFonts w:cs="Arial" w:hint="cs"/>
          <w:sz w:val="16"/>
          <w:szCs w:val="16"/>
          <w:rtl/>
        </w:rPr>
        <w:t>, ב"י. והטור כתב בהדיא 'והלכה כבית הלל')</w:t>
      </w:r>
    </w:p>
    <w:p w14:paraId="4BECFB19" w14:textId="77777777" w:rsidR="007D6167" w:rsidRDefault="007D6167" w:rsidP="007D6167">
      <w:pPr>
        <w:rPr>
          <w:rtl/>
        </w:rPr>
      </w:pPr>
      <w:r w:rsidRPr="00F80765">
        <w:rPr>
          <w:rFonts w:cs="Arial" w:hint="cs"/>
          <w:b/>
          <w:bCs/>
          <w:rtl/>
        </w:rPr>
        <w:t xml:space="preserve">מלאכי פרק ב: </w:t>
      </w:r>
      <w:r>
        <w:rPr>
          <w:rFonts w:cs="Arial"/>
          <w:rtl/>
        </w:rPr>
        <w:t>(יג) וְזֹאת֙ שֵׁנִ֣ית תַּֽעֲשׂ֔וּ כַּסּ֤וֹת דִּמְעָה֙ אֶת־מִזְבַּ֣ח יְקֹוָ֔ק בְּכִ֖י וַֽאֲנָקָ֑ה מֵאֵ֣ין ע֗וֹד פְּנוֹת֙ אֶל־הַמִּנְחָ֔ה וְלָקַ֥חַת רָצ֖וֹן מִיֶּדְכֶֽם:</w:t>
      </w:r>
      <w:r>
        <w:rPr>
          <w:rFonts w:hint="cs"/>
          <w:rtl/>
        </w:rPr>
        <w:t xml:space="preserve"> </w:t>
      </w:r>
      <w:r>
        <w:rPr>
          <w:rFonts w:cs="Arial"/>
          <w:rtl/>
        </w:rPr>
        <w:t>(יד) וַאֲמַרְתֶּ֖ם עַל־מָ֑ה עַ֡ל כִּי־יְקֹוָק֩ הֵעִ֨יד בֵּינְךָ֜ וּבֵ֣ין׀ אֵ֣שֶׁת נְעוּרֶ֗יךָ אֲשֶׁ֤ר אַתָּה֙ בָּגַ֣דְתָּה בָּ֔הּ וְהִ֥יא חֲבֶרְתְּךָ֖ וְאֵ֥שֶׁת בְּרִיתֶֽךָ:</w:t>
      </w:r>
      <w:r>
        <w:rPr>
          <w:rFonts w:hint="cs"/>
          <w:rtl/>
        </w:rPr>
        <w:t xml:space="preserve"> </w:t>
      </w:r>
      <w:r>
        <w:rPr>
          <w:rFonts w:cs="Arial"/>
          <w:rtl/>
        </w:rPr>
        <w:t>(טו) וְלֹא־אֶחָ֣ד עָשָׂ֗ה וּשְׁאָ֥ר ר֙וּחַ֙ ל֔וֹ וּמָה֙ הָֽאֶחָ֔ד מְבַקֵּ֖שׁ זֶ֣רַע אֱלֹהִ֑ים וְנִשְׁמַרְתֶּם֙ בְּר֣וּחֲכֶ֔ם וּבְאֵ֥שֶׁת נְעוּרֶ֖יךָ אַל־יִבְגֹּֽד:</w:t>
      </w:r>
      <w:r>
        <w:rPr>
          <w:rFonts w:hint="cs"/>
          <w:rtl/>
        </w:rPr>
        <w:t xml:space="preserve"> </w:t>
      </w:r>
      <w:r>
        <w:rPr>
          <w:rFonts w:cs="Arial"/>
          <w:rtl/>
        </w:rPr>
        <w:t xml:space="preserve">(טז) כִּֽי־שָׂנֵ֣א שַׁלַּ֗ח אָמַ֤ר יְקֹוָק֙ אֱלֹהֵ֣י יִשְׂרָאֵ֔ל וְכִסָּ֤ה חָמָס֙ עַל־לְבוּשׁ֔וֹ אָמַ֖ר יְקֹוָ֣ק צְבָא֑וֹת וְנִשְׁמַרְתֶּ֥ם בְּרוּחֲכֶ֖ם וְלֹ֥א תִבְגֹּֽדוּ: </w:t>
      </w:r>
    </w:p>
    <w:p w14:paraId="5D69D3D5" w14:textId="77777777" w:rsidR="007D6167" w:rsidRDefault="007D6167" w:rsidP="007D6167">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צ ע"</w:t>
      </w:r>
      <w:r>
        <w:rPr>
          <w:rFonts w:cs="Arial" w:hint="cs"/>
          <w:b/>
          <w:bCs/>
          <w:rtl/>
        </w:rPr>
        <w:t>ב</w:t>
      </w:r>
      <w:r w:rsidRPr="008645A0">
        <w:rPr>
          <w:rFonts w:cs="Arial" w:hint="cs"/>
          <w:b/>
          <w:bCs/>
          <w:rtl/>
        </w:rPr>
        <w:t>:</w:t>
      </w:r>
      <w:r>
        <w:rPr>
          <w:rFonts w:cs="Arial" w:hint="cs"/>
          <w:rtl/>
        </w:rPr>
        <w:t xml:space="preserve"> </w:t>
      </w:r>
      <w:r w:rsidRPr="00F80765">
        <w:rPr>
          <w:rFonts w:cs="Arial"/>
          <w:rtl/>
        </w:rPr>
        <w:t xml:space="preserve">כי שנא שלח - </w:t>
      </w:r>
      <w:r w:rsidRPr="00F956E1">
        <w:rPr>
          <w:rFonts w:cs="Arial"/>
          <w:u w:val="single"/>
          <w:rtl/>
        </w:rPr>
        <w:t>ר' יהודה אומר</w:t>
      </w:r>
      <w:r w:rsidRPr="00F80765">
        <w:rPr>
          <w:rFonts w:cs="Arial"/>
          <w:rtl/>
        </w:rPr>
        <w:t>: אם שנאתה שלח</w:t>
      </w:r>
      <w:r>
        <w:rPr>
          <w:rFonts w:cs="Arial" w:hint="cs"/>
          <w:rtl/>
        </w:rPr>
        <w:t>.</w:t>
      </w:r>
      <w:r w:rsidRPr="00F80765">
        <w:rPr>
          <w:rFonts w:cs="Arial"/>
          <w:rtl/>
        </w:rPr>
        <w:t xml:space="preserve"> </w:t>
      </w:r>
      <w:r w:rsidRPr="00F956E1">
        <w:rPr>
          <w:rFonts w:cs="Arial"/>
          <w:u w:val="single"/>
          <w:rtl/>
        </w:rPr>
        <w:t>ר' יוחנן אומר</w:t>
      </w:r>
      <w:r w:rsidRPr="00F80765">
        <w:rPr>
          <w:rFonts w:cs="Arial"/>
          <w:rtl/>
        </w:rPr>
        <w:t xml:space="preserve">: שנאוי המשלח. ולא פליגי: הא בזוג ראשון, הא בזוג שני; </w:t>
      </w:r>
      <w:r w:rsidRPr="00F956E1">
        <w:rPr>
          <w:rFonts w:cs="Arial"/>
          <w:u w:val="single"/>
          <w:rtl/>
        </w:rPr>
        <w:t>דאמר ר' אלעזר</w:t>
      </w:r>
      <w:r w:rsidRPr="00F80765">
        <w:rPr>
          <w:rFonts w:cs="Arial"/>
          <w:rtl/>
        </w:rPr>
        <w:t>: כל המגרש אשתו ראשונה - אפילו מזבח מוריד עליו דמעות, שנאמר: וזאת שנית תעשו כסות דמעה את מזבח ה' בכי ואנקה מאין עוד פנות אל המנחה ולקחת רצון מידכם, ואמרתם על מה על כי ה' העיד בינך ובין אשת נעוריך אשר אתה בגדתה בה והיא חברתך ואשת בריתך.</w:t>
      </w:r>
    </w:p>
    <w:p w14:paraId="3FF085D8" w14:textId="77777777" w:rsidR="007D6167" w:rsidRPr="00636B5A" w:rsidRDefault="007D6167" w:rsidP="007D6167">
      <w:pPr>
        <w:rPr>
          <w:u w:val="single"/>
          <w:rtl/>
        </w:rPr>
      </w:pPr>
      <w:r w:rsidRPr="00636B5A">
        <w:rPr>
          <w:rFonts w:hint="cs"/>
          <w:u w:val="single"/>
          <w:rtl/>
        </w:rPr>
        <w:t>מתי ועל מה יכול אדם לגרש את אשתו:</w:t>
      </w:r>
    </w:p>
    <w:p w14:paraId="094B85CA" w14:textId="77777777" w:rsidR="007D6167" w:rsidRDefault="007D6167" w:rsidP="00B75458">
      <w:pPr>
        <w:pStyle w:val="ab"/>
        <w:numPr>
          <w:ilvl w:val="0"/>
          <w:numId w:val="193"/>
        </w:numPr>
      </w:pPr>
      <w:r>
        <w:rPr>
          <w:rFonts w:cs="Arial" w:hint="cs"/>
          <w:rtl/>
        </w:rPr>
        <w:t xml:space="preserve">טור- </w:t>
      </w:r>
      <w:r w:rsidRPr="00D74C30">
        <w:rPr>
          <w:rFonts w:cs="Arial"/>
          <w:rtl/>
        </w:rPr>
        <w:t>וב"ה סברי אפילו הקדיחה תבשילו דדרשי לקרא הכי כי מצא בה ערות דבר או ערוה או דבר אחר שפשעה כנגדו</w:t>
      </w:r>
      <w:r>
        <w:rPr>
          <w:rFonts w:cs="Arial" w:hint="cs"/>
          <w:rtl/>
        </w:rPr>
        <w:t>...</w:t>
      </w:r>
      <w:r w:rsidRPr="00D74C30">
        <w:rPr>
          <w:rFonts w:cs="Arial"/>
          <w:rtl/>
        </w:rPr>
        <w:t xml:space="preserve"> והלכה כב"ה ש</w:t>
      </w:r>
      <w:r w:rsidRPr="00FE714F">
        <w:rPr>
          <w:rFonts w:cs="Arial"/>
          <w:rtl/>
        </w:rPr>
        <w:t xml:space="preserve">אם פשעה כנגדו </w:t>
      </w:r>
      <w:r>
        <w:rPr>
          <w:rFonts w:cs="Arial" w:hint="cs"/>
          <w:rtl/>
        </w:rPr>
        <w:t xml:space="preserve">- </w:t>
      </w:r>
      <w:r w:rsidRPr="00FE714F">
        <w:rPr>
          <w:rFonts w:cs="Arial"/>
          <w:rtl/>
        </w:rPr>
        <w:t>יכול לגרשה</w:t>
      </w:r>
      <w:r>
        <w:rPr>
          <w:rFonts w:cs="Arial" w:hint="cs"/>
          <w:rtl/>
        </w:rPr>
        <w:t>.</w:t>
      </w:r>
      <w:r w:rsidRPr="00FE714F">
        <w:rPr>
          <w:rFonts w:cs="Arial"/>
          <w:rtl/>
        </w:rPr>
        <w:t xml:space="preserve"> אבל לא יגרשנה כדי ליקח נאה הימנה</w:t>
      </w:r>
      <w:r>
        <w:rPr>
          <w:rFonts w:cs="Arial" w:hint="cs"/>
          <w:rtl/>
        </w:rPr>
        <w:t>.</w:t>
      </w:r>
      <w:r w:rsidRPr="00FE714F">
        <w:rPr>
          <w:rFonts w:cs="Arial"/>
          <w:rtl/>
        </w:rPr>
        <w:t xml:space="preserve"> בד"א בזיווג שני</w:t>
      </w:r>
      <w:r>
        <w:rPr>
          <w:rFonts w:cs="Arial" w:hint="cs"/>
          <w:rtl/>
        </w:rPr>
        <w:t>,</w:t>
      </w:r>
      <w:r w:rsidRPr="00FE714F">
        <w:rPr>
          <w:rFonts w:cs="Arial"/>
          <w:rtl/>
        </w:rPr>
        <w:t xml:space="preserve"> אבל בזיווג ראשון אין למהר לגרשה</w:t>
      </w:r>
      <w:r>
        <w:rPr>
          <w:rFonts w:cs="Arial" w:hint="cs"/>
          <w:rtl/>
        </w:rPr>
        <w:t>,</w:t>
      </w:r>
      <w:r w:rsidRPr="00FE714F">
        <w:rPr>
          <w:rFonts w:cs="Arial"/>
          <w:rtl/>
        </w:rPr>
        <w:t xml:space="preserve"> דאמר רבי אלעזר כל המגרש אשתו ראשונה מזבח מוריד עליו דמעות</w:t>
      </w:r>
      <w:r>
        <w:rPr>
          <w:rFonts w:cs="Arial" w:hint="cs"/>
          <w:rtl/>
        </w:rPr>
        <w:t>.</w:t>
      </w:r>
      <w:r w:rsidRPr="00FE714F">
        <w:rPr>
          <w:rFonts w:cs="Arial"/>
          <w:rtl/>
        </w:rPr>
        <w:t xml:space="preserve"> לפיכך אין לו לגרשה בשביל שפשעה כנגדו</w:t>
      </w:r>
      <w:r>
        <w:rPr>
          <w:rFonts w:cs="Arial" w:hint="cs"/>
          <w:rtl/>
        </w:rPr>
        <w:t>...</w:t>
      </w:r>
      <w:r w:rsidRPr="00FE714F">
        <w:rPr>
          <w:rFonts w:cs="Arial"/>
          <w:rtl/>
        </w:rPr>
        <w:t xml:space="preserve"> </w:t>
      </w:r>
      <w:r w:rsidRPr="00636B5A">
        <w:rPr>
          <w:rFonts w:cs="Arial"/>
          <w:rtl/>
        </w:rPr>
        <w:t>ובין בזיווג ראשון ובין בזיווג שני בכל עניין שעבר וגירשה אין כופין אותו להחזיר</w:t>
      </w:r>
      <w:r w:rsidRPr="00636B5A">
        <w:rPr>
          <w:rFonts w:cs="Arial" w:hint="cs"/>
          <w:rtl/>
        </w:rPr>
        <w:t>.</w:t>
      </w:r>
      <w:r w:rsidRPr="00636B5A">
        <w:rPr>
          <w:rFonts w:cs="Arial"/>
          <w:rtl/>
        </w:rPr>
        <w:t xml:space="preserve"> </w:t>
      </w:r>
    </w:p>
    <w:p w14:paraId="31585373" w14:textId="77777777" w:rsidR="007D6167" w:rsidRDefault="007D6167" w:rsidP="00B75458">
      <w:pPr>
        <w:pStyle w:val="ab"/>
        <w:numPr>
          <w:ilvl w:val="0"/>
          <w:numId w:val="193"/>
        </w:numPr>
      </w:pPr>
      <w:r>
        <w:rPr>
          <w:rFonts w:cs="Arial" w:hint="cs"/>
          <w:rtl/>
        </w:rPr>
        <w:t xml:space="preserve">רמב"ם </w:t>
      </w:r>
      <w:r>
        <w:rPr>
          <w:rFonts w:cs="Arial" w:hint="cs"/>
          <w:sz w:val="16"/>
          <w:szCs w:val="16"/>
          <w:rtl/>
        </w:rPr>
        <w:t>(פ"י מגרושין הכ"א)</w:t>
      </w:r>
      <w:r>
        <w:rPr>
          <w:rFonts w:cs="Arial" w:hint="cs"/>
          <w:rtl/>
        </w:rPr>
        <w:t xml:space="preserve">- </w:t>
      </w:r>
      <w:r w:rsidRPr="002410C1">
        <w:rPr>
          <w:rFonts w:cs="Arial"/>
          <w:rtl/>
        </w:rPr>
        <w:t>לא יגרש אדם אשתו ראשונה אלא אם כן מצא בה ערות דבר</w:t>
      </w:r>
      <w:r>
        <w:rPr>
          <w:rFonts w:cs="Arial" w:hint="cs"/>
          <w:rtl/>
        </w:rPr>
        <w:t>,</w:t>
      </w:r>
      <w:r w:rsidRPr="002410C1">
        <w:rPr>
          <w:rFonts w:cs="Arial"/>
          <w:rtl/>
        </w:rPr>
        <w:t xml:space="preserve"> שנאמר כי מצא בה ערות דבר</w:t>
      </w:r>
      <w:r>
        <w:rPr>
          <w:rFonts w:cs="Arial" w:hint="cs"/>
          <w:rtl/>
        </w:rPr>
        <w:t>.</w:t>
      </w:r>
      <w:r w:rsidRPr="002410C1">
        <w:rPr>
          <w:rFonts w:cs="Arial"/>
          <w:rtl/>
        </w:rPr>
        <w:t xml:space="preserve"> ואין ראוי לו למהר לשלח אשתו ראשונה, אבל שנייה</w:t>
      </w:r>
      <w:r>
        <w:rPr>
          <w:rStyle w:val="a7"/>
          <w:rFonts w:cs="Arial"/>
          <w:rtl/>
        </w:rPr>
        <w:footnoteReference w:id="3295"/>
      </w:r>
      <w:r w:rsidRPr="002410C1">
        <w:rPr>
          <w:rFonts w:cs="Arial"/>
          <w:rtl/>
        </w:rPr>
        <w:t xml:space="preserve"> אם שנאה ישלחנה</w:t>
      </w:r>
      <w:r>
        <w:rPr>
          <w:rStyle w:val="a7"/>
          <w:rFonts w:cs="Arial"/>
          <w:rtl/>
        </w:rPr>
        <w:footnoteReference w:id="3296"/>
      </w:r>
      <w:r w:rsidRPr="002410C1">
        <w:rPr>
          <w:rFonts w:cs="Arial"/>
          <w:rtl/>
        </w:rPr>
        <w:t>.</w:t>
      </w:r>
      <w:r>
        <w:rPr>
          <w:rFonts w:hint="cs"/>
          <w:rtl/>
        </w:rPr>
        <w:t xml:space="preserve"> </w:t>
      </w:r>
      <w:r w:rsidRPr="00636B5A">
        <w:rPr>
          <w:rFonts w:hint="cs"/>
          <w:color w:val="E36C0A" w:themeColor="accent6" w:themeShade="BF"/>
          <w:rtl/>
        </w:rPr>
        <w:t>(וכ</w:t>
      </w:r>
      <w:r>
        <w:rPr>
          <w:rFonts w:hint="cs"/>
          <w:color w:val="E36C0A" w:themeColor="accent6" w:themeShade="BF"/>
          <w:rtl/>
        </w:rPr>
        <w:t>"</w:t>
      </w:r>
      <w:r w:rsidRPr="00636B5A">
        <w:rPr>
          <w:rFonts w:hint="cs"/>
          <w:color w:val="E36C0A" w:themeColor="accent6" w:themeShade="BF"/>
          <w:rtl/>
        </w:rPr>
        <w:t>פ בשו"ע)</w:t>
      </w:r>
    </w:p>
    <w:p w14:paraId="24863E0B" w14:textId="77777777" w:rsidR="007D6167" w:rsidRPr="00636B5A" w:rsidRDefault="007D6167" w:rsidP="007D6167">
      <w:pPr>
        <w:ind w:left="360"/>
        <w:rPr>
          <w:u w:val="dotted"/>
        </w:rPr>
      </w:pPr>
      <w:r w:rsidRPr="00636B5A">
        <w:rPr>
          <w:rFonts w:hint="cs"/>
          <w:u w:val="dotted"/>
          <w:rtl/>
        </w:rPr>
        <w:t xml:space="preserve">ומה הדין אם מגרש את אשתו הראשונה </w:t>
      </w:r>
      <w:r w:rsidRPr="00636B5A">
        <w:rPr>
          <w:rFonts w:hint="cs"/>
          <w:b/>
          <w:bCs/>
          <w:u w:val="dotted"/>
          <w:rtl/>
        </w:rPr>
        <w:t>מדעתה</w:t>
      </w:r>
      <w:r w:rsidRPr="00636B5A">
        <w:rPr>
          <w:rFonts w:hint="cs"/>
          <w:u w:val="dotted"/>
          <w:rtl/>
        </w:rPr>
        <w:t>:</w:t>
      </w:r>
    </w:p>
    <w:p w14:paraId="4D06E89D" w14:textId="77777777" w:rsidR="007D6167" w:rsidRDefault="007D6167" w:rsidP="00B75458">
      <w:pPr>
        <w:pStyle w:val="ab"/>
        <w:numPr>
          <w:ilvl w:val="0"/>
          <w:numId w:val="193"/>
        </w:numPr>
        <w:rPr>
          <w:rtl/>
        </w:rPr>
      </w:pPr>
      <w:r w:rsidRPr="001D3DDA">
        <w:rPr>
          <w:rFonts w:cs="Arial"/>
          <w:rtl/>
        </w:rPr>
        <w:t xml:space="preserve">אגודה </w:t>
      </w:r>
      <w:r w:rsidRPr="001D3DDA">
        <w:rPr>
          <w:rFonts w:cs="Arial"/>
          <w:sz w:val="16"/>
          <w:szCs w:val="16"/>
          <w:rtl/>
        </w:rPr>
        <w:t xml:space="preserve">(גיטין </w:t>
      </w:r>
      <w:r w:rsidRPr="001D3DDA">
        <w:rPr>
          <w:rFonts w:cs="Arial" w:hint="cs"/>
          <w:sz w:val="16"/>
          <w:szCs w:val="16"/>
          <w:rtl/>
        </w:rPr>
        <w:t xml:space="preserve">פ"ט </w:t>
      </w:r>
      <w:r w:rsidRPr="001D3DDA">
        <w:rPr>
          <w:rFonts w:cs="Arial"/>
          <w:sz w:val="16"/>
          <w:szCs w:val="16"/>
          <w:rtl/>
        </w:rPr>
        <w:t>סי' קסד)</w:t>
      </w:r>
      <w:r w:rsidRPr="001D3DDA">
        <w:rPr>
          <w:rFonts w:cs="Arial" w:hint="cs"/>
          <w:sz w:val="16"/>
          <w:szCs w:val="16"/>
          <w:rtl/>
        </w:rPr>
        <w:t xml:space="preserve"> </w:t>
      </w:r>
      <w:r w:rsidRPr="001D3DDA">
        <w:rPr>
          <w:rFonts w:cs="Arial" w:hint="cs"/>
          <w:rtl/>
        </w:rPr>
        <w:t>ו</w:t>
      </w:r>
      <w:r w:rsidRPr="001D3DDA">
        <w:rPr>
          <w:rFonts w:cs="Arial"/>
          <w:rtl/>
        </w:rPr>
        <w:t>ר"ן</w:t>
      </w:r>
      <w:r>
        <w:rPr>
          <w:rStyle w:val="a7"/>
          <w:rFonts w:cs="Arial"/>
          <w:rtl/>
        </w:rPr>
        <w:footnoteReference w:id="3297"/>
      </w:r>
      <w:r w:rsidRPr="001D3DDA">
        <w:rPr>
          <w:rFonts w:cs="Arial"/>
          <w:rtl/>
        </w:rPr>
        <w:t xml:space="preserve"> </w:t>
      </w:r>
      <w:r w:rsidRPr="001D3DDA">
        <w:rPr>
          <w:rFonts w:cs="Arial" w:hint="cs"/>
          <w:sz w:val="16"/>
          <w:szCs w:val="16"/>
          <w:rtl/>
        </w:rPr>
        <w:t>(</w:t>
      </w:r>
      <w:r w:rsidRPr="001D3DDA">
        <w:rPr>
          <w:rFonts w:cs="Arial"/>
          <w:sz w:val="16"/>
          <w:szCs w:val="16"/>
          <w:rtl/>
        </w:rPr>
        <w:t>בתשובה סי' יז סעיף א)</w:t>
      </w:r>
      <w:r w:rsidRPr="001D3DDA">
        <w:rPr>
          <w:rFonts w:cs="Arial" w:hint="cs"/>
          <w:rtl/>
        </w:rPr>
        <w:t xml:space="preserve">- </w:t>
      </w:r>
      <w:r w:rsidRPr="001D3DDA">
        <w:rPr>
          <w:rFonts w:cs="Arial"/>
          <w:rtl/>
        </w:rPr>
        <w:t xml:space="preserve">כל המגרש אשתו ראשונה מזבח מוריד עליו דמעות </w:t>
      </w:r>
      <w:r w:rsidRPr="001D3DDA">
        <w:rPr>
          <w:rFonts w:cs="Arial" w:hint="cs"/>
          <w:rtl/>
        </w:rPr>
        <w:t xml:space="preserve">- </w:t>
      </w:r>
      <w:r w:rsidRPr="001D3DDA">
        <w:rPr>
          <w:rFonts w:cs="Arial"/>
          <w:rtl/>
        </w:rPr>
        <w:t>נראה דהיינו בימיהם שמגרשה בעל כרחה</w:t>
      </w:r>
      <w:r w:rsidRPr="001D3DDA">
        <w:rPr>
          <w:rFonts w:cs="Arial" w:hint="cs"/>
          <w:sz w:val="16"/>
          <w:szCs w:val="16"/>
          <w:rtl/>
        </w:rPr>
        <w:t xml:space="preserve"> (ל' האגודה)</w:t>
      </w:r>
      <w:r w:rsidRPr="001D3DDA">
        <w:rPr>
          <w:rFonts w:cs="Arial" w:hint="cs"/>
          <w:rtl/>
        </w:rPr>
        <w:t>.</w:t>
      </w:r>
      <w:r w:rsidRPr="001D3DDA">
        <w:rPr>
          <w:rFonts w:cs="Arial"/>
          <w:rtl/>
        </w:rPr>
        <w:t xml:space="preserve"> </w:t>
      </w:r>
      <w:r w:rsidRPr="00636B5A">
        <w:rPr>
          <w:rFonts w:hint="cs"/>
          <w:color w:val="00B0F0"/>
          <w:rtl/>
        </w:rPr>
        <w:t>(וכ"פ הרמ"א)</w:t>
      </w:r>
    </w:p>
    <w:p w14:paraId="1D16A6DB"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90BCE8B" w14:textId="77777777" w:rsidR="007D6167" w:rsidRDefault="007D6167" w:rsidP="007D6167">
      <w:pPr>
        <w:rPr>
          <w:rFonts w:cs="Arial"/>
          <w:rtl/>
        </w:rPr>
      </w:pPr>
      <w:r w:rsidRPr="007B74F1">
        <w:rPr>
          <w:rFonts w:cs="Arial"/>
          <w:rtl/>
        </w:rPr>
        <w:lastRenderedPageBreak/>
        <w:t>לא יגרש אדם אשתו ראשונה, אלא אם כן מצא בה ערות דבר</w:t>
      </w:r>
      <w:r>
        <w:rPr>
          <w:rStyle w:val="a7"/>
          <w:rFonts w:cs="Arial"/>
          <w:rtl/>
        </w:rPr>
        <w:footnoteReference w:id="3298"/>
      </w:r>
      <w:r w:rsidRPr="007B74F1">
        <w:rPr>
          <w:rFonts w:cs="Arial"/>
          <w:rtl/>
        </w:rPr>
        <w:t xml:space="preserve">. </w:t>
      </w:r>
      <w:r w:rsidRPr="00C71ED5">
        <w:rPr>
          <w:rFonts w:cs="Arial"/>
          <w:sz w:val="18"/>
          <w:szCs w:val="18"/>
          <w:rtl/>
        </w:rPr>
        <w:t>הגה: אבל בלאו הכי אמרינן כל המגרש אשתו ראשונה מזבח מוריד עליו דמעות (טור). ודוקא בימיהם שהיו מגרשין בעל כרחה, אבל אם מגרשה מדעתה, מותר (אגודה ור"ן).</w:t>
      </w:r>
      <w:r w:rsidRPr="007B74F1">
        <w:rPr>
          <w:rFonts w:cs="Arial"/>
          <w:rtl/>
        </w:rPr>
        <w:t xml:space="preserve"> ואין ראוי לו למהר לשלח</w:t>
      </w:r>
      <w:r>
        <w:rPr>
          <w:rStyle w:val="a7"/>
          <w:rFonts w:cs="Arial"/>
          <w:rtl/>
        </w:rPr>
        <w:footnoteReference w:id="3299"/>
      </w:r>
      <w:r w:rsidRPr="007B74F1">
        <w:rPr>
          <w:rFonts w:cs="Arial"/>
          <w:rtl/>
        </w:rPr>
        <w:t xml:space="preserve"> אשתו ראשונה</w:t>
      </w:r>
      <w:r>
        <w:rPr>
          <w:rFonts w:cs="Arial" w:hint="cs"/>
          <w:rtl/>
        </w:rPr>
        <w:t>.</w:t>
      </w:r>
      <w:r w:rsidRPr="007B74F1">
        <w:rPr>
          <w:rFonts w:cs="Arial"/>
          <w:rtl/>
        </w:rPr>
        <w:t xml:space="preserve"> אבל שניה, אם שנאה, ישלחנה</w:t>
      </w:r>
      <w:r>
        <w:rPr>
          <w:rStyle w:val="a7"/>
          <w:rFonts w:cs="Arial"/>
          <w:rtl/>
        </w:rPr>
        <w:footnoteReference w:id="3300"/>
      </w:r>
      <w:r w:rsidRPr="007B74F1">
        <w:rPr>
          <w:rFonts w:cs="Arial"/>
          <w:rtl/>
        </w:rPr>
        <w:t xml:space="preserve">. </w:t>
      </w:r>
    </w:p>
    <w:p w14:paraId="24FF59B4" w14:textId="77777777" w:rsidR="007D6167" w:rsidRPr="007B74F1" w:rsidRDefault="007D6167" w:rsidP="007D6167">
      <w:pPr>
        <w:rPr>
          <w:rFonts w:cs="Arial"/>
          <w:rtl/>
        </w:rPr>
      </w:pPr>
    </w:p>
    <w:p w14:paraId="7321127F" w14:textId="77777777" w:rsidR="007D6167" w:rsidRDefault="007D6167" w:rsidP="007D6167">
      <w:pPr>
        <w:pStyle w:val="2"/>
        <w:rPr>
          <w:rtl/>
        </w:rPr>
      </w:pPr>
      <w:r w:rsidRPr="007B74F1">
        <w:rPr>
          <w:rtl/>
        </w:rPr>
        <w:t>סעיף ד</w:t>
      </w:r>
      <w:r>
        <w:rPr>
          <w:rFonts w:hint="cs"/>
          <w:rtl/>
        </w:rPr>
        <w:t>: אשה רעה בדעותיה או שאינה צנועה.</w:t>
      </w:r>
    </w:p>
    <w:p w14:paraId="56CF969C" w14:textId="77777777" w:rsidR="007D6167" w:rsidRDefault="007D6167" w:rsidP="007D6167">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צ ע"א:</w:t>
      </w:r>
      <w:r w:rsidRPr="00666D8F">
        <w:rPr>
          <w:rtl/>
        </w:rPr>
        <w:t xml:space="preserve"> </w:t>
      </w:r>
      <w:r w:rsidRPr="00666D8F">
        <w:rPr>
          <w:rFonts w:cs="Arial"/>
          <w:rtl/>
        </w:rPr>
        <w:t xml:space="preserve">תניא, </w:t>
      </w:r>
      <w:r w:rsidRPr="00DB6FD6">
        <w:rPr>
          <w:rFonts w:cs="Arial"/>
          <w:u w:val="single"/>
          <w:rtl/>
        </w:rPr>
        <w:t>היה רבי מאיר אומר</w:t>
      </w:r>
      <w:r w:rsidRPr="00666D8F">
        <w:rPr>
          <w:rFonts w:cs="Arial"/>
          <w:rtl/>
        </w:rPr>
        <w:t>: כשם שהדעות במאכל, כך דעות בנשים</w:t>
      </w:r>
      <w:r>
        <w:rPr>
          <w:rFonts w:cs="Arial" w:hint="cs"/>
          <w:rtl/>
        </w:rPr>
        <w:t>.</w:t>
      </w:r>
      <w:r w:rsidRPr="00666D8F">
        <w:rPr>
          <w:rFonts w:cs="Arial"/>
          <w:rtl/>
        </w:rPr>
        <w:t xml:space="preserve"> יש לך אדם שזבוב נופל לתוך כוסו וזורקו ואינו שותהו, וזו היא מדת פפוס בן יהודה, שהיה נועל בפני אשתו ויוצא</w:t>
      </w:r>
      <w:r>
        <w:rPr>
          <w:rFonts w:cs="Arial" w:hint="cs"/>
          <w:rtl/>
        </w:rPr>
        <w:t>.</w:t>
      </w:r>
      <w:r w:rsidRPr="00666D8F">
        <w:rPr>
          <w:rFonts w:cs="Arial"/>
          <w:rtl/>
        </w:rPr>
        <w:t xml:space="preserve"> ויש לך אדם שזבוב נופל לתוך כוסו וזורקו ושותהו, וזו היא מדת כל אדם, שמדברת עם אחיה וקרוביה ומניחה</w:t>
      </w:r>
      <w:r>
        <w:rPr>
          <w:rFonts w:cs="Arial" w:hint="cs"/>
          <w:rtl/>
        </w:rPr>
        <w:t>.</w:t>
      </w:r>
      <w:r w:rsidRPr="00666D8F">
        <w:rPr>
          <w:rFonts w:cs="Arial"/>
          <w:rtl/>
        </w:rPr>
        <w:t xml:space="preserve"> ויש לך אדם שזבוב נופל לתוך תמחוי מוצצו ואוכלו, זו היא מדת אדם רע, שרואה את אשתו יוצאה וראשה פרוע, וטווה בשוק,</w:t>
      </w:r>
      <w:r>
        <w:rPr>
          <w:rFonts w:hint="cs"/>
          <w:sz w:val="14"/>
          <w:szCs w:val="14"/>
          <w:rtl/>
        </w:rPr>
        <w:t xml:space="preserve"> (צ:)</w:t>
      </w:r>
      <w:r w:rsidRPr="00666D8F">
        <w:rPr>
          <w:rtl/>
        </w:rPr>
        <w:t xml:space="preserve"> </w:t>
      </w:r>
      <w:r w:rsidRPr="00666D8F">
        <w:rPr>
          <w:rFonts w:cs="Arial"/>
          <w:rtl/>
        </w:rPr>
        <w:t>ופרומה משני צדדיה, ורוחצת עם בני אדם. עם בני אדם ס"ד? אלא במקום שבני אדם רוחצין. זו מצוה מן התורה לגרשה, שנאמר: כי מצא בה ערות וגו' ושלחה מביתו... והלכה והיתה לאיש אחר, הכתוב קראו אחר, לומר, שאין זה בן זוגו לראשון, זה הוציא רשעה מביתו וזה הכניס רשעה לתוך ביתו. זכה שני - שלחה, שנאמר: ושנאה האיש האחרון, ואם לאו - קוברתו, שנאמר: או כי ימות האיש האחרון, כדאי הוא במיתה, שזה הוציא רשעה מביתו וזה הכניס רשעה לתוך ביתו.</w:t>
      </w:r>
    </w:p>
    <w:p w14:paraId="74D1BDE7" w14:textId="77777777" w:rsidR="007D6167" w:rsidRPr="00F055D3" w:rsidRDefault="007D6167" w:rsidP="007D6167">
      <w:pPr>
        <w:rPr>
          <w:u w:val="single"/>
          <w:rtl/>
        </w:rPr>
      </w:pPr>
      <w:r w:rsidRPr="00F055D3">
        <w:rPr>
          <w:rFonts w:hint="cs"/>
          <w:u w:val="single"/>
          <w:rtl/>
        </w:rPr>
        <w:t>אשה רעה בדעותיה או שאינה צנועה:</w:t>
      </w:r>
    </w:p>
    <w:p w14:paraId="2D6F41F4" w14:textId="77777777" w:rsidR="007D6167" w:rsidRDefault="007D6167" w:rsidP="00B75458">
      <w:pPr>
        <w:pStyle w:val="ab"/>
        <w:numPr>
          <w:ilvl w:val="0"/>
          <w:numId w:val="193"/>
        </w:numPr>
      </w:pPr>
      <w:r>
        <w:rPr>
          <w:rFonts w:cs="Arial" w:hint="cs"/>
          <w:rtl/>
        </w:rPr>
        <w:t xml:space="preserve">טור- </w:t>
      </w:r>
      <w:r w:rsidRPr="00FE714F">
        <w:rPr>
          <w:rFonts w:cs="Arial"/>
          <w:rtl/>
        </w:rPr>
        <w:t>אבל אם מצא בה ערות דבר או פריצות מצוה לגרשה דכתיב גרש לץ ויצא מדון</w:t>
      </w:r>
      <w:r>
        <w:rPr>
          <w:rStyle w:val="a7"/>
          <w:rFonts w:cs="Arial"/>
          <w:rtl/>
        </w:rPr>
        <w:footnoteReference w:id="3301"/>
      </w:r>
      <w:r>
        <w:rPr>
          <w:rFonts w:cs="Arial" w:hint="cs"/>
          <w:rtl/>
        </w:rPr>
        <w:t>.</w:t>
      </w:r>
      <w:r w:rsidRPr="00FE714F">
        <w:rPr>
          <w:rFonts w:cs="Arial"/>
          <w:rtl/>
        </w:rPr>
        <w:t xml:space="preserve"> </w:t>
      </w:r>
    </w:p>
    <w:p w14:paraId="2041EB02" w14:textId="77777777" w:rsidR="007D6167" w:rsidRPr="00C71ED5" w:rsidRDefault="007D6167" w:rsidP="00B75458">
      <w:pPr>
        <w:pStyle w:val="ab"/>
        <w:numPr>
          <w:ilvl w:val="0"/>
          <w:numId w:val="193"/>
        </w:numPr>
        <w:rPr>
          <w:rtl/>
        </w:rPr>
      </w:pPr>
      <w:r>
        <w:rPr>
          <w:rFonts w:cs="Arial" w:hint="cs"/>
          <w:rtl/>
        </w:rPr>
        <w:t xml:space="preserve">רמב"ם </w:t>
      </w:r>
      <w:r>
        <w:rPr>
          <w:rFonts w:cs="Arial" w:hint="cs"/>
          <w:sz w:val="16"/>
          <w:szCs w:val="16"/>
          <w:rtl/>
        </w:rPr>
        <w:t>(פ"י מגרושין הכ"ב)</w:t>
      </w:r>
      <w:r>
        <w:rPr>
          <w:rFonts w:cs="Arial" w:hint="cs"/>
          <w:rtl/>
        </w:rPr>
        <w:t xml:space="preserve">- </w:t>
      </w:r>
      <w:r w:rsidRPr="008A69E8">
        <w:rPr>
          <w:rFonts w:cs="Arial"/>
          <w:rtl/>
        </w:rPr>
        <w:t>אשה רעה בדעותיה ושאינה צנועה כבנות ישראל הכשרות מצוה לגרשה שנ</w:t>
      </w:r>
      <w:r>
        <w:rPr>
          <w:rFonts w:cs="Arial" w:hint="cs"/>
          <w:rtl/>
        </w:rPr>
        <w:t>אמר (משלי כב)</w:t>
      </w:r>
      <w:r>
        <w:rPr>
          <w:rFonts w:cs="Arial" w:hint="cs"/>
        </w:rPr>
        <w:t xml:space="preserve"> </w:t>
      </w:r>
      <w:r w:rsidRPr="008A69E8">
        <w:rPr>
          <w:rFonts w:cs="Arial"/>
          <w:rtl/>
        </w:rPr>
        <w:t>גרש לץ ויצא מדון</w:t>
      </w:r>
      <w:r>
        <w:rPr>
          <w:rFonts w:cs="Arial" w:hint="cs"/>
          <w:rtl/>
        </w:rPr>
        <w:t>.</w:t>
      </w:r>
      <w:r w:rsidRPr="00F055D3">
        <w:rPr>
          <w:rFonts w:hint="cs"/>
          <w:color w:val="E36C0A" w:themeColor="accent6" w:themeShade="BF"/>
          <w:rtl/>
        </w:rPr>
        <w:t xml:space="preserve"> </w:t>
      </w:r>
      <w:r w:rsidRPr="00636B5A">
        <w:rPr>
          <w:rFonts w:hint="cs"/>
          <w:color w:val="E36C0A" w:themeColor="accent6" w:themeShade="BF"/>
          <w:rtl/>
        </w:rPr>
        <w:t>(וכ</w:t>
      </w:r>
      <w:r>
        <w:rPr>
          <w:rFonts w:hint="cs"/>
          <w:color w:val="E36C0A" w:themeColor="accent6" w:themeShade="BF"/>
          <w:rtl/>
        </w:rPr>
        <w:t>"</w:t>
      </w:r>
      <w:r w:rsidRPr="00636B5A">
        <w:rPr>
          <w:rFonts w:hint="cs"/>
          <w:color w:val="E36C0A" w:themeColor="accent6" w:themeShade="BF"/>
          <w:rtl/>
        </w:rPr>
        <w:t>פ בשו"ע)</w:t>
      </w:r>
    </w:p>
    <w:p w14:paraId="1BE17C80"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4720CFF" w14:textId="77777777" w:rsidR="007D6167" w:rsidRDefault="007D6167" w:rsidP="007D6167">
      <w:pPr>
        <w:rPr>
          <w:rFonts w:cs="Arial"/>
          <w:rtl/>
        </w:rPr>
      </w:pPr>
      <w:r w:rsidRPr="007B74F1">
        <w:rPr>
          <w:rFonts w:cs="Arial"/>
          <w:rtl/>
        </w:rPr>
        <w:t>אשה רעה בדעותיה</w:t>
      </w:r>
      <w:r>
        <w:rPr>
          <w:rStyle w:val="a7"/>
          <w:rFonts w:cs="Arial"/>
          <w:rtl/>
        </w:rPr>
        <w:footnoteReference w:id="3302"/>
      </w:r>
      <w:r w:rsidRPr="007B74F1">
        <w:rPr>
          <w:rFonts w:cs="Arial"/>
          <w:rtl/>
        </w:rPr>
        <w:t xml:space="preserve">, ושאינה צנועה כבנות ישראל הכשרות, מצוה לגרשה. </w:t>
      </w:r>
    </w:p>
    <w:p w14:paraId="16696BF4" w14:textId="77777777" w:rsidR="007D6167" w:rsidRPr="007B74F1" w:rsidRDefault="007D6167" w:rsidP="007D6167">
      <w:pPr>
        <w:rPr>
          <w:rFonts w:cs="Arial"/>
          <w:rtl/>
        </w:rPr>
      </w:pPr>
    </w:p>
    <w:p w14:paraId="655F36E5" w14:textId="77777777" w:rsidR="007D6167" w:rsidRDefault="007D6167" w:rsidP="007D6167">
      <w:pPr>
        <w:pStyle w:val="2"/>
        <w:rPr>
          <w:rtl/>
        </w:rPr>
      </w:pPr>
      <w:r w:rsidRPr="007B74F1">
        <w:rPr>
          <w:rtl/>
        </w:rPr>
        <w:t>סעיף ה</w:t>
      </w:r>
      <w:r>
        <w:rPr>
          <w:rFonts w:hint="cs"/>
          <w:rtl/>
        </w:rPr>
        <w:t>: נשואין עם אשה שנתגרשה משום פריצות.</w:t>
      </w:r>
    </w:p>
    <w:p w14:paraId="10C9E56E" w14:textId="77777777" w:rsidR="007D6167" w:rsidRPr="00043D89" w:rsidRDefault="007D6167" w:rsidP="007D6167">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צ ע"א:</w:t>
      </w:r>
      <w:r w:rsidRPr="00666D8F">
        <w:rPr>
          <w:rtl/>
        </w:rPr>
        <w:t xml:space="preserve"> </w:t>
      </w:r>
      <w:r w:rsidRPr="00666D8F">
        <w:rPr>
          <w:rFonts w:cs="Arial"/>
          <w:rtl/>
        </w:rPr>
        <w:t xml:space="preserve">תניא, </w:t>
      </w:r>
      <w:r w:rsidRPr="00DB6FD6">
        <w:rPr>
          <w:rFonts w:cs="Arial"/>
          <w:u w:val="single"/>
          <w:rtl/>
        </w:rPr>
        <w:t>היה רבי מאיר אומר</w:t>
      </w:r>
      <w:r w:rsidRPr="00666D8F">
        <w:rPr>
          <w:rFonts w:cs="Arial"/>
          <w:rtl/>
        </w:rPr>
        <w:t>: כשם שהדעות במאכל, כך דעות בנשים</w:t>
      </w:r>
      <w:r>
        <w:rPr>
          <w:rFonts w:cs="Arial" w:hint="cs"/>
          <w:rtl/>
        </w:rPr>
        <w:t>.</w:t>
      </w:r>
      <w:r w:rsidRPr="00666D8F">
        <w:rPr>
          <w:rFonts w:cs="Arial"/>
          <w:rtl/>
        </w:rPr>
        <w:t xml:space="preserve"> יש לך אדם שזבוב נופל לתוך כוסו וזורקו ואינו שותהו, וזו היא מדת פפוס בן יהודה, שהיה נועל בפני אשתו ויוצא</w:t>
      </w:r>
      <w:r>
        <w:rPr>
          <w:rFonts w:cs="Arial" w:hint="cs"/>
          <w:rtl/>
        </w:rPr>
        <w:t>.</w:t>
      </w:r>
      <w:r w:rsidRPr="00666D8F">
        <w:rPr>
          <w:rFonts w:cs="Arial"/>
          <w:rtl/>
        </w:rPr>
        <w:t xml:space="preserve"> ויש לך אדם שזבוב נופל לתוך כוסו וזורקו ושותהו, וזו היא מדת כל אדם, שמדברת עם אחיה וקרוביה ומניחה</w:t>
      </w:r>
      <w:r>
        <w:rPr>
          <w:rFonts w:cs="Arial" w:hint="cs"/>
          <w:rtl/>
        </w:rPr>
        <w:t>.</w:t>
      </w:r>
      <w:r w:rsidRPr="00666D8F">
        <w:rPr>
          <w:rFonts w:cs="Arial"/>
          <w:rtl/>
        </w:rPr>
        <w:t xml:space="preserve"> ויש לך אדם שזבוב נופל לתוך תמחוי מוצצו ואוכלו, זו היא מדת אדם רע, שרואה את אשתו יוצאה וראשה פרוע, וטווה בשוק,</w:t>
      </w:r>
      <w:r>
        <w:rPr>
          <w:rFonts w:hint="cs"/>
          <w:sz w:val="14"/>
          <w:szCs w:val="14"/>
          <w:rtl/>
        </w:rPr>
        <w:t xml:space="preserve"> (צ:)</w:t>
      </w:r>
      <w:r w:rsidRPr="00666D8F">
        <w:rPr>
          <w:rtl/>
        </w:rPr>
        <w:t xml:space="preserve"> </w:t>
      </w:r>
      <w:r w:rsidRPr="00666D8F">
        <w:rPr>
          <w:rFonts w:cs="Arial"/>
          <w:rtl/>
        </w:rPr>
        <w:t xml:space="preserve">ופרומה משני </w:t>
      </w:r>
      <w:r w:rsidRPr="00666D8F">
        <w:rPr>
          <w:rFonts w:cs="Arial"/>
          <w:rtl/>
        </w:rPr>
        <w:lastRenderedPageBreak/>
        <w:t>צדדיה, ורוחצת עם בני אדם. עם בני אדם ס"ד? אלא במקום שבני אדם רוחצין. זו מצוה מן התורה לגרשה, שנאמר: כי מצא בה ערות וגו' ושלחה מביתו... והלכה והיתה לאיש אחר, הכתוב קראו אחר, לומר, שאין זה בן זוגו לראשון, זה הוציא רשעה מביתו וזה הכניס רשעה לתוך ביתו. זכה שני - שלחה, שנאמר: ושנאה האיש האחרון, ואם לאו - קוברתו, שנאמר: או כי ימות האיש האחרון, כדאי הוא במיתה, שזה הוציא רשעה מביתו וזה הכניס רשעה לתוך ביתו.</w:t>
      </w:r>
    </w:p>
    <w:p w14:paraId="2C737891" w14:textId="77777777" w:rsidR="007D6167" w:rsidRPr="00043D89" w:rsidRDefault="007D6167" w:rsidP="007D6167">
      <w:pPr>
        <w:rPr>
          <w:u w:val="single"/>
          <w:rtl/>
        </w:rPr>
      </w:pPr>
      <w:r w:rsidRPr="00043D89">
        <w:rPr>
          <w:rFonts w:hint="cs"/>
          <w:u w:val="single"/>
          <w:rtl/>
        </w:rPr>
        <w:t>נשואין עם אשה שנתגרשה משום פריצות:</w:t>
      </w:r>
    </w:p>
    <w:p w14:paraId="64E510B7" w14:textId="77777777" w:rsidR="007D6167" w:rsidRDefault="007D6167" w:rsidP="00B75458">
      <w:pPr>
        <w:pStyle w:val="ab"/>
        <w:numPr>
          <w:ilvl w:val="0"/>
          <w:numId w:val="193"/>
        </w:numPr>
      </w:pPr>
      <w:r w:rsidRPr="00EC459D">
        <w:rPr>
          <w:rFonts w:cs="Arial"/>
          <w:rtl/>
        </w:rPr>
        <w:t xml:space="preserve">רמב"ם </w:t>
      </w:r>
      <w:r w:rsidRPr="00666D8F">
        <w:rPr>
          <w:rFonts w:cs="Arial" w:hint="cs"/>
          <w:sz w:val="16"/>
          <w:szCs w:val="16"/>
          <w:rtl/>
        </w:rPr>
        <w:t>(</w:t>
      </w:r>
      <w:r w:rsidRPr="00666D8F">
        <w:rPr>
          <w:rFonts w:cs="Arial"/>
          <w:sz w:val="16"/>
          <w:szCs w:val="16"/>
          <w:rtl/>
        </w:rPr>
        <w:t>פ</w:t>
      </w:r>
      <w:r w:rsidRPr="00666D8F">
        <w:rPr>
          <w:rFonts w:cs="Arial" w:hint="cs"/>
          <w:sz w:val="16"/>
          <w:szCs w:val="16"/>
          <w:rtl/>
        </w:rPr>
        <w:t>"</w:t>
      </w:r>
      <w:r w:rsidRPr="00666D8F">
        <w:rPr>
          <w:rFonts w:cs="Arial"/>
          <w:sz w:val="16"/>
          <w:szCs w:val="16"/>
          <w:rtl/>
        </w:rPr>
        <w:t>י מגירושין הכ"ב)</w:t>
      </w:r>
      <w:r>
        <w:rPr>
          <w:rFonts w:cs="Arial" w:hint="cs"/>
          <w:rtl/>
        </w:rPr>
        <w:t xml:space="preserve"> וטור- </w:t>
      </w:r>
      <w:r w:rsidRPr="00FE714F">
        <w:rPr>
          <w:rFonts w:cs="Arial"/>
          <w:rtl/>
        </w:rPr>
        <w:t>אשה שנתגרשה משום פריצו</w:t>
      </w:r>
      <w:r>
        <w:rPr>
          <w:rFonts w:cs="Arial" w:hint="cs"/>
          <w:rtl/>
        </w:rPr>
        <w:t>ת</w:t>
      </w:r>
      <w:r w:rsidRPr="00FE714F">
        <w:rPr>
          <w:rFonts w:cs="Arial"/>
          <w:rtl/>
        </w:rPr>
        <w:t xml:space="preserve"> </w:t>
      </w:r>
      <w:r>
        <w:rPr>
          <w:rFonts w:cs="Arial" w:hint="cs"/>
          <w:rtl/>
        </w:rPr>
        <w:t xml:space="preserve">- </w:t>
      </w:r>
      <w:r w:rsidRPr="00FE714F">
        <w:rPr>
          <w:rFonts w:cs="Arial"/>
          <w:rtl/>
        </w:rPr>
        <w:t>אין ראוי לאדם כשר לישאנה</w:t>
      </w:r>
      <w:r>
        <w:rPr>
          <w:rFonts w:cs="Arial" w:hint="cs"/>
          <w:rtl/>
        </w:rPr>
        <w:t>,</w:t>
      </w:r>
      <w:r w:rsidRPr="00FE714F">
        <w:rPr>
          <w:rFonts w:cs="Arial"/>
          <w:rtl/>
        </w:rPr>
        <w:t xml:space="preserve"> שלא יכניס לביתו רשעה שהוציא זה מביתו</w:t>
      </w:r>
      <w:r>
        <w:rPr>
          <w:rFonts w:cs="Arial" w:hint="cs"/>
          <w:sz w:val="16"/>
          <w:szCs w:val="16"/>
          <w:rtl/>
        </w:rPr>
        <w:t xml:space="preserve"> (ל' הטור)</w:t>
      </w:r>
      <w:r>
        <w:rPr>
          <w:rFonts w:cs="Arial" w:hint="cs"/>
          <w:rtl/>
        </w:rPr>
        <w:t>.</w:t>
      </w:r>
      <w:r w:rsidRPr="00F055D3">
        <w:rPr>
          <w:rFonts w:hint="cs"/>
          <w:color w:val="E36C0A" w:themeColor="accent6" w:themeShade="BF"/>
          <w:rtl/>
        </w:rPr>
        <w:t xml:space="preserve"> </w:t>
      </w:r>
      <w:r w:rsidRPr="00636B5A">
        <w:rPr>
          <w:rFonts w:hint="cs"/>
          <w:color w:val="E36C0A" w:themeColor="accent6" w:themeShade="BF"/>
          <w:rtl/>
        </w:rPr>
        <w:t>(וכ</w:t>
      </w:r>
      <w:r>
        <w:rPr>
          <w:rFonts w:hint="cs"/>
          <w:color w:val="E36C0A" w:themeColor="accent6" w:themeShade="BF"/>
          <w:rtl/>
        </w:rPr>
        <w:t>"</w:t>
      </w:r>
      <w:r w:rsidRPr="00636B5A">
        <w:rPr>
          <w:rFonts w:hint="cs"/>
          <w:color w:val="E36C0A" w:themeColor="accent6" w:themeShade="BF"/>
          <w:rtl/>
        </w:rPr>
        <w:t>פ בשו"ע)</w:t>
      </w:r>
    </w:p>
    <w:p w14:paraId="42BF259B"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A127F14" w14:textId="77777777" w:rsidR="007D6167" w:rsidRDefault="007D6167" w:rsidP="007D6167">
      <w:pPr>
        <w:rPr>
          <w:rFonts w:cs="Arial"/>
          <w:rtl/>
        </w:rPr>
      </w:pPr>
      <w:r w:rsidRPr="007B74F1">
        <w:rPr>
          <w:rFonts w:cs="Arial"/>
          <w:rtl/>
        </w:rPr>
        <w:t xml:space="preserve">אשה שנתגרשה משום פריצות, אין ראוי לאדם כשר שישאנה. </w:t>
      </w:r>
    </w:p>
    <w:p w14:paraId="72A1FEF3" w14:textId="77777777" w:rsidR="007D6167" w:rsidRPr="007B74F1" w:rsidRDefault="007D6167" w:rsidP="007D6167">
      <w:pPr>
        <w:rPr>
          <w:rFonts w:cs="Arial"/>
          <w:rtl/>
        </w:rPr>
      </w:pPr>
    </w:p>
    <w:p w14:paraId="4BBEA491" w14:textId="77777777" w:rsidR="007D6167" w:rsidRDefault="007D6167" w:rsidP="007D6167">
      <w:pPr>
        <w:pStyle w:val="2"/>
        <w:rPr>
          <w:rtl/>
        </w:rPr>
      </w:pPr>
      <w:r w:rsidRPr="007B74F1">
        <w:rPr>
          <w:rtl/>
        </w:rPr>
        <w:t>סעיף ו</w:t>
      </w:r>
      <w:r>
        <w:rPr>
          <w:rFonts w:hint="cs"/>
          <w:rtl/>
        </w:rPr>
        <w:t>: גירושין בעל כרחה של האשה.</w:t>
      </w:r>
    </w:p>
    <w:p w14:paraId="6BBC24EA" w14:textId="77777777" w:rsidR="007D6167" w:rsidRDefault="007D6167" w:rsidP="007D6167">
      <w:pPr>
        <w:rPr>
          <w:rtl/>
        </w:rPr>
      </w:pPr>
      <w:r w:rsidRPr="00EB1DEB">
        <w:rPr>
          <w:rFonts w:hint="cs"/>
          <w:b/>
          <w:bCs/>
          <w:rtl/>
        </w:rPr>
        <w:t xml:space="preserve">יבמות </w:t>
      </w:r>
      <w:r w:rsidRPr="00EB1DEB">
        <w:rPr>
          <w:rFonts w:hint="cs"/>
          <w:b/>
          <w:bCs/>
          <w:sz w:val="16"/>
          <w:szCs w:val="16"/>
          <w:rtl/>
        </w:rPr>
        <w:t>(</w:t>
      </w:r>
      <w:r>
        <w:rPr>
          <w:rFonts w:hint="cs"/>
          <w:b/>
          <w:bCs/>
          <w:sz w:val="16"/>
          <w:szCs w:val="16"/>
          <w:rtl/>
        </w:rPr>
        <w:t>ר"פ</w:t>
      </w:r>
      <w:r w:rsidRPr="00EB1DEB">
        <w:rPr>
          <w:rFonts w:hint="cs"/>
          <w:b/>
          <w:bCs/>
          <w:sz w:val="16"/>
          <w:szCs w:val="16"/>
          <w:rtl/>
        </w:rPr>
        <w:t xml:space="preserve"> </w:t>
      </w:r>
      <w:r>
        <w:rPr>
          <w:rFonts w:hint="cs"/>
          <w:b/>
          <w:bCs/>
          <w:sz w:val="16"/>
          <w:szCs w:val="16"/>
          <w:rtl/>
        </w:rPr>
        <w:t>חרש</w:t>
      </w:r>
      <w:r w:rsidRPr="00EB1DEB">
        <w:rPr>
          <w:rFonts w:hint="cs"/>
          <w:b/>
          <w:bCs/>
          <w:sz w:val="16"/>
          <w:szCs w:val="16"/>
          <w:rtl/>
        </w:rPr>
        <w:t xml:space="preserve">) </w:t>
      </w:r>
      <w:r>
        <w:rPr>
          <w:rFonts w:hint="cs"/>
          <w:b/>
          <w:bCs/>
          <w:rtl/>
        </w:rPr>
        <w:t>קיב</w:t>
      </w:r>
      <w:r w:rsidRPr="00EB1DEB">
        <w:rPr>
          <w:rFonts w:hint="cs"/>
          <w:b/>
          <w:bCs/>
          <w:rtl/>
        </w:rPr>
        <w:t xml:space="preserve"> ע"ב:</w:t>
      </w:r>
      <w:r w:rsidRPr="00EB1DEB">
        <w:rPr>
          <w:rtl/>
        </w:rPr>
        <w:t xml:space="preserve"> </w:t>
      </w:r>
      <w:r w:rsidRPr="005F2F34">
        <w:rPr>
          <w:rFonts w:cs="Arial"/>
          <w:u w:val="double"/>
          <w:rtl/>
        </w:rPr>
        <w:t>מתני'</w:t>
      </w:r>
      <w:r>
        <w:rPr>
          <w:rFonts w:cs="Arial" w:hint="cs"/>
          <w:rtl/>
        </w:rPr>
        <w:t>:</w:t>
      </w:r>
      <w:r w:rsidRPr="005F2F34">
        <w:rPr>
          <w:rFonts w:cs="Arial"/>
          <w:rtl/>
        </w:rPr>
        <w:t xml:space="preserve"> חרש שנשא פקחת, ופקח שנשא חרשת, אם רצה להוציא - יוציא, ואם רצה לקיים </w:t>
      </w:r>
      <w:r>
        <w:rPr>
          <w:rFonts w:cs="Arial" w:hint="cs"/>
          <w:rtl/>
        </w:rPr>
        <w:t>-</w:t>
      </w:r>
      <w:r w:rsidRPr="005F2F34">
        <w:rPr>
          <w:rFonts w:cs="Arial"/>
          <w:rtl/>
        </w:rPr>
        <w:t xml:space="preserve"> יקיים</w:t>
      </w:r>
      <w:r>
        <w:rPr>
          <w:rFonts w:cs="Arial" w:hint="cs"/>
          <w:rtl/>
        </w:rPr>
        <w:t>.</w:t>
      </w:r>
      <w:r w:rsidRPr="005F2F34">
        <w:rPr>
          <w:rFonts w:cs="Arial"/>
          <w:rtl/>
        </w:rPr>
        <w:t xml:space="preserve"> כשם שהוא כונס ברמיזה</w:t>
      </w:r>
      <w:r>
        <w:rPr>
          <w:rStyle w:val="a7"/>
          <w:rFonts w:cs="Arial"/>
          <w:rtl/>
        </w:rPr>
        <w:footnoteReference w:id="3303"/>
      </w:r>
      <w:r w:rsidRPr="005F2F34">
        <w:rPr>
          <w:rFonts w:cs="Arial"/>
          <w:rtl/>
        </w:rPr>
        <w:t>, כך הוא מוציא ברמיזה. פקח שנשא פקחת ונתחרשה</w:t>
      </w:r>
      <w:r>
        <w:rPr>
          <w:rStyle w:val="a7"/>
          <w:rFonts w:cs="Arial"/>
          <w:rtl/>
        </w:rPr>
        <w:footnoteReference w:id="3304"/>
      </w:r>
      <w:r w:rsidRPr="005F2F34">
        <w:rPr>
          <w:rFonts w:cs="Arial"/>
          <w:rtl/>
        </w:rPr>
        <w:t>, אם רצה - יוציא, ואם רצה - יקיים</w:t>
      </w:r>
      <w:r>
        <w:rPr>
          <w:rFonts w:cs="Arial" w:hint="cs"/>
          <w:rtl/>
        </w:rPr>
        <w:t>.</w:t>
      </w:r>
      <w:r w:rsidRPr="005F2F34">
        <w:rPr>
          <w:rFonts w:cs="Arial"/>
          <w:rtl/>
        </w:rPr>
        <w:t xml:space="preserve"> נשתטית - לא יוציא</w:t>
      </w:r>
      <w:r>
        <w:rPr>
          <w:rStyle w:val="a7"/>
          <w:rFonts w:cs="Arial"/>
          <w:rtl/>
        </w:rPr>
        <w:footnoteReference w:id="3305"/>
      </w:r>
      <w:r>
        <w:rPr>
          <w:rFonts w:cs="Arial" w:hint="cs"/>
          <w:rtl/>
        </w:rPr>
        <w:t>.</w:t>
      </w:r>
      <w:r w:rsidRPr="005F2F34">
        <w:rPr>
          <w:rFonts w:cs="Arial"/>
          <w:rtl/>
        </w:rPr>
        <w:t xml:space="preserve"> נתחרש הוא</w:t>
      </w:r>
      <w:r>
        <w:rPr>
          <w:rStyle w:val="a7"/>
          <w:rFonts w:cs="Arial"/>
          <w:rtl/>
        </w:rPr>
        <w:footnoteReference w:id="3306"/>
      </w:r>
      <w:r w:rsidRPr="005F2F34">
        <w:rPr>
          <w:rFonts w:cs="Arial"/>
          <w:rtl/>
        </w:rPr>
        <w:t xml:space="preserve"> או נשתטה - אינו מוציאה עולמית. </w:t>
      </w:r>
      <w:r w:rsidRPr="0026383B">
        <w:rPr>
          <w:rFonts w:cs="Arial"/>
          <w:u w:val="single"/>
          <w:rtl/>
        </w:rPr>
        <w:t>אמר רבי יוחנן בן נורי</w:t>
      </w:r>
      <w:r w:rsidRPr="005F2F34">
        <w:rPr>
          <w:rFonts w:cs="Arial"/>
          <w:rtl/>
        </w:rPr>
        <w:t xml:space="preserve">: מפני מה האשה שנתחרשה יוצאה, והאיש שנתחרש אינו מוציא? </w:t>
      </w:r>
      <w:r w:rsidRPr="0026383B">
        <w:rPr>
          <w:rFonts w:cs="Arial"/>
          <w:u w:val="single"/>
          <w:rtl/>
        </w:rPr>
        <w:t>אמרו לו</w:t>
      </w:r>
      <w:r w:rsidRPr="005F2F34">
        <w:rPr>
          <w:rFonts w:cs="Arial"/>
          <w:rtl/>
        </w:rPr>
        <w:t xml:space="preserve">: אינו דומה האיש המגרש לאשה המתגרשת, שהאשה יוצאה לרצונה ושלא לרצונה, והאיש אינו מוציא אלא לרצונו. </w:t>
      </w:r>
      <w:r w:rsidRPr="0026383B">
        <w:rPr>
          <w:rFonts w:cs="Arial"/>
          <w:u w:val="single"/>
          <w:rtl/>
        </w:rPr>
        <w:t>העיד רבי יוחנן בן גודגדא</w:t>
      </w:r>
      <w:r w:rsidRPr="005F2F34">
        <w:rPr>
          <w:rFonts w:cs="Arial"/>
          <w:rtl/>
        </w:rPr>
        <w:t xml:space="preserve"> על החרשת שהשיאה אביה</w:t>
      </w:r>
      <w:r>
        <w:rPr>
          <w:rStyle w:val="a7"/>
          <w:rFonts w:cs="Arial"/>
          <w:rtl/>
        </w:rPr>
        <w:footnoteReference w:id="3307"/>
      </w:r>
      <w:r w:rsidRPr="005F2F34">
        <w:rPr>
          <w:rFonts w:cs="Arial"/>
          <w:rtl/>
        </w:rPr>
        <w:t>, שהיא יוצאה בגט</w:t>
      </w:r>
      <w:r>
        <w:rPr>
          <w:rFonts w:cs="Arial" w:hint="cs"/>
          <w:rtl/>
        </w:rPr>
        <w:t>.</w:t>
      </w:r>
      <w:r w:rsidRPr="005F2F34">
        <w:rPr>
          <w:rFonts w:cs="Arial"/>
          <w:rtl/>
        </w:rPr>
        <w:t xml:space="preserve"> </w:t>
      </w:r>
      <w:r w:rsidRPr="0026383B">
        <w:rPr>
          <w:rFonts w:cs="Arial"/>
          <w:u w:val="single"/>
          <w:rtl/>
        </w:rPr>
        <w:t>אמרו לו</w:t>
      </w:r>
      <w:r w:rsidRPr="005F2F34">
        <w:rPr>
          <w:rFonts w:cs="Arial"/>
          <w:rtl/>
        </w:rPr>
        <w:t>: אף זו</w:t>
      </w:r>
      <w:r>
        <w:rPr>
          <w:rStyle w:val="a7"/>
          <w:rFonts w:cs="Arial"/>
          <w:rtl/>
        </w:rPr>
        <w:footnoteReference w:id="3308"/>
      </w:r>
      <w:r w:rsidRPr="005F2F34">
        <w:rPr>
          <w:rFonts w:cs="Arial"/>
          <w:rtl/>
        </w:rPr>
        <w:t xml:space="preserve"> כיוצא בה</w:t>
      </w:r>
      <w:r>
        <w:rPr>
          <w:rFonts w:cs="Arial" w:hint="cs"/>
          <w:rtl/>
        </w:rPr>
        <w:t>..</w:t>
      </w:r>
      <w:r w:rsidRPr="005F2F34">
        <w:rPr>
          <w:rFonts w:cs="Arial"/>
          <w:rtl/>
        </w:rPr>
        <w:t>.</w:t>
      </w:r>
      <w:r>
        <w:rPr>
          <w:rFonts w:hint="cs"/>
          <w:rtl/>
        </w:rPr>
        <w:t xml:space="preserve">       </w:t>
      </w:r>
      <w:r w:rsidRPr="0055465C">
        <w:rPr>
          <w:rFonts w:hint="cs"/>
          <w:u w:val="double"/>
          <w:rtl/>
        </w:rPr>
        <w:t>גמ'</w:t>
      </w:r>
      <w:r w:rsidRPr="0055465C">
        <w:rPr>
          <w:rFonts w:hint="cs"/>
          <w:sz w:val="14"/>
          <w:szCs w:val="14"/>
          <w:u w:val="double"/>
          <w:rtl/>
        </w:rPr>
        <w:t>(קיג:)</w:t>
      </w:r>
      <w:r w:rsidRPr="0055465C">
        <w:rPr>
          <w:rFonts w:hint="cs"/>
          <w:u w:val="double"/>
          <w:rtl/>
        </w:rPr>
        <w:t>:</w:t>
      </w:r>
      <w:r>
        <w:rPr>
          <w:rFonts w:hint="cs"/>
          <w:rtl/>
        </w:rPr>
        <w:t xml:space="preserve"> </w:t>
      </w:r>
      <w:r w:rsidRPr="0055465C">
        <w:rPr>
          <w:rFonts w:cs="Arial"/>
          <w:rtl/>
        </w:rPr>
        <w:t xml:space="preserve">נשתטית וכו'. </w:t>
      </w:r>
      <w:r w:rsidRPr="008F5CBC">
        <w:rPr>
          <w:rFonts w:cs="Arial"/>
          <w:u w:val="single"/>
          <w:rtl/>
        </w:rPr>
        <w:t>א"ר יצחק</w:t>
      </w:r>
      <w:r w:rsidRPr="0055465C">
        <w:rPr>
          <w:rFonts w:cs="Arial"/>
          <w:rtl/>
        </w:rPr>
        <w:t xml:space="preserve">: דבר תורה שוטה מתגרשת, מידי דהוה אפקחת בעל כרחה, ומה טעם אמרו אינה מגורשת? שלא ינהגו בה מנהג הפקר. היכי דמי? אילימא דיודעת לשמור גיטה ויודעת לשמור עצמה, מי נהגי בה מנהג הפקר? אלא דאין יודעת לשמור לא גיטה ולא עצמה, דבר תורה שוטה מתגרשת? והא </w:t>
      </w:r>
      <w:r w:rsidRPr="003F46E1">
        <w:rPr>
          <w:rFonts w:cs="Arial"/>
          <w:u w:val="single"/>
          <w:rtl/>
        </w:rPr>
        <w:t>אמר דבי רבי ינאי</w:t>
      </w:r>
      <w:r w:rsidRPr="0055465C">
        <w:rPr>
          <w:rFonts w:cs="Arial"/>
          <w:rtl/>
        </w:rPr>
        <w:t xml:space="preserve">: ונתן בידה - מי שיש לה יד לגרש עצמה, יצתה זו שאין לה יד לגרש עצמה! </w:t>
      </w:r>
      <w:r>
        <w:rPr>
          <w:rFonts w:cs="Arial" w:hint="cs"/>
          <w:u w:val="single"/>
          <w:rtl/>
        </w:rPr>
        <w:t>ו</w:t>
      </w:r>
      <w:r w:rsidRPr="003F46E1">
        <w:rPr>
          <w:rFonts w:cs="Arial"/>
          <w:u w:val="single"/>
          <w:rtl/>
        </w:rPr>
        <w:t>תנא דבי רבי ישמעאל</w:t>
      </w:r>
      <w:r w:rsidRPr="0055465C">
        <w:rPr>
          <w:rFonts w:cs="Arial"/>
          <w:rtl/>
        </w:rPr>
        <w:t xml:space="preserve">: ושלחה מביתו - מי שמשלחה ואינה חוזרת, יצתה זו שמשלחה וחוזרת! לא צריכא, דיודעת לשמור גיטה ואינה יודעת לשמור עצמה, דבר תורה שוטה מתגרשת - דהא יודעת לשמור גיטה, ואמור רבנן לא ליפקא, שלא ינהגו בה מנהג הפקר. </w:t>
      </w:r>
      <w:r w:rsidRPr="008F5CBC">
        <w:rPr>
          <w:rFonts w:cs="Arial"/>
          <w:u w:val="single"/>
          <w:rtl/>
        </w:rPr>
        <w:t>אמר אביי</w:t>
      </w:r>
      <w:r w:rsidRPr="0055465C">
        <w:rPr>
          <w:rFonts w:cs="Arial"/>
          <w:rtl/>
        </w:rPr>
        <w:t>: דיקא נמי, דקתני גבי דידה נשתטית לא יוציא, וגבי דידיה לא יוציא עולמית, מאי שנא הכא דקתני עולמית, ומאי שנא התם דלא קתני עולמית? אלא שמע מינה: הא דאורייתא, הא דרבנן.</w:t>
      </w:r>
    </w:p>
    <w:p w14:paraId="2BE127D6" w14:textId="77777777" w:rsidR="007D6167" w:rsidRDefault="007D6167" w:rsidP="007D6167">
      <w:pPr>
        <w:rPr>
          <w:rtl/>
        </w:rPr>
      </w:pPr>
      <w:r>
        <w:rPr>
          <w:rFonts w:cs="Arial" w:hint="cs"/>
          <w:b/>
          <w:bCs/>
          <w:rtl/>
        </w:rPr>
        <w:t xml:space="preserve">ירושלמי יבמות פי"ד ה"א: </w:t>
      </w:r>
      <w:r w:rsidRPr="000364FA">
        <w:rPr>
          <w:rFonts w:cs="Arial"/>
          <w:rtl/>
        </w:rPr>
        <w:t xml:space="preserve">נשתטתה לא יוציא. </w:t>
      </w:r>
      <w:r w:rsidRPr="000364FA">
        <w:rPr>
          <w:rFonts w:cs="Arial"/>
          <w:u w:val="single"/>
          <w:rtl/>
        </w:rPr>
        <w:t>דבית ר' ינאי אמרי</w:t>
      </w:r>
      <w:r>
        <w:rPr>
          <w:rFonts w:cs="Arial" w:hint="cs"/>
          <w:rtl/>
        </w:rPr>
        <w:t>:</w:t>
      </w:r>
      <w:r w:rsidRPr="000364FA">
        <w:rPr>
          <w:rFonts w:cs="Arial"/>
          <w:rtl/>
        </w:rPr>
        <w:t xml:space="preserve"> מפני גרירה</w:t>
      </w:r>
      <w:r>
        <w:rPr>
          <w:rStyle w:val="a7"/>
          <w:rFonts w:cs="Arial"/>
          <w:rtl/>
        </w:rPr>
        <w:footnoteReference w:id="3309"/>
      </w:r>
      <w:r w:rsidRPr="000364FA">
        <w:rPr>
          <w:rFonts w:cs="Arial"/>
          <w:rtl/>
        </w:rPr>
        <w:t xml:space="preserve">. </w:t>
      </w:r>
      <w:r w:rsidRPr="000364FA">
        <w:rPr>
          <w:rFonts w:cs="Arial"/>
          <w:u w:val="single"/>
          <w:rtl/>
        </w:rPr>
        <w:t>ר' זעירא ור' אילא תריהון אמרין</w:t>
      </w:r>
      <w:r>
        <w:rPr>
          <w:rFonts w:cs="Arial" w:hint="cs"/>
          <w:rtl/>
        </w:rPr>
        <w:t>:</w:t>
      </w:r>
      <w:r w:rsidRPr="000364FA">
        <w:rPr>
          <w:rFonts w:cs="Arial"/>
          <w:rtl/>
        </w:rPr>
        <w:t xml:space="preserve"> שאינה יכולה לשמור את גיטה. </w:t>
      </w:r>
      <w:r w:rsidRPr="000364FA">
        <w:rPr>
          <w:rFonts w:cs="Arial"/>
          <w:u w:val="single"/>
          <w:rtl/>
        </w:rPr>
        <w:t>ר' נחמיה בר מר עוקבן בריה דרבי יוסי אמר</w:t>
      </w:r>
      <w:r w:rsidRPr="00312261">
        <w:rPr>
          <w:rFonts w:cs="Arial"/>
          <w:u w:val="single"/>
          <w:rtl/>
        </w:rPr>
        <w:t xml:space="preserve"> תלתא</w:t>
      </w:r>
      <w:r>
        <w:rPr>
          <w:rStyle w:val="a7"/>
          <w:rFonts w:cs="Arial"/>
          <w:u w:val="single"/>
          <w:rtl/>
        </w:rPr>
        <w:footnoteReference w:id="3310"/>
      </w:r>
      <w:r>
        <w:rPr>
          <w:rFonts w:cs="Arial" w:hint="cs"/>
          <w:rtl/>
        </w:rPr>
        <w:t>:</w:t>
      </w:r>
      <w:r w:rsidRPr="000364FA">
        <w:rPr>
          <w:rFonts w:cs="Arial"/>
          <w:rtl/>
        </w:rPr>
        <w:t xml:space="preserve"> עבר וגירש. מאן דאמר מפני גרירה</w:t>
      </w:r>
      <w:r>
        <w:rPr>
          <w:rFonts w:cs="Arial" w:hint="cs"/>
          <w:rtl/>
        </w:rPr>
        <w:t xml:space="preserve"> -</w:t>
      </w:r>
      <w:r w:rsidRPr="000364FA">
        <w:rPr>
          <w:rFonts w:cs="Arial"/>
          <w:rtl/>
        </w:rPr>
        <w:t xml:space="preserve"> גירש</w:t>
      </w:r>
      <w:r>
        <w:rPr>
          <w:rStyle w:val="a7"/>
          <w:rFonts w:cs="Arial"/>
          <w:rtl/>
        </w:rPr>
        <w:footnoteReference w:id="3311"/>
      </w:r>
      <w:r>
        <w:rPr>
          <w:rFonts w:cs="Arial" w:hint="cs"/>
          <w:rtl/>
        </w:rPr>
        <w:t>.</w:t>
      </w:r>
      <w:r w:rsidRPr="000364FA">
        <w:rPr>
          <w:rFonts w:cs="Arial"/>
          <w:rtl/>
        </w:rPr>
        <w:t xml:space="preserve"> מאן דאמר שאינה יכולה לשמור את גיטה </w:t>
      </w:r>
      <w:r>
        <w:rPr>
          <w:rFonts w:cs="Arial" w:hint="cs"/>
          <w:rtl/>
        </w:rPr>
        <w:t xml:space="preserve">- </w:t>
      </w:r>
      <w:r w:rsidRPr="000364FA">
        <w:rPr>
          <w:rFonts w:cs="Arial"/>
          <w:rtl/>
        </w:rPr>
        <w:t>אסור</w:t>
      </w:r>
      <w:r>
        <w:rPr>
          <w:rStyle w:val="a7"/>
          <w:rFonts w:cs="Arial"/>
          <w:rtl/>
        </w:rPr>
        <w:footnoteReference w:id="3312"/>
      </w:r>
      <w:r w:rsidRPr="000364FA">
        <w:rPr>
          <w:rFonts w:cs="Arial"/>
          <w:rtl/>
        </w:rPr>
        <w:t>.</w:t>
      </w:r>
      <w:r w:rsidRPr="00BD7CE2">
        <w:rPr>
          <w:rFonts w:cs="Arial"/>
          <w:rtl/>
        </w:rPr>
        <w:t>יש לה בן ואב ואח</w:t>
      </w:r>
      <w:r>
        <w:rPr>
          <w:rFonts w:cs="Arial" w:hint="cs"/>
          <w:rtl/>
        </w:rPr>
        <w:t>.</w:t>
      </w:r>
      <w:r w:rsidRPr="00BD7CE2">
        <w:rPr>
          <w:rFonts w:cs="Arial"/>
          <w:rtl/>
        </w:rPr>
        <w:t xml:space="preserve"> מאן דאמר מפני גרירה </w:t>
      </w:r>
      <w:r>
        <w:rPr>
          <w:rFonts w:cs="Arial" w:hint="cs"/>
          <w:rtl/>
        </w:rPr>
        <w:t xml:space="preserve">- </w:t>
      </w:r>
      <w:r w:rsidRPr="00BD7CE2">
        <w:rPr>
          <w:rFonts w:cs="Arial"/>
          <w:rtl/>
        </w:rPr>
        <w:t>אסור</w:t>
      </w:r>
      <w:r>
        <w:rPr>
          <w:rStyle w:val="a7"/>
          <w:rFonts w:cs="Arial"/>
          <w:rtl/>
        </w:rPr>
        <w:footnoteReference w:id="3313"/>
      </w:r>
      <w:r>
        <w:rPr>
          <w:rFonts w:cs="Arial" w:hint="cs"/>
          <w:rtl/>
        </w:rPr>
        <w:t>.</w:t>
      </w:r>
      <w:r w:rsidRPr="00BD7CE2">
        <w:rPr>
          <w:rFonts w:cs="Arial"/>
          <w:rtl/>
        </w:rPr>
        <w:t xml:space="preserve"> מאן דאמר שאינה יכולה לשמור את גיטה</w:t>
      </w:r>
      <w:r>
        <w:rPr>
          <w:rFonts w:cs="Arial" w:hint="cs"/>
          <w:rtl/>
        </w:rPr>
        <w:t xml:space="preserve"> -</w:t>
      </w:r>
      <w:r w:rsidRPr="00BD7CE2">
        <w:rPr>
          <w:rFonts w:cs="Arial"/>
          <w:rtl/>
        </w:rPr>
        <w:t xml:space="preserve"> יש לה אב ויכולה היא לשמור את גיטה. פעמים שוטה פעמים חלומ</w:t>
      </w:r>
      <w:r>
        <w:rPr>
          <w:rFonts w:cs="Arial" w:hint="cs"/>
          <w:rtl/>
        </w:rPr>
        <w:t>ה.</w:t>
      </w:r>
      <w:r w:rsidRPr="00BD7CE2">
        <w:rPr>
          <w:rFonts w:cs="Arial"/>
          <w:rtl/>
        </w:rPr>
        <w:t xml:space="preserve"> מאן דאמר מפני גרירה </w:t>
      </w:r>
      <w:r>
        <w:rPr>
          <w:rFonts w:cs="Arial" w:hint="cs"/>
          <w:rtl/>
        </w:rPr>
        <w:t xml:space="preserve">- </w:t>
      </w:r>
      <w:r w:rsidRPr="00BD7CE2">
        <w:rPr>
          <w:rFonts w:cs="Arial"/>
          <w:rtl/>
        </w:rPr>
        <w:t>אסור</w:t>
      </w:r>
      <w:r>
        <w:rPr>
          <w:rFonts w:cs="Arial" w:hint="cs"/>
          <w:rtl/>
        </w:rPr>
        <w:t>.</w:t>
      </w:r>
      <w:r w:rsidRPr="00BD7CE2">
        <w:rPr>
          <w:rFonts w:cs="Arial"/>
          <w:rtl/>
        </w:rPr>
        <w:t xml:space="preserve"> מאן דאמר שאינה יכולה לשמור את גיטה </w:t>
      </w:r>
      <w:r>
        <w:rPr>
          <w:rFonts w:cs="Arial" w:hint="cs"/>
          <w:rtl/>
        </w:rPr>
        <w:t xml:space="preserve">- </w:t>
      </w:r>
      <w:r w:rsidRPr="00BD7CE2">
        <w:rPr>
          <w:rFonts w:cs="Arial"/>
          <w:rtl/>
        </w:rPr>
        <w:t>יש לה עיתים ויכולה היא לשמור את גיטה</w:t>
      </w:r>
      <w:r>
        <w:rPr>
          <w:rFonts w:cs="Arial" w:hint="cs"/>
          <w:rtl/>
        </w:rPr>
        <w:t>.</w:t>
      </w:r>
    </w:p>
    <w:p w14:paraId="77C1F5E9" w14:textId="77777777" w:rsidR="007D6167" w:rsidRPr="00753AAC" w:rsidRDefault="007D6167" w:rsidP="007D6167">
      <w:pPr>
        <w:rPr>
          <w:u w:val="single"/>
          <w:rtl/>
        </w:rPr>
      </w:pPr>
      <w:r w:rsidRPr="00753AAC">
        <w:rPr>
          <w:rFonts w:hint="cs"/>
          <w:u w:val="single"/>
          <w:rtl/>
        </w:rPr>
        <w:t>גירושין בעל כרחה של האשה:</w:t>
      </w:r>
    </w:p>
    <w:p w14:paraId="6703DC2F" w14:textId="77777777" w:rsidR="007D6167" w:rsidRDefault="007D6167" w:rsidP="00B75458">
      <w:pPr>
        <w:pStyle w:val="ab"/>
        <w:numPr>
          <w:ilvl w:val="0"/>
          <w:numId w:val="193"/>
        </w:numPr>
      </w:pPr>
      <w:r>
        <w:rPr>
          <w:rFonts w:cs="Arial" w:hint="cs"/>
          <w:rtl/>
        </w:rPr>
        <w:lastRenderedPageBreak/>
        <w:t xml:space="preserve">טור- </w:t>
      </w:r>
      <w:r w:rsidRPr="00FE714F">
        <w:rPr>
          <w:rFonts w:cs="Arial"/>
          <w:rtl/>
        </w:rPr>
        <w:t>ויכול לגרשה בלא דעתה</w:t>
      </w:r>
      <w:r>
        <w:rPr>
          <w:rStyle w:val="a7"/>
          <w:rFonts w:cs="Arial"/>
          <w:rtl/>
        </w:rPr>
        <w:footnoteReference w:id="3314"/>
      </w:r>
      <w:r>
        <w:rPr>
          <w:rFonts w:cs="Arial" w:hint="cs"/>
          <w:rtl/>
        </w:rPr>
        <w:t>.</w:t>
      </w:r>
      <w:r w:rsidRPr="00FE714F">
        <w:rPr>
          <w:rFonts w:cs="Arial"/>
          <w:rtl/>
        </w:rPr>
        <w:t xml:space="preserve"> אבל האיש אינו מוציא אלא לרצונו</w:t>
      </w:r>
      <w:r>
        <w:rPr>
          <w:rFonts w:cs="Arial" w:hint="cs"/>
          <w:rtl/>
        </w:rPr>
        <w:t>.</w:t>
      </w:r>
      <w:r w:rsidRPr="00FE714F">
        <w:rPr>
          <w:rFonts w:cs="Arial"/>
          <w:rtl/>
        </w:rPr>
        <w:t xml:space="preserve"> לפיכך קטנה מתגרשת אף על פי שאין בה דעת</w:t>
      </w:r>
      <w:r>
        <w:rPr>
          <w:rStyle w:val="a7"/>
          <w:rFonts w:cs="Arial"/>
          <w:rtl/>
        </w:rPr>
        <w:footnoteReference w:id="3315"/>
      </w:r>
      <w:r>
        <w:rPr>
          <w:rFonts w:cs="Arial" w:hint="cs"/>
          <w:rtl/>
        </w:rPr>
        <w:t>,</w:t>
      </w:r>
      <w:r w:rsidRPr="00FE714F">
        <w:rPr>
          <w:rFonts w:cs="Arial"/>
          <w:rtl/>
        </w:rPr>
        <w:t xml:space="preserve"> אפילו אם קבל אביה קדושיה שהן דאורייתא</w:t>
      </w:r>
      <w:r>
        <w:rPr>
          <w:rFonts w:cs="Arial" w:hint="cs"/>
          <w:rtl/>
        </w:rPr>
        <w:t>,</w:t>
      </w:r>
      <w:r w:rsidRPr="00FE714F">
        <w:rPr>
          <w:rFonts w:cs="Arial"/>
          <w:rtl/>
        </w:rPr>
        <w:t xml:space="preserve"> או חרשת שנתקדשה כשהיתה פקחת ונתחרשה</w:t>
      </w:r>
      <w:r>
        <w:rPr>
          <w:rFonts w:cs="Arial" w:hint="cs"/>
          <w:rtl/>
        </w:rPr>
        <w:t>.</w:t>
      </w:r>
      <w:r w:rsidRPr="00FE714F">
        <w:rPr>
          <w:rFonts w:cs="Arial"/>
          <w:rtl/>
        </w:rPr>
        <w:t xml:space="preserve"> </w:t>
      </w:r>
      <w:r w:rsidRPr="00544E63">
        <w:rPr>
          <w:rFonts w:hint="cs"/>
          <w:color w:val="E36C0A" w:themeColor="accent6" w:themeShade="BF"/>
          <w:rtl/>
        </w:rPr>
        <w:t>(וכ"פ בשו"ע</w:t>
      </w:r>
      <w:r>
        <w:rPr>
          <w:rFonts w:hint="cs"/>
          <w:color w:val="E36C0A" w:themeColor="accent6" w:themeShade="BF"/>
          <w:rtl/>
        </w:rPr>
        <w:t>)</w:t>
      </w:r>
    </w:p>
    <w:p w14:paraId="1A22F0AF" w14:textId="77777777" w:rsidR="007D6167" w:rsidRPr="00B54024" w:rsidRDefault="007D6167" w:rsidP="007D6167">
      <w:pPr>
        <w:rPr>
          <w:u w:val="single"/>
        </w:rPr>
      </w:pPr>
      <w:r w:rsidRPr="00B54024">
        <w:rPr>
          <w:rFonts w:hint="cs"/>
          <w:u w:val="single"/>
          <w:rtl/>
        </w:rPr>
        <w:t xml:space="preserve">אשה שנשתטית </w:t>
      </w:r>
      <w:r w:rsidRPr="00B54024">
        <w:rPr>
          <w:u w:val="single"/>
          <w:rtl/>
        </w:rPr>
        <w:t>–</w:t>
      </w:r>
      <w:r w:rsidRPr="00B54024">
        <w:rPr>
          <w:rFonts w:hint="cs"/>
          <w:u w:val="single"/>
          <w:rtl/>
        </w:rPr>
        <w:t xml:space="preserve"> האם יכול </w:t>
      </w:r>
      <w:r>
        <w:rPr>
          <w:rFonts w:hint="cs"/>
          <w:u w:val="single"/>
          <w:rtl/>
        </w:rPr>
        <w:t xml:space="preserve">בעלה </w:t>
      </w:r>
      <w:r w:rsidRPr="00B54024">
        <w:rPr>
          <w:rFonts w:hint="cs"/>
          <w:u w:val="single"/>
          <w:rtl/>
        </w:rPr>
        <w:t>לגרשה:</w:t>
      </w:r>
    </w:p>
    <w:p w14:paraId="49783BD8" w14:textId="77777777" w:rsidR="007D6167" w:rsidRDefault="007D6167" w:rsidP="00B75458">
      <w:pPr>
        <w:pStyle w:val="ab"/>
        <w:numPr>
          <w:ilvl w:val="0"/>
          <w:numId w:val="193"/>
        </w:numPr>
      </w:pPr>
      <w:r>
        <w:rPr>
          <w:rFonts w:cs="Arial" w:hint="cs"/>
          <w:rtl/>
        </w:rPr>
        <w:t>רמב"ם</w:t>
      </w:r>
      <w:r>
        <w:rPr>
          <w:rStyle w:val="a7"/>
          <w:rFonts w:cs="Arial"/>
          <w:rtl/>
        </w:rPr>
        <w:footnoteReference w:id="3316"/>
      </w:r>
      <w:r>
        <w:rPr>
          <w:rFonts w:cs="Arial" w:hint="cs"/>
          <w:sz w:val="16"/>
          <w:szCs w:val="16"/>
          <w:rtl/>
        </w:rPr>
        <w:t xml:space="preserve"> </w:t>
      </w:r>
      <w:r w:rsidRPr="00705D4B">
        <w:rPr>
          <w:rFonts w:cs="Arial" w:hint="cs"/>
          <w:sz w:val="16"/>
          <w:szCs w:val="16"/>
          <w:rtl/>
        </w:rPr>
        <w:t>(פ"י מגירושין הכ"ג)</w:t>
      </w:r>
      <w:r>
        <w:rPr>
          <w:rFonts w:cs="Arial" w:hint="cs"/>
          <w:sz w:val="16"/>
          <w:szCs w:val="16"/>
          <w:rtl/>
        </w:rPr>
        <w:t xml:space="preserve"> </w:t>
      </w:r>
      <w:r>
        <w:rPr>
          <w:rFonts w:cs="Arial" w:hint="cs"/>
          <w:rtl/>
        </w:rPr>
        <w:t xml:space="preserve">וטור- </w:t>
      </w:r>
      <w:r w:rsidRPr="00FE714F">
        <w:rPr>
          <w:rFonts w:cs="Arial"/>
          <w:rtl/>
        </w:rPr>
        <w:t xml:space="preserve">אבל נשתטית שאינה יודעת לשמור עצמה </w:t>
      </w:r>
      <w:r>
        <w:rPr>
          <w:rFonts w:cs="Arial" w:hint="cs"/>
          <w:rtl/>
        </w:rPr>
        <w:t xml:space="preserve">- </w:t>
      </w:r>
      <w:r w:rsidRPr="00FE714F">
        <w:rPr>
          <w:rFonts w:cs="Arial"/>
          <w:rtl/>
        </w:rPr>
        <w:t>לא יוציאנה אפי' אם יודעת לשמור גיטה</w:t>
      </w:r>
      <w:r>
        <w:rPr>
          <w:rFonts w:cs="Arial" w:hint="cs"/>
          <w:rtl/>
        </w:rPr>
        <w:t>,</w:t>
      </w:r>
      <w:r w:rsidRPr="00FE714F">
        <w:rPr>
          <w:rFonts w:cs="Arial"/>
          <w:rtl/>
        </w:rPr>
        <w:t xml:space="preserve"> שעשו בה תקנת חכמים כדי שלא ינהגו בה מנהג הפקר לפי שאין בה דעת לשמור את עצמה</w:t>
      </w:r>
      <w:r>
        <w:rPr>
          <w:rStyle w:val="a7"/>
          <w:rFonts w:cs="Arial"/>
          <w:rtl/>
        </w:rPr>
        <w:footnoteReference w:id="3317"/>
      </w:r>
      <w:r>
        <w:rPr>
          <w:rFonts w:cs="Arial" w:hint="cs"/>
          <w:sz w:val="16"/>
          <w:szCs w:val="16"/>
          <w:rtl/>
        </w:rPr>
        <w:t xml:space="preserve"> (ל' הטור)</w:t>
      </w:r>
      <w:r>
        <w:rPr>
          <w:rFonts w:cs="Arial" w:hint="cs"/>
          <w:rtl/>
        </w:rPr>
        <w:t>.</w:t>
      </w:r>
      <w:r w:rsidRPr="00FE714F">
        <w:rPr>
          <w:rFonts w:cs="Arial"/>
          <w:rtl/>
        </w:rPr>
        <w:t xml:space="preserve"> </w:t>
      </w:r>
      <w:r w:rsidRPr="00544E63">
        <w:rPr>
          <w:rFonts w:hint="cs"/>
          <w:color w:val="E36C0A" w:themeColor="accent6" w:themeShade="BF"/>
          <w:rtl/>
        </w:rPr>
        <w:t>(וכ"פ בשו"ע</w:t>
      </w:r>
      <w:r>
        <w:rPr>
          <w:rFonts w:hint="cs"/>
          <w:color w:val="E36C0A" w:themeColor="accent6" w:themeShade="BF"/>
          <w:rtl/>
        </w:rPr>
        <w:t>)</w:t>
      </w:r>
    </w:p>
    <w:p w14:paraId="249CB83E" w14:textId="77777777" w:rsidR="007D6167" w:rsidRPr="00B54024" w:rsidRDefault="007D6167" w:rsidP="007D6167">
      <w:pPr>
        <w:ind w:left="360"/>
        <w:rPr>
          <w:u w:val="dotted"/>
        </w:rPr>
      </w:pPr>
      <w:r w:rsidRPr="00B54024">
        <w:rPr>
          <w:rFonts w:hint="cs"/>
          <w:u w:val="dotted"/>
          <w:rtl/>
        </w:rPr>
        <w:t>האם חייב הבעל במזונותיה</w:t>
      </w:r>
      <w:r>
        <w:rPr>
          <w:rFonts w:hint="cs"/>
          <w:u w:val="dotted"/>
          <w:rtl/>
        </w:rPr>
        <w:t xml:space="preserve"> ובשאר תנאי כתובה</w:t>
      </w:r>
      <w:r w:rsidRPr="00B54024">
        <w:rPr>
          <w:rFonts w:hint="cs"/>
          <w:u w:val="dotted"/>
          <w:rtl/>
        </w:rPr>
        <w:t>:</w:t>
      </w:r>
    </w:p>
    <w:p w14:paraId="2B54F625" w14:textId="77777777" w:rsidR="007D6167" w:rsidRPr="00B54024" w:rsidRDefault="007D6167" w:rsidP="00B75458">
      <w:pPr>
        <w:pStyle w:val="ab"/>
        <w:numPr>
          <w:ilvl w:val="0"/>
          <w:numId w:val="193"/>
        </w:numPr>
      </w:pPr>
      <w:bookmarkStart w:id="14" w:name="_Hlk74822842"/>
      <w:r w:rsidRPr="00FE714F">
        <w:rPr>
          <w:rFonts w:cs="Arial"/>
          <w:rtl/>
        </w:rPr>
        <w:t xml:space="preserve">רמב"ם </w:t>
      </w:r>
      <w:r w:rsidRPr="00705D4B">
        <w:rPr>
          <w:rFonts w:cs="Arial" w:hint="cs"/>
          <w:sz w:val="16"/>
          <w:szCs w:val="16"/>
          <w:rtl/>
        </w:rPr>
        <w:t>(</w:t>
      </w:r>
      <w:r>
        <w:rPr>
          <w:rFonts w:cs="Arial" w:hint="cs"/>
          <w:sz w:val="16"/>
          <w:szCs w:val="16"/>
          <w:rtl/>
        </w:rPr>
        <w:t>שם</w:t>
      </w:r>
      <w:r w:rsidRPr="00705D4B">
        <w:rPr>
          <w:rFonts w:cs="Arial" w:hint="cs"/>
          <w:sz w:val="16"/>
          <w:szCs w:val="16"/>
          <w:rtl/>
        </w:rPr>
        <w:t>)</w:t>
      </w:r>
      <w:r>
        <w:rPr>
          <w:rFonts w:cs="Arial" w:hint="cs"/>
          <w:rtl/>
        </w:rPr>
        <w:t xml:space="preserve">- </w:t>
      </w:r>
      <w:r w:rsidRPr="00E24AEE">
        <w:rPr>
          <w:rFonts w:cs="Arial"/>
          <w:rtl/>
        </w:rPr>
        <w:t>לפיכך מניחה ונושא אחרת</w:t>
      </w:r>
      <w:r>
        <w:rPr>
          <w:rFonts w:cs="Arial" w:hint="cs"/>
          <w:rtl/>
        </w:rPr>
        <w:t>,</w:t>
      </w:r>
      <w:r w:rsidRPr="00E24AEE">
        <w:rPr>
          <w:rFonts w:cs="Arial"/>
          <w:rtl/>
        </w:rPr>
        <w:t xml:space="preserve"> ומאכילה ומשקה משלה</w:t>
      </w:r>
      <w:r>
        <w:rPr>
          <w:rStyle w:val="a7"/>
          <w:rFonts w:cs="Arial"/>
          <w:rtl/>
        </w:rPr>
        <w:footnoteReference w:id="3318"/>
      </w:r>
      <w:r>
        <w:rPr>
          <w:rFonts w:cs="Arial" w:hint="cs"/>
          <w:rtl/>
        </w:rPr>
        <w:t>.</w:t>
      </w:r>
      <w:r w:rsidRPr="00E24AEE">
        <w:rPr>
          <w:rFonts w:cs="Arial"/>
          <w:rtl/>
        </w:rPr>
        <w:t xml:space="preserve"> ואין מחייבין אותו בשאר כסות ועונה</w:t>
      </w:r>
      <w:r>
        <w:rPr>
          <w:rFonts w:cs="Arial" w:hint="cs"/>
          <w:rtl/>
        </w:rPr>
        <w:t>,</w:t>
      </w:r>
      <w:r w:rsidRPr="00E24AEE">
        <w:rPr>
          <w:rFonts w:cs="Arial"/>
          <w:rtl/>
        </w:rPr>
        <w:t xml:space="preserve"> שאין כח בבן דעת לדור עם השוטים בבית אחד</w:t>
      </w:r>
      <w:r>
        <w:rPr>
          <w:rFonts w:cs="Arial" w:hint="cs"/>
          <w:rtl/>
        </w:rPr>
        <w:t>.</w:t>
      </w:r>
      <w:r w:rsidRPr="00E24AEE">
        <w:rPr>
          <w:rFonts w:cs="Arial"/>
          <w:rtl/>
        </w:rPr>
        <w:t xml:space="preserve"> ואינו חייב לרפאותה ולא לפדותה</w:t>
      </w:r>
      <w:r>
        <w:rPr>
          <w:rFonts w:cs="Arial" w:hint="cs"/>
          <w:rtl/>
        </w:rPr>
        <w:t>.</w:t>
      </w:r>
      <w:r w:rsidRPr="00E24AEE">
        <w:rPr>
          <w:rFonts w:cs="Arial"/>
          <w:rtl/>
        </w:rPr>
        <w:t xml:space="preserve"> ואם גירשה </w:t>
      </w:r>
      <w:r>
        <w:rPr>
          <w:rFonts w:cs="Arial" w:hint="cs"/>
          <w:rtl/>
        </w:rPr>
        <w:t xml:space="preserve">- </w:t>
      </w:r>
      <w:r w:rsidRPr="00E24AEE">
        <w:rPr>
          <w:rFonts w:cs="Arial"/>
          <w:rtl/>
        </w:rPr>
        <w:t>הרי זו מגורשת</w:t>
      </w:r>
      <w:r>
        <w:rPr>
          <w:rStyle w:val="a7"/>
          <w:rFonts w:cs="Arial"/>
          <w:rtl/>
        </w:rPr>
        <w:footnoteReference w:id="3319"/>
      </w:r>
      <w:r>
        <w:rPr>
          <w:rFonts w:cs="Arial" w:hint="cs"/>
          <w:rtl/>
        </w:rPr>
        <w:t>,</w:t>
      </w:r>
      <w:r w:rsidRPr="00E24AEE">
        <w:rPr>
          <w:rFonts w:cs="Arial"/>
          <w:rtl/>
        </w:rPr>
        <w:t xml:space="preserve"> ומוציאה מביתו ואינו חייב לחזור ולהטפל בה</w:t>
      </w:r>
      <w:r>
        <w:rPr>
          <w:rFonts w:cs="Arial" w:hint="cs"/>
          <w:rtl/>
        </w:rPr>
        <w:t>.</w:t>
      </w:r>
      <w:r w:rsidRPr="00FE714F">
        <w:rPr>
          <w:rFonts w:cs="Arial"/>
          <w:rtl/>
        </w:rPr>
        <w:t xml:space="preserve"> </w:t>
      </w:r>
      <w:r w:rsidRPr="00544E63">
        <w:rPr>
          <w:rFonts w:hint="cs"/>
          <w:color w:val="E36C0A" w:themeColor="accent6" w:themeShade="BF"/>
          <w:rtl/>
        </w:rPr>
        <w:t>(וכ"פ בשו"ע</w:t>
      </w:r>
      <w:r>
        <w:rPr>
          <w:rFonts w:hint="cs"/>
          <w:color w:val="000000" w:themeColor="text1"/>
          <w:sz w:val="16"/>
          <w:szCs w:val="16"/>
          <w:rtl/>
        </w:rPr>
        <w:t xml:space="preserve"> </w:t>
      </w:r>
      <w:r w:rsidRPr="004D3DE9">
        <w:rPr>
          <w:rFonts w:hint="cs"/>
          <w:color w:val="000000" w:themeColor="text1"/>
          <w:sz w:val="16"/>
          <w:szCs w:val="16"/>
          <w:rtl/>
        </w:rPr>
        <w:t>[</w:t>
      </w:r>
      <w:r>
        <w:rPr>
          <w:rFonts w:hint="cs"/>
          <w:color w:val="000000" w:themeColor="text1"/>
          <w:sz w:val="16"/>
          <w:szCs w:val="16"/>
          <w:rtl/>
        </w:rPr>
        <w:t>כאן]</w:t>
      </w:r>
      <w:r>
        <w:rPr>
          <w:rFonts w:hint="cs"/>
          <w:color w:val="E36C0A" w:themeColor="accent6" w:themeShade="BF"/>
          <w:rtl/>
        </w:rPr>
        <w:t>)</w:t>
      </w:r>
    </w:p>
    <w:bookmarkEnd w:id="14"/>
    <w:p w14:paraId="7573B830" w14:textId="77777777" w:rsidR="007D6167" w:rsidRPr="00E24AEE" w:rsidRDefault="007D6167" w:rsidP="00B75458">
      <w:pPr>
        <w:pStyle w:val="ab"/>
        <w:numPr>
          <w:ilvl w:val="0"/>
          <w:numId w:val="193"/>
        </w:numPr>
        <w:rPr>
          <w:rtl/>
        </w:rPr>
      </w:pPr>
      <w:r w:rsidRPr="00FE714F">
        <w:rPr>
          <w:rFonts w:cs="Arial"/>
          <w:rtl/>
        </w:rPr>
        <w:t xml:space="preserve">ראב"ד </w:t>
      </w:r>
      <w:r>
        <w:rPr>
          <w:rFonts w:cs="Arial" w:hint="cs"/>
          <w:sz w:val="16"/>
          <w:szCs w:val="16"/>
          <w:rtl/>
        </w:rPr>
        <w:t>(שם בהשגות)</w:t>
      </w:r>
      <w:r>
        <w:rPr>
          <w:rFonts w:cs="Arial" w:hint="cs"/>
          <w:rtl/>
        </w:rPr>
        <w:t xml:space="preserve">- </w:t>
      </w:r>
      <w:r w:rsidRPr="00FE714F">
        <w:rPr>
          <w:rFonts w:cs="Arial"/>
          <w:rtl/>
        </w:rPr>
        <w:t>ואם בת רפואה היא למה לא יתחייב לרפאותה</w:t>
      </w:r>
      <w:r>
        <w:rPr>
          <w:rFonts w:cs="Arial" w:hint="cs"/>
          <w:rtl/>
        </w:rPr>
        <w:t>.</w:t>
      </w:r>
      <w:r w:rsidRPr="00FE714F">
        <w:rPr>
          <w:rFonts w:cs="Arial"/>
          <w:rtl/>
        </w:rPr>
        <w:t xml:space="preserve"> וכמה יש משתטות מחמת חולי</w:t>
      </w:r>
      <w:r>
        <w:rPr>
          <w:rFonts w:cs="Arial" w:hint="cs"/>
          <w:rtl/>
        </w:rPr>
        <w:t>,</w:t>
      </w:r>
      <w:r w:rsidRPr="00FE714F">
        <w:rPr>
          <w:rFonts w:cs="Arial"/>
          <w:rtl/>
        </w:rPr>
        <w:t xml:space="preserve"> וחוזרו</w:t>
      </w:r>
      <w:r>
        <w:rPr>
          <w:rFonts w:cs="Arial" w:hint="cs"/>
          <w:rtl/>
        </w:rPr>
        <w:t>ת</w:t>
      </w:r>
      <w:r w:rsidRPr="00FE714F">
        <w:rPr>
          <w:rFonts w:cs="Arial"/>
          <w:rtl/>
        </w:rPr>
        <w:t xml:space="preserve"> ומתרפאו</w:t>
      </w:r>
      <w:r>
        <w:rPr>
          <w:rFonts w:cs="Arial" w:hint="cs"/>
          <w:rtl/>
        </w:rPr>
        <w:t>ת</w:t>
      </w:r>
      <w:r>
        <w:rPr>
          <w:rStyle w:val="a7"/>
          <w:rFonts w:cs="Arial"/>
          <w:rtl/>
        </w:rPr>
        <w:footnoteReference w:id="3320"/>
      </w:r>
      <w:r>
        <w:rPr>
          <w:rFonts w:cs="Arial" w:hint="cs"/>
          <w:rtl/>
        </w:rPr>
        <w:t>.</w:t>
      </w:r>
      <w:r w:rsidRPr="00FE714F">
        <w:rPr>
          <w:rFonts w:cs="Arial"/>
          <w:rtl/>
        </w:rPr>
        <w:t xml:space="preserve"> </w:t>
      </w:r>
    </w:p>
    <w:p w14:paraId="736E05F7" w14:textId="77777777" w:rsidR="007D6167" w:rsidRDefault="007D6167" w:rsidP="00B75458">
      <w:pPr>
        <w:pStyle w:val="ab"/>
        <w:numPr>
          <w:ilvl w:val="0"/>
          <w:numId w:val="193"/>
        </w:numPr>
      </w:pPr>
      <w:r w:rsidRPr="00FE714F">
        <w:rPr>
          <w:rFonts w:cs="Arial"/>
          <w:rtl/>
        </w:rPr>
        <w:t>רמ"ה</w:t>
      </w:r>
      <w:r>
        <w:rPr>
          <w:rStyle w:val="a7"/>
          <w:rFonts w:cs="Arial"/>
          <w:rtl/>
        </w:rPr>
        <w:footnoteReference w:id="3321"/>
      </w:r>
      <w:r>
        <w:rPr>
          <w:rFonts w:cs="Arial" w:hint="cs"/>
          <w:sz w:val="16"/>
          <w:szCs w:val="16"/>
          <w:rtl/>
        </w:rPr>
        <w:t xml:space="preserve"> (כ"כ הטור בשמו)</w:t>
      </w:r>
      <w:r>
        <w:rPr>
          <w:rFonts w:cs="Arial" w:hint="cs"/>
          <w:rtl/>
        </w:rPr>
        <w:t xml:space="preserve"> ורשב"א </w:t>
      </w:r>
      <w:r>
        <w:rPr>
          <w:rFonts w:cs="Arial" w:hint="cs"/>
          <w:sz w:val="16"/>
          <w:szCs w:val="16"/>
          <w:rtl/>
        </w:rPr>
        <w:t>(ח"ב סי' שפב, הביאו הדרכ"מ [אות ו])</w:t>
      </w:r>
      <w:r>
        <w:rPr>
          <w:rFonts w:cs="Arial" w:hint="cs"/>
          <w:rtl/>
        </w:rPr>
        <w:t xml:space="preserve">- </w:t>
      </w:r>
      <w:r w:rsidRPr="00FE714F">
        <w:rPr>
          <w:rFonts w:cs="Arial"/>
          <w:rtl/>
        </w:rPr>
        <w:t>אפילו גירשה חייב במזונותיה וכל תנאי כתובה לבד מתשמיש המטה שאסור</w:t>
      </w:r>
      <w:r>
        <w:rPr>
          <w:rFonts w:cs="Arial" w:hint="cs"/>
          <w:rtl/>
        </w:rPr>
        <w:t>.</w:t>
      </w:r>
      <w:r w:rsidRPr="00FE714F">
        <w:rPr>
          <w:rFonts w:cs="Arial"/>
          <w:rtl/>
        </w:rPr>
        <w:t xml:space="preserve"> דאי אמר</w:t>
      </w:r>
      <w:r>
        <w:rPr>
          <w:rFonts w:cs="Arial" w:hint="cs"/>
          <w:rtl/>
        </w:rPr>
        <w:t>י'</w:t>
      </w:r>
      <w:r w:rsidRPr="00FE714F">
        <w:rPr>
          <w:rFonts w:cs="Arial"/>
          <w:rtl/>
        </w:rPr>
        <w:t xml:space="preserve"> פטור</w:t>
      </w:r>
      <w:r>
        <w:rPr>
          <w:rFonts w:cs="Arial" w:hint="cs"/>
          <w:rtl/>
        </w:rPr>
        <w:t>,</w:t>
      </w:r>
      <w:r w:rsidRPr="00FE714F">
        <w:rPr>
          <w:rFonts w:cs="Arial"/>
          <w:rtl/>
        </w:rPr>
        <w:t xml:space="preserve"> מה הועילו חכמים בתקנתן</w:t>
      </w:r>
      <w:r>
        <w:rPr>
          <w:rFonts w:cs="Arial" w:hint="cs"/>
          <w:rtl/>
        </w:rPr>
        <w:t>.</w:t>
      </w:r>
      <w:r w:rsidRPr="00FE714F">
        <w:rPr>
          <w:rFonts w:cs="Arial"/>
          <w:rtl/>
        </w:rPr>
        <w:t xml:space="preserve"> ועוד כיון דאמור רבנן לא יוציא</w:t>
      </w:r>
      <w:r>
        <w:rPr>
          <w:rFonts w:cs="Arial" w:hint="cs"/>
          <w:rtl/>
        </w:rPr>
        <w:t xml:space="preserve"> -</w:t>
      </w:r>
      <w:r w:rsidRPr="00FE714F">
        <w:rPr>
          <w:rFonts w:cs="Arial"/>
          <w:rtl/>
        </w:rPr>
        <w:t xml:space="preserve"> לא מצי מפיק לה ולא גרעה ממגורשת ואינה מגורשת דבעלה חייב במזונותיה</w:t>
      </w:r>
      <w:r>
        <w:rPr>
          <w:rStyle w:val="a7"/>
          <w:rFonts w:cs="Arial"/>
          <w:rtl/>
        </w:rPr>
        <w:footnoteReference w:id="3322"/>
      </w:r>
      <w:r>
        <w:rPr>
          <w:rFonts w:cs="Arial" w:hint="cs"/>
          <w:rtl/>
        </w:rPr>
        <w:t xml:space="preserve">. </w:t>
      </w:r>
      <w:r w:rsidRPr="00544E63">
        <w:rPr>
          <w:rFonts w:hint="cs"/>
          <w:color w:val="E36C0A" w:themeColor="accent6" w:themeShade="BF"/>
          <w:rtl/>
        </w:rPr>
        <w:t>(וכ"פ בשו"ע</w:t>
      </w:r>
      <w:r>
        <w:rPr>
          <w:rFonts w:hint="cs"/>
          <w:color w:val="000000" w:themeColor="text1"/>
          <w:sz w:val="16"/>
          <w:szCs w:val="16"/>
          <w:rtl/>
        </w:rPr>
        <w:t xml:space="preserve"> </w:t>
      </w:r>
      <w:r w:rsidRPr="004D3DE9">
        <w:rPr>
          <w:rFonts w:hint="cs"/>
          <w:color w:val="000000" w:themeColor="text1"/>
          <w:sz w:val="16"/>
          <w:szCs w:val="16"/>
          <w:rtl/>
        </w:rPr>
        <w:t>[</w:t>
      </w:r>
      <w:r>
        <w:rPr>
          <w:rFonts w:hint="cs"/>
          <w:color w:val="000000" w:themeColor="text1"/>
          <w:sz w:val="16"/>
          <w:szCs w:val="16"/>
          <w:rtl/>
        </w:rPr>
        <w:t>בסי' ע ס"ד]</w:t>
      </w:r>
      <w:r>
        <w:rPr>
          <w:rFonts w:hint="cs"/>
          <w:color w:val="E36C0A" w:themeColor="accent6" w:themeShade="BF"/>
          <w:rtl/>
        </w:rPr>
        <w:t>)</w:t>
      </w:r>
    </w:p>
    <w:p w14:paraId="5EE7D0BC" w14:textId="77777777" w:rsidR="007D6167" w:rsidRPr="005D2022" w:rsidRDefault="007D6167" w:rsidP="007D6167">
      <w:pPr>
        <w:ind w:left="360"/>
        <w:rPr>
          <w:u w:val="dotted"/>
        </w:rPr>
      </w:pPr>
      <w:r w:rsidRPr="005D2022">
        <w:rPr>
          <w:rFonts w:hint="cs"/>
          <w:u w:val="dotted"/>
          <w:rtl/>
        </w:rPr>
        <w:t>כיצד יש ליישב את הסתירה בשו"ע:</w:t>
      </w:r>
    </w:p>
    <w:p w14:paraId="7E3FADCF" w14:textId="77777777" w:rsidR="007D6167" w:rsidRDefault="007D6167" w:rsidP="007D6167">
      <w:pPr>
        <w:pStyle w:val="ab"/>
        <w:numPr>
          <w:ilvl w:val="0"/>
          <w:numId w:val="132"/>
        </w:numPr>
      </w:pPr>
      <w:r>
        <w:rPr>
          <w:rFonts w:cs="Arial" w:hint="cs"/>
          <w:rtl/>
        </w:rPr>
        <w:t xml:space="preserve">ב"ש </w:t>
      </w:r>
      <w:r w:rsidRPr="005D2022">
        <w:rPr>
          <w:rFonts w:cs="Arial" w:hint="cs"/>
          <w:sz w:val="16"/>
          <w:szCs w:val="16"/>
          <w:rtl/>
        </w:rPr>
        <w:t>(סק"</w:t>
      </w:r>
      <w:r w:rsidRPr="005D2022">
        <w:rPr>
          <w:rFonts w:cs="Arial"/>
          <w:sz w:val="16"/>
          <w:szCs w:val="16"/>
          <w:rtl/>
        </w:rPr>
        <w:t>י</w:t>
      </w:r>
      <w:r w:rsidRPr="005D2022">
        <w:rPr>
          <w:rFonts w:cs="Arial" w:hint="cs"/>
          <w:sz w:val="16"/>
          <w:szCs w:val="16"/>
          <w:rtl/>
        </w:rPr>
        <w:t>, ובסי' קיט סק)</w:t>
      </w:r>
      <w:r>
        <w:rPr>
          <w:rFonts w:cs="Arial" w:hint="cs"/>
          <w:rtl/>
        </w:rPr>
        <w:t xml:space="preserve">- </w:t>
      </w:r>
      <w:r w:rsidRPr="005D2022">
        <w:rPr>
          <w:rFonts w:cs="Arial"/>
          <w:rtl/>
        </w:rPr>
        <w:t>איירי כאן בשוט</w:t>
      </w:r>
      <w:r>
        <w:rPr>
          <w:rFonts w:cs="Arial" w:hint="cs"/>
          <w:rtl/>
        </w:rPr>
        <w:t>ה</w:t>
      </w:r>
      <w:r w:rsidRPr="005D2022">
        <w:rPr>
          <w:rFonts w:cs="Arial"/>
          <w:rtl/>
        </w:rPr>
        <w:t xml:space="preserve"> דא</w:t>
      </w:r>
      <w:r>
        <w:rPr>
          <w:rFonts w:cs="Arial" w:hint="cs"/>
          <w:rtl/>
        </w:rPr>
        <w:t xml:space="preserve">ינה </w:t>
      </w:r>
      <w:r w:rsidRPr="005D2022">
        <w:rPr>
          <w:rFonts w:cs="Arial"/>
          <w:rtl/>
        </w:rPr>
        <w:t>י</w:t>
      </w:r>
      <w:r>
        <w:rPr>
          <w:rFonts w:cs="Arial" w:hint="cs"/>
          <w:rtl/>
        </w:rPr>
        <w:t>כולה</w:t>
      </w:r>
      <w:r w:rsidRPr="005D2022">
        <w:rPr>
          <w:rFonts w:cs="Arial"/>
          <w:rtl/>
        </w:rPr>
        <w:t xml:space="preserve"> לשמור את גיטה</w:t>
      </w:r>
      <w:r>
        <w:rPr>
          <w:rFonts w:cs="Arial" w:hint="cs"/>
          <w:rtl/>
        </w:rPr>
        <w:t>, ד</w:t>
      </w:r>
      <w:r w:rsidRPr="005D2022">
        <w:rPr>
          <w:rFonts w:cs="Arial"/>
          <w:rtl/>
        </w:rPr>
        <w:t>אז א</w:t>
      </w:r>
      <w:r>
        <w:rPr>
          <w:rFonts w:cs="Arial" w:hint="cs"/>
          <w:rtl/>
        </w:rPr>
        <w:t>ינו יכול</w:t>
      </w:r>
      <w:r w:rsidRPr="005D2022">
        <w:rPr>
          <w:rFonts w:cs="Arial"/>
          <w:rtl/>
        </w:rPr>
        <w:t xml:space="preserve"> לגרש אות</w:t>
      </w:r>
      <w:r>
        <w:rPr>
          <w:rFonts w:cs="Arial" w:hint="cs"/>
          <w:rtl/>
        </w:rPr>
        <w:t>ה</w:t>
      </w:r>
      <w:r w:rsidRPr="005D2022">
        <w:rPr>
          <w:rFonts w:cs="Arial"/>
          <w:rtl/>
        </w:rPr>
        <w:t xml:space="preserve"> מדאוריי</w:t>
      </w:r>
      <w:r>
        <w:rPr>
          <w:rFonts w:cs="Arial" w:hint="cs"/>
          <w:rtl/>
        </w:rPr>
        <w:t>תא.</w:t>
      </w:r>
    </w:p>
    <w:p w14:paraId="6BFBE584" w14:textId="77777777" w:rsidR="007D6167" w:rsidRDefault="007D6167" w:rsidP="007D6167">
      <w:pPr>
        <w:pStyle w:val="ab"/>
        <w:numPr>
          <w:ilvl w:val="0"/>
          <w:numId w:val="132"/>
        </w:numPr>
      </w:pPr>
      <w:r>
        <w:rPr>
          <w:rFonts w:hint="cs"/>
          <w:rtl/>
        </w:rPr>
        <w:t xml:space="preserve">ח"מ </w:t>
      </w:r>
      <w:r w:rsidRPr="008121F7">
        <w:rPr>
          <w:rFonts w:hint="cs"/>
          <w:sz w:val="16"/>
          <w:szCs w:val="16"/>
          <w:rtl/>
        </w:rPr>
        <w:t>(סקט"ו)</w:t>
      </w:r>
      <w:r>
        <w:rPr>
          <w:rFonts w:hint="cs"/>
          <w:rtl/>
        </w:rPr>
        <w:t xml:space="preserve">- </w:t>
      </w:r>
      <w:r w:rsidRPr="008121F7">
        <w:rPr>
          <w:rFonts w:cs="Arial"/>
          <w:rtl/>
        </w:rPr>
        <w:t>אין כאן סתירה דקמן כ' שאינו חייב לרפאותה היינו ברוצה ליתן לה כתוב</w:t>
      </w:r>
      <w:r>
        <w:rPr>
          <w:rFonts w:cs="Arial" w:hint="cs"/>
          <w:rtl/>
        </w:rPr>
        <w:t>ה,</w:t>
      </w:r>
      <w:r w:rsidRPr="008121F7">
        <w:rPr>
          <w:rFonts w:cs="Arial"/>
          <w:rtl/>
        </w:rPr>
        <w:t xml:space="preserve"> וכמ"ש המ"מ שם </w:t>
      </w:r>
      <w:r w:rsidRPr="00363731">
        <w:rPr>
          <w:rFonts w:cs="Arial" w:hint="cs"/>
          <w:sz w:val="16"/>
          <w:szCs w:val="16"/>
          <w:rtl/>
        </w:rPr>
        <w:t>(</w:t>
      </w:r>
      <w:r w:rsidRPr="00363731">
        <w:rPr>
          <w:rFonts w:cs="Arial"/>
          <w:sz w:val="16"/>
          <w:szCs w:val="16"/>
          <w:rtl/>
        </w:rPr>
        <w:t>פ"ג מה"ג</w:t>
      </w:r>
      <w:r w:rsidRPr="00363731">
        <w:rPr>
          <w:rFonts w:cs="Arial" w:hint="cs"/>
          <w:sz w:val="16"/>
          <w:szCs w:val="16"/>
          <w:rtl/>
        </w:rPr>
        <w:t>)</w:t>
      </w:r>
      <w:r>
        <w:rPr>
          <w:rFonts w:cs="Arial" w:hint="cs"/>
          <w:rtl/>
        </w:rPr>
        <w:t>.</w:t>
      </w:r>
      <w:r w:rsidRPr="008121F7">
        <w:rPr>
          <w:rFonts w:cs="Arial"/>
          <w:rtl/>
        </w:rPr>
        <w:t xml:space="preserve"> וכאן מיירי באין רוצה ליתן לה כתובה</w:t>
      </w:r>
      <w:r>
        <w:rPr>
          <w:rStyle w:val="a7"/>
          <w:rFonts w:cs="Arial"/>
          <w:rtl/>
        </w:rPr>
        <w:footnoteReference w:id="3323"/>
      </w:r>
      <w:r w:rsidRPr="008121F7">
        <w:rPr>
          <w:rFonts w:cs="Arial"/>
          <w:rtl/>
        </w:rPr>
        <w:t xml:space="preserve"> </w:t>
      </w:r>
      <w:r>
        <w:rPr>
          <w:rFonts w:cs="Arial" w:hint="cs"/>
          <w:sz w:val="16"/>
          <w:szCs w:val="16"/>
          <w:rtl/>
        </w:rPr>
        <w:t>(</w:t>
      </w:r>
      <w:r w:rsidRPr="00363731">
        <w:rPr>
          <w:rFonts w:cs="Arial"/>
          <w:sz w:val="16"/>
          <w:szCs w:val="16"/>
          <w:rtl/>
        </w:rPr>
        <w:t>ועיין לקמן סי' ע"ט</w:t>
      </w:r>
      <w:r>
        <w:rPr>
          <w:rFonts w:cs="Arial" w:hint="cs"/>
          <w:sz w:val="16"/>
          <w:szCs w:val="16"/>
          <w:rtl/>
        </w:rPr>
        <w:t>)</w:t>
      </w:r>
      <w:r>
        <w:rPr>
          <w:rFonts w:cs="Arial" w:hint="cs"/>
          <w:rtl/>
        </w:rPr>
        <w:t>.</w:t>
      </w:r>
    </w:p>
    <w:p w14:paraId="39A0FAF4" w14:textId="77777777" w:rsidR="007D6167" w:rsidRDefault="007D6167" w:rsidP="007D6167">
      <w:pPr>
        <w:pStyle w:val="ab"/>
        <w:numPr>
          <w:ilvl w:val="0"/>
          <w:numId w:val="132"/>
        </w:numPr>
      </w:pPr>
      <w:r>
        <w:rPr>
          <w:rFonts w:hint="cs"/>
          <w:rtl/>
        </w:rPr>
        <w:t xml:space="preserve">ט"ז </w:t>
      </w:r>
      <w:r w:rsidRPr="008121F7">
        <w:rPr>
          <w:rFonts w:hint="cs"/>
          <w:sz w:val="16"/>
          <w:szCs w:val="16"/>
          <w:rtl/>
        </w:rPr>
        <w:t>(סק"ה)</w:t>
      </w:r>
      <w:r>
        <w:rPr>
          <w:rFonts w:hint="cs"/>
          <w:rtl/>
        </w:rPr>
        <w:t xml:space="preserve">- </w:t>
      </w:r>
      <w:r w:rsidRPr="008121F7">
        <w:rPr>
          <w:rFonts w:cs="Arial"/>
          <w:rtl/>
        </w:rPr>
        <w:t>נראה לתרץ קושית רמ"א בזה דבסי' קי"ט אזיל לדעתו דיכול לגרשה בעל כרחה ממילא יכול לומר אניח כתובתה ביד בי"ד ומשלם מזה שכר הרופא</w:t>
      </w:r>
      <w:r>
        <w:rPr>
          <w:rFonts w:cs="Arial" w:hint="cs"/>
          <w:rtl/>
        </w:rPr>
        <w:t>.</w:t>
      </w:r>
      <w:r w:rsidRPr="008121F7">
        <w:rPr>
          <w:rFonts w:cs="Arial"/>
          <w:rtl/>
        </w:rPr>
        <w:t xml:space="preserve"> משא"כ כאן דמיירי בענין שאין מגרשין בע</w:t>
      </w:r>
      <w:r>
        <w:rPr>
          <w:rFonts w:cs="Arial" w:hint="cs"/>
          <w:rtl/>
        </w:rPr>
        <w:t xml:space="preserve">ל </w:t>
      </w:r>
      <w:r w:rsidRPr="008121F7">
        <w:rPr>
          <w:rFonts w:cs="Arial"/>
          <w:rtl/>
        </w:rPr>
        <w:t>כ</w:t>
      </w:r>
      <w:r>
        <w:rPr>
          <w:rFonts w:cs="Arial" w:hint="cs"/>
          <w:rtl/>
        </w:rPr>
        <w:t>רחה.</w:t>
      </w:r>
    </w:p>
    <w:p w14:paraId="6FC8422C" w14:textId="77777777" w:rsidR="007D6167" w:rsidRDefault="007D6167" w:rsidP="007D6167">
      <w:pPr>
        <w:pStyle w:val="ab"/>
        <w:numPr>
          <w:ilvl w:val="0"/>
          <w:numId w:val="132"/>
        </w:numPr>
        <w:rPr>
          <w:color w:val="FF0000"/>
        </w:rPr>
      </w:pPr>
      <w:r w:rsidRPr="008D419F">
        <w:rPr>
          <w:rFonts w:hint="cs"/>
          <w:color w:val="FF0000"/>
          <w:rtl/>
        </w:rPr>
        <w:t>להשלים ולתקן</w:t>
      </w:r>
    </w:p>
    <w:p w14:paraId="709F8286" w14:textId="77777777" w:rsidR="007D6167" w:rsidRPr="008D419F" w:rsidRDefault="007D6167" w:rsidP="007D6167">
      <w:pPr>
        <w:pStyle w:val="ab"/>
        <w:numPr>
          <w:ilvl w:val="0"/>
          <w:numId w:val="132"/>
        </w:numPr>
        <w:rPr>
          <w:color w:val="FF0000"/>
          <w:rtl/>
        </w:rPr>
      </w:pPr>
      <w:r>
        <w:rPr>
          <w:rFonts w:hint="cs"/>
          <w:color w:val="FF0000"/>
          <w:rtl/>
        </w:rPr>
        <w:t>מה דעת הרמ"ה והרשב"א אם גירש- האם מגורשת?</w:t>
      </w:r>
    </w:p>
    <w:p w14:paraId="325F484A" w14:textId="77777777" w:rsidR="007D6167" w:rsidRPr="0055465C" w:rsidRDefault="007D6167" w:rsidP="007D6167">
      <w:pPr>
        <w:rPr>
          <w:rFonts w:cs="Arial"/>
          <w:u w:val="single"/>
          <w:rtl/>
        </w:rPr>
      </w:pPr>
      <w:r w:rsidRPr="0055465C">
        <w:rPr>
          <w:rFonts w:cs="Arial" w:hint="cs"/>
          <w:u w:val="single"/>
          <w:rtl/>
        </w:rPr>
        <w:t xml:space="preserve">אשה </w:t>
      </w:r>
      <w:r>
        <w:rPr>
          <w:rFonts w:cs="Arial" w:hint="cs"/>
          <w:u w:val="single"/>
          <w:rtl/>
        </w:rPr>
        <w:t>עתים שוטה עתים חלומה - האם ניתן לגרשה:</w:t>
      </w:r>
    </w:p>
    <w:p w14:paraId="0C65113C" w14:textId="77777777" w:rsidR="007D6167" w:rsidRPr="00642940" w:rsidRDefault="007D6167" w:rsidP="00B75458">
      <w:pPr>
        <w:pStyle w:val="ab"/>
        <w:numPr>
          <w:ilvl w:val="0"/>
          <w:numId w:val="224"/>
        </w:numPr>
      </w:pPr>
      <w:r w:rsidRPr="00705D4B">
        <w:rPr>
          <w:rFonts w:cs="Arial"/>
          <w:rtl/>
        </w:rPr>
        <w:lastRenderedPageBreak/>
        <w:t>מהר"ם</w:t>
      </w:r>
      <w:r w:rsidRPr="00705D4B">
        <w:rPr>
          <w:rFonts w:cs="Arial"/>
          <w:sz w:val="16"/>
          <w:szCs w:val="16"/>
          <w:rtl/>
        </w:rPr>
        <w:t xml:space="preserve"> </w:t>
      </w:r>
      <w:r w:rsidRPr="00705D4B">
        <w:rPr>
          <w:rFonts w:cs="Arial" w:hint="cs"/>
          <w:sz w:val="16"/>
          <w:szCs w:val="16"/>
          <w:rtl/>
        </w:rPr>
        <w:t>(</w:t>
      </w:r>
      <w:r w:rsidRPr="00705D4B">
        <w:rPr>
          <w:rFonts w:cs="Arial"/>
          <w:sz w:val="16"/>
          <w:szCs w:val="16"/>
          <w:rtl/>
        </w:rPr>
        <w:t>דפוס פראג סי' תנה</w:t>
      </w:r>
      <w:r w:rsidRPr="00705D4B">
        <w:rPr>
          <w:rFonts w:cs="Arial" w:hint="cs"/>
          <w:sz w:val="16"/>
          <w:szCs w:val="16"/>
          <w:rtl/>
        </w:rPr>
        <w:t>,</w:t>
      </w:r>
      <w:r w:rsidRPr="00705D4B">
        <w:rPr>
          <w:rFonts w:cs="Arial"/>
          <w:sz w:val="16"/>
          <w:szCs w:val="16"/>
          <w:rtl/>
        </w:rPr>
        <w:t xml:space="preserve"> ואו</w:t>
      </w:r>
      <w:r>
        <w:rPr>
          <w:rFonts w:cs="Arial" w:hint="cs"/>
          <w:sz w:val="16"/>
          <w:szCs w:val="16"/>
          <w:rtl/>
        </w:rPr>
        <w:t>"</w:t>
      </w:r>
      <w:r w:rsidRPr="00705D4B">
        <w:rPr>
          <w:rFonts w:cs="Arial"/>
          <w:sz w:val="16"/>
          <w:szCs w:val="16"/>
          <w:rtl/>
        </w:rPr>
        <w:t>ז הל' גיטין סי' תשעח</w:t>
      </w:r>
      <w:r w:rsidRPr="00705D4B">
        <w:rPr>
          <w:rFonts w:cs="Arial" w:hint="cs"/>
          <w:sz w:val="16"/>
          <w:szCs w:val="16"/>
          <w:rtl/>
        </w:rPr>
        <w:t>, הביא הב"י בשם מצאתי כתוב</w:t>
      </w:r>
      <w:r w:rsidRPr="00705D4B">
        <w:rPr>
          <w:rFonts w:cs="Arial"/>
          <w:sz w:val="16"/>
          <w:szCs w:val="16"/>
          <w:rtl/>
        </w:rPr>
        <w:t>)</w:t>
      </w:r>
      <w:r>
        <w:rPr>
          <w:rFonts w:cs="Arial" w:hint="cs"/>
          <w:rtl/>
        </w:rPr>
        <w:t xml:space="preserve">- </w:t>
      </w:r>
      <w:r w:rsidRPr="00705D4B">
        <w:rPr>
          <w:rFonts w:cs="Arial"/>
          <w:rtl/>
        </w:rPr>
        <w:t>אשה שהיתה רגילה להיות מטורפת חדש או חדשים ואחר כך נתרפאת לגמרי</w:t>
      </w:r>
      <w:r>
        <w:rPr>
          <w:rFonts w:cs="Arial" w:hint="cs"/>
          <w:rtl/>
        </w:rPr>
        <w:t>.</w:t>
      </w:r>
      <w:r w:rsidRPr="00705D4B">
        <w:rPr>
          <w:rFonts w:cs="Arial"/>
          <w:rtl/>
        </w:rPr>
        <w:t xml:space="preserve"> ובשעה שקבלה גיטה שאלוה אם היתה יודעת מה הוא גט</w:t>
      </w:r>
      <w:r>
        <w:rPr>
          <w:rFonts w:cs="Arial" w:hint="cs"/>
          <w:rtl/>
        </w:rPr>
        <w:t>,</w:t>
      </w:r>
      <w:r w:rsidRPr="00705D4B">
        <w:rPr>
          <w:rFonts w:cs="Arial"/>
          <w:rtl/>
        </w:rPr>
        <w:t xml:space="preserve"> והשיבה על ראשון ראשון ועל אחרון אחרון</w:t>
      </w:r>
      <w:r>
        <w:rPr>
          <w:rFonts w:cs="Arial" w:hint="cs"/>
          <w:rtl/>
        </w:rPr>
        <w:t>.</w:t>
      </w:r>
      <w:r w:rsidRPr="00705D4B">
        <w:rPr>
          <w:rFonts w:cs="Arial"/>
          <w:rtl/>
        </w:rPr>
        <w:t xml:space="preserve"> וגם מתחלה מיאנה לקבל גט שהחותמות שהחזיר לה בעלה היו ביד אמה פן תעכב אותם האם</w:t>
      </w:r>
      <w:r>
        <w:rPr>
          <w:rFonts w:cs="Arial" w:hint="cs"/>
          <w:rtl/>
        </w:rPr>
        <w:t>.</w:t>
      </w:r>
      <w:r w:rsidRPr="00705D4B">
        <w:rPr>
          <w:rFonts w:cs="Arial"/>
          <w:rtl/>
        </w:rPr>
        <w:t xml:space="preserve"> והשיב רבינו שמשון ב"ר אברהם דודאי דעת</w:t>
      </w:r>
      <w:r>
        <w:rPr>
          <w:rFonts w:cs="Arial" w:hint="cs"/>
          <w:rtl/>
        </w:rPr>
        <w:t>ה</w:t>
      </w:r>
      <w:r w:rsidRPr="00705D4B">
        <w:rPr>
          <w:rFonts w:cs="Arial"/>
          <w:rtl/>
        </w:rPr>
        <w:t xml:space="preserve"> צילותא הוה לה</w:t>
      </w:r>
      <w:r>
        <w:rPr>
          <w:rFonts w:cs="Arial" w:hint="cs"/>
          <w:rtl/>
        </w:rPr>
        <w:t>,</w:t>
      </w:r>
      <w:r w:rsidRPr="00705D4B">
        <w:rPr>
          <w:rFonts w:cs="Arial"/>
          <w:rtl/>
        </w:rPr>
        <w:t xml:space="preserve"> ואפילו </w:t>
      </w:r>
      <w:r>
        <w:rPr>
          <w:rFonts w:cs="Arial" w:hint="cs"/>
          <w:rtl/>
        </w:rPr>
        <w:t xml:space="preserve">[אינה] </w:t>
      </w:r>
      <w:r w:rsidRPr="00705D4B">
        <w:rPr>
          <w:rFonts w:cs="Arial"/>
          <w:rtl/>
        </w:rPr>
        <w:t>מבחנת בין גיטה לדבר אחר חשיבא יודעת לשמור גיטה בפרק התקבל (גיטין סד:)</w:t>
      </w:r>
      <w:r>
        <w:rPr>
          <w:rFonts w:cs="Arial" w:hint="cs"/>
          <w:rtl/>
        </w:rPr>
        <w:t>.</w:t>
      </w:r>
      <w:r w:rsidRPr="00705D4B">
        <w:rPr>
          <w:rFonts w:cs="Arial"/>
          <w:rtl/>
        </w:rPr>
        <w:t xml:space="preserve"> אלא היכא דאין יודעת לשמור גיטה </w:t>
      </w:r>
      <w:r>
        <w:rPr>
          <w:rFonts w:cs="Arial" w:hint="cs"/>
          <w:rtl/>
        </w:rPr>
        <w:t xml:space="preserve">- </w:t>
      </w:r>
      <w:r w:rsidRPr="00705D4B">
        <w:rPr>
          <w:rFonts w:cs="Arial"/>
          <w:rtl/>
        </w:rPr>
        <w:t>אינה מתגרשת</w:t>
      </w:r>
      <w:r>
        <w:rPr>
          <w:rFonts w:cs="Arial" w:hint="cs"/>
          <w:rtl/>
        </w:rPr>
        <w:t>,</w:t>
      </w:r>
      <w:r w:rsidRPr="00705D4B">
        <w:rPr>
          <w:rFonts w:cs="Arial"/>
          <w:rtl/>
        </w:rPr>
        <w:t xml:space="preserve"> ועתים שוטה ועתים חלומה כך הוא דינה</w:t>
      </w:r>
      <w:r>
        <w:rPr>
          <w:rFonts w:cs="Arial" w:hint="cs"/>
          <w:rtl/>
        </w:rPr>
        <w:t>,</w:t>
      </w:r>
      <w:r w:rsidRPr="00705D4B">
        <w:rPr>
          <w:rFonts w:cs="Arial"/>
          <w:rtl/>
        </w:rPr>
        <w:t xml:space="preserve"> כדמוכח פרק חרש בירושלמי (יבמות פי"ד ה"א)</w:t>
      </w:r>
      <w:r>
        <w:rPr>
          <w:rFonts w:cs="Arial" w:hint="cs"/>
          <w:rtl/>
        </w:rPr>
        <w:t>.</w:t>
      </w:r>
      <w:r w:rsidRPr="00705D4B">
        <w:rPr>
          <w:rFonts w:cs="Arial"/>
          <w:rtl/>
        </w:rPr>
        <w:t xml:space="preserve"> ואני איני רגיל להפך הגירסא</w:t>
      </w:r>
      <w:r>
        <w:rPr>
          <w:rFonts w:cs="Arial" w:hint="cs"/>
          <w:rtl/>
        </w:rPr>
        <w:t>,</w:t>
      </w:r>
      <w:r w:rsidRPr="00705D4B">
        <w:rPr>
          <w:rFonts w:cs="Arial"/>
          <w:rtl/>
        </w:rPr>
        <w:t xml:space="preserve"> אלא שדילג הסופר </w:t>
      </w:r>
      <w:r>
        <w:rPr>
          <w:rFonts w:cs="Arial" w:hint="cs"/>
          <w:rtl/>
        </w:rPr>
        <w:t>'</w:t>
      </w:r>
      <w:r w:rsidRPr="00705D4B">
        <w:rPr>
          <w:rFonts w:cs="Arial"/>
          <w:rtl/>
        </w:rPr>
        <w:t>יכולה לשמור גיטה</w:t>
      </w:r>
      <w:r>
        <w:rPr>
          <w:rFonts w:cs="Arial" w:hint="cs"/>
          <w:rtl/>
        </w:rPr>
        <w:t>'</w:t>
      </w:r>
      <w:r w:rsidRPr="00705D4B">
        <w:rPr>
          <w:rFonts w:cs="Arial"/>
          <w:rtl/>
        </w:rPr>
        <w:t xml:space="preserve"> שראה שני פעמים כתוב לפניו </w:t>
      </w:r>
      <w:r>
        <w:rPr>
          <w:rFonts w:cs="Arial" w:hint="cs"/>
          <w:rtl/>
        </w:rPr>
        <w:t>'</w:t>
      </w:r>
      <w:r w:rsidRPr="00705D4B">
        <w:rPr>
          <w:rFonts w:cs="Arial"/>
          <w:rtl/>
        </w:rPr>
        <w:t>יכולה לשמור את גיטה</w:t>
      </w:r>
      <w:r>
        <w:rPr>
          <w:rFonts w:cs="Arial" w:hint="cs"/>
          <w:rtl/>
        </w:rPr>
        <w:t>',</w:t>
      </w:r>
      <w:r w:rsidRPr="00705D4B">
        <w:rPr>
          <w:rFonts w:cs="Arial"/>
          <w:rtl/>
        </w:rPr>
        <w:t xml:space="preserve"> וחשב בלבו שאחד טעות ודילגו</w:t>
      </w:r>
      <w:r>
        <w:rPr>
          <w:rFonts w:cs="Arial" w:hint="cs"/>
          <w:rtl/>
        </w:rPr>
        <w:t>.</w:t>
      </w:r>
      <w:r w:rsidRPr="00705D4B">
        <w:rPr>
          <w:rFonts w:cs="Arial"/>
          <w:rtl/>
        </w:rPr>
        <w:t xml:space="preserve"> וכך היא הגירסא </w:t>
      </w:r>
      <w:r>
        <w:rPr>
          <w:rFonts w:cs="Arial" w:hint="cs"/>
          <w:rtl/>
        </w:rPr>
        <w:t>'</w:t>
      </w:r>
      <w:r w:rsidRPr="00705D4B">
        <w:rPr>
          <w:rFonts w:cs="Arial"/>
          <w:rtl/>
        </w:rPr>
        <w:t>מאן דאמר מפני גרירא אסור מאן דאמר מפני שאינה יכולה לשמור עתים חלומה ויכולה לשמור את גיטה</w:t>
      </w:r>
      <w:r>
        <w:rPr>
          <w:rFonts w:cs="Arial" w:hint="cs"/>
          <w:rtl/>
        </w:rPr>
        <w:t>'.</w:t>
      </w:r>
      <w:r w:rsidRPr="00705D4B">
        <w:rPr>
          <w:rFonts w:cs="Arial"/>
          <w:rtl/>
        </w:rPr>
        <w:t xml:space="preserve"> וכל הנך תרתי מילי</w:t>
      </w:r>
      <w:r>
        <w:rPr>
          <w:rFonts w:cs="Arial" w:hint="cs"/>
          <w:rtl/>
        </w:rPr>
        <w:t xml:space="preserve">, </w:t>
      </w:r>
      <w:r w:rsidRPr="00705D4B">
        <w:rPr>
          <w:rFonts w:cs="Arial"/>
          <w:rtl/>
        </w:rPr>
        <w:t>מפני גרירא אינו גט</w:t>
      </w:r>
      <w:r>
        <w:rPr>
          <w:rFonts w:cs="Arial" w:hint="cs"/>
          <w:rtl/>
        </w:rPr>
        <w:t>.</w:t>
      </w:r>
      <w:r w:rsidRPr="00705D4B">
        <w:rPr>
          <w:rFonts w:cs="Arial"/>
          <w:rtl/>
        </w:rPr>
        <w:t xml:space="preserve"> ואלו הן השלשה</w:t>
      </w:r>
      <w:r>
        <w:rPr>
          <w:rFonts w:cs="Arial" w:hint="cs"/>
          <w:rtl/>
        </w:rPr>
        <w:t>:</w:t>
      </w:r>
      <w:r w:rsidRPr="00705D4B">
        <w:rPr>
          <w:rFonts w:cs="Arial"/>
          <w:rtl/>
        </w:rPr>
        <w:t xml:space="preserve"> חדא</w:t>
      </w:r>
      <w:r>
        <w:rPr>
          <w:rFonts w:cs="Arial" w:hint="cs"/>
          <w:rtl/>
        </w:rPr>
        <w:t>,</w:t>
      </w:r>
      <w:r w:rsidRPr="00705D4B">
        <w:rPr>
          <w:rFonts w:cs="Arial"/>
          <w:rtl/>
        </w:rPr>
        <w:t xml:space="preserve"> דיודעת לשמור גיטה ואינה יודעת לשמור עצמה</w:t>
      </w:r>
      <w:r>
        <w:rPr>
          <w:rFonts w:cs="Arial" w:hint="cs"/>
          <w:rtl/>
        </w:rPr>
        <w:t>.</w:t>
      </w:r>
      <w:r w:rsidRPr="00705D4B">
        <w:rPr>
          <w:rFonts w:cs="Arial"/>
          <w:rtl/>
        </w:rPr>
        <w:t xml:space="preserve"> וחדא</w:t>
      </w:r>
      <w:r>
        <w:rPr>
          <w:rFonts w:cs="Arial" w:hint="cs"/>
          <w:rtl/>
        </w:rPr>
        <w:t>,</w:t>
      </w:r>
      <w:r w:rsidRPr="00705D4B">
        <w:rPr>
          <w:rFonts w:cs="Arial"/>
          <w:rtl/>
        </w:rPr>
        <w:t xml:space="preserve"> אין יודעת לשמור את גיטה ולא את עצמה ויש לה אב והיא קטנה ארוסה</w:t>
      </w:r>
      <w:r>
        <w:rPr>
          <w:rFonts w:cs="Arial" w:hint="cs"/>
          <w:rtl/>
        </w:rPr>
        <w:t>.</w:t>
      </w:r>
      <w:r w:rsidRPr="00705D4B">
        <w:rPr>
          <w:rFonts w:cs="Arial"/>
          <w:rtl/>
        </w:rPr>
        <w:t xml:space="preserve"> ואידך</w:t>
      </w:r>
      <w:r>
        <w:rPr>
          <w:rFonts w:cs="Arial" w:hint="cs"/>
          <w:rtl/>
        </w:rPr>
        <w:t>,</w:t>
      </w:r>
      <w:r w:rsidRPr="00705D4B">
        <w:rPr>
          <w:rFonts w:cs="Arial"/>
          <w:rtl/>
        </w:rPr>
        <w:t xml:space="preserve"> פעמים חלומה פעמים שוטה</w:t>
      </w:r>
      <w:r>
        <w:rPr>
          <w:rFonts w:cs="Arial" w:hint="cs"/>
          <w:rtl/>
        </w:rPr>
        <w:t>.</w:t>
      </w:r>
      <w:r w:rsidRPr="00705D4B">
        <w:rPr>
          <w:rFonts w:cs="Arial"/>
          <w:rtl/>
        </w:rPr>
        <w:t xml:space="preserve"> וקיימא לן דמפני גרירא</w:t>
      </w:r>
      <w:r>
        <w:rPr>
          <w:rFonts w:cs="Arial" w:hint="cs"/>
          <w:rtl/>
        </w:rPr>
        <w:t>.</w:t>
      </w:r>
      <w:r w:rsidRPr="00705D4B">
        <w:rPr>
          <w:rFonts w:cs="Arial"/>
          <w:rtl/>
        </w:rPr>
        <w:t xml:space="preserve"> דהיינו רבי יצחק ורבי ינאי שהובאו דבריהם בתלמוד (יבמות קיג:)</w:t>
      </w:r>
      <w:r>
        <w:rPr>
          <w:rFonts w:cs="Arial" w:hint="cs"/>
          <w:rtl/>
        </w:rPr>
        <w:t>.</w:t>
      </w:r>
      <w:r w:rsidRPr="00705D4B">
        <w:rPr>
          <w:rFonts w:cs="Arial"/>
          <w:rtl/>
        </w:rPr>
        <w:t xml:space="preserve"> ודברי רבי זירא לא הובאו בתלמוד לחלוק עליו</w:t>
      </w:r>
      <w:r>
        <w:rPr>
          <w:rFonts w:cs="Arial" w:hint="cs"/>
          <w:rtl/>
        </w:rPr>
        <w:t>.</w:t>
      </w:r>
      <w:r w:rsidRPr="00705D4B">
        <w:rPr>
          <w:rFonts w:cs="Arial"/>
          <w:rtl/>
        </w:rPr>
        <w:t xml:space="preserve"> והאי עובדא דאתא לידן</w:t>
      </w:r>
      <w:r>
        <w:rPr>
          <w:rFonts w:cs="Arial" w:hint="cs"/>
          <w:rtl/>
        </w:rPr>
        <w:t>,</w:t>
      </w:r>
      <w:r w:rsidRPr="00705D4B">
        <w:rPr>
          <w:rFonts w:cs="Arial"/>
          <w:rtl/>
        </w:rPr>
        <w:t xml:space="preserve"> אם עתים חלומה עתים שוטה </w:t>
      </w:r>
      <w:r>
        <w:rPr>
          <w:rFonts w:cs="Arial" w:hint="cs"/>
          <w:rtl/>
        </w:rPr>
        <w:t xml:space="preserve">- </w:t>
      </w:r>
      <w:r w:rsidRPr="00705D4B">
        <w:rPr>
          <w:rFonts w:cs="Arial"/>
          <w:rtl/>
        </w:rPr>
        <w:t>אינה מתגרשת</w:t>
      </w:r>
      <w:r>
        <w:rPr>
          <w:rFonts w:cs="Arial" w:hint="cs"/>
          <w:rtl/>
        </w:rPr>
        <w:t>.</w:t>
      </w:r>
      <w:r w:rsidRPr="00705D4B">
        <w:rPr>
          <w:rFonts w:cs="Arial"/>
          <w:rtl/>
        </w:rPr>
        <w:t xml:space="preserve"> אבל אם באקראי בעלמא נשתטית ונתרפאת ונשתטית ושוב נתרפאת</w:t>
      </w:r>
      <w:r>
        <w:rPr>
          <w:rFonts w:cs="Arial" w:hint="cs"/>
          <w:rtl/>
        </w:rPr>
        <w:t>,</w:t>
      </w:r>
      <w:r w:rsidRPr="00705D4B">
        <w:rPr>
          <w:rFonts w:cs="Arial"/>
          <w:rtl/>
        </w:rPr>
        <w:t xml:space="preserve"> הואיל ואין לה וסת </w:t>
      </w:r>
      <w:r>
        <w:rPr>
          <w:rFonts w:cs="Arial" w:hint="cs"/>
          <w:rtl/>
        </w:rPr>
        <w:t xml:space="preserve">- </w:t>
      </w:r>
      <w:r w:rsidRPr="00705D4B">
        <w:rPr>
          <w:rFonts w:cs="Arial"/>
          <w:rtl/>
        </w:rPr>
        <w:t>אין לחוש שתחזור לשטות מחמת תרי זימני</w:t>
      </w:r>
      <w:r>
        <w:rPr>
          <w:rFonts w:cs="Arial" w:hint="cs"/>
          <w:rtl/>
        </w:rPr>
        <w:t>.</w:t>
      </w:r>
      <w:r w:rsidRPr="00705D4B">
        <w:rPr>
          <w:rFonts w:cs="Arial"/>
          <w:rtl/>
        </w:rPr>
        <w:t xml:space="preserve"> וכהאי גוונא לא מקריא עתים חלומה עתים שוטה</w:t>
      </w:r>
      <w:r>
        <w:rPr>
          <w:rFonts w:cs="Arial" w:hint="cs"/>
          <w:rtl/>
        </w:rPr>
        <w:t>.</w:t>
      </w:r>
      <w:r w:rsidRPr="00705D4B">
        <w:rPr>
          <w:rFonts w:cs="Arial"/>
          <w:rtl/>
        </w:rPr>
        <w:t xml:space="preserve"> ושלום שמשון בר ר' אברהם</w:t>
      </w:r>
      <w:r>
        <w:rPr>
          <w:rStyle w:val="a7"/>
          <w:rFonts w:cs="Arial"/>
          <w:rtl/>
        </w:rPr>
        <w:footnoteReference w:id="3324"/>
      </w:r>
      <w:r>
        <w:rPr>
          <w:rFonts w:cs="Arial" w:hint="cs"/>
          <w:rtl/>
        </w:rPr>
        <w:t>.</w:t>
      </w:r>
      <w:r w:rsidRPr="00705D4B">
        <w:rPr>
          <w:rFonts w:cs="Arial"/>
          <w:rtl/>
        </w:rPr>
        <w:t xml:space="preserve"> </w:t>
      </w:r>
    </w:p>
    <w:p w14:paraId="1C52CFD0" w14:textId="77777777" w:rsidR="007D6167" w:rsidRPr="00FE5F31" w:rsidRDefault="007D6167" w:rsidP="007D6167">
      <w:pPr>
        <w:rPr>
          <w:rFonts w:cs="Arial"/>
          <w:rtl/>
        </w:rPr>
      </w:pPr>
      <w:bookmarkStart w:id="15" w:name="_Hlk19806916"/>
      <w:r w:rsidRPr="00C4747B">
        <w:rPr>
          <w:rFonts w:cs="Arial"/>
          <w:b/>
          <w:bCs/>
          <w:rtl/>
        </w:rPr>
        <w:t xml:space="preserve">חגיגה </w:t>
      </w:r>
      <w:r w:rsidRPr="00C4747B">
        <w:rPr>
          <w:rFonts w:cs="Arial"/>
          <w:b/>
          <w:bCs/>
          <w:sz w:val="16"/>
          <w:szCs w:val="16"/>
          <w:rtl/>
        </w:rPr>
        <w:t>(</w:t>
      </w:r>
      <w:r w:rsidRPr="00C4747B">
        <w:rPr>
          <w:rFonts w:cs="Arial" w:hint="cs"/>
          <w:b/>
          <w:bCs/>
          <w:sz w:val="16"/>
          <w:szCs w:val="16"/>
          <w:rtl/>
        </w:rPr>
        <w:t xml:space="preserve">פ"ק) </w:t>
      </w:r>
      <w:r w:rsidRPr="00C4747B">
        <w:rPr>
          <w:rFonts w:cs="Arial"/>
          <w:b/>
          <w:bCs/>
          <w:rtl/>
        </w:rPr>
        <w:t>ג</w:t>
      </w:r>
      <w:r>
        <w:rPr>
          <w:rStyle w:val="a7"/>
          <w:rFonts w:cs="Arial"/>
          <w:b/>
          <w:bCs/>
          <w:rtl/>
        </w:rPr>
        <w:footnoteReference w:id="3325"/>
      </w:r>
      <w:r w:rsidRPr="00C4747B">
        <w:rPr>
          <w:rFonts w:cs="Arial" w:hint="cs"/>
          <w:b/>
          <w:bCs/>
          <w:rtl/>
        </w:rPr>
        <w:t xml:space="preserve"> ע"ב</w:t>
      </w:r>
      <w:r w:rsidRPr="00C4747B">
        <w:rPr>
          <w:rFonts w:cs="Arial"/>
          <w:b/>
          <w:bCs/>
          <w:rtl/>
        </w:rPr>
        <w:t>:</w:t>
      </w:r>
      <w:r>
        <w:rPr>
          <w:rFonts w:cs="Arial"/>
          <w:rtl/>
        </w:rPr>
        <w:t xml:space="preserve"> </w:t>
      </w:r>
      <w:r w:rsidRPr="001B7B13">
        <w:rPr>
          <w:rFonts w:cs="Arial"/>
          <w:rtl/>
        </w:rPr>
        <w:t xml:space="preserve">תנו רבנן: איזהו שוטה? היוצא יחידי בלילה, והלן בבית הקברות, והמקרע את כסותו. איתמר, </w:t>
      </w:r>
      <w:r w:rsidRPr="001B7B13">
        <w:rPr>
          <w:rFonts w:cs="Arial"/>
          <w:u w:val="single"/>
          <w:rtl/>
        </w:rPr>
        <w:t>רב הונא אמר</w:t>
      </w:r>
      <w:r w:rsidRPr="001B7B13">
        <w:rPr>
          <w:rFonts w:cs="Arial"/>
          <w:rtl/>
        </w:rPr>
        <w:t xml:space="preserve">: עד שיהו כולן בבת אחת. </w:t>
      </w:r>
      <w:r w:rsidRPr="001B7B13">
        <w:rPr>
          <w:rFonts w:cs="Arial"/>
          <w:u w:val="single"/>
          <w:rtl/>
        </w:rPr>
        <w:t>רבי יוחנן אמר</w:t>
      </w:r>
      <w:r w:rsidRPr="001B7B13">
        <w:rPr>
          <w:rFonts w:cs="Arial"/>
          <w:rtl/>
        </w:rPr>
        <w:t>: אפילו באחת מהן. היכי דמי</w:t>
      </w:r>
      <w:r>
        <w:rPr>
          <w:rStyle w:val="a7"/>
          <w:rFonts w:cs="Arial"/>
          <w:rtl/>
        </w:rPr>
        <w:footnoteReference w:id="3326"/>
      </w:r>
      <w:r w:rsidRPr="001B7B13">
        <w:rPr>
          <w:rFonts w:cs="Arial"/>
          <w:rtl/>
        </w:rPr>
        <w:t xml:space="preserve">? אי דעביד להו דרך שטות - אפילו בחדא נמי. אי דלא עביד להו דרך שטות - אפילו כולהו נמי לא! לעולם דקא עביד להו דרך שטות, והלן בבית הקברות - אימור כדי שתשרה עליו רוח טומאה הוא דקא עביד, והיוצא יחידי בלילה - אימור גנדריפס אחדיה, והמקרע את כסותו - אימור בעל מחשבות הוא. כיון דעבדינהו לכולהו - הוה להו </w:t>
      </w:r>
      <w:r>
        <w:rPr>
          <w:rFonts w:cs="Arial" w:hint="cs"/>
          <w:sz w:val="14"/>
          <w:szCs w:val="14"/>
          <w:rtl/>
        </w:rPr>
        <w:t>(ד.)</w:t>
      </w:r>
      <w:r>
        <w:rPr>
          <w:rFonts w:cs="Arial" w:hint="cs"/>
          <w:rtl/>
        </w:rPr>
        <w:t xml:space="preserve"> </w:t>
      </w:r>
      <w:r w:rsidRPr="001B7B13">
        <w:rPr>
          <w:rFonts w:cs="Arial"/>
          <w:rtl/>
        </w:rPr>
        <w:t xml:space="preserve">כמי שנגח שור חמור וגמל, ונעשה מועד לכל. </w:t>
      </w:r>
      <w:r w:rsidRPr="001B7B13">
        <w:rPr>
          <w:rFonts w:cs="Arial"/>
          <w:u w:val="single"/>
          <w:rtl/>
        </w:rPr>
        <w:t>אמר רב פפא</w:t>
      </w:r>
      <w:r w:rsidRPr="001B7B13">
        <w:rPr>
          <w:rFonts w:cs="Arial"/>
          <w:rtl/>
        </w:rPr>
        <w:t>: אי שמיע ליה לרב הונא הא דתניא: אי זהו שוטה - זה המאבד כל מה שנותנים לו, הוה הדר ביה. איבעיא להו: כי הוה הדר ביה - ממקרע כסותו הוא דהוה הדר ביה, דדמיא להא, או דלמא מכולהו הוה הדר? תיקו.</w:t>
      </w:r>
      <w:r>
        <w:rPr>
          <w:rFonts w:cs="Arial" w:hint="cs"/>
          <w:rtl/>
        </w:rPr>
        <w:t xml:space="preserve"> </w:t>
      </w:r>
      <w:r w:rsidRPr="00FE5F31">
        <w:rPr>
          <w:rFonts w:cs="Arial" w:hint="cs"/>
          <w:sz w:val="16"/>
          <w:szCs w:val="16"/>
          <w:rtl/>
        </w:rPr>
        <w:t>(</w:t>
      </w:r>
      <w:r w:rsidRPr="00FE5F31">
        <w:rPr>
          <w:rFonts w:cs="Arial"/>
          <w:sz w:val="16"/>
          <w:szCs w:val="16"/>
          <w:rtl/>
        </w:rPr>
        <w:t>וכרבי יוחנן קיי</w:t>
      </w:r>
      <w:r w:rsidRPr="00FE5F31">
        <w:rPr>
          <w:rFonts w:cs="Arial" w:hint="cs"/>
          <w:sz w:val="16"/>
          <w:szCs w:val="16"/>
          <w:rtl/>
        </w:rPr>
        <w:t>"</w:t>
      </w:r>
      <w:r w:rsidRPr="00FE5F31">
        <w:rPr>
          <w:rFonts w:cs="Arial"/>
          <w:sz w:val="16"/>
          <w:szCs w:val="16"/>
          <w:rtl/>
        </w:rPr>
        <w:t>ל</w:t>
      </w:r>
      <w:r w:rsidRPr="00FE5F31">
        <w:rPr>
          <w:rFonts w:cs="Arial" w:hint="cs"/>
          <w:sz w:val="16"/>
          <w:szCs w:val="16"/>
          <w:rtl/>
        </w:rPr>
        <w:t>,</w:t>
      </w:r>
      <w:r w:rsidRPr="00FE5F31">
        <w:rPr>
          <w:rFonts w:cs="Arial"/>
          <w:sz w:val="16"/>
          <w:szCs w:val="16"/>
          <w:rtl/>
        </w:rPr>
        <w:t xml:space="preserve"> דהלכתא כותיה לגבי רב (ביצה ד:) דרביה דרב הונא הוא (שבת קכח.) וכל שכן לגבי רב הונא</w:t>
      </w:r>
      <w:r w:rsidRPr="00FE5F31">
        <w:rPr>
          <w:rFonts w:cs="Arial" w:hint="cs"/>
          <w:sz w:val="16"/>
          <w:szCs w:val="16"/>
          <w:rtl/>
        </w:rPr>
        <w:t>,</w:t>
      </w:r>
      <w:r w:rsidRPr="00FE5F31">
        <w:rPr>
          <w:rFonts w:cs="Arial"/>
          <w:sz w:val="16"/>
          <w:szCs w:val="16"/>
          <w:rtl/>
        </w:rPr>
        <w:t xml:space="preserve"> וכ</w:t>
      </w:r>
      <w:r w:rsidRPr="00FE5F31">
        <w:rPr>
          <w:rFonts w:cs="Arial" w:hint="cs"/>
          <w:sz w:val="16"/>
          <w:szCs w:val="16"/>
          <w:rtl/>
        </w:rPr>
        <w:t>"</w:t>
      </w:r>
      <w:r w:rsidRPr="00FE5F31">
        <w:rPr>
          <w:rFonts w:cs="Arial"/>
          <w:sz w:val="16"/>
          <w:szCs w:val="16"/>
          <w:rtl/>
        </w:rPr>
        <w:t>פ הרא"ש בריש חולין (פ"א סי' ד)</w:t>
      </w:r>
      <w:r>
        <w:rPr>
          <w:rFonts w:cs="Arial" w:hint="cs"/>
          <w:sz w:val="16"/>
          <w:szCs w:val="16"/>
          <w:rtl/>
        </w:rPr>
        <w:t>,</w:t>
      </w:r>
      <w:r w:rsidRPr="00FE5F31">
        <w:rPr>
          <w:rFonts w:cs="Arial"/>
          <w:sz w:val="16"/>
          <w:szCs w:val="16"/>
          <w:rtl/>
        </w:rPr>
        <w:t xml:space="preserve"> </w:t>
      </w:r>
      <w:r w:rsidRPr="00E90083">
        <w:rPr>
          <w:rFonts w:cs="Arial"/>
          <w:sz w:val="16"/>
          <w:szCs w:val="16"/>
          <w:rtl/>
        </w:rPr>
        <w:t>וכן נראה מדברי הרמב"ם</w:t>
      </w:r>
      <w:r>
        <w:rPr>
          <w:rFonts w:cs="Arial" w:hint="cs"/>
          <w:sz w:val="16"/>
          <w:szCs w:val="16"/>
          <w:rtl/>
        </w:rPr>
        <w:t xml:space="preserve"> (פ"ט מהל' עדות ה"ט)</w:t>
      </w:r>
      <w:r w:rsidRPr="00E90083">
        <w:rPr>
          <w:rFonts w:cs="Arial"/>
          <w:sz w:val="16"/>
          <w:szCs w:val="16"/>
          <w:rtl/>
        </w:rPr>
        <w:t xml:space="preserve"> דהלכה כרבי יוחנן</w:t>
      </w:r>
      <w:r>
        <w:rPr>
          <w:rStyle w:val="a7"/>
          <w:rFonts w:cs="Arial"/>
          <w:sz w:val="16"/>
          <w:szCs w:val="16"/>
          <w:rtl/>
        </w:rPr>
        <w:footnoteReference w:id="3327"/>
      </w:r>
      <w:r>
        <w:rPr>
          <w:rFonts w:cs="Arial" w:hint="cs"/>
          <w:sz w:val="16"/>
          <w:szCs w:val="16"/>
          <w:rtl/>
        </w:rPr>
        <w:t>.</w:t>
      </w:r>
      <w:r w:rsidRPr="00E90083">
        <w:rPr>
          <w:rFonts w:cs="Arial"/>
          <w:sz w:val="16"/>
          <w:szCs w:val="16"/>
          <w:rtl/>
        </w:rPr>
        <w:t xml:space="preserve"> </w:t>
      </w:r>
      <w:r w:rsidRPr="00FE5F31">
        <w:rPr>
          <w:rFonts w:cs="Arial"/>
          <w:sz w:val="16"/>
          <w:szCs w:val="16"/>
          <w:rtl/>
        </w:rPr>
        <w:t xml:space="preserve">ונתבאר שם </w:t>
      </w:r>
      <w:r>
        <w:rPr>
          <w:rFonts w:cs="Arial" w:hint="cs"/>
          <w:sz w:val="14"/>
          <w:szCs w:val="14"/>
          <w:rtl/>
        </w:rPr>
        <w:t xml:space="preserve">{בגמ'} </w:t>
      </w:r>
      <w:r w:rsidRPr="00FE5F31">
        <w:rPr>
          <w:rFonts w:cs="Arial"/>
          <w:sz w:val="16"/>
          <w:szCs w:val="16"/>
          <w:rtl/>
        </w:rPr>
        <w:t>דדוקא בדעבד לה דרך שטות. ונראה לי שאין הכונה שבפעם אחת שיעשה אחד מאלו דרך שטות מיקרי שוטה אלא כשדרכו בכך</w:t>
      </w:r>
      <w:r>
        <w:rPr>
          <w:rFonts w:cs="Arial" w:hint="cs"/>
          <w:sz w:val="16"/>
          <w:szCs w:val="16"/>
          <w:rtl/>
        </w:rPr>
        <w:t>,</w:t>
      </w:r>
      <w:r w:rsidRPr="00FE5F31">
        <w:rPr>
          <w:rFonts w:cs="Arial"/>
          <w:sz w:val="16"/>
          <w:szCs w:val="16"/>
          <w:rtl/>
        </w:rPr>
        <w:t xml:space="preserve"> וזהו שכתב הרמב"ם ז"ל (עדות פ"ט ה"ט) ונמצאת דעתו משובשת תמיד</w:t>
      </w:r>
      <w:r w:rsidRPr="00FE5F31">
        <w:rPr>
          <w:rFonts w:cs="Arial" w:hint="cs"/>
          <w:sz w:val="16"/>
          <w:szCs w:val="16"/>
          <w:rtl/>
        </w:rPr>
        <w:t xml:space="preserve"> </w:t>
      </w:r>
      <w:r w:rsidRPr="00FE5F31">
        <w:rPr>
          <w:rFonts w:cs="Arial"/>
          <w:sz w:val="16"/>
          <w:szCs w:val="16"/>
          <w:rtl/>
        </w:rPr>
        <w:t>כנ"ל</w:t>
      </w:r>
      <w:r>
        <w:rPr>
          <w:rFonts w:cs="Arial" w:hint="cs"/>
          <w:sz w:val="16"/>
          <w:szCs w:val="16"/>
          <w:rtl/>
        </w:rPr>
        <w:t>, ב"י (כאן ובסי' קיט ס"ו))</w:t>
      </w:r>
      <w:bookmarkEnd w:id="15"/>
    </w:p>
    <w:p w14:paraId="2FFB2E10" w14:textId="77777777" w:rsidR="007D6167" w:rsidRDefault="007D6167" w:rsidP="007D6167">
      <w:pPr>
        <w:rPr>
          <w:rFonts w:cs="Arial"/>
          <w:rtl/>
        </w:rPr>
      </w:pPr>
      <w:bookmarkStart w:id="16" w:name="_Hlk19807084"/>
      <w:r w:rsidRPr="004F7400">
        <w:rPr>
          <w:rFonts w:cs="Arial" w:hint="cs"/>
          <w:u w:val="single"/>
          <w:rtl/>
        </w:rPr>
        <w:t>עדות שוטה:</w:t>
      </w:r>
    </w:p>
    <w:p w14:paraId="5222EAF0" w14:textId="77777777" w:rsidR="007D6167" w:rsidRDefault="007D6167" w:rsidP="00B75458">
      <w:pPr>
        <w:pStyle w:val="ab"/>
        <w:numPr>
          <w:ilvl w:val="0"/>
          <w:numId w:val="225"/>
        </w:numPr>
        <w:rPr>
          <w:rFonts w:cs="Arial"/>
        </w:rPr>
      </w:pPr>
      <w:r w:rsidRPr="004F7400">
        <w:rPr>
          <w:rFonts w:cs="Arial" w:hint="cs"/>
          <w:rtl/>
        </w:rPr>
        <w:t xml:space="preserve">טור- </w:t>
      </w:r>
      <w:r w:rsidRPr="004F7400">
        <w:rPr>
          <w:rFonts w:cs="Arial"/>
          <w:rtl/>
        </w:rPr>
        <w:t>שוטה פסול להעיד</w:t>
      </w:r>
      <w:r>
        <w:rPr>
          <w:rStyle w:val="a7"/>
          <w:rFonts w:cs="Arial"/>
          <w:rtl/>
        </w:rPr>
        <w:footnoteReference w:id="3328"/>
      </w:r>
      <w:r w:rsidRPr="004F7400">
        <w:rPr>
          <w:rFonts w:cs="Arial" w:hint="cs"/>
          <w:rtl/>
        </w:rPr>
        <w:t>.</w:t>
      </w:r>
      <w:r w:rsidRPr="004F7400">
        <w:rPr>
          <w:rFonts w:cs="Arial"/>
          <w:rtl/>
        </w:rPr>
        <w:t xml:space="preserve"> וזהו שוטה</w:t>
      </w:r>
      <w:r>
        <w:rPr>
          <w:rFonts w:cs="Arial" w:hint="cs"/>
          <w:rtl/>
        </w:rPr>
        <w:t>,</w:t>
      </w:r>
      <w:r w:rsidRPr="004F7400">
        <w:rPr>
          <w:rFonts w:cs="Arial"/>
          <w:rtl/>
        </w:rPr>
        <w:t xml:space="preserve"> שיצא יחידי בלילה</w:t>
      </w:r>
      <w:r>
        <w:rPr>
          <w:rFonts w:cs="Arial" w:hint="cs"/>
          <w:rtl/>
        </w:rPr>
        <w:t>,</w:t>
      </w:r>
      <w:r w:rsidRPr="004F7400">
        <w:rPr>
          <w:rFonts w:cs="Arial"/>
          <w:rtl/>
        </w:rPr>
        <w:t xml:space="preserve"> והלן בב</w:t>
      </w:r>
      <w:r w:rsidRPr="004F7400">
        <w:rPr>
          <w:rFonts w:cs="Arial" w:hint="cs"/>
          <w:rtl/>
        </w:rPr>
        <w:t xml:space="preserve">ית </w:t>
      </w:r>
      <w:r w:rsidRPr="004F7400">
        <w:rPr>
          <w:rFonts w:cs="Arial"/>
          <w:rtl/>
        </w:rPr>
        <w:t>הק</w:t>
      </w:r>
      <w:r w:rsidRPr="004F7400">
        <w:rPr>
          <w:rFonts w:cs="Arial" w:hint="cs"/>
          <w:rtl/>
        </w:rPr>
        <w:t>ברות</w:t>
      </w:r>
      <w:r>
        <w:rPr>
          <w:rFonts w:cs="Arial" w:hint="cs"/>
          <w:rtl/>
        </w:rPr>
        <w:t>,</w:t>
      </w:r>
      <w:r w:rsidRPr="004F7400">
        <w:rPr>
          <w:rFonts w:cs="Arial"/>
          <w:rtl/>
        </w:rPr>
        <w:t xml:space="preserve"> והקורע כסותו</w:t>
      </w:r>
      <w:r>
        <w:rPr>
          <w:rFonts w:cs="Arial" w:hint="cs"/>
          <w:rtl/>
        </w:rPr>
        <w:t>,</w:t>
      </w:r>
      <w:r w:rsidRPr="004F7400">
        <w:rPr>
          <w:rFonts w:cs="Arial"/>
          <w:rtl/>
        </w:rPr>
        <w:t xml:space="preserve"> ומאבד מה שנותנין לו</w:t>
      </w:r>
      <w:r w:rsidRPr="004F7400">
        <w:rPr>
          <w:rFonts w:cs="Arial" w:hint="cs"/>
          <w:rtl/>
        </w:rPr>
        <w:t>,</w:t>
      </w:r>
      <w:r w:rsidRPr="004F7400">
        <w:rPr>
          <w:rFonts w:cs="Arial"/>
          <w:rtl/>
        </w:rPr>
        <w:t xml:space="preserve"> ובאחד מאלו שעושה דרך שטות נקרא שוטה. והרמב"ם </w:t>
      </w:r>
      <w:r w:rsidRPr="004F7400">
        <w:rPr>
          <w:rFonts w:cs="Arial" w:hint="cs"/>
          <w:sz w:val="16"/>
          <w:szCs w:val="16"/>
          <w:rtl/>
        </w:rPr>
        <w:t>(</w:t>
      </w:r>
      <w:r w:rsidRPr="004F7400">
        <w:rPr>
          <w:rFonts w:cs="Arial"/>
          <w:sz w:val="16"/>
          <w:szCs w:val="16"/>
          <w:rtl/>
        </w:rPr>
        <w:t>פ"ט מהל</w:t>
      </w:r>
      <w:r w:rsidRPr="004F7400">
        <w:rPr>
          <w:rFonts w:cs="Arial" w:hint="cs"/>
          <w:sz w:val="16"/>
          <w:szCs w:val="16"/>
          <w:rtl/>
        </w:rPr>
        <w:t>'</w:t>
      </w:r>
      <w:r w:rsidRPr="004F7400">
        <w:rPr>
          <w:rFonts w:cs="Arial"/>
          <w:sz w:val="16"/>
          <w:szCs w:val="16"/>
          <w:rtl/>
        </w:rPr>
        <w:t xml:space="preserve"> עדות ה"ט)</w:t>
      </w:r>
      <w:r w:rsidRPr="004F7400">
        <w:rPr>
          <w:rFonts w:cs="Arial" w:hint="cs"/>
          <w:rtl/>
        </w:rPr>
        <w:t xml:space="preserve"> </w:t>
      </w:r>
      <w:r w:rsidRPr="004F7400">
        <w:rPr>
          <w:rFonts w:cs="Arial"/>
          <w:rtl/>
        </w:rPr>
        <w:t xml:space="preserve">כתב </w:t>
      </w:r>
      <w:r>
        <w:rPr>
          <w:rStyle w:val="a7"/>
          <w:rFonts w:cs="Arial"/>
          <w:rtl/>
        </w:rPr>
        <w:footnoteReference w:id="3329"/>
      </w:r>
      <w:r w:rsidRPr="004F7400">
        <w:rPr>
          <w:rFonts w:cs="Arial"/>
          <w:rtl/>
        </w:rPr>
        <w:t>ולא שוטה שהולך ערום ומשבר כלים וזורק אבנים בלבד אלא כל מי שנטרפה דעתו ונמצא דעתו משובשת</w:t>
      </w:r>
      <w:r>
        <w:rPr>
          <w:rStyle w:val="a7"/>
          <w:rFonts w:cs="Arial"/>
          <w:rtl/>
        </w:rPr>
        <w:footnoteReference w:id="3330"/>
      </w:r>
      <w:r w:rsidRPr="004F7400">
        <w:rPr>
          <w:rFonts w:cs="Arial"/>
          <w:rtl/>
        </w:rPr>
        <w:t xml:space="preserve"> תמיד בדבר מן הדברים אע</w:t>
      </w:r>
      <w:r>
        <w:rPr>
          <w:rFonts w:cs="Arial" w:hint="cs"/>
          <w:rtl/>
        </w:rPr>
        <w:t>"</w:t>
      </w:r>
      <w:r w:rsidRPr="004F7400">
        <w:rPr>
          <w:rFonts w:cs="Arial"/>
          <w:rtl/>
        </w:rPr>
        <w:t>פ שהוא מדבר ושואל כענין בשאר הדברים הרי זה פסול ובכלל שוטה יחשב</w:t>
      </w:r>
      <w:r w:rsidRPr="004F7400">
        <w:rPr>
          <w:rFonts w:cs="Arial" w:hint="cs"/>
          <w:rtl/>
        </w:rPr>
        <w:t>.</w:t>
      </w:r>
      <w:r>
        <w:rPr>
          <w:rFonts w:cs="Arial" w:hint="cs"/>
          <w:rtl/>
        </w:rPr>
        <w:t xml:space="preserve"> </w:t>
      </w:r>
      <w:r w:rsidRPr="00681348">
        <w:rPr>
          <w:rFonts w:cs="Arial" w:hint="cs"/>
          <w:color w:val="E36C0A" w:themeColor="accent6" w:themeShade="BF"/>
          <w:rtl/>
        </w:rPr>
        <w:t>(וכ"פ בשו"ע)</w:t>
      </w:r>
    </w:p>
    <w:p w14:paraId="209BCBD6" w14:textId="77777777" w:rsidR="007D6167" w:rsidRDefault="007D6167" w:rsidP="007D6167">
      <w:pPr>
        <w:rPr>
          <w:rFonts w:cs="Arial"/>
          <w:u w:val="single"/>
          <w:rtl/>
        </w:rPr>
      </w:pPr>
      <w:r w:rsidRPr="00E90083">
        <w:rPr>
          <w:rFonts w:cs="Arial" w:hint="cs"/>
          <w:u w:val="single"/>
          <w:rtl/>
        </w:rPr>
        <w:t>הא</w:t>
      </w:r>
      <w:r>
        <w:rPr>
          <w:rFonts w:cs="Arial" w:hint="cs"/>
          <w:u w:val="single"/>
          <w:rtl/>
        </w:rPr>
        <w:t xml:space="preserve"> דתניא בגמ' ארבעה דברים שהעושה אותם דרך שטות נקרא שוטה האם אלו דוקא או כל דכוותיה נמי:</w:t>
      </w:r>
    </w:p>
    <w:p w14:paraId="13E791A2" w14:textId="77777777" w:rsidR="007D6167" w:rsidRDefault="007D6167" w:rsidP="00B75458">
      <w:pPr>
        <w:pStyle w:val="ab"/>
        <w:numPr>
          <w:ilvl w:val="0"/>
          <w:numId w:val="226"/>
        </w:numPr>
        <w:rPr>
          <w:rFonts w:cs="Arial"/>
        </w:rPr>
      </w:pPr>
      <w:r>
        <w:rPr>
          <w:rFonts w:cs="Arial" w:hint="cs"/>
          <w:rtl/>
        </w:rPr>
        <w:t>רמב"ם</w:t>
      </w:r>
      <w:r w:rsidRPr="00813C8C">
        <w:rPr>
          <w:rFonts w:cs="Arial" w:hint="cs"/>
          <w:sz w:val="16"/>
          <w:szCs w:val="16"/>
          <w:rtl/>
        </w:rPr>
        <w:t xml:space="preserve"> (להב' הב"י</w:t>
      </w:r>
      <w:r w:rsidRPr="006341A4">
        <w:rPr>
          <w:rFonts w:cs="Arial" w:hint="cs"/>
          <w:sz w:val="16"/>
          <w:szCs w:val="16"/>
          <w:rtl/>
        </w:rPr>
        <w:t xml:space="preserve"> </w:t>
      </w:r>
      <w:r>
        <w:rPr>
          <w:rFonts w:cs="Arial" w:hint="cs"/>
          <w:sz w:val="16"/>
          <w:szCs w:val="16"/>
          <w:rtl/>
        </w:rPr>
        <w:t>[</w:t>
      </w:r>
      <w:r w:rsidRPr="006341A4">
        <w:rPr>
          <w:rFonts w:cs="Arial" w:hint="cs"/>
          <w:sz w:val="16"/>
          <w:szCs w:val="16"/>
          <w:rtl/>
        </w:rPr>
        <w:t>סי</w:t>
      </w:r>
      <w:r>
        <w:rPr>
          <w:rFonts w:cs="Arial" w:hint="cs"/>
          <w:sz w:val="16"/>
          <w:szCs w:val="16"/>
          <w:rtl/>
        </w:rPr>
        <w:t>'</w:t>
      </w:r>
      <w:r w:rsidRPr="006341A4">
        <w:rPr>
          <w:rFonts w:cs="Arial" w:hint="cs"/>
          <w:sz w:val="16"/>
          <w:szCs w:val="16"/>
          <w:rtl/>
        </w:rPr>
        <w:t xml:space="preserve"> ק</w:t>
      </w:r>
      <w:r>
        <w:rPr>
          <w:rFonts w:cs="Arial" w:hint="cs"/>
          <w:sz w:val="16"/>
          <w:szCs w:val="16"/>
          <w:rtl/>
        </w:rPr>
        <w:t>כא] וה</w:t>
      </w:r>
      <w:r w:rsidRPr="006341A4">
        <w:rPr>
          <w:rFonts w:cs="Arial" w:hint="cs"/>
          <w:sz w:val="16"/>
          <w:szCs w:val="16"/>
          <w:rtl/>
        </w:rPr>
        <w:t xml:space="preserve">דרכ"מ </w:t>
      </w:r>
      <w:r>
        <w:rPr>
          <w:rFonts w:cs="Arial" w:hint="cs"/>
          <w:sz w:val="16"/>
          <w:szCs w:val="16"/>
          <w:rtl/>
        </w:rPr>
        <w:t>[</w:t>
      </w:r>
      <w:r w:rsidRPr="006341A4">
        <w:rPr>
          <w:rFonts w:cs="Arial" w:hint="cs"/>
          <w:sz w:val="16"/>
          <w:szCs w:val="16"/>
          <w:rtl/>
        </w:rPr>
        <w:t>סי</w:t>
      </w:r>
      <w:r>
        <w:rPr>
          <w:rFonts w:cs="Arial" w:hint="cs"/>
          <w:sz w:val="16"/>
          <w:szCs w:val="16"/>
          <w:rtl/>
        </w:rPr>
        <w:t>'</w:t>
      </w:r>
      <w:r w:rsidRPr="006341A4">
        <w:rPr>
          <w:rFonts w:cs="Arial" w:hint="cs"/>
          <w:sz w:val="16"/>
          <w:szCs w:val="16"/>
          <w:rtl/>
        </w:rPr>
        <w:t xml:space="preserve"> קיט אות </w:t>
      </w:r>
      <w:r w:rsidRPr="006341A4">
        <w:rPr>
          <w:rFonts w:cs="Arial"/>
          <w:sz w:val="16"/>
          <w:szCs w:val="16"/>
          <w:rtl/>
        </w:rPr>
        <w:t>ה</w:t>
      </w:r>
      <w:r>
        <w:rPr>
          <w:rFonts w:cs="Arial" w:hint="cs"/>
          <w:sz w:val="16"/>
          <w:szCs w:val="16"/>
          <w:rtl/>
        </w:rPr>
        <w:t>]</w:t>
      </w:r>
      <w:r w:rsidRPr="00813C8C">
        <w:rPr>
          <w:rFonts w:cs="Arial" w:hint="cs"/>
          <w:sz w:val="16"/>
          <w:szCs w:val="16"/>
          <w:rtl/>
        </w:rPr>
        <w:t>)</w:t>
      </w:r>
      <w:r w:rsidRPr="006341A4">
        <w:rPr>
          <w:rFonts w:cs="Arial"/>
          <w:rtl/>
        </w:rPr>
        <w:t xml:space="preserve"> </w:t>
      </w:r>
      <w:r>
        <w:rPr>
          <w:rFonts w:cs="Arial" w:hint="cs"/>
          <w:rtl/>
        </w:rPr>
        <w:t>ו</w:t>
      </w:r>
      <w:r w:rsidRPr="00F921C1">
        <w:rPr>
          <w:rFonts w:cs="Arial"/>
          <w:rtl/>
        </w:rPr>
        <w:t>מהר</w:t>
      </w:r>
      <w:r>
        <w:rPr>
          <w:rFonts w:cs="Arial" w:hint="cs"/>
          <w:rtl/>
        </w:rPr>
        <w:t>י"ו</w:t>
      </w:r>
      <w:r>
        <w:rPr>
          <w:rStyle w:val="a7"/>
          <w:rFonts w:cs="Arial"/>
          <w:rtl/>
        </w:rPr>
        <w:footnoteReference w:id="3331"/>
      </w:r>
      <w:r w:rsidRPr="00F921C1">
        <w:rPr>
          <w:rFonts w:cs="Arial"/>
          <w:rtl/>
        </w:rPr>
        <w:t xml:space="preserve"> </w:t>
      </w:r>
      <w:r w:rsidRPr="006341A4">
        <w:rPr>
          <w:rFonts w:cs="Arial" w:hint="cs"/>
          <w:sz w:val="16"/>
          <w:szCs w:val="16"/>
          <w:rtl/>
        </w:rPr>
        <w:t>(</w:t>
      </w:r>
      <w:r w:rsidRPr="006341A4">
        <w:rPr>
          <w:rFonts w:cs="Arial"/>
          <w:sz w:val="16"/>
          <w:szCs w:val="16"/>
          <w:rtl/>
        </w:rPr>
        <w:t>סי</w:t>
      </w:r>
      <w:r w:rsidRPr="006341A4">
        <w:rPr>
          <w:rFonts w:cs="Arial" w:hint="cs"/>
          <w:sz w:val="16"/>
          <w:szCs w:val="16"/>
          <w:rtl/>
        </w:rPr>
        <w:t>'</w:t>
      </w:r>
      <w:r w:rsidRPr="006341A4">
        <w:rPr>
          <w:rFonts w:cs="Arial"/>
          <w:sz w:val="16"/>
          <w:szCs w:val="16"/>
          <w:rtl/>
        </w:rPr>
        <w:t xml:space="preserve"> נב</w:t>
      </w:r>
      <w:r>
        <w:rPr>
          <w:rFonts w:cs="Arial" w:hint="cs"/>
          <w:sz w:val="16"/>
          <w:szCs w:val="16"/>
          <w:rtl/>
        </w:rPr>
        <w:t>, הביאו ה</w:t>
      </w:r>
      <w:r w:rsidRPr="006341A4">
        <w:rPr>
          <w:rFonts w:cs="Arial" w:hint="cs"/>
          <w:sz w:val="16"/>
          <w:szCs w:val="16"/>
          <w:rtl/>
        </w:rPr>
        <w:t xml:space="preserve">דרכ"מ </w:t>
      </w:r>
      <w:r>
        <w:rPr>
          <w:rFonts w:cs="Arial" w:hint="cs"/>
          <w:sz w:val="16"/>
          <w:szCs w:val="16"/>
          <w:rtl/>
        </w:rPr>
        <w:t>[שם])</w:t>
      </w:r>
      <w:r w:rsidRPr="00F921C1">
        <w:rPr>
          <w:rFonts w:cs="Arial" w:hint="cs"/>
          <w:rtl/>
        </w:rPr>
        <w:t xml:space="preserve">- </w:t>
      </w:r>
      <w:r>
        <w:rPr>
          <w:rStyle w:val="a7"/>
          <w:rFonts w:cs="Arial"/>
          <w:rtl/>
        </w:rPr>
        <w:footnoteReference w:id="3332"/>
      </w:r>
      <w:r w:rsidRPr="00F921C1">
        <w:rPr>
          <w:rFonts w:cs="Arial"/>
          <w:rtl/>
        </w:rPr>
        <w:t>הני ד' דברים השנויים בברייתא לאו דוקא אלא לדוגמא נקטינהו והוא הדין לשאר דברים</w:t>
      </w:r>
      <w:r>
        <w:rPr>
          <w:rStyle w:val="a7"/>
          <w:rFonts w:cs="Arial"/>
          <w:rtl/>
        </w:rPr>
        <w:footnoteReference w:id="3333"/>
      </w:r>
      <w:r w:rsidRPr="00F921C1">
        <w:rPr>
          <w:rFonts w:cs="Arial"/>
          <w:rtl/>
        </w:rPr>
        <w:t xml:space="preserve">. </w:t>
      </w:r>
      <w:r w:rsidRPr="00681348">
        <w:rPr>
          <w:rFonts w:cs="Arial" w:hint="cs"/>
          <w:color w:val="E36C0A" w:themeColor="accent6" w:themeShade="BF"/>
          <w:rtl/>
        </w:rPr>
        <w:t>(וכ"פ בשו"ע)</w:t>
      </w:r>
    </w:p>
    <w:p w14:paraId="35CAB2DE" w14:textId="77777777" w:rsidR="007D6167" w:rsidRDefault="007D6167" w:rsidP="00B75458">
      <w:pPr>
        <w:pStyle w:val="ab"/>
        <w:numPr>
          <w:ilvl w:val="0"/>
          <w:numId w:val="226"/>
        </w:numPr>
        <w:rPr>
          <w:rFonts w:cs="Arial"/>
        </w:rPr>
      </w:pPr>
      <w:r w:rsidRPr="00F921C1">
        <w:rPr>
          <w:rFonts w:cs="Arial"/>
          <w:rtl/>
        </w:rPr>
        <w:lastRenderedPageBreak/>
        <w:t xml:space="preserve">ריב"ש </w:t>
      </w:r>
      <w:r w:rsidRPr="00813C8C">
        <w:rPr>
          <w:rFonts w:cs="Arial" w:hint="cs"/>
          <w:sz w:val="16"/>
          <w:szCs w:val="16"/>
          <w:rtl/>
        </w:rPr>
        <w:t>(</w:t>
      </w:r>
      <w:r w:rsidRPr="00813C8C">
        <w:rPr>
          <w:rFonts w:cs="Arial"/>
          <w:sz w:val="16"/>
          <w:szCs w:val="16"/>
          <w:rtl/>
        </w:rPr>
        <w:t>סי</w:t>
      </w:r>
      <w:r w:rsidRPr="00813C8C">
        <w:rPr>
          <w:rFonts w:cs="Arial" w:hint="cs"/>
          <w:sz w:val="16"/>
          <w:szCs w:val="16"/>
          <w:rtl/>
        </w:rPr>
        <w:t>'</w:t>
      </w:r>
      <w:r w:rsidRPr="00813C8C">
        <w:rPr>
          <w:rFonts w:cs="Arial"/>
          <w:sz w:val="16"/>
          <w:szCs w:val="16"/>
          <w:rtl/>
        </w:rPr>
        <w:t xml:space="preserve"> תסח</w:t>
      </w:r>
      <w:r w:rsidRPr="00813C8C">
        <w:rPr>
          <w:rFonts w:cs="Arial" w:hint="cs"/>
          <w:sz w:val="16"/>
          <w:szCs w:val="16"/>
          <w:rtl/>
        </w:rPr>
        <w:t xml:space="preserve"> </w:t>
      </w:r>
      <w:r w:rsidRPr="00813C8C">
        <w:rPr>
          <w:rFonts w:cs="Arial"/>
          <w:sz w:val="16"/>
          <w:szCs w:val="16"/>
          <w:rtl/>
        </w:rPr>
        <w:t>קמג. ד"ה דבר)</w:t>
      </w:r>
      <w:r>
        <w:rPr>
          <w:rFonts w:cs="Arial" w:hint="cs"/>
          <w:rtl/>
        </w:rPr>
        <w:t>-</w:t>
      </w:r>
      <w:r w:rsidRPr="00F921C1">
        <w:rPr>
          <w:rFonts w:cs="Arial"/>
          <w:rtl/>
        </w:rPr>
        <w:t xml:space="preserve"> סימני השוטה מפורשים בפ</w:t>
      </w:r>
      <w:r>
        <w:rPr>
          <w:rFonts w:cs="Arial" w:hint="cs"/>
          <w:rtl/>
        </w:rPr>
        <w:t>"</w:t>
      </w:r>
      <w:r w:rsidRPr="00F921C1">
        <w:rPr>
          <w:rFonts w:cs="Arial"/>
          <w:rtl/>
        </w:rPr>
        <w:t>ק דחגיגה איזהו שוטה היוצא יחידי בלילה וכו'</w:t>
      </w:r>
      <w:r>
        <w:rPr>
          <w:rFonts w:cs="Arial" w:hint="cs"/>
          <w:rtl/>
        </w:rPr>
        <w:t>,</w:t>
      </w:r>
      <w:r w:rsidRPr="00F921C1">
        <w:rPr>
          <w:rFonts w:cs="Arial"/>
          <w:rtl/>
        </w:rPr>
        <w:t xml:space="preserve"> ומפרש התם דעביד להו דרך שטות</w:t>
      </w:r>
      <w:r>
        <w:rPr>
          <w:rFonts w:cs="Arial" w:hint="cs"/>
          <w:rtl/>
        </w:rPr>
        <w:t>,</w:t>
      </w:r>
      <w:r w:rsidRPr="00F921C1">
        <w:rPr>
          <w:rFonts w:cs="Arial"/>
          <w:rtl/>
        </w:rPr>
        <w:t xml:space="preserve"> וכן כל מי שמאבד כל נכסיו לדעת כדתניא נמי התם איזהו שוטה המאבד כל מה שנותנין לו</w:t>
      </w:r>
      <w:r>
        <w:rPr>
          <w:rFonts w:cs="Arial" w:hint="cs"/>
          <w:rtl/>
        </w:rPr>
        <w:t>,</w:t>
      </w:r>
      <w:r w:rsidRPr="00F921C1">
        <w:rPr>
          <w:rFonts w:cs="Arial"/>
          <w:rtl/>
        </w:rPr>
        <w:t xml:space="preserve"> ואמרינן נמי בפרק מי שמת </w:t>
      </w:r>
      <w:r w:rsidRPr="00813C8C">
        <w:rPr>
          <w:rFonts w:cs="Arial"/>
          <w:sz w:val="16"/>
          <w:szCs w:val="16"/>
          <w:rtl/>
        </w:rPr>
        <w:t xml:space="preserve">(קנה:) </w:t>
      </w:r>
      <w:r w:rsidRPr="00F921C1">
        <w:rPr>
          <w:rFonts w:cs="Arial"/>
          <w:rtl/>
        </w:rPr>
        <w:t>ההוא שטותא יתירתא חזא ביה דמשחרר לכולהו עבדיה.</w:t>
      </w:r>
    </w:p>
    <w:p w14:paraId="3C3CBF46" w14:textId="77777777" w:rsidR="007D6167" w:rsidRDefault="007D6167" w:rsidP="00B75458">
      <w:pPr>
        <w:pStyle w:val="ab"/>
        <w:numPr>
          <w:ilvl w:val="0"/>
          <w:numId w:val="226"/>
        </w:numPr>
        <w:rPr>
          <w:rFonts w:cs="Arial"/>
        </w:rPr>
      </w:pPr>
      <w:r w:rsidRPr="00F921C1">
        <w:rPr>
          <w:rFonts w:cs="Arial"/>
          <w:rtl/>
        </w:rPr>
        <w:t>רבינו אביגדור כהן</w:t>
      </w:r>
      <w:r>
        <w:rPr>
          <w:rFonts w:cs="Arial" w:hint="cs"/>
          <w:sz w:val="16"/>
          <w:szCs w:val="16"/>
          <w:rtl/>
        </w:rPr>
        <w:t xml:space="preserve"> (</w:t>
      </w:r>
      <w:r w:rsidRPr="00B45A35">
        <w:rPr>
          <w:rFonts w:cs="Arial" w:hint="cs"/>
          <w:sz w:val="16"/>
          <w:szCs w:val="16"/>
          <w:rtl/>
        </w:rPr>
        <w:t xml:space="preserve">כ"כ בשמו </w:t>
      </w:r>
      <w:r w:rsidRPr="00B45A35">
        <w:rPr>
          <w:rFonts w:cs="Arial"/>
          <w:sz w:val="16"/>
          <w:szCs w:val="16"/>
          <w:rtl/>
        </w:rPr>
        <w:t>מהר</w:t>
      </w:r>
      <w:r w:rsidRPr="00B45A35">
        <w:rPr>
          <w:rFonts w:cs="Arial" w:hint="cs"/>
          <w:sz w:val="16"/>
          <w:szCs w:val="16"/>
          <w:rtl/>
        </w:rPr>
        <w:t>י"ק</w:t>
      </w:r>
      <w:r w:rsidRPr="00B45A35">
        <w:rPr>
          <w:rStyle w:val="a7"/>
          <w:rFonts w:cs="Arial"/>
          <w:sz w:val="16"/>
          <w:szCs w:val="16"/>
          <w:rtl/>
        </w:rPr>
        <w:footnoteReference w:id="3334"/>
      </w:r>
      <w:r w:rsidRPr="00B45A35">
        <w:rPr>
          <w:rFonts w:cs="Arial"/>
          <w:sz w:val="16"/>
          <w:szCs w:val="16"/>
          <w:rtl/>
        </w:rPr>
        <w:t xml:space="preserve"> </w:t>
      </w:r>
      <w:r>
        <w:rPr>
          <w:rFonts w:cs="Arial" w:hint="cs"/>
          <w:sz w:val="16"/>
          <w:szCs w:val="16"/>
          <w:rtl/>
        </w:rPr>
        <w:t>[</w:t>
      </w:r>
      <w:r w:rsidRPr="00813C8C">
        <w:rPr>
          <w:rFonts w:cs="Arial"/>
          <w:sz w:val="16"/>
          <w:szCs w:val="16"/>
          <w:rtl/>
        </w:rPr>
        <w:t>שורש יט</w:t>
      </w:r>
      <w:r>
        <w:rPr>
          <w:rFonts w:cs="Arial" w:hint="cs"/>
          <w:sz w:val="16"/>
          <w:szCs w:val="16"/>
          <w:rtl/>
        </w:rPr>
        <w:t>]</w:t>
      </w:r>
      <w:r w:rsidRPr="00813C8C">
        <w:rPr>
          <w:rFonts w:cs="Arial" w:hint="cs"/>
          <w:sz w:val="16"/>
          <w:szCs w:val="16"/>
          <w:rtl/>
        </w:rPr>
        <w:t>)</w:t>
      </w:r>
      <w:r>
        <w:rPr>
          <w:rFonts w:cs="Arial" w:hint="cs"/>
          <w:rtl/>
        </w:rPr>
        <w:t>-</w:t>
      </w:r>
      <w:r w:rsidRPr="00F921C1">
        <w:rPr>
          <w:rFonts w:cs="Arial"/>
          <w:rtl/>
        </w:rPr>
        <w:t xml:space="preserve"> אם לא הוחזק שוטה בדברים האמורים בפ</w:t>
      </w:r>
      <w:r>
        <w:rPr>
          <w:rFonts w:cs="Arial" w:hint="cs"/>
          <w:rtl/>
        </w:rPr>
        <w:t>"</w:t>
      </w:r>
      <w:r w:rsidRPr="00F921C1">
        <w:rPr>
          <w:rFonts w:cs="Arial"/>
          <w:rtl/>
        </w:rPr>
        <w:t>ק דחגיגה הרי הוא כפקח לכל דבריו.</w:t>
      </w:r>
    </w:p>
    <w:p w14:paraId="0182A4FE" w14:textId="77777777" w:rsidR="007D6167" w:rsidRPr="006341A4" w:rsidRDefault="007D6167" w:rsidP="00B75458">
      <w:pPr>
        <w:pStyle w:val="ab"/>
        <w:numPr>
          <w:ilvl w:val="0"/>
          <w:numId w:val="226"/>
        </w:numPr>
        <w:rPr>
          <w:rFonts w:cs="Arial"/>
          <w:rtl/>
        </w:rPr>
      </w:pPr>
      <w:r w:rsidRPr="00F921C1">
        <w:rPr>
          <w:rFonts w:cs="Arial"/>
          <w:rtl/>
        </w:rPr>
        <w:t>רבינו שמחה משפירא</w:t>
      </w:r>
      <w:r w:rsidRPr="00F921C1">
        <w:rPr>
          <w:rFonts w:cs="Arial" w:hint="cs"/>
          <w:sz w:val="16"/>
          <w:szCs w:val="16"/>
          <w:rtl/>
        </w:rPr>
        <w:t xml:space="preserve"> (הביאו הב"י בסי' קיט סע' ו</w:t>
      </w:r>
      <w:r w:rsidRPr="00F921C1">
        <w:rPr>
          <w:rFonts w:cs="Arial" w:hint="cs"/>
          <w:sz w:val="12"/>
          <w:szCs w:val="12"/>
          <w:rtl/>
        </w:rPr>
        <w:t>(ב)</w:t>
      </w:r>
      <w:r w:rsidRPr="00F921C1">
        <w:rPr>
          <w:rFonts w:cs="Arial" w:hint="cs"/>
          <w:sz w:val="16"/>
          <w:szCs w:val="16"/>
          <w:rtl/>
        </w:rPr>
        <w:t>)</w:t>
      </w:r>
      <w:r w:rsidRPr="00F921C1">
        <w:rPr>
          <w:rFonts w:cs="Arial" w:hint="cs"/>
          <w:rtl/>
        </w:rPr>
        <w:t>- ל</w:t>
      </w:r>
      <w:r w:rsidRPr="00F921C1">
        <w:rPr>
          <w:rFonts w:cs="Arial"/>
          <w:rtl/>
        </w:rPr>
        <w:t>א מחזיקינן בחזקת שוטה לגרש עד שיראו בה סימני שטות המפורשים בפ</w:t>
      </w:r>
      <w:r>
        <w:rPr>
          <w:rFonts w:cs="Arial" w:hint="cs"/>
          <w:rtl/>
        </w:rPr>
        <w:t>"</w:t>
      </w:r>
      <w:r w:rsidRPr="00F921C1">
        <w:rPr>
          <w:rFonts w:cs="Arial"/>
          <w:rtl/>
        </w:rPr>
        <w:t xml:space="preserve">ק דחגיגה </w:t>
      </w:r>
      <w:r w:rsidRPr="00813C8C">
        <w:rPr>
          <w:rFonts w:cs="Arial"/>
          <w:sz w:val="16"/>
          <w:szCs w:val="16"/>
          <w:rtl/>
        </w:rPr>
        <w:t>(ג:)</w:t>
      </w:r>
      <w:r>
        <w:rPr>
          <w:rFonts w:cs="Arial" w:hint="cs"/>
          <w:rtl/>
        </w:rPr>
        <w:t xml:space="preserve">. </w:t>
      </w:r>
      <w:r w:rsidRPr="00F921C1">
        <w:rPr>
          <w:rFonts w:cs="Arial"/>
          <w:rtl/>
        </w:rPr>
        <w:t xml:space="preserve">ובירושלמי דמסכת תרומות </w:t>
      </w:r>
      <w:r w:rsidRPr="00813C8C">
        <w:rPr>
          <w:rFonts w:cs="Arial"/>
          <w:sz w:val="16"/>
          <w:szCs w:val="16"/>
          <w:rtl/>
        </w:rPr>
        <w:t xml:space="preserve">(פ"א ה"א) </w:t>
      </w:r>
      <w:r w:rsidRPr="00F921C1">
        <w:rPr>
          <w:rFonts w:cs="Arial"/>
          <w:rtl/>
        </w:rPr>
        <w:t>משמע עד שיראו בה כולם</w:t>
      </w:r>
      <w:r>
        <w:rPr>
          <w:rFonts w:cs="Arial" w:hint="cs"/>
          <w:rtl/>
        </w:rPr>
        <w:t xml:space="preserve"> </w:t>
      </w:r>
      <w:r w:rsidRPr="00F921C1">
        <w:rPr>
          <w:rFonts w:cs="Arial"/>
          <w:rtl/>
        </w:rPr>
        <w:t>ופליג קצת אגמרא דידן</w:t>
      </w:r>
      <w:r>
        <w:rPr>
          <w:rFonts w:cs="Arial" w:hint="cs"/>
          <w:rtl/>
        </w:rPr>
        <w:t>,</w:t>
      </w:r>
      <w:r w:rsidRPr="00F921C1">
        <w:rPr>
          <w:rFonts w:cs="Arial"/>
          <w:rtl/>
        </w:rPr>
        <w:t xml:space="preserve"> ועיקר סימן</w:t>
      </w:r>
      <w:r>
        <w:rPr>
          <w:rFonts w:cs="Arial" w:hint="cs"/>
          <w:rtl/>
        </w:rPr>
        <w:t xml:space="preserve"> -</w:t>
      </w:r>
      <w:r w:rsidRPr="00F921C1">
        <w:rPr>
          <w:rFonts w:cs="Arial"/>
          <w:rtl/>
        </w:rPr>
        <w:t xml:space="preserve"> זה המאבד מה שנותנין לו</w:t>
      </w:r>
      <w:r>
        <w:rPr>
          <w:rFonts w:cs="Arial" w:hint="cs"/>
          <w:rtl/>
        </w:rPr>
        <w:t>,</w:t>
      </w:r>
      <w:r w:rsidRPr="00F921C1">
        <w:rPr>
          <w:rFonts w:cs="Arial"/>
          <w:rtl/>
        </w:rPr>
        <w:t xml:space="preserve"> דומיא שטותא יתירתא חזא ביה דהוה משחרר עבדו </w:t>
      </w:r>
      <w:r w:rsidRPr="00813C8C">
        <w:rPr>
          <w:rFonts w:cs="Arial"/>
          <w:sz w:val="16"/>
          <w:szCs w:val="16"/>
          <w:rtl/>
        </w:rPr>
        <w:t>(ב</w:t>
      </w:r>
      <w:r>
        <w:rPr>
          <w:rFonts w:cs="Arial" w:hint="cs"/>
          <w:sz w:val="16"/>
          <w:szCs w:val="16"/>
          <w:rtl/>
        </w:rPr>
        <w:t>"</w:t>
      </w:r>
      <w:r w:rsidRPr="00813C8C">
        <w:rPr>
          <w:rFonts w:cs="Arial"/>
          <w:sz w:val="16"/>
          <w:szCs w:val="16"/>
          <w:rtl/>
        </w:rPr>
        <w:t>ב קנה:)</w:t>
      </w:r>
      <w:r>
        <w:rPr>
          <w:rFonts w:cs="Arial" w:hint="cs"/>
          <w:rtl/>
        </w:rPr>
        <w:t xml:space="preserve">, </w:t>
      </w:r>
      <w:r w:rsidRPr="00F921C1">
        <w:rPr>
          <w:rFonts w:cs="Arial"/>
          <w:rtl/>
        </w:rPr>
        <w:t>ובעוד שלא ראינו סימן זה אפילו בדיקה לא צריך והרי הוא בחזקת פיקח</w:t>
      </w:r>
      <w:r w:rsidRPr="00F921C1">
        <w:rPr>
          <w:rFonts w:cs="Arial" w:hint="cs"/>
          <w:rtl/>
        </w:rPr>
        <w:t>.</w:t>
      </w:r>
    </w:p>
    <w:bookmarkEnd w:id="16"/>
    <w:p w14:paraId="0C005F78" w14:textId="77777777" w:rsidR="007D6167" w:rsidRPr="00D124B8" w:rsidRDefault="007D6167" w:rsidP="007D6167">
      <w:pPr>
        <w:rPr>
          <w:rtl/>
        </w:rPr>
      </w:pPr>
      <w:r w:rsidRPr="003024E5">
        <w:rPr>
          <w:rFonts w:asciiTheme="minorBidi" w:hAnsiTheme="minorBidi"/>
          <w:b/>
          <w:bCs/>
          <w:color w:val="000000"/>
          <w:sz w:val="28"/>
          <w:szCs w:val="28"/>
          <w:u w:val="single"/>
          <w:rtl/>
        </w:rPr>
        <w:t>שו"ע:</w:t>
      </w:r>
    </w:p>
    <w:p w14:paraId="055B451B" w14:textId="77777777" w:rsidR="007D6167" w:rsidRDefault="007D6167" w:rsidP="007D6167">
      <w:pPr>
        <w:rPr>
          <w:rtl/>
        </w:rPr>
      </w:pPr>
      <w:r>
        <w:rPr>
          <w:rFonts w:cs="Arial"/>
          <w:rtl/>
        </w:rPr>
        <w:t>שוטה פסול. ולא שוטה שהוא הולך ערום ומשבר כלים וזורק אבנים בלבד, אלא כל מי שנטרפה דעתו ונמצאת דעתו משובשת תמיד</w:t>
      </w:r>
      <w:r>
        <w:rPr>
          <w:rStyle w:val="a7"/>
          <w:rFonts w:cs="Arial"/>
          <w:rtl/>
        </w:rPr>
        <w:footnoteReference w:id="3335"/>
      </w:r>
      <w:r>
        <w:rPr>
          <w:rFonts w:cs="Arial"/>
          <w:rtl/>
        </w:rPr>
        <w:t xml:space="preserve"> בדבר מהדברים, אף על פי שהוא מדבר ושואל כענין בשאר דברים, הרי זה פסול, ובכלל שוטים יחשב. </w:t>
      </w:r>
    </w:p>
    <w:p w14:paraId="1976D8DE" w14:textId="77777777" w:rsidR="007D6167" w:rsidRPr="00642940" w:rsidRDefault="007D6167" w:rsidP="007D6167">
      <w:pPr>
        <w:ind w:left="360"/>
        <w:rPr>
          <w:u w:val="dotted"/>
        </w:rPr>
      </w:pPr>
      <w:r>
        <w:rPr>
          <w:rFonts w:hint="cs"/>
          <w:u w:val="dotted"/>
          <w:rtl/>
        </w:rPr>
        <w:t>מי נחשב שוטה</w:t>
      </w:r>
      <w:r w:rsidRPr="00642940">
        <w:rPr>
          <w:rFonts w:hint="cs"/>
          <w:u w:val="dotted"/>
          <w:rtl/>
        </w:rPr>
        <w:t>:</w:t>
      </w:r>
    </w:p>
    <w:p w14:paraId="7F6A7361" w14:textId="77777777" w:rsidR="007D6167" w:rsidRDefault="007D6167" w:rsidP="00B75458">
      <w:pPr>
        <w:pStyle w:val="ab"/>
        <w:numPr>
          <w:ilvl w:val="0"/>
          <w:numId w:val="224"/>
        </w:numPr>
      </w:pPr>
      <w:r w:rsidRPr="00705D4B">
        <w:rPr>
          <w:rFonts w:cs="Arial"/>
          <w:rtl/>
        </w:rPr>
        <w:t>ורבינו שמחה משפירא כתב דלא מחזיקינן בחזקת שוטה לגרש עד שיראו בה סימני שטות המפורשים בפרק קמא דחגיגה (ג:)</w:t>
      </w:r>
      <w:r>
        <w:rPr>
          <w:rFonts w:cs="Arial" w:hint="cs"/>
          <w:rtl/>
        </w:rPr>
        <w:t>.</w:t>
      </w:r>
      <w:r w:rsidRPr="00705D4B">
        <w:rPr>
          <w:rFonts w:cs="Arial"/>
          <w:rtl/>
        </w:rPr>
        <w:t xml:space="preserve"> ובירושלמי דמסכת תרומות (פ"א ה"א) משמע עד שיראו בה כולם</w:t>
      </w:r>
      <w:r>
        <w:rPr>
          <w:rFonts w:cs="Arial" w:hint="cs"/>
          <w:rtl/>
        </w:rPr>
        <w:t>,</w:t>
      </w:r>
      <w:r w:rsidRPr="00705D4B">
        <w:rPr>
          <w:rFonts w:cs="Arial"/>
          <w:rtl/>
        </w:rPr>
        <w:t xml:space="preserve"> ופליג קצת אגמרא דידן</w:t>
      </w:r>
      <w:r>
        <w:rPr>
          <w:rFonts w:cs="Arial" w:hint="cs"/>
          <w:rtl/>
        </w:rPr>
        <w:t>.</w:t>
      </w:r>
      <w:r w:rsidRPr="00705D4B">
        <w:rPr>
          <w:rFonts w:cs="Arial"/>
          <w:rtl/>
        </w:rPr>
        <w:t xml:space="preserve"> ועיקר סימן זה המאבד מה שנותנין לו</w:t>
      </w:r>
      <w:r>
        <w:rPr>
          <w:rFonts w:cs="Arial" w:hint="cs"/>
          <w:rtl/>
        </w:rPr>
        <w:t>,</w:t>
      </w:r>
      <w:r w:rsidRPr="00705D4B">
        <w:rPr>
          <w:rFonts w:cs="Arial"/>
          <w:rtl/>
        </w:rPr>
        <w:t xml:space="preserve"> דומיא שטותא יתירתא חזא ביה דהוה משחרר עבדו (בבא בתרא קנה:)</w:t>
      </w:r>
      <w:r>
        <w:rPr>
          <w:rFonts w:cs="Arial" w:hint="cs"/>
          <w:rtl/>
        </w:rPr>
        <w:t>.</w:t>
      </w:r>
      <w:r w:rsidRPr="00705D4B">
        <w:rPr>
          <w:rFonts w:cs="Arial"/>
          <w:rtl/>
        </w:rPr>
        <w:t xml:space="preserve"> ובעוד שלא ראינו סימן זה אפילו בדיקה לא צריך והרי הוא בחזקת פיקח</w:t>
      </w:r>
      <w:r>
        <w:rPr>
          <w:rStyle w:val="a7"/>
          <w:rFonts w:cs="Arial"/>
          <w:rtl/>
        </w:rPr>
        <w:footnoteReference w:id="3336"/>
      </w:r>
      <w:r>
        <w:rPr>
          <w:rFonts w:cs="Arial" w:hint="cs"/>
          <w:rtl/>
        </w:rPr>
        <w:t>.</w:t>
      </w:r>
      <w:r w:rsidRPr="00E24AEE">
        <w:rPr>
          <w:rFonts w:cs="Arial"/>
          <w:rtl/>
        </w:rPr>
        <w:t xml:space="preserve"> </w:t>
      </w:r>
    </w:p>
    <w:p w14:paraId="31D957AC" w14:textId="77777777" w:rsidR="007D6167" w:rsidRPr="00705D4B" w:rsidRDefault="007D6167" w:rsidP="00B75458">
      <w:pPr>
        <w:pStyle w:val="ab"/>
        <w:numPr>
          <w:ilvl w:val="0"/>
          <w:numId w:val="224"/>
        </w:numPr>
      </w:pPr>
      <w:r>
        <w:rPr>
          <w:rFonts w:cs="Arial" w:hint="cs"/>
          <w:rtl/>
        </w:rPr>
        <w:t xml:space="preserve">דרכ"מ </w:t>
      </w:r>
      <w:r w:rsidRPr="00EC459D">
        <w:rPr>
          <w:rFonts w:cs="Arial"/>
          <w:rtl/>
        </w:rPr>
        <w:t>(</w:t>
      </w:r>
      <w:r>
        <w:rPr>
          <w:rFonts w:cs="Arial" w:hint="cs"/>
          <w:rtl/>
        </w:rPr>
        <w:t xml:space="preserve">אות </w:t>
      </w:r>
      <w:r w:rsidRPr="00EC459D">
        <w:rPr>
          <w:rFonts w:cs="Arial"/>
          <w:rtl/>
        </w:rPr>
        <w:t>ה) אמנם בתשובת מהר"י ווייל סימן נ"ב כתב דמי שהוא שוטה בשאר דברים אף על פי שאינו לן בבית הקברות או קורע כסותו אפילו הכי מיקרי שוטה עכ"ל, וכן משמע מדברי הרמב"ם (הל' עדות פ"ט ה"ט) ואכתוב דבריו לקמן סימן קכ"א ועיי"ש ריש הסימן ובסופו כתבתי מזה:</w:t>
      </w:r>
    </w:p>
    <w:p w14:paraId="7A053447" w14:textId="77777777" w:rsidR="007D6167" w:rsidRPr="00EC11A0" w:rsidRDefault="007D6167" w:rsidP="007D6167">
      <w:pPr>
        <w:rPr>
          <w:u w:val="single"/>
          <w:rtl/>
        </w:rPr>
      </w:pPr>
      <w:r w:rsidRPr="00EC11A0">
        <w:rPr>
          <w:rFonts w:hint="cs"/>
          <w:u w:val="single"/>
          <w:rtl/>
        </w:rPr>
        <w:t xml:space="preserve">אדם שרוצה לגרש את אשתו </w:t>
      </w:r>
      <w:r w:rsidRPr="00EC11A0">
        <w:rPr>
          <w:u w:val="single"/>
          <w:rtl/>
        </w:rPr>
        <w:t>–</w:t>
      </w:r>
      <w:r w:rsidRPr="00EC11A0">
        <w:rPr>
          <w:rFonts w:hint="cs"/>
          <w:u w:val="single"/>
          <w:rtl/>
        </w:rPr>
        <w:t xml:space="preserve"> אבל אין לו ממון לפרוע את כתובתה:</w:t>
      </w:r>
    </w:p>
    <w:p w14:paraId="34B37CFB" w14:textId="77777777" w:rsidR="007D6167" w:rsidRPr="00594D8E" w:rsidRDefault="007D6167" w:rsidP="00B75458">
      <w:pPr>
        <w:pStyle w:val="ab"/>
        <w:numPr>
          <w:ilvl w:val="0"/>
          <w:numId w:val="193"/>
        </w:numPr>
      </w:pPr>
      <w:bookmarkStart w:id="17" w:name="_Hlk74757400"/>
      <w:r w:rsidRPr="0022210A">
        <w:rPr>
          <w:rFonts w:cs="Arial"/>
          <w:rtl/>
        </w:rPr>
        <w:t xml:space="preserve">רשב"א </w:t>
      </w:r>
      <w:r w:rsidRPr="0022210A">
        <w:rPr>
          <w:rFonts w:cs="Arial" w:hint="cs"/>
          <w:sz w:val="16"/>
          <w:szCs w:val="16"/>
          <w:rtl/>
        </w:rPr>
        <w:t>(</w:t>
      </w:r>
      <w:r w:rsidRPr="0022210A">
        <w:rPr>
          <w:rFonts w:cs="Arial"/>
          <w:sz w:val="16"/>
          <w:szCs w:val="16"/>
          <w:rtl/>
        </w:rPr>
        <w:t>ח"א סי</w:t>
      </w:r>
      <w:r w:rsidRPr="0022210A">
        <w:rPr>
          <w:rFonts w:cs="Arial" w:hint="cs"/>
          <w:sz w:val="16"/>
          <w:szCs w:val="16"/>
          <w:rtl/>
        </w:rPr>
        <w:t>'</w:t>
      </w:r>
      <w:r w:rsidRPr="0022210A">
        <w:rPr>
          <w:rFonts w:cs="Arial"/>
          <w:sz w:val="16"/>
          <w:szCs w:val="16"/>
          <w:rtl/>
        </w:rPr>
        <w:t xml:space="preserve"> אלף רנד</w:t>
      </w:r>
      <w:r w:rsidRPr="0022210A">
        <w:rPr>
          <w:rFonts w:cs="Arial" w:hint="cs"/>
          <w:sz w:val="16"/>
          <w:szCs w:val="16"/>
          <w:rtl/>
        </w:rPr>
        <w:t>)</w:t>
      </w:r>
      <w:r w:rsidRPr="0022210A">
        <w:rPr>
          <w:rFonts w:cs="Arial"/>
          <w:rtl/>
        </w:rPr>
        <w:t xml:space="preserve"> </w:t>
      </w:r>
      <w:r>
        <w:rPr>
          <w:rFonts w:cs="Arial" w:hint="cs"/>
          <w:rtl/>
        </w:rPr>
        <w:t>ו</w:t>
      </w:r>
      <w:r w:rsidRPr="0022210A">
        <w:rPr>
          <w:rFonts w:cs="Arial"/>
          <w:rtl/>
        </w:rPr>
        <w:t>תשב"ץ</w:t>
      </w:r>
      <w:r w:rsidRPr="00594D8E">
        <w:rPr>
          <w:rFonts w:cs="Arial"/>
          <w:sz w:val="16"/>
          <w:szCs w:val="16"/>
          <w:rtl/>
        </w:rPr>
        <w:t xml:space="preserve"> </w:t>
      </w:r>
      <w:r w:rsidRPr="00594D8E">
        <w:rPr>
          <w:rFonts w:cs="Arial" w:hint="cs"/>
          <w:sz w:val="16"/>
          <w:szCs w:val="16"/>
          <w:rtl/>
        </w:rPr>
        <w:t>(</w:t>
      </w:r>
      <w:r w:rsidRPr="00594D8E">
        <w:rPr>
          <w:rFonts w:cs="Arial"/>
          <w:sz w:val="16"/>
          <w:szCs w:val="16"/>
          <w:rtl/>
        </w:rPr>
        <w:t>ח"ג סי' רכג)</w:t>
      </w:r>
      <w:r>
        <w:rPr>
          <w:rFonts w:cs="Arial" w:hint="cs"/>
          <w:rtl/>
        </w:rPr>
        <w:t>-</w:t>
      </w:r>
      <w:r w:rsidRPr="0022210A">
        <w:rPr>
          <w:rFonts w:cs="Arial"/>
          <w:rtl/>
        </w:rPr>
        <w:t xml:space="preserve"> שמעתי משם הגאון שאין אדם רשאי לגרש את אשתו אם אין לו לפרוע כתובתה</w:t>
      </w:r>
      <w:r>
        <w:rPr>
          <w:rFonts w:cs="Arial" w:hint="cs"/>
          <w:rtl/>
        </w:rPr>
        <w:t>,</w:t>
      </w:r>
      <w:r w:rsidRPr="0022210A">
        <w:rPr>
          <w:rFonts w:cs="Arial"/>
          <w:rtl/>
        </w:rPr>
        <w:t xml:space="preserve"> כן מצאתי לרב אלפס בתשובה</w:t>
      </w:r>
      <w:r>
        <w:rPr>
          <w:rStyle w:val="a7"/>
          <w:rFonts w:cs="Arial"/>
          <w:rtl/>
        </w:rPr>
        <w:footnoteReference w:id="3337"/>
      </w:r>
      <w:r w:rsidRPr="0022210A">
        <w:rPr>
          <w:rFonts w:cs="Arial"/>
          <w:rtl/>
        </w:rPr>
        <w:t xml:space="preserve"> </w:t>
      </w:r>
      <w:r w:rsidRPr="0029088C">
        <w:rPr>
          <w:rFonts w:cs="Arial"/>
          <w:sz w:val="16"/>
          <w:szCs w:val="16"/>
          <w:rtl/>
        </w:rPr>
        <w:t>(סי' יד דפוס ליוורנו</w:t>
      </w:r>
      <w:r w:rsidRPr="0029088C">
        <w:rPr>
          <w:rFonts w:cs="Arial" w:hint="cs"/>
          <w:sz w:val="16"/>
          <w:szCs w:val="16"/>
          <w:rtl/>
        </w:rPr>
        <w:t>, וסי' קג בשו"ת הרי"ף</w:t>
      </w:r>
      <w:r w:rsidRPr="0029088C">
        <w:rPr>
          <w:rFonts w:cs="Arial"/>
          <w:sz w:val="16"/>
          <w:szCs w:val="16"/>
          <w:rtl/>
        </w:rPr>
        <w:t>)</w:t>
      </w:r>
      <w:r>
        <w:rPr>
          <w:rFonts w:cs="Arial" w:hint="cs"/>
          <w:rtl/>
        </w:rPr>
        <w:t>,</w:t>
      </w:r>
      <w:r w:rsidRPr="0022210A">
        <w:rPr>
          <w:rFonts w:cs="Arial"/>
          <w:rtl/>
        </w:rPr>
        <w:t xml:space="preserve"> והביא ראיה מדתנן </w:t>
      </w:r>
      <w:r w:rsidRPr="0029088C">
        <w:rPr>
          <w:rFonts w:cs="Arial"/>
          <w:sz w:val="16"/>
          <w:szCs w:val="16"/>
          <w:rtl/>
        </w:rPr>
        <w:t xml:space="preserve">(כתובות נא.) </w:t>
      </w:r>
      <w:r w:rsidRPr="0022210A">
        <w:rPr>
          <w:rFonts w:cs="Arial"/>
          <w:rtl/>
        </w:rPr>
        <w:t>לקתה חייב לרפאותה ואם אמר הרי גיטה וכתובתה ותרפא את עצמה רשאי</w:t>
      </w:r>
      <w:r>
        <w:rPr>
          <w:rFonts w:cs="Arial" w:hint="cs"/>
          <w:rtl/>
        </w:rPr>
        <w:t>,</w:t>
      </w:r>
      <w:r w:rsidRPr="0022210A">
        <w:rPr>
          <w:rFonts w:cs="Arial"/>
          <w:rtl/>
        </w:rPr>
        <w:t xml:space="preserve"> אבל שלא בכתובתה אינו רשאי</w:t>
      </w:r>
      <w:r>
        <w:rPr>
          <w:rFonts w:cs="Arial" w:hint="cs"/>
          <w:rtl/>
        </w:rPr>
        <w:t>.</w:t>
      </w:r>
      <w:r w:rsidRPr="0022210A">
        <w:rPr>
          <w:rFonts w:cs="Arial"/>
          <w:rtl/>
        </w:rPr>
        <w:t xml:space="preserve"> ואם לא קיבל עליו את הדין מנדין אותו</w:t>
      </w:r>
      <w:r w:rsidRPr="00A054D1">
        <w:rPr>
          <w:rtl/>
        </w:rPr>
        <w:t xml:space="preserve"> </w:t>
      </w:r>
      <w:r w:rsidRPr="00A054D1">
        <w:rPr>
          <w:rFonts w:cs="Arial"/>
          <w:rtl/>
        </w:rPr>
        <w:t>זה לשון התשובה</w:t>
      </w:r>
      <w:r>
        <w:rPr>
          <w:rStyle w:val="a7"/>
          <w:rFonts w:cs="Arial"/>
          <w:rtl/>
        </w:rPr>
        <w:footnoteReference w:id="3338"/>
      </w:r>
      <w:r>
        <w:rPr>
          <w:rFonts w:cs="Arial" w:hint="cs"/>
          <w:sz w:val="16"/>
          <w:szCs w:val="16"/>
          <w:rtl/>
        </w:rPr>
        <w:t xml:space="preserve"> (ל' הרשב"א והתשב"ץ)</w:t>
      </w:r>
      <w:r>
        <w:rPr>
          <w:rFonts w:cs="Arial" w:hint="cs"/>
          <w:rtl/>
        </w:rPr>
        <w:t>.</w:t>
      </w:r>
    </w:p>
    <w:bookmarkEnd w:id="17"/>
    <w:p w14:paraId="64CE8651" w14:textId="77777777" w:rsidR="007D6167" w:rsidRDefault="007D6167" w:rsidP="00B75458">
      <w:pPr>
        <w:pStyle w:val="ab"/>
        <w:numPr>
          <w:ilvl w:val="0"/>
          <w:numId w:val="193"/>
        </w:numPr>
      </w:pPr>
      <w:r w:rsidRPr="0022210A">
        <w:rPr>
          <w:rFonts w:cs="Arial"/>
          <w:rtl/>
        </w:rPr>
        <w:lastRenderedPageBreak/>
        <w:t xml:space="preserve">רא"ש </w:t>
      </w:r>
      <w:r w:rsidRPr="00524A5B">
        <w:rPr>
          <w:rFonts w:cs="Arial"/>
          <w:sz w:val="16"/>
          <w:szCs w:val="16"/>
          <w:rtl/>
        </w:rPr>
        <w:t xml:space="preserve">(כלל מב סי' א) </w:t>
      </w:r>
      <w:r>
        <w:rPr>
          <w:rFonts w:cs="Arial" w:hint="cs"/>
          <w:rtl/>
        </w:rPr>
        <w:t>ו</w:t>
      </w:r>
      <w:r w:rsidRPr="00054A1B">
        <w:rPr>
          <w:rFonts w:cs="Arial"/>
          <w:rtl/>
        </w:rPr>
        <w:t xml:space="preserve">ריב"ש </w:t>
      </w:r>
      <w:r w:rsidRPr="00524A5B">
        <w:rPr>
          <w:rFonts w:cs="Arial"/>
          <w:sz w:val="16"/>
          <w:szCs w:val="16"/>
          <w:rtl/>
        </w:rPr>
        <w:t>(סי' צא</w:t>
      </w:r>
      <w:r w:rsidRPr="00524A5B">
        <w:rPr>
          <w:rFonts w:cs="Arial" w:hint="cs"/>
          <w:sz w:val="16"/>
          <w:szCs w:val="16"/>
          <w:rtl/>
        </w:rPr>
        <w:t>, הביאו הדרכ"מ [אות א]</w:t>
      </w:r>
      <w:r w:rsidRPr="00524A5B">
        <w:rPr>
          <w:rFonts w:cs="Arial"/>
          <w:sz w:val="16"/>
          <w:szCs w:val="16"/>
          <w:rtl/>
        </w:rPr>
        <w:t>)</w:t>
      </w:r>
      <w:r>
        <w:rPr>
          <w:rFonts w:cs="Arial" w:hint="cs"/>
          <w:rtl/>
        </w:rPr>
        <w:t xml:space="preserve">- </w:t>
      </w:r>
      <w:r w:rsidRPr="00054A1B">
        <w:rPr>
          <w:rFonts w:cs="Arial"/>
          <w:rtl/>
        </w:rPr>
        <w:t>במקום שמגרשה מן הדין צריכה לקבל גט ואע</w:t>
      </w:r>
      <w:r>
        <w:rPr>
          <w:rFonts w:cs="Arial" w:hint="cs"/>
          <w:rtl/>
        </w:rPr>
        <w:t>"</w:t>
      </w:r>
      <w:r w:rsidRPr="00054A1B">
        <w:rPr>
          <w:rFonts w:cs="Arial"/>
          <w:rtl/>
        </w:rPr>
        <w:t>פ שאין לו לפרוע הכתובה</w:t>
      </w:r>
      <w:r>
        <w:rPr>
          <w:rFonts w:cs="Arial" w:hint="cs"/>
          <w:sz w:val="16"/>
          <w:szCs w:val="16"/>
          <w:rtl/>
        </w:rPr>
        <w:t xml:space="preserve"> (ל' הדרכ"מ)</w:t>
      </w:r>
      <w:r>
        <w:rPr>
          <w:rFonts w:cs="Arial" w:hint="cs"/>
          <w:rtl/>
        </w:rPr>
        <w:t>.</w:t>
      </w:r>
      <w:r w:rsidRPr="0022210A">
        <w:rPr>
          <w:rFonts w:cs="Arial"/>
          <w:rtl/>
        </w:rPr>
        <w:t xml:space="preserve"> </w:t>
      </w:r>
      <w:r w:rsidRPr="00544E63">
        <w:rPr>
          <w:rFonts w:hint="cs"/>
          <w:color w:val="E36C0A" w:themeColor="accent6" w:themeShade="BF"/>
          <w:rtl/>
        </w:rPr>
        <w:t>(וכ"פ בשו"ע</w:t>
      </w:r>
      <w:r>
        <w:rPr>
          <w:rFonts w:hint="cs"/>
          <w:color w:val="E36C0A" w:themeColor="accent6" w:themeShade="BF"/>
          <w:sz w:val="16"/>
          <w:szCs w:val="16"/>
          <w:rtl/>
        </w:rPr>
        <w:t xml:space="preserve"> </w:t>
      </w:r>
      <w:r w:rsidRPr="00EC11A0">
        <w:rPr>
          <w:rFonts w:hint="cs"/>
          <w:color w:val="000000" w:themeColor="text1"/>
          <w:sz w:val="16"/>
          <w:szCs w:val="16"/>
          <w:rtl/>
        </w:rPr>
        <w:t>[</w:t>
      </w:r>
      <w:r>
        <w:rPr>
          <w:rFonts w:hint="cs"/>
          <w:color w:val="000000" w:themeColor="text1"/>
          <w:sz w:val="16"/>
          <w:szCs w:val="16"/>
          <w:rtl/>
        </w:rPr>
        <w:t>בסי' קיז סי"א</w:t>
      </w:r>
      <w:r w:rsidRPr="00EC11A0">
        <w:rPr>
          <w:rFonts w:hint="cs"/>
          <w:color w:val="000000" w:themeColor="text1"/>
          <w:sz w:val="16"/>
          <w:szCs w:val="16"/>
          <w:rtl/>
        </w:rPr>
        <w:t>]</w:t>
      </w:r>
      <w:r w:rsidRPr="00544E63">
        <w:rPr>
          <w:rFonts w:hint="cs"/>
          <w:color w:val="E36C0A" w:themeColor="accent6" w:themeShade="BF"/>
          <w:rtl/>
        </w:rPr>
        <w:t>)</w:t>
      </w:r>
      <w:r>
        <w:rPr>
          <w:rFonts w:hint="cs"/>
          <w:rtl/>
        </w:rPr>
        <w:t xml:space="preserve"> </w:t>
      </w:r>
      <w:r w:rsidRPr="002666AC">
        <w:rPr>
          <w:rFonts w:hint="cs"/>
          <w:color w:val="00B0F0"/>
          <w:rtl/>
        </w:rPr>
        <w:t>(וכ"פ הרמ</w:t>
      </w:r>
      <w:r>
        <w:rPr>
          <w:rFonts w:hint="cs"/>
          <w:color w:val="00B0F0"/>
          <w:rtl/>
        </w:rPr>
        <w:t xml:space="preserve">"א </w:t>
      </w:r>
      <w:bookmarkStart w:id="18" w:name="_Hlk74818137"/>
      <w:r w:rsidRPr="00EC11A0">
        <w:rPr>
          <w:rFonts w:hint="cs"/>
          <w:color w:val="000000" w:themeColor="text1"/>
          <w:sz w:val="16"/>
          <w:szCs w:val="16"/>
          <w:rtl/>
        </w:rPr>
        <w:t>[</w:t>
      </w:r>
      <w:r>
        <w:rPr>
          <w:rFonts w:hint="cs"/>
          <w:color w:val="000000" w:themeColor="text1"/>
          <w:sz w:val="16"/>
          <w:szCs w:val="16"/>
          <w:rtl/>
        </w:rPr>
        <w:t>כאן, ובסי' קיז סי"א</w:t>
      </w:r>
      <w:r w:rsidRPr="00EC11A0">
        <w:rPr>
          <w:rFonts w:hint="cs"/>
          <w:color w:val="000000" w:themeColor="text1"/>
          <w:sz w:val="16"/>
          <w:szCs w:val="16"/>
          <w:rtl/>
        </w:rPr>
        <w:t>]</w:t>
      </w:r>
      <w:bookmarkEnd w:id="18"/>
      <w:r w:rsidRPr="002666AC">
        <w:rPr>
          <w:rFonts w:hint="cs"/>
          <w:color w:val="00B0F0"/>
          <w:rtl/>
        </w:rPr>
        <w:t>)</w:t>
      </w:r>
    </w:p>
    <w:p w14:paraId="6203C929" w14:textId="77777777" w:rsidR="007D6167" w:rsidRPr="00FD65DC" w:rsidRDefault="007D6167" w:rsidP="007D6167">
      <w:pPr>
        <w:rPr>
          <w:u w:val="single"/>
        </w:rPr>
      </w:pPr>
      <w:r w:rsidRPr="00FD65DC">
        <w:rPr>
          <w:rFonts w:hint="cs"/>
          <w:u w:val="single"/>
          <w:rtl/>
        </w:rPr>
        <w:t>נשא אשה במקום שנוהגין לא לגרש אשה שלא מדעתה:</w:t>
      </w:r>
    </w:p>
    <w:p w14:paraId="46490DC6" w14:textId="77777777" w:rsidR="007D6167" w:rsidRDefault="007D6167" w:rsidP="00B75458">
      <w:pPr>
        <w:pStyle w:val="ab"/>
        <w:numPr>
          <w:ilvl w:val="0"/>
          <w:numId w:val="193"/>
        </w:numPr>
      </w:pPr>
      <w:bookmarkStart w:id="19" w:name="_Hlk74757727"/>
      <w:r w:rsidRPr="0022210A">
        <w:rPr>
          <w:rFonts w:cs="Arial"/>
          <w:rtl/>
        </w:rPr>
        <w:t>רשב"א</w:t>
      </w:r>
      <w:r w:rsidRPr="00FD65DC">
        <w:rPr>
          <w:rFonts w:cs="Arial"/>
          <w:sz w:val="16"/>
          <w:szCs w:val="16"/>
          <w:rtl/>
        </w:rPr>
        <w:t xml:space="preserve"> (ח"ד סי' קפו)</w:t>
      </w:r>
      <w:r>
        <w:rPr>
          <w:rFonts w:cs="Arial" w:hint="cs"/>
          <w:rtl/>
        </w:rPr>
        <w:t>-</w:t>
      </w:r>
      <w:r w:rsidRPr="0022210A">
        <w:rPr>
          <w:rFonts w:cs="Arial"/>
          <w:rtl/>
        </w:rPr>
        <w:t xml:space="preserve"> כל שנשא במקום שאין מגרשין אלא מדעת האשה</w:t>
      </w:r>
      <w:r>
        <w:rPr>
          <w:rFonts w:cs="Arial" w:hint="cs"/>
          <w:rtl/>
        </w:rPr>
        <w:t xml:space="preserve"> -</w:t>
      </w:r>
      <w:r w:rsidRPr="0022210A">
        <w:rPr>
          <w:rFonts w:cs="Arial"/>
          <w:rtl/>
        </w:rPr>
        <w:t xml:space="preserve"> סתמו כפירושו ועל דעת כן נשאה שלא יגרשנה אלא מדעתה</w:t>
      </w:r>
      <w:r>
        <w:rPr>
          <w:rFonts w:cs="Arial" w:hint="cs"/>
          <w:rtl/>
        </w:rPr>
        <w:t>.</w:t>
      </w:r>
      <w:r w:rsidRPr="0022210A">
        <w:rPr>
          <w:rFonts w:cs="Arial"/>
          <w:rtl/>
        </w:rPr>
        <w:t xml:space="preserve"> ואם יגרשנה</w:t>
      </w:r>
      <w:r>
        <w:rPr>
          <w:rFonts w:cs="Arial" w:hint="cs"/>
          <w:rtl/>
        </w:rPr>
        <w:t>,</w:t>
      </w:r>
      <w:r w:rsidRPr="0022210A">
        <w:rPr>
          <w:rFonts w:cs="Arial"/>
          <w:rtl/>
        </w:rPr>
        <w:t xml:space="preserve"> הוא חייב במה שנהגו לחייב העובר על אותו מנהג</w:t>
      </w:r>
      <w:r>
        <w:rPr>
          <w:rFonts w:cs="Arial" w:hint="cs"/>
          <w:rtl/>
        </w:rPr>
        <w:t>,</w:t>
      </w:r>
      <w:r w:rsidRPr="0022210A">
        <w:rPr>
          <w:rFonts w:cs="Arial"/>
          <w:rtl/>
        </w:rPr>
        <w:t xml:space="preserve"> בין בקנס בין בנידוי</w:t>
      </w:r>
      <w:r>
        <w:rPr>
          <w:rFonts w:cs="Arial" w:hint="cs"/>
          <w:rtl/>
        </w:rPr>
        <w:t>.</w:t>
      </w:r>
      <w:r w:rsidRPr="0022210A">
        <w:rPr>
          <w:rFonts w:cs="Arial"/>
          <w:rtl/>
        </w:rPr>
        <w:t xml:space="preserve"> ואפילו הוציאה מהמקום ההוא והוליכה למקום אחר</w:t>
      </w:r>
      <w:r>
        <w:rPr>
          <w:rFonts w:cs="Arial" w:hint="cs"/>
          <w:rtl/>
        </w:rPr>
        <w:t>,</w:t>
      </w:r>
      <w:r w:rsidRPr="0022210A">
        <w:rPr>
          <w:rFonts w:cs="Arial"/>
          <w:rtl/>
        </w:rPr>
        <w:t xml:space="preserve"> אינו רשאי לגרש אלא על פי דרך מנהג מקום הנישואין</w:t>
      </w:r>
      <w:r>
        <w:rPr>
          <w:rFonts w:cs="Arial" w:hint="cs"/>
          <w:rtl/>
        </w:rPr>
        <w:t>,</w:t>
      </w:r>
      <w:r w:rsidRPr="0022210A">
        <w:rPr>
          <w:rFonts w:cs="Arial"/>
          <w:rtl/>
        </w:rPr>
        <w:t xml:space="preserve"> שעל מנת כן נשאה</w:t>
      </w:r>
      <w:r>
        <w:rPr>
          <w:rFonts w:cs="Arial" w:hint="cs"/>
          <w:rtl/>
        </w:rPr>
        <w:t>.</w:t>
      </w:r>
      <w:r w:rsidRPr="0022210A">
        <w:rPr>
          <w:rFonts w:cs="Arial"/>
          <w:rtl/>
        </w:rPr>
        <w:t xml:space="preserve"> וכל שכן אם יש שם הסכמה ידועה ויכולים הם לקנסו באותו קנס או לנדותו כאילו נשא וגירש שם</w:t>
      </w:r>
      <w:r>
        <w:rPr>
          <w:rFonts w:cs="Arial" w:hint="cs"/>
          <w:rtl/>
        </w:rPr>
        <w:t>.</w:t>
      </w:r>
      <w:bookmarkEnd w:id="19"/>
    </w:p>
    <w:p w14:paraId="7BA243A3" w14:textId="77777777" w:rsidR="007D6167" w:rsidRPr="00F157E5" w:rsidRDefault="007D6167" w:rsidP="007D6167">
      <w:pPr>
        <w:rPr>
          <w:sz w:val="16"/>
          <w:szCs w:val="16"/>
          <w:u w:val="single"/>
        </w:rPr>
      </w:pPr>
      <w:r w:rsidRPr="00F157E5">
        <w:rPr>
          <w:rFonts w:hint="cs"/>
          <w:u w:val="single"/>
          <w:rtl/>
        </w:rPr>
        <w:t xml:space="preserve">מי שנתן גט לאשתו בעל כרחה, ונשאת לאחר </w:t>
      </w:r>
      <w:r w:rsidRPr="00F157E5">
        <w:rPr>
          <w:u w:val="single"/>
          <w:rtl/>
        </w:rPr>
        <w:t>–</w:t>
      </w:r>
      <w:r w:rsidRPr="00F157E5">
        <w:rPr>
          <w:rFonts w:hint="cs"/>
          <w:u w:val="single"/>
          <w:rtl/>
        </w:rPr>
        <w:t xml:space="preserve"> האם זה </w:t>
      </w:r>
      <w:r w:rsidRPr="00F157E5">
        <w:rPr>
          <w:rFonts w:hint="cs"/>
          <w:color w:val="FF0000"/>
          <w:u w:val="single"/>
          <w:rtl/>
        </w:rPr>
        <w:t xml:space="preserve">שנשא אותה </w:t>
      </w:r>
      <w:r w:rsidRPr="00F157E5">
        <w:rPr>
          <w:rFonts w:hint="cs"/>
          <w:u w:val="single"/>
          <w:rtl/>
        </w:rPr>
        <w:t>מיקרי עבריין:</w:t>
      </w:r>
      <w:r w:rsidRPr="00F157E5">
        <w:rPr>
          <w:rFonts w:hint="cs"/>
          <w:sz w:val="16"/>
          <w:szCs w:val="16"/>
          <w:rtl/>
        </w:rPr>
        <w:t xml:space="preserve">  (דרכ"מ אות ב)</w:t>
      </w:r>
    </w:p>
    <w:p w14:paraId="1B09B4D6" w14:textId="77777777" w:rsidR="007D6167" w:rsidRPr="00F157E5" w:rsidRDefault="007D6167" w:rsidP="00B75458">
      <w:pPr>
        <w:pStyle w:val="ab"/>
        <w:numPr>
          <w:ilvl w:val="0"/>
          <w:numId w:val="193"/>
        </w:numPr>
      </w:pPr>
      <w:r w:rsidRPr="0039471B">
        <w:rPr>
          <w:rFonts w:cs="Arial"/>
          <w:rtl/>
        </w:rPr>
        <w:t xml:space="preserve">כל בו </w:t>
      </w:r>
      <w:r w:rsidRPr="00AD03A6">
        <w:rPr>
          <w:rFonts w:cs="Arial"/>
          <w:sz w:val="16"/>
          <w:szCs w:val="16"/>
          <w:rtl/>
        </w:rPr>
        <w:t>(סי' קטז פט א)</w:t>
      </w:r>
      <w:r>
        <w:rPr>
          <w:rFonts w:cs="Arial" w:hint="cs"/>
          <w:rtl/>
        </w:rPr>
        <w:t>-</w:t>
      </w:r>
      <w:r w:rsidRPr="00AD03A6">
        <w:rPr>
          <w:rtl/>
        </w:rPr>
        <w:t xml:space="preserve"> </w:t>
      </w:r>
      <w:r w:rsidRPr="00AD03A6">
        <w:rPr>
          <w:rFonts w:cs="Arial"/>
          <w:rtl/>
        </w:rPr>
        <w:t xml:space="preserve">אם נתן גט לאשה בעל כרחה ונשאת </w:t>
      </w:r>
      <w:r>
        <w:rPr>
          <w:rFonts w:cs="Arial" w:hint="cs"/>
          <w:rtl/>
        </w:rPr>
        <w:t xml:space="preserve">- </w:t>
      </w:r>
      <w:r w:rsidRPr="00AD03A6">
        <w:rPr>
          <w:rFonts w:cs="Arial"/>
          <w:rtl/>
        </w:rPr>
        <w:t>האיש פטור ואינו עבריין</w:t>
      </w:r>
      <w:r>
        <w:rPr>
          <w:rFonts w:cs="Arial" w:hint="cs"/>
          <w:rtl/>
        </w:rPr>
        <w:t>.</w:t>
      </w:r>
      <w:r w:rsidRPr="00AD03A6">
        <w:rPr>
          <w:rFonts w:cs="Arial"/>
          <w:rtl/>
        </w:rPr>
        <w:t xml:space="preserve"> </w:t>
      </w:r>
      <w:r w:rsidRPr="002666AC">
        <w:rPr>
          <w:rFonts w:hint="cs"/>
          <w:color w:val="00B0F0"/>
          <w:rtl/>
        </w:rPr>
        <w:t>(וכ"פ הרמ</w:t>
      </w:r>
      <w:r>
        <w:rPr>
          <w:rFonts w:hint="cs"/>
          <w:color w:val="00B0F0"/>
          <w:rtl/>
        </w:rPr>
        <w:t>"א)</w:t>
      </w:r>
    </w:p>
    <w:p w14:paraId="5E6B2984" w14:textId="77777777" w:rsidR="007D6167" w:rsidRPr="00F157E5" w:rsidRDefault="007D6167" w:rsidP="007D6167">
      <w:pPr>
        <w:rPr>
          <w:u w:val="single"/>
        </w:rPr>
      </w:pPr>
      <w:r w:rsidRPr="00F157E5">
        <w:rPr>
          <w:rFonts w:hint="cs"/>
          <w:u w:val="single"/>
          <w:rtl/>
        </w:rPr>
        <w:t xml:space="preserve">מי שנתן לאשתו גט ונמצא פסול </w:t>
      </w:r>
      <w:r w:rsidRPr="00F157E5">
        <w:rPr>
          <w:u w:val="single"/>
          <w:rtl/>
        </w:rPr>
        <w:t>–</w:t>
      </w:r>
      <w:r w:rsidRPr="00F157E5">
        <w:rPr>
          <w:rFonts w:hint="cs"/>
          <w:u w:val="single"/>
          <w:rtl/>
        </w:rPr>
        <w:t xml:space="preserve"> האם יכול לתת לה גט חדש כשר בעל כרחה:</w:t>
      </w:r>
      <w:r w:rsidRPr="00F157E5">
        <w:rPr>
          <w:rFonts w:hint="cs"/>
          <w:sz w:val="16"/>
          <w:szCs w:val="16"/>
          <w:rtl/>
        </w:rPr>
        <w:t xml:space="preserve">  (דרכ"מ אות ב)</w:t>
      </w:r>
    </w:p>
    <w:p w14:paraId="50249A7F" w14:textId="77777777" w:rsidR="007D6167" w:rsidRPr="00705D4B" w:rsidRDefault="007D6167" w:rsidP="00B75458">
      <w:pPr>
        <w:pStyle w:val="ab"/>
        <w:numPr>
          <w:ilvl w:val="0"/>
          <w:numId w:val="193"/>
        </w:numPr>
        <w:rPr>
          <w:rtl/>
        </w:rPr>
      </w:pPr>
      <w:r w:rsidRPr="0039471B">
        <w:rPr>
          <w:rFonts w:cs="Arial"/>
          <w:rtl/>
        </w:rPr>
        <w:t xml:space="preserve">כל בו </w:t>
      </w:r>
      <w:r w:rsidRPr="00AD03A6">
        <w:rPr>
          <w:rFonts w:cs="Arial"/>
          <w:sz w:val="16"/>
          <w:szCs w:val="16"/>
          <w:rtl/>
        </w:rPr>
        <w:t>(סי' קטז פט א)</w:t>
      </w:r>
      <w:r>
        <w:rPr>
          <w:rFonts w:cs="Arial" w:hint="cs"/>
          <w:rtl/>
        </w:rPr>
        <w:t>-</w:t>
      </w:r>
      <w:r w:rsidRPr="00AD03A6">
        <w:rPr>
          <w:rtl/>
        </w:rPr>
        <w:t xml:space="preserve"> </w:t>
      </w:r>
      <w:r w:rsidRPr="00AD03A6">
        <w:rPr>
          <w:rFonts w:cs="Arial"/>
          <w:rtl/>
        </w:rPr>
        <w:t xml:space="preserve">נתן גט מרצונה ונמצא פסול </w:t>
      </w:r>
      <w:r>
        <w:rPr>
          <w:rFonts w:cs="Arial" w:hint="cs"/>
          <w:rtl/>
        </w:rPr>
        <w:t xml:space="preserve">- </w:t>
      </w:r>
      <w:r w:rsidRPr="00AD03A6">
        <w:rPr>
          <w:rFonts w:cs="Arial"/>
          <w:rtl/>
        </w:rPr>
        <w:t>יכול לחזור וליתן לה בעל כרחה</w:t>
      </w:r>
      <w:r>
        <w:rPr>
          <w:rFonts w:cs="Arial" w:hint="cs"/>
          <w:rtl/>
        </w:rPr>
        <w:t>.</w:t>
      </w:r>
      <w:r w:rsidRPr="00F157E5">
        <w:rPr>
          <w:rFonts w:hint="cs"/>
          <w:color w:val="00B0F0"/>
          <w:rtl/>
        </w:rPr>
        <w:t xml:space="preserve"> </w:t>
      </w:r>
      <w:r w:rsidRPr="002666AC">
        <w:rPr>
          <w:rFonts w:hint="cs"/>
          <w:color w:val="00B0F0"/>
          <w:rtl/>
        </w:rPr>
        <w:t>(וכ"פ הרמ</w:t>
      </w:r>
      <w:r>
        <w:rPr>
          <w:rFonts w:hint="cs"/>
          <w:color w:val="00B0F0"/>
          <w:rtl/>
        </w:rPr>
        <w:t>"א)</w:t>
      </w:r>
    </w:p>
    <w:p w14:paraId="2747E968"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CD20A82" w14:textId="77777777" w:rsidR="007D6167" w:rsidRDefault="007D6167" w:rsidP="007D6167">
      <w:pPr>
        <w:rPr>
          <w:rFonts w:cs="Arial"/>
          <w:rtl/>
        </w:rPr>
      </w:pPr>
      <w:r w:rsidRPr="007B74F1">
        <w:rPr>
          <w:rFonts w:cs="Arial"/>
          <w:rtl/>
        </w:rPr>
        <w:t xml:space="preserve">יכול לגרשה בלא דעתה. </w:t>
      </w:r>
      <w:r w:rsidRPr="00054A1B">
        <w:rPr>
          <w:rFonts w:cs="Arial"/>
          <w:sz w:val="18"/>
          <w:szCs w:val="18"/>
          <w:rtl/>
        </w:rPr>
        <w:t>הגה: ואפילו אין לו לשלם לה הכתובה ונדונייתה, אינה יכולה לעכב משום זה הגירושין, אלא תתגרש ותתבע אותו מה שחייב לה (רא"ש וריב"ש). וכל זה מדינא, אבל ר"ג החרים שלא לגרש אשה שלא מדעתה, אם לא שעברה על דת, וכמו שנתבאר לעיל סי' קט"ו. ואפי' אם רוצה ליתן לה הכתובה, אין לגרשה בזמן הזה שלא מדעתה (סמ"ק סי' קפד). עבר וגירשה בעל כרחה בזמן הזה, ונשאת שוב</w:t>
      </w:r>
      <w:r>
        <w:rPr>
          <w:rFonts w:cs="Arial" w:hint="cs"/>
          <w:sz w:val="18"/>
          <w:szCs w:val="18"/>
          <w:rtl/>
        </w:rPr>
        <w:t>,</w:t>
      </w:r>
      <w:r w:rsidRPr="00054A1B">
        <w:rPr>
          <w:rFonts w:cs="Arial"/>
          <w:sz w:val="18"/>
          <w:szCs w:val="18"/>
          <w:rtl/>
        </w:rPr>
        <w:t xml:space="preserve"> אין האיש נקרא עבריין (כל בו). גירשה מדעתה, ונמצא פסול בגט, יכול אחר כך לגרשה בעל כרחה (ג"ז שם). נולדו בה מומין, ע"ל סוף סימן קי"ז אם יכול לגרשה בעל כרחה. יש אומרים דבמקום מצוה יכול לגרש אשתו בעל כרחה או מתירים לו לישא שתי נשים (מהר"ם פדוואה סי</w:t>
      </w:r>
      <w:r>
        <w:rPr>
          <w:rFonts w:cs="Arial" w:hint="cs"/>
          <w:sz w:val="18"/>
          <w:szCs w:val="18"/>
          <w:rtl/>
        </w:rPr>
        <w:t>'</w:t>
      </w:r>
      <w:r w:rsidRPr="00054A1B">
        <w:rPr>
          <w:rFonts w:cs="Arial"/>
          <w:sz w:val="18"/>
          <w:szCs w:val="18"/>
          <w:rtl/>
        </w:rPr>
        <w:t xml:space="preserve"> יג), (וכמו שנתבאר לעיל סי' א').</w:t>
      </w:r>
      <w:r w:rsidRPr="007B74F1">
        <w:rPr>
          <w:rFonts w:cs="Arial"/>
          <w:rtl/>
        </w:rPr>
        <w:t xml:space="preserve"> לפיכך קטנה מתגרשת אף על פי שאין בה דעת גמורה, אפילו אם קבל אביה קדושיה שהם דאורייתא, או חרשת שנתקדשה כשהיתה פקחת, ונתחרשה</w:t>
      </w:r>
      <w:r>
        <w:rPr>
          <w:rFonts w:cs="Arial" w:hint="cs"/>
          <w:rtl/>
        </w:rPr>
        <w:t>.</w:t>
      </w:r>
      <w:r w:rsidRPr="007B74F1">
        <w:rPr>
          <w:rFonts w:cs="Arial"/>
          <w:rtl/>
        </w:rPr>
        <w:t xml:space="preserve"> אבל אם נשתטית, ואינה יודעת לשמור עצמה, אינו מוציאה עד שתבריא, שלא ינהגו בה מנהג הפקר. לפיכך מניחה ונושא אחרת</w:t>
      </w:r>
      <w:r>
        <w:rPr>
          <w:rFonts w:cs="Arial" w:hint="cs"/>
          <w:rtl/>
        </w:rPr>
        <w:t>,</w:t>
      </w:r>
      <w:r w:rsidRPr="007B74F1">
        <w:rPr>
          <w:rFonts w:cs="Arial"/>
          <w:rtl/>
        </w:rPr>
        <w:t xml:space="preserve"> ומאכילה ומשקה משלה. ואין מחייבים אותו בשאר כסות ועונה ואינו חייב לרפאותה </w:t>
      </w:r>
      <w:r>
        <w:rPr>
          <w:rFonts w:cs="Arial" w:hint="cs"/>
          <w:sz w:val="18"/>
          <w:szCs w:val="18"/>
          <w:rtl/>
        </w:rPr>
        <w:t xml:space="preserve">[הגה] </w:t>
      </w:r>
      <w:r w:rsidRPr="00054A1B">
        <w:rPr>
          <w:rFonts w:cs="Arial"/>
          <w:sz w:val="18"/>
          <w:szCs w:val="18"/>
          <w:rtl/>
        </w:rPr>
        <w:t>וי"א דחייב במזונותיה ורפואתה (רשב"א רמ"ה וראב"ד), וכן פסק לעיל סי' ע' סעיף ד', וכן עיקר</w:t>
      </w:r>
      <w:r>
        <w:rPr>
          <w:rFonts w:cs="Arial" w:hint="cs"/>
          <w:rtl/>
        </w:rPr>
        <w:t>.</w:t>
      </w:r>
      <w:r w:rsidRPr="007B74F1">
        <w:rPr>
          <w:rFonts w:cs="Arial"/>
          <w:rtl/>
        </w:rPr>
        <w:t xml:space="preserve"> ולא לפדותה. ואם גירשה, מגורשת והוא שתהיה יודעת לשמור גיטה. </w:t>
      </w:r>
      <w:r>
        <w:rPr>
          <w:rFonts w:cs="Arial" w:hint="cs"/>
          <w:sz w:val="18"/>
          <w:szCs w:val="18"/>
          <w:rtl/>
        </w:rPr>
        <w:t xml:space="preserve">[הגה] </w:t>
      </w:r>
      <w:r w:rsidRPr="00054A1B">
        <w:rPr>
          <w:rFonts w:cs="Arial"/>
          <w:sz w:val="18"/>
          <w:szCs w:val="18"/>
          <w:rtl/>
        </w:rPr>
        <w:t>וי"א דאפי' בדיעבד אינה מגורשת (כן משמע במהרי"ו סי</w:t>
      </w:r>
      <w:r>
        <w:rPr>
          <w:rFonts w:cs="Arial" w:hint="cs"/>
          <w:sz w:val="18"/>
          <w:szCs w:val="18"/>
          <w:rtl/>
        </w:rPr>
        <w:t>'</w:t>
      </w:r>
      <w:r w:rsidRPr="00054A1B">
        <w:rPr>
          <w:rFonts w:cs="Arial"/>
          <w:sz w:val="18"/>
          <w:szCs w:val="18"/>
          <w:rtl/>
        </w:rPr>
        <w:t xml:space="preserve"> נב)</w:t>
      </w:r>
      <w:r>
        <w:rPr>
          <w:rFonts w:cs="Arial" w:hint="cs"/>
          <w:sz w:val="18"/>
          <w:szCs w:val="18"/>
          <w:rtl/>
        </w:rPr>
        <w:t>.</w:t>
      </w:r>
      <w:r w:rsidRPr="00054A1B">
        <w:rPr>
          <w:rFonts w:cs="Arial"/>
          <w:sz w:val="18"/>
          <w:szCs w:val="18"/>
          <w:rtl/>
        </w:rPr>
        <w:t xml:space="preserve"> אבל בעתים שוטה ובעתים חלומה, וגירשה בעת חלימתה מפני שהיה נראה שתשאר כך, לא מהדרינן עובדא (פסקי מהרא"י סימן רט"ו). (ועיין לקמן סי' קכ"א סעיף ג'). ומוציאה מביתו ואינו חייב לחזור וליטפל בה.</w:t>
      </w:r>
      <w:r w:rsidRPr="007B74F1">
        <w:rPr>
          <w:rFonts w:cs="Arial"/>
          <w:rtl/>
        </w:rPr>
        <w:t xml:space="preserve"> </w:t>
      </w:r>
    </w:p>
    <w:p w14:paraId="70E9DAE4" w14:textId="77777777" w:rsidR="007D6167" w:rsidRDefault="007D6167" w:rsidP="007D6167">
      <w:pPr>
        <w:rPr>
          <w:rFonts w:cs="Arial"/>
          <w:rtl/>
        </w:rPr>
      </w:pPr>
    </w:p>
    <w:p w14:paraId="567F4979" w14:textId="77777777" w:rsidR="007D6167" w:rsidRPr="00F72BC7" w:rsidRDefault="007D6167" w:rsidP="007D6167">
      <w:pPr>
        <w:rPr>
          <w:rFonts w:cs="Arial"/>
          <w:rtl/>
        </w:rPr>
      </w:pPr>
      <w:r w:rsidRPr="00F72BC7">
        <w:rPr>
          <w:rFonts w:cs="Arial"/>
          <w:rtl/>
        </w:rPr>
        <w:t>סעיף ו (ד) יכול לגרשה בלא דעתה. עיין בתשו' ברית אברהם סי' ק"ט שכתב דמדברי הרא"ש (פ"ב דגיטין סי' ה') בענין גט מאוחר יש ללמוד דין מחודש דהבעל אינו יכול לגרש בע"כ דהאשה על תנאי כגון מהיום אם מתי תוך ב' שנים וכה"ג דהא כשמגרש על תנאי הדין דלא תתיחד עמו (כדלקמן סי' קמ"ח ס"ב וא"כ מפסדת עונתה והיא אינה מתרצת לכך רק או שיגרשה לגמרי או שתשב עמו ואין יכול לכוף את אשתו לגרש ע"ת שתהא אגידא ביה מכ"ש ממ"ש הרא"ש שם דא"י לגרשה בגט מאוחר בע"כ להראב"ד ע"ש באורך:</w:t>
      </w:r>
    </w:p>
    <w:p w14:paraId="6C328F7B" w14:textId="77777777" w:rsidR="007D6167" w:rsidRPr="00F72BC7" w:rsidRDefault="007D6167" w:rsidP="007D6167">
      <w:pPr>
        <w:rPr>
          <w:rFonts w:cs="Arial"/>
          <w:rtl/>
        </w:rPr>
      </w:pPr>
      <w:r w:rsidRPr="00F72BC7">
        <w:rPr>
          <w:rFonts w:cs="Arial"/>
          <w:rtl/>
        </w:rPr>
        <w:t>(ה) הכתובה. עבה"ט מ"ש ופר"ח הקשה מש"ס דיבמות כו' גם מפ' הניזקין כו' וכבר קדמוהו בראיות אלו בתשב"ץ ח"ג סי' רכ"ג והובא ג"כ בתשו' ברית אברהם סי' צ"א אות ה' ע"ש עוד. ומ"ש הבה"ט ואני אומר דאין למידין מן ההגדות וכ"כ התוי"ט כו' לאו קושיא היא על הפר"ח כי הפר"ח בעצמו בס' מים חיים השיג על התוי"ט שם וכתב דהך כללא דאין למידין ממדרשות הוא רק לענין פסק הלכה כדברי מי היכא דלא מפרש בש"ס ההלכתא אבל דינא דלא איתפרש בש"ס מצינו כמה פעמים דלמדין ממדרשות והובא דבריו בגליון המשניות פ"ה דברכות בתוס' רע"ק אות ל"ו. גם בס' באר יעקב דחה דברי הבה"ט בזה מטעם דהא דאין למידין היינו אם סותר לדברי התלמוד וגם יש לחלק דאם הוקבעה בש"ס דילן שפיר למידין ע"ש. ועיין בס' נו"ב תניינא חיו"ד סי' קס"א מזה:</w:t>
      </w:r>
    </w:p>
    <w:p w14:paraId="6AB74A6E" w14:textId="77777777" w:rsidR="007D6167" w:rsidRPr="00F72BC7" w:rsidRDefault="007D6167" w:rsidP="007D6167">
      <w:pPr>
        <w:rPr>
          <w:rFonts w:cs="Arial"/>
          <w:rtl/>
        </w:rPr>
      </w:pPr>
      <w:r w:rsidRPr="00F72BC7">
        <w:rPr>
          <w:rFonts w:cs="Arial"/>
          <w:rtl/>
        </w:rPr>
        <w:t xml:space="preserve">(ו) החרים שלא לגרש. עיין בתשו' נו"ב סי' ע"ה במעשה באחד שגירש אשתו בעל כרחה ע"י שליח שתפסוה בעלי מלחמה להאשה באמצע הרחוב והשליח זרק הגט לחיקה והאשה צעקה ואין מושיע לה והיא לא נתרצית לקבל והשליכה הגט מחיקה. והורה כיון שיש כאן עבירה חמורה לעבור על חרגמ"ה לגרש בע"כ א"כ אין שליח לדבר עבירה ובטל מעשה השליחות לגמרי וכמו שנראה מדברי התוס' במס' ב"מ דף יו"ד ע"ב בד"ה דאמר בתירוץ השני ע"ש) ולא נתגרשה בשליחות הבעל ואין כאן גירושין והיא אסורה להנשא והוא המגרש עודנו אישה וחייב בכל חיובי הבעל לאשתו ואסור באשה אחרת משום חרגמ"ה שלא לישא ב' נשים. וע"ז ערערו חכמי הדור ואמרו שלא אמרו אין שלד"ע אלא שלא יתחייב המשלח אבל עיקר המעשה אינו בטל. והוא ז"ל התאזר חיל להשיב על דבריהם באריכות ע"ש מסי' </w:t>
      </w:r>
      <w:r w:rsidRPr="00F72BC7">
        <w:rPr>
          <w:rFonts w:cs="Arial"/>
          <w:rtl/>
        </w:rPr>
        <w:lastRenderedPageBreak/>
        <w:t>ע"ה עד סימן פ"ב מזה (והנה מה שתמה הגאון המחבר שם על מחותנו הגאון מהר"י מהמבורג שכ' דבר זה דאם אין שליח לד"ע השליחות בטל בשם המשנה למלך וכ' עליו שיגע ולא מצא דבר זה במל"מ ואני הוא שהמצאתי כו' עד כמה גברה אצלו אהבת הניצוח כו' לע"ד נראה כי מחותנו ז"ל באמת ובצדק כ' זאת בשם המל"מ דכן מבואר להדיא מדברי המל"מ פ"ג מה' גניבה דין ו' שכ' שם דמדקדוק דברי הרמב"ם שם מבואר דאף דבטביחה ומכירה ריבתה התורה דיש שליח לד"ע וחייב המשלח בתשלומי ד' וה' מ"מ אם עשאו שליח שישחוט לו בשבת והלך ועשה כן פטור המשלח מתשלומי ד' וה' ע"ש וע"כ דס"ל להמל"מ דהשליחות בטל לגמרי דאל"כ לא הו"ל למיפטריה רק מחיוב שבת ולא מחיוב טו"מ א"ו דס"ל דהשליחות בטל והוי כאילו לא צוהו לשחוט כלל וכן מבואר להדיא מלשון המל"מ שם במ"ש ה"נ לענין הטביחה לא נעשה שלוחו ע"ש ומעתה בחנם הטיח דברים נגד הגאון מהר"י הנ"ל. וזולת זה כמה דברים בתשובה הנ"ל מה שהשיג הגאון נו"ב על הגאון מהר"י. אחר העיון תראה שדברי הגאון מהר"י נכונים ואכמ"ל. ושוב מצאתי בשו"ת מהרי"ט ח"א סימן קי"ו שנסתפק ג"כ בזה ומתחלה רצה להכריע דהמעשה בטל וכנראה מתירוץ ב' שבתוס' הנ"ל ובסוף כ' מאחר שמדברי הגמ' אין הכרע הדבר צריך לי בדיקה עכ"ל. גם בספר מחנה אפרים בה' שלוחין סי' ט' מסתפק בדבר זה אי אמרינן דהמעשה בטל ע"ש) ועיין בנו"ב תנינא סי' קי"א וקי"ב וסי' קל"ה מענין זה ועמ"ש לקמן סי' קמ"א סל"ו ס"ק ל"ח. ועיין עוד בנו"ב קמא סי' ב' בד"ה ובלא"ה. שכ' דנראה לו דין חדש מה שלא נזכר עדיין בשום פוסק לפי דברי הרא"ש בגיטין דף י"א גבי תופס לב"ח שכ' דאף דבכל התורה שלוחו של אדם כמותו מ"מ לאו כל כמיניה לשוויה שליח במקום שחב לאחרים א"כ אף קודם חרגמ"ה ולדינא דגמ' דמגרש אדם אשתו בע"כ (וה"ה אפי' בזה"ז בגווני דרשאי לגרש בע"כ וכן מבואר מדברי תשובת שיבת ציון ס"ס פ"ח ע"ש) מ"מ ע"י שליח א"א לגרש בע"כ דאי אפשר לשוויה שליח לחוב להאשה ע"ש ועיין בנו"ב תניינא סי' ק"י דכמה חכמים הקשו לו זה נגד תלמוד ערוך בגיטין דף י' בשליחות בע"כ דבגירושין איתא ובקידושין ליתא וכן מסוגיא שבדף כ"א מתקיף לה רב שימי והא שליחות לקבלה דמדעתא איתא כו' דמשמע דוקא שליח לקבלה אבל שליח להולכה איתא אפי' בע"כ והוא ז"ל השיב דאין מכל זה השגה דגם הוא מודה דמשכחת שליח להולכה אפי' בע"כ ועד כאן לא אמרתי דלא מצי מגרש בע"כ ע"י שליח אלא היכא דהגט הוא חוב להאשה אבל היכא שאינו חוב לה כגון ארוסה שעדיין אינה זוכה בשום דבר משל בעלה שיהיה הגט מחשב חוב ואפי' לאסרה לכהונה משכחת שאין הגט חוב לה כגון שנתגרשה מאיש אחר וכמו כן אשה שזינתה תחת בעלה שנאסרה על בעלה והפסידה כתובה וכל תנאי כתובה ואינה מפסדת מאומה ע"י הגט ואדרבה זכות הוא שמתירה לשוק ודאי דיכול לעשות שליח לגרש בע"כ גם לדעת הרא"ש וא"כ י"ל דהסוגיות הנ"ל מיירי בכה"ג ע"ש עוד וגם בסי' קי"ב ובהגה מב"ה שם ובסי' קנ"ט מזה (ובס' יד המלך פ"ו מה' גירושין הלכה א'). גם בנו בתשו' שיבת ציון ס"ס פ"ח וס"ס פ"ט כ' להחזיק פסק אביו הגאון ז"ל בזה נגד רב אחד שפקפק ע"ז ומסיים שהוא מסופק אם אחד מגדולי הדור שכבר ראה דברי אביו ז"ל ירום ראש להקל בחומר איסור א"א ע"ש עוד בסי' פ"ג ופ"ד. אמנם בס' גט מקושר בסג"ר אות ר"ח כתב על דברי הגאון נו"ב הנ"ל דהגאון חתר להעמיד דבריו באופן רחוק אבל פשטא דמלתא ודאי מוכח מגמ' הנ"ל דשפיר מהני שליח לגרש בע"כ והאריך בזה ומסיים דהדבר ברור (לדינא דגמרא) דיכול לעשות שליח אף לגרש בע"כ. ובענין דברי הנו"ב דסי' ע"ה הנ"ל העיר גם כן דאפשר לחלק בין אם עשאו שליח בפירוש לעבירה כגון שאמר לו בהדיא לגרשה בע"כ ובין אם אמר לו לגרשה סתם ע"ש. ועיין בתשו' ברית אברהם ר"ס קי"ב ור"ס קי"ט מ"ש בזה ועיין עוד בתשו' שמן רוקח ובתשובת מנחת עני סי' ס"ח באריכות:</w:t>
      </w:r>
    </w:p>
    <w:p w14:paraId="14AF5BC5" w14:textId="77777777" w:rsidR="007D6167" w:rsidRPr="00F72BC7" w:rsidRDefault="007D6167" w:rsidP="007D6167">
      <w:pPr>
        <w:rPr>
          <w:rFonts w:cs="Arial"/>
          <w:rtl/>
        </w:rPr>
      </w:pPr>
      <w:r w:rsidRPr="00F72BC7">
        <w:rPr>
          <w:rFonts w:cs="Arial"/>
          <w:rtl/>
        </w:rPr>
        <w:t xml:space="preserve">(ז) שלא לגרש. עב"ש לקמן ס"ק י"ב שכתב וז"ל ואם חר"ג דמיא לתקנת חז"ל י"ל בזה"ז אפי' אם עבר וגירש אינה מגורשת עכ"ל. והנה מדברי הרמ"א בהגה זו שכ' עבר וגירשה בע"כ בזה"ז ונשאת שוב אין האיש נקרא עבריין מבואר להדיא דלא כוותיה אלא דיכולה להנשא לאחר ע"י גט זה. וכן מבואר מדברי הב"ש עצמו לעיל סי' ע"ז ס"ק ו' ובסי' ע"ט סק"ד דמדמה תקנת רגמ"ה למה דאסור לגרש בזיווג ראשון בלא דבר וא"כ הרי בזיווג ראשון אם עבר וגירש מגורשת כדאיתא בש"ס הובא בב"ש לעיל סס"ק ב' ה"נ בזה"ז בעבר וגירש בע"כ. גם בס' בית מאיר כ' על הב"ש הנ"ל דמדברי הרמ"א מבואר דלא כוותי' והביא שם עוד דברי רש"ל בתשובה סימן מ"ה דמשמע מדבריו דמ"מ לא הועיל לו הגירושין לענין שיהא מותר לישא אחרת וכ' עליו דמדברי הרמ"א הנ"ל שכ' שוב אין האיש נקרא עבריין לא כ' שוב האיש מותר לישא משמע קצת שבזה שרי אף קודם שנשאת וצ"ע. אך בשו"ת שבסוף הספר סימן ד' השיב על עסק ביש שנעשה בימינו שאיש אחד גירש אשתו ע"י תחבולה בע"כ הנה בסי' קי"ט בהגה כו' ואולם צ"ע אם לא יהא מחוייב ועומד לחזור ולשאנה ואף דבפנים הוצאתי מלשון הרמ"א שם דלכ"ע היא מגורשת ומותרת להנשא דלא כהב"ש שם ס"ק י"ב כו' אבל הא ודאי צ"ע אף למאן דס"ל בשוטה דמגורשת היינו משום דלא שייך שיחזור וישאנה דהא אינה בת דעת לקדושין ונשואין אבל הכא י"ל דחייב ע"פ דינא דרבא דאמר במס' תמורה כ"מ דא"ר לא תעביד אי עביד לא מהני כו' והאריך בזה ומסיים וז"ל ומעתה אחרי שביררנו פסקן של הראשונים ז"ל לדינא כרבא בודאי ראוי לנו לילך בעקבותיהן ולפסוק בנידון מגרש בזה"ז בע"כ כרבא דלא אהני מעשיו ושבעמוד והחזר קאי כקושיית תוס' (תמורה דף ו' ד"ה והשתא) בנשבע שלא לגרש דהא סברת תירוצם לא שייך דזה לא בדה האיסור ואין לו התרה מצד עצמותו והוא איסור תורה חרגמ"ה ועל בתי דיני ישראל להורות לו שעדיין כל יום ויום עובר על החרם עד דליהדר או שתנשא היא לאיש אחר וזה נמי משמעות הרמ"א דשוב לא נקרא עבריין משמע הא קודם שתנשא הוא עבריין בח' הנ"ל וממילא נמי כיון דאגידא בי' שעדיין בעמוד והחזר קאי עדיין נמי בהאיסור נשיאת ב' נשים דומיא דזקוקה ליבם ואסור לכל אדם ליתן לו אשה כדי לחוש עכ"פ לספק חרם שעדיין רובץ עליו לשיטת רוב הפוסקים כרבא וכדעת משמעות הרש"ל עכ"ד ע"ש: ועיין בס' גט פשוט ס"ק כ"ד כ' בזה וז"ל נראה דבדיעבד אם גירשה בע"כ דלא הוי גט אפי' בדיעבד ותמיהא לי דבלשון </w:t>
      </w:r>
      <w:r w:rsidRPr="00F72BC7">
        <w:rPr>
          <w:rFonts w:cs="Arial"/>
          <w:rtl/>
        </w:rPr>
        <w:lastRenderedPageBreak/>
        <w:t>התקנה שהעתיק בסי' ק"ב לא כתיב בה הכי כו' ומיהו יראה דאף מהרמ"מ לא החליט הדבר לבטל הגט רק לדונו כדין הספק. ויראה מדברי הרמ"מ שם דאפי' נתרצית האשה בתחילת כתיבת הגט וחזרה בה קודם גמר כתיבת הגט ונגמר הגט דאינו כשר לגרש בו. גם יעו"ש אם חייבת לשלם לו ההוצאות שהוציא על הגט כיון דקבלה קנין כדי להתגרש ואח"כ חזרה בה (שם כ' שאין לחייבה שום הוצאה ואיהו דאפסיד לנפשיה ע"ש) עכ"ל ועמ"ש לקמן סי' קמ"ד סק"ג עוד מענין זה. שוב ראיתי בתשו' נו"ב תניינא סי' קכ"ט בד"ה ומעתה הביא שם דברי הכנה"ג בהגהת הטור אות ט' שכ' וז"ל ופשוט הוא דאם גירשה בע"כ אפי' שעבר על החרם גיטו גט ובתקנות שהובא במהר"מ מינץ סי' ק"ב כ' שלא ליתן גט לאשה בע"כ ואין הגט כלום והאי אין הגט כלום לא ידעתי פירושו נהי דעבר על החרם מ"מ הגט גט ושמא ס"ל כרבא בתמורה כ"מ דא"ר לא תעביד אי עביד לא מהני וכיון דעבר על החרם אותו הגט אינו מועיל כדעת הגהת מרדכי סוף שבועות עכ"ל והוא ז"ל כ' שאין דברי כנה"ג אלו מתקבלים כלל איך אפשר שמהר"ם מינץ יסתום כדעת המרדכי נגד דעת התוס' והרא"ש כו' וכוונת מהרמ"מ במ"ש ואין הגט כלום הוא לענין חיובי הבעל לאשתו שלא הועיל הגט כלום ועדיין חייב בשאר וכסות עח"מ וב"ש ר"ס ע"ז (ובסי' זה בב"ש ס"ק י"א וגם בס' ב"מ מזה) ואפי' לפי הכנה"ג מ"מ אין הטעם משום מימרא דרבא רק דמיירי שהסופר והעדים ידעו מזה וא"כ הם עברו על חרגמ"ה והרי העדים פסולים וגם לדעת הפוסקים שהסופר צריך להיות שליח הבעל א"כ כיון שכאן העבירה היא בשעת הכתיבה שהרי חרגמ"ה היה גם על הכתיבה (כמבואר במהר"מ מינץ שם) אין שליח לד"ע כמבואר בחבורי נו"ב סי' ע"ה וע"ו (הובא בס"ק הקודם) עכ"ד ע"ש ועמ"ש לקמן סי' קל"ד ס"ק ו' עוד בשמו. וע' עוד בשו"ת מאמר מרדכי סי' ק' מזה:</w:t>
      </w:r>
    </w:p>
    <w:p w14:paraId="26604712" w14:textId="77777777" w:rsidR="007D6167" w:rsidRPr="00F72BC7" w:rsidRDefault="007D6167" w:rsidP="007D6167">
      <w:pPr>
        <w:rPr>
          <w:rFonts w:cs="Arial"/>
          <w:rtl/>
        </w:rPr>
      </w:pPr>
      <w:r w:rsidRPr="00F72BC7">
        <w:rPr>
          <w:rFonts w:cs="Arial"/>
          <w:rtl/>
        </w:rPr>
        <w:t>(ח) אשה שלא מדעתה. עיין בתשו' נו"ב סי' פ"ד שנסתפק אם גם בחרשת גזר רגמ"ה כי י"ל כי היכא דלא תיקנו כתובה לחרשת (כדלעיל סי' ס"ז ס"ח) משום דא"כ ממנעי ולא נסבי לה אולי מהאי טעמא לא גזר רגמ"ה בחרשת שאם אינו יכול להוציאה כ"א לרצונה גרע משעבוד כתובה וממנעי ולא נסבי לה אך לא נוכל להורות למעשה במה שלא נתפרש בראשונים וספק חרם הוא איסור דאורייתא (עיין בזה בנו"ב תניינא חלק יו"ד סי' קמ"ו ובחלק אה"ע סי' ח') וגם לענין לגרש בע"כ לא כלה הזמן (אין זה ברור ובג"פ ס"ק כ"ב נסתפק בזה ומדברי הב"ש לעיל סי' קט"ו סק"ו מבואר שדעתו דבזה"ז י"ל כבר כלה זמן החרם שלא לגרש בע"כ ועמ"ש לעיל סי' א' ס"ק י"ט עכ"ד):</w:t>
      </w:r>
    </w:p>
    <w:p w14:paraId="56934159" w14:textId="77777777" w:rsidR="007D6167" w:rsidRPr="00F72BC7" w:rsidRDefault="007D6167" w:rsidP="007D6167">
      <w:pPr>
        <w:rPr>
          <w:rFonts w:cs="Arial"/>
          <w:rtl/>
        </w:rPr>
      </w:pPr>
      <w:r w:rsidRPr="00F72BC7">
        <w:rPr>
          <w:rFonts w:cs="Arial"/>
          <w:rtl/>
        </w:rPr>
        <w:t>(ט) שוב אין האיש. כ' בס' ג"פ מיהו נ"ל דמ"מ צריך התרה על מה שעבר כבר ועיין ביו"ד סימן של"ד סכ"ב בהגה:</w:t>
      </w:r>
    </w:p>
    <w:p w14:paraId="6A3EDBEE" w14:textId="77777777" w:rsidR="007D6167" w:rsidRPr="00F72BC7" w:rsidRDefault="007D6167" w:rsidP="007D6167">
      <w:pPr>
        <w:rPr>
          <w:rFonts w:cs="Arial"/>
          <w:rtl/>
        </w:rPr>
      </w:pPr>
      <w:r w:rsidRPr="00F72BC7">
        <w:rPr>
          <w:rFonts w:cs="Arial"/>
          <w:rtl/>
        </w:rPr>
        <w:t>(י) דבמקום מצוה. ע' בס' תפארת ישראל על משניות סוף סדר נשים ברמזי אה"ע לסי' זה שכ' וז"ל לשו"ת רש"ל גם באשה שאינה יכולה לטהר לבעלה אסור לגרשה בע"כ אך לשו"ת מהרח"ש סי' ל"ג ומים עמוקים סי' ל"ב ופליטת ב"י כל שאינו יכול לדור עמה שרי לגרשה בע"כ דבכה"ג לא גזר (ע' בג"פ ס"ק י"ט מזה) כן נ"ל דאם באיש כשאין לו גבורת אנשים כופין לו לגרשה כבסי' קנ"ד מכ"ש באשה וכ"כ אאמו"ר בתשו' אור ישראל בהך דדש מבפנים וזורה מבחוץ דאסור לשמש עמה (כדלעיל סי' כ"ג ס"ה) דאף את"ל דרגמ"ה גזר גם במקום מצוה עכ"פ במקום עבירה לא גזר עכ"ד ע"ש עוד:</w:t>
      </w:r>
    </w:p>
    <w:p w14:paraId="0888292F" w14:textId="77777777" w:rsidR="007D6167" w:rsidRPr="00F72BC7" w:rsidRDefault="007D6167" w:rsidP="007D6167">
      <w:pPr>
        <w:rPr>
          <w:rFonts w:cs="Arial"/>
          <w:rtl/>
        </w:rPr>
      </w:pPr>
      <w:r w:rsidRPr="00F72BC7">
        <w:rPr>
          <w:rFonts w:cs="Arial"/>
          <w:rtl/>
        </w:rPr>
        <w:t>(יא) או מתירים לו. עב"ש סק"ח ועמ"ש בזה לעיל סי' א' ס"ק ט"ז. ועיין בתשו' ברית אברהם סי' פ"ט וסי' צ' וצ"א שהאריך בזה בענין אשה שנאסרה על בעלה אם אפשר להתיר לו לישא אחרת ואם צריך היתר ממאה רבנים בדוקא וגם איך להתנהג בענין זיכוי הגט וגם איך לפסוק עליו בענין השלשת נדוניא וכתובה יעו"ש ועיין בת' פרי תבואה סי' ל"ה ובתשובת מהרי"מ מבריסק סי' נ':</w:t>
      </w:r>
    </w:p>
    <w:p w14:paraId="6AA09CE1" w14:textId="77777777" w:rsidR="007D6167" w:rsidRPr="00F72BC7" w:rsidRDefault="007D6167" w:rsidP="007D6167">
      <w:pPr>
        <w:rPr>
          <w:rFonts w:cs="Arial"/>
          <w:rtl/>
        </w:rPr>
      </w:pPr>
      <w:r w:rsidRPr="00F72BC7">
        <w:rPr>
          <w:rFonts w:cs="Arial"/>
          <w:rtl/>
        </w:rPr>
        <w:t>(יב) שתי נשים. עבה"ט מ"ש דבתשו' מהר"ם פדוא התיר לגרש כו' ועיין בתשו' נו"ב סי' א' הובא לעיל סי' א' ס"ק ט"ז וע' בשו"ת מאמר מרדכי סי' ק' מזה:</w:t>
      </w:r>
    </w:p>
    <w:p w14:paraId="2EAF5568" w14:textId="77777777" w:rsidR="007D6167" w:rsidRPr="00F72BC7" w:rsidRDefault="007D6167" w:rsidP="007D6167">
      <w:pPr>
        <w:rPr>
          <w:rFonts w:cs="Arial"/>
          <w:rtl/>
        </w:rPr>
      </w:pPr>
      <w:r w:rsidRPr="00F72BC7">
        <w:rPr>
          <w:rFonts w:cs="Arial"/>
          <w:rtl/>
        </w:rPr>
        <w:t>(יג) או חרשת. עיין בס' ישועות יעקב סק"י שכ' וז"ל וכתב מהר"ם פדוא סי' י"ח (צ"ל ח') דאף אחר תקנת רגמ"ה דבעינן דעתה וחרשת אין לה רצון מ"מ אונס לא מיקרי כיון דאעפ"כ מתגרשת מרצונה נהי דאינו קרוי רצון מ"מ אונס וכפיה אין כאן עכ"ל. ואני עיינתי במהרמ"פ שם ודקדקתי בדבריו שלא סמך לגמרי על טעם זה רק בעובדא דידיה שהיה גט של מצוה ע"ש. מיהו כל זה כשנתקדשה לו כשהיתה פקחת אבל אם נתקדשה כשהיתה חרשת כתבתי לעיל ס"ק ח' בשם תשו' נו"ב שנסתפק אם גזר רגמ"ה כלל בזה. וכ' עוד בס' ישועות יעקב בסי' קכ"א סק"ט וז"ל ובענין נוסח גט חרשת פשיטא שאין לשנות משאר גיטין ובעל נחלת שבעה כ' לשנות נוסח גט חרשת ואין בדבריו ממש דאשה מתגרשת שלא לרצונה וכבר השיג עליו בעל שבות יעקב ח"א סי' קכ"ג ע"ש. גם בתשו' נו"ב ר"ס פ"ד קרא תגר על הנ"ש בזה ע"ש:</w:t>
      </w:r>
    </w:p>
    <w:p w14:paraId="176C3F51" w14:textId="77777777" w:rsidR="007D6167" w:rsidRPr="00F72BC7" w:rsidRDefault="007D6167" w:rsidP="007D6167">
      <w:pPr>
        <w:rPr>
          <w:rFonts w:cs="Arial"/>
          <w:rtl/>
        </w:rPr>
      </w:pPr>
      <w:r w:rsidRPr="00F72BC7">
        <w:rPr>
          <w:rFonts w:cs="Arial"/>
          <w:rtl/>
        </w:rPr>
        <w:t>(יד) ומשקה משלה. עבה"ט ומ"ש והח"מ מיישב כו' עמ"ש בזה לעיל סי' ע' סק"ה:</w:t>
      </w:r>
    </w:p>
    <w:p w14:paraId="2EC5B34F" w14:textId="77777777" w:rsidR="007D6167" w:rsidRPr="00F72BC7" w:rsidRDefault="007D6167" w:rsidP="007D6167">
      <w:pPr>
        <w:rPr>
          <w:rFonts w:cs="Arial"/>
          <w:rtl/>
        </w:rPr>
      </w:pPr>
      <w:r w:rsidRPr="00F72BC7">
        <w:rPr>
          <w:rFonts w:cs="Arial"/>
          <w:rtl/>
        </w:rPr>
        <w:t xml:space="preserve">(טו) וי"א דאפי' בדיעבד. עיין בתשו' מנחת עני סי' ע' שהאריך בזה ולבסוף כ' לצדד להקל במקום דחק ועיגון כמו בנדון דידיה שהבעל הרחיק נדוד באופן שיסכימו עמו שני רבנים מובהקים ע"ש: ועיין בס' ב"מ שכ' דפסק הרמב"ם וטור וש"ע הוא ע"פ גירסה המבוררת בתוס' ורא"ש פ' חרש ולע"ד יש ראיה לגירסא זו מתלמידן כו' ועכ"ז חלילה להקל לכתחילה עכ"ז נקט מיהא פלגא שברור דאף להי"א אם נשאת לא תצא וכתב עוד דמ"ש הח"מ בשם מהרי"ו דאם </w:t>
      </w:r>
      <w:r w:rsidRPr="00F72BC7">
        <w:rPr>
          <w:rFonts w:cs="Arial"/>
          <w:rtl/>
        </w:rPr>
        <w:lastRenderedPageBreak/>
        <w:t>הבעל ידע דאסור לגרש לפחות לכתחילה ועבר ע"ד חכמים וגירש יש להסתפק אי זה מקרי דיעבד כו' אין זה נראה כלל ע"ש:</w:t>
      </w:r>
    </w:p>
    <w:p w14:paraId="717CAFF8" w14:textId="77777777" w:rsidR="007D6167" w:rsidRPr="00F72BC7" w:rsidRDefault="007D6167" w:rsidP="007D6167">
      <w:pPr>
        <w:rPr>
          <w:rFonts w:cs="Arial"/>
          <w:rtl/>
        </w:rPr>
      </w:pPr>
      <w:r w:rsidRPr="00F72BC7">
        <w:rPr>
          <w:rFonts w:cs="Arial"/>
          <w:rtl/>
        </w:rPr>
        <w:t>(טז) דאפי' בדיעבד. ע' בתשו' נו"ב סי' פ"ג שכ' דיש מחמירין הזה מחמיר ג"כ בעתים חלומה אפי' בדיעבד ומה שמסיק רמ"א אבל בעתים שוטה כו' היינו בלא הוחזקה כן ג"פ (כ"נ כוונתו אף שאין זה לשונו ועח"מ וב"ש). וע"ש עוד פירוש דברי רבינו שמשון שהובא בב"י:</w:t>
      </w:r>
    </w:p>
    <w:p w14:paraId="5777A7DE" w14:textId="77777777" w:rsidR="007D6167" w:rsidRPr="007B74F1" w:rsidRDefault="007D6167" w:rsidP="007D6167">
      <w:pPr>
        <w:rPr>
          <w:rFonts w:cs="Arial"/>
          <w:rtl/>
        </w:rPr>
      </w:pPr>
      <w:r w:rsidRPr="00F72BC7">
        <w:rPr>
          <w:rFonts w:cs="Arial"/>
          <w:rtl/>
        </w:rPr>
        <w:t>(יז) אבל בעתים שוטה. עבה"ט וע' בט"ז סק"ה שדעתו לחלק בין זמן הש"ס ובין האידנא דאיכא חרגמ"ה דאין לעגן האיש ולבטלו מפו"ר מחששא דגרירא יעו"ש דמשמע שדעתו להקל גם בהוחזקה ג"פ ועיין בתשו' ברית אברהם ס"ס פ"ג וע' בתשו' מאמר מרדכי סי' מ"א:</w:t>
      </w:r>
    </w:p>
    <w:p w14:paraId="246FC358" w14:textId="77777777" w:rsidR="007D6167" w:rsidRDefault="007D6167" w:rsidP="007D6167">
      <w:pPr>
        <w:pStyle w:val="2"/>
        <w:rPr>
          <w:rtl/>
        </w:rPr>
      </w:pPr>
      <w:r w:rsidRPr="007B74F1">
        <w:rPr>
          <w:rtl/>
        </w:rPr>
        <w:t>סעיף ז</w:t>
      </w:r>
      <w:r>
        <w:rPr>
          <w:rFonts w:hint="cs"/>
          <w:rtl/>
        </w:rPr>
        <w:t>:</w:t>
      </w:r>
    </w:p>
    <w:p w14:paraId="6EA5DCAF" w14:textId="77777777" w:rsidR="007D6167" w:rsidRPr="007E6E9C" w:rsidRDefault="007D6167" w:rsidP="00B75458">
      <w:pPr>
        <w:pStyle w:val="ab"/>
        <w:numPr>
          <w:ilvl w:val="0"/>
          <w:numId w:val="193"/>
        </w:numPr>
      </w:pPr>
      <w:r>
        <w:rPr>
          <w:rFonts w:cs="Arial" w:hint="cs"/>
          <w:rtl/>
        </w:rPr>
        <w:t xml:space="preserve">טור- </w:t>
      </w:r>
      <w:r w:rsidRPr="00FE714F">
        <w:rPr>
          <w:rFonts w:cs="Arial"/>
          <w:rtl/>
        </w:rPr>
        <w:t>הגרושה לא תינשא לאחר בכל אותה שכונה שדר בה המגרש ואם הכפר קטן אסורה בכל הכפר ואם גירשה השני אז אינה אסורה לדור אלא במבוי שדר בו הראשון אבל חוץ למבוי מותר' לוה ממנה קודם שגירשה לא תתבע ממנו בעצמה אלא ע"י אחר ואם שניהם באין לפנינו והוא תובעה משמתינן להו</w:t>
      </w:r>
      <w:r>
        <w:rPr>
          <w:rFonts w:cs="Arial" w:hint="cs"/>
          <w:rtl/>
        </w:rPr>
        <w:t>.</w:t>
      </w:r>
      <w:r w:rsidRPr="00FE714F">
        <w:rPr>
          <w:rFonts w:cs="Arial"/>
          <w:rtl/>
        </w:rPr>
        <w:t xml:space="preserve"> </w:t>
      </w:r>
    </w:p>
    <w:p w14:paraId="6C101DFB" w14:textId="77777777" w:rsidR="007D6167" w:rsidRDefault="007D6167" w:rsidP="007D6167">
      <w:pPr>
        <w:rPr>
          <w:rtl/>
        </w:rPr>
      </w:pPr>
      <w:r w:rsidRPr="00EC459D">
        <w:rPr>
          <w:rFonts w:cs="Arial"/>
          <w:rtl/>
        </w:rPr>
        <w:t>ז (א) הגרושה לא תנשא לאחר בכל אותה שכונה וכו'. ברייתא בסוף פרק ב' דכתובות (כז:) המגרש את אשתו לא תנשא בשכונתו ואם היה כהן לא תדור [עמו] במבוי [אם היה כפר קטן] זה היה מעשה ואמרו כפר קטן נדון כשכונה ודברי רבינו בזה כדעת הרא"ש (סי' לב) שכתב דשכונה גדולה ממבוי ובאשת איש החמירו טפי מגרושה שהיא בלאו כלומר דעל ידי שמכירה ברמיזותיו איכא למיחש שיבואו לידי עבירה וכשהיא נשואה החמירו שלא תדור בשכונתו אבל כשהוא כהן ולא נישאת דאפילו יבוא עליה ליכא אלא איסור לאו בהרחקת מבוי סגי להו: וכתב עוד (שם) ואשתו שנישאת לאחר ונתארמלה או נתגרשה אינה כי אם בלאו ויש לה דין גרושה לכהן משמע מדבריו דישראל שגירש את אשתו כל זמן שלא נישאת דרה עמו אפילו במבוי כיון שלא הזכירו בגמרא וגם כשיבוא עליה ליכא אפילו לאו וכן כתב הרב המגיד בפרק כ"א מהלכות איסורי ביאה (הכ"ז) דלפי גירסא זו גרושת ישראל כל זמן שלא נישאת תדור בשכונתו ומכל מקום אפשר דבחצר אחת אף לפי גירסא זו אסורים לדור וכן משמע הסוגיא שם וכן כתב הר"ן (כתובות יב. ד"ה מי) גם כן דגרושת ישראל אסורה לדור עמו בחצר אלא אם כן היו נזהרים שיהיו אחרים עמהם וכתב (שם סד"ה רב) דבירושלמי (גיטין פ"ח ה"ט) משמע דמותרת לדור עמו בחצר והניח הדבר בצ"ע ועיין בתשובת הריב"ש סימן ש"ס:</w:t>
      </w:r>
    </w:p>
    <w:p w14:paraId="415B227D" w14:textId="77777777" w:rsidR="007D6167" w:rsidRPr="00054A1B" w:rsidRDefault="007D6167" w:rsidP="007D6167">
      <w:pPr>
        <w:rPr>
          <w:rtl/>
        </w:rPr>
      </w:pPr>
      <w:r w:rsidRPr="00EC459D">
        <w:rPr>
          <w:rFonts w:cs="Arial"/>
          <w:rtl/>
        </w:rPr>
        <w:t>ז (ב) ודעת התוספות (ד"ה ואם) דמבוי גדול משכונה דשכונה לא הויא אלא ג' בתים והיינו טעמא דאם היה כהן לא תדור עמו במבוי דכיון דפנויה היא קיל ליה אבל כי נישאת דחמירא סגי בהרחקת ג' בתים והר"ן (כתובות יב. ד"ה הפודה) הכריע כשיטת הרא"ש (פ"ב סי' לב) דשכונה גדולה ממבוי ובענין גרושת ישראל שנישאת ואחר כך נתארמלה או נתגרשה כתב שיש אומרים שדינה כגרושת כהן וכדברי הרא"ש אבל ר"י זכרונו לברכה כתב דכיון דאפילו בא עליה אינו לוקה כדאיתא בפרק עשרה יוחסין (עח.) אף במבוי רשאה לדור עמו אבל בחצר ודאי לא. וכתב עוד הר"ן (שם) שכתבו התוספות בשם רבינו יעקב דאורליינ"ש דמבוי דשמעתין היינו מבוי סתם אבל מפולש דרבים בוקעים בו ליכא למיחש וכן כתב הריב"ש בתשובה סימן ש"ס. וכתב עוד הריב"ש שם דכונס מינקת חבירו שכופין אותו להוציאה בגט אסור לדור עמה במבוי דומיא דכהן שגירש אבל אין לאסור לדור עמה בשכונתו דומיא דישראל שגירש ונישאת לאחר:</w:t>
      </w:r>
    </w:p>
    <w:p w14:paraId="6046FC6F"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4F252A" w14:textId="77777777" w:rsidR="007D6167" w:rsidRDefault="007D6167" w:rsidP="007D6167">
      <w:pPr>
        <w:rPr>
          <w:rFonts w:cs="Arial"/>
          <w:rtl/>
        </w:rPr>
      </w:pPr>
      <w:r w:rsidRPr="007B74F1">
        <w:rPr>
          <w:rFonts w:cs="Arial"/>
          <w:rtl/>
        </w:rPr>
        <w:t xml:space="preserve">מי שגירש אשתו מן הנשואין, לא תדור עמו בחצר, שמא יבואו לידי זנות. ואם היה כהן, לא תדור עמו במבוי. וכפר קטן נידון כמבוי. </w:t>
      </w:r>
      <w:r w:rsidRPr="00054A1B">
        <w:rPr>
          <w:rFonts w:cs="Arial"/>
          <w:sz w:val="18"/>
          <w:szCs w:val="18"/>
          <w:rtl/>
        </w:rPr>
        <w:t>הגה: ואם נשאת לאחר, אפילו בישראל, לא תדור עמו במבוי (טור). וכל זה במבוי סתום, אבל במבוי מפולש שדרך רבים עובר ביניהם, מותרים לדור (ב"י בשם הר"ן שכ"כ בשם התוספות), אם רשות רבים מפסיק בין בתיהם (הגהות אשירי פ"ב דכתובות), אפילו אין בכל העיר שום יהודי רק הם לבד, שרי. (ת' הדשן סימן רמ"ג). גירשה משום שאסורה עליו, אפילו לא נשאת, אסור לדור עמה, כאלו נשאת לאחר (א"ז).</w:t>
      </w:r>
      <w:r w:rsidRPr="007B74F1">
        <w:rPr>
          <w:rFonts w:cs="Arial"/>
          <w:rtl/>
        </w:rPr>
        <w:t xml:space="preserve"> </w:t>
      </w:r>
    </w:p>
    <w:p w14:paraId="5D5172E1" w14:textId="77777777" w:rsidR="007D6167" w:rsidRPr="00F72BC7" w:rsidRDefault="007D6167" w:rsidP="007D6167">
      <w:pPr>
        <w:rPr>
          <w:rFonts w:cs="Arial"/>
          <w:rtl/>
        </w:rPr>
      </w:pPr>
      <w:r w:rsidRPr="00F72BC7">
        <w:rPr>
          <w:rFonts w:cs="Arial"/>
          <w:rtl/>
        </w:rPr>
        <w:t>סעיף ז (יח) מי שגירש אשתו. עיין במל"מ פכ"א מהא"ב דין כ"ז באורך:</w:t>
      </w:r>
    </w:p>
    <w:p w14:paraId="18B10B8A" w14:textId="77777777" w:rsidR="007D6167" w:rsidRDefault="007D6167" w:rsidP="007D6167">
      <w:pPr>
        <w:rPr>
          <w:rFonts w:cs="Arial"/>
          <w:rtl/>
        </w:rPr>
      </w:pPr>
      <w:r w:rsidRPr="00F72BC7">
        <w:rPr>
          <w:rFonts w:cs="Arial"/>
          <w:rtl/>
        </w:rPr>
        <w:t>(יט) ואם נשאת לאחר. עבה"ט בשם ב"ש שכתב דאיירי בנשאת ונתגרשה אבל אם היא נשואה כו' ועיין בס' ק"נ פ"ב דכתובות אות צ"ה שחולק עליו:</w:t>
      </w:r>
    </w:p>
    <w:p w14:paraId="5B1472E4" w14:textId="77777777" w:rsidR="007D6167" w:rsidRPr="007B74F1" w:rsidRDefault="007D6167" w:rsidP="007D6167">
      <w:pPr>
        <w:rPr>
          <w:rFonts w:cs="Arial"/>
          <w:rtl/>
        </w:rPr>
      </w:pPr>
    </w:p>
    <w:p w14:paraId="3A8872CA" w14:textId="77777777" w:rsidR="007D6167" w:rsidRDefault="007D6167" w:rsidP="007D6167">
      <w:pPr>
        <w:pStyle w:val="2"/>
        <w:rPr>
          <w:rtl/>
        </w:rPr>
      </w:pPr>
      <w:r w:rsidRPr="007B74F1">
        <w:rPr>
          <w:rtl/>
        </w:rPr>
        <w:lastRenderedPageBreak/>
        <w:t>סעיף ח</w:t>
      </w:r>
      <w:r>
        <w:rPr>
          <w:rFonts w:hint="cs"/>
          <w:rtl/>
        </w:rPr>
        <w:t>:</w:t>
      </w:r>
    </w:p>
    <w:p w14:paraId="1FA880AF" w14:textId="77777777" w:rsidR="007D6167" w:rsidRDefault="007D6167" w:rsidP="007D6167">
      <w:pPr>
        <w:rPr>
          <w:rtl/>
        </w:rPr>
      </w:pPr>
      <w:r>
        <w:rPr>
          <w:rFonts w:cs="Arial"/>
          <w:rtl/>
        </w:rPr>
        <w:t>ח (א), ט ובתר הכי תניא בגמרא (כתובות כח.) לוה הימנה אינה נפרעת אלא על ידי אחר ואי אתו לקמן [לדינא] לא מזדקקינן להו רב פפא אמר שמותי משמתינן להו רב הונא בריה דרב יהושע אמר מנגדינן להו ורבינו פסק כרב פפא. אי נמי שהוא מפרש דרב הונא אף נגודי קאמר וכפירוש התוספות (שם ד"ה רב הונא) וכיון דלכולי עלמא משמתינן להו פסק דמשמתינן להו ולא כתב דמנגדינן להו נמי משום דלא ברירא להו אי הלכה כרב הונא או לא. ומיהו קשה דבסימן ו' (יד:) גבי כהן שגירש את אשתו כתב דמנגדינן ליה ושמא יש לומר דמפרש דרב הונא ניגודא בלא שמתא קאמר וכפשטא דמילתא או משום דמספקא ליה הלכה כדברי מי גבי כהן בגרושתו דלאו שאינו שוה בכל הוא פסק להקל דמנגדינן להו וגבי ישראל דלאו שוה בכל הוא פסק להחמיר דשמתא חמירא מניגודא. והרמב"ם כתב בפרק כ"א מהלכות איסורי ביאה (הכ"ז) מנדין אותן או מכין אותן מכת מרדות נראה שמפרש דנגודי מנגדינן להו לרב הונא בלא שמתא כפשטן של דברים ומשום דמספקא ליה הלכה כדברי מי הניח הדבר לדעת בית דין</w:t>
      </w:r>
      <w:r>
        <w:rPr>
          <w:rStyle w:val="a7"/>
          <w:rFonts w:cs="Arial"/>
          <w:rtl/>
        </w:rPr>
        <w:footnoteReference w:id="3339"/>
      </w:r>
      <w:r>
        <w:rPr>
          <w:rFonts w:cs="Arial"/>
          <w:rtl/>
        </w:rPr>
        <w:t>:</w:t>
      </w:r>
    </w:p>
    <w:p w14:paraId="1E5D7020" w14:textId="77777777" w:rsidR="007D6167" w:rsidRDefault="007D6167" w:rsidP="007D6167">
      <w:pPr>
        <w:rPr>
          <w:rtl/>
        </w:rPr>
      </w:pPr>
      <w:r>
        <w:rPr>
          <w:rFonts w:cs="Arial"/>
          <w:rtl/>
        </w:rPr>
        <w:t>ומ"ש רבינו והוא תובעה. לאו דוקא דהוא הדין והיא תובעתו ואין כוונתו אלא לומר שתובעים זה את זה שלא על ידי אמצעי:</w:t>
      </w:r>
    </w:p>
    <w:p w14:paraId="01A33819" w14:textId="77777777" w:rsidR="007D6167" w:rsidRPr="00054A1B" w:rsidRDefault="007D6167" w:rsidP="007D6167">
      <w:pPr>
        <w:rPr>
          <w:rtl/>
        </w:rPr>
      </w:pPr>
      <w:r w:rsidRPr="00EC459D">
        <w:rPr>
          <w:rFonts w:cs="Arial"/>
          <w:rtl/>
        </w:rPr>
        <w:t>ז (ג), ח (ב) והרמב"ם בפרק כ"א מהלכות איסורי ביאה (הכ"ז) כתב דגרושת ישראל לא תדור עמו בחצר וגרושת כהן לא תדור עמו במבוי נראה שבמקום לא תנשא בשכונתו היה גורס לא תדור עמו בחצר וברייתא דלוה הימנה פירשה בישראל המגרש אף על פי שלא נישאת: כתוב בתשובות הרשב"א (ח"א) סימן ר"ט שאלתם יבם ויבמתו אם מותרת לדור עמו בבית אחד ולאכול על שלחנו אחר חליצה ומעשה בא לידי באחד שהיתה בת אחותו [יבמתו] וגסו אהדדי מחמת שהיתה אוכלת על שלחנו בעוד בעלה חי וכן לאחר מיתתו מי הוו כארוס וארוסתו דאסור בדגיסי אהדדי כדאיתא פרק האשה שנתאלמנה (כתובות כח.). תשובה מסתברא דאסור ואף על גב דאיכא קצת לחלק בין ארוס ליבם כל דחזינן להו דגיסי אהדדי כי הני אסור: ובתרומת הדשן סימן רמ"ג כתב על ראובן שגירש את אשתו ונשאה שמעון בעיר קטנה שאין יהודים אחרים דרים שם אלא אלו השנים ובתיהם רחוקים זה מזה והרבה פעמים כשיש להם עסק ביחד נכנס ראובן לבית שמעון ושוהה שם שעה אחת או שתים דאין איסור בדבר במה שהם דרים בענין זה וגם על מה שנכנס לביתו ושוהה שם שעה או שתים כתב דנראה לי דאין קפידא בזה ואין דבריו נראים לי בזה ואף על פי שהביא ראיה לדבריו אינה מכרחת: תניא באבל רבתי (מסכת שמחות) סוף פרק ב' בית שמאי אומרים המגרש את אשתו לא ישרה עמה לא במבוי ולא בחצר אם היה מבוי של שניהם הופך פתחו לצד אחר ואם היתה חצר של שניהם מפנה זה מפני זה ומפנה אשה מפני איש במה דברים אמורים בזמן שנשאו והכהנת אף על פי שלא נשאו במה דברים אמורים מן הנישואין אבל מן האירוסין וכן החולץ ליבמתו לא יפנה מפני שאין לבו גס בה:</w:t>
      </w:r>
      <w:r>
        <w:rPr>
          <w:rStyle w:val="a7"/>
          <w:rtl/>
        </w:rPr>
        <w:footnoteReference w:id="3340"/>
      </w:r>
    </w:p>
    <w:p w14:paraId="6DABBA98"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225D2B" w14:textId="77777777" w:rsidR="007D6167" w:rsidRDefault="007D6167" w:rsidP="007D6167">
      <w:pPr>
        <w:rPr>
          <w:rFonts w:cs="Arial"/>
          <w:rtl/>
        </w:rPr>
      </w:pPr>
      <w:r w:rsidRPr="007B74F1">
        <w:rPr>
          <w:rFonts w:cs="Arial"/>
          <w:rtl/>
        </w:rPr>
        <w:t xml:space="preserve">היה לה מלוה אצלו, עושה שליח לתובעו. </w:t>
      </w:r>
      <w:r w:rsidRPr="00054A1B">
        <w:rPr>
          <w:rFonts w:cs="Arial"/>
          <w:sz w:val="18"/>
          <w:szCs w:val="18"/>
          <w:rtl/>
        </w:rPr>
        <w:t>הגה: ודוקא בכה"ג, אבל מותר ליכנס לביתה אף על פי שנישאת, הואיל ואינו דר שם ואינו נושא ונותן עמה (כך משמע בת"ה סי' רמ"ג). ויש חולקין (ב"י). מותר לאדם לזון גרושתו, ומצוה היא יותר מבשאר עני (הגהות מיימוני פכ"א מא"ב); ובלבד שלא יהא לו עסק עמה, רק יזונה על ידי שליח (א"ז).</w:t>
      </w:r>
      <w:r w:rsidRPr="007B74F1">
        <w:rPr>
          <w:rFonts w:cs="Arial"/>
          <w:rtl/>
        </w:rPr>
        <w:t xml:space="preserve"> </w:t>
      </w:r>
    </w:p>
    <w:p w14:paraId="715D1B0D" w14:textId="77777777" w:rsidR="007D6167" w:rsidRPr="007B74F1" w:rsidRDefault="007D6167" w:rsidP="007D6167">
      <w:pPr>
        <w:rPr>
          <w:rFonts w:cs="Arial"/>
          <w:rtl/>
        </w:rPr>
      </w:pPr>
    </w:p>
    <w:p w14:paraId="1BE3B93C" w14:textId="77777777" w:rsidR="007D6167" w:rsidRDefault="007D6167" w:rsidP="007D6167">
      <w:pPr>
        <w:pStyle w:val="2"/>
        <w:rPr>
          <w:rtl/>
        </w:rPr>
      </w:pPr>
      <w:r w:rsidRPr="007B74F1">
        <w:rPr>
          <w:rtl/>
        </w:rPr>
        <w:t>סעיף ט</w:t>
      </w:r>
      <w:r>
        <w:rPr>
          <w:rFonts w:hint="cs"/>
          <w:rtl/>
        </w:rPr>
        <w:t>:</w:t>
      </w:r>
    </w:p>
    <w:p w14:paraId="0A4601DA" w14:textId="77777777" w:rsidR="007D6167" w:rsidRPr="00054A1B" w:rsidRDefault="007D6167" w:rsidP="007D6167">
      <w:pPr>
        <w:rPr>
          <w:rtl/>
        </w:rPr>
      </w:pPr>
    </w:p>
    <w:p w14:paraId="3AC1AD83"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32A3F9A" w14:textId="77777777" w:rsidR="007D6167" w:rsidRDefault="007D6167" w:rsidP="007D6167">
      <w:pPr>
        <w:rPr>
          <w:rFonts w:cs="Arial"/>
          <w:rtl/>
        </w:rPr>
      </w:pPr>
      <w:r w:rsidRPr="007B74F1">
        <w:rPr>
          <w:rFonts w:cs="Arial"/>
          <w:rtl/>
        </w:rPr>
        <w:t xml:space="preserve">גרושה שבאה עם המגרש לדין, מנדין אותם או מכין אותם מכת מרדות. </w:t>
      </w:r>
    </w:p>
    <w:p w14:paraId="76D6B595" w14:textId="77777777" w:rsidR="007D6167" w:rsidRPr="007B74F1" w:rsidRDefault="007D6167" w:rsidP="007D6167">
      <w:pPr>
        <w:rPr>
          <w:rFonts w:cs="Arial"/>
          <w:rtl/>
        </w:rPr>
      </w:pPr>
    </w:p>
    <w:p w14:paraId="26010FA3" w14:textId="77777777" w:rsidR="007D6167" w:rsidRDefault="007D6167" w:rsidP="007D6167">
      <w:pPr>
        <w:pStyle w:val="2"/>
        <w:rPr>
          <w:rtl/>
        </w:rPr>
      </w:pPr>
      <w:r w:rsidRPr="007B74F1">
        <w:rPr>
          <w:rtl/>
        </w:rPr>
        <w:t>סעיף י</w:t>
      </w:r>
      <w:r>
        <w:rPr>
          <w:rFonts w:hint="cs"/>
          <w:rtl/>
        </w:rPr>
        <w:t>:</w:t>
      </w:r>
    </w:p>
    <w:p w14:paraId="11C1B975" w14:textId="77777777" w:rsidR="007D6167" w:rsidRDefault="007D6167" w:rsidP="00B75458">
      <w:pPr>
        <w:pStyle w:val="ab"/>
        <w:numPr>
          <w:ilvl w:val="0"/>
          <w:numId w:val="193"/>
        </w:numPr>
      </w:pPr>
      <w:r>
        <w:rPr>
          <w:rFonts w:cs="Arial" w:hint="cs"/>
          <w:rtl/>
        </w:rPr>
        <w:t xml:space="preserve">טור- </w:t>
      </w:r>
      <w:r w:rsidRPr="00FE714F">
        <w:rPr>
          <w:rFonts w:cs="Arial"/>
          <w:rtl/>
        </w:rPr>
        <w:t>בד"א שנתגרשה מן הנישואין שאז רגילה עמו אבל מן האירוסין לא ואם ידועה שהוא רגיל עמה אפי' מן האירוסין נמי לא</w:t>
      </w:r>
      <w:r>
        <w:rPr>
          <w:rFonts w:cs="Arial" w:hint="cs"/>
          <w:rtl/>
        </w:rPr>
        <w:t>.</w:t>
      </w:r>
    </w:p>
    <w:p w14:paraId="4FF47DCB" w14:textId="77777777" w:rsidR="007D6167" w:rsidRPr="00054A1B" w:rsidRDefault="007D6167" w:rsidP="007D6167">
      <w:pPr>
        <w:rPr>
          <w:rtl/>
        </w:rPr>
      </w:pPr>
      <w:r w:rsidRPr="00EC459D">
        <w:rPr>
          <w:rFonts w:cs="Arial"/>
          <w:rtl/>
        </w:rPr>
        <w:lastRenderedPageBreak/>
        <w:t>י - יא ומ"ש עוד במה דברים אמורים כשנתגרשה מן הנישואין וכו'. גם זה מבואר שם (כתובות שם) ומכל מקום תמיהא לי מילתא דכיון דלהרא"ש אשת ישראל שנתגרשה מותרת לדור אפילו במבוי כמו שכתבתי לעיל (ד"ה הגרושה) משום דאפילו אם יבוא עליה ליכא איסור לאו אם כן כי אתו לקמן אמאי משמתינן להו והוה ליה לרבינו לפרושי דבכהן שגירש את אשתו מיירי וכדפירש רש"י (ד"ה ארוס וארוסתו) ואי נמי באשת ישראל שאחר שגרשה נישאת ונתארמלה או נתגרשה דאיכא לאו. מיהו אין לתמוה למה השמיט דין כהן שגירש לא תדור עמו במבוי (כתובות שם) וגם הא דאיתא בגמרא (שם) מי נדחה מפני מי ואסיקנא דהיא נדחית מפניו ואפילו אם החצר של שניהם די"ל שסמך על שכתבם בסימן ו' (יד:). וצריך לומר שמה שכתב לוה ממנה וכו' לאו אגרושת ישראל שלא נישאת קאי אלא דוקא בנישאת וכדפרישית (לעיל ד"ה הגרושה) ואז אם גירשה השני קאי בדוקא שכן כתבה הוא ז"ל בסימן י' (כ.) אהיכא דנישאת לאחר ובסימן ו' (שם) כתבה אאשת כהן ואפילו שלא נישאת משמע דגרושת ישראל שלא נישאת לית לן בה:</w:t>
      </w:r>
    </w:p>
    <w:p w14:paraId="718AA8BD"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784C40" w14:textId="77777777" w:rsidR="007D6167" w:rsidRDefault="007D6167" w:rsidP="007D6167">
      <w:pPr>
        <w:rPr>
          <w:rFonts w:cs="Arial"/>
          <w:rtl/>
        </w:rPr>
      </w:pPr>
      <w:r w:rsidRPr="007B74F1">
        <w:rPr>
          <w:rFonts w:cs="Arial"/>
          <w:rtl/>
        </w:rPr>
        <w:t xml:space="preserve">אם נתגרשה מן האירוסין, מותרת לתובעו לדין ולדון עמו. ואם היה לבו גס בה, אף מן האירוסין אסור. </w:t>
      </w:r>
    </w:p>
    <w:p w14:paraId="75121B2C" w14:textId="77777777" w:rsidR="007D6167" w:rsidRPr="007B74F1" w:rsidRDefault="007D6167" w:rsidP="007D6167">
      <w:pPr>
        <w:rPr>
          <w:rFonts w:cs="Arial"/>
          <w:rtl/>
        </w:rPr>
      </w:pPr>
    </w:p>
    <w:p w14:paraId="52A964CA" w14:textId="77777777" w:rsidR="007D6167" w:rsidRDefault="007D6167" w:rsidP="007D6167">
      <w:pPr>
        <w:pStyle w:val="2"/>
        <w:rPr>
          <w:rtl/>
        </w:rPr>
      </w:pPr>
      <w:r w:rsidRPr="007B74F1">
        <w:rPr>
          <w:rtl/>
        </w:rPr>
        <w:t>סעיף יא</w:t>
      </w:r>
      <w:r>
        <w:rPr>
          <w:rFonts w:hint="cs"/>
          <w:rtl/>
        </w:rPr>
        <w:t>:</w:t>
      </w:r>
    </w:p>
    <w:p w14:paraId="478C7253" w14:textId="77777777" w:rsidR="007D6167" w:rsidRPr="00054A1B" w:rsidRDefault="007D6167" w:rsidP="007D6167">
      <w:pPr>
        <w:rPr>
          <w:rtl/>
        </w:rPr>
      </w:pPr>
    </w:p>
    <w:p w14:paraId="720AA4EE" w14:textId="77777777" w:rsidR="007D6167" w:rsidRPr="007B74F1" w:rsidRDefault="007D6167" w:rsidP="007D6167">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6622F1" w14:textId="77777777" w:rsidR="007D6167" w:rsidRDefault="007D6167" w:rsidP="007D6167">
      <w:pPr>
        <w:rPr>
          <w:rFonts w:cs="Arial"/>
          <w:rtl/>
        </w:rPr>
      </w:pPr>
      <w:r w:rsidRPr="007B74F1">
        <w:rPr>
          <w:rFonts w:cs="Arial"/>
          <w:rtl/>
        </w:rPr>
        <w:t>מי נדחה מפני מי, היא נדחית מפניו. ואם היה החצר שלה, הוא ידחה מפניה</w:t>
      </w:r>
      <w:r>
        <w:rPr>
          <w:rFonts w:cs="Arial" w:hint="cs"/>
          <w:rtl/>
        </w:rPr>
        <w:t>.</w:t>
      </w:r>
    </w:p>
    <w:p w14:paraId="7257415A" w14:textId="77777777" w:rsidR="007D6167" w:rsidRDefault="007D6167" w:rsidP="007D6167">
      <w:pPr>
        <w:rPr>
          <w:rFonts w:cs="Arial"/>
          <w:rtl/>
        </w:rPr>
      </w:pPr>
    </w:p>
    <w:p w14:paraId="187316AE" w14:textId="77777777" w:rsidR="007D6167" w:rsidRDefault="007D6167" w:rsidP="007D6167">
      <w:pPr>
        <w:pStyle w:val="1"/>
        <w:rPr>
          <w:rFonts w:asciiTheme="minorBidi" w:hAnsiTheme="minorBidi"/>
          <w:rtl/>
        </w:rPr>
        <w:sectPr w:rsidR="007D6167" w:rsidSect="00A347B3">
          <w:headerReference w:type="default" r:id="rId76"/>
          <w:footerReference w:type="default" r:id="rId77"/>
          <w:footnotePr>
            <w:numRestart w:val="eachPage"/>
          </w:footnotePr>
          <w:pgSz w:w="11906" w:h="16838"/>
          <w:pgMar w:top="720" w:right="1134" w:bottom="720" w:left="1134" w:header="0" w:footer="0" w:gutter="0"/>
          <w:cols w:space="720"/>
          <w:bidi/>
          <w:rtlGutter/>
          <w:docGrid w:linePitch="360"/>
        </w:sectPr>
      </w:pPr>
    </w:p>
    <w:p w14:paraId="1239C3CA" w14:textId="77777777" w:rsidR="007D6167" w:rsidRPr="00351B7D" w:rsidRDefault="007D6167" w:rsidP="007D6167">
      <w:pPr>
        <w:pStyle w:val="1"/>
        <w:rPr>
          <w:rFonts w:asciiTheme="minorBidi" w:hAnsiTheme="minorBidi"/>
          <w:color w:val="auto"/>
          <w:rtl/>
        </w:rPr>
      </w:pPr>
      <w:r w:rsidRPr="00351B7D">
        <w:rPr>
          <w:rFonts w:asciiTheme="minorBidi" w:hAnsiTheme="minorBidi"/>
          <w:rtl/>
        </w:rPr>
        <w:lastRenderedPageBreak/>
        <w:t>סימן קכו</w:t>
      </w:r>
      <w:r w:rsidRPr="00351B7D">
        <w:rPr>
          <w:rFonts w:asciiTheme="minorBidi" w:hAnsiTheme="minorBidi"/>
        </w:rPr>
        <w:t>:</w:t>
      </w:r>
      <w:r w:rsidRPr="00351B7D">
        <w:rPr>
          <w:rFonts w:asciiTheme="minorBidi" w:hAnsiTheme="minorBidi"/>
          <w:rtl/>
        </w:rPr>
        <w:t xml:space="preserve"> נוסח לשון הגט ודקדוק אותיותיו, ובו נ' סעיפים. </w:t>
      </w:r>
    </w:p>
    <w:p w14:paraId="4D18E729" w14:textId="77777777" w:rsidR="007D6167" w:rsidRPr="00351B7D" w:rsidRDefault="007D6167" w:rsidP="007D6167">
      <w:pPr>
        <w:pStyle w:val="2"/>
        <w:rPr>
          <w:rFonts w:asciiTheme="minorBidi" w:hAnsiTheme="minorBidi"/>
          <w:rtl/>
        </w:rPr>
      </w:pPr>
      <w:r w:rsidRPr="00351B7D">
        <w:rPr>
          <w:rFonts w:asciiTheme="minorBidi" w:hAnsiTheme="minorBidi"/>
          <w:rtl/>
        </w:rPr>
        <w:t>סעיף א: לשון כתיבת הגט.</w:t>
      </w:r>
    </w:p>
    <w:p w14:paraId="4F68F45F" w14:textId="77777777" w:rsidR="007D6167" w:rsidRPr="00351B7D" w:rsidRDefault="007D6167" w:rsidP="007D6167">
      <w:pPr>
        <w:rPr>
          <w:rFonts w:asciiTheme="minorBidi" w:hAnsiTheme="minorBidi"/>
          <w:rtl/>
        </w:rPr>
      </w:pPr>
      <w:r w:rsidRPr="00351B7D">
        <w:rPr>
          <w:rFonts w:asciiTheme="minorBidi" w:hAnsiTheme="minorBidi"/>
          <w:b/>
          <w:bCs/>
          <w:rtl/>
        </w:rPr>
        <w:t xml:space="preserve">גיטין פז ע"ב: </w:t>
      </w:r>
      <w:r w:rsidRPr="00351B7D">
        <w:rPr>
          <w:rFonts w:asciiTheme="minorBidi" w:hAnsiTheme="minorBidi"/>
          <w:u w:val="double"/>
          <w:rtl/>
        </w:rPr>
        <w:t>מתני':</w:t>
      </w:r>
      <w:r w:rsidRPr="00351B7D">
        <w:rPr>
          <w:rFonts w:asciiTheme="minorBidi" w:hAnsiTheme="minorBidi"/>
          <w:rtl/>
        </w:rPr>
        <w:t xml:space="preserve"> גט שכתבו עברית ועדיו יוונית, יוונית ועדיו עברי'... כשר. </w:t>
      </w:r>
    </w:p>
    <w:p w14:paraId="0873D09C" w14:textId="77777777" w:rsidR="007D6167" w:rsidRPr="00351B7D" w:rsidRDefault="007D6167" w:rsidP="007D6167">
      <w:pPr>
        <w:rPr>
          <w:rFonts w:asciiTheme="minorBidi" w:hAnsiTheme="minorBidi"/>
          <w:sz w:val="16"/>
          <w:szCs w:val="16"/>
          <w:rtl/>
        </w:rPr>
      </w:pPr>
      <w:r w:rsidRPr="00351B7D">
        <w:rPr>
          <w:rFonts w:asciiTheme="minorBidi" w:hAnsiTheme="minorBidi"/>
          <w:b/>
          <w:bCs/>
          <w:rtl/>
        </w:rPr>
        <w:t xml:space="preserve">גיטין יט ע"ב: </w:t>
      </w:r>
      <w:r w:rsidRPr="00351B7D">
        <w:rPr>
          <w:rFonts w:asciiTheme="minorBidi" w:hAnsiTheme="minorBidi"/>
          <w:rtl/>
        </w:rPr>
        <w:t>הכי אמר אמימר: האי שטרא פרסאה דחתימי עליה סהדי ישראל</w:t>
      </w:r>
      <w:r w:rsidRPr="00351B7D">
        <w:rPr>
          <w:rStyle w:val="a7"/>
          <w:rFonts w:asciiTheme="minorBidi" w:hAnsiTheme="minorBidi"/>
          <w:rtl/>
        </w:rPr>
        <w:footnoteReference w:id="3341"/>
      </w:r>
      <w:r w:rsidRPr="00351B7D">
        <w:rPr>
          <w:rFonts w:asciiTheme="minorBidi" w:hAnsiTheme="minorBidi"/>
          <w:rtl/>
        </w:rPr>
        <w:t>, מגבינן ביה ממשעבדי. והא לא ידעי למיקרי! בדידעי. והא בעינן כתב שאינו יכול להזדייף, וליכא, בדאפיצן. והא בעינן צריך לחזור מענינו של שטר בשיטה אחרונה, וליכא! בדמהדר. ואלא מאי קמ"ל? דכל לשון כשר, תנינא! גט שכתבו עברית ועדיו יונית, יונית ועדיו עברית - כשר! אי מההיא הוה אמינא הני מילי בגיטין, אבל בשאר שטרות לא, קמ"ל.</w:t>
      </w:r>
    </w:p>
    <w:p w14:paraId="5E1699F5" w14:textId="77777777" w:rsidR="007D6167" w:rsidRPr="00351B7D" w:rsidRDefault="007D6167" w:rsidP="007D6167">
      <w:pPr>
        <w:rPr>
          <w:rFonts w:asciiTheme="minorBidi" w:hAnsiTheme="minorBidi"/>
          <w:rtl/>
        </w:rPr>
      </w:pPr>
      <w:r w:rsidRPr="00351B7D">
        <w:rPr>
          <w:rFonts w:asciiTheme="minorBidi" w:hAnsiTheme="minorBidi"/>
          <w:b/>
          <w:bCs/>
          <w:rtl/>
        </w:rPr>
        <w:t xml:space="preserve">תוספתא </w:t>
      </w:r>
      <w:r w:rsidRPr="00351B7D">
        <w:rPr>
          <w:rFonts w:asciiTheme="minorBidi" w:hAnsiTheme="minorBidi"/>
          <w:b/>
          <w:bCs/>
          <w:sz w:val="16"/>
          <w:szCs w:val="16"/>
          <w:rtl/>
        </w:rPr>
        <w:t xml:space="preserve">(ליברמן) </w:t>
      </w:r>
      <w:r w:rsidRPr="00351B7D">
        <w:rPr>
          <w:rFonts w:asciiTheme="minorBidi" w:hAnsiTheme="minorBidi"/>
          <w:b/>
          <w:bCs/>
          <w:rtl/>
        </w:rPr>
        <w:t>גיטין</w:t>
      </w:r>
      <w:r w:rsidRPr="00351B7D">
        <w:rPr>
          <w:rFonts w:asciiTheme="minorBidi" w:hAnsiTheme="minorBidi"/>
          <w:b/>
          <w:bCs/>
          <w:sz w:val="16"/>
          <w:szCs w:val="16"/>
          <w:rtl/>
        </w:rPr>
        <w:t xml:space="preserve"> </w:t>
      </w:r>
      <w:r w:rsidRPr="00351B7D">
        <w:rPr>
          <w:rFonts w:asciiTheme="minorBidi" w:hAnsiTheme="minorBidi"/>
          <w:b/>
          <w:bCs/>
          <w:rtl/>
        </w:rPr>
        <w:t>פ"ז הי"א:</w:t>
      </w:r>
      <w:r w:rsidRPr="00351B7D">
        <w:rPr>
          <w:rFonts w:asciiTheme="minorBidi" w:hAnsiTheme="minorBidi"/>
          <w:rtl/>
        </w:rPr>
        <w:t xml:space="preserve"> גט שכתבו בחמשה לשונות וחתמו עליו חמשה עדים בחמשה לשונות פסול.</w:t>
      </w:r>
      <w:r w:rsidRPr="00351B7D">
        <w:rPr>
          <w:rFonts w:asciiTheme="minorBidi" w:hAnsiTheme="minorBidi"/>
          <w:sz w:val="16"/>
          <w:szCs w:val="16"/>
          <w:rtl/>
        </w:rPr>
        <w:t xml:space="preserve"> (כן היא גיר' הרמב"ם (הל' גירושין פ"ד ה"ח) והראב"ד, אך הרשב"א גורס 'כשר' </w:t>
      </w:r>
      <w:r w:rsidRPr="00351B7D">
        <w:rPr>
          <w:rFonts w:asciiTheme="minorBidi" w:hAnsiTheme="minorBidi"/>
          <w:sz w:val="12"/>
          <w:szCs w:val="12"/>
          <w:rtl/>
        </w:rPr>
        <w:t>{אע"פ שידע שהרמב"ם והראב"ד גורסים אחרת}</w:t>
      </w:r>
      <w:r w:rsidRPr="00351B7D">
        <w:rPr>
          <w:rFonts w:asciiTheme="minorBidi" w:hAnsiTheme="minorBidi"/>
          <w:sz w:val="16"/>
          <w:szCs w:val="16"/>
          <w:rtl/>
        </w:rPr>
        <w:t>)</w:t>
      </w:r>
    </w:p>
    <w:p w14:paraId="241D2911" w14:textId="77777777" w:rsidR="007D6167" w:rsidRPr="00351B7D" w:rsidRDefault="007D6167" w:rsidP="007D6167">
      <w:pPr>
        <w:rPr>
          <w:rFonts w:asciiTheme="minorBidi" w:hAnsiTheme="minorBidi"/>
          <w:u w:val="single"/>
          <w:rtl/>
        </w:rPr>
      </w:pPr>
      <w:r w:rsidRPr="00351B7D">
        <w:rPr>
          <w:rFonts w:asciiTheme="minorBidi" w:hAnsiTheme="minorBidi"/>
          <w:u w:val="single"/>
          <w:rtl/>
        </w:rPr>
        <w:t>באיזה כתב יש לכתוב את הגט:</w:t>
      </w:r>
    </w:p>
    <w:p w14:paraId="0DBD3B95" w14:textId="77777777" w:rsidR="007D6167" w:rsidRPr="00351B7D" w:rsidRDefault="007D6167" w:rsidP="00B75458">
      <w:pPr>
        <w:pStyle w:val="ab"/>
        <w:numPr>
          <w:ilvl w:val="0"/>
          <w:numId w:val="208"/>
        </w:numPr>
        <w:rPr>
          <w:rFonts w:asciiTheme="minorBidi" w:hAnsiTheme="minorBidi"/>
          <w:rtl/>
        </w:rPr>
      </w:pPr>
      <w:r w:rsidRPr="00351B7D">
        <w:rPr>
          <w:rFonts w:asciiTheme="minorBidi" w:hAnsiTheme="minorBidi"/>
          <w:rtl/>
        </w:rPr>
        <w:t>או"ז תרוה"ד וכל בו</w:t>
      </w:r>
      <w:r w:rsidRPr="00351B7D">
        <w:rPr>
          <w:rStyle w:val="a7"/>
          <w:rFonts w:asciiTheme="minorBidi" w:hAnsiTheme="minorBidi"/>
          <w:rtl/>
        </w:rPr>
        <w:footnoteReference w:id="3342"/>
      </w:r>
      <w:r w:rsidRPr="00351B7D">
        <w:rPr>
          <w:rFonts w:asciiTheme="minorBidi" w:hAnsiTheme="minorBidi"/>
          <w:rtl/>
        </w:rPr>
        <w:t>- כל שאינו אשורי אינה כתיבה תמה ואפילו קוצו של יו"ד מעכב</w:t>
      </w:r>
      <w:r w:rsidRPr="00351B7D">
        <w:rPr>
          <w:rStyle w:val="a7"/>
          <w:rFonts w:asciiTheme="minorBidi" w:hAnsiTheme="minorBidi"/>
          <w:rtl/>
        </w:rPr>
        <w:footnoteReference w:id="3343"/>
      </w:r>
      <w:r w:rsidRPr="00351B7D">
        <w:rPr>
          <w:rFonts w:asciiTheme="minorBidi" w:hAnsiTheme="minorBidi"/>
          <w:rtl/>
        </w:rPr>
        <w:t xml:space="preserve">.  </w:t>
      </w:r>
    </w:p>
    <w:p w14:paraId="2FA384C4" w14:textId="77777777" w:rsidR="007D6167" w:rsidRPr="00351B7D" w:rsidRDefault="007D6167" w:rsidP="00B75458">
      <w:pPr>
        <w:pStyle w:val="ab"/>
        <w:numPr>
          <w:ilvl w:val="0"/>
          <w:numId w:val="208"/>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מה סי' יג)</w:t>
      </w:r>
      <w:r w:rsidRPr="00351B7D">
        <w:rPr>
          <w:rFonts w:asciiTheme="minorBidi" w:hAnsiTheme="minorBidi"/>
          <w:rtl/>
        </w:rPr>
        <w:t>- גט שלא נכתב בכתיבה אשורית מרובעת פוסלין בארצנו, אבל במקום עיגון שבא מארץ רחוקה ואין שיירות מצויות להביא אחר לא הייתי פוסלו</w:t>
      </w:r>
      <w:r w:rsidRPr="00351B7D">
        <w:rPr>
          <w:rStyle w:val="a7"/>
          <w:rFonts w:asciiTheme="minorBidi" w:hAnsiTheme="minorBidi"/>
          <w:rtl/>
        </w:rPr>
        <w:footnoteReference w:id="3344"/>
      </w:r>
      <w:r w:rsidRPr="00351B7D">
        <w:rPr>
          <w:rFonts w:asciiTheme="minorBidi" w:hAnsiTheme="minorBidi"/>
          <w:rtl/>
        </w:rPr>
        <w:t>.</w:t>
      </w:r>
      <w:r w:rsidRPr="00351B7D">
        <w:rPr>
          <w:rStyle w:val="a7"/>
          <w:rFonts w:asciiTheme="minorBidi" w:hAnsiTheme="minorBidi"/>
          <w:color w:val="00B0F0"/>
          <w:rtl/>
        </w:rPr>
        <w:t xml:space="preserve"> </w:t>
      </w:r>
      <w:r w:rsidRPr="00351B7D">
        <w:rPr>
          <w:rFonts w:asciiTheme="minorBidi" w:hAnsiTheme="minorBidi"/>
          <w:color w:val="00B0F0"/>
          <w:rtl/>
        </w:rPr>
        <w:t>(וכ"פ הרמ"א)</w:t>
      </w:r>
    </w:p>
    <w:p w14:paraId="2F29318A" w14:textId="77777777" w:rsidR="007D6167" w:rsidRPr="00351B7D" w:rsidRDefault="007D6167" w:rsidP="00B75458">
      <w:pPr>
        <w:pStyle w:val="ab"/>
        <w:numPr>
          <w:ilvl w:val="0"/>
          <w:numId w:val="208"/>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(סי' אלף קצ"א, ואלף ר"כ, ותשע"ט)</w:t>
      </w:r>
      <w:r w:rsidRPr="00351B7D">
        <w:rPr>
          <w:rFonts w:asciiTheme="minorBidi" w:hAnsiTheme="minorBidi"/>
          <w:rtl/>
        </w:rPr>
        <w:t xml:space="preserve"> ומהרי"ק </w:t>
      </w:r>
      <w:r w:rsidRPr="00351B7D">
        <w:rPr>
          <w:rFonts w:asciiTheme="minorBidi" w:hAnsiTheme="minorBidi"/>
          <w:sz w:val="16"/>
          <w:szCs w:val="16"/>
          <w:rtl/>
        </w:rPr>
        <w:t>(שורש ע"א)</w:t>
      </w:r>
      <w:r w:rsidRPr="00351B7D">
        <w:rPr>
          <w:rFonts w:asciiTheme="minorBidi" w:hAnsiTheme="minorBidi"/>
          <w:rtl/>
        </w:rPr>
        <w:t>- כל כתב וכל לשון כשר בגיטין לכתחלה</w:t>
      </w:r>
      <w:r w:rsidRPr="00351B7D">
        <w:rPr>
          <w:rStyle w:val="a7"/>
          <w:rFonts w:asciiTheme="minorBidi" w:hAnsiTheme="minorBidi"/>
          <w:rtl/>
        </w:rPr>
        <w:footnoteReference w:id="3345"/>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5A5E48E8" w14:textId="77777777" w:rsidR="007D6167" w:rsidRPr="00351B7D" w:rsidRDefault="007D6167" w:rsidP="00B75458">
      <w:pPr>
        <w:pStyle w:val="ab"/>
        <w:numPr>
          <w:ilvl w:val="0"/>
          <w:numId w:val="208"/>
        </w:numPr>
        <w:rPr>
          <w:rFonts w:asciiTheme="minorBidi" w:hAnsiTheme="minorBidi"/>
          <w:rtl/>
        </w:rPr>
      </w:pPr>
      <w:r w:rsidRPr="00351B7D">
        <w:rPr>
          <w:rFonts w:asciiTheme="minorBidi" w:hAnsiTheme="minorBidi"/>
          <w:rtl/>
        </w:rPr>
        <w:t>ר"י מיגא"ש ורמב"ם</w:t>
      </w:r>
      <w:r w:rsidRPr="00351B7D">
        <w:rPr>
          <w:rStyle w:val="a7"/>
          <w:rFonts w:asciiTheme="minorBidi" w:hAnsiTheme="minorBidi"/>
          <w:rtl/>
        </w:rPr>
        <w:footnoteReference w:id="3346"/>
      </w:r>
      <w:r w:rsidRPr="00351B7D">
        <w:rPr>
          <w:rFonts w:asciiTheme="minorBidi" w:hAnsiTheme="minorBidi"/>
          <w:rtl/>
        </w:rPr>
        <w:t xml:space="preserve">- יש למנוע מלכתוב הגט בכתיבה אשורית, וטוב לכתוב בכתב הנקרא בערבי מדבד"ב. </w:t>
      </w:r>
    </w:p>
    <w:p w14:paraId="6E1FDAF3" w14:textId="77777777" w:rsidR="007D6167" w:rsidRPr="00351B7D" w:rsidRDefault="007D6167" w:rsidP="007D6167">
      <w:pPr>
        <w:rPr>
          <w:rFonts w:asciiTheme="minorBidi" w:hAnsiTheme="minorBidi"/>
          <w:u w:val="single"/>
          <w:rtl/>
        </w:rPr>
      </w:pPr>
      <w:r w:rsidRPr="00351B7D">
        <w:rPr>
          <w:rFonts w:asciiTheme="minorBidi" w:hAnsiTheme="minorBidi"/>
          <w:u w:val="single"/>
          <w:rtl/>
        </w:rPr>
        <w:t xml:space="preserve">גט הכתוב בכתב פרובינצא"ל </w:t>
      </w:r>
      <w:r w:rsidRPr="00351B7D">
        <w:rPr>
          <w:rFonts w:asciiTheme="minorBidi" w:hAnsiTheme="minorBidi"/>
          <w:sz w:val="16"/>
          <w:szCs w:val="16"/>
          <w:u w:val="single"/>
          <w:rtl/>
        </w:rPr>
        <w:t>(כתב רש"י)</w:t>
      </w:r>
      <w:r w:rsidRPr="00351B7D">
        <w:rPr>
          <w:rFonts w:asciiTheme="minorBidi" w:hAnsiTheme="minorBidi"/>
          <w:u w:val="single"/>
          <w:rtl/>
        </w:rPr>
        <w:t>:</w:t>
      </w:r>
    </w:p>
    <w:p w14:paraId="571F80FB" w14:textId="77777777" w:rsidR="007D6167" w:rsidRPr="00351B7D" w:rsidRDefault="007D6167" w:rsidP="00B75458">
      <w:pPr>
        <w:pStyle w:val="ab"/>
        <w:numPr>
          <w:ilvl w:val="0"/>
          <w:numId w:val="209"/>
        </w:numPr>
        <w:rPr>
          <w:rFonts w:asciiTheme="minorBidi" w:hAnsiTheme="minorBidi"/>
        </w:rPr>
      </w:pPr>
      <w:r w:rsidRPr="00351B7D">
        <w:rPr>
          <w:rFonts w:asciiTheme="minorBidi" w:hAnsiTheme="minorBidi"/>
          <w:rtl/>
        </w:rPr>
        <w:t>י"א</w:t>
      </w:r>
      <w:r w:rsidRPr="00351B7D">
        <w:rPr>
          <w:rFonts w:asciiTheme="minorBidi" w:hAnsiTheme="minorBidi"/>
          <w:sz w:val="16"/>
          <w:szCs w:val="16"/>
          <w:rtl/>
        </w:rPr>
        <w:t xml:space="preserve"> (הביאם הב"י)</w:t>
      </w:r>
      <w:r w:rsidRPr="00351B7D">
        <w:rPr>
          <w:rFonts w:asciiTheme="minorBidi" w:hAnsiTheme="minorBidi"/>
          <w:rtl/>
        </w:rPr>
        <w:t xml:space="preserve">- לא מיקרי כתב, ואף המתירים לכתוב בכתב שאינו אשורי לא התירו אלא בכתב משקיי"ט שהוא הנקרא אצל הספרדים משק"י שהוא דומה לכתב אשורי, אבל כתב פרובינצא"ל דלא דמי לכתב אשורי והוא עצמו אינו קרוי כתב אלא שבדו ההדיוטות מלבם לכולי עלמא אין כותבין הגט בו ואם כתבו הגט פסול. </w:t>
      </w:r>
    </w:p>
    <w:p w14:paraId="6EA3FBD1" w14:textId="77777777" w:rsidR="007D6167" w:rsidRPr="00351B7D" w:rsidRDefault="007D6167" w:rsidP="00B75458">
      <w:pPr>
        <w:pStyle w:val="ab"/>
        <w:numPr>
          <w:ilvl w:val="0"/>
          <w:numId w:val="209"/>
        </w:numPr>
        <w:rPr>
          <w:rFonts w:asciiTheme="minorBidi" w:hAnsiTheme="minorBidi"/>
        </w:rPr>
      </w:pPr>
      <w:r w:rsidRPr="00351B7D">
        <w:rPr>
          <w:rFonts w:asciiTheme="minorBidi" w:hAnsiTheme="minorBidi"/>
          <w:rtl/>
        </w:rPr>
        <w:t>ב"י- כיון שנהגו לכתוב בכתב פרובינצא"ל כתבים ושטרות וספרים ודאי לא גרע מכתב הגוים שגם הם כתבים הסכמיים, וכן נראה מדברי הרמב"ם</w:t>
      </w:r>
      <w:r w:rsidRPr="00351B7D">
        <w:rPr>
          <w:rFonts w:asciiTheme="minorBidi" w:hAnsiTheme="minorBidi"/>
          <w:sz w:val="16"/>
          <w:szCs w:val="16"/>
          <w:rtl/>
        </w:rPr>
        <w:t xml:space="preserve"> (בשם ר"י הלוי)</w:t>
      </w:r>
      <w:r w:rsidRPr="00351B7D">
        <w:rPr>
          <w:rFonts w:asciiTheme="minorBidi" w:hAnsiTheme="minorBidi"/>
          <w:rtl/>
        </w:rPr>
        <w:t xml:space="preserve">, דמכיון שאינה כתיבה תלויה פשיטא דכותבין בו לכתחלה לדברי ר"י הלוי </w:t>
      </w:r>
      <w:r w:rsidRPr="00351B7D">
        <w:rPr>
          <w:rFonts w:asciiTheme="minorBidi" w:hAnsiTheme="minorBidi"/>
          <w:sz w:val="16"/>
          <w:szCs w:val="16"/>
          <w:rtl/>
        </w:rPr>
        <w:t>(ואפשר שזהו כתב מדבד"ב שהנהיג לכתוב בו, וכן מצאתי בא"ח (הל' גיטין ד"ה על) שפירש מדבדב מש"ק)</w:t>
      </w:r>
      <w:r w:rsidRPr="00351B7D">
        <w:rPr>
          <w:rFonts w:asciiTheme="minorBidi" w:hAnsiTheme="minorBidi"/>
          <w:rtl/>
        </w:rPr>
        <w:t xml:space="preserve">, ונ"ל שמשקיי"ט שהזכיר הרשב"א היא פרובינצא"ל אלא שבמקומו קורין אותו משקיי"ט, ועוד אני אומר שאם באנו לחלק בין כתב הדומה לאשורי לשאינו דומה לו איפכא הוא דאיכא לפלוגי ולומר שאין לכתוב הגט בכתב שדומה לאשורי כגון כתב שאנו קורין משק"י דכיון שהוא כתב אשורי צריך לכותבו כתיקון כתב אשורי ממש ואפילו קוצו של יו"ד מעכב אבל כל שאינו דומה לכתב אשורי כתב בפני עצמו הוא ולא גרע מכתב הגוים וכמו שכתבתי. ואפשר שגם או"ז והכל בו מודו בהכי ולא אמרו שלא לכתוב משקיי"ט אלא בכתב שאנו קורין משק"י שדומה לאשורי אבל בכתב פרובינצא"ל שאינו דומה מודו דכותבין, וגם דברי הרא"ש בתשובה אפשר לפרש </w:t>
      </w:r>
      <w:r w:rsidRPr="00351B7D">
        <w:rPr>
          <w:rFonts w:asciiTheme="minorBidi" w:hAnsiTheme="minorBidi"/>
          <w:rtl/>
        </w:rPr>
        <w:lastRenderedPageBreak/>
        <w:t>כן... אבל באמת פשט דברי הרא"ש אין מורין כן... ומ"מ חומרא בעלמא הוא שהיו מחמירים ולא מדינא דאל"כ אפילו במקום עיגון לא הוה ליה למישרי</w:t>
      </w:r>
      <w:r w:rsidRPr="00351B7D">
        <w:rPr>
          <w:rStyle w:val="a7"/>
          <w:rFonts w:asciiTheme="minorBidi" w:hAnsiTheme="minorBidi"/>
          <w:rtl/>
        </w:rPr>
        <w:footnoteReference w:id="3347"/>
      </w:r>
      <w:r w:rsidRPr="00351B7D">
        <w:rPr>
          <w:rFonts w:asciiTheme="minorBidi" w:hAnsiTheme="minorBidi"/>
          <w:rtl/>
        </w:rPr>
        <w:t>.</w:t>
      </w:r>
    </w:p>
    <w:p w14:paraId="24006A94" w14:textId="77777777" w:rsidR="007D6167" w:rsidRPr="00351B7D" w:rsidRDefault="007D6167" w:rsidP="007D6167">
      <w:pPr>
        <w:rPr>
          <w:rFonts w:asciiTheme="minorBidi" w:hAnsiTheme="minorBidi"/>
          <w:u w:val="single"/>
          <w:rtl/>
        </w:rPr>
      </w:pPr>
      <w:r w:rsidRPr="00351B7D">
        <w:rPr>
          <w:rFonts w:asciiTheme="minorBidi" w:hAnsiTheme="minorBidi"/>
          <w:u w:val="single"/>
          <w:rtl/>
        </w:rPr>
        <w:t xml:space="preserve">גט שמקצתו כתוב </w:t>
      </w:r>
      <w:r w:rsidRPr="00351B7D">
        <w:rPr>
          <w:rFonts w:asciiTheme="minorBidi" w:hAnsiTheme="minorBidi"/>
          <w:b/>
          <w:bCs/>
          <w:u w:val="single"/>
          <w:rtl/>
        </w:rPr>
        <w:t>בלשון</w:t>
      </w:r>
      <w:r w:rsidRPr="00351B7D">
        <w:rPr>
          <w:rFonts w:asciiTheme="minorBidi" w:hAnsiTheme="minorBidi"/>
          <w:u w:val="single"/>
          <w:rtl/>
        </w:rPr>
        <w:t xml:space="preserve"> אחד ומקצתו </w:t>
      </w:r>
      <w:r w:rsidRPr="00351B7D">
        <w:rPr>
          <w:rFonts w:asciiTheme="minorBidi" w:hAnsiTheme="minorBidi"/>
          <w:b/>
          <w:bCs/>
          <w:u w:val="single"/>
          <w:rtl/>
        </w:rPr>
        <w:t>בלשון</w:t>
      </w:r>
      <w:r w:rsidRPr="00351B7D">
        <w:rPr>
          <w:rFonts w:asciiTheme="minorBidi" w:hAnsiTheme="minorBidi"/>
          <w:u w:val="single"/>
          <w:rtl/>
        </w:rPr>
        <w:t xml:space="preserve"> אחר:</w:t>
      </w:r>
    </w:p>
    <w:p w14:paraId="3F0567BD" w14:textId="77777777" w:rsidR="007D6167" w:rsidRPr="00351B7D" w:rsidRDefault="007D6167" w:rsidP="00B75458">
      <w:pPr>
        <w:pStyle w:val="ab"/>
        <w:numPr>
          <w:ilvl w:val="0"/>
          <w:numId w:val="212"/>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(פ"ד ה"ח)</w:t>
      </w:r>
      <w:r w:rsidRPr="00351B7D">
        <w:rPr>
          <w:rFonts w:asciiTheme="minorBidi" w:hAnsiTheme="minorBidi"/>
          <w:rtl/>
        </w:rPr>
        <w:t xml:space="preserve"> וטור </w:t>
      </w:r>
      <w:r w:rsidRPr="00351B7D">
        <w:rPr>
          <w:rFonts w:asciiTheme="minorBidi" w:hAnsiTheme="minorBidi"/>
          <w:sz w:val="16"/>
          <w:szCs w:val="16"/>
          <w:rtl/>
        </w:rPr>
        <w:t>(סי' קל)</w:t>
      </w:r>
      <w:r w:rsidRPr="00351B7D">
        <w:rPr>
          <w:rFonts w:asciiTheme="minorBidi" w:hAnsiTheme="minorBidi"/>
          <w:rtl/>
        </w:rPr>
        <w:t>- פסול</w:t>
      </w:r>
      <w:r w:rsidRPr="00351B7D">
        <w:rPr>
          <w:rStyle w:val="a7"/>
          <w:rFonts w:asciiTheme="minorBidi" w:hAnsiTheme="minorBidi"/>
          <w:rtl/>
        </w:rPr>
        <w:footnoteReference w:id="3348"/>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4D698B6F" w14:textId="77777777" w:rsidR="007D6167" w:rsidRPr="00351B7D" w:rsidRDefault="007D6167" w:rsidP="00B75458">
      <w:pPr>
        <w:pStyle w:val="ab"/>
        <w:numPr>
          <w:ilvl w:val="0"/>
          <w:numId w:val="212"/>
        </w:numPr>
        <w:rPr>
          <w:rFonts w:asciiTheme="minorBidi" w:hAnsiTheme="minorBidi"/>
        </w:rPr>
      </w:pPr>
      <w:r w:rsidRPr="00351B7D">
        <w:rPr>
          <w:rFonts w:asciiTheme="minorBidi" w:hAnsiTheme="minorBidi"/>
          <w:rtl/>
        </w:rPr>
        <w:t>ראב"ד- אפשר שכשר</w:t>
      </w:r>
      <w:r w:rsidRPr="00351B7D">
        <w:rPr>
          <w:rStyle w:val="a7"/>
          <w:rFonts w:asciiTheme="minorBidi" w:hAnsiTheme="minorBidi"/>
          <w:rtl/>
        </w:rPr>
        <w:footnoteReference w:id="3349"/>
      </w:r>
      <w:r w:rsidRPr="00351B7D">
        <w:rPr>
          <w:rFonts w:asciiTheme="minorBidi" w:hAnsiTheme="minorBidi"/>
          <w:rtl/>
        </w:rPr>
        <w:t xml:space="preserve">. </w:t>
      </w:r>
    </w:p>
    <w:p w14:paraId="65170FFE" w14:textId="77777777" w:rsidR="007D6167" w:rsidRPr="00351B7D" w:rsidRDefault="007D6167" w:rsidP="00B75458">
      <w:pPr>
        <w:pStyle w:val="ab"/>
        <w:numPr>
          <w:ilvl w:val="0"/>
          <w:numId w:val="212"/>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(סי' אלף קצ"א)</w:t>
      </w:r>
      <w:r w:rsidRPr="00351B7D">
        <w:rPr>
          <w:rFonts w:asciiTheme="minorBidi" w:hAnsiTheme="minorBidi"/>
          <w:rtl/>
        </w:rPr>
        <w:t>- כשר</w:t>
      </w:r>
      <w:r w:rsidRPr="00351B7D">
        <w:rPr>
          <w:rFonts w:asciiTheme="minorBidi" w:hAnsiTheme="minorBidi"/>
          <w:sz w:val="16"/>
          <w:szCs w:val="16"/>
          <w:rtl/>
        </w:rPr>
        <w:t xml:space="preserve"> (לפי גירסתו בתוספתא)</w:t>
      </w:r>
      <w:r w:rsidRPr="00351B7D">
        <w:rPr>
          <w:rFonts w:asciiTheme="minorBidi" w:hAnsiTheme="minorBidi"/>
          <w:rtl/>
        </w:rPr>
        <w:t>.</w:t>
      </w:r>
    </w:p>
    <w:p w14:paraId="40CD67FA" w14:textId="77777777" w:rsidR="007D6167" w:rsidRPr="00351B7D" w:rsidRDefault="007D6167" w:rsidP="007D6167">
      <w:pPr>
        <w:rPr>
          <w:rFonts w:asciiTheme="minorBidi" w:hAnsiTheme="minorBidi"/>
          <w:sz w:val="16"/>
          <w:szCs w:val="16"/>
          <w:rtl/>
        </w:rPr>
      </w:pPr>
      <w:r w:rsidRPr="00351B7D">
        <w:rPr>
          <w:rFonts w:asciiTheme="minorBidi" w:hAnsiTheme="minorBidi"/>
          <w:u w:val="single"/>
          <w:rtl/>
        </w:rPr>
        <w:t>גט שיש בו צ' או א'</w:t>
      </w:r>
      <w:r w:rsidRPr="00351B7D">
        <w:rPr>
          <w:rFonts w:asciiTheme="minorBidi" w:hAnsiTheme="minorBidi"/>
          <w:sz w:val="16"/>
          <w:szCs w:val="16"/>
          <w:u w:val="single"/>
          <w:rtl/>
        </w:rPr>
        <w:t xml:space="preserve"> (וכדומה)</w:t>
      </w:r>
      <w:r w:rsidRPr="00351B7D">
        <w:rPr>
          <w:rFonts w:asciiTheme="minorBidi" w:hAnsiTheme="minorBidi"/>
          <w:u w:val="single"/>
          <w:rtl/>
        </w:rPr>
        <w:t xml:space="preserve"> שהיוד שמאחוריהם נוגעין בגוף האות</w:t>
      </w:r>
      <w:r w:rsidRPr="00351B7D">
        <w:rPr>
          <w:rStyle w:val="a7"/>
          <w:rFonts w:asciiTheme="minorBidi" w:hAnsiTheme="minorBidi"/>
          <w:u w:val="single"/>
          <w:rtl/>
        </w:rPr>
        <w:footnoteReference w:id="3350"/>
      </w:r>
      <w:r w:rsidRPr="00351B7D">
        <w:rPr>
          <w:rFonts w:asciiTheme="minorBidi" w:hAnsiTheme="minorBidi"/>
          <w:u w:val="single"/>
          <w:rtl/>
        </w:rPr>
        <w:t>:</w:t>
      </w:r>
      <w:r w:rsidRPr="00351B7D">
        <w:rPr>
          <w:rFonts w:asciiTheme="minorBidi" w:hAnsiTheme="minorBidi"/>
          <w:sz w:val="16"/>
          <w:szCs w:val="16"/>
          <w:rtl/>
        </w:rPr>
        <w:t xml:space="preserve">    (דרכ"מ</w:t>
      </w:r>
      <w:r w:rsidRPr="00351B7D">
        <w:rPr>
          <w:rFonts w:asciiTheme="minorBidi" w:hAnsiTheme="minorBidi"/>
          <w:sz w:val="14"/>
          <w:szCs w:val="14"/>
          <w:rtl/>
        </w:rPr>
        <w:t xml:space="preserve"> [אות ב ואות ה]</w:t>
      </w:r>
      <w:r w:rsidRPr="00351B7D">
        <w:rPr>
          <w:rFonts w:asciiTheme="minorBidi" w:hAnsiTheme="minorBidi"/>
          <w:sz w:val="16"/>
          <w:szCs w:val="16"/>
          <w:rtl/>
        </w:rPr>
        <w:t>)</w:t>
      </w:r>
    </w:p>
    <w:p w14:paraId="231AC075" w14:textId="77777777" w:rsidR="007D6167" w:rsidRPr="00351B7D" w:rsidRDefault="007D6167" w:rsidP="00B75458">
      <w:pPr>
        <w:pStyle w:val="ab"/>
        <w:numPr>
          <w:ilvl w:val="0"/>
          <w:numId w:val="210"/>
        </w:numPr>
        <w:rPr>
          <w:rFonts w:asciiTheme="minorBidi" w:hAnsiTheme="minorBidi"/>
        </w:rPr>
      </w:pPr>
      <w:r w:rsidRPr="00351B7D">
        <w:rPr>
          <w:rFonts w:asciiTheme="minorBidi" w:hAnsiTheme="minorBidi"/>
          <w:rtl/>
        </w:rPr>
        <w:t xml:space="preserve">תרוה"ד </w:t>
      </w:r>
      <w:r w:rsidRPr="00351B7D">
        <w:rPr>
          <w:rFonts w:asciiTheme="minorBidi" w:hAnsiTheme="minorBidi"/>
          <w:sz w:val="16"/>
          <w:szCs w:val="16"/>
          <w:rtl/>
        </w:rPr>
        <w:t>(סי' רל, ובפסקיו סי' מה)</w:t>
      </w:r>
      <w:r w:rsidRPr="00351B7D">
        <w:rPr>
          <w:rFonts w:asciiTheme="minorBidi" w:hAnsiTheme="minorBidi"/>
          <w:rtl/>
        </w:rPr>
        <w:t xml:space="preserve">- אפילו בדיעבד יש להחמיר, אע"פ שהתינוק קורא אותו יפה. </w:t>
      </w:r>
    </w:p>
    <w:p w14:paraId="54560BCA" w14:textId="77777777" w:rsidR="007D6167" w:rsidRPr="00351B7D" w:rsidRDefault="007D6167" w:rsidP="00B75458">
      <w:pPr>
        <w:pStyle w:val="ab"/>
        <w:numPr>
          <w:ilvl w:val="0"/>
          <w:numId w:val="210"/>
        </w:numPr>
        <w:rPr>
          <w:rFonts w:asciiTheme="minorBidi" w:hAnsiTheme="minorBidi"/>
        </w:rPr>
      </w:pPr>
      <w:r w:rsidRPr="00351B7D">
        <w:rPr>
          <w:rFonts w:asciiTheme="minorBidi" w:hAnsiTheme="minorBidi"/>
          <w:rtl/>
        </w:rPr>
        <w:t xml:space="preserve">ב"י </w:t>
      </w:r>
      <w:r w:rsidRPr="00351B7D">
        <w:rPr>
          <w:rFonts w:asciiTheme="minorBidi" w:hAnsiTheme="minorBidi"/>
          <w:sz w:val="16"/>
          <w:szCs w:val="16"/>
          <w:rtl/>
        </w:rPr>
        <w:t>(לקמן סע' מז)</w:t>
      </w:r>
      <w:r w:rsidRPr="00351B7D">
        <w:rPr>
          <w:rFonts w:asciiTheme="minorBidi" w:hAnsiTheme="minorBidi"/>
          <w:rtl/>
        </w:rPr>
        <w:t xml:space="preserve">- אם הוא בטופס פשיטא דכשר דלא גרע מאילו חסר כל האות, ואף בתורף יש להכשיר בדיעבד במקום עיגון כיון דתינוק קורא אותו יפה. </w:t>
      </w:r>
    </w:p>
    <w:p w14:paraId="040F2292" w14:textId="77777777" w:rsidR="007D6167" w:rsidRPr="00351B7D" w:rsidRDefault="007D6167" w:rsidP="00B75458">
      <w:pPr>
        <w:pStyle w:val="ab"/>
        <w:numPr>
          <w:ilvl w:val="0"/>
          <w:numId w:val="210"/>
        </w:numPr>
        <w:rPr>
          <w:rFonts w:asciiTheme="minorBidi" w:hAnsiTheme="minorBidi"/>
        </w:rPr>
      </w:pPr>
      <w:r w:rsidRPr="00351B7D">
        <w:rPr>
          <w:rFonts w:asciiTheme="minorBidi" w:hAnsiTheme="minorBidi"/>
          <w:rtl/>
        </w:rPr>
        <w:t xml:space="preserve">מהר"י מרפור"ק </w:t>
      </w:r>
      <w:r w:rsidRPr="00351B7D">
        <w:rPr>
          <w:rFonts w:asciiTheme="minorBidi" w:hAnsiTheme="minorBidi"/>
          <w:sz w:val="16"/>
          <w:szCs w:val="16"/>
          <w:rtl/>
        </w:rPr>
        <w:t>(הביאו הדרכ"מ אות ה)</w:t>
      </w:r>
      <w:r w:rsidRPr="00351B7D">
        <w:rPr>
          <w:rFonts w:asciiTheme="minorBidi" w:hAnsiTheme="minorBidi"/>
          <w:rtl/>
        </w:rPr>
        <w:t>- אם היו"ד שעל האל"ף מחובר בב' מקומות אינו מזיק</w:t>
      </w:r>
      <w:r w:rsidRPr="00351B7D">
        <w:rPr>
          <w:rStyle w:val="a7"/>
          <w:rFonts w:asciiTheme="minorBidi" w:hAnsiTheme="minorBidi"/>
          <w:rtl/>
        </w:rPr>
        <w:footnoteReference w:id="3351"/>
      </w:r>
      <w:r w:rsidRPr="00351B7D">
        <w:rPr>
          <w:rFonts w:asciiTheme="minorBidi" w:hAnsiTheme="minorBidi"/>
          <w:rtl/>
        </w:rPr>
        <w:t>.</w:t>
      </w:r>
    </w:p>
    <w:p w14:paraId="53ADFAE1" w14:textId="77777777" w:rsidR="007D6167" w:rsidRPr="00351B7D" w:rsidRDefault="007D6167" w:rsidP="007D6167">
      <w:pPr>
        <w:rPr>
          <w:rFonts w:asciiTheme="minorBidi" w:hAnsiTheme="minorBidi"/>
          <w:rtl/>
        </w:rPr>
      </w:pPr>
      <w:r w:rsidRPr="00351B7D">
        <w:rPr>
          <w:rFonts w:asciiTheme="minorBidi" w:hAnsiTheme="minorBidi"/>
          <w:b/>
          <w:bCs/>
          <w:rtl/>
        </w:rPr>
        <w:t xml:space="preserve">גיטין פה ע"א: </w:t>
      </w:r>
      <w:r w:rsidRPr="00351B7D">
        <w:rPr>
          <w:rFonts w:asciiTheme="minorBidi" w:hAnsiTheme="minorBidi"/>
          <w:u w:val="double"/>
          <w:rtl/>
        </w:rPr>
        <w:t>מתני':</w:t>
      </w:r>
      <w:r w:rsidRPr="00351B7D">
        <w:rPr>
          <w:rFonts w:asciiTheme="minorBidi" w:hAnsiTheme="minorBidi"/>
          <w:rtl/>
        </w:rPr>
        <w:t xml:space="preserve"> גופו של גט: הרי את מותרת לכל אדם, </w:t>
      </w:r>
      <w:r w:rsidRPr="00351B7D">
        <w:rPr>
          <w:rFonts w:asciiTheme="minorBidi" w:hAnsiTheme="minorBidi"/>
          <w:u w:val="single"/>
          <w:rtl/>
        </w:rPr>
        <w:t>רבי יהודה אומר:</w:t>
      </w:r>
      <w:r w:rsidRPr="00351B7D">
        <w:rPr>
          <w:rFonts w:asciiTheme="minorBidi" w:hAnsiTheme="minorBidi"/>
          <w:rtl/>
        </w:rPr>
        <w:t xml:space="preserve"> ודן דיהוי ליכי מינאי ספר תירוכין ואגרת שבוקין וגט פטורין למהך להתנסבא לכל גבר דיתצביין...    </w:t>
      </w:r>
      <w:r w:rsidRPr="00351B7D">
        <w:rPr>
          <w:rFonts w:asciiTheme="minorBidi" w:hAnsiTheme="minorBidi"/>
          <w:u w:val="double"/>
          <w:rtl/>
        </w:rPr>
        <w:t>גמ':</w:t>
      </w:r>
      <w:r w:rsidRPr="00351B7D">
        <w:rPr>
          <w:rFonts w:asciiTheme="minorBidi" w:hAnsiTheme="minorBidi"/>
          <w:rtl/>
        </w:rPr>
        <w:t xml:space="preserve"> במאי קמיפלגי? רבנן סברי: ידים שאין מוכיחות</w:t>
      </w:r>
      <w:r w:rsidRPr="00351B7D">
        <w:rPr>
          <w:rStyle w:val="a7"/>
          <w:rFonts w:asciiTheme="minorBidi" w:hAnsiTheme="minorBidi"/>
          <w:rtl/>
        </w:rPr>
        <w:footnoteReference w:id="3352"/>
      </w:r>
      <w:r w:rsidRPr="00351B7D">
        <w:rPr>
          <w:rFonts w:asciiTheme="minorBidi" w:hAnsiTheme="minorBidi"/>
          <w:rtl/>
        </w:rPr>
        <w:t xml:space="preserve"> הויין ידים, ואף על גב דלא כתב לה ודן, מוכחא מילתא דבהאי גיטא קא מגרש לה, ור' יהודה סבר: ידים שאין מוכיחות לא הויין ידים, וטעמא דכתב לה ודן, דמוכחא מילתא דבהאי גיטא קא מגרש לה, אבל לא כתב לה ודן, אמרי בדיבורא</w:t>
      </w:r>
      <w:r w:rsidRPr="00351B7D">
        <w:rPr>
          <w:rStyle w:val="a7"/>
          <w:rFonts w:asciiTheme="minorBidi" w:hAnsiTheme="minorBidi"/>
          <w:rtl/>
        </w:rPr>
        <w:footnoteReference w:id="3353"/>
      </w:r>
      <w:r w:rsidRPr="00351B7D">
        <w:rPr>
          <w:rFonts w:asciiTheme="minorBidi" w:hAnsiTheme="minorBidi"/>
          <w:rtl/>
        </w:rPr>
        <w:t xml:space="preserve"> גרשה ושטרא ראיה בעלמא הוא</w:t>
      </w:r>
      <w:r w:rsidRPr="00351B7D">
        <w:rPr>
          <w:rStyle w:val="a7"/>
          <w:rFonts w:asciiTheme="minorBidi" w:hAnsiTheme="minorBidi"/>
          <w:rtl/>
        </w:rPr>
        <w:footnoteReference w:id="3354"/>
      </w:r>
      <w:r w:rsidRPr="00351B7D">
        <w:rPr>
          <w:rFonts w:asciiTheme="minorBidi" w:hAnsiTheme="minorBidi"/>
          <w:rtl/>
        </w:rPr>
        <w:t>.... איבעיא להו: בעינן ודן, או לא בעינן ודן</w:t>
      </w:r>
      <w:r w:rsidRPr="00351B7D">
        <w:rPr>
          <w:rStyle w:val="a7"/>
          <w:rFonts w:asciiTheme="minorBidi" w:hAnsiTheme="minorBidi"/>
          <w:rtl/>
        </w:rPr>
        <w:footnoteReference w:id="3355"/>
      </w:r>
      <w:r w:rsidRPr="00351B7D">
        <w:rPr>
          <w:rFonts w:asciiTheme="minorBidi" w:hAnsiTheme="minorBidi"/>
          <w:rtl/>
        </w:rPr>
        <w:t>? תא שמע, דאתקין רבא בגיטי: איך פלניא בר פלניא פטר ותריך ית פלוניתא אינתתיה דהות אינתתיה מן קדם דנא מיומא דנן ולעלם. ואילו ודן לא קאמר. ולטעמיך, כולהו מי קאמר</w:t>
      </w:r>
      <w:r w:rsidRPr="00351B7D">
        <w:rPr>
          <w:rStyle w:val="a7"/>
          <w:rFonts w:asciiTheme="minorBidi" w:hAnsiTheme="minorBidi"/>
          <w:rtl/>
        </w:rPr>
        <w:footnoteReference w:id="3356"/>
      </w:r>
      <w:r w:rsidRPr="00351B7D">
        <w:rPr>
          <w:rFonts w:asciiTheme="minorBidi" w:hAnsiTheme="minorBidi"/>
          <w:rtl/>
        </w:rPr>
        <w:t>? אלא</w:t>
      </w:r>
      <w:r w:rsidRPr="00351B7D">
        <w:rPr>
          <w:rStyle w:val="a7"/>
          <w:rFonts w:asciiTheme="minorBidi" w:hAnsiTheme="minorBidi"/>
          <w:rtl/>
        </w:rPr>
        <w:footnoteReference w:id="3357"/>
      </w:r>
      <w:r w:rsidRPr="00351B7D">
        <w:rPr>
          <w:rFonts w:asciiTheme="minorBidi" w:hAnsiTheme="minorBidi"/>
          <w:rtl/>
        </w:rPr>
        <w:t xml:space="preserve"> בעינן, הכא נמי</w:t>
      </w:r>
      <w:r w:rsidRPr="00351B7D">
        <w:rPr>
          <w:rStyle w:val="a7"/>
          <w:rFonts w:asciiTheme="minorBidi" w:hAnsiTheme="minorBidi"/>
          <w:rtl/>
        </w:rPr>
        <w:footnoteReference w:id="3358"/>
      </w:r>
      <w:r w:rsidRPr="00351B7D">
        <w:rPr>
          <w:rFonts w:asciiTheme="minorBidi" w:hAnsiTheme="minorBidi"/>
          <w:rtl/>
        </w:rPr>
        <w:t xml:space="preserve"> בעינן. </w:t>
      </w:r>
      <w:r w:rsidRPr="00351B7D">
        <w:rPr>
          <w:rFonts w:asciiTheme="minorBidi" w:hAnsiTheme="minorBidi"/>
          <w:sz w:val="16"/>
          <w:szCs w:val="16"/>
          <w:rtl/>
        </w:rPr>
        <w:t xml:space="preserve">(וכ' התוס' </w:t>
      </w:r>
      <w:r w:rsidRPr="00351B7D">
        <w:rPr>
          <w:rFonts w:asciiTheme="minorBidi" w:hAnsiTheme="minorBidi"/>
          <w:sz w:val="12"/>
          <w:szCs w:val="12"/>
          <w:rtl/>
        </w:rPr>
        <w:t>(ד"ה אף על גב)</w:t>
      </w:r>
      <w:r w:rsidRPr="00351B7D">
        <w:rPr>
          <w:rFonts w:asciiTheme="minorBidi" w:hAnsiTheme="minorBidi"/>
          <w:sz w:val="16"/>
          <w:szCs w:val="16"/>
          <w:rtl/>
        </w:rPr>
        <w:t xml:space="preserve">- בריש נדרים </w:t>
      </w:r>
      <w:r w:rsidRPr="00351B7D">
        <w:rPr>
          <w:rFonts w:asciiTheme="minorBidi" w:hAnsiTheme="minorBidi"/>
          <w:sz w:val="12"/>
          <w:szCs w:val="12"/>
          <w:rtl/>
        </w:rPr>
        <w:t xml:space="preserve">(ה:) </w:t>
      </w:r>
      <w:r w:rsidRPr="00351B7D">
        <w:rPr>
          <w:rFonts w:asciiTheme="minorBidi" w:hAnsiTheme="minorBidi"/>
          <w:sz w:val="16"/>
          <w:szCs w:val="16"/>
          <w:rtl/>
        </w:rPr>
        <w:t xml:space="preserve">משמע דפליגי ב'מינאי' דלרבנן הויין ידים ואע"ג דלא כתב 'מינאי' מגורשת דאין אדם מגרש אשת חבירו, ואומר ר"י דבתרווייהו פליגי. וכ"כ רא"ש </w:t>
      </w:r>
      <w:r w:rsidRPr="00351B7D">
        <w:rPr>
          <w:rFonts w:asciiTheme="minorBidi" w:hAnsiTheme="minorBidi"/>
          <w:sz w:val="12"/>
          <w:szCs w:val="12"/>
          <w:rtl/>
        </w:rPr>
        <w:t xml:space="preserve">(ד"ה לימא) </w:t>
      </w:r>
      <w:r w:rsidRPr="00351B7D">
        <w:rPr>
          <w:rFonts w:asciiTheme="minorBidi" w:hAnsiTheme="minorBidi"/>
          <w:sz w:val="16"/>
          <w:szCs w:val="16"/>
          <w:rtl/>
        </w:rPr>
        <w:t xml:space="preserve">ור"ן </w:t>
      </w:r>
      <w:r w:rsidRPr="00351B7D">
        <w:rPr>
          <w:rFonts w:asciiTheme="minorBidi" w:hAnsiTheme="minorBidi"/>
          <w:sz w:val="12"/>
          <w:szCs w:val="12"/>
          <w:rtl/>
        </w:rPr>
        <w:t xml:space="preserve">(ד"ה רבי) </w:t>
      </w:r>
      <w:r w:rsidRPr="00351B7D">
        <w:rPr>
          <w:rFonts w:asciiTheme="minorBidi" w:hAnsiTheme="minorBidi"/>
          <w:sz w:val="16"/>
          <w:szCs w:val="16"/>
          <w:rtl/>
        </w:rPr>
        <w:t xml:space="preserve">בנדרים </w:t>
      </w:r>
      <w:r w:rsidRPr="00351B7D">
        <w:rPr>
          <w:rFonts w:asciiTheme="minorBidi" w:hAnsiTheme="minorBidi"/>
          <w:sz w:val="12"/>
          <w:szCs w:val="12"/>
          <w:rtl/>
        </w:rPr>
        <w:t>(ה:)</w:t>
      </w:r>
      <w:r w:rsidRPr="00351B7D">
        <w:rPr>
          <w:rFonts w:asciiTheme="minorBidi" w:hAnsiTheme="minorBidi"/>
          <w:sz w:val="16"/>
          <w:szCs w:val="16"/>
          <w:rtl/>
        </w:rPr>
        <w:t>)</w:t>
      </w:r>
    </w:p>
    <w:p w14:paraId="547E5A49" w14:textId="77777777" w:rsidR="007D6167" w:rsidRPr="00351B7D" w:rsidRDefault="007D6167" w:rsidP="007D6167">
      <w:pPr>
        <w:rPr>
          <w:rFonts w:asciiTheme="minorBidi" w:hAnsiTheme="minorBidi"/>
          <w:u w:val="single"/>
          <w:rtl/>
        </w:rPr>
      </w:pPr>
      <w:r w:rsidRPr="00351B7D">
        <w:rPr>
          <w:rFonts w:asciiTheme="minorBidi" w:hAnsiTheme="minorBidi"/>
          <w:u w:val="single"/>
          <w:rtl/>
        </w:rPr>
        <w:t>האם 'ודן' הוא מגופו של גט</w:t>
      </w:r>
      <w:r w:rsidRPr="00351B7D">
        <w:rPr>
          <w:rFonts w:asciiTheme="minorBidi" w:hAnsiTheme="minorBidi"/>
          <w:sz w:val="16"/>
          <w:szCs w:val="16"/>
          <w:u w:val="single"/>
          <w:rtl/>
        </w:rPr>
        <w:t xml:space="preserve"> (ז"א האם חייבים לכתוב 'ודן')</w:t>
      </w:r>
      <w:r w:rsidRPr="00351B7D">
        <w:rPr>
          <w:rFonts w:asciiTheme="minorBidi" w:hAnsiTheme="minorBidi"/>
          <w:u w:val="single"/>
          <w:rtl/>
        </w:rPr>
        <w:t>:</w:t>
      </w:r>
    </w:p>
    <w:p w14:paraId="0E5A867A" w14:textId="77777777" w:rsidR="007D6167" w:rsidRPr="00351B7D" w:rsidRDefault="007D6167" w:rsidP="00B75458">
      <w:pPr>
        <w:pStyle w:val="ab"/>
        <w:numPr>
          <w:ilvl w:val="0"/>
          <w:numId w:val="211"/>
        </w:numPr>
        <w:rPr>
          <w:rFonts w:asciiTheme="minorBidi" w:hAnsiTheme="minorBidi"/>
        </w:rPr>
      </w:pPr>
      <w:r w:rsidRPr="00351B7D">
        <w:rPr>
          <w:rFonts w:asciiTheme="minorBidi" w:hAnsiTheme="minorBidi"/>
          <w:rtl/>
        </w:rPr>
        <w:t>רי"ף</w:t>
      </w:r>
      <w:r w:rsidRPr="00351B7D">
        <w:rPr>
          <w:rStyle w:val="a7"/>
          <w:rFonts w:asciiTheme="minorBidi" w:hAnsiTheme="minorBidi"/>
          <w:rtl/>
        </w:rPr>
        <w:footnoteReference w:id="3359"/>
      </w:r>
      <w:r w:rsidRPr="00351B7D">
        <w:rPr>
          <w:rFonts w:asciiTheme="minorBidi" w:hAnsiTheme="minorBidi"/>
          <w:rtl/>
        </w:rPr>
        <w:t xml:space="preserve"> </w:t>
      </w:r>
      <w:r w:rsidRPr="00351B7D">
        <w:rPr>
          <w:rFonts w:asciiTheme="minorBidi" w:hAnsiTheme="minorBidi"/>
          <w:sz w:val="16"/>
          <w:szCs w:val="16"/>
          <w:rtl/>
        </w:rPr>
        <w:t xml:space="preserve">(מה.) </w:t>
      </w:r>
      <w:r w:rsidRPr="00351B7D">
        <w:rPr>
          <w:rFonts w:asciiTheme="minorBidi" w:hAnsiTheme="minorBidi"/>
          <w:rtl/>
        </w:rPr>
        <w:t xml:space="preserve">רשב"א </w:t>
      </w:r>
      <w:r w:rsidRPr="00351B7D">
        <w:rPr>
          <w:rFonts w:asciiTheme="minorBidi" w:hAnsiTheme="minorBidi"/>
          <w:sz w:val="16"/>
          <w:szCs w:val="16"/>
          <w:rtl/>
        </w:rPr>
        <w:t xml:space="preserve">(פה: ד"ה הא) </w:t>
      </w:r>
      <w:r w:rsidRPr="00351B7D">
        <w:rPr>
          <w:rFonts w:asciiTheme="minorBidi" w:hAnsiTheme="minorBidi"/>
          <w:rtl/>
        </w:rPr>
        <w:t>ורא"ש</w:t>
      </w:r>
      <w:r w:rsidRPr="00351B7D">
        <w:rPr>
          <w:rFonts w:asciiTheme="minorBidi" w:hAnsiTheme="minorBidi"/>
          <w:sz w:val="16"/>
          <w:szCs w:val="16"/>
          <w:rtl/>
        </w:rPr>
        <w:t xml:space="preserve"> (פ"ט ס"ד)</w:t>
      </w:r>
      <w:r w:rsidRPr="00351B7D">
        <w:rPr>
          <w:rFonts w:asciiTheme="minorBidi" w:hAnsiTheme="minorBidi"/>
          <w:rtl/>
        </w:rPr>
        <w:t>- בעינן למיכתב ודין</w:t>
      </w:r>
      <w:r w:rsidRPr="00351B7D">
        <w:rPr>
          <w:rStyle w:val="a7"/>
          <w:rFonts w:asciiTheme="minorBidi" w:hAnsiTheme="minorBidi"/>
          <w:rtl/>
        </w:rPr>
        <w:footnoteReference w:id="3360"/>
      </w:r>
      <w:r w:rsidRPr="00351B7D">
        <w:rPr>
          <w:rFonts w:asciiTheme="minorBidi" w:hAnsiTheme="minorBidi"/>
          <w:rtl/>
        </w:rPr>
        <w:t>.</w:t>
      </w:r>
    </w:p>
    <w:p w14:paraId="41E5B5A3" w14:textId="77777777" w:rsidR="007D6167" w:rsidRPr="00351B7D" w:rsidRDefault="007D6167" w:rsidP="00B75458">
      <w:pPr>
        <w:pStyle w:val="ab"/>
        <w:numPr>
          <w:ilvl w:val="0"/>
          <w:numId w:val="211"/>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הר"ן</w:t>
      </w:r>
      <w:r w:rsidRPr="00351B7D">
        <w:rPr>
          <w:rFonts w:asciiTheme="minorBidi" w:hAnsiTheme="minorBidi"/>
          <w:sz w:val="12"/>
          <w:szCs w:val="12"/>
          <w:rtl/>
        </w:rPr>
        <w:t xml:space="preserve"> [גיטין מה: דיבור ראשון]</w:t>
      </w:r>
      <w:r w:rsidRPr="00351B7D">
        <w:rPr>
          <w:rFonts w:asciiTheme="minorBidi" w:hAnsiTheme="minorBidi"/>
          <w:rtl/>
        </w:rPr>
        <w:t>)- לא בעינן לא 'ודן' ולא 'מינאי'</w:t>
      </w:r>
      <w:r w:rsidRPr="00351B7D">
        <w:rPr>
          <w:rStyle w:val="a7"/>
          <w:rFonts w:asciiTheme="minorBidi" w:hAnsiTheme="minorBidi"/>
          <w:rtl/>
        </w:rPr>
        <w:footnoteReference w:id="3361"/>
      </w:r>
      <w:r w:rsidRPr="00351B7D">
        <w:rPr>
          <w:rFonts w:asciiTheme="minorBidi" w:hAnsiTheme="minorBidi"/>
          <w:rtl/>
        </w:rPr>
        <w:t>.</w:t>
      </w:r>
    </w:p>
    <w:p w14:paraId="2475F45A" w14:textId="77777777" w:rsidR="007D6167" w:rsidRPr="00351B7D" w:rsidRDefault="007D6167" w:rsidP="007D6167">
      <w:pPr>
        <w:rPr>
          <w:rFonts w:asciiTheme="minorBidi" w:hAnsiTheme="minorBidi"/>
          <w:u w:val="single"/>
        </w:rPr>
      </w:pPr>
      <w:r w:rsidRPr="00351B7D">
        <w:rPr>
          <w:rFonts w:asciiTheme="minorBidi" w:hAnsiTheme="minorBidi"/>
          <w:u w:val="single"/>
          <w:rtl/>
        </w:rPr>
        <w:t>האם 'מינאי' הוא מגופו של גט</w:t>
      </w:r>
      <w:r w:rsidRPr="00351B7D">
        <w:rPr>
          <w:rFonts w:asciiTheme="minorBidi" w:hAnsiTheme="minorBidi"/>
          <w:sz w:val="16"/>
          <w:szCs w:val="16"/>
          <w:u w:val="single"/>
          <w:rtl/>
        </w:rPr>
        <w:t xml:space="preserve"> (ז"א האם חייבים לכתוב 'מינאי')</w:t>
      </w:r>
      <w:r w:rsidRPr="00351B7D">
        <w:rPr>
          <w:rFonts w:asciiTheme="minorBidi" w:hAnsiTheme="minorBidi"/>
          <w:u w:val="single"/>
          <w:rtl/>
        </w:rPr>
        <w:t>:</w:t>
      </w:r>
    </w:p>
    <w:p w14:paraId="5C2BD4C5" w14:textId="77777777" w:rsidR="007D6167" w:rsidRPr="00351B7D" w:rsidRDefault="007D6167" w:rsidP="00B75458">
      <w:pPr>
        <w:pStyle w:val="ab"/>
        <w:numPr>
          <w:ilvl w:val="0"/>
          <w:numId w:val="211"/>
        </w:numPr>
        <w:rPr>
          <w:rFonts w:asciiTheme="minorBidi" w:hAnsiTheme="minorBidi"/>
        </w:rPr>
      </w:pPr>
      <w:r w:rsidRPr="00351B7D">
        <w:rPr>
          <w:rFonts w:asciiTheme="minorBidi" w:hAnsiTheme="minorBidi"/>
          <w:rtl/>
        </w:rPr>
        <w:t xml:space="preserve">רי"ף </w:t>
      </w:r>
      <w:r w:rsidRPr="00351B7D">
        <w:rPr>
          <w:rFonts w:asciiTheme="minorBidi" w:hAnsiTheme="minorBidi"/>
          <w:sz w:val="16"/>
          <w:szCs w:val="16"/>
          <w:rtl/>
        </w:rPr>
        <w:t xml:space="preserve">(להב' הר"ן </w:t>
      </w:r>
      <w:r w:rsidRPr="00351B7D">
        <w:rPr>
          <w:rFonts w:asciiTheme="minorBidi" w:hAnsiTheme="minorBidi"/>
          <w:sz w:val="12"/>
          <w:szCs w:val="12"/>
          <w:rtl/>
        </w:rPr>
        <w:t>[קידושין ב. ד"ה אמר]</w:t>
      </w:r>
      <w:r w:rsidRPr="00351B7D">
        <w:rPr>
          <w:rFonts w:asciiTheme="minorBidi" w:hAnsiTheme="minorBidi"/>
          <w:sz w:val="16"/>
          <w:szCs w:val="16"/>
          <w:rtl/>
        </w:rPr>
        <w:t>)</w:t>
      </w:r>
      <w:r w:rsidRPr="00351B7D">
        <w:rPr>
          <w:rFonts w:asciiTheme="minorBidi" w:hAnsiTheme="minorBidi"/>
          <w:rtl/>
        </w:rPr>
        <w:t xml:space="preserve"> ורמב"ם </w:t>
      </w:r>
      <w:r w:rsidRPr="00351B7D">
        <w:rPr>
          <w:rFonts w:asciiTheme="minorBidi" w:hAnsiTheme="minorBidi"/>
          <w:sz w:val="16"/>
          <w:szCs w:val="16"/>
          <w:rtl/>
        </w:rPr>
        <w:t>(להב' הר"ן</w:t>
      </w:r>
      <w:r w:rsidRPr="00351B7D">
        <w:rPr>
          <w:rFonts w:asciiTheme="minorBidi" w:hAnsiTheme="minorBidi"/>
          <w:sz w:val="14"/>
          <w:szCs w:val="14"/>
          <w:rtl/>
        </w:rPr>
        <w:t xml:space="preserve"> </w:t>
      </w:r>
      <w:r w:rsidRPr="00351B7D">
        <w:rPr>
          <w:rFonts w:asciiTheme="minorBidi" w:hAnsiTheme="minorBidi"/>
          <w:sz w:val="12"/>
          <w:szCs w:val="12"/>
          <w:rtl/>
        </w:rPr>
        <w:t>[גיטין מה: דיבור ראשון]</w:t>
      </w:r>
      <w:r w:rsidRPr="00351B7D">
        <w:rPr>
          <w:rFonts w:asciiTheme="minorBidi" w:hAnsiTheme="minorBidi"/>
          <w:sz w:val="16"/>
          <w:szCs w:val="16"/>
          <w:rtl/>
        </w:rPr>
        <w:t>)</w:t>
      </w:r>
      <w:r w:rsidRPr="00351B7D">
        <w:rPr>
          <w:rFonts w:asciiTheme="minorBidi" w:hAnsiTheme="minorBidi"/>
          <w:rtl/>
        </w:rPr>
        <w:t>- לא בעינן 'מינאי'</w:t>
      </w:r>
      <w:r w:rsidRPr="00351B7D">
        <w:rPr>
          <w:rStyle w:val="a7"/>
          <w:rFonts w:asciiTheme="minorBidi" w:hAnsiTheme="minorBidi"/>
          <w:rtl/>
        </w:rPr>
        <w:footnoteReference w:id="3362"/>
      </w:r>
      <w:r w:rsidRPr="00351B7D">
        <w:rPr>
          <w:rFonts w:asciiTheme="minorBidi" w:hAnsiTheme="minorBidi"/>
          <w:rtl/>
        </w:rPr>
        <w:t>.</w:t>
      </w:r>
    </w:p>
    <w:p w14:paraId="188E6CA0" w14:textId="77777777" w:rsidR="007D6167" w:rsidRPr="00351B7D" w:rsidRDefault="007D6167" w:rsidP="00B75458">
      <w:pPr>
        <w:pStyle w:val="ab"/>
        <w:numPr>
          <w:ilvl w:val="0"/>
          <w:numId w:val="211"/>
        </w:numPr>
        <w:rPr>
          <w:rFonts w:asciiTheme="minorBidi" w:hAnsiTheme="minorBidi"/>
          <w:rtl/>
        </w:rPr>
      </w:pPr>
      <w:r w:rsidRPr="00351B7D">
        <w:rPr>
          <w:rFonts w:asciiTheme="minorBidi" w:hAnsiTheme="minorBidi"/>
          <w:rtl/>
        </w:rPr>
        <w:lastRenderedPageBreak/>
        <w:t>רא"ש</w:t>
      </w:r>
      <w:r w:rsidRPr="00351B7D">
        <w:rPr>
          <w:rFonts w:asciiTheme="minorBidi" w:hAnsiTheme="minorBidi"/>
          <w:sz w:val="16"/>
          <w:szCs w:val="16"/>
          <w:rtl/>
        </w:rPr>
        <w:t xml:space="preserve"> (להב' הטור)</w:t>
      </w:r>
      <w:r w:rsidRPr="00351B7D">
        <w:rPr>
          <w:rFonts w:asciiTheme="minorBidi" w:hAnsiTheme="minorBidi"/>
          <w:rtl/>
        </w:rPr>
        <w:t>- בעינן מינאי נמי</w:t>
      </w:r>
      <w:r w:rsidRPr="00351B7D">
        <w:rPr>
          <w:rStyle w:val="a7"/>
          <w:rFonts w:asciiTheme="minorBidi" w:hAnsiTheme="minorBidi"/>
          <w:rtl/>
        </w:rPr>
        <w:footnoteReference w:id="3363"/>
      </w:r>
      <w:r w:rsidRPr="00351B7D">
        <w:rPr>
          <w:rFonts w:asciiTheme="minorBidi" w:hAnsiTheme="minorBidi"/>
          <w:rtl/>
        </w:rPr>
        <w:t xml:space="preserve">. </w:t>
      </w:r>
    </w:p>
    <w:p w14:paraId="2AE9EE8C"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714214" w14:textId="77777777" w:rsidR="007D6167" w:rsidRPr="00351B7D" w:rsidRDefault="007D6167" w:rsidP="007D6167">
      <w:pPr>
        <w:rPr>
          <w:rFonts w:asciiTheme="minorBidi" w:hAnsiTheme="minorBidi"/>
          <w:color w:val="000000"/>
          <w:sz w:val="16"/>
          <w:szCs w:val="16"/>
          <w:rtl/>
        </w:rPr>
      </w:pPr>
      <w:r w:rsidRPr="00351B7D">
        <w:rPr>
          <w:rFonts w:asciiTheme="minorBidi" w:hAnsiTheme="minorBidi"/>
          <w:rtl/>
        </w:rPr>
        <w:t>כותבין הגט בכל כתב ובכל לשון בין שהוא כתב העובדי כוכבים בין שהוא כתב ישראל כגון פרובינצאל וכיוצא בו, אבל אם היה מקצת הגט כתוב בלשון אחד מקצתו בלשון אחר פסול.</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ויש מכשירין</w:t>
      </w:r>
      <w:r w:rsidRPr="00351B7D">
        <w:rPr>
          <w:rStyle w:val="a7"/>
          <w:rFonts w:asciiTheme="minorBidi" w:hAnsiTheme="minorBidi"/>
          <w:color w:val="000000"/>
          <w:sz w:val="18"/>
          <w:szCs w:val="18"/>
          <w:rtl/>
        </w:rPr>
        <w:footnoteReference w:id="3364"/>
      </w:r>
      <w:r w:rsidRPr="00351B7D">
        <w:rPr>
          <w:rFonts w:asciiTheme="minorBidi" w:hAnsiTheme="minorBidi"/>
          <w:color w:val="000000"/>
          <w:sz w:val="18"/>
          <w:szCs w:val="18"/>
          <w:rtl/>
        </w:rPr>
        <w:t xml:space="preserve"> (הראב"ד). ונ"ל דאפילו למאן דפוסל מודה דמקצתו לשון הקדש ומקצתו לשון ארמי כשר דשניהם נתנו בסיני והיו קרובים בלשון וכלשון אחד דמיא, ולכן נוהגין עכשיו לכתוב בגט מקצת מלות לשון הקודש ורובו לשון ארמית. אי נמי מאחר דרובו לשון ארמית ואין בו רק מלות לשון הקודש אין זה מקצתו בלשון אחר. אי נמי דדוקא בתורף הצריך קאמר, אבל מה שמוסיפין בתורף הרי את מותרת</w:t>
      </w:r>
      <w:r w:rsidRPr="00351B7D">
        <w:rPr>
          <w:rStyle w:val="a7"/>
          <w:rFonts w:asciiTheme="minorBidi" w:hAnsiTheme="minorBidi"/>
          <w:color w:val="000000"/>
          <w:sz w:val="18"/>
          <w:szCs w:val="18"/>
          <w:rtl/>
        </w:rPr>
        <w:footnoteReference w:id="3365"/>
      </w:r>
      <w:r w:rsidRPr="00351B7D">
        <w:rPr>
          <w:rFonts w:asciiTheme="minorBidi" w:hAnsiTheme="minorBidi"/>
          <w:color w:val="000000"/>
          <w:sz w:val="18"/>
          <w:szCs w:val="18"/>
          <w:rtl/>
        </w:rPr>
        <w:t xml:space="preserve"> לכל אדם או שאר מלות אינן צריכין ואין רק כפל דברים שנוהגין לכתחלה, כן נראה לי ליישב המנהג.</w:t>
      </w:r>
      <w:r w:rsidRPr="00351B7D">
        <w:rPr>
          <w:rFonts w:asciiTheme="minorBidi" w:hAnsiTheme="minorBidi"/>
          <w:rtl/>
        </w:rPr>
        <w:t xml:space="preserve"> ונהגו לכותבו בלשון ארמית ובכתב אשורי.</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ואין להכשיר בכתב אחר</w:t>
      </w:r>
      <w:r w:rsidRPr="00351B7D">
        <w:rPr>
          <w:rStyle w:val="a7"/>
          <w:rFonts w:asciiTheme="minorBidi" w:hAnsiTheme="minorBidi"/>
          <w:color w:val="000000"/>
          <w:sz w:val="18"/>
          <w:szCs w:val="18"/>
          <w:rtl/>
        </w:rPr>
        <w:footnoteReference w:id="3366"/>
      </w:r>
      <w:r w:rsidRPr="00351B7D">
        <w:rPr>
          <w:rFonts w:asciiTheme="minorBidi" w:hAnsiTheme="minorBidi"/>
          <w:color w:val="000000"/>
          <w:sz w:val="18"/>
          <w:szCs w:val="18"/>
          <w:rtl/>
        </w:rPr>
        <w:t>, רק במקום עיגון ושעת הדחק, כגון שהובא ממרחקים ואין שיירות מצויות (תשו' הרא"ש כלל מ"ה). וע"ל סי' קכ"ה סעיף ט"ו.</w:t>
      </w:r>
      <w:r w:rsidRPr="00351B7D">
        <w:rPr>
          <w:rFonts w:asciiTheme="minorBidi" w:hAnsiTheme="minorBidi"/>
          <w:color w:val="000000"/>
          <w:sz w:val="16"/>
          <w:szCs w:val="16"/>
          <w:rtl/>
        </w:rPr>
        <w:t xml:space="preserve"> </w:t>
      </w:r>
    </w:p>
    <w:p w14:paraId="7300F592" w14:textId="77777777" w:rsidR="007D6167" w:rsidRPr="00351B7D" w:rsidRDefault="007D6167" w:rsidP="007D6167">
      <w:pPr>
        <w:rPr>
          <w:rFonts w:asciiTheme="minorBidi" w:hAnsiTheme="minorBidi"/>
          <w:color w:val="000000"/>
          <w:u w:val="single"/>
          <w:rtl/>
        </w:rPr>
      </w:pPr>
      <w:r w:rsidRPr="00351B7D">
        <w:rPr>
          <w:rFonts w:asciiTheme="minorBidi" w:hAnsiTheme="minorBidi"/>
          <w:u w:val="single"/>
          <w:rtl/>
        </w:rPr>
        <w:t xml:space="preserve">גט שיש בו שני מיני </w:t>
      </w:r>
      <w:r w:rsidRPr="00351B7D">
        <w:rPr>
          <w:rFonts w:asciiTheme="minorBidi" w:hAnsiTheme="minorBidi"/>
          <w:b/>
          <w:bCs/>
          <w:u w:val="single"/>
          <w:rtl/>
        </w:rPr>
        <w:t>כתב</w:t>
      </w:r>
      <w:r w:rsidRPr="00351B7D">
        <w:rPr>
          <w:rFonts w:asciiTheme="minorBidi" w:hAnsiTheme="minorBidi"/>
          <w:color w:val="000000"/>
          <w:u w:val="single"/>
          <w:rtl/>
        </w:rPr>
        <w:t>:</w:t>
      </w:r>
    </w:p>
    <w:p w14:paraId="06D9C912" w14:textId="77777777" w:rsidR="007D6167" w:rsidRPr="00351B7D" w:rsidRDefault="007D6167" w:rsidP="00B75458">
      <w:pPr>
        <w:pStyle w:val="ab"/>
        <w:numPr>
          <w:ilvl w:val="0"/>
          <w:numId w:val="221"/>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(סק"א)</w:t>
      </w:r>
      <w:r w:rsidRPr="00351B7D">
        <w:rPr>
          <w:rFonts w:asciiTheme="minorBidi" w:hAnsiTheme="minorBidi"/>
          <w:rtl/>
        </w:rPr>
        <w:t>- שני מיני כתבים כשר אף לדעת הרמב"ם.</w:t>
      </w:r>
    </w:p>
    <w:p w14:paraId="6C0361B9" w14:textId="77777777" w:rsidR="007D6167" w:rsidRPr="00351B7D" w:rsidRDefault="007D6167" w:rsidP="00B75458">
      <w:pPr>
        <w:pStyle w:val="ab"/>
        <w:numPr>
          <w:ilvl w:val="0"/>
          <w:numId w:val="221"/>
        </w:numPr>
        <w:rPr>
          <w:rFonts w:asciiTheme="minorBidi" w:hAnsiTheme="minorBidi"/>
          <w:rtl/>
        </w:rPr>
      </w:pPr>
      <w:r w:rsidRPr="00351B7D">
        <w:rPr>
          <w:rFonts w:asciiTheme="minorBidi" w:hAnsiTheme="minorBidi"/>
          <w:rtl/>
        </w:rPr>
        <w:t>לבוש- למ"ד דמקצת הגט כתוב בלשון אחד מקצתו בלשון אחר פסול ה"ה כשמקצתו כתב כזה ומקצתו כזה.</w:t>
      </w:r>
    </w:p>
    <w:p w14:paraId="58C8DA29" w14:textId="77777777" w:rsidR="007D6167" w:rsidRPr="00351B7D" w:rsidRDefault="007D6167" w:rsidP="007D6167">
      <w:pPr>
        <w:rPr>
          <w:rFonts w:asciiTheme="minorBidi" w:hAnsiTheme="minorBidi"/>
          <w:color w:val="000000"/>
          <w:rtl/>
        </w:rPr>
      </w:pPr>
      <w:r w:rsidRPr="00351B7D">
        <w:rPr>
          <w:rFonts w:asciiTheme="minorBidi" w:hAnsiTheme="minorBidi"/>
          <w:u w:val="single"/>
          <w:rtl/>
        </w:rPr>
        <w:t>מקום שאין אדם שיודע לכתוב כתב אשורי כתיקונו:</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(פת"ש סק"ג) </w:t>
      </w:r>
    </w:p>
    <w:p w14:paraId="2C663CB9" w14:textId="77777777" w:rsidR="007D6167" w:rsidRPr="00351B7D" w:rsidRDefault="007D6167" w:rsidP="00B75458">
      <w:pPr>
        <w:pStyle w:val="ab"/>
        <w:numPr>
          <w:ilvl w:val="0"/>
          <w:numId w:val="215"/>
        </w:numPr>
        <w:rPr>
          <w:rFonts w:asciiTheme="minorBidi" w:hAnsiTheme="minorBidi"/>
          <w:color w:val="000000"/>
          <w:u w:val="single"/>
          <w:rtl/>
        </w:rPr>
      </w:pPr>
      <w:r w:rsidRPr="00351B7D">
        <w:rPr>
          <w:rFonts w:asciiTheme="minorBidi" w:hAnsiTheme="minorBidi"/>
          <w:color w:val="000000"/>
          <w:rtl/>
        </w:rPr>
        <w:t>גט פשוט</w:t>
      </w:r>
      <w:r w:rsidRPr="00351B7D">
        <w:rPr>
          <w:rFonts w:asciiTheme="minorBidi" w:hAnsiTheme="minorBidi"/>
          <w:color w:val="000000"/>
          <w:sz w:val="16"/>
          <w:szCs w:val="16"/>
          <w:rtl/>
        </w:rPr>
        <w:t xml:space="preserve"> (סק"י)</w:t>
      </w:r>
      <w:r w:rsidRPr="00351B7D">
        <w:rPr>
          <w:rFonts w:asciiTheme="minorBidi" w:hAnsiTheme="minorBidi"/>
          <w:color w:val="000000"/>
          <w:rtl/>
        </w:rPr>
        <w:t xml:space="preserve">- יש לחקור אם לא נמצא מי שיודע לכתוב אשורי כתיקונו אלא כתב אשורי משובש כגון כתב הנקרא אצל ספרדים משקי שהוא דומה לאשורי ויש מי שיודע לכתוב כתב פרובינצאל </w:t>
      </w:r>
      <w:r w:rsidRPr="00351B7D">
        <w:rPr>
          <w:rFonts w:asciiTheme="minorBidi" w:hAnsiTheme="minorBidi"/>
          <w:color w:val="000000"/>
          <w:sz w:val="16"/>
          <w:szCs w:val="16"/>
          <w:rtl/>
        </w:rPr>
        <w:t>[הוא מה שקורין כתב רש"י, כ"כ הוא ז"ל סק"ד]</w:t>
      </w:r>
      <w:r w:rsidRPr="00351B7D">
        <w:rPr>
          <w:rFonts w:asciiTheme="minorBidi" w:hAnsiTheme="minorBidi"/>
          <w:color w:val="000000"/>
          <w:rtl/>
        </w:rPr>
        <w:t xml:space="preserve"> יפה מאד והוא שעת הדחק ומקום עיגון כגון שכיב מרע שרוצה לגרש שלא תזקק אשתו ליבם קטן, או שרוצה לפרוש במדינת הים, בהי מינייהו עדיף לכתוב גיטא, ודבר זה הוא פלוגתא דרבוותא כפי מה שהביא מרן הב"י דלסברת יש מגמגמים טפי עדיף כתב משקייט שדומה לאשורי, ולסברת מרן טפי עדיף כתב פרובינצל דכתב בפני עצמו הוא ולא גרע מכתב הכותים, משא"כ כתב משקייט דכיון שהוא כתב אשורי צריך לכותבו כתיקון ממש ואפילו קוצו של יוד מעכב. והכי מסתבר כדברי מרן משום דבכתב משקייט כיון שאין האותיות כתיקונם שמא יקרא הקורא ב' במקום כ"ף או איפכא וכן בשאר אותיות תדמה אות לאות ונמצא הענין משתנה, משא"כ בכתב פרובינצל, אמנם אם הוא כתב אשורי ממש ואין האותיות דומות זו לזו, אע"פ שאינו מיושר ויפה כאשורית שכותבים בס"ת אפ"ה עדיף טפי מכתב פרובינצל.</w:t>
      </w:r>
    </w:p>
    <w:p w14:paraId="69345946" w14:textId="77777777" w:rsidR="007D6167" w:rsidRPr="00351B7D" w:rsidRDefault="007D6167" w:rsidP="007D6167">
      <w:pPr>
        <w:rPr>
          <w:rFonts w:asciiTheme="minorBidi" w:hAnsiTheme="minorBidi"/>
          <w:color w:val="000000"/>
          <w:rtl/>
        </w:rPr>
      </w:pPr>
    </w:p>
    <w:p w14:paraId="1851CAFE" w14:textId="77777777" w:rsidR="007D6167" w:rsidRPr="00351B7D" w:rsidRDefault="007D6167" w:rsidP="007D6167">
      <w:pPr>
        <w:pStyle w:val="2"/>
        <w:rPr>
          <w:rFonts w:asciiTheme="minorBidi" w:hAnsiTheme="minorBidi"/>
          <w:rtl/>
        </w:rPr>
      </w:pPr>
      <w:r w:rsidRPr="00351B7D">
        <w:rPr>
          <w:rFonts w:asciiTheme="minorBidi" w:hAnsiTheme="minorBidi"/>
          <w:rtl/>
        </w:rPr>
        <w:t>סעיף ב: כתיבת ימי השבוע עם/בלי יו"ד.</w:t>
      </w:r>
    </w:p>
    <w:p w14:paraId="14E52FB8"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645739" w14:textId="77777777" w:rsidR="007D6167" w:rsidRPr="00351B7D" w:rsidRDefault="007D6167" w:rsidP="007D6167">
      <w:pPr>
        <w:rPr>
          <w:rFonts w:asciiTheme="minorBidi" w:hAnsiTheme="minorBidi"/>
          <w:color w:val="000000"/>
          <w:rtl/>
        </w:rPr>
      </w:pPr>
      <w:r w:rsidRPr="00351B7D">
        <w:rPr>
          <w:rFonts w:asciiTheme="minorBidi" w:hAnsiTheme="minorBidi"/>
          <w:rtl/>
        </w:rPr>
        <w:t>בשלישי ברביעי בחמישי מלאים יו"ד</w:t>
      </w:r>
      <w:r w:rsidRPr="00351B7D">
        <w:rPr>
          <w:rStyle w:val="a7"/>
          <w:rFonts w:asciiTheme="minorBidi" w:hAnsiTheme="minorBidi"/>
          <w:color w:val="000000"/>
          <w:rtl/>
        </w:rPr>
        <w:footnoteReference w:id="3367"/>
      </w:r>
      <w:r w:rsidRPr="00351B7D">
        <w:rPr>
          <w:rFonts w:asciiTheme="minorBidi" w:hAnsiTheme="minorBidi"/>
          <w:rtl/>
        </w:rPr>
        <w:t>, בשני בששי חסרים</w:t>
      </w:r>
      <w:r w:rsidRPr="00351B7D">
        <w:rPr>
          <w:rStyle w:val="a7"/>
          <w:rFonts w:asciiTheme="minorBidi" w:hAnsiTheme="minorBidi"/>
          <w:color w:val="000000"/>
          <w:rtl/>
        </w:rPr>
        <w:footnoteReference w:id="3368"/>
      </w:r>
      <w:r w:rsidRPr="00351B7D">
        <w:rPr>
          <w:rFonts w:asciiTheme="minorBidi" w:hAnsiTheme="minorBidi"/>
          <w:color w:val="000000"/>
          <w:rtl/>
        </w:rPr>
        <w:t xml:space="preserve">. </w:t>
      </w:r>
    </w:p>
    <w:p w14:paraId="1F72F416" w14:textId="77777777" w:rsidR="007D6167" w:rsidRPr="00351B7D" w:rsidRDefault="007D6167" w:rsidP="007D6167">
      <w:pPr>
        <w:rPr>
          <w:rFonts w:asciiTheme="minorBidi" w:hAnsiTheme="minorBidi"/>
          <w:color w:val="000000"/>
          <w:rtl/>
        </w:rPr>
      </w:pPr>
    </w:p>
    <w:p w14:paraId="180AA352" w14:textId="77777777" w:rsidR="007D6167" w:rsidRPr="00351B7D" w:rsidRDefault="007D6167" w:rsidP="007D6167">
      <w:pPr>
        <w:pStyle w:val="2"/>
        <w:rPr>
          <w:rFonts w:asciiTheme="minorBidi" w:hAnsiTheme="minorBidi"/>
          <w:rtl/>
        </w:rPr>
      </w:pPr>
      <w:r w:rsidRPr="00351B7D">
        <w:rPr>
          <w:rFonts w:asciiTheme="minorBidi" w:hAnsiTheme="minorBidi"/>
          <w:rtl/>
        </w:rPr>
        <w:t>סעיף ג: כתיבת "אחד בשבת".</w:t>
      </w:r>
    </w:p>
    <w:p w14:paraId="6B284486"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D9AA51" w14:textId="77777777" w:rsidR="007D6167" w:rsidRPr="00351B7D" w:rsidRDefault="007D6167" w:rsidP="007D6167">
      <w:pPr>
        <w:rPr>
          <w:rFonts w:asciiTheme="minorBidi" w:hAnsiTheme="minorBidi"/>
          <w:color w:val="000000"/>
          <w:sz w:val="16"/>
          <w:szCs w:val="16"/>
          <w:rtl/>
        </w:rPr>
      </w:pPr>
      <w:r w:rsidRPr="00351B7D">
        <w:rPr>
          <w:rFonts w:asciiTheme="minorBidi" w:hAnsiTheme="minorBidi"/>
          <w:rtl/>
        </w:rPr>
        <w:lastRenderedPageBreak/>
        <w:t>יום ראשון יכתוב באחד בשבת</w:t>
      </w:r>
      <w:r w:rsidRPr="00351B7D">
        <w:rPr>
          <w:rStyle w:val="a7"/>
          <w:rFonts w:asciiTheme="minorBidi" w:hAnsiTheme="minorBidi"/>
          <w:color w:val="000000"/>
          <w:rtl/>
        </w:rPr>
        <w:footnoteReference w:id="3369"/>
      </w:r>
      <w:r w:rsidRPr="00351B7D">
        <w:rPr>
          <w:rFonts w:asciiTheme="minorBidi" w:hAnsiTheme="minorBidi"/>
          <w:color w:val="000000"/>
          <w:rtl/>
        </w:rPr>
        <w:t xml:space="preserve">. </w:t>
      </w:r>
      <w:r w:rsidRPr="00351B7D">
        <w:rPr>
          <w:rFonts w:asciiTheme="minorBidi" w:hAnsiTheme="minorBidi"/>
          <w:color w:val="000000"/>
          <w:sz w:val="16"/>
          <w:szCs w:val="16"/>
          <w:rtl/>
        </w:rPr>
        <w:t>{כל בו</w:t>
      </w:r>
      <w:r w:rsidRPr="00351B7D">
        <w:rPr>
          <w:rFonts w:asciiTheme="minorBidi" w:hAnsiTheme="minorBidi"/>
          <w:color w:val="000000"/>
          <w:sz w:val="14"/>
          <w:szCs w:val="14"/>
          <w:rtl/>
        </w:rPr>
        <w:t xml:space="preserve"> [סי' עו]</w:t>
      </w:r>
      <w:r w:rsidRPr="00351B7D">
        <w:rPr>
          <w:rFonts w:asciiTheme="minorBidi" w:hAnsiTheme="minorBidi"/>
          <w:color w:val="000000"/>
          <w:sz w:val="16"/>
          <w:szCs w:val="16"/>
          <w:rtl/>
        </w:rPr>
        <w:t xml:space="preserve">} </w:t>
      </w:r>
    </w:p>
    <w:p w14:paraId="73678C9C" w14:textId="77777777" w:rsidR="007D6167" w:rsidRPr="00351B7D" w:rsidRDefault="007D6167" w:rsidP="007D6167">
      <w:pPr>
        <w:rPr>
          <w:rFonts w:asciiTheme="minorBidi" w:hAnsiTheme="minorBidi"/>
          <w:color w:val="000000"/>
          <w:u w:val="single"/>
          <w:rtl/>
        </w:rPr>
      </w:pPr>
      <w:r w:rsidRPr="00351B7D">
        <w:rPr>
          <w:rFonts w:asciiTheme="minorBidi" w:hAnsiTheme="minorBidi"/>
          <w:u w:val="single"/>
          <w:rtl/>
        </w:rPr>
        <w:t>מה הדין היכא דכתב בטעות 'לשבת':</w:t>
      </w:r>
      <w:r w:rsidRPr="00351B7D">
        <w:rPr>
          <w:rFonts w:asciiTheme="minorBidi" w:hAnsiTheme="minorBidi"/>
          <w:sz w:val="16"/>
          <w:szCs w:val="16"/>
          <w:rtl/>
        </w:rPr>
        <w:t xml:space="preserve">   (פת"ש סק"ד)</w:t>
      </w:r>
    </w:p>
    <w:p w14:paraId="668A3CCD" w14:textId="77777777" w:rsidR="007D6167" w:rsidRPr="00351B7D" w:rsidRDefault="007D6167" w:rsidP="00B75458">
      <w:pPr>
        <w:pStyle w:val="ab"/>
        <w:numPr>
          <w:ilvl w:val="0"/>
          <w:numId w:val="215"/>
        </w:numPr>
        <w:rPr>
          <w:rFonts w:asciiTheme="minorBidi" w:hAnsiTheme="minorBidi"/>
          <w:color w:val="000000"/>
        </w:rPr>
      </w:pPr>
      <w:r w:rsidRPr="00351B7D">
        <w:rPr>
          <w:rFonts w:asciiTheme="minorBidi" w:hAnsiTheme="minorBidi"/>
          <w:rtl/>
        </w:rPr>
        <w:t>גט פשוט- אם כתב הגט ביום ד' בשבוע וכתוב בגט בד' לשבת בלמ"ד דמשמעו דמשבת מתחיל המנין ויבינו שנכתב ביום ג' אלא שהוא ד' למנין שבת שעבר א"כ הוי גט מוקדם ופסול כמ"ש סי' קכ"ז ס"ב, ומיהו יראה דיש להכשיר בדיעבד בכה"ג, וראיה לדבר ממ"ש מרן סע' כ"א</w:t>
      </w:r>
      <w:r w:rsidRPr="00351B7D">
        <w:rPr>
          <w:rStyle w:val="a7"/>
          <w:rFonts w:asciiTheme="minorBidi" w:hAnsiTheme="minorBidi"/>
          <w:color w:val="000000"/>
          <w:rtl/>
        </w:rPr>
        <w:footnoteReference w:id="3370"/>
      </w:r>
      <w:r w:rsidRPr="00351B7D">
        <w:rPr>
          <w:rFonts w:asciiTheme="minorBidi" w:hAnsiTheme="minorBidi"/>
          <w:rtl/>
        </w:rPr>
        <w:t xml:space="preserve"> אם כתב ברביעי עשרים יום כו', ה"נ יש לתלות כאן דטעה דחשב דפירוש לשבת הוי כמו בשבת, ואפי' הריב"ש דפליג בההיא יראה דמכשיר בכה"ג. </w:t>
      </w:r>
    </w:p>
    <w:p w14:paraId="604B6641" w14:textId="77777777" w:rsidR="007D6167" w:rsidRPr="00351B7D" w:rsidRDefault="007D6167" w:rsidP="007D6167">
      <w:pPr>
        <w:rPr>
          <w:rFonts w:asciiTheme="minorBidi" w:hAnsiTheme="minorBidi"/>
          <w:color w:val="000000"/>
          <w:u w:val="single"/>
        </w:rPr>
      </w:pPr>
      <w:r w:rsidRPr="00351B7D">
        <w:rPr>
          <w:rFonts w:asciiTheme="minorBidi" w:hAnsiTheme="minorBidi"/>
          <w:u w:val="single"/>
          <w:rtl/>
        </w:rPr>
        <w:t>כתב בגט 'לחדש' במקום 'לירח':</w:t>
      </w:r>
      <w:r w:rsidRPr="00351B7D">
        <w:rPr>
          <w:rFonts w:asciiTheme="minorBidi" w:hAnsiTheme="minorBidi"/>
          <w:color w:val="000000"/>
          <w:sz w:val="16"/>
          <w:szCs w:val="16"/>
          <w:rtl/>
        </w:rPr>
        <w:t xml:space="preserve">   (פת"ש סק"ד)</w:t>
      </w:r>
    </w:p>
    <w:p w14:paraId="479EA707" w14:textId="77777777" w:rsidR="007D6167" w:rsidRPr="00351B7D" w:rsidRDefault="007D6167" w:rsidP="00B75458">
      <w:pPr>
        <w:pStyle w:val="ab"/>
        <w:numPr>
          <w:ilvl w:val="0"/>
          <w:numId w:val="215"/>
        </w:numPr>
        <w:rPr>
          <w:rFonts w:asciiTheme="minorBidi" w:hAnsiTheme="minorBidi"/>
          <w:color w:val="000000"/>
          <w:rtl/>
        </w:rPr>
      </w:pPr>
      <w:r w:rsidRPr="00351B7D">
        <w:rPr>
          <w:rFonts w:asciiTheme="minorBidi" w:hAnsiTheme="minorBidi"/>
          <w:rtl/>
        </w:rPr>
        <w:t xml:space="preserve">גט פשוט- יראה שאם כתב לחדש ולא נקיט לישנא דירח יש להכשיר בדיעבד. </w:t>
      </w:r>
    </w:p>
    <w:p w14:paraId="2C7A8219" w14:textId="77777777" w:rsidR="007D6167" w:rsidRPr="00351B7D" w:rsidRDefault="007D6167" w:rsidP="007D6167">
      <w:pPr>
        <w:rPr>
          <w:rFonts w:asciiTheme="minorBidi" w:hAnsiTheme="minorBidi"/>
          <w:color w:val="000000"/>
          <w:u w:val="single"/>
          <w:rtl/>
        </w:rPr>
      </w:pPr>
      <w:r w:rsidRPr="00351B7D">
        <w:rPr>
          <w:rFonts w:asciiTheme="minorBidi" w:hAnsiTheme="minorBidi"/>
          <w:u w:val="single"/>
          <w:rtl/>
        </w:rPr>
        <w:t>כתב בגט 'בראשון בשבת' במקום 'באחד בשבת':</w:t>
      </w:r>
      <w:r w:rsidRPr="00351B7D">
        <w:rPr>
          <w:rFonts w:asciiTheme="minorBidi" w:hAnsiTheme="minorBidi"/>
          <w:sz w:val="16"/>
          <w:szCs w:val="16"/>
          <w:rtl/>
        </w:rPr>
        <w:t xml:space="preserve">   (פת"ש סק"ד)</w:t>
      </w:r>
    </w:p>
    <w:p w14:paraId="72DDC8A7" w14:textId="77777777" w:rsidR="007D6167" w:rsidRPr="00351B7D" w:rsidRDefault="007D6167" w:rsidP="00B75458">
      <w:pPr>
        <w:pStyle w:val="ab"/>
        <w:numPr>
          <w:ilvl w:val="0"/>
          <w:numId w:val="215"/>
        </w:numPr>
        <w:rPr>
          <w:rFonts w:asciiTheme="minorBidi" w:hAnsiTheme="minorBidi"/>
          <w:rtl/>
        </w:rPr>
      </w:pPr>
      <w:r w:rsidRPr="00351B7D">
        <w:rPr>
          <w:rFonts w:asciiTheme="minorBidi" w:hAnsiTheme="minorBidi"/>
          <w:rtl/>
        </w:rPr>
        <w:t xml:space="preserve">רשד"ם </w:t>
      </w:r>
      <w:r w:rsidRPr="00351B7D">
        <w:rPr>
          <w:rFonts w:asciiTheme="minorBidi" w:hAnsiTheme="minorBidi"/>
          <w:sz w:val="16"/>
          <w:szCs w:val="16"/>
          <w:rtl/>
        </w:rPr>
        <w:t>(סי' מ"ו)</w:t>
      </w:r>
      <w:r w:rsidRPr="00351B7D">
        <w:rPr>
          <w:rFonts w:asciiTheme="minorBidi" w:hAnsiTheme="minorBidi"/>
          <w:rtl/>
        </w:rPr>
        <w:t xml:space="preserve"> וגט פשוט- כשר בשעת הדחק.</w:t>
      </w:r>
    </w:p>
    <w:p w14:paraId="4167AB20" w14:textId="77777777" w:rsidR="007D6167" w:rsidRPr="00351B7D" w:rsidRDefault="007D6167" w:rsidP="007D6167">
      <w:pPr>
        <w:rPr>
          <w:rFonts w:asciiTheme="minorBidi" w:hAnsiTheme="minorBidi"/>
          <w:color w:val="000000"/>
          <w:rtl/>
        </w:rPr>
      </w:pPr>
    </w:p>
    <w:p w14:paraId="411CB93A" w14:textId="77777777" w:rsidR="007D6167" w:rsidRPr="00351B7D" w:rsidRDefault="007D6167" w:rsidP="007D6167">
      <w:pPr>
        <w:pStyle w:val="2"/>
        <w:rPr>
          <w:rFonts w:asciiTheme="minorBidi" w:hAnsiTheme="minorBidi"/>
          <w:rtl/>
        </w:rPr>
      </w:pPr>
      <w:r w:rsidRPr="00351B7D">
        <w:rPr>
          <w:rFonts w:asciiTheme="minorBidi" w:hAnsiTheme="minorBidi"/>
          <w:rtl/>
        </w:rPr>
        <w:t>סעיף ד: כתיבת ר"ח</w:t>
      </w:r>
      <w:r w:rsidRPr="00351B7D">
        <w:rPr>
          <w:rFonts w:asciiTheme="minorBidi" w:hAnsiTheme="minorBidi"/>
          <w:sz w:val="30"/>
          <w:szCs w:val="30"/>
          <w:rtl/>
        </w:rPr>
        <w:t xml:space="preserve"> </w:t>
      </w:r>
      <w:r w:rsidRPr="00351B7D">
        <w:rPr>
          <w:rFonts w:asciiTheme="minorBidi" w:hAnsiTheme="minorBidi"/>
          <w:rtl/>
        </w:rPr>
        <w:t>כשהוא יום אחד, וכתיבת הימים.</w:t>
      </w:r>
    </w:p>
    <w:p w14:paraId="05FAAE4E" w14:textId="77777777" w:rsidR="007D6167" w:rsidRPr="00351B7D" w:rsidRDefault="007D6167" w:rsidP="007D6167">
      <w:pPr>
        <w:rPr>
          <w:rFonts w:asciiTheme="minorBidi" w:hAnsiTheme="minorBidi"/>
          <w:rtl/>
        </w:rPr>
      </w:pPr>
      <w:r w:rsidRPr="00351B7D">
        <w:rPr>
          <w:rFonts w:asciiTheme="minorBidi" w:hAnsiTheme="minorBidi"/>
          <w:u w:val="single"/>
          <w:rtl/>
        </w:rPr>
        <w:t>כיצד לכתוב יום ר"ח</w:t>
      </w:r>
      <w:r w:rsidRPr="00351B7D">
        <w:rPr>
          <w:rFonts w:asciiTheme="minorBidi" w:hAnsiTheme="minorBidi"/>
          <w:sz w:val="16"/>
          <w:szCs w:val="16"/>
          <w:u w:val="single"/>
          <w:rtl/>
        </w:rPr>
        <w:t xml:space="preserve"> (כשהר"ח הוא יום אחד)</w:t>
      </w:r>
      <w:r w:rsidRPr="00351B7D">
        <w:rPr>
          <w:rFonts w:asciiTheme="minorBidi" w:hAnsiTheme="minorBidi"/>
          <w:u w:val="single"/>
          <w:rtl/>
        </w:rPr>
        <w:t>:</w:t>
      </w:r>
      <w:r w:rsidRPr="00351B7D">
        <w:rPr>
          <w:rFonts w:asciiTheme="minorBidi" w:hAnsiTheme="minorBidi"/>
          <w:sz w:val="16"/>
          <w:szCs w:val="16"/>
          <w:rtl/>
        </w:rPr>
        <w:t xml:space="preserve">    (ב"י, דרכ"מ [אות ח])</w:t>
      </w:r>
    </w:p>
    <w:p w14:paraId="7CFD9DB4" w14:textId="77777777" w:rsidR="007D6167" w:rsidRPr="00351B7D" w:rsidRDefault="007D6167" w:rsidP="00B75458">
      <w:pPr>
        <w:pStyle w:val="ab"/>
        <w:numPr>
          <w:ilvl w:val="0"/>
          <w:numId w:val="214"/>
        </w:numPr>
        <w:rPr>
          <w:rFonts w:asciiTheme="minorBidi" w:hAnsiTheme="minorBidi"/>
        </w:rPr>
      </w:pPr>
      <w:r w:rsidRPr="00351B7D">
        <w:rPr>
          <w:rFonts w:asciiTheme="minorBidi" w:hAnsiTheme="minorBidi"/>
          <w:rtl/>
        </w:rPr>
        <w:t>ה"ר פרץ וסדר גיטין למהר"י מרגליות</w:t>
      </w:r>
      <w:r w:rsidRPr="00351B7D">
        <w:rPr>
          <w:rStyle w:val="a7"/>
          <w:rFonts w:asciiTheme="minorBidi" w:hAnsiTheme="minorBidi"/>
          <w:rtl/>
        </w:rPr>
        <w:footnoteReference w:id="3371"/>
      </w:r>
      <w:r w:rsidRPr="00351B7D">
        <w:rPr>
          <w:rFonts w:asciiTheme="minorBidi" w:hAnsiTheme="minorBidi"/>
          <w:rtl/>
        </w:rPr>
        <w:t>- "</w:t>
      </w:r>
      <w:r w:rsidRPr="00351B7D">
        <w:rPr>
          <w:rFonts w:asciiTheme="minorBidi" w:hAnsiTheme="minorBidi"/>
          <w:u w:val="single"/>
          <w:rtl/>
        </w:rPr>
        <w:t>ביום אחד</w:t>
      </w:r>
      <w:r w:rsidRPr="00351B7D">
        <w:rPr>
          <w:rFonts w:asciiTheme="minorBidi" w:hAnsiTheme="minorBidi"/>
          <w:rtl/>
        </w:rPr>
        <w:t xml:space="preserve">" לירח פלוני. </w:t>
      </w:r>
      <w:r w:rsidRPr="00351B7D">
        <w:rPr>
          <w:rFonts w:asciiTheme="minorBidi" w:hAnsiTheme="minorBidi"/>
          <w:color w:val="E36C0A" w:themeColor="accent6" w:themeShade="BF"/>
          <w:rtl/>
        </w:rPr>
        <w:t xml:space="preserve"> (וכ"פ בשו"ע)</w:t>
      </w:r>
      <w:r w:rsidRPr="00351B7D">
        <w:rPr>
          <w:rFonts w:asciiTheme="minorBidi" w:hAnsiTheme="minorBidi"/>
          <w:rtl/>
        </w:rPr>
        <w:t xml:space="preserve"> (וכ"פ הב"ח</w:t>
      </w:r>
      <w:r w:rsidRPr="00351B7D">
        <w:rPr>
          <w:rFonts w:asciiTheme="minorBidi" w:hAnsiTheme="minorBidi"/>
          <w:sz w:val="16"/>
          <w:szCs w:val="16"/>
          <w:rtl/>
        </w:rPr>
        <w:t xml:space="preserve"> [אות ד]</w:t>
      </w:r>
      <w:r w:rsidRPr="00351B7D">
        <w:rPr>
          <w:rFonts w:asciiTheme="minorBidi" w:hAnsiTheme="minorBidi"/>
          <w:rtl/>
        </w:rPr>
        <w:t>)</w:t>
      </w:r>
    </w:p>
    <w:p w14:paraId="28980B83" w14:textId="77777777" w:rsidR="007D6167" w:rsidRPr="00351B7D" w:rsidRDefault="007D6167" w:rsidP="00B75458">
      <w:pPr>
        <w:pStyle w:val="ab"/>
        <w:numPr>
          <w:ilvl w:val="0"/>
          <w:numId w:val="214"/>
        </w:numPr>
        <w:rPr>
          <w:rFonts w:asciiTheme="minorBidi" w:hAnsiTheme="minorBidi"/>
        </w:rPr>
      </w:pPr>
      <w:r w:rsidRPr="00351B7D">
        <w:rPr>
          <w:rFonts w:asciiTheme="minorBidi" w:hAnsiTheme="minorBidi"/>
          <w:rtl/>
        </w:rPr>
        <w:t>הגה' מרדכי</w:t>
      </w:r>
      <w:r w:rsidRPr="00351B7D">
        <w:rPr>
          <w:rFonts w:asciiTheme="minorBidi" w:hAnsiTheme="minorBidi"/>
          <w:sz w:val="16"/>
          <w:szCs w:val="16"/>
          <w:rtl/>
        </w:rPr>
        <w:t xml:space="preserve"> (גיטין סי' תנד) </w:t>
      </w:r>
      <w:r w:rsidRPr="00351B7D">
        <w:rPr>
          <w:rFonts w:asciiTheme="minorBidi" w:hAnsiTheme="minorBidi"/>
          <w:rtl/>
        </w:rPr>
        <w:t>(וטור</w:t>
      </w:r>
      <w:r w:rsidRPr="00351B7D">
        <w:rPr>
          <w:rFonts w:asciiTheme="minorBidi" w:hAnsiTheme="minorBidi"/>
          <w:sz w:val="16"/>
          <w:szCs w:val="16"/>
          <w:rtl/>
        </w:rPr>
        <w:t xml:space="preserve"> להב' הדרכ"מ</w:t>
      </w:r>
      <w:r w:rsidRPr="00351B7D">
        <w:rPr>
          <w:rFonts w:asciiTheme="minorBidi" w:hAnsiTheme="minorBidi"/>
          <w:rtl/>
        </w:rPr>
        <w:t>)- "</w:t>
      </w:r>
      <w:r w:rsidRPr="00351B7D">
        <w:rPr>
          <w:rFonts w:asciiTheme="minorBidi" w:hAnsiTheme="minorBidi"/>
          <w:u w:val="single"/>
          <w:rtl/>
        </w:rPr>
        <w:t>באחד</w:t>
      </w:r>
      <w:r w:rsidRPr="00351B7D">
        <w:rPr>
          <w:rFonts w:asciiTheme="minorBidi" w:hAnsiTheme="minorBidi"/>
          <w:rtl/>
        </w:rPr>
        <w:t>" לירח פלוני. (וכ"פ בנחל"ש</w:t>
      </w:r>
      <w:r w:rsidRPr="00351B7D">
        <w:rPr>
          <w:rFonts w:asciiTheme="minorBidi" w:hAnsiTheme="minorBidi"/>
          <w:sz w:val="16"/>
          <w:szCs w:val="16"/>
          <w:rtl/>
        </w:rPr>
        <w:t xml:space="preserve"> [סי' מה סע' ב]</w:t>
      </w:r>
      <w:r w:rsidRPr="00351B7D">
        <w:rPr>
          <w:rFonts w:asciiTheme="minorBidi" w:hAnsiTheme="minorBidi"/>
          <w:rtl/>
        </w:rPr>
        <w:t>)</w:t>
      </w:r>
    </w:p>
    <w:p w14:paraId="6BFE63A6" w14:textId="77777777" w:rsidR="007D6167" w:rsidRPr="00351B7D" w:rsidRDefault="007D6167" w:rsidP="00B75458">
      <w:pPr>
        <w:pStyle w:val="ab"/>
        <w:numPr>
          <w:ilvl w:val="0"/>
          <w:numId w:val="214"/>
        </w:numPr>
        <w:rPr>
          <w:rFonts w:asciiTheme="minorBidi" w:hAnsiTheme="minorBidi"/>
        </w:rPr>
      </w:pPr>
      <w:r w:rsidRPr="00351B7D">
        <w:rPr>
          <w:rFonts w:asciiTheme="minorBidi" w:hAnsiTheme="minorBidi"/>
          <w:rtl/>
        </w:rPr>
        <w:t>סדר גיטין וב"ז</w:t>
      </w:r>
      <w:r w:rsidRPr="00351B7D">
        <w:rPr>
          <w:rStyle w:val="a7"/>
          <w:rFonts w:asciiTheme="minorBidi" w:hAnsiTheme="minorBidi"/>
          <w:rtl/>
        </w:rPr>
        <w:footnoteReference w:id="3372"/>
      </w:r>
      <w:r w:rsidRPr="00351B7D">
        <w:rPr>
          <w:rFonts w:asciiTheme="minorBidi" w:hAnsiTheme="minorBidi"/>
          <w:rtl/>
        </w:rPr>
        <w:t>- לב' אלו הסברות יש ראיה מן המקרא ועל כן יש נמנעין לתת גט בר"ח דלא ידעי כיצד יכתבו.</w:t>
      </w:r>
    </w:p>
    <w:p w14:paraId="1941C6F3" w14:textId="77777777" w:rsidR="007D6167" w:rsidRPr="00351B7D" w:rsidRDefault="007D6167" w:rsidP="007D6167">
      <w:pPr>
        <w:rPr>
          <w:rFonts w:asciiTheme="minorBidi" w:hAnsiTheme="minorBidi"/>
          <w:u w:val="single"/>
          <w:rtl/>
        </w:rPr>
      </w:pPr>
      <w:r w:rsidRPr="00351B7D">
        <w:rPr>
          <w:rFonts w:asciiTheme="minorBidi" w:hAnsiTheme="minorBidi"/>
          <w:u w:val="single"/>
          <w:rtl/>
        </w:rPr>
        <w:t>כיצד יש לכתוב, בעשרים "יום" לירח פלוני או בעשרים "ימים":</w:t>
      </w:r>
      <w:r w:rsidRPr="00351B7D">
        <w:rPr>
          <w:rFonts w:asciiTheme="minorBidi" w:hAnsiTheme="minorBidi"/>
          <w:sz w:val="16"/>
          <w:szCs w:val="16"/>
          <w:rtl/>
        </w:rPr>
        <w:t xml:space="preserve">  (ב"י [ד(ב)], ודרכ"מ [אות כו ואות כז])</w:t>
      </w:r>
    </w:p>
    <w:p w14:paraId="0B7A24A2" w14:textId="77777777" w:rsidR="007D6167" w:rsidRPr="00351B7D" w:rsidRDefault="007D6167" w:rsidP="00B75458">
      <w:pPr>
        <w:pStyle w:val="ab"/>
        <w:numPr>
          <w:ilvl w:val="0"/>
          <w:numId w:val="216"/>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79744" behindDoc="0" locked="0" layoutInCell="1" allowOverlap="1" wp14:anchorId="2F17863E" wp14:editId="3485C2DA">
                <wp:simplePos x="0" y="0"/>
                <wp:positionH relativeFrom="column">
                  <wp:posOffset>4914752</wp:posOffset>
                </wp:positionH>
                <wp:positionV relativeFrom="paragraph">
                  <wp:posOffset>410284</wp:posOffset>
                </wp:positionV>
                <wp:extent cx="45719" cy="89065"/>
                <wp:effectExtent l="19050" t="0" r="31115" b="44450"/>
                <wp:wrapNone/>
                <wp:docPr id="21" name="Down Arrow 21"/>
                <wp:cNvGraphicFramePr/>
                <a:graphic xmlns:a="http://schemas.openxmlformats.org/drawingml/2006/main">
                  <a:graphicData uri="http://schemas.microsoft.com/office/word/2010/wordprocessingShape">
                    <wps:wsp>
                      <wps:cNvSpPr/>
                      <wps:spPr>
                        <a:xfrm>
                          <a:off x="0" y="0"/>
                          <a:ext cx="45719" cy="890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0A51E9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left:0;text-align:left;margin-left:387pt;margin-top:32.3pt;width:3.6pt;height: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" adj="16056" fillcolor="black [3200]" strokecolor="black [1600]" strokeweight="2pt"/>
            </w:pict>
          </mc:Fallback>
        </mc:AlternateContent>
      </w:r>
      <w:r w:rsidRPr="00351B7D">
        <w:rPr>
          <w:rFonts w:asciiTheme="minorBidi" w:hAnsiTheme="minorBidi"/>
          <w:rtl/>
        </w:rPr>
        <w:t>מהרי"ו הגמ"ר כל בו וסדר גיטין</w:t>
      </w:r>
      <w:r w:rsidRPr="00351B7D">
        <w:rPr>
          <w:rStyle w:val="a7"/>
          <w:rFonts w:asciiTheme="minorBidi" w:hAnsiTheme="minorBidi"/>
          <w:rtl/>
        </w:rPr>
        <w:footnoteReference w:id="3373"/>
      </w:r>
      <w:r w:rsidRPr="00351B7D">
        <w:rPr>
          <w:rFonts w:asciiTheme="minorBidi" w:hAnsiTheme="minorBidi"/>
          <w:rtl/>
        </w:rPr>
        <w:t xml:space="preserve">- בשני 'ימים' בשלשה 'ימים' בארבעה 'ימים', וכן יעשה עד עשרה 'ימים', מכאן ואילך יכתוב 'יום'. </w:t>
      </w:r>
      <w:r w:rsidRPr="00351B7D">
        <w:rPr>
          <w:rFonts w:asciiTheme="minorBidi" w:hAnsiTheme="minorBidi"/>
          <w:color w:val="00B0F0"/>
          <w:rtl/>
        </w:rPr>
        <w:t>(וכ"פ הרמ"א)</w:t>
      </w:r>
    </w:p>
    <w:p w14:paraId="67DC11D9" w14:textId="77777777" w:rsidR="007D6167" w:rsidRPr="00351B7D" w:rsidRDefault="007D6167" w:rsidP="007D6167">
      <w:pPr>
        <w:ind w:left="360"/>
        <w:rPr>
          <w:rFonts w:asciiTheme="minorBidi" w:hAnsiTheme="minorBidi"/>
          <w:u w:val="dotted"/>
          <w:rtl/>
        </w:rPr>
      </w:pPr>
      <w:r w:rsidRPr="00351B7D">
        <w:rPr>
          <w:rFonts w:asciiTheme="minorBidi" w:hAnsiTheme="minorBidi"/>
          <w:u w:val="dotted"/>
          <w:rtl/>
        </w:rPr>
        <w:t>מה הדין אם כתב בגט 'ימים' היכא דהיה צריך לכתוב 'יום':</w:t>
      </w:r>
    </w:p>
    <w:p w14:paraId="00A5981D" w14:textId="77777777" w:rsidR="007D6167" w:rsidRPr="00351B7D" w:rsidRDefault="007D6167" w:rsidP="00B75458">
      <w:pPr>
        <w:pStyle w:val="ab"/>
        <w:numPr>
          <w:ilvl w:val="0"/>
          <w:numId w:val="216"/>
        </w:numPr>
        <w:rPr>
          <w:rFonts w:asciiTheme="minorBidi" w:hAnsiTheme="minorBidi"/>
        </w:rPr>
      </w:pPr>
      <w:r w:rsidRPr="00351B7D">
        <w:rPr>
          <w:rFonts w:asciiTheme="minorBidi" w:hAnsiTheme="minorBidi"/>
          <w:rtl/>
        </w:rPr>
        <w:t xml:space="preserve">מהרי"ו </w:t>
      </w:r>
      <w:r w:rsidRPr="00351B7D">
        <w:rPr>
          <w:rFonts w:asciiTheme="minorBidi" w:hAnsiTheme="minorBidi"/>
          <w:sz w:val="16"/>
          <w:szCs w:val="16"/>
          <w:rtl/>
        </w:rPr>
        <w:t>(סי' כז וסי' עב</w:t>
      </w:r>
      <w:r w:rsidRPr="00351B7D">
        <w:rPr>
          <w:rFonts w:asciiTheme="minorBidi" w:hAnsiTheme="minorBidi"/>
          <w:sz w:val="14"/>
          <w:szCs w:val="14"/>
          <w:rtl/>
        </w:rPr>
        <w:t xml:space="preserve"> [הביאו הדרכ"מ אות כו]</w:t>
      </w:r>
      <w:r w:rsidRPr="00351B7D">
        <w:rPr>
          <w:rFonts w:asciiTheme="minorBidi" w:hAnsiTheme="minorBidi"/>
          <w:sz w:val="16"/>
          <w:szCs w:val="16"/>
          <w:rtl/>
        </w:rPr>
        <w:t>)</w:t>
      </w:r>
      <w:r w:rsidRPr="00351B7D">
        <w:rPr>
          <w:rFonts w:asciiTheme="minorBidi" w:hAnsiTheme="minorBidi"/>
          <w:rtl/>
        </w:rPr>
        <w:t xml:space="preserve">- פסול אם לא בשעת הדחק. </w:t>
      </w:r>
    </w:p>
    <w:p w14:paraId="6BC941B0" w14:textId="77777777" w:rsidR="007D6167" w:rsidRPr="00351B7D" w:rsidRDefault="007D6167" w:rsidP="00B75458">
      <w:pPr>
        <w:pStyle w:val="ab"/>
        <w:numPr>
          <w:ilvl w:val="0"/>
          <w:numId w:val="216"/>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80768" behindDoc="0" locked="0" layoutInCell="1" allowOverlap="1" wp14:anchorId="0A91063B" wp14:editId="78A8C186">
                <wp:simplePos x="0" y="0"/>
                <wp:positionH relativeFrom="column">
                  <wp:posOffset>4918075</wp:posOffset>
                </wp:positionH>
                <wp:positionV relativeFrom="paragraph">
                  <wp:posOffset>227330</wp:posOffset>
                </wp:positionV>
                <wp:extent cx="45085" cy="88900"/>
                <wp:effectExtent l="19050" t="0" r="31115" b="44450"/>
                <wp:wrapNone/>
                <wp:docPr id="22" name="Down Arrow 22"/>
                <wp:cNvGraphicFramePr/>
                <a:graphic xmlns:a="http://schemas.openxmlformats.org/drawingml/2006/main">
                  <a:graphicData uri="http://schemas.microsoft.com/office/word/2010/wordprocessingShape">
                    <wps:wsp>
                      <wps:cNvSpPr/>
                      <wps:spPr>
                        <a:xfrm>
                          <a:off x="0" y="0"/>
                          <a:ext cx="45085" cy="88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139EC40" id="Down Arrow 22" o:spid="_x0000_s1026" type="#_x0000_t67" style="position:absolute;left:0;text-align:left;margin-left:387.25pt;margin-top:17.9pt;width:3.55pt;height: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" adj="16123" fillcolor="black [3200]" strokecolor="black [1600]" strokeweight="2pt"/>
            </w:pict>
          </mc:Fallback>
        </mc:AlternateContent>
      </w:r>
      <w:r w:rsidRPr="00351B7D">
        <w:rPr>
          <w:rFonts w:asciiTheme="minorBidi" w:hAnsiTheme="minorBidi"/>
          <w:rtl/>
        </w:rPr>
        <w:t xml:space="preserve">ב"י- אם שינה פשיטא דלא עיכב דכותבים כך רק לשופרא דמילתא. (וכ"כ הח"מ </w:t>
      </w:r>
      <w:r w:rsidRPr="00351B7D">
        <w:rPr>
          <w:rFonts w:asciiTheme="minorBidi" w:hAnsiTheme="minorBidi"/>
          <w:sz w:val="16"/>
          <w:szCs w:val="16"/>
          <w:rtl/>
        </w:rPr>
        <w:t>[סקי"ב]</w:t>
      </w:r>
      <w:r w:rsidRPr="00351B7D">
        <w:rPr>
          <w:rFonts w:asciiTheme="minorBidi" w:hAnsiTheme="minorBidi"/>
          <w:rtl/>
        </w:rPr>
        <w:t>)</w:t>
      </w:r>
    </w:p>
    <w:p w14:paraId="22E9DCC6" w14:textId="77777777" w:rsidR="007D6167" w:rsidRPr="00351B7D" w:rsidRDefault="007D6167" w:rsidP="007D6167">
      <w:pPr>
        <w:ind w:left="360"/>
        <w:rPr>
          <w:rFonts w:asciiTheme="minorBidi" w:hAnsiTheme="minorBidi"/>
          <w:u w:val="dotted"/>
          <w:rtl/>
        </w:rPr>
      </w:pPr>
      <w:r w:rsidRPr="00351B7D">
        <w:rPr>
          <w:rFonts w:asciiTheme="minorBidi" w:hAnsiTheme="minorBidi"/>
          <w:u w:val="dotted"/>
          <w:rtl/>
        </w:rPr>
        <w:t>כיצד כותב מעשרים ואילך:</w:t>
      </w:r>
    </w:p>
    <w:p w14:paraId="00C7633D" w14:textId="77777777" w:rsidR="007D6167" w:rsidRPr="00351B7D" w:rsidRDefault="007D6167" w:rsidP="00B75458">
      <w:pPr>
        <w:pStyle w:val="ab"/>
        <w:numPr>
          <w:ilvl w:val="0"/>
          <w:numId w:val="216"/>
        </w:numPr>
        <w:rPr>
          <w:rFonts w:asciiTheme="minorBidi" w:hAnsiTheme="minorBidi"/>
        </w:rPr>
      </w:pPr>
      <w:r w:rsidRPr="00351B7D">
        <w:rPr>
          <w:rFonts w:asciiTheme="minorBidi" w:hAnsiTheme="minorBidi"/>
          <w:rtl/>
        </w:rPr>
        <w:t xml:space="preserve">דרכ"מ </w:t>
      </w:r>
      <w:r w:rsidRPr="00351B7D">
        <w:rPr>
          <w:rFonts w:asciiTheme="minorBidi" w:hAnsiTheme="minorBidi"/>
          <w:sz w:val="16"/>
          <w:szCs w:val="16"/>
          <w:rtl/>
        </w:rPr>
        <w:t>(אות כז)</w:t>
      </w:r>
      <w:r w:rsidRPr="00351B7D">
        <w:rPr>
          <w:rFonts w:asciiTheme="minorBidi" w:hAnsiTheme="minorBidi"/>
          <w:rtl/>
        </w:rPr>
        <w:t xml:space="preserve">- מעשרים ואילך נוהגין לכתוב </w:t>
      </w:r>
      <w:r w:rsidRPr="00351B7D">
        <w:rPr>
          <w:rFonts w:asciiTheme="minorBidi" w:hAnsiTheme="minorBidi"/>
          <w:u w:val="single"/>
          <w:rtl/>
        </w:rPr>
        <w:t>יום</w:t>
      </w:r>
      <w:r w:rsidRPr="00351B7D">
        <w:rPr>
          <w:rFonts w:asciiTheme="minorBidi" w:hAnsiTheme="minorBidi"/>
          <w:rtl/>
        </w:rPr>
        <w:t>.</w:t>
      </w:r>
    </w:p>
    <w:p w14:paraId="7C36BD53" w14:textId="77777777" w:rsidR="007D6167" w:rsidRPr="00351B7D" w:rsidRDefault="007D6167" w:rsidP="00B75458">
      <w:pPr>
        <w:pStyle w:val="ab"/>
        <w:numPr>
          <w:ilvl w:val="0"/>
          <w:numId w:val="216"/>
        </w:numPr>
        <w:rPr>
          <w:rFonts w:asciiTheme="minorBidi" w:hAnsiTheme="minorBidi"/>
          <w:rtl/>
        </w:rPr>
      </w:pPr>
      <w:r w:rsidRPr="00351B7D">
        <w:rPr>
          <w:rFonts w:asciiTheme="minorBidi" w:hAnsiTheme="minorBidi"/>
          <w:rtl/>
        </w:rPr>
        <w:t xml:space="preserve">ב"י- אני ראיתי בגיטין שנכתבו בזמננו שעד י"ט כותבין יום וכשמגיעים לעשרים ומעשרים ואילך כותבין </w:t>
      </w:r>
      <w:r w:rsidRPr="00351B7D">
        <w:rPr>
          <w:rFonts w:asciiTheme="minorBidi" w:hAnsiTheme="minorBidi"/>
          <w:u w:val="single"/>
          <w:rtl/>
        </w:rPr>
        <w:t>ימים</w:t>
      </w:r>
      <w:r w:rsidRPr="00351B7D">
        <w:rPr>
          <w:rFonts w:asciiTheme="minorBidi" w:hAnsiTheme="minorBidi"/>
          <w:rtl/>
        </w:rPr>
        <w:t>.</w:t>
      </w:r>
    </w:p>
    <w:p w14:paraId="5B0A12C3" w14:textId="77777777" w:rsidR="007D6167" w:rsidRPr="00351B7D" w:rsidRDefault="007D6167" w:rsidP="007D6167">
      <w:pPr>
        <w:rPr>
          <w:rFonts w:asciiTheme="minorBidi" w:hAnsiTheme="minorBidi"/>
          <w:u w:val="single"/>
          <w:rtl/>
        </w:rPr>
      </w:pPr>
      <w:r w:rsidRPr="00351B7D">
        <w:rPr>
          <w:rFonts w:asciiTheme="minorBidi" w:hAnsiTheme="minorBidi"/>
          <w:u w:val="single"/>
          <w:rtl/>
        </w:rPr>
        <w:t>בשלשה או בשלושה</w:t>
      </w:r>
      <w:r w:rsidRPr="00351B7D">
        <w:rPr>
          <w:rFonts w:asciiTheme="minorBidi" w:hAnsiTheme="minorBidi"/>
          <w:sz w:val="16"/>
          <w:szCs w:val="16"/>
          <w:u w:val="single"/>
          <w:rtl/>
        </w:rPr>
        <w:t xml:space="preserve"> (וכן שמנה או שמונה)</w:t>
      </w:r>
      <w:r w:rsidRPr="00351B7D">
        <w:rPr>
          <w:rFonts w:asciiTheme="minorBidi" w:hAnsiTheme="minorBidi"/>
          <w:u w:val="single"/>
          <w:rtl/>
        </w:rPr>
        <w:t>:</w:t>
      </w:r>
      <w:r w:rsidRPr="00351B7D">
        <w:rPr>
          <w:rFonts w:asciiTheme="minorBidi" w:hAnsiTheme="minorBidi"/>
          <w:sz w:val="16"/>
          <w:szCs w:val="16"/>
          <w:rtl/>
        </w:rPr>
        <w:t xml:space="preserve">  (דרכ"מ [אות ט])</w:t>
      </w:r>
    </w:p>
    <w:p w14:paraId="2C7EA0BA" w14:textId="77777777" w:rsidR="007D6167" w:rsidRPr="00351B7D" w:rsidRDefault="007D6167" w:rsidP="00B75458">
      <w:pPr>
        <w:pStyle w:val="ab"/>
        <w:numPr>
          <w:ilvl w:val="0"/>
          <w:numId w:val="216"/>
        </w:numPr>
        <w:rPr>
          <w:rFonts w:asciiTheme="minorBidi" w:hAnsiTheme="minorBidi"/>
          <w:rtl/>
        </w:rPr>
      </w:pPr>
      <w:r w:rsidRPr="00351B7D">
        <w:rPr>
          <w:rFonts w:asciiTheme="minorBidi" w:hAnsiTheme="minorBidi"/>
          <w:rtl/>
        </w:rPr>
        <w:t xml:space="preserve">סדר גיטין </w:t>
      </w:r>
      <w:r w:rsidRPr="00351B7D">
        <w:rPr>
          <w:rFonts w:asciiTheme="minorBidi" w:hAnsiTheme="minorBidi"/>
          <w:sz w:val="16"/>
          <w:szCs w:val="16"/>
          <w:rtl/>
        </w:rPr>
        <w:t>(סי' טז סעיף ג)</w:t>
      </w:r>
      <w:r w:rsidRPr="00351B7D">
        <w:rPr>
          <w:rFonts w:asciiTheme="minorBidi" w:hAnsiTheme="minorBidi"/>
          <w:rtl/>
        </w:rPr>
        <w:t>- בשלשה ימים חסר וי"ו... בשמנה חסר וי"ו</w:t>
      </w:r>
      <w:r w:rsidRPr="00351B7D">
        <w:rPr>
          <w:rStyle w:val="a7"/>
          <w:rFonts w:asciiTheme="minorBidi" w:hAnsiTheme="minorBidi"/>
          <w:rtl/>
        </w:rPr>
        <w:footnoteReference w:id="3374"/>
      </w:r>
      <w:r w:rsidRPr="00351B7D">
        <w:rPr>
          <w:rFonts w:asciiTheme="minorBidi" w:hAnsiTheme="minorBidi"/>
          <w:rtl/>
        </w:rPr>
        <w:t>...</w:t>
      </w:r>
    </w:p>
    <w:p w14:paraId="10E8C9E7" w14:textId="77777777" w:rsidR="007D6167" w:rsidRPr="00351B7D" w:rsidRDefault="007D6167" w:rsidP="007D6167">
      <w:pPr>
        <w:rPr>
          <w:rFonts w:asciiTheme="minorBidi" w:hAnsiTheme="minorBidi"/>
          <w:rtl/>
        </w:rPr>
      </w:pPr>
      <w:r w:rsidRPr="00351B7D">
        <w:rPr>
          <w:rFonts w:asciiTheme="minorBidi" w:hAnsiTheme="minorBidi"/>
          <w:u w:val="single"/>
          <w:rtl/>
        </w:rPr>
        <w:t xml:space="preserve">בחשבון </w:t>
      </w:r>
      <w:r w:rsidRPr="00351B7D">
        <w:rPr>
          <w:rFonts w:asciiTheme="minorBidi" w:hAnsiTheme="minorBidi"/>
          <w:b/>
          <w:bCs/>
          <w:u w:val="single"/>
          <w:rtl/>
        </w:rPr>
        <w:t>הימים</w:t>
      </w:r>
      <w:r w:rsidRPr="00351B7D">
        <w:rPr>
          <w:rFonts w:asciiTheme="minorBidi" w:hAnsiTheme="minorBidi"/>
          <w:u w:val="single"/>
          <w:rtl/>
        </w:rPr>
        <w:t xml:space="preserve"> יכתוב לשון נקבה או לשון זכר:</w:t>
      </w:r>
      <w:r w:rsidRPr="00351B7D">
        <w:rPr>
          <w:rFonts w:asciiTheme="minorBidi" w:hAnsiTheme="minorBidi"/>
          <w:rtl/>
        </w:rPr>
        <w:t xml:space="preserve"> </w:t>
      </w:r>
      <w:r w:rsidRPr="00351B7D">
        <w:rPr>
          <w:rFonts w:asciiTheme="minorBidi" w:hAnsiTheme="minorBidi"/>
          <w:sz w:val="16"/>
          <w:szCs w:val="16"/>
          <w:rtl/>
        </w:rPr>
        <w:t xml:space="preserve">  (דרכ"מ [אות י]) </w:t>
      </w:r>
    </w:p>
    <w:p w14:paraId="4D965D96" w14:textId="77777777" w:rsidR="007D6167" w:rsidRPr="00351B7D" w:rsidRDefault="007D6167" w:rsidP="00B75458">
      <w:pPr>
        <w:pStyle w:val="ab"/>
        <w:numPr>
          <w:ilvl w:val="0"/>
          <w:numId w:val="216"/>
        </w:numPr>
        <w:rPr>
          <w:rFonts w:asciiTheme="minorBidi" w:hAnsiTheme="minorBidi"/>
          <w:rtl/>
        </w:rPr>
      </w:pPr>
      <w:r w:rsidRPr="00351B7D">
        <w:rPr>
          <w:rFonts w:asciiTheme="minorBidi" w:hAnsiTheme="minorBidi"/>
          <w:rtl/>
        </w:rPr>
        <w:t>ה"ר פרץ</w:t>
      </w:r>
      <w:r w:rsidRPr="00351B7D">
        <w:rPr>
          <w:rFonts w:asciiTheme="minorBidi" w:hAnsiTheme="minorBidi"/>
          <w:sz w:val="16"/>
          <w:szCs w:val="16"/>
          <w:rtl/>
        </w:rPr>
        <w:t xml:space="preserve"> (הביאו הטור)</w:t>
      </w:r>
      <w:r w:rsidRPr="00351B7D">
        <w:rPr>
          <w:rFonts w:asciiTheme="minorBidi" w:hAnsiTheme="minorBidi"/>
          <w:rtl/>
        </w:rPr>
        <w:t xml:space="preserve">- בלשון זכר </w:t>
      </w:r>
      <w:r w:rsidRPr="00351B7D">
        <w:rPr>
          <w:rFonts w:asciiTheme="minorBidi" w:hAnsiTheme="minorBidi"/>
          <w:sz w:val="16"/>
          <w:szCs w:val="16"/>
          <w:rtl/>
        </w:rPr>
        <w:t>(כגון- בשני ימים בשלשה בארבעה כולן לשון זכר בה"א לבסוף, וכן באחד ועשרים בשנים ועשרים בשלשה ועשרים וכן כולם)</w:t>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1C9125F3"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0769A8AF" w14:textId="77777777" w:rsidR="007D6167" w:rsidRPr="00351B7D" w:rsidRDefault="007D6167" w:rsidP="007D6167">
      <w:pPr>
        <w:rPr>
          <w:rFonts w:asciiTheme="minorBidi" w:hAnsiTheme="minorBidi"/>
          <w:rtl/>
        </w:rPr>
      </w:pPr>
      <w:r w:rsidRPr="00351B7D">
        <w:rPr>
          <w:rFonts w:asciiTheme="minorBidi" w:hAnsiTheme="minorBidi"/>
          <w:rtl/>
        </w:rPr>
        <w:t>ביום ראש חודש יכתוב ביום אחד</w:t>
      </w:r>
      <w:r w:rsidRPr="00351B7D">
        <w:rPr>
          <w:rStyle w:val="a7"/>
          <w:rFonts w:asciiTheme="minorBidi" w:hAnsiTheme="minorBidi"/>
          <w:color w:val="000000"/>
          <w:rtl/>
        </w:rPr>
        <w:footnoteReference w:id="3375"/>
      </w:r>
      <w:r w:rsidRPr="00351B7D">
        <w:rPr>
          <w:rFonts w:asciiTheme="minorBidi" w:hAnsiTheme="minorBidi"/>
          <w:rtl/>
        </w:rPr>
        <w:t xml:space="preserve"> לירח פלוני.</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דכותבין באחד</w:t>
      </w:r>
      <w:r w:rsidRPr="00351B7D">
        <w:rPr>
          <w:rStyle w:val="a7"/>
          <w:rFonts w:asciiTheme="minorBidi" w:hAnsiTheme="minorBidi"/>
          <w:color w:val="000000"/>
          <w:sz w:val="18"/>
          <w:szCs w:val="18"/>
          <w:rtl/>
        </w:rPr>
        <w:footnoteReference w:id="3376"/>
      </w:r>
      <w:r w:rsidRPr="00351B7D">
        <w:rPr>
          <w:rFonts w:asciiTheme="minorBidi" w:hAnsiTheme="minorBidi"/>
          <w:color w:val="000000"/>
          <w:sz w:val="18"/>
          <w:szCs w:val="18"/>
          <w:rtl/>
        </w:rPr>
        <w:t xml:space="preserve"> לירח (מרדכי פרק המגרש), ומכח זה יש נמנעים לתת גט בר"ח</w:t>
      </w:r>
      <w:r w:rsidRPr="00351B7D">
        <w:rPr>
          <w:rStyle w:val="a7"/>
          <w:rFonts w:asciiTheme="minorBidi" w:hAnsiTheme="minorBidi"/>
          <w:color w:val="000000"/>
          <w:sz w:val="18"/>
          <w:szCs w:val="18"/>
          <w:rtl/>
        </w:rPr>
        <w:footnoteReference w:id="3377"/>
      </w:r>
      <w:r w:rsidRPr="00351B7D">
        <w:rPr>
          <w:rFonts w:asciiTheme="minorBidi" w:hAnsiTheme="minorBidi"/>
          <w:color w:val="000000"/>
          <w:sz w:val="18"/>
          <w:szCs w:val="18"/>
          <w:rtl/>
        </w:rPr>
        <w:t xml:space="preserve"> (כ"כ בסדר גיטין).</w:t>
      </w:r>
      <w:r w:rsidRPr="00351B7D">
        <w:rPr>
          <w:rFonts w:asciiTheme="minorBidi" w:hAnsiTheme="minorBidi"/>
          <w:rtl/>
        </w:rPr>
        <w:t xml:space="preserve"> בשני יכתוב בשני ימים, בשלשה בארבעה כולם לשון זכר בה"א לבסוף</w:t>
      </w:r>
      <w:r w:rsidRPr="00351B7D">
        <w:rPr>
          <w:rStyle w:val="a7"/>
          <w:rFonts w:asciiTheme="minorBidi" w:hAnsiTheme="minorBidi"/>
          <w:color w:val="000000"/>
          <w:rtl/>
        </w:rPr>
        <w:footnoteReference w:id="3378"/>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ויכתוב ימים</w:t>
      </w:r>
      <w:r w:rsidRPr="00351B7D">
        <w:rPr>
          <w:rStyle w:val="a7"/>
          <w:rFonts w:asciiTheme="minorBidi" w:hAnsiTheme="minorBidi"/>
          <w:color w:val="000000"/>
          <w:sz w:val="18"/>
          <w:szCs w:val="18"/>
          <w:rtl/>
        </w:rPr>
        <w:footnoteReference w:id="3379"/>
      </w:r>
      <w:r w:rsidRPr="00351B7D">
        <w:rPr>
          <w:rFonts w:asciiTheme="minorBidi" w:hAnsiTheme="minorBidi"/>
          <w:color w:val="000000"/>
          <w:sz w:val="18"/>
          <w:szCs w:val="18"/>
          <w:rtl/>
        </w:rPr>
        <w:t xml:space="preserve"> עד עשרה, בשני ימים בשלשה ימים וכו' (בסדר גטין), ומכאן ואילך יכתוב יום, אחד עשר יום שנים עשר יום וכו' (מרדכי פ' המגרש), כתב ימים, לא מיפסל בדיעבד אם כבר ניתן, וכל שכן בשעת הדחק (ב"י</w:t>
      </w:r>
      <w:r w:rsidRPr="00351B7D">
        <w:rPr>
          <w:rStyle w:val="a7"/>
          <w:rFonts w:asciiTheme="minorBidi" w:hAnsiTheme="minorBidi"/>
          <w:color w:val="000000"/>
          <w:sz w:val="18"/>
          <w:szCs w:val="18"/>
          <w:rtl/>
        </w:rPr>
        <w:footnoteReference w:id="3380"/>
      </w:r>
      <w:r w:rsidRPr="00351B7D">
        <w:rPr>
          <w:rFonts w:asciiTheme="minorBidi" w:hAnsiTheme="minorBidi"/>
          <w:color w:val="000000"/>
          <w:sz w:val="18"/>
          <w:szCs w:val="18"/>
          <w:rtl/>
        </w:rPr>
        <w:t>). כתב שלשה או שמנה מלא בוי"ו</w:t>
      </w:r>
      <w:r w:rsidRPr="00351B7D">
        <w:rPr>
          <w:rStyle w:val="a7"/>
          <w:rFonts w:asciiTheme="minorBidi" w:hAnsiTheme="minorBidi"/>
          <w:color w:val="000000"/>
          <w:sz w:val="18"/>
          <w:szCs w:val="18"/>
          <w:rtl/>
        </w:rPr>
        <w:footnoteReference w:id="3381"/>
      </w:r>
      <w:r w:rsidRPr="00351B7D">
        <w:rPr>
          <w:rFonts w:asciiTheme="minorBidi" w:hAnsiTheme="minorBidi"/>
          <w:color w:val="000000"/>
          <w:sz w:val="18"/>
          <w:szCs w:val="18"/>
          <w:rtl/>
        </w:rPr>
        <w:t xml:space="preserve"> (בסדר ר"י מינץ) או שלא כתב בשני רק שני (בסדר גיטין) או שכתב ראשי תיבות כגון שהיה לו לכתוב שנים עשר וכתב י"ב</w:t>
      </w:r>
      <w:r w:rsidRPr="00351B7D">
        <w:rPr>
          <w:rStyle w:val="a7"/>
          <w:rFonts w:asciiTheme="minorBidi" w:hAnsiTheme="minorBidi"/>
          <w:color w:val="000000"/>
          <w:sz w:val="18"/>
          <w:szCs w:val="18"/>
          <w:rtl/>
        </w:rPr>
        <w:footnoteReference w:id="3382"/>
      </w:r>
      <w:r w:rsidRPr="00351B7D">
        <w:rPr>
          <w:rFonts w:asciiTheme="minorBidi" w:hAnsiTheme="minorBidi"/>
          <w:color w:val="000000"/>
          <w:sz w:val="18"/>
          <w:szCs w:val="18"/>
          <w:rtl/>
        </w:rPr>
        <w:t xml:space="preserve"> (בשם הרב מטרוני) כשר</w:t>
      </w:r>
      <w:r w:rsidRPr="00351B7D">
        <w:rPr>
          <w:rStyle w:val="a7"/>
          <w:rFonts w:asciiTheme="minorBidi" w:hAnsiTheme="minorBidi"/>
          <w:color w:val="000000"/>
          <w:sz w:val="18"/>
          <w:szCs w:val="18"/>
          <w:rtl/>
        </w:rPr>
        <w:footnoteReference w:id="3383"/>
      </w:r>
      <w:r w:rsidRPr="00351B7D">
        <w:rPr>
          <w:rFonts w:asciiTheme="minorBidi" w:hAnsiTheme="minorBidi"/>
          <w:color w:val="000000"/>
          <w:sz w:val="18"/>
          <w:szCs w:val="18"/>
          <w:rtl/>
        </w:rPr>
        <w:t>.</w:t>
      </w:r>
      <w:r w:rsidRPr="00351B7D">
        <w:rPr>
          <w:rFonts w:asciiTheme="minorBidi" w:hAnsiTheme="minorBidi"/>
          <w:rtl/>
        </w:rPr>
        <w:t xml:space="preserve"> וכן באחד ועשרים בשנים ועשרים בשלשה ועשרים וכן כולם. </w:t>
      </w:r>
    </w:p>
    <w:p w14:paraId="7B78E709" w14:textId="77777777" w:rsidR="007D6167" w:rsidRPr="00351B7D" w:rsidRDefault="007D6167" w:rsidP="007D6167">
      <w:pPr>
        <w:rPr>
          <w:rFonts w:asciiTheme="minorBidi" w:hAnsiTheme="minorBidi"/>
          <w:rtl/>
        </w:rPr>
      </w:pPr>
    </w:p>
    <w:p w14:paraId="68443D94" w14:textId="77777777" w:rsidR="007D6167" w:rsidRPr="00351B7D" w:rsidRDefault="007D6167" w:rsidP="007D6167">
      <w:pPr>
        <w:pStyle w:val="2"/>
        <w:rPr>
          <w:rFonts w:asciiTheme="minorBidi" w:hAnsiTheme="minorBidi"/>
          <w:rtl/>
        </w:rPr>
      </w:pPr>
      <w:r w:rsidRPr="00351B7D">
        <w:rPr>
          <w:rFonts w:asciiTheme="minorBidi" w:hAnsiTheme="minorBidi"/>
          <w:rtl/>
        </w:rPr>
        <w:t>סעיף ה: כתיבת השנים.</w:t>
      </w:r>
    </w:p>
    <w:p w14:paraId="1CFB339B" w14:textId="77777777" w:rsidR="007D6167" w:rsidRPr="00351B7D" w:rsidRDefault="007D6167" w:rsidP="007D6167">
      <w:pPr>
        <w:rPr>
          <w:rFonts w:asciiTheme="minorBidi" w:hAnsiTheme="minorBidi"/>
          <w:rtl/>
        </w:rPr>
      </w:pPr>
      <w:r w:rsidRPr="00351B7D">
        <w:rPr>
          <w:rFonts w:asciiTheme="minorBidi" w:hAnsiTheme="minorBidi"/>
          <w:b/>
          <w:bCs/>
          <w:rtl/>
        </w:rPr>
        <w:t xml:space="preserve">יומא נה ע"א: </w:t>
      </w:r>
      <w:r w:rsidRPr="00351B7D">
        <w:rPr>
          <w:rFonts w:asciiTheme="minorBidi" w:hAnsiTheme="minorBidi"/>
          <w:rtl/>
        </w:rPr>
        <w:t xml:space="preserve">תנו רבנן: אחת, אחת ואחת, אחת ושתים, אחת ושלש, אחת וארבע, אחת וחמש, אחת ושש, אחת ושבע, </w:t>
      </w:r>
      <w:r w:rsidRPr="00351B7D">
        <w:rPr>
          <w:rFonts w:asciiTheme="minorBidi" w:hAnsiTheme="minorBidi"/>
          <w:u w:val="single"/>
          <w:rtl/>
        </w:rPr>
        <w:t>דברי רבי מאיר</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אחת, אחת ואחת, שתים ואחת, שלש ואחת, ארבע ואחת, חמש ואחת, שש ואחת, שבע ואחת. ולא פליגי; מר כי אתריה</w:t>
      </w:r>
      <w:r w:rsidRPr="00351B7D">
        <w:rPr>
          <w:rStyle w:val="a7"/>
          <w:rFonts w:asciiTheme="minorBidi" w:hAnsiTheme="minorBidi"/>
          <w:rtl/>
        </w:rPr>
        <w:footnoteReference w:id="3384"/>
      </w:r>
      <w:r w:rsidRPr="00351B7D">
        <w:rPr>
          <w:rFonts w:asciiTheme="minorBidi" w:hAnsiTheme="minorBidi"/>
          <w:rtl/>
        </w:rPr>
        <w:t xml:space="preserve"> ומר כי אתריה.</w:t>
      </w:r>
    </w:p>
    <w:p w14:paraId="6BF776CE" w14:textId="77777777" w:rsidR="007D6167" w:rsidRPr="00351B7D" w:rsidRDefault="007D6167" w:rsidP="007D6167">
      <w:pPr>
        <w:rPr>
          <w:rFonts w:asciiTheme="minorBidi" w:hAnsiTheme="minorBidi"/>
          <w:sz w:val="16"/>
          <w:szCs w:val="16"/>
          <w:rtl/>
        </w:rPr>
      </w:pPr>
      <w:r w:rsidRPr="00351B7D">
        <w:rPr>
          <w:rFonts w:asciiTheme="minorBidi" w:hAnsiTheme="minorBidi"/>
          <w:u w:val="single"/>
          <w:rtl/>
        </w:rPr>
        <w:t xml:space="preserve">במנין </w:t>
      </w:r>
      <w:r w:rsidRPr="00351B7D">
        <w:rPr>
          <w:rFonts w:asciiTheme="minorBidi" w:hAnsiTheme="minorBidi"/>
          <w:b/>
          <w:bCs/>
          <w:u w:val="single"/>
          <w:rtl/>
        </w:rPr>
        <w:t>הימים</w:t>
      </w:r>
      <w:r w:rsidRPr="00351B7D">
        <w:rPr>
          <w:rFonts w:asciiTheme="minorBidi" w:hAnsiTheme="minorBidi"/>
          <w:u w:val="single"/>
          <w:rtl/>
        </w:rPr>
        <w:t xml:space="preserve"> </w:t>
      </w:r>
      <w:r w:rsidRPr="00351B7D">
        <w:rPr>
          <w:rFonts w:asciiTheme="minorBidi" w:hAnsiTheme="minorBidi"/>
          <w:b/>
          <w:bCs/>
          <w:u w:val="single"/>
          <w:rtl/>
        </w:rPr>
        <w:t>והשנים</w:t>
      </w:r>
      <w:r w:rsidRPr="00351B7D">
        <w:rPr>
          <w:rFonts w:asciiTheme="minorBidi" w:hAnsiTheme="minorBidi"/>
          <w:u w:val="single"/>
          <w:rtl/>
        </w:rPr>
        <w:t>- האם מזכירין קודם המנין הגדול או הקטן:</w:t>
      </w:r>
      <w:r w:rsidRPr="00351B7D">
        <w:rPr>
          <w:rFonts w:asciiTheme="minorBidi" w:hAnsiTheme="minorBidi"/>
          <w:sz w:val="16"/>
          <w:szCs w:val="16"/>
          <w:rtl/>
        </w:rPr>
        <w:t xml:space="preserve">   (ב"י, ודרכ"מ [אות י"א])</w:t>
      </w:r>
    </w:p>
    <w:p w14:paraId="0F95B134" w14:textId="77777777" w:rsidR="007D6167" w:rsidRPr="00351B7D" w:rsidRDefault="007D6167" w:rsidP="00B75458">
      <w:pPr>
        <w:pStyle w:val="ab"/>
        <w:numPr>
          <w:ilvl w:val="0"/>
          <w:numId w:val="213"/>
        </w:numPr>
        <w:rPr>
          <w:rFonts w:asciiTheme="minorBidi" w:hAnsiTheme="minorBidi"/>
        </w:rPr>
      </w:pPr>
      <w:r w:rsidRPr="00351B7D">
        <w:rPr>
          <w:rFonts w:asciiTheme="minorBidi" w:hAnsiTheme="minorBidi"/>
          <w:rtl/>
        </w:rPr>
        <w:t>ה"ר פרץ</w:t>
      </w:r>
      <w:r w:rsidRPr="00351B7D">
        <w:rPr>
          <w:rStyle w:val="a7"/>
          <w:rFonts w:asciiTheme="minorBidi" w:hAnsiTheme="minorBidi"/>
          <w:rtl/>
        </w:rPr>
        <w:footnoteReference w:id="3385"/>
      </w:r>
      <w:r w:rsidRPr="00351B7D">
        <w:rPr>
          <w:rFonts w:asciiTheme="minorBidi" w:hAnsiTheme="minorBidi"/>
          <w:rtl/>
        </w:rPr>
        <w:t xml:space="preserve"> וטור- בימים מנין המועט קודם, ובשנים מעשרים ואילך כותב המנין הגדול קודם. (וכ"פ ב"ש</w:t>
      </w:r>
      <w:r w:rsidRPr="00351B7D">
        <w:rPr>
          <w:rFonts w:asciiTheme="minorBidi" w:hAnsiTheme="minorBidi"/>
          <w:sz w:val="16"/>
          <w:szCs w:val="16"/>
          <w:rtl/>
        </w:rPr>
        <w:t xml:space="preserve"> </w:t>
      </w:r>
      <w:r w:rsidRPr="00351B7D">
        <w:rPr>
          <w:rFonts w:asciiTheme="minorBidi" w:hAnsiTheme="minorBidi"/>
          <w:sz w:val="14"/>
          <w:szCs w:val="14"/>
          <w:rtl/>
        </w:rPr>
        <w:t>[סקי"ד]</w:t>
      </w:r>
      <w:r w:rsidRPr="00351B7D">
        <w:rPr>
          <w:rFonts w:asciiTheme="minorBidi" w:hAnsiTheme="minorBidi"/>
          <w:rtl/>
        </w:rPr>
        <w:t>)</w:t>
      </w:r>
    </w:p>
    <w:p w14:paraId="7CBBCECF" w14:textId="77777777" w:rsidR="007D6167" w:rsidRPr="00351B7D" w:rsidRDefault="007D6167" w:rsidP="00B75458">
      <w:pPr>
        <w:pStyle w:val="ab"/>
        <w:numPr>
          <w:ilvl w:val="0"/>
          <w:numId w:val="213"/>
        </w:numPr>
        <w:rPr>
          <w:rFonts w:asciiTheme="minorBidi" w:hAnsiTheme="minorBidi"/>
        </w:rPr>
      </w:pPr>
      <w:r w:rsidRPr="00351B7D">
        <w:rPr>
          <w:rFonts w:asciiTheme="minorBidi" w:hAnsiTheme="minorBidi"/>
          <w:rtl/>
        </w:rPr>
        <w:t xml:space="preserve">סמ"ק </w:t>
      </w:r>
      <w:r w:rsidRPr="00351B7D">
        <w:rPr>
          <w:rFonts w:asciiTheme="minorBidi" w:hAnsiTheme="minorBidi"/>
          <w:sz w:val="16"/>
          <w:szCs w:val="16"/>
          <w:rtl/>
        </w:rPr>
        <w:t>(סי' קפד עמ' קנ)</w:t>
      </w:r>
      <w:r w:rsidRPr="00351B7D">
        <w:rPr>
          <w:rFonts w:asciiTheme="minorBidi" w:hAnsiTheme="minorBidi"/>
          <w:rtl/>
        </w:rPr>
        <w:t>- מנין הקטן קודם עד שיגיע לעשרים ומכאן ואילך המנין הגדול קודם</w:t>
      </w:r>
      <w:r w:rsidRPr="00351B7D">
        <w:rPr>
          <w:rStyle w:val="a7"/>
          <w:rFonts w:asciiTheme="minorBidi" w:hAnsiTheme="minorBidi"/>
          <w:rtl/>
        </w:rPr>
        <w:footnoteReference w:id="3386"/>
      </w:r>
      <w:r w:rsidRPr="00351B7D">
        <w:rPr>
          <w:rFonts w:asciiTheme="minorBidi" w:hAnsiTheme="minorBidi"/>
          <w:rtl/>
        </w:rPr>
        <w:t xml:space="preserve">. </w:t>
      </w:r>
    </w:p>
    <w:p w14:paraId="4BF9E0DF" w14:textId="77777777" w:rsidR="007D6167" w:rsidRPr="00351B7D" w:rsidRDefault="007D6167" w:rsidP="00B75458">
      <w:pPr>
        <w:pStyle w:val="ab"/>
        <w:numPr>
          <w:ilvl w:val="0"/>
          <w:numId w:val="213"/>
        </w:numPr>
        <w:rPr>
          <w:rFonts w:asciiTheme="minorBidi" w:hAnsiTheme="minorBidi"/>
        </w:rPr>
      </w:pPr>
      <w:r w:rsidRPr="00351B7D">
        <w:rPr>
          <w:rFonts w:asciiTheme="minorBidi" w:hAnsiTheme="minorBidi"/>
          <w:rtl/>
        </w:rPr>
        <w:t>סדר גיטין מהר"י מינץ ומהרי"ו</w:t>
      </w:r>
      <w:r w:rsidRPr="00351B7D">
        <w:rPr>
          <w:rStyle w:val="a7"/>
          <w:rFonts w:asciiTheme="minorBidi" w:hAnsiTheme="minorBidi"/>
          <w:rtl/>
        </w:rPr>
        <w:footnoteReference w:id="3387"/>
      </w:r>
      <w:r w:rsidRPr="00351B7D">
        <w:rPr>
          <w:rFonts w:asciiTheme="minorBidi" w:hAnsiTheme="minorBidi"/>
          <w:rtl/>
        </w:rPr>
        <w:t xml:space="preserve">- אין קפידא בדבר </w:t>
      </w:r>
      <w:r w:rsidRPr="00351B7D">
        <w:rPr>
          <w:rFonts w:asciiTheme="minorBidi" w:hAnsiTheme="minorBidi"/>
          <w:sz w:val="16"/>
          <w:szCs w:val="16"/>
          <w:rtl/>
        </w:rPr>
        <w:t>(כדאמרינן ביומא נה.)</w:t>
      </w:r>
      <w:r w:rsidRPr="00351B7D">
        <w:rPr>
          <w:rStyle w:val="a7"/>
          <w:rFonts w:asciiTheme="minorBidi" w:hAnsiTheme="minorBidi"/>
          <w:rtl/>
        </w:rPr>
        <w:footnoteReference w:id="3388"/>
      </w:r>
      <w:r w:rsidRPr="00351B7D">
        <w:rPr>
          <w:rFonts w:asciiTheme="minorBidi" w:hAnsiTheme="minorBidi"/>
          <w:rtl/>
        </w:rPr>
        <w:t>. (וכ"פ בב"י) (</w:t>
      </w:r>
      <w:r w:rsidRPr="00351B7D">
        <w:rPr>
          <w:rFonts w:asciiTheme="minorBidi" w:hAnsiTheme="minorBidi"/>
          <w:color w:val="000000"/>
          <w:rtl/>
        </w:rPr>
        <w:t>וכ"כ גט פשוט</w:t>
      </w:r>
      <w:r w:rsidRPr="00351B7D">
        <w:rPr>
          <w:rFonts w:asciiTheme="minorBidi" w:hAnsiTheme="minorBidi"/>
          <w:color w:val="000000"/>
          <w:sz w:val="16"/>
          <w:szCs w:val="16"/>
          <w:rtl/>
        </w:rPr>
        <w:t xml:space="preserve"> </w:t>
      </w:r>
      <w:r w:rsidRPr="00351B7D">
        <w:rPr>
          <w:rFonts w:asciiTheme="minorBidi" w:hAnsiTheme="minorBidi"/>
          <w:color w:val="000000"/>
          <w:sz w:val="14"/>
          <w:szCs w:val="14"/>
          <w:rtl/>
        </w:rPr>
        <w:t>[סקכ"ה]</w:t>
      </w:r>
      <w:r w:rsidRPr="00351B7D">
        <w:rPr>
          <w:rFonts w:asciiTheme="minorBidi" w:hAnsiTheme="minorBidi"/>
          <w:color w:val="000000"/>
          <w:rtl/>
        </w:rPr>
        <w:t>)</w:t>
      </w:r>
    </w:p>
    <w:p w14:paraId="4C34A6A6" w14:textId="77777777" w:rsidR="007D6167" w:rsidRPr="00351B7D" w:rsidRDefault="007D6167" w:rsidP="00B75458">
      <w:pPr>
        <w:pStyle w:val="ab"/>
        <w:numPr>
          <w:ilvl w:val="0"/>
          <w:numId w:val="213"/>
        </w:numPr>
        <w:rPr>
          <w:rFonts w:asciiTheme="minorBidi" w:hAnsiTheme="minorBidi"/>
        </w:rPr>
      </w:pPr>
      <w:r w:rsidRPr="00351B7D">
        <w:rPr>
          <w:rFonts w:asciiTheme="minorBidi" w:hAnsiTheme="minorBidi"/>
          <w:rtl/>
        </w:rPr>
        <w:t xml:space="preserve">כל בו </w:t>
      </w:r>
      <w:r w:rsidRPr="00351B7D">
        <w:rPr>
          <w:rFonts w:asciiTheme="minorBidi" w:hAnsiTheme="minorBidi"/>
          <w:sz w:val="16"/>
          <w:szCs w:val="16"/>
          <w:rtl/>
        </w:rPr>
        <w:t>(סי' עו)</w:t>
      </w:r>
      <w:r w:rsidRPr="00351B7D">
        <w:rPr>
          <w:rFonts w:asciiTheme="minorBidi" w:hAnsiTheme="minorBidi"/>
          <w:rtl/>
        </w:rPr>
        <w:t xml:space="preserve">- מנין המועט קודם. </w:t>
      </w:r>
    </w:p>
    <w:p w14:paraId="1AEA0DC4" w14:textId="77777777" w:rsidR="007D6167" w:rsidRPr="00351B7D" w:rsidRDefault="007D6167" w:rsidP="007D6167">
      <w:pPr>
        <w:rPr>
          <w:rFonts w:asciiTheme="minorBidi" w:hAnsiTheme="minorBidi"/>
          <w:rtl/>
        </w:rPr>
      </w:pPr>
      <w:r w:rsidRPr="00351B7D">
        <w:rPr>
          <w:rFonts w:asciiTheme="minorBidi" w:hAnsiTheme="minorBidi"/>
          <w:u w:val="single"/>
          <w:rtl/>
        </w:rPr>
        <w:t xml:space="preserve">בחשבון </w:t>
      </w:r>
      <w:r w:rsidRPr="00351B7D">
        <w:rPr>
          <w:rFonts w:asciiTheme="minorBidi" w:hAnsiTheme="minorBidi"/>
          <w:b/>
          <w:bCs/>
          <w:u w:val="single"/>
          <w:rtl/>
        </w:rPr>
        <w:t>השנים</w:t>
      </w:r>
      <w:r w:rsidRPr="00351B7D">
        <w:rPr>
          <w:rFonts w:asciiTheme="minorBidi" w:hAnsiTheme="minorBidi"/>
          <w:u w:val="single"/>
          <w:rtl/>
        </w:rPr>
        <w:t xml:space="preserve"> יכתוב לשון נקבה או לשון זכר:</w:t>
      </w:r>
      <w:r w:rsidRPr="00351B7D">
        <w:rPr>
          <w:rFonts w:asciiTheme="minorBidi" w:hAnsiTheme="minorBidi"/>
          <w:rtl/>
        </w:rPr>
        <w:t xml:space="preserve"> </w:t>
      </w:r>
      <w:r w:rsidRPr="00351B7D">
        <w:rPr>
          <w:rFonts w:asciiTheme="minorBidi" w:hAnsiTheme="minorBidi"/>
          <w:sz w:val="16"/>
          <w:szCs w:val="16"/>
          <w:rtl/>
        </w:rPr>
        <w:t xml:space="preserve">  (דרכ"מ [אות י]) </w:t>
      </w:r>
    </w:p>
    <w:p w14:paraId="201EDB6B" w14:textId="77777777" w:rsidR="007D6167" w:rsidRPr="00351B7D" w:rsidRDefault="007D6167" w:rsidP="00B75458">
      <w:pPr>
        <w:pStyle w:val="ab"/>
        <w:numPr>
          <w:ilvl w:val="0"/>
          <w:numId w:val="216"/>
        </w:numPr>
        <w:rPr>
          <w:rFonts w:asciiTheme="minorBidi" w:hAnsiTheme="minorBidi"/>
        </w:rPr>
      </w:pPr>
      <w:r w:rsidRPr="00351B7D">
        <w:rPr>
          <w:rFonts w:asciiTheme="minorBidi" w:hAnsiTheme="minorBidi"/>
          <w:rtl/>
        </w:rPr>
        <w:lastRenderedPageBreak/>
        <w:t>ה"ר פרץ סדר גיטין הגמ"ר וטור</w:t>
      </w:r>
      <w:r w:rsidRPr="00351B7D">
        <w:rPr>
          <w:rStyle w:val="a7"/>
          <w:rFonts w:asciiTheme="minorBidi" w:hAnsiTheme="minorBidi"/>
          <w:rtl/>
        </w:rPr>
        <w:footnoteReference w:id="3389"/>
      </w:r>
      <w:r w:rsidRPr="00351B7D">
        <w:rPr>
          <w:rFonts w:asciiTheme="minorBidi" w:hAnsiTheme="minorBidi"/>
          <w:rtl/>
        </w:rPr>
        <w:t>- "בלשון נקבה, כגון בשנת חמשת אלפים ואחת לבריאת עולם, שתים שלש ארבע כולם בלא ה"א לבסוף, וכן אחת עשרה שתים עשרה עד עשרים, ומשם ואילך עשרים ואחת עשרים ושתים עשרים ושלש המנין המועט לשון נקבה, וכן לעולם</w:t>
      </w:r>
      <w:r w:rsidRPr="00351B7D">
        <w:rPr>
          <w:rFonts w:asciiTheme="minorBidi" w:hAnsiTheme="minorBidi"/>
          <w:sz w:val="16"/>
          <w:szCs w:val="16"/>
          <w:rtl/>
        </w:rPr>
        <w:t xml:space="preserve"> (ל' הטור בשם ר"פ)</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5AD448B9"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F6CB88" w14:textId="77777777" w:rsidR="007D6167" w:rsidRPr="00351B7D" w:rsidRDefault="007D6167" w:rsidP="007D6167">
      <w:pPr>
        <w:rPr>
          <w:rFonts w:asciiTheme="minorBidi" w:hAnsiTheme="minorBidi"/>
          <w:color w:val="000000"/>
          <w:sz w:val="16"/>
          <w:szCs w:val="16"/>
          <w:rtl/>
        </w:rPr>
      </w:pPr>
      <w:r w:rsidRPr="00351B7D">
        <w:rPr>
          <w:rFonts w:asciiTheme="minorBidi" w:hAnsiTheme="minorBidi"/>
          <w:rtl/>
        </w:rPr>
        <w:t>בחשבון השנים יכתוב לשון נקבה, בשנת חמשת אלפים ואחת לבריאת עולם, שתים שלש ארבע, כולם בלא ה"א לבסוף, וכן אחת עשרה</w:t>
      </w:r>
      <w:r w:rsidRPr="00351B7D">
        <w:rPr>
          <w:rStyle w:val="a7"/>
          <w:rFonts w:asciiTheme="minorBidi" w:hAnsiTheme="minorBidi"/>
          <w:color w:val="000000"/>
          <w:rtl/>
        </w:rPr>
        <w:footnoteReference w:id="3390"/>
      </w:r>
      <w:r w:rsidRPr="00351B7D">
        <w:rPr>
          <w:rFonts w:asciiTheme="minorBidi" w:hAnsiTheme="minorBidi"/>
          <w:rtl/>
        </w:rPr>
        <w:t xml:space="preserve"> שתים עשרה עד עשרים, ומשם ואילך עשרים ואחת עשרים ושתים עשרים ושלש, המנין המועט לשון נקיבה, וכן לעולם.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ויכתוב בשנים מנין המרובה קודם, אבל בימים יכתוב מנין המועט קודם</w:t>
      </w:r>
      <w:r w:rsidRPr="00351B7D">
        <w:rPr>
          <w:rStyle w:val="a7"/>
          <w:rFonts w:asciiTheme="minorBidi" w:hAnsiTheme="minorBidi"/>
          <w:color w:val="000000"/>
          <w:sz w:val="18"/>
          <w:szCs w:val="18"/>
          <w:rtl/>
        </w:rPr>
        <w:footnoteReference w:id="3391"/>
      </w:r>
      <w:r w:rsidRPr="00351B7D">
        <w:rPr>
          <w:rFonts w:asciiTheme="minorBidi" w:hAnsiTheme="minorBidi"/>
          <w:color w:val="000000"/>
          <w:sz w:val="18"/>
          <w:szCs w:val="18"/>
          <w:rtl/>
        </w:rPr>
        <w:t>, אחד ועשרים שנים ועשרים וכו'. ואם כתב מנין המרובה קודם או להיפך שכתב בשנים מנין המועט קודם, כשר (ב"י). כתב לשון זכר במקום לשון נקבה, כגון שהיה לו לכתוב חמש וכתב חמשה, כשר</w:t>
      </w:r>
      <w:r w:rsidRPr="00351B7D">
        <w:rPr>
          <w:rStyle w:val="a7"/>
          <w:rFonts w:asciiTheme="minorBidi" w:hAnsiTheme="minorBidi"/>
          <w:color w:val="000000"/>
          <w:sz w:val="18"/>
          <w:szCs w:val="18"/>
          <w:rtl/>
        </w:rPr>
        <w:footnoteReference w:id="3392"/>
      </w:r>
      <w:r w:rsidRPr="00351B7D">
        <w:rPr>
          <w:rFonts w:asciiTheme="minorBidi" w:hAnsiTheme="minorBidi"/>
          <w:color w:val="000000"/>
          <w:sz w:val="18"/>
          <w:szCs w:val="18"/>
          <w:rtl/>
        </w:rPr>
        <w:t>. (בשם מהרי"ל</w:t>
      </w:r>
      <w:r w:rsidRPr="00351B7D">
        <w:rPr>
          <w:rStyle w:val="a7"/>
          <w:rFonts w:asciiTheme="minorBidi" w:hAnsiTheme="minorBidi"/>
          <w:sz w:val="18"/>
          <w:szCs w:val="18"/>
          <w:rtl/>
        </w:rPr>
        <w:footnoteReference w:id="3393"/>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42EAF094" w14:textId="77777777" w:rsidR="007D6167" w:rsidRPr="00351B7D" w:rsidRDefault="007D6167" w:rsidP="007D6167">
      <w:pPr>
        <w:rPr>
          <w:rFonts w:asciiTheme="minorBidi" w:hAnsiTheme="minorBidi"/>
          <w:sz w:val="16"/>
          <w:szCs w:val="16"/>
          <w:rtl/>
        </w:rPr>
      </w:pPr>
      <w:r w:rsidRPr="00351B7D">
        <w:rPr>
          <w:rFonts w:asciiTheme="minorBidi" w:hAnsiTheme="minorBidi"/>
          <w:u w:val="single"/>
          <w:rtl/>
        </w:rPr>
        <w:t>אסופת דינים:</w:t>
      </w:r>
      <w:r w:rsidRPr="00351B7D">
        <w:rPr>
          <w:rFonts w:asciiTheme="minorBidi" w:hAnsiTheme="minorBidi"/>
          <w:sz w:val="16"/>
          <w:szCs w:val="16"/>
          <w:rtl/>
        </w:rPr>
        <w:t xml:space="preserve">    (פת"ש סק"ט-י)</w:t>
      </w:r>
    </w:p>
    <w:p w14:paraId="4A1C453E" w14:textId="77777777" w:rsidR="007D6167" w:rsidRPr="00351B7D" w:rsidRDefault="007D6167" w:rsidP="00B75458">
      <w:pPr>
        <w:pStyle w:val="ab"/>
        <w:numPr>
          <w:ilvl w:val="0"/>
          <w:numId w:val="218"/>
        </w:numPr>
        <w:rPr>
          <w:rFonts w:asciiTheme="minorBidi" w:hAnsiTheme="minorBidi"/>
          <w:rtl/>
        </w:rPr>
      </w:pPr>
      <w:r w:rsidRPr="00351B7D">
        <w:rPr>
          <w:rFonts w:asciiTheme="minorBidi" w:hAnsiTheme="minorBidi"/>
          <w:rtl/>
        </w:rPr>
        <w:t xml:space="preserve">לבוש וב"ש </w:t>
      </w:r>
      <w:r w:rsidRPr="00351B7D">
        <w:rPr>
          <w:rFonts w:asciiTheme="minorBidi" w:hAnsiTheme="minorBidi"/>
          <w:sz w:val="16"/>
          <w:szCs w:val="16"/>
          <w:rtl/>
        </w:rPr>
        <w:t>(סקט"ז)</w:t>
      </w:r>
      <w:r w:rsidRPr="00351B7D">
        <w:rPr>
          <w:rFonts w:asciiTheme="minorBidi" w:hAnsiTheme="minorBidi"/>
          <w:rtl/>
        </w:rPr>
        <w:t>- אם כתב במקום 'אחד עשר' 'עשרה ואחד' צ"ע אם יש קפידא.</w:t>
      </w:r>
    </w:p>
    <w:p w14:paraId="39992F72" w14:textId="77777777" w:rsidR="007D6167" w:rsidRPr="00351B7D" w:rsidRDefault="007D6167" w:rsidP="00B75458">
      <w:pPr>
        <w:pStyle w:val="ab"/>
        <w:numPr>
          <w:ilvl w:val="0"/>
          <w:numId w:val="218"/>
        </w:numPr>
        <w:rPr>
          <w:rFonts w:asciiTheme="minorBidi" w:hAnsiTheme="minorBidi"/>
          <w:rtl/>
        </w:rPr>
      </w:pPr>
      <w:r w:rsidRPr="00351B7D">
        <w:rPr>
          <w:rFonts w:asciiTheme="minorBidi" w:hAnsiTheme="minorBidi"/>
          <w:rtl/>
        </w:rPr>
        <w:t>ח"מ</w:t>
      </w:r>
      <w:r w:rsidRPr="00351B7D">
        <w:rPr>
          <w:rFonts w:asciiTheme="minorBidi" w:hAnsiTheme="minorBidi"/>
          <w:sz w:val="16"/>
          <w:szCs w:val="16"/>
          <w:rtl/>
        </w:rPr>
        <w:t xml:space="preserve"> (סקט"ז)</w:t>
      </w:r>
      <w:r w:rsidRPr="00351B7D">
        <w:rPr>
          <w:rFonts w:asciiTheme="minorBidi" w:hAnsiTheme="minorBidi"/>
          <w:rtl/>
        </w:rPr>
        <w:t>- יש להסתפק אם כתב אחת במקום שראוי לכתוב אחד או להפך אם ג"כ כשר.</w:t>
      </w:r>
    </w:p>
    <w:p w14:paraId="44BDECAC" w14:textId="77777777" w:rsidR="007D6167" w:rsidRPr="00351B7D" w:rsidRDefault="007D6167" w:rsidP="00B75458">
      <w:pPr>
        <w:pStyle w:val="ab"/>
        <w:numPr>
          <w:ilvl w:val="0"/>
          <w:numId w:val="218"/>
        </w:numPr>
        <w:rPr>
          <w:rFonts w:asciiTheme="minorBidi" w:hAnsiTheme="minorBidi"/>
          <w:color w:val="000000"/>
        </w:rPr>
      </w:pPr>
      <w:r w:rsidRPr="00351B7D">
        <w:rPr>
          <w:rFonts w:asciiTheme="minorBidi" w:hAnsiTheme="minorBidi"/>
          <w:color w:val="000000"/>
          <w:rtl/>
        </w:rPr>
        <w:t xml:space="preserve">תורת גיטין </w:t>
      </w:r>
      <w:r w:rsidRPr="00351B7D">
        <w:rPr>
          <w:rFonts w:asciiTheme="minorBidi" w:hAnsiTheme="minorBidi"/>
          <w:color w:val="000000"/>
          <w:sz w:val="16"/>
          <w:szCs w:val="16"/>
          <w:rtl/>
        </w:rPr>
        <w:t>(ביאורים סק"א)</w:t>
      </w:r>
      <w:r w:rsidRPr="00351B7D">
        <w:rPr>
          <w:rFonts w:asciiTheme="minorBidi" w:hAnsiTheme="minorBidi"/>
          <w:color w:val="000000"/>
          <w:rtl/>
        </w:rPr>
        <w:t>- נראה דבזמן אין שום טעות פוסל כל שהזמן מוכח מתוך הגט שאינו לא מוקדם ולא מאוחר, וראיה מסע' כ"א.</w:t>
      </w:r>
    </w:p>
    <w:p w14:paraId="452D6E88" w14:textId="77777777" w:rsidR="007D6167" w:rsidRPr="00351B7D" w:rsidRDefault="007D6167" w:rsidP="00B75458">
      <w:pPr>
        <w:pStyle w:val="ab"/>
        <w:numPr>
          <w:ilvl w:val="0"/>
          <w:numId w:val="218"/>
        </w:numPr>
        <w:rPr>
          <w:rFonts w:asciiTheme="minorBidi" w:hAnsiTheme="minorBidi"/>
          <w:color w:val="000000"/>
        </w:rPr>
      </w:pPr>
      <w:r w:rsidRPr="00351B7D">
        <w:rPr>
          <w:rFonts w:asciiTheme="minorBidi" w:hAnsiTheme="minorBidi"/>
          <w:color w:val="000000"/>
          <w:rtl/>
        </w:rPr>
        <w:t xml:space="preserve">פר"ח </w:t>
      </w:r>
      <w:r w:rsidRPr="00351B7D">
        <w:rPr>
          <w:rFonts w:asciiTheme="minorBidi" w:hAnsiTheme="minorBidi"/>
          <w:color w:val="000000"/>
          <w:sz w:val="16"/>
          <w:szCs w:val="16"/>
          <w:rtl/>
        </w:rPr>
        <w:t xml:space="preserve">(סע' סב) </w:t>
      </w:r>
      <w:r w:rsidRPr="00351B7D">
        <w:rPr>
          <w:rFonts w:asciiTheme="minorBidi" w:hAnsiTheme="minorBidi"/>
          <w:color w:val="000000"/>
          <w:rtl/>
        </w:rPr>
        <w:t>ובית מאיר- אין לכתוב 'חמישים' בב' יודין, אלא באחת, וכן כתוב בתורה.</w:t>
      </w:r>
    </w:p>
    <w:p w14:paraId="7AF62E65" w14:textId="77777777" w:rsidR="007D6167" w:rsidRPr="00351B7D" w:rsidRDefault="007D6167" w:rsidP="00B75458">
      <w:pPr>
        <w:pStyle w:val="ab"/>
        <w:numPr>
          <w:ilvl w:val="0"/>
          <w:numId w:val="218"/>
        </w:numPr>
        <w:rPr>
          <w:rFonts w:asciiTheme="minorBidi" w:hAnsiTheme="minorBidi"/>
          <w:color w:val="000000"/>
          <w:rtl/>
        </w:rPr>
      </w:pPr>
      <w:r w:rsidRPr="00351B7D">
        <w:rPr>
          <w:rFonts w:asciiTheme="minorBidi" w:hAnsiTheme="minorBidi"/>
          <w:color w:val="000000"/>
          <w:rtl/>
        </w:rPr>
        <w:t xml:space="preserve">פנמ"א </w:t>
      </w:r>
      <w:r w:rsidRPr="00351B7D">
        <w:rPr>
          <w:rFonts w:asciiTheme="minorBidi" w:hAnsiTheme="minorBidi"/>
          <w:color w:val="000000"/>
          <w:sz w:val="16"/>
          <w:szCs w:val="16"/>
          <w:rtl/>
        </w:rPr>
        <w:t>(ח"ב סי' פז)</w:t>
      </w:r>
      <w:r w:rsidRPr="00351B7D">
        <w:rPr>
          <w:rFonts w:asciiTheme="minorBidi" w:hAnsiTheme="minorBidi"/>
          <w:color w:val="000000"/>
          <w:rtl/>
        </w:rPr>
        <w:t>- תיבת 'שמונים' יש לכתוב חסר</w:t>
      </w:r>
      <w:r w:rsidRPr="00351B7D">
        <w:rPr>
          <w:rFonts w:asciiTheme="minorBidi" w:hAnsiTheme="minorBidi"/>
          <w:color w:val="000000"/>
          <w:sz w:val="16"/>
          <w:szCs w:val="16"/>
          <w:rtl/>
        </w:rPr>
        <w:t xml:space="preserve"> ('שמנים')</w:t>
      </w:r>
      <w:r w:rsidRPr="00351B7D">
        <w:rPr>
          <w:rFonts w:asciiTheme="minorBidi" w:hAnsiTheme="minorBidi"/>
          <w:color w:val="000000"/>
          <w:rtl/>
        </w:rPr>
        <w:t>, דבמסורה הרוב שמונים שבמקרא חסרים, וכבר כתב הרמ"א בסי' קכ"ט סל"א שדבר הנמצא בכתוב לפעמים חסר ולפעמים מלא הולכים אחר הרוב</w:t>
      </w:r>
      <w:r w:rsidRPr="00351B7D">
        <w:rPr>
          <w:rStyle w:val="a7"/>
          <w:rFonts w:asciiTheme="minorBidi" w:hAnsiTheme="minorBidi"/>
          <w:color w:val="000000"/>
          <w:rtl/>
        </w:rPr>
        <w:footnoteReference w:id="3394"/>
      </w:r>
      <w:r w:rsidRPr="00351B7D">
        <w:rPr>
          <w:rFonts w:asciiTheme="minorBidi" w:hAnsiTheme="minorBidi"/>
          <w:color w:val="000000"/>
          <w:rtl/>
        </w:rPr>
        <w:t xml:space="preserve">. </w:t>
      </w:r>
    </w:p>
    <w:p w14:paraId="515ED479" w14:textId="77777777" w:rsidR="007D6167" w:rsidRPr="00351B7D" w:rsidRDefault="007D6167" w:rsidP="007D6167">
      <w:pPr>
        <w:rPr>
          <w:rFonts w:asciiTheme="minorBidi" w:hAnsiTheme="minorBidi"/>
          <w:color w:val="000000"/>
          <w:rtl/>
        </w:rPr>
      </w:pPr>
    </w:p>
    <w:p w14:paraId="3E0A027E" w14:textId="77777777" w:rsidR="007D6167" w:rsidRPr="00351B7D" w:rsidRDefault="007D6167" w:rsidP="007D6167">
      <w:pPr>
        <w:pStyle w:val="2"/>
        <w:rPr>
          <w:rFonts w:asciiTheme="minorBidi" w:hAnsiTheme="minorBidi"/>
          <w:rtl/>
        </w:rPr>
      </w:pPr>
      <w:r w:rsidRPr="00351B7D">
        <w:rPr>
          <w:rFonts w:asciiTheme="minorBidi" w:hAnsiTheme="minorBidi"/>
          <w:rtl/>
        </w:rPr>
        <w:t>סעיף ו: כתיבת ר"ח כשהוא ב' ימים.</w:t>
      </w:r>
    </w:p>
    <w:p w14:paraId="210E8221" w14:textId="77777777" w:rsidR="007D6167" w:rsidRPr="00351B7D" w:rsidRDefault="007D6167" w:rsidP="007D6167">
      <w:pPr>
        <w:rPr>
          <w:rFonts w:asciiTheme="minorBidi" w:hAnsiTheme="minorBidi"/>
          <w:rtl/>
        </w:rPr>
      </w:pPr>
      <w:r w:rsidRPr="00351B7D">
        <w:rPr>
          <w:rFonts w:asciiTheme="minorBidi" w:hAnsiTheme="minorBidi"/>
          <w:u w:val="single"/>
          <w:rtl/>
        </w:rPr>
        <w:t>כיצד לכתוב יום ר"ח</w:t>
      </w:r>
      <w:r w:rsidRPr="00351B7D">
        <w:rPr>
          <w:rFonts w:asciiTheme="minorBidi" w:hAnsiTheme="minorBidi"/>
          <w:sz w:val="16"/>
          <w:szCs w:val="16"/>
          <w:u w:val="single"/>
          <w:rtl/>
        </w:rPr>
        <w:t xml:space="preserve"> (כשהר"ח הוא ב' ימים)</w:t>
      </w:r>
      <w:r w:rsidRPr="00351B7D">
        <w:rPr>
          <w:rFonts w:asciiTheme="minorBidi" w:hAnsiTheme="minorBidi"/>
          <w:u w:val="single"/>
          <w:rtl/>
        </w:rPr>
        <w:t>:</w:t>
      </w:r>
      <w:r w:rsidRPr="00351B7D">
        <w:rPr>
          <w:rFonts w:asciiTheme="minorBidi" w:hAnsiTheme="minorBidi"/>
          <w:sz w:val="16"/>
          <w:szCs w:val="16"/>
          <w:rtl/>
        </w:rPr>
        <w:t xml:space="preserve">      </w:t>
      </w:r>
    </w:p>
    <w:p w14:paraId="44A2E41C" w14:textId="77777777" w:rsidR="007D6167" w:rsidRPr="00351B7D" w:rsidRDefault="007D6167" w:rsidP="00B75458">
      <w:pPr>
        <w:pStyle w:val="ab"/>
        <w:numPr>
          <w:ilvl w:val="0"/>
          <w:numId w:val="217"/>
        </w:numPr>
        <w:rPr>
          <w:rFonts w:asciiTheme="minorBidi" w:hAnsiTheme="minorBidi"/>
        </w:rPr>
      </w:pPr>
      <w:r w:rsidRPr="00351B7D">
        <w:rPr>
          <w:rFonts w:asciiTheme="minorBidi" w:hAnsiTheme="minorBidi"/>
          <w:rtl/>
        </w:rPr>
        <w:t>ה"ר פרץ</w:t>
      </w:r>
      <w:r w:rsidRPr="00351B7D">
        <w:rPr>
          <w:rStyle w:val="a7"/>
          <w:rFonts w:asciiTheme="minorBidi" w:hAnsiTheme="minorBidi"/>
          <w:rtl/>
        </w:rPr>
        <w:footnoteReference w:id="3395"/>
      </w:r>
      <w:r w:rsidRPr="00351B7D">
        <w:rPr>
          <w:rFonts w:asciiTheme="minorBidi" w:hAnsiTheme="minorBidi"/>
          <w:rtl/>
        </w:rPr>
        <w:t>- אם יכתוב גט ביום ראשון של חדש אייר יכתוב 'ביום ל' לחדש ניסן שהוא ר"ח אייר'</w:t>
      </w:r>
      <w:r w:rsidRPr="00351B7D">
        <w:rPr>
          <w:rStyle w:val="a7"/>
          <w:rFonts w:asciiTheme="minorBidi" w:hAnsiTheme="minorBidi"/>
          <w:rtl/>
        </w:rPr>
        <w:footnoteReference w:id="3396"/>
      </w:r>
      <w:r w:rsidRPr="00351B7D">
        <w:rPr>
          <w:rFonts w:asciiTheme="minorBidi" w:hAnsiTheme="minorBidi"/>
          <w:rtl/>
        </w:rPr>
        <w:t>, וכן בכל ראשי חדשים שהם ב' ימים, וביום שני של ר"ח יכתוב באחד לירח פלוני כי חשבונו מיום השני.</w:t>
      </w:r>
      <w:r w:rsidRPr="00351B7D">
        <w:rPr>
          <w:rFonts w:asciiTheme="minorBidi" w:hAnsiTheme="minorBidi"/>
          <w:color w:val="E36C0A" w:themeColor="accent6" w:themeShade="BF"/>
          <w:rtl/>
        </w:rPr>
        <w:t xml:space="preserve"> (וכ"כ בשו"ע)</w:t>
      </w:r>
    </w:p>
    <w:p w14:paraId="3815E1E3" w14:textId="77777777" w:rsidR="007D6167" w:rsidRPr="00351B7D" w:rsidRDefault="007D6167" w:rsidP="00B75458">
      <w:pPr>
        <w:pStyle w:val="ab"/>
        <w:numPr>
          <w:ilvl w:val="0"/>
          <w:numId w:val="217"/>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78720" behindDoc="0" locked="0" layoutInCell="1" allowOverlap="1" wp14:anchorId="7D152571" wp14:editId="2F4A5251">
                <wp:simplePos x="0" y="0"/>
                <wp:positionH relativeFrom="column">
                  <wp:posOffset>4561840</wp:posOffset>
                </wp:positionH>
                <wp:positionV relativeFrom="paragraph">
                  <wp:posOffset>395605</wp:posOffset>
                </wp:positionV>
                <wp:extent cx="45085" cy="88900"/>
                <wp:effectExtent l="19050" t="0" r="31115" b="44450"/>
                <wp:wrapNone/>
                <wp:docPr id="20" name="Down Arrow 20"/>
                <wp:cNvGraphicFramePr/>
                <a:graphic xmlns:a="http://schemas.openxmlformats.org/drawingml/2006/main">
                  <a:graphicData uri="http://schemas.microsoft.com/office/word/2010/wordprocessingShape">
                    <wps:wsp>
                      <wps:cNvSpPr/>
                      <wps:spPr>
                        <a:xfrm>
                          <a:off x="0" y="0"/>
                          <a:ext cx="45085" cy="88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089E325" id="Down Arrow 20" o:spid="_x0000_s1026" type="#_x0000_t67" style="position:absolute;left:0;text-align:left;margin-left:359.2pt;margin-top:31.15pt;width:3.55pt;height: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" adj="16123" fillcolor="black [3200]" strokecolor="black [1600]" strokeweight="2pt"/>
            </w:pict>
          </mc:Fallback>
        </mc:AlternateContent>
      </w:r>
      <w:r w:rsidRPr="00351B7D">
        <w:rPr>
          <w:rFonts w:asciiTheme="minorBidi" w:hAnsiTheme="minorBidi"/>
          <w:rtl/>
        </w:rPr>
        <w:t>ר"ת רשב"א ור"ן</w:t>
      </w:r>
      <w:r w:rsidRPr="00351B7D">
        <w:rPr>
          <w:rStyle w:val="a7"/>
          <w:rFonts w:asciiTheme="minorBidi" w:hAnsiTheme="minorBidi"/>
          <w:rtl/>
        </w:rPr>
        <w:footnoteReference w:id="3397"/>
      </w:r>
      <w:r w:rsidRPr="00351B7D">
        <w:rPr>
          <w:rFonts w:asciiTheme="minorBidi" w:hAnsiTheme="minorBidi"/>
          <w:rtl/>
        </w:rPr>
        <w:t xml:space="preserve">- </w:t>
      </w:r>
      <w:r w:rsidRPr="00351B7D">
        <w:rPr>
          <w:rFonts w:asciiTheme="minorBidi" w:hAnsiTheme="minorBidi"/>
          <w:u w:val="single"/>
          <w:rtl/>
        </w:rPr>
        <w:t>בשטרות</w:t>
      </w:r>
      <w:r w:rsidRPr="00351B7D">
        <w:rPr>
          <w:rFonts w:asciiTheme="minorBidi" w:hAnsiTheme="minorBidi"/>
          <w:rtl/>
        </w:rPr>
        <w:t xml:space="preserve"> כותב את יום החודש הראשון 'בחודש פלוני' ואינו כותב על שם חודש שעבר</w:t>
      </w:r>
      <w:r w:rsidRPr="00351B7D">
        <w:rPr>
          <w:rStyle w:val="a7"/>
          <w:rFonts w:asciiTheme="minorBidi" w:hAnsiTheme="minorBidi"/>
          <w:rtl/>
        </w:rPr>
        <w:footnoteReference w:id="3398"/>
      </w:r>
      <w:r w:rsidRPr="00351B7D">
        <w:rPr>
          <w:rFonts w:asciiTheme="minorBidi" w:hAnsiTheme="minorBidi"/>
          <w:rtl/>
        </w:rPr>
        <w:t xml:space="preserve">, מיהו </w:t>
      </w:r>
      <w:r w:rsidRPr="00351B7D">
        <w:rPr>
          <w:rFonts w:asciiTheme="minorBidi" w:hAnsiTheme="minorBidi"/>
          <w:u w:val="single"/>
          <w:rtl/>
        </w:rPr>
        <w:t>בגיטין</w:t>
      </w:r>
      <w:r w:rsidRPr="00351B7D">
        <w:rPr>
          <w:rFonts w:asciiTheme="minorBidi" w:hAnsiTheme="minorBidi"/>
          <w:rtl/>
        </w:rPr>
        <w:t xml:space="preserve"> יש להחמיר</w:t>
      </w:r>
      <w:r w:rsidRPr="00351B7D">
        <w:rPr>
          <w:rStyle w:val="a7"/>
          <w:rFonts w:asciiTheme="minorBidi" w:hAnsiTheme="minorBidi"/>
          <w:rtl/>
        </w:rPr>
        <w:footnoteReference w:id="3399"/>
      </w:r>
      <w:r w:rsidRPr="00351B7D">
        <w:rPr>
          <w:rFonts w:asciiTheme="minorBidi" w:hAnsiTheme="minorBidi"/>
          <w:rtl/>
        </w:rPr>
        <w:t xml:space="preserve"> ולכתוב ביום שלשים לחודש תשרי שהוא ראש חודש מרחשון</w:t>
      </w:r>
      <w:r w:rsidRPr="00351B7D">
        <w:rPr>
          <w:rStyle w:val="a7"/>
          <w:rFonts w:asciiTheme="minorBidi" w:hAnsiTheme="minorBidi"/>
          <w:rtl/>
        </w:rPr>
        <w:footnoteReference w:id="3400"/>
      </w:r>
      <w:r w:rsidRPr="00351B7D">
        <w:rPr>
          <w:rFonts w:asciiTheme="minorBidi" w:hAnsiTheme="minorBidi"/>
          <w:rtl/>
        </w:rPr>
        <w:t>.</w:t>
      </w:r>
    </w:p>
    <w:p w14:paraId="3A878187" w14:textId="77777777" w:rsidR="007D6167" w:rsidRPr="00351B7D" w:rsidRDefault="007D6167" w:rsidP="007D6167">
      <w:pPr>
        <w:ind w:left="360"/>
        <w:rPr>
          <w:rFonts w:asciiTheme="minorBidi" w:hAnsiTheme="minorBidi"/>
          <w:u w:val="dotted"/>
        </w:rPr>
      </w:pPr>
      <w:r w:rsidRPr="00351B7D">
        <w:rPr>
          <w:rFonts w:asciiTheme="minorBidi" w:hAnsiTheme="minorBidi"/>
          <w:u w:val="dotted"/>
          <w:rtl/>
        </w:rPr>
        <w:t xml:space="preserve">אם כתב </w:t>
      </w:r>
      <w:r w:rsidRPr="00351B7D">
        <w:rPr>
          <w:rFonts w:asciiTheme="minorBidi" w:hAnsiTheme="minorBidi"/>
          <w:b/>
          <w:bCs/>
          <w:u w:val="dotted"/>
          <w:rtl/>
        </w:rPr>
        <w:t>בגט</w:t>
      </w:r>
      <w:r w:rsidRPr="00351B7D">
        <w:rPr>
          <w:rFonts w:asciiTheme="minorBidi" w:hAnsiTheme="minorBidi"/>
          <w:u w:val="dotted"/>
          <w:rtl/>
        </w:rPr>
        <w:t xml:space="preserve"> 'ביום ראש חודש פלוני' ולא הוסיף 'שהוא יום שלשים לחודש שעבר':</w:t>
      </w:r>
    </w:p>
    <w:p w14:paraId="7B80FD7E" w14:textId="77777777" w:rsidR="007D6167" w:rsidRPr="00351B7D" w:rsidRDefault="007D6167" w:rsidP="00B75458">
      <w:pPr>
        <w:pStyle w:val="ab"/>
        <w:numPr>
          <w:ilvl w:val="0"/>
          <w:numId w:val="217"/>
        </w:numPr>
        <w:rPr>
          <w:rFonts w:asciiTheme="minorBidi" w:hAnsiTheme="minorBidi"/>
        </w:rPr>
      </w:pPr>
      <w:r w:rsidRPr="00351B7D">
        <w:rPr>
          <w:rFonts w:asciiTheme="minorBidi" w:hAnsiTheme="minorBidi"/>
          <w:rtl/>
        </w:rPr>
        <mc:AlternateContent>
          <mc:Choice Requires="wps">
            <w:drawing>
              <wp:anchor distT="0" distB="0" distL="114300" distR="114300" simplePos="0" relativeHeight="251677696" behindDoc="0" locked="0" layoutInCell="1" allowOverlap="1" wp14:anchorId="5144C76A" wp14:editId="56A30D1E">
                <wp:simplePos x="0" y="0"/>
                <wp:positionH relativeFrom="column">
                  <wp:posOffset>4558030</wp:posOffset>
                </wp:positionH>
                <wp:positionV relativeFrom="paragraph">
                  <wp:posOffset>203200</wp:posOffset>
                </wp:positionV>
                <wp:extent cx="45085" cy="88900"/>
                <wp:effectExtent l="19050" t="0" r="31115" b="44450"/>
                <wp:wrapNone/>
                <wp:docPr id="18" name="Down Arrow 18"/>
                <wp:cNvGraphicFramePr/>
                <a:graphic xmlns:a="http://schemas.openxmlformats.org/drawingml/2006/main">
                  <a:graphicData uri="http://schemas.microsoft.com/office/word/2010/wordprocessingShape">
                    <wps:wsp>
                      <wps:cNvSpPr/>
                      <wps:spPr>
                        <a:xfrm>
                          <a:off x="0" y="0"/>
                          <a:ext cx="45085" cy="88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17FC984" id="Down Arrow 18" o:spid="_x0000_s1026" type="#_x0000_t67" style="position:absolute;left:0;text-align:left;margin-left:358.9pt;margin-top:16pt;width:3.55pt;height: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" adj="16123" fillcolor="black [3200]" strokecolor="black [1600]" strokeweight="2pt"/>
            </w:pict>
          </mc:Fallback>
        </mc:AlternateContent>
      </w:r>
      <w:r w:rsidRPr="00351B7D">
        <w:rPr>
          <w:rFonts w:asciiTheme="minorBidi" w:hAnsiTheme="minorBidi"/>
          <w:rtl/>
        </w:rPr>
        <w:t>(תוס' ורא"ש</w:t>
      </w:r>
      <w:r w:rsidRPr="00351B7D">
        <w:rPr>
          <w:rFonts w:asciiTheme="minorBidi" w:hAnsiTheme="minorBidi"/>
          <w:sz w:val="16"/>
          <w:szCs w:val="16"/>
          <w:rtl/>
        </w:rPr>
        <w:t xml:space="preserve"> להב' הב"י</w:t>
      </w:r>
      <w:r w:rsidRPr="00351B7D">
        <w:rPr>
          <w:rFonts w:asciiTheme="minorBidi" w:hAnsiTheme="minorBidi"/>
          <w:rtl/>
        </w:rPr>
        <w:t>)</w:t>
      </w:r>
      <w:r w:rsidRPr="00351B7D">
        <w:rPr>
          <w:rStyle w:val="a7"/>
          <w:rFonts w:asciiTheme="minorBidi" w:hAnsiTheme="minorBidi"/>
          <w:rtl/>
        </w:rPr>
        <w:footnoteReference w:id="3401"/>
      </w:r>
      <w:r w:rsidRPr="00351B7D">
        <w:rPr>
          <w:rFonts w:asciiTheme="minorBidi" w:hAnsiTheme="minorBidi"/>
          <w:sz w:val="16"/>
          <w:szCs w:val="16"/>
          <w:rtl/>
        </w:rPr>
        <w:t xml:space="preserve"> </w:t>
      </w:r>
      <w:r w:rsidRPr="00351B7D">
        <w:rPr>
          <w:rFonts w:asciiTheme="minorBidi" w:hAnsiTheme="minorBidi"/>
          <w:rtl/>
        </w:rPr>
        <w:t>- כשר</w:t>
      </w:r>
      <w:r w:rsidRPr="00351B7D">
        <w:rPr>
          <w:rStyle w:val="a7"/>
          <w:rFonts w:asciiTheme="minorBidi" w:hAnsiTheme="minorBidi"/>
          <w:rtl/>
        </w:rPr>
        <w:footnoteReference w:id="3402"/>
      </w:r>
      <w:r w:rsidRPr="00351B7D">
        <w:rPr>
          <w:rFonts w:asciiTheme="minorBidi" w:hAnsiTheme="minorBidi"/>
          <w:rtl/>
        </w:rPr>
        <w:t xml:space="preserve">. </w:t>
      </w:r>
    </w:p>
    <w:p w14:paraId="1E89C8BB" w14:textId="77777777" w:rsidR="007D6167" w:rsidRPr="00351B7D" w:rsidRDefault="007D6167" w:rsidP="007D6167">
      <w:pPr>
        <w:ind w:left="360"/>
        <w:rPr>
          <w:rFonts w:asciiTheme="minorBidi" w:hAnsiTheme="minorBidi"/>
          <w:u w:val="dotted"/>
        </w:rPr>
      </w:pPr>
      <w:r w:rsidRPr="00351B7D">
        <w:rPr>
          <w:rFonts w:asciiTheme="minorBidi" w:hAnsiTheme="minorBidi"/>
          <w:u w:val="dotted"/>
          <w:rtl/>
        </w:rPr>
        <w:lastRenderedPageBreak/>
        <w:t>האם מחמת הספק יש להמנע מליתן גט בר"ח שהוא ב' ימים:</w:t>
      </w:r>
    </w:p>
    <w:p w14:paraId="26E66E73" w14:textId="77777777" w:rsidR="007D6167" w:rsidRPr="00351B7D" w:rsidRDefault="007D6167" w:rsidP="00B75458">
      <w:pPr>
        <w:pStyle w:val="ab"/>
        <w:numPr>
          <w:ilvl w:val="0"/>
          <w:numId w:val="217"/>
        </w:numPr>
        <w:rPr>
          <w:rFonts w:asciiTheme="minorBidi" w:hAnsiTheme="minorBidi"/>
        </w:rPr>
      </w:pPr>
      <w:r w:rsidRPr="00351B7D">
        <w:rPr>
          <w:rFonts w:asciiTheme="minorBidi" w:hAnsiTheme="minorBidi"/>
          <w:rtl/>
        </w:rPr>
        <w:t>סמ"ק כל בו מרדכי והגה"מ</w:t>
      </w:r>
      <w:r w:rsidRPr="00351B7D">
        <w:rPr>
          <w:rFonts w:asciiTheme="minorBidi" w:hAnsiTheme="minorBidi"/>
          <w:sz w:val="16"/>
          <w:szCs w:val="16"/>
          <w:rtl/>
        </w:rPr>
        <w:t xml:space="preserve"> (פ"ד)</w:t>
      </w:r>
      <w:r w:rsidRPr="00351B7D">
        <w:rPr>
          <w:rFonts w:asciiTheme="minorBidi" w:hAnsiTheme="minorBidi"/>
          <w:rtl/>
        </w:rPr>
        <w:t xml:space="preserve">- נראה למה"ר פרץ למנוע מלכתוב אז באותו יום גט ולדחות המעשה עד למחרת שלא להכניס ראשו בשום נדנוד ספק. </w:t>
      </w:r>
      <w:r w:rsidRPr="00351B7D">
        <w:rPr>
          <w:rFonts w:asciiTheme="minorBidi" w:hAnsiTheme="minorBidi"/>
          <w:color w:val="00B0F0"/>
          <w:rtl/>
        </w:rPr>
        <w:t>(וכ"כ הרמ"א)</w:t>
      </w:r>
    </w:p>
    <w:p w14:paraId="7127F450" w14:textId="77777777" w:rsidR="007D6167" w:rsidRPr="00351B7D" w:rsidRDefault="007D6167" w:rsidP="00B75458">
      <w:pPr>
        <w:pStyle w:val="ab"/>
        <w:numPr>
          <w:ilvl w:val="0"/>
          <w:numId w:val="217"/>
        </w:numPr>
        <w:rPr>
          <w:rFonts w:asciiTheme="minorBidi" w:hAnsiTheme="minorBidi"/>
          <w:rtl/>
        </w:rPr>
      </w:pPr>
      <w:r w:rsidRPr="00351B7D">
        <w:rPr>
          <w:rFonts w:asciiTheme="minorBidi" w:hAnsiTheme="minorBidi"/>
          <w:rtl/>
        </w:rPr>
        <w:t>ב"י- חומרא יתירה היא וראיתי נוהגים שלא לחוש לה.</w:t>
      </w:r>
    </w:p>
    <w:p w14:paraId="24D4864B"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30AE03" w14:textId="77777777" w:rsidR="007D6167" w:rsidRPr="00351B7D" w:rsidRDefault="007D6167" w:rsidP="007D6167">
      <w:pPr>
        <w:rPr>
          <w:rFonts w:asciiTheme="minorBidi" w:hAnsiTheme="minorBidi"/>
          <w:color w:val="000000"/>
          <w:rtl/>
        </w:rPr>
      </w:pPr>
      <w:r w:rsidRPr="00351B7D">
        <w:rPr>
          <w:rFonts w:asciiTheme="minorBidi" w:hAnsiTheme="minorBidi"/>
          <w:rtl/>
        </w:rPr>
        <w:t>אם יכתוב גט ביום ראשון של חדש אייר יכתוב ביום שלשים לחדש</w:t>
      </w:r>
      <w:r w:rsidRPr="00351B7D">
        <w:rPr>
          <w:rStyle w:val="a7"/>
          <w:rFonts w:asciiTheme="minorBidi" w:hAnsiTheme="minorBidi"/>
          <w:color w:val="000000"/>
          <w:rtl/>
        </w:rPr>
        <w:footnoteReference w:id="3403"/>
      </w:r>
      <w:r w:rsidRPr="00351B7D">
        <w:rPr>
          <w:rFonts w:asciiTheme="minorBidi" w:hAnsiTheme="minorBidi"/>
          <w:rtl/>
        </w:rPr>
        <w:t xml:space="preserve"> ניסן שהוא ראש חדש</w:t>
      </w:r>
      <w:r w:rsidRPr="00351B7D">
        <w:rPr>
          <w:rStyle w:val="a7"/>
          <w:rFonts w:asciiTheme="minorBidi" w:hAnsiTheme="minorBidi"/>
          <w:color w:val="000000"/>
          <w:rtl/>
        </w:rPr>
        <w:footnoteReference w:id="3404"/>
      </w:r>
      <w:r w:rsidRPr="00351B7D">
        <w:rPr>
          <w:rFonts w:asciiTheme="minorBidi" w:hAnsiTheme="minorBidi"/>
          <w:rtl/>
        </w:rPr>
        <w:t xml:space="preserve"> אייר, וכן בכל ראשי חדשים שהם שני ימים, וביום שני של ראש חדש יכתוב באחד</w:t>
      </w:r>
      <w:r w:rsidRPr="00351B7D">
        <w:rPr>
          <w:rStyle w:val="a7"/>
          <w:rFonts w:asciiTheme="minorBidi" w:hAnsiTheme="minorBidi"/>
          <w:color w:val="000000"/>
          <w:rtl/>
        </w:rPr>
        <w:footnoteReference w:id="3405"/>
      </w:r>
      <w:r w:rsidRPr="00351B7D">
        <w:rPr>
          <w:rFonts w:asciiTheme="minorBidi" w:hAnsiTheme="minorBidi"/>
          <w:rtl/>
        </w:rPr>
        <w:t xml:space="preserve"> לירח פלוני, כי חשבונו מיום השני.</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שאין ליתן גט בשום ראש חודש</w:t>
      </w:r>
      <w:r w:rsidRPr="00351B7D">
        <w:rPr>
          <w:rStyle w:val="a7"/>
          <w:rFonts w:asciiTheme="minorBidi" w:hAnsiTheme="minorBidi"/>
          <w:color w:val="000000"/>
          <w:sz w:val="18"/>
          <w:szCs w:val="18"/>
          <w:rtl/>
        </w:rPr>
        <w:footnoteReference w:id="340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 xml:space="preserve">(סדר הגיטין בשם סמ"ק מרדכי הגה"מ וכל בו), </w:t>
      </w:r>
      <w:r w:rsidRPr="00351B7D">
        <w:rPr>
          <w:rFonts w:asciiTheme="minorBidi" w:hAnsiTheme="minorBidi"/>
          <w:color w:val="000000"/>
          <w:sz w:val="18"/>
          <w:szCs w:val="18"/>
          <w:rtl/>
        </w:rPr>
        <w:t>וטוב לחוש לזה אם לא במקום שיש חשש לעיגון.</w:t>
      </w:r>
    </w:p>
    <w:p w14:paraId="4E90567F" w14:textId="77777777" w:rsidR="007D6167" w:rsidRPr="00351B7D" w:rsidRDefault="007D6167" w:rsidP="007D6167">
      <w:pPr>
        <w:rPr>
          <w:rFonts w:asciiTheme="minorBidi" w:hAnsiTheme="minorBidi"/>
          <w:color w:val="000000"/>
          <w:rtl/>
        </w:rPr>
      </w:pPr>
    </w:p>
    <w:p w14:paraId="125322D3" w14:textId="77777777" w:rsidR="007D6167" w:rsidRPr="00351B7D" w:rsidRDefault="007D6167" w:rsidP="007D6167">
      <w:pPr>
        <w:pStyle w:val="2"/>
        <w:rPr>
          <w:rFonts w:asciiTheme="minorBidi" w:hAnsiTheme="minorBidi"/>
          <w:rtl/>
        </w:rPr>
      </w:pPr>
      <w:r w:rsidRPr="00351B7D">
        <w:rPr>
          <w:rFonts w:asciiTheme="minorBidi" w:hAnsiTheme="minorBidi"/>
          <w:rtl/>
        </w:rPr>
        <w:t>סעיף ז: כתיבת אדר בשנה מעוברת, וכתיבת שאר חודשים.</w:t>
      </w:r>
    </w:p>
    <w:p w14:paraId="1A6BC695" w14:textId="77777777" w:rsidR="007D6167" w:rsidRPr="00351B7D" w:rsidRDefault="007D6167" w:rsidP="007D6167">
      <w:pPr>
        <w:rPr>
          <w:rFonts w:asciiTheme="minorBidi" w:hAnsiTheme="minorBidi"/>
          <w:rtl/>
        </w:rPr>
      </w:pPr>
      <w:r w:rsidRPr="00351B7D">
        <w:rPr>
          <w:rFonts w:asciiTheme="minorBidi" w:hAnsiTheme="minorBidi"/>
          <w:b/>
          <w:bCs/>
          <w:rtl/>
        </w:rPr>
        <w:t xml:space="preserve">נדרים סג ע"א: </w:t>
      </w:r>
      <w:r w:rsidRPr="00351B7D">
        <w:rPr>
          <w:rFonts w:asciiTheme="minorBidi" w:hAnsiTheme="minorBidi"/>
          <w:rtl/>
        </w:rPr>
        <w:t xml:space="preserve">אדר הראשון כותב אדר הראשון, אדר שני כותב אדר סתם, </w:t>
      </w:r>
      <w:r w:rsidRPr="00351B7D">
        <w:rPr>
          <w:rFonts w:asciiTheme="minorBidi" w:hAnsiTheme="minorBidi"/>
          <w:u w:val="single"/>
          <w:rtl/>
        </w:rPr>
        <w:t>דברי ר"מ</w:t>
      </w:r>
      <w:r w:rsidRPr="00351B7D">
        <w:rPr>
          <w:rFonts w:asciiTheme="minorBidi" w:hAnsiTheme="minorBidi"/>
          <w:rtl/>
        </w:rPr>
        <w:t xml:space="preserve">, </w:t>
      </w:r>
      <w:r w:rsidRPr="00351B7D">
        <w:rPr>
          <w:rFonts w:asciiTheme="minorBidi" w:hAnsiTheme="minorBidi"/>
          <w:u w:val="single"/>
          <w:rtl/>
        </w:rPr>
        <w:t>ר' יהודה אומר</w:t>
      </w:r>
      <w:r w:rsidRPr="00351B7D">
        <w:rPr>
          <w:rFonts w:asciiTheme="minorBidi" w:hAnsiTheme="minorBidi"/>
          <w:rtl/>
        </w:rPr>
        <w:t>: אדר הראשון כותב סתם, אדר שני כותב תיניין.</w:t>
      </w:r>
    </w:p>
    <w:p w14:paraId="33ADF202" w14:textId="77777777" w:rsidR="007D6167" w:rsidRPr="00351B7D" w:rsidRDefault="007D6167" w:rsidP="007D6167">
      <w:pPr>
        <w:rPr>
          <w:rFonts w:asciiTheme="minorBidi" w:hAnsiTheme="minorBidi"/>
          <w:sz w:val="16"/>
          <w:szCs w:val="16"/>
          <w:rtl/>
        </w:rPr>
      </w:pPr>
      <w:r w:rsidRPr="00351B7D">
        <w:rPr>
          <w:rFonts w:asciiTheme="minorBidi" w:hAnsiTheme="minorBidi"/>
          <w:u w:val="single"/>
          <w:rtl/>
        </w:rPr>
        <w:t>כיצד יש לכתוב אדר בשנה מעוברת:</w:t>
      </w:r>
      <w:r w:rsidRPr="00351B7D">
        <w:rPr>
          <w:rFonts w:asciiTheme="minorBidi" w:hAnsiTheme="minorBidi"/>
          <w:sz w:val="16"/>
          <w:szCs w:val="16"/>
          <w:rtl/>
        </w:rPr>
        <w:t xml:space="preserve">   (ב"י [ז </w:t>
      </w:r>
      <w:r w:rsidRPr="00351B7D">
        <w:rPr>
          <w:rFonts w:asciiTheme="minorBidi" w:hAnsiTheme="minorBidi"/>
          <w:sz w:val="14"/>
          <w:szCs w:val="14"/>
          <w:rtl/>
        </w:rPr>
        <w:t>(א)</w:t>
      </w:r>
      <w:r w:rsidRPr="00351B7D">
        <w:rPr>
          <w:rFonts w:asciiTheme="minorBidi" w:hAnsiTheme="minorBidi"/>
          <w:sz w:val="16"/>
          <w:szCs w:val="16"/>
          <w:rtl/>
        </w:rPr>
        <w:t>], ודרכ"מ [אות יב-יג])</w:t>
      </w:r>
    </w:p>
    <w:p w14:paraId="332A1330" w14:textId="77777777" w:rsidR="007D6167" w:rsidRPr="00351B7D" w:rsidRDefault="007D6167" w:rsidP="00B75458">
      <w:pPr>
        <w:pStyle w:val="ab"/>
        <w:numPr>
          <w:ilvl w:val="0"/>
          <w:numId w:val="217"/>
        </w:numPr>
        <w:rPr>
          <w:rFonts w:asciiTheme="minorBidi" w:hAnsiTheme="minorBidi"/>
        </w:rPr>
      </w:pPr>
      <w:r w:rsidRPr="00351B7D">
        <w:rPr>
          <w:rFonts w:asciiTheme="minorBidi" w:hAnsiTheme="minorBidi"/>
          <w:rtl/>
        </w:rPr>
        <w:t>רא"ש ור"ן</w:t>
      </w:r>
      <w:r w:rsidRPr="00351B7D">
        <w:rPr>
          <w:rStyle w:val="a7"/>
          <w:rFonts w:asciiTheme="minorBidi" w:hAnsiTheme="minorBidi"/>
          <w:rtl/>
        </w:rPr>
        <w:footnoteReference w:id="3407"/>
      </w:r>
      <w:r w:rsidRPr="00351B7D">
        <w:rPr>
          <w:rFonts w:asciiTheme="minorBidi" w:hAnsiTheme="minorBidi"/>
          <w:rtl/>
        </w:rPr>
        <w:t>- באדר שני כותב 'אדר שני' ובראשון כותב אדר סתם בין בגיטין בין בשטרות</w:t>
      </w:r>
      <w:r w:rsidRPr="00351B7D">
        <w:rPr>
          <w:rStyle w:val="a7"/>
          <w:rFonts w:asciiTheme="minorBidi" w:hAnsiTheme="minorBidi"/>
          <w:rtl/>
        </w:rPr>
        <w:footnoteReference w:id="3408"/>
      </w:r>
      <w:r w:rsidRPr="00351B7D">
        <w:rPr>
          <w:rFonts w:asciiTheme="minorBidi" w:hAnsiTheme="minorBidi"/>
          <w:rtl/>
        </w:rPr>
        <w:t>, כר' יהודה</w:t>
      </w:r>
      <w:r w:rsidRPr="00351B7D">
        <w:rPr>
          <w:rStyle w:val="a7"/>
          <w:rFonts w:asciiTheme="minorBidi" w:hAnsiTheme="minorBidi"/>
          <w:rtl/>
        </w:rPr>
        <w:footnoteReference w:id="3409"/>
      </w:r>
      <w:r w:rsidRPr="00351B7D">
        <w:rPr>
          <w:rFonts w:asciiTheme="minorBidi" w:hAnsiTheme="minorBidi"/>
          <w:rtl/>
        </w:rPr>
        <w:t>.</w:t>
      </w:r>
    </w:p>
    <w:p w14:paraId="702EF7D2" w14:textId="77777777" w:rsidR="007D6167" w:rsidRPr="00351B7D" w:rsidRDefault="007D6167" w:rsidP="00B75458">
      <w:pPr>
        <w:pStyle w:val="ab"/>
        <w:numPr>
          <w:ilvl w:val="0"/>
          <w:numId w:val="217"/>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 הל' נדרים ה"ו)</w:t>
      </w:r>
      <w:r w:rsidRPr="00351B7D">
        <w:rPr>
          <w:rFonts w:asciiTheme="minorBidi" w:hAnsiTheme="minorBidi"/>
          <w:rtl/>
        </w:rPr>
        <w:t>- באדר שני כותב 'אדר' סתם ובאדר ראשון כותב 'אדר ראשון'</w:t>
      </w:r>
      <w:r w:rsidRPr="00351B7D">
        <w:rPr>
          <w:rStyle w:val="a7"/>
          <w:rFonts w:asciiTheme="minorBidi" w:hAnsiTheme="minorBidi"/>
          <w:rtl/>
        </w:rPr>
        <w:footnoteReference w:id="3410"/>
      </w:r>
      <w:r w:rsidRPr="00351B7D">
        <w:rPr>
          <w:rFonts w:asciiTheme="minorBidi" w:hAnsiTheme="minorBidi"/>
          <w:rtl/>
        </w:rPr>
        <w:t>, כר' מאיר.</w:t>
      </w:r>
    </w:p>
    <w:p w14:paraId="54E615E5" w14:textId="77777777" w:rsidR="007D6167" w:rsidRPr="00351B7D" w:rsidRDefault="007D6167" w:rsidP="00B75458">
      <w:pPr>
        <w:pStyle w:val="ab"/>
        <w:numPr>
          <w:ilvl w:val="0"/>
          <w:numId w:val="217"/>
        </w:numPr>
        <w:rPr>
          <w:rFonts w:asciiTheme="minorBidi" w:hAnsiTheme="minorBidi"/>
          <w:rtl/>
        </w:rPr>
      </w:pPr>
      <w:r w:rsidRPr="00351B7D">
        <w:rPr>
          <w:rFonts w:asciiTheme="minorBidi" w:hAnsiTheme="minorBidi"/>
          <w:rtl/>
        </w:rPr>
        <w:t>ה"ר פרץ מרדכי סדר גיטין וטור</w:t>
      </w:r>
      <w:r w:rsidRPr="00351B7D">
        <w:rPr>
          <w:rStyle w:val="a7"/>
          <w:rFonts w:asciiTheme="minorBidi" w:hAnsiTheme="minorBidi"/>
          <w:rtl/>
        </w:rPr>
        <w:footnoteReference w:id="3411"/>
      </w:r>
      <w:r w:rsidRPr="00351B7D">
        <w:rPr>
          <w:rFonts w:asciiTheme="minorBidi" w:hAnsiTheme="minorBidi"/>
          <w:rtl/>
        </w:rPr>
        <w:t xml:space="preserve">- יכתוב באדר הראשון 'לירח אדר הראשון' ובשני יכתוב 'לירח אדר השני'. </w:t>
      </w:r>
      <w:r w:rsidRPr="00351B7D">
        <w:rPr>
          <w:rFonts w:asciiTheme="minorBidi" w:hAnsiTheme="minorBidi"/>
          <w:color w:val="E36C0A" w:themeColor="accent6" w:themeShade="BF"/>
          <w:rtl/>
        </w:rPr>
        <w:t>(וכ"פ בשו"ע)</w:t>
      </w:r>
    </w:p>
    <w:p w14:paraId="19E2CD88" w14:textId="77777777" w:rsidR="007D6167" w:rsidRPr="00351B7D" w:rsidRDefault="007D6167" w:rsidP="00B75458">
      <w:pPr>
        <w:pStyle w:val="ab"/>
        <w:numPr>
          <w:ilvl w:val="0"/>
          <w:numId w:val="217"/>
        </w:numPr>
        <w:rPr>
          <w:rFonts w:asciiTheme="minorBidi" w:hAnsiTheme="minorBidi"/>
          <w:rtl/>
        </w:rPr>
      </w:pPr>
      <w:r w:rsidRPr="00351B7D">
        <w:rPr>
          <w:rFonts w:asciiTheme="minorBidi" w:hAnsiTheme="minorBidi"/>
          <w:rtl/>
        </w:rPr>
        <w:t xml:space="preserve">תיקון ישן </w:t>
      </w:r>
      <w:r w:rsidRPr="00351B7D">
        <w:rPr>
          <w:rFonts w:asciiTheme="minorBidi" w:hAnsiTheme="minorBidi"/>
          <w:sz w:val="16"/>
          <w:szCs w:val="16"/>
          <w:rtl/>
        </w:rPr>
        <w:t>(הביאו הדרכ"מ אות יב)</w:t>
      </w:r>
      <w:r w:rsidRPr="00351B7D">
        <w:rPr>
          <w:rFonts w:asciiTheme="minorBidi" w:hAnsiTheme="minorBidi"/>
          <w:rtl/>
        </w:rPr>
        <w:t>- הולכים בזה אחר המנהג, ואם שינה מן המנהג הגט פסול לכתחלה, דהיינו כל זמן שלא נישאת שיתן גט אחר.</w:t>
      </w:r>
    </w:p>
    <w:p w14:paraId="2CF39DFE" w14:textId="77777777" w:rsidR="007D6167" w:rsidRPr="00351B7D" w:rsidRDefault="007D6167" w:rsidP="007D6167">
      <w:pPr>
        <w:rPr>
          <w:rFonts w:asciiTheme="minorBidi" w:hAnsiTheme="minorBidi"/>
          <w:rtl/>
        </w:rPr>
      </w:pPr>
      <w:r w:rsidRPr="00351B7D">
        <w:rPr>
          <w:rFonts w:asciiTheme="minorBidi" w:hAnsiTheme="minorBidi"/>
          <w:u w:val="single"/>
          <w:rtl/>
        </w:rPr>
        <w:t>כתיבת 'כסלו' מלא או חסר:</w:t>
      </w:r>
      <w:r w:rsidRPr="00351B7D">
        <w:rPr>
          <w:rFonts w:asciiTheme="minorBidi" w:hAnsiTheme="minorBidi"/>
          <w:sz w:val="16"/>
          <w:szCs w:val="16"/>
          <w:rtl/>
        </w:rPr>
        <w:t xml:space="preserve">   (ב"י [ז (ב)], ודרכ"מ [אות כח])</w:t>
      </w:r>
    </w:p>
    <w:p w14:paraId="1900ECF9" w14:textId="77777777" w:rsidR="007D6167" w:rsidRPr="00351B7D" w:rsidRDefault="007D6167" w:rsidP="00B75458">
      <w:pPr>
        <w:pStyle w:val="ab"/>
        <w:numPr>
          <w:ilvl w:val="0"/>
          <w:numId w:val="219"/>
        </w:numPr>
        <w:rPr>
          <w:rFonts w:asciiTheme="minorBidi" w:hAnsiTheme="minorBidi"/>
        </w:rPr>
      </w:pPr>
      <w:r w:rsidRPr="00351B7D">
        <w:rPr>
          <w:rFonts w:asciiTheme="minorBidi" w:hAnsiTheme="minorBidi"/>
          <w:rtl/>
        </w:rPr>
        <w:t>תרוה"ד</w:t>
      </w:r>
      <w:r w:rsidRPr="00351B7D">
        <w:rPr>
          <w:rFonts w:asciiTheme="minorBidi" w:hAnsiTheme="minorBidi"/>
          <w:sz w:val="16"/>
          <w:szCs w:val="16"/>
          <w:rtl/>
        </w:rPr>
        <w:t xml:space="preserve"> (סי' רלג)</w:t>
      </w:r>
      <w:r w:rsidRPr="00351B7D">
        <w:rPr>
          <w:rFonts w:asciiTheme="minorBidi" w:hAnsiTheme="minorBidi"/>
          <w:rtl/>
        </w:rPr>
        <w:t>- נסתפקו בו הראשונ' אם יש לכתבו חסר יו"ד ושמעתי שהקדמונים היו נשמטים מלכתוב גט בכסליו מפני ספיקא זו, ומ"מ יש לכתוב חסר יו"ד, דאע"ג דבלשון תרגום הוי מלא בתר עברי אזלינן</w:t>
      </w:r>
      <w:r w:rsidRPr="00351B7D">
        <w:rPr>
          <w:rStyle w:val="a7"/>
          <w:rFonts w:asciiTheme="minorBidi" w:hAnsiTheme="minorBidi"/>
          <w:rtl/>
        </w:rPr>
        <w:footnoteReference w:id="3412"/>
      </w:r>
      <w:r w:rsidRPr="00351B7D">
        <w:rPr>
          <w:rFonts w:asciiTheme="minorBidi" w:hAnsiTheme="minorBidi"/>
          <w:rtl/>
        </w:rPr>
        <w:t xml:space="preserve"> שכתוב חסר</w:t>
      </w:r>
      <w:r w:rsidRPr="00351B7D">
        <w:rPr>
          <w:rStyle w:val="a7"/>
          <w:rFonts w:asciiTheme="minorBidi" w:hAnsiTheme="minorBidi"/>
          <w:rtl/>
        </w:rPr>
        <w:footnoteReference w:id="3413"/>
      </w:r>
      <w:r w:rsidRPr="00351B7D">
        <w:rPr>
          <w:rFonts w:asciiTheme="minorBidi" w:hAnsiTheme="minorBidi"/>
          <w:rtl/>
        </w:rPr>
        <w:t xml:space="preserve">. </w:t>
      </w:r>
      <w:r w:rsidRPr="00351B7D">
        <w:rPr>
          <w:rFonts w:asciiTheme="minorBidi" w:hAnsiTheme="minorBidi"/>
          <w:color w:val="00B0F0"/>
          <w:rtl/>
        </w:rPr>
        <w:t>(וכ"פ הרמ"א)</w:t>
      </w:r>
    </w:p>
    <w:p w14:paraId="538FBBD0" w14:textId="77777777" w:rsidR="007D6167" w:rsidRPr="00351B7D" w:rsidRDefault="007D6167" w:rsidP="007D6167">
      <w:pPr>
        <w:rPr>
          <w:rFonts w:asciiTheme="minorBidi" w:hAnsiTheme="minorBidi"/>
          <w:rtl/>
        </w:rPr>
      </w:pPr>
      <w:r w:rsidRPr="00351B7D">
        <w:rPr>
          <w:rFonts w:asciiTheme="minorBidi" w:hAnsiTheme="minorBidi"/>
          <w:u w:val="single"/>
          <w:rtl/>
        </w:rPr>
        <w:t>כתיבת 'אייר' מלא או חסר:</w:t>
      </w:r>
      <w:r w:rsidRPr="00351B7D">
        <w:rPr>
          <w:rFonts w:asciiTheme="minorBidi" w:hAnsiTheme="minorBidi"/>
          <w:sz w:val="16"/>
          <w:szCs w:val="16"/>
          <w:rtl/>
        </w:rPr>
        <w:t xml:space="preserve">   (דרכ"מ [אות כח])</w:t>
      </w:r>
    </w:p>
    <w:p w14:paraId="4C24EC9C" w14:textId="77777777" w:rsidR="007D6167" w:rsidRPr="00351B7D" w:rsidRDefault="007D6167" w:rsidP="00B75458">
      <w:pPr>
        <w:pStyle w:val="ab"/>
        <w:numPr>
          <w:ilvl w:val="0"/>
          <w:numId w:val="219"/>
        </w:numPr>
        <w:rPr>
          <w:rFonts w:asciiTheme="minorBidi" w:hAnsiTheme="minorBidi"/>
        </w:rPr>
      </w:pPr>
      <w:r w:rsidRPr="00351B7D">
        <w:rPr>
          <w:rFonts w:asciiTheme="minorBidi" w:hAnsiTheme="minorBidi"/>
          <w:rtl/>
        </w:rPr>
        <w:lastRenderedPageBreak/>
        <w:t>מהרי"ל</w:t>
      </w:r>
      <w:r w:rsidRPr="00351B7D">
        <w:rPr>
          <w:rFonts w:asciiTheme="minorBidi" w:hAnsiTheme="minorBidi"/>
          <w:sz w:val="16"/>
          <w:szCs w:val="16"/>
          <w:rtl/>
        </w:rPr>
        <w:t xml:space="preserve"> (כן מצא הדרכ"מ כ' בשמו)</w:t>
      </w:r>
      <w:r w:rsidRPr="00351B7D">
        <w:rPr>
          <w:rFonts w:asciiTheme="minorBidi" w:hAnsiTheme="minorBidi"/>
          <w:rtl/>
        </w:rPr>
        <w:t>- יש ליתן ב' גיטין באייר מכח ספק</w:t>
      </w:r>
      <w:r w:rsidRPr="00351B7D">
        <w:rPr>
          <w:rStyle w:val="a7"/>
          <w:rFonts w:asciiTheme="minorBidi" w:hAnsiTheme="minorBidi"/>
          <w:rtl/>
        </w:rPr>
        <w:footnoteReference w:id="3414"/>
      </w:r>
      <w:r w:rsidRPr="00351B7D">
        <w:rPr>
          <w:rFonts w:asciiTheme="minorBidi" w:hAnsiTheme="minorBidi"/>
          <w:rtl/>
        </w:rPr>
        <w:t>, ויש נמנעין</w:t>
      </w:r>
      <w:r w:rsidRPr="00351B7D">
        <w:rPr>
          <w:rStyle w:val="a7"/>
          <w:rFonts w:asciiTheme="minorBidi" w:hAnsiTheme="minorBidi"/>
          <w:rtl/>
        </w:rPr>
        <w:footnoteReference w:id="3415"/>
      </w:r>
      <w:r w:rsidRPr="00351B7D">
        <w:rPr>
          <w:rFonts w:asciiTheme="minorBidi" w:hAnsiTheme="minorBidi"/>
          <w:rtl/>
        </w:rPr>
        <w:t xml:space="preserve"> ליתן גט באייר מכח ספק.</w:t>
      </w:r>
    </w:p>
    <w:p w14:paraId="3F95F28A" w14:textId="77777777" w:rsidR="007D6167" w:rsidRPr="00351B7D" w:rsidRDefault="007D6167" w:rsidP="00B75458">
      <w:pPr>
        <w:pStyle w:val="ab"/>
        <w:numPr>
          <w:ilvl w:val="0"/>
          <w:numId w:val="219"/>
        </w:numPr>
        <w:rPr>
          <w:rFonts w:asciiTheme="minorBidi" w:hAnsiTheme="minorBidi"/>
          <w:rtl/>
        </w:rPr>
      </w:pPr>
      <w:r w:rsidRPr="00351B7D">
        <w:rPr>
          <w:rFonts w:asciiTheme="minorBidi" w:hAnsiTheme="minorBidi"/>
          <w:rtl/>
        </w:rPr>
        <w:t>תרוה"ד</w:t>
      </w:r>
      <w:r w:rsidRPr="00351B7D">
        <w:rPr>
          <w:rFonts w:asciiTheme="minorBidi" w:hAnsiTheme="minorBidi"/>
          <w:sz w:val="16"/>
          <w:szCs w:val="16"/>
          <w:rtl/>
        </w:rPr>
        <w:t xml:space="preserve"> (סי' רלג)</w:t>
      </w:r>
      <w:r w:rsidRPr="00351B7D">
        <w:rPr>
          <w:rFonts w:asciiTheme="minorBidi" w:hAnsiTheme="minorBidi"/>
          <w:rtl/>
        </w:rPr>
        <w:t>- ודאי דינו לכתוב בשני יודי"ן כי כך מצאתי בתרגום מגילת אסתר וגם בתרגום אחד בספר מלכים... לכך נראה דאפי' אם נותן הגט בחד יו"ד ובו ביום נודע הטעות דיש לכתוב וליתן אחר בשני יודי"ן, וכה"ג לא הוי לעז כל כך לבית דין, וההוא עובדא דלעיל כבר עברו כמה ימים אחר הנתינה ויצא שם מגורשת על האשה ואי הוי בעי למיהדר וליתן גט אחר הוי זילותא לבית דין לכך הכשיר בדיעבד כן נראה.</w:t>
      </w:r>
    </w:p>
    <w:p w14:paraId="7686781D" w14:textId="77777777" w:rsidR="007D6167" w:rsidRPr="00351B7D" w:rsidRDefault="007D6167" w:rsidP="007D616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BAE487" w14:textId="77777777" w:rsidR="007D6167" w:rsidRPr="00351B7D" w:rsidRDefault="007D6167" w:rsidP="007D6167">
      <w:pPr>
        <w:rPr>
          <w:rFonts w:asciiTheme="minorBidi" w:hAnsiTheme="minorBidi"/>
          <w:sz w:val="18"/>
          <w:szCs w:val="18"/>
          <w:rtl/>
        </w:rPr>
      </w:pPr>
      <w:r w:rsidRPr="00351B7D">
        <w:rPr>
          <w:rFonts w:asciiTheme="minorBidi" w:hAnsiTheme="minorBidi"/>
          <w:rtl/>
        </w:rPr>
        <w:t>אם השנה מעוברת, יכתוב באדר ראשון לירח אדר ראשון</w:t>
      </w:r>
      <w:r w:rsidRPr="00351B7D">
        <w:rPr>
          <w:rStyle w:val="a7"/>
          <w:rFonts w:asciiTheme="minorBidi" w:hAnsiTheme="minorBidi"/>
          <w:rtl/>
        </w:rPr>
        <w:footnoteReference w:id="3416"/>
      </w:r>
      <w:r w:rsidRPr="00351B7D">
        <w:rPr>
          <w:rFonts w:asciiTheme="minorBidi" w:hAnsiTheme="minorBidi"/>
          <w:rtl/>
        </w:rPr>
        <w:t>, ובשני יכתוב לירח אדר השני.</w:t>
      </w:r>
      <w:r w:rsidRPr="00351B7D">
        <w:rPr>
          <w:rFonts w:asciiTheme="minorBidi" w:hAnsiTheme="minorBidi"/>
          <w:sz w:val="16"/>
          <w:szCs w:val="16"/>
          <w:rtl/>
        </w:rPr>
        <w:t xml:space="preserve"> </w:t>
      </w:r>
      <w:r w:rsidRPr="00351B7D">
        <w:rPr>
          <w:rFonts w:asciiTheme="minorBidi" w:hAnsiTheme="minorBidi"/>
          <w:sz w:val="18"/>
          <w:szCs w:val="18"/>
          <w:rtl/>
        </w:rPr>
        <w:t>(ואם כתב באדר הראשון אדר סתם כשר</w:t>
      </w:r>
      <w:r w:rsidRPr="00351B7D">
        <w:rPr>
          <w:rStyle w:val="a7"/>
          <w:rFonts w:asciiTheme="minorBidi" w:hAnsiTheme="minorBidi"/>
          <w:sz w:val="18"/>
          <w:szCs w:val="18"/>
          <w:rtl/>
        </w:rPr>
        <w:footnoteReference w:id="3417"/>
      </w:r>
      <w:r w:rsidRPr="00351B7D">
        <w:rPr>
          <w:rFonts w:asciiTheme="minorBidi" w:hAnsiTheme="minorBidi"/>
          <w:sz w:val="18"/>
          <w:szCs w:val="18"/>
          <w:rtl/>
        </w:rPr>
        <w:t xml:space="preserve">, אבל אם כתב בשני סתם הגט פסול </w:t>
      </w:r>
      <w:r w:rsidRPr="00351B7D">
        <w:rPr>
          <w:rFonts w:asciiTheme="minorBidi" w:hAnsiTheme="minorBidi"/>
          <w:sz w:val="16"/>
          <w:szCs w:val="16"/>
          <w:rtl/>
        </w:rPr>
        <w:t>(ב"י בשם הרא"ש והר"ן)</w:t>
      </w:r>
      <w:r w:rsidRPr="00351B7D">
        <w:rPr>
          <w:rFonts w:asciiTheme="minorBidi" w:hAnsiTheme="minorBidi"/>
          <w:sz w:val="18"/>
          <w:szCs w:val="18"/>
          <w:rtl/>
        </w:rPr>
        <w:t>. ומלת ראשון יכתוב מלא וי"ו</w:t>
      </w:r>
      <w:r w:rsidRPr="00351B7D">
        <w:rPr>
          <w:rStyle w:val="a7"/>
          <w:rFonts w:asciiTheme="minorBidi" w:hAnsiTheme="minorBidi"/>
          <w:sz w:val="18"/>
          <w:szCs w:val="18"/>
          <w:rtl/>
        </w:rPr>
        <w:footnoteReference w:id="3418"/>
      </w:r>
      <w:r w:rsidRPr="00351B7D">
        <w:rPr>
          <w:rFonts w:asciiTheme="minorBidi" w:hAnsiTheme="minorBidi"/>
          <w:sz w:val="18"/>
          <w:szCs w:val="18"/>
          <w:rtl/>
        </w:rPr>
        <w:t xml:space="preserve"> </w:t>
      </w:r>
      <w:r w:rsidRPr="00351B7D">
        <w:rPr>
          <w:rFonts w:asciiTheme="minorBidi" w:hAnsiTheme="minorBidi"/>
          <w:sz w:val="16"/>
          <w:szCs w:val="16"/>
          <w:rtl/>
        </w:rPr>
        <w:t>(תיקון ישן)</w:t>
      </w:r>
      <w:r w:rsidRPr="00351B7D">
        <w:rPr>
          <w:rFonts w:asciiTheme="minorBidi" w:hAnsiTheme="minorBidi"/>
          <w:sz w:val="18"/>
          <w:szCs w:val="18"/>
          <w:rtl/>
        </w:rPr>
        <w:t xml:space="preserve">. ניסן מלא, אייר בשני יודי"ן </w:t>
      </w:r>
      <w:r w:rsidRPr="00351B7D">
        <w:rPr>
          <w:rFonts w:asciiTheme="minorBidi" w:hAnsiTheme="minorBidi"/>
          <w:sz w:val="16"/>
          <w:szCs w:val="16"/>
          <w:rtl/>
        </w:rPr>
        <w:t>(סדר גיטין)</w:t>
      </w:r>
      <w:r w:rsidRPr="00351B7D">
        <w:rPr>
          <w:rFonts w:asciiTheme="minorBidi" w:hAnsiTheme="minorBidi"/>
          <w:sz w:val="18"/>
          <w:szCs w:val="18"/>
          <w:rtl/>
        </w:rPr>
        <w:t>, ואם כתב בחד יו"ד פסול</w:t>
      </w:r>
      <w:r w:rsidRPr="00351B7D">
        <w:rPr>
          <w:rStyle w:val="a7"/>
          <w:rFonts w:asciiTheme="minorBidi" w:hAnsiTheme="minorBidi"/>
          <w:sz w:val="18"/>
          <w:szCs w:val="18"/>
          <w:rtl/>
        </w:rPr>
        <w:footnoteReference w:id="3419"/>
      </w:r>
      <w:r w:rsidRPr="00351B7D">
        <w:rPr>
          <w:rFonts w:asciiTheme="minorBidi" w:hAnsiTheme="minorBidi"/>
          <w:sz w:val="18"/>
          <w:szCs w:val="18"/>
          <w:rtl/>
        </w:rPr>
        <w:t xml:space="preserve"> אם לא בשעת הדחק </w:t>
      </w:r>
      <w:r w:rsidRPr="00351B7D">
        <w:rPr>
          <w:rFonts w:asciiTheme="minorBidi" w:hAnsiTheme="minorBidi"/>
          <w:sz w:val="16"/>
          <w:szCs w:val="16"/>
          <w:rtl/>
        </w:rPr>
        <w:t>(תרוה"ד סי' רלג)</w:t>
      </w:r>
      <w:r w:rsidRPr="00351B7D">
        <w:rPr>
          <w:rFonts w:asciiTheme="minorBidi" w:hAnsiTheme="minorBidi"/>
          <w:sz w:val="18"/>
          <w:szCs w:val="18"/>
          <w:rtl/>
        </w:rPr>
        <w:t xml:space="preserve">. ויש נמנעין ליתן גט באייר, אך במקום הדחק נותנין וכותבין בב' יודי"ן. סיון מלא יו"ד </w:t>
      </w:r>
      <w:r w:rsidRPr="00351B7D">
        <w:rPr>
          <w:rFonts w:asciiTheme="minorBidi" w:hAnsiTheme="minorBidi"/>
          <w:sz w:val="16"/>
          <w:szCs w:val="16"/>
          <w:rtl/>
        </w:rPr>
        <w:t>(סדר גיטין)</w:t>
      </w:r>
      <w:r w:rsidRPr="00351B7D">
        <w:rPr>
          <w:rFonts w:asciiTheme="minorBidi" w:hAnsiTheme="minorBidi"/>
          <w:sz w:val="18"/>
          <w:szCs w:val="18"/>
          <w:rtl/>
        </w:rPr>
        <w:t>. תמוז מלא וי"ו. אלול מלא וי"ו. תשרי בחד יו"ד. מרחשון חד וי"ו</w:t>
      </w:r>
      <w:r w:rsidRPr="00351B7D">
        <w:rPr>
          <w:rStyle w:val="a7"/>
          <w:rFonts w:asciiTheme="minorBidi" w:hAnsiTheme="minorBidi"/>
          <w:sz w:val="18"/>
          <w:szCs w:val="18"/>
          <w:rtl/>
        </w:rPr>
        <w:footnoteReference w:id="3420"/>
      </w:r>
      <w:r w:rsidRPr="00351B7D">
        <w:rPr>
          <w:rFonts w:asciiTheme="minorBidi" w:hAnsiTheme="minorBidi"/>
          <w:sz w:val="18"/>
          <w:szCs w:val="18"/>
          <w:rtl/>
        </w:rPr>
        <w:t xml:space="preserve"> </w:t>
      </w:r>
      <w:r w:rsidRPr="00351B7D">
        <w:rPr>
          <w:rFonts w:asciiTheme="minorBidi" w:hAnsiTheme="minorBidi"/>
          <w:sz w:val="16"/>
          <w:szCs w:val="16"/>
          <w:rtl/>
        </w:rPr>
        <w:t>(דברי הרב)</w:t>
      </w:r>
      <w:r w:rsidRPr="00351B7D">
        <w:rPr>
          <w:rFonts w:asciiTheme="minorBidi" w:hAnsiTheme="minorBidi"/>
          <w:sz w:val="18"/>
          <w:szCs w:val="18"/>
          <w:rtl/>
        </w:rPr>
        <w:t>. כסלו חסר יו"ד</w:t>
      </w:r>
      <w:r w:rsidRPr="00351B7D">
        <w:rPr>
          <w:rStyle w:val="a7"/>
          <w:rFonts w:asciiTheme="minorBidi" w:hAnsiTheme="minorBidi"/>
          <w:sz w:val="18"/>
          <w:szCs w:val="18"/>
          <w:rtl/>
        </w:rPr>
        <w:footnoteReference w:id="3421"/>
      </w:r>
      <w:r w:rsidRPr="00351B7D">
        <w:rPr>
          <w:rFonts w:asciiTheme="minorBidi" w:hAnsiTheme="minorBidi"/>
          <w:sz w:val="18"/>
          <w:szCs w:val="18"/>
          <w:rtl/>
        </w:rPr>
        <w:t xml:space="preserve"> </w:t>
      </w:r>
      <w:r w:rsidRPr="00351B7D">
        <w:rPr>
          <w:rFonts w:asciiTheme="minorBidi" w:hAnsiTheme="minorBidi"/>
          <w:sz w:val="16"/>
          <w:szCs w:val="16"/>
          <w:rtl/>
        </w:rPr>
        <w:t xml:space="preserve">(תרוה"ד סי' רלג) </w:t>
      </w:r>
      <w:r w:rsidRPr="00351B7D">
        <w:rPr>
          <w:rFonts w:asciiTheme="minorBidi" w:hAnsiTheme="minorBidi"/>
          <w:sz w:val="18"/>
          <w:szCs w:val="18"/>
          <w:rtl/>
        </w:rPr>
        <w:t>ועיין למטה סע' כ"ג וכ"ד).</w:t>
      </w:r>
    </w:p>
    <w:p w14:paraId="5FDDC969" w14:textId="77777777" w:rsidR="007D6167" w:rsidRPr="00351B7D" w:rsidRDefault="007D6167" w:rsidP="007D6167">
      <w:pPr>
        <w:rPr>
          <w:rFonts w:asciiTheme="minorBidi" w:hAnsiTheme="minorBidi"/>
          <w:rtl/>
        </w:rPr>
      </w:pPr>
      <w:r w:rsidRPr="00351B7D">
        <w:rPr>
          <w:rFonts w:asciiTheme="minorBidi" w:hAnsiTheme="minorBidi"/>
          <w:u w:val="single"/>
          <w:rtl/>
        </w:rPr>
        <w:t>כתיבת חודשים שלא כפי שמותם הבבליים:</w:t>
      </w:r>
      <w:r w:rsidRPr="00351B7D">
        <w:rPr>
          <w:rFonts w:asciiTheme="minorBidi" w:hAnsiTheme="minorBidi"/>
          <w:rtl/>
        </w:rPr>
        <w:t xml:space="preserve">  </w:t>
      </w:r>
      <w:r w:rsidRPr="00351B7D">
        <w:rPr>
          <w:rFonts w:asciiTheme="minorBidi" w:hAnsiTheme="minorBidi"/>
          <w:sz w:val="16"/>
          <w:szCs w:val="16"/>
          <w:rtl/>
        </w:rPr>
        <w:t xml:space="preserve"> (פת"ש סקי"ב)</w:t>
      </w:r>
    </w:p>
    <w:p w14:paraId="5A84AE17" w14:textId="77777777" w:rsidR="007D6167" w:rsidRDefault="007D6167" w:rsidP="00B75458">
      <w:pPr>
        <w:pStyle w:val="ab"/>
        <w:numPr>
          <w:ilvl w:val="0"/>
          <w:numId w:val="222"/>
        </w:numPr>
        <w:rPr>
          <w:rtl/>
        </w:rPr>
      </w:pPr>
      <w:r w:rsidRPr="000F4DF0">
        <w:rPr>
          <w:rFonts w:asciiTheme="minorBidi" w:hAnsiTheme="minorBidi"/>
          <w:rtl/>
        </w:rPr>
        <w:t xml:space="preserve">גט פשוט </w:t>
      </w:r>
      <w:r w:rsidRPr="000F4DF0">
        <w:rPr>
          <w:rFonts w:asciiTheme="minorBidi" w:hAnsiTheme="minorBidi"/>
          <w:sz w:val="16"/>
          <w:szCs w:val="16"/>
          <w:rtl/>
        </w:rPr>
        <w:t>(סקל"ה)</w:t>
      </w:r>
      <w:r w:rsidRPr="000F4DF0">
        <w:rPr>
          <w:rFonts w:asciiTheme="minorBidi" w:hAnsiTheme="minorBidi"/>
          <w:rtl/>
        </w:rPr>
        <w:t>- אם לא כתבו בגט שמות החדשים אשר עלו מבבל אלא כתבו לירח הא' לירח הב' כשר גמור הוא כיון דמנין זה כתוב בתורה והכל יודעים דמניסן מנינן לחדשים. ואם נכתב בגט לירח מנחם במקום לירח אב נ"ל דכשר בדיעבד כיון דהדבר מפורסם וידוע דחודש אב קרו ליה חדש מנחם</w:t>
      </w:r>
      <w:r w:rsidRPr="000F4DF0">
        <w:rPr>
          <w:rFonts w:cs="Arial"/>
          <w:rtl/>
        </w:rPr>
        <w:t>.</w:t>
      </w:r>
    </w:p>
    <w:p w14:paraId="32F49103" w14:textId="0EF53CA3" w:rsidR="007D6167" w:rsidRDefault="007D6167" w:rsidP="008E16D0">
      <w:pPr>
        <w:rPr>
          <w:rFonts w:asciiTheme="minorBidi" w:hAnsiTheme="minorBidi"/>
          <w:rtl/>
        </w:rPr>
        <w:sectPr w:rsidR="007D6167" w:rsidSect="00A347B3">
          <w:headerReference w:type="default" r:id="rId78"/>
          <w:footnotePr>
            <w:numRestart w:val="eachPage"/>
          </w:footnotePr>
          <w:pgSz w:w="11906" w:h="16838"/>
          <w:pgMar w:top="720" w:right="1134" w:bottom="720" w:left="1134" w:header="0" w:footer="0" w:gutter="0"/>
          <w:cols w:space="720"/>
          <w:bidi/>
          <w:rtlGutter/>
          <w:docGrid w:linePitch="360"/>
        </w:sectPr>
      </w:pPr>
    </w:p>
    <w:p w14:paraId="3E6E309B" w14:textId="71B474DF" w:rsidR="002E5BAD" w:rsidRDefault="002E5BAD" w:rsidP="008E16D0">
      <w:pPr>
        <w:rPr>
          <w:rFonts w:asciiTheme="minorBidi" w:hAnsiTheme="minorBidi"/>
          <w:rtl/>
        </w:rPr>
        <w:sectPr w:rsidR="002E5BAD" w:rsidSect="00A347B3">
          <w:footnotePr>
            <w:numRestart w:val="eachPage"/>
          </w:footnotePr>
          <w:pgSz w:w="11906" w:h="16838"/>
          <w:pgMar w:top="720" w:right="1134" w:bottom="720" w:left="1134" w:header="0" w:footer="0" w:gutter="0"/>
          <w:cols w:space="720"/>
          <w:bidi/>
          <w:rtlGutter/>
          <w:docGrid w:linePitch="360"/>
        </w:sectPr>
      </w:pPr>
    </w:p>
    <w:p w14:paraId="5B3099EB" w14:textId="01521A46" w:rsidR="00942887" w:rsidRDefault="00942887" w:rsidP="00C16F61">
      <w:pPr>
        <w:rPr>
          <w:rtl/>
        </w:rPr>
      </w:pPr>
    </w:p>
    <w:sectPr w:rsidR="00942887" w:rsidSect="00A347B3">
      <w:footnotePr>
        <w:numRestart w:val="eachPage"/>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2815" w14:textId="77777777" w:rsidR="00B75458" w:rsidRDefault="00B75458" w:rsidP="008A01C4">
      <w:pPr>
        <w:spacing w:after="0" w:line="240" w:lineRule="auto"/>
      </w:pPr>
      <w:r>
        <w:separator/>
      </w:r>
    </w:p>
  </w:endnote>
  <w:endnote w:type="continuationSeparator" w:id="0">
    <w:p w14:paraId="4ADC3BD0" w14:textId="77777777" w:rsidR="00B75458" w:rsidRDefault="00B75458" w:rsidP="008A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4080382"/>
      <w:docPartObj>
        <w:docPartGallery w:val="Page Numbers (Bottom of Page)"/>
        <w:docPartUnique/>
      </w:docPartObj>
    </w:sdtPr>
    <w:sdtContent>
      <w:p w14:paraId="4A767B7C" w14:textId="77777777" w:rsidR="00DF1FC7" w:rsidRDefault="00DF1FC7">
        <w:pPr>
          <w:pStyle w:val="af1"/>
          <w:jc w:val="center"/>
        </w:pPr>
        <w:r>
          <w:fldChar w:fldCharType="begin"/>
        </w:r>
        <w:r>
          <w:instrText>PAGE   \* MERGEFORMAT</w:instrText>
        </w:r>
        <w:r>
          <w:fldChar w:fldCharType="separate"/>
        </w:r>
        <w:r>
          <w:rPr>
            <w:rtl/>
            <w:lang w:val="he-IL"/>
          </w:rPr>
          <w:t>2</w:t>
        </w:r>
        <w:r>
          <w:fldChar w:fldCharType="end"/>
        </w:r>
      </w:p>
    </w:sdtContent>
  </w:sdt>
  <w:p w14:paraId="3E6C1498" w14:textId="77777777" w:rsidR="00DF1FC7" w:rsidRDefault="00DF1FC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88430904"/>
      <w:docPartObj>
        <w:docPartGallery w:val="Page Numbers (Bottom of Page)"/>
        <w:docPartUnique/>
      </w:docPartObj>
    </w:sdtPr>
    <w:sdtContent>
      <w:p w14:paraId="490B4039" w14:textId="77777777" w:rsidR="00DF1FC7" w:rsidRDefault="00DF1FC7">
        <w:pPr>
          <w:pStyle w:val="af1"/>
          <w:jc w:val="center"/>
        </w:pPr>
        <w:r>
          <w:fldChar w:fldCharType="begin"/>
        </w:r>
        <w:r>
          <w:instrText>PAGE   \* MERGEFORMAT</w:instrText>
        </w:r>
        <w:r>
          <w:fldChar w:fldCharType="separate"/>
        </w:r>
        <w:r>
          <w:rPr>
            <w:rtl/>
            <w:lang w:val="he-IL"/>
          </w:rPr>
          <w:t>2</w:t>
        </w:r>
        <w:r>
          <w:fldChar w:fldCharType="end"/>
        </w:r>
      </w:p>
    </w:sdtContent>
  </w:sdt>
  <w:p w14:paraId="4FAB97CF" w14:textId="77777777" w:rsidR="00DF1FC7" w:rsidRDefault="00DF1FC7">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29191427"/>
      <w:docPartObj>
        <w:docPartGallery w:val="Page Numbers (Bottom of Page)"/>
        <w:docPartUnique/>
      </w:docPartObj>
    </w:sdtPr>
    <w:sdtContent>
      <w:p w14:paraId="1AE00D93" w14:textId="77777777" w:rsidR="00DF1FC7" w:rsidRDefault="00DF1FC7">
        <w:pPr>
          <w:pStyle w:val="af1"/>
          <w:jc w:val="center"/>
        </w:pPr>
        <w:r>
          <w:fldChar w:fldCharType="begin"/>
        </w:r>
        <w:r>
          <w:instrText>PAGE   \* MERGEFORMAT</w:instrText>
        </w:r>
        <w:r>
          <w:fldChar w:fldCharType="separate"/>
        </w:r>
        <w:r>
          <w:rPr>
            <w:rtl/>
            <w:lang w:val="he-IL"/>
          </w:rPr>
          <w:t>2</w:t>
        </w:r>
        <w:r>
          <w:fldChar w:fldCharType="end"/>
        </w:r>
      </w:p>
    </w:sdtContent>
  </w:sdt>
  <w:p w14:paraId="2075869D" w14:textId="77777777" w:rsidR="00DF1FC7" w:rsidRDefault="00DF1FC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63F15" w14:textId="77777777" w:rsidR="00B75458" w:rsidRDefault="00B75458" w:rsidP="008A01C4">
      <w:pPr>
        <w:spacing w:after="0" w:line="240" w:lineRule="auto"/>
      </w:pPr>
      <w:r>
        <w:separator/>
      </w:r>
    </w:p>
  </w:footnote>
  <w:footnote w:type="continuationSeparator" w:id="0">
    <w:p w14:paraId="169B7040" w14:textId="77777777" w:rsidR="00B75458" w:rsidRDefault="00B75458" w:rsidP="008A01C4">
      <w:pPr>
        <w:spacing w:after="0" w:line="240" w:lineRule="auto"/>
      </w:pPr>
      <w:r>
        <w:continuationSeparator/>
      </w:r>
    </w:p>
  </w:footnote>
  <w:footnote w:id="1">
    <w:p w14:paraId="379859C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שאסור לבת ישראל להינשא לעבד נכרי, ועי' בסי' ו סע' יא דשם מבואר דין נישואים עם שפחה.</w:t>
      </w:r>
    </w:p>
  </w:footnote>
  <w:footnote w:id="2">
    <w:p w14:paraId="6AB9A34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כך מפורש בהל' נערה בתולה פ"ב הי"ז </w:t>
      </w:r>
      <w:r w:rsidRPr="00351B7D">
        <w:rPr>
          <w:rFonts w:asciiTheme="minorBidi" w:hAnsiTheme="minorBidi"/>
          <w:sz w:val="16"/>
          <w:szCs w:val="16"/>
          <w:rtl/>
        </w:rPr>
        <w:t>(גר"א סק"ח)</w:t>
      </w:r>
      <w:r w:rsidRPr="00351B7D">
        <w:rPr>
          <w:rFonts w:asciiTheme="minorBidi" w:hAnsiTheme="minorBidi"/>
          <w:rtl/>
        </w:rPr>
        <w:t>. ומש"כ הרמב"ם בהל' אישות פ"א ה"ד כ' וז"ל- "קודם מתן תורה היה אדם פוגע אשה בשוק אם רצה הוא והיא נותן לה שכרה ובועל אותה על אם הדרך והולך לו, וזו היא הנקראת קדשה, משנתנה התורה נאסרה הקדשה שנאמר לא תהיה קדשה מבנות ישראל, לפיכך כל הבועל אשה לשם זנות בלא קידושין לוקה מן התורה מפני שבעל קדשה", ע"כ, צ"ל גם שכוונתו שמופקרת לכל מי שרוצה, וכדמשמע מתחילת דבריו</w:t>
      </w:r>
      <w:r w:rsidRPr="00351B7D">
        <w:rPr>
          <w:rFonts w:asciiTheme="minorBidi" w:hAnsiTheme="minorBidi"/>
          <w:sz w:val="16"/>
          <w:szCs w:val="16"/>
          <w:rtl/>
        </w:rPr>
        <w:t xml:space="preserve"> ("היה אדם פוגע אשה וכו")</w:t>
      </w:r>
      <w:r w:rsidRPr="00351B7D">
        <w:rPr>
          <w:rFonts w:asciiTheme="minorBidi" w:hAnsiTheme="minorBidi"/>
          <w:rtl/>
        </w:rPr>
        <w:t>.</w:t>
      </w:r>
    </w:p>
  </w:footnote>
  <w:footnote w:id="3">
    <w:p w14:paraId="6EB9AF2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בהשגות פ"א ה"ד, וז"ל- "אין קדשה אלא מזומנת והיא המופקרת לכל אדם". וכתב הה"מ שכן כתבו קצת המפרשים.</w:t>
      </w:r>
      <w:r w:rsidRPr="00351B7D">
        <w:rPr>
          <w:rFonts w:asciiTheme="minorBidi" w:hAnsiTheme="minorBidi"/>
          <w:sz w:val="16"/>
          <w:szCs w:val="16"/>
          <w:rtl/>
        </w:rPr>
        <w:t xml:space="preserve"> (הראב"ד השיג על דברי הרמב"ם משום שהבין מדבריו שאע"פ שאינה מופקרת לכל זוהי קדשה ולוקה עליה, אבל לפי דברינו שגם דעת הרמב"ם כך- אין חילוק בניהם)</w:t>
      </w:r>
    </w:p>
  </w:footnote>
  <w:footnote w:id="4">
    <w:p w14:paraId="6481A5F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רמב"ן</w:t>
      </w:r>
      <w:r w:rsidRPr="00351B7D">
        <w:rPr>
          <w:rFonts w:asciiTheme="minorBidi" w:hAnsiTheme="minorBidi"/>
          <w:sz w:val="16"/>
          <w:szCs w:val="16"/>
          <w:rtl/>
        </w:rPr>
        <w:t xml:space="preserve"> (בהשגות לאוין שנ"ה)</w:t>
      </w:r>
      <w:r w:rsidRPr="00351B7D">
        <w:rPr>
          <w:rFonts w:asciiTheme="minorBidi" w:hAnsiTheme="minorBidi"/>
          <w:rtl/>
        </w:rPr>
        <w:t xml:space="preserve"> רא"ש</w:t>
      </w:r>
      <w:r w:rsidRPr="00351B7D">
        <w:rPr>
          <w:rFonts w:asciiTheme="minorBidi" w:hAnsiTheme="minorBidi"/>
          <w:sz w:val="16"/>
          <w:szCs w:val="16"/>
          <w:rtl/>
        </w:rPr>
        <w:t xml:space="preserve"> (כלל ל"ב סי' י"ג) </w:t>
      </w:r>
      <w:r w:rsidRPr="00351B7D">
        <w:rPr>
          <w:rFonts w:asciiTheme="minorBidi" w:hAnsiTheme="minorBidi"/>
          <w:rtl/>
        </w:rPr>
        <w:t xml:space="preserve">וטור </w:t>
      </w:r>
      <w:r w:rsidRPr="00351B7D">
        <w:rPr>
          <w:rFonts w:asciiTheme="minorBidi" w:hAnsiTheme="minorBidi"/>
          <w:sz w:val="16"/>
          <w:szCs w:val="16"/>
          <w:rtl/>
        </w:rPr>
        <w:t>(כאן)</w:t>
      </w:r>
      <w:r w:rsidRPr="00351B7D">
        <w:rPr>
          <w:rFonts w:asciiTheme="minorBidi" w:hAnsiTheme="minorBidi"/>
          <w:rtl/>
        </w:rPr>
        <w:t>.</w:t>
      </w:r>
    </w:p>
  </w:footnote>
  <w:footnote w:id="5">
    <w:p w14:paraId="5CC8C820" w14:textId="77777777" w:rsidR="00DF1FC7" w:rsidRPr="00351B7D" w:rsidRDefault="00DF1FC7" w:rsidP="008E16D0">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וסיים הטור "והיא זונה האמורה בתורה", וקשה שהרי הגדרתה של זונה היא אחרת, וכ"כ הטור בעצמו בסי' ו' (כמפורט לקמן):</w:t>
      </w:r>
    </w:p>
    <w:p w14:paraId="1DB253D6" w14:textId="77777777" w:rsidR="00DF1FC7" w:rsidRPr="00351B7D" w:rsidRDefault="00DF1FC7" w:rsidP="00A8697F">
      <w:pPr>
        <w:pStyle w:val="a5"/>
        <w:numPr>
          <w:ilvl w:val="0"/>
          <w:numId w:val="2"/>
        </w:numPr>
        <w:rPr>
          <w:rFonts w:asciiTheme="minorBidi" w:hAnsiTheme="minorBidi"/>
        </w:rPr>
      </w:pPr>
      <w:r w:rsidRPr="00351B7D">
        <w:rPr>
          <w:rFonts w:asciiTheme="minorBidi" w:hAnsiTheme="minorBidi"/>
          <w:rtl/>
        </w:rPr>
        <w:t xml:space="preserve">ב"י- לאו למימרא דזו היא זונה האמורה בתורה לאסרה לכהן אלא לומר שנקראת זונה בכתוב כדאשכחן בתמר זנתה תמר כלתך וגם הנה הרה לזנונים </w:t>
      </w:r>
      <w:r w:rsidRPr="00351B7D">
        <w:rPr>
          <w:rFonts w:asciiTheme="minorBidi" w:hAnsiTheme="minorBidi"/>
          <w:sz w:val="16"/>
          <w:szCs w:val="16"/>
          <w:rtl/>
        </w:rPr>
        <w:t>(בראשית לח כד)</w:t>
      </w:r>
      <w:r w:rsidRPr="00351B7D">
        <w:rPr>
          <w:rFonts w:asciiTheme="minorBidi" w:hAnsiTheme="minorBidi"/>
          <w:rtl/>
        </w:rPr>
        <w:t>... דאפילו ביאת פנויה מיקריא זנות לענין השם בלבד אבל לענין זונה האסורה לכהן אין זונה אלא גיורת ומשוחררת וכו' וכדברי חכמים. (וכ"כ הב"ח והנח"צ</w:t>
      </w:r>
      <w:r w:rsidRPr="00351B7D">
        <w:rPr>
          <w:rFonts w:asciiTheme="minorBidi" w:hAnsiTheme="minorBidi"/>
          <w:sz w:val="16"/>
          <w:szCs w:val="16"/>
          <w:rtl/>
        </w:rPr>
        <w:t xml:space="preserve"> [סק"א]</w:t>
      </w:r>
      <w:r w:rsidRPr="00351B7D">
        <w:rPr>
          <w:rFonts w:asciiTheme="minorBidi" w:hAnsiTheme="minorBidi"/>
          <w:rtl/>
        </w:rPr>
        <w:t>)</w:t>
      </w:r>
    </w:p>
    <w:p w14:paraId="5D46F4E8" w14:textId="77777777" w:rsidR="00DF1FC7" w:rsidRPr="00351B7D" w:rsidRDefault="00DF1FC7" w:rsidP="00A8697F">
      <w:pPr>
        <w:pStyle w:val="a5"/>
        <w:numPr>
          <w:ilvl w:val="0"/>
          <w:numId w:val="2"/>
        </w:numPr>
        <w:rPr>
          <w:rFonts w:asciiTheme="minorBidi" w:hAnsiTheme="minorBidi"/>
        </w:rPr>
      </w:pPr>
      <w:r w:rsidRPr="00351B7D">
        <w:rPr>
          <w:rFonts w:asciiTheme="minorBidi" w:hAnsiTheme="minorBidi"/>
          <w:rtl/>
        </w:rPr>
        <w:t xml:space="preserve">הר"ר יחיאל </w:t>
      </w:r>
      <w:r w:rsidRPr="00351B7D">
        <w:rPr>
          <w:rFonts w:asciiTheme="minorBidi" w:hAnsiTheme="minorBidi"/>
          <w:sz w:val="16"/>
          <w:szCs w:val="16"/>
          <w:rtl/>
        </w:rPr>
        <w:t>(הביאו הדרכ"מ אות א)</w:t>
      </w:r>
      <w:r w:rsidRPr="00351B7D">
        <w:rPr>
          <w:rFonts w:asciiTheme="minorBidi" w:hAnsiTheme="minorBidi"/>
          <w:rtl/>
        </w:rPr>
        <w:t xml:space="preserve">- מה שכתב הטור לעיל (סי' ו עמ' מב) דלא מיקריא זונה מחייבי לאוין היינו בדרך עראי וכאן מיירי במופקרת ולכן הויא זונה כרבי עקיבא דס"ל הכי. </w:t>
      </w:r>
    </w:p>
    <w:p w14:paraId="062E6305" w14:textId="77777777" w:rsidR="00DF1FC7" w:rsidRPr="00351B7D" w:rsidRDefault="00DF1FC7" w:rsidP="00A8697F">
      <w:pPr>
        <w:pStyle w:val="a5"/>
        <w:numPr>
          <w:ilvl w:val="0"/>
          <w:numId w:val="2"/>
        </w:numPr>
        <w:rPr>
          <w:rFonts w:asciiTheme="minorBidi" w:hAnsiTheme="minorBidi"/>
        </w:rPr>
      </w:pPr>
      <w:r w:rsidRPr="00351B7D">
        <w:rPr>
          <w:rFonts w:asciiTheme="minorBidi" w:hAnsiTheme="minorBidi"/>
          <w:rtl/>
        </w:rPr>
        <w:t>דרכ"מ</w:t>
      </w:r>
      <w:r w:rsidRPr="00351B7D">
        <w:rPr>
          <w:rFonts w:asciiTheme="minorBidi" w:hAnsiTheme="minorBidi"/>
          <w:sz w:val="16"/>
          <w:szCs w:val="16"/>
          <w:rtl/>
        </w:rPr>
        <w:t xml:space="preserve"> (אות א)</w:t>
      </w:r>
      <w:r w:rsidRPr="00351B7D">
        <w:rPr>
          <w:rFonts w:asciiTheme="minorBidi" w:hAnsiTheme="minorBidi"/>
          <w:rtl/>
        </w:rPr>
        <w:t>- הא דקאמר ד"היא זונה האמורה בתורה" ר"ל דזונה האמורה בתורה מיירי נמי כה"ג שבא עליה בדרך זנות לא בדרך אישות, כי אין אישות רק בדרך קידושין ובמקום שיש קידושין אין שם זונה וכמו שנתבאר לעיל סימן ו'.</w:t>
      </w:r>
    </w:p>
    <w:p w14:paraId="3C995829" w14:textId="77777777" w:rsidR="00DF1FC7" w:rsidRPr="00351B7D" w:rsidRDefault="00DF1FC7" w:rsidP="00A8697F">
      <w:pPr>
        <w:pStyle w:val="a5"/>
        <w:numPr>
          <w:ilvl w:val="0"/>
          <w:numId w:val="2"/>
        </w:numPr>
        <w:rPr>
          <w:rFonts w:asciiTheme="minorBidi" w:hAnsiTheme="minorBidi"/>
          <w:rtl/>
        </w:rPr>
      </w:pPr>
      <w:r w:rsidRPr="00351B7D">
        <w:rPr>
          <w:rFonts w:asciiTheme="minorBidi" w:hAnsiTheme="minorBidi"/>
          <w:rtl/>
        </w:rPr>
        <w:t xml:space="preserve">ט"ז </w:t>
      </w:r>
      <w:r w:rsidRPr="00351B7D">
        <w:rPr>
          <w:rFonts w:asciiTheme="minorBidi" w:hAnsiTheme="minorBidi"/>
          <w:sz w:val="16"/>
          <w:szCs w:val="16"/>
          <w:rtl/>
        </w:rPr>
        <w:t>(סק"א)</w:t>
      </w:r>
      <w:r w:rsidRPr="00351B7D">
        <w:rPr>
          <w:rFonts w:asciiTheme="minorBidi" w:hAnsiTheme="minorBidi"/>
          <w:rtl/>
        </w:rPr>
        <w:t xml:space="preserve">- לר' אליעזר אפילו בפ"א הוי זונה ולר"ע דוקא שתי פעמים נקראת מופקרת, והטור פסק כר"ע </w:t>
      </w:r>
      <w:r w:rsidRPr="00351B7D">
        <w:rPr>
          <w:rFonts w:asciiTheme="minorBidi" w:hAnsiTheme="minorBidi"/>
          <w:sz w:val="16"/>
          <w:szCs w:val="16"/>
          <w:rtl/>
        </w:rPr>
        <w:t>(ואע"ג  דבסי' ו' כ' הטור דעת הרא"ש דהלכה כחכמים דדוקא בנבעלה לחייבי כריתות מ"מ הרי זכר שם בשם הרמב"ם דאף בחייבי לאוין השוין בכל הוי זונה, נמצא דזו שהיתה מופקרת דהיינו שנבעלה בזנות שתי פעמים שיש בה גם כן לאו דלא תהיה קדשה אסורה לכהן אפילו בקידושין, ואע"פ דלא זכר הטור ביאה שניה מ"מ הוזכר במש"כ שהיא בכלל מופקרת שהיא קדשה וזהו פשוט שכל קדשה היינו אחר ב' פעמים)</w:t>
      </w:r>
      <w:r w:rsidRPr="00351B7D">
        <w:rPr>
          <w:rFonts w:asciiTheme="minorBidi" w:hAnsiTheme="minorBidi"/>
          <w:rtl/>
        </w:rPr>
        <w:t>, ועל כן ביאור דברי הטור בדרך זה- אין אשה נחשבת אשת איש אלא ע"י קידושין, אבל בלא קידושין אפילו בא עליה לא קנאה, וכיון דלא קנאה אם יחזור ויבא עליה ביאות אחרות ילקה משום לא תהיה קדשה, פי' מופקרת כרע"ק, והיינו אחר שתזנה עוד פ"א תהיה נקראת מופקרת והבא עליה בלא יחוד לאשה חייב מלקות, וע"ז סיים הטור וזו היא זונה האמורה בתורה סתם שאסורה לכהן כמו שזכרנו, ואח"כ כתב דאפילו בא לשם אישות אפילו יחדה ביאה זו לא קניא ליה כיון שאין שם עדים, ומדלא קניא ממילא לא הוה אשתו של זה ויש לו בושת לומר ברבים שהיא אשתו, ממילא תשמש עמו בלא טבילה ע"כ יוציאוה ב"ד.</w:t>
      </w:r>
    </w:p>
  </w:footnote>
  <w:footnote w:id="6">
    <w:p w14:paraId="61D7F03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שני הסוגריים המרובעות מובאות בגירסתנו, וכ"כ הרמב"ם והרמב"ן ועוד. ונראה דליתא להנך תיבות בגיר' רש"י.</w:t>
      </w:r>
    </w:p>
  </w:footnote>
  <w:footnote w:id="7">
    <w:p w14:paraId="3427473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וז"ל הכס"מ </w:t>
      </w:r>
      <w:r w:rsidRPr="00351B7D">
        <w:rPr>
          <w:rFonts w:asciiTheme="minorBidi" w:hAnsiTheme="minorBidi"/>
          <w:sz w:val="16"/>
          <w:szCs w:val="16"/>
          <w:rtl/>
        </w:rPr>
        <w:t>(הל' מלכים פ"ד ה"ד)</w:t>
      </w:r>
      <w:r w:rsidRPr="00351B7D">
        <w:rPr>
          <w:rFonts w:asciiTheme="minorBidi" w:hAnsiTheme="minorBidi"/>
          <w:rtl/>
        </w:rPr>
        <w:t xml:space="preserve">- "ומאחר שרבינו סובר שהבא על פנויה שלא לשם קידושין לוקה כמ"ש א"כ הדיוט אסור בפלגש". אבל הח"מ </w:t>
      </w:r>
      <w:r w:rsidRPr="00351B7D">
        <w:rPr>
          <w:rFonts w:asciiTheme="minorBidi" w:hAnsiTheme="minorBidi"/>
          <w:sz w:val="16"/>
          <w:szCs w:val="16"/>
          <w:rtl/>
        </w:rPr>
        <w:t>(סק"ב)</w:t>
      </w:r>
      <w:r w:rsidRPr="00351B7D">
        <w:rPr>
          <w:rFonts w:asciiTheme="minorBidi" w:hAnsiTheme="minorBidi"/>
          <w:rtl/>
        </w:rPr>
        <w:t xml:space="preserve"> וב"ש </w:t>
      </w:r>
      <w:r w:rsidRPr="00351B7D">
        <w:rPr>
          <w:rFonts w:asciiTheme="minorBidi" w:hAnsiTheme="minorBidi"/>
          <w:sz w:val="16"/>
          <w:szCs w:val="16"/>
          <w:rtl/>
        </w:rPr>
        <w:t>(סק"ב)</w:t>
      </w:r>
      <w:r w:rsidRPr="00351B7D">
        <w:rPr>
          <w:rFonts w:asciiTheme="minorBidi" w:hAnsiTheme="minorBidi"/>
          <w:rtl/>
        </w:rPr>
        <w:t xml:space="preserve"> כ' שאין הכרח מדברי הרמב"ם שלוקה בכה"ג.</w:t>
      </w:r>
    </w:p>
  </w:footnote>
  <w:footnote w:id="8">
    <w:p w14:paraId="61E415F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הרשב"א (במיוחסות סי' רפ"ד) כ' שלרמב"ם אין הבדל בין מלך להדיוט, וכ' הב"ש (סק"ב) שהייתה לו גירסה אחרת ברמב"ם.</w:t>
      </w:r>
    </w:p>
  </w:footnote>
  <w:footnote w:id="9">
    <w:p w14:paraId="062CABA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בהשגות פ"א ה"ד, וז"ל- "אבל המייחדת עצמה לאיש אחד אין בה לא מלקות ולא איסור לאו והיא הפילגש הכתובה" עכ"ל.</w:t>
      </w:r>
    </w:p>
  </w:footnote>
  <w:footnote w:id="10">
    <w:p w14:paraId="7AC1311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דהא אפילו יחוד פנויה גזרו בב"ד של דוד ואפילו ההסתכלות בה אסור מדברי קבלה הרי הכתוב אומר ברית כרתי לעיני ומה אתבונן על בתולה, ח"מ.</w:t>
      </w:r>
    </w:p>
  </w:footnote>
  <w:footnote w:id="11">
    <w:p w14:paraId="6084B43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ממה שמצינו בגדולי עולם שהיה להם פלגשים בכלב ובגדעון וגבי פלגש בגבעה כתיב לשון אשה משמע שלא היה באיסור, עכ"ל המקנה. ואין להקשות איך ס"ד לומר דליכא איסור בפלגש הא קי"ל כלה בלא ברכה אסורה כנדה ופלגש היא בלא ברכה וקידושין, דכבר תירץ בתשו' הרמב"ן סי' רפ"ד דוקא כשרוצה לישא אשה שתהיה קנויה לו לכל דבר ותהיה אסורה לכל אדם אז אמרה התור' שיקדש אותה ויכנוס אותה לחופה ויברך ז' ברכות אבל פלגש אין צריך ברכה וקידושין, ב"ש (סק"ב).</w:t>
      </w:r>
    </w:p>
  </w:footnote>
  <w:footnote w:id="12">
    <w:p w14:paraId="5E01933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רשב"א שם, וז"ל- "ואתה רבינו ה' יחייך במקומך תזהירם מן הפילגש שאם ידעו ההיתר יזנו ויפרצו ויבואו עליהן בנדותן".</w:t>
      </w:r>
    </w:p>
  </w:footnote>
  <w:footnote w:id="13">
    <w:p w14:paraId="7D7A8A6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טועה שטועה מתחת בעלה לאחרים דלרבי אליעזר אין זונה אלא אשת איש, רש"י.</w:t>
      </w:r>
    </w:p>
  </w:footnote>
  <w:footnote w:id="14">
    <w:p w14:paraId="611BE22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ואפי' פנויה מאחר שהפקירה עצמה לכל קרויה זונה אבל משום בעילה אחת לא הויא זונה הפנויה, רש"י.</w:t>
      </w:r>
    </w:p>
  </w:footnote>
  <w:footnote w:id="15">
    <w:p w14:paraId="05BF416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לב"ד הגדול והוליכה להשקותה מי המרים שקינא לה ונסתרה ואסורה לו עד שתשתה עשאה זונה הואיל ונבעלה לפסול לה ואם מת אסורה לכהן, רש"י.</w:t>
      </w:r>
    </w:p>
  </w:footnote>
  <w:footnote w:id="16">
    <w:p w14:paraId="153C69A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דנבעלה בנכריותה לעובדי כוכבים וכן משוחררת דעובד כוכבים ועבד הואיל ולאו בני קדושין נינהו פסלי, רש"י.</w:t>
      </w:r>
    </w:p>
  </w:footnote>
  <w:footnote w:id="17">
    <w:p w14:paraId="49ADFAB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לפסול לה כגון א' מכל העריות וכגון בת ישראל לנתין וממזר, רש"י.</w:t>
      </w:r>
    </w:p>
  </w:footnote>
  <w:footnote w:id="18">
    <w:p w14:paraId="3278308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קמ"ל דאינה נעשית זונה בבעילה של איסור</w:t>
      </w:r>
      <w:r w:rsidRPr="00351B7D">
        <w:rPr>
          <w:rFonts w:asciiTheme="minorBidi" w:hAnsiTheme="minorBidi"/>
          <w:sz w:val="16"/>
          <w:szCs w:val="16"/>
          <w:rtl/>
        </w:rPr>
        <w:t xml:space="preserve"> (כגון נרבעת לבהמה וכדו')</w:t>
      </w:r>
      <w:r w:rsidRPr="00351B7D">
        <w:rPr>
          <w:rFonts w:asciiTheme="minorBidi" w:hAnsiTheme="minorBidi"/>
          <w:rtl/>
        </w:rPr>
        <w:t xml:space="preserve"> אלא בפגימה, כחכמים.</w:t>
      </w:r>
    </w:p>
  </w:footnote>
  <w:footnote w:id="19">
    <w:p w14:paraId="47EA49B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רק יש להעיר שהרמ"א דיבר במומרים, אך הריב"ש לא כ' שמדובר במומרים </w:t>
      </w:r>
      <w:r w:rsidRPr="00351B7D">
        <w:rPr>
          <w:rFonts w:asciiTheme="minorBidi" w:hAnsiTheme="minorBidi"/>
          <w:sz w:val="16"/>
          <w:szCs w:val="16"/>
          <w:rtl/>
        </w:rPr>
        <w:t>(ואדרבה משמע שהשואל אינו מומר- עי' סי' ה)</w:t>
      </w:r>
      <w:r w:rsidRPr="00351B7D">
        <w:rPr>
          <w:rFonts w:asciiTheme="minorBidi" w:hAnsiTheme="minorBidi"/>
          <w:rtl/>
        </w:rPr>
        <w:t xml:space="preserve">. </w:t>
      </w:r>
    </w:p>
  </w:footnote>
  <w:footnote w:id="20">
    <w:p w14:paraId="0219C9F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ואפילו אם נתייחד עמה בעדים ליכא למיחש דבא עליה לשם קידושין, דרכ"מ (סי' כז אות י).</w:t>
      </w:r>
    </w:p>
  </w:footnote>
  <w:footnote w:id="21">
    <w:p w14:paraId="3264F6B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והטור כ' שלוקה משום לא תהיה קדשה, אך הראב"ד חולק ואומר שאינה קדשה אלא כשמפקרת עצמה לכל אדם ורק אז לוקה </w:t>
      </w:r>
      <w:r w:rsidRPr="00351B7D">
        <w:rPr>
          <w:rFonts w:asciiTheme="minorBidi" w:hAnsiTheme="minorBidi"/>
          <w:sz w:val="16"/>
          <w:szCs w:val="16"/>
          <w:rtl/>
        </w:rPr>
        <w:t>(ולפי מה שכתבתי לעיל כן ד' הרמב"ם)</w:t>
      </w:r>
      <w:r w:rsidRPr="00351B7D">
        <w:rPr>
          <w:rFonts w:asciiTheme="minorBidi" w:hAnsiTheme="minorBidi"/>
          <w:rtl/>
        </w:rPr>
        <w:t xml:space="preserve">, וכ"פ באה"ג </w:t>
      </w:r>
      <w:r w:rsidRPr="00351B7D">
        <w:rPr>
          <w:rFonts w:asciiTheme="minorBidi" w:hAnsiTheme="minorBidi"/>
          <w:sz w:val="16"/>
          <w:szCs w:val="16"/>
          <w:rtl/>
        </w:rPr>
        <w:t>(אות ב)</w:t>
      </w:r>
      <w:r w:rsidRPr="00351B7D">
        <w:rPr>
          <w:rFonts w:asciiTheme="minorBidi" w:hAnsiTheme="minorBidi"/>
          <w:rtl/>
        </w:rPr>
        <w:t xml:space="preserve">, וכ' ראש פינה </w:t>
      </w:r>
      <w:r w:rsidRPr="00351B7D">
        <w:rPr>
          <w:rFonts w:asciiTheme="minorBidi" w:hAnsiTheme="minorBidi"/>
          <w:sz w:val="16"/>
          <w:szCs w:val="16"/>
          <w:rtl/>
        </w:rPr>
        <w:t xml:space="preserve">(חלה"ש סק"א) </w:t>
      </w:r>
      <w:r w:rsidRPr="00351B7D">
        <w:rPr>
          <w:rFonts w:asciiTheme="minorBidi" w:hAnsiTheme="minorBidi"/>
          <w:rtl/>
        </w:rPr>
        <w:t>דמדכתב השו"ע "אינו כלום" משמע שאינו לוקה.</w:t>
      </w:r>
    </w:p>
  </w:footnote>
  <w:footnote w:id="22">
    <w:p w14:paraId="6658E3D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ודווקא בינו לבינה שאילו היה בפני עדים כיון דלשם אישות בא עליה הוה ליה מקדש בביאה, ב"י. וכל שגלוי לכל שבא עליה, כגון שנשאה, הוי כאלו היה עדים בעת הביאה</w:t>
      </w:r>
      <w:r w:rsidRPr="00351B7D">
        <w:rPr>
          <w:rFonts w:asciiTheme="minorBidi" w:hAnsiTheme="minorBidi"/>
          <w:sz w:val="16"/>
          <w:szCs w:val="16"/>
          <w:rtl/>
        </w:rPr>
        <w:t xml:space="preserve"> (שו"ע ורמ"א ר"ס קמט)</w:t>
      </w:r>
      <w:r w:rsidRPr="00351B7D">
        <w:rPr>
          <w:rFonts w:asciiTheme="minorBidi" w:hAnsiTheme="minorBidi"/>
          <w:rtl/>
        </w:rPr>
        <w:t xml:space="preserve">, לפ"ז אם היה גלוי שנושא אותה לשם אישות הוי קידושין בביאה </w:t>
      </w:r>
      <w:r w:rsidRPr="00351B7D">
        <w:rPr>
          <w:rFonts w:asciiTheme="minorBidi" w:hAnsiTheme="minorBidi"/>
          <w:sz w:val="16"/>
          <w:szCs w:val="16"/>
          <w:rtl/>
        </w:rPr>
        <w:t>(ב"ש סק"א)</w:t>
      </w:r>
      <w:r w:rsidRPr="00351B7D">
        <w:rPr>
          <w:rFonts w:asciiTheme="minorBidi" w:hAnsiTheme="minorBidi"/>
          <w:rtl/>
        </w:rPr>
        <w:t>.</w:t>
      </w:r>
    </w:p>
  </w:footnote>
  <w:footnote w:id="23">
    <w:p w14:paraId="7B2932B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הגר"א (סוף סק"ח) חולק על הב' זו</w:t>
      </w:r>
      <w:r w:rsidRPr="00351B7D">
        <w:rPr>
          <w:rFonts w:asciiTheme="minorBidi" w:hAnsiTheme="minorBidi"/>
          <w:sz w:val="16"/>
          <w:szCs w:val="16"/>
          <w:rtl/>
        </w:rPr>
        <w:t xml:space="preserve"> (של כותב הציונים)</w:t>
      </w:r>
      <w:r w:rsidRPr="00351B7D">
        <w:rPr>
          <w:rFonts w:asciiTheme="minorBidi" w:hAnsiTheme="minorBidi"/>
          <w:rtl/>
        </w:rPr>
        <w:t xml:space="preserve"> בד' הרמב"ם, וכ' שלד' הרמב"ם כל שאינה מופקרת לכל אינו לוקה עליה.</w:t>
      </w:r>
    </w:p>
  </w:footnote>
  <w:footnote w:id="24">
    <w:p w14:paraId="768AF27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דוקא במומר לרצונו, א"נ אנוס שאינו שומר מצות כלל- הואיל ויצא מן הכלל בכל עבירות שבתורה ודאי עושה בעילתו ב"ז ובהפקירא ניחא ליה, אך אנוסי הזמן אם נודע עליהם שהיו שומרים מצות בצנעה ונשא אנוס אנוסה לשם אישות אף שנשאה בחזקת הגוים אין להקל באיסור אשת איש חלילה, ע"פ ח"מ (סק"ג) ב"ש (סק"ג) ועוד אחרונים. </w:t>
      </w:r>
    </w:p>
  </w:footnote>
  <w:footnote w:id="25">
    <w:p w14:paraId="4B83A4C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אף שיהיו בפני עדים כשרים, ריב"ש (סי' ו) ורד"ך (בית כ"ד חדר ד').</w:t>
      </w:r>
    </w:p>
  </w:footnote>
  <w:footnote w:id="26">
    <w:p w14:paraId="14563EE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בספר המקנה</w:t>
      </w:r>
      <w:r w:rsidRPr="00351B7D">
        <w:rPr>
          <w:rFonts w:asciiTheme="minorBidi" w:hAnsiTheme="minorBidi"/>
          <w:sz w:val="16"/>
          <w:szCs w:val="16"/>
          <w:rtl/>
        </w:rPr>
        <w:t xml:space="preserve"> (בקו"א ד"ה ונראה פשוט, הביאו הפת"ש סק"ב)</w:t>
      </w:r>
      <w:r w:rsidRPr="00351B7D">
        <w:rPr>
          <w:rFonts w:asciiTheme="minorBidi" w:hAnsiTheme="minorBidi"/>
          <w:rtl/>
        </w:rPr>
        <w:t xml:space="preserve"> כ' דנראה פשוט דאם דר עמה אחר הגירות אמרינן מסתמא אין אדם עושה בעילתו בעילת זנות, ונראה דאפילו נתיחד עמה לבד אחר זה צריכה גט </w:t>
      </w:r>
      <w:r w:rsidRPr="00351B7D">
        <w:rPr>
          <w:rFonts w:asciiTheme="minorBidi" w:hAnsiTheme="minorBidi"/>
          <w:sz w:val="16"/>
          <w:szCs w:val="16"/>
          <w:rtl/>
        </w:rPr>
        <w:t>(וכ' עוד דדוקא בעבירה דאו' כגון שלא טבלה לנדתה לא אמרינן דאין אדם עושה בעילתו בעילת זנות אבל באיסור דרבנן אמרינן כדי שלא יעבור על איסור דאו' לדור עם אשה בלא קדושין)</w:t>
      </w:r>
      <w:r w:rsidRPr="00351B7D">
        <w:rPr>
          <w:rFonts w:asciiTheme="minorBidi" w:hAnsiTheme="minorBidi"/>
          <w:rtl/>
        </w:rPr>
        <w:t>.</w:t>
      </w:r>
    </w:p>
  </w:footnote>
  <w:footnote w:id="27">
    <w:p w14:paraId="4BB7725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להוציאה מרשות אביה למעשה ידיה ולירושתה, רש"י.</w:t>
      </w:r>
    </w:p>
  </w:footnote>
  <w:footnote w:id="28">
    <w:p w14:paraId="57A95DD3" w14:textId="77777777" w:rsidR="00DF1FC7" w:rsidRPr="00351B7D" w:rsidRDefault="00DF1FC7" w:rsidP="008E16D0">
      <w:pPr>
        <w:pStyle w:val="a5"/>
        <w:rPr>
          <w:rFonts w:asciiTheme="minorBidi" w:hAnsiTheme="minorBidi"/>
          <w:b/>
          <w:bCs/>
        </w:rPr>
      </w:pPr>
      <w:r w:rsidRPr="00351B7D">
        <w:rPr>
          <w:rStyle w:val="a7"/>
          <w:rFonts w:asciiTheme="minorBidi" w:hAnsiTheme="minorBidi"/>
        </w:rPr>
        <w:footnoteRef/>
      </w:r>
      <w:r w:rsidRPr="00351B7D">
        <w:rPr>
          <w:rFonts w:asciiTheme="minorBidi" w:hAnsiTheme="minorBidi"/>
          <w:rtl/>
        </w:rPr>
        <w:t xml:space="preserve"> להא דאמרת חופה קונה בלא כסף, רש"י.</w:t>
      </w:r>
      <w:r w:rsidRPr="00351B7D">
        <w:rPr>
          <w:rFonts w:asciiTheme="minorBidi" w:hAnsiTheme="minorBidi"/>
          <w:b/>
          <w:bCs/>
          <w:rtl/>
        </w:rPr>
        <w:t xml:space="preserve"> </w:t>
      </w:r>
    </w:p>
  </w:footnote>
  <w:footnote w:id="29">
    <w:p w14:paraId="17813DA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דקאמרת חופה שגומרת כו' וכיון שאינה גומרת אלא לאחר קידושין היאך אתה בא לדון חופה שלא ע"י קידושין מחופה שע"י קידושין, רש"י.</w:t>
      </w:r>
    </w:p>
  </w:footnote>
  <w:footnote w:id="30">
    <w:p w14:paraId="5427B70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ומה כסף, שאינו גומר </w:t>
      </w:r>
      <w:r w:rsidRPr="00351B7D">
        <w:rPr>
          <w:rFonts w:asciiTheme="minorBidi" w:hAnsiTheme="minorBidi"/>
          <w:sz w:val="16"/>
          <w:szCs w:val="16"/>
          <w:rtl/>
        </w:rPr>
        <w:t xml:space="preserve">[נישואין] </w:t>
      </w:r>
      <w:r w:rsidRPr="00351B7D">
        <w:rPr>
          <w:rFonts w:asciiTheme="minorBidi" w:hAnsiTheme="minorBidi"/>
          <w:rtl/>
        </w:rPr>
        <w:t>אפילו אחר כסף של קידושין, בכל זאת הרי הוא קונה</w:t>
      </w:r>
      <w:r w:rsidRPr="00351B7D">
        <w:rPr>
          <w:rFonts w:asciiTheme="minorBidi" w:hAnsiTheme="minorBidi"/>
          <w:sz w:val="16"/>
          <w:szCs w:val="16"/>
          <w:rtl/>
        </w:rPr>
        <w:t xml:space="preserve"> [שלא על ידי קידושין שהיו לפניו]</w:t>
      </w:r>
      <w:r w:rsidRPr="00351B7D">
        <w:rPr>
          <w:rFonts w:asciiTheme="minorBidi" w:hAnsiTheme="minorBidi"/>
          <w:rtl/>
        </w:rPr>
        <w:t>, חופה שגומרת נישואין אחר קנין קידושין בכסף, וכי אינו דין שתקנה אף שלא על ידי קידושין לפניה?!</w:t>
      </w:r>
      <w:r w:rsidRPr="00351B7D">
        <w:rPr>
          <w:rFonts w:asciiTheme="minorBidi" w:hAnsiTheme="minorBidi"/>
          <w:sz w:val="16"/>
          <w:szCs w:val="16"/>
          <w:rtl/>
        </w:rPr>
        <w:t xml:space="preserve"> (חברותא)</w:t>
      </w:r>
    </w:p>
  </w:footnote>
  <w:footnote w:id="31">
    <w:p w14:paraId="12A5E662" w14:textId="77777777" w:rsidR="00DF1FC7" w:rsidRPr="00351B7D" w:rsidRDefault="00DF1FC7" w:rsidP="008E16D0">
      <w:pPr>
        <w:pStyle w:val="a5"/>
        <w:rPr>
          <w:rFonts w:asciiTheme="minorBidi" w:hAnsiTheme="minorBidi"/>
          <w:color w:val="FF0000"/>
        </w:rPr>
      </w:pPr>
      <w:r w:rsidRPr="00351B7D">
        <w:rPr>
          <w:rStyle w:val="a7"/>
          <w:rFonts w:asciiTheme="minorBidi" w:hAnsiTheme="minorBidi"/>
          <w:color w:val="FF0000"/>
        </w:rPr>
        <w:footnoteRef/>
      </w:r>
      <w:r w:rsidRPr="00351B7D">
        <w:rPr>
          <w:rFonts w:asciiTheme="minorBidi" w:hAnsiTheme="minorBidi"/>
          <w:color w:val="FF0000"/>
          <w:rtl/>
        </w:rPr>
        <w:t xml:space="preserve"> המחלוקת היא בין בחופה שלאחר קידושין ובין בחופה גרידא, רשב"א </w:t>
      </w:r>
      <w:r w:rsidRPr="00351B7D">
        <w:rPr>
          <w:rFonts w:asciiTheme="minorBidi" w:hAnsiTheme="minorBidi"/>
          <w:color w:val="FF0000"/>
          <w:sz w:val="16"/>
          <w:szCs w:val="16"/>
          <w:rtl/>
        </w:rPr>
        <w:t xml:space="preserve">(יבמות נז:) </w:t>
      </w:r>
      <w:r w:rsidRPr="00351B7D">
        <w:rPr>
          <w:rFonts w:asciiTheme="minorBidi" w:hAnsiTheme="minorBidi"/>
          <w:color w:val="FF0000"/>
          <w:rtl/>
        </w:rPr>
        <w:t xml:space="preserve">נמוק"י </w:t>
      </w:r>
      <w:r w:rsidRPr="00351B7D">
        <w:rPr>
          <w:rFonts w:asciiTheme="minorBidi" w:hAnsiTheme="minorBidi"/>
          <w:color w:val="FF0000"/>
          <w:sz w:val="16"/>
          <w:szCs w:val="16"/>
          <w:rtl/>
        </w:rPr>
        <w:t xml:space="preserve">(יבמות יט. מדפי הרי"ף) </w:t>
      </w:r>
      <w:r w:rsidRPr="00351B7D">
        <w:rPr>
          <w:rFonts w:asciiTheme="minorBidi" w:hAnsiTheme="minorBidi"/>
          <w:color w:val="FF0000"/>
          <w:rtl/>
        </w:rPr>
        <w:t xml:space="preserve">וגר"א </w:t>
      </w:r>
      <w:r w:rsidRPr="00351B7D">
        <w:rPr>
          <w:rFonts w:asciiTheme="minorBidi" w:hAnsiTheme="minorBidi"/>
          <w:color w:val="FF0000"/>
          <w:sz w:val="16"/>
          <w:szCs w:val="16"/>
          <w:rtl/>
        </w:rPr>
        <w:t>(סק"י)</w:t>
      </w:r>
      <w:r w:rsidRPr="00351B7D">
        <w:rPr>
          <w:rFonts w:asciiTheme="minorBidi" w:hAnsiTheme="minorBidi"/>
          <w:color w:val="FF0000"/>
          <w:rtl/>
        </w:rPr>
        <w:t>.</w:t>
      </w:r>
    </w:p>
  </w:footnote>
  <w:footnote w:id="32">
    <w:p w14:paraId="0183F8B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הלכות פסוקות, לרב יהודאי [ב"ר נחמן] גאון סורא, הספר נקרא ע"י הקדמונים גם הלכות רב יהודאי וגם הלכות קטועות או קצובות, וקיים גם תרגום עתיק שלו שנקרא 'הלכות ראו' [ע"ש המילים הראשונות 'ראו כי ה' נתן לכם השבת']. נולד בפומבדיתא בערך בשנת ד' אלפים ת"מ (680), מובא הרבה בספרי הראשונים, ר' יהודאי היה עיוור, והיו מהקדמונים שתלו בעובדה זו סתירות מסויימות שנמצאו בספר, שהרי נכתב בידי תלמידיו ולא בידו ממש, ביוגרפיה פרוייקט השו"ת.</w:t>
      </w:r>
    </w:p>
  </w:footnote>
  <w:footnote w:id="33">
    <w:p w14:paraId="3EE990B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ספר הלכות גדולות לר' שמעון קיירא </w:t>
      </w:r>
      <w:r w:rsidRPr="00351B7D">
        <w:rPr>
          <w:rFonts w:asciiTheme="minorBidi" w:hAnsiTheme="minorBidi"/>
          <w:sz w:val="16"/>
          <w:szCs w:val="16"/>
          <w:rtl/>
        </w:rPr>
        <w:t>(חי כמאה שנה אחרי רב יהודאי גאון)</w:t>
      </w:r>
      <w:r w:rsidRPr="00351B7D">
        <w:rPr>
          <w:rFonts w:asciiTheme="minorBidi" w:hAnsiTheme="minorBidi"/>
          <w:rtl/>
        </w:rPr>
        <w:t>, חי בעיר בצרה שבדרום מזרח בבל. בשנת ד"א תקפ"ה (825) הוא כתב את ספר הלכות גדולות, שבמשך הזמן תפס את מקומו של ספר הלכות פסוקות כספר העיקרי של תורת הגאונים. ספר הלכות גדולות מתבסס הרבה על ספר הלכות פסוקות וגם על ספר השאלתות של ר' אחאי גאון, כשר' שמעון מרחיב את הספר ומביא גם מתורת אמוראי א"י. הוא כתוב לפי נושאים, בערך לפי סדר התלמוד. במשך הדורות היו קיימות לספר הלכות גדולות מהדורות שונות, וגם לידינו הגיעו כמה נוסחים, כולם משובשים במידה מרובה. ספר ה"ג נדפס לראשונה בונציה בשנת ש"ח, ביוגרפיה פרוייקט השו"ת.</w:t>
      </w:r>
    </w:p>
  </w:footnote>
  <w:footnote w:id="34">
    <w:p w14:paraId="2162CA6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הרי"ף לא הביא את דברי רב הונא אלא הביא רק את המשנה שנשנו בה ג' הדרכים לקנות ומזה למדו הר"ן והב"י שהרי"ף פוסק דלא כרב הונא, אך הרמב"ן סובר שהרי"ף מסתפק בדבר, כר"ח, ולכן לא הביא.</w:t>
      </w:r>
    </w:p>
  </w:footnote>
  <w:footnote w:id="35">
    <w:p w14:paraId="65FC912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ר"י (בתוספות ר"י הזקן) בשמו. והר"ן כ'- "ולא מצאתי גם כן להרמב"ם ז"ל שפסק בחופה ודבריו מטין שחופה אינה קונה".</w:t>
      </w:r>
    </w:p>
  </w:footnote>
  <w:footnote w:id="36">
    <w:p w14:paraId="2558C7E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w:t>
      </w:r>
      <w:r w:rsidRPr="00351B7D">
        <w:rPr>
          <w:rFonts w:asciiTheme="minorBidi" w:hAnsiTheme="minorBidi"/>
          <w:sz w:val="16"/>
          <w:szCs w:val="16"/>
          <w:rtl/>
        </w:rPr>
        <w:t xml:space="preserve"> (אישות פ"א ה"ב)</w:t>
      </w:r>
      <w:r w:rsidRPr="00351B7D">
        <w:rPr>
          <w:rFonts w:asciiTheme="minorBidi" w:hAnsiTheme="minorBidi"/>
          <w:rtl/>
        </w:rPr>
        <w:t xml:space="preserve"> ר"י</w:t>
      </w:r>
      <w:r w:rsidRPr="00351B7D">
        <w:rPr>
          <w:rFonts w:asciiTheme="minorBidi" w:hAnsiTheme="minorBidi"/>
          <w:sz w:val="16"/>
          <w:szCs w:val="16"/>
          <w:rtl/>
        </w:rPr>
        <w:t xml:space="preserve"> (תוס' ר"י הזקן)</w:t>
      </w:r>
      <w:r w:rsidRPr="00351B7D">
        <w:rPr>
          <w:rFonts w:asciiTheme="minorBidi" w:hAnsiTheme="minorBidi"/>
          <w:rtl/>
        </w:rPr>
        <w:t xml:space="preserve"> תוס'</w:t>
      </w:r>
      <w:r w:rsidRPr="00351B7D">
        <w:rPr>
          <w:rFonts w:asciiTheme="minorBidi" w:hAnsiTheme="minorBidi"/>
          <w:sz w:val="16"/>
          <w:szCs w:val="16"/>
          <w:rtl/>
        </w:rPr>
        <w:t xml:space="preserve"> (ה: ד"ה חופה)</w:t>
      </w:r>
      <w:r w:rsidRPr="00351B7D">
        <w:rPr>
          <w:rFonts w:asciiTheme="minorBidi" w:hAnsiTheme="minorBidi"/>
          <w:rtl/>
        </w:rPr>
        <w:t xml:space="preserve"> רמב"ן</w:t>
      </w:r>
      <w:r w:rsidRPr="00351B7D">
        <w:rPr>
          <w:rFonts w:asciiTheme="minorBidi" w:hAnsiTheme="minorBidi"/>
          <w:sz w:val="16"/>
          <w:szCs w:val="16"/>
          <w:rtl/>
        </w:rPr>
        <w:t xml:space="preserve"> (ד"ה כ' רבנו)</w:t>
      </w:r>
      <w:r w:rsidRPr="00351B7D">
        <w:rPr>
          <w:rFonts w:asciiTheme="minorBidi" w:hAnsiTheme="minorBidi"/>
          <w:rtl/>
        </w:rPr>
        <w:t xml:space="preserve"> ורא"ש</w:t>
      </w:r>
      <w:r w:rsidRPr="00351B7D">
        <w:rPr>
          <w:rFonts w:asciiTheme="minorBidi" w:hAnsiTheme="minorBidi"/>
          <w:sz w:val="16"/>
          <w:szCs w:val="16"/>
          <w:rtl/>
        </w:rPr>
        <w:t xml:space="preserve"> (סי' א)</w:t>
      </w:r>
      <w:r w:rsidRPr="00351B7D">
        <w:rPr>
          <w:rFonts w:asciiTheme="minorBidi" w:hAnsiTheme="minorBidi"/>
          <w:rtl/>
        </w:rPr>
        <w:t>.</w:t>
      </w:r>
    </w:p>
  </w:footnote>
  <w:footnote w:id="37">
    <w:p w14:paraId="59F8C63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דהלכתא כרבא לגבי אביי, ועוד דשינויי דאביי לאו אליבא דהלכתא סלקי, רא"ש. וכן מדכ' בגמ' (ג.) מניינא דרישא למעוטי מאי למעוטי חופה, כלומר דדוקא בג' דרכים הללו נקנית אבל אם נכנסה לחופה אינה מתקדשת, ר"ן. </w:t>
      </w:r>
    </w:p>
  </w:footnote>
  <w:footnote w:id="38">
    <w:p w14:paraId="37DA51F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דאפריק אליביה דרב הונא בגמרא כל מאי דאקשו עליה, ר"ח. וכ' הר"ן דמאחר שר"ח מספק אותה עלינו אי אפשר להקל בה. וגם הרשב"א (ח"א סי' אלף רי"ט) כ' שיש לחוש לדברי ר"ח שהוא רב ומובהק וכל שכן בדבר שבערוה. ומ"מ כ' שער המלך </w:t>
      </w:r>
      <w:r w:rsidRPr="00351B7D">
        <w:rPr>
          <w:rFonts w:asciiTheme="minorBidi" w:hAnsiTheme="minorBidi"/>
          <w:sz w:val="16"/>
          <w:szCs w:val="16"/>
          <w:rtl/>
        </w:rPr>
        <w:t>(קונ' חופת חתנים סע' ב)</w:t>
      </w:r>
      <w:r w:rsidRPr="00351B7D">
        <w:rPr>
          <w:rFonts w:asciiTheme="minorBidi" w:hAnsiTheme="minorBidi"/>
          <w:rtl/>
        </w:rPr>
        <w:t xml:space="preserve"> דאפי' רב הונא לא קאמר אלא דחופה קונה היינו לשויה ארוסה ולא שגומר לשויה נשואה</w:t>
      </w:r>
      <w:r w:rsidRPr="00351B7D">
        <w:rPr>
          <w:rFonts w:asciiTheme="minorBidi" w:hAnsiTheme="minorBidi"/>
          <w:sz w:val="16"/>
          <w:szCs w:val="16"/>
          <w:rtl/>
        </w:rPr>
        <w:t xml:space="preserve"> (וכ"כ שו"ת פני יהושע הובא בס' ישועות יעקב)</w:t>
      </w:r>
      <w:r w:rsidRPr="00351B7D">
        <w:rPr>
          <w:rFonts w:asciiTheme="minorBidi" w:hAnsiTheme="minorBidi"/>
          <w:rtl/>
        </w:rPr>
        <w:t xml:space="preserve"> ודלא כמהרש"א בשמעתין שכ' דלרב הונא כשם שקונה כך גומרה אף בתחלה, דזה אינו, וכ"מ מדברי הטור דלענין להיות כאשתו אין שום ספק בדבר אלא דהספק הוא אם צריכה גט.</w:t>
      </w:r>
    </w:p>
  </w:footnote>
  <w:footnote w:id="39">
    <w:p w14:paraId="4D87BDA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וצריכה גט מספק, שער המלך </w:t>
      </w:r>
      <w:r w:rsidRPr="00351B7D">
        <w:rPr>
          <w:rFonts w:asciiTheme="minorBidi" w:hAnsiTheme="minorBidi"/>
          <w:sz w:val="14"/>
          <w:szCs w:val="14"/>
          <w:rtl/>
        </w:rPr>
        <w:t>(פ"י מה"א בקונ' חופת חתנים סע' ג)</w:t>
      </w:r>
      <w:r w:rsidRPr="00351B7D">
        <w:rPr>
          <w:rFonts w:asciiTheme="minorBidi" w:hAnsiTheme="minorBidi"/>
          <w:rtl/>
        </w:rPr>
        <w:t>. וכ' הנח"צ</w:t>
      </w:r>
      <w:r w:rsidRPr="00351B7D">
        <w:rPr>
          <w:rFonts w:asciiTheme="minorBidi" w:hAnsiTheme="minorBidi"/>
          <w:sz w:val="16"/>
          <w:szCs w:val="16"/>
          <w:rtl/>
        </w:rPr>
        <w:t xml:space="preserve"> </w:t>
      </w:r>
      <w:r w:rsidRPr="00351B7D">
        <w:rPr>
          <w:rFonts w:asciiTheme="minorBidi" w:hAnsiTheme="minorBidi"/>
          <w:sz w:val="14"/>
          <w:szCs w:val="14"/>
          <w:rtl/>
        </w:rPr>
        <w:t xml:space="preserve">(סק"ג) </w:t>
      </w:r>
      <w:r w:rsidRPr="00351B7D">
        <w:rPr>
          <w:rFonts w:asciiTheme="minorBidi" w:hAnsiTheme="minorBidi"/>
          <w:rtl/>
        </w:rPr>
        <w:t>שכן דעת השו"ע</w:t>
      </w:r>
      <w:r w:rsidRPr="00351B7D">
        <w:rPr>
          <w:rFonts w:asciiTheme="minorBidi" w:hAnsiTheme="minorBidi"/>
          <w:color w:val="FF0000"/>
          <w:sz w:val="16"/>
          <w:szCs w:val="16"/>
          <w:rtl/>
        </w:rPr>
        <w:t xml:space="preserve"> (וצל"ע, דלפי הכלל סתם ויש וכו' א"צ גט)</w:t>
      </w:r>
      <w:r w:rsidRPr="00351B7D">
        <w:rPr>
          <w:rFonts w:asciiTheme="minorBidi" w:hAnsiTheme="minorBidi"/>
          <w:rtl/>
        </w:rPr>
        <w:t xml:space="preserve">. </w:t>
      </w:r>
    </w:p>
  </w:footnote>
  <w:footnote w:id="40">
    <w:p w14:paraId="6B83CE1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דבאלמנה חופה אינה גומרת (לעניין מציאתה ומעשה ידיה) אלא צריך ביאה כמו שפסק השו"ע סי' סד סע' ה.</w:t>
      </w:r>
    </w:p>
  </w:footnote>
  <w:footnote w:id="41">
    <w:p w14:paraId="3A853B9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קונטרס זה נכתב בהל' אישות פרק י' סע' ב.</w:t>
      </w:r>
    </w:p>
  </w:footnote>
  <w:footnote w:id="42">
    <w:p w14:paraId="244AF7F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לשון הטור, וסיים שם הטור- "אבל אינה חשובה כאשת איש לכל דבר כאשר יתבאר לקמן בעזרת האל". וכוונתו לסי' נ"ה </w:t>
      </w:r>
      <w:r w:rsidRPr="00351B7D">
        <w:rPr>
          <w:rFonts w:asciiTheme="minorBidi" w:hAnsiTheme="minorBidi"/>
          <w:sz w:val="16"/>
          <w:szCs w:val="16"/>
          <w:rtl/>
        </w:rPr>
        <w:t>(דשם מבואר דלענין חיוב במזונותיה וקבורתה או שיירשנה ויטמא לה ושאר עניינים אינה נחשבת לאשתו אע"פ שנתקדשה עד שתכנס לחופה, כתונת פסים)</w:t>
      </w:r>
      <w:r w:rsidRPr="00351B7D">
        <w:rPr>
          <w:rFonts w:asciiTheme="minorBidi" w:hAnsiTheme="minorBidi"/>
          <w:rtl/>
        </w:rPr>
        <w:t>.</w:t>
      </w:r>
    </w:p>
  </w:footnote>
  <w:footnote w:id="43">
    <w:p w14:paraId="6B18048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בשבט בד של הדס, רש"י.</w:t>
      </w:r>
    </w:p>
  </w:footnote>
  <w:footnote w:id="44">
    <w:p w14:paraId="1373105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פריצותא דקדיש בשוקא, רש"י.</w:t>
      </w:r>
    </w:p>
  </w:footnote>
  <w:footnote w:id="45">
    <w:p w14:paraId="40472E0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אם באת לינשא לאחר כשמואל דאמר חיישינן שמא שוה פרוטה במדי, רש"י.</w:t>
      </w:r>
    </w:p>
  </w:footnote>
  <w:footnote w:id="46">
    <w:p w14:paraId="05BD9A8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פריצותא, רש"י.</w:t>
      </w:r>
    </w:p>
  </w:footnote>
  <w:footnote w:id="47">
    <w:p w14:paraId="55DD508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השולח גט לאשתו והגיע בשליח ואמר לו גט שנתתי לך בטל הוא דילמא לא ידעי ליה אינשי דבטליה קודם שיבא לידה ושמא יתננו השליח לאחר שבטלו ותנשא בו, רש"י.</w:t>
      </w:r>
    </w:p>
  </w:footnote>
  <w:footnote w:id="48">
    <w:p w14:paraId="2666588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בגט המעושה בישראל, דמוציא לעז על בניה, רש"י.</w:t>
      </w:r>
    </w:p>
  </w:footnote>
  <w:footnote w:id="49">
    <w:p w14:paraId="3F60047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שמזמינו לדין מפי הדיינין וזה קם עליו ומכהו, רש"י.</w:t>
      </w:r>
    </w:p>
  </w:footnote>
  <w:footnote w:id="50">
    <w:p w14:paraId="6197607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שמא יכשל בה שסתם חמותה אוהבת את חתנה דאמר מר (בפסחים דף קיג) הוי זהיר באשתך מחתנה הראשון, רש"י.</w:t>
      </w:r>
    </w:p>
  </w:footnote>
  <w:footnote w:id="51">
    <w:p w14:paraId="075D2B1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דנהרדעי פליגי ואמרי דרב לא מינגיד בהכי- אין לסמוך עליהם, שכן נהגו הגאונים ז"ל לפסוק כלישנא דגמ' ולא כלישנא דאמוראי, כמ"ש הרי"ף ז"ל בפ' ערבי פסחים, ורב יוסף אית ליה הא דרב כדאמרינן התם שלח ליה נגדיא כרב ואצרכיה גטא כשמואל, וכן דרב יהודה ס"ל דאכולה מנגד רב דלא כנהרדעי דהא שמתיה לההוא גברא דצעריה ואייתי ראיה מההיא דרב, ומשמע דדבר פשוט הוא לכו"ע דהא דנהרדעי ליתא ואכולהו מינגד רב ואפי' מאן דמקדש בלא שדוכין, תשב"ץ.</w:t>
      </w:r>
    </w:p>
  </w:footnote>
  <w:footnote w:id="52">
    <w:p w14:paraId="1C4A29F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יבמות נא. ד"ה הדר בבית, וז"ל- "אנן סמכינן אנהרדעי דאמרי בכולהו לא מנגיד רב אלא אמאן דמקדש בביאה דבשל סופרים הלך אחר המיקל". וכ' הגר"א (סקי"ד) שדבריהם תמוהים, דנהרדעי לא פליגי באיסורא, דהא כלהו ודאי איסורא, ולא פליגי אלא במלקות בכלהו.</w:t>
      </w:r>
    </w:p>
  </w:footnote>
  <w:footnote w:id="53">
    <w:p w14:paraId="64385C5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 הרא"ש ביבמות פ"ה סי' ב. וכ' </w:t>
      </w:r>
      <w:r w:rsidRPr="00351B7D">
        <w:rPr>
          <w:rFonts w:asciiTheme="minorBidi" w:hAnsiTheme="minorBidi"/>
          <w:u w:val="single"/>
          <w:rtl/>
        </w:rPr>
        <w:t>הטור</w:t>
      </w:r>
      <w:r w:rsidRPr="00351B7D">
        <w:rPr>
          <w:rFonts w:asciiTheme="minorBidi" w:hAnsiTheme="minorBidi"/>
          <w:rtl/>
        </w:rPr>
        <w:t xml:space="preserve">, וז"ל- "א"א הרא"ש ז"ל כתב שאין הלכה כרב אלא בהא הלכה כרב שמלקין על המקדש בביאה ולא באינך". </w:t>
      </w:r>
      <w:r w:rsidRPr="00351B7D">
        <w:rPr>
          <w:rFonts w:asciiTheme="minorBidi" w:hAnsiTheme="minorBidi"/>
          <w:u w:val="single"/>
          <w:rtl/>
        </w:rPr>
        <w:t>והב"י</w:t>
      </w:r>
      <w:r w:rsidRPr="00351B7D">
        <w:rPr>
          <w:rFonts w:asciiTheme="minorBidi" w:hAnsiTheme="minorBidi"/>
          <w:rtl/>
        </w:rPr>
        <w:t xml:space="preserve"> הביא רק את לשון הרא"ש בקידושין</w:t>
      </w:r>
      <w:r w:rsidRPr="00351B7D">
        <w:rPr>
          <w:rFonts w:asciiTheme="minorBidi" w:hAnsiTheme="minorBidi"/>
          <w:sz w:val="16"/>
          <w:szCs w:val="16"/>
          <w:rtl/>
        </w:rPr>
        <w:t xml:space="preserve"> (פ"א סי' י"ח) </w:t>
      </w:r>
      <w:r w:rsidRPr="00351B7D">
        <w:rPr>
          <w:rFonts w:asciiTheme="minorBidi" w:hAnsiTheme="minorBidi"/>
          <w:rtl/>
        </w:rPr>
        <w:t>וז"ל- "ועל נהרדעי סמכי האידנא חתנים הדרים בבית חמיהם אע"ג דרב יוסף לית ליה הא דנהרדעי דהא אמר נגדיה כרב, וכן רב יהודה לקמן</w:t>
      </w:r>
      <w:r w:rsidRPr="00351B7D">
        <w:rPr>
          <w:rFonts w:asciiTheme="minorBidi" w:hAnsiTheme="minorBidi"/>
          <w:sz w:val="16"/>
          <w:szCs w:val="16"/>
          <w:rtl/>
        </w:rPr>
        <w:t xml:space="preserve"> (דף ע.- ע:)</w:t>
      </w:r>
      <w:r w:rsidRPr="00351B7D">
        <w:rPr>
          <w:rFonts w:asciiTheme="minorBidi" w:hAnsiTheme="minorBidi"/>
          <w:rtl/>
        </w:rPr>
        <w:t xml:space="preserve">" ואחר זה כ' הב"י דמשמע לטור דמכיון שכתב אביו "ועל נהרדעי סמכי האידנא" דהכי סבירא ליה דהלכתא כנהרדעי, ואינו מוכרח בדבריו, דהא אפשר דסמכו- וליה לא סבירא ליה, שהרי כתב דרב יוסף ורב יהודה לית להו דנהרדעי, ע"כ. וכך נראה מדברי הרא"ש ביבמות </w:t>
      </w:r>
      <w:r w:rsidRPr="00351B7D">
        <w:rPr>
          <w:rFonts w:asciiTheme="minorBidi" w:hAnsiTheme="minorBidi"/>
          <w:sz w:val="14"/>
          <w:szCs w:val="14"/>
          <w:rtl/>
        </w:rPr>
        <w:t>(ויש לציין שהב"י לא הביא כאן את דברי הרא"ש ביבמות, למרות שהביאם בסי' קלד, ולכן כ' דאינו מוכרח דהרא"ש ס"ל כן, ב"ש [סק"ה]. משמע דדעת הב"ש דמיבמות מוכח שדעת הרא"ש כנהרדעי)</w:t>
      </w:r>
      <w:r w:rsidRPr="00351B7D">
        <w:rPr>
          <w:rFonts w:asciiTheme="minorBidi" w:hAnsiTheme="minorBidi"/>
          <w:rtl/>
        </w:rPr>
        <w:t xml:space="preserve">, וגם </w:t>
      </w:r>
      <w:r w:rsidRPr="00351B7D">
        <w:rPr>
          <w:rFonts w:asciiTheme="minorBidi" w:hAnsiTheme="minorBidi"/>
          <w:u w:val="single"/>
          <w:rtl/>
        </w:rPr>
        <w:t>הקו"נ</w:t>
      </w:r>
      <w:r w:rsidRPr="00351B7D">
        <w:rPr>
          <w:rFonts w:asciiTheme="minorBidi" w:hAnsiTheme="minorBidi"/>
          <w:rtl/>
        </w:rPr>
        <w:t xml:space="preserve"> </w:t>
      </w:r>
      <w:r w:rsidRPr="00351B7D">
        <w:rPr>
          <w:rFonts w:asciiTheme="minorBidi" w:hAnsiTheme="minorBidi"/>
          <w:sz w:val="16"/>
          <w:szCs w:val="16"/>
          <w:rtl/>
        </w:rPr>
        <w:t xml:space="preserve">(קדושין פ"א סי' י"ח אות ר) </w:t>
      </w:r>
      <w:r w:rsidRPr="00351B7D">
        <w:rPr>
          <w:rFonts w:asciiTheme="minorBidi" w:hAnsiTheme="minorBidi"/>
          <w:rtl/>
        </w:rPr>
        <w:t xml:space="preserve">כ' שמדברי הרא"ש בתשו' </w:t>
      </w:r>
      <w:r w:rsidRPr="00351B7D">
        <w:rPr>
          <w:rFonts w:asciiTheme="minorBidi" w:hAnsiTheme="minorBidi"/>
          <w:sz w:val="16"/>
          <w:szCs w:val="16"/>
          <w:rtl/>
        </w:rPr>
        <w:t xml:space="preserve">(כלל נג) </w:t>
      </w:r>
      <w:r w:rsidRPr="00351B7D">
        <w:rPr>
          <w:rFonts w:asciiTheme="minorBidi" w:hAnsiTheme="minorBidi"/>
          <w:rtl/>
        </w:rPr>
        <w:t xml:space="preserve">משמע להדיא שפוסק כרב דמנגיד על המוסר מודעא אגיטא, לכן פירש את דברי הרא"ש אחרת מהטור, וז"ל- "אע"ג דרב יוסף כו' וכן רב יהודה פסקו להא דרב- היינו באינך דברים והיכא דתניא תניא, אבל בכגון דא חתן הדייר בבית חמיו שפיר איכא למימר דסמכו בזה אנהרדעי דבכל סופרים הולכין אחר המיקל". וכעין זה תירץ </w:t>
      </w:r>
      <w:r w:rsidRPr="00351B7D">
        <w:rPr>
          <w:rFonts w:asciiTheme="minorBidi" w:hAnsiTheme="minorBidi"/>
          <w:u w:val="single"/>
          <w:rtl/>
        </w:rPr>
        <w:t>בדרישה</w:t>
      </w:r>
      <w:r w:rsidRPr="00351B7D">
        <w:rPr>
          <w:rFonts w:asciiTheme="minorBidi" w:hAnsiTheme="minorBidi"/>
          <w:sz w:val="16"/>
          <w:szCs w:val="16"/>
          <w:rtl/>
        </w:rPr>
        <w:t xml:space="preserve"> (כאן, אות ט ד"ה והיותר נראה)</w:t>
      </w:r>
      <w:r w:rsidRPr="00351B7D">
        <w:rPr>
          <w:rFonts w:asciiTheme="minorBidi" w:hAnsiTheme="minorBidi"/>
          <w:rtl/>
        </w:rPr>
        <w:t>.</w:t>
      </w:r>
    </w:p>
  </w:footnote>
  <w:footnote w:id="54">
    <w:p w14:paraId="613C5D1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רבי יששכר בער בן ישראל לעזער פרנס איילנבורג, נולד בפוזן, פולין, בערך בשנת ה"א ש"י (1550) ונפטר באוסטרליץ, מורביה, בשנת ה"א שפ"ג (1623). בפוזן הוא למד אצל ר' מרדכי יפה, בעל פירוש הלבוש לשלחן ערוך, וכן אצל בעל ספר מאירת עיניים (הסמ"ע). הוא חיבר פירושים לגמרא ותשובות, שכללם בחיבורו באר שבע, ביוגרפיה פרוייקט השו"ת.</w:t>
      </w:r>
    </w:p>
  </w:footnote>
  <w:footnote w:id="55">
    <w:p w14:paraId="63CCE8A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וכ"כ הגר"א (סקי"ד) בדעת הרמ"א.</w:t>
      </w:r>
    </w:p>
  </w:footnote>
  <w:footnote w:id="56">
    <w:p w14:paraId="4705C3E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 הרמב"ם ריש הל' אישות </w:t>
      </w:r>
      <w:r w:rsidRPr="00351B7D">
        <w:rPr>
          <w:rFonts w:asciiTheme="minorBidi" w:hAnsiTheme="minorBidi"/>
          <w:sz w:val="16"/>
          <w:szCs w:val="16"/>
          <w:rtl/>
        </w:rPr>
        <w:t>(פ"א ה"ב)</w:t>
      </w:r>
      <w:r w:rsidRPr="00351B7D">
        <w:rPr>
          <w:rFonts w:asciiTheme="minorBidi" w:hAnsiTheme="minorBidi"/>
          <w:rtl/>
        </w:rPr>
        <w:t>, כסף הוא מדברי סופרים, וכ' הה"מ והכס"מ- מדאורייתא הוא אלא כל דבר שאינו מפורש בתורה נקרא ד"ס אבל דינו כדין התורה, ב"ש (סק"ד).</w:t>
      </w:r>
    </w:p>
  </w:footnote>
  <w:footnote w:id="57">
    <w:p w14:paraId="4338629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לכאורה קשה לדידן דקי"ל "ביאה- אירוסין עושה", ויוצא דבלא טעם זה (משום פריצות) אסור כיון שהיא כשאר ארוסות שאסורה לו כל זמן שלא נכנסה לחופה, וי"ל דלא היה כח ביד חכמים לאסור קדושי ביאה משום דכתובה בפירוש בתורה </w:t>
      </w:r>
      <w:r w:rsidRPr="00351B7D">
        <w:rPr>
          <w:rFonts w:asciiTheme="minorBidi" w:hAnsiTheme="minorBidi"/>
          <w:sz w:val="16"/>
          <w:szCs w:val="16"/>
          <w:rtl/>
        </w:rPr>
        <w:t>(ואיני מבין א"כ למה אסרו משום פריצות, פת"ש)</w:t>
      </w:r>
      <w:r w:rsidRPr="00351B7D">
        <w:rPr>
          <w:rFonts w:asciiTheme="minorBidi" w:hAnsiTheme="minorBidi"/>
          <w:rtl/>
        </w:rPr>
        <w:t xml:space="preserve">, ועוד נראה דנ"מ דכשמכניסה בביתו ומקדשה בביאה דהוי חופה וקידושין ביחד קונה וגומר א"כ ליכא בזה משום ארוסה אלא משום פריצות, וכן נ"מ ביבמה, ס' המקנה </w:t>
      </w:r>
      <w:r w:rsidRPr="00351B7D">
        <w:rPr>
          <w:rFonts w:asciiTheme="minorBidi" w:hAnsiTheme="minorBidi"/>
          <w:sz w:val="16"/>
          <w:szCs w:val="16"/>
          <w:rtl/>
        </w:rPr>
        <w:t>(קו"א, הביאו הפת"ש סק"ה)</w:t>
      </w:r>
      <w:r w:rsidRPr="00351B7D">
        <w:rPr>
          <w:rFonts w:asciiTheme="minorBidi" w:hAnsiTheme="minorBidi"/>
          <w:rtl/>
        </w:rPr>
        <w:t>.</w:t>
      </w:r>
    </w:p>
  </w:footnote>
  <w:footnote w:id="58">
    <w:p w14:paraId="652AD1C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מלש' כל הפוסקים משמע דרק אותו מכין ולא אותה אף שגם היא עבדה איסורא שנתרצית להתקדש בביאה, ישועות יעקב</w:t>
      </w:r>
      <w:r w:rsidRPr="00351B7D">
        <w:rPr>
          <w:rFonts w:asciiTheme="minorBidi" w:hAnsiTheme="minorBidi"/>
          <w:color w:val="000000"/>
          <w:sz w:val="14"/>
          <w:szCs w:val="14"/>
          <w:rtl/>
        </w:rPr>
        <w:t xml:space="preserve"> </w:t>
      </w:r>
      <w:r w:rsidRPr="00351B7D">
        <w:rPr>
          <w:rFonts w:asciiTheme="minorBidi" w:hAnsiTheme="minorBidi"/>
          <w:color w:val="000000"/>
          <w:sz w:val="16"/>
          <w:szCs w:val="16"/>
          <w:rtl/>
        </w:rPr>
        <w:t>(סק"ב הביאו הפת"ש סק"ו)</w:t>
      </w:r>
      <w:r w:rsidRPr="00351B7D">
        <w:rPr>
          <w:rFonts w:asciiTheme="minorBidi" w:hAnsiTheme="minorBidi"/>
          <w:rtl/>
        </w:rPr>
        <w:t>.</w:t>
      </w:r>
    </w:p>
  </w:footnote>
  <w:footnote w:id="59">
    <w:p w14:paraId="36BED5D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נאמר זה אלא כשהקידושין חלין בודאי או בספק אבל היכא דליכא קידושין כלל- לא, כיון דלא אהנו מעשיו, תשב"ץ </w:t>
      </w:r>
      <w:r w:rsidRPr="00351B7D">
        <w:rPr>
          <w:rFonts w:asciiTheme="minorBidi" w:hAnsiTheme="minorBidi"/>
          <w:sz w:val="16"/>
          <w:szCs w:val="16"/>
          <w:rtl/>
        </w:rPr>
        <w:t>(ח"א סי' כג, הביאו הב"י)</w:t>
      </w:r>
      <w:r w:rsidRPr="00351B7D">
        <w:rPr>
          <w:rFonts w:asciiTheme="minorBidi" w:hAnsiTheme="minorBidi"/>
          <w:rtl/>
        </w:rPr>
        <w:t>.</w:t>
      </w:r>
    </w:p>
  </w:footnote>
  <w:footnote w:id="60">
    <w:p w14:paraId="521DD64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רבי יהודה בן אליעזר הלוי מינץ נולד בסביבות שנת ה"א קס"ח (1408) ונפטר בשנת ה"א רס"ח (1508). כנראה, נולד ר' יהודה במינץ וגורש משם בשנת ה"א רכ"ב (1462), הוא תאריך גירוש היהודים ממינץ. הוא התיישב בפדובה שבאיטליה, שם היה לרב העיר ולראש הישיבה המקומית. בתור משיב, התכתב ר' יהודה עם רבים מגדולי התורה שבזמנו, כגון ר' אליהו מזרחי, רבה של האימפריה העותומנית, ר' ישראל ברונא ור' יוסף קולון. מרבית כתביו נשרפו, ושרדו רק כשש עשרה מתשובותיו ואלו נדפסו ע"י בעל נכדתו, המהר"ם פדואה, ביחד עם תשובות המהר"ם בעצמו, ביוגרפיה פרוייקט השו"ת.</w:t>
      </w:r>
    </w:p>
  </w:footnote>
  <w:footnote w:id="61">
    <w:p w14:paraId="5DB1EE0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רי"ד</w:t>
      </w:r>
      <w:r w:rsidRPr="00351B7D">
        <w:rPr>
          <w:rFonts w:asciiTheme="minorBidi" w:hAnsiTheme="minorBidi"/>
          <w:color w:val="000000"/>
          <w:sz w:val="16"/>
          <w:szCs w:val="16"/>
          <w:rtl/>
        </w:rPr>
        <w:t xml:space="preserve"> (הביאו הרא"ם בתשו' ח"ב סי' לה) </w:t>
      </w:r>
      <w:r w:rsidRPr="00351B7D">
        <w:rPr>
          <w:rFonts w:asciiTheme="minorBidi" w:hAnsiTheme="minorBidi"/>
          <w:color w:val="000000"/>
          <w:rtl/>
        </w:rPr>
        <w:t xml:space="preserve">רא"ם </w:t>
      </w:r>
      <w:r w:rsidRPr="00351B7D">
        <w:rPr>
          <w:rFonts w:asciiTheme="minorBidi" w:hAnsiTheme="minorBidi"/>
          <w:color w:val="000000"/>
          <w:sz w:val="16"/>
          <w:szCs w:val="16"/>
          <w:rtl/>
        </w:rPr>
        <w:t xml:space="preserve">(מים עמוקים ח"א סי' לו) </w:t>
      </w:r>
      <w:r w:rsidRPr="00351B7D">
        <w:rPr>
          <w:rFonts w:asciiTheme="minorBidi" w:hAnsiTheme="minorBidi"/>
          <w:color w:val="000000"/>
          <w:rtl/>
        </w:rPr>
        <w:t>מהר"י מינץ</w:t>
      </w:r>
      <w:r w:rsidRPr="00351B7D">
        <w:rPr>
          <w:rFonts w:asciiTheme="minorBidi" w:hAnsiTheme="minorBidi"/>
          <w:color w:val="000000"/>
          <w:sz w:val="16"/>
          <w:szCs w:val="16"/>
          <w:rtl/>
        </w:rPr>
        <w:t xml:space="preserve"> (סי' נ"ז) </w:t>
      </w:r>
      <w:r w:rsidRPr="00351B7D">
        <w:rPr>
          <w:rFonts w:asciiTheme="minorBidi" w:hAnsiTheme="minorBidi"/>
          <w:color w:val="000000"/>
          <w:rtl/>
        </w:rPr>
        <w:t>כנה"ג</w:t>
      </w:r>
      <w:r w:rsidRPr="00351B7D">
        <w:rPr>
          <w:rFonts w:asciiTheme="minorBidi" w:hAnsiTheme="minorBidi"/>
          <w:color w:val="000000"/>
          <w:sz w:val="16"/>
          <w:szCs w:val="16"/>
          <w:rtl/>
        </w:rPr>
        <w:t xml:space="preserve"> (הגה"ט אות ז) </w:t>
      </w:r>
      <w:r w:rsidRPr="00351B7D">
        <w:rPr>
          <w:rFonts w:asciiTheme="minorBidi" w:hAnsiTheme="minorBidi"/>
          <w:color w:val="000000"/>
          <w:rtl/>
        </w:rPr>
        <w:t xml:space="preserve">ובאה"ט </w:t>
      </w:r>
      <w:r w:rsidRPr="00351B7D">
        <w:rPr>
          <w:rFonts w:asciiTheme="minorBidi" w:hAnsiTheme="minorBidi"/>
          <w:color w:val="000000"/>
          <w:sz w:val="16"/>
          <w:szCs w:val="16"/>
          <w:rtl/>
        </w:rPr>
        <w:t>(סק"ד)</w:t>
      </w:r>
      <w:r w:rsidRPr="00351B7D">
        <w:rPr>
          <w:rFonts w:asciiTheme="minorBidi" w:hAnsiTheme="minorBidi"/>
          <w:rtl/>
        </w:rPr>
        <w:t>.</w:t>
      </w:r>
    </w:p>
  </w:footnote>
  <w:footnote w:id="62">
    <w:p w14:paraId="0E048D8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דכתיב ויצאה והיתה, ואשכחן בפ"ק דקדושין דמקשינן הויה ליציאה מה יציאה בשטר אף הויה בשטר. ובפרק האיש מקדש מקשינן הויה ליציאה מה יציאה משוי שליח אף הויה משוי שליח, והכא נמי מקשינן הויה ליציאה מה יציאה אין מגרשין בלילה כמו שמבואר בסדר הגט, אף הויה אין מקדשין בלילה... וכבר פשט המנהג לקדש בלילה. ומיהו אם יכול לקדש ביום ולא בלילה, יש לחוש לסברת רבינו ישעיה, ופה תיריא היה מנהג קבוע לקדש בלילה, ובטלתי המנהג והנהגתי לקדש ביום, כנה"ג</w:t>
      </w:r>
      <w:r w:rsidRPr="00351B7D">
        <w:rPr>
          <w:rFonts w:asciiTheme="minorBidi" w:hAnsiTheme="minorBidi"/>
          <w:color w:val="000000"/>
          <w:sz w:val="14"/>
          <w:szCs w:val="14"/>
          <w:rtl/>
        </w:rPr>
        <w:t xml:space="preserve"> (שם)</w:t>
      </w:r>
      <w:r w:rsidRPr="00351B7D">
        <w:rPr>
          <w:rFonts w:asciiTheme="minorBidi" w:hAnsiTheme="minorBidi"/>
          <w:color w:val="000000"/>
          <w:rtl/>
        </w:rPr>
        <w:t>.</w:t>
      </w:r>
    </w:p>
  </w:footnote>
  <w:footnote w:id="63">
    <w:p w14:paraId="5FB5725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תרוה"ד רדב"ז רמ"א מהר"ם די בוטין מעיין גנים ברכ"י בשם הרב מה"ר יצחק שעה"מ שו"ת פרח מטה אהרן ועוד, עי' בפת"ש.</w:t>
      </w:r>
    </w:p>
  </w:footnote>
  <w:footnote w:id="64">
    <w:p w14:paraId="4EF063B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הפת"ש</w:t>
      </w:r>
      <w:r w:rsidRPr="00351B7D">
        <w:rPr>
          <w:rFonts w:asciiTheme="minorBidi" w:hAnsiTheme="minorBidi"/>
          <w:sz w:val="16"/>
          <w:szCs w:val="16"/>
          <w:rtl/>
        </w:rPr>
        <w:t xml:space="preserve"> (סק"ז) </w:t>
      </w:r>
      <w:r w:rsidRPr="00351B7D">
        <w:rPr>
          <w:rFonts w:asciiTheme="minorBidi" w:hAnsiTheme="minorBidi"/>
          <w:rtl/>
        </w:rPr>
        <w:t xml:space="preserve">הקשה על הבאה"ט שהעתיק את דברי הרא"ם וכנה"ג, משום דשם בתשו' הרא"ם עיקר הפלפול הוא לענין גט שהאריך לפסול גט הניתן בלילה כדעת האו"ז </w:t>
      </w:r>
      <w:r w:rsidRPr="00351B7D">
        <w:rPr>
          <w:rFonts w:asciiTheme="minorBidi" w:hAnsiTheme="minorBidi"/>
          <w:sz w:val="16"/>
          <w:szCs w:val="16"/>
          <w:rtl/>
        </w:rPr>
        <w:t xml:space="preserve">(סי' תשמ"ה) </w:t>
      </w:r>
      <w:r w:rsidRPr="00351B7D">
        <w:rPr>
          <w:rFonts w:asciiTheme="minorBidi" w:hAnsiTheme="minorBidi"/>
          <w:rtl/>
        </w:rPr>
        <w:t>שהביא שם ומסיים וז"ל הלכך נראה בעיני דנתינת הגט דוקא ביום ולא בלילה ומגמגם אני על הקידושין משום דכתיב ויצאה והיתה ויש צדדין בדבר ולא אכתוב עד שאראה מה שישיבוני רבותי על הגט עכ"ל. וכן ראיתי בסדר הגט של מהר"י מינץ</w:t>
      </w:r>
      <w:r w:rsidRPr="00351B7D">
        <w:rPr>
          <w:rFonts w:asciiTheme="minorBidi" w:hAnsiTheme="minorBidi"/>
          <w:sz w:val="16"/>
          <w:szCs w:val="16"/>
          <w:rtl/>
        </w:rPr>
        <w:t xml:space="preserve"> (סי' נ"ז)</w:t>
      </w:r>
      <w:r w:rsidRPr="00351B7D">
        <w:rPr>
          <w:rFonts w:asciiTheme="minorBidi" w:hAnsiTheme="minorBidi"/>
          <w:rtl/>
        </w:rPr>
        <w:t xml:space="preserve"> וז"ל אשה שקבלה גטה בלילה אינה מגורשת וספק אם הוא קידושין כו' עכ"ל. ולפ"ז לדעת הפוסקים והתשובות שמובאים לקמן </w:t>
      </w:r>
      <w:r w:rsidRPr="00351B7D">
        <w:rPr>
          <w:rFonts w:asciiTheme="minorBidi" w:hAnsiTheme="minorBidi"/>
          <w:sz w:val="16"/>
          <w:szCs w:val="16"/>
          <w:rtl/>
        </w:rPr>
        <w:t>(סי' קכ"ג)</w:t>
      </w:r>
      <w:r w:rsidRPr="00351B7D">
        <w:rPr>
          <w:rFonts w:asciiTheme="minorBidi" w:hAnsiTheme="minorBidi"/>
          <w:rtl/>
        </w:rPr>
        <w:t xml:space="preserve"> המכשירים גם בגט בלילה פשיטא דבקידושין בלילה אין שום פקפוק כלל, ולפי"ז תמוהים דברי הבאה"ט ועוד דלקמן</w:t>
      </w:r>
      <w:r w:rsidRPr="00351B7D">
        <w:rPr>
          <w:rFonts w:asciiTheme="minorBidi" w:hAnsiTheme="minorBidi"/>
          <w:sz w:val="16"/>
          <w:szCs w:val="16"/>
          <w:rtl/>
        </w:rPr>
        <w:t xml:space="preserve"> (סי' קכ"ג סק"ט)</w:t>
      </w:r>
      <w:r w:rsidRPr="00351B7D">
        <w:rPr>
          <w:rFonts w:asciiTheme="minorBidi" w:hAnsiTheme="minorBidi"/>
          <w:rtl/>
        </w:rPr>
        <w:t xml:space="preserve"> העתיק דברי הפוסקים וראיותיהם דמותר ליתן גט בלילה, וצ"ע. ושעה"מ </w:t>
      </w:r>
      <w:r w:rsidRPr="00351B7D">
        <w:rPr>
          <w:rFonts w:asciiTheme="minorBidi" w:hAnsiTheme="minorBidi"/>
          <w:sz w:val="16"/>
          <w:szCs w:val="16"/>
          <w:rtl/>
        </w:rPr>
        <w:t xml:space="preserve">(פ"א מהל' גירושין) </w:t>
      </w:r>
      <w:r w:rsidRPr="00351B7D">
        <w:rPr>
          <w:rFonts w:asciiTheme="minorBidi" w:hAnsiTheme="minorBidi"/>
          <w:rtl/>
        </w:rPr>
        <w:t>כ' דמשום דכל עיקר ספיקן הוא דשמא מקשינן הויה ליציאה, הרי כ' הר"ן</w:t>
      </w:r>
      <w:r w:rsidRPr="00351B7D">
        <w:rPr>
          <w:rFonts w:asciiTheme="minorBidi" w:hAnsiTheme="minorBidi"/>
          <w:sz w:val="16"/>
          <w:szCs w:val="16"/>
          <w:rtl/>
        </w:rPr>
        <w:t xml:space="preserve"> (קידושין דף א. ודף כג: מדפי הרי"ף)</w:t>
      </w:r>
      <w:r w:rsidRPr="00351B7D">
        <w:rPr>
          <w:rFonts w:asciiTheme="minorBidi" w:hAnsiTheme="minorBidi"/>
          <w:rtl/>
        </w:rPr>
        <w:t xml:space="preserve"> דע"כ לא מקשינן הוי' ליציאה אלא בקדושי שטר, וכ"כ הרשב"א </w:t>
      </w:r>
      <w:r w:rsidRPr="00351B7D">
        <w:rPr>
          <w:rFonts w:asciiTheme="minorBidi" w:hAnsiTheme="minorBidi"/>
          <w:sz w:val="16"/>
          <w:szCs w:val="16"/>
          <w:rtl/>
        </w:rPr>
        <w:t>(סי' אלף רכ"ו, ובחדושים- גיטין י. ובקדושין ב.)</w:t>
      </w:r>
      <w:r w:rsidRPr="00351B7D">
        <w:rPr>
          <w:rFonts w:asciiTheme="minorBidi" w:hAnsiTheme="minorBidi"/>
          <w:rtl/>
        </w:rPr>
        <w:t xml:space="preserve">. מעתה י"ל דהא דמספקא להו למהר"י מינץ והרא"ם הנ"ל היינו דוקא בקידושי שטר אבל בקידושי כסף כ"ע מודו דלא מקשינן ויכולין לקדש בלילה. </w:t>
      </w:r>
    </w:p>
  </w:footnote>
  <w:footnote w:id="65">
    <w:p w14:paraId="772D99A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 הרי את מאורסת לי, רש"י.</w:t>
      </w:r>
    </w:p>
  </w:footnote>
  <w:footnote w:id="66">
    <w:p w14:paraId="2B6D5EE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למה לי למיתני מקודשת מקודשת תרי זימני, רש"י.</w:t>
      </w:r>
    </w:p>
  </w:footnote>
  <w:footnote w:id="67">
    <w:p w14:paraId="1DDEDB33"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rtl/>
        </w:rPr>
        <w:t xml:space="preserve"> </w:t>
      </w:r>
      <w:r w:rsidRPr="00351B7D">
        <w:rPr>
          <w:rFonts w:asciiTheme="minorBidi" w:hAnsiTheme="minorBidi"/>
          <w:sz w:val="20"/>
          <w:szCs w:val="20"/>
          <w:rtl/>
        </w:rPr>
        <w:t xml:space="preserve">וכ' הרא"ש (סי' ב)- "וכן בכל הלשונות של אירוסין שבכל מקום ומקום", וכ"כ הרמב"ם (פ"ג מאישות ה"ח) וז"ל- "ויש לאיש לקדש האשה בכל לשון שהיא מכרת בו ויהיה משמע הדברים באותו הלשון שקנאה". </w:t>
      </w:r>
      <w:r w:rsidRPr="00351B7D">
        <w:rPr>
          <w:rFonts w:asciiTheme="minorBidi" w:hAnsiTheme="minorBidi"/>
          <w:color w:val="E36C0A" w:themeColor="accent6" w:themeShade="BF"/>
          <w:sz w:val="20"/>
          <w:szCs w:val="20"/>
          <w:rtl/>
        </w:rPr>
        <w:t>(וכ"פ בשו"ע)</w:t>
      </w:r>
    </w:p>
  </w:footnote>
  <w:footnote w:id="68">
    <w:p w14:paraId="098C031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בהנך לישני דקא מיבעיא לן אי הוו קידושין או לא ה"ד אי בשאין מדבר עמה קודם לכן על עיסקי קידושין..., רש"י. וכן פירשו בהעי"ט והרא"ש, אך הרשב"א</w:t>
      </w:r>
      <w:r w:rsidRPr="00351B7D">
        <w:rPr>
          <w:rFonts w:asciiTheme="minorBidi" w:hAnsiTheme="minorBidi"/>
          <w:sz w:val="16"/>
          <w:szCs w:val="16"/>
          <w:rtl/>
        </w:rPr>
        <w:t xml:space="preserve"> </w:t>
      </w:r>
      <w:r w:rsidRPr="00351B7D">
        <w:rPr>
          <w:rFonts w:asciiTheme="minorBidi" w:hAnsiTheme="minorBidi"/>
          <w:rtl/>
        </w:rPr>
        <w:t>וסיעתו</w:t>
      </w:r>
      <w:r w:rsidRPr="00351B7D">
        <w:rPr>
          <w:rFonts w:asciiTheme="minorBidi" w:hAnsiTheme="minorBidi"/>
          <w:sz w:val="16"/>
          <w:szCs w:val="16"/>
          <w:rtl/>
        </w:rPr>
        <w:t xml:space="preserve"> (ראב"ד רמב"ם וכו') </w:t>
      </w:r>
      <w:r w:rsidRPr="00351B7D">
        <w:rPr>
          <w:rFonts w:asciiTheme="minorBidi" w:hAnsiTheme="minorBidi"/>
          <w:rtl/>
        </w:rPr>
        <w:t>פירשו דמש"כ הגמ' "במאי עסקינן" חוזר על כל הלשונות ולא רק על אלו דמספקא להו</w:t>
      </w:r>
      <w:r w:rsidRPr="00351B7D">
        <w:rPr>
          <w:rFonts w:asciiTheme="minorBidi" w:hAnsiTheme="minorBidi"/>
          <w:sz w:val="16"/>
          <w:szCs w:val="16"/>
          <w:rtl/>
        </w:rPr>
        <w:t xml:space="preserve"> (וכ"כ בשם רש"י, וכנראה הייתה לו גי' אחרת בדברי רש"י)</w:t>
      </w:r>
      <w:r w:rsidRPr="00351B7D">
        <w:rPr>
          <w:rFonts w:asciiTheme="minorBidi" w:hAnsiTheme="minorBidi"/>
          <w:rtl/>
        </w:rPr>
        <w:t>, עי' גר"א</w:t>
      </w:r>
      <w:r w:rsidRPr="00351B7D">
        <w:rPr>
          <w:rFonts w:asciiTheme="minorBidi" w:hAnsiTheme="minorBidi"/>
          <w:sz w:val="16"/>
          <w:szCs w:val="16"/>
          <w:rtl/>
        </w:rPr>
        <w:t xml:space="preserve"> (סק"ח וסקי"ד)</w:t>
      </w:r>
      <w:r w:rsidRPr="00351B7D">
        <w:rPr>
          <w:rFonts w:asciiTheme="minorBidi" w:hAnsiTheme="minorBidi"/>
          <w:rtl/>
        </w:rPr>
        <w:t xml:space="preserve">, </w:t>
      </w:r>
      <w:r w:rsidRPr="00351B7D">
        <w:rPr>
          <w:rFonts w:asciiTheme="minorBidi" w:hAnsiTheme="minorBidi"/>
          <w:color w:val="E36C0A" w:themeColor="accent6" w:themeShade="BF"/>
          <w:rtl/>
        </w:rPr>
        <w:t>והשו"ע פסק כפירוש הרשב"א</w:t>
      </w:r>
      <w:r w:rsidRPr="00351B7D">
        <w:rPr>
          <w:rFonts w:asciiTheme="minorBidi" w:hAnsiTheme="minorBidi"/>
          <w:rtl/>
        </w:rPr>
        <w:t>.</w:t>
      </w:r>
    </w:p>
  </w:footnote>
  <w:footnote w:id="69">
    <w:p w14:paraId="5B5FD28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 גיטה או קידושיה, רש"י.</w:t>
      </w:r>
    </w:p>
  </w:footnote>
  <w:footnote w:id="70">
    <w:p w14:paraId="061CC6A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הוו הנך לישני לשון קידושין היכי מקדשא הא לא ידעה מאי קאמר לה שתתרצה להתקדש לו, רש"י.</w:t>
      </w:r>
    </w:p>
  </w:footnote>
  <w:footnote w:id="71">
    <w:p w14:paraId="18FE02A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מה לי אי לא הוה לשון קידושין אפילו לא אמר לה מידי נמי אלא שנתן לה קי"ל דהוו קידושין כר' יוסי, רש"י.</w:t>
      </w:r>
    </w:p>
  </w:footnote>
  <w:footnote w:id="72">
    <w:p w14:paraId="63B8C8E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הא דקאמר רבי יוסי דיו והוא שהיו עסוקים בדיבור עיסקי קידושיהן עד שעת נתינה, רש"י.</w:t>
      </w:r>
    </w:p>
  </w:footnote>
  <w:footnote w:id="73">
    <w:p w14:paraId="42FF8ED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כיון דבשעת נתינה לא עוסקין בדיבור הקידושין מנא ידעה שלשם קידושין הוא נותנם לה שתתרצה ואף על פי שדברו כבר בכך הרי פסקו אותו עסק, רש"י.</w:t>
      </w:r>
    </w:p>
  </w:footnote>
  <w:footnote w:id="74">
    <w:p w14:paraId="6117E14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שפסקו מלדבר בקידושין ממש והיו מדברים בדברים אחרים ומיהו לדבר צרכי זיווגם היה כמו כמה יש לך נדוניא וכמה שדות יש לך להתפרנס מהם, רש"י.</w:t>
      </w:r>
    </w:p>
  </w:footnote>
  <w:footnote w:id="75">
    <w:p w14:paraId="6C29BDA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דאפשר שכן היא דעת הרא"ש </w:t>
      </w:r>
      <w:r w:rsidRPr="00351B7D">
        <w:rPr>
          <w:rFonts w:asciiTheme="minorBidi" w:hAnsiTheme="minorBidi"/>
          <w:sz w:val="14"/>
          <w:szCs w:val="14"/>
          <w:rtl/>
        </w:rPr>
        <w:t xml:space="preserve">(הב"י נדחק לפרש כך משום שכ' הטור "ובלבד שתבין" וכדי לסלק מח' בניהם פירש כן, ולפנ"כ פירש בד' הרא"ש פירוש אחר) </w:t>
      </w:r>
      <w:r w:rsidRPr="00351B7D">
        <w:rPr>
          <w:rFonts w:asciiTheme="minorBidi" w:hAnsiTheme="minorBidi"/>
          <w:rtl/>
        </w:rPr>
        <w:t xml:space="preserve">וחלקו עליו בזה הט"ז </w:t>
      </w:r>
      <w:r w:rsidRPr="00351B7D">
        <w:rPr>
          <w:rFonts w:asciiTheme="minorBidi" w:hAnsiTheme="minorBidi"/>
          <w:sz w:val="14"/>
          <w:szCs w:val="14"/>
          <w:rtl/>
        </w:rPr>
        <w:t xml:space="preserve">(סק"ד) </w:t>
      </w:r>
      <w:r w:rsidRPr="00351B7D">
        <w:rPr>
          <w:rFonts w:asciiTheme="minorBidi" w:hAnsiTheme="minorBidi"/>
          <w:rtl/>
        </w:rPr>
        <w:t xml:space="preserve">והגר"א </w:t>
      </w:r>
      <w:r w:rsidRPr="00351B7D">
        <w:rPr>
          <w:rFonts w:asciiTheme="minorBidi" w:hAnsiTheme="minorBidi"/>
          <w:sz w:val="14"/>
          <w:szCs w:val="14"/>
          <w:rtl/>
        </w:rPr>
        <w:t xml:space="preserve">(סקט"ו) </w:t>
      </w:r>
      <w:r w:rsidRPr="00351B7D">
        <w:rPr>
          <w:rFonts w:asciiTheme="minorBidi" w:hAnsiTheme="minorBidi"/>
          <w:rtl/>
        </w:rPr>
        <w:t>ועוד הרבה אחרונים, וכתבו שעיקר כפירושו הראשון לדברי הרא"ש</w:t>
      </w:r>
      <w:r w:rsidRPr="00351B7D">
        <w:rPr>
          <w:rFonts w:asciiTheme="minorBidi" w:hAnsiTheme="minorBidi"/>
          <w:sz w:val="16"/>
          <w:szCs w:val="16"/>
          <w:rtl/>
        </w:rPr>
        <w:t xml:space="preserve"> (מובא לקמן)</w:t>
      </w:r>
      <w:r w:rsidRPr="00351B7D">
        <w:rPr>
          <w:rFonts w:asciiTheme="minorBidi" w:hAnsiTheme="minorBidi"/>
          <w:rtl/>
        </w:rPr>
        <w:t>.</w:t>
      </w:r>
    </w:p>
  </w:footnote>
  <w:footnote w:id="76">
    <w:p w14:paraId="185D823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ראב"ד </w:t>
      </w:r>
      <w:r w:rsidRPr="00351B7D">
        <w:rPr>
          <w:rFonts w:asciiTheme="minorBidi" w:hAnsiTheme="minorBidi"/>
          <w:sz w:val="16"/>
          <w:szCs w:val="16"/>
          <w:rtl/>
        </w:rPr>
        <w:t>(הביאו הרשב"א)</w:t>
      </w:r>
      <w:r w:rsidRPr="00351B7D">
        <w:rPr>
          <w:rFonts w:asciiTheme="minorBidi" w:hAnsiTheme="minorBidi"/>
          <w:rtl/>
        </w:rPr>
        <w:t xml:space="preserve"> רמב"ם </w:t>
      </w:r>
      <w:r w:rsidRPr="00351B7D">
        <w:rPr>
          <w:rFonts w:asciiTheme="minorBidi" w:hAnsiTheme="minorBidi"/>
          <w:sz w:val="16"/>
          <w:szCs w:val="16"/>
          <w:rtl/>
        </w:rPr>
        <w:t>(פ"ג ה"ו וה"ח)</w:t>
      </w:r>
      <w:r w:rsidRPr="00351B7D">
        <w:rPr>
          <w:rFonts w:asciiTheme="minorBidi" w:hAnsiTheme="minorBidi"/>
          <w:rtl/>
        </w:rPr>
        <w:t xml:space="preserve"> רשב"א </w:t>
      </w:r>
      <w:r w:rsidRPr="00351B7D">
        <w:rPr>
          <w:rFonts w:asciiTheme="minorBidi" w:hAnsiTheme="minorBidi"/>
          <w:sz w:val="16"/>
          <w:szCs w:val="16"/>
          <w:rtl/>
        </w:rPr>
        <w:t>(ו. ד"ה במאי)</w:t>
      </w:r>
      <w:r w:rsidRPr="00351B7D">
        <w:rPr>
          <w:rFonts w:asciiTheme="minorBidi" w:hAnsiTheme="minorBidi"/>
          <w:rtl/>
        </w:rPr>
        <w:t xml:space="preserve"> טור ר"ן </w:t>
      </w:r>
      <w:r w:rsidRPr="00351B7D">
        <w:rPr>
          <w:rFonts w:asciiTheme="minorBidi" w:hAnsiTheme="minorBidi"/>
          <w:sz w:val="16"/>
          <w:szCs w:val="16"/>
          <w:rtl/>
        </w:rPr>
        <w:t>(ב. ד"ה וגרסי')</w:t>
      </w:r>
      <w:r w:rsidRPr="00351B7D">
        <w:rPr>
          <w:rFonts w:asciiTheme="minorBidi" w:hAnsiTheme="minorBidi"/>
          <w:rtl/>
        </w:rPr>
        <w:t xml:space="preserve"> והה"מ </w:t>
      </w:r>
      <w:r w:rsidRPr="00351B7D">
        <w:rPr>
          <w:rFonts w:asciiTheme="minorBidi" w:hAnsiTheme="minorBidi"/>
          <w:sz w:val="16"/>
          <w:szCs w:val="16"/>
          <w:rtl/>
        </w:rPr>
        <w:t>(פ"ג ה"ו)</w:t>
      </w:r>
      <w:r w:rsidRPr="00351B7D">
        <w:rPr>
          <w:rFonts w:asciiTheme="minorBidi" w:hAnsiTheme="minorBidi"/>
          <w:rtl/>
        </w:rPr>
        <w:t>.</w:t>
      </w:r>
    </w:p>
  </w:footnote>
  <w:footnote w:id="77">
    <w:p w14:paraId="565A3E9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אין כאן אפי' ספק קידושין, ח"מ </w:t>
      </w:r>
      <w:r w:rsidRPr="00351B7D">
        <w:rPr>
          <w:rFonts w:asciiTheme="minorBidi" w:hAnsiTheme="minorBidi"/>
          <w:sz w:val="16"/>
          <w:szCs w:val="16"/>
          <w:rtl/>
        </w:rPr>
        <w:t xml:space="preserve">(סק"א) </w:t>
      </w:r>
      <w:r w:rsidRPr="00351B7D">
        <w:rPr>
          <w:rFonts w:asciiTheme="minorBidi" w:hAnsiTheme="minorBidi"/>
          <w:rtl/>
        </w:rPr>
        <w:t>ונו"ב</w:t>
      </w:r>
      <w:r w:rsidRPr="00351B7D">
        <w:rPr>
          <w:rFonts w:asciiTheme="minorBidi" w:hAnsiTheme="minorBidi"/>
          <w:sz w:val="16"/>
          <w:szCs w:val="16"/>
          <w:rtl/>
        </w:rPr>
        <w:t xml:space="preserve"> (קמא אהע"ז סי' נ"ט)</w:t>
      </w:r>
      <w:r w:rsidRPr="00351B7D">
        <w:rPr>
          <w:rFonts w:asciiTheme="minorBidi" w:hAnsiTheme="minorBidi"/>
          <w:rtl/>
        </w:rPr>
        <w:t xml:space="preserve"> אך הב"ש</w:t>
      </w:r>
      <w:r w:rsidRPr="00351B7D">
        <w:rPr>
          <w:rFonts w:asciiTheme="minorBidi" w:hAnsiTheme="minorBidi"/>
          <w:sz w:val="16"/>
          <w:szCs w:val="16"/>
          <w:rtl/>
        </w:rPr>
        <w:t xml:space="preserve"> (סק"ה) </w:t>
      </w:r>
      <w:r w:rsidRPr="00351B7D">
        <w:rPr>
          <w:rFonts w:asciiTheme="minorBidi" w:hAnsiTheme="minorBidi"/>
          <w:rtl/>
        </w:rPr>
        <w:t>כ' שספק מקודשת דילמא משקרא.</w:t>
      </w:r>
    </w:p>
  </w:footnote>
  <w:footnote w:id="78">
    <w:p w14:paraId="5F201E4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סו"ס ב. וכן הב"י בדברי הרא"ש </w:t>
      </w:r>
      <w:r w:rsidRPr="00351B7D">
        <w:rPr>
          <w:rFonts w:asciiTheme="minorBidi" w:hAnsiTheme="minorBidi"/>
          <w:sz w:val="16"/>
          <w:szCs w:val="16"/>
          <w:rtl/>
        </w:rPr>
        <w:t>(בפירוש הראשון לדברי הרא"ש)</w:t>
      </w:r>
      <w:r w:rsidRPr="00351B7D">
        <w:rPr>
          <w:rFonts w:asciiTheme="minorBidi" w:hAnsiTheme="minorBidi"/>
          <w:rtl/>
        </w:rPr>
        <w:t xml:space="preserve">. וכן נ"ל דעת רש"י, וכן נ"ל דעת בהעי"ט </w:t>
      </w:r>
      <w:r w:rsidRPr="00351B7D">
        <w:rPr>
          <w:rFonts w:asciiTheme="minorBidi" w:hAnsiTheme="minorBidi"/>
          <w:sz w:val="16"/>
          <w:szCs w:val="16"/>
          <w:rtl/>
        </w:rPr>
        <w:t>(אות ק קדושין ד"ה החלק הא')</w:t>
      </w:r>
      <w:r w:rsidRPr="00351B7D">
        <w:rPr>
          <w:rFonts w:asciiTheme="minorBidi" w:hAnsiTheme="minorBidi"/>
          <w:rtl/>
        </w:rPr>
        <w:t xml:space="preserve"> שכ' וז"ל- "ומסת' אפי' אין עסוקין באותו ענין ואמר לה הרי את מקודשת לי במנה זו בלישני דקידושי מעלי וקיבלה עליה מקודשת ולא מצי' למימר בפקדון קיבלתינהו וקידושי מעלי נינהו", אא"כ נאמר שכוונתו באומרו "וקיבלה עליה" היינו שקיבלה לשם קידושין ואז דעתו כדעת הרמב"ם, אבל קשה למה לא כ' כן בפירוש.</w:t>
      </w:r>
    </w:p>
  </w:footnote>
  <w:footnote w:id="79">
    <w:p w14:paraId="6E36EB4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הגר"א (סקט"ו) כ' שיש לגרוס 'כמינה' (כי מדובר כאן לאשה, לאפוקי מהפירוש השני של הב"י בדברי הרא"ש).</w:t>
      </w:r>
    </w:p>
  </w:footnote>
  <w:footnote w:id="80">
    <w:p w14:paraId="4BEBE57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הב"י דנראה מדבריו שהוא חולק וסובר דאפילו אינו מדבר עמה בעסקי קידושין וגם אומרת שאינה מכרת- אפ"ה מקודשת. וכ' עוד הב"י דאפשר דהרא"ש מודה לשאר מפרשים בענין האשה המתקדשת, ואיהו לא איירי אלא בדין האיש המקדש, דכיון שהוא הוציא מפיו לשונות הללו חזקה לשם קידושין הוציא, אבל האשה שומעת דבריו וחזקה שאינה מכרת באותן לשונות שהם לשם קידושין, ומשום הכי צריך שתאמר שהיא מכרת</w:t>
      </w:r>
      <w:r w:rsidRPr="00351B7D">
        <w:rPr>
          <w:rFonts w:asciiTheme="minorBidi" w:hAnsiTheme="minorBidi"/>
          <w:sz w:val="14"/>
          <w:szCs w:val="14"/>
          <w:rtl/>
        </w:rPr>
        <w:t xml:space="preserve"> [הב"י נדחק לפרש כך משום שכ' הטור "ובלבד שתבין" וכדי לסלק מח' בניהם פירש כן, וחלקו עליו בזה הגר"א סקט"ו ועוד הרבה אחרונים]</w:t>
      </w:r>
      <w:r w:rsidRPr="00351B7D">
        <w:rPr>
          <w:rFonts w:asciiTheme="minorBidi" w:hAnsiTheme="minorBidi"/>
          <w:rtl/>
        </w:rPr>
        <w:t xml:space="preserve">) ומ"מ יש לתמוה על רבינו שלא הזכיר סברת הרא"ש בזה כלל. </w:t>
      </w:r>
      <w:r w:rsidRPr="00351B7D">
        <w:rPr>
          <w:rFonts w:asciiTheme="minorBidi" w:hAnsiTheme="minorBidi"/>
          <w:sz w:val="16"/>
          <w:szCs w:val="16"/>
          <w:rtl/>
        </w:rPr>
        <w:t>(והב"ש [סק"ה, מובא לקמן] כ' דיש לפרש דברי הרא"ש שאינה נאמנת לעקור הקידושין לגמרי אלא הוי ספק קדושין והיינו מש"כ הטור ובלבד שהיא תבין כי היכא שתהיה מקודשת בוודאי)</w:t>
      </w:r>
    </w:p>
  </w:footnote>
  <w:footnote w:id="81">
    <w:p w14:paraId="33CE0F2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 </w:t>
      </w:r>
      <w:r w:rsidRPr="00351B7D">
        <w:rPr>
          <w:rFonts w:asciiTheme="minorBidi" w:hAnsiTheme="minorBidi"/>
          <w:sz w:val="16"/>
          <w:szCs w:val="16"/>
          <w:rtl/>
        </w:rPr>
        <w:t>(כ"כ רי"ו בשמם)</w:t>
      </w:r>
      <w:r w:rsidRPr="00351B7D">
        <w:rPr>
          <w:rFonts w:asciiTheme="minorBidi" w:hAnsiTheme="minorBidi"/>
          <w:rtl/>
        </w:rPr>
        <w:t xml:space="preserve"> (רא"ש טור </w:t>
      </w:r>
      <w:r w:rsidRPr="00351B7D">
        <w:rPr>
          <w:rFonts w:asciiTheme="minorBidi" w:hAnsiTheme="minorBidi"/>
          <w:sz w:val="16"/>
          <w:szCs w:val="16"/>
          <w:rtl/>
        </w:rPr>
        <w:t>להב' הב"ש</w:t>
      </w:r>
      <w:r w:rsidRPr="00351B7D">
        <w:rPr>
          <w:rFonts w:asciiTheme="minorBidi" w:hAnsiTheme="minorBidi"/>
          <w:sz w:val="14"/>
          <w:szCs w:val="14"/>
          <w:rtl/>
        </w:rPr>
        <w:t xml:space="preserve"> [סק"ה]</w:t>
      </w:r>
      <w:r w:rsidRPr="00351B7D">
        <w:rPr>
          <w:rFonts w:asciiTheme="minorBidi" w:hAnsiTheme="minorBidi"/>
          <w:rtl/>
        </w:rPr>
        <w:t>) ורי"ו</w:t>
      </w:r>
      <w:r w:rsidRPr="00351B7D">
        <w:rPr>
          <w:rFonts w:asciiTheme="minorBidi" w:hAnsiTheme="minorBidi"/>
          <w:sz w:val="16"/>
          <w:szCs w:val="16"/>
          <w:rtl/>
        </w:rPr>
        <w:t xml:space="preserve"> (נכ"ב ח"א)</w:t>
      </w:r>
      <w:r w:rsidRPr="00351B7D">
        <w:rPr>
          <w:rFonts w:asciiTheme="minorBidi" w:hAnsiTheme="minorBidi"/>
          <w:rtl/>
        </w:rPr>
        <w:t>.</w:t>
      </w:r>
    </w:p>
  </w:footnote>
  <w:footnote w:id="82">
    <w:p w14:paraId="0328CCC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הטור- "ואומר לה הרי את מקודשת לי או הרי את מאורסת לי או הרי את לי לאנתו וכן בכל לשון שמשמעותו לשון קידושין ודאי באותו מקום ובלבד שהיא תבין שהוא לשון קידושין", והב"י פירש שבודאי יש לחלק בין הרי את מקודשת, שאין צריך שתבין, לשאר הלשונות, שצריך שתבין אע"פ שהוא לשון קידושין ודאי.</w:t>
      </w:r>
    </w:p>
  </w:footnote>
  <w:footnote w:id="83">
    <w:p w14:paraId="4F448DD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סק"א, וסיים שם וז"ל- "ומ"מ לחומרא נאמנת לענין זה אם קדשה שני דצריכה גט גם משני דהא שויתה נפשה פנויה לגבי ראשון לפי דבריה".</w:t>
      </w:r>
    </w:p>
  </w:footnote>
  <w:footnote w:id="84">
    <w:p w14:paraId="140236A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(רא"ש טור ר"ן </w:t>
      </w:r>
      <w:r w:rsidRPr="00351B7D">
        <w:rPr>
          <w:rFonts w:asciiTheme="minorBidi" w:hAnsiTheme="minorBidi"/>
          <w:sz w:val="16"/>
          <w:szCs w:val="16"/>
          <w:rtl/>
        </w:rPr>
        <w:t>[ב. מדפי הרי"ף]</w:t>
      </w:r>
      <w:r w:rsidRPr="00351B7D">
        <w:rPr>
          <w:rFonts w:asciiTheme="minorBidi" w:hAnsiTheme="minorBidi"/>
          <w:rtl/>
        </w:rPr>
        <w:t xml:space="preserve"> הה"מ </w:t>
      </w:r>
      <w:r w:rsidRPr="00351B7D">
        <w:rPr>
          <w:rFonts w:asciiTheme="minorBidi" w:hAnsiTheme="minorBidi"/>
          <w:sz w:val="16"/>
          <w:szCs w:val="16"/>
          <w:rtl/>
        </w:rPr>
        <w:t>[אישות פ"ג ה"ו] להב' הב"ש</w:t>
      </w:r>
      <w:r w:rsidRPr="00351B7D">
        <w:rPr>
          <w:rFonts w:asciiTheme="minorBidi" w:hAnsiTheme="minorBidi"/>
          <w:sz w:val="14"/>
          <w:szCs w:val="14"/>
          <w:rtl/>
        </w:rPr>
        <w:t xml:space="preserve"> [סק"ה]</w:t>
      </w:r>
      <w:r w:rsidRPr="00351B7D">
        <w:rPr>
          <w:rFonts w:asciiTheme="minorBidi" w:hAnsiTheme="minorBidi"/>
          <w:rtl/>
        </w:rPr>
        <w:t xml:space="preserve">) וב"ח </w:t>
      </w:r>
      <w:r w:rsidRPr="00351B7D">
        <w:rPr>
          <w:rFonts w:asciiTheme="minorBidi" w:hAnsiTheme="minorBidi"/>
          <w:sz w:val="16"/>
          <w:szCs w:val="16"/>
          <w:rtl/>
        </w:rPr>
        <w:t>(אות א)</w:t>
      </w:r>
      <w:r w:rsidRPr="00351B7D">
        <w:rPr>
          <w:rFonts w:asciiTheme="minorBidi" w:hAnsiTheme="minorBidi"/>
          <w:rtl/>
        </w:rPr>
        <w:t>.</w:t>
      </w:r>
    </w:p>
  </w:footnote>
  <w:footnote w:id="85">
    <w:p w14:paraId="33F711A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משא"כ בשאר הלשונות הברורים, דאם ידוע לנו שהיא מבינה שהוא לשון קדושין והיא אומרת שהיא לא מבינה הוי ספק מקודשת, דשמא משקרת.</w:t>
      </w:r>
    </w:p>
  </w:footnote>
  <w:footnote w:id="86">
    <w:p w14:paraId="286C6ED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(ב.) </w:t>
      </w:r>
      <w:r w:rsidRPr="00351B7D">
        <w:rPr>
          <w:rFonts w:asciiTheme="minorBidi" w:hAnsiTheme="minorBidi"/>
          <w:rtl/>
        </w:rPr>
        <w:t xml:space="preserve">בהעי"ט </w:t>
      </w:r>
      <w:r w:rsidRPr="00351B7D">
        <w:rPr>
          <w:rFonts w:asciiTheme="minorBidi" w:hAnsiTheme="minorBidi"/>
          <w:sz w:val="16"/>
          <w:szCs w:val="16"/>
          <w:rtl/>
        </w:rPr>
        <w:t xml:space="preserve">(אות ק קידושין עה ע"ד אות יג-יד, כ"כ הה"מ בשמו) </w:t>
      </w:r>
      <w:r w:rsidRPr="00351B7D">
        <w:rPr>
          <w:rFonts w:asciiTheme="minorBidi" w:hAnsiTheme="minorBidi"/>
          <w:rtl/>
        </w:rPr>
        <w:t>רמב"ם</w:t>
      </w:r>
      <w:r w:rsidRPr="00351B7D">
        <w:rPr>
          <w:rFonts w:asciiTheme="minorBidi" w:hAnsiTheme="minorBidi"/>
          <w:sz w:val="16"/>
          <w:szCs w:val="16"/>
          <w:rtl/>
        </w:rPr>
        <w:t xml:space="preserve"> (פ"ג ה"ח) </w:t>
      </w:r>
      <w:r w:rsidRPr="00351B7D">
        <w:rPr>
          <w:rFonts w:asciiTheme="minorBidi" w:hAnsiTheme="minorBidi"/>
          <w:rtl/>
        </w:rPr>
        <w:t xml:space="preserve">רא"ש </w:t>
      </w:r>
      <w:r w:rsidRPr="00351B7D">
        <w:rPr>
          <w:rFonts w:asciiTheme="minorBidi" w:hAnsiTheme="minorBidi"/>
          <w:sz w:val="16"/>
          <w:szCs w:val="16"/>
          <w:rtl/>
        </w:rPr>
        <w:t xml:space="preserve">(סי' ג) </w:t>
      </w:r>
      <w:r w:rsidRPr="00351B7D">
        <w:rPr>
          <w:rFonts w:asciiTheme="minorBidi" w:hAnsiTheme="minorBidi"/>
          <w:rtl/>
        </w:rPr>
        <w:t xml:space="preserve">טור ור"ן </w:t>
      </w:r>
      <w:r w:rsidRPr="00351B7D">
        <w:rPr>
          <w:rFonts w:asciiTheme="minorBidi" w:hAnsiTheme="minorBidi"/>
          <w:sz w:val="16"/>
          <w:szCs w:val="16"/>
          <w:rtl/>
        </w:rPr>
        <w:t>(ב ריש ע"ב)</w:t>
      </w:r>
      <w:r w:rsidRPr="00351B7D">
        <w:rPr>
          <w:rFonts w:asciiTheme="minorBidi" w:hAnsiTheme="minorBidi"/>
          <w:rtl/>
        </w:rPr>
        <w:t>.</w:t>
      </w:r>
    </w:p>
  </w:footnote>
  <w:footnote w:id="87">
    <w:p w14:paraId="62E3D7C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(מהר"ם </w:t>
      </w:r>
      <w:r w:rsidRPr="00351B7D">
        <w:rPr>
          <w:rFonts w:asciiTheme="minorBidi" w:hAnsiTheme="minorBidi"/>
          <w:sz w:val="16"/>
          <w:szCs w:val="16"/>
          <w:rtl/>
        </w:rPr>
        <w:t>[שו"ת ד"פ סי' תקיט]</w:t>
      </w:r>
      <w:r w:rsidRPr="00351B7D">
        <w:rPr>
          <w:rFonts w:asciiTheme="minorBidi" w:hAnsiTheme="minorBidi"/>
          <w:rtl/>
        </w:rPr>
        <w:t xml:space="preserve"> מרדכי </w:t>
      </w:r>
      <w:r w:rsidRPr="00351B7D">
        <w:rPr>
          <w:rFonts w:asciiTheme="minorBidi" w:hAnsiTheme="minorBidi"/>
          <w:sz w:val="16"/>
          <w:szCs w:val="16"/>
          <w:rtl/>
        </w:rPr>
        <w:t xml:space="preserve">[קדושין סי' תקכא] כ"כ הדרכ"מ </w:t>
      </w:r>
      <w:r w:rsidRPr="00351B7D">
        <w:rPr>
          <w:rFonts w:asciiTheme="minorBidi" w:hAnsiTheme="minorBidi"/>
          <w:sz w:val="14"/>
          <w:szCs w:val="14"/>
          <w:rtl/>
        </w:rPr>
        <w:t xml:space="preserve">[אות ד*] </w:t>
      </w:r>
      <w:r w:rsidRPr="00351B7D">
        <w:rPr>
          <w:rFonts w:asciiTheme="minorBidi" w:hAnsiTheme="minorBidi"/>
          <w:sz w:val="16"/>
          <w:szCs w:val="16"/>
          <w:rtl/>
        </w:rPr>
        <w:t>בשמם</w:t>
      </w:r>
      <w:r w:rsidRPr="00351B7D">
        <w:rPr>
          <w:rFonts w:asciiTheme="minorBidi" w:hAnsiTheme="minorBidi"/>
          <w:rtl/>
        </w:rPr>
        <w:t xml:space="preserve">) ורשב"א </w:t>
      </w:r>
      <w:r w:rsidRPr="00351B7D">
        <w:rPr>
          <w:rFonts w:asciiTheme="minorBidi" w:hAnsiTheme="minorBidi"/>
          <w:sz w:val="16"/>
          <w:szCs w:val="16"/>
          <w:rtl/>
        </w:rPr>
        <w:t>(ו. ד"ה אמר)</w:t>
      </w:r>
      <w:r w:rsidRPr="00351B7D">
        <w:rPr>
          <w:rFonts w:asciiTheme="minorBidi" w:hAnsiTheme="minorBidi"/>
          <w:rtl/>
        </w:rPr>
        <w:t>.</w:t>
      </w:r>
    </w:p>
  </w:footnote>
  <w:footnote w:id="88">
    <w:p w14:paraId="59DB0D85" w14:textId="77777777" w:rsidR="00DF1FC7" w:rsidRPr="00351B7D" w:rsidRDefault="00DF1FC7" w:rsidP="008E16D0">
      <w:pPr>
        <w:pStyle w:val="a5"/>
        <w:rPr>
          <w:rFonts w:asciiTheme="minorBidi" w:hAnsiTheme="minorBidi"/>
          <w:color w:val="00B0F0"/>
          <w:rtl/>
        </w:rPr>
      </w:pPr>
      <w:r w:rsidRPr="00351B7D">
        <w:rPr>
          <w:rStyle w:val="a7"/>
          <w:rFonts w:asciiTheme="minorBidi" w:hAnsiTheme="minorBidi"/>
        </w:rPr>
        <w:footnoteRef/>
      </w:r>
      <w:r w:rsidRPr="00351B7D">
        <w:rPr>
          <w:rFonts w:asciiTheme="minorBidi" w:hAnsiTheme="minorBidi"/>
          <w:rtl/>
        </w:rPr>
        <w:t xml:space="preserve"> וכ' הרשב"א </w:t>
      </w:r>
      <w:r w:rsidRPr="00351B7D">
        <w:rPr>
          <w:rFonts w:asciiTheme="minorBidi" w:hAnsiTheme="minorBidi"/>
          <w:sz w:val="16"/>
          <w:szCs w:val="16"/>
          <w:rtl/>
        </w:rPr>
        <w:t xml:space="preserve">(שם ד"ה ר' יהודה) </w:t>
      </w:r>
      <w:r w:rsidRPr="00351B7D">
        <w:rPr>
          <w:rFonts w:asciiTheme="minorBidi" w:hAnsiTheme="minorBidi"/>
          <w:rtl/>
        </w:rPr>
        <w:t xml:space="preserve">שאפילו חזר ואמר לה הרי את מקודשת לי והיא רוצה- צריך שיטול הכסף ממנה ויחזור ויתננו לה בתורת קידושין. </w:t>
      </w:r>
      <w:r w:rsidRPr="00351B7D">
        <w:rPr>
          <w:rFonts w:asciiTheme="minorBidi" w:hAnsiTheme="minorBidi"/>
          <w:color w:val="00B0F0"/>
          <w:rtl/>
        </w:rPr>
        <w:t>(וכ"פ הרמ"א</w:t>
      </w:r>
      <w:r w:rsidRPr="00351B7D">
        <w:rPr>
          <w:rFonts w:asciiTheme="minorBidi" w:hAnsiTheme="minorBidi"/>
          <w:rtl/>
        </w:rPr>
        <w:t xml:space="preserve"> </w:t>
      </w:r>
      <w:r w:rsidRPr="00351B7D">
        <w:rPr>
          <w:rFonts w:asciiTheme="minorBidi" w:hAnsiTheme="minorBidi"/>
          <w:sz w:val="16"/>
          <w:szCs w:val="16"/>
          <w:rtl/>
        </w:rPr>
        <w:t>[סע' ג]</w:t>
      </w:r>
      <w:r w:rsidRPr="00351B7D">
        <w:rPr>
          <w:rFonts w:asciiTheme="minorBidi" w:hAnsiTheme="minorBidi"/>
          <w:color w:val="00B0F0"/>
          <w:rtl/>
        </w:rPr>
        <w:t>)</w:t>
      </w:r>
    </w:p>
  </w:footnote>
  <w:footnote w:id="89">
    <w:p w14:paraId="43A281A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דעסוקין באותו ענין דקאמר שמואל אין פירושו כעסוקין באותו ענין דקתני בדרבי, דההוא דרבי בעסוקים באותו ענין ממש, וההיא דשמואל אפילו בשנסתלקו מענין לענין ובאותו ענין ולאפוקי שנסתלקו מאותו ענין לענין אחר שלא מאותו ענין, ויש לנו הרבה בתלמוד לשון אחד מתפרש לשני משמעיות, רשב"א.</w:t>
      </w:r>
    </w:p>
  </w:footnote>
  <w:footnote w:id="90">
    <w:p w14:paraId="4C55CC4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הב"ש</w:t>
      </w:r>
      <w:r w:rsidRPr="00351B7D">
        <w:rPr>
          <w:rFonts w:asciiTheme="minorBidi" w:hAnsiTheme="minorBidi"/>
          <w:sz w:val="16"/>
          <w:szCs w:val="16"/>
          <w:rtl/>
        </w:rPr>
        <w:t xml:space="preserve"> (סק"א)</w:t>
      </w:r>
      <w:r w:rsidRPr="00351B7D">
        <w:rPr>
          <w:rFonts w:asciiTheme="minorBidi" w:hAnsiTheme="minorBidi"/>
          <w:rtl/>
        </w:rPr>
        <w:t xml:space="preserve"> דלכתחילה אין מקדשין במטבע</w:t>
      </w:r>
      <w:r w:rsidRPr="00351B7D">
        <w:rPr>
          <w:rFonts w:asciiTheme="minorBidi" w:hAnsiTheme="minorBidi"/>
          <w:sz w:val="16"/>
          <w:szCs w:val="16"/>
          <w:rtl/>
        </w:rPr>
        <w:t xml:space="preserve"> (עי' בסי' ל"א סק"ה)</w:t>
      </w:r>
      <w:r w:rsidRPr="00351B7D">
        <w:rPr>
          <w:rFonts w:asciiTheme="minorBidi" w:hAnsiTheme="minorBidi"/>
          <w:rtl/>
        </w:rPr>
        <w:t>. ובספר אבני מלואים</w:t>
      </w:r>
      <w:r w:rsidRPr="00351B7D">
        <w:rPr>
          <w:rFonts w:asciiTheme="minorBidi" w:hAnsiTheme="minorBidi"/>
          <w:color w:val="000000"/>
          <w:sz w:val="16"/>
          <w:szCs w:val="16"/>
          <w:rtl/>
        </w:rPr>
        <w:t xml:space="preserve"> (סק"ב)</w:t>
      </w:r>
      <w:r w:rsidRPr="00351B7D">
        <w:rPr>
          <w:rFonts w:asciiTheme="minorBidi" w:hAnsiTheme="minorBidi"/>
          <w:rtl/>
        </w:rPr>
        <w:t xml:space="preserve"> כ' דבש"ס משמע דמקדשין במטבע ובמרדכי לא כ' זה אלא דרך עיון, וגם בראש פינה</w:t>
      </w:r>
      <w:r w:rsidRPr="00351B7D">
        <w:rPr>
          <w:rFonts w:asciiTheme="minorBidi" w:hAnsiTheme="minorBidi"/>
          <w:sz w:val="14"/>
          <w:szCs w:val="14"/>
          <w:rtl/>
        </w:rPr>
        <w:t xml:space="preserve"> </w:t>
      </w:r>
      <w:r w:rsidRPr="00351B7D">
        <w:rPr>
          <w:rFonts w:asciiTheme="minorBidi" w:hAnsiTheme="minorBidi"/>
          <w:sz w:val="16"/>
          <w:szCs w:val="16"/>
          <w:rtl/>
        </w:rPr>
        <w:t>(עקבי הבית סק"א)</w:t>
      </w:r>
      <w:r w:rsidRPr="00351B7D">
        <w:rPr>
          <w:rFonts w:asciiTheme="minorBidi" w:hAnsiTheme="minorBidi"/>
          <w:rtl/>
        </w:rPr>
        <w:t xml:space="preserve"> הביא כמה פוסקים שסוברים שמקדשים במטבע.</w:t>
      </w:r>
    </w:p>
  </w:footnote>
  <w:footnote w:id="91">
    <w:p w14:paraId="128B628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אפי' מחובר לקרקע, ר"ן </w:t>
      </w:r>
      <w:r w:rsidRPr="00351B7D">
        <w:rPr>
          <w:rFonts w:asciiTheme="minorBidi" w:hAnsiTheme="minorBidi"/>
          <w:sz w:val="14"/>
          <w:szCs w:val="14"/>
          <w:rtl/>
        </w:rPr>
        <w:t>(קידושין א. ד"ה בית שמאי, הביאו הדרכ"מ [אות ב])</w:t>
      </w:r>
      <w:r w:rsidRPr="00351B7D">
        <w:rPr>
          <w:rFonts w:asciiTheme="minorBidi" w:hAnsiTheme="minorBidi"/>
          <w:sz w:val="18"/>
          <w:szCs w:val="18"/>
          <w:rtl/>
        </w:rPr>
        <w:t xml:space="preserve"> </w:t>
      </w:r>
      <w:r w:rsidRPr="00351B7D">
        <w:rPr>
          <w:rFonts w:asciiTheme="minorBidi" w:hAnsiTheme="minorBidi"/>
          <w:rtl/>
        </w:rPr>
        <w:t xml:space="preserve">תוס' </w:t>
      </w:r>
      <w:r w:rsidRPr="00351B7D">
        <w:rPr>
          <w:rFonts w:asciiTheme="minorBidi" w:hAnsiTheme="minorBidi"/>
          <w:sz w:val="14"/>
          <w:szCs w:val="14"/>
          <w:rtl/>
        </w:rPr>
        <w:t xml:space="preserve">(קידושין ה. ד"ה שכן פודין) </w:t>
      </w:r>
      <w:r w:rsidRPr="00351B7D">
        <w:rPr>
          <w:rFonts w:asciiTheme="minorBidi" w:hAnsiTheme="minorBidi"/>
          <w:rtl/>
        </w:rPr>
        <w:t>ורשב"א</w:t>
      </w:r>
      <w:r w:rsidRPr="00351B7D">
        <w:rPr>
          <w:rFonts w:asciiTheme="minorBidi" w:hAnsiTheme="minorBidi"/>
          <w:sz w:val="16"/>
          <w:szCs w:val="16"/>
          <w:rtl/>
        </w:rPr>
        <w:t xml:space="preserve"> </w:t>
      </w:r>
      <w:r w:rsidRPr="00351B7D">
        <w:rPr>
          <w:rFonts w:asciiTheme="minorBidi" w:hAnsiTheme="minorBidi"/>
          <w:sz w:val="14"/>
          <w:szCs w:val="14"/>
          <w:rtl/>
        </w:rPr>
        <w:t>(ח"א סי' אלף רכו)</w:t>
      </w:r>
      <w:r w:rsidRPr="00351B7D">
        <w:rPr>
          <w:rFonts w:asciiTheme="minorBidi" w:hAnsiTheme="minorBidi"/>
          <w:rtl/>
        </w:rPr>
        <w:t xml:space="preserve">. וכ"כ ב"ש </w:t>
      </w:r>
      <w:r w:rsidRPr="00351B7D">
        <w:rPr>
          <w:rFonts w:asciiTheme="minorBidi" w:hAnsiTheme="minorBidi"/>
          <w:sz w:val="14"/>
          <w:szCs w:val="14"/>
          <w:rtl/>
        </w:rPr>
        <w:t>(סק"א)</w:t>
      </w:r>
      <w:r w:rsidRPr="00351B7D">
        <w:rPr>
          <w:rFonts w:asciiTheme="minorBidi" w:hAnsiTheme="minorBidi"/>
          <w:rtl/>
        </w:rPr>
        <w:t>.</w:t>
      </w:r>
    </w:p>
  </w:footnote>
  <w:footnote w:id="92">
    <w:p w14:paraId="084F32C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 הרי את מקודשת ואסורה על כל העולם בשבילי, ע"פ ב"ש (סק"ד) שהביא כן מהתוס' (קידושין ב: ד"ה דאסר).</w:t>
      </w:r>
    </w:p>
  </w:footnote>
  <w:footnote w:id="93">
    <w:p w14:paraId="615CBBE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כדי לקדש אדעתא דרבנן, תוס' (כתובות ג. ד"ה אדעתא, הביאם הערך לחם). וכ"כ רש"י (יבמות צ: ד"ה אדעתא דרבנן).</w:t>
      </w:r>
    </w:p>
  </w:footnote>
  <w:footnote w:id="94">
    <w:p w14:paraId="3DA2BB62"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אע"ג דהיא לא השיבה כלום, אפ"ה מיקרי היה מדבר עמה, הגהות מרדכי </w:t>
      </w:r>
      <w:r w:rsidRPr="00351B7D">
        <w:rPr>
          <w:rFonts w:asciiTheme="minorBidi" w:hAnsiTheme="minorBidi"/>
          <w:sz w:val="16"/>
          <w:szCs w:val="16"/>
          <w:rtl/>
        </w:rPr>
        <w:t>(גיטין סי' תע-תעא [הב"י שלח לעיין בו], הביאו הדרכ"מ</w:t>
      </w:r>
      <w:r w:rsidRPr="00351B7D">
        <w:rPr>
          <w:rFonts w:asciiTheme="minorBidi" w:hAnsiTheme="minorBidi"/>
          <w:sz w:val="14"/>
          <w:szCs w:val="14"/>
          <w:rtl/>
        </w:rPr>
        <w:t xml:space="preserve"> [אות ה]</w:t>
      </w:r>
      <w:r w:rsidRPr="00351B7D">
        <w:rPr>
          <w:rFonts w:asciiTheme="minorBidi" w:hAnsiTheme="minorBidi"/>
          <w:sz w:val="16"/>
          <w:szCs w:val="16"/>
          <w:rtl/>
        </w:rPr>
        <w:t>)</w:t>
      </w:r>
      <w:r w:rsidRPr="00351B7D">
        <w:rPr>
          <w:rFonts w:asciiTheme="minorBidi" w:hAnsiTheme="minorBidi"/>
          <w:sz w:val="20"/>
          <w:szCs w:val="20"/>
          <w:rtl/>
        </w:rPr>
        <w:t xml:space="preserve">. וכ"כ הט"ז </w:t>
      </w:r>
      <w:r w:rsidRPr="00351B7D">
        <w:rPr>
          <w:rFonts w:asciiTheme="minorBidi" w:hAnsiTheme="minorBidi"/>
          <w:sz w:val="16"/>
          <w:szCs w:val="16"/>
          <w:rtl/>
        </w:rPr>
        <w:t xml:space="preserve">(סק"ב) </w:t>
      </w:r>
      <w:r w:rsidRPr="00351B7D">
        <w:rPr>
          <w:rFonts w:asciiTheme="minorBidi" w:hAnsiTheme="minorBidi"/>
          <w:sz w:val="20"/>
          <w:szCs w:val="20"/>
          <w:rtl/>
        </w:rPr>
        <w:t xml:space="preserve">והב"ש </w:t>
      </w:r>
      <w:r w:rsidRPr="00351B7D">
        <w:rPr>
          <w:rFonts w:asciiTheme="minorBidi" w:hAnsiTheme="minorBidi"/>
          <w:sz w:val="16"/>
          <w:szCs w:val="16"/>
          <w:rtl/>
        </w:rPr>
        <w:t>(סק"ו, והביא את דברי הכס"מ שכ' שלרמב"ם [פ"ג ה"ח] צריך שתאמר "הן", וחלק עליו, אבל אולי אפ"ל שאין כאן מחלוקת, דאם הייתה מח' היה הב"י צריך להזכירה, ועוד שסתם בשו"ע שלא כמש"כ בכס"מ, לכן אפ"ל שמש"כ הרמב"ם "ורצת" הכוונה שלא לפני העדים, ובודאי שצריך שתגיד מתישהוא "הן" כדי שיוכל האיש לקדשה, וכמש"כ הכס"מ, א"נ שהיה זה לפני העדים ומש"כ הכס"מ "הן" הכונה הן וכל דכוותיה, דאם ראו שקיבלה ולא הביעה התנגדות- מכיון שדיברו לפנ"כ בעסקי קדושין מסתמא "רצת")</w:t>
      </w:r>
      <w:r w:rsidRPr="00351B7D">
        <w:rPr>
          <w:rFonts w:asciiTheme="minorBidi" w:hAnsiTheme="minorBidi"/>
          <w:sz w:val="20"/>
          <w:szCs w:val="20"/>
          <w:rtl/>
        </w:rPr>
        <w:t>. וכ' המל"מ</w:t>
      </w:r>
      <w:r w:rsidRPr="00351B7D">
        <w:rPr>
          <w:rFonts w:asciiTheme="minorBidi" w:hAnsiTheme="minorBidi"/>
          <w:sz w:val="16"/>
          <w:szCs w:val="16"/>
          <w:rtl/>
        </w:rPr>
        <w:t xml:space="preserve"> (פ"ג מה"א דין ז', הביאו הפת"ש בסק"ה) </w:t>
      </w:r>
      <w:r w:rsidRPr="00351B7D">
        <w:rPr>
          <w:rFonts w:asciiTheme="minorBidi" w:hAnsiTheme="minorBidi"/>
          <w:sz w:val="20"/>
          <w:szCs w:val="20"/>
          <w:rtl/>
        </w:rPr>
        <w:t>וז"ל- לא שנא היו מדברים על עסקי קדושין לעצמו לא שנא על עסקי קדושין לחבירו כגון דשוויא שליח ונתן לה קדושין ולא פירש דיו, וכ"כ מהרי"ט</w:t>
      </w:r>
      <w:r w:rsidRPr="00351B7D">
        <w:rPr>
          <w:rFonts w:asciiTheme="minorBidi" w:hAnsiTheme="minorBidi"/>
          <w:sz w:val="14"/>
          <w:szCs w:val="14"/>
          <w:rtl/>
        </w:rPr>
        <w:t xml:space="preserve"> (חו"מ סי' י"ב)</w:t>
      </w:r>
      <w:r w:rsidRPr="00351B7D">
        <w:rPr>
          <w:rFonts w:asciiTheme="minorBidi" w:hAnsiTheme="minorBidi"/>
          <w:color w:val="000000"/>
          <w:sz w:val="20"/>
          <w:szCs w:val="20"/>
          <w:rtl/>
        </w:rPr>
        <w:t>.</w:t>
      </w:r>
    </w:p>
  </w:footnote>
  <w:footnote w:id="95">
    <w:p w14:paraId="26FB663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אדלעיל קאי, "ואם היה מדבר עמה...", ואח"כ אמר לשון קדושין ודאי, באה"ג (אות ז*).</w:t>
      </w:r>
    </w:p>
  </w:footnote>
  <w:footnote w:id="96">
    <w:p w14:paraId="158DD82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סי' תעז. וכ"כ מהר"י בן לב </w:t>
      </w:r>
      <w:r w:rsidRPr="00351B7D">
        <w:rPr>
          <w:rFonts w:asciiTheme="minorBidi" w:hAnsiTheme="minorBidi"/>
          <w:sz w:val="16"/>
          <w:szCs w:val="16"/>
          <w:rtl/>
        </w:rPr>
        <w:t>(ח"ב סי' ס)</w:t>
      </w:r>
      <w:r w:rsidRPr="00351B7D">
        <w:rPr>
          <w:rFonts w:asciiTheme="minorBidi" w:hAnsiTheme="minorBidi"/>
          <w:rtl/>
        </w:rPr>
        <w:t>. וכ' הדרכ"מ</w:t>
      </w:r>
      <w:r w:rsidRPr="00351B7D">
        <w:rPr>
          <w:rFonts w:asciiTheme="minorBidi" w:hAnsiTheme="minorBidi"/>
          <w:sz w:val="16"/>
          <w:szCs w:val="16"/>
          <w:rtl/>
        </w:rPr>
        <w:t xml:space="preserve"> (אות ד) </w:t>
      </w:r>
      <w:r w:rsidRPr="00351B7D">
        <w:rPr>
          <w:rFonts w:asciiTheme="minorBidi" w:hAnsiTheme="minorBidi"/>
          <w:rtl/>
        </w:rPr>
        <w:t>שכן דייק לשון הטור שכ' סתם היה מדבר בעסקי קידושין ולא כ' עמה.</w:t>
      </w:r>
    </w:p>
  </w:footnote>
  <w:footnote w:id="97">
    <w:p w14:paraId="7DAA072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מבי"ט </w:t>
      </w:r>
      <w:r w:rsidRPr="00351B7D">
        <w:rPr>
          <w:rFonts w:asciiTheme="minorBidi" w:hAnsiTheme="minorBidi"/>
          <w:sz w:val="16"/>
          <w:szCs w:val="16"/>
          <w:rtl/>
        </w:rPr>
        <w:t xml:space="preserve">(ח"א סי' רצ"א) </w:t>
      </w:r>
      <w:r w:rsidRPr="00351B7D">
        <w:rPr>
          <w:rFonts w:asciiTheme="minorBidi" w:hAnsiTheme="minorBidi"/>
          <w:rtl/>
        </w:rPr>
        <w:t xml:space="preserve">המקנה </w:t>
      </w:r>
      <w:r w:rsidRPr="00351B7D">
        <w:rPr>
          <w:rFonts w:asciiTheme="minorBidi" w:hAnsiTheme="minorBidi"/>
          <w:sz w:val="16"/>
          <w:szCs w:val="16"/>
          <w:rtl/>
        </w:rPr>
        <w:t>(קו"א לקמן סע' ה)</w:t>
      </w:r>
      <w:r w:rsidRPr="00351B7D">
        <w:rPr>
          <w:rFonts w:asciiTheme="minorBidi" w:hAnsiTheme="minorBidi"/>
          <w:rtl/>
        </w:rPr>
        <w:t xml:space="preserve"> וחת"ס </w:t>
      </w:r>
      <w:r w:rsidRPr="00351B7D">
        <w:rPr>
          <w:rFonts w:asciiTheme="minorBidi" w:hAnsiTheme="minorBidi"/>
          <w:sz w:val="16"/>
          <w:szCs w:val="16"/>
          <w:rtl/>
        </w:rPr>
        <w:t>(ח"א ס' ק"ז)</w:t>
      </w:r>
      <w:r w:rsidRPr="00351B7D">
        <w:rPr>
          <w:rFonts w:asciiTheme="minorBidi" w:hAnsiTheme="minorBidi"/>
          <w:rtl/>
        </w:rPr>
        <w:t>.</w:t>
      </w:r>
    </w:p>
  </w:footnote>
  <w:footnote w:id="98">
    <w:p w14:paraId="7EE1BC8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והוסיף בספר המקנה שאפי' בשטר קדושין א"צ שיכתוב בו הרי את מקודשת בשטר זה.</w:t>
      </w:r>
    </w:p>
  </w:footnote>
  <w:footnote w:id="99">
    <w:p w14:paraId="350AAB5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עליו החת"ס (שם) דדעת יחיד הוא.</w:t>
      </w:r>
    </w:p>
  </w:footnote>
  <w:footnote w:id="100">
    <w:p w14:paraId="755CCF4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למה לי למיתני מקודשת מקודשת תרי זימני, רש"י.</w:t>
      </w:r>
    </w:p>
  </w:footnote>
  <w:footnote w:id="101">
    <w:p w14:paraId="04897F8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בהנך לישני דקא מיבעיא לן אי הוו קידושין או לא ה"ד אי בשאין מדבר עמה קודם לכן על עיסקי קידושין..., רש"י. וכן פירשו בהעי"ט והרא"ש, אך הרשב"א</w:t>
      </w:r>
      <w:r w:rsidRPr="00351B7D">
        <w:rPr>
          <w:rFonts w:asciiTheme="minorBidi" w:hAnsiTheme="minorBidi"/>
          <w:sz w:val="16"/>
          <w:szCs w:val="16"/>
          <w:rtl/>
        </w:rPr>
        <w:t xml:space="preserve"> </w:t>
      </w:r>
      <w:r w:rsidRPr="00351B7D">
        <w:rPr>
          <w:rFonts w:asciiTheme="minorBidi" w:hAnsiTheme="minorBidi"/>
          <w:rtl/>
        </w:rPr>
        <w:t>וסיעתו</w:t>
      </w:r>
      <w:r w:rsidRPr="00351B7D">
        <w:rPr>
          <w:rFonts w:asciiTheme="minorBidi" w:hAnsiTheme="minorBidi"/>
          <w:sz w:val="16"/>
          <w:szCs w:val="16"/>
          <w:rtl/>
        </w:rPr>
        <w:t xml:space="preserve"> (ראב"ד רמב"ם וכו') </w:t>
      </w:r>
      <w:r w:rsidRPr="00351B7D">
        <w:rPr>
          <w:rFonts w:asciiTheme="minorBidi" w:hAnsiTheme="minorBidi"/>
          <w:rtl/>
        </w:rPr>
        <w:t>פירשו דמש"כ הגמ' "במאי עסקינן" חוזר על כל הלשונות ולא רק על אלו דמספקא להו</w:t>
      </w:r>
      <w:r w:rsidRPr="00351B7D">
        <w:rPr>
          <w:rFonts w:asciiTheme="minorBidi" w:hAnsiTheme="minorBidi"/>
          <w:sz w:val="16"/>
          <w:szCs w:val="16"/>
          <w:rtl/>
        </w:rPr>
        <w:t xml:space="preserve"> (וכ"כ בשם רש"י, וכנראה הייתה לו גי' אחרת בדברי רש"י)</w:t>
      </w:r>
      <w:r w:rsidRPr="00351B7D">
        <w:rPr>
          <w:rFonts w:asciiTheme="minorBidi" w:hAnsiTheme="minorBidi"/>
          <w:rtl/>
        </w:rPr>
        <w:t>, עי' גר"א</w:t>
      </w:r>
      <w:r w:rsidRPr="00351B7D">
        <w:rPr>
          <w:rFonts w:asciiTheme="minorBidi" w:hAnsiTheme="minorBidi"/>
          <w:sz w:val="16"/>
          <w:szCs w:val="16"/>
          <w:rtl/>
        </w:rPr>
        <w:t xml:space="preserve"> (סק"ח וסקי"ד)</w:t>
      </w:r>
      <w:r w:rsidRPr="00351B7D">
        <w:rPr>
          <w:rFonts w:asciiTheme="minorBidi" w:hAnsiTheme="minorBidi"/>
          <w:rtl/>
        </w:rPr>
        <w:t xml:space="preserve">, </w:t>
      </w:r>
      <w:r w:rsidRPr="00351B7D">
        <w:rPr>
          <w:rFonts w:asciiTheme="minorBidi" w:hAnsiTheme="minorBidi"/>
          <w:color w:val="E36C0A" w:themeColor="accent6" w:themeShade="BF"/>
          <w:rtl/>
        </w:rPr>
        <w:t>והשו"ע פסק כפירוש הרשב"א</w:t>
      </w:r>
      <w:r w:rsidRPr="00351B7D">
        <w:rPr>
          <w:rFonts w:asciiTheme="minorBidi" w:hAnsiTheme="minorBidi"/>
          <w:rtl/>
        </w:rPr>
        <w:t>.</w:t>
      </w:r>
    </w:p>
  </w:footnote>
  <w:footnote w:id="102">
    <w:p w14:paraId="29ED837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 גיטה או קידושיה, רש"י.</w:t>
      </w:r>
    </w:p>
  </w:footnote>
  <w:footnote w:id="103">
    <w:p w14:paraId="17D8E23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הוו הנך לישני לשון קידושין היכי מקדשא הא לא ידעה מאי קאמר לה שתתרצה להתקדש לו, רש"י.</w:t>
      </w:r>
    </w:p>
  </w:footnote>
  <w:footnote w:id="104">
    <w:p w14:paraId="766A3E9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מה לי אי לא הוה לשון קידושין אפילו לא אמר לה מידי נמי אלא שנתן לה קי"ל דהוו קידושין כר' יוסי, רש"י.</w:t>
      </w:r>
    </w:p>
  </w:footnote>
  <w:footnote w:id="105">
    <w:p w14:paraId="64F07AC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'לקוחתי' לא מוזכרת עם הני לשונות דברירא לן שהן לשונות קדושין אלא מוזכרת בהדי לשונות דמבעיא לן גבן, אך כיון שהגמ' פשטא גבי לשון זו שהיא לשון קדושין מנו אותה הפוסקים בהדי הלשונות דברירא לן (עי' רא"ש ס"ס ב).</w:t>
      </w:r>
    </w:p>
  </w:footnote>
  <w:footnote w:id="106">
    <w:p w14:paraId="78A20BA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אומרת שלא הבינה אין מקודשת כלל </w:t>
      </w:r>
      <w:r w:rsidRPr="00351B7D">
        <w:rPr>
          <w:rFonts w:asciiTheme="minorBidi" w:hAnsiTheme="minorBidi"/>
          <w:sz w:val="16"/>
          <w:szCs w:val="16"/>
          <w:rtl/>
        </w:rPr>
        <w:t>(כיון שאלו לשונות שאין הכל מכירין בהן לכן נאמנת לומר לא הבנתי)</w:t>
      </w:r>
      <w:r w:rsidRPr="00351B7D">
        <w:rPr>
          <w:rFonts w:asciiTheme="minorBidi" w:hAnsiTheme="minorBidi"/>
          <w:rtl/>
        </w:rPr>
        <w:t xml:space="preserve"> וכן משמעות כל הפוסקים, אבל רי"ו כ' דאם אמרה שאינה מבנת הוי ספק קדושין </w:t>
      </w:r>
      <w:r w:rsidRPr="00351B7D">
        <w:rPr>
          <w:rFonts w:asciiTheme="minorBidi" w:hAnsiTheme="minorBidi"/>
          <w:sz w:val="14"/>
          <w:szCs w:val="14"/>
          <w:rtl/>
        </w:rPr>
        <w:t xml:space="preserve">{וכ"כ הב"ש בסק"ה} </w:t>
      </w:r>
      <w:r w:rsidRPr="00351B7D">
        <w:rPr>
          <w:rFonts w:asciiTheme="minorBidi" w:hAnsiTheme="minorBidi"/>
          <w:rtl/>
        </w:rPr>
        <w:t>ולמעשה צ"ע אם יש לחוש לדבריו, ע"פ ח"מ (סק"א).</w:t>
      </w:r>
    </w:p>
  </w:footnote>
  <w:footnote w:id="107">
    <w:p w14:paraId="7BA6528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הרא"ש מקור דין זה משמע דוקא על הני לישני דבריר' לן שהן לשון קידושין אינו נאמן לומר שלא כיון לקדושין</w:t>
      </w:r>
      <w:r w:rsidRPr="00351B7D">
        <w:rPr>
          <w:rFonts w:asciiTheme="minorBidi" w:hAnsiTheme="minorBidi"/>
          <w:sz w:val="16"/>
          <w:szCs w:val="16"/>
          <w:rtl/>
        </w:rPr>
        <w:t xml:space="preserve"> {והיינו הלשונות שנקט השו"ע, שהם הלשונות שהתבררו בגמ' כלשונות קידושין בודאי}</w:t>
      </w:r>
      <w:r w:rsidRPr="00351B7D">
        <w:rPr>
          <w:rFonts w:asciiTheme="minorBidi" w:hAnsiTheme="minorBidi"/>
          <w:rtl/>
        </w:rPr>
        <w:t xml:space="preserve">, אבל לישני דמספקא לן </w:t>
      </w:r>
      <w:r w:rsidRPr="00351B7D">
        <w:rPr>
          <w:rFonts w:asciiTheme="minorBidi" w:hAnsiTheme="minorBidi"/>
          <w:sz w:val="16"/>
          <w:szCs w:val="16"/>
          <w:rtl/>
        </w:rPr>
        <w:t xml:space="preserve">{שיתבארו בסע' הבא} </w:t>
      </w:r>
      <w:r w:rsidRPr="00351B7D">
        <w:rPr>
          <w:rFonts w:asciiTheme="minorBidi" w:hAnsiTheme="minorBidi"/>
          <w:rtl/>
        </w:rPr>
        <w:t>נאמן לפרש דבריו שלא כיון רק למלאכה וכשם שהיא נאמנת לומר על לשונות ודאית שלא הבינ' דבריו כך נאמן הוא לפרש הספיקות, ח"מ (סק"ד).</w:t>
      </w:r>
    </w:p>
  </w:footnote>
  <w:footnote w:id="108">
    <w:p w14:paraId="36B8A98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והיו לבשר אחד (בראשית ב) , רש"י.</w:t>
      </w:r>
    </w:p>
  </w:footnote>
  <w:footnote w:id="109">
    <w:p w14:paraId="654CB1E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אשר לא יעדה (שמות כא) שהוא לשון קידושין באמה העבריה, רש"י.</w:t>
      </w:r>
    </w:p>
  </w:footnote>
  <w:footnote w:id="110">
    <w:p w14:paraId="4A52C40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אעשה לו עזר כנגדו (בראשית ב), רש"י (ד"ה עזרתי נגדתי).</w:t>
      </w:r>
    </w:p>
  </w:footnote>
  <w:footnote w:id="111">
    <w:p w14:paraId="64377F8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לשון עצרת שתהא נאספת עמי לבית ורבותי אמרו לשון כי אשה עצורה לנו (שמואל א כא) ולא נהירא דההיא עצורה ממנו קאמר דהא אחימלך אמר לו לדוד אם נשמרו הנערים אך מאשה ודוד אהדר ליה אשה עצורה לנו והננו טהורים, רש"י.</w:t>
      </w:r>
    </w:p>
  </w:footnote>
  <w:footnote w:id="112">
    <w:p w14:paraId="402484A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ויסגור בשר (שם) , רש"י.</w:t>
      </w:r>
    </w:p>
  </w:footnote>
  <w:footnote w:id="113">
    <w:p w14:paraId="5403063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על שם הפסוק הנ"ל "ויסגור בשר 'תחתנה'", תוספות ר"י הזקן.</w:t>
      </w:r>
    </w:p>
  </w:footnote>
  <w:footnote w:id="114">
    <w:p w14:paraId="1312414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וכל אידך לא איפשיטו ואזלינן בהו לחומרא, רא"ש (סו"ס ב).</w:t>
      </w:r>
    </w:p>
  </w:footnote>
  <w:footnote w:id="115">
    <w:p w14:paraId="3E5E02D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וכי המקרא צריך סיוע ממנהג שביהודה, רש"י.</w:t>
      </w:r>
    </w:p>
  </w:footnote>
  <w:footnote w:id="116">
    <w:p w14:paraId="37A02D6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מקרא ליכא למילף דההוא יחוד בעלמא הוא שהרי בשפחה כנענית הכתוב מדבר שאין קידושין תופסין בה ומעיקרא הוה סלקא דעתיה כמ"ד בגיטין (דף מג) בחציה שפחה וחציה בת חורין הכתוב מדבר דשייכי בה צד קידושין, רש"י.</w:t>
      </w:r>
    </w:p>
  </w:footnote>
  <w:footnote w:id="117">
    <w:p w14:paraId="16FB8C5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בהנך לישני דקא מיבעיא לן אי הוו קידושין או לא ה"ד אי בשאין מדבר עמה קודם לכן על עיסקי קידושין..., רש"י.</w:t>
      </w:r>
    </w:p>
  </w:footnote>
  <w:footnote w:id="118">
    <w:p w14:paraId="4B437BA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 גיטה או קידושיה, רש"י.</w:t>
      </w:r>
    </w:p>
  </w:footnote>
  <w:footnote w:id="119">
    <w:p w14:paraId="76EADF1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הוו הנך לישני לשון קידושין היכי מקדשא הא לא ידעה מאי קאמר לה שתתרצה להתקדש לו, רש"י.</w:t>
      </w:r>
    </w:p>
  </w:footnote>
  <w:footnote w:id="120">
    <w:p w14:paraId="2B7EB05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מה לי אי לא הוה לשון קידושין אפילו לא אמר לה מידי נמי אלא שנתן לה קי"ל דהוו קידושין כר' יוסי, רש"י.</w:t>
      </w:r>
    </w:p>
  </w:footnote>
  <w:footnote w:id="121">
    <w:p w14:paraId="363F815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דמקדשא כרבי יוסי דאמרינן מסתמא לשם קידושין נתן והיא קבלתם לכך אבל השתא דפריש הנך לישני אם לשון קידושין הן נתקדשה ואם לשון לבוא לעשות מלאכתו הם הרי גילה בדעתו שאינו חפץ לקדשה עכשיו, רש"י.</w:t>
      </w:r>
    </w:p>
  </w:footnote>
  <w:footnote w:id="122">
    <w:p w14:paraId="3D511BD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המהר"ם </w:t>
      </w:r>
      <w:r w:rsidRPr="00351B7D">
        <w:rPr>
          <w:rFonts w:asciiTheme="minorBidi" w:hAnsiTheme="minorBidi"/>
          <w:sz w:val="16"/>
          <w:szCs w:val="16"/>
          <w:rtl/>
        </w:rPr>
        <w:t>(שו"ת דפוס פראג סי' תקיט)</w:t>
      </w:r>
      <w:r w:rsidRPr="00351B7D">
        <w:rPr>
          <w:rFonts w:asciiTheme="minorBidi" w:hAnsiTheme="minorBidi"/>
          <w:rtl/>
        </w:rPr>
        <w:t xml:space="preserve"> הוסיף גם כשאמר לה- "אהובתי", ואפי' לא אמר לה אלא אני נותן לך בשביל אהבה וחיבה- יש לחוש לקידושין, שמא כך ר"ל ע"מ שיהיה אהבה וחיבה בינינו ותהיה אהובתי, דלא גרע האי לישנא ממיוחדת לי מיועדת לי, ואיכא לספוקי, וא"כ אם היה דעת שניהם לקידושין צריכה גט מספק </w:t>
      </w:r>
      <w:r w:rsidRPr="00351B7D">
        <w:rPr>
          <w:rFonts w:asciiTheme="minorBidi" w:hAnsiTheme="minorBidi"/>
          <w:sz w:val="14"/>
          <w:szCs w:val="14"/>
          <w:rtl/>
        </w:rPr>
        <w:t xml:space="preserve">(והעתיקו דבריו המרדכי </w:t>
      </w:r>
      <w:r w:rsidRPr="00351B7D">
        <w:rPr>
          <w:rFonts w:asciiTheme="minorBidi" w:hAnsiTheme="minorBidi"/>
          <w:sz w:val="12"/>
          <w:szCs w:val="12"/>
          <w:rtl/>
        </w:rPr>
        <w:t xml:space="preserve">(קידושין רמז תקכא) </w:t>
      </w:r>
      <w:r w:rsidRPr="00351B7D">
        <w:rPr>
          <w:rFonts w:asciiTheme="minorBidi" w:hAnsiTheme="minorBidi"/>
          <w:sz w:val="14"/>
          <w:szCs w:val="14"/>
          <w:rtl/>
        </w:rPr>
        <w:t xml:space="preserve">ותשובות מיימוניות </w:t>
      </w:r>
      <w:r w:rsidRPr="00351B7D">
        <w:rPr>
          <w:rFonts w:asciiTheme="minorBidi" w:hAnsiTheme="minorBidi"/>
          <w:sz w:val="12"/>
          <w:szCs w:val="12"/>
          <w:rtl/>
        </w:rPr>
        <w:t>(נשים סי' ד)</w:t>
      </w:r>
      <w:r w:rsidRPr="00351B7D">
        <w:rPr>
          <w:rFonts w:asciiTheme="minorBidi" w:hAnsiTheme="minorBidi"/>
          <w:sz w:val="14"/>
          <w:szCs w:val="14"/>
          <w:rtl/>
        </w:rPr>
        <w:t>)</w:t>
      </w:r>
      <w:r w:rsidRPr="00351B7D">
        <w:rPr>
          <w:rFonts w:asciiTheme="minorBidi" w:hAnsiTheme="minorBidi"/>
          <w:rtl/>
        </w:rPr>
        <w:t xml:space="preserve">. </w:t>
      </w:r>
      <w:r w:rsidRPr="00351B7D">
        <w:rPr>
          <w:rFonts w:asciiTheme="minorBidi" w:hAnsiTheme="minorBidi"/>
          <w:color w:val="00B0F0"/>
          <w:rtl/>
        </w:rPr>
        <w:t>(וכ"פ הרמ"א)</w:t>
      </w:r>
    </w:p>
  </w:footnote>
  <w:footnote w:id="123">
    <w:p w14:paraId="6BA5633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בהעי"ט</w:t>
      </w:r>
      <w:r w:rsidRPr="00351B7D">
        <w:rPr>
          <w:rFonts w:asciiTheme="minorBidi" w:hAnsiTheme="minorBidi"/>
          <w:sz w:val="16"/>
          <w:szCs w:val="16"/>
          <w:rtl/>
        </w:rPr>
        <w:t xml:space="preserve"> (אות ק קדושין ד"ה החלק הא', הביאו הרשב"א)</w:t>
      </w:r>
      <w:r w:rsidRPr="00351B7D">
        <w:rPr>
          <w:rFonts w:asciiTheme="minorBidi" w:hAnsiTheme="minorBidi"/>
          <w:rtl/>
        </w:rPr>
        <w:t xml:space="preserve"> רמב"ם </w:t>
      </w:r>
      <w:r w:rsidRPr="00351B7D">
        <w:rPr>
          <w:rFonts w:asciiTheme="minorBidi" w:hAnsiTheme="minorBidi"/>
          <w:sz w:val="16"/>
          <w:szCs w:val="16"/>
          <w:rtl/>
        </w:rPr>
        <w:t xml:space="preserve">(פ"ג ה"ז) </w:t>
      </w:r>
      <w:r w:rsidRPr="00351B7D">
        <w:rPr>
          <w:rFonts w:asciiTheme="minorBidi" w:hAnsiTheme="minorBidi"/>
          <w:rtl/>
        </w:rPr>
        <w:t xml:space="preserve">רא"ש </w:t>
      </w:r>
      <w:r w:rsidRPr="00351B7D">
        <w:rPr>
          <w:rFonts w:asciiTheme="minorBidi" w:hAnsiTheme="minorBidi"/>
          <w:sz w:val="16"/>
          <w:szCs w:val="16"/>
          <w:rtl/>
        </w:rPr>
        <w:t>(סו"ס ב)</w:t>
      </w:r>
      <w:r w:rsidRPr="00351B7D">
        <w:rPr>
          <w:rFonts w:asciiTheme="minorBidi" w:hAnsiTheme="minorBidi"/>
          <w:rtl/>
        </w:rPr>
        <w:t xml:space="preserve"> ורי"ו</w:t>
      </w:r>
      <w:r w:rsidRPr="00351B7D">
        <w:rPr>
          <w:rFonts w:asciiTheme="minorBidi" w:hAnsiTheme="minorBidi"/>
          <w:sz w:val="16"/>
          <w:szCs w:val="16"/>
          <w:rtl/>
        </w:rPr>
        <w:t xml:space="preserve"> (נתיב כ"ב ח"א)</w:t>
      </w:r>
      <w:r w:rsidRPr="00351B7D">
        <w:rPr>
          <w:rFonts w:asciiTheme="minorBidi" w:hAnsiTheme="minorBidi"/>
          <w:rtl/>
        </w:rPr>
        <w:t>.</w:t>
      </w:r>
    </w:p>
  </w:footnote>
  <w:footnote w:id="124">
    <w:p w14:paraId="42DC0E98" w14:textId="77777777" w:rsidR="00DF1FC7" w:rsidRPr="00351B7D" w:rsidRDefault="00DF1FC7" w:rsidP="008E16D0">
      <w:pPr>
        <w:pStyle w:val="a5"/>
        <w:rPr>
          <w:rFonts w:asciiTheme="minorBidi" w:hAnsiTheme="minorBidi"/>
          <w:color w:val="FF0000"/>
          <w:rtl/>
        </w:rPr>
      </w:pPr>
      <w:r w:rsidRPr="00351B7D">
        <w:rPr>
          <w:rStyle w:val="a7"/>
          <w:rFonts w:asciiTheme="minorBidi" w:hAnsiTheme="minorBidi"/>
        </w:rPr>
        <w:footnoteRef/>
      </w:r>
      <w:r w:rsidRPr="00351B7D">
        <w:rPr>
          <w:rFonts w:asciiTheme="minorBidi" w:hAnsiTheme="minorBidi"/>
          <w:rtl/>
        </w:rPr>
        <w:t xml:space="preserve"> הרשב"א כ' וז"ל- "אע"ג דתרוייהו מודו דלשם קדושין נתכוונו וסהדי נמי אמרי דלהכי מכווני אינה מקודשת ודאית", ולכאורה אפשר לפרש את דברי הרשב"א שמקודשת בספק או שאינה מקודשת כלל, אך ראיתי שהגר"א (סקי"ט) כ' שדעת הרשב"א היא שהיא מקודשת מספק. וכך נראה מפשט לשונו.</w:t>
      </w:r>
    </w:p>
  </w:footnote>
  <w:footnote w:id="125">
    <w:p w14:paraId="0F28C05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sz w:val="16"/>
          <w:szCs w:val="16"/>
          <w:rtl/>
        </w:rPr>
        <w:t xml:space="preserve"> </w:t>
      </w:r>
      <w:r w:rsidRPr="00351B7D">
        <w:rPr>
          <w:rFonts w:asciiTheme="minorBidi" w:hAnsiTheme="minorBidi"/>
          <w:rtl/>
        </w:rPr>
        <w:t>ראב"ד</w:t>
      </w:r>
      <w:r w:rsidRPr="00351B7D">
        <w:rPr>
          <w:rFonts w:asciiTheme="minorBidi" w:hAnsiTheme="minorBidi"/>
          <w:sz w:val="16"/>
          <w:szCs w:val="16"/>
          <w:rtl/>
        </w:rPr>
        <w:t xml:space="preserve"> (הביאו הרשב"א) </w:t>
      </w:r>
      <w:r w:rsidRPr="00351B7D">
        <w:rPr>
          <w:rFonts w:asciiTheme="minorBidi" w:hAnsiTheme="minorBidi"/>
          <w:rtl/>
        </w:rPr>
        <w:t xml:space="preserve">רשב"א </w:t>
      </w:r>
      <w:r w:rsidRPr="00351B7D">
        <w:rPr>
          <w:rFonts w:asciiTheme="minorBidi" w:hAnsiTheme="minorBidi"/>
          <w:sz w:val="16"/>
          <w:szCs w:val="16"/>
          <w:rtl/>
        </w:rPr>
        <w:t>(ו. ד"ה במאי)</w:t>
      </w:r>
      <w:r w:rsidRPr="00351B7D">
        <w:rPr>
          <w:rFonts w:asciiTheme="minorBidi" w:hAnsiTheme="minorBidi"/>
          <w:rtl/>
        </w:rPr>
        <w:t xml:space="preserve"> מהר"ם </w:t>
      </w:r>
      <w:r w:rsidRPr="00351B7D">
        <w:rPr>
          <w:rFonts w:asciiTheme="minorBidi" w:hAnsiTheme="minorBidi"/>
          <w:sz w:val="16"/>
          <w:szCs w:val="16"/>
          <w:rtl/>
        </w:rPr>
        <w:t xml:space="preserve">(שו"ת דפוס פראג סי' תקיט </w:t>
      </w:r>
      <w:r w:rsidRPr="00351B7D">
        <w:rPr>
          <w:rFonts w:asciiTheme="minorBidi" w:hAnsiTheme="minorBidi"/>
          <w:sz w:val="14"/>
          <w:szCs w:val="14"/>
          <w:rtl/>
        </w:rPr>
        <w:t xml:space="preserve">[אך לא הובא שם בשלמות לכן עיין במרדכי קידושין רמז תקכא שהעתיק בשלמות, וגם בתשובות מיימוניות </w:t>
      </w:r>
      <w:r w:rsidRPr="00351B7D">
        <w:rPr>
          <w:rFonts w:asciiTheme="minorBidi" w:hAnsiTheme="minorBidi"/>
          <w:sz w:val="12"/>
          <w:szCs w:val="12"/>
          <w:rtl/>
        </w:rPr>
        <w:t>(נשים סי' ד)</w:t>
      </w:r>
      <w:r w:rsidRPr="00351B7D">
        <w:rPr>
          <w:rFonts w:asciiTheme="minorBidi" w:hAnsiTheme="minorBidi"/>
          <w:sz w:val="14"/>
          <w:szCs w:val="14"/>
          <w:rtl/>
        </w:rPr>
        <w:t xml:space="preserve"> העתיק דברי מהר"ם]</w:t>
      </w:r>
      <w:r w:rsidRPr="00351B7D">
        <w:rPr>
          <w:rFonts w:asciiTheme="minorBidi" w:hAnsiTheme="minorBidi"/>
          <w:sz w:val="16"/>
          <w:szCs w:val="16"/>
          <w:rtl/>
        </w:rPr>
        <w:t>)</w:t>
      </w:r>
      <w:r w:rsidRPr="00351B7D">
        <w:rPr>
          <w:rFonts w:asciiTheme="minorBidi" w:hAnsiTheme="minorBidi"/>
          <w:rtl/>
        </w:rPr>
        <w:t xml:space="preserve"> ור"ן</w:t>
      </w:r>
      <w:r w:rsidRPr="00351B7D">
        <w:rPr>
          <w:rFonts w:asciiTheme="minorBidi" w:hAnsiTheme="minorBidi"/>
          <w:sz w:val="16"/>
          <w:szCs w:val="16"/>
          <w:rtl/>
        </w:rPr>
        <w:t xml:space="preserve"> (ב. ד"ה וגרסי' תו)</w:t>
      </w:r>
      <w:r w:rsidRPr="00351B7D">
        <w:rPr>
          <w:rFonts w:asciiTheme="minorBidi" w:hAnsiTheme="minorBidi"/>
          <w:rtl/>
        </w:rPr>
        <w:t>.</w:t>
      </w:r>
    </w:p>
  </w:footnote>
  <w:footnote w:id="126">
    <w:p w14:paraId="2967FC1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שאר הראשונים לא התייחסו מה הדין אם ידעה וקיבלה לשם קדושין, אלא סתמו וחילקו רק בין שדיברו על עסקי קדושין ובין לא דיברו, כל' הרמב"ם</w:t>
      </w:r>
      <w:r w:rsidRPr="00351B7D">
        <w:rPr>
          <w:rFonts w:asciiTheme="minorBidi" w:hAnsiTheme="minorBidi"/>
          <w:sz w:val="16"/>
          <w:szCs w:val="16"/>
          <w:rtl/>
        </w:rPr>
        <w:t xml:space="preserve"> (חוץ מרי"ו ומהרי"ט שכ' בפירוש שלא מועיל שקיבלה לשם קדושין)</w:t>
      </w:r>
      <w:r w:rsidRPr="00351B7D">
        <w:rPr>
          <w:rFonts w:asciiTheme="minorBidi" w:hAnsiTheme="minorBidi"/>
          <w:rtl/>
        </w:rPr>
        <w:t xml:space="preserve">, וגם השו"ע לא כתב דין זה. והר"ן, שכ' דין זה, נתן טעם לחילוק זה, וז"ל- "וכי אוקימנא ליה </w:t>
      </w:r>
      <w:r w:rsidRPr="00351B7D">
        <w:rPr>
          <w:rFonts w:asciiTheme="minorBidi" w:hAnsiTheme="minorBidi"/>
          <w:sz w:val="16"/>
          <w:szCs w:val="16"/>
          <w:rtl/>
        </w:rPr>
        <w:t>(בגמ')</w:t>
      </w:r>
      <w:r w:rsidRPr="00351B7D">
        <w:rPr>
          <w:rFonts w:asciiTheme="minorBidi" w:hAnsiTheme="minorBidi"/>
          <w:rtl/>
        </w:rPr>
        <w:t xml:space="preserve"> במדבר עמה על עסקי קידושיה אה"נ דהוה מצי לאוקמה בידעה מאי קאמר לה אלא משום דהכי שכיח טפי".</w:t>
      </w:r>
    </w:p>
  </w:footnote>
  <w:footnote w:id="127">
    <w:p w14:paraId="153EA5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דלא ידעינן אם יש במשמע לשונות הללו לשון קידושין או לא, עכ"ל הר"ן (שם, כל הקטע זו לשונו).</w:t>
      </w:r>
    </w:p>
  </w:footnote>
  <w:footnote w:id="128">
    <w:p w14:paraId="1F50600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 האחרונים הנ"ל כתבו את לשון המהר"ם גבי ההוא דאמר "הריני נותן לך בשביל אהבה וחבה", וכ' דלא גרע האי לישנא ממיוחדת וכו', לכן אם הייתה דעת שניהם לקדושין צריכה גט, ע"כ. ומכאן מוכח שדעת שבלשונות המסופקים אם הייתה דעתם לשם קדושין האי ספק קדושין כדעת הר"ן ודעימיה.</w:t>
      </w:r>
    </w:p>
  </w:footnote>
  <w:footnote w:id="129">
    <w:p w14:paraId="69811C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w:t>
      </w:r>
      <w:r w:rsidRPr="00351B7D">
        <w:rPr>
          <w:rFonts w:asciiTheme="minorBidi" w:hAnsiTheme="minorBidi"/>
          <w:sz w:val="16"/>
          <w:szCs w:val="16"/>
          <w:rtl/>
        </w:rPr>
        <w:t xml:space="preserve">(פ"ג ה"ו) </w:t>
      </w:r>
      <w:r w:rsidRPr="00351B7D">
        <w:rPr>
          <w:rFonts w:asciiTheme="minorBidi" w:hAnsiTheme="minorBidi"/>
          <w:rtl/>
        </w:rPr>
        <w:t xml:space="preserve">ורשב"א </w:t>
      </w:r>
      <w:r w:rsidRPr="00351B7D">
        <w:rPr>
          <w:rFonts w:asciiTheme="minorBidi" w:hAnsiTheme="minorBidi"/>
          <w:sz w:val="16"/>
          <w:szCs w:val="16"/>
          <w:rtl/>
        </w:rPr>
        <w:t>(ו. ד"ה אלא ה"ק)</w:t>
      </w:r>
      <w:r w:rsidRPr="00351B7D">
        <w:rPr>
          <w:rFonts w:asciiTheme="minorBidi" w:hAnsiTheme="minorBidi"/>
          <w:rtl/>
        </w:rPr>
        <w:t>.</w:t>
      </w:r>
    </w:p>
  </w:footnote>
  <w:footnote w:id="130">
    <w:p w14:paraId="1936DA4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לשון הרמב"ם, ומתוך זה שסתם דבריו משמעו דמקודשת בכל מקום, ולא רק במקום שמשמעתו לשון קדושין, ע"פ ב"י. וכ' הריטב"א </w:t>
      </w:r>
      <w:r w:rsidRPr="00351B7D">
        <w:rPr>
          <w:rFonts w:asciiTheme="minorBidi" w:hAnsiTheme="minorBidi"/>
          <w:sz w:val="16"/>
          <w:szCs w:val="16"/>
          <w:rtl/>
        </w:rPr>
        <w:t xml:space="preserve">(שם ד"ה ופסק, הביאו הב"י בבדה"ב) </w:t>
      </w:r>
      <w:r w:rsidRPr="00351B7D">
        <w:rPr>
          <w:rFonts w:asciiTheme="minorBidi" w:hAnsiTheme="minorBidi"/>
          <w:rtl/>
        </w:rPr>
        <w:t xml:space="preserve">שטעמו של הרמב"ם ז"ל, משום דהאי תנא דקתני דלא הויא מקודשת אלא ביהודה משום דנחרפת דקרא אין לשון קידושין, דבשפחה כנענית הכתוב מדבר, ואנן קיי"ל דבחציה שפחה וחציה בת חורין הכתוב מדבר, דשייך צד קידושין בה, והוי נחרפת לישנא דקידושין. אך הגר"א </w:t>
      </w:r>
      <w:r w:rsidRPr="00351B7D">
        <w:rPr>
          <w:rFonts w:asciiTheme="minorBidi" w:hAnsiTheme="minorBidi"/>
          <w:sz w:val="16"/>
          <w:szCs w:val="16"/>
          <w:rtl/>
        </w:rPr>
        <w:t xml:space="preserve">(סק"ז) </w:t>
      </w:r>
      <w:r w:rsidRPr="00351B7D">
        <w:rPr>
          <w:rFonts w:asciiTheme="minorBidi" w:hAnsiTheme="minorBidi"/>
          <w:rtl/>
        </w:rPr>
        <w:t>כ' שהרמב"ם כ' כן משום שגרס כגירסת הר"ח</w:t>
      </w:r>
      <w:r w:rsidRPr="00351B7D">
        <w:rPr>
          <w:rFonts w:asciiTheme="minorBidi" w:hAnsiTheme="minorBidi"/>
          <w:sz w:val="14"/>
          <w:szCs w:val="14"/>
          <w:rtl/>
        </w:rPr>
        <w:t xml:space="preserve"> </w:t>
      </w:r>
      <w:r w:rsidRPr="00351B7D">
        <w:rPr>
          <w:rFonts w:asciiTheme="minorBidi" w:hAnsiTheme="minorBidi"/>
          <w:sz w:val="16"/>
          <w:szCs w:val="16"/>
          <w:rtl/>
        </w:rPr>
        <w:t>(מובאת ברשב"א שם)</w:t>
      </w:r>
      <w:r w:rsidRPr="00351B7D">
        <w:rPr>
          <w:rFonts w:asciiTheme="minorBidi" w:hAnsiTheme="minorBidi"/>
          <w:rtl/>
        </w:rPr>
        <w:t>, שאינו גורס כל השקלא וטריא אלא- ת"ש האומר חרופתי מקודשת שכן ביהודה קורין לארוסה חרופה כיון דלשון קדושין הוא, אבל לפי ספרים שלנו אפילו ספק קדושין לא הוי בשאר מקומות, אע"ג דחרופה הוי ספק משום דהוא ספק לשון קדושין בכל מקום.</w:t>
      </w:r>
    </w:p>
  </w:footnote>
  <w:footnote w:id="131">
    <w:p w14:paraId="68612BD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מהר"ם </w:t>
      </w:r>
      <w:r w:rsidRPr="00351B7D">
        <w:rPr>
          <w:rFonts w:asciiTheme="minorBidi" w:hAnsiTheme="minorBidi"/>
          <w:sz w:val="16"/>
          <w:szCs w:val="16"/>
          <w:rtl/>
        </w:rPr>
        <w:t>(שו"ת ד"פ סי' תקיט, העתיקוהו המרדכי [קדושין סי' תקכא] ותשובות מיימוניות [נשים סי' ד'])</w:t>
      </w:r>
      <w:r w:rsidRPr="00351B7D">
        <w:rPr>
          <w:rFonts w:asciiTheme="minorBidi" w:hAnsiTheme="minorBidi"/>
          <w:rtl/>
        </w:rPr>
        <w:t xml:space="preserve"> ור"ן </w:t>
      </w:r>
      <w:r w:rsidRPr="00351B7D">
        <w:rPr>
          <w:rFonts w:asciiTheme="minorBidi" w:hAnsiTheme="minorBidi"/>
          <w:sz w:val="16"/>
          <w:szCs w:val="16"/>
          <w:rtl/>
        </w:rPr>
        <w:t>(ב. ד"ה וגרסינן)</w:t>
      </w:r>
      <w:r w:rsidRPr="00351B7D">
        <w:rPr>
          <w:rFonts w:asciiTheme="minorBidi" w:hAnsiTheme="minorBidi"/>
          <w:rtl/>
        </w:rPr>
        <w:t>.</w:t>
      </w:r>
    </w:p>
  </w:footnote>
  <w:footnote w:id="132">
    <w:p w14:paraId="72DC95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דכיון דבעיא היא בגמ' חרופתי מהו ולא איפשיטא שתהא מקודשת גמורה אלא ביהודה, נהי דמעיקרא הוה ס"ל דמקודשת למאן דאמר (גיטין מ.) דבחציה שפחה וחציה בת חורין הכתוב מדבר, כיון דלא סליק הכי ואידחי ליה היכי נסמוך אהא ונימא דמקודשת גמורה ולא ניחוש לקידושי שני, דהא ודאי לא נהירא, ר"ן.</w:t>
      </w:r>
    </w:p>
  </w:footnote>
  <w:footnote w:id="133">
    <w:p w14:paraId="1350DBC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בתחילת התשובה הובאה שאלת השואל ותורף דבריה לענייננו הוא- ראובן ארס אשה ולא לקחה והלך לו לעיר אחרת, ואבי הנערה הלך אחריו וביקש שיכתוב לבתו גט, וכתב ושלח לה ביד אביה, וכתוב בגט- "איך אנא פלוני פטרית ושבקית ליכי פלונית די הוית אנתתי מן קדמת דנא", וטעה הסופר, דהוה ליה למכתב ארוסתי, ונסתפק השואל אם מתגרשת בגט זה.</w:t>
      </w:r>
    </w:p>
  </w:footnote>
  <w:footnote w:id="134">
    <w:p w14:paraId="200CAA0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ותמה עליו הב"י בבדה"ב, וז"ל- "ויש לתמוה עליו ממש"כ בברייתא (ה:) הרי את לי לאנתו הרי זו מקודשת, ותניא תו (ו.) שאם אמר הרי את אשתי הרי זו מקודשת, וסתם אשתי משמע שהיא נשואה ממש, ואפילו למה שרוצה לחלק בין זו לזו ה"ל למימר שהוא ספק מקודשת, ושמא גם הוא ז"ל כך דעתו לומר שאינה ודאי מקודשת אבל מידי ספיקא מיהא לא נפקא".</w:t>
      </w:r>
    </w:p>
  </w:footnote>
  <w:footnote w:id="135">
    <w:p w14:paraId="20E399A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ב"י</w:t>
      </w:r>
      <w:r w:rsidRPr="00351B7D">
        <w:rPr>
          <w:rFonts w:asciiTheme="minorBidi" w:hAnsiTheme="minorBidi"/>
          <w:sz w:val="16"/>
          <w:szCs w:val="16"/>
          <w:rtl/>
        </w:rPr>
        <w:t xml:space="preserve"> (בבדה"ב)</w:t>
      </w:r>
      <w:r w:rsidRPr="00351B7D">
        <w:rPr>
          <w:rFonts w:asciiTheme="minorBidi" w:hAnsiTheme="minorBidi"/>
          <w:rtl/>
        </w:rPr>
        <w:t xml:space="preserve"> ומהרי"ט</w:t>
      </w:r>
      <w:r w:rsidRPr="00351B7D">
        <w:rPr>
          <w:rFonts w:asciiTheme="minorBidi" w:hAnsiTheme="minorBidi"/>
          <w:sz w:val="16"/>
          <w:szCs w:val="16"/>
          <w:rtl/>
        </w:rPr>
        <w:t xml:space="preserve"> (חידו' קדושין על הרי"ף פ"א ד"ה וראיתי בהגהו')</w:t>
      </w:r>
      <w:r w:rsidRPr="00351B7D">
        <w:rPr>
          <w:rFonts w:asciiTheme="minorBidi" w:hAnsiTheme="minorBidi"/>
          <w:rtl/>
        </w:rPr>
        <w:t>.</w:t>
      </w:r>
    </w:p>
  </w:footnote>
  <w:footnote w:id="136">
    <w:p w14:paraId="568942C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כך הבנתי בדברי הב"י, והוא משום שהב"י בבדה"ב כ' שהאומר "הרי את נשואתי" הרי הוא כאומר "הרי את אשתי", ובגמ' איפשטא שהאומר "הרי את אשתי" מקודשת בתנאי שהיה מדבר עמה על עסקי קדושין או שאמרה לשם קדושין נתכונתי, וכמו שפסק בסע' א, ולכן תמה על הרשב"א שהיה לו להכשיר לשון זו, וסיים שם דאפילו למה שרוצה הרשב"א לחלק בין זו לזו ה"ל למימר שהוא ספק מקודשת, עד כאן, וכן מפורש במהרי"ט, ומכל הנ"ל נמצא כמש"כ למעלה.</w:t>
      </w:r>
      <w:r w:rsidRPr="00351B7D">
        <w:rPr>
          <w:rFonts w:asciiTheme="minorBidi" w:hAnsiTheme="minorBidi"/>
          <w:sz w:val="16"/>
          <w:szCs w:val="16"/>
          <w:rtl/>
        </w:rPr>
        <w:t xml:space="preserve"> (וכתבתי כן אע"ג שהב"ש [סק"ח] כ' שהב"י והמהרי"ט סוברים כדבריו, דהיינו אחרת ממה שכתבתי, ונראה שהוא ט"ס בב"ש, שהרי המהרי"ט כ' בהדיא אחרת ממש"כ הב"ש, וכן נראה מדברי הב"י, לכן נ"ל דצריך לגרוס את התיבות- "וכ"כ בחדושי מהרי"ט ובבדק הבית" אחרי מה שכ' הב"ש בתחילת הס"ק "דלא הוי קדושין ודאי", וכן הגיה מחצה"ש, ועי' ביד אפרים שגם השיג על דברי הב"ש לפי הגירסה שלפנינו וכ' שהב"י לא כ' כדבריו)</w:t>
      </w:r>
      <w:r w:rsidRPr="00351B7D">
        <w:rPr>
          <w:rFonts w:asciiTheme="minorBidi" w:hAnsiTheme="minorBidi"/>
          <w:rtl/>
        </w:rPr>
        <w:t xml:space="preserve"> </w:t>
      </w:r>
    </w:p>
  </w:footnote>
  <w:footnote w:id="137">
    <w:p w14:paraId="6AD29F5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ח"מ </w:t>
      </w:r>
      <w:r w:rsidRPr="00351B7D">
        <w:rPr>
          <w:rFonts w:asciiTheme="minorBidi" w:hAnsiTheme="minorBidi"/>
          <w:sz w:val="16"/>
          <w:szCs w:val="16"/>
          <w:rtl/>
        </w:rPr>
        <w:t>(סק"ה)</w:t>
      </w:r>
      <w:r w:rsidRPr="00351B7D">
        <w:rPr>
          <w:rFonts w:asciiTheme="minorBidi" w:hAnsiTheme="minorBidi"/>
          <w:rtl/>
        </w:rPr>
        <w:t xml:space="preserve"> ב"ש</w:t>
      </w:r>
      <w:r w:rsidRPr="00351B7D">
        <w:rPr>
          <w:rFonts w:asciiTheme="minorBidi" w:hAnsiTheme="minorBidi"/>
          <w:sz w:val="16"/>
          <w:szCs w:val="16"/>
          <w:rtl/>
        </w:rPr>
        <w:t xml:space="preserve"> (סק"ח)</w:t>
      </w:r>
      <w:r w:rsidRPr="00351B7D">
        <w:rPr>
          <w:rFonts w:asciiTheme="minorBidi" w:hAnsiTheme="minorBidi"/>
          <w:rtl/>
        </w:rPr>
        <w:t xml:space="preserve"> ובאה"ט</w:t>
      </w:r>
      <w:r w:rsidRPr="00351B7D">
        <w:rPr>
          <w:rFonts w:asciiTheme="minorBidi" w:hAnsiTheme="minorBidi"/>
          <w:sz w:val="16"/>
          <w:szCs w:val="16"/>
          <w:rtl/>
        </w:rPr>
        <w:t xml:space="preserve"> (סק"ט)</w:t>
      </w:r>
      <w:r w:rsidRPr="00351B7D">
        <w:rPr>
          <w:rFonts w:asciiTheme="minorBidi" w:hAnsiTheme="minorBidi"/>
          <w:rtl/>
        </w:rPr>
        <w:t>.</w:t>
      </w:r>
    </w:p>
  </w:footnote>
  <w:footnote w:id="138">
    <w:p w14:paraId="2D385D9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כך משמע מדבריו וכך הבינו כל האחרונים שראיתי בדבריו (מהרי"ט </w:t>
      </w:r>
      <w:r w:rsidRPr="00351B7D">
        <w:rPr>
          <w:rFonts w:asciiTheme="minorBidi" w:hAnsiTheme="minorBidi"/>
          <w:sz w:val="16"/>
          <w:szCs w:val="16"/>
          <w:rtl/>
        </w:rPr>
        <w:t>[שם]</w:t>
      </w:r>
      <w:r w:rsidRPr="00351B7D">
        <w:rPr>
          <w:rFonts w:asciiTheme="minorBidi" w:hAnsiTheme="minorBidi"/>
          <w:rtl/>
        </w:rPr>
        <w:t>,</w:t>
      </w:r>
      <w:r w:rsidRPr="00351B7D">
        <w:rPr>
          <w:rFonts w:asciiTheme="minorBidi" w:hAnsiTheme="minorBidi"/>
          <w:sz w:val="16"/>
          <w:szCs w:val="16"/>
          <w:rtl/>
        </w:rPr>
        <w:t xml:space="preserve"> </w:t>
      </w:r>
      <w:r w:rsidRPr="00351B7D">
        <w:rPr>
          <w:rFonts w:asciiTheme="minorBidi" w:hAnsiTheme="minorBidi"/>
          <w:rtl/>
        </w:rPr>
        <w:t xml:space="preserve">ח"מ </w:t>
      </w:r>
      <w:r w:rsidRPr="00351B7D">
        <w:rPr>
          <w:rFonts w:asciiTheme="minorBidi" w:hAnsiTheme="minorBidi"/>
          <w:sz w:val="16"/>
          <w:szCs w:val="16"/>
          <w:rtl/>
        </w:rPr>
        <w:t>[סק"ה]</w:t>
      </w:r>
      <w:r w:rsidRPr="00351B7D">
        <w:rPr>
          <w:rFonts w:asciiTheme="minorBidi" w:hAnsiTheme="minorBidi"/>
          <w:rtl/>
        </w:rPr>
        <w:t xml:space="preserve">, נח"צ </w:t>
      </w:r>
      <w:r w:rsidRPr="00351B7D">
        <w:rPr>
          <w:rFonts w:asciiTheme="minorBidi" w:hAnsiTheme="minorBidi"/>
          <w:sz w:val="16"/>
          <w:szCs w:val="16"/>
          <w:rtl/>
        </w:rPr>
        <w:t>[סק"ח]</w:t>
      </w:r>
      <w:r w:rsidRPr="00351B7D">
        <w:rPr>
          <w:rFonts w:asciiTheme="minorBidi" w:hAnsiTheme="minorBidi"/>
          <w:rtl/>
        </w:rPr>
        <w:t xml:space="preserve">, גר"א </w:t>
      </w:r>
      <w:r w:rsidRPr="00351B7D">
        <w:rPr>
          <w:rFonts w:asciiTheme="minorBidi" w:hAnsiTheme="minorBidi"/>
          <w:sz w:val="16"/>
          <w:szCs w:val="16"/>
          <w:rtl/>
        </w:rPr>
        <w:t>[סקי"ז]</w:t>
      </w:r>
      <w:r w:rsidRPr="00351B7D">
        <w:rPr>
          <w:rFonts w:asciiTheme="minorBidi" w:hAnsiTheme="minorBidi"/>
          <w:rtl/>
        </w:rPr>
        <w:t>, באה"ט ועוד).</w:t>
      </w:r>
    </w:p>
  </w:footnote>
  <w:footnote w:id="139">
    <w:p w14:paraId="666A791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שו"ת דפוס פראג סי' תקיט. והעתיקוהו המרדכי </w:t>
      </w:r>
      <w:r w:rsidRPr="00351B7D">
        <w:rPr>
          <w:rFonts w:asciiTheme="minorBidi" w:hAnsiTheme="minorBidi"/>
          <w:sz w:val="16"/>
          <w:szCs w:val="16"/>
          <w:rtl/>
        </w:rPr>
        <w:t>(קדושין סי' תקכא)</w:t>
      </w:r>
      <w:r w:rsidRPr="00351B7D">
        <w:rPr>
          <w:rFonts w:asciiTheme="minorBidi" w:hAnsiTheme="minorBidi"/>
          <w:rtl/>
        </w:rPr>
        <w:t xml:space="preserve"> ותשובות מיימוניות </w:t>
      </w:r>
      <w:r w:rsidRPr="00351B7D">
        <w:rPr>
          <w:rFonts w:asciiTheme="minorBidi" w:hAnsiTheme="minorBidi"/>
          <w:sz w:val="16"/>
          <w:szCs w:val="16"/>
          <w:rtl/>
        </w:rPr>
        <w:t>(נשים סי' ד')</w:t>
      </w:r>
      <w:r w:rsidRPr="00351B7D">
        <w:rPr>
          <w:rFonts w:asciiTheme="minorBidi" w:hAnsiTheme="minorBidi"/>
          <w:rtl/>
        </w:rPr>
        <w:t>.</w:t>
      </w:r>
    </w:p>
  </w:footnote>
  <w:footnote w:id="140">
    <w:p w14:paraId="1DB4330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דהמעיין בתשובת מהר"ם יראה ששם היה המעשה שדברו בתחלה מעסקי הקדושין רק דמיירי שהם לבדם יודעים שנתרצו ולא העדים ואמר לה בשעת נתינה לשם אהבה וחבה ושניהם כוונו לשם קדושין וע"ז כ' </w:t>
      </w:r>
      <w:r w:rsidRPr="00351B7D">
        <w:rPr>
          <w:rFonts w:asciiTheme="minorBidi" w:hAnsiTheme="minorBidi"/>
          <w:sz w:val="16"/>
          <w:szCs w:val="16"/>
          <w:rtl/>
        </w:rPr>
        <w:t xml:space="preserve">{מהר"ם} </w:t>
      </w:r>
      <w:r w:rsidRPr="00351B7D">
        <w:rPr>
          <w:rFonts w:asciiTheme="minorBidi" w:hAnsiTheme="minorBidi"/>
          <w:rtl/>
        </w:rPr>
        <w:t>אפילו לא דיבר עמה כלל, דהרשות בידם לפרש הלשון אל כוונתם, ח"מ (סק"ט).</w:t>
      </w:r>
    </w:p>
  </w:footnote>
  <w:footnote w:id="141">
    <w:p w14:paraId="2516A548"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וכן אם אמר שתי לשונות ביחד </w:t>
      </w:r>
      <w:r w:rsidRPr="00351B7D">
        <w:rPr>
          <w:rFonts w:asciiTheme="minorBidi" w:hAnsiTheme="minorBidi"/>
          <w:sz w:val="16"/>
          <w:szCs w:val="16"/>
          <w:rtl/>
        </w:rPr>
        <w:t xml:space="preserve">(דהיינו לשון הברור ולשון ספק) </w:t>
      </w:r>
      <w:r w:rsidRPr="00351B7D">
        <w:rPr>
          <w:rFonts w:asciiTheme="minorBidi" w:hAnsiTheme="minorBidi"/>
          <w:sz w:val="20"/>
          <w:szCs w:val="20"/>
          <w:rtl/>
        </w:rPr>
        <w:t xml:space="preserve">דאמר הרי את אשתי ועזרתי איכא למימר דהוי ספק קדושין, בין קידש בפרוטה אחת ובין שקידש בשתי פרוטות, המקנה </w:t>
      </w:r>
      <w:r w:rsidRPr="00351B7D">
        <w:rPr>
          <w:rFonts w:asciiTheme="minorBidi" w:hAnsiTheme="minorBidi"/>
          <w:sz w:val="16"/>
          <w:szCs w:val="16"/>
          <w:rtl/>
        </w:rPr>
        <w:t>(קו"א ס"ו, הובא בפת"ש סק"ז)</w:t>
      </w:r>
      <w:r w:rsidRPr="00351B7D">
        <w:rPr>
          <w:rFonts w:asciiTheme="minorBidi" w:hAnsiTheme="minorBidi"/>
          <w:sz w:val="20"/>
          <w:szCs w:val="20"/>
          <w:rtl/>
        </w:rPr>
        <w:t>.</w:t>
      </w:r>
    </w:p>
  </w:footnote>
  <w:footnote w:id="142">
    <w:p w14:paraId="70CF79CB" w14:textId="77777777" w:rsidR="00DF1FC7" w:rsidRPr="00351B7D" w:rsidRDefault="00DF1FC7" w:rsidP="008E16D0">
      <w:pPr>
        <w:spacing w:after="0" w:line="240" w:lineRule="auto"/>
        <w:rPr>
          <w:rFonts w:asciiTheme="minorBidi" w:hAnsiTheme="minorBidi"/>
        </w:rPr>
      </w:pPr>
      <w:r w:rsidRPr="00351B7D">
        <w:rPr>
          <w:rStyle w:val="a7"/>
          <w:rFonts w:asciiTheme="minorBidi" w:hAnsiTheme="minorBidi"/>
          <w:sz w:val="20"/>
          <w:szCs w:val="20"/>
        </w:rPr>
        <w:footnoteRef/>
      </w:r>
      <w:r w:rsidRPr="00351B7D">
        <w:rPr>
          <w:rFonts w:asciiTheme="minorBidi" w:hAnsiTheme="minorBidi"/>
          <w:sz w:val="20"/>
          <w:szCs w:val="20"/>
          <w:rtl/>
        </w:rPr>
        <w:t xml:space="preserve"> אבל היכא דהקדושין ונשואין באין כא' כגון שכנסה לביתו וקידשה </w:t>
      </w:r>
      <w:r w:rsidRPr="00351B7D">
        <w:rPr>
          <w:rFonts w:asciiTheme="minorBidi" w:hAnsiTheme="minorBidi"/>
          <w:sz w:val="16"/>
          <w:szCs w:val="16"/>
          <w:rtl/>
        </w:rPr>
        <w:t xml:space="preserve">(סי' ל"ג ס"א בהג"ה) </w:t>
      </w:r>
      <w:r w:rsidRPr="00351B7D">
        <w:rPr>
          <w:rFonts w:asciiTheme="minorBidi" w:hAnsiTheme="minorBidi"/>
          <w:sz w:val="20"/>
          <w:szCs w:val="20"/>
          <w:rtl/>
        </w:rPr>
        <w:t xml:space="preserve">וכן אם כנסה לחופה ואח"כ קידשה </w:t>
      </w:r>
      <w:r w:rsidRPr="00351B7D">
        <w:rPr>
          <w:rFonts w:asciiTheme="minorBidi" w:hAnsiTheme="minorBidi"/>
          <w:sz w:val="16"/>
          <w:szCs w:val="16"/>
          <w:rtl/>
        </w:rPr>
        <w:t>(לד' המל"מ שסובר שבכה"ג נעשית נשואה בשעת קדושין)</w:t>
      </w:r>
      <w:r w:rsidRPr="00351B7D">
        <w:rPr>
          <w:rFonts w:asciiTheme="minorBidi" w:hAnsiTheme="minorBidi"/>
          <w:sz w:val="20"/>
          <w:szCs w:val="20"/>
          <w:rtl/>
        </w:rPr>
        <w:t xml:space="preserve"> וכה"ג שייך שפיר לשון נשואתי יותר מארוסתי, ושייך בזה שטרי נשואין </w:t>
      </w:r>
      <w:r w:rsidRPr="00351B7D">
        <w:rPr>
          <w:rFonts w:asciiTheme="minorBidi" w:hAnsiTheme="minorBidi"/>
          <w:sz w:val="16"/>
          <w:szCs w:val="16"/>
          <w:rtl/>
        </w:rPr>
        <w:t>(אם כתב בשטר הרי את נשואתי)</w:t>
      </w:r>
      <w:r w:rsidRPr="00351B7D">
        <w:rPr>
          <w:rFonts w:asciiTheme="minorBidi" w:hAnsiTheme="minorBidi"/>
          <w:sz w:val="20"/>
          <w:szCs w:val="20"/>
          <w:rtl/>
        </w:rPr>
        <w:t xml:space="preserve">, המקנה </w:t>
      </w:r>
      <w:r w:rsidRPr="00351B7D">
        <w:rPr>
          <w:rFonts w:asciiTheme="minorBidi" w:hAnsiTheme="minorBidi"/>
          <w:sz w:val="16"/>
          <w:szCs w:val="16"/>
          <w:rtl/>
        </w:rPr>
        <w:t>(קו"א ד"ה הרי את, הובא בפת"ש סק"ח)</w:t>
      </w:r>
      <w:r w:rsidRPr="00351B7D">
        <w:rPr>
          <w:rFonts w:asciiTheme="minorBidi" w:hAnsiTheme="minorBidi"/>
          <w:sz w:val="20"/>
          <w:szCs w:val="20"/>
          <w:rtl/>
        </w:rPr>
        <w:t>.</w:t>
      </w:r>
    </w:p>
  </w:footnote>
  <w:footnote w:id="143">
    <w:p w14:paraId="62805B4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אם הוא אמר בהני לשונות דלא היה כוונתו לשם קידושין י"ל דנאמן </w:t>
      </w:r>
      <w:r w:rsidRPr="00351B7D">
        <w:rPr>
          <w:rFonts w:asciiTheme="minorBidi" w:hAnsiTheme="minorBidi"/>
          <w:sz w:val="16"/>
          <w:szCs w:val="16"/>
          <w:rtl/>
        </w:rPr>
        <w:t>(אע"פ שדיבר עמה תחלה על עסקי קדושין)</w:t>
      </w:r>
      <w:r w:rsidRPr="00351B7D">
        <w:rPr>
          <w:rFonts w:asciiTheme="minorBidi" w:hAnsiTheme="minorBidi"/>
          <w:rtl/>
        </w:rPr>
        <w:t xml:space="preserve">, ואפילו לדעת הב"י דס"ל הבעל אינו נאמן לומר שלא היה מבין שהוא לשון קידושין כמ"ש בסמוך י"ל שאני אלו לשונות דמספקא בש"ס אם הם לשון קידושין י"ל דהוא נאמן לומר שלא היה כוונתו לשם קידושין וכ"כ בח"מ </w:t>
      </w:r>
      <w:r w:rsidRPr="00351B7D">
        <w:rPr>
          <w:rFonts w:asciiTheme="minorBidi" w:hAnsiTheme="minorBidi"/>
          <w:sz w:val="14"/>
          <w:szCs w:val="14"/>
          <w:rtl/>
        </w:rPr>
        <w:t>(סק"ד)</w:t>
      </w:r>
      <w:r w:rsidRPr="00351B7D">
        <w:rPr>
          <w:rFonts w:asciiTheme="minorBidi" w:hAnsiTheme="minorBidi"/>
          <w:rtl/>
        </w:rPr>
        <w:t>, ע"פ ב"ש (סק"ט).</w:t>
      </w:r>
    </w:p>
  </w:footnote>
  <w:footnote w:id="144">
    <w:p w14:paraId="7139A5D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והייתה דעת שניהם לשם קדושין- אז חוששין לקדושין, מהר"ם </w:t>
      </w:r>
      <w:r w:rsidRPr="00351B7D">
        <w:rPr>
          <w:rFonts w:asciiTheme="minorBidi" w:hAnsiTheme="minorBidi"/>
          <w:sz w:val="16"/>
          <w:szCs w:val="16"/>
          <w:rtl/>
        </w:rPr>
        <w:t>(וכ"כ כל האחרונים בשמו)</w:t>
      </w:r>
      <w:r w:rsidRPr="00351B7D">
        <w:rPr>
          <w:rFonts w:asciiTheme="minorBidi" w:hAnsiTheme="minorBidi"/>
          <w:rtl/>
        </w:rPr>
        <w:t xml:space="preserve">. ומיירי הכא שדיבר עמה עע"ק </w:t>
      </w:r>
      <w:r w:rsidRPr="00351B7D">
        <w:rPr>
          <w:rFonts w:asciiTheme="minorBidi" w:hAnsiTheme="minorBidi"/>
          <w:sz w:val="16"/>
          <w:szCs w:val="16"/>
          <w:rtl/>
        </w:rPr>
        <w:t xml:space="preserve">(כ"מ ממהר"ם </w:t>
      </w:r>
      <w:r w:rsidRPr="00351B7D">
        <w:rPr>
          <w:rFonts w:asciiTheme="minorBidi" w:hAnsiTheme="minorBidi"/>
          <w:sz w:val="14"/>
          <w:szCs w:val="14"/>
          <w:rtl/>
        </w:rPr>
        <w:t>[דמדמי לשון זו לשאר לשונות מסופקים, וכמו שבלשונ' המסופקים בעינן שדיבר עמה עע"ק- הכ"נ]</w:t>
      </w:r>
      <w:r w:rsidRPr="00351B7D">
        <w:rPr>
          <w:rFonts w:asciiTheme="minorBidi" w:hAnsiTheme="minorBidi"/>
          <w:sz w:val="16"/>
          <w:szCs w:val="16"/>
          <w:rtl/>
        </w:rPr>
        <w:t>, וכ"כ הב"ש (סק"י) וכ"כ רי"ו</w:t>
      </w:r>
      <w:r w:rsidRPr="00351B7D">
        <w:rPr>
          <w:rFonts w:asciiTheme="minorBidi" w:hAnsiTheme="minorBidi"/>
          <w:sz w:val="10"/>
          <w:szCs w:val="10"/>
          <w:rtl/>
        </w:rPr>
        <w:t xml:space="preserve"> </w:t>
      </w:r>
      <w:r w:rsidRPr="00351B7D">
        <w:rPr>
          <w:rFonts w:asciiTheme="minorBidi" w:hAnsiTheme="minorBidi"/>
          <w:sz w:val="14"/>
          <w:szCs w:val="14"/>
          <w:rtl/>
        </w:rPr>
        <w:t>(נכ"ב ח"א)</w:t>
      </w:r>
      <w:r w:rsidRPr="00351B7D">
        <w:rPr>
          <w:rFonts w:asciiTheme="minorBidi" w:hAnsiTheme="minorBidi"/>
          <w:sz w:val="16"/>
          <w:szCs w:val="16"/>
          <w:rtl/>
        </w:rPr>
        <w:t xml:space="preserve"> בשם רבו רבי אברהם בן אסמעאל)</w:t>
      </w:r>
      <w:r w:rsidRPr="00351B7D">
        <w:rPr>
          <w:rFonts w:asciiTheme="minorBidi" w:hAnsiTheme="minorBidi"/>
          <w:rtl/>
        </w:rPr>
        <w:t>.</w:t>
      </w:r>
    </w:p>
  </w:footnote>
  <w:footnote w:id="145">
    <w:p w14:paraId="4B9C82D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הבית הילל כ' דצ"ל- "שנותן לה ע"מ שתהיה אהבה וחיבה בינינו ותהיי אהובתי...." כלשון המהר"ם, דאל"כ קשה מה שייך ענין מיוחדת או מיועדת אצל אהבה וחבה, וכ"כ בשמו הבאה"ט </w:t>
      </w:r>
      <w:r w:rsidRPr="00351B7D">
        <w:rPr>
          <w:rFonts w:asciiTheme="minorBidi" w:hAnsiTheme="minorBidi"/>
          <w:sz w:val="16"/>
          <w:szCs w:val="16"/>
          <w:rtl/>
        </w:rPr>
        <w:t>(סקי"א)</w:t>
      </w:r>
      <w:r w:rsidRPr="00351B7D">
        <w:rPr>
          <w:rFonts w:asciiTheme="minorBidi" w:hAnsiTheme="minorBidi"/>
          <w:rtl/>
        </w:rPr>
        <w:t xml:space="preserve">. אך המעיין בדברי מהר"ם יראה דמוכח כד' הרמ"א </w:t>
      </w:r>
      <w:r w:rsidRPr="00351B7D">
        <w:rPr>
          <w:rFonts w:asciiTheme="minorBidi" w:hAnsiTheme="minorBidi"/>
          <w:sz w:val="16"/>
          <w:szCs w:val="16"/>
          <w:rtl/>
        </w:rPr>
        <w:t>(שכ' לרבותא)</w:t>
      </w:r>
      <w:r w:rsidRPr="00351B7D">
        <w:rPr>
          <w:rFonts w:asciiTheme="minorBidi" w:hAnsiTheme="minorBidi"/>
          <w:rtl/>
        </w:rPr>
        <w:t>.</w:t>
      </w:r>
    </w:p>
  </w:footnote>
  <w:footnote w:id="146">
    <w:p w14:paraId="4E5492F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והקשה הח"מ</w:t>
      </w:r>
      <w:r w:rsidRPr="00351B7D">
        <w:rPr>
          <w:rFonts w:asciiTheme="minorBidi" w:hAnsiTheme="minorBidi"/>
          <w:sz w:val="16"/>
          <w:szCs w:val="16"/>
          <w:rtl/>
        </w:rPr>
        <w:t xml:space="preserve"> (סק"ט)</w:t>
      </w:r>
      <w:r w:rsidRPr="00351B7D">
        <w:rPr>
          <w:rFonts w:asciiTheme="minorBidi" w:hAnsiTheme="minorBidi"/>
          <w:rtl/>
        </w:rPr>
        <w:t xml:space="preserve"> דמשמע מפשט דבריו דעדיף נתן לה בשתיקה מדיבור הני לישנא דמבעי לה בגמ', וכ' דצ"ע איך יעלה על הדעת דנתן בשתיקה הוו ודאי קדושין והיכא דנתן הוא ואמרה היא הוו ספק קדושין, וכי בשביל אמירתה גרע? וגם הרב מהר"ם בתשובה אינו בא להכריח רק להצריכה גט לא שיהיו קדושין ודאין, ועוד דאפילו ספק קדושין לא הוו כל שלא דיבר כלום לא הוא ולא היא דא"כ למה אמר נתן הוא ואמרה היא ספיקא הוי הא אפילו נתן הוא ושתקה היא ספיקא הוי ובשביל אמירתה לא גרע.</w:t>
      </w:r>
    </w:p>
  </w:footnote>
  <w:footnote w:id="147">
    <w:p w14:paraId="1D9759F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והקשה הט"ז </w:t>
      </w:r>
      <w:r w:rsidRPr="00351B7D">
        <w:rPr>
          <w:rFonts w:asciiTheme="minorBidi" w:hAnsiTheme="minorBidi"/>
          <w:sz w:val="16"/>
          <w:szCs w:val="16"/>
          <w:rtl/>
        </w:rPr>
        <w:t xml:space="preserve">(סק"ז, והעתיקו הב"ש סקי"ג) </w:t>
      </w:r>
      <w:r w:rsidRPr="00351B7D">
        <w:rPr>
          <w:rFonts w:asciiTheme="minorBidi" w:hAnsiTheme="minorBidi"/>
          <w:rtl/>
        </w:rPr>
        <w:t>מהל' גיטין, דמבואר שם דאם נתן לה הגט ולא היה נתינה כשר וא"צ לחזור וליטול ממנה הגט וליתן לה מחדש אלא אומר לה הרי זה גיטך אא"כ כשהיתה מגורשת קצת מהנתינה הראשונה אז צריך ליטול ממנה וליתן לה אבל אם לא היתה מגורשת כלל מחמת נתינה הראשונה א"צ ליטול ממנה, וקשה למה צריך כאן ליטול ממנה הקדושין הלא בנתינה הראשונה לא היתה מקודשת כלל, וצ"ע. והגר"א (סקכ"א) יישב את דברי הרשב"א, ודחה את קושייתו.</w:t>
      </w:r>
    </w:p>
  </w:footnote>
  <w:footnote w:id="148">
    <w:p w14:paraId="5263F83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ותמהו עליהם האחרונים דאשתמיטתי דברי השו"ע בחו"מ סימן קצ"ה ס"ז </w:t>
      </w:r>
      <w:r w:rsidRPr="00351B7D">
        <w:rPr>
          <w:rFonts w:asciiTheme="minorBidi" w:hAnsiTheme="minorBidi"/>
          <w:sz w:val="16"/>
          <w:szCs w:val="16"/>
          <w:rtl/>
        </w:rPr>
        <w:t>(וז"ל השו"ע- "בשאר דרכי הקנייה אין שום אחד מהם יכול לחזור בו לאחר כדי דיבור", משמע דתוך כדי דיבור- מהני)</w:t>
      </w:r>
      <w:r w:rsidRPr="00351B7D">
        <w:rPr>
          <w:rFonts w:asciiTheme="minorBidi" w:hAnsiTheme="minorBidi"/>
          <w:rtl/>
        </w:rPr>
        <w:t>. והוסיף המקנה- לכך צריך ליזהר המסדר קדושין שיגמור אמירתו קודם שנתן הטבעת בידה. וגם על זה תמה בטיב קידושין (סקי"ט) וז"ל- "לא ידענא זהירות זה למה, הרי ידוע שמוכן ליתן בשביל קידושין, ואדעתא דהכי נותן לה, ולא זכתה מעולם רק על דעת קידושין".</w:t>
      </w:r>
    </w:p>
  </w:footnote>
  <w:footnote w:id="149">
    <w:p w14:paraId="6036C78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ולא גרסינן לי, רש"י.</w:t>
      </w:r>
    </w:p>
  </w:footnote>
  <w:footnote w:id="150">
    <w:p w14:paraId="3092371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בית יד אחיזת הדבר אף על פי שאינו מוכיח אחיזת לשון גמור כי הכא דקאמר הרי את מקודשת ולא קאמר למאן, רש"י.</w:t>
      </w:r>
    </w:p>
  </w:footnote>
  <w:footnote w:id="151">
    <w:p w14:paraId="7457BF5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ואמר דלדידיה קדשה, רש"י.</w:t>
      </w:r>
    </w:p>
  </w:footnote>
  <w:footnote w:id="152">
    <w:p w14:paraId="6554A54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אהיה, רש"י.</w:t>
      </w:r>
    </w:p>
  </w:footnote>
  <w:footnote w:id="153">
    <w:p w14:paraId="7B56716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דודאי אהיה אף אני כזה קאמר אלמא בעינן הוכחה, רש"י.</w:t>
      </w:r>
    </w:p>
  </w:footnote>
  <w:footnote w:id="154">
    <w:p w14:paraId="3E4A8FD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נראה בדעת הרי"ף והרמב"ם משום שסתמו וכתבו שאומר הרי את מקודשת לי משמע דכל דלא אמר הכי אין חוששין לו, ב"י.</w:t>
      </w:r>
    </w:p>
  </w:footnote>
  <w:footnote w:id="155">
    <w:p w14:paraId="4D7CB66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(ב.) </w:t>
      </w:r>
      <w:r w:rsidRPr="00351B7D">
        <w:rPr>
          <w:rFonts w:asciiTheme="minorBidi" w:hAnsiTheme="minorBidi"/>
          <w:rtl/>
        </w:rPr>
        <w:t xml:space="preserve">והרמב"ם </w:t>
      </w:r>
      <w:r w:rsidRPr="00351B7D">
        <w:rPr>
          <w:rFonts w:asciiTheme="minorBidi" w:hAnsiTheme="minorBidi"/>
          <w:sz w:val="16"/>
          <w:szCs w:val="16"/>
          <w:rtl/>
        </w:rPr>
        <w:t xml:space="preserve">(פ"ג ה"א) </w:t>
      </w:r>
      <w:r w:rsidRPr="00351B7D">
        <w:rPr>
          <w:rFonts w:asciiTheme="minorBidi" w:hAnsiTheme="minorBidi"/>
          <w:rtl/>
        </w:rPr>
        <w:t xml:space="preserve">רמב"ן </w:t>
      </w:r>
      <w:r w:rsidRPr="00351B7D">
        <w:rPr>
          <w:rFonts w:asciiTheme="minorBidi" w:hAnsiTheme="minorBidi"/>
          <w:sz w:val="16"/>
          <w:szCs w:val="16"/>
          <w:rtl/>
        </w:rPr>
        <w:t xml:space="preserve">(ה: ד"ה ואיכא) </w:t>
      </w:r>
      <w:r w:rsidRPr="00351B7D">
        <w:rPr>
          <w:rFonts w:asciiTheme="minorBidi" w:hAnsiTheme="minorBidi"/>
          <w:rtl/>
        </w:rPr>
        <w:t xml:space="preserve">רשב"א </w:t>
      </w:r>
      <w:r w:rsidRPr="00351B7D">
        <w:rPr>
          <w:rFonts w:asciiTheme="minorBidi" w:hAnsiTheme="minorBidi"/>
          <w:sz w:val="16"/>
          <w:szCs w:val="16"/>
          <w:rtl/>
        </w:rPr>
        <w:t xml:space="preserve">(שם ד"ה ולענין) </w:t>
      </w:r>
      <w:r w:rsidRPr="00351B7D">
        <w:rPr>
          <w:rFonts w:asciiTheme="minorBidi" w:hAnsiTheme="minorBidi"/>
          <w:rtl/>
        </w:rPr>
        <w:t xml:space="preserve">רא"ש </w:t>
      </w:r>
      <w:r w:rsidRPr="00351B7D">
        <w:rPr>
          <w:rFonts w:asciiTheme="minorBidi" w:hAnsiTheme="minorBidi"/>
          <w:sz w:val="16"/>
          <w:szCs w:val="16"/>
          <w:rtl/>
        </w:rPr>
        <w:t xml:space="preserve">(סי' ב) </w:t>
      </w:r>
      <w:r w:rsidRPr="00351B7D">
        <w:rPr>
          <w:rFonts w:asciiTheme="minorBidi" w:hAnsiTheme="minorBidi"/>
          <w:rtl/>
        </w:rPr>
        <w:t xml:space="preserve">רי"ו </w:t>
      </w:r>
      <w:r w:rsidRPr="00351B7D">
        <w:rPr>
          <w:rFonts w:asciiTheme="minorBidi" w:hAnsiTheme="minorBidi"/>
          <w:sz w:val="16"/>
          <w:szCs w:val="16"/>
          <w:rtl/>
        </w:rPr>
        <w:t xml:space="preserve">(נכ"ב ח"ה, קצ ע"ג) </w:t>
      </w:r>
      <w:r w:rsidRPr="00351B7D">
        <w:rPr>
          <w:rFonts w:asciiTheme="minorBidi" w:hAnsiTheme="minorBidi"/>
          <w:rtl/>
        </w:rPr>
        <w:t>ר"ן</w:t>
      </w:r>
      <w:r w:rsidRPr="00351B7D">
        <w:rPr>
          <w:rFonts w:asciiTheme="minorBidi" w:hAnsiTheme="minorBidi"/>
          <w:sz w:val="16"/>
          <w:szCs w:val="16"/>
          <w:rtl/>
        </w:rPr>
        <w:t xml:space="preserve"> (ב. סוד"ה אמר שמואל)</w:t>
      </w:r>
      <w:r w:rsidRPr="00351B7D">
        <w:rPr>
          <w:rFonts w:asciiTheme="minorBidi" w:hAnsiTheme="minorBidi"/>
          <w:rtl/>
        </w:rPr>
        <w:t xml:space="preserve"> הה"מ </w:t>
      </w:r>
      <w:r w:rsidRPr="00351B7D">
        <w:rPr>
          <w:rFonts w:asciiTheme="minorBidi" w:hAnsiTheme="minorBidi"/>
          <w:sz w:val="16"/>
          <w:szCs w:val="16"/>
          <w:rtl/>
        </w:rPr>
        <w:t xml:space="preserve">(פ"ג ה"א) </w:t>
      </w:r>
      <w:r w:rsidRPr="00351B7D">
        <w:rPr>
          <w:rFonts w:asciiTheme="minorBidi" w:hAnsiTheme="minorBidi"/>
          <w:rtl/>
        </w:rPr>
        <w:t xml:space="preserve">וריב"ש </w:t>
      </w:r>
      <w:r w:rsidRPr="00351B7D">
        <w:rPr>
          <w:rFonts w:asciiTheme="minorBidi" w:hAnsiTheme="minorBidi"/>
          <w:sz w:val="16"/>
          <w:szCs w:val="16"/>
          <w:rtl/>
        </w:rPr>
        <w:t>(סי' רס"ו)</w:t>
      </w:r>
      <w:r w:rsidRPr="00351B7D">
        <w:rPr>
          <w:rFonts w:asciiTheme="minorBidi" w:hAnsiTheme="minorBidi"/>
          <w:rtl/>
        </w:rPr>
        <w:t>.</w:t>
      </w:r>
    </w:p>
  </w:footnote>
  <w:footnote w:id="156">
    <w:p w14:paraId="446F111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ח"א סי' תשע"ד וסי' אלף רל"ד, ובמיוחסות סי' ק"ל. </w:t>
      </w:r>
    </w:p>
  </w:footnote>
  <w:footnote w:id="157">
    <w:p w14:paraId="73F09B7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אחרי שהב"י הביא את תשובות הרשב"א, כ'- "עיין בהגהות מרדכי בסוף גיטין (תע)" ובהגהות מרדכי הללו נשאלת שאלה על אדם שאמר לאשה "הרי הקרס לך לשם קדושין", ולא אמר לה "הרי את מקודשת לי בזה הקרס" </w:t>
      </w:r>
      <w:r w:rsidRPr="00351B7D">
        <w:rPr>
          <w:rFonts w:asciiTheme="minorBidi" w:hAnsiTheme="minorBidi"/>
          <w:sz w:val="14"/>
          <w:szCs w:val="14"/>
          <w:rtl/>
        </w:rPr>
        <w:t>(וישנם עוד פרטים בשאלה ואכמ"ל)</w:t>
      </w:r>
      <w:r w:rsidRPr="00351B7D">
        <w:rPr>
          <w:rFonts w:asciiTheme="minorBidi" w:hAnsiTheme="minorBidi"/>
          <w:rtl/>
        </w:rPr>
        <w:t>, ובתשובה לא התייחס כלל לזה שלא אמר "לי" אלא כ' שצריכה גט מספק, ואפ"ל שהתכון הב"י לומר שאפשר שגם הוא סובר כהרשב"א. והב"ח (אות ד) והגר"א (סקכ"ג) כתבו בהדיא שכן דעת ההגהות מרדכי.</w:t>
      </w:r>
    </w:p>
  </w:footnote>
  <w:footnote w:id="158">
    <w:p w14:paraId="70890FD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בבדה"ב וז"ל- "ולפי זה אותה תשובה הכתובה בשם הרמב"ן או בשם הרשב"א לאו דסמכא היא". וכ' הרא"ש </w:t>
      </w:r>
      <w:r w:rsidRPr="00351B7D">
        <w:rPr>
          <w:rFonts w:asciiTheme="minorBidi" w:hAnsiTheme="minorBidi"/>
          <w:sz w:val="16"/>
          <w:szCs w:val="16"/>
          <w:rtl/>
        </w:rPr>
        <w:t xml:space="preserve">(כלל לה סי' ה, הביאו הב"י) </w:t>
      </w:r>
      <w:r w:rsidRPr="00351B7D">
        <w:rPr>
          <w:rFonts w:asciiTheme="minorBidi" w:hAnsiTheme="minorBidi"/>
          <w:rtl/>
        </w:rPr>
        <w:t>"אין כאן בית מיחוש ואינה צריכה גט וראיתי מה שכתבתם דברי החולקים והאומרים שצריכה גט ואיני רואה בדבריהם ממש ועיקר שיהא כדאי להשיב עליהם". וכ' החת"ס</w:t>
      </w:r>
      <w:r w:rsidRPr="00351B7D">
        <w:rPr>
          <w:rFonts w:asciiTheme="minorBidi" w:hAnsiTheme="minorBidi"/>
          <w:sz w:val="16"/>
          <w:szCs w:val="16"/>
          <w:rtl/>
        </w:rPr>
        <w:t xml:space="preserve"> (ח"א סי' פ, הביאו הפת"ש סקי"ד)</w:t>
      </w:r>
      <w:r w:rsidRPr="00351B7D">
        <w:rPr>
          <w:rFonts w:asciiTheme="minorBidi" w:hAnsiTheme="minorBidi"/>
          <w:rtl/>
        </w:rPr>
        <w:t xml:space="preserve"> וז"ל- "ואף תשו' רמב"ן ורשב"א דחיישי להחמיר היינו דוקא במי שאמר הריני נותן לך לקדושין כו' </w:t>
      </w:r>
      <w:r w:rsidRPr="00351B7D">
        <w:rPr>
          <w:rFonts w:asciiTheme="minorBidi" w:hAnsiTheme="minorBidi"/>
          <w:sz w:val="16"/>
          <w:szCs w:val="16"/>
          <w:rtl/>
        </w:rPr>
        <w:t xml:space="preserve">(עב"ש סקט"ז) </w:t>
      </w:r>
      <w:r w:rsidRPr="00351B7D">
        <w:rPr>
          <w:rFonts w:asciiTheme="minorBidi" w:hAnsiTheme="minorBidi"/>
          <w:rtl/>
        </w:rPr>
        <w:t xml:space="preserve">וכן מבואר בתשו' הרב"י סי' ד", עכ"ל החת"ס. וכ' מהר"ם אלשקר </w:t>
      </w:r>
      <w:r w:rsidRPr="00351B7D">
        <w:rPr>
          <w:rFonts w:asciiTheme="minorBidi" w:hAnsiTheme="minorBidi"/>
          <w:sz w:val="16"/>
          <w:szCs w:val="16"/>
          <w:rtl/>
        </w:rPr>
        <w:t xml:space="preserve">(ס"ס צט) </w:t>
      </w:r>
      <w:r w:rsidRPr="00351B7D">
        <w:rPr>
          <w:rFonts w:asciiTheme="minorBidi" w:hAnsiTheme="minorBidi"/>
          <w:rtl/>
        </w:rPr>
        <w:t>וז"ל- "מיהו במלתא דלא אמר לי, ודאי דשלא במקום עיגון למעשה הייתי חושש לדברי הרשב"א... אבל במקום עיגון לא הייתי חושש וסומך על רוב הראשונים והאחרונים".</w:t>
      </w:r>
    </w:p>
  </w:footnote>
  <w:footnote w:id="159">
    <w:p w14:paraId="55310B8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תשב"ץ </w:t>
      </w:r>
      <w:r w:rsidRPr="00351B7D">
        <w:rPr>
          <w:rFonts w:asciiTheme="minorBidi" w:hAnsiTheme="minorBidi"/>
          <w:sz w:val="16"/>
          <w:szCs w:val="16"/>
          <w:rtl/>
        </w:rPr>
        <w:t xml:space="preserve">(ח"ד טור סי' ד) </w:t>
      </w:r>
      <w:r w:rsidRPr="00351B7D">
        <w:rPr>
          <w:rFonts w:asciiTheme="minorBidi" w:hAnsiTheme="minorBidi"/>
          <w:rtl/>
        </w:rPr>
        <w:t xml:space="preserve">מהרי"ט </w:t>
      </w:r>
      <w:r w:rsidRPr="00351B7D">
        <w:rPr>
          <w:rFonts w:asciiTheme="minorBidi" w:hAnsiTheme="minorBidi"/>
          <w:sz w:val="16"/>
          <w:szCs w:val="16"/>
          <w:rtl/>
        </w:rPr>
        <w:t>(על הרי"ף ב ע"א ד"ה ויש לברר)</w:t>
      </w:r>
      <w:r w:rsidRPr="00351B7D">
        <w:rPr>
          <w:rFonts w:asciiTheme="minorBidi" w:hAnsiTheme="minorBidi"/>
          <w:rtl/>
        </w:rPr>
        <w:t xml:space="preserve"> מבי"ט </w:t>
      </w:r>
      <w:r w:rsidRPr="00351B7D">
        <w:rPr>
          <w:rFonts w:asciiTheme="minorBidi" w:hAnsiTheme="minorBidi"/>
          <w:sz w:val="16"/>
          <w:szCs w:val="16"/>
          <w:rtl/>
        </w:rPr>
        <w:t>(ח"א סי' קכ"ז)</w:t>
      </w:r>
      <w:r w:rsidRPr="00351B7D">
        <w:rPr>
          <w:rFonts w:asciiTheme="minorBidi" w:hAnsiTheme="minorBidi"/>
          <w:color w:val="000000"/>
          <w:rtl/>
        </w:rPr>
        <w:t xml:space="preserve"> רשד"ם </w:t>
      </w:r>
      <w:r w:rsidRPr="00351B7D">
        <w:rPr>
          <w:rFonts w:asciiTheme="minorBidi" w:hAnsiTheme="minorBidi"/>
          <w:color w:val="000000"/>
          <w:sz w:val="16"/>
          <w:szCs w:val="16"/>
          <w:rtl/>
        </w:rPr>
        <w:t xml:space="preserve">(סי' ג) </w:t>
      </w:r>
      <w:r w:rsidRPr="00351B7D">
        <w:rPr>
          <w:rFonts w:asciiTheme="minorBidi" w:hAnsiTheme="minorBidi"/>
          <w:color w:val="000000"/>
          <w:rtl/>
        </w:rPr>
        <w:t xml:space="preserve">ואבני מלואים </w:t>
      </w:r>
      <w:r w:rsidRPr="00351B7D">
        <w:rPr>
          <w:rFonts w:asciiTheme="minorBidi" w:hAnsiTheme="minorBidi"/>
          <w:color w:val="000000"/>
          <w:sz w:val="16"/>
          <w:szCs w:val="16"/>
          <w:rtl/>
        </w:rPr>
        <w:t>(סק"י)</w:t>
      </w:r>
      <w:r w:rsidRPr="00351B7D">
        <w:rPr>
          <w:rFonts w:asciiTheme="minorBidi" w:hAnsiTheme="minorBidi"/>
          <w:rtl/>
        </w:rPr>
        <w:t>.</w:t>
      </w:r>
    </w:p>
  </w:footnote>
  <w:footnote w:id="160">
    <w:p w14:paraId="55955B2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הרשד"ם והאבנ"מ שאם אמר "הריני נותן" שפיר דמי, משום יתור לשון כיון דחזינן שהוא הנותן ע"כ רוצה לומר שהוא מקדש לעצמו</w:t>
      </w:r>
      <w:r w:rsidRPr="00351B7D">
        <w:rPr>
          <w:rFonts w:asciiTheme="minorBidi" w:hAnsiTheme="minorBidi"/>
          <w:color w:val="000000"/>
          <w:sz w:val="16"/>
          <w:szCs w:val="16"/>
          <w:rtl/>
        </w:rPr>
        <w:t xml:space="preserve"> (רשד"ם)</w:t>
      </w:r>
      <w:r w:rsidRPr="00351B7D">
        <w:rPr>
          <w:rFonts w:asciiTheme="minorBidi" w:hAnsiTheme="minorBidi"/>
          <w:rtl/>
        </w:rPr>
        <w:t>. א"נ דה"ל כאומר בפירוש שהוא המקדש והוי כאומר "לי" מחמת אומדנא דלא שביק אינש מצוה דרמי עליה</w:t>
      </w:r>
      <w:r w:rsidRPr="00351B7D">
        <w:rPr>
          <w:rFonts w:asciiTheme="minorBidi" w:hAnsiTheme="minorBidi"/>
          <w:color w:val="000000"/>
          <w:sz w:val="16"/>
          <w:szCs w:val="16"/>
          <w:rtl/>
        </w:rPr>
        <w:t xml:space="preserve"> (אבנ"מ)</w:t>
      </w:r>
      <w:r w:rsidRPr="00351B7D">
        <w:rPr>
          <w:rFonts w:asciiTheme="minorBidi" w:hAnsiTheme="minorBidi"/>
          <w:color w:val="000000"/>
          <w:rtl/>
        </w:rPr>
        <w:t>.</w:t>
      </w:r>
    </w:p>
  </w:footnote>
  <w:footnote w:id="161">
    <w:p w14:paraId="5DD761E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הגור אריה דהיה נראה לו שמקודשת עד שראה תשובות אלו.</w:t>
      </w:r>
    </w:p>
  </w:footnote>
  <w:footnote w:id="162">
    <w:p w14:paraId="2AD2C5B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כך משמע מדברי הרשד"ם, גור אריה</w:t>
      </w:r>
      <w:r w:rsidRPr="00351B7D">
        <w:rPr>
          <w:rFonts w:asciiTheme="minorBidi" w:hAnsiTheme="minorBidi"/>
          <w:sz w:val="14"/>
          <w:szCs w:val="14"/>
          <w:rtl/>
        </w:rPr>
        <w:t xml:space="preserve"> (סק"ה)</w:t>
      </w:r>
      <w:r w:rsidRPr="00351B7D">
        <w:rPr>
          <w:rFonts w:asciiTheme="minorBidi" w:hAnsiTheme="minorBidi"/>
          <w:rtl/>
        </w:rPr>
        <w:t>.</w:t>
      </w:r>
    </w:p>
  </w:footnote>
  <w:footnote w:id="163">
    <w:p w14:paraId="72F8A4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מרדכי </w:t>
      </w:r>
      <w:r w:rsidRPr="00351B7D">
        <w:rPr>
          <w:rFonts w:asciiTheme="minorBidi" w:hAnsiTheme="minorBidi"/>
          <w:sz w:val="16"/>
          <w:szCs w:val="16"/>
          <w:rtl/>
        </w:rPr>
        <w:t>(סי' תקכא)</w:t>
      </w:r>
      <w:r w:rsidRPr="00351B7D">
        <w:rPr>
          <w:rFonts w:asciiTheme="minorBidi" w:hAnsiTheme="minorBidi"/>
          <w:rtl/>
        </w:rPr>
        <w:t xml:space="preserve"> רשב"א </w:t>
      </w:r>
      <w:r w:rsidRPr="00351B7D">
        <w:rPr>
          <w:rFonts w:asciiTheme="minorBidi" w:hAnsiTheme="minorBidi"/>
          <w:sz w:val="16"/>
          <w:szCs w:val="16"/>
          <w:rtl/>
        </w:rPr>
        <w:t>(ח"א תשע"ד, וסי' אלף רל"ד)</w:t>
      </w:r>
      <w:r w:rsidRPr="00351B7D">
        <w:rPr>
          <w:rFonts w:asciiTheme="minorBidi" w:hAnsiTheme="minorBidi"/>
          <w:rtl/>
        </w:rPr>
        <w:t xml:space="preserve"> רלב"ח </w:t>
      </w:r>
      <w:r w:rsidRPr="00351B7D">
        <w:rPr>
          <w:rFonts w:asciiTheme="minorBidi" w:hAnsiTheme="minorBidi"/>
          <w:sz w:val="16"/>
          <w:szCs w:val="16"/>
          <w:rtl/>
        </w:rPr>
        <w:t>(סי' קלו)</w:t>
      </w:r>
      <w:r w:rsidRPr="00351B7D">
        <w:rPr>
          <w:rFonts w:asciiTheme="minorBidi" w:hAnsiTheme="minorBidi"/>
          <w:rtl/>
        </w:rPr>
        <w:t xml:space="preserve"> ורשד"ם </w:t>
      </w:r>
      <w:r w:rsidRPr="00351B7D">
        <w:rPr>
          <w:rFonts w:asciiTheme="minorBidi" w:hAnsiTheme="minorBidi"/>
          <w:sz w:val="16"/>
          <w:szCs w:val="16"/>
          <w:rtl/>
        </w:rPr>
        <w:t>(סי' לד)</w:t>
      </w:r>
      <w:r w:rsidRPr="00351B7D">
        <w:rPr>
          <w:rFonts w:asciiTheme="minorBidi" w:hAnsiTheme="minorBidi"/>
          <w:rtl/>
        </w:rPr>
        <w:t>. וכן משמע מלשון הראב"ד</w:t>
      </w:r>
      <w:r w:rsidRPr="00351B7D">
        <w:rPr>
          <w:rFonts w:asciiTheme="minorBidi" w:hAnsiTheme="minorBidi"/>
          <w:sz w:val="16"/>
          <w:szCs w:val="16"/>
          <w:rtl/>
        </w:rPr>
        <w:t xml:space="preserve"> (פ"ט הי"ט מהל' אישות)</w:t>
      </w:r>
      <w:r w:rsidRPr="00351B7D">
        <w:rPr>
          <w:rFonts w:asciiTheme="minorBidi" w:hAnsiTheme="minorBidi"/>
          <w:rtl/>
        </w:rPr>
        <w:t>.</w:t>
      </w:r>
    </w:p>
  </w:footnote>
  <w:footnote w:id="164">
    <w:p w14:paraId="47D333F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זה משמע אף דדברי המקילין עיקר להלכה אך למעש' יש לחוש גם לדברי המחמירין ולהצריכה גט, אבל בדרכ"מ (ארוך אות ד') כתב דלא כיש מחמירין משמע דגם למעשה פסק כדעת המקילין, ח"מ (סקי"ב). ואפי' לדעת המחמירים מ"מ אם יש עוד ריעותא או היכא דאינו אלא ספק קידושין אפילו אם היה אומר לי- מקילין, ב"י (בתשו' דיני קדושין דף ז' סי' ח).</w:t>
      </w:r>
    </w:p>
  </w:footnote>
  <w:footnote w:id="165">
    <w:p w14:paraId="0C7DECA5" w14:textId="77777777" w:rsidR="00DF1FC7" w:rsidRPr="00351B7D" w:rsidRDefault="00DF1FC7" w:rsidP="008E16D0">
      <w:pPr>
        <w:pStyle w:val="a5"/>
        <w:rPr>
          <w:rFonts w:asciiTheme="minorBidi" w:hAnsiTheme="minorBidi"/>
          <w:sz w:val="16"/>
          <w:szCs w:val="16"/>
          <w:rtl/>
        </w:rPr>
      </w:pPr>
      <w:r w:rsidRPr="00351B7D">
        <w:rPr>
          <w:rStyle w:val="a7"/>
          <w:rFonts w:asciiTheme="minorBidi" w:hAnsiTheme="minorBidi"/>
        </w:rPr>
        <w:footnoteRef/>
      </w:r>
      <w:r w:rsidRPr="00351B7D">
        <w:rPr>
          <w:rFonts w:asciiTheme="minorBidi" w:hAnsiTheme="minorBidi"/>
          <w:rtl/>
        </w:rPr>
        <w:t xml:space="preserve"> דהיינו שדיבר איתה לפנ"כ ושאל אם תרצה להתקדש לו, אבל אם אמר תרצי להתקדש ולא אמר "לי" לא עדיף מאמירת המקדש בלא לי, ר"י בן לב </w:t>
      </w:r>
      <w:r w:rsidRPr="00351B7D">
        <w:rPr>
          <w:rFonts w:asciiTheme="minorBidi" w:hAnsiTheme="minorBidi"/>
          <w:sz w:val="16"/>
          <w:szCs w:val="16"/>
          <w:rtl/>
        </w:rPr>
        <w:t>(ח"א סי' י"ח)</w:t>
      </w:r>
      <w:r w:rsidRPr="00351B7D">
        <w:rPr>
          <w:rFonts w:asciiTheme="minorBidi" w:hAnsiTheme="minorBidi"/>
          <w:rtl/>
        </w:rPr>
        <w:t>. וכ"כ הרא"ש</w:t>
      </w:r>
      <w:r w:rsidRPr="00351B7D">
        <w:rPr>
          <w:rFonts w:asciiTheme="minorBidi" w:hAnsiTheme="minorBidi"/>
          <w:sz w:val="16"/>
          <w:szCs w:val="16"/>
          <w:rtl/>
        </w:rPr>
        <w:t xml:space="preserve"> (קדושין פ"א סי' ב) </w:t>
      </w:r>
      <w:r w:rsidRPr="00351B7D">
        <w:rPr>
          <w:rFonts w:asciiTheme="minorBidi" w:hAnsiTheme="minorBidi"/>
          <w:rtl/>
        </w:rPr>
        <w:t xml:space="preserve">והגהות מרדכי </w:t>
      </w:r>
      <w:r w:rsidRPr="00351B7D">
        <w:rPr>
          <w:rFonts w:asciiTheme="minorBidi" w:hAnsiTheme="minorBidi"/>
          <w:sz w:val="16"/>
          <w:szCs w:val="16"/>
          <w:rtl/>
        </w:rPr>
        <w:t>(סי' תע)</w:t>
      </w:r>
      <w:r w:rsidRPr="00351B7D">
        <w:rPr>
          <w:rFonts w:asciiTheme="minorBidi" w:hAnsiTheme="minorBidi"/>
          <w:rtl/>
        </w:rPr>
        <w:t>.</w:t>
      </w:r>
      <w:r w:rsidRPr="00351B7D">
        <w:rPr>
          <w:rFonts w:asciiTheme="minorBidi" w:hAnsiTheme="minorBidi"/>
          <w:sz w:val="14"/>
          <w:szCs w:val="14"/>
          <w:rtl/>
        </w:rPr>
        <w:t xml:space="preserve"> </w:t>
      </w:r>
      <w:r w:rsidRPr="00351B7D">
        <w:rPr>
          <w:rFonts w:asciiTheme="minorBidi" w:hAnsiTheme="minorBidi"/>
          <w:sz w:val="16"/>
          <w:szCs w:val="16"/>
          <w:rtl/>
        </w:rPr>
        <w:t>(ערך לחם)</w:t>
      </w:r>
    </w:p>
  </w:footnote>
  <w:footnote w:id="166">
    <w:p w14:paraId="55EC1BD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כן כתב הרא"ש (שם) דמסתברא דמה שהיה מדבר עמה שתתקדש לו הוי טפי הוכחה מנזיר עובר לפניו.</w:t>
      </w:r>
    </w:p>
  </w:footnote>
  <w:footnote w:id="167">
    <w:p w14:paraId="5DF576F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 כמו שאוחז בבית יד הכלי מושך עמו הכלי עצמו, כן אלה הדברים מוכיחים שמושכים אחריהם לשון לי </w:t>
      </w:r>
      <w:r w:rsidRPr="00351B7D">
        <w:rPr>
          <w:rFonts w:asciiTheme="minorBidi" w:hAnsiTheme="minorBidi"/>
          <w:sz w:val="16"/>
          <w:szCs w:val="16"/>
          <w:rtl/>
        </w:rPr>
        <w:t>(ממהדורת של"ד)</w:t>
      </w:r>
      <w:r w:rsidRPr="00351B7D">
        <w:rPr>
          <w:rFonts w:asciiTheme="minorBidi" w:hAnsiTheme="minorBidi"/>
          <w:rtl/>
        </w:rPr>
        <w:t>.</w:t>
      </w:r>
    </w:p>
  </w:footnote>
  <w:footnote w:id="168">
    <w:p w14:paraId="2CE132AD" w14:textId="77777777" w:rsidR="00DF1FC7" w:rsidRPr="00351B7D" w:rsidRDefault="00DF1FC7" w:rsidP="008E16D0">
      <w:pPr>
        <w:pStyle w:val="a5"/>
        <w:rPr>
          <w:rStyle w:val="ac"/>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אלו דברי הרמ"ה וכ"כ רי"ו </w:t>
      </w:r>
      <w:r w:rsidRPr="00351B7D">
        <w:rPr>
          <w:rFonts w:asciiTheme="minorBidi" w:hAnsiTheme="minorBidi"/>
          <w:sz w:val="14"/>
          <w:szCs w:val="14"/>
          <w:rtl/>
        </w:rPr>
        <w:t xml:space="preserve">(נכ"ב ח"א קפא ע"ג) </w:t>
      </w:r>
      <w:r w:rsidRPr="00351B7D">
        <w:rPr>
          <w:rFonts w:asciiTheme="minorBidi" w:hAnsiTheme="minorBidi"/>
          <w:rtl/>
        </w:rPr>
        <w:t xml:space="preserve">בשמו, וכ' </w:t>
      </w:r>
      <w:r w:rsidRPr="00351B7D">
        <w:rPr>
          <w:rFonts w:asciiTheme="minorBidi" w:hAnsiTheme="minorBidi"/>
          <w:u w:val="single"/>
          <w:rtl/>
        </w:rPr>
        <w:t>הב"י</w:t>
      </w:r>
      <w:r w:rsidRPr="00351B7D">
        <w:rPr>
          <w:rFonts w:asciiTheme="minorBidi" w:hAnsiTheme="minorBidi"/>
          <w:rtl/>
        </w:rPr>
        <w:t xml:space="preserve"> וז"ל- "משמע דאינה מקודשת גמורה ונראה שהטעם מפני שיש לחלק ביניהם דהתם כיון שאומר אהא ונזיר עובר לפניו מוכחא מילתא ודאי דאהא נזיר קאמר, אבל הכא כיון דקידש לעצמו אחרת בפניה כי אמר לאחרת תהא מקודשת לא מוכחא מילתא כולי האי דלעצמו קאמר דאפשר דלחבירו הוא רוצה לקדשה שהוא כבר קידש אחת ותרתי למה ליה הילכך ספיקא הויא" אך </w:t>
      </w:r>
      <w:r w:rsidRPr="00351B7D">
        <w:rPr>
          <w:rFonts w:asciiTheme="minorBidi" w:hAnsiTheme="minorBidi"/>
          <w:u w:val="single"/>
          <w:rtl/>
        </w:rPr>
        <w:t>הגר"א</w:t>
      </w:r>
      <w:r w:rsidRPr="00351B7D">
        <w:rPr>
          <w:rFonts w:asciiTheme="minorBidi" w:hAnsiTheme="minorBidi"/>
          <w:rtl/>
        </w:rPr>
        <w:t xml:space="preserve"> </w:t>
      </w:r>
      <w:r w:rsidRPr="00351B7D">
        <w:rPr>
          <w:rFonts w:asciiTheme="minorBidi" w:hAnsiTheme="minorBidi"/>
          <w:sz w:val="16"/>
          <w:szCs w:val="16"/>
          <w:rtl/>
        </w:rPr>
        <w:t xml:space="preserve">(סקכ"ד) </w:t>
      </w:r>
      <w:r w:rsidRPr="00351B7D">
        <w:rPr>
          <w:rFonts w:asciiTheme="minorBidi" w:hAnsiTheme="minorBidi"/>
          <w:rtl/>
        </w:rPr>
        <w:t xml:space="preserve">חלק על הטעם של הב"י וכ' וז"ל- "אבל נראה דודאי מוכיח לגמרי הוא, וכמ"ש תוס'... והרא"ש... דאי הוה פשיטא לן דיש יד הוי יד מוכיח כיון דקידש אחרת קדושין גמורין, אלא דהאיבעיא שם לא נפשטא, וכמ"ש הר"ן... וכ"כ הרמב"ם... וכ"כ תוספת ד"ה חדא בשם יש ספרים...". </w:t>
      </w:r>
      <w:r w:rsidRPr="00351B7D">
        <w:rPr>
          <w:rFonts w:asciiTheme="minorBidi" w:hAnsiTheme="minorBidi"/>
          <w:u w:val="single"/>
          <w:rtl/>
        </w:rPr>
        <w:t>והב"ש</w:t>
      </w:r>
      <w:r w:rsidRPr="00351B7D">
        <w:rPr>
          <w:rFonts w:asciiTheme="minorBidi" w:hAnsiTheme="minorBidi"/>
          <w:rtl/>
        </w:rPr>
        <w:t xml:space="preserve"> </w:t>
      </w:r>
      <w:r w:rsidRPr="00351B7D">
        <w:rPr>
          <w:rFonts w:asciiTheme="minorBidi" w:hAnsiTheme="minorBidi"/>
          <w:sz w:val="16"/>
          <w:szCs w:val="16"/>
          <w:rtl/>
        </w:rPr>
        <w:t xml:space="preserve">(סקט"ו) </w:t>
      </w:r>
      <w:r w:rsidRPr="00351B7D">
        <w:rPr>
          <w:rFonts w:asciiTheme="minorBidi" w:hAnsiTheme="minorBidi"/>
          <w:rtl/>
        </w:rPr>
        <w:t xml:space="preserve">כ' דגם י"ל דהספק הוא ע"פ הגירסא [האחרת] </w:t>
      </w:r>
      <w:r w:rsidRPr="00351B7D">
        <w:rPr>
          <w:rFonts w:asciiTheme="minorBidi" w:hAnsiTheme="minorBidi"/>
          <w:sz w:val="16"/>
          <w:szCs w:val="16"/>
          <w:rtl/>
        </w:rPr>
        <w:t xml:space="preserve">(נזיר ב:) </w:t>
      </w:r>
      <w:r w:rsidRPr="00351B7D">
        <w:rPr>
          <w:rFonts w:asciiTheme="minorBidi" w:hAnsiTheme="minorBidi"/>
          <w:rtl/>
        </w:rPr>
        <w:t>כמ"ש בתוס'</w:t>
      </w:r>
      <w:r w:rsidRPr="00351B7D">
        <w:rPr>
          <w:rFonts w:asciiTheme="minorBidi" w:hAnsiTheme="minorBidi"/>
          <w:sz w:val="16"/>
          <w:szCs w:val="16"/>
          <w:rtl/>
        </w:rPr>
        <w:t xml:space="preserve"> (ד"ה ה"ג)</w:t>
      </w:r>
      <w:r w:rsidRPr="00351B7D">
        <w:rPr>
          <w:rStyle w:val="ac"/>
          <w:rFonts w:asciiTheme="minorBidi" w:hAnsiTheme="minorBidi"/>
          <w:rtl/>
        </w:rPr>
        <w:t>.</w:t>
      </w:r>
    </w:p>
  </w:footnote>
  <w:footnote w:id="169">
    <w:p w14:paraId="5661EDF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דכל לשונות הללו לשעבר הוא, רש"י.</w:t>
      </w:r>
    </w:p>
  </w:footnote>
  <w:footnote w:id="170">
    <w:p w14:paraId="05F3E64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להבא משמע או לשעבר משמע, רש"י.</w:t>
      </w:r>
    </w:p>
  </w:footnote>
  <w:footnote w:id="171">
    <w:p w14:paraId="78D592F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דקי"ל דהוי הקדש בכמה דוכתי דתנן בנדרים (דף מח) אם שלי הן הרי הן מוקדשים לשמים ובהפקר נמי תנן בה הרי הוא מופקר לכל מי שאחפוץ אלמא להבא משמע, רש"י.</w:t>
      </w:r>
    </w:p>
  </w:footnote>
  <w:footnote w:id="172">
    <w:p w14:paraId="347527B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והקשה הח"מ</w:t>
      </w:r>
      <w:r w:rsidRPr="00351B7D">
        <w:rPr>
          <w:rFonts w:asciiTheme="minorBidi" w:hAnsiTheme="minorBidi"/>
          <w:color w:val="000000"/>
          <w:sz w:val="16"/>
          <w:szCs w:val="16"/>
          <w:rtl/>
        </w:rPr>
        <w:t xml:space="preserve"> (סקט"ז)</w:t>
      </w:r>
      <w:r w:rsidRPr="00351B7D">
        <w:rPr>
          <w:rFonts w:asciiTheme="minorBidi" w:hAnsiTheme="minorBidi"/>
          <w:rtl/>
        </w:rPr>
        <w:t xml:space="preserve"> דמאחר דאמרינן בגמ' </w:t>
      </w:r>
      <w:r w:rsidRPr="00351B7D">
        <w:rPr>
          <w:rFonts w:asciiTheme="minorBidi" w:hAnsiTheme="minorBidi"/>
          <w:sz w:val="16"/>
          <w:szCs w:val="16"/>
          <w:rtl/>
        </w:rPr>
        <w:t>(קדושין ב:)</w:t>
      </w:r>
      <w:r w:rsidRPr="00351B7D">
        <w:rPr>
          <w:rFonts w:asciiTheme="minorBidi" w:hAnsiTheme="minorBidi"/>
          <w:rtl/>
        </w:rPr>
        <w:t xml:space="preserve"> דלשון קדושין הם דאסר לה אכו"ע כהקדש, וא"כ כשם דבהקדש אין חילוק בין אם אמר 'ככר זה הקדש' </w:t>
      </w:r>
      <w:r w:rsidRPr="00351B7D">
        <w:rPr>
          <w:rFonts w:asciiTheme="minorBidi" w:hAnsiTheme="minorBidi"/>
          <w:color w:val="000000"/>
          <w:sz w:val="16"/>
          <w:szCs w:val="16"/>
          <w:rtl/>
        </w:rPr>
        <w:t xml:space="preserve">(כדאיתא בגמ' והובא בהרא"ש ותוס') </w:t>
      </w:r>
      <w:r w:rsidRPr="00351B7D">
        <w:rPr>
          <w:rFonts w:asciiTheme="minorBidi" w:hAnsiTheme="minorBidi"/>
          <w:rtl/>
        </w:rPr>
        <w:t xml:space="preserve">או 'יהיה הקדש' כך בקדושין אין חילוק בין אם אמר 'תכשיטין אלו קדושין יהיו לך' או 'קדושין הן לך ממני', ולא גרע לשון זה מאם אמר אני נותן לך בשביל חיבה ואהבה דפסק מהר"מ דיש לחוש לקדושין וכמו שנתבאר לעיל סע' ג, עכ"ד. והביא </w:t>
      </w:r>
      <w:r w:rsidRPr="00351B7D">
        <w:rPr>
          <w:rFonts w:asciiTheme="minorBidi" w:hAnsiTheme="minorBidi"/>
          <w:u w:val="single"/>
          <w:rtl/>
        </w:rPr>
        <w:t>הב"ש</w:t>
      </w:r>
      <w:r w:rsidRPr="00351B7D">
        <w:rPr>
          <w:rFonts w:asciiTheme="minorBidi" w:hAnsiTheme="minorBidi"/>
          <w:rtl/>
        </w:rPr>
        <w:t xml:space="preserve"> </w:t>
      </w:r>
      <w:r w:rsidRPr="00351B7D">
        <w:rPr>
          <w:rFonts w:asciiTheme="minorBidi" w:hAnsiTheme="minorBidi"/>
          <w:sz w:val="16"/>
          <w:szCs w:val="16"/>
          <w:rtl/>
        </w:rPr>
        <w:t>(סקי"ח)</w:t>
      </w:r>
      <w:r w:rsidRPr="00351B7D">
        <w:rPr>
          <w:rFonts w:asciiTheme="minorBidi" w:hAnsiTheme="minorBidi"/>
          <w:rtl/>
        </w:rPr>
        <w:t xml:space="preserve"> את מסקנת הח"מ וסיים- "ואם דברו בתחילה מעסקי קידושין נראה להחמיר". אך השיבו </w:t>
      </w:r>
      <w:r w:rsidRPr="00351B7D">
        <w:rPr>
          <w:rFonts w:asciiTheme="minorBidi" w:hAnsiTheme="minorBidi"/>
          <w:u w:val="single"/>
          <w:rtl/>
        </w:rPr>
        <w:t>האבנ"מ</w:t>
      </w:r>
      <w:r w:rsidRPr="00351B7D">
        <w:rPr>
          <w:rFonts w:asciiTheme="minorBidi" w:hAnsiTheme="minorBidi"/>
          <w:rtl/>
        </w:rPr>
        <w:t xml:space="preserve"> </w:t>
      </w:r>
      <w:r w:rsidRPr="00351B7D">
        <w:rPr>
          <w:rFonts w:asciiTheme="minorBidi" w:hAnsiTheme="minorBidi"/>
          <w:sz w:val="16"/>
          <w:szCs w:val="16"/>
          <w:rtl/>
        </w:rPr>
        <w:t xml:space="preserve">(סקט"ז) </w:t>
      </w:r>
      <w:r w:rsidRPr="00351B7D">
        <w:rPr>
          <w:rFonts w:asciiTheme="minorBidi" w:hAnsiTheme="minorBidi"/>
          <w:u w:val="single"/>
          <w:rtl/>
        </w:rPr>
        <w:t>והמקנה</w:t>
      </w:r>
      <w:r w:rsidRPr="00351B7D">
        <w:rPr>
          <w:rFonts w:asciiTheme="minorBidi" w:hAnsiTheme="minorBidi"/>
          <w:rtl/>
        </w:rPr>
        <w:t xml:space="preserve"> </w:t>
      </w:r>
      <w:r w:rsidRPr="00351B7D">
        <w:rPr>
          <w:rFonts w:asciiTheme="minorBidi" w:hAnsiTheme="minorBidi"/>
          <w:sz w:val="16"/>
          <w:szCs w:val="16"/>
          <w:rtl/>
        </w:rPr>
        <w:t>(קו"א ד"ה הג"ה)</w:t>
      </w:r>
      <w:r w:rsidRPr="00351B7D">
        <w:rPr>
          <w:rFonts w:asciiTheme="minorBidi" w:hAnsiTheme="minorBidi"/>
          <w:rtl/>
        </w:rPr>
        <w:t xml:space="preserve"> על דברי הח"מ וכ' דאין לחוש לקדושין, משום דיש לחלק בין הקדש לקדושין, דב'ככר זה הקדש' חייל קדושה על גוף הככר אבל חפצים שמקדש בהן האשה אין בהם שום קדושה וההקדש דאסר לה אכו"ע הוא על האשה.</w:t>
      </w:r>
      <w:r w:rsidRPr="00351B7D">
        <w:rPr>
          <w:rFonts w:asciiTheme="minorBidi" w:hAnsiTheme="minorBidi"/>
          <w:sz w:val="16"/>
          <w:szCs w:val="16"/>
          <w:rtl/>
        </w:rPr>
        <w:t xml:space="preserve"> (ועי' בח"מ בתחילת דבריו מה שהקשה "</w:t>
      </w:r>
      <w:r w:rsidRPr="00351B7D">
        <w:rPr>
          <w:rFonts w:asciiTheme="minorBidi" w:hAnsiTheme="minorBidi"/>
          <w:color w:val="000000"/>
          <w:sz w:val="16"/>
          <w:szCs w:val="16"/>
          <w:rtl/>
        </w:rPr>
        <w:t>ואני תמה דשם וכו"</w:t>
      </w:r>
      <w:r w:rsidRPr="00351B7D">
        <w:rPr>
          <w:rFonts w:asciiTheme="minorBidi" w:hAnsiTheme="minorBidi"/>
          <w:sz w:val="16"/>
          <w:szCs w:val="16"/>
          <w:rtl/>
        </w:rPr>
        <w:t>, דלענ"ד לא קשיא, דנכון שאין הבדל בין 'הוא' ל-'הן' אבל יש הבדל אם אמר 'הרי' או לא, כדמוכח מהתשב"ץ)</w:t>
      </w:r>
      <w:r w:rsidRPr="00351B7D">
        <w:rPr>
          <w:rFonts w:asciiTheme="minorBidi" w:hAnsiTheme="minorBidi"/>
          <w:rtl/>
        </w:rPr>
        <w:t>.</w:t>
      </w:r>
    </w:p>
  </w:footnote>
  <w:footnote w:id="173">
    <w:p w14:paraId="0D82551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(ריב"ש</w:t>
      </w:r>
      <w:r w:rsidRPr="00351B7D">
        <w:rPr>
          <w:rFonts w:asciiTheme="minorBidi" w:hAnsiTheme="minorBidi"/>
          <w:sz w:val="14"/>
          <w:szCs w:val="14"/>
          <w:rtl/>
        </w:rPr>
        <w:t xml:space="preserve"> [סי' רס"ו]</w:t>
      </w:r>
      <w:r w:rsidRPr="00351B7D">
        <w:rPr>
          <w:rFonts w:asciiTheme="minorBidi" w:hAnsiTheme="minorBidi"/>
          <w:sz w:val="16"/>
          <w:szCs w:val="16"/>
          <w:rtl/>
        </w:rPr>
        <w:t xml:space="preserve"> להב' ב"י רשד"ם [סי' ג] ואבנ"מ [סקט"ו]</w:t>
      </w:r>
      <w:r w:rsidRPr="00351B7D">
        <w:rPr>
          <w:rFonts w:asciiTheme="minorBidi" w:hAnsiTheme="minorBidi"/>
          <w:rtl/>
        </w:rPr>
        <w:t>).</w:t>
      </w:r>
    </w:p>
  </w:footnote>
  <w:footnote w:id="174">
    <w:p w14:paraId="5C079F4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בשמו דאין כאן ידים אלא דיבור שלם שכיון שהזכיר שהוא הנותן לה בתורת קידושין כבר נראה מלשונו שהוא המקדש והיא המתקדשת דלא שביק איניש מצוה דנפשיה ומידי דרמי עליה, ואפילו אם ידענו שהוא נעשה שליח לאחר והיא נעשית שליח לאחר אפ"ה אמרינן דלא שביק איניש מידי דרמי עליה ועביד מידי דלא רמי עליה</w:t>
      </w:r>
      <w:r w:rsidRPr="00351B7D">
        <w:rPr>
          <w:rFonts w:asciiTheme="minorBidi" w:hAnsiTheme="minorBidi"/>
          <w:sz w:val="16"/>
          <w:szCs w:val="16"/>
          <w:rtl/>
        </w:rPr>
        <w:t xml:space="preserve"> (וכ' הדרכ"מ</w:t>
      </w:r>
      <w:r w:rsidRPr="00351B7D">
        <w:rPr>
          <w:rFonts w:asciiTheme="minorBidi" w:hAnsiTheme="minorBidi"/>
          <w:sz w:val="14"/>
          <w:szCs w:val="14"/>
          <w:rtl/>
        </w:rPr>
        <w:t xml:space="preserve"> [אות ו]</w:t>
      </w:r>
      <w:r w:rsidRPr="00351B7D">
        <w:rPr>
          <w:rFonts w:asciiTheme="minorBidi" w:hAnsiTheme="minorBidi"/>
          <w:sz w:val="16"/>
          <w:szCs w:val="16"/>
          <w:rtl/>
        </w:rPr>
        <w:t xml:space="preserve"> דע"ז חולק ההגה' מרדכי סי' תע-תעא)</w:t>
      </w:r>
      <w:r w:rsidRPr="00351B7D">
        <w:rPr>
          <w:rFonts w:asciiTheme="minorBidi" w:hAnsiTheme="minorBidi"/>
          <w:rtl/>
        </w:rPr>
        <w:t>.</w:t>
      </w:r>
    </w:p>
  </w:footnote>
  <w:footnote w:id="175">
    <w:p w14:paraId="2B7783E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(ריב"ש</w:t>
      </w:r>
      <w:r w:rsidRPr="00351B7D">
        <w:rPr>
          <w:rFonts w:asciiTheme="minorBidi" w:hAnsiTheme="minorBidi"/>
          <w:sz w:val="14"/>
          <w:szCs w:val="14"/>
          <w:rtl/>
        </w:rPr>
        <w:t xml:space="preserve"> [סי' רסו]</w:t>
      </w:r>
      <w:r w:rsidRPr="00351B7D">
        <w:rPr>
          <w:rFonts w:asciiTheme="minorBidi" w:hAnsiTheme="minorBidi"/>
          <w:sz w:val="16"/>
          <w:szCs w:val="16"/>
          <w:rtl/>
        </w:rPr>
        <w:t xml:space="preserve"> להב' ח"מ [סקי"ד] ב"ש [סקי"ז] גר"א [סקכ"ה] ועוד</w:t>
      </w:r>
      <w:r w:rsidRPr="00351B7D">
        <w:rPr>
          <w:rFonts w:asciiTheme="minorBidi" w:hAnsiTheme="minorBidi"/>
          <w:rtl/>
        </w:rPr>
        <w:t>).</w:t>
      </w:r>
    </w:p>
  </w:footnote>
  <w:footnote w:id="176">
    <w:p w14:paraId="230AEA9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מכיון דלא איפשטא בנדרים (ו:) ביד מוכיח אי הוה יד בקדושין, גר"א</w:t>
      </w:r>
      <w:r w:rsidRPr="00351B7D">
        <w:rPr>
          <w:rFonts w:asciiTheme="minorBidi" w:hAnsiTheme="minorBidi"/>
          <w:sz w:val="16"/>
          <w:szCs w:val="16"/>
          <w:rtl/>
        </w:rPr>
        <w:t xml:space="preserve"> (סקכ"ה)</w:t>
      </w:r>
      <w:r w:rsidRPr="00351B7D">
        <w:rPr>
          <w:rFonts w:asciiTheme="minorBidi" w:hAnsiTheme="minorBidi"/>
          <w:rtl/>
        </w:rPr>
        <w:t>. והביא האבנ"מ</w:t>
      </w:r>
      <w:r w:rsidRPr="00351B7D">
        <w:rPr>
          <w:rFonts w:asciiTheme="minorBidi" w:hAnsiTheme="minorBidi"/>
          <w:sz w:val="16"/>
          <w:szCs w:val="16"/>
          <w:rtl/>
        </w:rPr>
        <w:t xml:space="preserve"> (סקט"ו)</w:t>
      </w:r>
      <w:r w:rsidRPr="00351B7D">
        <w:rPr>
          <w:rFonts w:asciiTheme="minorBidi" w:hAnsiTheme="minorBidi"/>
          <w:rtl/>
        </w:rPr>
        <w:t xml:space="preserve"> את דברי אלו הפוסקים דסברי דהוי ספק קדושין וכ', וז"ל- "וכבר כ' מוהרשד"ם סי' ג' דדעת הריב"ש הוא דהוי קידושין גמורין ומ"ש מסוף דבריו דאפי' תימא דהוי יד מ"מ הוי יד מוכיח וצריכה גט מספק אינו אלא למי שירצה לחלוק אבל לדידיה הוי דיבור שלם".</w:t>
      </w:r>
    </w:p>
  </w:footnote>
  <w:footnote w:id="177">
    <w:p w14:paraId="74D7526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ח"א סי' תשע"ד.</w:t>
      </w:r>
    </w:p>
  </w:footnote>
  <w:footnote w:id="178">
    <w:p w14:paraId="0380998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הב"ש (סקט"ז) כ' בשם הרשב"א דבמקרה זה (שאמר 'אני נותן לך לקדושין') הוי כאומר 'לי'. וצל"ע לאיזו תשו' התכוון שהרי בתשו' שהעתקתי לעיל (וזוהי התשו' שמצויין שמשם לקח דבריו) משמע בהדיא שלא כדבריו.</w:t>
      </w:r>
    </w:p>
  </w:footnote>
  <w:footnote w:id="179">
    <w:p w14:paraId="778D8EF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כיון שלא אמר </w:t>
      </w:r>
      <w:r w:rsidRPr="00351B7D">
        <w:rPr>
          <w:rFonts w:asciiTheme="minorBidi" w:hAnsiTheme="minorBidi"/>
          <w:u w:val="single"/>
          <w:rtl/>
        </w:rPr>
        <w:t>אני</w:t>
      </w:r>
      <w:r w:rsidRPr="00351B7D">
        <w:rPr>
          <w:rFonts w:asciiTheme="minorBidi" w:hAnsiTheme="minorBidi"/>
          <w:rtl/>
        </w:rPr>
        <w:t xml:space="preserve"> נותן לך, דצריך שיהיה משמע שהוא הנותן והמקדש, ט"ז </w:t>
      </w:r>
      <w:r w:rsidRPr="00351B7D">
        <w:rPr>
          <w:rFonts w:asciiTheme="minorBidi" w:hAnsiTheme="minorBidi"/>
          <w:sz w:val="16"/>
          <w:szCs w:val="16"/>
          <w:rtl/>
        </w:rPr>
        <w:t xml:space="preserve">(סק"ח) </w:t>
      </w:r>
      <w:r w:rsidRPr="00351B7D">
        <w:rPr>
          <w:rFonts w:asciiTheme="minorBidi" w:hAnsiTheme="minorBidi"/>
          <w:rtl/>
        </w:rPr>
        <w:t xml:space="preserve">וב"ש </w:t>
      </w:r>
      <w:r w:rsidRPr="00351B7D">
        <w:rPr>
          <w:rFonts w:asciiTheme="minorBidi" w:hAnsiTheme="minorBidi"/>
          <w:sz w:val="16"/>
          <w:szCs w:val="16"/>
          <w:rtl/>
        </w:rPr>
        <w:t>(סקט"ז)</w:t>
      </w:r>
      <w:r w:rsidRPr="00351B7D">
        <w:rPr>
          <w:rFonts w:asciiTheme="minorBidi" w:hAnsiTheme="minorBidi"/>
          <w:rtl/>
        </w:rPr>
        <w:t>. וכ' הח"מ</w:t>
      </w:r>
      <w:r w:rsidRPr="00351B7D">
        <w:rPr>
          <w:rFonts w:asciiTheme="minorBidi" w:hAnsiTheme="minorBidi"/>
          <w:sz w:val="16"/>
          <w:szCs w:val="16"/>
          <w:rtl/>
        </w:rPr>
        <w:t xml:space="preserve"> (סקט"ו) </w:t>
      </w:r>
      <w:r w:rsidRPr="00351B7D">
        <w:rPr>
          <w:rFonts w:asciiTheme="minorBidi" w:hAnsiTheme="minorBidi"/>
          <w:rtl/>
        </w:rPr>
        <w:t>דהוי כאינו אומר לי, וכ' עוד לפ"ז מאן דמחמיר בחסרון לי מחמיר ג"כ הכא, וסיים דיש לחלק ושצ"ע למעשה.</w:t>
      </w:r>
      <w:r w:rsidRPr="00351B7D">
        <w:rPr>
          <w:rFonts w:asciiTheme="minorBidi" w:hAnsiTheme="minorBidi"/>
          <w:sz w:val="16"/>
          <w:szCs w:val="16"/>
          <w:rtl/>
        </w:rPr>
        <w:t xml:space="preserve"> </w:t>
      </w:r>
    </w:p>
  </w:footnote>
  <w:footnote w:id="180">
    <w:p w14:paraId="0CB1FD1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והוא משום שאמר 'הריני נותן לך' דמשמע שהוא הנותן והמקדש, לכן אם היה אומר 'הרי היא לך בתורת קידושין' ולא אמר 'ממני' לא הוה כאומר לי </w:t>
      </w:r>
      <w:r w:rsidRPr="00351B7D">
        <w:rPr>
          <w:rFonts w:asciiTheme="minorBidi" w:hAnsiTheme="minorBidi"/>
          <w:sz w:val="16"/>
          <w:szCs w:val="16"/>
          <w:rtl/>
        </w:rPr>
        <w:t>(וכ"מ מהב"ש סוף סקט"ז)</w:t>
      </w:r>
      <w:r w:rsidRPr="00351B7D">
        <w:rPr>
          <w:rFonts w:asciiTheme="minorBidi" w:hAnsiTheme="minorBidi"/>
          <w:rtl/>
        </w:rPr>
        <w:t xml:space="preserve">, אך מכיון דיש פוסקים דידים שאין מוכיחות הויין ידים </w:t>
      </w:r>
      <w:r w:rsidRPr="00351B7D">
        <w:rPr>
          <w:rFonts w:asciiTheme="minorBidi" w:hAnsiTheme="minorBidi"/>
          <w:sz w:val="16"/>
          <w:szCs w:val="16"/>
          <w:rtl/>
        </w:rPr>
        <w:t>(והיינו כיש מחמירין דרמ"א לעיל בסמוך דאפילו לא אמר לי)</w:t>
      </w:r>
      <w:r w:rsidRPr="00351B7D">
        <w:rPr>
          <w:rFonts w:asciiTheme="minorBidi" w:hAnsiTheme="minorBidi"/>
          <w:rtl/>
        </w:rPr>
        <w:t xml:space="preserve"> אפי' אם לא אמר הריני נותנה לך אלא הרי לך בתורת קידושין יש להחמיר בקידושין אלו, ט"ז (סק"ח).</w:t>
      </w:r>
    </w:p>
  </w:footnote>
  <w:footnote w:id="181">
    <w:p w14:paraId="2347E65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אין כאן אפי' ספק קידושין דכי יקח כתיב ולא שיקח עצמו לה ודגירושין אין כאן בית מיחוש אף לפוסלה לכהונה, רש"י.</w:t>
      </w:r>
    </w:p>
  </w:footnote>
  <w:footnote w:id="182">
    <w:p w14:paraId="185BDF1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הב"ש (סקי"ט) שדעת רי"ו להחמיר</w:t>
      </w:r>
      <w:r w:rsidRPr="00351B7D">
        <w:rPr>
          <w:rFonts w:asciiTheme="minorBidi" w:hAnsiTheme="minorBidi"/>
          <w:sz w:val="14"/>
          <w:szCs w:val="14"/>
          <w:rtl/>
        </w:rPr>
        <w:t xml:space="preserve"> (וכ' ע"ז בתשו' ברית אברהם [סי' ע"א סוף אות ז', הביאו הפת"ש סק"כ] דהיינו בעסוקין באותו ענין דוקא דהוי כמו נתן בשתיקה)</w:t>
      </w:r>
      <w:r w:rsidRPr="00351B7D">
        <w:rPr>
          <w:rFonts w:asciiTheme="minorBidi" w:hAnsiTheme="minorBidi"/>
          <w:rtl/>
        </w:rPr>
        <w:t>, וכ' עוד שגם דעת מהר"י לבית לוי (סי' ה) להחמיר.</w:t>
      </w:r>
    </w:p>
  </w:footnote>
  <w:footnote w:id="183">
    <w:p w14:paraId="178B10A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קידשה בשטר וכתב בו הרי את מקודשת לי, אם אמר בפה הריני אישך הריני בעלך וכדו' לא הוי קדושין, דומיא דגט, דאם אמר איני אישיך, אע"ג דכתב בגט הרי את מגורשת ממני אינה מגורשת, מהרח"ש</w:t>
      </w:r>
      <w:r w:rsidRPr="00351B7D">
        <w:rPr>
          <w:rFonts w:asciiTheme="minorBidi" w:hAnsiTheme="minorBidi"/>
          <w:sz w:val="16"/>
          <w:szCs w:val="16"/>
          <w:rtl/>
        </w:rPr>
        <w:t xml:space="preserve"> (שו"ת תורת חיים ח"ד סי' י"ג, הביאו הבאה"ט סקכ"א)</w:t>
      </w:r>
      <w:r w:rsidRPr="00351B7D">
        <w:rPr>
          <w:rFonts w:asciiTheme="minorBidi" w:hAnsiTheme="minorBidi"/>
          <w:rtl/>
        </w:rPr>
        <w:t xml:space="preserve">. אבל אם אמר בשעת קדושין הרי את אשתי ואני אישך י"ל דהוי ספק קדושין </w:t>
      </w:r>
      <w:r w:rsidRPr="00351B7D">
        <w:rPr>
          <w:rFonts w:asciiTheme="minorBidi" w:hAnsiTheme="minorBidi"/>
          <w:sz w:val="16"/>
          <w:szCs w:val="16"/>
          <w:rtl/>
        </w:rPr>
        <w:t>(והא דהוא רק ספק הוא משום שהתורה הקפידה שתהיה היא קנויה לו ולא הוא לה משא"כ כשמשוה אותם ביחד אין זה ל' קדושין וא"כ ה"ה בשעת קדושין נמי, ומטעם זה נראה מ"ש בהג"ה בסמוך בהרי את חמי אינו קדושין, דאינו ניכר שבתו קנויה לו יותר ממה שהוא קנוי לבתו והתורה אמרה כי יקח שיהיה ניכר שהיא קנויה לו, וצ"ע)</w:t>
      </w:r>
      <w:r w:rsidRPr="00351B7D">
        <w:rPr>
          <w:rFonts w:asciiTheme="minorBidi" w:hAnsiTheme="minorBidi"/>
          <w:rtl/>
        </w:rPr>
        <w:t xml:space="preserve">, המקנה </w:t>
      </w:r>
      <w:r w:rsidRPr="00351B7D">
        <w:rPr>
          <w:rFonts w:asciiTheme="minorBidi" w:hAnsiTheme="minorBidi"/>
          <w:sz w:val="16"/>
          <w:szCs w:val="16"/>
          <w:rtl/>
        </w:rPr>
        <w:t>(קו"א, הביאו הפת"ש סקי"ט)</w:t>
      </w:r>
      <w:r w:rsidRPr="00351B7D">
        <w:rPr>
          <w:rFonts w:asciiTheme="minorBidi" w:hAnsiTheme="minorBidi"/>
          <w:rtl/>
        </w:rPr>
        <w:t>.</w:t>
      </w:r>
    </w:p>
  </w:footnote>
  <w:footnote w:id="184">
    <w:p w14:paraId="4D0AF4E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 יקח איש אשה אמרה תורה- שתהא הקיחה לאשה ולא לאביה, שלט"ג </w:t>
      </w:r>
      <w:r w:rsidRPr="00351B7D">
        <w:rPr>
          <w:rFonts w:asciiTheme="minorBidi" w:hAnsiTheme="minorBidi"/>
          <w:sz w:val="16"/>
          <w:szCs w:val="16"/>
          <w:rtl/>
        </w:rPr>
        <w:t>(קדושין ב. מדפה"ר אות ב)</w:t>
      </w:r>
      <w:r w:rsidRPr="00351B7D">
        <w:rPr>
          <w:rFonts w:asciiTheme="minorBidi" w:hAnsiTheme="minorBidi"/>
          <w:rtl/>
        </w:rPr>
        <w:t xml:space="preserve">. וכ' הח"מ </w:t>
      </w:r>
      <w:r w:rsidRPr="00351B7D">
        <w:rPr>
          <w:rFonts w:asciiTheme="minorBidi" w:hAnsiTheme="minorBidi"/>
          <w:sz w:val="16"/>
          <w:szCs w:val="16"/>
          <w:rtl/>
        </w:rPr>
        <w:t>(סקי"ז)</w:t>
      </w:r>
      <w:r w:rsidRPr="00351B7D">
        <w:rPr>
          <w:rFonts w:asciiTheme="minorBidi" w:hAnsiTheme="minorBidi"/>
          <w:rtl/>
        </w:rPr>
        <w:t xml:space="preserve"> וז"ל- ולע"ד אינו נראה כלל דשאני אם אמר הריני אישך דעבר על מצות התורה דהבעל הוא הקונה ולא הנקנה אך באם אמר הרי את חמי אמר דרך רמז שיקנה בתו מנ"ל לבדות דרשות מלב אשר לא נזכרו בגמרא וקרא צווח את בתי נתתי לאיש הזה וא"כ הוא המוכר והחתן הקונה ממנו ודרשינן נמי </w:t>
      </w:r>
      <w:r w:rsidRPr="00351B7D">
        <w:rPr>
          <w:rFonts w:asciiTheme="minorBidi" w:hAnsiTheme="minorBidi"/>
          <w:sz w:val="16"/>
          <w:szCs w:val="16"/>
          <w:rtl/>
        </w:rPr>
        <w:t xml:space="preserve">(קדושין ד) </w:t>
      </w:r>
      <w:r w:rsidRPr="00351B7D">
        <w:rPr>
          <w:rFonts w:asciiTheme="minorBidi" w:hAnsiTheme="minorBidi"/>
          <w:rtl/>
        </w:rPr>
        <w:t>יש כסף לאדון אחר והוא האב ולמה יגרע לשון זה דהא באמת בלקיח' בתו הוא חמיו משא"כ הריני אישך זה הוא שקר ועוק' הקדושין דאין הוא נמכר לה רק היא נמכרת לו ע"כ צ"ע גדול למעש' אפי' לא דיבר עמו על עסקי קדושיה מכ"ש בדיבר עמו תחל' על עסקי קדושיה דפשוט בעיני דאינו מזיק הדיבור ומידי ספק קדושין לא יצאתה. עכ"ל. וחלק עליו הגר"א (סק"ל) וכ' דאפילו דיבר עמה עע"ק אינו כלום.</w:t>
      </w:r>
    </w:p>
  </w:footnote>
  <w:footnote w:id="185">
    <w:p w14:paraId="3862A6D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הריני מקודשת לך, הריני מאורסת לך, הריני לך לאינתו, גמ' (לעיל). </w:t>
      </w:r>
    </w:p>
  </w:footnote>
  <w:footnote w:id="186">
    <w:p w14:paraId="3BA6C31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דמי לכי יקח איש, רש"י.</w:t>
      </w:r>
    </w:p>
  </w:footnote>
  <w:footnote w:id="187">
    <w:p w14:paraId="0798474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דמי לתקח אשה לאיש, רש"י.</w:t>
      </w:r>
    </w:p>
  </w:footnote>
  <w:footnote w:id="188">
    <w:p w14:paraId="77F2CEB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שמא שתיקתו כהודאה ומסכים לדבריה, ואע"פ שלא פירש הוה ליה כמדבר עמה על עסקי קדושיה, ר"ן (א:).</w:t>
      </w:r>
    </w:p>
  </w:footnote>
  <w:footnote w:id="189">
    <w:p w14:paraId="38F172F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שאם בא אחר וקידשה צריכה גט משניהם שמא לא היו של הראשון קידושין וחלו קידושי שני או שמא של ראשון קידושין ולא של שני, רש"י.</w:t>
      </w:r>
    </w:p>
  </w:footnote>
  <w:footnote w:id="190">
    <w:p w14:paraId="21D3320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הב"י דמה שנראה מלשון הטור שסובר בדעת הרמב"ם שבכל עניין מקודשת רק מספק, זה אינו, והא דלא כ' הרמב"ם שמקודשת ודאי כשדיברו עע"ק, אינה קושיא דכיון דלא נאמר כן בגמרא על זה לא כתבו שכבר נודע דרכו של הרמב"ם ז"ל שאינו אלא מעתיק דברי הגמרא, ועוד דאיכא למימר שסמך על מה שכתב באותו פרק עצמו (פ"ג ה"ח) שאם היו עסוקין באותו ענין ונתן ולא פירש ולא אמר דבר דיו והיא מקודשת, הרי נתבאר דאין כאן חילוק סברות כלל אלא סברתו הראשונה שכתב הטור היא מוסכמת גם מהרמב"ם ז"ל ואין להעלות על לב שיחלוק אדם עליה לפי שהיא תלמוד ערוך כמו שנתבאר.</w:t>
      </w:r>
    </w:p>
  </w:footnote>
  <w:footnote w:id="191">
    <w:p w14:paraId="3E335CB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דהוי ספק הוא דוקא היכא דאמרה בשעת הנתינה, אבל היכא דאמרה אחר הנתינה אינה מקודשת דהוי שתיקה דלאחר מתן מעות, מהר"י בן לב </w:t>
      </w:r>
      <w:r w:rsidRPr="00351B7D">
        <w:rPr>
          <w:rFonts w:asciiTheme="minorBidi" w:hAnsiTheme="minorBidi"/>
          <w:sz w:val="16"/>
          <w:szCs w:val="16"/>
          <w:rtl/>
        </w:rPr>
        <w:t xml:space="preserve">(ח"א כלל ג סי' י"ז, הביאוהו הבאה"ט </w:t>
      </w:r>
      <w:r w:rsidRPr="00351B7D">
        <w:rPr>
          <w:rFonts w:asciiTheme="minorBidi" w:hAnsiTheme="minorBidi"/>
          <w:sz w:val="12"/>
          <w:szCs w:val="12"/>
          <w:rtl/>
        </w:rPr>
        <w:t>[סקכ"ז]</w:t>
      </w:r>
      <w:r w:rsidRPr="00351B7D">
        <w:rPr>
          <w:rFonts w:asciiTheme="minorBidi" w:hAnsiTheme="minorBidi"/>
          <w:sz w:val="16"/>
          <w:szCs w:val="16"/>
          <w:rtl/>
        </w:rPr>
        <w:t xml:space="preserve"> והערך לחם)</w:t>
      </w:r>
      <w:r w:rsidRPr="00351B7D">
        <w:rPr>
          <w:rFonts w:asciiTheme="minorBidi" w:hAnsiTheme="minorBidi"/>
          <w:rtl/>
        </w:rPr>
        <w:t xml:space="preserve">. והא דכתב "ספק קדושין" כ"כ הרמב"ם, מיהו הרי"ף כ' חיישינן מדרבנן, משמע דלא הוי קדושי דאו', וכ"כ הרא"ש ר"ן ורי"ו דחיישינן מדרבנן, ב"ש </w:t>
      </w:r>
      <w:r w:rsidRPr="00351B7D">
        <w:rPr>
          <w:rFonts w:asciiTheme="minorBidi" w:hAnsiTheme="minorBidi"/>
          <w:sz w:val="16"/>
          <w:szCs w:val="16"/>
          <w:rtl/>
        </w:rPr>
        <w:t>(סקכ"ב)</w:t>
      </w:r>
      <w:r w:rsidRPr="00351B7D">
        <w:rPr>
          <w:rFonts w:asciiTheme="minorBidi" w:hAnsiTheme="minorBidi"/>
          <w:rtl/>
        </w:rPr>
        <w:t>. וכ' המקנה</w:t>
      </w:r>
      <w:r w:rsidRPr="00351B7D">
        <w:rPr>
          <w:rFonts w:asciiTheme="minorBidi" w:hAnsiTheme="minorBidi"/>
          <w:sz w:val="16"/>
          <w:szCs w:val="16"/>
          <w:rtl/>
        </w:rPr>
        <w:t xml:space="preserve"> (קו"א ד"ה נתן, הביאו הפת"ש סקכ"א) </w:t>
      </w:r>
      <w:r w:rsidRPr="00351B7D">
        <w:rPr>
          <w:rFonts w:asciiTheme="minorBidi" w:hAnsiTheme="minorBidi"/>
          <w:rtl/>
        </w:rPr>
        <w:t>דנפ"מ בין אם הוא ספיקא דאו' או גזירה דרבנן אם בא אחר וקידשה גם הוא בענין זה שנתן הוא ואמרה היא, דאי אמרינן דחיישינן מדרבנן דגזרינן אטו נתן הוא ואמר הוא א"כ צריכה גט נמי משני דאיכא למיגזר בשני משום נתן הוא ואמר הוא דאז הוי בשני קידושי דאו', אבל אי נימא דספיקא דאו' הוא אי בעינן אמירה דידיה אי לא א"כ א"צ גט משני ממה נפשך.</w:t>
      </w:r>
    </w:p>
  </w:footnote>
  <w:footnote w:id="192">
    <w:p w14:paraId="53796D7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מקור סוף דברי השו"ע הם מהרמ"ה, וישנה מחלוקת באחרונים בהבנת דבריו</w:t>
      </w:r>
      <w:r w:rsidRPr="00351B7D">
        <w:rPr>
          <w:rFonts w:asciiTheme="minorBidi" w:hAnsiTheme="minorBidi"/>
          <w:sz w:val="16"/>
          <w:szCs w:val="16"/>
          <w:u w:val="single"/>
          <w:rtl/>
        </w:rPr>
        <w:t xml:space="preserve"> (וממילא גם בדברי הטור והשו"ע שהעתיקו דבריו)</w:t>
      </w:r>
      <w:r w:rsidRPr="00351B7D">
        <w:rPr>
          <w:rFonts w:asciiTheme="minorBidi" w:hAnsiTheme="minorBidi"/>
          <w:u w:val="single"/>
          <w:rtl/>
        </w:rPr>
        <w:t>:</w:t>
      </w:r>
      <w:r w:rsidRPr="00351B7D">
        <w:rPr>
          <w:rFonts w:asciiTheme="minorBidi" w:hAnsiTheme="minorBidi"/>
          <w:rtl/>
        </w:rPr>
        <w:t xml:space="preserve"> </w:t>
      </w:r>
    </w:p>
    <w:p w14:paraId="746A4267" w14:textId="77777777" w:rsidR="00DF1FC7" w:rsidRPr="00351B7D" w:rsidRDefault="00DF1FC7" w:rsidP="00A8697F">
      <w:pPr>
        <w:pStyle w:val="a5"/>
        <w:numPr>
          <w:ilvl w:val="0"/>
          <w:numId w:val="20"/>
        </w:numPr>
        <w:rPr>
          <w:rFonts w:asciiTheme="minorBidi" w:hAnsiTheme="minorBidi"/>
        </w:rPr>
      </w:pPr>
      <w:r w:rsidRPr="00351B7D">
        <w:rPr>
          <w:rFonts w:asciiTheme="minorBidi" w:hAnsiTheme="minorBidi"/>
          <w:rtl/>
        </w:rPr>
        <w:t xml:space="preserve">ב"ח </w:t>
      </w:r>
      <w:r w:rsidRPr="00351B7D">
        <w:rPr>
          <w:rFonts w:asciiTheme="minorBidi" w:hAnsiTheme="minorBidi"/>
          <w:sz w:val="16"/>
          <w:szCs w:val="16"/>
          <w:rtl/>
        </w:rPr>
        <w:t>(אות ה' ד"ה וכתב הרמ"ה, הביאו הח</w:t>
      </w:r>
      <w:r w:rsidRPr="00351B7D">
        <w:rPr>
          <w:rFonts w:asciiTheme="minorBidi" w:hAnsiTheme="minorBidi"/>
          <w:rtl/>
        </w:rPr>
        <w:t>"</w:t>
      </w:r>
      <w:r w:rsidRPr="00351B7D">
        <w:rPr>
          <w:rFonts w:asciiTheme="minorBidi" w:hAnsiTheme="minorBidi"/>
          <w:sz w:val="16"/>
          <w:szCs w:val="16"/>
          <w:rtl/>
        </w:rPr>
        <w:t>מ</w:t>
      </w:r>
      <w:r w:rsidRPr="00351B7D">
        <w:rPr>
          <w:rFonts w:asciiTheme="minorBidi" w:hAnsiTheme="minorBidi"/>
          <w:sz w:val="14"/>
          <w:szCs w:val="14"/>
          <w:rtl/>
        </w:rPr>
        <w:t xml:space="preserve"> [סק"כ]</w:t>
      </w:r>
      <w:r w:rsidRPr="00351B7D">
        <w:rPr>
          <w:rFonts w:asciiTheme="minorBidi" w:hAnsiTheme="minorBidi"/>
          <w:sz w:val="16"/>
          <w:szCs w:val="16"/>
          <w:rtl/>
        </w:rPr>
        <w:t>)</w:t>
      </w:r>
      <w:r w:rsidRPr="00351B7D">
        <w:rPr>
          <w:rFonts w:asciiTheme="minorBidi" w:hAnsiTheme="minorBidi"/>
          <w:rtl/>
        </w:rPr>
        <w:t>- כוונתו דבעינן שידבר עימה עע"ק אבל לא בעינן שיהיו עסוקים עתה באותו עניין</w:t>
      </w:r>
      <w:r w:rsidRPr="00351B7D">
        <w:rPr>
          <w:rFonts w:asciiTheme="minorBidi" w:hAnsiTheme="minorBidi"/>
          <w:sz w:val="16"/>
          <w:szCs w:val="16"/>
          <w:rtl/>
        </w:rPr>
        <w:t xml:space="preserve"> (שלא כנתן לה בשתיקה דבעינן עסוקים באותו עניין)</w:t>
      </w:r>
      <w:r w:rsidRPr="00351B7D">
        <w:rPr>
          <w:rFonts w:asciiTheme="minorBidi" w:hAnsiTheme="minorBidi"/>
          <w:rtl/>
        </w:rPr>
        <w:t xml:space="preserve">, לכן אם לא היה מדבר עמה תחלה כלל עע"ק ונתן הוא ואמרה היא וענה הבעל הן אינה מקודשת ודאי אלא ספיקא הוא דיש הן שהוא כלאו </w:t>
      </w:r>
      <w:r w:rsidRPr="00351B7D">
        <w:rPr>
          <w:rFonts w:asciiTheme="minorBidi" w:hAnsiTheme="minorBidi"/>
          <w:sz w:val="16"/>
          <w:szCs w:val="16"/>
          <w:rtl/>
        </w:rPr>
        <w:t xml:space="preserve">(כדאיתא ס"פ החובל </w:t>
      </w:r>
      <w:r w:rsidRPr="00351B7D">
        <w:rPr>
          <w:rFonts w:asciiTheme="minorBidi" w:hAnsiTheme="minorBidi"/>
          <w:sz w:val="14"/>
          <w:szCs w:val="14"/>
          <w:rtl/>
        </w:rPr>
        <w:t>[ב"ק צג.]</w:t>
      </w:r>
      <w:r w:rsidRPr="00351B7D">
        <w:rPr>
          <w:rFonts w:asciiTheme="minorBidi" w:hAnsiTheme="minorBidi"/>
          <w:sz w:val="16"/>
          <w:szCs w:val="16"/>
          <w:rtl/>
        </w:rPr>
        <w:t>)</w:t>
      </w:r>
      <w:r w:rsidRPr="00351B7D">
        <w:rPr>
          <w:rFonts w:asciiTheme="minorBidi" w:hAnsiTheme="minorBidi"/>
          <w:rtl/>
        </w:rPr>
        <w:t>, ומ"מ צ"ע מנין לו</w:t>
      </w:r>
      <w:r w:rsidRPr="00351B7D">
        <w:rPr>
          <w:rFonts w:asciiTheme="minorBidi" w:hAnsiTheme="minorBidi"/>
          <w:sz w:val="16"/>
          <w:szCs w:val="16"/>
          <w:rtl/>
        </w:rPr>
        <w:t xml:space="preserve"> </w:t>
      </w:r>
      <w:r w:rsidRPr="00351B7D">
        <w:rPr>
          <w:rFonts w:asciiTheme="minorBidi" w:hAnsiTheme="minorBidi"/>
          <w:sz w:val="14"/>
          <w:szCs w:val="14"/>
          <w:rtl/>
        </w:rPr>
        <w:t>(לרמ"ה)</w:t>
      </w:r>
      <w:r w:rsidRPr="00351B7D">
        <w:rPr>
          <w:rFonts w:asciiTheme="minorBidi" w:hAnsiTheme="minorBidi"/>
          <w:rtl/>
        </w:rPr>
        <w:t xml:space="preserve"> זה.</w:t>
      </w:r>
    </w:p>
    <w:p w14:paraId="2B825C22" w14:textId="77777777" w:rsidR="00DF1FC7" w:rsidRPr="00351B7D" w:rsidRDefault="00DF1FC7" w:rsidP="00A8697F">
      <w:pPr>
        <w:pStyle w:val="a5"/>
        <w:numPr>
          <w:ilvl w:val="0"/>
          <w:numId w:val="20"/>
        </w:numPr>
        <w:rPr>
          <w:rFonts w:asciiTheme="minorBidi" w:hAnsiTheme="minorBidi"/>
          <w:rtl/>
        </w:rPr>
      </w:pPr>
      <w:r w:rsidRPr="00351B7D">
        <w:rPr>
          <w:rFonts w:asciiTheme="minorBidi" w:hAnsiTheme="minorBidi"/>
          <w:rtl/>
        </w:rPr>
        <w:t xml:space="preserve">מהרש"ל </w:t>
      </w:r>
      <w:r w:rsidRPr="00351B7D">
        <w:rPr>
          <w:rFonts w:asciiTheme="minorBidi" w:hAnsiTheme="minorBidi"/>
          <w:sz w:val="16"/>
          <w:szCs w:val="16"/>
          <w:rtl/>
        </w:rPr>
        <w:t xml:space="preserve">(בחידושיו לטור, הביאוהו הדרישה </w:t>
      </w:r>
      <w:r w:rsidRPr="00351B7D">
        <w:rPr>
          <w:rFonts w:asciiTheme="minorBidi" w:hAnsiTheme="minorBidi"/>
          <w:sz w:val="14"/>
          <w:szCs w:val="14"/>
          <w:rtl/>
        </w:rPr>
        <w:t>[אות טו*]</w:t>
      </w:r>
      <w:r w:rsidRPr="00351B7D">
        <w:rPr>
          <w:rFonts w:asciiTheme="minorBidi" w:hAnsiTheme="minorBidi"/>
          <w:sz w:val="16"/>
          <w:szCs w:val="16"/>
          <w:rtl/>
        </w:rPr>
        <w:t xml:space="preserve"> והב"ש) </w:t>
      </w:r>
      <w:r w:rsidRPr="00351B7D">
        <w:rPr>
          <w:rFonts w:asciiTheme="minorBidi" w:hAnsiTheme="minorBidi"/>
          <w:rtl/>
        </w:rPr>
        <w:t xml:space="preserve">וב"ש </w:t>
      </w:r>
      <w:r w:rsidRPr="00351B7D">
        <w:rPr>
          <w:rFonts w:asciiTheme="minorBidi" w:hAnsiTheme="minorBidi"/>
          <w:sz w:val="16"/>
          <w:szCs w:val="16"/>
          <w:rtl/>
        </w:rPr>
        <w:t>(סקכ"ג)</w:t>
      </w:r>
      <w:r w:rsidRPr="00351B7D">
        <w:rPr>
          <w:rFonts w:asciiTheme="minorBidi" w:hAnsiTheme="minorBidi"/>
          <w:rtl/>
        </w:rPr>
        <w:t>- אין צריך שידברו מתחילה עע"ק אלא מה שענה הוא הוי כמדברים מע"ק, ואע"ג דיש הן שהוא כלאו מ"מ כבר מצינו דאם קידש בגזל ואמרה הן מהני</w:t>
      </w:r>
      <w:r w:rsidRPr="00351B7D">
        <w:rPr>
          <w:rFonts w:asciiTheme="minorBidi" w:hAnsiTheme="minorBidi"/>
          <w:sz w:val="16"/>
          <w:szCs w:val="16"/>
          <w:rtl/>
        </w:rPr>
        <w:t xml:space="preserve"> (ע"כ דברי הב"ש)</w:t>
      </w:r>
      <w:r w:rsidRPr="00351B7D">
        <w:rPr>
          <w:rFonts w:asciiTheme="minorBidi" w:hAnsiTheme="minorBidi"/>
          <w:rtl/>
        </w:rPr>
        <w:t>.</w:t>
      </w:r>
    </w:p>
  </w:footnote>
  <w:footnote w:id="193">
    <w:p w14:paraId="431561C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אם נתנה היא ואמר הוא, רי"ף (ה:). ודוקא באדם שאינו חשוב, וכ"כ הרא"ש (סוס"א) והר"ן (א: ד"ה תנו רבנן) ומבואר הוא בדבריו שהרי כתב לקמן בסמוך דאם אדם חשוב הוא מקודשת. וכ' התוס' (ד"ה נתן הוא) מה שלא הזכיר כלל נתנה היא ואמר הוא דלא פסיקא ליה דלפעמים מקודשת באדם חשוב.</w:t>
      </w:r>
    </w:p>
  </w:footnote>
  <w:footnote w:id="194">
    <w:p w14:paraId="2655494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והוא קיבלו ואמר לה התקדשי לי בכך, רש"י. וכ"כ הרא"ש (סי' ו) דהכא כשאמר הוא מיירי, וכ"כ הרמב"ם (פ"ה מאישות הכ"ב).</w:t>
      </w:r>
    </w:p>
  </w:footnote>
  <w:footnote w:id="195">
    <w:p w14:paraId="30E889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אדם הוקש לקרקעות דכתיב (ויקרא כה) והתנחלתם אותם לרשת אחוזה, רש"י.</w:t>
      </w:r>
    </w:p>
  </w:footnote>
  <w:footnote w:id="196">
    <w:p w14:paraId="63E0644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שמוכר או נותן לו קרקעות ומטלטלין וזה מושך המטלטלין והקרקעות קנויים לו במשיכת המטלטלין, רש"י.</w:t>
      </w:r>
    </w:p>
  </w:footnote>
  <w:footnote w:id="197">
    <w:p w14:paraId="32744D6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שצריך לקנות הקרקע באחד מן הדברים שהקרקע נקנה בהן כגון כסף או שטר או חזקה דנעל וגדר ופרץ כל שהוא והמטלטלים נקנים אגבן, רש"י.</w:t>
      </w:r>
    </w:p>
  </w:footnote>
  <w:footnote w:id="198">
    <w:p w14:paraId="32CAAFE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שאינו רגיל לקבל מתנות, רש"י.</w:t>
      </w:r>
    </w:p>
  </w:footnote>
  <w:footnote w:id="199">
    <w:p w14:paraId="24CA127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שתרצה זאת לתת פרוטה לאדם שיפייסנו לזה לקבל הימנה מתנה, רש"י.</w:t>
      </w:r>
    </w:p>
  </w:footnote>
  <w:footnote w:id="200">
    <w:p w14:paraId="773272B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שתאמר היא 'הילך מנה ואקדש אני לך', ואז יאמר הוא 'הרי את מקודשת לי בהנאה זו שקבלתי ממך', ושהוא יהיה אדם חשוב.</w:t>
      </w:r>
    </w:p>
  </w:footnote>
  <w:footnote w:id="201">
    <w:p w14:paraId="65686F8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הרשב"א בתשו' כ' קצת אחרת ממש"כ בחידושים ולכן הבין ממנו הדרכ"מ מה שכתוב לעיל, והגר"א </w:t>
      </w:r>
      <w:r w:rsidRPr="00351B7D">
        <w:rPr>
          <w:rFonts w:asciiTheme="minorBidi" w:hAnsiTheme="minorBidi"/>
          <w:sz w:val="14"/>
          <w:szCs w:val="14"/>
          <w:rtl/>
        </w:rPr>
        <w:t xml:space="preserve">(סקל"ד וסקל"ו) </w:t>
      </w:r>
      <w:r w:rsidRPr="00351B7D">
        <w:rPr>
          <w:rFonts w:asciiTheme="minorBidi" w:hAnsiTheme="minorBidi"/>
          <w:rtl/>
        </w:rPr>
        <w:t xml:space="preserve">חלק על הב' הדרכ"מ בתשו' הרשב"א, וז"ל- "והרב לא כיון יפה שדין זה הוציא מתשו' הרשב"א סי' תרי"ג כמ"ש בד"מ, אבל שם מבואר להדיא כסברא ראשונה כנ"ל, רק שחשש שם למעשה מפני סברת בה"ג שכתב וה"ה נתנה היא ואמר הוא נמי ספיקא הוה, כמו בס"ח, ולפ"ז אפי' באינו חשוב וכ"ש דאצ"ל בהנאה זו כו' ולא אמירתה תחילה, אבל הר"ן דחה דברי בה"ג". </w:t>
      </w:r>
      <w:r w:rsidRPr="00351B7D">
        <w:rPr>
          <w:rFonts w:asciiTheme="minorBidi" w:hAnsiTheme="minorBidi"/>
          <w:sz w:val="16"/>
          <w:szCs w:val="16"/>
          <w:rtl/>
        </w:rPr>
        <w:t>(ועי' בח"מ</w:t>
      </w:r>
      <w:r w:rsidRPr="00351B7D">
        <w:rPr>
          <w:rFonts w:asciiTheme="minorBidi" w:hAnsiTheme="minorBidi"/>
          <w:sz w:val="12"/>
          <w:szCs w:val="12"/>
          <w:rtl/>
        </w:rPr>
        <w:t xml:space="preserve"> (סקכ"ב) </w:t>
      </w:r>
      <w:r w:rsidRPr="00351B7D">
        <w:rPr>
          <w:rFonts w:asciiTheme="minorBidi" w:hAnsiTheme="minorBidi"/>
          <w:sz w:val="16"/>
          <w:szCs w:val="16"/>
          <w:rtl/>
        </w:rPr>
        <w:t>שהבין כהגר"א)</w:t>
      </w:r>
    </w:p>
  </w:footnote>
  <w:footnote w:id="202">
    <w:p w14:paraId="728BC17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שכתב שם "וכן אם נתנה היא ואמר הוא אינה מקודשת אם לא באדם חשוב", ומשמע דאפילו לא אמרה כלל, גר"א (סקל"ו).</w:t>
      </w:r>
    </w:p>
  </w:footnote>
  <w:footnote w:id="203">
    <w:p w14:paraId="768B001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רא"ש </w:t>
      </w:r>
      <w:r w:rsidRPr="00351B7D">
        <w:rPr>
          <w:rFonts w:asciiTheme="minorBidi" w:hAnsiTheme="minorBidi"/>
          <w:sz w:val="16"/>
          <w:szCs w:val="16"/>
          <w:rtl/>
        </w:rPr>
        <w:t>(סי' ו)</w:t>
      </w:r>
      <w:r w:rsidRPr="00351B7D">
        <w:rPr>
          <w:rFonts w:asciiTheme="minorBidi" w:hAnsiTheme="minorBidi"/>
          <w:rtl/>
        </w:rPr>
        <w:t xml:space="preserve"> (ר"ן </w:t>
      </w:r>
      <w:r w:rsidRPr="00351B7D">
        <w:rPr>
          <w:rFonts w:asciiTheme="minorBidi" w:hAnsiTheme="minorBidi"/>
          <w:sz w:val="16"/>
          <w:szCs w:val="16"/>
          <w:rtl/>
        </w:rPr>
        <w:t xml:space="preserve">[א:] </w:t>
      </w:r>
      <w:r w:rsidRPr="00351B7D">
        <w:rPr>
          <w:rFonts w:asciiTheme="minorBidi" w:hAnsiTheme="minorBidi"/>
          <w:rtl/>
        </w:rPr>
        <w:t>הה"מ</w:t>
      </w:r>
      <w:r w:rsidRPr="00351B7D">
        <w:rPr>
          <w:rFonts w:asciiTheme="minorBidi" w:hAnsiTheme="minorBidi"/>
          <w:sz w:val="16"/>
          <w:szCs w:val="16"/>
          <w:rtl/>
        </w:rPr>
        <w:t xml:space="preserve"> [פ"ג ה"ב]</w:t>
      </w:r>
      <w:r w:rsidRPr="00351B7D">
        <w:rPr>
          <w:rFonts w:asciiTheme="minorBidi" w:hAnsiTheme="minorBidi"/>
          <w:rtl/>
        </w:rPr>
        <w:t xml:space="preserve"> </w:t>
      </w:r>
      <w:r w:rsidRPr="00351B7D">
        <w:rPr>
          <w:rFonts w:asciiTheme="minorBidi" w:hAnsiTheme="minorBidi"/>
          <w:sz w:val="16"/>
          <w:szCs w:val="16"/>
          <w:rtl/>
        </w:rPr>
        <w:t>להב' הב"ש</w:t>
      </w:r>
      <w:r w:rsidRPr="00351B7D">
        <w:rPr>
          <w:rFonts w:asciiTheme="minorBidi" w:hAnsiTheme="minorBidi"/>
          <w:rtl/>
        </w:rPr>
        <w:t>) ורי"ו</w:t>
      </w:r>
      <w:r w:rsidRPr="00351B7D">
        <w:rPr>
          <w:rFonts w:asciiTheme="minorBidi" w:hAnsiTheme="minorBidi"/>
          <w:sz w:val="16"/>
          <w:szCs w:val="16"/>
          <w:rtl/>
        </w:rPr>
        <w:t xml:space="preserve"> (נכ"ב ח"א)</w:t>
      </w:r>
      <w:r w:rsidRPr="00351B7D">
        <w:rPr>
          <w:rFonts w:asciiTheme="minorBidi" w:hAnsiTheme="minorBidi"/>
          <w:rtl/>
        </w:rPr>
        <w:t>.</w:t>
      </w:r>
    </w:p>
  </w:footnote>
  <w:footnote w:id="204">
    <w:p w14:paraId="4D8FACB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הח"מ שכן היא דעת הטור, שהרי לא הזכיר בסי' זה שצריכה להגיד כן, אך עי' בדרישה (אות טז) שהעיר שלכאורה כן משמע מלשון הטור אבל מיד הוסיף ואמר שאין לומר כן משום שהטור סמך עמש"כ בסי' כט, דשם כ' בפירוש שצריכה לומר כן.</w:t>
      </w:r>
    </w:p>
  </w:footnote>
  <w:footnote w:id="205">
    <w:p w14:paraId="1BE1455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w:t>
      </w:r>
      <w:r w:rsidRPr="00351B7D">
        <w:rPr>
          <w:rFonts w:asciiTheme="minorBidi" w:hAnsiTheme="minorBidi"/>
          <w:sz w:val="16"/>
          <w:szCs w:val="16"/>
          <w:rtl/>
        </w:rPr>
        <w:t xml:space="preserve"> (להב' הרשב"א)</w:t>
      </w:r>
      <w:r w:rsidRPr="00351B7D">
        <w:rPr>
          <w:rFonts w:asciiTheme="minorBidi" w:hAnsiTheme="minorBidi"/>
          <w:rtl/>
        </w:rPr>
        <w:t xml:space="preserve"> רש"י</w:t>
      </w:r>
      <w:r w:rsidRPr="00351B7D">
        <w:rPr>
          <w:rFonts w:asciiTheme="minorBidi" w:hAnsiTheme="minorBidi"/>
          <w:sz w:val="16"/>
          <w:szCs w:val="16"/>
          <w:rtl/>
        </w:rPr>
        <w:t xml:space="preserve"> (ד"ה ואקדש אני לך </w:t>
      </w:r>
      <w:r w:rsidRPr="00351B7D">
        <w:rPr>
          <w:rFonts w:asciiTheme="minorBidi" w:hAnsiTheme="minorBidi"/>
          <w:sz w:val="14"/>
          <w:szCs w:val="14"/>
          <w:rtl/>
        </w:rPr>
        <w:t>{השני}</w:t>
      </w:r>
      <w:r w:rsidRPr="00351B7D">
        <w:rPr>
          <w:rFonts w:asciiTheme="minorBidi" w:hAnsiTheme="minorBidi"/>
          <w:sz w:val="16"/>
          <w:szCs w:val="16"/>
          <w:rtl/>
        </w:rPr>
        <w:t>)</w:t>
      </w:r>
      <w:r w:rsidRPr="00351B7D">
        <w:rPr>
          <w:rFonts w:asciiTheme="minorBidi" w:hAnsiTheme="minorBidi"/>
          <w:rtl/>
        </w:rPr>
        <w:t xml:space="preserve"> רמב"ם </w:t>
      </w:r>
      <w:r w:rsidRPr="00351B7D">
        <w:rPr>
          <w:rFonts w:asciiTheme="minorBidi" w:hAnsiTheme="minorBidi"/>
          <w:sz w:val="16"/>
          <w:szCs w:val="16"/>
          <w:rtl/>
        </w:rPr>
        <w:t>(פ"ה הכ"ב)</w:t>
      </w:r>
      <w:r w:rsidRPr="00351B7D">
        <w:rPr>
          <w:rFonts w:asciiTheme="minorBidi" w:hAnsiTheme="minorBidi"/>
          <w:rtl/>
        </w:rPr>
        <w:t xml:space="preserve"> רשב"א</w:t>
      </w:r>
      <w:r w:rsidRPr="00351B7D">
        <w:rPr>
          <w:rFonts w:asciiTheme="minorBidi" w:hAnsiTheme="minorBidi"/>
          <w:sz w:val="16"/>
          <w:szCs w:val="16"/>
          <w:rtl/>
        </w:rPr>
        <w:t xml:space="preserve"> (ה: ד"ה אבל, ובתשו' ח"א סי' תרי"ג)</w:t>
      </w:r>
      <w:r w:rsidRPr="00351B7D">
        <w:rPr>
          <w:rFonts w:asciiTheme="minorBidi" w:hAnsiTheme="minorBidi"/>
          <w:rtl/>
        </w:rPr>
        <w:t xml:space="preserve"> ורא"ש </w:t>
      </w:r>
      <w:r w:rsidRPr="00351B7D">
        <w:rPr>
          <w:rFonts w:asciiTheme="minorBidi" w:hAnsiTheme="minorBidi"/>
          <w:sz w:val="16"/>
          <w:szCs w:val="16"/>
          <w:rtl/>
        </w:rPr>
        <w:t>(סי' ו)</w:t>
      </w:r>
      <w:r w:rsidRPr="00351B7D">
        <w:rPr>
          <w:rFonts w:asciiTheme="minorBidi" w:hAnsiTheme="minorBidi"/>
          <w:rtl/>
        </w:rPr>
        <w:t>.</w:t>
      </w:r>
    </w:p>
  </w:footnote>
  <w:footnote w:id="206">
    <w:p w14:paraId="2C2DED2E" w14:textId="77777777" w:rsidR="00DF1FC7" w:rsidRPr="00351B7D" w:rsidRDefault="00DF1FC7" w:rsidP="008E16D0">
      <w:pPr>
        <w:pStyle w:val="a5"/>
        <w:rPr>
          <w:rFonts w:asciiTheme="minorBidi" w:hAnsiTheme="minorBidi"/>
          <w:color w:val="FF0000"/>
        </w:rPr>
      </w:pPr>
      <w:r w:rsidRPr="00351B7D">
        <w:rPr>
          <w:rFonts w:asciiTheme="minorBidi" w:hAnsiTheme="minorBidi"/>
          <w:color w:val="FF0000"/>
        </w:rPr>
        <w:t xml:space="preserve"> </w:t>
      </w:r>
      <w:r w:rsidRPr="00351B7D">
        <w:rPr>
          <w:rStyle w:val="a7"/>
          <w:rFonts w:asciiTheme="minorBidi" w:hAnsiTheme="minorBidi"/>
          <w:color w:val="FF0000"/>
        </w:rPr>
        <w:footnoteRef/>
      </w:r>
      <w:r w:rsidRPr="00351B7D">
        <w:rPr>
          <w:rFonts w:asciiTheme="minorBidi" w:hAnsiTheme="minorBidi"/>
          <w:color w:val="FF0000"/>
          <w:rtl/>
        </w:rPr>
        <w:t xml:space="preserve">וצל"ע בדברי הח"מ </w:t>
      </w:r>
      <w:r w:rsidRPr="00351B7D">
        <w:rPr>
          <w:rFonts w:asciiTheme="minorBidi" w:hAnsiTheme="minorBidi"/>
          <w:color w:val="FF0000"/>
          <w:sz w:val="16"/>
          <w:szCs w:val="16"/>
          <w:rtl/>
        </w:rPr>
        <w:t>(סקכ"ב)</w:t>
      </w:r>
      <w:r w:rsidRPr="00351B7D">
        <w:rPr>
          <w:rFonts w:asciiTheme="minorBidi" w:hAnsiTheme="minorBidi"/>
          <w:color w:val="FF0000"/>
          <w:rtl/>
        </w:rPr>
        <w:t xml:space="preserve"> שכתב בפשיטות דבכה"ג ספיקא הוי וחיישינן מדרבנן, ולא הזכיר את כל הני רבוותא.</w:t>
      </w:r>
    </w:p>
  </w:footnote>
  <w:footnote w:id="207">
    <w:p w14:paraId="78F0B7A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(ג.) </w:t>
      </w:r>
      <w:r w:rsidRPr="00351B7D">
        <w:rPr>
          <w:rFonts w:asciiTheme="minorBidi" w:hAnsiTheme="minorBidi"/>
          <w:rtl/>
        </w:rPr>
        <w:t>ראב"ד</w:t>
      </w:r>
      <w:r w:rsidRPr="00351B7D">
        <w:rPr>
          <w:rFonts w:asciiTheme="minorBidi" w:hAnsiTheme="minorBidi"/>
          <w:sz w:val="16"/>
          <w:szCs w:val="16"/>
          <w:rtl/>
        </w:rPr>
        <w:t xml:space="preserve"> (הובא בתשו' הרשב"א)</w:t>
      </w:r>
      <w:r w:rsidRPr="00351B7D">
        <w:rPr>
          <w:rFonts w:asciiTheme="minorBidi" w:hAnsiTheme="minorBidi"/>
          <w:rtl/>
        </w:rPr>
        <w:t xml:space="preserve"> רמב"ם </w:t>
      </w:r>
      <w:r w:rsidRPr="00351B7D">
        <w:rPr>
          <w:rFonts w:asciiTheme="minorBidi" w:hAnsiTheme="minorBidi"/>
          <w:sz w:val="16"/>
          <w:szCs w:val="16"/>
          <w:rtl/>
        </w:rPr>
        <w:t>(פ"ה הכ"ב)</w:t>
      </w:r>
      <w:r w:rsidRPr="00351B7D">
        <w:rPr>
          <w:rFonts w:asciiTheme="minorBidi" w:hAnsiTheme="minorBidi"/>
          <w:rtl/>
        </w:rPr>
        <w:t xml:space="preserve"> רשב"א</w:t>
      </w:r>
      <w:r w:rsidRPr="00351B7D">
        <w:rPr>
          <w:rFonts w:asciiTheme="minorBidi" w:hAnsiTheme="minorBidi"/>
          <w:sz w:val="16"/>
          <w:szCs w:val="16"/>
          <w:rtl/>
        </w:rPr>
        <w:t xml:space="preserve"> (ה: ד"ה אבל, ובתשו' ח"א סי' תרי"ג)</w:t>
      </w:r>
      <w:r w:rsidRPr="00351B7D">
        <w:rPr>
          <w:rFonts w:asciiTheme="minorBidi" w:hAnsiTheme="minorBidi"/>
          <w:rtl/>
        </w:rPr>
        <w:t xml:space="preserve"> רא"ש </w:t>
      </w:r>
      <w:r w:rsidRPr="00351B7D">
        <w:rPr>
          <w:rFonts w:asciiTheme="minorBidi" w:hAnsiTheme="minorBidi"/>
          <w:sz w:val="16"/>
          <w:szCs w:val="16"/>
          <w:rtl/>
        </w:rPr>
        <w:t>(סי' ו)</w:t>
      </w:r>
      <w:r w:rsidRPr="00351B7D">
        <w:rPr>
          <w:rFonts w:asciiTheme="minorBidi" w:hAnsiTheme="minorBidi"/>
          <w:rtl/>
        </w:rPr>
        <w:t xml:space="preserve"> ור"ן</w:t>
      </w:r>
      <w:r w:rsidRPr="00351B7D">
        <w:rPr>
          <w:rFonts w:asciiTheme="minorBidi" w:hAnsiTheme="minorBidi"/>
          <w:sz w:val="16"/>
          <w:szCs w:val="16"/>
          <w:rtl/>
        </w:rPr>
        <w:t xml:space="preserve"> (א:)</w:t>
      </w:r>
    </w:p>
  </w:footnote>
  <w:footnote w:id="208">
    <w:p w14:paraId="45C184F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וטעמא דשאני לן בין נתן הוא ואמרה היא לנתנה היא ואמר הוא, משום דבשלמא נתן הוא ואמרה היא כיון שבשעת נתינה אמרה היא והוא שתק הרי הוא כמסכים לדבריה, ואע"פ שלא פירש הו"ל כמדבר עמה עע"ק ונתן לה קידושיה ולא פירש דקיי"ל כרבי יוסי דאמר דיו (ו.), הילכך איכא למימר דהו"ל כנתן הוא ואמר הוא, אבל נתנה היא ואמר הוא כיון שאינו חשוב ליכא למימר דקרינן ביה כי יקח ומשום הכי ליכא לספוקי דליהוו קידושי, ר"ן (א: ד"ה תנו רבנן, הביאו הב"י).</w:t>
      </w:r>
    </w:p>
  </w:footnote>
  <w:footnote w:id="209">
    <w:p w14:paraId="2C17AE2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בה"ג </w:t>
      </w:r>
      <w:r w:rsidRPr="00351B7D">
        <w:rPr>
          <w:rFonts w:asciiTheme="minorBidi" w:hAnsiTheme="minorBidi"/>
          <w:sz w:val="16"/>
          <w:szCs w:val="16"/>
          <w:rtl/>
        </w:rPr>
        <w:t>(סי' מ הל' קידושין, עמ' תכח, ד"ה ומאן דמקדש)</w:t>
      </w:r>
      <w:r w:rsidRPr="00351B7D">
        <w:rPr>
          <w:rFonts w:asciiTheme="minorBidi" w:hAnsiTheme="minorBidi"/>
          <w:rtl/>
        </w:rPr>
        <w:t>. ודחה הר"ן את דבריו.</w:t>
      </w:r>
    </w:p>
  </w:footnote>
  <w:footnote w:id="210">
    <w:p w14:paraId="238122F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אות ה'. רק שכ' בסוף- "ולמעשה צריך להתיישב".</w:t>
      </w:r>
    </w:p>
  </w:footnote>
  <w:footnote w:id="211">
    <w:p w14:paraId="2C27A09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לעיל נקט כסף סתם, וכאן דאיירי באדם חשוב נקט הילך דינר, אפ"ל דדוקא בדבר חשוב מקודשת, דהנאת קבלת דבר חשוב הוה שוה פרוטה, אבל אם נתנה לו פרוטה, הנאת קבלת פרוטה אפשר שאינו ש"פ </w:t>
      </w:r>
      <w:r w:rsidRPr="00351B7D">
        <w:rPr>
          <w:rFonts w:asciiTheme="minorBidi" w:hAnsiTheme="minorBidi"/>
          <w:sz w:val="16"/>
          <w:szCs w:val="16"/>
          <w:rtl/>
        </w:rPr>
        <w:t>(וכה"ג כתבו התוס' ב"מ מז. ד"ה בכליו)</w:t>
      </w:r>
      <w:r w:rsidRPr="00351B7D">
        <w:rPr>
          <w:rFonts w:asciiTheme="minorBidi" w:hAnsiTheme="minorBidi"/>
          <w:rtl/>
        </w:rPr>
        <w:t xml:space="preserve"> כו', ואין לומר דכ"ש שיותר הנאה יש לה שהוא אדם חשוב ומקבל ממנה דבר מועט, דא"כ נימא אפי' פחות מש"פ נמי, וזה לא מצינו שיהא חמור נתנה היא באדם חשוב מנתן הוא בכל אדם, מיהו בגמ'</w:t>
      </w:r>
      <w:r w:rsidRPr="00351B7D">
        <w:rPr>
          <w:rFonts w:asciiTheme="minorBidi" w:hAnsiTheme="minorBidi"/>
          <w:sz w:val="16"/>
          <w:szCs w:val="16"/>
          <w:rtl/>
        </w:rPr>
        <w:t xml:space="preserve"> (ז.) </w:t>
      </w:r>
      <w:r w:rsidRPr="00351B7D">
        <w:rPr>
          <w:rFonts w:asciiTheme="minorBidi" w:hAnsiTheme="minorBidi"/>
          <w:rtl/>
        </w:rPr>
        <w:t xml:space="preserve">איתא הילך מנה כו' אלא שם לאו דוקא הוא כו' וצ"ע, טיב קידושין </w:t>
      </w:r>
      <w:r w:rsidRPr="00351B7D">
        <w:rPr>
          <w:rFonts w:asciiTheme="minorBidi" w:hAnsiTheme="minorBidi"/>
          <w:sz w:val="16"/>
          <w:szCs w:val="16"/>
          <w:rtl/>
        </w:rPr>
        <w:t>(סק"ל, הביאו הפת"ש סקכ"ג)</w:t>
      </w:r>
      <w:r w:rsidRPr="00351B7D">
        <w:rPr>
          <w:rFonts w:asciiTheme="minorBidi" w:hAnsiTheme="minorBidi"/>
          <w:rtl/>
        </w:rPr>
        <w:t>.</w:t>
      </w:r>
    </w:p>
  </w:footnote>
  <w:footnote w:id="212">
    <w:p w14:paraId="0749B86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מלשון זה משמע דסתם בן אדם הוא חשוב וצריכה גט מספק, אלא בידוע ע"פ חקירת חכם שזה הוא אדם שאינו חשוב. והרשב"א בתשו' (ח"א סי' תרי"ג) כתב שהברייתא מיירי בסתם בני אדם שאינם חשובים, ח"מ (סקכ"א) וב"ש (סקכ"ג).</w:t>
      </w:r>
    </w:p>
  </w:footnote>
  <w:footnote w:id="213">
    <w:p w14:paraId="3233E33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אע"ג דלא גילתה דעתה דניחא לה להתקדש, רשב"א (ח"א סי' תרי"ג).</w:t>
      </w:r>
    </w:p>
  </w:footnote>
  <w:footnote w:id="214">
    <w:p w14:paraId="0BA09DB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והטעם הוא דכשדיברו עע"ק הוי כאלו מדבר הוא, ואדם חשוב הוי כאלו נתן הוא, ב"ש (שם). וסיים, וז"ל- "מיהו בתוס' בסוגיא זו לא משמע כן גם בפרישה כתב דאינה מקודשת"</w:t>
      </w:r>
      <w:r w:rsidRPr="00351B7D">
        <w:rPr>
          <w:rFonts w:asciiTheme="minorBidi" w:hAnsiTheme="minorBidi"/>
          <w:sz w:val="16"/>
          <w:szCs w:val="16"/>
          <w:rtl/>
        </w:rPr>
        <w:t xml:space="preserve"> (ע"כ נ"ל שגם הוא מסופק בדבר לעניין מעשה)</w:t>
      </w:r>
      <w:r w:rsidRPr="00351B7D">
        <w:rPr>
          <w:rFonts w:asciiTheme="minorBidi" w:hAnsiTheme="minorBidi"/>
          <w:rtl/>
        </w:rPr>
        <w:t>.</w:t>
      </w:r>
    </w:p>
  </w:footnote>
  <w:footnote w:id="215">
    <w:p w14:paraId="2BCFE63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 יוסף ב"ר יצחק למשפחת אבן עזרא נולד סביב שנת ש' (1540). היה מחכמי טורקיה, ולמד מפי המהרשד"ם בסלוניקי. מונה לרבה של סופיה, בה נפטר בשנת שס"ה (1605). חיבר את הספר 'משא מלך' על דיני מיסים. בשנת שס"א נדפס גם ספרו 'עצמות יוסף' על מסכת קידושין, ובו עיון בש"ס ובפוסקים בענייני המסכת, וכן עסק בו בכללי התלמוד. הספר התקבל מאוד גם בישיבות האשכנזיות, והוזכר להלכה ע"י גדולי אשכנז כבר שנים מעטות אחר שנדפס </w:t>
      </w:r>
      <w:r w:rsidRPr="00351B7D">
        <w:rPr>
          <w:rFonts w:asciiTheme="minorBidi" w:hAnsiTheme="minorBidi"/>
          <w:sz w:val="16"/>
          <w:szCs w:val="16"/>
          <w:rtl/>
        </w:rPr>
        <w:t>(ע"פ ביגורפיה פרוייקט השו"ת)</w:t>
      </w:r>
      <w:r w:rsidRPr="00351B7D">
        <w:rPr>
          <w:rFonts w:asciiTheme="minorBidi" w:hAnsiTheme="minorBidi"/>
          <w:rtl/>
        </w:rPr>
        <w:t xml:space="preserve">. </w:t>
      </w:r>
    </w:p>
  </w:footnote>
  <w:footnote w:id="216">
    <w:p w14:paraId="61C009F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ודחה הבאה"ט את דברי הב"ש, ונימוקו- דאין הטעם </w:t>
      </w:r>
      <w:r w:rsidRPr="00351B7D">
        <w:rPr>
          <w:rFonts w:asciiTheme="minorBidi" w:hAnsiTheme="minorBidi"/>
          <w:sz w:val="16"/>
          <w:szCs w:val="16"/>
          <w:rtl/>
        </w:rPr>
        <w:t>(דמהני בנתן הוא ואמרה היא כשהיו מדברים עע"ק)</w:t>
      </w:r>
      <w:r w:rsidRPr="00351B7D">
        <w:rPr>
          <w:rFonts w:asciiTheme="minorBidi" w:hAnsiTheme="minorBidi"/>
          <w:rtl/>
        </w:rPr>
        <w:t xml:space="preserve"> משום דהוי כנתן הוא ואמר הוא</w:t>
      </w:r>
      <w:r w:rsidRPr="00351B7D">
        <w:rPr>
          <w:rFonts w:asciiTheme="minorBidi" w:hAnsiTheme="minorBidi"/>
          <w:sz w:val="16"/>
          <w:szCs w:val="16"/>
          <w:rtl/>
        </w:rPr>
        <w:t xml:space="preserve"> (כדכ' הב"ש סקכ"א)</w:t>
      </w:r>
      <w:r w:rsidRPr="00351B7D">
        <w:rPr>
          <w:rFonts w:asciiTheme="minorBidi" w:hAnsiTheme="minorBidi"/>
          <w:rtl/>
        </w:rPr>
        <w:t>, אלא הטעם דמהני דהואיל והוא נתן לא גרע מאילו נתן לה בשתיקה, דבשביל אמירתה לא גרע, וזה לא שייך בנתנה היא ואמרה היא.</w:t>
      </w:r>
      <w:r w:rsidRPr="00351B7D">
        <w:rPr>
          <w:rFonts w:asciiTheme="minorBidi" w:hAnsiTheme="minorBidi"/>
          <w:sz w:val="16"/>
          <w:szCs w:val="16"/>
          <w:rtl/>
        </w:rPr>
        <w:t xml:space="preserve"> (והראש פינה כ' שאין צריך לדחות את דברי הבאה"ט אלא הם דחויים ממילא למדקדק בדברי הב"ש)</w:t>
      </w:r>
    </w:p>
  </w:footnote>
  <w:footnote w:id="217">
    <w:p w14:paraId="1F4C6E0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שהוא אחד משמונה באיסר האיטלקי (משקל חצי שעורה), רי"ף (ה: - ו.).</w:t>
      </w:r>
    </w:p>
  </w:footnote>
  <w:footnote w:id="218">
    <w:p w14:paraId="5226D09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משקל שעורה הוא 50 מ"ג, יוצא שמשקל כסף שבו מקדשין הוא 25 מ"ג כסף צרוף.</w:t>
      </w:r>
    </w:p>
  </w:footnote>
  <w:footnote w:id="219">
    <w:p w14:paraId="361C67C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כך משמע לי מדבריו, שהרי כ' שחצי שעורה- הרי אלו קדושי ודאי, וכ' לעיין בסי' לא סע' ג' לעניין מתי הן קדושי ספק, ושם מבואר שרק כלי שהוא פחות משוה פרוטה היא מקודשת בו מספק שמא שוה פרוטה במקום אחר, אבל בכסף אין אומרים כן אלא כל שהוא פחות מחצי שעורה כסף צרוף אינה מקודשת.</w:t>
      </w:r>
    </w:p>
  </w:footnote>
  <w:footnote w:id="220">
    <w:p w14:paraId="7AC6F97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דקי"ל בפרק הזהב (ב"מ דף מז) קונין בכלי אף על פי שאינו שוה פרוטה, רש"י.</w:t>
      </w:r>
    </w:p>
  </w:footnote>
  <w:footnote w:id="221">
    <w:p w14:paraId="3E5E1E5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דגנאי הוא לה הלכך בטיל לה לתורת חליפין בקידושין ואפילו בכלי שיש בו שוה פרוטה אי יהיב לה בלשון חליפין עד דיהיב לה בתורת לשון קנין או קיחה או קידושין, רש"י.</w:t>
      </w:r>
    </w:p>
  </w:footnote>
  <w:footnote w:id="222">
    <w:p w14:paraId="3BBE685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התוס' והרא"ש גורסים כמו שכתוב כאן "לפי שאין וכו", וכן נראה מהרמב"ם והר"ן, אך רב האי גאון (ספר המקח ריש שער י"ח) גריס בהדיא "גזירה שמא יאמרו אשה נקנית בחליפין", וכ"כ הרשב"א שם שזוהי הגירסא הנכונה. (ועיין לקמן בנפ"מ בין הגיר')</w:t>
      </w:r>
    </w:p>
  </w:footnote>
  <w:footnote w:id="223">
    <w:p w14:paraId="12B593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 </w:t>
      </w:r>
      <w:r w:rsidRPr="00351B7D">
        <w:rPr>
          <w:rFonts w:asciiTheme="minorBidi" w:hAnsiTheme="minorBidi"/>
          <w:sz w:val="16"/>
          <w:szCs w:val="16"/>
          <w:rtl/>
        </w:rPr>
        <w:t xml:space="preserve">(ד"ה לבר) </w:t>
      </w:r>
      <w:r w:rsidRPr="00351B7D">
        <w:rPr>
          <w:rFonts w:asciiTheme="minorBidi" w:hAnsiTheme="minorBidi"/>
          <w:rtl/>
        </w:rPr>
        <w:t>ריא"ז</w:t>
      </w:r>
      <w:r w:rsidRPr="00351B7D">
        <w:rPr>
          <w:rFonts w:asciiTheme="minorBidi" w:hAnsiTheme="minorBidi"/>
          <w:sz w:val="16"/>
          <w:szCs w:val="16"/>
          <w:rtl/>
        </w:rPr>
        <w:t xml:space="preserve"> (הביאו השלט"ג</w:t>
      </w:r>
      <w:r w:rsidRPr="00351B7D">
        <w:rPr>
          <w:rFonts w:asciiTheme="minorBidi" w:hAnsiTheme="minorBidi"/>
          <w:sz w:val="14"/>
          <w:szCs w:val="14"/>
          <w:rtl/>
        </w:rPr>
        <w:t xml:space="preserve"> [ב: מדפה"ר אות ד]</w:t>
      </w:r>
      <w:r w:rsidRPr="00351B7D">
        <w:rPr>
          <w:rFonts w:asciiTheme="minorBidi" w:hAnsiTheme="minorBidi"/>
          <w:sz w:val="16"/>
          <w:szCs w:val="16"/>
          <w:rtl/>
        </w:rPr>
        <w:t>)</w:t>
      </w:r>
      <w:r w:rsidRPr="00351B7D">
        <w:rPr>
          <w:rFonts w:asciiTheme="minorBidi" w:hAnsiTheme="minorBidi"/>
          <w:rtl/>
        </w:rPr>
        <w:t xml:space="preserve"> ורא"ש </w:t>
      </w:r>
      <w:r w:rsidRPr="00351B7D">
        <w:rPr>
          <w:rFonts w:asciiTheme="minorBidi" w:hAnsiTheme="minorBidi"/>
          <w:sz w:val="16"/>
          <w:szCs w:val="16"/>
          <w:rtl/>
        </w:rPr>
        <w:t>(סי' ו)</w:t>
      </w:r>
      <w:r w:rsidRPr="00351B7D">
        <w:rPr>
          <w:rFonts w:asciiTheme="minorBidi" w:hAnsiTheme="minorBidi"/>
          <w:rtl/>
        </w:rPr>
        <w:t>.</w:t>
      </w:r>
    </w:p>
  </w:footnote>
  <w:footnote w:id="224">
    <w:p w14:paraId="5AEFCF1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לכן כל שקידשה בדרך זו אינה מקודשת כלל ואינה צריכה אף גט מספק, דרכ"מ (אות ב). וכ"כ הח"מ (סק"א) בדעת השו"ע ושאר הפוסקים, ונתן טעם לדבר- דכל המקדש אדעתה דרבנן מקדש. אך ריא"ז כ' וז"ל- ונראה בעיני שאם פשטה ידה וקבלה קדושין מאחר צריכה גט משניהם שקדושי הראשון קדושי תורה הם אלא שחכמים בטלו' משום גזירה.</w:t>
      </w:r>
    </w:p>
  </w:footnote>
  <w:footnote w:id="225">
    <w:p w14:paraId="3CE8340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הל' אישות פ"ה הכ"ד.</w:t>
      </w:r>
    </w:p>
  </w:footnote>
  <w:footnote w:id="226">
    <w:p w14:paraId="3321548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ולדבריו ודאי שאינה צריכה גט מספק דלא חלו קדושין כלל.</w:t>
      </w:r>
    </w:p>
  </w:footnote>
  <w:footnote w:id="227">
    <w:p w14:paraId="20B574C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סק"ד. והבין כן גם בדברי בהעי"ט.</w:t>
      </w:r>
    </w:p>
  </w:footnote>
  <w:footnote w:id="228">
    <w:p w14:paraId="6C4E8C3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לגירסת הספרים "לפי שאין אשה כו", והטעם משום דאפשר לפרש דלמה אינה מקודשת- משום דלית לה הנאה לאשה במתנה זו, וכל שאין לה הנאה אינה מתקדשת וכעין חליפין, ואע"ג דאפשר דמתהניא בש"פ עד החזרה, מ"מ לאו בהנאה זו קדשה אלא בגופו של מנה ומשום דחליפין ממעטא ממנינא דמתני' תליא בחליפין, ולפ"ז אם אמר לה בהנאה כו' מקודשת, משא"כ לסברא ראשונה </w:t>
      </w:r>
      <w:r w:rsidRPr="00351B7D">
        <w:rPr>
          <w:rFonts w:asciiTheme="minorBidi" w:hAnsiTheme="minorBidi"/>
          <w:sz w:val="16"/>
          <w:szCs w:val="16"/>
          <w:rtl/>
        </w:rPr>
        <w:t>(היינו לגיר' רב האי)</w:t>
      </w:r>
      <w:r w:rsidRPr="00351B7D">
        <w:rPr>
          <w:rFonts w:asciiTheme="minorBidi" w:hAnsiTheme="minorBidi"/>
          <w:rtl/>
        </w:rPr>
        <w:t>, גר"א (סק"ב).</w:t>
      </w:r>
    </w:p>
  </w:footnote>
  <w:footnote w:id="229">
    <w:p w14:paraId="1C65756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דרב האי ורשב"א גרסי "גזירה שמא יאמרו אשה..." </w:t>
      </w:r>
      <w:r w:rsidRPr="00351B7D">
        <w:rPr>
          <w:rFonts w:asciiTheme="minorBidi" w:hAnsiTheme="minorBidi"/>
          <w:sz w:val="16"/>
          <w:szCs w:val="16"/>
          <w:rtl/>
        </w:rPr>
        <w:t>(והתוס' והרא"ש פירשו שזוהי גזירה אע"פ שלא כתוב כן בגמ' בהדיא)</w:t>
      </w:r>
      <w:r w:rsidRPr="00351B7D">
        <w:rPr>
          <w:rFonts w:asciiTheme="minorBidi" w:hAnsiTheme="minorBidi"/>
          <w:rtl/>
        </w:rPr>
        <w:t>, ומאחר שגזרו חז"ל לא נקנית אפי' בהנאה שיש לה מהמתנה ע"מ להחזיר שהרי דמי לחליפין, ושמא יאמרו וכו'.</w:t>
      </w:r>
    </w:p>
  </w:footnote>
  <w:footnote w:id="230">
    <w:p w14:paraId="7B564B2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היינו קנין חליפין </w:t>
      </w:r>
      <w:r w:rsidRPr="00351B7D">
        <w:rPr>
          <w:rFonts w:asciiTheme="minorBidi" w:hAnsiTheme="minorBidi"/>
          <w:sz w:val="16"/>
          <w:szCs w:val="16"/>
          <w:rtl/>
        </w:rPr>
        <w:t>(יש שני מיני קנין חליפין, קנין חליפין בסודר, וקנין חליפין שוה בשוה)</w:t>
      </w:r>
      <w:r w:rsidRPr="00351B7D">
        <w:rPr>
          <w:rFonts w:asciiTheme="minorBidi" w:hAnsiTheme="minorBidi"/>
          <w:rtl/>
        </w:rPr>
        <w:t>.</w:t>
      </w:r>
    </w:p>
  </w:footnote>
  <w:footnote w:id="231">
    <w:p w14:paraId="388D393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והא דהוי קדושין הוא לשיטת הראב"ד, אבל לשיטת הרשב"א לא הוי קדושין (עי' סע' ו, וב"ש סק"י).</w:t>
      </w:r>
    </w:p>
  </w:footnote>
  <w:footnote w:id="232">
    <w:p w14:paraId="1CD888C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לגמרי, ואינה צריכה גט מספק, ואע"ג דקי"ל בעלמא מתנה ע"מ להחזיר הוי מתנה, מ"מ בקדושין תקנו חז"ל דלא הוי קדושין והטעם הוא משום דדמי' לחליפין כשהוא מחזיר הקדושין וחליפין לא הוי קדושין כלל אפילו מדרבנן, וכן משמע מכל הפוסקים דלא הוי קדושין כלל ולא כשלט"ג </w:t>
      </w:r>
      <w:r w:rsidRPr="00351B7D">
        <w:rPr>
          <w:rFonts w:asciiTheme="minorBidi" w:hAnsiTheme="minorBidi"/>
          <w:sz w:val="16"/>
          <w:szCs w:val="16"/>
          <w:rtl/>
        </w:rPr>
        <w:t xml:space="preserve">(ב ע"ב מדפי הרי"ף אות ד) </w:t>
      </w:r>
      <w:r w:rsidRPr="00351B7D">
        <w:rPr>
          <w:rFonts w:asciiTheme="minorBidi" w:hAnsiTheme="minorBidi"/>
          <w:rtl/>
        </w:rPr>
        <w:t>שכתב דצריכה גט, ב"ש (סק"ב, וכעין זה כ' הח"מ (סק"א)).</w:t>
      </w:r>
    </w:p>
  </w:footnote>
  <w:footnote w:id="233">
    <w:p w14:paraId="3A045B6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מש"כ כאן "כדי לקדשה תוך שלשים יום" לאו דוקא, דה"ה אם נתנה סתם ע"מ להחזיר עד שלשים יום, רא"ש (שם) ח"מ (סק"ב) וב"ש (סק"ג), וכ"כ הדרכ"מ (אות א) כשעתיק את תשובת הרא"ש. וכ' הט"ז (סק"ב) דה"ה אם נתנה סתם ע"מ להחזיר. </w:t>
      </w:r>
      <w:r w:rsidRPr="00351B7D">
        <w:rPr>
          <w:rFonts w:asciiTheme="minorBidi" w:hAnsiTheme="minorBidi"/>
          <w:sz w:val="16"/>
          <w:szCs w:val="16"/>
          <w:rtl/>
        </w:rPr>
        <w:t>(ותמה הט"ז על הרמ"א מדוע כ' כמו שכתב,</w:t>
      </w:r>
      <w:r w:rsidRPr="00351B7D">
        <w:rPr>
          <w:rFonts w:asciiTheme="minorBidi" w:hAnsiTheme="minorBidi"/>
          <w:color w:val="FF0000"/>
          <w:sz w:val="16"/>
          <w:szCs w:val="16"/>
          <w:rtl/>
        </w:rPr>
        <w:t xml:space="preserve"> ואפ"ל דהרמ"א כ' כך כי רצה לחדש דאפי' נתן לה ולא אמר לה כלום הרי היא מקודשת, שהרי זה מה שסיכמו בתחילה, שהוא יקדש אותה בזה תוך ל', וכן מדוייק מלשונו שלא הזכיר שאמר לה דבר אלא רק נתן לה)</w:t>
      </w:r>
    </w:p>
  </w:footnote>
  <w:footnote w:id="234">
    <w:p w14:paraId="5432D30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בס' קהילות יעקב </w:t>
      </w:r>
      <w:r w:rsidRPr="00351B7D">
        <w:rPr>
          <w:rFonts w:asciiTheme="minorBidi" w:hAnsiTheme="minorBidi"/>
          <w:sz w:val="16"/>
          <w:szCs w:val="16"/>
          <w:rtl/>
        </w:rPr>
        <w:t>(ד"ה י"א, הביאו הפת"ש סק"</w:t>
      </w:r>
      <w:r w:rsidRPr="00351B7D">
        <w:rPr>
          <w:rFonts w:asciiTheme="minorBidi" w:hAnsiTheme="minorBidi"/>
          <w:color w:val="000000"/>
          <w:sz w:val="16"/>
          <w:szCs w:val="16"/>
          <w:rtl/>
        </w:rPr>
        <w:t xml:space="preserve">ד) </w:t>
      </w:r>
      <w:r w:rsidRPr="00351B7D">
        <w:rPr>
          <w:rFonts w:asciiTheme="minorBidi" w:hAnsiTheme="minorBidi"/>
          <w:rtl/>
        </w:rPr>
        <w:t>דאפי' לא היה החפץ שלו רק שנתנו לו ג"כ במתנה ע"מ להחזיר אפ"ה הוי קידושין אפי' לא נתנו לו רשות בפי' להשאיל, דסתם מתנה עמ"ל יש לו רשות ליתן לאחרים, אמנם שאר התנאים שכ' הרא"ש (פ"א סי' כ) בודאי צריך שיתן המתנה סתם שיחזירהו דאז יכול להחזיר אימת שירצה כמבואר בח"מ סי' רמ"א, דאם אמר ע"מ שתחזירהו מיד אין כאן קדושין, וכן צריך שיהא השמוש ש"פ דאם אין השמוש ש"פ במאי מקדשה</w:t>
      </w:r>
      <w:r w:rsidRPr="00351B7D">
        <w:rPr>
          <w:rFonts w:asciiTheme="minorBidi" w:hAnsiTheme="minorBidi"/>
          <w:color w:val="000000"/>
          <w:rtl/>
        </w:rPr>
        <w:t>.</w:t>
      </w:r>
    </w:p>
  </w:footnote>
  <w:footnote w:id="235">
    <w:p w14:paraId="3CD6D39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(רא"ש </w:t>
      </w:r>
      <w:r w:rsidRPr="00351B7D">
        <w:rPr>
          <w:rFonts w:asciiTheme="minorBidi" w:hAnsiTheme="minorBidi"/>
          <w:color w:val="000000"/>
          <w:sz w:val="14"/>
          <w:szCs w:val="14"/>
          <w:rtl/>
        </w:rPr>
        <w:t xml:space="preserve">[ב"ב פ"ח סי' מ"ח] </w:t>
      </w:r>
      <w:r w:rsidRPr="00351B7D">
        <w:rPr>
          <w:rFonts w:asciiTheme="minorBidi" w:hAnsiTheme="minorBidi"/>
          <w:color w:val="000000"/>
          <w:sz w:val="16"/>
          <w:szCs w:val="16"/>
          <w:rtl/>
        </w:rPr>
        <w:t>להב' ב"ש</w:t>
      </w:r>
      <w:r w:rsidRPr="00351B7D">
        <w:rPr>
          <w:rFonts w:asciiTheme="minorBidi" w:hAnsiTheme="minorBidi"/>
          <w:color w:val="000000"/>
          <w:sz w:val="14"/>
          <w:szCs w:val="14"/>
          <w:rtl/>
        </w:rPr>
        <w:t xml:space="preserve"> [סק"א]</w:t>
      </w:r>
      <w:r w:rsidRPr="00351B7D">
        <w:rPr>
          <w:rFonts w:asciiTheme="minorBidi" w:hAnsiTheme="minorBidi"/>
          <w:rtl/>
        </w:rPr>
        <w:t>)</w:t>
      </w:r>
      <w:r w:rsidRPr="00351B7D">
        <w:rPr>
          <w:rFonts w:asciiTheme="minorBidi" w:hAnsiTheme="minorBidi"/>
          <w:color w:val="000000"/>
          <w:rtl/>
        </w:rPr>
        <w:t xml:space="preserve"> ב"ח </w:t>
      </w:r>
      <w:r w:rsidRPr="00351B7D">
        <w:rPr>
          <w:rFonts w:asciiTheme="minorBidi" w:hAnsiTheme="minorBidi"/>
          <w:color w:val="000000"/>
          <w:sz w:val="16"/>
          <w:szCs w:val="16"/>
          <w:rtl/>
        </w:rPr>
        <w:t>(אות א)</w:t>
      </w:r>
      <w:r w:rsidRPr="00351B7D">
        <w:rPr>
          <w:rFonts w:asciiTheme="minorBidi" w:hAnsiTheme="minorBidi"/>
          <w:color w:val="000000"/>
          <w:rtl/>
        </w:rPr>
        <w:t xml:space="preserve"> באה"ט </w:t>
      </w:r>
      <w:r w:rsidRPr="00351B7D">
        <w:rPr>
          <w:rFonts w:asciiTheme="minorBidi" w:hAnsiTheme="minorBidi"/>
          <w:color w:val="000000"/>
          <w:sz w:val="16"/>
          <w:szCs w:val="16"/>
          <w:rtl/>
        </w:rPr>
        <w:t>(סק"א)</w:t>
      </w:r>
      <w:r w:rsidRPr="00351B7D">
        <w:rPr>
          <w:rFonts w:asciiTheme="minorBidi" w:hAnsiTheme="minorBidi"/>
          <w:color w:val="000000"/>
          <w:rtl/>
        </w:rPr>
        <w:t xml:space="preserve"> ונח"צ </w:t>
      </w:r>
      <w:r w:rsidRPr="00351B7D">
        <w:rPr>
          <w:rFonts w:asciiTheme="minorBidi" w:hAnsiTheme="minorBidi"/>
          <w:color w:val="000000"/>
          <w:sz w:val="16"/>
          <w:szCs w:val="16"/>
          <w:rtl/>
        </w:rPr>
        <w:t>(סק"א)</w:t>
      </w:r>
      <w:r w:rsidRPr="00351B7D">
        <w:rPr>
          <w:rFonts w:asciiTheme="minorBidi" w:hAnsiTheme="minorBidi"/>
          <w:color w:val="000000"/>
          <w:rtl/>
        </w:rPr>
        <w:t>.</w:t>
      </w:r>
    </w:p>
  </w:footnote>
  <w:footnote w:id="236">
    <w:p w14:paraId="188021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כתנאי בני גד ובני ראובן "אם יעברו - ונתתם להם... ואם לא יעברו - ונאחזו בתוככם" שממנו למדים את עיקר דיני התנאים, ומכאן למדו חכמים שצריך לכפול כל תנאי.</w:t>
      </w:r>
    </w:p>
  </w:footnote>
  <w:footnote w:id="237">
    <w:p w14:paraId="06827C6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דלדעת תוס' וסיעתם אינו אלא משום גזירה שמא יאמרו אשה נקנית בחליפין, בכל כי האי הו"ל מלתא דלא שכיחא ולא גזרו, ואי נמי איכא למימר כיון דטעמא דבאדם חשוב מקודשת הוא משום בההיא הנאה שהיתה רוצה ליתן פרוטה לאדם שיפייסנו לקבל ממנה, כמ"ש רש"י, א"כ ההיא פרוטה לא הדרא כלל וה"ז דומה למ"ש הרמ"א (כאן) דאם אמר לה בהנאה זו כו'.</w:t>
      </w:r>
    </w:p>
  </w:footnote>
  <w:footnote w:id="238">
    <w:p w14:paraId="56EA1C8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דקונה החפץ במשיכה זו מהמקדש שיהיה החפץ משועבד לה לשמש בו ואין יכול לחזור בו- נתינת כסף ממש הוא, ול"ד לפועל שאין לו קנין בהפועל, אבל כאן חשיב כנותן במתנה חפץ לפירות על זמן מה דודאי נתינת כסף גמור הוא ומתקדשת בו.</w:t>
      </w:r>
    </w:p>
  </w:footnote>
  <w:footnote w:id="239">
    <w:p w14:paraId="6E54727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חלק מהנכתב כאן הועתק מההערות של בעל הפירוש 'חברותא'.</w:t>
      </w:r>
    </w:p>
  </w:footnote>
  <w:footnote w:id="240">
    <w:p w14:paraId="38B7B41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הזקן </w:t>
      </w:r>
      <w:r w:rsidRPr="00351B7D">
        <w:rPr>
          <w:rFonts w:asciiTheme="minorBidi" w:hAnsiTheme="minorBidi"/>
          <w:sz w:val="16"/>
          <w:szCs w:val="16"/>
          <w:rtl/>
        </w:rPr>
        <w:t>(ו:)</w:t>
      </w:r>
      <w:r w:rsidRPr="00351B7D">
        <w:rPr>
          <w:rFonts w:asciiTheme="minorBidi" w:hAnsiTheme="minorBidi"/>
          <w:rtl/>
        </w:rPr>
        <w:t xml:space="preserve"> רמב"ם </w:t>
      </w:r>
      <w:r w:rsidRPr="00351B7D">
        <w:rPr>
          <w:rFonts w:asciiTheme="minorBidi" w:hAnsiTheme="minorBidi"/>
          <w:sz w:val="16"/>
          <w:szCs w:val="16"/>
          <w:rtl/>
        </w:rPr>
        <w:t>(פ"ה הכ"א)</w:t>
      </w:r>
      <w:r w:rsidRPr="00351B7D">
        <w:rPr>
          <w:rFonts w:asciiTheme="minorBidi" w:hAnsiTheme="minorBidi"/>
          <w:rtl/>
        </w:rPr>
        <w:t xml:space="preserve"> רשב"א </w:t>
      </w:r>
      <w:r w:rsidRPr="00351B7D">
        <w:rPr>
          <w:rFonts w:asciiTheme="minorBidi" w:hAnsiTheme="minorBidi"/>
          <w:sz w:val="16"/>
          <w:szCs w:val="16"/>
          <w:rtl/>
        </w:rPr>
        <w:t>(ו:)</w:t>
      </w:r>
      <w:r w:rsidRPr="00351B7D">
        <w:rPr>
          <w:rFonts w:asciiTheme="minorBidi" w:hAnsiTheme="minorBidi"/>
          <w:rtl/>
        </w:rPr>
        <w:t xml:space="preserve"> ריטב"א </w:t>
      </w:r>
      <w:r w:rsidRPr="00351B7D">
        <w:rPr>
          <w:rFonts w:asciiTheme="minorBidi" w:hAnsiTheme="minorBidi"/>
          <w:sz w:val="16"/>
          <w:szCs w:val="16"/>
          <w:rtl/>
        </w:rPr>
        <w:t>(ו:)</w:t>
      </w:r>
      <w:r w:rsidRPr="00351B7D">
        <w:rPr>
          <w:rFonts w:asciiTheme="minorBidi" w:hAnsiTheme="minorBidi"/>
          <w:rtl/>
        </w:rPr>
        <w:t xml:space="preserve"> מאירי </w:t>
      </w:r>
      <w:r w:rsidRPr="00351B7D">
        <w:rPr>
          <w:rFonts w:asciiTheme="minorBidi" w:hAnsiTheme="minorBidi"/>
          <w:sz w:val="16"/>
          <w:szCs w:val="16"/>
          <w:rtl/>
        </w:rPr>
        <w:t xml:space="preserve">(ו.) </w:t>
      </w:r>
      <w:r w:rsidRPr="00351B7D">
        <w:rPr>
          <w:rFonts w:asciiTheme="minorBidi" w:hAnsiTheme="minorBidi"/>
          <w:rtl/>
        </w:rPr>
        <w:t>ור"ן</w:t>
      </w:r>
      <w:r w:rsidRPr="00351B7D">
        <w:rPr>
          <w:rFonts w:asciiTheme="minorBidi" w:hAnsiTheme="minorBidi"/>
          <w:sz w:val="16"/>
          <w:szCs w:val="16"/>
          <w:rtl/>
        </w:rPr>
        <w:t xml:space="preserve"> (ג. ד"ה תן מנה)</w:t>
      </w:r>
      <w:r w:rsidRPr="00351B7D">
        <w:rPr>
          <w:rFonts w:asciiTheme="minorBidi" w:hAnsiTheme="minorBidi"/>
          <w:rtl/>
        </w:rPr>
        <w:t>.</w:t>
      </w:r>
    </w:p>
  </w:footnote>
  <w:footnote w:id="241">
    <w:p w14:paraId="7A83C79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הובא באוצר הגאונים, וז"ל- "כיון דאיכא האי גוונא הערב חייב לשלם כמאן דקביל הוא בידיו דמי, ה"נ אמרינן דיבורא תן לפלוני קבלה היא" </w:t>
      </w:r>
      <w:r w:rsidRPr="00351B7D">
        <w:rPr>
          <w:rFonts w:asciiTheme="minorBidi" w:hAnsiTheme="minorBidi"/>
          <w:sz w:val="16"/>
          <w:szCs w:val="16"/>
          <w:rtl/>
        </w:rPr>
        <w:t>(כלומר שנחשב כערב קבלן שכ' עליו רב שמואל בן חפני גאון בספר דיני הערבות והקבלנות (סיני יז עמ' קנ) שהריהו כאילו עשה הלוה שלוחו או גובה שלו וזהו מה שאמר (באיזכור לשונות ערבות- ב"ב קעד.) תן לו ואני נותן).</w:t>
      </w:r>
    </w:p>
  </w:footnote>
  <w:footnote w:id="242">
    <w:p w14:paraId="2C8DD14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בב"מ עא: ד"ה מצאו ישראל, ובדף נז: ד"ה לספק.</w:t>
      </w:r>
    </w:p>
  </w:footnote>
  <w:footnote w:id="243">
    <w:p w14:paraId="57A1E1A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שהרי לדעתם האיש לא אומר "הרי את... בהנאה שנתתי...", וא"כ במה מקדשה? יוצא מדבריהם שאינה מקודשת בהנאה אלא דמי כאילו המעות עברו בידה לפני שעברו למי שרצתה שיעברו, וכן הבין המחנה אפרים </w:t>
      </w:r>
      <w:r w:rsidRPr="00351B7D">
        <w:rPr>
          <w:rFonts w:asciiTheme="minorBidi" w:hAnsiTheme="minorBidi"/>
          <w:sz w:val="16"/>
          <w:szCs w:val="16"/>
          <w:rtl/>
        </w:rPr>
        <w:t xml:space="preserve">(ריבית יא) </w:t>
      </w:r>
      <w:r w:rsidRPr="00351B7D">
        <w:rPr>
          <w:rFonts w:asciiTheme="minorBidi" w:hAnsiTheme="minorBidi"/>
          <w:rtl/>
        </w:rPr>
        <w:t>בדבריהם</w:t>
      </w:r>
      <w:r w:rsidRPr="00351B7D">
        <w:rPr>
          <w:rFonts w:asciiTheme="minorBidi" w:hAnsiTheme="minorBidi"/>
          <w:sz w:val="16"/>
          <w:szCs w:val="16"/>
          <w:rtl/>
        </w:rPr>
        <w:t xml:space="preserve"> (ודייק כך גם מדברי הריטב"א בב"מ, ועי' קהילות יעקב סי' י)</w:t>
      </w:r>
      <w:r w:rsidRPr="00351B7D">
        <w:rPr>
          <w:rFonts w:asciiTheme="minorBidi" w:hAnsiTheme="minorBidi"/>
          <w:rtl/>
        </w:rPr>
        <w:t>.</w:t>
      </w:r>
    </w:p>
  </w:footnote>
  <w:footnote w:id="244">
    <w:p w14:paraId="785B06E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וההסבר לזה: אין צורך שהמעות יגיעו מידי המלוה לערב, אלא די בכך שהערב ישתמש במעות, אפילו אם הן לא הגיעו לידו, והואיל והערב מעוניין שהלוה יקבל את הכסף, לפיכך כשהמלוה נותן את מעותיו ללוה, הרי זה כאילו הערב עצמו השתמש בהן, והוא חייב בתמורתן </w:t>
      </w:r>
      <w:r w:rsidRPr="00351B7D">
        <w:rPr>
          <w:rFonts w:asciiTheme="minorBidi" w:hAnsiTheme="minorBidi"/>
          <w:sz w:val="16"/>
          <w:szCs w:val="16"/>
          <w:rtl/>
        </w:rPr>
        <w:t>(הערות של פירוש חברותא)</w:t>
      </w:r>
      <w:r w:rsidRPr="00351B7D">
        <w:rPr>
          <w:rFonts w:asciiTheme="minorBidi" w:hAnsiTheme="minorBidi"/>
          <w:rtl/>
        </w:rPr>
        <w:t>.</w:t>
      </w:r>
    </w:p>
  </w:footnote>
  <w:footnote w:id="245">
    <w:p w14:paraId="5725BFF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"מדין ערב- ממה שמצינו בתורה שהערב משתעבד למלוה אנו יכולין ללמוד". </w:t>
      </w:r>
      <w:r w:rsidRPr="00351B7D">
        <w:rPr>
          <w:rFonts w:asciiTheme="minorBidi" w:hAnsiTheme="minorBidi"/>
          <w:color w:val="FF0000"/>
          <w:rtl/>
        </w:rPr>
        <w:t xml:space="preserve">וצל"ע מדוע הגמ' בב"ב </w:t>
      </w:r>
      <w:r w:rsidRPr="00351B7D">
        <w:rPr>
          <w:rFonts w:asciiTheme="minorBidi" w:hAnsiTheme="minorBidi"/>
          <w:color w:val="FF0000"/>
          <w:sz w:val="16"/>
          <w:szCs w:val="16"/>
          <w:rtl/>
        </w:rPr>
        <w:t xml:space="preserve">(קעג:) </w:t>
      </w:r>
      <w:r w:rsidRPr="00351B7D">
        <w:rPr>
          <w:rFonts w:asciiTheme="minorBidi" w:hAnsiTheme="minorBidi"/>
          <w:color w:val="FF0000"/>
          <w:rtl/>
        </w:rPr>
        <w:t xml:space="preserve">נותנת טעם </w:t>
      </w:r>
      <w:r w:rsidRPr="00351B7D">
        <w:rPr>
          <w:rFonts w:asciiTheme="minorBidi" w:hAnsiTheme="minorBidi"/>
          <w:color w:val="FF0000"/>
          <w:sz w:val="16"/>
          <w:szCs w:val="16"/>
          <w:rtl/>
        </w:rPr>
        <w:t xml:space="preserve">(שיש לערב הנאה) </w:t>
      </w:r>
      <w:r w:rsidRPr="00351B7D">
        <w:rPr>
          <w:rFonts w:asciiTheme="minorBidi" w:hAnsiTheme="minorBidi"/>
          <w:color w:val="FF0000"/>
          <w:rtl/>
        </w:rPr>
        <w:t>והרי זו גזירת הכתוב?</w:t>
      </w:r>
    </w:p>
  </w:footnote>
  <w:footnote w:id="246">
    <w:p w14:paraId="5E412E2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כ"כ רמב"ם רשב"א </w:t>
      </w:r>
      <w:r w:rsidRPr="00351B7D">
        <w:rPr>
          <w:rFonts w:asciiTheme="minorBidi" w:hAnsiTheme="minorBidi"/>
          <w:sz w:val="14"/>
          <w:szCs w:val="14"/>
          <w:rtl/>
        </w:rPr>
        <w:t xml:space="preserve">(ו: ד"ה תן מנה) </w:t>
      </w:r>
      <w:r w:rsidRPr="00351B7D">
        <w:rPr>
          <w:rFonts w:asciiTheme="minorBidi" w:hAnsiTheme="minorBidi"/>
          <w:rtl/>
        </w:rPr>
        <w:t>ומאירי. והכרח הוא</w:t>
      </w:r>
      <w:r w:rsidRPr="00351B7D">
        <w:rPr>
          <w:rFonts w:asciiTheme="minorBidi" w:hAnsiTheme="minorBidi"/>
          <w:sz w:val="16"/>
          <w:szCs w:val="16"/>
          <w:rtl/>
        </w:rPr>
        <w:t xml:space="preserve"> </w:t>
      </w:r>
      <w:r w:rsidRPr="00351B7D">
        <w:rPr>
          <w:rFonts w:asciiTheme="minorBidi" w:hAnsiTheme="minorBidi"/>
          <w:sz w:val="14"/>
          <w:szCs w:val="14"/>
          <w:rtl/>
        </w:rPr>
        <w:t>(שיחזור ויאמר הוא)</w:t>
      </w:r>
      <w:r w:rsidRPr="00351B7D">
        <w:rPr>
          <w:rFonts w:asciiTheme="minorBidi" w:hAnsiTheme="minorBidi"/>
          <w:sz w:val="18"/>
          <w:szCs w:val="18"/>
          <w:rtl/>
        </w:rPr>
        <w:t xml:space="preserve"> </w:t>
      </w:r>
      <w:r w:rsidRPr="00351B7D">
        <w:rPr>
          <w:rFonts w:asciiTheme="minorBidi" w:hAnsiTheme="minorBidi"/>
          <w:rtl/>
        </w:rPr>
        <w:t xml:space="preserve">דאי לא אמר הוא לא עדיף ודאי כשנותן לאחר על פיה מנתן הוא ואמרה היא שמבואר בפרק שלישי שאינן אלא קידושי ספק, הה"מ </w:t>
      </w:r>
      <w:r w:rsidRPr="00351B7D">
        <w:rPr>
          <w:rFonts w:asciiTheme="minorBidi" w:hAnsiTheme="minorBidi"/>
          <w:sz w:val="14"/>
          <w:szCs w:val="14"/>
          <w:rtl/>
        </w:rPr>
        <w:t>(הביאו הב"י)</w:t>
      </w:r>
      <w:r w:rsidRPr="00351B7D">
        <w:rPr>
          <w:rFonts w:asciiTheme="minorBidi" w:hAnsiTheme="minorBidi"/>
          <w:rtl/>
        </w:rPr>
        <w:t xml:space="preserve">. ומה שהיא אמרה 'ואתקדש אני לך' לא הוי כעסוקין באותו ענין כיון שהוא לא אמר כלום, ב"ש </w:t>
      </w:r>
      <w:r w:rsidRPr="00351B7D">
        <w:rPr>
          <w:rFonts w:asciiTheme="minorBidi" w:hAnsiTheme="minorBidi"/>
          <w:sz w:val="16"/>
          <w:szCs w:val="16"/>
          <w:rtl/>
        </w:rPr>
        <w:t xml:space="preserve">(סק"ה, וכ"כ הר"ן </w:t>
      </w:r>
      <w:r w:rsidRPr="00351B7D">
        <w:rPr>
          <w:rFonts w:asciiTheme="minorBidi" w:hAnsiTheme="minorBidi"/>
          <w:sz w:val="14"/>
          <w:szCs w:val="14"/>
          <w:rtl/>
        </w:rPr>
        <w:t xml:space="preserve">[ג. מדפה"ר] </w:t>
      </w:r>
      <w:r w:rsidRPr="00351B7D">
        <w:rPr>
          <w:rFonts w:asciiTheme="minorBidi" w:hAnsiTheme="minorBidi"/>
          <w:sz w:val="16"/>
          <w:szCs w:val="16"/>
          <w:rtl/>
        </w:rPr>
        <w:t xml:space="preserve">והה"מ </w:t>
      </w:r>
      <w:r w:rsidRPr="00351B7D">
        <w:rPr>
          <w:rFonts w:asciiTheme="minorBidi" w:hAnsiTheme="minorBidi"/>
          <w:sz w:val="14"/>
          <w:szCs w:val="14"/>
          <w:rtl/>
        </w:rPr>
        <w:t>[פ"ה הכ"א]</w:t>
      </w:r>
      <w:r w:rsidRPr="00351B7D">
        <w:rPr>
          <w:rFonts w:asciiTheme="minorBidi" w:hAnsiTheme="minorBidi"/>
          <w:sz w:val="16"/>
          <w:szCs w:val="16"/>
          <w:rtl/>
        </w:rPr>
        <w:t>)</w:t>
      </w:r>
      <w:r w:rsidRPr="00351B7D">
        <w:rPr>
          <w:rFonts w:asciiTheme="minorBidi" w:hAnsiTheme="minorBidi"/>
          <w:rtl/>
        </w:rPr>
        <w:t xml:space="preserve">. ומ"מ אם אמר הוא בעת שאמרה היא- מקודשת, אע"ג דהנתינה היא אח"כ ולא אמר כלום אחר הנתינה- מקודשת, משום שהנתינה נגרר אחר האמירה, ט"ז </w:t>
      </w:r>
      <w:r w:rsidRPr="00351B7D">
        <w:rPr>
          <w:rFonts w:asciiTheme="minorBidi" w:hAnsiTheme="minorBidi"/>
          <w:sz w:val="16"/>
          <w:szCs w:val="16"/>
          <w:rtl/>
        </w:rPr>
        <w:t>(סק"ד)</w:t>
      </w:r>
      <w:r w:rsidRPr="00351B7D">
        <w:rPr>
          <w:rFonts w:asciiTheme="minorBidi" w:hAnsiTheme="minorBidi"/>
          <w:rtl/>
        </w:rPr>
        <w:t>.</w:t>
      </w:r>
    </w:p>
  </w:footnote>
  <w:footnote w:id="247">
    <w:p w14:paraId="05958C4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אע"פ שלא אמר לה "הרי את..." וכל זה בתנאי שבתחילה </w:t>
      </w:r>
      <w:r w:rsidRPr="00351B7D">
        <w:rPr>
          <w:rFonts w:asciiTheme="minorBidi" w:hAnsiTheme="minorBidi"/>
          <w:sz w:val="16"/>
          <w:szCs w:val="16"/>
          <w:rtl/>
        </w:rPr>
        <w:t xml:space="preserve">(לפני שהתחילו לדבר עע"ק) </w:t>
      </w:r>
      <w:r w:rsidRPr="00351B7D">
        <w:rPr>
          <w:rFonts w:asciiTheme="minorBidi" w:hAnsiTheme="minorBidi"/>
          <w:rtl/>
        </w:rPr>
        <w:t>אמרה לו "תן... ואקדש אני לך" כדכ' הרמ"א בסמוך</w:t>
      </w:r>
      <w:r w:rsidRPr="00351B7D">
        <w:rPr>
          <w:rFonts w:asciiTheme="minorBidi" w:hAnsiTheme="minorBidi"/>
          <w:sz w:val="16"/>
          <w:szCs w:val="16"/>
          <w:rtl/>
        </w:rPr>
        <w:t xml:space="preserve"> (ב"ש [סק"ז] ויד אפרים)</w:t>
      </w:r>
      <w:r w:rsidRPr="00351B7D">
        <w:rPr>
          <w:rFonts w:asciiTheme="minorBidi" w:hAnsiTheme="minorBidi"/>
          <w:rtl/>
        </w:rPr>
        <w:t xml:space="preserve">. </w:t>
      </w:r>
    </w:p>
  </w:footnote>
  <w:footnote w:id="248">
    <w:p w14:paraId="55344DE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נכ"ב ח"א קפא ע"ד.</w:t>
      </w:r>
    </w:p>
  </w:footnote>
  <w:footnote w:id="249">
    <w:p w14:paraId="529D47E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הרשב"א כ' את הדין האחרון </w:t>
      </w:r>
      <w:r w:rsidRPr="00351B7D">
        <w:rPr>
          <w:rFonts w:asciiTheme="minorBidi" w:hAnsiTheme="minorBidi"/>
          <w:sz w:val="16"/>
          <w:szCs w:val="16"/>
          <w:rtl/>
        </w:rPr>
        <w:t xml:space="preserve">(מש"כ- "אבל אם הריוח זמן וכו") </w:t>
      </w:r>
      <w:r w:rsidRPr="00351B7D">
        <w:rPr>
          <w:rFonts w:asciiTheme="minorBidi" w:hAnsiTheme="minorBidi"/>
          <w:rtl/>
        </w:rPr>
        <w:t>בתשו' ח"א סי' אלף רכה</w:t>
      </w:r>
      <w:r w:rsidRPr="00351B7D">
        <w:rPr>
          <w:rFonts w:asciiTheme="minorBidi" w:hAnsiTheme="minorBidi"/>
          <w:sz w:val="16"/>
          <w:szCs w:val="16"/>
          <w:rtl/>
        </w:rPr>
        <w:t xml:space="preserve"> (והביאו הב"י)</w:t>
      </w:r>
      <w:r w:rsidRPr="00351B7D">
        <w:rPr>
          <w:rFonts w:asciiTheme="minorBidi" w:hAnsiTheme="minorBidi"/>
          <w:rtl/>
        </w:rPr>
        <w:t>, ועיין בט"ז</w:t>
      </w:r>
      <w:r w:rsidRPr="00351B7D">
        <w:rPr>
          <w:rFonts w:asciiTheme="minorBidi" w:hAnsiTheme="minorBidi"/>
          <w:sz w:val="16"/>
          <w:szCs w:val="16"/>
          <w:rtl/>
        </w:rPr>
        <w:t xml:space="preserve"> (סק"ו) </w:t>
      </w:r>
      <w:r w:rsidRPr="00351B7D">
        <w:rPr>
          <w:rFonts w:asciiTheme="minorBidi" w:hAnsiTheme="minorBidi"/>
          <w:rtl/>
        </w:rPr>
        <w:t xml:space="preserve">ח"מ </w:t>
      </w:r>
      <w:r w:rsidRPr="00351B7D">
        <w:rPr>
          <w:rFonts w:asciiTheme="minorBidi" w:hAnsiTheme="minorBidi"/>
          <w:sz w:val="16"/>
          <w:szCs w:val="16"/>
          <w:rtl/>
        </w:rPr>
        <w:t xml:space="preserve">(סק"ה) </w:t>
      </w:r>
      <w:r w:rsidRPr="00351B7D">
        <w:rPr>
          <w:rFonts w:asciiTheme="minorBidi" w:hAnsiTheme="minorBidi"/>
          <w:rtl/>
        </w:rPr>
        <w:t>וב"ש</w:t>
      </w:r>
      <w:r w:rsidRPr="00351B7D">
        <w:rPr>
          <w:rFonts w:asciiTheme="minorBidi" w:hAnsiTheme="minorBidi"/>
          <w:sz w:val="16"/>
          <w:szCs w:val="16"/>
          <w:rtl/>
        </w:rPr>
        <w:t xml:space="preserve"> (סק"ח) </w:t>
      </w:r>
      <w:r w:rsidRPr="00351B7D">
        <w:rPr>
          <w:rFonts w:asciiTheme="minorBidi" w:hAnsiTheme="minorBidi"/>
          <w:rtl/>
        </w:rPr>
        <w:t>דהקשו עליו, אך עי' באבנ"מ</w:t>
      </w:r>
      <w:r w:rsidRPr="00351B7D">
        <w:rPr>
          <w:rFonts w:asciiTheme="minorBidi" w:hAnsiTheme="minorBidi"/>
          <w:sz w:val="16"/>
          <w:szCs w:val="16"/>
          <w:rtl/>
        </w:rPr>
        <w:t xml:space="preserve"> (סק"ז)</w:t>
      </w:r>
      <w:r w:rsidRPr="00351B7D">
        <w:rPr>
          <w:rFonts w:asciiTheme="minorBidi" w:hAnsiTheme="minorBidi"/>
          <w:rtl/>
        </w:rPr>
        <w:t xml:space="preserve"> שיישב דברי הרשב"א.</w:t>
      </w:r>
    </w:p>
  </w:footnote>
  <w:footnote w:id="250">
    <w:p w14:paraId="76DCFAA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הביאוהו הפרישה </w:t>
      </w:r>
      <w:r w:rsidRPr="00351B7D">
        <w:rPr>
          <w:rFonts w:asciiTheme="minorBidi" w:hAnsiTheme="minorBidi"/>
          <w:sz w:val="16"/>
          <w:szCs w:val="16"/>
          <w:rtl/>
        </w:rPr>
        <w:t xml:space="preserve">(סק"ד) </w:t>
      </w:r>
      <w:r w:rsidRPr="00351B7D">
        <w:rPr>
          <w:rFonts w:asciiTheme="minorBidi" w:hAnsiTheme="minorBidi"/>
          <w:rtl/>
        </w:rPr>
        <w:t xml:space="preserve">הח"מ </w:t>
      </w:r>
      <w:r w:rsidRPr="00351B7D">
        <w:rPr>
          <w:rFonts w:asciiTheme="minorBidi" w:hAnsiTheme="minorBidi"/>
          <w:sz w:val="16"/>
          <w:szCs w:val="16"/>
          <w:rtl/>
        </w:rPr>
        <w:t xml:space="preserve">(סק"ה) </w:t>
      </w:r>
      <w:r w:rsidRPr="00351B7D">
        <w:rPr>
          <w:rFonts w:asciiTheme="minorBidi" w:hAnsiTheme="minorBidi"/>
          <w:rtl/>
        </w:rPr>
        <w:t xml:space="preserve">ונח"צ </w:t>
      </w:r>
      <w:r w:rsidRPr="00351B7D">
        <w:rPr>
          <w:rFonts w:asciiTheme="minorBidi" w:hAnsiTheme="minorBidi"/>
          <w:sz w:val="16"/>
          <w:szCs w:val="16"/>
          <w:rtl/>
        </w:rPr>
        <w:t>(סק"ג)</w:t>
      </w:r>
      <w:r w:rsidRPr="00351B7D">
        <w:rPr>
          <w:rFonts w:asciiTheme="minorBidi" w:hAnsiTheme="minorBidi"/>
          <w:rtl/>
        </w:rPr>
        <w:t xml:space="preserve">. וכ' הח"מ </w:t>
      </w:r>
      <w:r w:rsidRPr="00351B7D">
        <w:rPr>
          <w:rFonts w:asciiTheme="minorBidi" w:hAnsiTheme="minorBidi"/>
          <w:sz w:val="16"/>
          <w:szCs w:val="16"/>
          <w:rtl/>
        </w:rPr>
        <w:t>(סי' ל סקי"ג)</w:t>
      </w:r>
      <w:r w:rsidRPr="00351B7D">
        <w:rPr>
          <w:rFonts w:asciiTheme="minorBidi" w:hAnsiTheme="minorBidi"/>
          <w:rtl/>
        </w:rPr>
        <w:t xml:space="preserve"> שכן מוכח מהתוס'.</w:t>
      </w:r>
    </w:p>
  </w:footnote>
  <w:footnote w:id="251">
    <w:p w14:paraId="1687E0C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כדאיתא בקדושין (יב:)- ההוא גברא דקדיש בציפתא דאסא, אמרו ליה: והא לית בה ש"פ! אמר להו: תיקדוש בארבע זוזי דאית בה, שקלתא ואישתיקא</w:t>
      </w:r>
      <w:r w:rsidRPr="00351B7D">
        <w:rPr>
          <w:rFonts w:asciiTheme="minorBidi" w:hAnsiTheme="minorBidi"/>
          <w:sz w:val="14"/>
          <w:szCs w:val="14"/>
          <w:rtl/>
        </w:rPr>
        <w:t xml:space="preserve"> (נקטא לה ולא השליכתה, רש"י)</w:t>
      </w:r>
      <w:r w:rsidRPr="00351B7D">
        <w:rPr>
          <w:rFonts w:asciiTheme="minorBidi" w:hAnsiTheme="minorBidi"/>
          <w:rtl/>
        </w:rPr>
        <w:t>, אמר רבא: הוה שתיקותא דלאחר מתן מעות, וכל שתיקותא דלאחר מתן מעות לאו כלום היא.</w:t>
      </w:r>
    </w:p>
  </w:footnote>
  <w:footnote w:id="252">
    <w:p w14:paraId="75C740E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הנח"צ (סק"ו) שדין זה הוא לגבי כל החלוקות/ המקרים שמעורב בהן שליח </w:t>
      </w:r>
      <w:r w:rsidRPr="00351B7D">
        <w:rPr>
          <w:rFonts w:asciiTheme="minorBidi" w:hAnsiTheme="minorBidi"/>
          <w:sz w:val="16"/>
          <w:szCs w:val="16"/>
          <w:rtl/>
        </w:rPr>
        <w:t>(מובאים לקמן)</w:t>
      </w:r>
      <w:r w:rsidRPr="00351B7D">
        <w:rPr>
          <w:rFonts w:asciiTheme="minorBidi" w:hAnsiTheme="minorBidi"/>
          <w:rtl/>
        </w:rPr>
        <w:t>.</w:t>
      </w:r>
    </w:p>
  </w:footnote>
  <w:footnote w:id="253">
    <w:p w14:paraId="7810EAF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ט"ז</w:t>
      </w:r>
      <w:r w:rsidRPr="00351B7D">
        <w:rPr>
          <w:rFonts w:asciiTheme="minorBidi" w:hAnsiTheme="minorBidi"/>
          <w:color w:val="000000"/>
          <w:sz w:val="16"/>
          <w:szCs w:val="16"/>
          <w:rtl/>
        </w:rPr>
        <w:t xml:space="preserve"> (סק"ז) </w:t>
      </w:r>
      <w:r w:rsidRPr="00351B7D">
        <w:rPr>
          <w:rFonts w:asciiTheme="minorBidi" w:hAnsiTheme="minorBidi"/>
          <w:color w:val="000000"/>
          <w:rtl/>
        </w:rPr>
        <w:t xml:space="preserve">ח"מ </w:t>
      </w:r>
      <w:r w:rsidRPr="00351B7D">
        <w:rPr>
          <w:rFonts w:asciiTheme="minorBidi" w:hAnsiTheme="minorBidi"/>
          <w:color w:val="000000"/>
          <w:sz w:val="16"/>
          <w:szCs w:val="16"/>
          <w:rtl/>
        </w:rPr>
        <w:t xml:space="preserve">(סק"ד) </w:t>
      </w:r>
      <w:r w:rsidRPr="00351B7D">
        <w:rPr>
          <w:rFonts w:asciiTheme="minorBidi" w:hAnsiTheme="minorBidi"/>
          <w:color w:val="000000"/>
          <w:rtl/>
        </w:rPr>
        <w:t xml:space="preserve">וב"ש </w:t>
      </w:r>
      <w:r w:rsidRPr="00351B7D">
        <w:rPr>
          <w:rFonts w:asciiTheme="minorBidi" w:hAnsiTheme="minorBidi"/>
          <w:color w:val="000000"/>
          <w:sz w:val="16"/>
          <w:szCs w:val="16"/>
          <w:rtl/>
        </w:rPr>
        <w:t>(סק"ה)</w:t>
      </w:r>
      <w:r w:rsidRPr="00351B7D">
        <w:rPr>
          <w:rFonts w:asciiTheme="minorBidi" w:hAnsiTheme="minorBidi"/>
          <w:rtl/>
        </w:rPr>
        <w:t>.</w:t>
      </w:r>
    </w:p>
  </w:footnote>
  <w:footnote w:id="254">
    <w:p w14:paraId="3C1360B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דאמרו שתיקה לאחר מתן מעות לאו כלום הוא דוקא כשתחילת הנתינה היה בתורת פקדון וא"ל הפקדון שבידך כבר הרי את מקודשת בו והיא שתקה ודאי לאו כלום הוא, משא"כ בנ"ד.</w:t>
      </w:r>
    </w:p>
  </w:footnote>
  <w:footnote w:id="255">
    <w:p w14:paraId="4E7356D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לאותו פלוני במנה שתתן לו בשבילי, רש"י.</w:t>
      </w:r>
    </w:p>
  </w:footnote>
  <w:footnote w:id="256">
    <w:p w14:paraId="39D6DBE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מבין שני הדינין הללו של ערב ושל עבד כנעני אנו למידין, רש"י. (רש"י ד"ה מדין עבד כנעני- דתנן במתני' לקמן </w:t>
      </w:r>
      <w:r w:rsidRPr="00351B7D">
        <w:rPr>
          <w:rFonts w:asciiTheme="minorBidi" w:hAnsiTheme="minorBidi"/>
          <w:sz w:val="16"/>
          <w:szCs w:val="16"/>
          <w:rtl/>
        </w:rPr>
        <w:t>(כב:)</w:t>
      </w:r>
      <w:r w:rsidRPr="00351B7D">
        <w:rPr>
          <w:rFonts w:asciiTheme="minorBidi" w:hAnsiTheme="minorBidi"/>
          <w:rtl/>
        </w:rPr>
        <w:t xml:space="preserve"> קונה את עצמו בכסף ע"י אחרים שאחרים פודין אותו בממונן והוא קונה עצמו ויוצא לחירות ואף על גב דלא חסר איהו בהאי ממונא מידי)</w:t>
      </w:r>
    </w:p>
  </w:footnote>
  <w:footnote w:id="257">
    <w:p w14:paraId="02BE30E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ז"א- המלוה התחסר מממונו בכך שנתנו ללוה על פי בקשת הערב, ולכן השתעבד לו הערב.</w:t>
      </w:r>
    </w:p>
  </w:footnote>
  <w:footnote w:id="258">
    <w:p w14:paraId="5567433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מקנה הוא את עצמו על ידי שנתנו אחרים ממון עבורו והוא עצמו לא הוציא כלום.</w:t>
      </w:r>
    </w:p>
  </w:footnote>
  <w:footnote w:id="259">
    <w:p w14:paraId="758B913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בעל העבד שהוא מקנה את העבד לחירות קא קני האי כסף שמקבל בפדיונו, רש"י.</w:t>
      </w:r>
    </w:p>
  </w:footnote>
  <w:footnote w:id="260">
    <w:p w14:paraId="064FE1B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פ"ה מהל' אישות הכ"א.</w:t>
      </w:r>
    </w:p>
  </w:footnote>
  <w:footnote w:id="261">
    <w:p w14:paraId="4192525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כדברי הרמב"ם, ואע"פ שלא כ' הטור כן בפירוש על דברי הרמ"ה, כן מבואר מלשונו ("ואי נמי...").</w:t>
      </w:r>
    </w:p>
  </w:footnote>
  <w:footnote w:id="262">
    <w:p w14:paraId="256DA3E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דאם נתן הוא ואמרה היא כ' הרמ"ה לעיל סי' כ"ז </w:t>
      </w:r>
      <w:r w:rsidRPr="00351B7D">
        <w:rPr>
          <w:rFonts w:asciiTheme="minorBidi" w:hAnsiTheme="minorBidi"/>
          <w:sz w:val="16"/>
          <w:szCs w:val="16"/>
          <w:rtl/>
        </w:rPr>
        <w:t xml:space="preserve">(עמ' רמב) </w:t>
      </w:r>
      <w:r w:rsidRPr="00351B7D">
        <w:rPr>
          <w:rFonts w:asciiTheme="minorBidi" w:hAnsiTheme="minorBidi"/>
          <w:rtl/>
        </w:rPr>
        <w:t>דמקודשת אם ענה הן אע"ג שאינן עסוקין באותו ענין, פרישה</w:t>
      </w:r>
      <w:r w:rsidRPr="00351B7D">
        <w:rPr>
          <w:rFonts w:asciiTheme="minorBidi" w:hAnsiTheme="minorBidi"/>
          <w:sz w:val="16"/>
          <w:szCs w:val="16"/>
          <w:rtl/>
        </w:rPr>
        <w:t xml:space="preserve"> (סק"ז)</w:t>
      </w:r>
      <w:r w:rsidRPr="00351B7D">
        <w:rPr>
          <w:rFonts w:asciiTheme="minorBidi" w:hAnsiTheme="minorBidi"/>
          <w:rtl/>
        </w:rPr>
        <w:t>.</w:t>
      </w:r>
    </w:p>
  </w:footnote>
  <w:footnote w:id="263">
    <w:p w14:paraId="7A36B08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והה"מ דחה פירוש זה, עיין בהערה שמובאת בסוף דברי הרשב"א.</w:t>
      </w:r>
    </w:p>
  </w:footnote>
  <w:footnote w:id="264">
    <w:p w14:paraId="1F1E5D4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הרשב"א תמה על הרמב"ם למה הוצרך לפרש כדפירש, ולכן כ' דכל כה"ג.....</w:t>
      </w:r>
    </w:p>
  </w:footnote>
  <w:footnote w:id="265">
    <w:p w14:paraId="6AECE53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הה"מ שדברי תימא הן </w:t>
      </w:r>
      <w:r w:rsidRPr="00351B7D">
        <w:rPr>
          <w:rFonts w:asciiTheme="minorBidi" w:hAnsiTheme="minorBidi"/>
          <w:sz w:val="16"/>
          <w:szCs w:val="16"/>
          <w:rtl/>
        </w:rPr>
        <w:t>(היינו דברי היש מפרשים וגם דברי הרשב"א שהביא אחריהם)</w:t>
      </w:r>
      <w:r w:rsidRPr="00351B7D">
        <w:rPr>
          <w:rFonts w:asciiTheme="minorBidi" w:hAnsiTheme="minorBidi"/>
          <w:rtl/>
        </w:rPr>
        <w:t>, דהא ע"כ אם נפרשה שזהו שליח</w:t>
      </w:r>
      <w:r w:rsidRPr="00351B7D">
        <w:rPr>
          <w:rFonts w:asciiTheme="minorBidi" w:hAnsiTheme="minorBidi"/>
          <w:sz w:val="16"/>
          <w:szCs w:val="16"/>
          <w:rtl/>
        </w:rPr>
        <w:t xml:space="preserve"> (כדעת היש מפרשים)</w:t>
      </w:r>
      <w:r w:rsidRPr="00351B7D">
        <w:rPr>
          <w:rFonts w:asciiTheme="minorBidi" w:hAnsiTheme="minorBidi"/>
          <w:rtl/>
        </w:rPr>
        <w:t xml:space="preserve">- ודאי הוה אמר לפלונית התקדשי בהנאת מתנה זו שנתתי לו ברצונך, שאם לא אמר לה השליח כלום היאך יפה כחו יותר ממשלחו </w:t>
      </w:r>
      <w:r w:rsidRPr="00351B7D">
        <w:rPr>
          <w:rFonts w:asciiTheme="minorBidi" w:hAnsiTheme="minorBidi"/>
          <w:sz w:val="16"/>
          <w:szCs w:val="16"/>
          <w:rtl/>
        </w:rPr>
        <w:t>(וכבר נתבאר בפ"ג (ה"ב) שנתן הוא ואמרה היא שאינם אלא קידושי ספק, כל שכן בכה"ג)</w:t>
      </w:r>
      <w:r w:rsidRPr="00351B7D">
        <w:rPr>
          <w:rFonts w:asciiTheme="minorBidi" w:hAnsiTheme="minorBidi"/>
          <w:rtl/>
        </w:rPr>
        <w:t>, אלא ודאי כשאמר לה השליח הוא, א"כ יפה פירש הרמב"ם, שאין כאן צורך שליח, וזהו שלא נזכר בגמרא אלא שאותו פלוני אמר לה כן, ולא הוצרכו בגמ' להזכיר דבר זה מפני שכבר ידוע שהמקדש צריך שיאמר הרי את מקודשת. והקושיא שהקשה הרשב"א דלכאורה משמע דכה"ג אם אינו אדם חשוב אינה מקודשת, אני אומר לדבריו א"כ יפה כח השליח ממשלחו, שכשהשליח מקדשה בכה"ג מקודשת, וכשהמשלח אומר כן לא תתקדש, וזהו תימא, אלא ודאי יש חילוק בין ההיא דבעינן אדם חשוב, הילך מנה- משלה, והיא חסרה ממון, ולפיכך בעינן אדם חשוב בדוקא ושלא בחשוב במה תתקדש, אבל כאן אינה חסרה ממון כלל והיא נהנית שמתקיימת מצותה בממון של אחרים. (ועי' באבנ"מ סק"ח שיישב את דברי הרשב"א, וכ' שהגמ' מחוורתא כשיטת הרשב"א)</w:t>
      </w:r>
    </w:p>
  </w:footnote>
  <w:footnote w:id="266">
    <w:p w14:paraId="1D22AEA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לא אמר לה כמבואר הרי זו מקודשת מספק, ב"י בשם הה"מ (הביאם הערך לחם).</w:t>
      </w:r>
    </w:p>
  </w:footnote>
  <w:footnote w:id="267">
    <w:p w14:paraId="5692E25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וה"ה אם עשאו שליח ואמר השליח "הרי את מקודשת לפלוני בהנאת מתנה זו שנתתי לפלוני על פיך", גור אריה (סק"ב).</w:t>
      </w:r>
    </w:p>
  </w:footnote>
  <w:footnote w:id="268">
    <w:p w14:paraId="5C02A4E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אע"ג דאינו אדם חשוב, והא דצריך שיהיה אדם חשוב </w:t>
      </w:r>
      <w:r w:rsidRPr="00351B7D">
        <w:rPr>
          <w:rFonts w:asciiTheme="minorBidi" w:hAnsiTheme="minorBidi"/>
          <w:sz w:val="16"/>
          <w:szCs w:val="16"/>
          <w:rtl/>
        </w:rPr>
        <w:t xml:space="preserve">(סי' כ"ז סע' ט) </w:t>
      </w:r>
      <w:r w:rsidRPr="00351B7D">
        <w:rPr>
          <w:rFonts w:asciiTheme="minorBidi" w:hAnsiTheme="minorBidi"/>
          <w:rtl/>
        </w:rPr>
        <w:t xml:space="preserve">הוא דוקא כשהיה מחסרה ממונה </w:t>
      </w:r>
      <w:r w:rsidRPr="00351B7D">
        <w:rPr>
          <w:rFonts w:asciiTheme="minorBidi" w:hAnsiTheme="minorBidi"/>
          <w:sz w:val="16"/>
          <w:szCs w:val="16"/>
          <w:rtl/>
        </w:rPr>
        <w:t>(לפיכך אם אינו חשוב במה תתקדש)</w:t>
      </w:r>
      <w:r w:rsidRPr="00351B7D">
        <w:rPr>
          <w:rFonts w:asciiTheme="minorBidi" w:hAnsiTheme="minorBidi"/>
          <w:rtl/>
        </w:rPr>
        <w:t>, אבל כאן אינה חסירה ממון כלל והיא נהנית שמתקיימת מצותה בממון אחרים, הה"מ (הביאוהו הב"י ט"ז ח"מ ב"ש גר"א ועוד). וכ' הט"ז (סק"ז) דלפי זה אם אומרת הילך מנה ותן לפלוני ואתקדש אני לו ה"נ דבעי שיהיה אותו פלוני אדם חשוב ואז מקודשת לו כשיאמר אותו פלוני אח"כ (היא)[הרי את] מקודשת לי בהנאה שקבלתי מעותך.</w:t>
      </w:r>
    </w:p>
  </w:footnote>
  <w:footnote w:id="269">
    <w:p w14:paraId="6C7D4F0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סע' ט.</w:t>
      </w:r>
    </w:p>
  </w:footnote>
  <w:footnote w:id="270">
    <w:p w14:paraId="1E4E2F0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והוא שלוחו אלא שמקדשה משלו, רש"י.</w:t>
      </w:r>
    </w:p>
  </w:footnote>
  <w:footnote w:id="271">
    <w:p w14:paraId="386E740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ואף על גב דממונא לאו של משלח הוא, רש"י.</w:t>
      </w:r>
    </w:p>
  </w:footnote>
  <w:footnote w:id="272">
    <w:p w14:paraId="00655C7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דתנן במתני' לקמן (דף כב:) קונה את עצמו בכסף ע"י אחרים שאחרים פודין אותו בממונן והוא קונה עצמו ויוצא לחירות ואף על גב דלא חסר איהו בהאי ממונא מידי, רש"י.</w:t>
      </w:r>
    </w:p>
  </w:footnote>
  <w:footnote w:id="273">
    <w:p w14:paraId="4B996F7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ואין לומר הלא זכין לאדם שלא בפניו, דלפעמים חובתו היא דניחא ליה באחרת... ולגרשה לא ניחא ליה בהאי טרחא ועוד שאתה אוסרו בקרובותיה, גר"א (סקי"ב) בשם הרשב"א.</w:t>
      </w:r>
    </w:p>
  </w:footnote>
  <w:footnote w:id="274">
    <w:p w14:paraId="58550197" w14:textId="77777777" w:rsidR="00DF1FC7" w:rsidRPr="00351B7D" w:rsidRDefault="00DF1FC7" w:rsidP="008E16D0">
      <w:pPr>
        <w:pStyle w:val="a5"/>
        <w:rPr>
          <w:rFonts w:asciiTheme="minorBidi" w:hAnsiTheme="minorBidi"/>
          <w:color w:val="FF0000"/>
          <w:sz w:val="16"/>
          <w:szCs w:val="16"/>
        </w:rPr>
      </w:pPr>
      <w:r w:rsidRPr="00351B7D">
        <w:rPr>
          <w:rStyle w:val="a7"/>
          <w:rFonts w:asciiTheme="minorBidi" w:hAnsiTheme="minorBidi"/>
        </w:rPr>
        <w:footnoteRef/>
      </w:r>
      <w:r w:rsidRPr="00351B7D">
        <w:rPr>
          <w:rFonts w:asciiTheme="minorBidi" w:hAnsiTheme="minorBidi"/>
          <w:rtl/>
        </w:rPr>
        <w:t xml:space="preserve"> הר"ן </w:t>
      </w:r>
      <w:r w:rsidRPr="00351B7D">
        <w:rPr>
          <w:rFonts w:asciiTheme="minorBidi" w:hAnsiTheme="minorBidi"/>
          <w:sz w:val="16"/>
          <w:szCs w:val="16"/>
          <w:rtl/>
        </w:rPr>
        <w:t xml:space="preserve">(ג. מדפה"ר ד"ה הא לך) </w:t>
      </w:r>
      <w:r w:rsidRPr="00351B7D">
        <w:rPr>
          <w:rFonts w:asciiTheme="minorBidi" w:hAnsiTheme="minorBidi"/>
          <w:rtl/>
        </w:rPr>
        <w:t xml:space="preserve">הביא את דברי הרמב"ם וכ'- "ולפי זה א"צ להעמידה שיהא האומר זה שליח אותו פלוני", דאפי' אינו שלוחו לקדשה כל שנתן לה מנה </w:t>
      </w:r>
      <w:r w:rsidRPr="00351B7D">
        <w:rPr>
          <w:rFonts w:asciiTheme="minorBidi" w:hAnsiTheme="minorBidi"/>
          <w:sz w:val="16"/>
          <w:szCs w:val="16"/>
          <w:rtl/>
        </w:rPr>
        <w:t xml:space="preserve">(משל </w:t>
      </w:r>
      <w:r w:rsidRPr="00351B7D">
        <w:rPr>
          <w:rFonts w:asciiTheme="minorBidi" w:hAnsiTheme="minorBidi"/>
          <w:sz w:val="16"/>
          <w:szCs w:val="16"/>
          <w:u w:val="single"/>
          <w:rtl/>
        </w:rPr>
        <w:t>עצמו</w:t>
      </w:r>
      <w:r w:rsidRPr="00351B7D">
        <w:rPr>
          <w:rFonts w:asciiTheme="minorBidi" w:hAnsiTheme="minorBidi"/>
          <w:sz w:val="16"/>
          <w:szCs w:val="16"/>
          <w:rtl/>
        </w:rPr>
        <w:t xml:space="preserve">) </w:t>
      </w:r>
      <w:r w:rsidRPr="00351B7D">
        <w:rPr>
          <w:rFonts w:asciiTheme="minorBidi" w:hAnsiTheme="minorBidi"/>
          <w:rtl/>
        </w:rPr>
        <w:t>וחזר המקדש ואמר לה כנ"ל הרי זו מקודשת אע"פ דלא קא חסר מידי.</w:t>
      </w:r>
    </w:p>
  </w:footnote>
  <w:footnote w:id="275">
    <w:p w14:paraId="502AE74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כמו שפירשו בסע' ג, וכ' הה"מ שם- "וכבר הוכחתי בסמוך דעת רבינו" </w:t>
      </w:r>
      <w:r w:rsidRPr="00351B7D">
        <w:rPr>
          <w:rFonts w:asciiTheme="minorBidi" w:hAnsiTheme="minorBidi"/>
          <w:sz w:val="16"/>
          <w:szCs w:val="16"/>
          <w:rtl/>
        </w:rPr>
        <w:t>(דהיינו שכאן אין להקשות על דבריהם כמו שהקשה בסע' ג, שהרי השליח אומר לה "התקדשי וכו", ובאמת היא מקודשת גם כשעושה כפירושם, אבל מ"מ רצונו לומר שדברי הרמב"ם יותר מכרחים בסוגיא)</w:t>
      </w:r>
      <w:r w:rsidRPr="00351B7D">
        <w:rPr>
          <w:rFonts w:asciiTheme="minorBidi" w:hAnsiTheme="minorBidi"/>
          <w:rtl/>
        </w:rPr>
        <w:t>.</w:t>
      </w:r>
    </w:p>
  </w:footnote>
  <w:footnote w:id="276">
    <w:p w14:paraId="18F77E7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הרא"ש כ' כפירושו של רש"י וכפירושו של הרמב"ם (גר"א סקי"ב), ונ"ל שגם הרמב"ם מודה לדינא לפירוש רש"י </w:t>
      </w:r>
      <w:r w:rsidRPr="00351B7D">
        <w:rPr>
          <w:rFonts w:asciiTheme="minorBidi" w:hAnsiTheme="minorBidi"/>
          <w:sz w:val="16"/>
          <w:szCs w:val="16"/>
          <w:rtl/>
        </w:rPr>
        <w:t>(כדמשמע מדברי הר"ן)</w:t>
      </w:r>
      <w:r w:rsidRPr="00351B7D">
        <w:rPr>
          <w:rFonts w:asciiTheme="minorBidi" w:hAnsiTheme="minorBidi"/>
          <w:rtl/>
        </w:rPr>
        <w:t xml:space="preserve">, </w:t>
      </w:r>
      <w:r w:rsidRPr="00351B7D">
        <w:rPr>
          <w:rFonts w:asciiTheme="minorBidi" w:hAnsiTheme="minorBidi"/>
          <w:color w:val="FF0000"/>
          <w:rtl/>
        </w:rPr>
        <w:t xml:space="preserve">אבל לגבי האם רש"י מודה לפירוש הרמב"ם צל"ע, דאע"ג דהרא"ש פסק כשתי הפירושים יש שחילקו ואמרו דכיון שאינו שלוחו אז אע"פ שנתרצה לבסוף אינה מקודשת כיון שלא ידע בה מתחילה </w:t>
      </w:r>
      <w:r w:rsidRPr="00351B7D">
        <w:rPr>
          <w:rFonts w:asciiTheme="minorBidi" w:hAnsiTheme="minorBidi"/>
          <w:color w:val="FF0000"/>
          <w:sz w:val="16"/>
          <w:szCs w:val="16"/>
          <w:rtl/>
        </w:rPr>
        <w:t>(כ"כ הה"מ בשם יש מפרשים [הובא לעיל] וכ"כ הגר"א [סקי"ב])</w:t>
      </w:r>
      <w:r w:rsidRPr="00351B7D">
        <w:rPr>
          <w:rFonts w:asciiTheme="minorBidi" w:hAnsiTheme="minorBidi"/>
          <w:color w:val="FF0000"/>
          <w:rtl/>
        </w:rPr>
        <w:t>.</w:t>
      </w:r>
    </w:p>
  </w:footnote>
  <w:footnote w:id="277">
    <w:p w14:paraId="69BA5AE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רש"י ורא"ש ושאר הפוסקים, אבל אם לא עשאו שליח אינה מקודשת אפי' נתרצה לבסוף, דלא כבהעי"ט </w:t>
      </w:r>
      <w:r w:rsidRPr="00351B7D">
        <w:rPr>
          <w:rFonts w:asciiTheme="minorBidi" w:hAnsiTheme="minorBidi"/>
          <w:sz w:val="16"/>
          <w:szCs w:val="16"/>
          <w:rtl/>
        </w:rPr>
        <w:t>(רשב"א)</w:t>
      </w:r>
      <w:r w:rsidRPr="00351B7D">
        <w:rPr>
          <w:rFonts w:asciiTheme="minorBidi" w:hAnsiTheme="minorBidi"/>
          <w:rtl/>
        </w:rPr>
        <w:t xml:space="preserve">, גר"א </w:t>
      </w:r>
      <w:r w:rsidRPr="00351B7D">
        <w:rPr>
          <w:rFonts w:asciiTheme="minorBidi" w:hAnsiTheme="minorBidi"/>
          <w:sz w:val="16"/>
          <w:szCs w:val="16"/>
          <w:rtl/>
        </w:rPr>
        <w:t>(סקי"ב)</w:t>
      </w:r>
      <w:r w:rsidRPr="00351B7D">
        <w:rPr>
          <w:rFonts w:asciiTheme="minorBidi" w:hAnsiTheme="minorBidi"/>
          <w:rtl/>
        </w:rPr>
        <w:t>.</w:t>
      </w:r>
    </w:p>
  </w:footnote>
  <w:footnote w:id="278">
    <w:p w14:paraId="2D3DAC4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רש"י </w:t>
      </w:r>
      <w:r w:rsidRPr="00351B7D">
        <w:rPr>
          <w:rFonts w:asciiTheme="minorBidi" w:hAnsiTheme="minorBidi"/>
          <w:sz w:val="16"/>
          <w:szCs w:val="16"/>
          <w:rtl/>
        </w:rPr>
        <w:t xml:space="preserve">(ד"ה מנה) </w:t>
      </w:r>
      <w:r w:rsidRPr="00351B7D">
        <w:rPr>
          <w:rFonts w:asciiTheme="minorBidi" w:hAnsiTheme="minorBidi"/>
          <w:rtl/>
        </w:rPr>
        <w:t xml:space="preserve">תוס' </w:t>
      </w:r>
      <w:r w:rsidRPr="00351B7D">
        <w:rPr>
          <w:rFonts w:asciiTheme="minorBidi" w:hAnsiTheme="minorBidi"/>
          <w:sz w:val="16"/>
          <w:szCs w:val="16"/>
          <w:rtl/>
        </w:rPr>
        <w:t xml:space="preserve">(ד"ה מנה) </w:t>
      </w:r>
      <w:r w:rsidRPr="00351B7D">
        <w:rPr>
          <w:rFonts w:asciiTheme="minorBidi" w:hAnsiTheme="minorBidi"/>
          <w:rtl/>
        </w:rPr>
        <w:t xml:space="preserve">רמב"ם </w:t>
      </w:r>
      <w:r w:rsidRPr="00351B7D">
        <w:rPr>
          <w:rFonts w:asciiTheme="minorBidi" w:hAnsiTheme="minorBidi"/>
          <w:sz w:val="16"/>
          <w:szCs w:val="16"/>
          <w:rtl/>
        </w:rPr>
        <w:t>(פ"ה הכ"ג)</w:t>
      </w:r>
      <w:r w:rsidRPr="00351B7D">
        <w:rPr>
          <w:rFonts w:asciiTheme="minorBidi" w:hAnsiTheme="minorBidi"/>
          <w:rtl/>
        </w:rPr>
        <w:t xml:space="preserve"> רמב"ן</w:t>
      </w:r>
      <w:r w:rsidRPr="00351B7D">
        <w:rPr>
          <w:rFonts w:asciiTheme="minorBidi" w:hAnsiTheme="minorBidi"/>
          <w:sz w:val="16"/>
          <w:szCs w:val="16"/>
          <w:rtl/>
        </w:rPr>
        <w:t xml:space="preserve"> (ח: ד"ה מנה, הביאו הר"ן [ד: ד"ה מנה אין])</w:t>
      </w:r>
      <w:r w:rsidRPr="00351B7D">
        <w:rPr>
          <w:rFonts w:asciiTheme="minorBidi" w:hAnsiTheme="minorBidi"/>
          <w:rtl/>
        </w:rPr>
        <w:t xml:space="preserve"> רשב"א </w:t>
      </w:r>
      <w:r w:rsidRPr="00351B7D">
        <w:rPr>
          <w:rFonts w:asciiTheme="minorBidi" w:hAnsiTheme="minorBidi"/>
          <w:sz w:val="16"/>
          <w:szCs w:val="16"/>
          <w:rtl/>
        </w:rPr>
        <w:t>(ח: ד"ה מנה אין כאן, הביאו הה"מ)</w:t>
      </w:r>
      <w:r w:rsidRPr="00351B7D">
        <w:rPr>
          <w:rFonts w:asciiTheme="minorBidi" w:hAnsiTheme="minorBidi"/>
          <w:rtl/>
        </w:rPr>
        <w:t xml:space="preserve"> ומאירי</w:t>
      </w:r>
      <w:r w:rsidRPr="00351B7D">
        <w:rPr>
          <w:rFonts w:asciiTheme="minorBidi" w:hAnsiTheme="minorBidi"/>
          <w:sz w:val="16"/>
          <w:szCs w:val="16"/>
          <w:rtl/>
        </w:rPr>
        <w:t xml:space="preserve"> (ח.)</w:t>
      </w:r>
      <w:r w:rsidRPr="00351B7D">
        <w:rPr>
          <w:rFonts w:asciiTheme="minorBidi" w:hAnsiTheme="minorBidi"/>
          <w:rtl/>
        </w:rPr>
        <w:t xml:space="preserve">. </w:t>
      </w:r>
      <w:r w:rsidRPr="00351B7D">
        <w:rPr>
          <w:rFonts w:asciiTheme="minorBidi" w:hAnsiTheme="minorBidi"/>
          <w:sz w:val="16"/>
          <w:szCs w:val="16"/>
          <w:rtl/>
        </w:rPr>
        <w:t xml:space="preserve">(הריטב"א </w:t>
      </w:r>
      <w:r w:rsidRPr="00351B7D">
        <w:rPr>
          <w:rFonts w:asciiTheme="minorBidi" w:hAnsiTheme="minorBidi"/>
          <w:sz w:val="14"/>
          <w:szCs w:val="14"/>
          <w:rtl/>
        </w:rPr>
        <w:t>[ח: ד"ה ועיקר הפירוש]</w:t>
      </w:r>
      <w:r w:rsidRPr="00351B7D">
        <w:rPr>
          <w:rFonts w:asciiTheme="minorBidi" w:hAnsiTheme="minorBidi"/>
          <w:sz w:val="16"/>
          <w:szCs w:val="16"/>
          <w:rtl/>
        </w:rPr>
        <w:t xml:space="preserve"> כ' שעיקר כפירוש הראב"ד </w:t>
      </w:r>
      <w:r w:rsidRPr="00351B7D">
        <w:rPr>
          <w:rFonts w:asciiTheme="minorBidi" w:hAnsiTheme="minorBidi"/>
          <w:sz w:val="14"/>
          <w:szCs w:val="14"/>
          <w:rtl/>
        </w:rPr>
        <w:t>[גם כאן וגם בפסקה הבאה כשהקנה לה את המשכון]</w:t>
      </w:r>
      <w:r w:rsidRPr="00351B7D">
        <w:rPr>
          <w:rFonts w:asciiTheme="minorBidi" w:hAnsiTheme="minorBidi"/>
          <w:sz w:val="16"/>
          <w:szCs w:val="16"/>
          <w:rtl/>
        </w:rPr>
        <w:t>, אך במהדו"ב כ' כהרשב"א, וומכיון שאיני יודע כאיזו מהדורא יש לפסוק- לא הבאתי דבריו)</w:t>
      </w:r>
      <w:r w:rsidRPr="00351B7D">
        <w:rPr>
          <w:rFonts w:asciiTheme="minorBidi" w:hAnsiTheme="minorBidi"/>
          <w:rtl/>
        </w:rPr>
        <w:t>.</w:t>
      </w:r>
    </w:p>
  </w:footnote>
  <w:footnote w:id="279">
    <w:p w14:paraId="320601C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דאילו אמר לה התקדשי לי במשכון זה והמשכון יהיה שלך פשיטא דמקודשת, תוס'.</w:t>
      </w:r>
    </w:p>
  </w:footnote>
  <w:footnote w:id="280">
    <w:p w14:paraId="2B7EB95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w:t>
      </w:r>
      <w:r w:rsidRPr="00351B7D">
        <w:rPr>
          <w:rFonts w:asciiTheme="minorBidi" w:hAnsiTheme="minorBidi"/>
          <w:sz w:val="16"/>
          <w:szCs w:val="16"/>
          <w:rtl/>
        </w:rPr>
        <w:t xml:space="preserve">(כ"כ הריטב"א </w:t>
      </w:r>
      <w:r w:rsidRPr="00351B7D">
        <w:rPr>
          <w:rFonts w:asciiTheme="minorBidi" w:hAnsiTheme="minorBidi"/>
          <w:sz w:val="14"/>
          <w:szCs w:val="14"/>
          <w:rtl/>
        </w:rPr>
        <w:t>[ח: ד"ה ועיקר הפירוש]</w:t>
      </w:r>
      <w:r w:rsidRPr="00351B7D">
        <w:rPr>
          <w:rFonts w:asciiTheme="minorBidi" w:hAnsiTheme="minorBidi"/>
          <w:sz w:val="16"/>
          <w:szCs w:val="16"/>
          <w:rtl/>
        </w:rPr>
        <w:t xml:space="preserve"> בשמו)</w:t>
      </w:r>
      <w:r w:rsidRPr="00351B7D">
        <w:rPr>
          <w:rFonts w:asciiTheme="minorBidi" w:hAnsiTheme="minorBidi"/>
          <w:rtl/>
        </w:rPr>
        <w:t xml:space="preserve"> ראב"ד</w:t>
      </w:r>
      <w:r w:rsidRPr="00351B7D">
        <w:rPr>
          <w:rFonts w:asciiTheme="minorBidi" w:hAnsiTheme="minorBidi"/>
          <w:sz w:val="16"/>
          <w:szCs w:val="16"/>
          <w:rtl/>
        </w:rPr>
        <w:t xml:space="preserve"> (הביאו הר"ן ד: מדפה"ר)</w:t>
      </w:r>
      <w:r w:rsidRPr="00351B7D">
        <w:rPr>
          <w:rFonts w:asciiTheme="minorBidi" w:hAnsiTheme="minorBidi"/>
          <w:rtl/>
        </w:rPr>
        <w:t xml:space="preserve"> ורא"ש</w:t>
      </w:r>
      <w:r w:rsidRPr="00351B7D">
        <w:rPr>
          <w:rFonts w:asciiTheme="minorBidi" w:hAnsiTheme="minorBidi"/>
          <w:sz w:val="16"/>
          <w:szCs w:val="16"/>
          <w:rtl/>
        </w:rPr>
        <w:t xml:space="preserve"> (פ"א סי' ט)</w:t>
      </w:r>
      <w:r w:rsidRPr="00351B7D">
        <w:rPr>
          <w:rFonts w:asciiTheme="minorBidi" w:hAnsiTheme="minorBidi"/>
          <w:rtl/>
        </w:rPr>
        <w:t>.</w:t>
      </w:r>
    </w:p>
  </w:footnote>
  <w:footnote w:id="281">
    <w:p w14:paraId="3798D8C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כשאמר לה "התקדשי לי במנה והילך משכון" משמע שהוא רוצה לשעבד את המשכון על המנה שהוא כבר התחייב לה, ובאמת אינו חייב לה כלום שהרי הוא לא עשה שום קנין להתחייב במנה ולפיכך גם המשכון אינו משועבד לה, ומאחר שהאשה לא קנתה שעבוד במשכון נמצא שלא נתן לה מאומה, ולפיכך אינה מקודשת.</w:t>
      </w:r>
      <w:r w:rsidRPr="00351B7D">
        <w:rPr>
          <w:rFonts w:asciiTheme="minorBidi" w:hAnsiTheme="minorBidi"/>
          <w:sz w:val="16"/>
          <w:szCs w:val="16"/>
          <w:rtl/>
        </w:rPr>
        <w:t xml:space="preserve"> (ד' הראב"ד היא כד' הרא"ש, וכ"כ הב"ש והחזו"א)</w:t>
      </w:r>
    </w:p>
  </w:footnote>
  <w:footnote w:id="282">
    <w:p w14:paraId="7DC04D0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רמב"ן</w:t>
      </w:r>
      <w:r w:rsidRPr="00351B7D">
        <w:rPr>
          <w:rFonts w:asciiTheme="minorBidi" w:hAnsiTheme="minorBidi"/>
          <w:sz w:val="16"/>
          <w:szCs w:val="16"/>
          <w:rtl/>
        </w:rPr>
        <w:t xml:space="preserve"> (ח: ד"ה מנה, הביאו הר"ן [ד: ד"ה מנה אין])</w:t>
      </w:r>
      <w:r w:rsidRPr="00351B7D">
        <w:rPr>
          <w:rFonts w:asciiTheme="minorBidi" w:hAnsiTheme="minorBidi"/>
          <w:rtl/>
        </w:rPr>
        <w:t xml:space="preserve"> רשב"א </w:t>
      </w:r>
      <w:r w:rsidRPr="00351B7D">
        <w:rPr>
          <w:rFonts w:asciiTheme="minorBidi" w:hAnsiTheme="minorBidi"/>
          <w:sz w:val="16"/>
          <w:szCs w:val="16"/>
          <w:rtl/>
        </w:rPr>
        <w:t>(ח: ד"ה מנה אין כאן, הביאו הה"מ)</w:t>
      </w:r>
      <w:r w:rsidRPr="00351B7D">
        <w:rPr>
          <w:rFonts w:asciiTheme="minorBidi" w:hAnsiTheme="minorBidi"/>
          <w:rtl/>
        </w:rPr>
        <w:t>.</w:t>
      </w:r>
    </w:p>
  </w:footnote>
  <w:footnote w:id="283">
    <w:p w14:paraId="5557515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וכ"כ הריטב"א </w:t>
      </w:r>
      <w:r w:rsidRPr="00351B7D">
        <w:rPr>
          <w:rFonts w:asciiTheme="minorBidi" w:hAnsiTheme="minorBidi"/>
          <w:sz w:val="14"/>
          <w:szCs w:val="14"/>
          <w:rtl/>
        </w:rPr>
        <w:t>(מהדו"ב)</w:t>
      </w:r>
      <w:r w:rsidRPr="00351B7D">
        <w:rPr>
          <w:rFonts w:asciiTheme="minorBidi" w:hAnsiTheme="minorBidi"/>
          <w:rtl/>
        </w:rPr>
        <w:t xml:space="preserve"> בשמם וסיים שם וז"ל- "מיהו ודאי אמ' לה התקדשי לי בההיא הנאה דמיחייבנא לך במנה- מקודשת, דהא איכא הנאה דשוויה טפי מפרוטה", ע"כ, וכ"כ בשיטה קדמונית.</w:t>
      </w:r>
      <w:r w:rsidRPr="00351B7D">
        <w:rPr>
          <w:rFonts w:asciiTheme="minorBidi" w:hAnsiTheme="minorBidi"/>
          <w:sz w:val="16"/>
          <w:szCs w:val="16"/>
          <w:rtl/>
        </w:rPr>
        <w:t xml:space="preserve"> (אולי הכונה לספר שיטת הקדמונים שההדיר ר' משה יהודה הכהן בלוי)</w:t>
      </w:r>
    </w:p>
  </w:footnote>
  <w:footnote w:id="284">
    <w:p w14:paraId="11D7798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הב"ש כ' כך בדעת הרא"ש בסתם, ז"א שבזה שכ' לה שטר מקודשת, שהרי מתקיים התנאי שהציב הרא"ש </w:t>
      </w:r>
      <w:r w:rsidRPr="00351B7D">
        <w:rPr>
          <w:rFonts w:asciiTheme="minorBidi" w:hAnsiTheme="minorBidi"/>
          <w:sz w:val="16"/>
          <w:szCs w:val="16"/>
          <w:rtl/>
        </w:rPr>
        <w:t>(שיהיה חייב לה כדי שהשיעבוד יחול)</w:t>
      </w:r>
      <w:r w:rsidRPr="00351B7D">
        <w:rPr>
          <w:rFonts w:asciiTheme="minorBidi" w:hAnsiTheme="minorBidi"/>
          <w:rtl/>
        </w:rPr>
        <w:t>, אך נ"ל שצ"ל שלא די שיכתוב לה שטר אלא גם צריך שלאחר כתיבת השטר ישעבד לה את המשכון ואז השיעבוד יחול והרי היא מקודשת.</w:t>
      </w:r>
    </w:p>
  </w:footnote>
  <w:footnote w:id="285">
    <w:p w14:paraId="125EE9F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(ראב"ד</w:t>
      </w:r>
      <w:r w:rsidRPr="00351B7D">
        <w:rPr>
          <w:rFonts w:asciiTheme="minorBidi" w:hAnsiTheme="minorBidi"/>
          <w:sz w:val="16"/>
          <w:szCs w:val="16"/>
          <w:rtl/>
        </w:rPr>
        <w:t xml:space="preserve"> להב' ח"מ</w:t>
      </w:r>
      <w:r w:rsidRPr="00351B7D">
        <w:rPr>
          <w:rFonts w:asciiTheme="minorBidi" w:hAnsiTheme="minorBidi"/>
          <w:sz w:val="14"/>
          <w:szCs w:val="14"/>
          <w:rtl/>
        </w:rPr>
        <w:t xml:space="preserve"> [סק"ח]</w:t>
      </w:r>
      <w:r w:rsidRPr="00351B7D">
        <w:rPr>
          <w:rFonts w:asciiTheme="minorBidi" w:hAnsiTheme="minorBidi"/>
          <w:sz w:val="16"/>
          <w:szCs w:val="16"/>
          <w:rtl/>
        </w:rPr>
        <w:t xml:space="preserve"> וב"ש</w:t>
      </w:r>
      <w:r w:rsidRPr="00351B7D">
        <w:rPr>
          <w:rFonts w:asciiTheme="minorBidi" w:hAnsiTheme="minorBidi"/>
          <w:sz w:val="14"/>
          <w:szCs w:val="14"/>
          <w:rtl/>
        </w:rPr>
        <w:t xml:space="preserve"> [סק"י]</w:t>
      </w:r>
      <w:r w:rsidRPr="00351B7D">
        <w:rPr>
          <w:rFonts w:asciiTheme="minorBidi" w:hAnsiTheme="minorBidi"/>
          <w:rtl/>
        </w:rPr>
        <w:t xml:space="preserve">) (רא"ש </w:t>
      </w:r>
      <w:r w:rsidRPr="00351B7D">
        <w:rPr>
          <w:rFonts w:asciiTheme="minorBidi" w:hAnsiTheme="minorBidi"/>
          <w:sz w:val="16"/>
          <w:szCs w:val="16"/>
          <w:rtl/>
        </w:rPr>
        <w:t xml:space="preserve">להב' הב"ש </w:t>
      </w:r>
      <w:r w:rsidRPr="00351B7D">
        <w:rPr>
          <w:rFonts w:asciiTheme="minorBidi" w:hAnsiTheme="minorBidi"/>
          <w:sz w:val="14"/>
          <w:szCs w:val="14"/>
          <w:rtl/>
        </w:rPr>
        <w:t>[סק"י]</w:t>
      </w:r>
      <w:r w:rsidRPr="00351B7D">
        <w:rPr>
          <w:rFonts w:asciiTheme="minorBidi" w:hAnsiTheme="minorBidi"/>
          <w:rtl/>
        </w:rPr>
        <w:t xml:space="preserve"> </w:t>
      </w:r>
      <w:r w:rsidRPr="00351B7D">
        <w:rPr>
          <w:rFonts w:asciiTheme="minorBidi" w:hAnsiTheme="minorBidi"/>
          <w:sz w:val="16"/>
          <w:szCs w:val="16"/>
          <w:rtl/>
        </w:rPr>
        <w:t xml:space="preserve">והגר"א </w:t>
      </w:r>
      <w:r w:rsidRPr="00351B7D">
        <w:rPr>
          <w:rFonts w:asciiTheme="minorBidi" w:hAnsiTheme="minorBidi"/>
          <w:sz w:val="14"/>
          <w:szCs w:val="14"/>
          <w:rtl/>
        </w:rPr>
        <w:t>[סקי"ד]</w:t>
      </w:r>
      <w:r w:rsidRPr="00351B7D">
        <w:rPr>
          <w:rFonts w:asciiTheme="minorBidi" w:hAnsiTheme="minorBidi"/>
          <w:rtl/>
        </w:rPr>
        <w:t xml:space="preserve">) ושלט"ג </w:t>
      </w:r>
      <w:r w:rsidRPr="00351B7D">
        <w:rPr>
          <w:rFonts w:asciiTheme="minorBidi" w:hAnsiTheme="minorBidi"/>
          <w:sz w:val="16"/>
          <w:szCs w:val="16"/>
          <w:rtl/>
        </w:rPr>
        <w:t>(ד., הביאו הדרכ"מ אות ד)</w:t>
      </w:r>
      <w:r w:rsidRPr="00351B7D">
        <w:rPr>
          <w:rFonts w:asciiTheme="minorBidi" w:hAnsiTheme="minorBidi"/>
          <w:rtl/>
        </w:rPr>
        <w:t>.</w:t>
      </w:r>
    </w:p>
  </w:footnote>
  <w:footnote w:id="286">
    <w:p w14:paraId="5E4391F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המשך סוגיית הגמ' דף ח ע"ב.</w:t>
      </w:r>
    </w:p>
  </w:footnote>
  <w:footnote w:id="287">
    <w:p w14:paraId="6143584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ובסמוך לדין זה כ' השלט"ג שאם הוא הלוה בעבר לאדם מסויים ויש בניהם שטר, אם הוא יקדש אותה בשטר זה, בעניין שתוכל לגבות באותו שטר, הרי זו צריכה גט מספק אע"פ שאין בנייר שווה פרוטה.</w:t>
      </w:r>
    </w:p>
  </w:footnote>
  <w:footnote w:id="288">
    <w:p w14:paraId="6F9F0B7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הח"מ </w:t>
      </w:r>
      <w:r w:rsidRPr="00351B7D">
        <w:rPr>
          <w:rFonts w:asciiTheme="minorBidi" w:hAnsiTheme="minorBidi"/>
          <w:sz w:val="16"/>
          <w:szCs w:val="16"/>
          <w:rtl/>
        </w:rPr>
        <w:t xml:space="preserve">(סק"ח) </w:t>
      </w:r>
      <w:r w:rsidRPr="00351B7D">
        <w:rPr>
          <w:rFonts w:asciiTheme="minorBidi" w:hAnsiTheme="minorBidi"/>
          <w:rtl/>
        </w:rPr>
        <w:t xml:space="preserve">ב"ש </w:t>
      </w:r>
      <w:r w:rsidRPr="00351B7D">
        <w:rPr>
          <w:rFonts w:asciiTheme="minorBidi" w:hAnsiTheme="minorBidi"/>
          <w:sz w:val="16"/>
          <w:szCs w:val="16"/>
          <w:rtl/>
        </w:rPr>
        <w:t xml:space="preserve">(סק"י) </w:t>
      </w:r>
      <w:r w:rsidRPr="00351B7D">
        <w:rPr>
          <w:rFonts w:asciiTheme="minorBidi" w:hAnsiTheme="minorBidi"/>
          <w:rtl/>
        </w:rPr>
        <w:t>וערך לחם דמ"מ מקודשת מספק.</w:t>
      </w:r>
    </w:p>
  </w:footnote>
  <w:footnote w:id="289">
    <w:p w14:paraId="438896D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הח"מ </w:t>
      </w:r>
      <w:r w:rsidRPr="00351B7D">
        <w:rPr>
          <w:rFonts w:asciiTheme="minorBidi" w:hAnsiTheme="minorBidi"/>
          <w:sz w:val="16"/>
          <w:szCs w:val="16"/>
          <w:rtl/>
        </w:rPr>
        <w:t>(סק"ח)</w:t>
      </w:r>
      <w:r w:rsidRPr="00351B7D">
        <w:rPr>
          <w:rFonts w:asciiTheme="minorBidi" w:hAnsiTheme="minorBidi"/>
          <w:rtl/>
        </w:rPr>
        <w:t xml:space="preserve"> דמ"מ מקודשת מספק.</w:t>
      </w:r>
    </w:p>
  </w:footnote>
  <w:footnote w:id="290">
    <w:p w14:paraId="6A10C88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מיד מקודשת דקיבלה ליה לשם קידושין וע"מ שישלים תנאו, רש"י.</w:t>
      </w:r>
    </w:p>
  </w:footnote>
  <w:footnote w:id="291">
    <w:p w14:paraId="20EA6D0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ואם לא השלים אינה מקודשת, אבל אם השלים או שמחלה לו מקודשת, דמחילה כהאי גונא חשיבא כנתינה דלהנאתה איתכוון וכדכתיבנא בגיטין, ומסתברא שכופין אותו להשלים או לפטור אותה שלא יעגן אותה ואמרינן ליה או כנוס או פטור, ריטב"א </w:t>
      </w:r>
      <w:r w:rsidRPr="00351B7D">
        <w:rPr>
          <w:rFonts w:asciiTheme="minorBidi" w:hAnsiTheme="minorBidi"/>
          <w:sz w:val="16"/>
          <w:szCs w:val="16"/>
          <w:rtl/>
        </w:rPr>
        <w:t>(הביאו המל"מ פ"ו אות ט"ו)</w:t>
      </w:r>
      <w:r w:rsidRPr="00351B7D">
        <w:rPr>
          <w:rFonts w:asciiTheme="minorBidi" w:hAnsiTheme="minorBidi"/>
          <w:rtl/>
        </w:rPr>
        <w:t xml:space="preserve">, וכ"כ כל הראשונים. לכן אם אדם בא עליה בתקופה שביני ביני, אם השלים לבסוך את הכסף הרי אותו אדם בא על אשת איש, אך אם הוא לא השלים אין אותו אדם בא על א"א, שהרי יש בניהם רק זיקה ואינן קדושין גמורים עד שישלים. וכן אם בא אחר וקדשה בתקופה זו ופשטה ידה וקיבלה אינן קדושין </w:t>
      </w:r>
      <w:r w:rsidRPr="00351B7D">
        <w:rPr>
          <w:rFonts w:asciiTheme="minorBidi" w:hAnsiTheme="minorBidi"/>
          <w:sz w:val="16"/>
          <w:szCs w:val="16"/>
          <w:rtl/>
        </w:rPr>
        <w:t>(כדרב הונא דהלכתא כותיה בקדושין ס ע"א: מתני'. האומר לאשה הרי את מקודשת לי על מנת שאתן לך מאתים זוז - הרי זו מקודשת, והוא יתן.... גמ'. איתמר, רב הונא אמר: והוא יתן, רב יהודה אמר: לכשיתן. רב הונא אמר והוא יתן, תנאה הוי, מקיים תנאה ואזיל; רב יהודה אמר לכשיתן, לכי יהיב הוו קידושי, השתא מיהא לא הוו קידושי. מאי בינייהו? איכא בינייהו: שפשטה ידה וקבלה קידושין מאחר, לרב הונא לא הוו קידושי, לרב יהודה הוו קידושי)</w:t>
      </w:r>
      <w:r w:rsidRPr="00351B7D">
        <w:rPr>
          <w:rFonts w:asciiTheme="minorBidi" w:hAnsiTheme="minorBidi"/>
          <w:rtl/>
        </w:rPr>
        <w:t xml:space="preserve"> ויש שרוצים להבין בד' רש"י שאלו קדושין גמורים ועכשיו חייב להשלים מדיני ממונות בלי קשר לקדושין, אבל קשה לומר שרש"י סובר כן, דא"כ לא הוי שתיק מינה והיה מפרש.</w:t>
      </w:r>
    </w:p>
    <w:p w14:paraId="5C65EBBA" w14:textId="77777777" w:rsidR="00DF1FC7" w:rsidRPr="00351B7D" w:rsidRDefault="00DF1FC7" w:rsidP="008E16D0">
      <w:pPr>
        <w:pStyle w:val="a5"/>
        <w:rPr>
          <w:rFonts w:asciiTheme="minorBidi" w:hAnsiTheme="minorBidi"/>
          <w:u w:val="single"/>
          <w:rtl/>
        </w:rPr>
      </w:pPr>
      <w:r w:rsidRPr="00351B7D">
        <w:rPr>
          <w:rFonts w:asciiTheme="minorBidi" w:hAnsiTheme="minorBidi"/>
          <w:u w:val="single"/>
          <w:rtl/>
        </w:rPr>
        <w:t>ונחלקו בזה האחרונים:</w:t>
      </w:r>
    </w:p>
    <w:p w14:paraId="4D112945" w14:textId="77777777" w:rsidR="00DF1FC7" w:rsidRPr="00351B7D" w:rsidRDefault="00DF1FC7" w:rsidP="00A8697F">
      <w:pPr>
        <w:pStyle w:val="a5"/>
        <w:numPr>
          <w:ilvl w:val="0"/>
          <w:numId w:val="39"/>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(סקי"ב)</w:t>
      </w:r>
      <w:r w:rsidRPr="00351B7D">
        <w:rPr>
          <w:rFonts w:asciiTheme="minorBidi" w:hAnsiTheme="minorBidi"/>
          <w:rtl/>
        </w:rPr>
        <w:t xml:space="preserve">- אע"ג דלא הזכיר שום תנאי הוי כאילו התנה תנאי וכפל </w:t>
      </w:r>
      <w:r w:rsidRPr="00351B7D">
        <w:rPr>
          <w:rFonts w:asciiTheme="minorBidi" w:hAnsiTheme="minorBidi"/>
          <w:sz w:val="16"/>
          <w:szCs w:val="16"/>
          <w:rtl/>
        </w:rPr>
        <w:t>(כתנאי בני גד ובני ראובן "אם יעברו - ונתתם להם... ואם לא יעברו - ונאחזו בתוככם" שממנו למדים את עיקר דיני התנאים, ומכאן למדו חכמים שכל תנאי צריך להיות תנאי כפול)</w:t>
      </w:r>
      <w:r w:rsidRPr="00351B7D">
        <w:rPr>
          <w:rFonts w:asciiTheme="minorBidi" w:hAnsiTheme="minorBidi"/>
          <w:rtl/>
        </w:rPr>
        <w:t xml:space="preserve">, לכן אם לא נתן השאר בטלים הקדושין. </w:t>
      </w:r>
    </w:p>
    <w:p w14:paraId="266908B8" w14:textId="77777777" w:rsidR="00DF1FC7" w:rsidRPr="00351B7D" w:rsidRDefault="00DF1FC7" w:rsidP="00A8697F">
      <w:pPr>
        <w:pStyle w:val="a5"/>
        <w:numPr>
          <w:ilvl w:val="0"/>
          <w:numId w:val="39"/>
        </w:numPr>
        <w:rPr>
          <w:rFonts w:asciiTheme="minorBidi" w:hAnsiTheme="minorBidi"/>
        </w:rPr>
      </w:pPr>
      <w:r w:rsidRPr="00351B7D">
        <w:rPr>
          <w:rFonts w:asciiTheme="minorBidi" w:hAnsiTheme="minorBidi"/>
          <w:rtl/>
        </w:rPr>
        <w:t xml:space="preserve">אבנ"מ </w:t>
      </w:r>
      <w:r w:rsidRPr="00351B7D">
        <w:rPr>
          <w:rFonts w:asciiTheme="minorBidi" w:hAnsiTheme="minorBidi"/>
          <w:sz w:val="16"/>
          <w:szCs w:val="16"/>
          <w:rtl/>
        </w:rPr>
        <w:t>(סקי"ד)</w:t>
      </w:r>
      <w:r w:rsidRPr="00351B7D">
        <w:rPr>
          <w:rFonts w:asciiTheme="minorBidi" w:hAnsiTheme="minorBidi"/>
          <w:rtl/>
        </w:rPr>
        <w:t>- אין בזה משום תנאי כיון דלא כפליה, אלא מחויב הוא בדמי הקידושין עבור המעשה, וכיון דאינו אלא חוב שניהם אין יכולין לחזור, דהמקדש לא מצי חוזר כיון דלא כפליה לתנאו, והיא נמי לא מצית לחזור דבחוב ודאי פרעון בעל כורחה שמיה פרעון, ודוקא בתנאי הוא דפליגי אם נתינה בע"כ מהני ע"ש פ' מי שאחזו.</w:t>
      </w:r>
    </w:p>
  </w:footnote>
  <w:footnote w:id="292">
    <w:p w14:paraId="26804DB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שאין הקידושין חלין עד שתקבל את כולו, ואת אמרת מקודשת?, רש"י.</w:t>
      </w:r>
    </w:p>
  </w:footnote>
  <w:footnote w:id="293">
    <w:p w14:paraId="23323B4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דדעתה אכולה, רש"י.</w:t>
      </w:r>
    </w:p>
  </w:footnote>
  <w:footnote w:id="294">
    <w:p w14:paraId="5918C57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תנא ליה דיכולים לחזור כל זמן שלא קבלה את כולה, רש"י.</w:t>
      </w:r>
    </w:p>
  </w:footnote>
  <w:footnote w:id="295">
    <w:p w14:paraId="265B782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ונמצא חסר דהשתא לא קבלה כולה מיבעי' דמצי הדרא, רש"י.</w:t>
      </w:r>
    </w:p>
  </w:footnote>
  <w:footnote w:id="296">
    <w:p w14:paraId="1E1D9D4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דאמר במנה סתם, כיון דחזיתיה מונה והולך דעתה אכולה, אבל כי לא נתן לה אלא דינר, וקבילתיה- ודאי לשם קידושין קבילתיה ועל מנת שישלים, רש"י.</w:t>
      </w:r>
    </w:p>
  </w:footnote>
  <w:footnote w:id="297">
    <w:p w14:paraId="712690B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ולא הכירה בו מתחילה שהיה מעורב ביניהם, רש"י.</w:t>
      </w:r>
    </w:p>
  </w:footnote>
  <w:footnote w:id="298">
    <w:p w14:paraId="6F8AAEF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ואמאי מקודשת, רש"י.</w:t>
      </w:r>
    </w:p>
  </w:footnote>
  <w:footnote w:id="299">
    <w:p w14:paraId="36674EE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דכיון דנפיק ה"ז מקודשת דמסתמא לא קפדה כל שהחליפו, ואפשר שאין הקידושין תלויין בכך ואע"פ שלא החליפו מקודשת אלא שיש לו להחליפו מדין חוב בעלמא, ר"ן </w:t>
      </w:r>
      <w:r w:rsidRPr="00351B7D">
        <w:rPr>
          <w:rFonts w:asciiTheme="minorBidi" w:hAnsiTheme="minorBidi"/>
          <w:sz w:val="16"/>
          <w:szCs w:val="16"/>
          <w:rtl/>
        </w:rPr>
        <w:t>(ד. סוד"ה א"ר אלעזר)</w:t>
      </w:r>
      <w:r w:rsidRPr="00351B7D">
        <w:rPr>
          <w:rFonts w:asciiTheme="minorBidi" w:hAnsiTheme="minorBidi"/>
          <w:rtl/>
        </w:rPr>
        <w:t>.</w:t>
      </w:r>
    </w:p>
  </w:footnote>
  <w:footnote w:id="300">
    <w:p w14:paraId="344B335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הר"ן </w:t>
      </w:r>
      <w:r w:rsidRPr="00351B7D">
        <w:rPr>
          <w:rFonts w:asciiTheme="minorBidi" w:hAnsiTheme="minorBidi"/>
          <w:sz w:val="16"/>
          <w:szCs w:val="16"/>
          <w:rtl/>
        </w:rPr>
        <w:t xml:space="preserve">(ד. ד"ה א"ר אלעזר) </w:t>
      </w:r>
      <w:r w:rsidRPr="00351B7D">
        <w:rPr>
          <w:rFonts w:asciiTheme="minorBidi" w:hAnsiTheme="minorBidi"/>
          <w:rtl/>
        </w:rPr>
        <w:t xml:space="preserve">דנראה שהרי"ף סמך אאוקימתא קמייתא ודחה לאוקימתא דרב אשי משום דאוקימתא קמייתא היא לישנא דגמ'. וכ"כ הה"מ (פ"ז הי"ז). </w:t>
      </w:r>
      <w:r w:rsidRPr="00351B7D">
        <w:rPr>
          <w:rFonts w:asciiTheme="minorBidi" w:hAnsiTheme="minorBidi"/>
          <w:sz w:val="16"/>
          <w:szCs w:val="16"/>
          <w:rtl/>
        </w:rPr>
        <w:t>(ולכאורה משמע מדבריהם שאע"פ שהרי"ף והרמב"ם כ' "מונה והולך" לאו דוקא הוא, אלא אפילו נתן בבת אחת, משום שלא פסקו כרב אשי, ומ"מ דבר זה מונח במחלוקת אחרונים עיין בהערה במקומה על השו"ע)</w:t>
      </w:r>
    </w:p>
  </w:footnote>
  <w:footnote w:id="301">
    <w:p w14:paraId="43FE2DC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נראה שהוא סובר דרב אשי לאו לדחויי אוקימתא קמייתא אתא, אלא לומר דשפיר איכא לאוקומה לברייתא אפילו במנה סתם, וטעמא משום דמונה והולך שאני, אבל אין הכי נמי דלדידיה נמי לא אמר רבי אלעזר אלא במנה סתם אבל במנה זו לא, ב"י.</w:t>
      </w:r>
    </w:p>
  </w:footnote>
  <w:footnote w:id="302">
    <w:p w14:paraId="092F37F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דאם איתא דאפילו מן הסתם בטלי קידושין מאי פריך במנה זו מיבעיא וכו'. וכ' הר"ן דאעפ"כ אין דבריו מחוורין דכיון דא"ל במנה זה ומנה אין כאן בטלי קידושין וכו'.</w:t>
      </w:r>
    </w:p>
  </w:footnote>
  <w:footnote w:id="303">
    <w:p w14:paraId="7381A35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ישנה בעין, רש"י.</w:t>
      </w:r>
    </w:p>
  </w:footnote>
  <w:footnote w:id="304">
    <w:p w14:paraId="4F64207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מיירי הכא במקרה שהיא לותה ממנו כסף, ורוצה לקדשה בכסף זה שנמצא אצלה.</w:t>
      </w:r>
    </w:p>
  </w:footnote>
  <w:footnote w:id="305">
    <w:p w14:paraId="4F3D4ED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הלוה רשאי להוציאה בהוצאה ואינו חייב להעמידה בעיסקא שתהא מצויה בכל עת שיתבענו וכיון דלהוצאה ניתנה הויא לה כי דידה ולא יהיב לה מידי, רש"י.</w:t>
      </w:r>
    </w:p>
  </w:footnote>
  <w:footnote w:id="306">
    <w:p w14:paraId="7E05718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לברייתא </w:t>
      </w:r>
      <w:r w:rsidRPr="00351B7D">
        <w:rPr>
          <w:rFonts w:asciiTheme="minorBidi" w:hAnsiTheme="minorBidi"/>
          <w:sz w:val="16"/>
          <w:szCs w:val="16"/>
          <w:rtl/>
        </w:rPr>
        <w:t>("המקדש במלוה אינה מקודשת, ויש אומרים מקודשת")</w:t>
      </w:r>
      <w:r w:rsidRPr="00351B7D">
        <w:rPr>
          <w:rFonts w:asciiTheme="minorBidi" w:hAnsiTheme="minorBidi"/>
          <w:rtl/>
        </w:rPr>
        <w:t>.</w:t>
      </w:r>
    </w:p>
  </w:footnote>
  <w:footnote w:id="307">
    <w:p w14:paraId="31E049F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בדבר אחר דהך מלוה לא במלוה שיש לו עליה קאמר אלא שאמר לה התקדשי לי במנה ונמצא מנה חסר דינר ואמר לה הרי הוא עלי מלוה, רש"י.</w:t>
      </w:r>
    </w:p>
  </w:footnote>
  <w:footnote w:id="308">
    <w:p w14:paraId="0481619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דדבר מועט הוא דינר ממנה, רש"י.</w:t>
      </w:r>
    </w:p>
  </w:footnote>
  <w:footnote w:id="309">
    <w:p w14:paraId="7288C84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סמכה דעתה הילכך אינה מקודשת, רש"י.</w:t>
      </w:r>
    </w:p>
  </w:footnote>
  <w:footnote w:id="310">
    <w:p w14:paraId="0478F68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שלא קבלה מכל המנה אלא דינר לא כסיפא לה מילתא למיתבעיה את המנה, רש"י.</w:t>
      </w:r>
    </w:p>
  </w:footnote>
  <w:footnote w:id="311">
    <w:p w14:paraId="2F96A10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(כ"כ הרמב"ן בשמו משום ש-"לא כתבה רבינו הגדול" </w:t>
      </w:r>
      <w:r w:rsidRPr="00351B7D">
        <w:rPr>
          <w:rFonts w:asciiTheme="minorBidi" w:hAnsiTheme="minorBidi"/>
          <w:sz w:val="14"/>
          <w:szCs w:val="14"/>
          <w:rtl/>
        </w:rPr>
        <w:t xml:space="preserve">[ורבנו הגדול הוא הרי"ף, ודרך הרמב"ן לקוראו כך (עי' חידושי הרמב"ן שבת לז ע"א ד"ה מהו לסמוך] </w:t>
      </w:r>
      <w:r w:rsidRPr="00351B7D">
        <w:rPr>
          <w:rFonts w:asciiTheme="minorBidi" w:hAnsiTheme="minorBidi"/>
          <w:sz w:val="16"/>
          <w:szCs w:val="16"/>
          <w:rtl/>
        </w:rPr>
        <w:t>מוכח שדעתו כדדייקינן מברייתא (ח.), ורי"ו והה"מ העתיקו ג"כ את דברי הרמב"ן)</w:t>
      </w:r>
      <w:r w:rsidRPr="00351B7D">
        <w:rPr>
          <w:rFonts w:asciiTheme="minorBidi" w:hAnsiTheme="minorBidi"/>
          <w:rtl/>
        </w:rPr>
        <w:t xml:space="preserve"> רמב"ם </w:t>
      </w:r>
      <w:r w:rsidRPr="00351B7D">
        <w:rPr>
          <w:rFonts w:asciiTheme="minorBidi" w:hAnsiTheme="minorBidi"/>
          <w:sz w:val="16"/>
          <w:szCs w:val="16"/>
          <w:rtl/>
        </w:rPr>
        <w:t>(כ"כ הה"מ בשמו (פ"ז הי"ז), משום שלא חלק</w:t>
      </w:r>
      <w:r w:rsidRPr="00351B7D">
        <w:rPr>
          <w:rFonts w:asciiTheme="minorBidi" w:hAnsiTheme="minorBidi"/>
          <w:sz w:val="12"/>
          <w:szCs w:val="12"/>
          <w:rtl/>
        </w:rPr>
        <w:t xml:space="preserve"> (הרמב"ם)</w:t>
      </w:r>
      <w:r w:rsidRPr="00351B7D">
        <w:rPr>
          <w:rFonts w:asciiTheme="minorBidi" w:hAnsiTheme="minorBidi"/>
          <w:sz w:val="16"/>
          <w:szCs w:val="16"/>
          <w:rtl/>
        </w:rPr>
        <w:t xml:space="preserve"> וכתב ונתן לה אפילו דינר אחד וכו)</w:t>
      </w:r>
      <w:r w:rsidRPr="00351B7D">
        <w:rPr>
          <w:rFonts w:asciiTheme="minorBidi" w:hAnsiTheme="minorBidi"/>
          <w:rtl/>
        </w:rPr>
        <w:t xml:space="preserve"> רמב"ן </w:t>
      </w:r>
      <w:r w:rsidRPr="00351B7D">
        <w:rPr>
          <w:rFonts w:asciiTheme="minorBidi" w:hAnsiTheme="minorBidi"/>
          <w:sz w:val="16"/>
          <w:szCs w:val="16"/>
          <w:rtl/>
        </w:rPr>
        <w:t>(דף מז. ד"ה תמהני, הביאו רי"ו לאחר שהביא את דעת היש אומרים)</w:t>
      </w:r>
      <w:r w:rsidRPr="00351B7D">
        <w:rPr>
          <w:rFonts w:asciiTheme="minorBidi" w:hAnsiTheme="minorBidi"/>
          <w:rtl/>
        </w:rPr>
        <w:t xml:space="preserve"> ורא"ש </w:t>
      </w:r>
      <w:r w:rsidRPr="00351B7D">
        <w:rPr>
          <w:rFonts w:asciiTheme="minorBidi" w:hAnsiTheme="minorBidi"/>
          <w:sz w:val="16"/>
          <w:szCs w:val="16"/>
          <w:rtl/>
        </w:rPr>
        <w:t>(סי' ט. וכ' הב"י דהרא"ש פסק שם הלכה כת"ק, ואעפ"כ לענין הדין אינו חולק על פסק הרמב"ן, שהוא ז"ל גורס בדברי ת"ק מקודשת)</w:t>
      </w:r>
      <w:r w:rsidRPr="00351B7D">
        <w:rPr>
          <w:rFonts w:asciiTheme="minorBidi" w:hAnsiTheme="minorBidi"/>
          <w:rtl/>
        </w:rPr>
        <w:t>.</w:t>
      </w:r>
    </w:p>
  </w:footnote>
  <w:footnote w:id="312">
    <w:p w14:paraId="40ACCA1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ולרמב"ן ושא"פ אפילו לא קיבל עליו במלוה את הדינר החסר- מקודשת, וכ"מ מרמב"ם וכן מדייק הה"מ מדבריו, ב"ש</w:t>
      </w:r>
      <w:r w:rsidRPr="00351B7D">
        <w:rPr>
          <w:rFonts w:asciiTheme="minorBidi" w:hAnsiTheme="minorBidi"/>
          <w:sz w:val="16"/>
          <w:szCs w:val="16"/>
          <w:rtl/>
        </w:rPr>
        <w:t xml:space="preserve"> (סקי"ג)</w:t>
      </w:r>
      <w:r w:rsidRPr="00351B7D">
        <w:rPr>
          <w:rFonts w:asciiTheme="minorBidi" w:hAnsiTheme="minorBidi"/>
          <w:rtl/>
        </w:rPr>
        <w:t>.</w:t>
      </w:r>
    </w:p>
  </w:footnote>
  <w:footnote w:id="313">
    <w:p w14:paraId="3FD266F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רשב"א</w:t>
      </w:r>
      <w:r w:rsidRPr="00351B7D">
        <w:rPr>
          <w:rFonts w:asciiTheme="minorBidi" w:hAnsiTheme="minorBidi"/>
          <w:sz w:val="16"/>
          <w:szCs w:val="16"/>
          <w:rtl/>
        </w:rPr>
        <w:t xml:space="preserve"> (מז. ד"ה מנה חסר)</w:t>
      </w:r>
      <w:r w:rsidRPr="00351B7D">
        <w:rPr>
          <w:rFonts w:asciiTheme="minorBidi" w:hAnsiTheme="minorBidi"/>
          <w:rtl/>
        </w:rPr>
        <w:t xml:space="preserve"> ויש מפרשים </w:t>
      </w:r>
      <w:r w:rsidRPr="00351B7D">
        <w:rPr>
          <w:rFonts w:asciiTheme="minorBidi" w:hAnsiTheme="minorBidi"/>
          <w:sz w:val="16"/>
          <w:szCs w:val="16"/>
          <w:rtl/>
        </w:rPr>
        <w:t>(הביאם רי"ו נכ"ב ח"ד קפז ע"ד)</w:t>
      </w:r>
    </w:p>
  </w:footnote>
  <w:footnote w:id="314">
    <w:p w14:paraId="05C506E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אמר לה 'התקדשי לי במנה זו' ונמצא...</w:t>
      </w:r>
    </w:p>
  </w:footnote>
  <w:footnote w:id="315">
    <w:p w14:paraId="72A7428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דנראה שהטעם משום דאיכא למימר דכיון דשתקה הרי היא מתרצה להתקדש בו כמות שהוא ואיכא למימר דעל דבריו הראשונים היא סומכת שא"ל במנה דמשמע מנה יפה שאין בו שום דינר רע והא דשתקה לפי שאינה חוששת להשיבו דבר.</w:t>
      </w:r>
    </w:p>
  </w:footnote>
  <w:footnote w:id="316">
    <w:p w14:paraId="15AF469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במנה יש ל"ג טורניש ועוד קצת. </w:t>
      </w:r>
      <w:r w:rsidRPr="00351B7D">
        <w:rPr>
          <w:rFonts w:asciiTheme="minorBidi" w:hAnsiTheme="minorBidi"/>
          <w:sz w:val="16"/>
          <w:szCs w:val="16"/>
          <w:rtl/>
        </w:rPr>
        <w:t>(טורניש הוא מטבע שיוצא במספר (לאפוקי מטבע היוצא במשקל) בארץ פרובנצא וצרפת, ויש שני מיני טורניש, אחד "טורניש כסף" (או "טורניש לבן") שהוא כסף נקי חוץ מחלק אחד מכ"ד שבו שהוא נחשת, צורתו עגלה קטרו אצבע בגודל, ושווה ב' דרהם בהרוחה. והמטבע השני "טרניש דק" והוא כסף ונחשת מעורבים, וקורין לו העבריים פשיט. הטורנש הלבן שוה י"ב טורניש דקים, כלומר י"ב פשיטין. ומכיון שבמנה יש מאה דינרין, וכל דינר שווה לדרהם וחצי יוצא שיש במנה ס"ו דרהם ועוד קצת, יוצא שבמנה יש ל"ג טורניש ועוד קצת, ע"פ כפתור ופרח (פרק ט"ז))</w:t>
      </w:r>
      <w:r w:rsidRPr="00351B7D">
        <w:rPr>
          <w:rFonts w:asciiTheme="minorBidi" w:hAnsiTheme="minorBidi"/>
          <w:rtl/>
        </w:rPr>
        <w:t>.</w:t>
      </w:r>
    </w:p>
  </w:footnote>
  <w:footnote w:id="317">
    <w:p w14:paraId="00343F9E" w14:textId="77777777" w:rsidR="00DF1FC7" w:rsidRPr="00351B7D" w:rsidRDefault="00DF1FC7" w:rsidP="008E16D0">
      <w:pPr>
        <w:pStyle w:val="a5"/>
        <w:rPr>
          <w:rFonts w:asciiTheme="minorBidi" w:hAnsiTheme="minorBidi"/>
          <w:rtl/>
        </w:rPr>
      </w:pPr>
      <w:r w:rsidRPr="00351B7D">
        <w:rPr>
          <w:rStyle w:val="a7"/>
          <w:rFonts w:asciiTheme="minorBidi" w:hAnsiTheme="minorBidi"/>
          <w:color w:val="FF0000"/>
        </w:rPr>
        <w:footnoteRef/>
      </w:r>
      <w:r w:rsidRPr="00351B7D">
        <w:rPr>
          <w:rFonts w:asciiTheme="minorBidi" w:hAnsiTheme="minorBidi"/>
          <w:color w:val="FF0000"/>
          <w:rtl/>
        </w:rPr>
        <w:t xml:space="preserve"> צל"ע באיזה מקרה דיבר הרשב"א, שהרי אם ידעה שאין טורניש זה שווה מנה הרי היא סברה וקבלה, ופשוט הוא בגמ' וכ"כ הר"ן (הביאו הב"ש סק"ז), ואי לא ידעה שאינו שווה מנה פשיטא שאינה מקודשת.</w:t>
      </w:r>
    </w:p>
  </w:footnote>
  <w:footnote w:id="318">
    <w:p w14:paraId="6F79305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יש לתמוה עמש"כ בהג"ה "או רע" שהרי בגמ' אוקמוה שיוצא ע"י הדחק, ובזה כו"ע מודי דמקודשת, והרשב"א לא חולק ע"ז, לכן נראה דתיבות "או רע" צריכות להיות למטה אצל דינר נחושת, וכן הוא בטור, נח"צ (סק"ח). אך הגר"א (סקי"ז) העמיד הכתוב במקומו ופירש כוונת הרמ"א בדינר רע דלא נפיק כלל.</w:t>
      </w:r>
    </w:p>
  </w:footnote>
  <w:footnote w:id="319">
    <w:p w14:paraId="173F7BC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דס"ל כת"ק דמחלק בין מנה חסר דינר דכסיפא לה למתבעי' ובין ההיא דר' אליעזר דחסר צ"ט דלא כסיפ' למתבעי', ח"מ</w:t>
      </w:r>
      <w:r w:rsidRPr="00351B7D">
        <w:rPr>
          <w:rFonts w:asciiTheme="minorBidi" w:hAnsiTheme="minorBidi"/>
          <w:sz w:val="16"/>
          <w:szCs w:val="16"/>
          <w:rtl/>
        </w:rPr>
        <w:t xml:space="preserve"> (סקי"ב)</w:t>
      </w:r>
      <w:r w:rsidRPr="00351B7D">
        <w:rPr>
          <w:rFonts w:asciiTheme="minorBidi" w:hAnsiTheme="minorBidi"/>
          <w:rtl/>
        </w:rPr>
        <w:t>.</w:t>
      </w:r>
    </w:p>
  </w:footnote>
  <w:footnote w:id="320">
    <w:p w14:paraId="797D50BE" w14:textId="77777777" w:rsidR="00DF1FC7" w:rsidRPr="00351B7D" w:rsidRDefault="00DF1FC7" w:rsidP="008E16D0">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מקור דברי השו"ע הם הרי"ף והרמב"ם, ונחלקו הפוסקים האם הם מצריכים את שני התנאים או שהעיקר שיאמר "מנה זה":</w:t>
      </w:r>
    </w:p>
    <w:p w14:paraId="578F9118" w14:textId="77777777" w:rsidR="00DF1FC7" w:rsidRPr="00351B7D" w:rsidRDefault="00DF1FC7" w:rsidP="00A8697F">
      <w:pPr>
        <w:pStyle w:val="a5"/>
        <w:numPr>
          <w:ilvl w:val="0"/>
          <w:numId w:val="40"/>
        </w:numPr>
        <w:rPr>
          <w:rFonts w:asciiTheme="minorBidi" w:hAnsiTheme="minorBidi"/>
        </w:rPr>
      </w:pPr>
      <w:r w:rsidRPr="00351B7D">
        <w:rPr>
          <w:rFonts w:asciiTheme="minorBidi" w:hAnsiTheme="minorBidi"/>
          <w:rtl/>
        </w:rPr>
        <w:t xml:space="preserve">ר"ן הה"מ ח"מ </w:t>
      </w:r>
      <w:r w:rsidRPr="00351B7D">
        <w:rPr>
          <w:rFonts w:asciiTheme="minorBidi" w:hAnsiTheme="minorBidi"/>
          <w:sz w:val="16"/>
          <w:szCs w:val="16"/>
          <w:rtl/>
        </w:rPr>
        <w:t xml:space="preserve">(סקי"ג) </w:t>
      </w:r>
      <w:r w:rsidRPr="00351B7D">
        <w:rPr>
          <w:rFonts w:asciiTheme="minorBidi" w:hAnsiTheme="minorBidi"/>
          <w:rtl/>
        </w:rPr>
        <w:t xml:space="preserve">וב"ש </w:t>
      </w:r>
      <w:r w:rsidRPr="00351B7D">
        <w:rPr>
          <w:rFonts w:asciiTheme="minorBidi" w:hAnsiTheme="minorBidi"/>
          <w:sz w:val="16"/>
          <w:szCs w:val="16"/>
          <w:rtl/>
        </w:rPr>
        <w:t>(סקי"ד)</w:t>
      </w:r>
      <w:r w:rsidRPr="00351B7D">
        <w:rPr>
          <w:rFonts w:asciiTheme="minorBidi" w:hAnsiTheme="minorBidi"/>
          <w:rtl/>
        </w:rPr>
        <w:t xml:space="preserve">- העיקר תלוי באומר מנה זה, ומונה והולך דנקט משום דבעי למתני דשניהם יכולים לחזור בדינר האחרון, לכן אם אמר סתם התקדשי לי במנה זה ונתן לה בבת אחת ואח"כ נמצא חסר דינר ג"כ אינה מקודשת, והיינו סיפא דברייתא, והרישא והסיפא במנה זה מיירי, וכדמסיק בגמ', ודלא כאוקימתא דרב אשי </w:t>
      </w:r>
      <w:r w:rsidRPr="00351B7D">
        <w:rPr>
          <w:rFonts w:asciiTheme="minorBidi" w:hAnsiTheme="minorBidi"/>
          <w:sz w:val="16"/>
          <w:szCs w:val="16"/>
          <w:rtl/>
        </w:rPr>
        <w:t>(וא"כ הא דכ' הרב בהג"ה די"א דבחדא סגי כגון שאומר מאה דינרין אלו דמשמע לפי דעה הראשונה בעי תרווייהו וכן הוא בד"מ בהדי' וזה אינו מדוקדק, ח"מ וב"ש)</w:t>
      </w:r>
      <w:r w:rsidRPr="00351B7D">
        <w:rPr>
          <w:rFonts w:asciiTheme="minorBidi" w:hAnsiTheme="minorBidi"/>
          <w:rtl/>
        </w:rPr>
        <w:t>.</w:t>
      </w:r>
    </w:p>
    <w:p w14:paraId="39BE1A2A" w14:textId="77777777" w:rsidR="00DF1FC7" w:rsidRPr="00351B7D" w:rsidRDefault="00DF1FC7" w:rsidP="00A8697F">
      <w:pPr>
        <w:pStyle w:val="a5"/>
        <w:numPr>
          <w:ilvl w:val="0"/>
          <w:numId w:val="40"/>
        </w:numPr>
        <w:rPr>
          <w:rFonts w:asciiTheme="minorBidi" w:hAnsiTheme="minorBidi"/>
        </w:rPr>
      </w:pPr>
      <w:r w:rsidRPr="00351B7D">
        <w:rPr>
          <w:rFonts w:asciiTheme="minorBidi" w:hAnsiTheme="minorBidi"/>
          <w:rtl/>
        </w:rPr>
        <w:t>גר"א</w:t>
      </w:r>
      <w:r w:rsidRPr="00351B7D">
        <w:rPr>
          <w:rFonts w:asciiTheme="minorBidi" w:hAnsiTheme="minorBidi"/>
          <w:sz w:val="16"/>
          <w:szCs w:val="16"/>
          <w:rtl/>
        </w:rPr>
        <w:t xml:space="preserve"> (סקי"ח)</w:t>
      </w:r>
      <w:r w:rsidRPr="00351B7D">
        <w:rPr>
          <w:rFonts w:asciiTheme="minorBidi" w:hAnsiTheme="minorBidi"/>
          <w:rtl/>
        </w:rPr>
        <w:t>- בדוקא נקט</w:t>
      </w:r>
      <w:r w:rsidRPr="00351B7D">
        <w:rPr>
          <w:rFonts w:asciiTheme="minorBidi" w:hAnsiTheme="minorBidi"/>
          <w:sz w:val="16"/>
          <w:szCs w:val="16"/>
          <w:rtl/>
        </w:rPr>
        <w:t xml:space="preserve"> (את שני התנאים)</w:t>
      </w:r>
      <w:r w:rsidRPr="00351B7D">
        <w:rPr>
          <w:rFonts w:asciiTheme="minorBidi" w:hAnsiTheme="minorBidi"/>
          <w:rtl/>
        </w:rPr>
        <w:t>, דס"ל דתרתי בעינן, דאף שאמר לה "במנה זו" כיון דאיתא לכולה צריך דוקא התחיל למנות דדעתא אכולה כדברי רב אשי.</w:t>
      </w:r>
      <w:r w:rsidRPr="00351B7D">
        <w:rPr>
          <w:rFonts w:asciiTheme="minorBidi" w:hAnsiTheme="minorBidi"/>
          <w:sz w:val="16"/>
          <w:szCs w:val="16"/>
          <w:rtl/>
        </w:rPr>
        <w:t xml:space="preserve"> (וכן משמע שהבין הרמ"א בדברי השו"ע)</w:t>
      </w:r>
    </w:p>
  </w:footnote>
  <w:footnote w:id="321">
    <w:p w14:paraId="4CFE8BE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יש שהקשו</w:t>
      </w:r>
      <w:r w:rsidRPr="00351B7D">
        <w:rPr>
          <w:rFonts w:asciiTheme="minorBidi" w:hAnsiTheme="minorBidi"/>
          <w:sz w:val="16"/>
          <w:szCs w:val="16"/>
          <w:rtl/>
        </w:rPr>
        <w:t xml:space="preserve"> (גר"א </w:t>
      </w:r>
      <w:r w:rsidRPr="00351B7D">
        <w:rPr>
          <w:rFonts w:asciiTheme="minorBidi" w:hAnsiTheme="minorBidi"/>
          <w:sz w:val="14"/>
          <w:szCs w:val="14"/>
          <w:rtl/>
        </w:rPr>
        <w:t xml:space="preserve">[סקכ"א] </w:t>
      </w:r>
      <w:r w:rsidRPr="00351B7D">
        <w:rPr>
          <w:rFonts w:asciiTheme="minorBidi" w:hAnsiTheme="minorBidi"/>
          <w:sz w:val="16"/>
          <w:szCs w:val="16"/>
          <w:rtl/>
        </w:rPr>
        <w:t xml:space="preserve">ונח"צ </w:t>
      </w:r>
      <w:r w:rsidRPr="00351B7D">
        <w:rPr>
          <w:rFonts w:asciiTheme="minorBidi" w:hAnsiTheme="minorBidi"/>
          <w:sz w:val="14"/>
          <w:szCs w:val="14"/>
          <w:rtl/>
        </w:rPr>
        <w:t>[סקי"א]</w:t>
      </w:r>
      <w:r w:rsidRPr="00351B7D">
        <w:rPr>
          <w:rFonts w:asciiTheme="minorBidi" w:hAnsiTheme="minorBidi"/>
          <w:sz w:val="16"/>
          <w:szCs w:val="16"/>
          <w:rtl/>
        </w:rPr>
        <w:t>)</w:t>
      </w:r>
      <w:r w:rsidRPr="00351B7D">
        <w:rPr>
          <w:rFonts w:asciiTheme="minorBidi" w:hAnsiTheme="minorBidi"/>
          <w:rtl/>
        </w:rPr>
        <w:t xml:space="preserve"> על השו"ע שכ'- "אלא אם כן.. ונתרצתה" דמשמע מזה שעד עתה מדובר שחסר מנה </w:t>
      </w:r>
      <w:r w:rsidRPr="00351B7D">
        <w:rPr>
          <w:rFonts w:asciiTheme="minorBidi" w:hAnsiTheme="minorBidi"/>
          <w:sz w:val="16"/>
          <w:szCs w:val="16"/>
          <w:rtl/>
        </w:rPr>
        <w:t>(והב"ש [סקט"ו] לא הקשה אלא למד מזה שדעת השו"ע כדעת רש"י דבעיא חזרה כדי לבטל קידושין)</w:t>
      </w:r>
      <w:r w:rsidRPr="00351B7D">
        <w:rPr>
          <w:rFonts w:asciiTheme="minorBidi" w:hAnsiTheme="minorBidi"/>
          <w:rtl/>
        </w:rPr>
        <w:t xml:space="preserve">, אך לא הבנתי, והרי הדין שכ' השו"ע הוא דין אמת </w:t>
      </w:r>
      <w:r w:rsidRPr="00351B7D">
        <w:rPr>
          <w:rFonts w:asciiTheme="minorBidi" w:hAnsiTheme="minorBidi"/>
          <w:sz w:val="16"/>
          <w:szCs w:val="16"/>
          <w:rtl/>
        </w:rPr>
        <w:t xml:space="preserve"> (וכ"כ הגר"א בסוף דבריו)</w:t>
      </w:r>
      <w:r w:rsidRPr="00351B7D">
        <w:rPr>
          <w:rFonts w:asciiTheme="minorBidi" w:hAnsiTheme="minorBidi"/>
          <w:rtl/>
        </w:rPr>
        <w:t xml:space="preserve"> אע"פ שביטוי זה נאמר ג"כ לגבי מקרה שונה, מ"מ יכול המחבר להשתמש בביטוי זה אף לד"א, וצל"ע.</w:t>
      </w:r>
    </w:p>
  </w:footnote>
  <w:footnote w:id="322">
    <w:p w14:paraId="5C4B1F0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דאל"כ י"ל דסמכה דעתה על דיבורו הראשון שאמר מנה זו ואין רצונה להתקדש לו כשחסר דינר, וכדעת הרמ"ה, ע"פ ב"ש (סקט"ז). וכך סרה קושיית הח"מ (סקי"ד).</w:t>
      </w:r>
      <w:r w:rsidRPr="00351B7D">
        <w:rPr>
          <w:rFonts w:asciiTheme="minorBidi" w:hAnsiTheme="minorBidi"/>
          <w:sz w:val="16"/>
          <w:szCs w:val="16"/>
          <w:rtl/>
        </w:rPr>
        <w:t xml:space="preserve"> (ומש"כ בעניין זה בב"י- "פשוט הוא מהא דרבי אלעזר דבסמוך", נ"ל כוונתו דכמו דשם נתרצת לחכות עד שישלים לה המנה והוי קדושין, כך כאן הואיל ונתרצתה ליתן לו את האחרון במלוה- מקודשת.)</w:t>
      </w:r>
      <w:r w:rsidRPr="00351B7D">
        <w:rPr>
          <w:rFonts w:asciiTheme="minorBidi" w:hAnsiTheme="minorBidi"/>
          <w:rtl/>
        </w:rPr>
        <w:t xml:space="preserve">  </w:t>
      </w:r>
    </w:p>
  </w:footnote>
  <w:footnote w:id="323">
    <w:p w14:paraId="48F202C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אם הכירה אז סברה וקבלה, וכן אם אמר לה תתקדש לי במנה וניכר שאינו מנה סברה וקבלה, כ"כ הר"ן, ב"ש (סקי"ז).</w:t>
      </w:r>
    </w:p>
  </w:footnote>
  <w:footnote w:id="324">
    <w:p w14:paraId="076208E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הוא בש"ס, משמע אפילו אם היא מרוצה יכול הוא לחזור</w:t>
      </w:r>
      <w:r w:rsidRPr="00351B7D">
        <w:rPr>
          <w:rFonts w:asciiTheme="minorBidi" w:hAnsiTheme="minorBidi"/>
          <w:sz w:val="16"/>
          <w:szCs w:val="16"/>
          <w:rtl/>
        </w:rPr>
        <w:t xml:space="preserve"> (וע' במגיד פט"ז הל' מכירה והל' חוה"מ ר"ס רל"ב אם קונה שק של אגוזים ואמר ליה דיש בו סאה ונמצא חסר יכול הלוקח לחזור אע"ג דהמוכר רוצה להשלים לו, ונלמד מקדושי האשה אם אמר מנה זו ונמצא חסר)</w:t>
      </w:r>
      <w:r w:rsidRPr="00351B7D">
        <w:rPr>
          <w:rFonts w:asciiTheme="minorBidi" w:hAnsiTheme="minorBidi"/>
          <w:rtl/>
        </w:rPr>
        <w:t>, ב"ש (סקי"ח).</w:t>
      </w:r>
    </w:p>
  </w:footnote>
  <w:footnote w:id="325">
    <w:p w14:paraId="56FB5F2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ואז הוי ספק קדושין, רמ"ה (הביאו הטור, וכ"כ הח"מ [סקט"ז] הב"ש [סקי"ט] והגר"א [סקכ"ג]).</w:t>
      </w:r>
    </w:p>
  </w:footnote>
  <w:footnote w:id="326">
    <w:p w14:paraId="047D421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ויחליף, כן איתא בש"ס, וכ"כ הרמב"ם, וכתב הר"ן דחייב להחליף מיהו אין עיכוב בקדושין אם לא החליף, ב"ש (סק"כ).</w:t>
      </w:r>
    </w:p>
  </w:footnote>
  <w:footnote w:id="327">
    <w:p w14:paraId="545D42A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לא קיים תנאו אינו מקודשת וכמו שנתבאר לעיל בסעיף שלפני זה, ח"מ (סקי"ז).</w:t>
      </w:r>
    </w:p>
  </w:footnote>
  <w:footnote w:id="328">
    <w:p w14:paraId="18D3A3E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אם היה קציצה ביניהם ליתן לה ק' או ר' ואח"כ חזר אחד מהם ואח"ז תבע הצד השני וקדשה אמרינן מסתמ' על דרך קציצה הראשונה אומר ולא למלאות רצון השני כמו שכתב בהגהת שלחן ערוך בחושן המשפט סי' רכ"א, ב"ש (סקכ"א).</w:t>
      </w:r>
    </w:p>
  </w:footnote>
  <w:footnote w:id="329">
    <w:p w14:paraId="0A44234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כשאומרים "במה שבתוכו ולא בו" מיירי בכוס של חרס, רי"ו </w:t>
      </w:r>
      <w:r w:rsidRPr="00351B7D">
        <w:rPr>
          <w:rFonts w:asciiTheme="minorBidi" w:hAnsiTheme="minorBidi"/>
          <w:sz w:val="16"/>
          <w:szCs w:val="16"/>
          <w:rtl/>
        </w:rPr>
        <w:t>(נכ"ב ח"א קפג ע"א, הביאו הב"י)</w:t>
      </w:r>
      <w:r w:rsidRPr="00351B7D">
        <w:rPr>
          <w:rFonts w:asciiTheme="minorBidi" w:hAnsiTheme="minorBidi"/>
          <w:rtl/>
        </w:rPr>
        <w:t>.</w:t>
      </w:r>
    </w:p>
  </w:footnote>
  <w:footnote w:id="330">
    <w:p w14:paraId="7309F10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עיין סי' ל"ח סע' כ"ד אם אמר כוס של יין ונמצא דבש אינה מקודשת, ולא אמרינן דלא היה כוונתו אלא על הכוס, שאני התם שאמר של יין אז בוודאי כוונתו על היין, אבל אם אמר סתם 'בכוס זה' שאני, ב"ח </w:t>
      </w:r>
      <w:r w:rsidRPr="00351B7D">
        <w:rPr>
          <w:rFonts w:asciiTheme="minorBidi" w:hAnsiTheme="minorBidi"/>
          <w:sz w:val="16"/>
          <w:szCs w:val="16"/>
          <w:rtl/>
        </w:rPr>
        <w:t xml:space="preserve">(אות ד', וכ"כ הח"מ [סקי"ח]) </w:t>
      </w:r>
      <w:r w:rsidRPr="00351B7D">
        <w:rPr>
          <w:rFonts w:asciiTheme="minorBidi" w:hAnsiTheme="minorBidi"/>
          <w:rtl/>
        </w:rPr>
        <w:t xml:space="preserve">וב"ש </w:t>
      </w:r>
      <w:r w:rsidRPr="00351B7D">
        <w:rPr>
          <w:rFonts w:asciiTheme="minorBidi" w:hAnsiTheme="minorBidi"/>
          <w:sz w:val="16"/>
          <w:szCs w:val="16"/>
          <w:rtl/>
        </w:rPr>
        <w:t>(סקכ"ב)</w:t>
      </w:r>
      <w:r w:rsidRPr="00351B7D">
        <w:rPr>
          <w:rFonts w:asciiTheme="minorBidi" w:hAnsiTheme="minorBidi"/>
          <w:rtl/>
        </w:rPr>
        <w:t>.</w:t>
      </w:r>
      <w:r w:rsidRPr="00351B7D">
        <w:rPr>
          <w:rFonts w:asciiTheme="minorBidi" w:hAnsiTheme="minorBidi"/>
          <w:rtl/>
        </w:rPr>
        <w:tab/>
      </w:r>
    </w:p>
  </w:footnote>
  <w:footnote w:id="331">
    <w:p w14:paraId="5F71312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שמא שוה פרוטה במקום אחר, נח"צ (סקט"ז). וה"ה בחלוקה שלפני זה אם לא היה בכלי בלא היין ש"פ, אלא דסתמא דמילתא סתם כלי הוא ש"פ. והא דמפליגינן בין מים ויין לשמן היינו באומר כוס זה סתם אבל באומר לה התקדשי לי בכוס זה של יין או של מים- ודאי במה שבתוכו קאמר </w:t>
      </w:r>
      <w:r w:rsidRPr="00351B7D">
        <w:rPr>
          <w:rFonts w:asciiTheme="minorBidi" w:hAnsiTheme="minorBidi"/>
          <w:sz w:val="16"/>
          <w:szCs w:val="16"/>
          <w:rtl/>
        </w:rPr>
        <w:t>(כמבואר לקמן סי' ל"ח סעי' כ"ד)</w:t>
      </w:r>
      <w:r w:rsidRPr="00351B7D">
        <w:rPr>
          <w:rFonts w:asciiTheme="minorBidi" w:hAnsiTheme="minorBidi"/>
          <w:rtl/>
        </w:rPr>
        <w:t>, ח"מ (סקי"ח).</w:t>
      </w:r>
    </w:p>
  </w:footnote>
  <w:footnote w:id="332">
    <w:p w14:paraId="147860B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תשאל איך הוי קדושין והרי איתא באו"ח סי' ק"ע (סע' י"ט) אורחים אין רשאי ליטול מלפניהם וליתן לבנו וכו', צ"ל דוקא לבנו לא יתן אבל רשאי לקדש בו אשה וכן ליתן זה לזה, ע"ש בב"ח (אות י"ד), וט"ז (סקל"ד) כ' מחמת קושיא זו דאינו אלא ספק קדושין, ע"פ ב"ש (סי' כ"ח סקמ"ו).  </w:t>
      </w:r>
    </w:p>
  </w:footnote>
  <w:footnote w:id="333">
    <w:p w14:paraId="69223BD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חרוזים של בדיל וחורזין הרבה מהן בחוט אחד ועושין אותו כמין ענק ונושאין בצואריהן למכור, ע"פ רש"י.</w:t>
      </w:r>
    </w:p>
  </w:footnote>
  <w:footnote w:id="334">
    <w:p w14:paraId="615F9E1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מלא חוט הענק, רש"י.</w:t>
      </w:r>
    </w:p>
  </w:footnote>
  <w:footnote w:id="335">
    <w:p w14:paraId="2C41E96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וכתבו התוס' </w:t>
      </w:r>
      <w:r w:rsidRPr="00351B7D">
        <w:rPr>
          <w:rFonts w:asciiTheme="minorBidi" w:hAnsiTheme="minorBidi"/>
          <w:sz w:val="16"/>
          <w:szCs w:val="16"/>
          <w:rtl/>
        </w:rPr>
        <w:t xml:space="preserve">(ד"ה כל אשקי) </w:t>
      </w:r>
      <w:r w:rsidRPr="00351B7D">
        <w:rPr>
          <w:rFonts w:asciiTheme="minorBidi" w:hAnsiTheme="minorBidi"/>
          <w:rtl/>
        </w:rPr>
        <w:t xml:space="preserve">והרא"ש </w:t>
      </w:r>
      <w:r w:rsidRPr="00351B7D">
        <w:rPr>
          <w:rFonts w:asciiTheme="minorBidi" w:hAnsiTheme="minorBidi"/>
          <w:sz w:val="16"/>
          <w:szCs w:val="16"/>
          <w:rtl/>
        </w:rPr>
        <w:t xml:space="preserve">(סי' יד) </w:t>
      </w:r>
      <w:r w:rsidRPr="00351B7D">
        <w:rPr>
          <w:rFonts w:asciiTheme="minorBidi" w:hAnsiTheme="minorBidi"/>
          <w:rtl/>
        </w:rPr>
        <w:t>דאייתי תלמודא הני תלת עובדי לאשמועינן דבין במידי דמיכלא בין במידי דמישתיא בין במידי אחרינא לאו כלום הוא, וזהו שכתב רבינו היו לו מיני כלים או מיני מאכל או שאר כל דבר, ב"י.</w:t>
      </w:r>
    </w:p>
  </w:footnote>
  <w:footnote w:id="336">
    <w:p w14:paraId="77A2C0B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דלא כפלתיה לדיבורא, רש"י.</w:t>
      </w:r>
    </w:p>
  </w:footnote>
  <w:footnote w:id="337">
    <w:p w14:paraId="39C9340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בכתר המלך נשבע, רש"י. ור"ח פי' אפילו נתן לה תגא דמלכא שהוא דבר חשוב מאד אינה מקודשת.</w:t>
      </w:r>
    </w:p>
  </w:footnote>
  <w:footnote w:id="338">
    <w:p w14:paraId="76DEE0D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דאם אמרה "הן" פשוט הוא שהיא מקודשת, וכ"פ הרמב"ם (פ"ד ה"ה) והרא"ש, ב"י. ואם אמרה אחד מהלשונות שבגמ' גם פשוט שאינה מקודשת (שהרי זה המקרה שמובא בגמ').</w:t>
      </w:r>
    </w:p>
  </w:footnote>
  <w:footnote w:id="339">
    <w:p w14:paraId="5F6382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הרא"ש כ' שכדבריו מצא בשם הראב"ד, לכן איך שנפרש את דברי הרא"ש כך נצטרך לפרש את דברי הראב"ד.</w:t>
      </w:r>
    </w:p>
  </w:footnote>
  <w:footnote w:id="340">
    <w:p w14:paraId="0799DFA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הביאו הה"מ. בדפוס ראשון ושני (של הב"י) איתא 'רמב"ן', ובדפוס קניגסברג איתא 'רשב"א', וכן איתא אצל הה"מ שלפנינו, אך בכס"מ כ' שהה"מ כ' כן בשם הרמב"ן, והגר"א (סקכ"ו) גורס 'רשב"א' (גם בדברי הה"מ).</w:t>
      </w:r>
    </w:p>
  </w:footnote>
  <w:footnote w:id="341">
    <w:p w14:paraId="3526B0B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דהשתא לא גליא דעתה דלא נסיב לה לקדושין וחזקה אתרצויי אתרצית לקדושין ושקלת, רשב"א. "ואם לא אמרה אותו לשון </w:t>
      </w:r>
      <w:r w:rsidRPr="00351B7D">
        <w:rPr>
          <w:rFonts w:asciiTheme="minorBidi" w:hAnsiTheme="minorBidi"/>
          <w:sz w:val="16"/>
          <w:szCs w:val="16"/>
          <w:rtl/>
        </w:rPr>
        <w:t xml:space="preserve">(הב וכדו') </w:t>
      </w:r>
      <w:r w:rsidRPr="00351B7D">
        <w:rPr>
          <w:rFonts w:asciiTheme="minorBidi" w:hAnsiTheme="minorBidi"/>
          <w:rtl/>
        </w:rPr>
        <w:t xml:space="preserve">אין צריך לומר לה בשעת נתינה האמ"ל, אלא כיון שקבלה סתם מקודשת", ב"י </w:t>
      </w:r>
      <w:r w:rsidRPr="00351B7D">
        <w:rPr>
          <w:rFonts w:asciiTheme="minorBidi" w:hAnsiTheme="minorBidi"/>
          <w:sz w:val="16"/>
          <w:szCs w:val="16"/>
          <w:rtl/>
        </w:rPr>
        <w:t>(שו"ת ב"י סי' ח, ד"ה דבר פשוט)</w:t>
      </w:r>
      <w:r w:rsidRPr="00351B7D">
        <w:rPr>
          <w:rFonts w:asciiTheme="minorBidi" w:hAnsiTheme="minorBidi"/>
          <w:rtl/>
        </w:rPr>
        <w:t xml:space="preserve">. </w:t>
      </w:r>
    </w:p>
  </w:footnote>
  <w:footnote w:id="342">
    <w:p w14:paraId="285701A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אך בשו"ע לא הזכיר מקרה זה, אלא כ' רק את המקרה שחזר ואמר לה בשעת נתינה, מיהו הט"ז (סקי"ד) כ' דבשתקה הוי ספק קדושין</w:t>
      </w:r>
      <w:r w:rsidRPr="00351B7D">
        <w:rPr>
          <w:rFonts w:asciiTheme="minorBidi" w:hAnsiTheme="minorBidi"/>
          <w:sz w:val="14"/>
          <w:szCs w:val="14"/>
          <w:rtl/>
        </w:rPr>
        <w:t xml:space="preserve"> </w:t>
      </w:r>
      <w:r w:rsidRPr="00351B7D">
        <w:rPr>
          <w:rFonts w:asciiTheme="minorBidi" w:hAnsiTheme="minorBidi"/>
          <w:sz w:val="16"/>
          <w:szCs w:val="16"/>
          <w:rtl/>
        </w:rPr>
        <w:t>(אף שלא חזר ואמר בשעת נתינה)</w:t>
      </w:r>
      <w:r w:rsidRPr="00351B7D">
        <w:rPr>
          <w:rFonts w:asciiTheme="minorBidi" w:hAnsiTheme="minorBidi"/>
          <w:rtl/>
        </w:rPr>
        <w:t>.</w:t>
      </w:r>
    </w:p>
  </w:footnote>
  <w:footnote w:id="343">
    <w:p w14:paraId="2CE81A7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אות ו. והקשה שם על הב"י שהרי דברי הרא"ש הם במקרה שחזר ואמר לה בשעת נתינה, דאז היא מקודשת, אבל כשלא חזר ואמר (והיא שתקה)- לא דיבר הרא"ש בזה כלל. ובאמת חכם אחד כבר הקשה קושיה זאת לב"י והב"י ענה לו בתשובה</w:t>
      </w:r>
      <w:r w:rsidRPr="00351B7D">
        <w:rPr>
          <w:rFonts w:asciiTheme="minorBidi" w:hAnsiTheme="minorBidi"/>
          <w:sz w:val="16"/>
          <w:szCs w:val="16"/>
          <w:rtl/>
        </w:rPr>
        <w:t xml:space="preserve"> (שו"ת ב"י סי ח' ד"ה דבר פשוט, הביאה החדושי הגהות [אות ג])</w:t>
      </w:r>
      <w:r w:rsidRPr="00351B7D">
        <w:rPr>
          <w:rFonts w:asciiTheme="minorBidi" w:hAnsiTheme="minorBidi"/>
          <w:rtl/>
        </w:rPr>
        <w:t xml:space="preserve"> וז"ל- "דבר פשוט הוא שמש"כ הרא"ש 'אם אמר בשעה שנתנו לה וקבלה מקודשת' על אומרת הבה מיהבה כתב כן, לומר דאע"ג דהאי לישנא משמע שאינה חפצה בקידושין אם אמר לה בשעת נתינה הרי את מקודשת לי וקבלה מקודשת, משמע דלא הצריך לומר האמ"ל אלא משום דאמרה הבה מיהבה, הא אם לא אמרה אותו לשון אין צריך לומר לה בשעת נתינה האמ"ל, אלא כיון שקבלה סתם מקודשת, וכן משמעות לשון הרמב"ן דלא הוזכר א"ל האמ"ל אלא על לשון הבה מיהבה לומר שאע"פ שאמר לה האמ"ל אם היא השיבה אחד מלשונות אלו אינה מקודשת, הא לאו הכי אין כאן זכר להצריך שיאמר האמ"ל", עכ"ל הב"י שם. </w:t>
      </w:r>
    </w:p>
  </w:footnote>
  <w:footnote w:id="344">
    <w:p w14:paraId="5F4C588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נ"ל שהבין הב"י בדברי הרשב"א </w:t>
      </w:r>
      <w:r w:rsidRPr="00351B7D">
        <w:rPr>
          <w:rFonts w:asciiTheme="minorBidi" w:hAnsiTheme="minorBidi"/>
          <w:sz w:val="16"/>
          <w:szCs w:val="16"/>
          <w:rtl/>
        </w:rPr>
        <w:t xml:space="preserve">(לפי מש"כ הב"י וז"ל- "ומ"ש </w:t>
      </w:r>
      <w:r w:rsidRPr="00351B7D">
        <w:rPr>
          <w:rFonts w:asciiTheme="minorBidi" w:hAnsiTheme="minorBidi"/>
          <w:sz w:val="12"/>
          <w:szCs w:val="12"/>
          <w:rtl/>
        </w:rPr>
        <w:t>{הטור}</w:t>
      </w:r>
      <w:r w:rsidRPr="00351B7D">
        <w:rPr>
          <w:rFonts w:asciiTheme="minorBidi" w:hAnsiTheme="minorBidi"/>
          <w:sz w:val="16"/>
          <w:szCs w:val="16"/>
          <w:rtl/>
        </w:rPr>
        <w:t xml:space="preserve"> אם אמרה הן ונתן לה ה"ז מקודשת... ופשוט הוא שהיא מקודשת אלא שיש לתמוה למה הצריך שתאמר הן, דאפילו שתקה וקיבלה משמע נמי דמקודשת, וכן נראה ממ"ש רבינו בסמוך בשם הרא"ש וממה שאכתוב בשם הרמב"ן ז"ל, ומיהו לפי מה שאכתוב בשם הרשב"א אתי שפיר")</w:t>
      </w:r>
      <w:r w:rsidRPr="00351B7D">
        <w:rPr>
          <w:rFonts w:asciiTheme="minorBidi" w:hAnsiTheme="minorBidi"/>
          <w:rtl/>
        </w:rPr>
        <w:t>. וקשה לי דהרי כ' הרשב"א בפירוש בסוף דבריו וז"ל- "ואי אמר לה אי יהיבנא לך מקדשת לי ושקלתי' ואישתיקא מקודשת, דהשתא לא גליא דעתה דלא נסיב לה לקדושין וחזקה אתרצויי אתרצית לקדושין ושקלת", וצל"ע. ואולי אפ"ל שהב"י לא ראה את הרשב"א בפנים אלא ראה רק את מה שכ' הר"ן בשמו, והר"ן לא העתיק את סוף דברי הרשב"א שהעתקתי, ובאמת לפי מה שעתיק הר"ן כמעט מוכרח להבין כמו שכ' הב"י בדעת הרשב"א</w:t>
      </w:r>
      <w:r w:rsidRPr="00351B7D">
        <w:rPr>
          <w:rFonts w:asciiTheme="minorBidi" w:hAnsiTheme="minorBidi"/>
          <w:sz w:val="16"/>
          <w:szCs w:val="16"/>
          <w:rtl/>
        </w:rPr>
        <w:t xml:space="preserve"> (דהרשב"א כ' דכל שאמר לה בלשון שאלה אם איתא דאירציא היה לה לומר 'אין, מקדישנא לך', לכן כל שלא אמרה לו כעין זה הוי כאילו אמרה ליה 'בקידושי לא ניחא לי אלא במתנה')</w:t>
      </w:r>
      <w:r w:rsidRPr="00351B7D">
        <w:rPr>
          <w:rFonts w:asciiTheme="minorBidi" w:hAnsiTheme="minorBidi"/>
          <w:rtl/>
        </w:rPr>
        <w:t>.</w:t>
      </w:r>
    </w:p>
  </w:footnote>
  <w:footnote w:id="345">
    <w:p w14:paraId="0EECA18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הב"ש (סקכ"ד) איני יודע למה סתם ופסק כן בפשיטות לא כרשב"א דס"ל דלא הוי קידושין כיון שלא אמרה הן, ולהר"ן ג"כ היא ספק מקודשת. וכ"כ הט"ז (סקט"ו).</w:t>
      </w:r>
    </w:p>
  </w:footnote>
  <w:footnote w:id="346">
    <w:p w14:paraId="26FCE5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דלרשב"א</w:t>
      </w:r>
      <w:r w:rsidRPr="00351B7D">
        <w:rPr>
          <w:rFonts w:asciiTheme="minorBidi" w:hAnsiTheme="minorBidi"/>
          <w:sz w:val="16"/>
          <w:szCs w:val="16"/>
          <w:rtl/>
        </w:rPr>
        <w:t xml:space="preserve"> (ונ"ל שגם לרמב"ן, לפי מש"כ הב"י בשו"ת על דבריו)</w:t>
      </w:r>
      <w:r w:rsidRPr="00351B7D">
        <w:rPr>
          <w:rFonts w:asciiTheme="minorBidi" w:hAnsiTheme="minorBidi"/>
          <w:rtl/>
        </w:rPr>
        <w:t xml:space="preserve"> אין הבדל אם חזר ואמר בשעת נתינה אי לאו, וז"ל- "דהא דקאמר לה אי יהיבנא לך מקדשת לי לאו למימרא דלבסוף נתן לה סתם אלא בשעת נתינה אמר לה הרי את מקודשת לי בזה דסתמא דמלתא הכין הוא ואע"ג דלא אמר לה הכי בגמ' בהדיא, משום דקאמר לה מעיקרא מקדשת לי כי לא אמר בגמ' דאמר לה לבסוף לא מעלה ולא מוריד". </w:t>
      </w:r>
      <w:r w:rsidRPr="00351B7D">
        <w:rPr>
          <w:rFonts w:asciiTheme="minorBidi" w:hAnsiTheme="minorBidi"/>
          <w:sz w:val="14"/>
          <w:szCs w:val="14"/>
          <w:rtl/>
        </w:rPr>
        <w:t>(מכאן אלו דברי הר"ן שסיכם את דברי הרשב"א)</w:t>
      </w:r>
      <w:r w:rsidRPr="00351B7D">
        <w:rPr>
          <w:rFonts w:asciiTheme="minorBidi" w:hAnsiTheme="minorBidi"/>
          <w:rtl/>
        </w:rPr>
        <w:t xml:space="preserve"> "ואם איתא דאירציא היה לה לאהדורי 'אין, מיקדשנא לך', ומדלא מהדרא הכי אלא אמרה הבה מיהבא ודאי הכי קאמרה בקידושי לא ניחא לי אלא במתנה".</w:t>
      </w:r>
    </w:p>
  </w:footnote>
  <w:footnote w:id="347">
    <w:p w14:paraId="4EEDC700" w14:textId="77777777" w:rsidR="00DF1FC7" w:rsidRPr="00351B7D" w:rsidRDefault="00DF1FC7" w:rsidP="008E16D0">
      <w:pPr>
        <w:pStyle w:val="a5"/>
        <w:rPr>
          <w:rFonts w:asciiTheme="minorBidi" w:hAnsiTheme="minorBidi"/>
          <w:color w:val="FF0000"/>
        </w:rPr>
      </w:pPr>
      <w:r w:rsidRPr="00351B7D">
        <w:rPr>
          <w:rStyle w:val="a7"/>
          <w:rFonts w:asciiTheme="minorBidi" w:hAnsiTheme="minorBidi"/>
          <w:color w:val="FF0000"/>
        </w:rPr>
        <w:footnoteRef/>
      </w:r>
      <w:r w:rsidRPr="00351B7D">
        <w:rPr>
          <w:rFonts w:asciiTheme="minorBidi" w:hAnsiTheme="minorBidi"/>
          <w:color w:val="FF0000"/>
          <w:rtl/>
        </w:rPr>
        <w:t xml:space="preserve"> ולכאורה יוצא מדברי הרשב"א דאם אמר לה בתחילה (לפני שביקשה היא) תתקדשי לי בזה! (שלא בלשון שאלה) כיון שאמרה לו הב א"נ הבא מיהבא הרי היא כמסכמת לדבריו ומקודשת, וצל"ע.</w:t>
      </w:r>
    </w:p>
  </w:footnote>
  <w:footnote w:id="348">
    <w:p w14:paraId="12F8197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הח"מ (סקכ"ב) תמה על הרמ"א מדוע כ' הג"ה זו, והרי השו"ע מזכיר דין זה בסוף הסע'. אך לפי מה שכתבתי שהב"י בשו"ת פסק כי"א שהביא הר"ן </w:t>
      </w:r>
      <w:r w:rsidRPr="00351B7D">
        <w:rPr>
          <w:rFonts w:asciiTheme="minorBidi" w:hAnsiTheme="minorBidi"/>
          <w:sz w:val="16"/>
          <w:szCs w:val="16"/>
          <w:rtl/>
        </w:rPr>
        <w:t xml:space="preserve">(שאפי' לא שתקה, אלא חזרה ואמרה </w:t>
      </w:r>
      <w:r w:rsidRPr="00351B7D">
        <w:rPr>
          <w:rFonts w:asciiTheme="minorBidi" w:hAnsiTheme="minorBidi"/>
          <w:sz w:val="14"/>
          <w:szCs w:val="14"/>
          <w:rtl/>
        </w:rPr>
        <w:t xml:space="preserve">(לאחר שאמר לה התקדשי לי בשעת הנתינה) </w:t>
      </w:r>
      <w:r w:rsidRPr="00351B7D">
        <w:rPr>
          <w:rFonts w:asciiTheme="minorBidi" w:hAnsiTheme="minorBidi"/>
          <w:sz w:val="16"/>
          <w:szCs w:val="16"/>
          <w:rtl/>
        </w:rPr>
        <w:t>הבה מיהבה- מקודשת)</w:t>
      </w:r>
      <w:r w:rsidRPr="00351B7D">
        <w:rPr>
          <w:rFonts w:asciiTheme="minorBidi" w:hAnsiTheme="minorBidi"/>
          <w:rtl/>
        </w:rPr>
        <w:t xml:space="preserve"> אתי שפיר, שהרי הרמ"א כ' שמקודשת רק אם שתקה </w:t>
      </w:r>
      <w:r w:rsidRPr="00351B7D">
        <w:rPr>
          <w:rFonts w:asciiTheme="minorBidi" w:hAnsiTheme="minorBidi"/>
          <w:sz w:val="16"/>
          <w:szCs w:val="16"/>
          <w:rtl/>
        </w:rPr>
        <w:t>(כפי שתיקנו האחרונים בלשונו)</w:t>
      </w:r>
      <w:r w:rsidRPr="00351B7D">
        <w:rPr>
          <w:rFonts w:asciiTheme="minorBidi" w:hAnsiTheme="minorBidi"/>
          <w:rtl/>
        </w:rPr>
        <w:t xml:space="preserve"> והשו"ע סתם וכ' שאם אמר בשעת נתינה הרי היא מקודשת, ומשמע לא שנא שתקה לא שנא אמרה שוב הבה מיהבה. </w:t>
      </w:r>
    </w:p>
  </w:footnote>
  <w:footnote w:id="349">
    <w:p w14:paraId="52F5316F" w14:textId="77777777" w:rsidR="00DF1FC7" w:rsidRPr="00351B7D" w:rsidRDefault="00DF1FC7" w:rsidP="008E16D0">
      <w:pPr>
        <w:pStyle w:val="a5"/>
        <w:rPr>
          <w:rFonts w:asciiTheme="minorBidi" w:hAnsiTheme="minorBidi"/>
          <w:sz w:val="14"/>
          <w:szCs w:val="14"/>
          <w:rtl/>
        </w:rPr>
      </w:pPr>
      <w:r w:rsidRPr="00351B7D">
        <w:rPr>
          <w:rStyle w:val="a7"/>
          <w:rFonts w:asciiTheme="minorBidi" w:hAnsiTheme="minorBidi"/>
        </w:rPr>
        <w:footnoteRef/>
      </w:r>
      <w:r w:rsidRPr="00351B7D">
        <w:rPr>
          <w:rFonts w:asciiTheme="minorBidi" w:hAnsiTheme="minorBidi"/>
          <w:rtl/>
        </w:rPr>
        <w:t xml:space="preserve"> משפט זה אינו מובן, לכן הט"ז (סקט"ז) ועוד כ' דצ"ל- ואם לא קיבלה. והנח"צ (סקי"ח) מחק תיבת 'בשתיקה'. והבאה"ט (סקי"ז) הוסיף עפ"ז דתיבת בשתיקה שייכת לעיל וצ"ל שם- אם קיבלה בשתיקה מקודשת. והגר"א (סקכ"ה) כ' דצ"ל- אם קבלה בשתיקה, וקאי אלמעלה, ואח"כ צ"ל- ואם חזרה ואמרה </w:t>
      </w:r>
      <w:r w:rsidRPr="00351B7D">
        <w:rPr>
          <w:rFonts w:asciiTheme="minorBidi" w:hAnsiTheme="minorBidi"/>
          <w:sz w:val="16"/>
          <w:szCs w:val="16"/>
          <w:rtl/>
        </w:rPr>
        <w:t>(ומ"מ יש אפשרות להשאיר כך את לשונו ולפרש דתנא סיפא לגלויי רישא, דהיינו שבתחילה לא כתב הרמ"א באיזה מקרה מדובר, אם שתקה או ענתה, לכן מיד כ' "אם קיבלה בשתיקה רק חזרה ואמרה" דמשמע דמקודם רק שתקה, ומש"כ הרמ"א "שתקה ולאחמ"כ "אמרה" דהווי תרתי דסתרי י"ל שקיבלה בשתיקה [לאפוקי שענתה לו לפני שקיבלה] ורק לאחר שקיבלה ענתה לו, וכך אתי שפיר לשונו)</w:t>
      </w:r>
      <w:r w:rsidRPr="00351B7D">
        <w:rPr>
          <w:rFonts w:asciiTheme="minorBidi" w:hAnsiTheme="minorBidi"/>
          <w:rtl/>
        </w:rPr>
        <w:t>, ולמסקנא כולם מסכימים שדעת הרמ"א דכשאמר בשעת נתינה האמ"ל- אם שתקה מקודשת, ואם ענתה הב וכדו' אינה מקודשת.</w:t>
      </w:r>
    </w:p>
  </w:footnote>
  <w:footnote w:id="350">
    <w:p w14:paraId="2376554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הח"מ (סקכ"א) כ'- "ולא ידעתי לשון שחוק זה מה טיבו", דהרי לא הוזכר בשום מקום  (וגם אינו צריך). וגם הגר"א כ' שט"ס היא וצ"ל: 'ואמרה לו הב'. אך הט"ז (סקי"ז) והב"ש (סקכ"ה) כ' דכן משמע במרדכי ומשם לקחו הרמ"א</w:t>
      </w:r>
      <w:r w:rsidRPr="00351B7D">
        <w:rPr>
          <w:rFonts w:asciiTheme="minorBidi" w:hAnsiTheme="minorBidi"/>
          <w:sz w:val="16"/>
          <w:szCs w:val="16"/>
          <w:rtl/>
        </w:rPr>
        <w:t xml:space="preserve"> (ולשון שחוק היינו- תתן ואל תשגע אותי. כמו שזכר השו"ע קודם לכן)</w:t>
      </w:r>
      <w:r w:rsidRPr="00351B7D">
        <w:rPr>
          <w:rFonts w:asciiTheme="minorBidi" w:hAnsiTheme="minorBidi"/>
          <w:rtl/>
        </w:rPr>
        <w:t>, ומ"מ גם הוא מסיק למסקנה כהח"מ דאפילו אם לא השיבה לו בלשון שחוק הוי ספק קדושין.</w:t>
      </w:r>
    </w:p>
  </w:footnote>
  <w:footnote w:id="351">
    <w:p w14:paraId="0DB34CF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כ"ה בדפ"ר, וראה ח"מ</w:t>
      </w:r>
      <w:r w:rsidRPr="00351B7D">
        <w:rPr>
          <w:rFonts w:asciiTheme="minorBidi" w:hAnsiTheme="minorBidi"/>
          <w:sz w:val="18"/>
          <w:szCs w:val="18"/>
          <w:rtl/>
        </w:rPr>
        <w:t xml:space="preserve"> </w:t>
      </w:r>
      <w:r w:rsidRPr="00351B7D">
        <w:rPr>
          <w:rFonts w:asciiTheme="minorBidi" w:hAnsiTheme="minorBidi"/>
          <w:sz w:val="14"/>
          <w:szCs w:val="14"/>
          <w:rtl/>
        </w:rPr>
        <w:t>(סקכ"א)</w:t>
      </w:r>
      <w:r w:rsidRPr="00351B7D">
        <w:rPr>
          <w:rFonts w:asciiTheme="minorBidi" w:hAnsiTheme="minorBidi"/>
          <w:rtl/>
        </w:rPr>
        <w:t xml:space="preserve">, וממהדורת שפ"ז ועוד שינו לכתוב 'הן', ועי' ט"ז </w:t>
      </w:r>
      <w:r w:rsidRPr="00351B7D">
        <w:rPr>
          <w:rFonts w:asciiTheme="minorBidi" w:hAnsiTheme="minorBidi"/>
          <w:sz w:val="14"/>
          <w:szCs w:val="14"/>
          <w:rtl/>
        </w:rPr>
        <w:t>(סקי"ז)</w:t>
      </w:r>
      <w:r w:rsidRPr="00351B7D">
        <w:rPr>
          <w:rFonts w:asciiTheme="minorBidi" w:hAnsiTheme="minorBidi"/>
          <w:rtl/>
        </w:rPr>
        <w:t xml:space="preserve">, והגר"א </w:t>
      </w:r>
      <w:r w:rsidRPr="00351B7D">
        <w:rPr>
          <w:rFonts w:asciiTheme="minorBidi" w:hAnsiTheme="minorBidi"/>
          <w:sz w:val="14"/>
          <w:szCs w:val="14"/>
          <w:rtl/>
        </w:rPr>
        <w:t>(סקכ"ז)</w:t>
      </w:r>
      <w:r w:rsidRPr="00351B7D">
        <w:rPr>
          <w:rFonts w:asciiTheme="minorBidi" w:hAnsiTheme="minorBidi"/>
          <w:sz w:val="16"/>
          <w:szCs w:val="16"/>
          <w:rtl/>
        </w:rPr>
        <w:t xml:space="preserve"> </w:t>
      </w:r>
      <w:r w:rsidRPr="00351B7D">
        <w:rPr>
          <w:rFonts w:asciiTheme="minorBidi" w:hAnsiTheme="minorBidi"/>
          <w:rtl/>
        </w:rPr>
        <w:t xml:space="preserve">כ' דצ"ל 'הב', שנו"ס </w:t>
      </w:r>
      <w:r w:rsidRPr="00351B7D">
        <w:rPr>
          <w:rFonts w:asciiTheme="minorBidi" w:hAnsiTheme="minorBidi"/>
          <w:sz w:val="16"/>
          <w:szCs w:val="16"/>
          <w:rtl/>
        </w:rPr>
        <w:t>(פריעד')</w:t>
      </w:r>
      <w:r w:rsidRPr="00351B7D">
        <w:rPr>
          <w:rFonts w:asciiTheme="minorBidi" w:hAnsiTheme="minorBidi"/>
          <w:rtl/>
        </w:rPr>
        <w:t>.</w:t>
      </w:r>
    </w:p>
  </w:footnote>
  <w:footnote w:id="352">
    <w:p w14:paraId="329D032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אמרה איהי לבסוף הב או הבה מיהבא, ב"י (בשו"ת ב"י סי' ח ד"ה דבר פשוט).</w:t>
      </w:r>
    </w:p>
  </w:footnote>
  <w:footnote w:id="353">
    <w:p w14:paraId="4C8E3A4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מדרבנן שגזרו על הייחוד של פנויה ואף ארוסה לא התירו עד שתיכנס לחופה ובברכה כדפרישית כלה בלא ברכה אסורה לבעלה כנדה ואדרבנן נמי מברכין וצונו ואסר לנו כדאשכחן בנר חנוכה (שבת דף כג), רש"י.</w:t>
      </w:r>
    </w:p>
  </w:footnote>
  <w:footnote w:id="354">
    <w:p w14:paraId="075E39C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את נשותינו הנשואות לנו על ידי חופה וקידושין, רש"י.</w:t>
      </w:r>
    </w:p>
  </w:footnote>
  <w:footnote w:id="355">
    <w:p w14:paraId="44DADFB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ואע"פ שקידושין קודמין לחופה היינו ע"י חופה וקידושין שקדמו להם, ר"ן.</w:t>
      </w:r>
    </w:p>
  </w:footnote>
  <w:footnote w:id="356">
    <w:p w14:paraId="1BC5E65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בורא פרי העץ, רש"י.</w:t>
      </w:r>
    </w:p>
  </w:footnote>
  <w:footnote w:id="357">
    <w:p w14:paraId="1223916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על השחיטה ועל המילה דכיון דכולה חדא הודאה היא ואין הפסק בקשה בינתיים לא בעיא חתימה כדאמר בערבי פסחים (פסחים דף קה) ברכת המצות טעמא מאי משום דהודאה היא הא נמי כולה הודאה היא, רש"י.</w:t>
      </w:r>
    </w:p>
  </w:footnote>
  <w:footnote w:id="358">
    <w:p w14:paraId="798DA31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דבלשון קדושה היא כקידוש היום חתמינן בה כי התם דבההיא חתמינן משום דיש בה הפסק כגון כי הוא יום תחלה למקראי קודש, רש"י.</w:t>
      </w:r>
    </w:p>
  </w:footnote>
  <w:footnote w:id="359">
    <w:p w14:paraId="49B6633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 הקדושין קודמים לחופה, "אלא מפני שהדייקנים קראוה לבי"ת ההיא רפה מפני שהיא סמוכה לה"א שהיא מאותיות אהו"י ומרפות בג"ד כפ"ת טעו הסופרים וכתבוה בוי"ו", בהעי"ט ([שם] הביאו הר"ן).</w:t>
      </w:r>
    </w:p>
  </w:footnote>
  <w:footnote w:id="360">
    <w:p w14:paraId="75087E0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עיין בהערה במקומה בשו"ע שיש כמה נוסחאות בדברי השו"ע.</w:t>
      </w:r>
    </w:p>
  </w:footnote>
  <w:footnote w:id="361">
    <w:p w14:paraId="61D8D9D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הה"מ שגירסא נכונה היא, והוא על מה שאמרו קדושים תהיו </w:t>
      </w:r>
      <w:r w:rsidRPr="00351B7D">
        <w:rPr>
          <w:rFonts w:asciiTheme="minorBidi" w:hAnsiTheme="minorBidi"/>
          <w:sz w:val="16"/>
          <w:szCs w:val="16"/>
          <w:rtl/>
        </w:rPr>
        <w:t xml:space="preserve">(ויקרא יט ב) </w:t>
      </w:r>
      <w:r w:rsidRPr="00351B7D">
        <w:rPr>
          <w:rFonts w:asciiTheme="minorBidi" w:hAnsiTheme="minorBidi"/>
          <w:rtl/>
        </w:rPr>
        <w:t>הוו פרושים מן העריות. (אך שא"פ לא שינו)</w:t>
      </w:r>
    </w:p>
  </w:footnote>
  <w:footnote w:id="362">
    <w:p w14:paraId="5729152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בדרכ"מ </w:t>
      </w:r>
      <w:r w:rsidRPr="00351B7D">
        <w:rPr>
          <w:rFonts w:asciiTheme="minorBidi" w:hAnsiTheme="minorBidi"/>
          <w:sz w:val="16"/>
          <w:szCs w:val="16"/>
          <w:rtl/>
        </w:rPr>
        <w:t xml:space="preserve">(אות ב) </w:t>
      </w:r>
      <w:r w:rsidRPr="00351B7D">
        <w:rPr>
          <w:rFonts w:asciiTheme="minorBidi" w:hAnsiTheme="minorBidi"/>
          <w:rtl/>
        </w:rPr>
        <w:t xml:space="preserve">שכן המנהג פשוט. </w:t>
      </w:r>
    </w:p>
  </w:footnote>
  <w:footnote w:id="363">
    <w:p w14:paraId="5E1D0D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 האי גאון</w:t>
      </w:r>
      <w:r w:rsidRPr="00351B7D">
        <w:rPr>
          <w:rFonts w:asciiTheme="minorBidi" w:hAnsiTheme="minorBidi"/>
          <w:sz w:val="16"/>
          <w:szCs w:val="16"/>
          <w:rtl/>
        </w:rPr>
        <w:t xml:space="preserve"> (הביאו הרמב"ן)</w:t>
      </w:r>
      <w:r w:rsidRPr="00351B7D">
        <w:rPr>
          <w:rFonts w:asciiTheme="minorBidi" w:hAnsiTheme="minorBidi"/>
          <w:rtl/>
        </w:rPr>
        <w:t xml:space="preserve"> רמב"ם </w:t>
      </w:r>
      <w:r w:rsidRPr="00351B7D">
        <w:rPr>
          <w:rFonts w:asciiTheme="minorBidi" w:hAnsiTheme="minorBidi"/>
          <w:sz w:val="16"/>
          <w:szCs w:val="16"/>
          <w:rtl/>
        </w:rPr>
        <w:t xml:space="preserve">(פ"ג הכ"ד) </w:t>
      </w:r>
      <w:r w:rsidRPr="00351B7D">
        <w:rPr>
          <w:rFonts w:asciiTheme="minorBidi" w:hAnsiTheme="minorBidi"/>
          <w:rtl/>
        </w:rPr>
        <w:t xml:space="preserve">ורמב"ן </w:t>
      </w:r>
      <w:r w:rsidRPr="00351B7D">
        <w:rPr>
          <w:rFonts w:asciiTheme="minorBidi" w:hAnsiTheme="minorBidi"/>
          <w:sz w:val="16"/>
          <w:szCs w:val="16"/>
          <w:rtl/>
        </w:rPr>
        <w:t>(שטמ"ק ז: ד"ה וז"ל הרמב"ן, ובחידושיו ז: ד"ה ונראה, והביאו ג"כ הר"ן)</w:t>
      </w:r>
      <w:r w:rsidRPr="00351B7D">
        <w:rPr>
          <w:rFonts w:asciiTheme="minorBidi" w:hAnsiTheme="minorBidi"/>
          <w:rtl/>
        </w:rPr>
        <w:t>.</w:t>
      </w:r>
    </w:p>
  </w:footnote>
  <w:footnote w:id="364">
    <w:p w14:paraId="1BA35D0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כמש"כ בגמ'</w:t>
      </w:r>
      <w:r w:rsidRPr="00351B7D">
        <w:rPr>
          <w:rFonts w:asciiTheme="minorBidi" w:hAnsiTheme="minorBidi"/>
          <w:sz w:val="16"/>
          <w:szCs w:val="16"/>
          <w:rtl/>
        </w:rPr>
        <w:t xml:space="preserve"> (בגי' רב האי והרמב"ן)</w:t>
      </w:r>
      <w:r w:rsidRPr="00351B7D">
        <w:rPr>
          <w:rFonts w:asciiTheme="minorBidi" w:hAnsiTheme="minorBidi"/>
          <w:rtl/>
        </w:rPr>
        <w:t xml:space="preserve">, אע"פ שכתוב </w:t>
      </w:r>
      <w:r w:rsidRPr="00351B7D">
        <w:rPr>
          <w:rFonts w:asciiTheme="minorBidi" w:hAnsiTheme="minorBidi"/>
          <w:sz w:val="16"/>
          <w:szCs w:val="16"/>
          <w:rtl/>
        </w:rPr>
        <w:t>(כדברי הרא"ש)</w:t>
      </w:r>
      <w:r w:rsidRPr="00351B7D">
        <w:rPr>
          <w:rFonts w:asciiTheme="minorBidi" w:hAnsiTheme="minorBidi"/>
          <w:rtl/>
        </w:rPr>
        <w:t xml:space="preserve"> במקצת נוסחאות, לפי שאינו ראוי לברך על החופה שאינה נעשית עכשיו, ועוד שמקדש ישראל הוא מעין הפתיחה שקידשם בכל עסקי נישואין, לפיכך אין לחתום אלא מקדש ישראל בלבד, ועוד שמצאתי כתוב ברי"ף- 'בא"י מקדש ישראל על ידי חופה וקידושין', ובכתב ידו נמחק ע"י חופה וקידושין, ועיקר, רמב"ן. ועוד גמרא היא מקדש ישראל וכך חותמין בשתי ישיבות מימות חכמים הראשונים ועד עכשיו, ותוספת זה שאתם מוסיפין גריעותא היא שאין קדושת ישראל תלויה בכך, ונאה לכם לחזור להלכה ולמנהגנו בהסכמת הכל, רבינו האיי. וכ' הב"י שכן המנהג.</w:t>
      </w:r>
    </w:p>
  </w:footnote>
  <w:footnote w:id="365">
    <w:p w14:paraId="6534969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היכן מצינו ברכה כגון זו שמברכין על האיסור והלא אין מברכין שאסר לנו אבר מן החי והתיר לנו את השחיטה, ר"ן.</w:t>
      </w:r>
    </w:p>
  </w:footnote>
  <w:footnote w:id="366">
    <w:p w14:paraId="2D819F1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מברכין במטבע קצר אשר צונו על הקידושין, כמו שמברכין על כל המצוה במטבע קצר על המילה ועל השחיטה, ר"ן.</w:t>
      </w:r>
    </w:p>
  </w:footnote>
  <w:footnote w:id="367">
    <w:p w14:paraId="60C0B10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אך נחלקו הרא"ש והר"ן מדוע אין היא ברכת המצות:</w:t>
      </w:r>
    </w:p>
    <w:p w14:paraId="5B538566" w14:textId="77777777" w:rsidR="00DF1FC7" w:rsidRPr="00351B7D" w:rsidRDefault="00DF1FC7" w:rsidP="00A8697F">
      <w:pPr>
        <w:pStyle w:val="a5"/>
        <w:numPr>
          <w:ilvl w:val="0"/>
          <w:numId w:val="45"/>
        </w:numPr>
        <w:rPr>
          <w:rFonts w:asciiTheme="minorBidi" w:hAnsiTheme="minorBidi"/>
        </w:rPr>
      </w:pPr>
      <w:r w:rsidRPr="00351B7D">
        <w:rPr>
          <w:rFonts w:asciiTheme="minorBidi" w:hAnsiTheme="minorBidi"/>
          <w:rtl/>
        </w:rPr>
        <w:t xml:space="preserve">ר"ן- שא"א לברך כפי מה שראוי לברך בברכת המצות, שאין לברך בשעת הקידושין אקב"ו על הקידושין משום דאין מברכין על מצוה שאין עשייתה גמר מלאכתה </w:t>
      </w:r>
      <w:r w:rsidRPr="00351B7D">
        <w:rPr>
          <w:rFonts w:asciiTheme="minorBidi" w:hAnsiTheme="minorBidi"/>
          <w:sz w:val="16"/>
          <w:szCs w:val="16"/>
          <w:rtl/>
        </w:rPr>
        <w:t xml:space="preserve">(מנחות מב:) </w:t>
      </w:r>
      <w:r w:rsidRPr="00351B7D">
        <w:rPr>
          <w:rFonts w:asciiTheme="minorBidi" w:hAnsiTheme="minorBidi"/>
          <w:rtl/>
        </w:rPr>
        <w:t>כי הא, דאכתי מיחסרא מסירה לחופה, ובשעת כניסה לחופה א"א לו לברך על קידושין וחופה כיון שכבר קידש מזמן מרובה, וכשבא לקדש ולכנוס באחת נמי לא ראוי לתקן לו ברכה בפני עצמה כדי שיהא טופס ברכה שוה לכל, וכיון דברכת המצוה ממש א"א, לא רצו להוציא מצוה זו בלא ברכה כלל ותקנו לברך בה על קדושתן של ישראל והיינו שהקב"ה בחר בהם וקידשם בענין זיווג באסור להם ובמותר להם והיינו שצונו על העריות, וכדי שלא יטעה השומע לומר שבקידושין אלו בלבד הותרו המותרות הוצרכו לומר ואסר לנו את הארוסות בלאו דלא תסור והזכיר היתירן דהיינו ע"י חופה וקידושין.</w:t>
      </w:r>
    </w:p>
    <w:p w14:paraId="2E317492" w14:textId="77777777" w:rsidR="00DF1FC7" w:rsidRPr="00351B7D" w:rsidRDefault="00DF1FC7" w:rsidP="00A8697F">
      <w:pPr>
        <w:pStyle w:val="a5"/>
        <w:numPr>
          <w:ilvl w:val="0"/>
          <w:numId w:val="45"/>
        </w:numPr>
        <w:rPr>
          <w:rFonts w:asciiTheme="minorBidi" w:hAnsiTheme="minorBidi"/>
          <w:rtl/>
        </w:rPr>
      </w:pPr>
      <w:r w:rsidRPr="00351B7D">
        <w:rPr>
          <w:rFonts w:asciiTheme="minorBidi" w:hAnsiTheme="minorBidi"/>
          <w:rtl/>
        </w:rPr>
        <w:t>רא"ש- כי ברכה זו אינה ברכה לעשיית המצות, כי פריה ורביה היינו קיום המצוה, ואם לקח פילגש וקיים מצות פריה ורביה אינו מחוייב לקדש אשה, והילכך לא נתקנה ברכה במצוה זו אף בנושא אשה לשם פריה ורביה כיון שאפשר לקיים מצות פריה ורביה בלא קידושין, וברכה זו נתקנה לתת שבח להקב"ה אשר קב"ו להבדילנו מן העמים וצונו לקדש אשה המותרת לנו ולא אחת מן העריות, והזכירו בו היתר נשואות בחופה וקידושין ואיסור ארוסות שלא יטעה אדם לומר שהברכה של קידושין נתקנה להתירה לו, לכך הזכירו חופה לומר דדוקא ברכת חופה היא המתרת הכלה, ולהכי נמי הקדימו חופה לקידושין לומר התיר לנו את הנשואות ע"י חופה שאחר ברכת הקידושין.</w:t>
      </w:r>
    </w:p>
  </w:footnote>
  <w:footnote w:id="368">
    <w:p w14:paraId="3A51C8B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דרשו רז"ל על פסוק בוכה למשפחותיו- על עסקי משפחותיו, דהיינו על העריות שנאסרו להם, וכדי להורות שאנחנו אינם כמוהם להיות מצטערים על איסור זה אלא אדרבא אנו מודים ומשבחים על שזכינו לקדושה זו ולא צער לנו בזה, ואמר אח"כ דרך לא זו אף זו דלא מבעיא שאין אנו מצטערים על איסור עריות שהרי דבר זו אפילו באומות מחזיקין איסור בהם אלא אפילו בארוסות שלנו אסורות עלינו אפ"ה אין אנו מצטערים ולא עוד אלא אפי' בנשואות שלנו שאין מותרין אלא ע"י חופה וקידוש' דהיינו בתרתי קדושות אבל בחדא מהם לא סגי וזה נחשב חלילה יותר לצער ואנחנו אין מצטערין בזה אלא אדרב' אנו משבחים אותך על זה שהקדשתנו בזה, נמצא שמה שאומרים והתיר לנו וכו' אין הכונה על ההיתר אלא על הדיוק שלא הותר לנו אלא דווקא ע"י שני קדושות, ט"ז.</w:t>
      </w:r>
    </w:p>
  </w:footnote>
  <w:footnote w:id="369">
    <w:p w14:paraId="6E8D55B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(בשו"ת סי' רצג) </w:t>
      </w:r>
      <w:r w:rsidRPr="00351B7D">
        <w:rPr>
          <w:rFonts w:asciiTheme="minorBidi" w:hAnsiTheme="minorBidi"/>
          <w:rtl/>
        </w:rPr>
        <w:t xml:space="preserve">רמב"ם </w:t>
      </w:r>
      <w:r w:rsidRPr="00351B7D">
        <w:rPr>
          <w:rFonts w:asciiTheme="minorBidi" w:hAnsiTheme="minorBidi"/>
          <w:sz w:val="16"/>
          <w:szCs w:val="16"/>
          <w:rtl/>
        </w:rPr>
        <w:t>(פ"ג הכ"ג)</w:t>
      </w:r>
      <w:r w:rsidRPr="00351B7D">
        <w:rPr>
          <w:rFonts w:asciiTheme="minorBidi" w:hAnsiTheme="minorBidi"/>
          <w:rtl/>
        </w:rPr>
        <w:t xml:space="preserve"> ורא"ש </w:t>
      </w:r>
      <w:r w:rsidRPr="00351B7D">
        <w:rPr>
          <w:rFonts w:asciiTheme="minorBidi" w:hAnsiTheme="minorBidi"/>
          <w:sz w:val="16"/>
          <w:szCs w:val="16"/>
          <w:rtl/>
        </w:rPr>
        <w:t xml:space="preserve">(כלל כ"ו סי' א, ואע"ג שבחידושיו </w:t>
      </w:r>
      <w:r w:rsidRPr="00351B7D">
        <w:rPr>
          <w:rFonts w:asciiTheme="minorBidi" w:hAnsiTheme="minorBidi"/>
          <w:sz w:val="14"/>
          <w:szCs w:val="14"/>
          <w:rtl/>
        </w:rPr>
        <w:t xml:space="preserve">(כתובות סי' יב) </w:t>
      </w:r>
      <w:r w:rsidRPr="00351B7D">
        <w:rPr>
          <w:rFonts w:asciiTheme="minorBidi" w:hAnsiTheme="minorBidi"/>
          <w:sz w:val="16"/>
          <w:szCs w:val="16"/>
          <w:rtl/>
        </w:rPr>
        <w:t>הביא את שתי הדעות, בתשו' הכריע כהרמב"ם, וז"ל- "ששאלת שמצאת בתשובה על שם הרי"ף שאין לברך ברכת אירוסין אלא קודם הקידושין ודאי כן הוא כמו שכתבת והמברך אחר הקידושין טועה הוא", עכ"ל)</w:t>
      </w:r>
      <w:r w:rsidRPr="00351B7D">
        <w:rPr>
          <w:rFonts w:asciiTheme="minorBidi" w:hAnsiTheme="minorBidi"/>
          <w:rtl/>
        </w:rPr>
        <w:t>.</w:t>
      </w:r>
    </w:p>
  </w:footnote>
  <w:footnote w:id="370">
    <w:p w14:paraId="3F1D38E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דמה שנעשה כבר נעשה, רמב"ם. וכ' הב"י שכן המנהג בכל א"י ומלכות מצרים. והוסיף הדרכ"מ (אות ד) שכן המנהג במדינותיו.</w:t>
      </w:r>
    </w:p>
  </w:footnote>
  <w:footnote w:id="371">
    <w:p w14:paraId="5F1CA20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ספר התשב"ץ הקטן (להבדיל משו"ת התשב"ץ לר' שמעון ב"ר צמח דוראן) נכתב בידי ר' שמשון ב"ר צדוק, תלמידו ומשרתו של מהר"ם מרוטנבורג, הספר כולל 590 פסקים של המהר"ם מרוטנבורג בנושאים שונים, רובם נכתבו בידי ר' שמשון ע"פ מה שראה ושמע, אולם בספר ישנם גם פסקים שנוסחו בידי מהר"ם עצמו (ע"פ ביוגרפיה פרוייקט השו"ת). </w:t>
      </w:r>
    </w:p>
  </w:footnote>
  <w:footnote w:id="372">
    <w:p w14:paraId="6881A60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ר"ת </w:t>
      </w:r>
      <w:r w:rsidRPr="00351B7D">
        <w:rPr>
          <w:rFonts w:asciiTheme="minorBidi" w:hAnsiTheme="minorBidi"/>
          <w:sz w:val="16"/>
          <w:szCs w:val="16"/>
          <w:rtl/>
        </w:rPr>
        <w:t xml:space="preserve">(כ"כ המרדכי </w:t>
      </w:r>
      <w:r w:rsidRPr="00351B7D">
        <w:rPr>
          <w:rFonts w:asciiTheme="minorBidi" w:hAnsiTheme="minorBidi"/>
          <w:sz w:val="14"/>
          <w:szCs w:val="14"/>
          <w:rtl/>
        </w:rPr>
        <w:t xml:space="preserve">[פסחים סי' תקלט] </w:t>
      </w:r>
      <w:r w:rsidRPr="00351B7D">
        <w:rPr>
          <w:rFonts w:asciiTheme="minorBidi" w:hAnsiTheme="minorBidi"/>
          <w:sz w:val="16"/>
          <w:szCs w:val="16"/>
          <w:rtl/>
        </w:rPr>
        <w:t xml:space="preserve">בשמו) </w:t>
      </w:r>
      <w:r w:rsidRPr="00351B7D">
        <w:rPr>
          <w:rFonts w:asciiTheme="minorBidi" w:hAnsiTheme="minorBidi"/>
          <w:rtl/>
        </w:rPr>
        <w:t xml:space="preserve">תוס' </w:t>
      </w:r>
      <w:r w:rsidRPr="00351B7D">
        <w:rPr>
          <w:rFonts w:asciiTheme="minorBidi" w:hAnsiTheme="minorBidi"/>
          <w:sz w:val="16"/>
          <w:szCs w:val="16"/>
          <w:rtl/>
        </w:rPr>
        <w:t xml:space="preserve">(ז. סוד"ה בלבער) </w:t>
      </w:r>
      <w:r w:rsidRPr="00351B7D">
        <w:rPr>
          <w:rFonts w:asciiTheme="minorBidi" w:hAnsiTheme="minorBidi"/>
          <w:rtl/>
        </w:rPr>
        <w:t xml:space="preserve">ראב"ד </w:t>
      </w:r>
      <w:r w:rsidRPr="00351B7D">
        <w:rPr>
          <w:rFonts w:asciiTheme="minorBidi" w:hAnsiTheme="minorBidi"/>
          <w:sz w:val="16"/>
          <w:szCs w:val="16"/>
          <w:rtl/>
        </w:rPr>
        <w:t>(פ"ג הכ"ג)</w:t>
      </w:r>
      <w:r w:rsidRPr="00351B7D">
        <w:rPr>
          <w:rFonts w:asciiTheme="minorBidi" w:hAnsiTheme="minorBidi"/>
          <w:rtl/>
        </w:rPr>
        <w:t xml:space="preserve"> תשב"ץ קטן</w:t>
      </w:r>
      <w:r w:rsidRPr="00351B7D">
        <w:rPr>
          <w:rFonts w:asciiTheme="minorBidi" w:hAnsiTheme="minorBidi"/>
          <w:sz w:val="16"/>
          <w:szCs w:val="16"/>
          <w:rtl/>
        </w:rPr>
        <w:t xml:space="preserve"> (סי' תנב)</w:t>
      </w:r>
      <w:r w:rsidRPr="00351B7D">
        <w:rPr>
          <w:rFonts w:asciiTheme="minorBidi" w:hAnsiTheme="minorBidi"/>
          <w:rtl/>
        </w:rPr>
        <w:t xml:space="preserve"> מרדכי </w:t>
      </w:r>
      <w:r w:rsidRPr="00351B7D">
        <w:rPr>
          <w:rFonts w:asciiTheme="minorBidi" w:hAnsiTheme="minorBidi"/>
          <w:sz w:val="16"/>
          <w:szCs w:val="16"/>
          <w:rtl/>
        </w:rPr>
        <w:t xml:space="preserve">(כתובות סי' קלא) </w:t>
      </w:r>
      <w:r w:rsidRPr="00351B7D">
        <w:rPr>
          <w:rFonts w:asciiTheme="minorBidi" w:hAnsiTheme="minorBidi"/>
          <w:rtl/>
        </w:rPr>
        <w:t xml:space="preserve">הגה"מ </w:t>
      </w:r>
      <w:r w:rsidRPr="00351B7D">
        <w:rPr>
          <w:rFonts w:asciiTheme="minorBidi" w:hAnsiTheme="minorBidi"/>
          <w:sz w:val="16"/>
          <w:szCs w:val="16"/>
          <w:rtl/>
        </w:rPr>
        <w:t>(פ"ג אות ס)</w:t>
      </w:r>
      <w:r w:rsidRPr="00351B7D">
        <w:rPr>
          <w:rFonts w:asciiTheme="minorBidi" w:hAnsiTheme="minorBidi"/>
          <w:rtl/>
        </w:rPr>
        <w:t xml:space="preserve"> וריב"ש</w:t>
      </w:r>
      <w:r w:rsidRPr="00351B7D">
        <w:rPr>
          <w:rFonts w:asciiTheme="minorBidi" w:hAnsiTheme="minorBidi"/>
          <w:sz w:val="16"/>
          <w:szCs w:val="16"/>
          <w:rtl/>
        </w:rPr>
        <w:t xml:space="preserve"> (סו"ס פב)</w:t>
      </w:r>
      <w:r w:rsidRPr="00351B7D">
        <w:rPr>
          <w:rFonts w:asciiTheme="minorBidi" w:hAnsiTheme="minorBidi"/>
          <w:rtl/>
        </w:rPr>
        <w:t>.</w:t>
      </w:r>
    </w:p>
  </w:footnote>
  <w:footnote w:id="373">
    <w:p w14:paraId="50CB94E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סע' ג. כ"כ בציונים לרמ"א,</w:t>
      </w:r>
      <w:r w:rsidRPr="00351B7D">
        <w:rPr>
          <w:rFonts w:asciiTheme="minorBidi" w:hAnsiTheme="minorBidi"/>
          <w:sz w:val="16"/>
          <w:szCs w:val="16"/>
          <w:rtl/>
        </w:rPr>
        <w:t xml:space="preserve"> </w:t>
      </w:r>
      <w:r w:rsidRPr="00351B7D">
        <w:rPr>
          <w:rFonts w:asciiTheme="minorBidi" w:hAnsiTheme="minorBidi"/>
          <w:rtl/>
        </w:rPr>
        <w:t>שציין לדברי הרמ"א את המרדכי, והמרדכי כ' שנוהגין כן לכתחילה</w:t>
      </w:r>
      <w:r w:rsidRPr="00351B7D">
        <w:rPr>
          <w:rFonts w:asciiTheme="minorBidi" w:hAnsiTheme="minorBidi"/>
          <w:sz w:val="16"/>
          <w:szCs w:val="16"/>
          <w:rtl/>
        </w:rPr>
        <w:t xml:space="preserve"> (וז"ל- ו</w:t>
      </w:r>
      <w:r w:rsidRPr="00351B7D">
        <w:rPr>
          <w:rFonts w:asciiTheme="minorBidi" w:hAnsiTheme="minorBidi"/>
          <w:color w:val="000000"/>
          <w:sz w:val="16"/>
          <w:szCs w:val="16"/>
          <w:rtl/>
        </w:rPr>
        <w:t>מן הדין היה לברך ברכת אירוסין בשעת קידושין אלא נהגו בשעת נישואין משום דמסיימין בה והתיר לנו את הנשואות)</w:t>
      </w:r>
      <w:r w:rsidRPr="00351B7D">
        <w:rPr>
          <w:rFonts w:asciiTheme="minorBidi" w:hAnsiTheme="minorBidi"/>
          <w:rtl/>
        </w:rPr>
        <w:t>, וכ"כ הגר"א (סק"י) על דברי הרמ"א, וכ' שעיקר הטעם הוא לפי שנהגו לארס תחת החופה לכך לא פלוג, כמו שכתוב בנטילת ידים ובטבילה.</w:t>
      </w:r>
    </w:p>
  </w:footnote>
  <w:footnote w:id="374">
    <w:p w14:paraId="2D1BBEB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דכתיב ויברכו את רבקה, ואליעזר היה שליח, תוס' (כתובות ז: ד"ה שנאמר, הביאו הב"ש [סק"א]).</w:t>
      </w:r>
    </w:p>
  </w:footnote>
  <w:footnote w:id="375">
    <w:p w14:paraId="1C6FCAF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שלא לבייש מי שאנו יודע לברך, ואם ליכא אחר יברך החתן, רש"ל </w:t>
      </w:r>
      <w:r w:rsidRPr="00351B7D">
        <w:rPr>
          <w:rFonts w:asciiTheme="minorBidi" w:hAnsiTheme="minorBidi"/>
          <w:sz w:val="16"/>
          <w:szCs w:val="16"/>
          <w:rtl/>
        </w:rPr>
        <w:t xml:space="preserve">(כתובות פ"א סי' י"ז) </w:t>
      </w:r>
      <w:r w:rsidRPr="00351B7D">
        <w:rPr>
          <w:rFonts w:asciiTheme="minorBidi" w:hAnsiTheme="minorBidi"/>
          <w:rtl/>
        </w:rPr>
        <w:t xml:space="preserve">ודרישה </w:t>
      </w:r>
      <w:r w:rsidRPr="00351B7D">
        <w:rPr>
          <w:rFonts w:asciiTheme="minorBidi" w:hAnsiTheme="minorBidi"/>
          <w:sz w:val="16"/>
          <w:szCs w:val="16"/>
          <w:rtl/>
        </w:rPr>
        <w:t>(אות א, הביאו הב"ש [סק"ב])</w:t>
      </w:r>
      <w:r w:rsidRPr="00351B7D">
        <w:rPr>
          <w:rFonts w:asciiTheme="minorBidi" w:hAnsiTheme="minorBidi"/>
          <w:rtl/>
        </w:rPr>
        <w:t>.</w:t>
      </w:r>
    </w:p>
  </w:footnote>
  <w:footnote w:id="376">
    <w:p w14:paraId="07CB56A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בטור איתא 'את' הארוסות והתיר לנו 'את' הנשואות, וכן בכל הסידורים, וכן נוהגים, ובאמת כן הוא בגמ', ולא ידעתי למה הושמט כאן תיבת 'את', ראש פינה (על השו"ע). (גם הרמ"א כאן השמיט תיבת "את" לפני התיבה "הנשואות")</w:t>
      </w:r>
    </w:p>
  </w:footnote>
  <w:footnote w:id="377">
    <w:p w14:paraId="1EC913F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 הב"ש (סק"ג) שכ"כ כל האחרונים. והח"מ (סק"א) כ' שכן נוהגים המדקדקים, ושכן הוא בב"ח (אות ג) ע"פ קבלת רבותיו. וכך היא הגירסא בד"ר של השו"ע (ונשמט במהדורת קבאלי שכ"ז ואילך), אך ברמב"ם ובטור ליכא.</w:t>
      </w:r>
    </w:p>
  </w:footnote>
  <w:footnote w:id="378">
    <w:p w14:paraId="23100B3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בקידושין, בבי"ת, כמש"כ בהעי"ט, והוכרח לזה מדהזכיר חופה קודם לקידושין ובאמת קדמו הקידושין תחילה ואם אומר בקידושין ניחא דהיינו חופה ע"י קידושין שהיו תחילה וממילא עכשיו שהקידושין תחת החופה אין צריך לזה, ט"ז (סק"ד).</w:t>
      </w:r>
    </w:p>
  </w:footnote>
  <w:footnote w:id="379">
    <w:p w14:paraId="398B8CC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לומר 'את הנשואות על ידי חופה וקידושין' בנשימה אחת שלא ישמע שכל הנשואות מותרות לכל אחד ח"ו, מהר"ל מפראג (הביאו הט"ז [סק"ג]).</w:t>
      </w:r>
    </w:p>
  </w:footnote>
  <w:footnote w:id="380">
    <w:p w14:paraId="39A3BC6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בנישואי חרש אני מסופק בברכות כי ברכת אירוסין על החתן לברך, ומה שנהגו שהמסדר קידושין מברך הוא שלא לבייש את ע"ה ועכ"פ עיקר הברכה להוציא את החתן וכיון שהוא חרש שאינו שומע אינו יוצא בברכה זו ואיך יברך המסדר, ואם היה מקום לומר שגם הכלה שייכא בברכת אירוסין ומוציא המסדר את הכלה, אמנם חרש שנשא חרשת ודאי לדעתי אין כאן ברכה ואפ"ה מקרי נשואין כמבואר בפ' חרש [יבמות קיב.], נו"ב (שם).</w:t>
      </w:r>
    </w:p>
  </w:footnote>
  <w:footnote w:id="381">
    <w:p w14:paraId="597F91A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השאלה הזו היא רק לגבי ברכת האירוסין, אבל לגבי ברכת חתנים עיין בסי' ס"ב סע' א'.</w:t>
      </w:r>
    </w:p>
  </w:footnote>
  <w:footnote w:id="382">
    <w:p w14:paraId="0E03DCD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(רבנו ניסים</w:t>
      </w:r>
      <w:r w:rsidRPr="00351B7D">
        <w:rPr>
          <w:rFonts w:asciiTheme="minorBidi" w:hAnsiTheme="minorBidi"/>
          <w:sz w:val="16"/>
          <w:szCs w:val="16"/>
          <w:rtl/>
        </w:rPr>
        <w:t xml:space="preserve"> </w:t>
      </w:r>
      <w:r w:rsidRPr="00351B7D">
        <w:rPr>
          <w:rFonts w:asciiTheme="minorBidi" w:hAnsiTheme="minorBidi"/>
          <w:sz w:val="14"/>
          <w:szCs w:val="14"/>
          <w:rtl/>
        </w:rPr>
        <w:t>[רבנו ניסים בר יעקב גאון, חברו של ר"ח]</w:t>
      </w:r>
      <w:r w:rsidRPr="00351B7D">
        <w:rPr>
          <w:rFonts w:asciiTheme="minorBidi" w:hAnsiTheme="minorBidi"/>
          <w:sz w:val="16"/>
          <w:szCs w:val="16"/>
          <w:rtl/>
        </w:rPr>
        <w:t xml:space="preserve"> לגי' הרא"ש</w:t>
      </w:r>
      <w:r w:rsidRPr="00351B7D">
        <w:rPr>
          <w:rFonts w:asciiTheme="minorBidi" w:hAnsiTheme="minorBidi"/>
          <w:sz w:val="14"/>
          <w:szCs w:val="14"/>
          <w:rtl/>
        </w:rPr>
        <w:t xml:space="preserve"> [כתובות פ"א סי' טז, וכן הוא בקיצור פסקי הרא"ש (שם) שכ' הטור]</w:t>
      </w:r>
      <w:r w:rsidRPr="00351B7D">
        <w:rPr>
          <w:rFonts w:asciiTheme="minorBidi" w:hAnsiTheme="minorBidi"/>
          <w:rtl/>
        </w:rPr>
        <w:t xml:space="preserve">) רמב"ם </w:t>
      </w:r>
      <w:r w:rsidRPr="00351B7D">
        <w:rPr>
          <w:rFonts w:asciiTheme="minorBidi" w:hAnsiTheme="minorBidi"/>
          <w:sz w:val="16"/>
          <w:szCs w:val="16"/>
          <w:rtl/>
        </w:rPr>
        <w:t xml:space="preserve">(פ"ג הכ"ד) </w:t>
      </w:r>
      <w:r w:rsidRPr="00351B7D">
        <w:rPr>
          <w:rFonts w:asciiTheme="minorBidi" w:hAnsiTheme="minorBidi"/>
          <w:rtl/>
        </w:rPr>
        <w:t>ורא"ש</w:t>
      </w:r>
      <w:r w:rsidRPr="00351B7D">
        <w:rPr>
          <w:rFonts w:asciiTheme="minorBidi" w:hAnsiTheme="minorBidi"/>
          <w:sz w:val="16"/>
          <w:szCs w:val="16"/>
          <w:rtl/>
        </w:rPr>
        <w:t xml:space="preserve"> (כתובות פ"א סי' טז)</w:t>
      </w:r>
      <w:r w:rsidRPr="00351B7D">
        <w:rPr>
          <w:rFonts w:asciiTheme="minorBidi" w:hAnsiTheme="minorBidi"/>
          <w:rtl/>
        </w:rPr>
        <w:t>.</w:t>
      </w:r>
    </w:p>
  </w:footnote>
  <w:footnote w:id="383">
    <w:p w14:paraId="453C9CF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רבנו ניסים הוסיף שאם אין לו יין יברך על יין צימוקים ואם אין לו יין צימוקים יברך על השכר.</w:t>
      </w:r>
    </w:p>
  </w:footnote>
  <w:footnote w:id="384">
    <w:p w14:paraId="415DAC2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בסי' ס"ב עמ' תסד. וצ"ע מדוע בחר גירסא זו, והרי היה יודע שיש לאביו גירסא אחרת </w:t>
      </w:r>
      <w:r w:rsidRPr="00351B7D">
        <w:rPr>
          <w:rFonts w:asciiTheme="minorBidi" w:hAnsiTheme="minorBidi"/>
          <w:sz w:val="16"/>
          <w:szCs w:val="16"/>
          <w:rtl/>
        </w:rPr>
        <w:t>(שהרי הוא עצמו כתב את קיצור פסקי הרא"ש)</w:t>
      </w:r>
      <w:r w:rsidRPr="00351B7D">
        <w:rPr>
          <w:rFonts w:asciiTheme="minorBidi" w:hAnsiTheme="minorBidi"/>
          <w:rtl/>
        </w:rPr>
        <w:t>.</w:t>
      </w:r>
    </w:p>
  </w:footnote>
  <w:footnote w:id="385">
    <w:p w14:paraId="41A255DE" w14:textId="77777777" w:rsidR="00DF1FC7" w:rsidRPr="00351B7D" w:rsidRDefault="00DF1FC7" w:rsidP="008E16D0">
      <w:pPr>
        <w:pStyle w:val="a5"/>
        <w:rPr>
          <w:rFonts w:asciiTheme="minorBidi" w:hAnsiTheme="minorBidi"/>
        </w:rPr>
      </w:pPr>
      <w:r w:rsidRPr="00351B7D">
        <w:rPr>
          <w:rStyle w:val="a7"/>
          <w:rFonts w:asciiTheme="minorBidi" w:hAnsiTheme="minorBidi"/>
          <w:color w:val="FF0000"/>
        </w:rPr>
        <w:footnoteRef/>
      </w:r>
      <w:r w:rsidRPr="00351B7D">
        <w:rPr>
          <w:rFonts w:asciiTheme="minorBidi" w:hAnsiTheme="minorBidi"/>
          <w:rtl/>
        </w:rPr>
        <w:t xml:space="preserve"> </w:t>
      </w:r>
      <w:r w:rsidRPr="00351B7D">
        <w:rPr>
          <w:rFonts w:asciiTheme="minorBidi" w:hAnsiTheme="minorBidi"/>
          <w:color w:val="FF0000"/>
          <w:rtl/>
        </w:rPr>
        <w:t>צל"ע על דברי הפרישה (אות ה) שכ' על דברי הטור וז"ל- "אפילו אם יש שם שכר מברך בלא כוס וכו'- היינו לומר שאינו חייב לברך על כוס של שכר- לאפוקי בברכת חתנים חייב לברך עליו- אבל אם ירצה יכול לברך עליו וזה הוי כדברי הרמב"ם דלעיל סימן ל"ד", והרי הרמב"ם (פ"ג הכ"ד) בהדיא כ' שאם יש שם על כל פנים שכר אז צריך לברך עליו, ואיך אפשר להבין שזה נתון לבחירתו אם רוצה או לא (עיין דרישה [אות ה]), וצ"ע.</w:t>
      </w:r>
    </w:p>
  </w:footnote>
  <w:footnote w:id="386">
    <w:p w14:paraId="0BC50F9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עיין בפני יהושע </w:t>
      </w:r>
      <w:r w:rsidRPr="00351B7D">
        <w:rPr>
          <w:rFonts w:asciiTheme="minorBidi" w:hAnsiTheme="minorBidi"/>
          <w:color w:val="000000"/>
          <w:sz w:val="16"/>
          <w:szCs w:val="16"/>
          <w:rtl/>
        </w:rPr>
        <w:t>(בקו"א למס' כתובות סי' כ"ב, הביאו הפת"ש [סק"ה])</w:t>
      </w:r>
      <w:r w:rsidRPr="00351B7D">
        <w:rPr>
          <w:rFonts w:asciiTheme="minorBidi" w:hAnsiTheme="minorBidi"/>
          <w:rtl/>
        </w:rPr>
        <w:t xml:space="preserve"> שתמה מאד על מה שנהגו דאחר מברך ברכת היין על הכוס והחתן והכלה שותין ממנו דהאיך מברך בפה"ג כיון דאין המברך שותה ממנו והאיך יוצאין החתן והכלה בברכתו של המברך כיון שאין הכוס מעכב לאו דבר שבחובה נינהו ואיך מוציא חבירו דהא הו"ל ברכת הנהנין בשלמא ברכת נשואין אפשר כיון דטעונין כוס הדר הו"ל דבר שבחובה משא"כ ברכת אירוסין ואפשר כיון דמ"מ עיקר היין לאו ליהנות מכוון חשיב שפיר כברכת המצות. והניח בצ"ע.  וכדי להחלץ מבעיה זו שמעתי עצה מהרב יעקב יוסף שכדאי לנענע טיפה את הכוס כדי שישפך מעט על האצבע ואז יוכל לטעום ממה שנשפך על אצבעו (בלי שהצלם יקלוט את זה במצלמה...) ויצא נקי לכתחילה.</w:t>
      </w:r>
    </w:p>
  </w:footnote>
  <w:footnote w:id="387">
    <w:p w14:paraId="21F4344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שאין כוס מעכב ואינו אלא מנהג, הה"מ (פ"ג הכ"ד).</w:t>
      </w:r>
    </w:p>
  </w:footnote>
  <w:footnote w:id="388">
    <w:p w14:paraId="30865D8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דהרא"ש בחידושיו </w:t>
      </w:r>
      <w:r w:rsidRPr="00351B7D">
        <w:rPr>
          <w:rFonts w:asciiTheme="minorBidi" w:hAnsiTheme="minorBidi"/>
          <w:sz w:val="16"/>
          <w:szCs w:val="16"/>
          <w:rtl/>
        </w:rPr>
        <w:t xml:space="preserve">(כתובות סי' יז) </w:t>
      </w:r>
      <w:r w:rsidRPr="00351B7D">
        <w:rPr>
          <w:rFonts w:asciiTheme="minorBidi" w:hAnsiTheme="minorBidi"/>
          <w:rtl/>
        </w:rPr>
        <w:t xml:space="preserve">כ' שמסתבר כדעת רבנו ניסים </w:t>
      </w:r>
      <w:r w:rsidRPr="00351B7D">
        <w:rPr>
          <w:rFonts w:asciiTheme="minorBidi" w:hAnsiTheme="minorBidi"/>
          <w:sz w:val="16"/>
          <w:szCs w:val="16"/>
          <w:rtl/>
        </w:rPr>
        <w:t>(היינו לברך בשעת הנישואין כשלא בירך בשעת הקידושין)</w:t>
      </w:r>
      <w:r w:rsidRPr="00351B7D">
        <w:rPr>
          <w:rFonts w:asciiTheme="minorBidi" w:hAnsiTheme="minorBidi"/>
          <w:rtl/>
        </w:rPr>
        <w:t xml:space="preserve">, בתשובותיו </w:t>
      </w:r>
      <w:r w:rsidRPr="00351B7D">
        <w:rPr>
          <w:rFonts w:asciiTheme="minorBidi" w:hAnsiTheme="minorBidi"/>
          <w:sz w:val="16"/>
          <w:szCs w:val="16"/>
          <w:rtl/>
        </w:rPr>
        <w:t xml:space="preserve">(כלל כו סי' א) </w:t>
      </w:r>
      <w:r w:rsidRPr="00351B7D">
        <w:rPr>
          <w:rFonts w:asciiTheme="minorBidi" w:hAnsiTheme="minorBidi"/>
          <w:rtl/>
        </w:rPr>
        <w:t>הכריע כהרמב"ם, וז"ל- "ששאלת שמצאת בתשובה על שם הרי"ף שאין לברך ברכת אירוסין אלא קודם הקידושין ודאי כן הוא כמו שכתבת והמברך אחר הקידושין טועה הוא", עכ"ל. ומ"מ כ' הנח"צ (סק"ו) שדעת הרא"ש היא שלכתחילה צריך לברך קודם הקידושין, אך אם טעה ולא בירך קודם הקדושין יכול לברך בנישואין, שאם לא יהיו דבריו סותרים זא"ז. אך דעת הב"י אינו כן שכ' בהדיא- "וכבר נתבאר בסימן זה שלדעת הרמב"ם והרא"ש ברכה לבטלה היא".</w:t>
      </w:r>
    </w:p>
  </w:footnote>
  <w:footnote w:id="389">
    <w:p w14:paraId="2DBE3CA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רב שרירא גאון</w:t>
      </w:r>
      <w:r w:rsidRPr="00351B7D">
        <w:rPr>
          <w:rFonts w:asciiTheme="minorBidi" w:hAnsiTheme="minorBidi"/>
          <w:sz w:val="16"/>
          <w:szCs w:val="16"/>
          <w:rtl/>
        </w:rPr>
        <w:t xml:space="preserve"> (הביאו הטור)</w:t>
      </w:r>
      <w:r w:rsidRPr="00351B7D">
        <w:rPr>
          <w:rFonts w:asciiTheme="minorBidi" w:hAnsiTheme="minorBidi"/>
          <w:rtl/>
        </w:rPr>
        <w:t xml:space="preserve"> רי"ף </w:t>
      </w:r>
      <w:r w:rsidRPr="00351B7D">
        <w:rPr>
          <w:rFonts w:asciiTheme="minorBidi" w:hAnsiTheme="minorBidi"/>
          <w:sz w:val="16"/>
          <w:szCs w:val="16"/>
          <w:rtl/>
        </w:rPr>
        <w:t xml:space="preserve">(שו"ת הרי"ף סי' רצג) </w:t>
      </w:r>
      <w:r w:rsidRPr="00351B7D">
        <w:rPr>
          <w:rFonts w:asciiTheme="minorBidi" w:hAnsiTheme="minorBidi"/>
          <w:rtl/>
        </w:rPr>
        <w:t xml:space="preserve">רמב"ם </w:t>
      </w:r>
      <w:r w:rsidRPr="00351B7D">
        <w:rPr>
          <w:rFonts w:asciiTheme="minorBidi" w:hAnsiTheme="minorBidi"/>
          <w:sz w:val="16"/>
          <w:szCs w:val="16"/>
          <w:rtl/>
        </w:rPr>
        <w:t>(פ"ג הכ"ג)</w:t>
      </w:r>
      <w:r w:rsidRPr="00351B7D">
        <w:rPr>
          <w:rFonts w:asciiTheme="minorBidi" w:hAnsiTheme="minorBidi"/>
          <w:rtl/>
        </w:rPr>
        <w:t xml:space="preserve"> רשב"א </w:t>
      </w:r>
      <w:r w:rsidRPr="00351B7D">
        <w:rPr>
          <w:rFonts w:asciiTheme="minorBidi" w:hAnsiTheme="minorBidi"/>
          <w:sz w:val="16"/>
          <w:szCs w:val="16"/>
          <w:rtl/>
        </w:rPr>
        <w:t xml:space="preserve">(כ"כ בשמו האו"ח הל' קדושין סע' כא) </w:t>
      </w:r>
      <w:r w:rsidRPr="00351B7D">
        <w:rPr>
          <w:rFonts w:asciiTheme="minorBidi" w:hAnsiTheme="minorBidi"/>
          <w:rtl/>
        </w:rPr>
        <w:t xml:space="preserve">ורא"ש </w:t>
      </w:r>
      <w:r w:rsidRPr="00351B7D">
        <w:rPr>
          <w:rFonts w:asciiTheme="minorBidi" w:hAnsiTheme="minorBidi"/>
          <w:sz w:val="16"/>
          <w:szCs w:val="16"/>
          <w:rtl/>
        </w:rPr>
        <w:t>(כלל כ"ו סי' א)</w:t>
      </w:r>
      <w:r w:rsidRPr="00351B7D">
        <w:rPr>
          <w:rFonts w:asciiTheme="minorBidi" w:hAnsiTheme="minorBidi"/>
          <w:rtl/>
        </w:rPr>
        <w:t>.</w:t>
      </w:r>
    </w:p>
  </w:footnote>
  <w:footnote w:id="390">
    <w:p w14:paraId="76290F1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רבינו ניסים ה"ר יונה </w:t>
      </w:r>
      <w:r w:rsidRPr="00351B7D">
        <w:rPr>
          <w:rFonts w:asciiTheme="minorBidi" w:hAnsiTheme="minorBidi"/>
          <w:sz w:val="16"/>
          <w:szCs w:val="16"/>
          <w:rtl/>
        </w:rPr>
        <w:t>(הביאם הרא"ש)</w:t>
      </w:r>
      <w:r w:rsidRPr="00351B7D">
        <w:rPr>
          <w:rFonts w:asciiTheme="minorBidi" w:hAnsiTheme="minorBidi"/>
          <w:rtl/>
        </w:rPr>
        <w:t xml:space="preserve"> מרדכי </w:t>
      </w:r>
      <w:r w:rsidRPr="00351B7D">
        <w:rPr>
          <w:rFonts w:asciiTheme="minorBidi" w:hAnsiTheme="minorBidi"/>
          <w:sz w:val="16"/>
          <w:szCs w:val="16"/>
          <w:rtl/>
        </w:rPr>
        <w:t>(כתובות סי' קל"א)</w:t>
      </w:r>
      <w:r w:rsidRPr="00351B7D">
        <w:rPr>
          <w:rFonts w:asciiTheme="minorBidi" w:hAnsiTheme="minorBidi"/>
          <w:rtl/>
        </w:rPr>
        <w:t xml:space="preserve"> (רא"ש</w:t>
      </w:r>
      <w:r w:rsidRPr="00351B7D">
        <w:rPr>
          <w:rFonts w:asciiTheme="minorBidi" w:hAnsiTheme="minorBidi"/>
          <w:sz w:val="16"/>
          <w:szCs w:val="16"/>
          <w:rtl/>
        </w:rPr>
        <w:t xml:space="preserve"> </w:t>
      </w:r>
      <w:r w:rsidRPr="00351B7D">
        <w:rPr>
          <w:rFonts w:asciiTheme="minorBidi" w:hAnsiTheme="minorBidi"/>
          <w:sz w:val="14"/>
          <w:szCs w:val="14"/>
          <w:rtl/>
        </w:rPr>
        <w:t xml:space="preserve">[כתובות פ"א סי' י"ז, וכלל כ"ו סי' א] </w:t>
      </w:r>
      <w:r w:rsidRPr="00351B7D">
        <w:rPr>
          <w:rFonts w:asciiTheme="minorBidi" w:hAnsiTheme="minorBidi"/>
          <w:sz w:val="16"/>
          <w:szCs w:val="16"/>
          <w:rtl/>
        </w:rPr>
        <w:t>להב' הנח"צ</w:t>
      </w:r>
      <w:r w:rsidRPr="00351B7D">
        <w:rPr>
          <w:rFonts w:asciiTheme="minorBidi" w:hAnsiTheme="minorBidi"/>
          <w:sz w:val="14"/>
          <w:szCs w:val="14"/>
          <w:rtl/>
        </w:rPr>
        <w:t xml:space="preserve"> [סק"ו]</w:t>
      </w:r>
      <w:r w:rsidRPr="00351B7D">
        <w:rPr>
          <w:rFonts w:asciiTheme="minorBidi" w:hAnsiTheme="minorBidi"/>
          <w:rtl/>
        </w:rPr>
        <w:t xml:space="preserve">) וריב"ש </w:t>
      </w:r>
      <w:r w:rsidRPr="00351B7D">
        <w:rPr>
          <w:rFonts w:asciiTheme="minorBidi" w:hAnsiTheme="minorBidi"/>
          <w:sz w:val="16"/>
          <w:szCs w:val="16"/>
          <w:rtl/>
        </w:rPr>
        <w:t>(סו"ס פב)</w:t>
      </w:r>
      <w:r w:rsidRPr="00351B7D">
        <w:rPr>
          <w:rFonts w:asciiTheme="minorBidi" w:hAnsiTheme="minorBidi"/>
          <w:rtl/>
        </w:rPr>
        <w:t>.</w:t>
      </w:r>
    </w:p>
  </w:footnote>
  <w:footnote w:id="391">
    <w:p w14:paraId="2034789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דדמי למי שלא בירך אחר אכילתו שחוזר ומברך אחר המזון כל זמן שלא נתעכל המאכל שבמעיים</w:t>
      </w:r>
      <w:r w:rsidRPr="00351B7D">
        <w:rPr>
          <w:rFonts w:asciiTheme="minorBidi" w:hAnsiTheme="minorBidi"/>
          <w:sz w:val="16"/>
          <w:szCs w:val="16"/>
          <w:rtl/>
        </w:rPr>
        <w:t xml:space="preserve"> (ברכות נא:) </w:t>
      </w:r>
      <w:r w:rsidRPr="00351B7D">
        <w:rPr>
          <w:rFonts w:asciiTheme="minorBidi" w:hAnsiTheme="minorBidi"/>
          <w:rtl/>
        </w:rPr>
        <w:t>וכן הכא נמי אע"פ שעבר זמן מרובה כל זמן שלא נגמר ההיתר מברך וכיון שאין ההיתר נגמר אלא ע"י חופה יכולין לומר הברכה בשעת הנישואין, ה"ר יונה</w:t>
      </w:r>
      <w:r w:rsidRPr="00351B7D">
        <w:rPr>
          <w:rFonts w:asciiTheme="minorBidi" w:hAnsiTheme="minorBidi"/>
          <w:sz w:val="14"/>
          <w:szCs w:val="14"/>
          <w:rtl/>
        </w:rPr>
        <w:t xml:space="preserve"> (הביאו הרא"ש סי' יז)</w:t>
      </w:r>
      <w:r w:rsidRPr="00351B7D">
        <w:rPr>
          <w:rFonts w:asciiTheme="minorBidi" w:hAnsiTheme="minorBidi"/>
          <w:rtl/>
        </w:rPr>
        <w:t xml:space="preserve">. ובפרט לפי המנהג שלנו שאחר מברך ולא החתן, ח"מ </w:t>
      </w:r>
      <w:r w:rsidRPr="00351B7D">
        <w:rPr>
          <w:rFonts w:asciiTheme="minorBidi" w:hAnsiTheme="minorBidi"/>
          <w:sz w:val="16"/>
          <w:szCs w:val="16"/>
          <w:rtl/>
        </w:rPr>
        <w:t>(סק"ג)</w:t>
      </w:r>
      <w:r w:rsidRPr="00351B7D">
        <w:rPr>
          <w:rFonts w:asciiTheme="minorBidi" w:hAnsiTheme="minorBidi"/>
          <w:rtl/>
        </w:rPr>
        <w:t>. והוסיף הריב"ש</w:t>
      </w:r>
      <w:r w:rsidRPr="00351B7D">
        <w:rPr>
          <w:rFonts w:asciiTheme="minorBidi" w:hAnsiTheme="minorBidi"/>
          <w:sz w:val="16"/>
          <w:szCs w:val="16"/>
          <w:rtl/>
        </w:rPr>
        <w:t xml:space="preserve"> (סי' פב, פח)</w:t>
      </w:r>
      <w:r w:rsidRPr="00351B7D">
        <w:rPr>
          <w:rFonts w:asciiTheme="minorBidi" w:hAnsiTheme="minorBidi"/>
          <w:rtl/>
        </w:rPr>
        <w:t xml:space="preserve"> שנהגו לחזור ולקדש תחת החופה ואז לברך, ויפה הם עושים כדי שלא תראה כברכה לבטלה.</w:t>
      </w:r>
    </w:p>
  </w:footnote>
  <w:footnote w:id="392">
    <w:p w14:paraId="1803ECB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והשליח בירך, דאל"כ חזרנו למחלוקת הקודמת.</w:t>
      </w:r>
    </w:p>
  </w:footnote>
  <w:footnote w:id="393">
    <w:p w14:paraId="699DCFF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בברצלונה ע"פ הר"נ, הביאם הריב"ש (סי' פב).</w:t>
      </w:r>
    </w:p>
  </w:footnote>
  <w:footnote w:id="394">
    <w:p w14:paraId="6641527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והר"פ הכהן</w:t>
      </w:r>
      <w:r w:rsidRPr="00351B7D">
        <w:rPr>
          <w:rFonts w:asciiTheme="minorBidi" w:hAnsiTheme="minorBidi"/>
          <w:sz w:val="16"/>
          <w:szCs w:val="16"/>
          <w:rtl/>
        </w:rPr>
        <w:t xml:space="preserve"> (רבו של הריב"ש)</w:t>
      </w:r>
      <w:r w:rsidRPr="00351B7D">
        <w:rPr>
          <w:rFonts w:asciiTheme="minorBidi" w:hAnsiTheme="minorBidi"/>
          <w:rtl/>
        </w:rPr>
        <w:t xml:space="preserve"> היה מלעיג על זה דמה תועלת לברך אחר שא"א לברך בשם שמים (הביאו הריב"ש שם).</w:t>
      </w:r>
    </w:p>
  </w:footnote>
  <w:footnote w:id="395">
    <w:p w14:paraId="7305572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מהר"ם </w:t>
      </w:r>
      <w:r w:rsidRPr="00351B7D">
        <w:rPr>
          <w:rFonts w:asciiTheme="minorBidi" w:hAnsiTheme="minorBidi"/>
          <w:sz w:val="16"/>
          <w:szCs w:val="16"/>
          <w:rtl/>
        </w:rPr>
        <w:t>(הביאוהו התשב"ץ קטן והאו"ח [סע' כ"א])</w:t>
      </w:r>
      <w:r w:rsidRPr="00351B7D">
        <w:rPr>
          <w:rFonts w:asciiTheme="minorBidi" w:hAnsiTheme="minorBidi"/>
          <w:rtl/>
        </w:rPr>
        <w:t xml:space="preserve"> תשב"ץ קטן</w:t>
      </w:r>
      <w:r w:rsidRPr="00351B7D">
        <w:rPr>
          <w:rFonts w:asciiTheme="minorBidi" w:hAnsiTheme="minorBidi"/>
          <w:sz w:val="16"/>
          <w:szCs w:val="16"/>
          <w:rtl/>
        </w:rPr>
        <w:t xml:space="preserve"> (סי' תנב, והמהרי"ק (סי' קע) העתיק דבריו)</w:t>
      </w:r>
      <w:r w:rsidRPr="00351B7D">
        <w:rPr>
          <w:rFonts w:asciiTheme="minorBidi" w:hAnsiTheme="minorBidi"/>
          <w:rtl/>
        </w:rPr>
        <w:t xml:space="preserve"> ומרדכי</w:t>
      </w:r>
      <w:r w:rsidRPr="00351B7D">
        <w:rPr>
          <w:rFonts w:asciiTheme="minorBidi" w:hAnsiTheme="minorBidi"/>
          <w:sz w:val="16"/>
          <w:szCs w:val="16"/>
          <w:rtl/>
        </w:rPr>
        <w:t xml:space="preserve"> (קדושין סי' תקו)</w:t>
      </w:r>
      <w:r w:rsidRPr="00351B7D">
        <w:rPr>
          <w:rFonts w:asciiTheme="minorBidi" w:hAnsiTheme="minorBidi"/>
          <w:rtl/>
        </w:rPr>
        <w:t>.</w:t>
      </w:r>
    </w:p>
  </w:footnote>
  <w:footnote w:id="396">
    <w:p w14:paraId="2EEC53C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והגיה רבנו פרץ </w:t>
      </w:r>
      <w:r w:rsidRPr="00351B7D">
        <w:rPr>
          <w:rFonts w:asciiTheme="minorBidi" w:hAnsiTheme="minorBidi"/>
          <w:sz w:val="16"/>
          <w:szCs w:val="16"/>
          <w:rtl/>
        </w:rPr>
        <w:t>(בהגהותיו לתשב"ץ קטן סי' תנב)</w:t>
      </w:r>
      <w:r w:rsidRPr="00351B7D">
        <w:rPr>
          <w:rFonts w:asciiTheme="minorBidi" w:hAnsiTheme="minorBidi"/>
          <w:rtl/>
        </w:rPr>
        <w:t xml:space="preserve"> דהיכא דקידושין הראשונים היו בלא מנין יכול לקדש פעם אחרת בשעת נישואין כדי לברך ברכת אירוסין בעשרה. והאו"ח </w:t>
      </w:r>
      <w:r w:rsidRPr="00351B7D">
        <w:rPr>
          <w:rFonts w:asciiTheme="minorBidi" w:hAnsiTheme="minorBidi"/>
          <w:sz w:val="16"/>
          <w:szCs w:val="16"/>
          <w:rtl/>
        </w:rPr>
        <w:t xml:space="preserve">(הל' קידושין סע' כא) </w:t>
      </w:r>
      <w:r w:rsidRPr="00351B7D">
        <w:rPr>
          <w:rFonts w:asciiTheme="minorBidi" w:hAnsiTheme="minorBidi"/>
          <w:rtl/>
        </w:rPr>
        <w:t>העתיקו להלכה. וכ' האבנ"מ</w:t>
      </w:r>
      <w:r w:rsidRPr="00351B7D">
        <w:rPr>
          <w:rFonts w:asciiTheme="minorBidi" w:hAnsiTheme="minorBidi"/>
          <w:sz w:val="16"/>
          <w:szCs w:val="16"/>
          <w:rtl/>
        </w:rPr>
        <w:t xml:space="preserve"> (סק"א)</w:t>
      </w:r>
      <w:r w:rsidRPr="00351B7D">
        <w:rPr>
          <w:rFonts w:asciiTheme="minorBidi" w:hAnsiTheme="minorBidi"/>
          <w:rtl/>
        </w:rPr>
        <w:t xml:space="preserve"> דנראה דקאי </w:t>
      </w:r>
      <w:r w:rsidRPr="00351B7D">
        <w:rPr>
          <w:rFonts w:asciiTheme="minorBidi" w:hAnsiTheme="minorBidi"/>
          <w:sz w:val="16"/>
          <w:szCs w:val="16"/>
          <w:rtl/>
        </w:rPr>
        <w:t xml:space="preserve">(דברי רבנו פרץ) </w:t>
      </w:r>
      <w:r w:rsidRPr="00351B7D">
        <w:rPr>
          <w:rFonts w:asciiTheme="minorBidi" w:hAnsiTheme="minorBidi"/>
          <w:rtl/>
        </w:rPr>
        <w:t xml:space="preserve">על קדושי שליח, דאז אין חוששין כלל וחוזר ומקדש, ורק היכא דאין צורך כלל הוא דאינו חוזר ומקדש, מיהו נראה דדוקא היכא דאיכא עדים בקידושי שליח הוא דאינו חוזר ומקדש כדי שלא יאמרו דקידושי שליח לא מהני, אבל אם אין עדים בקידושי שליח אלא השליח והאשה אומרים שנתקדשה בעדים שצריכה גט מספק והבעל צריך לחזור ולקדשה, והוא בריב"ש סי' פב, וכתבו הרמ"א בסי' לה ס"ג, דכל כה"ג </w:t>
      </w:r>
      <w:r w:rsidRPr="00351B7D">
        <w:rPr>
          <w:rFonts w:asciiTheme="minorBidi" w:hAnsiTheme="minorBidi"/>
          <w:u w:val="single"/>
          <w:rtl/>
        </w:rPr>
        <w:t>אין</w:t>
      </w:r>
      <w:r w:rsidRPr="00351B7D">
        <w:rPr>
          <w:rFonts w:asciiTheme="minorBidi" w:hAnsiTheme="minorBidi"/>
          <w:rtl/>
        </w:rPr>
        <w:t xml:space="preserve"> חשש מהרואים שלא יאמרו 'קידושי שליח לאו כלום הוא'- כיון שלא נודע שקידשה שליח. </w:t>
      </w:r>
    </w:p>
  </w:footnote>
  <w:footnote w:id="397">
    <w:p w14:paraId="3B57859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ולא בירך אז בשעת הקידושין, ח"מ (סק"ד).</w:t>
      </w:r>
    </w:p>
  </w:footnote>
  <w:footnote w:id="398">
    <w:p w14:paraId="27AD9CF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אפי' לכתחילה, מרדכי </w:t>
      </w:r>
      <w:r w:rsidRPr="00351B7D">
        <w:rPr>
          <w:rFonts w:asciiTheme="minorBidi" w:hAnsiTheme="minorBidi"/>
          <w:sz w:val="16"/>
          <w:szCs w:val="16"/>
          <w:rtl/>
        </w:rPr>
        <w:t>(כתובות סי' קל"א)</w:t>
      </w:r>
      <w:r w:rsidRPr="00351B7D">
        <w:rPr>
          <w:rFonts w:asciiTheme="minorBidi" w:hAnsiTheme="minorBidi"/>
          <w:rtl/>
        </w:rPr>
        <w:t xml:space="preserve">. וכ"כ הגר"א </w:t>
      </w:r>
      <w:r w:rsidRPr="00351B7D">
        <w:rPr>
          <w:rFonts w:asciiTheme="minorBidi" w:hAnsiTheme="minorBidi"/>
          <w:sz w:val="16"/>
          <w:szCs w:val="16"/>
          <w:rtl/>
        </w:rPr>
        <w:t xml:space="preserve">(סק"י) </w:t>
      </w:r>
      <w:r w:rsidRPr="00351B7D">
        <w:rPr>
          <w:rFonts w:asciiTheme="minorBidi" w:hAnsiTheme="minorBidi"/>
          <w:rtl/>
        </w:rPr>
        <w:t>בשמו, והוסיף שעיקר הטעם הוא לפי שנהגו לארס תחת החופה לכך לא פלוג כמו שכתוב בנטילת ידים ובטבילה.</w:t>
      </w:r>
    </w:p>
  </w:footnote>
  <w:footnote w:id="399">
    <w:p w14:paraId="4A6BB42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אבל מלכות מזכירין, ובדוכתי אחריתי אמרינן טוב לברך בלא שם ומלכות, ח"מ</w:t>
      </w:r>
      <w:r w:rsidRPr="00351B7D">
        <w:rPr>
          <w:rFonts w:asciiTheme="minorBidi" w:hAnsiTheme="minorBidi"/>
          <w:sz w:val="16"/>
          <w:szCs w:val="16"/>
          <w:rtl/>
        </w:rPr>
        <w:t xml:space="preserve"> (סק"ו) </w:t>
      </w:r>
      <w:r w:rsidRPr="00351B7D">
        <w:rPr>
          <w:rFonts w:asciiTheme="minorBidi" w:hAnsiTheme="minorBidi"/>
          <w:rtl/>
        </w:rPr>
        <w:t xml:space="preserve">וב"ש </w:t>
      </w:r>
      <w:r w:rsidRPr="00351B7D">
        <w:rPr>
          <w:rFonts w:asciiTheme="minorBidi" w:hAnsiTheme="minorBidi"/>
          <w:sz w:val="16"/>
          <w:szCs w:val="16"/>
          <w:rtl/>
        </w:rPr>
        <w:t>(סק"ו)</w:t>
      </w:r>
      <w:r w:rsidRPr="00351B7D">
        <w:rPr>
          <w:rFonts w:asciiTheme="minorBidi" w:hAnsiTheme="minorBidi"/>
          <w:rtl/>
        </w:rPr>
        <w:t>. אך הפת"ש</w:t>
      </w:r>
      <w:r w:rsidRPr="00351B7D">
        <w:rPr>
          <w:rFonts w:asciiTheme="minorBidi" w:hAnsiTheme="minorBidi"/>
          <w:sz w:val="16"/>
          <w:szCs w:val="16"/>
          <w:rtl/>
        </w:rPr>
        <w:t xml:space="preserve"> (סק"ח)</w:t>
      </w:r>
      <w:r w:rsidRPr="00351B7D">
        <w:rPr>
          <w:rFonts w:asciiTheme="minorBidi" w:hAnsiTheme="minorBidi"/>
          <w:rtl/>
        </w:rPr>
        <w:t xml:space="preserve"> כ' דמש"כ 'ובדוכתי אחריתי' לאו דוקא הוא, כי לא נמצא כן בשום מקום בשו"ע זולת פ"א </w:t>
      </w:r>
      <w:r w:rsidRPr="00351B7D">
        <w:rPr>
          <w:rFonts w:asciiTheme="minorBidi" w:hAnsiTheme="minorBidi"/>
          <w:color w:val="000000"/>
          <w:sz w:val="16"/>
          <w:szCs w:val="16"/>
          <w:rtl/>
        </w:rPr>
        <w:t>(באו"ח סי' רכ"ה ס"ב בהגה)</w:t>
      </w:r>
      <w:r w:rsidRPr="00351B7D">
        <w:rPr>
          <w:rFonts w:asciiTheme="minorBidi" w:hAnsiTheme="minorBidi"/>
          <w:color w:val="000000"/>
          <w:rtl/>
        </w:rPr>
        <w:t xml:space="preserve"> לענין ברוך שפטרני.</w:t>
      </w:r>
    </w:p>
  </w:footnote>
  <w:footnote w:id="400">
    <w:p w14:paraId="20EA2E4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במקום דכ"ע מקדשין תחת החופה והיא רוצה ג"כ לקדש פעם שנית מפני הרואים וע"כ צריך לברך ג"כ בלא שם מפני הרואים אף ע"פ שכבר יצא ידי ברכה בשעת קדושין הראשונים, ח"מ (סק"ה). </w:t>
      </w:r>
    </w:p>
  </w:footnote>
  <w:footnote w:id="401">
    <w:p w14:paraId="52FD4C6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דלמאי דילפינן מבועז- הרי בועז עשה גם ברכת אירוסין בעשרה, ולמאי דילפינן ממקהלות- גם ברכת אירוסין על עסקי מקור בא, דאי אפשר לישא בלא ברכת אירוסין, ודי בשנים לקידושין ובברכה צריך עשרה, רא"ש.</w:t>
      </w:r>
    </w:p>
  </w:footnote>
  <w:footnote w:id="402">
    <w:p w14:paraId="5A68EE9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דאין צריך י' אלא לברכת חתנים בלבד שלא הזכירו י' אלא בה, ועוד הרי קידושין בפני ב' ואתה מצריך עשרה? </w:t>
      </w:r>
      <w:r w:rsidRPr="00351B7D">
        <w:rPr>
          <w:rFonts w:asciiTheme="minorBidi" w:hAnsiTheme="minorBidi"/>
          <w:sz w:val="16"/>
          <w:szCs w:val="16"/>
          <w:rtl/>
        </w:rPr>
        <w:t>(ר' שמואל הנגיד)</w:t>
      </w:r>
      <w:r w:rsidRPr="00351B7D">
        <w:rPr>
          <w:rFonts w:asciiTheme="minorBidi" w:hAnsiTheme="minorBidi"/>
          <w:rtl/>
        </w:rPr>
        <w:t>.</w:t>
      </w:r>
    </w:p>
  </w:footnote>
  <w:footnote w:id="403">
    <w:p w14:paraId="0697367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מלבד שני עידי קדושין צריך עוד שמונה אנשים</w:t>
      </w:r>
      <w:r w:rsidRPr="00351B7D">
        <w:rPr>
          <w:rFonts w:asciiTheme="minorBidi" w:hAnsiTheme="minorBidi"/>
        </w:rPr>
        <w:t xml:space="preserve"> </w:t>
      </w:r>
      <w:r w:rsidRPr="00351B7D">
        <w:rPr>
          <w:rFonts w:asciiTheme="minorBidi" w:hAnsiTheme="minorBidi"/>
          <w:sz w:val="16"/>
          <w:szCs w:val="16"/>
          <w:rtl/>
        </w:rPr>
        <w:t>(והחתן מצטרף, ראפ"י)</w:t>
      </w:r>
      <w:r w:rsidRPr="00351B7D">
        <w:rPr>
          <w:rFonts w:asciiTheme="minorBidi" w:hAnsiTheme="minorBidi"/>
          <w:rtl/>
        </w:rPr>
        <w:t xml:space="preserve"> אף קרובים</w:t>
      </w:r>
      <w:r w:rsidRPr="00351B7D">
        <w:rPr>
          <w:rFonts w:asciiTheme="minorBidi" w:hAnsiTheme="minorBidi"/>
        </w:rPr>
        <w:t xml:space="preserve"> </w:t>
      </w:r>
      <w:r w:rsidRPr="00351B7D">
        <w:rPr>
          <w:rFonts w:asciiTheme="minorBidi" w:hAnsiTheme="minorBidi"/>
          <w:rtl/>
        </w:rPr>
        <w:t>להיות אצל הברכה, ח"מ</w:t>
      </w:r>
      <w:r w:rsidRPr="00351B7D">
        <w:rPr>
          <w:rFonts w:asciiTheme="minorBidi" w:hAnsiTheme="minorBidi"/>
          <w:sz w:val="16"/>
          <w:szCs w:val="16"/>
          <w:rtl/>
        </w:rPr>
        <w:t xml:space="preserve"> (סק"ז)</w:t>
      </w:r>
      <w:r w:rsidRPr="00351B7D">
        <w:rPr>
          <w:rFonts w:asciiTheme="minorBidi" w:hAnsiTheme="minorBidi"/>
          <w:rtl/>
        </w:rPr>
        <w:t>.</w:t>
      </w:r>
    </w:p>
  </w:footnote>
  <w:footnote w:id="404">
    <w:p w14:paraId="7211FC0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אי ליכא עשרה אין עיכוב לברך, אבל </w:t>
      </w:r>
      <w:r w:rsidRPr="00351B7D">
        <w:rPr>
          <w:rFonts w:asciiTheme="minorBidi" w:hAnsiTheme="minorBidi"/>
          <w:u w:val="single"/>
          <w:rtl/>
        </w:rPr>
        <w:t>ברכת</w:t>
      </w:r>
      <w:r w:rsidRPr="00351B7D">
        <w:rPr>
          <w:rFonts w:asciiTheme="minorBidi" w:hAnsiTheme="minorBidi"/>
          <w:rtl/>
        </w:rPr>
        <w:t xml:space="preserve"> הנישואין מעכב, באה"ט (סק"י).</w:t>
      </w:r>
    </w:p>
  </w:footnote>
  <w:footnote w:id="405">
    <w:p w14:paraId="36FE6F3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הנידון בגמ' לפנ"כ הוא באדם שהכריחוהו למכור את שדהו, והגמ' מביאה הוכחה מאמימר שהשדה מכורה.</w:t>
      </w:r>
    </w:p>
  </w:footnote>
  <w:footnote w:id="406">
    <w:p w14:paraId="59FE30C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בכל המקרים שאנסו אדם למכור שדהו- מכרו מכר </w:t>
      </w:r>
      <w:r w:rsidRPr="00351B7D">
        <w:rPr>
          <w:rFonts w:asciiTheme="minorBidi" w:hAnsiTheme="minorBidi"/>
          <w:sz w:val="16"/>
          <w:szCs w:val="16"/>
          <w:rtl/>
        </w:rPr>
        <w:t>(אע"פ שאמרו לו שדה זו, ואע"פ שלא הרצה מעות, ואע"פ שלא היה לו איך להשתמט)</w:t>
      </w:r>
      <w:r w:rsidRPr="00351B7D">
        <w:rPr>
          <w:rFonts w:asciiTheme="minorBidi" w:hAnsiTheme="minorBidi"/>
          <w:rtl/>
        </w:rPr>
        <w:t>.</w:t>
      </w:r>
    </w:p>
  </w:footnote>
  <w:footnote w:id="407">
    <w:p w14:paraId="07A2364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שמכריחה אדם לקבל קדושיו ולהתקדש לו, רשב"ם.</w:t>
      </w:r>
    </w:p>
  </w:footnote>
  <w:footnote w:id="408">
    <w:p w14:paraId="750948E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שאינו חפץ כי אם בה, רשב"ם.</w:t>
      </w:r>
    </w:p>
  </w:footnote>
  <w:footnote w:id="409">
    <w:p w14:paraId="003E196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קיימא לן הכי, רשב"ם.</w:t>
      </w:r>
    </w:p>
  </w:footnote>
  <w:footnote w:id="410">
    <w:p w14:paraId="6961AF2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קבלה קדושין קדושיה קדושין דדמי לזביני שמוכרת עצמה לזה, רשב"ם.</w:t>
      </w:r>
    </w:p>
  </w:footnote>
  <w:footnote w:id="411">
    <w:p w14:paraId="638A4FF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במכר מודינא דהוו זביני אבל גבי אשה תקון רבנן דלא ליהוו קדושין דהוא עשה שלא כהוגן שהכריחה לפיכך נעשה עמו שלא כהוגן שלא כדין דאע"ג דמן התורה ליהוו קידושין רבנן עקרינהו והפקירו אותן ועשו מעות מתנה ובמקום אחר מפרש דכל דמקדש אדעתא דרבנן מקדש כדת משה וישראל ורבנן אמור לא ליהוו קדושין נמצא שלא קדשה זה שהרי בדעת חכמים תלה והם אינם חפצים בקידושין הללו, רשב"ם.</w:t>
      </w:r>
    </w:p>
  </w:footnote>
  <w:footnote w:id="412">
    <w:p w14:paraId="4C2B10F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תולה בדעת חכמים דהא כדת משה וישראל קאמר, רש"י.</w:t>
      </w:r>
    </w:p>
  </w:footnote>
  <w:footnote w:id="413">
    <w:p w14:paraId="2B37E50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בתשו' דפוס פראג סי' תתקצג (העתיקוהו המרדכי </w:t>
      </w:r>
      <w:r w:rsidRPr="00351B7D">
        <w:rPr>
          <w:rFonts w:asciiTheme="minorBidi" w:hAnsiTheme="minorBidi"/>
          <w:sz w:val="16"/>
          <w:szCs w:val="16"/>
          <w:rtl/>
        </w:rPr>
        <w:t>[גיטין רמז תנא]</w:t>
      </w:r>
      <w:r w:rsidRPr="00351B7D">
        <w:rPr>
          <w:rFonts w:asciiTheme="minorBidi" w:hAnsiTheme="minorBidi"/>
          <w:rtl/>
        </w:rPr>
        <w:t xml:space="preserve"> הגמ"ר </w:t>
      </w:r>
      <w:r w:rsidRPr="00351B7D">
        <w:rPr>
          <w:rFonts w:asciiTheme="minorBidi" w:hAnsiTheme="minorBidi"/>
          <w:sz w:val="16"/>
          <w:szCs w:val="16"/>
          <w:rtl/>
        </w:rPr>
        <w:t>[קדושין סוף רמז תקמח]</w:t>
      </w:r>
      <w:r w:rsidRPr="00351B7D">
        <w:rPr>
          <w:rFonts w:asciiTheme="minorBidi" w:hAnsiTheme="minorBidi"/>
          <w:rtl/>
        </w:rPr>
        <w:t xml:space="preserve"> ותשובות מיימוניות </w:t>
      </w:r>
      <w:r w:rsidRPr="00351B7D">
        <w:rPr>
          <w:rFonts w:asciiTheme="minorBidi" w:hAnsiTheme="minorBidi"/>
          <w:sz w:val="16"/>
          <w:szCs w:val="16"/>
          <w:rtl/>
        </w:rPr>
        <w:t>[נשים סי' א]</w:t>
      </w:r>
      <w:r w:rsidRPr="00351B7D">
        <w:rPr>
          <w:rFonts w:asciiTheme="minorBidi" w:hAnsiTheme="minorBidi"/>
          <w:rtl/>
        </w:rPr>
        <w:t>).</w:t>
      </w:r>
    </w:p>
  </w:footnote>
  <w:footnote w:id="414">
    <w:p w14:paraId="1A5AD21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w:t>
      </w:r>
      <w:r w:rsidRPr="00351B7D">
        <w:rPr>
          <w:rFonts w:asciiTheme="minorBidi" w:hAnsiTheme="minorBidi"/>
          <w:sz w:val="16"/>
          <w:szCs w:val="16"/>
          <w:rtl/>
        </w:rPr>
        <w:t xml:space="preserve">(פ"ד ה"א) </w:t>
      </w:r>
      <w:r w:rsidRPr="00351B7D">
        <w:rPr>
          <w:rFonts w:asciiTheme="minorBidi" w:hAnsiTheme="minorBidi"/>
          <w:rtl/>
        </w:rPr>
        <w:t xml:space="preserve">רשב"א </w:t>
      </w:r>
      <w:r w:rsidRPr="00351B7D">
        <w:rPr>
          <w:rFonts w:asciiTheme="minorBidi" w:hAnsiTheme="minorBidi"/>
          <w:sz w:val="16"/>
          <w:szCs w:val="16"/>
          <w:rtl/>
        </w:rPr>
        <w:t>(קידושין ב: סוד"ה תנא)</w:t>
      </w:r>
      <w:r w:rsidRPr="00351B7D">
        <w:rPr>
          <w:rFonts w:asciiTheme="minorBidi" w:hAnsiTheme="minorBidi"/>
          <w:rtl/>
        </w:rPr>
        <w:t xml:space="preserve"> והגה"מ</w:t>
      </w:r>
      <w:r w:rsidRPr="00351B7D">
        <w:rPr>
          <w:rFonts w:asciiTheme="minorBidi" w:hAnsiTheme="minorBidi"/>
          <w:sz w:val="16"/>
          <w:szCs w:val="16"/>
          <w:rtl/>
        </w:rPr>
        <w:t xml:space="preserve"> (אות א)</w:t>
      </w:r>
      <w:r w:rsidRPr="00351B7D">
        <w:rPr>
          <w:rFonts w:asciiTheme="minorBidi" w:hAnsiTheme="minorBidi"/>
          <w:rtl/>
        </w:rPr>
        <w:t>.</w:t>
      </w:r>
    </w:p>
  </w:footnote>
  <w:footnote w:id="415">
    <w:p w14:paraId="293B19F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והטעם דלא אפקעינהו רבנן אלא בשנאנסה האשה מפני שאם היו הקידושין קידושין לא היתה יכולה להפקיע עצמה ממנו אלא ברצונו אבל האיש הרי הוא יכול לגרשה בעל כרחה והילכך הרי היא מקודשת, הה"מ. וכ' הט"ז (סק"א) דעכשיו שאין מגרשין בע"כ מכח חרם דר"ג יש לדמות איש לאשה אלא דנראה דכה"ג לא שייך חרם דר"ג, וכ"כ הב"ש.</w:t>
      </w:r>
    </w:p>
  </w:footnote>
  <w:footnote w:id="416">
    <w:p w14:paraId="5B610A5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עשין מח קכה. וכ' שם שהגאונים תופסין עיקר דברי מר בר רב אשי דאמר לא הוו קידושין וכן ראבי"ה כ' דקי"ל כמר בר רב אשי, ע"כ. ותמה עליו ההגה"מ (אות א) שפי' פלוגתא דאמימר ומר בר רב אשי בכה"ג, שבספר משמע דאיירי כגון שדחק אשה ואנסה כדי לקבל קידושין דקאמר הוא עשה שלא כהוגן ואפקעינהו רבנן לקידושי מיניה וכן פרשב"ם ור"י. אך הב"ח </w:t>
      </w:r>
      <w:r w:rsidRPr="00351B7D">
        <w:rPr>
          <w:rFonts w:asciiTheme="minorBidi" w:hAnsiTheme="minorBidi"/>
          <w:sz w:val="16"/>
          <w:szCs w:val="16"/>
          <w:rtl/>
        </w:rPr>
        <w:t xml:space="preserve">(אות א ד"ה ומ"ש בשם) </w:t>
      </w:r>
      <w:r w:rsidRPr="00351B7D">
        <w:rPr>
          <w:rFonts w:asciiTheme="minorBidi" w:hAnsiTheme="minorBidi"/>
          <w:rtl/>
        </w:rPr>
        <w:t>כ' וז"ל- ובסמ"ג מבואר שהיה גורס בדברי מר בר רב אשי 'היא עשתה שלא כהוגן לפיכך עשו לה חכמים שלא כהוגן ואפקעינהו רבנן לקידושין מינה', ומפרש דפליגי בשאנסו את האיש לקדש דלאמימר ה"ז מקודשת ולמר בר רב אשי אינה מקודשת והלכה כמר בר רב אשי ונתיישב מה שהיה קשה להגהת מיימוני על מ"ש הסמ"ג" ע"כ</w:t>
      </w:r>
      <w:r w:rsidRPr="00351B7D">
        <w:rPr>
          <w:rFonts w:asciiTheme="minorBidi" w:hAnsiTheme="minorBidi"/>
          <w:sz w:val="16"/>
          <w:szCs w:val="16"/>
          <w:rtl/>
        </w:rPr>
        <w:t xml:space="preserve"> (וכ"כ הב"ש </w:t>
      </w:r>
      <w:r w:rsidRPr="00351B7D">
        <w:rPr>
          <w:rFonts w:asciiTheme="minorBidi" w:hAnsiTheme="minorBidi"/>
          <w:sz w:val="14"/>
          <w:szCs w:val="14"/>
          <w:rtl/>
        </w:rPr>
        <w:t xml:space="preserve">[סק"א] </w:t>
      </w:r>
      <w:r w:rsidRPr="00351B7D">
        <w:rPr>
          <w:rFonts w:asciiTheme="minorBidi" w:hAnsiTheme="minorBidi"/>
          <w:sz w:val="16"/>
          <w:szCs w:val="16"/>
          <w:rtl/>
        </w:rPr>
        <w:t>בדברי הסמ"ג)</w:t>
      </w:r>
      <w:r w:rsidRPr="00351B7D">
        <w:rPr>
          <w:rFonts w:asciiTheme="minorBidi" w:hAnsiTheme="minorBidi"/>
          <w:rtl/>
        </w:rPr>
        <w:t>, ומ"מ פסק הב"ח כהרמב"ם.</w:t>
      </w:r>
    </w:p>
  </w:footnote>
  <w:footnote w:id="417">
    <w:p w14:paraId="34D6F9C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דאפילו אמימר לא מיירי אלא בשאנסו את האשה וקיבלה קידושין דאגב דמקבלת זוזי גמרה ומקניא נפשה דהיינו דומיא דתליוה וזבין, אבל באנסו את האיש לקדש אפילו אמימר מודה דלא הוו קידושין דהוי דומיא דתליוה ויהיב דלא הוי מתנה, ב"ח (אות א).</w:t>
      </w:r>
    </w:p>
  </w:footnote>
  <w:footnote w:id="418">
    <w:p w14:paraId="363A4F3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הה"מ, וז"ל- ואני אומר שהרי זה כמי שמכר באונס שהמכר קיים כמבואר פ"י מהלכות מכירה (ה"א) וכל שכן כאן שהוא קונה שאע"פ שהוא באונס שקנינו קנין ולא ראיתי שהצריך שם הר"א שיאמר רוצה אני אלא כל זמן שהוא עושה הדבר קיים הוא. וכ"כ הגר"א (סק"ב) על דברי הראב"ד, שכל שעושה המעשה בידים א"צ שיאמר רוצה אני. וכ"כ החת"ס (ח"א סי' קי"ב).</w:t>
      </w:r>
    </w:p>
  </w:footnote>
  <w:footnote w:id="419">
    <w:p w14:paraId="75FEDD9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דדוקא אנסוהו למכר דאגב דקביל זוזי אגב אונסיה גמר ומקני, כדאמרינן מודה שמואל היכא דיהיב זוזי, הילכך גבי אשה נמי כי פליגי אמימר ורב אשי דוקא תלוה וקדיש בכולהו דיהיב זוזי, ואיתתא קבלינהו, אבל אנסוהו לקדש ולקנותה לאו כלום... והאמר רבא תלוה וזבין זביניה זביני, לא קשיא הא דאמר רוצה אני, בהעי"ט (שם).</w:t>
      </w:r>
      <w:r w:rsidRPr="00351B7D">
        <w:rPr>
          <w:rFonts w:asciiTheme="minorBidi" w:hAnsiTheme="minorBidi"/>
          <w:color w:val="FF0000"/>
          <w:rtl/>
        </w:rPr>
        <w:t xml:space="preserve"> (וצל"ע בד' הראב"ד משום שלא פירש מה הדין אם לא אמר רוצה אני, וצ"ע האם דעתו כדעת בהעי"ט שאינן קדושין, או שמא סבר דמקודשת מספק)</w:t>
      </w:r>
      <w:r w:rsidRPr="00351B7D">
        <w:rPr>
          <w:rFonts w:asciiTheme="minorBidi" w:hAnsiTheme="minorBidi"/>
          <w:rtl/>
        </w:rPr>
        <w:t xml:space="preserve"> </w:t>
      </w:r>
    </w:p>
  </w:footnote>
  <w:footnote w:id="420">
    <w:p w14:paraId="4D8771B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סי' יח* מכת"י. אך הב"י כ' כן בשם הרשב"ץ, אך לפנינו ליתא ברשב"ץ. </w:t>
      </w:r>
      <w:r w:rsidRPr="00351B7D">
        <w:rPr>
          <w:rFonts w:asciiTheme="minorBidi" w:hAnsiTheme="minorBidi"/>
          <w:sz w:val="16"/>
          <w:szCs w:val="16"/>
          <w:rtl/>
        </w:rPr>
        <w:t xml:space="preserve">(הרב משה סובול </w:t>
      </w:r>
      <w:r w:rsidRPr="00351B7D">
        <w:rPr>
          <w:rFonts w:asciiTheme="minorBidi" w:hAnsiTheme="minorBidi"/>
          <w:sz w:val="12"/>
          <w:szCs w:val="12"/>
          <w:rtl/>
        </w:rPr>
        <w:t>[עורך שו"ת הרשב"ש במפעל תשובות הראשונים של מכון ירושלים]</w:t>
      </w:r>
      <w:r w:rsidRPr="00351B7D">
        <w:rPr>
          <w:rFonts w:asciiTheme="minorBidi" w:hAnsiTheme="minorBidi"/>
          <w:sz w:val="14"/>
          <w:szCs w:val="14"/>
          <w:rtl/>
        </w:rPr>
        <w:t xml:space="preserve"> </w:t>
      </w:r>
      <w:r w:rsidRPr="00351B7D">
        <w:rPr>
          <w:rFonts w:asciiTheme="minorBidi" w:hAnsiTheme="minorBidi"/>
          <w:sz w:val="16"/>
          <w:szCs w:val="16"/>
          <w:rtl/>
        </w:rPr>
        <w:t xml:space="preserve">כ' מאמר שכותרתו "בין התשב"ץ לרשב"ש", ושם הביא כמה פעמים שכ' הב"י שמקור התשובה הוא התשב"ץ, ולפנינו אינה בדברי התשב"ץ אלא בדברי הרשב"ש בנו, והדוגמה שלנו כאן היא אחת מהנה, והביא את דברי ר' ישראל משה חזן </w:t>
      </w:r>
      <w:r w:rsidRPr="00351B7D">
        <w:rPr>
          <w:rFonts w:asciiTheme="minorBidi" w:hAnsiTheme="minorBidi"/>
          <w:sz w:val="14"/>
          <w:szCs w:val="14"/>
          <w:rtl/>
        </w:rPr>
        <w:t xml:space="preserve">(נכד הגאון בעל ה"חקרי לב") </w:t>
      </w:r>
      <w:r w:rsidRPr="00351B7D">
        <w:rPr>
          <w:rFonts w:asciiTheme="minorBidi" w:hAnsiTheme="minorBidi"/>
          <w:sz w:val="16"/>
          <w:szCs w:val="16"/>
          <w:rtl/>
        </w:rPr>
        <w:t xml:space="preserve">בספרו "כרך של רומי" </w:t>
      </w:r>
      <w:r w:rsidRPr="00351B7D">
        <w:rPr>
          <w:rFonts w:asciiTheme="minorBidi" w:hAnsiTheme="minorBidi"/>
          <w:sz w:val="12"/>
          <w:szCs w:val="12"/>
          <w:rtl/>
        </w:rPr>
        <w:t>(סי' ה דף ז טור ג)</w:t>
      </w:r>
      <w:r w:rsidRPr="00351B7D">
        <w:rPr>
          <w:rFonts w:asciiTheme="minorBidi" w:hAnsiTheme="minorBidi"/>
          <w:sz w:val="14"/>
          <w:szCs w:val="14"/>
          <w:rtl/>
        </w:rPr>
        <w:t xml:space="preserve"> </w:t>
      </w:r>
      <w:r w:rsidRPr="00351B7D">
        <w:rPr>
          <w:rFonts w:asciiTheme="minorBidi" w:hAnsiTheme="minorBidi"/>
          <w:sz w:val="16"/>
          <w:szCs w:val="16"/>
          <w:rtl/>
        </w:rPr>
        <w:t xml:space="preserve">וז"ל- "ועל זה הביא </w:t>
      </w:r>
      <w:r w:rsidRPr="00351B7D">
        <w:rPr>
          <w:rFonts w:asciiTheme="minorBidi" w:hAnsiTheme="minorBidi"/>
          <w:sz w:val="14"/>
          <w:szCs w:val="14"/>
          <w:rtl/>
        </w:rPr>
        <w:t xml:space="preserve">{הב"י} </w:t>
      </w:r>
      <w:r w:rsidRPr="00351B7D">
        <w:rPr>
          <w:rFonts w:asciiTheme="minorBidi" w:hAnsiTheme="minorBidi"/>
          <w:sz w:val="16"/>
          <w:szCs w:val="16"/>
          <w:rtl/>
        </w:rPr>
        <w:t>תשובת הר"ש בן צמח שהיא תשובת הר"ש בנו והיא טעות המדפיס או שבאמת חשב מרן שהם תשובות אביו יען מוהר"י בירב ז"ל רבו של מרן ז"ל בעוברו מעי"ת פיס יע"א כדי למיסק לארץ ישראל תוב"ב עבר דרך ארג'יל יע"א ויעתק משם אב ובן ונכדיו, ר"ל הרשב"ץ, בנו הרשב"ש ונכדיו בני הרשב"ש בעלי יכין ובועז, ואפשר כללם בקובץ אחד ועל זה תמצא הרבה שבושים בזה, פעם משתמש בשם אביו ופעם בשם בנו ופעם בשם נכדיו ופעמים מוחלפת השיטה, עכ"ל)</w:t>
      </w:r>
    </w:p>
  </w:footnote>
  <w:footnote w:id="421">
    <w:p w14:paraId="6022A2E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אפי' אמרה בעל כורחה 'רוצה אני', עצמות יוסף </w:t>
      </w:r>
      <w:r w:rsidRPr="00351B7D">
        <w:rPr>
          <w:rFonts w:asciiTheme="minorBidi" w:hAnsiTheme="minorBidi"/>
          <w:sz w:val="16"/>
          <w:szCs w:val="16"/>
          <w:rtl/>
        </w:rPr>
        <w:t>(קדושין ב: ד"ה ואיבעית, הביאו הבאה"ט [סק"א])</w:t>
      </w:r>
      <w:r w:rsidRPr="00351B7D">
        <w:rPr>
          <w:rFonts w:asciiTheme="minorBidi" w:hAnsiTheme="minorBidi"/>
          <w:rtl/>
        </w:rPr>
        <w:t>.</w:t>
      </w:r>
    </w:p>
  </w:footnote>
  <w:footnote w:id="422">
    <w:p w14:paraId="2BCFF91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דמדינא אין חילוק בין האיש קונה באונס להאשה נקנית באונס וכשם דקיי"ל</w:t>
      </w:r>
      <w:r w:rsidRPr="00351B7D">
        <w:rPr>
          <w:rFonts w:asciiTheme="minorBidi" w:hAnsiTheme="minorBidi"/>
          <w:sz w:val="16"/>
          <w:szCs w:val="16"/>
          <w:rtl/>
        </w:rPr>
        <w:t xml:space="preserve"> (סי' ר"ה סע' א) </w:t>
      </w:r>
      <w:r w:rsidRPr="00351B7D">
        <w:rPr>
          <w:rFonts w:asciiTheme="minorBidi" w:hAnsiTheme="minorBidi"/>
          <w:rtl/>
        </w:rPr>
        <w:t>תליוהו וזבין זביניה זבינא, ה"ה תילוהו וזבן, וכ"ש הוא, דיותר ברצון אדם קונה משמוכר, ולא כתבו הפוסקים</w:t>
      </w:r>
      <w:r w:rsidRPr="00351B7D">
        <w:rPr>
          <w:rFonts w:asciiTheme="minorBidi" w:hAnsiTheme="minorBidi"/>
          <w:sz w:val="16"/>
          <w:szCs w:val="16"/>
          <w:rtl/>
        </w:rPr>
        <w:t xml:space="preserve"> (סי' רמב סע' א) </w:t>
      </w:r>
      <w:r w:rsidRPr="00351B7D">
        <w:rPr>
          <w:rFonts w:asciiTheme="minorBidi" w:hAnsiTheme="minorBidi"/>
          <w:rtl/>
        </w:rPr>
        <w:t xml:space="preserve">רק תלוה ויהיב מאחר שאינו מקבל שום דבר דאז מסתמא אינו גומר ומקנה </w:t>
      </w:r>
      <w:r w:rsidRPr="00351B7D">
        <w:rPr>
          <w:rFonts w:asciiTheme="minorBidi" w:hAnsiTheme="minorBidi"/>
          <w:sz w:val="16"/>
          <w:szCs w:val="16"/>
          <w:rtl/>
        </w:rPr>
        <w:t>(כ"מ מפשט לשון הה"מ [פ"ד])</w:t>
      </w:r>
      <w:r w:rsidRPr="00351B7D">
        <w:rPr>
          <w:rFonts w:asciiTheme="minorBidi" w:hAnsiTheme="minorBidi"/>
          <w:rtl/>
        </w:rPr>
        <w:t xml:space="preserve">. ואין חילוק בין מוכר חפץ בדמים באונס או מוכר חפץ זה בחפץ אחר אע"פ שהוא נקרא ג"כ לוקח, וסתמא אמרו פשרה הרי הוא כמכר אם נתפרשו באונס שזה יתן לזה סך מעות וזה יתן לזה חפץ פלוני הוי כמכר אע"פ שאחד נקרא לוקח, אלא ודאי משמע דאין חילוק בין מוכר ללוקח ולא נחלקו כאן באיש שקידש, אלא שהרמב"ם סובר דאיש הקונה לא עשו תקנה להפקיע קידושין </w:t>
      </w:r>
      <w:r w:rsidRPr="00351B7D">
        <w:rPr>
          <w:rFonts w:asciiTheme="minorBidi" w:hAnsiTheme="minorBidi"/>
          <w:sz w:val="16"/>
          <w:szCs w:val="16"/>
          <w:rtl/>
        </w:rPr>
        <w:t xml:space="preserve">(ולפסוק כמר בר רב אשי דאמר תלוה וקידש לא הוי קידושין...) </w:t>
      </w:r>
      <w:r w:rsidRPr="00351B7D">
        <w:rPr>
          <w:rFonts w:asciiTheme="minorBidi" w:hAnsiTheme="minorBidi"/>
          <w:rtl/>
        </w:rPr>
        <w:t xml:space="preserve">אלא אוקמי' אדיניה ככל הלוקח באונס, והחולקים סוברים דגם כאן עשו תקנה, אבל מדינא כו"ע מודו דאין חילוק בין האיש הקונה באונס להאשה ניקני' באונס, על כן אני תמה מש"כ הרמ"א בח"מ ס"ס ר"ה 'אבל אנסוהו לקנות אינו קנין' והוא מדברי בהעי"ט, והדברים תמוהים דכאן משמע דאין חילוק בין קונה למקנה, ח"מ </w:t>
      </w:r>
      <w:r w:rsidRPr="00351B7D">
        <w:rPr>
          <w:rFonts w:asciiTheme="minorBidi" w:hAnsiTheme="minorBidi"/>
          <w:sz w:val="16"/>
          <w:szCs w:val="16"/>
          <w:rtl/>
        </w:rPr>
        <w:t>(סק"א)</w:t>
      </w:r>
      <w:r w:rsidRPr="00351B7D">
        <w:rPr>
          <w:rFonts w:asciiTheme="minorBidi" w:hAnsiTheme="minorBidi"/>
          <w:rtl/>
        </w:rPr>
        <w:t>.</w:t>
      </w:r>
    </w:p>
  </w:footnote>
  <w:footnote w:id="423">
    <w:p w14:paraId="6494CA2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בציוני מקורות בכת"י שעל מהדורת גריפו שכ"ז כ'- "סברת קארו" </w:t>
      </w:r>
      <w:r w:rsidRPr="00351B7D">
        <w:rPr>
          <w:rFonts w:asciiTheme="minorBidi" w:hAnsiTheme="minorBidi"/>
          <w:sz w:val="16"/>
          <w:szCs w:val="16"/>
          <w:rtl/>
        </w:rPr>
        <w:t>(ציוני מקורות פריעדמאן)</w:t>
      </w:r>
      <w:r w:rsidRPr="00351B7D">
        <w:rPr>
          <w:rFonts w:asciiTheme="minorBidi" w:hAnsiTheme="minorBidi"/>
          <w:rtl/>
        </w:rPr>
        <w:t xml:space="preserve">. וכ' העצמות יוסף </w:t>
      </w:r>
      <w:r w:rsidRPr="00351B7D">
        <w:rPr>
          <w:rFonts w:asciiTheme="minorBidi" w:hAnsiTheme="minorBidi"/>
          <w:sz w:val="16"/>
          <w:szCs w:val="16"/>
          <w:rtl/>
        </w:rPr>
        <w:t>(ב: ד"ה ולענין הלכה, הביאו הבאה"ט [סק"א])</w:t>
      </w:r>
      <w:r w:rsidRPr="00351B7D">
        <w:rPr>
          <w:rFonts w:asciiTheme="minorBidi" w:hAnsiTheme="minorBidi"/>
          <w:rtl/>
        </w:rPr>
        <w:t xml:space="preserve"> דאפילו אמר רוצה אני הוי ספק, וכ' הרש"ך </w:t>
      </w:r>
      <w:r w:rsidRPr="00351B7D">
        <w:rPr>
          <w:rFonts w:asciiTheme="minorBidi" w:hAnsiTheme="minorBidi"/>
          <w:sz w:val="16"/>
          <w:szCs w:val="16"/>
          <w:rtl/>
        </w:rPr>
        <w:t xml:space="preserve">(ח"א דף לז ע"ב) </w:t>
      </w:r>
      <w:r w:rsidRPr="00351B7D">
        <w:rPr>
          <w:rFonts w:asciiTheme="minorBidi" w:hAnsiTheme="minorBidi"/>
          <w:rtl/>
        </w:rPr>
        <w:t>דאם מסר מודעא על הקדושין קדושין בטלין.</w:t>
      </w:r>
    </w:p>
  </w:footnote>
  <w:footnote w:id="424">
    <w:p w14:paraId="3B1BA38A" w14:textId="77777777" w:rsidR="00DF1FC7" w:rsidRPr="00351B7D" w:rsidRDefault="00DF1FC7" w:rsidP="008E16D0">
      <w:pPr>
        <w:spacing w:after="0" w:line="240" w:lineRule="auto"/>
        <w:rPr>
          <w:rFonts w:asciiTheme="minorBidi" w:hAnsiTheme="minorBidi"/>
          <w:color w:val="000000"/>
          <w:sz w:val="20"/>
          <w:szCs w:val="20"/>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לכאורה יפלא למה לא נאמין שלא כיוונה לשם קדושין והא עד א' נאמן באיסורין אפילו בשלו, ולא בעינן שיהא בידו כ"א היכא דאיתחזק איסורא והכא לא איתחזק דעל תחילת הקדושין באנו לדון ואדרבא בחזקת פנויה עומדת, אמנם באמת אין טעמו של מהר"ם משום דלא מהימנא אלא מהימנא אך שאין אנו משגיחין על הכוונה והדברים הולכים אחר הפה ואפי' אם המחשבה לא כן הוא- דברים שבלב אינן דברים, נו"ב </w:t>
      </w:r>
      <w:r w:rsidRPr="00351B7D">
        <w:rPr>
          <w:rFonts w:asciiTheme="minorBidi" w:hAnsiTheme="minorBidi"/>
          <w:sz w:val="16"/>
          <w:szCs w:val="16"/>
          <w:rtl/>
        </w:rPr>
        <w:t>(ר"ס נ"ט הביאו הפת"ש [סק"ג])</w:t>
      </w:r>
      <w:r w:rsidRPr="00351B7D">
        <w:rPr>
          <w:rFonts w:asciiTheme="minorBidi" w:hAnsiTheme="minorBidi"/>
          <w:sz w:val="20"/>
          <w:szCs w:val="20"/>
          <w:rtl/>
        </w:rPr>
        <w:t xml:space="preserve">. ויוצא מדבריו שעד א' נאמן באיסורין אפי' במקום ערוה היכא דלא איתחזק איסורא, וכ' הבינת אדם </w:t>
      </w:r>
      <w:r w:rsidRPr="00351B7D">
        <w:rPr>
          <w:rFonts w:asciiTheme="minorBidi" w:hAnsiTheme="minorBidi"/>
          <w:sz w:val="14"/>
          <w:szCs w:val="14"/>
          <w:rtl/>
        </w:rPr>
        <w:t>(שער ב"ה ס"ס כ"ט)</w:t>
      </w:r>
      <w:r w:rsidRPr="00351B7D">
        <w:rPr>
          <w:rFonts w:asciiTheme="minorBidi" w:hAnsiTheme="minorBidi"/>
          <w:sz w:val="20"/>
          <w:szCs w:val="20"/>
          <w:rtl/>
        </w:rPr>
        <w:t xml:space="preserve"> שכן דעת תוס' </w:t>
      </w:r>
      <w:r w:rsidRPr="00351B7D">
        <w:rPr>
          <w:rFonts w:asciiTheme="minorBidi" w:hAnsiTheme="minorBidi"/>
          <w:sz w:val="16"/>
          <w:szCs w:val="16"/>
          <w:rtl/>
        </w:rPr>
        <w:t xml:space="preserve">(גיטין ב: ד"ה הוי) </w:t>
      </w:r>
      <w:r w:rsidRPr="00351B7D">
        <w:rPr>
          <w:rFonts w:asciiTheme="minorBidi" w:hAnsiTheme="minorBidi"/>
          <w:sz w:val="20"/>
          <w:szCs w:val="20"/>
          <w:rtl/>
        </w:rPr>
        <w:t xml:space="preserve">רמב"ן </w:t>
      </w:r>
      <w:r w:rsidRPr="00351B7D">
        <w:rPr>
          <w:rFonts w:asciiTheme="minorBidi" w:hAnsiTheme="minorBidi"/>
          <w:sz w:val="16"/>
          <w:szCs w:val="16"/>
          <w:rtl/>
        </w:rPr>
        <w:t xml:space="preserve">(גיטין סד.) </w:t>
      </w:r>
      <w:r w:rsidRPr="00351B7D">
        <w:rPr>
          <w:rFonts w:asciiTheme="minorBidi" w:hAnsiTheme="minorBidi"/>
          <w:sz w:val="20"/>
          <w:szCs w:val="20"/>
          <w:rtl/>
        </w:rPr>
        <w:t>רשב"א</w:t>
      </w:r>
      <w:r w:rsidRPr="00351B7D">
        <w:rPr>
          <w:rFonts w:asciiTheme="minorBidi" w:hAnsiTheme="minorBidi"/>
          <w:sz w:val="16"/>
          <w:szCs w:val="16"/>
          <w:rtl/>
        </w:rPr>
        <w:t xml:space="preserve"> (גיטין ב:)</w:t>
      </w:r>
      <w:r w:rsidRPr="00351B7D">
        <w:rPr>
          <w:rFonts w:asciiTheme="minorBidi" w:hAnsiTheme="minorBidi"/>
          <w:sz w:val="20"/>
          <w:szCs w:val="20"/>
          <w:rtl/>
        </w:rPr>
        <w:t xml:space="preserve"> וריטב"א </w:t>
      </w:r>
      <w:r w:rsidRPr="00351B7D">
        <w:rPr>
          <w:rFonts w:asciiTheme="minorBidi" w:hAnsiTheme="minorBidi"/>
          <w:sz w:val="16"/>
          <w:szCs w:val="16"/>
          <w:rtl/>
        </w:rPr>
        <w:t>(יבמות פז:)</w:t>
      </w:r>
      <w:r w:rsidRPr="00351B7D">
        <w:rPr>
          <w:rFonts w:asciiTheme="minorBidi" w:hAnsiTheme="minorBidi"/>
          <w:sz w:val="20"/>
          <w:szCs w:val="20"/>
          <w:rtl/>
        </w:rPr>
        <w:t>.</w:t>
      </w:r>
      <w:r w:rsidRPr="00351B7D">
        <w:rPr>
          <w:rFonts w:asciiTheme="minorBidi" w:hAnsiTheme="minorBidi"/>
          <w:sz w:val="16"/>
          <w:szCs w:val="16"/>
          <w:rtl/>
        </w:rPr>
        <w:t xml:space="preserve"> </w:t>
      </w:r>
      <w:r w:rsidRPr="00351B7D">
        <w:rPr>
          <w:rFonts w:asciiTheme="minorBidi" w:hAnsiTheme="minorBidi"/>
          <w:sz w:val="20"/>
          <w:szCs w:val="20"/>
          <w:rtl/>
        </w:rPr>
        <w:t>וכ"כ מהרי"ק</w:t>
      </w:r>
      <w:r w:rsidRPr="00351B7D">
        <w:rPr>
          <w:rFonts w:asciiTheme="minorBidi" w:hAnsiTheme="minorBidi"/>
          <w:sz w:val="16"/>
          <w:szCs w:val="16"/>
          <w:rtl/>
        </w:rPr>
        <w:t xml:space="preserve"> (שורש ע"ב)</w:t>
      </w:r>
      <w:r w:rsidRPr="00351B7D">
        <w:rPr>
          <w:rFonts w:asciiTheme="minorBidi" w:hAnsiTheme="minorBidi"/>
          <w:sz w:val="20"/>
          <w:szCs w:val="20"/>
          <w:rtl/>
        </w:rPr>
        <w:t xml:space="preserve">. אך בתשו' בגדי כהונה </w:t>
      </w:r>
      <w:r w:rsidRPr="00351B7D">
        <w:rPr>
          <w:rFonts w:asciiTheme="minorBidi" w:hAnsiTheme="minorBidi"/>
          <w:sz w:val="16"/>
          <w:szCs w:val="16"/>
          <w:rtl/>
        </w:rPr>
        <w:t xml:space="preserve">(סי' י [או סי' ח]) </w:t>
      </w:r>
      <w:r w:rsidRPr="00351B7D">
        <w:rPr>
          <w:rFonts w:asciiTheme="minorBidi" w:hAnsiTheme="minorBidi"/>
          <w:sz w:val="20"/>
          <w:szCs w:val="20"/>
          <w:rtl/>
        </w:rPr>
        <w:t xml:space="preserve">בן המחבר העיר בזה על דברי הנו"ב הנ"ל דהלא אשלי רברבי ס"ל בהדיא דעד א' אינו נאמן בדבר ערוה אע"ג דלא איתחזק הלא המה הר"ן </w:t>
      </w:r>
      <w:r w:rsidRPr="00351B7D">
        <w:rPr>
          <w:rFonts w:asciiTheme="minorBidi" w:hAnsiTheme="minorBidi"/>
          <w:sz w:val="16"/>
          <w:szCs w:val="16"/>
          <w:rtl/>
        </w:rPr>
        <w:t xml:space="preserve">(גיטין ב:) </w:t>
      </w:r>
      <w:r w:rsidRPr="00351B7D">
        <w:rPr>
          <w:rFonts w:asciiTheme="minorBidi" w:hAnsiTheme="minorBidi"/>
          <w:sz w:val="20"/>
          <w:szCs w:val="20"/>
          <w:rtl/>
        </w:rPr>
        <w:t xml:space="preserve">והנמוק"י </w:t>
      </w:r>
      <w:r w:rsidRPr="00351B7D">
        <w:rPr>
          <w:rFonts w:asciiTheme="minorBidi" w:hAnsiTheme="minorBidi"/>
          <w:sz w:val="16"/>
          <w:szCs w:val="16"/>
          <w:rtl/>
        </w:rPr>
        <w:t xml:space="preserve">(כח. מדפה"ר) </w:t>
      </w:r>
      <w:r w:rsidRPr="00351B7D">
        <w:rPr>
          <w:rFonts w:asciiTheme="minorBidi" w:hAnsiTheme="minorBidi"/>
          <w:sz w:val="20"/>
          <w:szCs w:val="20"/>
          <w:rtl/>
        </w:rPr>
        <w:t xml:space="preserve">והרא"ש </w:t>
      </w:r>
      <w:r w:rsidRPr="00351B7D">
        <w:rPr>
          <w:rFonts w:asciiTheme="minorBidi" w:hAnsiTheme="minorBidi"/>
          <w:sz w:val="16"/>
          <w:szCs w:val="16"/>
          <w:rtl/>
        </w:rPr>
        <w:t xml:space="preserve">(קידושין ס:) </w:t>
      </w:r>
      <w:r w:rsidRPr="00351B7D">
        <w:rPr>
          <w:rFonts w:asciiTheme="minorBidi" w:hAnsiTheme="minorBidi"/>
          <w:sz w:val="20"/>
          <w:szCs w:val="20"/>
          <w:rtl/>
        </w:rPr>
        <w:t xml:space="preserve">והניח בצ"ע. וגם רעק"א </w:t>
      </w:r>
      <w:r w:rsidRPr="00351B7D">
        <w:rPr>
          <w:rFonts w:asciiTheme="minorBidi" w:hAnsiTheme="minorBidi"/>
          <w:sz w:val="16"/>
          <w:szCs w:val="16"/>
          <w:rtl/>
        </w:rPr>
        <w:t xml:space="preserve">(ס"ס צ"ז) </w:t>
      </w:r>
      <w:r w:rsidRPr="00351B7D">
        <w:rPr>
          <w:rFonts w:asciiTheme="minorBidi" w:hAnsiTheme="minorBidi"/>
          <w:sz w:val="20"/>
          <w:szCs w:val="20"/>
          <w:rtl/>
        </w:rPr>
        <w:t>עמד בזה ע"ד הנו"ב הנ"ל ומ"מ צירף זה לסניף.</w:t>
      </w:r>
    </w:p>
  </w:footnote>
  <w:footnote w:id="425">
    <w:p w14:paraId="2E5DC48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לגמרי, מאחר שלא זרקה, ואונס דמעיקרא לאו כלום הוא, כיון דבשעת קדושין הוא ברצון, וא"צ לאמירתו הואיל ומתחילה דיברו עע"ק, גר"א </w:t>
      </w:r>
      <w:r w:rsidRPr="00351B7D">
        <w:rPr>
          <w:rFonts w:asciiTheme="minorBidi" w:hAnsiTheme="minorBidi"/>
          <w:sz w:val="16"/>
          <w:szCs w:val="16"/>
          <w:rtl/>
        </w:rPr>
        <w:t>(סק"ה-ו)</w:t>
      </w:r>
      <w:r w:rsidRPr="00351B7D">
        <w:rPr>
          <w:rFonts w:asciiTheme="minorBidi" w:hAnsiTheme="minorBidi"/>
          <w:rtl/>
        </w:rPr>
        <w:t xml:space="preserve">. וכ"כ הב"ש </w:t>
      </w:r>
      <w:r w:rsidRPr="00351B7D">
        <w:rPr>
          <w:rFonts w:asciiTheme="minorBidi" w:hAnsiTheme="minorBidi"/>
          <w:sz w:val="16"/>
          <w:szCs w:val="16"/>
          <w:rtl/>
        </w:rPr>
        <w:t>(סק"ג)</w:t>
      </w:r>
      <w:r w:rsidRPr="00351B7D">
        <w:rPr>
          <w:rFonts w:asciiTheme="minorBidi" w:hAnsiTheme="minorBidi"/>
          <w:rtl/>
        </w:rPr>
        <w:t xml:space="preserve"> ובית הילל</w:t>
      </w:r>
      <w:r w:rsidRPr="00351B7D">
        <w:rPr>
          <w:rFonts w:asciiTheme="minorBidi" w:hAnsiTheme="minorBidi"/>
          <w:sz w:val="16"/>
          <w:szCs w:val="16"/>
          <w:rtl/>
        </w:rPr>
        <w:t xml:space="preserve"> (ד"ה לקח)</w:t>
      </w:r>
      <w:r w:rsidRPr="00351B7D">
        <w:rPr>
          <w:rFonts w:asciiTheme="minorBidi" w:hAnsiTheme="minorBidi"/>
          <w:rtl/>
        </w:rPr>
        <w:t xml:space="preserve">. אך הח"מ </w:t>
      </w:r>
      <w:r w:rsidRPr="00351B7D">
        <w:rPr>
          <w:rFonts w:asciiTheme="minorBidi" w:hAnsiTheme="minorBidi"/>
          <w:sz w:val="16"/>
          <w:szCs w:val="16"/>
          <w:rtl/>
        </w:rPr>
        <w:t>(סק"ב)</w:t>
      </w:r>
      <w:r w:rsidRPr="00351B7D">
        <w:rPr>
          <w:rFonts w:asciiTheme="minorBidi" w:hAnsiTheme="minorBidi"/>
          <w:rtl/>
        </w:rPr>
        <w:t xml:space="preserve"> כ' דצריכה גט לחומרא, דהו"ל שתיקה דלאחר מתן מעות ומכ"ש כשתחילתו באונס, אלא דמאחר שלא זרקה צריכה גט לחומרא.  </w:t>
      </w:r>
    </w:p>
  </w:footnote>
  <w:footnote w:id="426">
    <w:p w14:paraId="5E48DE8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וקשה, דהרי הרמ"א בסי' כ"ח</w:t>
      </w:r>
      <w:r w:rsidRPr="00351B7D">
        <w:rPr>
          <w:rFonts w:asciiTheme="minorBidi" w:hAnsiTheme="minorBidi"/>
          <w:sz w:val="16"/>
          <w:szCs w:val="16"/>
          <w:u w:val="single"/>
          <w:rtl/>
        </w:rPr>
        <w:t xml:space="preserve"> </w:t>
      </w:r>
      <w:r w:rsidRPr="00351B7D">
        <w:rPr>
          <w:rFonts w:asciiTheme="minorBidi" w:hAnsiTheme="minorBidi"/>
          <w:sz w:val="14"/>
          <w:szCs w:val="14"/>
          <w:u w:val="single"/>
          <w:rtl/>
        </w:rPr>
        <w:t xml:space="preserve">(סע' ד) </w:t>
      </w:r>
      <w:r w:rsidRPr="00351B7D">
        <w:rPr>
          <w:rFonts w:asciiTheme="minorBidi" w:hAnsiTheme="minorBidi"/>
          <w:u w:val="single"/>
          <w:rtl/>
        </w:rPr>
        <w:t>פסק כהרמ"ה דבזרק לחיקה ולא לקחה ושתקה אינו כלום</w:t>
      </w:r>
      <w:r w:rsidRPr="00351B7D">
        <w:rPr>
          <w:rFonts w:asciiTheme="minorBidi" w:hAnsiTheme="minorBidi"/>
          <w:sz w:val="16"/>
          <w:szCs w:val="16"/>
          <w:u w:val="single"/>
          <w:rtl/>
        </w:rPr>
        <w:t xml:space="preserve"> (בהיפך מהגמ"ר, וכ"פ בשו"ע סי' ל ס"ו)</w:t>
      </w:r>
      <w:r w:rsidRPr="00351B7D">
        <w:rPr>
          <w:rFonts w:asciiTheme="minorBidi" w:hAnsiTheme="minorBidi"/>
          <w:u w:val="single"/>
          <w:rtl/>
        </w:rPr>
        <w:t>:</w:t>
      </w:r>
    </w:p>
    <w:p w14:paraId="2C8EEF4A" w14:textId="77777777" w:rsidR="00DF1FC7" w:rsidRPr="00351B7D" w:rsidRDefault="00DF1FC7" w:rsidP="00A8697F">
      <w:pPr>
        <w:pStyle w:val="a5"/>
        <w:numPr>
          <w:ilvl w:val="0"/>
          <w:numId w:val="52"/>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הרמ"א זיכה שטרא לבי תרי, דהרמ"ה</w:t>
      </w:r>
      <w:r w:rsidRPr="00351B7D">
        <w:rPr>
          <w:rFonts w:asciiTheme="minorBidi" w:hAnsiTheme="minorBidi"/>
          <w:sz w:val="16"/>
          <w:szCs w:val="16"/>
          <w:rtl/>
        </w:rPr>
        <w:t xml:space="preserve"> (שהוא מקור הדין שם) </w:t>
      </w:r>
      <w:r w:rsidRPr="00351B7D">
        <w:rPr>
          <w:rFonts w:asciiTheme="minorBidi" w:hAnsiTheme="minorBidi"/>
          <w:rtl/>
        </w:rPr>
        <w:t>חולק על דברי הגה' מרדכי שכאן, ולדעת הרמ"ה כל דלא עבדה מעשה דמוכח דניחא לה אין זה קידושין והא דלא מחאי בפירוש הוא משום דלא איכפת לה.</w:t>
      </w:r>
    </w:p>
    <w:p w14:paraId="027EAD79" w14:textId="77777777" w:rsidR="00DF1FC7" w:rsidRPr="00351B7D" w:rsidRDefault="00DF1FC7" w:rsidP="00A8697F">
      <w:pPr>
        <w:pStyle w:val="a5"/>
        <w:numPr>
          <w:ilvl w:val="0"/>
          <w:numId w:val="52"/>
        </w:numPr>
        <w:rPr>
          <w:rFonts w:asciiTheme="minorBidi" w:hAnsiTheme="minorBidi"/>
        </w:rPr>
      </w:pPr>
      <w:r w:rsidRPr="00351B7D">
        <w:rPr>
          <w:rFonts w:asciiTheme="minorBidi" w:hAnsiTheme="minorBidi"/>
          <w:rtl/>
        </w:rPr>
        <w:t>ב"ח</w:t>
      </w:r>
      <w:r w:rsidRPr="00351B7D">
        <w:rPr>
          <w:rFonts w:asciiTheme="minorBidi" w:hAnsiTheme="minorBidi"/>
          <w:sz w:val="16"/>
          <w:szCs w:val="16"/>
          <w:rtl/>
        </w:rPr>
        <w:t xml:space="preserve"> (סי' כ"ח)</w:t>
      </w:r>
      <w:r w:rsidRPr="00351B7D">
        <w:rPr>
          <w:rFonts w:asciiTheme="minorBidi" w:hAnsiTheme="minorBidi"/>
          <w:rtl/>
        </w:rPr>
        <w:t xml:space="preserve">- דברי הרמ"ה הם שלאחר שזרק לתוך חיקה ניערה בגדיה אך כאן לא הוציאה הטבעת מתוך ידה.  </w:t>
      </w:r>
    </w:p>
    <w:p w14:paraId="50D1A84A" w14:textId="77777777" w:rsidR="00DF1FC7" w:rsidRPr="00351B7D" w:rsidRDefault="00DF1FC7" w:rsidP="00A8697F">
      <w:pPr>
        <w:pStyle w:val="a5"/>
        <w:numPr>
          <w:ilvl w:val="0"/>
          <w:numId w:val="52"/>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(סק"ג)</w:t>
      </w:r>
      <w:r w:rsidRPr="00351B7D">
        <w:rPr>
          <w:rFonts w:asciiTheme="minorBidi" w:hAnsiTheme="minorBidi"/>
          <w:rtl/>
        </w:rPr>
        <w:t xml:space="preserve"> וחת"ס</w:t>
      </w:r>
      <w:r w:rsidRPr="00351B7D">
        <w:rPr>
          <w:rFonts w:asciiTheme="minorBidi" w:hAnsiTheme="minorBidi"/>
          <w:sz w:val="16"/>
          <w:szCs w:val="16"/>
          <w:rtl/>
        </w:rPr>
        <w:t xml:space="preserve"> (סי' פ"ד)</w:t>
      </w:r>
      <w:r w:rsidRPr="00351B7D">
        <w:rPr>
          <w:rFonts w:asciiTheme="minorBidi" w:hAnsiTheme="minorBidi"/>
          <w:rtl/>
        </w:rPr>
        <w:t xml:space="preserve">- העובדא בהגה' מרדכי הוא שהיה רצונה בתחילה להתקדש לו ואח"כ לקח ידה בחזקה אז אמרינן לישדנהו </w:t>
      </w:r>
      <w:r w:rsidRPr="00351B7D">
        <w:rPr>
          <w:rFonts w:asciiTheme="minorBidi" w:hAnsiTheme="minorBidi"/>
          <w:sz w:val="16"/>
          <w:szCs w:val="16"/>
          <w:rtl/>
        </w:rPr>
        <w:t>(דלא אמרינן לישדינהו אלא כשהיה רצונה בתחילה להתקדש)</w:t>
      </w:r>
      <w:r w:rsidRPr="00351B7D">
        <w:rPr>
          <w:rFonts w:asciiTheme="minorBidi" w:hAnsiTheme="minorBidi"/>
          <w:rtl/>
        </w:rPr>
        <w:t xml:space="preserve"> ואם לא ניערה הקדושין הוי קדושין כיון שהיה בתחלה רצון שלה, ומה שדיבר בו הרמ"ה הוא שלא היה בתחילה רצונה להתקדש אז אפי' לא זרקה אינו כלום</w:t>
      </w:r>
      <w:r w:rsidRPr="00351B7D">
        <w:rPr>
          <w:rFonts w:asciiTheme="minorBidi" w:hAnsiTheme="minorBidi"/>
          <w:sz w:val="16"/>
          <w:szCs w:val="16"/>
          <w:rtl/>
        </w:rPr>
        <w:t xml:space="preserve"> (והוסיף החת"ס דהכא בתחב הטבעת באצבעה דרך קישוט אפי' נאמר דלא שדיתיה שהיתה סבורה דחייבת באחריות מ"מ היה לה להסירה מאצבעה ולשמור בתוך ידה וכיסה ולא להתקשט במה שהוא על אפה וחמתה)</w:t>
      </w:r>
      <w:r w:rsidRPr="00351B7D">
        <w:rPr>
          <w:rFonts w:asciiTheme="minorBidi" w:hAnsiTheme="minorBidi"/>
          <w:rtl/>
        </w:rPr>
        <w:t xml:space="preserve">. </w:t>
      </w:r>
    </w:p>
  </w:footnote>
  <w:footnote w:id="427">
    <w:p w14:paraId="1631F49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וה"ה אם נתן לה כל המעות בפעם אחת</w:t>
      </w:r>
      <w:r w:rsidRPr="00351B7D">
        <w:rPr>
          <w:rFonts w:asciiTheme="minorBidi" w:hAnsiTheme="minorBidi"/>
          <w:sz w:val="16"/>
          <w:szCs w:val="16"/>
          <w:rtl/>
        </w:rPr>
        <w:t xml:space="preserve"> (וכמו שפסק לעיל סי' ל' סעיף ו')</w:t>
      </w:r>
      <w:r w:rsidRPr="00351B7D">
        <w:rPr>
          <w:rFonts w:asciiTheme="minorBidi" w:hAnsiTheme="minorBidi"/>
          <w:rtl/>
        </w:rPr>
        <w:t>, ח"מ (סק"ג).</w:t>
      </w:r>
    </w:p>
  </w:footnote>
  <w:footnote w:id="428">
    <w:p w14:paraId="1581A0FF" w14:textId="77777777" w:rsidR="00DF1FC7" w:rsidRPr="00351B7D" w:rsidRDefault="00DF1FC7" w:rsidP="008E16D0">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וכשלא זרקה נחלקו האחרונים:</w:t>
      </w:r>
    </w:p>
    <w:p w14:paraId="290A2371" w14:textId="77777777" w:rsidR="00DF1FC7" w:rsidRPr="00351B7D" w:rsidRDefault="00DF1FC7" w:rsidP="00A8697F">
      <w:pPr>
        <w:pStyle w:val="a5"/>
        <w:numPr>
          <w:ilvl w:val="0"/>
          <w:numId w:val="115"/>
        </w:numPr>
        <w:rPr>
          <w:rFonts w:asciiTheme="minorBidi" w:hAnsiTheme="minorBidi"/>
        </w:rPr>
      </w:pPr>
      <w:r w:rsidRPr="00351B7D">
        <w:rPr>
          <w:rFonts w:asciiTheme="minorBidi" w:hAnsiTheme="minorBidi"/>
          <w:rtl/>
        </w:rPr>
        <w:t xml:space="preserve">גר"א </w:t>
      </w:r>
      <w:r w:rsidRPr="00351B7D">
        <w:rPr>
          <w:rFonts w:asciiTheme="minorBidi" w:hAnsiTheme="minorBidi"/>
          <w:sz w:val="14"/>
          <w:szCs w:val="14"/>
          <w:rtl/>
        </w:rPr>
        <w:t>(סק"ז)</w:t>
      </w:r>
      <w:r w:rsidRPr="00351B7D">
        <w:rPr>
          <w:rFonts w:asciiTheme="minorBidi" w:hAnsiTheme="minorBidi"/>
          <w:rtl/>
        </w:rPr>
        <w:t xml:space="preserve">- גם כשלא זרקה אינה מקודשת </w:t>
      </w:r>
      <w:r w:rsidRPr="00351B7D">
        <w:rPr>
          <w:rFonts w:asciiTheme="minorBidi" w:hAnsiTheme="minorBidi"/>
          <w:sz w:val="14"/>
          <w:szCs w:val="14"/>
          <w:rtl/>
        </w:rPr>
        <w:t>(כבסי' כח סע' ג)</w:t>
      </w:r>
      <w:r w:rsidRPr="00351B7D">
        <w:rPr>
          <w:rFonts w:asciiTheme="minorBidi" w:hAnsiTheme="minorBidi"/>
          <w:rtl/>
        </w:rPr>
        <w:t>, וכ"ש בזרקה דאפי' בקדושין גמורים אינו כלום</w:t>
      </w:r>
      <w:r w:rsidRPr="00351B7D">
        <w:rPr>
          <w:rFonts w:asciiTheme="minorBidi" w:hAnsiTheme="minorBidi"/>
          <w:sz w:val="16"/>
          <w:szCs w:val="16"/>
          <w:rtl/>
        </w:rPr>
        <w:t xml:space="preserve"> </w:t>
      </w:r>
      <w:r w:rsidRPr="00351B7D">
        <w:rPr>
          <w:rFonts w:asciiTheme="minorBidi" w:hAnsiTheme="minorBidi"/>
          <w:sz w:val="14"/>
          <w:szCs w:val="14"/>
          <w:rtl/>
        </w:rPr>
        <w:t>(כמו שנתבאר בסק"ג)</w:t>
      </w:r>
      <w:r w:rsidRPr="00351B7D">
        <w:rPr>
          <w:rFonts w:asciiTheme="minorBidi" w:hAnsiTheme="minorBidi"/>
          <w:rtl/>
        </w:rPr>
        <w:t xml:space="preserve">. </w:t>
      </w:r>
    </w:p>
    <w:p w14:paraId="04FE6080" w14:textId="77777777" w:rsidR="00DF1FC7" w:rsidRPr="00351B7D" w:rsidRDefault="00DF1FC7" w:rsidP="00A8697F">
      <w:pPr>
        <w:pStyle w:val="a5"/>
        <w:numPr>
          <w:ilvl w:val="0"/>
          <w:numId w:val="115"/>
        </w:numPr>
        <w:rPr>
          <w:rFonts w:asciiTheme="minorBidi" w:hAnsiTheme="minorBidi"/>
          <w:rtl/>
        </w:rPr>
      </w:pPr>
      <w:r w:rsidRPr="00351B7D">
        <w:rPr>
          <w:rFonts w:asciiTheme="minorBidi" w:hAnsiTheme="minorBidi"/>
          <w:rtl/>
        </w:rPr>
        <w:t xml:space="preserve">ב"ש </w:t>
      </w:r>
      <w:r w:rsidRPr="00351B7D">
        <w:rPr>
          <w:rFonts w:asciiTheme="minorBidi" w:hAnsiTheme="minorBidi"/>
          <w:sz w:val="14"/>
          <w:szCs w:val="14"/>
          <w:rtl/>
        </w:rPr>
        <w:t>(סק"ד)</w:t>
      </w:r>
      <w:r w:rsidRPr="00351B7D">
        <w:rPr>
          <w:rFonts w:asciiTheme="minorBidi" w:hAnsiTheme="minorBidi"/>
          <w:rtl/>
        </w:rPr>
        <w:t>- אם לא זרקה, אע"ג שחייב לה, מקודשת, כיון שלא אמר לה 'הא לך מעות שאני חייב לך'</w:t>
      </w:r>
      <w:r w:rsidRPr="00351B7D">
        <w:rPr>
          <w:rFonts w:asciiTheme="minorBidi" w:hAnsiTheme="minorBidi"/>
          <w:sz w:val="16"/>
          <w:szCs w:val="16"/>
          <w:rtl/>
        </w:rPr>
        <w:t xml:space="preserve"> </w:t>
      </w:r>
      <w:r w:rsidRPr="00351B7D">
        <w:rPr>
          <w:rFonts w:asciiTheme="minorBidi" w:hAnsiTheme="minorBidi"/>
          <w:sz w:val="14"/>
          <w:szCs w:val="14"/>
          <w:rtl/>
        </w:rPr>
        <w:t>(כמ"ש בסי' כח בשם הר"ן)</w:t>
      </w:r>
      <w:r w:rsidRPr="00351B7D">
        <w:rPr>
          <w:rFonts w:asciiTheme="minorBidi" w:hAnsiTheme="minorBidi"/>
          <w:rtl/>
        </w:rPr>
        <w:t>.</w:t>
      </w:r>
    </w:p>
  </w:footnote>
  <w:footnote w:id="429">
    <w:p w14:paraId="2DC8B5B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הביאו שעהמ"ל (פ"ז מה"א דין ב') והוא ז"ל גמגם בזה, פת"ש (סק"א).</w:t>
      </w:r>
    </w:p>
  </w:footnote>
  <w:footnote w:id="430">
    <w:p w14:paraId="07EEFAB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לדברי העד, רש"י.</w:t>
      </w:r>
    </w:p>
  </w:footnote>
  <w:footnote w:id="431">
    <w:p w14:paraId="7614961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הא דתניא אין חוששין משום דלא מהימן הוא והא הימנוה או דלמא משום דאין קדושין חלין בלא עדים ויליף דבר דבר מממון כתיב בעריות ערות דבר (דברים כד) ובממון כתיב על פי שני עדים יקום דבר (דברים יט) , רש"י.</w:t>
      </w:r>
    </w:p>
  </w:footnote>
  <w:footnote w:id="432">
    <w:p w14:paraId="0ECEF43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 היה מחזיק בדבריו לא לאיסור ולא להיתר פעמים שאמר הן ופעמים שאמר לאו ורפיא בידיה ולא היתה מוחזקת הוראה זו בידו, רש"י.</w:t>
      </w:r>
    </w:p>
  </w:footnote>
  <w:footnote w:id="433">
    <w:p w14:paraId="347C494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על הא ד-"בעו מיניה מרב יהודה", גר"א (סק"י).</w:t>
      </w:r>
    </w:p>
  </w:footnote>
  <w:footnote w:id="434">
    <w:p w14:paraId="1F1444C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(כח.) </w:t>
      </w:r>
      <w:r w:rsidRPr="00351B7D">
        <w:rPr>
          <w:rFonts w:asciiTheme="minorBidi" w:hAnsiTheme="minorBidi"/>
          <w:rtl/>
        </w:rPr>
        <w:t xml:space="preserve">רמב"ם </w:t>
      </w:r>
      <w:r w:rsidRPr="00351B7D">
        <w:rPr>
          <w:rFonts w:asciiTheme="minorBidi" w:hAnsiTheme="minorBidi"/>
          <w:sz w:val="16"/>
          <w:szCs w:val="16"/>
          <w:rtl/>
        </w:rPr>
        <w:t>(פ"ד ה"ו)</w:t>
      </w:r>
      <w:r w:rsidRPr="00351B7D">
        <w:rPr>
          <w:rFonts w:asciiTheme="minorBidi" w:hAnsiTheme="minorBidi"/>
          <w:rtl/>
        </w:rPr>
        <w:t xml:space="preserve"> ורא"ש </w:t>
      </w:r>
      <w:r w:rsidRPr="00351B7D">
        <w:rPr>
          <w:rFonts w:asciiTheme="minorBidi" w:hAnsiTheme="minorBidi"/>
          <w:sz w:val="16"/>
          <w:szCs w:val="16"/>
          <w:rtl/>
        </w:rPr>
        <w:t>(סי' יג)</w:t>
      </w:r>
      <w:r w:rsidRPr="00351B7D">
        <w:rPr>
          <w:rFonts w:asciiTheme="minorBidi" w:hAnsiTheme="minorBidi"/>
          <w:rtl/>
        </w:rPr>
        <w:t xml:space="preserve">. וכ"כ בה"ג </w:t>
      </w:r>
      <w:r w:rsidRPr="00351B7D">
        <w:rPr>
          <w:rFonts w:asciiTheme="minorBidi" w:hAnsiTheme="minorBidi"/>
          <w:sz w:val="16"/>
          <w:szCs w:val="16"/>
          <w:rtl/>
        </w:rPr>
        <w:t xml:space="preserve">(הל' קדושין פג ע"ד) </w:t>
      </w:r>
      <w:r w:rsidRPr="00351B7D">
        <w:rPr>
          <w:rFonts w:asciiTheme="minorBidi" w:hAnsiTheme="minorBidi"/>
          <w:rtl/>
        </w:rPr>
        <w:t xml:space="preserve">מהר"ם </w:t>
      </w:r>
      <w:r w:rsidRPr="00351B7D">
        <w:rPr>
          <w:rFonts w:asciiTheme="minorBidi" w:hAnsiTheme="minorBidi"/>
          <w:sz w:val="16"/>
          <w:szCs w:val="16"/>
          <w:rtl/>
        </w:rPr>
        <w:t xml:space="preserve">(הביאו המרדכי קדושין סי' תקלד) </w:t>
      </w:r>
      <w:r w:rsidRPr="00351B7D">
        <w:rPr>
          <w:rFonts w:asciiTheme="minorBidi" w:hAnsiTheme="minorBidi"/>
          <w:rtl/>
        </w:rPr>
        <w:t xml:space="preserve">רשב"א </w:t>
      </w:r>
      <w:r w:rsidRPr="00351B7D">
        <w:rPr>
          <w:rFonts w:asciiTheme="minorBidi" w:hAnsiTheme="minorBidi"/>
          <w:sz w:val="16"/>
          <w:szCs w:val="16"/>
          <w:rtl/>
        </w:rPr>
        <w:t xml:space="preserve">(הביאו התשב"ץ, ועי' בכתובות כג. ד"ה הא) </w:t>
      </w:r>
      <w:r w:rsidRPr="00351B7D">
        <w:rPr>
          <w:rFonts w:asciiTheme="minorBidi" w:hAnsiTheme="minorBidi"/>
          <w:rtl/>
        </w:rPr>
        <w:t xml:space="preserve">תשב"ץ </w:t>
      </w:r>
      <w:r w:rsidRPr="00351B7D">
        <w:rPr>
          <w:rFonts w:asciiTheme="minorBidi" w:hAnsiTheme="minorBidi"/>
          <w:sz w:val="16"/>
          <w:szCs w:val="16"/>
          <w:rtl/>
        </w:rPr>
        <w:t xml:space="preserve">(ח"א סי' קל) </w:t>
      </w:r>
      <w:r w:rsidRPr="00351B7D">
        <w:rPr>
          <w:rFonts w:asciiTheme="minorBidi" w:hAnsiTheme="minorBidi"/>
          <w:rtl/>
        </w:rPr>
        <w:t xml:space="preserve">סמ"ק </w:t>
      </w:r>
      <w:r w:rsidRPr="00351B7D">
        <w:rPr>
          <w:rFonts w:asciiTheme="minorBidi" w:hAnsiTheme="minorBidi"/>
          <w:sz w:val="16"/>
          <w:szCs w:val="16"/>
          <w:rtl/>
        </w:rPr>
        <w:t xml:space="preserve">(סי' קפג) </w:t>
      </w:r>
      <w:r w:rsidRPr="00351B7D">
        <w:rPr>
          <w:rFonts w:asciiTheme="minorBidi" w:hAnsiTheme="minorBidi"/>
          <w:rtl/>
        </w:rPr>
        <w:t xml:space="preserve">מהרי"ק </w:t>
      </w:r>
      <w:r w:rsidRPr="00351B7D">
        <w:rPr>
          <w:rFonts w:asciiTheme="minorBidi" w:hAnsiTheme="minorBidi"/>
          <w:sz w:val="16"/>
          <w:szCs w:val="16"/>
          <w:rtl/>
        </w:rPr>
        <w:t>(שורש ק"א ענף ב)</w:t>
      </w:r>
      <w:r w:rsidRPr="00351B7D">
        <w:rPr>
          <w:rFonts w:asciiTheme="minorBidi" w:hAnsiTheme="minorBidi"/>
          <w:rtl/>
        </w:rPr>
        <w:t xml:space="preserve"> ועוד. </w:t>
      </w:r>
    </w:p>
  </w:footnote>
  <w:footnote w:id="435">
    <w:p w14:paraId="67A0005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וכ"ת נצריכה גט לחומרא נמצא אתה פוסלה לכהונה, ואי משום קלא דקמי נישואין הוי קול ושוברו עמו</w:t>
      </w:r>
      <w:r w:rsidRPr="00351B7D">
        <w:rPr>
          <w:rFonts w:asciiTheme="minorBidi" w:hAnsiTheme="minorBidi"/>
          <w:sz w:val="14"/>
          <w:szCs w:val="14"/>
          <w:rtl/>
        </w:rPr>
        <w:t xml:space="preserve"> (היינו שאותו א' שאומר שהתקדשה אומר גם שהקדושין נעשו בפני עד א')</w:t>
      </w:r>
      <w:r w:rsidRPr="00351B7D">
        <w:rPr>
          <w:rFonts w:asciiTheme="minorBidi" w:hAnsiTheme="minorBidi"/>
          <w:rtl/>
        </w:rPr>
        <w:t>, אבל אי נפיק עלה מעיקרא קלא דקידושין גמורים ואחר זמן נודע שלא קידשה אלא בעד אחד אי לא מבטלינן קלא צריכה גט, אמנם [ר]אבי"ה</w:t>
      </w:r>
      <w:r w:rsidRPr="00351B7D">
        <w:rPr>
          <w:rFonts w:asciiTheme="minorBidi" w:hAnsiTheme="minorBidi"/>
          <w:sz w:val="16"/>
          <w:szCs w:val="16"/>
          <w:rtl/>
        </w:rPr>
        <w:t xml:space="preserve"> (סי' תתק"ט-תתק"י)</w:t>
      </w:r>
      <w:r w:rsidRPr="00351B7D">
        <w:rPr>
          <w:rFonts w:asciiTheme="minorBidi" w:hAnsiTheme="minorBidi"/>
          <w:rtl/>
        </w:rPr>
        <w:t xml:space="preserve"> פסק דמבטלינן קלא, מהר"ם (ד"פ סי' קלג).</w:t>
      </w:r>
    </w:p>
  </w:footnote>
  <w:footnote w:id="436">
    <w:p w14:paraId="0039758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רא"ם</w:t>
      </w:r>
      <w:r w:rsidRPr="00351B7D">
        <w:rPr>
          <w:rFonts w:asciiTheme="minorBidi" w:hAnsiTheme="minorBidi"/>
          <w:sz w:val="16"/>
          <w:szCs w:val="16"/>
          <w:rtl/>
        </w:rPr>
        <w:t xml:space="preserve"> (סי' ז יב.) </w:t>
      </w:r>
      <w:r w:rsidRPr="00351B7D">
        <w:rPr>
          <w:rFonts w:asciiTheme="minorBidi" w:hAnsiTheme="minorBidi"/>
          <w:rtl/>
        </w:rPr>
        <w:t xml:space="preserve">סמ"ג </w:t>
      </w:r>
      <w:r w:rsidRPr="00351B7D">
        <w:rPr>
          <w:rFonts w:asciiTheme="minorBidi" w:hAnsiTheme="minorBidi"/>
          <w:sz w:val="16"/>
          <w:szCs w:val="16"/>
          <w:rtl/>
        </w:rPr>
        <w:t xml:space="preserve">(עשין מח קכה:) </w:t>
      </w:r>
      <w:r w:rsidRPr="00351B7D">
        <w:rPr>
          <w:rFonts w:asciiTheme="minorBidi" w:hAnsiTheme="minorBidi"/>
          <w:rtl/>
        </w:rPr>
        <w:t xml:space="preserve">מרדכי </w:t>
      </w:r>
      <w:r w:rsidRPr="00351B7D">
        <w:rPr>
          <w:rFonts w:asciiTheme="minorBidi" w:hAnsiTheme="minorBidi"/>
          <w:sz w:val="16"/>
          <w:szCs w:val="16"/>
          <w:rtl/>
        </w:rPr>
        <w:t>(סי' תקלא)</w:t>
      </w:r>
      <w:r w:rsidRPr="00351B7D">
        <w:rPr>
          <w:rFonts w:asciiTheme="minorBidi" w:hAnsiTheme="minorBidi"/>
          <w:rtl/>
        </w:rPr>
        <w:t xml:space="preserve"> ותרוה"ד </w:t>
      </w:r>
      <w:r w:rsidRPr="00351B7D">
        <w:rPr>
          <w:rFonts w:asciiTheme="minorBidi" w:hAnsiTheme="minorBidi"/>
          <w:sz w:val="16"/>
          <w:szCs w:val="16"/>
          <w:rtl/>
        </w:rPr>
        <w:t>(סימן רי"ב, כ"כ מהרי"ק [שורש ק"א ענף ב] בשמו)</w:t>
      </w:r>
      <w:r w:rsidRPr="00351B7D">
        <w:rPr>
          <w:rFonts w:asciiTheme="minorBidi" w:hAnsiTheme="minorBidi"/>
          <w:rtl/>
        </w:rPr>
        <w:t>.</w:t>
      </w:r>
    </w:p>
  </w:footnote>
  <w:footnote w:id="437">
    <w:p w14:paraId="375E7BC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הרשב"א </w:t>
      </w:r>
      <w:r w:rsidRPr="00351B7D">
        <w:rPr>
          <w:rFonts w:asciiTheme="minorBidi" w:hAnsiTheme="minorBidi"/>
          <w:sz w:val="16"/>
          <w:szCs w:val="16"/>
          <w:rtl/>
        </w:rPr>
        <w:t xml:space="preserve">(הביאו התשב"ץ ח"א סי' קל) </w:t>
      </w:r>
      <w:r w:rsidRPr="00351B7D">
        <w:rPr>
          <w:rFonts w:asciiTheme="minorBidi" w:hAnsiTheme="minorBidi"/>
          <w:rtl/>
        </w:rPr>
        <w:t xml:space="preserve">לאחד מן התלמידים שהיה רוצה לסמוך על סמ"ג בזה- מי סנו הלכות גדולות והרי"ף והרמב"ם וכל הגאונים וכל האחרונים שאתה מחמיר על עצמך יותר מכל אלו. וכ' מהרי"ק </w:t>
      </w:r>
      <w:r w:rsidRPr="00351B7D">
        <w:rPr>
          <w:rFonts w:asciiTheme="minorBidi" w:hAnsiTheme="minorBidi"/>
          <w:sz w:val="16"/>
          <w:szCs w:val="16"/>
          <w:rtl/>
        </w:rPr>
        <w:t xml:space="preserve">(שורש ק"א ענף ב) </w:t>
      </w:r>
      <w:r w:rsidRPr="00351B7D">
        <w:rPr>
          <w:rFonts w:asciiTheme="minorBidi" w:hAnsiTheme="minorBidi"/>
          <w:rtl/>
        </w:rPr>
        <w:t xml:space="preserve">שוו כל הפוסקים מלבד סמ"ג שהמקדש בעד אחד אין חוששין לקידושיו ואפילו שניהם מודים, ואע"פ שכתב סמ"ג והמרדכי </w:t>
      </w:r>
      <w:r w:rsidRPr="00351B7D">
        <w:rPr>
          <w:rFonts w:asciiTheme="minorBidi" w:hAnsiTheme="minorBidi"/>
          <w:sz w:val="16"/>
          <w:szCs w:val="16"/>
          <w:rtl/>
        </w:rPr>
        <w:t xml:space="preserve">(קידושין סי' תקלא, תקלד) </w:t>
      </w:r>
      <w:r w:rsidRPr="00351B7D">
        <w:rPr>
          <w:rFonts w:asciiTheme="minorBidi" w:hAnsiTheme="minorBidi"/>
          <w:rtl/>
        </w:rPr>
        <w:t xml:space="preserve">בשם רא"מ </w:t>
      </w:r>
      <w:r w:rsidRPr="00351B7D">
        <w:rPr>
          <w:rFonts w:asciiTheme="minorBidi" w:hAnsiTheme="minorBidi"/>
          <w:sz w:val="16"/>
          <w:szCs w:val="16"/>
          <w:rtl/>
        </w:rPr>
        <w:t xml:space="preserve">(יראים השלם סי' ז יב.) (דף תרס"ב) </w:t>
      </w:r>
      <w:r w:rsidRPr="00351B7D">
        <w:rPr>
          <w:rFonts w:asciiTheme="minorBidi" w:hAnsiTheme="minorBidi"/>
          <w:rtl/>
        </w:rPr>
        <w:t xml:space="preserve">דיש להחמיר, מ"מ חזינא לסמ"ק </w:t>
      </w:r>
      <w:r w:rsidRPr="00351B7D">
        <w:rPr>
          <w:rFonts w:asciiTheme="minorBidi" w:hAnsiTheme="minorBidi"/>
          <w:sz w:val="16"/>
          <w:szCs w:val="16"/>
          <w:rtl/>
        </w:rPr>
        <w:t xml:space="preserve">(סי' קפג עמ' קלח) </w:t>
      </w:r>
      <w:r w:rsidRPr="00351B7D">
        <w:rPr>
          <w:rFonts w:asciiTheme="minorBidi" w:hAnsiTheme="minorBidi"/>
          <w:rtl/>
        </w:rPr>
        <w:t xml:space="preserve">דהוא בתראה טפי ומחמיר טובא דפוסק דאין חוששין לקידושיו אפילו שניהם מודים. </w:t>
      </w:r>
    </w:p>
  </w:footnote>
  <w:footnote w:id="438">
    <w:p w14:paraId="3EC07DC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רשב"א </w:t>
      </w:r>
      <w:r w:rsidRPr="00351B7D">
        <w:rPr>
          <w:rFonts w:asciiTheme="minorBidi" w:hAnsiTheme="minorBidi"/>
          <w:sz w:val="16"/>
          <w:szCs w:val="16"/>
          <w:rtl/>
        </w:rPr>
        <w:t xml:space="preserve">(הביאו התשב"ץ, ועי' בכתובות כג. ד"ה הא) </w:t>
      </w:r>
      <w:r w:rsidRPr="00351B7D">
        <w:rPr>
          <w:rFonts w:asciiTheme="minorBidi" w:hAnsiTheme="minorBidi"/>
          <w:rtl/>
        </w:rPr>
        <w:t xml:space="preserve">מהר"ם פדוואה </w:t>
      </w:r>
      <w:r w:rsidRPr="00351B7D">
        <w:rPr>
          <w:rFonts w:asciiTheme="minorBidi" w:hAnsiTheme="minorBidi"/>
          <w:sz w:val="16"/>
          <w:szCs w:val="16"/>
          <w:rtl/>
        </w:rPr>
        <w:t xml:space="preserve">(סי' ל"ז) </w:t>
      </w:r>
      <w:r w:rsidRPr="00351B7D">
        <w:rPr>
          <w:rFonts w:asciiTheme="minorBidi" w:hAnsiTheme="minorBidi"/>
          <w:rtl/>
        </w:rPr>
        <w:t xml:space="preserve">ותשב"ץ </w:t>
      </w:r>
      <w:r w:rsidRPr="00351B7D">
        <w:rPr>
          <w:rFonts w:asciiTheme="minorBidi" w:hAnsiTheme="minorBidi"/>
          <w:sz w:val="16"/>
          <w:szCs w:val="16"/>
          <w:rtl/>
        </w:rPr>
        <w:t>(ח"א סי' ע)</w:t>
      </w:r>
      <w:r w:rsidRPr="00351B7D">
        <w:rPr>
          <w:rFonts w:asciiTheme="minorBidi" w:hAnsiTheme="minorBidi"/>
          <w:rtl/>
        </w:rPr>
        <w:t>.</w:t>
      </w:r>
    </w:p>
  </w:footnote>
  <w:footnote w:id="439">
    <w:p w14:paraId="79A631C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רשב"א </w:t>
      </w:r>
      <w:r w:rsidRPr="00351B7D">
        <w:rPr>
          <w:rFonts w:asciiTheme="minorBidi" w:hAnsiTheme="minorBidi"/>
          <w:sz w:val="14"/>
          <w:szCs w:val="14"/>
          <w:rtl/>
        </w:rPr>
        <w:t>(הביאו מהרי"ק)</w:t>
      </w:r>
      <w:r w:rsidRPr="00351B7D">
        <w:rPr>
          <w:rFonts w:asciiTheme="minorBidi" w:hAnsiTheme="minorBidi"/>
          <w:rtl/>
        </w:rPr>
        <w:t xml:space="preserve"> ר"ן </w:t>
      </w:r>
      <w:r w:rsidRPr="00351B7D">
        <w:rPr>
          <w:rFonts w:asciiTheme="minorBidi" w:hAnsiTheme="minorBidi"/>
          <w:sz w:val="14"/>
          <w:szCs w:val="14"/>
          <w:rtl/>
        </w:rPr>
        <w:t xml:space="preserve">(כתובות י: ד"ה תרוייהו) </w:t>
      </w:r>
      <w:r w:rsidRPr="00351B7D">
        <w:rPr>
          <w:rFonts w:asciiTheme="minorBidi" w:hAnsiTheme="minorBidi"/>
          <w:rtl/>
        </w:rPr>
        <w:t xml:space="preserve">תרוה"ד </w:t>
      </w:r>
      <w:r w:rsidRPr="00351B7D">
        <w:rPr>
          <w:rFonts w:asciiTheme="minorBidi" w:hAnsiTheme="minorBidi"/>
          <w:sz w:val="14"/>
          <w:szCs w:val="14"/>
          <w:rtl/>
        </w:rPr>
        <w:t>(סי' ריב,</w:t>
      </w:r>
      <w:r w:rsidRPr="00351B7D">
        <w:rPr>
          <w:rFonts w:asciiTheme="minorBidi" w:hAnsiTheme="minorBidi"/>
          <w:sz w:val="12"/>
          <w:szCs w:val="12"/>
          <w:rtl/>
        </w:rPr>
        <w:t xml:space="preserve"> </w:t>
      </w:r>
      <w:r w:rsidRPr="00351B7D">
        <w:rPr>
          <w:rFonts w:asciiTheme="minorBidi" w:hAnsiTheme="minorBidi"/>
          <w:sz w:val="14"/>
          <w:szCs w:val="14"/>
          <w:rtl/>
        </w:rPr>
        <w:t>ואע"ג דבתחילה כ' דכו"ע מודו דחוששין, אח"כ סתר סברא זו)</w:t>
      </w:r>
      <w:r w:rsidRPr="00351B7D">
        <w:rPr>
          <w:rFonts w:asciiTheme="minorBidi" w:hAnsiTheme="minorBidi"/>
          <w:sz w:val="16"/>
          <w:szCs w:val="16"/>
          <w:rtl/>
        </w:rPr>
        <w:t xml:space="preserve"> </w:t>
      </w:r>
      <w:r w:rsidRPr="00351B7D">
        <w:rPr>
          <w:rFonts w:asciiTheme="minorBidi" w:hAnsiTheme="minorBidi"/>
          <w:rtl/>
        </w:rPr>
        <w:t xml:space="preserve">ומהרי"ק </w:t>
      </w:r>
      <w:r w:rsidRPr="00351B7D">
        <w:rPr>
          <w:rFonts w:asciiTheme="minorBidi" w:hAnsiTheme="minorBidi"/>
          <w:sz w:val="14"/>
          <w:szCs w:val="14"/>
          <w:rtl/>
        </w:rPr>
        <w:t>(שורש קא ע"ב)</w:t>
      </w:r>
      <w:r w:rsidRPr="00351B7D">
        <w:rPr>
          <w:rFonts w:asciiTheme="minorBidi" w:hAnsiTheme="minorBidi"/>
          <w:rtl/>
        </w:rPr>
        <w:t>.</w:t>
      </w:r>
    </w:p>
  </w:footnote>
  <w:footnote w:id="440">
    <w:p w14:paraId="77CF999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וה"ה אם נמצא א' מהם פסול, אבל יש לתמוה על לשון [הרב] ז"ל, שקיצר בדברי רי"ו ז"ל במקום שאמר להאריך, שמדבריו נראה שדברי רי"ו ז"ל מוסכמים וליכא מאן דפליג עלה, ורי"ו ז"ל סיים בלשונו דמבטלינן קלא, דקי"ל כרב באיסורי. ע"כ. הנה בביאור דלמ"ד דלא מבטלינן קלא חוששין לקול היכא דנמצא א' מן העדים קרוב או פסול, וכ"כ מהריב"ל בס"ד סי' לז, ומאחר דלמ"ד דלא מבטלינן קלא אינה ניתרת בלא גט איך סתם דלא כוותיהו, ומה גם בהיות הסוברים דלא מבטלינן קלא הרי"ף והרמב"ם ז"ל והר"ן כמ"ש הר"ן ז"ל בפרק המגרש, והביאו הרב המחבר ז"ל בסי' מו, ודרך הרב ז"ל לפסוק כהרי"ף והרמב"ם ז"ל במקום שמסכימים בסברא אחת, ומה גם במילתא דאיסורא. ורשד"ם ז"ל בחא"ה סימן ט"ו הסכים דמותרת לינשא לכתחלה, ונראה מדבריו שלא ראה דברי רי"ו ז"ל. ועיין במהריב"ל ז"ל סימן הנז', כנה"ג </w:t>
      </w:r>
      <w:r w:rsidRPr="00351B7D">
        <w:rPr>
          <w:rFonts w:asciiTheme="minorBidi" w:hAnsiTheme="minorBidi"/>
          <w:sz w:val="16"/>
          <w:szCs w:val="16"/>
          <w:rtl/>
        </w:rPr>
        <w:t>(הגהב"י אות קפח)</w:t>
      </w:r>
      <w:r w:rsidRPr="00351B7D">
        <w:rPr>
          <w:rFonts w:asciiTheme="minorBidi" w:hAnsiTheme="minorBidi"/>
          <w:rtl/>
        </w:rPr>
        <w:t>.</w:t>
      </w:r>
    </w:p>
  </w:footnote>
  <w:footnote w:id="441">
    <w:p w14:paraId="724540C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שלפנ"כ העידו בפניו ב' עדים על הקדושין, ועתה רוצים שהדיין יצטרף לאחד מהם להעיד על הקדושין.</w:t>
      </w:r>
    </w:p>
  </w:footnote>
  <w:footnote w:id="442">
    <w:p w14:paraId="65D3E2C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(ב"ב פ"י, כ"כ ריב"ש בשמו) </w:t>
      </w:r>
      <w:r w:rsidRPr="00351B7D">
        <w:rPr>
          <w:rFonts w:asciiTheme="minorBidi" w:hAnsiTheme="minorBidi"/>
          <w:rtl/>
        </w:rPr>
        <w:t xml:space="preserve">רמב"ם </w:t>
      </w:r>
      <w:r w:rsidRPr="00351B7D">
        <w:rPr>
          <w:rFonts w:asciiTheme="minorBidi" w:hAnsiTheme="minorBidi"/>
          <w:sz w:val="16"/>
          <w:szCs w:val="16"/>
          <w:rtl/>
        </w:rPr>
        <w:t xml:space="preserve">(הל' עדות פ"ד ה"ו) </w:t>
      </w:r>
      <w:r w:rsidRPr="00351B7D">
        <w:rPr>
          <w:rFonts w:asciiTheme="minorBidi" w:hAnsiTheme="minorBidi"/>
          <w:rtl/>
        </w:rPr>
        <w:t xml:space="preserve">וריב"ש </w:t>
      </w:r>
      <w:r w:rsidRPr="00351B7D">
        <w:rPr>
          <w:rFonts w:asciiTheme="minorBidi" w:hAnsiTheme="minorBidi"/>
          <w:sz w:val="16"/>
          <w:szCs w:val="16"/>
          <w:rtl/>
        </w:rPr>
        <w:t>(סי' רס"ו)</w:t>
      </w:r>
      <w:r w:rsidRPr="00351B7D">
        <w:rPr>
          <w:rFonts w:asciiTheme="minorBidi" w:hAnsiTheme="minorBidi"/>
          <w:rtl/>
        </w:rPr>
        <w:t>.</w:t>
      </w:r>
    </w:p>
  </w:footnote>
  <w:footnote w:id="443">
    <w:p w14:paraId="0CB07C5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דהיינו שמודים שלשם קדושין נתכונו, ט"ז (סק"ה). </w:t>
      </w:r>
      <w:r w:rsidRPr="00351B7D">
        <w:rPr>
          <w:rFonts w:asciiTheme="minorBidi" w:hAnsiTheme="minorBidi"/>
          <w:color w:val="FF0000"/>
          <w:rtl/>
        </w:rPr>
        <w:t>(רש"י פירש שמודים לדברי העד. וצל"ע אם יש נפק"מ בין הפירושים)</w:t>
      </w:r>
    </w:p>
  </w:footnote>
  <w:footnote w:id="444">
    <w:p w14:paraId="699F9D8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דברי הרשב"א </w:t>
      </w:r>
      <w:r w:rsidRPr="00351B7D">
        <w:rPr>
          <w:rFonts w:asciiTheme="minorBidi" w:hAnsiTheme="minorBidi"/>
          <w:sz w:val="16"/>
          <w:szCs w:val="16"/>
          <w:rtl/>
        </w:rPr>
        <w:t>(גיטין פא: ד"ה אלא, הביאו הב"י ריש סע' ג-ד)</w:t>
      </w:r>
      <w:r w:rsidRPr="00351B7D">
        <w:rPr>
          <w:rFonts w:asciiTheme="minorBidi" w:hAnsiTheme="minorBidi"/>
          <w:rtl/>
        </w:rPr>
        <w:t>.</w:t>
      </w:r>
    </w:p>
  </w:footnote>
  <w:footnote w:id="445">
    <w:p w14:paraId="2B6A2DA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המקדש או המתקדשת.</w:t>
      </w:r>
    </w:p>
  </w:footnote>
  <w:footnote w:id="446">
    <w:p w14:paraId="2366976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 xml:space="preserve">ונחלקו האחרונים מה הדין השני </w:t>
      </w:r>
      <w:r w:rsidRPr="00351B7D">
        <w:rPr>
          <w:rFonts w:asciiTheme="minorBidi" w:hAnsiTheme="minorBidi"/>
          <w:sz w:val="16"/>
          <w:szCs w:val="16"/>
          <w:u w:val="single"/>
          <w:rtl/>
        </w:rPr>
        <w:t>(זה שאינו מכחיש אלא מודה לדברי העד)</w:t>
      </w:r>
      <w:r w:rsidRPr="00351B7D">
        <w:rPr>
          <w:rFonts w:asciiTheme="minorBidi" w:hAnsiTheme="minorBidi"/>
          <w:u w:val="single"/>
          <w:rtl/>
        </w:rPr>
        <w:t>:</w:t>
      </w:r>
      <w:r w:rsidRPr="00351B7D">
        <w:rPr>
          <w:rFonts w:asciiTheme="minorBidi" w:hAnsiTheme="minorBidi"/>
          <w:sz w:val="16"/>
          <w:szCs w:val="16"/>
          <w:rtl/>
        </w:rPr>
        <w:t xml:space="preserve">  </w:t>
      </w:r>
      <w:r w:rsidRPr="00351B7D">
        <w:rPr>
          <w:rFonts w:asciiTheme="minorBidi" w:hAnsiTheme="minorBidi"/>
          <w:b/>
          <w:bCs/>
          <w:sz w:val="16"/>
          <w:szCs w:val="16"/>
          <w:rtl/>
        </w:rPr>
        <w:t>(שאלה זו היא רק לד' הסמ"ג וסיעתו)</w:t>
      </w:r>
    </w:p>
    <w:p w14:paraId="31CABFDB" w14:textId="77777777" w:rsidR="00DF1FC7" w:rsidRPr="00351B7D" w:rsidRDefault="00DF1FC7" w:rsidP="00A8697F">
      <w:pPr>
        <w:pStyle w:val="a5"/>
        <w:numPr>
          <w:ilvl w:val="0"/>
          <w:numId w:val="55"/>
        </w:numPr>
        <w:rPr>
          <w:rFonts w:asciiTheme="minorBidi" w:hAnsiTheme="minorBidi"/>
        </w:rPr>
      </w:pPr>
      <w:r w:rsidRPr="00351B7D">
        <w:rPr>
          <w:rFonts w:asciiTheme="minorBidi" w:hAnsiTheme="minorBidi"/>
          <w:rtl/>
        </w:rPr>
        <w:t>ב"ח</w:t>
      </w:r>
      <w:r w:rsidRPr="00351B7D">
        <w:rPr>
          <w:rFonts w:asciiTheme="minorBidi" w:hAnsiTheme="minorBidi"/>
          <w:sz w:val="16"/>
          <w:szCs w:val="16"/>
          <w:rtl/>
        </w:rPr>
        <w:t xml:space="preserve"> (אות ג')</w:t>
      </w:r>
      <w:r w:rsidRPr="00351B7D">
        <w:rPr>
          <w:rFonts w:asciiTheme="minorBidi" w:hAnsiTheme="minorBidi"/>
          <w:rtl/>
        </w:rPr>
        <w:t xml:space="preserve"> וט"ז</w:t>
      </w:r>
      <w:r w:rsidRPr="00351B7D">
        <w:rPr>
          <w:rFonts w:asciiTheme="minorBidi" w:hAnsiTheme="minorBidi"/>
          <w:sz w:val="16"/>
          <w:szCs w:val="16"/>
          <w:rtl/>
        </w:rPr>
        <w:t xml:space="preserve"> (סק"ה)</w:t>
      </w:r>
      <w:r w:rsidRPr="00351B7D">
        <w:rPr>
          <w:rFonts w:asciiTheme="minorBidi" w:hAnsiTheme="minorBidi"/>
          <w:rtl/>
        </w:rPr>
        <w:t>- כשהמכחיש אומר משטה הייתי ולא נתכוונתי לקידושין מאמינים לו במיגו</w:t>
      </w:r>
      <w:r w:rsidRPr="00351B7D">
        <w:rPr>
          <w:rFonts w:asciiTheme="minorBidi" w:hAnsiTheme="minorBidi"/>
          <w:sz w:val="16"/>
          <w:szCs w:val="16"/>
          <w:rtl/>
        </w:rPr>
        <w:t xml:space="preserve"> (דאי בעי היה מכחיש העד)</w:t>
      </w:r>
      <w:r w:rsidRPr="00351B7D">
        <w:rPr>
          <w:rFonts w:asciiTheme="minorBidi" w:hAnsiTheme="minorBidi"/>
          <w:rtl/>
        </w:rPr>
        <w:t xml:space="preserve"> ואף השני</w:t>
      </w:r>
      <w:r w:rsidRPr="00351B7D">
        <w:rPr>
          <w:rFonts w:asciiTheme="minorBidi" w:hAnsiTheme="minorBidi"/>
          <w:sz w:val="16"/>
          <w:szCs w:val="16"/>
          <w:rtl/>
        </w:rPr>
        <w:t xml:space="preserve"> (שמודה שנתכוון לשם קדושין)</w:t>
      </w:r>
      <w:r w:rsidRPr="00351B7D">
        <w:rPr>
          <w:rFonts w:asciiTheme="minorBidi" w:hAnsiTheme="minorBidi"/>
          <w:rtl/>
        </w:rPr>
        <w:t xml:space="preserve"> אין צריך לקיים הקידושין, אבל אם א' טען להד"מ והשני טוען שקידש בעד א' הרי הוא אסור בקרובותיה למאן דחייש לקידושי ע"א. </w:t>
      </w:r>
    </w:p>
    <w:p w14:paraId="4A2EF6F2" w14:textId="77777777" w:rsidR="00DF1FC7" w:rsidRPr="00351B7D" w:rsidRDefault="00DF1FC7" w:rsidP="00A8697F">
      <w:pPr>
        <w:pStyle w:val="a5"/>
        <w:numPr>
          <w:ilvl w:val="0"/>
          <w:numId w:val="55"/>
        </w:numPr>
        <w:rPr>
          <w:rFonts w:asciiTheme="minorBidi" w:hAnsiTheme="minorBidi"/>
        </w:rPr>
      </w:pPr>
      <w:r w:rsidRPr="00351B7D">
        <w:rPr>
          <w:rFonts w:asciiTheme="minorBidi" w:hAnsiTheme="minorBidi"/>
          <w:rtl/>
        </w:rPr>
        <w:t>ח"מ</w:t>
      </w:r>
      <w:r w:rsidRPr="00351B7D">
        <w:rPr>
          <w:rFonts w:asciiTheme="minorBidi" w:hAnsiTheme="minorBidi"/>
          <w:sz w:val="16"/>
          <w:szCs w:val="16"/>
          <w:rtl/>
        </w:rPr>
        <w:t xml:space="preserve"> (סק"ד)</w:t>
      </w:r>
      <w:r w:rsidRPr="00351B7D">
        <w:rPr>
          <w:rFonts w:asciiTheme="minorBidi" w:hAnsiTheme="minorBidi"/>
          <w:rtl/>
        </w:rPr>
        <w:t xml:space="preserve">- אם א' טען להד"מ והשני טוען שקידש בע"א למה לא יהיה הוא אסור בקרובותיה למאן דחייש לקידושי ע"א, </w:t>
      </w:r>
      <w:r w:rsidRPr="00351B7D">
        <w:rPr>
          <w:rFonts w:asciiTheme="minorBidi" w:hAnsiTheme="minorBidi"/>
          <w:u w:val="single"/>
          <w:rtl/>
        </w:rPr>
        <w:t>ודילמא</w:t>
      </w:r>
      <w:r w:rsidRPr="00351B7D">
        <w:rPr>
          <w:rFonts w:asciiTheme="minorBidi" w:hAnsiTheme="minorBidi"/>
          <w:rtl/>
        </w:rPr>
        <w:t xml:space="preserve"> ה"ה אם המכחיש אומר משטה הייתי ולא נתכוונתי לקידושין דדברים שבלב אינם דברים, ואין להקל לכתח'. </w:t>
      </w:r>
    </w:p>
    <w:p w14:paraId="06C47936" w14:textId="77777777" w:rsidR="00DF1FC7" w:rsidRPr="00351B7D" w:rsidRDefault="00DF1FC7" w:rsidP="00A8697F">
      <w:pPr>
        <w:pStyle w:val="a5"/>
        <w:numPr>
          <w:ilvl w:val="0"/>
          <w:numId w:val="55"/>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(סק"ו)</w:t>
      </w:r>
      <w:r w:rsidRPr="00351B7D">
        <w:rPr>
          <w:rFonts w:asciiTheme="minorBidi" w:hAnsiTheme="minorBidi"/>
          <w:rtl/>
        </w:rPr>
        <w:t xml:space="preserve">- בין אמר המכחיש להד"מ ובין אמר משטה הייתי הרי השני צריך לחשוש לקדושין. </w:t>
      </w:r>
    </w:p>
    <w:p w14:paraId="3A6AB12F" w14:textId="77777777" w:rsidR="00DF1FC7" w:rsidRPr="00351B7D" w:rsidRDefault="00DF1FC7" w:rsidP="00A8697F">
      <w:pPr>
        <w:pStyle w:val="a5"/>
        <w:numPr>
          <w:ilvl w:val="0"/>
          <w:numId w:val="55"/>
        </w:numPr>
        <w:rPr>
          <w:rFonts w:asciiTheme="minorBidi" w:hAnsiTheme="minorBidi"/>
        </w:rPr>
      </w:pPr>
      <w:r w:rsidRPr="00351B7D">
        <w:rPr>
          <w:rFonts w:asciiTheme="minorBidi" w:hAnsiTheme="minorBidi"/>
          <w:rtl/>
        </w:rPr>
        <w:t xml:space="preserve">חכ"צ </w:t>
      </w:r>
      <w:r w:rsidRPr="00351B7D">
        <w:rPr>
          <w:rFonts w:asciiTheme="minorBidi" w:hAnsiTheme="minorBidi"/>
          <w:sz w:val="16"/>
          <w:szCs w:val="16"/>
          <w:rtl/>
        </w:rPr>
        <w:t>(בהגהות לט"ז [סק"ה])</w:t>
      </w:r>
      <w:r w:rsidRPr="00351B7D">
        <w:rPr>
          <w:rFonts w:asciiTheme="minorBidi" w:hAnsiTheme="minorBidi"/>
          <w:rtl/>
        </w:rPr>
        <w:t>- בין הכחיש ואמר להד"מ ובין אמר משטה הייתי אין השני צריך לחשוש לקדושין, דכל הסוגייא מיירי בשניהם מודים, הא אין שניהם מודים ליכא חשש כלל.</w:t>
      </w:r>
    </w:p>
    <w:p w14:paraId="2A1C2421" w14:textId="77777777" w:rsidR="00DF1FC7" w:rsidRPr="00351B7D" w:rsidRDefault="00DF1FC7" w:rsidP="00A8697F">
      <w:pPr>
        <w:pStyle w:val="a5"/>
        <w:numPr>
          <w:ilvl w:val="0"/>
          <w:numId w:val="55"/>
        </w:numPr>
        <w:rPr>
          <w:rFonts w:asciiTheme="minorBidi" w:hAnsiTheme="minorBidi"/>
        </w:rPr>
      </w:pPr>
      <w:r w:rsidRPr="00351B7D">
        <w:rPr>
          <w:rFonts w:asciiTheme="minorBidi" w:hAnsiTheme="minorBidi"/>
          <w:rtl/>
        </w:rPr>
        <w:t>חת"ס</w:t>
      </w:r>
      <w:r w:rsidRPr="00351B7D">
        <w:rPr>
          <w:rFonts w:asciiTheme="minorBidi" w:hAnsiTheme="minorBidi"/>
          <w:sz w:val="16"/>
          <w:szCs w:val="16"/>
          <w:rtl/>
        </w:rPr>
        <w:t xml:space="preserve"> (ח"א סי' קד)</w:t>
      </w:r>
      <w:r w:rsidRPr="00351B7D">
        <w:rPr>
          <w:rFonts w:asciiTheme="minorBidi" w:hAnsiTheme="minorBidi"/>
          <w:rtl/>
        </w:rPr>
        <w:t xml:space="preserve">- כשהמקדש טוען כוונתי להשטאה הו"ל דברים שבלב אינם דברים, אך כשהאשה טוענת השטאה מהני </w:t>
      </w:r>
      <w:r w:rsidRPr="00351B7D">
        <w:rPr>
          <w:rFonts w:asciiTheme="minorBidi" w:hAnsiTheme="minorBidi"/>
          <w:sz w:val="16"/>
          <w:szCs w:val="16"/>
          <w:rtl/>
        </w:rPr>
        <w:t>(דהא דדברים שבלב אינם דברים היינו כשאין המעשה בעצמו מורה על כוונת הלב, והנה האשה המתקדשת בע"א הסברא נוטה שכוונתה להשטות, דמי פתי תתקדש לאיש ותאסור עצמה לכו"ע היכא שהבעל יכול להכחיש העד ויפטור משאר כסות ועונה והיא תתעגן לעולם... וכיון שהענין מורה על ככה תו לא הוה דברים שבלב [אינם דברים], אבל בהמקדש אין כאן הוראת שום דבר דמה איכפת ליה אם תכפור בו הלא יכול לישא אחרת וגם יכול לגרשה בע"כ ואין כאן הכרח שהיה להשטות, על כן לא יועיל לו טענת השטאה)</w:t>
      </w:r>
      <w:r w:rsidRPr="00351B7D">
        <w:rPr>
          <w:rFonts w:asciiTheme="minorBidi" w:hAnsiTheme="minorBidi"/>
          <w:rtl/>
        </w:rPr>
        <w:t>.</w:t>
      </w:r>
    </w:p>
  </w:footnote>
  <w:footnote w:id="447">
    <w:p w14:paraId="14A2C77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לכאורה משמע מלשון הרמ"א דדוקא שמודה העד שהוא ראה לבד אין חוששין, אבל אם אומר העד שהוא וחבירו ראו וחבירו מכחישו צריך לחשוש. ובדבר זה נחלקו הח"מ והב"ש עי' לקמן בסמוך לסוף הסע'.</w:t>
      </w:r>
    </w:p>
  </w:footnote>
  <w:footnote w:id="448">
    <w:p w14:paraId="43CB63B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בספר בית הילל כ' דבמקרה זה אם שניהם מודים לדברי העדים מהני עדות של הכשר. אך הב"ש</w:t>
      </w:r>
      <w:r w:rsidRPr="00351B7D">
        <w:rPr>
          <w:rFonts w:asciiTheme="minorBidi" w:hAnsiTheme="minorBidi"/>
          <w:sz w:val="16"/>
          <w:szCs w:val="16"/>
          <w:rtl/>
        </w:rPr>
        <w:t xml:space="preserve"> (סק"ח) </w:t>
      </w:r>
      <w:r w:rsidRPr="00351B7D">
        <w:rPr>
          <w:rFonts w:asciiTheme="minorBidi" w:hAnsiTheme="minorBidi"/>
          <w:rtl/>
        </w:rPr>
        <w:t>כ' דאין הדין כן דהא ילפינן מקרא דעד קרוב מבטל העדות והוי כאלו היה מקדש לפני עדים פסולים ולא מהני הודאה שלהם אלא הוי כמקדש בפני ע"א.</w:t>
      </w:r>
    </w:p>
  </w:footnote>
  <w:footnote w:id="449">
    <w:p w14:paraId="6CBD5FD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דלא נפסל השני בצרופו לקרוב</w:t>
      </w:r>
      <w:r w:rsidRPr="00351B7D">
        <w:rPr>
          <w:rFonts w:asciiTheme="minorBidi" w:hAnsiTheme="minorBidi"/>
          <w:sz w:val="16"/>
          <w:szCs w:val="16"/>
          <w:rtl/>
        </w:rPr>
        <w:t xml:space="preserve"> (כמבואר בחו"מ סי' ל"ו סע' א)</w:t>
      </w:r>
      <w:r w:rsidRPr="00351B7D">
        <w:rPr>
          <w:rFonts w:asciiTheme="minorBidi" w:hAnsiTheme="minorBidi"/>
          <w:rtl/>
        </w:rPr>
        <w:t xml:space="preserve"> הוא משום דמיירי שלא נצטרף בשעת ראיה</w:t>
      </w:r>
      <w:r w:rsidRPr="00351B7D">
        <w:rPr>
          <w:rFonts w:asciiTheme="minorBidi" w:hAnsiTheme="minorBidi"/>
          <w:sz w:val="16"/>
          <w:szCs w:val="16"/>
          <w:rtl/>
        </w:rPr>
        <w:t xml:space="preserve"> (לדעת הרא"ש דבעי תרתי- כיון בשעת ראיה כדי להעיד, ובא לב"ד והעיד)</w:t>
      </w:r>
      <w:r w:rsidRPr="00351B7D">
        <w:rPr>
          <w:rFonts w:asciiTheme="minorBidi" w:hAnsiTheme="minorBidi"/>
          <w:rtl/>
        </w:rPr>
        <w:t xml:space="preserve"> או שנאמן לומר שלא הכיר בקורבתו</w:t>
      </w:r>
      <w:r w:rsidRPr="00351B7D">
        <w:rPr>
          <w:rFonts w:asciiTheme="minorBidi" w:hAnsiTheme="minorBidi"/>
          <w:sz w:val="16"/>
          <w:szCs w:val="16"/>
          <w:rtl/>
        </w:rPr>
        <w:t xml:space="preserve"> (כדעת הרי"ף)</w:t>
      </w:r>
      <w:r w:rsidRPr="00351B7D">
        <w:rPr>
          <w:rFonts w:asciiTheme="minorBidi" w:hAnsiTheme="minorBidi"/>
          <w:rtl/>
        </w:rPr>
        <w:t xml:space="preserve"> ומשום חומרא דקידושין חיישינן לכתחלה, </w:t>
      </w:r>
      <w:r w:rsidRPr="00351B7D">
        <w:rPr>
          <w:rFonts w:asciiTheme="minorBidi" w:hAnsiTheme="minorBidi"/>
          <w:sz w:val="16"/>
          <w:szCs w:val="16"/>
          <w:rtl/>
        </w:rPr>
        <w:t>(ע"פ ח"מ [סק"ו])</w:t>
      </w:r>
      <w:r w:rsidRPr="00351B7D">
        <w:rPr>
          <w:rFonts w:asciiTheme="minorBidi" w:hAnsiTheme="minorBidi"/>
          <w:rtl/>
        </w:rPr>
        <w:t xml:space="preserve">, או שנאמר דלא נתכוין לשם עדות </w:t>
      </w:r>
      <w:r w:rsidRPr="00351B7D">
        <w:rPr>
          <w:rFonts w:asciiTheme="minorBidi" w:hAnsiTheme="minorBidi"/>
          <w:sz w:val="16"/>
          <w:szCs w:val="16"/>
          <w:rtl/>
        </w:rPr>
        <w:t>(ומ"מ מה שמעידים היום מהני אע"ג דלא נתכוונו לשם עדות)</w:t>
      </w:r>
      <w:r w:rsidRPr="00351B7D">
        <w:rPr>
          <w:rFonts w:asciiTheme="minorBidi" w:hAnsiTheme="minorBidi"/>
          <w:rtl/>
        </w:rPr>
        <w:t>, או דנימא דלשיטת הרא"ש אע"ג דנתכוונו לשם עדות והעידו כבר לא נתבטלה עדותן אלא לענין דהב"ד א"י לפסוק על פיהם, אבל כאן בעת הקדושין עדיין לא נתבטלו עדותן והקדושין היו קדושין כשרים</w:t>
      </w:r>
      <w:r w:rsidRPr="00351B7D">
        <w:rPr>
          <w:rFonts w:asciiTheme="minorBidi" w:hAnsiTheme="minorBidi"/>
          <w:sz w:val="14"/>
          <w:szCs w:val="14"/>
          <w:rtl/>
        </w:rPr>
        <w:t xml:space="preserve"> (ע"פ ב"ש [סק"ח)</w:t>
      </w:r>
      <w:r w:rsidRPr="00351B7D">
        <w:rPr>
          <w:rFonts w:asciiTheme="minorBidi" w:hAnsiTheme="minorBidi"/>
          <w:rtl/>
        </w:rPr>
        <w:t>.</w:t>
      </w:r>
    </w:p>
  </w:footnote>
  <w:footnote w:id="450">
    <w:p w14:paraId="381368D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כמו במקרה שעד א' מעיד שהניח האיש קדושין קרוב לאשה, ועד אחר מעיד שהניח האיש את הקדושין קרוב לאיש, שחוששין בכה"ג לקדושין, ח"מ.</w:t>
      </w:r>
    </w:p>
  </w:footnote>
  <w:footnote w:id="451">
    <w:p w14:paraId="5BA9EBE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וכל זה שאין א' מהן מודה לדברי העד אבל הא' מודה לדברי העד שהיו שנים אצל הקדושין שוי נפשיה חתיכה דאסורא, ח"מ.</w:t>
      </w:r>
    </w:p>
  </w:footnote>
  <w:footnote w:id="452">
    <w:p w14:paraId="20CCCB8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וכל זה כשאין א' מהם מודה לדברי העד אבל אם א' מהם מודה לדברי העד שהיו שנים שוויה אנפשיה חתיכה דאיסורא, באה"ט.</w:t>
      </w:r>
    </w:p>
  </w:footnote>
  <w:footnote w:id="453">
    <w:p w14:paraId="6BA99BA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רשב"א </w:t>
      </w:r>
      <w:r w:rsidRPr="00351B7D">
        <w:rPr>
          <w:rFonts w:asciiTheme="minorBidi" w:hAnsiTheme="minorBidi"/>
          <w:sz w:val="16"/>
          <w:szCs w:val="16"/>
          <w:rtl/>
        </w:rPr>
        <w:t>(גיטין פא: ד"ה אלא, ובקדושין מג. ד"ה א"ה)</w:t>
      </w:r>
      <w:r w:rsidRPr="00351B7D">
        <w:rPr>
          <w:rFonts w:asciiTheme="minorBidi" w:hAnsiTheme="minorBidi"/>
          <w:rtl/>
        </w:rPr>
        <w:t xml:space="preserve"> ר"ן </w:t>
      </w:r>
      <w:r w:rsidRPr="00351B7D">
        <w:rPr>
          <w:rFonts w:asciiTheme="minorBidi" w:hAnsiTheme="minorBidi"/>
          <w:sz w:val="16"/>
          <w:szCs w:val="16"/>
          <w:rtl/>
        </w:rPr>
        <w:t xml:space="preserve">(גיטין לה: ד"ה וכתב) </w:t>
      </w:r>
      <w:r w:rsidRPr="00351B7D">
        <w:rPr>
          <w:rFonts w:asciiTheme="minorBidi" w:hAnsiTheme="minorBidi"/>
          <w:rtl/>
        </w:rPr>
        <w:t xml:space="preserve">הה"מ </w:t>
      </w:r>
      <w:r w:rsidRPr="00351B7D">
        <w:rPr>
          <w:rFonts w:asciiTheme="minorBidi" w:hAnsiTheme="minorBidi"/>
          <w:sz w:val="16"/>
          <w:szCs w:val="16"/>
          <w:rtl/>
        </w:rPr>
        <w:t xml:space="preserve">(פ"ג מהל' אישות ה"ח, ובפ"י מהל' גירושין הי"ח) </w:t>
      </w:r>
      <w:r w:rsidRPr="00351B7D">
        <w:rPr>
          <w:rFonts w:asciiTheme="minorBidi" w:hAnsiTheme="minorBidi"/>
          <w:rtl/>
        </w:rPr>
        <w:t xml:space="preserve">וריב"ש </w:t>
      </w:r>
      <w:r w:rsidRPr="00351B7D">
        <w:rPr>
          <w:rFonts w:asciiTheme="minorBidi" w:hAnsiTheme="minorBidi"/>
          <w:sz w:val="16"/>
          <w:szCs w:val="16"/>
          <w:rtl/>
        </w:rPr>
        <w:t>(סי' רס"ו ד"ה עוד כו' שטוען)</w:t>
      </w:r>
      <w:r w:rsidRPr="00351B7D">
        <w:rPr>
          <w:rFonts w:asciiTheme="minorBidi" w:hAnsiTheme="minorBidi"/>
          <w:rtl/>
        </w:rPr>
        <w:t>. וכ' הריב"ש בסימן ו' על דברי הרשב"א הללו שהודו לו כל המפרשים הבאים אחריו.</w:t>
      </w:r>
    </w:p>
  </w:footnote>
  <w:footnote w:id="454">
    <w:p w14:paraId="64C4BDF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סימן ל"ב, הביאו הדרכ"מ (אות ד).</w:t>
      </w:r>
    </w:p>
  </w:footnote>
  <w:footnote w:id="455">
    <w:p w14:paraId="6AB983D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דבמשטה אני בך קיי"ל</w:t>
      </w:r>
      <w:r w:rsidRPr="00351B7D">
        <w:rPr>
          <w:rFonts w:asciiTheme="minorBidi" w:hAnsiTheme="minorBidi"/>
          <w:sz w:val="16"/>
          <w:szCs w:val="16"/>
          <w:rtl/>
        </w:rPr>
        <w:t xml:space="preserve"> (בחו"מ סי' פ"א סעי' א')</w:t>
      </w:r>
      <w:r w:rsidRPr="00351B7D">
        <w:rPr>
          <w:rFonts w:asciiTheme="minorBidi" w:hAnsiTheme="minorBidi"/>
          <w:rtl/>
        </w:rPr>
        <w:t xml:space="preserve"> דאף דאמר להד"מ אנן טענינן ליה טענת השטאה ומילי דכדי לא דכירי אינשי, אלא משום חומרא דקידושין מחמירין, ומש"כ 'והוי קידושין' היינו לחומרא שלא לפוטרה בלא גט, ח"מ (סק"ח).</w:t>
      </w:r>
    </w:p>
  </w:footnote>
  <w:footnote w:id="456">
    <w:p w14:paraId="6A032B9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מהרי"ט</w:t>
      </w:r>
      <w:r w:rsidRPr="00351B7D">
        <w:rPr>
          <w:rFonts w:asciiTheme="minorBidi" w:hAnsiTheme="minorBidi"/>
          <w:sz w:val="16"/>
          <w:szCs w:val="16"/>
          <w:rtl/>
        </w:rPr>
        <w:t xml:space="preserve"> (על הרי"ף קדושין מג.)</w:t>
      </w:r>
      <w:r w:rsidRPr="00351B7D">
        <w:rPr>
          <w:rFonts w:asciiTheme="minorBidi" w:hAnsiTheme="minorBidi"/>
          <w:rtl/>
        </w:rPr>
        <w:t>.</w:t>
      </w:r>
    </w:p>
  </w:footnote>
  <w:footnote w:id="457">
    <w:p w14:paraId="16AC15F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ח"מ </w:t>
      </w:r>
      <w:r w:rsidRPr="00351B7D">
        <w:rPr>
          <w:rFonts w:asciiTheme="minorBidi" w:hAnsiTheme="minorBidi"/>
          <w:sz w:val="16"/>
          <w:szCs w:val="16"/>
          <w:rtl/>
        </w:rPr>
        <w:t>(סק"ח)</w:t>
      </w:r>
      <w:r w:rsidRPr="00351B7D">
        <w:rPr>
          <w:rFonts w:asciiTheme="minorBidi" w:hAnsiTheme="minorBidi"/>
          <w:rtl/>
        </w:rPr>
        <w:t xml:space="preserve"> וב"ש</w:t>
      </w:r>
      <w:r w:rsidRPr="00351B7D">
        <w:rPr>
          <w:rFonts w:asciiTheme="minorBidi" w:hAnsiTheme="minorBidi"/>
          <w:sz w:val="16"/>
          <w:szCs w:val="16"/>
          <w:rtl/>
        </w:rPr>
        <w:t xml:space="preserve"> (סק"י- י"א)</w:t>
      </w:r>
      <w:r w:rsidRPr="00351B7D">
        <w:rPr>
          <w:rFonts w:asciiTheme="minorBidi" w:hAnsiTheme="minorBidi"/>
          <w:rtl/>
        </w:rPr>
        <w:t xml:space="preserve">. וכ' הב"ש </w:t>
      </w:r>
      <w:r w:rsidRPr="00351B7D">
        <w:rPr>
          <w:rFonts w:asciiTheme="minorBidi" w:hAnsiTheme="minorBidi"/>
          <w:sz w:val="16"/>
          <w:szCs w:val="16"/>
          <w:rtl/>
        </w:rPr>
        <w:t>(סקי"א)</w:t>
      </w:r>
      <w:r w:rsidRPr="00351B7D">
        <w:rPr>
          <w:rFonts w:asciiTheme="minorBidi" w:hAnsiTheme="minorBidi"/>
          <w:rtl/>
        </w:rPr>
        <w:t xml:space="preserve"> שטעמו של הח"מ הוא 'דאנן סהדי דלא קיבלה לשם קדושין' וטעמו של מהרי"ט הוא 'דהתורה הפקיעה הקדושין'</w:t>
      </w:r>
      <w:r w:rsidRPr="00351B7D">
        <w:rPr>
          <w:rFonts w:asciiTheme="minorBidi" w:hAnsiTheme="minorBidi"/>
          <w:sz w:val="16"/>
          <w:szCs w:val="16"/>
          <w:rtl/>
        </w:rPr>
        <w:t xml:space="preserve"> (משום שלא ראתה את העדים)</w:t>
      </w:r>
      <w:r w:rsidRPr="00351B7D">
        <w:rPr>
          <w:rFonts w:asciiTheme="minorBidi" w:hAnsiTheme="minorBidi"/>
          <w:rtl/>
        </w:rPr>
        <w:t>, ולכן כ' שבמקרה שהקדושין היו לפני עדים פסולים והם לא ידעו דעדים הם פסולים ועדים אחרים כשירים ראו ג"כ מרחוק הקדושין והם לא ראו את העדים האלו, אז לח"מ הוי קידושין דהא כוונתם היה לשם קידושין כיון דלא היו יודעים דהם פסולים, אבל למהרי"ט אף בכה"ג לא הוי קידושין, ע"כ דברי הב"ש,</w:t>
      </w:r>
      <w:r w:rsidRPr="00351B7D">
        <w:rPr>
          <w:rFonts w:asciiTheme="minorBidi" w:hAnsiTheme="minorBidi"/>
          <w:color w:val="FF0000"/>
          <w:sz w:val="16"/>
          <w:szCs w:val="16"/>
          <w:rtl/>
        </w:rPr>
        <w:t xml:space="preserve"> </w:t>
      </w:r>
      <w:r w:rsidRPr="00351B7D">
        <w:rPr>
          <w:rFonts w:asciiTheme="minorBidi" w:hAnsiTheme="minorBidi"/>
          <w:color w:val="FF0000"/>
          <w:rtl/>
        </w:rPr>
        <w:t>אך צל"ע שהרי הח"מ כ' בהדיא כטעמו של מהרי"ט וז"ל</w:t>
      </w:r>
      <w:r w:rsidRPr="00351B7D">
        <w:rPr>
          <w:rFonts w:asciiTheme="minorBidi" w:hAnsiTheme="minorBidi"/>
          <w:color w:val="FF0000"/>
          <w:sz w:val="16"/>
          <w:szCs w:val="16"/>
          <w:rtl/>
        </w:rPr>
        <w:t xml:space="preserve"> (סק"ח)</w:t>
      </w:r>
      <w:r w:rsidRPr="00351B7D">
        <w:rPr>
          <w:rFonts w:asciiTheme="minorBidi" w:hAnsiTheme="minorBidi"/>
          <w:color w:val="FF0000"/>
          <w:rtl/>
        </w:rPr>
        <w:t>- "דכאן אף שאנו יודעין שלא כוונה לשחק אפ"ה לא מהני כל שלא ראתה העדים", וכ"כ בסק"ז, ועוד שמהרי"ט עצמו הסתפק שם במקרה זה שהביא הב"ש והשאיר זאת בצ"ע</w:t>
      </w:r>
      <w:r w:rsidRPr="00351B7D">
        <w:rPr>
          <w:rFonts w:asciiTheme="minorBidi" w:hAnsiTheme="minorBidi"/>
          <w:color w:val="FF0000"/>
          <w:sz w:val="16"/>
          <w:szCs w:val="16"/>
          <w:rtl/>
        </w:rPr>
        <w:t xml:space="preserve"> (עי' בכנה"ג [הגהב"י אות ל"ז] שהכריע שמקודשת)</w:t>
      </w:r>
      <w:r w:rsidRPr="00351B7D">
        <w:rPr>
          <w:rFonts w:asciiTheme="minorBidi" w:hAnsiTheme="minorBidi"/>
          <w:color w:val="FF0000"/>
          <w:rtl/>
        </w:rPr>
        <w:t>).</w:t>
      </w:r>
    </w:p>
  </w:footnote>
  <w:footnote w:id="458">
    <w:p w14:paraId="62D2D9C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ומשום הכי מחלק בין אם אמרו לשחוק היה כוונתם לבין אם מכחישים, ב"ש.</w:t>
      </w:r>
    </w:p>
  </w:footnote>
  <w:footnote w:id="459">
    <w:p w14:paraId="4DFA751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 שידעו שיש עדים </w:t>
      </w:r>
      <w:r w:rsidRPr="00351B7D">
        <w:rPr>
          <w:rFonts w:asciiTheme="minorBidi" w:hAnsiTheme="minorBidi"/>
          <w:sz w:val="16"/>
          <w:szCs w:val="16"/>
          <w:rtl/>
        </w:rPr>
        <w:t>(אע"פ שאינם רואים את העדים)</w:t>
      </w:r>
      <w:r w:rsidRPr="00351B7D">
        <w:rPr>
          <w:rFonts w:asciiTheme="minorBidi" w:hAnsiTheme="minorBidi"/>
          <w:rtl/>
        </w:rPr>
        <w:t xml:space="preserve">, רדב"ז </w:t>
      </w:r>
      <w:r w:rsidRPr="00351B7D">
        <w:rPr>
          <w:rFonts w:asciiTheme="minorBidi" w:hAnsiTheme="minorBidi"/>
          <w:sz w:val="16"/>
          <w:szCs w:val="16"/>
          <w:rtl/>
        </w:rPr>
        <w:t>(ח"ד סי' ד וסי' רע"ה, הביאו הבאה"ט [סק"ט])</w:t>
      </w:r>
      <w:r w:rsidRPr="00351B7D">
        <w:rPr>
          <w:rFonts w:asciiTheme="minorBidi" w:hAnsiTheme="minorBidi"/>
          <w:rtl/>
        </w:rPr>
        <w:t xml:space="preserve">. </w:t>
      </w:r>
    </w:p>
  </w:footnote>
  <w:footnote w:id="460">
    <w:p w14:paraId="1C6B21F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אע"ג [ד]בממון קי"ל כל שראו העדים את [ה]הלואה אפי' בהכמנה מעידין, כמ"ש בחו"מ סי' פ"א, דשם בלא עדות נמי חייב ולא אברי סהדי אלא לשקרי, אבל קידושין בלא עדים לא מהני, כ"כ הריב"ש, ב"ש (סק"ט).</w:t>
      </w:r>
    </w:p>
  </w:footnote>
  <w:footnote w:id="461">
    <w:p w14:paraId="5501D69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ואף שהעדים אומרים שהאיש והאשה התכוונו לשם קידושין לא מהני מאחר שלא ראו את העדים, ע"פ ח"מ (סק"ז-ח).</w:t>
      </w:r>
    </w:p>
  </w:footnote>
  <w:footnote w:id="462">
    <w:p w14:paraId="4291657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ופשיטא דהוו קידושין משמע דלא מצרכי לומר אתם עדיי כי אם בהודאה...., רש"י.</w:t>
      </w:r>
    </w:p>
  </w:footnote>
  <w:footnote w:id="463">
    <w:p w14:paraId="5EEEA2E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בדיקות מגוונות (כמבואר שם בגמ') לבדוק אמיתות הפרטים.</w:t>
      </w:r>
    </w:p>
  </w:footnote>
  <w:footnote w:id="464">
    <w:p w14:paraId="03EC70D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באיזה יום ובאיזה שעה, רש"י.</w:t>
      </w:r>
    </w:p>
  </w:footnote>
  <w:footnote w:id="465">
    <w:p w14:paraId="20B23B7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וכיון דאשכחן דכתיב בדיני נפשות ודרשת וחקרת וגו' (דברים יג) הוא הדין לדיני ממונות, רש"י.</w:t>
      </w:r>
    </w:p>
  </w:footnote>
  <w:footnote w:id="466">
    <w:p w14:paraId="70A0A0D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כשתנשא על פיהם תטול כתובה דמספר כתובה נלמוד כשתנשאי לאחר תטלי מה שכתוב ליכי, רש"י.</w:t>
      </w:r>
    </w:p>
  </w:footnote>
  <w:footnote w:id="467">
    <w:p w14:paraId="5D46688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דהבא על אשת איש בחנק הלכך עדי נשים בדרישה וחקירה, רש"י.</w:t>
      </w:r>
    </w:p>
  </w:footnote>
  <w:footnote w:id="468">
    <w:p w14:paraId="71253E4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בהודאות והלואות.</w:t>
      </w:r>
    </w:p>
  </w:footnote>
  <w:footnote w:id="469">
    <w:p w14:paraId="3CD373A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ותקנתא דרבנן הוא, רש"י.</w:t>
      </w:r>
    </w:p>
  </w:footnote>
  <w:footnote w:id="470">
    <w:p w14:paraId="17088E5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ממונות כנפשות, וכיון דכתיב דרישה וחקירה בדיני נפשות דכתיב (דברים יג) ודרשת וחקרת, הוא הדין לדיני ממונות, רש"י.</w:t>
      </w:r>
    </w:p>
  </w:footnote>
  <w:footnote w:id="471">
    <w:p w14:paraId="3E49235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שימנעו מלהלוות, שמא יכפור, והעדים יטעו, ולא תהא עדותן מכוונת ויפסיד, והכא נמי, שמא לא ימצא מומחין לכופו לדין, רש"י.</w:t>
      </w:r>
    </w:p>
  </w:footnote>
  <w:footnote w:id="472">
    <w:p w14:paraId="16DE10A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כופה איש להוציא את אשתו בדין, רש"י.</w:t>
      </w:r>
    </w:p>
  </w:footnote>
  <w:footnote w:id="473">
    <w:p w14:paraId="6032CD0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שאין מומחין אלא סמוכין דמיקרו אלקים דיינין ואין סמיכה בח"ל כדאמרי' בפ"ק דסנהדר' (דף יד), רש"י.</w:t>
      </w:r>
    </w:p>
  </w:footnote>
  <w:footnote w:id="474">
    <w:p w14:paraId="17EFB1D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אסיפות כמו אוגר בקיץ (משלי י), רש"י.</w:t>
      </w:r>
    </w:p>
  </w:footnote>
  <w:footnote w:id="475">
    <w:p w14:paraId="6186AFC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קאי אשבעים זקנים שעלו עמו להר קודם מתן תורה כדכתיב (שמות כד) ואל משה אמר עלה וגו' ואף על פי שנכתבה פרשה זו לאחר מ"ת קודם מתן תורה נאמרה ונבנה המזבח והעלו העולה והשלמים ובאותו דם נכנסו לברית, רש"י.</w:t>
      </w:r>
    </w:p>
  </w:footnote>
  <w:footnote w:id="476">
    <w:p w14:paraId="0712D00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דבני א"י, רש"י.</w:t>
      </w:r>
    </w:p>
  </w:footnote>
  <w:footnote w:id="477">
    <w:p w14:paraId="77C412E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הם נתנו לנו רשות, רש"י. </w:t>
      </w:r>
    </w:p>
  </w:footnote>
  <w:footnote w:id="478">
    <w:p w14:paraId="3816311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אדיני ממונות דהלואות דעבדינן שליחותייהו כדאמרי' בסנהד' (דף ב:), רש"י.</w:t>
      </w:r>
    </w:p>
  </w:footnote>
  <w:footnote w:id="479">
    <w:p w14:paraId="4666EF7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לעביד שליחותייהו ואנן אמרינן בשמעתא קמייתא דסנהד' דבעינן ג' מומחין, רש"י.</w:t>
      </w:r>
    </w:p>
  </w:footnote>
  <w:footnote w:id="480">
    <w:p w14:paraId="75FE72F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הלואה וכן גט, רש"י.</w:t>
      </w:r>
    </w:p>
  </w:footnote>
  <w:footnote w:id="481">
    <w:p w14:paraId="3D8D3E6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גאונים </w:t>
      </w:r>
      <w:r w:rsidRPr="00351B7D">
        <w:rPr>
          <w:rFonts w:asciiTheme="minorBidi" w:hAnsiTheme="minorBidi"/>
          <w:sz w:val="16"/>
          <w:szCs w:val="16"/>
          <w:rtl/>
        </w:rPr>
        <w:t xml:space="preserve">(כ"כ הרשב"א בשמם) </w:t>
      </w:r>
      <w:r w:rsidRPr="00351B7D">
        <w:rPr>
          <w:rFonts w:asciiTheme="minorBidi" w:hAnsiTheme="minorBidi"/>
          <w:rtl/>
        </w:rPr>
        <w:t xml:space="preserve">רמב"ם </w:t>
      </w:r>
      <w:r w:rsidRPr="00351B7D">
        <w:rPr>
          <w:rFonts w:asciiTheme="minorBidi" w:hAnsiTheme="minorBidi"/>
          <w:sz w:val="16"/>
          <w:szCs w:val="16"/>
          <w:rtl/>
        </w:rPr>
        <w:t xml:space="preserve">(פי"ג מהל' גירושין הכ"ח) </w:t>
      </w:r>
      <w:r w:rsidRPr="00351B7D">
        <w:rPr>
          <w:rFonts w:asciiTheme="minorBidi" w:hAnsiTheme="minorBidi"/>
          <w:rtl/>
        </w:rPr>
        <w:t xml:space="preserve">רמב"ן </w:t>
      </w:r>
      <w:r w:rsidRPr="00351B7D">
        <w:rPr>
          <w:rFonts w:asciiTheme="minorBidi" w:hAnsiTheme="minorBidi"/>
          <w:sz w:val="16"/>
          <w:szCs w:val="16"/>
          <w:rtl/>
        </w:rPr>
        <w:t xml:space="preserve">(שם ד"ה הא) </w:t>
      </w:r>
      <w:r w:rsidRPr="00351B7D">
        <w:rPr>
          <w:rFonts w:asciiTheme="minorBidi" w:hAnsiTheme="minorBidi"/>
          <w:rtl/>
        </w:rPr>
        <w:t xml:space="preserve">רשב"א </w:t>
      </w:r>
      <w:r w:rsidRPr="00351B7D">
        <w:rPr>
          <w:rFonts w:asciiTheme="minorBidi" w:hAnsiTheme="minorBidi"/>
          <w:sz w:val="16"/>
          <w:szCs w:val="16"/>
          <w:rtl/>
        </w:rPr>
        <w:t xml:space="preserve">(ח"א סי' תקסו) </w:t>
      </w:r>
      <w:r w:rsidRPr="00351B7D">
        <w:rPr>
          <w:rFonts w:asciiTheme="minorBidi" w:hAnsiTheme="minorBidi"/>
          <w:rtl/>
        </w:rPr>
        <w:t>ריב"ש</w:t>
      </w:r>
      <w:r w:rsidRPr="00351B7D">
        <w:rPr>
          <w:rFonts w:asciiTheme="minorBidi" w:hAnsiTheme="minorBidi"/>
          <w:sz w:val="16"/>
          <w:szCs w:val="16"/>
          <w:rtl/>
        </w:rPr>
        <w:t xml:space="preserve"> (סי' קצ"ג סוף דיבור ראשון) </w:t>
      </w:r>
      <w:r w:rsidRPr="00351B7D">
        <w:rPr>
          <w:rFonts w:asciiTheme="minorBidi" w:hAnsiTheme="minorBidi"/>
          <w:rtl/>
        </w:rPr>
        <w:t xml:space="preserve">ונמוק"י </w:t>
      </w:r>
      <w:r w:rsidRPr="00351B7D">
        <w:rPr>
          <w:rFonts w:asciiTheme="minorBidi" w:hAnsiTheme="minorBidi"/>
          <w:sz w:val="16"/>
          <w:szCs w:val="16"/>
          <w:rtl/>
        </w:rPr>
        <w:t>(סוף יבמות, הביאו הדרכ"מ [אות ה])</w:t>
      </w:r>
      <w:r w:rsidRPr="00351B7D">
        <w:rPr>
          <w:rFonts w:asciiTheme="minorBidi" w:hAnsiTheme="minorBidi"/>
          <w:rtl/>
        </w:rPr>
        <w:t>.</w:t>
      </w:r>
    </w:p>
  </w:footnote>
  <w:footnote w:id="482">
    <w:p w14:paraId="6EA0CD9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ועיין תשו' משאת בנימין (סי' נא) שם פסק דעידי קידושין שבאו לאסור אותה ע"כ העולם בעינן דרישה וחקירה, אבל עידי גט א"צ דרישה וחקירה, ועיין תשו' מהרש"ל סי' לג, ב"ש (סקי"ד).</w:t>
      </w:r>
    </w:p>
  </w:footnote>
  <w:footnote w:id="483">
    <w:p w14:paraId="29FAF1B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מרדכי </w:t>
      </w:r>
      <w:r w:rsidRPr="00351B7D">
        <w:rPr>
          <w:rFonts w:asciiTheme="minorBidi" w:hAnsiTheme="minorBidi"/>
          <w:sz w:val="16"/>
          <w:szCs w:val="16"/>
          <w:rtl/>
        </w:rPr>
        <w:t xml:space="preserve">(פרק א' דיני ממונות סי' תשיא) </w:t>
      </w:r>
      <w:r w:rsidRPr="00351B7D">
        <w:rPr>
          <w:rFonts w:asciiTheme="minorBidi" w:hAnsiTheme="minorBidi"/>
          <w:rtl/>
        </w:rPr>
        <w:t xml:space="preserve">ורשב"א </w:t>
      </w:r>
      <w:r w:rsidRPr="00351B7D">
        <w:rPr>
          <w:rFonts w:asciiTheme="minorBidi" w:hAnsiTheme="minorBidi"/>
          <w:sz w:val="16"/>
          <w:szCs w:val="16"/>
          <w:rtl/>
        </w:rPr>
        <w:t>(ח"א סי' אלף ר"ט) (הביאם הדרכ"מ [אות ה*])</w:t>
      </w:r>
      <w:r w:rsidRPr="00351B7D">
        <w:rPr>
          <w:rFonts w:asciiTheme="minorBidi" w:hAnsiTheme="minorBidi"/>
          <w:rtl/>
        </w:rPr>
        <w:t>.</w:t>
      </w:r>
    </w:p>
  </w:footnote>
  <w:footnote w:id="484">
    <w:p w14:paraId="1B17E29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שבית דין מכירין בתובע זה שהוא רמאי, או מבינים טענת רמאי בדבריו, רש"י (סנהדרין לב:, ד"ה מרומה).</w:t>
      </w:r>
    </w:p>
  </w:footnote>
  <w:footnote w:id="485">
    <w:p w14:paraId="7E5D281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והמאירי </w:t>
      </w:r>
      <w:r w:rsidRPr="00351B7D">
        <w:rPr>
          <w:rFonts w:asciiTheme="minorBidi" w:hAnsiTheme="minorBidi"/>
          <w:sz w:val="16"/>
          <w:szCs w:val="16"/>
          <w:rtl/>
        </w:rPr>
        <w:t xml:space="preserve">(בב"ק קיב:) </w:t>
      </w:r>
      <w:r w:rsidRPr="00351B7D">
        <w:rPr>
          <w:rFonts w:asciiTheme="minorBidi" w:hAnsiTheme="minorBidi"/>
          <w:rtl/>
        </w:rPr>
        <w:t>כ' דאפילו במרומה לא בעינן דרישה וחקירה בגיטין וקדושין, אהלי יעקב</w:t>
      </w:r>
      <w:r w:rsidRPr="00351B7D">
        <w:rPr>
          <w:rFonts w:asciiTheme="minorBidi" w:hAnsiTheme="minorBidi"/>
          <w:sz w:val="16"/>
          <w:szCs w:val="16"/>
          <w:rtl/>
        </w:rPr>
        <w:t xml:space="preserve"> (למהריק"ש סי' כ"ז, הביאו רעק"א [סק"י])</w:t>
      </w:r>
      <w:r w:rsidRPr="00351B7D">
        <w:rPr>
          <w:rFonts w:asciiTheme="minorBidi" w:hAnsiTheme="minorBidi"/>
          <w:rtl/>
        </w:rPr>
        <w:t>.</w:t>
      </w:r>
    </w:p>
  </w:footnote>
  <w:footnote w:id="486">
    <w:p w14:paraId="56D763F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 המרדכי</w:t>
      </w:r>
      <w:r w:rsidRPr="00351B7D">
        <w:rPr>
          <w:rFonts w:asciiTheme="minorBidi" w:hAnsiTheme="minorBidi"/>
          <w:sz w:val="16"/>
          <w:szCs w:val="16"/>
          <w:rtl/>
        </w:rPr>
        <w:t xml:space="preserve"> (סנהדרין סי' תשיא, הביאו הב"י) </w:t>
      </w:r>
      <w:r w:rsidRPr="00351B7D">
        <w:rPr>
          <w:rFonts w:asciiTheme="minorBidi" w:hAnsiTheme="minorBidi"/>
          <w:rtl/>
        </w:rPr>
        <w:t>נשאל ר"י על אחד שהטעה להעיד עדות שקר והשביעם להעיד שקידש אשה אחת ולבסוף חזר בו אחד מן העדים והשיב ר"י להצריך גט להסיר הלעז ולולי כן לא היתה נזקקת לכך כי מן הדין יש לפטרה בלא גט כי עדים שבאים לאסרה צריכין דרישה וחקירה הואיל והיא מכחישתן וכל זמן שלא נחקרה עדותן יכולין לומר אנוסין [נ"א: מבודין] היינו כדתניא בתוספתא</w:t>
      </w:r>
      <w:r w:rsidRPr="00351B7D">
        <w:rPr>
          <w:rFonts w:asciiTheme="minorBidi" w:hAnsiTheme="minorBidi"/>
          <w:sz w:val="16"/>
          <w:szCs w:val="16"/>
          <w:rtl/>
        </w:rPr>
        <w:t xml:space="preserve"> (כתובות פ"ב ה"א, סנהדרין פ"ו ה"ו) </w:t>
      </w:r>
      <w:r w:rsidRPr="00351B7D">
        <w:rPr>
          <w:rFonts w:asciiTheme="minorBidi" w:hAnsiTheme="minorBidi"/>
          <w:rtl/>
        </w:rPr>
        <w:t>ועוד כי זה המעשה שייך לדין מרומה כל דין מרומה צריך דרישה וחקירה.</w:t>
      </w:r>
    </w:p>
  </w:footnote>
  <w:footnote w:id="487">
    <w:p w14:paraId="202255A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ס"ס נ"ז, הביאו הפת"ש סקי"ד. </w:t>
      </w:r>
    </w:p>
  </w:footnote>
  <w:footnote w:id="488">
    <w:p w14:paraId="603C51C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דלפי עדותן זינתה כשהיא אשת איש ובחנק הוא, ואף שאין כאן התראה מ"מ גוף העבירה ד"נ הוא, ועוד שזה ממש כמו מעידין על אשת איש שזינתה דמבואר בסי' י"א דבעינן דו"ח והיינו מן הדין.</w:t>
      </w:r>
    </w:p>
  </w:footnote>
  <w:footnote w:id="489">
    <w:p w14:paraId="051A8AB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קדושין סי' תקסט. את הגה' מרדכי כ' ר' שמואל שליצטט אחד מהראשונים, חי בתקופת מהרי"ל ונולד בסביבות שנת ק', בעל קיצור המרדכי והוא כנראה כ' גם את המרדכי על 'הלכות קטנות' </w:t>
      </w:r>
      <w:r w:rsidRPr="00351B7D">
        <w:rPr>
          <w:rFonts w:asciiTheme="minorBidi" w:hAnsiTheme="minorBidi"/>
          <w:sz w:val="16"/>
          <w:szCs w:val="16"/>
          <w:rtl/>
        </w:rPr>
        <w:t>(ואין לבלבל בין הגהות המרדכי הנ"ל לבין הגהות הרמ"א על המרדכי שנכתבו ע"י ר' נפתלי צבי הירש שור, שהיה תלמידו המובהק של הרמ"א והפנה אליו הרבה שאלות ורובן הן שאלות על דברי המרדכי)</w:t>
      </w:r>
      <w:r w:rsidRPr="00351B7D">
        <w:rPr>
          <w:rFonts w:asciiTheme="minorBidi" w:hAnsiTheme="minorBidi"/>
          <w:rtl/>
        </w:rPr>
        <w:t>.</w:t>
      </w:r>
    </w:p>
  </w:footnote>
  <w:footnote w:id="490">
    <w:p w14:paraId="6648BAF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 הדרכ"מ. והטעם הוא כיון דשאני עדות, דרחמנא אמר מפיהם ולא מפי כתבם</w:t>
      </w:r>
      <w:r w:rsidRPr="00351B7D">
        <w:rPr>
          <w:rFonts w:asciiTheme="minorBidi" w:hAnsiTheme="minorBidi"/>
          <w:sz w:val="16"/>
          <w:szCs w:val="16"/>
          <w:rtl/>
        </w:rPr>
        <w:t xml:space="preserve"> (גיטין עא.)</w:t>
      </w:r>
      <w:r w:rsidRPr="00351B7D">
        <w:rPr>
          <w:rFonts w:asciiTheme="minorBidi" w:hAnsiTheme="minorBidi"/>
          <w:rtl/>
        </w:rPr>
        <w:t xml:space="preserve">. וקיום שטרות כשאחד טוען 'מזוייף הוא' הוא מדאורייתא. וכן דעת הרמב"ם </w:t>
      </w:r>
      <w:r w:rsidRPr="00351B7D">
        <w:rPr>
          <w:rFonts w:asciiTheme="minorBidi" w:hAnsiTheme="minorBidi"/>
          <w:sz w:val="14"/>
          <w:szCs w:val="14"/>
          <w:rtl/>
        </w:rPr>
        <w:t>(פ"ז מגירושין ה"ב)</w:t>
      </w:r>
      <w:r w:rsidRPr="00351B7D">
        <w:rPr>
          <w:rFonts w:asciiTheme="minorBidi" w:hAnsiTheme="minorBidi"/>
          <w:rtl/>
        </w:rPr>
        <w:t xml:space="preserve">. והב"ש </w:t>
      </w:r>
      <w:r w:rsidRPr="00351B7D">
        <w:rPr>
          <w:rFonts w:asciiTheme="minorBidi" w:hAnsiTheme="minorBidi"/>
          <w:sz w:val="14"/>
          <w:szCs w:val="14"/>
          <w:rtl/>
        </w:rPr>
        <w:t xml:space="preserve">(אהע"ז סי' קמא סק"ע) </w:t>
      </w:r>
      <w:r w:rsidRPr="00351B7D">
        <w:rPr>
          <w:rFonts w:asciiTheme="minorBidi" w:hAnsiTheme="minorBidi"/>
          <w:rtl/>
        </w:rPr>
        <w:t xml:space="preserve">כ"כ בשם כמה פוסקים. </w:t>
      </w:r>
    </w:p>
  </w:footnote>
  <w:footnote w:id="491">
    <w:p w14:paraId="0F3974D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סי' אלף ר"י. וכ"כ בתשו' בסי' אלף ר"ט</w:t>
      </w:r>
      <w:r w:rsidRPr="00351B7D">
        <w:rPr>
          <w:rFonts w:asciiTheme="minorBidi" w:hAnsiTheme="minorBidi"/>
          <w:sz w:val="16"/>
          <w:szCs w:val="16"/>
          <w:rtl/>
        </w:rPr>
        <w:t xml:space="preserve"> (הביאוהו הב"י והדרכ"מ)</w:t>
      </w:r>
      <w:r w:rsidRPr="00351B7D">
        <w:rPr>
          <w:rFonts w:asciiTheme="minorBidi" w:hAnsiTheme="minorBidi"/>
          <w:rtl/>
        </w:rPr>
        <w:t xml:space="preserve"> וז"ל- על אחד שהוציא קול שקידש את פלונית והוציא שטר חתום בעדים שקידשה, כל שטר שלא נעשה מרצון המתחייב אינו אלא כפנקס בעלמא ומפי כתבם ולא מפיהם הוא, וזהו שאמרו</w:t>
      </w:r>
      <w:r w:rsidRPr="00351B7D">
        <w:rPr>
          <w:rFonts w:asciiTheme="minorBidi" w:hAnsiTheme="minorBidi"/>
          <w:sz w:val="16"/>
          <w:szCs w:val="16"/>
          <w:rtl/>
        </w:rPr>
        <w:t xml:space="preserve"> (ב"ב מ.) </w:t>
      </w:r>
      <w:r w:rsidRPr="00351B7D">
        <w:rPr>
          <w:rFonts w:asciiTheme="minorBidi" w:hAnsiTheme="minorBidi"/>
          <w:rtl/>
        </w:rPr>
        <w:t xml:space="preserve">מודעה בפני שנים וצריך לומר כתובו, ואם כתבו שלא מדעתו אין עדותן עדות כדאיתא בפרק זה בורר </w:t>
      </w:r>
      <w:r w:rsidRPr="00351B7D">
        <w:rPr>
          <w:rFonts w:asciiTheme="minorBidi" w:hAnsiTheme="minorBidi"/>
          <w:sz w:val="16"/>
          <w:szCs w:val="16"/>
          <w:rtl/>
        </w:rPr>
        <w:t xml:space="preserve">(סנהדרין כט:) </w:t>
      </w:r>
      <w:r w:rsidRPr="00351B7D">
        <w:rPr>
          <w:rFonts w:asciiTheme="minorBidi" w:hAnsiTheme="minorBidi"/>
          <w:rtl/>
        </w:rPr>
        <w:t>וה"נ אם כתבו העדים וחתמו שלא מדעת המתקדשת אין סומכין על עדות זה עד שיבואו ויעידו בפיהם, ואין אומרים בזה חזקה ידעי ולא חתמי עד שאמרה להם חתומו דאנן סהדי דלא ידעי וה"ל כאידך אודיתא דהתם דלא הוה כתיב בה במותב תלתא כחדא הוינא וכו' עד כל כה"ג חיישינן לבית דין טועים וצא ושאל לכל אי ידעי הא ובאמת לא ידעי ולפיכך צריכים עדים אלו לבוא ולהגיד מפיהם וכל שכן כאן שרגלים לדבר שהמקדש והעדים עשו שלא כהוגן להתעולל בבנות ישראל.</w:t>
      </w:r>
    </w:p>
  </w:footnote>
  <w:footnote w:id="492">
    <w:p w14:paraId="2A433CA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וראיה לדבר מדברי התוספתא פ"ב דכתובות (ה"ב) יפה כח העדים מכח השטר שהעדים שאמרו מת פלוני נהרג פלוני משיאין את אשתו מצאו כתוב בשטר מת פלוני נהרג פלוני אין משיאין את אשתו, הגה' מרדכי.</w:t>
      </w:r>
    </w:p>
  </w:footnote>
  <w:footnote w:id="493">
    <w:p w14:paraId="707AE4DA" w14:textId="77777777" w:rsidR="00DF1FC7" w:rsidRPr="00351B7D" w:rsidRDefault="00DF1FC7" w:rsidP="008E16D0">
      <w:pPr>
        <w:spacing w:after="0" w:line="240" w:lineRule="auto"/>
        <w:rPr>
          <w:rFonts w:asciiTheme="minorBidi" w:hAnsiTheme="minorBidi"/>
          <w:sz w:val="20"/>
          <w:szCs w:val="20"/>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דאמר רשב"ל עדים החתומים על השטר נעשה כמי שנחקרה עדותם בב"ד, ורבנן הוא דאצריך והכא משום עיגונא אקילו בה רבנן והתירה בעד אחד, שמעינן מהכא דכל היכא דחתימי סהדי בשטרא אי אתי האי ומערער לאמר להד"ם לא משגחינן ביה מדין תורה כלל, מהרי"ק. וכ"פ הש"ך</w:t>
      </w:r>
      <w:r w:rsidRPr="00351B7D">
        <w:rPr>
          <w:rFonts w:asciiTheme="minorBidi" w:hAnsiTheme="minorBidi"/>
          <w:sz w:val="16"/>
          <w:szCs w:val="16"/>
          <w:rtl/>
        </w:rPr>
        <w:t xml:space="preserve"> (שצריך קיום מדרבנן כשא' טוען מזוייף הוא </w:t>
      </w:r>
      <w:r w:rsidRPr="00351B7D">
        <w:rPr>
          <w:rFonts w:asciiTheme="minorBidi" w:hAnsiTheme="minorBidi"/>
          <w:sz w:val="14"/>
          <w:szCs w:val="14"/>
          <w:rtl/>
        </w:rPr>
        <w:t>[חו"מ סי' מו סק"ט]</w:t>
      </w:r>
      <w:r w:rsidRPr="00351B7D">
        <w:rPr>
          <w:rFonts w:asciiTheme="minorBidi" w:hAnsiTheme="minorBidi"/>
          <w:sz w:val="16"/>
          <w:szCs w:val="16"/>
          <w:rtl/>
        </w:rPr>
        <w:t>)</w:t>
      </w:r>
      <w:r w:rsidRPr="00351B7D">
        <w:rPr>
          <w:rFonts w:asciiTheme="minorBidi" w:hAnsiTheme="minorBidi"/>
          <w:sz w:val="20"/>
          <w:szCs w:val="20"/>
          <w:rtl/>
        </w:rPr>
        <w:t xml:space="preserve">. וכ' הדרכ"מ </w:t>
      </w:r>
      <w:r w:rsidRPr="00351B7D">
        <w:rPr>
          <w:rFonts w:asciiTheme="minorBidi" w:hAnsiTheme="minorBidi"/>
          <w:sz w:val="14"/>
          <w:szCs w:val="14"/>
          <w:rtl/>
        </w:rPr>
        <w:t xml:space="preserve">(אות ז) </w:t>
      </w:r>
      <w:r w:rsidRPr="00351B7D">
        <w:rPr>
          <w:rFonts w:asciiTheme="minorBidi" w:hAnsiTheme="minorBidi"/>
          <w:sz w:val="20"/>
          <w:szCs w:val="20"/>
          <w:rtl/>
        </w:rPr>
        <w:t>דמכיון שד' הגמ"ר והרשב"א חלוקה עליו אז דברי מהרי"ק דחויים מאחר שלא ראה דברי הראשונים בזה</w:t>
      </w:r>
      <w:r w:rsidRPr="00351B7D">
        <w:rPr>
          <w:rFonts w:asciiTheme="minorBidi" w:hAnsiTheme="minorBidi"/>
          <w:sz w:val="16"/>
          <w:szCs w:val="16"/>
          <w:rtl/>
        </w:rPr>
        <w:t xml:space="preserve"> (כמו שמשמע שם מדבריו שלא ראן)</w:t>
      </w:r>
      <w:r w:rsidRPr="00351B7D">
        <w:rPr>
          <w:rFonts w:asciiTheme="minorBidi" w:hAnsiTheme="minorBidi"/>
          <w:sz w:val="20"/>
          <w:szCs w:val="20"/>
          <w:rtl/>
        </w:rPr>
        <w:t xml:space="preserve"> ואם ראן היה חוזר בו.</w:t>
      </w:r>
    </w:p>
  </w:footnote>
  <w:footnote w:id="494">
    <w:p w14:paraId="35AA67A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כן משמע מדבריו (בתשו' ח"א סי אלף ר"ט), וכ"כ הח"מ (סק"י), וכ"מ מדברי הגר"א (סקכ"א) ועוד.</w:t>
      </w:r>
    </w:p>
  </w:footnote>
  <w:footnote w:id="495">
    <w:p w14:paraId="655706D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שכתבו- 'פלוני העידנו עליו שקידש את פלונית', שהוא לשון שליחות דהויין שלוחין דידיה </w:t>
      </w:r>
      <w:r w:rsidRPr="00351B7D">
        <w:rPr>
          <w:rFonts w:asciiTheme="minorBidi" w:hAnsiTheme="minorBidi"/>
          <w:sz w:val="16"/>
          <w:szCs w:val="16"/>
          <w:rtl/>
        </w:rPr>
        <w:t>(וכמ"ש בשו"ע סי' סא ס"י)</w:t>
      </w:r>
      <w:r w:rsidRPr="00351B7D">
        <w:rPr>
          <w:rFonts w:asciiTheme="minorBidi" w:hAnsiTheme="minorBidi"/>
          <w:rtl/>
        </w:rPr>
        <w:t>, אבל אם כתבו העדים סתם שהם מעידים שהנער פלוני קידש את הבתולה- אינו כלום, פת"ש</w:t>
      </w:r>
      <w:r w:rsidRPr="00351B7D">
        <w:rPr>
          <w:rFonts w:asciiTheme="minorBidi" w:hAnsiTheme="minorBidi"/>
          <w:sz w:val="16"/>
          <w:szCs w:val="16"/>
          <w:rtl/>
        </w:rPr>
        <w:t xml:space="preserve"> (סקי"ז)</w:t>
      </w:r>
      <w:r w:rsidRPr="00351B7D">
        <w:rPr>
          <w:rFonts w:asciiTheme="minorBidi" w:hAnsiTheme="minorBidi"/>
          <w:rtl/>
        </w:rPr>
        <w:t>.</w:t>
      </w:r>
    </w:p>
  </w:footnote>
  <w:footnote w:id="496">
    <w:p w14:paraId="56AF825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שדין זה הוא מוסכם לכו"ע. </w:t>
      </w:r>
      <w:r w:rsidRPr="00351B7D">
        <w:rPr>
          <w:rFonts w:asciiTheme="minorBidi" w:hAnsiTheme="minorBidi"/>
          <w:sz w:val="16"/>
          <w:szCs w:val="16"/>
          <w:rtl/>
        </w:rPr>
        <w:t xml:space="preserve">(והפת"ש (סקי"ז) כ' שראה בתשו' פני אריה (סי' כח) שהכריע בתשובה זה שנים רבות דלא כהב"ש אלא אפי' אי ידעינן בבירור שנכתב שלא מדעתה יש לחוש לקידושין. ותמה עליו הפת"ש דאיך יחלוק על דברי הרשב"א אפי' לחומרא. וכ' אח"כ הפת"ש דשוב ראה בס' בית מאיר (ד"ה מצאו) שכ' שדין זה במחלוקת שנויה בין הרשב"א ובין התוס' (כתובות נה. ד"ה כתובו) ולד' התוס' הא דאין כותבין בלא דעת המתחייב דוקא ביש שום היזק בהכתיבה </w:t>
      </w:r>
      <w:r w:rsidRPr="00351B7D">
        <w:rPr>
          <w:rFonts w:asciiTheme="minorBidi" w:hAnsiTheme="minorBidi"/>
          <w:color w:val="FF0000"/>
          <w:sz w:val="16"/>
          <w:szCs w:val="16"/>
          <w:rtl/>
        </w:rPr>
        <w:t xml:space="preserve">{וצל"ע מה ההוכחה מדברי התוס' לפני אריה, והרי יש כאן היזק דניחא ליה באחרת, ולגרשה לא ניחא ליה בהאי טרחא, ועוד שאתה אוסרו בקרובותיה, וא"כ גם לתוס' לא חוששין למה שכתבו בשטר שלא מדעתה. וכ"כ החת"ס </w:t>
      </w:r>
      <w:r w:rsidRPr="00351B7D">
        <w:rPr>
          <w:rFonts w:asciiTheme="minorBidi" w:hAnsiTheme="minorBidi"/>
          <w:color w:val="FF0000"/>
          <w:sz w:val="14"/>
          <w:szCs w:val="14"/>
          <w:rtl/>
        </w:rPr>
        <w:t>(סי' קג, וכ' שאפילו לא מתחייב אין כותבין לדעת התוס', והקשה על הבית מאיר עיי"ש)</w:t>
      </w:r>
      <w:r w:rsidRPr="00351B7D">
        <w:rPr>
          <w:rFonts w:asciiTheme="minorBidi" w:hAnsiTheme="minorBidi"/>
          <w:color w:val="FF0000"/>
          <w:sz w:val="16"/>
          <w:szCs w:val="16"/>
          <w:rtl/>
        </w:rPr>
        <w:t>}</w:t>
      </w:r>
      <w:r w:rsidRPr="00351B7D">
        <w:rPr>
          <w:rFonts w:asciiTheme="minorBidi" w:hAnsiTheme="minorBidi"/>
          <w:sz w:val="16"/>
          <w:szCs w:val="16"/>
          <w:rtl/>
        </w:rPr>
        <w:t>)</w:t>
      </w:r>
      <w:r w:rsidRPr="00351B7D">
        <w:rPr>
          <w:rFonts w:asciiTheme="minorBidi" w:hAnsiTheme="minorBidi"/>
          <w:rtl/>
        </w:rPr>
        <w:t>.</w:t>
      </w:r>
    </w:p>
  </w:footnote>
  <w:footnote w:id="497">
    <w:p w14:paraId="2628EC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דשטר זה לא ניתן ליכתב, ורחמנא אמר מפיהם ולא מפי כתבם, דבשלמא שטר חוב הוא יסוד נביאים מפי הגבורה דכתיב 'כתוב בספר וחתום והעד עדים' עשה הכתוב חתימת השטר בעדים כהעדה בפיהם, וגם שטר קידושין אי מנח ליה גבי דידיה ודידה לא מיקרי מפי כתבם ודוקא בשטר קידושין שהאשה נקנית בו וניתן לכתוב דמקשינן הויה ליציאה, אבל שטר ראיה על קידושי כסף לא ניתן לכתוב ורחמנא אמר מפיהם ולא מפי כתבם, הגה' מרדכי. </w:t>
      </w:r>
    </w:p>
  </w:footnote>
  <w:footnote w:id="498">
    <w:p w14:paraId="0AF64B6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שם </w:t>
      </w:r>
      <w:r w:rsidRPr="00351B7D">
        <w:rPr>
          <w:rFonts w:asciiTheme="minorBidi" w:hAnsiTheme="minorBidi"/>
          <w:sz w:val="16"/>
          <w:szCs w:val="16"/>
          <w:rtl/>
        </w:rPr>
        <w:t>(על הא דבאו העדים השניים והכחישוהו ואמרו שאין זה כתב ידן)</w:t>
      </w:r>
      <w:r w:rsidRPr="00351B7D">
        <w:rPr>
          <w:rFonts w:asciiTheme="minorBidi" w:hAnsiTheme="minorBidi"/>
          <w:rtl/>
        </w:rPr>
        <w:t xml:space="preserve"> אם אין כתב ידן יוצא ממקום אחר הם נאמנין </w:t>
      </w:r>
      <w:r w:rsidRPr="00351B7D">
        <w:rPr>
          <w:rFonts w:asciiTheme="minorBidi" w:hAnsiTheme="minorBidi"/>
          <w:sz w:val="16"/>
          <w:szCs w:val="16"/>
          <w:rtl/>
        </w:rPr>
        <w:t>(כמו ששנינו בכתובות יח:)</w:t>
      </w:r>
      <w:r w:rsidRPr="00351B7D">
        <w:rPr>
          <w:rFonts w:asciiTheme="minorBidi" w:hAnsiTheme="minorBidi"/>
          <w:rtl/>
        </w:rPr>
        <w:t xml:space="preserve">, ואפילו אם היה כתב ידן יוצא ממקום אחר או שאמרו העדים כתב ידינו הוא זה אם אמרו מעולם לא חתמנו ומזוייף הוא זה הכל תלוי בראיית הבית דין אם הוא יעיין וידקדק הרבה בדבר ויחקור וידרוש ויאיים שרגלים לדבר וכזה ראוי להורות, ע"כ. וכ' הב"י דלפי מה שכתב בתשובה שקודם זו </w:t>
      </w:r>
      <w:r w:rsidRPr="00351B7D">
        <w:rPr>
          <w:rFonts w:asciiTheme="minorBidi" w:hAnsiTheme="minorBidi"/>
          <w:sz w:val="16"/>
          <w:szCs w:val="16"/>
          <w:rtl/>
        </w:rPr>
        <w:t xml:space="preserve">(דאין סומכים על עדות קידושין שבשטר עד שיבואו ויעידו בפיהם וכו') </w:t>
      </w:r>
      <w:r w:rsidRPr="00351B7D">
        <w:rPr>
          <w:rFonts w:asciiTheme="minorBidi" w:hAnsiTheme="minorBidi"/>
          <w:rtl/>
        </w:rPr>
        <w:t>צריך לומר שזה שכתב בתשובה זו לענין שטרי ממונות הדברים אמורים ולא לענין שטר קידושין. אך הב"ש</w:t>
      </w:r>
      <w:r w:rsidRPr="00351B7D">
        <w:rPr>
          <w:rFonts w:asciiTheme="minorBidi" w:hAnsiTheme="minorBidi"/>
          <w:sz w:val="16"/>
          <w:szCs w:val="16"/>
          <w:rtl/>
        </w:rPr>
        <w:t xml:space="preserve"> (סקט"ו) </w:t>
      </w:r>
      <w:r w:rsidRPr="00351B7D">
        <w:rPr>
          <w:rFonts w:asciiTheme="minorBidi" w:hAnsiTheme="minorBidi"/>
          <w:rtl/>
        </w:rPr>
        <w:t xml:space="preserve">חלק עליו </w:t>
      </w:r>
      <w:r w:rsidRPr="00351B7D">
        <w:rPr>
          <w:rFonts w:asciiTheme="minorBidi" w:hAnsiTheme="minorBidi"/>
          <w:sz w:val="16"/>
          <w:szCs w:val="16"/>
          <w:rtl/>
        </w:rPr>
        <w:t xml:space="preserve">(וגם מהר"א בן ששון סי' רכ"ט) </w:t>
      </w:r>
      <w:r w:rsidRPr="00351B7D">
        <w:rPr>
          <w:rFonts w:asciiTheme="minorBidi" w:hAnsiTheme="minorBidi"/>
          <w:rtl/>
        </w:rPr>
        <w:t>וכ' שגם בדבריו אלו כיון לעניין קדושין אבל כאן סומכים על הכתוב בשטר משום דאם השטר אינו מזוייף יש חשש שמא יבאו העדים ויעידו בפה.</w:t>
      </w:r>
    </w:p>
  </w:footnote>
  <w:footnote w:id="499">
    <w:p w14:paraId="25B7A3D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בספר החכמה </w:t>
      </w:r>
      <w:r w:rsidRPr="00351B7D">
        <w:rPr>
          <w:rFonts w:asciiTheme="minorBidi" w:hAnsiTheme="minorBidi"/>
          <w:sz w:val="16"/>
          <w:szCs w:val="16"/>
          <w:rtl/>
        </w:rPr>
        <w:t>(סי' שפד)</w:t>
      </w:r>
      <w:r w:rsidRPr="00351B7D">
        <w:rPr>
          <w:rFonts w:asciiTheme="minorBidi" w:hAnsiTheme="minorBidi"/>
          <w:rtl/>
        </w:rPr>
        <w:t xml:space="preserve">, הביאו המרדכי </w:t>
      </w:r>
      <w:r w:rsidRPr="00351B7D">
        <w:rPr>
          <w:rFonts w:asciiTheme="minorBidi" w:hAnsiTheme="minorBidi"/>
          <w:sz w:val="16"/>
          <w:szCs w:val="16"/>
          <w:rtl/>
        </w:rPr>
        <w:t xml:space="preserve">(בקדושין סי' תקלא) </w:t>
      </w:r>
      <w:r w:rsidRPr="00351B7D">
        <w:rPr>
          <w:rFonts w:asciiTheme="minorBidi" w:hAnsiTheme="minorBidi"/>
          <w:rtl/>
        </w:rPr>
        <w:t xml:space="preserve">אך סיים שם המרדכי וז"ל- "עיין פרק המגרש תשובת הר"ם". ותשובה זו שמדבר עליה היא בסי' תנ"א (מסכת גיטין), ושם הביא את דברי מהר"ם ותשובות מיימוניות ופסק כוותייהו. </w:t>
      </w:r>
    </w:p>
  </w:footnote>
  <w:footnote w:id="500">
    <w:p w14:paraId="1114EE0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הבין הב"ש </w:t>
      </w:r>
      <w:r w:rsidRPr="00351B7D">
        <w:rPr>
          <w:rFonts w:asciiTheme="minorBidi" w:hAnsiTheme="minorBidi"/>
          <w:sz w:val="16"/>
          <w:szCs w:val="16"/>
          <w:rtl/>
        </w:rPr>
        <w:t xml:space="preserve">(סקי"ב) </w:t>
      </w:r>
      <w:r w:rsidRPr="00351B7D">
        <w:rPr>
          <w:rFonts w:asciiTheme="minorBidi" w:hAnsiTheme="minorBidi"/>
          <w:rtl/>
        </w:rPr>
        <w:t xml:space="preserve">בדעת הרמב"ם </w:t>
      </w:r>
      <w:r w:rsidRPr="00351B7D">
        <w:rPr>
          <w:rFonts w:asciiTheme="minorBidi" w:hAnsiTheme="minorBidi"/>
          <w:sz w:val="16"/>
          <w:szCs w:val="16"/>
          <w:rtl/>
        </w:rPr>
        <w:t xml:space="preserve">(פי"ז מהל' עדות ה"א) </w:t>
      </w:r>
      <w:r w:rsidRPr="00351B7D">
        <w:rPr>
          <w:rFonts w:asciiTheme="minorBidi" w:hAnsiTheme="minorBidi"/>
          <w:rtl/>
        </w:rPr>
        <w:t xml:space="preserve">רמ"ה </w:t>
      </w:r>
      <w:r w:rsidRPr="00351B7D">
        <w:rPr>
          <w:rFonts w:asciiTheme="minorBidi" w:hAnsiTheme="minorBidi"/>
          <w:sz w:val="16"/>
          <w:szCs w:val="16"/>
          <w:rtl/>
        </w:rPr>
        <w:t>(יד רמ"ה סנהדרין לז:)</w:t>
      </w:r>
      <w:r w:rsidRPr="00351B7D">
        <w:rPr>
          <w:rFonts w:asciiTheme="minorBidi" w:hAnsiTheme="minorBidi"/>
          <w:rtl/>
        </w:rPr>
        <w:t xml:space="preserve"> וטור </w:t>
      </w:r>
      <w:r w:rsidRPr="00351B7D">
        <w:rPr>
          <w:rFonts w:asciiTheme="minorBidi" w:hAnsiTheme="minorBidi"/>
          <w:sz w:val="16"/>
          <w:szCs w:val="16"/>
          <w:rtl/>
        </w:rPr>
        <w:t>(חו"מ סי' צ סע' כד)</w:t>
      </w:r>
      <w:r w:rsidRPr="00351B7D">
        <w:rPr>
          <w:rFonts w:asciiTheme="minorBidi" w:hAnsiTheme="minorBidi"/>
          <w:rtl/>
        </w:rPr>
        <w:t xml:space="preserve">, והסיק דבר זה משום שעדים בדיני ממונות מתקיימים אף בלא ראיה אלא בידיעה בלבד </w:t>
      </w:r>
      <w:r w:rsidRPr="00351B7D">
        <w:rPr>
          <w:rFonts w:asciiTheme="minorBidi" w:hAnsiTheme="minorBidi"/>
          <w:color w:val="FF0000"/>
          <w:sz w:val="14"/>
          <w:szCs w:val="14"/>
          <w:rtl/>
        </w:rPr>
        <w:t>(הגר"א</w:t>
      </w:r>
      <w:r w:rsidRPr="00351B7D">
        <w:rPr>
          <w:rFonts w:asciiTheme="minorBidi" w:hAnsiTheme="minorBidi"/>
          <w:color w:val="FF0000"/>
          <w:sz w:val="12"/>
          <w:szCs w:val="12"/>
          <w:rtl/>
        </w:rPr>
        <w:t xml:space="preserve"> [סקט"ז]</w:t>
      </w:r>
      <w:r w:rsidRPr="00351B7D">
        <w:rPr>
          <w:rFonts w:asciiTheme="minorBidi" w:hAnsiTheme="minorBidi"/>
          <w:color w:val="FF0000"/>
          <w:sz w:val="14"/>
          <w:szCs w:val="14"/>
          <w:rtl/>
        </w:rPr>
        <w:t xml:space="preserve"> חולק ע"ז)</w:t>
      </w:r>
      <w:r w:rsidRPr="00351B7D">
        <w:rPr>
          <w:rFonts w:asciiTheme="minorBidi" w:hAnsiTheme="minorBidi"/>
          <w:rtl/>
        </w:rPr>
        <w:t>, וכיון שקדושין דמיא לדיני ממונות לגמרי</w:t>
      </w:r>
      <w:r w:rsidRPr="00351B7D">
        <w:rPr>
          <w:rFonts w:asciiTheme="minorBidi" w:hAnsiTheme="minorBidi"/>
          <w:sz w:val="16"/>
          <w:szCs w:val="16"/>
          <w:rtl/>
        </w:rPr>
        <w:t xml:space="preserve"> </w:t>
      </w:r>
      <w:r w:rsidRPr="00351B7D">
        <w:rPr>
          <w:rFonts w:asciiTheme="minorBidi" w:hAnsiTheme="minorBidi"/>
          <w:rtl/>
        </w:rPr>
        <w:t>אז גם בקדושין מקיימים את העדים בידיעה בלבד. והאבנ"מ</w:t>
      </w:r>
      <w:r w:rsidRPr="00351B7D">
        <w:rPr>
          <w:rFonts w:asciiTheme="minorBidi" w:hAnsiTheme="minorBidi"/>
          <w:sz w:val="16"/>
          <w:szCs w:val="16"/>
          <w:rtl/>
        </w:rPr>
        <w:t xml:space="preserve"> </w:t>
      </w:r>
      <w:r w:rsidRPr="00351B7D">
        <w:rPr>
          <w:rFonts w:asciiTheme="minorBidi" w:hAnsiTheme="minorBidi"/>
          <w:sz w:val="14"/>
          <w:szCs w:val="14"/>
          <w:rtl/>
        </w:rPr>
        <w:t xml:space="preserve">(סק"ח) </w:t>
      </w:r>
      <w:r w:rsidRPr="00351B7D">
        <w:rPr>
          <w:rFonts w:asciiTheme="minorBidi" w:hAnsiTheme="minorBidi"/>
          <w:rtl/>
        </w:rPr>
        <w:t>הקשה שהרי גם לרשב"א ידיעה כראיה כדמוכח מעדי ביאה שאינם רואים את הביאה אלא רק יודעים שיש ביאה ע"י שרואים את הייחוד, ואם גם לו יש ידיעה כראיה משמע דדוקא בכה"ג דאש בנעורת וכו' הידיעה מחליפה את הראיה, משא"כ בשאר, אלא כל שלא ראו הנתינה אפי' ידיעה ליכא דיכול להיות שלא הגיע לידה.</w:t>
      </w:r>
    </w:p>
  </w:footnote>
  <w:footnote w:id="501">
    <w:p w14:paraId="6AFD7A7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מהר"ם </w:t>
      </w:r>
      <w:r w:rsidRPr="00351B7D">
        <w:rPr>
          <w:rFonts w:asciiTheme="minorBidi" w:hAnsiTheme="minorBidi"/>
          <w:sz w:val="16"/>
          <w:szCs w:val="16"/>
          <w:rtl/>
        </w:rPr>
        <w:t>([ד"פ סי' תתקצג] העתיקוהו התשובות מיימוניות (סוף נשים סי' א) והמרדכי (גיטין סי' תנ"א))</w:t>
      </w:r>
      <w:r w:rsidRPr="00351B7D">
        <w:rPr>
          <w:rFonts w:asciiTheme="minorBidi" w:hAnsiTheme="minorBidi"/>
          <w:rtl/>
        </w:rPr>
        <w:t xml:space="preserve"> ורשב"א </w:t>
      </w:r>
      <w:r w:rsidRPr="00351B7D">
        <w:rPr>
          <w:rFonts w:asciiTheme="minorBidi" w:hAnsiTheme="minorBidi"/>
          <w:sz w:val="16"/>
          <w:szCs w:val="16"/>
          <w:rtl/>
        </w:rPr>
        <w:t>(ח"א סי' אלף קצ"ג, ובסי' תש"פ)</w:t>
      </w:r>
      <w:r w:rsidRPr="00351B7D">
        <w:rPr>
          <w:rFonts w:asciiTheme="minorBidi" w:hAnsiTheme="minorBidi"/>
          <w:rtl/>
        </w:rPr>
        <w:t>.</w:t>
      </w:r>
    </w:p>
  </w:footnote>
  <w:footnote w:id="502">
    <w:p w14:paraId="194FBF8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משום דאיכא למימר אש בנעורת ואינה שורפת, ועוד שלבו גס בה, ועוד שאי אפשר לראות כמכחול בשפופרת דגנאי הוא, ולכך בעדי יחוד תלינן דודאי בא עליה, דרכ"מ (אות ד).</w:t>
      </w:r>
    </w:p>
  </w:footnote>
  <w:footnote w:id="503">
    <w:p w14:paraId="2372B26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החלוקה בין דעת הרא"ם לבין מהר"ם וסיעתו נעשתה ע"פ דברי </w:t>
      </w:r>
      <w:r w:rsidRPr="00351B7D">
        <w:rPr>
          <w:rFonts w:asciiTheme="minorBidi" w:hAnsiTheme="minorBidi"/>
          <w:u w:val="single"/>
          <w:rtl/>
        </w:rPr>
        <w:t>הדרכ"מ</w:t>
      </w:r>
      <w:r w:rsidRPr="00351B7D">
        <w:rPr>
          <w:rFonts w:asciiTheme="minorBidi" w:hAnsiTheme="minorBidi"/>
          <w:rtl/>
        </w:rPr>
        <w:t xml:space="preserve"> </w:t>
      </w:r>
      <w:r w:rsidRPr="00351B7D">
        <w:rPr>
          <w:rFonts w:asciiTheme="minorBidi" w:hAnsiTheme="minorBidi"/>
          <w:sz w:val="16"/>
          <w:szCs w:val="16"/>
          <w:rtl/>
        </w:rPr>
        <w:t xml:space="preserve">(אות ד) </w:t>
      </w:r>
      <w:r w:rsidRPr="00351B7D">
        <w:rPr>
          <w:rFonts w:asciiTheme="minorBidi" w:hAnsiTheme="minorBidi"/>
          <w:u w:val="single"/>
          <w:rtl/>
        </w:rPr>
        <w:t>והב"ש</w:t>
      </w:r>
      <w:r w:rsidRPr="00351B7D">
        <w:rPr>
          <w:rFonts w:asciiTheme="minorBidi" w:hAnsiTheme="minorBidi"/>
          <w:rtl/>
        </w:rPr>
        <w:t xml:space="preserve"> </w:t>
      </w:r>
      <w:r w:rsidRPr="00351B7D">
        <w:rPr>
          <w:rFonts w:asciiTheme="minorBidi" w:hAnsiTheme="minorBidi"/>
          <w:sz w:val="16"/>
          <w:szCs w:val="16"/>
          <w:rtl/>
        </w:rPr>
        <w:t>(סקי"ב)</w:t>
      </w:r>
      <w:r w:rsidRPr="00351B7D">
        <w:rPr>
          <w:rFonts w:asciiTheme="minorBidi" w:hAnsiTheme="minorBidi"/>
          <w:rtl/>
        </w:rPr>
        <w:t xml:space="preserve">. אך הפת"ש </w:t>
      </w:r>
      <w:r w:rsidRPr="00351B7D">
        <w:rPr>
          <w:rFonts w:asciiTheme="minorBidi" w:hAnsiTheme="minorBidi"/>
          <w:sz w:val="16"/>
          <w:szCs w:val="16"/>
          <w:rtl/>
        </w:rPr>
        <w:t xml:space="preserve">(סקי"ב) </w:t>
      </w:r>
      <w:r w:rsidRPr="00351B7D">
        <w:rPr>
          <w:rFonts w:asciiTheme="minorBidi" w:hAnsiTheme="minorBidi"/>
          <w:rtl/>
        </w:rPr>
        <w:t xml:space="preserve">הביא את </w:t>
      </w:r>
      <w:r w:rsidRPr="00351B7D">
        <w:rPr>
          <w:rFonts w:asciiTheme="minorBidi" w:hAnsiTheme="minorBidi"/>
          <w:u w:val="single"/>
          <w:rtl/>
        </w:rPr>
        <w:t>החות יאיר</w:t>
      </w:r>
      <w:r w:rsidRPr="00351B7D">
        <w:rPr>
          <w:rFonts w:asciiTheme="minorBidi" w:hAnsiTheme="minorBidi"/>
          <w:rtl/>
        </w:rPr>
        <w:t xml:space="preserve"> </w:t>
      </w:r>
      <w:r w:rsidRPr="00351B7D">
        <w:rPr>
          <w:rFonts w:asciiTheme="minorBidi" w:hAnsiTheme="minorBidi"/>
          <w:sz w:val="16"/>
          <w:szCs w:val="16"/>
          <w:rtl/>
        </w:rPr>
        <w:t xml:space="preserve">(סי' יט) </w:t>
      </w:r>
      <w:r w:rsidRPr="00351B7D">
        <w:rPr>
          <w:rFonts w:asciiTheme="minorBidi" w:hAnsiTheme="minorBidi"/>
          <w:rtl/>
        </w:rPr>
        <w:t xml:space="preserve">שכ' דדוקא בנידון דהרשב"א שם שב' עדים היו עומדין אחורי הגדר ושמעו לשון הקדושין שקידש את פלונית באתרוג ולא ראו הנתינה דאע"פ שאח"כ יוצא האתרוג מתחת ידה אינן קדושין דמאן לימא לן שנתן לה בשעת אמירה דילמא זמן מה בתר הכי יותר מכדי דבור או לא נתן כלל בידה רק הניחו ולקחה וכה"ג אנפי טובא כו', משא"כ בחופה הנעשית לפני קהל ועדה נ"ל דסגי בשמיעה להיות עד נאמן אם היא יוצאת וטבעת קדושין בידה כו'. וכ' הפת"ש דעפ"ז הרא"ם לא פליג על הרשב"א רק דהרא"ם מיירי באופן שאין שום ספק והוי כעדי יחוד. וכ"כ </w:t>
      </w:r>
      <w:r w:rsidRPr="00351B7D">
        <w:rPr>
          <w:rFonts w:asciiTheme="minorBidi" w:hAnsiTheme="minorBidi"/>
          <w:u w:val="single"/>
          <w:rtl/>
        </w:rPr>
        <w:t>המקנה</w:t>
      </w:r>
      <w:r w:rsidRPr="00351B7D">
        <w:rPr>
          <w:rFonts w:asciiTheme="minorBidi" w:hAnsiTheme="minorBidi"/>
          <w:rtl/>
        </w:rPr>
        <w:t xml:space="preserve">, וכ' דאין כאן פלוגתא, דרשב"א מיירי בענין שיש להסתפק שנתן לה במתנה אף ששמעו שאמר לה שתתקדש לו בזה אולי חזר בו ונתן במתנה, והמרדכי מיירי באומדנא דמוכח טפי כגון שעמדו אצל המקדש והמתקדשת וראו הטבעת בידו ושמעו שאמר האמ"ל בזה אלא שהעלימו עין בשעת נתינה ומיד ראו הטבעת בידה בענין שא"א לה לומר שלא רצתה לקבל בתורת קדושין ונתן לה במתנה ידיעה כזו ודאי מהני. וכ"כ </w:t>
      </w:r>
      <w:r w:rsidRPr="00351B7D">
        <w:rPr>
          <w:rFonts w:asciiTheme="minorBidi" w:hAnsiTheme="minorBidi"/>
          <w:u w:val="single"/>
          <w:rtl/>
        </w:rPr>
        <w:t>הבית מאיר</w:t>
      </w:r>
      <w:r w:rsidRPr="00351B7D">
        <w:rPr>
          <w:rFonts w:asciiTheme="minorBidi" w:hAnsiTheme="minorBidi"/>
          <w:rtl/>
        </w:rPr>
        <w:t xml:space="preserve">. וגם </w:t>
      </w:r>
      <w:r w:rsidRPr="00351B7D">
        <w:rPr>
          <w:rFonts w:asciiTheme="minorBidi" w:hAnsiTheme="minorBidi"/>
          <w:u w:val="single"/>
          <w:rtl/>
        </w:rPr>
        <w:t>החת"ס</w:t>
      </w:r>
      <w:r w:rsidRPr="00351B7D">
        <w:rPr>
          <w:rFonts w:asciiTheme="minorBidi" w:hAnsiTheme="minorBidi"/>
          <w:rtl/>
        </w:rPr>
        <w:t xml:space="preserve"> </w:t>
      </w:r>
      <w:r w:rsidRPr="00351B7D">
        <w:rPr>
          <w:rFonts w:asciiTheme="minorBidi" w:hAnsiTheme="minorBidi"/>
          <w:sz w:val="16"/>
          <w:szCs w:val="16"/>
          <w:rtl/>
        </w:rPr>
        <w:t xml:space="preserve">(ח"ג סי' קא) </w:t>
      </w:r>
      <w:r w:rsidRPr="00351B7D">
        <w:rPr>
          <w:rFonts w:asciiTheme="minorBidi" w:hAnsiTheme="minorBidi"/>
          <w:rtl/>
        </w:rPr>
        <w:t>האריך לתמוה על הב"ש, וכ' ג"כ דהרשב"א מודה בכעין הך דמרדכי שלא היה בחדר כ"א המקדש והיא וראו הטבעת על ידו ומיד ראו אותו הטבעת נתון על אצבעה פשיטא דדומה יותר לעדי יחוד וביאה מאשר דומה עידי הסבלונות, ואף דאכתי איכא ספק שמא אחר מתן מעות היה האמירה כו' י"ל חזקה כל שנתן לה וגם שמעו האמירה מסתמא כדינא עשו וכמו גבי עדי יחוד.</w:t>
      </w:r>
      <w:r w:rsidRPr="00351B7D">
        <w:rPr>
          <w:rFonts w:asciiTheme="minorBidi" w:hAnsiTheme="minorBidi"/>
          <w:sz w:val="16"/>
          <w:szCs w:val="16"/>
          <w:rtl/>
        </w:rPr>
        <w:t xml:space="preserve"> (ויש להעיר שגם מדברי הב"ש </w:t>
      </w:r>
      <w:r w:rsidRPr="00351B7D">
        <w:rPr>
          <w:rFonts w:asciiTheme="minorBidi" w:hAnsiTheme="minorBidi"/>
          <w:sz w:val="14"/>
          <w:szCs w:val="14"/>
          <w:rtl/>
        </w:rPr>
        <w:t xml:space="preserve">[סקי"ג] </w:t>
      </w:r>
      <w:r w:rsidRPr="00351B7D">
        <w:rPr>
          <w:rFonts w:asciiTheme="minorBidi" w:hAnsiTheme="minorBidi"/>
          <w:sz w:val="16"/>
          <w:szCs w:val="16"/>
          <w:rtl/>
        </w:rPr>
        <w:t>משמע שיש אופן שהקדושין קיימים אע"פ שהעדים לא ראו הנתינה ממש, כגון ההוא שקידש אישה ע"י נתינת טבעת לידה שנמצאת בחור של הקיר עיי"ש, וכן משמע מלשון הרמ"א, וא"כ כו"ע מודי בזה רק שהדבר נתון לבחינת הדיין כיצד המציאות וכמה וודאות יש במקרה)</w:t>
      </w:r>
      <w:r w:rsidRPr="00351B7D">
        <w:rPr>
          <w:rFonts w:asciiTheme="minorBidi" w:hAnsiTheme="minorBidi"/>
          <w:rtl/>
        </w:rPr>
        <w:t xml:space="preserve"> </w:t>
      </w:r>
    </w:p>
  </w:footnote>
  <w:footnote w:id="504">
    <w:p w14:paraId="0231BFA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אפי' אם העדים מעצמן לא כיוונו לעדות רק באו למיחזי- הוי עדים ומקודשת, רשב"א</w:t>
      </w:r>
      <w:r w:rsidRPr="00351B7D">
        <w:rPr>
          <w:rFonts w:asciiTheme="minorBidi" w:hAnsiTheme="minorBidi"/>
          <w:sz w:val="16"/>
          <w:szCs w:val="16"/>
          <w:rtl/>
        </w:rPr>
        <w:t xml:space="preserve"> (סי' אלף ע"ג)</w:t>
      </w:r>
      <w:r w:rsidRPr="00351B7D">
        <w:rPr>
          <w:rFonts w:asciiTheme="minorBidi" w:hAnsiTheme="minorBidi"/>
          <w:rtl/>
        </w:rPr>
        <w:t>, וכ"פ בשו"ע</w:t>
      </w:r>
      <w:r w:rsidRPr="00351B7D">
        <w:rPr>
          <w:rFonts w:asciiTheme="minorBidi" w:hAnsiTheme="minorBidi"/>
          <w:sz w:val="16"/>
          <w:szCs w:val="16"/>
          <w:rtl/>
        </w:rPr>
        <w:t xml:space="preserve"> (חו"מ סי' לו ס"א)</w:t>
      </w:r>
      <w:r w:rsidRPr="00351B7D">
        <w:rPr>
          <w:rFonts w:asciiTheme="minorBidi" w:hAnsiTheme="minorBidi"/>
          <w:rtl/>
        </w:rPr>
        <w:t xml:space="preserve">, וכ"כ הבית מאיר </w:t>
      </w:r>
      <w:r w:rsidRPr="00351B7D">
        <w:rPr>
          <w:rFonts w:asciiTheme="minorBidi" w:hAnsiTheme="minorBidi"/>
          <w:sz w:val="16"/>
          <w:szCs w:val="16"/>
          <w:rtl/>
        </w:rPr>
        <w:t>(והגם דהפנמ"א [ח"ג סי' כ"ה] כ' דאם אמר לא נתכוונתי אין בעדותו ממש, ושכ"כ בתוס' ישנים [כריתות יב: בד"ה לא נתכוונתי] מ"מ אין זה עיקר להלכה, וגם החת"ס [ס"ס ק'] כ' דלא כהפנ"מ, וחילק בדברי התוס' ישנים דאם באו בזמן מועט אחר המעשה הוו עדים אפי' לא כיוונו לעדות, אבל אם באו זמן רב אח"כ להעיד בדבר ההוא אין מקבלין עדותן, מש"ה דקדקו ת"י שם לכתוב 'אם באו אחר זמן')</w:t>
      </w:r>
      <w:r w:rsidRPr="00351B7D">
        <w:rPr>
          <w:rFonts w:asciiTheme="minorBidi" w:hAnsiTheme="minorBidi"/>
          <w:rtl/>
        </w:rPr>
        <w:t>, והוסיף הבית מאיר דראוי להזמין עדים לכתח' לקדושין כמו לגיטין, מטעם שעל הרוב עומדים בשעת קדושין נמי קרובים ויש לחוש למש"כ הריטב"א</w:t>
      </w:r>
      <w:r w:rsidRPr="00351B7D">
        <w:rPr>
          <w:rFonts w:asciiTheme="minorBidi" w:hAnsiTheme="minorBidi"/>
          <w:sz w:val="16"/>
          <w:szCs w:val="16"/>
          <w:rtl/>
        </w:rPr>
        <w:t xml:space="preserve"> (קדושין מג.) </w:t>
      </w:r>
      <w:r w:rsidRPr="00351B7D">
        <w:rPr>
          <w:rFonts w:asciiTheme="minorBidi" w:hAnsiTheme="minorBidi"/>
          <w:rtl/>
        </w:rPr>
        <w:t xml:space="preserve">בשם מורו דגבי קדושין יש סברא לומר דאף דלמיחזי אתו עדות כולם בטלה, ומסיק שם דיש להחמיר כדעתו, וכן במכות </w:t>
      </w:r>
      <w:r w:rsidRPr="00351B7D">
        <w:rPr>
          <w:rFonts w:asciiTheme="minorBidi" w:hAnsiTheme="minorBidi"/>
          <w:sz w:val="16"/>
          <w:szCs w:val="16"/>
          <w:rtl/>
        </w:rPr>
        <w:t xml:space="preserve">(ו.) </w:t>
      </w:r>
      <w:r w:rsidRPr="00351B7D">
        <w:rPr>
          <w:rFonts w:asciiTheme="minorBidi" w:hAnsiTheme="minorBidi"/>
          <w:rtl/>
        </w:rPr>
        <w:t xml:space="preserve">הביא הריטב"א שהוא מנהג קדום לייחד ב' עדים לקדושין </w:t>
      </w:r>
      <w:r w:rsidRPr="00351B7D">
        <w:rPr>
          <w:rFonts w:asciiTheme="minorBidi" w:hAnsiTheme="minorBidi"/>
          <w:sz w:val="16"/>
          <w:szCs w:val="16"/>
          <w:rtl/>
        </w:rPr>
        <w:t>(מטעם שחוששין לפרש"י דהיינו הדעה ראשונה בחו"מ סי' לו, דבכיוון לחוד בלא צירוף ההגדה בב"ד עדות כולם בטלה, ושמא יכוון אחד מהקרובים להעיד, וכן מסיק הדרישה שם שנכון לעשות כן, וגם הש"ך שם סק"א כ' בפשיטות דלדידן האידנא פשיטא דכשר דהא מזמנים עדים כו' ואפשר דהש"ך כוון להמנהג שהובא ברמ"א סי' לא ס"ב שנוהגים תחת החופה לשאול לעדים כו' דזה הוי כמזמין אותם לעדי קדושין אבל לע"ד יותר הגון לייחד אותם שיכוונו להעיד על עיקר הקדושין)</w:t>
      </w:r>
      <w:r w:rsidRPr="00351B7D">
        <w:rPr>
          <w:rFonts w:asciiTheme="minorBidi" w:hAnsiTheme="minorBidi"/>
          <w:rtl/>
        </w:rPr>
        <w:t xml:space="preserve"> וכמדומה שכן מנהג אשכנז. וכ"כ קצוה"ח </w:t>
      </w:r>
      <w:r w:rsidRPr="00351B7D">
        <w:rPr>
          <w:rFonts w:asciiTheme="minorBidi" w:hAnsiTheme="minorBidi"/>
          <w:sz w:val="16"/>
          <w:szCs w:val="16"/>
          <w:rtl/>
        </w:rPr>
        <w:t>(סי' לו סק"א)</w:t>
      </w:r>
      <w:r w:rsidRPr="00351B7D">
        <w:rPr>
          <w:rFonts w:asciiTheme="minorBidi" w:hAnsiTheme="minorBidi"/>
          <w:rtl/>
        </w:rPr>
        <w:t>.</w:t>
      </w:r>
    </w:p>
  </w:footnote>
  <w:footnote w:id="505">
    <w:p w14:paraId="49932F8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דשמא בעניין אחר בא לידה שלא בקדושין וכמו בממון דעדות ראיה בעינן וז"ש ואין הולכים כו' כמו בממון, גר"א (סקט"ז).</w:t>
      </w:r>
    </w:p>
  </w:footnote>
  <w:footnote w:id="506">
    <w:p w14:paraId="2E934C8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משמע שאם היא מודה ששמעה וקבלה לשם קידושין מהני אף שהחור צר וא"א לראות אותה וגם היא לא ראתה העדי' מ"מ אם היא טוענת שידעה שהיו שם עדים ושמעה קול העדי' קודם שנתנו לה הקידושין וגם העדים ראו אותה לפני הקידושין ובשעת הקדושין שמעו קולה </w:t>
      </w:r>
      <w:r w:rsidRPr="00351B7D">
        <w:rPr>
          <w:rFonts w:asciiTheme="minorBidi" w:hAnsiTheme="minorBidi"/>
          <w:sz w:val="16"/>
          <w:szCs w:val="16"/>
          <w:rtl/>
        </w:rPr>
        <w:t>(או ראו שנותן לתוך ידה, ב"ש)</w:t>
      </w:r>
      <w:r w:rsidRPr="00351B7D">
        <w:rPr>
          <w:rFonts w:asciiTheme="minorBidi" w:hAnsiTheme="minorBidi"/>
          <w:rtl/>
        </w:rPr>
        <w:t xml:space="preserve"> שמיעה כראיה לענין זה דהא עידי יחוד הוי כעידי ביאה אף שלא ראו הביאה ממש, ח"מ (סק"ט) וב"ש (סקי"ג). והוסיף הב"ש דלא דמי לדין שבסמוך דלא מהני, משום [ד]שם לא ראו הנתינה כלל אבל כאן ראו הנתינה והיה קידושין, אלא כשאומרת שלא שמעה נאמנת במיגו, וכ' בתשו' רשב"א (אלף קע"ט) אפילו אם העדים אומרים דאפשר לשמוע אינו אלא חששא כיון דלא אמרו בודאי שמעה, משום הכי נאמנת במיגו.</w:t>
      </w:r>
    </w:p>
  </w:footnote>
  <w:footnote w:id="507">
    <w:p w14:paraId="63EB928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במקום שצריך דרישה וחקירה כמ"ש בתוספתא שם, והיינו בדין מרומה כמו שכתב למטה, גר"א (סקי"ח). אך הב"ש (סקי"ד) כ' דלכאורה תמוה מש"כ הרמ"א 'עדות שלא נחקר...' דדוחק לומר אם היא מכחשת אז בעינן דרישה וחקירה.</w:t>
      </w:r>
    </w:p>
  </w:footnote>
  <w:footnote w:id="508">
    <w:p w14:paraId="5F61742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כל שאמר העד בפני ב"ד 'איני יודע' אינו יכול לחזור ולומר 'נזכרתי ויודע אני', כמבואר בשבועות (לא:), רשב"א</w:t>
      </w:r>
      <w:r w:rsidRPr="00351B7D">
        <w:rPr>
          <w:rFonts w:asciiTheme="minorBidi" w:hAnsiTheme="minorBidi"/>
          <w:sz w:val="14"/>
          <w:szCs w:val="14"/>
          <w:rtl/>
        </w:rPr>
        <w:t xml:space="preserve"> </w:t>
      </w:r>
      <w:r w:rsidRPr="00351B7D">
        <w:rPr>
          <w:rFonts w:asciiTheme="minorBidi" w:hAnsiTheme="minorBidi"/>
          <w:sz w:val="16"/>
          <w:szCs w:val="16"/>
          <w:rtl/>
        </w:rPr>
        <w:t>(הביאו הב"י)</w:t>
      </w:r>
      <w:r w:rsidRPr="00351B7D">
        <w:rPr>
          <w:rFonts w:asciiTheme="minorBidi" w:hAnsiTheme="minorBidi"/>
          <w:rtl/>
        </w:rPr>
        <w:t>.</w:t>
      </w:r>
    </w:p>
  </w:footnote>
  <w:footnote w:id="509">
    <w:p w14:paraId="38B1C29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הביאה הב"י </w:t>
      </w:r>
      <w:r w:rsidRPr="00351B7D">
        <w:rPr>
          <w:rFonts w:asciiTheme="minorBidi" w:hAnsiTheme="minorBidi"/>
          <w:sz w:val="16"/>
          <w:szCs w:val="16"/>
          <w:rtl/>
        </w:rPr>
        <w:t>(והיא בתשובות הרשב"א שנדפסו עם ספר 'אדעתא דרבנן' למהרש"א אלפנדרי סי' ח)</w:t>
      </w:r>
      <w:r w:rsidRPr="00351B7D">
        <w:rPr>
          <w:rFonts w:asciiTheme="minorBidi" w:hAnsiTheme="minorBidi"/>
          <w:rtl/>
        </w:rPr>
        <w:t>.</w:t>
      </w:r>
    </w:p>
  </w:footnote>
  <w:footnote w:id="510">
    <w:p w14:paraId="16835DE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אם הוא מקויים הרי אלו ספק קדושין, ט"ז (סק"ח). </w:t>
      </w:r>
    </w:p>
  </w:footnote>
  <w:footnote w:id="511">
    <w:p w14:paraId="48B5ECC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אם הוציא א' שטר קידושין, ועדים אומרים שביקש מהם לזייף שטר קידושין פעם אחת, מחזיקים גם את כתב זה שמזויף, ואם הוציא קול שקידש אותה ואומר דיש לו עדים ויצאו מעיר ולא הרחיקו מותרת ולא חיישינן לדבריו אפילו אם אומר דיבואו היום או מחר אפילו אם אומר פלוני ופלוני הם עידיו ואפילו אם היא משודכת שלו לא משגיחין בדבריו, כמ"ש בתשו' רמ"א סימן ל', ומחמת קול אין חשש כשאינו קול מוחזק כמ"ש לקמן סימן מ"ו, מיהו למעשה הכל מסור לחקירת הדיינים וע' בב"י, ב"ש (סקט"ו). וכ' בתשו' שב יעקב</w:t>
      </w:r>
      <w:r w:rsidRPr="00351B7D">
        <w:rPr>
          <w:rFonts w:asciiTheme="minorBidi" w:hAnsiTheme="minorBidi"/>
          <w:sz w:val="16"/>
          <w:szCs w:val="16"/>
          <w:rtl/>
        </w:rPr>
        <w:t xml:space="preserve"> (סי' כב, הביאו הפת"ש סקט"ז) </w:t>
      </w:r>
      <w:r w:rsidRPr="00351B7D">
        <w:rPr>
          <w:rFonts w:asciiTheme="minorBidi" w:hAnsiTheme="minorBidi"/>
          <w:rtl/>
        </w:rPr>
        <w:t>שמכיון דעיקר סמיכות רמ"א בתשו' שם הוא על תשו' ריב"ש</w:t>
      </w:r>
      <w:r w:rsidRPr="00351B7D">
        <w:rPr>
          <w:rFonts w:asciiTheme="minorBidi" w:hAnsiTheme="minorBidi"/>
          <w:sz w:val="16"/>
          <w:szCs w:val="16"/>
          <w:rtl/>
        </w:rPr>
        <w:t xml:space="preserve"> (סי' קכג)</w:t>
      </w:r>
      <w:r w:rsidRPr="00351B7D">
        <w:rPr>
          <w:rFonts w:asciiTheme="minorBidi" w:hAnsiTheme="minorBidi"/>
          <w:rtl/>
        </w:rPr>
        <w:t xml:space="preserve"> ושם משמע דהגיע זמנה להנשא, אז יש להסתפק אם הא דאמר דאינה צריכה להמתין בנשואין בשביל חששא זו, הוא משום שהגיע זמנה להינשא, דאז אפשר אפילו אם יש לפניה שידוך הגון ג"כ לא ידחה בשביל זה כי מי יודע מה יולד יום, משא"כ אם עדיין אין דרך נכון לפניה ולא תפסיד כלום בהמתנה זו אפשר הואיל דאיכא לברר ע"י שאלת פיהם של העדים צריכין לברר.</w:t>
      </w:r>
    </w:p>
  </w:footnote>
  <w:footnote w:id="512">
    <w:p w14:paraId="0648D52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אינו מכיר בעצמו אז צריך שיכיר לאשה בעד אחד אפילו עבד או שפחה או קרוב, המבי"ט (ח"ב סי' קי"ט).</w:t>
      </w:r>
    </w:p>
  </w:footnote>
  <w:footnote w:id="513">
    <w:p w14:paraId="3324EFC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הישועות יעקב דיש בידו חבילות ראיות דעיקר הוא שיהיה ברור להם ענין הקידושין ושבא לידה אף שאין יודעין מי הן ואין בזה ספק כלל דאף שהעדים לא הכירו אותה קדושין גמורים הם לכו"ע וחלילה לסמוך בזה על המבי"ט הנ"ל אף לעשותו סניף להיתר אחר.</w:t>
      </w:r>
    </w:p>
  </w:footnote>
  <w:footnote w:id="514">
    <w:p w14:paraId="2B0EDC1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והחוות יאיר</w:t>
      </w:r>
      <w:r w:rsidRPr="00351B7D">
        <w:rPr>
          <w:rFonts w:asciiTheme="minorBidi" w:hAnsiTheme="minorBidi"/>
          <w:color w:val="000000"/>
          <w:sz w:val="16"/>
          <w:szCs w:val="16"/>
          <w:rtl/>
        </w:rPr>
        <w:t xml:space="preserve"> (סי' יט)</w:t>
      </w:r>
      <w:r w:rsidRPr="00351B7D">
        <w:rPr>
          <w:rFonts w:asciiTheme="minorBidi" w:hAnsiTheme="minorBidi"/>
          <w:rtl/>
        </w:rPr>
        <w:t xml:space="preserve"> נשאל ג"כ בשאלה כזו ממש והשיב שהוא חוכך להחמיר להצריך קדושין שנית כיון שייחדו את העד, והוא ע"פ מה דהש"ך </w:t>
      </w:r>
      <w:r w:rsidRPr="00351B7D">
        <w:rPr>
          <w:rFonts w:asciiTheme="minorBidi" w:hAnsiTheme="minorBidi"/>
          <w:sz w:val="16"/>
          <w:szCs w:val="16"/>
          <w:rtl/>
        </w:rPr>
        <w:t xml:space="preserve">(חו"מ סי' לו סק"ח) </w:t>
      </w:r>
      <w:r w:rsidRPr="00351B7D">
        <w:rPr>
          <w:rFonts w:asciiTheme="minorBidi" w:hAnsiTheme="minorBidi"/>
          <w:rtl/>
        </w:rPr>
        <w:t>הכריע כהרמב"ם וסיעתו ולא יהא אלא ספק שקול ויש להחמיר בדבר שאפשר לתקן. אך הפת"ש כ' שחלקו עליו הרבה אחרונים.</w:t>
      </w:r>
    </w:p>
  </w:footnote>
  <w:footnote w:id="515">
    <w:p w14:paraId="741E266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ולפי מה דמסיק השתא דבנ"ד אין עליהם דין עדים אלא דין דיינים נדחה גם הצד הראשון לפסול שטר הזה כיון שאין מבואר בו זמן כו' ולא הוצרך לעיל להאריך בדין עדות שאי אתה יכול להזימה רק לפום מה דלא אסיק אדעתא סברא זו, פת"ש.</w:t>
      </w:r>
    </w:p>
  </w:footnote>
  <w:footnote w:id="516">
    <w:p w14:paraId="43B5667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דבעינן רשע דחמס, כדכתיב (שמות כג) אל תשת וגו' עד חמס, רש"י.</w:t>
      </w:r>
    </w:p>
  </w:footnote>
  <w:footnote w:id="517">
    <w:p w14:paraId="21298E1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בגי' הרי"ף נוסף כאן- "התם יצרו תקפו".</w:t>
      </w:r>
    </w:p>
  </w:footnote>
  <w:footnote w:id="518">
    <w:p w14:paraId="523E046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בגי' הרי"ף נוסף כאן- "בין לאפוקי בין לעיולי", וכך היא גיר' הרא"ש </w:t>
      </w:r>
      <w:r w:rsidRPr="00351B7D">
        <w:rPr>
          <w:rFonts w:asciiTheme="minorBidi" w:hAnsiTheme="minorBidi"/>
          <w:sz w:val="16"/>
          <w:szCs w:val="16"/>
          <w:rtl/>
        </w:rPr>
        <w:t xml:space="preserve">(סי' יג) </w:t>
      </w:r>
      <w:r w:rsidRPr="00351B7D">
        <w:rPr>
          <w:rFonts w:asciiTheme="minorBidi" w:hAnsiTheme="minorBidi"/>
          <w:rtl/>
        </w:rPr>
        <w:t xml:space="preserve">וכך הם דברי הרמב"ם </w:t>
      </w:r>
      <w:r w:rsidRPr="00351B7D">
        <w:rPr>
          <w:rFonts w:asciiTheme="minorBidi" w:hAnsiTheme="minorBidi"/>
          <w:sz w:val="16"/>
          <w:szCs w:val="16"/>
          <w:rtl/>
        </w:rPr>
        <w:t>(פ"ד מאישות ה"ו)</w:t>
      </w:r>
      <w:r w:rsidRPr="00351B7D">
        <w:rPr>
          <w:rFonts w:asciiTheme="minorBidi" w:hAnsiTheme="minorBidi"/>
          <w:rtl/>
        </w:rPr>
        <w:t xml:space="preserve">, ודלא כספרים דידן דגרסי 'לא אמרן אלא לאפוקא אבל לעיולא לית לן בה' והיא גירסת בהעי"ט </w:t>
      </w:r>
      <w:r w:rsidRPr="00351B7D">
        <w:rPr>
          <w:rFonts w:asciiTheme="minorBidi" w:hAnsiTheme="minorBidi"/>
          <w:sz w:val="16"/>
          <w:szCs w:val="16"/>
          <w:rtl/>
        </w:rPr>
        <w:t>(אות ק קבלת העדות נז ע"ד)</w:t>
      </w:r>
      <w:r w:rsidRPr="00351B7D">
        <w:rPr>
          <w:rFonts w:asciiTheme="minorBidi" w:hAnsiTheme="minorBidi"/>
          <w:rtl/>
        </w:rPr>
        <w:t>, ע"פ ב"י.</w:t>
      </w:r>
    </w:p>
  </w:footnote>
  <w:footnote w:id="519">
    <w:p w14:paraId="303B54F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לגרשה, אבל להעיד לאשה שמת בעלה כשר להעיד דלא גרע מעבד ושפחה</w:t>
      </w:r>
      <w:r w:rsidRPr="00351B7D">
        <w:rPr>
          <w:rFonts w:asciiTheme="minorBidi" w:hAnsiTheme="minorBidi"/>
          <w:sz w:val="16"/>
          <w:szCs w:val="16"/>
          <w:rtl/>
        </w:rPr>
        <w:t xml:space="preserve"> (ע"פ ח"מ [סקט"ו])</w:t>
      </w:r>
      <w:r w:rsidRPr="00351B7D">
        <w:rPr>
          <w:rFonts w:asciiTheme="minorBidi" w:hAnsiTheme="minorBidi"/>
          <w:rtl/>
        </w:rPr>
        <w:t xml:space="preserve"> . אך רש"י פירש דפסול "לומר מת בעלה או גירשה, דניחא ליה לשוויה פנויה, דתיהוי שכיחא ליה".</w:t>
      </w:r>
    </w:p>
  </w:footnote>
  <w:footnote w:id="520">
    <w:p w14:paraId="6F3712A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לומר פלוני קידשה, רש"י.</w:t>
      </w:r>
      <w:r w:rsidRPr="00351B7D">
        <w:rPr>
          <w:rFonts w:asciiTheme="minorBidi" w:hAnsiTheme="minorBidi"/>
          <w:sz w:val="16"/>
          <w:szCs w:val="16"/>
          <w:rtl/>
        </w:rPr>
        <w:t xml:space="preserve"> (ומוכח דרש"י גרס כגירסתנו, וע' בתשו' מהר"ם פדוואה (סי' לז) שמביא בשם תשובת רש"י (סי' קעא) כגרסת ספרים דידן דהחשוד מהימן לעיולי)</w:t>
      </w:r>
    </w:p>
  </w:footnote>
  <w:footnote w:id="521">
    <w:p w14:paraId="2ED417E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דתיהוי אסורה עליה ולא תיהוי שכיחא ליה, רש"י.</w:t>
      </w:r>
    </w:p>
  </w:footnote>
  <w:footnote w:id="522">
    <w:p w14:paraId="19A563B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שהרי יש לשאול במה הוא שונה מאוכל נבלות לתיאבון או מההוא שרבעוהו לרצונו שהם פסולים לכו"ע.</w:t>
      </w:r>
    </w:p>
  </w:footnote>
  <w:footnote w:id="523">
    <w:p w14:paraId="78EF2DC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(סנהדרין ה:) </w:t>
      </w:r>
      <w:r w:rsidRPr="00351B7D">
        <w:rPr>
          <w:rFonts w:asciiTheme="minorBidi" w:hAnsiTheme="minorBidi"/>
          <w:rtl/>
        </w:rPr>
        <w:t>(רש"י</w:t>
      </w:r>
      <w:r w:rsidRPr="00351B7D">
        <w:rPr>
          <w:rFonts w:asciiTheme="minorBidi" w:hAnsiTheme="minorBidi"/>
          <w:sz w:val="16"/>
          <w:szCs w:val="16"/>
          <w:rtl/>
        </w:rPr>
        <w:t xml:space="preserve"> להב' הרא"ש והב"י</w:t>
      </w:r>
      <w:r w:rsidRPr="00351B7D">
        <w:rPr>
          <w:rFonts w:asciiTheme="minorBidi" w:hAnsiTheme="minorBidi"/>
          <w:rtl/>
        </w:rPr>
        <w:t xml:space="preserve">) ר"ת </w:t>
      </w:r>
      <w:r w:rsidRPr="00351B7D">
        <w:rPr>
          <w:rFonts w:asciiTheme="minorBidi" w:hAnsiTheme="minorBidi"/>
          <w:sz w:val="16"/>
          <w:szCs w:val="16"/>
          <w:rtl/>
        </w:rPr>
        <w:t xml:space="preserve">(הביאו הרא"ש) </w:t>
      </w:r>
      <w:r w:rsidRPr="00351B7D">
        <w:rPr>
          <w:rFonts w:asciiTheme="minorBidi" w:hAnsiTheme="minorBidi"/>
          <w:rtl/>
        </w:rPr>
        <w:t xml:space="preserve">תוס' </w:t>
      </w:r>
      <w:r w:rsidRPr="00351B7D">
        <w:rPr>
          <w:rFonts w:asciiTheme="minorBidi" w:hAnsiTheme="minorBidi"/>
          <w:sz w:val="16"/>
          <w:szCs w:val="16"/>
          <w:rtl/>
        </w:rPr>
        <w:t xml:space="preserve">(ט: ד"ה לרצונו, תרוץ ב') </w:t>
      </w:r>
      <w:r w:rsidRPr="00351B7D">
        <w:rPr>
          <w:rFonts w:asciiTheme="minorBidi" w:hAnsiTheme="minorBidi"/>
          <w:rtl/>
        </w:rPr>
        <w:t xml:space="preserve">רמב"ם </w:t>
      </w:r>
      <w:r w:rsidRPr="00351B7D">
        <w:rPr>
          <w:rFonts w:asciiTheme="minorBidi" w:hAnsiTheme="minorBidi"/>
          <w:sz w:val="16"/>
          <w:szCs w:val="16"/>
          <w:rtl/>
        </w:rPr>
        <w:t xml:space="preserve">(פי"ב ה"א) </w:t>
      </w:r>
      <w:r w:rsidRPr="00351B7D">
        <w:rPr>
          <w:rFonts w:asciiTheme="minorBidi" w:hAnsiTheme="minorBidi"/>
          <w:rtl/>
        </w:rPr>
        <w:t xml:space="preserve">בהעי"ט ונמוק"י </w:t>
      </w:r>
      <w:r w:rsidRPr="00351B7D">
        <w:rPr>
          <w:rFonts w:asciiTheme="minorBidi" w:hAnsiTheme="minorBidi"/>
          <w:sz w:val="16"/>
          <w:szCs w:val="16"/>
          <w:rtl/>
        </w:rPr>
        <w:t>(ה:)</w:t>
      </w:r>
      <w:r w:rsidRPr="00351B7D">
        <w:rPr>
          <w:rFonts w:asciiTheme="minorBidi" w:hAnsiTheme="minorBidi"/>
          <w:rtl/>
        </w:rPr>
        <w:t>.</w:t>
      </w:r>
    </w:p>
  </w:footnote>
  <w:footnote w:id="524">
    <w:p w14:paraId="0ABD3F3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ולא דמי לנבלה וגם לא לפלוני רבעו לרצונו דליכא יצרו תוקפו כ"כ כמו בערוה.</w:t>
      </w:r>
    </w:p>
  </w:footnote>
  <w:footnote w:id="525">
    <w:p w14:paraId="192F9CF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(רש"י</w:t>
      </w:r>
      <w:r w:rsidRPr="00351B7D">
        <w:rPr>
          <w:rFonts w:asciiTheme="minorBidi" w:hAnsiTheme="minorBidi"/>
          <w:sz w:val="16"/>
          <w:szCs w:val="16"/>
          <w:rtl/>
        </w:rPr>
        <w:t xml:space="preserve"> להב' התוס'</w:t>
      </w:r>
      <w:r w:rsidRPr="00351B7D">
        <w:rPr>
          <w:rFonts w:asciiTheme="minorBidi" w:hAnsiTheme="minorBidi"/>
          <w:sz w:val="14"/>
          <w:szCs w:val="14"/>
          <w:rtl/>
        </w:rPr>
        <w:t xml:space="preserve"> [ט: ד"ה לרצונו]</w:t>
      </w:r>
      <w:r w:rsidRPr="00351B7D">
        <w:rPr>
          <w:rFonts w:asciiTheme="minorBidi" w:hAnsiTheme="minorBidi"/>
          <w:rtl/>
        </w:rPr>
        <w:t xml:space="preserve">) תוס' </w:t>
      </w:r>
      <w:r w:rsidRPr="00351B7D">
        <w:rPr>
          <w:rFonts w:asciiTheme="minorBidi" w:hAnsiTheme="minorBidi"/>
          <w:sz w:val="16"/>
          <w:szCs w:val="16"/>
          <w:rtl/>
        </w:rPr>
        <w:t xml:space="preserve">(תרוץ א') </w:t>
      </w:r>
      <w:r w:rsidRPr="00351B7D">
        <w:rPr>
          <w:rFonts w:asciiTheme="minorBidi" w:hAnsiTheme="minorBidi"/>
          <w:rtl/>
        </w:rPr>
        <w:t xml:space="preserve">רז"ה </w:t>
      </w:r>
      <w:r w:rsidRPr="00351B7D">
        <w:rPr>
          <w:rFonts w:asciiTheme="minorBidi" w:hAnsiTheme="minorBidi"/>
          <w:sz w:val="16"/>
          <w:szCs w:val="16"/>
          <w:rtl/>
        </w:rPr>
        <w:t>(הביאו נמוק"י ה:)</w:t>
      </w:r>
      <w:r w:rsidRPr="00351B7D">
        <w:rPr>
          <w:rFonts w:asciiTheme="minorBidi" w:hAnsiTheme="minorBidi"/>
          <w:rtl/>
        </w:rPr>
        <w:t xml:space="preserve"> מרדכי </w:t>
      </w:r>
      <w:r w:rsidRPr="00351B7D">
        <w:rPr>
          <w:rFonts w:asciiTheme="minorBidi" w:hAnsiTheme="minorBidi"/>
          <w:sz w:val="16"/>
          <w:szCs w:val="16"/>
          <w:rtl/>
        </w:rPr>
        <w:t xml:space="preserve">(סי' תרצה) </w:t>
      </w:r>
      <w:r w:rsidRPr="00351B7D">
        <w:rPr>
          <w:rFonts w:asciiTheme="minorBidi" w:hAnsiTheme="minorBidi"/>
          <w:rtl/>
        </w:rPr>
        <w:t>ורא"ש</w:t>
      </w:r>
      <w:r w:rsidRPr="00351B7D">
        <w:rPr>
          <w:rFonts w:asciiTheme="minorBidi" w:hAnsiTheme="minorBidi"/>
          <w:sz w:val="16"/>
          <w:szCs w:val="16"/>
          <w:rtl/>
        </w:rPr>
        <w:t xml:space="preserve"> (סי' יג)</w:t>
      </w:r>
      <w:r w:rsidRPr="00351B7D">
        <w:rPr>
          <w:rFonts w:asciiTheme="minorBidi" w:hAnsiTheme="minorBidi"/>
          <w:rtl/>
        </w:rPr>
        <w:t>.</w:t>
      </w:r>
    </w:p>
  </w:footnote>
  <w:footnote w:id="526">
    <w:p w14:paraId="52A5841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היינו חשוד בלא עדים, ב"י. וארבעים בכתפיה דמלקין על היחוד של כל עריות חוץ מאשת איש. ומלקין על לא טובה השמועה קלא דלא פסיק כשהמון עם מעבירים עליו קול.</w:t>
      </w:r>
    </w:p>
  </w:footnote>
  <w:footnote w:id="527">
    <w:p w14:paraId="32C9A12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הביאו המרדכי סי' תרצה.</w:t>
      </w:r>
    </w:p>
  </w:footnote>
  <w:footnote w:id="528">
    <w:p w14:paraId="7C38287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חוץ מלעדות אשה דפסול בין לאפוקה ובין לעיולה, כ"נ מדברי הרא"ש. וכן גרס הרי"ף, </w:t>
      </w:r>
      <w:r w:rsidRPr="00351B7D">
        <w:rPr>
          <w:rFonts w:asciiTheme="minorBidi" w:hAnsiTheme="minorBidi"/>
          <w:color w:val="00B0F0"/>
          <w:rtl/>
        </w:rPr>
        <w:t>וכ"פ הרמ"א</w:t>
      </w:r>
      <w:r w:rsidRPr="00351B7D">
        <w:rPr>
          <w:rFonts w:asciiTheme="minorBidi" w:hAnsiTheme="minorBidi"/>
          <w:rtl/>
        </w:rPr>
        <w:t>. וכ"פ המרדכי רק שהוסיף לפסול אף לעדות ממון, וכ"פ הב"ח (סע' ח).</w:t>
      </w:r>
    </w:p>
  </w:footnote>
  <w:footnote w:id="529">
    <w:p w14:paraId="11761CA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ואין תימא כ"כ- דלא מלקינן ליה אלא על לא טובה השמועה, רא"ש.</w:t>
      </w:r>
    </w:p>
  </w:footnote>
  <w:footnote w:id="530">
    <w:p w14:paraId="7B35F30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דאי להרי"ף שפירש החשוד על העריות הבא על הערוה הרי פסק בהדיא כרב ששת דפסל ואי לרש"י הרי הוא ז"ל כתב (כו:) כשר לעדות דבעינן רשע דחמס וכיון דקיימא לן דלא בעינן רשע דחמס כמו שנתבאר בסימן זה (ס"ג) ממילא אידחי רב נחמן וקיי"ל כרב ששת דפסל, ב"י.</w:t>
      </w:r>
    </w:p>
  </w:footnote>
  <w:footnote w:id="531">
    <w:p w14:paraId="5FB954D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לרי"ף ורש"י משום שלא הזכירוהו בגמרא, ולרא"ש משום שפסק כרב נחמן, ב"י.</w:t>
      </w:r>
    </w:p>
  </w:footnote>
  <w:footnote w:id="532">
    <w:p w14:paraId="63F9B64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למאן דפסק כרבי מאיר דסבר שהחשוד על הדבר לא דנו ולא מעידו, אבל בהא איכא לספוקי אי מיפסיל דוקא לאפוקי או אפילו לעיולי כפי חילוף הגירסאות שכתבתי, ב"י.</w:t>
      </w:r>
    </w:p>
  </w:footnote>
  <w:footnote w:id="533">
    <w:p w14:paraId="7DD244F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כאן, ובחו"מ סי' לד סע' כה.</w:t>
      </w:r>
    </w:p>
  </w:footnote>
  <w:footnote w:id="534">
    <w:p w14:paraId="06AB9D2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(הביאו הרשב"א [ח"א סי' אלף קפ"ה])</w:t>
      </w:r>
      <w:r w:rsidRPr="00351B7D">
        <w:rPr>
          <w:rFonts w:asciiTheme="minorBidi" w:hAnsiTheme="minorBidi"/>
          <w:rtl/>
        </w:rPr>
        <w:t xml:space="preserve"> רמב"ן</w:t>
      </w:r>
      <w:r w:rsidRPr="00351B7D">
        <w:rPr>
          <w:rFonts w:asciiTheme="minorBidi" w:hAnsiTheme="minorBidi"/>
          <w:sz w:val="16"/>
          <w:szCs w:val="16"/>
          <w:rtl/>
        </w:rPr>
        <w:t xml:space="preserve"> (ספהמ"צ שורש שני)</w:t>
      </w:r>
      <w:r w:rsidRPr="00351B7D">
        <w:rPr>
          <w:rFonts w:asciiTheme="minorBidi" w:hAnsiTheme="minorBidi"/>
          <w:rtl/>
        </w:rPr>
        <w:t xml:space="preserve"> ורשב"א</w:t>
      </w:r>
      <w:r w:rsidRPr="00351B7D">
        <w:rPr>
          <w:rFonts w:asciiTheme="minorBidi" w:hAnsiTheme="minorBidi"/>
          <w:sz w:val="16"/>
          <w:szCs w:val="16"/>
          <w:rtl/>
        </w:rPr>
        <w:t xml:space="preserve"> (שם)</w:t>
      </w:r>
      <w:r w:rsidRPr="00351B7D">
        <w:rPr>
          <w:rFonts w:asciiTheme="minorBidi" w:hAnsiTheme="minorBidi"/>
          <w:rtl/>
        </w:rPr>
        <w:t>.</w:t>
      </w:r>
    </w:p>
  </w:footnote>
  <w:footnote w:id="535">
    <w:p w14:paraId="00B8C5A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 אחא משבחא רבי שמואל בן חפני בה"ג ורב האי גאון</w:t>
      </w:r>
      <w:r w:rsidRPr="00351B7D">
        <w:rPr>
          <w:rFonts w:asciiTheme="minorBidi" w:hAnsiTheme="minorBidi"/>
          <w:sz w:val="16"/>
          <w:szCs w:val="16"/>
          <w:rtl/>
        </w:rPr>
        <w:t xml:space="preserve"> (הביאם הרשב"א [ח"א סי' אלף קפ"ה], והמרדכי [סי' תקלב] הביא מקצתם)</w:t>
      </w:r>
    </w:p>
  </w:footnote>
  <w:footnote w:id="536">
    <w:p w14:paraId="4B833B0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רשב"א </w:t>
      </w:r>
      <w:r w:rsidRPr="00351B7D">
        <w:rPr>
          <w:rFonts w:asciiTheme="minorBidi" w:hAnsiTheme="minorBidi"/>
          <w:color w:val="000000"/>
          <w:sz w:val="16"/>
          <w:szCs w:val="16"/>
          <w:rtl/>
        </w:rPr>
        <w:t xml:space="preserve">(ח"ב סי' רל, כ"כ הריב"ש בשמו) </w:t>
      </w:r>
      <w:r w:rsidRPr="00351B7D">
        <w:rPr>
          <w:rFonts w:asciiTheme="minorBidi" w:hAnsiTheme="minorBidi"/>
          <w:rtl/>
        </w:rPr>
        <w:t>רשב"ץ</w:t>
      </w:r>
      <w:r w:rsidRPr="00351B7D">
        <w:rPr>
          <w:rFonts w:asciiTheme="minorBidi" w:hAnsiTheme="minorBidi"/>
          <w:sz w:val="16"/>
          <w:szCs w:val="16"/>
          <w:rtl/>
        </w:rPr>
        <w:t xml:space="preserve"> (ח"א סי' קנ"א) </w:t>
      </w:r>
      <w:r w:rsidRPr="00351B7D">
        <w:rPr>
          <w:rFonts w:asciiTheme="minorBidi" w:hAnsiTheme="minorBidi"/>
          <w:rtl/>
        </w:rPr>
        <w:t xml:space="preserve">הה"מ ריב"ש </w:t>
      </w:r>
      <w:r w:rsidRPr="00351B7D">
        <w:rPr>
          <w:rFonts w:asciiTheme="minorBidi" w:hAnsiTheme="minorBidi"/>
          <w:color w:val="000000"/>
          <w:sz w:val="16"/>
          <w:szCs w:val="16"/>
          <w:rtl/>
        </w:rPr>
        <w:t xml:space="preserve">(סי' יד) </w:t>
      </w:r>
      <w:r w:rsidRPr="00351B7D">
        <w:rPr>
          <w:rFonts w:asciiTheme="minorBidi" w:hAnsiTheme="minorBidi"/>
          <w:rtl/>
        </w:rPr>
        <w:t xml:space="preserve">וכס"מ </w:t>
      </w:r>
      <w:r w:rsidRPr="00351B7D">
        <w:rPr>
          <w:rFonts w:asciiTheme="minorBidi" w:hAnsiTheme="minorBidi"/>
          <w:sz w:val="16"/>
          <w:szCs w:val="16"/>
          <w:rtl/>
        </w:rPr>
        <w:t>(ריש הל' אישות פ"א ה"ב, לענין קדושי כסף)</w:t>
      </w:r>
    </w:p>
  </w:footnote>
  <w:footnote w:id="537">
    <w:p w14:paraId="047C97E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לפ"ז אם קידש לפני קרובי האם הקדושין בטילים, לפ"ז מה שהביא הרמ"א סי' ל"ג בחו"מ </w:t>
      </w:r>
      <w:r w:rsidRPr="00351B7D">
        <w:rPr>
          <w:rFonts w:asciiTheme="minorBidi" w:hAnsiTheme="minorBidi"/>
          <w:sz w:val="16"/>
          <w:szCs w:val="16"/>
          <w:rtl/>
        </w:rPr>
        <w:t xml:space="preserve">(סע' ב) </w:t>
      </w:r>
      <w:r w:rsidRPr="00351B7D">
        <w:rPr>
          <w:rFonts w:asciiTheme="minorBidi" w:hAnsiTheme="minorBidi"/>
          <w:rtl/>
        </w:rPr>
        <w:t>דעת הרמב"ם לא נפ"מ לדינא</w:t>
      </w:r>
      <w:r w:rsidRPr="00351B7D">
        <w:rPr>
          <w:rFonts w:asciiTheme="minorBidi" w:hAnsiTheme="minorBidi"/>
          <w:sz w:val="16"/>
          <w:szCs w:val="16"/>
          <w:rtl/>
        </w:rPr>
        <w:t xml:space="preserve"> (וכבר האריך הש"ך [שם סק"א] לדחות דבריו, וכ' דכן דעת כל הפוסקים חולקים)</w:t>
      </w:r>
      <w:r w:rsidRPr="00351B7D">
        <w:rPr>
          <w:rFonts w:asciiTheme="minorBidi" w:hAnsiTheme="minorBidi"/>
          <w:rtl/>
        </w:rPr>
        <w:t>.</w:t>
      </w:r>
    </w:p>
  </w:footnote>
  <w:footnote w:id="538">
    <w:p w14:paraId="3ADCFAE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 יהודה בן הרא"ש, כן משמע מדבריו בסי' פא, הביאו הב"י בשם מצאתי כתוב.</w:t>
      </w:r>
    </w:p>
  </w:footnote>
  <w:footnote w:id="539">
    <w:p w14:paraId="4A920BF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ולכן הביא הרמ"א בחו"מ ד' הרמב"ם </w:t>
      </w:r>
      <w:r w:rsidRPr="00351B7D">
        <w:rPr>
          <w:rFonts w:asciiTheme="minorBidi" w:hAnsiTheme="minorBidi"/>
          <w:sz w:val="16"/>
          <w:szCs w:val="16"/>
          <w:rtl/>
        </w:rPr>
        <w:t>(ועי' ברעק"א (סי' צ"ד, הובא בפת"ש סק"כ) שכ' דהרמ"א לא הביא דיעה זו רק לחוש להחמיר שלא במקום דחק אבל במקום דחק יש לסמוך להקל כדעת רוב הפוסקים ראשונים ואחרונים)</w:t>
      </w:r>
      <w:r w:rsidRPr="00351B7D">
        <w:rPr>
          <w:rFonts w:asciiTheme="minorBidi" w:hAnsiTheme="minorBidi"/>
          <w:rtl/>
        </w:rPr>
        <w:t>. ובס' המקנה</w:t>
      </w:r>
      <w:r w:rsidRPr="00351B7D">
        <w:rPr>
          <w:rFonts w:asciiTheme="minorBidi" w:hAnsiTheme="minorBidi"/>
          <w:sz w:val="16"/>
          <w:szCs w:val="16"/>
          <w:rtl/>
        </w:rPr>
        <w:t xml:space="preserve"> (בקו"א סי' מ"ב)</w:t>
      </w:r>
      <w:r w:rsidRPr="00351B7D">
        <w:rPr>
          <w:rFonts w:asciiTheme="minorBidi" w:hAnsiTheme="minorBidi"/>
          <w:rtl/>
        </w:rPr>
        <w:t xml:space="preserve"> כ' דלכאורה נראה לדעת הרמב"ם אם עובר על עבירה דאו' שהוא ממדרש חז"ל אינו פסול מה"ת ואם מעידים על הקדושין חיישינן לקידושין.</w:t>
      </w:r>
    </w:p>
  </w:footnote>
  <w:footnote w:id="540">
    <w:p w14:paraId="5FE0F3D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דבפסולי עדות מן התורה פשוט ומבואר בסנהדרין (כו:) שאינם כשרים לעדות אשה לא לעיולא ולא לאפוקא, הה"מ</w:t>
      </w:r>
      <w:r w:rsidRPr="00351B7D">
        <w:rPr>
          <w:rFonts w:asciiTheme="minorBidi" w:hAnsiTheme="minorBidi"/>
          <w:sz w:val="16"/>
          <w:szCs w:val="16"/>
          <w:rtl/>
        </w:rPr>
        <w:t xml:space="preserve"> (פ"ד ה"ו)</w:t>
      </w:r>
      <w:r w:rsidRPr="00351B7D">
        <w:rPr>
          <w:rFonts w:asciiTheme="minorBidi" w:hAnsiTheme="minorBidi"/>
          <w:rtl/>
        </w:rPr>
        <w:t>.</w:t>
      </w:r>
    </w:p>
  </w:footnote>
  <w:footnote w:id="541">
    <w:p w14:paraId="53F7706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 אחא משבחא רב האי גאון</w:t>
      </w:r>
      <w:r w:rsidRPr="00351B7D">
        <w:rPr>
          <w:rFonts w:asciiTheme="minorBidi" w:hAnsiTheme="minorBidi"/>
          <w:sz w:val="16"/>
          <w:szCs w:val="16"/>
          <w:rtl/>
        </w:rPr>
        <w:t xml:space="preserve"> (הביאום בהעי"ט רשב"א [ח"א סי' אלף קפה] ומרדכי [סי' תקלב])</w:t>
      </w:r>
      <w:r w:rsidRPr="00351B7D">
        <w:rPr>
          <w:rFonts w:asciiTheme="minorBidi" w:hAnsiTheme="minorBidi"/>
          <w:rtl/>
        </w:rPr>
        <w:t xml:space="preserve"> ר' שמואל בן חפני בה"ג</w:t>
      </w:r>
      <w:r w:rsidRPr="00351B7D">
        <w:rPr>
          <w:rFonts w:asciiTheme="minorBidi" w:hAnsiTheme="minorBidi"/>
          <w:sz w:val="16"/>
          <w:szCs w:val="16"/>
          <w:rtl/>
        </w:rPr>
        <w:t xml:space="preserve"> (הביאם הרשב"א)</w:t>
      </w:r>
      <w:r w:rsidRPr="00351B7D">
        <w:rPr>
          <w:rFonts w:asciiTheme="minorBidi" w:hAnsiTheme="minorBidi"/>
          <w:rtl/>
        </w:rPr>
        <w:t xml:space="preserve"> רמב"ם </w:t>
      </w:r>
      <w:r w:rsidRPr="00351B7D">
        <w:rPr>
          <w:rFonts w:asciiTheme="minorBidi" w:hAnsiTheme="minorBidi"/>
          <w:sz w:val="16"/>
          <w:szCs w:val="16"/>
          <w:rtl/>
        </w:rPr>
        <w:t xml:space="preserve">(אישות פ"ד ה"ו) </w:t>
      </w:r>
      <w:r w:rsidRPr="00351B7D">
        <w:rPr>
          <w:rFonts w:asciiTheme="minorBidi" w:hAnsiTheme="minorBidi"/>
          <w:rtl/>
        </w:rPr>
        <w:t>ורשב"א</w:t>
      </w:r>
      <w:r w:rsidRPr="00351B7D">
        <w:rPr>
          <w:rFonts w:asciiTheme="minorBidi" w:hAnsiTheme="minorBidi"/>
          <w:sz w:val="16"/>
          <w:szCs w:val="16"/>
          <w:rtl/>
        </w:rPr>
        <w:t xml:space="preserve"> (ח"א סי' אלף קפה)</w:t>
      </w:r>
      <w:r w:rsidRPr="00351B7D">
        <w:rPr>
          <w:rFonts w:asciiTheme="minorBidi" w:hAnsiTheme="minorBidi"/>
          <w:rtl/>
        </w:rPr>
        <w:t xml:space="preserve">. </w:t>
      </w:r>
    </w:p>
  </w:footnote>
  <w:footnote w:id="542">
    <w:p w14:paraId="569FC51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ואם האשה מכחשת את העדים או את הקדושין, יש בזה עוד מחלוקת:</w:t>
      </w:r>
    </w:p>
    <w:p w14:paraId="4A5984A9" w14:textId="77777777" w:rsidR="00DF1FC7" w:rsidRPr="00351B7D" w:rsidRDefault="00DF1FC7" w:rsidP="00A8697F">
      <w:pPr>
        <w:pStyle w:val="a5"/>
        <w:numPr>
          <w:ilvl w:val="0"/>
          <w:numId w:val="121"/>
        </w:numPr>
        <w:rPr>
          <w:rFonts w:asciiTheme="minorBidi" w:hAnsiTheme="minorBidi"/>
          <w:rtl/>
        </w:rPr>
      </w:pPr>
      <w:r w:rsidRPr="00351B7D">
        <w:rPr>
          <w:rFonts w:asciiTheme="minorBidi" w:hAnsiTheme="minorBidi"/>
          <w:rtl/>
        </w:rPr>
        <w:t xml:space="preserve">רב האי רב אחא </w:t>
      </w:r>
      <w:r w:rsidRPr="00351B7D">
        <w:rPr>
          <w:rFonts w:asciiTheme="minorBidi" w:hAnsiTheme="minorBidi"/>
          <w:sz w:val="16"/>
          <w:szCs w:val="16"/>
          <w:rtl/>
        </w:rPr>
        <w:t>(כפי שכ' בהעי"ט בשמם</w:t>
      </w:r>
      <w:r w:rsidRPr="00351B7D">
        <w:rPr>
          <w:rFonts w:asciiTheme="minorBidi" w:hAnsiTheme="minorBidi"/>
          <w:sz w:val="14"/>
          <w:szCs w:val="14"/>
          <w:rtl/>
        </w:rPr>
        <w:t xml:space="preserve"> [העתיקוהו המרדכי וב"י]</w:t>
      </w:r>
      <w:r w:rsidRPr="00351B7D">
        <w:rPr>
          <w:rFonts w:asciiTheme="minorBidi" w:hAnsiTheme="minorBidi"/>
          <w:sz w:val="16"/>
          <w:szCs w:val="16"/>
          <w:rtl/>
        </w:rPr>
        <w:t>)</w:t>
      </w:r>
      <w:r w:rsidRPr="00351B7D">
        <w:rPr>
          <w:rFonts w:asciiTheme="minorBidi" w:hAnsiTheme="minorBidi"/>
          <w:rtl/>
        </w:rPr>
        <w:t xml:space="preserve"> ורמב"ם</w:t>
      </w:r>
      <w:r w:rsidRPr="00351B7D">
        <w:rPr>
          <w:rFonts w:asciiTheme="minorBidi" w:hAnsiTheme="minorBidi"/>
          <w:sz w:val="16"/>
          <w:szCs w:val="16"/>
          <w:rtl/>
        </w:rPr>
        <w:t xml:space="preserve"> (אישות פ"ד ה"ו)</w:t>
      </w:r>
      <w:r w:rsidRPr="00351B7D">
        <w:rPr>
          <w:rFonts w:asciiTheme="minorBidi" w:hAnsiTheme="minorBidi"/>
          <w:rtl/>
        </w:rPr>
        <w:t>- אפי' הכחישה האשה את העדים צריכה גט מספק.</w:t>
      </w:r>
      <w:r w:rsidRPr="00351B7D">
        <w:rPr>
          <w:rFonts w:asciiTheme="minorBidi" w:hAnsiTheme="minorBidi"/>
          <w:color w:val="E36C0A" w:themeColor="accent6" w:themeShade="BF"/>
          <w:rtl/>
        </w:rPr>
        <w:t xml:space="preserve"> (וכ"פ בשו"ע)</w:t>
      </w:r>
    </w:p>
    <w:p w14:paraId="674317CA" w14:textId="77777777" w:rsidR="00DF1FC7" w:rsidRPr="00351B7D" w:rsidRDefault="00DF1FC7" w:rsidP="00A8697F">
      <w:pPr>
        <w:pStyle w:val="a5"/>
        <w:numPr>
          <w:ilvl w:val="0"/>
          <w:numId w:val="121"/>
        </w:numPr>
        <w:rPr>
          <w:rFonts w:asciiTheme="minorBidi" w:hAnsiTheme="minorBidi"/>
        </w:rPr>
      </w:pPr>
      <w:r w:rsidRPr="00351B7D">
        <w:rPr>
          <w:rFonts w:asciiTheme="minorBidi" w:hAnsiTheme="minorBidi"/>
          <w:rtl/>
        </w:rPr>
        <w:t xml:space="preserve">רב האי ומר יהודאי גאון </w:t>
      </w:r>
      <w:r w:rsidRPr="00351B7D">
        <w:rPr>
          <w:rFonts w:asciiTheme="minorBidi" w:hAnsiTheme="minorBidi"/>
          <w:sz w:val="16"/>
          <w:szCs w:val="16"/>
          <w:rtl/>
        </w:rPr>
        <w:t xml:space="preserve">(כפי שכתוב בתשו' חכמי פרובינציה </w:t>
      </w:r>
      <w:r w:rsidRPr="00351B7D">
        <w:rPr>
          <w:rFonts w:asciiTheme="minorBidi" w:hAnsiTheme="minorBidi"/>
          <w:sz w:val="14"/>
          <w:szCs w:val="14"/>
          <w:rtl/>
        </w:rPr>
        <w:t>[סי' ז ד"ה ועוד ילפינן]</w:t>
      </w:r>
      <w:r w:rsidRPr="00351B7D">
        <w:rPr>
          <w:rFonts w:asciiTheme="minorBidi" w:hAnsiTheme="minorBidi"/>
          <w:sz w:val="16"/>
          <w:szCs w:val="16"/>
          <w:rtl/>
        </w:rPr>
        <w:t>)</w:t>
      </w:r>
      <w:r w:rsidRPr="00351B7D">
        <w:rPr>
          <w:rFonts w:asciiTheme="minorBidi" w:hAnsiTheme="minorBidi"/>
          <w:rtl/>
        </w:rPr>
        <w:t xml:space="preserve">- דוקא בששניהם מודים אבל כשהאשה מכחשת א"צ גט אפי' בפסולי דרבנן. </w:t>
      </w:r>
      <w:r w:rsidRPr="00351B7D">
        <w:rPr>
          <w:rFonts w:asciiTheme="minorBidi" w:hAnsiTheme="minorBidi"/>
          <w:sz w:val="16"/>
          <w:szCs w:val="16"/>
          <w:rtl/>
        </w:rPr>
        <w:t xml:space="preserve">(וז"ל התשו'- "מבואר בס' הרב ברצלוני בהלכות פסולי עדות בשם רבי' האיי גאון ז"ל ובשם מר יהודאי גאון דווקא בששניהם מודים והוברר הדבר שנתקדשה קדושין גמורים כתיקון חכמים אלא שהעדים פסולין הם מדרבנן ואינם פסולים מדאו', אבל כשהאשה מכחשת ואומ' לא נתקדשתי אפי' בפסולי עדות דרבנן אינה מקודשת ואינה צריכה גט ואפי' עד אחד כשר בהדי עד פסול דרבנן אין חוששי' לקידושיו", עכ"ל תשו' חכמי פרובינציה </w:t>
      </w:r>
      <w:r w:rsidRPr="00351B7D">
        <w:rPr>
          <w:rFonts w:asciiTheme="minorBidi" w:hAnsiTheme="minorBidi"/>
          <w:sz w:val="14"/>
          <w:szCs w:val="14"/>
          <w:rtl/>
        </w:rPr>
        <w:t>[רובן הגדול של תשובות חכמי פרובינציא הן אוסף תשובות מרבותינו חכמי פרובינציא, בתקופת הרשב"א במאה ה-13 ובדור שאחריו. שאר התשובות הן תשובות הגאונים, תשובות הרי"ף, הראב"י (בעל אשכול), הראב"ד והרשב"א]</w:t>
      </w:r>
      <w:r w:rsidRPr="00351B7D">
        <w:rPr>
          <w:rFonts w:asciiTheme="minorBidi" w:hAnsiTheme="minorBidi"/>
          <w:sz w:val="16"/>
          <w:szCs w:val="16"/>
          <w:rtl/>
        </w:rPr>
        <w:t>)</w:t>
      </w:r>
    </w:p>
  </w:footnote>
  <w:footnote w:id="543">
    <w:p w14:paraId="13F49CC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כ"כ בהעי"ט</w:t>
      </w:r>
      <w:r w:rsidRPr="00351B7D">
        <w:rPr>
          <w:rFonts w:asciiTheme="minorBidi" w:hAnsiTheme="minorBidi"/>
          <w:sz w:val="16"/>
          <w:szCs w:val="16"/>
          <w:rtl/>
        </w:rPr>
        <w:t xml:space="preserve"> (אות ק קבלת העדות נט ע"א)</w:t>
      </w:r>
      <w:r w:rsidRPr="00351B7D">
        <w:rPr>
          <w:rFonts w:asciiTheme="minorBidi" w:hAnsiTheme="minorBidi"/>
          <w:rtl/>
        </w:rPr>
        <w:t xml:space="preserve"> והמרדכי </w:t>
      </w:r>
      <w:r w:rsidRPr="00351B7D">
        <w:rPr>
          <w:rFonts w:asciiTheme="minorBidi" w:hAnsiTheme="minorBidi"/>
          <w:sz w:val="16"/>
          <w:szCs w:val="16"/>
          <w:rtl/>
        </w:rPr>
        <w:t>(קדושין סי' תקלב)</w:t>
      </w:r>
      <w:r w:rsidRPr="00351B7D">
        <w:rPr>
          <w:rFonts w:asciiTheme="minorBidi" w:hAnsiTheme="minorBidi"/>
          <w:rtl/>
        </w:rPr>
        <w:t xml:space="preserve">. </w:t>
      </w:r>
      <w:r w:rsidRPr="00351B7D">
        <w:rPr>
          <w:rFonts w:asciiTheme="minorBidi" w:hAnsiTheme="minorBidi"/>
          <w:sz w:val="16"/>
          <w:szCs w:val="16"/>
          <w:rtl/>
        </w:rPr>
        <w:t>[רק שבהעי"ט כ' כך בשם 'תשובות', והמרדכי כ' בשם 'תשובת גאון']</w:t>
      </w:r>
    </w:p>
  </w:footnote>
  <w:footnote w:id="544">
    <w:p w14:paraId="2A2ED2C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(בתשו', הובאה בתשובות חכמי פרובינציה סי' ז [ד"ה ועוד ילפינן], בשו"ת הרשב"א [ח"א סי' אלף קפה] ובזכרון יהודה סי' פא)</w:t>
      </w:r>
      <w:r w:rsidRPr="00351B7D">
        <w:rPr>
          <w:rFonts w:asciiTheme="minorBidi" w:hAnsiTheme="minorBidi"/>
          <w:rtl/>
        </w:rPr>
        <w:t>.</w:t>
      </w:r>
    </w:p>
  </w:footnote>
  <w:footnote w:id="545">
    <w:p w14:paraId="6158483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מינץ </w:t>
      </w:r>
      <w:r w:rsidRPr="00351B7D">
        <w:rPr>
          <w:rFonts w:asciiTheme="minorBidi" w:hAnsiTheme="minorBidi"/>
          <w:sz w:val="16"/>
          <w:szCs w:val="16"/>
          <w:rtl/>
        </w:rPr>
        <w:t>(סי' יא, הביאו הדרכ"מ [אות ח])</w:t>
      </w:r>
      <w:r w:rsidRPr="00351B7D">
        <w:rPr>
          <w:rFonts w:asciiTheme="minorBidi" w:hAnsiTheme="minorBidi"/>
          <w:rtl/>
        </w:rPr>
        <w:t xml:space="preserve"> א"ח </w:t>
      </w:r>
      <w:r w:rsidRPr="00351B7D">
        <w:rPr>
          <w:rFonts w:asciiTheme="minorBidi" w:hAnsiTheme="minorBidi"/>
          <w:sz w:val="16"/>
          <w:szCs w:val="16"/>
          <w:rtl/>
        </w:rPr>
        <w:t xml:space="preserve">(ח"ב הל' קדושין יג) </w:t>
      </w:r>
      <w:r w:rsidRPr="00351B7D">
        <w:rPr>
          <w:rFonts w:asciiTheme="minorBidi" w:hAnsiTheme="minorBidi"/>
          <w:rtl/>
        </w:rPr>
        <w:t>ומהרי"ק</w:t>
      </w:r>
      <w:r w:rsidRPr="00351B7D">
        <w:rPr>
          <w:rFonts w:asciiTheme="minorBidi" w:hAnsiTheme="minorBidi"/>
          <w:sz w:val="16"/>
          <w:szCs w:val="16"/>
          <w:rtl/>
        </w:rPr>
        <w:t xml:space="preserve"> (שורש פ"ה)</w:t>
      </w:r>
      <w:r w:rsidRPr="00351B7D">
        <w:rPr>
          <w:rFonts w:asciiTheme="minorBidi" w:hAnsiTheme="minorBidi"/>
          <w:rtl/>
        </w:rPr>
        <w:t>.</w:t>
      </w:r>
    </w:p>
  </w:footnote>
  <w:footnote w:id="546">
    <w:p w14:paraId="12D7943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על דבריהם- "ודברים תמוהים הם". וכן דעת מהר"ם פדוואה </w:t>
      </w:r>
      <w:r w:rsidRPr="00351B7D">
        <w:rPr>
          <w:rFonts w:asciiTheme="minorBidi" w:hAnsiTheme="minorBidi"/>
          <w:sz w:val="16"/>
          <w:szCs w:val="16"/>
          <w:rtl/>
        </w:rPr>
        <w:t>(סי' לז, הביאו הדרכ"מ [אות ט])</w:t>
      </w:r>
      <w:r w:rsidRPr="00351B7D">
        <w:rPr>
          <w:rFonts w:asciiTheme="minorBidi" w:hAnsiTheme="minorBidi"/>
          <w:rtl/>
        </w:rPr>
        <w:t>. אך כ' הח"מ</w:t>
      </w:r>
      <w:r w:rsidRPr="00351B7D">
        <w:rPr>
          <w:rFonts w:asciiTheme="minorBidi" w:hAnsiTheme="minorBidi"/>
          <w:sz w:val="16"/>
          <w:szCs w:val="16"/>
          <w:rtl/>
        </w:rPr>
        <w:t xml:space="preserve"> (סקי"ז, הביאו ג"כ הב"ש [סקכ"ב])</w:t>
      </w:r>
      <w:r w:rsidRPr="00351B7D">
        <w:rPr>
          <w:rFonts w:asciiTheme="minorBidi" w:hAnsiTheme="minorBidi"/>
          <w:rtl/>
        </w:rPr>
        <w:t xml:space="preserve"> שהמעיין בגוף התשובה יראה דלא פליגי אהדדי, והרב מהר"מ פאדווה </w:t>
      </w:r>
      <w:r w:rsidRPr="00351B7D">
        <w:rPr>
          <w:rFonts w:asciiTheme="minorBidi" w:hAnsiTheme="minorBidi"/>
          <w:sz w:val="16"/>
          <w:szCs w:val="16"/>
          <w:rtl/>
        </w:rPr>
        <w:t xml:space="preserve">(המובא שם) </w:t>
      </w:r>
      <w:r w:rsidRPr="00351B7D">
        <w:rPr>
          <w:rFonts w:asciiTheme="minorBidi" w:hAnsiTheme="minorBidi"/>
          <w:rtl/>
        </w:rPr>
        <w:t>אלו היה נחלק על הרב מהרר"י מינץ היה מביא דבריו, אך הכל לפי הענין, והמעיין בגוף התשובה של מהר"ם פאדווה מיירי במומר שלא נראה בו סימני טהרה והוכיח סופו על תחלתו שחזר לסורו א"כ לגבי מומר כזה לא אמרינן ביה שמא הרהר תשובה בלבו, אבל מי שחזר אח"כ בתשובה אמרינן הוכיח סופו על תחלתו דלבו היה תמיד לשמים והמחמיר והמקיל שניהם לדבר א' נתכוונו.</w:t>
      </w:r>
    </w:p>
  </w:footnote>
  <w:footnote w:id="547">
    <w:p w14:paraId="735CDB5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בתשו', הביאה הב"י (והיא בתשובות הרשב"א שנדפסו עם ספר 'אדעתא דרבנן' למהרש"א אלפנדרי סי' ח).</w:t>
      </w:r>
    </w:p>
  </w:footnote>
  <w:footnote w:id="548">
    <w:p w14:paraId="4C5773A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רחוקים בצד רוח צפונית ואינן באין להעיד ותאסר בתמיה, נמוק"י (בשיטת הקדמונים, קידושין יב:).</w:t>
      </w:r>
    </w:p>
  </w:footnote>
  <w:footnote w:id="549">
    <w:p w14:paraId="51FC4F1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 כ' בתחילה 'מצאתי כתוב', ולאחמ"כ כ' שר' יהודה בן הרא"ש השיב למעשה זה, ותשו' זו היא בזכרון יהודה סי' פא, </w:t>
      </w:r>
      <w:r w:rsidRPr="00351B7D">
        <w:rPr>
          <w:rFonts w:asciiTheme="minorBidi" w:hAnsiTheme="minorBidi"/>
          <w:color w:val="FF0000"/>
          <w:rtl/>
        </w:rPr>
        <w:t>וצל"ע מדוע הב"י לא מזכיר שמקור התשו' הוא של ר' יהודה בן הרא"ש, וגם מדוע לא כתב את שם הספר</w:t>
      </w:r>
      <w:r w:rsidRPr="00351B7D">
        <w:rPr>
          <w:rFonts w:asciiTheme="minorBidi" w:hAnsiTheme="minorBidi"/>
          <w:rtl/>
        </w:rPr>
        <w:t xml:space="preserve">. </w:t>
      </w:r>
    </w:p>
  </w:footnote>
  <w:footnote w:id="550">
    <w:p w14:paraId="5773108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אם קידש בפני שני עדים ואחד מהם פסול מן התורה, ב"י בשם רי"ו (נכ"ב ח"ב, הביאם הערך לחם).</w:t>
      </w:r>
    </w:p>
  </w:footnote>
  <w:footnote w:id="551">
    <w:p w14:paraId="744CF4F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ונראה דאין חוזר ומברך </w:t>
      </w:r>
      <w:r w:rsidRPr="00351B7D">
        <w:rPr>
          <w:rFonts w:asciiTheme="minorBidi" w:hAnsiTheme="minorBidi"/>
          <w:sz w:val="16"/>
          <w:szCs w:val="16"/>
          <w:rtl/>
        </w:rPr>
        <w:t>(כמ"ש בסי' ס"א (סע' א בהג"ה) וס"ס ק"נ (סע' ד), וע' תשו' מהרי"ק שורש קע"א ובכס"מ פ"ד מה"א (ה"ו))</w:t>
      </w:r>
      <w:r w:rsidRPr="00351B7D">
        <w:rPr>
          <w:rFonts w:asciiTheme="minorBidi" w:hAnsiTheme="minorBidi"/>
          <w:rtl/>
        </w:rPr>
        <w:t xml:space="preserve">, ב"ש </w:t>
      </w:r>
      <w:r w:rsidRPr="00351B7D">
        <w:rPr>
          <w:rFonts w:asciiTheme="minorBidi" w:hAnsiTheme="minorBidi"/>
          <w:sz w:val="16"/>
          <w:szCs w:val="16"/>
          <w:rtl/>
        </w:rPr>
        <w:t>(סקי"ז)</w:t>
      </w:r>
      <w:r w:rsidRPr="00351B7D">
        <w:rPr>
          <w:rFonts w:asciiTheme="minorBidi" w:hAnsiTheme="minorBidi"/>
          <w:rtl/>
        </w:rPr>
        <w:t>.</w:t>
      </w:r>
    </w:p>
  </w:footnote>
  <w:footnote w:id="552">
    <w:p w14:paraId="475E61E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דאיירי כשהוא מעכב ואין רוצה לקדש אותה לכן כופין אותו, אבל אם רצונו לקדשה אז אע"ג דאמרה לא קידשתני אין כופין אותו ליתן גט כיון שקידשה כבר, ע"פ ב"ש (סקי"ח). </w:t>
      </w:r>
    </w:p>
  </w:footnote>
  <w:footnote w:id="553">
    <w:p w14:paraId="0ADDA66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וברמב"ם</w:t>
      </w:r>
      <w:r w:rsidRPr="00351B7D">
        <w:rPr>
          <w:rFonts w:asciiTheme="minorBidi" w:hAnsiTheme="minorBidi"/>
          <w:sz w:val="16"/>
          <w:szCs w:val="16"/>
          <w:rtl/>
        </w:rPr>
        <w:t xml:space="preserve"> (אישות פ"ד ה"ו)</w:t>
      </w:r>
      <w:r w:rsidRPr="00351B7D">
        <w:rPr>
          <w:rFonts w:asciiTheme="minorBidi" w:hAnsiTheme="minorBidi"/>
          <w:rtl/>
        </w:rPr>
        <w:t xml:space="preserve"> איתא- 'כופין אותה ליקח גט', וציין זאת המחבר בב"י, וכאן בשו"ע כ' כמש"כ הטור, וכ"כ שם בכס"מ דעיקר כגירסת הטור כי לא שייך כפיה אצלה שאם תרצה להנשא מוכרחת היא ליקח גט, והב"ח בקו"א מתרץ דכופין אותה שלא תנשא בלא גט.</w:t>
      </w:r>
    </w:p>
  </w:footnote>
  <w:footnote w:id="554">
    <w:p w14:paraId="74461AC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עד כאן אלו דברי הרמב"ם </w:t>
      </w:r>
      <w:r w:rsidRPr="00351B7D">
        <w:rPr>
          <w:rFonts w:asciiTheme="minorBidi" w:hAnsiTheme="minorBidi"/>
          <w:sz w:val="16"/>
          <w:szCs w:val="16"/>
          <w:rtl/>
        </w:rPr>
        <w:t>(אישות פ"ד ה"ו)</w:t>
      </w:r>
      <w:r w:rsidRPr="00351B7D">
        <w:rPr>
          <w:rFonts w:asciiTheme="minorBidi" w:hAnsiTheme="minorBidi"/>
          <w:rtl/>
        </w:rPr>
        <w:t>.</w:t>
      </w:r>
    </w:p>
  </w:footnote>
  <w:footnote w:id="555">
    <w:p w14:paraId="407D4DA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דוקא בספק קדושין הדין כן, אבל המקדש לפני פסולי דרבנן אין תופסין קדושין של אחר דהא מדאו' היא מקודשת, מיהו הב"י הבי' תשובת מצאתי כתוב [ד]אפילו בפסולי דרבנן נמי תופסים בה קדושין של אחר, וכן הסכים הב"י היכא דעדיין לא נישאת, אבל היכא דנישאת סמך הב"י על דברי הרי"ף בתשו' שאין חוששין כלל לקדושין שנעשו בפסולי דרבנן, דכל המקדש אדעתה דרבנן מקדש, ב"ש (סקי"ט). </w:t>
      </w:r>
      <w:r w:rsidRPr="00351B7D">
        <w:rPr>
          <w:rFonts w:asciiTheme="minorBidi" w:hAnsiTheme="minorBidi"/>
          <w:color w:val="FF0000"/>
          <w:rtl/>
        </w:rPr>
        <w:t>וצלע"ג על דבריו שהרי הב"י כ' שם "ונראה לי לסמוך על זה וכו" רק בגלל שמדובר שם שהעדים הם פסולי קורבת אישות שלד' רוב הפוסקים</w:t>
      </w:r>
      <w:r w:rsidRPr="00351B7D">
        <w:rPr>
          <w:rFonts w:asciiTheme="minorBidi" w:hAnsiTheme="minorBidi"/>
          <w:color w:val="FF0000"/>
          <w:sz w:val="16"/>
          <w:szCs w:val="16"/>
          <w:rtl/>
        </w:rPr>
        <w:t xml:space="preserve"> (רי"ף רמב"ן רשב"א רשב"ץ הה"מ ריב"ש כס"מ ועוד)</w:t>
      </w:r>
      <w:r w:rsidRPr="00351B7D">
        <w:rPr>
          <w:rFonts w:asciiTheme="minorBidi" w:hAnsiTheme="minorBidi"/>
          <w:color w:val="FF0000"/>
          <w:rtl/>
        </w:rPr>
        <w:t xml:space="preserve"> הם פסולים מדאו', ולא סמך על דעת הרי"ף בלבד </w:t>
      </w:r>
      <w:r w:rsidRPr="00351B7D">
        <w:rPr>
          <w:rFonts w:asciiTheme="minorBidi" w:hAnsiTheme="minorBidi"/>
          <w:color w:val="FF0000"/>
          <w:sz w:val="16"/>
          <w:szCs w:val="16"/>
          <w:rtl/>
        </w:rPr>
        <w:t>(שסובר שאין חוששין לקדושין שנעשו בפני פסולי דרבנן)</w:t>
      </w:r>
      <w:r w:rsidRPr="00351B7D">
        <w:rPr>
          <w:rFonts w:asciiTheme="minorBidi" w:hAnsiTheme="minorBidi"/>
          <w:color w:val="FF0000"/>
          <w:rtl/>
        </w:rPr>
        <w:t>, וא"כ כיצד אפ"ל שדעתו להתיר בלא גט אשה שקדשוה בפני פסולי דרבנן.</w:t>
      </w:r>
    </w:p>
  </w:footnote>
  <w:footnote w:id="556">
    <w:p w14:paraId="2219F7E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שמא יאמרו החזיר גרושתו מן האירוסין אחר שנתארסה לאחר </w:t>
      </w:r>
      <w:r w:rsidRPr="00351B7D">
        <w:rPr>
          <w:rFonts w:asciiTheme="minorBidi" w:hAnsiTheme="minorBidi"/>
          <w:sz w:val="14"/>
          <w:szCs w:val="14"/>
          <w:rtl/>
        </w:rPr>
        <w:t>(רמב"ם פ"ט הכ"ו)</w:t>
      </w:r>
      <w:r w:rsidRPr="00351B7D">
        <w:rPr>
          <w:rFonts w:asciiTheme="minorBidi" w:hAnsiTheme="minorBidi"/>
          <w:rtl/>
        </w:rPr>
        <w:t>, בדומה לדין יצא עליה קול שנתקדשה לפלוני, ב"י.</w:t>
      </w:r>
    </w:p>
  </w:footnote>
  <w:footnote w:id="557">
    <w:p w14:paraId="5947739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ולפי דברי הח"מ </w:t>
      </w:r>
      <w:r w:rsidRPr="00351B7D">
        <w:rPr>
          <w:rFonts w:asciiTheme="minorBidi" w:hAnsiTheme="minorBidi"/>
          <w:sz w:val="16"/>
          <w:szCs w:val="16"/>
          <w:rtl/>
        </w:rPr>
        <w:t xml:space="preserve">(סקי"ז) </w:t>
      </w:r>
      <w:r w:rsidRPr="00351B7D">
        <w:rPr>
          <w:rFonts w:asciiTheme="minorBidi" w:hAnsiTheme="minorBidi"/>
          <w:rtl/>
        </w:rPr>
        <w:t xml:space="preserve">והב"ש </w:t>
      </w:r>
      <w:r w:rsidRPr="00351B7D">
        <w:rPr>
          <w:rFonts w:asciiTheme="minorBidi" w:hAnsiTheme="minorBidi"/>
          <w:sz w:val="16"/>
          <w:szCs w:val="16"/>
          <w:rtl/>
        </w:rPr>
        <w:t xml:space="preserve">(סקכ"ב) </w:t>
      </w:r>
      <w:r w:rsidRPr="00351B7D">
        <w:rPr>
          <w:rFonts w:asciiTheme="minorBidi" w:hAnsiTheme="minorBidi"/>
          <w:rtl/>
        </w:rPr>
        <w:t xml:space="preserve">אין מי שמקל </w:t>
      </w:r>
      <w:r w:rsidRPr="00351B7D">
        <w:rPr>
          <w:rFonts w:asciiTheme="minorBidi" w:hAnsiTheme="minorBidi"/>
          <w:sz w:val="16"/>
          <w:szCs w:val="16"/>
          <w:rtl/>
        </w:rPr>
        <w:t>(ומה שיש דעות שונות הוא משום שהם מדברים במקרים שונים)</w:t>
      </w:r>
      <w:r w:rsidRPr="00351B7D">
        <w:rPr>
          <w:rFonts w:asciiTheme="minorBidi" w:hAnsiTheme="minorBidi"/>
          <w:rtl/>
        </w:rPr>
        <w:t xml:space="preserve"> אלא כל שאותו מומר חזר לסורו- הוכיח סופו על תחלתו ולא אמרינן ביה שמא הרהר תשובה בלבו </w:t>
      </w:r>
      <w:r w:rsidRPr="00351B7D">
        <w:rPr>
          <w:rFonts w:asciiTheme="minorBidi" w:hAnsiTheme="minorBidi"/>
          <w:sz w:val="16"/>
          <w:szCs w:val="16"/>
          <w:rtl/>
        </w:rPr>
        <w:t>(ובזה מקילין)</w:t>
      </w:r>
      <w:r w:rsidRPr="00351B7D">
        <w:rPr>
          <w:rFonts w:asciiTheme="minorBidi" w:hAnsiTheme="minorBidi"/>
          <w:rtl/>
        </w:rPr>
        <w:t xml:space="preserve">, אבל מומר שחזר אח"כ בתשובה אמרינן הוכיח סופו על תחלתו דלבו היה תמיד לשמים </w:t>
      </w:r>
      <w:r w:rsidRPr="00351B7D">
        <w:rPr>
          <w:rFonts w:asciiTheme="minorBidi" w:hAnsiTheme="minorBidi"/>
          <w:sz w:val="16"/>
          <w:szCs w:val="16"/>
          <w:rtl/>
        </w:rPr>
        <w:t>(ובזה מחמירים)</w:t>
      </w:r>
      <w:r w:rsidRPr="00351B7D">
        <w:rPr>
          <w:rFonts w:asciiTheme="minorBidi" w:hAnsiTheme="minorBidi"/>
          <w:rtl/>
        </w:rPr>
        <w:t>.</w:t>
      </w:r>
    </w:p>
  </w:footnote>
  <w:footnote w:id="558">
    <w:p w14:paraId="252B381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המקדש קטנה בפני עדים שלא בפני אביה</w:t>
      </w:r>
      <w:r w:rsidRPr="00351B7D">
        <w:rPr>
          <w:rFonts w:asciiTheme="minorBidi" w:hAnsiTheme="minorBidi"/>
          <w:sz w:val="18"/>
          <w:szCs w:val="18"/>
          <w:rtl/>
        </w:rPr>
        <w:t xml:space="preserve"> </w:t>
      </w:r>
      <w:r w:rsidRPr="00351B7D">
        <w:rPr>
          <w:rFonts w:asciiTheme="minorBidi" w:hAnsiTheme="minorBidi"/>
          <w:sz w:val="14"/>
          <w:szCs w:val="14"/>
          <w:rtl/>
        </w:rPr>
        <w:t>(כמבואר בתשו' שם)</w:t>
      </w:r>
      <w:r w:rsidRPr="00351B7D">
        <w:rPr>
          <w:rFonts w:asciiTheme="minorBidi" w:hAnsiTheme="minorBidi"/>
          <w:rtl/>
        </w:rPr>
        <w:t>, שאין כאן חשש קידושי תורה כל זמן שלא נתרצה האב בפירוש.</w:t>
      </w:r>
    </w:p>
  </w:footnote>
  <w:footnote w:id="559">
    <w:p w14:paraId="0612721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הפת"ש וז"ל- "ולענ"ד בלא"ה אין ממש בדברי השואל הנ"ל דהא קיי"ל בש"ס דקדושין דף ע"ח כרבא שם דאמר קידש אינו לוקה כו' וה"ה בכל חייבי לאוין כמבואר ברש"י שם </w:t>
      </w:r>
      <w:r w:rsidRPr="00351B7D">
        <w:rPr>
          <w:rFonts w:asciiTheme="minorBidi" w:hAnsiTheme="minorBidi"/>
          <w:sz w:val="16"/>
          <w:szCs w:val="16"/>
          <w:rtl/>
        </w:rPr>
        <w:t>(ועמ"ש לעיל סי' ו' סק"א דיש ספק אם עבר כלל אפילו על איסור דרבנן דבש"ס סוטה דף מ"ד בהא דמשני התם אפ"ת ר"י הגלילי וכדרבא כו' ע"ש משמע דאפילו איסור דרבנן ליכא בקידש לחודא וע' בס' בית מאיר לעיל ר"ס ט"ו ג"כ מזה)</w:t>
      </w:r>
      <w:r w:rsidRPr="00351B7D">
        <w:rPr>
          <w:rFonts w:asciiTheme="minorBidi" w:hAnsiTheme="minorBidi"/>
          <w:rtl/>
        </w:rPr>
        <w:t xml:space="preserve"> וא"כ אף לפי טעות השואל דקרא דאל תשת ידך מיירי בכה"ג שמסייע לדבר עבירה מ"מ כאן אף המקדש בעצמו לא נפסל לעדות כל כמה דלא בעל ומכ"ש העדים המסייעים וצ"ע".</w:t>
      </w:r>
    </w:p>
  </w:footnote>
  <w:footnote w:id="560">
    <w:p w14:paraId="0CB0942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והב"ש כ' עליו דלא משמע כן מדברי כל הפוסקים. והנו"ב (סי' נ"ז) כ' דודאי אפי' להשלט"ג אם העידו ב' גזלנים שפלונית נתקדשה אין חוששין לעדותן כלל ואינה צריכה גט כלל דגם השלט"ג מודה דהגזלנים עדותן פסול מה"ת רק דס"ל דעיקר פסולו שהוא חשוד להעיד שקר בשביל ממון אבל אם היינו יודעים בודאי שלא לקח ממון היה עדותו כשר כו', וא"כ המקדש בפני גזלנים לא מקרי מקדש שלא בפני עדים דאפי' שניהם מודים אין כאן קדושין אלא אם היא מודה שנתקדשה בפניהם צריכה גט אבל אם היא מכחשת פשיטא שאין עדותו כלום מה"ת שהתורה חשדתו שמשקר בשביל שוחד, זהו כוונת השלט"ג, אבל באמת יפה כ' הב"ש שאין נראה כן מדברי שאר כל הפוסקים וגם לענ"ד נדחים דבריו מדברי הגמרא כו'.</w:t>
      </w:r>
    </w:p>
  </w:footnote>
  <w:footnote w:id="561">
    <w:p w14:paraId="6D2FAEC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וכמ"ש בשו"ת תמים דעים </w:t>
      </w:r>
      <w:r w:rsidRPr="00351B7D">
        <w:rPr>
          <w:rFonts w:asciiTheme="minorBidi" w:hAnsiTheme="minorBidi"/>
          <w:sz w:val="16"/>
          <w:szCs w:val="16"/>
          <w:rtl/>
        </w:rPr>
        <w:t xml:space="preserve">(סי' פג) </w:t>
      </w:r>
      <w:r w:rsidRPr="00351B7D">
        <w:rPr>
          <w:rFonts w:asciiTheme="minorBidi" w:hAnsiTheme="minorBidi"/>
          <w:rtl/>
        </w:rPr>
        <w:t xml:space="preserve">והוא מטעם שכ' הלח"מ </w:t>
      </w:r>
      <w:r w:rsidRPr="00351B7D">
        <w:rPr>
          <w:rFonts w:asciiTheme="minorBidi" w:hAnsiTheme="minorBidi"/>
          <w:sz w:val="16"/>
          <w:szCs w:val="16"/>
          <w:rtl/>
        </w:rPr>
        <w:t>(פ"ד מה"א)</w:t>
      </w:r>
      <w:r w:rsidRPr="00351B7D">
        <w:rPr>
          <w:rFonts w:asciiTheme="minorBidi" w:hAnsiTheme="minorBidi"/>
          <w:rtl/>
        </w:rPr>
        <w:t>, וכ"כ הרב המשיב בשו"ת שיטה מקובצת</w:t>
      </w:r>
      <w:r w:rsidRPr="00351B7D">
        <w:rPr>
          <w:rFonts w:asciiTheme="minorBidi" w:hAnsiTheme="minorBidi"/>
          <w:sz w:val="16"/>
          <w:szCs w:val="16"/>
          <w:rtl/>
        </w:rPr>
        <w:t xml:space="preserve"> (סי' יט)</w:t>
      </w:r>
      <w:r w:rsidRPr="00351B7D">
        <w:rPr>
          <w:rFonts w:asciiTheme="minorBidi" w:hAnsiTheme="minorBidi"/>
          <w:rtl/>
        </w:rPr>
        <w:t xml:space="preserve">, פת"ש. (וכן פירשו הה"מ והכס"מ את דברי הרמב"ם </w:t>
      </w:r>
      <w:r w:rsidRPr="00351B7D">
        <w:rPr>
          <w:rFonts w:asciiTheme="minorBidi" w:hAnsiTheme="minorBidi"/>
          <w:sz w:val="16"/>
          <w:szCs w:val="16"/>
          <w:rtl/>
        </w:rPr>
        <w:t>(בפ"א ה"ב מהל' אישות)</w:t>
      </w:r>
      <w:r w:rsidRPr="00351B7D">
        <w:rPr>
          <w:rFonts w:asciiTheme="minorBidi" w:hAnsiTheme="minorBidi"/>
          <w:rtl/>
        </w:rPr>
        <w:t xml:space="preserve">- "ובאחד משלשה דברים האשה נקנית, בכסף או בשטר או בביאה, בביאה ובשטר מן התורה ובכסף מדברי סופרים" דברי סופרים היינו כדברי תורה ממש, שכך היא דרך הרמב"ם שדבר הנלמד בג"ש דבר תורה ממש הוא ודינו ככל דברים המפורשים בתורה ולא קרי להו דרבנן אלא לומר שאלמלא שהם קבלוהו כן מסיני לא היינו מפרשים אותו כך) </w:t>
      </w:r>
    </w:p>
  </w:footnote>
  <w:footnote w:id="562">
    <w:p w14:paraId="5950B44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דייחוד הוי חופה הוא מדאמרינן דהיכא דפירסה נדה אינו מעלה לה מזונות, ומדוע לא? והא חזיא לנישואין! אלא משמע דכל שאינו יכול להתייחד עימה אינה חזיה לנישואין, ומכאן דחופה היינו ייחוד, ע"פ הר"ן.</w:t>
      </w:r>
    </w:p>
  </w:footnote>
  <w:footnote w:id="563">
    <w:p w14:paraId="0820D34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w:t>
      </w:r>
      <w:r w:rsidRPr="00351B7D">
        <w:rPr>
          <w:rFonts w:asciiTheme="minorBidi" w:hAnsiTheme="minorBidi"/>
          <w:sz w:val="16"/>
          <w:szCs w:val="16"/>
          <w:rtl/>
        </w:rPr>
        <w:t xml:space="preserve">(פ"י מה"א ה"א-ב) </w:t>
      </w:r>
      <w:r w:rsidRPr="00351B7D">
        <w:rPr>
          <w:rFonts w:asciiTheme="minorBidi" w:hAnsiTheme="minorBidi"/>
          <w:rtl/>
        </w:rPr>
        <w:t xml:space="preserve">(מרדכי </w:t>
      </w:r>
      <w:r w:rsidRPr="00351B7D">
        <w:rPr>
          <w:rFonts w:asciiTheme="minorBidi" w:hAnsiTheme="minorBidi"/>
          <w:sz w:val="16"/>
          <w:szCs w:val="16"/>
          <w:rtl/>
        </w:rPr>
        <w:t xml:space="preserve">[ביצה סי' תרחצ] </w:t>
      </w:r>
      <w:r w:rsidRPr="00351B7D">
        <w:rPr>
          <w:rFonts w:asciiTheme="minorBidi" w:hAnsiTheme="minorBidi"/>
          <w:rtl/>
        </w:rPr>
        <w:t xml:space="preserve">ומהרי"ל </w:t>
      </w:r>
      <w:r w:rsidRPr="00351B7D">
        <w:rPr>
          <w:rFonts w:asciiTheme="minorBidi" w:hAnsiTheme="minorBidi"/>
          <w:sz w:val="16"/>
          <w:szCs w:val="16"/>
          <w:rtl/>
        </w:rPr>
        <w:t>[הל' שבת אות יח] להב' הב"ש [סי' ס"ד סק"ו]</w:t>
      </w:r>
      <w:r w:rsidRPr="00351B7D">
        <w:rPr>
          <w:rFonts w:asciiTheme="minorBidi" w:hAnsiTheme="minorBidi"/>
          <w:rtl/>
        </w:rPr>
        <w:t>).</w:t>
      </w:r>
    </w:p>
  </w:footnote>
  <w:footnote w:id="564">
    <w:p w14:paraId="6E54EE5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עד שיביא אותה לתוך ביתו ויתייחד עמה ויפרישנה לו ויחוד זה הוא הנקרא כניסה לחופה והוא הנקרא נישואין בכל מקום. ולא הזכיר השו"ע שם שצריך שתיהיה ראויה לביאה, אבל בסי' זה בסע' שלנו כן הזכיר </w:t>
      </w:r>
      <w:r w:rsidRPr="00351B7D">
        <w:rPr>
          <w:rFonts w:asciiTheme="minorBidi" w:hAnsiTheme="minorBidi"/>
          <w:sz w:val="16"/>
          <w:szCs w:val="16"/>
          <w:rtl/>
        </w:rPr>
        <w:t>(ונ"ל שלא הזכיר שם [בסי' נה] דבר זה משום דס"ל שאע"פ שהיא נדה אין זה מעכב את הנשואין בדיעבד או בשעה"ד כמו שיתבאר לקמן בסע' ב)</w:t>
      </w:r>
    </w:p>
  </w:footnote>
  <w:footnote w:id="565">
    <w:p w14:paraId="4B48E41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בדברי רי"ו שהעתיק הב"י איתא 'לרשותה', אך ברי"ו לפנינו כ'- 'לרשותו'. וכ' הר"ן דילפינן לה מדכתיב </w:t>
      </w:r>
      <w:r w:rsidRPr="00351B7D">
        <w:rPr>
          <w:rFonts w:asciiTheme="minorBidi" w:hAnsiTheme="minorBidi"/>
          <w:sz w:val="14"/>
          <w:szCs w:val="14"/>
          <w:rtl/>
        </w:rPr>
        <w:t xml:space="preserve">(במדבר ל יא) </w:t>
      </w:r>
      <w:r w:rsidRPr="00351B7D">
        <w:rPr>
          <w:rFonts w:asciiTheme="minorBidi" w:hAnsiTheme="minorBidi"/>
          <w:rtl/>
        </w:rPr>
        <w:t xml:space="preserve">ואם בית אישה נדרה דמשמע דכל זמן שהיא בבית אישה הרי היא ברשותו, וחופה לאו היינו ייחוד מדאמרינן לקמן (יא.) דאלמנה מן הנישואין אין לה אלא מנה אע"פ שעידיה מעידים עליה שלא נסתרה ולא נבעלה אלמא חופה לאו היינו ייחוד. וכתבו הט"ז </w:t>
      </w:r>
      <w:r w:rsidRPr="00351B7D">
        <w:rPr>
          <w:rFonts w:asciiTheme="minorBidi" w:hAnsiTheme="minorBidi"/>
          <w:sz w:val="16"/>
          <w:szCs w:val="16"/>
          <w:rtl/>
        </w:rPr>
        <w:t>(סק"ד</w:t>
      </w:r>
      <w:r w:rsidRPr="00351B7D">
        <w:rPr>
          <w:rFonts w:asciiTheme="minorBidi" w:hAnsiTheme="minorBidi"/>
          <w:rtl/>
        </w:rPr>
        <w:t xml:space="preserve"> באה"ג </w:t>
      </w:r>
      <w:r w:rsidRPr="00351B7D">
        <w:rPr>
          <w:rFonts w:asciiTheme="minorBidi" w:hAnsiTheme="minorBidi"/>
          <w:sz w:val="16"/>
          <w:szCs w:val="16"/>
          <w:rtl/>
        </w:rPr>
        <w:t>(אות ה)</w:t>
      </w:r>
      <w:r w:rsidRPr="00351B7D">
        <w:rPr>
          <w:rFonts w:asciiTheme="minorBidi" w:hAnsiTheme="minorBidi"/>
          <w:rtl/>
        </w:rPr>
        <w:t xml:space="preserve"> ועוד דכן מוכח מדברי הרמ"א בסע' ב', וכן הסכים הט"ז (סק"ד) דחופה לאו היינו ייחוד. (וצל"ע על הבנתם בדברי הרמ"א, שהרי הרמ"א כאן כ' לעיין בסי' נה, ושם </w:t>
      </w:r>
      <w:r w:rsidRPr="00351B7D">
        <w:rPr>
          <w:rFonts w:asciiTheme="minorBidi" w:hAnsiTheme="minorBidi"/>
          <w:sz w:val="16"/>
          <w:szCs w:val="16"/>
          <w:rtl/>
        </w:rPr>
        <w:t xml:space="preserve">(בסי' נה ס"א) </w:t>
      </w:r>
      <w:r w:rsidRPr="00351B7D">
        <w:rPr>
          <w:rFonts w:asciiTheme="minorBidi" w:hAnsiTheme="minorBidi"/>
          <w:rtl/>
        </w:rPr>
        <w:t xml:space="preserve">כתב וז"ל- "והמנהג פשוט עכשיו לקרות חופה מקום שמכניסים שם יריעה פרוסה על גבי כלונסות, ומכניסים תחתיה החתן והכלה ברבים, ומקדשה שם ומברכין שם ברכת ארוסין ונשואין, ואח"כ מוליכים אותם לבית ואוכלים ביחד במקום צנוע, וזהו החופה הנוהגת עכשיו". עכ"ל. וכ' ערוה"ש שכוונת הרמ"א לומר שעיקר גמר החופה הוא מה שאוכלין יחד במקום צנוע דזהו כיחוד ולכן יש למנוע מלילך שם רבים, וכ"כ הב"ח, ולפי דברינו לקמן שכתבנו דייחוד שהצריכו הוא ייחוד גרוע- הוי האכילה במקום מוצנע ייחוד גרוע ומועיל לעשותה נשואה, וכמו שכתבו הפרישה </w:t>
      </w:r>
      <w:r w:rsidRPr="00351B7D">
        <w:rPr>
          <w:rFonts w:asciiTheme="minorBidi" w:hAnsiTheme="minorBidi"/>
          <w:sz w:val="16"/>
          <w:szCs w:val="16"/>
          <w:rtl/>
        </w:rPr>
        <w:t xml:space="preserve">(סי' ס"ב סוף אות א) </w:t>
      </w:r>
      <w:r w:rsidRPr="00351B7D">
        <w:rPr>
          <w:rFonts w:asciiTheme="minorBidi" w:hAnsiTheme="minorBidi"/>
          <w:rtl/>
        </w:rPr>
        <w:t xml:space="preserve">וב"ש </w:t>
      </w:r>
      <w:r w:rsidRPr="00351B7D">
        <w:rPr>
          <w:rFonts w:asciiTheme="minorBidi" w:hAnsiTheme="minorBidi"/>
          <w:sz w:val="16"/>
          <w:szCs w:val="16"/>
          <w:rtl/>
        </w:rPr>
        <w:t>(סי' ס"ב סק"א)</w:t>
      </w:r>
      <w:r w:rsidRPr="00351B7D">
        <w:rPr>
          <w:rFonts w:asciiTheme="minorBidi" w:hAnsiTheme="minorBidi"/>
          <w:rtl/>
        </w:rPr>
        <w:t>, וא"כ גם דעת הרמ"א דייחוד קונה</w:t>
      </w:r>
      <w:r w:rsidRPr="00351B7D">
        <w:rPr>
          <w:rFonts w:asciiTheme="minorBidi" w:hAnsiTheme="minorBidi"/>
          <w:sz w:val="16"/>
          <w:szCs w:val="16"/>
          <w:rtl/>
        </w:rPr>
        <w:t xml:space="preserve"> </w:t>
      </w:r>
      <w:r w:rsidRPr="00351B7D">
        <w:rPr>
          <w:rFonts w:asciiTheme="minorBidi" w:hAnsiTheme="minorBidi"/>
          <w:sz w:val="14"/>
          <w:szCs w:val="14"/>
          <w:rtl/>
        </w:rPr>
        <w:t>[ואין קושיא מדברי הר"ן לעיל דהתם [קדושין יא.] מיירי בייחוד ממש וכאן בייחוד גרוע]</w:t>
      </w:r>
      <w:r w:rsidRPr="00351B7D">
        <w:rPr>
          <w:rFonts w:asciiTheme="minorBidi" w:hAnsiTheme="minorBidi"/>
          <w:rtl/>
        </w:rPr>
        <w:t>).</w:t>
      </w:r>
    </w:p>
  </w:footnote>
  <w:footnote w:id="566">
    <w:p w14:paraId="46620CE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בהעי"ט </w:t>
      </w:r>
      <w:r w:rsidRPr="00351B7D">
        <w:rPr>
          <w:rFonts w:asciiTheme="minorBidi" w:hAnsiTheme="minorBidi"/>
          <w:sz w:val="16"/>
          <w:szCs w:val="16"/>
          <w:rtl/>
        </w:rPr>
        <w:t>(ש"ב ברכת חתנים ד"ה חלק שני)</w:t>
      </w:r>
      <w:r w:rsidRPr="00351B7D">
        <w:rPr>
          <w:rFonts w:asciiTheme="minorBidi" w:hAnsiTheme="minorBidi"/>
          <w:rtl/>
        </w:rPr>
        <w:t xml:space="preserve"> וא"ח </w:t>
      </w:r>
      <w:r w:rsidRPr="00351B7D">
        <w:rPr>
          <w:rFonts w:asciiTheme="minorBidi" w:hAnsiTheme="minorBidi"/>
          <w:sz w:val="16"/>
          <w:szCs w:val="16"/>
          <w:rtl/>
        </w:rPr>
        <w:t>(הל' כתובות סי' ד)</w:t>
      </w:r>
      <w:r w:rsidRPr="00351B7D">
        <w:rPr>
          <w:rFonts w:asciiTheme="minorBidi" w:hAnsiTheme="minorBidi"/>
          <w:rtl/>
        </w:rPr>
        <w:t>.</w:t>
      </w:r>
    </w:p>
  </w:footnote>
  <w:footnote w:id="567">
    <w:p w14:paraId="3A960AF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כגון אלו הסדינין קור"טתט סביבות הכותלים ויש שעושין סוכה בוורד והדס כפי המנהג, בהעי"ט (שם).</w:t>
      </w:r>
    </w:p>
  </w:footnote>
  <w:footnote w:id="568">
    <w:p w14:paraId="29300BD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והאומר חופה היא הסודר שחופין ראשיהן בשעת הברכה לאו מלתא, מדגרסינן בסוכה וליחדו בחופה וליכלי בסוכה אין שמחה אלא בחופה, גרסי' בירושלמי (כתובות פ"ז ה"ז) עד שתכנוס לחופה לא סוף דבר לחופה אבל לבית שיש בו חופה, ש"מ מקום מיוחד כעין כילה שיושבין ביניהם השושבינין והם הנשואין... וגרסי' בירושלמי בפ"ג דסוכה אלו הן חופת חתנים סדינין המצויירין וסהרוני זהב תולין בהם ואעפ"י שמנהג הכילה אינו אלא לבתולה, באלמנה נמי כיון שנכנסה לשם נשואין ויש בו מקום מיוחד והצעת המטה להתייחד שניהם הרי הוא כבית שיש בו חופה, בהעי"ט.</w:t>
      </w:r>
    </w:p>
  </w:footnote>
  <w:footnote w:id="569">
    <w:p w14:paraId="3342E39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ואיפשטא דחיבת חופה קונה, בה"ג ר"ח רי"ף רמב"ם ועוד. והא דבעי רב אשי לקמן היא שאלה אחרת </w:t>
      </w:r>
      <w:r w:rsidRPr="00351B7D">
        <w:rPr>
          <w:rFonts w:asciiTheme="minorBidi" w:hAnsiTheme="minorBidi"/>
          <w:sz w:val="16"/>
          <w:szCs w:val="16"/>
          <w:rtl/>
        </w:rPr>
        <w:t>(האם חופת נדה נקראת חופה)</w:t>
      </w:r>
      <w:r w:rsidRPr="00351B7D">
        <w:rPr>
          <w:rFonts w:asciiTheme="minorBidi" w:hAnsiTheme="minorBidi"/>
          <w:rtl/>
        </w:rPr>
        <w:t>.</w:t>
      </w:r>
    </w:p>
  </w:footnote>
  <w:footnote w:id="570">
    <w:p w14:paraId="2822D3D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לאחר דפשטינן דחיבת חופה קונה-...</w:t>
      </w:r>
    </w:p>
  </w:footnote>
  <w:footnote w:id="571">
    <w:p w14:paraId="5B254507"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זו לשון הגמ', ויש לשים לב שיש שוני בכתיבת הזמן שבו פירסה הכלה נדה, הרי"ף רמב"ם רא"ש </w:t>
      </w:r>
      <w:r w:rsidRPr="00351B7D">
        <w:rPr>
          <w:rFonts w:asciiTheme="minorBidi" w:hAnsiTheme="minorBidi"/>
          <w:sz w:val="16"/>
          <w:szCs w:val="16"/>
          <w:rtl/>
        </w:rPr>
        <w:t xml:space="preserve">(פ"ה סי' ו) </w:t>
      </w:r>
      <w:r w:rsidRPr="00351B7D">
        <w:rPr>
          <w:rFonts w:asciiTheme="minorBidi" w:hAnsiTheme="minorBidi"/>
          <w:sz w:val="20"/>
          <w:szCs w:val="20"/>
          <w:rtl/>
        </w:rPr>
        <w:t>ור"ן כתבו את מה שכתבו באשה שפירסה נדה קודם שנכנסה לחופה.</w:t>
      </w:r>
      <w:r w:rsidRPr="00351B7D">
        <w:rPr>
          <w:rFonts w:asciiTheme="minorBidi" w:hAnsiTheme="minorBidi"/>
          <w:color w:val="E36C0A" w:themeColor="accent6" w:themeShade="BF"/>
          <w:sz w:val="20"/>
          <w:szCs w:val="20"/>
          <w:rtl/>
        </w:rPr>
        <w:t xml:space="preserve"> </w:t>
      </w:r>
      <w:r w:rsidRPr="00351B7D">
        <w:rPr>
          <w:rFonts w:asciiTheme="minorBidi" w:hAnsiTheme="minorBidi"/>
          <w:sz w:val="20"/>
          <w:szCs w:val="20"/>
          <w:rtl/>
        </w:rPr>
        <w:t xml:space="preserve">ובזה גם דיבר בשו"ע. הריטב"א דיבר באשה שפירסה נדה לאחר שנכנסה לחופה </w:t>
      </w:r>
      <w:r w:rsidRPr="00351B7D">
        <w:rPr>
          <w:rFonts w:asciiTheme="minorBidi" w:hAnsiTheme="minorBidi"/>
          <w:sz w:val="16"/>
          <w:szCs w:val="16"/>
          <w:rtl/>
        </w:rPr>
        <w:t>(ולא נתבאר בדברי הריטב"א כמה זמן אחר החופה פירסה נדה)</w:t>
      </w:r>
      <w:r w:rsidRPr="00351B7D">
        <w:rPr>
          <w:rFonts w:asciiTheme="minorBidi" w:hAnsiTheme="minorBidi"/>
          <w:sz w:val="20"/>
          <w:szCs w:val="20"/>
          <w:rtl/>
        </w:rPr>
        <w:t>, אבל אם נעשתה נדה קודם החופה פשיטא ליה שאינו קונה את התוספת, ובזה לא הסתפק רב אשי. ר"י</w:t>
      </w:r>
      <w:r w:rsidRPr="00351B7D">
        <w:rPr>
          <w:rFonts w:asciiTheme="minorBidi" w:hAnsiTheme="minorBidi"/>
          <w:sz w:val="20"/>
          <w:szCs w:val="20"/>
          <w:rtl/>
        </w:rPr>
        <w:softHyphen/>
      </w:r>
      <w:r w:rsidRPr="00351B7D">
        <w:rPr>
          <w:rFonts w:asciiTheme="minorBidi" w:hAnsiTheme="minorBidi"/>
          <w:sz w:val="20"/>
          <w:szCs w:val="20"/>
          <w:rtl/>
        </w:rPr>
        <w:softHyphen/>
      </w:r>
      <w:r w:rsidRPr="00351B7D">
        <w:rPr>
          <w:rFonts w:asciiTheme="minorBidi" w:hAnsiTheme="minorBidi"/>
          <w:sz w:val="20"/>
          <w:szCs w:val="20"/>
          <w:rtl/>
        </w:rPr>
        <w:softHyphen/>
        <w:t xml:space="preserve"> מרדכי כל בו והגה"א כתבו שמדובר בחופה שהחתן סבור שהיא טהורה בשעת חופה ונמצאת נדה </w:t>
      </w:r>
      <w:r w:rsidRPr="00351B7D">
        <w:rPr>
          <w:rFonts w:asciiTheme="minorBidi" w:hAnsiTheme="minorBidi"/>
          <w:sz w:val="16"/>
          <w:szCs w:val="16"/>
          <w:rtl/>
        </w:rPr>
        <w:t>(משום הכי מספקא ליה אי קניא דשמא חיבת בעילה קניא ואילו ידע החתן שאינו יכול לבעול עתה שמא לא היה כונס עתה)</w:t>
      </w:r>
      <w:r w:rsidRPr="00351B7D">
        <w:rPr>
          <w:rFonts w:asciiTheme="minorBidi" w:hAnsiTheme="minorBidi"/>
          <w:sz w:val="20"/>
          <w:szCs w:val="20"/>
          <w:rtl/>
        </w:rPr>
        <w:t xml:space="preserve">. </w:t>
      </w:r>
    </w:p>
  </w:footnote>
  <w:footnote w:id="572">
    <w:p w14:paraId="3FD615A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מקצת גאונים </w:t>
      </w:r>
      <w:r w:rsidRPr="00351B7D">
        <w:rPr>
          <w:rFonts w:asciiTheme="minorBidi" w:hAnsiTheme="minorBidi"/>
          <w:sz w:val="16"/>
          <w:szCs w:val="16"/>
          <w:rtl/>
        </w:rPr>
        <w:t>(הביאם הה"מ)</w:t>
      </w:r>
      <w:r w:rsidRPr="00351B7D">
        <w:rPr>
          <w:rFonts w:asciiTheme="minorBidi" w:hAnsiTheme="minorBidi"/>
          <w:rtl/>
        </w:rPr>
        <w:t xml:space="preserve"> רי"ף </w:t>
      </w:r>
      <w:r w:rsidRPr="00351B7D">
        <w:rPr>
          <w:rFonts w:asciiTheme="minorBidi" w:hAnsiTheme="minorBidi"/>
          <w:sz w:val="16"/>
          <w:szCs w:val="16"/>
          <w:rtl/>
        </w:rPr>
        <w:t xml:space="preserve">(כ"כ הר"ן בשמו) </w:t>
      </w:r>
      <w:r w:rsidRPr="00351B7D">
        <w:rPr>
          <w:rFonts w:asciiTheme="minorBidi" w:hAnsiTheme="minorBidi"/>
          <w:rtl/>
        </w:rPr>
        <w:t xml:space="preserve">ר"י מיגא"ש </w:t>
      </w:r>
      <w:r w:rsidRPr="00351B7D">
        <w:rPr>
          <w:rFonts w:asciiTheme="minorBidi" w:hAnsiTheme="minorBidi"/>
          <w:sz w:val="16"/>
          <w:szCs w:val="16"/>
          <w:rtl/>
        </w:rPr>
        <w:t>(הביאו הה"מ)</w:t>
      </w:r>
      <w:r w:rsidRPr="00351B7D">
        <w:rPr>
          <w:rFonts w:asciiTheme="minorBidi" w:hAnsiTheme="minorBidi"/>
          <w:rtl/>
        </w:rPr>
        <w:t xml:space="preserve"> ורמב"ם </w:t>
      </w:r>
      <w:r w:rsidRPr="00351B7D">
        <w:rPr>
          <w:rFonts w:asciiTheme="minorBidi" w:hAnsiTheme="minorBidi"/>
          <w:sz w:val="16"/>
          <w:szCs w:val="16"/>
          <w:rtl/>
        </w:rPr>
        <w:t>(פ"י מהל' אישות ה"ב)</w:t>
      </w:r>
      <w:r w:rsidRPr="00351B7D">
        <w:rPr>
          <w:rFonts w:asciiTheme="minorBidi" w:hAnsiTheme="minorBidi"/>
          <w:rtl/>
        </w:rPr>
        <w:t>.</w:t>
      </w:r>
    </w:p>
  </w:footnote>
  <w:footnote w:id="573">
    <w:p w14:paraId="1309880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כיון דבעינן חופה הראויה לביאה. "וכיון דעלתה בתיקו לא הויא חופה כלל לא קנאה לא ליורשה ולא ליטמא לה ולא לשום דבר", ב"י</w:t>
      </w:r>
      <w:r w:rsidRPr="00351B7D">
        <w:rPr>
          <w:rFonts w:asciiTheme="minorBidi" w:hAnsiTheme="minorBidi"/>
          <w:sz w:val="16"/>
          <w:szCs w:val="16"/>
          <w:rtl/>
        </w:rPr>
        <w:t xml:space="preserve"> (יו"ד סי' קצב סע' ד)</w:t>
      </w:r>
      <w:r w:rsidRPr="00351B7D">
        <w:rPr>
          <w:rFonts w:asciiTheme="minorBidi" w:hAnsiTheme="minorBidi"/>
          <w:rtl/>
        </w:rPr>
        <w:t>.</w:t>
      </w:r>
    </w:p>
  </w:footnote>
  <w:footnote w:id="574">
    <w:p w14:paraId="6FB43EA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דכבר נודע דרך הגאונים והרמב"ם דכי בעי בעיא באת"ל דבעיא קמייתא הוי כאילו נפשטה ההיא בעיא קמייתא</w:t>
      </w:r>
      <w:r w:rsidRPr="00351B7D">
        <w:rPr>
          <w:rFonts w:asciiTheme="minorBidi" w:hAnsiTheme="minorBidi"/>
          <w:sz w:val="16"/>
          <w:szCs w:val="16"/>
          <w:rtl/>
        </w:rPr>
        <w:t xml:space="preserve"> (היינו שפוסקים כ-"אם תמצי לומר")</w:t>
      </w:r>
      <w:r w:rsidRPr="00351B7D">
        <w:rPr>
          <w:rFonts w:asciiTheme="minorBidi" w:hAnsiTheme="minorBidi"/>
          <w:rtl/>
        </w:rPr>
        <w:t>, ב"י.</w:t>
      </w:r>
      <w:r w:rsidRPr="00351B7D">
        <w:rPr>
          <w:rFonts w:asciiTheme="minorBidi" w:hAnsiTheme="minorBidi"/>
          <w:sz w:val="16"/>
          <w:szCs w:val="16"/>
          <w:rtl/>
        </w:rPr>
        <w:t xml:space="preserve"> (ויש קצת פוסקים (ריצב"א וכו' [הביאו הראנ"ח ח"א סי' ס"ז]) שחולקים ע"ז ואומרים דאת"ל לאו פשיטות הוא והוי אבעיא דלא איפשטא)</w:t>
      </w:r>
    </w:p>
  </w:footnote>
  <w:footnote w:id="575">
    <w:p w14:paraId="70D4326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רא"ש</w:t>
      </w:r>
      <w:r w:rsidRPr="00351B7D">
        <w:rPr>
          <w:rFonts w:asciiTheme="minorBidi" w:hAnsiTheme="minorBidi"/>
          <w:sz w:val="16"/>
          <w:szCs w:val="16"/>
          <w:rtl/>
        </w:rPr>
        <w:t xml:space="preserve"> (כתובות פ"ה ס"ו)</w:t>
      </w:r>
      <w:r w:rsidRPr="00351B7D">
        <w:rPr>
          <w:rFonts w:asciiTheme="minorBidi" w:hAnsiTheme="minorBidi"/>
          <w:rtl/>
        </w:rPr>
        <w:t xml:space="preserve"> ר"ן </w:t>
      </w:r>
      <w:r w:rsidRPr="00351B7D">
        <w:rPr>
          <w:rFonts w:asciiTheme="minorBidi" w:hAnsiTheme="minorBidi"/>
          <w:sz w:val="16"/>
          <w:szCs w:val="16"/>
          <w:rtl/>
        </w:rPr>
        <w:t xml:space="preserve">(כתובות כב: ד"ה ופירסה) </w:t>
      </w:r>
      <w:r w:rsidRPr="00351B7D">
        <w:rPr>
          <w:rFonts w:asciiTheme="minorBidi" w:hAnsiTheme="minorBidi"/>
          <w:rtl/>
        </w:rPr>
        <w:t xml:space="preserve">ונמוק"י </w:t>
      </w:r>
      <w:r w:rsidRPr="00351B7D">
        <w:rPr>
          <w:rFonts w:asciiTheme="minorBidi" w:hAnsiTheme="minorBidi"/>
          <w:sz w:val="16"/>
          <w:szCs w:val="16"/>
          <w:rtl/>
        </w:rPr>
        <w:t>(יבמות תכג ע"ב)</w:t>
      </w:r>
      <w:r w:rsidRPr="00351B7D">
        <w:rPr>
          <w:rFonts w:asciiTheme="minorBidi" w:hAnsiTheme="minorBidi"/>
          <w:rtl/>
        </w:rPr>
        <w:t xml:space="preserve">. </w:t>
      </w:r>
    </w:p>
  </w:footnote>
  <w:footnote w:id="576">
    <w:p w14:paraId="179F94C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הרא"ש דחה את דברי הרמב"ם, וגם הר"ן כ' על דברי הרמב"ם- "והדבר תימה כיון דקיי"ל ביבמות (נז:) דיש חופה לפסולות</w:t>
      </w:r>
      <w:r w:rsidRPr="00351B7D">
        <w:rPr>
          <w:rFonts w:asciiTheme="minorBidi" w:hAnsiTheme="minorBidi"/>
          <w:sz w:val="16"/>
          <w:szCs w:val="16"/>
          <w:rtl/>
        </w:rPr>
        <w:t xml:space="preserve"> (כגון אלמנה לכה"ג)</w:t>
      </w:r>
      <w:r w:rsidRPr="00351B7D">
        <w:rPr>
          <w:rFonts w:asciiTheme="minorBidi" w:hAnsiTheme="minorBidi"/>
          <w:rtl/>
        </w:rPr>
        <w:t>, נדה למה לא תקנה לפיכך נראה ד-...".</w:t>
      </w:r>
    </w:p>
  </w:footnote>
  <w:footnote w:id="577">
    <w:p w14:paraId="601B890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כיון דבעיא דרב אשי סלקא בתיקו מספיקא לא מפקינן ממונא. </w:t>
      </w:r>
      <w:r w:rsidRPr="00351B7D">
        <w:rPr>
          <w:rFonts w:asciiTheme="minorBidi" w:hAnsiTheme="minorBidi"/>
          <w:sz w:val="16"/>
          <w:szCs w:val="16"/>
          <w:rtl/>
        </w:rPr>
        <w:t>(וכדמשמע מהמשנה שכל הבעיא היא רק גבי תוספת שהרי לא כ' לה תוספת אלא ע"מ לכונסה, אבל עיקר כתובה ודאי יש לה, כך נ"ל)</w:t>
      </w:r>
    </w:p>
  </w:footnote>
  <w:footnote w:id="578">
    <w:p w14:paraId="1B63EF1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w:t>
      </w:r>
      <w:r w:rsidRPr="00351B7D">
        <w:rPr>
          <w:rFonts w:asciiTheme="minorBidi" w:hAnsiTheme="minorBidi"/>
          <w:rtl/>
        </w:rPr>
        <w:softHyphen/>
      </w:r>
      <w:r w:rsidRPr="00351B7D">
        <w:rPr>
          <w:rFonts w:asciiTheme="minorBidi" w:hAnsiTheme="minorBidi"/>
          <w:rtl/>
        </w:rPr>
        <w:softHyphen/>
      </w:r>
      <w:r w:rsidRPr="00351B7D">
        <w:rPr>
          <w:rFonts w:asciiTheme="minorBidi" w:hAnsiTheme="minorBidi"/>
          <w:rtl/>
        </w:rPr>
        <w:softHyphen/>
      </w:r>
      <w:r w:rsidRPr="00351B7D">
        <w:rPr>
          <w:rFonts w:asciiTheme="minorBidi" w:hAnsiTheme="minorBidi"/>
          <w:sz w:val="16"/>
          <w:szCs w:val="16"/>
          <w:rtl/>
        </w:rPr>
        <w:t xml:space="preserve"> (הביאוהו המרדכי והגה"א)</w:t>
      </w:r>
      <w:r w:rsidRPr="00351B7D">
        <w:rPr>
          <w:rFonts w:asciiTheme="minorBidi" w:hAnsiTheme="minorBidi"/>
          <w:rtl/>
        </w:rPr>
        <w:t xml:space="preserve"> מרדכי </w:t>
      </w:r>
      <w:r w:rsidRPr="00351B7D">
        <w:rPr>
          <w:rFonts w:asciiTheme="minorBidi" w:hAnsiTheme="minorBidi"/>
          <w:sz w:val="16"/>
          <w:szCs w:val="16"/>
          <w:rtl/>
        </w:rPr>
        <w:t xml:space="preserve">(כתובות סי' קעח) </w:t>
      </w:r>
      <w:r w:rsidRPr="00351B7D">
        <w:rPr>
          <w:rFonts w:asciiTheme="minorBidi" w:hAnsiTheme="minorBidi"/>
          <w:rtl/>
        </w:rPr>
        <w:t>כל בו</w:t>
      </w:r>
      <w:r w:rsidRPr="00351B7D">
        <w:rPr>
          <w:rFonts w:asciiTheme="minorBidi" w:hAnsiTheme="minorBidi"/>
          <w:sz w:val="16"/>
          <w:szCs w:val="16"/>
          <w:rtl/>
        </w:rPr>
        <w:t xml:space="preserve"> (סי' עה מג ע"ג) </w:t>
      </w:r>
      <w:r w:rsidRPr="00351B7D">
        <w:rPr>
          <w:rFonts w:asciiTheme="minorBidi" w:hAnsiTheme="minorBidi"/>
          <w:rtl/>
        </w:rPr>
        <w:t>והגה"א</w:t>
      </w:r>
      <w:r w:rsidRPr="00351B7D">
        <w:rPr>
          <w:rStyle w:val="a7"/>
          <w:rFonts w:asciiTheme="minorBidi" w:hAnsiTheme="minorBidi"/>
          <w:rtl/>
        </w:rPr>
        <w:footnoteRef/>
      </w:r>
      <w:r w:rsidRPr="00351B7D">
        <w:rPr>
          <w:rFonts w:asciiTheme="minorBidi" w:hAnsiTheme="minorBidi"/>
          <w:sz w:val="16"/>
          <w:szCs w:val="16"/>
          <w:rtl/>
        </w:rPr>
        <w:t xml:space="preserve"> (כתובות פ"ה ס"ו)</w:t>
      </w:r>
      <w:r w:rsidRPr="00351B7D">
        <w:rPr>
          <w:rFonts w:asciiTheme="minorBidi" w:hAnsiTheme="minorBidi"/>
          <w:rtl/>
        </w:rPr>
        <w:t>.</w:t>
      </w:r>
    </w:p>
  </w:footnote>
  <w:footnote w:id="579">
    <w:p w14:paraId="63D8054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דשמא חיבת בעילה קניא ואילו ידע החתן שאינו יכול לבעול עתה שמא לא היה כונס עתה </w:t>
      </w:r>
      <w:r w:rsidRPr="00351B7D">
        <w:rPr>
          <w:rFonts w:asciiTheme="minorBidi" w:hAnsiTheme="minorBidi"/>
          <w:sz w:val="16"/>
          <w:szCs w:val="16"/>
          <w:rtl/>
        </w:rPr>
        <w:t>(ר"י)</w:t>
      </w:r>
      <w:r w:rsidRPr="00351B7D">
        <w:rPr>
          <w:rFonts w:asciiTheme="minorBidi" w:hAnsiTheme="minorBidi"/>
          <w:rtl/>
        </w:rPr>
        <w:t xml:space="preserve">. ואז הדין הוא כדברי הרא"ש, היינו דהיא חופה לכל דבר חוץ מתוספת כתובה, פנמ"א </w:t>
      </w:r>
      <w:r w:rsidRPr="00351B7D">
        <w:rPr>
          <w:rFonts w:asciiTheme="minorBidi" w:hAnsiTheme="minorBidi"/>
          <w:sz w:val="16"/>
          <w:szCs w:val="16"/>
          <w:rtl/>
        </w:rPr>
        <w:t xml:space="preserve">(ח"ב סי' קכ"ד) </w:t>
      </w:r>
      <w:r w:rsidRPr="00351B7D">
        <w:rPr>
          <w:rFonts w:asciiTheme="minorBidi" w:hAnsiTheme="minorBidi"/>
          <w:rtl/>
        </w:rPr>
        <w:t xml:space="preserve">חכ"צ </w:t>
      </w:r>
      <w:r w:rsidRPr="00351B7D">
        <w:rPr>
          <w:rFonts w:asciiTheme="minorBidi" w:hAnsiTheme="minorBidi"/>
          <w:sz w:val="16"/>
          <w:szCs w:val="16"/>
          <w:rtl/>
        </w:rPr>
        <w:t xml:space="preserve">(סי' קכ"ד) </w:t>
      </w:r>
      <w:r w:rsidRPr="00351B7D">
        <w:rPr>
          <w:rFonts w:asciiTheme="minorBidi" w:hAnsiTheme="minorBidi"/>
          <w:rtl/>
        </w:rPr>
        <w:t>ובית מאיר</w:t>
      </w:r>
      <w:r w:rsidRPr="00351B7D">
        <w:rPr>
          <w:rFonts w:asciiTheme="minorBidi" w:hAnsiTheme="minorBidi"/>
          <w:sz w:val="16"/>
          <w:szCs w:val="16"/>
          <w:rtl/>
        </w:rPr>
        <w:t xml:space="preserve"> (סע' ב)</w:t>
      </w:r>
      <w:r w:rsidRPr="00351B7D">
        <w:rPr>
          <w:rFonts w:asciiTheme="minorBidi" w:hAnsiTheme="minorBidi"/>
          <w:rtl/>
        </w:rPr>
        <w:t>.</w:t>
      </w:r>
    </w:p>
  </w:footnote>
  <w:footnote w:id="580">
    <w:p w14:paraId="714EFF9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אף לתוספת כתובה, ח"מ (סק"ח).</w:t>
      </w:r>
    </w:p>
  </w:footnote>
  <w:footnote w:id="581">
    <w:p w14:paraId="7EAFD6F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הח"מ (סק"ב) דכ"פ הרמ"א בדרכ"מ (אות ב' ד"ה הוא ישן) וז"ל- כ' הרמב"ם פ"ד מה' אישות המקדש נדה הרי היא מקודשת קדושין גמורים ואין ראוי לעשות כן עכ"ל, וכבר נתבאר שהאחרונים חולקים עליו וכן נוהגין. עכ"ל הדרכ"מ. ובהערה אות ח' כתבו דמה שהאחרונים חולקים על הרמב"ם הוא בעיקר הדין דחופת נדה</w:t>
      </w:r>
      <w:r w:rsidRPr="00351B7D">
        <w:rPr>
          <w:rFonts w:asciiTheme="minorBidi" w:hAnsiTheme="minorBidi"/>
          <w:sz w:val="16"/>
          <w:szCs w:val="16"/>
          <w:rtl/>
        </w:rPr>
        <w:t xml:space="preserve"> (ולא בקידושי נדה)</w:t>
      </w:r>
      <w:r w:rsidRPr="00351B7D">
        <w:rPr>
          <w:rFonts w:asciiTheme="minorBidi" w:hAnsiTheme="minorBidi"/>
          <w:rtl/>
        </w:rPr>
        <w:t xml:space="preserve">. </w:t>
      </w:r>
    </w:p>
  </w:footnote>
  <w:footnote w:id="582">
    <w:p w14:paraId="3AD6817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נתבאר בדברי הריטב"א כמה זמן אחר החופה פירסה נדה. ונ"ל שכוונתו שפירסה נדה בזמן שבין תחילת החופה</w:t>
      </w:r>
      <w:r w:rsidRPr="00351B7D">
        <w:rPr>
          <w:rFonts w:asciiTheme="minorBidi" w:hAnsiTheme="minorBidi"/>
          <w:sz w:val="16"/>
          <w:szCs w:val="16"/>
          <w:rtl/>
        </w:rPr>
        <w:t xml:space="preserve"> (מעט זמן לאחר שהתחילה החופה)</w:t>
      </w:r>
      <w:r w:rsidRPr="00351B7D">
        <w:rPr>
          <w:rFonts w:asciiTheme="minorBidi" w:hAnsiTheme="minorBidi"/>
          <w:rtl/>
        </w:rPr>
        <w:t xml:space="preserve"> לבין הזמן שבו הייתה אמורה להיות הביאה.</w:t>
      </w:r>
    </w:p>
  </w:footnote>
  <w:footnote w:id="583">
    <w:p w14:paraId="5232AEC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הה"מ דהא דאין ראוי לעשות כן הוא משום שאינה ראויה לביאה ולא לחופה, ויש מי שכתב שהטעם שאין לקדשה כך הוא שמא יגע בבשרה. וכ' הדרכ"מ (אות ג) על דברי הרמב"ם הללו וז"ל- כבר נתבאר שהאחרונים חולקין עליו וכן נוהגין.</w:t>
      </w:r>
    </w:p>
  </w:footnote>
  <w:footnote w:id="584">
    <w:p w14:paraId="7D686A6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בהעי"ט </w:t>
      </w:r>
      <w:r w:rsidRPr="00351B7D">
        <w:rPr>
          <w:rFonts w:asciiTheme="minorBidi" w:hAnsiTheme="minorBidi"/>
          <w:sz w:val="16"/>
          <w:szCs w:val="16"/>
          <w:rtl/>
        </w:rPr>
        <w:t xml:space="preserve">(ח"ב ברכת חתנים ח"ג סד ע"א) </w:t>
      </w:r>
      <w:r w:rsidRPr="00351B7D">
        <w:rPr>
          <w:rFonts w:asciiTheme="minorBidi" w:hAnsiTheme="minorBidi"/>
          <w:rtl/>
        </w:rPr>
        <w:t xml:space="preserve">ורמב"ם </w:t>
      </w:r>
      <w:r w:rsidRPr="00351B7D">
        <w:rPr>
          <w:rFonts w:asciiTheme="minorBidi" w:hAnsiTheme="minorBidi"/>
          <w:sz w:val="16"/>
          <w:szCs w:val="16"/>
          <w:rtl/>
        </w:rPr>
        <w:t>(פ"י מה"א ה"ז)</w:t>
      </w:r>
      <w:r w:rsidRPr="00351B7D">
        <w:rPr>
          <w:rFonts w:asciiTheme="minorBidi" w:hAnsiTheme="minorBidi"/>
          <w:rtl/>
        </w:rPr>
        <w:t>.</w:t>
      </w:r>
    </w:p>
  </w:footnote>
  <w:footnote w:id="585">
    <w:p w14:paraId="29C7B8C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אות א. וכן נראה דעת הח"מ (סק"א) והב"ש (סק"א) שהעתיקו את דברי הב"ח ללא חולק. וטעמו של הב"ח הוא שהרמב"ם דקדק בלשונו ולא כתב שיש איסור בדבר רק שכתב וצריך לכתוב כתובה קודם כניסתה לחופה ואח"כ יהיה מותר באשתו, משמע שלכתחלה צריך לעשות כך שלא יבוא לידי איסור אבל איסור ממש לא שמענו ביחוד.</w:t>
      </w:r>
    </w:p>
  </w:footnote>
  <w:footnote w:id="586">
    <w:p w14:paraId="6E089AC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דברי בהעי"ט והרמב"ם (שהביא הר"ן לפנ"כ).</w:t>
      </w:r>
    </w:p>
  </w:footnote>
  <w:footnote w:id="587">
    <w:p w14:paraId="5B25F6F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דכיון דאסיקנא בפרק הבא על יבמתו (דף נז ב) דיש חופה לפסולות כגון אלמנה לכהן גדול וחברותיה אף על גב דלא חזיין לעולם לביאה וליחוד הא נמי לא גרעה מינייהו אבל לכתחלה אין מכניסין אותה לחופה עד שתטהר אי חופה היינו יחוד כמו שכתוב במקצת מקומות, ר"ן.</w:t>
      </w:r>
    </w:p>
  </w:footnote>
  <w:footnote w:id="588">
    <w:p w14:paraId="5A80508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שמתקנת עזרא ואילך אין בתי דינין קבועין אלא בשני ובחמישי, אבל קודם תקנת עזרא בתי דינין קבועין בכל יום, ע"פ הגמ'.</w:t>
      </w:r>
    </w:p>
  </w:footnote>
  <w:footnote w:id="589">
    <w:p w14:paraId="079EFD8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בספר הישר (חלק התשובות) סי' מח אות י. וכעין זה כתבו בשמו התוס' [שם] וז"ל- אבל אם אין לו אשה ובנים מותר </w:t>
      </w:r>
      <w:r w:rsidRPr="00351B7D">
        <w:rPr>
          <w:rFonts w:asciiTheme="minorBidi" w:hAnsiTheme="minorBidi"/>
          <w:u w:val="single"/>
          <w:rtl/>
        </w:rPr>
        <w:t>לקדש</w:t>
      </w:r>
      <w:r w:rsidRPr="00351B7D">
        <w:rPr>
          <w:rFonts w:asciiTheme="minorBidi" w:hAnsiTheme="minorBidi"/>
          <w:rtl/>
        </w:rPr>
        <w:t xml:space="preserve"> דמצוה קא עביד.</w:t>
      </w:r>
    </w:p>
  </w:footnote>
  <w:footnote w:id="590">
    <w:p w14:paraId="796FEDE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ר"ת בספר הישר (שם). וכ' הרמ"א באו"ח </w:t>
      </w:r>
      <w:r w:rsidRPr="00351B7D">
        <w:rPr>
          <w:rFonts w:asciiTheme="minorBidi" w:hAnsiTheme="minorBidi"/>
          <w:sz w:val="16"/>
          <w:szCs w:val="16"/>
          <w:rtl/>
        </w:rPr>
        <w:t xml:space="preserve">(סי' שלט סע' ד) </w:t>
      </w:r>
      <w:r w:rsidRPr="00351B7D">
        <w:rPr>
          <w:rFonts w:asciiTheme="minorBidi" w:hAnsiTheme="minorBidi"/>
          <w:rtl/>
        </w:rPr>
        <w:t xml:space="preserve">וז"ל- ואפשר דה"ה הכניסה לחופה שרי (סמ"ג) ואע"ג דלא קי"ל הכי, מ"מ סומכין על זה בשעת הדחק, גם כי גדול כבוד הבריות, כמו שרגילין שלפעמים שלא היו יכולים להשוות עם הנדוניא ביום ו' עד הלילה, דעושין החופה והקידושין בליל שבת, הואיל וכבר הכינו לסעודה ולנשואין והוי ביוש לכלה ולחתן אם לא יכנוס אז, ומ"מ לכתחלה יש ליזהר שלא יבא לידי כך. עכ"ל הרמ"א </w:t>
      </w:r>
      <w:r w:rsidRPr="00351B7D">
        <w:rPr>
          <w:rFonts w:asciiTheme="minorBidi" w:hAnsiTheme="minorBidi"/>
          <w:sz w:val="16"/>
          <w:szCs w:val="16"/>
          <w:rtl/>
        </w:rPr>
        <w:t>(וכן עשה הרמ"א מעשה (בתשו' סי' קכד), בחתונה שהייתה עתידה להיות ביום שישי, והתחייבו לחתן שעד החתונה יתנו לו כך וכך דברים, ועד החתונה לא הספיקו לקיים, ולא רצה החתן להכנס לחופה כל אימת שלא קיימו התנאי, ועד שהצליחו לשכנע החתן כבר נכנסה שבת, וסמך הרמ"א על דברי ר"ת לכנסה בשבת כדי למנוע ממנה את הבושה הגדולה שתגרם בגלל דחיית החופה)</w:t>
      </w:r>
      <w:r w:rsidRPr="00351B7D">
        <w:rPr>
          <w:rFonts w:asciiTheme="minorBidi" w:hAnsiTheme="minorBidi"/>
          <w:rtl/>
        </w:rPr>
        <w:t xml:space="preserve">. וכ' הילקו"י </w:t>
      </w:r>
      <w:r w:rsidRPr="00351B7D">
        <w:rPr>
          <w:rFonts w:asciiTheme="minorBidi" w:hAnsiTheme="minorBidi"/>
          <w:sz w:val="16"/>
          <w:szCs w:val="16"/>
          <w:rtl/>
        </w:rPr>
        <w:t>(כרך שבת ה' סימן שלט אות יז)</w:t>
      </w:r>
      <w:r w:rsidRPr="00351B7D">
        <w:rPr>
          <w:rFonts w:asciiTheme="minorBidi" w:hAnsiTheme="minorBidi"/>
          <w:rtl/>
        </w:rPr>
        <w:t xml:space="preserve"> דזה דוקא לדעת הרמ"א, אבל לדידן "גם כשאיחרו להעמיד החופה בערב שבת ותגרם בושה לחתן או לכלה, אם ידחו הקידושין לאחר השבת, אין לקדש ולערוך את הנישואין בליל שבת, ואף אם החתן לא קיים מצות פריה ורביה". </w:t>
      </w:r>
    </w:p>
  </w:footnote>
  <w:footnote w:id="591">
    <w:p w14:paraId="56062E3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w:t>
      </w:r>
      <w:r w:rsidRPr="00351B7D">
        <w:rPr>
          <w:rFonts w:asciiTheme="minorBidi" w:hAnsiTheme="minorBidi"/>
          <w:sz w:val="16"/>
          <w:szCs w:val="16"/>
          <w:rtl/>
        </w:rPr>
        <w:t xml:space="preserve">(הל' אישות פ"י ה"ו) </w:t>
      </w:r>
      <w:r w:rsidRPr="00351B7D">
        <w:rPr>
          <w:rFonts w:asciiTheme="minorBidi" w:hAnsiTheme="minorBidi"/>
          <w:rtl/>
        </w:rPr>
        <w:t>רא"ש</w:t>
      </w:r>
      <w:r w:rsidRPr="00351B7D">
        <w:rPr>
          <w:rFonts w:asciiTheme="minorBidi" w:hAnsiTheme="minorBidi"/>
          <w:sz w:val="16"/>
          <w:szCs w:val="16"/>
          <w:rtl/>
        </w:rPr>
        <w:t xml:space="preserve"> (כלל ל"ח)</w:t>
      </w:r>
      <w:r w:rsidRPr="00351B7D">
        <w:rPr>
          <w:rFonts w:asciiTheme="minorBidi" w:hAnsiTheme="minorBidi"/>
          <w:rtl/>
        </w:rPr>
        <w:t xml:space="preserve"> תרוה"ד </w:t>
      </w:r>
      <w:r w:rsidRPr="00351B7D">
        <w:rPr>
          <w:rFonts w:asciiTheme="minorBidi" w:hAnsiTheme="minorBidi"/>
          <w:sz w:val="16"/>
          <w:szCs w:val="16"/>
          <w:rtl/>
        </w:rPr>
        <w:t>(ח"ב סי' קמ)</w:t>
      </w:r>
      <w:r w:rsidRPr="00351B7D">
        <w:rPr>
          <w:rFonts w:asciiTheme="minorBidi" w:hAnsiTheme="minorBidi"/>
          <w:rtl/>
        </w:rPr>
        <w:t xml:space="preserve"> והגה' מרדכי </w:t>
      </w:r>
      <w:r w:rsidRPr="00351B7D">
        <w:rPr>
          <w:rFonts w:asciiTheme="minorBidi" w:hAnsiTheme="minorBidi"/>
          <w:sz w:val="16"/>
          <w:szCs w:val="16"/>
          <w:rtl/>
        </w:rPr>
        <w:t>(קידושין סי' תקמה)</w:t>
      </w:r>
      <w:r w:rsidRPr="00351B7D">
        <w:rPr>
          <w:rFonts w:asciiTheme="minorBidi" w:hAnsiTheme="minorBidi"/>
          <w:rtl/>
        </w:rPr>
        <w:t>.</w:t>
      </w:r>
    </w:p>
  </w:footnote>
  <w:footnote w:id="592">
    <w:p w14:paraId="46283E3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והא דאמרינן כלה בלא ברכה אסורה ר"ל בלא חופה ונקט ברכה משום דדרך הברכה לעשות תחת החופה אבל הברכות אינן מעכבות, רמב"ם רא"ש והגה' מרדכי. וסיים ההגה' מרדכי- ולכך אם קידש אשה בטעות וגם הנישואין היו בטעות ונמצא הברכות שבירך הכל היה בטעות אפילו הכי אין צריך לחזור ולברך שנית כי הברכות שבירך ראשונה סגי. וכ"כ (סי' תקמו) בשם תשובת רש"י (מהד' אלפנביין סי' קצז) דאע"ג דצריך לחזור ולקדש מכל מקום אין צריך לחזור ולברך. </w:t>
      </w:r>
      <w:r w:rsidRPr="00351B7D">
        <w:rPr>
          <w:rFonts w:asciiTheme="minorBidi" w:hAnsiTheme="minorBidi"/>
          <w:color w:val="00B0F0"/>
          <w:rtl/>
        </w:rPr>
        <w:t>(וכ"פ הרמ"א)</w:t>
      </w:r>
    </w:p>
  </w:footnote>
  <w:footnote w:id="593">
    <w:p w14:paraId="10E780F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רש"י</w:t>
      </w:r>
      <w:r w:rsidRPr="00351B7D">
        <w:rPr>
          <w:rFonts w:asciiTheme="minorBidi" w:hAnsiTheme="minorBidi"/>
          <w:sz w:val="16"/>
          <w:szCs w:val="16"/>
          <w:rtl/>
        </w:rPr>
        <w:t xml:space="preserve"> (כתובות ז: ד"ה שמתייחד עמה) </w:t>
      </w:r>
      <w:r w:rsidRPr="00351B7D">
        <w:rPr>
          <w:rFonts w:asciiTheme="minorBidi" w:hAnsiTheme="minorBidi"/>
          <w:rtl/>
        </w:rPr>
        <w:t xml:space="preserve">תוס' </w:t>
      </w:r>
      <w:r w:rsidRPr="00351B7D">
        <w:rPr>
          <w:rFonts w:asciiTheme="minorBidi" w:hAnsiTheme="minorBidi"/>
          <w:sz w:val="16"/>
          <w:szCs w:val="16"/>
          <w:rtl/>
        </w:rPr>
        <w:t xml:space="preserve"> (כתובות ז: ד"ה ר' יהודה) </w:t>
      </w:r>
      <w:r w:rsidRPr="00351B7D">
        <w:rPr>
          <w:rFonts w:asciiTheme="minorBidi" w:hAnsiTheme="minorBidi"/>
          <w:rtl/>
        </w:rPr>
        <w:t xml:space="preserve">רמב"ן </w:t>
      </w:r>
      <w:r w:rsidRPr="00351B7D">
        <w:rPr>
          <w:rFonts w:asciiTheme="minorBidi" w:hAnsiTheme="minorBidi"/>
          <w:sz w:val="16"/>
          <w:szCs w:val="16"/>
          <w:rtl/>
        </w:rPr>
        <w:t xml:space="preserve">(פסחים ז: סד"ה והוי יודע) </w:t>
      </w:r>
      <w:r w:rsidRPr="00351B7D">
        <w:rPr>
          <w:rFonts w:asciiTheme="minorBidi" w:hAnsiTheme="minorBidi"/>
          <w:rtl/>
        </w:rPr>
        <w:t>ומרדכי</w:t>
      </w:r>
      <w:r w:rsidRPr="00351B7D">
        <w:rPr>
          <w:rFonts w:asciiTheme="minorBidi" w:hAnsiTheme="minorBidi"/>
          <w:sz w:val="16"/>
          <w:szCs w:val="16"/>
          <w:rtl/>
        </w:rPr>
        <w:t xml:space="preserve"> (כתובות סי' קל"א)</w:t>
      </w:r>
      <w:r w:rsidRPr="00351B7D">
        <w:rPr>
          <w:rFonts w:asciiTheme="minorBidi" w:hAnsiTheme="minorBidi"/>
          <w:rtl/>
        </w:rPr>
        <w:t>.</w:t>
      </w:r>
    </w:p>
  </w:footnote>
  <w:footnote w:id="594">
    <w:p w14:paraId="1C4BA4C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מיהו י"ל אע"ג דתניא דאסורה כנדה מ"מ לאו ממש כנדה ובדיעבד מהני החופה בלא ברכות כיון דאינו אלא איסור דרבנן וגם יש בידו לברך הברכות, ב"ש (סק"ה, ובסי' נ"ה סק"א).</w:t>
      </w:r>
    </w:p>
  </w:footnote>
  <w:footnote w:id="595">
    <w:p w14:paraId="1CFC40D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כיצד יתייחד עמה והרי אסור להתייחד עם נדה?</w:t>
      </w:r>
    </w:p>
    <w:p w14:paraId="1450C2A4" w14:textId="77777777" w:rsidR="00DF1FC7" w:rsidRPr="00351B7D" w:rsidRDefault="00DF1FC7" w:rsidP="00A8697F">
      <w:pPr>
        <w:pStyle w:val="a5"/>
        <w:numPr>
          <w:ilvl w:val="0"/>
          <w:numId w:val="112"/>
        </w:numPr>
        <w:rPr>
          <w:rFonts w:asciiTheme="minorBidi" w:hAnsiTheme="minorBidi"/>
        </w:rPr>
      </w:pPr>
      <w:r w:rsidRPr="00351B7D">
        <w:rPr>
          <w:rFonts w:asciiTheme="minorBidi" w:hAnsiTheme="minorBidi"/>
          <w:rtl/>
        </w:rPr>
        <w:t xml:space="preserve">פרישה </w:t>
      </w:r>
      <w:r w:rsidRPr="00351B7D">
        <w:rPr>
          <w:rFonts w:asciiTheme="minorBidi" w:hAnsiTheme="minorBidi"/>
          <w:sz w:val="16"/>
          <w:szCs w:val="16"/>
          <w:rtl/>
        </w:rPr>
        <w:t xml:space="preserve">(סי' ס"ב סוף אות א) </w:t>
      </w:r>
      <w:r w:rsidRPr="00351B7D">
        <w:rPr>
          <w:rFonts w:asciiTheme="minorBidi" w:hAnsiTheme="minorBidi"/>
          <w:rtl/>
        </w:rPr>
        <w:t xml:space="preserve">וב"ש </w:t>
      </w:r>
      <w:r w:rsidRPr="00351B7D">
        <w:rPr>
          <w:rFonts w:asciiTheme="minorBidi" w:hAnsiTheme="minorBidi"/>
          <w:sz w:val="16"/>
          <w:szCs w:val="16"/>
          <w:rtl/>
        </w:rPr>
        <w:t>(סי' ס"ב סק"א)</w:t>
      </w:r>
      <w:r w:rsidRPr="00351B7D">
        <w:rPr>
          <w:rFonts w:asciiTheme="minorBidi" w:hAnsiTheme="minorBidi"/>
          <w:rtl/>
        </w:rPr>
        <w:t xml:space="preserve">- אין מדובר ביחוד שראוי ממש לביאה אלא ביחוד 'גרוע' כגון שאוכלים ביחד במקום צנוע </w:t>
      </w:r>
      <w:r w:rsidRPr="00351B7D">
        <w:rPr>
          <w:rFonts w:asciiTheme="minorBidi" w:hAnsiTheme="minorBidi"/>
          <w:sz w:val="16"/>
          <w:szCs w:val="16"/>
          <w:rtl/>
        </w:rPr>
        <w:t xml:space="preserve">(כגון חדר לא נעול) </w:t>
      </w:r>
      <w:r w:rsidRPr="00351B7D">
        <w:rPr>
          <w:rFonts w:asciiTheme="minorBidi" w:hAnsiTheme="minorBidi"/>
          <w:rtl/>
        </w:rPr>
        <w:t xml:space="preserve">וזוהי חופה </w:t>
      </w:r>
      <w:r w:rsidRPr="00351B7D">
        <w:rPr>
          <w:rFonts w:asciiTheme="minorBidi" w:hAnsiTheme="minorBidi"/>
          <w:sz w:val="16"/>
          <w:szCs w:val="16"/>
          <w:rtl/>
        </w:rPr>
        <w:t xml:space="preserve">(היינו ייחוד) </w:t>
      </w:r>
      <w:r w:rsidRPr="00351B7D">
        <w:rPr>
          <w:rFonts w:asciiTheme="minorBidi" w:hAnsiTheme="minorBidi"/>
          <w:rtl/>
        </w:rPr>
        <w:t xml:space="preserve">הקונה בתולה. </w:t>
      </w:r>
      <w:r w:rsidRPr="00351B7D">
        <w:rPr>
          <w:rFonts w:asciiTheme="minorBidi" w:hAnsiTheme="minorBidi"/>
          <w:sz w:val="16"/>
          <w:szCs w:val="16"/>
          <w:rtl/>
        </w:rPr>
        <w:t>(ולפי דברי השו"ע כאן מוכח שדעתו שחופת בתולה היא ייחוד, ולא ייחוד ממש אלא ייחוד גרוע, אבל באלמנה (סי' סד סע' ה) כ' שצריך "ייחוד של ביאה", היינו ייחוד שממש ראוי לבוא עליה, היינו מקום נעול וזמן ארוך, ולכן שינה שם מלשונו וכ' "ייחוד של ביאה" ולא כ'- "ייחוד הראוי לביאה")</w:t>
      </w:r>
      <w:r w:rsidRPr="00351B7D">
        <w:rPr>
          <w:rFonts w:asciiTheme="minorBidi" w:hAnsiTheme="minorBidi"/>
          <w:rtl/>
        </w:rPr>
        <w:t xml:space="preserve"> </w:t>
      </w:r>
    </w:p>
    <w:p w14:paraId="7947C014" w14:textId="77777777" w:rsidR="00DF1FC7" w:rsidRPr="00351B7D" w:rsidRDefault="00DF1FC7" w:rsidP="00A8697F">
      <w:pPr>
        <w:pStyle w:val="a5"/>
        <w:numPr>
          <w:ilvl w:val="0"/>
          <w:numId w:val="112"/>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xml:space="preserve">- איירי שבתחילת החופה היא הייתה טהורה ופירסה נדה אח"כ, ותירץ עוד עיי"ש. </w:t>
      </w:r>
      <w:r w:rsidRPr="00351B7D">
        <w:rPr>
          <w:rFonts w:asciiTheme="minorBidi" w:hAnsiTheme="minorBidi"/>
          <w:color w:val="FF0000"/>
          <w:sz w:val="16"/>
          <w:szCs w:val="16"/>
          <w:rtl/>
        </w:rPr>
        <w:t>(צל"ע, שהרי בהדיא כ' השו"ע- "היתה נדה ואחר כך כנסה לחופה", וכן הם דברי רי"ף רמב"ם רא"ש ור"ן, וצל"ע)</w:t>
      </w:r>
    </w:p>
  </w:footnote>
  <w:footnote w:id="596">
    <w:p w14:paraId="50A0A97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הילכך אינו יורשה ואינו זוכה במציאתה ובמעשה ידיה ובפירות </w:t>
      </w:r>
      <w:r w:rsidRPr="00351B7D">
        <w:rPr>
          <w:rFonts w:asciiTheme="minorBidi" w:hAnsiTheme="minorBidi"/>
          <w:sz w:val="16"/>
          <w:szCs w:val="16"/>
          <w:rtl/>
        </w:rPr>
        <w:t>(שהן הד' דברים שהבעל זוכה באשתו כמבואר לקמן סי' ס"ט סע' ג')</w:t>
      </w:r>
      <w:r w:rsidRPr="00351B7D">
        <w:rPr>
          <w:rFonts w:asciiTheme="minorBidi" w:hAnsiTheme="minorBidi"/>
          <w:rtl/>
        </w:rPr>
        <w:t>, וכן אינו מתחייב במזונותיה, ע"פ ח"מ (סק"ב).</w:t>
      </w:r>
    </w:p>
  </w:footnote>
  <w:footnote w:id="597">
    <w:p w14:paraId="3E91165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הנה לרמב"ם נמי בדיעבד הוי חופה אם לא כ' כתובה, כמ"ש המגיד פ"י</w:t>
      </w:r>
      <w:r w:rsidRPr="00351B7D">
        <w:rPr>
          <w:rFonts w:asciiTheme="minorBidi" w:hAnsiTheme="minorBidi"/>
          <w:sz w:val="16"/>
          <w:szCs w:val="16"/>
          <w:rtl/>
        </w:rPr>
        <w:t xml:space="preserve"> (וכמ"ש הר"ן בריש כתובות הביאו הב"י סי' סו סע' א {ח"מ סק"ג})</w:t>
      </w:r>
      <w:r w:rsidRPr="00351B7D">
        <w:rPr>
          <w:rFonts w:asciiTheme="minorBidi" w:hAnsiTheme="minorBidi"/>
          <w:rtl/>
        </w:rPr>
        <w:t xml:space="preserve"> ול"ד לנדה, כמ"ש הר"ן ריש כתובות, אלא להרמב"ם צריך לכתוב כתובה קודם החופה כדי שאל יחסר שום דבר אפילו דבר שהוא מדרבנן, אבל להרא"ש עושין חופה אפילו לכתחלה בלא כתובה, ב"ש (סק"ג).</w:t>
      </w:r>
    </w:p>
  </w:footnote>
  <w:footnote w:id="598">
    <w:p w14:paraId="5F13BE1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ולכאורה קשה, שהרי הרא"ש עצמו</w:t>
      </w:r>
      <w:r w:rsidRPr="00351B7D">
        <w:rPr>
          <w:rFonts w:asciiTheme="minorBidi" w:hAnsiTheme="minorBidi"/>
          <w:sz w:val="16"/>
          <w:szCs w:val="16"/>
          <w:rtl/>
        </w:rPr>
        <w:t xml:space="preserve"> (כתובות פ"ה ס"ו)</w:t>
      </w:r>
      <w:r w:rsidRPr="00351B7D">
        <w:rPr>
          <w:rFonts w:asciiTheme="minorBidi" w:hAnsiTheme="minorBidi"/>
          <w:rtl/>
        </w:rPr>
        <w:t xml:space="preserve"> כ' שחופת נדה הוי חופה</w:t>
      </w:r>
      <w:r w:rsidRPr="00351B7D">
        <w:rPr>
          <w:rFonts w:asciiTheme="minorBidi" w:hAnsiTheme="minorBidi"/>
          <w:sz w:val="16"/>
          <w:szCs w:val="16"/>
          <w:rtl/>
        </w:rPr>
        <w:t xml:space="preserve"> (חוץ מתוספת כתו')</w:t>
      </w:r>
      <w:r w:rsidRPr="00351B7D">
        <w:rPr>
          <w:rFonts w:asciiTheme="minorBidi" w:hAnsiTheme="minorBidi"/>
          <w:rtl/>
        </w:rPr>
        <w:t xml:space="preserve"> אע"ג דאינה ראויה לביאה, וא"כ </w:t>
      </w:r>
      <w:r w:rsidRPr="00351B7D">
        <w:rPr>
          <w:rFonts w:asciiTheme="minorBidi" w:hAnsiTheme="minorBidi"/>
          <w:u w:val="single"/>
          <w:rtl/>
        </w:rPr>
        <w:t>איך כאן לא הוי חופה אע"ג דאינה ראויה לביאה?</w:t>
      </w:r>
    </w:p>
    <w:p w14:paraId="13710739" w14:textId="77777777" w:rsidR="00DF1FC7" w:rsidRPr="00351B7D" w:rsidRDefault="00DF1FC7" w:rsidP="00A8697F">
      <w:pPr>
        <w:pStyle w:val="a5"/>
        <w:numPr>
          <w:ilvl w:val="0"/>
          <w:numId w:val="122"/>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(סק"ב)</w:t>
      </w:r>
      <w:r w:rsidRPr="00351B7D">
        <w:rPr>
          <w:rFonts w:asciiTheme="minorBidi" w:hAnsiTheme="minorBidi"/>
          <w:rtl/>
        </w:rPr>
        <w:t xml:space="preserve">- הרא"ש חזר בו </w:t>
      </w:r>
      <w:r w:rsidRPr="00351B7D">
        <w:rPr>
          <w:rFonts w:asciiTheme="minorBidi" w:hAnsiTheme="minorBidi"/>
          <w:sz w:val="16"/>
          <w:szCs w:val="16"/>
          <w:rtl/>
        </w:rPr>
        <w:t>(אך יש לשאול, דהרי הח"מ שם כ' דהרמ"א ג"כ פסק שחופת נדה הוי חופה כהרא"ש, וא"כ למה הרמ"א כ' דין זה של הרא"ש שבאשה חולנית לא הוי חופה)</w:t>
      </w:r>
    </w:p>
    <w:p w14:paraId="722EE162" w14:textId="77777777" w:rsidR="00DF1FC7" w:rsidRPr="00351B7D" w:rsidRDefault="00DF1FC7" w:rsidP="00A8697F">
      <w:pPr>
        <w:pStyle w:val="a5"/>
        <w:numPr>
          <w:ilvl w:val="0"/>
          <w:numId w:val="122"/>
        </w:numPr>
        <w:rPr>
          <w:rFonts w:asciiTheme="minorBidi" w:hAnsiTheme="minorBidi"/>
          <w:rtl/>
        </w:rPr>
      </w:pPr>
      <w:r w:rsidRPr="00351B7D">
        <w:rPr>
          <w:rFonts w:asciiTheme="minorBidi" w:hAnsiTheme="minorBidi"/>
          <w:rtl/>
        </w:rPr>
        <w:t xml:space="preserve">דרישה </w:t>
      </w:r>
      <w:r w:rsidRPr="00351B7D">
        <w:rPr>
          <w:rFonts w:asciiTheme="minorBidi" w:hAnsiTheme="minorBidi"/>
          <w:sz w:val="16"/>
          <w:szCs w:val="16"/>
          <w:rtl/>
        </w:rPr>
        <w:t xml:space="preserve">(סי' צ' אות י"ג) </w:t>
      </w:r>
      <w:r w:rsidRPr="00351B7D">
        <w:rPr>
          <w:rFonts w:asciiTheme="minorBidi" w:hAnsiTheme="minorBidi"/>
          <w:rtl/>
        </w:rPr>
        <w:t xml:space="preserve">ט"ז </w:t>
      </w:r>
      <w:r w:rsidRPr="00351B7D">
        <w:rPr>
          <w:rFonts w:asciiTheme="minorBidi" w:hAnsiTheme="minorBidi"/>
          <w:sz w:val="16"/>
          <w:szCs w:val="16"/>
          <w:rtl/>
        </w:rPr>
        <w:t xml:space="preserve">(סק"ב) </w:t>
      </w:r>
      <w:r w:rsidRPr="00351B7D">
        <w:rPr>
          <w:rFonts w:asciiTheme="minorBidi" w:hAnsiTheme="minorBidi"/>
          <w:rtl/>
        </w:rPr>
        <w:t xml:space="preserve">וב"ש </w:t>
      </w:r>
      <w:r w:rsidRPr="00351B7D">
        <w:rPr>
          <w:rFonts w:asciiTheme="minorBidi" w:hAnsiTheme="minorBidi"/>
          <w:sz w:val="16"/>
          <w:szCs w:val="16"/>
          <w:rtl/>
        </w:rPr>
        <w:t>(סק"ד)</w:t>
      </w:r>
      <w:r w:rsidRPr="00351B7D">
        <w:rPr>
          <w:rFonts w:asciiTheme="minorBidi" w:hAnsiTheme="minorBidi"/>
          <w:rtl/>
        </w:rPr>
        <w:t>- חולנית דהכא גרע מנדה</w:t>
      </w:r>
      <w:r w:rsidRPr="00351B7D">
        <w:rPr>
          <w:rFonts w:asciiTheme="minorBidi" w:hAnsiTheme="minorBidi"/>
          <w:sz w:val="16"/>
          <w:szCs w:val="16"/>
          <w:rtl/>
        </w:rPr>
        <w:t xml:space="preserve"> (דמיירי בתשו' בחולנית בחולי מוות, דאז לא תיהיה לעולם ראויה לביאה, משא"כ נדה שיבוא עליה לאחר כמה ימים כשתיהיה טהורה, וכמש"כ כאן הרמ"א {"אשה חולנית חולת מות... מאחר שאינה ראויה </w:t>
      </w:r>
      <w:r w:rsidRPr="00351B7D">
        <w:rPr>
          <w:rFonts w:asciiTheme="minorBidi" w:hAnsiTheme="minorBidi"/>
          <w:sz w:val="16"/>
          <w:szCs w:val="16"/>
          <w:u w:val="single"/>
          <w:rtl/>
        </w:rPr>
        <w:t>כלל</w:t>
      </w:r>
      <w:r w:rsidRPr="00351B7D">
        <w:rPr>
          <w:rFonts w:asciiTheme="minorBidi" w:hAnsiTheme="minorBidi"/>
          <w:sz w:val="16"/>
          <w:szCs w:val="16"/>
          <w:rtl/>
        </w:rPr>
        <w:t xml:space="preserve"> לביאה"}, ואף שהשואל דמהו לנדה הרא"ש שהשיב לו לא הסכים עמו כי אם דוקא בחולנית כזו)</w:t>
      </w:r>
      <w:r w:rsidRPr="00351B7D">
        <w:rPr>
          <w:rFonts w:asciiTheme="minorBidi" w:hAnsiTheme="minorBidi"/>
          <w:rtl/>
        </w:rPr>
        <w:t>.</w:t>
      </w:r>
    </w:p>
  </w:footnote>
  <w:footnote w:id="599">
    <w:p w14:paraId="0B8957F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במהר"מ מינץ </w:t>
      </w:r>
      <w:r w:rsidRPr="00351B7D">
        <w:rPr>
          <w:rFonts w:asciiTheme="minorBidi" w:hAnsiTheme="minorBidi"/>
          <w:sz w:val="16"/>
          <w:szCs w:val="16"/>
          <w:rtl/>
        </w:rPr>
        <w:t xml:space="preserve">(סי' קט) </w:t>
      </w:r>
      <w:r w:rsidRPr="00351B7D">
        <w:rPr>
          <w:rFonts w:asciiTheme="minorBidi" w:hAnsiTheme="minorBidi"/>
          <w:rtl/>
        </w:rPr>
        <w:t xml:space="preserve">איתא ב' טעמים, א' משום דהוא יום סליחה דידהו ונמחל עונותיהם, לפ"ז ראוי להשלים התענית </w:t>
      </w:r>
      <w:r w:rsidRPr="00351B7D">
        <w:rPr>
          <w:rFonts w:asciiTheme="minorBidi" w:hAnsiTheme="minorBidi"/>
          <w:sz w:val="16"/>
          <w:szCs w:val="16"/>
          <w:rtl/>
        </w:rPr>
        <w:t>(היינו לצום עד צה"כ)</w:t>
      </w:r>
      <w:r w:rsidRPr="00351B7D">
        <w:rPr>
          <w:rFonts w:asciiTheme="minorBidi" w:hAnsiTheme="minorBidi"/>
          <w:rtl/>
        </w:rPr>
        <w:t>, וכ"כ ב"ח</w:t>
      </w:r>
      <w:r w:rsidRPr="00351B7D">
        <w:rPr>
          <w:rFonts w:asciiTheme="minorBidi" w:hAnsiTheme="minorBidi"/>
          <w:sz w:val="16"/>
          <w:szCs w:val="16"/>
          <w:rtl/>
        </w:rPr>
        <w:t xml:space="preserve"> (באו"ח ס"ס תקס"ב אות ה)</w:t>
      </w:r>
      <w:r w:rsidRPr="00351B7D">
        <w:rPr>
          <w:rFonts w:asciiTheme="minorBidi" w:hAnsiTheme="minorBidi"/>
          <w:rtl/>
        </w:rPr>
        <w:t xml:space="preserve">, ב' שמא ישתכרו ולא יהיה דעתם מיושבת עליהם, לפ"ז א"צ להשלים, וכ"כ בהג"ה שו"ע </w:t>
      </w:r>
      <w:r w:rsidRPr="00351B7D">
        <w:rPr>
          <w:rFonts w:asciiTheme="minorBidi" w:hAnsiTheme="minorBidi"/>
          <w:sz w:val="16"/>
          <w:szCs w:val="16"/>
          <w:rtl/>
        </w:rPr>
        <w:t>(סי' תקסב סע' ב)</w:t>
      </w:r>
      <w:r w:rsidRPr="00351B7D">
        <w:rPr>
          <w:rFonts w:asciiTheme="minorBidi" w:hAnsiTheme="minorBidi"/>
          <w:rtl/>
        </w:rPr>
        <w:t xml:space="preserve">, ואם האב מקבל הקדושין בשביל בתו הקטנה צריך הוא להתענות לפי טעם זה, ובימים שאין מתענים כמ"ש באו"ח </w:t>
      </w:r>
      <w:r w:rsidRPr="00351B7D">
        <w:rPr>
          <w:rFonts w:asciiTheme="minorBidi" w:hAnsiTheme="minorBidi"/>
          <w:sz w:val="16"/>
          <w:szCs w:val="16"/>
          <w:rtl/>
        </w:rPr>
        <w:t xml:space="preserve">(סי' תקעג) </w:t>
      </w:r>
      <w:r w:rsidRPr="00351B7D">
        <w:rPr>
          <w:rFonts w:asciiTheme="minorBidi" w:hAnsiTheme="minorBidi"/>
          <w:rtl/>
        </w:rPr>
        <w:t xml:space="preserve">צריך ליזהר שלא יהיה רודף אחר מותרות מאכל ומשתה, ב"ש </w:t>
      </w:r>
      <w:r w:rsidRPr="00351B7D">
        <w:rPr>
          <w:rFonts w:asciiTheme="minorBidi" w:hAnsiTheme="minorBidi"/>
          <w:sz w:val="16"/>
          <w:szCs w:val="16"/>
          <w:rtl/>
        </w:rPr>
        <w:t>(סק"ו)</w:t>
      </w:r>
      <w:r w:rsidRPr="00351B7D">
        <w:rPr>
          <w:rFonts w:asciiTheme="minorBidi" w:hAnsiTheme="minorBidi"/>
          <w:rtl/>
        </w:rPr>
        <w:t>.</w:t>
      </w:r>
      <w:r w:rsidRPr="00351B7D">
        <w:rPr>
          <w:rFonts w:asciiTheme="minorBidi" w:hAnsiTheme="minorBidi"/>
          <w:color w:val="000000"/>
          <w:rtl/>
        </w:rPr>
        <w:t xml:space="preserve"> והחכ"א</w:t>
      </w:r>
      <w:r w:rsidRPr="00351B7D">
        <w:rPr>
          <w:rFonts w:asciiTheme="minorBidi" w:hAnsiTheme="minorBidi"/>
          <w:color w:val="000000"/>
          <w:sz w:val="16"/>
          <w:szCs w:val="16"/>
          <w:rtl/>
        </w:rPr>
        <w:t xml:space="preserve"> (כלל קט"ו דין ב', הביאו הפת"ש סק"ט) </w:t>
      </w:r>
      <w:r w:rsidRPr="00351B7D">
        <w:rPr>
          <w:rFonts w:asciiTheme="minorBidi" w:hAnsiTheme="minorBidi"/>
          <w:rtl/>
        </w:rPr>
        <w:t xml:space="preserve">כ' דאם אחרו החופה שעה או ב' בלילה יש לסמוך על טעם ראשון וא"צ להתענות רק עד צה"כ </w:t>
      </w:r>
      <w:r w:rsidRPr="00351B7D">
        <w:rPr>
          <w:rFonts w:asciiTheme="minorBidi" w:hAnsiTheme="minorBidi"/>
          <w:sz w:val="16"/>
          <w:szCs w:val="16"/>
          <w:rtl/>
        </w:rPr>
        <w:t>(כי מאחר שהתענית הזה אינו מוזכר כלל בגמ' יש לומר מעיקרא לא קיבלו עליהם להחמיר יותר משארי תעניתים)</w:t>
      </w:r>
      <w:r w:rsidRPr="00351B7D">
        <w:rPr>
          <w:rFonts w:asciiTheme="minorBidi" w:hAnsiTheme="minorBidi"/>
          <w:rtl/>
        </w:rPr>
        <w:t xml:space="preserve"> מיהו אעפ"כ יש ליזהר שלא לשתות משקה המשכר קודם החופה. וכ' בס' כרם שלמה </w:t>
      </w:r>
      <w:r w:rsidRPr="00351B7D">
        <w:rPr>
          <w:rFonts w:asciiTheme="minorBidi" w:hAnsiTheme="minorBidi"/>
          <w:color w:val="000000"/>
          <w:sz w:val="16"/>
          <w:szCs w:val="16"/>
          <w:rtl/>
        </w:rPr>
        <w:t>(הביאו הפת"ש סק"ט)</w:t>
      </w:r>
      <w:r w:rsidRPr="00351B7D">
        <w:rPr>
          <w:rFonts w:asciiTheme="minorBidi" w:hAnsiTheme="minorBidi"/>
          <w:rtl/>
        </w:rPr>
        <w:t>, נוהגין שהחתן מתפלל במנחה אחר תפלת י"ח קודם שעקר את רגליו כל סדר הוידוי כדרך שמתפללין ביוה"כ ואף בר"ח ושאר ימים שאין מתענין יתפלל כן.</w:t>
      </w:r>
    </w:p>
  </w:footnote>
  <w:footnote w:id="600">
    <w:p w14:paraId="2F00D08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ז' ימי משתה מתחילין משעת חופה ראשונה אף שהיא בטעות, המקנה </w:t>
      </w:r>
      <w:r w:rsidRPr="00351B7D">
        <w:rPr>
          <w:rFonts w:asciiTheme="minorBidi" w:hAnsiTheme="minorBidi"/>
          <w:color w:val="000000"/>
          <w:sz w:val="16"/>
          <w:szCs w:val="16"/>
          <w:rtl/>
        </w:rPr>
        <w:t>(קו"א הביאו הפת"ש סק"י)</w:t>
      </w:r>
      <w:r w:rsidRPr="00351B7D">
        <w:rPr>
          <w:rFonts w:asciiTheme="minorBidi" w:hAnsiTheme="minorBidi"/>
          <w:color w:val="000000"/>
          <w:rtl/>
        </w:rPr>
        <w:t>. והטיב קדושין</w:t>
      </w:r>
      <w:r w:rsidRPr="00351B7D">
        <w:rPr>
          <w:rFonts w:asciiTheme="minorBidi" w:hAnsiTheme="minorBidi"/>
          <w:color w:val="000000"/>
          <w:sz w:val="16"/>
          <w:szCs w:val="16"/>
          <w:rtl/>
        </w:rPr>
        <w:t xml:space="preserve"> (סק"ו) </w:t>
      </w:r>
      <w:r w:rsidRPr="00351B7D">
        <w:rPr>
          <w:rFonts w:asciiTheme="minorBidi" w:hAnsiTheme="minorBidi"/>
          <w:rtl/>
        </w:rPr>
        <w:t>כ' ראיה לדבריו, וסיים דלפ"ז אם נודע במועד שהיו קדושין בטעות באופן שצריך לקדשה מחדש, מותר לבא עליה במועד ואין כאן משום אין מערבין שמחה בשמחה דמ"מ כבר עברה שמחת נשואין, מיהו אם נתוודע ביו"ט אין מקדשין ביו"ט וצריך להפרישם עד המועד.</w:t>
      </w:r>
    </w:p>
  </w:footnote>
  <w:footnote w:id="601">
    <w:p w14:paraId="4D4CF2E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הגה' מרדכי </w:t>
      </w:r>
      <w:r w:rsidRPr="00351B7D">
        <w:rPr>
          <w:rFonts w:asciiTheme="minorBidi" w:hAnsiTheme="minorBidi"/>
          <w:sz w:val="16"/>
          <w:szCs w:val="16"/>
          <w:rtl/>
        </w:rPr>
        <w:t xml:space="preserve">(קדושין סי' תקעג) </w:t>
      </w:r>
      <w:r w:rsidRPr="00351B7D">
        <w:rPr>
          <w:rFonts w:asciiTheme="minorBidi" w:hAnsiTheme="minorBidi"/>
          <w:rtl/>
        </w:rPr>
        <w:t xml:space="preserve">ובתשו' מהרי"ו </w:t>
      </w:r>
      <w:r w:rsidRPr="00351B7D">
        <w:rPr>
          <w:rFonts w:asciiTheme="minorBidi" w:hAnsiTheme="minorBidi"/>
          <w:sz w:val="16"/>
          <w:szCs w:val="16"/>
          <w:rtl/>
        </w:rPr>
        <w:t xml:space="preserve">(סי' ז) </w:t>
      </w:r>
      <w:r w:rsidRPr="00351B7D">
        <w:rPr>
          <w:rFonts w:asciiTheme="minorBidi" w:hAnsiTheme="minorBidi"/>
          <w:rtl/>
        </w:rPr>
        <w:t xml:space="preserve">וכ"כ הרמב"ם </w:t>
      </w:r>
      <w:r w:rsidRPr="00351B7D">
        <w:rPr>
          <w:rFonts w:asciiTheme="minorBidi" w:hAnsiTheme="minorBidi"/>
          <w:sz w:val="16"/>
          <w:szCs w:val="16"/>
          <w:rtl/>
        </w:rPr>
        <w:t xml:space="preserve">(פ"י מה"א ה"ו) </w:t>
      </w:r>
      <w:r w:rsidRPr="00351B7D">
        <w:rPr>
          <w:rFonts w:asciiTheme="minorBidi" w:hAnsiTheme="minorBidi"/>
          <w:rtl/>
        </w:rPr>
        <w:t xml:space="preserve">בחופת נדה. והטעם כתבו בהגה' מרדכי משום ברכות אין מעכבין וכלה בלא ברכה היינו חופה, כמ"ש בתרוה"ד </w:t>
      </w:r>
      <w:r w:rsidRPr="00351B7D">
        <w:rPr>
          <w:rFonts w:asciiTheme="minorBidi" w:hAnsiTheme="minorBidi"/>
          <w:sz w:val="16"/>
          <w:szCs w:val="16"/>
          <w:rtl/>
        </w:rPr>
        <w:t>(ח"ב סי' קמ)</w:t>
      </w:r>
      <w:r w:rsidRPr="00351B7D">
        <w:rPr>
          <w:rFonts w:asciiTheme="minorBidi" w:hAnsiTheme="minorBidi"/>
          <w:rtl/>
        </w:rPr>
        <w:t xml:space="preserve">. ותימא על תשובת מהר"מ מינץ </w:t>
      </w:r>
      <w:r w:rsidRPr="00351B7D">
        <w:rPr>
          <w:rFonts w:asciiTheme="minorBidi" w:hAnsiTheme="minorBidi"/>
          <w:sz w:val="16"/>
          <w:szCs w:val="16"/>
          <w:rtl/>
        </w:rPr>
        <w:t xml:space="preserve">(סי' מט, בתשו' הלוי ציון) </w:t>
      </w:r>
      <w:r w:rsidRPr="00351B7D">
        <w:rPr>
          <w:rFonts w:asciiTheme="minorBidi" w:hAnsiTheme="minorBidi"/>
          <w:rtl/>
        </w:rPr>
        <w:t xml:space="preserve">שפסק דצריך לברך ז' ברכות. וע' תשובת מהרי"ו שם דכתב דא"צ לכתוב כתובה אחרת כי כתובה הראשונה קיימת. וב"ח בסי' אח"ז </w:t>
      </w:r>
      <w:r w:rsidRPr="00351B7D">
        <w:rPr>
          <w:rFonts w:asciiTheme="minorBidi" w:hAnsiTheme="minorBidi"/>
          <w:sz w:val="16"/>
          <w:szCs w:val="16"/>
          <w:rtl/>
        </w:rPr>
        <w:t xml:space="preserve">(אות ה) </w:t>
      </w:r>
      <w:r w:rsidRPr="00351B7D">
        <w:rPr>
          <w:rFonts w:asciiTheme="minorBidi" w:hAnsiTheme="minorBidi"/>
          <w:rtl/>
        </w:rPr>
        <w:t xml:space="preserve">כתב היכא דלא היה קידושין כלל ע"פ הדין אז צריך לברך ז' ברכות. וע' ס"ס ס"ח </w:t>
      </w:r>
      <w:r w:rsidRPr="00351B7D">
        <w:rPr>
          <w:rFonts w:asciiTheme="minorBidi" w:hAnsiTheme="minorBidi"/>
          <w:sz w:val="16"/>
          <w:szCs w:val="16"/>
          <w:rtl/>
        </w:rPr>
        <w:t xml:space="preserve">(סקכ"ד) </w:t>
      </w:r>
      <w:r w:rsidRPr="00351B7D">
        <w:rPr>
          <w:rFonts w:asciiTheme="minorBidi" w:hAnsiTheme="minorBidi"/>
          <w:rtl/>
        </w:rPr>
        <w:t xml:space="preserve">כתבתי בשם תוס' </w:t>
      </w:r>
      <w:r w:rsidRPr="00351B7D">
        <w:rPr>
          <w:rFonts w:asciiTheme="minorBidi" w:hAnsiTheme="minorBidi"/>
          <w:sz w:val="16"/>
          <w:szCs w:val="16"/>
          <w:rtl/>
        </w:rPr>
        <w:t xml:space="preserve">(כתובות י. ד"ה חזקה) </w:t>
      </w:r>
      <w:r w:rsidRPr="00351B7D">
        <w:rPr>
          <w:rFonts w:asciiTheme="minorBidi" w:hAnsiTheme="minorBidi"/>
          <w:rtl/>
        </w:rPr>
        <w:t>דאם היה בטעות צריך לקדשה מחדש</w:t>
      </w:r>
      <w:r w:rsidRPr="00351B7D">
        <w:rPr>
          <w:rFonts w:asciiTheme="minorBidi" w:hAnsiTheme="minorBidi"/>
          <w:sz w:val="16"/>
          <w:szCs w:val="16"/>
          <w:rtl/>
        </w:rPr>
        <w:t xml:space="preserve"> </w:t>
      </w:r>
      <w:r w:rsidRPr="00351B7D">
        <w:rPr>
          <w:rFonts w:asciiTheme="minorBidi" w:hAnsiTheme="minorBidi"/>
          <w:color w:val="FF0000"/>
          <w:sz w:val="16"/>
          <w:szCs w:val="16"/>
          <w:rtl/>
        </w:rPr>
        <w:t>(לא ידעתי למה כ' כן, והרי הרמ"א כאן כ' כך בפירוש)</w:t>
      </w:r>
      <w:r w:rsidRPr="00351B7D">
        <w:rPr>
          <w:rFonts w:asciiTheme="minorBidi" w:hAnsiTheme="minorBidi"/>
          <w:rtl/>
        </w:rPr>
        <w:t>, ב"ש (סק"ז).</w:t>
      </w:r>
    </w:p>
  </w:footnote>
  <w:footnote w:id="602">
    <w:p w14:paraId="1C0E9D2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הח"מ וז"ל- "והדבר תמוה אם כבר קנאה בתחילת חופה איך יופקע הקנין כשפירסה נדה, ואפשר דסבירא ליה דסוף חופה קונה ותחילת ביאה הוא אחר סוף חופה והקנין נגמר בסוף ז' ימי המשתה או בתחלת ביאה".</w:t>
      </w:r>
    </w:p>
  </w:footnote>
  <w:footnote w:id="603">
    <w:p w14:paraId="77AF747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משא"ב</w:t>
      </w:r>
      <w:r w:rsidRPr="00351B7D">
        <w:rPr>
          <w:rFonts w:asciiTheme="minorBidi" w:hAnsiTheme="minorBidi"/>
          <w:color w:val="000000"/>
          <w:sz w:val="16"/>
          <w:szCs w:val="16"/>
          <w:rtl/>
        </w:rPr>
        <w:t xml:space="preserve"> (סי' צ</w:t>
      </w:r>
      <w:r w:rsidRPr="00351B7D">
        <w:rPr>
          <w:rFonts w:asciiTheme="minorBidi" w:hAnsiTheme="minorBidi"/>
          <w:color w:val="000000"/>
          <w:rtl/>
        </w:rPr>
        <w:t>',</w:t>
      </w:r>
      <w:r w:rsidRPr="00351B7D">
        <w:rPr>
          <w:rFonts w:asciiTheme="minorBidi" w:hAnsiTheme="minorBidi"/>
          <w:color w:val="000000"/>
          <w:sz w:val="16"/>
          <w:szCs w:val="16"/>
          <w:rtl/>
        </w:rPr>
        <w:t xml:space="preserve"> הובא בב"ש סי' ס"ד סק"ו)</w:t>
      </w:r>
      <w:r w:rsidRPr="00351B7D">
        <w:rPr>
          <w:rFonts w:asciiTheme="minorBidi" w:hAnsiTheme="minorBidi"/>
          <w:color w:val="000000"/>
          <w:rtl/>
        </w:rPr>
        <w:t xml:space="preserve"> שעה"מ</w:t>
      </w:r>
      <w:r w:rsidRPr="00351B7D">
        <w:rPr>
          <w:rFonts w:asciiTheme="minorBidi" w:hAnsiTheme="minorBidi"/>
          <w:color w:val="000000"/>
          <w:sz w:val="16"/>
          <w:szCs w:val="16"/>
          <w:rtl/>
        </w:rPr>
        <w:t xml:space="preserve"> (קונט' חופת חתנים </w:t>
      </w:r>
      <w:r w:rsidRPr="00351B7D">
        <w:rPr>
          <w:rFonts w:asciiTheme="minorBidi" w:hAnsiTheme="minorBidi"/>
          <w:color w:val="000000"/>
          <w:sz w:val="14"/>
          <w:szCs w:val="14"/>
          <w:rtl/>
        </w:rPr>
        <w:t>(קונטרס זה נכתב בהל' אישות פרק י' סע' ב)</w:t>
      </w:r>
      <w:r w:rsidRPr="00351B7D">
        <w:rPr>
          <w:rFonts w:asciiTheme="minorBidi" w:hAnsiTheme="minorBidi"/>
          <w:color w:val="000000"/>
          <w:sz w:val="16"/>
          <w:szCs w:val="16"/>
          <w:rtl/>
        </w:rPr>
        <w:t xml:space="preserve"> סע' ח)</w:t>
      </w:r>
      <w:r w:rsidRPr="00351B7D">
        <w:rPr>
          <w:rFonts w:asciiTheme="minorBidi" w:hAnsiTheme="minorBidi"/>
          <w:color w:val="000000"/>
          <w:rtl/>
        </w:rPr>
        <w:t xml:space="preserve"> והמקנה</w:t>
      </w:r>
      <w:r w:rsidRPr="00351B7D">
        <w:rPr>
          <w:rFonts w:asciiTheme="minorBidi" w:hAnsiTheme="minorBidi"/>
          <w:color w:val="000000"/>
          <w:sz w:val="16"/>
          <w:szCs w:val="16"/>
          <w:rtl/>
        </w:rPr>
        <w:t xml:space="preserve"> (קו"א סי' כ"ו)</w:t>
      </w:r>
      <w:r w:rsidRPr="00351B7D">
        <w:rPr>
          <w:rFonts w:asciiTheme="minorBidi" w:hAnsiTheme="minorBidi"/>
          <w:color w:val="000000"/>
          <w:rtl/>
        </w:rPr>
        <w:t>.</w:t>
      </w:r>
    </w:p>
  </w:footnote>
  <w:footnote w:id="604">
    <w:p w14:paraId="211527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פי"א מהא"ב סוף דין י', הביאו הב"ש סוף סק"ב.</w:t>
      </w:r>
    </w:p>
  </w:footnote>
  <w:footnote w:id="605">
    <w:p w14:paraId="4389A06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דוקא בז"נ שצריכה כלה לישב, שהם משום דם חימוד וזו היא גזירת חכמים, אך בז"נ של אשה שראתה דם וסתה הרי היא טמאה מדאו'</w:t>
      </w:r>
      <w:r w:rsidRPr="00351B7D">
        <w:rPr>
          <w:rFonts w:asciiTheme="minorBidi" w:hAnsiTheme="minorBidi"/>
          <w:sz w:val="16"/>
          <w:szCs w:val="16"/>
          <w:rtl/>
        </w:rPr>
        <w:t xml:space="preserve"> (אם ראתה בהרגשה)</w:t>
      </w:r>
      <w:r w:rsidRPr="00351B7D">
        <w:rPr>
          <w:rFonts w:asciiTheme="minorBidi" w:hAnsiTheme="minorBidi"/>
          <w:rtl/>
        </w:rPr>
        <w:t xml:space="preserve"> עד שתטבול.</w:t>
      </w:r>
    </w:p>
  </w:footnote>
  <w:footnote w:id="606">
    <w:p w14:paraId="11DB83B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והביא הוכחה מדברי המשא"ב </w:t>
      </w:r>
      <w:r w:rsidRPr="00351B7D">
        <w:rPr>
          <w:rFonts w:asciiTheme="minorBidi" w:hAnsiTheme="minorBidi"/>
          <w:sz w:val="16"/>
          <w:szCs w:val="16"/>
          <w:rtl/>
        </w:rPr>
        <w:t>(סי' צא, [שכ' שמה שנוהגין לעשות נישואין לבתולה בער"ש ולערב מטבילין אותה ובועל אותה שלדעת הרמב"ם דס"ל דחופת נדה לא קנה לא יפה הם עושים שנמצא שקונה אותה בשבת יעו"ש] הרי דאפילו בז' נקיים דאיסורא דרבנן ס"ל דלא קנה, עכת"ד)</w:t>
      </w:r>
      <w:r w:rsidRPr="00351B7D">
        <w:rPr>
          <w:rFonts w:asciiTheme="minorBidi" w:hAnsiTheme="minorBidi"/>
          <w:rtl/>
        </w:rPr>
        <w:t xml:space="preserve">, אך דבריו צל"ע דמדוע תיהיה טמאה מדרבנן, דהרי אע"פ שז"נ הם מדרבנן מ"מ היא נדה מדאו' עד שתטבול </w:t>
      </w:r>
      <w:r w:rsidRPr="00351B7D">
        <w:rPr>
          <w:rFonts w:asciiTheme="minorBidi" w:hAnsiTheme="minorBidi"/>
          <w:sz w:val="16"/>
          <w:szCs w:val="16"/>
          <w:rtl/>
        </w:rPr>
        <w:t>(כך שאם הייתה טובלת לאחר שבעה מלוכלכים אז הייתה טהורה מדאו' אך עדיין טמאה מדרבנן כיון שלא חיכתה ז"נ)</w:t>
      </w:r>
      <w:r w:rsidRPr="00351B7D">
        <w:rPr>
          <w:rFonts w:asciiTheme="minorBidi" w:hAnsiTheme="minorBidi"/>
          <w:rtl/>
        </w:rPr>
        <w:t>, וכן תמה הפת"ש על דבריו</w:t>
      </w:r>
      <w:r w:rsidRPr="00351B7D">
        <w:rPr>
          <w:rFonts w:asciiTheme="minorBidi" w:hAnsiTheme="minorBidi"/>
          <w:sz w:val="16"/>
          <w:szCs w:val="16"/>
          <w:rtl/>
        </w:rPr>
        <w:t xml:space="preserve"> (ואולי אפ"ל שכוונתו לז' ימי חימוד שצריכה הכלה לישב, אבל א"כ היה לו לפרש כן בהדיא, וגם המשא"ב לא פירש דבהכי מיירי אלא שניהם כתבו סתם, ואולי בגלל דמיירי בכלה לא צריך לפרש דבכולן מיירי בז' ימי חימוד, וצ"ע)</w:t>
      </w:r>
      <w:r w:rsidRPr="00351B7D">
        <w:rPr>
          <w:rFonts w:asciiTheme="minorBidi" w:hAnsiTheme="minorBidi"/>
          <w:rtl/>
        </w:rPr>
        <w:t>.</w:t>
      </w:r>
    </w:p>
  </w:footnote>
  <w:footnote w:id="607">
    <w:p w14:paraId="2D588CF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בסיבת שהנערה היתה צועקת באופן שלא היה להם יחוד.</w:t>
      </w:r>
    </w:p>
  </w:footnote>
  <w:footnote w:id="608">
    <w:p w14:paraId="3925EF1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שאף להחולקים על הרמב"ם וס"ל דחופת נדה חשיבה חופה לענין ירושה ושאר דברים היינו דוקא גבי נדה כיון דיש לה זמן מוגבל לנדתה מש"ה חשיבא חופה כיון דאיכא חיבת ביאה לאחר זמן משא"כ היכא דליכא חיבת ביאה כלל כו"ע מודו דלא חשיבא חופה כלל. ובשעה"מ </w:t>
      </w:r>
      <w:r w:rsidRPr="00351B7D">
        <w:rPr>
          <w:rFonts w:asciiTheme="minorBidi" w:hAnsiTheme="minorBidi"/>
          <w:color w:val="000000"/>
          <w:sz w:val="16"/>
          <w:szCs w:val="16"/>
          <w:rtl/>
        </w:rPr>
        <w:t>(פ"י מה"א בקונ' חופת חתנים סע' ו')</w:t>
      </w:r>
      <w:r w:rsidRPr="00351B7D">
        <w:rPr>
          <w:rFonts w:asciiTheme="minorBidi" w:hAnsiTheme="minorBidi"/>
          <w:rtl/>
        </w:rPr>
        <w:t xml:space="preserve"> תמה עליו שהרי מדברי הר"ן </w:t>
      </w:r>
      <w:r w:rsidRPr="00351B7D">
        <w:rPr>
          <w:rFonts w:asciiTheme="minorBidi" w:hAnsiTheme="minorBidi"/>
          <w:color w:val="000000"/>
          <w:sz w:val="16"/>
          <w:szCs w:val="16"/>
          <w:rtl/>
        </w:rPr>
        <w:t xml:space="preserve">(כתובות כב: מדפה"ר) </w:t>
      </w:r>
      <w:r w:rsidRPr="00351B7D">
        <w:rPr>
          <w:rFonts w:asciiTheme="minorBidi" w:hAnsiTheme="minorBidi"/>
          <w:color w:val="000000"/>
          <w:rtl/>
        </w:rPr>
        <w:t xml:space="preserve">והנמוק"י </w:t>
      </w:r>
      <w:r w:rsidRPr="00351B7D">
        <w:rPr>
          <w:rFonts w:asciiTheme="minorBidi" w:hAnsiTheme="minorBidi"/>
          <w:color w:val="000000"/>
          <w:sz w:val="16"/>
          <w:szCs w:val="16"/>
          <w:rtl/>
        </w:rPr>
        <w:t>(יבמות יט. מדפה"ר)</w:t>
      </w:r>
      <w:r w:rsidRPr="00351B7D">
        <w:rPr>
          <w:rFonts w:asciiTheme="minorBidi" w:hAnsiTheme="minorBidi"/>
          <w:rtl/>
        </w:rPr>
        <w:t xml:space="preserve"> משם הריטב"א שהקשו על הרמב"ם מההיא דיש חופה לפסולות מבואר דלא ס"ל חילוק זה, וכן מתבאר מדברי תשובת מיימוני </w:t>
      </w:r>
      <w:r w:rsidRPr="00351B7D">
        <w:rPr>
          <w:rFonts w:asciiTheme="minorBidi" w:hAnsiTheme="minorBidi"/>
          <w:color w:val="000000"/>
          <w:sz w:val="16"/>
          <w:szCs w:val="16"/>
          <w:rtl/>
        </w:rPr>
        <w:t>(להל' אישות סי' ו')</w:t>
      </w:r>
      <w:r w:rsidRPr="00351B7D">
        <w:rPr>
          <w:rFonts w:asciiTheme="minorBidi" w:hAnsiTheme="minorBidi"/>
          <w:color w:val="000000"/>
          <w:rtl/>
        </w:rPr>
        <w:t xml:space="preserve">. </w:t>
      </w:r>
      <w:r w:rsidRPr="00351B7D">
        <w:rPr>
          <w:rFonts w:asciiTheme="minorBidi" w:hAnsiTheme="minorBidi"/>
          <w:sz w:val="16"/>
          <w:szCs w:val="16"/>
          <w:rtl/>
        </w:rPr>
        <w:t>(וכ' הפת"ש דצ"ע מדברי הרמ"א בהגה באשה חולנית חולת מות כו' דנראה שגם הרמ"א ז"ל מסכים לחלק כמהר"ש גאון, וכמ"ש הב"ש בסק"ד דהרמ"א מחלק מסברת נפשו דגרע מנדה מאחר שאינה ראויה לביאה כלל)</w:t>
      </w:r>
    </w:p>
  </w:footnote>
  <w:footnote w:id="609">
    <w:p w14:paraId="7F52717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הה"מ 'ולא תנשא עד שתטהר' כ"כ ר"י בן מיגא"ש, וכן דעת קצת הגאונים, ונראים דבריהם דהא כיון שאסור לבא עליה ואפילו להתייחד עמה אין ראוי שתכנס לחופה.</w:t>
      </w:r>
    </w:p>
  </w:footnote>
  <w:footnote w:id="610">
    <w:p w14:paraId="18D7C4D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הביאוהו הב"י (יו"ד סי' קצ"ב סע' ד) והדרכ"מ (יו"ד סי' קצ"ב ארוך אות ח).</w:t>
      </w:r>
    </w:p>
  </w:footnote>
  <w:footnote w:id="611">
    <w:p w14:paraId="28A7211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וסיים שם- "אך רבינו יחיאל היה מחמיר בה דשמא חיבת ביאה קונה ואם כן בחופה אינה".</w:t>
      </w:r>
    </w:p>
  </w:footnote>
  <w:footnote w:id="612">
    <w:p w14:paraId="2EACE637" w14:textId="77777777" w:rsidR="00DF1FC7" w:rsidRPr="00351B7D" w:rsidRDefault="00DF1FC7" w:rsidP="008E16D0">
      <w:pPr>
        <w:pStyle w:val="a5"/>
        <w:rPr>
          <w:rFonts w:asciiTheme="minorBidi" w:hAnsiTheme="minorBidi"/>
          <w:sz w:val="16"/>
          <w:szCs w:val="16"/>
          <w:rtl/>
        </w:rPr>
      </w:pPr>
      <w:r w:rsidRPr="00351B7D">
        <w:rPr>
          <w:rStyle w:val="a7"/>
          <w:rFonts w:asciiTheme="minorBidi" w:hAnsiTheme="minorBidi"/>
        </w:rPr>
        <w:footnoteRef/>
      </w:r>
      <w:r w:rsidRPr="00351B7D">
        <w:rPr>
          <w:rFonts w:asciiTheme="minorBidi" w:hAnsiTheme="minorBidi"/>
          <w:rtl/>
        </w:rPr>
        <w:t xml:space="preserve"> ערוה"ש ביאר שם (סי' נה סע' יד-טו) שלדעת כל הפוסקים צריך להבדיל את החתן והכלה מהקהל, וזהו ייחוד וזוהי חופה </w:t>
      </w:r>
      <w:r w:rsidRPr="00351B7D">
        <w:rPr>
          <w:rFonts w:asciiTheme="minorBidi" w:hAnsiTheme="minorBidi"/>
          <w:sz w:val="16"/>
          <w:szCs w:val="16"/>
          <w:rtl/>
        </w:rPr>
        <w:t>(כמו "חופף עליו כל היום" או "עתיד הקב"ה לעשות חופה לכל צדיק וצדיק- היינו סימן כל שהוא)</w:t>
      </w:r>
      <w:r w:rsidRPr="00351B7D">
        <w:rPr>
          <w:rFonts w:asciiTheme="minorBidi" w:hAnsiTheme="minorBidi"/>
          <w:rtl/>
        </w:rPr>
        <w:t xml:space="preserve">, רק שהרמב"ם סובר שייחוד זה הוא בתוך ביתו, אבל אינו סובר שזה ייחוד בינו לבינה אלא ודאי שם גם מברכים וצריך מניין וכו', ושא"פ סברי שהחופה הוא דבר אחר וגם שם הייחוד הוא שהחתן מכניס לשם את הכלה, אבל גם שם אינו ייחוד לגמרי, וא"כ אין חילוק בניהם וכל אחד מגדיר חופה לפי מה שנהגו, ופליגי רק בהאם הכלה </w:t>
      </w:r>
      <w:r w:rsidRPr="00351B7D">
        <w:rPr>
          <w:rFonts w:asciiTheme="minorBidi" w:hAnsiTheme="minorBidi"/>
          <w:sz w:val="16"/>
          <w:szCs w:val="16"/>
          <w:rtl/>
        </w:rPr>
        <w:t xml:space="preserve">{לא החופה} </w:t>
      </w:r>
      <w:r w:rsidRPr="00351B7D">
        <w:rPr>
          <w:rFonts w:asciiTheme="minorBidi" w:hAnsiTheme="minorBidi"/>
          <w:rtl/>
        </w:rPr>
        <w:t>צריכה להיות ראויה לביאה או לא.</w:t>
      </w:r>
    </w:p>
  </w:footnote>
  <w:footnote w:id="613">
    <w:p w14:paraId="3A089FA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לפי מה שאנו נוהגים לעשות חופה בלא ייחוד...</w:t>
      </w:r>
    </w:p>
  </w:footnote>
  <w:footnote w:id="614">
    <w:p w14:paraId="77E2859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כנה"ג</w:t>
      </w:r>
      <w:r w:rsidRPr="00351B7D">
        <w:rPr>
          <w:rFonts w:asciiTheme="minorBidi" w:hAnsiTheme="minorBidi"/>
          <w:sz w:val="16"/>
          <w:szCs w:val="16"/>
          <w:rtl/>
        </w:rPr>
        <w:t xml:space="preserve"> (הגה"ט [אות י"ד]) </w:t>
      </w:r>
      <w:r w:rsidRPr="00351B7D">
        <w:rPr>
          <w:rFonts w:asciiTheme="minorBidi" w:hAnsiTheme="minorBidi"/>
          <w:rtl/>
        </w:rPr>
        <w:t>דעכשיו נוהגין לישא נידות אפילו בלתי הודעה לחתן שהיא נידה. ומיהו בדרשות מהרי"ל כתוב דאם אינה טהורה אינו נוגע בה אך מניח מעצמה ליפול באצבעה, והוי יודע דאפילו לפי מנהגינו לישא נידות כדעת הרא"ש ז"ל, היינו דוקא כשרוצה לישא עכשיו ואי איפשר לה ליטהר כגון שלא עברו ימי נידותה ולבונה, אבל אם עברו ימי נידותה ולבונה ויכולה היא לטבול ואף על פי כן אינה רוצה לטבול לסיבה אחרת, ראוי לחוש לדברי הרמב"ם שלא תינשא עד שתטהר. וכן עשיתי מעשה וכו'.</w:t>
      </w:r>
    </w:p>
  </w:footnote>
  <w:footnote w:id="615">
    <w:p w14:paraId="482ADDB9" w14:textId="77777777" w:rsidR="00DF1FC7" w:rsidRPr="00351B7D" w:rsidRDefault="00DF1FC7" w:rsidP="008E16D0">
      <w:pPr>
        <w:pStyle w:val="a5"/>
        <w:rPr>
          <w:rFonts w:asciiTheme="minorBidi" w:hAnsiTheme="minorBidi"/>
          <w:u w:val="single"/>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ונחלקו האחרונים אם מהני הודעה זו אף לדעת הרמב"ם וסיעתו:</w:t>
      </w:r>
    </w:p>
    <w:p w14:paraId="2F88D827" w14:textId="77777777" w:rsidR="00DF1FC7" w:rsidRPr="00351B7D" w:rsidRDefault="00DF1FC7" w:rsidP="00A8697F">
      <w:pPr>
        <w:pStyle w:val="a5"/>
        <w:numPr>
          <w:ilvl w:val="0"/>
          <w:numId w:val="77"/>
        </w:numPr>
        <w:rPr>
          <w:rFonts w:asciiTheme="minorBidi" w:hAnsiTheme="minorBidi"/>
        </w:rPr>
      </w:pPr>
      <w:r w:rsidRPr="00351B7D">
        <w:rPr>
          <w:rFonts w:asciiTheme="minorBidi" w:hAnsiTheme="minorBidi"/>
          <w:rtl/>
        </w:rPr>
        <w:t>ב"ש</w:t>
      </w:r>
      <w:r w:rsidRPr="00351B7D">
        <w:rPr>
          <w:rFonts w:asciiTheme="minorBidi" w:hAnsiTheme="minorBidi"/>
          <w:sz w:val="16"/>
          <w:szCs w:val="16"/>
          <w:rtl/>
        </w:rPr>
        <w:t xml:space="preserve"> (סק"ח, ובסי' ס"ד סק"ה)</w:t>
      </w:r>
      <w:r w:rsidRPr="00351B7D">
        <w:rPr>
          <w:rFonts w:asciiTheme="minorBidi" w:hAnsiTheme="minorBidi"/>
          <w:rtl/>
        </w:rPr>
        <w:t>- אף לרמב"ם מהני.</w:t>
      </w:r>
      <w:r w:rsidRPr="00351B7D">
        <w:rPr>
          <w:rFonts w:asciiTheme="minorBidi" w:hAnsiTheme="minorBidi"/>
          <w:sz w:val="16"/>
          <w:szCs w:val="16"/>
          <w:rtl/>
        </w:rPr>
        <w:t xml:space="preserve"> (ותמהו עליו הראש פינה [בעקבי הבית] ועצי ארזים [סקי"א])</w:t>
      </w:r>
    </w:p>
    <w:p w14:paraId="2FD910C2" w14:textId="77777777" w:rsidR="00DF1FC7" w:rsidRPr="00351B7D" w:rsidRDefault="00DF1FC7" w:rsidP="00A8697F">
      <w:pPr>
        <w:pStyle w:val="a5"/>
        <w:numPr>
          <w:ilvl w:val="0"/>
          <w:numId w:val="77"/>
        </w:numPr>
        <w:rPr>
          <w:rFonts w:asciiTheme="minorBidi" w:hAnsiTheme="minorBidi"/>
        </w:rPr>
      </w:pPr>
      <w:r w:rsidRPr="00351B7D">
        <w:rPr>
          <w:rFonts w:asciiTheme="minorBidi" w:hAnsiTheme="minorBidi"/>
          <w:rtl/>
        </w:rPr>
        <w:t xml:space="preserve">פנמ"א </w:t>
      </w:r>
      <w:r w:rsidRPr="00351B7D">
        <w:rPr>
          <w:rFonts w:asciiTheme="minorBidi" w:hAnsiTheme="minorBidi"/>
          <w:sz w:val="16"/>
          <w:szCs w:val="16"/>
          <w:rtl/>
        </w:rPr>
        <w:t xml:space="preserve">(ח"ב סי' קכד) </w:t>
      </w:r>
      <w:r w:rsidRPr="00351B7D">
        <w:rPr>
          <w:rFonts w:asciiTheme="minorBidi" w:hAnsiTheme="minorBidi"/>
          <w:rtl/>
        </w:rPr>
        <w:t xml:space="preserve">חכ"צ </w:t>
      </w:r>
      <w:r w:rsidRPr="00351B7D">
        <w:rPr>
          <w:rFonts w:asciiTheme="minorBidi" w:hAnsiTheme="minorBidi"/>
          <w:sz w:val="16"/>
          <w:szCs w:val="16"/>
          <w:rtl/>
        </w:rPr>
        <w:t xml:space="preserve">(סי' קכד) </w:t>
      </w:r>
      <w:r w:rsidRPr="00351B7D">
        <w:rPr>
          <w:rFonts w:asciiTheme="minorBidi" w:hAnsiTheme="minorBidi"/>
          <w:rtl/>
        </w:rPr>
        <w:t>ובית מאיר- הודעה זו מהני רק לדברי הרא"ש שר"י ס"ל כמותו</w:t>
      </w:r>
      <w:r w:rsidRPr="00351B7D">
        <w:rPr>
          <w:rFonts w:asciiTheme="minorBidi" w:hAnsiTheme="minorBidi"/>
          <w:sz w:val="16"/>
          <w:szCs w:val="16"/>
          <w:rtl/>
        </w:rPr>
        <w:t xml:space="preserve"> (לכן אם הדיעו לו קונה אף את התוספת כתובה, ח"מ [סק"ח])</w:t>
      </w:r>
      <w:r w:rsidRPr="00351B7D">
        <w:rPr>
          <w:rFonts w:asciiTheme="minorBidi" w:hAnsiTheme="minorBidi"/>
          <w:rtl/>
        </w:rPr>
        <w:t>.</w:t>
      </w:r>
    </w:p>
  </w:footnote>
  <w:footnote w:id="616">
    <w:p w14:paraId="3564ABF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כשנכנסה לחופת נישואין, רש"י.</w:t>
      </w:r>
    </w:p>
  </w:footnote>
  <w:footnote w:id="617">
    <w:p w14:paraId="72269D4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נראה בעיני סדר ברכות שנסדרו על עסקי הזוג אינו אלא מאשר יצר ואילך שאותה ברכה מתחלת לדבר בשניהם אשר יצר את האדם מדבר בזכר והתקין לו ממנו בנין עד עד היא הנקבה, רש"י.</w:t>
      </w:r>
    </w:p>
  </w:footnote>
  <w:footnote w:id="618">
    <w:p w14:paraId="4E6D094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שהרי חופה ייחוד הוא ובעי' ראוייה לביאה והרי כלה בלא ברכה אסורה היא לבעלה כנדה, ולא מפני שהיא בכלל כל המצות כלן מברך עליהן עובר לעשייה, רמב"ן. והביאו הר"ן, וכ' שהוא טעמו של הרמב"ם. אך הב"י כ' שטעמו של הרמב"ם הוא "משום דכל המצות מברך עליהן עובר לעשייתן </w:t>
      </w:r>
      <w:r w:rsidRPr="00351B7D">
        <w:rPr>
          <w:rFonts w:asciiTheme="minorBidi" w:hAnsiTheme="minorBidi"/>
          <w:sz w:val="16"/>
          <w:szCs w:val="16"/>
          <w:rtl/>
        </w:rPr>
        <w:t>(פסחים ז:)</w:t>
      </w:r>
      <w:r w:rsidRPr="00351B7D">
        <w:rPr>
          <w:rFonts w:asciiTheme="minorBidi" w:hAnsiTheme="minorBidi"/>
          <w:rtl/>
        </w:rPr>
        <w:t xml:space="preserve">", וכ' הפרישה </w:t>
      </w:r>
      <w:r w:rsidRPr="00351B7D">
        <w:rPr>
          <w:rFonts w:asciiTheme="minorBidi" w:hAnsiTheme="minorBidi"/>
          <w:sz w:val="16"/>
          <w:szCs w:val="16"/>
          <w:rtl/>
        </w:rPr>
        <w:t xml:space="preserve">(אות א) </w:t>
      </w:r>
      <w:r w:rsidRPr="00351B7D">
        <w:rPr>
          <w:rFonts w:asciiTheme="minorBidi" w:hAnsiTheme="minorBidi"/>
          <w:rtl/>
        </w:rPr>
        <w:t>שכן היא דעת הטור בפירוש דברי הרמב"ם.</w:t>
      </w:r>
    </w:p>
  </w:footnote>
  <w:footnote w:id="619">
    <w:p w14:paraId="480AE50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בה"ג </w:t>
      </w:r>
      <w:r w:rsidRPr="00351B7D">
        <w:rPr>
          <w:rFonts w:asciiTheme="minorBidi" w:hAnsiTheme="minorBidi"/>
          <w:sz w:val="16"/>
          <w:szCs w:val="16"/>
          <w:rtl/>
        </w:rPr>
        <w:t xml:space="preserve">(ריש הל' כתובות) </w:t>
      </w:r>
      <w:r w:rsidRPr="00351B7D">
        <w:rPr>
          <w:rFonts w:asciiTheme="minorBidi" w:hAnsiTheme="minorBidi"/>
          <w:rtl/>
        </w:rPr>
        <w:t xml:space="preserve">ור"ן </w:t>
      </w:r>
      <w:r w:rsidRPr="00351B7D">
        <w:rPr>
          <w:rFonts w:asciiTheme="minorBidi" w:hAnsiTheme="minorBidi"/>
          <w:sz w:val="16"/>
          <w:szCs w:val="16"/>
          <w:rtl/>
        </w:rPr>
        <w:t>(פסחים ד. ד"ה ולענין)</w:t>
      </w:r>
      <w:r w:rsidRPr="00351B7D">
        <w:rPr>
          <w:rFonts w:asciiTheme="minorBidi" w:hAnsiTheme="minorBidi"/>
          <w:rtl/>
        </w:rPr>
        <w:t>. וכן נ"ל דעת רש"י (הובא לעיל ד"ה בבית חתנים)</w:t>
      </w:r>
    </w:p>
  </w:footnote>
  <w:footnote w:id="620">
    <w:p w14:paraId="65021D4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הדרכ"מ </w:t>
      </w:r>
      <w:r w:rsidRPr="00351B7D">
        <w:rPr>
          <w:rFonts w:asciiTheme="minorBidi" w:hAnsiTheme="minorBidi"/>
          <w:sz w:val="16"/>
          <w:szCs w:val="16"/>
          <w:rtl/>
        </w:rPr>
        <w:t xml:space="preserve">(אות א) </w:t>
      </w:r>
      <w:r w:rsidRPr="00351B7D">
        <w:rPr>
          <w:rFonts w:asciiTheme="minorBidi" w:hAnsiTheme="minorBidi"/>
          <w:rtl/>
        </w:rPr>
        <w:t xml:space="preserve">דלפי דברי הרא"ש דלעיל </w:t>
      </w:r>
      <w:r w:rsidRPr="00351B7D">
        <w:rPr>
          <w:rFonts w:asciiTheme="minorBidi" w:hAnsiTheme="minorBidi"/>
          <w:sz w:val="16"/>
          <w:szCs w:val="16"/>
          <w:rtl/>
        </w:rPr>
        <w:t xml:space="preserve">(טור סי' סא) </w:t>
      </w:r>
      <w:r w:rsidRPr="00351B7D">
        <w:rPr>
          <w:rFonts w:asciiTheme="minorBidi" w:hAnsiTheme="minorBidi"/>
          <w:rtl/>
        </w:rPr>
        <w:t>דס"ל דלא בעינן חופה ראויה לביאה א"כ ס"ל גם כאן דאין צריך לברך קודם הכניסה, וכ"ש בזה"ז דחופה אינה יחוד, ולכן אין מברכין אלא תחת החופה, וכן הוא המנהג.</w:t>
      </w:r>
    </w:p>
  </w:footnote>
  <w:footnote w:id="621">
    <w:p w14:paraId="1D29384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ידעתי טעמו, דהא בגמ' בכתובות (ז:) בחדא מחתא מחתינהו לברכת אירוסין וברכת נשואין ולא הזכיר כוס בשום א' מהם, ח"מ (סק"א). ומ"מ ברכה על הכוס בברכת חתנים מעכבת יותר מבברכת אירוסין משום דגמרינן ז' ברכות דוקא, ב"ש (סק"ב).</w:t>
      </w:r>
    </w:p>
  </w:footnote>
  <w:footnote w:id="622">
    <w:p w14:paraId="5160EAB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 שאין היין מעכב ודבר פשוט, הה"מ </w:t>
      </w:r>
      <w:r w:rsidRPr="00351B7D">
        <w:rPr>
          <w:rFonts w:asciiTheme="minorBidi" w:hAnsiTheme="minorBidi"/>
          <w:sz w:val="16"/>
          <w:szCs w:val="16"/>
          <w:rtl/>
        </w:rPr>
        <w:t>(ה"ד)</w:t>
      </w:r>
      <w:r w:rsidRPr="00351B7D">
        <w:rPr>
          <w:rFonts w:asciiTheme="minorBidi" w:hAnsiTheme="minorBidi"/>
          <w:rtl/>
        </w:rPr>
        <w:t xml:space="preserve">. וכ"כ בספר הנייר </w:t>
      </w:r>
      <w:r w:rsidRPr="00351B7D">
        <w:rPr>
          <w:rFonts w:asciiTheme="minorBidi" w:hAnsiTheme="minorBidi"/>
          <w:sz w:val="16"/>
          <w:szCs w:val="16"/>
          <w:rtl/>
        </w:rPr>
        <w:t>(הל' כלה ה"ג בהגה)</w:t>
      </w:r>
      <w:r w:rsidRPr="00351B7D">
        <w:rPr>
          <w:rFonts w:asciiTheme="minorBidi" w:hAnsiTheme="minorBidi"/>
          <w:rtl/>
        </w:rPr>
        <w:t xml:space="preserve"> בשם מיימון. וכ"כ ח"מ </w:t>
      </w:r>
      <w:r w:rsidRPr="00351B7D">
        <w:rPr>
          <w:rFonts w:asciiTheme="minorBidi" w:hAnsiTheme="minorBidi"/>
          <w:sz w:val="16"/>
          <w:szCs w:val="16"/>
          <w:rtl/>
        </w:rPr>
        <w:t xml:space="preserve">(סק"א) </w:t>
      </w:r>
      <w:r w:rsidRPr="00351B7D">
        <w:rPr>
          <w:rFonts w:asciiTheme="minorBidi" w:hAnsiTheme="minorBidi"/>
          <w:rtl/>
        </w:rPr>
        <w:t xml:space="preserve">ב"ש </w:t>
      </w:r>
      <w:r w:rsidRPr="00351B7D">
        <w:rPr>
          <w:rFonts w:asciiTheme="minorBidi" w:hAnsiTheme="minorBidi"/>
          <w:sz w:val="16"/>
          <w:szCs w:val="16"/>
          <w:rtl/>
        </w:rPr>
        <w:t xml:space="preserve">(סק"ב) </w:t>
      </w:r>
      <w:r w:rsidRPr="00351B7D">
        <w:rPr>
          <w:rFonts w:asciiTheme="minorBidi" w:hAnsiTheme="minorBidi"/>
          <w:rtl/>
        </w:rPr>
        <w:t xml:space="preserve">ובאה"ג </w:t>
      </w:r>
      <w:r w:rsidRPr="00351B7D">
        <w:rPr>
          <w:rFonts w:asciiTheme="minorBidi" w:hAnsiTheme="minorBidi"/>
          <w:sz w:val="16"/>
          <w:szCs w:val="16"/>
          <w:rtl/>
        </w:rPr>
        <w:t>(אות ב)</w:t>
      </w:r>
      <w:r w:rsidRPr="00351B7D">
        <w:rPr>
          <w:rFonts w:asciiTheme="minorBidi" w:hAnsiTheme="minorBidi"/>
          <w:rtl/>
        </w:rPr>
        <w:t xml:space="preserve">, ועוד משמע שאם אין שם לא צריך לטרוח. וכנראה לא כ' הרמב"ם כן בפירוש משום שסמך על מש"כ בפ"ג </w:t>
      </w:r>
      <w:r w:rsidRPr="00351B7D">
        <w:rPr>
          <w:rFonts w:asciiTheme="minorBidi" w:hAnsiTheme="minorBidi"/>
          <w:sz w:val="16"/>
          <w:szCs w:val="16"/>
          <w:rtl/>
        </w:rPr>
        <w:t>(הכ"ד)</w:t>
      </w:r>
      <w:r w:rsidRPr="00351B7D">
        <w:rPr>
          <w:rFonts w:asciiTheme="minorBidi" w:hAnsiTheme="minorBidi"/>
          <w:rtl/>
        </w:rPr>
        <w:t xml:space="preserve"> גבי ברכת האירוסין</w:t>
      </w:r>
      <w:r w:rsidRPr="00351B7D">
        <w:rPr>
          <w:rFonts w:asciiTheme="minorBidi" w:hAnsiTheme="minorBidi"/>
          <w:sz w:val="16"/>
          <w:szCs w:val="16"/>
          <w:rtl/>
        </w:rPr>
        <w:t xml:space="preserve"> (וז"ל- "ונהגו העם להסדיר ברכה זו על כוס של יין או של שכר, אם יש שם יין מברך על היין תחלה ואחר כך מברך ברכת אירוסין ואחר כך מקדש, ואם אין שם לא יין ולא שכר מברך אותה בפני עצמה")</w:t>
      </w:r>
      <w:r w:rsidRPr="00351B7D">
        <w:rPr>
          <w:rFonts w:asciiTheme="minorBidi" w:hAnsiTheme="minorBidi"/>
          <w:rtl/>
        </w:rPr>
        <w:t>.</w:t>
      </w:r>
    </w:p>
  </w:footnote>
  <w:footnote w:id="623">
    <w:p w14:paraId="0E18353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כ"כ הרמב"ם ולשיטתו שפיר משום דס"ל חופה היינו יחוד ואסור להתייחד בלא ברכות אע"ג דס"ל ברכות אין מעכבין מ"מ לכתח' בעינן שאל יחסר שום דבר, כמ"ש בסי' הקודם </w:t>
      </w:r>
      <w:r w:rsidRPr="00351B7D">
        <w:rPr>
          <w:rFonts w:asciiTheme="minorBidi" w:hAnsiTheme="minorBidi"/>
          <w:sz w:val="16"/>
          <w:szCs w:val="16"/>
          <w:rtl/>
        </w:rPr>
        <w:t>(סע' א בהג"ה)</w:t>
      </w:r>
      <w:r w:rsidRPr="00351B7D">
        <w:rPr>
          <w:rFonts w:asciiTheme="minorBidi" w:hAnsiTheme="minorBidi"/>
          <w:rtl/>
        </w:rPr>
        <w:t xml:space="preserve">, והרא"ש דס"ל דלא בעינן חופה הראוי לביאה ס"ל דא"צ לברך קודם הכניסה, וכ"כ בדרכ"מ </w:t>
      </w:r>
      <w:r w:rsidRPr="00351B7D">
        <w:rPr>
          <w:rFonts w:asciiTheme="minorBidi" w:hAnsiTheme="minorBidi"/>
          <w:sz w:val="16"/>
          <w:szCs w:val="16"/>
          <w:rtl/>
        </w:rPr>
        <w:t>(אות א, דלדידן דעושין חופת נדה א"צ להקדים הברכות לחופה)</w:t>
      </w:r>
      <w:r w:rsidRPr="00351B7D">
        <w:rPr>
          <w:rFonts w:asciiTheme="minorBidi" w:hAnsiTheme="minorBidi"/>
          <w:rtl/>
        </w:rPr>
        <w:t xml:space="preserve">, והטור דפוסק כהרא"ש ופוסק דמברכים קודם החופה י"ל- ברכות אין עיכוב לברך </w:t>
      </w:r>
      <w:r w:rsidRPr="00351B7D">
        <w:rPr>
          <w:rFonts w:asciiTheme="minorBidi" w:hAnsiTheme="minorBidi"/>
          <w:sz w:val="16"/>
          <w:szCs w:val="16"/>
          <w:rtl/>
        </w:rPr>
        <w:t>{לכן}</w:t>
      </w:r>
      <w:r w:rsidRPr="00351B7D">
        <w:rPr>
          <w:rFonts w:asciiTheme="minorBidi" w:hAnsiTheme="minorBidi"/>
          <w:rtl/>
        </w:rPr>
        <w:t xml:space="preserve"> מברכים, אבל כשהיא נדה לדחות הנישואין עד שתטהר א"צ. (והר"ן)[והב"י] כ' עוד טעם דמברכים קודם כדי שתהיה עובר לעשיה, וכן קי"ל דמברכים ברכת ארוסין קודם הקדושין כמ"ש בסי' לד, מיהו י"ל ברכת אירוסין שאני דמדכיר הארוסין בברכה לכן צ"ל עובר לעשיה משא"כ ברכת נישואין, כמ"ש בפרישה </w:t>
      </w:r>
      <w:r w:rsidRPr="00351B7D">
        <w:rPr>
          <w:rFonts w:asciiTheme="minorBidi" w:hAnsiTheme="minorBidi"/>
          <w:sz w:val="16"/>
          <w:szCs w:val="16"/>
          <w:rtl/>
        </w:rPr>
        <w:t>(אות ט')</w:t>
      </w:r>
      <w:r w:rsidRPr="00351B7D">
        <w:rPr>
          <w:rFonts w:asciiTheme="minorBidi" w:hAnsiTheme="minorBidi"/>
          <w:rtl/>
        </w:rPr>
        <w:t>, ב"ש</w:t>
      </w:r>
      <w:r w:rsidRPr="00351B7D">
        <w:rPr>
          <w:rFonts w:asciiTheme="minorBidi" w:hAnsiTheme="minorBidi"/>
          <w:sz w:val="16"/>
          <w:szCs w:val="16"/>
          <w:rtl/>
        </w:rPr>
        <w:t xml:space="preserve"> (סק"א)</w:t>
      </w:r>
      <w:r w:rsidRPr="00351B7D">
        <w:rPr>
          <w:rFonts w:asciiTheme="minorBidi" w:hAnsiTheme="minorBidi"/>
          <w:rtl/>
        </w:rPr>
        <w:t xml:space="preserve">. </w:t>
      </w:r>
    </w:p>
    <w:p w14:paraId="51BD1E58" w14:textId="77777777" w:rsidR="00DF1FC7" w:rsidRPr="00351B7D" w:rsidRDefault="00DF1FC7" w:rsidP="008E16D0">
      <w:pPr>
        <w:pStyle w:val="a5"/>
        <w:rPr>
          <w:rFonts w:asciiTheme="minorBidi" w:hAnsiTheme="minorBidi"/>
          <w:rtl/>
        </w:rPr>
      </w:pPr>
      <w:r w:rsidRPr="00351B7D">
        <w:rPr>
          <w:rFonts w:asciiTheme="minorBidi" w:hAnsiTheme="minorBidi"/>
          <w:u w:val="single"/>
          <w:rtl/>
        </w:rPr>
        <w:t>ומה שאנו מברכים ברכת נשואין תחת החופה הוא משום-</w:t>
      </w:r>
      <w:r w:rsidRPr="00351B7D">
        <w:rPr>
          <w:rFonts w:asciiTheme="minorBidi" w:hAnsiTheme="minorBidi"/>
          <w:rtl/>
        </w:rPr>
        <w:t xml:space="preserve">  </w:t>
      </w:r>
    </w:p>
    <w:p w14:paraId="5F4200BD" w14:textId="77777777" w:rsidR="00DF1FC7" w:rsidRPr="00351B7D" w:rsidRDefault="00DF1FC7" w:rsidP="00A8697F">
      <w:pPr>
        <w:pStyle w:val="a5"/>
        <w:numPr>
          <w:ilvl w:val="0"/>
          <w:numId w:val="80"/>
        </w:numPr>
        <w:rPr>
          <w:rFonts w:asciiTheme="minorBidi" w:hAnsiTheme="minorBidi"/>
        </w:rPr>
      </w:pPr>
      <w:r w:rsidRPr="00351B7D">
        <w:rPr>
          <w:rFonts w:asciiTheme="minorBidi" w:hAnsiTheme="minorBidi"/>
          <w:rtl/>
        </w:rPr>
        <w:t xml:space="preserve">ב"ש </w:t>
      </w:r>
      <w:r w:rsidRPr="00351B7D">
        <w:rPr>
          <w:rFonts w:asciiTheme="minorBidi" w:hAnsiTheme="minorBidi"/>
          <w:sz w:val="16"/>
          <w:szCs w:val="16"/>
          <w:rtl/>
        </w:rPr>
        <w:t>(סק"א)</w:t>
      </w:r>
      <w:r w:rsidRPr="00351B7D">
        <w:rPr>
          <w:rFonts w:asciiTheme="minorBidi" w:hAnsiTheme="minorBidi"/>
          <w:rtl/>
        </w:rPr>
        <w:t xml:space="preserve">- דבחופה ליכא יחוד והוי עובר לעשיה קודם שאוכלים ביחד במקום צנוע </w:t>
      </w:r>
      <w:r w:rsidRPr="00351B7D">
        <w:rPr>
          <w:rFonts w:asciiTheme="minorBidi" w:hAnsiTheme="minorBidi"/>
          <w:sz w:val="16"/>
          <w:szCs w:val="16"/>
          <w:rtl/>
        </w:rPr>
        <w:t>(וכ' עוד דמזה ג"כ ראיה דעיקר החופה הוא האכילה במקום צנוע דאל"כ קשה על מנהג שלנו איך עושים שני דברים הסותרים זא"ז דמברכים קודם הקדושין כדי שיהיה עובר לעשיה וברכת נישואין מברכים תחת החופה, אך בס' המקנה חלק עליו וכ' דא"א לומר כן דאלו הוי ברכת נשואין בשביל היחוד שאח"כ הוי ההליכה מהחופה לבית החתנות הפסק בין הברכות לנשואין כדאיתא באו"ח סי' ח' סי"ג, אלא מ"ש הרמב"ם והטור קודם כניסתן לחופה היינו בבית החתונה קודם כניסתן לחדר המיוחד לחתן וכלה דמחדר לחדר לא הוי הפסק כדאי' במג"א שם סקי"ז)</w:t>
      </w:r>
      <w:r w:rsidRPr="00351B7D">
        <w:rPr>
          <w:rFonts w:asciiTheme="minorBidi" w:hAnsiTheme="minorBidi"/>
          <w:rtl/>
        </w:rPr>
        <w:t>.</w:t>
      </w:r>
    </w:p>
    <w:p w14:paraId="02234CA6" w14:textId="77777777" w:rsidR="00DF1FC7" w:rsidRPr="00351B7D" w:rsidRDefault="00DF1FC7" w:rsidP="00A8697F">
      <w:pPr>
        <w:pStyle w:val="a5"/>
        <w:numPr>
          <w:ilvl w:val="0"/>
          <w:numId w:val="80"/>
        </w:numPr>
        <w:rPr>
          <w:rFonts w:asciiTheme="minorBidi" w:hAnsiTheme="minorBidi"/>
          <w:rtl/>
        </w:rPr>
      </w:pPr>
      <w:r w:rsidRPr="00351B7D">
        <w:rPr>
          <w:rFonts w:asciiTheme="minorBidi" w:hAnsiTheme="minorBidi"/>
          <w:rtl/>
        </w:rPr>
        <w:t>המקנה</w:t>
      </w:r>
      <w:r w:rsidRPr="00351B7D">
        <w:rPr>
          <w:rFonts w:asciiTheme="minorBidi" w:hAnsiTheme="minorBidi"/>
          <w:sz w:val="16"/>
          <w:szCs w:val="16"/>
          <w:rtl/>
        </w:rPr>
        <w:t xml:space="preserve"> (בקו"א, הביאו הפת"ש סק"א)</w:t>
      </w:r>
      <w:r w:rsidRPr="00351B7D">
        <w:rPr>
          <w:rFonts w:asciiTheme="minorBidi" w:hAnsiTheme="minorBidi"/>
          <w:rtl/>
        </w:rPr>
        <w:t>- כיון דמנהגינו לקדש תחת החופה יוצא דא"א לברך ברכת נשואין קודם כניסתן לחופה כיון דעדיין לא קידשה ויהא ברכת האירוסין ומעשה הקדושין הפסק בין ברכת נישואין לנשואין, וגם עדיין לא נקראו בשם חתן וכלה קודם הקידושין ע"כ מברכין תיכף אחר הקדושין.</w:t>
      </w:r>
    </w:p>
  </w:footnote>
  <w:footnote w:id="624">
    <w:p w14:paraId="1F4024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ויש מקומות שנהגו להביא הדס עם היין ומברך על ההדס אחר היין ואחר כך מברך השש, רמב"ם (פ"י ה"ד).</w:t>
      </w:r>
    </w:p>
  </w:footnote>
  <w:footnote w:id="625">
    <w:p w14:paraId="7ACC707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w:t>
      </w:r>
      <w:r w:rsidRPr="00351B7D">
        <w:rPr>
          <w:rFonts w:asciiTheme="minorBidi" w:hAnsiTheme="minorBidi"/>
          <w:sz w:val="16"/>
          <w:szCs w:val="16"/>
          <w:rtl/>
        </w:rPr>
        <w:t xml:space="preserve"> (פסחים קב. ד"ה שאין)</w:t>
      </w:r>
      <w:r w:rsidRPr="00351B7D">
        <w:rPr>
          <w:rFonts w:asciiTheme="minorBidi" w:hAnsiTheme="minorBidi"/>
          <w:rtl/>
        </w:rPr>
        <w:t xml:space="preserve"> רא"ש</w:t>
      </w:r>
      <w:r w:rsidRPr="00351B7D">
        <w:rPr>
          <w:rFonts w:asciiTheme="minorBidi" w:hAnsiTheme="minorBidi"/>
          <w:sz w:val="16"/>
          <w:szCs w:val="16"/>
          <w:rtl/>
        </w:rPr>
        <w:t xml:space="preserve"> (פסחים פ"י סי' ח)</w:t>
      </w:r>
      <w:r w:rsidRPr="00351B7D">
        <w:rPr>
          <w:rFonts w:asciiTheme="minorBidi" w:hAnsiTheme="minorBidi"/>
          <w:rtl/>
        </w:rPr>
        <w:t xml:space="preserve"> דרכ"מ </w:t>
      </w:r>
      <w:r w:rsidRPr="00351B7D">
        <w:rPr>
          <w:rFonts w:asciiTheme="minorBidi" w:hAnsiTheme="minorBidi"/>
          <w:sz w:val="16"/>
          <w:szCs w:val="16"/>
          <w:rtl/>
        </w:rPr>
        <w:t xml:space="preserve">(אות ב') </w:t>
      </w:r>
      <w:r w:rsidRPr="00351B7D">
        <w:rPr>
          <w:rFonts w:asciiTheme="minorBidi" w:hAnsiTheme="minorBidi"/>
          <w:rtl/>
        </w:rPr>
        <w:t xml:space="preserve">בית הילל ב"ש </w:t>
      </w:r>
      <w:r w:rsidRPr="00351B7D">
        <w:rPr>
          <w:rFonts w:asciiTheme="minorBidi" w:hAnsiTheme="minorBidi"/>
          <w:sz w:val="16"/>
          <w:szCs w:val="16"/>
          <w:rtl/>
        </w:rPr>
        <w:t>(סק"ב)</w:t>
      </w:r>
      <w:r w:rsidRPr="00351B7D">
        <w:rPr>
          <w:rFonts w:asciiTheme="minorBidi" w:hAnsiTheme="minorBidi"/>
          <w:rtl/>
        </w:rPr>
        <w:t xml:space="preserve"> ובאה"ט</w:t>
      </w:r>
      <w:r w:rsidRPr="00351B7D">
        <w:rPr>
          <w:rFonts w:asciiTheme="minorBidi" w:hAnsiTheme="minorBidi"/>
          <w:sz w:val="16"/>
          <w:szCs w:val="16"/>
          <w:rtl/>
        </w:rPr>
        <w:t xml:space="preserve"> (סק"ב)</w:t>
      </w:r>
      <w:r w:rsidRPr="00351B7D">
        <w:rPr>
          <w:rFonts w:asciiTheme="minorBidi" w:hAnsiTheme="minorBidi"/>
          <w:rtl/>
        </w:rPr>
        <w:t>.</w:t>
      </w:r>
    </w:p>
  </w:footnote>
  <w:footnote w:id="626">
    <w:p w14:paraId="1003981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והטעם למנהג זה הוא משום שגם ברהמ"ז טעונה כוס וגם שש ברכות טעונות כוס ולא מברכים בסיום ברהמ"ז שלא יראה דקאי על המזון, לפיכך לאחר שש הברכות מפסיקין ואומרים "יראו את ה' קדושיו" ומברכין על הכוס וקאי על שניהם, ע"פ בית הילל.</w:t>
      </w:r>
    </w:p>
  </w:footnote>
  <w:footnote w:id="627">
    <w:p w14:paraId="74EE84C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דמדאינה טעונה</w:t>
      </w:r>
      <w:r w:rsidRPr="00351B7D">
        <w:rPr>
          <w:rFonts w:asciiTheme="minorBidi" w:hAnsiTheme="minorBidi"/>
          <w:sz w:val="14"/>
          <w:szCs w:val="14"/>
          <w:rtl/>
        </w:rPr>
        <w:t xml:space="preserve"> {ברכה}</w:t>
      </w:r>
      <w:r w:rsidRPr="00351B7D">
        <w:rPr>
          <w:rFonts w:asciiTheme="minorBidi" w:hAnsiTheme="minorBidi"/>
          <w:rtl/>
        </w:rPr>
        <w:t xml:space="preserve"> דקאמר רב הונא אוקימנא דאינה טעונה </w:t>
      </w:r>
      <w:r w:rsidRPr="00351B7D">
        <w:rPr>
          <w:rFonts w:asciiTheme="minorBidi" w:hAnsiTheme="minorBidi"/>
          <w:sz w:val="14"/>
          <w:szCs w:val="14"/>
          <w:rtl/>
        </w:rPr>
        <w:t xml:space="preserve">{ברכה} </w:t>
      </w:r>
      <w:r w:rsidRPr="00351B7D">
        <w:rPr>
          <w:rFonts w:asciiTheme="minorBidi" w:hAnsiTheme="minorBidi"/>
          <w:rtl/>
        </w:rPr>
        <w:t xml:space="preserve">שבעה מכלל דטעונה </w:t>
      </w:r>
      <w:r w:rsidRPr="00351B7D">
        <w:rPr>
          <w:rFonts w:asciiTheme="minorBidi" w:hAnsiTheme="minorBidi"/>
          <w:sz w:val="14"/>
          <w:szCs w:val="14"/>
          <w:rtl/>
        </w:rPr>
        <w:t xml:space="preserve">{ברכה} </w:t>
      </w:r>
      <w:r w:rsidRPr="00351B7D">
        <w:rPr>
          <w:rFonts w:asciiTheme="minorBidi" w:hAnsiTheme="minorBidi"/>
          <w:rtl/>
        </w:rPr>
        <w:t>דקאמר רבי אבא שבעה, רש"י.</w:t>
      </w:r>
    </w:p>
  </w:footnote>
  <w:footnote w:id="628">
    <w:p w14:paraId="7D6942C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גירסת הב"י והראשונים, אך לפנינו איתא- "איבעית אימא: באלמון יום אחד לברכה ושלשה לשמחה, ואיבעית אימא: בבחור שבעה לברכה ושלשה לשמחה", והכנסתי בגמרא לעיל את גירסת הראשונים משום שע"פ גיר' זו כל אחד אומר את דעתו (אם כשתי הלישנות בגמ' ואם כלישנא בתרא שבגמ').</w:t>
      </w:r>
    </w:p>
  </w:footnote>
  <w:footnote w:id="629">
    <w:p w14:paraId="4A34916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שהרי כתב כאן דבתולה אפילו נישאת לאלמון ז' לברכה, ובסימן ס"ד (צו:) כתב אם היא בעולה שמח עמה ג' ימים בין בחור בין אלמון, ב"י.</w:t>
      </w:r>
    </w:p>
  </w:footnote>
  <w:footnote w:id="630">
    <w:p w14:paraId="5DBB220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וסתמא דברייתא הכי משמע דקתני שקדו חכמים על תקנת בנות ישראל ולא מפליג בין נשאת לאלמון לנשאת לבחור אלמא ליכא אלמנה דיתירה מג' [לשמחה]. וכ"ת מ"ש דבבחור שנשא אלמנה נפישי ימי ברכה מימי שמחה ובאלמון שנשא אלמנה נפישי ימי שמחה מימי ברכה י"ל שהכל לפי ענינו משום דברכה באה על שמחת לבו של חתן הלכך בחור שלא נשא עדיין דאית ליה שמחה טפי מברכין לעולם ז' אפילו נשא אלמנה אבל שמחה דהיינו בטול מלאכה דהוא משום תקנתא דידה כיון דאלמנה היא אינה צריכה פתוי כ"כ ובג' ימי שמחה סגי לה אבל אלמון שנשא אלמנה כיון שכבר נשא ועכשיו אינו נושא בתולה אלא אלמנה אינו שמח כל כך הלכך ביום א' סגי ואפ"ה בעינן ג' לשמחה דימי שמחה לתקנתה דידה נתקנו כדאמר שקדו חכמים על תקנת בנות ישראל ואי אפי' כשנשאת לבחור אמרו דאית לה ג' ימי שמחה כ"ש לאלמון שנשא שצריך לשמחה שלשה והיינו טעמא דמברכין לבתולה שנשאת לאלמון ז' כדאמרינן בסמוך דליכא בתולה דבצירא מז' לברכה משום דאלמון נמי כשנושא את הבתולה שמח טפי, ר"ן.</w:t>
      </w:r>
    </w:p>
  </w:footnote>
  <w:footnote w:id="631">
    <w:p w14:paraId="6F14C81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שכן נהגו.</w:t>
      </w:r>
    </w:p>
  </w:footnote>
  <w:footnote w:id="632">
    <w:p w14:paraId="0B4E30D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הוא בר"ן שלפנינו, אבל הב"י לא כ' תיבות אלו </w:t>
      </w:r>
      <w:r w:rsidRPr="00351B7D">
        <w:rPr>
          <w:rFonts w:asciiTheme="minorBidi" w:hAnsiTheme="minorBidi"/>
          <w:sz w:val="14"/>
          <w:szCs w:val="14"/>
          <w:rtl/>
        </w:rPr>
        <w:t>("וכ"כ הרא"ש")</w:t>
      </w:r>
      <w:r w:rsidRPr="00351B7D">
        <w:rPr>
          <w:rFonts w:asciiTheme="minorBidi" w:hAnsiTheme="minorBidi"/>
          <w:rtl/>
        </w:rPr>
        <w:t xml:space="preserve"> כשהביא את דברי הר"ן, ואפשר דליתא להני תיבות בגירסתו בר"ן.</w:t>
      </w:r>
    </w:p>
  </w:footnote>
  <w:footnote w:id="633">
    <w:p w14:paraId="51B4916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ורבנו פרץ</w:t>
      </w:r>
      <w:r w:rsidRPr="00351B7D">
        <w:rPr>
          <w:rFonts w:asciiTheme="minorBidi" w:hAnsiTheme="minorBidi"/>
          <w:sz w:val="16"/>
          <w:szCs w:val="16"/>
          <w:rtl/>
        </w:rPr>
        <w:t xml:space="preserve"> (בהגהות הסמ"ק מצוה קצ"ה אות ז) </w:t>
      </w:r>
      <w:r w:rsidRPr="00351B7D">
        <w:rPr>
          <w:rFonts w:asciiTheme="minorBidi" w:hAnsiTheme="minorBidi"/>
          <w:rtl/>
        </w:rPr>
        <w:t>הביא דעה זו שלמדה כן מהירושלמי וכ' וז"ל- ולא היא, דהתם השתי שמחות היו לאדם אחד דיעקב היה נושא שתי נשים וכן גבי רגל שמחת הרגל ושמחת האשה שהוא נושא דלאחד הם שתיהם הלכך שייך בהו עירוב שמחות אבל בשתי חופות שעושין משתי נשים לשתי אנשים לא שייך הכא עירוב שמחה בשמחה.</w:t>
      </w:r>
    </w:p>
  </w:footnote>
  <w:footnote w:id="634">
    <w:p w14:paraId="173A17F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מיהו אין העולם נזהרים, דרכ"מ (אות ד).</w:t>
      </w:r>
    </w:p>
  </w:footnote>
  <w:footnote w:id="635">
    <w:p w14:paraId="2AB5735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בספר חסידים. כתבו הפוסקים שהסמ"ק הביא דבריו, אך עיין בדברי רבנו פרץ (בעל הגהות הסמ"ק) לקמן ובהערה שם.</w:t>
      </w:r>
    </w:p>
  </w:footnote>
  <w:footnote w:id="636">
    <w:p w14:paraId="0E175F1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בהגהות הסמ"ק מצוה קצ"ה אות ז' </w:t>
      </w:r>
      <w:r w:rsidRPr="00351B7D">
        <w:rPr>
          <w:rFonts w:asciiTheme="minorBidi" w:hAnsiTheme="minorBidi"/>
          <w:sz w:val="16"/>
          <w:szCs w:val="16"/>
          <w:rtl/>
        </w:rPr>
        <w:t>(הפוסקים הביאו דברים אלו בשם הסמ"ק אך נראה שהשתרבבו דברי רבנו פרץ לתוך דברי הסמ"ק במהדורה שהייתה לפניהם, עי' לקמן)</w:t>
      </w:r>
      <w:r w:rsidRPr="00351B7D">
        <w:rPr>
          <w:rFonts w:asciiTheme="minorBidi" w:hAnsiTheme="minorBidi"/>
          <w:rtl/>
        </w:rPr>
        <w:t xml:space="preserve">. רבנו פרץ ב"ר אליהו, בן עירו של ר' יצחק ב"ר יוסף מקורבייל </w:t>
      </w:r>
      <w:r w:rsidRPr="00351B7D">
        <w:rPr>
          <w:rFonts w:asciiTheme="minorBidi" w:hAnsiTheme="minorBidi"/>
          <w:sz w:val="16"/>
          <w:szCs w:val="16"/>
          <w:rtl/>
        </w:rPr>
        <w:t>(בעל הספר מצוות קצר (או קטן, בקיצור- סמ"ק))</w:t>
      </w:r>
      <w:r w:rsidRPr="00351B7D">
        <w:rPr>
          <w:rFonts w:asciiTheme="minorBidi" w:hAnsiTheme="minorBidi"/>
          <w:rtl/>
        </w:rPr>
        <w:t xml:space="preserve"> וצעיר ממנו </w:t>
      </w:r>
      <w:r w:rsidRPr="00351B7D">
        <w:rPr>
          <w:rFonts w:asciiTheme="minorBidi" w:hAnsiTheme="minorBidi"/>
          <w:sz w:val="16"/>
          <w:szCs w:val="16"/>
          <w:rtl/>
        </w:rPr>
        <w:t>(נפטר בערך בשנת ה"א ס' - 1300)</w:t>
      </w:r>
      <w:r w:rsidRPr="00351B7D">
        <w:rPr>
          <w:rFonts w:asciiTheme="minorBidi" w:hAnsiTheme="minorBidi"/>
          <w:rtl/>
        </w:rPr>
        <w:t xml:space="preserve">, כ' הגהות על הסמ"ק שהפכו לחלק בלתי נפרד מהספר, וכמה מהן אף חדרו במשך הזמן לתוך הטקסט עצמו. רבנו פרץ עמד בראש ישיבה גדולה שממנה יצאו קבצי תוספות חשובים, נחשב מחותמי תקופת בעלי התוספות </w:t>
      </w:r>
      <w:r w:rsidRPr="00351B7D">
        <w:rPr>
          <w:rFonts w:asciiTheme="minorBidi" w:hAnsiTheme="minorBidi"/>
          <w:sz w:val="16"/>
          <w:szCs w:val="16"/>
          <w:rtl/>
        </w:rPr>
        <w:t>(ביוגרפיה פרוה"ש)</w:t>
      </w:r>
      <w:r w:rsidRPr="00351B7D">
        <w:rPr>
          <w:rFonts w:asciiTheme="minorBidi" w:hAnsiTheme="minorBidi"/>
          <w:rtl/>
        </w:rPr>
        <w:t xml:space="preserve">. </w:t>
      </w:r>
    </w:p>
  </w:footnote>
  <w:footnote w:id="637">
    <w:p w14:paraId="31A8114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לשון הרמב"ם (פ"י מהל' אישות הי"ג). </w:t>
      </w:r>
    </w:p>
  </w:footnote>
  <w:footnote w:id="638">
    <w:p w14:paraId="17ABD0C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כשתי חבורות שאוכלין זו לעצמה וזו לעצמה שאחד מברך ברכת המזון לשתיהם כל שרואות זו את זו, ודעתי נוטה שכל כת וכת מן החתנים מכניסין לחדר אחד לעצמו כדי שיהא ניכר שיש שם שתי חתונות ואין מברכין לזה בפני זה להפריש בחתונתם, וזהו בענין שבעה ברכות שעושין מחמת כניסתן לחופה ובברכת אירוסין, אבל לענין שבעה ברכות שנוהגין</w:t>
      </w:r>
      <w:r w:rsidRPr="00351B7D">
        <w:rPr>
          <w:rFonts w:asciiTheme="minorBidi" w:hAnsiTheme="minorBidi"/>
          <w:sz w:val="16"/>
          <w:szCs w:val="16"/>
          <w:rtl/>
        </w:rPr>
        <w:t xml:space="preserve"> (לאחר הסעודה)</w:t>
      </w:r>
      <w:r w:rsidRPr="00351B7D">
        <w:rPr>
          <w:rFonts w:asciiTheme="minorBidi" w:hAnsiTheme="minorBidi"/>
          <w:rtl/>
        </w:rPr>
        <w:t xml:space="preserve"> א"צ, רשב"א.</w:t>
      </w:r>
    </w:p>
  </w:footnote>
  <w:footnote w:id="639">
    <w:p w14:paraId="3574F8B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(אות ג) וז"ל- וכן נוהגין דעושין לכל חתן חופה בפני עצמו מיהו סעודה אחת עושין להרבה חתנים ואין מברכין אלא ברכה אחת, וכן נראה מתשובת הרשב"א (ח"ז סי' קכז) שכתב ב"י, ועיין ביו"ד סימן רס"ה (עמ' קז) דאע"פ ששני החתנים אינם בבית אחד מכל מקום אם כשבירך בראשונה היה דעתו על השני אין צריך לברך.</w:t>
      </w:r>
    </w:p>
  </w:footnote>
  <w:footnote w:id="640">
    <w:p w14:paraId="6375AA6A" w14:textId="77777777" w:rsidR="00DF1FC7" w:rsidRPr="00351B7D" w:rsidRDefault="00DF1FC7" w:rsidP="008E16D0">
      <w:pPr>
        <w:pStyle w:val="a5"/>
        <w:rPr>
          <w:rFonts w:asciiTheme="minorBidi" w:hAnsiTheme="minorBidi"/>
        </w:rPr>
      </w:pPr>
      <w:r w:rsidRPr="00351B7D">
        <w:rPr>
          <w:rStyle w:val="a7"/>
          <w:rFonts w:asciiTheme="minorBidi" w:hAnsiTheme="minorBidi"/>
          <w:color w:val="FF0000"/>
        </w:rPr>
        <w:footnoteRef/>
      </w:r>
      <w:r w:rsidRPr="00351B7D">
        <w:rPr>
          <w:rFonts w:asciiTheme="minorBidi" w:hAnsiTheme="minorBidi"/>
          <w:color w:val="FF0000"/>
          <w:rtl/>
        </w:rPr>
        <w:t xml:space="preserve"> ועי' בס' המקנה</w:t>
      </w:r>
      <w:r w:rsidRPr="00351B7D">
        <w:rPr>
          <w:rFonts w:asciiTheme="minorBidi" w:hAnsiTheme="minorBidi"/>
          <w:color w:val="FF0000"/>
          <w:sz w:val="16"/>
          <w:szCs w:val="16"/>
          <w:rtl/>
        </w:rPr>
        <w:t xml:space="preserve"> (קו"א, הביאו הפת"ש סק"ה) </w:t>
      </w:r>
      <w:r w:rsidRPr="00351B7D">
        <w:rPr>
          <w:rFonts w:asciiTheme="minorBidi" w:hAnsiTheme="minorBidi"/>
          <w:color w:val="FF0000"/>
          <w:rtl/>
        </w:rPr>
        <w:t>שכ'- נראה דמיירי שכבר קדשו כל אחד בפ"ע, אבל לפי מנהגינו שמקדשין תחת החופה א"כ הקדים ברכת נשואין לקדושין של חבירו, ולא מצינו ברכת נשואין קודם קדושין, ותו דאם יכוון גם בברכת אירוסין לפטור את חבירו הא הוי ברכת נשואין הפסק, ואם לא יכוון בברכת אירוסין לשניהם א"כ הוי ברכת אירוסין דשני הפסק בין ברכת נשואין דראשון לנשואין דשני, ואפשר דדעת הרמ"א היינו שמברכין על הראשון ברכת אירוסין ודעתו לפטור השני שיבא אח"כ ומברך לשני ברכת נשואין ופוטר גם הראשון בברכת נשואין, והיינו שכתב כמו שנתבאר בי"ד סי' רס"ה דשם ס"ה מבואר דהראשון מברך על המילה ועולה גם לשני והשני יברך על הכוס אשר קידש וכו'.</w:t>
      </w:r>
    </w:p>
  </w:footnote>
  <w:footnote w:id="641">
    <w:p w14:paraId="341797F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עיין בתשו' הרדב"ז (ח"א סי' תמ"ח, הביאו הפת"ש סק"ו) שכ' דהיכא דחתנים גופייהו מקפידים בהכי שאין רוצים בברכה בשותפות שפיר דמי לברך לכל א' בפני עצמו ואין כאן משום אפושי בברכות, ומוציאים את האחד לבית אחר ומברכים וחוזרים ומברכים לזה, וכן עשה הוא ז"ל מעשה.</w:t>
      </w:r>
    </w:p>
  </w:footnote>
  <w:footnote w:id="642">
    <w:p w14:paraId="082E01C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הובא בתשובות מיימוניות נשים סי' יח. רבי שמשון ב"ר אברהם מהעיר שנץ שבצרפת נולד בערך בשנת ד"א תתק"י (1150) למשפחה של רבנים ולמדנים, מראשוני בעלי התוספות. כונה בנוסף ל'ר"ש' גם 'השר משנץ', 'רבנו שמשון הגבור' ולעיתים 'רשב"א', בצעירותו למד תורה מפי אחיו הגדול ר' יצחק (הריצב"א) ואצל רבנו תם ורבי חיים הכהן מגדולי בעלי התוספות, אך את רוב תורתו קיבל מפי ר' יצחק ב"ר שמואל (ר"י הזקן), והוא נחשב לתלמידו המובהק ויורשו הרוחני. רוב התוספות 'שלנו' הגיעו אלינו מבית מדרשו של הר"ש בעיבודים של תלמידיו ותלמידי תלמידיו. הר"ש השיב תשובות הלכתיות רבות, שחלקן הובאו בספרי גדולי הדורות שאחריו </w:t>
      </w:r>
      <w:r w:rsidRPr="00351B7D">
        <w:rPr>
          <w:rFonts w:asciiTheme="minorBidi" w:hAnsiTheme="minorBidi"/>
          <w:sz w:val="16"/>
          <w:szCs w:val="16"/>
          <w:rtl/>
        </w:rPr>
        <w:t>(ביגורפיה פרוה"ש)</w:t>
      </w:r>
      <w:r w:rsidRPr="00351B7D">
        <w:rPr>
          <w:rFonts w:asciiTheme="minorBidi" w:hAnsiTheme="minorBidi"/>
          <w:rtl/>
        </w:rPr>
        <w:t>.</w:t>
      </w:r>
    </w:p>
  </w:footnote>
  <w:footnote w:id="643">
    <w:p w14:paraId="6806EC5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לשון הר"ש משנץ, הביאו תרוה"ד, והב"י חלק על דבריו וכ' וז"ל- אין דבריו נראין דמה טענה היא זו דאין הכי נמי שאם אין שם עשרה שלא תנשא אשה ואין זה אלא כמכריח (ס"א- כמכריע) הדבר בעצמו. והדרכ"מ (אות ח) כ' על דברי הב"י וז"ל- ואין דבריו נראין אלא אין הברכות מעכבות כמו שנתבאר לעיל בסמוך ומיהו לכתחלה יש ליזהר ולהדר אחר עשרה.</w:t>
      </w:r>
    </w:p>
  </w:footnote>
  <w:footnote w:id="644">
    <w:p w14:paraId="6CA660A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וז"ל הח"מ (סק"ג)- ועיר שאין בה עשרה וא"א להביאם שם ממקום אחר אסור לעשות שם נשואין אלא צריך החתן והכלה לילך למקום שיש שם עשרה ולהכניסם שם לחופה, ואם אין במדינה עשרה וא"א לו לילך למדינה אחרת רק בטורח גדול אז הוי כדיעבד וברכות אין מעכבות ויכניסנה לחופה בלא ברכה וחוזר ומברך אפילו אחר כמה ימים. (וכעין זה כ' הב"ש (סק"ד))</w:t>
      </w:r>
    </w:p>
  </w:footnote>
  <w:footnote w:id="645">
    <w:p w14:paraId="45D7FC8E" w14:textId="77777777" w:rsidR="00DF1FC7" w:rsidRPr="00351B7D" w:rsidRDefault="00DF1FC7" w:rsidP="008E16D0">
      <w:pPr>
        <w:pStyle w:val="a5"/>
        <w:rPr>
          <w:rFonts w:asciiTheme="minorBidi" w:hAnsiTheme="minorBidi"/>
          <w:sz w:val="24"/>
          <w:szCs w:val="24"/>
          <w:rtl/>
        </w:rPr>
      </w:pPr>
      <w:r w:rsidRPr="00351B7D">
        <w:rPr>
          <w:rStyle w:val="a7"/>
          <w:rFonts w:asciiTheme="minorBidi" w:hAnsiTheme="minorBidi"/>
        </w:rPr>
        <w:footnoteRef/>
      </w:r>
      <w:r w:rsidRPr="00351B7D">
        <w:rPr>
          <w:rFonts w:asciiTheme="minorBidi" w:hAnsiTheme="minorBidi"/>
          <w:rtl/>
        </w:rPr>
        <w:t xml:space="preserve"> הב"י הביא בתחילת דבריו את תשובת הרשב"א</w:t>
      </w:r>
      <w:r w:rsidRPr="00351B7D">
        <w:rPr>
          <w:rFonts w:asciiTheme="minorBidi" w:hAnsiTheme="minorBidi"/>
          <w:sz w:val="16"/>
          <w:szCs w:val="16"/>
          <w:rtl/>
        </w:rPr>
        <w:t xml:space="preserve"> </w:t>
      </w:r>
      <w:r w:rsidRPr="00351B7D">
        <w:rPr>
          <w:rFonts w:asciiTheme="minorBidi" w:hAnsiTheme="minorBidi"/>
          <w:rtl/>
        </w:rPr>
        <w:t xml:space="preserve">שנשאל על עיר שאין בה עשרה בני אדם לברכת נישואין וא"א להביאם שם ממקום אחר והשיב- ברכת חתנים אינה בפחות מעשרה, ע"כ. ונראה לומר שהב"י הבין מדבריו דאם אין אפשרות להשיג עשרה אז שלא תינשא </w:t>
      </w:r>
      <w:r w:rsidRPr="00351B7D">
        <w:rPr>
          <w:rFonts w:asciiTheme="minorBidi" w:hAnsiTheme="minorBidi"/>
          <w:sz w:val="16"/>
          <w:szCs w:val="16"/>
          <w:rtl/>
        </w:rPr>
        <w:t>(וכ"כ הב"ש סק"ד בהב' הב"י)</w:t>
      </w:r>
      <w:r w:rsidRPr="00351B7D">
        <w:rPr>
          <w:rFonts w:asciiTheme="minorBidi" w:hAnsiTheme="minorBidi"/>
          <w:rtl/>
        </w:rPr>
        <w:t>, דא"א לנישואין בלא ברכה, דכלה בלא ברכה אסורה לבעלה כנדה.</w:t>
      </w:r>
    </w:p>
  </w:footnote>
  <w:footnote w:id="646">
    <w:p w14:paraId="0A00AB7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ומ"מ כ' בשו"ע </w:t>
      </w:r>
      <w:r w:rsidRPr="00351B7D">
        <w:rPr>
          <w:rFonts w:asciiTheme="minorBidi" w:hAnsiTheme="minorBidi"/>
          <w:sz w:val="16"/>
          <w:szCs w:val="16"/>
          <w:rtl/>
        </w:rPr>
        <w:t xml:space="preserve">(סי' נה סע' ג) </w:t>
      </w:r>
      <w:r w:rsidRPr="00351B7D">
        <w:rPr>
          <w:rFonts w:asciiTheme="minorBidi" w:hAnsiTheme="minorBidi"/>
          <w:rtl/>
        </w:rPr>
        <w:t xml:space="preserve">וז"ל- "אירס וכנס לחופה, ולא ברך ברכת חתנים, ה"ז נשואה גמורה, וחוזר ומברך אפילו אחר כמה ימים; וצריך לכתוב כתובה קודם כניסה לחופה, ואח"כ יהיה מותר באשתו". והוא ע"פ דברי הרמב"ם </w:t>
      </w:r>
      <w:r w:rsidRPr="00351B7D">
        <w:rPr>
          <w:rFonts w:asciiTheme="minorBidi" w:hAnsiTheme="minorBidi"/>
          <w:sz w:val="16"/>
          <w:szCs w:val="16"/>
          <w:rtl/>
        </w:rPr>
        <w:t>(הל"א פ"י ה"ו)</w:t>
      </w:r>
      <w:r w:rsidRPr="00351B7D">
        <w:rPr>
          <w:rFonts w:asciiTheme="minorBidi" w:hAnsiTheme="minorBidi"/>
          <w:rtl/>
        </w:rPr>
        <w:t>. וכ"כ רא"ש</w:t>
      </w:r>
      <w:r w:rsidRPr="00351B7D">
        <w:rPr>
          <w:rFonts w:asciiTheme="minorBidi" w:hAnsiTheme="minorBidi"/>
          <w:sz w:val="16"/>
          <w:szCs w:val="16"/>
          <w:rtl/>
        </w:rPr>
        <w:t xml:space="preserve"> (כלל ל"ח)</w:t>
      </w:r>
      <w:r w:rsidRPr="00351B7D">
        <w:rPr>
          <w:rFonts w:asciiTheme="minorBidi" w:hAnsiTheme="minorBidi"/>
          <w:rtl/>
        </w:rPr>
        <w:t xml:space="preserve"> תרוה"ד </w:t>
      </w:r>
      <w:r w:rsidRPr="00351B7D">
        <w:rPr>
          <w:rFonts w:asciiTheme="minorBidi" w:hAnsiTheme="minorBidi"/>
          <w:sz w:val="16"/>
          <w:szCs w:val="16"/>
          <w:rtl/>
        </w:rPr>
        <w:t>(ח"ב סי' קמ)</w:t>
      </w:r>
      <w:r w:rsidRPr="00351B7D">
        <w:rPr>
          <w:rFonts w:asciiTheme="minorBidi" w:hAnsiTheme="minorBidi"/>
          <w:rtl/>
        </w:rPr>
        <w:t xml:space="preserve"> והגה' מרדכי </w:t>
      </w:r>
      <w:r w:rsidRPr="00351B7D">
        <w:rPr>
          <w:rFonts w:asciiTheme="minorBidi" w:hAnsiTheme="minorBidi"/>
          <w:sz w:val="16"/>
          <w:szCs w:val="16"/>
          <w:rtl/>
        </w:rPr>
        <w:t>(קידושין סי' תקמה)</w:t>
      </w:r>
      <w:r w:rsidRPr="00351B7D">
        <w:rPr>
          <w:rFonts w:asciiTheme="minorBidi" w:hAnsiTheme="minorBidi"/>
          <w:rtl/>
        </w:rPr>
        <w:t>.</w:t>
      </w:r>
      <w:r w:rsidRPr="00351B7D">
        <w:rPr>
          <w:rFonts w:asciiTheme="minorBidi" w:hAnsiTheme="minorBidi"/>
          <w:color w:val="FF0000"/>
          <w:rtl/>
        </w:rPr>
        <w:t xml:space="preserve"> וטעמם הוא דהא דאמרינן כלה בלא ברכה אסורה ר"ל בלא חופה ונקט ברכה משום דדרך הברכה לעשות תחת החופה אבל הברכות אינן מעכבות </w:t>
      </w:r>
      <w:r w:rsidRPr="00351B7D">
        <w:rPr>
          <w:rFonts w:asciiTheme="minorBidi" w:hAnsiTheme="minorBidi"/>
          <w:color w:val="FF0000"/>
          <w:sz w:val="16"/>
          <w:szCs w:val="16"/>
          <w:rtl/>
        </w:rPr>
        <w:t>(והביאם הב"י בסי' זה ובסי' סא)</w:t>
      </w:r>
      <w:r w:rsidRPr="00351B7D">
        <w:rPr>
          <w:rFonts w:asciiTheme="minorBidi" w:hAnsiTheme="minorBidi"/>
          <w:color w:val="FF0000"/>
          <w:rtl/>
        </w:rPr>
        <w:t>. וא"כ לפי דבריהם שישא את האשה ויברך לכשיזדמן לו. ודילמא יש לחלק בין מקרה שיש עשרה רק אין מברכין למקרה שאין עשר' וגם לא מברכים, וצל"ע.</w:t>
      </w:r>
    </w:p>
  </w:footnote>
  <w:footnote w:id="647">
    <w:p w14:paraId="56BF43A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דהיינו האם היא חלק מברכות חתנים (ואז חייב עשרה) או שהיא ברכה בפנ"ע (ואז לא בעי עשרה).</w:t>
      </w:r>
    </w:p>
  </w:footnote>
  <w:footnote w:id="648">
    <w:p w14:paraId="02926F4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w:t>
      </w:r>
      <w:r w:rsidRPr="00351B7D">
        <w:rPr>
          <w:rFonts w:asciiTheme="minorBidi" w:hAnsiTheme="minorBidi"/>
          <w:sz w:val="16"/>
          <w:szCs w:val="16"/>
          <w:rtl/>
        </w:rPr>
        <w:t>(פ"ב מהל' ברכות הל' ט-י, כ"כ הר"ן בשמו)</w:t>
      </w:r>
      <w:r w:rsidRPr="00351B7D">
        <w:rPr>
          <w:rFonts w:asciiTheme="minorBidi" w:hAnsiTheme="minorBidi"/>
          <w:rtl/>
        </w:rPr>
        <w:t xml:space="preserve"> רא"ש </w:t>
      </w:r>
      <w:r w:rsidRPr="00351B7D">
        <w:rPr>
          <w:rFonts w:asciiTheme="minorBidi" w:hAnsiTheme="minorBidi"/>
          <w:sz w:val="16"/>
          <w:szCs w:val="16"/>
          <w:rtl/>
        </w:rPr>
        <w:t xml:space="preserve">(כתובות סי' יג) </w:t>
      </w:r>
      <w:r w:rsidRPr="00351B7D">
        <w:rPr>
          <w:rFonts w:asciiTheme="minorBidi" w:hAnsiTheme="minorBidi"/>
          <w:rtl/>
        </w:rPr>
        <w:t xml:space="preserve">ור"ן </w:t>
      </w:r>
      <w:r w:rsidRPr="00351B7D">
        <w:rPr>
          <w:rFonts w:asciiTheme="minorBidi" w:hAnsiTheme="minorBidi"/>
          <w:sz w:val="16"/>
          <w:szCs w:val="16"/>
          <w:rtl/>
        </w:rPr>
        <w:t>(כתובות ג. דיבור ראשון)</w:t>
      </w:r>
      <w:r w:rsidRPr="00351B7D">
        <w:rPr>
          <w:rFonts w:asciiTheme="minorBidi" w:hAnsiTheme="minorBidi"/>
          <w:rtl/>
        </w:rPr>
        <w:t>.</w:t>
      </w:r>
    </w:p>
  </w:footnote>
  <w:footnote w:id="649">
    <w:p w14:paraId="46C4A17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ומ"מ ג' מיהו בעי, ר"ן</w:t>
      </w:r>
      <w:r w:rsidRPr="00351B7D">
        <w:rPr>
          <w:rFonts w:asciiTheme="minorBidi" w:hAnsiTheme="minorBidi"/>
          <w:sz w:val="16"/>
          <w:szCs w:val="16"/>
          <w:rtl/>
        </w:rPr>
        <w:t xml:space="preserve"> (ג. דיבור ראשון, הביאו הדרכ"מ [אות טו])</w:t>
      </w:r>
      <w:r w:rsidRPr="00351B7D">
        <w:rPr>
          <w:rFonts w:asciiTheme="minorBidi" w:hAnsiTheme="minorBidi"/>
          <w:rtl/>
        </w:rPr>
        <w:t>.</w:t>
      </w:r>
      <w:r w:rsidRPr="00351B7D">
        <w:rPr>
          <w:rFonts w:asciiTheme="minorBidi" w:hAnsiTheme="minorBidi"/>
          <w:color w:val="00B0F0"/>
          <w:rtl/>
        </w:rPr>
        <w:t xml:space="preserve"> (וכ"פ הרמ"א)</w:t>
      </w:r>
    </w:p>
  </w:footnote>
  <w:footnote w:id="650">
    <w:p w14:paraId="0072E0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הנו"ב </w:t>
      </w:r>
      <w:r w:rsidRPr="00351B7D">
        <w:rPr>
          <w:rFonts w:asciiTheme="minorBidi" w:hAnsiTheme="minorBidi"/>
          <w:sz w:val="16"/>
          <w:szCs w:val="16"/>
          <w:rtl/>
        </w:rPr>
        <w:t xml:space="preserve">(סי' נ"ו, הביאו הפת"ש סק"ז) </w:t>
      </w:r>
      <w:r w:rsidRPr="00351B7D">
        <w:rPr>
          <w:rFonts w:asciiTheme="minorBidi" w:hAnsiTheme="minorBidi"/>
          <w:rtl/>
        </w:rPr>
        <w:t>דאפי' לדעת הרשב"א דהברכות מעכבות ובמקום שאין עשרה אין לעשות נישואין מ"מ כאן שכבר בירך אלא שלא היו שם עשרה זה אינו מעכב דיעבד בכל דבר הצריך עשרה, ומ"מ אין הפסד כאשר יזדמן שם נישואין יעמדו גם הזוג הזה סמוך לחופה ויכוונו לצאת בברכה שיברכו להחתן והכלה האחרים (וגם המברך יכוון להוציאה).</w:t>
      </w:r>
    </w:p>
  </w:footnote>
  <w:footnote w:id="651">
    <w:p w14:paraId="520BDA5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 זכור לאברהם</w:t>
      </w:r>
      <w:r w:rsidRPr="00351B7D">
        <w:rPr>
          <w:rFonts w:asciiTheme="minorBidi" w:hAnsiTheme="minorBidi"/>
          <w:sz w:val="16"/>
          <w:szCs w:val="16"/>
          <w:rtl/>
        </w:rPr>
        <w:t xml:space="preserve"> (אלקלעי ח"ב אהע"ז אות ב' ברכת חתנים, הביאו הפת"ש סק"ח)</w:t>
      </w:r>
      <w:r w:rsidRPr="00351B7D">
        <w:rPr>
          <w:rFonts w:asciiTheme="minorBidi" w:hAnsiTheme="minorBidi"/>
          <w:rtl/>
        </w:rPr>
        <w:t xml:space="preserve"> כ' דיש לעיין אי בעינן הני עשרה שיאכלו כולם, או שיצטרפו לפחות לזימון כדין זימון בבהמ"ז, או דילמא דוקא בהמ"ז בעינן צירוף</w:t>
      </w:r>
      <w:r w:rsidRPr="00351B7D">
        <w:rPr>
          <w:rFonts w:asciiTheme="minorBidi" w:hAnsiTheme="minorBidi"/>
          <w:sz w:val="16"/>
          <w:szCs w:val="16"/>
          <w:rtl/>
        </w:rPr>
        <w:t xml:space="preserve"> (דאל"כ איך יוציאו שקר מפיהם לומר ברוך שאכלנו כו') </w:t>
      </w:r>
      <w:r w:rsidRPr="00351B7D">
        <w:rPr>
          <w:rFonts w:asciiTheme="minorBidi" w:hAnsiTheme="minorBidi"/>
          <w:rtl/>
        </w:rPr>
        <w:t>משא"כ ברכת חתנים י"ל דכל שהם באותו בית שפיר יוכלו לברך ב"ח, והביא בשם חכם א' שדעתו נוטה דלא בעינן שיאכלו כל העשרה אבל רוב מיהא בעינן.</w:t>
      </w:r>
    </w:p>
  </w:footnote>
  <w:footnote w:id="652">
    <w:p w14:paraId="2BC47C2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כשאין פנים חדשות, נח"צ (סק"ו). </w:t>
      </w:r>
    </w:p>
  </w:footnote>
  <w:footnote w:id="653">
    <w:p w14:paraId="2BDC823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דברכת אשר ברא לבדה לא מקרי ברכת חתנים וע"כ לא בעי עשרה</w:t>
      </w:r>
      <w:r w:rsidRPr="00351B7D">
        <w:rPr>
          <w:rFonts w:asciiTheme="minorBidi" w:hAnsiTheme="minorBidi"/>
          <w:sz w:val="16"/>
          <w:szCs w:val="16"/>
          <w:rtl/>
        </w:rPr>
        <w:t xml:space="preserve"> (ר"ן)</w:t>
      </w:r>
      <w:r w:rsidRPr="00351B7D">
        <w:rPr>
          <w:rFonts w:asciiTheme="minorBidi" w:hAnsiTheme="minorBidi"/>
          <w:rtl/>
        </w:rPr>
        <w:t>, ח"מ (סק"ד).</w:t>
      </w:r>
    </w:p>
  </w:footnote>
  <w:footnote w:id="654">
    <w:p w14:paraId="457D71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שיהא ברכת זימון, גר"א (סקי"ב).</w:t>
      </w:r>
    </w:p>
  </w:footnote>
  <w:footnote w:id="655">
    <w:p w14:paraId="787F861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דגם לשלשה אין מצרפין עבד וקטן, ח"מ (סק"ה).</w:t>
      </w:r>
    </w:p>
  </w:footnote>
  <w:footnote w:id="656">
    <w:p w14:paraId="4F4804A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מר אבצן זה בועז וכבר היו לו ל' בנים ושלשים בנות בבבא בתרא (דף צא), רש"י.</w:t>
      </w:r>
    </w:p>
  </w:footnote>
  <w:footnote w:id="657">
    <w:p w14:paraId="18E88FC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דמדאינה טעונה דקאמר רב הונא אוקימנא דאינה טעונה שבעה מכלל דטעונה דקאמר רבי אבא שבעה, רש"י.</w:t>
      </w:r>
    </w:p>
  </w:footnote>
  <w:footnote w:id="658">
    <w:p w14:paraId="2CE1B0B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גירסת הב"י והראשונים, ולפנינו איתא בסדר אחר אך המסקנה אותה מסקנה.</w:t>
      </w:r>
    </w:p>
  </w:footnote>
  <w:footnote w:id="659">
    <w:p w14:paraId="694474D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הב"י </w:t>
      </w:r>
      <w:r w:rsidRPr="00351B7D">
        <w:rPr>
          <w:rFonts w:asciiTheme="minorBidi" w:hAnsiTheme="minorBidi"/>
          <w:sz w:val="16"/>
          <w:szCs w:val="16"/>
          <w:rtl/>
        </w:rPr>
        <w:t xml:space="preserve">(בבדה"ב) </w:t>
      </w:r>
      <w:r w:rsidRPr="00351B7D">
        <w:rPr>
          <w:rFonts w:asciiTheme="minorBidi" w:hAnsiTheme="minorBidi"/>
          <w:rtl/>
        </w:rPr>
        <w:t xml:space="preserve">שכן המנהג פשוט. </w:t>
      </w:r>
    </w:p>
  </w:footnote>
  <w:footnote w:id="660">
    <w:p w14:paraId="0243C76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 הב"י בבדה"ב, וכ' שכן נראה מדברי הרמב"ם (שהרי הרמב"ם שם לא פירש באיזה יום מדובר, אלא כ' שאפשר לברך ז' ברכות רק "אם היו האוכלין אחרים שלא שמעו ברכת נישואין בשעת נישואין", "דאז מברכין בשבילם אחר ברכת מזון שבע ברכות כדרך שמברכין בשעת נישואין" </w:t>
      </w:r>
      <w:r w:rsidRPr="00351B7D">
        <w:rPr>
          <w:rFonts w:asciiTheme="minorBidi" w:hAnsiTheme="minorBidi"/>
          <w:sz w:val="16"/>
          <w:szCs w:val="16"/>
          <w:rtl/>
        </w:rPr>
        <w:t>(ל' הרמב"ם שם)</w:t>
      </w:r>
      <w:r w:rsidRPr="00351B7D">
        <w:rPr>
          <w:rFonts w:asciiTheme="minorBidi" w:hAnsiTheme="minorBidi"/>
          <w:rtl/>
        </w:rPr>
        <w:t>.</w:t>
      </w:r>
    </w:p>
  </w:footnote>
  <w:footnote w:id="661">
    <w:p w14:paraId="7D44BB9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ועיין באג"מ (ח"ד סי' פח) שכ' דהיינו הסעודה הראשונה שהוצרך לעשות, כגון שעשו הנישואין לעת ערב ועשו הסעודה בלילה דאז מברכין, אבל אם כבר היה זמן ראוי לעשות סעודה ולא עשו מאיזו סיבה אין לברך שוב, ודלא כמשמע מערוך השלחן דעד ג' ימים מברכין בסעודה ראשונה.</w:t>
      </w:r>
    </w:p>
  </w:footnote>
  <w:footnote w:id="662">
    <w:p w14:paraId="50DC6FA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(בבדה"ב) וז"ל- ואיני יודע מנין לו לחלק בכך כי הרא"ש שפירש יומא קמא סעודה קמייתא לא חילק בדבר.</w:t>
      </w:r>
    </w:p>
  </w:footnote>
  <w:footnote w:id="663">
    <w:p w14:paraId="33B489F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רמ"ע מפאנו </w:t>
      </w:r>
      <w:r w:rsidRPr="00351B7D">
        <w:rPr>
          <w:rFonts w:asciiTheme="minorBidi" w:hAnsiTheme="minorBidi"/>
          <w:color w:val="000000"/>
          <w:sz w:val="16"/>
          <w:szCs w:val="16"/>
          <w:rtl/>
        </w:rPr>
        <w:t>(סי' מ, להב' הפת"ש סק"י)</w:t>
      </w:r>
      <w:r w:rsidRPr="00351B7D">
        <w:rPr>
          <w:rFonts w:asciiTheme="minorBidi" w:hAnsiTheme="minorBidi"/>
          <w:rtl/>
        </w:rPr>
        <w:t xml:space="preserve"> ח"מ </w:t>
      </w:r>
      <w:r w:rsidRPr="00351B7D">
        <w:rPr>
          <w:rFonts w:asciiTheme="minorBidi" w:hAnsiTheme="minorBidi"/>
          <w:sz w:val="16"/>
          <w:szCs w:val="16"/>
          <w:rtl/>
        </w:rPr>
        <w:t xml:space="preserve">(סק"ו) </w:t>
      </w:r>
      <w:r w:rsidRPr="00351B7D">
        <w:rPr>
          <w:rFonts w:asciiTheme="minorBidi" w:hAnsiTheme="minorBidi"/>
          <w:rtl/>
        </w:rPr>
        <w:t>וב"ש</w:t>
      </w:r>
      <w:r w:rsidRPr="00351B7D">
        <w:rPr>
          <w:rFonts w:asciiTheme="minorBidi" w:hAnsiTheme="minorBidi"/>
          <w:sz w:val="16"/>
          <w:szCs w:val="16"/>
          <w:rtl/>
        </w:rPr>
        <w:t xml:space="preserve"> (סק"ה)</w:t>
      </w:r>
    </w:p>
  </w:footnote>
  <w:footnote w:id="664">
    <w:p w14:paraId="301DFEA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 בסידור הגאון מליסא </w:t>
      </w:r>
      <w:r w:rsidRPr="00351B7D">
        <w:rPr>
          <w:rFonts w:asciiTheme="minorBidi" w:hAnsiTheme="minorBidi"/>
          <w:sz w:val="16"/>
          <w:szCs w:val="16"/>
          <w:rtl/>
        </w:rPr>
        <w:t>(בדיני בהמ"ז בבית חתן אות י"ד, הביאו הפת"ש סק"י)</w:t>
      </w:r>
      <w:r w:rsidRPr="00351B7D">
        <w:rPr>
          <w:rFonts w:asciiTheme="minorBidi" w:hAnsiTheme="minorBidi"/>
          <w:rtl/>
        </w:rPr>
        <w:t xml:space="preserve"> שכ' על דברי הב"ש הנ"ל נראה דוקא כשהיה ביום יחוד הראוי לביאה דאז הוי ביום יום החופה אבל אם לא היה יחוד רק בלילה לא מקרי חופה דהא באלמנה לא הוי חופה רק כשיש יחוד הראוי לביאה וא"כ הוי החופה כאלו היה בלילה והוי הלילה יומא קמא ומברכין אז ז"ב בסעודה שאחר היחוד.</w:t>
      </w:r>
      <w:r w:rsidRPr="00351B7D">
        <w:rPr>
          <w:rFonts w:asciiTheme="minorBidi" w:hAnsiTheme="minorBidi"/>
          <w:color w:val="000000"/>
          <w:rtl/>
        </w:rPr>
        <w:t xml:space="preserve"> ועיין בס' בית מאיר שהביא דברי ח"מ וב"ש הנ"ל וכתב ע"ז ולכן ראוי שלא לעשות הנשואין דאלמון ואלמנה עד סמוך לחשיכה או שיעשו הסעודה מיד רובה ביום</w:t>
      </w:r>
      <w:r w:rsidRPr="00351B7D">
        <w:rPr>
          <w:rFonts w:asciiTheme="minorBidi" w:hAnsiTheme="minorBidi"/>
          <w:color w:val="000000"/>
          <w:sz w:val="16"/>
          <w:szCs w:val="16"/>
          <w:rtl/>
        </w:rPr>
        <w:t xml:space="preserve"> (דאף לדברי הגאון מליסא הנ"ל אין תקנה בזה לכתחילה שיהא החופה ביום והיחוד בלילה משום דהיחוד צריך שתהיה מיד אחר החופה שלא יהיה הפסק בין הברכות שתחת החופה להיחוד שאח"כ ע"ל סק"א בשם ס' המקנה)</w:t>
      </w:r>
      <w:r w:rsidRPr="00351B7D">
        <w:rPr>
          <w:rFonts w:asciiTheme="minorBidi" w:hAnsiTheme="minorBidi"/>
          <w:color w:val="000000"/>
          <w:rtl/>
        </w:rPr>
        <w:t xml:space="preserve"> וכ"כ בתשו' ב"ח סי' קי"ט.</w:t>
      </w:r>
    </w:p>
  </w:footnote>
  <w:footnote w:id="665">
    <w:p w14:paraId="09BF4DC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לאפוקי שלא נאמר שיתחילו ז' ימי משתה מאכילה ראשונה, ע"ש כלל כ"ו.</w:t>
      </w:r>
      <w:r w:rsidRPr="00351B7D">
        <w:rPr>
          <w:rFonts w:asciiTheme="minorBidi" w:hAnsiTheme="minorBidi"/>
          <w:color w:val="FF0000"/>
          <w:rtl/>
        </w:rPr>
        <w:t xml:space="preserve"> וע' מ"ש הב"י בשם רי"ו אם נשתהה זמן מרובה בדרך דמשמע דלא כתשו' הרא"ש ולפי פי' הב"י אפשר דגומר ז' ימי המשתה קאמר</w:t>
      </w:r>
      <w:r w:rsidRPr="00351B7D">
        <w:rPr>
          <w:rFonts w:asciiTheme="minorBidi" w:hAnsiTheme="minorBidi"/>
          <w:rtl/>
        </w:rPr>
        <w:t>, ח"מ (סק"ז).</w:t>
      </w:r>
    </w:p>
  </w:footnote>
  <w:footnote w:id="666">
    <w:p w14:paraId="0B17572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דהייתה החופה ביום ד' אחר חצות, האם מברכין ז"ב גם ביום ד' השני קודם חצות או דאמרי' גם בזה מקצת היום ככולו.</w:t>
      </w:r>
    </w:p>
  </w:footnote>
  <w:footnote w:id="667">
    <w:p w14:paraId="197681A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ועי' עוד בשע"ת (או"ח ס"ס קפ"ח) בענין אם נמשכה סעודת יום ז' עד ליל ח' הביא שם בשם גינת ורדים דאף להפוסקים לענין הזכרה של שבת או ר"ח אזלינן בתר התחלת הסעודה אבל לענין ז"ב ודאי אין לברך</w:t>
      </w:r>
      <w:r w:rsidRPr="00351B7D">
        <w:rPr>
          <w:rFonts w:asciiTheme="minorBidi" w:hAnsiTheme="minorBidi"/>
          <w:rtl/>
        </w:rPr>
        <w:t>.</w:t>
      </w:r>
    </w:p>
  </w:footnote>
  <w:footnote w:id="668">
    <w:p w14:paraId="7258B66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והחת"ס</w:t>
      </w:r>
      <w:r w:rsidRPr="00351B7D">
        <w:rPr>
          <w:rFonts w:asciiTheme="minorBidi" w:hAnsiTheme="minorBidi"/>
          <w:sz w:val="16"/>
          <w:szCs w:val="16"/>
          <w:rtl/>
        </w:rPr>
        <w:t xml:space="preserve"> </w:t>
      </w:r>
      <w:r w:rsidRPr="00351B7D">
        <w:rPr>
          <w:rFonts w:asciiTheme="minorBidi" w:hAnsiTheme="minorBidi"/>
          <w:color w:val="000000"/>
          <w:sz w:val="16"/>
          <w:szCs w:val="16"/>
          <w:rtl/>
        </w:rPr>
        <w:t xml:space="preserve">(סי' קכ"ג) </w:t>
      </w:r>
      <w:r w:rsidRPr="00351B7D">
        <w:rPr>
          <w:rFonts w:asciiTheme="minorBidi" w:hAnsiTheme="minorBidi"/>
          <w:rtl/>
        </w:rPr>
        <w:t>השיג עליו וכתב דאין ספק כי תרווייהו איתנהו חיבת ביאה וחיבת חופה כמבואר בכתובות נ"ו אלא מספקא לן סתם איזה מהם קונה אבל תרווייהו איתנהו ונראה דעל כל א' נתקן ברכה, אלא בחור הנושא איכא תרתי, חיבת נישואין חדשים, וביאה חדשה, אבל מ"מ בחדא מנייהו נמי מברך כו', נמצא דעל ביאת בתולה בלא חיבת נישואין ראשונים מברך, וגם על חיבת נישואין ראשונים בלא חיבת ביאה מברך, וא"כ אע"פ שטעם ט"ב כיון שהיא נישואין ראשונים שלו מברך כל ז', וכן צריך לשמחה כל ז' אפילו היא בעולתא דיליה שלא יברך והוא ישכים למלאכתו.</w:t>
      </w:r>
    </w:p>
  </w:footnote>
  <w:footnote w:id="669">
    <w:p w14:paraId="5059E22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ומשמע דר"ל אפי' אם הוא אלמן מברכין ז"ב כמו באלמן שנשא בתולה, פת"ש.</w:t>
      </w:r>
      <w:r w:rsidRPr="00351B7D">
        <w:rPr>
          <w:rFonts w:asciiTheme="minorBidi" w:hAnsiTheme="minorBidi"/>
          <w:sz w:val="16"/>
          <w:szCs w:val="16"/>
          <w:rtl/>
        </w:rPr>
        <w:t xml:space="preserve"> (שהרי הגינת ורדים דיבר באלמון, ועליו חוזרים דבריו)</w:t>
      </w:r>
    </w:p>
  </w:footnote>
  <w:footnote w:id="670">
    <w:p w14:paraId="2347066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ובהגה מבן המחבר שם כתב דמתשו' דבר שמואל</w:t>
      </w:r>
      <w:r w:rsidRPr="00351B7D">
        <w:rPr>
          <w:rFonts w:asciiTheme="minorBidi" w:hAnsiTheme="minorBidi"/>
          <w:color w:val="000000"/>
          <w:sz w:val="16"/>
          <w:szCs w:val="16"/>
          <w:rtl/>
        </w:rPr>
        <w:t xml:space="preserve"> (סי' ער"ה)</w:t>
      </w:r>
      <w:r w:rsidRPr="00351B7D">
        <w:rPr>
          <w:rFonts w:asciiTheme="minorBidi" w:hAnsiTheme="minorBidi"/>
          <w:color w:val="000000"/>
          <w:rtl/>
        </w:rPr>
        <w:t xml:space="preserve"> משמע דכשנבעלה ממנו אין לה אלא יום א' לברכה.</w:t>
      </w:r>
    </w:p>
  </w:footnote>
  <w:footnote w:id="671">
    <w:p w14:paraId="76CD9BB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(אות טז) דהאידנא נוהגים כדברי הרמב"ן.</w:t>
      </w:r>
    </w:p>
  </w:footnote>
  <w:footnote w:id="672">
    <w:p w14:paraId="48DCD1A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אל המשתה, רש"י.</w:t>
      </w:r>
    </w:p>
  </w:footnote>
  <w:footnote w:id="673">
    <w:p w14:paraId="5A645A85" w14:textId="77777777" w:rsidR="00DF1FC7" w:rsidRPr="00351B7D" w:rsidRDefault="00DF1FC7" w:rsidP="008E16D0">
      <w:pPr>
        <w:pStyle w:val="a5"/>
        <w:rPr>
          <w:rFonts w:asciiTheme="minorBidi" w:hAnsiTheme="minorBidi"/>
          <w:color w:val="FF0000"/>
        </w:rPr>
      </w:pPr>
      <w:r w:rsidRPr="00351B7D">
        <w:rPr>
          <w:rStyle w:val="a7"/>
          <w:rFonts w:asciiTheme="minorBidi" w:hAnsiTheme="minorBidi"/>
          <w:color w:val="FF0000"/>
        </w:rPr>
        <w:footnoteRef/>
      </w:r>
      <w:r w:rsidRPr="00351B7D">
        <w:rPr>
          <w:rFonts w:asciiTheme="minorBidi" w:hAnsiTheme="minorBidi"/>
          <w:color w:val="FF0000"/>
          <w:rtl/>
        </w:rPr>
        <w:t xml:space="preserve"> הב"י העתיק כהמשך לדברי רש"י את דברי הרא"ש כדלקמן, אך לא ציין שאלו דברי הרא"ש וצל"ע מדוע.</w:t>
      </w:r>
    </w:p>
  </w:footnote>
  <w:footnote w:id="674">
    <w:p w14:paraId="56F1928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רמב"ם </w:t>
      </w:r>
      <w:r w:rsidRPr="00351B7D">
        <w:rPr>
          <w:rFonts w:asciiTheme="minorBidi" w:hAnsiTheme="minorBidi"/>
          <w:sz w:val="16"/>
          <w:szCs w:val="16"/>
          <w:rtl/>
        </w:rPr>
        <w:t>(פ"ב מהל' ברכות ה"י)</w:t>
      </w:r>
      <w:r w:rsidRPr="00351B7D">
        <w:rPr>
          <w:rFonts w:asciiTheme="minorBidi" w:hAnsiTheme="minorBidi"/>
          <w:rtl/>
        </w:rPr>
        <w:t xml:space="preserve"> מרדכי </w:t>
      </w:r>
      <w:r w:rsidRPr="00351B7D">
        <w:rPr>
          <w:rFonts w:asciiTheme="minorBidi" w:hAnsiTheme="minorBidi"/>
          <w:sz w:val="16"/>
          <w:szCs w:val="16"/>
          <w:rtl/>
        </w:rPr>
        <w:t xml:space="preserve">(כתובות סי' קלג) </w:t>
      </w:r>
      <w:r w:rsidRPr="00351B7D">
        <w:rPr>
          <w:rFonts w:asciiTheme="minorBidi" w:hAnsiTheme="minorBidi"/>
          <w:rtl/>
        </w:rPr>
        <w:t xml:space="preserve">ורש"ל </w:t>
      </w:r>
      <w:r w:rsidRPr="00351B7D">
        <w:rPr>
          <w:rFonts w:asciiTheme="minorBidi" w:hAnsiTheme="minorBidi"/>
          <w:sz w:val="10"/>
          <w:szCs w:val="16"/>
          <w:rtl/>
        </w:rPr>
        <w:t>(כתובות פ"א סי' י"ח).</w:t>
      </w:r>
    </w:p>
  </w:footnote>
  <w:footnote w:id="675">
    <w:p w14:paraId="0C8E582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רמב"ן </w:t>
      </w:r>
      <w:r w:rsidRPr="00351B7D">
        <w:rPr>
          <w:rFonts w:asciiTheme="minorBidi" w:hAnsiTheme="minorBidi"/>
          <w:sz w:val="16"/>
          <w:szCs w:val="16"/>
          <w:rtl/>
        </w:rPr>
        <w:t>(ח: ד"ה ופי' פנים, הביאו הר"ן (ב: ד"ה והוא))</w:t>
      </w:r>
      <w:r w:rsidRPr="00351B7D">
        <w:rPr>
          <w:rFonts w:asciiTheme="minorBidi" w:hAnsiTheme="minorBidi"/>
          <w:rtl/>
        </w:rPr>
        <w:t xml:space="preserve"> ור"ן</w:t>
      </w:r>
      <w:r w:rsidRPr="00351B7D">
        <w:rPr>
          <w:rFonts w:asciiTheme="minorBidi" w:hAnsiTheme="minorBidi"/>
          <w:sz w:val="16"/>
          <w:szCs w:val="16"/>
          <w:rtl/>
        </w:rPr>
        <w:t xml:space="preserve"> (ג. ד"ה וחתנים).</w:t>
      </w:r>
    </w:p>
  </w:footnote>
  <w:footnote w:id="676">
    <w:p w14:paraId="4BD96CB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הביאו הר"ן (ב: ד"ה והוא).</w:t>
      </w:r>
    </w:p>
  </w:footnote>
  <w:footnote w:id="677">
    <w:p w14:paraId="6F2DB04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שכ' הרא"ש "יומא קמא י"א סעודה קמייתא", משמע מיד בו ביום בסעודה שנייה לא מקרי פנים חדשות ולכל סעודה צריך פנים חדשות, ע"פ ח"מ (סקי"ב).</w:t>
      </w:r>
    </w:p>
  </w:footnote>
  <w:footnote w:id="678">
    <w:p w14:paraId="46D08C4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הר"ן בשם הרמב"ן לא כתב זה רק על שהשמחה במעונו, והר"ן הקשה עליו וז"ל שאילו כפי פירושו אפי' אשר ברא לא יברך אא"כ סועד עמו אחר, וא"א, דסתמא אמרו ז' לברכה וכו', ע"ש, נמצא לפי המנהג </w:t>
      </w:r>
      <w:r w:rsidRPr="00351B7D">
        <w:rPr>
          <w:rFonts w:asciiTheme="minorBidi" w:hAnsiTheme="minorBidi"/>
          <w:sz w:val="16"/>
          <w:szCs w:val="16"/>
          <w:rtl/>
        </w:rPr>
        <w:t xml:space="preserve">(שכ' הרמ"א) </w:t>
      </w:r>
      <w:r w:rsidRPr="00351B7D">
        <w:rPr>
          <w:rFonts w:asciiTheme="minorBidi" w:hAnsiTheme="minorBidi"/>
          <w:rtl/>
        </w:rPr>
        <w:t>שאין מברכין אשר ברא כשסועד עם בני ביתו מכל שכן שהשמחה במעונו שאין מברכין, ח"מ (סק"ח).</w:t>
      </w:r>
    </w:p>
  </w:footnote>
  <w:footnote w:id="679">
    <w:p w14:paraId="49A25CA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אפילו נמצא שם עכשיו רק אחד שלא שמע את ברכת הנישואין בשעת נישואין, ר"ן</w:t>
      </w:r>
      <w:r w:rsidRPr="00351B7D">
        <w:rPr>
          <w:rFonts w:asciiTheme="minorBidi" w:hAnsiTheme="minorBidi"/>
          <w:sz w:val="16"/>
          <w:szCs w:val="16"/>
          <w:rtl/>
        </w:rPr>
        <w:t xml:space="preserve"> ((כתובות ג. מדפה"ר) וכ"כ ב"ח (אות ט) ח"מ (סק"ט) וב"ש (סק"ז), ומה שהספרדים נוהגים להצריך ב' פנים חדשות הוא מדברי ר' אברהם בן הרמב"ם שמסרו לו כן מאביו)</w:t>
      </w:r>
      <w:r w:rsidRPr="00351B7D">
        <w:rPr>
          <w:rFonts w:asciiTheme="minorBidi" w:hAnsiTheme="minorBidi"/>
          <w:rtl/>
        </w:rPr>
        <w:t xml:space="preserve">. וכ' הזכור לאברהם (אלקלעי ח"ב אות ב) דאשה לא חשיבא פנים חדשות, דאין פנים חדשות אלא למי שראוי להמנות בעשרה של ברכת חתנים </w:t>
      </w:r>
      <w:r w:rsidRPr="00351B7D">
        <w:rPr>
          <w:rFonts w:asciiTheme="minorBidi" w:hAnsiTheme="minorBidi"/>
          <w:sz w:val="16"/>
          <w:szCs w:val="16"/>
          <w:rtl/>
        </w:rPr>
        <w:t>(וכ"כ מהר"ר בצלאל בכתובות ד' ז')</w:t>
      </w:r>
      <w:r w:rsidRPr="00351B7D">
        <w:rPr>
          <w:rFonts w:asciiTheme="minorBidi" w:hAnsiTheme="minorBidi"/>
          <w:rtl/>
        </w:rPr>
        <w:t>, ולפ"ז ה"ה עבדים וקטנים לא חשיבי פנים חדשות. ואם התחילו ברכת חתנים בעשרה ויצאו מקצתן וכן אם התחילו בפנים חדשות והלכו גומרין.</w:t>
      </w:r>
    </w:p>
  </w:footnote>
  <w:footnote w:id="680">
    <w:p w14:paraId="74C8685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רק שעומד שם בשעת הברכה ומ"מ נראה שצריך שיהיו בני החופה שמחים על ביאתו שם ואף שלא הרבו בשבילם מ"מ ראוי להרבות בשבילם וכמו שאכתוב אחר זה, ח"מ (סקי"א). </w:t>
      </w:r>
    </w:p>
  </w:footnote>
  <w:footnote w:id="681">
    <w:p w14:paraId="475812B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דהיום נמשך אחר הלילה וכל היום נקרא עדיין פנים חדשות, ח"מ (סקי"ב). וכ' הב"ש (סק"ט) דרוב הפוסקים חולקים ע"ז </w:t>
      </w:r>
      <w:r w:rsidRPr="00351B7D">
        <w:rPr>
          <w:rFonts w:asciiTheme="minorBidi" w:hAnsiTheme="minorBidi"/>
          <w:sz w:val="16"/>
          <w:szCs w:val="16"/>
          <w:rtl/>
        </w:rPr>
        <w:t>(עמש"כ הרמ"א בשם התוס')</w:t>
      </w:r>
      <w:r w:rsidRPr="00351B7D">
        <w:rPr>
          <w:rFonts w:asciiTheme="minorBidi" w:hAnsiTheme="minorBidi"/>
          <w:rtl/>
        </w:rPr>
        <w:t xml:space="preserve">, לכן כתבו הפוסקים טעם מברכים בליל שבת ובשחרית ואי היו ס"ל כפוסקים דמברכים בשביל פ"ח לילה ויום לק"מ דהא שבת הוא פ"ח, ולדעת רמ"א שהביא כאן דעת פוסקים אלו ובסמוך כתב טעם הא דמברכים בסעודה שלישית משום הדרשה הוי כפ"ח צ"ל מ"ש כאן מברכים לילה ויום היינו סעודה א' ביום וסעודה א' בלילה ולא יותר מש"ה צריך ליתן טעם הא דמברכים בסעודה שלישית, וק"ק כיון דכבוד היום עדיף הוי היום כפ"ח ולמה אין מברכים בשחרית ובס"ש דהא לפוסקים אלו מברכים בשביל פ"ח לילה ויום היינו שני סעודות. </w:t>
      </w:r>
      <w:r w:rsidRPr="00351B7D">
        <w:rPr>
          <w:rFonts w:asciiTheme="minorBidi" w:hAnsiTheme="minorBidi"/>
          <w:color w:val="FF0000"/>
          <w:rtl/>
        </w:rPr>
        <w:t>(ונ"ל שכעין זה הקשה הגר"א [סקכ"ה] על דברי הרמ"א)</w:t>
      </w:r>
    </w:p>
  </w:footnote>
  <w:footnote w:id="682">
    <w:p w14:paraId="18D213F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הב"ש (סק"י) דהיינו לדעת הפוסקים דס"ל דפנים חדשות הם שאוכלים שם, אבל להר"ן שהביא בהג"ה (בסע' הקודם) א"צ להרבות בשבילם אלא ששמחים בשבילם בני החופה.</w:t>
      </w:r>
    </w:p>
  </w:footnote>
  <w:footnote w:id="683">
    <w:p w14:paraId="4E54309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וכן יו"ט ראשון ושני, טור.</w:t>
      </w:r>
    </w:p>
  </w:footnote>
  <w:footnote w:id="684">
    <w:p w14:paraId="0ED8C62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לרי"א טירנא (מנהגי כל השנה אות יג בהגהות סוף המנהגים במקום שכתוב המנהגים בקיצור) הביאו הדרכ"מ (אות יב).</w:t>
      </w:r>
    </w:p>
  </w:footnote>
  <w:footnote w:id="685">
    <w:p w14:paraId="2D35BF7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הרמ"ע מפאנו</w:t>
      </w:r>
      <w:r w:rsidRPr="00351B7D">
        <w:rPr>
          <w:rFonts w:asciiTheme="minorBidi" w:hAnsiTheme="minorBidi"/>
          <w:sz w:val="16"/>
          <w:szCs w:val="16"/>
          <w:rtl/>
        </w:rPr>
        <w:t xml:space="preserve"> (סי' מ', הובא בפת"ש סקט"ז)</w:t>
      </w:r>
      <w:r w:rsidRPr="00351B7D">
        <w:rPr>
          <w:rFonts w:asciiTheme="minorBidi" w:hAnsiTheme="minorBidi"/>
          <w:rtl/>
        </w:rPr>
        <w:t xml:space="preserve"> כ' שסעודה שלישית היא כפנים חדשות אבל מטעם אחר (ע"פ הסוד בספר הזוהר).</w:t>
      </w:r>
    </w:p>
  </w:footnote>
  <w:footnote w:id="686">
    <w:p w14:paraId="01FE61F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נראה לי דעת הרא"ש שהרי אחרי שהביא את דברי הי"א מיד העתיק את לשון המסכת סופרים.</w:t>
      </w:r>
    </w:p>
  </w:footnote>
  <w:footnote w:id="687">
    <w:p w14:paraId="1701FE2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הטור כ' שאינו מנהג יפה משום שאפי' אם יש שם מי שלא היה בשעת ברכה לא מקרי פנים חדשות כיון שאין מרבים בשבילו. וכ"כ הקו"נ (אות ז).</w:t>
      </w:r>
    </w:p>
  </w:footnote>
  <w:footnote w:id="688">
    <w:p w14:paraId="427EFBF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(אות יא) על דבריו שבזמן הזה אין נוהגין כן.</w:t>
      </w:r>
    </w:p>
  </w:footnote>
  <w:footnote w:id="689">
    <w:p w14:paraId="1C94807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קצת פוסקים כתבו- "שדרך להרבות בשבילו", משמע הואיל וראוי להרבות לכבודו אף שלא הרבו מ"מ איכא שמחה יתירה, וכמו שכתב </w:t>
      </w:r>
      <w:r w:rsidRPr="00351B7D">
        <w:rPr>
          <w:rFonts w:asciiTheme="minorBidi" w:hAnsiTheme="minorBidi"/>
          <w:sz w:val="16"/>
          <w:szCs w:val="16"/>
          <w:rtl/>
        </w:rPr>
        <w:t>{הרמ"א}</w:t>
      </w:r>
      <w:r w:rsidRPr="00351B7D">
        <w:rPr>
          <w:rFonts w:asciiTheme="minorBidi" w:hAnsiTheme="minorBidi"/>
          <w:rtl/>
        </w:rPr>
        <w:t xml:space="preserve"> לפני זה אע"פ שאין אוכלין שם, ב"ח (אות ו) ח"מ (סקי"ג) וב"ש (סק"י ע"פ מש"כ בסק"ט). </w:t>
      </w:r>
    </w:p>
  </w:footnote>
  <w:footnote w:id="690">
    <w:p w14:paraId="0810C08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דבשחרית בשבת מברך גם כן הוא כיון דכבוד יום עדיף מלילה, ובסעודה שלישית אין שם עילוי, ותו דאיכא למ"ד דיוצא במיני תרגימא, ע"פ ט"ז (סק"ה).</w:t>
      </w:r>
    </w:p>
  </w:footnote>
  <w:footnote w:id="691">
    <w:p w14:paraId="05B7B5F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ח"א סי' סב.</w:t>
      </w:r>
    </w:p>
  </w:footnote>
  <w:footnote w:id="692">
    <w:p w14:paraId="73CCAF4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כשנכנסה לחופת נישואין, רש"י.</w:t>
      </w:r>
    </w:p>
  </w:footnote>
  <w:footnote w:id="693">
    <w:p w14:paraId="0E6D1BE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כשמקדשה מברכין כל ברכת חתנים כדמפרש, רש"י.</w:t>
      </w:r>
    </w:p>
  </w:footnote>
  <w:footnote w:id="694">
    <w:p w14:paraId="0AD3153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דר"י ביהודה שנו, רש"י.</w:t>
      </w:r>
    </w:p>
  </w:footnote>
  <w:footnote w:id="695">
    <w:p w14:paraId="5EE1218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באירוסין כדי שיהא לבו גס בה כדלקמן (כתובות יב) לפיכך מברכין ברכת חתנים מתחלה דתניא במסכת כלה כלה בלא ברכה אסורה לבעלה כנדה, רש"י.</w:t>
      </w:r>
    </w:p>
  </w:footnote>
  <w:footnote w:id="696">
    <w:p w14:paraId="7DD0871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ואל תתמה שמביאין כוס לשש ברכות ואין אומרים עליו בורא פרי הגפן דכי האי גוונא אמרינן לקמן (קג:) רב אשי בריך אכסא קמא ותו לא, רא"ש.</w:t>
      </w:r>
    </w:p>
  </w:footnote>
  <w:footnote w:id="697">
    <w:p w14:paraId="43DA928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ואין מברכים על השני בורא פרי הגפן כיון שכבר בירך על כוס ברהמ"ז כי אין נכון לברך פעמיים, תוס'.</w:t>
      </w:r>
    </w:p>
  </w:footnote>
  <w:footnote w:id="698">
    <w:p w14:paraId="33335E7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הרמ"א שכן המנהג במדינות שבסביבתו.</w:t>
      </w:r>
    </w:p>
  </w:footnote>
  <w:footnote w:id="699">
    <w:p w14:paraId="54BBE1E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יש לשים לב שיש הבדל בהעתקת דברי רבנו משולם בין התוס' ובין הרא"ש, שהתוס' כ' שנהג כן לגבי שבע ברכות בחופה כשבצמוד אליהן יש ברהמ"ז, והרא"ש כ' שנהג כן לגבי ברכת אירוסין ונישואין.</w:t>
      </w:r>
    </w:p>
  </w:footnote>
  <w:footnote w:id="700">
    <w:p w14:paraId="46D56F1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ר"ת</w:t>
      </w:r>
      <w:r w:rsidRPr="00351B7D">
        <w:rPr>
          <w:rFonts w:asciiTheme="minorBidi" w:hAnsiTheme="minorBidi"/>
          <w:sz w:val="16"/>
          <w:szCs w:val="16"/>
          <w:rtl/>
        </w:rPr>
        <w:t xml:space="preserve"> (הביאו הרא"ש)</w:t>
      </w:r>
      <w:r w:rsidRPr="00351B7D">
        <w:rPr>
          <w:rFonts w:asciiTheme="minorBidi" w:hAnsiTheme="minorBidi"/>
          <w:rtl/>
        </w:rPr>
        <w:t xml:space="preserve"> תוס'</w:t>
      </w:r>
      <w:r w:rsidRPr="00351B7D">
        <w:rPr>
          <w:rFonts w:asciiTheme="minorBidi" w:hAnsiTheme="minorBidi"/>
          <w:sz w:val="16"/>
          <w:szCs w:val="16"/>
          <w:rtl/>
        </w:rPr>
        <w:t xml:space="preserve"> (ד"ה שאין)</w:t>
      </w:r>
      <w:r w:rsidRPr="00351B7D">
        <w:rPr>
          <w:rFonts w:asciiTheme="minorBidi" w:hAnsiTheme="minorBidi"/>
          <w:rtl/>
        </w:rPr>
        <w:t xml:space="preserve"> ורא"ש</w:t>
      </w:r>
      <w:r w:rsidRPr="00351B7D">
        <w:rPr>
          <w:rFonts w:asciiTheme="minorBidi" w:hAnsiTheme="minorBidi"/>
          <w:sz w:val="16"/>
          <w:szCs w:val="16"/>
          <w:rtl/>
        </w:rPr>
        <w:t xml:space="preserve"> (פסחים פ"י סי' ח)</w:t>
      </w:r>
      <w:r w:rsidRPr="00351B7D">
        <w:rPr>
          <w:rFonts w:asciiTheme="minorBidi" w:hAnsiTheme="minorBidi"/>
          <w:rtl/>
        </w:rPr>
        <w:t>.</w:t>
      </w:r>
    </w:p>
  </w:footnote>
  <w:footnote w:id="701">
    <w:p w14:paraId="0513DD5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הטעמים הראשונים הם ליתן טעם בארצות שבהם מרחיקין האירוסין מן הנשואין ומקדשין תיכף בבית אבי הכלה כשנעשה השידוך. וטעם זה הוא לארצות הללו שמקדשין תחת החופה, ע"פ קו"נ (אות ס).</w:t>
      </w:r>
    </w:p>
  </w:footnote>
  <w:footnote w:id="702">
    <w:p w14:paraId="661E079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הדרישה (אות י"ח) כ' דא"צ להכין כוס השני אלא בעת שאומר הברכות, וכ"כ הב"ש (סקי"א) בשמו. אך הט"ז (סק"ז) חלק על הפרישה וכ' (דלמנהגם) שאומרים פיוט 'דוי הסר' בשביל ז' ברכות יש להביא ביחד ולומר דוי הסר על כוס האחת שמייחד לז' ברכות ואחר דוי הסר מניחו ונוטל הכוס של ברכת המזון ואח"כ חוזר ונוטל את של ז' ברכות.</w:t>
      </w:r>
    </w:p>
  </w:footnote>
  <w:footnote w:id="703">
    <w:p w14:paraId="29175C7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המקנה </w:t>
      </w:r>
      <w:r w:rsidRPr="00351B7D">
        <w:rPr>
          <w:rFonts w:asciiTheme="minorBidi" w:hAnsiTheme="minorBidi"/>
          <w:color w:val="000000"/>
          <w:sz w:val="16"/>
          <w:szCs w:val="16"/>
          <w:rtl/>
        </w:rPr>
        <w:t>(קו"א, הביאו הפת"ש סקי"ז)</w:t>
      </w:r>
      <w:r w:rsidRPr="00351B7D">
        <w:rPr>
          <w:rFonts w:asciiTheme="minorBidi" w:hAnsiTheme="minorBidi"/>
          <w:rtl/>
        </w:rPr>
        <w:t xml:space="preserve"> כ'- נראה דיכול אחד לברך בהמ"ז ויוציא כולם, וששה ברכות יכול ליתן לאחר לברך, ואח"כ מברך המברך בהמ"ז בפה"ג על כוס שלו ומוציא אף לאותו שבירך ו' ברכות</w:t>
      </w:r>
      <w:r w:rsidRPr="00351B7D">
        <w:rPr>
          <w:rFonts w:asciiTheme="minorBidi" w:hAnsiTheme="minorBidi"/>
          <w:color w:val="000000"/>
          <w:sz w:val="16"/>
          <w:szCs w:val="16"/>
          <w:rtl/>
        </w:rPr>
        <w:t xml:space="preserve"> (וכ"מ ליה מלשון הרמב"ם ושו"ע לעיל ס"ה)</w:t>
      </w:r>
      <w:r w:rsidRPr="00351B7D">
        <w:rPr>
          <w:rFonts w:asciiTheme="minorBidi" w:hAnsiTheme="minorBidi"/>
          <w:rtl/>
        </w:rPr>
        <w:t>.</w:t>
      </w:r>
    </w:p>
  </w:footnote>
  <w:footnote w:id="704">
    <w:p w14:paraId="00441FA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ובספר חסידים </w:t>
      </w:r>
      <w:r w:rsidRPr="00351B7D">
        <w:rPr>
          <w:rFonts w:asciiTheme="minorBidi" w:hAnsiTheme="minorBidi"/>
          <w:sz w:val="16"/>
          <w:szCs w:val="16"/>
          <w:rtl/>
        </w:rPr>
        <w:t xml:space="preserve">(סי' שצג) </w:t>
      </w:r>
      <w:r w:rsidRPr="00351B7D">
        <w:rPr>
          <w:rFonts w:asciiTheme="minorBidi" w:hAnsiTheme="minorBidi"/>
          <w:rtl/>
        </w:rPr>
        <w:t xml:space="preserve">כ' וז"ל- כל המברך שהשמחה במעונו צריך לחקור אם קיימו וגילו ברעדה אם רעדה במקום גילה. אבל אם לוקח אדם אשה שאינה הגונה או היא לוקחת איש שאינו הגון או שניהם אינם הגונים או אין תרבות שם ונבול פה ביניהם או נשים יושבות בין האנשים שהרהורים שם לא יתכן לברך שהשמחה במעונו. ועל אלה וכיוצא בהם נאמר </w:t>
      </w:r>
      <w:r w:rsidRPr="00351B7D">
        <w:rPr>
          <w:rFonts w:asciiTheme="minorBidi" w:hAnsiTheme="minorBidi"/>
          <w:sz w:val="16"/>
          <w:szCs w:val="16"/>
          <w:rtl/>
        </w:rPr>
        <w:t xml:space="preserve">(ירמי' ט"ו י"ז) </w:t>
      </w:r>
      <w:r w:rsidRPr="00351B7D">
        <w:rPr>
          <w:rFonts w:asciiTheme="minorBidi" w:hAnsiTheme="minorBidi"/>
          <w:rtl/>
        </w:rPr>
        <w:t xml:space="preserve">לא ישבתי בסוד משחקים ואעלוז וכתיב </w:t>
      </w:r>
      <w:r w:rsidRPr="00351B7D">
        <w:rPr>
          <w:rFonts w:asciiTheme="minorBidi" w:hAnsiTheme="minorBidi"/>
          <w:sz w:val="16"/>
          <w:szCs w:val="16"/>
          <w:rtl/>
        </w:rPr>
        <w:t xml:space="preserve">(ישעי' כ"ח ח') </w:t>
      </w:r>
      <w:r w:rsidRPr="00351B7D">
        <w:rPr>
          <w:rFonts w:asciiTheme="minorBidi" w:hAnsiTheme="minorBidi"/>
          <w:rtl/>
        </w:rPr>
        <w:t xml:space="preserve">כי כל שלחנות מלאו קיא צואה בלי מקום </w:t>
      </w:r>
      <w:r w:rsidRPr="00351B7D">
        <w:rPr>
          <w:rFonts w:asciiTheme="minorBidi" w:hAnsiTheme="minorBidi"/>
          <w:sz w:val="16"/>
          <w:szCs w:val="16"/>
          <w:rtl/>
        </w:rPr>
        <w:t xml:space="preserve">(שם שם י"ב) </w:t>
      </w:r>
      <w:r w:rsidRPr="00351B7D">
        <w:rPr>
          <w:rFonts w:asciiTheme="minorBidi" w:hAnsiTheme="minorBidi"/>
          <w:b/>
          <w:bCs/>
          <w:u w:val="single"/>
          <w:rtl/>
        </w:rPr>
        <w:t>ו</w:t>
      </w:r>
      <w:r w:rsidRPr="00351B7D">
        <w:rPr>
          <w:rFonts w:asciiTheme="minorBidi" w:hAnsiTheme="minorBidi"/>
          <w:rtl/>
        </w:rPr>
        <w:t xml:space="preserve">לא </w:t>
      </w:r>
      <w:r w:rsidRPr="00351B7D">
        <w:rPr>
          <w:rFonts w:asciiTheme="minorBidi" w:hAnsiTheme="minorBidi"/>
          <w:b/>
          <w:bCs/>
          <w:u w:val="single"/>
          <w:rtl/>
        </w:rPr>
        <w:t>א</w:t>
      </w:r>
      <w:r w:rsidRPr="00351B7D">
        <w:rPr>
          <w:rFonts w:asciiTheme="minorBidi" w:hAnsiTheme="minorBidi"/>
          <w:rtl/>
        </w:rPr>
        <w:t xml:space="preserve">בוא </w:t>
      </w:r>
      <w:r w:rsidRPr="00351B7D">
        <w:rPr>
          <w:rFonts w:asciiTheme="minorBidi" w:hAnsiTheme="minorBidi"/>
          <w:b/>
          <w:bCs/>
          <w:u w:val="single"/>
          <w:rtl/>
        </w:rPr>
        <w:t>ש</w:t>
      </w:r>
      <w:r w:rsidRPr="00351B7D">
        <w:rPr>
          <w:rFonts w:asciiTheme="minorBidi" w:hAnsiTheme="minorBidi"/>
          <w:rtl/>
        </w:rPr>
        <w:t>מוע בגימטריא עשרה, אומרה שכינה לא אבו שמוע דברי תורה</w:t>
      </w:r>
      <w:r w:rsidRPr="00351B7D">
        <w:rPr>
          <w:rFonts w:asciiTheme="minorBidi" w:hAnsiTheme="minorBidi"/>
          <w:sz w:val="16"/>
          <w:szCs w:val="16"/>
          <w:rtl/>
        </w:rPr>
        <w:t xml:space="preserve"> (קהלת ב' ב') </w:t>
      </w:r>
      <w:r w:rsidRPr="00351B7D">
        <w:rPr>
          <w:rFonts w:asciiTheme="minorBidi" w:hAnsiTheme="minorBidi"/>
          <w:rtl/>
        </w:rPr>
        <w:t>ולשמחה מה זו עושה וכתיב מה זו בין ת"ח ובין לצים. כל מצוה הבאה עבירה על ידה מוטב שלא יעשה המצוה כמו מצוה לשמח החתן ואם יש פריצים ויודע שבלא פריצות לא יהיה או אינו יכול להיות בלא הרהור או אינו יכול להיות מלראות בנשים אל יהיה שם, עכ"ל. וכ"כ הב"ח</w:t>
      </w:r>
      <w:r w:rsidRPr="00351B7D">
        <w:rPr>
          <w:rFonts w:asciiTheme="minorBidi" w:hAnsiTheme="minorBidi"/>
          <w:sz w:val="16"/>
          <w:szCs w:val="16"/>
          <w:rtl/>
        </w:rPr>
        <w:t xml:space="preserve"> (אות י"ב) </w:t>
      </w:r>
      <w:r w:rsidRPr="00351B7D">
        <w:rPr>
          <w:rFonts w:asciiTheme="minorBidi" w:hAnsiTheme="minorBidi"/>
          <w:rtl/>
        </w:rPr>
        <w:t xml:space="preserve">והב"ש </w:t>
      </w:r>
      <w:r w:rsidRPr="00351B7D">
        <w:rPr>
          <w:rFonts w:asciiTheme="minorBidi" w:hAnsiTheme="minorBidi"/>
          <w:sz w:val="16"/>
          <w:szCs w:val="16"/>
          <w:rtl/>
        </w:rPr>
        <w:t>(סקי"א)</w:t>
      </w:r>
      <w:r w:rsidRPr="00351B7D">
        <w:rPr>
          <w:rFonts w:asciiTheme="minorBidi" w:hAnsiTheme="minorBidi"/>
          <w:rtl/>
        </w:rPr>
        <w:t xml:space="preserve">. אך הלבוש </w:t>
      </w:r>
      <w:r w:rsidRPr="00351B7D">
        <w:rPr>
          <w:rFonts w:asciiTheme="minorBidi" w:hAnsiTheme="minorBidi"/>
          <w:sz w:val="16"/>
          <w:szCs w:val="16"/>
          <w:rtl/>
        </w:rPr>
        <w:t xml:space="preserve">(או"ח מנהגים אות לו) </w:t>
      </w:r>
      <w:r w:rsidRPr="00351B7D">
        <w:rPr>
          <w:rFonts w:asciiTheme="minorBidi" w:hAnsiTheme="minorBidi"/>
          <w:rtl/>
        </w:rPr>
        <w:t>לאחר שציטט חלק מדברי ספר חסידים כ', וז"ל- ואין נזהרין עכשיו בזה, ואפשר משום דעכשיו מורגלות הנשים הרבה בין האנשים ואין כאן הרהורי עבירה כל כך, דדמיין עלן כקאקי חיוורא מתוך רוב הרגלן בינינו וכיון דדשו דשו, עכ"ל.</w:t>
      </w:r>
    </w:p>
  </w:footnote>
  <w:footnote w:id="705">
    <w:p w14:paraId="507FD16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בדרכ"מ</w:t>
      </w:r>
      <w:r w:rsidRPr="00351B7D">
        <w:rPr>
          <w:rFonts w:asciiTheme="minorBidi" w:hAnsiTheme="minorBidi"/>
          <w:sz w:val="16"/>
          <w:szCs w:val="16"/>
          <w:rtl/>
        </w:rPr>
        <w:t xml:space="preserve"> (אות יג) </w:t>
      </w:r>
      <w:r w:rsidRPr="00351B7D">
        <w:rPr>
          <w:rFonts w:asciiTheme="minorBidi" w:hAnsiTheme="minorBidi"/>
          <w:rtl/>
        </w:rPr>
        <w:t xml:space="preserve">כ' דכך מצא כתוב </w:t>
      </w:r>
      <w:r w:rsidRPr="00351B7D">
        <w:rPr>
          <w:rFonts w:asciiTheme="minorBidi" w:hAnsiTheme="minorBidi"/>
          <w:sz w:val="16"/>
          <w:szCs w:val="16"/>
          <w:rtl/>
        </w:rPr>
        <w:t xml:space="preserve">(בספר המנהגים לרי"א טירנא, מנהגי כל השנה אות יג) </w:t>
      </w:r>
      <w:r w:rsidRPr="00351B7D">
        <w:rPr>
          <w:rFonts w:asciiTheme="minorBidi" w:hAnsiTheme="minorBidi"/>
          <w:rtl/>
        </w:rPr>
        <w:t>שנוהגים בני אשכנז, וסיים וז"ל- ולא ראיתי נוהגין כן וטוב להחמיר. וגם הב"ח (אות י"ב) כתב דכך ראוי לנהוג, וכן סתם בשמו הח"מ (סקי"ד).</w:t>
      </w:r>
    </w:p>
  </w:footnote>
  <w:footnote w:id="706">
    <w:p w14:paraId="5291B7BC"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מברכין על כל כוס בפה"ג, אבל ברכה אחרונה על הגפן מברך פעם אחד על שני הכוסות אחר כוס אחרון, ח"מ (סקט"ו).</w:t>
      </w:r>
    </w:p>
  </w:footnote>
  <w:footnote w:id="707">
    <w:p w14:paraId="3B42828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בתשובות רש"י </w:t>
      </w:r>
      <w:r w:rsidRPr="00351B7D">
        <w:rPr>
          <w:rFonts w:asciiTheme="minorBidi" w:hAnsiTheme="minorBidi"/>
          <w:sz w:val="14"/>
          <w:szCs w:val="14"/>
          <w:rtl/>
        </w:rPr>
        <w:t>(הביאוהו מרדכי (כתובות קלב) הגה"א (כתובות פ"א סי' יב הגהה ב) והגה"מ (אישות פ"י ה"ד אות ג))</w:t>
      </w:r>
      <w:r w:rsidRPr="00351B7D">
        <w:rPr>
          <w:rFonts w:asciiTheme="minorBidi" w:hAnsiTheme="minorBidi"/>
          <w:rtl/>
        </w:rPr>
        <w:t xml:space="preserve"> וכ"כ התוס' </w:t>
      </w:r>
      <w:r w:rsidRPr="00351B7D">
        <w:rPr>
          <w:rFonts w:asciiTheme="minorBidi" w:hAnsiTheme="minorBidi"/>
          <w:sz w:val="16"/>
          <w:szCs w:val="16"/>
          <w:rtl/>
        </w:rPr>
        <w:t>(פסחים קב: ד"ה שאין)</w:t>
      </w:r>
      <w:r w:rsidRPr="00351B7D">
        <w:rPr>
          <w:rFonts w:asciiTheme="minorBidi" w:hAnsiTheme="minorBidi"/>
          <w:rtl/>
        </w:rPr>
        <w:t xml:space="preserve">. ואע"ג שהאביאסף </w:t>
      </w:r>
      <w:r w:rsidRPr="00351B7D">
        <w:rPr>
          <w:rFonts w:asciiTheme="minorBidi" w:hAnsiTheme="minorBidi"/>
          <w:sz w:val="16"/>
          <w:szCs w:val="16"/>
          <w:rtl/>
        </w:rPr>
        <w:t>(ראבי"ה, הביאוהו המרדכי הגה"א והגה"מ (שם))</w:t>
      </w:r>
      <w:r w:rsidRPr="00351B7D">
        <w:rPr>
          <w:rFonts w:asciiTheme="minorBidi" w:hAnsiTheme="minorBidi"/>
          <w:rtl/>
        </w:rPr>
        <w:t xml:space="preserve"> כ' דמה שמברכים ברכה אחרונה על הגפן </w:t>
      </w:r>
      <w:r w:rsidRPr="00351B7D">
        <w:rPr>
          <w:rFonts w:asciiTheme="minorBidi" w:hAnsiTheme="minorBidi"/>
          <w:sz w:val="16"/>
          <w:szCs w:val="16"/>
          <w:rtl/>
        </w:rPr>
        <w:t>(אם שתה רביעית)</w:t>
      </w:r>
      <w:r w:rsidRPr="00351B7D">
        <w:rPr>
          <w:rFonts w:asciiTheme="minorBidi" w:hAnsiTheme="minorBidi"/>
          <w:rtl/>
        </w:rPr>
        <w:t xml:space="preserve"> הוי הפסק, כבר כ' הב"ח </w:t>
      </w:r>
      <w:r w:rsidRPr="00351B7D">
        <w:rPr>
          <w:rFonts w:asciiTheme="minorBidi" w:hAnsiTheme="minorBidi"/>
          <w:sz w:val="16"/>
          <w:szCs w:val="16"/>
          <w:rtl/>
        </w:rPr>
        <w:t xml:space="preserve">(סי' סב סע' ב קו"א) </w:t>
      </w:r>
      <w:r w:rsidRPr="00351B7D">
        <w:rPr>
          <w:rFonts w:asciiTheme="minorBidi" w:hAnsiTheme="minorBidi"/>
          <w:rtl/>
        </w:rPr>
        <w:t>דלא נהגי כראבי"ה בזה אלא כתשובת רש"י תוס' ואשיר"י.</w:t>
      </w:r>
    </w:p>
  </w:footnote>
  <w:footnote w:id="708">
    <w:p w14:paraId="01978AE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ויברכו וישתו כולם כוס שלישית (של בהמ"ז) ואז יברך אחד מהם שש ברכות, וזה....</w:t>
      </w:r>
    </w:p>
  </w:footnote>
  <w:footnote w:id="709">
    <w:p w14:paraId="2DB9A44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חיים שאל</w:t>
      </w:r>
      <w:r w:rsidRPr="00351B7D">
        <w:rPr>
          <w:rFonts w:asciiTheme="minorBidi" w:hAnsiTheme="minorBidi"/>
          <w:sz w:val="16"/>
          <w:szCs w:val="16"/>
          <w:rtl/>
        </w:rPr>
        <w:t xml:space="preserve"> (סי' עד אות יג, וכ"כ ביוסף אומץ סי' מז)</w:t>
      </w:r>
      <w:r w:rsidRPr="00351B7D">
        <w:rPr>
          <w:rFonts w:asciiTheme="minorBidi" w:hAnsiTheme="minorBidi"/>
          <w:rtl/>
        </w:rPr>
        <w:t xml:space="preserve"> ותשובה מאהבה </w:t>
      </w:r>
      <w:r w:rsidRPr="00351B7D">
        <w:rPr>
          <w:rFonts w:asciiTheme="minorBidi" w:hAnsiTheme="minorBidi"/>
          <w:sz w:val="16"/>
          <w:szCs w:val="16"/>
          <w:rtl/>
        </w:rPr>
        <w:t>(ח"ב סי' תעט)</w:t>
      </w:r>
      <w:r w:rsidRPr="00351B7D">
        <w:rPr>
          <w:rFonts w:asciiTheme="minorBidi" w:hAnsiTheme="minorBidi"/>
          <w:rtl/>
        </w:rPr>
        <w:t>.</w:t>
      </w:r>
    </w:p>
  </w:footnote>
  <w:footnote w:id="710">
    <w:p w14:paraId="45E00D2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ברכות המים</w:t>
      </w:r>
      <w:r w:rsidRPr="00351B7D">
        <w:rPr>
          <w:rFonts w:asciiTheme="minorBidi" w:hAnsiTheme="minorBidi"/>
          <w:color w:val="000000"/>
          <w:sz w:val="16"/>
          <w:szCs w:val="16"/>
          <w:rtl/>
        </w:rPr>
        <w:t xml:space="preserve"> (דף ט"ל) </w:t>
      </w:r>
      <w:r w:rsidRPr="00351B7D">
        <w:rPr>
          <w:rFonts w:asciiTheme="minorBidi" w:hAnsiTheme="minorBidi"/>
          <w:color w:val="000000"/>
          <w:rtl/>
        </w:rPr>
        <w:t>וזכור לאברהם</w:t>
      </w:r>
      <w:r w:rsidRPr="00351B7D">
        <w:rPr>
          <w:rFonts w:asciiTheme="minorBidi" w:hAnsiTheme="minorBidi"/>
          <w:color w:val="000000"/>
          <w:sz w:val="16"/>
          <w:szCs w:val="16"/>
          <w:rtl/>
        </w:rPr>
        <w:t xml:space="preserve"> (ח"ג ד' קי"ד אות ב' ברכת חתנים)</w:t>
      </w:r>
      <w:r w:rsidRPr="00351B7D">
        <w:rPr>
          <w:rFonts w:asciiTheme="minorBidi" w:hAnsiTheme="minorBidi"/>
          <w:rtl/>
        </w:rPr>
        <w:t>.</w:t>
      </w:r>
    </w:p>
  </w:footnote>
  <w:footnote w:id="711">
    <w:p w14:paraId="3F64D8C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דרכ"מ </w:t>
      </w:r>
      <w:r w:rsidRPr="00351B7D">
        <w:rPr>
          <w:rFonts w:asciiTheme="minorBidi" w:hAnsiTheme="minorBidi"/>
          <w:color w:val="000000"/>
          <w:sz w:val="16"/>
          <w:szCs w:val="16"/>
          <w:rtl/>
        </w:rPr>
        <w:t xml:space="preserve">(או"ח סי' תע"ג [אות ד]) </w:t>
      </w:r>
      <w:r w:rsidRPr="00351B7D">
        <w:rPr>
          <w:rFonts w:asciiTheme="minorBidi" w:hAnsiTheme="minorBidi"/>
          <w:color w:val="000000"/>
          <w:rtl/>
        </w:rPr>
        <w:t>בשם המנהגים</w:t>
      </w:r>
      <w:r w:rsidRPr="00351B7D">
        <w:rPr>
          <w:rFonts w:asciiTheme="minorBidi" w:hAnsiTheme="minorBidi"/>
          <w:rtl/>
        </w:rPr>
        <w:t xml:space="preserve"> </w:t>
      </w:r>
      <w:r w:rsidRPr="00351B7D">
        <w:rPr>
          <w:rFonts w:asciiTheme="minorBidi" w:hAnsiTheme="minorBidi"/>
          <w:color w:val="000000"/>
          <w:sz w:val="16"/>
          <w:szCs w:val="16"/>
          <w:rtl/>
        </w:rPr>
        <w:t>(לר"א טירנא עמ' נה)</w:t>
      </w:r>
      <w:r w:rsidRPr="00351B7D">
        <w:rPr>
          <w:rFonts w:asciiTheme="minorBidi" w:hAnsiTheme="minorBidi"/>
          <w:rtl/>
        </w:rPr>
        <w:t>.</w:t>
      </w:r>
    </w:p>
  </w:footnote>
  <w:footnote w:id="712">
    <w:p w14:paraId="1ADD69B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היינו שכולם יברכו וישתו כוס שלישית, והחתן לא יברך וישתה אלא יברך שש ברכות ואז יברך בפה"ג.</w:t>
      </w:r>
    </w:p>
  </w:footnote>
  <w:footnote w:id="713">
    <w:p w14:paraId="3B2E65E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ותמה איך אישתמיט דברי הדרכ"מ הללו לכל גדולים אלו.</w:t>
      </w:r>
      <w:r w:rsidRPr="00351B7D">
        <w:rPr>
          <w:rFonts w:asciiTheme="minorBidi" w:hAnsiTheme="minorBidi"/>
          <w:sz w:val="16"/>
          <w:szCs w:val="16"/>
          <w:rtl/>
        </w:rPr>
        <w:t xml:space="preserve"> (עי' ביוסף אומץ שהקשו לו כן, והשיב, וכנראה לא היה הספר לפני הפת"ש</w:t>
      </w:r>
      <w:r w:rsidRPr="00351B7D">
        <w:rPr>
          <w:rFonts w:asciiTheme="minorBidi" w:hAnsiTheme="minorBidi"/>
          <w:sz w:val="14"/>
          <w:szCs w:val="14"/>
          <w:rtl/>
        </w:rPr>
        <w:t xml:space="preserve"> [הע' פריד']</w:t>
      </w:r>
      <w:r w:rsidRPr="00351B7D">
        <w:rPr>
          <w:rFonts w:asciiTheme="minorBidi" w:hAnsiTheme="minorBidi"/>
          <w:sz w:val="16"/>
          <w:szCs w:val="16"/>
          <w:rtl/>
        </w:rPr>
        <w:t>)</w:t>
      </w:r>
    </w:p>
  </w:footnote>
  <w:footnote w:id="714">
    <w:p w14:paraId="7E0749F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w:t>
      </w:r>
      <w:r w:rsidRPr="00351B7D">
        <w:rPr>
          <w:rFonts w:asciiTheme="minorBidi" w:hAnsiTheme="minorBidi"/>
          <w:sz w:val="16"/>
          <w:szCs w:val="16"/>
          <w:rtl/>
        </w:rPr>
        <w:t xml:space="preserve"> (ד"ה אין) </w:t>
      </w:r>
      <w:r w:rsidRPr="00351B7D">
        <w:rPr>
          <w:rFonts w:asciiTheme="minorBidi" w:hAnsiTheme="minorBidi"/>
          <w:rtl/>
        </w:rPr>
        <w:t xml:space="preserve">רמב"ן </w:t>
      </w:r>
      <w:r w:rsidRPr="00351B7D">
        <w:rPr>
          <w:rFonts w:asciiTheme="minorBidi" w:hAnsiTheme="minorBidi"/>
          <w:sz w:val="16"/>
          <w:szCs w:val="16"/>
          <w:rtl/>
        </w:rPr>
        <w:t xml:space="preserve">(כ"כ בשמו הר"ן בכתובות </w:t>
      </w:r>
      <w:r w:rsidRPr="00351B7D">
        <w:rPr>
          <w:rFonts w:asciiTheme="minorBidi" w:hAnsiTheme="minorBidi"/>
          <w:sz w:val="14"/>
          <w:szCs w:val="14"/>
          <w:rtl/>
        </w:rPr>
        <w:t>[ג. מדפה"ר דיבור ראשון]</w:t>
      </w:r>
      <w:r w:rsidRPr="00351B7D">
        <w:rPr>
          <w:rFonts w:asciiTheme="minorBidi" w:hAnsiTheme="minorBidi"/>
          <w:sz w:val="16"/>
          <w:szCs w:val="16"/>
          <w:rtl/>
        </w:rPr>
        <w:t xml:space="preserve">) </w:t>
      </w:r>
      <w:r w:rsidRPr="00351B7D">
        <w:rPr>
          <w:rFonts w:asciiTheme="minorBidi" w:hAnsiTheme="minorBidi"/>
          <w:rtl/>
        </w:rPr>
        <w:t>ריצב"א</w:t>
      </w:r>
      <w:r w:rsidRPr="00351B7D">
        <w:rPr>
          <w:rFonts w:asciiTheme="minorBidi" w:hAnsiTheme="minorBidi"/>
          <w:sz w:val="16"/>
          <w:szCs w:val="16"/>
          <w:rtl/>
        </w:rPr>
        <w:t xml:space="preserve"> (הביאו האו"ז)</w:t>
      </w:r>
      <w:r w:rsidRPr="00351B7D">
        <w:rPr>
          <w:rFonts w:asciiTheme="minorBidi" w:hAnsiTheme="minorBidi"/>
          <w:rtl/>
        </w:rPr>
        <w:t xml:space="preserve"> או"ז </w:t>
      </w:r>
      <w:r w:rsidRPr="00351B7D">
        <w:rPr>
          <w:rFonts w:asciiTheme="minorBidi" w:hAnsiTheme="minorBidi"/>
          <w:sz w:val="16"/>
          <w:szCs w:val="16"/>
          <w:rtl/>
        </w:rPr>
        <w:t>(ח"ב הל' סוכה סי' רצט)</w:t>
      </w:r>
      <w:r w:rsidRPr="00351B7D">
        <w:rPr>
          <w:rFonts w:asciiTheme="minorBidi" w:hAnsiTheme="minorBidi"/>
          <w:rtl/>
        </w:rPr>
        <w:t>.</w:t>
      </w:r>
      <w:r w:rsidRPr="00351B7D">
        <w:rPr>
          <w:rFonts w:asciiTheme="minorBidi" w:hAnsiTheme="minorBidi"/>
          <w:sz w:val="16"/>
          <w:szCs w:val="16"/>
          <w:rtl/>
        </w:rPr>
        <w:t xml:space="preserve"> </w:t>
      </w:r>
      <w:r w:rsidRPr="00351B7D">
        <w:rPr>
          <w:rFonts w:asciiTheme="minorBidi" w:hAnsiTheme="minorBidi"/>
          <w:rtl/>
        </w:rPr>
        <w:t>וכ"כ מרדכי</w:t>
      </w:r>
      <w:r w:rsidRPr="00351B7D">
        <w:rPr>
          <w:rFonts w:asciiTheme="minorBidi" w:hAnsiTheme="minorBidi"/>
          <w:sz w:val="16"/>
          <w:szCs w:val="16"/>
          <w:rtl/>
        </w:rPr>
        <w:t xml:space="preserve"> (סי' תשמד)</w:t>
      </w:r>
      <w:r w:rsidRPr="00351B7D">
        <w:rPr>
          <w:rFonts w:asciiTheme="minorBidi" w:hAnsiTheme="minorBidi"/>
          <w:rtl/>
        </w:rPr>
        <w:t>.</w:t>
      </w:r>
    </w:p>
  </w:footnote>
  <w:footnote w:id="715">
    <w:p w14:paraId="78AE8CA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התוס'</w:t>
      </w:r>
      <w:r w:rsidRPr="00351B7D">
        <w:rPr>
          <w:rFonts w:asciiTheme="minorBidi" w:hAnsiTheme="minorBidi"/>
          <w:sz w:val="16"/>
          <w:szCs w:val="16"/>
          <w:rtl/>
        </w:rPr>
        <w:t xml:space="preserve"> (שם, והעתיקו דברים אלו האו"ז המרדכי והרא"ש, ודברים אלו לקמן יהוו בסיס לדברי הט"ז) </w:t>
      </w:r>
      <w:r w:rsidRPr="00351B7D">
        <w:rPr>
          <w:rFonts w:asciiTheme="minorBidi" w:hAnsiTheme="minorBidi"/>
          <w:rtl/>
        </w:rPr>
        <w:t>וז"ל- וצריך לדקדק מה היא חופה דאי במקום שברכו תחלה ברכת נישואין קרי ליה חופה פעמים שאפי' ברחוב העיר מברכין אותה כשהעם מרובין ואין יכולין ליכנס בבית אלא מקום עיקר ישיבת חתן וכלה קרי ליה חופה ולא מקום העשוי לאקראי בעלמא ושם מברכין ברכת חתנים כל שבעה.</w:t>
      </w:r>
    </w:p>
  </w:footnote>
  <w:footnote w:id="716">
    <w:p w14:paraId="5B560A54"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וכ"נ מדברי מהר"ם הביאו ההגה"מ</w:t>
      </w:r>
      <w:r w:rsidRPr="00351B7D">
        <w:rPr>
          <w:rFonts w:asciiTheme="minorBidi" w:hAnsiTheme="minorBidi"/>
          <w:sz w:val="16"/>
          <w:szCs w:val="16"/>
          <w:rtl/>
        </w:rPr>
        <w:t xml:space="preserve"> (פ"ה מהל' ברכות אות ב, הביאו הדרכ"מ [אות יח])</w:t>
      </w:r>
      <w:r w:rsidRPr="00351B7D">
        <w:rPr>
          <w:rFonts w:asciiTheme="minorBidi" w:hAnsiTheme="minorBidi"/>
          <w:sz w:val="20"/>
          <w:szCs w:val="20"/>
          <w:rtl/>
        </w:rPr>
        <w:t xml:space="preserve"> וז"ל- מוהר"ם היה מנהיג לברך שהשמחה במעונו וברכת חתנים דהיינו אשר ברא בליל מוצאי שבת יום אחד שלאחר הנישואין כשעושין משתה אצל חתן וכלה אף על פי שאין אוכלין במקום שאוכלין בנישואין אלא בבית החתן והכלה וכן עשה מוהר"ם מעשה בעצמו.</w:t>
      </w:r>
    </w:p>
  </w:footnote>
  <w:footnote w:id="717">
    <w:p w14:paraId="0ED70C8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הר"ן </w:t>
      </w:r>
      <w:r w:rsidRPr="00351B7D">
        <w:rPr>
          <w:rFonts w:asciiTheme="minorBidi" w:hAnsiTheme="minorBidi"/>
          <w:sz w:val="16"/>
          <w:szCs w:val="16"/>
          <w:rtl/>
        </w:rPr>
        <w:t>(סוכה יא: ד"ה וכתבו)</w:t>
      </w:r>
      <w:r w:rsidRPr="00351B7D">
        <w:rPr>
          <w:rFonts w:asciiTheme="minorBidi" w:hAnsiTheme="minorBidi"/>
          <w:rtl/>
        </w:rPr>
        <w:t xml:space="preserve"> כ' שם דמשמע מדברי התוס' דאפילו באותה חצר עצמה אין מברכים, וסיים דבריו כך-...</w:t>
      </w:r>
    </w:p>
  </w:footnote>
  <w:footnote w:id="718">
    <w:p w14:paraId="6B07C8D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עכ"ל הר"ן בסוכה, ומכאן והלאה היא לשונו בכתובות ג. מדפה"ר.</w:t>
      </w:r>
    </w:p>
  </w:footnote>
  <w:footnote w:id="719">
    <w:p w14:paraId="24AFE1DA" w14:textId="77777777" w:rsidR="00DF1FC7" w:rsidRPr="00351B7D" w:rsidRDefault="00DF1FC7" w:rsidP="008E16D0">
      <w:pPr>
        <w:pStyle w:val="a5"/>
        <w:rPr>
          <w:rFonts w:asciiTheme="minorBidi" w:hAnsiTheme="minorBidi"/>
          <w:rtl/>
        </w:rPr>
      </w:pPr>
      <w:r w:rsidRPr="00351B7D">
        <w:rPr>
          <w:rStyle w:val="a7"/>
          <w:rFonts w:asciiTheme="minorBidi" w:hAnsiTheme="minorBidi"/>
          <w:color w:val="FF0000"/>
        </w:rPr>
        <w:footnoteRef/>
      </w:r>
      <w:r w:rsidRPr="00351B7D">
        <w:rPr>
          <w:rFonts w:asciiTheme="minorBidi" w:hAnsiTheme="minorBidi"/>
          <w:color w:val="FF0000"/>
          <w:rtl/>
        </w:rPr>
        <w:t xml:space="preserve"> הדרכ"מ </w:t>
      </w:r>
      <w:r w:rsidRPr="00351B7D">
        <w:rPr>
          <w:rFonts w:asciiTheme="minorBidi" w:hAnsiTheme="minorBidi"/>
          <w:color w:val="FF0000"/>
          <w:sz w:val="16"/>
          <w:szCs w:val="16"/>
          <w:rtl/>
        </w:rPr>
        <w:t xml:space="preserve">(אות י"ד) </w:t>
      </w:r>
      <w:r w:rsidRPr="00351B7D">
        <w:rPr>
          <w:rFonts w:asciiTheme="minorBidi" w:hAnsiTheme="minorBidi"/>
          <w:color w:val="FF0000"/>
          <w:rtl/>
        </w:rPr>
        <w:t xml:space="preserve">כ' שהר"ן </w:t>
      </w:r>
      <w:r w:rsidRPr="00351B7D">
        <w:rPr>
          <w:rFonts w:asciiTheme="minorBidi" w:hAnsiTheme="minorBidi"/>
          <w:color w:val="FF0000"/>
          <w:sz w:val="16"/>
          <w:szCs w:val="16"/>
          <w:rtl/>
        </w:rPr>
        <w:t>(בכתובות ג. ד"ה וחתנים)</w:t>
      </w:r>
      <w:r w:rsidRPr="00351B7D">
        <w:rPr>
          <w:rFonts w:asciiTheme="minorBidi" w:hAnsiTheme="minorBidi"/>
          <w:color w:val="FF0000"/>
          <w:rtl/>
        </w:rPr>
        <w:t xml:space="preserve"> כ' דאפילו אשר ברא לחוד אין מברכין אלא במקום חופה, ע"כ. אך חיפשתי בכל דברי הר"ן ולא מצאתי כן, אלא כתב כעין זה בדעת הרמב"ן, ולכאורה דברי הדרכ"מ זה ממש היפך דברי הר"ן שהרי הר"ן </w:t>
      </w:r>
      <w:r w:rsidRPr="00351B7D">
        <w:rPr>
          <w:rFonts w:asciiTheme="minorBidi" w:hAnsiTheme="minorBidi"/>
          <w:color w:val="FF0000"/>
          <w:sz w:val="16"/>
          <w:szCs w:val="16"/>
          <w:rtl/>
        </w:rPr>
        <w:t xml:space="preserve">(שם) </w:t>
      </w:r>
      <w:r w:rsidRPr="00351B7D">
        <w:rPr>
          <w:rFonts w:asciiTheme="minorBidi" w:hAnsiTheme="minorBidi"/>
          <w:color w:val="FF0000"/>
          <w:rtl/>
        </w:rPr>
        <w:t xml:space="preserve">סובר שאין ברכת אשר ברא נקראת ברכת חתנים בפני עצמה </w:t>
      </w:r>
      <w:r w:rsidRPr="00351B7D">
        <w:rPr>
          <w:rFonts w:asciiTheme="minorBidi" w:hAnsiTheme="minorBidi"/>
          <w:color w:val="FF0000"/>
          <w:sz w:val="16"/>
          <w:szCs w:val="16"/>
          <w:rtl/>
        </w:rPr>
        <w:t>(ולכן גם לא בעיא לא עשרה ולא פנים חדשות, וכ"פ השו"ע)</w:t>
      </w:r>
      <w:r w:rsidRPr="00351B7D">
        <w:rPr>
          <w:rFonts w:asciiTheme="minorBidi" w:hAnsiTheme="minorBidi"/>
          <w:color w:val="FF0000"/>
          <w:rtl/>
        </w:rPr>
        <w:t xml:space="preserve">, וצל"ע. </w:t>
      </w:r>
    </w:p>
  </w:footnote>
  <w:footnote w:id="720">
    <w:p w14:paraId="0A783FA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ומש"כ רי"ו (נכ"ב ח"ב) וז"ל- מברך ברכת חתנים בעיר אחת והולך לעיר אחרת עם כלתו אע"פ שנשתהא זמן מרובה בדרך עושה חופה בעיר שבא שמה ונוהג שמה שבעת ימי המשתה ונקרא ברכת חתנים בבית חתנים עכ"ל, נראה דנשתהא זמן מרובה דקאמר היינו ג' או ד' ימים ומכל מקום תוך ז' הוא דאילו אחר ז' אין מקום לברכת חתנים. וזה שכתב הרא"ש לפעמים שהולכים החתן והכלה לעיר אחרת צריך לברך ברכת חתנים אינו סותר מה שכתוב בפסקי התוספות פ"ק דכתובות (אות לא) כשהחתן הולך עם כלתו לעיר אחרת אין לברך אלא בבית חתנים ע"כ דאיפשר דהתם מיירי כשהולכין לעיר אחרת לטייל ודעתם לחזור לביתם תוך ז' ודהרא"ש בהולכין להתיישב ולדור באותה עיר אחרת ואפילו את"ל דפליגי אנן אהרא"ש סמכינן דפוסק מובהק הוא וכל שכן שאותו פסק לא נמצא בתוספות.</w:t>
      </w:r>
    </w:p>
  </w:footnote>
  <w:footnote w:id="721">
    <w:p w14:paraId="422E291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ובדברי הב"י איכא פלוגתא</w:t>
      </w:r>
      <w:r w:rsidRPr="00351B7D">
        <w:rPr>
          <w:rFonts w:asciiTheme="minorBidi" w:hAnsiTheme="minorBidi"/>
          <w:rtl/>
        </w:rPr>
        <w:t>:</w:t>
      </w:r>
    </w:p>
    <w:p w14:paraId="7FEACE6F" w14:textId="77777777" w:rsidR="00DF1FC7" w:rsidRPr="00351B7D" w:rsidRDefault="00DF1FC7" w:rsidP="00A8697F">
      <w:pPr>
        <w:pStyle w:val="a5"/>
        <w:numPr>
          <w:ilvl w:val="0"/>
          <w:numId w:val="96"/>
        </w:numPr>
        <w:rPr>
          <w:rFonts w:asciiTheme="minorBidi" w:hAnsiTheme="minorBidi"/>
        </w:rPr>
      </w:pPr>
      <w:r w:rsidRPr="00351B7D">
        <w:rPr>
          <w:rFonts w:asciiTheme="minorBidi" w:hAnsiTheme="minorBidi"/>
          <w:rtl/>
        </w:rPr>
        <w:t>ט"ז</w:t>
      </w:r>
      <w:r w:rsidRPr="00351B7D">
        <w:rPr>
          <w:rFonts w:asciiTheme="minorBidi" w:hAnsiTheme="minorBidi"/>
          <w:sz w:val="16"/>
          <w:szCs w:val="16"/>
          <w:rtl/>
        </w:rPr>
        <w:t xml:space="preserve"> (סק"ח)</w:t>
      </w:r>
      <w:r w:rsidRPr="00351B7D">
        <w:rPr>
          <w:rFonts w:asciiTheme="minorBidi" w:hAnsiTheme="minorBidi"/>
          <w:rtl/>
        </w:rPr>
        <w:t>-  הב"י דיבר במקרה שכבר עשו שם חופה למשתה ושמחה ורק אח"כ נסעו</w:t>
      </w:r>
      <w:r w:rsidRPr="00351B7D">
        <w:rPr>
          <w:rFonts w:asciiTheme="minorBidi" w:hAnsiTheme="minorBidi"/>
          <w:sz w:val="16"/>
          <w:szCs w:val="16"/>
          <w:rtl/>
        </w:rPr>
        <w:t xml:space="preserve"> (ובזה מיירי פסקי התוס')</w:t>
      </w:r>
      <w:r w:rsidRPr="00351B7D">
        <w:rPr>
          <w:rFonts w:asciiTheme="minorBidi" w:hAnsiTheme="minorBidi"/>
          <w:rtl/>
        </w:rPr>
        <w:t xml:space="preserve">, ובזה ודאי שלא נוהג יותר מז' ימים מזמן החופה ואינו מברך ז' ברכות בעיר האחרת אפי' תוך ז' אפילו בפנים חדשות כי נעקר מהם שמחת חתונה כיון שהולכים ממקום שנעשה החתונה, אבל אם במקום הראשון לא עשה שם חופה כלל למשתה ולשמחה אלא אחר שקידשה ובירך ברכת חתנים הלך עמה לעיר אחרת בזה אמרינן שפיר ששם עושה חופה לקבוע סעודה </w:t>
      </w:r>
      <w:r w:rsidRPr="00351B7D">
        <w:rPr>
          <w:rFonts w:asciiTheme="minorBidi" w:hAnsiTheme="minorBidi"/>
          <w:sz w:val="16"/>
          <w:szCs w:val="16"/>
          <w:rtl/>
        </w:rPr>
        <w:t>(ובזה מיירי רי"ו, וכ' החכ"א</w:t>
      </w:r>
      <w:r w:rsidRPr="00351B7D">
        <w:rPr>
          <w:rFonts w:asciiTheme="minorBidi" w:hAnsiTheme="minorBidi"/>
          <w:sz w:val="14"/>
          <w:szCs w:val="14"/>
          <w:rtl/>
        </w:rPr>
        <w:t xml:space="preserve"> [כלל קט"ו ד"ט, הביאו הפת"ש סקי"ט]</w:t>
      </w:r>
      <w:r w:rsidRPr="00351B7D">
        <w:rPr>
          <w:rFonts w:asciiTheme="minorBidi" w:hAnsiTheme="minorBidi"/>
          <w:sz w:val="16"/>
          <w:szCs w:val="16"/>
          <w:rtl/>
        </w:rPr>
        <w:t>- נ"ל אפי' לדברי הט"ז דוקא מקום שקובעים שם דירתם אבל במלון שלנין שם חתן וכלה לא נקרא מקום חופה ואין מברכין ז"ב)</w:t>
      </w:r>
      <w:r w:rsidRPr="00351B7D">
        <w:rPr>
          <w:rFonts w:asciiTheme="minorBidi" w:hAnsiTheme="minorBidi"/>
          <w:rtl/>
        </w:rPr>
        <w:t>. ומ"מ אם כבר התחילו ימי משתה במקום הראשון והולכים משם החתן וכלה</w:t>
      </w:r>
      <w:r w:rsidRPr="00351B7D">
        <w:rPr>
          <w:rFonts w:asciiTheme="minorBidi" w:hAnsiTheme="minorBidi"/>
          <w:sz w:val="16"/>
          <w:szCs w:val="16"/>
          <w:rtl/>
        </w:rPr>
        <w:t xml:space="preserve"> </w:t>
      </w:r>
      <w:r w:rsidRPr="00351B7D">
        <w:rPr>
          <w:rFonts w:asciiTheme="minorBidi" w:hAnsiTheme="minorBidi"/>
          <w:rtl/>
        </w:rPr>
        <w:t>נראה פשוט דבכל גוונא מברך אשר ברא ושהשמחה במעונו.</w:t>
      </w:r>
      <w:r w:rsidRPr="00351B7D">
        <w:rPr>
          <w:rFonts w:asciiTheme="minorBidi" w:hAnsiTheme="minorBidi"/>
          <w:sz w:val="16"/>
          <w:szCs w:val="16"/>
          <w:rtl/>
        </w:rPr>
        <w:t xml:space="preserve"> </w:t>
      </w:r>
    </w:p>
    <w:p w14:paraId="6DFE8749" w14:textId="77777777" w:rsidR="00DF1FC7" w:rsidRPr="00351B7D" w:rsidRDefault="00DF1FC7" w:rsidP="00A8697F">
      <w:pPr>
        <w:pStyle w:val="a5"/>
        <w:numPr>
          <w:ilvl w:val="0"/>
          <w:numId w:val="96"/>
        </w:numPr>
        <w:rPr>
          <w:rFonts w:asciiTheme="minorBidi" w:hAnsiTheme="minorBidi"/>
          <w:rtl/>
        </w:rPr>
      </w:pPr>
      <w:r w:rsidRPr="00351B7D">
        <w:rPr>
          <w:rFonts w:asciiTheme="minorBidi" w:hAnsiTheme="minorBidi"/>
          <w:rtl/>
        </w:rPr>
        <w:t xml:space="preserve">ב"ש </w:t>
      </w:r>
      <w:r w:rsidRPr="00351B7D">
        <w:rPr>
          <w:rFonts w:asciiTheme="minorBidi" w:hAnsiTheme="minorBidi"/>
          <w:sz w:val="16"/>
          <w:szCs w:val="16"/>
          <w:rtl/>
        </w:rPr>
        <w:t>(סקי"ד)</w:t>
      </w:r>
      <w:r w:rsidRPr="00351B7D">
        <w:rPr>
          <w:rFonts w:asciiTheme="minorBidi" w:hAnsiTheme="minorBidi"/>
          <w:rtl/>
        </w:rPr>
        <w:t xml:space="preserve">- הב"י מיירי במקרה שלא ברכו ז"ב עדיין אלא מיד אחר החופה הלכו למקום אחר ושהו בדרך עד אחר ז', ואעפ"כ אין מברכים. </w:t>
      </w:r>
      <w:r w:rsidRPr="00351B7D">
        <w:rPr>
          <w:rFonts w:asciiTheme="minorBidi" w:hAnsiTheme="minorBidi"/>
          <w:color w:val="FF0000"/>
          <w:rtl/>
        </w:rPr>
        <w:t>(צל"ע שהרי הב"י כ' בהדיא דברכו ז"ב בזמן הנישואין)</w:t>
      </w:r>
    </w:p>
  </w:footnote>
  <w:footnote w:id="722">
    <w:p w14:paraId="5898EB3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והב"ש</w:t>
      </w:r>
      <w:r w:rsidRPr="00351B7D">
        <w:rPr>
          <w:rFonts w:asciiTheme="minorBidi" w:hAnsiTheme="minorBidi"/>
          <w:sz w:val="16"/>
          <w:szCs w:val="16"/>
          <w:rtl/>
        </w:rPr>
        <w:t xml:space="preserve"> (סקי"ג) </w:t>
      </w:r>
      <w:r w:rsidRPr="00351B7D">
        <w:rPr>
          <w:rFonts w:asciiTheme="minorBidi" w:hAnsiTheme="minorBidi"/>
          <w:rtl/>
        </w:rPr>
        <w:t>כ' שמסקנת הדרכ"מ</w:t>
      </w:r>
      <w:r w:rsidRPr="00351B7D">
        <w:rPr>
          <w:rFonts w:asciiTheme="minorBidi" w:hAnsiTheme="minorBidi"/>
          <w:sz w:val="16"/>
          <w:szCs w:val="16"/>
          <w:rtl/>
        </w:rPr>
        <w:t xml:space="preserve"> (הארוך)</w:t>
      </w:r>
      <w:r w:rsidRPr="00351B7D">
        <w:rPr>
          <w:rFonts w:asciiTheme="minorBidi" w:hAnsiTheme="minorBidi"/>
          <w:rtl/>
        </w:rPr>
        <w:t xml:space="preserve"> היא שגם ברכת שהשמחה במעונו אין לומר בכה"ג, כד' התוס' והמרדכי, ודלא כהר"ן.</w:t>
      </w:r>
    </w:p>
  </w:footnote>
  <w:footnote w:id="723">
    <w:p w14:paraId="7D85566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בתוך ז' ימים, ב"י (הביאו הח"מ [סקט"ז]).</w:t>
      </w:r>
    </w:p>
  </w:footnote>
  <w:footnote w:id="724">
    <w:p w14:paraId="7F50A60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אלו דברי הרא"ש וסיעתו, ואע"ג דלכאורה משמע שכל שיצאו מהחופה אין מברכים המהר"ל מפראג </w:t>
      </w:r>
      <w:r w:rsidRPr="00351B7D">
        <w:rPr>
          <w:rFonts w:asciiTheme="minorBidi" w:hAnsiTheme="minorBidi"/>
          <w:sz w:val="16"/>
          <w:szCs w:val="16"/>
          <w:rtl/>
        </w:rPr>
        <w:t xml:space="preserve">(הביאו הט"ז) </w:t>
      </w:r>
      <w:r w:rsidRPr="00351B7D">
        <w:rPr>
          <w:rFonts w:asciiTheme="minorBidi" w:hAnsiTheme="minorBidi"/>
          <w:rtl/>
        </w:rPr>
        <w:t xml:space="preserve">והט"ז </w:t>
      </w:r>
      <w:r w:rsidRPr="00351B7D">
        <w:rPr>
          <w:rFonts w:asciiTheme="minorBidi" w:hAnsiTheme="minorBidi"/>
          <w:sz w:val="16"/>
          <w:szCs w:val="16"/>
          <w:rtl/>
        </w:rPr>
        <w:t xml:space="preserve">(סק"ז) </w:t>
      </w:r>
      <w:r w:rsidRPr="00351B7D">
        <w:rPr>
          <w:rFonts w:asciiTheme="minorBidi" w:hAnsiTheme="minorBidi"/>
          <w:rtl/>
        </w:rPr>
        <w:t xml:space="preserve">ביארו אחרת את דברי הרא"ש וסיעתו, וזה תוכן דבריהם- דעת הרא"ש וסיעתו הוא דדוקא בסוכה שאין בה כלל שמחה אין מברכין משא"כ בהולך לשמוח עם כלתו בבית אחר אף שיחזור אח"כ לבית הראשון, מ"מ באותה שעה שהוא שמח בבית שני נקרא גם אותו הבית אז חופה </w:t>
      </w:r>
      <w:r w:rsidRPr="00351B7D">
        <w:rPr>
          <w:rFonts w:asciiTheme="minorBidi" w:hAnsiTheme="minorBidi"/>
          <w:sz w:val="16"/>
          <w:szCs w:val="16"/>
          <w:rtl/>
        </w:rPr>
        <w:t>(וכן יש לפרש את דברי המרדכי והגה"א בשם ריצב"א והטור, וכ"ש שכך יש לפרש את דברי הר"ן)</w:t>
      </w:r>
      <w:r w:rsidRPr="00351B7D">
        <w:rPr>
          <w:rFonts w:asciiTheme="minorBidi" w:hAnsiTheme="minorBidi"/>
          <w:rtl/>
        </w:rPr>
        <w:t xml:space="preserve">, וכבר ביארו התוס' המרדכי והרא"ש דעיקר בית החופה הוא מקום עיקר ישיבת חתן וכלה ושם מברכין כל שבעה ומשו"ה לא הוי שמחה בסוכה כמ"ש רש"י לעיל ששם בוש החתן מלשחק עם כלתו לפי שהסוכה פתוחה תמיד כל היום והכל רואין אותם משא"כ בבית המיוחד לו ולכלתו שיוכל לשחק עמה בעת שבני אדם פונים מאליו. והב"ש </w:t>
      </w:r>
      <w:r w:rsidRPr="00351B7D">
        <w:rPr>
          <w:rFonts w:asciiTheme="minorBidi" w:hAnsiTheme="minorBidi"/>
          <w:sz w:val="16"/>
          <w:szCs w:val="16"/>
          <w:rtl/>
        </w:rPr>
        <w:t xml:space="preserve">(סקי"ג) </w:t>
      </w:r>
      <w:r w:rsidRPr="00351B7D">
        <w:rPr>
          <w:rFonts w:asciiTheme="minorBidi" w:hAnsiTheme="minorBidi"/>
          <w:rtl/>
        </w:rPr>
        <w:t>סתם כדברי הט"ז.</w:t>
      </w:r>
    </w:p>
  </w:footnote>
  <w:footnote w:id="725">
    <w:p w14:paraId="53FF2BA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וסיים הטור- "וכן עמא דבר".</w:t>
      </w:r>
    </w:p>
  </w:footnote>
  <w:footnote w:id="726">
    <w:p w14:paraId="7F3A3A9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בתחילת הזימון, רש"י.</w:t>
      </w:r>
    </w:p>
  </w:footnote>
  <w:footnote w:id="727">
    <w:p w14:paraId="77E5E6E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לקרואין, רש"י.</w:t>
      </w:r>
    </w:p>
  </w:footnote>
  <w:footnote w:id="728">
    <w:p w14:paraId="49D718A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קראתי לכם הלום לסעודה, רש"י.</w:t>
      </w:r>
    </w:p>
  </w:footnote>
  <w:footnote w:id="729">
    <w:p w14:paraId="5BDACE6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אם אוכל עם בני ביתו אינו מברך, דרכ"מ (אות טז*, וכ' שכ"כ הר"ן [כתובות ג. דיבור ראשון]).</w:t>
      </w:r>
    </w:p>
  </w:footnote>
  <w:footnote w:id="730">
    <w:p w14:paraId="742D6E01"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קודם החופה אם הזמין קרואים ואמר להם מחמת שאני רוצה להכניס בני לחופה, רש"י.</w:t>
      </w:r>
    </w:p>
  </w:footnote>
  <w:footnote w:id="731">
    <w:p w14:paraId="0DE210B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הויא התחלת שמחת חופה לברך שהשמחה במעונו, רש"י.</w:t>
      </w:r>
    </w:p>
  </w:footnote>
  <w:footnote w:id="732">
    <w:p w14:paraId="34A88CD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יש שורין שעורים בעריבת מים להטיל שכר לצורך חופה וי"א לשם החתן והכלה זורעין שעורין בעציץ לומר פרו ורבו וצמחו כשעורים הללו, רש"י.</w:t>
      </w:r>
    </w:p>
  </w:footnote>
  <w:footnote w:id="733">
    <w:p w14:paraId="41308CD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מתוקנים היו לו כל צרכי חופה וסעודה, רש"י.</w:t>
      </w:r>
    </w:p>
  </w:footnote>
  <w:footnote w:id="734">
    <w:p w14:paraId="7E98FC4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במרדכי איתא 'השבת', וכ' הדרכ"מ (אות יח) דנראה דמיירי במקום שעושין החופה ביום ו', ולכן קאמר דאין לברך בסעודה שעושין קודם החופה, אבל כשהחופה ביום ד' או ביום ה' פשיטא שמברכין בסעודה שאחר החופה, וכן נוהגין.</w:t>
      </w:r>
      <w:r w:rsidRPr="00351B7D">
        <w:rPr>
          <w:rFonts w:asciiTheme="minorBidi" w:hAnsiTheme="minorBidi"/>
          <w:sz w:val="16"/>
          <w:szCs w:val="16"/>
          <w:rtl/>
        </w:rPr>
        <w:t xml:space="preserve"> (וכן מפורש במרדכי שם)</w:t>
      </w:r>
    </w:p>
  </w:footnote>
  <w:footnote w:id="735">
    <w:p w14:paraId="4E135BF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בשם ה"ר שמואל, כתובות סי' קלג, הביאו הדרכ"מ אות יח.</w:t>
      </w:r>
    </w:p>
  </w:footnote>
  <w:footnote w:id="736">
    <w:p w14:paraId="57BC6F8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הפסוק בישעיהו</w:t>
      </w:r>
      <w:r w:rsidRPr="00351B7D">
        <w:rPr>
          <w:rFonts w:asciiTheme="minorBidi" w:hAnsiTheme="minorBidi"/>
          <w:sz w:val="16"/>
          <w:szCs w:val="16"/>
          <w:rtl/>
        </w:rPr>
        <w:t xml:space="preserve"> (פכ"ד פי"א)</w:t>
      </w:r>
      <w:r w:rsidRPr="00351B7D">
        <w:rPr>
          <w:rFonts w:asciiTheme="minorBidi" w:hAnsiTheme="minorBidi"/>
          <w:rtl/>
        </w:rPr>
        <w:t>- צְוָחָ֥ה עַל־הַיַּ֖יִן בַּֽחוּצ֑וֹת עָֽרְבָה֙ כָּל־שִׂמְחָ֔ה גָּלָ֖ה מְשׂ֥וֹשׂ הָאָֽרֶץ. (ופירש הרד"ק- ערבה כל שמחה- חשכה כל שמחה כי השמחה ביין, כמו שאמרו יין ישמח לבב אנוש, וערבה מן ערב שהוא חשך, והשמחה אורה והפכה חשך)</w:t>
      </w:r>
    </w:p>
  </w:footnote>
  <w:footnote w:id="737">
    <w:p w14:paraId="73100CA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עשין מח קכו ע"א. הביאוהו הטור והב"י, וכ' הב"י שכך נהגו העולם.</w:t>
      </w:r>
    </w:p>
  </w:footnote>
  <w:footnote w:id="738">
    <w:p w14:paraId="49C21E6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פ"ה מברכות אות ג. הביאו הב"י (בבדה"ב) וכ' דאע"פ שמדבריו לא משמע שממעט אלא אחר שבעה משמע לי דמכל שכן לקודם שבעה וכן נהגו העולם שלא לומר שהשמחה במעונו אלא בשבעת ימי המשתה בלבד.</w:t>
      </w:r>
    </w:p>
  </w:footnote>
  <w:footnote w:id="739">
    <w:p w14:paraId="37148CF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(אות טז) דהאידנא נוהגים כדברי הרמב"ן. ועי' בהג"ה בסע' ז', ובח"מ שם.</w:t>
      </w:r>
    </w:p>
  </w:footnote>
  <w:footnote w:id="740">
    <w:p w14:paraId="2A70A0C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 וכפירוש הראשון ברש"י שם, גר"א (סקל"ב).</w:t>
      </w:r>
    </w:p>
  </w:footnote>
  <w:footnote w:id="741">
    <w:p w14:paraId="3DD4728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עד כאן אלו דברי הגמ' והסמ"ג, ומכאן אלו דברי הב"י בבדה"ב.</w:t>
      </w:r>
    </w:p>
  </w:footnote>
  <w:footnote w:id="742">
    <w:p w14:paraId="1A3A20B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וגם ברכת אשר ברא, ואפי' ליכא עשרה, טור. וכ' הב"ש (סקי"ז) דכן דעת הסמ"ג, וכ' עוד שמדברי השו"ע משמע שאין מברכין</w:t>
      </w:r>
      <w:r w:rsidRPr="00351B7D">
        <w:rPr>
          <w:rFonts w:asciiTheme="minorBidi" w:hAnsiTheme="minorBidi"/>
          <w:color w:val="000000"/>
          <w:rtl/>
        </w:rPr>
        <w:t xml:space="preserve"> אשר ברא.</w:t>
      </w:r>
      <w:r w:rsidRPr="00351B7D">
        <w:rPr>
          <w:rFonts w:asciiTheme="minorBidi" w:hAnsiTheme="minorBidi"/>
          <w:color w:val="FF0000"/>
          <w:rtl/>
        </w:rPr>
        <w:t xml:space="preserve"> (וצל"ע למה יש הכרח לומר כן בדברי השו"ע)</w:t>
      </w:r>
    </w:p>
  </w:footnote>
  <w:footnote w:id="743">
    <w:p w14:paraId="4305385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וע' בתשו' הרדב"ז </w:t>
      </w:r>
      <w:r w:rsidRPr="00351B7D">
        <w:rPr>
          <w:rFonts w:asciiTheme="minorBidi" w:hAnsiTheme="minorBidi"/>
          <w:color w:val="000000"/>
          <w:sz w:val="16"/>
          <w:szCs w:val="16"/>
          <w:rtl/>
        </w:rPr>
        <w:t xml:space="preserve">(ח"ג סי' תקס"ז, הביאו הפת"ש סקכ"א) </w:t>
      </w:r>
      <w:r w:rsidRPr="00351B7D">
        <w:rPr>
          <w:rFonts w:asciiTheme="minorBidi" w:hAnsiTheme="minorBidi"/>
          <w:rtl/>
        </w:rPr>
        <w:t>שהביא דבס' משפט שלום כתב בשם תשו' רבינו האי ז"ל דהמחזיר גרושתו אין מברכין לו ז' ברכות רק ברכת אירוסין לבד. וכ' עליו הרדב"ז שהוא מסופק אם כ"כ רבינו האי גאון ז"ל ולכן אין לסמוך ע"ז אלא מברכין לו ז"ב כמו באשה חדשה וכן מעשים בכל יום במצרים מזמן הנגידים הראשונים וכ"כ הרמב"ם ז"ל פ"י מהל' גירושין.</w:t>
      </w:r>
    </w:p>
  </w:footnote>
  <w:footnote w:id="744">
    <w:p w14:paraId="3A4F15C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פת"ש סק"כ.</w:t>
      </w:r>
    </w:p>
  </w:footnote>
  <w:footnote w:id="745">
    <w:p w14:paraId="07027724" w14:textId="77777777" w:rsidR="00DF1FC7" w:rsidRPr="00351B7D" w:rsidRDefault="00DF1FC7" w:rsidP="008E16D0">
      <w:pPr>
        <w:pStyle w:val="a5"/>
        <w:rPr>
          <w:rFonts w:asciiTheme="minorBidi" w:hAnsiTheme="minorBidi"/>
          <w:b/>
          <w:bCs/>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פנמ"א </w:t>
      </w:r>
      <w:r w:rsidRPr="00351B7D">
        <w:rPr>
          <w:rFonts w:asciiTheme="minorBidi" w:hAnsiTheme="minorBidi"/>
          <w:color w:val="000000"/>
          <w:sz w:val="16"/>
          <w:szCs w:val="16"/>
          <w:rtl/>
        </w:rPr>
        <w:t>(ח"ב סי' קכ"ד)</w:t>
      </w:r>
      <w:r w:rsidRPr="00351B7D">
        <w:rPr>
          <w:rFonts w:asciiTheme="minorBidi" w:hAnsiTheme="minorBidi"/>
          <w:color w:val="000000"/>
          <w:rtl/>
        </w:rPr>
        <w:t xml:space="preserve"> תשובה מאהבה </w:t>
      </w:r>
      <w:r w:rsidRPr="00351B7D">
        <w:rPr>
          <w:rFonts w:asciiTheme="minorBidi" w:hAnsiTheme="minorBidi"/>
          <w:color w:val="000000"/>
          <w:sz w:val="16"/>
          <w:szCs w:val="16"/>
          <w:rtl/>
        </w:rPr>
        <w:t>(ח"א סי' ס"ב)</w:t>
      </w:r>
      <w:r w:rsidRPr="00351B7D">
        <w:rPr>
          <w:rFonts w:asciiTheme="minorBidi" w:hAnsiTheme="minorBidi"/>
          <w:color w:val="000000"/>
          <w:rtl/>
        </w:rPr>
        <w:t xml:space="preserve"> ובני אהובה</w:t>
      </w:r>
      <w:r w:rsidRPr="00351B7D">
        <w:rPr>
          <w:rFonts w:asciiTheme="minorBidi" w:hAnsiTheme="minorBidi"/>
          <w:color w:val="000000"/>
          <w:sz w:val="16"/>
          <w:szCs w:val="16"/>
          <w:rtl/>
        </w:rPr>
        <w:t xml:space="preserve"> (פ"י מה' אישות)</w:t>
      </w:r>
      <w:r w:rsidRPr="00351B7D">
        <w:rPr>
          <w:rFonts w:asciiTheme="minorBidi" w:hAnsiTheme="minorBidi"/>
          <w:b/>
          <w:bCs/>
          <w:rtl/>
        </w:rPr>
        <w:t>.</w:t>
      </w:r>
    </w:p>
  </w:footnote>
  <w:footnote w:id="746">
    <w:p w14:paraId="04A1546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ובתשובה מאהבה (שם)</w:t>
      </w:r>
      <w:r w:rsidRPr="00351B7D">
        <w:rPr>
          <w:rFonts w:asciiTheme="minorBidi" w:hAnsiTheme="minorBidi"/>
          <w:color w:val="000000"/>
          <w:rtl/>
        </w:rPr>
        <w:t xml:space="preserve"> כ'- על גוף הסעודה שעושין לביאת מצוה מפקפק הרש"ל בריש כתובות, וכן נלע"ד שאין לעשות אז סעודה לאסוף אנשים ביתה ודי לעשות סעודה לאנשי ביתו אשר א"א להסתיר הטבילה מהם אבל להזמין אנשים על סעודה זו מידי הרהור לא יצאו כו' ע"ש. וכ' הפת"ש על דבריו- ולע"ד אין למחות במקום שנהגו כי בתשו' פנמ"א (שם) כ' דיש סמך למנהגן של ישראל לעשות סעודה כשהגיע לביאת מצוה מדברי הזוהר פ' תרומה דף קס"ח (ע"א) ע"ש.</w:t>
      </w:r>
    </w:p>
  </w:footnote>
  <w:footnote w:id="747">
    <w:p w14:paraId="3C2EDED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כתובות פ"ה סי' ו'</w:t>
      </w:r>
      <w:r w:rsidRPr="00351B7D">
        <w:rPr>
          <w:rFonts w:asciiTheme="minorBidi" w:hAnsiTheme="minorBidi"/>
          <w:rtl/>
        </w:rPr>
        <w:t>.</w:t>
      </w:r>
    </w:p>
  </w:footnote>
  <w:footnote w:id="748">
    <w:p w14:paraId="6D278A2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ועיי"ש שתיקנו כן לעניין גביית כתובה, כדי שתיהיה חיבת ביאה וחיבת חופה בהדדי.</w:t>
      </w:r>
      <w:r w:rsidRPr="00351B7D">
        <w:rPr>
          <w:rFonts w:asciiTheme="minorBidi" w:hAnsiTheme="minorBidi"/>
          <w:color w:val="000000"/>
          <w:rtl/>
        </w:rPr>
        <w:t xml:space="preserve"> ובספר בני אהובה (שם) הביא את דברי ההגה"א הנ"ל וכתב דאין לסמוך על זה דאפשר דתיקנו דלא יברכו אז בשעת חופה כ"א אחר כך אבל אם כבר ברכו בשעת חופה אין לחזור ולברך ועוד דזה תליא במה שנסתפקו הפוסקים אם יש כח ביד הגאונים לחדש ולתקן ברכה ולכך שב ואל תעשה עדיף ולא יהא אלא ספק ואמרינן ספק ברכות להקל.</w:t>
      </w:r>
    </w:p>
  </w:footnote>
  <w:footnote w:id="749">
    <w:p w14:paraId="20EC3F9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וכך מסקנת הב"ש (סקט"ז) דקודם החופ' בליל ה' או ביום ו' אין אומרים שהשמחה במעונו, ועיין בכל בו (סי' ע"ה).</w:t>
      </w:r>
    </w:p>
  </w:footnote>
  <w:footnote w:id="750">
    <w:p w14:paraId="2250E8C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חוץ ממהרי"ח </w:t>
      </w:r>
      <w:r w:rsidRPr="00351B7D">
        <w:rPr>
          <w:rFonts w:asciiTheme="minorBidi" w:hAnsiTheme="minorBidi"/>
          <w:sz w:val="16"/>
          <w:szCs w:val="16"/>
          <w:rtl/>
        </w:rPr>
        <w:t xml:space="preserve">(הובא בהגה"א) </w:t>
      </w:r>
      <w:r w:rsidRPr="00351B7D">
        <w:rPr>
          <w:rFonts w:asciiTheme="minorBidi" w:hAnsiTheme="minorBidi"/>
          <w:rtl/>
        </w:rPr>
        <w:t xml:space="preserve">והגה"א </w:t>
      </w:r>
      <w:r w:rsidRPr="00351B7D">
        <w:rPr>
          <w:rFonts w:asciiTheme="minorBidi" w:hAnsiTheme="minorBidi"/>
          <w:sz w:val="16"/>
          <w:szCs w:val="16"/>
          <w:rtl/>
        </w:rPr>
        <w:t xml:space="preserve">(כתובות פ"א סי' י הגהה ג') </w:t>
      </w:r>
      <w:r w:rsidRPr="00351B7D">
        <w:rPr>
          <w:rFonts w:asciiTheme="minorBidi" w:hAnsiTheme="minorBidi"/>
          <w:rtl/>
        </w:rPr>
        <w:t xml:space="preserve">דכתבו וז"ל- ולבי מהסס דלעיל </w:t>
      </w:r>
      <w:r w:rsidRPr="00351B7D">
        <w:rPr>
          <w:rFonts w:asciiTheme="minorBidi" w:hAnsiTheme="minorBidi"/>
          <w:sz w:val="16"/>
          <w:szCs w:val="16"/>
          <w:rtl/>
        </w:rPr>
        <w:t xml:space="preserve">(ו:) </w:t>
      </w:r>
      <w:r w:rsidRPr="00351B7D">
        <w:rPr>
          <w:rFonts w:asciiTheme="minorBidi" w:hAnsiTheme="minorBidi"/>
          <w:rtl/>
        </w:rPr>
        <w:t xml:space="preserve">מסיק טעמא משום דרוב בקיאים, א"כ השתא דאין בקיאים אסור, ותו דר"י פירש שם </w:t>
      </w:r>
      <w:r w:rsidRPr="00351B7D">
        <w:rPr>
          <w:rFonts w:asciiTheme="minorBidi" w:hAnsiTheme="minorBidi"/>
          <w:sz w:val="16"/>
          <w:szCs w:val="16"/>
          <w:rtl/>
        </w:rPr>
        <w:t xml:space="preserve">(תוד"ה לא כהללו, ד"ה אלא מעתה) </w:t>
      </w:r>
      <w:r w:rsidRPr="00351B7D">
        <w:rPr>
          <w:rFonts w:asciiTheme="minorBidi" w:hAnsiTheme="minorBidi"/>
          <w:rtl/>
        </w:rPr>
        <w:t>דהא דמותר שם איירי כשאין מכוין לבעול בעילת מצוה גמורה משמע דאי מכוין אסור ואמאי סמכינן השתא, עכ"ל. ועיין בדרישה (אות א) שהשיב על דבריהם.</w:t>
      </w:r>
    </w:p>
  </w:footnote>
  <w:footnote w:id="751">
    <w:p w14:paraId="14FE574F" w14:textId="77777777" w:rsidR="00DF1FC7" w:rsidRPr="00351B7D" w:rsidRDefault="00DF1FC7" w:rsidP="008E16D0">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היינו נערה </w:t>
      </w:r>
      <w:r w:rsidRPr="00351B7D">
        <w:rPr>
          <w:rFonts w:asciiTheme="minorBidi" w:hAnsiTheme="minorBidi"/>
          <w:sz w:val="16"/>
          <w:szCs w:val="16"/>
          <w:rtl/>
        </w:rPr>
        <w:t>(שהיא מ- י"ב שנים ויום א' עד י"ב וששה חודשים)</w:t>
      </w:r>
      <w:r w:rsidRPr="00351B7D">
        <w:rPr>
          <w:rFonts w:asciiTheme="minorBidi" w:hAnsiTheme="minorBidi"/>
          <w:rtl/>
        </w:rPr>
        <w:t xml:space="preserve">, אבל בוגרת </w:t>
      </w:r>
      <w:r w:rsidRPr="00351B7D">
        <w:rPr>
          <w:rFonts w:asciiTheme="minorBidi" w:hAnsiTheme="minorBidi"/>
          <w:sz w:val="16"/>
          <w:szCs w:val="16"/>
          <w:rtl/>
        </w:rPr>
        <w:t>(שהיא יותר מ-י"ב וששה חודשים)</w:t>
      </w:r>
      <w:r w:rsidRPr="00351B7D">
        <w:rPr>
          <w:rFonts w:asciiTheme="minorBidi" w:hAnsiTheme="minorBidi"/>
          <w:rtl/>
        </w:rPr>
        <w:t xml:space="preserve"> יתבאר דינה בגמ'.</w:t>
      </w:r>
    </w:p>
  </w:footnote>
  <w:footnote w:id="752">
    <w:p w14:paraId="7C683CB3"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גבי בוגרת גם ב"ה מסכימים שנותנים לה רק לילה ראשון, ולא כדסברי בנערה שנותנים לה ארבע לילות.</w:t>
      </w:r>
    </w:p>
  </w:footnote>
  <w:footnote w:id="753">
    <w:p w14:paraId="45ED9869" w14:textId="77777777" w:rsidR="00DF1FC7" w:rsidRPr="00351B7D" w:rsidRDefault="00DF1FC7" w:rsidP="008E16D0">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בין הגיע זמנה בין לא הגיע, רש"י.</w:t>
      </w:r>
    </w:p>
  </w:footnote>
  <w:footnote w:id="754">
    <w:p w14:paraId="46FCD7E0" w14:textId="77777777" w:rsidR="00DF1FC7" w:rsidRPr="00351B7D" w:rsidRDefault="00DF1FC7" w:rsidP="008E16D0">
      <w:pPr>
        <w:spacing w:after="0" w:line="240" w:lineRule="auto"/>
        <w:jc w:val="both"/>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שבעל לילה הראשון והלך בדרך מיד ושהה שלשה חדשים וחזר ובעל ומצא דם וכן פעם שניה ושלישית ובא לפני רבי ואמר דם בתולים הוא, רש"י.</w:t>
      </w:r>
    </w:p>
  </w:footnote>
  <w:footnote w:id="755">
    <w:p w14:paraId="6CF27D25"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בהאי פרקא ששמה תינוקת, רש"י</w:t>
      </w:r>
    </w:p>
  </w:footnote>
  <w:footnote w:id="756">
    <w:p w14:paraId="2DB7ED4D"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כמו ששועל מעלה מן החרישה שבשדה, שאינו מעלה משם אלא אבק ברגליו הכי נמי לא ילפינן מפרקא דמתני' מידי אלא מברייתא וכרבותינו דאמרי בועל בעילת מצוה ופורש.</w:t>
      </w:r>
    </w:p>
  </w:footnote>
  <w:footnote w:id="757">
    <w:p w14:paraId="04177C5E" w14:textId="77777777" w:rsidR="00DF1FC7" w:rsidRPr="00351B7D" w:rsidRDefault="00DF1FC7" w:rsidP="008E16D0">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אחר שאתה חושש לכל תינוקת משום נדה ואפילו לא הגיע זמנה לראות ולא ראתה א"כ כעין ודאי משוית לה ובעל נפש לא יגמור ביאתו אלא מכיון שדם שותת ויורד יפרוש ממנה, ב"י.</w:t>
      </w:r>
    </w:p>
  </w:footnote>
  <w:footnote w:id="758">
    <w:p w14:paraId="140ACA03"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ואפילו קודם השרת בתולים או שמא יפרוש לגמרי ולא יבעול כלל ונמצא בטל מפריה ורביה, ב"י.</w:t>
      </w:r>
    </w:p>
  </w:footnote>
  <w:footnote w:id="759">
    <w:p w14:paraId="7CF4A0D7"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שבועות ד ע"א. הרי"ף סתם דבריו וכ' גם את הדינים היוצאים מהמשנה וגם את דברי רב ושמואל ואת דברי עולא ואת הירוש', והב"י פירש דבריו כהרמב"ם.</w:t>
      </w:r>
    </w:p>
  </w:footnote>
  <w:footnote w:id="760">
    <w:p w14:paraId="4FCB4A72"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מהר"ם שלמקילים צריך להורות לבדוק בבדיקה זכה במוך ובצמר נקי.</w:t>
      </w:r>
    </w:p>
  </w:footnote>
  <w:footnote w:id="761">
    <w:p w14:paraId="44F3D872"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יש כאן תירוצים לב' דברים- א) למה להחמיר במכת הבתולים משאר מכה שתולין בה. ב) למה להחמיר שבכל מקרה בועל בעילת מצווה ופורש. (ולדעתי הרא"ש מתרץ רק את השאלה השניה) ועי' בס"ט ריש סק"א דמקשה על פירושי הרשב"א והרא"ש.</w:t>
      </w:r>
    </w:p>
  </w:footnote>
  <w:footnote w:id="762">
    <w:p w14:paraId="59C36FDE" w14:textId="77777777" w:rsidR="00DF1FC7" w:rsidRPr="00351B7D" w:rsidRDefault="00DF1FC7" w:rsidP="008E16D0">
      <w:pPr>
        <w:pStyle w:val="a5"/>
        <w:jc w:val="both"/>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דאז יבעל כמה בעילות ואז יצא לה דם נדה ויחשבו שזה דם בתולים (כך נ"ל פירוש דבריו).</w:t>
      </w:r>
    </w:p>
  </w:footnote>
  <w:footnote w:id="763">
    <w:p w14:paraId="39A78B6A"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רואה מח"ת שאם יש לה מכה תולין במכתה משא"כ בדם בתולים שאין תולין במכת הבתולים.</w:t>
      </w:r>
    </w:p>
  </w:footnote>
  <w:footnote w:id="764">
    <w:p w14:paraId="6B9C2D5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w:t>
      </w:r>
      <w:r w:rsidRPr="00351B7D">
        <w:rPr>
          <w:rFonts w:asciiTheme="minorBidi" w:hAnsiTheme="minorBidi"/>
          <w:sz w:val="16"/>
          <w:szCs w:val="16"/>
          <w:rtl/>
        </w:rPr>
        <w:t>(בשם הרא"ש והרשב"א)</w:t>
      </w:r>
      <w:r w:rsidRPr="00351B7D">
        <w:rPr>
          <w:rFonts w:asciiTheme="minorBidi" w:hAnsiTheme="minorBidi"/>
          <w:rtl/>
        </w:rPr>
        <w:t xml:space="preserve"> שהטעם שהחמירו גם בבוגרת שעברו בתוליה "משום דכיון דאיכא מקצת בוגרות שיש להן דם בתולים לא חילקו ביניהן וסתמו ואמרו בועל בעילת מצוה ופורש".</w:t>
      </w:r>
    </w:p>
  </w:footnote>
  <w:footnote w:id="765">
    <w:p w14:paraId="61840F30" w14:textId="77777777" w:rsidR="00DF1FC7" w:rsidRPr="00351B7D" w:rsidRDefault="00DF1FC7" w:rsidP="008E16D0">
      <w:pPr>
        <w:pStyle w:val="a5"/>
        <w:jc w:val="both"/>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בב"י שאין נראה כן מהרמב"ם, דהרמב"ם (אי"ב פ"ג ה"י-יא) לא בא אלא למימר שצריכה ז' נקיים כשאר נדה אבל לא נחית לפלוגי בינה לשאר נדה לענין פליטת שכ"ז.</w:t>
      </w:r>
    </w:p>
  </w:footnote>
  <w:footnote w:id="766">
    <w:p w14:paraId="2247814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באו"ח סי' ר"פ (סע' ב) כ'- ואין בו משום חובל ולא משום צער לה, ח"מ </w:t>
      </w:r>
      <w:r w:rsidRPr="00351B7D">
        <w:rPr>
          <w:rFonts w:asciiTheme="minorBidi" w:hAnsiTheme="minorBidi"/>
          <w:sz w:val="16"/>
          <w:szCs w:val="16"/>
          <w:rtl/>
        </w:rPr>
        <w:t>(סק"א)</w:t>
      </w:r>
      <w:r w:rsidRPr="00351B7D">
        <w:rPr>
          <w:rFonts w:asciiTheme="minorBidi" w:hAnsiTheme="minorBidi"/>
          <w:rtl/>
        </w:rPr>
        <w:t>. ואם היה לה חופה מבעו"י והיתה נדה תליא בפלוגתת הרמב"ם ושאר פוסקים, דלרמב"ם דלא מהני חופה אז אסורה לטבול בשבת, ולשאר פוסקים דמהני חופה מותרת לטבול בשבת אע"ג דהיא זוכה בתוספות כתובה, מ"מ הוא קנה כבר אותה ולגבי אשה לא שייך קנין, ויש תקנה אפילו להרמב"ם היכא שמודיע להחתן שהיא נדה, ע"פ ב"ש (סי' ס"ד סק"ה).</w:t>
      </w:r>
    </w:p>
  </w:footnote>
  <w:footnote w:id="767">
    <w:p w14:paraId="2C37364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הרמ"א (בסי' קצ"ג)- "ויש מקילין אם לא ראתה דם (הגה"מ בשם אכמ"ד), ונהגו להקל אם לא גמר ביאה רק הערה בה ולא ראתה דם, אבל אם בא עליה ביאה ממש צריך לפרוש ממנה אף על פי שלא ראתה דם (טור וב"י בשם רוב הפו'). ובעל נפש יחוש לעצמו שלא לשחוק בתינוקות".</w:t>
      </w:r>
    </w:p>
  </w:footnote>
  <w:footnote w:id="768">
    <w:p w14:paraId="5D2AA93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בח"מ (סק"ה) כ' שצ"ל 'למנות', וכן הוא ביו"ד סי' קצ"ג.</w:t>
      </w:r>
    </w:p>
  </w:footnote>
  <w:footnote w:id="769">
    <w:p w14:paraId="48ABB31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אא"כ "תקנח יפה יפה אותו מקום במוך או בבגד להפליט כל הזרע או תרחוץ במים חמין והם יפליטו כל הזרע" ואז תוכל להתחיל למנות מיד, שו"ע </w:t>
      </w:r>
      <w:r w:rsidRPr="00351B7D">
        <w:rPr>
          <w:rFonts w:asciiTheme="minorBidi" w:hAnsiTheme="minorBidi"/>
          <w:sz w:val="16"/>
          <w:szCs w:val="16"/>
          <w:rtl/>
        </w:rPr>
        <w:t>(יו"ד ס"ס קצ"ו)</w:t>
      </w:r>
      <w:r w:rsidRPr="00351B7D">
        <w:rPr>
          <w:rFonts w:asciiTheme="minorBidi" w:hAnsiTheme="minorBidi"/>
          <w:rtl/>
        </w:rPr>
        <w:t>. ועיי"ש דהרמ"א מחמיר בזה.</w:t>
      </w:r>
    </w:p>
  </w:footnote>
  <w:footnote w:id="770">
    <w:p w14:paraId="7E029E6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ביו"ד סי' קצ"ה סע' ה' פסק דאפילו לישב על מטתה המיוחד לה אפילו שלא בפניה אסור, ונקט כאן לישן לרבותא דסיפא דבכלה אפילו לישן מותר, ח"מ (סק"ו).</w:t>
      </w:r>
    </w:p>
  </w:footnote>
  <w:footnote w:id="771">
    <w:p w14:paraId="458474F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מהר"ל צונש </w:t>
      </w:r>
      <w:r w:rsidRPr="00351B7D">
        <w:rPr>
          <w:rFonts w:asciiTheme="minorBidi" w:hAnsiTheme="minorBidi"/>
          <w:sz w:val="16"/>
          <w:szCs w:val="16"/>
          <w:rtl/>
        </w:rPr>
        <w:t>(הביאו הב"ש)</w:t>
      </w:r>
      <w:r w:rsidRPr="00351B7D">
        <w:rPr>
          <w:rFonts w:asciiTheme="minorBidi" w:hAnsiTheme="minorBidi"/>
          <w:rtl/>
        </w:rPr>
        <w:t xml:space="preserve"> (ב"ש </w:t>
      </w:r>
      <w:r w:rsidRPr="00351B7D">
        <w:rPr>
          <w:rFonts w:asciiTheme="minorBidi" w:hAnsiTheme="minorBidi"/>
          <w:sz w:val="14"/>
          <w:szCs w:val="14"/>
          <w:rtl/>
        </w:rPr>
        <w:t>[סק"ג]</w:t>
      </w:r>
      <w:r w:rsidRPr="00351B7D">
        <w:rPr>
          <w:rFonts w:asciiTheme="minorBidi" w:hAnsiTheme="minorBidi"/>
          <w:sz w:val="16"/>
          <w:szCs w:val="16"/>
          <w:rtl/>
        </w:rPr>
        <w:t xml:space="preserve"> להב' הבאה"ט</w:t>
      </w:r>
      <w:r w:rsidRPr="00351B7D">
        <w:rPr>
          <w:rFonts w:asciiTheme="minorBidi" w:hAnsiTheme="minorBidi"/>
          <w:rtl/>
        </w:rPr>
        <w:t>) באה"ט</w:t>
      </w:r>
      <w:r w:rsidRPr="00351B7D">
        <w:rPr>
          <w:rFonts w:asciiTheme="minorBidi" w:hAnsiTheme="minorBidi"/>
          <w:sz w:val="16"/>
          <w:szCs w:val="16"/>
          <w:rtl/>
        </w:rPr>
        <w:t xml:space="preserve"> (סק"ב)</w:t>
      </w:r>
      <w:r w:rsidRPr="00351B7D">
        <w:rPr>
          <w:rFonts w:asciiTheme="minorBidi" w:hAnsiTheme="minorBidi"/>
          <w:rtl/>
        </w:rPr>
        <w:t>.</w:t>
      </w:r>
    </w:p>
  </w:footnote>
  <w:footnote w:id="772">
    <w:p w14:paraId="0589138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ואף למחמירים (ב"ש בשם מהר"ל צונש) דאמרי לא פלוג מ"מ נ"ל דאשה טהורה אינה יכולה לתלות כתם באותה שספרה ז"נ מחמת דם חימוד דלא גרע מבעלת כתם שאין תולין בה וצ"ע שלא הזכירו הפוסקים.</w:t>
      </w:r>
    </w:p>
  </w:footnote>
  <w:footnote w:id="773">
    <w:p w14:paraId="76BE36E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בה"ג </w:t>
      </w:r>
      <w:r w:rsidRPr="00351B7D">
        <w:rPr>
          <w:rFonts w:asciiTheme="minorBidi" w:hAnsiTheme="minorBidi"/>
          <w:sz w:val="16"/>
          <w:szCs w:val="16"/>
          <w:rtl/>
        </w:rPr>
        <w:t>(הל' כתובות סי' לו)</w:t>
      </w:r>
      <w:r w:rsidRPr="00351B7D">
        <w:rPr>
          <w:rFonts w:asciiTheme="minorBidi" w:hAnsiTheme="minorBidi"/>
          <w:rtl/>
        </w:rPr>
        <w:t xml:space="preserve"> רב עמרם גאון</w:t>
      </w:r>
      <w:r w:rsidRPr="00351B7D">
        <w:rPr>
          <w:rFonts w:asciiTheme="minorBidi" w:hAnsiTheme="minorBidi"/>
          <w:sz w:val="16"/>
          <w:szCs w:val="16"/>
          <w:rtl/>
        </w:rPr>
        <w:t xml:space="preserve"> (סוף סדר אירוסין ונישואין, מהד' הרפנס)</w:t>
      </w:r>
      <w:r w:rsidRPr="00351B7D">
        <w:rPr>
          <w:rFonts w:asciiTheme="minorBidi" w:hAnsiTheme="minorBidi"/>
          <w:rtl/>
        </w:rPr>
        <w:t xml:space="preserve"> ורב אחאי גאון</w:t>
      </w:r>
      <w:r w:rsidRPr="00351B7D">
        <w:rPr>
          <w:rFonts w:asciiTheme="minorBidi" w:hAnsiTheme="minorBidi"/>
          <w:sz w:val="16"/>
          <w:szCs w:val="16"/>
          <w:rtl/>
        </w:rPr>
        <w:t xml:space="preserve"> (כ"כ בשמו האו"ז הל' נדה ח"א סי' שמא)</w:t>
      </w:r>
      <w:r w:rsidRPr="00351B7D">
        <w:rPr>
          <w:rFonts w:asciiTheme="minorBidi" w:hAnsiTheme="minorBidi"/>
          <w:rtl/>
        </w:rPr>
        <w:t>.</w:t>
      </w:r>
    </w:p>
  </w:footnote>
  <w:footnote w:id="774">
    <w:p w14:paraId="7A4CD2C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הרוקח </w:t>
      </w:r>
      <w:r w:rsidRPr="00351B7D">
        <w:rPr>
          <w:rFonts w:asciiTheme="minorBidi" w:hAnsiTheme="minorBidi"/>
          <w:sz w:val="16"/>
          <w:szCs w:val="16"/>
          <w:rtl/>
        </w:rPr>
        <w:t xml:space="preserve">(הל' נישואין ואירוסין סי' שנב) </w:t>
      </w:r>
      <w:r w:rsidRPr="00351B7D">
        <w:rPr>
          <w:rFonts w:asciiTheme="minorBidi" w:hAnsiTheme="minorBidi"/>
          <w:rtl/>
        </w:rPr>
        <w:t>כ' דהא "מחייב לברוכי" היינו דמחייב לברך בפה"ג. אך האו"ז כ' בשם רב אחאי גאון וז"ל- ובתר דמפיק סדר בתולין מחייבין לברך ברוך א"י אמ"ה אשר צג אגוז וכו'. עכ"ל. ז"א דהא "מחייב לברוכי" קאי אברכת בתולים.</w:t>
      </w:r>
    </w:p>
  </w:footnote>
  <w:footnote w:id="775">
    <w:p w14:paraId="703EB8D7"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רש"י </w:t>
      </w:r>
      <w:r w:rsidRPr="00351B7D">
        <w:rPr>
          <w:rFonts w:asciiTheme="minorBidi" w:hAnsiTheme="minorBidi"/>
          <w:sz w:val="16"/>
          <w:szCs w:val="16"/>
          <w:rtl/>
        </w:rPr>
        <w:t>(בספר האורה ח"ב סוף אות ב, וכ"כ במחזור ויטרי</w:t>
      </w:r>
      <w:r w:rsidRPr="00351B7D">
        <w:rPr>
          <w:rFonts w:asciiTheme="minorBidi" w:hAnsiTheme="minorBidi"/>
          <w:sz w:val="10"/>
          <w:szCs w:val="10"/>
          <w:rtl/>
        </w:rPr>
        <w:t xml:space="preserve"> </w:t>
      </w:r>
      <w:r w:rsidRPr="00351B7D">
        <w:rPr>
          <w:rFonts w:asciiTheme="minorBidi" w:hAnsiTheme="minorBidi"/>
          <w:sz w:val="16"/>
          <w:szCs w:val="16"/>
          <w:rtl/>
        </w:rPr>
        <w:t>סי' תסו)</w:t>
      </w:r>
      <w:r w:rsidRPr="00351B7D">
        <w:rPr>
          <w:rFonts w:asciiTheme="minorBidi" w:hAnsiTheme="minorBidi"/>
          <w:rtl/>
        </w:rPr>
        <w:t xml:space="preserve"> א"ח </w:t>
      </w:r>
      <w:r w:rsidRPr="00351B7D">
        <w:rPr>
          <w:rFonts w:asciiTheme="minorBidi" w:hAnsiTheme="minorBidi"/>
          <w:sz w:val="16"/>
          <w:szCs w:val="16"/>
          <w:rtl/>
        </w:rPr>
        <w:t>(הל' נדה אות ח, ובכלבו סי' פ"ה)</w:t>
      </w:r>
      <w:r w:rsidRPr="00351B7D">
        <w:rPr>
          <w:rFonts w:asciiTheme="minorBidi" w:hAnsiTheme="minorBidi"/>
          <w:rtl/>
        </w:rPr>
        <w:t xml:space="preserve"> ואבודרהם</w:t>
      </w:r>
      <w:r w:rsidRPr="00351B7D">
        <w:rPr>
          <w:rFonts w:asciiTheme="minorBidi" w:hAnsiTheme="minorBidi"/>
          <w:sz w:val="16"/>
          <w:szCs w:val="16"/>
          <w:rtl/>
        </w:rPr>
        <w:t xml:space="preserve"> (סוף ברכת אירוסין ונישואין)</w:t>
      </w:r>
      <w:r w:rsidRPr="00351B7D">
        <w:rPr>
          <w:rFonts w:asciiTheme="minorBidi" w:hAnsiTheme="minorBidi"/>
          <w:rtl/>
        </w:rPr>
        <w:t>.</w:t>
      </w:r>
    </w:p>
  </w:footnote>
  <w:footnote w:id="776">
    <w:p w14:paraId="3145F1E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(ברא' ל, לח) ויצג את המקלות כלומר נטע, אבודרהם.</w:t>
      </w:r>
    </w:p>
  </w:footnote>
  <w:footnote w:id="777">
    <w:p w14:paraId="635D6CF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על שם (שה"ש ו, יא) אל גנת אגוז ירדתי שאמר הקדוש ברוך הוא שנקרא חתן על כנסת ישראל שנקראת כלה. ועל הרבה דברים נמשלה כלה לאגוז, אבודרהם.</w:t>
      </w:r>
    </w:p>
  </w:footnote>
  <w:footnote w:id="778">
    <w:p w14:paraId="12299E2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ע"ש גל נעול מעין חתום, אבודרהם.</w:t>
      </w:r>
    </w:p>
  </w:footnote>
  <w:footnote w:id="779">
    <w:p w14:paraId="61A57CB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בספר ליקוטי הפרדס מרש"י (דף א ע"ב) הגירסא- ויעלת חן דדיה ירווך בכל עת באהבתה תשגה תמיד וזרע קדושים תן לה בשמחה ובטהרה חוק לא הופרה... </w:t>
      </w:r>
    </w:p>
  </w:footnote>
  <w:footnote w:id="780">
    <w:p w14:paraId="24AE289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שמרה בתוליה על דרך (בראשית כד, טז) בתולה ואיש לא ידעה, אבודרהם.</w:t>
      </w:r>
    </w:p>
  </w:footnote>
  <w:footnote w:id="781">
    <w:p w14:paraId="4857CD7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חק זרע אברהם הקדושים לא הפרה, אבודרהם.</w:t>
      </w:r>
    </w:p>
  </w:footnote>
  <w:footnote w:id="782">
    <w:p w14:paraId="6B73542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שו"ת הרמב"ם סי' ר"ז, וכ"כ בשו"ת בהל' ק"ש [פ"א ה"ז].</w:t>
      </w:r>
    </w:p>
  </w:footnote>
  <w:footnote w:id="783">
    <w:p w14:paraId="4270664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מהרש"ל </w:t>
      </w:r>
      <w:r w:rsidRPr="00351B7D">
        <w:rPr>
          <w:rFonts w:asciiTheme="minorBidi" w:hAnsiTheme="minorBidi"/>
          <w:sz w:val="16"/>
          <w:szCs w:val="16"/>
          <w:rtl/>
        </w:rPr>
        <w:t>(ביש"ש כתובות פ"א אות כג)</w:t>
      </w:r>
      <w:r w:rsidRPr="00351B7D">
        <w:rPr>
          <w:rFonts w:asciiTheme="minorBidi" w:hAnsiTheme="minorBidi"/>
          <w:rtl/>
        </w:rPr>
        <w:t xml:space="preserve"> ב"ח</w:t>
      </w:r>
      <w:r w:rsidRPr="00351B7D">
        <w:rPr>
          <w:rFonts w:asciiTheme="minorBidi" w:hAnsiTheme="minorBidi"/>
          <w:sz w:val="16"/>
          <w:szCs w:val="16"/>
          <w:rtl/>
        </w:rPr>
        <w:t xml:space="preserve"> (אות א)</w:t>
      </w:r>
      <w:r w:rsidRPr="00351B7D">
        <w:rPr>
          <w:rFonts w:asciiTheme="minorBidi" w:hAnsiTheme="minorBidi"/>
          <w:rtl/>
        </w:rPr>
        <w:t xml:space="preserve"> והחיד"א </w:t>
      </w:r>
      <w:r w:rsidRPr="00351B7D">
        <w:rPr>
          <w:rFonts w:asciiTheme="minorBidi" w:hAnsiTheme="minorBidi"/>
          <w:sz w:val="16"/>
          <w:szCs w:val="16"/>
          <w:rtl/>
        </w:rPr>
        <w:t>(מחזיק ברכה סי' רכ"ג סק"ה)</w:t>
      </w:r>
      <w:r w:rsidRPr="00351B7D">
        <w:rPr>
          <w:rFonts w:asciiTheme="minorBidi" w:hAnsiTheme="minorBidi"/>
          <w:rtl/>
        </w:rPr>
        <w:t>.</w:t>
      </w:r>
    </w:p>
  </w:footnote>
  <w:footnote w:id="784">
    <w:p w14:paraId="6D0FE92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הגאונים אמרוה ואפשר שיצא להם זה ממהדורא קמא דרב אשי וסברי דלא הדר מינה אעפ"י שלא נזכר בגמרא דידן, רמ"ע </w:t>
      </w:r>
      <w:r w:rsidRPr="00351B7D">
        <w:rPr>
          <w:rFonts w:asciiTheme="minorBidi" w:hAnsiTheme="minorBidi"/>
          <w:sz w:val="16"/>
          <w:szCs w:val="16"/>
          <w:rtl/>
        </w:rPr>
        <w:t>(הובא בגור אריה)</w:t>
      </w:r>
      <w:r w:rsidRPr="00351B7D">
        <w:rPr>
          <w:rFonts w:asciiTheme="minorBidi" w:hAnsiTheme="minorBidi"/>
          <w:rtl/>
        </w:rPr>
        <w:t>.</w:t>
      </w:r>
    </w:p>
  </w:footnote>
  <w:footnote w:id="785">
    <w:p w14:paraId="1671AFE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וכבר האריכו בזה בדרישה </w:t>
      </w:r>
      <w:r w:rsidRPr="00351B7D">
        <w:rPr>
          <w:rFonts w:asciiTheme="minorBidi" w:hAnsiTheme="minorBidi"/>
          <w:sz w:val="16"/>
          <w:szCs w:val="16"/>
          <w:rtl/>
        </w:rPr>
        <w:t xml:space="preserve">(אות ב) </w:t>
      </w:r>
      <w:r w:rsidRPr="00351B7D">
        <w:rPr>
          <w:rFonts w:asciiTheme="minorBidi" w:hAnsiTheme="minorBidi"/>
          <w:rtl/>
        </w:rPr>
        <w:t xml:space="preserve">ב"ח </w:t>
      </w:r>
      <w:r w:rsidRPr="00351B7D">
        <w:rPr>
          <w:rFonts w:asciiTheme="minorBidi" w:hAnsiTheme="minorBidi"/>
          <w:sz w:val="16"/>
          <w:szCs w:val="16"/>
          <w:rtl/>
        </w:rPr>
        <w:t>(אות א' בקו"א)</w:t>
      </w:r>
      <w:r w:rsidRPr="00351B7D">
        <w:rPr>
          <w:rFonts w:asciiTheme="minorBidi" w:hAnsiTheme="minorBidi"/>
          <w:rtl/>
        </w:rPr>
        <w:t xml:space="preserve"> רמ"ע </w:t>
      </w:r>
      <w:r w:rsidRPr="00351B7D">
        <w:rPr>
          <w:rFonts w:asciiTheme="minorBidi" w:hAnsiTheme="minorBidi"/>
          <w:sz w:val="16"/>
          <w:szCs w:val="16"/>
          <w:rtl/>
        </w:rPr>
        <w:t>(הובא בגור אריה)</w:t>
      </w:r>
      <w:r w:rsidRPr="00351B7D">
        <w:rPr>
          <w:rFonts w:asciiTheme="minorBidi" w:hAnsiTheme="minorBidi"/>
          <w:rtl/>
        </w:rPr>
        <w:t xml:space="preserve"> ט"ז </w:t>
      </w:r>
      <w:r w:rsidRPr="00351B7D">
        <w:rPr>
          <w:rFonts w:asciiTheme="minorBidi" w:hAnsiTheme="minorBidi"/>
          <w:sz w:val="16"/>
          <w:szCs w:val="16"/>
          <w:rtl/>
        </w:rPr>
        <w:t>(סק"ב)</w:t>
      </w:r>
      <w:r w:rsidRPr="00351B7D">
        <w:rPr>
          <w:rFonts w:asciiTheme="minorBidi" w:hAnsiTheme="minorBidi"/>
          <w:rtl/>
        </w:rPr>
        <w:t xml:space="preserve"> ח"מ </w:t>
      </w:r>
      <w:r w:rsidRPr="00351B7D">
        <w:rPr>
          <w:rFonts w:asciiTheme="minorBidi" w:hAnsiTheme="minorBidi"/>
          <w:sz w:val="16"/>
          <w:szCs w:val="16"/>
          <w:rtl/>
        </w:rPr>
        <w:t>(סק"ח)</w:t>
      </w:r>
      <w:r w:rsidRPr="00351B7D">
        <w:rPr>
          <w:rFonts w:asciiTheme="minorBidi" w:hAnsiTheme="minorBidi"/>
          <w:rtl/>
        </w:rPr>
        <w:t xml:space="preserve"> וב"ש </w:t>
      </w:r>
      <w:r w:rsidRPr="00351B7D">
        <w:rPr>
          <w:rFonts w:asciiTheme="minorBidi" w:hAnsiTheme="minorBidi"/>
          <w:sz w:val="16"/>
          <w:szCs w:val="16"/>
          <w:rtl/>
        </w:rPr>
        <w:t>(סק"ד)</w:t>
      </w:r>
      <w:r w:rsidRPr="00351B7D">
        <w:rPr>
          <w:rFonts w:asciiTheme="minorBidi" w:hAnsiTheme="minorBidi"/>
          <w:rtl/>
        </w:rPr>
        <w:t xml:space="preserve"> והשיגו על רי"ו.</w:t>
      </w:r>
    </w:p>
  </w:footnote>
  <w:footnote w:id="786">
    <w:p w14:paraId="2276064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הוא בר"ן שלפנינו, אבל הב"י לא כ' תיבות אלו </w:t>
      </w:r>
      <w:r w:rsidRPr="00351B7D">
        <w:rPr>
          <w:rFonts w:asciiTheme="minorBidi" w:hAnsiTheme="minorBidi"/>
          <w:sz w:val="14"/>
          <w:szCs w:val="14"/>
          <w:rtl/>
        </w:rPr>
        <w:t>("וכ"כ הרא"ש")</w:t>
      </w:r>
      <w:r w:rsidRPr="00351B7D">
        <w:rPr>
          <w:rFonts w:asciiTheme="minorBidi" w:hAnsiTheme="minorBidi"/>
          <w:rtl/>
        </w:rPr>
        <w:t xml:space="preserve"> כשהביא את דברי הר"ן, ואפשר דליתא להני תיבות בגירסתו בר"ן.</w:t>
      </w:r>
    </w:p>
  </w:footnote>
  <w:footnote w:id="787">
    <w:p w14:paraId="24DB0DE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היא גי' הרשב"א </w:t>
      </w:r>
      <w:r w:rsidRPr="00351B7D">
        <w:rPr>
          <w:rFonts w:asciiTheme="minorBidi" w:hAnsiTheme="minorBidi"/>
          <w:sz w:val="16"/>
          <w:szCs w:val="16"/>
          <w:rtl/>
        </w:rPr>
        <w:t>(כתובות ה. ד"ה שאם אתה)</w:t>
      </w:r>
      <w:r w:rsidRPr="00351B7D">
        <w:rPr>
          <w:rFonts w:asciiTheme="minorBidi" w:hAnsiTheme="minorBidi"/>
          <w:rtl/>
        </w:rPr>
        <w:t xml:space="preserve"> הר"ן </w:t>
      </w:r>
      <w:r w:rsidRPr="00351B7D">
        <w:rPr>
          <w:rFonts w:asciiTheme="minorBidi" w:hAnsiTheme="minorBidi"/>
          <w:sz w:val="16"/>
          <w:szCs w:val="16"/>
          <w:rtl/>
        </w:rPr>
        <w:t>(כתובות ב. דיבור ראשון)</w:t>
      </w:r>
      <w:r w:rsidRPr="00351B7D">
        <w:rPr>
          <w:rFonts w:asciiTheme="minorBidi" w:hAnsiTheme="minorBidi"/>
          <w:rtl/>
        </w:rPr>
        <w:t xml:space="preserve"> והה"מ</w:t>
      </w:r>
      <w:r w:rsidRPr="00351B7D">
        <w:rPr>
          <w:rFonts w:asciiTheme="minorBidi" w:hAnsiTheme="minorBidi"/>
          <w:sz w:val="16"/>
          <w:szCs w:val="16"/>
          <w:rtl/>
        </w:rPr>
        <w:t xml:space="preserve"> (אישות פ"י הי"ב)</w:t>
      </w:r>
      <w:r w:rsidRPr="00351B7D">
        <w:rPr>
          <w:rFonts w:asciiTheme="minorBidi" w:hAnsiTheme="minorBidi"/>
          <w:rtl/>
        </w:rPr>
        <w:t xml:space="preserve">, אבל בגי' שלפנינו ליכא תוספת זו. </w:t>
      </w:r>
    </w:p>
  </w:footnote>
  <w:footnote w:id="788">
    <w:p w14:paraId="02B167C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וממנה לשבעה של בתולה שהן אסורין במלאכה ומלישא וליתן, רשב"א </w:t>
      </w:r>
      <w:r w:rsidRPr="00351B7D">
        <w:rPr>
          <w:rFonts w:asciiTheme="minorBidi" w:hAnsiTheme="minorBidi"/>
          <w:sz w:val="16"/>
          <w:szCs w:val="16"/>
          <w:rtl/>
        </w:rPr>
        <w:t xml:space="preserve">(כתובות ה. ד"ה שאם אתה) </w:t>
      </w:r>
      <w:r w:rsidRPr="00351B7D">
        <w:rPr>
          <w:rFonts w:asciiTheme="minorBidi" w:hAnsiTheme="minorBidi"/>
          <w:rtl/>
        </w:rPr>
        <w:t xml:space="preserve">ור"ן </w:t>
      </w:r>
      <w:r w:rsidRPr="00351B7D">
        <w:rPr>
          <w:rFonts w:asciiTheme="minorBidi" w:hAnsiTheme="minorBidi"/>
          <w:sz w:val="16"/>
          <w:szCs w:val="16"/>
          <w:rtl/>
        </w:rPr>
        <w:t>(כתובות ב. דיבור ראשון)</w:t>
      </w:r>
      <w:r w:rsidRPr="00351B7D">
        <w:rPr>
          <w:rFonts w:asciiTheme="minorBidi" w:hAnsiTheme="minorBidi"/>
          <w:rtl/>
        </w:rPr>
        <w:t>.</w:t>
      </w:r>
    </w:p>
  </w:footnote>
  <w:footnote w:id="789">
    <w:p w14:paraId="6AE6353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אם היא בתולה אמרו חז"ל אפילו אם הוא בחור צריך לשמוח אותה ז' ימים ומכ"ש אם הוא אלמון דאז צריך לשמוח אותה יותר, אבל אם היא אלמנה אז יש לחלק בין ברכה לשמחה, דברכה בא על שמחת לבו של החתן לכן אפילו אלמנה שנשאת לבחור מברכים כל ז' ימים דהוא משמח את עצמו, אבל שמחה היינו ביטול מלאכה תקנו משום תקנות דידה, מ"ה אלמנה דא"צ פיתוי כ"כ סגי לה בביטול מלאכה ג' ימים, כ"כ הר"ן, ב"ש (סק"א).</w:t>
      </w:r>
    </w:p>
  </w:footnote>
  <w:footnote w:id="790">
    <w:p w14:paraId="1C94AAF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ועיין לקמן בסמוך כמה סברות מדוע כתב הרמ"א דין זה אע"פ שלכאורה כבר כתבו השו"ע.</w:t>
      </w:r>
    </w:p>
  </w:footnote>
  <w:footnote w:id="791">
    <w:p w14:paraId="0E6ECB3A"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כתב בפרישה מזה נשתרבב המנהג שאינו יוצא החתן לב"ה כל שבעה ימים כי אין בנמצא שילווהו אותו מביתו לב"ה ומב"ה לביתו, ב"ש (סק"ב).</w:t>
      </w:r>
    </w:p>
  </w:footnote>
  <w:footnote w:id="792">
    <w:p w14:paraId="4B77243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(רשב"א </w:t>
      </w:r>
      <w:r w:rsidRPr="00351B7D">
        <w:rPr>
          <w:rFonts w:asciiTheme="minorBidi" w:hAnsiTheme="minorBidi"/>
          <w:sz w:val="16"/>
          <w:szCs w:val="16"/>
          <w:rtl/>
        </w:rPr>
        <w:t>(ז. ד"ה ויש)</w:t>
      </w:r>
      <w:r w:rsidRPr="00351B7D">
        <w:rPr>
          <w:rFonts w:asciiTheme="minorBidi" w:hAnsiTheme="minorBidi"/>
          <w:rtl/>
        </w:rPr>
        <w:t xml:space="preserve"> י"א</w:t>
      </w:r>
      <w:r w:rsidRPr="00351B7D">
        <w:rPr>
          <w:rFonts w:asciiTheme="minorBidi" w:hAnsiTheme="minorBidi"/>
          <w:sz w:val="16"/>
          <w:szCs w:val="16"/>
          <w:rtl/>
        </w:rPr>
        <w:t xml:space="preserve"> (הביאם הר"ן</w:t>
      </w:r>
      <w:r w:rsidRPr="00351B7D">
        <w:rPr>
          <w:rFonts w:asciiTheme="minorBidi" w:hAnsiTheme="minorBidi"/>
          <w:sz w:val="14"/>
          <w:szCs w:val="14"/>
          <w:rtl/>
        </w:rPr>
        <w:t xml:space="preserve"> [ב. ד"ה אחת]</w:t>
      </w:r>
      <w:r w:rsidRPr="00351B7D">
        <w:rPr>
          <w:rFonts w:asciiTheme="minorBidi" w:hAnsiTheme="minorBidi"/>
          <w:sz w:val="16"/>
          <w:szCs w:val="16"/>
          <w:rtl/>
        </w:rPr>
        <w:t>)</w:t>
      </w:r>
      <w:r w:rsidRPr="00351B7D">
        <w:rPr>
          <w:rFonts w:asciiTheme="minorBidi" w:hAnsiTheme="minorBidi"/>
          <w:rtl/>
        </w:rPr>
        <w:t xml:space="preserve"> ר"ן</w:t>
      </w:r>
      <w:r w:rsidRPr="00351B7D">
        <w:rPr>
          <w:rFonts w:asciiTheme="minorBidi" w:hAnsiTheme="minorBidi"/>
          <w:sz w:val="16"/>
          <w:szCs w:val="16"/>
          <w:rtl/>
        </w:rPr>
        <w:t xml:space="preserve"> להב' הב"ש </w:t>
      </w:r>
      <w:r w:rsidRPr="00351B7D">
        <w:rPr>
          <w:rFonts w:asciiTheme="minorBidi" w:hAnsiTheme="minorBidi"/>
          <w:sz w:val="14"/>
          <w:szCs w:val="14"/>
          <w:rtl/>
        </w:rPr>
        <w:t>[סק"א]</w:t>
      </w:r>
      <w:r w:rsidRPr="00351B7D">
        <w:rPr>
          <w:rFonts w:asciiTheme="minorBidi" w:hAnsiTheme="minorBidi"/>
          <w:rtl/>
        </w:rPr>
        <w:t>) (רמ"א</w:t>
      </w:r>
      <w:r w:rsidRPr="00351B7D">
        <w:rPr>
          <w:rFonts w:asciiTheme="minorBidi" w:hAnsiTheme="minorBidi"/>
          <w:sz w:val="16"/>
          <w:szCs w:val="16"/>
          <w:rtl/>
        </w:rPr>
        <w:t xml:space="preserve"> להב' הב"ש </w:t>
      </w:r>
      <w:r w:rsidRPr="00351B7D">
        <w:rPr>
          <w:rFonts w:asciiTheme="minorBidi" w:hAnsiTheme="minorBidi"/>
          <w:sz w:val="14"/>
          <w:szCs w:val="14"/>
          <w:rtl/>
        </w:rPr>
        <w:t>[סק"ב]</w:t>
      </w:r>
      <w:r w:rsidRPr="00351B7D">
        <w:rPr>
          <w:rFonts w:asciiTheme="minorBidi" w:hAnsiTheme="minorBidi"/>
          <w:sz w:val="16"/>
          <w:szCs w:val="16"/>
          <w:rtl/>
        </w:rPr>
        <w:t xml:space="preserve"> והמקנה</w:t>
      </w:r>
      <w:r w:rsidRPr="00351B7D">
        <w:rPr>
          <w:rFonts w:asciiTheme="minorBidi" w:hAnsiTheme="minorBidi"/>
          <w:rtl/>
        </w:rPr>
        <w:t>)</w:t>
      </w:r>
      <w:r w:rsidRPr="00351B7D">
        <w:rPr>
          <w:rStyle w:val="ac"/>
          <w:rFonts w:asciiTheme="minorBidi" w:hAnsiTheme="minorBidi"/>
          <w:rtl/>
        </w:rPr>
        <w:t xml:space="preserve"> והמקנה </w:t>
      </w:r>
      <w:r w:rsidRPr="00351B7D">
        <w:rPr>
          <w:rFonts w:asciiTheme="minorBidi" w:hAnsiTheme="minorBidi"/>
          <w:sz w:val="16"/>
          <w:szCs w:val="16"/>
          <w:rtl/>
        </w:rPr>
        <w:t>(קו"א, הובא בפת"ש סק"ג)</w:t>
      </w:r>
      <w:r w:rsidRPr="00351B7D">
        <w:rPr>
          <w:rFonts w:asciiTheme="minorBidi" w:hAnsiTheme="minorBidi"/>
          <w:rtl/>
        </w:rPr>
        <w:t>.</w:t>
      </w:r>
    </w:p>
  </w:footnote>
  <w:footnote w:id="793">
    <w:p w14:paraId="34B5625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דצריך לשמוח ז' ימים הואיל דמברכים ז' ימים, ואינו בדין שילך הוא למלאכתו והם יברכו בשבילו, וכ"מ מד' הרמ"א מתוך שחזר וכתב דין זה, וכן ממש"כ "אסור", ב"ש. וכ' המקנה דכשנשא בתולה- מיקרי חתן, ואז הוא אסור מצד עצמו במלאכה ולכן לא מהני מחילתה, אבל בסעיף ב' גבי נושא בעולה שפיר כתב דמהני מחילה משום דלא מקרי חתן לענין זה לאסור במלאכה מצד עצמו. </w:t>
      </w:r>
      <w:r w:rsidRPr="00351B7D">
        <w:rPr>
          <w:rFonts w:asciiTheme="minorBidi" w:hAnsiTheme="minorBidi"/>
          <w:sz w:val="16"/>
          <w:szCs w:val="16"/>
          <w:rtl/>
        </w:rPr>
        <w:t>(וכ' עוד המקנה- ומיהו באלמון שנשא בתולה יש להסתפק אם האיסור מצד עצמו ובש"ס משמע דאסור מצד עצמו)</w:t>
      </w:r>
      <w:r w:rsidRPr="00351B7D">
        <w:rPr>
          <w:rFonts w:asciiTheme="minorBidi" w:hAnsiTheme="minorBidi"/>
          <w:rtl/>
        </w:rPr>
        <w:t>.</w:t>
      </w:r>
    </w:p>
  </w:footnote>
  <w:footnote w:id="794">
    <w:p w14:paraId="2D8B8AD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מהריט"ץ </w:t>
      </w:r>
      <w:r w:rsidRPr="00351B7D">
        <w:rPr>
          <w:rFonts w:asciiTheme="minorBidi" w:hAnsiTheme="minorBidi"/>
          <w:color w:val="000000"/>
          <w:sz w:val="16"/>
          <w:szCs w:val="16"/>
          <w:rtl/>
        </w:rPr>
        <w:t>(סי' קע"ח, הביאו הכרם שלמה [כאן])</w:t>
      </w:r>
      <w:r w:rsidRPr="00351B7D">
        <w:rPr>
          <w:rFonts w:asciiTheme="minorBidi" w:hAnsiTheme="minorBidi"/>
          <w:color w:val="000000"/>
          <w:rtl/>
        </w:rPr>
        <w:t xml:space="preserve"> ופרח מטה אהרן </w:t>
      </w:r>
      <w:r w:rsidRPr="00351B7D">
        <w:rPr>
          <w:rFonts w:asciiTheme="minorBidi" w:hAnsiTheme="minorBidi"/>
          <w:color w:val="000000"/>
          <w:sz w:val="16"/>
          <w:szCs w:val="16"/>
          <w:rtl/>
        </w:rPr>
        <w:t>(ח"ב ס"ס ס"ה)</w:t>
      </w:r>
      <w:r w:rsidRPr="00351B7D">
        <w:rPr>
          <w:rFonts w:asciiTheme="minorBidi" w:hAnsiTheme="minorBidi"/>
          <w:rtl/>
        </w:rPr>
        <w:t>.</w:t>
      </w:r>
    </w:p>
  </w:footnote>
  <w:footnote w:id="795">
    <w:p w14:paraId="5D591F2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הביאם בבינת </w:t>
      </w:r>
      <w:r w:rsidRPr="00351B7D">
        <w:rPr>
          <w:rFonts w:asciiTheme="minorBidi" w:hAnsiTheme="minorBidi"/>
          <w:color w:val="000000"/>
          <w:rtl/>
        </w:rPr>
        <w:t xml:space="preserve">אדם </w:t>
      </w:r>
      <w:r w:rsidRPr="00351B7D">
        <w:rPr>
          <w:rFonts w:asciiTheme="minorBidi" w:hAnsiTheme="minorBidi"/>
          <w:color w:val="000000"/>
          <w:sz w:val="16"/>
          <w:szCs w:val="16"/>
          <w:rtl/>
        </w:rPr>
        <w:t>(בית הנשים סי' ל"ז)</w:t>
      </w:r>
      <w:r w:rsidRPr="00351B7D">
        <w:rPr>
          <w:rFonts w:asciiTheme="minorBidi" w:hAnsiTheme="minorBidi"/>
          <w:color w:val="000000"/>
          <w:rtl/>
        </w:rPr>
        <w:t xml:space="preserve"> וכ' על הרדב"ז דלא ראה שכן מפורש בדבריהם הנ"ל, וסיים דנראה דמהני מחילתה בזה.</w:t>
      </w:r>
    </w:p>
  </w:footnote>
  <w:footnote w:id="796">
    <w:p w14:paraId="3F0D3A5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הבעולות.</w:t>
      </w:r>
    </w:p>
  </w:footnote>
  <w:footnote w:id="797">
    <w:p w14:paraId="798307C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דמדאינה טעונה דקאמר רב הונא אוקימנא דאינה טעונה שבעה מכלל דטעונה דקאמר רבי אבא שבעה, רש"י.</w:t>
      </w:r>
    </w:p>
  </w:footnote>
  <w:footnote w:id="798">
    <w:p w14:paraId="32CE024F"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זוהי גירסת הב"י והראשונים, אך לפנינו איתא אותה המסקנה רק שהסדר הפוך- "איבעית אימא: באלמון יום אחד לברכה ושלשה לשמחה, ואיבעית אימא: בבחור שבעה לברכה ושלשה לשמחה", והכנסתי בגמרא לעיל את גירסת הראשונים משום שע"פ גיר' זו כל אחד אומר את דעתו (אם כשתי הלישנות בגמ' ואם כלישנא בתרא שבגמ').</w:t>
      </w:r>
    </w:p>
  </w:footnote>
  <w:footnote w:id="799">
    <w:p w14:paraId="243B605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שהרי כתב בסי' ס"ב דבתולה אפילו נישאת לאלמון ז' לברכה וכאן כ' כתב אם היא בעולה שמח עמה ג' ימים בין בחור בין אלמון, ע"פ ב"י (בסי' ס"ב).</w:t>
      </w:r>
    </w:p>
  </w:footnote>
  <w:footnote w:id="800">
    <w:p w14:paraId="14EC1365"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וסתמא דברייתא הכי משמע דקתני שקדו חכמים על תקנת בנות ישראל ולא מפליג בין נשאת לאלמון לנשאת לבחור אלמא ליכא אלמנה דיתירה מג' [לשמחה]. וכ"ת מ"ש דבבחור שנשא אלמנה נפישי ימי ברכה מימי שמחה ובאלמון שנשא אלמנה נפישי ימי שמחה מימי ברכה י"ל שהכל לפי ענינו משום דברכה באה על שמחת לבו של חתן הלכך בחור שלא נשא עדיין דאית ליה שמחה טפי מברכין לעולם ז' אפילו נשא אלמנה אבל שמחה דהיינו בטול מלאכה דהוא משום תקנתא דידה כיון דאלמנה היא אינה צריכה פתוי כ"כ ובג' ימי שמחה סגי לה אבל אלמון שנשא אלמנה כיון שכבר נשא ועכשיו אינו נושא בתולה אלא אלמנה אינו שמח כל כך הלכך ביום א' סגי ואפ"ה בעינן ג' לשמחה דימי שמחה לתקנתה דידה נתקנו כדאמר שקדו חכמים על תקנת בנות ישראל ואי אפי' כשנשאת לבחור אמרו דאית לה ג' ימי שמחה כ"ש לאלמון שנשא שצריך לשמחה שלשה והיינו טעמא דמברכין לבתולה שנשאת לאלמון ז' כדאמרינן בסמוך דליכא בתולה דבצירא מז' לברכה משום דאלמון נמי כשנושא את הבתולה שמח טפי, ר"ן.</w:t>
      </w:r>
    </w:p>
  </w:footnote>
  <w:footnote w:id="801">
    <w:p w14:paraId="3FB0D41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שכן נהגו.</w:t>
      </w:r>
    </w:p>
  </w:footnote>
  <w:footnote w:id="802">
    <w:p w14:paraId="7DC584B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הא דלא נקט את האלמנ' דהא סתם אלמנה מן הנשואין היא בחזקת בעולה משום דטעם שהאלמנה אין צריכה שמחה כ"כ מאחר שהיא כבר בעולה א"צ פיתוי ע"כ נקט אלמנ' בלשון בעולה, ח"מ (סק"ג). ומדייק ב"ח אם היא אלמנה ואינה בעולה צריך לשמוח עמה ז' ימים, ב"ש (סק"ג) ונח"צ (סק"ז).</w:t>
      </w:r>
    </w:p>
  </w:footnote>
  <w:footnote w:id="803">
    <w:p w14:paraId="1D81652E" w14:textId="77777777" w:rsidR="00DF1FC7" w:rsidRPr="00351B7D" w:rsidRDefault="00DF1FC7" w:rsidP="008E16D0">
      <w:pPr>
        <w:pStyle w:val="a5"/>
        <w:rPr>
          <w:rFonts w:asciiTheme="minorBidi" w:hAnsiTheme="minorBidi"/>
          <w:color w:val="FF0000"/>
        </w:rPr>
      </w:pPr>
      <w:r w:rsidRPr="00351B7D">
        <w:rPr>
          <w:rStyle w:val="a7"/>
          <w:rFonts w:asciiTheme="minorBidi" w:hAnsiTheme="minorBidi"/>
          <w:color w:val="FF0000"/>
        </w:rPr>
        <w:footnoteRef/>
      </w:r>
      <w:r w:rsidRPr="00351B7D">
        <w:rPr>
          <w:rFonts w:asciiTheme="minorBidi" w:hAnsiTheme="minorBidi"/>
          <w:color w:val="FF0000"/>
          <w:rtl/>
        </w:rPr>
        <w:t xml:space="preserve"> צריך לעיין בשו"ת חיים שאל ח"ב סי' לח (סי' דין א', מתחיל במילים- שלא יעשה מלאכ' וכו' מלשון).</w:t>
      </w:r>
    </w:p>
  </w:footnote>
  <w:footnote w:id="804">
    <w:p w14:paraId="0813639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אבתולה קאי, רש"י.</w:t>
      </w:r>
    </w:p>
  </w:footnote>
  <w:footnote w:id="805">
    <w:p w14:paraId="6ADF5A9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אחת מעשר תקנות שתקן עזרא, בבבא קמא בפרק מרובה (דף פב) מפרש לכולהו, ולכך תקנו שתנשא ברביעי שאם היה לו טענת בתולים ישכים לב"ד בעוד כעסו עליו [ואם יש שהות בינתים יש לחוש] שמא יתפייס ותתקרר דעתו ויקיימנה ושמא היא זינתה תחתיו ונאסרה עליו כדילפינן (סוטה דף כח) מונסתרה והיא נטמאה ומתוך שיבא לבית דין יתברר הדבר כשיצא הקול שמא יבואו עדים ובגמר' פריך ותינשא באחד בשבת, רש"י.</w:t>
      </w:r>
    </w:p>
  </w:footnote>
  <w:footnote w:id="806">
    <w:p w14:paraId="15A30D1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שעושים בשבילו.</w:t>
      </w:r>
    </w:p>
  </w:footnote>
  <w:footnote w:id="807">
    <w:p w14:paraId="2B3970F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משתחשך ברביעי ותיכנס ליל חמישי, רש"י.</w:t>
      </w:r>
    </w:p>
  </w:footnote>
  <w:footnote w:id="808">
    <w:p w14:paraId="55B060A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פרו ורבו ומלאו את המים כו' (בראשית א) , רש"י.</w:t>
      </w:r>
    </w:p>
  </w:footnote>
  <w:footnote w:id="809">
    <w:p w14:paraId="6A785F66"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פרו ורבו ומלאו את הארץ (בראשית א) , רש"י.</w:t>
      </w:r>
    </w:p>
  </w:footnote>
  <w:footnote w:id="810">
    <w:p w14:paraId="26F0B48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מאן דלא קפיד אברכה משום איקרורי דעתא לא חיישינן משום האי פורתא, רש"י.</w:t>
      </w:r>
    </w:p>
  </w:footnote>
  <w:footnote w:id="811">
    <w:p w14:paraId="7B499AA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אם לא ימצא לה בתולים לא חיישינן שיתקרר כעסו בהאי פורתא, רש"י.</w:t>
      </w:r>
    </w:p>
  </w:footnote>
  <w:footnote w:id="812">
    <w:p w14:paraId="51BE875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ומיהו בששי לא תנשא בתולה דבזמן ארוך עד שני בשבת דאתו דייני חיישינן לאיקרורי אבל מרביעי עד חמישי לא חיישינן, רש"י.</w:t>
      </w:r>
    </w:p>
  </w:footnote>
  <w:footnote w:id="813">
    <w:p w14:paraId="155B789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שאין משתה אלמון באלמנה אלא יום אחד כדלקמן בפירקין (דף ז) , רש"י.</w:t>
      </w:r>
    </w:p>
  </w:footnote>
  <w:footnote w:id="814">
    <w:p w14:paraId="712EEE9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יום חופה, רש"י.</w:t>
      </w:r>
    </w:p>
  </w:footnote>
  <w:footnote w:id="815">
    <w:p w14:paraId="3084ACC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חיבת ביאה, רש"י.</w:t>
      </w:r>
    </w:p>
  </w:footnote>
  <w:footnote w:id="816">
    <w:p w14:paraId="6CE4A9C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למ"ד ברכה דאדם עדיפא אף זו תיבעל בששי למ"ד משום שקדו נבעלת בחמישי דהא לא ישכים לאומנתו, רש"י.</w:t>
      </w:r>
    </w:p>
  </w:footnote>
  <w:footnote w:id="817">
    <w:p w14:paraId="1B530C1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ז"א- לא קבעו חכמים את זמן החופה והביאה ע"פ ברכה דדגים/אדם אלא לפי זמן ביטול מלאכה משמע דהוא עיקר.</w:t>
      </w:r>
    </w:p>
  </w:footnote>
  <w:footnote w:id="818">
    <w:p w14:paraId="5C02C5E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שאם יכנוס למוצאי שבת יעשה סעודה בלילה ויחשוב בשבת מהו צריך להוציא וכתיב ודבר דבר (ישעיהו נח) , רש"י.</w:t>
      </w:r>
    </w:p>
  </w:footnote>
  <w:footnote w:id="819">
    <w:p w14:paraId="716F5E6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בשבת לצורך מוצאי שבת שיהא טרוד וישכח שהוא שבת, רש"י.</w:t>
      </w:r>
    </w:p>
  </w:footnote>
  <w:footnote w:id="820">
    <w:p w14:paraId="5885585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בשבת, אם יחסר לו לסעודתו.</w:t>
      </w:r>
    </w:p>
  </w:footnote>
  <w:footnote w:id="821">
    <w:p w14:paraId="0E9A704D"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מיגא"ש </w:t>
      </w:r>
      <w:r w:rsidRPr="00351B7D">
        <w:rPr>
          <w:rFonts w:asciiTheme="minorBidi" w:hAnsiTheme="minorBidi"/>
          <w:sz w:val="16"/>
          <w:szCs w:val="16"/>
          <w:rtl/>
        </w:rPr>
        <w:t xml:space="preserve">(הביאו הרמב"ן) </w:t>
      </w:r>
      <w:r w:rsidRPr="00351B7D">
        <w:rPr>
          <w:rFonts w:asciiTheme="minorBidi" w:hAnsiTheme="minorBidi"/>
          <w:rtl/>
        </w:rPr>
        <w:t xml:space="preserve">רמב"ם </w:t>
      </w:r>
      <w:r w:rsidRPr="00351B7D">
        <w:rPr>
          <w:rFonts w:asciiTheme="minorBidi" w:hAnsiTheme="minorBidi"/>
          <w:sz w:val="16"/>
          <w:szCs w:val="16"/>
          <w:rtl/>
        </w:rPr>
        <w:t xml:space="preserve">(פ"י מהל' אישות הי"ד) </w:t>
      </w:r>
      <w:r w:rsidRPr="00351B7D">
        <w:rPr>
          <w:rFonts w:asciiTheme="minorBidi" w:hAnsiTheme="minorBidi"/>
          <w:rtl/>
        </w:rPr>
        <w:t xml:space="preserve">רמב"ן </w:t>
      </w:r>
      <w:r w:rsidRPr="00351B7D">
        <w:rPr>
          <w:rFonts w:asciiTheme="minorBidi" w:hAnsiTheme="minorBidi"/>
          <w:sz w:val="16"/>
          <w:szCs w:val="16"/>
          <w:rtl/>
        </w:rPr>
        <w:t xml:space="preserve">(ה. ד"ה והמחוור) </w:t>
      </w:r>
      <w:r w:rsidRPr="00351B7D">
        <w:rPr>
          <w:rFonts w:asciiTheme="minorBidi" w:hAnsiTheme="minorBidi"/>
          <w:rtl/>
        </w:rPr>
        <w:t>והה"מ</w:t>
      </w:r>
      <w:r w:rsidRPr="00351B7D">
        <w:rPr>
          <w:rFonts w:asciiTheme="minorBidi" w:hAnsiTheme="minorBidi"/>
          <w:sz w:val="16"/>
          <w:szCs w:val="16"/>
          <w:rtl/>
        </w:rPr>
        <w:t xml:space="preserve"> (שם)</w:t>
      </w:r>
      <w:r w:rsidRPr="00351B7D">
        <w:rPr>
          <w:rFonts w:asciiTheme="minorBidi" w:hAnsiTheme="minorBidi"/>
          <w:rtl/>
        </w:rPr>
        <w:t>.</w:t>
      </w:r>
    </w:p>
  </w:footnote>
  <w:footnote w:id="822">
    <w:p w14:paraId="55D2EF0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הרמב"ן</w:t>
      </w:r>
      <w:r w:rsidRPr="00351B7D">
        <w:rPr>
          <w:rFonts w:asciiTheme="minorBidi" w:hAnsiTheme="minorBidi"/>
          <w:sz w:val="16"/>
          <w:szCs w:val="16"/>
          <w:rtl/>
        </w:rPr>
        <w:t xml:space="preserve"> (ה. ד"ה והמחוור)</w:t>
      </w:r>
      <w:r w:rsidRPr="00351B7D">
        <w:rPr>
          <w:rFonts w:asciiTheme="minorBidi" w:hAnsiTheme="minorBidi"/>
          <w:rtl/>
        </w:rPr>
        <w:t xml:space="preserve"> שמה שנהגו לכנוס בששי מנהג בורות הוא אלא שלא מיחו בידם וכ"כ הר"י הלוי ז"ל עכ"ל. והה"מ כ' בפרק הנזכר על המנהג הזה לא ידעתי על מה סמכו ובודאי טענת חכמים מתקיימת בהם שהם באים לידי חילול שבת אם ע"י עצמן אם ממלאכה ע"י גוי, ויש מי שדוחה מהלכה גזרה זו והביא סמך לזה ואינו עיקר</w:t>
      </w:r>
      <w:r w:rsidRPr="00351B7D">
        <w:rPr>
          <w:rFonts w:asciiTheme="minorBidi" w:hAnsiTheme="minorBidi"/>
          <w:sz w:val="14"/>
          <w:szCs w:val="14"/>
          <w:rtl/>
        </w:rPr>
        <w:t xml:space="preserve"> </w:t>
      </w:r>
      <w:r w:rsidRPr="00351B7D">
        <w:rPr>
          <w:rFonts w:asciiTheme="minorBidi" w:hAnsiTheme="minorBidi"/>
          <w:sz w:val="16"/>
          <w:szCs w:val="16"/>
          <w:rtl/>
        </w:rPr>
        <w:t>(ובסוף דבריו העתיק הה"מ את דברי הרמב"ן כדלעיל)</w:t>
      </w:r>
      <w:r w:rsidRPr="00351B7D">
        <w:rPr>
          <w:rFonts w:asciiTheme="minorBidi" w:hAnsiTheme="minorBidi"/>
          <w:rtl/>
        </w:rPr>
        <w:t>.</w:t>
      </w:r>
    </w:p>
  </w:footnote>
  <w:footnote w:id="823">
    <w:p w14:paraId="182883B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הב"ש (סק"ד) דכן משמע בתוס' (ה: ד"ה מהו), ועי' בחכמת שלמה (על התוס' הזה). </w:t>
      </w:r>
    </w:p>
  </w:footnote>
  <w:footnote w:id="824">
    <w:p w14:paraId="655292D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 הר"ן </w:t>
      </w:r>
      <w:r w:rsidRPr="00351B7D">
        <w:rPr>
          <w:rFonts w:asciiTheme="minorBidi" w:hAnsiTheme="minorBidi"/>
          <w:sz w:val="16"/>
          <w:szCs w:val="16"/>
          <w:rtl/>
        </w:rPr>
        <w:t xml:space="preserve">(ב. ד"ה איבעיא) </w:t>
      </w:r>
      <w:r w:rsidRPr="00351B7D">
        <w:rPr>
          <w:rFonts w:asciiTheme="minorBidi" w:hAnsiTheme="minorBidi"/>
          <w:rtl/>
        </w:rPr>
        <w:t xml:space="preserve">דממסקנת הגמ' </w:t>
      </w:r>
      <w:r w:rsidRPr="00351B7D">
        <w:rPr>
          <w:rFonts w:asciiTheme="minorBidi" w:hAnsiTheme="minorBidi"/>
          <w:sz w:val="16"/>
          <w:szCs w:val="16"/>
          <w:rtl/>
        </w:rPr>
        <w:t>(כתובות ז ע"א: והלכתא מותר)</w:t>
      </w:r>
      <w:r w:rsidRPr="00351B7D">
        <w:rPr>
          <w:rFonts w:asciiTheme="minorBidi" w:hAnsiTheme="minorBidi"/>
          <w:rtl/>
        </w:rPr>
        <w:t xml:space="preserve"> שמעינן דלא קיי"ל מאי דאיתמר בגמרא עלה דברייתא דקתני בין כך ובין כך לא יבעול לא בערב שבת ולא במוצ"ש ויהבי טעמא שמא ישחוט בן עוף כלומר שמתוך טרדתו ישכח שהוא שבת וישחטנו וכיון דמסקינן דשרי למיבעל אלמא לבן עוף לא חיישינן וזהו דעת הרי"ף שלא הזכיר כלל בהלכות חששא דבן עוף, ולפיכך נהגו לעשות סעודות בלילי שבת ובמוצאי שבת </w:t>
      </w:r>
      <w:r w:rsidRPr="00351B7D">
        <w:rPr>
          <w:rFonts w:asciiTheme="minorBidi" w:hAnsiTheme="minorBidi"/>
          <w:sz w:val="16"/>
          <w:szCs w:val="16"/>
          <w:rtl/>
        </w:rPr>
        <w:t>(וכ' עוד וז"ל- ואיפשר לדחות ולומר דכי שריא למיבעל בשבת היינו בשכבר כנסה קודם לכן דבשעת כניסה לחופה הוא דחיישינן לבן עוף לפי שאז עושין סעודה וזהו דעת הרמב"ם שכתב שאין נושאין נשים בערב שבת ולא באחד בשבת גזרה שמא יבואו לידי חילול שבת וזהו היפך מנהגנו שאנו נוהגים לכנוס בששי)</w:t>
      </w:r>
      <w:r w:rsidRPr="00351B7D">
        <w:rPr>
          <w:rFonts w:asciiTheme="minorBidi" w:hAnsiTheme="minorBidi"/>
          <w:rtl/>
        </w:rPr>
        <w:t>, וכ' הרא"ש וז"ל- ומה שנהגו האידנא לכנוס ביום ששי משום דאף בכל ימי השבוע אין לנו בתי דינין קבועין ומי שיש לו עסק מקבץ ג' ומסדר טענותיו לפניהם וזה יכול לעשות אפילו בשבת, והלכתא מותר לבעול בתחילה בשבת ולא חיישינן שמא ישחוט בן עוף ואהא סמכינן למיעבד סעודתא בין במוצאי שבת בין בשבת.</w:t>
      </w:r>
    </w:p>
  </w:footnote>
  <w:footnote w:id="825">
    <w:p w14:paraId="2BD94B1B"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אבל בא' בשבת אין מנהג וכן מצאתי בשו"ת רמ"א</w:t>
      </w:r>
      <w:r w:rsidRPr="00351B7D">
        <w:rPr>
          <w:rFonts w:asciiTheme="minorBidi" w:hAnsiTheme="minorBidi"/>
          <w:sz w:val="14"/>
          <w:szCs w:val="14"/>
          <w:rtl/>
        </w:rPr>
        <w:t xml:space="preserve"> </w:t>
      </w:r>
      <w:r w:rsidRPr="00351B7D">
        <w:rPr>
          <w:rFonts w:asciiTheme="minorBidi" w:hAnsiTheme="minorBidi"/>
          <w:sz w:val="12"/>
          <w:szCs w:val="12"/>
          <w:rtl/>
        </w:rPr>
        <w:t xml:space="preserve">(סי' קכה) </w:t>
      </w:r>
      <w:r w:rsidRPr="00351B7D">
        <w:rPr>
          <w:rFonts w:asciiTheme="minorBidi" w:hAnsiTheme="minorBidi"/>
          <w:rtl/>
        </w:rPr>
        <w:t>שכ' דאין מדרך לעשות הנשואין ביום א' כחוקות הכותים, פת"ש</w:t>
      </w:r>
      <w:r w:rsidRPr="00351B7D">
        <w:rPr>
          <w:rFonts w:asciiTheme="minorBidi" w:hAnsiTheme="minorBidi"/>
          <w:sz w:val="14"/>
          <w:szCs w:val="14"/>
          <w:rtl/>
        </w:rPr>
        <w:t xml:space="preserve"> (סק"ד)</w:t>
      </w:r>
      <w:r w:rsidRPr="00351B7D">
        <w:rPr>
          <w:rFonts w:asciiTheme="minorBidi" w:hAnsiTheme="minorBidi"/>
          <w:rtl/>
        </w:rPr>
        <w:t>.</w:t>
      </w:r>
    </w:p>
  </w:footnote>
  <w:footnote w:id="826">
    <w:p w14:paraId="4A23195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בגמ' אמרו שקדו חכמים על תקנת בנות ישראל שיהא טורח בסעודה ג' ימים וכו' משמע אם הכלה וקרוביה מוחלין על טורח זה אין להקפיד, וכן המנהג עתה שלא להקפיד בטורח ג' ימים דוקא, ח"מ (סק"ה).</w:t>
      </w:r>
    </w:p>
  </w:footnote>
  <w:footnote w:id="827">
    <w:p w14:paraId="3F8FB98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הפני יהושע </w:t>
      </w:r>
      <w:r w:rsidRPr="00351B7D">
        <w:rPr>
          <w:rFonts w:asciiTheme="minorBidi" w:hAnsiTheme="minorBidi"/>
          <w:sz w:val="16"/>
          <w:szCs w:val="16"/>
          <w:rtl/>
        </w:rPr>
        <w:t xml:space="preserve">(קו"א כתובות סי' א, הובא בפת"ש סק"ו) </w:t>
      </w:r>
      <w:r w:rsidRPr="00351B7D">
        <w:rPr>
          <w:rFonts w:asciiTheme="minorBidi" w:hAnsiTheme="minorBidi"/>
          <w:rtl/>
        </w:rPr>
        <w:t xml:space="preserve">תמה על הטור וכל הפוסקים שכתבו בפשיטות דהאידנא אשה נשאת בכל יום בין בתולה ובין אלמנה היכא דליכא משום שקדו, והלא היה להם לפרש דלכתח' מיהא יש לחוש לטעמא דברכה </w:t>
      </w:r>
      <w:r w:rsidRPr="00351B7D">
        <w:rPr>
          <w:rFonts w:asciiTheme="minorBidi" w:hAnsiTheme="minorBidi"/>
          <w:sz w:val="16"/>
          <w:szCs w:val="16"/>
          <w:rtl/>
        </w:rPr>
        <w:t xml:space="preserve">(היינו שתינשא בה' ותבעל בו') </w:t>
      </w:r>
      <w:r w:rsidRPr="00351B7D">
        <w:rPr>
          <w:rFonts w:asciiTheme="minorBidi" w:hAnsiTheme="minorBidi"/>
          <w:rtl/>
        </w:rPr>
        <w:t>משום עצה טובה כדמשמע מלשון רש"י ותוס' והר"ן והמרדכי, וביותר יש לתמוה על הגהת רמ"א, שהביא שנהגו שלא לישא אלא בתחילת החודש כו', ומי עדיף האי סימנא דלא נזכר בגמ' כלל מטעמא דברכה שהיא ברייתא דבר קפרא ואין לבטלה בידים. והאריך בזה ליישב קצת וסיים מ"מ כל הרוצה לקיים דברי חכמים יש לו לחוש לכתח' לטעמא דברכה וינוחו לו ברכות על ראשו.</w:t>
      </w:r>
    </w:p>
  </w:footnote>
  <w:footnote w:id="828">
    <w:p w14:paraId="07CC6BB9"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סע' ב', וז"ל השו"ע שם- נהגו שאין מתחילין בב' ובד', ואין נושאים נשים אלא במילוי הלבנה. </w:t>
      </w:r>
      <w:r w:rsidRPr="00351B7D">
        <w:rPr>
          <w:rFonts w:asciiTheme="minorBidi" w:hAnsiTheme="minorBidi"/>
          <w:sz w:val="16"/>
          <w:szCs w:val="16"/>
          <w:rtl/>
        </w:rPr>
        <w:t>הגה: ולכן נהגו ג"כ להתחיל ללמוד בר"ח, כי אף על פי שאין ניחוש יש סימן (סמ"ק סימן קל"ו). במה שאדם יודע שהוא כנגד המזל, לא יעשה ולא יסמוך על הנס, אלא שאין לחקור אחר זה משום תמים תהיה (דברים יח, יג) (תשובת רמב"ן סימן רפ"ג) כמו שנתבאר</w:t>
      </w:r>
      <w:r w:rsidRPr="00351B7D">
        <w:rPr>
          <w:rFonts w:asciiTheme="minorBidi" w:hAnsiTheme="minorBidi"/>
          <w:rtl/>
        </w:rPr>
        <w:t>.</w:t>
      </w:r>
    </w:p>
  </w:footnote>
  <w:footnote w:id="829">
    <w:p w14:paraId="484D543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רי"ף </w:t>
      </w:r>
      <w:r w:rsidRPr="00351B7D">
        <w:rPr>
          <w:rFonts w:asciiTheme="minorBidi" w:hAnsiTheme="minorBidi"/>
          <w:sz w:val="16"/>
          <w:szCs w:val="16"/>
          <w:rtl/>
        </w:rPr>
        <w:t xml:space="preserve">(כן העיד בשמו הר"י מיגא"ש, הביאו הה"מ) </w:t>
      </w:r>
      <w:r w:rsidRPr="00351B7D">
        <w:rPr>
          <w:rFonts w:asciiTheme="minorBidi" w:hAnsiTheme="minorBidi"/>
          <w:rtl/>
        </w:rPr>
        <w:t xml:space="preserve">ה"ר אפרים </w:t>
      </w:r>
      <w:r w:rsidRPr="00351B7D">
        <w:rPr>
          <w:rFonts w:asciiTheme="minorBidi" w:hAnsiTheme="minorBidi"/>
          <w:sz w:val="16"/>
          <w:szCs w:val="16"/>
          <w:rtl/>
        </w:rPr>
        <w:t xml:space="preserve">(הביאו הטור) </w:t>
      </w:r>
      <w:r w:rsidRPr="00351B7D">
        <w:rPr>
          <w:rFonts w:asciiTheme="minorBidi" w:hAnsiTheme="minorBidi"/>
          <w:rtl/>
        </w:rPr>
        <w:t xml:space="preserve">ר"י מיגא"ש </w:t>
      </w:r>
      <w:r w:rsidRPr="00351B7D">
        <w:rPr>
          <w:rFonts w:asciiTheme="minorBidi" w:hAnsiTheme="minorBidi"/>
          <w:sz w:val="16"/>
          <w:szCs w:val="16"/>
          <w:rtl/>
        </w:rPr>
        <w:t xml:space="preserve">(הביאו הה"מ) </w:t>
      </w:r>
      <w:r w:rsidRPr="00351B7D">
        <w:rPr>
          <w:rFonts w:asciiTheme="minorBidi" w:hAnsiTheme="minorBidi"/>
          <w:rtl/>
        </w:rPr>
        <w:t>רמב"ן</w:t>
      </w:r>
      <w:r w:rsidRPr="00351B7D">
        <w:rPr>
          <w:rFonts w:asciiTheme="minorBidi" w:hAnsiTheme="minorBidi"/>
          <w:sz w:val="16"/>
          <w:szCs w:val="16"/>
          <w:rtl/>
        </w:rPr>
        <w:t xml:space="preserve"> (ג. ד"ה והא בעינן)</w:t>
      </w:r>
      <w:r w:rsidRPr="00351B7D">
        <w:rPr>
          <w:rFonts w:asciiTheme="minorBidi" w:hAnsiTheme="minorBidi"/>
          <w:rtl/>
        </w:rPr>
        <w:t xml:space="preserve"> רשב"א </w:t>
      </w:r>
      <w:r w:rsidRPr="00351B7D">
        <w:rPr>
          <w:rFonts w:asciiTheme="minorBidi" w:hAnsiTheme="minorBidi"/>
          <w:sz w:val="16"/>
          <w:szCs w:val="16"/>
          <w:rtl/>
        </w:rPr>
        <w:t>(ג: ד"ה שקדו)</w:t>
      </w:r>
      <w:r w:rsidRPr="00351B7D">
        <w:rPr>
          <w:rFonts w:asciiTheme="minorBidi" w:hAnsiTheme="minorBidi"/>
          <w:rtl/>
        </w:rPr>
        <w:t xml:space="preserve"> רא"ש </w:t>
      </w:r>
      <w:r w:rsidRPr="00351B7D">
        <w:rPr>
          <w:rFonts w:asciiTheme="minorBidi" w:hAnsiTheme="minorBidi"/>
          <w:sz w:val="16"/>
          <w:szCs w:val="16"/>
          <w:rtl/>
        </w:rPr>
        <w:t xml:space="preserve">(סי' ג) </w:t>
      </w:r>
      <w:r w:rsidRPr="00351B7D">
        <w:rPr>
          <w:rFonts w:asciiTheme="minorBidi" w:hAnsiTheme="minorBidi"/>
          <w:rtl/>
        </w:rPr>
        <w:t xml:space="preserve">ר"ן </w:t>
      </w:r>
      <w:r w:rsidRPr="00351B7D">
        <w:rPr>
          <w:rFonts w:asciiTheme="minorBidi" w:hAnsiTheme="minorBidi"/>
          <w:sz w:val="16"/>
          <w:szCs w:val="16"/>
          <w:rtl/>
        </w:rPr>
        <w:t xml:space="preserve">(א: ד"ה והוא) </w:t>
      </w:r>
      <w:r w:rsidRPr="00351B7D">
        <w:rPr>
          <w:rFonts w:asciiTheme="minorBidi" w:hAnsiTheme="minorBidi"/>
          <w:rtl/>
        </w:rPr>
        <w:t xml:space="preserve">והה"מ </w:t>
      </w:r>
      <w:r w:rsidRPr="00351B7D">
        <w:rPr>
          <w:rFonts w:asciiTheme="minorBidi" w:hAnsiTheme="minorBidi"/>
          <w:sz w:val="16"/>
          <w:szCs w:val="16"/>
          <w:rtl/>
        </w:rPr>
        <w:t>(פ"י מה"א הי"ד)</w:t>
      </w:r>
      <w:r w:rsidRPr="00351B7D">
        <w:rPr>
          <w:rFonts w:asciiTheme="minorBidi" w:hAnsiTheme="minorBidi"/>
          <w:rtl/>
        </w:rPr>
        <w:t>. וכ' הפרישה</w:t>
      </w:r>
      <w:r w:rsidRPr="00351B7D">
        <w:rPr>
          <w:rFonts w:asciiTheme="minorBidi" w:hAnsiTheme="minorBidi"/>
          <w:sz w:val="16"/>
          <w:szCs w:val="16"/>
          <w:rtl/>
        </w:rPr>
        <w:t xml:space="preserve"> (סק"ח) </w:t>
      </w:r>
      <w:r w:rsidRPr="00351B7D">
        <w:rPr>
          <w:rFonts w:asciiTheme="minorBidi" w:hAnsiTheme="minorBidi"/>
          <w:rtl/>
        </w:rPr>
        <w:t>דכן הוא מוסכם מכל הפוסקים.</w:t>
      </w:r>
    </w:p>
  </w:footnote>
  <w:footnote w:id="830">
    <w:p w14:paraId="59A4FB80"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(רי"ף</w:t>
      </w:r>
      <w:r w:rsidRPr="00351B7D">
        <w:rPr>
          <w:rFonts w:asciiTheme="minorBidi" w:hAnsiTheme="minorBidi"/>
          <w:sz w:val="16"/>
          <w:szCs w:val="16"/>
          <w:rtl/>
        </w:rPr>
        <w:t xml:space="preserve"> להב' הרמ"א</w:t>
      </w:r>
      <w:r w:rsidRPr="00351B7D">
        <w:rPr>
          <w:rFonts w:asciiTheme="minorBidi" w:hAnsiTheme="minorBidi"/>
          <w:sz w:val="14"/>
          <w:szCs w:val="14"/>
          <w:rtl/>
        </w:rPr>
        <w:t xml:space="preserve"> [בשו"ת סי' קכה]</w:t>
      </w:r>
      <w:r w:rsidRPr="00351B7D">
        <w:rPr>
          <w:rFonts w:asciiTheme="minorBidi" w:hAnsiTheme="minorBidi"/>
          <w:rtl/>
        </w:rPr>
        <w:t xml:space="preserve">) ורמב"ם </w:t>
      </w:r>
      <w:r w:rsidRPr="00351B7D">
        <w:rPr>
          <w:rFonts w:asciiTheme="minorBidi" w:hAnsiTheme="minorBidi"/>
          <w:sz w:val="16"/>
          <w:szCs w:val="16"/>
          <w:rtl/>
        </w:rPr>
        <w:t>(פ"י מה"א ה"א-ב)</w:t>
      </w:r>
      <w:r w:rsidRPr="00351B7D">
        <w:rPr>
          <w:rFonts w:asciiTheme="minorBidi" w:hAnsiTheme="minorBidi"/>
          <w:rtl/>
        </w:rPr>
        <w:t>.</w:t>
      </w:r>
    </w:p>
  </w:footnote>
  <w:footnote w:id="831">
    <w:p w14:paraId="295153D0"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כש"ס שלנו דאין מחלק בין אלמנה לבתולה, ב"ש </w:t>
      </w:r>
      <w:r w:rsidRPr="00351B7D">
        <w:rPr>
          <w:rFonts w:asciiTheme="minorBidi" w:hAnsiTheme="minorBidi"/>
          <w:sz w:val="16"/>
          <w:szCs w:val="16"/>
          <w:rtl/>
        </w:rPr>
        <w:t>(סק"ו בהב' דברי הרמב"ם והרי"ף, וכ' שם שכן הבין הרמ"א בדברי הרי"ף)</w:t>
      </w:r>
      <w:r w:rsidRPr="00351B7D">
        <w:rPr>
          <w:rFonts w:asciiTheme="minorBidi" w:hAnsiTheme="minorBidi"/>
          <w:rtl/>
        </w:rPr>
        <w:t xml:space="preserve">. </w:t>
      </w:r>
    </w:p>
  </w:footnote>
  <w:footnote w:id="832">
    <w:p w14:paraId="3009252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משא"ב </w:t>
      </w:r>
      <w:r w:rsidRPr="00351B7D">
        <w:rPr>
          <w:rFonts w:asciiTheme="minorBidi" w:hAnsiTheme="minorBidi"/>
          <w:sz w:val="16"/>
          <w:szCs w:val="16"/>
          <w:rtl/>
        </w:rPr>
        <w:t xml:space="preserve">(סי' צ) </w:t>
      </w:r>
      <w:r w:rsidRPr="00351B7D">
        <w:rPr>
          <w:rFonts w:asciiTheme="minorBidi" w:hAnsiTheme="minorBidi"/>
          <w:rtl/>
        </w:rPr>
        <w:t xml:space="preserve">ח"מ </w:t>
      </w:r>
      <w:r w:rsidRPr="00351B7D">
        <w:rPr>
          <w:rFonts w:asciiTheme="minorBidi" w:hAnsiTheme="minorBidi"/>
          <w:sz w:val="16"/>
          <w:szCs w:val="16"/>
          <w:rtl/>
        </w:rPr>
        <w:t>(סק"ו)</w:t>
      </w:r>
      <w:r w:rsidRPr="00351B7D">
        <w:rPr>
          <w:rFonts w:asciiTheme="minorBidi" w:hAnsiTheme="minorBidi"/>
          <w:rtl/>
        </w:rPr>
        <w:t xml:space="preserve"> מג"א </w:t>
      </w:r>
      <w:r w:rsidRPr="00351B7D">
        <w:rPr>
          <w:rFonts w:asciiTheme="minorBidi" w:hAnsiTheme="minorBidi"/>
          <w:sz w:val="16"/>
          <w:szCs w:val="16"/>
          <w:rtl/>
        </w:rPr>
        <w:t xml:space="preserve">(סי' של"ט סקי"א) </w:t>
      </w:r>
      <w:r w:rsidRPr="00351B7D">
        <w:rPr>
          <w:rFonts w:asciiTheme="minorBidi" w:hAnsiTheme="minorBidi"/>
          <w:rtl/>
        </w:rPr>
        <w:t xml:space="preserve">חכ"א </w:t>
      </w:r>
      <w:r w:rsidRPr="00351B7D">
        <w:rPr>
          <w:rFonts w:asciiTheme="minorBidi" w:hAnsiTheme="minorBidi"/>
          <w:sz w:val="16"/>
          <w:szCs w:val="16"/>
          <w:rtl/>
        </w:rPr>
        <w:t xml:space="preserve">(בית הנשים כלל קכט סע' י"ג) </w:t>
      </w:r>
      <w:r w:rsidRPr="00351B7D">
        <w:rPr>
          <w:rFonts w:asciiTheme="minorBidi" w:hAnsiTheme="minorBidi"/>
          <w:rtl/>
        </w:rPr>
        <w:t xml:space="preserve">וילקו"י </w:t>
      </w:r>
      <w:r w:rsidRPr="00351B7D">
        <w:rPr>
          <w:rFonts w:asciiTheme="minorBidi" w:hAnsiTheme="minorBidi"/>
          <w:sz w:val="16"/>
          <w:szCs w:val="16"/>
          <w:rtl/>
        </w:rPr>
        <w:t>(שבת סי' של"ט אות טז. שובע שמחות א פ"ב אות ז)</w:t>
      </w:r>
      <w:r w:rsidRPr="00351B7D">
        <w:rPr>
          <w:rFonts w:asciiTheme="minorBidi" w:hAnsiTheme="minorBidi"/>
          <w:rtl/>
        </w:rPr>
        <w:t xml:space="preserve">. ועיין בלבוש מרדכי </w:t>
      </w:r>
      <w:r w:rsidRPr="00351B7D">
        <w:rPr>
          <w:rFonts w:asciiTheme="minorBidi" w:hAnsiTheme="minorBidi"/>
          <w:sz w:val="16"/>
          <w:szCs w:val="16"/>
          <w:rtl/>
        </w:rPr>
        <w:t>(כתובות סי' א)</w:t>
      </w:r>
      <w:r w:rsidRPr="00351B7D">
        <w:rPr>
          <w:rFonts w:asciiTheme="minorBidi" w:hAnsiTheme="minorBidi"/>
          <w:rtl/>
        </w:rPr>
        <w:t>.</w:t>
      </w:r>
    </w:p>
  </w:footnote>
  <w:footnote w:id="833">
    <w:p w14:paraId="69E269A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(רמב"ם</w:t>
      </w:r>
      <w:r w:rsidRPr="00351B7D">
        <w:rPr>
          <w:rFonts w:asciiTheme="minorBidi" w:hAnsiTheme="minorBidi"/>
          <w:sz w:val="16"/>
          <w:szCs w:val="16"/>
          <w:rtl/>
        </w:rPr>
        <w:t xml:space="preserve"> להב' הגר"א</w:t>
      </w:r>
      <w:r w:rsidRPr="00351B7D">
        <w:rPr>
          <w:rFonts w:asciiTheme="minorBidi" w:hAnsiTheme="minorBidi"/>
          <w:sz w:val="14"/>
          <w:szCs w:val="14"/>
          <w:rtl/>
        </w:rPr>
        <w:t xml:space="preserve"> [סקי"א]</w:t>
      </w:r>
      <w:r w:rsidRPr="00351B7D">
        <w:rPr>
          <w:rFonts w:asciiTheme="minorBidi" w:hAnsiTheme="minorBidi"/>
          <w:rtl/>
        </w:rPr>
        <w:t xml:space="preserve">) מרדכי </w:t>
      </w:r>
      <w:r w:rsidRPr="00351B7D">
        <w:rPr>
          <w:rFonts w:asciiTheme="minorBidi" w:hAnsiTheme="minorBidi"/>
          <w:sz w:val="16"/>
          <w:szCs w:val="16"/>
          <w:rtl/>
        </w:rPr>
        <w:t xml:space="preserve">(ביצה סי' תרחצ) </w:t>
      </w:r>
      <w:r w:rsidRPr="00351B7D">
        <w:rPr>
          <w:rFonts w:asciiTheme="minorBidi" w:hAnsiTheme="minorBidi"/>
          <w:rtl/>
        </w:rPr>
        <w:t xml:space="preserve">ומהרי"ל </w:t>
      </w:r>
      <w:r w:rsidRPr="00351B7D">
        <w:rPr>
          <w:rFonts w:asciiTheme="minorBidi" w:hAnsiTheme="minorBidi"/>
          <w:sz w:val="16"/>
          <w:szCs w:val="16"/>
          <w:rtl/>
        </w:rPr>
        <w:t>(הל' שבת אות י"ח, בשם מהר"ש)</w:t>
      </w:r>
      <w:r w:rsidRPr="00351B7D">
        <w:rPr>
          <w:rFonts w:asciiTheme="minorBidi" w:hAnsiTheme="minorBidi"/>
          <w:rtl/>
        </w:rPr>
        <w:t>.</w:t>
      </w:r>
    </w:p>
  </w:footnote>
  <w:footnote w:id="834">
    <w:p w14:paraId="2DFB555A"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ולדעה זו כ' הב"ש (סק"ו) דלאו גמר ביאה בעינן אלא העראה דהא כבר קידש אותה והעראה אחר הקידושין קונה כמ"ש בסימן נ"ה (סע' א), ומש"כ בתשו' מהרי"ל (הל' שבת אות י"ח) דהעראה לא מהני, תמוה, וכבר הקשה עליו בתשו' משא"ב שם.</w:t>
      </w:r>
    </w:p>
  </w:footnote>
  <w:footnote w:id="835">
    <w:p w14:paraId="1E062DF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 </w:t>
      </w:r>
      <w:r w:rsidRPr="00351B7D">
        <w:rPr>
          <w:rFonts w:asciiTheme="minorBidi" w:hAnsiTheme="minorBidi"/>
          <w:sz w:val="16"/>
          <w:szCs w:val="16"/>
          <w:rtl/>
        </w:rPr>
        <w:t>(יומא יג: ד"ה לחדא)</w:t>
      </w:r>
      <w:r w:rsidRPr="00351B7D">
        <w:rPr>
          <w:rFonts w:asciiTheme="minorBidi" w:hAnsiTheme="minorBidi"/>
          <w:rtl/>
        </w:rPr>
        <w:t xml:space="preserve"> בהעי"ט </w:t>
      </w:r>
      <w:r w:rsidRPr="00351B7D">
        <w:rPr>
          <w:rFonts w:asciiTheme="minorBidi" w:hAnsiTheme="minorBidi"/>
          <w:sz w:val="16"/>
          <w:szCs w:val="16"/>
          <w:rtl/>
        </w:rPr>
        <w:t>(ש"ב ברכת חתנים ד"ה חלק שני)</w:t>
      </w:r>
      <w:r w:rsidRPr="00351B7D">
        <w:rPr>
          <w:rFonts w:asciiTheme="minorBidi" w:hAnsiTheme="minorBidi"/>
          <w:rtl/>
        </w:rPr>
        <w:t xml:space="preserve"> וא"ח </w:t>
      </w:r>
      <w:r w:rsidRPr="00351B7D">
        <w:rPr>
          <w:rFonts w:asciiTheme="minorBidi" w:hAnsiTheme="minorBidi"/>
          <w:sz w:val="16"/>
          <w:szCs w:val="16"/>
          <w:rtl/>
        </w:rPr>
        <w:t>(הל' כתובות סי' ד)</w:t>
      </w:r>
      <w:r w:rsidRPr="00351B7D">
        <w:rPr>
          <w:rFonts w:asciiTheme="minorBidi" w:hAnsiTheme="minorBidi"/>
          <w:rtl/>
        </w:rPr>
        <w:t>.</w:t>
      </w:r>
    </w:p>
  </w:footnote>
  <w:footnote w:id="836">
    <w:p w14:paraId="6E1D64FE" w14:textId="77777777" w:rsidR="00DF1FC7" w:rsidRPr="00351B7D" w:rsidRDefault="00DF1FC7" w:rsidP="008E16D0">
      <w:pPr>
        <w:spacing w:after="0" w:line="240" w:lineRule="auto"/>
        <w:rPr>
          <w:rFonts w:asciiTheme="minorBidi" w:hAnsiTheme="minorBidi"/>
          <w:sz w:val="20"/>
          <w:szCs w:val="20"/>
          <w:u w:val="single"/>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w:t>
      </w:r>
      <w:r w:rsidRPr="00351B7D">
        <w:rPr>
          <w:rFonts w:asciiTheme="minorBidi" w:hAnsiTheme="minorBidi"/>
          <w:sz w:val="20"/>
          <w:szCs w:val="20"/>
          <w:u w:val="single"/>
          <w:rtl/>
        </w:rPr>
        <w:t>מהי חופת אלמנה:</w:t>
      </w:r>
    </w:p>
    <w:p w14:paraId="78B85A6F" w14:textId="77777777" w:rsidR="00DF1FC7" w:rsidRPr="00351B7D" w:rsidRDefault="00DF1FC7" w:rsidP="00A8697F">
      <w:pPr>
        <w:pStyle w:val="ab"/>
        <w:numPr>
          <w:ilvl w:val="0"/>
          <w:numId w:val="107"/>
        </w:numPr>
        <w:spacing w:after="0" w:line="240" w:lineRule="auto"/>
        <w:rPr>
          <w:rFonts w:asciiTheme="minorBidi" w:hAnsiTheme="minorBidi"/>
          <w:sz w:val="20"/>
          <w:szCs w:val="20"/>
        </w:rPr>
      </w:pPr>
      <w:r w:rsidRPr="00351B7D">
        <w:rPr>
          <w:rFonts w:asciiTheme="minorBidi" w:hAnsiTheme="minorBidi"/>
          <w:sz w:val="20"/>
          <w:szCs w:val="20"/>
          <w:rtl/>
        </w:rPr>
        <w:t xml:space="preserve">בהעי"ט </w:t>
      </w:r>
      <w:r w:rsidRPr="00351B7D">
        <w:rPr>
          <w:rFonts w:asciiTheme="minorBidi" w:hAnsiTheme="minorBidi"/>
          <w:sz w:val="16"/>
          <w:szCs w:val="16"/>
          <w:rtl/>
        </w:rPr>
        <w:t xml:space="preserve">(ש"ב ברכת חתנים ד"ה חלק שני) </w:t>
      </w:r>
      <w:r w:rsidRPr="00351B7D">
        <w:rPr>
          <w:rFonts w:asciiTheme="minorBidi" w:hAnsiTheme="minorBidi"/>
          <w:sz w:val="20"/>
          <w:szCs w:val="20"/>
          <w:rtl/>
        </w:rPr>
        <w:t xml:space="preserve">וא"ח </w:t>
      </w:r>
      <w:r w:rsidRPr="00351B7D">
        <w:rPr>
          <w:rFonts w:asciiTheme="minorBidi" w:hAnsiTheme="minorBidi"/>
          <w:sz w:val="16"/>
          <w:szCs w:val="16"/>
          <w:rtl/>
        </w:rPr>
        <w:t>(הל' כתובות סי' ד)</w:t>
      </w:r>
      <w:r w:rsidRPr="00351B7D">
        <w:rPr>
          <w:rFonts w:asciiTheme="minorBidi" w:hAnsiTheme="minorBidi"/>
          <w:sz w:val="20"/>
          <w:szCs w:val="20"/>
          <w:rtl/>
        </w:rPr>
        <w:t>- "חופה היא שמוסר האב ומכניסה לבעלה לבית שיש בה חידוש... ומתיחדין בה שניהם".</w:t>
      </w:r>
    </w:p>
    <w:p w14:paraId="53723F65" w14:textId="77777777" w:rsidR="00DF1FC7" w:rsidRPr="00351B7D" w:rsidRDefault="00DF1FC7" w:rsidP="00A8697F">
      <w:pPr>
        <w:pStyle w:val="ab"/>
        <w:numPr>
          <w:ilvl w:val="0"/>
          <w:numId w:val="107"/>
        </w:numPr>
        <w:spacing w:after="0" w:line="240" w:lineRule="auto"/>
        <w:rPr>
          <w:rFonts w:asciiTheme="minorBidi" w:hAnsiTheme="minorBidi"/>
          <w:sz w:val="20"/>
          <w:szCs w:val="20"/>
        </w:rPr>
      </w:pPr>
      <w:r w:rsidRPr="00351B7D">
        <w:rPr>
          <w:rFonts w:asciiTheme="minorBidi" w:hAnsiTheme="minorBidi"/>
          <w:sz w:val="20"/>
          <w:szCs w:val="20"/>
          <w:rtl/>
        </w:rPr>
        <w:t xml:space="preserve">תוס' </w:t>
      </w:r>
      <w:r w:rsidRPr="00351B7D">
        <w:rPr>
          <w:rFonts w:asciiTheme="minorBidi" w:hAnsiTheme="minorBidi"/>
          <w:sz w:val="16"/>
          <w:szCs w:val="16"/>
          <w:rtl/>
        </w:rPr>
        <w:t>(יומא יג: ד"ה לחדא)</w:t>
      </w:r>
      <w:r w:rsidRPr="00351B7D">
        <w:rPr>
          <w:rFonts w:asciiTheme="minorBidi" w:hAnsiTheme="minorBidi"/>
          <w:sz w:val="20"/>
          <w:szCs w:val="20"/>
          <w:rtl/>
        </w:rPr>
        <w:t>- יחוד שלה היינו חופה.</w:t>
      </w:r>
    </w:p>
  </w:footnote>
  <w:footnote w:id="837">
    <w:p w14:paraId="60F6F54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וה"ה ביו"ט </w:t>
      </w:r>
      <w:r w:rsidRPr="00351B7D">
        <w:rPr>
          <w:rFonts w:asciiTheme="minorBidi" w:hAnsiTheme="minorBidi"/>
          <w:sz w:val="16"/>
          <w:szCs w:val="16"/>
          <w:rtl/>
        </w:rPr>
        <w:t>(סי' של"ט סע' ה)</w:t>
      </w:r>
      <w:r w:rsidRPr="00351B7D">
        <w:rPr>
          <w:rFonts w:asciiTheme="minorBidi" w:hAnsiTheme="minorBidi"/>
          <w:rtl/>
        </w:rPr>
        <w:t xml:space="preserve">. </w:t>
      </w:r>
    </w:p>
  </w:footnote>
  <w:footnote w:id="838">
    <w:p w14:paraId="7D2BD09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היה לה חופה מבעו"י והיתה נדה, תליא בפלוגתת הרמב"ם ושא"פ, לרמב"ם דלא מהני חופה אז אסורה לטבול בשבת, ולשא"פ דמהני חופה מותרת לטבול בשבת אע"ג דהיא זוכה בתוספות כתובה מ"מ הוא קנה כבר אותה ולגבי אשה לא שייך קנין, ועיין תשו' מש"ב סי' צ"א, ולפמ"ש</w:t>
      </w:r>
      <w:r w:rsidRPr="00351B7D">
        <w:rPr>
          <w:rFonts w:asciiTheme="minorBidi" w:hAnsiTheme="minorBidi"/>
          <w:sz w:val="16"/>
          <w:szCs w:val="16"/>
          <w:rtl/>
        </w:rPr>
        <w:t xml:space="preserve"> (לעיל סי' ס"א סק"ח)</w:t>
      </w:r>
      <w:r w:rsidRPr="00351B7D">
        <w:rPr>
          <w:rFonts w:asciiTheme="minorBidi" w:hAnsiTheme="minorBidi"/>
          <w:rtl/>
        </w:rPr>
        <w:t xml:space="preserve"> יש תקנה אפילו להרמב"ם היכא שמודיע להחתן שהיא נדה, ב"ש (סק"ה).</w:t>
      </w:r>
    </w:p>
  </w:footnote>
  <w:footnote w:id="839">
    <w:p w14:paraId="14ED6AF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מן הנישואין, אבל אם היא אלמנה או גרושה מן האירוסין ודאי דיש לה חופה כבתולה, שעה"מ</w:t>
      </w:r>
      <w:r w:rsidRPr="00351B7D">
        <w:rPr>
          <w:rFonts w:asciiTheme="minorBidi" w:hAnsiTheme="minorBidi"/>
          <w:sz w:val="16"/>
          <w:szCs w:val="16"/>
          <w:rtl/>
        </w:rPr>
        <w:t xml:space="preserve"> (קונטרס חופת חתנים פ"י מה"א סע' ג, הביאו הפת"ש סק"ח)</w:t>
      </w:r>
      <w:r w:rsidRPr="00351B7D">
        <w:rPr>
          <w:rFonts w:asciiTheme="minorBidi" w:hAnsiTheme="minorBidi"/>
          <w:rtl/>
        </w:rPr>
        <w:t>.</w:t>
      </w:r>
    </w:p>
  </w:footnote>
  <w:footnote w:id="840">
    <w:p w14:paraId="732CB421" w14:textId="77777777" w:rsidR="00DF1FC7" w:rsidRPr="00351B7D" w:rsidRDefault="00DF1FC7" w:rsidP="008E16D0">
      <w:pPr>
        <w:spacing w:after="0" w:line="240" w:lineRule="auto"/>
        <w:rPr>
          <w:rFonts w:asciiTheme="minorBidi" w:hAnsiTheme="minorBidi"/>
          <w:sz w:val="20"/>
          <w:szCs w:val="20"/>
          <w:u w:val="single"/>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w:t>
      </w:r>
      <w:r w:rsidRPr="00351B7D">
        <w:rPr>
          <w:rFonts w:asciiTheme="minorBidi" w:hAnsiTheme="minorBidi"/>
          <w:sz w:val="20"/>
          <w:szCs w:val="20"/>
          <w:u w:val="single"/>
          <w:rtl/>
        </w:rPr>
        <w:t xml:space="preserve">ונחלקו האחרונים מהי כוונת השו"ע באומרו "יחוד של ביאה" (שהיא לשון הרא"ש </w:t>
      </w:r>
      <w:r w:rsidRPr="00351B7D">
        <w:rPr>
          <w:rFonts w:asciiTheme="minorBidi" w:hAnsiTheme="minorBidi"/>
          <w:sz w:val="16"/>
          <w:szCs w:val="16"/>
          <w:u w:val="single"/>
          <w:rtl/>
        </w:rPr>
        <w:t>(כתובות פ"א סי' ג)</w:t>
      </w:r>
      <w:r w:rsidRPr="00351B7D">
        <w:rPr>
          <w:rFonts w:asciiTheme="minorBidi" w:hAnsiTheme="minorBidi"/>
          <w:sz w:val="20"/>
          <w:szCs w:val="20"/>
          <w:u w:val="single"/>
          <w:rtl/>
        </w:rPr>
        <w:t xml:space="preserve"> והטור):  </w:t>
      </w:r>
    </w:p>
    <w:p w14:paraId="15075D9D" w14:textId="77777777" w:rsidR="00DF1FC7" w:rsidRPr="00351B7D" w:rsidRDefault="00DF1FC7" w:rsidP="00A8697F">
      <w:pPr>
        <w:pStyle w:val="a5"/>
        <w:numPr>
          <w:ilvl w:val="0"/>
          <w:numId w:val="111"/>
        </w:numPr>
        <w:rPr>
          <w:rFonts w:asciiTheme="minorBidi" w:hAnsiTheme="minorBidi"/>
        </w:rPr>
      </w:pPr>
      <w:r w:rsidRPr="00351B7D">
        <w:rPr>
          <w:rFonts w:asciiTheme="minorBidi" w:hAnsiTheme="minorBidi"/>
          <w:rtl/>
        </w:rPr>
        <w:t xml:space="preserve">שיירי קרבן </w:t>
      </w:r>
      <w:r w:rsidRPr="00351B7D">
        <w:rPr>
          <w:rFonts w:asciiTheme="minorBidi" w:hAnsiTheme="minorBidi"/>
          <w:sz w:val="16"/>
          <w:szCs w:val="16"/>
          <w:rtl/>
        </w:rPr>
        <w:t xml:space="preserve">(כתובות פ"א ה"א ד"ה הדא) </w:t>
      </w:r>
      <w:r w:rsidRPr="00351B7D">
        <w:rPr>
          <w:rFonts w:asciiTheme="minorBidi" w:hAnsiTheme="minorBidi"/>
          <w:rtl/>
        </w:rPr>
        <w:t xml:space="preserve">שכנה"ג </w:t>
      </w:r>
      <w:r w:rsidRPr="00351B7D">
        <w:rPr>
          <w:rFonts w:asciiTheme="minorBidi" w:hAnsiTheme="minorBidi"/>
          <w:sz w:val="16"/>
          <w:szCs w:val="16"/>
          <w:rtl/>
        </w:rPr>
        <w:t>(סי' של"ט אות ז)</w:t>
      </w:r>
      <w:r w:rsidRPr="00351B7D">
        <w:rPr>
          <w:rFonts w:asciiTheme="minorBidi" w:hAnsiTheme="minorBidi"/>
          <w:rtl/>
        </w:rPr>
        <w:t xml:space="preserve"> ודרישה </w:t>
      </w:r>
      <w:r w:rsidRPr="00351B7D">
        <w:rPr>
          <w:rFonts w:asciiTheme="minorBidi" w:hAnsiTheme="minorBidi"/>
          <w:sz w:val="16"/>
          <w:szCs w:val="16"/>
          <w:rtl/>
        </w:rPr>
        <w:t>(אות י)</w:t>
      </w:r>
      <w:r w:rsidRPr="00351B7D">
        <w:rPr>
          <w:rFonts w:asciiTheme="minorBidi" w:hAnsiTheme="minorBidi"/>
          <w:rtl/>
        </w:rPr>
        <w:t>- דאלמנה נקנית בביאה.</w:t>
      </w:r>
      <w:r w:rsidRPr="00351B7D">
        <w:rPr>
          <w:rFonts w:asciiTheme="minorBidi" w:hAnsiTheme="minorBidi"/>
          <w:sz w:val="16"/>
          <w:szCs w:val="16"/>
          <w:rtl/>
        </w:rPr>
        <w:t xml:space="preserve"> (וכ"כ הב"ש אך כ' דמלשון השו"ע לא משמע כן והשאיר זאת בצ"ע)</w:t>
      </w:r>
    </w:p>
    <w:p w14:paraId="569EFAD1" w14:textId="77777777" w:rsidR="00DF1FC7" w:rsidRPr="00351B7D" w:rsidRDefault="00DF1FC7" w:rsidP="00A8697F">
      <w:pPr>
        <w:pStyle w:val="a5"/>
        <w:numPr>
          <w:ilvl w:val="0"/>
          <w:numId w:val="111"/>
        </w:numPr>
        <w:rPr>
          <w:rFonts w:asciiTheme="minorBidi" w:hAnsiTheme="minorBidi"/>
          <w:rtl/>
        </w:rPr>
      </w:pPr>
      <w:r w:rsidRPr="00351B7D">
        <w:rPr>
          <w:rFonts w:asciiTheme="minorBidi" w:hAnsiTheme="minorBidi"/>
          <w:rtl/>
        </w:rPr>
        <w:t>ח"מ</w:t>
      </w:r>
      <w:r w:rsidRPr="00351B7D">
        <w:rPr>
          <w:rFonts w:asciiTheme="minorBidi" w:hAnsiTheme="minorBidi"/>
          <w:sz w:val="16"/>
          <w:szCs w:val="16"/>
          <w:rtl/>
        </w:rPr>
        <w:t xml:space="preserve"> (סק"ו)</w:t>
      </w:r>
      <w:r w:rsidRPr="00351B7D">
        <w:rPr>
          <w:rFonts w:asciiTheme="minorBidi" w:hAnsiTheme="minorBidi"/>
          <w:rtl/>
        </w:rPr>
        <w:t xml:space="preserve"> ועוד- דאלמנה נקנית ביחוד הראוי לביאה ממש.</w:t>
      </w:r>
      <w:r w:rsidRPr="00351B7D">
        <w:rPr>
          <w:rFonts w:asciiTheme="minorBidi" w:hAnsiTheme="minorBidi"/>
          <w:sz w:val="16"/>
          <w:szCs w:val="16"/>
          <w:rtl/>
        </w:rPr>
        <w:t xml:space="preserve"> (היינו מבחינת המקום והזמן ששוהים שם, ומוכח כן מדברי השו"ע בסי' ס"א סע' א, דשם כ'- "אם היתה נדה... ונתייחד עמה וכו" משמע שנתייחד עם הנדה וזה אסור, אלא שם איירי בבתולה שייחוד גרוע קונה בה </w:t>
      </w:r>
      <w:r w:rsidRPr="00351B7D">
        <w:rPr>
          <w:rFonts w:asciiTheme="minorBidi" w:hAnsiTheme="minorBidi"/>
          <w:sz w:val="14"/>
          <w:szCs w:val="14"/>
          <w:rtl/>
        </w:rPr>
        <w:t>(כגון שאוכל עמה במקום מוצנע, וכ"כ פרישה</w:t>
      </w:r>
      <w:r w:rsidRPr="00351B7D">
        <w:rPr>
          <w:rFonts w:asciiTheme="minorBidi" w:hAnsiTheme="minorBidi"/>
          <w:sz w:val="12"/>
          <w:szCs w:val="12"/>
          <w:rtl/>
        </w:rPr>
        <w:t xml:space="preserve"> [סי' סב סוף אות א]</w:t>
      </w:r>
      <w:r w:rsidRPr="00351B7D">
        <w:rPr>
          <w:rFonts w:asciiTheme="minorBidi" w:hAnsiTheme="minorBidi"/>
          <w:sz w:val="14"/>
          <w:szCs w:val="14"/>
          <w:rtl/>
        </w:rPr>
        <w:t xml:space="preserve"> וב"ש </w:t>
      </w:r>
      <w:r w:rsidRPr="00351B7D">
        <w:rPr>
          <w:rFonts w:asciiTheme="minorBidi" w:hAnsiTheme="minorBidi"/>
          <w:sz w:val="12"/>
          <w:szCs w:val="12"/>
          <w:rtl/>
        </w:rPr>
        <w:t>[סי' סב סק"א]</w:t>
      </w:r>
      <w:r w:rsidRPr="00351B7D">
        <w:rPr>
          <w:rFonts w:asciiTheme="minorBidi" w:hAnsiTheme="minorBidi"/>
          <w:sz w:val="14"/>
          <w:szCs w:val="14"/>
          <w:rtl/>
        </w:rPr>
        <w:t>)</w:t>
      </w:r>
      <w:r w:rsidRPr="00351B7D">
        <w:rPr>
          <w:rFonts w:asciiTheme="minorBidi" w:hAnsiTheme="minorBidi"/>
          <w:sz w:val="16"/>
          <w:szCs w:val="16"/>
          <w:rtl/>
        </w:rPr>
        <w:t>, משא"כ כאן באלמנה שצריך ייחוד של ביאה, היינו ייחוד שמוכן ממש לביאה, ואם החתן היה רוצה היה יכול לבוא עליה, ולכן שינה מלשונו וכ' "ייחוד של ביאה" ולא כ'- "ייחוד הראוי לביאה" כבסי' ס"א, וכן מוכח מהמשך לשונו כאן שכ'- "לפיכך צריך להתחייד עמה קודם שבת וכו", ומש"כ השו"ע כאן "ואלמנה אין חופה קונה בה" כוונתו לחופה גרועה שאינה ראויה לביאה)</w:t>
      </w:r>
    </w:p>
  </w:footnote>
  <w:footnote w:id="841">
    <w:p w14:paraId="2C091944"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וכן בין השמשות מותר דכל שבות לא גזרו בין השמשות במקום מצוה </w:t>
      </w:r>
      <w:r w:rsidRPr="00351B7D">
        <w:rPr>
          <w:rFonts w:asciiTheme="minorBidi" w:hAnsiTheme="minorBidi"/>
          <w:sz w:val="16"/>
          <w:szCs w:val="16"/>
          <w:rtl/>
        </w:rPr>
        <w:t>(או"ח סי' שמ"ב סע' א)</w:t>
      </w:r>
      <w:r w:rsidRPr="00351B7D">
        <w:rPr>
          <w:rFonts w:asciiTheme="minorBidi" w:hAnsiTheme="minorBidi"/>
          <w:rtl/>
        </w:rPr>
        <w:t>,</w:t>
      </w:r>
      <w:r w:rsidRPr="00351B7D">
        <w:rPr>
          <w:rFonts w:asciiTheme="minorBidi" w:hAnsiTheme="minorBidi"/>
          <w:sz w:val="16"/>
          <w:szCs w:val="16"/>
          <w:rtl/>
        </w:rPr>
        <w:t xml:space="preserve"> </w:t>
      </w:r>
      <w:r w:rsidRPr="00351B7D">
        <w:rPr>
          <w:rFonts w:asciiTheme="minorBidi" w:hAnsiTheme="minorBidi"/>
          <w:rtl/>
        </w:rPr>
        <w:t xml:space="preserve">ט"ז </w:t>
      </w:r>
      <w:r w:rsidRPr="00351B7D">
        <w:rPr>
          <w:rFonts w:asciiTheme="minorBidi" w:hAnsiTheme="minorBidi"/>
          <w:sz w:val="16"/>
          <w:szCs w:val="16"/>
          <w:rtl/>
        </w:rPr>
        <w:t>(ססק"א)</w:t>
      </w:r>
      <w:r w:rsidRPr="00351B7D">
        <w:rPr>
          <w:rFonts w:asciiTheme="minorBidi" w:hAnsiTheme="minorBidi"/>
          <w:rtl/>
        </w:rPr>
        <w:t xml:space="preserve"> וב"ש </w:t>
      </w:r>
      <w:r w:rsidRPr="00351B7D">
        <w:rPr>
          <w:rFonts w:asciiTheme="minorBidi" w:hAnsiTheme="minorBidi"/>
          <w:sz w:val="16"/>
          <w:szCs w:val="16"/>
          <w:rtl/>
        </w:rPr>
        <w:t>(סק"ו)</w:t>
      </w:r>
      <w:r w:rsidRPr="00351B7D">
        <w:rPr>
          <w:rFonts w:asciiTheme="minorBidi" w:hAnsiTheme="minorBidi"/>
          <w:rtl/>
        </w:rPr>
        <w:t>.</w:t>
      </w:r>
    </w:p>
  </w:footnote>
  <w:footnote w:id="842">
    <w:p w14:paraId="741B0A69"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כל זה איירי אם היא טהורה אבל אם היא טמאה מותר לכונסה בערב שבת דהא הוא אין בא עליה בשבת ואינו קונה אותה בשבת, ט"ז (סק"א) וב"ש (סק"ו).</w:t>
      </w:r>
    </w:p>
  </w:footnote>
  <w:footnote w:id="843">
    <w:p w14:paraId="4C6B4DA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דס"ל חופת בתולה היינו שהביא אותה לביתו, עי' ריש סי' ס"א.</w:t>
      </w:r>
    </w:p>
  </w:footnote>
  <w:footnote w:id="844">
    <w:p w14:paraId="4B8E4AD8"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 שלוחי הבעל, ח"מ.</w:t>
      </w:r>
    </w:p>
  </w:footnote>
  <w:footnote w:id="845">
    <w:p w14:paraId="2CDA1823"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ולכל הפחות בדיעבד נתיר לו לבא עליה בשבת אע"פ דלא נתייחדה עמו מבעו"י אחר החופה</w:t>
      </w:r>
      <w:r w:rsidRPr="00351B7D">
        <w:rPr>
          <w:rFonts w:asciiTheme="minorBidi" w:hAnsiTheme="minorBidi"/>
          <w:sz w:val="16"/>
          <w:szCs w:val="16"/>
          <w:rtl/>
        </w:rPr>
        <w:t xml:space="preserve"> (וצירף שם הט"ז את דעת ר"ת שבמקום מצוה מותר לישא אשה בשבת, וכעובדה שעשה הרמ"א, ועוד שכאן איכא יותר מצוה מבחור שאין לו ילדים שרוצה לישוא בתולה, דהא בתולה לא מתעברא מביאה ראשונה ואלמנה כן)</w:t>
      </w:r>
      <w:r w:rsidRPr="00351B7D">
        <w:rPr>
          <w:rFonts w:asciiTheme="minorBidi" w:hAnsiTheme="minorBidi"/>
          <w:rtl/>
        </w:rPr>
        <w:t>, ט"ז.</w:t>
      </w:r>
    </w:p>
  </w:footnote>
  <w:footnote w:id="846">
    <w:p w14:paraId="45DCBE1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ועי' בס' ישועות יעקב (סק"ג) שמסתפק בזה בהתנו מתחילה שלא יהא לו זכות אי מהני ודעתו נוטה דלא מהני, פת"ש (סק"י).</w:t>
      </w:r>
    </w:p>
  </w:footnote>
  <w:footnote w:id="847">
    <w:p w14:paraId="4076891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וכי שמחה אסורה ביום טוב, רש"י.</w:t>
      </w:r>
    </w:p>
  </w:footnote>
  <w:footnote w:id="848">
    <w:p w14:paraId="1E75614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בעינן דלישמח בשמחת מועד לחודיה, רש"י.</w:t>
      </w:r>
    </w:p>
  </w:footnote>
  <w:footnote w:id="849">
    <w:p w14:paraId="18212C7F"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ליטרח לצורך נישואין, וטירחא במועד אסור, רש"י.</w:t>
      </w:r>
    </w:p>
  </w:footnote>
  <w:footnote w:id="850">
    <w:p w14:paraId="4BB4BFD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דאי שרי נשואין ביום טוב אין אדם נושא אשה כל השנה כולה אלא ממתין עד המועד שיהא עושה סעודה אחת למועד ולנשואין, רש"י.</w:t>
      </w:r>
    </w:p>
  </w:footnote>
  <w:footnote w:id="851">
    <w:p w14:paraId="7031057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מותר לכתחלה, ואף על גב דשבעת ימים של סעודה יהיו ברגל, רש"י.</w:t>
      </w:r>
    </w:p>
  </w:footnote>
  <w:footnote w:id="852">
    <w:p w14:paraId="23AC201E"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דנישואין חד יומא, ובשאר יומי לא חשיב מערב שמחה בשמחה, רש"י.</w:t>
      </w:r>
    </w:p>
  </w:footnote>
  <w:footnote w:id="853">
    <w:p w14:paraId="1D58F00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דנישואין ביום הראשון דנישואין, רש"י.</w:t>
      </w:r>
    </w:p>
  </w:footnote>
  <w:footnote w:id="854">
    <w:p w14:paraId="77FDCB55"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כיון שאינו יכול להתחיל אלא בערב הרגל - אין ממתינין עד הרגל, דדלמא מתרמי מלתא דלא מצי מתחיל בערב הרגל, ולא מתחיל כל הרגל, רש"י.</w:t>
      </w:r>
    </w:p>
  </w:footnote>
  <w:footnote w:id="855">
    <w:p w14:paraId="5E6E66F3"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דין זה נתבאר באו"ח סי' תקמו (סע' א) ושם נתבאר דאירוסין מותר. וערב הרגל מותר לישא אע"פ שז' ימי המשתה נמשכים בימי הרגל (שם סע' ג), דלא אסרו רק יום הראשון של הנשואין משום דעיקר שמחה חד יומא ואין מערבין שמחה בשמחה ועוד טעמי' אחרי' הנזכרים בגמ', ח"מ (סק"ז). וכ"כ ב"ש (סק"ז)  והוסיף שבשלט"ג אצל המרדכי </w:t>
      </w:r>
      <w:r w:rsidRPr="00351B7D">
        <w:rPr>
          <w:rFonts w:asciiTheme="minorBidi" w:hAnsiTheme="minorBidi"/>
          <w:sz w:val="16"/>
          <w:szCs w:val="16"/>
          <w:rtl/>
        </w:rPr>
        <w:t xml:space="preserve">(כתובות אות א) </w:t>
      </w:r>
      <w:r w:rsidRPr="00351B7D">
        <w:rPr>
          <w:rFonts w:asciiTheme="minorBidi" w:hAnsiTheme="minorBidi"/>
          <w:rtl/>
        </w:rPr>
        <w:t>כ' בשם הריטב"א</w:t>
      </w:r>
      <w:r w:rsidRPr="00351B7D">
        <w:rPr>
          <w:rFonts w:asciiTheme="minorBidi" w:hAnsiTheme="minorBidi"/>
          <w:sz w:val="16"/>
          <w:szCs w:val="16"/>
          <w:rtl/>
        </w:rPr>
        <w:t xml:space="preserve"> (שו"ת הריטב"א סי' א) </w:t>
      </w:r>
      <w:r w:rsidRPr="00351B7D">
        <w:rPr>
          <w:rFonts w:asciiTheme="minorBidi" w:hAnsiTheme="minorBidi"/>
          <w:rtl/>
        </w:rPr>
        <w:t>אסור לעשות סעודה ביו"ט אא"כ נכנסו [פנים חדשות] מעצמן.</w:t>
      </w:r>
    </w:p>
  </w:footnote>
  <w:footnote w:id="856">
    <w:p w14:paraId="4C7067D8"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דין מי שהכין צרכי סעודה, כלומר לחופה, ואירעו אבל כתבתי בספר יו"ד בהל' אבל בסימן שמ"ב, טור וב"י.</w:t>
      </w:r>
    </w:p>
  </w:footnote>
  <w:footnote w:id="857">
    <w:p w14:paraId="0F4CB51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 אומרים לפניה, רש"י.</w:t>
      </w:r>
    </w:p>
  </w:footnote>
  <w:footnote w:id="858">
    <w:p w14:paraId="0CCB20B9"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לפי יופיה וחשיבותה מקלסין אותה, רש"י.</w:t>
      </w:r>
    </w:p>
  </w:footnote>
  <w:footnote w:id="859">
    <w:p w14:paraId="67B320FC"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חוט של חסד משוך עליה, רש"י.</w:t>
      </w:r>
    </w:p>
  </w:footnote>
  <w:footnote w:id="860">
    <w:p w14:paraId="5E056432"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מדברי ב"ה שאמרו ישבחנה, רש"י.</w:t>
      </w:r>
    </w:p>
  </w:footnote>
  <w:footnote w:id="861">
    <w:p w14:paraId="0FE1CDA6"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לעשות לאיש ואיש כרצונו, רש"י.</w:t>
      </w:r>
    </w:p>
  </w:footnote>
  <w:footnote w:id="862">
    <w:p w14:paraId="649B19F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מזלזל בחמשה קולות שבירך בהן הקדוש ברוך הוא את ישראל, רש"י.</w:t>
      </w:r>
    </w:p>
  </w:footnote>
  <w:footnote w:id="863">
    <w:p w14:paraId="2D400F91"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b/>
          <w:bCs/>
          <w:rtl/>
        </w:rPr>
        <w:t xml:space="preserve">ירמיהו לג יא: </w:t>
      </w:r>
      <w:r w:rsidRPr="00351B7D">
        <w:rPr>
          <w:rFonts w:asciiTheme="minorBidi" w:hAnsiTheme="minorBidi"/>
          <w:rtl/>
        </w:rPr>
        <w:t>ק֣וֹל שָׂשׂ֞וֹן וְק֣וֹל שִׂמְחָ֗ה ק֣וֹל חָתָן֘ וְק֣וֹל כַּלָּה֒ ק֣וֹל אֹמְרִ֡ים הוֹדוּ֩ אֶת־יְקֹוָ֨ק צְבָא֜וֹת כִּֽי־ט֤וֹב יְקֹוָק֙ כִּֽי־לְעוֹלָ֣ם חַסְדּ֔וֹ מְבִאִ֥ים תּוֹדָ֖ה בֵּ֣ית יְקֹוָ֑ק כִּֽי־אָשִׁ֧יב אֶת־שְׁבוּת־הָאָ֛רֶץ כְּבָרִאשֹׁנָ֖ה אָמַ֥ר יְקֹוָֽק.</w:t>
      </w:r>
    </w:p>
  </w:footnote>
  <w:footnote w:id="864">
    <w:p w14:paraId="0DA20AAA"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וכתב הטור כל הנהנה מסעודת חתן וכלה ואינו משמחו עובר בה' קולות, וכ' בפרישה</w:t>
      </w:r>
      <w:r w:rsidRPr="00351B7D">
        <w:rPr>
          <w:rFonts w:asciiTheme="minorBidi" w:hAnsiTheme="minorBidi"/>
          <w:sz w:val="16"/>
          <w:szCs w:val="16"/>
          <w:rtl/>
        </w:rPr>
        <w:t xml:space="preserve"> (אות ב)</w:t>
      </w:r>
      <w:r w:rsidRPr="00351B7D">
        <w:rPr>
          <w:rFonts w:asciiTheme="minorBidi" w:hAnsiTheme="minorBidi"/>
          <w:rtl/>
        </w:rPr>
        <w:t xml:space="preserve"> דוקא מי שנהנה ואינו משמחו הוא עובר אבל מי שאינו שם אינו עובר. מיהו לשון הפוסקים שכתבו מצוה לשמח משמע דמצוה שילך לשם וישמח אותם, ב"ש (סק"א).</w:t>
      </w:r>
    </w:p>
  </w:footnote>
  <w:footnote w:id="865">
    <w:p w14:paraId="1C7FDF32"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לא שאם יש לה מום יאמר שאין לה מום דזה שקר גמור, רק יאמר סתם שהיא נאה וחוט של חסד משוך עליה לאפוקי מדעת ב"ש וכמו שכתבו התוס', ח"מ</w:t>
      </w:r>
      <w:r w:rsidRPr="00351B7D">
        <w:rPr>
          <w:rFonts w:asciiTheme="minorBidi" w:hAnsiTheme="minorBidi"/>
          <w:sz w:val="16"/>
          <w:szCs w:val="16"/>
          <w:rtl/>
        </w:rPr>
        <w:t xml:space="preserve"> (סק"א)</w:t>
      </w:r>
      <w:r w:rsidRPr="00351B7D">
        <w:rPr>
          <w:rFonts w:asciiTheme="minorBidi" w:hAnsiTheme="minorBidi"/>
          <w:rtl/>
        </w:rPr>
        <w:t>. ולא עובר בזה על מדבר שקר תרחק דיש לתרץ דבריו שהיא נאה במעשיה, פרישה</w:t>
      </w:r>
      <w:r w:rsidRPr="00351B7D">
        <w:rPr>
          <w:rFonts w:asciiTheme="minorBidi" w:hAnsiTheme="minorBidi"/>
          <w:sz w:val="16"/>
          <w:szCs w:val="16"/>
          <w:rtl/>
        </w:rPr>
        <w:t xml:space="preserve"> (אות א)</w:t>
      </w:r>
      <w:r w:rsidRPr="00351B7D">
        <w:rPr>
          <w:rFonts w:asciiTheme="minorBidi" w:hAnsiTheme="minorBidi"/>
          <w:rtl/>
        </w:rPr>
        <w:t>. וכל שהוא מפני דרכי שלום אין בו משום מדבר שקר תרחק, ריטב"א.</w:t>
      </w:r>
    </w:p>
  </w:footnote>
  <w:footnote w:id="866">
    <w:p w14:paraId="70A246EB"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 xml:space="preserve">אפילו מי שתורתו אומנתו מחויב לבטל, לא שהוא רשות </w:t>
      </w:r>
      <w:r w:rsidRPr="00351B7D">
        <w:rPr>
          <w:rFonts w:asciiTheme="minorBidi" w:hAnsiTheme="minorBidi"/>
          <w:color w:val="000000"/>
          <w:sz w:val="16"/>
          <w:szCs w:val="16"/>
          <w:rtl/>
        </w:rPr>
        <w:t>(רא"ש)</w:t>
      </w:r>
      <w:r w:rsidRPr="00351B7D">
        <w:rPr>
          <w:rFonts w:asciiTheme="minorBidi" w:hAnsiTheme="minorBidi"/>
          <w:color w:val="000000"/>
          <w:rtl/>
        </w:rPr>
        <w:t>, ח"מ (סק"ב) וב"ש (סק"ג).</w:t>
      </w:r>
    </w:p>
  </w:footnote>
  <w:footnote w:id="867">
    <w:p w14:paraId="1C87A9B2" w14:textId="77777777" w:rsidR="00DF1FC7" w:rsidRPr="00351B7D" w:rsidRDefault="00DF1FC7" w:rsidP="008E16D0">
      <w:pPr>
        <w:spacing w:after="0" w:line="240" w:lineRule="auto"/>
        <w:rPr>
          <w:rFonts w:asciiTheme="minorBidi" w:hAnsiTheme="minorBidi"/>
          <w:sz w:val="20"/>
          <w:szCs w:val="20"/>
        </w:rPr>
      </w:pPr>
      <w:r w:rsidRPr="00351B7D">
        <w:rPr>
          <w:rStyle w:val="a7"/>
          <w:rFonts w:asciiTheme="minorBidi" w:hAnsiTheme="minorBidi"/>
          <w:sz w:val="20"/>
          <w:szCs w:val="20"/>
        </w:rPr>
        <w:footnoteRef/>
      </w:r>
      <w:r w:rsidRPr="00351B7D">
        <w:rPr>
          <w:rFonts w:asciiTheme="minorBidi" w:hAnsiTheme="minorBidi"/>
          <w:sz w:val="20"/>
          <w:szCs w:val="20"/>
          <w:rtl/>
        </w:rPr>
        <w:t xml:space="preserve"> והכנסה זו היא מה שאנו מוליכים את החתן לחופה</w:t>
      </w:r>
      <w:r w:rsidRPr="00351B7D">
        <w:rPr>
          <w:rFonts w:asciiTheme="minorBidi" w:hAnsiTheme="minorBidi"/>
          <w:sz w:val="16"/>
          <w:szCs w:val="16"/>
          <w:rtl/>
        </w:rPr>
        <w:t xml:space="preserve"> (ולא כמו שכ' הדרישה שהכנסה זו היא הולכת החתן לכסות את הכלה בהינומא, דזו אינה חופה כלל)</w:t>
      </w:r>
      <w:r w:rsidRPr="00351B7D">
        <w:rPr>
          <w:rFonts w:asciiTheme="minorBidi" w:hAnsiTheme="minorBidi"/>
          <w:sz w:val="20"/>
          <w:szCs w:val="20"/>
          <w:rtl/>
        </w:rPr>
        <w:t>, ובהולכה לחופה זו אין הולכים אלא ללות החתן אבל לא ללות הכלה ששם כל הנשים הולכים עמה ואין להתערב שם עמהם, וראיתי בקצת מקומות שהרבה אנשים חשובי העיר הולכים באמת לקראת הכלה וכשמתקרבים אליה חוזרים לאחוריהם להחופה וזה נקרא גם כן לויה ונכון הוא, ט"ז (סק"ב) וב"ש (סק"ג).</w:t>
      </w:r>
    </w:p>
  </w:footnote>
  <w:footnote w:id="868">
    <w:p w14:paraId="1B85E31D"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מי שכתב את המנהגים זה תלמיד של מהרי"ל שערך ושימר את כל המנהגים ששמע או ראה אצל מהרי"ל, וכשאומר בדבריו-מהר"י סג"ל- כוונתו למהרי"ל.</w:t>
      </w:r>
    </w:p>
  </w:footnote>
  <w:footnote w:id="869">
    <w:p w14:paraId="7A669404" w14:textId="77777777" w:rsidR="00DF1FC7" w:rsidRPr="00351B7D" w:rsidRDefault="00DF1FC7" w:rsidP="008E16D0">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כשרואה הכל מסתכלים בה נכנס יופיה בלבו, רש"י.</w:t>
      </w:r>
    </w:p>
  </w:footnote>
  <w:footnote w:id="870">
    <w:p w14:paraId="4C495E67"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המקנה (קו"ב סע' ב) דדוקא להסתכל הרבה אסור אבל ראיה בעלמא לא מיתסרא, א"כ יכולים להעיד בראיה בעלמא.</w:t>
      </w:r>
    </w:p>
  </w:footnote>
  <w:footnote w:id="871">
    <w:p w14:paraId="35B7867C" w14:textId="77777777" w:rsidR="00DF1FC7" w:rsidRPr="00351B7D" w:rsidRDefault="00DF1FC7" w:rsidP="008E16D0">
      <w:pPr>
        <w:pStyle w:val="a5"/>
        <w:rPr>
          <w:rFonts w:asciiTheme="minorBidi" w:hAnsiTheme="minorBidi"/>
        </w:rPr>
      </w:pPr>
      <w:r w:rsidRPr="00351B7D">
        <w:rPr>
          <w:rStyle w:val="a7"/>
          <w:rFonts w:asciiTheme="minorBidi" w:hAnsiTheme="minorBidi"/>
          <w:color w:val="FF0000"/>
        </w:rPr>
        <w:footnoteRef/>
      </w:r>
      <w:r w:rsidRPr="00351B7D">
        <w:rPr>
          <w:rFonts w:asciiTheme="minorBidi" w:hAnsiTheme="minorBidi"/>
          <w:color w:val="FF0000"/>
          <w:rtl/>
        </w:rPr>
        <w:t xml:space="preserve"> הב"י לא הביא את דברי הרמב"ם וצל"ע מדוע.</w:t>
      </w:r>
    </w:p>
  </w:footnote>
  <w:footnote w:id="872">
    <w:p w14:paraId="5CAF208E" w14:textId="77777777" w:rsidR="00DF1FC7" w:rsidRPr="00351B7D" w:rsidRDefault="00DF1FC7" w:rsidP="008E16D0">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כשכלה יוצאה מבית אביה לבית חתונתה ונושאי מת יוצאים ובזו ובזו אוכלוסים הרבה ואין רוצין להתערב מעבירין את המת (אפילו) דרך אחרת, רש"י.</w:t>
      </w:r>
    </w:p>
  </w:footnote>
  <w:footnote w:id="873">
    <w:p w14:paraId="327CA81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תנו לה מטלטלין תחת ידה במשכון לשיעבוד כתובתה עד שיכתבו שטר כתובתה בשעבוד קרקעות, רש"י.</w:t>
      </w:r>
    </w:p>
  </w:footnote>
  <w:footnote w:id="874">
    <w:p w14:paraId="73491F8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בהעי"ט </w:t>
      </w:r>
      <w:r w:rsidRPr="00351B7D">
        <w:rPr>
          <w:rFonts w:asciiTheme="minorBidi" w:hAnsiTheme="minorBidi"/>
          <w:sz w:val="16"/>
          <w:szCs w:val="16"/>
          <w:rtl/>
        </w:rPr>
        <w:t xml:space="preserve">(ח"ב ברכת חתנים ח"ג סד ע"א) </w:t>
      </w:r>
      <w:r w:rsidRPr="00351B7D">
        <w:rPr>
          <w:rFonts w:asciiTheme="minorBidi" w:hAnsiTheme="minorBidi"/>
          <w:rtl/>
        </w:rPr>
        <w:t xml:space="preserve">ורמב"ם </w:t>
      </w:r>
      <w:r w:rsidRPr="00351B7D">
        <w:rPr>
          <w:rFonts w:asciiTheme="minorBidi" w:hAnsiTheme="minorBidi"/>
          <w:sz w:val="16"/>
          <w:szCs w:val="16"/>
          <w:rtl/>
        </w:rPr>
        <w:t>(פ"י מה"א ה"ז)</w:t>
      </w:r>
      <w:r w:rsidRPr="00351B7D">
        <w:rPr>
          <w:rFonts w:asciiTheme="minorBidi" w:hAnsiTheme="minorBidi"/>
          <w:rtl/>
        </w:rPr>
        <w:t>.</w:t>
      </w:r>
    </w:p>
  </w:footnote>
  <w:footnote w:id="875">
    <w:p w14:paraId="574B0EC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אות א. וכן נראה דעת הח"מ (סק"א) והב"ש (סק"א) שהעתיקו את דברי הב"ח ללא חולק. וטעמו של הב"ח הוא שהרמב"ם דקדק בלשונו ולא כתב שיש איסור בדבר רק שכתב וצריך לכתוב כתובה קודם כניסתה לחופה ואח"כ יהיה מותר באשתו, משמע שלכתחלה צריך לעשות כך שלא יבוא לידי איסור אבל איסור ממש לא שמענו ביחוד.</w:t>
      </w:r>
    </w:p>
  </w:footnote>
  <w:footnote w:id="876">
    <w:p w14:paraId="7581C911"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דברי בהעי"ט והרמב"ם (שהביא הר"ן לפנ"כ).</w:t>
      </w:r>
    </w:p>
  </w:footnote>
  <w:footnote w:id="877">
    <w:p w14:paraId="0F0B91E8"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דכיון דאסיקנא בפרק הבא על יבמתו (דף נז ב) דיש חופה לפסולות כגון אלמנה לכהן גדול וחברותיה אף על גב דלא חזיין לעולם לביאה וליחוד הא נמי לא גרעה מינייהו אבל לכתחלה אין מכניסין אותה לחופה עד שתטהר אי חופה היינו יחוד כמו שכתוב במקצת מקומות, ר"ן.</w:t>
      </w:r>
    </w:p>
  </w:footnote>
  <w:footnote w:id="878">
    <w:p w14:paraId="49E9272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הרשב"ש (הובא בב"י) דאפילו לדברי הרשב"א שמכשיר כתובה שנכתבה ביום ונחתמה בלילה היינו דוקא במנה ומאתים ולא בתוספת ולא בנדוניא. </w:t>
      </w:r>
      <w:r w:rsidRPr="00351B7D">
        <w:rPr>
          <w:rFonts w:asciiTheme="minorBidi" w:hAnsiTheme="minorBidi"/>
          <w:sz w:val="16"/>
          <w:szCs w:val="16"/>
          <w:rtl/>
        </w:rPr>
        <w:t>(וכן מפורש בדברי הרשב"א שם)</w:t>
      </w:r>
      <w:r w:rsidRPr="00351B7D">
        <w:rPr>
          <w:rFonts w:asciiTheme="minorBidi" w:hAnsiTheme="minorBidi"/>
          <w:rtl/>
        </w:rPr>
        <w:t xml:space="preserve">. וכ' הדרכ"מ </w:t>
      </w:r>
      <w:r w:rsidRPr="00351B7D">
        <w:rPr>
          <w:rFonts w:asciiTheme="minorBidi" w:hAnsiTheme="minorBidi"/>
          <w:sz w:val="16"/>
          <w:szCs w:val="16"/>
          <w:rtl/>
        </w:rPr>
        <w:t xml:space="preserve">(אות ג) </w:t>
      </w:r>
      <w:r w:rsidRPr="00351B7D">
        <w:rPr>
          <w:rFonts w:asciiTheme="minorBidi" w:hAnsiTheme="minorBidi"/>
          <w:rtl/>
        </w:rPr>
        <w:t xml:space="preserve">שכ"כ המרדכי </w:t>
      </w:r>
      <w:r w:rsidRPr="00351B7D">
        <w:rPr>
          <w:rFonts w:asciiTheme="minorBidi" w:hAnsiTheme="minorBidi"/>
          <w:sz w:val="16"/>
          <w:szCs w:val="16"/>
          <w:rtl/>
        </w:rPr>
        <w:t xml:space="preserve">(גיטין סי' שלז) </w:t>
      </w:r>
      <w:r w:rsidRPr="00351B7D">
        <w:rPr>
          <w:rFonts w:asciiTheme="minorBidi" w:hAnsiTheme="minorBidi"/>
          <w:rtl/>
        </w:rPr>
        <w:t xml:space="preserve">הר"ן </w:t>
      </w:r>
      <w:r w:rsidRPr="00351B7D">
        <w:rPr>
          <w:rFonts w:asciiTheme="minorBidi" w:hAnsiTheme="minorBidi"/>
          <w:sz w:val="16"/>
          <w:szCs w:val="16"/>
          <w:rtl/>
        </w:rPr>
        <w:t xml:space="preserve">(ח: ד"ה כתובה) </w:t>
      </w:r>
      <w:r w:rsidRPr="00351B7D">
        <w:rPr>
          <w:rFonts w:asciiTheme="minorBidi" w:hAnsiTheme="minorBidi"/>
          <w:rtl/>
        </w:rPr>
        <w:t>והגה"א</w:t>
      </w:r>
      <w:r w:rsidRPr="00351B7D">
        <w:rPr>
          <w:rFonts w:asciiTheme="minorBidi" w:hAnsiTheme="minorBidi"/>
          <w:sz w:val="16"/>
          <w:szCs w:val="16"/>
          <w:rtl/>
        </w:rPr>
        <w:t xml:space="preserve"> (סי' ז)</w:t>
      </w:r>
      <w:r w:rsidRPr="00351B7D">
        <w:rPr>
          <w:rFonts w:asciiTheme="minorBidi" w:hAnsiTheme="minorBidi"/>
          <w:rtl/>
        </w:rPr>
        <w:t>.</w:t>
      </w:r>
    </w:p>
  </w:footnote>
  <w:footnote w:id="879">
    <w:p w14:paraId="108FF403"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מלקט 'הגהות אשרי' הוא ר' ישראל מקרמז' </w:t>
      </w:r>
      <w:r w:rsidRPr="00351B7D">
        <w:rPr>
          <w:rFonts w:asciiTheme="minorBidi" w:hAnsiTheme="minorBidi"/>
          <w:sz w:val="16"/>
          <w:szCs w:val="16"/>
          <w:rtl/>
        </w:rPr>
        <w:t>(אוסטריה, המאה הי"ד)</w:t>
      </w:r>
      <w:r w:rsidRPr="00351B7D">
        <w:rPr>
          <w:rFonts w:asciiTheme="minorBidi" w:hAnsiTheme="minorBidi"/>
          <w:rtl/>
        </w:rPr>
        <w:t>, אבי - סבו של ר' ישראל איסרלין בעל 'תרומת הדשן'.</w:t>
      </w:r>
    </w:p>
  </w:footnote>
  <w:footnote w:id="880">
    <w:p w14:paraId="7D90DFB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הגר"א</w:t>
      </w:r>
      <w:r w:rsidRPr="00351B7D">
        <w:rPr>
          <w:rFonts w:asciiTheme="minorBidi" w:hAnsiTheme="minorBidi"/>
          <w:sz w:val="16"/>
          <w:szCs w:val="16"/>
          <w:rtl/>
        </w:rPr>
        <w:t xml:space="preserve"> (סק"ט) </w:t>
      </w:r>
      <w:r w:rsidRPr="00351B7D">
        <w:rPr>
          <w:rFonts w:asciiTheme="minorBidi" w:hAnsiTheme="minorBidi"/>
          <w:rtl/>
        </w:rPr>
        <w:t>וז"ל- והמרדכי הזה קשה להולמו, ומצאתי במרדכי מוגה וז"ל ע"ז סמכו חכמים שמניחין לחתום הכתובה בני אדם שאינם יודעים לקרותה וטעמא משום שקראוהו חכמי הקהל ואיכא אימתא דציבורא לשקר וגם העדים כו'. וכן הוא בהגה"א שם ד"ה ובכתובות שלנו כו', ומ"מ סוף דברי המרדכי איני יכול להולמו מאי מיחזי כשיקרא איכא וכי בלא קנין אינם יכולים לחתום, לא מיבעיא לדעת רב האי בסע' ח' דא"צ קניין אלא אפילו לדעת החולקים מ"מ כיון שאמר להם כתובו וחתומו ודאי א"צ דלא גרע משאר מתנה, וכמ"ש בר"פ אף על פי ושאר מקומות, ואפשר לדחוק דלא אמר להם כתובו וחתומו וצ"ל דקנין לאו דוקא, וצ"ע.</w:t>
      </w:r>
    </w:p>
  </w:footnote>
  <w:footnote w:id="881">
    <w:p w14:paraId="39E289E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בדרכ"מ (אות ג') נוסף כאן- "ולאו שפיר עבדי, מ"מ כיון דנהגו נהגו ואין למחות בידם שלא להוציא לעז על כתובות הראשונות", וכן הוסיף בהג"ה, </w:t>
      </w:r>
      <w:r w:rsidRPr="00351B7D">
        <w:rPr>
          <w:rFonts w:asciiTheme="minorBidi" w:hAnsiTheme="minorBidi"/>
          <w:color w:val="FF0000"/>
          <w:rtl/>
        </w:rPr>
        <w:t>וצ"ע שהרי מדברי ההגה"א שציטט את האו"ז לא משמע דלאו שפיר עבדי.</w:t>
      </w:r>
    </w:p>
  </w:footnote>
  <w:footnote w:id="882">
    <w:p w14:paraId="42D04AE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פשיטא מי גריעה אשתו מיבמתו, רש"י.</w:t>
      </w:r>
    </w:p>
  </w:footnote>
  <w:footnote w:id="883">
    <w:p w14:paraId="4BD5D19D"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גבי יבמתו קאמרינן שלא ייחד לה מעות לפני שולחנו, רש"י.</w:t>
      </w:r>
    </w:p>
  </w:footnote>
  <w:footnote w:id="884">
    <w:p w14:paraId="64D7442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כתובה האי יבם דליכתוב בה נכסים, רש"י.</w:t>
      </w:r>
    </w:p>
  </w:footnote>
  <w:footnote w:id="885">
    <w:p w14:paraId="315DACDC"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כבר, רש"י.</w:t>
      </w:r>
    </w:p>
  </w:footnote>
  <w:footnote w:id="886">
    <w:p w14:paraId="71BD4BF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שאני עתיד לקנות הלכך איכא איבה דלא סמכה דעתה שלא יאבדו המעות, רש"י.</w:t>
      </w:r>
    </w:p>
  </w:footnote>
  <w:footnote w:id="887">
    <w:p w14:paraId="0618069F"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 הרמב"ם </w:t>
      </w:r>
      <w:r w:rsidRPr="00351B7D">
        <w:rPr>
          <w:rFonts w:asciiTheme="minorBidi" w:hAnsiTheme="minorBidi"/>
          <w:sz w:val="16"/>
          <w:szCs w:val="16"/>
          <w:rtl/>
        </w:rPr>
        <w:t>(פ"י מה"א ה"ז-ט)</w:t>
      </w:r>
      <w:r w:rsidRPr="00351B7D">
        <w:rPr>
          <w:rFonts w:asciiTheme="minorBidi" w:hAnsiTheme="minorBidi"/>
          <w:rtl/>
        </w:rPr>
        <w:t xml:space="preserve"> בדין זה כך- וצריך לכתוב כתובה קודם כניסה לחופה ואחר כך יהיה מותר באשתו וכמה הוא כותב לה וכו' אחד הכותב את הכתובה בשטר ואחד שהעידו עליו עדים וקנו מידו שהוא חייב לה ק' או ק"ק ה"ז מותר וכן אם נתן לה מטלטלין כנגד כתובתה ה"ז מותר לבעול עד שיהא לו פנאי לכתוב.</w:t>
      </w:r>
    </w:p>
  </w:footnote>
  <w:footnote w:id="888">
    <w:p w14:paraId="62C2A4C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וז"ל- היכא דאיכא עידי קנין שטר הכתובה הוא ראיה בעלמא ואי אירכסא</w:t>
      </w:r>
      <w:r w:rsidRPr="00351B7D">
        <w:rPr>
          <w:rFonts w:asciiTheme="minorBidi" w:hAnsiTheme="minorBidi"/>
          <w:sz w:val="16"/>
          <w:szCs w:val="16"/>
          <w:rtl/>
        </w:rPr>
        <w:t xml:space="preserve"> {אבדה}</w:t>
      </w:r>
      <w:r w:rsidRPr="00351B7D">
        <w:rPr>
          <w:rFonts w:asciiTheme="minorBidi" w:hAnsiTheme="minorBidi"/>
          <w:rtl/>
        </w:rPr>
        <w:t xml:space="preserve"> כתובתה אינה אסורה לו, והא דאמרינן אסור לאדם וכו' היינו היכא דליכא עידי קנין ולא הקנה לה כתובה.</w:t>
      </w:r>
    </w:p>
  </w:footnote>
  <w:footnote w:id="889">
    <w:p w14:paraId="6037534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כדאיתא בבבא בתרא</w:t>
      </w:r>
      <w:r w:rsidRPr="00351B7D">
        <w:rPr>
          <w:rFonts w:asciiTheme="minorBidi" w:hAnsiTheme="minorBidi"/>
          <w:sz w:val="16"/>
          <w:szCs w:val="16"/>
          <w:rtl/>
        </w:rPr>
        <w:t xml:space="preserve"> (מ.)</w:t>
      </w:r>
      <w:r w:rsidRPr="00351B7D">
        <w:rPr>
          <w:rFonts w:asciiTheme="minorBidi" w:hAnsiTheme="minorBidi"/>
          <w:rtl/>
        </w:rPr>
        <w:t xml:space="preserve">, וכ"כ הה"מ על דברי הרמב"ם </w:t>
      </w:r>
      <w:r w:rsidRPr="00351B7D">
        <w:rPr>
          <w:rFonts w:asciiTheme="minorBidi" w:hAnsiTheme="minorBidi"/>
          <w:sz w:val="16"/>
          <w:szCs w:val="16"/>
          <w:rtl/>
        </w:rPr>
        <w:t>(וז"ל- פשוט הוא שהקנין הרי הוא כאילו נכתב וגם כן ידוע דסתם קנין לכתיבה עומד)</w:t>
      </w:r>
      <w:r w:rsidRPr="00351B7D">
        <w:rPr>
          <w:rFonts w:asciiTheme="minorBidi" w:hAnsiTheme="minorBidi"/>
          <w:rtl/>
        </w:rPr>
        <w:t xml:space="preserve">. </w:t>
      </w:r>
    </w:p>
  </w:footnote>
  <w:footnote w:id="890">
    <w:p w14:paraId="4582E2D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וזהו שכתב- 'אחד הכותב כתובה בשטר ואחד שהעידו עליו עדים וקנו מידו ה"ז מותר', דמשמע בהדיא דסתם קנין אע"פ שלא נכתב דינו שוה לכותב ממש ובשניהם מותר לגמרי, ולא כתב 'עד שיהיה לו פנאי לכתוב' אלא בנתן לה מטלטלין כנגד כתובתה ומטעמא דפרישנא, ב"י.</w:t>
      </w:r>
    </w:p>
  </w:footnote>
  <w:footnote w:id="891">
    <w:p w14:paraId="4944812F"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שורש ס"ד. וכ"כ מהרי"ק בשם סמ"ג ואביאסף </w:t>
      </w:r>
      <w:r w:rsidRPr="00351B7D">
        <w:rPr>
          <w:rFonts w:asciiTheme="minorBidi" w:hAnsiTheme="minorBidi"/>
          <w:sz w:val="16"/>
          <w:szCs w:val="16"/>
          <w:rtl/>
        </w:rPr>
        <w:t>(הובאו במרדכי סי' ק"ל, ואביאסף נשמט בכמה מהד')</w:t>
      </w:r>
      <w:r w:rsidRPr="00351B7D">
        <w:rPr>
          <w:rFonts w:asciiTheme="minorBidi" w:hAnsiTheme="minorBidi"/>
          <w:rtl/>
        </w:rPr>
        <w:t xml:space="preserve">, אך יש בסמ"ג הוספת פרט קטן וחשוב לכן ציטטתי את דבריו בנפרד מדברי מהרי"ק. </w:t>
      </w:r>
      <w:r w:rsidRPr="00351B7D">
        <w:rPr>
          <w:rFonts w:asciiTheme="minorBidi" w:hAnsiTheme="minorBidi"/>
          <w:sz w:val="16"/>
          <w:szCs w:val="16"/>
          <w:rtl/>
        </w:rPr>
        <w:t>(ועוד שיש מחלוקת בהבנת דברי המרדכי והאביאסף (עי' ב"ח אות ד) לכן השמטתי דבריהם).</w:t>
      </w:r>
    </w:p>
  </w:footnote>
  <w:footnote w:id="892">
    <w:p w14:paraId="641CBB51"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ע"כ לשון מהרי"ק, וכ' הב"י על הטור ומהרי"ק שלא דקו בדברי הרמב"ם ושדבר פשוט הוא בעיניו בדקדוק הבנת לשון הרמב"ם. וכ' הדרכ"מ (אות ז*) על דברי הב"י הללו- "ואין דבריו מוכרחין כלל".</w:t>
      </w:r>
    </w:p>
  </w:footnote>
  <w:footnote w:id="893">
    <w:p w14:paraId="3D4B0B1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עשין מ"ח ד"ה וכל הפוחת.</w:t>
      </w:r>
    </w:p>
  </w:footnote>
  <w:footnote w:id="894">
    <w:p w14:paraId="02F4293A"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ועל כן סגי בעידי קנין, אבל במקום שכותבין אף דקנו מידו לא סמכה דעתה כי לא עליה מוטל הטורח וליתן שכר הסופר, גם שמא ימות בעלה פתאום ויטענו היורשים פרענו הכתובה וקרענוה, ח"מ (סק"ה).</w:t>
      </w:r>
    </w:p>
  </w:footnote>
  <w:footnote w:id="895">
    <w:p w14:paraId="6BDE4353"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ונוסף כאן בתוך דברי הסמ"ג את הסוגריים הללו- (ע"פ רמב"ם פ"י ה"ט ע"ש ובמ"מ). ונ"ל שזה לא מדברי הסמ"ג אלא הוספה מאוחרת יותר שהרי המ"מ נולד ארבעים שנה לאחר הסמ"ג, והח"מ (סק"ה) והגר"א (סק"ד) כ' שבאמת הסמ"ג מפרש כן בדברי הרמב"ם</w:t>
      </w:r>
      <w:r w:rsidRPr="00351B7D">
        <w:rPr>
          <w:rFonts w:asciiTheme="minorBidi" w:hAnsiTheme="minorBidi"/>
          <w:sz w:val="16"/>
          <w:szCs w:val="16"/>
          <w:rtl/>
        </w:rPr>
        <w:t xml:space="preserve"> (לכן אפ"ל שלפניהם לא היה כ' -ובמ"מ- ואז אפשר לומר שסוגרים אלו הם דברי הסמ"ג, שידוע שהסמ"ג בנוי בעיקר על משנה תורה לרמב"ם רק שתיקן את המגרעות שבגללן לא התקבל עד אז [היעדר המקורות והתעלמות ממסורת הפסיקה הצרפתית אשכנזית])</w:t>
      </w:r>
      <w:r w:rsidRPr="00351B7D">
        <w:rPr>
          <w:rFonts w:asciiTheme="minorBidi" w:hAnsiTheme="minorBidi"/>
          <w:rtl/>
        </w:rPr>
        <w:t>.</w:t>
      </w:r>
    </w:p>
  </w:footnote>
  <w:footnote w:id="896">
    <w:p w14:paraId="48C9BC44"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סוף אות ד. וז"ל- עכשיו שכותבין כתובה, עידי קנין אינן מועילין אפילו ליום או יומים, אבל התפסת מטלטלין מועיל ליום או יומים וכך נוהגין אפילו בשעת הדחק דאין סומכין אעידי קנין אלא בהתפסת מטלטלין, וכן כשנמצא הכתובה פסולה בעינן התפסת מטלטלין דוקא, וכך ראיתי מרבותי והכי נהוג.</w:t>
      </w:r>
    </w:p>
  </w:footnote>
  <w:footnote w:id="897">
    <w:p w14:paraId="7E4869DF"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 מן הטעמים שכתב הר"ן שהיא לא תשמע לו מפני שהיא יודעת שהיא קלה בעיניו להוציאה, ע"כ טוב להודיע לה זה אם מתייחד עמה בלא כתובה, ח"מ (סק"ב).</w:t>
      </w:r>
    </w:p>
  </w:footnote>
  <w:footnote w:id="898">
    <w:p w14:paraId="3B1282CD"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הנה לרמב"ם נמי בדיעבד הוי חופה אם לא כ' כתובה, כמ"ש המגיד פ"י ול"ד לנדה, כמ"ש הר"ן ריש כתובות, אלא להרמב"ם צריך לכתוב כתובה קודם החופה כדי שאל יחסר שום דבר אפילו דבר שהוא מדרבנן, אבל להרא"ש עושין חופה אפילו לכתחלה בלא כתובה, ב"ש (סי' סא סק"ג).</w:t>
      </w:r>
    </w:p>
  </w:footnote>
  <w:footnote w:id="899">
    <w:p w14:paraId="5030D6CD"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מפני שהוא טובה שלו שע"י הכתובה מותר לו לבא עליה, ובגמרא</w:t>
      </w:r>
      <w:r w:rsidRPr="00351B7D">
        <w:rPr>
          <w:rFonts w:asciiTheme="minorBidi" w:hAnsiTheme="minorBidi"/>
          <w:sz w:val="16"/>
          <w:szCs w:val="16"/>
          <w:rtl/>
        </w:rPr>
        <w:t xml:space="preserve"> (ב"ב קסח.)</w:t>
      </w:r>
      <w:r w:rsidRPr="00351B7D">
        <w:rPr>
          <w:rFonts w:asciiTheme="minorBidi" w:hAnsiTheme="minorBidi"/>
          <w:rtl/>
        </w:rPr>
        <w:t xml:space="preserve"> אמרו אפי' הבעל ת"ח, ח"מ (סק"ג).</w:t>
      </w:r>
    </w:p>
  </w:footnote>
  <w:footnote w:id="900">
    <w:p w14:paraId="7CAD58A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בין שיתן לה המעות לידה שתצניע בבית אביה או בבית חמיה כדאיתא בגמרא שתקנו' שמעון בן שטח שיהא כותב לה כל נכסי אחראין לכתובתך כדי שלא יאמר לה בכעסו טלי כתובתך וצאי, ח"מ (סק"ד).</w:t>
      </w:r>
    </w:p>
  </w:footnote>
  <w:footnote w:id="901">
    <w:p w14:paraId="212DF062"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אם מיחד לה קרקע מותר, רמ"א (בשו"ת סי' צ"ג, הביאו הבאה"ט סק"ד).</w:t>
      </w:r>
    </w:p>
  </w:footnote>
  <w:footnote w:id="902">
    <w:p w14:paraId="7A6B959F"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ישועות יעקב</w:t>
      </w:r>
      <w:r w:rsidRPr="00351B7D">
        <w:rPr>
          <w:rFonts w:asciiTheme="minorBidi" w:hAnsiTheme="minorBidi"/>
          <w:sz w:val="16"/>
          <w:szCs w:val="16"/>
          <w:rtl/>
        </w:rPr>
        <w:t xml:space="preserve"> (סק"ב, הביאו הפת"ש סק"א)</w:t>
      </w:r>
      <w:r w:rsidRPr="00351B7D">
        <w:rPr>
          <w:rFonts w:asciiTheme="minorBidi" w:hAnsiTheme="minorBidi"/>
          <w:rtl/>
        </w:rPr>
        <w:t xml:space="preserve"> דאם בשעה שקיבל בקנין היה פנאי לכתוב והיה בכח האשה לבקש מהעדים שיכתבו לה דהא קיי"ל קנו מיניה לא צריך אימלוכי ביה- מהני הקנין ואף שלא הלכה האשה לבקש מהעדים, היא גופא ראיה דסמכא דעתה, ולכן מהני הקנין כמו כתיבה אף בלא שעת הדחק, וכדעת הב"י, משא"כ אם באותו עת שקיבל בקנין לא היה אפשר לכתוב כגון בשבת או שאין פנאי לכתוב בזה אמרינן דלא סמכה דעתה בקנין ולא מהני רק כמו התפסת מטלטלין דלא מהני רק בשעה"ד.</w:t>
      </w:r>
    </w:p>
  </w:footnote>
  <w:footnote w:id="903">
    <w:p w14:paraId="0C57F38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דאף אם יש להערב קבלן פיצוי מן הבעל ונמצא דלא תהא קלה בעיניו להוציאה דהא מיד כשיוציאה תתבע האשה את הקבלן והקבלן יתבע אותו שיפצה אותו, והיה ראוי לדמות זה למכרה כתובתה לאחר שיתבאר בסמוך סעיף ה', מ"מ יש לחלק דהכא גרע טפי דהא מעולם לא היה לה שעבוד על בעלה, דומה לזה כתבו הפוסקים ובתוכם הרא"ש (ב"ק) פ' החובל ס"ק ט' דאם יכתוב הכתובה בשם הקונה הוי כמשהה אשתו בלא כתובה אף שאינה קלה בעיניו להוציאה, ח"מ</w:t>
      </w:r>
      <w:r w:rsidRPr="00351B7D">
        <w:rPr>
          <w:rFonts w:asciiTheme="minorBidi" w:hAnsiTheme="minorBidi"/>
          <w:sz w:val="16"/>
          <w:szCs w:val="16"/>
          <w:rtl/>
        </w:rPr>
        <w:t xml:space="preserve"> (סק"ז) </w:t>
      </w:r>
      <w:r w:rsidRPr="00351B7D">
        <w:rPr>
          <w:rFonts w:asciiTheme="minorBidi" w:hAnsiTheme="minorBidi"/>
          <w:rtl/>
        </w:rPr>
        <w:t>ב"ש</w:t>
      </w:r>
      <w:r w:rsidRPr="00351B7D">
        <w:rPr>
          <w:rFonts w:asciiTheme="minorBidi" w:hAnsiTheme="minorBidi"/>
          <w:sz w:val="16"/>
          <w:szCs w:val="16"/>
          <w:rtl/>
        </w:rPr>
        <w:t xml:space="preserve"> (סק"ה) </w:t>
      </w:r>
      <w:r w:rsidRPr="00351B7D">
        <w:rPr>
          <w:rFonts w:asciiTheme="minorBidi" w:hAnsiTheme="minorBidi"/>
          <w:rtl/>
        </w:rPr>
        <w:t>ובאה"ט</w:t>
      </w:r>
      <w:r w:rsidRPr="00351B7D">
        <w:rPr>
          <w:rFonts w:asciiTheme="minorBidi" w:hAnsiTheme="minorBidi"/>
          <w:sz w:val="16"/>
          <w:szCs w:val="16"/>
          <w:rtl/>
        </w:rPr>
        <w:t xml:space="preserve"> (סק"ו)</w:t>
      </w:r>
      <w:r w:rsidRPr="00351B7D">
        <w:rPr>
          <w:rFonts w:asciiTheme="minorBidi" w:hAnsiTheme="minorBidi"/>
          <w:rtl/>
        </w:rPr>
        <w:t>.</w:t>
      </w:r>
    </w:p>
  </w:footnote>
  <w:footnote w:id="904">
    <w:p w14:paraId="2526DBDD"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תנו לה מטלטלין תחת ידה במשכון לשיעבוד כתובתה עד שיכתבו שטר כתובתה בשעבוד קרקעות, רש"י.</w:t>
      </w:r>
    </w:p>
  </w:footnote>
  <w:footnote w:id="905">
    <w:p w14:paraId="5ECD61E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אין מייחדין מטלטלין לכתובה, רש"י.</w:t>
      </w:r>
    </w:p>
  </w:footnote>
  <w:footnote w:id="906">
    <w:p w14:paraId="08310893"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שמא יאבדו או יפחתו דמיהן, רש"י.</w:t>
      </w:r>
    </w:p>
  </w:footnote>
  <w:footnote w:id="907">
    <w:p w14:paraId="5C22B156"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הבעל אם יאבדו ופריש ליה תנא דלא חייש לזולא אלא לאונסא וקאמר ליה רבי יוסי וכי קביל עליו אחריות נמי מה נתקן העולם בכך והלא אף כשהן קיימין אין קצובין ופוחתין, רש"י.</w:t>
      </w:r>
    </w:p>
  </w:footnote>
  <w:footnote w:id="908">
    <w:p w14:paraId="39FA2A7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אין דמיהן קצובין עולמית דמוקרי ומוזלי הלכך פעמים שפוחתין מכדי מה ששמאום, רש"י.</w:t>
      </w:r>
    </w:p>
  </w:footnote>
  <w:footnote w:id="909">
    <w:p w14:paraId="4D3B616E"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 </w:t>
      </w:r>
      <w:r w:rsidRPr="00351B7D">
        <w:rPr>
          <w:rFonts w:asciiTheme="minorBidi" w:hAnsiTheme="minorBidi"/>
          <w:sz w:val="16"/>
          <w:szCs w:val="16"/>
          <w:rtl/>
        </w:rPr>
        <w:t>(נו: ד"ה אין עושין)</w:t>
      </w:r>
      <w:r w:rsidRPr="00351B7D">
        <w:rPr>
          <w:rFonts w:asciiTheme="minorBidi" w:hAnsiTheme="minorBidi"/>
          <w:rtl/>
        </w:rPr>
        <w:t xml:space="preserve"> וסמ"ג</w:t>
      </w:r>
      <w:r w:rsidRPr="00351B7D">
        <w:rPr>
          <w:rFonts w:asciiTheme="minorBidi" w:hAnsiTheme="minorBidi"/>
          <w:sz w:val="16"/>
          <w:szCs w:val="16"/>
          <w:rtl/>
        </w:rPr>
        <w:t xml:space="preserve"> (עשין מ"ח ד"ה וכל הפוחת)</w:t>
      </w:r>
      <w:r w:rsidRPr="00351B7D">
        <w:rPr>
          <w:rFonts w:asciiTheme="minorBidi" w:hAnsiTheme="minorBidi"/>
          <w:rtl/>
        </w:rPr>
        <w:t>.</w:t>
      </w:r>
    </w:p>
  </w:footnote>
  <w:footnote w:id="910">
    <w:p w14:paraId="7A15A92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גר"א (סקי"ב).</w:t>
      </w:r>
    </w:p>
  </w:footnote>
  <w:footnote w:id="911">
    <w:p w14:paraId="2C062D9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כן כתבו ח"מ (סקי"ב) ב"ש (סק"ח) והגר"א (סקי"ב) בהבנת דבריהם.</w:t>
      </w:r>
    </w:p>
  </w:footnote>
  <w:footnote w:id="912">
    <w:p w14:paraId="04106C4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הח"מ (סקי"ב) דאע"ג דבכל אשה קי"ל דאם התפיסה צררי ונאבדו נאבדו לו כדאיתא ר"פ אעפ"י (כתובות נו:), יש לחלק בין התפסה זו שהיא רק לשעה להתפסה צררי דעלמא, דהתם יש לחוש שמא יאמר טלי כתובתך וצאי אם יהיו על אחריות שלה אבל בהתפסה זו שהיא רק לשעה לא חיישינן אפילו באחריות שלה.</w:t>
      </w:r>
    </w:p>
  </w:footnote>
  <w:footnote w:id="913">
    <w:p w14:paraId="05159E08"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גר"א (סקי"ב).</w:t>
      </w:r>
    </w:p>
  </w:footnote>
  <w:footnote w:id="914">
    <w:p w14:paraId="295C5706"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בחול אם שכח לכותבה ונזכר לאחר שנתייחד עמה בלילה וקשה לשלוח אחר סופר ועדים בלילה, ח"מ (סק"י).</w:t>
      </w:r>
    </w:p>
  </w:footnote>
  <w:footnote w:id="915">
    <w:p w14:paraId="56834AE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כפי סך כתובתה מדאורייתא כאשר יתבאר בסמוך סע' ו'. והר"ן הקשה הא אסור למיכנס אלמנה בשבת כדי שלא יהא נראה כקונה קנין בשבת וא"כ איך צוה להתפיסה מטלטלין בשבת הא הוי כקונה קנין בשבת, ויש לחלק בין נשואין דהוי מילי דפרהסיא להתפסת מטלטלין דלא הוי בפרהסיא א"נ מבע"י מיירי והיה שהות ביום לה להתפיסה מטלטלין ולא לכתוב לה כתובה עכ"ל הר"ן, ח"מ (סקי"א).</w:t>
      </w:r>
    </w:p>
  </w:footnote>
  <w:footnote w:id="916">
    <w:p w14:paraId="05DD9C4C"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פי שלא נתקבלה מוחלת וכותבת בלשון שובר, רש"י.</w:t>
      </w:r>
    </w:p>
  </w:footnote>
  <w:footnote w:id="917">
    <w:p w14:paraId="21C1C64F"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אבד שטר כתובתה.</w:t>
      </w:r>
    </w:p>
  </w:footnote>
  <w:footnote w:id="918">
    <w:p w14:paraId="21E18F1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לעיל כל הפוחת לבתולה ממאתים, ואפי' בתנאה והתנאי בטל, קרי לה בעילת זנות משום דלא סמכא דעתה, והכא נמי לר"מ הוא דאסור לשהות אשה שאבדה שטר כתובתה ואפי' אית לה דלא מפסדא בהכי דגביא בתנאי ב"ד מיהא לא סמכא דעתה דאמרה כי תבענא ליה אמר פרעתיך הלכך בעילת זנות היא, רש"י. </w:t>
      </w:r>
    </w:p>
  </w:footnote>
  <w:footnote w:id="919">
    <w:p w14:paraId="653BC07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דלית לן למיחש משום מסמך דעתא דתיהוי בעילת זנות, רש"י.</w:t>
      </w:r>
    </w:p>
  </w:footnote>
  <w:footnote w:id="920">
    <w:p w14:paraId="4052B3C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בדבר שהוא מחמיר על דבר תורה באיסור והיתר על ידי גזירת דבריהם, רש"י.</w:t>
      </w:r>
    </w:p>
  </w:footnote>
  <w:footnote w:id="921">
    <w:p w14:paraId="3FC69A87"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כתובה אחריתי והא דאמרינן לעיל (דף נא) לא כתב לה כתובה בתולה גובה מאתים ואוקמינן כר"מ התם במקום שאין כותבין כתובה דכולהו אתנאי קא סמכי אי נמי במקום שכותבין וגובה לר"מ מיהו בעילת זנות באיסור היא, רש"י.</w:t>
      </w:r>
    </w:p>
  </w:footnote>
  <w:footnote w:id="922">
    <w:p w14:paraId="4122F559"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לפי שיש אפשרות להתבלבל בין סע' זה לסע' ט </w:t>
      </w:r>
      <w:r w:rsidRPr="00351B7D">
        <w:rPr>
          <w:rFonts w:asciiTheme="minorBidi" w:hAnsiTheme="minorBidi"/>
          <w:sz w:val="16"/>
          <w:szCs w:val="16"/>
          <w:rtl/>
        </w:rPr>
        <w:t>(משום שהפוסקים נוקטים בכל מיני לשונות מדוייקים שאם לא יודעים פירושם והשלכותיהם קל מאוד להתבלבל)</w:t>
      </w:r>
      <w:r w:rsidRPr="00351B7D">
        <w:rPr>
          <w:rFonts w:asciiTheme="minorBidi" w:hAnsiTheme="minorBidi"/>
          <w:rtl/>
        </w:rPr>
        <w:t xml:space="preserve"> יש לדעת שבסע' זה מדובר על כתובה שנאבדה או שהאשה מחלה על כל הכתובה (היינו לשונות- אבדה ומחילה), ובסע' ט' מדובר שיש כתובה רק לא כפי הראוי לה, כגון שהתנה עמה לפני כתיבת הכתובה לתת לה פחות, או שכתב לה כראוי לה והיא כתבה לו שקיבלה חלק מסכום הכתובה </w:t>
      </w:r>
      <w:r w:rsidRPr="00351B7D">
        <w:rPr>
          <w:rFonts w:asciiTheme="minorBidi" w:hAnsiTheme="minorBidi"/>
          <w:u w:val="single"/>
          <w:rtl/>
        </w:rPr>
        <w:t>והוא לא נתן לה</w:t>
      </w:r>
      <w:r w:rsidRPr="00351B7D">
        <w:rPr>
          <w:rFonts w:asciiTheme="minorBidi" w:hAnsiTheme="minorBidi"/>
          <w:rtl/>
        </w:rPr>
        <w:t xml:space="preserve"> (היינו לשונות- תנאי ולא קיבלה). </w:t>
      </w:r>
    </w:p>
  </w:footnote>
  <w:footnote w:id="923">
    <w:p w14:paraId="752B3C0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שערי צדק ח"ד שער ד סי' ט"ז.</w:t>
      </w:r>
    </w:p>
  </w:footnote>
  <w:footnote w:id="924">
    <w:p w14:paraId="16AB03E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ח"א סי' תרלד.</w:t>
      </w:r>
    </w:p>
  </w:footnote>
  <w:footnote w:id="925">
    <w:p w14:paraId="39C19EA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בעלה לחזור ולכתוב לה עיקר כתובה אם רצה לקיימה, לפי שאסור לו לאדם לשהות עם אשתו אפילו שעה אחת בלא כתובה, ע"פ רמב"ם (פ"י מה"א ה"י).</w:t>
      </w:r>
    </w:p>
  </w:footnote>
  <w:footnote w:id="926">
    <w:p w14:paraId="53EFDEBB"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וכ"כ המרדכי וז"ל- "כל לגבי בעלה ודאי מחלה </w:t>
      </w:r>
      <w:r w:rsidRPr="00351B7D">
        <w:rPr>
          <w:rFonts w:asciiTheme="minorBidi" w:hAnsiTheme="minorBidi"/>
          <w:u w:val="single"/>
          <w:rtl/>
        </w:rPr>
        <w:t>ודוקא ע"י שכותבת</w:t>
      </w:r>
      <w:r w:rsidRPr="00351B7D">
        <w:rPr>
          <w:rFonts w:asciiTheme="minorBidi" w:hAnsiTheme="minorBidi"/>
          <w:rtl/>
        </w:rPr>
        <w:t xml:space="preserve"> התקבלתי, אבל במחילה בעלמא לא הויא מחילה כשכבר נשואה". וכ' הב"ש </w:t>
      </w:r>
      <w:r w:rsidRPr="00351B7D">
        <w:rPr>
          <w:rFonts w:asciiTheme="minorBidi" w:hAnsiTheme="minorBidi"/>
          <w:sz w:val="16"/>
          <w:szCs w:val="16"/>
          <w:rtl/>
        </w:rPr>
        <w:t xml:space="preserve">(סק"ט) </w:t>
      </w:r>
      <w:r w:rsidRPr="00351B7D">
        <w:rPr>
          <w:rFonts w:asciiTheme="minorBidi" w:hAnsiTheme="minorBidi"/>
          <w:rtl/>
        </w:rPr>
        <w:t xml:space="preserve">דדוקא כשמוחלת לו ואינו מגרש אותה אז לא מהני מחילה בע"פ, משא"כ כשמגרש אותה או אלמנה שמחלה </w:t>
      </w:r>
      <w:r w:rsidRPr="00351B7D">
        <w:rPr>
          <w:rFonts w:asciiTheme="minorBidi" w:hAnsiTheme="minorBidi"/>
          <w:sz w:val="16"/>
          <w:szCs w:val="16"/>
          <w:rtl/>
        </w:rPr>
        <w:t>{בעבר לבעלה המנוח}</w:t>
      </w:r>
      <w:r w:rsidRPr="00351B7D">
        <w:rPr>
          <w:rFonts w:asciiTheme="minorBidi" w:hAnsiTheme="minorBidi"/>
          <w:rtl/>
        </w:rPr>
        <w:t xml:space="preserve"> שכן מועיל אפי' מחלה לו בע"פ </w:t>
      </w:r>
      <w:r w:rsidRPr="00351B7D">
        <w:rPr>
          <w:rFonts w:asciiTheme="minorBidi" w:hAnsiTheme="minorBidi"/>
          <w:sz w:val="16"/>
          <w:szCs w:val="16"/>
          <w:rtl/>
        </w:rPr>
        <w:t xml:space="preserve">(וכ"כ הר"ן </w:t>
      </w:r>
      <w:r w:rsidRPr="00351B7D">
        <w:rPr>
          <w:rFonts w:asciiTheme="minorBidi" w:hAnsiTheme="minorBidi"/>
          <w:sz w:val="14"/>
          <w:szCs w:val="14"/>
          <w:rtl/>
        </w:rPr>
        <w:t>[כג. דיבור ראשון]</w:t>
      </w:r>
      <w:r w:rsidRPr="00351B7D">
        <w:rPr>
          <w:rFonts w:asciiTheme="minorBidi" w:hAnsiTheme="minorBidi"/>
          <w:sz w:val="16"/>
          <w:szCs w:val="16"/>
          <w:rtl/>
        </w:rPr>
        <w:t xml:space="preserve"> והה"מ בדעת הרמב"ם)</w:t>
      </w:r>
      <w:r w:rsidRPr="00351B7D">
        <w:rPr>
          <w:rFonts w:asciiTheme="minorBidi" w:hAnsiTheme="minorBidi"/>
          <w:rtl/>
        </w:rPr>
        <w:t xml:space="preserve">. והגר"א </w:t>
      </w:r>
      <w:r w:rsidRPr="00351B7D">
        <w:rPr>
          <w:rFonts w:asciiTheme="minorBidi" w:hAnsiTheme="minorBidi"/>
          <w:sz w:val="16"/>
          <w:szCs w:val="16"/>
          <w:rtl/>
        </w:rPr>
        <w:t xml:space="preserve">(סקי"ד) </w:t>
      </w:r>
      <w:r w:rsidRPr="00351B7D">
        <w:rPr>
          <w:rFonts w:asciiTheme="minorBidi" w:hAnsiTheme="minorBidi"/>
          <w:rtl/>
        </w:rPr>
        <w:t xml:space="preserve">כ' דהמרדכי ס"ל כרבין </w:t>
      </w:r>
      <w:r w:rsidRPr="00351B7D">
        <w:rPr>
          <w:rFonts w:asciiTheme="minorBidi" w:hAnsiTheme="minorBidi"/>
          <w:sz w:val="16"/>
          <w:szCs w:val="16"/>
          <w:rtl/>
        </w:rPr>
        <w:t xml:space="preserve">(נז.) </w:t>
      </w:r>
      <w:r w:rsidRPr="00351B7D">
        <w:rPr>
          <w:rFonts w:asciiTheme="minorBidi" w:hAnsiTheme="minorBidi"/>
          <w:rtl/>
        </w:rPr>
        <w:t>דבתחילת חופה לכו"ע מוחלת, וזהו שכתב המרדכי "בשכבר נשואה".</w:t>
      </w:r>
    </w:p>
  </w:footnote>
  <w:footnote w:id="927">
    <w:p w14:paraId="34408E0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דבלאו הכי לא מהני מחילה, דרכ"מ</w:t>
      </w:r>
      <w:r w:rsidRPr="00351B7D">
        <w:rPr>
          <w:rFonts w:asciiTheme="minorBidi" w:hAnsiTheme="minorBidi"/>
          <w:sz w:val="16"/>
          <w:szCs w:val="16"/>
          <w:rtl/>
        </w:rPr>
        <w:t xml:space="preserve"> (אות ה)</w:t>
      </w:r>
      <w:r w:rsidRPr="00351B7D">
        <w:rPr>
          <w:rFonts w:asciiTheme="minorBidi" w:hAnsiTheme="minorBidi"/>
          <w:rtl/>
        </w:rPr>
        <w:t xml:space="preserve"> ע"פ דברי המרדכי</w:t>
      </w:r>
      <w:r w:rsidRPr="00351B7D">
        <w:rPr>
          <w:rFonts w:asciiTheme="minorBidi" w:hAnsiTheme="minorBidi"/>
          <w:sz w:val="16"/>
          <w:szCs w:val="16"/>
          <w:rtl/>
        </w:rPr>
        <w:t xml:space="preserve"> (ב"ק סי' צג)</w:t>
      </w:r>
      <w:r w:rsidRPr="00351B7D">
        <w:rPr>
          <w:rFonts w:asciiTheme="minorBidi" w:hAnsiTheme="minorBidi"/>
          <w:rtl/>
        </w:rPr>
        <w:t>.</w:t>
      </w:r>
    </w:p>
  </w:footnote>
  <w:footnote w:id="928">
    <w:p w14:paraId="2B950061"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זה דוקא במוחלת על כתובתה, דמה שמחלה יותר על כתובה דאו' מחילתה קיימת </w:t>
      </w:r>
      <w:r w:rsidRPr="00351B7D">
        <w:rPr>
          <w:rFonts w:asciiTheme="minorBidi" w:hAnsiTheme="minorBidi"/>
          <w:sz w:val="16"/>
          <w:szCs w:val="16"/>
          <w:rtl/>
        </w:rPr>
        <w:t>(ע"פ ח"מ סקי"ד)</w:t>
      </w:r>
      <w:r w:rsidRPr="00351B7D">
        <w:rPr>
          <w:rFonts w:asciiTheme="minorBidi" w:hAnsiTheme="minorBidi"/>
          <w:rtl/>
        </w:rPr>
        <w:t xml:space="preserve">, אבל בנאבדה כתובתה צריך לכתוב לה כתובה אחרת כסך כתובה הראשונה ולא מספיק עיקר כתובה </w:t>
      </w:r>
      <w:r w:rsidRPr="00351B7D">
        <w:rPr>
          <w:rFonts w:asciiTheme="minorBidi" w:hAnsiTheme="minorBidi"/>
          <w:sz w:val="16"/>
          <w:szCs w:val="16"/>
          <w:rtl/>
        </w:rPr>
        <w:t>(ח"מ וב"ש סק"י)</w:t>
      </w:r>
      <w:r w:rsidRPr="00351B7D">
        <w:rPr>
          <w:rFonts w:asciiTheme="minorBidi" w:hAnsiTheme="minorBidi"/>
          <w:rtl/>
        </w:rPr>
        <w:t xml:space="preserve">, ומחייבים אותו לכתוב כן גם אם אינו רוצה ליתן לה אלא עיקר כתובה, אבל אם היא מסכימה שיכתוב לה רק עיקר כתובה- אינו צריך לכתוב כסך הראשון, ואם לא הסכימה ולא כתב לה כסך הראשון מ"מ אין בעילתו בעילת זנות דלא אמר כן ר' מאיר אלא אעיקר כתובה </w:t>
      </w:r>
      <w:r w:rsidRPr="00351B7D">
        <w:rPr>
          <w:rFonts w:asciiTheme="minorBidi" w:hAnsiTheme="minorBidi"/>
          <w:sz w:val="16"/>
          <w:szCs w:val="16"/>
          <w:rtl/>
        </w:rPr>
        <w:t>(גר"א סקי"ז)</w:t>
      </w:r>
      <w:r w:rsidRPr="00351B7D">
        <w:rPr>
          <w:rFonts w:asciiTheme="minorBidi" w:hAnsiTheme="minorBidi"/>
          <w:rtl/>
        </w:rPr>
        <w:t xml:space="preserve">. </w:t>
      </w:r>
    </w:p>
  </w:footnote>
  <w:footnote w:id="929">
    <w:p w14:paraId="0E3C4350"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ואם הוא מודה כמה היה סך כתובה ראשונה צריך לכתוב מחדש כתובה אחרת כפי סך הראשון. ולא יכול לטעון שמא תמצא כתובה הראשונה ויהיו לך שני כתובות שסתם מצור וכרכום הכל בחזקת אבוד, ועיין בתשו' מהרי"ק סי' קי"ז, ח"מ (סקט"ז).</w:t>
      </w:r>
    </w:p>
  </w:footnote>
  <w:footnote w:id="930">
    <w:p w14:paraId="38EEFEC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כפי מה שהיה עשיר בשעת נישואין, ט"ז (ג</w:t>
      </w:r>
      <w:r w:rsidRPr="00351B7D">
        <w:rPr>
          <w:rStyle w:val="a7"/>
          <w:rFonts w:asciiTheme="minorBidi" w:hAnsiTheme="minorBidi"/>
          <w:rtl/>
        </w:rPr>
        <w:t>2</w:t>
      </w:r>
      <w:r w:rsidRPr="00351B7D">
        <w:rPr>
          <w:rFonts w:asciiTheme="minorBidi" w:hAnsiTheme="minorBidi"/>
          <w:rtl/>
        </w:rPr>
        <w:t>, מכת"י).</w:t>
      </w:r>
    </w:p>
  </w:footnote>
  <w:footnote w:id="931">
    <w:p w14:paraId="43B0B9F0"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שם איירי במאנס את הבתולה דכתיב לא יוכל לשלחה כל ימיו, אין צריך לכתוב לה כתובה, ומדמה הרב דה"ה לפי חדר"ג דאינו יכול לגרשה בעל כרחה אין צריך לכתוב לה כתובה. ובקל יש לחלק בין איסור דאו' לגרש ובין חדר"ג, ח"מ</w:t>
      </w:r>
      <w:r w:rsidRPr="00351B7D">
        <w:rPr>
          <w:rFonts w:asciiTheme="minorBidi" w:hAnsiTheme="minorBidi"/>
          <w:sz w:val="16"/>
          <w:szCs w:val="16"/>
          <w:rtl/>
        </w:rPr>
        <w:t xml:space="preserve"> (סקי"ז-י"ח) </w:t>
      </w:r>
      <w:r w:rsidRPr="00351B7D">
        <w:rPr>
          <w:rFonts w:asciiTheme="minorBidi" w:hAnsiTheme="minorBidi"/>
          <w:rtl/>
        </w:rPr>
        <w:t xml:space="preserve">וב"ש </w:t>
      </w:r>
      <w:r w:rsidRPr="00351B7D">
        <w:rPr>
          <w:rFonts w:asciiTheme="minorBidi" w:hAnsiTheme="minorBidi"/>
          <w:sz w:val="16"/>
          <w:szCs w:val="16"/>
          <w:rtl/>
        </w:rPr>
        <w:t>(סקי"א)</w:t>
      </w:r>
      <w:r w:rsidRPr="00351B7D">
        <w:rPr>
          <w:rFonts w:asciiTheme="minorBidi" w:hAnsiTheme="minorBidi"/>
          <w:rtl/>
        </w:rPr>
        <w:t>.</w:t>
      </w:r>
    </w:p>
  </w:footnote>
  <w:footnote w:id="932">
    <w:p w14:paraId="6DD9F50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דכיון דמחלה אזדא ליה שעבודא קמא, ב"י.</w:t>
      </w:r>
    </w:p>
  </w:footnote>
  <w:footnote w:id="933">
    <w:p w14:paraId="5D99899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אשה המוכרת כתובתה לאחרים בטובת הנאה והדמים שלה הן ואין לבעל בהן כלום, רש"י.</w:t>
      </w:r>
    </w:p>
  </w:footnote>
  <w:footnote w:id="934">
    <w:p w14:paraId="663F8E4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עיין בחו"מ סי' תכ"ד (סע' י' בהג"ה) באשה שחבלה בבעלה ואין הכתובה מרובה מן החבלה מוכרה הכתובה לבעלה דהא אף אם לא תמכור לו לא ישלם לה כתובה כשמוציאה כיון שחייבת לו בעד החבלה, ח"מ (סקי"ט).</w:t>
      </w:r>
    </w:p>
  </w:footnote>
  <w:footnote w:id="935">
    <w:p w14:paraId="2F419395"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ועכ"פ אסור לכתוב הכתובה בשם הקונה דכל שאין הכתובה כתיבה בשמה הוי כמשהה אשתו בלא כתובה, נמוק"י </w:t>
      </w:r>
      <w:r w:rsidRPr="00351B7D">
        <w:rPr>
          <w:rFonts w:asciiTheme="minorBidi" w:hAnsiTheme="minorBidi"/>
          <w:sz w:val="16"/>
          <w:szCs w:val="16"/>
          <w:rtl/>
        </w:rPr>
        <w:t>(ב"ק לב. מדפה"ר)</w:t>
      </w:r>
      <w:r w:rsidRPr="00351B7D">
        <w:rPr>
          <w:rFonts w:asciiTheme="minorBidi" w:hAnsiTheme="minorBidi"/>
          <w:rtl/>
        </w:rPr>
        <w:t xml:space="preserve"> דרכ"מ </w:t>
      </w:r>
      <w:r w:rsidRPr="00351B7D">
        <w:rPr>
          <w:rFonts w:asciiTheme="minorBidi" w:hAnsiTheme="minorBidi"/>
          <w:sz w:val="16"/>
          <w:szCs w:val="16"/>
          <w:rtl/>
        </w:rPr>
        <w:t>(אות ו)</w:t>
      </w:r>
      <w:r w:rsidRPr="00351B7D">
        <w:rPr>
          <w:rFonts w:asciiTheme="minorBidi" w:hAnsiTheme="minorBidi"/>
          <w:rtl/>
        </w:rPr>
        <w:t xml:space="preserve"> ט"ז </w:t>
      </w:r>
      <w:r w:rsidRPr="00351B7D">
        <w:rPr>
          <w:rFonts w:asciiTheme="minorBidi" w:hAnsiTheme="minorBidi"/>
          <w:sz w:val="16"/>
          <w:szCs w:val="16"/>
          <w:rtl/>
        </w:rPr>
        <w:t xml:space="preserve">(סק"ג מכת"י) </w:t>
      </w:r>
      <w:r w:rsidRPr="00351B7D">
        <w:rPr>
          <w:rFonts w:asciiTheme="minorBidi" w:hAnsiTheme="minorBidi"/>
          <w:rtl/>
        </w:rPr>
        <w:t xml:space="preserve">וח"מ </w:t>
      </w:r>
      <w:r w:rsidRPr="00351B7D">
        <w:rPr>
          <w:rFonts w:asciiTheme="minorBidi" w:hAnsiTheme="minorBidi"/>
          <w:sz w:val="16"/>
          <w:szCs w:val="16"/>
          <w:rtl/>
        </w:rPr>
        <w:t>(סק"כ)</w:t>
      </w:r>
      <w:r w:rsidRPr="00351B7D">
        <w:rPr>
          <w:rFonts w:asciiTheme="minorBidi" w:hAnsiTheme="minorBidi"/>
          <w:rtl/>
        </w:rPr>
        <w:t>.</w:t>
      </w:r>
    </w:p>
  </w:footnote>
  <w:footnote w:id="936">
    <w:p w14:paraId="01C77C8C"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דכתובת אלמנה לכו"ע דרבנן, כך פשוט בגמ' </w:t>
      </w:r>
      <w:r w:rsidRPr="00351B7D">
        <w:rPr>
          <w:rFonts w:asciiTheme="minorBidi" w:hAnsiTheme="minorBidi"/>
          <w:sz w:val="16"/>
          <w:szCs w:val="16"/>
          <w:rtl/>
        </w:rPr>
        <w:t>(כתובות י.)</w:t>
      </w:r>
      <w:r w:rsidRPr="00351B7D">
        <w:rPr>
          <w:rFonts w:asciiTheme="minorBidi" w:hAnsiTheme="minorBidi"/>
          <w:rtl/>
        </w:rPr>
        <w:t>, וכ"כ התוס'</w:t>
      </w:r>
      <w:r w:rsidRPr="00351B7D">
        <w:rPr>
          <w:rFonts w:asciiTheme="minorBidi" w:hAnsiTheme="minorBidi"/>
          <w:sz w:val="16"/>
          <w:szCs w:val="16"/>
          <w:rtl/>
        </w:rPr>
        <w:t xml:space="preserve"> (בכורות נא. דיבור ראשון, ובעוד הרבה מקומות)</w:t>
      </w:r>
      <w:r w:rsidRPr="00351B7D">
        <w:rPr>
          <w:rFonts w:asciiTheme="minorBidi" w:hAnsiTheme="minorBidi"/>
          <w:rtl/>
        </w:rPr>
        <w:t xml:space="preserve">. </w:t>
      </w:r>
    </w:p>
  </w:footnote>
  <w:footnote w:id="937">
    <w:p w14:paraId="5D01A9ED"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ר"ת </w:t>
      </w:r>
      <w:r w:rsidRPr="00351B7D">
        <w:rPr>
          <w:rFonts w:asciiTheme="minorBidi" w:hAnsiTheme="minorBidi"/>
          <w:sz w:val="16"/>
          <w:szCs w:val="16"/>
          <w:rtl/>
        </w:rPr>
        <w:t xml:space="preserve">(תוס' כתובות י. ד"ה אמר) </w:t>
      </w:r>
      <w:r w:rsidRPr="00351B7D">
        <w:rPr>
          <w:rFonts w:asciiTheme="minorBidi" w:hAnsiTheme="minorBidi"/>
          <w:rtl/>
        </w:rPr>
        <w:t>ר"י</w:t>
      </w:r>
      <w:r w:rsidRPr="00351B7D">
        <w:rPr>
          <w:rFonts w:asciiTheme="minorBidi" w:hAnsiTheme="minorBidi"/>
          <w:sz w:val="16"/>
          <w:szCs w:val="16"/>
          <w:rtl/>
        </w:rPr>
        <w:t xml:space="preserve"> (תוס' יבמות פט. ד"ה מאי)</w:t>
      </w:r>
      <w:r w:rsidRPr="00351B7D">
        <w:rPr>
          <w:rFonts w:asciiTheme="minorBidi" w:hAnsiTheme="minorBidi"/>
          <w:rtl/>
        </w:rPr>
        <w:t xml:space="preserve"> ומהר"ם</w:t>
      </w:r>
      <w:r w:rsidRPr="00351B7D">
        <w:rPr>
          <w:rFonts w:asciiTheme="minorBidi" w:hAnsiTheme="minorBidi"/>
          <w:sz w:val="16"/>
          <w:szCs w:val="16"/>
          <w:rtl/>
        </w:rPr>
        <w:t xml:space="preserve"> (הובא בהגה"מ [פ"י מה"א אות ה])</w:t>
      </w:r>
      <w:r w:rsidRPr="00351B7D">
        <w:rPr>
          <w:rFonts w:asciiTheme="minorBidi" w:hAnsiTheme="minorBidi"/>
          <w:rtl/>
        </w:rPr>
        <w:t>.</w:t>
      </w:r>
    </w:p>
  </w:footnote>
  <w:footnote w:id="938">
    <w:p w14:paraId="23E0C33E"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סתמא דתלמודא דכתובה דרבנן, וקשה דנהגו לכתוב בכתובה כסף זוזי מאתן דחזו ליכי מדאורייתא, ואומר ר"ת דסמכינן ארשב"ג דקסבר כתובה דאורייתא וקיי"ל כל מקום ששנה רשב"ג במשנתינו הלכה כמותו, והא דאמרינן בהאשה רבה</w:t>
      </w:r>
      <w:r w:rsidRPr="00351B7D">
        <w:rPr>
          <w:rFonts w:asciiTheme="minorBidi" w:hAnsiTheme="minorBidi"/>
          <w:sz w:val="16"/>
          <w:szCs w:val="16"/>
          <w:rtl/>
        </w:rPr>
        <w:t xml:space="preserve"> (יבמות פט.)</w:t>
      </w:r>
      <w:r w:rsidRPr="00351B7D">
        <w:rPr>
          <w:rFonts w:asciiTheme="minorBidi" w:hAnsiTheme="minorBidi"/>
          <w:rtl/>
        </w:rPr>
        <w:t xml:space="preserve"> מאי טעמא תקינו רבנן כתובה- היכא דתקינו, כגון באלמנה שלא תהא קלה בעיניו להוציאה, תוס'</w:t>
      </w:r>
      <w:r w:rsidRPr="00351B7D">
        <w:rPr>
          <w:rFonts w:asciiTheme="minorBidi" w:hAnsiTheme="minorBidi"/>
          <w:sz w:val="16"/>
          <w:szCs w:val="16"/>
          <w:rtl/>
        </w:rPr>
        <w:t xml:space="preserve"> (כתובות י. ד"ה אמר)</w:t>
      </w:r>
      <w:r w:rsidRPr="00351B7D">
        <w:rPr>
          <w:rFonts w:asciiTheme="minorBidi" w:hAnsiTheme="minorBidi"/>
          <w:rtl/>
        </w:rPr>
        <w:t>. וכ' המרדכי</w:t>
      </w:r>
      <w:r w:rsidRPr="00351B7D">
        <w:rPr>
          <w:rFonts w:asciiTheme="minorBidi" w:hAnsiTheme="minorBidi"/>
          <w:sz w:val="16"/>
          <w:szCs w:val="16"/>
          <w:rtl/>
        </w:rPr>
        <w:t xml:space="preserve"> (כתובות סי' קלו)</w:t>
      </w:r>
      <w:r w:rsidRPr="00351B7D">
        <w:rPr>
          <w:rFonts w:asciiTheme="minorBidi" w:hAnsiTheme="minorBidi"/>
          <w:rtl/>
        </w:rPr>
        <w:t xml:space="preserve"> וז"ל- ונפ"מ מפסק זה שאין אדם נאמן עכשיו להפסיד את אשתו כתובתה לא בטענת פתח פתוח ולא בטענת דמים.</w:t>
      </w:r>
    </w:p>
  </w:footnote>
  <w:footnote w:id="939">
    <w:p w14:paraId="00AED959"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כך איתא ברא"ש ובהגה"מ ועוד ראשונים, אך בטור</w:t>
      </w:r>
      <w:r w:rsidRPr="00351B7D">
        <w:rPr>
          <w:rFonts w:asciiTheme="minorBidi" w:hAnsiTheme="minorBidi"/>
          <w:sz w:val="16"/>
          <w:szCs w:val="16"/>
          <w:rtl/>
        </w:rPr>
        <w:t xml:space="preserve"> (ברוב הדפוסים)</w:t>
      </w:r>
      <w:r w:rsidRPr="00351B7D">
        <w:rPr>
          <w:rFonts w:asciiTheme="minorBidi" w:hAnsiTheme="minorBidi"/>
          <w:rtl/>
        </w:rPr>
        <w:t xml:space="preserve"> כשהעתיק את דברי הרא"ש איתא- ר"מ- במקום ר"ח, וכן היא גירסת הב"י בטור, אך גם אם נאמר שזו הגי' הנכונה מ"מ אין הכוונה למהר"ם מרוטנבורג שהרי ההגה"מ כ' בשם מהר"ם בהיפך.</w:t>
      </w:r>
    </w:p>
  </w:footnote>
  <w:footnote w:id="940">
    <w:p w14:paraId="4ED4EB2C"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גאונים ר"ח</w:t>
      </w:r>
      <w:r w:rsidRPr="00351B7D">
        <w:rPr>
          <w:rFonts w:asciiTheme="minorBidi" w:hAnsiTheme="minorBidi"/>
          <w:sz w:val="16"/>
          <w:szCs w:val="16"/>
          <w:rtl/>
        </w:rPr>
        <w:t xml:space="preserve"> (הביאו הרא"ש)</w:t>
      </w:r>
      <w:r w:rsidRPr="00351B7D">
        <w:rPr>
          <w:rFonts w:asciiTheme="minorBidi" w:hAnsiTheme="minorBidi"/>
          <w:rtl/>
        </w:rPr>
        <w:t xml:space="preserve"> רי"ף </w:t>
      </w:r>
      <w:r w:rsidRPr="00351B7D">
        <w:rPr>
          <w:rFonts w:asciiTheme="minorBidi" w:hAnsiTheme="minorBidi"/>
          <w:sz w:val="16"/>
          <w:szCs w:val="16"/>
          <w:rtl/>
        </w:rPr>
        <w:t xml:space="preserve">(כתובות סה:) </w:t>
      </w:r>
      <w:r w:rsidRPr="00351B7D">
        <w:rPr>
          <w:rFonts w:asciiTheme="minorBidi" w:hAnsiTheme="minorBidi"/>
          <w:rtl/>
        </w:rPr>
        <w:t xml:space="preserve">רמב"ם </w:t>
      </w:r>
      <w:r w:rsidRPr="00351B7D">
        <w:rPr>
          <w:rFonts w:asciiTheme="minorBidi" w:hAnsiTheme="minorBidi"/>
          <w:sz w:val="16"/>
          <w:szCs w:val="16"/>
          <w:rtl/>
        </w:rPr>
        <w:t>(פ"י מה"א ה"ז)</w:t>
      </w:r>
      <w:r w:rsidRPr="00351B7D">
        <w:rPr>
          <w:rFonts w:asciiTheme="minorBidi" w:hAnsiTheme="minorBidi"/>
          <w:rtl/>
        </w:rPr>
        <w:t xml:space="preserve"> רמב"ן</w:t>
      </w:r>
      <w:r w:rsidRPr="00351B7D">
        <w:rPr>
          <w:rFonts w:asciiTheme="minorBidi" w:hAnsiTheme="minorBidi"/>
          <w:sz w:val="16"/>
          <w:szCs w:val="16"/>
          <w:rtl/>
        </w:rPr>
        <w:t xml:space="preserve"> (כתובות קי: ד"ה נשא, וצ"ע על מש"כ הח"מ [סקכ"ד] על דעת הרמב"ן שהרי בהדיא לא משמע כן)</w:t>
      </w:r>
      <w:r w:rsidRPr="00351B7D">
        <w:rPr>
          <w:rFonts w:asciiTheme="minorBidi" w:hAnsiTheme="minorBidi"/>
          <w:rtl/>
        </w:rPr>
        <w:t xml:space="preserve"> רא"ש </w:t>
      </w:r>
      <w:r w:rsidRPr="00351B7D">
        <w:rPr>
          <w:rFonts w:asciiTheme="minorBidi" w:hAnsiTheme="minorBidi"/>
          <w:sz w:val="16"/>
          <w:szCs w:val="16"/>
          <w:rtl/>
        </w:rPr>
        <w:t>(כתובות פ"א סי' יט, וכ"כ בשמו הט"ז [ס"ק ג</w:t>
      </w:r>
      <w:r w:rsidRPr="00351B7D">
        <w:rPr>
          <w:rFonts w:asciiTheme="minorBidi" w:hAnsiTheme="minorBidi"/>
          <w:sz w:val="16"/>
          <w:szCs w:val="16"/>
          <w:vertAlign w:val="superscript"/>
          <w:rtl/>
        </w:rPr>
        <w:t xml:space="preserve">4 </w:t>
      </w:r>
      <w:r w:rsidRPr="00351B7D">
        <w:rPr>
          <w:rFonts w:asciiTheme="minorBidi" w:hAnsiTheme="minorBidi"/>
          <w:sz w:val="16"/>
          <w:szCs w:val="16"/>
          <w:rtl/>
        </w:rPr>
        <w:t xml:space="preserve">מכת"י] וח"מ [סקכ"ד]) </w:t>
      </w:r>
      <w:r w:rsidRPr="00351B7D">
        <w:rPr>
          <w:rFonts w:asciiTheme="minorBidi" w:hAnsiTheme="minorBidi"/>
          <w:rtl/>
        </w:rPr>
        <w:t>ור"ן</w:t>
      </w:r>
      <w:r w:rsidRPr="00351B7D">
        <w:rPr>
          <w:rFonts w:asciiTheme="minorBidi" w:hAnsiTheme="minorBidi"/>
          <w:sz w:val="16"/>
          <w:szCs w:val="16"/>
          <w:rtl/>
        </w:rPr>
        <w:t xml:space="preserve"> (כתובות סה: ד"ה ולענין)</w:t>
      </w:r>
      <w:r w:rsidRPr="00351B7D">
        <w:rPr>
          <w:rFonts w:asciiTheme="minorBidi" w:hAnsiTheme="minorBidi"/>
          <w:rtl/>
        </w:rPr>
        <w:t>.</w:t>
      </w:r>
    </w:p>
  </w:footnote>
  <w:footnote w:id="941">
    <w:p w14:paraId="594EC788"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ואפי' לרשב"ג אסמכתא דרבנן היא דהא סמכו קתני, ואע"ג דכתובת אשה מן התורה קאמר הלכה למשה מסיני כמו שאר תורה שבע"פ קאמר... ואנן קי"ל כרבנן ובכוליה תלמודא אמרינן כתובה מ"ט תקינו רבנן... ואי קשיא לך האמר ר' יוחנן כל מקום ששנה רשב"ג במשנתינו הלכה כמותו, לא תקשי לך חדא דאין סומכין על הכללות וסוגיין כרבנן הוי, ועוד דליתא לההוא כללא ואמוראי פליגי בה אליבא דר' יוחנן ולית הלכתא כמאן דכייל לההוא כללא בפ' המדיר (עז.) ובפ' המפקיד (לח:) וכדכתב רבינו הגדול ז"ל בפ' גט פשוט דהאי כללא לאו דוקא ולא סמכינן עליה, עכ"ל הרמב"ן.</w:t>
      </w:r>
    </w:p>
  </w:footnote>
  <w:footnote w:id="942">
    <w:p w14:paraId="3E499BD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נמצא שק"ק זוז של בתולה הם כ"ה זוזים מכסף טהור, וק' של אלמנה י"ב וחצי, והזוז הוא ו' מעין, והמעה היא משקל י"ו שעורות, נמצא הזוז משקלו מיתקא"ל א' שהוא דרה"ם וחצי, נמצא שכתובת הבתולה ל"ז דרמא"ש וחצי כסף טהור ושל אלמנה חציים שהוא י"ט דרה"ם פחות רביע, ב"י.</w:t>
      </w:r>
    </w:p>
  </w:footnote>
  <w:footnote w:id="943">
    <w:p w14:paraId="28EBCB50"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w:t>
      </w:r>
      <w:r w:rsidRPr="00351B7D">
        <w:rPr>
          <w:rFonts w:asciiTheme="minorBidi" w:hAnsiTheme="minorBidi"/>
          <w:sz w:val="16"/>
          <w:szCs w:val="16"/>
          <w:rtl/>
        </w:rPr>
        <w:t xml:space="preserve">(הובא בתוס') </w:t>
      </w:r>
      <w:r w:rsidRPr="00351B7D">
        <w:rPr>
          <w:rFonts w:asciiTheme="minorBidi" w:hAnsiTheme="minorBidi"/>
          <w:rtl/>
        </w:rPr>
        <w:t>תוס'</w:t>
      </w:r>
      <w:r w:rsidRPr="00351B7D">
        <w:rPr>
          <w:rFonts w:asciiTheme="minorBidi" w:hAnsiTheme="minorBidi"/>
          <w:sz w:val="16"/>
          <w:szCs w:val="16"/>
          <w:rtl/>
        </w:rPr>
        <w:t xml:space="preserve"> (ב"ק לו: ד"ה ושל דבריהם, ובבכורות נא. דיבור ראשון)</w:t>
      </w:r>
      <w:r w:rsidRPr="00351B7D">
        <w:rPr>
          <w:rFonts w:asciiTheme="minorBidi" w:hAnsiTheme="minorBidi"/>
          <w:rtl/>
        </w:rPr>
        <w:t xml:space="preserve"> והגמ"ר</w:t>
      </w:r>
      <w:r w:rsidRPr="00351B7D">
        <w:rPr>
          <w:rFonts w:asciiTheme="minorBidi" w:hAnsiTheme="minorBidi"/>
          <w:sz w:val="16"/>
          <w:szCs w:val="16"/>
          <w:rtl/>
        </w:rPr>
        <w:t xml:space="preserve"> (כתובות סי' שיב וסי' קלו)</w:t>
      </w:r>
      <w:r w:rsidRPr="00351B7D">
        <w:rPr>
          <w:rFonts w:asciiTheme="minorBidi" w:hAnsiTheme="minorBidi"/>
          <w:rtl/>
        </w:rPr>
        <w:t xml:space="preserve">. </w:t>
      </w:r>
      <w:r w:rsidRPr="00351B7D">
        <w:rPr>
          <w:rFonts w:asciiTheme="minorBidi" w:hAnsiTheme="minorBidi"/>
          <w:sz w:val="16"/>
          <w:szCs w:val="16"/>
          <w:rtl/>
        </w:rPr>
        <w:t>(ההגמ"ר כ' שבין כתובת בתולה ובין כתובת אלמנה של כסף צורי. והב"ש [סקי"ד] כ' שדעת הגה' מרדכי היא דעת יחידאי, אך כנראה לא ראה את התוס' הנ"ל)</w:t>
      </w:r>
    </w:p>
  </w:footnote>
  <w:footnote w:id="944">
    <w:p w14:paraId="78E397D9"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דנפקא לן מכמוהר הבתולות, דלא פליגי רשב"ג ורבנן בפרק בתרא דכתובות (קי:) אלא אם נותן לה ממעות ארץ ישראל או ממעות קפוטקיא אבל לכ"ע נותן לה שוה מאתים זוז ממעות צורי, תוס'.</w:t>
      </w:r>
    </w:p>
  </w:footnote>
  <w:footnote w:id="945">
    <w:p w14:paraId="4E454D3A"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כתובות פ"א סי' יט. וכ' שם בתחילה את סברת ר"ת ויישב את הקושייות עליו ולאחמ"כ כ' את סברת ר"ח וכ' שכל הגאונים מסכימים לפירושו, ואז כ' וראיתי... </w:t>
      </w:r>
    </w:p>
  </w:footnote>
  <w:footnote w:id="946">
    <w:p w14:paraId="53B08B67"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 דגבי מפותה כתיב </w:t>
      </w:r>
      <w:r w:rsidRPr="00351B7D">
        <w:rPr>
          <w:rFonts w:asciiTheme="minorBidi" w:hAnsiTheme="minorBidi"/>
          <w:sz w:val="16"/>
          <w:szCs w:val="16"/>
          <w:rtl/>
        </w:rPr>
        <w:t xml:space="preserve">(שמות כב טז) </w:t>
      </w:r>
      <w:r w:rsidRPr="00351B7D">
        <w:rPr>
          <w:rFonts w:asciiTheme="minorBidi" w:hAnsiTheme="minorBidi"/>
          <w:rtl/>
        </w:rPr>
        <w:t xml:space="preserve">ישקול כמוהר הבתולות, וגבי מאנס כתיב </w:t>
      </w:r>
      <w:r w:rsidRPr="00351B7D">
        <w:rPr>
          <w:rFonts w:asciiTheme="minorBidi" w:hAnsiTheme="minorBidi"/>
          <w:sz w:val="16"/>
          <w:szCs w:val="16"/>
          <w:rtl/>
        </w:rPr>
        <w:t xml:space="preserve">(דברים כב כט) </w:t>
      </w:r>
      <w:r w:rsidRPr="00351B7D">
        <w:rPr>
          <w:rFonts w:asciiTheme="minorBidi" w:hAnsiTheme="minorBidi"/>
          <w:rtl/>
        </w:rPr>
        <w:t xml:space="preserve">חמשים כסף, ובכתובות </w:t>
      </w:r>
      <w:r w:rsidRPr="00351B7D">
        <w:rPr>
          <w:rFonts w:asciiTheme="minorBidi" w:hAnsiTheme="minorBidi"/>
          <w:sz w:val="16"/>
          <w:szCs w:val="16"/>
          <w:rtl/>
        </w:rPr>
        <w:t xml:space="preserve">(י.) </w:t>
      </w:r>
      <w:r w:rsidRPr="00351B7D">
        <w:rPr>
          <w:rFonts w:asciiTheme="minorBidi" w:hAnsiTheme="minorBidi"/>
          <w:rtl/>
        </w:rPr>
        <w:t>ילפינן מג"ש מה כאן שקלים אף להלן שקלים, ומה להלן נ' אף כאן נ', ושקל של קודש כפול היה דהיינו סלע שלנו שלם דהיינו ד' דינרים, פרישה (אות ט"ז).</w:t>
      </w:r>
    </w:p>
  </w:footnote>
  <w:footnote w:id="947">
    <w:p w14:paraId="36E0C662"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שיד בעל השטר על התחתונה.</w:t>
      </w:r>
    </w:p>
  </w:footnote>
  <w:footnote w:id="948">
    <w:p w14:paraId="682780E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כסף צרוף פירושו כסף נקי, ונותן לה כן משום שלא כ' רק "מאתים זוז" אלא הוסיף שמשלם לה את המאתים "</w:t>
      </w:r>
      <w:r w:rsidRPr="00351B7D">
        <w:rPr>
          <w:rFonts w:asciiTheme="minorBidi" w:hAnsiTheme="minorBidi"/>
          <w:u w:val="single"/>
          <w:rtl/>
        </w:rPr>
        <w:t>מכסף</w:t>
      </w:r>
      <w:r w:rsidRPr="00351B7D">
        <w:rPr>
          <w:rFonts w:asciiTheme="minorBidi" w:hAnsiTheme="minorBidi"/>
          <w:rtl/>
        </w:rPr>
        <w:t xml:space="preserve"> צרוף" </w:t>
      </w:r>
      <w:r w:rsidRPr="00351B7D">
        <w:rPr>
          <w:rFonts w:asciiTheme="minorBidi" w:hAnsiTheme="minorBidi"/>
          <w:sz w:val="16"/>
          <w:szCs w:val="16"/>
          <w:rtl/>
        </w:rPr>
        <w:t>(או בלשון הה"מ "של כסף צרוף")</w:t>
      </w:r>
      <w:r w:rsidRPr="00351B7D">
        <w:rPr>
          <w:rFonts w:asciiTheme="minorBidi" w:hAnsiTheme="minorBidi"/>
          <w:rtl/>
        </w:rPr>
        <w:t xml:space="preserve"> לכן נותן לה מכסף צורי שהוא כסף נקי (בלי תערובת נחושת כמו כסף מדינה), ואם היה כותב שמשלם לה את המאתים "</w:t>
      </w:r>
      <w:r w:rsidRPr="00351B7D">
        <w:rPr>
          <w:rFonts w:asciiTheme="minorBidi" w:hAnsiTheme="minorBidi"/>
          <w:u w:val="single"/>
          <w:rtl/>
        </w:rPr>
        <w:t>בכסף</w:t>
      </w:r>
      <w:r w:rsidRPr="00351B7D">
        <w:rPr>
          <w:rFonts w:asciiTheme="minorBidi" w:hAnsiTheme="minorBidi"/>
          <w:rtl/>
        </w:rPr>
        <w:t xml:space="preserve"> צרוף" אז היה נותן לה סכום מאתים זוז של כסף מדינה מכסף צרוף.</w:t>
      </w:r>
    </w:p>
  </w:footnote>
  <w:footnote w:id="949">
    <w:p w14:paraId="4E882B6D"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חשבון עשרה זהובים שכתב הוא על פי דעת ר"ת ששני זקוקים כסף הוא מאתיים דאורייתא והיה שוה בזמנם עשרה זהובים ויוצא בזה, ולמאן דס"ל כתובה מדרבנן</w:t>
      </w:r>
      <w:r w:rsidRPr="00351B7D">
        <w:rPr>
          <w:rFonts w:asciiTheme="minorBidi" w:hAnsiTheme="minorBidi"/>
          <w:sz w:val="16"/>
          <w:szCs w:val="16"/>
          <w:rtl/>
        </w:rPr>
        <w:t xml:space="preserve"> (ח"מ סקכ"ה)</w:t>
      </w:r>
      <w:r w:rsidRPr="00351B7D">
        <w:rPr>
          <w:rFonts w:asciiTheme="minorBidi" w:hAnsiTheme="minorBidi"/>
          <w:rtl/>
        </w:rPr>
        <w:t xml:space="preserve">, לכן י"ל דהרמ"א לא הביא דעה זו אלא לשיטת הפוסקים דסבירא להו כתובה דרבנן אז הביאה דעה זו להקל אבל למ"ד כתובה דאורייתא לא סמכינן ע"ז </w:t>
      </w:r>
      <w:r w:rsidRPr="00351B7D">
        <w:rPr>
          <w:rFonts w:asciiTheme="minorBidi" w:hAnsiTheme="minorBidi"/>
          <w:sz w:val="16"/>
          <w:szCs w:val="16"/>
          <w:rtl/>
        </w:rPr>
        <w:t>(ב"ש סקי"ג)</w:t>
      </w:r>
      <w:r w:rsidRPr="00351B7D">
        <w:rPr>
          <w:rFonts w:asciiTheme="minorBidi" w:hAnsiTheme="minorBidi"/>
          <w:rtl/>
        </w:rPr>
        <w:t xml:space="preserve">. </w:t>
      </w:r>
    </w:p>
  </w:footnote>
  <w:footnote w:id="950">
    <w:p w14:paraId="58F6DFD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משמע דהכתובה דרבנן אלא משערים בזוזי דאורייתא, ב"ש (סקי"ד).</w:t>
      </w:r>
    </w:p>
  </w:footnote>
  <w:footnote w:id="951">
    <w:p w14:paraId="11F5525C"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שציון זה הוא טעות וצ"ל- רא"ש</w:t>
      </w:r>
      <w:r w:rsidRPr="00351B7D">
        <w:rPr>
          <w:rFonts w:asciiTheme="minorBidi" w:hAnsiTheme="minorBidi"/>
          <w:sz w:val="16"/>
          <w:szCs w:val="16"/>
          <w:rtl/>
        </w:rPr>
        <w:t xml:space="preserve"> (או- ר"י)</w:t>
      </w:r>
      <w:r w:rsidRPr="00351B7D">
        <w:rPr>
          <w:rFonts w:asciiTheme="minorBidi" w:hAnsiTheme="minorBidi"/>
          <w:rtl/>
        </w:rPr>
        <w:t xml:space="preserve">. שהרי מלשון הרמ"א משמע שרק משערין בכסף צורי אבל סכום הכתובה היא תקנת חז"ל, וזוהי דעת הרא"ש, וכ"כ נחלת שבעה </w:t>
      </w:r>
      <w:r w:rsidRPr="00351B7D">
        <w:rPr>
          <w:rFonts w:asciiTheme="minorBidi" w:hAnsiTheme="minorBidi"/>
          <w:sz w:val="16"/>
          <w:szCs w:val="16"/>
          <w:rtl/>
        </w:rPr>
        <w:t>(סי' יב סע' לב אות ב)</w:t>
      </w:r>
      <w:r w:rsidRPr="00351B7D">
        <w:rPr>
          <w:rFonts w:asciiTheme="minorBidi" w:hAnsiTheme="minorBidi"/>
          <w:rtl/>
        </w:rPr>
        <w:t xml:space="preserve">, וכן צריך לומר לפי דברי באה"ג </w:t>
      </w:r>
      <w:r w:rsidRPr="00351B7D">
        <w:rPr>
          <w:rFonts w:asciiTheme="minorBidi" w:hAnsiTheme="minorBidi"/>
          <w:sz w:val="16"/>
          <w:szCs w:val="16"/>
          <w:rtl/>
        </w:rPr>
        <w:t xml:space="preserve">(אות ל) </w:t>
      </w:r>
      <w:r w:rsidRPr="00351B7D">
        <w:rPr>
          <w:rFonts w:asciiTheme="minorBidi" w:hAnsiTheme="minorBidi"/>
          <w:rtl/>
        </w:rPr>
        <w:t xml:space="preserve">והגר"א </w:t>
      </w:r>
      <w:r w:rsidRPr="00351B7D">
        <w:rPr>
          <w:rFonts w:asciiTheme="minorBidi" w:hAnsiTheme="minorBidi"/>
          <w:sz w:val="16"/>
          <w:szCs w:val="16"/>
          <w:rtl/>
        </w:rPr>
        <w:t>(סקכ"ג)</w:t>
      </w:r>
      <w:r w:rsidRPr="00351B7D">
        <w:rPr>
          <w:rFonts w:asciiTheme="minorBidi" w:hAnsiTheme="minorBidi"/>
          <w:rtl/>
        </w:rPr>
        <w:t xml:space="preserve">. </w:t>
      </w:r>
    </w:p>
  </w:footnote>
  <w:footnote w:id="952">
    <w:p w14:paraId="0B654973"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הכוונה היא כמ"ש הרא"ש שיתן לה מאתים דינר כסף צורי, ואף דלהלכה קיי"ל כמ"ד כתובה דרבנן </w:t>
      </w:r>
      <w:r w:rsidRPr="00351B7D">
        <w:rPr>
          <w:rFonts w:asciiTheme="minorBidi" w:hAnsiTheme="minorBidi"/>
          <w:sz w:val="16"/>
          <w:szCs w:val="16"/>
          <w:rtl/>
        </w:rPr>
        <w:t>(דהא רוב הפוסקים ס"ל הכי ובפרט שהבעל מוחזק וכמו שפסק הב"י)</w:t>
      </w:r>
      <w:r w:rsidRPr="00351B7D">
        <w:rPr>
          <w:rFonts w:asciiTheme="minorBidi" w:hAnsiTheme="minorBidi"/>
          <w:rtl/>
        </w:rPr>
        <w:t xml:space="preserve"> מ"מ מאחר שהמנהג לכתוב לבתול מדאו', יתן לה מכסף צורי וכל תנאי שבממון קיים, ע"פ ח"מ</w:t>
      </w:r>
      <w:r w:rsidRPr="00351B7D">
        <w:rPr>
          <w:rFonts w:asciiTheme="minorBidi" w:hAnsiTheme="minorBidi"/>
          <w:sz w:val="16"/>
          <w:szCs w:val="16"/>
          <w:rtl/>
        </w:rPr>
        <w:t xml:space="preserve"> (סקכ"ו)</w:t>
      </w:r>
      <w:r w:rsidRPr="00351B7D">
        <w:rPr>
          <w:rFonts w:asciiTheme="minorBidi" w:hAnsiTheme="minorBidi"/>
          <w:rtl/>
        </w:rPr>
        <w:t xml:space="preserve">. </w:t>
      </w:r>
    </w:p>
  </w:footnote>
  <w:footnote w:id="953">
    <w:p w14:paraId="47BF72D4"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דגמ"ר</w:t>
      </w:r>
      <w:r w:rsidRPr="00351B7D">
        <w:rPr>
          <w:rFonts w:asciiTheme="minorBidi" w:hAnsiTheme="minorBidi"/>
          <w:color w:val="000000"/>
          <w:sz w:val="16"/>
          <w:szCs w:val="16"/>
          <w:rtl/>
        </w:rPr>
        <w:t xml:space="preserve"> (וכ"כ בספרו נו"ב תניינא סי' לג)</w:t>
      </w:r>
      <w:r w:rsidRPr="00351B7D">
        <w:rPr>
          <w:rFonts w:asciiTheme="minorBidi" w:hAnsiTheme="minorBidi"/>
          <w:color w:val="000000"/>
          <w:rtl/>
        </w:rPr>
        <w:t xml:space="preserve"> וחת"ס</w:t>
      </w:r>
      <w:r w:rsidRPr="00351B7D">
        <w:rPr>
          <w:rFonts w:asciiTheme="minorBidi" w:hAnsiTheme="minorBidi"/>
          <w:color w:val="000000"/>
          <w:sz w:val="16"/>
          <w:szCs w:val="16"/>
          <w:rtl/>
        </w:rPr>
        <w:t xml:space="preserve"> (ס"ס קלג).</w:t>
      </w:r>
    </w:p>
  </w:footnote>
  <w:footnote w:id="954">
    <w:p w14:paraId="16A515BF"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קיצבה.</w:t>
      </w:r>
    </w:p>
  </w:footnote>
  <w:footnote w:id="955">
    <w:p w14:paraId="563FF4FC"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 כהן כשנישאת לכהן וכ"ש כשנישאת לישראל, רש"י.</w:t>
      </w:r>
    </w:p>
  </w:footnote>
  <w:footnote w:id="956">
    <w:p w14:paraId="6EA65504"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מדברי הח"מ (סק"ל) משמע שהבין שהתוס' חולקים על המרדכי, אך צל"ע כי לא הבנתי במה הם חלוקים </w:t>
      </w:r>
      <w:r w:rsidRPr="00351B7D">
        <w:rPr>
          <w:rFonts w:asciiTheme="minorBidi" w:hAnsiTheme="minorBidi"/>
          <w:sz w:val="16"/>
          <w:szCs w:val="16"/>
          <w:rtl/>
        </w:rPr>
        <w:t>(וז"ל המרדכי- "יש לומר דהתם (נד:) כשכותב תחלה מנה/מאתים ואח"כ תוספת, אבל הכא  (יב.) היו כותבים ביחד ד' מאות דחזו ליכי, פי' ר"ת")</w:t>
      </w:r>
      <w:r w:rsidRPr="00351B7D">
        <w:rPr>
          <w:rFonts w:asciiTheme="minorBidi" w:hAnsiTheme="minorBidi"/>
          <w:rtl/>
        </w:rPr>
        <w:t>, והרי אפ"ל דגם המרדכי יודה שגובים לה בתנאי ב"ד. וגם הגר"א (סק"ל) כ' שדברי המרדכי הם מהתוס'.</w:t>
      </w:r>
    </w:p>
  </w:footnote>
  <w:footnote w:id="957">
    <w:p w14:paraId="7E1862C0"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גאונים </w:t>
      </w:r>
      <w:r w:rsidRPr="00351B7D">
        <w:rPr>
          <w:rFonts w:asciiTheme="minorBidi" w:hAnsiTheme="minorBidi"/>
          <w:sz w:val="16"/>
          <w:szCs w:val="16"/>
          <w:rtl/>
        </w:rPr>
        <w:t xml:space="preserve">(הביאם הריטב"א) </w:t>
      </w:r>
      <w:r w:rsidRPr="00351B7D">
        <w:rPr>
          <w:rFonts w:asciiTheme="minorBidi" w:hAnsiTheme="minorBidi"/>
          <w:rtl/>
        </w:rPr>
        <w:t xml:space="preserve">רמב"ן </w:t>
      </w:r>
      <w:r w:rsidRPr="00351B7D">
        <w:rPr>
          <w:rFonts w:asciiTheme="minorBidi" w:hAnsiTheme="minorBidi"/>
          <w:sz w:val="16"/>
          <w:szCs w:val="16"/>
          <w:rtl/>
        </w:rPr>
        <w:t xml:space="preserve">(כתובות נד: ד"ה מהו, הביאו הה"מ (פ"י מה"א ה"ז)) </w:t>
      </w:r>
      <w:r w:rsidRPr="00351B7D">
        <w:rPr>
          <w:rFonts w:asciiTheme="minorBidi" w:hAnsiTheme="minorBidi"/>
          <w:rtl/>
        </w:rPr>
        <w:t xml:space="preserve">ריטב"א </w:t>
      </w:r>
      <w:r w:rsidRPr="00351B7D">
        <w:rPr>
          <w:rFonts w:asciiTheme="minorBidi" w:hAnsiTheme="minorBidi"/>
          <w:sz w:val="16"/>
          <w:szCs w:val="16"/>
          <w:rtl/>
        </w:rPr>
        <w:t>(כתובות נד: ד"ה מהו דתימא)</w:t>
      </w:r>
      <w:r w:rsidRPr="00351B7D">
        <w:rPr>
          <w:rFonts w:asciiTheme="minorBidi" w:hAnsiTheme="minorBidi"/>
          <w:rtl/>
        </w:rPr>
        <w:t xml:space="preserve"> ר"ן</w:t>
      </w:r>
      <w:r w:rsidRPr="00351B7D">
        <w:rPr>
          <w:rFonts w:asciiTheme="minorBidi" w:hAnsiTheme="minorBidi"/>
          <w:sz w:val="16"/>
          <w:szCs w:val="16"/>
          <w:rtl/>
        </w:rPr>
        <w:t xml:space="preserve"> (כא. ד"ה אף)</w:t>
      </w:r>
      <w:r w:rsidRPr="00351B7D">
        <w:rPr>
          <w:rFonts w:asciiTheme="minorBidi" w:hAnsiTheme="minorBidi"/>
          <w:rtl/>
        </w:rPr>
        <w:t xml:space="preserve"> וריב"ש</w:t>
      </w:r>
      <w:r w:rsidRPr="00351B7D">
        <w:rPr>
          <w:rFonts w:asciiTheme="minorBidi" w:hAnsiTheme="minorBidi"/>
          <w:sz w:val="16"/>
          <w:szCs w:val="16"/>
          <w:rtl/>
        </w:rPr>
        <w:t xml:space="preserve"> (סי' ס"ה)</w:t>
      </w:r>
      <w:r w:rsidRPr="00351B7D">
        <w:rPr>
          <w:rFonts w:asciiTheme="minorBidi" w:hAnsiTheme="minorBidi"/>
          <w:rtl/>
        </w:rPr>
        <w:t>.</w:t>
      </w:r>
    </w:p>
  </w:footnote>
  <w:footnote w:id="958">
    <w:p w14:paraId="089159F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בדרכ"מ (אות ט) וז"ל- וכן נוהגין בזמן הזה דכותבין כל הכתובות בשוה, לבתולות בשוה, ולאלמנות בשוה, וקורין זו הכתובה תחת החופה ואחר כך מוסיף כל אחד מה שירצה.</w:t>
      </w:r>
    </w:p>
  </w:footnote>
  <w:footnote w:id="959">
    <w:p w14:paraId="4B34EFBC"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זה משמע אף שלא נזכר עיקר בכתובה כלל רק כתב לה הנדוניא דהנעלת ליה והתוספת שהוסיף לה אזי מתנאי ב"ד צריך ליתן לה הכתובה, ומכ"ש בכתובה שלנו שכותב בתחלה ויהיבנא ליכי מוהר בתוליכי כסף זוזי מאתן דחזי ליכי מדאו' ואח"כ כותב מאה זקוקים נדוניא ומאה זקוקים תוספות, נמצא צריך ליתן לה מאתים זקוקים כסף ומאתים דינר כסף, וכן לבסוף בכתובה מזכיר שלשתן יחד ואחריות שטר כתובתא דא ונדוניא דין ותוספתא דא, נמצא דג' דברים הם, וכ"פ מהרש"ל ביש"ש, ח"מ</w:t>
      </w:r>
      <w:r w:rsidRPr="00351B7D">
        <w:rPr>
          <w:rFonts w:asciiTheme="minorBidi" w:hAnsiTheme="minorBidi"/>
          <w:sz w:val="16"/>
          <w:szCs w:val="16"/>
          <w:rtl/>
        </w:rPr>
        <w:t xml:space="preserve"> (סקל"א)</w:t>
      </w:r>
      <w:r w:rsidRPr="00351B7D">
        <w:rPr>
          <w:rFonts w:asciiTheme="minorBidi" w:hAnsiTheme="minorBidi"/>
          <w:rtl/>
        </w:rPr>
        <w:t>.</w:t>
      </w:r>
    </w:p>
  </w:footnote>
  <w:footnote w:id="960">
    <w:p w14:paraId="48DDD01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היכא שכוללים הכל ביחד ואין כותבים בלשון הוספה, ב"ש (סקי"ז).</w:t>
      </w:r>
    </w:p>
  </w:footnote>
  <w:footnote w:id="961">
    <w:p w14:paraId="0084150A"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שני מחותנים שדברו ביניהם אודות התחייבותם לצורך נישואי ילדיהם, ושאל אבי הכלה את אבי החתן כמה...</w:t>
      </w:r>
    </w:p>
  </w:footnote>
  <w:footnote w:id="962">
    <w:p w14:paraId="6627D395"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הר"א הלוי ז"ל דהינו דוקא כשעמדו וקדשו תוך אותו מעמד אבל לאחר אותו מעמד לא קנו. והכי משמע בירושלמי דגרסי' התם דברים הנקנין באמירה אינו אלא מן הנישואין הראשונים, וסמך על הירושלמי, ר"ן (בחיד' כתובות קב.).</w:t>
      </w:r>
    </w:p>
  </w:footnote>
  <w:footnote w:id="963">
    <w:p w14:paraId="20ECE8C1" w14:textId="77777777" w:rsidR="00DF1FC7" w:rsidRPr="00351B7D" w:rsidRDefault="00DF1FC7" w:rsidP="002E5BAD">
      <w:pPr>
        <w:pStyle w:val="a5"/>
        <w:rPr>
          <w:rFonts w:asciiTheme="minorBidi" w:hAnsiTheme="minorBidi"/>
          <w:color w:val="FF0000"/>
        </w:rPr>
      </w:pPr>
      <w:r w:rsidRPr="00351B7D">
        <w:rPr>
          <w:rStyle w:val="a7"/>
          <w:rFonts w:asciiTheme="minorBidi" w:hAnsiTheme="minorBidi"/>
          <w:color w:val="FF0000"/>
        </w:rPr>
        <w:footnoteRef/>
      </w:r>
      <w:r w:rsidRPr="00351B7D">
        <w:rPr>
          <w:rFonts w:asciiTheme="minorBidi" w:hAnsiTheme="minorBidi"/>
          <w:color w:val="FF0000"/>
          <w:rtl/>
        </w:rPr>
        <w:t xml:space="preserve"> צל"ע מאי לשון 'כתב' דהרי בגמ' משמע דאפילו רק אמר ולא בעינן כתב. </w:t>
      </w:r>
    </w:p>
  </w:footnote>
  <w:footnote w:id="964">
    <w:p w14:paraId="3BA9E917"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דוקא קאמר גרושה ולא אלמנה, דאלמנה מן האירוסין אינה גובה, רש"ל </w:t>
      </w:r>
      <w:r w:rsidRPr="00351B7D">
        <w:rPr>
          <w:rFonts w:asciiTheme="minorBidi" w:hAnsiTheme="minorBidi"/>
          <w:sz w:val="16"/>
          <w:szCs w:val="16"/>
          <w:rtl/>
        </w:rPr>
        <w:t>(בהגה' לטור ד"ה וכתב, הביאו הדרישה)</w:t>
      </w:r>
      <w:r w:rsidRPr="00351B7D">
        <w:rPr>
          <w:rFonts w:asciiTheme="minorBidi" w:hAnsiTheme="minorBidi"/>
          <w:rtl/>
        </w:rPr>
        <w:t xml:space="preserve">. דכיון שגירשה מדעתו גביא ונתייפה כחה יותר מאלמנה, דרישה </w:t>
      </w:r>
      <w:r w:rsidRPr="00351B7D">
        <w:rPr>
          <w:rFonts w:asciiTheme="minorBidi" w:hAnsiTheme="minorBidi"/>
          <w:sz w:val="16"/>
          <w:szCs w:val="16"/>
          <w:rtl/>
        </w:rPr>
        <w:t>(אות יג)</w:t>
      </w:r>
      <w:r w:rsidRPr="00351B7D">
        <w:rPr>
          <w:rFonts w:asciiTheme="minorBidi" w:hAnsiTheme="minorBidi"/>
          <w:rtl/>
        </w:rPr>
        <w:t>. לכן נראה דאם סרחה ג"כ אינה גובה, כאלמנה, דברי שלום</w:t>
      </w:r>
      <w:r w:rsidRPr="00351B7D">
        <w:rPr>
          <w:rFonts w:asciiTheme="minorBidi" w:hAnsiTheme="minorBidi"/>
          <w:sz w:val="16"/>
          <w:szCs w:val="16"/>
          <w:rtl/>
        </w:rPr>
        <w:t xml:space="preserve"> </w:t>
      </w:r>
      <w:r w:rsidRPr="00351B7D">
        <w:rPr>
          <w:rFonts w:asciiTheme="minorBidi" w:hAnsiTheme="minorBidi"/>
          <w:sz w:val="14"/>
          <w:szCs w:val="14"/>
          <w:rtl/>
        </w:rPr>
        <w:t>(אהע"ז ח"ב סי' כד)</w:t>
      </w:r>
      <w:r w:rsidRPr="00351B7D">
        <w:rPr>
          <w:rFonts w:asciiTheme="minorBidi" w:hAnsiTheme="minorBidi"/>
          <w:rtl/>
        </w:rPr>
        <w:t>.</w:t>
      </w:r>
    </w:p>
  </w:footnote>
  <w:footnote w:id="965">
    <w:p w14:paraId="005FDAF2"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דזה נראה שחולק על מה שכתב רבינו בסימן נ"ה, וז"ל הטור שם- מת הוא או גירשה מן האירוסין... מנה מאתים יש לה אפילו ממשעבדי אפילו לא כתב לה, ותוספת אפי' מבני חרי לא גביא אפילו אם כתב לה, עכ"ל. וכ' שם שכן דעת אביו הרא"ש </w:t>
      </w:r>
      <w:r w:rsidRPr="00351B7D">
        <w:rPr>
          <w:rFonts w:asciiTheme="minorBidi" w:hAnsiTheme="minorBidi"/>
          <w:sz w:val="16"/>
          <w:szCs w:val="16"/>
          <w:rtl/>
        </w:rPr>
        <w:t>(וכ"פ הרמב"ם (פ"י מה"א הי"א) גבי תוספת כתובה, אבל גבי עיקר כתובה דעתו חלוקה, עיי"ש)</w:t>
      </w:r>
      <w:r w:rsidRPr="00351B7D">
        <w:rPr>
          <w:rFonts w:asciiTheme="minorBidi" w:hAnsiTheme="minorBidi"/>
          <w:rtl/>
        </w:rPr>
        <w:t xml:space="preserve">. ובאמת קשיא אהדדי, ויש להעיר שלא מצאתי את מש"כ הטור בשם בהעי"ט בדברי העיטור אלא מפורש שם להפך </w:t>
      </w:r>
      <w:r w:rsidRPr="00351B7D">
        <w:rPr>
          <w:rFonts w:asciiTheme="minorBidi" w:hAnsiTheme="minorBidi"/>
          <w:sz w:val="16"/>
          <w:szCs w:val="16"/>
          <w:rtl/>
        </w:rPr>
        <w:t>(וכ"כ בשו"ת דברי שלום</w:t>
      </w:r>
      <w:r w:rsidRPr="00351B7D">
        <w:rPr>
          <w:rFonts w:asciiTheme="minorBidi" w:hAnsiTheme="minorBidi"/>
          <w:rtl/>
        </w:rPr>
        <w:t xml:space="preserve"> </w:t>
      </w:r>
      <w:r w:rsidRPr="00351B7D">
        <w:rPr>
          <w:rFonts w:asciiTheme="minorBidi" w:hAnsiTheme="minorBidi"/>
          <w:sz w:val="16"/>
          <w:szCs w:val="16"/>
          <w:rtl/>
        </w:rPr>
        <w:t>[אהע"ז ח"ב סי' כד])</w:t>
      </w:r>
      <w:r w:rsidRPr="00351B7D">
        <w:rPr>
          <w:rFonts w:asciiTheme="minorBidi" w:hAnsiTheme="minorBidi"/>
          <w:rtl/>
        </w:rPr>
        <w:t xml:space="preserve">, וז"ל בהעי"ט </w:t>
      </w:r>
      <w:r w:rsidRPr="00351B7D">
        <w:rPr>
          <w:rFonts w:asciiTheme="minorBidi" w:hAnsiTheme="minorBidi"/>
          <w:sz w:val="16"/>
          <w:szCs w:val="16"/>
          <w:rtl/>
        </w:rPr>
        <w:t>(אות כ כתובות דף לד טור ד)</w:t>
      </w:r>
      <w:r w:rsidRPr="00351B7D">
        <w:rPr>
          <w:rFonts w:asciiTheme="minorBidi" w:hAnsiTheme="minorBidi"/>
          <w:rtl/>
        </w:rPr>
        <w:t xml:space="preserve">- "ושדדו ממתיבתא מאן דכתב לאשתו בשעת </w:t>
      </w:r>
      <w:r w:rsidRPr="00351B7D">
        <w:rPr>
          <w:rFonts w:asciiTheme="minorBidi" w:hAnsiTheme="minorBidi"/>
          <w:u w:val="single"/>
          <w:rtl/>
        </w:rPr>
        <w:t>נישואין</w:t>
      </w:r>
      <w:r w:rsidRPr="00351B7D">
        <w:rPr>
          <w:rFonts w:asciiTheme="minorBidi" w:hAnsiTheme="minorBidi"/>
          <w:rtl/>
        </w:rPr>
        <w:t xml:space="preserve"> ומגרש לה אומרין אקני לה אדעתא למיקם קמיה אדעתא למישקל ולמיפק לא אקני לה... ועוד כך עושין רבותינו הראשונים וכל דייני דמתיבתא ואבות ב"ד הראשונים כך היו דנים" עכ"ל. נראה דאדרבה אמרינן דלא אקני לה אדעתא למישקל ולמיפק, ומ"מ ישנו חילוק ברור בין גירסתנו בדברי בהעי"ט לבין גי' הטור, שאצלנו בהעי"ט מדבר שגירשה לאחר </w:t>
      </w:r>
      <w:r w:rsidRPr="00351B7D">
        <w:rPr>
          <w:rFonts w:asciiTheme="minorBidi" w:hAnsiTheme="minorBidi"/>
          <w:u w:val="single"/>
          <w:rtl/>
        </w:rPr>
        <w:t>הנישואין</w:t>
      </w:r>
      <w:r w:rsidRPr="00351B7D">
        <w:rPr>
          <w:rFonts w:asciiTheme="minorBidi" w:hAnsiTheme="minorBidi"/>
          <w:rtl/>
        </w:rPr>
        <w:t xml:space="preserve">, ובגי' הטור מיירי שגירשה לאחר </w:t>
      </w:r>
      <w:r w:rsidRPr="00351B7D">
        <w:rPr>
          <w:rFonts w:asciiTheme="minorBidi" w:hAnsiTheme="minorBidi"/>
          <w:u w:val="single"/>
          <w:rtl/>
        </w:rPr>
        <w:t>קידושין</w:t>
      </w:r>
      <w:r w:rsidRPr="00351B7D">
        <w:rPr>
          <w:rFonts w:asciiTheme="minorBidi" w:hAnsiTheme="minorBidi"/>
          <w:rtl/>
        </w:rPr>
        <w:t xml:space="preserve">, ואם נגרוס כגירסתנו לא יקשה מדברי הטור כאן </w:t>
      </w:r>
      <w:r w:rsidRPr="00351B7D">
        <w:rPr>
          <w:rFonts w:asciiTheme="minorBidi" w:hAnsiTheme="minorBidi"/>
          <w:sz w:val="16"/>
          <w:szCs w:val="16"/>
          <w:rtl/>
        </w:rPr>
        <w:t xml:space="preserve">(שהעתיק בשם בהעי"ט) </w:t>
      </w:r>
      <w:r w:rsidRPr="00351B7D">
        <w:rPr>
          <w:rFonts w:asciiTheme="minorBidi" w:hAnsiTheme="minorBidi"/>
          <w:rtl/>
        </w:rPr>
        <w:t xml:space="preserve">על דברי הטור בסי' נ"ה </w:t>
      </w:r>
      <w:r w:rsidRPr="00351B7D">
        <w:rPr>
          <w:rFonts w:asciiTheme="minorBidi" w:hAnsiTheme="minorBidi"/>
          <w:sz w:val="16"/>
          <w:szCs w:val="16"/>
          <w:rtl/>
        </w:rPr>
        <w:t>(שהרי שם דיבר על שמת או גירשה לאחר קידושין וכאן (סי' סו) לאחר נישואין)</w:t>
      </w:r>
      <w:r w:rsidRPr="00351B7D">
        <w:rPr>
          <w:rFonts w:asciiTheme="minorBidi" w:hAnsiTheme="minorBidi"/>
          <w:rtl/>
        </w:rPr>
        <w:t xml:space="preserve">. </w:t>
      </w:r>
      <w:r w:rsidRPr="00351B7D">
        <w:rPr>
          <w:rFonts w:asciiTheme="minorBidi" w:hAnsiTheme="minorBidi"/>
          <w:sz w:val="16"/>
          <w:szCs w:val="16"/>
          <w:rtl/>
        </w:rPr>
        <w:t xml:space="preserve">(וכ' הדברי שלום </w:t>
      </w:r>
      <w:r w:rsidRPr="00351B7D">
        <w:rPr>
          <w:rFonts w:asciiTheme="minorBidi" w:hAnsiTheme="minorBidi"/>
          <w:sz w:val="12"/>
          <w:szCs w:val="12"/>
          <w:rtl/>
        </w:rPr>
        <w:t xml:space="preserve">[שם] </w:t>
      </w:r>
      <w:r w:rsidRPr="00351B7D">
        <w:rPr>
          <w:rFonts w:asciiTheme="minorBidi" w:hAnsiTheme="minorBidi"/>
          <w:sz w:val="16"/>
          <w:szCs w:val="16"/>
          <w:rtl/>
        </w:rPr>
        <w:t>וז"ל- "אבל מ"מ קשה ממה שהבאנו לעיל מדברי העיטור בשם מתיבתא היפך מ"ש הטור בשמו ובשם רב שר שלום והסכמת כל בני מתיבתא, ונראה לי ליישב דמ"ש בעיטור דלא גביא היינו בהיכא שמגרשה מחמת שסרחה עליו, ומ"ש הטור בשמו דגביא היינו כשמגרשה מרצונו בלא שום סיבה כגון שמצא נאה הימנה וכיוצא וכמו שחילק שם העיטור חילוק זה בד' הרי"ף ז"ל יעו"ש, והובא בטור סי' צט ע"ש, ובזה אתי שפיר דלא תקשי דברי הגאונים והמתיבתא אהדדי ודוק")</w:t>
      </w:r>
    </w:p>
  </w:footnote>
  <w:footnote w:id="966">
    <w:p w14:paraId="785F233E"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ומפני מה הפוסק עם אשתו שיהיה זן את בתה חייב לזונה</w:t>
      </w:r>
      <w:r w:rsidRPr="00351B7D">
        <w:rPr>
          <w:rFonts w:asciiTheme="minorBidi" w:hAnsiTheme="minorBidi"/>
          <w:sz w:val="16"/>
          <w:szCs w:val="16"/>
          <w:rtl/>
        </w:rPr>
        <w:t xml:space="preserve"> </w:t>
      </w:r>
      <w:r w:rsidRPr="00351B7D">
        <w:rPr>
          <w:rFonts w:asciiTheme="minorBidi" w:hAnsiTheme="minorBidi"/>
          <w:rtl/>
        </w:rPr>
        <w:t>מפני</w:t>
      </w:r>
      <w:r w:rsidRPr="00351B7D">
        <w:rPr>
          <w:rFonts w:asciiTheme="minorBidi" w:hAnsiTheme="minorBidi"/>
          <w:sz w:val="16"/>
          <w:szCs w:val="16"/>
          <w:rtl/>
        </w:rPr>
        <w:t xml:space="preserve"> </w:t>
      </w:r>
      <w:r w:rsidRPr="00351B7D">
        <w:rPr>
          <w:rFonts w:asciiTheme="minorBidi" w:hAnsiTheme="minorBidi"/>
          <w:rtl/>
        </w:rPr>
        <w:t>שפסק</w:t>
      </w:r>
      <w:r w:rsidRPr="00351B7D">
        <w:rPr>
          <w:rFonts w:asciiTheme="minorBidi" w:hAnsiTheme="minorBidi"/>
          <w:sz w:val="16"/>
          <w:szCs w:val="16"/>
          <w:rtl/>
        </w:rPr>
        <w:t xml:space="preserve"> </w:t>
      </w:r>
      <w:r w:rsidRPr="00351B7D">
        <w:rPr>
          <w:rFonts w:asciiTheme="minorBidi" w:hAnsiTheme="minorBidi"/>
          <w:rtl/>
        </w:rPr>
        <w:t>בשעת</w:t>
      </w:r>
      <w:r w:rsidRPr="00351B7D">
        <w:rPr>
          <w:rFonts w:asciiTheme="minorBidi" w:hAnsiTheme="minorBidi"/>
          <w:sz w:val="16"/>
          <w:szCs w:val="16"/>
          <w:rtl/>
        </w:rPr>
        <w:t xml:space="preserve"> </w:t>
      </w:r>
      <w:r w:rsidRPr="00351B7D">
        <w:rPr>
          <w:rFonts w:asciiTheme="minorBidi" w:hAnsiTheme="minorBidi"/>
          <w:rtl/>
        </w:rPr>
        <w:t>נשואין</w:t>
      </w:r>
      <w:r w:rsidRPr="00351B7D">
        <w:rPr>
          <w:rFonts w:asciiTheme="minorBidi" w:hAnsiTheme="minorBidi"/>
          <w:sz w:val="16"/>
          <w:szCs w:val="16"/>
          <w:rtl/>
        </w:rPr>
        <w:t xml:space="preserve"> </w:t>
      </w:r>
      <w:r w:rsidRPr="00351B7D">
        <w:rPr>
          <w:rFonts w:asciiTheme="minorBidi" w:hAnsiTheme="minorBidi"/>
          <w:rtl/>
        </w:rPr>
        <w:t>והדבר</w:t>
      </w:r>
      <w:r w:rsidRPr="00351B7D">
        <w:rPr>
          <w:rFonts w:asciiTheme="minorBidi" w:hAnsiTheme="minorBidi"/>
          <w:sz w:val="16"/>
          <w:szCs w:val="16"/>
          <w:rtl/>
        </w:rPr>
        <w:t xml:space="preserve"> </w:t>
      </w:r>
      <w:r w:rsidRPr="00351B7D">
        <w:rPr>
          <w:rFonts w:asciiTheme="minorBidi" w:hAnsiTheme="minorBidi"/>
          <w:rtl/>
        </w:rPr>
        <w:t>דומה</w:t>
      </w:r>
      <w:r w:rsidRPr="00351B7D">
        <w:rPr>
          <w:rFonts w:asciiTheme="minorBidi" w:hAnsiTheme="minorBidi"/>
          <w:sz w:val="16"/>
          <w:szCs w:val="16"/>
          <w:rtl/>
        </w:rPr>
        <w:t xml:space="preserve"> </w:t>
      </w:r>
      <w:r w:rsidRPr="00351B7D">
        <w:rPr>
          <w:rFonts w:asciiTheme="minorBidi" w:hAnsiTheme="minorBidi"/>
          <w:rtl/>
        </w:rPr>
        <w:t>לדברים</w:t>
      </w:r>
      <w:r w:rsidRPr="00351B7D">
        <w:rPr>
          <w:rFonts w:asciiTheme="minorBidi" w:hAnsiTheme="minorBidi"/>
          <w:sz w:val="16"/>
          <w:szCs w:val="16"/>
          <w:rtl/>
        </w:rPr>
        <w:t xml:space="preserve"> </w:t>
      </w:r>
      <w:r w:rsidRPr="00351B7D">
        <w:rPr>
          <w:rFonts w:asciiTheme="minorBidi" w:hAnsiTheme="minorBidi"/>
          <w:rtl/>
        </w:rPr>
        <w:t>הנקנין באמירה.</w:t>
      </w:r>
    </w:p>
  </w:footnote>
  <w:footnote w:id="967">
    <w:p w14:paraId="74D7FD9A"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 האי</w:t>
      </w:r>
      <w:r w:rsidRPr="00351B7D">
        <w:rPr>
          <w:rFonts w:asciiTheme="minorBidi" w:hAnsiTheme="minorBidi"/>
          <w:sz w:val="16"/>
          <w:szCs w:val="16"/>
          <w:rtl/>
        </w:rPr>
        <w:t xml:space="preserve"> (הביאו הטור)</w:t>
      </w:r>
      <w:r w:rsidRPr="00351B7D">
        <w:rPr>
          <w:rFonts w:asciiTheme="minorBidi" w:hAnsiTheme="minorBidi"/>
          <w:rtl/>
        </w:rPr>
        <w:t xml:space="preserve"> רמב"ם</w:t>
      </w:r>
      <w:r w:rsidRPr="00351B7D">
        <w:rPr>
          <w:rFonts w:asciiTheme="minorBidi" w:hAnsiTheme="minorBidi"/>
          <w:sz w:val="16"/>
          <w:szCs w:val="16"/>
          <w:rtl/>
        </w:rPr>
        <w:t xml:space="preserve"> (הל' מכירה פי"א הי"ז)</w:t>
      </w:r>
      <w:r w:rsidRPr="00351B7D">
        <w:rPr>
          <w:rFonts w:asciiTheme="minorBidi" w:hAnsiTheme="minorBidi"/>
          <w:rtl/>
        </w:rPr>
        <w:t xml:space="preserve"> ריטב"א </w:t>
      </w:r>
      <w:r w:rsidRPr="00351B7D">
        <w:rPr>
          <w:rFonts w:asciiTheme="minorBidi" w:hAnsiTheme="minorBidi"/>
          <w:sz w:val="16"/>
          <w:szCs w:val="16"/>
          <w:rtl/>
        </w:rPr>
        <w:t>(כתובות נד: ד"ה מן הנישואין)</w:t>
      </w:r>
      <w:r w:rsidRPr="00351B7D">
        <w:rPr>
          <w:rFonts w:asciiTheme="minorBidi" w:hAnsiTheme="minorBidi"/>
          <w:rtl/>
        </w:rPr>
        <w:t xml:space="preserve"> וטור.</w:t>
      </w:r>
    </w:p>
  </w:footnote>
  <w:footnote w:id="968">
    <w:p w14:paraId="1D2903BE"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 אם מוסיף לה על מנה ומאתיים.</w:t>
      </w:r>
    </w:p>
  </w:footnote>
  <w:footnote w:id="969">
    <w:p w14:paraId="4981612C"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הר"ן </w:t>
      </w:r>
      <w:r w:rsidRPr="00351B7D">
        <w:rPr>
          <w:rFonts w:asciiTheme="minorBidi" w:hAnsiTheme="minorBidi"/>
          <w:sz w:val="16"/>
          <w:szCs w:val="16"/>
          <w:rtl/>
        </w:rPr>
        <w:t xml:space="preserve">(כתובות כא: ד"ה שלא) </w:t>
      </w:r>
      <w:r w:rsidRPr="00351B7D">
        <w:rPr>
          <w:rFonts w:asciiTheme="minorBidi" w:hAnsiTheme="minorBidi"/>
          <w:rtl/>
        </w:rPr>
        <w:t>כ' שם דמשמע מהירושלמי (דלעיל) שהמוסיף לאשתו אפילו לאחר שכנסה באמירה בעלמא סגי ולא צריך למיקניא מיניה דומיא דמאי דאמר רב גידל עמדו וקידשו קנו הם הם הדברים הנקנין באמירה, אך סיים וכ'- וצריך עיון משום דלא אשכחן כולי האי בגמרא דילן אדרבה בגמרא (נה.) משמע דלית לן האי סברא כמו שאכתוב לפנינו (בר"ן כב: סוד"ה אמר) בס"ד. ע"כ. וכ' הדרכ"מ (סי'  נ"א אות א) דמשמע שד' הר"ן כד' המרדכי.</w:t>
      </w:r>
    </w:p>
  </w:footnote>
  <w:footnote w:id="970">
    <w:p w14:paraId="0379A3F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ונראה טעמם, דדוקא בקדושין אמרינן כן דעל דעת כן נעשו הקדושין ואילו לא הייתה אותה הפסיקה לא הסכימו לקדשה, משא"כ בנישואין שהוכרחו לזה כיון שכבר נתקדשה, ט"ז (סק"ג</w:t>
      </w:r>
      <w:r w:rsidRPr="00351B7D">
        <w:rPr>
          <w:rFonts w:asciiTheme="minorBidi" w:hAnsiTheme="minorBidi"/>
          <w:vertAlign w:val="superscript"/>
          <w:rtl/>
        </w:rPr>
        <w:t>8</w:t>
      </w:r>
      <w:r w:rsidRPr="00351B7D">
        <w:rPr>
          <w:rFonts w:asciiTheme="minorBidi" w:hAnsiTheme="minorBidi"/>
          <w:rtl/>
        </w:rPr>
        <w:t xml:space="preserve"> מכת"י).</w:t>
      </w:r>
    </w:p>
  </w:footnote>
  <w:footnote w:id="971">
    <w:p w14:paraId="6C93D91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הערך לחם וז"ל- וצ"ע כשנשבע או נדר בשטר השידוכין על דבר מה איך יותר בשטר הכתובה, ונראה דאמרינן דאדעתא דהכי עבדי מעיקרא שיהא שטר כתובה עיקר, ועי' סי' ק סוף דין י"ד.</w:t>
      </w:r>
    </w:p>
  </w:footnote>
  <w:footnote w:id="972">
    <w:p w14:paraId="7EFB9D6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פי שלא נתקבלה מוחלת וכותבת בלשון שובר, רש"י.</w:t>
      </w:r>
    </w:p>
  </w:footnote>
  <w:footnote w:id="973">
    <w:p w14:paraId="15D21053"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דהוה ליה תנאה בעלמא לא הוי תנאה דמתנה על מה שכתוב בתורה הוא, רש"י.</w:t>
      </w:r>
    </w:p>
  </w:footnote>
  <w:footnote w:id="974">
    <w:p w14:paraId="36C8F18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שאר וכסות, רש"י.</w:t>
      </w:r>
    </w:p>
  </w:footnote>
  <w:footnote w:id="975">
    <w:p w14:paraId="55E6BCC8"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 לקמן </w:t>
      </w:r>
      <w:r w:rsidRPr="00351B7D">
        <w:rPr>
          <w:rFonts w:asciiTheme="minorBidi" w:hAnsiTheme="minorBidi"/>
          <w:sz w:val="16"/>
          <w:szCs w:val="16"/>
          <w:rtl/>
        </w:rPr>
        <w:t xml:space="preserve">(בדברי הר"ן) </w:t>
      </w:r>
      <w:r w:rsidRPr="00351B7D">
        <w:rPr>
          <w:rFonts w:asciiTheme="minorBidi" w:hAnsiTheme="minorBidi"/>
          <w:rtl/>
        </w:rPr>
        <w:t>דר' יוסי פליג על ר' יהודה וסבר דתנאו קיים ואע"ג דעשו חכמים חיזוק לדברים יותר משל תורה.</w:t>
      </w:r>
    </w:p>
  </w:footnote>
  <w:footnote w:id="976">
    <w:p w14:paraId="0FE51E59"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מדלא תנא כל בתולה שאין לה מאתים ואלמנה שאין לה מנה הרי זו בעילת זנות ש"מ דהכי אשמועינן שאע"פ שהיא גובה לבסוף דאין תנאו קיים אפ"ה כיון דמעיקרא אתני קרי לה בעילת זנות משום דמשעת ביאה לא הוה סמכא דעתה אכתובה, רש"י. </w:t>
      </w:r>
    </w:p>
    <w:p w14:paraId="63CA0011" w14:textId="77777777" w:rsidR="00DF1FC7" w:rsidRPr="00351B7D" w:rsidRDefault="00DF1FC7" w:rsidP="002E5BAD">
      <w:pPr>
        <w:pStyle w:val="a5"/>
        <w:rPr>
          <w:rFonts w:asciiTheme="minorBidi" w:hAnsiTheme="minorBidi"/>
        </w:rPr>
      </w:pPr>
      <w:r w:rsidRPr="00351B7D">
        <w:rPr>
          <w:rFonts w:asciiTheme="minorBidi" w:hAnsiTheme="minorBidi"/>
          <w:rtl/>
        </w:rPr>
        <w:t>משמע אפילו שלא פחת לה אלא באופן של תנאה וכגון שלא כתבה לו "התקבלתי" אלא אמרה בעל פה שהוא תנאי בעלמא שאינו חל ובסופו של דבר תוכל לגבות את כתובתה כולה, אפילו הכי בעילתו בעילת זנות, חברותא (וכ"כ הרא"ש, עי' לקמן).</w:t>
      </w:r>
    </w:p>
  </w:footnote>
  <w:footnote w:id="977">
    <w:p w14:paraId="57716DCE"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דבלאו הכי לאו רבותא היא דנקט כל הפוחת, רש"י.</w:t>
      </w:r>
    </w:p>
  </w:footnote>
  <w:footnote w:id="978">
    <w:p w14:paraId="358E6BAD"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אין האשה סומכת דעתה שתקבל את כתובתה, חברותא.</w:t>
      </w:r>
    </w:p>
  </w:footnote>
  <w:footnote w:id="979">
    <w:p w14:paraId="33C59EA5"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משום שהתנה עמה על פחות ממה שראוי לה, או כגון שכתב לה כראוי לה והיא כתבה לו שקיבלה כך וכך </w:t>
      </w:r>
      <w:r w:rsidRPr="00351B7D">
        <w:rPr>
          <w:rFonts w:asciiTheme="minorBidi" w:hAnsiTheme="minorBidi"/>
          <w:u w:val="single"/>
          <w:rtl/>
        </w:rPr>
        <w:t>והוא לא נתן</w:t>
      </w:r>
      <w:r w:rsidRPr="00351B7D">
        <w:rPr>
          <w:rFonts w:asciiTheme="minorBidi" w:hAnsiTheme="minorBidi"/>
          <w:rtl/>
        </w:rPr>
        <w:t>.</w:t>
      </w:r>
    </w:p>
  </w:footnote>
  <w:footnote w:id="980">
    <w:p w14:paraId="3F63EEC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(כג. דיבור ראשון) דמשמע דס"ל ז"ל דהלכתא כוותיה</w:t>
      </w:r>
      <w:r w:rsidRPr="00351B7D">
        <w:rPr>
          <w:rFonts w:asciiTheme="minorBidi" w:hAnsiTheme="minorBidi"/>
          <w:sz w:val="16"/>
          <w:szCs w:val="16"/>
          <w:rtl/>
        </w:rPr>
        <w:t xml:space="preserve"> (היינו כר' מאיר) </w:t>
      </w:r>
      <w:r w:rsidRPr="00351B7D">
        <w:rPr>
          <w:rFonts w:asciiTheme="minorBidi" w:hAnsiTheme="minorBidi"/>
          <w:rtl/>
        </w:rPr>
        <w:t>ולא מטעמיה אלא משום דכתובה דרבנן וחכמים עשו חיזוק לדבריהם יותר משל תורה, הילכך כל שהוא רוצה לקיימה תנאו בטל, ואפ"ה הויא בעילתו בעילת זנות משום דלא סמכה דעתה</w:t>
      </w:r>
      <w:r w:rsidRPr="00351B7D">
        <w:rPr>
          <w:rFonts w:asciiTheme="minorBidi" w:hAnsiTheme="minorBidi"/>
          <w:sz w:val="16"/>
          <w:szCs w:val="16"/>
          <w:rtl/>
        </w:rPr>
        <w:t xml:space="preserve"> (וכ"כ הה"מ פי"ב מה"א ה"ח)</w:t>
      </w:r>
      <w:r w:rsidRPr="00351B7D">
        <w:rPr>
          <w:rFonts w:asciiTheme="minorBidi" w:hAnsiTheme="minorBidi"/>
          <w:rtl/>
        </w:rPr>
        <w:t>, ומיהו אם לא רצה לקיימה תנאו קיים דהא שקלינן וטרינן לעיל (נג.) מוחלת כתובתה לבעלה אם יש לה תנאי דכתובת בנין דיכרין, אלמא בשלא רצה לקיימה יכולה למחול.</w:t>
      </w:r>
    </w:p>
  </w:footnote>
  <w:footnote w:id="981">
    <w:p w14:paraId="77CBB25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(כג. דיבור ראשון) ומשמע דכי קיימא לן כרבי מאיר הני מילי במאי דקאמר דהפוחת לבתולה מק"ק וכו' בעילתו בעילת זנות, אבל במאי דקאמר תנאו בטל לא קיי"ל כוותיה דע"כ לא אמר רבי מאיר תנאו בטל אלא משום דסבירא ליה כתובה דאורייתא ומתנה על מה שכתוב בתורה תנאו בטל אבל לדידן דאית לן דכתובה דרבנן ואפילו בשל תורה נמי בדבר שבממון תנאו קיים- הכא ודאי תנאו קיים אלא שאינו רשאי לקיימה בלא כתובה, דאע"ג דסבר רבי יהודה דחכמים עשו חיזוק לדבריהם יותר משל תורה ותנאו בטל כדאיתא בגמרא (נו.) הא איכא רבי יוסי (שם:) דפליג עליה ורבי יהודה ורבי יוסי הלכה כרבי יוסי.</w:t>
      </w:r>
    </w:p>
  </w:footnote>
  <w:footnote w:id="982">
    <w:p w14:paraId="5C8584FA"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הגר"א (סקי"ד).</w:t>
      </w:r>
    </w:p>
  </w:footnote>
  <w:footnote w:id="983">
    <w:p w14:paraId="094B4EDA" w14:textId="77777777" w:rsidR="00DF1FC7" w:rsidRPr="00351B7D" w:rsidRDefault="00DF1FC7" w:rsidP="002E5BAD">
      <w:pPr>
        <w:pStyle w:val="a5"/>
        <w:rPr>
          <w:rFonts w:asciiTheme="minorBidi" w:hAnsiTheme="minorBidi"/>
          <w:color w:val="FF0000"/>
          <w:rtl/>
        </w:rPr>
      </w:pPr>
      <w:r w:rsidRPr="00351B7D">
        <w:rPr>
          <w:rStyle w:val="a7"/>
          <w:rFonts w:asciiTheme="minorBidi" w:hAnsiTheme="minorBidi"/>
          <w:color w:val="FF0000"/>
        </w:rPr>
        <w:footnoteRef/>
      </w:r>
      <w:r w:rsidRPr="00351B7D">
        <w:rPr>
          <w:rFonts w:asciiTheme="minorBidi" w:hAnsiTheme="minorBidi"/>
          <w:color w:val="FF0000"/>
          <w:rtl/>
        </w:rPr>
        <w:t xml:space="preserve"> צל"ע משום שהח"מ (סקל"ה) כ' שבסי' ס"ט הטור כ' דמחילה לא מהני.</w:t>
      </w:r>
    </w:p>
  </w:footnote>
  <w:footnote w:id="984">
    <w:p w14:paraId="291CC77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מרדכי וטור.</w:t>
      </w:r>
    </w:p>
  </w:footnote>
  <w:footnote w:id="985">
    <w:p w14:paraId="501D7BB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 כהן כשנישאת לכהן וכ"ש כשנישאת לישראל, רש"י.</w:t>
      </w:r>
    </w:p>
  </w:footnote>
  <w:footnote w:id="986">
    <w:p w14:paraId="161F367B"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וע"ל סוף סימן קי"ח (עמ' צא - צג) איזו מתנה שמוסיף לאשתו יש לה דין מתנה ואיזו יש לה דין תוספת, דרכ"מ (אות י"ג).</w:t>
      </w:r>
    </w:p>
  </w:footnote>
  <w:footnote w:id="987">
    <w:p w14:paraId="4679C5DB"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טור מדברי התוס' (ד"ה ב"ד), וכ"כ הרא"ש (פ"א סי' כו). </w:t>
      </w:r>
    </w:p>
  </w:footnote>
  <w:footnote w:id="988">
    <w:p w14:paraId="48A82CBD"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דבגמרא אמרו זה במשפחות מיוחסות, לאו דוקא, אורחא דמילתא הוא, דבשאר משפחות אין שומעין להם, ח"מ (סקל"ו).</w:t>
      </w:r>
    </w:p>
  </w:footnote>
  <w:footnote w:id="989">
    <w:p w14:paraId="76C921C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בציונים לרמ"א כאן נכתב- ב"י בשם הר"ן שכ"כ בשם התוס'. וכ"כ בדרכ"מ ארוך, אבל בר"ן לפנינו ליתא, ואפשר דלשון הב"י הטעהו שסבר שהתוס' שהובא בב"י הוא הכלל דברי הר"ן שהובאו קודם לכן.</w:t>
      </w:r>
    </w:p>
  </w:footnote>
  <w:footnote w:id="990">
    <w:p w14:paraId="1D20D3D0"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רא"ש (כלל לו ס"ס ה).</w:t>
      </w:r>
    </w:p>
  </w:footnote>
  <w:footnote w:id="991">
    <w:p w14:paraId="0F6A9F38" w14:textId="77777777" w:rsidR="00DF1FC7" w:rsidRPr="00351B7D" w:rsidRDefault="00DF1FC7" w:rsidP="002E5BAD">
      <w:pPr>
        <w:pStyle w:val="a5"/>
        <w:rPr>
          <w:rFonts w:asciiTheme="minorBidi" w:hAnsiTheme="minorBidi"/>
          <w:sz w:val="14"/>
          <w:szCs w:val="14"/>
          <w:rtl/>
        </w:rPr>
      </w:pPr>
      <w:r w:rsidRPr="00351B7D">
        <w:rPr>
          <w:rStyle w:val="a7"/>
          <w:rFonts w:asciiTheme="minorBidi" w:hAnsiTheme="minorBidi"/>
        </w:rPr>
        <w:footnoteRef/>
      </w:r>
      <w:r w:rsidRPr="00351B7D">
        <w:rPr>
          <w:rFonts w:asciiTheme="minorBidi" w:hAnsiTheme="minorBidi"/>
          <w:rtl/>
        </w:rPr>
        <w:t xml:space="preserve"> אשה שמכניסה לבעלה מעות בנדוניה הוא מוסיף מחצה (היינו שרושם בכתובה את הסכום שהכניסה פי אחד וחצי), אבל אם הכניסה לו מיטלטלים (כגון בגדים ותכשיטים) הוא רושם את שווים פחות חומש.  </w:t>
      </w:r>
    </w:p>
  </w:footnote>
  <w:footnote w:id="992">
    <w:p w14:paraId="086AD3D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עשרה מנה (מזומן).</w:t>
      </w:r>
    </w:p>
  </w:footnote>
  <w:footnote w:id="993">
    <w:p w14:paraId="054E27FE"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הוא כותב בכתובה פי אחד וחצי (היינו מחצית מה שהכניסה והיינו שליש מלבר), ועושה כן לפי שמשתכר בהן.</w:t>
      </w:r>
    </w:p>
  </w:footnote>
  <w:footnote w:id="994">
    <w:p w14:paraId="2260EDED"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אם הכניסה לו דברים הצריכים שומה, היינו מיטלטלים </w:t>
      </w:r>
      <w:r w:rsidRPr="00351B7D">
        <w:rPr>
          <w:rFonts w:asciiTheme="minorBidi" w:hAnsiTheme="minorBidi"/>
          <w:sz w:val="16"/>
          <w:szCs w:val="16"/>
          <w:rtl/>
        </w:rPr>
        <w:t>(כגון בגדים תכשיטים וכלים)</w:t>
      </w:r>
      <w:r w:rsidRPr="00351B7D">
        <w:rPr>
          <w:rFonts w:asciiTheme="minorBidi" w:hAnsiTheme="minorBidi"/>
          <w:rtl/>
        </w:rPr>
        <w:t>, וקרוביה שמים את שווים בביתה לפני החתונה.</w:t>
      </w:r>
    </w:p>
  </w:footnote>
  <w:footnote w:id="995">
    <w:p w14:paraId="7B946ED7"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שמשתמשין במיטלטלים והן פוחתין, ואם הכניסה פרקמטיא (שאינה פוחתת) מ"מ פוחת חומש משום שדרך קרוביה להוסיף חומש על שומת שווים לכבוד הכלה ולחבבה על בעלה. </w:t>
      </w:r>
    </w:p>
  </w:footnote>
  <w:footnote w:id="996">
    <w:p w14:paraId="086D34D5"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הכניסה לו מיטלטלים בשווי מנה אבל הם באמת שווים מנה ולא הוסיפו קרוביה חומש על ערכם בשעת השומה.</w:t>
      </w:r>
    </w:p>
  </w:footnote>
  <w:footnote w:id="997">
    <w:p w14:paraId="60907345"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חייב לכתוב בכתובה שהכניסה לו מנה, ולא להפחית חומש בטענה שקרוביה שמו והוסיפו חומש.</w:t>
      </w:r>
    </w:p>
  </w:footnote>
  <w:footnote w:id="998">
    <w:p w14:paraId="20A2F822"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כדי שיהיה כתוב בכתובה שהיא הכניסה לו מיטלטלים בשווי מנה היא נותנת...</w:t>
      </w:r>
    </w:p>
  </w:footnote>
  <w:footnote w:id="999">
    <w:p w14:paraId="2715F091"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דהיינו מנה וחומשו.</w:t>
      </w:r>
    </w:p>
  </w:footnote>
  <w:footnote w:id="1000">
    <w:p w14:paraId="0FBAB7B5"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שום שיקבל עליו לכתוב ארבע מאות, רש"י. </w:t>
      </w:r>
    </w:p>
  </w:footnote>
  <w:footnote w:id="1001">
    <w:p w14:paraId="092643BE"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שמו הם תחלה והכניסה לו בין שום קטן בין שום גדול הוא כותב בשטר פחות חומש ובגמרא מפרש לה ל"ל כל הני, רש"י.</w:t>
      </w:r>
    </w:p>
  </w:footnote>
  <w:footnote w:id="1002">
    <w:p w14:paraId="1C019137"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נכסים שהאשה מביאה לבעלה עם נישואיה ואינם נרשמים בכתובה, או נכסים שבאים לה בירושה או במתנה לאחר נישואיה. נכסי מלוג אינם עוברים לרשות הבעל אלא הם שייכים לאשה בלבד, אך הבעל זכאי להנות מן הפירות (הרווחים) שמפיקים נכסים אלו. על הבעל לטפל בנכסים, אך אין הוא חייב בשמירת ערכם ("אינו חייב באחריותם") - אם אינו מפסידם בכוונה. עם פקיעת הנישואין, כתוצאה מגירושין או ממיתת הבעל, האשה מקבלת נכסים אלו כפי שהם, כך שאם עלה ערכם - הרוויחה; ואם ירד ערכם, או שאבדו מן העולם – הפסידה </w:t>
      </w:r>
      <w:r w:rsidRPr="00351B7D">
        <w:rPr>
          <w:rFonts w:asciiTheme="minorBidi" w:hAnsiTheme="minorBidi"/>
          <w:sz w:val="14"/>
          <w:szCs w:val="14"/>
          <w:rtl/>
        </w:rPr>
        <w:t>(מושגים תלמודיים פרויה"ש)</w:t>
      </w:r>
      <w:r w:rsidRPr="00351B7D">
        <w:rPr>
          <w:rFonts w:asciiTheme="minorBidi" w:hAnsiTheme="minorBidi"/>
          <w:rtl/>
        </w:rPr>
        <w:t>.</w:t>
      </w:r>
    </w:p>
  </w:footnote>
  <w:footnote w:id="1003">
    <w:p w14:paraId="032C9F8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שהן מוכנים לשכר מיד, רש"י.</w:t>
      </w:r>
    </w:p>
  </w:footnote>
  <w:footnote w:id="1004">
    <w:p w14:paraId="61EFFE5D"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לכתוב בשטר הכתובה בששה דינר יותר שליש כדתנן לעיל ובגמרא מפרש הא תו למה לי, רש"י.</w:t>
      </w:r>
    </w:p>
  </w:footnote>
  <w:footnote w:id="1005">
    <w:p w14:paraId="4EFE2235"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בגמרא מפרש שיתן לה עשרה זוז לכל מנה ומנה שהיא מביאה לו ויקנו לה מהם בשמים לרחוץ בהם בתמרוקי הנשים, שכך שיערו שהאשה המביאה לבעלה מנה- ראויה היא לבשמים של עשרה זוז, ולא פירשו במשנה אם לכל יום אם לכל שבת אם לכל חדש אם לכל שנה, רש"י.</w:t>
      </w:r>
    </w:p>
  </w:footnote>
  <w:footnote w:id="1006">
    <w:p w14:paraId="067335B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שכל מה שכתוב בשטר כתובתה: ודין נדוניא דהנעלת ליה מבי נשא לבית בעלה וכו' - נפרעת ממנו כשנתארמלה או נתגרשה, כדרך שבעל חוב נפרע, ככל הכתוב בשטר מלוה, כגון שכותבין בה כמו שאנו כותבין אחריות דנא קבילת עלאי, רש"י.</w:t>
      </w:r>
    </w:p>
  </w:footnote>
  <w:footnote w:id="1007">
    <w:p w14:paraId="0CE0FEAF"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בעל גובה מאבי הבת כל מה שכתוב בכתובתה, כאילו הלוהו, רש"י.</w:t>
      </w:r>
    </w:p>
  </w:footnote>
  <w:footnote w:id="1008">
    <w:p w14:paraId="2E973872"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לשום את מה שמכנסת לו כפליים בדמיו בשביל כבוד, ולכתוב כפליים בכתובתה, וכשהיא יוצאת אינה נפרעת אלא החצי, רש"י.</w:t>
      </w:r>
    </w:p>
  </w:footnote>
  <w:footnote w:id="1009">
    <w:p w14:paraId="7A5D4214"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החתן מחמיו מחצה, רש"י.</w:t>
      </w:r>
    </w:p>
  </w:footnote>
  <w:footnote w:id="1010">
    <w:p w14:paraId="66BD0335"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w:t>
      </w:r>
      <w:r w:rsidRPr="00351B7D">
        <w:rPr>
          <w:rFonts w:asciiTheme="minorBidi" w:hAnsiTheme="minorBidi"/>
          <w:sz w:val="16"/>
          <w:szCs w:val="16"/>
          <w:rtl/>
        </w:rPr>
        <w:t xml:space="preserve">(אות טו) </w:t>
      </w:r>
      <w:r w:rsidRPr="00351B7D">
        <w:rPr>
          <w:rFonts w:asciiTheme="minorBidi" w:hAnsiTheme="minorBidi"/>
          <w:rtl/>
        </w:rPr>
        <w:t>וז"ל- ונראה לי דוקא שהתנה כן תחלה קודם השידוכין והקנסות שקבל עליו, אבל אם שעבד עצמו סתם בקנס לישא אותה וכשבא לנישואין רוצה לפחות לה כתובה אין הרשות בידו, כי כל הנושא ומשעבד עצמו בסתם דעתו על פי המנהג, וכמו שכתב הרמב"ם, כן נראה לי, וכן משמע בדברי מהרי"ל עצמו שצריך להתנות כן בתנאים מתחלה.</w:t>
      </w:r>
    </w:p>
  </w:footnote>
  <w:footnote w:id="1011">
    <w:p w14:paraId="7C30F186"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סי' י"ב, בשו"ת הרשב"א שנדפס עם ספר אדעתא דרבנן למהרש"א אלפנדרי.</w:t>
      </w:r>
    </w:p>
  </w:footnote>
  <w:footnote w:id="1012">
    <w:p w14:paraId="7CAEA9BF"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כמו שהוא בשאר כתובות. (הטור הביא ג"כ נוסח לכתובא דאירכסא אך הב"י כ' שהנוסח של רי"ו יותר יפה מהנוסח שכ' הטור)</w:t>
      </w:r>
    </w:p>
  </w:footnote>
  <w:footnote w:id="1013">
    <w:p w14:paraId="53B2FF3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וז"ל- וע"ל ריש סימן זה</w:t>
      </w:r>
      <w:r w:rsidRPr="00351B7D">
        <w:rPr>
          <w:rFonts w:asciiTheme="minorBidi" w:hAnsiTheme="minorBidi"/>
          <w:sz w:val="16"/>
          <w:szCs w:val="16"/>
          <w:rtl/>
        </w:rPr>
        <w:t xml:space="preserve"> (בטור בשם בהעי"ט) </w:t>
      </w:r>
      <w:r w:rsidRPr="00351B7D">
        <w:rPr>
          <w:rFonts w:asciiTheme="minorBidi" w:hAnsiTheme="minorBidi"/>
          <w:rtl/>
        </w:rPr>
        <w:t xml:space="preserve">דיש חולקין בדבר אי כותבין לה מזמן הראשון או לאו. </w:t>
      </w:r>
      <w:r w:rsidRPr="00351B7D">
        <w:rPr>
          <w:rFonts w:asciiTheme="minorBidi" w:hAnsiTheme="minorBidi"/>
          <w:color w:val="FF0000"/>
          <w:sz w:val="16"/>
          <w:szCs w:val="16"/>
          <w:rtl/>
        </w:rPr>
        <w:t>(צל"ע, שהרי מדובר שם בכתובה שנאבדה)</w:t>
      </w:r>
    </w:p>
  </w:footnote>
  <w:footnote w:id="1014">
    <w:p w14:paraId="14F4EFEB"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ששמין לו הבגדים בנדן והוא מקבלן בסך מסוים וזה הוא נדוניא ונכסי צאן ברזל, אבל בגדי הכלה שאין שמין לו הם נקראים נכסי מלוג כמבואר לקמן סי' ע"ז, ח"מ (סקל"ז) וב"ש (סקכ"א).</w:t>
      </w:r>
    </w:p>
  </w:footnote>
  <w:footnote w:id="1015">
    <w:p w14:paraId="13A4BA2E"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והיכא שאין מנהג אז דנין ע"פ דין כמש"כ בש"ס דבכספים ובסחורה מוסיפים שליש הואיל ויכול להרויח בהם... ואם בא אחד מעיר אחרת ואין רוצה להוסיף אינו רשאי לשנות דכל הנושא ומשתעבד את עצמו בסתם דעתו על פי המנהג, מיהו משמע בב"ח דבמלבושים יכול לעכב. ועיין תשובות שאר"י סימן מ"ה. ובזה אין חילוק בין אלמנה לבתולה. ונדוניא הוא חוב גמור, ב"ש (סקכ"ג).</w:t>
      </w:r>
    </w:p>
  </w:footnote>
  <w:footnote w:id="1016">
    <w:p w14:paraId="318725D8"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נראה להגיה והן נכסי צאן ברזל, וכמ"ש לקמן סי' פ"ה סעי' ב' נכסי צאן ברזל הם הנדוניא דהנעלת ליה, ח"מ (סקל"ט).</w:t>
      </w:r>
    </w:p>
  </w:footnote>
  <w:footnote w:id="1017">
    <w:p w14:paraId="28C38C9D"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שיניח אותם ברשותה כדין נכסי מלוג שיאכל פירות ויהיה הכל באחריות שלה השבח וההפסד</w:t>
      </w:r>
      <w:r w:rsidRPr="00351B7D">
        <w:rPr>
          <w:rFonts w:asciiTheme="minorBidi" w:hAnsiTheme="minorBidi"/>
          <w:sz w:val="16"/>
          <w:szCs w:val="16"/>
          <w:rtl/>
        </w:rPr>
        <w:t xml:space="preserve"> (ריב"ש סי' קנ)</w:t>
      </w:r>
      <w:r w:rsidRPr="00351B7D">
        <w:rPr>
          <w:rFonts w:asciiTheme="minorBidi" w:hAnsiTheme="minorBidi"/>
          <w:rtl/>
        </w:rPr>
        <w:t>, ח"מ</w:t>
      </w:r>
      <w:r w:rsidRPr="00351B7D">
        <w:rPr>
          <w:rFonts w:asciiTheme="minorBidi" w:hAnsiTheme="minorBidi"/>
          <w:sz w:val="16"/>
          <w:szCs w:val="16"/>
          <w:rtl/>
        </w:rPr>
        <w:t xml:space="preserve"> (סק"מ)</w:t>
      </w:r>
      <w:r w:rsidRPr="00351B7D">
        <w:rPr>
          <w:rFonts w:asciiTheme="minorBidi" w:hAnsiTheme="minorBidi"/>
          <w:rtl/>
        </w:rPr>
        <w:t>.</w:t>
      </w:r>
    </w:p>
  </w:footnote>
  <w:footnote w:id="1018">
    <w:p w14:paraId="70F61EE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בכתבי מהרא"י סי' צ"ו, ושם כתב, נראה קצת אפילו היא גרושה מן הראשון ומן השני אלמנה אין כותבין רק מתרכתא מפני תקנת הכהנים וארמלתא למאי אתיא, וכן אם היתה שבויה ומכ"ש בעולה צריך לכתוב בשביל כהנים, ואם היה מחזיר גרושתו ראיתי בספר יש"ש שיכתוב מתרכתא הדרי לגבאי, וכ' הטעם בשם ראבי"ה שלא תגבה שתי כתובות שעל דעת כתובה ראשונה החזירה, ח"מ</w:t>
      </w:r>
      <w:r w:rsidRPr="00351B7D">
        <w:rPr>
          <w:rFonts w:asciiTheme="minorBidi" w:hAnsiTheme="minorBidi"/>
          <w:sz w:val="16"/>
          <w:szCs w:val="16"/>
          <w:rtl/>
        </w:rPr>
        <w:t xml:space="preserve"> (סקמ"א)</w:t>
      </w:r>
      <w:r w:rsidRPr="00351B7D">
        <w:rPr>
          <w:rFonts w:asciiTheme="minorBidi" w:hAnsiTheme="minorBidi"/>
          <w:rtl/>
        </w:rPr>
        <w:t>. ועי' במהר"ם מינץ</w:t>
      </w:r>
      <w:r w:rsidRPr="00351B7D">
        <w:rPr>
          <w:rFonts w:asciiTheme="minorBidi" w:hAnsiTheme="minorBidi"/>
          <w:sz w:val="16"/>
          <w:szCs w:val="16"/>
          <w:rtl/>
        </w:rPr>
        <w:t xml:space="preserve"> (סי' ק"ט) </w:t>
      </w:r>
      <w:r w:rsidRPr="00351B7D">
        <w:rPr>
          <w:rFonts w:asciiTheme="minorBidi" w:hAnsiTheme="minorBidi"/>
          <w:rtl/>
        </w:rPr>
        <w:t>אם היא נתגרשה ואח"כ נתאלמנה כותבין מתרכתא מקדמת דנא, ב"ש</w:t>
      </w:r>
      <w:r w:rsidRPr="00351B7D">
        <w:rPr>
          <w:rFonts w:asciiTheme="minorBidi" w:hAnsiTheme="minorBidi"/>
          <w:sz w:val="16"/>
          <w:szCs w:val="16"/>
          <w:rtl/>
        </w:rPr>
        <w:t xml:space="preserve"> (סקכ"ה)</w:t>
      </w:r>
      <w:r w:rsidRPr="00351B7D">
        <w:rPr>
          <w:rFonts w:asciiTheme="minorBidi" w:hAnsiTheme="minorBidi"/>
          <w:rtl/>
        </w:rPr>
        <w:t>.</w:t>
      </w:r>
    </w:p>
  </w:footnote>
  <w:footnote w:id="1019">
    <w:p w14:paraId="2D0C62C7"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דקי"ל</w:t>
      </w:r>
      <w:r w:rsidRPr="00351B7D">
        <w:rPr>
          <w:rFonts w:asciiTheme="minorBidi" w:hAnsiTheme="minorBidi"/>
          <w:sz w:val="16"/>
          <w:szCs w:val="16"/>
          <w:rtl/>
        </w:rPr>
        <w:t xml:space="preserve"> (חו"מ סי' רמ"ה סע' ב' בהג"ה)</w:t>
      </w:r>
      <w:r w:rsidRPr="00351B7D">
        <w:rPr>
          <w:rFonts w:asciiTheme="minorBidi" w:hAnsiTheme="minorBidi"/>
          <w:rtl/>
        </w:rPr>
        <w:t xml:space="preserve"> קנין אתן לא מהני לכן אפילו אם היה קנין בתנאים לא מהני, ח"מ (סקמ"ב) וב"ש (סקכ"ו).</w:t>
      </w:r>
    </w:p>
  </w:footnote>
  <w:footnote w:id="1020">
    <w:p w14:paraId="4F3644A2"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כותב לה תוספות כתובה בפני עצמה בשטר אחר ואם ירצה לפחות היא נותנת לו שובר עד שיעור כתובתה כפי תקנת חכמים, ח"מ (סקמ"ה).</w:t>
      </w:r>
    </w:p>
  </w:footnote>
  <w:footnote w:id="1021">
    <w:p w14:paraId="6FF3DA9B"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עוד שם דכתובה</w:t>
      </w:r>
      <w:r w:rsidRPr="00351B7D">
        <w:rPr>
          <w:rFonts w:asciiTheme="minorBidi" w:hAnsiTheme="minorBidi"/>
          <w:color w:val="000000"/>
          <w:rtl/>
        </w:rPr>
        <w:t xml:space="preserve"> של אשה גרושה שנכתב בה "אלמנה" אינה פסולה </w:t>
      </w:r>
      <w:r w:rsidRPr="00351B7D">
        <w:rPr>
          <w:rFonts w:asciiTheme="minorBidi" w:hAnsiTheme="minorBidi"/>
          <w:color w:val="000000"/>
          <w:sz w:val="16"/>
          <w:szCs w:val="16"/>
          <w:rtl/>
        </w:rPr>
        <w:t>(וכ"כ מהר"ם מינץ סי' קט אות ג)</w:t>
      </w:r>
      <w:r w:rsidRPr="00351B7D">
        <w:rPr>
          <w:rFonts w:asciiTheme="minorBidi" w:hAnsiTheme="minorBidi"/>
          <w:rtl/>
        </w:rPr>
        <w:t>, דגרושה נמי נקראת אלמנה לפי שאחז"ל אלמנה על שם מנה א"כ כל שגובה מנה יצדק שם אלמנה אי לא דכתב ארמלתא.</w:t>
      </w:r>
    </w:p>
  </w:footnote>
  <w:footnote w:id="1022">
    <w:p w14:paraId="791671C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והוסיף הבית מאיר דמספיק לכתוב</w:t>
      </w:r>
      <w:r w:rsidRPr="00351B7D">
        <w:rPr>
          <w:rFonts w:asciiTheme="minorBidi" w:hAnsiTheme="minorBidi"/>
          <w:color w:val="000000"/>
          <w:rtl/>
        </w:rPr>
        <w:t xml:space="preserve"> "פלונית ארוסה".</w:t>
      </w:r>
      <w:r w:rsidRPr="00351B7D">
        <w:rPr>
          <w:rFonts w:asciiTheme="minorBidi" w:hAnsiTheme="minorBidi"/>
          <w:rtl/>
        </w:rPr>
        <w:t xml:space="preserve"> </w:t>
      </w:r>
    </w:p>
  </w:footnote>
  <w:footnote w:id="1023">
    <w:p w14:paraId="6D16E648"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ואין חילוק בין אם התנאי שתלך מיד אחר ז' ימי המשתה עמו או שתלך אחר ב' או ג' שנים, מיהו נראה אם מת שם קודם שהוליכה למדינתו שנותן לה כפי מנהג המקום שנושאה שם וצ"ע למעשה, ח"מ (סקמ"ו). וכ' הב"ש (סקכ"ז) דלכאורה נראה דהולכין אחר אותו מקום שהיו דעתם לדור ועל מנהג אותו מקום התחייב את עצמו.</w:t>
      </w:r>
    </w:p>
  </w:footnote>
  <w:footnote w:id="1024">
    <w:p w14:paraId="228D4B06"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מקרעין להן נייר חלק וממלאים את הקרעים דיו</w:t>
      </w:r>
      <w:r w:rsidRPr="00351B7D">
        <w:rPr>
          <w:rFonts w:asciiTheme="minorBidi" w:hAnsiTheme="minorBidi"/>
          <w:sz w:val="16"/>
          <w:szCs w:val="16"/>
          <w:rtl/>
        </w:rPr>
        <w:t xml:space="preserve"> (היינו- קורעים להם צורת שמם בגליון נייר אחר, ומניחים אותו על קלף הגט, והם ממלאים את חלל מקום הקרעים בדיו, כך פירש ר"ח, ועיין ברש"י שביאר בדרך אחרת)</w:t>
      </w:r>
      <w:r w:rsidRPr="00351B7D">
        <w:rPr>
          <w:rFonts w:asciiTheme="minorBidi" w:hAnsiTheme="minorBidi"/>
          <w:rtl/>
        </w:rPr>
        <w:t>.</w:t>
      </w:r>
    </w:p>
  </w:footnote>
  <w:footnote w:id="1025">
    <w:p w14:paraId="2183EA31"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וז"ל- ואיני יודע למה נחבא אל הכלים משום דחזא גברא כיון דתיובתא לא חזא ולענין הלכה נראה לי כדברי הרשב"א משום דאם לא כן לא שבקת חיי דכל עמי הארץ יאמרו כן.</w:t>
      </w:r>
    </w:p>
  </w:footnote>
  <w:footnote w:id="1026">
    <w:p w14:paraId="5CBC1870"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ח"ב הל' כתובות סי' ג.</w:t>
      </w:r>
    </w:p>
  </w:footnote>
  <w:footnote w:id="1027">
    <w:p w14:paraId="37027B32"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לאו דוקא שאילת שלום אלא כל דבר שאינו מענין הגט אסור שיהיה בין הגט לחתימת העדים, ואם כתב כן, כגון שכתוב: שאלו בשלומה, פסול, שמא לא חתמו אלא על שאלת שלום. אבל אם כתב: ושאלו (בשלומה), כשר, שהיא מדובק עם של מעלה ועל הכל חתמו</w:t>
      </w:r>
      <w:r w:rsidRPr="00351B7D">
        <w:rPr>
          <w:rFonts w:asciiTheme="minorBidi" w:hAnsiTheme="minorBidi"/>
          <w:sz w:val="16"/>
          <w:szCs w:val="16"/>
          <w:rtl/>
        </w:rPr>
        <w:t xml:space="preserve"> (ע"פ שו"ע אהע"ז סי' ק"ל סע' ג)</w:t>
      </w:r>
      <w:r w:rsidRPr="00351B7D">
        <w:rPr>
          <w:rFonts w:asciiTheme="minorBidi" w:hAnsiTheme="minorBidi"/>
          <w:rtl/>
        </w:rPr>
        <w:t>.</w:t>
      </w:r>
    </w:p>
  </w:footnote>
  <w:footnote w:id="1028">
    <w:p w14:paraId="753D0653"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יש מקומות שנוהגין שפסולין חותמין לכבוד ושני עדים חותמין בראש שיטה וע"פ מקיימים הכתובה ובאותן מקומות יכולין לחתום אף על פי שאין יודעים לקרות דלא גרע משאר פסולין כל זמן ששני עדים כשרים חותמין בתחילה, ח"מ (סקמ"ז).</w:t>
      </w:r>
    </w:p>
  </w:footnote>
  <w:footnote w:id="1029">
    <w:p w14:paraId="4128A433" w14:textId="77777777" w:rsidR="00DF1FC7" w:rsidRPr="00351B7D" w:rsidRDefault="00DF1FC7" w:rsidP="002E5BAD">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מאחר שמי שאינו יודע לקרות פסול מקרי, א"כ בודאי לא חתמו עד שקראו תחלה בפני החתן והגידו לו מה שכתוב, ו[אי עסקינן] במקום שרגילין לחתום פסולין מ"מ חזקה על העדים הראשונים שבהם מתקיימת העדות שעשו כהוגן, ח"מ </w:t>
      </w:r>
      <w:r w:rsidRPr="00351B7D">
        <w:rPr>
          <w:rFonts w:asciiTheme="minorBidi" w:hAnsiTheme="minorBidi"/>
          <w:sz w:val="16"/>
          <w:szCs w:val="16"/>
          <w:rtl/>
        </w:rPr>
        <w:t>(סקמ"ח)</w:t>
      </w:r>
      <w:r w:rsidRPr="00351B7D">
        <w:rPr>
          <w:rFonts w:asciiTheme="minorBidi" w:hAnsiTheme="minorBidi"/>
          <w:rtl/>
        </w:rPr>
        <w:t>.</w:t>
      </w:r>
    </w:p>
  </w:footnote>
  <w:footnote w:id="1030">
    <w:p w14:paraId="4F3010B8" w14:textId="77777777" w:rsidR="00DF1FC7" w:rsidRPr="00351B7D" w:rsidRDefault="00DF1FC7" w:rsidP="002E5BAD">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לומר שהיה כתוב יותר מתיקון חז"ל דאל"כ הא קיי"ל דיש לה כתובה אפי' לא כתב לה, ב"ש (סקכ"ט).</w:t>
      </w:r>
    </w:p>
  </w:footnote>
  <w:footnote w:id="1031">
    <w:p w14:paraId="01FE34AB" w14:textId="77777777" w:rsidR="00DF1FC7" w:rsidRDefault="00DF1FC7" w:rsidP="002E5BAD">
      <w:pPr>
        <w:pStyle w:val="a5"/>
      </w:pPr>
      <w:r>
        <w:rPr>
          <w:rStyle w:val="a7"/>
        </w:rPr>
        <w:footnoteRef/>
      </w:r>
      <w:r>
        <w:rPr>
          <w:rtl/>
        </w:rPr>
        <w:t xml:space="preserve"> </w:t>
      </w:r>
      <w:r>
        <w:rPr>
          <w:rFonts w:cs="Arial"/>
          <w:rtl/>
        </w:rPr>
        <w:t>פסק רבינו כדברי האומר שארה אלו מזונות וכן תרגם אונקלוס וכן פירש רש"י בפירוש התורה</w:t>
      </w:r>
      <w:r>
        <w:rPr>
          <w:rFonts w:cs="Arial" w:hint="cs"/>
          <w:rtl/>
        </w:rPr>
        <w:t>, הה"מ (שם).</w:t>
      </w:r>
    </w:p>
  </w:footnote>
  <w:footnote w:id="1032">
    <w:p w14:paraId="10374516" w14:textId="77777777" w:rsidR="00DF1FC7" w:rsidRDefault="00DF1FC7" w:rsidP="002E5BAD">
      <w:pPr>
        <w:pStyle w:val="a5"/>
        <w:rPr>
          <w:rtl/>
        </w:rPr>
      </w:pPr>
      <w:r>
        <w:rPr>
          <w:rStyle w:val="a7"/>
        </w:rPr>
        <w:footnoteRef/>
      </w:r>
      <w:r>
        <w:rPr>
          <w:rtl/>
        </w:rPr>
        <w:t xml:space="preserve"> </w:t>
      </w:r>
      <w:r>
        <w:rPr>
          <w:rFonts w:cs="Arial"/>
          <w:rtl/>
        </w:rPr>
        <w:t>ואני תמה בדבריו בענין המלבושים דהא כולהו תנאי דברייתא שוין שכסותה הוא כמשמעו וכן נ"ל לפי שלא מצאתי שהוזכר בכסות תקנת חכמים</w:t>
      </w:r>
      <w:r>
        <w:rPr>
          <w:rFonts w:cs="Arial" w:hint="cs"/>
          <w:rtl/>
        </w:rPr>
        <w:t>, הה"מ (שם)</w:t>
      </w:r>
      <w:r>
        <w:rPr>
          <w:rFonts w:cs="Arial"/>
          <w:rtl/>
        </w:rPr>
        <w:t>.</w:t>
      </w:r>
    </w:p>
  </w:footnote>
  <w:footnote w:id="1033">
    <w:p w14:paraId="336222FB" w14:textId="77777777" w:rsidR="00DF1FC7" w:rsidRDefault="00DF1FC7" w:rsidP="002E5BAD">
      <w:pPr>
        <w:pStyle w:val="a5"/>
        <w:rPr>
          <w:rtl/>
        </w:rPr>
      </w:pPr>
      <w:r>
        <w:rPr>
          <w:rStyle w:val="a7"/>
        </w:rPr>
        <w:footnoteRef/>
      </w:r>
      <w:r>
        <w:rPr>
          <w:rtl/>
        </w:rPr>
        <w:t xml:space="preserve"> </w:t>
      </w:r>
      <w:r>
        <w:rPr>
          <w:rFonts w:cs="Arial" w:hint="cs"/>
          <w:rtl/>
        </w:rPr>
        <w:t>וגם</w:t>
      </w:r>
      <w:r>
        <w:rPr>
          <w:rFonts w:cs="Arial"/>
          <w:rtl/>
        </w:rPr>
        <w:t xml:space="preserve"> הרב המגיד </w:t>
      </w:r>
      <w:r>
        <w:rPr>
          <w:rFonts w:cs="Arial" w:hint="cs"/>
          <w:rtl/>
        </w:rPr>
        <w:t xml:space="preserve">שתב </w:t>
      </w:r>
      <w:r>
        <w:rPr>
          <w:rFonts w:cs="Arial"/>
          <w:rtl/>
        </w:rPr>
        <w:t>(שם) שנ"ל שהמזונות הם מדבריהם ונתן טעם לדב</w:t>
      </w:r>
      <w:r>
        <w:rPr>
          <w:rFonts w:cs="Arial" w:hint="cs"/>
          <w:rtl/>
        </w:rPr>
        <w:t>ר.</w:t>
      </w:r>
      <w:r>
        <w:rPr>
          <w:rFonts w:cs="Arial"/>
          <w:rtl/>
        </w:rPr>
        <w:t xml:space="preserve"> ואח"כ כתב</w:t>
      </w:r>
      <w:r>
        <w:rPr>
          <w:rFonts w:cs="Arial" w:hint="cs"/>
          <w:rtl/>
        </w:rPr>
        <w:t>-</w:t>
      </w:r>
      <w:r>
        <w:rPr>
          <w:rFonts w:cs="Arial"/>
          <w:rtl/>
        </w:rPr>
        <w:t xml:space="preserve"> אבל הרשב"א וקצת מפרשים הסכימו לדעת רבינו שהם כולם מן התורה עכ"ל</w:t>
      </w:r>
      <w:r>
        <w:rPr>
          <w:rFonts w:hint="cs"/>
          <w:rtl/>
        </w:rPr>
        <w:t>.</w:t>
      </w:r>
    </w:p>
  </w:footnote>
  <w:footnote w:id="1034">
    <w:p w14:paraId="56E4B453" w14:textId="77777777" w:rsidR="00DF1FC7" w:rsidRDefault="00DF1FC7" w:rsidP="002E5BAD">
      <w:pPr>
        <w:pStyle w:val="a5"/>
      </w:pPr>
      <w:r>
        <w:rPr>
          <w:rStyle w:val="a7"/>
        </w:rPr>
        <w:footnoteRef/>
      </w:r>
      <w:r>
        <w:rPr>
          <w:rtl/>
        </w:rPr>
        <w:t xml:space="preserve"> </w:t>
      </w:r>
      <w:r>
        <w:rPr>
          <w:rFonts w:cs="Arial" w:hint="cs"/>
          <w:rtl/>
        </w:rPr>
        <w:t>עיין לקמן</w:t>
      </w:r>
      <w:r w:rsidRPr="00A931CA">
        <w:rPr>
          <w:rFonts w:cs="Arial"/>
          <w:rtl/>
        </w:rPr>
        <w:t xml:space="preserve"> סוף סימן פ'</w:t>
      </w:r>
      <w:r>
        <w:rPr>
          <w:rFonts w:cs="Arial" w:hint="cs"/>
          <w:rtl/>
        </w:rPr>
        <w:t xml:space="preserve"> (סע' טו) דשם נתבאר דעת האומרים כן ודעת החולקים עליהם.</w:t>
      </w:r>
    </w:p>
  </w:footnote>
  <w:footnote w:id="1035">
    <w:p w14:paraId="1EE6B663" w14:textId="77777777" w:rsidR="00DF1FC7" w:rsidRDefault="00DF1FC7" w:rsidP="002E5BAD">
      <w:pPr>
        <w:pStyle w:val="a5"/>
        <w:rPr>
          <w:rtl/>
        </w:rPr>
      </w:pPr>
      <w:r>
        <w:rPr>
          <w:rStyle w:val="a7"/>
        </w:rPr>
        <w:footnoteRef/>
      </w:r>
      <w:r>
        <w:rPr>
          <w:rtl/>
        </w:rPr>
        <w:t xml:space="preserve"> </w:t>
      </w:r>
      <w:r w:rsidRPr="00577A45">
        <w:rPr>
          <w:rFonts w:cs="Arial"/>
          <w:rtl/>
        </w:rPr>
        <w:t>שהוא אוכל מנכסי מלוג שלה כגון נכסים שנפלו לה משניסת או שהיו לה קודם לכן שלא שמאתן לו בנדוניית כתובתה</w:t>
      </w:r>
      <w:r>
        <w:rPr>
          <w:rFonts w:hint="cs"/>
          <w:rtl/>
        </w:rPr>
        <w:t>, רש"י.</w:t>
      </w:r>
    </w:p>
  </w:footnote>
  <w:footnote w:id="1036">
    <w:p w14:paraId="13EFAC77" w14:textId="77777777" w:rsidR="00DF1FC7" w:rsidRDefault="00DF1FC7" w:rsidP="002E5BAD">
      <w:pPr>
        <w:pStyle w:val="a5"/>
        <w:rPr>
          <w:rtl/>
        </w:rPr>
      </w:pPr>
      <w:r>
        <w:rPr>
          <w:rStyle w:val="a7"/>
        </w:rPr>
        <w:footnoteRef/>
      </w:r>
      <w:r>
        <w:rPr>
          <w:rtl/>
        </w:rPr>
        <w:t xml:space="preserve"> </w:t>
      </w:r>
      <w:r w:rsidRPr="00E47C0B">
        <w:rPr>
          <w:rFonts w:cs="Arial"/>
          <w:rtl/>
        </w:rPr>
        <w:t>תחת הנדוניא שהכניסה לו והיא כתובה בשטר הכתובה והוא יורש</w:t>
      </w:r>
      <w:r>
        <w:rPr>
          <w:rFonts w:hint="cs"/>
          <w:rtl/>
        </w:rPr>
        <w:t>, רש"י.</w:t>
      </w:r>
    </w:p>
  </w:footnote>
  <w:footnote w:id="1037">
    <w:p w14:paraId="6CB8030E" w14:textId="77777777" w:rsidR="00DF1FC7" w:rsidRDefault="00DF1FC7" w:rsidP="002E5BAD">
      <w:pPr>
        <w:pStyle w:val="a5"/>
        <w:rPr>
          <w:rtl/>
        </w:rPr>
      </w:pPr>
      <w:r>
        <w:rPr>
          <w:rStyle w:val="a7"/>
        </w:rPr>
        <w:footnoteRef/>
      </w:r>
      <w:r>
        <w:rPr>
          <w:rtl/>
        </w:rPr>
        <w:t xml:space="preserve"> </w:t>
      </w:r>
      <w:r w:rsidRPr="00577A45">
        <w:rPr>
          <w:rFonts w:cs="Arial"/>
          <w:rtl/>
        </w:rPr>
        <w:t>לא יהא בפירות כדי פרקונה והשתא כי אכלינהו ולא ידיע כמה הוה פריק לה מדיליה דהכי תיקון דאיהו אכיל בין רב בין מעט והוא פריק כל כמה דהוי</w:t>
      </w:r>
      <w:r>
        <w:rPr>
          <w:rFonts w:hint="cs"/>
          <w:rtl/>
        </w:rPr>
        <w:t>, רש"י.</w:t>
      </w:r>
    </w:p>
  </w:footnote>
  <w:footnote w:id="1038">
    <w:p w14:paraId="6A5A2845" w14:textId="77777777" w:rsidR="00DF1FC7" w:rsidRDefault="00DF1FC7" w:rsidP="002E5BAD">
      <w:pPr>
        <w:pStyle w:val="a5"/>
      </w:pPr>
      <w:r>
        <w:rPr>
          <w:rStyle w:val="a7"/>
        </w:rPr>
        <w:footnoteRef/>
      </w:r>
      <w:r>
        <w:rPr>
          <w:rtl/>
        </w:rPr>
        <w:t xml:space="preserve"> </w:t>
      </w:r>
      <w:r w:rsidRPr="00577A45">
        <w:rPr>
          <w:rFonts w:cs="Arial"/>
          <w:rtl/>
        </w:rPr>
        <w:t>מזונות תחת פירות ופרקונה תחת מעשה ידיה ונפקא מינה דאי אמרה איני ניזונית ואיני עושה לא כלום קאמרה</w:t>
      </w:r>
      <w:r>
        <w:rPr>
          <w:rFonts w:cs="Arial" w:hint="cs"/>
          <w:rtl/>
        </w:rPr>
        <w:t>, רש"י.</w:t>
      </w:r>
    </w:p>
  </w:footnote>
  <w:footnote w:id="1039">
    <w:p w14:paraId="1FC7C665" w14:textId="77777777" w:rsidR="00DF1FC7" w:rsidRDefault="00DF1FC7" w:rsidP="002E5BAD">
      <w:pPr>
        <w:pStyle w:val="a5"/>
      </w:pPr>
      <w:r>
        <w:rPr>
          <w:rStyle w:val="a7"/>
        </w:rPr>
        <w:footnoteRef/>
      </w:r>
      <w:r>
        <w:rPr>
          <w:rtl/>
        </w:rPr>
        <w:t xml:space="preserve"> </w:t>
      </w:r>
      <w:r w:rsidRPr="00577A45">
        <w:rPr>
          <w:rFonts w:cs="Arial"/>
          <w:rtl/>
        </w:rPr>
        <w:t>מזונות ומעשה ידיה מצוין</w:t>
      </w:r>
      <w:r>
        <w:rPr>
          <w:rFonts w:cs="Arial" w:hint="cs"/>
          <w:rtl/>
        </w:rPr>
        <w:t xml:space="preserve"> -</w:t>
      </w:r>
      <w:r w:rsidRPr="00577A45">
        <w:rPr>
          <w:rFonts w:cs="Arial"/>
          <w:rtl/>
        </w:rPr>
        <w:t xml:space="preserve"> שבויה ואשה שיש לה נכסי מלוג לא שכיחי</w:t>
      </w:r>
      <w:r>
        <w:rPr>
          <w:rFonts w:cs="Arial" w:hint="cs"/>
          <w:rtl/>
        </w:rPr>
        <w:t>, רש"י.</w:t>
      </w:r>
    </w:p>
  </w:footnote>
  <w:footnote w:id="1040">
    <w:p w14:paraId="4E12D6AD" w14:textId="77777777" w:rsidR="00DF1FC7" w:rsidRDefault="00DF1FC7" w:rsidP="002E5BAD">
      <w:pPr>
        <w:pStyle w:val="a5"/>
        <w:rPr>
          <w:rtl/>
        </w:rPr>
      </w:pPr>
      <w:r>
        <w:rPr>
          <w:rStyle w:val="a7"/>
        </w:rPr>
        <w:footnoteRef/>
      </w:r>
      <w:r w:rsidRPr="00A931CA">
        <w:rPr>
          <w:rFonts w:cs="Arial"/>
          <w:rtl/>
        </w:rPr>
        <w:t xml:space="preserve"> מיהו כתב הר"ן ריש המדיר (כתובות לא: ד"ה באומר) דיוכל לומר צאי מעשה ידיך במזונותיך וישלים לה מה שאינו מספיק לה ממעשה ידיה</w:t>
      </w:r>
      <w:r>
        <w:rPr>
          <w:rFonts w:cs="Arial" w:hint="cs"/>
          <w:rtl/>
        </w:rPr>
        <w:t>.</w:t>
      </w:r>
      <w:r w:rsidRPr="00A931CA">
        <w:rPr>
          <w:rFonts w:cs="Arial"/>
          <w:rtl/>
        </w:rPr>
        <w:t xml:space="preserve"> וכן הוא בהגה</w:t>
      </w:r>
      <w:r>
        <w:rPr>
          <w:rFonts w:cs="Arial" w:hint="cs"/>
          <w:rtl/>
        </w:rPr>
        <w:t>"מ</w:t>
      </w:r>
      <w:r w:rsidRPr="00A931CA">
        <w:rPr>
          <w:rFonts w:cs="Arial"/>
          <w:rtl/>
        </w:rPr>
        <w:t xml:space="preserve"> פי"ב (אות ד) דאם מספיק לה מעשה ידיה יכול לומר לה צאי מעשה ידיך במזונותיך</w:t>
      </w:r>
      <w:r>
        <w:rPr>
          <w:rFonts w:cs="Arial" w:hint="cs"/>
          <w:rtl/>
        </w:rPr>
        <w:t>.</w:t>
      </w:r>
      <w:r w:rsidRPr="00A931CA">
        <w:rPr>
          <w:rFonts w:cs="Arial"/>
          <w:rtl/>
        </w:rPr>
        <w:t xml:space="preserve"> וכן הוא לקמן סימן פ"ד</w:t>
      </w:r>
      <w:r>
        <w:rPr>
          <w:rFonts w:cs="Arial" w:hint="cs"/>
          <w:rtl/>
        </w:rPr>
        <w:t>.</w:t>
      </w:r>
      <w:r w:rsidRPr="00A931CA">
        <w:rPr>
          <w:rFonts w:cs="Arial"/>
          <w:rtl/>
        </w:rPr>
        <w:t xml:space="preserve"> וע"ל סימן פ' מאלו הדינים</w:t>
      </w:r>
      <w:r>
        <w:rPr>
          <w:rFonts w:cs="Arial" w:hint="cs"/>
          <w:rtl/>
        </w:rPr>
        <w:t>, דרכ"מ (אות ב).</w:t>
      </w:r>
      <w:r>
        <w:rPr>
          <w:rFonts w:hint="cs"/>
          <w:rtl/>
        </w:rPr>
        <w:t xml:space="preserve"> </w:t>
      </w:r>
      <w:r w:rsidRPr="006E6202">
        <w:rPr>
          <w:rFonts w:hint="cs"/>
          <w:color w:val="00B0F0"/>
          <w:rtl/>
        </w:rPr>
        <w:t>(וכ"פ בהגה)</w:t>
      </w:r>
    </w:p>
  </w:footnote>
  <w:footnote w:id="1041">
    <w:p w14:paraId="43C27759" w14:textId="77777777" w:rsidR="00DF1FC7" w:rsidRPr="00F4442D" w:rsidRDefault="00DF1FC7" w:rsidP="002E5BAD">
      <w:pPr>
        <w:pStyle w:val="a5"/>
      </w:pPr>
      <w:r>
        <w:rPr>
          <w:rStyle w:val="a7"/>
        </w:rPr>
        <w:footnoteRef/>
      </w:r>
      <w:r>
        <w:rPr>
          <w:rtl/>
        </w:rPr>
        <w:t xml:space="preserve"> </w:t>
      </w:r>
      <w:r>
        <w:rPr>
          <w:rFonts w:cs="Arial"/>
          <w:rtl/>
        </w:rPr>
        <w:t>תוס</w:t>
      </w:r>
      <w:r>
        <w:rPr>
          <w:rFonts w:cs="Arial" w:hint="cs"/>
          <w:rtl/>
        </w:rPr>
        <w:t>'</w:t>
      </w:r>
      <w:r>
        <w:rPr>
          <w:rFonts w:cs="Arial"/>
          <w:rtl/>
        </w:rPr>
        <w:t xml:space="preserve"> </w:t>
      </w:r>
      <w:r w:rsidRPr="0001322A">
        <w:rPr>
          <w:rFonts w:cs="Arial"/>
          <w:sz w:val="16"/>
          <w:szCs w:val="16"/>
          <w:rtl/>
        </w:rPr>
        <w:t>(שם ד"ה זימנין</w:t>
      </w:r>
      <w:r>
        <w:rPr>
          <w:rFonts w:cs="Arial" w:hint="cs"/>
          <w:sz w:val="16"/>
          <w:szCs w:val="16"/>
          <w:rtl/>
        </w:rPr>
        <w:t>, כ"כ הה"מ בשמם</w:t>
      </w:r>
      <w:r w:rsidRPr="0001322A">
        <w:rPr>
          <w:rFonts w:cs="Arial"/>
          <w:sz w:val="16"/>
          <w:szCs w:val="16"/>
          <w:rtl/>
        </w:rPr>
        <w:t xml:space="preserve">) </w:t>
      </w:r>
      <w:r>
        <w:rPr>
          <w:rFonts w:cs="Arial"/>
          <w:rtl/>
        </w:rPr>
        <w:t xml:space="preserve">רמב"ן </w:t>
      </w:r>
      <w:r w:rsidRPr="0001322A">
        <w:rPr>
          <w:rFonts w:cs="Arial"/>
          <w:sz w:val="16"/>
          <w:szCs w:val="16"/>
          <w:rtl/>
        </w:rPr>
        <w:t>(שם ד"ה הא</w:t>
      </w:r>
      <w:r>
        <w:rPr>
          <w:rFonts w:cs="Arial" w:hint="cs"/>
          <w:sz w:val="16"/>
          <w:szCs w:val="16"/>
          <w:rtl/>
        </w:rPr>
        <w:t>, כ"כ הה"מ בשמו</w:t>
      </w:r>
      <w:r w:rsidRPr="0001322A">
        <w:rPr>
          <w:rFonts w:cs="Arial"/>
          <w:sz w:val="16"/>
          <w:szCs w:val="16"/>
          <w:rtl/>
        </w:rPr>
        <w:t xml:space="preserve">) </w:t>
      </w:r>
      <w:r>
        <w:rPr>
          <w:rFonts w:cs="Arial"/>
          <w:rtl/>
        </w:rPr>
        <w:t xml:space="preserve">רשב"א </w:t>
      </w:r>
      <w:r w:rsidRPr="0001322A">
        <w:rPr>
          <w:rFonts w:cs="Arial"/>
          <w:sz w:val="16"/>
          <w:szCs w:val="16"/>
          <w:rtl/>
        </w:rPr>
        <w:t>(שם ד"ה תקנו</w:t>
      </w:r>
      <w:r>
        <w:rPr>
          <w:rFonts w:cs="Arial" w:hint="cs"/>
          <w:sz w:val="16"/>
          <w:szCs w:val="16"/>
          <w:rtl/>
        </w:rPr>
        <w:t>, כ"כ הה"מ בשמו</w:t>
      </w:r>
      <w:r w:rsidRPr="0001322A">
        <w:rPr>
          <w:rFonts w:cs="Arial"/>
          <w:sz w:val="16"/>
          <w:szCs w:val="16"/>
          <w:rtl/>
        </w:rPr>
        <w:t>)</w:t>
      </w:r>
      <w:r>
        <w:rPr>
          <w:rFonts w:cs="Arial" w:hint="cs"/>
          <w:rtl/>
        </w:rPr>
        <w:t xml:space="preserve"> הה"מ </w:t>
      </w:r>
      <w:r w:rsidRPr="00B52903">
        <w:rPr>
          <w:rFonts w:cs="Arial" w:hint="cs"/>
          <w:sz w:val="16"/>
          <w:szCs w:val="16"/>
          <w:rtl/>
        </w:rPr>
        <w:t>(</w:t>
      </w:r>
      <w:r w:rsidRPr="00B52903">
        <w:rPr>
          <w:rFonts w:cs="Arial"/>
          <w:sz w:val="16"/>
          <w:szCs w:val="16"/>
          <w:rtl/>
        </w:rPr>
        <w:t>פי"ב מאישות ה</w:t>
      </w:r>
      <w:r>
        <w:rPr>
          <w:rFonts w:cs="Arial" w:hint="cs"/>
          <w:sz w:val="16"/>
          <w:szCs w:val="16"/>
          <w:rtl/>
        </w:rPr>
        <w:t>"ד</w:t>
      </w:r>
      <w:r w:rsidRPr="00B52903">
        <w:rPr>
          <w:rFonts w:cs="Arial"/>
          <w:sz w:val="16"/>
          <w:szCs w:val="16"/>
          <w:rtl/>
        </w:rPr>
        <w:t>)</w:t>
      </w:r>
      <w:r>
        <w:rPr>
          <w:rFonts w:cs="Arial" w:hint="cs"/>
          <w:rtl/>
        </w:rPr>
        <w:t xml:space="preserve"> ור"ן</w:t>
      </w:r>
      <w:r w:rsidRPr="0001322A">
        <w:rPr>
          <w:rFonts w:cs="Arial" w:hint="cs"/>
          <w:sz w:val="16"/>
          <w:szCs w:val="16"/>
          <w:rtl/>
        </w:rPr>
        <w:t xml:space="preserve"> (יז. מדפה"ר סד"ה תחת פירות)</w:t>
      </w:r>
      <w:r>
        <w:rPr>
          <w:rFonts w:cs="Arial" w:hint="cs"/>
          <w:rtl/>
        </w:rPr>
        <w:t xml:space="preserve"> וכתב עוד הה"מ שכן נראה מדברי הרמב"ם.</w:t>
      </w:r>
    </w:p>
  </w:footnote>
  <w:footnote w:id="1042">
    <w:p w14:paraId="16697CA2" w14:textId="77777777" w:rsidR="00DF1FC7" w:rsidRDefault="00DF1FC7" w:rsidP="002E5BAD">
      <w:pPr>
        <w:pStyle w:val="a5"/>
      </w:pPr>
      <w:r>
        <w:rPr>
          <w:rStyle w:val="a7"/>
        </w:rPr>
        <w:footnoteRef/>
      </w:r>
      <w:r>
        <w:rPr>
          <w:rtl/>
        </w:rPr>
        <w:t xml:space="preserve"> </w:t>
      </w:r>
      <w:r>
        <w:rPr>
          <w:rFonts w:cs="Arial"/>
          <w:rtl/>
        </w:rPr>
        <w:t>אפילו בשאר וכסות הוא כדעת רבי יהודה שאמר בדבר שבממון תנאו קיים כנזכר בברייתא שבפרק אף על פי (נו.)</w:t>
      </w:r>
      <w:r>
        <w:rPr>
          <w:rFonts w:cs="Arial" w:hint="cs"/>
          <w:rtl/>
        </w:rPr>
        <w:t>,</w:t>
      </w:r>
      <w:r>
        <w:rPr>
          <w:rFonts w:cs="Arial"/>
          <w:rtl/>
        </w:rPr>
        <w:t xml:space="preserve"> ואין צריך לומר בשאר דברים שהם מדבריהם</w:t>
      </w:r>
      <w:r>
        <w:rPr>
          <w:rFonts w:cs="Arial" w:hint="cs"/>
          <w:rtl/>
        </w:rPr>
        <w:t>, הה"מ (שם).</w:t>
      </w:r>
    </w:p>
  </w:footnote>
  <w:footnote w:id="1043">
    <w:p w14:paraId="67DF0A85" w14:textId="77777777" w:rsidR="00DF1FC7" w:rsidRDefault="00DF1FC7" w:rsidP="002E5BAD">
      <w:pPr>
        <w:pStyle w:val="a5"/>
      </w:pPr>
      <w:r>
        <w:rPr>
          <w:rStyle w:val="a7"/>
        </w:rPr>
        <w:footnoteRef/>
      </w:r>
      <w:r>
        <w:rPr>
          <w:rtl/>
        </w:rPr>
        <w:t xml:space="preserve"> </w:t>
      </w:r>
      <w:r>
        <w:rPr>
          <w:rFonts w:cs="Arial"/>
          <w:rtl/>
        </w:rPr>
        <w:t>ואפילו רבי יהודה מודה בו</w:t>
      </w:r>
      <w:r>
        <w:rPr>
          <w:rFonts w:cs="Arial" w:hint="cs"/>
          <w:rtl/>
        </w:rPr>
        <w:t>, הה"מ (שם).</w:t>
      </w:r>
      <w:r w:rsidRPr="009E49FF">
        <w:rPr>
          <w:rFonts w:cs="Arial"/>
          <w:rtl/>
        </w:rPr>
        <w:t xml:space="preserve"> </w:t>
      </w:r>
      <w:r>
        <w:rPr>
          <w:rFonts w:cs="Arial"/>
          <w:rtl/>
        </w:rPr>
        <w:t xml:space="preserve">וכתב מהרי"ק </w:t>
      </w:r>
      <w:r>
        <w:rPr>
          <w:rFonts w:cs="Arial" w:hint="cs"/>
          <w:rtl/>
        </w:rPr>
        <w:t>(</w:t>
      </w:r>
      <w:r>
        <w:rPr>
          <w:rFonts w:cs="Arial"/>
          <w:rtl/>
        </w:rPr>
        <w:t>שורש י' ענף ב</w:t>
      </w:r>
      <w:r>
        <w:rPr>
          <w:rFonts w:cs="Arial" w:hint="cs"/>
          <w:rtl/>
        </w:rPr>
        <w:t>-</w:t>
      </w:r>
      <w:r>
        <w:rPr>
          <w:rFonts w:cs="Arial"/>
          <w:rtl/>
        </w:rPr>
        <w:t>ג) דלדעת רש"י (ב"מ נא</w:t>
      </w:r>
      <w:r>
        <w:rPr>
          <w:rFonts w:cs="Arial" w:hint="cs"/>
          <w:rtl/>
        </w:rPr>
        <w:t xml:space="preserve"> סוע"א</w:t>
      </w:r>
      <w:r>
        <w:rPr>
          <w:rFonts w:cs="Arial"/>
          <w:rtl/>
        </w:rPr>
        <w:t>) והתוספות (כתובות נו: ד"ה ושמעינן) עונה לא ניתן למחילה ולדעת ר"ת אם מחלה מחול</w:t>
      </w:r>
      <w:r>
        <w:rPr>
          <w:rFonts w:cs="Arial" w:hint="cs"/>
          <w:rtl/>
        </w:rPr>
        <w:t>.</w:t>
      </w:r>
    </w:p>
  </w:footnote>
  <w:footnote w:id="1044">
    <w:p w14:paraId="72A38EF1" w14:textId="77777777" w:rsidR="00DF1FC7" w:rsidRDefault="00DF1FC7" w:rsidP="002E5BAD">
      <w:pPr>
        <w:pStyle w:val="a5"/>
      </w:pPr>
      <w:r>
        <w:rPr>
          <w:rStyle w:val="a7"/>
        </w:rPr>
        <w:footnoteRef/>
      </w:r>
      <w:r>
        <w:rPr>
          <w:rtl/>
        </w:rPr>
        <w:t xml:space="preserve"> </w:t>
      </w:r>
      <w:r>
        <w:rPr>
          <w:rFonts w:cs="Arial"/>
          <w:rtl/>
        </w:rPr>
        <w:t>יצא לו לרבינו ממה ששנינו בפ</w:t>
      </w:r>
      <w:r>
        <w:rPr>
          <w:rFonts w:cs="Arial" w:hint="cs"/>
          <w:rtl/>
        </w:rPr>
        <w:t>'</w:t>
      </w:r>
      <w:r>
        <w:rPr>
          <w:rFonts w:cs="Arial"/>
          <w:rtl/>
        </w:rPr>
        <w:t xml:space="preserve"> אף על פי (נד:) ר</w:t>
      </w:r>
      <w:r>
        <w:rPr>
          <w:rFonts w:cs="Arial" w:hint="cs"/>
          <w:rtl/>
        </w:rPr>
        <w:t>"</w:t>
      </w:r>
      <w:r>
        <w:rPr>
          <w:rFonts w:cs="Arial"/>
          <w:rtl/>
        </w:rPr>
        <w:t xml:space="preserve">מ אומר כל הפוחת לבתולה מק"ק ולאלמנה </w:t>
      </w:r>
      <w:r>
        <w:rPr>
          <w:rFonts w:cs="Arial" w:hint="cs"/>
          <w:rtl/>
        </w:rPr>
        <w:t>ממנה</w:t>
      </w:r>
      <w:r>
        <w:rPr>
          <w:rFonts w:cs="Arial"/>
          <w:rtl/>
        </w:rPr>
        <w:t xml:space="preserve"> הרי זו בעילת זנות ואמרו בגמרא (נו:) כל הפוחת אפילו בתנאה אלמא קסבר תנאו בטל ואית לה ק"ק וכיון דאמר לה לא אית לך אלא ק' לא סמכה דעתה והויא לה בעילת זנות</w:t>
      </w:r>
      <w:r>
        <w:rPr>
          <w:rFonts w:cs="Arial" w:hint="cs"/>
          <w:rtl/>
        </w:rPr>
        <w:t>,</w:t>
      </w:r>
      <w:r>
        <w:rPr>
          <w:rFonts w:cs="Arial"/>
          <w:rtl/>
        </w:rPr>
        <w:t xml:space="preserve"> וסובר רבינו דכיון דקיי</w:t>
      </w:r>
      <w:r>
        <w:rPr>
          <w:rFonts w:cs="Arial" w:hint="cs"/>
          <w:rtl/>
        </w:rPr>
        <w:t>"</w:t>
      </w:r>
      <w:r>
        <w:rPr>
          <w:rFonts w:cs="Arial"/>
          <w:rtl/>
        </w:rPr>
        <w:t>ל (נז.) הלכה כרבי מאיר בגזירותיו אע</w:t>
      </w:r>
      <w:r>
        <w:rPr>
          <w:rFonts w:cs="Arial" w:hint="cs"/>
          <w:rtl/>
        </w:rPr>
        <w:t>"</w:t>
      </w:r>
      <w:r>
        <w:rPr>
          <w:rFonts w:cs="Arial"/>
          <w:rtl/>
        </w:rPr>
        <w:t xml:space="preserve">ג דר"מ אמר דטעמא דתנאו בטל משום דכתובה דאורייתא כדאיתא התם ואנן קיי"ל דכתובה דרבנן </w:t>
      </w:r>
      <w:r>
        <w:rPr>
          <w:rFonts w:cs="Arial" w:hint="cs"/>
          <w:rtl/>
        </w:rPr>
        <w:t xml:space="preserve">- </w:t>
      </w:r>
      <w:r>
        <w:rPr>
          <w:rFonts w:cs="Arial"/>
          <w:rtl/>
        </w:rPr>
        <w:t>מכל מקום הלכתא כוותיה ולא מטעמיה</w:t>
      </w:r>
      <w:r>
        <w:rPr>
          <w:rFonts w:cs="Arial" w:hint="cs"/>
          <w:rtl/>
        </w:rPr>
        <w:t>,</w:t>
      </w:r>
      <w:r>
        <w:rPr>
          <w:rFonts w:cs="Arial"/>
          <w:rtl/>
        </w:rPr>
        <w:t xml:space="preserve"> אלא אע</w:t>
      </w:r>
      <w:r>
        <w:rPr>
          <w:rFonts w:cs="Arial" w:hint="cs"/>
          <w:rtl/>
        </w:rPr>
        <w:t>"</w:t>
      </w:r>
      <w:r>
        <w:rPr>
          <w:rFonts w:cs="Arial"/>
          <w:rtl/>
        </w:rPr>
        <w:t>ג דכתובה דרבנן עשו חיזוק לדבריהם כשל תורה ותנאו בטל כל זמן שרוצה לקיימה</w:t>
      </w:r>
      <w:r>
        <w:rPr>
          <w:rFonts w:cs="Arial" w:hint="cs"/>
          <w:rtl/>
        </w:rPr>
        <w:t>,</w:t>
      </w:r>
      <w:r>
        <w:rPr>
          <w:rFonts w:cs="Arial"/>
          <w:rtl/>
        </w:rPr>
        <w:t xml:space="preserve"> ואפ"ה בעילתו בעילת זנות משום דלא סמכה דעתה</w:t>
      </w:r>
      <w:r>
        <w:rPr>
          <w:rFonts w:cs="Arial" w:hint="cs"/>
          <w:rtl/>
        </w:rPr>
        <w:t>.</w:t>
      </w:r>
      <w:r>
        <w:rPr>
          <w:rFonts w:cs="Arial"/>
          <w:rtl/>
        </w:rPr>
        <w:t xml:space="preserve"> אבל אם לא רצה לקיימה </w:t>
      </w:r>
      <w:r>
        <w:rPr>
          <w:rFonts w:cs="Arial" w:hint="cs"/>
          <w:rtl/>
        </w:rPr>
        <w:t xml:space="preserve">- </w:t>
      </w:r>
      <w:r>
        <w:rPr>
          <w:rFonts w:cs="Arial"/>
          <w:rtl/>
        </w:rPr>
        <w:t>תנאו קיים כמו שיתבאר בכמה מקומות שאם מחלה האשה כתובתה שמחילתה מחילה</w:t>
      </w:r>
      <w:r>
        <w:rPr>
          <w:rFonts w:cs="Arial" w:hint="cs"/>
          <w:rtl/>
        </w:rPr>
        <w:t>.</w:t>
      </w:r>
      <w:r>
        <w:rPr>
          <w:rFonts w:cs="Arial"/>
          <w:rtl/>
        </w:rPr>
        <w:t xml:space="preserve"> וכ</w:t>
      </w:r>
      <w:r>
        <w:rPr>
          <w:rFonts w:cs="Arial" w:hint="cs"/>
          <w:rtl/>
        </w:rPr>
        <w:t>"</w:t>
      </w:r>
      <w:r>
        <w:rPr>
          <w:rFonts w:cs="Arial"/>
          <w:rtl/>
        </w:rPr>
        <w:t>כ הרמב"ן (נז. ד"ה הא) לדעת רבינו</w:t>
      </w:r>
      <w:r>
        <w:rPr>
          <w:rFonts w:cs="Arial" w:hint="cs"/>
          <w:rtl/>
        </w:rPr>
        <w:t>.</w:t>
      </w:r>
      <w:r>
        <w:rPr>
          <w:rFonts w:cs="Arial"/>
          <w:rtl/>
        </w:rPr>
        <w:t xml:space="preserve"> ויש מי שסובר דלא קיי"ל כר' מאיר אלא שבעילתו בעילת זנות כשנפחת עיקר כתובה וכל שכן בשאין לה כלל</w:t>
      </w:r>
      <w:r>
        <w:rPr>
          <w:rFonts w:cs="Arial" w:hint="cs"/>
          <w:rtl/>
        </w:rPr>
        <w:t>,</w:t>
      </w:r>
      <w:r>
        <w:rPr>
          <w:rFonts w:cs="Arial"/>
          <w:rtl/>
        </w:rPr>
        <w:t xml:space="preserve"> אבל מכל מקום תנאו קיים ואפילו אם רצה לקיימה אע</w:t>
      </w:r>
      <w:r>
        <w:rPr>
          <w:rFonts w:cs="Arial" w:hint="cs"/>
          <w:rtl/>
        </w:rPr>
        <w:t>"</w:t>
      </w:r>
      <w:r>
        <w:rPr>
          <w:rFonts w:cs="Arial"/>
          <w:rtl/>
        </w:rPr>
        <w:t>פ שאינו רשאי לשהותה בלא כתובה כיון שרוצה לקיימה</w:t>
      </w:r>
      <w:r>
        <w:rPr>
          <w:rFonts w:cs="Arial" w:hint="cs"/>
          <w:rtl/>
        </w:rPr>
        <w:t>, הה"מ</w:t>
      </w:r>
      <w:r w:rsidRPr="00284CDB">
        <w:rPr>
          <w:rFonts w:cs="Arial" w:hint="cs"/>
          <w:sz w:val="16"/>
          <w:szCs w:val="16"/>
          <w:rtl/>
        </w:rPr>
        <w:t xml:space="preserve"> (שם)</w:t>
      </w:r>
      <w:r>
        <w:rPr>
          <w:rFonts w:cs="Arial" w:hint="cs"/>
          <w:rtl/>
        </w:rPr>
        <w:t>.</w:t>
      </w:r>
    </w:p>
  </w:footnote>
  <w:footnote w:id="1045">
    <w:p w14:paraId="07AFB2B5" w14:textId="77777777" w:rsidR="00DF1FC7" w:rsidRDefault="00DF1FC7" w:rsidP="002E5BAD">
      <w:pPr>
        <w:pStyle w:val="a5"/>
      </w:pPr>
      <w:r>
        <w:rPr>
          <w:rStyle w:val="a7"/>
        </w:rPr>
        <w:footnoteRef/>
      </w:r>
      <w:r>
        <w:rPr>
          <w:rtl/>
        </w:rPr>
        <w:t xml:space="preserve"> </w:t>
      </w:r>
      <w:r w:rsidRPr="00133B53">
        <w:rPr>
          <w:rFonts w:cs="Arial"/>
          <w:rtl/>
        </w:rPr>
        <w:t>ולא תני כותב דאשמועינן דבאמירה בעלמא נמי סליק נפשיה בלא שום קנין וכתיבה</w:t>
      </w:r>
      <w:r>
        <w:rPr>
          <w:rFonts w:cs="Arial" w:hint="cs"/>
          <w:rtl/>
        </w:rPr>
        <w:t>, רש"י.</w:t>
      </w:r>
    </w:p>
  </w:footnote>
  <w:footnote w:id="1046">
    <w:p w14:paraId="7A6786AB" w14:textId="77777777" w:rsidR="00DF1FC7" w:rsidRDefault="00DF1FC7" w:rsidP="002E5BAD">
      <w:pPr>
        <w:pStyle w:val="a5"/>
        <w:rPr>
          <w:rtl/>
        </w:rPr>
      </w:pPr>
      <w:r>
        <w:rPr>
          <w:rStyle w:val="a7"/>
        </w:rPr>
        <w:footnoteRef/>
      </w:r>
      <w:r>
        <w:rPr>
          <w:rtl/>
        </w:rPr>
        <w:t xml:space="preserve"> </w:t>
      </w:r>
      <w:r w:rsidRPr="00133B53">
        <w:rPr>
          <w:rFonts w:cs="Arial"/>
          <w:rtl/>
        </w:rPr>
        <w:t>וכל שכן אמירה</w:t>
      </w:r>
      <w:r>
        <w:rPr>
          <w:rFonts w:hint="cs"/>
          <w:rtl/>
        </w:rPr>
        <w:t>, רש"י.</w:t>
      </w:r>
    </w:p>
  </w:footnote>
  <w:footnote w:id="1047">
    <w:p w14:paraId="70A641CF" w14:textId="77777777" w:rsidR="00DF1FC7" w:rsidRDefault="00DF1FC7" w:rsidP="002E5BAD">
      <w:pPr>
        <w:pStyle w:val="a5"/>
      </w:pPr>
      <w:r>
        <w:rPr>
          <w:rStyle w:val="a7"/>
        </w:rPr>
        <w:footnoteRef/>
      </w:r>
      <w:r>
        <w:rPr>
          <w:rtl/>
        </w:rPr>
        <w:t xml:space="preserve"> </w:t>
      </w:r>
      <w:r w:rsidRPr="00133B53">
        <w:rPr>
          <w:rFonts w:cs="Arial"/>
          <w:rtl/>
        </w:rPr>
        <w:t>כגון שדה של שותפין ואמר האחד לחברו אחד מן הלשונות הללו בין בכתיבה בין באמירה</w:t>
      </w:r>
      <w:r>
        <w:rPr>
          <w:rFonts w:cs="Arial" w:hint="cs"/>
          <w:rtl/>
        </w:rPr>
        <w:t>, רש"י.</w:t>
      </w:r>
    </w:p>
  </w:footnote>
  <w:footnote w:id="1048">
    <w:p w14:paraId="35378D6C" w14:textId="77777777" w:rsidR="00DF1FC7" w:rsidRDefault="00DF1FC7" w:rsidP="002E5BAD">
      <w:pPr>
        <w:pStyle w:val="a5"/>
      </w:pPr>
      <w:r>
        <w:rPr>
          <w:rStyle w:val="a7"/>
        </w:rPr>
        <w:footnoteRef/>
      </w:r>
      <w:r>
        <w:rPr>
          <w:rtl/>
        </w:rPr>
        <w:t xml:space="preserve"> </w:t>
      </w:r>
      <w:r w:rsidRPr="00133B53">
        <w:rPr>
          <w:rFonts w:cs="Arial"/>
          <w:rtl/>
        </w:rPr>
        <w:t>דאין כאן לשון מתנה</w:t>
      </w:r>
      <w:r>
        <w:rPr>
          <w:rFonts w:cs="Arial" w:hint="cs"/>
          <w:rtl/>
        </w:rPr>
        <w:t>, רש"י.</w:t>
      </w:r>
    </w:p>
  </w:footnote>
  <w:footnote w:id="1049">
    <w:p w14:paraId="2F393F61" w14:textId="77777777" w:rsidR="00DF1FC7" w:rsidRDefault="00DF1FC7" w:rsidP="002E5BAD">
      <w:pPr>
        <w:pStyle w:val="a5"/>
        <w:rPr>
          <w:rtl/>
        </w:rPr>
      </w:pPr>
      <w:r>
        <w:rPr>
          <w:rStyle w:val="a7"/>
        </w:rPr>
        <w:footnoteRef/>
      </w:r>
      <w:r>
        <w:rPr>
          <w:rtl/>
        </w:rPr>
        <w:t xml:space="preserve"> </w:t>
      </w:r>
      <w:r w:rsidRPr="00133B53">
        <w:rPr>
          <w:rFonts w:cs="Arial"/>
          <w:rtl/>
        </w:rPr>
        <w:t>ודאי מי שהקרקע שלו ובא ליתנו לחבירו צריך לשון מתנה ומתניתין בכותב לה עד שלא זכה בנכסים ומתנה עמה שלא יזכה בהן לכשישאנה ואין צריך לשון מתנה שהרי אין לו עכשיו רשות בהן</w:t>
      </w:r>
      <w:r>
        <w:rPr>
          <w:rFonts w:hint="cs"/>
          <w:rtl/>
        </w:rPr>
        <w:t>, רש"י.</w:t>
      </w:r>
    </w:p>
  </w:footnote>
  <w:footnote w:id="1050">
    <w:p w14:paraId="4241293B" w14:textId="77777777" w:rsidR="00DF1FC7" w:rsidRDefault="00DF1FC7" w:rsidP="002E5BAD">
      <w:pPr>
        <w:pStyle w:val="a5"/>
      </w:pPr>
      <w:r>
        <w:rPr>
          <w:rStyle w:val="a7"/>
        </w:rPr>
        <w:footnoteRef/>
      </w:r>
      <w:r>
        <w:rPr>
          <w:rtl/>
        </w:rPr>
        <w:t xml:space="preserve"> </w:t>
      </w:r>
      <w:r w:rsidRPr="00133B53">
        <w:rPr>
          <w:rFonts w:cs="Arial"/>
          <w:rtl/>
        </w:rPr>
        <w:t xml:space="preserve">שאינה ירושת אבותיו אלא ע"י מעשיו תבא לו כגון נחלת אשתו הבאה לו ע"י נשואין שלו דהואיל ומשום תקנתא דידיה תקון רבנן והוא בא למחול עליה </w:t>
      </w:r>
      <w:r>
        <w:rPr>
          <w:rFonts w:cs="Arial" w:hint="cs"/>
          <w:rtl/>
        </w:rPr>
        <w:t xml:space="preserve">- </w:t>
      </w:r>
      <w:r w:rsidRPr="00133B53">
        <w:rPr>
          <w:rFonts w:cs="Arial"/>
          <w:rtl/>
        </w:rPr>
        <w:t>מוחל</w:t>
      </w:r>
      <w:r>
        <w:rPr>
          <w:rFonts w:cs="Arial" w:hint="cs"/>
          <w:rtl/>
        </w:rPr>
        <w:t>,</w:t>
      </w:r>
      <w:r w:rsidRPr="00133B53">
        <w:rPr>
          <w:rFonts w:cs="Arial"/>
          <w:rtl/>
        </w:rPr>
        <w:t xml:space="preserve"> וכדרב הונא</w:t>
      </w:r>
      <w:r>
        <w:rPr>
          <w:rFonts w:cs="Arial" w:hint="cs"/>
          <w:rtl/>
        </w:rPr>
        <w:t>, רש"י.</w:t>
      </w:r>
      <w:r w:rsidRPr="00DA7271">
        <w:rPr>
          <w:rFonts w:cs="Arial"/>
          <w:rtl/>
        </w:rPr>
        <w:t xml:space="preserve"> </w:t>
      </w:r>
      <w:r>
        <w:rPr>
          <w:rFonts w:cs="Arial"/>
          <w:rtl/>
        </w:rPr>
        <w:t>וכ</w:t>
      </w:r>
      <w:r>
        <w:rPr>
          <w:rFonts w:cs="Arial" w:hint="cs"/>
          <w:rtl/>
        </w:rPr>
        <w:t>'</w:t>
      </w:r>
      <w:r>
        <w:rPr>
          <w:rFonts w:cs="Arial"/>
          <w:rtl/>
        </w:rPr>
        <w:t xml:space="preserve"> הר"ן </w:t>
      </w:r>
      <w:r w:rsidRPr="00DA7271">
        <w:rPr>
          <w:rFonts w:cs="Arial"/>
          <w:sz w:val="16"/>
          <w:szCs w:val="16"/>
          <w:rtl/>
        </w:rPr>
        <w:t xml:space="preserve">(מא. ד"ה בכותב) </w:t>
      </w:r>
      <w:r>
        <w:rPr>
          <w:rFonts w:cs="Arial"/>
          <w:rtl/>
        </w:rPr>
        <w:t>הבאה לו ממקום אחר</w:t>
      </w:r>
      <w:r>
        <w:rPr>
          <w:rFonts w:cs="Arial" w:hint="cs"/>
          <w:rtl/>
        </w:rPr>
        <w:t>,</w:t>
      </w:r>
      <w:r>
        <w:rPr>
          <w:rFonts w:cs="Arial"/>
          <w:rtl/>
        </w:rPr>
        <w:t xml:space="preserve"> כלומר שעכשיו בשעה שמסתלק ממנה אינו ראוי ליורשה</w:t>
      </w:r>
      <w:r>
        <w:rPr>
          <w:rFonts w:cs="Arial" w:hint="cs"/>
          <w:rtl/>
        </w:rPr>
        <w:t>.</w:t>
      </w:r>
      <w:r>
        <w:rPr>
          <w:rFonts w:cs="Arial"/>
          <w:rtl/>
        </w:rPr>
        <w:t xml:space="preserve"> בירושת הבעל קודם נישואין אדם מתנה עליה שלא יירשנה</w:t>
      </w:r>
      <w:r>
        <w:rPr>
          <w:rFonts w:cs="Arial" w:hint="cs"/>
          <w:rtl/>
        </w:rPr>
        <w:t>,</w:t>
      </w:r>
      <w:r>
        <w:rPr>
          <w:rFonts w:cs="Arial"/>
          <w:rtl/>
        </w:rPr>
        <w:t xml:space="preserve"> ולאפוקי ירושת אביו דכיון שראוי ליורשו בכל שעה הרי הוא כאילו זכה בה לענין דלא סגי בסילוק אלא או במכר או במתנה</w:t>
      </w:r>
      <w:r>
        <w:rPr>
          <w:rFonts w:cs="Arial" w:hint="cs"/>
          <w:rtl/>
        </w:rPr>
        <w:t>,</w:t>
      </w:r>
      <w:r>
        <w:rPr>
          <w:rFonts w:cs="Arial"/>
          <w:rtl/>
        </w:rPr>
        <w:t xml:space="preserve"> ואי אפשר שהרי לא זכה בה לגמרי ולא באה ברשותו שיוכל להקנותה</w:t>
      </w:r>
      <w:r>
        <w:rPr>
          <w:rFonts w:cs="Arial" w:hint="cs"/>
          <w:rtl/>
        </w:rPr>
        <w:t>.</w:t>
      </w:r>
      <w:r>
        <w:rPr>
          <w:rFonts w:cs="Arial"/>
          <w:rtl/>
        </w:rPr>
        <w:t xml:space="preserve"> וירושת אשתו נמי לאחר שנישאת</w:t>
      </w:r>
      <w:r>
        <w:rPr>
          <w:rFonts w:cs="Arial" w:hint="cs"/>
          <w:rtl/>
        </w:rPr>
        <w:t xml:space="preserve"> -</w:t>
      </w:r>
      <w:r>
        <w:rPr>
          <w:rFonts w:cs="Arial"/>
          <w:rtl/>
        </w:rPr>
        <w:t xml:space="preserve"> לירושת אביו דמיא</w:t>
      </w:r>
      <w:r>
        <w:rPr>
          <w:rFonts w:cs="Arial" w:hint="cs"/>
          <w:rtl/>
        </w:rPr>
        <w:t>,</w:t>
      </w:r>
      <w:r>
        <w:rPr>
          <w:rFonts w:cs="Arial"/>
          <w:rtl/>
        </w:rPr>
        <w:t xml:space="preserve"> הילכך לא משכחת לה אלא בכותב לה ועודה ארוסה</w:t>
      </w:r>
      <w:r>
        <w:rPr>
          <w:rFonts w:cs="Arial" w:hint="cs"/>
          <w:rtl/>
        </w:rPr>
        <w:t>.</w:t>
      </w:r>
      <w:r>
        <w:rPr>
          <w:rFonts w:cs="Arial"/>
          <w:rtl/>
        </w:rPr>
        <w:t xml:space="preserve"> ודוקא בכותב לה ועודה ארוסה דשייך בה קצת</w:t>
      </w:r>
      <w:r>
        <w:rPr>
          <w:rFonts w:cs="Arial" w:hint="cs"/>
          <w:rtl/>
        </w:rPr>
        <w:t>,</w:t>
      </w:r>
      <w:r>
        <w:rPr>
          <w:rFonts w:cs="Arial"/>
          <w:rtl/>
        </w:rPr>
        <w:t xml:space="preserve"> אבל קודם לכן כיון שאין לו שייכות בנכסים כלל סילוקו לאו כלום הוא.</w:t>
      </w:r>
    </w:p>
  </w:footnote>
  <w:footnote w:id="1051">
    <w:p w14:paraId="58D790BA" w14:textId="77777777" w:rsidR="00DF1FC7" w:rsidRDefault="00DF1FC7" w:rsidP="002E5BAD">
      <w:pPr>
        <w:pStyle w:val="a5"/>
      </w:pPr>
      <w:r>
        <w:rPr>
          <w:rStyle w:val="a7"/>
        </w:rPr>
        <w:footnoteRef/>
      </w:r>
      <w:r>
        <w:rPr>
          <w:rtl/>
        </w:rPr>
        <w:t xml:space="preserve"> </w:t>
      </w:r>
      <w:r w:rsidRPr="00F93A12">
        <w:rPr>
          <w:rFonts w:cs="Arial"/>
          <w:rtl/>
        </w:rPr>
        <w:t>כלומר דלאחר מיתתה הוא יורשה וזהו כמי שסילק ידו מנכסי אביו שאם מת אביו בנו יורשו מפני שבחיי אביו לא היה לו כלום בנכסים כך הבעל אין לו בגוף נכסי אשתו בחייה כלום ודבר שלא בא לידו הוא לפיכך התנאי בטל ויורשה לאחר מיתה</w:t>
      </w:r>
      <w:r>
        <w:rPr>
          <w:rFonts w:cs="Arial" w:hint="cs"/>
          <w:rtl/>
        </w:rPr>
        <w:t>, רא"ש</w:t>
      </w:r>
      <w:r w:rsidRPr="00DB4558">
        <w:rPr>
          <w:rFonts w:cs="Arial" w:hint="cs"/>
          <w:rtl/>
        </w:rPr>
        <w:t xml:space="preserve"> (סי' א)</w:t>
      </w:r>
      <w:r>
        <w:rPr>
          <w:rFonts w:cs="Arial" w:hint="cs"/>
          <w:rtl/>
        </w:rPr>
        <w:t>.</w:t>
      </w:r>
    </w:p>
  </w:footnote>
  <w:footnote w:id="1052">
    <w:p w14:paraId="60D816AC" w14:textId="77777777" w:rsidR="00DF1FC7" w:rsidRDefault="00DF1FC7" w:rsidP="002E5BAD">
      <w:pPr>
        <w:pStyle w:val="a5"/>
        <w:rPr>
          <w:rtl/>
        </w:rPr>
      </w:pPr>
      <w:r>
        <w:rPr>
          <w:rStyle w:val="a7"/>
        </w:rPr>
        <w:footnoteRef/>
      </w:r>
      <w:r>
        <w:rPr>
          <w:rtl/>
        </w:rPr>
        <w:t xml:space="preserve"> </w:t>
      </w:r>
      <w:r>
        <w:rPr>
          <w:rFonts w:cs="Arial" w:hint="cs"/>
          <w:rtl/>
        </w:rPr>
        <w:t xml:space="preserve">רי"ף </w:t>
      </w:r>
      <w:r w:rsidRPr="0067455C">
        <w:rPr>
          <w:rFonts w:cs="Arial"/>
          <w:sz w:val="16"/>
          <w:szCs w:val="16"/>
          <w:rtl/>
        </w:rPr>
        <w:t>(מב.)</w:t>
      </w:r>
      <w:r>
        <w:rPr>
          <w:rFonts w:cs="Arial" w:hint="cs"/>
          <w:rtl/>
        </w:rPr>
        <w:t xml:space="preserve"> </w:t>
      </w:r>
      <w:r w:rsidRPr="00F93A12">
        <w:rPr>
          <w:rFonts w:cs="Arial"/>
          <w:rtl/>
        </w:rPr>
        <w:t xml:space="preserve">רמב"ם </w:t>
      </w:r>
      <w:r w:rsidRPr="00AD30D1">
        <w:rPr>
          <w:rFonts w:cs="Arial" w:hint="cs"/>
          <w:sz w:val="16"/>
          <w:szCs w:val="16"/>
          <w:rtl/>
        </w:rPr>
        <w:t>(פכ"ג מאישות ה"ה-ז)</w:t>
      </w:r>
      <w:r w:rsidRPr="0067455C">
        <w:rPr>
          <w:rFonts w:cs="Arial"/>
          <w:rtl/>
        </w:rPr>
        <w:t xml:space="preserve"> </w:t>
      </w:r>
      <w:r w:rsidRPr="00F93A12">
        <w:rPr>
          <w:rFonts w:cs="Arial"/>
          <w:rtl/>
        </w:rPr>
        <w:t xml:space="preserve">רמב"ן </w:t>
      </w:r>
      <w:r w:rsidRPr="0067455C">
        <w:rPr>
          <w:rFonts w:cs="Arial"/>
          <w:sz w:val="16"/>
          <w:szCs w:val="16"/>
          <w:rtl/>
        </w:rPr>
        <w:t xml:space="preserve">(פג: ד"ה הלכה) </w:t>
      </w:r>
      <w:r w:rsidRPr="00F93A12">
        <w:rPr>
          <w:rFonts w:cs="Arial"/>
          <w:rtl/>
        </w:rPr>
        <w:t xml:space="preserve">רשב"א </w:t>
      </w:r>
      <w:r w:rsidRPr="0067455C">
        <w:rPr>
          <w:rFonts w:cs="Arial"/>
          <w:sz w:val="16"/>
          <w:szCs w:val="16"/>
          <w:rtl/>
        </w:rPr>
        <w:t>(פג. ד"ה אמרי)</w:t>
      </w:r>
      <w:r w:rsidRPr="00FB2DB8">
        <w:rPr>
          <w:rFonts w:cs="Arial"/>
          <w:rtl/>
        </w:rPr>
        <w:t xml:space="preserve"> </w:t>
      </w:r>
      <w:r w:rsidRPr="00F93A12">
        <w:rPr>
          <w:rFonts w:cs="Arial"/>
          <w:rtl/>
        </w:rPr>
        <w:t xml:space="preserve">רא"ש </w:t>
      </w:r>
      <w:r w:rsidRPr="00874772">
        <w:rPr>
          <w:rFonts w:cs="Arial"/>
          <w:sz w:val="16"/>
          <w:szCs w:val="16"/>
          <w:rtl/>
        </w:rPr>
        <w:t>(סי' א)</w:t>
      </w:r>
      <w:r>
        <w:rPr>
          <w:rFonts w:cs="Arial" w:hint="cs"/>
          <w:rtl/>
        </w:rPr>
        <w:t xml:space="preserve"> ו</w:t>
      </w:r>
      <w:r w:rsidRPr="00F93A12">
        <w:rPr>
          <w:rFonts w:cs="Arial"/>
          <w:rtl/>
        </w:rPr>
        <w:t xml:space="preserve">ר"ן </w:t>
      </w:r>
      <w:r w:rsidRPr="00FB2DB8">
        <w:rPr>
          <w:rFonts w:cs="Arial"/>
          <w:sz w:val="16"/>
          <w:szCs w:val="16"/>
          <w:rtl/>
        </w:rPr>
        <w:t>(מב. דיבור ראשון)</w:t>
      </w:r>
      <w:r>
        <w:rPr>
          <w:rFonts w:hint="cs"/>
          <w:rtl/>
        </w:rPr>
        <w:t>.</w:t>
      </w:r>
    </w:p>
  </w:footnote>
  <w:footnote w:id="1053">
    <w:p w14:paraId="5CEA9BED" w14:textId="77777777" w:rsidR="00DF1FC7" w:rsidRDefault="00DF1FC7" w:rsidP="002E5BAD">
      <w:pPr>
        <w:pStyle w:val="a5"/>
      </w:pPr>
      <w:r>
        <w:rPr>
          <w:rStyle w:val="a7"/>
        </w:rPr>
        <w:footnoteRef/>
      </w:r>
      <w:r>
        <w:rPr>
          <w:rtl/>
        </w:rPr>
        <w:t xml:space="preserve"> </w:t>
      </w:r>
      <w:r w:rsidRPr="00F93A12">
        <w:rPr>
          <w:rFonts w:cs="Arial"/>
          <w:rtl/>
        </w:rPr>
        <w:t>וכתב הרב המגיד (הל' ה - ו) בהלכות לית הלכתא כרשב"ג</w:t>
      </w:r>
      <w:r>
        <w:rPr>
          <w:rFonts w:cs="Arial" w:hint="cs"/>
          <w:rtl/>
        </w:rPr>
        <w:t>.</w:t>
      </w:r>
      <w:r w:rsidRPr="00F93A12">
        <w:rPr>
          <w:rFonts w:cs="Arial"/>
          <w:rtl/>
        </w:rPr>
        <w:t xml:space="preserve"> וכן הכריעו הרמב"ן (פג: ד"ה הלכה) והרשב"א (פג. ד"ה אמרי) ז"ל</w:t>
      </w:r>
      <w:r>
        <w:rPr>
          <w:rFonts w:cs="Arial" w:hint="cs"/>
          <w:rtl/>
        </w:rPr>
        <w:t>.</w:t>
      </w:r>
      <w:r w:rsidRPr="00F93A12">
        <w:rPr>
          <w:rFonts w:cs="Arial"/>
          <w:rtl/>
        </w:rPr>
        <w:t xml:space="preserve"> ודוקא במתנה ועודה ארוסה וכההיא דרב כהנא</w:t>
      </w:r>
      <w:r>
        <w:rPr>
          <w:rFonts w:cs="Arial" w:hint="cs"/>
          <w:rtl/>
        </w:rPr>
        <w:t>,</w:t>
      </w:r>
      <w:r w:rsidRPr="00F93A12">
        <w:rPr>
          <w:rFonts w:cs="Arial"/>
          <w:rtl/>
        </w:rPr>
        <w:t xml:space="preserve"> אבל משנישאת אין תנאו בירושה כלום</w:t>
      </w:r>
      <w:r>
        <w:rPr>
          <w:rFonts w:cs="Arial" w:hint="cs"/>
          <w:rtl/>
        </w:rPr>
        <w:t>,</w:t>
      </w:r>
      <w:r w:rsidRPr="00F93A12">
        <w:rPr>
          <w:rFonts w:cs="Arial"/>
          <w:rtl/>
        </w:rPr>
        <w:t xml:space="preserve"> דכיון שהירושה ראויה לו אם תמות עתה ה"ל כאומר לא אירש את אבא שלא אמר כלום ואפילו קנו מידו</w:t>
      </w:r>
      <w:r>
        <w:rPr>
          <w:rFonts w:cs="Arial" w:hint="cs"/>
          <w:rtl/>
        </w:rPr>
        <w:t>.</w:t>
      </w:r>
      <w:r w:rsidRPr="00F93A12">
        <w:rPr>
          <w:rFonts w:cs="Arial"/>
          <w:rtl/>
        </w:rPr>
        <w:t xml:space="preserve"> וכ</w:t>
      </w:r>
      <w:r>
        <w:rPr>
          <w:rFonts w:cs="Arial" w:hint="cs"/>
          <w:rtl/>
        </w:rPr>
        <w:t>"כ</w:t>
      </w:r>
      <w:r w:rsidRPr="00F93A12">
        <w:rPr>
          <w:rFonts w:cs="Arial"/>
          <w:rtl/>
        </w:rPr>
        <w:t xml:space="preserve"> הרמב"ן (שם) והרשב"א (שם) ז"ל וכדעת רבינו</w:t>
      </w:r>
      <w:r>
        <w:rPr>
          <w:rFonts w:cs="Arial" w:hint="cs"/>
          <w:rtl/>
        </w:rPr>
        <w:t>.</w:t>
      </w:r>
      <w:r w:rsidRPr="00F93A12">
        <w:rPr>
          <w:rFonts w:cs="Arial"/>
          <w:rtl/>
        </w:rPr>
        <w:t xml:space="preserve"> והירושלמי הנזכר בהלכות הוא בכותב לה ועודה ארוסה</w:t>
      </w:r>
      <w:r>
        <w:rPr>
          <w:rFonts w:cs="Arial" w:hint="cs"/>
          <w:rtl/>
        </w:rPr>
        <w:t>,</w:t>
      </w:r>
      <w:r w:rsidRPr="00F93A12">
        <w:rPr>
          <w:rFonts w:cs="Arial"/>
          <w:rtl/>
        </w:rPr>
        <w:t xml:space="preserve"> אי נמי בכותב לה בכתובתה בשעת כניסה אבל אחר נישואין לא אמר כלום</w:t>
      </w:r>
      <w:r>
        <w:rPr>
          <w:rFonts w:cs="Arial" w:hint="cs"/>
          <w:rtl/>
        </w:rPr>
        <w:t>.</w:t>
      </w:r>
      <w:r w:rsidRPr="00F93A12">
        <w:rPr>
          <w:rFonts w:cs="Arial"/>
          <w:rtl/>
        </w:rPr>
        <w:t xml:space="preserve"> אלו דבריהם מסכימים לדעת רבינו עכ"ל. ודברי ריב"ש בזה בס</w:t>
      </w:r>
      <w:r>
        <w:rPr>
          <w:rFonts w:cs="Arial" w:hint="cs"/>
          <w:rtl/>
        </w:rPr>
        <w:t>י'</w:t>
      </w:r>
      <w:r w:rsidRPr="00F93A12">
        <w:rPr>
          <w:rFonts w:cs="Arial"/>
          <w:rtl/>
        </w:rPr>
        <w:t xml:space="preserve"> ס"ד וסי</w:t>
      </w:r>
      <w:r>
        <w:rPr>
          <w:rFonts w:cs="Arial" w:hint="cs"/>
          <w:rtl/>
        </w:rPr>
        <w:t>'</w:t>
      </w:r>
      <w:r w:rsidRPr="00F93A12">
        <w:rPr>
          <w:rFonts w:cs="Arial"/>
          <w:rtl/>
        </w:rPr>
        <w:t xml:space="preserve"> ק"ב</w:t>
      </w:r>
      <w:r>
        <w:rPr>
          <w:rFonts w:cs="Arial" w:hint="cs"/>
          <w:rtl/>
        </w:rPr>
        <w:t>...</w:t>
      </w:r>
      <w:r w:rsidRPr="00D06DCA">
        <w:rPr>
          <w:rFonts w:cs="Arial"/>
          <w:rtl/>
        </w:rPr>
        <w:t xml:space="preserve"> </w:t>
      </w:r>
      <w:r>
        <w:rPr>
          <w:rFonts w:cs="Arial"/>
          <w:rtl/>
        </w:rPr>
        <w:t>וכתב עוד בזה רבינו בסוף סימן צ"ב (קלו.)</w:t>
      </w:r>
      <w:r>
        <w:rPr>
          <w:rFonts w:cs="Arial" w:hint="cs"/>
          <w:rtl/>
        </w:rPr>
        <w:t>, ב"י.</w:t>
      </w:r>
      <w:r w:rsidRPr="00A931CA">
        <w:rPr>
          <w:rFonts w:cs="Arial"/>
          <w:rtl/>
        </w:rPr>
        <w:t xml:space="preserve"> </w:t>
      </w:r>
    </w:p>
  </w:footnote>
  <w:footnote w:id="1054">
    <w:p w14:paraId="2F6CABF7" w14:textId="77777777" w:rsidR="00DF1FC7" w:rsidRDefault="00DF1FC7" w:rsidP="002E5BAD">
      <w:pPr>
        <w:pStyle w:val="a5"/>
        <w:rPr>
          <w:rtl/>
        </w:rPr>
      </w:pPr>
      <w:r>
        <w:rPr>
          <w:rStyle w:val="a7"/>
        </w:rPr>
        <w:footnoteRef/>
      </w:r>
      <w:r>
        <w:rPr>
          <w:rtl/>
        </w:rPr>
        <w:t xml:space="preserve"> </w:t>
      </w:r>
      <w:r w:rsidRPr="00AD30D1">
        <w:rPr>
          <w:rFonts w:cs="Arial" w:hint="cs"/>
          <w:rtl/>
        </w:rPr>
        <w:t>ו</w:t>
      </w:r>
      <w:r w:rsidRPr="00AD30D1">
        <w:rPr>
          <w:rFonts w:cs="Arial"/>
          <w:rtl/>
        </w:rPr>
        <w:t>ראיה מדגרסינן בירושלמי (כתובות פ"ט ה"א) רבי ירמיה בשם רב הלכה כרשב"ג שאם מתה יירשנה אבל לא לענין</w:t>
      </w:r>
      <w:r w:rsidRPr="00AD30D1">
        <w:rPr>
          <w:rFonts w:cs="Arial" w:hint="cs"/>
          <w:rtl/>
        </w:rPr>
        <w:t xml:space="preserve"> דבריו...</w:t>
      </w:r>
      <w:r w:rsidRPr="00AD30D1">
        <w:rPr>
          <w:rFonts w:cs="Arial"/>
          <w:rtl/>
        </w:rPr>
        <w:t xml:space="preserve"> ובירושלמי אי מיתה בלא בני וכו' </w:t>
      </w:r>
      <w:r w:rsidRPr="00AD30D1">
        <w:rPr>
          <w:rFonts w:cs="Arial" w:hint="cs"/>
          <w:rtl/>
        </w:rPr>
        <w:t xml:space="preserve">- </w:t>
      </w:r>
      <w:r w:rsidRPr="00AD30D1">
        <w:rPr>
          <w:rFonts w:cs="Arial"/>
          <w:rtl/>
        </w:rPr>
        <w:t>לא בתנאי הבעל מיירי אלא האב כשפוסק נדוניא לבתו והוי כמתנה על מנת להחזיר</w:t>
      </w:r>
      <w:r w:rsidRPr="00AD30D1">
        <w:rPr>
          <w:rFonts w:cs="Arial" w:hint="cs"/>
          <w:rtl/>
        </w:rPr>
        <w:t>.</w:t>
      </w:r>
      <w:r w:rsidRPr="00AD30D1">
        <w:rPr>
          <w:rFonts w:cs="Arial"/>
          <w:rtl/>
        </w:rPr>
        <w:t xml:space="preserve"> והרמב"ן ז"ל דחה ראיה של הירושלמי</w:t>
      </w:r>
      <w:r w:rsidRPr="00AD30D1">
        <w:rPr>
          <w:rFonts w:cs="Arial" w:hint="cs"/>
          <w:rtl/>
        </w:rPr>
        <w:t>,</w:t>
      </w:r>
      <w:r w:rsidRPr="00AD30D1">
        <w:rPr>
          <w:rFonts w:cs="Arial"/>
          <w:rtl/>
        </w:rPr>
        <w:t xml:space="preserve"> דודאי אם היה כותב לה לאחר שנישאת אז דמי לבן שסילק עצמו מירושת אביו</w:t>
      </w:r>
      <w:r w:rsidRPr="00AD30D1">
        <w:rPr>
          <w:rFonts w:cs="Arial" w:hint="cs"/>
          <w:rtl/>
        </w:rPr>
        <w:t>,</w:t>
      </w:r>
      <w:r w:rsidRPr="00AD30D1">
        <w:rPr>
          <w:rFonts w:cs="Arial"/>
          <w:rtl/>
        </w:rPr>
        <w:t xml:space="preserve"> אבל גמרא דידן מוקי למתניתין בכותב לה ועודה ארוסה</w:t>
      </w:r>
      <w:r w:rsidRPr="00AD30D1">
        <w:rPr>
          <w:rFonts w:cs="Arial" w:hint="cs"/>
          <w:rtl/>
        </w:rPr>
        <w:t>,</w:t>
      </w:r>
      <w:r w:rsidRPr="00AD30D1">
        <w:rPr>
          <w:rFonts w:cs="Arial"/>
          <w:rtl/>
        </w:rPr>
        <w:t xml:space="preserve"> ומייתי עלה דרב כהנא נחלה הבאה לו ממקום אחר שלא ממשפחתו ושלא מאשתו נשואה שהוא ראוי ליירשה לה מכבר</w:t>
      </w:r>
      <w:r w:rsidRPr="00AD30D1">
        <w:rPr>
          <w:rFonts w:cs="Arial" w:hint="cs"/>
          <w:rtl/>
        </w:rPr>
        <w:t>,</w:t>
      </w:r>
      <w:r w:rsidRPr="00AD30D1">
        <w:rPr>
          <w:rFonts w:cs="Arial"/>
          <w:rtl/>
        </w:rPr>
        <w:t xml:space="preserve"> אלא כגון ארוסה שהיא עתידה להיות לו כשישאנה </w:t>
      </w:r>
      <w:r w:rsidRPr="00AD30D1">
        <w:rPr>
          <w:rFonts w:cs="Arial" w:hint="cs"/>
          <w:rtl/>
        </w:rPr>
        <w:t xml:space="preserve">- </w:t>
      </w:r>
      <w:r w:rsidRPr="00AD30D1">
        <w:rPr>
          <w:rFonts w:cs="Arial"/>
          <w:rtl/>
        </w:rPr>
        <w:t>אדם מתנה עליה שלא יירשנה</w:t>
      </w:r>
      <w:r w:rsidRPr="00AD30D1">
        <w:rPr>
          <w:rFonts w:cs="Arial" w:hint="cs"/>
          <w:rtl/>
        </w:rPr>
        <w:t>,</w:t>
      </w:r>
      <w:r w:rsidRPr="00AD30D1">
        <w:rPr>
          <w:rFonts w:cs="Arial"/>
          <w:rtl/>
        </w:rPr>
        <w:t xml:space="preserve"> אבל באשתו נשואה אפילו ת"ק מודה דאם מתה יירשנה</w:t>
      </w:r>
      <w:r w:rsidRPr="00AD30D1">
        <w:rPr>
          <w:rFonts w:cs="Arial" w:hint="cs"/>
          <w:rtl/>
        </w:rPr>
        <w:t>,</w:t>
      </w:r>
      <w:r w:rsidRPr="00AD30D1">
        <w:rPr>
          <w:rFonts w:cs="Arial"/>
          <w:rtl/>
        </w:rPr>
        <w:t xml:space="preserve"> דהוי כבן שסילק עצמו מנכסי אביו</w:t>
      </w:r>
      <w:r w:rsidRPr="00AD30D1">
        <w:rPr>
          <w:rFonts w:cs="Arial" w:hint="cs"/>
          <w:rtl/>
        </w:rPr>
        <w:t>,</w:t>
      </w:r>
      <w:r w:rsidRPr="00AD30D1">
        <w:rPr>
          <w:rFonts w:cs="Arial"/>
          <w:rtl/>
        </w:rPr>
        <w:t xml:space="preserve"> לפי שכבר הוא ראוי ליירש</w:t>
      </w:r>
      <w:r w:rsidRPr="00AD30D1">
        <w:rPr>
          <w:rFonts w:cs="Arial" w:hint="cs"/>
          <w:rtl/>
        </w:rPr>
        <w:t>.</w:t>
      </w:r>
      <w:r w:rsidRPr="00AD30D1">
        <w:rPr>
          <w:rFonts w:cs="Arial"/>
          <w:rtl/>
        </w:rPr>
        <w:t xml:space="preserve"> ובירושלמי מוקי רב למתניתין בכותב לה משנישאת</w:t>
      </w:r>
      <w:r w:rsidRPr="00AD30D1">
        <w:rPr>
          <w:rFonts w:cs="Arial" w:hint="cs"/>
          <w:rtl/>
        </w:rPr>
        <w:t>,</w:t>
      </w:r>
      <w:r w:rsidRPr="00AD30D1">
        <w:rPr>
          <w:rFonts w:cs="Arial"/>
          <w:rtl/>
        </w:rPr>
        <w:t xml:space="preserve"> ופליג אגמרא דידן</w:t>
      </w:r>
      <w:r w:rsidRPr="00AD30D1">
        <w:rPr>
          <w:rFonts w:cs="Arial" w:hint="cs"/>
          <w:rtl/>
        </w:rPr>
        <w:t>.</w:t>
      </w:r>
      <w:r w:rsidRPr="00AD30D1">
        <w:rPr>
          <w:rFonts w:cs="Arial"/>
          <w:rtl/>
        </w:rPr>
        <w:t xml:space="preserve"> ועוד מילתא דרב כהנא אזלא כת"ק אדם מתנה עליה שלא יירשנה וכיון דליכא ראיה ברורה אית לן למימר כל תנאי שבממון קיים</w:t>
      </w:r>
      <w:r>
        <w:rPr>
          <w:rFonts w:hint="cs"/>
          <w:rtl/>
        </w:rPr>
        <w:t xml:space="preserve">, רא"ש (שם). וגם </w:t>
      </w:r>
      <w:r w:rsidRPr="00F93A12">
        <w:rPr>
          <w:rFonts w:cs="Arial"/>
          <w:rtl/>
        </w:rPr>
        <w:t>הר"ן (מב. דיבור ראשון) כתב על דברי ר"ח</w:t>
      </w:r>
      <w:r>
        <w:rPr>
          <w:rFonts w:cs="Arial" w:hint="cs"/>
          <w:rtl/>
        </w:rPr>
        <w:t xml:space="preserve">- </w:t>
      </w:r>
      <w:r w:rsidRPr="00F93A12">
        <w:rPr>
          <w:rFonts w:cs="Arial"/>
          <w:rtl/>
        </w:rPr>
        <w:t>אין פסק זה מחוור דכיון דאוקימנא למתניתין בגמרא בכותב לה ועודה ארוסה לא דמי לאומר לא אירש את אבא דלא אמר כלום דהתם שאני לפי שאין אדם יכול להסתלק ממה שהוא ראוי ליירש מעכשיו אבל זו כיון שעכשיו אינו ראוי ליורשה יכול לסלק עצמו מנכסיה ולכנסה על תנאי שלא יירשנה ורבי ירמיה בשם רב דירושלמי איפשר דמוקי מתניתין בכותב לה משנישאת ונשואה ודאי שירושתה ראויה לו דמיא לירושת האב שאינו יכול להסתלק ממנה</w:t>
      </w:r>
      <w:r>
        <w:rPr>
          <w:rFonts w:cs="Arial" w:hint="cs"/>
          <w:rtl/>
        </w:rPr>
        <w:t>.</w:t>
      </w:r>
      <w:r w:rsidRPr="00F93A12">
        <w:rPr>
          <w:rFonts w:cs="Arial"/>
          <w:rtl/>
        </w:rPr>
        <w:t xml:space="preserve"> ולפיכך עיקר הפסק כדברי הרי"ף ז"ל דלא קיי"ל כרשב"ג אלא כרבנן והא דאמרינן בירושלמי אין מיתה בלא בני וכו' משכחת לה בכותב לה ועודה ארוסה אבל לאחר שנישאת לא</w:t>
      </w:r>
      <w:r>
        <w:rPr>
          <w:rFonts w:cs="Arial" w:hint="cs"/>
          <w:rtl/>
        </w:rPr>
        <w:t>,</w:t>
      </w:r>
      <w:r w:rsidRPr="00F93A12">
        <w:rPr>
          <w:rFonts w:cs="Arial"/>
          <w:rtl/>
        </w:rPr>
        <w:t xml:space="preserve"> אא</w:t>
      </w:r>
      <w:r>
        <w:rPr>
          <w:rFonts w:cs="Arial" w:hint="cs"/>
          <w:rtl/>
        </w:rPr>
        <w:t>"</w:t>
      </w:r>
      <w:r w:rsidRPr="00F93A12">
        <w:rPr>
          <w:rFonts w:cs="Arial"/>
          <w:rtl/>
        </w:rPr>
        <w:t>כ מחייב עצמו להחזיר ליורשיה מה שיירש ממנה בכה"ג ודאי מהני עכ"ל.</w:t>
      </w:r>
      <w:r w:rsidRPr="00C82F92">
        <w:rPr>
          <w:rFonts w:hint="cs"/>
          <w:color w:val="00B0F0"/>
          <w:rtl/>
        </w:rPr>
        <w:t xml:space="preserve"> </w:t>
      </w:r>
    </w:p>
  </w:footnote>
  <w:footnote w:id="1055">
    <w:p w14:paraId="770DE68A" w14:textId="77777777" w:rsidR="00DF1FC7" w:rsidRDefault="00DF1FC7" w:rsidP="002E5BAD">
      <w:pPr>
        <w:pStyle w:val="a5"/>
        <w:rPr>
          <w:rtl/>
        </w:rPr>
      </w:pPr>
      <w:r>
        <w:rPr>
          <w:rStyle w:val="a7"/>
        </w:rPr>
        <w:footnoteRef/>
      </w:r>
      <w:r>
        <w:rPr>
          <w:rtl/>
        </w:rPr>
        <w:t xml:space="preserve"> </w:t>
      </w:r>
      <w:r w:rsidRPr="00F93A12">
        <w:rPr>
          <w:rFonts w:cs="Arial"/>
          <w:rtl/>
        </w:rPr>
        <w:t xml:space="preserve">ודברי רבינו באו בכאן בקיצור שכך הוה ליה לכתוב </w:t>
      </w:r>
      <w:r>
        <w:rPr>
          <w:rFonts w:cs="Arial" w:hint="cs"/>
          <w:rtl/>
        </w:rPr>
        <w:t>'</w:t>
      </w:r>
      <w:r w:rsidRPr="00F93A12">
        <w:rPr>
          <w:rFonts w:cs="Arial"/>
          <w:rtl/>
        </w:rPr>
        <w:t>וכן אם התנה עמה אחר שנשאה או קודם שאירסה שלא יירשנה תנאו בטל ואם התנה עמה כן בעודה ארוסה לרבינו חננאל ור"י גם בזה תנאו בטל ולהרי"ף תנאו קיים ולזה הסכים א"א ז"ל</w:t>
      </w:r>
      <w:r>
        <w:rPr>
          <w:rFonts w:cs="Arial" w:hint="cs"/>
          <w:rtl/>
        </w:rPr>
        <w:t>'</w:t>
      </w:r>
      <w:r>
        <w:rPr>
          <w:rFonts w:hint="cs"/>
          <w:rtl/>
        </w:rPr>
        <w:t xml:space="preserve">, ב"י (בבדה"ב). וכתב עוד הב"י </w:t>
      </w:r>
      <w:r>
        <w:rPr>
          <w:rFonts w:cs="Arial" w:hint="cs"/>
          <w:rtl/>
        </w:rPr>
        <w:t>ש</w:t>
      </w:r>
      <w:r>
        <w:rPr>
          <w:rFonts w:cs="Arial"/>
          <w:rtl/>
        </w:rPr>
        <w:t>פרטי דברים אלו כולם מתבארים והולכים בדברי רבינו בסימנים הבאים.</w:t>
      </w:r>
    </w:p>
  </w:footnote>
  <w:footnote w:id="1056">
    <w:p w14:paraId="6B5224BB" w14:textId="77777777" w:rsidR="00DF1FC7" w:rsidRDefault="00DF1FC7" w:rsidP="002E5BAD">
      <w:pPr>
        <w:pStyle w:val="a5"/>
      </w:pPr>
      <w:r>
        <w:rPr>
          <w:rStyle w:val="a7"/>
        </w:rPr>
        <w:footnoteRef/>
      </w:r>
      <w:r>
        <w:rPr>
          <w:rtl/>
        </w:rPr>
        <w:t xml:space="preserve"> </w:t>
      </w:r>
      <w:r>
        <w:rPr>
          <w:rFonts w:cs="Arial"/>
          <w:rtl/>
        </w:rPr>
        <w:t>נותן לה מעה כסף לכל שבת לדברים קטנים</w:t>
      </w:r>
      <w:r>
        <w:rPr>
          <w:rFonts w:cs="Arial" w:hint="cs"/>
          <w:rtl/>
        </w:rPr>
        <w:t>,</w:t>
      </w:r>
      <w:r w:rsidRPr="00E36B8D">
        <w:rPr>
          <w:rFonts w:cs="Arial"/>
          <w:rtl/>
        </w:rPr>
        <w:t xml:space="preserve"> </w:t>
      </w:r>
      <w:r>
        <w:rPr>
          <w:rFonts w:cs="Arial"/>
          <w:rtl/>
        </w:rPr>
        <w:t>רש"י</w:t>
      </w:r>
      <w:r>
        <w:rPr>
          <w:rFonts w:cs="Arial" w:hint="cs"/>
          <w:rtl/>
        </w:rPr>
        <w:t>.</w:t>
      </w:r>
    </w:p>
  </w:footnote>
  <w:footnote w:id="1057">
    <w:p w14:paraId="495809A7" w14:textId="77777777" w:rsidR="00DF1FC7" w:rsidRDefault="00DF1FC7" w:rsidP="002E5BAD">
      <w:pPr>
        <w:pStyle w:val="a5"/>
      </w:pPr>
      <w:r>
        <w:rPr>
          <w:rStyle w:val="a7"/>
        </w:rPr>
        <w:footnoteRef/>
      </w:r>
      <w:r>
        <w:rPr>
          <w:rtl/>
        </w:rPr>
        <w:t xml:space="preserve"> </w:t>
      </w:r>
      <w:r>
        <w:rPr>
          <w:rFonts w:cs="Arial"/>
          <w:rtl/>
        </w:rPr>
        <w:t>אוכלת עמו ליל שבת שהוא ליל עונה</w:t>
      </w:r>
      <w:r>
        <w:rPr>
          <w:rFonts w:cs="Arial" w:hint="cs"/>
          <w:rtl/>
        </w:rPr>
        <w:t xml:space="preserve">, </w:t>
      </w:r>
      <w:r>
        <w:rPr>
          <w:rFonts w:cs="Arial"/>
          <w:rtl/>
        </w:rPr>
        <w:t>רש"י</w:t>
      </w:r>
      <w:r>
        <w:rPr>
          <w:rFonts w:cs="Arial" w:hint="cs"/>
          <w:rtl/>
        </w:rPr>
        <w:t>.</w:t>
      </w:r>
    </w:p>
  </w:footnote>
  <w:footnote w:id="1058">
    <w:p w14:paraId="51771EEA" w14:textId="77777777" w:rsidR="00DF1FC7" w:rsidRDefault="00DF1FC7" w:rsidP="002E5BAD">
      <w:pPr>
        <w:pStyle w:val="a5"/>
      </w:pPr>
      <w:r>
        <w:rPr>
          <w:rStyle w:val="a7"/>
        </w:rPr>
        <w:footnoteRef/>
      </w:r>
      <w:r>
        <w:rPr>
          <w:rtl/>
        </w:rPr>
        <w:t xml:space="preserve"> </w:t>
      </w:r>
      <w:r>
        <w:rPr>
          <w:rFonts w:cs="Arial"/>
          <w:rtl/>
        </w:rPr>
        <w:t>כגון אשה שמזונות האמורים במשנתינו עודפים לה</w:t>
      </w:r>
      <w:r>
        <w:rPr>
          <w:rFonts w:cs="Arial" w:hint="cs"/>
          <w:rtl/>
        </w:rPr>
        <w:t>, רש"י.</w:t>
      </w:r>
    </w:p>
  </w:footnote>
  <w:footnote w:id="1059">
    <w:p w14:paraId="61E9C947" w14:textId="77777777" w:rsidR="00DF1FC7" w:rsidRDefault="00DF1FC7" w:rsidP="002E5BAD">
      <w:pPr>
        <w:pStyle w:val="a5"/>
      </w:pPr>
      <w:r>
        <w:rPr>
          <w:rStyle w:val="a7"/>
        </w:rPr>
        <w:footnoteRef/>
      </w:r>
      <w:r>
        <w:rPr>
          <w:rtl/>
        </w:rPr>
        <w:t xml:space="preserve"> </w:t>
      </w:r>
      <w:r w:rsidRPr="00A6347B">
        <w:rPr>
          <w:rFonts w:cs="Arial"/>
          <w:rtl/>
        </w:rPr>
        <w:t>ופסקו הרי"ף (כח:) והרא"ש (פ"ה סי' לח) כרב נחמן</w:t>
      </w:r>
      <w:r w:rsidRPr="00A6347B">
        <w:rPr>
          <w:rFonts w:cs="Arial" w:hint="cs"/>
          <w:rtl/>
        </w:rPr>
        <w:t>.</w:t>
      </w:r>
      <w:r w:rsidRPr="00A6347B">
        <w:rPr>
          <w:rFonts w:cs="Arial"/>
          <w:rtl/>
        </w:rPr>
        <w:t xml:space="preserve"> וכ</w:t>
      </w:r>
      <w:r w:rsidRPr="00A6347B">
        <w:rPr>
          <w:rFonts w:cs="Arial" w:hint="cs"/>
          <w:rtl/>
        </w:rPr>
        <w:t>"</w:t>
      </w:r>
      <w:r w:rsidRPr="00A6347B">
        <w:rPr>
          <w:rFonts w:cs="Arial"/>
          <w:rtl/>
        </w:rPr>
        <w:t>פ הרמב"ם בפי"ב מהלכות אישות (הי"ב)</w:t>
      </w:r>
      <w:r w:rsidRPr="00A6347B">
        <w:rPr>
          <w:rFonts w:cs="Arial" w:hint="cs"/>
          <w:rtl/>
        </w:rPr>
        <w:t>.</w:t>
      </w:r>
      <w:r w:rsidRPr="00A6347B">
        <w:rPr>
          <w:rFonts w:cs="Arial"/>
          <w:rtl/>
        </w:rPr>
        <w:t xml:space="preserve"> ולזה נתכוון רבינו שכתב אוכלת על שלחנו</w:t>
      </w:r>
      <w:r w:rsidRPr="00A6347B">
        <w:rPr>
          <w:rFonts w:cs="Arial" w:hint="cs"/>
          <w:rtl/>
        </w:rPr>
        <w:t>, ב"י</w:t>
      </w:r>
      <w:r>
        <w:rPr>
          <w:rFonts w:cs="Arial" w:hint="cs"/>
          <w:rtl/>
        </w:rPr>
        <w:t>.</w:t>
      </w:r>
    </w:p>
  </w:footnote>
  <w:footnote w:id="1060">
    <w:p w14:paraId="60DB9390" w14:textId="77777777" w:rsidR="00DF1FC7" w:rsidRDefault="00DF1FC7" w:rsidP="002E5BAD">
      <w:pPr>
        <w:pStyle w:val="a5"/>
      </w:pPr>
      <w:r>
        <w:rPr>
          <w:rStyle w:val="a7"/>
        </w:rPr>
        <w:footnoteRef/>
      </w:r>
      <w:r>
        <w:rPr>
          <w:rtl/>
        </w:rPr>
        <w:t xml:space="preserve"> </w:t>
      </w:r>
      <w:r>
        <w:rPr>
          <w:rFonts w:cs="Arial"/>
          <w:rtl/>
        </w:rPr>
        <w:t>וכתב הר"ן בסוף פירקין (כח: ד"ה מתני') דלאו למימרא שיכול הבעל לומר איני נותן מעה ויהא המותר שלה דהא קיי"ל (נח:) יכולה אשה שתאמר איני נזונת ואיני עושה ובודאי שיכולה ג"כ לומר איני נוטלת מעה כסף ואיני נותנת מותר דאי הוא נמי יכול לומר איני נותן מעה כסף מה הועילו חכמים בתקנתם הרי כל אחד מהם יכול לעכב אלא ודאי הכי קאמר שאם שתקה היא ולא תבעה מעה כסף לצרכיה ועשתה מותר הרי הוא לעצמה ואין הבעל יכול לומר ויתרה וכתב הרמב"ן ז"ל (סד: ד"ה הא) דהוא הדין למזונות ולמעשה ידיה אלא רבותא קמ"ל שאפילו במעה כסף שאינה צריכה לו כל כך לא אמרינן ויתרה עכ"ל</w:t>
      </w:r>
      <w:r>
        <w:rPr>
          <w:rFonts w:cs="Arial" w:hint="cs"/>
          <w:rtl/>
        </w:rPr>
        <w:t>, ב"י.</w:t>
      </w:r>
    </w:p>
  </w:footnote>
  <w:footnote w:id="1061">
    <w:p w14:paraId="62B8F54B" w14:textId="77777777" w:rsidR="00DF1FC7" w:rsidRDefault="00DF1FC7" w:rsidP="002E5BAD">
      <w:pPr>
        <w:pStyle w:val="a5"/>
      </w:pPr>
      <w:r>
        <w:rPr>
          <w:rStyle w:val="a7"/>
        </w:rPr>
        <w:footnoteRef/>
      </w:r>
      <w:r>
        <w:rPr>
          <w:rtl/>
        </w:rPr>
        <w:t xml:space="preserve"> </w:t>
      </w:r>
      <w:r>
        <w:rPr>
          <w:rFonts w:cs="Arial"/>
          <w:rtl/>
        </w:rPr>
        <w:t xml:space="preserve">בסוף מתניתין דהמשרה את אשתו ע"י שליש תנן </w:t>
      </w:r>
      <w:r>
        <w:rPr>
          <w:rFonts w:cs="Arial" w:hint="cs"/>
          <w:rtl/>
        </w:rPr>
        <w:t>'</w:t>
      </w:r>
      <w:r>
        <w:rPr>
          <w:rFonts w:cs="Arial"/>
          <w:rtl/>
        </w:rPr>
        <w:t>במה דברים אמורים בעני שבישראל אבל במכובד הכל לפי כבודו</w:t>
      </w:r>
      <w:r>
        <w:rPr>
          <w:rFonts w:cs="Arial" w:hint="cs"/>
          <w:rtl/>
        </w:rPr>
        <w:t>',</w:t>
      </w:r>
      <w:r>
        <w:rPr>
          <w:rFonts w:cs="Arial"/>
          <w:rtl/>
        </w:rPr>
        <w:t xml:space="preserve"> ושינה רבינו לכתוב </w:t>
      </w:r>
      <w:r>
        <w:rPr>
          <w:rFonts w:cs="Arial" w:hint="cs"/>
          <w:rtl/>
        </w:rPr>
        <w:t>'</w:t>
      </w:r>
      <w:r>
        <w:rPr>
          <w:rFonts w:cs="Arial"/>
          <w:rtl/>
        </w:rPr>
        <w:t>אבל בעשירים הכל לפי כבודם</w:t>
      </w:r>
      <w:r>
        <w:rPr>
          <w:rFonts w:cs="Arial" w:hint="cs"/>
          <w:rtl/>
        </w:rPr>
        <w:t>',</w:t>
      </w:r>
      <w:r>
        <w:rPr>
          <w:rFonts w:cs="Arial"/>
          <w:rtl/>
        </w:rPr>
        <w:t xml:space="preserve"> לומר שאע"פ שהוא אינו עשיר ולא מכובד</w:t>
      </w:r>
      <w:r>
        <w:rPr>
          <w:rFonts w:cs="Arial" w:hint="cs"/>
          <w:rtl/>
        </w:rPr>
        <w:t>,</w:t>
      </w:r>
      <w:r>
        <w:rPr>
          <w:rFonts w:cs="Arial"/>
          <w:rtl/>
        </w:rPr>
        <w:t xml:space="preserve"> אם בני משפחתה רגילין במזונות מרווחים יותר</w:t>
      </w:r>
      <w:r>
        <w:rPr>
          <w:rFonts w:cs="Arial" w:hint="cs"/>
          <w:rtl/>
        </w:rPr>
        <w:t xml:space="preserve"> -</w:t>
      </w:r>
      <w:r>
        <w:rPr>
          <w:rFonts w:cs="Arial"/>
          <w:rtl/>
        </w:rPr>
        <w:t xml:space="preserve"> חייב ליתן לה</w:t>
      </w:r>
      <w:r>
        <w:rPr>
          <w:rFonts w:cs="Arial" w:hint="cs"/>
          <w:rtl/>
        </w:rPr>
        <w:t>,</w:t>
      </w:r>
      <w:r>
        <w:rPr>
          <w:rFonts w:cs="Arial"/>
          <w:rtl/>
        </w:rPr>
        <w:t xml:space="preserve"> דעולה עמו ואינה יורדת</w:t>
      </w:r>
      <w:r>
        <w:rPr>
          <w:rFonts w:cs="Arial" w:hint="cs"/>
          <w:rtl/>
        </w:rPr>
        <w:t>, ב"י.</w:t>
      </w:r>
    </w:p>
  </w:footnote>
  <w:footnote w:id="1062">
    <w:p w14:paraId="6CA7335B" w14:textId="77777777" w:rsidR="00DF1FC7" w:rsidRDefault="00DF1FC7" w:rsidP="002E5BAD">
      <w:pPr>
        <w:pStyle w:val="a5"/>
        <w:rPr>
          <w:rtl/>
        </w:rPr>
      </w:pPr>
      <w:r>
        <w:rPr>
          <w:rStyle w:val="a7"/>
        </w:rPr>
        <w:footnoteRef/>
      </w:r>
      <w:r>
        <w:rPr>
          <w:rtl/>
        </w:rPr>
        <w:t xml:space="preserve"> </w:t>
      </w:r>
      <w:r w:rsidRPr="00285F32">
        <w:rPr>
          <w:rFonts w:cs="Arial"/>
          <w:rtl/>
        </w:rPr>
        <w:t xml:space="preserve">והר"ן כתב </w:t>
      </w:r>
      <w:r>
        <w:rPr>
          <w:rFonts w:cs="Arial" w:hint="cs"/>
          <w:rtl/>
        </w:rPr>
        <w:t>(</w:t>
      </w:r>
      <w:r w:rsidRPr="00285F32">
        <w:rPr>
          <w:rFonts w:cs="Arial"/>
          <w:rtl/>
        </w:rPr>
        <w:t>ס</w:t>
      </w:r>
      <w:r>
        <w:rPr>
          <w:rFonts w:cs="Arial" w:hint="cs"/>
          <w:rtl/>
        </w:rPr>
        <w:t>"פ</w:t>
      </w:r>
      <w:r w:rsidRPr="00285F32">
        <w:rPr>
          <w:rFonts w:cs="Arial"/>
          <w:rtl/>
        </w:rPr>
        <w:t xml:space="preserve"> אף על פי כח. ד"ה גמ') דאם היא רגילה לשתות בפני בעלה ב' כוסות נותנין לה כוס אחד ואם אינה רגילה בפני בעלה רק בכוס אחד אין נותנין לה כל עיקר והוכיח כן מדברי הגמרא (סה א) ותמה על הרי"ף שלא כתבו</w:t>
      </w:r>
      <w:r>
        <w:rPr>
          <w:rFonts w:cs="Arial" w:hint="cs"/>
          <w:rtl/>
        </w:rPr>
        <w:t>, דרכ"מ (אות א).</w:t>
      </w:r>
    </w:p>
  </w:footnote>
  <w:footnote w:id="1063">
    <w:p w14:paraId="656A2696" w14:textId="77777777" w:rsidR="00DF1FC7" w:rsidRDefault="00DF1FC7" w:rsidP="002E5BAD">
      <w:pPr>
        <w:pStyle w:val="a5"/>
      </w:pPr>
      <w:r>
        <w:rPr>
          <w:rStyle w:val="a7"/>
        </w:rPr>
        <w:footnoteRef/>
      </w:r>
      <w:r>
        <w:rPr>
          <w:rtl/>
        </w:rPr>
        <w:t xml:space="preserve"> </w:t>
      </w:r>
      <w:r w:rsidRPr="00C35DBB">
        <w:rPr>
          <w:rFonts w:cs="Arial"/>
          <w:rtl/>
        </w:rPr>
        <w:t>דין זה כתב הטור אליבא דהרמב"ם דס"ל דיכול הבעל לומר לה לא תאכל עמי רק בליל שבת אף שהיא אינה מרוצה לזה וכמבואר בסעי' שאחר זה אבל לפי דעת הירושלמי וכמו שהכריע הרב מהרמ"א בהג"ה דאין ביד הבעל להכריחה שתאכל לבדה אא"כ קבלה עליו א"כ אין צורך לדין זה צריך לומר דהרב הגיה דין זה ע"פ הנוהגין כהרמב"ם</w:t>
      </w:r>
      <w:r>
        <w:rPr>
          <w:rFonts w:cs="Arial" w:hint="cs"/>
          <w:rtl/>
        </w:rPr>
        <w:t>, ח"מ (סק"ב).</w:t>
      </w:r>
      <w:r>
        <w:rPr>
          <w:rFonts w:hint="cs"/>
          <w:rtl/>
        </w:rPr>
        <w:t xml:space="preserve"> אך הב"ש (סק"א) כתב </w:t>
      </w:r>
      <w:r>
        <w:rPr>
          <w:rFonts w:cs="Arial" w:hint="cs"/>
          <w:rtl/>
        </w:rPr>
        <w:t>דהיינו כד'</w:t>
      </w:r>
      <w:r w:rsidRPr="00C35DBB">
        <w:rPr>
          <w:rFonts w:cs="Arial"/>
          <w:rtl/>
        </w:rPr>
        <w:t xml:space="preserve"> </w:t>
      </w:r>
      <w:r>
        <w:rPr>
          <w:rFonts w:cs="Arial" w:hint="cs"/>
          <w:rtl/>
        </w:rPr>
        <w:t>ה</w:t>
      </w:r>
      <w:r w:rsidRPr="00C35DBB">
        <w:rPr>
          <w:rFonts w:cs="Arial"/>
          <w:rtl/>
        </w:rPr>
        <w:t xml:space="preserve">רמ"א בסמוך </w:t>
      </w:r>
      <w:r>
        <w:rPr>
          <w:rFonts w:cs="Arial" w:hint="cs"/>
          <w:rtl/>
        </w:rPr>
        <w:t>ו</w:t>
      </w:r>
      <w:r w:rsidRPr="00C35DBB">
        <w:rPr>
          <w:rFonts w:cs="Arial"/>
          <w:rtl/>
        </w:rPr>
        <w:t>צ"ל דאינה אוכל' עמו היינו דהיא מרוצה ומ"מ י"ל לא נתרצתי אא"כ שיתן לי כמנהג בית אבי</w:t>
      </w:r>
      <w:r>
        <w:rPr>
          <w:rFonts w:cs="Arial" w:hint="cs"/>
          <w:rtl/>
        </w:rPr>
        <w:t>,</w:t>
      </w:r>
      <w:r w:rsidRPr="00C35DBB">
        <w:rPr>
          <w:rFonts w:cs="Arial"/>
          <w:rtl/>
        </w:rPr>
        <w:t xml:space="preserve"> אפי' אם עשירי</w:t>
      </w:r>
      <w:r>
        <w:rPr>
          <w:rFonts w:cs="Arial" w:hint="cs"/>
          <w:rtl/>
        </w:rPr>
        <w:t>ם</w:t>
      </w:r>
      <w:r w:rsidRPr="00C35DBB">
        <w:rPr>
          <w:rFonts w:cs="Arial"/>
          <w:rtl/>
        </w:rPr>
        <w:t xml:space="preserve"> כבעלה שבמשפחתה אין נוהגים כן י"ל לא נתרצתי</w:t>
      </w:r>
      <w:r>
        <w:rPr>
          <w:rFonts w:cs="Arial" w:hint="cs"/>
          <w:rtl/>
        </w:rPr>
        <w:t>.</w:t>
      </w:r>
      <w:r w:rsidRPr="00C35DBB">
        <w:rPr>
          <w:rFonts w:cs="Arial"/>
          <w:rtl/>
        </w:rPr>
        <w:t xml:space="preserve"> וכ"כ ב"ח</w:t>
      </w:r>
      <w:r>
        <w:rPr>
          <w:rFonts w:cs="Arial" w:hint="cs"/>
          <w:rtl/>
        </w:rPr>
        <w:t>.</w:t>
      </w:r>
      <w:r w:rsidRPr="00C35DBB">
        <w:rPr>
          <w:rFonts w:cs="Arial"/>
          <w:rtl/>
        </w:rPr>
        <w:t xml:space="preserve"> מיהו בטור כ' צריך להנהיגה בדרך שהיתה נוהג' בבי' אביה שהרי ברשותו הוא ליתן לה מזונו' והיא תאכל לבדה</w:t>
      </w:r>
      <w:r>
        <w:rPr>
          <w:rFonts w:cs="Arial" w:hint="cs"/>
          <w:rtl/>
        </w:rPr>
        <w:t>,</w:t>
      </w:r>
      <w:r w:rsidRPr="00C35DBB">
        <w:rPr>
          <w:rFonts w:cs="Arial"/>
          <w:rtl/>
        </w:rPr>
        <w:t xml:space="preserve"> משמע אם לא היה ברשותו אלא היא נתרצה לזה תו א"י לו' לא נתרצתי אא"כ שיתן לי כמנהג בית אבי</w:t>
      </w:r>
      <w:r>
        <w:rPr>
          <w:rFonts w:cs="Arial" w:hint="cs"/>
          <w:rtl/>
        </w:rPr>
        <w:t>.</w:t>
      </w:r>
      <w:r w:rsidRPr="00C35DBB">
        <w:rPr>
          <w:rFonts w:cs="Arial"/>
          <w:rtl/>
        </w:rPr>
        <w:t xml:space="preserve"> וע' בתו' שם ובהר"ן לתירץ הראשון כתבו אפילו דברים שכל בני משפחתה רגילים בהם והיא גלגלה עמו לא הוי מחילה וכשהיא תאכל לבדה צריך ליתן לה</w:t>
      </w:r>
      <w:r>
        <w:rPr>
          <w:rFonts w:cs="Arial" w:hint="cs"/>
          <w:rtl/>
        </w:rPr>
        <w:t>.</w:t>
      </w:r>
      <w:r w:rsidRPr="00C35DBB">
        <w:rPr>
          <w:rFonts w:cs="Arial"/>
          <w:rtl/>
        </w:rPr>
        <w:t xml:space="preserve"> וי"ל אף לתירוץ הב' שכתבו לא נדחה סברא זו</w:t>
      </w:r>
      <w:r>
        <w:rPr>
          <w:rFonts w:cs="Arial" w:hint="cs"/>
          <w:rtl/>
        </w:rPr>
        <w:t>.</w:t>
      </w:r>
    </w:p>
  </w:footnote>
  <w:footnote w:id="1064">
    <w:p w14:paraId="34574480" w14:textId="77777777" w:rsidR="00DF1FC7" w:rsidRDefault="00DF1FC7" w:rsidP="002E5BAD">
      <w:pPr>
        <w:pStyle w:val="a5"/>
      </w:pPr>
      <w:r>
        <w:rPr>
          <w:rStyle w:val="a7"/>
        </w:rPr>
        <w:footnoteRef/>
      </w:r>
      <w:r>
        <w:rPr>
          <w:rtl/>
        </w:rPr>
        <w:t xml:space="preserve"> </w:t>
      </w:r>
      <w:r>
        <w:rPr>
          <w:rFonts w:cs="Arial" w:hint="cs"/>
          <w:rtl/>
        </w:rPr>
        <w:t xml:space="preserve">וז"ל הב"י בשמו- </w:t>
      </w:r>
      <w:r w:rsidRPr="002D671F">
        <w:rPr>
          <w:rFonts w:cs="Arial"/>
          <w:rtl/>
        </w:rPr>
        <w:t>המשרה את אשתו ע"י שליש השנוי בפרק אף על פי היינו ברצונה דשלא ברצונה אינו רשאי כמו שכתב הרמב"ן בר"פ המדיר (ע: ד"ה טפי) ומפרשים אחרים פרק אף על פי ולענין תשמיש אינו רשאי לגרוע עונה כלל ואם עושה כן בין לתשמיש בין להשרותה ע"י שליש שלא מרצונה דנין לו כדין מורד על אשתו</w:t>
      </w:r>
      <w:r>
        <w:rPr>
          <w:rFonts w:cs="Arial" w:hint="cs"/>
          <w:rtl/>
        </w:rPr>
        <w:t>.</w:t>
      </w:r>
    </w:p>
  </w:footnote>
  <w:footnote w:id="1065">
    <w:p w14:paraId="12EBAD95" w14:textId="77777777" w:rsidR="00DF1FC7" w:rsidRDefault="00DF1FC7" w:rsidP="002E5BAD">
      <w:pPr>
        <w:pStyle w:val="a5"/>
        <w:rPr>
          <w:rtl/>
        </w:rPr>
      </w:pPr>
      <w:r>
        <w:rPr>
          <w:rStyle w:val="a7"/>
        </w:rPr>
        <w:footnoteRef/>
      </w:r>
      <w:r>
        <w:rPr>
          <w:rtl/>
        </w:rPr>
        <w:t xml:space="preserve"> </w:t>
      </w:r>
      <w:r>
        <w:rPr>
          <w:rFonts w:cs="Arial" w:hint="cs"/>
          <w:rtl/>
        </w:rPr>
        <w:t xml:space="preserve">ראב"ד </w:t>
      </w:r>
      <w:r>
        <w:rPr>
          <w:rFonts w:cs="Arial" w:hint="cs"/>
          <w:sz w:val="16"/>
          <w:szCs w:val="16"/>
          <w:rtl/>
        </w:rPr>
        <w:t>(כ"כ הרשב"א בשמו [סד: ד"ה מתני'])</w:t>
      </w:r>
      <w:r>
        <w:rPr>
          <w:rFonts w:cs="Arial" w:hint="cs"/>
          <w:rtl/>
        </w:rPr>
        <w:t xml:space="preserve"> רמב"ן </w:t>
      </w:r>
      <w:r>
        <w:rPr>
          <w:rFonts w:cs="Arial" w:hint="cs"/>
          <w:sz w:val="16"/>
          <w:szCs w:val="16"/>
          <w:rtl/>
        </w:rPr>
        <w:t>(ר"פ המדיר ע: ד"ה טפי)</w:t>
      </w:r>
      <w:r>
        <w:rPr>
          <w:rFonts w:cs="Arial" w:hint="cs"/>
          <w:rtl/>
        </w:rPr>
        <w:t xml:space="preserve"> רשב"א </w:t>
      </w:r>
      <w:r>
        <w:rPr>
          <w:rFonts w:cs="Arial" w:hint="cs"/>
          <w:sz w:val="16"/>
          <w:szCs w:val="16"/>
          <w:rtl/>
        </w:rPr>
        <w:t>(סד: ד"ה מתני', ובמיוחסות סי' קד)</w:t>
      </w:r>
      <w:r>
        <w:rPr>
          <w:rFonts w:cs="Arial" w:hint="cs"/>
          <w:rtl/>
        </w:rPr>
        <w:t xml:space="preserve"> רא"ש </w:t>
      </w:r>
      <w:r>
        <w:rPr>
          <w:rFonts w:cs="Arial" w:hint="cs"/>
          <w:sz w:val="16"/>
          <w:szCs w:val="16"/>
          <w:rtl/>
        </w:rPr>
        <w:t>(כ"כ הטור בשמו)</w:t>
      </w:r>
      <w:r>
        <w:rPr>
          <w:rFonts w:cs="Arial" w:hint="cs"/>
          <w:rtl/>
        </w:rPr>
        <w:t xml:space="preserve"> טור</w:t>
      </w:r>
      <w:r w:rsidRPr="001D4400">
        <w:rPr>
          <w:rFonts w:cs="Arial" w:hint="cs"/>
          <w:rtl/>
        </w:rPr>
        <w:t xml:space="preserve"> </w:t>
      </w:r>
      <w:r>
        <w:rPr>
          <w:rFonts w:cs="Arial" w:hint="cs"/>
          <w:rtl/>
        </w:rPr>
        <w:t xml:space="preserve">ורשב"ש </w:t>
      </w:r>
      <w:r>
        <w:rPr>
          <w:rFonts w:cs="Arial" w:hint="cs"/>
          <w:sz w:val="16"/>
          <w:szCs w:val="16"/>
          <w:rtl/>
        </w:rPr>
        <w:t>(כ"כ הב"י בשמו)</w:t>
      </w:r>
      <w:r>
        <w:rPr>
          <w:rFonts w:hint="cs"/>
          <w:rtl/>
        </w:rPr>
        <w:t>.</w:t>
      </w:r>
    </w:p>
  </w:footnote>
  <w:footnote w:id="1066">
    <w:p w14:paraId="766EE0C0" w14:textId="77777777" w:rsidR="00DF1FC7" w:rsidRDefault="00DF1FC7" w:rsidP="002E5BAD">
      <w:pPr>
        <w:pStyle w:val="a5"/>
        <w:rPr>
          <w:rtl/>
        </w:rPr>
      </w:pPr>
      <w:r>
        <w:rPr>
          <w:rStyle w:val="a7"/>
        </w:rPr>
        <w:footnoteRef/>
      </w:r>
      <w:r>
        <w:rPr>
          <w:rtl/>
        </w:rPr>
        <w:t xml:space="preserve"> </w:t>
      </w:r>
      <w:r>
        <w:rPr>
          <w:rFonts w:cs="Arial" w:hint="cs"/>
          <w:rtl/>
        </w:rPr>
        <w:t>ו</w:t>
      </w:r>
      <w:r w:rsidRPr="002D671F">
        <w:rPr>
          <w:rFonts w:cs="Arial"/>
          <w:rtl/>
        </w:rPr>
        <w:t>כתב ה</w:t>
      </w:r>
      <w:r>
        <w:rPr>
          <w:rFonts w:cs="Arial" w:hint="cs"/>
          <w:rtl/>
        </w:rPr>
        <w:t>ה"מ</w:t>
      </w:r>
      <w:r w:rsidRPr="002D671F">
        <w:rPr>
          <w:rFonts w:cs="Arial"/>
          <w:rtl/>
        </w:rPr>
        <w:t xml:space="preserve"> (הי"ב)</w:t>
      </w:r>
      <w:r>
        <w:rPr>
          <w:rFonts w:cs="Arial" w:hint="cs"/>
          <w:rtl/>
        </w:rPr>
        <w:t>-</w:t>
      </w:r>
      <w:r w:rsidRPr="002D671F">
        <w:rPr>
          <w:rFonts w:cs="Arial"/>
          <w:rtl/>
        </w:rPr>
        <w:t xml:space="preserve"> כך הוא פשטה של משנתינו</w:t>
      </w:r>
      <w:r>
        <w:rPr>
          <w:rFonts w:cs="Arial" w:hint="cs"/>
          <w:rtl/>
        </w:rPr>
        <w:t>,</w:t>
      </w:r>
      <w:r w:rsidRPr="002D671F">
        <w:rPr>
          <w:rFonts w:cs="Arial"/>
          <w:rtl/>
        </w:rPr>
        <w:t xml:space="preserve"> אבל הרשב"א (סד: ד"ה מתני') כתב שהראב"ד פירש כגון שהוא עושה מלאכה או שלומד בעיר אחרת שעונתו מערב שבת לערב שבת</w:t>
      </w:r>
      <w:r>
        <w:rPr>
          <w:rFonts w:cs="Arial" w:hint="cs"/>
          <w:rtl/>
        </w:rPr>
        <w:t>.</w:t>
      </w:r>
      <w:r w:rsidRPr="002D671F">
        <w:rPr>
          <w:rFonts w:cs="Arial"/>
          <w:rtl/>
        </w:rPr>
        <w:t xml:space="preserve"> והזקיקו לפרש כן</w:t>
      </w:r>
      <w:r>
        <w:rPr>
          <w:rFonts w:cs="Arial" w:hint="cs"/>
          <w:rtl/>
        </w:rPr>
        <w:t>,</w:t>
      </w:r>
      <w:r w:rsidRPr="002D671F">
        <w:rPr>
          <w:rFonts w:cs="Arial"/>
          <w:rtl/>
        </w:rPr>
        <w:t xml:space="preserve"> שאילו בעושה מלאכה בעירו אי אפשר להשרותה ע"י שליש</w:t>
      </w:r>
      <w:r>
        <w:rPr>
          <w:rFonts w:cs="Arial" w:hint="cs"/>
          <w:rtl/>
        </w:rPr>
        <w:t>,</w:t>
      </w:r>
      <w:r w:rsidRPr="002D671F">
        <w:rPr>
          <w:rFonts w:cs="Arial"/>
          <w:rtl/>
        </w:rPr>
        <w:t xml:space="preserve"> אלא אוכלת עמו על השלחן</w:t>
      </w:r>
      <w:r>
        <w:rPr>
          <w:rFonts w:cs="Arial" w:hint="cs"/>
          <w:rtl/>
        </w:rPr>
        <w:t>,</w:t>
      </w:r>
      <w:r w:rsidRPr="002D671F">
        <w:rPr>
          <w:rFonts w:cs="Arial"/>
          <w:rtl/>
        </w:rPr>
        <w:t xml:space="preserve"> ואם לאו יוציא ויתן כתובה</w:t>
      </w:r>
      <w:r>
        <w:rPr>
          <w:rFonts w:cs="Arial" w:hint="cs"/>
          <w:rtl/>
        </w:rPr>
        <w:t>,</w:t>
      </w:r>
      <w:r w:rsidRPr="002D671F">
        <w:rPr>
          <w:rFonts w:cs="Arial"/>
          <w:rtl/>
        </w:rPr>
        <w:t xml:space="preserve"> משום דשמעי בה אינשי וזילא בה מילתא</w:t>
      </w:r>
      <w:r>
        <w:rPr>
          <w:rFonts w:cs="Arial" w:hint="cs"/>
          <w:rtl/>
        </w:rPr>
        <w:t>,</w:t>
      </w:r>
      <w:r w:rsidRPr="002D671F">
        <w:rPr>
          <w:rFonts w:cs="Arial"/>
          <w:rtl/>
        </w:rPr>
        <w:t xml:space="preserve"> דיאמרו הבריות מה ראתה זו להתרחק משלחן בעלה</w:t>
      </w:r>
      <w:r>
        <w:rPr>
          <w:rFonts w:cs="Arial" w:hint="cs"/>
          <w:rtl/>
        </w:rPr>
        <w:t>,</w:t>
      </w:r>
      <w:r w:rsidRPr="002D671F">
        <w:rPr>
          <w:rFonts w:cs="Arial"/>
          <w:rtl/>
        </w:rPr>
        <w:t xml:space="preserve"> וכדאמרינן (ע:) גבי מדיר את אשתו מליהנות לה</w:t>
      </w:r>
      <w:r>
        <w:rPr>
          <w:rFonts w:cs="Arial" w:hint="cs"/>
          <w:rtl/>
        </w:rPr>
        <w:t>.</w:t>
      </w:r>
      <w:r w:rsidRPr="002D671F">
        <w:rPr>
          <w:rFonts w:cs="Arial"/>
          <w:rtl/>
        </w:rPr>
        <w:t xml:space="preserve"> אי נמי מתניתין בשקיבלה עליה</w:t>
      </w:r>
      <w:r>
        <w:rPr>
          <w:rFonts w:cs="Arial" w:hint="cs"/>
          <w:rtl/>
        </w:rPr>
        <w:t>,</w:t>
      </w:r>
      <w:r w:rsidRPr="002D671F">
        <w:rPr>
          <w:rFonts w:cs="Arial"/>
          <w:rtl/>
        </w:rPr>
        <w:t xml:space="preserve"> והכי מוקי לה בירושלמי (פ"ז ה"א) עכ"ל. וכ"כ בתשובות להרמב"ן (המיוחסות) סימן ק"ד. ורבינו כתב שהוא רשאי ומשמע מדבריו שכל אדם רשאי</w:t>
      </w:r>
      <w:r>
        <w:rPr>
          <w:rFonts w:cs="Arial" w:hint="cs"/>
          <w:rtl/>
        </w:rPr>
        <w:t>,</w:t>
      </w:r>
      <w:r w:rsidRPr="002D671F">
        <w:rPr>
          <w:rFonts w:cs="Arial"/>
          <w:rtl/>
        </w:rPr>
        <w:t xml:space="preserve"> והטעם שאינו דומה למדיר את אשתו מליהנות לה</w:t>
      </w:r>
      <w:r>
        <w:rPr>
          <w:rFonts w:cs="Arial" w:hint="cs"/>
          <w:rtl/>
        </w:rPr>
        <w:t>,</w:t>
      </w:r>
      <w:r w:rsidRPr="002D671F">
        <w:rPr>
          <w:rFonts w:cs="Arial"/>
          <w:rtl/>
        </w:rPr>
        <w:t xml:space="preserve"> דהתם יש שם איסור הנאה ואינה אוכלת עמו אפילו בליל שבת</w:t>
      </w:r>
      <w:r>
        <w:rPr>
          <w:rFonts w:cs="Arial" w:hint="cs"/>
          <w:rtl/>
        </w:rPr>
        <w:t>,</w:t>
      </w:r>
      <w:r w:rsidRPr="002D671F">
        <w:rPr>
          <w:rFonts w:cs="Arial"/>
          <w:rtl/>
        </w:rPr>
        <w:t xml:space="preserve"> אבל כאן שאין איסור הנאה ועוד שהוא אוכל עמה בכל לילי שבת </w:t>
      </w:r>
      <w:r>
        <w:rPr>
          <w:rFonts w:cs="Arial" w:hint="cs"/>
          <w:rtl/>
        </w:rPr>
        <w:t xml:space="preserve">- </w:t>
      </w:r>
      <w:r w:rsidRPr="002D671F">
        <w:rPr>
          <w:rFonts w:cs="Arial"/>
          <w:rtl/>
        </w:rPr>
        <w:t>רשאי</w:t>
      </w:r>
      <w:r>
        <w:rPr>
          <w:rFonts w:cs="Arial" w:hint="cs"/>
          <w:rtl/>
        </w:rPr>
        <w:t>.</w:t>
      </w:r>
      <w:r w:rsidRPr="002D671F">
        <w:rPr>
          <w:rFonts w:cs="Arial"/>
          <w:rtl/>
        </w:rPr>
        <w:t xml:space="preserve"> עכ"ל הרב המגיד ז"ל. וגם הר"ן (כח. ד"ה מתני') כתב דאף על גב דבירושלמי מוקי מתניתין בשקיבלה עליה דוקא</w:t>
      </w:r>
      <w:r>
        <w:rPr>
          <w:rFonts w:cs="Arial" w:hint="cs"/>
          <w:rtl/>
        </w:rPr>
        <w:t>,</w:t>
      </w:r>
      <w:r w:rsidRPr="002D671F">
        <w:rPr>
          <w:rFonts w:cs="Arial"/>
          <w:rtl/>
        </w:rPr>
        <w:t xml:space="preserve"> מדברי הרמב"ם נראה דדוקא ע"י נדר הוא דמציא אמרה דזילא בה מילתא</w:t>
      </w:r>
      <w:r>
        <w:rPr>
          <w:rFonts w:cs="Arial" w:hint="cs"/>
          <w:rtl/>
        </w:rPr>
        <w:t>,</w:t>
      </w:r>
      <w:r w:rsidRPr="002D671F">
        <w:rPr>
          <w:rFonts w:cs="Arial"/>
          <w:rtl/>
        </w:rPr>
        <w:t xml:space="preserve"> אבל שלא ע"י נדר לא</w:t>
      </w:r>
      <w:r>
        <w:rPr>
          <w:rFonts w:cs="Arial" w:hint="cs"/>
          <w:rtl/>
        </w:rPr>
        <w:t>,</w:t>
      </w:r>
      <w:r w:rsidRPr="002D671F">
        <w:rPr>
          <w:rFonts w:cs="Arial"/>
          <w:rtl/>
        </w:rPr>
        <w:t xml:space="preserve"> וכפשטה דמתניתין.</w:t>
      </w:r>
    </w:p>
  </w:footnote>
  <w:footnote w:id="1067">
    <w:p w14:paraId="16B12BBA" w14:textId="77777777" w:rsidR="00DF1FC7" w:rsidRDefault="00DF1FC7" w:rsidP="002E5BAD">
      <w:pPr>
        <w:pStyle w:val="a5"/>
      </w:pPr>
      <w:r>
        <w:rPr>
          <w:rStyle w:val="a7"/>
        </w:rPr>
        <w:footnoteRef/>
      </w:r>
      <w:r>
        <w:rPr>
          <w:rtl/>
        </w:rPr>
        <w:t xml:space="preserve"> </w:t>
      </w:r>
      <w:r w:rsidRPr="00380340">
        <w:rPr>
          <w:rFonts w:cs="Arial"/>
          <w:rtl/>
        </w:rPr>
        <w:t>האכילוהו שעורים כבהמה כל הנאכל שלא כדרכו קרי ליה כוסס</w:t>
      </w:r>
      <w:r>
        <w:rPr>
          <w:rFonts w:cs="Arial" w:hint="cs"/>
          <w:rtl/>
        </w:rPr>
        <w:t>, רש"י.</w:t>
      </w:r>
    </w:p>
  </w:footnote>
  <w:footnote w:id="1068">
    <w:p w14:paraId="25E7295B" w14:textId="77777777" w:rsidR="00DF1FC7" w:rsidRDefault="00DF1FC7" w:rsidP="002E5BAD">
      <w:pPr>
        <w:pStyle w:val="a5"/>
        <w:rPr>
          <w:rtl/>
        </w:rPr>
      </w:pPr>
      <w:r>
        <w:rPr>
          <w:rStyle w:val="a7"/>
        </w:rPr>
        <w:footnoteRef/>
      </w:r>
      <w:r>
        <w:rPr>
          <w:rtl/>
        </w:rPr>
        <w:t xml:space="preserve"> </w:t>
      </w:r>
      <w:r w:rsidRPr="00380340">
        <w:rPr>
          <w:rFonts w:cs="Arial"/>
          <w:rtl/>
        </w:rPr>
        <w:t>להא מילתא דרב</w:t>
      </w:r>
      <w:r>
        <w:rPr>
          <w:rFonts w:hint="cs"/>
          <w:rtl/>
        </w:rPr>
        <w:t>, רש"י.</w:t>
      </w:r>
    </w:p>
  </w:footnote>
  <w:footnote w:id="1069">
    <w:p w14:paraId="302A5709" w14:textId="77777777" w:rsidR="00DF1FC7" w:rsidRDefault="00DF1FC7" w:rsidP="002E5BAD">
      <w:pPr>
        <w:pStyle w:val="a5"/>
        <w:rPr>
          <w:rtl/>
        </w:rPr>
      </w:pPr>
      <w:r>
        <w:rPr>
          <w:rStyle w:val="a7"/>
        </w:rPr>
        <w:footnoteRef/>
      </w:r>
      <w:r>
        <w:rPr>
          <w:rtl/>
        </w:rPr>
        <w:t xml:space="preserve"> </w:t>
      </w:r>
      <w:r w:rsidRPr="00380340">
        <w:rPr>
          <w:rFonts w:cs="Arial"/>
          <w:rtl/>
        </w:rPr>
        <w:t>דאיהו נמי כרב סבירא ליה</w:t>
      </w:r>
      <w:r>
        <w:rPr>
          <w:rFonts w:hint="cs"/>
          <w:rtl/>
        </w:rPr>
        <w:t>, רש"י.</w:t>
      </w:r>
    </w:p>
  </w:footnote>
  <w:footnote w:id="1070">
    <w:p w14:paraId="6359B8FA" w14:textId="77777777" w:rsidR="00DF1FC7" w:rsidRDefault="00DF1FC7" w:rsidP="002E5BAD">
      <w:pPr>
        <w:pStyle w:val="a5"/>
        <w:rPr>
          <w:rtl/>
        </w:rPr>
      </w:pPr>
      <w:r>
        <w:rPr>
          <w:rStyle w:val="a7"/>
        </w:rPr>
        <w:footnoteRef/>
      </w:r>
      <w:r>
        <w:rPr>
          <w:rtl/>
        </w:rPr>
        <w:t xml:space="preserve"> </w:t>
      </w:r>
      <w:r w:rsidRPr="00486216">
        <w:rPr>
          <w:rFonts w:cs="Arial"/>
          <w:rtl/>
        </w:rPr>
        <w:t>ור</w:t>
      </w:r>
      <w:r>
        <w:rPr>
          <w:rFonts w:cs="Arial" w:hint="cs"/>
          <w:rtl/>
        </w:rPr>
        <w:t>י"ו</w:t>
      </w:r>
      <w:r w:rsidRPr="00486216">
        <w:rPr>
          <w:rFonts w:cs="Arial"/>
          <w:rtl/>
        </w:rPr>
        <w:t xml:space="preserve"> </w:t>
      </w:r>
      <w:r w:rsidRPr="00130AAC">
        <w:rPr>
          <w:rFonts w:cs="Arial"/>
          <w:sz w:val="16"/>
          <w:szCs w:val="16"/>
          <w:rtl/>
        </w:rPr>
        <w:t xml:space="preserve">(מישרים נכ"ג ח"ה נז ע"ד) </w:t>
      </w:r>
      <w:r w:rsidRPr="00486216">
        <w:rPr>
          <w:rFonts w:cs="Arial"/>
          <w:rtl/>
        </w:rPr>
        <w:t>כתב שתמהו על הרמב"ם למה כופין אותו להוציא מאחר שאין לו ממה לזונה</w:t>
      </w:r>
      <w:r>
        <w:rPr>
          <w:rFonts w:cs="Arial" w:hint="cs"/>
          <w:rtl/>
        </w:rPr>
        <w:t>,</w:t>
      </w:r>
      <w:r w:rsidRPr="00486216">
        <w:rPr>
          <w:rFonts w:cs="Arial"/>
          <w:rtl/>
        </w:rPr>
        <w:t xml:space="preserve"> דאם אין לו</w:t>
      </w:r>
      <w:r>
        <w:rPr>
          <w:rFonts w:cs="Arial" w:hint="cs"/>
          <w:rtl/>
        </w:rPr>
        <w:t xml:space="preserve"> -</w:t>
      </w:r>
      <w:r w:rsidRPr="00486216">
        <w:rPr>
          <w:rFonts w:cs="Arial"/>
          <w:rtl/>
        </w:rPr>
        <w:t xml:space="preserve"> אין כופין</w:t>
      </w:r>
      <w:r>
        <w:rPr>
          <w:rFonts w:hint="cs"/>
          <w:rtl/>
        </w:rPr>
        <w:t>.</w:t>
      </w:r>
    </w:p>
  </w:footnote>
  <w:footnote w:id="1071">
    <w:p w14:paraId="041A3E51" w14:textId="77777777" w:rsidR="00DF1FC7" w:rsidRDefault="00DF1FC7" w:rsidP="002E5BAD">
      <w:pPr>
        <w:pStyle w:val="a5"/>
        <w:rPr>
          <w:rtl/>
        </w:rPr>
      </w:pPr>
      <w:r>
        <w:rPr>
          <w:rStyle w:val="a7"/>
        </w:rPr>
        <w:footnoteRef/>
      </w:r>
      <w:r>
        <w:rPr>
          <w:rtl/>
        </w:rPr>
        <w:t xml:space="preserve"> </w:t>
      </w:r>
      <w:r>
        <w:rPr>
          <w:rFonts w:hint="cs"/>
          <w:rtl/>
        </w:rPr>
        <w:t>וכתב הה"מ שהן הן דברי הרמב"ם.</w:t>
      </w:r>
    </w:p>
  </w:footnote>
  <w:footnote w:id="1072">
    <w:p w14:paraId="7DD567B0" w14:textId="77777777" w:rsidR="00DF1FC7" w:rsidRDefault="00DF1FC7" w:rsidP="002E5BAD">
      <w:pPr>
        <w:pStyle w:val="a5"/>
      </w:pPr>
      <w:r>
        <w:rPr>
          <w:rStyle w:val="a7"/>
        </w:rPr>
        <w:footnoteRef/>
      </w:r>
      <w:r>
        <w:rPr>
          <w:rtl/>
        </w:rPr>
        <w:t xml:space="preserve"> </w:t>
      </w:r>
      <w:r>
        <w:rPr>
          <w:rFonts w:cs="Arial"/>
          <w:rtl/>
        </w:rPr>
        <w:t>כי היכי דאיהי משעבדא ליה איהו נמי משעבד לה</w:t>
      </w:r>
      <w:r>
        <w:rPr>
          <w:rFonts w:cs="Arial" w:hint="cs"/>
          <w:rtl/>
        </w:rPr>
        <w:t>, ב"י.</w:t>
      </w:r>
    </w:p>
  </w:footnote>
  <w:footnote w:id="1073">
    <w:p w14:paraId="7EF7C8F7" w14:textId="77777777" w:rsidR="00DF1FC7" w:rsidRDefault="00DF1FC7" w:rsidP="002E5BAD">
      <w:pPr>
        <w:pStyle w:val="a5"/>
        <w:rPr>
          <w:rtl/>
        </w:rPr>
      </w:pPr>
      <w:r>
        <w:rPr>
          <w:rStyle w:val="a7"/>
        </w:rPr>
        <w:footnoteRef/>
      </w:r>
      <w:r>
        <w:rPr>
          <w:rtl/>
        </w:rPr>
        <w:t xml:space="preserve"> </w:t>
      </w:r>
      <w:r>
        <w:rPr>
          <w:rFonts w:cs="Arial"/>
          <w:rtl/>
        </w:rPr>
        <w:t>כ</w:t>
      </w:r>
      <w:r>
        <w:rPr>
          <w:rFonts w:cs="Arial" w:hint="cs"/>
          <w:rtl/>
        </w:rPr>
        <w:t>תבו</w:t>
      </w:r>
      <w:r>
        <w:rPr>
          <w:rFonts w:cs="Arial"/>
          <w:rtl/>
        </w:rPr>
        <w:t xml:space="preserve"> התוס</w:t>
      </w:r>
      <w:r>
        <w:rPr>
          <w:rFonts w:cs="Arial" w:hint="cs"/>
          <w:rtl/>
        </w:rPr>
        <w:t xml:space="preserve">' </w:t>
      </w:r>
      <w:r w:rsidRPr="00771687">
        <w:rPr>
          <w:rFonts w:cs="Arial" w:hint="cs"/>
          <w:sz w:val="16"/>
          <w:szCs w:val="16"/>
          <w:rtl/>
        </w:rPr>
        <w:t>(</w:t>
      </w:r>
      <w:r w:rsidRPr="00771687">
        <w:rPr>
          <w:rFonts w:cs="Arial"/>
          <w:sz w:val="16"/>
          <w:szCs w:val="16"/>
          <w:rtl/>
        </w:rPr>
        <w:t>פ</w:t>
      </w:r>
      <w:r w:rsidRPr="00771687">
        <w:rPr>
          <w:rFonts w:cs="Arial" w:hint="cs"/>
          <w:sz w:val="16"/>
          <w:szCs w:val="16"/>
          <w:rtl/>
        </w:rPr>
        <w:t>'</w:t>
      </w:r>
      <w:r w:rsidRPr="00771687">
        <w:rPr>
          <w:rFonts w:cs="Arial"/>
          <w:sz w:val="16"/>
          <w:szCs w:val="16"/>
          <w:rtl/>
        </w:rPr>
        <w:t xml:space="preserve"> אף על פי סג. תוד"ה באומר</w:t>
      </w:r>
      <w:r>
        <w:rPr>
          <w:rFonts w:cs="Arial" w:hint="cs"/>
          <w:sz w:val="16"/>
          <w:szCs w:val="16"/>
          <w:rtl/>
        </w:rPr>
        <w:t>)</w:t>
      </w:r>
      <w:r>
        <w:rPr>
          <w:rFonts w:cs="Arial"/>
          <w:rtl/>
        </w:rPr>
        <w:t xml:space="preserve"> ו</w:t>
      </w:r>
      <w:r>
        <w:rPr>
          <w:rFonts w:cs="Arial" w:hint="cs"/>
          <w:rtl/>
        </w:rPr>
        <w:t>ה</w:t>
      </w:r>
      <w:r>
        <w:rPr>
          <w:rFonts w:cs="Arial"/>
          <w:rtl/>
        </w:rPr>
        <w:t>רא"ש</w:t>
      </w:r>
      <w:r w:rsidRPr="00771687">
        <w:rPr>
          <w:rFonts w:cs="Arial"/>
          <w:sz w:val="16"/>
          <w:szCs w:val="16"/>
          <w:rtl/>
        </w:rPr>
        <w:t xml:space="preserve"> </w:t>
      </w:r>
      <w:r>
        <w:rPr>
          <w:rFonts w:cs="Arial" w:hint="cs"/>
          <w:sz w:val="16"/>
          <w:szCs w:val="16"/>
          <w:rtl/>
        </w:rPr>
        <w:t>(</w:t>
      </w:r>
      <w:r w:rsidRPr="00771687">
        <w:rPr>
          <w:rFonts w:cs="Arial"/>
          <w:sz w:val="16"/>
          <w:szCs w:val="16"/>
          <w:rtl/>
        </w:rPr>
        <w:t>סי' לב)</w:t>
      </w:r>
      <w:r>
        <w:rPr>
          <w:rFonts w:cs="Arial"/>
          <w:rtl/>
        </w:rPr>
        <w:t xml:space="preserve"> </w:t>
      </w:r>
      <w:r>
        <w:rPr>
          <w:rFonts w:cs="Arial" w:hint="cs"/>
          <w:rtl/>
        </w:rPr>
        <w:t>ד</w:t>
      </w:r>
      <w:r>
        <w:rPr>
          <w:rFonts w:cs="Arial"/>
          <w:rtl/>
        </w:rPr>
        <w:t>מכאן</w:t>
      </w:r>
      <w:r>
        <w:rPr>
          <w:rFonts w:cs="Arial" w:hint="cs"/>
          <w:sz w:val="16"/>
          <w:szCs w:val="16"/>
          <w:rtl/>
        </w:rPr>
        <w:t xml:space="preserve"> {מגמ' זו דלעיל}</w:t>
      </w:r>
      <w:r>
        <w:rPr>
          <w:rFonts w:cs="Arial"/>
          <w:rtl/>
        </w:rPr>
        <w:t xml:space="preserve"> היה רוצה להוכיח רבינו אליהו ש</w:t>
      </w:r>
      <w:r>
        <w:rPr>
          <w:rFonts w:cs="Arial" w:hint="cs"/>
          <w:rtl/>
        </w:rPr>
        <w:t>-...</w:t>
      </w:r>
    </w:p>
  </w:footnote>
  <w:footnote w:id="1074">
    <w:p w14:paraId="02E599A8" w14:textId="77777777" w:rsidR="00DF1FC7" w:rsidRDefault="00DF1FC7" w:rsidP="002E5BAD">
      <w:pPr>
        <w:pStyle w:val="a5"/>
      </w:pPr>
      <w:r>
        <w:rPr>
          <w:rStyle w:val="a7"/>
        </w:rPr>
        <w:footnoteRef/>
      </w:r>
      <w:r>
        <w:rPr>
          <w:rtl/>
        </w:rPr>
        <w:t xml:space="preserve"> </w:t>
      </w:r>
      <w:r>
        <w:rPr>
          <w:rFonts w:hint="cs"/>
          <w:rtl/>
        </w:rPr>
        <w:t>ור"ת אומר ד</w:t>
      </w:r>
      <w:r>
        <w:rPr>
          <w:rFonts w:cs="Arial"/>
          <w:rtl/>
        </w:rPr>
        <w:t>מהכ</w:t>
      </w:r>
      <w:r>
        <w:rPr>
          <w:rFonts w:cs="Arial" w:hint="cs"/>
          <w:rtl/>
        </w:rPr>
        <w:t>א</w:t>
      </w:r>
      <w:r>
        <w:rPr>
          <w:rFonts w:cs="Arial" w:hint="cs"/>
          <w:sz w:val="16"/>
          <w:szCs w:val="16"/>
          <w:rtl/>
        </w:rPr>
        <w:t xml:space="preserve"> </w:t>
      </w:r>
      <w:r>
        <w:rPr>
          <w:rFonts w:cs="Arial"/>
          <w:rtl/>
        </w:rPr>
        <w:t>אין ראיה</w:t>
      </w:r>
      <w:r>
        <w:rPr>
          <w:rFonts w:cs="Arial" w:hint="cs"/>
          <w:rtl/>
        </w:rPr>
        <w:t>,</w:t>
      </w:r>
      <w:r>
        <w:rPr>
          <w:rFonts w:cs="Arial"/>
          <w:rtl/>
        </w:rPr>
        <w:t xml:space="preserve"> דהכי פירושא באומר איני זן ואיני מפרנס דהיינו מרד האיש כנגד מרד האשה</w:t>
      </w:r>
      <w:r>
        <w:rPr>
          <w:rFonts w:cs="Arial" w:hint="cs"/>
          <w:rtl/>
        </w:rPr>
        <w:t>,</w:t>
      </w:r>
      <w:r>
        <w:rPr>
          <w:rFonts w:cs="Arial"/>
          <w:rtl/>
        </w:rPr>
        <w:t xml:space="preserve"> דמרד האשה היינו במלאכה שתחת מזונותיה</w:t>
      </w:r>
      <w:r>
        <w:rPr>
          <w:rFonts w:cs="Arial" w:hint="cs"/>
          <w:rtl/>
        </w:rPr>
        <w:t>,</w:t>
      </w:r>
      <w:r>
        <w:rPr>
          <w:rFonts w:cs="Arial"/>
          <w:rtl/>
        </w:rPr>
        <w:t xml:space="preserve"> ומרד האיש הוי ממזונות שהן כנגד מעשה ידיה</w:t>
      </w:r>
      <w:r>
        <w:rPr>
          <w:rFonts w:cs="Arial" w:hint="cs"/>
          <w:rtl/>
        </w:rPr>
        <w:t>.</w:t>
      </w:r>
      <w:r>
        <w:rPr>
          <w:rFonts w:cs="Arial"/>
          <w:rtl/>
        </w:rPr>
        <w:t xml:space="preserve"> ומכתובה אין להוכיח</w:t>
      </w:r>
      <w:r>
        <w:rPr>
          <w:rFonts w:cs="Arial" w:hint="cs"/>
          <w:rtl/>
        </w:rPr>
        <w:t>,</w:t>
      </w:r>
      <w:r>
        <w:rPr>
          <w:rFonts w:cs="Arial"/>
          <w:rtl/>
        </w:rPr>
        <w:t xml:space="preserve"> דאפלח אינו רוצה לומר שכירות אלא עבודה שדרך האיש לעבוד בביתו כגון לחרוש ולזרוע</w:t>
      </w:r>
      <w:r>
        <w:rPr>
          <w:rFonts w:cs="Arial" w:hint="cs"/>
          <w:rtl/>
        </w:rPr>
        <w:t>, תוס' (שם) ורא"ש (שם).</w:t>
      </w:r>
    </w:p>
  </w:footnote>
  <w:footnote w:id="1075">
    <w:p w14:paraId="3D446121" w14:textId="77777777" w:rsidR="00DF1FC7" w:rsidRDefault="00DF1FC7" w:rsidP="002E5BAD">
      <w:pPr>
        <w:pStyle w:val="a5"/>
        <w:rPr>
          <w:rtl/>
        </w:rPr>
      </w:pPr>
      <w:r>
        <w:rPr>
          <w:rStyle w:val="a7"/>
        </w:rPr>
        <w:footnoteRef/>
      </w:r>
      <w:r>
        <w:rPr>
          <w:rtl/>
        </w:rPr>
        <w:t xml:space="preserve"> </w:t>
      </w:r>
      <w:r>
        <w:rPr>
          <w:rFonts w:cs="Arial"/>
          <w:rtl/>
        </w:rPr>
        <w:t>ובתשובות מיימוניות דשייכי לספר נשים (סי' לא) כתוב שרבותינו שבצרפת נוהגים כפסק רבינו אליהו ועיין במרדכי פרק המדיר (סי' רה)</w:t>
      </w:r>
      <w:r>
        <w:rPr>
          <w:rFonts w:hint="cs"/>
          <w:rtl/>
        </w:rPr>
        <w:t>, ב"י.</w:t>
      </w:r>
    </w:p>
  </w:footnote>
  <w:footnote w:id="1076">
    <w:p w14:paraId="034EF115" w14:textId="77777777" w:rsidR="00DF1FC7" w:rsidRDefault="00DF1FC7" w:rsidP="002E5BAD">
      <w:pPr>
        <w:pStyle w:val="a5"/>
        <w:rPr>
          <w:rtl/>
        </w:rPr>
      </w:pPr>
      <w:r>
        <w:rPr>
          <w:rStyle w:val="a7"/>
        </w:rPr>
        <w:footnoteRef/>
      </w:r>
      <w:r>
        <w:rPr>
          <w:rtl/>
        </w:rPr>
        <w:t xml:space="preserve"> </w:t>
      </w:r>
      <w:r>
        <w:rPr>
          <w:rFonts w:cs="Arial" w:hint="cs"/>
          <w:rtl/>
        </w:rPr>
        <w:t>ר"ת</w:t>
      </w:r>
      <w:r>
        <w:rPr>
          <w:rFonts w:cs="Arial" w:hint="cs"/>
          <w:sz w:val="16"/>
          <w:szCs w:val="16"/>
          <w:rtl/>
        </w:rPr>
        <w:t xml:space="preserve"> (כ"כ התוס' [שם] הרא"ש [שם] והטור בשמו)</w:t>
      </w:r>
      <w:r w:rsidRPr="00E21D0B">
        <w:rPr>
          <w:rFonts w:cs="Arial"/>
          <w:sz w:val="16"/>
          <w:szCs w:val="16"/>
          <w:rtl/>
        </w:rPr>
        <w:t xml:space="preserve"> </w:t>
      </w:r>
      <w:r w:rsidRPr="00B3180C">
        <w:rPr>
          <w:rFonts w:cs="Arial"/>
          <w:rtl/>
        </w:rPr>
        <w:t>רמ"ה</w:t>
      </w:r>
      <w:r>
        <w:rPr>
          <w:rFonts w:cs="Arial" w:hint="cs"/>
          <w:sz w:val="16"/>
          <w:szCs w:val="16"/>
          <w:rtl/>
        </w:rPr>
        <w:t xml:space="preserve"> (כ"כ הטור בשמו)</w:t>
      </w:r>
      <w:r>
        <w:rPr>
          <w:rFonts w:cs="Arial" w:hint="cs"/>
          <w:rtl/>
        </w:rPr>
        <w:t xml:space="preserve"> ור"ן </w:t>
      </w:r>
      <w:r w:rsidRPr="00E21D0B">
        <w:rPr>
          <w:rFonts w:cs="Arial"/>
          <w:sz w:val="16"/>
          <w:szCs w:val="16"/>
          <w:rtl/>
        </w:rPr>
        <w:t xml:space="preserve">(לו. </w:t>
      </w:r>
      <w:r>
        <w:rPr>
          <w:rFonts w:cs="Arial" w:hint="cs"/>
          <w:sz w:val="16"/>
          <w:szCs w:val="16"/>
          <w:rtl/>
        </w:rPr>
        <w:t xml:space="preserve">מדפה"ר </w:t>
      </w:r>
      <w:r w:rsidRPr="00E21D0B">
        <w:rPr>
          <w:rFonts w:cs="Arial"/>
          <w:sz w:val="16"/>
          <w:szCs w:val="16"/>
          <w:rtl/>
        </w:rPr>
        <w:t>ד"ה אכסוהו שערי</w:t>
      </w:r>
      <w:r>
        <w:rPr>
          <w:rFonts w:cs="Arial" w:hint="cs"/>
          <w:sz w:val="16"/>
          <w:szCs w:val="16"/>
          <w:rtl/>
        </w:rPr>
        <w:t>, כ"כ הדרכ"מ [אות ב*] בשמו</w:t>
      </w:r>
      <w:r w:rsidRPr="00E21D0B">
        <w:rPr>
          <w:rFonts w:cs="Arial"/>
          <w:sz w:val="16"/>
          <w:szCs w:val="16"/>
          <w:rtl/>
        </w:rPr>
        <w:t>)</w:t>
      </w:r>
      <w:r>
        <w:rPr>
          <w:rFonts w:hint="cs"/>
          <w:rtl/>
        </w:rPr>
        <w:t>.</w:t>
      </w:r>
    </w:p>
  </w:footnote>
  <w:footnote w:id="1077">
    <w:p w14:paraId="06835EB1" w14:textId="77777777" w:rsidR="00DF1FC7" w:rsidRDefault="00DF1FC7" w:rsidP="002E5BAD">
      <w:pPr>
        <w:pStyle w:val="a5"/>
      </w:pPr>
      <w:r>
        <w:rPr>
          <w:rStyle w:val="a7"/>
        </w:rPr>
        <w:footnoteRef/>
      </w:r>
      <w:r>
        <w:rPr>
          <w:rtl/>
        </w:rPr>
        <w:t xml:space="preserve"> </w:t>
      </w:r>
      <w:r w:rsidRPr="002D671F">
        <w:rPr>
          <w:rFonts w:cs="Arial"/>
          <w:rtl/>
        </w:rPr>
        <w:t>ועיין בתשובות המיימוני דשייכי לספר נשים סימן ל"א</w:t>
      </w:r>
      <w:r>
        <w:rPr>
          <w:rFonts w:cs="Arial" w:hint="cs"/>
          <w:rtl/>
        </w:rPr>
        <w:t>, ב"י.</w:t>
      </w:r>
      <w:r w:rsidRPr="008A6B20">
        <w:rPr>
          <w:rFonts w:cs="Arial"/>
          <w:rtl/>
        </w:rPr>
        <w:t xml:space="preserve"> </w:t>
      </w:r>
      <w:r>
        <w:rPr>
          <w:rFonts w:cs="Arial" w:hint="cs"/>
          <w:rtl/>
        </w:rPr>
        <w:t xml:space="preserve">וכתב הדרכ"מ </w:t>
      </w:r>
      <w:r w:rsidRPr="008A6B20">
        <w:rPr>
          <w:rFonts w:cs="Arial"/>
          <w:rtl/>
        </w:rPr>
        <w:t>(</w:t>
      </w:r>
      <w:r>
        <w:rPr>
          <w:rFonts w:cs="Arial" w:hint="cs"/>
          <w:rtl/>
        </w:rPr>
        <w:t xml:space="preserve">אות </w:t>
      </w:r>
      <w:r w:rsidRPr="008A6B20">
        <w:rPr>
          <w:rFonts w:cs="Arial"/>
          <w:rtl/>
        </w:rPr>
        <w:t xml:space="preserve">ג) </w:t>
      </w:r>
      <w:r>
        <w:rPr>
          <w:rFonts w:cs="Arial" w:hint="cs"/>
          <w:rtl/>
        </w:rPr>
        <w:t xml:space="preserve">דכמו שפסק הרשב"א - </w:t>
      </w:r>
      <w:r w:rsidRPr="008A6B20">
        <w:rPr>
          <w:rFonts w:cs="Arial"/>
          <w:rtl/>
        </w:rPr>
        <w:t>כן משמע בגמרא פרק אלמנה נזונת (צז</w:t>
      </w:r>
      <w:r>
        <w:rPr>
          <w:rFonts w:cs="Arial" w:hint="cs"/>
          <w:rtl/>
        </w:rPr>
        <w:t>.</w:t>
      </w:r>
      <w:r w:rsidRPr="008A6B20">
        <w:rPr>
          <w:rFonts w:cs="Arial"/>
          <w:rtl/>
        </w:rPr>
        <w:t>)</w:t>
      </w:r>
      <w:r>
        <w:rPr>
          <w:rFonts w:cs="Arial" w:hint="cs"/>
          <w:rtl/>
        </w:rPr>
        <w:t>.</w:t>
      </w:r>
      <w:r w:rsidRPr="008A6B20">
        <w:rPr>
          <w:rFonts w:cs="Arial"/>
          <w:rtl/>
        </w:rPr>
        <w:t xml:space="preserve"> וע"ל סימן קי"ט (עמ' צט - ק) אי חייב לזון אשתו שנשתטית וע"ל סימן קי"ח (עמ' צד) מי שנשבע לחלק כל ריוח שלו עם שותפו ועתה טוען שאין השבועה חלה שאין מזונות לאשתו</w:t>
      </w:r>
      <w:r>
        <w:rPr>
          <w:rFonts w:cs="Arial" w:hint="cs"/>
          <w:rtl/>
        </w:rPr>
        <w:t>.</w:t>
      </w:r>
    </w:p>
  </w:footnote>
  <w:footnote w:id="1078">
    <w:p w14:paraId="78D45848" w14:textId="77777777" w:rsidR="00DF1FC7" w:rsidRDefault="00DF1FC7" w:rsidP="002E5BAD">
      <w:pPr>
        <w:pStyle w:val="a5"/>
      </w:pPr>
      <w:r>
        <w:rPr>
          <w:rStyle w:val="a7"/>
        </w:rPr>
        <w:footnoteRef/>
      </w:r>
      <w:r>
        <w:rPr>
          <w:rtl/>
        </w:rPr>
        <w:t xml:space="preserve"> </w:t>
      </w:r>
      <w:r w:rsidRPr="00571D74">
        <w:rPr>
          <w:rFonts w:cs="Arial"/>
          <w:rtl/>
        </w:rPr>
        <w:t>מפשט הל' משמע ומסידור בעל המחבר דקאי אסעי' שקודם לו באשה האוכלת לעצמה אבל אם אוכלת עמו והוא עני ואין לו שום לפתן רק פת חריבה היינו דקאמר ברישא אוכלת ושותה ממה שהוא אוכל ושותה אבל מסידור לשון הרמב"ם לא משמע כן אלא מיירי באוכלת עמו דאף שהוא אוכל פת חריבה יכבד אשתו יותר מגופו וצריך ליתן לה ליפתן ושמן ושאר דברים ע"ש</w:t>
      </w:r>
      <w:r>
        <w:rPr>
          <w:rFonts w:cs="Arial" w:hint="cs"/>
          <w:rtl/>
        </w:rPr>
        <w:t>, ח"מ (סק"ג).</w:t>
      </w:r>
    </w:p>
  </w:footnote>
  <w:footnote w:id="1079">
    <w:p w14:paraId="054BCAE5" w14:textId="77777777" w:rsidR="00DF1FC7" w:rsidRDefault="00DF1FC7" w:rsidP="002E5BAD">
      <w:pPr>
        <w:pStyle w:val="a5"/>
        <w:rPr>
          <w:rtl/>
        </w:rPr>
      </w:pPr>
      <w:r>
        <w:rPr>
          <w:rStyle w:val="a7"/>
        </w:rPr>
        <w:footnoteRef/>
      </w:r>
      <w:r>
        <w:rPr>
          <w:rtl/>
        </w:rPr>
        <w:t xml:space="preserve"> </w:t>
      </w:r>
      <w:r w:rsidRPr="00571D74">
        <w:rPr>
          <w:rFonts w:cs="Arial"/>
          <w:rtl/>
        </w:rPr>
        <w:t>ע' בר"ן שתמה על הרי"ף למה השמיט הא דאמרו בגמ' רגילה לשתות ב' כוסות בפני בעלה פוסקין לה שלא בפני בעלה כוס אחד ואם רגילה בפני בעלה בכוס א' אז שלא בפני בעלה אין נותנין לה כל עיקר כי היין מרגיל לתאוה וע"כ כ' הרמב"ם נותנין לה מעט יין ומזה משמע קצת דגם הרמב"ם מיירי באשה האוכלת בפני עצמה</w:t>
      </w:r>
      <w:r>
        <w:rPr>
          <w:rFonts w:hint="cs"/>
          <w:rtl/>
        </w:rPr>
        <w:t>, ח"מ (סק"ד). והב"ש (סק"ב) כתב ד</w:t>
      </w:r>
      <w:r w:rsidRPr="00FE1684">
        <w:rPr>
          <w:rFonts w:cs="Arial"/>
          <w:rtl/>
        </w:rPr>
        <w:t>כאן אינו מחלק אם בני משפחתה רגילים בהם לבין אם אין רגילים בהם משום בסעיף א' איירי ביש לו אז יש לחלק כהנ"ל אבל כאן איירי כשהוא עני אין מחלקים בזה ומ"מ חייב ליתן לה לחם ב' סעודו' וכו' דין זה נלמד ממתני' המשר' את אשתו ע"י שליש נשמע דאיירי כשאינה אוכל' עמו ואפשר אם היא אוכל' עמו מתגלגל' עמו אף בפחות משיעור זה ובלבד שיתן לה לחם וכן משמע בסמוך דאיירי דהיא אינה אוכלת עמו דהא כ' דנותן לה מעט יין לשתו' והיינו כשהוא אינו עמה וכן משמע מהרא"ש</w:t>
      </w:r>
      <w:r>
        <w:rPr>
          <w:rFonts w:hint="cs"/>
          <w:rtl/>
        </w:rPr>
        <w:t>.</w:t>
      </w:r>
    </w:p>
  </w:footnote>
  <w:footnote w:id="1080">
    <w:p w14:paraId="47B36A6A" w14:textId="77777777" w:rsidR="00DF1FC7" w:rsidRDefault="00DF1FC7" w:rsidP="002E5BAD">
      <w:pPr>
        <w:pStyle w:val="a5"/>
        <w:rPr>
          <w:rtl/>
        </w:rPr>
      </w:pPr>
      <w:r>
        <w:rPr>
          <w:rStyle w:val="a7"/>
        </w:rPr>
        <w:footnoteRef/>
      </w:r>
      <w:r>
        <w:rPr>
          <w:rtl/>
        </w:rPr>
        <w:t xml:space="preserve"> </w:t>
      </w:r>
      <w:r w:rsidRPr="00571D74">
        <w:rPr>
          <w:rFonts w:cs="Arial"/>
          <w:rtl/>
        </w:rPr>
        <w:t>כלומר נותנין לה מעט יין בכל מקום שהיין יפה לחלב אבל יותר מכוס אחד אין נותנין דהא אמרינן בכתובות (דס"ה ע"א) ששני כוסות הם ניוול לאשה</w:t>
      </w:r>
      <w:r>
        <w:rPr>
          <w:rFonts w:hint="cs"/>
          <w:rtl/>
        </w:rPr>
        <w:t xml:space="preserve">, ח"מ (סק"ה). והב"ש (סק"ד) כתב </w:t>
      </w:r>
      <w:r>
        <w:rPr>
          <w:rFonts w:cs="Arial" w:hint="cs"/>
          <w:rtl/>
        </w:rPr>
        <w:t>ד</w:t>
      </w:r>
      <w:r w:rsidRPr="00FE1684">
        <w:rPr>
          <w:rFonts w:cs="Arial"/>
          <w:rtl/>
        </w:rPr>
        <w:t>היינו כדאוקימת' דשמואל דאמר אם רגילה ביין הרבה מ"מ כשהוא אינו עמה נותנים לה מעט יין ואם היא רגילה בפני בעלה לשתו' מעט יין אין נותנים לה כלל כשהוא אינו עמה מיהו הרי"ף והרא"ש והטור יש להם שיטה אחר' בזה וס"ל רגילה נותנים לה אפילו שלא בפני בעלה כל מה שרגילה</w:t>
      </w:r>
      <w:r>
        <w:rPr>
          <w:rFonts w:hint="cs"/>
          <w:rtl/>
        </w:rPr>
        <w:t>.</w:t>
      </w:r>
      <w:r w:rsidRPr="00FE1684">
        <w:rPr>
          <w:rtl/>
        </w:rPr>
        <w:t xml:space="preserve"> </w:t>
      </w:r>
      <w:r>
        <w:rPr>
          <w:rFonts w:cs="Arial" w:hint="cs"/>
          <w:rtl/>
        </w:rPr>
        <w:t xml:space="preserve">(ובסק"ה כתב) </w:t>
      </w:r>
      <w:r w:rsidRPr="00FE1684">
        <w:rPr>
          <w:rFonts w:cs="Arial"/>
          <w:rtl/>
        </w:rPr>
        <w:t>בש"ס ס"פ אף על פי אית' מניקה מוסיפים לה יין וקאי על מתני' דלא תנא דנותנין לה יין וצ"ל מתני' איירי ברגילה בפני בעלה מעט אז אין נותנים לה יין כלל שלא בפני בעלה ומ"מ אם היא מניקה לא חיישי' לתאו' תשמיש כיון דצריכה ליין ובח"מ כ' דאין נותנים לה יותר מכוס א' דהא אמרי' בש"ס שני כוסו' ניול לאשה ולמ"ש אין ראיה משם דשם איירי בשאר אשה ומניקה שאני כיון דצריכה ליין אין חוששים לתאו' זנות</w:t>
      </w:r>
      <w:r>
        <w:rPr>
          <w:rFonts w:hint="cs"/>
          <w:rtl/>
        </w:rPr>
        <w:t>.</w:t>
      </w:r>
    </w:p>
  </w:footnote>
  <w:footnote w:id="1081">
    <w:p w14:paraId="49063954" w14:textId="77777777" w:rsidR="00DF1FC7" w:rsidRDefault="00DF1FC7" w:rsidP="002E5BAD">
      <w:pPr>
        <w:pStyle w:val="a5"/>
      </w:pPr>
      <w:r>
        <w:rPr>
          <w:rStyle w:val="a7"/>
        </w:rPr>
        <w:footnoteRef/>
      </w:r>
      <w:r>
        <w:rPr>
          <w:rtl/>
        </w:rPr>
        <w:t xml:space="preserve"> </w:t>
      </w:r>
      <w:r w:rsidRPr="00870831">
        <w:rPr>
          <w:rFonts w:cs="Arial"/>
          <w:rtl/>
        </w:rPr>
        <w:t>משמע אבל אם יכול ליתן לה לחם אף שאין יכול ליתן לה ליפתן ושמן ושאר דברים מ"מ אין כופין להוציא בשבילם</w:t>
      </w:r>
      <w:r>
        <w:rPr>
          <w:rFonts w:cs="Arial" w:hint="cs"/>
          <w:rtl/>
        </w:rPr>
        <w:t>, ח"מ (סק"ט).</w:t>
      </w:r>
      <w:r>
        <w:rPr>
          <w:rFonts w:hint="cs"/>
          <w:rtl/>
        </w:rPr>
        <w:t xml:space="preserve"> וכ"כ ב"ש (סק"ז).</w:t>
      </w:r>
    </w:p>
  </w:footnote>
  <w:footnote w:id="1082">
    <w:p w14:paraId="0ED216AC" w14:textId="77777777" w:rsidR="00DF1FC7" w:rsidRDefault="00DF1FC7" w:rsidP="002E5BAD">
      <w:pPr>
        <w:pStyle w:val="a5"/>
      </w:pPr>
      <w:r>
        <w:rPr>
          <w:rStyle w:val="a7"/>
        </w:rPr>
        <w:footnoteRef/>
      </w:r>
      <w:r>
        <w:rPr>
          <w:rtl/>
        </w:rPr>
        <w:t xml:space="preserve"> </w:t>
      </w:r>
      <w:r w:rsidRPr="00870831">
        <w:rPr>
          <w:rFonts w:cs="Arial"/>
          <w:rtl/>
        </w:rPr>
        <w:t>והא דאמרינן בגמרא האומר איני זן ואיני מפרנס יוציא דמשמע דמיירי ביש לו ולא נקט רבותא דאפי' אין לו יוציא י"ל דנקט יש לו לאפוקי מדשמואל דס"ל ביש לו דכופין לזון ולא להוציא</w:t>
      </w:r>
      <w:r>
        <w:rPr>
          <w:rFonts w:cs="Arial" w:hint="cs"/>
          <w:rtl/>
        </w:rPr>
        <w:t xml:space="preserve">, ח"מ (סק"י). </w:t>
      </w:r>
    </w:p>
  </w:footnote>
  <w:footnote w:id="1083">
    <w:p w14:paraId="2CBC7F14" w14:textId="77777777" w:rsidR="00DF1FC7" w:rsidRDefault="00DF1FC7" w:rsidP="002E5BAD">
      <w:pPr>
        <w:pStyle w:val="a5"/>
      </w:pPr>
      <w:r>
        <w:rPr>
          <w:rStyle w:val="a7"/>
        </w:rPr>
        <w:footnoteRef/>
      </w:r>
      <w:r>
        <w:rPr>
          <w:rtl/>
        </w:rPr>
        <w:t xml:space="preserve"> </w:t>
      </w:r>
      <w:r w:rsidRPr="00870831">
        <w:rPr>
          <w:rFonts w:cs="Arial"/>
          <w:rtl/>
        </w:rPr>
        <w:t>נראה דמאחר דמספר כתובה נלמד שכ' ואנא אפלח ואוקיר א"כ אף שיש לו ליתן לה מזונות בצמצום חייב להשכיר עצמו ליתן לה מזונות לפי כבודה דהא כתב אנא אפלח ואוקיר</w:t>
      </w:r>
      <w:r>
        <w:rPr>
          <w:rFonts w:cs="Arial" w:hint="cs"/>
          <w:rtl/>
        </w:rPr>
        <w:t>, ח"מ (סקי"ב).</w:t>
      </w:r>
      <w:r>
        <w:rPr>
          <w:rFonts w:hint="cs"/>
          <w:rtl/>
        </w:rPr>
        <w:t xml:space="preserve"> וכ"כ ב"ש (סק"ח).</w:t>
      </w:r>
    </w:p>
  </w:footnote>
  <w:footnote w:id="1084">
    <w:p w14:paraId="5663FDC1" w14:textId="77777777" w:rsidR="00DF1FC7" w:rsidRDefault="00DF1FC7" w:rsidP="002E5BAD">
      <w:pPr>
        <w:pStyle w:val="a5"/>
      </w:pPr>
      <w:r>
        <w:rPr>
          <w:rStyle w:val="a7"/>
        </w:rPr>
        <w:footnoteRef/>
      </w:r>
      <w:r>
        <w:rPr>
          <w:rtl/>
        </w:rPr>
        <w:t xml:space="preserve"> </w:t>
      </w:r>
      <w:r w:rsidRPr="00870831">
        <w:rPr>
          <w:rFonts w:cs="Arial"/>
          <w:rtl/>
        </w:rPr>
        <w:t>אין הלשון מדוקדק דאין הברירה ביד האשה וזה לשון הרשב"א אם יספיקו הפירות לשניהם תזון אשתו עמו מן הפירות ואם לא יספיקו צריכין ב"ד לכוף הבעל למכור למזון או יגבה לה ב"ד מזונות מאותן קרקעות אף על פי שאין מספיקין לכדי כתובה</w:t>
      </w:r>
      <w:r>
        <w:rPr>
          <w:rFonts w:cs="Arial" w:hint="cs"/>
          <w:rtl/>
        </w:rPr>
        <w:t>, ח"מ (סקי"ג).</w:t>
      </w:r>
    </w:p>
  </w:footnote>
  <w:footnote w:id="1085">
    <w:p w14:paraId="550AA6A2" w14:textId="77777777" w:rsidR="00DF1FC7" w:rsidRDefault="00DF1FC7" w:rsidP="002E5BAD">
      <w:pPr>
        <w:pStyle w:val="a5"/>
        <w:rPr>
          <w:rtl/>
        </w:rPr>
      </w:pPr>
      <w:r>
        <w:rPr>
          <w:rStyle w:val="a7"/>
        </w:rPr>
        <w:footnoteRef/>
      </w:r>
      <w:r>
        <w:rPr>
          <w:rtl/>
        </w:rPr>
        <w:t xml:space="preserve"> </w:t>
      </w:r>
      <w:r w:rsidRPr="008121F7">
        <w:rPr>
          <w:rFonts w:cs="Arial"/>
          <w:rtl/>
        </w:rPr>
        <w:t>ועיין בהגהות יד אפרים שכ' ע"ז דמלשון תשובת הרשב"א שהביא בד"מ מבואר דאף באומר הרי גיטה וכתובת</w:t>
      </w:r>
      <w:r>
        <w:rPr>
          <w:rFonts w:cs="Arial" w:hint="cs"/>
          <w:rtl/>
        </w:rPr>
        <w:t>ה</w:t>
      </w:r>
      <w:r w:rsidRPr="008121F7">
        <w:rPr>
          <w:rFonts w:cs="Arial"/>
          <w:rtl/>
        </w:rPr>
        <w:t xml:space="preserve"> לא מהני כיון שאינו יכול לגרשה ע"ש. ועיין בתשו' חוט השני סי' ל"ב שכ' על נדון דידי' וז"ל ואין לפטור אותו מטעם שנשטית שכ' הרמב"ם פ"י מה"א שאין חייב לה בשכ"ו כבר נפסקה ההלכה מפי גדול האחרונים כהראב"ד שהשיג עליו וכן דעת הרשב"א בתשו' שחייב לה בכל. ועוד אפשר שבזה גם הר"מ מודה כי שגעון כזה הבא מחמת חולי ועודנה בחליה מוחזקים הם להתרפאות ואין אחד מני אלף אשר לא יכול להרפא והר"מ לא פליג אלא היכא שהיא בריאה ומשתגעת שהשגעון ההוא ברוב פעמים הוא נצחי ואינו מוחזק להתרפאות עכ"ל</w:t>
      </w:r>
      <w:r>
        <w:rPr>
          <w:rFonts w:hint="cs"/>
          <w:rtl/>
        </w:rPr>
        <w:t>, פת"ש (סק"ז).</w:t>
      </w:r>
    </w:p>
  </w:footnote>
  <w:footnote w:id="1086">
    <w:p w14:paraId="14A786AC" w14:textId="77777777" w:rsidR="00DF1FC7" w:rsidRDefault="00DF1FC7" w:rsidP="002E5BAD">
      <w:pPr>
        <w:pStyle w:val="a5"/>
      </w:pPr>
      <w:r>
        <w:rPr>
          <w:rStyle w:val="a7"/>
        </w:rPr>
        <w:footnoteRef/>
      </w:r>
      <w:r>
        <w:rPr>
          <w:rtl/>
        </w:rPr>
        <w:t xml:space="preserve"> </w:t>
      </w:r>
      <w:r w:rsidRPr="005D2022">
        <w:rPr>
          <w:rFonts w:cs="Arial"/>
          <w:rtl/>
        </w:rPr>
        <w:t>אבל אם היתה שוטה בשעת הנישואין לא תקנו חז"ל נשואין לשוטה</w:t>
      </w:r>
      <w:r>
        <w:rPr>
          <w:rFonts w:cs="Arial" w:hint="cs"/>
          <w:rtl/>
        </w:rPr>
        <w:t>...</w:t>
      </w:r>
      <w:r w:rsidRPr="005D2022">
        <w:rPr>
          <w:rFonts w:cs="Arial"/>
          <w:rtl/>
        </w:rPr>
        <w:t xml:space="preserve"> ואם היה שוטה בשעת הנישואין וכתב לה כתובה נראה דחייב לה כל תנאי כתובה ועיין סי' ס"ו</w:t>
      </w:r>
      <w:r>
        <w:rPr>
          <w:rFonts w:cs="Arial" w:hint="cs"/>
          <w:rtl/>
        </w:rPr>
        <w:t>, ב"ש (סק"ט).</w:t>
      </w:r>
      <w:r w:rsidRPr="008121F7">
        <w:rPr>
          <w:rtl/>
        </w:rPr>
        <w:t xml:space="preserve"> </w:t>
      </w:r>
      <w:r w:rsidRPr="008121F7">
        <w:rPr>
          <w:rFonts w:cs="Arial"/>
          <w:rtl/>
        </w:rPr>
        <w:t>ובס' ב"מ כתב עליו אינו יודע מהיכן נראה לו כן שיתחייב במה שלא כ' לה כו' ע"ש</w:t>
      </w:r>
      <w:r>
        <w:rPr>
          <w:rFonts w:cs="Arial" w:hint="cs"/>
          <w:rtl/>
        </w:rPr>
        <w:t>, פת"ש (סק"ו).</w:t>
      </w:r>
    </w:p>
  </w:footnote>
  <w:footnote w:id="1087">
    <w:p w14:paraId="79E62496" w14:textId="77777777" w:rsidR="00DF1FC7" w:rsidRDefault="00DF1FC7" w:rsidP="002E5BAD">
      <w:pPr>
        <w:pStyle w:val="a5"/>
      </w:pPr>
      <w:r>
        <w:rPr>
          <w:rStyle w:val="a7"/>
        </w:rPr>
        <w:footnoteRef/>
      </w:r>
      <w:r>
        <w:rPr>
          <w:rtl/>
        </w:rPr>
        <w:t xml:space="preserve"> </w:t>
      </w:r>
      <w:r>
        <w:rPr>
          <w:rFonts w:cs="Arial"/>
          <w:rtl/>
        </w:rPr>
        <w:t>כלומר כשישמעו שמת ותבוא לגבות כתובתה תשבע שלא עיכבה משל בעלה כלום ולא תשבע בתחלה בשעת גיבוי מזונות</w:t>
      </w:r>
      <w:r>
        <w:rPr>
          <w:rFonts w:cs="Arial" w:hint="cs"/>
          <w:rtl/>
        </w:rPr>
        <w:t>, ב"י.</w:t>
      </w:r>
    </w:p>
  </w:footnote>
  <w:footnote w:id="1088">
    <w:p w14:paraId="0D167FDD" w14:textId="77777777" w:rsidR="00DF1FC7" w:rsidRDefault="00DF1FC7" w:rsidP="002E5BAD">
      <w:pPr>
        <w:pStyle w:val="a5"/>
      </w:pPr>
      <w:r>
        <w:rPr>
          <w:rStyle w:val="a7"/>
        </w:rPr>
        <w:footnoteRef/>
      </w:r>
      <w:r>
        <w:rPr>
          <w:rtl/>
        </w:rPr>
        <w:t xml:space="preserve"> </w:t>
      </w:r>
      <w:r>
        <w:rPr>
          <w:rFonts w:hint="cs"/>
          <w:rtl/>
        </w:rPr>
        <w:t xml:space="preserve">משמע דרב סבר דפוסקים לה לאחר ג' אפילו לא שמעו מת. וכ"כ הטור. </w:t>
      </w:r>
      <w:r>
        <w:rPr>
          <w:rFonts w:hint="cs"/>
          <w:color w:val="E36C0A" w:themeColor="accent6" w:themeShade="BF"/>
          <w:rtl/>
        </w:rPr>
        <w:t>(</w:t>
      </w:r>
      <w:r w:rsidRPr="004A6085">
        <w:rPr>
          <w:rFonts w:hint="cs"/>
          <w:color w:val="E36C0A" w:themeColor="accent6" w:themeShade="BF"/>
          <w:rtl/>
        </w:rPr>
        <w:t>וכ"פ בשו"ע)</w:t>
      </w:r>
    </w:p>
  </w:footnote>
  <w:footnote w:id="1089">
    <w:p w14:paraId="3333EE05" w14:textId="77777777" w:rsidR="00DF1FC7" w:rsidRDefault="00DF1FC7" w:rsidP="002E5BAD">
      <w:pPr>
        <w:pStyle w:val="a5"/>
      </w:pPr>
      <w:r>
        <w:rPr>
          <w:rStyle w:val="a7"/>
        </w:rPr>
        <w:footnoteRef/>
      </w:r>
      <w:r>
        <w:rPr>
          <w:rtl/>
        </w:rPr>
        <w:t xml:space="preserve"> </w:t>
      </w:r>
      <w:r>
        <w:rPr>
          <w:rFonts w:cs="Arial"/>
          <w:rtl/>
        </w:rPr>
        <w:t>בשמים של אבקת רוכל שהנשים מתקשטות</w:t>
      </w:r>
      <w:r>
        <w:rPr>
          <w:rFonts w:cs="Arial" w:hint="cs"/>
          <w:rtl/>
        </w:rPr>
        <w:t>, רש"י.</w:t>
      </w:r>
      <w:r w:rsidRPr="00B7794F">
        <w:rPr>
          <w:rFonts w:cs="Arial"/>
          <w:rtl/>
        </w:rPr>
        <w:t xml:space="preserve"> </w:t>
      </w:r>
      <w:r>
        <w:rPr>
          <w:rFonts w:cs="Arial"/>
          <w:rtl/>
        </w:rPr>
        <w:t>ופסק הרמב"ם בפי"ג מהלכות אישות (ה"ז) כמ"ד דאין פוסקין לה תכשיט</w:t>
      </w:r>
      <w:r>
        <w:rPr>
          <w:rFonts w:hint="cs"/>
          <w:rtl/>
        </w:rPr>
        <w:t>.</w:t>
      </w:r>
    </w:p>
  </w:footnote>
  <w:footnote w:id="1090">
    <w:p w14:paraId="6A3EFA26" w14:textId="77777777" w:rsidR="00DF1FC7" w:rsidRDefault="00DF1FC7" w:rsidP="002E5BAD">
      <w:pPr>
        <w:pStyle w:val="a5"/>
        <w:rPr>
          <w:rtl/>
        </w:rPr>
      </w:pPr>
      <w:r>
        <w:rPr>
          <w:rStyle w:val="a7"/>
        </w:rPr>
        <w:footnoteRef/>
      </w:r>
      <w:r>
        <w:rPr>
          <w:rtl/>
        </w:rPr>
        <w:t xml:space="preserve"> </w:t>
      </w:r>
      <w:r w:rsidRPr="00B3180C">
        <w:rPr>
          <w:rFonts w:cs="Arial"/>
          <w:rtl/>
        </w:rPr>
        <w:t>וכן אמר א"א הרא"ש ז"ל</w:t>
      </w:r>
      <w:r>
        <w:rPr>
          <w:rFonts w:hint="cs"/>
          <w:rtl/>
        </w:rPr>
        <w:t>, טור.</w:t>
      </w:r>
      <w:r w:rsidRPr="00B7794F">
        <w:rPr>
          <w:rFonts w:cs="Arial"/>
          <w:rtl/>
        </w:rPr>
        <w:t xml:space="preserve"> </w:t>
      </w:r>
      <w:r>
        <w:rPr>
          <w:rFonts w:cs="Arial" w:hint="cs"/>
          <w:rtl/>
        </w:rPr>
        <w:t xml:space="preserve">וכתב הב"י על דברי הטור- </w:t>
      </w:r>
      <w:r w:rsidRPr="00B7794F">
        <w:rPr>
          <w:rFonts w:cs="Arial"/>
          <w:rtl/>
        </w:rPr>
        <w:t>תמהני עליו</w:t>
      </w:r>
      <w:r>
        <w:rPr>
          <w:rFonts w:cs="Arial" w:hint="cs"/>
          <w:rtl/>
        </w:rPr>
        <w:t>,</w:t>
      </w:r>
      <w:r w:rsidRPr="00B7794F">
        <w:rPr>
          <w:rFonts w:cs="Arial"/>
          <w:rtl/>
        </w:rPr>
        <w:t xml:space="preserve"> שהרי הרא"ש בפרק שני דייני גזילות (סי' ו) תמה על דברי הרמב"ם</w:t>
      </w:r>
      <w:r>
        <w:rPr>
          <w:rFonts w:cs="Arial" w:hint="cs"/>
          <w:rtl/>
        </w:rPr>
        <w:t>.</w:t>
      </w:r>
      <w:r w:rsidRPr="00B7794F">
        <w:rPr>
          <w:rFonts w:cs="Arial"/>
          <w:rtl/>
        </w:rPr>
        <w:t xml:space="preserve"> ונראה שרבינו סובר שלא תמה על דבריו אלא מפני שכתב שמי שהלך למדינת הים אשתו נזונת בלא שטר כתובה ואלמנה אינה נזונת אא</w:t>
      </w:r>
      <w:r>
        <w:rPr>
          <w:rFonts w:cs="Arial" w:hint="cs"/>
          <w:rtl/>
        </w:rPr>
        <w:t>"</w:t>
      </w:r>
      <w:r w:rsidRPr="00B7794F">
        <w:rPr>
          <w:rFonts w:cs="Arial"/>
          <w:rtl/>
        </w:rPr>
        <w:t>כ שטר כתובתה בידה</w:t>
      </w:r>
      <w:r>
        <w:rPr>
          <w:rFonts w:cs="Arial" w:hint="cs"/>
          <w:rtl/>
        </w:rPr>
        <w:t>,</w:t>
      </w:r>
      <w:r w:rsidRPr="00B7794F">
        <w:rPr>
          <w:rFonts w:cs="Arial"/>
          <w:rtl/>
        </w:rPr>
        <w:t xml:space="preserve"> והרא"ש תמה עליו משום דיותר יש להחמיר על אשה שהלך בעלה למדינת הים מבאלמנה</w:t>
      </w:r>
      <w:r>
        <w:rPr>
          <w:rFonts w:cs="Arial" w:hint="cs"/>
          <w:rtl/>
        </w:rPr>
        <w:t>.</w:t>
      </w:r>
      <w:r w:rsidRPr="00B7794F">
        <w:rPr>
          <w:rFonts w:cs="Arial"/>
          <w:rtl/>
        </w:rPr>
        <w:t xml:space="preserve"> ומכל מקום כיון שהעלה</w:t>
      </w:r>
      <w:r>
        <w:rPr>
          <w:rFonts w:cs="Arial" w:hint="cs"/>
          <w:sz w:val="16"/>
          <w:szCs w:val="16"/>
          <w:rtl/>
        </w:rPr>
        <w:t xml:space="preserve"> {הרא"ש}</w:t>
      </w:r>
      <w:r w:rsidRPr="00B7794F">
        <w:rPr>
          <w:rFonts w:cs="Arial"/>
          <w:rtl/>
        </w:rPr>
        <w:t xml:space="preserve"> דאלמנה נזונת אפילו אין שטר כתובה בידה איכא למימר דסבר דהוא הדין למי שהלך בעלה למדינת הים</w:t>
      </w:r>
      <w:r>
        <w:rPr>
          <w:rFonts w:cs="Arial" w:hint="cs"/>
          <w:rtl/>
        </w:rPr>
        <w:t>.</w:t>
      </w:r>
      <w:r w:rsidRPr="00B7794F">
        <w:rPr>
          <w:rFonts w:cs="Arial"/>
          <w:rtl/>
        </w:rPr>
        <w:t xml:space="preserve"> ולפי שאין דבר ברור בדברי הרא"ש שכתב שם</w:t>
      </w:r>
      <w:r>
        <w:rPr>
          <w:rFonts w:cs="Arial" w:hint="cs"/>
          <w:rtl/>
        </w:rPr>
        <w:t>,</w:t>
      </w:r>
      <w:r w:rsidRPr="00B7794F">
        <w:rPr>
          <w:rFonts w:cs="Arial"/>
          <w:rtl/>
        </w:rPr>
        <w:t xml:space="preserve"> איפשר שמפני כך לא כתב רבינו </w:t>
      </w:r>
      <w:r>
        <w:rPr>
          <w:rFonts w:cs="Arial" w:hint="cs"/>
          <w:rtl/>
        </w:rPr>
        <w:t>'</w:t>
      </w:r>
      <w:r w:rsidRPr="00B7794F">
        <w:rPr>
          <w:rFonts w:cs="Arial"/>
          <w:rtl/>
        </w:rPr>
        <w:t>וכן כתב הרא"ש</w:t>
      </w:r>
      <w:r>
        <w:rPr>
          <w:rFonts w:cs="Arial" w:hint="cs"/>
          <w:rtl/>
        </w:rPr>
        <w:t>'</w:t>
      </w:r>
      <w:r w:rsidRPr="00B7794F">
        <w:rPr>
          <w:rFonts w:cs="Arial"/>
          <w:rtl/>
        </w:rPr>
        <w:t xml:space="preserve"> אלא </w:t>
      </w:r>
      <w:r>
        <w:rPr>
          <w:rFonts w:cs="Arial" w:hint="cs"/>
          <w:rtl/>
        </w:rPr>
        <w:t>'</w:t>
      </w:r>
      <w:r w:rsidRPr="00B7794F">
        <w:rPr>
          <w:rFonts w:cs="Arial"/>
          <w:rtl/>
        </w:rPr>
        <w:t>וכן אמר הרא"ש</w:t>
      </w:r>
      <w:r>
        <w:rPr>
          <w:rFonts w:cs="Arial" w:hint="cs"/>
          <w:rtl/>
        </w:rPr>
        <w:t>',</w:t>
      </w:r>
      <w:r w:rsidRPr="00B7794F">
        <w:rPr>
          <w:rFonts w:cs="Arial"/>
          <w:rtl/>
        </w:rPr>
        <w:t xml:space="preserve"> כלומר אף על פי שלא כתב כן בפירוש מכל מקום כך אמר לנו בע"פ שזה היה דעתו</w:t>
      </w:r>
      <w:r>
        <w:rPr>
          <w:rFonts w:cs="Arial" w:hint="cs"/>
          <w:rtl/>
        </w:rPr>
        <w:t>.</w:t>
      </w:r>
    </w:p>
  </w:footnote>
  <w:footnote w:id="1091">
    <w:p w14:paraId="0D0F76D3" w14:textId="77777777" w:rsidR="00DF1FC7" w:rsidRDefault="00DF1FC7" w:rsidP="002E5BAD">
      <w:pPr>
        <w:pStyle w:val="a5"/>
      </w:pPr>
      <w:r>
        <w:rPr>
          <w:rStyle w:val="a7"/>
        </w:rPr>
        <w:footnoteRef/>
      </w:r>
      <w:r>
        <w:rPr>
          <w:rtl/>
        </w:rPr>
        <w:t xml:space="preserve"> </w:t>
      </w:r>
      <w:r>
        <w:rPr>
          <w:rFonts w:cs="Arial"/>
          <w:rtl/>
        </w:rPr>
        <w:t>וכתב הרב המגיד כן נראה מן הסוגיא שבפרק שני דייני גזילות (קז.) דלרב אפילו בדספקי מעשה ידיה פוסקין לה מזונות</w:t>
      </w:r>
      <w:r>
        <w:rPr>
          <w:rFonts w:cs="Arial" w:hint="cs"/>
          <w:rtl/>
        </w:rPr>
        <w:t>.</w:t>
      </w:r>
      <w:r>
        <w:rPr>
          <w:rFonts w:cs="Arial"/>
          <w:rtl/>
        </w:rPr>
        <w:t xml:space="preserve"> וגם הר"ן כתב כן בשם</w:t>
      </w:r>
      <w:r>
        <w:rPr>
          <w:rFonts w:cs="Arial" w:hint="cs"/>
          <w:rtl/>
        </w:rPr>
        <w:t xml:space="preserve"> הרמב"ן והרשב"א</w:t>
      </w:r>
      <w:r>
        <w:rPr>
          <w:rFonts w:cs="Arial"/>
          <w:rtl/>
        </w:rPr>
        <w:t xml:space="preserve"> בפרק הנזכר (סב: ד"ה גמ') וכתב עוד (שם ד"ה והוי) שכן נמצא להרי"ף בתשובה והוא ז"ל תמה על דבריהם וכתב אף על פי שדעת אבות העולם כך דברי תימה הם שכיון שהיא חייבת במעשה ידיה לבעל למה לא יחשבו ב"ד עליו כשיחשבו לה מזונות והראיה שהביאו מדאמרינן א"נ קטנה וספקא אינה מכרעת כלל וכו' וכך נ"ל מדברי רש"י וכו' ובסוף דבריו כתב אף על פי שהדברים מראים כן אין לנו כח לחלוק על אבות העולם עכ"</w:t>
      </w:r>
      <w:r>
        <w:rPr>
          <w:rFonts w:cs="Arial" w:hint="cs"/>
          <w:rtl/>
        </w:rPr>
        <w:t>ל, ב"י.</w:t>
      </w:r>
    </w:p>
  </w:footnote>
  <w:footnote w:id="1092">
    <w:p w14:paraId="254E2929" w14:textId="77777777" w:rsidR="00DF1FC7" w:rsidRDefault="00DF1FC7" w:rsidP="002E5BAD">
      <w:pPr>
        <w:pStyle w:val="a5"/>
        <w:rPr>
          <w:rtl/>
        </w:rPr>
      </w:pPr>
      <w:r>
        <w:rPr>
          <w:rStyle w:val="a7"/>
        </w:rPr>
        <w:footnoteRef/>
      </w:r>
      <w:r>
        <w:rPr>
          <w:rtl/>
        </w:rPr>
        <w:t xml:space="preserve"> </w:t>
      </w:r>
      <w:r>
        <w:rPr>
          <w:rFonts w:cs="Arial"/>
          <w:rtl/>
        </w:rPr>
        <w:t>דעת רבינו שמזונות אלו שוים למזונות האלמנה וכשם שהאלמנה מוכרת למזונותיה שלא בב"ד ואפילו בלא טענת חינא כדאיתא בפרק אלמנה נזונת (צז:) כך זו מוכרת שלא בב"ד</w:t>
      </w:r>
      <w:r>
        <w:rPr>
          <w:rFonts w:cs="Arial" w:hint="cs"/>
          <w:rtl/>
        </w:rPr>
        <w:t>.</w:t>
      </w:r>
      <w:r>
        <w:rPr>
          <w:rFonts w:cs="Arial"/>
          <w:rtl/>
        </w:rPr>
        <w:t xml:space="preserve"> וכן משמע בסוגיא דלא שמעו בו שמת הוא לרב כמו שמעו בו שמת לשמואל</w:t>
      </w:r>
      <w:r>
        <w:rPr>
          <w:rFonts w:cs="Arial" w:hint="cs"/>
          <w:rtl/>
        </w:rPr>
        <w:t>,</w:t>
      </w:r>
      <w:r>
        <w:rPr>
          <w:rFonts w:cs="Arial"/>
          <w:rtl/>
        </w:rPr>
        <w:t xml:space="preserve"> ולא ראיתי מי שיחלוק בזה</w:t>
      </w:r>
      <w:r>
        <w:rPr>
          <w:rFonts w:hint="cs"/>
          <w:rtl/>
        </w:rPr>
        <w:t>, הה"מ (שם).</w:t>
      </w:r>
    </w:p>
  </w:footnote>
  <w:footnote w:id="1093">
    <w:p w14:paraId="428DDFB0" w14:textId="77777777" w:rsidR="00DF1FC7" w:rsidRDefault="00DF1FC7" w:rsidP="002E5BAD">
      <w:pPr>
        <w:pStyle w:val="a5"/>
      </w:pPr>
      <w:r>
        <w:rPr>
          <w:rStyle w:val="a7"/>
        </w:rPr>
        <w:footnoteRef/>
      </w:r>
      <w:r>
        <w:rPr>
          <w:rtl/>
        </w:rPr>
        <w:t xml:space="preserve"> </w:t>
      </w:r>
      <w:r>
        <w:rPr>
          <w:rFonts w:cs="Arial" w:hint="cs"/>
          <w:rtl/>
        </w:rPr>
        <w:t>ו</w:t>
      </w:r>
      <w:r w:rsidRPr="00CA604D">
        <w:rPr>
          <w:rFonts w:cs="Arial"/>
          <w:rtl/>
        </w:rPr>
        <w:t>עיין בהר"ן ריש דייני גזירות (סד: ד"ה גמ') שהאריך בדינים אלו</w:t>
      </w:r>
      <w:r>
        <w:rPr>
          <w:rFonts w:cs="Arial" w:hint="cs"/>
          <w:rtl/>
        </w:rPr>
        <w:t>..., דרכ"מ (אות ו).</w:t>
      </w:r>
    </w:p>
  </w:footnote>
  <w:footnote w:id="1094">
    <w:p w14:paraId="57CB3BF4" w14:textId="77777777" w:rsidR="00DF1FC7" w:rsidRDefault="00DF1FC7" w:rsidP="002E5BAD">
      <w:pPr>
        <w:pStyle w:val="a5"/>
        <w:rPr>
          <w:rtl/>
        </w:rPr>
      </w:pPr>
      <w:r>
        <w:rPr>
          <w:rStyle w:val="a7"/>
        </w:rPr>
        <w:footnoteRef/>
      </w:r>
      <w:r>
        <w:rPr>
          <w:rtl/>
        </w:rPr>
        <w:t xml:space="preserve"> </w:t>
      </w:r>
      <w:r>
        <w:rPr>
          <w:rFonts w:hint="cs"/>
          <w:rtl/>
        </w:rPr>
        <w:t xml:space="preserve">הביאו הדרכ"מ (אות ד), ומשמע מדבריו שחולק על הריטב"א. וצל"ע למה הכריח בדבריו כן. </w:t>
      </w:r>
    </w:p>
  </w:footnote>
  <w:footnote w:id="1095">
    <w:p w14:paraId="2AC7D164" w14:textId="77777777" w:rsidR="00DF1FC7" w:rsidRDefault="00DF1FC7" w:rsidP="002E5BAD">
      <w:pPr>
        <w:pStyle w:val="a5"/>
        <w:rPr>
          <w:rtl/>
        </w:rPr>
      </w:pPr>
      <w:r>
        <w:rPr>
          <w:rStyle w:val="a7"/>
        </w:rPr>
        <w:footnoteRef/>
      </w:r>
      <w:r>
        <w:rPr>
          <w:rtl/>
        </w:rPr>
        <w:t xml:space="preserve"> </w:t>
      </w:r>
      <w:r w:rsidRPr="00225601">
        <w:rPr>
          <w:rFonts w:cs="Arial"/>
          <w:rtl/>
        </w:rPr>
        <w:t>מזונות</w:t>
      </w:r>
      <w:r>
        <w:rPr>
          <w:rFonts w:hint="cs"/>
          <w:rtl/>
        </w:rPr>
        <w:t>, רש"י.</w:t>
      </w:r>
    </w:p>
  </w:footnote>
  <w:footnote w:id="1096">
    <w:p w14:paraId="4EB8A352" w14:textId="77777777" w:rsidR="00DF1FC7" w:rsidRDefault="00DF1FC7" w:rsidP="002E5BAD">
      <w:pPr>
        <w:pStyle w:val="a5"/>
      </w:pPr>
      <w:r>
        <w:rPr>
          <w:rStyle w:val="a7"/>
        </w:rPr>
        <w:footnoteRef/>
      </w:r>
      <w:r>
        <w:rPr>
          <w:rtl/>
        </w:rPr>
        <w:t xml:space="preserve"> </w:t>
      </w:r>
      <w:r w:rsidRPr="00225601">
        <w:rPr>
          <w:rFonts w:cs="Arial"/>
          <w:rtl/>
        </w:rPr>
        <w:t>לבוש וכסות</w:t>
      </w:r>
      <w:r>
        <w:rPr>
          <w:rFonts w:cs="Arial" w:hint="cs"/>
          <w:rtl/>
        </w:rPr>
        <w:t>, רש"י.</w:t>
      </w:r>
    </w:p>
  </w:footnote>
  <w:footnote w:id="1097">
    <w:p w14:paraId="1C5E7142" w14:textId="77777777" w:rsidR="00DF1FC7" w:rsidRDefault="00DF1FC7" w:rsidP="002E5BAD">
      <w:pPr>
        <w:pStyle w:val="a5"/>
      </w:pPr>
      <w:r>
        <w:rPr>
          <w:rStyle w:val="a7"/>
        </w:rPr>
        <w:footnoteRef/>
      </w:r>
      <w:r>
        <w:rPr>
          <w:rtl/>
        </w:rPr>
        <w:t xml:space="preserve"> </w:t>
      </w:r>
      <w:r w:rsidRPr="00225601">
        <w:rPr>
          <w:rFonts w:cs="Arial"/>
          <w:rtl/>
        </w:rPr>
        <w:t>יוצא מן המקום לדעת</w:t>
      </w:r>
      <w:r>
        <w:rPr>
          <w:rFonts w:cs="Arial" w:hint="cs"/>
          <w:rtl/>
        </w:rPr>
        <w:t xml:space="preserve"> -</w:t>
      </w:r>
      <w:r w:rsidRPr="00225601">
        <w:rPr>
          <w:rFonts w:cs="Arial"/>
          <w:rtl/>
        </w:rPr>
        <w:t xml:space="preserve"> היה בידו לצוות על מזונות בניו ובנותיו ואשתו</w:t>
      </w:r>
      <w:r>
        <w:rPr>
          <w:rFonts w:cs="Arial" w:hint="cs"/>
          <w:rtl/>
        </w:rPr>
        <w:t>,</w:t>
      </w:r>
      <w:r w:rsidRPr="00225601">
        <w:rPr>
          <w:rFonts w:cs="Arial"/>
          <w:rtl/>
        </w:rPr>
        <w:t xml:space="preserve"> ולא צוה</w:t>
      </w:r>
      <w:r>
        <w:rPr>
          <w:rFonts w:cs="Arial" w:hint="cs"/>
          <w:rtl/>
        </w:rPr>
        <w:t>,</w:t>
      </w:r>
      <w:r w:rsidRPr="00225601">
        <w:rPr>
          <w:rFonts w:cs="Arial"/>
          <w:rtl/>
        </w:rPr>
        <w:t xml:space="preserve"> גילה דעתו שאינו רוצה לזונן</w:t>
      </w:r>
      <w:r>
        <w:rPr>
          <w:rFonts w:cs="Arial" w:hint="cs"/>
          <w:rtl/>
        </w:rPr>
        <w:t>,</w:t>
      </w:r>
      <w:r w:rsidRPr="00225601">
        <w:rPr>
          <w:rFonts w:cs="Arial"/>
          <w:rtl/>
        </w:rPr>
        <w:t xml:space="preserve"> הילכך אשתו דמיחייב לה בתנאי כתובה אשתעבוד ניכסיה</w:t>
      </w:r>
      <w:r>
        <w:rPr>
          <w:rFonts w:cs="Arial" w:hint="cs"/>
          <w:rtl/>
        </w:rPr>
        <w:t>,</w:t>
      </w:r>
      <w:r w:rsidRPr="00225601">
        <w:rPr>
          <w:rFonts w:cs="Arial"/>
          <w:rtl/>
        </w:rPr>
        <w:t xml:space="preserve"> בניו ובנותיו לא</w:t>
      </w:r>
      <w:r>
        <w:rPr>
          <w:rFonts w:cs="Arial" w:hint="cs"/>
          <w:rtl/>
        </w:rPr>
        <w:t>.</w:t>
      </w:r>
      <w:r w:rsidRPr="00225601">
        <w:rPr>
          <w:rFonts w:cs="Arial"/>
          <w:rtl/>
        </w:rPr>
        <w:t xml:space="preserve"> אבל נשתטה</w:t>
      </w:r>
      <w:r>
        <w:rPr>
          <w:rFonts w:cs="Arial" w:hint="cs"/>
          <w:rtl/>
        </w:rPr>
        <w:t>,</w:t>
      </w:r>
      <w:r w:rsidRPr="00225601">
        <w:rPr>
          <w:rFonts w:cs="Arial"/>
          <w:rtl/>
        </w:rPr>
        <w:t xml:space="preserve"> דיצא מן העולם שלא לדעת</w:t>
      </w:r>
      <w:r>
        <w:rPr>
          <w:rFonts w:cs="Arial" w:hint="cs"/>
          <w:rtl/>
        </w:rPr>
        <w:t>,</w:t>
      </w:r>
      <w:r w:rsidRPr="00225601">
        <w:rPr>
          <w:rFonts w:cs="Arial"/>
          <w:rtl/>
        </w:rPr>
        <w:t xml:space="preserve"> מסתמא ניחא ליה שיזונו בניו ובנותיו משלו</w:t>
      </w:r>
      <w:r>
        <w:rPr>
          <w:rFonts w:cs="Arial" w:hint="cs"/>
          <w:rtl/>
        </w:rPr>
        <w:t>, רש"י.</w:t>
      </w:r>
    </w:p>
  </w:footnote>
  <w:footnote w:id="1098">
    <w:p w14:paraId="6E2BBD1A" w14:textId="77777777" w:rsidR="00DF1FC7" w:rsidRDefault="00DF1FC7" w:rsidP="002E5BAD">
      <w:pPr>
        <w:pStyle w:val="a5"/>
      </w:pPr>
      <w:r>
        <w:rPr>
          <w:rStyle w:val="a7"/>
        </w:rPr>
        <w:footnoteRef/>
      </w:r>
      <w:r>
        <w:rPr>
          <w:rtl/>
        </w:rPr>
        <w:t xml:space="preserve"> </w:t>
      </w:r>
      <w:r w:rsidRPr="00225601">
        <w:rPr>
          <w:rFonts w:cs="Arial"/>
          <w:rtl/>
        </w:rPr>
        <w:t>בשמים של אבקת רוכל שהנשים מתקשטות בהם</w:t>
      </w:r>
      <w:r>
        <w:rPr>
          <w:rFonts w:cs="Arial" w:hint="cs"/>
          <w:rtl/>
        </w:rPr>
        <w:t>, רש"י.</w:t>
      </w:r>
    </w:p>
  </w:footnote>
  <w:footnote w:id="1099">
    <w:p w14:paraId="1F027D44" w14:textId="77777777" w:rsidR="00DF1FC7" w:rsidRDefault="00DF1FC7" w:rsidP="002E5BAD">
      <w:pPr>
        <w:pStyle w:val="a5"/>
      </w:pPr>
      <w:r>
        <w:rPr>
          <w:rStyle w:val="a7"/>
        </w:rPr>
        <w:footnoteRef/>
      </w:r>
      <w:r>
        <w:rPr>
          <w:rtl/>
        </w:rPr>
        <w:t xml:space="preserve"> </w:t>
      </w:r>
      <w:r w:rsidRPr="00225601">
        <w:rPr>
          <w:rFonts w:cs="Arial"/>
          <w:rtl/>
        </w:rPr>
        <w:t>לא יהבינן לאשתו כ"ש שאין עלינו לעשות צדקה מנכסיו ואמתניתא קיימי</w:t>
      </w:r>
      <w:r>
        <w:rPr>
          <w:rFonts w:cs="Arial" w:hint="cs"/>
          <w:rtl/>
        </w:rPr>
        <w:t>, רש"י.</w:t>
      </w:r>
    </w:p>
  </w:footnote>
  <w:footnote w:id="1100">
    <w:p w14:paraId="3D8C660E" w14:textId="77777777" w:rsidR="00DF1FC7" w:rsidRDefault="00DF1FC7" w:rsidP="002E5BAD">
      <w:pPr>
        <w:pStyle w:val="a5"/>
      </w:pPr>
      <w:r>
        <w:rPr>
          <w:rStyle w:val="a7"/>
        </w:rPr>
        <w:footnoteRef/>
      </w:r>
      <w:r>
        <w:rPr>
          <w:rtl/>
        </w:rPr>
        <w:t xml:space="preserve"> </w:t>
      </w:r>
      <w:r w:rsidRPr="00225601">
        <w:rPr>
          <w:rFonts w:cs="Arial"/>
          <w:rtl/>
        </w:rPr>
        <w:t>אף על פי שלא צוה בלכתו עבדינן ולי נראה דאדמר עוקבא קיימי דאמר מי שנשתטה יורדין לנכסיו וזנין כו' וד"א</w:t>
      </w:r>
      <w:r>
        <w:rPr>
          <w:rFonts w:cs="Arial" w:hint="cs"/>
          <w:rtl/>
        </w:rPr>
        <w:t>.</w:t>
      </w:r>
      <w:r w:rsidRPr="00225601">
        <w:rPr>
          <w:rFonts w:cs="Arial"/>
          <w:rtl/>
        </w:rPr>
        <w:t xml:space="preserve"> ואיפכא גרסינן</w:t>
      </w:r>
      <w:r>
        <w:rPr>
          <w:rFonts w:cs="Arial" w:hint="cs"/>
          <w:rtl/>
        </w:rPr>
        <w:t>,</w:t>
      </w:r>
      <w:r w:rsidRPr="00225601">
        <w:rPr>
          <w:rFonts w:cs="Arial"/>
          <w:rtl/>
        </w:rPr>
        <w:t xml:space="preserve"> מ"ד צדקה </w:t>
      </w:r>
      <w:r>
        <w:rPr>
          <w:rFonts w:cs="Arial" w:hint="cs"/>
          <w:rtl/>
        </w:rPr>
        <w:t xml:space="preserve">- </w:t>
      </w:r>
      <w:r w:rsidRPr="00225601">
        <w:rPr>
          <w:rFonts w:cs="Arial"/>
          <w:rtl/>
        </w:rPr>
        <w:t>כ"ש תכשיט</w:t>
      </w:r>
      <w:r>
        <w:rPr>
          <w:rFonts w:cs="Arial" w:hint="cs"/>
          <w:rtl/>
        </w:rPr>
        <w:t>,</w:t>
      </w:r>
      <w:r w:rsidRPr="00225601">
        <w:rPr>
          <w:rFonts w:cs="Arial"/>
          <w:rtl/>
        </w:rPr>
        <w:t xml:space="preserve"> ומ"ד תכשיט </w:t>
      </w:r>
      <w:r>
        <w:rPr>
          <w:rFonts w:cs="Arial" w:hint="cs"/>
          <w:rtl/>
        </w:rPr>
        <w:t xml:space="preserve">- </w:t>
      </w:r>
      <w:r w:rsidRPr="00225601">
        <w:rPr>
          <w:rFonts w:cs="Arial"/>
          <w:rtl/>
        </w:rPr>
        <w:t>אבל צדקה לא</w:t>
      </w:r>
      <w:r>
        <w:rPr>
          <w:rFonts w:cs="Arial" w:hint="cs"/>
          <w:rtl/>
        </w:rPr>
        <w:t>,</w:t>
      </w:r>
      <w:r w:rsidRPr="00225601">
        <w:rPr>
          <w:rFonts w:cs="Arial"/>
          <w:rtl/>
        </w:rPr>
        <w:t xml:space="preserve"> התם היינו טעמא דלא ניחא ליה דתינוול</w:t>
      </w:r>
      <w:r>
        <w:rPr>
          <w:rFonts w:cs="Arial" w:hint="cs"/>
          <w:rtl/>
        </w:rPr>
        <w:t>, רש"י.</w:t>
      </w:r>
    </w:p>
  </w:footnote>
  <w:footnote w:id="1101">
    <w:p w14:paraId="4E340472" w14:textId="77777777" w:rsidR="00DF1FC7" w:rsidRDefault="00DF1FC7" w:rsidP="002E5BAD">
      <w:pPr>
        <w:pStyle w:val="a5"/>
      </w:pPr>
      <w:r>
        <w:rPr>
          <w:rStyle w:val="a7"/>
        </w:rPr>
        <w:footnoteRef/>
      </w:r>
      <w:r>
        <w:rPr>
          <w:rtl/>
        </w:rPr>
        <w:t xml:space="preserve"> </w:t>
      </w:r>
      <w:r w:rsidRPr="00C56D1D">
        <w:rPr>
          <w:rFonts w:cs="Arial"/>
          <w:rtl/>
        </w:rPr>
        <w:t>וכתב הר"ן ריש דייני גזירות (שם) אי תבעה מזונות לפני ב"ד והב"ד החמיצו הדין נותנין לה משעת התביעה</w:t>
      </w:r>
      <w:r>
        <w:rPr>
          <w:rFonts w:cs="Arial" w:hint="cs"/>
          <w:rtl/>
        </w:rPr>
        <w:t>, דרכ"מ (אות ז).</w:t>
      </w:r>
    </w:p>
  </w:footnote>
  <w:footnote w:id="1102">
    <w:p w14:paraId="3C9B6FB1" w14:textId="77777777" w:rsidR="00DF1FC7" w:rsidRDefault="00DF1FC7" w:rsidP="002E5BAD">
      <w:pPr>
        <w:pStyle w:val="a5"/>
        <w:rPr>
          <w:rtl/>
        </w:rPr>
      </w:pPr>
      <w:r>
        <w:rPr>
          <w:rStyle w:val="a7"/>
        </w:rPr>
        <w:footnoteRef/>
      </w:r>
      <w:r>
        <w:rPr>
          <w:rtl/>
        </w:rPr>
        <w:t xml:space="preserve"> </w:t>
      </w:r>
      <w:r w:rsidRPr="0025586C">
        <w:rPr>
          <w:rFonts w:cs="Arial"/>
          <w:rtl/>
        </w:rPr>
        <w:t>היינו לומר שמשתלם מן הבעל</w:t>
      </w:r>
      <w:r>
        <w:rPr>
          <w:rFonts w:cs="Arial" w:hint="cs"/>
          <w:rtl/>
        </w:rPr>
        <w:t>,</w:t>
      </w:r>
      <w:r w:rsidRPr="0025586C">
        <w:rPr>
          <w:rFonts w:cs="Arial"/>
          <w:rtl/>
        </w:rPr>
        <w:t xml:space="preserve"> דומה ליורד לתוך שדה של חברו ונטעה שלא ברשות. אבל להשתלם מן האשה דבר פשוט הוא שאינה חייבת לו כלום, אלא אם כן לותה ממנו בפירוש. וכן הורה הרשב"א ז"ל עצמו, שכן כתב בתשובה אף במי שהיה חייב מעות לאשה, ודן שלא תקבל לו בחשבון חובה מה שהוציא לה למזונותיה</w:t>
      </w:r>
      <w:r>
        <w:rPr>
          <w:rFonts w:cs="Arial" w:hint="cs"/>
          <w:rtl/>
        </w:rPr>
        <w:t>, ריב"ש (סי' תפא, הביאו הב"י)</w:t>
      </w:r>
      <w:r w:rsidRPr="0025586C">
        <w:rPr>
          <w:rFonts w:cs="Arial"/>
          <w:rtl/>
        </w:rPr>
        <w:t>.</w:t>
      </w:r>
    </w:p>
  </w:footnote>
  <w:footnote w:id="1103">
    <w:p w14:paraId="3218B0D1" w14:textId="77777777" w:rsidR="00DF1FC7" w:rsidRDefault="00DF1FC7" w:rsidP="002E5BAD">
      <w:pPr>
        <w:pStyle w:val="a5"/>
        <w:rPr>
          <w:rtl/>
        </w:rPr>
      </w:pPr>
      <w:r>
        <w:rPr>
          <w:rStyle w:val="a7"/>
        </w:rPr>
        <w:footnoteRef/>
      </w:r>
      <w:r>
        <w:rPr>
          <w:rtl/>
        </w:rPr>
        <w:t xml:space="preserve"> </w:t>
      </w:r>
      <w:r w:rsidRPr="00F86A82">
        <w:rPr>
          <w:rFonts w:cs="Arial"/>
          <w:rtl/>
        </w:rPr>
        <w:t>והביא ראיה לדבר והר"ן ז"ל דחה ראייתו וגם הרב המגיד בפי"ב מהלכות אישות (הי"ט) הביא דברי הרשב"א וכתב עליהם ואין נראה כן דעת הגאונים אלא אפילו במפרנס סתם איבד מעותיו ונתן טעם לדבריהם</w:t>
      </w:r>
      <w:r>
        <w:rPr>
          <w:rFonts w:cs="Arial" w:hint="cs"/>
          <w:rtl/>
        </w:rPr>
        <w:t>, ב"י</w:t>
      </w:r>
      <w:r w:rsidRPr="00F86A82">
        <w:rPr>
          <w:rFonts w:cs="Arial"/>
          <w:rtl/>
        </w:rPr>
        <w:t>.</w:t>
      </w:r>
    </w:p>
  </w:footnote>
  <w:footnote w:id="1104">
    <w:p w14:paraId="784421C2" w14:textId="77777777" w:rsidR="00DF1FC7" w:rsidRDefault="00DF1FC7" w:rsidP="002E5BAD">
      <w:pPr>
        <w:pStyle w:val="a5"/>
        <w:rPr>
          <w:rtl/>
        </w:rPr>
      </w:pPr>
      <w:r>
        <w:rPr>
          <w:rStyle w:val="a7"/>
        </w:rPr>
        <w:footnoteRef/>
      </w:r>
      <w:r>
        <w:rPr>
          <w:rtl/>
        </w:rPr>
        <w:t xml:space="preserve"> </w:t>
      </w:r>
      <w:r w:rsidRPr="00821590">
        <w:rPr>
          <w:rFonts w:cs="Arial"/>
          <w:rtl/>
        </w:rPr>
        <w:t>ומפרשי' דמתניתין דחנן דאמר איבד מעותיו משום דפרנס מעצמו הא אם לוותה משלם מיירי כשפסקו לה ב"ד תחלה</w:t>
      </w:r>
      <w:r>
        <w:rPr>
          <w:rFonts w:hint="cs"/>
          <w:rtl/>
        </w:rPr>
        <w:t xml:space="preserve">, רא"ש </w:t>
      </w:r>
      <w:r w:rsidRPr="000E0921">
        <w:rPr>
          <w:rFonts w:hint="cs"/>
          <w:sz w:val="16"/>
          <w:szCs w:val="16"/>
          <w:rtl/>
        </w:rPr>
        <w:t>(שם)</w:t>
      </w:r>
      <w:r>
        <w:rPr>
          <w:rFonts w:hint="cs"/>
          <w:rtl/>
        </w:rPr>
        <w:t>.</w:t>
      </w:r>
    </w:p>
  </w:footnote>
  <w:footnote w:id="1105">
    <w:p w14:paraId="68CFF587" w14:textId="77777777" w:rsidR="00DF1FC7" w:rsidRDefault="00DF1FC7" w:rsidP="002E5BAD">
      <w:pPr>
        <w:pStyle w:val="a5"/>
      </w:pPr>
      <w:r>
        <w:rPr>
          <w:rStyle w:val="a7"/>
        </w:rPr>
        <w:footnoteRef/>
      </w:r>
      <w:r>
        <w:rPr>
          <w:rtl/>
        </w:rPr>
        <w:t xml:space="preserve"> </w:t>
      </w:r>
      <w:r>
        <w:rPr>
          <w:rFonts w:cs="Arial" w:hint="cs"/>
          <w:rtl/>
        </w:rPr>
        <w:t xml:space="preserve">הרא"ש (שם) הביא את דברי התוס' וכתב וז"ל- </w:t>
      </w:r>
      <w:r w:rsidRPr="00821590">
        <w:rPr>
          <w:rFonts w:cs="Arial"/>
          <w:rtl/>
        </w:rPr>
        <w:t>ופשטא דמתניתין לא משמע הכי דאיירי דוקא בשפסקו לה בית דין</w:t>
      </w:r>
      <w:r>
        <w:rPr>
          <w:rFonts w:cs="Arial" w:hint="cs"/>
          <w:rtl/>
        </w:rPr>
        <w:t>.</w:t>
      </w:r>
      <w:r w:rsidRPr="00821590">
        <w:rPr>
          <w:rFonts w:cs="Arial"/>
          <w:rtl/>
        </w:rPr>
        <w:t xml:space="preserve"> ועוד דההיא דיש מותרות דאיירי בלוותה בלא פסקו בית דין</w:t>
      </w:r>
      <w:r>
        <w:rPr>
          <w:rFonts w:cs="Arial" w:hint="cs"/>
          <w:rtl/>
        </w:rPr>
        <w:t>,</w:t>
      </w:r>
      <w:r w:rsidRPr="00821590">
        <w:rPr>
          <w:rFonts w:cs="Arial"/>
          <w:rtl/>
        </w:rPr>
        <w:t xml:space="preserve"> דמסתמא אין פוסקין לה בית דין מזונות כל זמן שהיא יושבת תחתיו משום דבעמוד והוצא קאי</w:t>
      </w:r>
      <w:r>
        <w:rPr>
          <w:rFonts w:cs="Arial" w:hint="cs"/>
          <w:rtl/>
        </w:rPr>
        <w:t>.</w:t>
      </w:r>
      <w:r w:rsidRPr="00821590">
        <w:rPr>
          <w:rFonts w:cs="Arial"/>
          <w:rtl/>
        </w:rPr>
        <w:t xml:space="preserve"> הילכך נראה ד</w:t>
      </w:r>
      <w:r>
        <w:rPr>
          <w:rFonts w:cs="Arial" w:hint="cs"/>
          <w:rtl/>
        </w:rPr>
        <w:t>-...</w:t>
      </w:r>
    </w:p>
  </w:footnote>
  <w:footnote w:id="1106">
    <w:p w14:paraId="0D0B252C" w14:textId="77777777" w:rsidR="00DF1FC7" w:rsidRPr="004C175D" w:rsidRDefault="00DF1FC7" w:rsidP="002E5BAD">
      <w:pPr>
        <w:pStyle w:val="a5"/>
        <w:rPr>
          <w:rFonts w:cs="Arial"/>
          <w:rtl/>
        </w:rPr>
      </w:pPr>
      <w:r>
        <w:rPr>
          <w:rStyle w:val="a7"/>
        </w:rPr>
        <w:footnoteRef/>
      </w:r>
      <w:r>
        <w:rPr>
          <w:rtl/>
        </w:rPr>
        <w:t xml:space="preserve"> </w:t>
      </w:r>
      <w:r w:rsidRPr="009D210E">
        <w:rPr>
          <w:rFonts w:cs="Arial"/>
          <w:rtl/>
        </w:rPr>
        <w:t>אלו דבריו וכיון שהוא ז"ל מודה בכך</w:t>
      </w:r>
      <w:r>
        <w:rPr>
          <w:rFonts w:cs="Arial" w:hint="cs"/>
          <w:rtl/>
        </w:rPr>
        <w:t>,</w:t>
      </w:r>
      <w:r w:rsidRPr="009D210E">
        <w:rPr>
          <w:rFonts w:cs="Arial"/>
          <w:rtl/>
        </w:rPr>
        <w:t xml:space="preserve"> אף כשיש לו לבעל אין לנו שיהא שעבודו של מלוה על הבעל</w:t>
      </w:r>
      <w:r>
        <w:rPr>
          <w:rFonts w:cs="Arial" w:hint="cs"/>
          <w:rtl/>
        </w:rPr>
        <w:t>,</w:t>
      </w:r>
      <w:r w:rsidRPr="009D210E">
        <w:rPr>
          <w:rFonts w:cs="Arial"/>
          <w:rtl/>
        </w:rPr>
        <w:t xml:space="preserve"> אלא על האשה הוא והיא תובעת לבעל כדברי רש"י</w:t>
      </w:r>
      <w:r>
        <w:rPr>
          <w:rFonts w:cs="Arial" w:hint="cs"/>
          <w:rtl/>
        </w:rPr>
        <w:t>.</w:t>
      </w:r>
      <w:r w:rsidRPr="009D210E">
        <w:rPr>
          <w:rFonts w:cs="Arial"/>
          <w:rtl/>
        </w:rPr>
        <w:t xml:space="preserve"> אי נמי כשאין נכסים לאשה יכול הבעל חוב לתבוע לבעל מדר' נתן</w:t>
      </w:r>
      <w:r>
        <w:rPr>
          <w:rFonts w:cs="Arial" w:hint="cs"/>
          <w:rtl/>
        </w:rPr>
        <w:t>, ר"ן (שם).</w:t>
      </w:r>
      <w:r w:rsidRPr="00B12054">
        <w:rPr>
          <w:rFonts w:cs="Arial"/>
          <w:rtl/>
        </w:rPr>
        <w:t xml:space="preserve"> </w:t>
      </w:r>
      <w:r>
        <w:rPr>
          <w:rFonts w:cs="Arial" w:hint="cs"/>
          <w:rtl/>
        </w:rPr>
        <w:t xml:space="preserve">וכתב הדרכ"מ </w:t>
      </w:r>
      <w:r w:rsidRPr="00B12054">
        <w:rPr>
          <w:rFonts w:cs="Arial"/>
          <w:rtl/>
        </w:rPr>
        <w:t>(</w:t>
      </w:r>
      <w:r>
        <w:rPr>
          <w:rFonts w:cs="Arial" w:hint="cs"/>
          <w:rtl/>
        </w:rPr>
        <w:t xml:space="preserve">אות </w:t>
      </w:r>
      <w:r w:rsidRPr="00B12054">
        <w:rPr>
          <w:rFonts w:cs="Arial"/>
          <w:rtl/>
        </w:rPr>
        <w:t xml:space="preserve">ט) </w:t>
      </w:r>
      <w:r>
        <w:rPr>
          <w:rFonts w:cs="Arial" w:hint="cs"/>
          <w:rtl/>
        </w:rPr>
        <w:t>ד</w:t>
      </w:r>
      <w:r w:rsidRPr="00B12054">
        <w:rPr>
          <w:rFonts w:cs="Arial"/>
          <w:rtl/>
        </w:rPr>
        <w:t>כ</w:t>
      </w:r>
      <w:r>
        <w:rPr>
          <w:rFonts w:cs="Arial" w:hint="cs"/>
          <w:rtl/>
        </w:rPr>
        <w:t>"פ בנמוק"י</w:t>
      </w:r>
      <w:r w:rsidRPr="00B12054">
        <w:rPr>
          <w:rFonts w:cs="Arial"/>
          <w:rtl/>
        </w:rPr>
        <w:t xml:space="preserve"> פרק יש מותרות (יבמות כז. ד"ה בעא) דאין לבעל חוב על הבעל כלום</w:t>
      </w:r>
      <w:r>
        <w:rPr>
          <w:rFonts w:cs="Arial" w:hint="cs"/>
          <w:rtl/>
        </w:rPr>
        <w:t>.</w:t>
      </w:r>
      <w:r w:rsidRPr="00B12054">
        <w:rPr>
          <w:rFonts w:cs="Arial"/>
          <w:rtl/>
        </w:rPr>
        <w:t xml:space="preserve"> וכ</w:t>
      </w:r>
      <w:r>
        <w:rPr>
          <w:rFonts w:cs="Arial" w:hint="cs"/>
          <w:rtl/>
        </w:rPr>
        <w:t>"כ</w:t>
      </w:r>
      <w:r w:rsidRPr="00B12054">
        <w:rPr>
          <w:rFonts w:cs="Arial"/>
          <w:rtl/>
        </w:rPr>
        <w:t xml:space="preserve"> המרדכי ריש דייני גזירות (סי' רעא) דשעבוד בעל חוב על האשה</w:t>
      </w:r>
      <w:r>
        <w:rPr>
          <w:rFonts w:cs="Arial" w:hint="cs"/>
          <w:rtl/>
        </w:rPr>
        <w:t>,</w:t>
      </w:r>
      <w:r w:rsidRPr="00B12054">
        <w:rPr>
          <w:rFonts w:cs="Arial"/>
          <w:rtl/>
        </w:rPr>
        <w:t xml:space="preserve"> ואם מתה האשה מוציאין מבעל מדרבי נתן. </w:t>
      </w:r>
      <w:r w:rsidRPr="00DB7826">
        <w:rPr>
          <w:rFonts w:hint="cs"/>
          <w:color w:val="00B0F0"/>
          <w:rtl/>
        </w:rPr>
        <w:t xml:space="preserve">(וכ"פ </w:t>
      </w:r>
      <w:r>
        <w:rPr>
          <w:rFonts w:hint="cs"/>
          <w:color w:val="00B0F0"/>
          <w:rtl/>
        </w:rPr>
        <w:t>בהגה</w:t>
      </w:r>
      <w:r w:rsidRPr="00DB7826">
        <w:rPr>
          <w:rFonts w:hint="cs"/>
          <w:color w:val="00B0F0"/>
          <w:rtl/>
        </w:rPr>
        <w:t>)</w:t>
      </w:r>
    </w:p>
  </w:footnote>
  <w:footnote w:id="1107">
    <w:p w14:paraId="7F9DB663" w14:textId="77777777" w:rsidR="00DF1FC7" w:rsidRDefault="00DF1FC7" w:rsidP="002E5BAD">
      <w:pPr>
        <w:pStyle w:val="a5"/>
      </w:pPr>
      <w:r>
        <w:rPr>
          <w:rStyle w:val="a7"/>
        </w:rPr>
        <w:footnoteRef/>
      </w:r>
      <w:r w:rsidRPr="00B12054">
        <w:rPr>
          <w:rFonts w:cs="Arial"/>
          <w:rtl/>
        </w:rPr>
        <w:t xml:space="preserve"> מה שכתב דאם לא היה חמיו חייב לו אין צריך לשלם משום דאין חילוק בין אב שפירנס בתו לאחר כ"כ גם הר"ן פרק נערה שנתפתתה (יז. ד"ה וזנין)</w:t>
      </w:r>
      <w:r>
        <w:rPr>
          <w:rFonts w:cs="Arial" w:hint="cs"/>
          <w:rtl/>
        </w:rPr>
        <w:t>.</w:t>
      </w:r>
      <w:r w:rsidRPr="00B12054">
        <w:rPr>
          <w:rFonts w:cs="Arial"/>
          <w:rtl/>
        </w:rPr>
        <w:t xml:space="preserve"> וכ"כ המרדכי פרק ב' דייני גזירות (סי' רעג)</w:t>
      </w:r>
      <w:r>
        <w:rPr>
          <w:rFonts w:cs="Arial" w:hint="cs"/>
          <w:rtl/>
        </w:rPr>
        <w:t>,</w:t>
      </w:r>
      <w:r w:rsidRPr="00B12054">
        <w:rPr>
          <w:rFonts w:cs="Arial"/>
          <w:rtl/>
        </w:rPr>
        <w:t xml:space="preserve"> ומיהו כתב דאם לותה מאביה צריך לשלם לו אע</w:t>
      </w:r>
      <w:r>
        <w:rPr>
          <w:rFonts w:cs="Arial" w:hint="cs"/>
          <w:rtl/>
        </w:rPr>
        <w:t>"</w:t>
      </w:r>
      <w:r w:rsidRPr="00B12054">
        <w:rPr>
          <w:rFonts w:cs="Arial"/>
          <w:rtl/>
        </w:rPr>
        <w:t>ג דבעלה בעיר</w:t>
      </w:r>
      <w:r>
        <w:rPr>
          <w:rFonts w:cs="Arial" w:hint="cs"/>
          <w:rtl/>
        </w:rPr>
        <w:t>.</w:t>
      </w:r>
      <w:r w:rsidRPr="00B12054">
        <w:rPr>
          <w:rFonts w:cs="Arial"/>
          <w:rtl/>
        </w:rPr>
        <w:t xml:space="preserve"> ודוקא דאיכא סהדי דלא הוה מיתדר לה בהדי בעלה שהיה לה קטטה וכעס עמו או מבני ביתו דארגילו קטטה בהדה</w:t>
      </w:r>
      <w:r>
        <w:rPr>
          <w:rFonts w:cs="Arial" w:hint="cs"/>
          <w:rtl/>
        </w:rPr>
        <w:t>,</w:t>
      </w:r>
      <w:r w:rsidRPr="00B12054">
        <w:rPr>
          <w:rFonts w:cs="Arial"/>
          <w:rtl/>
        </w:rPr>
        <w:t xml:space="preserve"> ולכן חייב לה מזונות באשר היא שם</w:t>
      </w:r>
      <w:r>
        <w:rPr>
          <w:rFonts w:cs="Arial" w:hint="cs"/>
          <w:rtl/>
        </w:rPr>
        <w:t>.</w:t>
      </w:r>
      <w:r w:rsidRPr="00B12054">
        <w:rPr>
          <w:rFonts w:cs="Arial"/>
          <w:rtl/>
        </w:rPr>
        <w:t xml:space="preserve"> אבל ארגילה איהי קטטה הוי מורדת</w:t>
      </w:r>
      <w:r>
        <w:rPr>
          <w:rFonts w:cs="Arial" w:hint="cs"/>
          <w:rtl/>
        </w:rPr>
        <w:t>.</w:t>
      </w:r>
      <w:r w:rsidRPr="00B12054">
        <w:rPr>
          <w:rFonts w:cs="Arial"/>
          <w:rtl/>
        </w:rPr>
        <w:t xml:space="preserve"> ועיין שם תשובת מוהר"ם בזה וכ"כ בית יוסף בשם הריטב"א לקמן סוף סימן זה</w:t>
      </w:r>
      <w:r>
        <w:rPr>
          <w:rFonts w:cs="Arial" w:hint="cs"/>
          <w:rtl/>
        </w:rPr>
        <w:t>, דרכ"מ (אות ח).</w:t>
      </w:r>
    </w:p>
  </w:footnote>
  <w:footnote w:id="1108">
    <w:p w14:paraId="606AF703" w14:textId="77777777" w:rsidR="00DF1FC7" w:rsidRDefault="00DF1FC7" w:rsidP="002E5BAD">
      <w:pPr>
        <w:pStyle w:val="a5"/>
        <w:rPr>
          <w:rtl/>
        </w:rPr>
      </w:pPr>
      <w:r>
        <w:rPr>
          <w:rStyle w:val="a7"/>
        </w:rPr>
        <w:footnoteRef/>
      </w:r>
      <w:r>
        <w:rPr>
          <w:rtl/>
        </w:rPr>
        <w:t xml:space="preserve"> </w:t>
      </w:r>
      <w:r w:rsidRPr="00B12054">
        <w:rPr>
          <w:rFonts w:cs="Arial"/>
          <w:rtl/>
        </w:rPr>
        <w:t>וכ"כ ב</w:t>
      </w:r>
      <w:r>
        <w:rPr>
          <w:rFonts w:cs="Arial" w:hint="cs"/>
          <w:rtl/>
        </w:rPr>
        <w:t>"</w:t>
      </w:r>
      <w:r w:rsidRPr="00B12054">
        <w:rPr>
          <w:rFonts w:cs="Arial"/>
          <w:rtl/>
        </w:rPr>
        <w:t>י לקמן סי</w:t>
      </w:r>
      <w:r>
        <w:rPr>
          <w:rFonts w:cs="Arial" w:hint="cs"/>
          <w:rtl/>
        </w:rPr>
        <w:t>'</w:t>
      </w:r>
      <w:r w:rsidRPr="00B12054">
        <w:rPr>
          <w:rFonts w:cs="Arial"/>
          <w:rtl/>
        </w:rPr>
        <w:t xml:space="preserve"> צ"ג (שם ד"ה וז"ל הריטב"א) בשם הריטב"א שכתב כן בשם רבינו בשם רבו ז"ל וכתב עוד דאפילו יצאה מביתו על ידי קטטה ושתקה ולא תבעה מזונות אמרינן דמחלה לו</w:t>
      </w:r>
      <w:r>
        <w:rPr>
          <w:rFonts w:cs="Arial" w:hint="cs"/>
          <w:rtl/>
        </w:rPr>
        <w:t>.</w:t>
      </w:r>
      <w:r w:rsidRPr="00B12054">
        <w:rPr>
          <w:rFonts w:cs="Arial"/>
          <w:rtl/>
        </w:rPr>
        <w:t xml:space="preserve"> וכתב עוד ומסתברא שדין רפואה כדין מזונות עכ"ל</w:t>
      </w:r>
      <w:r>
        <w:rPr>
          <w:rFonts w:cs="Arial" w:hint="cs"/>
          <w:rtl/>
        </w:rPr>
        <w:t>.</w:t>
      </w:r>
      <w:r w:rsidRPr="00B12054">
        <w:rPr>
          <w:rFonts w:cs="Arial"/>
          <w:rtl/>
        </w:rPr>
        <w:t xml:space="preserve"> וכתבו ה</w:t>
      </w:r>
      <w:r>
        <w:rPr>
          <w:rFonts w:cs="Arial" w:hint="cs"/>
          <w:rtl/>
        </w:rPr>
        <w:t>ה"</w:t>
      </w:r>
      <w:r w:rsidRPr="00B12054">
        <w:rPr>
          <w:rFonts w:cs="Arial"/>
          <w:rtl/>
        </w:rPr>
        <w:t>מ והאריך עוד דאפילו מכרה נכסי מלוג שלה בטובת הנאה ולא תבעה מזונות הפסידה לפי שדרכן של נשים לגלגל עם בעליהן ולסייען</w:t>
      </w:r>
      <w:r>
        <w:rPr>
          <w:rFonts w:cs="Arial" w:hint="cs"/>
          <w:rtl/>
        </w:rPr>
        <w:t>,</w:t>
      </w:r>
      <w:r w:rsidRPr="00B12054">
        <w:rPr>
          <w:rFonts w:cs="Arial"/>
          <w:rtl/>
        </w:rPr>
        <w:t xml:space="preserve"> והני מילי לאפוקי מבעלה אבל מה שעשתה הרי הוא שלה מאחר שלא זנה עכ"ל, וכן משמע מדברי הר"ן שכתבתי למעלה </w:t>
      </w:r>
      <w:r w:rsidRPr="00A77238">
        <w:rPr>
          <w:rFonts w:cs="Arial"/>
          <w:sz w:val="16"/>
          <w:szCs w:val="16"/>
          <w:rtl/>
        </w:rPr>
        <w:t>(אות ו</w:t>
      </w:r>
      <w:r w:rsidRPr="00A77238">
        <w:rPr>
          <w:rFonts w:cs="Arial" w:hint="cs"/>
          <w:sz w:val="16"/>
          <w:szCs w:val="16"/>
          <w:rtl/>
        </w:rPr>
        <w:t>, צל"ע משום שבסימן פ אות ז כתב הדרכ"מ דהר"ן פליג על הרמב"ן והה"מ דאם מכרה מנכסי מלוג לא הפסידתן</w:t>
      </w:r>
      <w:r w:rsidRPr="00A77238">
        <w:rPr>
          <w:rFonts w:cs="Arial"/>
          <w:sz w:val="16"/>
          <w:szCs w:val="16"/>
          <w:rtl/>
        </w:rPr>
        <w:t>)</w:t>
      </w:r>
      <w:r>
        <w:rPr>
          <w:rFonts w:cs="Arial" w:hint="cs"/>
          <w:rtl/>
        </w:rPr>
        <w:t>, דרכ"מ (אות ט)</w:t>
      </w:r>
      <w:r>
        <w:rPr>
          <w:rFonts w:hint="cs"/>
          <w:rtl/>
        </w:rPr>
        <w:t>.</w:t>
      </w:r>
      <w:r w:rsidRPr="00C71DE1">
        <w:rPr>
          <w:rFonts w:hint="cs"/>
          <w:color w:val="00B0F0"/>
          <w:rtl/>
        </w:rPr>
        <w:t xml:space="preserve"> </w:t>
      </w:r>
      <w:r w:rsidRPr="00DB7826">
        <w:rPr>
          <w:rFonts w:hint="cs"/>
          <w:color w:val="00B0F0"/>
          <w:rtl/>
        </w:rPr>
        <w:t xml:space="preserve">(וכ"פ </w:t>
      </w:r>
      <w:r>
        <w:rPr>
          <w:rFonts w:hint="cs"/>
          <w:color w:val="00B0F0"/>
          <w:rtl/>
        </w:rPr>
        <w:t>בהגה</w:t>
      </w:r>
      <w:r w:rsidRPr="00DB7826">
        <w:rPr>
          <w:rFonts w:hint="cs"/>
          <w:color w:val="00B0F0"/>
          <w:rtl/>
        </w:rPr>
        <w:t>)</w:t>
      </w:r>
      <w:r w:rsidRPr="001362AA">
        <w:rPr>
          <w:rFonts w:cs="Arial"/>
          <w:rtl/>
        </w:rPr>
        <w:t xml:space="preserve"> </w:t>
      </w:r>
    </w:p>
  </w:footnote>
  <w:footnote w:id="1109">
    <w:p w14:paraId="02932275" w14:textId="77777777" w:rsidR="00DF1FC7" w:rsidRDefault="00DF1FC7" w:rsidP="002E5BAD">
      <w:pPr>
        <w:pStyle w:val="a5"/>
      </w:pPr>
      <w:r>
        <w:rPr>
          <w:rStyle w:val="a7"/>
        </w:rPr>
        <w:footnoteRef/>
      </w:r>
      <w:r>
        <w:rPr>
          <w:rtl/>
        </w:rPr>
        <w:t xml:space="preserve"> </w:t>
      </w:r>
      <w:r w:rsidRPr="00D14ADC">
        <w:rPr>
          <w:rFonts w:cs="Arial"/>
          <w:rtl/>
        </w:rPr>
        <w:t>זה לא מצאתי מבואר אבל נלמד הוא מדין בא ואמר הנחתי לה מזונות כשיצאתי שנתבאר בסמוך שנאמן בשבועה</w:t>
      </w:r>
      <w:r>
        <w:rPr>
          <w:rFonts w:cs="Arial" w:hint="cs"/>
          <w:rtl/>
        </w:rPr>
        <w:t>, ב"י.</w:t>
      </w:r>
    </w:p>
  </w:footnote>
  <w:footnote w:id="1110">
    <w:p w14:paraId="619D995A" w14:textId="77777777" w:rsidR="00DF1FC7" w:rsidRDefault="00DF1FC7" w:rsidP="002E5BAD">
      <w:pPr>
        <w:pStyle w:val="a5"/>
        <w:rPr>
          <w:rtl/>
        </w:rPr>
      </w:pPr>
      <w:r>
        <w:rPr>
          <w:rStyle w:val="a7"/>
        </w:rPr>
        <w:footnoteRef/>
      </w:r>
      <w:r>
        <w:rPr>
          <w:rtl/>
        </w:rPr>
        <w:t xml:space="preserve"> </w:t>
      </w:r>
      <w:r w:rsidRPr="00D14ADC">
        <w:rPr>
          <w:rFonts w:cs="Arial"/>
          <w:rtl/>
        </w:rPr>
        <w:t>מתבאר בסוגיא שאם אמר לה צאי מעשה ידיך במזונותיך שאין לה מזונות וכתב רבינו שאילו לא רצתה בדבר זה וכו' לומר דדוקא כששתקה אבל אם מיחתה ואמרה איני רוצה לאו כל כמיניה דמזוני עיקר כמו שנזכר למעלה (ה"ד)</w:t>
      </w:r>
      <w:r>
        <w:rPr>
          <w:rFonts w:cs="Arial" w:hint="cs"/>
          <w:rtl/>
        </w:rPr>
        <w:t>,</w:t>
      </w:r>
      <w:r w:rsidRPr="00D14ADC">
        <w:rPr>
          <w:rFonts w:cs="Arial"/>
          <w:rtl/>
        </w:rPr>
        <w:t xml:space="preserve"> ופשוט הוא</w:t>
      </w:r>
      <w:r>
        <w:rPr>
          <w:rFonts w:cs="Arial" w:hint="cs"/>
          <w:rtl/>
        </w:rPr>
        <w:t>,</w:t>
      </w:r>
      <w:r w:rsidRPr="00D14ADC">
        <w:rPr>
          <w:rFonts w:cs="Arial"/>
          <w:rtl/>
        </w:rPr>
        <w:t xml:space="preserve"> וכן כתבו המפרשים ז"ל</w:t>
      </w:r>
      <w:r>
        <w:rPr>
          <w:rFonts w:cs="Arial" w:hint="cs"/>
          <w:rtl/>
        </w:rPr>
        <w:t>.</w:t>
      </w:r>
      <w:r w:rsidRPr="00D14ADC">
        <w:rPr>
          <w:rFonts w:cs="Arial"/>
          <w:rtl/>
        </w:rPr>
        <w:t xml:space="preserve"> ורש"י פירש וקיבלה עליה</w:t>
      </w:r>
      <w:r>
        <w:rPr>
          <w:rFonts w:cs="Arial" w:hint="cs"/>
          <w:rtl/>
        </w:rPr>
        <w:t>.</w:t>
      </w:r>
      <w:r w:rsidRPr="00D14ADC">
        <w:rPr>
          <w:rFonts w:cs="Arial"/>
          <w:rtl/>
        </w:rPr>
        <w:t xml:space="preserve"> ואיפשר שהוא ז"ל יודה ששתיקתה היא קבלה</w:t>
      </w:r>
      <w:r>
        <w:rPr>
          <w:rFonts w:cs="Arial" w:hint="cs"/>
          <w:rtl/>
        </w:rPr>
        <w:t>, הה"מ (שם).</w:t>
      </w:r>
    </w:p>
  </w:footnote>
  <w:footnote w:id="1111">
    <w:p w14:paraId="7610EA09" w14:textId="77777777" w:rsidR="00DF1FC7" w:rsidRPr="00D14ADC" w:rsidRDefault="00DF1FC7" w:rsidP="002E5BAD">
      <w:pPr>
        <w:pStyle w:val="a5"/>
        <w:rPr>
          <w:rFonts w:cs="Arial"/>
        </w:rPr>
      </w:pPr>
      <w:r>
        <w:rPr>
          <w:rStyle w:val="a7"/>
        </w:rPr>
        <w:footnoteRef/>
      </w:r>
      <w:r>
        <w:rPr>
          <w:rtl/>
        </w:rPr>
        <w:t xml:space="preserve"> </w:t>
      </w:r>
      <w:r>
        <w:rPr>
          <w:rFonts w:hint="cs"/>
          <w:rtl/>
        </w:rPr>
        <w:t xml:space="preserve">וז"ל- </w:t>
      </w:r>
      <w:r w:rsidRPr="00D14ADC">
        <w:rPr>
          <w:rFonts w:cs="Arial"/>
          <w:rtl/>
        </w:rPr>
        <w:t>ראובן הלך ממדינתו למקום אחר והניח אשתו ונתעכב זמן הרבה לשם והיה שולח לה זמן אחר זמן כדי מזונותיה, ובחזרתו הוציאו עליו אחיה חשבון הוצאה מרובה שהוציאו עליה משלהן ותבעוהו באותו חשבון, והשיב ואמר להם נכסי אינן מגיעין להוצאה מרובה כזאת שאתם תובעין ממני, ועוד מי צוה אתכם להוציא שלא ברשותי, ועוד שהנחתי לה כשיעור מזונותיה. תשובה, עמדנו עם שאלתכם והדין על ראובן שיהיה כולל כל מה שהיה משגר לאשתו כשהיה חוץ לביתו עם כל מה שהניח לה ויעשה חשבון אחד מן הכל ויחשוב ימי הזמן שנתאחר בהליכתו, ואם יש באותו חשבון כדי הוצאה לאותן ימים לאותו שיעור שפסקו לה חכמים על דרך עולה עמו ואינה יורדת עמו שמתחייבת היא כמו כן במעשה ידיה, ולא נתחייב בכל מה שלותה ואפילו בכלום. ואם אינו מגיע החשבון להוצאתה על הדרך הזה יפרע ראובן כנגד השאר שנשאר מן החשבון.</w:t>
      </w:r>
      <w:r>
        <w:rPr>
          <w:rFonts w:cs="Arial" w:hint="cs"/>
          <w:rtl/>
        </w:rPr>
        <w:t xml:space="preserve"> </w:t>
      </w:r>
      <w:r w:rsidRPr="00D14ADC">
        <w:rPr>
          <w:rFonts w:cs="Arial"/>
          <w:rtl/>
        </w:rPr>
        <w:t>ואם האשה אינה מודה באותו חשבון שאמר בעלה ששגר או שהניח לה ישבע הבעל שבועת היסת שכך שגר לה או שהניח לה ויפטר, כדאמרינן מנה לי בידך אין לך בידי כלום משביעין אותו שבועת היסת. ואם האשה לא לותה כלום אלא אביה או אחיה הוסיפו לה פירות או ליפתן לענין כבוד או מרחמין עליה שלא לשום הלואה אין הבעל חייב באותן דברים כלל, ועלה אמרינן מי שהלך למדינת הים ועמד ופרנס את אשתו אחר אבד מעותיו, ומה שנתן לה אימר שנתנו לה לשום כבוד כגון ששלחו אליה מה שלא אמרה להם הלוני כך וכך שלחו לי כך וכך, אבל מה שקבלה מהם לשום הלואה חייב כדמפורש דינו, ואיני צריך להאריך בזה. ואם טוענים שהוא צוה אותם להוצאה על מנת שישלים הוא ואמר דלא היו דברים מעולם ישבע שלא צוה אותם בשבועת היסת ויהיה פטור.</w:t>
      </w:r>
    </w:p>
  </w:footnote>
  <w:footnote w:id="1112">
    <w:p w14:paraId="01EF5209" w14:textId="77777777" w:rsidR="00DF1FC7" w:rsidRDefault="00DF1FC7" w:rsidP="002E5BAD">
      <w:pPr>
        <w:pStyle w:val="a5"/>
      </w:pPr>
      <w:r>
        <w:rPr>
          <w:rStyle w:val="a7"/>
        </w:rPr>
        <w:footnoteRef/>
      </w:r>
      <w:r>
        <w:rPr>
          <w:rtl/>
        </w:rPr>
        <w:t xml:space="preserve"> </w:t>
      </w:r>
      <w:r w:rsidRPr="00EB5667">
        <w:rPr>
          <w:rFonts w:cs="Arial"/>
          <w:rtl/>
        </w:rPr>
        <w:t>והיינו טעם דסתמא דמילתא מתפיס לה צררי הלכך מוציאין מידה בשבועה</w:t>
      </w:r>
      <w:r>
        <w:rPr>
          <w:rFonts w:cs="Arial" w:hint="cs"/>
          <w:rtl/>
        </w:rPr>
        <w:t>, תוס' (שם ד"ה ואם בא).</w:t>
      </w:r>
      <w:r w:rsidRPr="00EF0181">
        <w:rPr>
          <w:rFonts w:cs="Arial"/>
          <w:rtl/>
        </w:rPr>
        <w:t xml:space="preserve"> </w:t>
      </w:r>
      <w:r>
        <w:rPr>
          <w:rFonts w:cs="Arial" w:hint="cs"/>
          <w:rtl/>
        </w:rPr>
        <w:t xml:space="preserve">וכן </w:t>
      </w:r>
      <w:r w:rsidRPr="00C6165E">
        <w:rPr>
          <w:rFonts w:cs="Arial"/>
          <w:rtl/>
        </w:rPr>
        <w:t>כיון שהוא מוחזק וטוען ברי לי אין מוציאין מידו</w:t>
      </w:r>
      <w:r>
        <w:rPr>
          <w:rFonts w:hint="cs"/>
          <w:rtl/>
        </w:rPr>
        <w:t>, טור בשם הרא"ש.</w:t>
      </w:r>
    </w:p>
  </w:footnote>
  <w:footnote w:id="1113">
    <w:p w14:paraId="552AD2FF" w14:textId="77777777" w:rsidR="00DF1FC7" w:rsidRDefault="00DF1FC7" w:rsidP="002E5BAD">
      <w:pPr>
        <w:pStyle w:val="a5"/>
        <w:rPr>
          <w:rtl/>
        </w:rPr>
      </w:pPr>
      <w:r>
        <w:rPr>
          <w:rStyle w:val="a7"/>
        </w:rPr>
        <w:footnoteRef/>
      </w:r>
      <w:r>
        <w:rPr>
          <w:rtl/>
        </w:rPr>
        <w:t xml:space="preserve"> </w:t>
      </w:r>
      <w:r w:rsidRPr="00235C1E">
        <w:rPr>
          <w:rFonts w:cs="Arial"/>
          <w:rtl/>
        </w:rPr>
        <w:t>וכתב הרא"ש (סי' א) לא נהירא לי האי פירושא דמילתא דפשיטא הוא מאחר שהוא מוחזק וטוען בריא שתהא צריכה שבועה ומאי קא משמע לן ועוד לישנא דנאמן לא משמע הכי ועוד מאחר שהוא מוחזק וטוען בריא למה מוציאין ממנו ממון וכי משום תקנתא דידה שתמצא ללוות נוציא ממון מחזקתו הילכך נראה כפירוש רש"י וכן פירש הרי"ף ז"ל (סב:) נאמן ובשבועה עכ"ל</w:t>
      </w:r>
      <w:r>
        <w:rPr>
          <w:rFonts w:hint="cs"/>
          <w:rtl/>
        </w:rPr>
        <w:t>, ב"י.</w:t>
      </w:r>
    </w:p>
  </w:footnote>
  <w:footnote w:id="1114">
    <w:p w14:paraId="66ED7586" w14:textId="77777777" w:rsidR="00DF1FC7" w:rsidRDefault="00DF1FC7" w:rsidP="002E5BAD">
      <w:pPr>
        <w:pStyle w:val="a5"/>
      </w:pPr>
      <w:r>
        <w:rPr>
          <w:rStyle w:val="a7"/>
        </w:rPr>
        <w:footnoteRef/>
      </w:r>
      <w:r>
        <w:rPr>
          <w:rtl/>
        </w:rPr>
        <w:t xml:space="preserve"> </w:t>
      </w:r>
      <w:r w:rsidRPr="00235C1E">
        <w:rPr>
          <w:rFonts w:cs="Arial"/>
          <w:rtl/>
        </w:rPr>
        <w:t>כתב רבינו שהיא נשבעת בנקיטת חפץ כשמכרה קרקע ונראה שהוא פירוש למה שאמרו במשנה תשבע בסוף ולא תשבע בתחלה כלומר תשבע בסוף כשיבוא הבעל אם יטעון דבר כנגדה כמו שיתבאר ושבועת המשנה ידוע שהוא בנקיטת חפץ</w:t>
      </w:r>
      <w:r>
        <w:rPr>
          <w:rFonts w:cs="Arial" w:hint="cs"/>
          <w:rtl/>
        </w:rPr>
        <w:t>, הה"מ</w:t>
      </w:r>
      <w:r w:rsidRPr="00A6324C">
        <w:rPr>
          <w:rFonts w:cs="Arial" w:hint="cs"/>
          <w:sz w:val="16"/>
          <w:szCs w:val="16"/>
          <w:rtl/>
        </w:rPr>
        <w:t xml:space="preserve"> (שם)</w:t>
      </w:r>
      <w:r>
        <w:rPr>
          <w:rFonts w:cs="Arial" w:hint="cs"/>
          <w:rtl/>
        </w:rPr>
        <w:t>.</w:t>
      </w:r>
      <w:r w:rsidRPr="00C94B7E">
        <w:rPr>
          <w:rFonts w:cs="Arial" w:hint="cs"/>
          <w:rtl/>
        </w:rPr>
        <w:t xml:space="preserve"> </w:t>
      </w:r>
      <w:r>
        <w:rPr>
          <w:rFonts w:cs="Arial" w:hint="cs"/>
          <w:rtl/>
        </w:rPr>
        <w:t>ועיין בב"י (לעיל על סע' ה) שפירש אחרת את דברי המשנה וז"ל- כלומר</w:t>
      </w:r>
      <w:r>
        <w:rPr>
          <w:rFonts w:cs="Arial"/>
          <w:rtl/>
        </w:rPr>
        <w:t xml:space="preserve"> כשישמעו שמת ותבוא לגבות כתובתה תשבע שלא עיכבה משל בעלה כלום ולא תשבע בתחלה בשעת גיבוי מזונות</w:t>
      </w:r>
      <w:r>
        <w:rPr>
          <w:rFonts w:hint="cs"/>
          <w:rtl/>
        </w:rPr>
        <w:t>.</w:t>
      </w:r>
    </w:p>
  </w:footnote>
  <w:footnote w:id="1115">
    <w:p w14:paraId="3EC2944F" w14:textId="77777777" w:rsidR="00DF1FC7" w:rsidRDefault="00DF1FC7" w:rsidP="002E5BAD">
      <w:pPr>
        <w:pStyle w:val="a5"/>
      </w:pPr>
      <w:r>
        <w:rPr>
          <w:rStyle w:val="a7"/>
        </w:rPr>
        <w:footnoteRef/>
      </w:r>
      <w:r>
        <w:rPr>
          <w:rtl/>
        </w:rPr>
        <w:t xml:space="preserve"> </w:t>
      </w:r>
      <w:r w:rsidRPr="00A6324C">
        <w:rPr>
          <w:rFonts w:cs="Arial"/>
          <w:rtl/>
        </w:rPr>
        <w:t>דעת רבינו שכיון שלא מכרה קרקע אלא מטלטלין שהיתה יכולה לכפור בהן ולומר אין לך בידי כלום ולא היתה נשבעת אלא היסת אף כאן אינה נשבעת אלא היסת</w:t>
      </w:r>
      <w:r>
        <w:rPr>
          <w:rFonts w:cs="Arial" w:hint="cs"/>
          <w:rtl/>
        </w:rPr>
        <w:t>, הה"מ (שם).</w:t>
      </w:r>
    </w:p>
  </w:footnote>
  <w:footnote w:id="1116">
    <w:p w14:paraId="49C0737D" w14:textId="77777777" w:rsidR="00DF1FC7" w:rsidRDefault="00DF1FC7" w:rsidP="002E5BAD">
      <w:pPr>
        <w:pStyle w:val="a5"/>
        <w:rPr>
          <w:rtl/>
        </w:rPr>
      </w:pPr>
      <w:r>
        <w:rPr>
          <w:rStyle w:val="a7"/>
        </w:rPr>
        <w:footnoteRef/>
      </w:r>
      <w:r>
        <w:rPr>
          <w:rtl/>
        </w:rPr>
        <w:t xml:space="preserve"> </w:t>
      </w:r>
      <w:r w:rsidRPr="0097582A">
        <w:rPr>
          <w:rFonts w:cs="Arial"/>
          <w:rtl/>
        </w:rPr>
        <w:t>ונראה לי שזהו כסברת ר"י שכתב דאין הבעל נאמן עליה רק להשביע אותה דאל</w:t>
      </w:r>
      <w:r>
        <w:rPr>
          <w:rFonts w:cs="Arial" w:hint="cs"/>
          <w:rtl/>
        </w:rPr>
        <w:t>"</w:t>
      </w:r>
      <w:r w:rsidRPr="0097582A">
        <w:rPr>
          <w:rFonts w:cs="Arial"/>
          <w:rtl/>
        </w:rPr>
        <w:t>כ אין אדם רוצה ללות לה</w:t>
      </w:r>
      <w:r>
        <w:rPr>
          <w:rFonts w:cs="Arial" w:hint="cs"/>
          <w:rtl/>
        </w:rPr>
        <w:t>,</w:t>
      </w:r>
      <w:r w:rsidRPr="0097582A">
        <w:rPr>
          <w:rFonts w:cs="Arial"/>
          <w:rtl/>
        </w:rPr>
        <w:t xml:space="preserve"> כדאיתא בתוספתא ובאשיר"י</w:t>
      </w:r>
      <w:r>
        <w:rPr>
          <w:rFonts w:cs="Arial" w:hint="cs"/>
          <w:rtl/>
        </w:rPr>
        <w:t>.</w:t>
      </w:r>
      <w:r w:rsidRPr="0097582A">
        <w:rPr>
          <w:rFonts w:cs="Arial"/>
          <w:rtl/>
        </w:rPr>
        <w:t xml:space="preserve"> אבל לפי דעת החולקים עליו דס"ל דהבעל נאמן בשבועה ואין חוששין לסברא זו אם כן הוא הדין כאן דאין לחלק</w:t>
      </w:r>
      <w:r>
        <w:rPr>
          <w:rFonts w:hint="cs"/>
          <w:rtl/>
        </w:rPr>
        <w:t>, דרכ"מ (אות יא).</w:t>
      </w:r>
    </w:p>
  </w:footnote>
  <w:footnote w:id="1117">
    <w:p w14:paraId="771B659D" w14:textId="77777777" w:rsidR="00DF1FC7" w:rsidRDefault="00DF1FC7" w:rsidP="002E5BAD">
      <w:pPr>
        <w:pStyle w:val="a5"/>
      </w:pPr>
      <w:r>
        <w:rPr>
          <w:rStyle w:val="a7"/>
        </w:rPr>
        <w:footnoteRef/>
      </w:r>
      <w:r>
        <w:rPr>
          <w:rtl/>
        </w:rPr>
        <w:t xml:space="preserve"> </w:t>
      </w:r>
      <w:r w:rsidRPr="009E3C46">
        <w:rPr>
          <w:rFonts w:cs="Arial"/>
          <w:rtl/>
        </w:rPr>
        <w:t xml:space="preserve">ודלא כהרמב"ם ז"ל שכתב (פי"ב </w:t>
      </w:r>
      <w:r>
        <w:rPr>
          <w:rFonts w:cs="Arial" w:hint="cs"/>
          <w:rtl/>
        </w:rPr>
        <w:t>מ</w:t>
      </w:r>
      <w:r w:rsidRPr="009E3C46">
        <w:rPr>
          <w:rFonts w:cs="Arial"/>
          <w:rtl/>
        </w:rPr>
        <w:t>אישות הט"ז) שמי שהלך למדינת הים ואשתו תובעת מזונות שאין ב"ד אומרים לה שתעשה ותאכל אלא פוסקין לה מזונות דלא מסתבר כלל שהדבר ראוי כשנפרעים מנכסי אדם שלא בפניו שיש להפך בזכותו הואיל ובגרמא דידיה מפסידו</w:t>
      </w:r>
      <w:r>
        <w:rPr>
          <w:rFonts w:cs="Arial" w:hint="cs"/>
          <w:rtl/>
        </w:rPr>
        <w:t xml:space="preserve">, רא"ש (שם). </w:t>
      </w:r>
    </w:p>
  </w:footnote>
  <w:footnote w:id="1118">
    <w:p w14:paraId="711624C1" w14:textId="77777777" w:rsidR="00DF1FC7" w:rsidRDefault="00DF1FC7" w:rsidP="002E5BAD">
      <w:pPr>
        <w:pStyle w:val="a5"/>
      </w:pPr>
      <w:r>
        <w:rPr>
          <w:rStyle w:val="a7"/>
        </w:rPr>
        <w:footnoteRef/>
      </w:r>
      <w:r>
        <w:rPr>
          <w:rtl/>
        </w:rPr>
        <w:t xml:space="preserve"> </w:t>
      </w:r>
      <w:r w:rsidRPr="009E3C46">
        <w:rPr>
          <w:rFonts w:cs="Arial"/>
          <w:rtl/>
        </w:rPr>
        <w:t>וכתב הרב המגיד בפי"ב מהלכות אישות (הי"ט) נראה מדברי רבינו שאפילו בלותה אין מחשבין עמה על מעשה ידיה אלא פורע הקפותיה</w:t>
      </w:r>
      <w:r>
        <w:rPr>
          <w:rFonts w:cs="Arial" w:hint="cs"/>
          <w:rtl/>
        </w:rPr>
        <w:t>,</w:t>
      </w:r>
      <w:r w:rsidRPr="009E3C46">
        <w:rPr>
          <w:rFonts w:cs="Arial"/>
          <w:rtl/>
        </w:rPr>
        <w:t xml:space="preserve"> וכן הסכים הרמב"ן ז"ל (קז. ד"ה ומדאמרינן) עכ"ל. ועיין במרדכי</w:t>
      </w:r>
      <w:r>
        <w:rPr>
          <w:rFonts w:cs="Arial" w:hint="cs"/>
          <w:rtl/>
        </w:rPr>
        <w:t>, ב"י.</w:t>
      </w:r>
    </w:p>
  </w:footnote>
  <w:footnote w:id="1119">
    <w:p w14:paraId="798CEF87" w14:textId="77777777" w:rsidR="00DF1FC7" w:rsidRDefault="00DF1FC7" w:rsidP="002E5BAD">
      <w:pPr>
        <w:pStyle w:val="a5"/>
      </w:pPr>
      <w:r>
        <w:rPr>
          <w:rStyle w:val="a7"/>
        </w:rPr>
        <w:footnoteRef/>
      </w:r>
      <w:r>
        <w:rPr>
          <w:rtl/>
        </w:rPr>
        <w:t xml:space="preserve"> </w:t>
      </w:r>
      <w:r w:rsidRPr="00A6324C">
        <w:rPr>
          <w:rFonts w:cs="Arial"/>
          <w:rtl/>
        </w:rPr>
        <w:t xml:space="preserve">פשוט הוא לפי הגירסא </w:t>
      </w:r>
      <w:r>
        <w:rPr>
          <w:rFonts w:cs="Arial" w:hint="cs"/>
          <w:sz w:val="16"/>
          <w:szCs w:val="16"/>
          <w:rtl/>
        </w:rPr>
        <w:t xml:space="preserve">{השניה} </w:t>
      </w:r>
      <w:r w:rsidRPr="00A6324C">
        <w:rPr>
          <w:rFonts w:cs="Arial"/>
          <w:rtl/>
        </w:rPr>
        <w:t>שהזכרתי בברייתא ואמר צאי מעשה ידיך במזונותיך</w:t>
      </w:r>
      <w:r>
        <w:rPr>
          <w:rFonts w:cs="Arial" w:hint="cs"/>
          <w:rtl/>
        </w:rPr>
        <w:t>.</w:t>
      </w:r>
      <w:r w:rsidRPr="00A6324C">
        <w:rPr>
          <w:rFonts w:cs="Arial"/>
          <w:rtl/>
        </w:rPr>
        <w:t xml:space="preserve"> ואפילו לגירסא האחרת דין זה אמת</w:t>
      </w:r>
      <w:r>
        <w:rPr>
          <w:rFonts w:cs="Arial" w:hint="cs"/>
          <w:rtl/>
        </w:rPr>
        <w:t xml:space="preserve">, </w:t>
      </w:r>
      <w:r w:rsidRPr="00A6324C">
        <w:rPr>
          <w:rFonts w:cs="Arial"/>
          <w:rtl/>
        </w:rPr>
        <w:t xml:space="preserve">וכתב הרמב"ן ז"ל </w:t>
      </w:r>
      <w:r w:rsidRPr="00EF0181">
        <w:rPr>
          <w:rFonts w:cs="Arial"/>
          <w:sz w:val="16"/>
          <w:szCs w:val="16"/>
          <w:rtl/>
        </w:rPr>
        <w:t>(</w:t>
      </w:r>
      <w:r>
        <w:rPr>
          <w:rFonts w:cs="Arial" w:hint="cs"/>
          <w:sz w:val="16"/>
          <w:szCs w:val="16"/>
          <w:rtl/>
        </w:rPr>
        <w:t xml:space="preserve">כתובות </w:t>
      </w:r>
      <w:r w:rsidRPr="00EF0181">
        <w:rPr>
          <w:rFonts w:cs="Arial"/>
          <w:sz w:val="16"/>
          <w:szCs w:val="16"/>
          <w:rtl/>
        </w:rPr>
        <w:t xml:space="preserve">צו. ד"ה אלמנה) </w:t>
      </w:r>
      <w:r w:rsidRPr="00A6324C">
        <w:rPr>
          <w:rFonts w:cs="Arial"/>
          <w:rtl/>
        </w:rPr>
        <w:t>והוכיח כן וכתב הוא ז"ל וה"מ דלא מפקא מבעל כלום אבל אם עשתה והותירה הכל שלה שכל שאינו נותן לה מזונות זכתה היא במעשה ידיה ואפילו דרך שתיקה וכן דעת הרשב"א ז"ל עכ"ל</w:t>
      </w:r>
      <w:r>
        <w:rPr>
          <w:rFonts w:cs="Arial" w:hint="cs"/>
          <w:rtl/>
        </w:rPr>
        <w:t>, הה"מ (שם).</w:t>
      </w:r>
      <w:r>
        <w:rPr>
          <w:rFonts w:hint="cs"/>
          <w:rtl/>
        </w:rPr>
        <w:t xml:space="preserve"> </w:t>
      </w:r>
      <w:r w:rsidRPr="00765055">
        <w:rPr>
          <w:rFonts w:hint="cs"/>
          <w:color w:val="E36C0A" w:themeColor="accent6" w:themeShade="BF"/>
          <w:rtl/>
        </w:rPr>
        <w:t>(וכ"פ בשו"ע)</w:t>
      </w:r>
    </w:p>
  </w:footnote>
  <w:footnote w:id="1120">
    <w:p w14:paraId="2ECE1225" w14:textId="77777777" w:rsidR="00DF1FC7" w:rsidRDefault="00DF1FC7" w:rsidP="002E5BAD">
      <w:pPr>
        <w:pStyle w:val="a5"/>
        <w:rPr>
          <w:rtl/>
        </w:rPr>
      </w:pPr>
      <w:r>
        <w:rPr>
          <w:rStyle w:val="a7"/>
        </w:rPr>
        <w:footnoteRef/>
      </w:r>
      <w:r>
        <w:rPr>
          <w:rtl/>
        </w:rPr>
        <w:t xml:space="preserve"> </w:t>
      </w:r>
      <w:r w:rsidRPr="00765055">
        <w:rPr>
          <w:rFonts w:cs="Arial"/>
          <w:rtl/>
        </w:rPr>
        <w:t>ועיין בתשובת הרשב"א שכתבתי בסימן ע"ז (קיז. ד"ה כתב) ובדברי הרמב"ן שכתבתי בסימן צד (שם)</w:t>
      </w:r>
      <w:r>
        <w:rPr>
          <w:rFonts w:hint="cs"/>
          <w:rtl/>
        </w:rPr>
        <w:t>, ב"י (בבדה"ב).</w:t>
      </w:r>
    </w:p>
  </w:footnote>
  <w:footnote w:id="1121">
    <w:p w14:paraId="329AD1E9" w14:textId="77777777" w:rsidR="00DF1FC7" w:rsidRDefault="00DF1FC7" w:rsidP="002E5BAD">
      <w:pPr>
        <w:pStyle w:val="a5"/>
      </w:pPr>
      <w:r>
        <w:rPr>
          <w:rStyle w:val="a7"/>
        </w:rPr>
        <w:footnoteRef/>
      </w:r>
      <w:r>
        <w:rPr>
          <w:rtl/>
        </w:rPr>
        <w:t xml:space="preserve"> </w:t>
      </w:r>
      <w:r w:rsidRPr="00AB592A">
        <w:rPr>
          <w:rFonts w:cs="Arial"/>
          <w:rtl/>
        </w:rPr>
        <w:t>כשישבו סנהדרי גזית באושא שהיא אחת מעשר גליות שגלתה סנהדרין כדאמר בר"ה (לא</w:t>
      </w:r>
      <w:r>
        <w:rPr>
          <w:rFonts w:cs="Arial" w:hint="cs"/>
          <w:rtl/>
        </w:rPr>
        <w:t>.</w:t>
      </w:r>
      <w:r w:rsidRPr="00AB592A">
        <w:rPr>
          <w:rFonts w:cs="Arial"/>
          <w:rtl/>
        </w:rPr>
        <w:t>)</w:t>
      </w:r>
      <w:r>
        <w:rPr>
          <w:rFonts w:cs="Arial" w:hint="cs"/>
          <w:rtl/>
        </w:rPr>
        <w:t>, רש"י.</w:t>
      </w:r>
    </w:p>
  </w:footnote>
  <w:footnote w:id="1122">
    <w:p w14:paraId="7873A185" w14:textId="77777777" w:rsidR="00DF1FC7" w:rsidRDefault="00DF1FC7" w:rsidP="002E5BAD">
      <w:pPr>
        <w:pStyle w:val="a5"/>
      </w:pPr>
      <w:r>
        <w:rPr>
          <w:rStyle w:val="a7"/>
        </w:rPr>
        <w:footnoteRef/>
      </w:r>
      <w:r>
        <w:rPr>
          <w:rtl/>
        </w:rPr>
        <w:t xml:space="preserve"> </w:t>
      </w:r>
      <w:r w:rsidRPr="00AB592A">
        <w:rPr>
          <w:rFonts w:cs="Arial"/>
          <w:rtl/>
        </w:rPr>
        <w:t>עד שיביאו שערות</w:t>
      </w:r>
      <w:r>
        <w:rPr>
          <w:rFonts w:hint="cs"/>
          <w:rtl/>
        </w:rPr>
        <w:t>, רש"י.</w:t>
      </w:r>
    </w:p>
  </w:footnote>
  <w:footnote w:id="1123">
    <w:p w14:paraId="07086F45" w14:textId="77777777" w:rsidR="00DF1FC7" w:rsidRDefault="00DF1FC7" w:rsidP="002E5BAD">
      <w:pPr>
        <w:pStyle w:val="a5"/>
        <w:rPr>
          <w:rtl/>
        </w:rPr>
      </w:pPr>
      <w:r>
        <w:rPr>
          <w:rStyle w:val="a7"/>
        </w:rPr>
        <w:footnoteRef/>
      </w:r>
      <w:r>
        <w:rPr>
          <w:rtl/>
        </w:rPr>
        <w:t xml:space="preserve"> </w:t>
      </w:r>
      <w:r w:rsidRPr="00AB592A">
        <w:rPr>
          <w:rFonts w:cs="Arial"/>
          <w:rtl/>
        </w:rPr>
        <w:t>דלית הלכתא כוותיה אלא מימר אמרינן ליה ואולי יכלכלם ויזון אבל מיכף לא כייפינן</w:t>
      </w:r>
      <w:r>
        <w:rPr>
          <w:rFonts w:cs="Arial" w:hint="cs"/>
          <w:rtl/>
        </w:rPr>
        <w:t>, רש"י.</w:t>
      </w:r>
    </w:p>
  </w:footnote>
  <w:footnote w:id="1124">
    <w:p w14:paraId="69A15898" w14:textId="77777777" w:rsidR="00DF1FC7" w:rsidRDefault="00DF1FC7" w:rsidP="002E5BAD">
      <w:pPr>
        <w:pStyle w:val="a5"/>
        <w:rPr>
          <w:rtl/>
        </w:rPr>
      </w:pPr>
      <w:r>
        <w:rPr>
          <w:rStyle w:val="a7"/>
        </w:rPr>
        <w:footnoteRef/>
      </w:r>
      <w:r>
        <w:rPr>
          <w:rtl/>
        </w:rPr>
        <w:t xml:space="preserve"> </w:t>
      </w:r>
      <w:r w:rsidRPr="00AB592A">
        <w:rPr>
          <w:rFonts w:cs="Arial"/>
          <w:rtl/>
        </w:rPr>
        <w:t>התנין הוליד תולדותיו והטיל פרנסתן על בני העיר</w:t>
      </w:r>
      <w:r>
        <w:rPr>
          <w:rFonts w:hint="cs"/>
          <w:rtl/>
        </w:rPr>
        <w:t>, רש"י.</w:t>
      </w:r>
    </w:p>
  </w:footnote>
  <w:footnote w:id="1125">
    <w:p w14:paraId="6DD0B7B3" w14:textId="77777777" w:rsidR="00DF1FC7" w:rsidRDefault="00DF1FC7" w:rsidP="002E5BAD">
      <w:pPr>
        <w:pStyle w:val="a5"/>
      </w:pPr>
      <w:r>
        <w:rPr>
          <w:rStyle w:val="a7"/>
        </w:rPr>
        <w:footnoteRef/>
      </w:r>
      <w:r>
        <w:rPr>
          <w:rtl/>
        </w:rPr>
        <w:t xml:space="preserve"> </w:t>
      </w:r>
      <w:r w:rsidRPr="00AB592A">
        <w:rPr>
          <w:rFonts w:cs="Arial"/>
          <w:rtl/>
        </w:rPr>
        <w:t>כפו מכתשת על פיה ויעמוד זה על גב שוליה בגובה שישמעו קולו ויכריז על עצמו שהוא רע מן העורבים דעורבא בעי בני וההוא גברא לא בעי בני ואית דמפרשי שליח צבור יעמוד עליה ויאמר כן על אותו האיש</w:t>
      </w:r>
      <w:r>
        <w:rPr>
          <w:rFonts w:cs="Arial" w:hint="cs"/>
          <w:rtl/>
        </w:rPr>
        <w:t>, רש"י.</w:t>
      </w:r>
    </w:p>
  </w:footnote>
  <w:footnote w:id="1126">
    <w:p w14:paraId="7B245139" w14:textId="77777777" w:rsidR="00DF1FC7" w:rsidRDefault="00DF1FC7" w:rsidP="002E5BAD">
      <w:pPr>
        <w:pStyle w:val="a5"/>
      </w:pPr>
      <w:r>
        <w:rPr>
          <w:rStyle w:val="a7"/>
        </w:rPr>
        <w:footnoteRef/>
      </w:r>
      <w:r>
        <w:rPr>
          <w:rtl/>
        </w:rPr>
        <w:t xml:space="preserve"> </w:t>
      </w:r>
      <w:r w:rsidRPr="005B4B44">
        <w:rPr>
          <w:rFonts w:cs="Arial"/>
          <w:rtl/>
        </w:rPr>
        <w:t>שתמיד יום ולילה הן עליו והיא צדקה שאינו חיוב עליו בהם</w:t>
      </w:r>
      <w:r>
        <w:rPr>
          <w:rFonts w:cs="Arial" w:hint="cs"/>
          <w:rtl/>
        </w:rPr>
        <w:t>, רש"י.</w:t>
      </w:r>
    </w:p>
  </w:footnote>
  <w:footnote w:id="1127">
    <w:p w14:paraId="3B4CFA02" w14:textId="77777777" w:rsidR="00DF1FC7" w:rsidRDefault="00DF1FC7" w:rsidP="002E5BAD">
      <w:pPr>
        <w:pStyle w:val="a5"/>
        <w:rPr>
          <w:rtl/>
        </w:rPr>
      </w:pPr>
      <w:r>
        <w:rPr>
          <w:rStyle w:val="a7"/>
        </w:rPr>
        <w:footnoteRef/>
      </w:r>
      <w:r>
        <w:rPr>
          <w:rtl/>
        </w:rPr>
        <w:t xml:space="preserve"> </w:t>
      </w:r>
      <w:r w:rsidRPr="00F350E1">
        <w:rPr>
          <w:rFonts w:cs="Arial"/>
          <w:rtl/>
        </w:rPr>
        <w:t>ועיין לקמן סוף סימן זה (</w:t>
      </w:r>
      <w:r>
        <w:rPr>
          <w:rFonts w:cs="Arial" w:hint="cs"/>
          <w:rtl/>
        </w:rPr>
        <w:t>סע' ה</w:t>
      </w:r>
      <w:r w:rsidRPr="00F350E1">
        <w:rPr>
          <w:rFonts w:cs="Arial"/>
          <w:rtl/>
        </w:rPr>
        <w:t xml:space="preserve">) </w:t>
      </w:r>
      <w:r>
        <w:rPr>
          <w:rFonts w:cs="Arial" w:hint="cs"/>
          <w:rtl/>
        </w:rPr>
        <w:t>מ</w:t>
      </w:r>
      <w:r w:rsidRPr="00F350E1">
        <w:rPr>
          <w:rFonts w:cs="Arial"/>
          <w:rtl/>
        </w:rPr>
        <w:t>תשובת רא"ש וריב"ש דמשמע דלא סבירי להו כדעת הר"ן</w:t>
      </w:r>
      <w:r>
        <w:rPr>
          <w:rFonts w:cs="Arial" w:hint="cs"/>
          <w:rtl/>
        </w:rPr>
        <w:t>, דרכ"מ (אות א).</w:t>
      </w:r>
    </w:p>
  </w:footnote>
  <w:footnote w:id="1128">
    <w:p w14:paraId="131FF3C6" w14:textId="77777777" w:rsidR="00DF1FC7" w:rsidRDefault="00DF1FC7" w:rsidP="002E5BAD">
      <w:pPr>
        <w:pStyle w:val="a5"/>
      </w:pPr>
      <w:r>
        <w:rPr>
          <w:rStyle w:val="a7"/>
        </w:rPr>
        <w:footnoteRef/>
      </w:r>
      <w:r>
        <w:rPr>
          <w:rtl/>
        </w:rPr>
        <w:t xml:space="preserve"> </w:t>
      </w:r>
      <w:r w:rsidRPr="00AA5A7B">
        <w:rPr>
          <w:rFonts w:cs="Arial"/>
          <w:rtl/>
        </w:rPr>
        <w:t>שאינו חייב במזונותיהן בחייו</w:t>
      </w:r>
      <w:r>
        <w:rPr>
          <w:rFonts w:cs="Arial" w:hint="cs"/>
          <w:rtl/>
        </w:rPr>
        <w:t>, רש"י.</w:t>
      </w:r>
    </w:p>
  </w:footnote>
  <w:footnote w:id="1129">
    <w:p w14:paraId="4BD7ACA0" w14:textId="77777777" w:rsidR="00DF1FC7" w:rsidRDefault="00DF1FC7" w:rsidP="002E5BAD">
      <w:pPr>
        <w:pStyle w:val="a5"/>
      </w:pPr>
      <w:r>
        <w:rPr>
          <w:rStyle w:val="a7"/>
        </w:rPr>
        <w:footnoteRef/>
      </w:r>
      <w:r>
        <w:rPr>
          <w:rtl/>
        </w:rPr>
        <w:t xml:space="preserve"> </w:t>
      </w:r>
      <w:r w:rsidRPr="00AA5A7B">
        <w:rPr>
          <w:rFonts w:cs="Arial"/>
          <w:rtl/>
        </w:rPr>
        <w:t>יוצא מן המקום לדעת היה בידו לצוות על מזונות בניו ובנותיו ואשתו ולא צוה גילה דעתו שאינו רוצה לזונן הילכך אשתו דמיחייב לה בתנאי כתובה אשתעבוד ניכסיה בניו ובנותיו לא אבל נשתטה דיצא מן העולם שלא לדעת מסתמא ניחא ליה שיזונו בניו ובנותיו משלו</w:t>
      </w:r>
      <w:r>
        <w:rPr>
          <w:rFonts w:cs="Arial" w:hint="cs"/>
          <w:rtl/>
        </w:rPr>
        <w:t>, רש"י.</w:t>
      </w:r>
    </w:p>
  </w:footnote>
  <w:footnote w:id="1130">
    <w:p w14:paraId="2C064AB8" w14:textId="77777777" w:rsidR="00DF1FC7" w:rsidRDefault="00DF1FC7" w:rsidP="002E5BAD">
      <w:pPr>
        <w:pStyle w:val="a5"/>
      </w:pPr>
      <w:r>
        <w:rPr>
          <w:rStyle w:val="a7"/>
        </w:rPr>
        <w:footnoteRef/>
      </w:r>
      <w:r>
        <w:rPr>
          <w:rtl/>
        </w:rPr>
        <w:t xml:space="preserve"> </w:t>
      </w:r>
      <w:r w:rsidRPr="00DD1356">
        <w:rPr>
          <w:rFonts w:cs="Arial"/>
          <w:rtl/>
        </w:rPr>
        <w:t>בשמים של אבקת רוכל שהנשים מתקשטות בהם</w:t>
      </w:r>
      <w:r>
        <w:rPr>
          <w:rFonts w:cs="Arial" w:hint="cs"/>
          <w:rtl/>
        </w:rPr>
        <w:t>, רש"י.</w:t>
      </w:r>
    </w:p>
  </w:footnote>
  <w:footnote w:id="1131">
    <w:p w14:paraId="086D5175" w14:textId="77777777" w:rsidR="00DF1FC7" w:rsidRDefault="00DF1FC7" w:rsidP="002E5BAD">
      <w:pPr>
        <w:pStyle w:val="a5"/>
        <w:rPr>
          <w:rtl/>
        </w:rPr>
      </w:pPr>
      <w:r>
        <w:rPr>
          <w:rStyle w:val="a7"/>
        </w:rPr>
        <w:footnoteRef/>
      </w:r>
      <w:r>
        <w:rPr>
          <w:rtl/>
        </w:rPr>
        <w:t xml:space="preserve"> </w:t>
      </w:r>
      <w:r>
        <w:rPr>
          <w:rFonts w:cs="Arial" w:hint="cs"/>
          <w:rtl/>
        </w:rPr>
        <w:t xml:space="preserve">והטור כתב שאין נראים לו דברי הרמב"ם בזה. </w:t>
      </w:r>
      <w:r w:rsidRPr="00F350E1">
        <w:rPr>
          <w:rFonts w:cs="Arial"/>
          <w:rtl/>
        </w:rPr>
        <w:t>ו</w:t>
      </w:r>
      <w:r>
        <w:rPr>
          <w:rFonts w:cs="Arial" w:hint="cs"/>
          <w:rtl/>
        </w:rPr>
        <w:t>כתב הב"י ד</w:t>
      </w:r>
      <w:r w:rsidRPr="00F350E1">
        <w:rPr>
          <w:rFonts w:cs="Arial"/>
          <w:rtl/>
        </w:rPr>
        <w:t>מה שהוקשה לרבינו בדבריו</w:t>
      </w:r>
      <w:r>
        <w:rPr>
          <w:rFonts w:cs="Arial" w:hint="cs"/>
          <w:rtl/>
        </w:rPr>
        <w:t>,</w:t>
      </w:r>
      <w:r w:rsidRPr="00F350E1">
        <w:rPr>
          <w:rFonts w:cs="Arial"/>
          <w:rtl/>
        </w:rPr>
        <w:t xml:space="preserve"> כבר הרגיש בו הרב המגיד וישבו שכתב וז"ל</w:t>
      </w:r>
      <w:r>
        <w:rPr>
          <w:rFonts w:cs="Arial" w:hint="cs"/>
          <w:rtl/>
        </w:rPr>
        <w:t>-</w:t>
      </w:r>
      <w:r w:rsidRPr="00F350E1">
        <w:rPr>
          <w:rFonts w:cs="Arial"/>
          <w:rtl/>
        </w:rPr>
        <w:t xml:space="preserve"> ויש לשאול שנראה מדבריו שהבנים שהם יותר על שש אין זנין אותם מנכסי מי שנשתטה ודינו שוה למי שהלך למדינת הים</w:t>
      </w:r>
      <w:r>
        <w:rPr>
          <w:rFonts w:cs="Arial" w:hint="cs"/>
          <w:rtl/>
        </w:rPr>
        <w:t>.</w:t>
      </w:r>
      <w:r w:rsidRPr="00F350E1">
        <w:rPr>
          <w:rFonts w:cs="Arial"/>
          <w:rtl/>
        </w:rPr>
        <w:t xml:space="preserve"> ובגמרא חלקו בהם בפירוש</w:t>
      </w:r>
      <w:r>
        <w:rPr>
          <w:rFonts w:cs="Arial" w:hint="cs"/>
          <w:rtl/>
        </w:rPr>
        <w:t>,</w:t>
      </w:r>
      <w:r w:rsidRPr="00F350E1">
        <w:rPr>
          <w:rFonts w:cs="Arial"/>
          <w:rtl/>
        </w:rPr>
        <w:t xml:space="preserve"> ואין שם בזה שום מחלוקת</w:t>
      </w:r>
      <w:r>
        <w:rPr>
          <w:rFonts w:cs="Arial" w:hint="cs"/>
          <w:rtl/>
        </w:rPr>
        <w:t>.</w:t>
      </w:r>
      <w:r w:rsidRPr="00F350E1">
        <w:rPr>
          <w:rFonts w:cs="Arial"/>
          <w:rtl/>
        </w:rPr>
        <w:t xml:space="preserve"> והתשובה</w:t>
      </w:r>
      <w:r>
        <w:rPr>
          <w:rFonts w:cs="Arial" w:hint="cs"/>
          <w:rtl/>
        </w:rPr>
        <w:t>,</w:t>
      </w:r>
      <w:r w:rsidRPr="00F350E1">
        <w:rPr>
          <w:rFonts w:cs="Arial"/>
          <w:rtl/>
        </w:rPr>
        <w:t xml:space="preserve"> שרבינו לא כתב במי שנשתטה אלא מי שמוציאין מנכסיו בין שהוא אמיד בין שאינו אמיד והוא בקטנים עד שש</w:t>
      </w:r>
      <w:r>
        <w:rPr>
          <w:rFonts w:cs="Arial" w:hint="cs"/>
          <w:rtl/>
        </w:rPr>
        <w:t>,</w:t>
      </w:r>
      <w:r w:rsidRPr="00F350E1">
        <w:rPr>
          <w:rFonts w:cs="Arial"/>
          <w:rtl/>
        </w:rPr>
        <w:t xml:space="preserve"> ובזה הושוו מי שנשתטה ומי שהלך למדינת הים</w:t>
      </w:r>
      <w:r>
        <w:rPr>
          <w:rFonts w:cs="Arial" w:hint="cs"/>
          <w:rtl/>
        </w:rPr>
        <w:t>.</w:t>
      </w:r>
      <w:r w:rsidRPr="00F350E1">
        <w:rPr>
          <w:rFonts w:cs="Arial"/>
          <w:rtl/>
        </w:rPr>
        <w:t xml:space="preserve"> אבל בגדולים מבן שש והוא אמיד לא דיבר רבינו בכאן</w:t>
      </w:r>
      <w:r>
        <w:rPr>
          <w:rFonts w:cs="Arial" w:hint="cs"/>
          <w:rtl/>
        </w:rPr>
        <w:t>,</w:t>
      </w:r>
      <w:r w:rsidRPr="00F350E1">
        <w:rPr>
          <w:rFonts w:cs="Arial"/>
          <w:rtl/>
        </w:rPr>
        <w:t xml:space="preserve"> ובזה חלוק מי שנשתטה ומי שהלך למדינת הים</w:t>
      </w:r>
      <w:r>
        <w:rPr>
          <w:rFonts w:cs="Arial" w:hint="cs"/>
          <w:rtl/>
        </w:rPr>
        <w:t>.</w:t>
      </w:r>
      <w:r w:rsidRPr="00F350E1">
        <w:rPr>
          <w:rFonts w:cs="Arial"/>
          <w:rtl/>
        </w:rPr>
        <w:t xml:space="preserve"> וסמך לו רבינו על מה שכתב בסוף הלכות נחלות (פי"א הי"א) שמי שנשתטה שפוסקין צדקה על ממונו ולא יהיו בניו הגדולים על שש פחותים מאחר</w:t>
      </w:r>
      <w:r>
        <w:rPr>
          <w:rFonts w:cs="Arial" w:hint="cs"/>
          <w:rtl/>
        </w:rPr>
        <w:t>,</w:t>
      </w:r>
      <w:r w:rsidRPr="00F350E1">
        <w:rPr>
          <w:rFonts w:cs="Arial"/>
          <w:rtl/>
        </w:rPr>
        <w:t xml:space="preserve"> וכבר ביאר רבינו למעלה (הט"ו) שהן נזונין משום צדקה</w:t>
      </w:r>
      <w:r>
        <w:rPr>
          <w:rFonts w:cs="Arial" w:hint="cs"/>
          <w:rtl/>
        </w:rPr>
        <w:t>,</w:t>
      </w:r>
      <w:r w:rsidRPr="00F350E1">
        <w:rPr>
          <w:rFonts w:cs="Arial"/>
          <w:rtl/>
        </w:rPr>
        <w:t xml:space="preserve"> וכל שכן שמוציאין ממנו צדקה וזנין בניו וזה ברור כנ"ל עכ"</w:t>
      </w:r>
      <w:r>
        <w:rPr>
          <w:rFonts w:cs="Arial" w:hint="cs"/>
          <w:rtl/>
        </w:rPr>
        <w:t>ל</w:t>
      </w:r>
      <w:r w:rsidRPr="00F350E1">
        <w:rPr>
          <w:rFonts w:cs="Arial"/>
          <w:rtl/>
        </w:rPr>
        <w:t>.</w:t>
      </w:r>
    </w:p>
  </w:footnote>
  <w:footnote w:id="1132">
    <w:p w14:paraId="64DABC76" w14:textId="77777777" w:rsidR="00DF1FC7" w:rsidRDefault="00DF1FC7" w:rsidP="002E5BAD">
      <w:pPr>
        <w:pStyle w:val="a5"/>
        <w:rPr>
          <w:rtl/>
        </w:rPr>
      </w:pPr>
      <w:r>
        <w:rPr>
          <w:rStyle w:val="a7"/>
        </w:rPr>
        <w:footnoteRef/>
      </w:r>
      <w:r>
        <w:rPr>
          <w:rtl/>
        </w:rPr>
        <w:t xml:space="preserve"> </w:t>
      </w:r>
      <w:r w:rsidRPr="00F350E1">
        <w:rPr>
          <w:rFonts w:cs="Arial"/>
          <w:rtl/>
        </w:rPr>
        <w:t>כתב הר"ן (יז. ד"ה וזנין) מצאתי בתלוי בהלכות ישנות הילכך לגבי מי שנשתטה עבדינן הא והא ולגבי מי שהלך הא והא לא עבדינן כרב חסדא דרביה הוא לגבי רב יוסף ואף הרמב"ם כתב בסוף הלכות נחלות ומי שנשתטה או נתחרש ב"ד פוסקין עליו צדקה אם היה ראוי ולא ידעתי למה דלרב חסדא דאמר תכשיט נהי דאברייתא קאי איפשר דדבר אחר דאמר מר עוקבא גבי נשתטה ה"נ מפ' ליה אתכשיט שמענו אבל צדקה מנין עכ"ל.</w:t>
      </w:r>
      <w:r>
        <w:rPr>
          <w:rFonts w:hint="cs"/>
          <w:rtl/>
        </w:rPr>
        <w:t xml:space="preserve"> </w:t>
      </w:r>
      <w:r w:rsidRPr="00585E9A">
        <w:rPr>
          <w:rFonts w:hint="cs"/>
          <w:color w:val="FF0000"/>
          <w:rtl/>
        </w:rPr>
        <w:t xml:space="preserve">הביאו הב"י </w:t>
      </w:r>
      <w:r w:rsidRPr="00585E9A">
        <w:rPr>
          <w:color w:val="FF0000"/>
          <w:rtl/>
        </w:rPr>
        <w:t>–</w:t>
      </w:r>
      <w:r w:rsidRPr="00585E9A">
        <w:rPr>
          <w:rFonts w:hint="cs"/>
          <w:color w:val="FF0000"/>
          <w:rtl/>
        </w:rPr>
        <w:t xml:space="preserve"> ולא הבנתי </w:t>
      </w:r>
      <w:r>
        <w:rPr>
          <w:rFonts w:hint="cs"/>
          <w:color w:val="FF0000"/>
          <w:rtl/>
        </w:rPr>
        <w:t>את דברי הר"ן ו</w:t>
      </w:r>
      <w:r w:rsidRPr="00585E9A">
        <w:rPr>
          <w:rFonts w:hint="cs"/>
          <w:color w:val="FF0000"/>
          <w:rtl/>
        </w:rPr>
        <w:t>למה</w:t>
      </w:r>
      <w:r>
        <w:rPr>
          <w:rFonts w:hint="cs"/>
          <w:color w:val="FF0000"/>
          <w:rtl/>
        </w:rPr>
        <w:t xml:space="preserve"> הביאו הב"י.</w:t>
      </w:r>
    </w:p>
  </w:footnote>
  <w:footnote w:id="1133">
    <w:p w14:paraId="367CD53B" w14:textId="77777777" w:rsidR="00DF1FC7" w:rsidRPr="008B045F" w:rsidRDefault="00DF1FC7" w:rsidP="002E5BAD">
      <w:pPr>
        <w:pStyle w:val="a5"/>
        <w:rPr>
          <w:rtl/>
        </w:rPr>
      </w:pPr>
      <w:r>
        <w:rPr>
          <w:rStyle w:val="a7"/>
        </w:rPr>
        <w:footnoteRef/>
      </w:r>
      <w:r>
        <w:rPr>
          <w:rtl/>
        </w:rPr>
        <w:t xml:space="preserve"> </w:t>
      </w:r>
      <w:r>
        <w:rPr>
          <w:rFonts w:hint="cs"/>
          <w:rtl/>
        </w:rPr>
        <w:t xml:space="preserve">והביא </w:t>
      </w:r>
      <w:r>
        <w:rPr>
          <w:rFonts w:cs="Arial" w:hint="cs"/>
          <w:rtl/>
        </w:rPr>
        <w:t xml:space="preserve">מרדכי </w:t>
      </w:r>
      <w:r>
        <w:rPr>
          <w:rFonts w:cs="Arial" w:hint="cs"/>
          <w:sz w:val="16"/>
          <w:szCs w:val="16"/>
          <w:rtl/>
        </w:rPr>
        <w:t xml:space="preserve">(כתובות סי' קסה) </w:t>
      </w:r>
      <w:r>
        <w:rPr>
          <w:rFonts w:cs="Arial" w:hint="cs"/>
          <w:rtl/>
        </w:rPr>
        <w:t>את דברי התוס' הנ"ל, ומדבריו משמע שתוס' ור"י חלוקים (היינו שהתוס' לא אמרו כן בהוה אמינא אלא כך דעתם אע"פ שר"י אומר אחרת).</w:t>
      </w:r>
    </w:p>
  </w:footnote>
  <w:footnote w:id="1134">
    <w:p w14:paraId="6E0D1485" w14:textId="77777777" w:rsidR="00DF1FC7" w:rsidRDefault="00DF1FC7" w:rsidP="002E5BAD">
      <w:pPr>
        <w:pStyle w:val="a5"/>
        <w:rPr>
          <w:rtl/>
        </w:rPr>
      </w:pPr>
      <w:r>
        <w:rPr>
          <w:rStyle w:val="a7"/>
        </w:rPr>
        <w:footnoteRef/>
      </w:r>
      <w:r>
        <w:rPr>
          <w:rtl/>
        </w:rPr>
        <w:t xml:space="preserve"> </w:t>
      </w:r>
      <w:r w:rsidRPr="00F350E1">
        <w:rPr>
          <w:rFonts w:cs="Arial"/>
          <w:rtl/>
        </w:rPr>
        <w:t>וכן כתב בתולדות אדם וחוה נתיב כ"ב ח"ה (קפט ע"ג)</w:t>
      </w:r>
      <w:r>
        <w:rPr>
          <w:rFonts w:cs="Arial" w:hint="cs"/>
          <w:rtl/>
        </w:rPr>
        <w:t>, דרכ"מ (אות ג).</w:t>
      </w:r>
    </w:p>
  </w:footnote>
  <w:footnote w:id="1135">
    <w:p w14:paraId="06D9153A" w14:textId="77777777" w:rsidR="00DF1FC7" w:rsidRDefault="00DF1FC7" w:rsidP="002E5BAD">
      <w:pPr>
        <w:pStyle w:val="a5"/>
      </w:pPr>
      <w:r>
        <w:rPr>
          <w:rStyle w:val="a7"/>
        </w:rPr>
        <w:footnoteRef/>
      </w:r>
      <w:r>
        <w:rPr>
          <w:rtl/>
        </w:rPr>
        <w:t xml:space="preserve"> </w:t>
      </w:r>
      <w:r w:rsidRPr="007918A9">
        <w:rPr>
          <w:rFonts w:cs="Arial"/>
          <w:rtl/>
        </w:rPr>
        <w:t>לא ביאר בדבריו אם דוקא במי שאינו אמוד ואף על גב דגם בפניו אין יורדין לנכסיו רק מכלימין ומכריזין עליו ה"א דשלא בפניו עדיף טפי דמסתמא אמרי' אם הי' כאן לא הוי גרע מעוף טמא וכל זמן שלא נשמע בפי' שאינו רוצה לזון מחזקינן ליה בחזקת רחמן קמ"ל דלא יורדין לנכסיו אבל באמוד יורדין לנכסיו בתורת צדקה אף שלא בפניו אבל הרמב"ם כתב להדיא פ' י"ב מה"א אף על פי שהוא אמוד משום דבגמ' בכתובות דף ק"ז ע"א אמרו מי שהלך למד"ה ב"ד יורדין לנכסיו וזנין לאשתו אבל לא בניו ובנותיו ולא דבר אחר מאי ד"א רב חסדא אמר תכשיט רב יוסף אמר צדקה ולכ"ע צדקה לא ובתכשיט פליגי וכבר כתב הרמב"ם דאין נותנין לה תכשיט וכ"ש צדקה</w:t>
      </w:r>
      <w:r>
        <w:rPr>
          <w:rFonts w:cs="Arial" w:hint="cs"/>
          <w:rtl/>
        </w:rPr>
        <w:t>, ח"מ (סק"ג).</w:t>
      </w:r>
    </w:p>
  </w:footnote>
  <w:footnote w:id="1136">
    <w:p w14:paraId="510FFC8E" w14:textId="77777777" w:rsidR="00DF1FC7" w:rsidRDefault="00DF1FC7" w:rsidP="002E5BAD">
      <w:pPr>
        <w:pStyle w:val="a5"/>
      </w:pPr>
      <w:r>
        <w:rPr>
          <w:rStyle w:val="a7"/>
        </w:rPr>
        <w:footnoteRef/>
      </w:r>
      <w:r>
        <w:rPr>
          <w:rtl/>
        </w:rPr>
        <w:t xml:space="preserve"> </w:t>
      </w:r>
      <w:r w:rsidRPr="0042316B">
        <w:rPr>
          <w:rFonts w:cs="Arial"/>
          <w:rtl/>
        </w:rPr>
        <w:t>זה הוא דעת הר"ן אך הרב לא החליט דעתו ועיין שם בדף תפ"ו ובדף תפ"ז ועיין בכ"מ סוף הלכות נחלות</w:t>
      </w:r>
      <w:r>
        <w:rPr>
          <w:rFonts w:cs="Arial" w:hint="cs"/>
          <w:rtl/>
        </w:rPr>
        <w:t>, ח"מ (סק"ה).</w:t>
      </w:r>
    </w:p>
  </w:footnote>
  <w:footnote w:id="1137">
    <w:p w14:paraId="6D58AD0C" w14:textId="77777777" w:rsidR="00DF1FC7" w:rsidRDefault="00DF1FC7" w:rsidP="002E5BAD">
      <w:pPr>
        <w:pStyle w:val="a5"/>
      </w:pPr>
      <w:r>
        <w:rPr>
          <w:rStyle w:val="a7"/>
        </w:rPr>
        <w:footnoteRef/>
      </w:r>
      <w:r>
        <w:rPr>
          <w:rtl/>
        </w:rPr>
        <w:t xml:space="preserve"> </w:t>
      </w:r>
      <w:r w:rsidRPr="00F35B81">
        <w:rPr>
          <w:rFonts w:cs="Arial"/>
          <w:rtl/>
        </w:rPr>
        <w:t>מדסתם וכתב ולא התנה והוא שיהיה אמוד משמע שדעתו לפסוק דלא כהרמב"ם רק כהטור והר"ן שהסכימו בנשתטה שזנין אותם אף בלא אמוד דמסתמא ניחא ליה שיזונו אותם דהא מי שאינו זן אותם מגונה ביותר ודוקא בהלך למד"ה אין זנין אותם מפני שהיה לו לצוות</w:t>
      </w:r>
      <w:r>
        <w:rPr>
          <w:rFonts w:cs="Arial" w:hint="cs"/>
          <w:rtl/>
        </w:rPr>
        <w:t>, ח"מ (סק"ו).</w:t>
      </w:r>
    </w:p>
  </w:footnote>
  <w:footnote w:id="1138">
    <w:p w14:paraId="7DF3A0EA" w14:textId="77777777" w:rsidR="00DF1FC7" w:rsidRDefault="00DF1FC7" w:rsidP="002E5BAD">
      <w:pPr>
        <w:pStyle w:val="a5"/>
        <w:rPr>
          <w:rtl/>
        </w:rPr>
      </w:pPr>
      <w:r>
        <w:rPr>
          <w:rStyle w:val="a7"/>
        </w:rPr>
        <w:footnoteRef/>
      </w:r>
      <w:r>
        <w:rPr>
          <w:rtl/>
        </w:rPr>
        <w:t xml:space="preserve"> </w:t>
      </w:r>
      <w:r w:rsidRPr="00F350E1">
        <w:rPr>
          <w:rFonts w:cs="Arial"/>
          <w:rtl/>
        </w:rPr>
        <w:t xml:space="preserve">ומדברי הר"ן </w:t>
      </w:r>
      <w:r w:rsidRPr="001B4F2E">
        <w:rPr>
          <w:rFonts w:cs="Arial" w:hint="cs"/>
          <w:sz w:val="16"/>
          <w:szCs w:val="16"/>
          <w:rtl/>
        </w:rPr>
        <w:t>(</w:t>
      </w:r>
      <w:r w:rsidRPr="001B4F2E">
        <w:rPr>
          <w:rFonts w:cs="Arial"/>
          <w:sz w:val="16"/>
          <w:szCs w:val="16"/>
          <w:rtl/>
        </w:rPr>
        <w:t>ס</w:t>
      </w:r>
      <w:r w:rsidRPr="001B4F2E">
        <w:rPr>
          <w:rFonts w:cs="Arial" w:hint="cs"/>
          <w:sz w:val="16"/>
          <w:szCs w:val="16"/>
          <w:rtl/>
        </w:rPr>
        <w:t>"פ</w:t>
      </w:r>
      <w:r w:rsidRPr="001B4F2E">
        <w:rPr>
          <w:rFonts w:cs="Arial"/>
          <w:sz w:val="16"/>
          <w:szCs w:val="16"/>
          <w:rtl/>
        </w:rPr>
        <w:t xml:space="preserve"> אף על פי כח: ד"ה גמ')</w:t>
      </w:r>
      <w:r>
        <w:rPr>
          <w:rFonts w:cs="Arial" w:hint="cs"/>
          <w:rtl/>
        </w:rPr>
        <w:t>-</w:t>
      </w:r>
      <w:r w:rsidRPr="00F350E1">
        <w:rPr>
          <w:rFonts w:cs="Arial"/>
          <w:rtl/>
        </w:rPr>
        <w:t xml:space="preserve"> שכתבתי ריש סימן זה</w:t>
      </w:r>
      <w:r w:rsidRPr="009A250A">
        <w:rPr>
          <w:rFonts w:cs="Arial" w:hint="cs"/>
          <w:sz w:val="16"/>
          <w:szCs w:val="16"/>
          <w:rtl/>
        </w:rPr>
        <w:t xml:space="preserve"> (מובאים דבריו </w:t>
      </w:r>
      <w:r>
        <w:rPr>
          <w:rFonts w:cs="Arial" w:hint="cs"/>
          <w:sz w:val="16"/>
          <w:szCs w:val="16"/>
          <w:rtl/>
        </w:rPr>
        <w:t>ב</w:t>
      </w:r>
      <w:r w:rsidRPr="009A250A">
        <w:rPr>
          <w:rFonts w:cs="Arial" w:hint="cs"/>
          <w:sz w:val="16"/>
          <w:szCs w:val="16"/>
          <w:rtl/>
        </w:rPr>
        <w:t>סוף סע' א)</w:t>
      </w:r>
      <w:r w:rsidRPr="00F350E1">
        <w:rPr>
          <w:rFonts w:cs="Arial"/>
          <w:rtl/>
        </w:rPr>
        <w:t xml:space="preserve"> משמע דאינו חייב לזונן אלא אגב אמן שהיא אשתו</w:t>
      </w:r>
      <w:r>
        <w:rPr>
          <w:rFonts w:cs="Arial" w:hint="cs"/>
          <w:rtl/>
        </w:rPr>
        <w:t>, דרכ"מ (אות ה).</w:t>
      </w:r>
    </w:p>
  </w:footnote>
  <w:footnote w:id="1139">
    <w:p w14:paraId="06711F15" w14:textId="77777777" w:rsidR="00DF1FC7" w:rsidRDefault="00DF1FC7" w:rsidP="002E5BAD">
      <w:pPr>
        <w:pStyle w:val="a5"/>
      </w:pPr>
      <w:r>
        <w:rPr>
          <w:rStyle w:val="a7"/>
        </w:rPr>
        <w:footnoteRef/>
      </w:r>
      <w:r>
        <w:rPr>
          <w:rtl/>
        </w:rPr>
        <w:t xml:space="preserve"> </w:t>
      </w:r>
      <w:r>
        <w:rPr>
          <w:rFonts w:cs="Arial"/>
          <w:rtl/>
        </w:rPr>
        <w:t>ואף על גב דאינה יורדת עמו ואם כן הרי משועבד לה לדברים שהיתה רגילה בהו בבי נשא והיאך חל הנדר וי"ל דהא דאינה יורדת עמו בדברים של בני משפחה שיש להם עושר ושאין להם עושר שוין בו אבל הנך דברים קטנים דרגילה בהו בבי נשא לפי שהיה עשיר אבל בני משפחה שאין להם עושר אלא כמו שהיה לבעלה אינם רגילים באותם דברים קטנים יש לה לגלגל עמו כל זמן שהיא אצלו הילכך חל הנדר אבל כשהדירה ואינה עוד אצלו חייב להנהיגה בכבוד בית אביה הילכך אמרה ליה השתא דאדרתן לא מגלגלנא בהדך</w:t>
      </w:r>
      <w:r>
        <w:rPr>
          <w:rFonts w:cs="Arial" w:hint="cs"/>
          <w:rtl/>
        </w:rPr>
        <w:t>,</w:t>
      </w:r>
      <w:r w:rsidRPr="00C1165B">
        <w:rPr>
          <w:rFonts w:cs="Arial"/>
          <w:rtl/>
        </w:rPr>
        <w:t xml:space="preserve"> </w:t>
      </w:r>
      <w:r>
        <w:rPr>
          <w:rFonts w:cs="Arial"/>
          <w:rtl/>
        </w:rPr>
        <w:t>רא"ש (סי' ג)</w:t>
      </w:r>
      <w:r>
        <w:rPr>
          <w:rFonts w:cs="Arial" w:hint="cs"/>
          <w:rtl/>
        </w:rPr>
        <w:t>.</w:t>
      </w:r>
      <w:r>
        <w:rPr>
          <w:rFonts w:cs="Arial"/>
          <w:rtl/>
        </w:rPr>
        <w:t xml:space="preserve"> והוא מדברי התוספות (ע: ד"ה והאידנא)</w:t>
      </w:r>
      <w:r>
        <w:rPr>
          <w:rFonts w:cs="Arial" w:hint="cs"/>
          <w:rtl/>
        </w:rPr>
        <w:t>, ב"י</w:t>
      </w:r>
      <w:r>
        <w:rPr>
          <w:rFonts w:cs="Arial"/>
          <w:rtl/>
        </w:rPr>
        <w:t>.</w:t>
      </w:r>
    </w:p>
  </w:footnote>
  <w:footnote w:id="1140">
    <w:p w14:paraId="3CC215A9" w14:textId="77777777" w:rsidR="00DF1FC7" w:rsidRDefault="00DF1FC7" w:rsidP="002E5BAD">
      <w:pPr>
        <w:pStyle w:val="a5"/>
      </w:pPr>
      <w:r>
        <w:rPr>
          <w:rStyle w:val="a7"/>
        </w:rPr>
        <w:footnoteRef/>
      </w:r>
      <w:r>
        <w:rPr>
          <w:rtl/>
        </w:rPr>
        <w:t xml:space="preserve"> </w:t>
      </w:r>
      <w:r>
        <w:rPr>
          <w:rFonts w:cs="Arial"/>
          <w:rtl/>
        </w:rPr>
        <w:t>וכתבו התוספות (ד"ה באומר) והרא"ש (סי' ד) והר"ן (לב. דיבור ראשון) בשם רשב"ם שדקדק מסוגיא דגמרא דדוקא כה"ג דקאמר כל הזן אינו מפסיד בלשון רבים הוא דשרי במודר הנאה אבל למימר ליחידאה אם תזון לא תפסיד הוא דמחזי כשלוחו ע"כ</w:t>
      </w:r>
      <w:r w:rsidRPr="005A5F73">
        <w:rPr>
          <w:rFonts w:cs="Arial" w:hint="cs"/>
          <w:sz w:val="16"/>
          <w:szCs w:val="16"/>
          <w:rtl/>
        </w:rPr>
        <w:t xml:space="preserve"> (</w:t>
      </w:r>
      <w:r w:rsidRPr="005A5F73">
        <w:rPr>
          <w:rFonts w:cs="Arial"/>
          <w:sz w:val="16"/>
          <w:szCs w:val="16"/>
          <w:rtl/>
        </w:rPr>
        <w:t>וכן הוא ביורה דעה סימן רכ"א (עמ' תע)</w:t>
      </w:r>
      <w:r w:rsidRPr="005A5F73">
        <w:rPr>
          <w:rFonts w:cs="Arial" w:hint="cs"/>
          <w:sz w:val="16"/>
          <w:szCs w:val="16"/>
          <w:rtl/>
        </w:rPr>
        <w:t>, דרכ"מ [אות א])</w:t>
      </w:r>
      <w:r>
        <w:rPr>
          <w:rFonts w:cs="Arial" w:hint="cs"/>
          <w:rtl/>
        </w:rPr>
        <w:t xml:space="preserve">. </w:t>
      </w:r>
      <w:r>
        <w:rPr>
          <w:rFonts w:cs="Arial"/>
          <w:rtl/>
        </w:rPr>
        <w:t xml:space="preserve">ומשמע לרבינו דדוקא לומר ליחידאה </w:t>
      </w:r>
      <w:r>
        <w:rPr>
          <w:rFonts w:cs="Arial" w:hint="cs"/>
          <w:rtl/>
        </w:rPr>
        <w:t>'</w:t>
      </w:r>
      <w:r>
        <w:rPr>
          <w:rFonts w:cs="Arial"/>
          <w:rtl/>
        </w:rPr>
        <w:t>אם תזון לא תפסיד</w:t>
      </w:r>
      <w:r>
        <w:rPr>
          <w:rFonts w:cs="Arial" w:hint="cs"/>
          <w:rtl/>
        </w:rPr>
        <w:t>'</w:t>
      </w:r>
      <w:r>
        <w:rPr>
          <w:rFonts w:cs="Arial"/>
          <w:rtl/>
        </w:rPr>
        <w:t xml:space="preserve"> הוא דמיחזי כשלוחו</w:t>
      </w:r>
      <w:r>
        <w:rPr>
          <w:rFonts w:cs="Arial" w:hint="cs"/>
          <w:rtl/>
        </w:rPr>
        <w:t>,</w:t>
      </w:r>
      <w:r>
        <w:rPr>
          <w:rFonts w:cs="Arial"/>
          <w:rtl/>
        </w:rPr>
        <w:t xml:space="preserve"> אבל כשאומר </w:t>
      </w:r>
      <w:r>
        <w:rPr>
          <w:rFonts w:cs="Arial" w:hint="cs"/>
          <w:rtl/>
        </w:rPr>
        <w:t>'</w:t>
      </w:r>
      <w:r>
        <w:rPr>
          <w:rFonts w:cs="Arial"/>
          <w:rtl/>
        </w:rPr>
        <w:t>כל הזן אינו מפסיד</w:t>
      </w:r>
      <w:r>
        <w:rPr>
          <w:rFonts w:cs="Arial" w:hint="cs"/>
          <w:rtl/>
        </w:rPr>
        <w:t>'</w:t>
      </w:r>
      <w:r>
        <w:rPr>
          <w:rFonts w:cs="Arial"/>
          <w:rtl/>
        </w:rPr>
        <w:t xml:space="preserve"> אף על פי שאומר כן ליחידאה </w:t>
      </w:r>
      <w:r>
        <w:rPr>
          <w:rFonts w:cs="Arial" w:hint="cs"/>
          <w:rtl/>
        </w:rPr>
        <w:t xml:space="preserve">- </w:t>
      </w:r>
      <w:r>
        <w:rPr>
          <w:rFonts w:cs="Arial"/>
          <w:rtl/>
        </w:rPr>
        <w:t>לא מיחזי כשלוחו כיון שבלשון רבים הוא אומר</w:t>
      </w:r>
      <w:r>
        <w:rPr>
          <w:rFonts w:cs="Arial" w:hint="cs"/>
          <w:rtl/>
        </w:rPr>
        <w:t>,</w:t>
      </w:r>
      <w:r>
        <w:rPr>
          <w:rFonts w:cs="Arial"/>
          <w:rtl/>
        </w:rPr>
        <w:t xml:space="preserve"> לפיכך כתב להתיר על ידי פרנס שיאמר לו כל הזן אינו מפסיד</w:t>
      </w:r>
      <w:r>
        <w:rPr>
          <w:rFonts w:cs="Arial" w:hint="cs"/>
          <w:rtl/>
        </w:rPr>
        <w:t>, ב"י.</w:t>
      </w:r>
    </w:p>
  </w:footnote>
  <w:footnote w:id="1141">
    <w:p w14:paraId="7CC5D499" w14:textId="77777777" w:rsidR="00DF1FC7" w:rsidRDefault="00DF1FC7" w:rsidP="002E5BAD">
      <w:pPr>
        <w:pStyle w:val="a5"/>
      </w:pPr>
      <w:r>
        <w:rPr>
          <w:rStyle w:val="a7"/>
        </w:rPr>
        <w:footnoteRef/>
      </w:r>
      <w:r>
        <w:rPr>
          <w:rtl/>
        </w:rPr>
        <w:t xml:space="preserve"> </w:t>
      </w:r>
      <w:r w:rsidRPr="00650052">
        <w:rPr>
          <w:rFonts w:cs="Arial"/>
          <w:rtl/>
        </w:rPr>
        <w:t>שפירש שלשים יום הוא דלא כפינן ליה להוציא אלא יעמיד פרנס</w:t>
      </w:r>
      <w:r>
        <w:rPr>
          <w:rFonts w:cs="Arial" w:hint="cs"/>
          <w:rtl/>
        </w:rPr>
        <w:t>, רש"י.</w:t>
      </w:r>
    </w:p>
  </w:footnote>
  <w:footnote w:id="1142">
    <w:p w14:paraId="4C79FA7A" w14:textId="77777777" w:rsidR="00DF1FC7" w:rsidRDefault="00DF1FC7" w:rsidP="002E5BAD">
      <w:pPr>
        <w:pStyle w:val="a5"/>
        <w:rPr>
          <w:rtl/>
        </w:rPr>
      </w:pPr>
      <w:r>
        <w:rPr>
          <w:rStyle w:val="a7"/>
        </w:rPr>
        <w:footnoteRef/>
      </w:r>
      <w:r>
        <w:rPr>
          <w:rtl/>
        </w:rPr>
        <w:t xml:space="preserve"> </w:t>
      </w:r>
      <w:r>
        <w:rPr>
          <w:rFonts w:cs="Arial"/>
          <w:rtl/>
        </w:rPr>
        <w:t>ופסקו הפוסקים כשמואל דהלכתא כוותיה בדיני</w:t>
      </w:r>
      <w:r>
        <w:rPr>
          <w:rFonts w:hint="cs"/>
          <w:rtl/>
        </w:rPr>
        <w:t>, ב"י.</w:t>
      </w:r>
    </w:p>
  </w:footnote>
  <w:footnote w:id="1143">
    <w:p w14:paraId="7E8AEEC3" w14:textId="77777777" w:rsidR="00DF1FC7" w:rsidRDefault="00DF1FC7" w:rsidP="002E5BAD">
      <w:pPr>
        <w:pStyle w:val="a5"/>
      </w:pPr>
      <w:r>
        <w:rPr>
          <w:rStyle w:val="a7"/>
        </w:rPr>
        <w:footnoteRef/>
      </w:r>
      <w:r>
        <w:rPr>
          <w:rtl/>
        </w:rPr>
        <w:t xml:space="preserve"> </w:t>
      </w:r>
      <w:r w:rsidRPr="004720D1">
        <w:rPr>
          <w:rFonts w:cs="Arial"/>
          <w:rtl/>
        </w:rPr>
        <w:t>וכתב הר"ן (לא: ד"ה באומר) על זה</w:t>
      </w:r>
      <w:r>
        <w:rPr>
          <w:rFonts w:cs="Arial" w:hint="cs"/>
          <w:rtl/>
        </w:rPr>
        <w:t>-</w:t>
      </w:r>
      <w:r w:rsidRPr="004720D1">
        <w:rPr>
          <w:rFonts w:cs="Arial"/>
          <w:rtl/>
        </w:rPr>
        <w:t xml:space="preserve"> ודבריו תמיהי' בעיני הרבה</w:t>
      </w:r>
      <w:r>
        <w:rPr>
          <w:rFonts w:cs="Arial" w:hint="cs"/>
          <w:rtl/>
        </w:rPr>
        <w:t>,</w:t>
      </w:r>
      <w:r w:rsidRPr="004720D1">
        <w:rPr>
          <w:rFonts w:cs="Arial"/>
          <w:rtl/>
        </w:rPr>
        <w:t xml:space="preserve"> דהא בגמרא אמרינן בהדיא דלא מצי מדיר לה אלא באומר לה צאי מעשה ידיך במזונותיך</w:t>
      </w:r>
      <w:r>
        <w:rPr>
          <w:rFonts w:cs="Arial" w:hint="cs"/>
          <w:rtl/>
        </w:rPr>
        <w:t>,</w:t>
      </w:r>
      <w:r w:rsidRPr="004720D1">
        <w:rPr>
          <w:rFonts w:cs="Arial"/>
          <w:rtl/>
        </w:rPr>
        <w:t xml:space="preserve"> אבל סתמא לא אמרינן נעשה כמי שאומר לה</w:t>
      </w:r>
      <w:r>
        <w:rPr>
          <w:rFonts w:cs="Arial" w:hint="cs"/>
          <w:rtl/>
        </w:rPr>
        <w:t>,</w:t>
      </w:r>
      <w:r w:rsidRPr="004720D1">
        <w:rPr>
          <w:rFonts w:cs="Arial"/>
          <w:rtl/>
        </w:rPr>
        <w:t xml:space="preserve"> משום הכי מסקינן לה דוקא באומר לה ובמספקת לדברים גדולים ובמגלגלת בהדיה לדברים קטנים</w:t>
      </w:r>
      <w:r>
        <w:rPr>
          <w:rFonts w:cs="Arial" w:hint="cs"/>
          <w:rtl/>
        </w:rPr>
        <w:t>.</w:t>
      </w:r>
      <w:r w:rsidRPr="004720D1">
        <w:rPr>
          <w:rFonts w:cs="Arial"/>
          <w:rtl/>
        </w:rPr>
        <w:t xml:space="preserve"> ומדבריו נראה דאפילו בשאין מעשה ידיה מספיקין ולא איתגלגלא בהדיה חייל נדרא</w:t>
      </w:r>
      <w:r>
        <w:rPr>
          <w:rFonts w:cs="Arial" w:hint="cs"/>
          <w:rtl/>
        </w:rPr>
        <w:t>,</w:t>
      </w:r>
      <w:r w:rsidRPr="004720D1">
        <w:rPr>
          <w:rFonts w:cs="Arial"/>
          <w:rtl/>
        </w:rPr>
        <w:t xml:space="preserve"> וכל שמעשה ידיה מספיקין אפילו לא אמר לה צאי וכו' מצי מדיר לה ואילו בגמרא אמרינן דנהי דבאומר מהני כי לא אמר מישעבד לה ולאו כל כמיניה למימר איני נותן מזונות ושהיא עצמה תעכב מעשה ידיה ודכוותה גבי אשה אף על פי שהיא יכולה לומר איני נזונת ואיני עושה אינה יכולה לומר איני עושה בלבד ושהוא מעצמו יעכב מזונות דהא תנן קונם שאני עושה לפיך אינו צריך להתיר ואין לך אומרת איני עושה גדול מזה</w:t>
      </w:r>
      <w:r>
        <w:rPr>
          <w:rFonts w:cs="Arial" w:hint="cs"/>
          <w:rtl/>
        </w:rPr>
        <w:t>.</w:t>
      </w:r>
      <w:r w:rsidRPr="004720D1">
        <w:rPr>
          <w:rFonts w:cs="Arial"/>
          <w:rtl/>
        </w:rPr>
        <w:t xml:space="preserve"> ונ"ל שהביאו לומר כך משום דלא אשכחן דאלמוה רבנן לשעבודא דידה והיינו טעמא משום דלא צריך לאלומיה דע"כ או יתיר נדרו או יוציא ויתן כתובה ומשום הכי סבירא ליה ז"ל דתנא דקונם שאני עושה לפיך אינו צריך להפר היינו משום דס"ל דקונמות אין מפקיעין מידי שעבוד ולא צריך כלל לטעמא דאלמוה וכי אמרינן הכי לעיל בפרק אף על פי (נט:) היינו כרבי יוחנן בן נורי דס"ל דהשתא לא חייל נדרא ולבתר הכי חייל ומשום הכי ע"כ איצטריכינן לאסוקי דקונמות כקדושת הגוף דמו ואלמוה לשעבודיה דבעל כדאיתא בסוגיין דאע"פ דוק ותשכח אבל לת"ק דאמר אינו צריך להפר נקטינן מילתא כפשטה דס"ל דקונמות אין מפקיעין מידי שעבוד וכי פרכינן והתנן קונם וכו' הכי פרכינן לימא מתניתין דלא כת"ק דהתם וכל הך סוגיא לפרוקי ת"ק דהתם אמתניתין איתאמרא אבל לדידן דקיי"ל כרבי יוחנן בן נורי דקונמות מפקיעין מידי שעבוד לא צריכין לכל הני הוויי ולא קשיא לן מידי משום דשעבודא דידיה הוא דאלמוה דאם לא כן יצטרך לגרש בע"כ והאיש אינו מוציא אלא ברצונו אבל שעבודא דידה אמאי צריכים לאלומיה הא ביפר או יוציא ויתן כתובה סגי שהאשה יוצאה לרצונה ושלא לרצונה (שם) ובכך עלו דברי הרמב"ם ז"ל כהוגן עכ"ל</w:t>
      </w:r>
      <w:r>
        <w:rPr>
          <w:rFonts w:cs="Arial" w:hint="cs"/>
          <w:rtl/>
        </w:rPr>
        <w:t>, ב"י.</w:t>
      </w:r>
      <w:r w:rsidRPr="00474B1B">
        <w:rPr>
          <w:rFonts w:cs="Arial"/>
          <w:rtl/>
        </w:rPr>
        <w:t xml:space="preserve"> ועיין שם בדברי הר"ן שהאריך בזה ריש המדיר ומשמע שם (לא: ד"ה גמ') דדוקא מדיר אבל הקדיש נכסיו אין אשתו נזונת</w:t>
      </w:r>
      <w:r>
        <w:rPr>
          <w:rFonts w:cs="Arial" w:hint="cs"/>
          <w:rtl/>
        </w:rPr>
        <w:t>, דרכ"מ (אות ב).</w:t>
      </w:r>
    </w:p>
  </w:footnote>
  <w:footnote w:id="1144">
    <w:p w14:paraId="32F6A3E1" w14:textId="77777777" w:rsidR="00DF1FC7" w:rsidRDefault="00DF1FC7" w:rsidP="002E5BAD">
      <w:pPr>
        <w:pStyle w:val="a5"/>
        <w:rPr>
          <w:rtl/>
        </w:rPr>
      </w:pPr>
      <w:r>
        <w:rPr>
          <w:rStyle w:val="a7"/>
        </w:rPr>
        <w:footnoteRef/>
      </w:r>
      <w:r>
        <w:rPr>
          <w:rtl/>
        </w:rPr>
        <w:t xml:space="preserve"> </w:t>
      </w:r>
      <w:r w:rsidRPr="00D213E4">
        <w:rPr>
          <w:rFonts w:cs="Arial"/>
          <w:rtl/>
        </w:rPr>
        <w:t>כדאשכחן בהחולץ (יבמות דף לט.) דתנן לא רצו חוזרין אצל גדול ומפרש בגמרא חוזרין אצל גדול למיכפייה הואיל ועליה מצוה רמיא ועוד אמרי' לקמן (דף עז.) אמר רב האומר איני זן ואיני מפרנס יוציא ויתן כתובה ומסיק עד שכופין אותו להוציא יכפוהו לזון משמע דלשון יוציא שכופין אותו להוציא</w:t>
      </w:r>
      <w:r>
        <w:rPr>
          <w:rFonts w:hint="cs"/>
          <w:rtl/>
        </w:rPr>
        <w:t>, ר"י (שם).</w:t>
      </w:r>
    </w:p>
  </w:footnote>
  <w:footnote w:id="1145">
    <w:p w14:paraId="3AF9BE17" w14:textId="77777777" w:rsidR="00DF1FC7" w:rsidRDefault="00DF1FC7" w:rsidP="002E5BAD">
      <w:pPr>
        <w:pStyle w:val="a5"/>
      </w:pPr>
      <w:r>
        <w:rPr>
          <w:rStyle w:val="a7"/>
        </w:rPr>
        <w:footnoteRef/>
      </w:r>
      <w:r>
        <w:rPr>
          <w:rtl/>
        </w:rPr>
        <w:t xml:space="preserve"> </w:t>
      </w:r>
      <w:r>
        <w:rPr>
          <w:rFonts w:hint="cs"/>
          <w:rtl/>
        </w:rPr>
        <w:t xml:space="preserve">וזו לשון הירושלמי- </w:t>
      </w:r>
      <w:r w:rsidRPr="00F000DB">
        <w:rPr>
          <w:rFonts w:cs="Arial"/>
          <w:rtl/>
        </w:rPr>
        <w:t>תמן תנינן גט המעושה בישראל כשר ובגויים פסול שמואל אמר פסול ופוסל בכהונה שמואל אמר אין מעשין אלא כגון אלמנה לכהן גדול גרושה וחלוצה לכהן הדיוט והא תנינן שניות לא בגין דא אמר שמואל והא תנינן המדיר את אשתו מליהנות לו עד שלשים יום יעמיד פרנס יותר מיכן יוציא ויתן כתובה שמענו שהוא מוציא שמענו שכופין</w:t>
      </w:r>
      <w:r>
        <w:rPr>
          <w:rFonts w:cs="Arial" w:hint="cs"/>
          <w:rtl/>
        </w:rPr>
        <w:t>.</w:t>
      </w:r>
    </w:p>
  </w:footnote>
  <w:footnote w:id="1146">
    <w:p w14:paraId="19FE398C" w14:textId="77777777" w:rsidR="00DF1FC7" w:rsidRDefault="00DF1FC7" w:rsidP="002E5BAD">
      <w:pPr>
        <w:pStyle w:val="a5"/>
        <w:rPr>
          <w:rtl/>
        </w:rPr>
      </w:pPr>
      <w:r>
        <w:rPr>
          <w:rStyle w:val="a7"/>
        </w:rPr>
        <w:footnoteRef/>
      </w:r>
      <w:r>
        <w:rPr>
          <w:rtl/>
        </w:rPr>
        <w:t xml:space="preserve"> </w:t>
      </w:r>
      <w:r>
        <w:rPr>
          <w:rFonts w:cs="Arial"/>
          <w:rtl/>
        </w:rPr>
        <w:t>ובסימן קנ"ד (עה.) כתב רבינו דברים אלו בארוכה ושם אכתוב דעות הפוסקים בדין זה</w:t>
      </w:r>
      <w:r>
        <w:rPr>
          <w:rFonts w:cs="Arial" w:hint="cs"/>
          <w:rtl/>
        </w:rPr>
        <w:t>, ב"י</w:t>
      </w:r>
      <w:r>
        <w:rPr>
          <w:rFonts w:cs="Arial"/>
          <w:rtl/>
        </w:rPr>
        <w:t>.</w:t>
      </w:r>
    </w:p>
  </w:footnote>
  <w:footnote w:id="1147">
    <w:p w14:paraId="48F26462" w14:textId="77777777" w:rsidR="00DF1FC7" w:rsidRDefault="00DF1FC7" w:rsidP="002E5BAD">
      <w:pPr>
        <w:pStyle w:val="a5"/>
      </w:pPr>
      <w:r>
        <w:rPr>
          <w:rStyle w:val="a7"/>
        </w:rPr>
        <w:footnoteRef/>
      </w:r>
      <w:r>
        <w:rPr>
          <w:rtl/>
        </w:rPr>
        <w:t xml:space="preserve"> </w:t>
      </w:r>
      <w:r w:rsidRPr="007E6D8B">
        <w:rPr>
          <w:rFonts w:cs="Arial"/>
          <w:rtl/>
        </w:rPr>
        <w:t>באשה עניה אם לא נתן קצבה לדבר עד מתי אסרו עליה הוא דיוציא ויתן כתובה אבל אם נתן קצבה תמתין עד אותו זמן ובגמרא מפרש עד כמה היא קצבתה</w:t>
      </w:r>
      <w:r>
        <w:rPr>
          <w:rFonts w:cs="Arial" w:hint="cs"/>
          <w:rtl/>
        </w:rPr>
        <w:t>, רש"י.</w:t>
      </w:r>
    </w:p>
  </w:footnote>
  <w:footnote w:id="1148">
    <w:p w14:paraId="1601EA1B" w14:textId="77777777" w:rsidR="00DF1FC7" w:rsidRDefault="00DF1FC7" w:rsidP="002E5BAD">
      <w:pPr>
        <w:pStyle w:val="a5"/>
      </w:pPr>
      <w:r>
        <w:rPr>
          <w:rStyle w:val="a7"/>
        </w:rPr>
        <w:footnoteRef/>
      </w:r>
      <w:r>
        <w:rPr>
          <w:rtl/>
        </w:rPr>
        <w:t xml:space="preserve"> </w:t>
      </w:r>
      <w:r>
        <w:rPr>
          <w:rFonts w:hint="cs"/>
          <w:rtl/>
        </w:rPr>
        <w:t>לאלתר, רש"י.</w:t>
      </w:r>
    </w:p>
  </w:footnote>
  <w:footnote w:id="1149">
    <w:p w14:paraId="627ED3DD" w14:textId="77777777" w:rsidR="00DF1FC7" w:rsidRDefault="00DF1FC7" w:rsidP="002E5BAD">
      <w:pPr>
        <w:pStyle w:val="a5"/>
      </w:pPr>
      <w:r>
        <w:rPr>
          <w:rStyle w:val="a7"/>
        </w:rPr>
        <w:footnoteRef/>
      </w:r>
      <w:r>
        <w:rPr>
          <w:rtl/>
        </w:rPr>
        <w:t xml:space="preserve"> </w:t>
      </w:r>
      <w:r w:rsidRPr="00B83A11">
        <w:rPr>
          <w:rFonts w:cs="Arial"/>
          <w:rtl/>
        </w:rPr>
        <w:t>ומה יש לו עוד להמתין</w:t>
      </w:r>
      <w:r>
        <w:rPr>
          <w:rFonts w:cs="Arial" w:hint="cs"/>
          <w:rtl/>
        </w:rPr>
        <w:t>,</w:t>
      </w:r>
      <w:r w:rsidRPr="00B83A11">
        <w:rPr>
          <w:rFonts w:cs="Arial"/>
          <w:rtl/>
        </w:rPr>
        <w:t xml:space="preserve"> אי ניחא לה לדידה למישקל כתובתה ומיפק לא תבקש פתח לנדרה</w:t>
      </w:r>
      <w:r>
        <w:rPr>
          <w:rFonts w:cs="Arial" w:hint="cs"/>
          <w:rtl/>
        </w:rPr>
        <w:t>,</w:t>
      </w:r>
      <w:r w:rsidRPr="00B83A11">
        <w:rPr>
          <w:rFonts w:cs="Arial"/>
          <w:rtl/>
        </w:rPr>
        <w:t xml:space="preserve"> אבל היכא דאדרה איהו כגון מליהנות לו ימתין שמא ימצא פתח לנדרו</w:t>
      </w:r>
      <w:r>
        <w:rPr>
          <w:rFonts w:cs="Arial" w:hint="cs"/>
          <w:rtl/>
        </w:rPr>
        <w:t>, רש"י.</w:t>
      </w:r>
      <w:r w:rsidRPr="003B770D">
        <w:rPr>
          <w:rFonts w:cs="Arial"/>
          <w:rtl/>
        </w:rPr>
        <w:t xml:space="preserve"> </w:t>
      </w:r>
      <w:r>
        <w:rPr>
          <w:rFonts w:cs="Arial"/>
          <w:rtl/>
        </w:rPr>
        <w:t>ו</w:t>
      </w:r>
      <w:r>
        <w:rPr>
          <w:rFonts w:cs="Arial" w:hint="cs"/>
          <w:rtl/>
        </w:rPr>
        <w:t xml:space="preserve">כתבו </w:t>
      </w:r>
      <w:r>
        <w:rPr>
          <w:rFonts w:cs="Arial"/>
          <w:rtl/>
        </w:rPr>
        <w:t>התוספות (ד"ה שנדרה) דמיירי בנדרה מן הפירות כל זמן שהיא תחתיו ואם נדרה לעולם מה תרויח במה שיוציא ואף על גב דבנדר של תשמיש ממתנת</w:t>
      </w:r>
      <w:r>
        <w:rPr>
          <w:rFonts w:cs="Arial" w:hint="cs"/>
          <w:rtl/>
        </w:rPr>
        <w:t>,</w:t>
      </w:r>
      <w:r>
        <w:rPr>
          <w:rFonts w:cs="Arial"/>
          <w:rtl/>
        </w:rPr>
        <w:t xml:space="preserve"> בנדר של פירות אינה יכולה לסבול אפילו יום אחד</w:t>
      </w:r>
      <w:r>
        <w:rPr>
          <w:rFonts w:cs="Arial" w:hint="cs"/>
          <w:rtl/>
        </w:rPr>
        <w:t>, ע"כ, ב"י.</w:t>
      </w:r>
    </w:p>
  </w:footnote>
  <w:footnote w:id="1150">
    <w:p w14:paraId="3692BF1F" w14:textId="77777777" w:rsidR="00DF1FC7" w:rsidRDefault="00DF1FC7" w:rsidP="002E5BAD">
      <w:pPr>
        <w:pStyle w:val="a5"/>
        <w:rPr>
          <w:rtl/>
        </w:rPr>
      </w:pPr>
      <w:r>
        <w:rPr>
          <w:rStyle w:val="a7"/>
        </w:rPr>
        <w:footnoteRef/>
      </w:r>
      <w:r>
        <w:rPr>
          <w:rtl/>
        </w:rPr>
        <w:t xml:space="preserve"> </w:t>
      </w:r>
      <w:r w:rsidRPr="00B83A11">
        <w:rPr>
          <w:rFonts w:cs="Arial"/>
          <w:rtl/>
        </w:rPr>
        <w:t>שקיים נתן אצבע בין שיניה והשיכה לפיכך יתן כתובה</w:t>
      </w:r>
      <w:r>
        <w:rPr>
          <w:rFonts w:cs="Arial" w:hint="cs"/>
          <w:rtl/>
        </w:rPr>
        <w:t>...</w:t>
      </w:r>
      <w:r>
        <w:rPr>
          <w:rFonts w:hint="cs"/>
          <w:rtl/>
        </w:rPr>
        <w:t>, רש"י.</w:t>
      </w:r>
    </w:p>
  </w:footnote>
  <w:footnote w:id="1151">
    <w:p w14:paraId="36BAC913" w14:textId="77777777" w:rsidR="00DF1FC7" w:rsidRDefault="00DF1FC7" w:rsidP="002E5BAD">
      <w:pPr>
        <w:pStyle w:val="a5"/>
      </w:pPr>
      <w:r>
        <w:rPr>
          <w:rStyle w:val="a7"/>
        </w:rPr>
        <w:footnoteRef/>
      </w:r>
      <w:r>
        <w:rPr>
          <w:rtl/>
        </w:rPr>
        <w:t xml:space="preserve"> </w:t>
      </w:r>
      <w:r w:rsidRPr="00560D36">
        <w:rPr>
          <w:rFonts w:cs="Arial"/>
          <w:rtl/>
        </w:rPr>
        <w:t>יוציא ויתן כתובה אלמא הוא נותן דהא בנדרה היא וקיים הוא אוקימתא למתניתין</w:t>
      </w:r>
      <w:r>
        <w:rPr>
          <w:rFonts w:cs="Arial" w:hint="cs"/>
          <w:rtl/>
        </w:rPr>
        <w:t>, רש"י.</w:t>
      </w:r>
    </w:p>
  </w:footnote>
  <w:footnote w:id="1152">
    <w:p w14:paraId="36C0BC50" w14:textId="77777777" w:rsidR="00DF1FC7" w:rsidRDefault="00DF1FC7" w:rsidP="002E5BAD">
      <w:pPr>
        <w:pStyle w:val="a5"/>
      </w:pPr>
      <w:r>
        <w:rPr>
          <w:rStyle w:val="a7"/>
        </w:rPr>
        <w:footnoteRef/>
      </w:r>
      <w:r>
        <w:rPr>
          <w:rtl/>
        </w:rPr>
        <w:t xml:space="preserve"> </w:t>
      </w:r>
      <w:r w:rsidRPr="00560D36">
        <w:rPr>
          <w:rFonts w:cs="Arial"/>
          <w:rtl/>
        </w:rPr>
        <w:t>נדרי קישוט מדקניס ליה כתובה על שקיימו</w:t>
      </w:r>
      <w:r>
        <w:rPr>
          <w:rFonts w:cs="Arial" w:hint="cs"/>
          <w:rtl/>
        </w:rPr>
        <w:t>, רש"י.</w:t>
      </w:r>
    </w:p>
  </w:footnote>
  <w:footnote w:id="1153">
    <w:p w14:paraId="1B051DCF" w14:textId="77777777" w:rsidR="00DF1FC7" w:rsidRDefault="00DF1FC7" w:rsidP="002E5BAD">
      <w:pPr>
        <w:pStyle w:val="a5"/>
        <w:rPr>
          <w:rtl/>
        </w:rPr>
      </w:pPr>
      <w:r>
        <w:rPr>
          <w:rStyle w:val="a7"/>
        </w:rPr>
        <w:footnoteRef/>
      </w:r>
      <w:r>
        <w:rPr>
          <w:rtl/>
        </w:rPr>
        <w:t xml:space="preserve"> </w:t>
      </w:r>
      <w:r>
        <w:rPr>
          <w:rFonts w:cs="Arial"/>
          <w:rtl/>
        </w:rPr>
        <w:t>כלומר וכיון שאינה סבורה שיתפייס עוד לא תקנו חכמים שתמתין הואיל וקשה לה</w:t>
      </w:r>
      <w:r>
        <w:rPr>
          <w:rFonts w:cs="Arial" w:hint="cs"/>
          <w:rtl/>
        </w:rPr>
        <w:t>, ב"י</w:t>
      </w:r>
      <w:r>
        <w:rPr>
          <w:rFonts w:cs="Arial"/>
          <w:rtl/>
        </w:rPr>
        <w:t>.</w:t>
      </w:r>
    </w:p>
  </w:footnote>
  <w:footnote w:id="1154">
    <w:p w14:paraId="2E555263" w14:textId="77777777" w:rsidR="00DF1FC7" w:rsidRDefault="00DF1FC7" w:rsidP="002E5BAD">
      <w:pPr>
        <w:pStyle w:val="a5"/>
      </w:pPr>
      <w:r>
        <w:rPr>
          <w:rStyle w:val="a7"/>
        </w:rPr>
        <w:footnoteRef/>
      </w:r>
      <w:r>
        <w:rPr>
          <w:rtl/>
        </w:rPr>
        <w:t xml:space="preserve"> </w:t>
      </w:r>
      <w:r>
        <w:rPr>
          <w:rFonts w:cs="Arial"/>
          <w:rtl/>
        </w:rPr>
        <w:t>דע שכל מקום שתראה המדיר את אשתו מכך וכך ר"ל שהוא אוסר הנאתו עליה אם תעשה כך</w:t>
      </w:r>
      <w:r>
        <w:rPr>
          <w:rFonts w:cs="Arial" w:hint="cs"/>
          <w:rtl/>
        </w:rPr>
        <w:t>,</w:t>
      </w:r>
      <w:r>
        <w:rPr>
          <w:rFonts w:cs="Arial"/>
          <w:rtl/>
        </w:rPr>
        <w:t xml:space="preserve"> אבל האוסר על אשתו ואומר הריני אוסר עליך שלא תעשי כך </w:t>
      </w:r>
      <w:r>
        <w:rPr>
          <w:rFonts w:cs="Arial" w:hint="cs"/>
          <w:rtl/>
        </w:rPr>
        <w:t xml:space="preserve">- </w:t>
      </w:r>
      <w:r>
        <w:rPr>
          <w:rFonts w:cs="Arial"/>
          <w:rtl/>
        </w:rPr>
        <w:t>אין בדבריו כלום</w:t>
      </w:r>
      <w:r>
        <w:rPr>
          <w:rFonts w:cs="Arial" w:hint="cs"/>
          <w:rtl/>
        </w:rPr>
        <w:t>,</w:t>
      </w:r>
      <w:r>
        <w:rPr>
          <w:rFonts w:cs="Arial"/>
          <w:rtl/>
        </w:rPr>
        <w:t xml:space="preserve"> וזה פשוט</w:t>
      </w:r>
      <w:r>
        <w:rPr>
          <w:rFonts w:cs="Arial" w:hint="cs"/>
          <w:rtl/>
        </w:rPr>
        <w:t>, הה"מ (</w:t>
      </w:r>
      <w:r>
        <w:rPr>
          <w:rFonts w:cs="Arial"/>
          <w:rtl/>
        </w:rPr>
        <w:t>פי"ב שם</w:t>
      </w:r>
      <w:r>
        <w:rPr>
          <w:rFonts w:cs="Arial" w:hint="cs"/>
          <w:rtl/>
        </w:rPr>
        <w:t>, הביאו הב"י</w:t>
      </w:r>
      <w:r>
        <w:rPr>
          <w:rFonts w:cs="Arial"/>
          <w:rtl/>
        </w:rPr>
        <w:t>)</w:t>
      </w:r>
      <w:r>
        <w:rPr>
          <w:rFonts w:cs="Arial" w:hint="cs"/>
          <w:rtl/>
        </w:rPr>
        <w:t>.</w:t>
      </w:r>
    </w:p>
  </w:footnote>
  <w:footnote w:id="1155">
    <w:p w14:paraId="1A465EAF" w14:textId="77777777" w:rsidR="00DF1FC7" w:rsidRDefault="00DF1FC7" w:rsidP="002E5BAD">
      <w:pPr>
        <w:pStyle w:val="a5"/>
      </w:pPr>
      <w:r>
        <w:rPr>
          <w:rStyle w:val="a7"/>
        </w:rPr>
        <w:footnoteRef/>
      </w:r>
      <w:r>
        <w:rPr>
          <w:rtl/>
        </w:rPr>
        <w:t xml:space="preserve"> </w:t>
      </w:r>
      <w:r>
        <w:rPr>
          <w:rFonts w:cs="Arial"/>
          <w:rtl/>
        </w:rPr>
        <w:t>כן כתב הרמב"ם בפי"ב מהלכות אישות (הכ"ד)</w:t>
      </w:r>
      <w:r>
        <w:rPr>
          <w:rFonts w:cs="Arial" w:hint="cs"/>
          <w:rtl/>
        </w:rPr>
        <w:t>.</w:t>
      </w:r>
      <w:r>
        <w:rPr>
          <w:rFonts w:cs="Arial"/>
          <w:rtl/>
        </w:rPr>
        <w:t xml:space="preserve"> וכתב ה</w:t>
      </w:r>
      <w:r>
        <w:rPr>
          <w:rFonts w:cs="Arial" w:hint="cs"/>
          <w:rtl/>
        </w:rPr>
        <w:t>ה"מ</w:t>
      </w:r>
      <w:r>
        <w:rPr>
          <w:rFonts w:cs="Arial"/>
          <w:rtl/>
        </w:rPr>
        <w:t xml:space="preserve"> דהכי איתא בתוספתא (כתובות פ"ז ה"ב) ובירושלמי וגם הרא"ש (סי' ב) כתב תוספתא זו</w:t>
      </w:r>
      <w:r>
        <w:rPr>
          <w:rFonts w:cs="Arial" w:hint="cs"/>
          <w:rtl/>
        </w:rPr>
        <w:t>, ב"י.</w:t>
      </w:r>
    </w:p>
  </w:footnote>
  <w:footnote w:id="1156">
    <w:p w14:paraId="18AB1454" w14:textId="77777777" w:rsidR="00DF1FC7" w:rsidRDefault="00DF1FC7" w:rsidP="002E5BAD">
      <w:pPr>
        <w:pStyle w:val="a5"/>
      </w:pPr>
      <w:r>
        <w:rPr>
          <w:rStyle w:val="a7"/>
        </w:rPr>
        <w:footnoteRef/>
      </w:r>
      <w:r>
        <w:rPr>
          <w:rtl/>
        </w:rPr>
        <w:t xml:space="preserve"> </w:t>
      </w:r>
      <w:r w:rsidRPr="00474B1B">
        <w:rPr>
          <w:rFonts w:cs="Arial"/>
          <w:rtl/>
        </w:rPr>
        <w:t>ובהר"ן ריש המדיר (לב. ד"ה והאי) דהוא הדין בכל מקום שאמרו יוציא משום נדר</w:t>
      </w:r>
      <w:r>
        <w:rPr>
          <w:rFonts w:cs="Arial" w:hint="cs"/>
          <w:rtl/>
        </w:rPr>
        <w:t>, דרכ"מ (אות ג).</w:t>
      </w:r>
    </w:p>
  </w:footnote>
  <w:footnote w:id="1157">
    <w:p w14:paraId="76378931" w14:textId="77777777" w:rsidR="00DF1FC7" w:rsidRDefault="00DF1FC7" w:rsidP="002E5BAD">
      <w:pPr>
        <w:pStyle w:val="a5"/>
        <w:rPr>
          <w:rtl/>
        </w:rPr>
      </w:pPr>
      <w:r>
        <w:rPr>
          <w:rStyle w:val="a7"/>
        </w:rPr>
        <w:footnoteRef/>
      </w:r>
      <w:r>
        <w:rPr>
          <w:rtl/>
        </w:rPr>
        <w:t xml:space="preserve"> </w:t>
      </w:r>
      <w:r w:rsidRPr="007E6D8B">
        <w:rPr>
          <w:rFonts w:cs="Arial"/>
          <w:rtl/>
        </w:rPr>
        <w:t xml:space="preserve">אלא שראיתי לרמב"ם ז"ל שכתב בפי"ב מהלכות אישות (הכ"ד) נדרה היא שלא תאכל אחד מכל הפירות וכו' אם רצה שתשב תחתיו ולא תאכל הפירות תשב ואם אמר איני רוצה באשה נדרנית יוציא ויתן כתובה שהרי היה בידו להפר והוא קיים לה ברצונו ע"כ ודקדק כן מדאמרינן גבי האשה שנדרה בנזיר </w:t>
      </w:r>
      <w:r w:rsidRPr="007E6D8B">
        <w:rPr>
          <w:rFonts w:cs="Arial" w:hint="cs"/>
          <w:rtl/>
        </w:rPr>
        <w:t>'</w:t>
      </w:r>
      <w:r w:rsidRPr="007E6D8B">
        <w:rPr>
          <w:rFonts w:cs="Arial"/>
          <w:rtl/>
        </w:rPr>
        <w:t>ואם אמר אי איפשי באשה נדרנית יוציא ויתן כתובה</w:t>
      </w:r>
      <w:r w:rsidRPr="007E6D8B">
        <w:rPr>
          <w:rFonts w:cs="Arial" w:hint="cs"/>
          <w:rtl/>
        </w:rPr>
        <w:t>'.</w:t>
      </w:r>
      <w:r w:rsidRPr="007E6D8B">
        <w:rPr>
          <w:rFonts w:cs="Arial"/>
          <w:rtl/>
        </w:rPr>
        <w:t xml:space="preserve"> וכבר כתבו דלאו דוקא</w:t>
      </w:r>
      <w:r w:rsidRPr="007E6D8B">
        <w:rPr>
          <w:rFonts w:cs="Arial" w:hint="cs"/>
          <w:rtl/>
        </w:rPr>
        <w:t>,</w:t>
      </w:r>
      <w:r w:rsidRPr="007E6D8B">
        <w:rPr>
          <w:rFonts w:cs="Arial"/>
          <w:rtl/>
        </w:rPr>
        <w:t xml:space="preserve"> אלא ה"ק</w:t>
      </w:r>
      <w:r w:rsidRPr="007E6D8B">
        <w:rPr>
          <w:rFonts w:cs="Arial" w:hint="cs"/>
          <w:rtl/>
        </w:rPr>
        <w:t>- '</w:t>
      </w:r>
      <w:r w:rsidRPr="007E6D8B">
        <w:rPr>
          <w:rFonts w:cs="Arial"/>
          <w:rtl/>
        </w:rPr>
        <w:t>ואם אמר הבעל אי איפשי באשה נדרנית ומשום הכי לא הפר יוציא ויתן כתובה</w:t>
      </w:r>
      <w:r w:rsidRPr="007E6D8B">
        <w:rPr>
          <w:rFonts w:cs="Arial" w:hint="cs"/>
          <w:rtl/>
        </w:rPr>
        <w:t>'</w:t>
      </w:r>
      <w:r>
        <w:rPr>
          <w:rFonts w:cs="Arial" w:hint="cs"/>
          <w:rtl/>
        </w:rPr>
        <w:t>, ר"ן (שם).</w:t>
      </w:r>
      <w:r w:rsidRPr="007E6D8B">
        <w:rPr>
          <w:rFonts w:cs="Arial"/>
          <w:rtl/>
        </w:rPr>
        <w:t xml:space="preserve"> ורבינו הביא דברי הרמב"ם בלא חולק</w:t>
      </w:r>
      <w:r>
        <w:rPr>
          <w:rFonts w:hint="cs"/>
          <w:rtl/>
        </w:rPr>
        <w:t>, ב"י.</w:t>
      </w:r>
    </w:p>
  </w:footnote>
  <w:footnote w:id="1158">
    <w:p w14:paraId="4B972339" w14:textId="77777777" w:rsidR="00DF1FC7" w:rsidRDefault="00DF1FC7" w:rsidP="002E5BAD">
      <w:pPr>
        <w:pStyle w:val="a5"/>
      </w:pPr>
      <w:r>
        <w:rPr>
          <w:rStyle w:val="a7"/>
        </w:rPr>
        <w:footnoteRef/>
      </w:r>
      <w:r>
        <w:rPr>
          <w:rtl/>
        </w:rPr>
        <w:t xml:space="preserve"> </w:t>
      </w:r>
      <w:r w:rsidRPr="009F349A">
        <w:rPr>
          <w:rFonts w:cs="Arial"/>
          <w:rtl/>
        </w:rPr>
        <w:t>הרי עור שטוח על מטה טוב מן המפץ ומשני באתרא דמלו פוריא בחבלי במקום שאין רגילין לעשות שטיח עור למטה אלא סירוגי חבלים</w:t>
      </w:r>
      <w:r>
        <w:rPr>
          <w:rFonts w:cs="Arial" w:hint="cs"/>
          <w:rtl/>
        </w:rPr>
        <w:t>, רש"י.</w:t>
      </w:r>
    </w:p>
  </w:footnote>
  <w:footnote w:id="1159">
    <w:p w14:paraId="002F1675" w14:textId="77777777" w:rsidR="00DF1FC7" w:rsidRDefault="00DF1FC7" w:rsidP="002E5BAD">
      <w:pPr>
        <w:pStyle w:val="a5"/>
      </w:pPr>
      <w:r>
        <w:rPr>
          <w:rStyle w:val="a7"/>
        </w:rPr>
        <w:footnoteRef/>
      </w:r>
      <w:r>
        <w:rPr>
          <w:rtl/>
        </w:rPr>
        <w:t xml:space="preserve"> </w:t>
      </w:r>
      <w:r w:rsidRPr="009F349A">
        <w:rPr>
          <w:rFonts w:cs="Arial"/>
          <w:rtl/>
        </w:rPr>
        <w:t>מצערי לה ומזקינין אותה לשון בוגרת</w:t>
      </w:r>
      <w:r>
        <w:rPr>
          <w:rFonts w:cs="Arial" w:hint="cs"/>
          <w:rtl/>
        </w:rPr>
        <w:t>, רש"י.</w:t>
      </w:r>
    </w:p>
  </w:footnote>
  <w:footnote w:id="1160">
    <w:p w14:paraId="297D2454" w14:textId="77777777" w:rsidR="00DF1FC7" w:rsidRDefault="00DF1FC7" w:rsidP="002E5BAD">
      <w:pPr>
        <w:pStyle w:val="a5"/>
      </w:pPr>
      <w:r>
        <w:rPr>
          <w:rStyle w:val="a7"/>
        </w:rPr>
        <w:footnoteRef/>
      </w:r>
      <w:r>
        <w:rPr>
          <w:rtl/>
        </w:rPr>
        <w:t xml:space="preserve"> </w:t>
      </w:r>
      <w:r w:rsidRPr="009F349A">
        <w:rPr>
          <w:rFonts w:cs="Arial"/>
          <w:rtl/>
        </w:rPr>
        <w:t>מופשט וערום שאין לו חליפות בגדים אלא משנה לשנה</w:t>
      </w:r>
      <w:r>
        <w:rPr>
          <w:rFonts w:cs="Arial" w:hint="cs"/>
          <w:rtl/>
        </w:rPr>
        <w:t>.</w:t>
      </w:r>
      <w:r w:rsidRPr="009F349A">
        <w:rPr>
          <w:rFonts w:cs="Arial"/>
          <w:rtl/>
        </w:rPr>
        <w:t xml:space="preserve"> ומנעלים קאמר ממועד למועד</w:t>
      </w:r>
      <w:r>
        <w:rPr>
          <w:rFonts w:cs="Arial" w:hint="cs"/>
          <w:rtl/>
        </w:rPr>
        <w:t>,</w:t>
      </w:r>
      <w:r w:rsidRPr="009F349A">
        <w:rPr>
          <w:rFonts w:cs="Arial"/>
          <w:rtl/>
        </w:rPr>
        <w:t xml:space="preserve"> ושאר בגדים לא תחליף במועד</w:t>
      </w:r>
      <w:r>
        <w:rPr>
          <w:rFonts w:cs="Arial" w:hint="cs"/>
          <w:rtl/>
        </w:rPr>
        <w:t>.</w:t>
      </w:r>
      <w:r w:rsidRPr="009F349A">
        <w:rPr>
          <w:rFonts w:cs="Arial"/>
          <w:rtl/>
        </w:rPr>
        <w:t xml:space="preserve"> והפשיט מתרגמינן וישלח (ויקרא א)</w:t>
      </w:r>
      <w:r>
        <w:rPr>
          <w:rFonts w:cs="Arial" w:hint="cs"/>
          <w:rtl/>
        </w:rPr>
        <w:t>, רש"י</w:t>
      </w:r>
      <w:r w:rsidRPr="009F349A">
        <w:rPr>
          <w:rFonts w:cs="Arial"/>
          <w:rtl/>
        </w:rPr>
        <w:t>.</w:t>
      </w:r>
    </w:p>
  </w:footnote>
  <w:footnote w:id="1161">
    <w:p w14:paraId="40E7693B" w14:textId="77777777" w:rsidR="00DF1FC7" w:rsidRDefault="00DF1FC7" w:rsidP="002E5BAD">
      <w:pPr>
        <w:pStyle w:val="a5"/>
      </w:pPr>
      <w:r>
        <w:rPr>
          <w:rStyle w:val="a7"/>
        </w:rPr>
        <w:footnoteRef/>
      </w:r>
      <w:r>
        <w:rPr>
          <w:rtl/>
        </w:rPr>
        <w:t xml:space="preserve"> </w:t>
      </w:r>
      <w:r>
        <w:rPr>
          <w:rFonts w:cs="Arial" w:hint="cs"/>
          <w:rtl/>
        </w:rPr>
        <w:t>וכעין זה איתא ב</w:t>
      </w:r>
      <w:r w:rsidRPr="005A0C38">
        <w:rPr>
          <w:rFonts w:cs="Arial"/>
          <w:rtl/>
        </w:rPr>
        <w:t xml:space="preserve">ירושלמי </w:t>
      </w:r>
      <w:r>
        <w:rPr>
          <w:rFonts w:cs="Arial" w:hint="cs"/>
          <w:rtl/>
        </w:rPr>
        <w:t xml:space="preserve">כתובות </w:t>
      </w:r>
      <w:r w:rsidRPr="005A0C38">
        <w:rPr>
          <w:rFonts w:cs="Arial"/>
          <w:rtl/>
        </w:rPr>
        <w:t>פ"ה ה"י</w:t>
      </w:r>
      <w:r>
        <w:rPr>
          <w:rFonts w:hint="cs"/>
          <w:rtl/>
        </w:rPr>
        <w:t>.</w:t>
      </w:r>
    </w:p>
  </w:footnote>
  <w:footnote w:id="1162">
    <w:p w14:paraId="08BCE5F0" w14:textId="77777777" w:rsidR="00DF1FC7" w:rsidRDefault="00DF1FC7" w:rsidP="002E5BAD">
      <w:pPr>
        <w:pStyle w:val="a5"/>
      </w:pPr>
      <w:r>
        <w:rPr>
          <w:rStyle w:val="a7"/>
        </w:rPr>
        <w:footnoteRef/>
      </w:r>
      <w:r>
        <w:rPr>
          <w:rtl/>
        </w:rPr>
        <w:t xml:space="preserve"> </w:t>
      </w:r>
      <w:r w:rsidRPr="005A0C38">
        <w:rPr>
          <w:rFonts w:cs="Arial"/>
          <w:rtl/>
        </w:rPr>
        <w:t>מדבר באשת עני</w:t>
      </w:r>
      <w:r>
        <w:rPr>
          <w:rFonts w:cs="Arial" w:hint="cs"/>
          <w:rtl/>
        </w:rPr>
        <w:t>, הה"מ (שם).</w:t>
      </w:r>
    </w:p>
  </w:footnote>
  <w:footnote w:id="1163">
    <w:p w14:paraId="51CDD212" w14:textId="77777777" w:rsidR="00DF1FC7" w:rsidRDefault="00DF1FC7" w:rsidP="002E5BAD">
      <w:pPr>
        <w:pStyle w:val="a5"/>
      </w:pPr>
      <w:r>
        <w:rPr>
          <w:rStyle w:val="a7"/>
        </w:rPr>
        <w:footnoteRef/>
      </w:r>
      <w:r w:rsidRPr="005A0C38">
        <w:rPr>
          <w:rFonts w:cs="Arial"/>
          <w:rtl/>
        </w:rPr>
        <w:t xml:space="preserve"> וע"ל סימן ע' כתבתי דנותנין לה עץ לבשל מאכלה ונר להדלקה</w:t>
      </w:r>
      <w:r>
        <w:rPr>
          <w:rFonts w:cs="Arial" w:hint="cs"/>
          <w:rtl/>
        </w:rPr>
        <w:t>, דרכ"מ (אות א).</w:t>
      </w:r>
    </w:p>
  </w:footnote>
  <w:footnote w:id="1164">
    <w:p w14:paraId="6000EAFB" w14:textId="77777777" w:rsidR="00DF1FC7" w:rsidRDefault="00DF1FC7" w:rsidP="002E5BAD">
      <w:pPr>
        <w:pStyle w:val="a5"/>
      </w:pPr>
      <w:r>
        <w:rPr>
          <w:rStyle w:val="a7"/>
        </w:rPr>
        <w:footnoteRef/>
      </w:r>
      <w:r>
        <w:rPr>
          <w:rtl/>
        </w:rPr>
        <w:t xml:space="preserve"> </w:t>
      </w:r>
      <w:r>
        <w:rPr>
          <w:rFonts w:hint="cs"/>
          <w:rtl/>
        </w:rPr>
        <w:t>וכן הוא בתולדות פרשה סה סימן ד.</w:t>
      </w:r>
    </w:p>
  </w:footnote>
  <w:footnote w:id="1165">
    <w:p w14:paraId="1E439559" w14:textId="77777777" w:rsidR="00DF1FC7" w:rsidRDefault="00DF1FC7" w:rsidP="002E5BAD">
      <w:pPr>
        <w:pStyle w:val="a5"/>
      </w:pPr>
      <w:r>
        <w:rPr>
          <w:rStyle w:val="a7"/>
        </w:rPr>
        <w:footnoteRef/>
      </w:r>
      <w:r>
        <w:rPr>
          <w:rtl/>
        </w:rPr>
        <w:t xml:space="preserve"> </w:t>
      </w:r>
      <w:r w:rsidRPr="005A0C38">
        <w:rPr>
          <w:rFonts w:cs="Arial"/>
          <w:rtl/>
        </w:rPr>
        <w:t>כבר נתבאר למעלה שהכל לפי מנהג המקום כמו שמוכיח בפרק אף על פי ולא הוצרך רבינו לפרוט בזה אלא לומר אף על פי שהן עומדות בבית שאין יוצאות לשוק חייב ליתן לה שהרי צריכה היא לילך לבית האבל וכיוצא בה</w:t>
      </w:r>
      <w:r>
        <w:rPr>
          <w:rFonts w:cs="Arial" w:hint="cs"/>
          <w:rtl/>
        </w:rPr>
        <w:t>, הה"מ (שם).</w:t>
      </w:r>
    </w:p>
  </w:footnote>
  <w:footnote w:id="1166">
    <w:p w14:paraId="21C53BF8" w14:textId="77777777" w:rsidR="00DF1FC7" w:rsidRDefault="00DF1FC7" w:rsidP="002E5BAD">
      <w:pPr>
        <w:pStyle w:val="a5"/>
      </w:pPr>
      <w:r>
        <w:rPr>
          <w:rStyle w:val="a7"/>
        </w:rPr>
        <w:footnoteRef/>
      </w:r>
      <w:r>
        <w:rPr>
          <w:rtl/>
        </w:rPr>
        <w:t xml:space="preserve"> </w:t>
      </w:r>
      <w:r w:rsidRPr="00380340">
        <w:rPr>
          <w:rFonts w:cs="Arial"/>
          <w:rtl/>
        </w:rPr>
        <w:t>האכילוהו שעורים כבהמה כל הנאכל שלא כדרכו קרי ליה כוסס</w:t>
      </w:r>
      <w:r>
        <w:rPr>
          <w:rFonts w:cs="Arial" w:hint="cs"/>
          <w:rtl/>
        </w:rPr>
        <w:t>, רש"י.</w:t>
      </w:r>
    </w:p>
  </w:footnote>
  <w:footnote w:id="1167">
    <w:p w14:paraId="269A5B42" w14:textId="77777777" w:rsidR="00DF1FC7" w:rsidRDefault="00DF1FC7" w:rsidP="002E5BAD">
      <w:pPr>
        <w:pStyle w:val="a5"/>
        <w:rPr>
          <w:rtl/>
        </w:rPr>
      </w:pPr>
      <w:r>
        <w:rPr>
          <w:rStyle w:val="a7"/>
        </w:rPr>
        <w:footnoteRef/>
      </w:r>
      <w:r>
        <w:rPr>
          <w:rtl/>
        </w:rPr>
        <w:t xml:space="preserve"> </w:t>
      </w:r>
      <w:r w:rsidRPr="00380340">
        <w:rPr>
          <w:rFonts w:cs="Arial"/>
          <w:rtl/>
        </w:rPr>
        <w:t>להא מילתא דרב</w:t>
      </w:r>
      <w:r>
        <w:rPr>
          <w:rFonts w:hint="cs"/>
          <w:rtl/>
        </w:rPr>
        <w:t>, רש"י.</w:t>
      </w:r>
    </w:p>
  </w:footnote>
  <w:footnote w:id="1168">
    <w:p w14:paraId="0AABB55E" w14:textId="77777777" w:rsidR="00DF1FC7" w:rsidRDefault="00DF1FC7" w:rsidP="002E5BAD">
      <w:pPr>
        <w:pStyle w:val="a5"/>
        <w:rPr>
          <w:rtl/>
        </w:rPr>
      </w:pPr>
      <w:r>
        <w:rPr>
          <w:rStyle w:val="a7"/>
        </w:rPr>
        <w:footnoteRef/>
      </w:r>
      <w:r>
        <w:rPr>
          <w:rtl/>
        </w:rPr>
        <w:t xml:space="preserve"> </w:t>
      </w:r>
      <w:r w:rsidRPr="00380340">
        <w:rPr>
          <w:rFonts w:cs="Arial"/>
          <w:rtl/>
        </w:rPr>
        <w:t>דאיהו נמי כרב סבירא ליה</w:t>
      </w:r>
      <w:r>
        <w:rPr>
          <w:rFonts w:hint="cs"/>
          <w:rtl/>
        </w:rPr>
        <w:t>, רש"י.</w:t>
      </w:r>
    </w:p>
  </w:footnote>
  <w:footnote w:id="1169">
    <w:p w14:paraId="78598813" w14:textId="77777777" w:rsidR="00DF1FC7" w:rsidRDefault="00DF1FC7" w:rsidP="002E5BAD">
      <w:pPr>
        <w:pStyle w:val="a5"/>
        <w:rPr>
          <w:rtl/>
        </w:rPr>
      </w:pPr>
      <w:r>
        <w:rPr>
          <w:rStyle w:val="a7"/>
        </w:rPr>
        <w:footnoteRef/>
      </w:r>
      <w:r>
        <w:rPr>
          <w:rtl/>
        </w:rPr>
        <w:t xml:space="preserve"> </w:t>
      </w:r>
      <w:r w:rsidRPr="00486216">
        <w:rPr>
          <w:rFonts w:cs="Arial"/>
          <w:rtl/>
        </w:rPr>
        <w:t>ור</w:t>
      </w:r>
      <w:r>
        <w:rPr>
          <w:rFonts w:cs="Arial" w:hint="cs"/>
          <w:rtl/>
        </w:rPr>
        <w:t>י"ו</w:t>
      </w:r>
      <w:r w:rsidRPr="00486216">
        <w:rPr>
          <w:rFonts w:cs="Arial"/>
          <w:rtl/>
        </w:rPr>
        <w:t xml:space="preserve"> </w:t>
      </w:r>
      <w:r w:rsidRPr="00130AAC">
        <w:rPr>
          <w:rFonts w:cs="Arial"/>
          <w:sz w:val="16"/>
          <w:szCs w:val="16"/>
          <w:rtl/>
        </w:rPr>
        <w:t xml:space="preserve">(מישרים נכ"ג ח"ה נז ע"ד) </w:t>
      </w:r>
      <w:r w:rsidRPr="00486216">
        <w:rPr>
          <w:rFonts w:cs="Arial"/>
          <w:rtl/>
        </w:rPr>
        <w:t>כתב שתמהו על הרמב"ם למה כופין אותו להוציא מאחר שאין לו ממה לזונה</w:t>
      </w:r>
      <w:r>
        <w:rPr>
          <w:rFonts w:cs="Arial" w:hint="cs"/>
          <w:rtl/>
        </w:rPr>
        <w:t>,</w:t>
      </w:r>
      <w:r w:rsidRPr="00486216">
        <w:rPr>
          <w:rFonts w:cs="Arial"/>
          <w:rtl/>
        </w:rPr>
        <w:t xml:space="preserve"> דאם אין לו</w:t>
      </w:r>
      <w:r>
        <w:rPr>
          <w:rFonts w:cs="Arial" w:hint="cs"/>
          <w:rtl/>
        </w:rPr>
        <w:t xml:space="preserve"> -</w:t>
      </w:r>
      <w:r w:rsidRPr="00486216">
        <w:rPr>
          <w:rFonts w:cs="Arial"/>
          <w:rtl/>
        </w:rPr>
        <w:t xml:space="preserve"> אין כופין</w:t>
      </w:r>
      <w:r>
        <w:rPr>
          <w:rFonts w:hint="cs"/>
          <w:rtl/>
        </w:rPr>
        <w:t>.</w:t>
      </w:r>
    </w:p>
  </w:footnote>
  <w:footnote w:id="1170">
    <w:p w14:paraId="1DC63232" w14:textId="77777777" w:rsidR="00DF1FC7" w:rsidRDefault="00DF1FC7" w:rsidP="002E5BAD">
      <w:pPr>
        <w:pStyle w:val="a5"/>
      </w:pPr>
      <w:r>
        <w:rPr>
          <w:rStyle w:val="a7"/>
        </w:rPr>
        <w:footnoteRef/>
      </w:r>
      <w:r>
        <w:rPr>
          <w:rtl/>
        </w:rPr>
        <w:t xml:space="preserve"> </w:t>
      </w:r>
      <w:r w:rsidRPr="005A0C38">
        <w:rPr>
          <w:rFonts w:cs="Arial"/>
          <w:rtl/>
        </w:rPr>
        <w:t>זה פשוט שהפרנסה והכסות הרי הן כמזונות</w:t>
      </w:r>
      <w:r>
        <w:rPr>
          <w:rFonts w:cs="Arial" w:hint="cs"/>
          <w:rtl/>
        </w:rPr>
        <w:t>,</w:t>
      </w:r>
      <w:r w:rsidRPr="005A0C38">
        <w:rPr>
          <w:rFonts w:cs="Arial"/>
          <w:rtl/>
        </w:rPr>
        <w:t xml:space="preserve"> וכן הזכירו בהרבה מקומות בגמרא פרנסה בכלל מזונות</w:t>
      </w:r>
      <w:r>
        <w:rPr>
          <w:rFonts w:cs="Arial" w:hint="cs"/>
          <w:rtl/>
        </w:rPr>
        <w:t>, הה"מ (שם).</w:t>
      </w:r>
    </w:p>
  </w:footnote>
  <w:footnote w:id="1171">
    <w:p w14:paraId="57807437" w14:textId="77777777" w:rsidR="00DF1FC7" w:rsidRDefault="00DF1FC7" w:rsidP="002E5BAD">
      <w:pPr>
        <w:pStyle w:val="a5"/>
        <w:rPr>
          <w:rtl/>
        </w:rPr>
      </w:pPr>
      <w:r>
        <w:rPr>
          <w:rStyle w:val="a7"/>
        </w:rPr>
        <w:footnoteRef/>
      </w:r>
      <w:r>
        <w:rPr>
          <w:rtl/>
        </w:rPr>
        <w:t xml:space="preserve"> </w:t>
      </w:r>
      <w:r w:rsidRPr="005A0C38">
        <w:rPr>
          <w:rFonts w:cs="Arial"/>
          <w:rtl/>
        </w:rPr>
        <w:t>לפי שלא הוזכר חילוק בין העשיר לעני אלא באשה ופשוט הוא</w:t>
      </w:r>
      <w:r>
        <w:rPr>
          <w:rFonts w:hint="cs"/>
          <w:rtl/>
        </w:rPr>
        <w:t>, הה"מ (שם).</w:t>
      </w:r>
    </w:p>
  </w:footnote>
  <w:footnote w:id="1172">
    <w:p w14:paraId="75F749D4" w14:textId="77777777" w:rsidR="00DF1FC7" w:rsidRDefault="00DF1FC7" w:rsidP="002E5BAD">
      <w:pPr>
        <w:pStyle w:val="a5"/>
      </w:pPr>
      <w:r>
        <w:rPr>
          <w:rStyle w:val="a7"/>
        </w:rPr>
        <w:footnoteRef/>
      </w:r>
      <w:r>
        <w:rPr>
          <w:rtl/>
        </w:rPr>
        <w:t xml:space="preserve"> </w:t>
      </w:r>
      <w:r>
        <w:rPr>
          <w:rFonts w:hint="cs"/>
          <w:rtl/>
        </w:rPr>
        <w:t xml:space="preserve">וז"ל- </w:t>
      </w:r>
      <w:r w:rsidRPr="00461B0D">
        <w:rPr>
          <w:rFonts w:cs="Arial"/>
          <w:rtl/>
        </w:rPr>
        <w:t>על ראובן שלוה מעות משמעון על בגדי אשתו וחזר והשאילו לו עד לאחר המועד ומת במועד ומחמת יראת המושל מכרה את אשר לה לשמעון וגם מלבושיה שהיו ממושכנין בידו והחזיר לה שמעון הכל חוץ מן המלבושים ופסק ר"י שהדין עמו דאע"ג דאין אדם רשאי</w:t>
      </w:r>
      <w:r>
        <w:rPr>
          <w:rFonts w:cs="Arial" w:hint="cs"/>
          <w:rtl/>
        </w:rPr>
        <w:t xml:space="preserve"> </w:t>
      </w:r>
      <w:r w:rsidRPr="00461B0D">
        <w:rPr>
          <w:rFonts w:cs="Arial"/>
          <w:rtl/>
        </w:rPr>
        <w:t>למשכן את בגדי אשתו מ"מ אחזוקי אינשי בגנבי לא מחזקינן ומסתמא ברשותה משכנם בעלה וכיון שהשאיל לו שמעון עד לאחר המועד עדיין הם ברשות שמעון כיון שבתורת שאלה בא לידי ולא בתורת חזרה כדפרישית לעיל ואין האשה יכולה לטעון תפשתים עבור כתובתי ואני הייתי מוחזקת בהם כשמסרתי לך מלבושי דכיון שהחזירם לו לא היו יותר ברשותה ויש חולקים על דין זה דיש לה לומר נחת רוח עשיתי לבעלי מה שמסרתי לו מלבושי</w:t>
      </w:r>
      <w:r>
        <w:rPr>
          <w:rFonts w:cs="Arial" w:hint="cs"/>
          <w:rtl/>
        </w:rPr>
        <w:t>.</w:t>
      </w:r>
    </w:p>
  </w:footnote>
  <w:footnote w:id="1173">
    <w:p w14:paraId="2AD840C7" w14:textId="77777777" w:rsidR="00DF1FC7" w:rsidRDefault="00DF1FC7" w:rsidP="002E5BAD">
      <w:pPr>
        <w:pStyle w:val="a5"/>
      </w:pPr>
      <w:r>
        <w:rPr>
          <w:rStyle w:val="a7"/>
        </w:rPr>
        <w:footnoteRef/>
      </w:r>
      <w:r>
        <w:rPr>
          <w:rtl/>
        </w:rPr>
        <w:t xml:space="preserve"> </w:t>
      </w:r>
      <w:r>
        <w:rPr>
          <w:rFonts w:cs="Arial" w:hint="cs"/>
          <w:rtl/>
        </w:rPr>
        <w:t xml:space="preserve">וז"ל הב"י (בסי' צ) בשם מצאתי כתוב- </w:t>
      </w:r>
      <w:r w:rsidRPr="000C4173">
        <w:rPr>
          <w:rFonts w:cs="Arial"/>
          <w:rtl/>
        </w:rPr>
        <w:t>דן הר"ח על אשה שלותה על בגדיה או על תכשיטיה ואח"כ הלך בעלה והוסיף ולוה עליהם יותר</w:t>
      </w:r>
      <w:r>
        <w:rPr>
          <w:rFonts w:cs="Arial" w:hint="cs"/>
          <w:rtl/>
        </w:rPr>
        <w:t>,</w:t>
      </w:r>
      <w:r w:rsidRPr="000C4173">
        <w:rPr>
          <w:rFonts w:cs="Arial"/>
          <w:rtl/>
        </w:rPr>
        <w:t xml:space="preserve"> אם מידיעתה עשה הבעל </w:t>
      </w:r>
      <w:r>
        <w:rPr>
          <w:rFonts w:cs="Arial" w:hint="cs"/>
          <w:rtl/>
        </w:rPr>
        <w:t xml:space="preserve">- </w:t>
      </w:r>
      <w:r w:rsidRPr="000C4173">
        <w:rPr>
          <w:rFonts w:cs="Arial"/>
          <w:rtl/>
        </w:rPr>
        <w:t>אז המלוה יכול לתפסם בשביל כל ההלואה</w:t>
      </w:r>
      <w:r>
        <w:rPr>
          <w:rFonts w:cs="Arial" w:hint="cs"/>
          <w:rtl/>
        </w:rPr>
        <w:t>.</w:t>
      </w:r>
      <w:r w:rsidRPr="000C4173">
        <w:rPr>
          <w:rFonts w:cs="Arial"/>
          <w:rtl/>
        </w:rPr>
        <w:t xml:space="preserve"> אבל אם שלא מדעתה לוה </w:t>
      </w:r>
      <w:r>
        <w:rPr>
          <w:rFonts w:cs="Arial" w:hint="cs"/>
          <w:rtl/>
        </w:rPr>
        <w:t xml:space="preserve">- </w:t>
      </w:r>
      <w:r w:rsidRPr="000C4173">
        <w:rPr>
          <w:rFonts w:cs="Arial"/>
          <w:rtl/>
        </w:rPr>
        <w:t>היא יכולה להוציא מן המלוה באותם מעות שלותה היא</w:t>
      </w:r>
      <w:r>
        <w:rPr>
          <w:rFonts w:cs="Arial" w:hint="cs"/>
          <w:rtl/>
        </w:rPr>
        <w:t>,</w:t>
      </w:r>
      <w:r w:rsidRPr="000C4173">
        <w:rPr>
          <w:rFonts w:cs="Arial"/>
          <w:rtl/>
        </w:rPr>
        <w:t xml:space="preserve"> כי כך שנינו אין לבעל בבגדי אשתו כלום</w:t>
      </w:r>
      <w:r>
        <w:rPr>
          <w:rFonts w:cs="Arial" w:hint="cs"/>
          <w:rtl/>
        </w:rPr>
        <w:t>,</w:t>
      </w:r>
      <w:r w:rsidRPr="000C4173">
        <w:rPr>
          <w:rFonts w:cs="Arial"/>
          <w:rtl/>
        </w:rPr>
        <w:t xml:space="preserve"> ולא בתכשיטיה</w:t>
      </w:r>
      <w:r>
        <w:rPr>
          <w:rFonts w:cs="Arial" w:hint="cs"/>
          <w:rtl/>
        </w:rPr>
        <w:t>.</w:t>
      </w:r>
      <w:r w:rsidRPr="000C4173">
        <w:rPr>
          <w:rFonts w:cs="Arial"/>
          <w:rtl/>
        </w:rPr>
        <w:t xml:space="preserve"> ואפילו אם לוה הבעל מתחלה עליהם והיא אומרת שעשה בלא ידיעתה </w:t>
      </w:r>
      <w:r>
        <w:rPr>
          <w:rFonts w:cs="Arial" w:hint="cs"/>
          <w:rtl/>
        </w:rPr>
        <w:t xml:space="preserve">- </w:t>
      </w:r>
      <w:r w:rsidRPr="000C4173">
        <w:rPr>
          <w:rFonts w:cs="Arial"/>
          <w:rtl/>
        </w:rPr>
        <w:t>דין הוא שיחזיר לה אם תשבע דשלא מדעתה לוה בעלה עליהם</w:t>
      </w:r>
      <w:r>
        <w:rPr>
          <w:rFonts w:cs="Arial" w:hint="cs"/>
          <w:rtl/>
        </w:rPr>
        <w:t>.</w:t>
      </w:r>
    </w:p>
  </w:footnote>
  <w:footnote w:id="1174">
    <w:p w14:paraId="4539E863" w14:textId="77777777" w:rsidR="00DF1FC7" w:rsidRDefault="00DF1FC7" w:rsidP="002E5BAD">
      <w:pPr>
        <w:pStyle w:val="a5"/>
      </w:pPr>
      <w:r>
        <w:rPr>
          <w:rStyle w:val="a7"/>
        </w:rPr>
        <w:footnoteRef/>
      </w:r>
      <w:r>
        <w:rPr>
          <w:rtl/>
        </w:rPr>
        <w:t xml:space="preserve"> </w:t>
      </w:r>
      <w:r w:rsidRPr="00C726C5">
        <w:rPr>
          <w:rFonts w:cs="Arial"/>
          <w:rtl/>
        </w:rPr>
        <w:t>ו</w:t>
      </w:r>
      <w:r>
        <w:rPr>
          <w:rFonts w:cs="Arial" w:hint="cs"/>
          <w:rtl/>
        </w:rPr>
        <w:t xml:space="preserve">מה שכתב הרשב"א </w:t>
      </w:r>
      <w:r w:rsidRPr="00C726C5">
        <w:rPr>
          <w:rFonts w:cs="Arial"/>
          <w:rtl/>
        </w:rPr>
        <w:t xml:space="preserve">בתשובה </w:t>
      </w:r>
      <w:r>
        <w:rPr>
          <w:rFonts w:cs="Arial" w:hint="cs"/>
          <w:rtl/>
        </w:rPr>
        <w:t xml:space="preserve">סי' </w:t>
      </w:r>
      <w:r w:rsidRPr="00C726C5">
        <w:rPr>
          <w:rFonts w:cs="Arial"/>
          <w:rtl/>
        </w:rPr>
        <w:t>תתקל"ו דאינו יכול למשכן</w:t>
      </w:r>
      <w:r>
        <w:rPr>
          <w:rFonts w:cs="Arial" w:hint="cs"/>
          <w:rtl/>
        </w:rPr>
        <w:t>,</w:t>
      </w:r>
      <w:r w:rsidRPr="00C726C5">
        <w:rPr>
          <w:rFonts w:cs="Arial"/>
          <w:rtl/>
        </w:rPr>
        <w:t xml:space="preserve"> י</w:t>
      </w:r>
      <w:r>
        <w:rPr>
          <w:rFonts w:cs="Arial" w:hint="cs"/>
          <w:rtl/>
        </w:rPr>
        <w:t>ש לומר</w:t>
      </w:r>
      <w:r w:rsidRPr="00C726C5">
        <w:rPr>
          <w:rFonts w:cs="Arial"/>
          <w:rtl/>
        </w:rPr>
        <w:t xml:space="preserve"> </w:t>
      </w:r>
      <w:r>
        <w:rPr>
          <w:rFonts w:cs="Arial" w:hint="cs"/>
          <w:rtl/>
        </w:rPr>
        <w:t>ד</w:t>
      </w:r>
      <w:r w:rsidRPr="00C726C5">
        <w:rPr>
          <w:rFonts w:cs="Arial"/>
          <w:rtl/>
        </w:rPr>
        <w:t xml:space="preserve">שם איירי </w:t>
      </w:r>
      <w:r>
        <w:rPr>
          <w:rFonts w:cs="Arial" w:hint="cs"/>
          <w:rtl/>
        </w:rPr>
        <w:t>ב</w:t>
      </w:r>
      <w:r w:rsidRPr="00C726C5">
        <w:rPr>
          <w:rFonts w:cs="Arial"/>
          <w:rtl/>
        </w:rPr>
        <w:t>בגדים שעשה לה חמיה מחמת החיוב שהתחייב בעת השידוך</w:t>
      </w:r>
      <w:r>
        <w:rPr>
          <w:rFonts w:cs="Arial" w:hint="cs"/>
          <w:rtl/>
        </w:rPr>
        <w:t>,</w:t>
      </w:r>
      <w:r w:rsidRPr="00C726C5">
        <w:rPr>
          <w:rFonts w:cs="Arial"/>
          <w:rtl/>
        </w:rPr>
        <w:t xml:space="preserve"> אבל מה שעשה לה בעלה מרצון הטוב ס"ל אפש</w:t>
      </w:r>
      <w:r>
        <w:rPr>
          <w:rFonts w:cs="Arial" w:hint="cs"/>
          <w:rtl/>
        </w:rPr>
        <w:t>ר</w:t>
      </w:r>
      <w:r w:rsidRPr="00C726C5">
        <w:rPr>
          <w:rFonts w:cs="Arial"/>
          <w:rtl/>
        </w:rPr>
        <w:t xml:space="preserve">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מיהו מהרי"ק </w:t>
      </w:r>
      <w:r>
        <w:rPr>
          <w:rFonts w:cs="Arial" w:hint="cs"/>
          <w:rtl/>
        </w:rPr>
        <w:t>(</w:t>
      </w:r>
      <w:r w:rsidRPr="00C726C5">
        <w:rPr>
          <w:rFonts w:cs="Arial"/>
          <w:rtl/>
        </w:rPr>
        <w:t>שורש י</w:t>
      </w:r>
      <w:r>
        <w:rPr>
          <w:rFonts w:cs="Arial" w:hint="cs"/>
          <w:rtl/>
        </w:rPr>
        <w:t>)</w:t>
      </w:r>
      <w:r w:rsidRPr="00C726C5">
        <w:rPr>
          <w:rFonts w:cs="Arial"/>
          <w:rtl/>
        </w:rPr>
        <w:t xml:space="preserve"> כתב הרשב"א לא החליט זאת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והב"י </w:t>
      </w:r>
      <w:r>
        <w:rPr>
          <w:rFonts w:cs="Arial" w:hint="cs"/>
          <w:rtl/>
        </w:rPr>
        <w:t>(בסי' צ)</w:t>
      </w:r>
      <w:r w:rsidRPr="00C726C5">
        <w:rPr>
          <w:rFonts w:cs="Arial"/>
          <w:rtl/>
        </w:rPr>
        <w:t xml:space="preserve"> הביא תשובת מ</w:t>
      </w:r>
      <w:r>
        <w:rPr>
          <w:rFonts w:cs="Arial" w:hint="cs"/>
          <w:rtl/>
        </w:rPr>
        <w:t>צאתי כתוב</w:t>
      </w:r>
      <w:r w:rsidRPr="00C726C5">
        <w:rPr>
          <w:rFonts w:cs="Arial"/>
          <w:rtl/>
        </w:rPr>
        <w:t xml:space="preserve"> ושם כתב דאי</w:t>
      </w:r>
      <w:r>
        <w:rPr>
          <w:rFonts w:cs="Arial" w:hint="cs"/>
          <w:rtl/>
        </w:rPr>
        <w:t>נו</w:t>
      </w:r>
      <w:r w:rsidRPr="00C726C5">
        <w:rPr>
          <w:rFonts w:cs="Arial"/>
          <w:rtl/>
        </w:rPr>
        <w:t xml:space="preserve"> </w:t>
      </w:r>
      <w:r>
        <w:rPr>
          <w:rFonts w:cs="Arial" w:hint="cs"/>
          <w:rtl/>
        </w:rPr>
        <w:t xml:space="preserve">יכול </w:t>
      </w:r>
      <w:r w:rsidRPr="00C726C5">
        <w:rPr>
          <w:rFonts w:cs="Arial"/>
          <w:rtl/>
        </w:rPr>
        <w:t>משכן</w:t>
      </w:r>
      <w:r>
        <w:rPr>
          <w:rFonts w:cs="Arial" w:hint="cs"/>
          <w:rtl/>
        </w:rPr>
        <w:t>,</w:t>
      </w:r>
      <w:r w:rsidRPr="00C726C5">
        <w:rPr>
          <w:rFonts w:cs="Arial"/>
          <w:rtl/>
        </w:rPr>
        <w:t xml:space="preserve"> וכ"כ המרדכי </w:t>
      </w:r>
      <w:r>
        <w:rPr>
          <w:rFonts w:cs="Arial" w:hint="cs"/>
          <w:rtl/>
        </w:rPr>
        <w:t>(</w:t>
      </w:r>
      <w:r w:rsidRPr="00C726C5">
        <w:rPr>
          <w:rFonts w:cs="Arial"/>
          <w:rtl/>
        </w:rPr>
        <w:t xml:space="preserve">ס"פ האומנין </w:t>
      </w:r>
      <w:r>
        <w:rPr>
          <w:rFonts w:cs="Arial" w:hint="cs"/>
          <w:rtl/>
        </w:rPr>
        <w:t xml:space="preserve">סי' שסד) </w:t>
      </w:r>
      <w:r w:rsidRPr="00C726C5">
        <w:rPr>
          <w:rFonts w:cs="Arial"/>
          <w:rtl/>
        </w:rPr>
        <w:t>ומשמע שם דאיירי אפילו אם עשה הוא לה בגדים</w:t>
      </w:r>
      <w:r>
        <w:rPr>
          <w:rFonts w:cs="Arial" w:hint="cs"/>
          <w:rtl/>
        </w:rPr>
        <w:t>.</w:t>
      </w:r>
      <w:r w:rsidRPr="00C726C5">
        <w:rPr>
          <w:rFonts w:cs="Arial"/>
          <w:rtl/>
        </w:rPr>
        <w:t xml:space="preserve"> והש"ך </w:t>
      </w:r>
      <w:r>
        <w:rPr>
          <w:rFonts w:cs="Arial" w:hint="cs"/>
          <w:rtl/>
        </w:rPr>
        <w:t>(</w:t>
      </w:r>
      <w:r w:rsidRPr="00C726C5">
        <w:rPr>
          <w:rFonts w:cs="Arial"/>
          <w:rtl/>
        </w:rPr>
        <w:t>ח</w:t>
      </w:r>
      <w:r>
        <w:rPr>
          <w:rFonts w:cs="Arial" w:hint="cs"/>
          <w:rtl/>
        </w:rPr>
        <w:t xml:space="preserve">ו"מ </w:t>
      </w:r>
      <w:r w:rsidRPr="00C726C5">
        <w:rPr>
          <w:rFonts w:cs="Arial"/>
          <w:rtl/>
        </w:rPr>
        <w:t>סי' עב</w:t>
      </w:r>
      <w:r>
        <w:rPr>
          <w:rFonts w:cs="Arial" w:hint="cs"/>
          <w:rtl/>
        </w:rPr>
        <w:t xml:space="preserve"> סקכ"ד)</w:t>
      </w:r>
      <w:r w:rsidRPr="00C726C5">
        <w:rPr>
          <w:rFonts w:cs="Arial"/>
          <w:rtl/>
        </w:rPr>
        <w:t xml:space="preserve"> כתב בפשיטות דיכול למשכן וכתב כן ע"פ תשוב' הרשב"א הנ"ל</w:t>
      </w:r>
      <w:r>
        <w:rPr>
          <w:rFonts w:hint="cs"/>
          <w:rtl/>
        </w:rPr>
        <w:t xml:space="preserve">. וכן נראה לי ברור דעת הב"י (בסי' צ), שהרי לאחר שהביא את דברי המרדכי (ב"מ סי' שסד) ותשו' המצאתי כתוב, כתב בבדה"ב וז"ל- </w:t>
      </w:r>
      <w:r w:rsidRPr="003509BC">
        <w:rPr>
          <w:rFonts w:cs="Arial"/>
          <w:rtl/>
        </w:rPr>
        <w:t>דין הממשכן כסות אשתו כתבתי בסוף סימן ע"ג</w:t>
      </w:r>
      <w:r>
        <w:rPr>
          <w:rFonts w:cs="Arial" w:hint="cs"/>
          <w:rtl/>
        </w:rPr>
        <w:t xml:space="preserve">. עכ"ל. ושם בסוף סימן עג הביא רק את דברי הרשב"א </w:t>
      </w:r>
      <w:r>
        <w:rPr>
          <w:rFonts w:hint="cs"/>
          <w:rtl/>
        </w:rPr>
        <w:t xml:space="preserve">(ח"ב סי' רפו) הנ"ל. וכתב שם לעיין במרדכי. נראה שדעתו ברור שאם משכן </w:t>
      </w:r>
      <w:r>
        <w:rPr>
          <w:rtl/>
        </w:rPr>
        <w:t>–</w:t>
      </w:r>
      <w:r>
        <w:rPr>
          <w:rFonts w:hint="cs"/>
          <w:rtl/>
        </w:rPr>
        <w:t xml:space="preserve"> הרי הם ממושכנים. וכמו שפסק כאן בשו"ע.</w:t>
      </w:r>
    </w:p>
  </w:footnote>
  <w:footnote w:id="1175">
    <w:p w14:paraId="5994EC7D" w14:textId="77777777" w:rsidR="00DF1FC7" w:rsidRDefault="00DF1FC7" w:rsidP="002E5BAD">
      <w:pPr>
        <w:pStyle w:val="a5"/>
      </w:pPr>
      <w:r>
        <w:rPr>
          <w:rStyle w:val="a7"/>
        </w:rPr>
        <w:footnoteRef/>
      </w:r>
      <w:r>
        <w:rPr>
          <w:rtl/>
        </w:rPr>
        <w:t xml:space="preserve"> </w:t>
      </w:r>
      <w:r w:rsidRPr="007E6D8B">
        <w:rPr>
          <w:rFonts w:cs="Arial"/>
          <w:rtl/>
        </w:rPr>
        <w:t>באשה עניה אם לא נתן קצבה לדבר עד מתי אסרו עליה הוא דיוציא ויתן כתובה אבל אם נתן קצבה תמתין עד אותו זמן ובגמרא מפרש עד כמה היא קצבתה</w:t>
      </w:r>
      <w:r>
        <w:rPr>
          <w:rFonts w:cs="Arial" w:hint="cs"/>
          <w:rtl/>
        </w:rPr>
        <w:t>, רש"י.</w:t>
      </w:r>
    </w:p>
  </w:footnote>
  <w:footnote w:id="1176">
    <w:p w14:paraId="41415F09" w14:textId="77777777" w:rsidR="00DF1FC7" w:rsidRDefault="00DF1FC7" w:rsidP="002E5BAD">
      <w:pPr>
        <w:pStyle w:val="a5"/>
      </w:pPr>
      <w:r>
        <w:rPr>
          <w:rStyle w:val="a7"/>
        </w:rPr>
        <w:footnoteRef/>
      </w:r>
      <w:r>
        <w:rPr>
          <w:rtl/>
        </w:rPr>
        <w:t xml:space="preserve"> </w:t>
      </w:r>
      <w:r w:rsidRPr="00560D36">
        <w:rPr>
          <w:rFonts w:cs="Arial"/>
          <w:rtl/>
        </w:rPr>
        <w:t>יוציא ויתן כתובה אלמא הוא נותן דהא בנדרה היא וקיים הוא אוקימתא למתניתין</w:t>
      </w:r>
      <w:r>
        <w:rPr>
          <w:rFonts w:cs="Arial" w:hint="cs"/>
          <w:rtl/>
        </w:rPr>
        <w:t>, רש"י.</w:t>
      </w:r>
    </w:p>
  </w:footnote>
  <w:footnote w:id="1177">
    <w:p w14:paraId="03E7BE21" w14:textId="77777777" w:rsidR="00DF1FC7" w:rsidRDefault="00DF1FC7" w:rsidP="002E5BAD">
      <w:pPr>
        <w:pStyle w:val="a5"/>
      </w:pPr>
      <w:r>
        <w:rPr>
          <w:rStyle w:val="a7"/>
        </w:rPr>
        <w:footnoteRef/>
      </w:r>
      <w:r>
        <w:rPr>
          <w:rtl/>
        </w:rPr>
        <w:t xml:space="preserve"> </w:t>
      </w:r>
      <w:r w:rsidRPr="00560D36">
        <w:rPr>
          <w:rFonts w:cs="Arial"/>
          <w:rtl/>
        </w:rPr>
        <w:t>נדרי קישוט מדקניס ליה כתובה על שקיימו</w:t>
      </w:r>
      <w:r>
        <w:rPr>
          <w:rFonts w:cs="Arial" w:hint="cs"/>
          <w:rtl/>
        </w:rPr>
        <w:t>, רש"י.</w:t>
      </w:r>
    </w:p>
  </w:footnote>
  <w:footnote w:id="1178">
    <w:p w14:paraId="6C75B401" w14:textId="77777777" w:rsidR="00DF1FC7" w:rsidRDefault="00DF1FC7" w:rsidP="002E5BAD">
      <w:pPr>
        <w:pStyle w:val="a5"/>
      </w:pPr>
      <w:r>
        <w:rPr>
          <w:rStyle w:val="a7"/>
        </w:rPr>
        <w:footnoteRef/>
      </w:r>
      <w:r>
        <w:rPr>
          <w:rtl/>
        </w:rPr>
        <w:t xml:space="preserve"> </w:t>
      </w:r>
      <w:r w:rsidRPr="00087AB3">
        <w:rPr>
          <w:rFonts w:cs="Arial"/>
          <w:rtl/>
        </w:rPr>
        <w:t>סם המשיר את השער</w:t>
      </w:r>
      <w:r>
        <w:rPr>
          <w:rFonts w:cs="Arial" w:hint="cs"/>
          <w:rtl/>
        </w:rPr>
        <w:t>, רש"י.</w:t>
      </w:r>
    </w:p>
  </w:footnote>
  <w:footnote w:id="1179">
    <w:p w14:paraId="7A877728" w14:textId="77777777" w:rsidR="00DF1FC7" w:rsidRDefault="00DF1FC7" w:rsidP="002E5BAD">
      <w:pPr>
        <w:pStyle w:val="a5"/>
      </w:pPr>
      <w:r>
        <w:rPr>
          <w:rStyle w:val="a7"/>
        </w:rPr>
        <w:footnoteRef/>
      </w:r>
      <w:r>
        <w:rPr>
          <w:rtl/>
        </w:rPr>
        <w:t xml:space="preserve"> </w:t>
      </w:r>
      <w:r w:rsidRPr="00087AB3">
        <w:rPr>
          <w:rFonts w:cs="Arial"/>
          <w:rtl/>
        </w:rPr>
        <w:t>בעפר חור שהוא גדל שם כלומר בדבר שהוא רגיל בו בקי הוא להשמר שאינו מזיקו</w:t>
      </w:r>
      <w:r>
        <w:rPr>
          <w:rFonts w:cs="Arial" w:hint="cs"/>
          <w:rtl/>
        </w:rPr>
        <w:t>, רש"י.</w:t>
      </w:r>
      <w:r w:rsidRPr="00087AB3">
        <w:rPr>
          <w:rtl/>
        </w:rPr>
        <w:t xml:space="preserve"> </w:t>
      </w:r>
      <w:r w:rsidRPr="00087AB3">
        <w:rPr>
          <w:rFonts w:cs="Arial"/>
          <w:rtl/>
        </w:rPr>
        <w:t>ואינו נפגע מכך שאינה משירה את שערה שבאותו מקום, ואין סיבה שנאפשר לו להפר לה את הנדר</w:t>
      </w:r>
      <w:r>
        <w:rPr>
          <w:rFonts w:hint="cs"/>
          <w:rtl/>
        </w:rPr>
        <w:t xml:space="preserve"> (חברותא).</w:t>
      </w:r>
    </w:p>
  </w:footnote>
  <w:footnote w:id="1180">
    <w:p w14:paraId="39F32FD8" w14:textId="77777777" w:rsidR="00DF1FC7" w:rsidRDefault="00DF1FC7" w:rsidP="002E5BAD">
      <w:pPr>
        <w:pStyle w:val="a5"/>
      </w:pPr>
      <w:r>
        <w:rPr>
          <w:rStyle w:val="a7"/>
        </w:rPr>
        <w:footnoteRef/>
      </w:r>
      <w:r>
        <w:rPr>
          <w:rtl/>
        </w:rPr>
        <w:t xml:space="preserve"> </w:t>
      </w:r>
      <w:r w:rsidRPr="00EF65A2">
        <w:rPr>
          <w:rFonts w:cs="Arial"/>
          <w:rtl/>
        </w:rPr>
        <w:t>אמאי יוציא לאלתר ויתן כתובה ותתקשט ותאסר והות ליה כמדיר את אשתו מתשמיש המטה ותנן בפרק אף על פי לבית שמאי שתי שבתות ולבית הלל שבת אחת</w:t>
      </w:r>
      <w:r>
        <w:rPr>
          <w:rFonts w:cs="Arial" w:hint="cs"/>
          <w:rtl/>
        </w:rPr>
        <w:t>, רש"י.</w:t>
      </w:r>
    </w:p>
  </w:footnote>
  <w:footnote w:id="1181">
    <w:p w14:paraId="417F441D" w14:textId="77777777" w:rsidR="00DF1FC7" w:rsidRDefault="00DF1FC7" w:rsidP="002E5BAD">
      <w:pPr>
        <w:pStyle w:val="a5"/>
        <w:rPr>
          <w:rtl/>
        </w:rPr>
      </w:pPr>
      <w:r>
        <w:rPr>
          <w:rStyle w:val="a7"/>
        </w:rPr>
        <w:footnoteRef/>
      </w:r>
      <w:r>
        <w:rPr>
          <w:rtl/>
        </w:rPr>
        <w:t xml:space="preserve"> </w:t>
      </w:r>
      <w:r>
        <w:rPr>
          <w:rFonts w:cs="Arial"/>
          <w:rtl/>
        </w:rPr>
        <w:t>כלומר וכיון שאינה סבורה שיתפייס עוד לא תקנו חכמים שתמתין הואיל וקשה לה</w:t>
      </w:r>
      <w:r>
        <w:rPr>
          <w:rFonts w:cs="Arial" w:hint="cs"/>
          <w:rtl/>
        </w:rPr>
        <w:t>, ב"י</w:t>
      </w:r>
      <w:r>
        <w:rPr>
          <w:rFonts w:cs="Arial"/>
          <w:rtl/>
        </w:rPr>
        <w:t>.</w:t>
      </w:r>
    </w:p>
  </w:footnote>
  <w:footnote w:id="1182">
    <w:p w14:paraId="4A64F3C9" w14:textId="77777777" w:rsidR="00DF1FC7" w:rsidRDefault="00DF1FC7" w:rsidP="002E5BAD">
      <w:pPr>
        <w:pStyle w:val="a5"/>
      </w:pPr>
      <w:r>
        <w:rPr>
          <w:rStyle w:val="a7"/>
        </w:rPr>
        <w:footnoteRef/>
      </w:r>
      <w:r>
        <w:rPr>
          <w:rtl/>
        </w:rPr>
        <w:t xml:space="preserve"> </w:t>
      </w:r>
      <w:r w:rsidRPr="00DD037B">
        <w:rPr>
          <w:rFonts w:cs="Arial"/>
          <w:rtl/>
        </w:rPr>
        <w:t>כלומר אם נתן קצבה עד כמה לא כייפינן ליה להוציא</w:t>
      </w:r>
      <w:r>
        <w:rPr>
          <w:rFonts w:cs="Arial" w:hint="cs"/>
          <w:rtl/>
        </w:rPr>
        <w:t>, רש"י.</w:t>
      </w:r>
    </w:p>
  </w:footnote>
  <w:footnote w:id="1183">
    <w:p w14:paraId="1DE94B66" w14:textId="77777777" w:rsidR="00DF1FC7" w:rsidRDefault="00DF1FC7" w:rsidP="002E5BAD">
      <w:pPr>
        <w:pStyle w:val="a5"/>
      </w:pPr>
      <w:r>
        <w:rPr>
          <w:rStyle w:val="a7"/>
        </w:rPr>
        <w:footnoteRef/>
      </w:r>
      <w:r>
        <w:rPr>
          <w:rtl/>
        </w:rPr>
        <w:t xml:space="preserve"> </w:t>
      </w:r>
      <w:r>
        <w:rPr>
          <w:rFonts w:cs="Arial"/>
          <w:rtl/>
        </w:rPr>
        <w:t>דע שכל מקום שתראה המדיר את אשתו מכך וכך ר"ל שהוא אוסר הנאתו עליה אם תעשה כך</w:t>
      </w:r>
      <w:r>
        <w:rPr>
          <w:rFonts w:cs="Arial" w:hint="cs"/>
          <w:rtl/>
        </w:rPr>
        <w:t>,</w:t>
      </w:r>
      <w:r>
        <w:rPr>
          <w:rFonts w:cs="Arial"/>
          <w:rtl/>
        </w:rPr>
        <w:t xml:space="preserve"> אבל האוסר על אשתו ואומר הריני אוסר עליך שלא תעשי כך </w:t>
      </w:r>
      <w:r>
        <w:rPr>
          <w:rFonts w:cs="Arial" w:hint="cs"/>
          <w:rtl/>
        </w:rPr>
        <w:t xml:space="preserve">- </w:t>
      </w:r>
      <w:r>
        <w:rPr>
          <w:rFonts w:cs="Arial"/>
          <w:rtl/>
        </w:rPr>
        <w:t>אין בדבריו כלום</w:t>
      </w:r>
      <w:r>
        <w:rPr>
          <w:rFonts w:cs="Arial" w:hint="cs"/>
          <w:rtl/>
        </w:rPr>
        <w:t>,</w:t>
      </w:r>
      <w:r>
        <w:rPr>
          <w:rFonts w:cs="Arial"/>
          <w:rtl/>
        </w:rPr>
        <w:t xml:space="preserve"> וזה פשוט</w:t>
      </w:r>
      <w:r>
        <w:rPr>
          <w:rFonts w:cs="Arial" w:hint="cs"/>
          <w:rtl/>
        </w:rPr>
        <w:t>, הה"מ (</w:t>
      </w:r>
      <w:r>
        <w:rPr>
          <w:rFonts w:cs="Arial"/>
          <w:rtl/>
        </w:rPr>
        <w:t>פי"ב שם</w:t>
      </w:r>
      <w:r>
        <w:rPr>
          <w:rFonts w:cs="Arial" w:hint="cs"/>
          <w:rtl/>
        </w:rPr>
        <w:t>, הביאו הב"י בסוף סי' עב</w:t>
      </w:r>
      <w:r>
        <w:rPr>
          <w:rFonts w:cs="Arial"/>
          <w:rtl/>
        </w:rPr>
        <w:t>)</w:t>
      </w:r>
      <w:r>
        <w:rPr>
          <w:rFonts w:cs="Arial" w:hint="cs"/>
          <w:rtl/>
        </w:rPr>
        <w:t>.</w:t>
      </w:r>
    </w:p>
  </w:footnote>
  <w:footnote w:id="1184">
    <w:p w14:paraId="19FE58AE" w14:textId="77777777" w:rsidR="00DF1FC7" w:rsidRDefault="00DF1FC7" w:rsidP="002E5BAD">
      <w:pPr>
        <w:pStyle w:val="a5"/>
      </w:pPr>
      <w:r>
        <w:rPr>
          <w:rStyle w:val="a7"/>
        </w:rPr>
        <w:footnoteRef/>
      </w:r>
      <w:r>
        <w:rPr>
          <w:rtl/>
        </w:rPr>
        <w:t xml:space="preserve"> </w:t>
      </w:r>
      <w:r>
        <w:rPr>
          <w:rFonts w:cs="Arial"/>
          <w:rtl/>
        </w:rPr>
        <w:t xml:space="preserve">וטעמו מפני שהוא פוסק כרבי יוסי משום דשקלו וטרו אמוראי אליביה </w:t>
      </w:r>
      <w:r>
        <w:rPr>
          <w:rFonts w:cs="Arial" w:hint="cs"/>
          <w:rtl/>
        </w:rPr>
        <w:t>(</w:t>
      </w:r>
      <w:r>
        <w:rPr>
          <w:rFonts w:cs="Arial"/>
          <w:rtl/>
        </w:rPr>
        <w:t>בגמרא עא:)</w:t>
      </w:r>
      <w:r>
        <w:rPr>
          <w:rFonts w:cs="Arial" w:hint="cs"/>
          <w:rtl/>
        </w:rPr>
        <w:t>...</w:t>
      </w:r>
      <w:r w:rsidRPr="00DD037B">
        <w:rPr>
          <w:rFonts w:cs="Arial"/>
          <w:rtl/>
        </w:rPr>
        <w:t xml:space="preserve"> </w:t>
      </w:r>
      <w:r>
        <w:rPr>
          <w:rFonts w:cs="Arial"/>
          <w:rtl/>
        </w:rPr>
        <w:t>וכתב הר"ן (לב. ד"ה גרסי') הרי"ף השמיט כל זה משום דאליבא דרבי יוסי איתמר וכתב משנתינו בצורתה ומשמע דס"ל דלא קיי"ל כרבי יוסי אלא כת"ק דפליג עליה ואע</w:t>
      </w:r>
      <w:r>
        <w:rPr>
          <w:rFonts w:cs="Arial" w:hint="cs"/>
          <w:rtl/>
        </w:rPr>
        <w:t>"</w:t>
      </w:r>
      <w:r>
        <w:rPr>
          <w:rFonts w:cs="Arial"/>
          <w:rtl/>
        </w:rPr>
        <w:t>ג דהני אמוראי שקלי וטרו אליבא דרבי יוסי לאו משום דס"ל כותיה אלא משום דצריכי לפרושי מילתיה לתת קצבה כמה</w:t>
      </w:r>
      <w:r>
        <w:rPr>
          <w:rFonts w:cs="Arial" w:hint="cs"/>
          <w:rtl/>
        </w:rPr>
        <w:t>.</w:t>
      </w:r>
      <w:r>
        <w:rPr>
          <w:rFonts w:cs="Arial"/>
          <w:rtl/>
        </w:rPr>
        <w:t xml:space="preserve"> אבל ר"ח פסק כרבי יוסי וכרבי יוחנן דאמר י' שנים ומשמע דטעמיה משום דשמואל ורבי יוחנן הלכה כרבי יוחנן</w:t>
      </w:r>
      <w:r>
        <w:rPr>
          <w:rFonts w:cs="Arial" w:hint="cs"/>
          <w:rtl/>
        </w:rPr>
        <w:t>.</w:t>
      </w:r>
      <w:r>
        <w:rPr>
          <w:rFonts w:cs="Arial"/>
          <w:rtl/>
        </w:rPr>
        <w:t xml:space="preserve"> ואיכא מ"ד דהלכתא כרב חסדא</w:t>
      </w:r>
      <w:r>
        <w:rPr>
          <w:rFonts w:cs="Arial" w:hint="cs"/>
          <w:rtl/>
        </w:rPr>
        <w:t>.</w:t>
      </w:r>
      <w:r>
        <w:rPr>
          <w:rFonts w:cs="Arial"/>
          <w:rtl/>
        </w:rPr>
        <w:t xml:space="preserve"> והרמב"ם ז"ל פסק כרב יהודה אמר שמואל</w:t>
      </w:r>
      <w:r>
        <w:rPr>
          <w:rFonts w:cs="Arial" w:hint="cs"/>
          <w:rtl/>
        </w:rPr>
        <w:t>,</w:t>
      </w:r>
      <w:r>
        <w:rPr>
          <w:rFonts w:cs="Arial"/>
          <w:rtl/>
        </w:rPr>
        <w:t xml:space="preserve"> ומשמע דטעמיה משום דאמר מילתא מציעתא</w:t>
      </w:r>
      <w:r>
        <w:rPr>
          <w:rFonts w:cs="Arial" w:hint="cs"/>
          <w:rtl/>
        </w:rPr>
        <w:t>,</w:t>
      </w:r>
      <w:r>
        <w:rPr>
          <w:rFonts w:cs="Arial"/>
          <w:rtl/>
        </w:rPr>
        <w:t xml:space="preserve"> דרבי יוחנן קאי כותיה דלא אמרינן זמן מועט מזה ורב חסדא קאי כותיה דלא אמרינן זמן מרובה מזה עכ"ל. וגם הה</w:t>
      </w:r>
      <w:r>
        <w:rPr>
          <w:rFonts w:cs="Arial" w:hint="cs"/>
          <w:rtl/>
        </w:rPr>
        <w:t>"</w:t>
      </w:r>
      <w:r>
        <w:rPr>
          <w:rFonts w:cs="Arial"/>
          <w:rtl/>
        </w:rPr>
        <w:t>מ נתן טעם זה לדברי הרמב"ם ז"ל</w:t>
      </w:r>
      <w:r>
        <w:rPr>
          <w:rFonts w:cs="Arial" w:hint="cs"/>
          <w:rtl/>
        </w:rPr>
        <w:t xml:space="preserve"> ב"י.</w:t>
      </w:r>
    </w:p>
  </w:footnote>
  <w:footnote w:id="1185">
    <w:p w14:paraId="4D9CCFC5" w14:textId="77777777" w:rsidR="00DF1FC7" w:rsidRDefault="00DF1FC7" w:rsidP="002E5BAD">
      <w:pPr>
        <w:pStyle w:val="a5"/>
        <w:rPr>
          <w:rtl/>
        </w:rPr>
      </w:pPr>
      <w:r>
        <w:rPr>
          <w:rStyle w:val="a7"/>
        </w:rPr>
        <w:footnoteRef/>
      </w:r>
      <w:r>
        <w:rPr>
          <w:rtl/>
        </w:rPr>
        <w:t xml:space="preserve"> </w:t>
      </w:r>
      <w:r>
        <w:rPr>
          <w:rFonts w:cs="Arial"/>
          <w:rtl/>
        </w:rPr>
        <w:t>הדבר פשוט שהוא פוסק כרבי יוסי וכרב חסדא דהוא בתרא</w:t>
      </w:r>
      <w:r>
        <w:rPr>
          <w:rFonts w:hint="cs"/>
          <w:rtl/>
        </w:rPr>
        <w:t>, ב"י.</w:t>
      </w:r>
    </w:p>
  </w:footnote>
  <w:footnote w:id="1186">
    <w:p w14:paraId="13DB9A20" w14:textId="77777777" w:rsidR="00DF1FC7" w:rsidRDefault="00DF1FC7" w:rsidP="002E5BAD">
      <w:pPr>
        <w:pStyle w:val="a5"/>
      </w:pPr>
      <w:r>
        <w:rPr>
          <w:rStyle w:val="a7"/>
        </w:rPr>
        <w:footnoteRef/>
      </w:r>
      <w:r>
        <w:rPr>
          <w:rtl/>
        </w:rPr>
        <w:t xml:space="preserve"> </w:t>
      </w:r>
      <w:r w:rsidRPr="00233CC5">
        <w:rPr>
          <w:rFonts w:cs="Arial"/>
          <w:rtl/>
        </w:rPr>
        <w:t xml:space="preserve">הרא"ש (סי' ב) השמיט כל מחלקות האמוראים ולא כתב אלא משנתינו כצורתה משמע דס"ל דהלכה כת"ק וכדעת הרי"ף ז"ל וזהו שכתב רבינו </w:t>
      </w:r>
      <w:r>
        <w:rPr>
          <w:rFonts w:cs="Arial" w:hint="cs"/>
          <w:rtl/>
        </w:rPr>
        <w:t>'</w:t>
      </w:r>
      <w:r w:rsidRPr="00233CC5">
        <w:rPr>
          <w:rFonts w:cs="Arial"/>
          <w:rtl/>
        </w:rPr>
        <w:t>וכאשר כתבתי כן נראה לאדוני אבי הרא"ש ז"ל</w:t>
      </w:r>
      <w:r>
        <w:rPr>
          <w:rFonts w:cs="Arial" w:hint="cs"/>
          <w:rtl/>
        </w:rPr>
        <w:t>', ב"י.</w:t>
      </w:r>
    </w:p>
  </w:footnote>
  <w:footnote w:id="1187">
    <w:p w14:paraId="6AB48421" w14:textId="77777777" w:rsidR="00DF1FC7" w:rsidRDefault="00DF1FC7" w:rsidP="002E5BAD">
      <w:pPr>
        <w:pStyle w:val="a5"/>
      </w:pPr>
      <w:r>
        <w:rPr>
          <w:rStyle w:val="a7"/>
        </w:rPr>
        <w:footnoteRef/>
      </w:r>
      <w:r>
        <w:rPr>
          <w:rtl/>
        </w:rPr>
        <w:t xml:space="preserve"> </w:t>
      </w:r>
      <w:r>
        <w:rPr>
          <w:rFonts w:cs="Arial"/>
          <w:rtl/>
        </w:rPr>
        <w:t>ועיין עוד חילוקי דינים אלו ביורה דעה סימן רל"ה</w:t>
      </w:r>
      <w:r>
        <w:rPr>
          <w:rFonts w:cs="Arial" w:hint="cs"/>
          <w:rtl/>
        </w:rPr>
        <w:t>.</w:t>
      </w:r>
    </w:p>
  </w:footnote>
  <w:footnote w:id="1188">
    <w:p w14:paraId="2A3DE345" w14:textId="77777777" w:rsidR="00DF1FC7" w:rsidRDefault="00DF1FC7" w:rsidP="002E5BAD">
      <w:pPr>
        <w:pStyle w:val="a5"/>
      </w:pPr>
      <w:r>
        <w:rPr>
          <w:rStyle w:val="a7"/>
        </w:rPr>
        <w:footnoteRef/>
      </w:r>
      <w:r>
        <w:rPr>
          <w:rtl/>
        </w:rPr>
        <w:t xml:space="preserve"> </w:t>
      </w:r>
      <w:r w:rsidRPr="003C29C7">
        <w:rPr>
          <w:rFonts w:cs="Arial"/>
          <w:rtl/>
        </w:rPr>
        <w:t>תימה</w:t>
      </w:r>
      <w:r>
        <w:rPr>
          <w:rFonts w:cs="Arial" w:hint="cs"/>
          <w:rtl/>
        </w:rPr>
        <w:t>,</w:t>
      </w:r>
      <w:r w:rsidRPr="003C29C7">
        <w:rPr>
          <w:rFonts w:cs="Arial"/>
          <w:rtl/>
        </w:rPr>
        <w:t xml:space="preserve"> דעל כרחך לא מיירי הכא בנדרה היא וקיים לה הוא</w:t>
      </w:r>
      <w:r>
        <w:rPr>
          <w:rFonts w:cs="Arial" w:hint="cs"/>
          <w:rtl/>
        </w:rPr>
        <w:t>,</w:t>
      </w:r>
      <w:r w:rsidRPr="003C29C7">
        <w:rPr>
          <w:rFonts w:cs="Arial"/>
          <w:rtl/>
        </w:rPr>
        <w:t xml:space="preserve"> דהא קתני סיפא </w:t>
      </w:r>
      <w:r>
        <w:rPr>
          <w:rFonts w:cs="Arial" w:hint="cs"/>
          <w:rtl/>
        </w:rPr>
        <w:t>'</w:t>
      </w:r>
      <w:r w:rsidRPr="003C29C7">
        <w:rPr>
          <w:rFonts w:cs="Arial"/>
          <w:rtl/>
        </w:rPr>
        <w:t>וכן היא שנדרה</w:t>
      </w:r>
      <w:r>
        <w:rPr>
          <w:rFonts w:cs="Arial" w:hint="cs"/>
          <w:rtl/>
        </w:rPr>
        <w:t>',</w:t>
      </w:r>
      <w:r w:rsidRPr="003C29C7">
        <w:rPr>
          <w:rFonts w:cs="Arial"/>
          <w:rtl/>
        </w:rPr>
        <w:t xml:space="preserve"> ואיהו לא מצי לאדורה אא"כ תלה בתשמיש</w:t>
      </w:r>
      <w:r>
        <w:rPr>
          <w:rFonts w:cs="Arial" w:hint="cs"/>
          <w:rtl/>
        </w:rPr>
        <w:t>,</w:t>
      </w:r>
      <w:r w:rsidRPr="003C29C7">
        <w:rPr>
          <w:rFonts w:cs="Arial"/>
          <w:rtl/>
        </w:rPr>
        <w:t xml:space="preserve"> וא"כ לשמואל למה יוציא לאלתר</w:t>
      </w:r>
      <w:r>
        <w:rPr>
          <w:rFonts w:cs="Arial" w:hint="cs"/>
          <w:rtl/>
        </w:rPr>
        <w:t>,</w:t>
      </w:r>
      <w:r w:rsidRPr="003C29C7">
        <w:rPr>
          <w:rFonts w:cs="Arial"/>
          <w:rtl/>
        </w:rPr>
        <w:t xml:space="preserve"> ותשאל ותיאסר לב"ה שבת אחת</w:t>
      </w:r>
      <w:r>
        <w:rPr>
          <w:rFonts w:cs="Arial" w:hint="cs"/>
          <w:rtl/>
        </w:rPr>
        <w:t>.</w:t>
      </w:r>
      <w:r w:rsidRPr="003C29C7">
        <w:rPr>
          <w:rFonts w:cs="Arial"/>
          <w:rtl/>
        </w:rPr>
        <w:t xml:space="preserve"> וי"ל דלעולם שלא תלה בתשמיש אלא כגון שאסר על עצמו הנאת שאילתה</w:t>
      </w:r>
      <w:r>
        <w:rPr>
          <w:rFonts w:cs="Arial" w:hint="cs"/>
          <w:rtl/>
        </w:rPr>
        <w:t>,</w:t>
      </w:r>
      <w:r w:rsidRPr="003C29C7">
        <w:rPr>
          <w:rFonts w:cs="Arial"/>
          <w:rtl/>
        </w:rPr>
        <w:t xml:space="preserve"> ואינה יכולה בשביל זה לשאל</w:t>
      </w:r>
      <w:r>
        <w:rPr>
          <w:rFonts w:cs="Arial" w:hint="cs"/>
          <w:rtl/>
        </w:rPr>
        <w:t>,</w:t>
      </w:r>
      <w:r w:rsidRPr="003C29C7">
        <w:rPr>
          <w:rFonts w:cs="Arial"/>
          <w:rtl/>
        </w:rPr>
        <w:t xml:space="preserve"> ולא תשאיל שאסר הנאת כליו שלא תוכל להשאילם</w:t>
      </w:r>
      <w:r>
        <w:rPr>
          <w:rFonts w:cs="Arial" w:hint="cs"/>
          <w:rtl/>
        </w:rPr>
        <w:t>, תוס' (שם ד"ה המדיר את אשתו)</w:t>
      </w:r>
      <w:r>
        <w:rPr>
          <w:rFonts w:cs="Arial"/>
          <w:rtl/>
        </w:rPr>
        <w:t>. ועל פי זה כתב רבינו אסר הבעל כלי שכניו עליו או כליו על שכניו</w:t>
      </w:r>
      <w:r>
        <w:rPr>
          <w:rFonts w:cs="Arial" w:hint="cs"/>
          <w:rtl/>
        </w:rPr>
        <w:t>, ב"י.</w:t>
      </w:r>
    </w:p>
  </w:footnote>
  <w:footnote w:id="1189">
    <w:p w14:paraId="23449C85" w14:textId="77777777" w:rsidR="00DF1FC7" w:rsidRDefault="00DF1FC7" w:rsidP="002E5BAD">
      <w:pPr>
        <w:pStyle w:val="a5"/>
      </w:pPr>
      <w:r>
        <w:rPr>
          <w:rStyle w:val="a7"/>
        </w:rPr>
        <w:footnoteRef/>
      </w:r>
      <w:r>
        <w:rPr>
          <w:rtl/>
        </w:rPr>
        <w:t xml:space="preserve"> </w:t>
      </w:r>
      <w:r>
        <w:rPr>
          <w:rFonts w:hint="cs"/>
          <w:rtl/>
        </w:rPr>
        <w:t>ושמע וקיים לה, כדמפרש. וכתב הב"י ד</w:t>
      </w:r>
      <w:r>
        <w:rPr>
          <w:rFonts w:cs="Arial"/>
          <w:rtl/>
        </w:rPr>
        <w:t xml:space="preserve">כבר נתבאר </w:t>
      </w:r>
      <w:r>
        <w:rPr>
          <w:rFonts w:cs="Arial" w:hint="cs"/>
          <w:rtl/>
        </w:rPr>
        <w:t xml:space="preserve">הטעם </w:t>
      </w:r>
      <w:r>
        <w:rPr>
          <w:rFonts w:cs="Arial"/>
          <w:rtl/>
        </w:rPr>
        <w:t>בתחלת סימן זה דכל שנדרה היא וקיים לה איהו סברא מיסנא הוא דסני לי ומשום הכי יוציא מיד ויתן כתובה</w:t>
      </w:r>
      <w:r>
        <w:rPr>
          <w:rFonts w:hint="cs"/>
          <w:rtl/>
        </w:rPr>
        <w:t xml:space="preserve">. </w:t>
      </w:r>
    </w:p>
  </w:footnote>
  <w:footnote w:id="1190">
    <w:p w14:paraId="1A35549D" w14:textId="77777777" w:rsidR="00DF1FC7" w:rsidRDefault="00DF1FC7" w:rsidP="002E5BAD">
      <w:pPr>
        <w:pStyle w:val="a5"/>
        <w:rPr>
          <w:rtl/>
        </w:rPr>
      </w:pPr>
      <w:r>
        <w:rPr>
          <w:rStyle w:val="a7"/>
        </w:rPr>
        <w:footnoteRef/>
      </w:r>
      <w:r>
        <w:rPr>
          <w:rtl/>
        </w:rPr>
        <w:t xml:space="preserve"> </w:t>
      </w:r>
      <w:r>
        <w:rPr>
          <w:rFonts w:cs="Arial"/>
          <w:rtl/>
        </w:rPr>
        <w:t xml:space="preserve">וכתב </w:t>
      </w:r>
      <w:r>
        <w:rPr>
          <w:rFonts w:cs="Arial" w:hint="cs"/>
          <w:rtl/>
        </w:rPr>
        <w:t>הה"מ-</w:t>
      </w:r>
      <w:r>
        <w:rPr>
          <w:rFonts w:cs="Arial"/>
          <w:rtl/>
        </w:rPr>
        <w:t xml:space="preserve"> כתב רבינו </w:t>
      </w:r>
      <w:r>
        <w:rPr>
          <w:rFonts w:cs="Arial" w:hint="cs"/>
          <w:rtl/>
        </w:rPr>
        <w:t>'</w:t>
      </w:r>
      <w:r>
        <w:rPr>
          <w:rFonts w:cs="Arial"/>
          <w:rtl/>
        </w:rPr>
        <w:t>יתיר את נדרו</w:t>
      </w:r>
      <w:r>
        <w:rPr>
          <w:rFonts w:cs="Arial" w:hint="cs"/>
          <w:rtl/>
        </w:rPr>
        <w:t>'</w:t>
      </w:r>
      <w:r>
        <w:rPr>
          <w:rFonts w:cs="Arial"/>
          <w:rtl/>
        </w:rPr>
        <w:t xml:space="preserve"> פירוש שממתינים לו שלשים יום כנזכר פי"ב (הכ"ג)</w:t>
      </w:r>
      <w:r>
        <w:rPr>
          <w:rFonts w:cs="Arial" w:hint="cs"/>
          <w:rtl/>
        </w:rPr>
        <w:t>.</w:t>
      </w:r>
      <w:r>
        <w:rPr>
          <w:rFonts w:cs="Arial"/>
          <w:rtl/>
        </w:rPr>
        <w:t xml:space="preserve"> ואע</w:t>
      </w:r>
      <w:r>
        <w:rPr>
          <w:rFonts w:cs="Arial" w:hint="cs"/>
          <w:rtl/>
        </w:rPr>
        <w:t>"</w:t>
      </w:r>
      <w:r>
        <w:rPr>
          <w:rFonts w:cs="Arial"/>
          <w:rtl/>
        </w:rPr>
        <w:t>פ שבגמרא לא אמרו אלא יוציא ויתן כתובה</w:t>
      </w:r>
      <w:r>
        <w:rPr>
          <w:rFonts w:cs="Arial" w:hint="cs"/>
          <w:rtl/>
        </w:rPr>
        <w:t>,</w:t>
      </w:r>
      <w:r>
        <w:rPr>
          <w:rFonts w:cs="Arial"/>
          <w:rtl/>
        </w:rPr>
        <w:t xml:space="preserve"> לא אמרו לאלתר</w:t>
      </w:r>
      <w:r>
        <w:rPr>
          <w:rFonts w:cs="Arial" w:hint="cs"/>
          <w:rtl/>
        </w:rPr>
        <w:t>,</w:t>
      </w:r>
      <w:r>
        <w:rPr>
          <w:rFonts w:cs="Arial"/>
          <w:rtl/>
        </w:rPr>
        <w:t xml:space="preserve"> שלא הוצרכו אלא ללמד שעיקר הנדר קשה לה</w:t>
      </w:r>
      <w:r>
        <w:rPr>
          <w:rFonts w:cs="Arial" w:hint="cs"/>
          <w:rtl/>
        </w:rPr>
        <w:t>,</w:t>
      </w:r>
      <w:r>
        <w:rPr>
          <w:rFonts w:cs="Arial"/>
          <w:rtl/>
        </w:rPr>
        <w:t xml:space="preserve"> או ישאל על נדרו או יוציא ויתן כתובה</w:t>
      </w:r>
      <w:r>
        <w:rPr>
          <w:rFonts w:cs="Arial" w:hint="cs"/>
          <w:rtl/>
        </w:rPr>
        <w:t>.</w:t>
      </w:r>
      <w:r>
        <w:rPr>
          <w:rFonts w:cs="Arial"/>
          <w:rtl/>
        </w:rPr>
        <w:t xml:space="preserve"> וכן פירשו קצת מפרשים ז"ל</w:t>
      </w:r>
      <w:r>
        <w:rPr>
          <w:rFonts w:cs="Arial" w:hint="cs"/>
          <w:rtl/>
        </w:rPr>
        <w:t>.</w:t>
      </w:r>
      <w:r>
        <w:rPr>
          <w:rFonts w:cs="Arial"/>
          <w:rtl/>
        </w:rPr>
        <w:t xml:space="preserve"> וכבר כתבתי פרק י"ב (הכ"ד) שכל מקום שנזכר הדירה ר"ל שהדירה מהנאתו אם תעשה כך עכ"ל</w:t>
      </w:r>
      <w:r>
        <w:rPr>
          <w:rFonts w:hint="cs"/>
          <w:rtl/>
        </w:rPr>
        <w:t>, ב"י.</w:t>
      </w:r>
    </w:p>
  </w:footnote>
  <w:footnote w:id="1191">
    <w:p w14:paraId="0AFBCAA7" w14:textId="77777777" w:rsidR="00DF1FC7" w:rsidRDefault="00DF1FC7" w:rsidP="002E5BAD">
      <w:pPr>
        <w:pStyle w:val="a5"/>
      </w:pPr>
      <w:r>
        <w:rPr>
          <w:rStyle w:val="a7"/>
        </w:rPr>
        <w:footnoteRef/>
      </w:r>
      <w:r>
        <w:rPr>
          <w:rtl/>
        </w:rPr>
        <w:t xml:space="preserve"> </w:t>
      </w:r>
      <w:r>
        <w:rPr>
          <w:rFonts w:cs="Arial"/>
          <w:rtl/>
        </w:rPr>
        <w:t>מבואר בדברי התוספות דבתלה בתשמיש לא יוציא עד שיעבור שבת</w:t>
      </w:r>
      <w:r>
        <w:rPr>
          <w:rFonts w:cs="Arial" w:hint="cs"/>
          <w:rtl/>
        </w:rPr>
        <w:t>,</w:t>
      </w:r>
      <w:r>
        <w:rPr>
          <w:rFonts w:cs="Arial"/>
          <w:rtl/>
        </w:rPr>
        <w:t xml:space="preserve"> דהוי כמדירה מתשמיש</w:t>
      </w:r>
      <w:r>
        <w:rPr>
          <w:rFonts w:cs="Arial" w:hint="cs"/>
          <w:rtl/>
        </w:rPr>
        <w:t>,</w:t>
      </w:r>
      <w:r>
        <w:rPr>
          <w:rFonts w:cs="Arial"/>
          <w:rtl/>
        </w:rPr>
        <w:t xml:space="preserve"> והכי אמרינן בהדיא בגמרא וכמו שכתבתי בתחלת סימן זה</w:t>
      </w:r>
      <w:r>
        <w:rPr>
          <w:rFonts w:cs="Arial" w:hint="cs"/>
          <w:rtl/>
        </w:rPr>
        <w:t>, ב"י.</w:t>
      </w:r>
    </w:p>
  </w:footnote>
  <w:footnote w:id="1192">
    <w:p w14:paraId="789A244F" w14:textId="77777777" w:rsidR="00DF1FC7" w:rsidRDefault="00DF1FC7" w:rsidP="002E5BAD">
      <w:pPr>
        <w:pStyle w:val="a5"/>
      </w:pPr>
      <w:r>
        <w:rPr>
          <w:rStyle w:val="a7"/>
        </w:rPr>
        <w:footnoteRef/>
      </w:r>
      <w:r>
        <w:rPr>
          <w:rtl/>
        </w:rPr>
        <w:t xml:space="preserve"> </w:t>
      </w:r>
      <w:r>
        <w:rPr>
          <w:rFonts w:cs="Arial"/>
          <w:rtl/>
        </w:rPr>
        <w:t>היינו משום דאם לא כן אמאי תצא שלא בכתובה הא נדרה היא וקיים לה איהו יוציא ויתן כתובה שהוא נתן אצבע בין שיניה וכמבואר במה שכתבתי בסימן ע"ב (קח. ד"ה נדרה)</w:t>
      </w:r>
      <w:r>
        <w:rPr>
          <w:rFonts w:cs="Arial" w:hint="cs"/>
          <w:rtl/>
        </w:rPr>
        <w:t>,</w:t>
      </w:r>
      <w:r>
        <w:rPr>
          <w:rFonts w:cs="Arial"/>
          <w:rtl/>
        </w:rPr>
        <w:t xml:space="preserve"> ומשום הכי מפרש לה בנדרה בדבר שאינו יכול להפר</w:t>
      </w:r>
      <w:r>
        <w:rPr>
          <w:rFonts w:cs="Arial" w:hint="cs"/>
          <w:rtl/>
        </w:rPr>
        <w:t>, ב"י</w:t>
      </w:r>
      <w:r>
        <w:rPr>
          <w:rFonts w:cs="Arial"/>
          <w:rtl/>
        </w:rPr>
        <w:t>.</w:t>
      </w:r>
    </w:p>
  </w:footnote>
  <w:footnote w:id="1193">
    <w:p w14:paraId="4C6FDB04" w14:textId="77777777" w:rsidR="00DF1FC7" w:rsidRDefault="00DF1FC7" w:rsidP="002E5BAD">
      <w:pPr>
        <w:pStyle w:val="a5"/>
      </w:pPr>
      <w:r>
        <w:rPr>
          <w:rStyle w:val="a7"/>
        </w:rPr>
        <w:footnoteRef/>
      </w:r>
      <w:r>
        <w:rPr>
          <w:rtl/>
        </w:rPr>
        <w:t xml:space="preserve"> </w:t>
      </w:r>
      <w:r w:rsidRPr="009C2D0A">
        <w:rPr>
          <w:rFonts w:cs="Arial"/>
          <w:rtl/>
        </w:rPr>
        <w:t>דרך בתם ללכת אצלם ברגלים</w:t>
      </w:r>
      <w:r>
        <w:rPr>
          <w:rFonts w:cs="Arial" w:hint="cs"/>
          <w:rtl/>
        </w:rPr>
        <w:t>, רש"י.</w:t>
      </w:r>
    </w:p>
  </w:footnote>
  <w:footnote w:id="1194">
    <w:p w14:paraId="7A320D14" w14:textId="77777777" w:rsidR="00DF1FC7" w:rsidRDefault="00DF1FC7" w:rsidP="002E5BAD">
      <w:pPr>
        <w:pStyle w:val="a5"/>
      </w:pPr>
      <w:r>
        <w:rPr>
          <w:rStyle w:val="a7"/>
        </w:rPr>
        <w:footnoteRef/>
      </w:r>
      <w:r>
        <w:rPr>
          <w:rtl/>
        </w:rPr>
        <w:t xml:space="preserve"> </w:t>
      </w:r>
      <w:r w:rsidRPr="009C2D0A">
        <w:rPr>
          <w:rFonts w:cs="Arial"/>
          <w:rtl/>
        </w:rPr>
        <w:t>מציא מוקמא אנפשה</w:t>
      </w:r>
      <w:r>
        <w:rPr>
          <w:rFonts w:cs="Arial" w:hint="cs"/>
          <w:rtl/>
        </w:rPr>
        <w:t>,</w:t>
      </w:r>
      <w:r w:rsidRPr="009C2D0A">
        <w:rPr>
          <w:rFonts w:cs="Arial"/>
          <w:rtl/>
        </w:rPr>
        <w:t xml:space="preserve"> שלשה לא מציא מוקמא</w:t>
      </w:r>
      <w:r>
        <w:rPr>
          <w:rFonts w:cs="Arial" w:hint="cs"/>
          <w:rtl/>
        </w:rPr>
        <w:t>.</w:t>
      </w:r>
      <w:r w:rsidRPr="009C2D0A">
        <w:rPr>
          <w:rFonts w:cs="Arial"/>
          <w:rtl/>
        </w:rPr>
        <w:t xml:space="preserve"> ובגמרא פריך הא שנים מאי</w:t>
      </w:r>
      <w:r>
        <w:rPr>
          <w:rFonts w:cs="Arial" w:hint="cs"/>
          <w:rtl/>
        </w:rPr>
        <w:t>, רש"י.</w:t>
      </w:r>
    </w:p>
  </w:footnote>
  <w:footnote w:id="1195">
    <w:p w14:paraId="6D2CB64B" w14:textId="77777777" w:rsidR="00DF1FC7" w:rsidRDefault="00DF1FC7" w:rsidP="002E5BAD">
      <w:pPr>
        <w:pStyle w:val="a5"/>
      </w:pPr>
      <w:r>
        <w:rPr>
          <w:rStyle w:val="a7"/>
        </w:rPr>
        <w:footnoteRef/>
      </w:r>
      <w:r>
        <w:rPr>
          <w:rtl/>
        </w:rPr>
        <w:t xml:space="preserve"> </w:t>
      </w:r>
      <w:r w:rsidRPr="00E97073">
        <w:rPr>
          <w:rFonts w:cs="Arial"/>
          <w:rtl/>
        </w:rPr>
        <w:t>לילך לבית אביה תמיד</w:t>
      </w:r>
      <w:r>
        <w:rPr>
          <w:rFonts w:cs="Arial" w:hint="cs"/>
          <w:rtl/>
        </w:rPr>
        <w:t xml:space="preserve"> -</w:t>
      </w:r>
      <w:r w:rsidRPr="00E97073">
        <w:rPr>
          <w:rFonts w:cs="Arial"/>
          <w:rtl/>
        </w:rPr>
        <w:t xml:space="preserve"> שנים יוציא</w:t>
      </w:r>
      <w:r>
        <w:rPr>
          <w:rFonts w:cs="Arial" w:hint="cs"/>
          <w:rtl/>
        </w:rPr>
        <w:t>,</w:t>
      </w:r>
      <w:r w:rsidRPr="00E97073">
        <w:rPr>
          <w:rFonts w:cs="Arial"/>
          <w:rtl/>
        </w:rPr>
        <w:t xml:space="preserve"> שאינה רדופה</w:t>
      </w:r>
      <w:r>
        <w:rPr>
          <w:rFonts w:cs="Arial" w:hint="cs"/>
          <w:rtl/>
        </w:rPr>
        <w:t xml:space="preserve"> -</w:t>
      </w:r>
      <w:r w:rsidRPr="00E97073">
        <w:rPr>
          <w:rFonts w:cs="Arial"/>
          <w:rtl/>
        </w:rPr>
        <w:t xml:space="preserve"> שנים יקיים</w:t>
      </w:r>
      <w:r>
        <w:rPr>
          <w:rFonts w:cs="Arial" w:hint="cs"/>
          <w:rtl/>
        </w:rPr>
        <w:t>, רש"י.</w:t>
      </w:r>
    </w:p>
  </w:footnote>
  <w:footnote w:id="1196">
    <w:p w14:paraId="675A492A" w14:textId="77777777" w:rsidR="00DF1FC7" w:rsidRDefault="00DF1FC7" w:rsidP="002E5BAD">
      <w:pPr>
        <w:pStyle w:val="a5"/>
      </w:pPr>
      <w:r>
        <w:rPr>
          <w:rStyle w:val="a7"/>
        </w:rPr>
        <w:footnoteRef/>
      </w:r>
      <w:r>
        <w:rPr>
          <w:rtl/>
        </w:rPr>
        <w:t xml:space="preserve"> </w:t>
      </w:r>
      <w:r>
        <w:rPr>
          <w:rFonts w:cs="Arial"/>
          <w:rtl/>
        </w:rPr>
        <w:t>כבר נתבאר הטעם בדבריו משום דאם לא כן אמאי יוציא ויתן כתובה אפילו לאחר כמה רגלים הרי לא נתן אצבע בין שיניה כיון דאינו יכול להפר הילכך על כרחך בתלאו בתשמיש עסקינן דכיון שהיה יכול להפר ולא הפר הוא נתן אצבע בין שיניה הילכך אם הוא בעיר לשני חדשים יוציא ויתן כתובה ואם הוא בעיר אחרת לשני רגלים או שלשה יוציא ויתן כתובה</w:t>
      </w:r>
      <w:r>
        <w:rPr>
          <w:rFonts w:cs="Arial" w:hint="cs"/>
          <w:rtl/>
        </w:rPr>
        <w:t>, ב"י.</w:t>
      </w:r>
    </w:p>
  </w:footnote>
  <w:footnote w:id="1197">
    <w:p w14:paraId="0DB5BC15" w14:textId="77777777" w:rsidR="00DF1FC7" w:rsidRDefault="00DF1FC7" w:rsidP="002E5BAD">
      <w:pPr>
        <w:pStyle w:val="a5"/>
      </w:pPr>
      <w:r>
        <w:rPr>
          <w:rStyle w:val="a7"/>
        </w:rPr>
        <w:footnoteRef/>
      </w:r>
      <w:r>
        <w:rPr>
          <w:rtl/>
        </w:rPr>
        <w:t xml:space="preserve"> </w:t>
      </w:r>
      <w:r>
        <w:rPr>
          <w:rFonts w:cs="Arial"/>
          <w:rtl/>
        </w:rPr>
        <w:t>הוא ממה שנתבאר בסימן ע"ב דבנדרה היא וקיים לה יוציא מיד ויתן כתובה והילכך ע"כ הא דתנן חדש אחד או רגל אחד יקיים במפרשת בשעת נדרה עד חודש אחד או עד רגל אחד מיתוקמא דאילו בנודרת סתם וקיים לה איהו יוציא מיד ויתן כתובה</w:t>
      </w:r>
      <w:r>
        <w:rPr>
          <w:rFonts w:cs="Arial" w:hint="cs"/>
          <w:rtl/>
        </w:rPr>
        <w:t>, ב"י.</w:t>
      </w:r>
    </w:p>
  </w:footnote>
  <w:footnote w:id="1198">
    <w:p w14:paraId="0FFD33B8" w14:textId="77777777" w:rsidR="00DF1FC7" w:rsidRDefault="00DF1FC7" w:rsidP="002E5BAD">
      <w:pPr>
        <w:pStyle w:val="a5"/>
      </w:pPr>
      <w:r>
        <w:rPr>
          <w:rStyle w:val="a7"/>
        </w:rPr>
        <w:footnoteRef/>
      </w:r>
      <w:r>
        <w:rPr>
          <w:rtl/>
        </w:rPr>
        <w:t xml:space="preserve"> </w:t>
      </w:r>
      <w:r>
        <w:rPr>
          <w:rFonts w:hint="cs"/>
          <w:rtl/>
        </w:rPr>
        <w:t xml:space="preserve">הטור </w:t>
      </w:r>
      <w:r>
        <w:rPr>
          <w:rFonts w:cs="Arial" w:hint="cs"/>
          <w:rtl/>
        </w:rPr>
        <w:t>פסק כרבה בר עולא. וכתב הב"י ד</w:t>
      </w:r>
      <w:r w:rsidRPr="00E97073">
        <w:rPr>
          <w:rFonts w:cs="Arial"/>
          <w:rtl/>
        </w:rPr>
        <w:t>משמע לרבינו דכיון דלא קיי"ל כאוקמתא דאביי משום דמוקים לה דלא כהלכתא</w:t>
      </w:r>
      <w:r w:rsidRPr="00E97073">
        <w:rPr>
          <w:rFonts w:cs="Arial" w:hint="cs"/>
          <w:rtl/>
        </w:rPr>
        <w:t>,</w:t>
      </w:r>
      <w:r w:rsidRPr="00E97073">
        <w:rPr>
          <w:rFonts w:cs="Arial"/>
          <w:rtl/>
        </w:rPr>
        <w:t xml:space="preserve"> דהא מוקים לה כרבי יהודה דמפליג במדיר את אשתו בין ישראל לכהן ולא קיי"ל כותיה</w:t>
      </w:r>
      <w:r w:rsidRPr="00E97073">
        <w:rPr>
          <w:rFonts w:cs="Arial" w:hint="cs"/>
          <w:rtl/>
        </w:rPr>
        <w:t>,</w:t>
      </w:r>
      <w:r w:rsidRPr="00E97073">
        <w:rPr>
          <w:rFonts w:cs="Arial"/>
          <w:rtl/>
        </w:rPr>
        <w:t xml:space="preserve"> הילכך נקטינן כאוקמתא דרבה בר עולא דמפליג בין רדופה לשאינה רדופה</w:t>
      </w:r>
      <w:r>
        <w:rPr>
          <w:rFonts w:cs="Arial" w:hint="cs"/>
          <w:rtl/>
        </w:rPr>
        <w:t>.</w:t>
      </w:r>
    </w:p>
  </w:footnote>
  <w:footnote w:id="1199">
    <w:p w14:paraId="7FB5D542" w14:textId="77777777" w:rsidR="00DF1FC7" w:rsidRDefault="00DF1FC7" w:rsidP="002E5BAD">
      <w:pPr>
        <w:pStyle w:val="a5"/>
      </w:pPr>
      <w:r>
        <w:rPr>
          <w:rStyle w:val="a7"/>
        </w:rPr>
        <w:footnoteRef/>
      </w:r>
      <w:r>
        <w:rPr>
          <w:rtl/>
        </w:rPr>
        <w:t xml:space="preserve"> </w:t>
      </w:r>
      <w:r>
        <w:rPr>
          <w:rFonts w:cs="Arial"/>
          <w:rtl/>
        </w:rPr>
        <w:t xml:space="preserve">היינו בין במפרש בין שנדר סתם </w:t>
      </w:r>
      <w:r w:rsidRPr="000C6D9C">
        <w:rPr>
          <w:rFonts w:cs="Arial" w:hint="cs"/>
          <w:sz w:val="16"/>
          <w:szCs w:val="16"/>
          <w:rtl/>
        </w:rPr>
        <w:t>(</w:t>
      </w:r>
      <w:r w:rsidRPr="000C6D9C">
        <w:rPr>
          <w:rFonts w:cs="Arial"/>
          <w:sz w:val="16"/>
          <w:szCs w:val="16"/>
          <w:rtl/>
        </w:rPr>
        <w:t>ולא הוצרך רבינו לכתבו לפי שסמך על מה שכתב בסמוך דנודר סתם דינו שוה למפרש שנודרת ליותר מחדש או יותר מרגל</w:t>
      </w:r>
      <w:r>
        <w:rPr>
          <w:rFonts w:cs="Arial" w:hint="cs"/>
          <w:sz w:val="16"/>
          <w:szCs w:val="16"/>
          <w:rtl/>
        </w:rPr>
        <w:t>)</w:t>
      </w:r>
      <w:r>
        <w:rPr>
          <w:rFonts w:cs="Arial" w:hint="cs"/>
          <w:rtl/>
        </w:rPr>
        <w:t>, ב"י.</w:t>
      </w:r>
    </w:p>
  </w:footnote>
  <w:footnote w:id="1200">
    <w:p w14:paraId="7DC346C0" w14:textId="77777777" w:rsidR="00DF1FC7" w:rsidRDefault="00DF1FC7" w:rsidP="002E5BAD">
      <w:pPr>
        <w:pStyle w:val="a5"/>
      </w:pPr>
      <w:r>
        <w:rPr>
          <w:rStyle w:val="a7"/>
        </w:rPr>
        <w:footnoteRef/>
      </w:r>
      <w:r>
        <w:rPr>
          <w:rtl/>
        </w:rPr>
        <w:t xml:space="preserve"> </w:t>
      </w:r>
      <w:r>
        <w:rPr>
          <w:rFonts w:cs="Arial"/>
          <w:rtl/>
        </w:rPr>
        <w:t>כבר נתבאר בסימן זה דכל שהוא המדיר ותולה נדרו בתשמיש דינו כנודר מתשמיש ולא יקיים יותר מז' ימים וכבית הלל דאמרי המדיר את אשתו מתשמיש המטה שבת אחד</w:t>
      </w:r>
      <w:r>
        <w:rPr>
          <w:rFonts w:cs="Arial" w:hint="cs"/>
          <w:rtl/>
        </w:rPr>
        <w:t>, ב"י.</w:t>
      </w:r>
    </w:p>
  </w:footnote>
  <w:footnote w:id="1201">
    <w:p w14:paraId="477E24AB" w14:textId="77777777" w:rsidR="00DF1FC7" w:rsidRDefault="00DF1FC7" w:rsidP="002E5BAD">
      <w:pPr>
        <w:pStyle w:val="a5"/>
        <w:rPr>
          <w:rtl/>
        </w:rPr>
      </w:pPr>
      <w:r>
        <w:rPr>
          <w:rStyle w:val="a7"/>
        </w:rPr>
        <w:footnoteRef/>
      </w:r>
      <w:r>
        <w:rPr>
          <w:rtl/>
        </w:rPr>
        <w:t xml:space="preserve"> </w:t>
      </w:r>
      <w:r>
        <w:rPr>
          <w:rFonts w:cs="Arial"/>
          <w:rtl/>
        </w:rPr>
        <w:t>וכתב ה</w:t>
      </w:r>
      <w:r>
        <w:rPr>
          <w:rFonts w:cs="Arial" w:hint="cs"/>
          <w:rtl/>
        </w:rPr>
        <w:t>ה"</w:t>
      </w:r>
      <w:r>
        <w:rPr>
          <w:rFonts w:cs="Arial"/>
          <w:rtl/>
        </w:rPr>
        <w:t>מ שטעמו משום דאביי אוקי מתני' כרבי יהודה ולא קיי"ל כרבי יהודה אלא כסתם מתניתין בריש פירקין דלא מפליג בין כהן לישראל</w:t>
      </w:r>
      <w:r>
        <w:rPr>
          <w:rFonts w:cs="Arial" w:hint="cs"/>
          <w:rtl/>
        </w:rPr>
        <w:t>,</w:t>
      </w:r>
      <w:r>
        <w:rPr>
          <w:rFonts w:cs="Arial"/>
          <w:rtl/>
        </w:rPr>
        <w:t xml:space="preserve"> הילכך כאן אף באשת כהן בשנים יוציא ויתן כתובה</w:t>
      </w:r>
      <w:r>
        <w:rPr>
          <w:rFonts w:cs="Arial" w:hint="cs"/>
          <w:rtl/>
        </w:rPr>
        <w:t>,</w:t>
      </w:r>
      <w:r>
        <w:rPr>
          <w:rFonts w:cs="Arial"/>
          <w:rtl/>
        </w:rPr>
        <w:t xml:space="preserve"> וא</w:t>
      </w:r>
      <w:r>
        <w:rPr>
          <w:rFonts w:cs="Arial" w:hint="cs"/>
          <w:rtl/>
        </w:rPr>
        <w:t>ע"</w:t>
      </w:r>
      <w:r>
        <w:rPr>
          <w:rFonts w:cs="Arial"/>
          <w:rtl/>
        </w:rPr>
        <w:t>פ שיש שם אוקמתא אחרת זו עיקר</w:t>
      </w:r>
      <w:r>
        <w:rPr>
          <w:rFonts w:cs="Arial" w:hint="cs"/>
          <w:rtl/>
        </w:rPr>
        <w:t>.</w:t>
      </w:r>
      <w:r>
        <w:rPr>
          <w:rFonts w:cs="Arial"/>
          <w:rtl/>
        </w:rPr>
        <w:t xml:space="preserve"> וכן פסקו בהלכות עכ"ל</w:t>
      </w:r>
      <w:r>
        <w:rPr>
          <w:rFonts w:cs="Arial" w:hint="cs"/>
          <w:rtl/>
        </w:rPr>
        <w:t>.</w:t>
      </w:r>
      <w:r>
        <w:rPr>
          <w:rFonts w:cs="Arial"/>
          <w:rtl/>
        </w:rPr>
        <w:t xml:space="preserve"> וגם הר"ן (לב. ד"ה מתני') כתב שזהו טעמו של הרמב"ם</w:t>
      </w:r>
      <w:r>
        <w:rPr>
          <w:rFonts w:cs="Arial" w:hint="cs"/>
          <w:rtl/>
        </w:rPr>
        <w:t>.</w:t>
      </w:r>
      <w:r>
        <w:rPr>
          <w:rFonts w:cs="Arial"/>
          <w:rtl/>
        </w:rPr>
        <w:t xml:space="preserve"> ובנוסחת הרי"ף שבידנו כתוב במשנה רגל אחד יקיים שנים יוציא ויתן כתובה</w:t>
      </w:r>
      <w:r>
        <w:rPr>
          <w:rFonts w:cs="Arial" w:hint="cs"/>
          <w:rtl/>
        </w:rPr>
        <w:t>.</w:t>
      </w:r>
      <w:r>
        <w:rPr>
          <w:rFonts w:cs="Arial"/>
          <w:rtl/>
        </w:rPr>
        <w:t xml:space="preserve"> והיה איפשר לומר שמפני שהיה סבור הרי"ף כדעתו של הרמב"ם הגיה המשנה</w:t>
      </w:r>
      <w:r>
        <w:rPr>
          <w:rFonts w:cs="Arial" w:hint="cs"/>
          <w:rtl/>
        </w:rPr>
        <w:t>,</w:t>
      </w:r>
      <w:r>
        <w:rPr>
          <w:rFonts w:cs="Arial"/>
          <w:rtl/>
        </w:rPr>
        <w:t xml:space="preserve"> כי היכי דתיתי כת"ק דלא מפליג בין כהן לישראל</w:t>
      </w:r>
      <w:r>
        <w:rPr>
          <w:rFonts w:cs="Arial" w:hint="cs"/>
          <w:rtl/>
        </w:rPr>
        <w:t>.</w:t>
      </w:r>
      <w:r>
        <w:rPr>
          <w:rFonts w:cs="Arial"/>
          <w:rtl/>
        </w:rPr>
        <w:t xml:space="preserve"> אלא שמצאתי בירושלמי (פ"ז ה"ד) כתוב בנסחת המשנה כגרסת הרי"ף ז"ל. ולפיכך נראה לומר שכך היה כתוב בגירסת המשנה שלו</w:t>
      </w:r>
      <w:r>
        <w:rPr>
          <w:rFonts w:hint="cs"/>
          <w:rtl/>
        </w:rPr>
        <w:t>, ב"י.</w:t>
      </w:r>
    </w:p>
  </w:footnote>
  <w:footnote w:id="1202">
    <w:p w14:paraId="4D5183C5" w14:textId="77777777" w:rsidR="00DF1FC7" w:rsidRDefault="00DF1FC7" w:rsidP="002E5BAD">
      <w:pPr>
        <w:pStyle w:val="a5"/>
      </w:pPr>
      <w:r>
        <w:rPr>
          <w:rStyle w:val="a7"/>
        </w:rPr>
        <w:footnoteRef/>
      </w:r>
      <w:r>
        <w:rPr>
          <w:rtl/>
        </w:rPr>
        <w:t xml:space="preserve"> </w:t>
      </w:r>
      <w:r w:rsidRPr="0006721F">
        <w:rPr>
          <w:rFonts w:cs="Arial"/>
          <w:rtl/>
        </w:rPr>
        <w:t>דלת של שמחה ופיקוח צער</w:t>
      </w:r>
      <w:r>
        <w:rPr>
          <w:rFonts w:cs="Arial" w:hint="cs"/>
          <w:rtl/>
        </w:rPr>
        <w:t>, רש"י.</w:t>
      </w:r>
    </w:p>
  </w:footnote>
  <w:footnote w:id="1203">
    <w:p w14:paraId="4B38F9A1" w14:textId="77777777" w:rsidR="00DF1FC7" w:rsidRDefault="00DF1FC7" w:rsidP="002E5BAD">
      <w:pPr>
        <w:pStyle w:val="a5"/>
      </w:pPr>
      <w:r>
        <w:rPr>
          <w:rStyle w:val="a7"/>
        </w:rPr>
        <w:footnoteRef/>
      </w:r>
      <w:r>
        <w:rPr>
          <w:rtl/>
        </w:rPr>
        <w:t xml:space="preserve"> </w:t>
      </w:r>
      <w:r w:rsidRPr="00BF344F">
        <w:rPr>
          <w:rFonts w:cs="Arial"/>
          <w:rtl/>
        </w:rPr>
        <w:t>קוברה כשם שלא גמלה חסד כך לא יגמלו עמה</w:t>
      </w:r>
      <w:r>
        <w:rPr>
          <w:rFonts w:cs="Arial" w:hint="cs"/>
          <w:rtl/>
        </w:rPr>
        <w:t>, רש"י.</w:t>
      </w:r>
    </w:p>
  </w:footnote>
  <w:footnote w:id="1204">
    <w:p w14:paraId="63CD5FE4" w14:textId="77777777" w:rsidR="00DF1FC7" w:rsidRDefault="00DF1FC7" w:rsidP="002E5BAD">
      <w:pPr>
        <w:pStyle w:val="a5"/>
        <w:rPr>
          <w:rtl/>
        </w:rPr>
      </w:pPr>
      <w:r>
        <w:rPr>
          <w:rStyle w:val="a7"/>
        </w:rPr>
        <w:footnoteRef/>
      </w:r>
      <w:r>
        <w:rPr>
          <w:rtl/>
        </w:rPr>
        <w:t xml:space="preserve"> </w:t>
      </w:r>
      <w:r>
        <w:rPr>
          <w:rFonts w:cs="Arial"/>
          <w:rtl/>
        </w:rPr>
        <w:t>הוא ע"פ מה שנתבאר בסימן ע"ב ובסימן זה דכשנדרה היא וקיים לה הוא מיד יוציא ויתן לה כתובה</w:t>
      </w:r>
      <w:r>
        <w:rPr>
          <w:rFonts w:hint="cs"/>
          <w:rtl/>
        </w:rPr>
        <w:t>, ב"י.</w:t>
      </w:r>
    </w:p>
  </w:footnote>
  <w:footnote w:id="1205">
    <w:p w14:paraId="58E495D4" w14:textId="77777777" w:rsidR="00DF1FC7" w:rsidRDefault="00DF1FC7" w:rsidP="002E5BAD">
      <w:pPr>
        <w:pStyle w:val="a5"/>
      </w:pPr>
      <w:r>
        <w:rPr>
          <w:rStyle w:val="a7"/>
        </w:rPr>
        <w:footnoteRef/>
      </w:r>
      <w:r>
        <w:rPr>
          <w:rtl/>
        </w:rPr>
        <w:t xml:space="preserve"> </w:t>
      </w:r>
      <w:r>
        <w:rPr>
          <w:rFonts w:cs="Arial"/>
          <w:rtl/>
        </w:rPr>
        <w:t>הוא על פי מה שנתבאר בסימנים הנזכרים דכשהוא מדירה בשום דבר ותלאו בתשמיש דינו כמדירה מתשמיש דיקיים שבת אחד כבית הלל דסברי הכי</w:t>
      </w:r>
      <w:r>
        <w:rPr>
          <w:rFonts w:cs="Arial" w:hint="cs"/>
          <w:rtl/>
        </w:rPr>
        <w:t>, ב"י.</w:t>
      </w:r>
    </w:p>
  </w:footnote>
  <w:footnote w:id="1206">
    <w:p w14:paraId="5454C459" w14:textId="77777777" w:rsidR="00DF1FC7" w:rsidRDefault="00DF1FC7" w:rsidP="002E5BAD">
      <w:pPr>
        <w:pStyle w:val="a5"/>
        <w:rPr>
          <w:rtl/>
        </w:rPr>
      </w:pPr>
      <w:r>
        <w:rPr>
          <w:rStyle w:val="a7"/>
        </w:rPr>
        <w:footnoteRef/>
      </w:r>
      <w:r>
        <w:rPr>
          <w:rtl/>
        </w:rPr>
        <w:t xml:space="preserve"> </w:t>
      </w:r>
      <w:r>
        <w:rPr>
          <w:rFonts w:cs="Arial"/>
          <w:rtl/>
        </w:rPr>
        <w:t>וכתב הרב המגיד המדיר את אשתו שלא תלך וכו' כגון שנדרה היא ואמרה יאסר הנאת תשמישך עלי אם אלך לבית אבא או לבית האבל</w:t>
      </w:r>
      <w:r>
        <w:rPr>
          <w:rFonts w:cs="Arial" w:hint="cs"/>
          <w:rtl/>
        </w:rPr>
        <w:t>,</w:t>
      </w:r>
      <w:r>
        <w:rPr>
          <w:rFonts w:cs="Arial"/>
          <w:rtl/>
        </w:rPr>
        <w:t xml:space="preserve"> ושמע בעלה ולא הפר לה</w:t>
      </w:r>
      <w:r>
        <w:rPr>
          <w:rFonts w:cs="Arial" w:hint="cs"/>
          <w:rtl/>
        </w:rPr>
        <w:t>,</w:t>
      </w:r>
      <w:r>
        <w:rPr>
          <w:rFonts w:cs="Arial"/>
          <w:rtl/>
        </w:rPr>
        <w:t xml:space="preserve"> שאם במדירה הבעל ואומר לה תאסר הנאתי עליך אם תלכי</w:t>
      </w:r>
      <w:r>
        <w:rPr>
          <w:rFonts w:cs="Arial" w:hint="cs"/>
          <w:rtl/>
        </w:rPr>
        <w:t>,</w:t>
      </w:r>
      <w:r>
        <w:rPr>
          <w:rFonts w:cs="Arial"/>
          <w:rtl/>
        </w:rPr>
        <w:t xml:space="preserve"> כבר נתבאר בפי"ב (הל' כג - כד) בכיוצא בזה להוציא לאלתר ולא עד שלשים יום</w:t>
      </w:r>
      <w:r>
        <w:rPr>
          <w:rFonts w:cs="Arial" w:hint="cs"/>
          <w:rtl/>
        </w:rPr>
        <w:t>,</w:t>
      </w:r>
      <w:r>
        <w:rPr>
          <w:rFonts w:cs="Arial"/>
          <w:rtl/>
        </w:rPr>
        <w:t xml:space="preserve"> אלו דבריהם</w:t>
      </w:r>
      <w:r>
        <w:rPr>
          <w:rFonts w:cs="Arial" w:hint="cs"/>
          <w:rtl/>
        </w:rPr>
        <w:t>.</w:t>
      </w:r>
      <w:r>
        <w:rPr>
          <w:rFonts w:cs="Arial"/>
          <w:rtl/>
        </w:rPr>
        <w:t xml:space="preserve"> ומדברי רבינו נראה שהוא מפרשה במדירה הבעל מהנאתו אם תלך וזהו שכתב יתיר נדרו ר"ל תוך זמן הל' יום הידוע למעלה בפי"ב </w:t>
      </w:r>
      <w:r>
        <w:rPr>
          <w:rFonts w:cs="Arial" w:hint="cs"/>
          <w:rtl/>
        </w:rPr>
        <w:t xml:space="preserve"> (הכ"ג) </w:t>
      </w:r>
      <w:r>
        <w:rPr>
          <w:rFonts w:cs="Arial"/>
          <w:rtl/>
        </w:rPr>
        <w:t>שממתינין לבעל</w:t>
      </w:r>
      <w:r>
        <w:rPr>
          <w:rFonts w:cs="Arial" w:hint="cs"/>
          <w:rtl/>
        </w:rPr>
        <w:t>,</w:t>
      </w:r>
      <w:r>
        <w:rPr>
          <w:rFonts w:cs="Arial"/>
          <w:rtl/>
        </w:rPr>
        <w:t xml:space="preserve"> וכבר כתבתי בפי"ב שאין אדם יכול לאסור לאשתו דבר אלא בדרך שיאסור הנאתו עליה אם תעשה כך עכ"ל</w:t>
      </w:r>
      <w:r>
        <w:rPr>
          <w:rFonts w:hint="cs"/>
          <w:rtl/>
        </w:rPr>
        <w:t>, ב"י.</w:t>
      </w:r>
    </w:p>
  </w:footnote>
  <w:footnote w:id="1207">
    <w:p w14:paraId="52FD7E78" w14:textId="77777777" w:rsidR="00DF1FC7" w:rsidRDefault="00DF1FC7" w:rsidP="002E5BAD">
      <w:pPr>
        <w:pStyle w:val="a5"/>
        <w:rPr>
          <w:rtl/>
        </w:rPr>
      </w:pPr>
      <w:r>
        <w:rPr>
          <w:rStyle w:val="a7"/>
        </w:rPr>
        <w:footnoteRef/>
      </w:r>
      <w:r>
        <w:rPr>
          <w:rtl/>
        </w:rPr>
        <w:t xml:space="preserve"> </w:t>
      </w:r>
      <w:r>
        <w:rPr>
          <w:rFonts w:hint="cs"/>
          <w:rtl/>
        </w:rPr>
        <w:t>בירושלמי לפנינו כתוב 'שלשה חדשים', אך הגירסא ברמב"ם (פי"ג ה"ט) במאירי במגיד משנה (שם) בר"ן (כתובות לא: מדפה"ר) ועוד ראשונים היא 'שלשה ימים'.</w:t>
      </w:r>
    </w:p>
  </w:footnote>
  <w:footnote w:id="1208">
    <w:p w14:paraId="61E9B043" w14:textId="77777777" w:rsidR="00DF1FC7" w:rsidRDefault="00DF1FC7" w:rsidP="002E5BAD">
      <w:pPr>
        <w:pStyle w:val="a5"/>
        <w:rPr>
          <w:rtl/>
        </w:rPr>
      </w:pPr>
      <w:r>
        <w:rPr>
          <w:rStyle w:val="a7"/>
        </w:rPr>
        <w:footnoteRef/>
      </w:r>
      <w:r>
        <w:rPr>
          <w:rtl/>
        </w:rPr>
        <w:t xml:space="preserve"> </w:t>
      </w:r>
      <w:r>
        <w:rPr>
          <w:rFonts w:hint="cs"/>
          <w:rtl/>
        </w:rPr>
        <w:t xml:space="preserve">הטור הביא את לשון הרמב"ם גם בהלכה זו, אך סיים אחרת, וז"ל- </w:t>
      </w:r>
      <w:r w:rsidRPr="00791B55">
        <w:rPr>
          <w:rFonts w:cs="Arial"/>
          <w:rtl/>
        </w:rPr>
        <w:t>יתר על כן יוציא ויתן כתובה</w:t>
      </w:r>
      <w:r>
        <w:rPr>
          <w:rFonts w:cs="Arial" w:hint="cs"/>
          <w:rtl/>
        </w:rPr>
        <w:t xml:space="preserve">. עכ"ל. ופירש הב"י את דברי הטור שימתין ז' ימים שמא ימצא פתח להתיר נדרו ואם לא ימצא יוציא. </w:t>
      </w:r>
      <w:r w:rsidRPr="00B6583F">
        <w:rPr>
          <w:rFonts w:cs="Arial" w:hint="cs"/>
          <w:color w:val="FF0000"/>
          <w:rtl/>
        </w:rPr>
        <w:t xml:space="preserve">וצל"ע האם לומר כן ברמב"ם, שהרי עד כה כתב הה"מ על דברי הרמב"ם שימתין חודש, כב"ה, כדין האוסר הנאתו עליה. אבל הטור לשיטתו אזיל דאמר קונם תשמישך עלי וכו', שבזה ממתינים </w:t>
      </w:r>
      <w:r>
        <w:rPr>
          <w:rFonts w:cs="Arial" w:hint="cs"/>
          <w:color w:val="FF0000"/>
          <w:rtl/>
        </w:rPr>
        <w:t>שבוע</w:t>
      </w:r>
      <w:r w:rsidRPr="00B6583F">
        <w:rPr>
          <w:rFonts w:cs="Arial" w:hint="cs"/>
          <w:color w:val="FF0000"/>
          <w:rtl/>
        </w:rPr>
        <w:t>.</w:t>
      </w:r>
      <w:r>
        <w:rPr>
          <w:rFonts w:cs="Arial" w:hint="cs"/>
          <w:color w:val="FF0000"/>
          <w:rtl/>
        </w:rPr>
        <w:t xml:space="preserve"> אבל הטור העתיק את דברי הרמב"ם, ש"מ דס"ל כוותיה. או שמא בגלל שדעתו אחרת שינה מלשון הרמב"ם ולא כתב 'יתיר נדרו'. וצל"ע.</w:t>
      </w:r>
      <w:r w:rsidRPr="00B6583F">
        <w:rPr>
          <w:rFonts w:cs="Arial" w:hint="cs"/>
          <w:color w:val="FF0000"/>
          <w:rtl/>
        </w:rPr>
        <w:t xml:space="preserve"> </w:t>
      </w:r>
    </w:p>
  </w:footnote>
  <w:footnote w:id="1209">
    <w:p w14:paraId="5D1BDF0B" w14:textId="77777777" w:rsidR="00DF1FC7" w:rsidRDefault="00DF1FC7" w:rsidP="002E5BAD">
      <w:pPr>
        <w:pStyle w:val="a5"/>
      </w:pPr>
      <w:r>
        <w:rPr>
          <w:rStyle w:val="a7"/>
        </w:rPr>
        <w:footnoteRef/>
      </w:r>
      <w:r>
        <w:rPr>
          <w:rtl/>
        </w:rPr>
        <w:t xml:space="preserve"> </w:t>
      </w:r>
      <w:r>
        <w:rPr>
          <w:rFonts w:hint="cs"/>
          <w:rtl/>
        </w:rPr>
        <w:t>ו</w:t>
      </w:r>
      <w:r w:rsidRPr="001B5E5A">
        <w:rPr>
          <w:rFonts w:cs="Arial"/>
          <w:rtl/>
        </w:rPr>
        <w:t>רבינו</w:t>
      </w:r>
      <w:r w:rsidRPr="001B5E5A">
        <w:rPr>
          <w:rFonts w:cs="Arial" w:hint="cs"/>
          <w:rtl/>
        </w:rPr>
        <w:t xml:space="preserve"> {הטור}</w:t>
      </w:r>
      <w:r w:rsidRPr="001B5E5A">
        <w:rPr>
          <w:rFonts w:cs="Arial"/>
          <w:rtl/>
        </w:rPr>
        <w:t xml:space="preserve"> קיצר במובן</w:t>
      </w:r>
      <w:r w:rsidRPr="001B5E5A">
        <w:rPr>
          <w:rFonts w:cs="Arial" w:hint="cs"/>
          <w:rtl/>
        </w:rPr>
        <w:t xml:space="preserve">, ב"י </w:t>
      </w:r>
      <w:r>
        <w:rPr>
          <w:rFonts w:cs="Arial" w:hint="cs"/>
          <w:rtl/>
        </w:rPr>
        <w:t>(</w:t>
      </w:r>
      <w:r w:rsidRPr="001B5E5A">
        <w:rPr>
          <w:rFonts w:cs="Arial" w:hint="cs"/>
          <w:rtl/>
        </w:rPr>
        <w:t>בבדה"ב)</w:t>
      </w:r>
      <w:r>
        <w:rPr>
          <w:rFonts w:cs="Arial" w:hint="cs"/>
          <w:rtl/>
        </w:rPr>
        <w:t>.</w:t>
      </w:r>
    </w:p>
  </w:footnote>
  <w:footnote w:id="1210">
    <w:p w14:paraId="114887A2" w14:textId="77777777" w:rsidR="00DF1FC7" w:rsidRPr="00790CAA" w:rsidRDefault="00DF1FC7" w:rsidP="002E5BAD">
      <w:pPr>
        <w:pStyle w:val="a5"/>
        <w:rPr>
          <w:color w:val="000000" w:themeColor="text1"/>
        </w:rPr>
      </w:pPr>
      <w:r>
        <w:rPr>
          <w:rStyle w:val="a7"/>
        </w:rPr>
        <w:footnoteRef/>
      </w:r>
      <w:r>
        <w:rPr>
          <w:rtl/>
        </w:rPr>
        <w:t xml:space="preserve"> </w:t>
      </w:r>
      <w:r w:rsidRPr="00FB05F5">
        <w:rPr>
          <w:rFonts w:cs="Arial"/>
          <w:rtl/>
        </w:rPr>
        <w:t>ועל מה שכתב שאין בית דין יכולים להשביעו אני תמה</w:t>
      </w:r>
      <w:r>
        <w:rPr>
          <w:rFonts w:cs="Arial" w:hint="cs"/>
          <w:rtl/>
        </w:rPr>
        <w:t>,</w:t>
      </w:r>
      <w:r w:rsidRPr="00FB05F5">
        <w:rPr>
          <w:rFonts w:cs="Arial"/>
          <w:rtl/>
        </w:rPr>
        <w:t xml:space="preserve"> דכיון דעבירה קא עביד</w:t>
      </w:r>
      <w:r>
        <w:rPr>
          <w:rFonts w:cs="Arial" w:hint="cs"/>
          <w:rtl/>
        </w:rPr>
        <w:t>,</w:t>
      </w:r>
      <w:r w:rsidRPr="00FB05F5">
        <w:rPr>
          <w:rFonts w:cs="Arial"/>
          <w:rtl/>
        </w:rPr>
        <w:t xml:space="preserve"> שהרי המכה את אשתו</w:t>
      </w:r>
      <w:r>
        <w:rPr>
          <w:rFonts w:cs="Arial" w:hint="cs"/>
          <w:rtl/>
        </w:rPr>
        <w:t>,</w:t>
      </w:r>
      <w:r w:rsidRPr="00FB05F5">
        <w:rPr>
          <w:rFonts w:cs="Arial"/>
          <w:rtl/>
        </w:rPr>
        <w:t xml:space="preserve"> עובר בשני לאוין כשם שעובר המכה את חבירו</w:t>
      </w:r>
      <w:r>
        <w:rPr>
          <w:rFonts w:cs="Arial" w:hint="cs"/>
          <w:rtl/>
        </w:rPr>
        <w:t>,</w:t>
      </w:r>
      <w:r w:rsidRPr="00FB05F5">
        <w:rPr>
          <w:rFonts w:cs="Arial"/>
          <w:rtl/>
        </w:rPr>
        <w:t xml:space="preserve"> וכמו שכתב רבינו יונה בשערי תשובה (שער ג אות עז)</w:t>
      </w:r>
      <w:r>
        <w:rPr>
          <w:rFonts w:cs="Arial" w:hint="cs"/>
          <w:rtl/>
        </w:rPr>
        <w:t>,</w:t>
      </w:r>
      <w:r w:rsidRPr="00FB05F5">
        <w:rPr>
          <w:rFonts w:cs="Arial"/>
          <w:rtl/>
        </w:rPr>
        <w:t xml:space="preserve"> למה לא ינדו אותו שלא יעבור על דברי תורה</w:t>
      </w:r>
      <w:r>
        <w:rPr>
          <w:rFonts w:cs="Arial" w:hint="cs"/>
          <w:rtl/>
        </w:rPr>
        <w:t>.</w:t>
      </w:r>
      <w:r w:rsidRPr="00FB05F5">
        <w:rPr>
          <w:rFonts w:cs="Arial"/>
          <w:rtl/>
        </w:rPr>
        <w:t xml:space="preserve"> ומעשים אצלינו בכל יום</w:t>
      </w:r>
      <w:r>
        <w:rPr>
          <w:rFonts w:cs="Arial" w:hint="cs"/>
          <w:rtl/>
        </w:rPr>
        <w:t>,</w:t>
      </w:r>
      <w:r w:rsidRPr="00FB05F5">
        <w:rPr>
          <w:rFonts w:cs="Arial"/>
          <w:rtl/>
        </w:rPr>
        <w:t xml:space="preserve"> וגערה ונזיפה לא מהניא בהו</w:t>
      </w:r>
      <w:r>
        <w:rPr>
          <w:rFonts w:cs="Arial" w:hint="cs"/>
          <w:rtl/>
        </w:rPr>
        <w:t>,</w:t>
      </w:r>
      <w:r w:rsidRPr="00FB05F5">
        <w:rPr>
          <w:rFonts w:cs="Arial"/>
          <w:rtl/>
        </w:rPr>
        <w:t xml:space="preserve"> וע"פ הנידוי הם נמנעים. וסעד לדבר מצאתי בתשובת רבינו שמחה שכתבתי בסימן קנ"ד (עו. ד"ה מצאתי כתוב)</w:t>
      </w:r>
      <w:r>
        <w:rPr>
          <w:rFonts w:cs="Arial" w:hint="cs"/>
          <w:rtl/>
        </w:rPr>
        <w:t>.</w:t>
      </w:r>
      <w:r w:rsidRPr="00FB05F5">
        <w:rPr>
          <w:rFonts w:cs="Arial"/>
          <w:rtl/>
        </w:rPr>
        <w:t xml:space="preserve"> אח"כ מצאתי כדברי בספר מישרים נכ"ג ח"ה (נח ע"ב) בשם הרמ"ה אם חבל בה הבעל יש יכולת לב"ד ליסרו ולהחרימו ולנדותו ולהלקותו ולרדותו בכל מיני רידוי ולקוץ ידו אם רגיל בכך</w:t>
      </w:r>
      <w:r>
        <w:rPr>
          <w:rFonts w:cs="Arial" w:hint="cs"/>
          <w:rtl/>
        </w:rPr>
        <w:t>,</w:t>
      </w:r>
      <w:r w:rsidRPr="00FB05F5">
        <w:rPr>
          <w:rFonts w:cs="Arial"/>
          <w:rtl/>
        </w:rPr>
        <w:t xml:space="preserve"> כי הא דרב פפא קץ ידא</w:t>
      </w:r>
      <w:r>
        <w:rPr>
          <w:rFonts w:cs="Arial" w:hint="cs"/>
          <w:rtl/>
        </w:rPr>
        <w:t>,</w:t>
      </w:r>
      <w:r w:rsidRPr="00FB05F5">
        <w:rPr>
          <w:rFonts w:cs="Arial"/>
          <w:rtl/>
        </w:rPr>
        <w:t xml:space="preserve"> </w:t>
      </w:r>
      <w:r w:rsidRPr="00790CAA">
        <w:rPr>
          <w:rFonts w:cs="Arial"/>
          <w:color w:val="000000" w:themeColor="text1"/>
          <w:rtl/>
        </w:rPr>
        <w:t>כי חייב לכבדה יותר מעצמו</w:t>
      </w:r>
      <w:r w:rsidRPr="00790CAA">
        <w:rPr>
          <w:rFonts w:cs="Arial" w:hint="cs"/>
          <w:color w:val="000000" w:themeColor="text1"/>
          <w:rtl/>
        </w:rPr>
        <w:t>,</w:t>
      </w:r>
      <w:r w:rsidRPr="00790CAA">
        <w:rPr>
          <w:rFonts w:cs="Arial"/>
          <w:color w:val="000000" w:themeColor="text1"/>
          <w:rtl/>
        </w:rPr>
        <w:t xml:space="preserve"> או יוציא ויתן כתובה ע"כ</w:t>
      </w:r>
      <w:r w:rsidRPr="00790CAA">
        <w:rPr>
          <w:rFonts w:cs="Arial" w:hint="cs"/>
          <w:color w:val="000000" w:themeColor="text1"/>
          <w:rtl/>
        </w:rPr>
        <w:t>, ב"י.</w:t>
      </w:r>
    </w:p>
  </w:footnote>
  <w:footnote w:id="1211">
    <w:p w14:paraId="26881524" w14:textId="77777777" w:rsidR="00DF1FC7" w:rsidRDefault="00DF1FC7" w:rsidP="002E5BAD">
      <w:pPr>
        <w:pStyle w:val="a5"/>
      </w:pPr>
      <w:r w:rsidRPr="00790CAA">
        <w:rPr>
          <w:rStyle w:val="a7"/>
          <w:color w:val="000000" w:themeColor="text1"/>
        </w:rPr>
        <w:footnoteRef/>
      </w:r>
      <w:r w:rsidRPr="00790CAA">
        <w:rPr>
          <w:color w:val="000000" w:themeColor="text1"/>
          <w:rtl/>
        </w:rPr>
        <w:t xml:space="preserve"> </w:t>
      </w:r>
      <w:r w:rsidRPr="00790CAA">
        <w:rPr>
          <w:rFonts w:hint="cs"/>
          <w:color w:val="000000" w:themeColor="text1"/>
          <w:rtl/>
        </w:rPr>
        <w:t xml:space="preserve">נראה לכאורה שסוגריים אלו הם הגירסא הנכונה, וכמו שכתב הב"ש (סקי"ב), ופסק השו"ע כאן כהרמב"ם שממתין חודש כיון שאסרה בהנאה ממנו. אבל צל"ע משום שהשו"ע פסק עד כה כהטור, שימתין ז' ימים. אבל אולי צ"ל שהשו"ע באמת פסק כשניהם, רק שתלוי מה אמר, אם אמר בסתם (כמו בסעיף זה) </w:t>
      </w:r>
      <w:r w:rsidRPr="00790CAA">
        <w:rPr>
          <w:color w:val="000000" w:themeColor="text1"/>
          <w:rtl/>
        </w:rPr>
        <w:t>–</w:t>
      </w:r>
      <w:r w:rsidRPr="00790CAA">
        <w:rPr>
          <w:rFonts w:hint="cs"/>
          <w:color w:val="000000" w:themeColor="text1"/>
          <w:rtl/>
        </w:rPr>
        <w:t xml:space="preserve"> ממתין ל' יום כיון שהדירה מהנאתו, כהרמב"ם. ואם אמר קונם תשמישך וכו' </w:t>
      </w:r>
      <w:r>
        <w:rPr>
          <w:rFonts w:hint="cs"/>
          <w:color w:val="000000" w:themeColor="text1"/>
          <w:rtl/>
        </w:rPr>
        <w:t xml:space="preserve">(כמו בסעיף הבא) </w:t>
      </w:r>
      <w:r>
        <w:rPr>
          <w:color w:val="000000" w:themeColor="text1"/>
          <w:rtl/>
        </w:rPr>
        <w:t>–</w:t>
      </w:r>
      <w:r>
        <w:rPr>
          <w:rFonts w:hint="cs"/>
          <w:color w:val="000000" w:themeColor="text1"/>
          <w:rtl/>
        </w:rPr>
        <w:t xml:space="preserve"> </w:t>
      </w:r>
      <w:r w:rsidRPr="00790CAA">
        <w:rPr>
          <w:rFonts w:hint="cs"/>
          <w:color w:val="000000" w:themeColor="text1"/>
          <w:rtl/>
        </w:rPr>
        <w:t>ממתין ז' כיון שהדירה מתשמיש, כהטור.</w:t>
      </w:r>
    </w:p>
  </w:footnote>
  <w:footnote w:id="1212">
    <w:p w14:paraId="4D9FBDE6" w14:textId="77777777" w:rsidR="00DF1FC7" w:rsidRDefault="00DF1FC7" w:rsidP="002E5BAD">
      <w:pPr>
        <w:pStyle w:val="a5"/>
        <w:rPr>
          <w:rtl/>
        </w:rPr>
      </w:pPr>
      <w:r>
        <w:rPr>
          <w:rStyle w:val="a7"/>
        </w:rPr>
        <w:footnoteRef/>
      </w:r>
      <w:r>
        <w:rPr>
          <w:rtl/>
        </w:rPr>
        <w:t xml:space="preserve"> </w:t>
      </w:r>
      <w:r w:rsidRPr="00830C5A">
        <w:rPr>
          <w:rFonts w:cs="Arial"/>
          <w:rtl/>
        </w:rPr>
        <w:t>דברים פשוטים הם וכ"כ מן הגאונים ז"ל</w:t>
      </w:r>
      <w:r>
        <w:rPr>
          <w:rFonts w:hint="cs"/>
          <w:rtl/>
        </w:rPr>
        <w:t>, הה"מ (שם).</w:t>
      </w:r>
    </w:p>
  </w:footnote>
  <w:footnote w:id="1213">
    <w:p w14:paraId="044506C3" w14:textId="77777777" w:rsidR="00DF1FC7" w:rsidRDefault="00DF1FC7" w:rsidP="002E5BAD">
      <w:pPr>
        <w:pStyle w:val="a5"/>
        <w:rPr>
          <w:rtl/>
        </w:rPr>
      </w:pPr>
      <w:r>
        <w:rPr>
          <w:rStyle w:val="a7"/>
        </w:rPr>
        <w:footnoteRef/>
      </w:r>
      <w:r w:rsidRPr="00B6583F">
        <w:rPr>
          <w:rFonts w:cs="Arial"/>
          <w:rtl/>
        </w:rPr>
        <w:t>וכתב גאון בתשובה כי שומעין לה ואם לאו יוציא ויתן כתובתה</w:t>
      </w:r>
      <w:r>
        <w:rPr>
          <w:rFonts w:cs="Arial" w:hint="cs"/>
          <w:rtl/>
        </w:rPr>
        <w:t>, רי"ו</w:t>
      </w:r>
      <w:r w:rsidRPr="00830C5A">
        <w:rPr>
          <w:rFonts w:cs="Arial"/>
          <w:rtl/>
        </w:rPr>
        <w:t xml:space="preserve"> </w:t>
      </w:r>
      <w:r>
        <w:rPr>
          <w:rFonts w:cs="Arial" w:hint="cs"/>
          <w:rtl/>
        </w:rPr>
        <w:t>(</w:t>
      </w:r>
      <w:r w:rsidRPr="00830C5A">
        <w:rPr>
          <w:rFonts w:cs="Arial"/>
          <w:rtl/>
        </w:rPr>
        <w:t>מישרים נכ"ג ח"ה נח ע"ג</w:t>
      </w:r>
      <w:r>
        <w:rPr>
          <w:rFonts w:cs="Arial" w:hint="cs"/>
          <w:rtl/>
        </w:rPr>
        <w:t>, הביאו הב"י</w:t>
      </w:r>
      <w:r w:rsidRPr="00830C5A">
        <w:rPr>
          <w:rFonts w:cs="Arial"/>
          <w:rtl/>
        </w:rPr>
        <w:t>) בשם גאון</w:t>
      </w:r>
      <w:r>
        <w:rPr>
          <w:rFonts w:cs="Arial" w:hint="cs"/>
          <w:rtl/>
        </w:rPr>
        <w:t>.</w:t>
      </w:r>
    </w:p>
  </w:footnote>
  <w:footnote w:id="1214">
    <w:p w14:paraId="67211106" w14:textId="77777777" w:rsidR="00DF1FC7" w:rsidRDefault="00DF1FC7" w:rsidP="002E5BAD">
      <w:pPr>
        <w:pStyle w:val="a5"/>
        <w:rPr>
          <w:rtl/>
        </w:rPr>
      </w:pPr>
      <w:r>
        <w:rPr>
          <w:rStyle w:val="a7"/>
        </w:rPr>
        <w:footnoteRef/>
      </w:r>
      <w:r>
        <w:rPr>
          <w:rtl/>
        </w:rPr>
        <w:t xml:space="preserve"> </w:t>
      </w:r>
      <w:r w:rsidRPr="00830C5A">
        <w:rPr>
          <w:rFonts w:cs="Arial"/>
          <w:rtl/>
        </w:rPr>
        <w:t>ואני אומר אין אדם דר עם נחש בכפיפה</w:t>
      </w:r>
      <w:r>
        <w:rPr>
          <w:rFonts w:cs="Arial" w:hint="cs"/>
          <w:rtl/>
        </w:rPr>
        <w:t>.</w:t>
      </w:r>
      <w:r w:rsidRPr="00830C5A">
        <w:rPr>
          <w:rFonts w:cs="Arial"/>
          <w:rtl/>
        </w:rPr>
        <w:t xml:space="preserve"> אלא כך הוא עיקר הדבר</w:t>
      </w:r>
      <w:r>
        <w:rPr>
          <w:rFonts w:cs="Arial" w:hint="cs"/>
          <w:rtl/>
        </w:rPr>
        <w:t>,</w:t>
      </w:r>
      <w:r w:rsidRPr="00830C5A">
        <w:rPr>
          <w:rFonts w:cs="Arial"/>
          <w:rtl/>
        </w:rPr>
        <w:t xml:space="preserve"> שאם נראה לב"ד שהם מריעים ומצירים לה וגורמין לה קטטה עם בעלה </w:t>
      </w:r>
      <w:r>
        <w:rPr>
          <w:rFonts w:cs="Arial" w:hint="cs"/>
          <w:rtl/>
        </w:rPr>
        <w:t xml:space="preserve">- </w:t>
      </w:r>
      <w:r w:rsidRPr="00830C5A">
        <w:rPr>
          <w:rFonts w:cs="Arial"/>
          <w:rtl/>
        </w:rPr>
        <w:t>הדין עמה</w:t>
      </w:r>
      <w:r>
        <w:rPr>
          <w:rFonts w:cs="Arial" w:hint="cs"/>
          <w:rtl/>
        </w:rPr>
        <w:t>.</w:t>
      </w:r>
      <w:r w:rsidRPr="00830C5A">
        <w:rPr>
          <w:rFonts w:cs="Arial"/>
          <w:rtl/>
        </w:rPr>
        <w:t xml:space="preserve"> ואם לאו </w:t>
      </w:r>
      <w:r>
        <w:rPr>
          <w:rFonts w:cs="Arial" w:hint="cs"/>
          <w:rtl/>
        </w:rPr>
        <w:t xml:space="preserve">- </w:t>
      </w:r>
      <w:r w:rsidRPr="00830C5A">
        <w:rPr>
          <w:rFonts w:cs="Arial"/>
          <w:rtl/>
        </w:rPr>
        <w:t>לאו כל המינה</w:t>
      </w:r>
      <w:r>
        <w:rPr>
          <w:rFonts w:cs="Arial" w:hint="cs"/>
          <w:rtl/>
        </w:rPr>
        <w:t>.</w:t>
      </w:r>
      <w:r w:rsidRPr="00830C5A">
        <w:rPr>
          <w:rFonts w:cs="Arial"/>
          <w:rtl/>
        </w:rPr>
        <w:t xml:space="preserve"> ובזה יפה כח הבעל מכחה לפי שהמדור הוא של בעל ואינו שלה ולפיכך אינה יכולה למחות על ידן אלא בטענה</w:t>
      </w:r>
      <w:r>
        <w:rPr>
          <w:rFonts w:cs="Arial" w:hint="cs"/>
          <w:rtl/>
        </w:rPr>
        <w:t>.</w:t>
      </w:r>
      <w:r w:rsidRPr="00830C5A">
        <w:rPr>
          <w:rFonts w:cs="Arial"/>
          <w:rtl/>
        </w:rPr>
        <w:t xml:space="preserve"> זהו דעתי</w:t>
      </w:r>
      <w:r>
        <w:rPr>
          <w:rFonts w:cs="Arial" w:hint="cs"/>
          <w:rtl/>
        </w:rPr>
        <w:t>, הה"מ (שם).</w:t>
      </w:r>
      <w:r w:rsidRPr="00830C5A">
        <w:rPr>
          <w:rFonts w:cs="Arial"/>
          <w:rtl/>
        </w:rPr>
        <w:t xml:space="preserve"> </w:t>
      </w:r>
      <w:r w:rsidRPr="001B3101">
        <w:rPr>
          <w:rFonts w:cs="Arial" w:hint="cs"/>
          <w:color w:val="00B0F0"/>
          <w:rtl/>
        </w:rPr>
        <w:t>(וכ"פ הרמ"א)</w:t>
      </w:r>
    </w:p>
  </w:footnote>
  <w:footnote w:id="1215">
    <w:p w14:paraId="7A96F721" w14:textId="77777777" w:rsidR="00DF1FC7" w:rsidRDefault="00DF1FC7" w:rsidP="002E5BAD">
      <w:pPr>
        <w:pStyle w:val="a5"/>
      </w:pPr>
      <w:r>
        <w:rPr>
          <w:rStyle w:val="a7"/>
        </w:rPr>
        <w:footnoteRef/>
      </w:r>
      <w:r>
        <w:rPr>
          <w:rtl/>
        </w:rPr>
        <w:t xml:space="preserve"> </w:t>
      </w:r>
      <w:r w:rsidRPr="002D224A">
        <w:rPr>
          <w:rFonts w:cs="Arial" w:hint="cs"/>
          <w:rtl/>
        </w:rPr>
        <w:t>והביא הרי"ף (סה:) את מה שכתוב בתוספתא עד כאן, וגם הרמב"ם (פי"ג מאישות הי"ז) כתב את דברי התוספתא עד כאן</w:t>
      </w:r>
      <w:r>
        <w:rPr>
          <w:rFonts w:cs="Arial" w:hint="cs"/>
          <w:rtl/>
        </w:rPr>
        <w:t>.</w:t>
      </w:r>
    </w:p>
  </w:footnote>
  <w:footnote w:id="1216">
    <w:p w14:paraId="0C93B908" w14:textId="77777777" w:rsidR="00DF1FC7" w:rsidRDefault="00DF1FC7" w:rsidP="002E5BAD">
      <w:pPr>
        <w:pStyle w:val="a5"/>
      </w:pPr>
      <w:r>
        <w:rPr>
          <w:rStyle w:val="a7"/>
        </w:rPr>
        <w:footnoteRef/>
      </w:r>
      <w:r>
        <w:rPr>
          <w:rtl/>
        </w:rPr>
        <w:t xml:space="preserve"> </w:t>
      </w:r>
      <w:r w:rsidRPr="00A806B1">
        <w:rPr>
          <w:rFonts w:cs="Arial"/>
          <w:rtl/>
        </w:rPr>
        <w:t>כלומר אע</w:t>
      </w:r>
      <w:r>
        <w:rPr>
          <w:rFonts w:cs="Arial" w:hint="cs"/>
          <w:rtl/>
        </w:rPr>
        <w:t>"</w:t>
      </w:r>
      <w:r w:rsidRPr="00A806B1">
        <w:rPr>
          <w:rFonts w:cs="Arial"/>
          <w:rtl/>
        </w:rPr>
        <w:t>פ שהוא מיהודה יכול להוציאה מכרך שבגליל לעיר שביהודה</w:t>
      </w:r>
      <w:r>
        <w:rPr>
          <w:rFonts w:cs="Arial" w:hint="cs"/>
          <w:rtl/>
        </w:rPr>
        <w:t xml:space="preserve">, </w:t>
      </w:r>
      <w:r w:rsidRPr="00A806B1">
        <w:rPr>
          <w:rFonts w:cs="Arial"/>
          <w:rtl/>
        </w:rPr>
        <w:t xml:space="preserve">ר"ן (סה: ד"ה אבל) </w:t>
      </w:r>
      <w:r w:rsidRPr="00F41CEC">
        <w:rPr>
          <w:rFonts w:cs="Arial" w:hint="cs"/>
          <w:sz w:val="16"/>
          <w:szCs w:val="16"/>
          <w:rtl/>
        </w:rPr>
        <w:t>{רק הר"ן הביא את סיום דברי התוספתא, צל"ע למה}</w:t>
      </w:r>
      <w:r>
        <w:rPr>
          <w:rFonts w:cs="Arial" w:hint="cs"/>
          <w:rtl/>
        </w:rPr>
        <w:t xml:space="preserve">. וכתב עוד הר"ן (שם)- </w:t>
      </w:r>
      <w:r w:rsidRPr="00A806B1">
        <w:rPr>
          <w:rFonts w:cs="Arial"/>
          <w:rtl/>
        </w:rPr>
        <w:t>אם היה מושבו ביהודה בעיר</w:t>
      </w:r>
      <w:r>
        <w:rPr>
          <w:rFonts w:cs="Arial" w:hint="cs"/>
          <w:rtl/>
        </w:rPr>
        <w:t>,</w:t>
      </w:r>
      <w:r w:rsidRPr="00A806B1">
        <w:rPr>
          <w:rFonts w:cs="Arial"/>
          <w:rtl/>
        </w:rPr>
        <w:t xml:space="preserve"> לאו כל הימינו שיאמר לה כיון שאני יכול להוציאך מכרך שבגליל לעיר שביהודה כל שכן שאני יכול לכופך להוציאך מכרך שבגליל</w:t>
      </w:r>
      <w:r>
        <w:rPr>
          <w:rFonts w:cs="Arial" w:hint="cs"/>
          <w:rtl/>
        </w:rPr>
        <w:t>,</w:t>
      </w:r>
      <w:r w:rsidRPr="00A806B1">
        <w:rPr>
          <w:rFonts w:cs="Arial"/>
          <w:rtl/>
        </w:rPr>
        <w:t xml:space="preserve"> דליתיה</w:t>
      </w:r>
      <w:r>
        <w:rPr>
          <w:rFonts w:cs="Arial" w:hint="cs"/>
          <w:rtl/>
        </w:rPr>
        <w:t>,</w:t>
      </w:r>
      <w:r w:rsidRPr="00A806B1">
        <w:rPr>
          <w:rFonts w:cs="Arial"/>
          <w:rtl/>
        </w:rPr>
        <w:t xml:space="preserve"> אלא למה שנתרצית בלבד</w:t>
      </w:r>
      <w:r>
        <w:rPr>
          <w:rFonts w:cs="Arial" w:hint="cs"/>
          <w:rtl/>
        </w:rPr>
        <w:t>,</w:t>
      </w:r>
      <w:r w:rsidRPr="00A806B1">
        <w:rPr>
          <w:rFonts w:cs="Arial"/>
          <w:rtl/>
        </w:rPr>
        <w:t xml:space="preserve"> נתרצית</w:t>
      </w:r>
      <w:r>
        <w:rPr>
          <w:rFonts w:cs="Arial" w:hint="cs"/>
          <w:rtl/>
        </w:rPr>
        <w:t>.</w:t>
      </w:r>
      <w:r w:rsidRPr="00000F75">
        <w:rPr>
          <w:rFonts w:cs="Arial" w:hint="cs"/>
          <w:color w:val="00B0F0"/>
          <w:rtl/>
        </w:rPr>
        <w:t xml:space="preserve"> </w:t>
      </w:r>
      <w:r w:rsidRPr="00E459DE">
        <w:rPr>
          <w:rFonts w:cs="Arial" w:hint="cs"/>
          <w:color w:val="00B0F0"/>
          <w:rtl/>
        </w:rPr>
        <w:t>(וכ"פ הרמ"א)</w:t>
      </w:r>
    </w:p>
  </w:footnote>
  <w:footnote w:id="1217">
    <w:p w14:paraId="1A2E2E1E" w14:textId="77777777" w:rsidR="00DF1FC7" w:rsidRPr="00AA7730" w:rsidRDefault="00DF1FC7" w:rsidP="002E5BAD">
      <w:pPr>
        <w:pStyle w:val="a5"/>
      </w:pPr>
      <w:r w:rsidRPr="00AA7730">
        <w:rPr>
          <w:rStyle w:val="a7"/>
        </w:rPr>
        <w:footnoteRef/>
      </w:r>
      <w:r w:rsidRPr="00AA7730">
        <w:rPr>
          <w:rtl/>
        </w:rPr>
        <w:t xml:space="preserve"> </w:t>
      </w:r>
      <w:r w:rsidRPr="00AA7730">
        <w:rPr>
          <w:rFonts w:cs="Arial"/>
          <w:rtl/>
        </w:rPr>
        <w:t>ועיין בתשובות המימוני דשייכי לספר נשים (סי' כח) כי שם האריך בדינים אלו. והג</w:t>
      </w:r>
      <w:r>
        <w:rPr>
          <w:rFonts w:cs="Arial" w:hint="cs"/>
          <w:rtl/>
        </w:rPr>
        <w:t>ה"מ</w:t>
      </w:r>
      <w:r w:rsidRPr="00AA7730">
        <w:rPr>
          <w:rFonts w:cs="Arial"/>
          <w:rtl/>
        </w:rPr>
        <w:t xml:space="preserve"> בפי"ג מהל</w:t>
      </w:r>
      <w:r>
        <w:rPr>
          <w:rFonts w:cs="Arial" w:hint="cs"/>
          <w:rtl/>
        </w:rPr>
        <w:t>'</w:t>
      </w:r>
      <w:r w:rsidRPr="00AA7730">
        <w:rPr>
          <w:rFonts w:cs="Arial"/>
          <w:rtl/>
        </w:rPr>
        <w:t xml:space="preserve"> אישות (אות ד) כתבו פירוש זה דמהר"מ.</w:t>
      </w:r>
      <w:r>
        <w:rPr>
          <w:rFonts w:cs="Arial" w:hint="cs"/>
          <w:rtl/>
        </w:rPr>
        <w:t>..</w:t>
      </w:r>
      <w:r w:rsidRPr="001742A8">
        <w:rPr>
          <w:rFonts w:cs="Arial"/>
          <w:rtl/>
        </w:rPr>
        <w:t xml:space="preserve"> </w:t>
      </w:r>
      <w:r>
        <w:rPr>
          <w:rFonts w:cs="Arial" w:hint="cs"/>
          <w:rtl/>
        </w:rPr>
        <w:t>ו</w:t>
      </w:r>
      <w:r w:rsidRPr="00FF3C43">
        <w:rPr>
          <w:rFonts w:cs="Arial"/>
          <w:rtl/>
        </w:rPr>
        <w:t>על מה שכתבתי בסמוך שהתוספתא והירושלמי סותרין זה את זה כתבו הרא"ש (פי"ג סי' יז) והמרדכי (סי' רפ) והגה</w:t>
      </w:r>
      <w:r>
        <w:rPr>
          <w:rFonts w:cs="Arial" w:hint="cs"/>
          <w:rtl/>
        </w:rPr>
        <w:t>"</w:t>
      </w:r>
      <w:r w:rsidRPr="00FF3C43">
        <w:rPr>
          <w:rFonts w:cs="Arial"/>
          <w:rtl/>
        </w:rPr>
        <w:t xml:space="preserve">מ </w:t>
      </w:r>
      <w:r>
        <w:rPr>
          <w:rFonts w:cs="Arial" w:hint="cs"/>
          <w:rtl/>
        </w:rPr>
        <w:t>(</w:t>
      </w:r>
      <w:r w:rsidRPr="00FF3C43">
        <w:rPr>
          <w:rFonts w:cs="Arial"/>
          <w:rtl/>
        </w:rPr>
        <w:t>ספר נשים סי' כח) שר"ת פירש דמתני' דג' ארצות לנשואין מיירי בכפיית האשה</w:t>
      </w:r>
      <w:r>
        <w:rPr>
          <w:rFonts w:cs="Arial" w:hint="cs"/>
          <w:rtl/>
        </w:rPr>
        <w:t>,</w:t>
      </w:r>
      <w:r w:rsidRPr="00FF3C43">
        <w:rPr>
          <w:rFonts w:cs="Arial"/>
          <w:rtl/>
        </w:rPr>
        <w:t xml:space="preserve"> שאם נשאה באחד מארצות האלה והוא מקום מולדתו ודירתו </w:t>
      </w:r>
      <w:r>
        <w:rPr>
          <w:rFonts w:cs="Arial" w:hint="cs"/>
          <w:rtl/>
        </w:rPr>
        <w:t xml:space="preserve">- </w:t>
      </w:r>
      <w:r w:rsidRPr="00FF3C43">
        <w:rPr>
          <w:rFonts w:cs="Arial"/>
          <w:rtl/>
        </w:rPr>
        <w:t>אין כופין אותה לצאת משם</w:t>
      </w:r>
      <w:r>
        <w:rPr>
          <w:rFonts w:cs="Arial" w:hint="cs"/>
          <w:rtl/>
        </w:rPr>
        <w:t>,</w:t>
      </w:r>
      <w:r w:rsidRPr="00FF3C43">
        <w:rPr>
          <w:rFonts w:cs="Arial"/>
          <w:rtl/>
        </w:rPr>
        <w:t xml:space="preserve"> וכל שכן אם נשאה באחת מהארצות האלה במקום מולדתה ודירתה</w:t>
      </w:r>
      <w:r>
        <w:rPr>
          <w:rFonts w:cs="Arial" w:hint="cs"/>
          <w:rtl/>
        </w:rPr>
        <w:t>,</w:t>
      </w:r>
      <w:r w:rsidRPr="00FF3C43">
        <w:rPr>
          <w:rFonts w:cs="Arial"/>
          <w:rtl/>
        </w:rPr>
        <w:t xml:space="preserve"> שיפה כח האשה יותר ואין יכול להוציאה משם</w:t>
      </w:r>
      <w:r>
        <w:rPr>
          <w:rFonts w:cs="Arial" w:hint="cs"/>
          <w:rtl/>
        </w:rPr>
        <w:t>.</w:t>
      </w:r>
      <w:r w:rsidRPr="00FF3C43">
        <w:rPr>
          <w:rFonts w:cs="Arial"/>
          <w:rtl/>
        </w:rPr>
        <w:t xml:space="preserve"> ומפ</w:t>
      </w:r>
      <w:r>
        <w:rPr>
          <w:rFonts w:cs="Arial" w:hint="cs"/>
          <w:rtl/>
        </w:rPr>
        <w:t>רש</w:t>
      </w:r>
      <w:r w:rsidRPr="00FF3C43">
        <w:rPr>
          <w:rFonts w:cs="Arial"/>
          <w:rtl/>
        </w:rPr>
        <w:t xml:space="preserve"> מתני</w:t>
      </w:r>
      <w:r>
        <w:rPr>
          <w:rFonts w:cs="Arial" w:hint="cs"/>
          <w:rtl/>
        </w:rPr>
        <w:t>תין</w:t>
      </w:r>
      <w:r w:rsidRPr="00FF3C43">
        <w:rPr>
          <w:rFonts w:cs="Arial"/>
          <w:rtl/>
        </w:rPr>
        <w:t xml:space="preserve"> ותוספתא הכי</w:t>
      </w:r>
      <w:r>
        <w:rPr>
          <w:rFonts w:cs="Arial" w:hint="cs"/>
          <w:rtl/>
        </w:rPr>
        <w:t>,</w:t>
      </w:r>
      <w:r w:rsidRPr="00FF3C43">
        <w:rPr>
          <w:rFonts w:cs="Arial"/>
          <w:rtl/>
        </w:rPr>
        <w:t xml:space="preserve"> ג' ארצות לנשואין וכו' אם האיש מיהודה והאשה מגליל</w:t>
      </w:r>
      <w:r>
        <w:rPr>
          <w:rFonts w:cs="Arial" w:hint="cs"/>
          <w:rtl/>
        </w:rPr>
        <w:t>,</w:t>
      </w:r>
      <w:r w:rsidRPr="00FF3C43">
        <w:rPr>
          <w:rFonts w:cs="Arial"/>
          <w:rtl/>
        </w:rPr>
        <w:t xml:space="preserve"> ונשאה ביהודה שהוא מקומו </w:t>
      </w:r>
      <w:r>
        <w:rPr>
          <w:rFonts w:cs="Arial" w:hint="cs"/>
          <w:rtl/>
        </w:rPr>
        <w:t xml:space="preserve">- </w:t>
      </w:r>
      <w:r w:rsidRPr="00FF3C43">
        <w:rPr>
          <w:rFonts w:cs="Arial"/>
          <w:rtl/>
        </w:rPr>
        <w:t>אין מוציאין האיש ממקומו לילך אחריה לגליל</w:t>
      </w:r>
      <w:r>
        <w:rPr>
          <w:rFonts w:cs="Arial" w:hint="cs"/>
          <w:rtl/>
        </w:rPr>
        <w:t>,</w:t>
      </w:r>
      <w:r w:rsidRPr="00FF3C43">
        <w:rPr>
          <w:rFonts w:cs="Arial"/>
          <w:rtl/>
        </w:rPr>
        <w:t xml:space="preserve"> כיון דיהודה וגליל הן ב' מקומות ואין שיירות מצויות מזו לזו ואין יכול לחקור ולידע תמיד מנהג אנשי מולדתו אין כופין אותו להניח מקומו</w:t>
      </w:r>
      <w:r>
        <w:rPr>
          <w:rFonts w:cs="Arial" w:hint="cs"/>
          <w:rtl/>
        </w:rPr>
        <w:t>,</w:t>
      </w:r>
      <w:r w:rsidRPr="00FF3C43">
        <w:rPr>
          <w:rFonts w:cs="Arial"/>
          <w:rtl/>
        </w:rPr>
        <w:t xml:space="preserve"> כיון דשם נשאה</w:t>
      </w:r>
      <w:r>
        <w:rPr>
          <w:rFonts w:cs="Arial" w:hint="cs"/>
          <w:rtl/>
        </w:rPr>
        <w:t>.</w:t>
      </w:r>
      <w:r w:rsidRPr="00FF3C43">
        <w:rPr>
          <w:rFonts w:cs="Arial"/>
          <w:rtl/>
        </w:rPr>
        <w:t xml:space="preserve"> אבל נשאה בגליל </w:t>
      </w:r>
      <w:r>
        <w:rPr>
          <w:rFonts w:cs="Arial" w:hint="cs"/>
          <w:rtl/>
        </w:rPr>
        <w:t xml:space="preserve">- </w:t>
      </w:r>
      <w:r w:rsidRPr="00FF3C43">
        <w:rPr>
          <w:rFonts w:cs="Arial"/>
          <w:rtl/>
        </w:rPr>
        <w:t>כופין אותו לצאת</w:t>
      </w:r>
      <w:r>
        <w:rPr>
          <w:rFonts w:cs="Arial" w:hint="cs"/>
          <w:rtl/>
        </w:rPr>
        <w:t>,</w:t>
      </w:r>
      <w:r w:rsidRPr="00FF3C43">
        <w:rPr>
          <w:rFonts w:cs="Arial"/>
          <w:rtl/>
        </w:rPr>
        <w:t xml:space="preserve"> וגרסינן בתוספתא </w:t>
      </w:r>
      <w:r>
        <w:rPr>
          <w:rFonts w:cs="Arial" w:hint="cs"/>
          <w:rtl/>
        </w:rPr>
        <w:t>'</w:t>
      </w:r>
      <w:r w:rsidRPr="00FF3C43">
        <w:rPr>
          <w:rFonts w:cs="Arial"/>
          <w:rtl/>
        </w:rPr>
        <w:t xml:space="preserve">כופין </w:t>
      </w:r>
      <w:r w:rsidRPr="00343C7E">
        <w:rPr>
          <w:rFonts w:cs="Arial"/>
          <w:b/>
          <w:bCs/>
          <w:rtl/>
        </w:rPr>
        <w:t>אותו</w:t>
      </w:r>
      <w:r w:rsidRPr="00FF3C43">
        <w:rPr>
          <w:rFonts w:cs="Arial"/>
          <w:rtl/>
        </w:rPr>
        <w:t xml:space="preserve"> לצאת שעל מנת כן נשאה</w:t>
      </w:r>
      <w:r>
        <w:rPr>
          <w:rFonts w:cs="Arial" w:hint="cs"/>
          <w:rtl/>
        </w:rPr>
        <w:t>'.</w:t>
      </w:r>
      <w:r w:rsidRPr="00FF3C43">
        <w:rPr>
          <w:rFonts w:cs="Arial"/>
          <w:rtl/>
        </w:rPr>
        <w:t xml:space="preserve"> ואם האיש והאשה ממקום אחד ביהודה</w:t>
      </w:r>
      <w:r>
        <w:rPr>
          <w:rFonts w:cs="Arial" w:hint="cs"/>
          <w:rtl/>
        </w:rPr>
        <w:t>,</w:t>
      </w:r>
      <w:r w:rsidRPr="00FF3C43">
        <w:rPr>
          <w:rFonts w:cs="Arial"/>
          <w:rtl/>
        </w:rPr>
        <w:t xml:space="preserve"> אע</w:t>
      </w:r>
      <w:r>
        <w:rPr>
          <w:rFonts w:cs="Arial" w:hint="cs"/>
          <w:rtl/>
        </w:rPr>
        <w:t>"</w:t>
      </w:r>
      <w:r w:rsidRPr="00FF3C43">
        <w:rPr>
          <w:rFonts w:cs="Arial"/>
          <w:rtl/>
        </w:rPr>
        <w:t xml:space="preserve">פ שנשאה בגליל </w:t>
      </w:r>
      <w:r>
        <w:rPr>
          <w:rFonts w:cs="Arial" w:hint="cs"/>
          <w:rtl/>
        </w:rPr>
        <w:t xml:space="preserve">- </w:t>
      </w:r>
      <w:r w:rsidRPr="00FF3C43">
        <w:rPr>
          <w:rFonts w:cs="Arial"/>
          <w:rtl/>
        </w:rPr>
        <w:t>כופין אותו לצאת מגליל</w:t>
      </w:r>
      <w:r>
        <w:rPr>
          <w:rFonts w:cs="Arial" w:hint="cs"/>
          <w:rtl/>
        </w:rPr>
        <w:t>,</w:t>
      </w:r>
      <w:r w:rsidRPr="00FF3C43">
        <w:rPr>
          <w:rFonts w:cs="Arial"/>
          <w:rtl/>
        </w:rPr>
        <w:t xml:space="preserve"> אפילו מעיר לכרך ומכרך לעיר</w:t>
      </w:r>
      <w:r>
        <w:rPr>
          <w:rFonts w:cs="Arial" w:hint="cs"/>
          <w:rtl/>
        </w:rPr>
        <w:t>.</w:t>
      </w:r>
      <w:r w:rsidRPr="00FF3C43">
        <w:rPr>
          <w:rFonts w:cs="Arial"/>
          <w:rtl/>
        </w:rPr>
        <w:t xml:space="preserve"> ואם האשה מכרך והאיש מעיר או להפך</w:t>
      </w:r>
      <w:r>
        <w:rPr>
          <w:rFonts w:cs="Arial" w:hint="cs"/>
          <w:rtl/>
        </w:rPr>
        <w:t>,</w:t>
      </w:r>
      <w:r w:rsidRPr="00FF3C43">
        <w:rPr>
          <w:rFonts w:cs="Arial"/>
          <w:rtl/>
        </w:rPr>
        <w:t xml:space="preserve"> ושניהם ביהודה</w:t>
      </w:r>
      <w:r>
        <w:rPr>
          <w:rFonts w:cs="Arial" w:hint="cs"/>
          <w:rtl/>
        </w:rPr>
        <w:t>,</w:t>
      </w:r>
      <w:r w:rsidRPr="00FF3C43">
        <w:rPr>
          <w:rFonts w:cs="Arial"/>
          <w:rtl/>
        </w:rPr>
        <w:t xml:space="preserve"> ונשאה בעירו </w:t>
      </w:r>
      <w:r>
        <w:rPr>
          <w:rFonts w:cs="Arial" w:hint="cs"/>
          <w:rtl/>
        </w:rPr>
        <w:t xml:space="preserve">- </w:t>
      </w:r>
      <w:r w:rsidRPr="00FF3C43">
        <w:rPr>
          <w:rFonts w:cs="Arial"/>
          <w:rtl/>
        </w:rPr>
        <w:t>אין האשה יכולה לכופו להניח מקומו</w:t>
      </w:r>
      <w:r>
        <w:rPr>
          <w:rFonts w:cs="Arial" w:hint="cs"/>
          <w:rtl/>
        </w:rPr>
        <w:t>,</w:t>
      </w:r>
      <w:r w:rsidRPr="00FF3C43">
        <w:rPr>
          <w:rFonts w:cs="Arial"/>
          <w:rtl/>
        </w:rPr>
        <w:t xml:space="preserve"> כיון דאין שני המקומות שוים והוא נשאה</w:t>
      </w:r>
      <w:r>
        <w:rPr>
          <w:rFonts w:cs="Arial" w:hint="cs"/>
          <w:rtl/>
        </w:rPr>
        <w:t xml:space="preserve"> </w:t>
      </w:r>
      <w:r>
        <w:rPr>
          <w:rFonts w:cs="Arial" w:hint="cs"/>
          <w:sz w:val="16"/>
          <w:szCs w:val="16"/>
          <w:rtl/>
        </w:rPr>
        <w:t>{בעירו}</w:t>
      </w:r>
      <w:r>
        <w:rPr>
          <w:rFonts w:cs="Arial" w:hint="cs"/>
          <w:rtl/>
        </w:rPr>
        <w:t>.</w:t>
      </w:r>
      <w:r w:rsidRPr="00FF3C43">
        <w:rPr>
          <w:rFonts w:cs="Arial"/>
          <w:rtl/>
        </w:rPr>
        <w:t xml:space="preserve"> וכל שכן אם נשאה בעירה שאין האיש יכול לכופה להניח מקומה</w:t>
      </w:r>
      <w:r>
        <w:rPr>
          <w:rFonts w:cs="Arial" w:hint="cs"/>
          <w:rtl/>
        </w:rPr>
        <w:t>,</w:t>
      </w:r>
      <w:r w:rsidRPr="00FF3C43">
        <w:rPr>
          <w:rFonts w:cs="Arial"/>
          <w:rtl/>
        </w:rPr>
        <w:t xml:space="preserve"> כיון שאין שני המקומות שוים והוא נשאה</w:t>
      </w:r>
      <w:r>
        <w:rPr>
          <w:rFonts w:cs="Arial" w:hint="cs"/>
          <w:rtl/>
        </w:rPr>
        <w:t xml:space="preserve"> </w:t>
      </w:r>
      <w:r>
        <w:rPr>
          <w:rFonts w:cs="Arial" w:hint="cs"/>
          <w:sz w:val="16"/>
          <w:szCs w:val="16"/>
          <w:rtl/>
        </w:rPr>
        <w:t>{בעירה}</w:t>
      </w:r>
      <w:r>
        <w:rPr>
          <w:rFonts w:cs="Arial" w:hint="cs"/>
          <w:rtl/>
        </w:rPr>
        <w:t>.</w:t>
      </w:r>
      <w:r w:rsidRPr="00FF3C43">
        <w:rPr>
          <w:rFonts w:cs="Arial"/>
          <w:rtl/>
        </w:rPr>
        <w:t xml:space="preserve"> וכ"ש אם נשאה בעירה שאין האיש יכול לכופה להניח מקומה כיון שאין שני המקומות שוים ונשאה בעירו</w:t>
      </w:r>
      <w:r>
        <w:rPr>
          <w:rFonts w:cs="Arial" w:hint="cs"/>
          <w:sz w:val="16"/>
          <w:szCs w:val="16"/>
          <w:rtl/>
        </w:rPr>
        <w:t xml:space="preserve"> </w:t>
      </w:r>
      <w:r w:rsidRPr="00CE5A05">
        <w:rPr>
          <w:rFonts w:cs="Arial" w:hint="cs"/>
          <w:color w:val="FF0000"/>
          <w:sz w:val="16"/>
          <w:szCs w:val="16"/>
          <w:rtl/>
        </w:rPr>
        <w:t>{???}</w:t>
      </w:r>
      <w:r>
        <w:rPr>
          <w:rFonts w:cs="Arial" w:hint="cs"/>
          <w:rtl/>
        </w:rPr>
        <w:t>.</w:t>
      </w:r>
      <w:r w:rsidRPr="00FF3C43">
        <w:rPr>
          <w:rFonts w:cs="Arial"/>
          <w:rtl/>
        </w:rPr>
        <w:t xml:space="preserve"> אבל אם מקומותיהם שוים</w:t>
      </w:r>
      <w:r>
        <w:rPr>
          <w:rFonts w:cs="Arial" w:hint="cs"/>
          <w:rtl/>
        </w:rPr>
        <w:t>,</w:t>
      </w:r>
      <w:r w:rsidRPr="00FF3C43">
        <w:rPr>
          <w:rFonts w:cs="Arial"/>
          <w:rtl/>
        </w:rPr>
        <w:t xml:space="preserve"> שניהם כרכים או שניהם עיירות </w:t>
      </w:r>
      <w:r>
        <w:rPr>
          <w:rFonts w:cs="Arial" w:hint="cs"/>
          <w:rtl/>
        </w:rPr>
        <w:t xml:space="preserve">- </w:t>
      </w:r>
      <w:r w:rsidRPr="00FF3C43">
        <w:rPr>
          <w:rFonts w:cs="Arial"/>
          <w:rtl/>
        </w:rPr>
        <w:t>כופין את האיש לעזוב מקומו</w:t>
      </w:r>
      <w:r>
        <w:rPr>
          <w:rFonts w:cs="Arial" w:hint="cs"/>
          <w:rtl/>
        </w:rPr>
        <w:t>,</w:t>
      </w:r>
      <w:r w:rsidRPr="00FF3C43">
        <w:rPr>
          <w:rFonts w:cs="Arial"/>
          <w:rtl/>
        </w:rPr>
        <w:t xml:space="preserve"> ואע</w:t>
      </w:r>
      <w:r>
        <w:rPr>
          <w:rFonts w:cs="Arial" w:hint="cs"/>
          <w:rtl/>
        </w:rPr>
        <w:t>"</w:t>
      </w:r>
      <w:r w:rsidRPr="00FF3C43">
        <w:rPr>
          <w:rFonts w:cs="Arial"/>
          <w:rtl/>
        </w:rPr>
        <w:t>פ שבמקומו נשאה</w:t>
      </w:r>
      <w:r>
        <w:rPr>
          <w:rFonts w:cs="Arial" w:hint="cs"/>
          <w:rtl/>
        </w:rPr>
        <w:t>,</w:t>
      </w:r>
      <w:r w:rsidRPr="00FF3C43">
        <w:rPr>
          <w:rFonts w:cs="Arial"/>
          <w:rtl/>
        </w:rPr>
        <w:t xml:space="preserve"> דעולה עמו ואינה יורדת</w:t>
      </w:r>
      <w:r>
        <w:rPr>
          <w:rFonts w:cs="Arial" w:hint="cs"/>
          <w:rtl/>
        </w:rPr>
        <w:t>,</w:t>
      </w:r>
      <w:r w:rsidRPr="00FF3C43">
        <w:rPr>
          <w:rFonts w:cs="Arial"/>
          <w:rtl/>
        </w:rPr>
        <w:t xml:space="preserve"> ודרכו לחזר אחר אבידתו</w:t>
      </w:r>
      <w:r>
        <w:rPr>
          <w:rFonts w:cs="Arial" w:hint="cs"/>
          <w:rtl/>
        </w:rPr>
        <w:t>,</w:t>
      </w:r>
      <w:r w:rsidRPr="00FF3C43">
        <w:rPr>
          <w:rFonts w:cs="Arial"/>
          <w:rtl/>
        </w:rPr>
        <w:t xml:space="preserve"> ועוד יכול לילך לראות אוהביו כשירצה מש</w:t>
      </w:r>
      <w:r>
        <w:rPr>
          <w:rFonts w:cs="Arial" w:hint="cs"/>
          <w:rtl/>
        </w:rPr>
        <w:t>א</w:t>
      </w:r>
      <w:r w:rsidRPr="00FF3C43">
        <w:rPr>
          <w:rFonts w:cs="Arial"/>
          <w:rtl/>
        </w:rPr>
        <w:t>"כ באשה</w:t>
      </w:r>
      <w:r>
        <w:rPr>
          <w:rFonts w:cs="Arial" w:hint="cs"/>
          <w:rtl/>
        </w:rPr>
        <w:t>.</w:t>
      </w:r>
      <w:r w:rsidRPr="00FF3C43">
        <w:rPr>
          <w:rFonts w:cs="Arial"/>
          <w:rtl/>
        </w:rPr>
        <w:t xml:space="preserve"> וההיא דירושלמי מפרש ר"ת מתניתין כשהי' מיהודה ונשא אשה מגליל</w:t>
      </w:r>
      <w:r>
        <w:rPr>
          <w:rFonts w:cs="Arial" w:hint="cs"/>
          <w:rtl/>
        </w:rPr>
        <w:t>,</w:t>
      </w:r>
      <w:r w:rsidRPr="00FF3C43">
        <w:rPr>
          <w:rFonts w:cs="Arial"/>
          <w:rtl/>
        </w:rPr>
        <w:t xml:space="preserve"> מגליל ונשא אשה מיהודה</w:t>
      </w:r>
      <w:r>
        <w:rPr>
          <w:rFonts w:cs="Arial" w:hint="cs"/>
          <w:rtl/>
        </w:rPr>
        <w:t>,</w:t>
      </w:r>
      <w:r w:rsidRPr="00FF3C43">
        <w:rPr>
          <w:rFonts w:cs="Arial"/>
          <w:rtl/>
        </w:rPr>
        <w:t xml:space="preserve"> פירוש שהיה מיהודה ונשא אשה מגליל ביהודה </w:t>
      </w:r>
      <w:r>
        <w:rPr>
          <w:rFonts w:cs="Arial" w:hint="cs"/>
          <w:rtl/>
        </w:rPr>
        <w:t xml:space="preserve">- </w:t>
      </w:r>
      <w:r w:rsidRPr="00FF3C43">
        <w:rPr>
          <w:rFonts w:cs="Arial"/>
          <w:rtl/>
        </w:rPr>
        <w:t>אין כופין אותו לילך אחריה לגליל</w:t>
      </w:r>
      <w:r>
        <w:rPr>
          <w:rFonts w:cs="Arial" w:hint="cs"/>
          <w:rtl/>
        </w:rPr>
        <w:t>,</w:t>
      </w:r>
      <w:r w:rsidRPr="00FF3C43">
        <w:rPr>
          <w:rFonts w:cs="Arial"/>
          <w:rtl/>
        </w:rPr>
        <w:t xml:space="preserve"> או מגליל ונשא אשה מיהודה בגליל </w:t>
      </w:r>
      <w:r>
        <w:rPr>
          <w:rFonts w:cs="Arial" w:hint="cs"/>
          <w:rtl/>
        </w:rPr>
        <w:t xml:space="preserve">- </w:t>
      </w:r>
      <w:r w:rsidRPr="00FF3C43">
        <w:rPr>
          <w:rFonts w:cs="Arial"/>
          <w:rtl/>
        </w:rPr>
        <w:t>אין כופין אותו לילך אחריה ליהודה</w:t>
      </w:r>
      <w:r>
        <w:rPr>
          <w:rFonts w:cs="Arial" w:hint="cs"/>
          <w:rtl/>
        </w:rPr>
        <w:t>.</w:t>
      </w:r>
      <w:r w:rsidRPr="00FF3C43">
        <w:rPr>
          <w:rFonts w:cs="Arial"/>
          <w:rtl/>
        </w:rPr>
        <w:t xml:space="preserve"> אבל הוא מיהודה ונשא אשה מיהודה</w:t>
      </w:r>
      <w:r>
        <w:rPr>
          <w:rFonts w:cs="Arial" w:hint="cs"/>
          <w:rtl/>
        </w:rPr>
        <w:t>,</w:t>
      </w:r>
      <w:r w:rsidRPr="00FF3C43">
        <w:rPr>
          <w:rFonts w:cs="Arial"/>
          <w:rtl/>
        </w:rPr>
        <w:t xml:space="preserve"> מגליל ונשא אשה מגליל</w:t>
      </w:r>
      <w:r>
        <w:rPr>
          <w:rFonts w:cs="Arial" w:hint="cs"/>
          <w:rtl/>
        </w:rPr>
        <w:t>,</w:t>
      </w:r>
      <w:r w:rsidRPr="00FF3C43">
        <w:rPr>
          <w:rFonts w:cs="Arial"/>
          <w:rtl/>
        </w:rPr>
        <w:t xml:space="preserve"> אני פלוני שמיהודה נשאתי אשה מיהודה פי' מיהודה מעיר לעיר או מכרך לכרך כדמפרש לעיל מגליל </w:t>
      </w:r>
      <w:r>
        <w:rPr>
          <w:rFonts w:cs="Arial" w:hint="cs"/>
          <w:rtl/>
        </w:rPr>
        <w:t xml:space="preserve">- </w:t>
      </w:r>
      <w:r w:rsidRPr="00FF3C43">
        <w:rPr>
          <w:rFonts w:cs="Arial"/>
          <w:rtl/>
        </w:rPr>
        <w:t>אין כופין אותו לצאת אחריה</w:t>
      </w:r>
      <w:r>
        <w:rPr>
          <w:rFonts w:cs="Arial" w:hint="cs"/>
          <w:rtl/>
        </w:rPr>
        <w:t>.</w:t>
      </w:r>
      <w:r w:rsidRPr="00FF3C43">
        <w:rPr>
          <w:rFonts w:cs="Arial"/>
          <w:rtl/>
        </w:rPr>
        <w:t xml:space="preserve"> כך פר"ת דבכפיית האיש איירי עכ"ל. וכתב הרא"ש שהר"מ הקשה עליו דמשמע בירושלמי דיפה כח הבעל מכח האשה</w:t>
      </w:r>
      <w:r>
        <w:rPr>
          <w:rFonts w:cs="Arial" w:hint="cs"/>
          <w:rtl/>
        </w:rPr>
        <w:t>.</w:t>
      </w:r>
      <w:r w:rsidRPr="00FF3C43">
        <w:rPr>
          <w:rFonts w:cs="Arial"/>
          <w:rtl/>
        </w:rPr>
        <w:t xml:space="preserve"> ופירש הוא דאיירי בכפיית האשה</w:t>
      </w:r>
      <w:r>
        <w:rPr>
          <w:rFonts w:cs="Arial" w:hint="cs"/>
          <w:rtl/>
        </w:rPr>
        <w:t>,</w:t>
      </w:r>
      <w:r w:rsidRPr="00FF3C43">
        <w:rPr>
          <w:rFonts w:cs="Arial"/>
          <w:rtl/>
        </w:rPr>
        <w:t xml:space="preserve"> ויישב התוספתא והירושלמי כמו שכתבתי לעיל בסמוך בשם הר"מ. ויש לתמוה על רבינו שכתב לעיל דברי הר"מ וכאן כתב דברי ר"ת כאילו אינו חולק על דברי מהר"מ</w:t>
      </w:r>
      <w:r>
        <w:rPr>
          <w:rFonts w:cs="Arial" w:hint="cs"/>
          <w:rtl/>
        </w:rPr>
        <w:t>,</w:t>
      </w:r>
      <w:r w:rsidRPr="00FF3C43">
        <w:rPr>
          <w:rFonts w:cs="Arial"/>
          <w:rtl/>
        </w:rPr>
        <w:t xml:space="preserve"> ומאחר שהם חלוקים זה על זה אצל דברי מהר"מ הל"ל</w:t>
      </w:r>
      <w:r>
        <w:rPr>
          <w:rFonts w:cs="Arial" w:hint="cs"/>
          <w:rtl/>
        </w:rPr>
        <w:t>-</w:t>
      </w:r>
      <w:r w:rsidRPr="00FF3C43">
        <w:rPr>
          <w:rFonts w:cs="Arial"/>
          <w:rtl/>
        </w:rPr>
        <w:t xml:space="preserve"> ור"ת כתב מי שהוא ביהודה והביא אשה מגליל ליהודה וכו'</w:t>
      </w:r>
      <w:r w:rsidRPr="00AA7730">
        <w:rPr>
          <w:rFonts w:cs="Arial" w:hint="cs"/>
          <w:rtl/>
        </w:rPr>
        <w:t>, ב"י.</w:t>
      </w:r>
    </w:p>
  </w:footnote>
  <w:footnote w:id="1218">
    <w:p w14:paraId="78ABEFF0" w14:textId="77777777" w:rsidR="00DF1FC7" w:rsidRDefault="00DF1FC7" w:rsidP="002E5BAD">
      <w:pPr>
        <w:pStyle w:val="a5"/>
      </w:pPr>
      <w:r>
        <w:rPr>
          <w:rStyle w:val="a7"/>
        </w:rPr>
        <w:footnoteRef/>
      </w:r>
      <w:r>
        <w:rPr>
          <w:rtl/>
        </w:rPr>
        <w:t xml:space="preserve"> </w:t>
      </w:r>
      <w:r>
        <w:rPr>
          <w:rFonts w:hint="cs"/>
          <w:rtl/>
        </w:rPr>
        <w:t xml:space="preserve">אפילו </w:t>
      </w:r>
      <w:r w:rsidRPr="00496BC7">
        <w:rPr>
          <w:rFonts w:cs="Arial"/>
          <w:rtl/>
        </w:rPr>
        <w:t>לארצה</w:t>
      </w:r>
      <w:r>
        <w:rPr>
          <w:rFonts w:cs="Arial" w:hint="cs"/>
          <w:rtl/>
        </w:rPr>
        <w:t>, מהר"ם</w:t>
      </w:r>
      <w:r>
        <w:rPr>
          <w:rFonts w:hint="cs"/>
          <w:rtl/>
        </w:rPr>
        <w:t xml:space="preserve"> (כ"כ הרא"ש המרדכי והטור בשמו) ע"פ הב"י. </w:t>
      </w:r>
    </w:p>
  </w:footnote>
  <w:footnote w:id="1219">
    <w:p w14:paraId="7720CF7B" w14:textId="77777777" w:rsidR="00DF1FC7" w:rsidRDefault="00DF1FC7" w:rsidP="002E5BAD">
      <w:pPr>
        <w:pStyle w:val="a5"/>
        <w:rPr>
          <w:rtl/>
        </w:rPr>
      </w:pPr>
      <w:r>
        <w:rPr>
          <w:rStyle w:val="a7"/>
        </w:rPr>
        <w:footnoteRef/>
      </w:r>
      <w:r>
        <w:rPr>
          <w:rtl/>
        </w:rPr>
        <w:t xml:space="preserve"> </w:t>
      </w:r>
      <w:r w:rsidRPr="00242605">
        <w:rPr>
          <w:rFonts w:cs="Arial"/>
          <w:rtl/>
        </w:rPr>
        <w:t>ואין דבריו נראין כי איך לא נחוש מאחר שחשש מוהר"ם לדבריו</w:t>
      </w:r>
      <w:r>
        <w:rPr>
          <w:rFonts w:cs="Arial" w:hint="cs"/>
          <w:rtl/>
        </w:rPr>
        <w:t>, דרכ"מ (אות ז).</w:t>
      </w:r>
    </w:p>
  </w:footnote>
  <w:footnote w:id="1220">
    <w:p w14:paraId="40C4A748" w14:textId="77777777" w:rsidR="00DF1FC7" w:rsidRDefault="00DF1FC7" w:rsidP="002E5BAD">
      <w:pPr>
        <w:pStyle w:val="a5"/>
        <w:rPr>
          <w:rtl/>
        </w:rPr>
      </w:pPr>
      <w:r>
        <w:rPr>
          <w:rStyle w:val="a7"/>
        </w:rPr>
        <w:footnoteRef/>
      </w:r>
      <w:r>
        <w:rPr>
          <w:rtl/>
        </w:rPr>
        <w:t xml:space="preserve"> </w:t>
      </w:r>
      <w:r w:rsidRPr="00D57ECA">
        <w:rPr>
          <w:rFonts w:cs="Arial"/>
          <w:rtl/>
        </w:rPr>
        <w:t>ופירש רש"י שהנוה היפה בודק את הגוף למי שבא מנוה הרע ומתוך כך חלאים באים עליו והכי משמע בגמרא דקאמר מאי בודק כשמואל דאמר שינוי וסת תחלת חולי בני מעים אבל הרמב"ם בפרק י"ג מהלכות אישות כתב אינו יכול להוציאה מנוה היפה לנוה הרע ולא מרע ליפה מפני שהיא צריכה להטפל ולבדוק עצמה בנוה היפה כדי שלא תהיה בו קלה וכעורה וכתב הר"ן (סה סוע"א) ולפי זה הא דמייתי בגמרא כדשמואל אינו אלא לדמיון בלבד שפעמים יצא נזק מתוך שינוי לטובה</w:t>
      </w:r>
      <w:r w:rsidRPr="00D57ECA">
        <w:rPr>
          <w:rFonts w:cs="Arial" w:hint="cs"/>
          <w:rtl/>
        </w:rPr>
        <w:t>, ב"י</w:t>
      </w:r>
      <w:r>
        <w:rPr>
          <w:rFonts w:hint="cs"/>
          <w:rtl/>
        </w:rPr>
        <w:t>.</w:t>
      </w:r>
    </w:p>
  </w:footnote>
  <w:footnote w:id="1221">
    <w:p w14:paraId="535249E6" w14:textId="77777777" w:rsidR="00DF1FC7" w:rsidRDefault="00DF1FC7" w:rsidP="002E5BAD">
      <w:pPr>
        <w:pStyle w:val="a5"/>
      </w:pPr>
      <w:r>
        <w:rPr>
          <w:rStyle w:val="a7"/>
        </w:rPr>
        <w:footnoteRef/>
      </w:r>
      <w:r>
        <w:rPr>
          <w:rtl/>
        </w:rPr>
        <w:t xml:space="preserve"> </w:t>
      </w:r>
      <w:r w:rsidRPr="00242605">
        <w:rPr>
          <w:rFonts w:cs="Arial"/>
          <w:rtl/>
        </w:rPr>
        <w:t>ובהגה</w:t>
      </w:r>
      <w:r>
        <w:rPr>
          <w:rFonts w:cs="Arial" w:hint="cs"/>
          <w:rtl/>
        </w:rPr>
        <w:t>"</w:t>
      </w:r>
      <w:r w:rsidRPr="00242605">
        <w:rPr>
          <w:rFonts w:cs="Arial"/>
          <w:rtl/>
        </w:rPr>
        <w:t xml:space="preserve">מ </w:t>
      </w:r>
      <w:r>
        <w:rPr>
          <w:rFonts w:cs="Arial" w:hint="cs"/>
          <w:rtl/>
        </w:rPr>
        <w:t>(</w:t>
      </w:r>
      <w:r w:rsidRPr="00242605">
        <w:rPr>
          <w:rFonts w:cs="Arial"/>
          <w:rtl/>
        </w:rPr>
        <w:t xml:space="preserve">פי"ג דאישות אות ה) </w:t>
      </w:r>
      <w:r>
        <w:rPr>
          <w:rFonts w:cs="Arial" w:hint="cs"/>
          <w:rtl/>
        </w:rPr>
        <w:t xml:space="preserve">כתב- </w:t>
      </w:r>
      <w:r w:rsidRPr="00242605">
        <w:rPr>
          <w:rFonts w:cs="Arial"/>
          <w:rtl/>
        </w:rPr>
        <w:t>ר"ת היה אומר פעמים שאין מוציאין אפילו מעיר לעיר או מכרך לכרך כגון שבזה העיר אין המושל כל כך צורר כמו באותה שרוצה לילך שם עכ"ל, ועיין שם</w:t>
      </w:r>
      <w:r>
        <w:rPr>
          <w:rFonts w:cs="Arial" w:hint="cs"/>
          <w:rtl/>
        </w:rPr>
        <w:t>, דרכ"מ (אות ב).</w:t>
      </w:r>
      <w:r>
        <w:rPr>
          <w:rFonts w:hint="cs"/>
          <w:rtl/>
        </w:rPr>
        <w:t xml:space="preserve"> </w:t>
      </w:r>
      <w:r w:rsidRPr="000F4F98">
        <w:rPr>
          <w:rFonts w:hint="cs"/>
          <w:color w:val="00B0F0"/>
          <w:rtl/>
        </w:rPr>
        <w:t xml:space="preserve">(וכ"פ </w:t>
      </w:r>
      <w:r>
        <w:rPr>
          <w:rFonts w:hint="cs"/>
          <w:color w:val="00B0F0"/>
          <w:rtl/>
        </w:rPr>
        <w:t>בהגה</w:t>
      </w:r>
      <w:r w:rsidRPr="000F4F98">
        <w:rPr>
          <w:rFonts w:hint="cs"/>
          <w:color w:val="00B0F0"/>
          <w:sz w:val="16"/>
          <w:szCs w:val="16"/>
          <w:rtl/>
        </w:rPr>
        <w:t xml:space="preserve"> </w:t>
      </w:r>
      <w:r w:rsidRPr="000F4F98">
        <w:rPr>
          <w:rFonts w:hint="cs"/>
          <w:sz w:val="16"/>
          <w:szCs w:val="16"/>
          <w:rtl/>
        </w:rPr>
        <w:t>[בסע' ב]</w:t>
      </w:r>
      <w:r w:rsidRPr="000F4F98">
        <w:rPr>
          <w:rFonts w:hint="cs"/>
          <w:color w:val="00B0F0"/>
          <w:rtl/>
        </w:rPr>
        <w:t>)</w:t>
      </w:r>
    </w:p>
  </w:footnote>
  <w:footnote w:id="1222">
    <w:p w14:paraId="16E9E71B" w14:textId="77777777" w:rsidR="00DF1FC7" w:rsidRDefault="00DF1FC7" w:rsidP="002E5BAD">
      <w:pPr>
        <w:pStyle w:val="a5"/>
      </w:pPr>
      <w:r>
        <w:rPr>
          <w:rStyle w:val="a7"/>
        </w:rPr>
        <w:footnoteRef/>
      </w:r>
      <w:r>
        <w:rPr>
          <w:rtl/>
        </w:rPr>
        <w:t xml:space="preserve"> </w:t>
      </w:r>
      <w:r>
        <w:rPr>
          <w:rFonts w:cs="Arial" w:hint="cs"/>
          <w:rtl/>
        </w:rPr>
        <w:t>וכ"כ מהר"ם (הביאו ה</w:t>
      </w:r>
      <w:r w:rsidRPr="002B70E1">
        <w:rPr>
          <w:rFonts w:cs="Arial"/>
          <w:rtl/>
        </w:rPr>
        <w:t xml:space="preserve">מרדכי </w:t>
      </w:r>
      <w:r>
        <w:rPr>
          <w:rFonts w:cs="Arial" w:hint="cs"/>
          <w:rtl/>
        </w:rPr>
        <w:t>ב</w:t>
      </w:r>
      <w:r w:rsidRPr="002B70E1">
        <w:rPr>
          <w:rFonts w:cs="Arial"/>
          <w:rtl/>
        </w:rPr>
        <w:t>סי' רפ)</w:t>
      </w:r>
      <w:r>
        <w:rPr>
          <w:rFonts w:cs="Arial" w:hint="cs"/>
          <w:rtl/>
        </w:rPr>
        <w:t xml:space="preserve">, והוסיף </w:t>
      </w:r>
      <w:r w:rsidRPr="002B70E1">
        <w:rPr>
          <w:rFonts w:cs="Arial"/>
          <w:rtl/>
        </w:rPr>
        <w:t>דנדוניא ונכסי מלוג ודאי אית לה אי איתנהו</w:t>
      </w:r>
      <w:r>
        <w:rPr>
          <w:rFonts w:cs="Arial" w:hint="cs"/>
          <w:rtl/>
        </w:rPr>
        <w:t>,</w:t>
      </w:r>
      <w:r w:rsidRPr="002B70E1">
        <w:rPr>
          <w:rFonts w:cs="Arial"/>
          <w:rtl/>
        </w:rPr>
        <w:t xml:space="preserve"> דלא גרעה מממאנת ואיילונית</w:t>
      </w:r>
      <w:r>
        <w:rPr>
          <w:rFonts w:cs="Arial" w:hint="cs"/>
          <w:rtl/>
        </w:rPr>
        <w:t>.</w:t>
      </w:r>
      <w:r w:rsidRPr="00242605">
        <w:rPr>
          <w:rFonts w:cs="Arial"/>
          <w:rtl/>
        </w:rPr>
        <w:t xml:space="preserve"> </w:t>
      </w:r>
    </w:p>
  </w:footnote>
  <w:footnote w:id="1223">
    <w:p w14:paraId="2653B587" w14:textId="77777777" w:rsidR="00DF1FC7" w:rsidRDefault="00DF1FC7" w:rsidP="002E5BAD">
      <w:pPr>
        <w:pStyle w:val="a5"/>
      </w:pPr>
      <w:r>
        <w:rPr>
          <w:rStyle w:val="a7"/>
        </w:rPr>
        <w:footnoteRef/>
      </w:r>
      <w:r>
        <w:rPr>
          <w:rtl/>
        </w:rPr>
        <w:t xml:space="preserve"> </w:t>
      </w:r>
      <w:r w:rsidRPr="00242605">
        <w:rPr>
          <w:rFonts w:cs="Arial"/>
          <w:rtl/>
        </w:rPr>
        <w:t>ואע</w:t>
      </w:r>
      <w:r>
        <w:rPr>
          <w:rFonts w:cs="Arial" w:hint="cs"/>
          <w:rtl/>
        </w:rPr>
        <w:t>"</w:t>
      </w:r>
      <w:r w:rsidRPr="00242605">
        <w:rPr>
          <w:rFonts w:cs="Arial"/>
          <w:rtl/>
        </w:rPr>
        <w:t xml:space="preserve">פ שכתב שהוא דבר פשוט </w:t>
      </w:r>
      <w:r>
        <w:rPr>
          <w:rFonts w:cs="Arial" w:hint="cs"/>
          <w:rtl/>
        </w:rPr>
        <w:t xml:space="preserve">- </w:t>
      </w:r>
      <w:r w:rsidRPr="00242605">
        <w:rPr>
          <w:rFonts w:cs="Arial"/>
          <w:rtl/>
        </w:rPr>
        <w:t>אין דבריו נראים בעיני</w:t>
      </w:r>
      <w:r>
        <w:rPr>
          <w:rFonts w:cs="Arial" w:hint="cs"/>
          <w:rtl/>
        </w:rPr>
        <w:t>, ב"י.</w:t>
      </w:r>
    </w:p>
  </w:footnote>
  <w:footnote w:id="1224">
    <w:p w14:paraId="7467B0CA" w14:textId="77777777" w:rsidR="00DF1FC7" w:rsidRDefault="00DF1FC7" w:rsidP="002E5BAD">
      <w:pPr>
        <w:pStyle w:val="a5"/>
        <w:rPr>
          <w:rtl/>
        </w:rPr>
      </w:pPr>
      <w:r>
        <w:rPr>
          <w:rStyle w:val="a7"/>
        </w:rPr>
        <w:footnoteRef/>
      </w:r>
      <w:r>
        <w:rPr>
          <w:rtl/>
        </w:rPr>
        <w:t xml:space="preserve"> </w:t>
      </w:r>
      <w:r>
        <w:rPr>
          <w:rFonts w:cs="Arial" w:hint="cs"/>
          <w:rtl/>
        </w:rPr>
        <w:t xml:space="preserve">וכתב הדרכ"מ </w:t>
      </w:r>
      <w:r w:rsidRPr="00242605">
        <w:rPr>
          <w:rFonts w:cs="Arial"/>
          <w:rtl/>
        </w:rPr>
        <w:t>(</w:t>
      </w:r>
      <w:r>
        <w:rPr>
          <w:rFonts w:cs="Arial" w:hint="cs"/>
          <w:rtl/>
        </w:rPr>
        <w:t xml:space="preserve">אות </w:t>
      </w:r>
      <w:r w:rsidRPr="00242605">
        <w:rPr>
          <w:rFonts w:cs="Arial"/>
          <w:rtl/>
        </w:rPr>
        <w:t xml:space="preserve">ה) </w:t>
      </w:r>
      <w:r>
        <w:rPr>
          <w:rFonts w:cs="Arial" w:hint="cs"/>
          <w:rtl/>
        </w:rPr>
        <w:t>ד</w:t>
      </w:r>
      <w:r w:rsidRPr="00242605">
        <w:rPr>
          <w:rFonts w:cs="Arial"/>
          <w:rtl/>
        </w:rPr>
        <w:t xml:space="preserve">מתשובת ריב"ש </w:t>
      </w:r>
      <w:r>
        <w:rPr>
          <w:rFonts w:cs="Arial" w:hint="cs"/>
          <w:rtl/>
        </w:rPr>
        <w:t xml:space="preserve">הזו </w:t>
      </w:r>
      <w:r w:rsidRPr="00242605">
        <w:rPr>
          <w:rFonts w:cs="Arial"/>
          <w:rtl/>
        </w:rPr>
        <w:t>משמע כדברי בית יוסף</w:t>
      </w:r>
      <w:r>
        <w:rPr>
          <w:rFonts w:cs="Arial" w:hint="cs"/>
          <w:rtl/>
        </w:rPr>
        <w:t>.</w:t>
      </w:r>
    </w:p>
  </w:footnote>
  <w:footnote w:id="1225">
    <w:p w14:paraId="48F630CA" w14:textId="77777777" w:rsidR="00DF1FC7" w:rsidRDefault="00DF1FC7" w:rsidP="002E5BAD">
      <w:pPr>
        <w:pStyle w:val="a5"/>
        <w:rPr>
          <w:rtl/>
        </w:rPr>
      </w:pPr>
      <w:r>
        <w:rPr>
          <w:rStyle w:val="a7"/>
        </w:rPr>
        <w:footnoteRef/>
      </w:r>
      <w:r>
        <w:rPr>
          <w:rtl/>
        </w:rPr>
        <w:t xml:space="preserve"> </w:t>
      </w:r>
      <w:r w:rsidRPr="00242605">
        <w:rPr>
          <w:rFonts w:cs="Arial"/>
          <w:rtl/>
        </w:rPr>
        <w:t>ובתשובת מיימוני</w:t>
      </w:r>
      <w:r w:rsidRPr="000F4F98">
        <w:rPr>
          <w:rFonts w:cs="Arial"/>
          <w:sz w:val="16"/>
          <w:szCs w:val="16"/>
          <w:rtl/>
        </w:rPr>
        <w:t xml:space="preserve"> </w:t>
      </w:r>
      <w:r w:rsidRPr="000F4F98">
        <w:rPr>
          <w:rFonts w:cs="Arial" w:hint="cs"/>
          <w:sz w:val="16"/>
          <w:szCs w:val="16"/>
          <w:rtl/>
        </w:rPr>
        <w:t>(</w:t>
      </w:r>
      <w:r w:rsidRPr="000F4F98">
        <w:rPr>
          <w:rFonts w:cs="Arial"/>
          <w:sz w:val="16"/>
          <w:szCs w:val="16"/>
          <w:rtl/>
        </w:rPr>
        <w:t>סוף ספר נשים סי</w:t>
      </w:r>
      <w:r w:rsidRPr="000F4F98">
        <w:rPr>
          <w:rFonts w:cs="Arial" w:hint="cs"/>
          <w:sz w:val="16"/>
          <w:szCs w:val="16"/>
          <w:rtl/>
        </w:rPr>
        <w:t>'</w:t>
      </w:r>
      <w:r w:rsidRPr="000F4F98">
        <w:rPr>
          <w:rFonts w:cs="Arial"/>
          <w:sz w:val="16"/>
          <w:szCs w:val="16"/>
          <w:rtl/>
        </w:rPr>
        <w:t xml:space="preserve"> כח</w:t>
      </w:r>
      <w:r w:rsidRPr="000F4F98">
        <w:rPr>
          <w:rFonts w:cs="Arial" w:hint="cs"/>
          <w:sz w:val="16"/>
          <w:szCs w:val="16"/>
          <w:rtl/>
        </w:rPr>
        <w:t>)</w:t>
      </w:r>
      <w:r w:rsidRPr="000F4F98">
        <w:rPr>
          <w:rFonts w:cs="Arial"/>
          <w:sz w:val="16"/>
          <w:szCs w:val="16"/>
          <w:rtl/>
        </w:rPr>
        <w:t xml:space="preserve"> </w:t>
      </w:r>
      <w:r w:rsidRPr="00242605">
        <w:rPr>
          <w:rFonts w:cs="Arial"/>
          <w:rtl/>
        </w:rPr>
        <w:t>האריך מוהר"ם באחד שאירס אשה ע</w:t>
      </w:r>
      <w:r>
        <w:rPr>
          <w:rFonts w:cs="Arial" w:hint="cs"/>
          <w:rtl/>
        </w:rPr>
        <w:t>"</w:t>
      </w:r>
      <w:r w:rsidRPr="00242605">
        <w:rPr>
          <w:rFonts w:cs="Arial"/>
          <w:rtl/>
        </w:rPr>
        <w:t>י שליח במקום אחר ונתן אמתלאות למה לא רצה לכנוס במקום הארוסה</w:t>
      </w:r>
      <w:r>
        <w:rPr>
          <w:rFonts w:cs="Arial" w:hint="cs"/>
          <w:rtl/>
        </w:rPr>
        <w:t>.</w:t>
      </w:r>
      <w:r w:rsidRPr="00242605">
        <w:rPr>
          <w:rFonts w:cs="Arial"/>
          <w:rtl/>
        </w:rPr>
        <w:t xml:space="preserve"> ופסק דהדין עם הארוס</w:t>
      </w:r>
      <w:r>
        <w:rPr>
          <w:rFonts w:cs="Arial" w:hint="cs"/>
          <w:rtl/>
        </w:rPr>
        <w:t>,</w:t>
      </w:r>
      <w:r w:rsidRPr="00242605">
        <w:rPr>
          <w:rFonts w:cs="Arial"/>
          <w:rtl/>
        </w:rPr>
        <w:t xml:space="preserve"> או אשתו תבוא אחריו</w:t>
      </w:r>
      <w:r>
        <w:rPr>
          <w:rFonts w:cs="Arial" w:hint="cs"/>
          <w:rtl/>
        </w:rPr>
        <w:t>,</w:t>
      </w:r>
      <w:r w:rsidRPr="00242605">
        <w:rPr>
          <w:rFonts w:cs="Arial"/>
          <w:rtl/>
        </w:rPr>
        <w:t xml:space="preserve"> או תשב עד שתלבין ראשה</w:t>
      </w:r>
      <w:r>
        <w:rPr>
          <w:rFonts w:cs="Arial" w:hint="cs"/>
          <w:rtl/>
        </w:rPr>
        <w:t>,</w:t>
      </w:r>
      <w:r w:rsidRPr="00242605">
        <w:rPr>
          <w:rFonts w:cs="Arial"/>
          <w:rtl/>
        </w:rPr>
        <w:t xml:space="preserve"> וע</w:t>
      </w:r>
      <w:r>
        <w:rPr>
          <w:rFonts w:cs="Arial" w:hint="cs"/>
          <w:rtl/>
        </w:rPr>
        <w:t>"</w:t>
      </w:r>
      <w:r w:rsidRPr="00242605">
        <w:rPr>
          <w:rFonts w:cs="Arial"/>
          <w:rtl/>
        </w:rPr>
        <w:t>ש</w:t>
      </w:r>
      <w:r>
        <w:rPr>
          <w:rFonts w:cs="Arial" w:hint="cs"/>
          <w:rtl/>
        </w:rPr>
        <w:t>..., דרכ"מ (אות ג).</w:t>
      </w:r>
      <w:r>
        <w:rPr>
          <w:rFonts w:hint="cs"/>
          <w:rtl/>
        </w:rPr>
        <w:t xml:space="preserve"> </w:t>
      </w:r>
      <w:r w:rsidRPr="000F4F98">
        <w:rPr>
          <w:rFonts w:hint="cs"/>
          <w:color w:val="00B0F0"/>
          <w:rtl/>
        </w:rPr>
        <w:t xml:space="preserve">(וכ"פ </w:t>
      </w:r>
      <w:r>
        <w:rPr>
          <w:rFonts w:hint="cs"/>
          <w:color w:val="00B0F0"/>
          <w:rtl/>
        </w:rPr>
        <w:t>בהגה</w:t>
      </w:r>
      <w:r w:rsidRPr="000F4F98">
        <w:rPr>
          <w:rFonts w:hint="cs"/>
          <w:color w:val="00B0F0"/>
          <w:sz w:val="16"/>
          <w:szCs w:val="16"/>
          <w:rtl/>
        </w:rPr>
        <w:t xml:space="preserve"> </w:t>
      </w:r>
      <w:r w:rsidRPr="000F4F98">
        <w:rPr>
          <w:rFonts w:hint="cs"/>
          <w:sz w:val="16"/>
          <w:szCs w:val="16"/>
          <w:rtl/>
        </w:rPr>
        <w:t>[בסע' ב]</w:t>
      </w:r>
      <w:r w:rsidRPr="000F4F98">
        <w:rPr>
          <w:rFonts w:hint="cs"/>
          <w:color w:val="00B0F0"/>
          <w:rtl/>
        </w:rPr>
        <w:t>)</w:t>
      </w:r>
    </w:p>
  </w:footnote>
  <w:footnote w:id="1226">
    <w:p w14:paraId="27BA9585" w14:textId="77777777" w:rsidR="00DF1FC7" w:rsidRDefault="00DF1FC7" w:rsidP="002E5BAD">
      <w:pPr>
        <w:pStyle w:val="a5"/>
      </w:pPr>
      <w:r>
        <w:rPr>
          <w:rStyle w:val="a7"/>
        </w:rPr>
        <w:footnoteRef/>
      </w:r>
      <w:r>
        <w:rPr>
          <w:rtl/>
        </w:rPr>
        <w:t xml:space="preserve"> </w:t>
      </w:r>
      <w:r>
        <w:rPr>
          <w:rFonts w:hint="cs"/>
          <w:rtl/>
        </w:rPr>
        <w:t>צל"ע מי כתב ציון זה, דהרי הרשב"ץ לא דיבר במקרה שנשא אותה שם אלא באירס. ונראה יותר לומר שהרמ"א פסק כאן כהריב"ש (סי' קעז), שהרי הרמ"א שינה את המקרה שהובא בתשובה בכוונה וכתב נשא במקום אירס, וזה כמו מסקנת הריב"ש, וכמו שפסק הרמ"א בסע' הבא. ועיין עוד בב"ש (סק"י) דכתב ד</w:t>
      </w:r>
      <w:r w:rsidRPr="00EF5DF8">
        <w:rPr>
          <w:rFonts w:cs="Arial"/>
          <w:rtl/>
        </w:rPr>
        <w:t xml:space="preserve">משמע דס"ל </w:t>
      </w:r>
      <w:r>
        <w:rPr>
          <w:rFonts w:cs="Arial" w:hint="cs"/>
          <w:rtl/>
        </w:rPr>
        <w:t xml:space="preserve">לרמ"א </w:t>
      </w:r>
      <w:r w:rsidRPr="00EF5DF8">
        <w:rPr>
          <w:rFonts w:cs="Arial"/>
          <w:rtl/>
        </w:rPr>
        <w:t>אפי' לשיטת ר"ת הדין כן</w:t>
      </w:r>
      <w:r>
        <w:rPr>
          <w:rFonts w:cs="Arial" w:hint="cs"/>
          <w:rtl/>
        </w:rPr>
        <w:t>,</w:t>
      </w:r>
      <w:r w:rsidRPr="00EF5DF8">
        <w:rPr>
          <w:rFonts w:cs="Arial"/>
          <w:rtl/>
        </w:rPr>
        <w:t xml:space="preserve"> </w:t>
      </w:r>
      <w:r>
        <w:rPr>
          <w:rFonts w:cs="Arial" w:hint="cs"/>
          <w:rtl/>
        </w:rPr>
        <w:t>ו</w:t>
      </w:r>
      <w:r w:rsidRPr="00EF5DF8">
        <w:rPr>
          <w:rFonts w:cs="Arial"/>
          <w:rtl/>
        </w:rPr>
        <w:t>אע</w:t>
      </w:r>
      <w:r>
        <w:rPr>
          <w:rFonts w:cs="Arial" w:hint="cs"/>
          <w:rtl/>
        </w:rPr>
        <w:t>"</w:t>
      </w:r>
      <w:r w:rsidRPr="00EF5DF8">
        <w:rPr>
          <w:rFonts w:cs="Arial"/>
          <w:rtl/>
        </w:rPr>
        <w:t>ג דלא מצינו כן להדי' אליב' דר"ת מ"מ הכריע כן מסבר</w:t>
      </w:r>
      <w:r>
        <w:rPr>
          <w:rFonts w:cs="Arial" w:hint="cs"/>
          <w:rtl/>
        </w:rPr>
        <w:t>ת</w:t>
      </w:r>
      <w:r w:rsidRPr="00EF5DF8">
        <w:rPr>
          <w:rFonts w:cs="Arial"/>
          <w:rtl/>
        </w:rPr>
        <w:t xml:space="preserve"> עצמו </w:t>
      </w:r>
      <w:r>
        <w:rPr>
          <w:rFonts w:cs="Arial" w:hint="cs"/>
          <w:rtl/>
        </w:rPr>
        <w:t>ד</w:t>
      </w:r>
      <w:r w:rsidRPr="00EF5DF8">
        <w:rPr>
          <w:rFonts w:cs="Arial"/>
          <w:rtl/>
        </w:rPr>
        <w:t>בכה"ג לכ"ע אף לדעת ר"ת צריכה לילך עמו למקומו</w:t>
      </w:r>
      <w:r>
        <w:rPr>
          <w:rFonts w:cs="Arial" w:hint="cs"/>
          <w:rtl/>
        </w:rPr>
        <w:t>,</w:t>
      </w:r>
      <w:r w:rsidRPr="00EF5DF8">
        <w:rPr>
          <w:rFonts w:cs="Arial"/>
          <w:rtl/>
        </w:rPr>
        <w:t xml:space="preserve"> כי בודאי אין סבר</w:t>
      </w:r>
      <w:r>
        <w:rPr>
          <w:rFonts w:cs="Arial" w:hint="cs"/>
          <w:rtl/>
        </w:rPr>
        <w:t>א</w:t>
      </w:r>
      <w:r w:rsidRPr="00EF5DF8">
        <w:rPr>
          <w:rFonts w:cs="Arial"/>
          <w:rtl/>
        </w:rPr>
        <w:t xml:space="preserve"> שישב הוא עמה ואשתו הראשונה תשב גלמודה ומכ"ש דא"י לכופה שתשוב אליו ותעתיק ממקומה</w:t>
      </w:r>
      <w:r>
        <w:rPr>
          <w:rFonts w:hint="cs"/>
          <w:rtl/>
        </w:rPr>
        <w:t xml:space="preserve">. ע"כ. אך הח"מ (סקי"ב) כתב </w:t>
      </w:r>
      <w:r>
        <w:rPr>
          <w:rFonts w:cs="Arial" w:hint="cs"/>
          <w:rtl/>
        </w:rPr>
        <w:t>ד</w:t>
      </w:r>
      <w:r w:rsidRPr="00EF5DF8">
        <w:rPr>
          <w:rFonts w:cs="Arial"/>
          <w:rtl/>
        </w:rPr>
        <w:t xml:space="preserve">קשה </w:t>
      </w:r>
      <w:r>
        <w:rPr>
          <w:rFonts w:cs="Arial" w:hint="cs"/>
          <w:rtl/>
        </w:rPr>
        <w:t>לומר שכך סבר הרמ"א, ד</w:t>
      </w:r>
      <w:r w:rsidRPr="00EF5DF8">
        <w:rPr>
          <w:rFonts w:cs="Arial"/>
          <w:rtl/>
        </w:rPr>
        <w:t>מנ"ל זה</w:t>
      </w:r>
      <w:r>
        <w:rPr>
          <w:rFonts w:cs="Arial" w:hint="cs"/>
          <w:rtl/>
        </w:rPr>
        <w:t>,</w:t>
      </w:r>
      <w:r w:rsidRPr="00EF5DF8">
        <w:rPr>
          <w:rFonts w:cs="Arial"/>
          <w:rtl/>
        </w:rPr>
        <w:t xml:space="preserve"> דהא הרשב"ץ כתב דין שלו אליבא דשאר פוסקים ולא אליבא דר"ת</w:t>
      </w:r>
      <w:r>
        <w:rPr>
          <w:rFonts w:hint="cs"/>
          <w:rtl/>
        </w:rPr>
        <w:t>.</w:t>
      </w:r>
    </w:p>
  </w:footnote>
  <w:footnote w:id="1227">
    <w:p w14:paraId="3C06C484" w14:textId="77777777" w:rsidR="00DF1FC7" w:rsidRDefault="00DF1FC7" w:rsidP="002E5BAD">
      <w:pPr>
        <w:pStyle w:val="a5"/>
        <w:rPr>
          <w:rtl/>
        </w:rPr>
      </w:pPr>
      <w:r>
        <w:rPr>
          <w:rStyle w:val="a7"/>
        </w:rPr>
        <w:footnoteRef/>
      </w:r>
      <w:r>
        <w:rPr>
          <w:rtl/>
        </w:rPr>
        <w:t xml:space="preserve"> </w:t>
      </w:r>
      <w:r w:rsidRPr="00D57ECA">
        <w:rPr>
          <w:rFonts w:cs="Arial"/>
          <w:rtl/>
        </w:rPr>
        <w:t>ופירש רש"י שהנוה היפה בודק את הגוף למי שבא מנוה הרע ומתוך כך חלאים באים עליו והכי משמע בגמרא דקאמר מאי בודק כשמואל דאמר שינוי וסת תחלת חולי בני מעים אבל הרמב"ם בפרק י"ג מהלכות אישות כתב אינו יכול להוציאה מנוה היפה לנוה הרע ולא מרע ליפה מפני שהיא צריכה להטפל ולבדוק עצמה בנוה היפה כדי שלא תהיה בו קלה וכעורה וכתב הר"ן (סה סוע"א) ולפי זה הא דמייתי בגמרא כדשמואל אינו אלא לדמיון בלבד שפעמים יצא נזק מתוך שינוי לטובה</w:t>
      </w:r>
      <w:r w:rsidRPr="00D57ECA">
        <w:rPr>
          <w:rFonts w:cs="Arial" w:hint="cs"/>
          <w:rtl/>
        </w:rPr>
        <w:t>, ב"י</w:t>
      </w:r>
      <w:r>
        <w:rPr>
          <w:rFonts w:hint="cs"/>
          <w:rtl/>
        </w:rPr>
        <w:t>.</w:t>
      </w:r>
    </w:p>
  </w:footnote>
  <w:footnote w:id="1228">
    <w:p w14:paraId="6AADD471" w14:textId="77777777" w:rsidR="00DF1FC7" w:rsidRDefault="00DF1FC7" w:rsidP="002E5BAD">
      <w:pPr>
        <w:pStyle w:val="a5"/>
        <w:rPr>
          <w:rtl/>
        </w:rPr>
      </w:pPr>
      <w:r>
        <w:rPr>
          <w:rStyle w:val="a7"/>
        </w:rPr>
        <w:footnoteRef/>
      </w:r>
      <w:r>
        <w:rPr>
          <w:rtl/>
        </w:rPr>
        <w:t xml:space="preserve"> </w:t>
      </w:r>
      <w:r w:rsidRPr="00242605">
        <w:rPr>
          <w:rFonts w:cs="Arial"/>
          <w:rtl/>
        </w:rPr>
        <w:t>וכ"כ בית יוסף בשם הרשב"</w:t>
      </w:r>
      <w:r>
        <w:rPr>
          <w:rFonts w:cs="Arial" w:hint="cs"/>
          <w:rtl/>
        </w:rPr>
        <w:t>ץ (צריך לומר הרשב"ש, סו"ס א)</w:t>
      </w:r>
      <w:r w:rsidRPr="00242605">
        <w:rPr>
          <w:rFonts w:cs="Arial"/>
          <w:rtl/>
        </w:rPr>
        <w:t xml:space="preserve"> דאם הדרכים בסכנה א"צ ללכת עמו</w:t>
      </w:r>
      <w:r>
        <w:rPr>
          <w:rFonts w:hint="cs"/>
          <w:rtl/>
        </w:rPr>
        <w:t>, דרכ"מ (אות ו).</w:t>
      </w:r>
    </w:p>
  </w:footnote>
  <w:footnote w:id="1229">
    <w:p w14:paraId="29BBE0BF" w14:textId="77777777" w:rsidR="00DF1FC7" w:rsidRDefault="00DF1FC7" w:rsidP="002E5BAD">
      <w:pPr>
        <w:pStyle w:val="a5"/>
      </w:pPr>
      <w:r>
        <w:rPr>
          <w:rStyle w:val="a7"/>
        </w:rPr>
        <w:footnoteRef/>
      </w:r>
      <w:r>
        <w:rPr>
          <w:rtl/>
        </w:rPr>
        <w:t xml:space="preserve"> </w:t>
      </w:r>
      <w:r w:rsidRPr="006126F6">
        <w:rPr>
          <w:rFonts w:cs="Arial"/>
          <w:rtl/>
        </w:rPr>
        <w:t>תלמידים שהרב מצוי להם בעירן ושונים פרקם ולנים בביתם</w:t>
      </w:r>
      <w:r>
        <w:rPr>
          <w:rFonts w:hint="cs"/>
          <w:rtl/>
        </w:rPr>
        <w:t>, רש"י.</w:t>
      </w:r>
    </w:p>
  </w:footnote>
  <w:footnote w:id="1230">
    <w:p w14:paraId="27A9D63B" w14:textId="77777777" w:rsidR="00DF1FC7" w:rsidRDefault="00DF1FC7" w:rsidP="002E5BAD">
      <w:pPr>
        <w:pStyle w:val="a5"/>
      </w:pPr>
      <w:r>
        <w:rPr>
          <w:rStyle w:val="a7"/>
        </w:rPr>
        <w:footnoteRef/>
      </w:r>
      <w:r>
        <w:rPr>
          <w:rtl/>
        </w:rPr>
        <w:t xml:space="preserve"> </w:t>
      </w:r>
      <w:r w:rsidRPr="006126F6">
        <w:rPr>
          <w:rFonts w:cs="Arial"/>
          <w:rtl/>
        </w:rPr>
        <w:t>בשבילם נאמר לבעלי אומניות</w:t>
      </w:r>
      <w:r>
        <w:rPr>
          <w:rFonts w:hint="cs"/>
          <w:rtl/>
        </w:rPr>
        <w:t>, רש"י.</w:t>
      </w:r>
    </w:p>
  </w:footnote>
  <w:footnote w:id="1231">
    <w:p w14:paraId="398C5CEA" w14:textId="77777777" w:rsidR="00DF1FC7" w:rsidRDefault="00DF1FC7" w:rsidP="002E5BAD">
      <w:pPr>
        <w:pStyle w:val="a5"/>
      </w:pPr>
      <w:r>
        <w:rPr>
          <w:rStyle w:val="a7"/>
        </w:rPr>
        <w:footnoteRef/>
      </w:r>
      <w:r>
        <w:rPr>
          <w:rtl/>
        </w:rPr>
        <w:t xml:space="preserve"> </w:t>
      </w:r>
      <w:r w:rsidRPr="006126F6">
        <w:rPr>
          <w:rFonts w:cs="Arial"/>
          <w:rtl/>
        </w:rPr>
        <w:t>למלאכת הרשות אוכלי לחמם בעצב כן יתן הקדוש ברוך הוא לידידו שנא למי שמנדד לכבודו ולמצותו שינה</w:t>
      </w:r>
      <w:r>
        <w:rPr>
          <w:rFonts w:hint="cs"/>
          <w:rtl/>
        </w:rPr>
        <w:t>, רש"י.</w:t>
      </w:r>
    </w:p>
  </w:footnote>
  <w:footnote w:id="1232">
    <w:p w14:paraId="58D561C9" w14:textId="77777777" w:rsidR="00DF1FC7" w:rsidRDefault="00DF1FC7" w:rsidP="002E5BAD">
      <w:pPr>
        <w:pStyle w:val="a5"/>
        <w:rPr>
          <w:rtl/>
        </w:rPr>
      </w:pPr>
      <w:r>
        <w:rPr>
          <w:rStyle w:val="a7"/>
        </w:rPr>
        <w:footnoteRef/>
      </w:r>
      <w:r>
        <w:rPr>
          <w:rtl/>
        </w:rPr>
        <w:t xml:space="preserve"> </w:t>
      </w:r>
      <w:r w:rsidRPr="006126F6">
        <w:rPr>
          <w:rFonts w:cs="Arial"/>
          <w:rtl/>
        </w:rPr>
        <w:t>ממתינות את בעליהן שהן בבית רבם ושונים פרקם אלמא בשעת שינה עודן בבית רבן ואת אמרת יש להן פנאי לעונה בכל לילה</w:t>
      </w:r>
      <w:r>
        <w:rPr>
          <w:rFonts w:hint="cs"/>
          <w:rtl/>
        </w:rPr>
        <w:t>, רש"י.</w:t>
      </w:r>
    </w:p>
  </w:footnote>
  <w:footnote w:id="1233">
    <w:p w14:paraId="0D1541A0" w14:textId="77777777" w:rsidR="00DF1FC7" w:rsidRDefault="00DF1FC7" w:rsidP="002E5BAD">
      <w:pPr>
        <w:pStyle w:val="a5"/>
      </w:pPr>
      <w:r>
        <w:rPr>
          <w:rStyle w:val="a7"/>
        </w:rPr>
        <w:footnoteRef/>
      </w:r>
      <w:r>
        <w:rPr>
          <w:rtl/>
        </w:rPr>
        <w:t xml:space="preserve"> </w:t>
      </w:r>
      <w:r w:rsidRPr="00DB78F6">
        <w:rPr>
          <w:rFonts w:cs="Arial"/>
          <w:rtl/>
        </w:rPr>
        <w:t>אין שליח מלך פרס עובר על פתחו לשאול לו עבודת המלך שאין עין המלך עליו שאינו עשיר בעיניהם</w:t>
      </w:r>
      <w:r>
        <w:rPr>
          <w:rFonts w:cs="Arial" w:hint="cs"/>
          <w:rtl/>
        </w:rPr>
        <w:t>, רש"י.</w:t>
      </w:r>
    </w:p>
  </w:footnote>
  <w:footnote w:id="1234">
    <w:p w14:paraId="0383564B" w14:textId="77777777" w:rsidR="00DF1FC7" w:rsidRDefault="00DF1FC7" w:rsidP="002E5BAD">
      <w:pPr>
        <w:pStyle w:val="a5"/>
      </w:pPr>
      <w:r>
        <w:rPr>
          <w:rStyle w:val="a7"/>
        </w:rPr>
        <w:footnoteRef/>
      </w:r>
      <w:r>
        <w:rPr>
          <w:rtl/>
        </w:rPr>
        <w:t xml:space="preserve"> </w:t>
      </w:r>
      <w:r w:rsidRPr="00DB78F6">
        <w:rPr>
          <w:rFonts w:cs="Arial"/>
          <w:rtl/>
        </w:rPr>
        <w:t>בני ארץ ישראל מעונגים במאכל ומשתה לכך הם בריאים ובעלי כח לתשמיש</w:t>
      </w:r>
      <w:r>
        <w:rPr>
          <w:rFonts w:cs="Arial" w:hint="cs"/>
          <w:rtl/>
        </w:rPr>
        <w:t>, רש"י.</w:t>
      </w:r>
    </w:p>
  </w:footnote>
  <w:footnote w:id="1235">
    <w:p w14:paraId="60923371" w14:textId="77777777" w:rsidR="00DF1FC7" w:rsidRDefault="00DF1FC7" w:rsidP="002E5BAD">
      <w:pPr>
        <w:pStyle w:val="a5"/>
        <w:rPr>
          <w:rtl/>
        </w:rPr>
      </w:pPr>
      <w:r>
        <w:rPr>
          <w:rStyle w:val="a7"/>
        </w:rPr>
        <w:footnoteRef/>
      </w:r>
      <w:r>
        <w:rPr>
          <w:rtl/>
        </w:rPr>
        <w:t xml:space="preserve"> </w:t>
      </w:r>
      <w:r w:rsidRPr="00CB1695">
        <w:rPr>
          <w:rFonts w:cs="Arial"/>
          <w:rtl/>
        </w:rPr>
        <w:t>שתים בשבת</w:t>
      </w:r>
      <w:r>
        <w:rPr>
          <w:rFonts w:hint="cs"/>
          <w:rtl/>
        </w:rPr>
        <w:t>, רש"י.</w:t>
      </w:r>
    </w:p>
  </w:footnote>
  <w:footnote w:id="1236">
    <w:p w14:paraId="63CC58BB" w14:textId="77777777" w:rsidR="00DF1FC7" w:rsidRDefault="00DF1FC7" w:rsidP="002E5BAD">
      <w:pPr>
        <w:pStyle w:val="a5"/>
      </w:pPr>
      <w:r>
        <w:rPr>
          <w:rStyle w:val="a7"/>
        </w:rPr>
        <w:footnoteRef/>
      </w:r>
      <w:r>
        <w:rPr>
          <w:rtl/>
        </w:rPr>
        <w:t xml:space="preserve"> </w:t>
      </w:r>
      <w:r w:rsidRPr="00CB1695">
        <w:rPr>
          <w:rFonts w:cs="Arial"/>
          <w:rtl/>
        </w:rPr>
        <w:t>תנא דסתם לעיל המדיר את אשתו בית הלל אומרים שבת אחת אין לו לומר זאת לא בספן ולא בגמל ולא בחמר ולא בתלמידי חכמים שהרי אף החמר עונתו אחת בשבת ובשביל יום אחד יוציא ויתן כתובה הרי עונתו משבעה לשבעה וכ"ש גמל וספן אין בכלל הזה אלא טייל ופועל העושה מלאכה בעירו שדרכו לשמש שתים בשבת</w:t>
      </w:r>
      <w:r>
        <w:rPr>
          <w:rFonts w:cs="Arial" w:hint="cs"/>
          <w:rtl/>
        </w:rPr>
        <w:t>, רש"י.</w:t>
      </w:r>
    </w:p>
  </w:footnote>
  <w:footnote w:id="1237">
    <w:p w14:paraId="3174E03E" w14:textId="77777777" w:rsidR="00DF1FC7" w:rsidRDefault="00DF1FC7" w:rsidP="002E5BAD">
      <w:pPr>
        <w:pStyle w:val="a5"/>
        <w:rPr>
          <w:rtl/>
        </w:rPr>
      </w:pPr>
      <w:r>
        <w:rPr>
          <w:rStyle w:val="a7"/>
        </w:rPr>
        <w:footnoteRef/>
      </w:r>
      <w:r>
        <w:rPr>
          <w:rtl/>
        </w:rPr>
        <w:t xml:space="preserve"> </w:t>
      </w:r>
      <w:r w:rsidRPr="00CB1695">
        <w:rPr>
          <w:rFonts w:cs="Arial"/>
          <w:rtl/>
        </w:rPr>
        <w:t>נמי קאמר דע"י נדר יתר משבת אחת לא</w:t>
      </w:r>
      <w:r>
        <w:rPr>
          <w:rFonts w:hint="cs"/>
          <w:rtl/>
        </w:rPr>
        <w:t>, רש"י.</w:t>
      </w:r>
    </w:p>
  </w:footnote>
  <w:footnote w:id="1238">
    <w:p w14:paraId="6BCB69FC" w14:textId="77777777" w:rsidR="00DF1FC7" w:rsidRDefault="00DF1FC7" w:rsidP="002E5BAD">
      <w:pPr>
        <w:pStyle w:val="a5"/>
      </w:pPr>
      <w:r>
        <w:rPr>
          <w:rStyle w:val="a7"/>
        </w:rPr>
        <w:footnoteRef/>
      </w:r>
      <w:r>
        <w:rPr>
          <w:rtl/>
        </w:rPr>
        <w:t xml:space="preserve"> </w:t>
      </w:r>
      <w:r w:rsidRPr="00CB1695">
        <w:rPr>
          <w:rFonts w:cs="Arial"/>
          <w:rtl/>
        </w:rPr>
        <w:t>בלא נדר ששה חדשים קאמר בספנים</w:t>
      </w:r>
      <w:r>
        <w:rPr>
          <w:rFonts w:cs="Arial" w:hint="cs"/>
          <w:rtl/>
        </w:rPr>
        <w:t>, רש"י.</w:t>
      </w:r>
    </w:p>
  </w:footnote>
  <w:footnote w:id="1239">
    <w:p w14:paraId="75ADE2FA" w14:textId="77777777" w:rsidR="00DF1FC7" w:rsidRDefault="00DF1FC7" w:rsidP="002E5BAD">
      <w:pPr>
        <w:pStyle w:val="a5"/>
        <w:rPr>
          <w:rtl/>
        </w:rPr>
      </w:pPr>
      <w:r>
        <w:rPr>
          <w:rStyle w:val="a7"/>
        </w:rPr>
        <w:footnoteRef/>
      </w:r>
      <w:r>
        <w:rPr>
          <w:rtl/>
        </w:rPr>
        <w:t xml:space="preserve"> </w:t>
      </w:r>
      <w:r w:rsidRPr="00CB1695">
        <w:rPr>
          <w:rFonts w:cs="Arial"/>
          <w:rtl/>
        </w:rPr>
        <w:t>לענין תענית מי שיש לו כו' אף כאן בלא נדר דעתה נוחה לבעלה שמא יבא בתוך הזמן אבל זו משהדירה הרי היא כמי שאינה מצפה לבעל</w:t>
      </w:r>
      <w:r>
        <w:rPr>
          <w:rFonts w:hint="cs"/>
          <w:rtl/>
        </w:rPr>
        <w:t>, רש"י.</w:t>
      </w:r>
    </w:p>
  </w:footnote>
  <w:footnote w:id="1240">
    <w:p w14:paraId="2AE98988" w14:textId="77777777" w:rsidR="00DF1FC7" w:rsidRDefault="00DF1FC7" w:rsidP="002E5BAD">
      <w:pPr>
        <w:pStyle w:val="a5"/>
      </w:pPr>
      <w:r>
        <w:rPr>
          <w:rStyle w:val="a7"/>
        </w:rPr>
        <w:footnoteRef/>
      </w:r>
      <w:r>
        <w:rPr>
          <w:rtl/>
        </w:rPr>
        <w:t xml:space="preserve"> </w:t>
      </w:r>
      <w:r>
        <w:rPr>
          <w:rFonts w:cs="Arial"/>
          <w:rtl/>
        </w:rPr>
        <w:t>ומפני שראה רבינו בדרב שמואל בר שילת שאמרו ולא חליף פריסתקא דמלכא אבביה כתב ואינם פורעים מס אבל הרמב"ם (פי"ד מאישות ה"א) לא הזכיר אינם פורעים מס</w:t>
      </w:r>
      <w:r>
        <w:rPr>
          <w:rFonts w:cs="Arial" w:hint="cs"/>
          <w:rtl/>
        </w:rPr>
        <w:t>, ב"י.</w:t>
      </w:r>
    </w:p>
  </w:footnote>
  <w:footnote w:id="1241">
    <w:p w14:paraId="5C4DF1DC" w14:textId="77777777" w:rsidR="00DF1FC7" w:rsidRDefault="00DF1FC7" w:rsidP="002E5BAD">
      <w:pPr>
        <w:pStyle w:val="a5"/>
        <w:rPr>
          <w:rtl/>
        </w:rPr>
      </w:pPr>
      <w:r>
        <w:rPr>
          <w:rStyle w:val="a7"/>
        </w:rPr>
        <w:footnoteRef/>
      </w:r>
      <w:r>
        <w:rPr>
          <w:rtl/>
        </w:rPr>
        <w:t xml:space="preserve"> </w:t>
      </w:r>
      <w:r>
        <w:rPr>
          <w:rFonts w:cs="Arial" w:hint="cs"/>
          <w:rtl/>
        </w:rPr>
        <w:t>וז"ל ה</w:t>
      </w:r>
      <w:r>
        <w:rPr>
          <w:rFonts w:cs="Arial"/>
          <w:rtl/>
        </w:rPr>
        <w:t>תוס</w:t>
      </w:r>
      <w:r>
        <w:rPr>
          <w:rFonts w:cs="Arial" w:hint="cs"/>
          <w:rtl/>
        </w:rPr>
        <w:t>'</w:t>
      </w:r>
      <w:r>
        <w:rPr>
          <w:rFonts w:cs="Arial"/>
          <w:rtl/>
        </w:rPr>
        <w:t xml:space="preserve"> (ד"ה והתניא)</w:t>
      </w:r>
      <w:r>
        <w:rPr>
          <w:rFonts w:cs="Arial" w:hint="cs"/>
          <w:rtl/>
        </w:rPr>
        <w:t>-</w:t>
      </w:r>
      <w:r>
        <w:rPr>
          <w:rFonts w:cs="Arial"/>
          <w:rtl/>
        </w:rPr>
        <w:t xml:space="preserve"> </w:t>
      </w:r>
      <w:r w:rsidRPr="00747F53">
        <w:rPr>
          <w:rFonts w:cs="Arial"/>
          <w:rtl/>
        </w:rPr>
        <w:t>והתניא הפועלים אחת בשבת - מרישא דקתני הפועלים שבת אחת לא מצי למיפרך דרישא לאו בדין עונה מיירי אלא אדרבה אשמועינן דשרי לשנות ולבטל עונה ממה שהיה מנהגם תחלה אבל מברייתא פריך שפיר דאיירי בדין עונה האמורה בתורה ולא ביציאה שלא ברשות מדקתני אחת בשבת ולא קתני שבת אחת כמו במתני' ומשני דבעושה מלאכה בעיר אחרת איירי והיה דרכם ומנהגם כך וא"ת מאי איריא כשמנהגם כך אפי' לשנות יכולין שבת אחת כדפרישית במתני' וי"ל דבברייתא קמ"ל דאע"פ שמנהגם כך לעשות מלאכה בעיר אחרת אם רוצי' לשנות ולשהות יותר אין הרשות בידם ור"י בר' ברוך היה אומר דג' מדות בפועלי' דהעושין מלאכה בעירן שתים בשבת כדתנן במתני' וברייתא בעושין מלאכה בעיר אחרת וחוזרין בכל יום לביתם אחת בשבת לפי שיש להם טורח הדרך אבל אותם שאין חוזרין לביתם בין היה מנהגם בין לא היה כמו רישא דמתני' דקתני יוצאין שבת אחת משמע שהן כל ז' בחוץ וחוזרין בכל יום שמיני אבל ר"י לא פירש אלא ב' מדות שתים בשבת ואחת בשבת כדפרישנא</w:t>
      </w:r>
      <w:r>
        <w:rPr>
          <w:rFonts w:cs="Arial" w:hint="cs"/>
          <w:rtl/>
        </w:rPr>
        <w:t>.</w:t>
      </w:r>
      <w:r>
        <w:rPr>
          <w:rFonts w:cs="Arial"/>
          <w:rtl/>
        </w:rPr>
        <w:t xml:space="preserve"> עכ"ל. ו</w:t>
      </w:r>
      <w:r>
        <w:rPr>
          <w:rFonts w:cs="Arial" w:hint="cs"/>
          <w:rtl/>
        </w:rPr>
        <w:t>כתב הב"י ד</w:t>
      </w:r>
      <w:r>
        <w:rPr>
          <w:rFonts w:cs="Arial"/>
          <w:rtl/>
        </w:rPr>
        <w:t>הרא"ש (סי' כט) כתב סתם כדברי ר"י ב"ר ברוך</w:t>
      </w:r>
      <w:r>
        <w:rPr>
          <w:rFonts w:cs="Arial" w:hint="cs"/>
          <w:rtl/>
        </w:rPr>
        <w:t>,</w:t>
      </w:r>
      <w:r>
        <w:rPr>
          <w:rFonts w:cs="Arial"/>
          <w:rtl/>
        </w:rPr>
        <w:t xml:space="preserve"> וכך הם דברי רבינו</w:t>
      </w:r>
      <w:r>
        <w:rPr>
          <w:rFonts w:cs="Arial" w:hint="cs"/>
          <w:rtl/>
        </w:rPr>
        <w:t>.</w:t>
      </w:r>
      <w:r>
        <w:rPr>
          <w:rFonts w:cs="Arial"/>
          <w:rtl/>
        </w:rPr>
        <w:t xml:space="preserve"> והמשך הלשון כך הוא </w:t>
      </w:r>
      <w:r>
        <w:rPr>
          <w:rFonts w:cs="Arial" w:hint="cs"/>
          <w:rtl/>
        </w:rPr>
        <w:t>'</w:t>
      </w:r>
      <w:r>
        <w:rPr>
          <w:rFonts w:cs="Arial"/>
          <w:rtl/>
        </w:rPr>
        <w:t>הפועלים שאין לנים בביתם ויוצאים ז' ימים וכו' עונתם פעם אחד בשבת וכן החמרים פעם אחד בשבת</w:t>
      </w:r>
      <w:r>
        <w:rPr>
          <w:rFonts w:cs="Arial" w:hint="cs"/>
          <w:rtl/>
        </w:rPr>
        <w:t>'.</w:t>
      </w:r>
      <w:r>
        <w:rPr>
          <w:rFonts w:cs="Arial"/>
          <w:rtl/>
        </w:rPr>
        <w:t xml:space="preserve"> דפעם אחד בשבת שכתב קאי לפועלים שאין לנין בביתם וכו' ולחמרים</w:t>
      </w:r>
      <w:r>
        <w:rPr>
          <w:rFonts w:cs="Arial" w:hint="cs"/>
          <w:rtl/>
        </w:rPr>
        <w:t>,</w:t>
      </w:r>
      <w:r>
        <w:rPr>
          <w:rFonts w:cs="Arial"/>
          <w:rtl/>
        </w:rPr>
        <w:t xml:space="preserve"> ופשוט הוא</w:t>
      </w:r>
      <w:r>
        <w:rPr>
          <w:rFonts w:cs="Arial" w:hint="cs"/>
          <w:rtl/>
        </w:rPr>
        <w:t>. עכ"ל הב"י. וקשה, דאם כן החזיר את דעת הטור כדעת התוס' והרמב"ם דיש רק ב' מדות, או שנאמר שהחמרים גם חייבים רק אחת לשמונה ימים. ועיין בדרישה (סוף אות ג) שגם תמה על דברי הב"י. וצל"ע.</w:t>
      </w:r>
    </w:p>
  </w:footnote>
  <w:footnote w:id="1242">
    <w:p w14:paraId="35445B64" w14:textId="77777777" w:rsidR="00DF1FC7" w:rsidRDefault="00DF1FC7" w:rsidP="002E5BAD">
      <w:pPr>
        <w:pStyle w:val="a5"/>
      </w:pPr>
      <w:r>
        <w:rPr>
          <w:rStyle w:val="a7"/>
        </w:rPr>
        <w:footnoteRef/>
      </w:r>
      <w:r w:rsidRPr="00457983">
        <w:rPr>
          <w:rFonts w:cs="Arial"/>
          <w:rtl/>
        </w:rPr>
        <w:t xml:space="preserve"> ומיהו אם אירע לפועלים שלנו בביתם לצורך מלאכה יכולים לאחר עד יום שמיני</w:t>
      </w:r>
      <w:r>
        <w:rPr>
          <w:rFonts w:cs="Arial" w:hint="cs"/>
          <w:rtl/>
        </w:rPr>
        <w:t xml:space="preserve">, </w:t>
      </w:r>
      <w:r w:rsidRPr="00457983">
        <w:rPr>
          <w:rFonts w:cs="Arial"/>
          <w:rtl/>
        </w:rPr>
        <w:t xml:space="preserve">ר"ן </w:t>
      </w:r>
      <w:r w:rsidRPr="00B31DD2">
        <w:rPr>
          <w:rFonts w:cs="Arial" w:hint="cs"/>
          <w:sz w:val="16"/>
          <w:szCs w:val="16"/>
          <w:rtl/>
        </w:rPr>
        <w:t>(פ'</w:t>
      </w:r>
      <w:r w:rsidRPr="00B31DD2">
        <w:rPr>
          <w:rFonts w:cs="Arial"/>
          <w:sz w:val="16"/>
          <w:szCs w:val="16"/>
          <w:rtl/>
        </w:rPr>
        <w:t xml:space="preserve"> אף על פי כה סוע"ב</w:t>
      </w:r>
      <w:r w:rsidRPr="00B31DD2">
        <w:rPr>
          <w:rFonts w:cs="Arial" w:hint="cs"/>
          <w:sz w:val="16"/>
          <w:szCs w:val="16"/>
          <w:rtl/>
        </w:rPr>
        <w:t>, הביאו הדרכ"מ אות א</w:t>
      </w:r>
      <w:r w:rsidRPr="00B31DD2">
        <w:rPr>
          <w:rFonts w:cs="Arial"/>
          <w:sz w:val="16"/>
          <w:szCs w:val="16"/>
          <w:rtl/>
        </w:rPr>
        <w:t>)</w:t>
      </w:r>
      <w:r>
        <w:rPr>
          <w:rFonts w:cs="Arial" w:hint="cs"/>
          <w:rtl/>
        </w:rPr>
        <w:t>.</w:t>
      </w:r>
    </w:p>
  </w:footnote>
  <w:footnote w:id="1243">
    <w:p w14:paraId="1A72D655" w14:textId="77777777" w:rsidR="00DF1FC7" w:rsidRDefault="00DF1FC7" w:rsidP="002E5BAD">
      <w:pPr>
        <w:pStyle w:val="a5"/>
        <w:rPr>
          <w:rtl/>
        </w:rPr>
      </w:pPr>
      <w:r>
        <w:rPr>
          <w:rStyle w:val="a7"/>
        </w:rPr>
        <w:footnoteRef/>
      </w:r>
      <w:r>
        <w:rPr>
          <w:rtl/>
        </w:rPr>
        <w:t xml:space="preserve"> </w:t>
      </w:r>
      <w:r w:rsidRPr="0065663D">
        <w:rPr>
          <w:rFonts w:cs="Arial"/>
          <w:rtl/>
        </w:rPr>
        <w:t>ויש לו רשות לשנות מנהגו אם היה רגיל לעשות מלאכתו בביתו והיה עונתו ב"פ בשבוע רשאי לעשות מלאכה חוץ לעיר ויהיה עונתו פ"א בשבוע</w:t>
      </w:r>
      <w:r>
        <w:rPr>
          <w:rFonts w:hint="cs"/>
          <w:rtl/>
        </w:rPr>
        <w:t>, באה"ט (סק"ד). וכ"כ ח"מ (סק"ב).</w:t>
      </w:r>
    </w:p>
  </w:footnote>
  <w:footnote w:id="1244">
    <w:p w14:paraId="42954DE6" w14:textId="77777777" w:rsidR="00DF1FC7" w:rsidRDefault="00DF1FC7" w:rsidP="002E5BAD">
      <w:pPr>
        <w:pStyle w:val="a5"/>
      </w:pPr>
      <w:r>
        <w:rPr>
          <w:rStyle w:val="a7"/>
        </w:rPr>
        <w:footnoteRef/>
      </w:r>
      <w:r>
        <w:rPr>
          <w:rtl/>
        </w:rPr>
        <w:t xml:space="preserve"> </w:t>
      </w:r>
      <w:r w:rsidRPr="0065663D">
        <w:rPr>
          <w:rFonts w:cs="Arial"/>
          <w:rtl/>
        </w:rPr>
        <w:t>היינו ודאי כשהם בעירם בכל הלילה</w:t>
      </w:r>
      <w:r>
        <w:rPr>
          <w:rFonts w:cs="Arial" w:hint="cs"/>
          <w:rtl/>
        </w:rPr>
        <w:t>, ב"ש (סק"ג).</w:t>
      </w:r>
    </w:p>
  </w:footnote>
  <w:footnote w:id="1245">
    <w:p w14:paraId="74DA5448" w14:textId="77777777" w:rsidR="00DF1FC7" w:rsidRDefault="00DF1FC7" w:rsidP="002E5BAD">
      <w:pPr>
        <w:pStyle w:val="a5"/>
      </w:pPr>
      <w:r>
        <w:rPr>
          <w:rStyle w:val="a7"/>
        </w:rPr>
        <w:footnoteRef/>
      </w:r>
      <w:r>
        <w:rPr>
          <w:rtl/>
        </w:rPr>
        <w:t xml:space="preserve"> </w:t>
      </w:r>
      <w:r w:rsidRPr="000A3BE3">
        <w:rPr>
          <w:rFonts w:cs="Arial"/>
          <w:rtl/>
        </w:rPr>
        <w:t>יום שטבלה אשתו, דהוה ליה ליל תשמיש, והיינו כשמואל דאמר אפילו אשתו עמו</w:t>
      </w:r>
      <w:r>
        <w:rPr>
          <w:rFonts w:cs="Arial" w:hint="cs"/>
          <w:rtl/>
        </w:rPr>
        <w:t>, רש"י.</w:t>
      </w:r>
    </w:p>
  </w:footnote>
  <w:footnote w:id="1246">
    <w:p w14:paraId="76E0454A" w14:textId="77777777" w:rsidR="00DF1FC7" w:rsidRDefault="00DF1FC7" w:rsidP="002E5BAD">
      <w:pPr>
        <w:pStyle w:val="a5"/>
      </w:pPr>
      <w:r>
        <w:rPr>
          <w:rStyle w:val="a7"/>
        </w:rPr>
        <w:footnoteRef/>
      </w:r>
      <w:r>
        <w:rPr>
          <w:rtl/>
        </w:rPr>
        <w:t xml:space="preserve"> </w:t>
      </w:r>
      <w:r>
        <w:rPr>
          <w:rFonts w:hint="cs"/>
          <w:rtl/>
        </w:rPr>
        <w:t xml:space="preserve">ומכאן נראה לי להוכיח שהב"י חיבר את בדה"ב לפני השו"ע. שהרי לא נראה שיכתוב הלכה בשו"ע בלי להביא את מקורה בב"י. </w:t>
      </w:r>
    </w:p>
  </w:footnote>
  <w:footnote w:id="1247">
    <w:p w14:paraId="14CF20E5" w14:textId="77777777" w:rsidR="00DF1FC7" w:rsidRDefault="00DF1FC7" w:rsidP="002E5BAD">
      <w:pPr>
        <w:pStyle w:val="a5"/>
      </w:pPr>
      <w:r>
        <w:rPr>
          <w:rStyle w:val="a7"/>
        </w:rPr>
        <w:footnoteRef/>
      </w:r>
      <w:r>
        <w:rPr>
          <w:rtl/>
        </w:rPr>
        <w:t xml:space="preserve"> </w:t>
      </w:r>
      <w:r w:rsidRPr="004F5E0D">
        <w:rPr>
          <w:rFonts w:cs="Arial"/>
          <w:rtl/>
        </w:rPr>
        <w:t>אפילו בשני רעבון או שאר צרות ועיין בא"ח סי' תקע"ד ובי"ד סימן קפ"ד</w:t>
      </w:r>
      <w:r>
        <w:rPr>
          <w:rFonts w:cs="Arial" w:hint="cs"/>
          <w:rtl/>
        </w:rPr>
        <w:t>, ב"ש (סק"ו).</w:t>
      </w:r>
    </w:p>
  </w:footnote>
  <w:footnote w:id="1248">
    <w:p w14:paraId="692DB227" w14:textId="77777777" w:rsidR="00DF1FC7" w:rsidRDefault="00DF1FC7" w:rsidP="002E5BAD">
      <w:pPr>
        <w:pStyle w:val="a5"/>
      </w:pPr>
      <w:r>
        <w:rPr>
          <w:rStyle w:val="a7"/>
        </w:rPr>
        <w:footnoteRef/>
      </w:r>
      <w:r>
        <w:rPr>
          <w:rtl/>
        </w:rPr>
        <w:t xml:space="preserve"> </w:t>
      </w:r>
      <w:r w:rsidRPr="00037A65">
        <w:rPr>
          <w:rFonts w:cs="Arial"/>
          <w:rtl/>
        </w:rPr>
        <w:t>פי' ר"י דאתא לאשמועינן דאף על גב דמנהגם היה ללמוד ולעשות מלאכה בעירם ועונה האמורה בתור' לתלמיד מע"ש לע"ש כדאמרי' בגמ' ולפועלים שתים בשבת כדקתני סיפא אפ"ה יכולים לשנות ממנהגם ולצאת תלמידים ל' יום ופועלים שבת אחת</w:t>
      </w:r>
      <w:r>
        <w:rPr>
          <w:rFonts w:cs="Arial" w:hint="cs"/>
          <w:rtl/>
        </w:rPr>
        <w:t>, תוס' ((סא: ד"ה התלמידים). והביא הר"ן (כה: ד"ה התלמידים) את דבריהם, והוסיף ד</w:t>
      </w:r>
      <w:r w:rsidRPr="00037A65">
        <w:rPr>
          <w:rFonts w:cs="Arial"/>
          <w:rtl/>
        </w:rPr>
        <w:t>ביום שלשים ואחד יהיו בעירם אפילו אם אותו יום יחזרו לצאת להיות שלשים יום בחוץ וכן פועלים שהולכין לעיר אחרת ועומדין שם כל השבוע למלאכתם דהיינו ז' ימים ובשמיני יחזרו לביתם וכן לעולם דהיינו עונה האמורה בתורה לגבי תלמידים ופועלין הצריכין ללמוד ולעשות מלאכתן בעיר אחרת אבל תלמידים העומדים בעירם עונתם מערב שבת לע"ש כדאיתא בגמרא [סב</w:t>
      </w:r>
      <w:r>
        <w:rPr>
          <w:rFonts w:cs="Arial" w:hint="cs"/>
          <w:rtl/>
        </w:rPr>
        <w:t>:</w:t>
      </w:r>
      <w:r w:rsidRPr="00037A65">
        <w:rPr>
          <w:rFonts w:cs="Arial"/>
          <w:rtl/>
        </w:rPr>
        <w:t>] ופועלים נמי העושים בעירם עונה שלהם שתים בשבת כדתנן בסמוך בהך מתני'</w:t>
      </w:r>
      <w:r>
        <w:rPr>
          <w:rFonts w:hint="cs"/>
          <w:rtl/>
        </w:rPr>
        <w:t>.</w:t>
      </w:r>
    </w:p>
  </w:footnote>
  <w:footnote w:id="1249">
    <w:p w14:paraId="19186E84" w14:textId="77777777" w:rsidR="00DF1FC7" w:rsidRDefault="00DF1FC7" w:rsidP="002E5BAD">
      <w:pPr>
        <w:pStyle w:val="a5"/>
      </w:pPr>
      <w:r>
        <w:rPr>
          <w:rStyle w:val="a7"/>
        </w:rPr>
        <w:footnoteRef/>
      </w:r>
      <w:r>
        <w:rPr>
          <w:rtl/>
        </w:rPr>
        <w:t xml:space="preserve"> </w:t>
      </w:r>
      <w:r w:rsidRPr="00AC2446">
        <w:rPr>
          <w:rFonts w:cs="Arial"/>
          <w:rtl/>
        </w:rPr>
        <w:t>דרך ארץ שלא ישא עליו חטא ואפי' הוא יכול לפתותה שתתן לו רשות</w:t>
      </w:r>
      <w:r>
        <w:rPr>
          <w:rFonts w:cs="Arial" w:hint="cs"/>
          <w:rtl/>
        </w:rPr>
        <w:t>, רש"י.</w:t>
      </w:r>
      <w:r w:rsidRPr="00AC2446">
        <w:rPr>
          <w:rFonts w:cs="Arial"/>
          <w:rtl/>
        </w:rPr>
        <w:t xml:space="preserve"> </w:t>
      </w:r>
      <w:r>
        <w:rPr>
          <w:rFonts w:cs="Arial"/>
          <w:rtl/>
        </w:rPr>
        <w:t xml:space="preserve">וכתב הרא"ש (שם) </w:t>
      </w:r>
      <w:r>
        <w:rPr>
          <w:rFonts w:cs="Arial" w:hint="cs"/>
          <w:rtl/>
        </w:rPr>
        <w:t>דהיינו</w:t>
      </w:r>
      <w:r>
        <w:rPr>
          <w:rFonts w:cs="Arial"/>
          <w:rtl/>
        </w:rPr>
        <w:t xml:space="preserve"> שלא ישאל ממנה דבר של צער דשמא אף על פי שנותנת לו רשות על ידי פיוסו או על ידי שמתביישת ממנו לבה מצטער והני רבנן דנפקי טובא כתב הראב"ד לפי שהיתה תורתם אומנותם לא חשו לאורחא דמילתא</w:t>
      </w:r>
      <w:r>
        <w:rPr>
          <w:rFonts w:cs="Arial" w:hint="cs"/>
          <w:sz w:val="16"/>
          <w:szCs w:val="16"/>
          <w:rtl/>
        </w:rPr>
        <w:t xml:space="preserve"> [עכ"ל הרא"ש]</w:t>
      </w:r>
      <w:r>
        <w:rPr>
          <w:rFonts w:cs="Arial" w:hint="cs"/>
          <w:rtl/>
        </w:rPr>
        <w:t>.</w:t>
      </w:r>
    </w:p>
  </w:footnote>
  <w:footnote w:id="1250">
    <w:p w14:paraId="59548A74" w14:textId="77777777" w:rsidR="00DF1FC7" w:rsidRDefault="00DF1FC7" w:rsidP="002E5BAD">
      <w:pPr>
        <w:pStyle w:val="a5"/>
        <w:rPr>
          <w:rtl/>
        </w:rPr>
      </w:pPr>
      <w:r>
        <w:rPr>
          <w:rStyle w:val="a7"/>
        </w:rPr>
        <w:footnoteRef/>
      </w:r>
      <w:r>
        <w:rPr>
          <w:rtl/>
        </w:rPr>
        <w:t xml:space="preserve"> </w:t>
      </w:r>
      <w:r w:rsidRPr="00936DDD">
        <w:rPr>
          <w:rFonts w:cs="Arial"/>
          <w:rtl/>
        </w:rPr>
        <w:t>ונראה לר"י דאפועלים קאי ולא אתלמידים דהא אפי' שלא ברשות יוצאין לעולם ל' יום ויחזור לביתו יום אחד והכא קרא קאמר חדש בביתו או ב' חדשים למ"ד דאע"פ שהוא ברשות אלא אפועלים קאי וקרא נמי דמייתי בפועלים איירי וא"ת והיכי קאמר בסמוך שאני התם דאית להו רווחא פועלים דמתני' נמי אית להו רווחא וי"ל רווחא דהתם דמלאכת המלך נפיש</w:t>
      </w:r>
      <w:r>
        <w:rPr>
          <w:rFonts w:cs="Arial" w:hint="cs"/>
          <w:rtl/>
        </w:rPr>
        <w:t>, תוס' (שם ד"ה אלא אורחא דמילתא כמה)</w:t>
      </w:r>
      <w:r>
        <w:rPr>
          <w:rFonts w:hint="cs"/>
          <w:rtl/>
        </w:rPr>
        <w:t>. והביא הר"ן (כו. ד"ה איבעיא להו ברשות כמה) את דבריהם.</w:t>
      </w:r>
    </w:p>
  </w:footnote>
  <w:footnote w:id="1251">
    <w:p w14:paraId="1B506F71" w14:textId="77777777" w:rsidR="00DF1FC7" w:rsidRDefault="00DF1FC7" w:rsidP="002E5BAD">
      <w:pPr>
        <w:pStyle w:val="a5"/>
      </w:pPr>
      <w:r>
        <w:rPr>
          <w:rStyle w:val="a7"/>
        </w:rPr>
        <w:footnoteRef/>
      </w:r>
      <w:r>
        <w:rPr>
          <w:rtl/>
        </w:rPr>
        <w:t xml:space="preserve"> </w:t>
      </w:r>
      <w:r w:rsidRPr="004B7A9C">
        <w:rPr>
          <w:rFonts w:cs="Arial"/>
          <w:rtl/>
        </w:rPr>
        <w:t>תמה אני</w:t>
      </w:r>
      <w:r>
        <w:rPr>
          <w:rFonts w:cs="Arial" w:hint="cs"/>
          <w:rtl/>
        </w:rPr>
        <w:t>,</w:t>
      </w:r>
      <w:r w:rsidRPr="004B7A9C">
        <w:rPr>
          <w:rFonts w:cs="Arial"/>
          <w:rtl/>
        </w:rPr>
        <w:t xml:space="preserve"> אי אתלמידים קא מייתי </w:t>
      </w:r>
      <w:r>
        <w:rPr>
          <w:rFonts w:cs="Arial" w:hint="cs"/>
          <w:rtl/>
        </w:rPr>
        <w:t xml:space="preserve">- </w:t>
      </w:r>
      <w:r w:rsidRPr="004B7A9C">
        <w:rPr>
          <w:rFonts w:cs="Arial"/>
          <w:rtl/>
        </w:rPr>
        <w:t>הא תנן דאפילו שלא ברשות די להם פעם אחת לשלשים יום והיכי נימא דאפי' ברשות דוקא בשני חדשים או חדש אחד בבית</w:t>
      </w:r>
      <w:r>
        <w:rPr>
          <w:rFonts w:cs="Arial" w:hint="cs"/>
          <w:rtl/>
        </w:rPr>
        <w:t>.</w:t>
      </w:r>
      <w:r w:rsidRPr="004B7A9C">
        <w:rPr>
          <w:rFonts w:cs="Arial"/>
          <w:rtl/>
        </w:rPr>
        <w:t xml:space="preserve"> ואפשר דכי תנן במתניתין שלשים יום</w:t>
      </w:r>
      <w:r>
        <w:rPr>
          <w:rFonts w:cs="Arial" w:hint="cs"/>
          <w:rtl/>
        </w:rPr>
        <w:t>,</w:t>
      </w:r>
      <w:r w:rsidRPr="004B7A9C">
        <w:rPr>
          <w:rFonts w:cs="Arial"/>
          <w:rtl/>
        </w:rPr>
        <w:t xml:space="preserve"> לא שיעשו כן בקבע תדיר</w:t>
      </w:r>
      <w:r>
        <w:rPr>
          <w:rFonts w:cs="Arial" w:hint="cs"/>
          <w:rtl/>
        </w:rPr>
        <w:t>,</w:t>
      </w:r>
      <w:r w:rsidRPr="004B7A9C">
        <w:rPr>
          <w:rFonts w:cs="Arial"/>
          <w:rtl/>
        </w:rPr>
        <w:t xml:space="preserve"> אלא באקראי בעלמא</w:t>
      </w:r>
      <w:r>
        <w:rPr>
          <w:rFonts w:cs="Arial" w:hint="cs"/>
          <w:rtl/>
        </w:rPr>
        <w:t>.</w:t>
      </w:r>
      <w:r w:rsidRPr="004B7A9C">
        <w:rPr>
          <w:rFonts w:cs="Arial"/>
          <w:rtl/>
        </w:rPr>
        <w:t xml:space="preserve"> ואחרים פירשו דבגמרא אפועלים קיימי</w:t>
      </w:r>
      <w:r>
        <w:rPr>
          <w:rFonts w:cs="Arial" w:hint="cs"/>
          <w:rtl/>
        </w:rPr>
        <w:t>,</w:t>
      </w:r>
      <w:r w:rsidRPr="004B7A9C">
        <w:rPr>
          <w:rFonts w:cs="Arial"/>
          <w:rtl/>
        </w:rPr>
        <w:t xml:space="preserve"> דקראי דמוכיחי מינייהו רב ור' יוחנן בפועלים מיירי</w:t>
      </w:r>
      <w:r>
        <w:rPr>
          <w:rFonts w:cs="Arial" w:hint="cs"/>
          <w:rtl/>
        </w:rPr>
        <w:t>,</w:t>
      </w:r>
      <w:r w:rsidRPr="004B7A9C">
        <w:rPr>
          <w:rFonts w:cs="Arial"/>
          <w:rtl/>
        </w:rPr>
        <w:t xml:space="preserve"> ואף על גב דאמרינן בגמ' </w:t>
      </w:r>
      <w:r>
        <w:rPr>
          <w:rFonts w:cs="Arial" w:hint="cs"/>
          <w:rtl/>
        </w:rPr>
        <w:t>'</w:t>
      </w:r>
      <w:r w:rsidRPr="004B7A9C">
        <w:rPr>
          <w:rFonts w:cs="Arial"/>
          <w:rtl/>
        </w:rPr>
        <w:t>שאני התם דאית ליה רווחא</w:t>
      </w:r>
      <w:r>
        <w:rPr>
          <w:rFonts w:cs="Arial" w:hint="cs"/>
          <w:rtl/>
        </w:rPr>
        <w:t>'</w:t>
      </w:r>
      <w:r w:rsidRPr="004B7A9C">
        <w:rPr>
          <w:rFonts w:cs="Arial"/>
          <w:rtl/>
        </w:rPr>
        <w:t xml:space="preserve"> ה"ק דרווחא דעבודת המלך נפיש מרווחא דפועלים</w:t>
      </w:r>
      <w:r>
        <w:rPr>
          <w:rFonts w:cs="Arial" w:hint="cs"/>
          <w:rtl/>
        </w:rPr>
        <w:t>, ר"ן (כו. ד"ה גרסינן, הדרכ"מ [אות ג] הביא חלק מדבריו)</w:t>
      </w:r>
      <w:r>
        <w:rPr>
          <w:rFonts w:hint="cs"/>
          <w:rtl/>
        </w:rPr>
        <w:t>.</w:t>
      </w:r>
    </w:p>
  </w:footnote>
  <w:footnote w:id="1252">
    <w:p w14:paraId="77CFF9B8" w14:textId="77777777" w:rsidR="00DF1FC7" w:rsidRDefault="00DF1FC7" w:rsidP="002E5BAD">
      <w:pPr>
        <w:pStyle w:val="a5"/>
      </w:pPr>
      <w:r>
        <w:rPr>
          <w:rStyle w:val="a7"/>
        </w:rPr>
        <w:footnoteRef/>
      </w:r>
      <w:r>
        <w:rPr>
          <w:rtl/>
        </w:rPr>
        <w:t xml:space="preserve"> </w:t>
      </w:r>
      <w:r w:rsidRPr="00CB1695">
        <w:rPr>
          <w:rFonts w:cs="Arial"/>
          <w:rtl/>
        </w:rPr>
        <w:t>נישאת לו כשהוא חמר מהו ליעשות גמל שלא ברשות הרווחה עדיפא לה שיתעשר או עונה עדיפא לה</w:t>
      </w:r>
      <w:r>
        <w:rPr>
          <w:rFonts w:cs="Arial" w:hint="cs"/>
          <w:rtl/>
        </w:rPr>
        <w:t>, רש"י.</w:t>
      </w:r>
    </w:p>
  </w:footnote>
  <w:footnote w:id="1253">
    <w:p w14:paraId="00AC067A" w14:textId="77777777" w:rsidR="00DF1FC7" w:rsidRDefault="00DF1FC7" w:rsidP="002E5BAD">
      <w:pPr>
        <w:pStyle w:val="a5"/>
      </w:pPr>
      <w:r>
        <w:rPr>
          <w:rStyle w:val="a7"/>
        </w:rPr>
        <w:footnoteRef/>
      </w:r>
      <w:r>
        <w:rPr>
          <w:rtl/>
        </w:rPr>
        <w:t xml:space="preserve"> </w:t>
      </w:r>
      <w:r w:rsidRPr="00CB1695">
        <w:rPr>
          <w:rFonts w:cs="Arial"/>
          <w:rtl/>
        </w:rPr>
        <w:t>להיות בעלה עמה</w:t>
      </w:r>
      <w:r>
        <w:rPr>
          <w:rFonts w:cs="Arial" w:hint="cs"/>
          <w:rtl/>
        </w:rPr>
        <w:t>, רש"י.</w:t>
      </w:r>
    </w:p>
  </w:footnote>
  <w:footnote w:id="1254">
    <w:p w14:paraId="628128E5" w14:textId="77777777" w:rsidR="00DF1FC7" w:rsidRDefault="00DF1FC7" w:rsidP="002E5BAD">
      <w:pPr>
        <w:pStyle w:val="a5"/>
      </w:pPr>
      <w:r>
        <w:rPr>
          <w:rStyle w:val="a7"/>
        </w:rPr>
        <w:footnoteRef/>
      </w:r>
      <w:r>
        <w:rPr>
          <w:rtl/>
        </w:rPr>
        <w:t xml:space="preserve"> </w:t>
      </w:r>
      <w:r w:rsidRPr="00CB1695">
        <w:rPr>
          <w:rFonts w:cs="Arial"/>
          <w:rtl/>
        </w:rPr>
        <w:t>להתעשר</w:t>
      </w:r>
      <w:r>
        <w:rPr>
          <w:rFonts w:cs="Arial" w:hint="cs"/>
          <w:rtl/>
        </w:rPr>
        <w:t>, רש"י.</w:t>
      </w:r>
    </w:p>
  </w:footnote>
  <w:footnote w:id="1255">
    <w:p w14:paraId="100ACA56" w14:textId="77777777" w:rsidR="00DF1FC7" w:rsidRDefault="00DF1FC7" w:rsidP="002E5BAD">
      <w:pPr>
        <w:pStyle w:val="a5"/>
        <w:rPr>
          <w:rtl/>
        </w:rPr>
      </w:pPr>
      <w:r>
        <w:rPr>
          <w:rStyle w:val="a7"/>
        </w:rPr>
        <w:footnoteRef/>
      </w:r>
      <w:r>
        <w:rPr>
          <w:rtl/>
        </w:rPr>
        <w:t xml:space="preserve"> </w:t>
      </w:r>
      <w:r w:rsidRPr="00AC2446">
        <w:rPr>
          <w:rFonts w:cs="Arial"/>
          <w:rtl/>
        </w:rPr>
        <w:t>ולי נראה דכיון דלית כאן אלא אורחא דמילתא והא קא יהבי רשות עבדינן להקל כרב</w:t>
      </w:r>
      <w:r>
        <w:rPr>
          <w:rFonts w:cs="Arial" w:hint="cs"/>
          <w:rtl/>
        </w:rPr>
        <w:t>, רא"ש (שם).</w:t>
      </w:r>
    </w:p>
  </w:footnote>
  <w:footnote w:id="1256">
    <w:p w14:paraId="09010ED3" w14:textId="77777777" w:rsidR="00DF1FC7" w:rsidRDefault="00DF1FC7" w:rsidP="002E5BAD">
      <w:pPr>
        <w:pStyle w:val="a5"/>
      </w:pPr>
      <w:r>
        <w:rPr>
          <w:rStyle w:val="a7"/>
        </w:rPr>
        <w:footnoteRef/>
      </w:r>
      <w:r>
        <w:rPr>
          <w:rtl/>
        </w:rPr>
        <w:t xml:space="preserve"> </w:t>
      </w:r>
      <w:r>
        <w:rPr>
          <w:rFonts w:cs="Arial" w:hint="cs"/>
          <w:rtl/>
        </w:rPr>
        <w:t>כ</w:t>
      </w:r>
      <w:r w:rsidRPr="00497C61">
        <w:rPr>
          <w:rFonts w:cs="Arial"/>
          <w:rtl/>
        </w:rPr>
        <w:t>הני רבנן דנפקי טובא</w:t>
      </w:r>
      <w:r>
        <w:rPr>
          <w:rFonts w:cs="Arial" w:hint="cs"/>
          <w:rtl/>
        </w:rPr>
        <w:t>...</w:t>
      </w:r>
      <w:r w:rsidRPr="00497C61">
        <w:rPr>
          <w:rFonts w:cs="Arial"/>
          <w:rtl/>
        </w:rPr>
        <w:t xml:space="preserve"> לפי שהיתה תורתן אומנתן ולא חשו לאורחא דמילתא</w:t>
      </w:r>
      <w:r>
        <w:rPr>
          <w:rFonts w:cs="Arial" w:hint="cs"/>
          <w:rtl/>
        </w:rPr>
        <w:t>, ראב"ד (כ"כ הרא"ש בשמו).</w:t>
      </w:r>
    </w:p>
  </w:footnote>
  <w:footnote w:id="1257">
    <w:p w14:paraId="08A2765E" w14:textId="77777777" w:rsidR="00DF1FC7" w:rsidRDefault="00DF1FC7" w:rsidP="002E5BAD">
      <w:pPr>
        <w:pStyle w:val="a5"/>
      </w:pPr>
      <w:r>
        <w:rPr>
          <w:rStyle w:val="a7"/>
        </w:rPr>
        <w:footnoteRef/>
      </w:r>
      <w:r>
        <w:rPr>
          <w:rtl/>
        </w:rPr>
        <w:t xml:space="preserve"> </w:t>
      </w:r>
      <w:r w:rsidRPr="001E2E22">
        <w:rPr>
          <w:rFonts w:cs="Arial"/>
          <w:rtl/>
        </w:rPr>
        <w:t>כרב אדא בר אהבה מדקאמר סמכי רבנן אדרב אדא בר אהבה וקא עבדי עובדא בנפשייהו</w:t>
      </w:r>
      <w:r>
        <w:rPr>
          <w:rFonts w:cs="Arial" w:hint="cs"/>
          <w:rtl/>
        </w:rPr>
        <w:t>, רמ"ה (כ"כ הרא"ש בשמו [שם]).</w:t>
      </w:r>
      <w:r w:rsidRPr="00A74239">
        <w:rPr>
          <w:rFonts w:cs="Arial" w:hint="cs"/>
          <w:rtl/>
        </w:rPr>
        <w:t xml:space="preserve"> </w:t>
      </w:r>
      <w:r>
        <w:rPr>
          <w:rFonts w:cs="Arial" w:hint="cs"/>
          <w:rtl/>
        </w:rPr>
        <w:t>ו</w:t>
      </w:r>
      <w:r w:rsidRPr="001E2E22">
        <w:rPr>
          <w:rFonts w:cs="Arial"/>
          <w:rtl/>
        </w:rPr>
        <w:t>אע"ג דהלכתא הכי לא מיבעי לעגוני לנפשייהו כולי האי</w:t>
      </w:r>
      <w:r>
        <w:rPr>
          <w:rFonts w:cs="Arial" w:hint="cs"/>
          <w:rtl/>
        </w:rPr>
        <w:t>,</w:t>
      </w:r>
      <w:r w:rsidRPr="001E2E22">
        <w:rPr>
          <w:rFonts w:cs="Arial"/>
          <w:rtl/>
        </w:rPr>
        <w:t xml:space="preserve"> דמתוך שדמעתה מצויה אונאתה קרובה</w:t>
      </w:r>
      <w:r>
        <w:rPr>
          <w:rFonts w:cs="Arial" w:hint="cs"/>
          <w:rtl/>
        </w:rPr>
        <w:t>,</w:t>
      </w:r>
      <w:r w:rsidRPr="001E2E22">
        <w:rPr>
          <w:rFonts w:cs="Arial"/>
          <w:rtl/>
        </w:rPr>
        <w:t xml:space="preserve"> ודמיא להא דאמרי' לעיל דאורחא דמילתא בכמה דאע"ג דיהבא ליה רשותא עצה טובה קמ"ל שלא יעגנה אף על פי שהוא ברשות</w:t>
      </w:r>
      <w:r>
        <w:rPr>
          <w:rFonts w:cs="Arial" w:hint="cs"/>
          <w:rtl/>
        </w:rPr>
        <w:t>, רא"ש (שם) וטור.</w:t>
      </w:r>
      <w:r w:rsidRPr="001E2E22">
        <w:rPr>
          <w:rFonts w:cs="Arial"/>
          <w:rtl/>
        </w:rPr>
        <w:t xml:space="preserve"> </w:t>
      </w:r>
      <w:r>
        <w:rPr>
          <w:rFonts w:cs="Arial" w:hint="cs"/>
          <w:rtl/>
        </w:rPr>
        <w:t>ו</w:t>
      </w:r>
      <w:r>
        <w:rPr>
          <w:rFonts w:cs="Arial"/>
          <w:rtl/>
        </w:rPr>
        <w:t>איפשר דמהא דהיו נענשים קאמר לה</w:t>
      </w:r>
      <w:r>
        <w:rPr>
          <w:rFonts w:cs="Arial" w:hint="cs"/>
          <w:sz w:val="16"/>
          <w:szCs w:val="16"/>
          <w:rtl/>
        </w:rPr>
        <w:t xml:space="preserve"> {הרא"ש והטור}</w:t>
      </w:r>
      <w:r>
        <w:rPr>
          <w:rFonts w:cs="Arial" w:hint="cs"/>
          <w:rtl/>
        </w:rPr>
        <w:t>, ב"י.</w:t>
      </w:r>
    </w:p>
  </w:footnote>
  <w:footnote w:id="1258">
    <w:p w14:paraId="5BA3B316" w14:textId="77777777" w:rsidR="00DF1FC7" w:rsidRDefault="00DF1FC7" w:rsidP="002E5BAD">
      <w:pPr>
        <w:pStyle w:val="a5"/>
      </w:pPr>
      <w:r>
        <w:rPr>
          <w:rStyle w:val="a7"/>
        </w:rPr>
        <w:footnoteRef/>
      </w:r>
      <w:r>
        <w:rPr>
          <w:rtl/>
        </w:rPr>
        <w:t xml:space="preserve"> </w:t>
      </w:r>
      <w:r>
        <w:rPr>
          <w:rFonts w:cs="Arial"/>
          <w:rtl/>
        </w:rPr>
        <w:t>מ"ש רבינו דכיון שהוא אצלה תמיד וגם חוזר ללמוד תורה אינה מקפדת. הם דברי עצמו</w:t>
      </w:r>
      <w:r>
        <w:rPr>
          <w:rFonts w:cs="Arial" w:hint="cs"/>
          <w:rtl/>
        </w:rPr>
        <w:t>,</w:t>
      </w:r>
      <w:r>
        <w:rPr>
          <w:rFonts w:cs="Arial"/>
          <w:rtl/>
        </w:rPr>
        <w:t xml:space="preserve"> לומר דאפילו למאן דפסק כרבי אליעזר רשאי</w:t>
      </w:r>
      <w:r>
        <w:rPr>
          <w:rFonts w:cs="Arial" w:hint="cs"/>
          <w:rtl/>
        </w:rPr>
        <w:t>,</w:t>
      </w:r>
      <w:r>
        <w:rPr>
          <w:rFonts w:cs="Arial"/>
          <w:rtl/>
        </w:rPr>
        <w:t xml:space="preserve"> אבל למאן דפסק כחכמים נראה דאפילו ה</w:t>
      </w:r>
      <w:r>
        <w:rPr>
          <w:rFonts w:cs="Arial" w:hint="cs"/>
          <w:rtl/>
        </w:rPr>
        <w:t>ו</w:t>
      </w:r>
      <w:r>
        <w:rPr>
          <w:rFonts w:cs="Arial"/>
          <w:rtl/>
        </w:rPr>
        <w:t>לך ללמוד חוץ לעיר רשאי</w:t>
      </w:r>
      <w:r>
        <w:rPr>
          <w:rFonts w:cs="Arial" w:hint="cs"/>
          <w:rtl/>
        </w:rPr>
        <w:t>,</w:t>
      </w:r>
      <w:r>
        <w:rPr>
          <w:rFonts w:cs="Arial"/>
          <w:rtl/>
        </w:rPr>
        <w:t xml:space="preserve"> וזהו שלא הזכיר הרמב"ם טעם בדבר אלא סתם וכתב אין אשתו יכולה לעכב</w:t>
      </w:r>
      <w:r>
        <w:rPr>
          <w:rFonts w:cs="Arial" w:hint="cs"/>
          <w:rtl/>
        </w:rPr>
        <w:t>, ב"י.</w:t>
      </w:r>
    </w:p>
  </w:footnote>
  <w:footnote w:id="1259">
    <w:p w14:paraId="321A4303" w14:textId="77777777" w:rsidR="00DF1FC7" w:rsidRDefault="00DF1FC7" w:rsidP="002E5BAD">
      <w:pPr>
        <w:pStyle w:val="a5"/>
      </w:pPr>
      <w:r>
        <w:rPr>
          <w:rStyle w:val="a7"/>
        </w:rPr>
        <w:footnoteRef/>
      </w:r>
      <w:r>
        <w:rPr>
          <w:rtl/>
        </w:rPr>
        <w:t xml:space="preserve"> </w:t>
      </w:r>
      <w:r w:rsidRPr="00457983">
        <w:rPr>
          <w:rFonts w:cs="Arial"/>
          <w:rtl/>
        </w:rPr>
        <w:t>זה פשוט</w:t>
      </w:r>
      <w:r>
        <w:rPr>
          <w:rFonts w:cs="Arial" w:hint="cs"/>
          <w:rtl/>
        </w:rPr>
        <w:t>,</w:t>
      </w:r>
      <w:r w:rsidRPr="00457983">
        <w:rPr>
          <w:rFonts w:cs="Arial"/>
          <w:rtl/>
        </w:rPr>
        <w:t xml:space="preserve"> וכבר הזכרתי (פי"ד ה"ב) שאמרו בפרק אף על פי (סא:) ברשות כמה דבעי. במה דברים אמורים וכו' ביאר רבינו שמצות פריה ורביה ומצות עונה הם ב' דברים ואין זו תלויה בזו</w:t>
      </w:r>
      <w:r>
        <w:rPr>
          <w:rFonts w:cs="Arial" w:hint="cs"/>
          <w:rtl/>
        </w:rPr>
        <w:t>, הה"מ (שם).</w:t>
      </w:r>
    </w:p>
  </w:footnote>
  <w:footnote w:id="1260">
    <w:p w14:paraId="348992C5" w14:textId="77777777" w:rsidR="00DF1FC7" w:rsidRDefault="00DF1FC7" w:rsidP="002E5BAD">
      <w:pPr>
        <w:pStyle w:val="a5"/>
      </w:pPr>
      <w:r>
        <w:rPr>
          <w:rStyle w:val="a7"/>
        </w:rPr>
        <w:footnoteRef/>
      </w:r>
      <w:r>
        <w:rPr>
          <w:rtl/>
        </w:rPr>
        <w:t xml:space="preserve"> </w:t>
      </w:r>
      <w:r w:rsidRPr="008000C2">
        <w:rPr>
          <w:rFonts w:cs="Arial"/>
          <w:rtl/>
        </w:rPr>
        <w:t>עיין במל"מ פט"ו מה"א דין א' שכ' דמשמע דקודם נישואין לא מהני רשות' כו' עש"ב</w:t>
      </w:r>
      <w:r>
        <w:rPr>
          <w:rFonts w:cs="Arial" w:hint="cs"/>
          <w:rtl/>
        </w:rPr>
        <w:t>, פת"ש (סק"ה).</w:t>
      </w:r>
    </w:p>
  </w:footnote>
  <w:footnote w:id="1261">
    <w:p w14:paraId="1CD070C0" w14:textId="77777777" w:rsidR="00DF1FC7" w:rsidRDefault="00DF1FC7" w:rsidP="002E5BAD">
      <w:pPr>
        <w:pStyle w:val="a5"/>
        <w:rPr>
          <w:rtl/>
        </w:rPr>
      </w:pPr>
      <w:r>
        <w:rPr>
          <w:rStyle w:val="a7"/>
        </w:rPr>
        <w:footnoteRef/>
      </w:r>
      <w:r>
        <w:rPr>
          <w:rtl/>
        </w:rPr>
        <w:t xml:space="preserve"> </w:t>
      </w:r>
      <w:r w:rsidRPr="00D54221">
        <w:rPr>
          <w:rFonts w:cs="Arial"/>
          <w:rtl/>
        </w:rPr>
        <w:t>בתמיה ובמה יפרנס כולן</w:t>
      </w:r>
      <w:r>
        <w:rPr>
          <w:rFonts w:hint="cs"/>
          <w:rtl/>
        </w:rPr>
        <w:t>, רש"י.</w:t>
      </w:r>
    </w:p>
  </w:footnote>
  <w:footnote w:id="1262">
    <w:p w14:paraId="03823FC8" w14:textId="77777777" w:rsidR="00DF1FC7" w:rsidRDefault="00DF1FC7" w:rsidP="002E5BAD">
      <w:pPr>
        <w:pStyle w:val="a5"/>
      </w:pPr>
      <w:r>
        <w:rPr>
          <w:rStyle w:val="a7"/>
        </w:rPr>
        <w:footnoteRef/>
      </w:r>
      <w:r>
        <w:rPr>
          <w:rtl/>
        </w:rPr>
        <w:t xml:space="preserve"> </w:t>
      </w:r>
      <w:r w:rsidRPr="00D54221">
        <w:rPr>
          <w:rFonts w:cs="Arial"/>
          <w:rtl/>
        </w:rPr>
        <w:t>שעשיר הוא ויכול לזונן</w:t>
      </w:r>
      <w:r>
        <w:rPr>
          <w:rFonts w:cs="Arial" w:hint="cs"/>
          <w:rtl/>
        </w:rPr>
        <w:t>, רש"י.</w:t>
      </w:r>
    </w:p>
  </w:footnote>
  <w:footnote w:id="1263">
    <w:p w14:paraId="36D5A0D1" w14:textId="77777777" w:rsidR="00DF1FC7" w:rsidRDefault="00DF1FC7" w:rsidP="002E5BAD">
      <w:pPr>
        <w:pStyle w:val="a5"/>
      </w:pPr>
      <w:r>
        <w:rPr>
          <w:rStyle w:val="a7"/>
        </w:rPr>
        <w:footnoteRef/>
      </w:r>
      <w:r>
        <w:rPr>
          <w:rtl/>
        </w:rPr>
        <w:t xml:space="preserve"> </w:t>
      </w:r>
      <w:r w:rsidRPr="00D54221">
        <w:rPr>
          <w:rFonts w:cs="Arial"/>
          <w:rtl/>
        </w:rPr>
        <w:t>עונה של ת"ח מערב שבת לערב שבת וזהו אשר פריו יתן בעתו בכתובות (סב:)</w:t>
      </w:r>
      <w:r>
        <w:rPr>
          <w:rFonts w:cs="Arial" w:hint="cs"/>
          <w:rtl/>
        </w:rPr>
        <w:t>,</w:t>
      </w:r>
      <w:r w:rsidRPr="00D54221">
        <w:rPr>
          <w:rFonts w:cs="Arial"/>
          <w:rtl/>
        </w:rPr>
        <w:t xml:space="preserve"> דמטי לכל חדא עונה בחדש</w:t>
      </w:r>
      <w:r>
        <w:rPr>
          <w:rFonts w:cs="Arial" w:hint="cs"/>
          <w:rtl/>
        </w:rPr>
        <w:t>, רש"י.</w:t>
      </w:r>
    </w:p>
  </w:footnote>
  <w:footnote w:id="1264">
    <w:p w14:paraId="3C873E81" w14:textId="77777777" w:rsidR="00DF1FC7" w:rsidRDefault="00DF1FC7" w:rsidP="002E5BAD">
      <w:pPr>
        <w:pStyle w:val="a5"/>
        <w:rPr>
          <w:rtl/>
        </w:rPr>
      </w:pPr>
      <w:r>
        <w:rPr>
          <w:rStyle w:val="a7"/>
        </w:rPr>
        <w:footnoteRef/>
      </w:r>
      <w:r>
        <w:rPr>
          <w:rtl/>
        </w:rPr>
        <w:t xml:space="preserve"> </w:t>
      </w:r>
      <w:r w:rsidRPr="00457983">
        <w:rPr>
          <w:rFonts w:cs="Arial"/>
          <w:rtl/>
        </w:rPr>
        <w:t>וחרם זה דר"ג לא פשט בכל המקומות שהרי כתב הרשב"א בתשובה (ח"ג סי' תמו) שתקנת רבינו גרשום לא פשטה בארצו</w:t>
      </w:r>
      <w:r>
        <w:rPr>
          <w:rFonts w:cs="Arial" w:hint="cs"/>
          <w:rtl/>
        </w:rPr>
        <w:t>.</w:t>
      </w:r>
      <w:r w:rsidRPr="00457983">
        <w:rPr>
          <w:rFonts w:cs="Arial"/>
          <w:rtl/>
        </w:rPr>
        <w:t xml:space="preserve"> וגם במקומות שפשטה אין לכוף מטעם חרם ר"ג שהרי כתב מהרי"ק בסימן ק"א (ענף ד) שלא גזר ר"ג אלא עד סוף האלף החמשי וכבר כתבתי כל זה בסימן א' (ג:) ועיין שם</w:t>
      </w:r>
      <w:r>
        <w:rPr>
          <w:rFonts w:cs="Arial" w:hint="cs"/>
          <w:rtl/>
        </w:rPr>
        <w:t>, ב"י.</w:t>
      </w:r>
    </w:p>
  </w:footnote>
  <w:footnote w:id="1265">
    <w:p w14:paraId="2B75A6C4" w14:textId="77777777" w:rsidR="00DF1FC7" w:rsidRDefault="00DF1FC7" w:rsidP="002E5BAD">
      <w:pPr>
        <w:pStyle w:val="a5"/>
        <w:rPr>
          <w:rtl/>
        </w:rPr>
      </w:pPr>
      <w:r>
        <w:rPr>
          <w:rStyle w:val="a7"/>
        </w:rPr>
        <w:footnoteRef/>
      </w:r>
      <w:r>
        <w:rPr>
          <w:rtl/>
        </w:rPr>
        <w:t xml:space="preserve"> </w:t>
      </w:r>
      <w:r w:rsidRPr="00802B62">
        <w:rPr>
          <w:rFonts w:cs="Arial"/>
          <w:sz w:val="22"/>
          <w:szCs w:val="22"/>
          <w:rtl/>
        </w:rPr>
        <w:t>וידוע דהלכה כבית הלל</w:t>
      </w:r>
      <w:r w:rsidRPr="00802B62">
        <w:rPr>
          <w:rFonts w:cs="Arial" w:hint="cs"/>
          <w:sz w:val="22"/>
          <w:szCs w:val="22"/>
          <w:rtl/>
        </w:rPr>
        <w:t>, ב"י</w:t>
      </w:r>
      <w:r>
        <w:rPr>
          <w:rFonts w:hint="cs"/>
          <w:rtl/>
        </w:rPr>
        <w:t>.</w:t>
      </w:r>
    </w:p>
  </w:footnote>
  <w:footnote w:id="1266">
    <w:p w14:paraId="5B8B871E" w14:textId="77777777" w:rsidR="00DF1FC7" w:rsidRDefault="00DF1FC7" w:rsidP="002E5BAD">
      <w:pPr>
        <w:pStyle w:val="a5"/>
      </w:pPr>
      <w:r>
        <w:rPr>
          <w:rStyle w:val="a7"/>
        </w:rPr>
        <w:footnoteRef/>
      </w:r>
      <w:r>
        <w:rPr>
          <w:rtl/>
        </w:rPr>
        <w:t xml:space="preserve"> </w:t>
      </w:r>
      <w:r w:rsidRPr="00CB1695">
        <w:rPr>
          <w:rFonts w:cs="Arial"/>
          <w:rtl/>
        </w:rPr>
        <w:t>תנא דסתם לעיל המדיר את אשתו בית הלל אומרים שבת אחת אין לו לומר זאת לא בספן ולא בגמל ולא בחמר ולא בתלמידי חכמים שהרי אף החמר עונתו אחת בשבת ובשביל יום אחד יוציא ויתן כתובה הרי עונתו משבעה לשבעה וכ"ש גמל וספן אין בכלל הזה אלא טייל ופועל העושה מלאכה בעירו שדרכו לשמש שתים בשבת</w:t>
      </w:r>
      <w:r>
        <w:rPr>
          <w:rFonts w:cs="Arial" w:hint="cs"/>
          <w:rtl/>
        </w:rPr>
        <w:t>, רש"י.</w:t>
      </w:r>
    </w:p>
  </w:footnote>
  <w:footnote w:id="1267">
    <w:p w14:paraId="12CB628B" w14:textId="77777777" w:rsidR="00DF1FC7" w:rsidRDefault="00DF1FC7" w:rsidP="002E5BAD">
      <w:pPr>
        <w:pStyle w:val="a5"/>
        <w:rPr>
          <w:rtl/>
        </w:rPr>
      </w:pPr>
      <w:r>
        <w:rPr>
          <w:rStyle w:val="a7"/>
        </w:rPr>
        <w:footnoteRef/>
      </w:r>
      <w:r>
        <w:rPr>
          <w:rtl/>
        </w:rPr>
        <w:t xml:space="preserve"> </w:t>
      </w:r>
      <w:r w:rsidRPr="00CB1695">
        <w:rPr>
          <w:rFonts w:cs="Arial"/>
          <w:rtl/>
        </w:rPr>
        <w:t>נמי קאמר דע"י נדר יתר משבת אחת לא</w:t>
      </w:r>
      <w:r>
        <w:rPr>
          <w:rFonts w:hint="cs"/>
          <w:rtl/>
        </w:rPr>
        <w:t>, רש"י.</w:t>
      </w:r>
    </w:p>
  </w:footnote>
  <w:footnote w:id="1268">
    <w:p w14:paraId="1F901D67" w14:textId="77777777" w:rsidR="00DF1FC7" w:rsidRDefault="00DF1FC7" w:rsidP="002E5BAD">
      <w:pPr>
        <w:pStyle w:val="a5"/>
      </w:pPr>
      <w:r>
        <w:rPr>
          <w:rStyle w:val="a7"/>
        </w:rPr>
        <w:footnoteRef/>
      </w:r>
      <w:r>
        <w:rPr>
          <w:rtl/>
        </w:rPr>
        <w:t xml:space="preserve"> </w:t>
      </w:r>
      <w:r w:rsidRPr="00CB1695">
        <w:rPr>
          <w:rFonts w:cs="Arial"/>
          <w:rtl/>
        </w:rPr>
        <w:t>בלא נדר ששה חדשים קאמר בספנים</w:t>
      </w:r>
      <w:r>
        <w:rPr>
          <w:rFonts w:cs="Arial" w:hint="cs"/>
          <w:rtl/>
        </w:rPr>
        <w:t>, רש"י.</w:t>
      </w:r>
    </w:p>
  </w:footnote>
  <w:footnote w:id="1269">
    <w:p w14:paraId="76C4C704" w14:textId="77777777" w:rsidR="00DF1FC7" w:rsidRDefault="00DF1FC7" w:rsidP="002E5BAD">
      <w:pPr>
        <w:pStyle w:val="a5"/>
        <w:rPr>
          <w:rtl/>
        </w:rPr>
      </w:pPr>
      <w:r>
        <w:rPr>
          <w:rStyle w:val="a7"/>
        </w:rPr>
        <w:footnoteRef/>
      </w:r>
      <w:r>
        <w:rPr>
          <w:rtl/>
        </w:rPr>
        <w:t xml:space="preserve"> </w:t>
      </w:r>
      <w:r w:rsidRPr="00CB1695">
        <w:rPr>
          <w:rFonts w:cs="Arial"/>
          <w:rtl/>
        </w:rPr>
        <w:t>לענין תענית מי שיש לו כו' אף כאן בלא נדר דעתה נוחה לבעלה שמא יבא בתוך הזמן אבל זו משהדירה הרי היא כמי שאינה מצפה לבעל</w:t>
      </w:r>
      <w:r>
        <w:rPr>
          <w:rFonts w:hint="cs"/>
          <w:rtl/>
        </w:rPr>
        <w:t>, רש"י.</w:t>
      </w:r>
    </w:p>
  </w:footnote>
  <w:footnote w:id="1270">
    <w:p w14:paraId="7613D30B" w14:textId="77777777" w:rsidR="00DF1FC7" w:rsidRDefault="00DF1FC7" w:rsidP="002E5BAD">
      <w:pPr>
        <w:pStyle w:val="a5"/>
      </w:pPr>
      <w:r>
        <w:rPr>
          <w:rStyle w:val="a7"/>
        </w:rPr>
        <w:footnoteRef/>
      </w:r>
      <w:r>
        <w:rPr>
          <w:rtl/>
        </w:rPr>
        <w:t xml:space="preserve"> </w:t>
      </w:r>
      <w:r w:rsidRPr="00650052">
        <w:rPr>
          <w:rFonts w:cs="Arial"/>
          <w:rtl/>
        </w:rPr>
        <w:t>שפירש שלשים יום הוא דלא כפינן ליה להוציא אלא יעמיד פרנס</w:t>
      </w:r>
      <w:r>
        <w:rPr>
          <w:rFonts w:cs="Arial" w:hint="cs"/>
          <w:rtl/>
        </w:rPr>
        <w:t>, רש"י.</w:t>
      </w:r>
    </w:p>
  </w:footnote>
  <w:footnote w:id="1271">
    <w:p w14:paraId="71945118" w14:textId="77777777" w:rsidR="00DF1FC7" w:rsidRDefault="00DF1FC7" w:rsidP="002E5BAD">
      <w:pPr>
        <w:pStyle w:val="a5"/>
        <w:rPr>
          <w:rtl/>
        </w:rPr>
      </w:pPr>
      <w:r>
        <w:rPr>
          <w:rStyle w:val="a7"/>
        </w:rPr>
        <w:footnoteRef/>
      </w:r>
      <w:r>
        <w:rPr>
          <w:rtl/>
        </w:rPr>
        <w:t xml:space="preserve"> </w:t>
      </w:r>
      <w:r>
        <w:rPr>
          <w:rFonts w:cs="Arial"/>
          <w:rtl/>
        </w:rPr>
        <w:t>ופסקו הפוסקים כשמואל דהלכתא כוותיה בדיני</w:t>
      </w:r>
      <w:r>
        <w:rPr>
          <w:rFonts w:hint="cs"/>
          <w:rtl/>
        </w:rPr>
        <w:t>, ב"י.</w:t>
      </w:r>
    </w:p>
  </w:footnote>
  <w:footnote w:id="1272">
    <w:p w14:paraId="61F7E88C" w14:textId="77777777" w:rsidR="00DF1FC7" w:rsidRDefault="00DF1FC7" w:rsidP="002E5BAD">
      <w:pPr>
        <w:pStyle w:val="a5"/>
      </w:pPr>
      <w:r>
        <w:rPr>
          <w:rStyle w:val="a7"/>
        </w:rPr>
        <w:footnoteRef/>
      </w:r>
      <w:r>
        <w:rPr>
          <w:rtl/>
        </w:rPr>
        <w:t xml:space="preserve"> </w:t>
      </w:r>
      <w:r>
        <w:rPr>
          <w:rFonts w:hint="cs"/>
          <w:rtl/>
        </w:rPr>
        <w:t>וכן איתא בפרק בתרא דנדרים.</w:t>
      </w:r>
    </w:p>
  </w:footnote>
  <w:footnote w:id="1273">
    <w:p w14:paraId="7EA1332C" w14:textId="77777777" w:rsidR="00DF1FC7" w:rsidRDefault="00DF1FC7" w:rsidP="002E5BAD">
      <w:pPr>
        <w:pStyle w:val="a5"/>
      </w:pPr>
      <w:r>
        <w:rPr>
          <w:rStyle w:val="a7"/>
        </w:rPr>
        <w:footnoteRef/>
      </w:r>
      <w:r>
        <w:rPr>
          <w:rtl/>
        </w:rPr>
        <w:t xml:space="preserve"> </w:t>
      </w:r>
      <w:r w:rsidRPr="007D3451">
        <w:rPr>
          <w:rFonts w:cs="Arial"/>
          <w:rtl/>
        </w:rPr>
        <w:t>ובהג</w:t>
      </w:r>
      <w:r>
        <w:rPr>
          <w:rFonts w:cs="Arial" w:hint="cs"/>
          <w:rtl/>
        </w:rPr>
        <w:t>מ"ר</w:t>
      </w:r>
      <w:r w:rsidRPr="007D3451">
        <w:rPr>
          <w:rFonts w:cs="Arial"/>
          <w:rtl/>
        </w:rPr>
        <w:t xml:space="preserve"> דכתובות (סי' רפט) דגם התוספת צריך ליתן לה</w:t>
      </w:r>
      <w:r>
        <w:rPr>
          <w:rFonts w:cs="Arial" w:hint="cs"/>
          <w:rtl/>
        </w:rPr>
        <w:t>, דרכ"מ (אות ד).</w:t>
      </w:r>
    </w:p>
  </w:footnote>
  <w:footnote w:id="1274">
    <w:p w14:paraId="093529E8" w14:textId="77777777" w:rsidR="00DF1FC7" w:rsidRDefault="00DF1FC7" w:rsidP="002E5BAD">
      <w:pPr>
        <w:pStyle w:val="a5"/>
        <w:rPr>
          <w:rtl/>
        </w:rPr>
      </w:pPr>
      <w:r>
        <w:rPr>
          <w:rStyle w:val="a7"/>
        </w:rPr>
        <w:footnoteRef/>
      </w:r>
      <w:r>
        <w:rPr>
          <w:rtl/>
        </w:rPr>
        <w:t xml:space="preserve"> </w:t>
      </w:r>
      <w:r w:rsidRPr="007D3451">
        <w:rPr>
          <w:rFonts w:cs="Arial"/>
          <w:rtl/>
        </w:rPr>
        <w:t>ובתשובת מהרי"ו (שו"ת מהר"י ווייל) סימן א' אשה אחת הפצירה בבעלה שלא לשמש עמה ואח"כ בכעס הניח ידו על החומש לישבע שלא לשמש עמה וכשראתה אשתו שכעס הרבה ורצה לישבע מחתה בו ופסק דאפילו הכי השבועה חלה</w:t>
      </w:r>
      <w:r>
        <w:rPr>
          <w:rFonts w:cs="Arial" w:hint="cs"/>
          <w:rtl/>
        </w:rPr>
        <w:t>.</w:t>
      </w:r>
      <w:r w:rsidRPr="007D3451">
        <w:rPr>
          <w:rFonts w:cs="Arial"/>
          <w:rtl/>
        </w:rPr>
        <w:t xml:space="preserve"> והאריך שם בטעם הדבר</w:t>
      </w:r>
      <w:r>
        <w:rPr>
          <w:rFonts w:cs="Arial" w:hint="cs"/>
          <w:rtl/>
        </w:rPr>
        <w:t>, דרכ"מ (אות ו).</w:t>
      </w:r>
    </w:p>
  </w:footnote>
  <w:footnote w:id="1275">
    <w:p w14:paraId="579553C4" w14:textId="77777777" w:rsidR="00DF1FC7" w:rsidRDefault="00DF1FC7" w:rsidP="002E5BAD">
      <w:pPr>
        <w:pStyle w:val="a5"/>
      </w:pPr>
      <w:r>
        <w:rPr>
          <w:rStyle w:val="a7"/>
        </w:rPr>
        <w:footnoteRef/>
      </w:r>
      <w:r>
        <w:rPr>
          <w:rtl/>
        </w:rPr>
        <w:t xml:space="preserve"> </w:t>
      </w:r>
      <w:r w:rsidRPr="007D3451">
        <w:rPr>
          <w:rFonts w:cs="Arial"/>
          <w:rtl/>
        </w:rPr>
        <w:t>ובהגהות אלפסי פרק אף על פי (כו. אות א) כתב ונראה בעיני שאם היה מחמת חולי הראוי לרפואה צריכה להמתין לו עד שיתרפא עכ"ל</w:t>
      </w:r>
      <w:r>
        <w:rPr>
          <w:rFonts w:cs="Arial" w:hint="cs"/>
          <w:rtl/>
        </w:rPr>
        <w:t>, דרכ"מ (אות ז).</w:t>
      </w:r>
    </w:p>
  </w:footnote>
  <w:footnote w:id="1276">
    <w:p w14:paraId="16BB5FAC" w14:textId="77777777" w:rsidR="00DF1FC7" w:rsidRDefault="00DF1FC7" w:rsidP="002E5BAD">
      <w:pPr>
        <w:pStyle w:val="a5"/>
      </w:pPr>
      <w:r>
        <w:rPr>
          <w:rStyle w:val="a7"/>
        </w:rPr>
        <w:footnoteRef/>
      </w:r>
      <w:r>
        <w:rPr>
          <w:rtl/>
        </w:rPr>
        <w:t xml:space="preserve"> </w:t>
      </w:r>
      <w:r>
        <w:rPr>
          <w:rFonts w:cs="Arial"/>
          <w:rtl/>
        </w:rPr>
        <w:t>וכתב הרי"ף (לב:) פירוש אמר לה בשעת תשמיש שתתהפך כדי שתנפץ שכבת זרע ולא תתעבר</w:t>
      </w:r>
      <w:r>
        <w:rPr>
          <w:rFonts w:cs="Arial" w:hint="cs"/>
          <w:rtl/>
        </w:rPr>
        <w:t>, ב"י.</w:t>
      </w:r>
    </w:p>
  </w:footnote>
  <w:footnote w:id="1277">
    <w:p w14:paraId="2D51F851" w14:textId="77777777" w:rsidR="00DF1FC7" w:rsidRDefault="00DF1FC7" w:rsidP="002E5BAD">
      <w:pPr>
        <w:pStyle w:val="a5"/>
      </w:pPr>
      <w:r>
        <w:rPr>
          <w:rStyle w:val="a7"/>
        </w:rPr>
        <w:footnoteRef/>
      </w:r>
      <w:r>
        <w:rPr>
          <w:rtl/>
        </w:rPr>
        <w:t xml:space="preserve"> </w:t>
      </w:r>
      <w:r>
        <w:rPr>
          <w:rFonts w:hint="cs"/>
          <w:rtl/>
        </w:rPr>
        <w:t xml:space="preserve">וז"ל- </w:t>
      </w:r>
      <w:r w:rsidRPr="008D7E9D">
        <w:rPr>
          <w:rFonts w:cs="Arial"/>
          <w:rtl/>
        </w:rPr>
        <w:t>המדיר את אשתו שתאמר לאחרים מה שאמר לה או מה שאמרה לו מדברי שחוק וקלות ראש שמדבר אדם עם אשתו על עסקי תשמיש הרי זה יוציא ויתן כתובה שאין זו יכולה להעיז פניה ולומר לאחרים דברי קלון, וכן אם הדירה שתהיה מתהפכת בשעת תשמיש כדי שלא תתעבר, או שהדירה שתעשה מעשה שוטים ודברים שאין בהן ממש אלא כשטות, הרי זה יוציא ויתן כתובה.</w:t>
      </w:r>
    </w:p>
  </w:footnote>
  <w:footnote w:id="1278">
    <w:p w14:paraId="3CB0030F" w14:textId="77777777" w:rsidR="00DF1FC7" w:rsidRDefault="00DF1FC7" w:rsidP="002E5BAD">
      <w:pPr>
        <w:pStyle w:val="a5"/>
        <w:rPr>
          <w:rtl/>
        </w:rPr>
      </w:pPr>
      <w:r>
        <w:rPr>
          <w:rStyle w:val="a7"/>
        </w:rPr>
        <w:footnoteRef/>
      </w:r>
      <w:r>
        <w:rPr>
          <w:rtl/>
        </w:rPr>
        <w:t xml:space="preserve"> </w:t>
      </w:r>
      <w:r>
        <w:rPr>
          <w:rFonts w:cs="Arial"/>
          <w:rtl/>
        </w:rPr>
        <w:t>ע</w:t>
      </w:r>
      <w:r>
        <w:rPr>
          <w:rFonts w:cs="Arial" w:hint="cs"/>
          <w:rtl/>
        </w:rPr>
        <w:t xml:space="preserve">ל </w:t>
      </w:r>
      <w:r>
        <w:rPr>
          <w:rFonts w:cs="Arial"/>
          <w:rtl/>
        </w:rPr>
        <w:t>כ</w:t>
      </w:r>
      <w:r>
        <w:rPr>
          <w:rFonts w:cs="Arial" w:hint="cs"/>
          <w:rtl/>
        </w:rPr>
        <w:t>רחך</w:t>
      </w:r>
      <w:r>
        <w:rPr>
          <w:rFonts w:cs="Arial"/>
          <w:rtl/>
        </w:rPr>
        <w:t xml:space="preserve"> בתולה דבר זה בנדר מיתוקמא מתני'</w:t>
      </w:r>
      <w:r>
        <w:rPr>
          <w:rFonts w:cs="Arial" w:hint="cs"/>
          <w:rtl/>
        </w:rPr>
        <w:t>,</w:t>
      </w:r>
      <w:r>
        <w:rPr>
          <w:rFonts w:cs="Arial"/>
          <w:rtl/>
        </w:rPr>
        <w:t xml:space="preserve"> דאל</w:t>
      </w:r>
      <w:r>
        <w:rPr>
          <w:rFonts w:cs="Arial" w:hint="cs"/>
          <w:rtl/>
        </w:rPr>
        <w:t>"</w:t>
      </w:r>
      <w:r>
        <w:rPr>
          <w:rFonts w:cs="Arial"/>
          <w:rtl/>
        </w:rPr>
        <w:t>כ מאי על מנת שתאמרי דקתני</w:t>
      </w:r>
      <w:r>
        <w:rPr>
          <w:rFonts w:cs="Arial" w:hint="cs"/>
          <w:rtl/>
        </w:rPr>
        <w:t>,</w:t>
      </w:r>
      <w:r>
        <w:rPr>
          <w:rFonts w:cs="Arial"/>
          <w:rtl/>
        </w:rPr>
        <w:t xml:space="preserve"> ומאי דמיתניא בפירקין דהמדיר יוכיח</w:t>
      </w:r>
      <w:r>
        <w:rPr>
          <w:rFonts w:cs="Arial" w:hint="cs"/>
          <w:rtl/>
        </w:rPr>
        <w:t>.</w:t>
      </w:r>
      <w:r>
        <w:rPr>
          <w:rFonts w:cs="Arial"/>
          <w:rtl/>
        </w:rPr>
        <w:t xml:space="preserve"> וכן כתב הרמב"ם (שם) המדיר את אשתו שתאמר לאיש פלוני מה שא"ל וכו'</w:t>
      </w:r>
      <w:r>
        <w:rPr>
          <w:rFonts w:cs="Arial" w:hint="cs"/>
          <w:rtl/>
        </w:rPr>
        <w:t>.</w:t>
      </w:r>
      <w:r>
        <w:rPr>
          <w:rFonts w:cs="Arial"/>
          <w:rtl/>
        </w:rPr>
        <w:t xml:space="preserve"> והשתא האי מדיר היכי דמי אי דאסר הנאתו עליה אם לא תאמר הא כיון דמשעבד לה לא מצי מדר לה כדאיתא בר"פ המדיר (ע.)</w:t>
      </w:r>
      <w:r>
        <w:rPr>
          <w:rFonts w:cs="Arial" w:hint="cs"/>
          <w:rtl/>
        </w:rPr>
        <w:t>,</w:t>
      </w:r>
      <w:r>
        <w:rPr>
          <w:rFonts w:cs="Arial"/>
          <w:rtl/>
        </w:rPr>
        <w:t xml:space="preserve"> וליכא לאוקומה באומר לה צאי מעשה ידיך במזונותיך דאם כן אמאי יוציא ויתן כתובה דמשמע דלאלתר יוציא</w:t>
      </w:r>
      <w:r>
        <w:rPr>
          <w:rFonts w:cs="Arial" w:hint="cs"/>
          <w:rtl/>
        </w:rPr>
        <w:t>,</w:t>
      </w:r>
      <w:r>
        <w:rPr>
          <w:rFonts w:cs="Arial"/>
          <w:rtl/>
        </w:rPr>
        <w:t xml:space="preserve"> דה"ל לאמתוני שלשים יום כדתנן בר"פ המדיר (ע.)</w:t>
      </w:r>
      <w:r>
        <w:rPr>
          <w:rFonts w:cs="Arial" w:hint="cs"/>
          <w:rtl/>
        </w:rPr>
        <w:t>.</w:t>
      </w:r>
      <w:r>
        <w:rPr>
          <w:rFonts w:cs="Arial"/>
          <w:rtl/>
        </w:rPr>
        <w:t xml:space="preserve"> הילכך ע"כ צריך לאוקומה בנדרה היא והפר לה על מנת כך</w:t>
      </w:r>
      <w:r>
        <w:rPr>
          <w:rFonts w:cs="Arial" w:hint="cs"/>
          <w:rtl/>
        </w:rPr>
        <w:t>,</w:t>
      </w:r>
      <w:r>
        <w:rPr>
          <w:rFonts w:cs="Arial"/>
          <w:rtl/>
        </w:rPr>
        <w:t xml:space="preserve"> ולישנא דעל מנת הכי מוכח</w:t>
      </w:r>
      <w:r>
        <w:rPr>
          <w:rFonts w:cs="Arial" w:hint="cs"/>
          <w:rtl/>
        </w:rPr>
        <w:t>.</w:t>
      </w:r>
      <w:r>
        <w:rPr>
          <w:rFonts w:cs="Arial"/>
          <w:rtl/>
        </w:rPr>
        <w:t xml:space="preserve"> וכיון שכן</w:t>
      </w:r>
      <w:r>
        <w:rPr>
          <w:rFonts w:cs="Arial" w:hint="cs"/>
          <w:rtl/>
        </w:rPr>
        <w:t>,</w:t>
      </w:r>
      <w:r>
        <w:rPr>
          <w:rFonts w:cs="Arial"/>
          <w:rtl/>
        </w:rPr>
        <w:t xml:space="preserve"> ע"כ בנדר שהוא יכול להפר מיירי</w:t>
      </w:r>
      <w:r>
        <w:rPr>
          <w:rFonts w:cs="Arial" w:hint="cs"/>
          <w:rtl/>
        </w:rPr>
        <w:t>,</w:t>
      </w:r>
      <w:r>
        <w:rPr>
          <w:rFonts w:cs="Arial"/>
          <w:rtl/>
        </w:rPr>
        <w:t xml:space="preserve"> דבנדר שאינו יכול להפר לא שייך כלל</w:t>
      </w:r>
      <w:r>
        <w:rPr>
          <w:rFonts w:cs="Arial" w:hint="cs"/>
          <w:rtl/>
        </w:rPr>
        <w:t>.</w:t>
      </w:r>
      <w:r>
        <w:rPr>
          <w:rFonts w:cs="Arial"/>
          <w:rtl/>
        </w:rPr>
        <w:t xml:space="preserve"> וכך הם דברי הר"ן (לב: דיבור ראשון) שכתב על משניות דהמדיר לשמואל ע"כ בנדרה היא וקיים לה איהו מיתוקמא</w:t>
      </w:r>
      <w:r>
        <w:rPr>
          <w:rFonts w:cs="Arial" w:hint="cs"/>
          <w:rtl/>
        </w:rPr>
        <w:t>.</w:t>
      </w:r>
      <w:r>
        <w:rPr>
          <w:rFonts w:cs="Arial"/>
          <w:rtl/>
        </w:rPr>
        <w:t xml:space="preserve"> ובשלמא שלא תלך לבית אביה או לבית המשתה בידו להפר דאיפשר דנדרי עינוי נפש נינהו</w:t>
      </w:r>
      <w:r>
        <w:rPr>
          <w:rFonts w:cs="Arial" w:hint="cs"/>
          <w:rtl/>
        </w:rPr>
        <w:t>,</w:t>
      </w:r>
      <w:r>
        <w:rPr>
          <w:rFonts w:cs="Arial"/>
          <w:rtl/>
        </w:rPr>
        <w:t xml:space="preserve"> ובבית האבל נמי מפרש בפרק בתרא דנדרים (פג:) דעינוי נפש הוא מדכתיב (קהלת ז ב) והחי יתן אל לבו</w:t>
      </w:r>
      <w:r>
        <w:rPr>
          <w:rFonts w:cs="Arial" w:hint="cs"/>
          <w:rtl/>
        </w:rPr>
        <w:t>,</w:t>
      </w:r>
      <w:r>
        <w:rPr>
          <w:rFonts w:cs="Arial"/>
          <w:rtl/>
        </w:rPr>
        <w:t xml:space="preserve"> אבל תאמרי לפלוני ותמלא י' כדי מים לא משמע דמיקרי עינוי נפש ולא דברים שבינו לבינה</w:t>
      </w:r>
      <w:r>
        <w:rPr>
          <w:rFonts w:cs="Arial" w:hint="cs"/>
          <w:rtl/>
        </w:rPr>
        <w:t>,</w:t>
      </w:r>
      <w:r>
        <w:rPr>
          <w:rFonts w:cs="Arial"/>
          <w:rtl/>
        </w:rPr>
        <w:t xml:space="preserve"> וכיון שכן ע"כ מיירי בשתלתה בדברים אלה מזונות או תשמיש</w:t>
      </w:r>
      <w:r>
        <w:rPr>
          <w:rFonts w:cs="Arial" w:hint="cs"/>
          <w:rtl/>
        </w:rPr>
        <w:t>.</w:t>
      </w:r>
      <w:r>
        <w:rPr>
          <w:rFonts w:cs="Arial"/>
          <w:rtl/>
        </w:rPr>
        <w:t xml:space="preserve"> וש"מ דאף על גב דאיפשר בפרנס</w:t>
      </w:r>
      <w:r>
        <w:rPr>
          <w:rFonts w:cs="Arial" w:hint="cs"/>
          <w:rtl/>
        </w:rPr>
        <w:t>,</w:t>
      </w:r>
      <w:r>
        <w:rPr>
          <w:rFonts w:cs="Arial"/>
          <w:rtl/>
        </w:rPr>
        <w:t xml:space="preserve"> ותשמיש נמי שבת אחד כמאן דאיפשר בפרנס נמי דמי</w:t>
      </w:r>
      <w:r>
        <w:rPr>
          <w:rFonts w:cs="Arial" w:hint="cs"/>
          <w:rtl/>
        </w:rPr>
        <w:t>,</w:t>
      </w:r>
      <w:r>
        <w:rPr>
          <w:rFonts w:cs="Arial"/>
          <w:rtl/>
        </w:rPr>
        <w:t xml:space="preserve"> אפילו הכי יוציא ויתן כתובה</w:t>
      </w:r>
      <w:r>
        <w:rPr>
          <w:rFonts w:cs="Arial" w:hint="cs"/>
          <w:rtl/>
        </w:rPr>
        <w:t>,</w:t>
      </w:r>
      <w:r>
        <w:rPr>
          <w:rFonts w:cs="Arial"/>
          <w:rtl/>
        </w:rPr>
        <w:t xml:space="preserve"> כיון דנדרה היא וקיים לה איהו מטעמא דמיסנא סני לי</w:t>
      </w:r>
      <w:r>
        <w:rPr>
          <w:rFonts w:cs="Arial" w:hint="cs"/>
          <w:rtl/>
        </w:rPr>
        <w:t>,</w:t>
      </w:r>
      <w:r>
        <w:rPr>
          <w:rFonts w:cs="Arial"/>
          <w:rtl/>
        </w:rPr>
        <w:t xml:space="preserve"> וכמו שכתבתי למעלה (לב. סוף דיבור ראשון) עכ"ל</w:t>
      </w:r>
      <w:r>
        <w:rPr>
          <w:rFonts w:hint="cs"/>
          <w:rtl/>
        </w:rPr>
        <w:t>, ב"י.</w:t>
      </w:r>
    </w:p>
  </w:footnote>
  <w:footnote w:id="1279">
    <w:p w14:paraId="477222CD" w14:textId="77777777" w:rsidR="00DF1FC7" w:rsidRDefault="00DF1FC7" w:rsidP="002E5BAD">
      <w:pPr>
        <w:pStyle w:val="a5"/>
      </w:pPr>
      <w:r>
        <w:rPr>
          <w:rStyle w:val="a7"/>
        </w:rPr>
        <w:footnoteRef/>
      </w:r>
      <w:r>
        <w:rPr>
          <w:rtl/>
        </w:rPr>
        <w:t xml:space="preserve"> </w:t>
      </w:r>
      <w:r w:rsidRPr="00D71625">
        <w:rPr>
          <w:rFonts w:cs="Arial"/>
          <w:rtl/>
        </w:rPr>
        <w:t xml:space="preserve">וכתב הרמב"ם </w:t>
      </w:r>
      <w:r w:rsidRPr="00D71625">
        <w:rPr>
          <w:rFonts w:cs="Arial"/>
          <w:sz w:val="16"/>
          <w:szCs w:val="16"/>
          <w:rtl/>
        </w:rPr>
        <w:t xml:space="preserve">(פי"ד מאישות הט"ו) </w:t>
      </w:r>
      <w:r w:rsidRPr="00D71625">
        <w:rPr>
          <w:rFonts w:cs="Arial"/>
          <w:rtl/>
        </w:rPr>
        <w:t>שהם משקל ל"ו שעורה כסף וכתב הרב המגיד שטעמו לפי שדינרים אלו של דבריהם שהם מכסף מדינה שהיא שמינית שבצורי ודינר צורי יש בו צ"ו שעורות כסף נמצא שהשמינית הוא י"ב שעורות עולה לג' דינרים ל"ו שעורות</w:t>
      </w:r>
      <w:r>
        <w:rPr>
          <w:rFonts w:cs="Arial" w:hint="cs"/>
          <w:rtl/>
        </w:rPr>
        <w:t>, ב"י.</w:t>
      </w:r>
    </w:p>
  </w:footnote>
  <w:footnote w:id="1280">
    <w:p w14:paraId="00ADEFD6" w14:textId="77777777" w:rsidR="00DF1FC7" w:rsidRDefault="00DF1FC7" w:rsidP="002E5BAD">
      <w:pPr>
        <w:pStyle w:val="a5"/>
      </w:pPr>
      <w:r>
        <w:rPr>
          <w:rStyle w:val="a7"/>
        </w:rPr>
        <w:footnoteRef/>
      </w:r>
      <w:r>
        <w:rPr>
          <w:rtl/>
        </w:rPr>
        <w:t xml:space="preserve"> </w:t>
      </w:r>
      <w:r w:rsidRPr="00416F56">
        <w:rPr>
          <w:rFonts w:cs="Arial"/>
          <w:rtl/>
        </w:rPr>
        <w:t>כלומר מה תוספת שייך הכא הואיל וצריך לגרשה מיד</w:t>
      </w:r>
      <w:r>
        <w:rPr>
          <w:rFonts w:cs="Arial" w:hint="cs"/>
          <w:rtl/>
        </w:rPr>
        <w:t>.</w:t>
      </w:r>
      <w:r w:rsidRPr="00416F56">
        <w:rPr>
          <w:rFonts w:cs="Arial"/>
          <w:rtl/>
        </w:rPr>
        <w:t xml:space="preserve"> ותימה</w:t>
      </w:r>
      <w:r>
        <w:rPr>
          <w:rFonts w:cs="Arial" w:hint="cs"/>
          <w:rtl/>
        </w:rPr>
        <w:t>,</w:t>
      </w:r>
      <w:r w:rsidRPr="00416F56">
        <w:rPr>
          <w:rFonts w:cs="Arial"/>
          <w:rtl/>
        </w:rPr>
        <w:t xml:space="preserve"> דמשמע דלשמואל ניחא דאמר לקמן בשילהי פרק המדיר (עז</w:t>
      </w:r>
      <w:r>
        <w:rPr>
          <w:rFonts w:cs="Arial" w:hint="cs"/>
          <w:rtl/>
        </w:rPr>
        <w:t>.</w:t>
      </w:r>
      <w:r w:rsidRPr="00416F56">
        <w:rPr>
          <w:rFonts w:cs="Arial"/>
          <w:rtl/>
        </w:rPr>
        <w:t>) עד שכופין אותו להוציא יכפוהו לזון</w:t>
      </w:r>
      <w:r>
        <w:rPr>
          <w:rFonts w:cs="Arial" w:hint="cs"/>
          <w:rtl/>
        </w:rPr>
        <w:t>,</w:t>
      </w:r>
      <w:r w:rsidRPr="00416F56">
        <w:rPr>
          <w:rFonts w:cs="Arial"/>
          <w:rtl/>
        </w:rPr>
        <w:t xml:space="preserve"> ולדידיה נמי קשה הואיל וכופין אותו לזון מיד מאי תוספת שייך הכא</w:t>
      </w:r>
      <w:r>
        <w:rPr>
          <w:rFonts w:cs="Arial" w:hint="cs"/>
          <w:rtl/>
        </w:rPr>
        <w:t>.</w:t>
      </w:r>
      <w:r w:rsidRPr="00416F56">
        <w:rPr>
          <w:rFonts w:cs="Arial"/>
          <w:rtl/>
        </w:rPr>
        <w:t xml:space="preserve"> וי"ל דלדידיה ודאי ניחא</w:t>
      </w:r>
      <w:r>
        <w:rPr>
          <w:rFonts w:cs="Arial" w:hint="cs"/>
          <w:rtl/>
        </w:rPr>
        <w:t>,</w:t>
      </w:r>
      <w:r w:rsidRPr="00416F56">
        <w:rPr>
          <w:rFonts w:cs="Arial"/>
          <w:rtl/>
        </w:rPr>
        <w:t xml:space="preserve"> הואיל ואינו רוצה לזונה אלא בכפייה נקרא מורד ומוסיפין לה על כתובתה דאין אדם דר עם נחש בכפיפה מידי דהוה אכל מורד דחייב לזונה</w:t>
      </w:r>
      <w:r>
        <w:rPr>
          <w:rFonts w:cs="Arial" w:hint="cs"/>
          <w:rtl/>
        </w:rPr>
        <w:t>,</w:t>
      </w:r>
      <w:r w:rsidRPr="00416F56">
        <w:rPr>
          <w:rFonts w:cs="Arial"/>
          <w:rtl/>
        </w:rPr>
        <w:t xml:space="preserve"> וגם מוסיפין לה על כתובתה</w:t>
      </w:r>
      <w:r>
        <w:rPr>
          <w:rFonts w:cs="Arial" w:hint="cs"/>
          <w:rtl/>
        </w:rPr>
        <w:t>.</w:t>
      </w:r>
      <w:r w:rsidRPr="00416F56">
        <w:rPr>
          <w:rFonts w:cs="Arial"/>
          <w:rtl/>
        </w:rPr>
        <w:t xml:space="preserve"> ואע</w:t>
      </w:r>
      <w:r>
        <w:rPr>
          <w:rFonts w:cs="Arial" w:hint="cs"/>
          <w:rtl/>
        </w:rPr>
        <w:t>"</w:t>
      </w:r>
      <w:r w:rsidRPr="00416F56">
        <w:rPr>
          <w:rFonts w:cs="Arial"/>
          <w:rtl/>
        </w:rPr>
        <w:t>ג דאמר רב הונא דמורדת ממלאכה לא הויא מורדת</w:t>
      </w:r>
      <w:r>
        <w:rPr>
          <w:rFonts w:cs="Arial" w:hint="cs"/>
          <w:rtl/>
        </w:rPr>
        <w:t xml:space="preserve"> -</w:t>
      </w:r>
      <w:r w:rsidRPr="00416F56">
        <w:rPr>
          <w:rFonts w:cs="Arial"/>
          <w:rtl/>
        </w:rPr>
        <w:t xml:space="preserve"> משום דמצי למימר איני ניזונת ואיני עושה</w:t>
      </w:r>
      <w:r>
        <w:rPr>
          <w:rFonts w:cs="Arial" w:hint="cs"/>
          <w:rtl/>
        </w:rPr>
        <w:t>,</w:t>
      </w:r>
      <w:r w:rsidRPr="00416F56">
        <w:rPr>
          <w:rFonts w:cs="Arial"/>
          <w:rtl/>
        </w:rPr>
        <w:t xml:space="preserve"> אבל איש דלא מצי למימר איני זן ואיני מפרנס ואיני מקבל מלאכתיך </w:t>
      </w:r>
      <w:r>
        <w:rPr>
          <w:rFonts w:cs="Arial" w:hint="cs"/>
          <w:rtl/>
        </w:rPr>
        <w:t xml:space="preserve">- </w:t>
      </w:r>
      <w:r w:rsidRPr="00416F56">
        <w:rPr>
          <w:rFonts w:cs="Arial"/>
          <w:rtl/>
        </w:rPr>
        <w:t>נקרא מורד אם אינו זן אם אינה מספקת במעשה ידיה מוסיפין לה על כתובתה אע</w:t>
      </w:r>
      <w:r>
        <w:rPr>
          <w:rFonts w:cs="Arial" w:hint="cs"/>
          <w:rtl/>
        </w:rPr>
        <w:t>"</w:t>
      </w:r>
      <w:r w:rsidRPr="00416F56">
        <w:rPr>
          <w:rFonts w:cs="Arial"/>
          <w:rtl/>
        </w:rPr>
        <w:t>פ שכופין אותו לזון</w:t>
      </w:r>
      <w:r>
        <w:rPr>
          <w:rFonts w:cs="Arial" w:hint="cs"/>
          <w:rtl/>
        </w:rPr>
        <w:t>, רא"ש (פ"ה סי' לב).</w:t>
      </w:r>
    </w:p>
  </w:footnote>
  <w:footnote w:id="1281">
    <w:p w14:paraId="2BD6A4A8" w14:textId="77777777" w:rsidR="00DF1FC7" w:rsidRPr="00635D6D" w:rsidRDefault="00DF1FC7" w:rsidP="002E5BAD">
      <w:pPr>
        <w:pStyle w:val="a5"/>
        <w:rPr>
          <w:rFonts w:cs="Arial"/>
        </w:rPr>
      </w:pPr>
      <w:r>
        <w:rPr>
          <w:rStyle w:val="a7"/>
        </w:rPr>
        <w:footnoteRef/>
      </w:r>
      <w:r>
        <w:rPr>
          <w:rtl/>
        </w:rPr>
        <w:t xml:space="preserve"> </w:t>
      </w:r>
      <w:r w:rsidRPr="00C5779D">
        <w:rPr>
          <w:rFonts w:cs="Arial"/>
          <w:rtl/>
        </w:rPr>
        <w:t>שמא יחזור בו ובתוך זמן שאנו נמלכין בו ומחזירין עליו שיחזור בו מוסיפין על כתובתה</w:t>
      </w:r>
      <w:r>
        <w:rPr>
          <w:rFonts w:cs="Arial" w:hint="cs"/>
          <w:rtl/>
        </w:rPr>
        <w:t>, רש"י.</w:t>
      </w:r>
      <w:r>
        <w:rPr>
          <w:rFonts w:hint="cs"/>
          <w:rtl/>
        </w:rPr>
        <w:t xml:space="preserve"> אך הרא"ש (פ"ה סי' לב) פירש דנמלכין בה, </w:t>
      </w:r>
      <w:r>
        <w:rPr>
          <w:rFonts w:cs="Arial" w:hint="cs"/>
          <w:rtl/>
        </w:rPr>
        <w:t>ו</w:t>
      </w:r>
      <w:r w:rsidRPr="0097644C">
        <w:rPr>
          <w:rFonts w:cs="Arial"/>
          <w:rtl/>
        </w:rPr>
        <w:t xml:space="preserve">אם היא רוצה </w:t>
      </w:r>
      <w:r>
        <w:rPr>
          <w:rFonts w:cs="Arial" w:hint="cs"/>
          <w:sz w:val="16"/>
          <w:szCs w:val="16"/>
          <w:rtl/>
        </w:rPr>
        <w:t>{להתגרש}</w:t>
      </w:r>
      <w:r>
        <w:rPr>
          <w:rFonts w:cs="Arial" w:hint="cs"/>
          <w:rtl/>
        </w:rPr>
        <w:t xml:space="preserve"> - </w:t>
      </w:r>
      <w:r w:rsidRPr="0097644C">
        <w:rPr>
          <w:rFonts w:cs="Arial"/>
          <w:rtl/>
        </w:rPr>
        <w:t>כופין לאלתר</w:t>
      </w:r>
      <w:r>
        <w:rPr>
          <w:rFonts w:cs="Arial" w:hint="cs"/>
          <w:rtl/>
        </w:rPr>
        <w:t>,</w:t>
      </w:r>
      <w:r w:rsidRPr="0097644C">
        <w:rPr>
          <w:rFonts w:cs="Arial"/>
          <w:rtl/>
        </w:rPr>
        <w:t xml:space="preserve"> ואם היא רוצה </w:t>
      </w:r>
      <w:r>
        <w:rPr>
          <w:rFonts w:cs="Arial" w:hint="cs"/>
          <w:rtl/>
        </w:rPr>
        <w:t xml:space="preserve">- </w:t>
      </w:r>
      <w:r w:rsidRPr="0097644C">
        <w:rPr>
          <w:rFonts w:cs="Arial"/>
          <w:rtl/>
        </w:rPr>
        <w:t>ימתינו שמא יחזור בו ובינתים מוסיפין על כתובתה</w:t>
      </w:r>
      <w:r>
        <w:rPr>
          <w:rFonts w:cs="Arial" w:hint="cs"/>
          <w:rtl/>
        </w:rPr>
        <w:t>.</w:t>
      </w:r>
      <w:r w:rsidRPr="0097644C">
        <w:rPr>
          <w:rFonts w:cs="Arial"/>
          <w:rtl/>
        </w:rPr>
        <w:t xml:space="preserve"> וכן לשמואל אע</w:t>
      </w:r>
      <w:r>
        <w:rPr>
          <w:rFonts w:cs="Arial" w:hint="cs"/>
          <w:rtl/>
        </w:rPr>
        <w:t>"</w:t>
      </w:r>
      <w:r w:rsidRPr="0097644C">
        <w:rPr>
          <w:rFonts w:cs="Arial"/>
          <w:rtl/>
        </w:rPr>
        <w:t>פ שכופין אותו לזון מוסיפים על כתובתה כדפרישית</w:t>
      </w:r>
      <w:r>
        <w:rPr>
          <w:rFonts w:cs="Arial" w:hint="cs"/>
          <w:rtl/>
        </w:rPr>
        <w:t>.</w:t>
      </w:r>
      <w:r>
        <w:rPr>
          <w:rFonts w:hint="cs"/>
          <w:rtl/>
        </w:rPr>
        <w:t xml:space="preserve"> עכ"ל. </w:t>
      </w:r>
      <w:r w:rsidRPr="00A74C2B">
        <w:rPr>
          <w:rFonts w:cs="Arial"/>
          <w:rtl/>
        </w:rPr>
        <w:t>ובסוף פרק המדיר (סי' יט) פסק הלכה כרב דאמר האומר איני זן ואיני מפרנס יוציא ויתן כתובה ונתבארו דברי רבינו</w:t>
      </w:r>
      <w:r>
        <w:rPr>
          <w:rFonts w:cs="Arial" w:hint="cs"/>
          <w:rtl/>
        </w:rPr>
        <w:t xml:space="preserve"> </w:t>
      </w:r>
      <w:r>
        <w:rPr>
          <w:rFonts w:cs="Arial" w:hint="cs"/>
          <w:sz w:val="16"/>
          <w:szCs w:val="16"/>
          <w:rtl/>
        </w:rPr>
        <w:t>{הטור}</w:t>
      </w:r>
      <w:r>
        <w:rPr>
          <w:rFonts w:cs="Arial" w:hint="cs"/>
          <w:rtl/>
        </w:rPr>
        <w:t>, ב"י</w:t>
      </w:r>
      <w:r w:rsidRPr="00A74C2B">
        <w:rPr>
          <w:rFonts w:cs="Arial"/>
          <w:rtl/>
        </w:rPr>
        <w:t>.</w:t>
      </w:r>
    </w:p>
  </w:footnote>
  <w:footnote w:id="1282">
    <w:p w14:paraId="6477988C" w14:textId="77777777" w:rsidR="00DF1FC7" w:rsidRDefault="00DF1FC7" w:rsidP="002E5BAD">
      <w:pPr>
        <w:pStyle w:val="a5"/>
      </w:pPr>
      <w:r>
        <w:rPr>
          <w:rStyle w:val="a7"/>
        </w:rPr>
        <w:footnoteRef/>
      </w:r>
      <w:r>
        <w:rPr>
          <w:rtl/>
        </w:rPr>
        <w:t xml:space="preserve"> </w:t>
      </w:r>
      <w:r w:rsidRPr="00897A64">
        <w:rPr>
          <w:rFonts w:cs="Arial"/>
          <w:rtl/>
        </w:rPr>
        <w:t>וע"ל סימן קנ"ד דין הכפייה</w:t>
      </w:r>
      <w:r>
        <w:rPr>
          <w:rFonts w:cs="Arial" w:hint="cs"/>
          <w:rtl/>
        </w:rPr>
        <w:t>, דרכ"מ (אות א).</w:t>
      </w:r>
    </w:p>
  </w:footnote>
  <w:footnote w:id="1283">
    <w:p w14:paraId="5B241E31" w14:textId="77777777" w:rsidR="00DF1FC7" w:rsidRDefault="00DF1FC7" w:rsidP="002E5BAD">
      <w:pPr>
        <w:pStyle w:val="a5"/>
      </w:pPr>
      <w:r>
        <w:rPr>
          <w:rStyle w:val="a7"/>
        </w:rPr>
        <w:footnoteRef/>
      </w:r>
      <w:r>
        <w:rPr>
          <w:rtl/>
        </w:rPr>
        <w:t xml:space="preserve"> </w:t>
      </w:r>
      <w:r>
        <w:rPr>
          <w:rFonts w:cs="Arial" w:hint="cs"/>
          <w:rtl/>
        </w:rPr>
        <w:t>ו</w:t>
      </w:r>
      <w:r w:rsidRPr="00897A64">
        <w:rPr>
          <w:rFonts w:cs="Arial"/>
          <w:rtl/>
        </w:rPr>
        <w:t xml:space="preserve">אם לאחר זמן אינה רוצה להתעגן עוד </w:t>
      </w:r>
      <w:r>
        <w:rPr>
          <w:rFonts w:cs="Arial" w:hint="cs"/>
          <w:rtl/>
        </w:rPr>
        <w:t xml:space="preserve">- </w:t>
      </w:r>
      <w:r w:rsidRPr="00897A64">
        <w:rPr>
          <w:rFonts w:cs="Arial"/>
          <w:rtl/>
        </w:rPr>
        <w:t>הרשות בידה וצריך לתת לה אף כל הניתוסף על כתובתה עם הג' דינרין שבכל שבוע</w:t>
      </w:r>
      <w:r>
        <w:rPr>
          <w:rFonts w:cs="Arial" w:hint="cs"/>
          <w:rtl/>
        </w:rPr>
        <w:t>, הגה"מ</w:t>
      </w:r>
      <w:r w:rsidRPr="00F5024F">
        <w:rPr>
          <w:rFonts w:cs="Arial" w:hint="cs"/>
          <w:sz w:val="16"/>
          <w:szCs w:val="16"/>
          <w:rtl/>
        </w:rPr>
        <w:t xml:space="preserve"> (</w:t>
      </w:r>
      <w:r w:rsidRPr="00F5024F">
        <w:rPr>
          <w:rFonts w:cs="Arial"/>
          <w:sz w:val="16"/>
          <w:szCs w:val="16"/>
          <w:rtl/>
        </w:rPr>
        <w:t>פי"ד הט"ו ד"ק</w:t>
      </w:r>
      <w:r w:rsidRPr="00F5024F">
        <w:rPr>
          <w:rFonts w:cs="Arial" w:hint="cs"/>
          <w:sz w:val="16"/>
          <w:szCs w:val="16"/>
          <w:rtl/>
        </w:rPr>
        <w:t>, כ"כ הדרכ"מ [אות ב] בשמו</w:t>
      </w:r>
      <w:r w:rsidRPr="00F5024F">
        <w:rPr>
          <w:rFonts w:cs="Arial"/>
          <w:sz w:val="16"/>
          <w:szCs w:val="16"/>
          <w:rtl/>
        </w:rPr>
        <w:t>)</w:t>
      </w:r>
      <w:r>
        <w:rPr>
          <w:rFonts w:cs="Arial" w:hint="cs"/>
          <w:rtl/>
        </w:rPr>
        <w:t>.</w:t>
      </w:r>
    </w:p>
  </w:footnote>
  <w:footnote w:id="1284">
    <w:p w14:paraId="13A7328B" w14:textId="77777777" w:rsidR="00DF1FC7" w:rsidRDefault="00DF1FC7" w:rsidP="002E5BAD">
      <w:pPr>
        <w:pStyle w:val="a5"/>
      </w:pPr>
      <w:r>
        <w:rPr>
          <w:rStyle w:val="a7"/>
        </w:rPr>
        <w:footnoteRef/>
      </w:r>
      <w:r>
        <w:rPr>
          <w:rtl/>
        </w:rPr>
        <w:t xml:space="preserve"> </w:t>
      </w:r>
      <w:r w:rsidRPr="00A74C2B">
        <w:rPr>
          <w:rFonts w:cs="Arial"/>
          <w:rtl/>
        </w:rPr>
        <w:t>הא דמוסיפין לה היינו שנשאר עליו חוב כשאר הכתובה אבל אין נותנין לה מיד שהיא תלקח בהן קרקע</w:t>
      </w:r>
      <w:r>
        <w:rPr>
          <w:rFonts w:cs="Arial" w:hint="cs"/>
          <w:rtl/>
        </w:rPr>
        <w:t xml:space="preserve">, </w:t>
      </w:r>
      <w:r w:rsidRPr="00A74C2B">
        <w:rPr>
          <w:rFonts w:cs="Arial"/>
          <w:rtl/>
        </w:rPr>
        <w:t xml:space="preserve">ר"ן </w:t>
      </w:r>
      <w:r w:rsidRPr="00326D42">
        <w:rPr>
          <w:rFonts w:cs="Arial" w:hint="cs"/>
          <w:sz w:val="16"/>
          <w:szCs w:val="16"/>
          <w:rtl/>
        </w:rPr>
        <w:t>(</w:t>
      </w:r>
      <w:r w:rsidRPr="00326D42">
        <w:rPr>
          <w:rFonts w:cs="Arial"/>
          <w:sz w:val="16"/>
          <w:szCs w:val="16"/>
          <w:rtl/>
        </w:rPr>
        <w:t>פ</w:t>
      </w:r>
      <w:r w:rsidRPr="00326D42">
        <w:rPr>
          <w:rFonts w:cs="Arial" w:hint="cs"/>
          <w:sz w:val="16"/>
          <w:szCs w:val="16"/>
          <w:rtl/>
        </w:rPr>
        <w:t>'</w:t>
      </w:r>
      <w:r w:rsidRPr="00326D42">
        <w:rPr>
          <w:rFonts w:cs="Arial"/>
          <w:sz w:val="16"/>
          <w:szCs w:val="16"/>
          <w:rtl/>
        </w:rPr>
        <w:t xml:space="preserve"> אף על פי כו: סוף דיבור ראשון</w:t>
      </w:r>
      <w:r w:rsidRPr="00326D42">
        <w:rPr>
          <w:rFonts w:cs="Arial" w:hint="cs"/>
          <w:sz w:val="16"/>
          <w:szCs w:val="16"/>
          <w:rtl/>
        </w:rPr>
        <w:t>, הביאו הדרכ"מ [אות ג]</w:t>
      </w:r>
      <w:r w:rsidRPr="00326D42">
        <w:rPr>
          <w:rFonts w:cs="Arial"/>
          <w:sz w:val="16"/>
          <w:szCs w:val="16"/>
          <w:rtl/>
        </w:rPr>
        <w:t>)</w:t>
      </w:r>
      <w:r>
        <w:rPr>
          <w:rFonts w:cs="Arial" w:hint="cs"/>
          <w:rtl/>
        </w:rPr>
        <w:t>.</w:t>
      </w:r>
    </w:p>
  </w:footnote>
  <w:footnote w:id="1285">
    <w:p w14:paraId="104AB1D3" w14:textId="77777777" w:rsidR="00DF1FC7" w:rsidRDefault="00DF1FC7" w:rsidP="002E5BAD">
      <w:pPr>
        <w:pStyle w:val="a5"/>
        <w:rPr>
          <w:rtl/>
        </w:rPr>
      </w:pPr>
      <w:r>
        <w:rPr>
          <w:rStyle w:val="a7"/>
        </w:rPr>
        <w:footnoteRef/>
      </w:r>
      <w:r>
        <w:rPr>
          <w:rtl/>
        </w:rPr>
        <w:t xml:space="preserve"> </w:t>
      </w:r>
      <w:r w:rsidRPr="00A74C2B">
        <w:rPr>
          <w:rFonts w:cs="Arial"/>
          <w:rtl/>
        </w:rPr>
        <w:t xml:space="preserve">ומשמע מדברי הרמב"ם דאם רוצה לגרשה מיד ולתת לה כתובתה </w:t>
      </w:r>
      <w:r>
        <w:rPr>
          <w:rFonts w:cs="Arial" w:hint="cs"/>
          <w:rtl/>
        </w:rPr>
        <w:t xml:space="preserve">- </w:t>
      </w:r>
      <w:r w:rsidRPr="00A74C2B">
        <w:rPr>
          <w:rFonts w:cs="Arial"/>
          <w:rtl/>
        </w:rPr>
        <w:t>אין מוסיפין לה כלום אע</w:t>
      </w:r>
      <w:r>
        <w:rPr>
          <w:rFonts w:cs="Arial" w:hint="cs"/>
          <w:rtl/>
        </w:rPr>
        <w:t>"</w:t>
      </w:r>
      <w:r w:rsidRPr="00A74C2B">
        <w:rPr>
          <w:rFonts w:cs="Arial"/>
          <w:rtl/>
        </w:rPr>
        <w:t>ג דהיא רוצה להמתין</w:t>
      </w:r>
      <w:r>
        <w:rPr>
          <w:rFonts w:cs="Arial" w:hint="cs"/>
          <w:rtl/>
        </w:rPr>
        <w:t>,</w:t>
      </w:r>
      <w:r w:rsidRPr="00A74C2B">
        <w:rPr>
          <w:rFonts w:cs="Arial"/>
          <w:rtl/>
        </w:rPr>
        <w:t xml:space="preserve"> וכן הוא בהגהות אלפסי (כז: אות ב)</w:t>
      </w:r>
      <w:r>
        <w:rPr>
          <w:rFonts w:cs="Arial" w:hint="cs"/>
          <w:rtl/>
        </w:rPr>
        <w:t>.</w:t>
      </w:r>
      <w:r w:rsidRPr="00A74C2B">
        <w:rPr>
          <w:rFonts w:cs="Arial"/>
          <w:rtl/>
        </w:rPr>
        <w:t xml:space="preserve"> ונראה לי דאינו עובר ג"כ בלאו</w:t>
      </w:r>
      <w:r>
        <w:rPr>
          <w:rFonts w:cs="Arial" w:hint="cs"/>
          <w:rtl/>
        </w:rPr>
        <w:t xml:space="preserve">, דרכ"מ (אות ג). </w:t>
      </w:r>
      <w:r w:rsidRPr="00F5024F">
        <w:rPr>
          <w:rFonts w:cs="Arial" w:hint="cs"/>
          <w:color w:val="00B0F0"/>
          <w:rtl/>
        </w:rPr>
        <w:t>(וכ"כ בהגה)</w:t>
      </w:r>
      <w:r w:rsidRPr="00A74C2B">
        <w:rPr>
          <w:rFonts w:cs="Arial"/>
          <w:rtl/>
        </w:rPr>
        <w:t xml:space="preserve"> </w:t>
      </w:r>
    </w:p>
  </w:footnote>
  <w:footnote w:id="1286">
    <w:p w14:paraId="1C94AF64" w14:textId="77777777" w:rsidR="00DF1FC7" w:rsidRDefault="00DF1FC7" w:rsidP="002E5BAD">
      <w:pPr>
        <w:pStyle w:val="a5"/>
        <w:rPr>
          <w:rtl/>
        </w:rPr>
      </w:pPr>
      <w:r>
        <w:rPr>
          <w:rStyle w:val="a7"/>
        </w:rPr>
        <w:footnoteRef/>
      </w:r>
      <w:r>
        <w:rPr>
          <w:rtl/>
        </w:rPr>
        <w:t xml:space="preserve"> </w:t>
      </w:r>
      <w:r w:rsidRPr="005A6BAC">
        <w:rPr>
          <w:rFonts w:cs="Arial"/>
          <w:rtl/>
        </w:rPr>
        <w:t>ואחר כך נותן לה גט ויוצאה בלא כתובה אבל אינו משהה לפסוק על הנכסים שנפלו לה מבית אביה ולהפסידה ממנה</w:t>
      </w:r>
      <w:r>
        <w:rPr>
          <w:rFonts w:hint="cs"/>
          <w:rtl/>
        </w:rPr>
        <w:t>, רש"י.</w:t>
      </w:r>
    </w:p>
  </w:footnote>
  <w:footnote w:id="1287">
    <w:p w14:paraId="0F194A9A" w14:textId="77777777" w:rsidR="00DF1FC7" w:rsidRDefault="00DF1FC7" w:rsidP="002E5BAD">
      <w:pPr>
        <w:pStyle w:val="a5"/>
        <w:rPr>
          <w:rtl/>
        </w:rPr>
      </w:pPr>
      <w:r>
        <w:rPr>
          <w:rStyle w:val="a7"/>
        </w:rPr>
        <w:footnoteRef/>
      </w:r>
      <w:r>
        <w:rPr>
          <w:rtl/>
        </w:rPr>
        <w:t xml:space="preserve"> </w:t>
      </w:r>
      <w:r w:rsidRPr="005320ED">
        <w:rPr>
          <w:rFonts w:cs="Arial"/>
          <w:rtl/>
        </w:rPr>
        <w:t>והך מתניתא במורדת מתשמיש</w:t>
      </w:r>
      <w:r>
        <w:rPr>
          <w:rFonts w:hint="cs"/>
          <w:rtl/>
        </w:rPr>
        <w:t>, רש"י.</w:t>
      </w:r>
    </w:p>
  </w:footnote>
  <w:footnote w:id="1288">
    <w:p w14:paraId="584F9D0F" w14:textId="77777777" w:rsidR="00DF1FC7" w:rsidRDefault="00DF1FC7" w:rsidP="002E5BAD">
      <w:pPr>
        <w:pStyle w:val="a5"/>
      </w:pPr>
      <w:r>
        <w:rPr>
          <w:rStyle w:val="a7"/>
        </w:rPr>
        <w:footnoteRef/>
      </w:r>
      <w:r>
        <w:rPr>
          <w:rtl/>
        </w:rPr>
        <w:t xml:space="preserve"> </w:t>
      </w:r>
      <w:r w:rsidRPr="005320ED">
        <w:rPr>
          <w:rFonts w:cs="Arial"/>
          <w:rtl/>
        </w:rPr>
        <w:t>שלא ישהו אותה לפחות מעט מעט אלא יפסידוה כל כתובתה לאחר ארבע שבתות של הכרזה</w:t>
      </w:r>
      <w:r>
        <w:rPr>
          <w:rFonts w:cs="Arial" w:hint="cs"/>
          <w:rtl/>
        </w:rPr>
        <w:t>, רש"י.</w:t>
      </w:r>
    </w:p>
  </w:footnote>
  <w:footnote w:id="1289">
    <w:p w14:paraId="01491B40" w14:textId="77777777" w:rsidR="00DF1FC7" w:rsidRDefault="00DF1FC7" w:rsidP="002E5BAD">
      <w:pPr>
        <w:pStyle w:val="a5"/>
      </w:pPr>
      <w:r>
        <w:rPr>
          <w:rStyle w:val="a7"/>
        </w:rPr>
        <w:footnoteRef/>
      </w:r>
      <w:r>
        <w:rPr>
          <w:rtl/>
        </w:rPr>
        <w:t xml:space="preserve"> </w:t>
      </w:r>
      <w:r w:rsidRPr="005320ED">
        <w:rPr>
          <w:rFonts w:cs="Arial"/>
          <w:rtl/>
        </w:rPr>
        <w:t>ימים שאינם של מלאכה והכל מצוין בבתי כנסיות ובבתי מדרשות</w:t>
      </w:r>
      <w:r>
        <w:rPr>
          <w:rFonts w:cs="Arial" w:hint="cs"/>
          <w:rtl/>
        </w:rPr>
        <w:t>, רש"י.</w:t>
      </w:r>
    </w:p>
  </w:footnote>
  <w:footnote w:id="1290">
    <w:p w14:paraId="6CA70EB5" w14:textId="77777777" w:rsidR="00DF1FC7" w:rsidRDefault="00DF1FC7" w:rsidP="002E5BAD">
      <w:pPr>
        <w:pStyle w:val="a5"/>
      </w:pPr>
      <w:r>
        <w:rPr>
          <w:rStyle w:val="a7"/>
        </w:rPr>
        <w:footnoteRef/>
      </w:r>
      <w:r>
        <w:rPr>
          <w:rtl/>
        </w:rPr>
        <w:t xml:space="preserve"> </w:t>
      </w:r>
      <w:r w:rsidRPr="005320ED">
        <w:rPr>
          <w:rFonts w:cs="Arial"/>
          <w:rtl/>
        </w:rPr>
        <w:t>דבר שאינו הגון</w:t>
      </w:r>
      <w:r>
        <w:rPr>
          <w:rFonts w:cs="Arial" w:hint="cs"/>
          <w:rtl/>
        </w:rPr>
        <w:t>, רש"י.</w:t>
      </w:r>
    </w:p>
  </w:footnote>
  <w:footnote w:id="1291">
    <w:p w14:paraId="5FEC3941" w14:textId="77777777" w:rsidR="00DF1FC7" w:rsidRDefault="00DF1FC7" w:rsidP="002E5BAD">
      <w:pPr>
        <w:pStyle w:val="a5"/>
      </w:pPr>
      <w:r>
        <w:rPr>
          <w:rStyle w:val="a7"/>
        </w:rPr>
        <w:footnoteRef/>
      </w:r>
      <w:r>
        <w:rPr>
          <w:rtl/>
        </w:rPr>
        <w:t xml:space="preserve"> </w:t>
      </w:r>
      <w:r w:rsidRPr="005320ED">
        <w:rPr>
          <w:rFonts w:cs="Arial"/>
          <w:rtl/>
        </w:rPr>
        <w:t>רבא דאמר בורכא היא כמאן סבר</w:t>
      </w:r>
      <w:r>
        <w:rPr>
          <w:rFonts w:cs="Arial" w:hint="cs"/>
          <w:rtl/>
        </w:rPr>
        <w:t>, רש"י.</w:t>
      </w:r>
    </w:p>
  </w:footnote>
  <w:footnote w:id="1292">
    <w:p w14:paraId="045D4F9A" w14:textId="77777777" w:rsidR="00DF1FC7" w:rsidRDefault="00DF1FC7" w:rsidP="002E5BAD">
      <w:pPr>
        <w:pStyle w:val="a5"/>
        <w:rPr>
          <w:rtl/>
        </w:rPr>
      </w:pPr>
      <w:r>
        <w:rPr>
          <w:rStyle w:val="a7"/>
        </w:rPr>
        <w:footnoteRef/>
      </w:r>
      <w:r>
        <w:rPr>
          <w:rtl/>
        </w:rPr>
        <w:t xml:space="preserve"> </w:t>
      </w:r>
      <w:r w:rsidRPr="005320ED">
        <w:rPr>
          <w:rFonts w:cs="Arial"/>
          <w:rtl/>
        </w:rPr>
        <w:t>משהין את גיטה ומחזירין עליה שתחזור בה ובתוך כך פוחתין מכתובתה שבעה דינרין בשבת</w:t>
      </w:r>
      <w:r>
        <w:rPr>
          <w:rFonts w:hint="cs"/>
          <w:rtl/>
        </w:rPr>
        <w:t>, רש"י.</w:t>
      </w:r>
    </w:p>
  </w:footnote>
  <w:footnote w:id="1293">
    <w:p w14:paraId="0AC38A62" w14:textId="77777777" w:rsidR="00DF1FC7" w:rsidRDefault="00DF1FC7" w:rsidP="002E5BAD">
      <w:pPr>
        <w:pStyle w:val="a5"/>
      </w:pPr>
      <w:r>
        <w:rPr>
          <w:rStyle w:val="a7"/>
        </w:rPr>
        <w:footnoteRef/>
      </w:r>
      <w:r>
        <w:rPr>
          <w:rtl/>
        </w:rPr>
        <w:t xml:space="preserve"> </w:t>
      </w:r>
      <w:r w:rsidRPr="00897A64">
        <w:rPr>
          <w:rFonts w:cs="Arial"/>
          <w:rtl/>
        </w:rPr>
        <w:t xml:space="preserve">והר"ן </w:t>
      </w:r>
      <w:r w:rsidRPr="00980B61">
        <w:rPr>
          <w:rFonts w:cs="Arial" w:hint="cs"/>
          <w:sz w:val="16"/>
          <w:szCs w:val="16"/>
          <w:rtl/>
        </w:rPr>
        <w:t>(</w:t>
      </w:r>
      <w:r>
        <w:rPr>
          <w:rFonts w:cs="Arial" w:hint="cs"/>
          <w:sz w:val="16"/>
          <w:szCs w:val="16"/>
          <w:rtl/>
        </w:rPr>
        <w:t>שם</w:t>
      </w:r>
      <w:r w:rsidRPr="00980B61">
        <w:rPr>
          <w:rFonts w:cs="Arial"/>
          <w:sz w:val="16"/>
          <w:szCs w:val="16"/>
          <w:rtl/>
        </w:rPr>
        <w:t xml:space="preserve"> כו. ד"ה מתני')</w:t>
      </w:r>
      <w:r w:rsidRPr="00897A64">
        <w:rPr>
          <w:rFonts w:cs="Arial"/>
          <w:rtl/>
        </w:rPr>
        <w:t xml:space="preserve"> </w:t>
      </w:r>
      <w:r>
        <w:rPr>
          <w:rFonts w:cs="Arial" w:hint="cs"/>
          <w:rtl/>
        </w:rPr>
        <w:t xml:space="preserve">כתב </w:t>
      </w:r>
      <w:r w:rsidRPr="00897A64">
        <w:rPr>
          <w:rFonts w:cs="Arial"/>
          <w:rtl/>
        </w:rPr>
        <w:t>דאין מגרשה עד שפחתו לה נמי מנכסי מלוג שלה וכן מנכסים שלה שיש לה שאין לבעלה רשות בהן</w:t>
      </w:r>
      <w:r>
        <w:rPr>
          <w:rFonts w:cs="Arial" w:hint="cs"/>
          <w:rtl/>
        </w:rPr>
        <w:t>,</w:t>
      </w:r>
      <w:r w:rsidRPr="00897A64">
        <w:rPr>
          <w:rFonts w:cs="Arial"/>
          <w:rtl/>
        </w:rPr>
        <w:t xml:space="preserve"> ודוקא נשואה אבל לא ארוסה</w:t>
      </w:r>
      <w:r>
        <w:rPr>
          <w:rFonts w:cs="Arial" w:hint="cs"/>
          <w:rtl/>
        </w:rPr>
        <w:t>,</w:t>
      </w:r>
      <w:r w:rsidRPr="00897A64">
        <w:rPr>
          <w:rFonts w:cs="Arial"/>
          <w:rtl/>
        </w:rPr>
        <w:t xml:space="preserve"> וזהו דעת הרמב"ן </w:t>
      </w:r>
      <w:r w:rsidRPr="00980B61">
        <w:rPr>
          <w:rFonts w:cs="Arial"/>
          <w:sz w:val="16"/>
          <w:szCs w:val="16"/>
          <w:rtl/>
        </w:rPr>
        <w:t>(סג: ד"ה כלתיה)</w:t>
      </w:r>
      <w:r>
        <w:rPr>
          <w:rFonts w:cs="Arial" w:hint="cs"/>
          <w:rtl/>
        </w:rPr>
        <w:t>.</w:t>
      </w:r>
      <w:r w:rsidRPr="00897A64">
        <w:rPr>
          <w:rFonts w:cs="Arial"/>
          <w:rtl/>
        </w:rPr>
        <w:t xml:space="preserve"> אבל הרמב"ם כתב דאין פוחתין לה רק מכתובתה</w:t>
      </w:r>
      <w:r>
        <w:rPr>
          <w:rFonts w:cs="Arial" w:hint="cs"/>
          <w:rtl/>
        </w:rPr>
        <w:t>.</w:t>
      </w:r>
      <w:r w:rsidRPr="00897A64">
        <w:rPr>
          <w:rFonts w:cs="Arial"/>
          <w:rtl/>
        </w:rPr>
        <w:t xml:space="preserve"> וכתב הרא"ה דאלו הז' דינרין שפוחתין לה הם ז' דינרין ממש מכתובה שלה או מנכסים שלה ולא מטובת הנאה שיש לה בהן</w:t>
      </w:r>
      <w:r>
        <w:rPr>
          <w:rFonts w:cs="Arial" w:hint="cs"/>
          <w:rtl/>
        </w:rPr>
        <w:t>, דרכ"מ (אות ד).</w:t>
      </w:r>
    </w:p>
  </w:footnote>
  <w:footnote w:id="1294">
    <w:p w14:paraId="0AA0975D" w14:textId="77777777" w:rsidR="00DF1FC7" w:rsidRDefault="00DF1FC7" w:rsidP="002E5BAD">
      <w:pPr>
        <w:pStyle w:val="a5"/>
      </w:pPr>
      <w:r>
        <w:rPr>
          <w:rStyle w:val="a7"/>
        </w:rPr>
        <w:footnoteRef/>
      </w:r>
      <w:r>
        <w:rPr>
          <w:rtl/>
        </w:rPr>
        <w:t xml:space="preserve"> </w:t>
      </w:r>
      <w:r w:rsidRPr="00DD6B6E">
        <w:rPr>
          <w:rFonts w:cs="Arial"/>
          <w:rtl/>
        </w:rPr>
        <w:t>וכן הוא בהגמ</w:t>
      </w:r>
      <w:r>
        <w:rPr>
          <w:rFonts w:cs="Arial" w:hint="cs"/>
          <w:rtl/>
        </w:rPr>
        <w:t>"</w:t>
      </w:r>
      <w:r w:rsidRPr="00DD6B6E">
        <w:rPr>
          <w:rFonts w:cs="Arial"/>
          <w:rtl/>
        </w:rPr>
        <w:t>ר דכתובות (סי' רצ)</w:t>
      </w:r>
      <w:r>
        <w:rPr>
          <w:rFonts w:cs="Arial" w:hint="cs"/>
          <w:rtl/>
        </w:rPr>
        <w:t>,</w:t>
      </w:r>
      <w:r w:rsidRPr="00DD6B6E">
        <w:rPr>
          <w:rFonts w:cs="Arial"/>
          <w:rtl/>
        </w:rPr>
        <w:t xml:space="preserve"> וכן הוא בהר"ן </w:t>
      </w:r>
      <w:r>
        <w:rPr>
          <w:rFonts w:cs="Arial" w:hint="cs"/>
          <w:rtl/>
        </w:rPr>
        <w:t>(</w:t>
      </w:r>
      <w:r w:rsidRPr="00DD6B6E">
        <w:rPr>
          <w:rFonts w:cs="Arial"/>
          <w:rtl/>
        </w:rPr>
        <w:t>פ</w:t>
      </w:r>
      <w:r>
        <w:rPr>
          <w:rFonts w:cs="Arial" w:hint="cs"/>
          <w:rtl/>
        </w:rPr>
        <w:t>'</w:t>
      </w:r>
      <w:r w:rsidRPr="00DD6B6E">
        <w:rPr>
          <w:rFonts w:cs="Arial"/>
          <w:rtl/>
        </w:rPr>
        <w:t xml:space="preserve"> אף על פי כז: דיבור ראשון)</w:t>
      </w:r>
      <w:r>
        <w:rPr>
          <w:rFonts w:cs="Arial" w:hint="cs"/>
          <w:rtl/>
        </w:rPr>
        <w:t>,</w:t>
      </w:r>
      <w:r w:rsidRPr="00DD6B6E">
        <w:rPr>
          <w:rFonts w:cs="Arial"/>
          <w:rtl/>
        </w:rPr>
        <w:t xml:space="preserve"> וכתב דאין חילוק בין מורדת מחמת מאיס או לא דבכל ענין אינה יכולה לחזור לאחר שהפסידה כתובתה</w:t>
      </w:r>
      <w:r>
        <w:rPr>
          <w:rFonts w:cs="Arial" w:hint="cs"/>
          <w:rtl/>
        </w:rPr>
        <w:t>, דרכ"מ (אות ה).</w:t>
      </w:r>
    </w:p>
  </w:footnote>
  <w:footnote w:id="1295">
    <w:p w14:paraId="4DDB8262" w14:textId="77777777" w:rsidR="00DF1FC7" w:rsidRDefault="00DF1FC7" w:rsidP="002E5BAD">
      <w:pPr>
        <w:pStyle w:val="a5"/>
      </w:pPr>
      <w:r>
        <w:rPr>
          <w:rStyle w:val="a7"/>
        </w:rPr>
        <w:footnoteRef/>
      </w:r>
      <w:r>
        <w:rPr>
          <w:rtl/>
        </w:rPr>
        <w:t xml:space="preserve"> </w:t>
      </w:r>
      <w:r>
        <w:rPr>
          <w:rFonts w:cs="Arial"/>
          <w:rtl/>
        </w:rPr>
        <w:t>וכתבו הר"ן (כו: ד"ה אין) וה</w:t>
      </w:r>
      <w:r>
        <w:rPr>
          <w:rFonts w:cs="Arial" w:hint="cs"/>
          <w:rtl/>
        </w:rPr>
        <w:t>ה"</w:t>
      </w:r>
      <w:r>
        <w:rPr>
          <w:rFonts w:cs="Arial"/>
          <w:rtl/>
        </w:rPr>
        <w:t>מ שלדבריו ה"ק דייקא נמי דאין מכריזין אלא בבתי כנסיות ובבתי מדרשות דאם איתא דבשוק מכריזין עליה בבציר מהכי סגי דהא מכספא טפי</w:t>
      </w:r>
      <w:r>
        <w:rPr>
          <w:rFonts w:cs="Arial" w:hint="cs"/>
          <w:rtl/>
        </w:rPr>
        <w:t>.</w:t>
      </w:r>
      <w:r>
        <w:rPr>
          <w:rFonts w:cs="Arial"/>
          <w:rtl/>
        </w:rPr>
        <w:t xml:space="preserve"> ומכל מקום תמה עליו הר"ן דהא בתוספתא קתני הפך מדבריו. והתוספות (סג: ד"ה דיקא) כתבו כפירש"י דביומי שבתות דוקא מכריזין והכי קתני בתוספתא פעם אחת בשבת</w:t>
      </w:r>
      <w:r>
        <w:rPr>
          <w:rFonts w:cs="Arial" w:hint="cs"/>
          <w:rtl/>
        </w:rPr>
        <w:t>,</w:t>
      </w:r>
      <w:r>
        <w:rPr>
          <w:rFonts w:cs="Arial"/>
          <w:rtl/>
        </w:rPr>
        <w:t xml:space="preserve"> וכן כתבו הגהות מיימוניות (שם אות ז) בשם ס"מ (ספר מצוות לאוין פא לב ע"ג)</w:t>
      </w:r>
      <w:r>
        <w:rPr>
          <w:rFonts w:cs="Arial" w:hint="cs"/>
          <w:rtl/>
        </w:rPr>
        <w:t>, ב"י.</w:t>
      </w:r>
      <w:r w:rsidRPr="0087405A">
        <w:rPr>
          <w:rFonts w:cs="Arial" w:hint="cs"/>
          <w:color w:val="00B0F0"/>
          <w:rtl/>
        </w:rPr>
        <w:t xml:space="preserve"> (וכ"פ הרמ"א)</w:t>
      </w:r>
    </w:p>
  </w:footnote>
  <w:footnote w:id="1296">
    <w:p w14:paraId="7925BAE5" w14:textId="77777777" w:rsidR="00DF1FC7" w:rsidRDefault="00DF1FC7" w:rsidP="002E5BAD">
      <w:pPr>
        <w:pStyle w:val="a5"/>
      </w:pPr>
      <w:r>
        <w:rPr>
          <w:rStyle w:val="a7"/>
        </w:rPr>
        <w:footnoteRef/>
      </w:r>
      <w:r>
        <w:rPr>
          <w:rtl/>
        </w:rPr>
        <w:t xml:space="preserve"> </w:t>
      </w:r>
      <w:r w:rsidRPr="003A0E8F">
        <w:rPr>
          <w:rFonts w:cs="Arial"/>
          <w:rtl/>
        </w:rPr>
        <w:t>ואמרה מאיס עלי</w:t>
      </w:r>
      <w:r>
        <w:rPr>
          <w:rFonts w:cs="Arial" w:hint="cs"/>
          <w:rtl/>
        </w:rPr>
        <w:t>, רש"י.</w:t>
      </w:r>
      <w:r w:rsidRPr="00831332">
        <w:rPr>
          <w:rFonts w:cs="Arial"/>
          <w:rtl/>
        </w:rPr>
        <w:t xml:space="preserve"> </w:t>
      </w:r>
      <w:r>
        <w:rPr>
          <w:rFonts w:cs="Arial"/>
          <w:rtl/>
        </w:rPr>
        <w:t xml:space="preserve">וכן פירש הרא"ש </w:t>
      </w:r>
      <w:r w:rsidRPr="00620C2F">
        <w:rPr>
          <w:rFonts w:cs="Arial"/>
          <w:sz w:val="16"/>
          <w:szCs w:val="16"/>
          <w:rtl/>
        </w:rPr>
        <w:t>(סי' לד</w:t>
      </w:r>
      <w:r>
        <w:rPr>
          <w:rFonts w:cs="Arial" w:hint="cs"/>
          <w:sz w:val="16"/>
          <w:szCs w:val="16"/>
          <w:rtl/>
        </w:rPr>
        <w:t>)</w:t>
      </w:r>
      <w:r>
        <w:rPr>
          <w:rFonts w:cs="Arial" w:hint="cs"/>
          <w:rtl/>
        </w:rPr>
        <w:t>, ב"י</w:t>
      </w:r>
      <w:r>
        <w:rPr>
          <w:rFonts w:cs="Arial"/>
          <w:rtl/>
        </w:rPr>
        <w:t>.</w:t>
      </w:r>
      <w:r>
        <w:rPr>
          <w:rFonts w:hint="cs"/>
          <w:rtl/>
        </w:rPr>
        <w:t xml:space="preserve"> אך הרמב"ם </w:t>
      </w:r>
      <w:r w:rsidRPr="00620C2F">
        <w:rPr>
          <w:rFonts w:hint="cs"/>
          <w:sz w:val="16"/>
          <w:szCs w:val="16"/>
          <w:rtl/>
        </w:rPr>
        <w:t xml:space="preserve">(פי"ד ה"ח-ט) </w:t>
      </w:r>
      <w:r>
        <w:rPr>
          <w:rFonts w:hint="cs"/>
          <w:rtl/>
        </w:rPr>
        <w:t>פירש דאמרה 'בעניא ליה ומצערנא ליה'.</w:t>
      </w:r>
    </w:p>
  </w:footnote>
  <w:footnote w:id="1297">
    <w:p w14:paraId="377FE677" w14:textId="77777777" w:rsidR="00DF1FC7" w:rsidRDefault="00DF1FC7" w:rsidP="002E5BAD">
      <w:pPr>
        <w:pStyle w:val="a5"/>
      </w:pPr>
      <w:r>
        <w:rPr>
          <w:rStyle w:val="a7"/>
        </w:rPr>
        <w:footnoteRef/>
      </w:r>
      <w:r>
        <w:rPr>
          <w:rtl/>
        </w:rPr>
        <w:t xml:space="preserve"> </w:t>
      </w:r>
      <w:r w:rsidRPr="003A0E8F">
        <w:rPr>
          <w:rFonts w:cs="Arial"/>
          <w:rtl/>
        </w:rPr>
        <w:t>מעיל אחד שהכניסה לו בכתובה</w:t>
      </w:r>
      <w:r>
        <w:rPr>
          <w:rFonts w:cs="Arial" w:hint="cs"/>
          <w:rtl/>
        </w:rPr>
        <w:t>, רש"י.</w:t>
      </w:r>
    </w:p>
  </w:footnote>
  <w:footnote w:id="1298">
    <w:p w14:paraId="40B94610" w14:textId="77777777" w:rsidR="00DF1FC7" w:rsidRDefault="00DF1FC7" w:rsidP="002E5BAD">
      <w:pPr>
        <w:pStyle w:val="a5"/>
      </w:pPr>
      <w:r>
        <w:rPr>
          <w:rStyle w:val="a7"/>
        </w:rPr>
        <w:footnoteRef/>
      </w:r>
      <w:r>
        <w:rPr>
          <w:rtl/>
        </w:rPr>
        <w:t xml:space="preserve"> </w:t>
      </w:r>
      <w:r w:rsidRPr="003A0E8F">
        <w:rPr>
          <w:rFonts w:cs="Arial"/>
          <w:rtl/>
        </w:rPr>
        <w:t>אפילו בגדיה שהכניסה לו בנדונייתה ושמאום עליו בכתובתה ועדיין הבלאות קיימין תפסיד אותם</w:t>
      </w:r>
      <w:r>
        <w:rPr>
          <w:rFonts w:cs="Arial" w:hint="cs"/>
          <w:rtl/>
        </w:rPr>
        <w:t>, רש"י.</w:t>
      </w:r>
    </w:p>
  </w:footnote>
  <w:footnote w:id="1299">
    <w:p w14:paraId="1EC19DB2" w14:textId="77777777" w:rsidR="00DF1FC7" w:rsidRDefault="00DF1FC7" w:rsidP="002E5BAD">
      <w:pPr>
        <w:pStyle w:val="a5"/>
        <w:rPr>
          <w:rtl/>
        </w:rPr>
      </w:pPr>
      <w:r>
        <w:rPr>
          <w:rStyle w:val="a7"/>
        </w:rPr>
        <w:footnoteRef/>
      </w:r>
      <w:r>
        <w:rPr>
          <w:rtl/>
        </w:rPr>
        <w:t xml:space="preserve"> </w:t>
      </w:r>
      <w:r w:rsidRPr="002616BC">
        <w:rPr>
          <w:rFonts w:cs="Arial"/>
          <w:rtl/>
        </w:rPr>
        <w:t>אם הפסידה בלאותיה אם לאו</w:t>
      </w:r>
      <w:r>
        <w:rPr>
          <w:rFonts w:hint="cs"/>
          <w:rtl/>
        </w:rPr>
        <w:t>, רש"י.</w:t>
      </w:r>
    </w:p>
  </w:footnote>
  <w:footnote w:id="1300">
    <w:p w14:paraId="04CB6CE4" w14:textId="77777777" w:rsidR="00DF1FC7" w:rsidRDefault="00DF1FC7" w:rsidP="002E5BAD">
      <w:pPr>
        <w:pStyle w:val="a5"/>
      </w:pPr>
      <w:r>
        <w:rPr>
          <w:rStyle w:val="a7"/>
        </w:rPr>
        <w:footnoteRef/>
      </w:r>
      <w:r>
        <w:rPr>
          <w:rtl/>
        </w:rPr>
        <w:t xml:space="preserve"> </w:t>
      </w:r>
      <w:r w:rsidRPr="002616BC">
        <w:rPr>
          <w:rFonts w:cs="Arial"/>
          <w:rtl/>
        </w:rPr>
        <w:t>ולא יערער על דברינו מחמת ענותנותו</w:t>
      </w:r>
      <w:r>
        <w:rPr>
          <w:rFonts w:cs="Arial" w:hint="cs"/>
          <w:rtl/>
        </w:rPr>
        <w:t>, רש"י.</w:t>
      </w:r>
    </w:p>
  </w:footnote>
  <w:footnote w:id="1301">
    <w:p w14:paraId="0B1D154A" w14:textId="77777777" w:rsidR="00DF1FC7" w:rsidRDefault="00DF1FC7" w:rsidP="002E5BAD">
      <w:pPr>
        <w:pStyle w:val="a5"/>
        <w:rPr>
          <w:rtl/>
        </w:rPr>
      </w:pPr>
      <w:r>
        <w:rPr>
          <w:rStyle w:val="a7"/>
        </w:rPr>
        <w:footnoteRef/>
      </w:r>
      <w:r>
        <w:rPr>
          <w:rtl/>
        </w:rPr>
        <w:t xml:space="preserve"> </w:t>
      </w:r>
      <w:r w:rsidRPr="002616BC">
        <w:rPr>
          <w:rFonts w:cs="Arial"/>
          <w:rtl/>
        </w:rPr>
        <w:t>לחובתו</w:t>
      </w:r>
      <w:r>
        <w:rPr>
          <w:rFonts w:hint="cs"/>
          <w:rtl/>
        </w:rPr>
        <w:t>, רש"י.</w:t>
      </w:r>
    </w:p>
  </w:footnote>
  <w:footnote w:id="1302">
    <w:p w14:paraId="75C65CAB" w14:textId="77777777" w:rsidR="00DF1FC7" w:rsidRDefault="00DF1FC7" w:rsidP="002E5BAD">
      <w:pPr>
        <w:pStyle w:val="a5"/>
        <w:rPr>
          <w:rtl/>
        </w:rPr>
      </w:pPr>
      <w:r>
        <w:rPr>
          <w:rStyle w:val="a7"/>
        </w:rPr>
        <w:footnoteRef/>
      </w:r>
      <w:r>
        <w:rPr>
          <w:rtl/>
        </w:rPr>
        <w:t xml:space="preserve"> </w:t>
      </w:r>
      <w:r w:rsidRPr="002616BC">
        <w:rPr>
          <w:rFonts w:cs="Arial"/>
          <w:rtl/>
        </w:rPr>
        <w:t>אולי תחזור בה</w:t>
      </w:r>
      <w:r>
        <w:rPr>
          <w:rFonts w:hint="cs"/>
          <w:rtl/>
        </w:rPr>
        <w:t>, רש"י.</w:t>
      </w:r>
    </w:p>
  </w:footnote>
  <w:footnote w:id="1303">
    <w:p w14:paraId="55DE1371" w14:textId="77777777" w:rsidR="00DF1FC7" w:rsidRDefault="00DF1FC7" w:rsidP="002E5BAD">
      <w:pPr>
        <w:pStyle w:val="a5"/>
      </w:pPr>
      <w:r>
        <w:rPr>
          <w:rStyle w:val="a7"/>
        </w:rPr>
        <w:footnoteRef/>
      </w:r>
      <w:r>
        <w:rPr>
          <w:rtl/>
        </w:rPr>
        <w:t xml:space="preserve"> </w:t>
      </w:r>
      <w:r>
        <w:rPr>
          <w:rFonts w:cs="Arial"/>
          <w:rtl/>
        </w:rPr>
        <w:t xml:space="preserve">מלשון רבינו שכתב </w:t>
      </w:r>
      <w:r>
        <w:rPr>
          <w:rFonts w:cs="Arial" w:hint="cs"/>
          <w:rtl/>
        </w:rPr>
        <w:t>'</w:t>
      </w:r>
      <w:r>
        <w:rPr>
          <w:rFonts w:cs="Arial"/>
          <w:rtl/>
        </w:rPr>
        <w:t xml:space="preserve">ושוב הוסיפו לתקן שימתינו לה </w:t>
      </w:r>
      <w:r>
        <w:rPr>
          <w:rFonts w:cs="Arial" w:hint="cs"/>
          <w:rtl/>
        </w:rPr>
        <w:t>י"ב</w:t>
      </w:r>
      <w:r>
        <w:rPr>
          <w:rFonts w:cs="Arial"/>
          <w:rtl/>
        </w:rPr>
        <w:t xml:space="preserve"> חודש</w:t>
      </w:r>
      <w:r>
        <w:rPr>
          <w:rFonts w:cs="Arial" w:hint="cs"/>
          <w:rtl/>
        </w:rPr>
        <w:t>'</w:t>
      </w:r>
      <w:r>
        <w:rPr>
          <w:rFonts w:cs="Arial"/>
          <w:rtl/>
        </w:rPr>
        <w:t xml:space="preserve"> משמע שמלבד הכרזת ארבע שבתות תקנו שלא יתן לה גט עד שנים עשר חדש וכך הם דברי הרמב"ם ז"ל (שם ה"י)</w:t>
      </w:r>
      <w:r>
        <w:rPr>
          <w:rFonts w:cs="Arial" w:hint="cs"/>
          <w:rtl/>
        </w:rPr>
        <w:t>, ב"י.</w:t>
      </w:r>
      <w:r w:rsidRPr="00A74C2B">
        <w:rPr>
          <w:rFonts w:cs="Arial"/>
          <w:rtl/>
        </w:rPr>
        <w:t xml:space="preserve"> וצ"ע בתשובת הר"ן כתב דבטוענת מאיס עלי אין מכריזין עליה ולא הזכירו בגמרא הכרזה אלא במורדת דבעינא ליה ומצערנא ליה כו' וכ"כ מתשו</w:t>
      </w:r>
      <w:r>
        <w:rPr>
          <w:rFonts w:cs="Arial" w:hint="cs"/>
          <w:rtl/>
        </w:rPr>
        <w:t>'</w:t>
      </w:r>
      <w:r w:rsidRPr="00A74C2B">
        <w:rPr>
          <w:rFonts w:cs="Arial"/>
          <w:rtl/>
        </w:rPr>
        <w:t xml:space="preserve"> הרשב"א</w:t>
      </w:r>
      <w:r>
        <w:rPr>
          <w:rFonts w:cs="Arial" w:hint="cs"/>
          <w:rtl/>
        </w:rPr>
        <w:t>,</w:t>
      </w:r>
      <w:r w:rsidRPr="00764391">
        <w:rPr>
          <w:rFonts w:cs="Arial"/>
          <w:rtl/>
        </w:rPr>
        <w:t xml:space="preserve"> </w:t>
      </w:r>
      <w:r>
        <w:rPr>
          <w:rFonts w:cs="Arial" w:hint="cs"/>
          <w:rtl/>
        </w:rPr>
        <w:t xml:space="preserve">דרכ"מ </w:t>
      </w:r>
      <w:r w:rsidRPr="00A74C2B">
        <w:rPr>
          <w:rFonts w:cs="Arial"/>
          <w:rtl/>
        </w:rPr>
        <w:t>(</w:t>
      </w:r>
      <w:r>
        <w:rPr>
          <w:rFonts w:cs="Arial" w:hint="cs"/>
          <w:rtl/>
        </w:rPr>
        <w:t xml:space="preserve">אות </w:t>
      </w:r>
      <w:r w:rsidRPr="00A74C2B">
        <w:rPr>
          <w:rFonts w:cs="Arial"/>
          <w:rtl/>
        </w:rPr>
        <w:t>ח*)</w:t>
      </w:r>
      <w:r>
        <w:rPr>
          <w:rFonts w:cs="Arial" w:hint="cs"/>
          <w:rtl/>
        </w:rPr>
        <w:t>.</w:t>
      </w:r>
    </w:p>
  </w:footnote>
  <w:footnote w:id="1304">
    <w:p w14:paraId="439CB1B0" w14:textId="77777777" w:rsidR="00DF1FC7" w:rsidRDefault="00DF1FC7" w:rsidP="002E5BAD">
      <w:pPr>
        <w:pStyle w:val="a5"/>
      </w:pPr>
      <w:r>
        <w:rPr>
          <w:rStyle w:val="a7"/>
        </w:rPr>
        <w:footnoteRef/>
      </w:r>
      <w:r>
        <w:rPr>
          <w:rtl/>
        </w:rPr>
        <w:t xml:space="preserve"> </w:t>
      </w:r>
      <w:r w:rsidRPr="008F7F12">
        <w:rPr>
          <w:rFonts w:cs="Arial"/>
          <w:rtl/>
        </w:rPr>
        <w:t>תקנה זו נעשית בימי האמוראים האחרונים כאשר ראו כי גבהו בנות ישראל ודעתם זחה עליהם</w:t>
      </w:r>
      <w:r w:rsidRPr="008F7F12">
        <w:rPr>
          <w:rFonts w:cs="Arial" w:hint="cs"/>
          <w:rtl/>
        </w:rPr>
        <w:t>,</w:t>
      </w:r>
      <w:r w:rsidRPr="008F7F12">
        <w:rPr>
          <w:rFonts w:cs="Arial"/>
          <w:rtl/>
        </w:rPr>
        <w:t xml:space="preserve"> וכאשר היה להם כעס עם בעליהן היו אומרות לא בעינא ליה</w:t>
      </w:r>
      <w:r w:rsidRPr="008F7F12">
        <w:rPr>
          <w:rFonts w:cs="Arial" w:hint="cs"/>
          <w:rtl/>
        </w:rPr>
        <w:t>,</w:t>
      </w:r>
      <w:r w:rsidRPr="008F7F12">
        <w:rPr>
          <w:rFonts w:cs="Arial"/>
          <w:rtl/>
        </w:rPr>
        <w:t xml:space="preserve"> והבעל מגרשם מיד כיון שפטרתו מכתובתה</w:t>
      </w:r>
      <w:r w:rsidRPr="008F7F12">
        <w:rPr>
          <w:rFonts w:cs="Arial" w:hint="cs"/>
          <w:rtl/>
        </w:rPr>
        <w:t>,</w:t>
      </w:r>
      <w:r w:rsidRPr="008F7F12">
        <w:rPr>
          <w:rFonts w:cs="Arial"/>
          <w:rtl/>
        </w:rPr>
        <w:t xml:space="preserve"> ושוב היו הנשים מתחרטות</w:t>
      </w:r>
      <w:r w:rsidRPr="008F7F12">
        <w:rPr>
          <w:rFonts w:cs="Arial" w:hint="cs"/>
          <w:rtl/>
        </w:rPr>
        <w:t xml:space="preserve">. </w:t>
      </w:r>
      <w:r w:rsidRPr="008F7F12">
        <w:rPr>
          <w:rFonts w:cs="Arial"/>
          <w:rtl/>
        </w:rPr>
        <w:t>תקנו שתשהה שנה</w:t>
      </w:r>
      <w:r w:rsidRPr="008F7F12">
        <w:rPr>
          <w:rFonts w:cs="Arial" w:hint="cs"/>
          <w:rtl/>
        </w:rPr>
        <w:t>,</w:t>
      </w:r>
      <w:r w:rsidRPr="008F7F12">
        <w:rPr>
          <w:rFonts w:cs="Arial"/>
          <w:rtl/>
        </w:rPr>
        <w:t xml:space="preserve"> ואם יגרשנה בתוך השנה שלא תהא מחילתה מחילה ויצטרך ליתן לה כתובה אולי יתפייסו בתוך השנה</w:t>
      </w:r>
      <w:r w:rsidRPr="008F7F12">
        <w:rPr>
          <w:rFonts w:cs="Arial" w:hint="cs"/>
          <w:rtl/>
        </w:rPr>
        <w:t>.</w:t>
      </w:r>
      <w:r w:rsidRPr="008F7F12">
        <w:rPr>
          <w:rFonts w:cs="Arial"/>
          <w:rtl/>
        </w:rPr>
        <w:t xml:space="preserve"> וכיון שתקנו כך לאומרת מאיס עלי שהיתה ראויה להתגרש מיד בלא כפייה</w:t>
      </w:r>
      <w:r w:rsidRPr="008F7F12">
        <w:rPr>
          <w:rFonts w:cs="Arial" w:hint="cs"/>
          <w:rtl/>
        </w:rPr>
        <w:t>,</w:t>
      </w:r>
      <w:r w:rsidRPr="008F7F12">
        <w:rPr>
          <w:rFonts w:cs="Arial"/>
          <w:rtl/>
        </w:rPr>
        <w:t xml:space="preserve"> כל שכן למורדת. ואינה נזונת אותה שנה</w:t>
      </w:r>
      <w:r w:rsidRPr="008F7F12">
        <w:rPr>
          <w:rFonts w:cs="Arial" w:hint="cs"/>
          <w:rtl/>
        </w:rPr>
        <w:t>,</w:t>
      </w:r>
      <w:r w:rsidRPr="008F7F12">
        <w:rPr>
          <w:rFonts w:cs="Arial"/>
          <w:rtl/>
        </w:rPr>
        <w:t xml:space="preserve"> אבל הוא אוכל פירות וחייב בפרקונה</w:t>
      </w:r>
      <w:r w:rsidRPr="008F7F12">
        <w:rPr>
          <w:rFonts w:cs="Arial" w:hint="cs"/>
          <w:rtl/>
        </w:rPr>
        <w:t>.</w:t>
      </w:r>
      <w:r w:rsidRPr="008F7F12">
        <w:rPr>
          <w:rFonts w:cs="Arial"/>
          <w:rtl/>
        </w:rPr>
        <w:t xml:space="preserve"> דבמזונות קנסו אותה דרוב נשים אין מספיק מעשה ידיהם למזונותיהם</w:t>
      </w:r>
      <w:r w:rsidRPr="008F7F12">
        <w:rPr>
          <w:rFonts w:cs="Arial" w:hint="cs"/>
          <w:rtl/>
        </w:rPr>
        <w:t>.</w:t>
      </w:r>
      <w:r w:rsidRPr="008F7F12">
        <w:rPr>
          <w:rFonts w:cs="Arial"/>
          <w:rtl/>
        </w:rPr>
        <w:t xml:space="preserve"> אבל היתה חפצה שלא יאכל הבעל פירות נכסיה ולא יתחייב בפרקונה</w:t>
      </w:r>
      <w:r w:rsidRPr="008F7F12">
        <w:rPr>
          <w:rFonts w:cs="Arial" w:hint="cs"/>
          <w:rtl/>
        </w:rPr>
        <w:t>,</w:t>
      </w:r>
      <w:r w:rsidRPr="008F7F12">
        <w:rPr>
          <w:rFonts w:cs="Arial"/>
          <w:rtl/>
        </w:rPr>
        <w:t xml:space="preserve"> לאו כל כמינה</w:t>
      </w:r>
      <w:r w:rsidRPr="008F7F12">
        <w:rPr>
          <w:rFonts w:cs="Arial" w:hint="cs"/>
          <w:rtl/>
        </w:rPr>
        <w:t>.</w:t>
      </w:r>
      <w:r w:rsidRPr="008F7F12">
        <w:rPr>
          <w:rFonts w:cs="Arial"/>
          <w:rtl/>
        </w:rPr>
        <w:t xml:space="preserve"> הילכך הוא אוכל פירות</w:t>
      </w:r>
      <w:r w:rsidRPr="008F7F12">
        <w:rPr>
          <w:rFonts w:cs="Arial" w:hint="cs"/>
          <w:rtl/>
        </w:rPr>
        <w:t>,</w:t>
      </w:r>
      <w:r w:rsidRPr="008F7F12">
        <w:rPr>
          <w:rFonts w:cs="Arial"/>
          <w:rtl/>
        </w:rPr>
        <w:t xml:space="preserve"> וכיון שאוכל פירות חייב גם בפרקונה</w:t>
      </w:r>
      <w:r w:rsidRPr="008F7F12">
        <w:rPr>
          <w:rFonts w:cs="Arial" w:hint="cs"/>
          <w:rtl/>
        </w:rPr>
        <w:t>.</w:t>
      </w:r>
      <w:r w:rsidRPr="008F7F12">
        <w:rPr>
          <w:rFonts w:cs="Arial"/>
          <w:rtl/>
        </w:rPr>
        <w:t xml:space="preserve"> ויראה שחייב בקבורתה</w:t>
      </w:r>
      <w:r w:rsidRPr="008F7F12">
        <w:rPr>
          <w:rFonts w:cs="Arial" w:hint="cs"/>
          <w:rtl/>
        </w:rPr>
        <w:t>, רא"ש (פ"ה סי' לד)</w:t>
      </w:r>
      <w:r>
        <w:rPr>
          <w:rFonts w:cs="Arial" w:hint="cs"/>
          <w:rtl/>
        </w:rPr>
        <w:t>.</w:t>
      </w:r>
    </w:p>
  </w:footnote>
  <w:footnote w:id="1305">
    <w:p w14:paraId="6D598C65" w14:textId="77777777" w:rsidR="00DF1FC7" w:rsidRDefault="00DF1FC7" w:rsidP="002E5BAD">
      <w:pPr>
        <w:pStyle w:val="a5"/>
      </w:pPr>
      <w:r>
        <w:rPr>
          <w:rStyle w:val="a7"/>
        </w:rPr>
        <w:footnoteRef/>
      </w:r>
      <w:r>
        <w:rPr>
          <w:rtl/>
        </w:rPr>
        <w:t xml:space="preserve"> </w:t>
      </w:r>
      <w:r w:rsidRPr="00897A64">
        <w:rPr>
          <w:rFonts w:cs="Arial"/>
          <w:rtl/>
        </w:rPr>
        <w:t xml:space="preserve">וכתב ב"י בשם תשובת הרשב"א </w:t>
      </w:r>
      <w:r>
        <w:rPr>
          <w:rFonts w:cs="Arial" w:hint="cs"/>
          <w:sz w:val="16"/>
          <w:szCs w:val="16"/>
          <w:rtl/>
        </w:rPr>
        <w:t>(עי' בתשובות הרשב"א ח"א סי' אלף רלה)</w:t>
      </w:r>
      <w:r w:rsidRPr="00897A64">
        <w:rPr>
          <w:rFonts w:cs="Arial"/>
          <w:rtl/>
        </w:rPr>
        <w:t xml:space="preserve"> דאם מגרשה תוך י"ב חודש צריך ליתן לה כתובה ונכסי </w:t>
      </w:r>
      <w:r>
        <w:rPr>
          <w:rFonts w:cs="Arial"/>
          <w:rtl/>
        </w:rPr>
        <w:t>צאן ברזל</w:t>
      </w:r>
      <w:r w:rsidRPr="00897A64">
        <w:rPr>
          <w:rFonts w:cs="Arial"/>
          <w:rtl/>
        </w:rPr>
        <w:t xml:space="preserve"> שלה אבל לא מה שכתב לה מאחר שהיא תובעת ממנו גט</w:t>
      </w:r>
      <w:r>
        <w:rPr>
          <w:rFonts w:cs="Arial" w:hint="cs"/>
          <w:rtl/>
        </w:rPr>
        <w:t>, דרכ"מ (אות ח).</w:t>
      </w:r>
      <w:r w:rsidRPr="0032002E">
        <w:rPr>
          <w:rFonts w:cs="Arial" w:hint="cs"/>
          <w:color w:val="00B0F0"/>
          <w:rtl/>
        </w:rPr>
        <w:t xml:space="preserve"> </w:t>
      </w:r>
      <w:r w:rsidRPr="0087405A">
        <w:rPr>
          <w:rFonts w:cs="Arial" w:hint="cs"/>
          <w:color w:val="00B0F0"/>
          <w:rtl/>
        </w:rPr>
        <w:t>(וכ"פ הרמ"א)</w:t>
      </w:r>
    </w:p>
  </w:footnote>
  <w:footnote w:id="1306">
    <w:p w14:paraId="1F6BE845" w14:textId="77777777" w:rsidR="00DF1FC7" w:rsidRDefault="00DF1FC7" w:rsidP="002E5BAD">
      <w:pPr>
        <w:pStyle w:val="a5"/>
        <w:rPr>
          <w:rtl/>
        </w:rPr>
      </w:pPr>
      <w:r>
        <w:rPr>
          <w:rStyle w:val="a7"/>
        </w:rPr>
        <w:footnoteRef/>
      </w:r>
      <w:r>
        <w:rPr>
          <w:rtl/>
        </w:rPr>
        <w:t xml:space="preserve"> </w:t>
      </w:r>
      <w:r w:rsidRPr="00FA71CF">
        <w:rPr>
          <w:rFonts w:cs="Arial"/>
          <w:rtl/>
        </w:rPr>
        <w:t>נראה דלאחר השנה שאבדה כתובתה אבדה ג"כ כל תנאי כתובה</w:t>
      </w:r>
      <w:r>
        <w:rPr>
          <w:rFonts w:cs="Arial" w:hint="cs"/>
          <w:rtl/>
        </w:rPr>
        <w:t>,</w:t>
      </w:r>
      <w:r w:rsidRPr="00FA71CF">
        <w:rPr>
          <w:rFonts w:cs="Arial"/>
          <w:rtl/>
        </w:rPr>
        <w:t xml:space="preserve"> והכי דייק לשון הרא"ש דדוקא תוך י"ב חודש חייב בקבורתה ובפרקונה אבל לא לאחר מכן</w:t>
      </w:r>
      <w:r>
        <w:rPr>
          <w:rFonts w:cs="Arial" w:hint="cs"/>
          <w:rtl/>
        </w:rPr>
        <w:t>.</w:t>
      </w:r>
      <w:r w:rsidRPr="00FA71CF">
        <w:rPr>
          <w:rFonts w:cs="Arial"/>
          <w:rtl/>
        </w:rPr>
        <w:t xml:space="preserve"> ולכן נראה דאח"כ אין הבעל אוכל פירות נכסיה</w:t>
      </w:r>
      <w:r>
        <w:rPr>
          <w:rFonts w:cs="Arial" w:hint="cs"/>
          <w:rtl/>
        </w:rPr>
        <w:t>,</w:t>
      </w:r>
      <w:r w:rsidRPr="00FA71CF">
        <w:rPr>
          <w:rFonts w:cs="Arial"/>
          <w:rtl/>
        </w:rPr>
        <w:t xml:space="preserve"> וכן משמע מתשובת מהרי"ו סימן כ' דלאחר שיש לה דין מורדת ויכול לגרשה בלא כתובה אין להם זה על זה כלום וע"ש</w:t>
      </w:r>
      <w:r>
        <w:rPr>
          <w:rFonts w:cs="Arial" w:hint="cs"/>
          <w:rtl/>
        </w:rPr>
        <w:t>,</w:t>
      </w:r>
      <w:r w:rsidRPr="00FA71CF">
        <w:rPr>
          <w:rFonts w:cs="Arial"/>
          <w:rtl/>
        </w:rPr>
        <w:t xml:space="preserve"> ולקמן כתבתי דבריו</w:t>
      </w:r>
      <w:r>
        <w:rPr>
          <w:rFonts w:cs="Arial" w:hint="cs"/>
          <w:rtl/>
        </w:rPr>
        <w:t>.</w:t>
      </w:r>
      <w:r w:rsidRPr="00FA71CF">
        <w:rPr>
          <w:rFonts w:cs="Arial"/>
          <w:rtl/>
        </w:rPr>
        <w:t xml:space="preserve"> ומשמע דאם מתה יירשנה</w:t>
      </w:r>
      <w:r>
        <w:rPr>
          <w:rFonts w:cs="Arial" w:hint="cs"/>
          <w:rtl/>
        </w:rPr>
        <w:t>,</w:t>
      </w:r>
      <w:r w:rsidRPr="00FA71CF">
        <w:rPr>
          <w:rFonts w:cs="Arial"/>
          <w:rtl/>
        </w:rPr>
        <w:t xml:space="preserve"> וכן משמע מדברי הגאון שהביא בעל הטור מדברי הרי"ף (כז א) וכן כתבתי לקמן סימן צ' (אות ה) מן המ"מ</w:t>
      </w:r>
      <w:r>
        <w:rPr>
          <w:rFonts w:cs="Arial" w:hint="cs"/>
          <w:rtl/>
        </w:rPr>
        <w:t>, דרכ"מ (אות ט).</w:t>
      </w:r>
      <w:r w:rsidRPr="001F501A">
        <w:rPr>
          <w:rFonts w:cs="Arial" w:hint="cs"/>
          <w:color w:val="00B0F0"/>
          <w:rtl/>
        </w:rPr>
        <w:t xml:space="preserve"> </w:t>
      </w:r>
      <w:r w:rsidRPr="0087405A">
        <w:rPr>
          <w:rFonts w:cs="Arial" w:hint="cs"/>
          <w:color w:val="00B0F0"/>
          <w:rtl/>
        </w:rPr>
        <w:t xml:space="preserve">(וכ"פ </w:t>
      </w:r>
      <w:r>
        <w:rPr>
          <w:rFonts w:cs="Arial" w:hint="cs"/>
          <w:color w:val="00B0F0"/>
          <w:rtl/>
        </w:rPr>
        <w:t>בהגה</w:t>
      </w:r>
      <w:r w:rsidRPr="0087405A">
        <w:rPr>
          <w:rFonts w:cs="Arial" w:hint="cs"/>
          <w:color w:val="00B0F0"/>
          <w:rtl/>
        </w:rPr>
        <w:t>)</w:t>
      </w:r>
    </w:p>
  </w:footnote>
  <w:footnote w:id="1307">
    <w:p w14:paraId="09BA5000" w14:textId="77777777" w:rsidR="00DF1FC7" w:rsidRDefault="00DF1FC7" w:rsidP="002E5BAD">
      <w:pPr>
        <w:pStyle w:val="a5"/>
      </w:pPr>
      <w:r>
        <w:rPr>
          <w:rStyle w:val="a7"/>
        </w:rPr>
        <w:footnoteRef/>
      </w:r>
      <w:r>
        <w:rPr>
          <w:rtl/>
        </w:rPr>
        <w:t xml:space="preserve"> </w:t>
      </w:r>
      <w:r>
        <w:rPr>
          <w:rFonts w:cs="Arial"/>
          <w:rtl/>
        </w:rPr>
        <w:t>וכתב הריב"ש (סי' שסד) כל שלא תפשה לא יהבינן לה</w:t>
      </w:r>
      <w:r>
        <w:rPr>
          <w:rFonts w:cs="Arial" w:hint="cs"/>
          <w:rtl/>
        </w:rPr>
        <w:t>,</w:t>
      </w:r>
      <w:r>
        <w:rPr>
          <w:rFonts w:cs="Arial"/>
          <w:rtl/>
        </w:rPr>
        <w:t xml:space="preserve"> ומה שכתב הרמב"ם בפי"ד מהלכות אישות (הי"ג) </w:t>
      </w:r>
      <w:r>
        <w:rPr>
          <w:rFonts w:cs="Arial" w:hint="cs"/>
          <w:rtl/>
        </w:rPr>
        <w:t>'</w:t>
      </w:r>
      <w:r>
        <w:rPr>
          <w:rFonts w:cs="Arial"/>
          <w:rtl/>
        </w:rPr>
        <w:t>ואם תפס הבעל אין מוציאין מידו</w:t>
      </w:r>
      <w:r>
        <w:rPr>
          <w:rFonts w:cs="Arial" w:hint="cs"/>
          <w:rtl/>
        </w:rPr>
        <w:t>'</w:t>
      </w:r>
      <w:r>
        <w:rPr>
          <w:rFonts w:cs="Arial"/>
          <w:rtl/>
        </w:rPr>
        <w:t xml:space="preserve"> לא דק</w:t>
      </w:r>
      <w:r>
        <w:rPr>
          <w:rFonts w:cs="Arial" w:hint="cs"/>
          <w:rtl/>
        </w:rPr>
        <w:t>,</w:t>
      </w:r>
      <w:r>
        <w:rPr>
          <w:rFonts w:cs="Arial"/>
          <w:rtl/>
        </w:rPr>
        <w:t xml:space="preserve"> ואגב שיטפא נקטיה</w:t>
      </w:r>
      <w:r>
        <w:rPr>
          <w:rFonts w:cs="Arial" w:hint="cs"/>
          <w:rtl/>
        </w:rPr>
        <w:t>,</w:t>
      </w:r>
      <w:r>
        <w:rPr>
          <w:rFonts w:cs="Arial"/>
          <w:rtl/>
        </w:rPr>
        <w:t xml:space="preserve"> שאין הבעל צריך לתפיסה</w:t>
      </w:r>
      <w:r>
        <w:rPr>
          <w:rFonts w:cs="Arial" w:hint="cs"/>
          <w:rtl/>
        </w:rPr>
        <w:t>, ב"י.</w:t>
      </w:r>
      <w:r w:rsidRPr="00DD4860">
        <w:rPr>
          <w:rFonts w:cs="Arial" w:hint="cs"/>
          <w:color w:val="E36C0A" w:themeColor="accent6" w:themeShade="BF"/>
          <w:rtl/>
        </w:rPr>
        <w:t xml:space="preserve"> (וכ"פ בשו"ע</w:t>
      </w:r>
      <w:r>
        <w:rPr>
          <w:rFonts w:cs="Arial" w:hint="cs"/>
          <w:color w:val="E36C0A" w:themeColor="accent6" w:themeShade="BF"/>
          <w:sz w:val="16"/>
          <w:szCs w:val="16"/>
          <w:rtl/>
        </w:rPr>
        <w:t xml:space="preserve"> </w:t>
      </w:r>
      <w:r>
        <w:rPr>
          <w:rFonts w:cs="Arial" w:hint="cs"/>
          <w:color w:val="000000" w:themeColor="text1"/>
          <w:sz w:val="16"/>
          <w:szCs w:val="16"/>
          <w:rtl/>
        </w:rPr>
        <w:t>[בסע' ג]</w:t>
      </w:r>
      <w:r w:rsidRPr="00DD4860">
        <w:rPr>
          <w:rFonts w:cs="Arial" w:hint="cs"/>
          <w:color w:val="E36C0A" w:themeColor="accent6" w:themeShade="BF"/>
          <w:rtl/>
        </w:rPr>
        <w:t>)</w:t>
      </w:r>
      <w:r>
        <w:rPr>
          <w:rFonts w:cs="Arial" w:hint="cs"/>
          <w:rtl/>
        </w:rPr>
        <w:t>.</w:t>
      </w:r>
      <w:r w:rsidRPr="00A74C2B">
        <w:rPr>
          <w:rFonts w:cs="Arial"/>
          <w:rtl/>
        </w:rPr>
        <w:t xml:space="preserve"> ועיין במגיד משנה פי"ד מהלכות אישות (ה"ח) שהאריך בדעות חלוקות בדין זה</w:t>
      </w:r>
      <w:r>
        <w:rPr>
          <w:rFonts w:cs="Arial" w:hint="cs"/>
          <w:rtl/>
        </w:rPr>
        <w:t>, דרכ"מ (אות ז).</w:t>
      </w:r>
    </w:p>
  </w:footnote>
  <w:footnote w:id="1308">
    <w:p w14:paraId="4B9BB491" w14:textId="77777777" w:rsidR="00DF1FC7" w:rsidRPr="00A4557C" w:rsidRDefault="00DF1FC7" w:rsidP="002E5BAD">
      <w:pPr>
        <w:pStyle w:val="a5"/>
        <w:rPr>
          <w:color w:val="000000" w:themeColor="text1"/>
        </w:rPr>
      </w:pPr>
      <w:r w:rsidRPr="00A4557C">
        <w:rPr>
          <w:rStyle w:val="a7"/>
          <w:color w:val="000000" w:themeColor="text1"/>
        </w:rPr>
        <w:footnoteRef/>
      </w:r>
      <w:r w:rsidRPr="00A4557C">
        <w:rPr>
          <w:color w:val="000000" w:themeColor="text1"/>
          <w:rtl/>
        </w:rPr>
        <w:t xml:space="preserve"> </w:t>
      </w:r>
      <w:r>
        <w:rPr>
          <w:rFonts w:hint="cs"/>
          <w:color w:val="000000" w:themeColor="text1"/>
          <w:rtl/>
        </w:rPr>
        <w:t xml:space="preserve">הטור כתב 'תקנתא' בלשון יחיד כי הוא מדבר רק על התקנה השניה, כיון שלאחר שתיקנו את התקנה הראשונה נתבטל דין המשנה </w:t>
      </w:r>
      <w:r w:rsidRPr="00360619">
        <w:rPr>
          <w:rFonts w:hint="cs"/>
          <w:color w:val="000000" w:themeColor="text1"/>
          <w:sz w:val="16"/>
          <w:szCs w:val="16"/>
          <w:rtl/>
        </w:rPr>
        <w:t>(שאין פחת הדרגתי</w:t>
      </w:r>
      <w:r>
        <w:rPr>
          <w:rFonts w:hint="cs"/>
          <w:color w:val="000000" w:themeColor="text1"/>
          <w:sz w:val="16"/>
          <w:szCs w:val="16"/>
          <w:rtl/>
        </w:rPr>
        <w:t xml:space="preserve"> אלא לאחר ד' שבתות מפסידה כל הכתובה</w:t>
      </w:r>
      <w:r w:rsidRPr="00360619">
        <w:rPr>
          <w:rFonts w:hint="cs"/>
          <w:color w:val="000000" w:themeColor="text1"/>
          <w:sz w:val="16"/>
          <w:szCs w:val="16"/>
          <w:rtl/>
        </w:rPr>
        <w:t>, חוץ מהמאירי</w:t>
      </w:r>
      <w:r>
        <w:rPr>
          <w:rFonts w:hint="cs"/>
          <w:color w:val="000000" w:themeColor="text1"/>
          <w:sz w:val="16"/>
          <w:szCs w:val="16"/>
          <w:rtl/>
        </w:rPr>
        <w:t xml:space="preserve"> שכתב זה בהדרגה כמו במשנה</w:t>
      </w:r>
      <w:r w:rsidRPr="00360619">
        <w:rPr>
          <w:rFonts w:hint="cs"/>
          <w:color w:val="000000" w:themeColor="text1"/>
          <w:sz w:val="16"/>
          <w:szCs w:val="16"/>
          <w:rtl/>
        </w:rPr>
        <w:t>, ע"ש)</w:t>
      </w:r>
      <w:r>
        <w:rPr>
          <w:rFonts w:hint="cs"/>
          <w:color w:val="000000" w:themeColor="text1"/>
          <w:rtl/>
        </w:rPr>
        <w:t xml:space="preserve">, ולאחר שתוקנה תקנה שניה נתבטל חלק מהתקנה הראשונה </w:t>
      </w:r>
      <w:r>
        <w:rPr>
          <w:rFonts w:hint="cs"/>
          <w:color w:val="000000" w:themeColor="text1"/>
          <w:sz w:val="16"/>
          <w:szCs w:val="16"/>
          <w:rtl/>
        </w:rPr>
        <w:t>(שלא מפסידה כתובתה לאחר ד' שבתות, אלא לאחר י"ב חודש)</w:t>
      </w:r>
      <w:r>
        <w:rPr>
          <w:rFonts w:hint="cs"/>
          <w:color w:val="000000" w:themeColor="text1"/>
          <w:rtl/>
        </w:rPr>
        <w:t>. השאלה היא האם מכריזים עליה ד' שבתות. ולכאורה מדכתב 'תקנתא' בלשון יחיד משמע שמדבר רק על התקנה השניה ושהיא ביטלה את התקנה הראשונה לגמרי כולל ההכרזה. וכ"כ שאר הראשונים</w:t>
      </w:r>
      <w:r w:rsidRPr="00807159">
        <w:rPr>
          <w:rFonts w:hint="cs"/>
          <w:color w:val="000000" w:themeColor="text1"/>
          <w:rtl/>
        </w:rPr>
        <w:t xml:space="preserve"> </w:t>
      </w:r>
      <w:r>
        <w:rPr>
          <w:rFonts w:hint="cs"/>
          <w:color w:val="000000" w:themeColor="text1"/>
          <w:rtl/>
        </w:rPr>
        <w:t xml:space="preserve">שפירשו את הגמ' כהרא"ש </w:t>
      </w:r>
      <w:r w:rsidRPr="00807159">
        <w:rPr>
          <w:rFonts w:hint="cs"/>
          <w:color w:val="000000" w:themeColor="text1"/>
          <w:sz w:val="16"/>
          <w:szCs w:val="16"/>
          <w:rtl/>
        </w:rPr>
        <w:t>(דכלתיה דרב זביד אמרה מאיס)</w:t>
      </w:r>
      <w:r>
        <w:rPr>
          <w:rFonts w:hint="cs"/>
          <w:color w:val="000000" w:themeColor="text1"/>
          <w:rtl/>
        </w:rPr>
        <w:t>, דאין עושים לה הכרזה תוך י"ב חודש הנ"ל, והם הרמב"ן</w:t>
      </w:r>
      <w:r w:rsidRPr="00807159">
        <w:rPr>
          <w:rFonts w:hint="cs"/>
          <w:color w:val="000000" w:themeColor="text1"/>
          <w:sz w:val="16"/>
          <w:szCs w:val="16"/>
          <w:rtl/>
        </w:rPr>
        <w:t xml:space="preserve"> (כ"כ הה"מ (פי"ד ה"ח) בשמו)</w:t>
      </w:r>
      <w:r>
        <w:rPr>
          <w:rFonts w:hint="cs"/>
          <w:color w:val="000000" w:themeColor="text1"/>
          <w:rtl/>
        </w:rPr>
        <w:t xml:space="preserve"> הרשב"א </w:t>
      </w:r>
      <w:r w:rsidRPr="00807159">
        <w:rPr>
          <w:rFonts w:hint="cs"/>
          <w:color w:val="000000" w:themeColor="text1"/>
          <w:sz w:val="16"/>
          <w:szCs w:val="16"/>
          <w:rtl/>
        </w:rPr>
        <w:t>(בתשו' שהביא הב"י, וכ"כ הה"מ בשמו [שם])</w:t>
      </w:r>
      <w:r>
        <w:rPr>
          <w:rFonts w:hint="cs"/>
          <w:color w:val="000000" w:themeColor="text1"/>
          <w:rtl/>
        </w:rPr>
        <w:t>. וכ"כ הר"ן</w:t>
      </w:r>
      <w:r w:rsidRPr="00BF55D8">
        <w:rPr>
          <w:rFonts w:hint="cs"/>
          <w:color w:val="000000" w:themeColor="text1"/>
          <w:sz w:val="16"/>
          <w:szCs w:val="16"/>
          <w:rtl/>
        </w:rPr>
        <w:t xml:space="preserve"> (</w:t>
      </w:r>
      <w:r>
        <w:rPr>
          <w:rFonts w:hint="cs"/>
          <w:color w:val="000000" w:themeColor="text1"/>
          <w:sz w:val="16"/>
          <w:szCs w:val="16"/>
          <w:rtl/>
        </w:rPr>
        <w:t xml:space="preserve">בתשו' </w:t>
      </w:r>
      <w:r w:rsidRPr="00BF55D8">
        <w:rPr>
          <w:rFonts w:hint="cs"/>
          <w:color w:val="000000" w:themeColor="text1"/>
          <w:sz w:val="16"/>
          <w:szCs w:val="16"/>
          <w:rtl/>
        </w:rPr>
        <w:t>סי' יג)</w:t>
      </w:r>
      <w:r>
        <w:rPr>
          <w:rFonts w:hint="cs"/>
          <w:color w:val="000000" w:themeColor="text1"/>
          <w:rtl/>
        </w:rPr>
        <w:t xml:space="preserve"> וז"ל- </w:t>
      </w:r>
      <w:r>
        <w:rPr>
          <w:rFonts w:cs="Arial"/>
          <w:rtl/>
        </w:rPr>
        <w:t>מעולם לא הוזכרה הכרזה באומרת מאיס עלי ובגמרא לא הזכירוה אלא גבי מורדת</w:t>
      </w:r>
      <w:r>
        <w:rPr>
          <w:rFonts w:cs="Arial" w:hint="cs"/>
          <w:rtl/>
        </w:rPr>
        <w:t>,</w:t>
      </w:r>
      <w:r>
        <w:rPr>
          <w:rFonts w:cs="Arial"/>
          <w:rtl/>
        </w:rPr>
        <w:t xml:space="preserve"> והטעם בזה לפי שזו האומרת בעינא ליה כיון שאינו מאוס עליה אפשר שתתבייש ותחזור למוטב</w:t>
      </w:r>
      <w:r>
        <w:rPr>
          <w:rFonts w:cs="Arial" w:hint="cs"/>
          <w:rtl/>
        </w:rPr>
        <w:t>,</w:t>
      </w:r>
      <w:r>
        <w:rPr>
          <w:rFonts w:cs="Arial"/>
          <w:rtl/>
        </w:rPr>
        <w:t xml:space="preserve"> אבל אומרת מאיס עלי אין מכריזין עליה</w:t>
      </w:r>
      <w:r>
        <w:rPr>
          <w:rFonts w:cs="Arial" w:hint="cs"/>
          <w:rtl/>
        </w:rPr>
        <w:t>,</w:t>
      </w:r>
      <w:r>
        <w:rPr>
          <w:rFonts w:cs="Arial"/>
          <w:rtl/>
        </w:rPr>
        <w:t xml:space="preserve"> שמן הסתם אפילו בכמה הכרזות לא תחזור בה</w:t>
      </w:r>
      <w:r>
        <w:rPr>
          <w:rFonts w:hint="cs"/>
          <w:color w:val="000000" w:themeColor="text1"/>
          <w:rtl/>
        </w:rPr>
        <w:t>.</w:t>
      </w:r>
    </w:p>
  </w:footnote>
  <w:footnote w:id="1309">
    <w:p w14:paraId="2F6AEABB" w14:textId="77777777" w:rsidR="00DF1FC7" w:rsidRDefault="00DF1FC7" w:rsidP="002E5BAD">
      <w:pPr>
        <w:pStyle w:val="a5"/>
        <w:rPr>
          <w:rtl/>
        </w:rPr>
      </w:pPr>
      <w:r>
        <w:rPr>
          <w:rStyle w:val="a7"/>
        </w:rPr>
        <w:footnoteRef/>
      </w:r>
      <w:r>
        <w:rPr>
          <w:rtl/>
        </w:rPr>
        <w:t xml:space="preserve"> </w:t>
      </w:r>
      <w:r>
        <w:rPr>
          <w:rFonts w:hint="cs"/>
          <w:rtl/>
        </w:rPr>
        <w:t xml:space="preserve">לכאורה מדברי הטור הללו יש ללמוד שגם באומרת מאיס מכריזין עליה ד' שבתות. </w:t>
      </w:r>
    </w:p>
  </w:footnote>
  <w:footnote w:id="1310">
    <w:p w14:paraId="33BBC96C" w14:textId="77777777" w:rsidR="00DF1FC7" w:rsidRDefault="00DF1FC7" w:rsidP="002E5BAD">
      <w:pPr>
        <w:pStyle w:val="a5"/>
      </w:pPr>
      <w:r>
        <w:rPr>
          <w:rStyle w:val="a7"/>
        </w:rPr>
        <w:footnoteRef/>
      </w:r>
      <w:r>
        <w:rPr>
          <w:rtl/>
        </w:rPr>
        <w:t xml:space="preserve"> </w:t>
      </w:r>
      <w:r>
        <w:rPr>
          <w:rFonts w:hint="cs"/>
          <w:rtl/>
        </w:rPr>
        <w:t xml:space="preserve">וז"ל- </w:t>
      </w:r>
      <w:r w:rsidRPr="00697C4E">
        <w:rPr>
          <w:rFonts w:cs="Arial"/>
          <w:rtl/>
        </w:rPr>
        <w:t xml:space="preserve">ולדברי הכל כל מאן דכייפינן ליה לאפוקי בין מעיקר דינא כדתנן </w:t>
      </w:r>
      <w:r>
        <w:rPr>
          <w:rFonts w:cs="Arial" w:hint="cs"/>
          <w:rtl/>
        </w:rPr>
        <w:t>(עז.)</w:t>
      </w:r>
      <w:r w:rsidRPr="00697C4E">
        <w:rPr>
          <w:rFonts w:cs="Arial"/>
          <w:rtl/>
        </w:rPr>
        <w:t xml:space="preserve"> אלו שכופין אותן להוציא ומאי דדמו להו</w:t>
      </w:r>
      <w:r>
        <w:rPr>
          <w:rFonts w:cs="Arial" w:hint="cs"/>
          <w:rtl/>
        </w:rPr>
        <w:t>,</w:t>
      </w:r>
      <w:r w:rsidRPr="00697C4E">
        <w:rPr>
          <w:rFonts w:cs="Arial"/>
          <w:rtl/>
        </w:rPr>
        <w:t xml:space="preserve"> בין מעיקר דתקנתא</w:t>
      </w:r>
      <w:r>
        <w:rPr>
          <w:rFonts w:cs="Arial" w:hint="cs"/>
          <w:rtl/>
        </w:rPr>
        <w:t>...</w:t>
      </w:r>
    </w:p>
  </w:footnote>
  <w:footnote w:id="1311">
    <w:p w14:paraId="462B04A2" w14:textId="77777777" w:rsidR="00DF1FC7" w:rsidRDefault="00DF1FC7" w:rsidP="002E5BAD">
      <w:pPr>
        <w:pStyle w:val="a5"/>
        <w:rPr>
          <w:rtl/>
        </w:rPr>
      </w:pPr>
      <w:r>
        <w:rPr>
          <w:rStyle w:val="a7"/>
        </w:rPr>
        <w:footnoteRef/>
      </w:r>
      <w:r>
        <w:rPr>
          <w:rtl/>
        </w:rPr>
        <w:t xml:space="preserve"> </w:t>
      </w:r>
      <w:r w:rsidRPr="00CC6C48">
        <w:rPr>
          <w:rFonts w:cs="Arial"/>
          <w:rtl/>
        </w:rPr>
        <w:t>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r>
        <w:rPr>
          <w:rFonts w:hint="cs"/>
          <w:rtl/>
        </w:rPr>
        <w:t>, רמב"ם (שם).</w:t>
      </w:r>
    </w:p>
  </w:footnote>
  <w:footnote w:id="1312">
    <w:p w14:paraId="7B5D90DE" w14:textId="77777777" w:rsidR="00DF1FC7" w:rsidRDefault="00DF1FC7" w:rsidP="002E5BAD">
      <w:pPr>
        <w:pStyle w:val="a5"/>
        <w:rPr>
          <w:rtl/>
        </w:rPr>
      </w:pPr>
      <w:r>
        <w:rPr>
          <w:rStyle w:val="a7"/>
        </w:rPr>
        <w:footnoteRef/>
      </w:r>
      <w:r>
        <w:rPr>
          <w:rtl/>
        </w:rPr>
        <w:t xml:space="preserve"> </w:t>
      </w:r>
      <w:r>
        <w:rPr>
          <w:rFonts w:hint="cs"/>
          <w:rtl/>
        </w:rPr>
        <w:t xml:space="preserve">וז"ל שם- </w:t>
      </w:r>
      <w:r>
        <w:rPr>
          <w:rFonts w:cs="Arial"/>
          <w:rtl/>
        </w:rPr>
        <w:t xml:space="preserve">סרקוסטה שאלתם המורדת על בעלה ואומרת מאיס עלי או בעינא ליה ומצערנא ליה אם כופין אותו לגרש. </w:t>
      </w:r>
    </w:p>
    <w:p w14:paraId="4F8B8291" w14:textId="77777777" w:rsidR="00DF1FC7" w:rsidRDefault="00DF1FC7" w:rsidP="002E5BAD">
      <w:pPr>
        <w:pStyle w:val="a5"/>
        <w:rPr>
          <w:rtl/>
        </w:rPr>
      </w:pPr>
      <w:r>
        <w:rPr>
          <w:rFonts w:cs="Arial"/>
          <w:rtl/>
        </w:rPr>
        <w:t xml:space="preserve">תשובה שורת הדין אין כופין אותו לגרש בכל כיוצא בזה. לפי שהאשה יוצאה בין ברצונה בין שלא ברצונה אבל האיש אינו מוציא אלא לרצונו. שאלו כן היו מתקנין כתובה מן האשה לאיש כדי שלא תהא קלה בעיניה להוציאו. כדרך שתקנו מן האיש לאשה כדי שלא תהא קלה בעיניו להוציאה. וכמו שאמרו בגיטין בריש פרק הניזקין (דף מ"ט). אלא שהגאונים ז"ל תקנו שכופין וכמו שכתב בהלכות הרב אלפסי ז"ל בפרק אף על פי ואותה תקנה לא פשטה בכל ארצות אלה ושמא אף הם לדורם תקנו'. </w:t>
      </w:r>
    </w:p>
    <w:p w14:paraId="361CE080" w14:textId="77777777" w:rsidR="00DF1FC7" w:rsidRDefault="00DF1FC7" w:rsidP="002E5BAD">
      <w:pPr>
        <w:pStyle w:val="a5"/>
      </w:pPr>
      <w:r>
        <w:rPr>
          <w:rFonts w:cs="Arial"/>
          <w:rtl/>
        </w:rPr>
        <w:t>ומה ששאלתם מה הן גובות מנכסי הבעל בכתובתן ומתנתן. כבר אמרנו שאין הבעל מוציא אלא מרצונו ואם הוציא מרצונו בין בזו ובין בזו נותן להם כתובתן כלו' נכסי צאן ברזל. אבל מה שנתן להם משלו אינן נוטלות כלל כיון שהן תובעות להתגרש דאדעתא למשקל ומיפק לא יהיב. אבל אם לא רצה להוציא מדעת עצמו אלא מחמת מרדן בזה יש הפרש ביניהן. שאומרת בעינא ליה ומצערנא ליה מכריזין עליה ד' שבתות בבתי כנסיות ובבתי מדרשות ושולחין לה מבית דין ואמרין לה הוי יודעת שאפילו כתובתיך מאה מנה הפסדת. ושני פעמים שולחין לה אחת קודם הכרזה ואחת לאחר הכרזה ואם לא חזרה בה וגרשה הפסידה את הכל. אבל אם הוציאה קודם זה לא הפסידה הכל. אבל האומרת מאיס עלי יגרשני ואיני חפצה בו ולא בכתובתו אינו מוציא עד שנים עשר חדש ואין מכריזין עליה. ואם הוציא תוך שנים עשר חדש ורצה הבעל לגרש מגרש. ואין לה עיקר כתובה ותוספת ולא אפילו נדונייתה אלא אם תפסה בלאות הקיימין אין מוציאין מידה.</w:t>
      </w:r>
    </w:p>
  </w:footnote>
  <w:footnote w:id="1313">
    <w:p w14:paraId="0CDD5097" w14:textId="77777777" w:rsidR="00DF1FC7" w:rsidRDefault="00DF1FC7" w:rsidP="002E5BAD">
      <w:pPr>
        <w:pStyle w:val="a5"/>
        <w:rPr>
          <w:rtl/>
        </w:rPr>
      </w:pPr>
      <w:r>
        <w:rPr>
          <w:rStyle w:val="a7"/>
        </w:rPr>
        <w:footnoteRef/>
      </w:r>
      <w:r>
        <w:rPr>
          <w:rtl/>
        </w:rPr>
        <w:t xml:space="preserve"> </w:t>
      </w:r>
      <w:r>
        <w:rPr>
          <w:rFonts w:hint="cs"/>
          <w:rtl/>
        </w:rPr>
        <w:t xml:space="preserve">וכ"כ הה"מ (שם ה"ט) בשמו וז"ל- </w:t>
      </w:r>
      <w:r w:rsidRPr="00753B35">
        <w:rPr>
          <w:rtl/>
        </w:rPr>
        <w:t xml:space="preserve">ולדבריהם דין המורדת </w:t>
      </w:r>
      <w:r w:rsidRPr="00753B35">
        <w:rPr>
          <w:rFonts w:hint="cs"/>
          <w:sz w:val="16"/>
          <w:szCs w:val="16"/>
          <w:rtl/>
        </w:rPr>
        <w:t xml:space="preserve">{בעינא ומצערנא} </w:t>
      </w:r>
      <w:r w:rsidRPr="00753B35">
        <w:rPr>
          <w:rtl/>
        </w:rPr>
        <w:t>לאחר ד' שבתות והמלכה שנייה הפסידה כל כתובתה עיקר ותוספת ומה שנתן לה הבעל ונדונייתה שהיא נכסי צאן ברזל ואפילו תפסה מהן בלאות הקיימין מוציאין מתחת ידה</w:t>
      </w:r>
      <w:r>
        <w:rPr>
          <w:rFonts w:hint="cs"/>
          <w:rtl/>
        </w:rPr>
        <w:t>.</w:t>
      </w:r>
      <w:r w:rsidRPr="00753B35">
        <w:rPr>
          <w:rtl/>
        </w:rPr>
        <w:t xml:space="preserve"> אבל בנכסי מלוג לא הפסידה כלום אלא אפילו מה שיש מהן ביד הבעל מוציאין מידו</w:t>
      </w:r>
      <w:r>
        <w:rPr>
          <w:rFonts w:hint="cs"/>
          <w:rtl/>
        </w:rPr>
        <w:t>,</w:t>
      </w:r>
      <w:r w:rsidRPr="00753B35">
        <w:rPr>
          <w:rtl/>
        </w:rPr>
        <w:t xml:space="preserve"> וכן הוא דעת רבינו בכל זה חוץ מן הבלאות של נכסי צאן ברזל שהוא סובר שאם תפסה אין מוציאין מתחת ידה, ויש מי שכתב שלא הזכירו בגמרא שהיית י"ב חדש אלא באומרת מאיס עלי אבל במורדת אין משהין אותה יותר מד' שבתות ואחר המלכה שנייה הפסידה הכל והבעל יגרשנה אם ירצה או יקיים אותה ולזה הסכים הרשב"א ז"ל ויש בעניינים אלו דעות חלוקים למפרשים ז"ל. </w:t>
      </w:r>
    </w:p>
  </w:footnote>
  <w:footnote w:id="1314">
    <w:p w14:paraId="21696C47" w14:textId="77777777" w:rsidR="00DF1FC7" w:rsidRDefault="00DF1FC7" w:rsidP="002E5BAD">
      <w:pPr>
        <w:pStyle w:val="a5"/>
      </w:pPr>
      <w:r>
        <w:rPr>
          <w:rStyle w:val="a7"/>
        </w:rPr>
        <w:footnoteRef/>
      </w:r>
      <w:r>
        <w:rPr>
          <w:rtl/>
        </w:rPr>
        <w:t xml:space="preserve"> </w:t>
      </w:r>
      <w:r w:rsidRPr="003B37DC">
        <w:rPr>
          <w:rFonts w:cs="Arial"/>
          <w:rtl/>
        </w:rPr>
        <w:t>ובתשובות הר"מ שבסוף פרק אף על פי במרדכי (סי' קפו קפז) ובסוף תשובות הרשב"א כתב עוד בדיני מורדת בסימן תת"ס ותתס"א וכן בתשובות להרמב"ן (במיוחסות) סימן קל"ח עיין עליהם</w:t>
      </w:r>
      <w:r>
        <w:rPr>
          <w:rFonts w:cs="Arial" w:hint="cs"/>
          <w:rtl/>
        </w:rPr>
        <w:t>...</w:t>
      </w:r>
      <w:r w:rsidRPr="009459D3">
        <w:rPr>
          <w:rFonts w:cs="Arial"/>
          <w:rtl/>
        </w:rPr>
        <w:t xml:space="preserve"> </w:t>
      </w:r>
      <w:r>
        <w:rPr>
          <w:rFonts w:cs="Arial"/>
          <w:rtl/>
        </w:rPr>
        <w:t>ובסימן קנ"ד (עד. ד"ה ובטענת) יתבאר שיש צד שאף לדעת הרא"ש כופין אותו לגרש</w:t>
      </w:r>
      <w:r>
        <w:rPr>
          <w:rFonts w:cs="Arial" w:hint="cs"/>
          <w:sz w:val="16"/>
          <w:szCs w:val="16"/>
          <w:rtl/>
        </w:rPr>
        <w:t xml:space="preserve"> {בטוענת 'מאיס'}</w:t>
      </w:r>
      <w:r>
        <w:rPr>
          <w:rFonts w:cs="Arial"/>
          <w:rtl/>
        </w:rPr>
        <w:t>. וכתב מהרי"ק בדיני מורדת בשורש נ"ז ובשורש ס"ג</w:t>
      </w:r>
      <w:r>
        <w:rPr>
          <w:rFonts w:hint="cs"/>
          <w:rtl/>
        </w:rPr>
        <w:t>...</w:t>
      </w:r>
      <w:r w:rsidRPr="00CD759E">
        <w:rPr>
          <w:rFonts w:cs="Arial"/>
          <w:rtl/>
        </w:rPr>
        <w:t xml:space="preserve"> </w:t>
      </w:r>
      <w:r w:rsidRPr="003A3D3F">
        <w:rPr>
          <w:rFonts w:cs="Arial"/>
          <w:rtl/>
        </w:rPr>
        <w:t>ודברי הריב"ש בדינים אלו בתשובה סימן שס"א ושס"ב</w:t>
      </w:r>
      <w:r>
        <w:rPr>
          <w:rFonts w:cs="Arial" w:hint="cs"/>
          <w:rtl/>
        </w:rPr>
        <w:t>, ב"י.</w:t>
      </w:r>
    </w:p>
  </w:footnote>
  <w:footnote w:id="1315">
    <w:p w14:paraId="646B94D7" w14:textId="77777777" w:rsidR="00DF1FC7" w:rsidRDefault="00DF1FC7" w:rsidP="002E5BAD">
      <w:pPr>
        <w:pStyle w:val="a5"/>
        <w:rPr>
          <w:rtl/>
        </w:rPr>
      </w:pPr>
      <w:r>
        <w:rPr>
          <w:rStyle w:val="a7"/>
        </w:rPr>
        <w:footnoteRef/>
      </w:r>
      <w:r w:rsidRPr="003A3D3F">
        <w:rPr>
          <w:rFonts w:cs="Arial"/>
          <w:rtl/>
        </w:rPr>
        <w:t xml:space="preserve"> ויש מי שכתב דלענין הפסד כתובתה איכא פלוגתא בין מורדת לאומרת מאיס עלי</w:t>
      </w:r>
      <w:r w:rsidRPr="003A3D3F">
        <w:rPr>
          <w:rFonts w:cs="Arial" w:hint="cs"/>
          <w:rtl/>
        </w:rPr>
        <w:t>,</w:t>
      </w:r>
      <w:r w:rsidRPr="003A3D3F">
        <w:rPr>
          <w:rFonts w:cs="Arial"/>
          <w:rtl/>
        </w:rPr>
        <w:t xml:space="preserve"> שהאומרת מאיס עלי וחזרה בה לא הפסידה כתובתה</w:t>
      </w:r>
      <w:r w:rsidRPr="003A3D3F">
        <w:rPr>
          <w:rFonts w:cs="Arial" w:hint="cs"/>
          <w:rtl/>
        </w:rPr>
        <w:t>,</w:t>
      </w:r>
      <w:r w:rsidRPr="003A3D3F">
        <w:rPr>
          <w:rFonts w:cs="Arial"/>
          <w:rtl/>
        </w:rPr>
        <w:t xml:space="preserve"> אבל המורדת הפסידה מה שפחתו לה</w:t>
      </w:r>
      <w:r w:rsidRPr="003A3D3F">
        <w:rPr>
          <w:rFonts w:cs="Arial" w:hint="cs"/>
          <w:rtl/>
        </w:rPr>
        <w:t>,</w:t>
      </w:r>
      <w:r w:rsidRPr="003A3D3F">
        <w:rPr>
          <w:rFonts w:cs="Arial"/>
          <w:rtl/>
        </w:rPr>
        <w:t xml:space="preserve"> וטעמא דמילתא דאם אתה אומר שהמורדת לא הפסידה כיון שהיא עצמה אומרת שאינה מתכוונת אלא לצערו אתיא לאיערומי למיהדר בה כל י"ב חדש</w:t>
      </w:r>
      <w:r w:rsidRPr="003A3D3F">
        <w:rPr>
          <w:rFonts w:cs="Arial" w:hint="cs"/>
          <w:rtl/>
        </w:rPr>
        <w:t>,</w:t>
      </w:r>
      <w:r w:rsidRPr="003A3D3F">
        <w:rPr>
          <w:rFonts w:cs="Arial"/>
          <w:rtl/>
        </w:rPr>
        <w:t xml:space="preserve"> אבל האומרת מאיס עלי כיון שאינה מתכוונת לצער אותו אלא שהוא מאוס עליה כי הדרה בה הא חזינא דלא מאיס עלה</w:t>
      </w:r>
      <w:r w:rsidRPr="003A3D3F">
        <w:rPr>
          <w:rFonts w:cs="Arial" w:hint="cs"/>
          <w:rtl/>
        </w:rPr>
        <w:t>.</w:t>
      </w:r>
      <w:r w:rsidRPr="003A3D3F">
        <w:rPr>
          <w:rFonts w:cs="Arial"/>
          <w:rtl/>
        </w:rPr>
        <w:t xml:space="preserve"> וכבר כתבתי מה שנראה לי דהאומרת מאיס עלי אינה מפסדת כלום</w:t>
      </w:r>
      <w:r w:rsidRPr="003A3D3F">
        <w:rPr>
          <w:rFonts w:cs="Arial" w:hint="cs"/>
          <w:rtl/>
        </w:rPr>
        <w:t>,</w:t>
      </w:r>
      <w:r w:rsidRPr="003A3D3F">
        <w:rPr>
          <w:rFonts w:cs="Arial"/>
          <w:rtl/>
        </w:rPr>
        <w:t xml:space="preserve"> אבל לדברי האומר מפסדת נ"ל שאין בידה לחזור</w:t>
      </w:r>
      <w:r w:rsidRPr="003A3D3F">
        <w:rPr>
          <w:rFonts w:cs="Arial" w:hint="cs"/>
          <w:rtl/>
        </w:rPr>
        <w:t>,</w:t>
      </w:r>
      <w:r w:rsidRPr="003A3D3F">
        <w:rPr>
          <w:rFonts w:cs="Arial"/>
          <w:rtl/>
        </w:rPr>
        <w:t xml:space="preserve"> דאגיטא בלבד הוא שמשהין אותה לפי שחכמים מחזרים שלא יבוא הדבר לידי גט ושמא יעשו סעודה ויתפייסו ויכתוב בעל כתובה מדעתו</w:t>
      </w:r>
      <w:r w:rsidRPr="003A3D3F">
        <w:rPr>
          <w:rFonts w:cs="Arial" w:hint="cs"/>
          <w:rtl/>
        </w:rPr>
        <w:t>,</w:t>
      </w:r>
      <w:r w:rsidRPr="003A3D3F">
        <w:rPr>
          <w:rFonts w:cs="Arial"/>
          <w:rtl/>
        </w:rPr>
        <w:t xml:space="preserve"> הא אם לא רצה ודאי הפסידתה. ולענין מתנה שנתן לה הבעל יש מן הגאונים שאמרו כי אפילו דלא מפסדת נכסי מלוג מאי דיהיב לה בעל מפסדת</w:t>
      </w:r>
      <w:r w:rsidRPr="003A3D3F">
        <w:rPr>
          <w:rFonts w:cs="Arial" w:hint="cs"/>
          <w:rtl/>
        </w:rPr>
        <w:t>,</w:t>
      </w:r>
      <w:r w:rsidRPr="003A3D3F">
        <w:rPr>
          <w:rFonts w:cs="Arial"/>
          <w:rtl/>
        </w:rPr>
        <w:t xml:space="preserve"> דלא אקני לה אלא אדעתא למיקם קמיה</w:t>
      </w:r>
      <w:r w:rsidRPr="003A3D3F">
        <w:rPr>
          <w:rFonts w:cs="Arial" w:hint="cs"/>
          <w:rtl/>
        </w:rPr>
        <w:t>.</w:t>
      </w:r>
      <w:r w:rsidRPr="003A3D3F">
        <w:rPr>
          <w:rFonts w:cs="Arial"/>
          <w:rtl/>
        </w:rPr>
        <w:t xml:space="preserve"> והקשה הרמב"ן (סג: ד"ה וכתב עוד) וכו'</w:t>
      </w:r>
      <w:r w:rsidRPr="003A3D3F">
        <w:rPr>
          <w:rFonts w:cs="Arial" w:hint="cs"/>
          <w:rtl/>
        </w:rPr>
        <w:t>,</w:t>
      </w:r>
      <w:r w:rsidRPr="003A3D3F">
        <w:rPr>
          <w:rFonts w:cs="Arial"/>
          <w:rtl/>
        </w:rPr>
        <w:t xml:space="preserve"> ולדידי לא קשיא וכו'</w:t>
      </w:r>
      <w:r>
        <w:rPr>
          <w:rFonts w:hint="cs"/>
          <w:rtl/>
        </w:rPr>
        <w:t>, ר"ן (שם).</w:t>
      </w:r>
    </w:p>
  </w:footnote>
  <w:footnote w:id="1316">
    <w:p w14:paraId="0E39ED07" w14:textId="77777777" w:rsidR="00DF1FC7" w:rsidRDefault="00DF1FC7" w:rsidP="002E5BAD">
      <w:pPr>
        <w:pStyle w:val="a5"/>
      </w:pPr>
      <w:r>
        <w:rPr>
          <w:rStyle w:val="a7"/>
        </w:rPr>
        <w:footnoteRef/>
      </w:r>
      <w:r>
        <w:rPr>
          <w:rtl/>
        </w:rPr>
        <w:t xml:space="preserve"> </w:t>
      </w:r>
      <w:r>
        <w:rPr>
          <w:rFonts w:cs="Arial"/>
          <w:rtl/>
        </w:rPr>
        <w:t>וביאר הרב המגיד טעמו</w:t>
      </w:r>
      <w:r>
        <w:rPr>
          <w:rFonts w:cs="Arial" w:hint="cs"/>
          <w:rtl/>
        </w:rPr>
        <w:t xml:space="preserve"> (אע"פ שחלק עליו, ע"ש).</w:t>
      </w:r>
    </w:p>
  </w:footnote>
  <w:footnote w:id="1317">
    <w:p w14:paraId="5F46CEC0" w14:textId="77777777" w:rsidR="00DF1FC7" w:rsidRDefault="00DF1FC7" w:rsidP="002E5BAD">
      <w:pPr>
        <w:pStyle w:val="a5"/>
        <w:rPr>
          <w:rtl/>
        </w:rPr>
      </w:pPr>
      <w:r>
        <w:rPr>
          <w:rStyle w:val="a7"/>
        </w:rPr>
        <w:footnoteRef/>
      </w:r>
      <w:r>
        <w:rPr>
          <w:rtl/>
        </w:rPr>
        <w:t xml:space="preserve"> </w:t>
      </w:r>
      <w:r>
        <w:rPr>
          <w:rFonts w:cs="Arial" w:hint="cs"/>
          <w:rtl/>
        </w:rPr>
        <w:t>כתב הה"מ (שם) שנוטלת כל מה שהזכירו בגמרא למסקנא גבי כלתיה דרב זביד,</w:t>
      </w:r>
      <w:r w:rsidRPr="00CC6FE8">
        <w:rPr>
          <w:rFonts w:cs="Arial"/>
          <w:rtl/>
        </w:rPr>
        <w:t xml:space="preserve"> וזהו דינה</w:t>
      </w:r>
      <w:r w:rsidRPr="00CC6FE8">
        <w:rPr>
          <w:rFonts w:cs="Arial" w:hint="cs"/>
          <w:rtl/>
        </w:rPr>
        <w:t>-</w:t>
      </w:r>
      <w:r w:rsidRPr="00CC6FE8">
        <w:rPr>
          <w:rFonts w:cs="Arial"/>
          <w:rtl/>
        </w:rPr>
        <w:t xml:space="preserve"> אינה מפסדת כלום עד י"ב חדש</w:t>
      </w:r>
      <w:r w:rsidRPr="00CC6FE8">
        <w:rPr>
          <w:rFonts w:cs="Arial" w:hint="cs"/>
          <w:rtl/>
        </w:rPr>
        <w:t>,</w:t>
      </w:r>
      <w:r w:rsidRPr="00CC6FE8">
        <w:rPr>
          <w:rFonts w:cs="Arial"/>
          <w:rtl/>
        </w:rPr>
        <w:t xml:space="preserve"> ובתוך י"ב חדש אין מכריזין עליה ולא פוחתין מכתובתה כלום</w:t>
      </w:r>
      <w:r w:rsidRPr="00CC6FE8">
        <w:rPr>
          <w:rFonts w:cs="Arial" w:hint="cs"/>
          <w:rtl/>
        </w:rPr>
        <w:t>,</w:t>
      </w:r>
      <w:r w:rsidRPr="00CC6FE8">
        <w:rPr>
          <w:rFonts w:cs="Arial"/>
          <w:rtl/>
        </w:rPr>
        <w:t xml:space="preserve"> ובזה היא חלוקה ממורדת</w:t>
      </w:r>
      <w:r w:rsidRPr="00CC6FE8">
        <w:rPr>
          <w:rFonts w:cs="Arial" w:hint="cs"/>
          <w:rtl/>
        </w:rPr>
        <w:t>.</w:t>
      </w:r>
      <w:r w:rsidRPr="00CC6FE8">
        <w:rPr>
          <w:rFonts w:cs="Arial"/>
          <w:rtl/>
        </w:rPr>
        <w:t xml:space="preserve"> ואם גירש הבעל תוך הזמן הזה נותן לה כל כתובתה משלם</w:t>
      </w:r>
      <w:r w:rsidRPr="00CC6FE8">
        <w:rPr>
          <w:rFonts w:cs="Arial" w:hint="cs"/>
          <w:rtl/>
        </w:rPr>
        <w:t>,</w:t>
      </w:r>
      <w:r w:rsidRPr="00CC6FE8">
        <w:rPr>
          <w:rFonts w:cs="Arial"/>
          <w:rtl/>
        </w:rPr>
        <w:t xml:space="preserve"> ובתוך י"ב חדש אם חזרה בה מוטב ולא הפסידה כלום</w:t>
      </w:r>
      <w:r w:rsidRPr="00CC6FE8">
        <w:rPr>
          <w:rFonts w:cs="Arial" w:hint="cs"/>
          <w:rtl/>
        </w:rPr>
        <w:t>.</w:t>
      </w:r>
      <w:r w:rsidRPr="00CC6FE8">
        <w:rPr>
          <w:rFonts w:cs="Arial"/>
          <w:rtl/>
        </w:rPr>
        <w:t xml:space="preserve"> ואם לאחר י"ב חדש</w:t>
      </w:r>
      <w:r>
        <w:rPr>
          <w:rFonts w:hint="cs"/>
          <w:rtl/>
        </w:rPr>
        <w:t>-...</w:t>
      </w:r>
    </w:p>
  </w:footnote>
  <w:footnote w:id="1318">
    <w:p w14:paraId="3A769835" w14:textId="77777777" w:rsidR="00DF1FC7" w:rsidRDefault="00DF1FC7" w:rsidP="002E5BAD">
      <w:pPr>
        <w:pStyle w:val="a5"/>
        <w:rPr>
          <w:rtl/>
        </w:rPr>
      </w:pPr>
      <w:r>
        <w:rPr>
          <w:rStyle w:val="a7"/>
        </w:rPr>
        <w:footnoteRef/>
      </w:r>
      <w:r>
        <w:rPr>
          <w:rtl/>
        </w:rPr>
        <w:t xml:space="preserve"> </w:t>
      </w:r>
      <w:r w:rsidRPr="00CC6FE8">
        <w:rPr>
          <w:rFonts w:cs="Arial"/>
          <w:rtl/>
        </w:rPr>
        <w:t>ואין לה מזונות תוך י"ב חדש אלו כיון שאינה רוצה בו ואם מת הבעל תוך י"ב חדש גובה כתובתה מן היורשים ואצ"ל שאם מתה שהוא יורשה לעולם עד שיגרשנה ולאחר י"ב חדש אם רצה הבעל לגרש מגרש ואם רצה לקיימה כותב לה כתובה אחרת לפי שהפסידה כתובתה</w:t>
      </w:r>
      <w:r>
        <w:rPr>
          <w:rFonts w:cs="Arial" w:hint="cs"/>
          <w:rtl/>
        </w:rPr>
        <w:t>, הה"מ (שם).</w:t>
      </w:r>
      <w:r w:rsidRPr="00464C99">
        <w:rPr>
          <w:rFonts w:cs="Arial"/>
          <w:rtl/>
        </w:rPr>
        <w:t xml:space="preserve"> </w:t>
      </w:r>
      <w:r>
        <w:rPr>
          <w:rFonts w:cs="Arial" w:hint="cs"/>
          <w:rtl/>
        </w:rPr>
        <w:t>וכתב</w:t>
      </w:r>
      <w:r>
        <w:rPr>
          <w:rFonts w:cs="Arial"/>
          <w:rtl/>
        </w:rPr>
        <w:t xml:space="preserve"> הר"ן בתשובה (סי' יג)</w:t>
      </w:r>
      <w:r>
        <w:rPr>
          <w:rFonts w:cs="Arial" w:hint="cs"/>
          <w:rtl/>
        </w:rPr>
        <w:t>-</w:t>
      </w:r>
      <w:r>
        <w:rPr>
          <w:rFonts w:cs="Arial"/>
          <w:rtl/>
        </w:rPr>
        <w:t xml:space="preserve"> יש בין דברי הרמב"ם ודברי הרשב"א חילוק שהרמב"ם כתב שהאומרת מאיס עלי נוטלת בלאותיה </w:t>
      </w:r>
      <w:r>
        <w:rPr>
          <w:rFonts w:cs="Arial" w:hint="cs"/>
          <w:sz w:val="16"/>
          <w:szCs w:val="16"/>
          <w:rtl/>
        </w:rPr>
        <w:t xml:space="preserve">{של צו"ב} </w:t>
      </w:r>
      <w:r>
        <w:rPr>
          <w:rFonts w:cs="Arial"/>
          <w:rtl/>
        </w:rPr>
        <w:t>קיימים ולא חילק בין תפסה ללא תפסה</w:t>
      </w:r>
      <w:r>
        <w:rPr>
          <w:rFonts w:cs="Arial" w:hint="cs"/>
          <w:rtl/>
        </w:rPr>
        <w:t>,</w:t>
      </w:r>
      <w:r>
        <w:rPr>
          <w:rFonts w:cs="Arial"/>
          <w:rtl/>
        </w:rPr>
        <w:t xml:space="preserve"> והרשב"א כתב וקדמה היא ותפסה אין מוציאין מידה משמע הא לא תפסה הפסידה</w:t>
      </w:r>
      <w:r>
        <w:rPr>
          <w:rFonts w:cs="Arial" w:hint="cs"/>
          <w:rtl/>
        </w:rPr>
        <w:t>.</w:t>
      </w:r>
      <w:r>
        <w:rPr>
          <w:rFonts w:cs="Arial"/>
          <w:rtl/>
        </w:rPr>
        <w:t xml:space="preserve"> ואכתוב לכם על מה נסמך כל אחד מהם ז"ל לפי דעתי. הרמב"ם ז"ל פירש זו שאמרו בפרק אף על פי </w:t>
      </w:r>
      <w:r>
        <w:rPr>
          <w:rFonts w:cs="Arial" w:hint="cs"/>
          <w:rtl/>
        </w:rPr>
        <w:t>[</w:t>
      </w:r>
      <w:r>
        <w:rPr>
          <w:rFonts w:cs="Arial"/>
          <w:rtl/>
        </w:rPr>
        <w:t>כלתיה דרב זביד אימרדה הוה תפיסא חד שיראי דמסקינן עלה בגמרא השתא דלא איתמר הלכתא לא הכי ולא הכי דתפסה לא מפקינן מינה דלא תפסה לא יהבינן לה</w:t>
      </w:r>
      <w:r>
        <w:rPr>
          <w:rFonts w:cs="Arial" w:hint="cs"/>
          <w:rtl/>
        </w:rPr>
        <w:t>]</w:t>
      </w:r>
      <w:r>
        <w:rPr>
          <w:rFonts w:cs="Arial"/>
          <w:rtl/>
        </w:rPr>
        <w:t xml:space="preserve"> במורדת כפשטה וכן מוכיחין דברי הרמב"ם שכתב זה החילוק בין תפסה ללא תפסה בחיבורו בדיני מורדת</w:t>
      </w:r>
      <w:r>
        <w:rPr>
          <w:rFonts w:cs="Arial" w:hint="cs"/>
          <w:rtl/>
        </w:rPr>
        <w:t>,</w:t>
      </w:r>
      <w:r>
        <w:rPr>
          <w:rFonts w:cs="Arial"/>
          <w:rtl/>
        </w:rPr>
        <w:t xml:space="preserve"> וסבור הרב ז"ל דדוקא במורדת יש חילוק בין תפסה ללא תפסה דבלא תפסה הפסידה</w:t>
      </w:r>
      <w:r>
        <w:rPr>
          <w:rFonts w:cs="Arial" w:hint="cs"/>
          <w:rtl/>
        </w:rPr>
        <w:t>,</w:t>
      </w:r>
      <w:r>
        <w:rPr>
          <w:rFonts w:cs="Arial"/>
          <w:rtl/>
        </w:rPr>
        <w:t xml:space="preserve"> אבל האומרת מאיס עלי אפילו לא תפסה לא הפסידה</w:t>
      </w:r>
      <w:r>
        <w:rPr>
          <w:rFonts w:cs="Arial" w:hint="cs"/>
          <w:rtl/>
        </w:rPr>
        <w:t>.</w:t>
      </w:r>
      <w:r>
        <w:rPr>
          <w:rFonts w:cs="Arial"/>
          <w:rtl/>
        </w:rPr>
        <w:t xml:space="preserve"> וטעמו של דבר לפי שהמורדת אינה מבטלת מיד תנאי אישות שבינו לבינה אלא כל הפסדה הוא שבעה דינרים בכל שבת מעיקר התקנה ולפיכך כיון דקנסוה שתפסיד שבעה בכל שבת דין הוא שיהא זה ההפסד מוטל על כל נכסיה וכאילו הבעל מרויח על נכסיה ז' בכל שבת</w:t>
      </w:r>
      <w:r>
        <w:rPr>
          <w:rFonts w:cs="Arial" w:hint="cs"/>
          <w:rtl/>
        </w:rPr>
        <w:t xml:space="preserve"> -</w:t>
      </w:r>
      <w:r>
        <w:rPr>
          <w:rFonts w:cs="Arial"/>
          <w:rtl/>
        </w:rPr>
        <w:t xml:space="preserve"> ולפיכך דין הוא שנאמר דבלאותיה הקיימים שאם לא תפסה אותן הפסידתן</w:t>
      </w:r>
      <w:r>
        <w:rPr>
          <w:rFonts w:cs="Arial" w:hint="cs"/>
          <w:rtl/>
        </w:rPr>
        <w:t>.</w:t>
      </w:r>
      <w:r>
        <w:rPr>
          <w:rFonts w:cs="Arial"/>
          <w:rtl/>
        </w:rPr>
        <w:t xml:space="preserve"> אבל האומרת מאיס עלי אין עניינה כן</w:t>
      </w:r>
      <w:r>
        <w:rPr>
          <w:rFonts w:cs="Arial" w:hint="cs"/>
          <w:rtl/>
        </w:rPr>
        <w:t>,</w:t>
      </w:r>
      <w:r>
        <w:rPr>
          <w:rFonts w:cs="Arial"/>
          <w:rtl/>
        </w:rPr>
        <w:t xml:space="preserve"> שאין הבעל מרויח עליה דבר קצוב כדי שנאמר שיהא ריוח הבעל והפסד האשה מוטל על כל נכסיה</w:t>
      </w:r>
      <w:r>
        <w:rPr>
          <w:rFonts w:cs="Arial" w:hint="cs"/>
          <w:rtl/>
        </w:rPr>
        <w:t>,</w:t>
      </w:r>
      <w:r>
        <w:rPr>
          <w:rFonts w:cs="Arial"/>
          <w:rtl/>
        </w:rPr>
        <w:t xml:space="preserve"> אלא הרי היא מבטלת תנאי האישות מיד והפסידה כל שיש לה על הבעל אבל מה שהוא שלה כגון בלאותיה לא הפסידה דהויא ליה כההיא דאמרינן בסוף פרק אלמנה (קא:) אם היא זינתה בלאותיה מי זינו</w:t>
      </w:r>
      <w:r>
        <w:rPr>
          <w:rFonts w:cs="Arial" w:hint="cs"/>
          <w:rtl/>
        </w:rPr>
        <w:t xml:space="preserve"> -</w:t>
      </w:r>
      <w:r>
        <w:rPr>
          <w:rFonts w:cs="Arial"/>
          <w:rtl/>
        </w:rPr>
        <w:t xml:space="preserve"> ולפיכך כתב הרמב"ם שתטול בלאותיה ולא חילק בין תפסה ללא תפסה</w:t>
      </w:r>
      <w:r>
        <w:rPr>
          <w:rFonts w:cs="Arial" w:hint="cs"/>
          <w:rtl/>
        </w:rPr>
        <w:t>.</w:t>
      </w:r>
      <w:r>
        <w:rPr>
          <w:rFonts w:cs="Arial"/>
          <w:rtl/>
        </w:rPr>
        <w:t xml:space="preserve"> אבל הרמב"ן ז"ל הולך בדרך האחרונים שפירשו זו של כלתיה דרב זביד באומרת מאיס עלי ולפיכך יש חילוק בין תפסה ללא תפסה שאילו מורדת דבעינא ליה ומצערנא ליה אפילו תפסה הפסידה</w:t>
      </w:r>
      <w:r>
        <w:rPr>
          <w:rFonts w:cs="Arial" w:hint="cs"/>
          <w:rtl/>
        </w:rPr>
        <w:t>.</w:t>
      </w:r>
      <w:r>
        <w:rPr>
          <w:rFonts w:cs="Arial"/>
          <w:rtl/>
        </w:rPr>
        <w:t xml:space="preserve"> ונראין דברי האחרונים ז"ל עיקר.</w:t>
      </w:r>
    </w:p>
  </w:footnote>
  <w:footnote w:id="1319">
    <w:p w14:paraId="72B9F7C7" w14:textId="77777777" w:rsidR="00DF1FC7" w:rsidRDefault="00DF1FC7" w:rsidP="002E5BAD">
      <w:pPr>
        <w:pStyle w:val="a5"/>
      </w:pPr>
      <w:r>
        <w:rPr>
          <w:rStyle w:val="a7"/>
        </w:rPr>
        <w:footnoteRef/>
      </w:r>
      <w:r>
        <w:rPr>
          <w:rtl/>
        </w:rPr>
        <w:t xml:space="preserve"> </w:t>
      </w:r>
      <w:r>
        <w:rPr>
          <w:rFonts w:hint="cs"/>
          <w:rtl/>
        </w:rPr>
        <w:t xml:space="preserve">וז"ל הרא"ש שם- </w:t>
      </w:r>
      <w:r w:rsidRPr="00A93E28">
        <w:rPr>
          <w:rFonts w:cs="Arial"/>
          <w:rtl/>
        </w:rPr>
        <w:t>וכן היה דן רבינו מאיר ז"ל בדינא דמתיבתא אבל היה מצוה להחרים אם השיאה שום אדם עצה כדי להוציא נדונייתה מבעלה וכשהיה נראה לו ערמה בדבר לא היה מצוה להחזיר לה אפילו נדונייתה הלכך לא היה דן דין מאיס עלי אם לא שתתן אמתלא לדבריה למה אינו מקובל עליה או שהיה מכלה כל הממון</w:t>
      </w:r>
      <w:r>
        <w:rPr>
          <w:rFonts w:hint="cs"/>
          <w:rtl/>
        </w:rPr>
        <w:t>.</w:t>
      </w:r>
    </w:p>
  </w:footnote>
  <w:footnote w:id="1320">
    <w:p w14:paraId="636374EB" w14:textId="77777777" w:rsidR="00DF1FC7" w:rsidRDefault="00DF1FC7" w:rsidP="002E5BAD">
      <w:pPr>
        <w:pStyle w:val="a5"/>
      </w:pPr>
      <w:r>
        <w:rPr>
          <w:rStyle w:val="a7"/>
        </w:rPr>
        <w:footnoteRef/>
      </w:r>
      <w:r>
        <w:rPr>
          <w:rtl/>
        </w:rPr>
        <w:t xml:space="preserve"> </w:t>
      </w:r>
      <w:r>
        <w:rPr>
          <w:rFonts w:cs="Arial" w:hint="cs"/>
          <w:rtl/>
        </w:rPr>
        <w:t xml:space="preserve">וז"ל הגה"מ בשם התוס' ומהר"ם- </w:t>
      </w:r>
      <w:r w:rsidRPr="003B37DC">
        <w:rPr>
          <w:rFonts w:cs="Arial"/>
          <w:rtl/>
        </w:rPr>
        <w:t xml:space="preserve">אף לדברי האומרים דבטענת מאיס עלי כופין להוציא </w:t>
      </w:r>
      <w:r>
        <w:rPr>
          <w:rFonts w:cs="Arial" w:hint="cs"/>
          <w:rtl/>
        </w:rPr>
        <w:t xml:space="preserve">- </w:t>
      </w:r>
      <w:r w:rsidRPr="003B37DC">
        <w:rPr>
          <w:rFonts w:cs="Arial"/>
          <w:rtl/>
        </w:rPr>
        <w:t>היינו דוקא בנותנת אמתלאה לדבריה וטענה הנראית למה הוא מאוס עליה</w:t>
      </w:r>
      <w:r>
        <w:rPr>
          <w:rFonts w:cs="Arial" w:hint="cs"/>
          <w:rtl/>
        </w:rPr>
        <w:t>.</w:t>
      </w:r>
      <w:r w:rsidRPr="003B37DC">
        <w:rPr>
          <w:rFonts w:cs="Arial"/>
          <w:rtl/>
        </w:rPr>
        <w:t xml:space="preserve"> אבל האומרת מאיס עלי בלא טענה </w:t>
      </w:r>
      <w:r>
        <w:rPr>
          <w:rFonts w:cs="Arial" w:hint="cs"/>
          <w:rtl/>
        </w:rPr>
        <w:t xml:space="preserve">- </w:t>
      </w:r>
      <w:r w:rsidRPr="003B37DC">
        <w:rPr>
          <w:rFonts w:cs="Arial"/>
          <w:rtl/>
        </w:rPr>
        <w:t>אינו חייב לה לא מזונות ולא כתובה ולא אפילו מה שהכניסה לו ואפילו איתיה בעיניה</w:t>
      </w:r>
      <w:r>
        <w:rPr>
          <w:rFonts w:cs="Arial" w:hint="cs"/>
          <w:rtl/>
        </w:rPr>
        <w:t>,</w:t>
      </w:r>
      <w:r w:rsidRPr="003B37DC">
        <w:rPr>
          <w:rFonts w:cs="Arial"/>
          <w:rtl/>
        </w:rPr>
        <w:t xml:space="preserve"> אבל מה שתפסה למזונותיה ממה שהכניסה לו תפסה ולא מפקינן לה</w:t>
      </w:r>
      <w:r>
        <w:rPr>
          <w:rFonts w:cs="Arial" w:hint="cs"/>
          <w:rtl/>
        </w:rPr>
        <w:t>.</w:t>
      </w:r>
    </w:p>
  </w:footnote>
  <w:footnote w:id="1321">
    <w:p w14:paraId="79893D4D" w14:textId="77777777" w:rsidR="00DF1FC7" w:rsidRDefault="00DF1FC7" w:rsidP="002E5BAD">
      <w:pPr>
        <w:pStyle w:val="a5"/>
      </w:pPr>
      <w:r>
        <w:rPr>
          <w:rStyle w:val="a7"/>
        </w:rPr>
        <w:footnoteRef/>
      </w:r>
      <w:r>
        <w:rPr>
          <w:rtl/>
        </w:rPr>
        <w:t xml:space="preserve"> </w:t>
      </w:r>
      <w:r w:rsidRPr="00FA71CF">
        <w:rPr>
          <w:rFonts w:cs="Arial"/>
          <w:rtl/>
        </w:rPr>
        <w:t>וכתב המרדכי (</w:t>
      </w:r>
      <w:r>
        <w:rPr>
          <w:rFonts w:cs="Arial" w:hint="cs"/>
          <w:rtl/>
        </w:rPr>
        <w:t>סי' קפו</w:t>
      </w:r>
      <w:r w:rsidRPr="00FA71CF">
        <w:rPr>
          <w:rFonts w:cs="Arial"/>
          <w:rtl/>
        </w:rPr>
        <w:t xml:space="preserve">) </w:t>
      </w:r>
      <w:r>
        <w:rPr>
          <w:rFonts w:cs="Arial" w:hint="cs"/>
          <w:rtl/>
        </w:rPr>
        <w:t>ד</w:t>
      </w:r>
      <w:r w:rsidRPr="00FA71CF">
        <w:rPr>
          <w:rFonts w:cs="Arial"/>
          <w:rtl/>
        </w:rPr>
        <w:t xml:space="preserve">כל מה שאביה מוחזק בו מן הנדן דהנעלת ליה </w:t>
      </w:r>
      <w:r>
        <w:rPr>
          <w:rFonts w:cs="Arial" w:hint="cs"/>
          <w:rtl/>
        </w:rPr>
        <w:t xml:space="preserve">- </w:t>
      </w:r>
      <w:r w:rsidRPr="00FA71CF">
        <w:rPr>
          <w:rFonts w:cs="Arial"/>
          <w:rtl/>
        </w:rPr>
        <w:t>מהני כאילו היא עצמה תפסה</w:t>
      </w:r>
      <w:r>
        <w:rPr>
          <w:rFonts w:cs="Arial" w:hint="cs"/>
          <w:rtl/>
        </w:rPr>
        <w:t>.</w:t>
      </w:r>
      <w:r w:rsidRPr="00FA71CF">
        <w:rPr>
          <w:rFonts w:cs="Arial"/>
          <w:rtl/>
        </w:rPr>
        <w:t xml:space="preserve"> וכן איתא בזה תשובות מוהר"ם (תשו' מהר"ם ד"פ סי' רל) בהגהה שם (סי' רצ) ועיין לקמן סימן ק"ב מדין מורדת</w:t>
      </w:r>
      <w:r>
        <w:rPr>
          <w:rFonts w:cs="Arial" w:hint="cs"/>
          <w:rtl/>
        </w:rPr>
        <w:t>, דרכ"מ (אות יג).</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w:t>
      </w:r>
      <w:r>
        <w:rPr>
          <w:rFonts w:cs="Arial" w:hint="cs"/>
          <w:color w:val="00B0F0"/>
          <w:rtl/>
        </w:rPr>
        <w:t>בהגה</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footnote>
  <w:footnote w:id="1322">
    <w:p w14:paraId="21019C53" w14:textId="77777777" w:rsidR="00DF1FC7" w:rsidRDefault="00DF1FC7" w:rsidP="002E5BAD">
      <w:pPr>
        <w:pStyle w:val="a5"/>
      </w:pPr>
      <w:r>
        <w:rPr>
          <w:rStyle w:val="a7"/>
        </w:rPr>
        <w:footnoteRef/>
      </w:r>
      <w:r>
        <w:rPr>
          <w:rtl/>
        </w:rPr>
        <w:t xml:space="preserve"> </w:t>
      </w:r>
      <w:r>
        <w:rPr>
          <w:rFonts w:hint="cs"/>
          <w:rtl/>
        </w:rPr>
        <w:t>צל"ע, דמהר"ם מיירי התם מתקנת הגאונים, ותקנת הגאונים היא על כל מורדת, בין מאיס ובין בעינא ומצערנא, אבל כאן מיירי רק במאיס, ויש להבדיל בניהם למי שלא קיבל את תקנת הגאונים, ומהר"ם קיבל את התקנה לעניין ממון, אבל לא לעניין כפייה.</w:t>
      </w:r>
    </w:p>
  </w:footnote>
  <w:footnote w:id="1323">
    <w:p w14:paraId="55D6DE9D" w14:textId="77777777" w:rsidR="00DF1FC7" w:rsidRDefault="00DF1FC7" w:rsidP="002E5BAD">
      <w:pPr>
        <w:pStyle w:val="a5"/>
        <w:rPr>
          <w:rtl/>
        </w:rPr>
      </w:pPr>
      <w:r>
        <w:rPr>
          <w:rStyle w:val="a7"/>
        </w:rPr>
        <w:footnoteRef/>
      </w:r>
      <w:r>
        <w:rPr>
          <w:rtl/>
        </w:rPr>
        <w:t xml:space="preserve"> </w:t>
      </w:r>
      <w:r w:rsidRPr="00FA71CF">
        <w:rPr>
          <w:rFonts w:cs="Arial"/>
          <w:rtl/>
        </w:rPr>
        <w:t>ונראה דמיירי התם שלא היתה האמתלא מבוררת ולכך לא תוציא מן הבעל מה שהכניסה לו רק במה שהחזיקה בידה נוטלת</w:t>
      </w:r>
      <w:r>
        <w:rPr>
          <w:rFonts w:cs="Arial" w:hint="cs"/>
          <w:rtl/>
        </w:rPr>
        <w:t>,</w:t>
      </w:r>
      <w:r w:rsidRPr="00FA71CF">
        <w:rPr>
          <w:rFonts w:cs="Arial"/>
          <w:rtl/>
        </w:rPr>
        <w:t xml:space="preserve"> וכדברי הגהות מרדכי שמחלק בכך</w:t>
      </w:r>
      <w:r>
        <w:rPr>
          <w:rFonts w:cs="Arial" w:hint="cs"/>
          <w:rtl/>
        </w:rPr>
        <w:t>.</w:t>
      </w:r>
      <w:r w:rsidRPr="00FA71CF">
        <w:rPr>
          <w:rFonts w:cs="Arial"/>
          <w:rtl/>
        </w:rPr>
        <w:t xml:space="preserve"> אבל אם היתה האמתלא מבוררת או שנראה שיש ערמה בדבר ודאי דיינינן ליה בדינא דמתיבתא וכדברי מוהר"ם</w:t>
      </w:r>
      <w:r>
        <w:rPr>
          <w:rFonts w:cs="Arial" w:hint="cs"/>
          <w:rtl/>
        </w:rPr>
        <w:t>,</w:t>
      </w:r>
      <w:r w:rsidRPr="00FA71CF">
        <w:rPr>
          <w:rFonts w:cs="Arial"/>
          <w:rtl/>
        </w:rPr>
        <w:t xml:space="preserve"> ואין חלוק בזה בין תפסה ללא תפסה</w:t>
      </w:r>
      <w:r>
        <w:rPr>
          <w:rFonts w:cs="Arial" w:hint="cs"/>
          <w:rtl/>
        </w:rPr>
        <w:t>,</w:t>
      </w:r>
      <w:r w:rsidRPr="00FA71CF">
        <w:rPr>
          <w:rFonts w:cs="Arial"/>
          <w:rtl/>
        </w:rPr>
        <w:t xml:space="preserve"> ולכן צריך הדיין לתת לב ולדון לפי הענין וכמו שכתבתי לעיל בשם המרדכי וראבי"ה</w:t>
      </w:r>
      <w:r>
        <w:rPr>
          <w:rFonts w:cs="Arial" w:hint="cs"/>
          <w:rtl/>
        </w:rPr>
        <w:t>.</w:t>
      </w:r>
      <w:r w:rsidRPr="00FA71CF">
        <w:rPr>
          <w:rFonts w:cs="Arial"/>
          <w:rtl/>
        </w:rPr>
        <w:t xml:space="preserve"> ונראה שעל כן החמיר מהרי"ו גם כן להצריכה שבועה שטוענת באמת אף על גב דמוהר"ם לא כתב רק להחרים דאין כאן טענת ברי להצריכה שבועה כן נראה לי ועיין בריב"ש סימן שס"ב שהאריך בזה</w:t>
      </w:r>
      <w:r>
        <w:rPr>
          <w:rFonts w:cs="Arial" w:hint="cs"/>
          <w:rtl/>
        </w:rPr>
        <w:t>, דרכ"מ (אות יד).</w:t>
      </w:r>
    </w:p>
  </w:footnote>
  <w:footnote w:id="1324">
    <w:p w14:paraId="2F270B4C" w14:textId="77777777" w:rsidR="00DF1FC7" w:rsidRDefault="00DF1FC7" w:rsidP="002E5BAD">
      <w:pPr>
        <w:pStyle w:val="a5"/>
      </w:pPr>
      <w:r>
        <w:rPr>
          <w:rStyle w:val="a7"/>
        </w:rPr>
        <w:footnoteRef/>
      </w:r>
      <w:r>
        <w:rPr>
          <w:rtl/>
        </w:rPr>
        <w:t xml:space="preserve"> </w:t>
      </w:r>
      <w:r>
        <w:rPr>
          <w:rFonts w:hint="cs"/>
          <w:rtl/>
        </w:rPr>
        <w:t xml:space="preserve">וז"ל שם- </w:t>
      </w:r>
      <w:r w:rsidRPr="009A227D">
        <w:rPr>
          <w:rFonts w:cs="Arial"/>
          <w:rtl/>
        </w:rPr>
        <w:t>על ענין המורדת אין אדם צריך לימלך כי בהכרחת נתינת הגט ראיתי לרבותינו חכמי אשכנז וצרפת מתרחקין עד הקצה האחרון בכל מיני הרחקות כפיית האיש לגרש בעסק מרידת האשה</w:t>
      </w:r>
      <w:r>
        <w:rPr>
          <w:rFonts w:cs="Arial" w:hint="cs"/>
          <w:rtl/>
        </w:rPr>
        <w:t>,</w:t>
      </w:r>
      <w:r w:rsidRPr="009A227D">
        <w:rPr>
          <w:rFonts w:cs="Arial"/>
          <w:rtl/>
        </w:rPr>
        <w:t xml:space="preserve"> כי נראה להם דברי רבינו תם וראיותיו עיקר</w:t>
      </w:r>
      <w:r>
        <w:rPr>
          <w:rFonts w:cs="Arial" w:hint="cs"/>
          <w:rtl/>
        </w:rPr>
        <w:t>.</w:t>
      </w:r>
      <w:r w:rsidRPr="009A227D">
        <w:rPr>
          <w:rFonts w:cs="Arial"/>
          <w:rtl/>
        </w:rPr>
        <w:t xml:space="preserve"> וראוי לסמוך עליהם</w:t>
      </w:r>
      <w:r>
        <w:rPr>
          <w:rFonts w:cs="Arial" w:hint="cs"/>
          <w:rtl/>
        </w:rPr>
        <w:t>.</w:t>
      </w:r>
      <w:r w:rsidRPr="009A227D">
        <w:rPr>
          <w:rFonts w:cs="Arial"/>
          <w:rtl/>
        </w:rPr>
        <w:t xml:space="preserve"> ואף אם היו הדברים מוכרעים צריך אדם להרחיק עצמו מספק אשת איש ומלהרבות ממזרים בישראל</w:t>
      </w:r>
      <w:r>
        <w:rPr>
          <w:rFonts w:cs="Arial" w:hint="cs"/>
          <w:rtl/>
        </w:rPr>
        <w:t>.</w:t>
      </w:r>
      <w:r w:rsidRPr="009A227D">
        <w:rPr>
          <w:rFonts w:cs="Arial"/>
          <w:rtl/>
        </w:rPr>
        <w:t xml:space="preserve"> ואם ראו בדורות שהיו אחר חכמי התלמוד בימי הגאונים בישיבות של בבל שהיה צורך שעה בימיהם להסיע על רבינו תם ולעשות גדר וסייג ותקנו שיגרש האיש את אשתו בעל כרחו כשהיא אומרת לא בעינא לגבראי כדי שלא תתלה עצמה בגוי ותצאנה בנות ישראל לתרבות רעה</w:t>
      </w:r>
      <w:r>
        <w:rPr>
          <w:rFonts w:cs="Arial" w:hint="cs"/>
          <w:rtl/>
        </w:rPr>
        <w:t>,</w:t>
      </w:r>
      <w:r w:rsidRPr="009A227D">
        <w:rPr>
          <w:rFonts w:cs="Arial"/>
          <w:rtl/>
        </w:rPr>
        <w:t xml:space="preserve"> וסמכו על זה כל דמקדש אדעתא דרבנן מקדש</w:t>
      </w:r>
      <w:r>
        <w:rPr>
          <w:rFonts w:cs="Arial" w:hint="cs"/>
          <w:rtl/>
        </w:rPr>
        <w:t>,</w:t>
      </w:r>
      <w:r w:rsidRPr="009A227D">
        <w:rPr>
          <w:rFonts w:cs="Arial"/>
          <w:rtl/>
        </w:rPr>
        <w:t xml:space="preserve"> והסכימה דעתם להפקיע הקידושין כשתמרוד האשה על בעלה</w:t>
      </w:r>
      <w:r>
        <w:rPr>
          <w:rFonts w:cs="Arial" w:hint="cs"/>
          <w:rtl/>
        </w:rPr>
        <w:t xml:space="preserve"> -</w:t>
      </w:r>
      <w:r w:rsidRPr="009A227D">
        <w:rPr>
          <w:rFonts w:cs="Arial"/>
          <w:rtl/>
        </w:rPr>
        <w:t xml:space="preserve"> אותה תקנה לא פשטה בכל הארצות</w:t>
      </w:r>
      <w:r>
        <w:rPr>
          <w:rFonts w:cs="Arial" w:hint="cs"/>
          <w:rtl/>
        </w:rPr>
        <w:t>,</w:t>
      </w:r>
      <w:r w:rsidRPr="009A227D">
        <w:rPr>
          <w:rFonts w:cs="Arial"/>
          <w:rtl/>
        </w:rPr>
        <w:t xml:space="preserve"> ואף אם יש מקומות שנהגו לכוף לא נהגו מנהג זה על פי תקנת הגאונים כגון שבשעה שתקנו הגאונים את התקנה ששלחוה לאותן המקומות וקיבלו אותה עליהם ואם כן היה הדבר ידוע על פי הקבלה דור אחר דור היאך קיבלו עליהם תקנה זו בציווי הגאונים כי תקנה קבועה כזאת אם קיבלוה עליהם לא היתה עומדת לישכח מפי דורות הבאים אלא אני רואה שבאלו הארצות רוב הגיונם בספרי הרי"ף ז"ל ולפי שראו כפייה זו כתובה בהלכות (כז.) נהגו ביש מקומות לדון כן</w:t>
      </w:r>
      <w:r>
        <w:rPr>
          <w:rFonts w:cs="Arial" w:hint="cs"/>
          <w:rtl/>
        </w:rPr>
        <w:t>.</w:t>
      </w:r>
      <w:r w:rsidRPr="009A227D">
        <w:rPr>
          <w:rFonts w:cs="Arial"/>
          <w:rtl/>
        </w:rPr>
        <w:t xml:space="preserve"> ועוד אני אומר שהגאונים שתקנו התקנה תקנוה לפי הדור ההוא שהיה נראה להם לפי צורך השעה בשביל בנות ישראל</w:t>
      </w:r>
      <w:r>
        <w:rPr>
          <w:rFonts w:cs="Arial" w:hint="cs"/>
          <w:rtl/>
        </w:rPr>
        <w:t>,</w:t>
      </w:r>
      <w:r w:rsidRPr="009A227D">
        <w:rPr>
          <w:rFonts w:cs="Arial"/>
          <w:rtl/>
        </w:rPr>
        <w:t xml:space="preserve"> והאידנא נראה הענין בהיפך בנות ישראל בדור הזה שחצניות הן ואם תוכל האשה להפקיע את עצמה מתחת בעלה באומרת לא בעינא ליה לא הנחת בת לאברהם אבינו יושבת תחת בעלה ויתנו עיניהן באחר וימרדו בבעליהן</w:t>
      </w:r>
      <w:r>
        <w:rPr>
          <w:rFonts w:cs="Arial" w:hint="cs"/>
          <w:rtl/>
        </w:rPr>
        <w:t>,</w:t>
      </w:r>
      <w:r w:rsidRPr="009A227D">
        <w:rPr>
          <w:rFonts w:cs="Arial"/>
          <w:rtl/>
        </w:rPr>
        <w:t xml:space="preserve"> על כן טוב להרחיק הכפייה</w:t>
      </w:r>
      <w:r>
        <w:rPr>
          <w:rFonts w:cs="Arial" w:hint="cs"/>
          <w:rtl/>
        </w:rPr>
        <w:t>.</w:t>
      </w:r>
      <w:r w:rsidRPr="009A227D">
        <w:rPr>
          <w:rFonts w:cs="Arial"/>
          <w:rtl/>
        </w:rPr>
        <w:t xml:space="preserve"> ויותר התימה הגדול על הרמב"ם שכתב (פי"ד ה"ח) אם אמרה מאסתיהו ואיני יכולה להבעל לו מדעתי כופין אותו לשעתא לפי שאינה כשבויה שתבעל לשנוי לה</w:t>
      </w:r>
      <w:r>
        <w:rPr>
          <w:rFonts w:cs="Arial" w:hint="cs"/>
          <w:rtl/>
        </w:rPr>
        <w:t>.</w:t>
      </w:r>
      <w:r w:rsidRPr="009A227D">
        <w:rPr>
          <w:rFonts w:cs="Arial"/>
          <w:rtl/>
        </w:rPr>
        <w:t xml:space="preserve"> ומה נתינת טעם לכוף האיש לגרש ולהתיר אשת איש</w:t>
      </w:r>
      <w:r>
        <w:rPr>
          <w:rFonts w:cs="Arial" w:hint="cs"/>
          <w:rtl/>
        </w:rPr>
        <w:t>,</w:t>
      </w:r>
      <w:r w:rsidRPr="009A227D">
        <w:rPr>
          <w:rFonts w:cs="Arial"/>
          <w:rtl/>
        </w:rPr>
        <w:t xml:space="preserve"> לא תבעל לו ותוצרר אלמנות חיות כל ימיה</w:t>
      </w:r>
      <w:r>
        <w:rPr>
          <w:rFonts w:cs="Arial" w:hint="cs"/>
          <w:rtl/>
        </w:rPr>
        <w:t>,</w:t>
      </w:r>
      <w:r w:rsidRPr="009A227D">
        <w:rPr>
          <w:rFonts w:cs="Arial"/>
          <w:rtl/>
        </w:rPr>
        <w:t xml:space="preserve"> הלא אינה מצווה על פריה ורביה (יבמות סה:)</w:t>
      </w:r>
      <w:r>
        <w:rPr>
          <w:rFonts w:cs="Arial" w:hint="cs"/>
          <w:rtl/>
        </w:rPr>
        <w:t>,</w:t>
      </w:r>
      <w:r w:rsidRPr="009A227D">
        <w:rPr>
          <w:rFonts w:cs="Arial"/>
          <w:rtl/>
        </w:rPr>
        <w:t xml:space="preserve"> וכי בשביל שהיא הולכת אחר שרירות לבה ונתנה עיניה באחר וחפצה בו יותר מבעל נעוריה נשלים תאותה ונכוף האיש שהוא אוהב אשת נעוריו שיגרשנה</w:t>
      </w:r>
      <w:r>
        <w:rPr>
          <w:rFonts w:cs="Arial" w:hint="cs"/>
          <w:rtl/>
        </w:rPr>
        <w:t>,</w:t>
      </w:r>
      <w:r w:rsidRPr="009A227D">
        <w:rPr>
          <w:rFonts w:cs="Arial"/>
          <w:rtl/>
        </w:rPr>
        <w:t xml:space="preserve"> חלילה וחס לשום דיין לדון כן</w:t>
      </w:r>
      <w:r>
        <w:rPr>
          <w:rFonts w:cs="Arial" w:hint="cs"/>
          <w:rtl/>
        </w:rPr>
        <w:t>.</w:t>
      </w:r>
    </w:p>
  </w:footnote>
  <w:footnote w:id="1325">
    <w:p w14:paraId="07E9296C" w14:textId="77777777" w:rsidR="00DF1FC7" w:rsidRDefault="00DF1FC7" w:rsidP="002E5BAD">
      <w:pPr>
        <w:pStyle w:val="a5"/>
      </w:pPr>
      <w:r>
        <w:rPr>
          <w:rStyle w:val="a7"/>
        </w:rPr>
        <w:footnoteRef/>
      </w:r>
      <w:r>
        <w:rPr>
          <w:rtl/>
        </w:rPr>
        <w:t xml:space="preserve"> </w:t>
      </w:r>
      <w:r>
        <w:rPr>
          <w:rFonts w:hint="cs"/>
          <w:rtl/>
        </w:rPr>
        <w:t xml:space="preserve">וז"ל- </w:t>
      </w:r>
      <w:r w:rsidRPr="00F66083">
        <w:rPr>
          <w:rFonts w:cs="Arial"/>
          <w:rtl/>
        </w:rPr>
        <w:t xml:space="preserve">ודע שיש בכל מה שהזכרתי </w:t>
      </w:r>
      <w:r>
        <w:rPr>
          <w:rFonts w:cs="Arial" w:hint="cs"/>
          <w:sz w:val="16"/>
          <w:szCs w:val="16"/>
          <w:rtl/>
        </w:rPr>
        <w:t>{בפרטי דין מורדת לפי הרמב"ם}</w:t>
      </w:r>
      <w:r>
        <w:rPr>
          <w:rFonts w:cs="Arial" w:hint="cs"/>
          <w:rtl/>
        </w:rPr>
        <w:t xml:space="preserve"> </w:t>
      </w:r>
      <w:r w:rsidRPr="00F66083">
        <w:rPr>
          <w:rFonts w:cs="Arial"/>
          <w:rtl/>
        </w:rPr>
        <w:t>שיטה אחרת להרבה מן המפרשים וכל מי שראיתי דבריו כתב שבדין הגמרא אין כופין את האיש להוציא אף באומרת מאיס עלי ועל זה הרבו בראיות ברורות וקראו תגר על כל הנוטה מדבריהם והם סבורין שאפילו נישאת בגט שנתן מחמת כפייה זו תצא וכבר פשטה הוראה הזאת בכל ארצותינו שלא כדברי רבינו בזה שאין כופין את האיש לגרש ולא עוד אלא שאפילו היה הדין כדבריו היה ראוי לגדור בזה משום פרוצות ומפני קלקול הדור שלא תהיה אשה נותנת עיניה באיש אחר ומפקעת עצמה מבעלה כ"ש שהם ז"ל הכריחו והוכיחו שאין כופין אותו מן הדין.</w:t>
      </w:r>
    </w:p>
  </w:footnote>
  <w:footnote w:id="1326">
    <w:p w14:paraId="16E6BA4D" w14:textId="77777777" w:rsidR="00DF1FC7" w:rsidRDefault="00DF1FC7" w:rsidP="002E5BAD">
      <w:pPr>
        <w:pStyle w:val="a5"/>
      </w:pPr>
      <w:r>
        <w:rPr>
          <w:rStyle w:val="a7"/>
        </w:rPr>
        <w:footnoteRef/>
      </w:r>
      <w:r>
        <w:rPr>
          <w:rtl/>
        </w:rPr>
        <w:t xml:space="preserve"> </w:t>
      </w:r>
      <w:r>
        <w:rPr>
          <w:rFonts w:cs="Arial" w:hint="cs"/>
          <w:rtl/>
        </w:rPr>
        <w:t xml:space="preserve">וז"ל- </w:t>
      </w:r>
      <w:r w:rsidRPr="00C414B1">
        <w:rPr>
          <w:rFonts w:cs="Arial"/>
          <w:rtl/>
        </w:rPr>
        <w:t>אלא שהרב אלפסי ז"ל כתב בהלכות שהגאונים ז"ל תקנו לכוף את הבעל ליתן גט כל שהיא מורדת. וכן הרב רבינו משה ז"ל כתב כן באומרת מאיס עלי כדי שלא יהו בנות ישראל כשבויות ליבעל למי שמאוס להן. ודברים אלו אינן משורת הדין ואותם שתקנו' שמא לדור' תקנום ולא פשטו בכל גלילותינו. ולא שמענו שנהגו כן בכל ארצות הגוים. וגם ר"ת ז"ל הרחיק את הדבר מאד</w:t>
      </w:r>
      <w:r>
        <w:rPr>
          <w:rFonts w:cs="Arial" w:hint="cs"/>
          <w:rtl/>
        </w:rPr>
        <w:t>.</w:t>
      </w:r>
    </w:p>
  </w:footnote>
  <w:footnote w:id="1327">
    <w:p w14:paraId="2C85D9F1" w14:textId="77777777" w:rsidR="00DF1FC7" w:rsidRPr="009459D3" w:rsidRDefault="00DF1FC7" w:rsidP="002E5BAD">
      <w:pPr>
        <w:pStyle w:val="a5"/>
        <w:rPr>
          <w:rFonts w:cs="Arial"/>
          <w:rtl/>
        </w:rPr>
      </w:pPr>
      <w:r>
        <w:rPr>
          <w:rStyle w:val="a7"/>
        </w:rPr>
        <w:footnoteRef/>
      </w:r>
      <w:r>
        <w:rPr>
          <w:rtl/>
        </w:rPr>
        <w:t xml:space="preserve"> </w:t>
      </w:r>
      <w:r>
        <w:rPr>
          <w:rFonts w:cs="Arial" w:hint="cs"/>
          <w:rtl/>
        </w:rPr>
        <w:t xml:space="preserve">וז"ל- </w:t>
      </w:r>
      <w:r>
        <w:rPr>
          <w:rFonts w:cs="Arial"/>
          <w:rtl/>
        </w:rPr>
        <w:t>הוי יודע דבין במורדת בין במאיס עלי לא כייפינן לבעל לגרש שלא כדברי הרמב"ם שכתב בפרק י"ד מהלכות אישות (ה"ח) דבאומרת מאיס עלי כופין אותו להוציא שדעתו ז"ל דמאי דאיתמר בגמרא (סג:) היכי דמי מורדת אמר אביי דאמרה בעינא ליה ומצערנא ליה אבל אמרה מאיס עלי לא כייפינן לה היינו לומר שאין כופין אותה להיות אגודה בו אלא כופין אותו להוציאה שאינה כשבויה שתבעל לשנוי לה</w:t>
      </w:r>
      <w:r>
        <w:rPr>
          <w:rFonts w:cs="Arial" w:hint="cs"/>
          <w:rtl/>
        </w:rPr>
        <w:t>.</w:t>
      </w:r>
      <w:r>
        <w:rPr>
          <w:rFonts w:cs="Arial"/>
          <w:rtl/>
        </w:rPr>
        <w:t xml:space="preserve"> וליתא</w:t>
      </w:r>
      <w:r>
        <w:rPr>
          <w:rFonts w:cs="Arial" w:hint="cs"/>
          <w:rtl/>
        </w:rPr>
        <w:t>,</w:t>
      </w:r>
      <w:r>
        <w:rPr>
          <w:rFonts w:cs="Arial"/>
          <w:rtl/>
        </w:rPr>
        <w:t xml:space="preserve"> מדתנן בפרק בתרא דנדרים (צ:) וכו'</w:t>
      </w:r>
      <w:r>
        <w:rPr>
          <w:rFonts w:cs="Arial" w:hint="cs"/>
          <w:rtl/>
        </w:rPr>
        <w:t>.</w:t>
      </w:r>
      <w:r>
        <w:rPr>
          <w:rFonts w:cs="Arial"/>
          <w:rtl/>
        </w:rPr>
        <w:t xml:space="preserve"> וכן דעת הרי"ף (כז.) שכתב </w:t>
      </w:r>
      <w:r>
        <w:rPr>
          <w:rFonts w:cs="Arial" w:hint="cs"/>
          <w:rtl/>
        </w:rPr>
        <w:t>'</w:t>
      </w:r>
      <w:r>
        <w:rPr>
          <w:rFonts w:cs="Arial"/>
          <w:rtl/>
        </w:rPr>
        <w:t>ולדברי הכל כל מאי דכייפינן לאפוקי בין מעיקר דינא כדתנן (עז.) ואלו שכופין אותם להוציא ומאי דדמי להו</w:t>
      </w:r>
      <w:r>
        <w:rPr>
          <w:rFonts w:cs="Arial" w:hint="cs"/>
          <w:rtl/>
        </w:rPr>
        <w:t>,</w:t>
      </w:r>
      <w:r>
        <w:rPr>
          <w:rFonts w:cs="Arial"/>
          <w:rtl/>
        </w:rPr>
        <w:t xml:space="preserve"> בין מעיקר תקנתא וכו'</w:t>
      </w:r>
      <w:r>
        <w:rPr>
          <w:rFonts w:cs="Arial" w:hint="cs"/>
          <w:sz w:val="18"/>
          <w:szCs w:val="18"/>
          <w:rtl/>
        </w:rPr>
        <w:t xml:space="preserve"> </w:t>
      </w:r>
      <w:r w:rsidRPr="00697C4E">
        <w:rPr>
          <w:rFonts w:cs="Arial" w:hint="cs"/>
          <w:sz w:val="16"/>
          <w:szCs w:val="16"/>
          <w:rtl/>
        </w:rPr>
        <w:t>[עכ"ל הרי"ף שהביא הר"ן]</w:t>
      </w:r>
      <w:r>
        <w:rPr>
          <w:rFonts w:cs="Arial" w:hint="cs"/>
          <w:rtl/>
        </w:rPr>
        <w:t>.</w:t>
      </w:r>
      <w:r>
        <w:rPr>
          <w:rFonts w:cs="Arial"/>
          <w:rtl/>
        </w:rPr>
        <w:t xml:space="preserve"> דהיינו מורדת דאמרה מאיס עלי</w:t>
      </w:r>
      <w:r>
        <w:rPr>
          <w:rFonts w:cs="Arial" w:hint="cs"/>
          <w:rtl/>
        </w:rPr>
        <w:t>.</w:t>
      </w:r>
      <w:r>
        <w:rPr>
          <w:rFonts w:cs="Arial"/>
          <w:rtl/>
        </w:rPr>
        <w:t xml:space="preserve"> והגאונים הוא שהתקינו לכוף</w:t>
      </w:r>
      <w:r>
        <w:rPr>
          <w:rFonts w:cs="Arial" w:hint="cs"/>
          <w:rtl/>
        </w:rPr>
        <w:t>,</w:t>
      </w:r>
      <w:r>
        <w:rPr>
          <w:rFonts w:cs="Arial"/>
          <w:rtl/>
        </w:rPr>
        <w:t xml:space="preserve"> כמו שכתוב בהלכות</w:t>
      </w:r>
      <w:r>
        <w:rPr>
          <w:rFonts w:cs="Arial" w:hint="cs"/>
          <w:rtl/>
        </w:rPr>
        <w:t>.</w:t>
      </w:r>
      <w:r>
        <w:rPr>
          <w:rFonts w:cs="Arial"/>
          <w:rtl/>
        </w:rPr>
        <w:t xml:space="preserve"> וכבר כתב הרז"ה (כז.) שלא תקנו אלא לדורם ולצורך השעה</w:t>
      </w:r>
      <w:r>
        <w:rPr>
          <w:rFonts w:cs="Arial" w:hint="cs"/>
          <w:rtl/>
        </w:rPr>
        <w:t>,</w:t>
      </w:r>
      <w:r>
        <w:rPr>
          <w:rFonts w:cs="Arial"/>
          <w:rtl/>
        </w:rPr>
        <w:t xml:space="preserve"> וכן כתב הרמב"ן </w:t>
      </w:r>
      <w:r w:rsidRPr="00697C4E">
        <w:rPr>
          <w:rFonts w:cs="Arial"/>
          <w:sz w:val="16"/>
          <w:szCs w:val="16"/>
          <w:rtl/>
        </w:rPr>
        <w:t xml:space="preserve">(סג: ד"ה ובמקצת) </w:t>
      </w:r>
      <w:r>
        <w:rPr>
          <w:rFonts w:cs="Arial"/>
          <w:rtl/>
        </w:rPr>
        <w:t>שעכשיו כבר בטלה מפני פריצות הדורות</w:t>
      </w:r>
      <w:r>
        <w:rPr>
          <w:rFonts w:cs="Arial" w:hint="cs"/>
          <w:rtl/>
        </w:rPr>
        <w:t>,</w:t>
      </w:r>
      <w:r>
        <w:rPr>
          <w:rFonts w:cs="Arial"/>
          <w:rtl/>
        </w:rPr>
        <w:t xml:space="preserve"> ואף הרמב"ם כתב בפרק הנזכר (הי"ד) שבדין התלמוד ראוי לתפוס ולדון</w:t>
      </w:r>
      <w:r>
        <w:rPr>
          <w:rFonts w:cs="Arial" w:hint="cs"/>
          <w:rtl/>
        </w:rPr>
        <w:t xml:space="preserve">. </w:t>
      </w:r>
      <w:r w:rsidRPr="009459D3">
        <w:rPr>
          <w:rFonts w:cs="Arial" w:hint="cs"/>
          <w:sz w:val="16"/>
          <w:szCs w:val="16"/>
          <w:rtl/>
        </w:rPr>
        <w:t>(</w:t>
      </w:r>
      <w:r w:rsidRPr="009459D3">
        <w:rPr>
          <w:rFonts w:cs="Arial"/>
          <w:sz w:val="16"/>
          <w:szCs w:val="16"/>
          <w:rtl/>
        </w:rPr>
        <w:t>כלומר לענין מורדת כתב כן הרמב"ם וכמבואר בדבריו ולאפוקי מתקנת הגאונים שכתב הרי"ף שהאיש שמרדה אשתו עליו כופין אותו להוציא מיד אלא ראוי לתפוס כדין התלמוד שאין כופין אותו להוציא במורדת דאילו באומרת מאיס עלי כבר נתבאר שהוא ז"ל סבור שבדין התלמוד כופין אותו להוציא אלא שלא הודו לו כמו שנתבאר</w:t>
      </w:r>
      <w:r>
        <w:rPr>
          <w:rFonts w:cs="Arial" w:hint="cs"/>
          <w:sz w:val="16"/>
          <w:szCs w:val="16"/>
          <w:rtl/>
        </w:rPr>
        <w:t>, ב"י)</w:t>
      </w:r>
      <w:r>
        <w:rPr>
          <w:rFonts w:cs="Arial"/>
          <w:rtl/>
        </w:rPr>
        <w:t xml:space="preserve"> </w:t>
      </w:r>
    </w:p>
  </w:footnote>
  <w:footnote w:id="1328">
    <w:p w14:paraId="2606AE58" w14:textId="77777777" w:rsidR="00DF1FC7" w:rsidRDefault="00DF1FC7" w:rsidP="002E5BAD">
      <w:pPr>
        <w:pStyle w:val="a5"/>
      </w:pPr>
      <w:r>
        <w:rPr>
          <w:rStyle w:val="a7"/>
        </w:rPr>
        <w:footnoteRef/>
      </w:r>
      <w:r>
        <w:rPr>
          <w:rtl/>
        </w:rPr>
        <w:t xml:space="preserve"> </w:t>
      </w:r>
      <w:r>
        <w:rPr>
          <w:rFonts w:hint="cs"/>
          <w:rtl/>
        </w:rPr>
        <w:t xml:space="preserve">וז"ל- </w:t>
      </w:r>
      <w:r w:rsidRPr="00606E18">
        <w:rPr>
          <w:rFonts w:cs="Arial"/>
          <w:rtl/>
        </w:rPr>
        <w:t>וכבר ראית מ"ש בזה הרב בעל ספר מ"מ ז"ל והאריך בזה לומר שאם כפו לגרש ונשאת בגט שנתן על ידי כפיה זו תצא. ובספר ההוא כתוב כל זה בבאור כמו שהסכים הרשב"א ז"ל ושאר המפרשים ז"ל. ולכן אל תחוש בזה למנהג תלמסאן וזולתו, כי לא נניח תלמוד ערוך שבידינו והסכמת גדולי עולם ונקל בערוה החמורה מפני מנהגם.</w:t>
      </w:r>
    </w:p>
  </w:footnote>
  <w:footnote w:id="1329">
    <w:p w14:paraId="695B3DDC" w14:textId="77777777" w:rsidR="00DF1FC7" w:rsidRDefault="00DF1FC7" w:rsidP="002E5BAD">
      <w:pPr>
        <w:pStyle w:val="a5"/>
      </w:pPr>
      <w:r>
        <w:rPr>
          <w:rStyle w:val="a7"/>
        </w:rPr>
        <w:footnoteRef/>
      </w:r>
      <w:r w:rsidRPr="005741DC">
        <w:rPr>
          <w:rFonts w:cs="Arial"/>
          <w:rtl/>
        </w:rPr>
        <w:t xml:space="preserve"> וכבר נתבאר דכן הסכימו כל האחרונים והכי נקטינן,</w:t>
      </w:r>
      <w:r>
        <w:rPr>
          <w:rFonts w:cs="Arial" w:hint="cs"/>
          <w:rtl/>
        </w:rPr>
        <w:t xml:space="preserve"> דרכ"מ (אות יא).</w:t>
      </w:r>
    </w:p>
  </w:footnote>
  <w:footnote w:id="1330">
    <w:p w14:paraId="6C60FD3B" w14:textId="77777777" w:rsidR="00DF1FC7" w:rsidRDefault="00DF1FC7" w:rsidP="002E5BAD">
      <w:pPr>
        <w:pStyle w:val="a5"/>
      </w:pPr>
      <w:r>
        <w:rPr>
          <w:rStyle w:val="a7"/>
        </w:rPr>
        <w:footnoteRef/>
      </w:r>
      <w:r>
        <w:rPr>
          <w:rtl/>
        </w:rPr>
        <w:t xml:space="preserve"> </w:t>
      </w:r>
      <w:r w:rsidRPr="00502895">
        <w:rPr>
          <w:rFonts w:cs="Arial"/>
          <w:rtl/>
        </w:rPr>
        <w:t>אבל רב האי כתב אע</w:t>
      </w:r>
      <w:r>
        <w:rPr>
          <w:rFonts w:cs="Arial" w:hint="cs"/>
          <w:rtl/>
        </w:rPr>
        <w:t>"</w:t>
      </w:r>
      <w:r w:rsidRPr="00502895">
        <w:rPr>
          <w:rFonts w:cs="Arial"/>
          <w:rtl/>
        </w:rPr>
        <w:t>פ שאין לכוף את בעלה מכח הלכה מ"מ גאוני הישיבות של בבל תקנו שכופין את הבעל ליתן גט מיד ויותר מג' מאות שנה היה בימיהם שנכתב זו התקנה</w:t>
      </w:r>
      <w:r>
        <w:rPr>
          <w:rFonts w:cs="Arial" w:hint="cs"/>
          <w:rtl/>
        </w:rPr>
        <w:t>...</w:t>
      </w:r>
      <w:r w:rsidRPr="00502895">
        <w:rPr>
          <w:rFonts w:cs="Arial"/>
          <w:rtl/>
        </w:rPr>
        <w:t xml:space="preserve"> וכ"כ רבינו גרשון מאור הגולה שכופין</w:t>
      </w:r>
      <w:r>
        <w:rPr>
          <w:rFonts w:cs="Arial" w:hint="cs"/>
          <w:rtl/>
        </w:rPr>
        <w:t>, הגה"א (שם הגהה א).</w:t>
      </w:r>
      <w:r>
        <w:rPr>
          <w:rFonts w:hint="cs"/>
          <w:rtl/>
        </w:rPr>
        <w:t xml:space="preserve"> וכן נראה מהרמב"ם (שם) ומכל שאר הראשונים, וצל"ע.</w:t>
      </w:r>
    </w:p>
  </w:footnote>
  <w:footnote w:id="1331">
    <w:p w14:paraId="5FDFB83E" w14:textId="77777777" w:rsidR="00DF1FC7" w:rsidRDefault="00DF1FC7" w:rsidP="002E5BAD">
      <w:pPr>
        <w:pStyle w:val="a5"/>
      </w:pPr>
      <w:r>
        <w:rPr>
          <w:rStyle w:val="a7"/>
        </w:rPr>
        <w:footnoteRef/>
      </w:r>
      <w:r>
        <w:rPr>
          <w:rtl/>
        </w:rPr>
        <w:t xml:space="preserve"> </w:t>
      </w:r>
      <w:r w:rsidRPr="00502895">
        <w:rPr>
          <w:rFonts w:cs="Arial"/>
          <w:rtl/>
        </w:rPr>
        <w:t>ארישא דמילתא קאי למה תקנו הגאונים דיהבינן לה גיטא לאלתר משום שתולה עצמה בעובדי כוכבים ולא תקנו להרבות ממזרים בישראל</w:t>
      </w:r>
      <w:r>
        <w:rPr>
          <w:rFonts w:cs="Arial" w:hint="cs"/>
          <w:rtl/>
        </w:rPr>
        <w:t>, קרבן נתנאל (שם אות ז).</w:t>
      </w:r>
    </w:p>
  </w:footnote>
  <w:footnote w:id="1332">
    <w:p w14:paraId="24AC0D73" w14:textId="77777777" w:rsidR="00DF1FC7" w:rsidRDefault="00DF1FC7" w:rsidP="002E5BAD">
      <w:pPr>
        <w:pStyle w:val="a5"/>
      </w:pPr>
      <w:r>
        <w:rPr>
          <w:rStyle w:val="a7"/>
        </w:rPr>
        <w:footnoteRef/>
      </w:r>
      <w:r>
        <w:rPr>
          <w:rtl/>
        </w:rPr>
        <w:t xml:space="preserve"> </w:t>
      </w:r>
      <w:r w:rsidRPr="00897A64">
        <w:rPr>
          <w:rFonts w:cs="Arial"/>
          <w:rtl/>
        </w:rPr>
        <w:t>אבל היה מצוה להחרים אם השיאה שום אדם עצה כדי להוציא נדוניתה מיד בעלה וכשהיה רואה ערמה בדבר לא היה מצוה להחזיר אפילו נדוניתה הלכך לא היה דן דין מאיס עלי אם לא שתתן אמתלא לדבריה למה לא היה מקובל עליה או שלא היה הולך בדרך ישרה ומכלה ממונו</w:t>
      </w:r>
      <w:r>
        <w:rPr>
          <w:rFonts w:cs="Arial" w:hint="cs"/>
          <w:rtl/>
        </w:rPr>
        <w:t>, טור בשם מהר"ם (צל"ע היכן כתב כן).</w:t>
      </w:r>
      <w:r>
        <w:rPr>
          <w:rFonts w:hint="cs"/>
          <w:rtl/>
        </w:rPr>
        <w:t xml:space="preserve"> וגם הב"י כתב כן בשם הרשב"א בתשובה </w:t>
      </w:r>
      <w:r w:rsidRPr="007D5147">
        <w:rPr>
          <w:rFonts w:cs="Arial"/>
          <w:rtl/>
        </w:rPr>
        <w:t>בענין האומרת מאיס עלי שאינה נאמנת במה שאומרת עד שנכיר מתוך דבריה שהוא מאוס בעיניה כמו שאמרה</w:t>
      </w:r>
      <w:r>
        <w:rPr>
          <w:rFonts w:cs="Arial" w:hint="cs"/>
          <w:sz w:val="16"/>
          <w:szCs w:val="16"/>
          <w:rtl/>
        </w:rPr>
        <w:t xml:space="preserve"> [עכ"ל הרשב"א]</w:t>
      </w:r>
      <w:r>
        <w:rPr>
          <w:rFonts w:cs="Arial" w:hint="cs"/>
          <w:rtl/>
        </w:rPr>
        <w:t>.</w:t>
      </w:r>
      <w:r w:rsidRPr="007D5147">
        <w:rPr>
          <w:rFonts w:cs="Arial"/>
          <w:rtl/>
        </w:rPr>
        <w:t xml:space="preserve"> </w:t>
      </w:r>
      <w:r>
        <w:rPr>
          <w:rFonts w:cs="Arial" w:hint="cs"/>
          <w:rtl/>
        </w:rPr>
        <w:t xml:space="preserve">וכן כתב הב"י </w:t>
      </w:r>
      <w:r w:rsidRPr="007D5147">
        <w:rPr>
          <w:rFonts w:cs="Arial"/>
          <w:rtl/>
        </w:rPr>
        <w:t>בסימן זה בשם כמה גדולים</w:t>
      </w:r>
      <w:r>
        <w:rPr>
          <w:rFonts w:hint="cs"/>
          <w:rtl/>
        </w:rPr>
        <w:t>. וכתב הדרכ"מ (</w:t>
      </w:r>
      <w:r>
        <w:rPr>
          <w:rFonts w:cs="Arial" w:hint="cs"/>
          <w:rtl/>
        </w:rPr>
        <w:t xml:space="preserve">אות </w:t>
      </w:r>
      <w:r w:rsidRPr="00FA71CF">
        <w:rPr>
          <w:rFonts w:cs="Arial"/>
          <w:rtl/>
        </w:rPr>
        <w:t xml:space="preserve">יג) </w:t>
      </w:r>
      <w:r>
        <w:rPr>
          <w:rFonts w:cs="Arial" w:hint="cs"/>
          <w:rtl/>
        </w:rPr>
        <w:t>ד</w:t>
      </w:r>
      <w:r w:rsidRPr="00FA71CF">
        <w:rPr>
          <w:rFonts w:cs="Arial"/>
          <w:rtl/>
        </w:rPr>
        <w:t xml:space="preserve">במרדכי (סי' קפו) כתב </w:t>
      </w:r>
      <w:r>
        <w:rPr>
          <w:rFonts w:cs="Arial" w:hint="cs"/>
          <w:rtl/>
        </w:rPr>
        <w:t>ד</w:t>
      </w:r>
      <w:r w:rsidRPr="00FA71CF">
        <w:rPr>
          <w:rFonts w:cs="Arial"/>
          <w:rtl/>
        </w:rPr>
        <w:t>א</w:t>
      </w:r>
      <w:r>
        <w:rPr>
          <w:rFonts w:cs="Arial" w:hint="cs"/>
          <w:rtl/>
        </w:rPr>
        <w:t>ע"ג</w:t>
      </w:r>
      <w:r w:rsidRPr="00FA71CF">
        <w:rPr>
          <w:rFonts w:cs="Arial"/>
          <w:rtl/>
        </w:rPr>
        <w:t xml:space="preserve"> דמאבד כל אשר לו בשחוק לא תוכל אשתו למרוד בו וכו'</w:t>
      </w:r>
      <w:r>
        <w:rPr>
          <w:rFonts w:cs="Arial" w:hint="cs"/>
          <w:rtl/>
        </w:rPr>
        <w:t>.</w:t>
      </w:r>
      <w:r w:rsidRPr="00FA71CF">
        <w:rPr>
          <w:rFonts w:cs="Arial"/>
          <w:rtl/>
        </w:rPr>
        <w:t xml:space="preserve"> ונראה דדברי מוהר"ם אינן חולקים על זה</w:t>
      </w:r>
      <w:r>
        <w:rPr>
          <w:rFonts w:cs="Arial" w:hint="cs"/>
          <w:rtl/>
        </w:rPr>
        <w:t>,</w:t>
      </w:r>
      <w:r w:rsidRPr="00FA71CF">
        <w:rPr>
          <w:rFonts w:cs="Arial"/>
          <w:rtl/>
        </w:rPr>
        <w:t xml:space="preserve"> דמוהר"ם לא קאמר אלא לענין דמקרי אמתלא ומכל מקום מודה דאינה יכולה למרוד משום זה ואם מרדה יש לה דין מורדת וע"ש</w:t>
      </w:r>
      <w:r>
        <w:rPr>
          <w:rFonts w:cs="Arial" w:hint="cs"/>
          <w:rtl/>
        </w:rPr>
        <w:t>.</w:t>
      </w:r>
      <w:r w:rsidRPr="00FA71CF">
        <w:rPr>
          <w:rFonts w:cs="Arial"/>
          <w:rtl/>
        </w:rPr>
        <w:t xml:space="preserve"> וכתב מהרי"ו בתשובה סימן קל"ה אשר טוענת מאיס עלי מחמת שהוא שותה ומקיא ומאבד כל אשר לו בשחוק והוא טוען שאם עשה לא יעשה עוד, נראה דזה לא מיקרי אמתלא וכו', ועוד דהרי הוא רוצה לחזור ולא לעשות עוד ואינו צריך להעמיד ערבות שיתקן דרכיו כל זמן שאינו מוחזק בריעותא עכ"ל</w:t>
      </w:r>
      <w:r>
        <w:rPr>
          <w:rFonts w:cs="Arial" w:hint="cs"/>
          <w:rtl/>
        </w:rPr>
        <w:t>.</w:t>
      </w:r>
      <w:r w:rsidRPr="00FA71CF">
        <w:rPr>
          <w:rFonts w:cs="Arial"/>
          <w:rtl/>
        </w:rPr>
        <w:t xml:space="preserve"> ומה שכתב דאין נקרא אמתלא מה שמכלה ממונו בשחוק </w:t>
      </w:r>
      <w:r>
        <w:rPr>
          <w:rFonts w:cs="Arial" w:hint="cs"/>
          <w:rtl/>
        </w:rPr>
        <w:t xml:space="preserve">- </w:t>
      </w:r>
      <w:r w:rsidRPr="00FA71CF">
        <w:rPr>
          <w:rFonts w:cs="Arial"/>
          <w:rtl/>
        </w:rPr>
        <w:t>אינו נראה</w:t>
      </w:r>
      <w:r>
        <w:rPr>
          <w:rFonts w:cs="Arial" w:hint="cs"/>
          <w:rtl/>
        </w:rPr>
        <w:t>,</w:t>
      </w:r>
      <w:r w:rsidRPr="00FA71CF">
        <w:rPr>
          <w:rFonts w:cs="Arial"/>
          <w:rtl/>
        </w:rPr>
        <w:t xml:space="preserve"> דודאי אמתלא היא וכמו שכתב מוהר"ם</w:t>
      </w:r>
      <w:r>
        <w:rPr>
          <w:rFonts w:cs="Arial" w:hint="cs"/>
          <w:rtl/>
        </w:rPr>
        <w:t>.</w:t>
      </w:r>
      <w:r w:rsidRPr="00FA71CF">
        <w:rPr>
          <w:rFonts w:cs="Arial"/>
          <w:rtl/>
        </w:rPr>
        <w:t xml:space="preserve"> </w:t>
      </w:r>
    </w:p>
  </w:footnote>
  <w:footnote w:id="1333">
    <w:p w14:paraId="778CAFF8" w14:textId="77777777" w:rsidR="00DF1FC7" w:rsidRDefault="00DF1FC7" w:rsidP="002E5BAD">
      <w:pPr>
        <w:pStyle w:val="a5"/>
        <w:rPr>
          <w:rtl/>
        </w:rPr>
      </w:pPr>
      <w:r>
        <w:rPr>
          <w:rStyle w:val="a7"/>
        </w:rPr>
        <w:footnoteRef/>
      </w:r>
      <w:r>
        <w:rPr>
          <w:rtl/>
        </w:rPr>
        <w:t xml:space="preserve"> </w:t>
      </w:r>
      <w:r>
        <w:rPr>
          <w:rFonts w:hint="cs"/>
          <w:rtl/>
        </w:rPr>
        <w:t xml:space="preserve">כתב הב"י וז"ל- </w:t>
      </w:r>
      <w:r w:rsidRPr="006F6BB1">
        <w:rPr>
          <w:rFonts w:cs="Arial"/>
          <w:rtl/>
        </w:rPr>
        <w:t>ומ"ש רבינו אבל רב אלפס כתב האידנא דייני במתיבתא כדאתיא ואמרה לא בעינא להאי גברא וכו'. בפרק אף על פי (כז.) אחר שכתב רב אלפס דין התלמוד כתב הדין הוא דינא דגמרא אבל האידנא דייני במתיבתא וכו' וכבר כתבתי לעיל בשם כל הפוסקים אחרונים שלא התקינו הגאונים תקנה זו אלא לדורם בלבד ושעכשיו כבר בטלה תקנה זו וזהו דעת הרמב"ם ז"ל (הי"ד</w:t>
      </w:r>
      <w:r>
        <w:rPr>
          <w:rFonts w:cs="Arial" w:hint="cs"/>
          <w:rtl/>
        </w:rPr>
        <w:t>)...</w:t>
      </w:r>
      <w:r w:rsidRPr="006F6BB1">
        <w:rPr>
          <w:rFonts w:cs="Arial"/>
          <w:rtl/>
        </w:rPr>
        <w:t xml:space="preserve"> וכיון שכן יש לתמוה על רבינו שאחר שכתב דברי הרמב"ם שבדין התלמוד ראוי לדון כתב אבל הרי"ף כתב האידנא דייני במתיבתא וכו' כאילו הוא תופס דברי הרי"ף לעיקר</w:t>
      </w:r>
      <w:r>
        <w:rPr>
          <w:rFonts w:cs="Arial" w:hint="cs"/>
          <w:rtl/>
        </w:rPr>
        <w:t>,</w:t>
      </w:r>
      <w:r w:rsidRPr="006F6BB1">
        <w:rPr>
          <w:rFonts w:cs="Arial"/>
          <w:rtl/>
        </w:rPr>
        <w:t xml:space="preserve"> וכיון שנתבאר שכל הפוסקים חולקין עליו הוה ליה לסדר דבריו בהיפך</w:t>
      </w:r>
      <w:r>
        <w:rPr>
          <w:rFonts w:cs="Arial" w:hint="cs"/>
          <w:rtl/>
        </w:rPr>
        <w:t>,</w:t>
      </w:r>
      <w:r w:rsidRPr="006F6BB1">
        <w:rPr>
          <w:rFonts w:cs="Arial"/>
          <w:rtl/>
        </w:rPr>
        <w:t xml:space="preserve"> תחלה דברי הרי"ף ואחר כך אבל הרמב"ם וכו'</w:t>
      </w:r>
      <w:r>
        <w:rPr>
          <w:rFonts w:cs="Arial" w:hint="cs"/>
          <w:rtl/>
        </w:rPr>
        <w:t>.</w:t>
      </w:r>
      <w:r w:rsidRPr="006F6BB1">
        <w:rPr>
          <w:rFonts w:cs="Arial"/>
          <w:rtl/>
        </w:rPr>
        <w:t xml:space="preserve"> ונראה ש</w:t>
      </w:r>
      <w:r>
        <w:rPr>
          <w:rFonts w:hint="cs"/>
          <w:rtl/>
        </w:rPr>
        <w:t>-...</w:t>
      </w:r>
    </w:p>
  </w:footnote>
  <w:footnote w:id="1334">
    <w:p w14:paraId="6B47A9F6" w14:textId="77777777" w:rsidR="00DF1FC7" w:rsidRDefault="00DF1FC7" w:rsidP="002E5BAD">
      <w:pPr>
        <w:pStyle w:val="a5"/>
      </w:pPr>
      <w:r>
        <w:rPr>
          <w:rStyle w:val="a7"/>
        </w:rPr>
        <w:footnoteRef/>
      </w:r>
      <w:r>
        <w:rPr>
          <w:rtl/>
        </w:rPr>
        <w:t xml:space="preserve"> </w:t>
      </w:r>
      <w:r w:rsidRPr="006F6BB1">
        <w:rPr>
          <w:rFonts w:cs="Arial"/>
          <w:rtl/>
        </w:rPr>
        <w:t>דברי הר"מ בדיני מורדת בהגהות מרדכי דכתובות (סי' רצ)</w:t>
      </w:r>
      <w:r>
        <w:rPr>
          <w:rFonts w:cs="Arial" w:hint="cs"/>
          <w:rtl/>
        </w:rPr>
        <w:t>, ב"י</w:t>
      </w:r>
      <w:r w:rsidRPr="006F6BB1">
        <w:rPr>
          <w:rFonts w:cs="Arial"/>
          <w:rtl/>
        </w:rPr>
        <w:t>.</w:t>
      </w:r>
    </w:p>
  </w:footnote>
  <w:footnote w:id="1335">
    <w:p w14:paraId="37503FB9" w14:textId="77777777" w:rsidR="00DF1FC7" w:rsidRDefault="00DF1FC7" w:rsidP="002E5BAD">
      <w:pPr>
        <w:pStyle w:val="a5"/>
        <w:rPr>
          <w:rtl/>
        </w:rPr>
      </w:pPr>
      <w:r>
        <w:rPr>
          <w:rStyle w:val="a7"/>
        </w:rPr>
        <w:footnoteRef/>
      </w:r>
      <w:r>
        <w:rPr>
          <w:rtl/>
        </w:rPr>
        <w:t xml:space="preserve"> </w:t>
      </w:r>
      <w:r>
        <w:rPr>
          <w:rFonts w:cs="Arial" w:hint="cs"/>
          <w:rtl/>
        </w:rPr>
        <w:t>ו</w:t>
      </w:r>
      <w:r w:rsidRPr="006F6BB1">
        <w:rPr>
          <w:rFonts w:cs="Arial"/>
          <w:rtl/>
        </w:rPr>
        <w:t>לא לענין לכוף לגרש</w:t>
      </w:r>
      <w:r>
        <w:rPr>
          <w:rFonts w:cs="Arial" w:hint="cs"/>
          <w:rtl/>
        </w:rPr>
        <w:t>...</w:t>
      </w:r>
      <w:r w:rsidRPr="006F6BB1">
        <w:rPr>
          <w:rFonts w:cs="Arial"/>
          <w:rtl/>
        </w:rPr>
        <w:t xml:space="preserve"> וכך ביאר בתשובה </w:t>
      </w:r>
      <w:r>
        <w:rPr>
          <w:rFonts w:cs="Arial" w:hint="cs"/>
          <w:rtl/>
        </w:rPr>
        <w:t>(</w:t>
      </w:r>
      <w:r w:rsidRPr="006F6BB1">
        <w:rPr>
          <w:rFonts w:cs="Arial"/>
          <w:rtl/>
        </w:rPr>
        <w:t>כלל מג סי</w:t>
      </w:r>
      <w:r>
        <w:rPr>
          <w:rFonts w:cs="Arial" w:hint="cs"/>
          <w:rtl/>
        </w:rPr>
        <w:t>'</w:t>
      </w:r>
      <w:r w:rsidRPr="006F6BB1">
        <w:rPr>
          <w:rFonts w:cs="Arial"/>
          <w:rtl/>
        </w:rPr>
        <w:t xml:space="preserve"> א</w:t>
      </w:r>
      <w:r>
        <w:rPr>
          <w:rFonts w:cs="Arial" w:hint="cs"/>
          <w:rtl/>
        </w:rPr>
        <w:t>)</w:t>
      </w:r>
      <w:r w:rsidRPr="006F6BB1">
        <w:rPr>
          <w:rFonts w:cs="Arial"/>
          <w:rtl/>
        </w:rPr>
        <w:t xml:space="preserve"> וז"ל ור"מ בעסק מורדת בענין הממון היה דן כדינא דמתיבתא שיתנו לאשה כל מה שהכניסה אבל לא היה כופה לגרשה וקודם שיחזירו לה מה שהכניסה היה מצוה להחרים אם השיאה שום אדם עצה זו וכו' וכתב עוד הרא"ש בדינים אלו בכלל הנזכר סימן א' וט' וי' וי"ז</w:t>
      </w:r>
      <w:r>
        <w:rPr>
          <w:rFonts w:hint="cs"/>
          <w:rtl/>
        </w:rPr>
        <w:t>, ב"י.</w:t>
      </w:r>
    </w:p>
  </w:footnote>
  <w:footnote w:id="1336">
    <w:p w14:paraId="1CA971B4" w14:textId="77777777" w:rsidR="00DF1FC7" w:rsidRDefault="00DF1FC7" w:rsidP="002E5BAD">
      <w:pPr>
        <w:pStyle w:val="a5"/>
      </w:pPr>
      <w:r>
        <w:rPr>
          <w:rStyle w:val="a7"/>
        </w:rPr>
        <w:footnoteRef/>
      </w:r>
      <w:r>
        <w:rPr>
          <w:rtl/>
        </w:rPr>
        <w:t xml:space="preserve"> </w:t>
      </w:r>
      <w:r w:rsidRPr="005741DC">
        <w:rPr>
          <w:rFonts w:cs="Arial"/>
          <w:rtl/>
        </w:rPr>
        <w:t>ודוקא בנשואה אבל ארוסה שמרדה בבעלה ידונו טובי העיר ביניהם אם היא עותה עליו יתירו לו לגרשה בעל כרחה או לישא אשה אחרת וכו'</w:t>
      </w:r>
      <w:r>
        <w:rPr>
          <w:rFonts w:cs="Arial" w:hint="cs"/>
          <w:rtl/>
        </w:rPr>
        <w:t>, דרכ"מ (אות יא)</w:t>
      </w:r>
      <w:r w:rsidRPr="0026469F">
        <w:rPr>
          <w:rFonts w:cs="Arial"/>
          <w:rtl/>
        </w:rPr>
        <w:t xml:space="preserve"> </w:t>
      </w:r>
      <w:r>
        <w:rPr>
          <w:rFonts w:cs="Arial" w:hint="cs"/>
          <w:rtl/>
        </w:rPr>
        <w:t xml:space="preserve">בשם </w:t>
      </w:r>
      <w:r w:rsidRPr="005741DC">
        <w:rPr>
          <w:rFonts w:cs="Arial"/>
          <w:rtl/>
        </w:rPr>
        <w:t xml:space="preserve">מהרי"ק </w:t>
      </w:r>
      <w:r>
        <w:rPr>
          <w:rFonts w:cs="Arial" w:hint="cs"/>
          <w:rtl/>
        </w:rPr>
        <w:t>(</w:t>
      </w:r>
      <w:r w:rsidRPr="005741DC">
        <w:rPr>
          <w:rFonts w:cs="Arial"/>
          <w:rtl/>
        </w:rPr>
        <w:t>שורש סג ענף ה)</w:t>
      </w:r>
      <w:r>
        <w:rPr>
          <w:rFonts w:cs="Arial" w:hint="cs"/>
          <w:rtl/>
        </w:rPr>
        <w:t>.</w:t>
      </w:r>
      <w:r w:rsidRPr="00781C2E">
        <w:rPr>
          <w:rFonts w:cs="Arial" w:hint="cs"/>
          <w:color w:val="00B0F0"/>
          <w:rtl/>
        </w:rPr>
        <w:t xml:space="preserve"> </w:t>
      </w:r>
      <w:r w:rsidRPr="0026469F">
        <w:rPr>
          <w:rFonts w:cs="Arial" w:hint="cs"/>
          <w:color w:val="00B0F0"/>
          <w:rtl/>
        </w:rPr>
        <w:t xml:space="preserve">(וכ"פ </w:t>
      </w:r>
      <w:r>
        <w:rPr>
          <w:rFonts w:cs="Arial" w:hint="cs"/>
          <w:color w:val="00B0F0"/>
          <w:rtl/>
        </w:rPr>
        <w:t>בהגה</w:t>
      </w:r>
      <w:r w:rsidRPr="0026469F">
        <w:rPr>
          <w:rFonts w:cs="Arial" w:hint="cs"/>
          <w:color w:val="00B0F0"/>
          <w:rtl/>
        </w:rPr>
        <w:t>)</w:t>
      </w:r>
    </w:p>
  </w:footnote>
  <w:footnote w:id="1337">
    <w:p w14:paraId="2B7BC389" w14:textId="77777777" w:rsidR="00DF1FC7" w:rsidRDefault="00DF1FC7" w:rsidP="002E5BAD">
      <w:pPr>
        <w:pStyle w:val="a5"/>
        <w:rPr>
          <w:rtl/>
        </w:rPr>
      </w:pPr>
      <w:r>
        <w:rPr>
          <w:rStyle w:val="a7"/>
        </w:rPr>
        <w:footnoteRef/>
      </w:r>
      <w:r>
        <w:rPr>
          <w:rtl/>
        </w:rPr>
        <w:t xml:space="preserve"> </w:t>
      </w:r>
      <w:r w:rsidRPr="00B523E7">
        <w:rPr>
          <w:rFonts w:cs="Arial"/>
          <w:rtl/>
        </w:rPr>
        <w:t>חלק ד' של ספר התשב"ץ נקרא גם בשם החוט המשולש, על סמך העובדה שתשובותיהם של שלושה משיבים נכללות בחלק זה: רבי שלמה דוראן (טור א'), רבי שלמה סרור (צרור; טור ב') ורבי אברהם אבן טאווה (טור ג'), ראשי קהילת אלג'יריה במאה ה - 16 וכנראה כולם היו מצאצאי הרשב"ץ</w:t>
      </w:r>
      <w:r>
        <w:rPr>
          <w:rFonts w:cs="Arial" w:hint="cs"/>
          <w:sz w:val="16"/>
          <w:szCs w:val="16"/>
          <w:rtl/>
        </w:rPr>
        <w:t xml:space="preserve"> (ביוגרפיה פרויה"ש)</w:t>
      </w:r>
      <w:r w:rsidRPr="00B523E7">
        <w:rPr>
          <w:rFonts w:cs="Arial"/>
          <w:rtl/>
        </w:rPr>
        <w:t>.</w:t>
      </w:r>
      <w:r w:rsidRPr="00B523E7">
        <w:rPr>
          <w:rFonts w:cs="Arial" w:hint="cs"/>
          <w:sz w:val="16"/>
          <w:szCs w:val="16"/>
          <w:rtl/>
        </w:rPr>
        <w:t xml:space="preserve"> </w:t>
      </w:r>
      <w:r w:rsidRPr="00B523E7">
        <w:rPr>
          <w:rFonts w:cs="Arial" w:hint="cs"/>
          <w:rtl/>
        </w:rPr>
        <w:t>וכנראה לכן כתב הב"י שזו תשובת הרשב"ש</w:t>
      </w:r>
      <w:r>
        <w:rPr>
          <w:rFonts w:cs="Arial" w:hint="cs"/>
          <w:rtl/>
        </w:rPr>
        <w:t>.</w:t>
      </w:r>
    </w:p>
  </w:footnote>
  <w:footnote w:id="1338">
    <w:p w14:paraId="46091AA3" w14:textId="77777777" w:rsidR="00DF1FC7" w:rsidRDefault="00DF1FC7" w:rsidP="002E5BAD">
      <w:pPr>
        <w:pStyle w:val="a5"/>
      </w:pPr>
      <w:r>
        <w:rPr>
          <w:rStyle w:val="a7"/>
        </w:rPr>
        <w:footnoteRef/>
      </w:r>
      <w:r>
        <w:rPr>
          <w:rtl/>
        </w:rPr>
        <w:t xml:space="preserve"> </w:t>
      </w:r>
      <w:r w:rsidRPr="00A74C2B">
        <w:rPr>
          <w:rFonts w:cs="Arial"/>
          <w:rtl/>
        </w:rPr>
        <w:t>ובמגיד משנה פי"ד (ה"ח) משמע דאף אם נישאת תצא</w:t>
      </w:r>
      <w:r>
        <w:rPr>
          <w:rFonts w:cs="Arial" w:hint="cs"/>
          <w:rtl/>
        </w:rPr>
        <w:t>, דרכ"מ (אות י).</w:t>
      </w:r>
    </w:p>
  </w:footnote>
  <w:footnote w:id="1339">
    <w:p w14:paraId="664FBE12" w14:textId="77777777" w:rsidR="00DF1FC7" w:rsidRDefault="00DF1FC7" w:rsidP="002E5BAD">
      <w:pPr>
        <w:pStyle w:val="a5"/>
      </w:pPr>
      <w:r>
        <w:rPr>
          <w:rStyle w:val="a7"/>
        </w:rPr>
        <w:footnoteRef/>
      </w:r>
      <w:r w:rsidRPr="00FA71CF">
        <w:rPr>
          <w:rFonts w:cs="Arial"/>
          <w:rtl/>
        </w:rPr>
        <w:t xml:space="preserve"> וכתב הר"ן </w:t>
      </w:r>
      <w:r>
        <w:rPr>
          <w:rFonts w:cs="Arial" w:hint="cs"/>
          <w:rtl/>
        </w:rPr>
        <w:t>(</w:t>
      </w:r>
      <w:r w:rsidRPr="00FA71CF">
        <w:rPr>
          <w:rFonts w:cs="Arial"/>
          <w:rtl/>
        </w:rPr>
        <w:t>כו: ד"ה חזרו) דוקא שהתחילה למרוד קודם נדותה אבל אם לא התחילה עד תוך נדותה לא הוי מורדת</w:t>
      </w:r>
      <w:r>
        <w:rPr>
          <w:rFonts w:cs="Arial" w:hint="cs"/>
          <w:rtl/>
        </w:rPr>
        <w:t>.</w:t>
      </w:r>
      <w:r w:rsidRPr="00FA71CF">
        <w:rPr>
          <w:rFonts w:cs="Arial"/>
          <w:rtl/>
        </w:rPr>
        <w:t xml:space="preserve"> וכן הוא שם בהגהות אלפסי (אות א) וכן משמע שם במרדכי (סי' קפד) בשם ראבי"ה</w:t>
      </w:r>
      <w:r>
        <w:rPr>
          <w:rFonts w:cs="Arial" w:hint="cs"/>
          <w:rtl/>
        </w:rPr>
        <w:t>.</w:t>
      </w:r>
      <w:r w:rsidRPr="00FA71CF">
        <w:rPr>
          <w:rFonts w:cs="Arial"/>
          <w:rtl/>
        </w:rPr>
        <w:t xml:space="preserve"> אבל תשו</w:t>
      </w:r>
      <w:r>
        <w:rPr>
          <w:rFonts w:cs="Arial" w:hint="cs"/>
          <w:rtl/>
        </w:rPr>
        <w:t>'</w:t>
      </w:r>
      <w:r w:rsidRPr="00FA71CF">
        <w:rPr>
          <w:rFonts w:cs="Arial"/>
          <w:rtl/>
        </w:rPr>
        <w:t xml:space="preserve"> מוהר"ם שם דאין לחלק וכבר כתבתי למעלה סי' זה דבריהם</w:t>
      </w:r>
      <w:r>
        <w:rPr>
          <w:rFonts w:cs="Arial" w:hint="cs"/>
          <w:rtl/>
        </w:rPr>
        <w:t>, דרכ"מ (אות טו).</w:t>
      </w:r>
      <w:r w:rsidRPr="00B50B6F">
        <w:rPr>
          <w:rFonts w:hint="cs"/>
          <w:rtl/>
        </w:rPr>
        <w:t xml:space="preserve"> </w:t>
      </w:r>
      <w:r>
        <w:rPr>
          <w:rFonts w:hint="cs"/>
          <w:rtl/>
        </w:rPr>
        <w:t>ונ"ל מדברי הב"י דע"כ מיירי בשהתחילה למרוד בתוך זמן נדותה, ומכיון דאין לו פת בסלו.</w:t>
      </w:r>
    </w:p>
  </w:footnote>
  <w:footnote w:id="1340">
    <w:p w14:paraId="1C3BB718" w14:textId="77777777" w:rsidR="00DF1FC7" w:rsidRDefault="00DF1FC7" w:rsidP="002E5BAD">
      <w:pPr>
        <w:pStyle w:val="a5"/>
        <w:rPr>
          <w:rtl/>
        </w:rPr>
      </w:pPr>
      <w:r>
        <w:rPr>
          <w:rStyle w:val="a7"/>
        </w:rPr>
        <w:footnoteRef/>
      </w:r>
      <w:r>
        <w:rPr>
          <w:rtl/>
        </w:rPr>
        <w:t xml:space="preserve"> </w:t>
      </w:r>
      <w:r w:rsidRPr="00FA71CF">
        <w:rPr>
          <w:rFonts w:cs="Arial"/>
          <w:rtl/>
        </w:rPr>
        <w:t>ופשוט הוא דמיירי שהגיע זמנה ומרדה עליו וכ"כ הרמב"ם בהדיא פי"ד (הי"ב)</w:t>
      </w:r>
      <w:r>
        <w:rPr>
          <w:rFonts w:cs="Arial" w:hint="cs"/>
          <w:rtl/>
        </w:rPr>
        <w:t>, דרכ"מ (אות טז).</w:t>
      </w:r>
      <w:r>
        <w:rPr>
          <w:rFonts w:hint="cs"/>
          <w:rtl/>
        </w:rPr>
        <w:t xml:space="preserve"> לא הבנתי ממה בדברי הרמב"ם רצה הדרכ"מ להוכיח. ונ"ל מדברי הב"י דע"כ מיירי שלא הגיע זמן, ומכיון דאין לו פת בסלו.</w:t>
      </w:r>
    </w:p>
  </w:footnote>
  <w:footnote w:id="1341">
    <w:p w14:paraId="39EBE58B" w14:textId="77777777" w:rsidR="00DF1FC7" w:rsidRDefault="00DF1FC7" w:rsidP="002E5BAD">
      <w:pPr>
        <w:pStyle w:val="a5"/>
      </w:pPr>
      <w:r>
        <w:rPr>
          <w:rStyle w:val="a7"/>
        </w:rPr>
        <w:footnoteRef/>
      </w:r>
      <w:r>
        <w:rPr>
          <w:rtl/>
        </w:rPr>
        <w:t xml:space="preserve"> </w:t>
      </w:r>
      <w:r w:rsidRPr="00FA71CF">
        <w:rPr>
          <w:rFonts w:cs="Arial"/>
          <w:rtl/>
        </w:rPr>
        <w:t xml:space="preserve">וכתב הרשב"א </w:t>
      </w:r>
      <w:r>
        <w:rPr>
          <w:rFonts w:cs="Arial"/>
          <w:rtl/>
        </w:rPr>
        <w:t>(ח"א סי</w:t>
      </w:r>
      <w:r>
        <w:rPr>
          <w:rFonts w:cs="Arial" w:hint="cs"/>
          <w:rtl/>
        </w:rPr>
        <w:t>'</w:t>
      </w:r>
      <w:r>
        <w:rPr>
          <w:rFonts w:cs="Arial"/>
          <w:rtl/>
        </w:rPr>
        <w:t xml:space="preserve"> אלף רט</w:t>
      </w:r>
      <w:r>
        <w:rPr>
          <w:rFonts w:cs="Arial" w:hint="cs"/>
          <w:rtl/>
        </w:rPr>
        <w:t xml:space="preserve">) </w:t>
      </w:r>
      <w:r w:rsidRPr="00FA71CF">
        <w:rPr>
          <w:rFonts w:cs="Arial"/>
          <w:rtl/>
        </w:rPr>
        <w:t>כל זמן שלא כתב הבעל הכתובה לארוסתו איני יודע מה תוכל היא להפסיד מחמת מרדה שהרי עדיין אין לה כתובה</w:t>
      </w:r>
      <w:r>
        <w:rPr>
          <w:rFonts w:cs="Arial" w:hint="cs"/>
          <w:rtl/>
        </w:rPr>
        <w:t>, דרכ"מ (אות טז).</w:t>
      </w:r>
      <w:r>
        <w:rPr>
          <w:rFonts w:hint="cs"/>
          <w:rtl/>
        </w:rPr>
        <w:t xml:space="preserve"> וכ"כ הב"י בשם הרשב"א.</w:t>
      </w:r>
    </w:p>
  </w:footnote>
  <w:footnote w:id="1342">
    <w:p w14:paraId="29D1C676" w14:textId="77777777" w:rsidR="00DF1FC7" w:rsidRDefault="00DF1FC7" w:rsidP="002E5BAD">
      <w:pPr>
        <w:pStyle w:val="a5"/>
        <w:rPr>
          <w:rtl/>
        </w:rPr>
      </w:pPr>
      <w:r>
        <w:rPr>
          <w:rStyle w:val="a7"/>
        </w:rPr>
        <w:footnoteRef/>
      </w:r>
      <w:r>
        <w:rPr>
          <w:rtl/>
        </w:rPr>
        <w:t xml:space="preserve"> </w:t>
      </w:r>
      <w:r>
        <w:rPr>
          <w:rFonts w:cs="Arial"/>
          <w:rtl/>
        </w:rPr>
        <w:t>וכתב הרב המגיד שדין בעלה מלח נלמד מדין נדה המורדת</w:t>
      </w:r>
      <w:r>
        <w:rPr>
          <w:rFonts w:cs="Arial" w:hint="cs"/>
          <w:rtl/>
        </w:rPr>
        <w:t>.</w:t>
      </w:r>
      <w:r>
        <w:rPr>
          <w:rFonts w:cs="Arial"/>
          <w:rtl/>
        </w:rPr>
        <w:t xml:space="preserve"> ול"נ דילפינן לה מדין מלח המדיר את אשתו שאחר שבת א' יוציא ויתן כתובה משום דאינו דומה מי שיש לו פת בסלו וכו' כדאיתא בגמרא</w:t>
      </w:r>
      <w:r>
        <w:rPr>
          <w:rFonts w:cs="Arial" w:hint="cs"/>
          <w:rtl/>
        </w:rPr>
        <w:t>, ב"י.</w:t>
      </w:r>
    </w:p>
  </w:footnote>
  <w:footnote w:id="1343">
    <w:p w14:paraId="6FB762D9" w14:textId="77777777" w:rsidR="00DF1FC7" w:rsidRDefault="00DF1FC7" w:rsidP="002E5BAD">
      <w:pPr>
        <w:pStyle w:val="a5"/>
        <w:rPr>
          <w:rtl/>
        </w:rPr>
      </w:pPr>
      <w:r>
        <w:rPr>
          <w:rStyle w:val="a7"/>
        </w:rPr>
        <w:footnoteRef/>
      </w:r>
      <w:r>
        <w:rPr>
          <w:rtl/>
        </w:rPr>
        <w:t xml:space="preserve"> </w:t>
      </w:r>
      <w:r w:rsidRPr="00897A64">
        <w:rPr>
          <w:rFonts w:cs="Arial"/>
          <w:rtl/>
        </w:rPr>
        <w:t>והם הולכים לשיטתם שפוסקים מצות יבום קודמת</w:t>
      </w:r>
      <w:r>
        <w:rPr>
          <w:rFonts w:hint="cs"/>
          <w:rtl/>
        </w:rPr>
        <w:t>, טור.</w:t>
      </w:r>
    </w:p>
  </w:footnote>
  <w:footnote w:id="1344">
    <w:p w14:paraId="695811B2" w14:textId="77777777" w:rsidR="00DF1FC7" w:rsidRDefault="00DF1FC7" w:rsidP="002E5BAD">
      <w:pPr>
        <w:pStyle w:val="a5"/>
        <w:rPr>
          <w:rtl/>
        </w:rPr>
      </w:pPr>
      <w:r>
        <w:rPr>
          <w:rStyle w:val="a7"/>
        </w:rPr>
        <w:footnoteRef/>
      </w:r>
      <w:r>
        <w:rPr>
          <w:rtl/>
        </w:rPr>
        <w:t xml:space="preserve"> </w:t>
      </w:r>
      <w:r w:rsidRPr="00A74C2B">
        <w:rPr>
          <w:rFonts w:cs="Arial"/>
          <w:rtl/>
        </w:rPr>
        <w:t>וכן הוא בריב"ש סימן שס"א</w:t>
      </w:r>
      <w:r>
        <w:rPr>
          <w:rFonts w:cs="Arial" w:hint="cs"/>
          <w:rtl/>
        </w:rPr>
        <w:t>.</w:t>
      </w:r>
      <w:r w:rsidRPr="00A74C2B">
        <w:rPr>
          <w:rFonts w:cs="Arial"/>
          <w:rtl/>
        </w:rPr>
        <w:t xml:space="preserve"> וכתב עוד שאין חילוק בין אומרת מאיס עלי או בעינא ומצערנא ליה</w:t>
      </w:r>
      <w:r>
        <w:rPr>
          <w:rFonts w:cs="Arial" w:hint="cs"/>
          <w:rtl/>
        </w:rPr>
        <w:t>,</w:t>
      </w:r>
      <w:r w:rsidRPr="00A74C2B">
        <w:rPr>
          <w:rFonts w:cs="Arial"/>
          <w:rtl/>
        </w:rPr>
        <w:t xml:space="preserve"> מיהו אנן לא קיי"ל הכי דהא ס"ל מצות חליצה קודם כמו שיתבאר לקמן אי"ה</w:t>
      </w:r>
      <w:r>
        <w:rPr>
          <w:rFonts w:cs="Arial" w:hint="cs"/>
          <w:rtl/>
        </w:rPr>
        <w:t>, דרכ"מ (אות יז).</w:t>
      </w:r>
    </w:p>
  </w:footnote>
  <w:footnote w:id="1345">
    <w:p w14:paraId="72ABC509" w14:textId="77777777" w:rsidR="00DF1FC7" w:rsidRDefault="00DF1FC7" w:rsidP="002E5BAD">
      <w:pPr>
        <w:pStyle w:val="a5"/>
      </w:pPr>
      <w:r>
        <w:rPr>
          <w:rStyle w:val="a7"/>
        </w:rPr>
        <w:footnoteRef/>
      </w:r>
      <w:r>
        <w:rPr>
          <w:rtl/>
        </w:rPr>
        <w:t xml:space="preserve"> </w:t>
      </w:r>
      <w:r w:rsidRPr="00A74C2B">
        <w:rPr>
          <w:rFonts w:cs="Arial"/>
          <w:rtl/>
        </w:rPr>
        <w:t>וכן הוא בריב"ש סימן שס"א וע"ל סימן קס"ה ושם נתבארו כל דינים אלו</w:t>
      </w:r>
      <w:r>
        <w:rPr>
          <w:rFonts w:cs="Arial" w:hint="cs"/>
          <w:rtl/>
        </w:rPr>
        <w:t>, דרכ"מ (אות יח).</w:t>
      </w:r>
    </w:p>
  </w:footnote>
  <w:footnote w:id="1346">
    <w:p w14:paraId="42B2CF46" w14:textId="77777777" w:rsidR="00DF1FC7" w:rsidRDefault="00DF1FC7" w:rsidP="002E5BAD">
      <w:pPr>
        <w:pStyle w:val="a5"/>
        <w:rPr>
          <w:rtl/>
        </w:rPr>
      </w:pPr>
      <w:r>
        <w:rPr>
          <w:rStyle w:val="a7"/>
        </w:rPr>
        <w:footnoteRef/>
      </w:r>
      <w:r>
        <w:rPr>
          <w:rtl/>
        </w:rPr>
        <w:t xml:space="preserve"> </w:t>
      </w:r>
      <w:r w:rsidRPr="00CD759E">
        <w:rPr>
          <w:rFonts w:cs="Arial"/>
          <w:rtl/>
        </w:rPr>
        <w:t>עיין בתשובת הריטב"א שכתבתי בסימן ע'</w:t>
      </w:r>
      <w:r>
        <w:rPr>
          <w:rFonts w:hint="cs"/>
          <w:rtl/>
        </w:rPr>
        <w:t>, ב"י (בבדה"ב).</w:t>
      </w:r>
    </w:p>
  </w:footnote>
  <w:footnote w:id="1347">
    <w:p w14:paraId="60C68493" w14:textId="77777777" w:rsidR="00DF1FC7" w:rsidRDefault="00DF1FC7" w:rsidP="002E5BAD">
      <w:pPr>
        <w:pStyle w:val="a5"/>
      </w:pPr>
      <w:r>
        <w:rPr>
          <w:rStyle w:val="a7"/>
        </w:rPr>
        <w:footnoteRef/>
      </w:r>
      <w:r>
        <w:rPr>
          <w:rtl/>
        </w:rPr>
        <w:t xml:space="preserve"> </w:t>
      </w:r>
      <w:r w:rsidRPr="00A74C2B">
        <w:rPr>
          <w:rFonts w:cs="Arial"/>
          <w:rtl/>
        </w:rPr>
        <w:t>ו</w:t>
      </w:r>
      <w:r>
        <w:rPr>
          <w:rFonts w:cs="Arial" w:hint="cs"/>
          <w:rtl/>
        </w:rPr>
        <w:t xml:space="preserve">מהרי"ו </w:t>
      </w:r>
      <w:r w:rsidRPr="00A74C2B">
        <w:rPr>
          <w:rFonts w:cs="Arial"/>
          <w:rtl/>
        </w:rPr>
        <w:t xml:space="preserve">האריך בזה </w:t>
      </w:r>
      <w:r>
        <w:rPr>
          <w:rFonts w:cs="Arial" w:hint="cs"/>
          <w:rtl/>
        </w:rPr>
        <w:t xml:space="preserve">(שם) </w:t>
      </w:r>
      <w:r w:rsidRPr="00A74C2B">
        <w:rPr>
          <w:rFonts w:cs="Arial"/>
          <w:rtl/>
        </w:rPr>
        <w:t>ואם נתנה לו תקיעת כף להנשא מתירין לה</w:t>
      </w:r>
      <w:r>
        <w:rPr>
          <w:rFonts w:cs="Arial" w:hint="cs"/>
          <w:rtl/>
        </w:rPr>
        <w:t>, דרכ"מ (אות יב).</w:t>
      </w:r>
    </w:p>
  </w:footnote>
  <w:footnote w:id="1348">
    <w:p w14:paraId="3AD8D491" w14:textId="77777777" w:rsidR="00DF1FC7" w:rsidRDefault="00DF1FC7" w:rsidP="002E5BAD">
      <w:pPr>
        <w:pStyle w:val="a5"/>
        <w:rPr>
          <w:rtl/>
        </w:rPr>
      </w:pPr>
      <w:r>
        <w:rPr>
          <w:rStyle w:val="a7"/>
        </w:rPr>
        <w:footnoteRef/>
      </w:r>
      <w:r>
        <w:rPr>
          <w:rtl/>
        </w:rPr>
        <w:t xml:space="preserve"> </w:t>
      </w:r>
      <w:r w:rsidRPr="007F1F00">
        <w:rPr>
          <w:rFonts w:cs="Arial"/>
          <w:rtl/>
        </w:rPr>
        <w:t>ועיין תשו</w:t>
      </w:r>
      <w:r>
        <w:rPr>
          <w:rFonts w:cs="Arial" w:hint="cs"/>
          <w:rtl/>
        </w:rPr>
        <w:t>'</w:t>
      </w:r>
      <w:r w:rsidRPr="007F1F00">
        <w:rPr>
          <w:rFonts w:cs="Arial"/>
          <w:rtl/>
        </w:rPr>
        <w:t xml:space="preserve"> הריב"ש סי</w:t>
      </w:r>
      <w:r>
        <w:rPr>
          <w:rFonts w:cs="Arial" w:hint="cs"/>
          <w:rtl/>
        </w:rPr>
        <w:t>'</w:t>
      </w:r>
      <w:r w:rsidRPr="007F1F00">
        <w:rPr>
          <w:rFonts w:cs="Arial"/>
          <w:rtl/>
        </w:rPr>
        <w:t xml:space="preserve"> שס"ד ושס"ה איזה דבר מקרי תפיסה וע"ל סימן צ"ג אי תפסה שטרות אי מקרי תפיסה</w:t>
      </w:r>
      <w:r>
        <w:rPr>
          <w:rFonts w:hint="cs"/>
          <w:rtl/>
        </w:rPr>
        <w:t>, דרכ"מ (אות ו).</w:t>
      </w:r>
    </w:p>
  </w:footnote>
  <w:footnote w:id="1349">
    <w:p w14:paraId="2B5F9E5C" w14:textId="77777777" w:rsidR="00DF1FC7" w:rsidRDefault="00DF1FC7" w:rsidP="002E5BAD">
      <w:pPr>
        <w:pStyle w:val="a5"/>
        <w:rPr>
          <w:rtl/>
        </w:rPr>
      </w:pPr>
      <w:r>
        <w:rPr>
          <w:rStyle w:val="a7"/>
        </w:rPr>
        <w:footnoteRef/>
      </w:r>
      <w:r>
        <w:rPr>
          <w:rtl/>
        </w:rPr>
        <w:t xml:space="preserve"> </w:t>
      </w:r>
      <w:r>
        <w:rPr>
          <w:rFonts w:hint="cs"/>
          <w:rtl/>
        </w:rPr>
        <w:t xml:space="preserve">בחלק מהגירסאות (למשל גיר' הבאה"ט סק"כ) כתוב כאן 'וכל' במקום 'אבל לא'. אך בדרכ"מ (אות ח) כתב בשם הב"י בשם הרשב"א 'אבל לא'. וכתב </w:t>
      </w:r>
      <w:r>
        <w:rPr>
          <w:rFonts w:cs="Arial" w:hint="cs"/>
          <w:rtl/>
        </w:rPr>
        <w:t>הב"ש (סקי"ח) ש</w:t>
      </w:r>
      <w:r w:rsidRPr="00247586">
        <w:rPr>
          <w:rFonts w:cs="Arial"/>
          <w:rtl/>
        </w:rPr>
        <w:t xml:space="preserve">בטור סי' </w:t>
      </w:r>
      <w:r>
        <w:rPr>
          <w:rFonts w:cs="Arial" w:hint="cs"/>
          <w:rtl/>
        </w:rPr>
        <w:t>פ</w:t>
      </w:r>
      <w:r w:rsidRPr="00247586">
        <w:rPr>
          <w:rFonts w:cs="Arial"/>
          <w:rtl/>
        </w:rPr>
        <w:t>"ה לא משמע כן</w:t>
      </w:r>
      <w:r>
        <w:rPr>
          <w:rFonts w:cs="Arial" w:hint="cs"/>
          <w:rtl/>
        </w:rPr>
        <w:t>,</w:t>
      </w:r>
      <w:r w:rsidRPr="00247586">
        <w:rPr>
          <w:rFonts w:cs="Arial"/>
          <w:rtl/>
        </w:rPr>
        <w:t xml:space="preserve"> אלא דוק</w:t>
      </w:r>
      <w:r>
        <w:rPr>
          <w:rFonts w:cs="Arial" w:hint="cs"/>
          <w:rtl/>
        </w:rPr>
        <w:t>א</w:t>
      </w:r>
      <w:r w:rsidRPr="00247586">
        <w:rPr>
          <w:rFonts w:cs="Arial"/>
          <w:rtl/>
        </w:rPr>
        <w:t xml:space="preserve"> כשאין לה כתובה אז אין לה מתנות</w:t>
      </w:r>
      <w:r>
        <w:rPr>
          <w:rFonts w:cs="Arial" w:hint="cs"/>
          <w:rtl/>
        </w:rPr>
        <w:t>.</w:t>
      </w:r>
      <w:r>
        <w:rPr>
          <w:rFonts w:hint="cs"/>
          <w:rtl/>
        </w:rPr>
        <w:t xml:space="preserve"> ע"כ. אמנם מדברי הב"י שכתב '</w:t>
      </w:r>
      <w:r w:rsidRPr="004052A4">
        <w:rPr>
          <w:rFonts w:cs="Arial"/>
          <w:rtl/>
        </w:rPr>
        <w:t>ומשמע דתוך יב"ח לא הפסידה מה שנתן לה במתנה</w:t>
      </w:r>
      <w:r>
        <w:rPr>
          <w:rFonts w:cs="Arial" w:hint="cs"/>
          <w:rtl/>
        </w:rPr>
        <w:t>' רואים בהדיא שדעתו ליתן לה גם מה שנתן לה מתנה.</w:t>
      </w:r>
    </w:p>
  </w:footnote>
  <w:footnote w:id="1350">
    <w:p w14:paraId="0E4B078A" w14:textId="77777777" w:rsidR="00DF1FC7" w:rsidRDefault="00DF1FC7" w:rsidP="002E5BAD">
      <w:pPr>
        <w:pStyle w:val="a5"/>
      </w:pPr>
      <w:r>
        <w:rPr>
          <w:rStyle w:val="a7"/>
        </w:rPr>
        <w:footnoteRef/>
      </w:r>
      <w:r>
        <w:rPr>
          <w:rtl/>
        </w:rPr>
        <w:t xml:space="preserve"> </w:t>
      </w:r>
      <w:r w:rsidRPr="00B113CD">
        <w:rPr>
          <w:rFonts w:cs="Arial"/>
          <w:rtl/>
        </w:rPr>
        <w:t>היינו אין כופין לגרש שום אחת דהשניה אינו חייב לגרש כיון דלדעת הרמב"ן מתירין אפי' לכתחלה והראשונה אין חייב לגרש דהיא מורדת עליו וכ"כ בח"מ</w:t>
      </w:r>
      <w:r>
        <w:rPr>
          <w:rFonts w:cs="Arial" w:hint="cs"/>
          <w:rtl/>
        </w:rPr>
        <w:t>, ב"ש (סקכ"א)</w:t>
      </w:r>
    </w:p>
  </w:footnote>
  <w:footnote w:id="1351">
    <w:p w14:paraId="6F6D03FC" w14:textId="77777777" w:rsidR="00DF1FC7" w:rsidRDefault="00DF1FC7" w:rsidP="002E5BAD">
      <w:pPr>
        <w:pStyle w:val="a5"/>
      </w:pPr>
      <w:r>
        <w:rPr>
          <w:rStyle w:val="a7"/>
        </w:rPr>
        <w:footnoteRef/>
      </w:r>
      <w:r>
        <w:rPr>
          <w:rtl/>
        </w:rPr>
        <w:t xml:space="preserve"> </w:t>
      </w:r>
      <w:r w:rsidRPr="00B113CD">
        <w:rPr>
          <w:rFonts w:cs="Arial"/>
          <w:rtl/>
        </w:rPr>
        <w:t>והביאו הב"י ג"כ לעיל בסימן א'</w:t>
      </w:r>
      <w:r>
        <w:rPr>
          <w:rFonts w:cs="Arial" w:hint="cs"/>
          <w:rtl/>
        </w:rPr>
        <w:t>, באה"ג (אות נ).</w:t>
      </w:r>
    </w:p>
  </w:footnote>
  <w:footnote w:id="1352">
    <w:p w14:paraId="443EC5FE" w14:textId="77777777" w:rsidR="00DF1FC7" w:rsidRDefault="00DF1FC7" w:rsidP="002E5BAD">
      <w:pPr>
        <w:pStyle w:val="a5"/>
      </w:pPr>
      <w:r>
        <w:rPr>
          <w:rStyle w:val="a7"/>
        </w:rPr>
        <w:footnoteRef/>
      </w:r>
      <w:r>
        <w:rPr>
          <w:rtl/>
        </w:rPr>
        <w:t xml:space="preserve"> </w:t>
      </w:r>
      <w:r w:rsidRPr="00E305A0">
        <w:rPr>
          <w:rFonts w:cs="Arial"/>
          <w:rtl/>
        </w:rPr>
        <w:t>זהו אפילו בארוסה כמבואר במהרי"ק שם אם לא במקום שאין שם קידושין גמורים רק שמחמירים לגרשה עיין שם</w:t>
      </w:r>
      <w:r>
        <w:rPr>
          <w:rFonts w:cs="Arial" w:hint="cs"/>
          <w:rtl/>
        </w:rPr>
        <w:t>, ט"ז (סק"ג).</w:t>
      </w:r>
    </w:p>
  </w:footnote>
  <w:footnote w:id="1353">
    <w:p w14:paraId="373E8D65" w14:textId="77777777" w:rsidR="00DF1FC7" w:rsidRDefault="00DF1FC7" w:rsidP="002E5BAD">
      <w:pPr>
        <w:pStyle w:val="a5"/>
      </w:pPr>
      <w:r>
        <w:rPr>
          <w:rStyle w:val="a7"/>
        </w:rPr>
        <w:footnoteRef/>
      </w:r>
      <w:r>
        <w:rPr>
          <w:rtl/>
        </w:rPr>
        <w:t xml:space="preserve"> </w:t>
      </w:r>
      <w:r w:rsidRPr="00A74C2B">
        <w:rPr>
          <w:rFonts w:cs="Arial"/>
          <w:rtl/>
        </w:rPr>
        <w:t>ו</w:t>
      </w:r>
      <w:r>
        <w:rPr>
          <w:rFonts w:cs="Arial" w:hint="cs"/>
          <w:rtl/>
        </w:rPr>
        <w:t xml:space="preserve">מהרי"ו </w:t>
      </w:r>
      <w:r w:rsidRPr="00A74C2B">
        <w:rPr>
          <w:rFonts w:cs="Arial"/>
          <w:rtl/>
        </w:rPr>
        <w:t xml:space="preserve">האריך בזה </w:t>
      </w:r>
      <w:r>
        <w:rPr>
          <w:rFonts w:cs="Arial" w:hint="cs"/>
          <w:rtl/>
        </w:rPr>
        <w:t xml:space="preserve">(שם) </w:t>
      </w:r>
      <w:r w:rsidRPr="00A74C2B">
        <w:rPr>
          <w:rFonts w:cs="Arial"/>
          <w:rtl/>
        </w:rPr>
        <w:t>ואם נתנה לו תקיעת כף להנשא מתירין לה</w:t>
      </w:r>
      <w:r>
        <w:rPr>
          <w:rFonts w:cs="Arial" w:hint="cs"/>
          <w:rtl/>
        </w:rPr>
        <w:t>, דרכ"מ (אות יב).</w:t>
      </w:r>
    </w:p>
  </w:footnote>
  <w:footnote w:id="1354">
    <w:p w14:paraId="75C339A6" w14:textId="77777777" w:rsidR="00DF1FC7" w:rsidRDefault="00DF1FC7" w:rsidP="002E5BAD">
      <w:pPr>
        <w:pStyle w:val="a5"/>
        <w:rPr>
          <w:rtl/>
        </w:rPr>
      </w:pPr>
      <w:r>
        <w:rPr>
          <w:rStyle w:val="a7"/>
        </w:rPr>
        <w:footnoteRef/>
      </w:r>
      <w:r>
        <w:rPr>
          <w:rtl/>
        </w:rPr>
        <w:t xml:space="preserve"> </w:t>
      </w:r>
      <w:r w:rsidRPr="00897A64">
        <w:rPr>
          <w:rFonts w:cs="Arial"/>
          <w:rtl/>
        </w:rPr>
        <w:t>ובסימן קנ"ד כתב רבינו תשוב' הרא"ש בדיני טענת תשמיש. דין אימתי כופין לגרש ואימתי אין כופין כתב רבינו בסימן קנ"ד ובסימן קל"ד כתבתי תשובת מהרי"ק בזה</w:t>
      </w:r>
      <w:r>
        <w:rPr>
          <w:rFonts w:cs="Arial" w:hint="cs"/>
          <w:rtl/>
        </w:rPr>
        <w:t>, ב"י.</w:t>
      </w:r>
    </w:p>
  </w:footnote>
  <w:footnote w:id="1355">
    <w:p w14:paraId="5D878CF7" w14:textId="77777777" w:rsidR="00DF1FC7" w:rsidRPr="00E52E9A" w:rsidRDefault="00DF1FC7" w:rsidP="002E5BAD">
      <w:pPr>
        <w:pStyle w:val="a5"/>
        <w:rPr>
          <w:rtl/>
        </w:rPr>
      </w:pPr>
      <w:r>
        <w:rPr>
          <w:rStyle w:val="a7"/>
        </w:rPr>
        <w:footnoteRef/>
      </w:r>
      <w:r>
        <w:rPr>
          <w:rtl/>
        </w:rPr>
        <w:t xml:space="preserve"> </w:t>
      </w:r>
      <w:r w:rsidRPr="00C1620F">
        <w:rPr>
          <w:rFonts w:cs="Arial"/>
          <w:rtl/>
        </w:rPr>
        <w:t>ואני אומר שדברי רבינו הם ממה שאמרו במשנה יעשו דרך בקשה ואף על פי שבירושלמי פירש יעשו סעודה וכו' כמ"ש הר"א ז"ל בירושלמי הזכירו אחת מדרכי הפשרה והפיוס שהיא על ידי סעודה ועיקר הכוונה הוא שיתפשרו ביניהם באי זה דרך שיהיה ולזה סתם רבינו. ומ"ש הר"א ז"ל שאין כאן מקום לחרמות מפני הגנאי אני אומר שכיון שהם טוענים דברים אלו בבית דין אין חוששין לגנאי להוציא הדין לאמיתו וכבר הזכרתי בספר קניין בהרבה מקומות שלא נזכר בגמרא בשום מקום חרם סתם בביאור אבל הגאונים ז"ל כתבו כן</w:t>
      </w:r>
      <w:r>
        <w:rPr>
          <w:rFonts w:hint="cs"/>
          <w:rtl/>
        </w:rPr>
        <w:t>, הה"מ (שם).</w:t>
      </w:r>
    </w:p>
  </w:footnote>
  <w:footnote w:id="1356">
    <w:p w14:paraId="3437BCB8" w14:textId="77777777" w:rsidR="00DF1FC7" w:rsidRDefault="00DF1FC7" w:rsidP="002E5BAD">
      <w:pPr>
        <w:pStyle w:val="a5"/>
      </w:pPr>
      <w:r>
        <w:rPr>
          <w:rStyle w:val="a7"/>
        </w:rPr>
        <w:footnoteRef/>
      </w:r>
      <w:r>
        <w:rPr>
          <w:rtl/>
        </w:rPr>
        <w:t xml:space="preserve"> </w:t>
      </w:r>
      <w:r w:rsidRPr="007B74FB">
        <w:rPr>
          <w:rFonts w:cs="Arial"/>
          <w:rtl/>
        </w:rPr>
        <w:t>עיין בתשו</w:t>
      </w:r>
      <w:r>
        <w:rPr>
          <w:rFonts w:cs="Arial" w:hint="cs"/>
          <w:rtl/>
        </w:rPr>
        <w:t>'</w:t>
      </w:r>
      <w:r w:rsidRPr="007B74FB">
        <w:rPr>
          <w:rFonts w:cs="Arial"/>
          <w:rtl/>
        </w:rPr>
        <w:t xml:space="preserve"> רשב"א </w:t>
      </w:r>
      <w:r w:rsidRPr="007B74FB">
        <w:rPr>
          <w:rFonts w:cs="Arial"/>
          <w:sz w:val="16"/>
          <w:szCs w:val="16"/>
          <w:rtl/>
        </w:rPr>
        <w:t xml:space="preserve">(סי' תשעא) </w:t>
      </w:r>
      <w:r w:rsidRPr="007B74FB">
        <w:rPr>
          <w:rFonts w:cs="Arial"/>
          <w:rtl/>
        </w:rPr>
        <w:t>והביאו ב</w:t>
      </w:r>
      <w:r>
        <w:rPr>
          <w:rFonts w:cs="Arial" w:hint="cs"/>
          <w:rtl/>
        </w:rPr>
        <w:t>"י</w:t>
      </w:r>
      <w:r w:rsidRPr="007B74FB">
        <w:rPr>
          <w:rFonts w:cs="Arial"/>
          <w:rtl/>
        </w:rPr>
        <w:t xml:space="preserve"> לעיל סימן נ' </w:t>
      </w:r>
      <w:r w:rsidRPr="007B74FB">
        <w:rPr>
          <w:rFonts w:cs="Arial"/>
          <w:sz w:val="16"/>
          <w:szCs w:val="16"/>
          <w:rtl/>
        </w:rPr>
        <w:t xml:space="preserve">(עמ' תכט ד"ה כתב הרשב"א) </w:t>
      </w:r>
      <w:r w:rsidRPr="007B74FB">
        <w:rPr>
          <w:rFonts w:cs="Arial"/>
          <w:rtl/>
        </w:rPr>
        <w:t>שכתב כן אפילו נשתעבד בקנס פטור מן הקנס</w:t>
      </w:r>
      <w:r>
        <w:rPr>
          <w:rFonts w:cs="Arial" w:hint="cs"/>
          <w:rtl/>
        </w:rPr>
        <w:t>.</w:t>
      </w:r>
      <w:r w:rsidRPr="007B74FB">
        <w:rPr>
          <w:rFonts w:cs="Arial"/>
          <w:rtl/>
        </w:rPr>
        <w:t xml:space="preserve"> וכ</w:t>
      </w:r>
      <w:r>
        <w:rPr>
          <w:rFonts w:cs="Arial" w:hint="cs"/>
          <w:rtl/>
        </w:rPr>
        <w:t>"כ</w:t>
      </w:r>
      <w:r w:rsidRPr="007B74FB">
        <w:rPr>
          <w:rFonts w:cs="Arial"/>
          <w:rtl/>
        </w:rPr>
        <w:t xml:space="preserve"> רמ"א שם ע</w:t>
      </w:r>
      <w:r>
        <w:rPr>
          <w:rFonts w:cs="Arial" w:hint="cs"/>
          <w:rtl/>
        </w:rPr>
        <w:t>"</w:t>
      </w:r>
      <w:r w:rsidRPr="007B74FB">
        <w:rPr>
          <w:rFonts w:cs="Arial"/>
          <w:rtl/>
        </w:rPr>
        <w:t>ש הטעם. ויש להביא ראיה ג"כ ממ"ש בסימן ע"ז בדין טוענת מאיס עלי דמה התם שכבר נשאה ואפילו הכי צריך להחזיר הממון שהכניסה לו וליתן לה הגט דהיינו הנכסי צאן ברזל מכל שכן שאין בידינו לכוף האב לכתחלה ליתן נדוניא לבתו כדי שישאנה מאחר שטוענת מאיס עלי ומשום הכי פטור האב מן הקנס ובלבד שלא יהא רמאות בדבר</w:t>
      </w:r>
      <w:r>
        <w:rPr>
          <w:rFonts w:cs="Arial" w:hint="cs"/>
          <w:rtl/>
        </w:rPr>
        <w:t xml:space="preserve">, דרישה </w:t>
      </w:r>
      <w:r w:rsidRPr="007B74FB">
        <w:rPr>
          <w:rFonts w:cs="Arial" w:hint="cs"/>
          <w:sz w:val="16"/>
          <w:szCs w:val="16"/>
          <w:rtl/>
        </w:rPr>
        <w:t>(סי' קנד אות מ)</w:t>
      </w:r>
      <w:r>
        <w:rPr>
          <w:rFonts w:cs="Arial" w:hint="cs"/>
          <w:rtl/>
        </w:rPr>
        <w:t>.</w:t>
      </w:r>
    </w:p>
  </w:footnote>
  <w:footnote w:id="1357">
    <w:p w14:paraId="594FA247" w14:textId="77777777" w:rsidR="00DF1FC7" w:rsidRDefault="00DF1FC7" w:rsidP="002E5BAD">
      <w:pPr>
        <w:pStyle w:val="a5"/>
      </w:pPr>
      <w:r>
        <w:rPr>
          <w:rStyle w:val="a7"/>
        </w:rPr>
        <w:footnoteRef/>
      </w:r>
      <w:r>
        <w:rPr>
          <w:rtl/>
        </w:rPr>
        <w:t xml:space="preserve"> </w:t>
      </w:r>
      <w:r w:rsidRPr="00150190">
        <w:rPr>
          <w:rFonts w:cs="Arial"/>
          <w:rtl/>
        </w:rPr>
        <w:t>הנה אם היא מבררת הטענה פשיט' אין אביה חייב</w:t>
      </w:r>
      <w:r>
        <w:rPr>
          <w:rFonts w:cs="Arial" w:hint="cs"/>
          <w:rtl/>
        </w:rPr>
        <w:t>,</w:t>
      </w:r>
      <w:r w:rsidRPr="00150190">
        <w:rPr>
          <w:rFonts w:cs="Arial"/>
          <w:rtl/>
        </w:rPr>
        <w:t xml:space="preserve"> דלא גרע מנשואין דמוציאין הבעל </w:t>
      </w:r>
      <w:r>
        <w:rPr>
          <w:rFonts w:cs="Arial"/>
          <w:rtl/>
        </w:rPr>
        <w:t>נכסי צאן ברזל</w:t>
      </w:r>
      <w:r w:rsidRPr="00150190">
        <w:rPr>
          <w:rFonts w:cs="Arial"/>
          <w:rtl/>
        </w:rPr>
        <w:t xml:space="preserve"> מכ"ש דאינו חייב ליתן לו</w:t>
      </w:r>
      <w:r>
        <w:rPr>
          <w:rFonts w:cs="Arial" w:hint="cs"/>
          <w:rtl/>
        </w:rPr>
        <w:t>.</w:t>
      </w:r>
      <w:r w:rsidRPr="00150190">
        <w:rPr>
          <w:rFonts w:cs="Arial"/>
          <w:rtl/>
        </w:rPr>
        <w:t xml:space="preserve"> אלא צ"ל דאיירי דא"י לברר הטענה</w:t>
      </w:r>
      <w:r>
        <w:rPr>
          <w:rFonts w:cs="Arial" w:hint="cs"/>
          <w:rtl/>
        </w:rPr>
        <w:t>,</w:t>
      </w:r>
      <w:r w:rsidRPr="00150190">
        <w:rPr>
          <w:rFonts w:cs="Arial"/>
          <w:rtl/>
        </w:rPr>
        <w:t xml:space="preserve"> אז בנשואין אם תפסה אין מוציאים מידה ותפיס' אביה לא מהני</w:t>
      </w:r>
      <w:r>
        <w:rPr>
          <w:rFonts w:cs="Arial" w:hint="cs"/>
          <w:rtl/>
        </w:rPr>
        <w:t>,</w:t>
      </w:r>
      <w:r w:rsidRPr="00150190">
        <w:rPr>
          <w:rFonts w:cs="Arial"/>
          <w:rtl/>
        </w:rPr>
        <w:t xml:space="preserve"> וכאן שעדיין הנדוני' ביד אביה אין אביה חייב ליתן לו</w:t>
      </w:r>
      <w:r>
        <w:rPr>
          <w:rFonts w:cs="Arial" w:hint="cs"/>
          <w:rtl/>
        </w:rPr>
        <w:t>,</w:t>
      </w:r>
      <w:r w:rsidRPr="00150190">
        <w:rPr>
          <w:rFonts w:cs="Arial"/>
          <w:rtl/>
        </w:rPr>
        <w:t xml:space="preserve"> וה"ה אם היא נשואה והנדוני' עדיין ביד אביה דאינו חייב ליתן לו</w:t>
      </w:r>
      <w:r>
        <w:rPr>
          <w:rFonts w:cs="Arial" w:hint="cs"/>
          <w:rtl/>
        </w:rPr>
        <w:t>,</w:t>
      </w:r>
      <w:r w:rsidRPr="00150190">
        <w:rPr>
          <w:rFonts w:cs="Arial"/>
          <w:rtl/>
        </w:rPr>
        <w:t xml:space="preserve"> ואפי' אם נתן ש"ח ליד החתן אינו חייב לשלם לו כי דינים אלו דומי' לדינים המבוארים בסי' ג"ן במתה בתו</w:t>
      </w:r>
      <w:r>
        <w:rPr>
          <w:rFonts w:cs="Arial" w:hint="cs"/>
          <w:rtl/>
        </w:rPr>
        <w:t>.</w:t>
      </w:r>
      <w:r w:rsidRPr="00150190">
        <w:rPr>
          <w:rFonts w:cs="Arial"/>
          <w:rtl/>
        </w:rPr>
        <w:t xml:space="preserve"> ואפי' אם אומר' בעינא ליה ומצער' הדין כן כמ"ש שם</w:t>
      </w:r>
      <w:r>
        <w:rPr>
          <w:rFonts w:cs="Arial" w:hint="cs"/>
          <w:rtl/>
        </w:rPr>
        <w:t>.</w:t>
      </w:r>
      <w:r w:rsidRPr="00150190">
        <w:rPr>
          <w:rFonts w:cs="Arial"/>
          <w:rtl/>
        </w:rPr>
        <w:t xml:space="preserve"> מיהו אם נתן ממרנ"י כנהוג במדינת פולין דלא נזכר בו מי הוא המלוה אז הוי כאלו המעו' ביד החתן חייב לשלם לו כ"כ בט"ז שם</w:t>
      </w:r>
      <w:r>
        <w:rPr>
          <w:rFonts w:cs="Arial" w:hint="cs"/>
          <w:rtl/>
        </w:rPr>
        <w:t>.</w:t>
      </w:r>
      <w:r w:rsidRPr="00150190">
        <w:rPr>
          <w:rFonts w:cs="Arial"/>
          <w:rtl/>
        </w:rPr>
        <w:t xml:space="preserve"> ואם השליש הנדוניא כתבתי ג"כ שם</w:t>
      </w:r>
      <w:r>
        <w:rPr>
          <w:rFonts w:cs="Arial" w:hint="cs"/>
          <w:rtl/>
        </w:rPr>
        <w:t>.</w:t>
      </w:r>
      <w:r w:rsidRPr="00150190">
        <w:rPr>
          <w:rFonts w:cs="Arial"/>
          <w:rtl/>
        </w:rPr>
        <w:t xml:space="preserve"> ומדינים אלו נשמע מכ"ש לשדוכים שלנו אם היא ממאן אין אביה חייב ליתן לו מה שפסק</w:t>
      </w:r>
      <w:r>
        <w:rPr>
          <w:rFonts w:cs="Arial" w:hint="cs"/>
          <w:rtl/>
        </w:rPr>
        <w:t>, ב"ש (סקל"ג).</w:t>
      </w:r>
    </w:p>
  </w:footnote>
  <w:footnote w:id="1358">
    <w:p w14:paraId="5F1169EA" w14:textId="77777777" w:rsidR="00DF1FC7" w:rsidRDefault="00DF1FC7" w:rsidP="002E5BAD">
      <w:pPr>
        <w:pStyle w:val="a5"/>
        <w:rPr>
          <w:rtl/>
        </w:rPr>
      </w:pPr>
      <w:r>
        <w:rPr>
          <w:rStyle w:val="a7"/>
        </w:rPr>
        <w:footnoteRef/>
      </w:r>
      <w:r>
        <w:rPr>
          <w:rtl/>
        </w:rPr>
        <w:t xml:space="preserve"> </w:t>
      </w:r>
      <w:r w:rsidRPr="00825FED">
        <w:rPr>
          <w:rFonts w:cs="Arial"/>
          <w:rtl/>
        </w:rPr>
        <w:t>ע"ל סימן ס"ט (בד"מ אות ב*) דהוא הדין דאין שומעין לה אם אמרה איני נפדית ואיני נותן פירות</w:t>
      </w:r>
      <w:r>
        <w:rPr>
          <w:rFonts w:cs="Arial" w:hint="cs"/>
          <w:rtl/>
        </w:rPr>
        <w:t>, דרכ"מ (אות א).</w:t>
      </w:r>
    </w:p>
  </w:footnote>
  <w:footnote w:id="1359">
    <w:p w14:paraId="3A1913F8" w14:textId="77777777" w:rsidR="00DF1FC7" w:rsidRDefault="00DF1FC7" w:rsidP="002E5BAD">
      <w:pPr>
        <w:pStyle w:val="a5"/>
        <w:rPr>
          <w:rtl/>
        </w:rPr>
      </w:pPr>
      <w:r>
        <w:rPr>
          <w:rStyle w:val="a7"/>
        </w:rPr>
        <w:footnoteRef/>
      </w:r>
      <w:r>
        <w:rPr>
          <w:rtl/>
        </w:rPr>
        <w:t xml:space="preserve"> </w:t>
      </w:r>
      <w:r>
        <w:rPr>
          <w:rFonts w:cs="Arial"/>
          <w:rtl/>
        </w:rPr>
        <w:t>זה פשוט שהרי תקנה זו לטובתה נתקנה</w:t>
      </w:r>
      <w:r>
        <w:rPr>
          <w:rFonts w:hint="cs"/>
          <w:rtl/>
        </w:rPr>
        <w:t>, ב"י.</w:t>
      </w:r>
    </w:p>
  </w:footnote>
  <w:footnote w:id="1360">
    <w:p w14:paraId="6F1FE263" w14:textId="77777777" w:rsidR="00DF1FC7" w:rsidRDefault="00DF1FC7" w:rsidP="002E5BAD">
      <w:pPr>
        <w:pStyle w:val="a5"/>
      </w:pPr>
      <w:r>
        <w:rPr>
          <w:rStyle w:val="a7"/>
        </w:rPr>
        <w:footnoteRef/>
      </w:r>
      <w:r>
        <w:rPr>
          <w:rtl/>
        </w:rPr>
        <w:t xml:space="preserve"> </w:t>
      </w:r>
      <w:r w:rsidRPr="00E242D0">
        <w:rPr>
          <w:rFonts w:cs="Arial"/>
          <w:rtl/>
        </w:rPr>
        <w:t xml:space="preserve">כלומר אפי' אם אמר קודם הנישואין איני פודך ואפי' שניהם נתרצו לזה ל"מ כי היכא דלא לטמע בין העכו"ם כמ"ש בתוס' </w:t>
      </w:r>
      <w:r>
        <w:rPr>
          <w:rFonts w:cs="Arial" w:hint="cs"/>
          <w:rtl/>
        </w:rPr>
        <w:t xml:space="preserve">(כתובות מז: ד"ה זימנין) </w:t>
      </w:r>
      <w:r w:rsidRPr="00E242D0">
        <w:rPr>
          <w:rFonts w:cs="Arial"/>
          <w:rtl/>
        </w:rPr>
        <w:t>ושאר פוסקים</w:t>
      </w:r>
      <w:r>
        <w:rPr>
          <w:rFonts w:cs="Arial" w:hint="cs"/>
          <w:rtl/>
        </w:rPr>
        <w:t>, ב"ש (סק"א).</w:t>
      </w:r>
    </w:p>
  </w:footnote>
  <w:footnote w:id="1361">
    <w:p w14:paraId="353CF33D" w14:textId="77777777" w:rsidR="00DF1FC7" w:rsidRDefault="00DF1FC7" w:rsidP="002E5BAD">
      <w:pPr>
        <w:pStyle w:val="a5"/>
        <w:rPr>
          <w:rtl/>
        </w:rPr>
      </w:pPr>
      <w:r>
        <w:rPr>
          <w:rStyle w:val="a7"/>
        </w:rPr>
        <w:footnoteRef/>
      </w:r>
      <w:r>
        <w:rPr>
          <w:rtl/>
        </w:rPr>
        <w:t xml:space="preserve"> </w:t>
      </w:r>
      <w:r w:rsidRPr="00A813FA">
        <w:rPr>
          <w:rFonts w:cs="Arial"/>
          <w:rtl/>
        </w:rPr>
        <w:t>ותימה שלא זכר דברי השיטה מקובצת כתובות נ"א שכתב בהדי' בשם הריטב"א ז"ל דהא דקתני לקתה חייב לרפאותה להכי נקט לקתה ולא קתני חלתה לאשמועי' דאם חלתה בפשיעת' אינו חייב לרפאותה ע"ש</w:t>
      </w:r>
      <w:r>
        <w:rPr>
          <w:rFonts w:cs="Arial" w:hint="cs"/>
          <w:rtl/>
        </w:rPr>
        <w:t>, פת"ש (סק"א)</w:t>
      </w:r>
      <w:r w:rsidRPr="00A813FA">
        <w:rPr>
          <w:rFonts w:cs="Arial"/>
          <w:rtl/>
        </w:rPr>
        <w:t>.</w:t>
      </w:r>
    </w:p>
  </w:footnote>
  <w:footnote w:id="1362">
    <w:p w14:paraId="7E4C4DFD" w14:textId="77777777" w:rsidR="00DF1FC7" w:rsidRDefault="00DF1FC7" w:rsidP="002E5BAD">
      <w:pPr>
        <w:pStyle w:val="a5"/>
      </w:pPr>
      <w:r>
        <w:rPr>
          <w:rStyle w:val="a7"/>
        </w:rPr>
        <w:footnoteRef/>
      </w:r>
      <w:r>
        <w:rPr>
          <w:rtl/>
        </w:rPr>
        <w:t xml:space="preserve"> </w:t>
      </w:r>
      <w:r>
        <w:rPr>
          <w:rFonts w:hint="cs"/>
          <w:rtl/>
        </w:rPr>
        <w:t>כתב הקו"נ (פ"ד סי' כב אות פ) ש</w:t>
      </w:r>
      <w:r w:rsidRPr="008D61D6">
        <w:rPr>
          <w:rFonts w:cs="Arial"/>
          <w:rtl/>
        </w:rPr>
        <w:t xml:space="preserve">בברייתא </w:t>
      </w:r>
      <w:r>
        <w:rPr>
          <w:rFonts w:cs="Arial" w:hint="cs"/>
          <w:rtl/>
        </w:rPr>
        <w:t xml:space="preserve">זו (ברייתא </w:t>
      </w:r>
      <w:r w:rsidRPr="008D61D6">
        <w:rPr>
          <w:rFonts w:cs="Arial"/>
          <w:rtl/>
        </w:rPr>
        <w:t>קמייתא</w:t>
      </w:r>
      <w:r>
        <w:rPr>
          <w:rFonts w:cs="Arial" w:hint="cs"/>
          <w:rtl/>
        </w:rPr>
        <w:t>)</w:t>
      </w:r>
      <w:r w:rsidRPr="008D61D6">
        <w:rPr>
          <w:rFonts w:cs="Arial"/>
          <w:rtl/>
        </w:rPr>
        <w:t xml:space="preserve"> לא היו</w:t>
      </w:r>
      <w:r>
        <w:rPr>
          <w:rFonts w:cs="Arial" w:hint="cs"/>
          <w:rtl/>
        </w:rPr>
        <w:t xml:space="preserve"> הרי"ף והרא"ש</w:t>
      </w:r>
      <w:r w:rsidRPr="008D61D6">
        <w:rPr>
          <w:rFonts w:cs="Arial"/>
          <w:rtl/>
        </w:rPr>
        <w:t xml:space="preserve"> גורסים </w:t>
      </w:r>
      <w:r>
        <w:rPr>
          <w:rFonts w:cs="Arial" w:hint="cs"/>
          <w:rtl/>
        </w:rPr>
        <w:t>'</w:t>
      </w:r>
      <w:r w:rsidRPr="008D61D6">
        <w:rPr>
          <w:rFonts w:cs="Arial"/>
          <w:rtl/>
        </w:rPr>
        <w:t>דברי רבי</w:t>
      </w:r>
      <w:r>
        <w:rPr>
          <w:rFonts w:cs="Arial" w:hint="cs"/>
          <w:rtl/>
        </w:rPr>
        <w:t>' כמו בברייתא שלאחריה (ברייתא בתרייתא)</w:t>
      </w:r>
      <w:r w:rsidRPr="008D61D6">
        <w:rPr>
          <w:rFonts w:cs="Arial"/>
          <w:rtl/>
        </w:rPr>
        <w:t>. וכפי פירושו של הר"ן ודלא כמ"ש בעל לחם משנה פי"ד דאישות</w:t>
      </w:r>
      <w:r>
        <w:rPr>
          <w:rFonts w:cs="Arial" w:hint="cs"/>
          <w:rtl/>
        </w:rPr>
        <w:t>.</w:t>
      </w:r>
    </w:p>
  </w:footnote>
  <w:footnote w:id="1363">
    <w:p w14:paraId="5058D327" w14:textId="77777777" w:rsidR="00DF1FC7" w:rsidRDefault="00DF1FC7" w:rsidP="002E5BAD">
      <w:pPr>
        <w:pStyle w:val="a5"/>
      </w:pPr>
      <w:r>
        <w:rPr>
          <w:rStyle w:val="a7"/>
        </w:rPr>
        <w:footnoteRef/>
      </w:r>
      <w:r>
        <w:rPr>
          <w:rtl/>
        </w:rPr>
        <w:t xml:space="preserve"> </w:t>
      </w:r>
      <w:r>
        <w:rPr>
          <w:rFonts w:hint="cs"/>
          <w:rtl/>
        </w:rPr>
        <w:t>כך היא גירסת הרי"ף (יט.) הרא"ש (פ"ד סי' כב) והב"י. אך לפנינו ליתא, וגם בגירסת הגר"א [אות ה] לא היו תיבות אלו.</w:t>
      </w:r>
    </w:p>
  </w:footnote>
  <w:footnote w:id="1364">
    <w:p w14:paraId="7AA95CE6" w14:textId="77777777" w:rsidR="00DF1FC7" w:rsidRDefault="00DF1FC7" w:rsidP="002E5BAD">
      <w:pPr>
        <w:pStyle w:val="a5"/>
      </w:pPr>
      <w:r>
        <w:rPr>
          <w:rStyle w:val="a7"/>
        </w:rPr>
        <w:footnoteRef/>
      </w:r>
      <w:r>
        <w:rPr>
          <w:rtl/>
        </w:rPr>
        <w:t xml:space="preserve"> </w:t>
      </w:r>
      <w:r w:rsidRPr="00825FED">
        <w:rPr>
          <w:rFonts w:cs="Arial"/>
          <w:rtl/>
        </w:rPr>
        <w:t>כתנא קמא דהלכה כרבים</w:t>
      </w:r>
      <w:r>
        <w:rPr>
          <w:rFonts w:cs="Arial" w:hint="cs"/>
          <w:rtl/>
        </w:rPr>
        <w:t>,</w:t>
      </w:r>
      <w:r w:rsidRPr="00825FED">
        <w:rPr>
          <w:rFonts w:cs="Arial"/>
          <w:rtl/>
        </w:rPr>
        <w:t xml:space="preserve"> ומתניתין דפרק השולח איירי בשאר שבויים אבל אשתו כגופו וכמו שאדם יכול לפדות עצמו בכל ממונו אשתו נמי כיון דחייב לפדותה מתנאי כתובה כמי שיש לה ממון דמי</w:t>
      </w:r>
      <w:r>
        <w:rPr>
          <w:rFonts w:cs="Arial" w:hint="cs"/>
          <w:rtl/>
        </w:rPr>
        <w:t>,</w:t>
      </w:r>
      <w:r w:rsidRPr="00825FED">
        <w:rPr>
          <w:rFonts w:cs="Arial"/>
          <w:rtl/>
        </w:rPr>
        <w:t xml:space="preserve"> וכן מסתבר</w:t>
      </w:r>
      <w:r>
        <w:rPr>
          <w:rFonts w:cs="Arial" w:hint="cs"/>
          <w:rtl/>
        </w:rPr>
        <w:t>, רא"ש (שם).</w:t>
      </w:r>
    </w:p>
  </w:footnote>
  <w:footnote w:id="1365">
    <w:p w14:paraId="4E5DECAC" w14:textId="77777777" w:rsidR="00DF1FC7" w:rsidRDefault="00DF1FC7" w:rsidP="002E5BAD">
      <w:pPr>
        <w:pStyle w:val="a5"/>
        <w:rPr>
          <w:rtl/>
        </w:rPr>
      </w:pPr>
      <w:r>
        <w:rPr>
          <w:rStyle w:val="a7"/>
        </w:rPr>
        <w:footnoteRef/>
      </w:r>
      <w:r>
        <w:rPr>
          <w:rtl/>
        </w:rPr>
        <w:t xml:space="preserve"> </w:t>
      </w:r>
      <w:r w:rsidRPr="00825FED">
        <w:rPr>
          <w:rFonts w:cs="Arial"/>
          <w:rtl/>
        </w:rPr>
        <w:t>כרבן שמעון בן גמליאל משום דסתם מתניתין דפרק השולח (גיטין מה.) אתיא כוותיה</w:t>
      </w:r>
      <w:r>
        <w:rPr>
          <w:rFonts w:hint="cs"/>
          <w:rtl/>
        </w:rPr>
        <w:t>, ב"י.</w:t>
      </w:r>
    </w:p>
  </w:footnote>
  <w:footnote w:id="1366">
    <w:p w14:paraId="044D6BEA" w14:textId="77777777" w:rsidR="00DF1FC7" w:rsidRDefault="00DF1FC7" w:rsidP="002E5BAD">
      <w:pPr>
        <w:pStyle w:val="a5"/>
      </w:pPr>
      <w:r>
        <w:rPr>
          <w:rStyle w:val="a7"/>
        </w:rPr>
        <w:footnoteRef/>
      </w:r>
      <w:r>
        <w:rPr>
          <w:rtl/>
        </w:rPr>
        <w:t xml:space="preserve"> </w:t>
      </w:r>
      <w:r w:rsidRPr="0026573C">
        <w:rPr>
          <w:rFonts w:cs="Arial"/>
          <w:rtl/>
        </w:rPr>
        <w:t>ועיין בי</w:t>
      </w:r>
      <w:r>
        <w:rPr>
          <w:rFonts w:cs="Arial" w:hint="cs"/>
          <w:rtl/>
        </w:rPr>
        <w:t>ו</w:t>
      </w:r>
      <w:r w:rsidRPr="0026573C">
        <w:rPr>
          <w:rFonts w:cs="Arial"/>
          <w:rtl/>
        </w:rPr>
        <w:t>"ד סי' רנב שם איתא כששניהם בשביה היא קודם לפדות</w:t>
      </w:r>
      <w:r>
        <w:rPr>
          <w:rFonts w:cs="Arial" w:hint="cs"/>
          <w:rtl/>
        </w:rPr>
        <w:t>,</w:t>
      </w:r>
      <w:r w:rsidRPr="0026573C">
        <w:rPr>
          <w:rFonts w:cs="Arial"/>
          <w:rtl/>
        </w:rPr>
        <w:t xml:space="preserve"> נראה אפילו יותר מכדי דמיה היא קודם אע</w:t>
      </w:r>
      <w:r>
        <w:rPr>
          <w:rFonts w:cs="Arial" w:hint="cs"/>
          <w:rtl/>
        </w:rPr>
        <w:t>"</w:t>
      </w:r>
      <w:r w:rsidRPr="0026573C">
        <w:rPr>
          <w:rFonts w:cs="Arial"/>
          <w:rtl/>
        </w:rPr>
        <w:t>ג יותר מכדי דמיה אין היתר לפדות</w:t>
      </w:r>
      <w:r>
        <w:rPr>
          <w:rFonts w:cs="Arial" w:hint="cs"/>
          <w:rtl/>
        </w:rPr>
        <w:t>,</w:t>
      </w:r>
      <w:r w:rsidRPr="0026573C">
        <w:rPr>
          <w:rFonts w:cs="Arial"/>
          <w:rtl/>
        </w:rPr>
        <w:t xml:space="preserve"> אלא הואיל היא כגופו והוא גם כן בשביה מ"מ הואיל שמוטל עליו לפדות' חייב אפי' יותר מכדי דמיה</w:t>
      </w:r>
      <w:r>
        <w:rPr>
          <w:rFonts w:cs="Arial" w:hint="cs"/>
          <w:rtl/>
        </w:rPr>
        <w:t>, ב"ש</w:t>
      </w:r>
      <w:r w:rsidRPr="0026573C">
        <w:rPr>
          <w:rFonts w:cs="Arial" w:hint="cs"/>
          <w:sz w:val="16"/>
          <w:szCs w:val="16"/>
          <w:rtl/>
        </w:rPr>
        <w:t xml:space="preserve"> (סק"ב)</w:t>
      </w:r>
      <w:r>
        <w:rPr>
          <w:rFonts w:cs="Arial" w:hint="cs"/>
          <w:rtl/>
        </w:rPr>
        <w:t>.</w:t>
      </w:r>
    </w:p>
  </w:footnote>
  <w:footnote w:id="1367">
    <w:p w14:paraId="293192ED" w14:textId="77777777" w:rsidR="00DF1FC7" w:rsidRDefault="00DF1FC7" w:rsidP="002E5BAD">
      <w:pPr>
        <w:pStyle w:val="a5"/>
      </w:pPr>
      <w:r>
        <w:rPr>
          <w:rStyle w:val="a7"/>
        </w:rPr>
        <w:footnoteRef/>
      </w:r>
      <w:r>
        <w:rPr>
          <w:rtl/>
        </w:rPr>
        <w:t xml:space="preserve"> </w:t>
      </w:r>
      <w:r w:rsidRPr="00E877C8">
        <w:rPr>
          <w:rFonts w:cs="Arial"/>
          <w:rtl/>
        </w:rPr>
        <w:t>עיין ביורה דעה (סוף) סימן רנ"ב איש ואשתו שבויין אי ב"ד יורדין לנכסיו ופודין האשה</w:t>
      </w:r>
      <w:r>
        <w:rPr>
          <w:rFonts w:cs="Arial" w:hint="cs"/>
          <w:rtl/>
        </w:rPr>
        <w:t>, דרכ"מ (אות ב).</w:t>
      </w:r>
    </w:p>
  </w:footnote>
  <w:footnote w:id="1368">
    <w:p w14:paraId="6DDE5A4C" w14:textId="77777777" w:rsidR="00DF1FC7" w:rsidRDefault="00DF1FC7" w:rsidP="002E5BAD">
      <w:pPr>
        <w:pStyle w:val="a5"/>
      </w:pPr>
      <w:r>
        <w:rPr>
          <w:rStyle w:val="a7"/>
        </w:rPr>
        <w:footnoteRef/>
      </w:r>
      <w:r>
        <w:rPr>
          <w:rtl/>
        </w:rPr>
        <w:t xml:space="preserve"> </w:t>
      </w:r>
      <w:r w:rsidRPr="00F44CF9">
        <w:rPr>
          <w:rFonts w:cs="Arial"/>
          <w:rtl/>
        </w:rPr>
        <w:t>היינו דעת הרי"ף והרמב"ם דפסקו כרשב"ג דאין פודין את השבוי' יותר מכדי דמיהם לפ"ז אסור לפדותה יותר מכדי דמיהם והא דכתב בלשון אין מחייבים משום דאתי לאשמעי' בכדי דמיה חייב לפדות</w:t>
      </w:r>
      <w:r>
        <w:rPr>
          <w:rFonts w:cs="Arial" w:hint="cs"/>
          <w:rtl/>
        </w:rPr>
        <w:t>, ב"ש (סק"ב).</w:t>
      </w:r>
    </w:p>
  </w:footnote>
  <w:footnote w:id="1369">
    <w:p w14:paraId="063B0B67" w14:textId="77777777" w:rsidR="00DF1FC7" w:rsidRDefault="00DF1FC7" w:rsidP="002E5BAD">
      <w:pPr>
        <w:pStyle w:val="a5"/>
      </w:pPr>
      <w:r>
        <w:rPr>
          <w:rStyle w:val="a7"/>
        </w:rPr>
        <w:footnoteRef/>
      </w:r>
      <w:r>
        <w:rPr>
          <w:rtl/>
        </w:rPr>
        <w:t xml:space="preserve"> </w:t>
      </w:r>
      <w:r w:rsidRPr="00F44CF9">
        <w:rPr>
          <w:rFonts w:cs="Arial"/>
          <w:rtl/>
        </w:rPr>
        <w:t>היינו חייב לפדות כי מאחר דאין איסור בדבר מחויב הוא לפדות</w:t>
      </w:r>
      <w:r>
        <w:rPr>
          <w:rFonts w:hint="cs"/>
          <w:rtl/>
        </w:rPr>
        <w:t xml:space="preserve">, </w:t>
      </w:r>
      <w:r>
        <w:rPr>
          <w:rFonts w:cs="Arial" w:hint="cs"/>
          <w:rtl/>
        </w:rPr>
        <w:t>ב"ש (סק"ב).</w:t>
      </w:r>
      <w:r>
        <w:rPr>
          <w:rFonts w:hint="cs"/>
          <w:rtl/>
        </w:rPr>
        <w:t xml:space="preserve"> וכ"כ </w:t>
      </w:r>
      <w:r>
        <w:rPr>
          <w:rFonts w:cs="Arial" w:hint="cs"/>
          <w:rtl/>
        </w:rPr>
        <w:t xml:space="preserve">הט"ז (סק"א) </w:t>
      </w:r>
      <w:r>
        <w:rPr>
          <w:rFonts w:hint="cs"/>
          <w:rtl/>
        </w:rPr>
        <w:t>והגר"א (אות ד).</w:t>
      </w:r>
    </w:p>
  </w:footnote>
  <w:footnote w:id="1370">
    <w:p w14:paraId="22311036" w14:textId="77777777" w:rsidR="00DF1FC7" w:rsidRDefault="00DF1FC7" w:rsidP="002E5BAD">
      <w:pPr>
        <w:pStyle w:val="a5"/>
      </w:pPr>
      <w:r>
        <w:rPr>
          <w:rStyle w:val="a7"/>
        </w:rPr>
        <w:footnoteRef/>
      </w:r>
      <w:r>
        <w:rPr>
          <w:rtl/>
        </w:rPr>
        <w:t xml:space="preserve"> </w:t>
      </w:r>
      <w:r>
        <w:rPr>
          <w:rFonts w:hint="cs"/>
          <w:rtl/>
        </w:rPr>
        <w:t xml:space="preserve">והיינו בפעם הראשונה שנשבית, אבל אם נשבתה עוד פעם יתבאר משפטה בהג"ה בסע' הבא. </w:t>
      </w:r>
    </w:p>
  </w:footnote>
  <w:footnote w:id="1371">
    <w:p w14:paraId="4F47BE62" w14:textId="77777777" w:rsidR="00DF1FC7" w:rsidRDefault="00DF1FC7" w:rsidP="002E5BAD">
      <w:pPr>
        <w:pStyle w:val="a5"/>
      </w:pPr>
      <w:r>
        <w:rPr>
          <w:rStyle w:val="a7"/>
        </w:rPr>
        <w:footnoteRef/>
      </w:r>
      <w:r>
        <w:rPr>
          <w:rtl/>
        </w:rPr>
        <w:t xml:space="preserve"> </w:t>
      </w:r>
      <w:r>
        <w:rPr>
          <w:rFonts w:hint="cs"/>
          <w:rtl/>
        </w:rPr>
        <w:t>כך היא גירסת הרי"ף (יט.) הרא"ש (פ"ד סי' כב) והב"י. אך לפנינו ליתא, וגם בגירסת הגר"א [אות ה] לא היו תיבות אלו.</w:t>
      </w:r>
    </w:p>
  </w:footnote>
  <w:footnote w:id="1372">
    <w:p w14:paraId="0E5F9C7B" w14:textId="77777777" w:rsidR="00DF1FC7" w:rsidRDefault="00DF1FC7" w:rsidP="002E5BAD">
      <w:pPr>
        <w:pStyle w:val="a5"/>
      </w:pPr>
      <w:r>
        <w:rPr>
          <w:rStyle w:val="a7"/>
        </w:rPr>
        <w:footnoteRef/>
      </w:r>
      <w:r>
        <w:rPr>
          <w:rtl/>
        </w:rPr>
        <w:t xml:space="preserve"> </w:t>
      </w:r>
      <w:r>
        <w:rPr>
          <w:rFonts w:cs="Arial"/>
          <w:rtl/>
        </w:rPr>
        <w:t>ונראה דדוקא ברוצה לגרשה אבל אם אינו רוצה לגרשה אינו חייב ליתן לה כתובתה לפדות עצמה</w:t>
      </w:r>
      <w:r>
        <w:rPr>
          <w:rFonts w:cs="Arial" w:hint="cs"/>
          <w:rtl/>
        </w:rPr>
        <w:t>, ב"י.</w:t>
      </w:r>
      <w:r>
        <w:rPr>
          <w:rFonts w:hint="cs"/>
          <w:rtl/>
        </w:rPr>
        <w:t xml:space="preserve"> אך הב"ש (סק"ד) כתב </w:t>
      </w:r>
      <w:r>
        <w:rPr>
          <w:rFonts w:cs="Arial" w:hint="cs"/>
          <w:rtl/>
        </w:rPr>
        <w:t>ד</w:t>
      </w:r>
      <w:r w:rsidRPr="00A8046B">
        <w:rPr>
          <w:rFonts w:cs="Arial"/>
          <w:rtl/>
        </w:rPr>
        <w:t>יותר מסתבר לרמב"ם אם אינו רוצה לגרש חייב לפדותה אפי' בפעם השני וכ"כ בדרישה וב"ח</w:t>
      </w:r>
      <w:r>
        <w:rPr>
          <w:rFonts w:cs="Arial" w:hint="cs"/>
          <w:rtl/>
        </w:rPr>
        <w:t>.</w:t>
      </w:r>
    </w:p>
  </w:footnote>
  <w:footnote w:id="1373">
    <w:p w14:paraId="0502DD39" w14:textId="77777777" w:rsidR="00DF1FC7" w:rsidRDefault="00DF1FC7" w:rsidP="002E5BAD">
      <w:pPr>
        <w:pStyle w:val="a5"/>
        <w:rPr>
          <w:rtl/>
        </w:rPr>
      </w:pPr>
      <w:r>
        <w:rPr>
          <w:rStyle w:val="a7"/>
        </w:rPr>
        <w:footnoteRef/>
      </w:r>
      <w:r>
        <w:rPr>
          <w:rtl/>
        </w:rPr>
        <w:t xml:space="preserve"> </w:t>
      </w:r>
      <w:r w:rsidRPr="00AA5BF9">
        <w:rPr>
          <w:rFonts w:cs="Arial"/>
          <w:rtl/>
        </w:rPr>
        <w:t>כן הוא לכל הפוסקים</w:t>
      </w:r>
      <w:r>
        <w:rPr>
          <w:rFonts w:cs="Arial" w:hint="cs"/>
          <w:rtl/>
        </w:rPr>
        <w:t>,</w:t>
      </w:r>
      <w:r w:rsidRPr="00AA5BF9">
        <w:rPr>
          <w:rFonts w:cs="Arial"/>
          <w:rtl/>
        </w:rPr>
        <w:t xml:space="preserve"> אלא בש"ג פסק כרשב"ג</w:t>
      </w:r>
      <w:r>
        <w:rPr>
          <w:rFonts w:cs="Arial" w:hint="cs"/>
          <w:rtl/>
        </w:rPr>
        <w:t>.</w:t>
      </w:r>
      <w:r w:rsidRPr="00AA5BF9">
        <w:rPr>
          <w:rFonts w:cs="Arial"/>
          <w:rtl/>
        </w:rPr>
        <w:t xml:space="preserve"> וכדי דמיה היינו כפי שראוי' למכור בשוק לשפחה</w:t>
      </w:r>
      <w:r>
        <w:rPr>
          <w:rFonts w:hint="cs"/>
          <w:rtl/>
        </w:rPr>
        <w:t>, ב"ש (סק"ג).</w:t>
      </w:r>
    </w:p>
  </w:footnote>
  <w:footnote w:id="1374">
    <w:p w14:paraId="59ED9292" w14:textId="77777777" w:rsidR="00DF1FC7" w:rsidRDefault="00DF1FC7" w:rsidP="002E5BAD">
      <w:pPr>
        <w:pStyle w:val="a5"/>
        <w:rPr>
          <w:rtl/>
        </w:rPr>
      </w:pPr>
      <w:r>
        <w:rPr>
          <w:rStyle w:val="a7"/>
        </w:rPr>
        <w:footnoteRef/>
      </w:r>
      <w:r>
        <w:rPr>
          <w:rtl/>
        </w:rPr>
        <w:t xml:space="preserve"> </w:t>
      </w:r>
      <w:r w:rsidRPr="002E1473">
        <w:rPr>
          <w:rFonts w:cs="Arial"/>
          <w:rtl/>
        </w:rPr>
        <w:t>יש לדקדק מאי אתא לאשמועינן וכי עד השת' לא ידעינן שהרשות ביד האיש לגרש אשתו ומהי תיתי שלא יתן לה כתוב' כשיגרשנ'</w:t>
      </w:r>
      <w:r>
        <w:rPr>
          <w:rFonts w:cs="Arial" w:hint="cs"/>
          <w:rtl/>
        </w:rPr>
        <w:t>.</w:t>
      </w:r>
      <w:r w:rsidRPr="002E1473">
        <w:rPr>
          <w:rFonts w:cs="Arial"/>
          <w:rtl/>
        </w:rPr>
        <w:t xml:space="preserve"> ע</w:t>
      </w:r>
      <w:r>
        <w:rPr>
          <w:rFonts w:cs="Arial" w:hint="cs"/>
          <w:rtl/>
        </w:rPr>
        <w:t xml:space="preserve">ל </w:t>
      </w:r>
      <w:r w:rsidRPr="002E1473">
        <w:rPr>
          <w:rFonts w:cs="Arial"/>
          <w:rtl/>
        </w:rPr>
        <w:t>כ</w:t>
      </w:r>
      <w:r>
        <w:rPr>
          <w:rFonts w:cs="Arial" w:hint="cs"/>
          <w:rtl/>
        </w:rPr>
        <w:t>ן</w:t>
      </w:r>
      <w:r w:rsidRPr="002E1473">
        <w:rPr>
          <w:rFonts w:cs="Arial"/>
          <w:rtl/>
        </w:rPr>
        <w:t xml:space="preserve"> היה נ</w:t>
      </w:r>
      <w:r>
        <w:rPr>
          <w:rFonts w:cs="Arial" w:hint="cs"/>
          <w:rtl/>
        </w:rPr>
        <w:t>ראה</w:t>
      </w:r>
      <w:r w:rsidRPr="002E1473">
        <w:rPr>
          <w:rFonts w:cs="Arial"/>
          <w:rtl/>
        </w:rPr>
        <w:t xml:space="preserve"> דדעת הרמב"ם דאף שאין כופין אותו לפדותה פעם שנית מ"מ תוכל לו</w:t>
      </w:r>
      <w:r>
        <w:rPr>
          <w:rFonts w:cs="Arial" w:hint="cs"/>
          <w:rtl/>
        </w:rPr>
        <w:t>מר</w:t>
      </w:r>
      <w:r w:rsidRPr="002E1473">
        <w:rPr>
          <w:rFonts w:cs="Arial"/>
          <w:rtl/>
        </w:rPr>
        <w:t xml:space="preserve"> לו </w:t>
      </w:r>
      <w:r>
        <w:rPr>
          <w:rFonts w:cs="Arial" w:hint="cs"/>
          <w:rtl/>
        </w:rPr>
        <w:t>'</w:t>
      </w:r>
      <w:r w:rsidRPr="002E1473">
        <w:rPr>
          <w:rFonts w:cs="Arial"/>
          <w:rtl/>
        </w:rPr>
        <w:t>או תפדני או תגרשני ותתן לי כתובתי</w:t>
      </w:r>
      <w:r>
        <w:rPr>
          <w:rFonts w:cs="Arial" w:hint="cs"/>
          <w:rtl/>
        </w:rPr>
        <w:t>'</w:t>
      </w:r>
      <w:r w:rsidRPr="002E1473">
        <w:rPr>
          <w:rFonts w:cs="Arial"/>
          <w:rtl/>
        </w:rPr>
        <w:t xml:space="preserve"> ואחד משתים צריך לקיים לה</w:t>
      </w:r>
      <w:r>
        <w:rPr>
          <w:rFonts w:cs="Arial" w:hint="cs"/>
          <w:rtl/>
        </w:rPr>
        <w:t>.</w:t>
      </w:r>
      <w:r w:rsidRPr="002E1473">
        <w:rPr>
          <w:rFonts w:cs="Arial"/>
          <w:rtl/>
        </w:rPr>
        <w:t xml:space="preserve"> אבל הב"י לא כ</w:t>
      </w:r>
      <w:r>
        <w:rPr>
          <w:rFonts w:cs="Arial" w:hint="cs"/>
          <w:rtl/>
        </w:rPr>
        <w:t xml:space="preserve">תב </w:t>
      </w:r>
      <w:r w:rsidRPr="002E1473">
        <w:rPr>
          <w:rFonts w:cs="Arial"/>
          <w:rtl/>
        </w:rPr>
        <w:t>כך</w:t>
      </w:r>
      <w:r>
        <w:rPr>
          <w:rFonts w:cs="Arial" w:hint="cs"/>
          <w:rtl/>
        </w:rPr>
        <w:t>,</w:t>
      </w:r>
      <w:r w:rsidRPr="002E1473">
        <w:rPr>
          <w:rFonts w:cs="Arial"/>
          <w:rtl/>
        </w:rPr>
        <w:t xml:space="preserve"> וכ"כ הר' מהרמ"ה בהג"ה</w:t>
      </w:r>
      <w:r>
        <w:rPr>
          <w:rFonts w:cs="Arial" w:hint="cs"/>
          <w:rtl/>
        </w:rPr>
        <w:t>.</w:t>
      </w:r>
      <w:r w:rsidRPr="002E1473">
        <w:rPr>
          <w:rFonts w:cs="Arial"/>
          <w:rtl/>
        </w:rPr>
        <w:t xml:space="preserve"> ולי נר</w:t>
      </w:r>
      <w:r>
        <w:rPr>
          <w:rFonts w:cs="Arial" w:hint="cs"/>
          <w:rtl/>
        </w:rPr>
        <w:t>אה</w:t>
      </w:r>
      <w:r w:rsidRPr="002E1473">
        <w:rPr>
          <w:rFonts w:cs="Arial"/>
          <w:rtl/>
        </w:rPr>
        <w:t xml:space="preserve"> כמו שכתבתי</w:t>
      </w:r>
      <w:r>
        <w:rPr>
          <w:rFonts w:cs="Arial" w:hint="cs"/>
          <w:rtl/>
        </w:rPr>
        <w:t>,</w:t>
      </w:r>
      <w:r w:rsidRPr="002E1473">
        <w:rPr>
          <w:rFonts w:cs="Arial"/>
          <w:rtl/>
        </w:rPr>
        <w:t xml:space="preserve"> וכן ראיתי אחר כך בב"ח</w:t>
      </w:r>
      <w:r>
        <w:rPr>
          <w:rFonts w:hint="cs"/>
          <w:rtl/>
        </w:rPr>
        <w:t>, ח"מ (סק"ד).</w:t>
      </w:r>
      <w:r>
        <w:rPr>
          <w:rFonts w:cs="Arial" w:hint="cs"/>
          <w:rtl/>
        </w:rPr>
        <w:t xml:space="preserve"> וגם הב"ש (סק"ד) כתב שכך יותר מסתבר לפרש את דברי הרמב"ם...</w:t>
      </w:r>
      <w:r w:rsidRPr="00AA5BF9">
        <w:rPr>
          <w:rFonts w:cs="Arial"/>
          <w:rtl/>
        </w:rPr>
        <w:t xml:space="preserve"> וכ"כ בדרישה</w:t>
      </w:r>
      <w:r>
        <w:rPr>
          <w:rFonts w:cs="Arial" w:hint="cs"/>
          <w:rtl/>
        </w:rPr>
        <w:t>...</w:t>
      </w:r>
      <w:r w:rsidRPr="00AA5BF9">
        <w:rPr>
          <w:rFonts w:cs="Arial"/>
          <w:rtl/>
        </w:rPr>
        <w:t xml:space="preserve"> מיהו הפסק של הרב בהג"ה שפיר משום רש"י והרא"ש ס"ל דאינו חייב לפדותה בפעם שני</w:t>
      </w:r>
      <w:r>
        <w:rPr>
          <w:rFonts w:cs="Arial" w:hint="cs"/>
          <w:rtl/>
        </w:rPr>
        <w:t xml:space="preserve"> </w:t>
      </w:r>
      <w:r w:rsidRPr="002E1473">
        <w:rPr>
          <w:rFonts w:cs="Arial" w:hint="cs"/>
          <w:sz w:val="16"/>
          <w:szCs w:val="16"/>
          <w:rtl/>
        </w:rPr>
        <w:t>[עכ"ל הב"ש]</w:t>
      </w:r>
      <w:r>
        <w:rPr>
          <w:rFonts w:cs="Arial" w:hint="cs"/>
          <w:rtl/>
        </w:rPr>
        <w:t>.</w:t>
      </w:r>
    </w:p>
  </w:footnote>
  <w:footnote w:id="1375">
    <w:p w14:paraId="0A1CD418" w14:textId="77777777" w:rsidR="00DF1FC7" w:rsidRDefault="00DF1FC7" w:rsidP="002E5BAD">
      <w:pPr>
        <w:pStyle w:val="a5"/>
      </w:pPr>
      <w:r>
        <w:rPr>
          <w:rStyle w:val="a7"/>
        </w:rPr>
        <w:footnoteRef/>
      </w:r>
      <w:r>
        <w:rPr>
          <w:rtl/>
        </w:rPr>
        <w:t xml:space="preserve"> </w:t>
      </w:r>
      <w:r w:rsidRPr="00E877C8">
        <w:rPr>
          <w:rFonts w:cs="Arial"/>
          <w:rtl/>
        </w:rPr>
        <w:t>זה פשוט שכל מה שהוא תנאי בית דין אפילו שלא בפניו יורדין לנכסיו ובפירוש אמרו בגמרא (מח.) שיורדין לנכסיו שלא בפניו כדי לקברה ומ"ש שמוכרין בהכרזה לפי שכל מכירות בית דין הם בהכרזה ולא מיעטו מהם אלא כרגא ומזוני וקבורה כדאיתא בפרק אלמנה נזונת (ק:) וענין ההכרזה מבואר בהלכות מלוה ולוה (פי"ב ה"ח)</w:t>
      </w:r>
      <w:r>
        <w:rPr>
          <w:rFonts w:cs="Arial" w:hint="cs"/>
          <w:rtl/>
        </w:rPr>
        <w:t>, הה"מ (שם).</w:t>
      </w:r>
    </w:p>
  </w:footnote>
  <w:footnote w:id="1376">
    <w:p w14:paraId="0F014329" w14:textId="77777777" w:rsidR="00DF1FC7" w:rsidRDefault="00DF1FC7" w:rsidP="002E5BAD">
      <w:pPr>
        <w:pStyle w:val="a5"/>
        <w:rPr>
          <w:rtl/>
        </w:rPr>
      </w:pPr>
      <w:r>
        <w:rPr>
          <w:rStyle w:val="a7"/>
        </w:rPr>
        <w:footnoteRef/>
      </w:r>
      <w:r>
        <w:rPr>
          <w:rtl/>
        </w:rPr>
        <w:t xml:space="preserve"> </w:t>
      </w:r>
      <w:r w:rsidRPr="00E877C8">
        <w:rPr>
          <w:rFonts w:cs="Arial"/>
          <w:rtl/>
        </w:rPr>
        <w:t>ודבריו צ"ע</w:t>
      </w:r>
      <w:r>
        <w:rPr>
          <w:rFonts w:hint="cs"/>
          <w:rtl/>
        </w:rPr>
        <w:t>, ב"י.</w:t>
      </w:r>
    </w:p>
  </w:footnote>
  <w:footnote w:id="1377">
    <w:p w14:paraId="3E7A3657" w14:textId="77777777" w:rsidR="00DF1FC7" w:rsidRDefault="00DF1FC7" w:rsidP="002E5BAD">
      <w:pPr>
        <w:pStyle w:val="a5"/>
        <w:rPr>
          <w:rtl/>
        </w:rPr>
      </w:pPr>
      <w:r>
        <w:rPr>
          <w:rStyle w:val="a7"/>
        </w:rPr>
        <w:footnoteRef/>
      </w:r>
      <w:r>
        <w:rPr>
          <w:rtl/>
        </w:rPr>
        <w:t xml:space="preserve"> </w:t>
      </w:r>
      <w:r w:rsidRPr="00120A70">
        <w:rPr>
          <w:rFonts w:cs="Arial"/>
          <w:rtl/>
        </w:rPr>
        <w:t>ויש לתמוה על רבינו למה כתב דין זה בשם הרמב"ם כאילו מפי הרמב"ם אנו חיים בדין זה והוא דבר מבואר בגמרא פרק נערה שנתפתתה (נב.) שהוא פלוגתא דרבי אליעזר ורבי יהושע ופסק כרבי יהושע</w:t>
      </w:r>
      <w:r>
        <w:rPr>
          <w:rFonts w:cs="Arial" w:hint="cs"/>
          <w:rtl/>
        </w:rPr>
        <w:t>.</w:t>
      </w:r>
      <w:r w:rsidRPr="00120A70">
        <w:rPr>
          <w:rFonts w:cs="Arial"/>
          <w:rtl/>
        </w:rPr>
        <w:t xml:space="preserve"> ואולי שמפני שהרי"ף והרא"ש השמיטוהו כתבו בשם הרמב"ם</w:t>
      </w:r>
      <w:r>
        <w:rPr>
          <w:rFonts w:cs="Arial" w:hint="cs"/>
          <w:rtl/>
        </w:rPr>
        <w:t>.</w:t>
      </w:r>
      <w:r w:rsidRPr="00120A70">
        <w:rPr>
          <w:rFonts w:cs="Arial"/>
          <w:rtl/>
        </w:rPr>
        <w:t xml:space="preserve"> וצריך ליתן טעם למה השמיטו הרי"ף והרא"ש דין זה</w:t>
      </w:r>
      <w:r>
        <w:rPr>
          <w:rFonts w:cs="Arial" w:hint="cs"/>
          <w:rtl/>
        </w:rPr>
        <w:t>.</w:t>
      </w:r>
      <w:r w:rsidRPr="00120A70">
        <w:rPr>
          <w:rFonts w:cs="Arial"/>
          <w:rtl/>
        </w:rPr>
        <w:t xml:space="preserve"> ונראה לי לומר דמשמע להו דבכלל דברי רבא הוא דאמר כל שאיסור דבר אחר גורם לה אינו חייב לפדותה</w:t>
      </w:r>
      <w:r>
        <w:rPr>
          <w:rFonts w:cs="Arial" w:hint="cs"/>
          <w:rtl/>
        </w:rPr>
        <w:t>.</w:t>
      </w:r>
      <w:r w:rsidRPr="00120A70">
        <w:rPr>
          <w:rFonts w:cs="Arial"/>
          <w:rtl/>
        </w:rPr>
        <w:t xml:space="preserve"> </w:t>
      </w:r>
      <w:r w:rsidRPr="00891804">
        <w:rPr>
          <w:rFonts w:cs="Arial" w:hint="cs"/>
          <w:sz w:val="16"/>
          <w:szCs w:val="16"/>
          <w:rtl/>
        </w:rPr>
        <w:t>(</w:t>
      </w:r>
      <w:r w:rsidRPr="00891804">
        <w:rPr>
          <w:rFonts w:cs="Arial"/>
          <w:sz w:val="16"/>
          <w:szCs w:val="16"/>
          <w:rtl/>
        </w:rPr>
        <w:t>אבל הר"ן (יט. סוף דיבור ראשון) כתב שיש אומרים שכיון שהרי"ף השמיט זה משמע דלא ס"ל הכי</w:t>
      </w:r>
      <w:r w:rsidRPr="00891804">
        <w:rPr>
          <w:rFonts w:cs="Arial" w:hint="cs"/>
          <w:sz w:val="16"/>
          <w:szCs w:val="16"/>
          <w:rtl/>
        </w:rPr>
        <w:t>,</w:t>
      </w:r>
      <w:r w:rsidRPr="00891804">
        <w:rPr>
          <w:rFonts w:cs="Arial"/>
          <w:sz w:val="16"/>
          <w:szCs w:val="16"/>
          <w:rtl/>
        </w:rPr>
        <w:t xml:space="preserve"> וטעמא משום דבפרק המדיר פסק בנדרה היא וקיים לה הוא כמאן דאמר הוא נתן אצבע בין שיניה</w:t>
      </w:r>
      <w:r w:rsidRPr="00891804">
        <w:rPr>
          <w:rFonts w:cs="Arial" w:hint="cs"/>
          <w:sz w:val="16"/>
          <w:szCs w:val="16"/>
          <w:rtl/>
        </w:rPr>
        <w:t>,</w:t>
      </w:r>
      <w:r w:rsidRPr="00891804">
        <w:rPr>
          <w:rFonts w:cs="Arial"/>
          <w:sz w:val="16"/>
          <w:szCs w:val="16"/>
          <w:rtl/>
        </w:rPr>
        <w:t xml:space="preserve"> ובסוגיין דהכא נמי שקלינן וטרינן מעיקרא דאיהו נתן אצבע בין שיניה פודה</w:t>
      </w:r>
      <w:r w:rsidRPr="00891804">
        <w:rPr>
          <w:rFonts w:cs="Arial" w:hint="cs"/>
          <w:sz w:val="16"/>
          <w:szCs w:val="16"/>
          <w:rtl/>
        </w:rPr>
        <w:t>,</w:t>
      </w:r>
      <w:r w:rsidRPr="00891804">
        <w:rPr>
          <w:rFonts w:cs="Arial"/>
          <w:sz w:val="16"/>
          <w:szCs w:val="16"/>
          <w:rtl/>
        </w:rPr>
        <w:t xml:space="preserve"> וכיון דאית לן לעולם בנדר אפילו נדרה היא הוא נותן אצבע בין שיניה ולענין כתובה חייב</w:t>
      </w:r>
      <w:r w:rsidRPr="00891804">
        <w:rPr>
          <w:rFonts w:cs="Arial" w:hint="cs"/>
          <w:sz w:val="16"/>
          <w:szCs w:val="16"/>
          <w:rtl/>
        </w:rPr>
        <w:t>,</w:t>
      </w:r>
      <w:r w:rsidRPr="00891804">
        <w:rPr>
          <w:rFonts w:cs="Arial"/>
          <w:sz w:val="16"/>
          <w:szCs w:val="16"/>
          <w:rtl/>
        </w:rPr>
        <w:t xml:space="preserve"> הוא הדין נמי הכא דחייב לפדותה כיון שהוא נותן אצבע בין שיניה</w:t>
      </w:r>
      <w:r w:rsidRPr="00891804">
        <w:rPr>
          <w:rFonts w:cs="Arial" w:hint="cs"/>
          <w:sz w:val="16"/>
          <w:szCs w:val="16"/>
          <w:rtl/>
        </w:rPr>
        <w:t>,</w:t>
      </w:r>
      <w:r w:rsidRPr="00891804">
        <w:rPr>
          <w:rFonts w:cs="Arial"/>
          <w:sz w:val="16"/>
          <w:szCs w:val="16"/>
          <w:rtl/>
        </w:rPr>
        <w:t xml:space="preserve"> הילכך קיימא לן כרבי אלעזר דמחייב ולא מטעמיה עכ"ל</w:t>
      </w:r>
      <w:r w:rsidRPr="00891804">
        <w:rPr>
          <w:rFonts w:cs="Arial" w:hint="cs"/>
          <w:sz w:val="16"/>
          <w:szCs w:val="16"/>
          <w:rtl/>
        </w:rPr>
        <w:t>.</w:t>
      </w:r>
      <w:r w:rsidRPr="00891804">
        <w:rPr>
          <w:rFonts w:cs="Arial"/>
          <w:sz w:val="16"/>
          <w:szCs w:val="16"/>
          <w:rtl/>
        </w:rPr>
        <w:t xml:space="preserve"> וקשה לי</w:t>
      </w:r>
      <w:r w:rsidRPr="00891804">
        <w:rPr>
          <w:rFonts w:cs="Arial" w:hint="cs"/>
          <w:sz w:val="16"/>
          <w:szCs w:val="16"/>
          <w:rtl/>
        </w:rPr>
        <w:t>,</w:t>
      </w:r>
      <w:r w:rsidRPr="00891804">
        <w:rPr>
          <w:rFonts w:cs="Arial"/>
          <w:sz w:val="16"/>
          <w:szCs w:val="16"/>
          <w:rtl/>
        </w:rPr>
        <w:t xml:space="preserve"> שהרמב"ם בנדרה היא וקיים לה הוא פסק בס</w:t>
      </w:r>
      <w:r w:rsidRPr="00891804">
        <w:rPr>
          <w:rFonts w:cs="Arial" w:hint="cs"/>
          <w:sz w:val="16"/>
          <w:szCs w:val="16"/>
          <w:rtl/>
        </w:rPr>
        <w:t>"פ</w:t>
      </w:r>
      <w:r w:rsidRPr="00891804">
        <w:rPr>
          <w:rFonts w:cs="Arial"/>
          <w:sz w:val="16"/>
          <w:szCs w:val="16"/>
          <w:rtl/>
        </w:rPr>
        <w:t xml:space="preserve"> י"ב (הכ"ד) כמ"ד הוא נתן אצבע בין שיניה</w:t>
      </w:r>
      <w:r w:rsidRPr="00891804">
        <w:rPr>
          <w:rFonts w:cs="Arial" w:hint="cs"/>
          <w:sz w:val="16"/>
          <w:szCs w:val="16"/>
          <w:rtl/>
        </w:rPr>
        <w:t>,</w:t>
      </w:r>
      <w:r w:rsidRPr="00891804">
        <w:rPr>
          <w:rFonts w:cs="Arial"/>
          <w:sz w:val="16"/>
          <w:szCs w:val="16"/>
          <w:rtl/>
        </w:rPr>
        <w:t xml:space="preserve"> ובדין זה פסק בפי"ד כרבי יהושע</w:t>
      </w:r>
      <w:r w:rsidRPr="00891804">
        <w:rPr>
          <w:rFonts w:cs="Arial" w:hint="cs"/>
          <w:sz w:val="16"/>
          <w:szCs w:val="16"/>
          <w:rtl/>
        </w:rPr>
        <w:t>,</w:t>
      </w:r>
      <w:r w:rsidRPr="00891804">
        <w:rPr>
          <w:rFonts w:cs="Arial"/>
          <w:sz w:val="16"/>
          <w:szCs w:val="16"/>
          <w:rtl/>
        </w:rPr>
        <w:t xml:space="preserve"> ולפי טעם זה שכתב דבריו סותרים את דבריו</w:t>
      </w:r>
      <w:r w:rsidRPr="00891804">
        <w:rPr>
          <w:rFonts w:cs="Arial" w:hint="cs"/>
          <w:sz w:val="16"/>
          <w:szCs w:val="16"/>
          <w:rtl/>
        </w:rPr>
        <w:t>.</w:t>
      </w:r>
      <w:r w:rsidRPr="00891804">
        <w:rPr>
          <w:rFonts w:cs="Arial"/>
          <w:sz w:val="16"/>
          <w:szCs w:val="16"/>
          <w:rtl/>
        </w:rPr>
        <w:t xml:space="preserve"> ועוד דהא דאמרינן בסוגיא דאי איהו נתן אצבע בין שיניה פודה </w:t>
      </w:r>
      <w:r w:rsidRPr="00891804">
        <w:rPr>
          <w:rFonts w:cs="Arial" w:hint="cs"/>
          <w:sz w:val="16"/>
          <w:szCs w:val="16"/>
          <w:rtl/>
        </w:rPr>
        <w:t xml:space="preserve">- </w:t>
      </w:r>
      <w:r w:rsidRPr="00891804">
        <w:rPr>
          <w:rFonts w:cs="Arial"/>
          <w:sz w:val="16"/>
          <w:szCs w:val="16"/>
          <w:rtl/>
        </w:rPr>
        <w:t>בדרך דחייה איתמר כי היכי דלא נוקי לאביי ורבא כתנאי</w:t>
      </w:r>
      <w:r w:rsidRPr="00891804">
        <w:rPr>
          <w:rFonts w:cs="Arial" w:hint="cs"/>
          <w:sz w:val="16"/>
          <w:szCs w:val="16"/>
          <w:rtl/>
        </w:rPr>
        <w:t>,</w:t>
      </w:r>
      <w:r w:rsidRPr="00891804">
        <w:rPr>
          <w:rFonts w:cs="Arial"/>
          <w:sz w:val="16"/>
          <w:szCs w:val="16"/>
          <w:rtl/>
        </w:rPr>
        <w:t xml:space="preserve"> ואם כן מהי תיתי לן לקיים ההיא דחייה וליתי רבי יהושע דלא כהלכתא</w:t>
      </w:r>
      <w:r w:rsidRPr="00891804">
        <w:rPr>
          <w:rFonts w:cs="Arial" w:hint="cs"/>
          <w:sz w:val="16"/>
          <w:szCs w:val="16"/>
          <w:rtl/>
        </w:rPr>
        <w:t>,</w:t>
      </w:r>
      <w:r w:rsidRPr="00891804">
        <w:rPr>
          <w:rFonts w:cs="Arial"/>
          <w:sz w:val="16"/>
          <w:szCs w:val="16"/>
          <w:rtl/>
        </w:rPr>
        <w:t xml:space="preserve"> מוטב דנוקי לאביי ורבא כתנאי וליתי רבא כרבי יהושע דהלכתא כותייהו</w:t>
      </w:r>
      <w:r w:rsidRPr="00891804">
        <w:rPr>
          <w:rFonts w:cs="Arial" w:hint="cs"/>
          <w:sz w:val="16"/>
          <w:szCs w:val="16"/>
          <w:rtl/>
        </w:rPr>
        <w:t>.</w:t>
      </w:r>
      <w:r w:rsidRPr="00891804">
        <w:rPr>
          <w:rFonts w:cs="Arial"/>
          <w:sz w:val="16"/>
          <w:szCs w:val="16"/>
          <w:rtl/>
        </w:rPr>
        <w:t xml:space="preserve"> ועוד דההיא אוקמתא אפילו בדרך דחייה לא קמה</w:t>
      </w:r>
      <w:r w:rsidRPr="00891804">
        <w:rPr>
          <w:rFonts w:cs="Arial" w:hint="cs"/>
          <w:sz w:val="16"/>
          <w:szCs w:val="16"/>
          <w:rtl/>
        </w:rPr>
        <w:t>,</w:t>
      </w:r>
      <w:r w:rsidRPr="00891804">
        <w:rPr>
          <w:rFonts w:cs="Arial"/>
          <w:sz w:val="16"/>
          <w:szCs w:val="16"/>
          <w:rtl/>
        </w:rPr>
        <w:t xml:space="preserve"> דהא אותבוה ואסיקו </w:t>
      </w:r>
      <w:r w:rsidRPr="00891804">
        <w:rPr>
          <w:rFonts w:cs="Arial" w:hint="cs"/>
          <w:sz w:val="16"/>
          <w:szCs w:val="16"/>
          <w:rtl/>
        </w:rPr>
        <w:t>'</w:t>
      </w:r>
      <w:r w:rsidRPr="00891804">
        <w:rPr>
          <w:rFonts w:cs="Arial"/>
          <w:sz w:val="16"/>
          <w:szCs w:val="16"/>
          <w:rtl/>
        </w:rPr>
        <w:t>אלא לעולם בדאדרה איהו ואביי מתרץ לטעמיה ורבא מתרץ לטעמיה וכו'</w:t>
      </w:r>
      <w:r w:rsidRPr="00891804">
        <w:rPr>
          <w:rFonts w:cs="Arial" w:hint="cs"/>
          <w:sz w:val="16"/>
          <w:szCs w:val="16"/>
          <w:rtl/>
        </w:rPr>
        <w:t>.</w:t>
      </w:r>
      <w:r w:rsidRPr="00891804">
        <w:rPr>
          <w:rFonts w:cs="Arial"/>
          <w:sz w:val="16"/>
          <w:szCs w:val="16"/>
          <w:rtl/>
        </w:rPr>
        <w:t xml:space="preserve"> וכיון דההיא אוקמתא אפילו בדרך דחייה לא קמה לא חיישינן לה</w:t>
      </w:r>
      <w:r w:rsidRPr="00891804">
        <w:rPr>
          <w:rFonts w:cs="Arial" w:hint="cs"/>
          <w:sz w:val="16"/>
          <w:szCs w:val="16"/>
          <w:rtl/>
        </w:rPr>
        <w:t>.</w:t>
      </w:r>
      <w:r w:rsidRPr="00891804">
        <w:rPr>
          <w:rFonts w:cs="Arial"/>
          <w:sz w:val="16"/>
          <w:szCs w:val="16"/>
          <w:rtl/>
        </w:rPr>
        <w:t xml:space="preserve"> לכן נ"ל שהטעם הראשון שכתבתי עיקר</w:t>
      </w:r>
      <w:r>
        <w:rPr>
          <w:rFonts w:cs="Arial" w:hint="cs"/>
          <w:sz w:val="16"/>
          <w:szCs w:val="16"/>
          <w:rtl/>
        </w:rPr>
        <w:t>, ב"י)</w:t>
      </w:r>
      <w:r>
        <w:rPr>
          <w:rFonts w:hint="cs"/>
          <w:rtl/>
        </w:rPr>
        <w:t>.</w:t>
      </w:r>
    </w:p>
  </w:footnote>
  <w:footnote w:id="1378">
    <w:p w14:paraId="71837527" w14:textId="77777777" w:rsidR="00DF1FC7" w:rsidRDefault="00DF1FC7" w:rsidP="002E5BAD">
      <w:pPr>
        <w:pStyle w:val="a5"/>
      </w:pPr>
      <w:r>
        <w:rPr>
          <w:rStyle w:val="a7"/>
        </w:rPr>
        <w:footnoteRef/>
      </w:r>
      <w:r>
        <w:rPr>
          <w:rFonts w:cs="Arial" w:hint="cs"/>
          <w:rtl/>
        </w:rPr>
        <w:t xml:space="preserve"> </w:t>
      </w:r>
      <w:r w:rsidRPr="00B051D7">
        <w:rPr>
          <w:rFonts w:cs="Arial"/>
          <w:rtl/>
        </w:rPr>
        <w:t>אפי' אשת כהן דיכול לקיים התנאי ואהדרינן למדינתך מ"מ אינו חייב לפדותה כיון דאסורה לו מחמת דבר אחר ולא מחמת השבי</w:t>
      </w:r>
      <w:r>
        <w:rPr>
          <w:rFonts w:cs="Arial" w:hint="cs"/>
          <w:rtl/>
        </w:rPr>
        <w:t>ה כמ"ש בסמוך.</w:t>
      </w:r>
      <w:r w:rsidRPr="00B051D7">
        <w:rPr>
          <w:rFonts w:cs="Arial"/>
          <w:rtl/>
        </w:rPr>
        <w:t xml:space="preserve"> </w:t>
      </w:r>
      <w:r>
        <w:rPr>
          <w:rFonts w:cs="Arial" w:hint="cs"/>
          <w:rtl/>
        </w:rPr>
        <w:t>ו</w:t>
      </w:r>
      <w:r w:rsidRPr="002F1FC8">
        <w:rPr>
          <w:rFonts w:cs="Arial"/>
          <w:rtl/>
        </w:rPr>
        <w:t>דוקא דנשבית אחר שהדירה אבל אם היה מדיר אותה אחר שנשבית חייב לפדותה דאתי לאערומי ש"ס וכן אם נדרה היא בעת שהיתה בשביה וקיים הוא לה חייב לפדות' דקי"ל כשהוא מקיים הנדר הוא נותן אצבע בין שיניה כמ"ש בסי' ע"ד לכן חייב לפדותה כן נראה פשוט וכ"כ ב"ח ולא כש"ג</w:t>
      </w:r>
      <w:r>
        <w:rPr>
          <w:rFonts w:cs="Arial" w:hint="cs"/>
          <w:rtl/>
        </w:rPr>
        <w:t>, ב"ש (סק"ה).</w:t>
      </w:r>
      <w:r w:rsidRPr="00B051D7">
        <w:rPr>
          <w:rtl/>
        </w:rPr>
        <w:t xml:space="preserve"> </w:t>
      </w:r>
      <w:r w:rsidRPr="00B051D7">
        <w:rPr>
          <w:rFonts w:cs="Arial"/>
          <w:rtl/>
        </w:rPr>
        <w:t>ונראה לי דדוק' באשת ישראל הדין כן. אבל באשת כהן אם נדרה היא אחר שנשבתה פטור הוא מלפדותה דלאו השביה גורם אלא מחמת הנדר</w:t>
      </w:r>
      <w:r>
        <w:rPr>
          <w:rFonts w:hint="cs"/>
          <w:rtl/>
        </w:rPr>
        <w:t xml:space="preserve">, באה"ט (סק"ד). </w:t>
      </w:r>
      <w:r w:rsidRPr="00B051D7">
        <w:rPr>
          <w:rFonts w:cs="Arial"/>
          <w:rtl/>
        </w:rPr>
        <w:t>ועיין בס' ישועות יעקב סק"ב שהשיג עליו</w:t>
      </w:r>
      <w:r>
        <w:rPr>
          <w:rFonts w:cs="Arial" w:hint="cs"/>
          <w:rtl/>
        </w:rPr>
        <w:t>, פת"ש (סק"ב).</w:t>
      </w:r>
    </w:p>
  </w:footnote>
  <w:footnote w:id="1379">
    <w:p w14:paraId="5B32594B" w14:textId="77777777" w:rsidR="00DF1FC7" w:rsidRDefault="00DF1FC7" w:rsidP="002E5BAD">
      <w:pPr>
        <w:pStyle w:val="a5"/>
        <w:rPr>
          <w:rtl/>
        </w:rPr>
      </w:pPr>
      <w:r>
        <w:rPr>
          <w:rStyle w:val="a7"/>
        </w:rPr>
        <w:footnoteRef/>
      </w:r>
      <w:r>
        <w:rPr>
          <w:rtl/>
        </w:rPr>
        <w:t xml:space="preserve"> </w:t>
      </w:r>
      <w:r w:rsidRPr="00120A70">
        <w:rPr>
          <w:rFonts w:cs="Arial"/>
          <w:rtl/>
        </w:rPr>
        <w:t xml:space="preserve">וכתב הר"ן </w:t>
      </w:r>
      <w:r>
        <w:rPr>
          <w:rFonts w:cs="Arial" w:hint="cs"/>
          <w:rtl/>
        </w:rPr>
        <w:t>(</w:t>
      </w:r>
      <w:r w:rsidRPr="00120A70">
        <w:rPr>
          <w:rFonts w:cs="Arial"/>
          <w:rtl/>
        </w:rPr>
        <w:t xml:space="preserve">פרק נערה יח: סוד"ה גמ') דבמקום שאסורה לבעלה ישראל דחיישינן שמא נבעלה ברצון </w:t>
      </w:r>
      <w:r>
        <w:rPr>
          <w:rFonts w:cs="Arial" w:hint="cs"/>
          <w:rtl/>
        </w:rPr>
        <w:t xml:space="preserve">- </w:t>
      </w:r>
      <w:r w:rsidRPr="00120A70">
        <w:rPr>
          <w:rFonts w:cs="Arial"/>
          <w:rtl/>
        </w:rPr>
        <w:t>אין צריך לפדות</w:t>
      </w:r>
      <w:r>
        <w:rPr>
          <w:rFonts w:cs="Arial" w:hint="cs"/>
          <w:rtl/>
        </w:rPr>
        <w:t>,</w:t>
      </w:r>
      <w:r w:rsidRPr="00120A70">
        <w:rPr>
          <w:rFonts w:cs="Arial"/>
          <w:rtl/>
        </w:rPr>
        <w:t xml:space="preserve"> דאין השביה גורם לה אלא שנבעלה ברצון</w:t>
      </w:r>
      <w:r>
        <w:rPr>
          <w:rFonts w:cs="Arial" w:hint="cs"/>
          <w:rtl/>
        </w:rPr>
        <w:t>.</w:t>
      </w:r>
      <w:r w:rsidRPr="00120A70">
        <w:rPr>
          <w:rFonts w:cs="Arial"/>
          <w:rtl/>
        </w:rPr>
        <w:t xml:space="preserve"> וכ</w:t>
      </w:r>
      <w:r>
        <w:rPr>
          <w:rFonts w:cs="Arial" w:hint="cs"/>
          <w:rtl/>
        </w:rPr>
        <w:t>"כ רי"ו (</w:t>
      </w:r>
      <w:r w:rsidRPr="00120A70">
        <w:rPr>
          <w:rFonts w:cs="Arial"/>
          <w:rtl/>
        </w:rPr>
        <w:t>מישרים נכ"ג ח"ה</w:t>
      </w:r>
      <w:r>
        <w:rPr>
          <w:rFonts w:cs="Arial" w:hint="cs"/>
          <w:rtl/>
        </w:rPr>
        <w:t>)</w:t>
      </w:r>
      <w:r w:rsidRPr="00120A70">
        <w:rPr>
          <w:rFonts w:cs="Arial"/>
          <w:rtl/>
        </w:rPr>
        <w:t xml:space="preserve"> שהביא ב"י לעיל</w:t>
      </w:r>
      <w:r>
        <w:rPr>
          <w:rFonts w:cs="Arial" w:hint="cs"/>
          <w:rtl/>
        </w:rPr>
        <w:t>.</w:t>
      </w:r>
      <w:r w:rsidRPr="00120A70">
        <w:rPr>
          <w:rFonts w:cs="Arial"/>
          <w:rtl/>
        </w:rPr>
        <w:t xml:space="preserve"> וע"ל סימן ז' (עמ' מז-מח) אימת אסורה לבעלה ישראל</w:t>
      </w:r>
      <w:r>
        <w:rPr>
          <w:rFonts w:cs="Arial" w:hint="cs"/>
          <w:rtl/>
        </w:rPr>
        <w:t>, דרכ"מ (אות ג).</w:t>
      </w:r>
      <w:r>
        <w:rPr>
          <w:rFonts w:hint="cs"/>
          <w:rtl/>
        </w:rPr>
        <w:t xml:space="preserve"> </w:t>
      </w:r>
      <w:r w:rsidRPr="000628DF">
        <w:rPr>
          <w:rFonts w:hint="cs"/>
          <w:color w:val="00B0F0"/>
          <w:rtl/>
        </w:rPr>
        <w:t>(וכ"פ הרמ"א)</w:t>
      </w:r>
    </w:p>
  </w:footnote>
  <w:footnote w:id="1380">
    <w:p w14:paraId="35988377" w14:textId="77777777" w:rsidR="00DF1FC7" w:rsidRDefault="00DF1FC7" w:rsidP="002E5BAD">
      <w:pPr>
        <w:pStyle w:val="a5"/>
        <w:rPr>
          <w:rtl/>
        </w:rPr>
      </w:pPr>
      <w:r>
        <w:rPr>
          <w:rStyle w:val="a7"/>
        </w:rPr>
        <w:footnoteRef/>
      </w:r>
      <w:r>
        <w:rPr>
          <w:rtl/>
        </w:rPr>
        <w:t xml:space="preserve"> </w:t>
      </w:r>
      <w:r w:rsidRPr="00120A70">
        <w:rPr>
          <w:rFonts w:cs="Arial"/>
          <w:rtl/>
        </w:rPr>
        <w:t>ו</w:t>
      </w:r>
      <w:r>
        <w:rPr>
          <w:rFonts w:cs="Arial" w:hint="cs"/>
          <w:rtl/>
        </w:rPr>
        <w:t xml:space="preserve">כתב </w:t>
      </w:r>
      <w:r w:rsidRPr="00120A70">
        <w:rPr>
          <w:rFonts w:cs="Arial"/>
          <w:rtl/>
        </w:rPr>
        <w:t xml:space="preserve">הר"ן </w:t>
      </w:r>
      <w:r>
        <w:rPr>
          <w:rFonts w:cs="Arial" w:hint="cs"/>
          <w:rtl/>
        </w:rPr>
        <w:t>(</w:t>
      </w:r>
      <w:r w:rsidRPr="00120A70">
        <w:rPr>
          <w:rFonts w:cs="Arial"/>
          <w:rtl/>
        </w:rPr>
        <w:t>פ</w:t>
      </w:r>
      <w:r>
        <w:rPr>
          <w:rFonts w:cs="Arial" w:hint="cs"/>
          <w:rtl/>
        </w:rPr>
        <w:t>'</w:t>
      </w:r>
      <w:r w:rsidRPr="00120A70">
        <w:rPr>
          <w:rFonts w:cs="Arial"/>
          <w:rtl/>
        </w:rPr>
        <w:t xml:space="preserve"> אלמנה ניזונת ס. ד"ה ומזונות) מיהו אם אינו רוצה לפדותה צריך להחזיר לה הפירות שאכל</w:t>
      </w:r>
      <w:r>
        <w:rPr>
          <w:rFonts w:cs="Arial" w:hint="cs"/>
          <w:rtl/>
        </w:rPr>
        <w:t>, דרכ"מ (אות ד).</w:t>
      </w:r>
      <w:r w:rsidRPr="000628DF">
        <w:rPr>
          <w:rFonts w:hint="cs"/>
          <w:color w:val="00B0F0"/>
          <w:rtl/>
        </w:rPr>
        <w:t xml:space="preserve"> (וכ"פ הרמ"א</w:t>
      </w:r>
      <w:r>
        <w:rPr>
          <w:rFonts w:hint="cs"/>
          <w:color w:val="00B0F0"/>
          <w:sz w:val="16"/>
          <w:szCs w:val="16"/>
          <w:rtl/>
        </w:rPr>
        <w:t xml:space="preserve"> </w:t>
      </w:r>
      <w:r w:rsidRPr="000628DF">
        <w:rPr>
          <w:rFonts w:hint="cs"/>
          <w:color w:val="000000" w:themeColor="text1"/>
          <w:sz w:val="16"/>
          <w:szCs w:val="16"/>
          <w:rtl/>
        </w:rPr>
        <w:t>[</w:t>
      </w:r>
      <w:r>
        <w:rPr>
          <w:rFonts w:hint="cs"/>
          <w:color w:val="000000" w:themeColor="text1"/>
          <w:sz w:val="16"/>
          <w:szCs w:val="16"/>
          <w:rtl/>
        </w:rPr>
        <w:t>בסע' הבא</w:t>
      </w:r>
      <w:r w:rsidRPr="000628DF">
        <w:rPr>
          <w:rFonts w:hint="cs"/>
          <w:color w:val="000000" w:themeColor="text1"/>
          <w:sz w:val="16"/>
          <w:szCs w:val="16"/>
          <w:rtl/>
        </w:rPr>
        <w:t>]</w:t>
      </w:r>
      <w:r w:rsidRPr="000628DF">
        <w:rPr>
          <w:rFonts w:hint="cs"/>
          <w:color w:val="00B0F0"/>
          <w:rtl/>
        </w:rPr>
        <w:t>)</w:t>
      </w:r>
    </w:p>
  </w:footnote>
  <w:footnote w:id="1381">
    <w:p w14:paraId="36F83151" w14:textId="77777777" w:rsidR="00DF1FC7" w:rsidRDefault="00DF1FC7" w:rsidP="002E5BAD">
      <w:pPr>
        <w:pStyle w:val="a5"/>
      </w:pPr>
      <w:r>
        <w:rPr>
          <w:rStyle w:val="a7"/>
        </w:rPr>
        <w:footnoteRef/>
      </w:r>
      <w:r>
        <w:rPr>
          <w:rtl/>
        </w:rPr>
        <w:t xml:space="preserve"> </w:t>
      </w:r>
      <w:r w:rsidRPr="00371891">
        <w:rPr>
          <w:rFonts w:cs="Arial"/>
          <w:rtl/>
        </w:rPr>
        <w:t>כתב הח"מ אשת כהן שזנתה ברצון בשביה צריך לפדותה כיון דאסורה לו מיד כשנשבת ויוכל לקיים התנאי ואהדרינך למדינתך לכן אפילו אם זנתה ברצון חייב לפדותה. והב"ש כתב עליו ולא משמע כן מהסוגי' ע"ש</w:t>
      </w:r>
      <w:r>
        <w:rPr>
          <w:rFonts w:cs="Arial" w:hint="cs"/>
          <w:rtl/>
        </w:rPr>
        <w:t>, באה"ט (סק"ה).</w:t>
      </w:r>
    </w:p>
  </w:footnote>
  <w:footnote w:id="1382">
    <w:p w14:paraId="6A88B608" w14:textId="77777777" w:rsidR="00DF1FC7" w:rsidRDefault="00DF1FC7" w:rsidP="002E5BAD">
      <w:pPr>
        <w:pStyle w:val="a5"/>
      </w:pPr>
      <w:r>
        <w:rPr>
          <w:rStyle w:val="a7"/>
        </w:rPr>
        <w:footnoteRef/>
      </w:r>
      <w:r>
        <w:rPr>
          <w:rtl/>
        </w:rPr>
        <w:t xml:space="preserve"> </w:t>
      </w:r>
      <w:r w:rsidRPr="00594C06">
        <w:rPr>
          <w:rFonts w:cs="Arial"/>
          <w:rtl/>
        </w:rPr>
        <w:t>אפי' אלמנה לכ"ג וגרושה לכהן הדיוט דיכול לקיים התנאי ואהדרינך למדינתך אפ"ה אינו חייב לפדותה כיון שאיסור ד"א גרם ש"ס</w:t>
      </w:r>
      <w:r>
        <w:rPr>
          <w:rFonts w:cs="Arial" w:hint="cs"/>
          <w:rtl/>
        </w:rPr>
        <w:t>, ב"ש (סק"ח).</w:t>
      </w:r>
    </w:p>
  </w:footnote>
  <w:footnote w:id="1383">
    <w:p w14:paraId="19BC474C" w14:textId="77777777" w:rsidR="00DF1FC7" w:rsidRDefault="00DF1FC7" w:rsidP="002E5BAD">
      <w:pPr>
        <w:pStyle w:val="a5"/>
      </w:pPr>
      <w:r>
        <w:rPr>
          <w:rStyle w:val="a7"/>
        </w:rPr>
        <w:footnoteRef/>
      </w:r>
      <w:r>
        <w:rPr>
          <w:rtl/>
        </w:rPr>
        <w:t xml:space="preserve"> </w:t>
      </w:r>
      <w:r w:rsidRPr="00570589">
        <w:rPr>
          <w:rFonts w:cs="Arial"/>
          <w:rtl/>
        </w:rPr>
        <w:t>לכאורה היה נראה שמשלם דמי הפירות בזול ככל שאוכל דבר שהיה סבור שלא יצטרך לשלם כההיא דהגוזל קמא שהניח להם אביהם פרה שאולה והבנים טבחו ואכלוה דמשלמים דמי הבשר בזול אבל באמת אין זה שייך כאן דהא ידע שהוא חייב להוציא כיון שהיא אסורה עליו באיסור לאוין בעמוד והוציא קאי</w:t>
      </w:r>
      <w:r>
        <w:rPr>
          <w:rFonts w:cs="Arial" w:hint="cs"/>
          <w:rtl/>
        </w:rPr>
        <w:t>, ט"ז (סק"ג).</w:t>
      </w:r>
    </w:p>
  </w:footnote>
  <w:footnote w:id="1384">
    <w:p w14:paraId="6707E1C9" w14:textId="77777777" w:rsidR="00DF1FC7" w:rsidRDefault="00DF1FC7" w:rsidP="002E5BAD">
      <w:pPr>
        <w:pStyle w:val="a5"/>
      </w:pPr>
      <w:r>
        <w:rPr>
          <w:rStyle w:val="a7"/>
        </w:rPr>
        <w:footnoteRef/>
      </w:r>
      <w:r>
        <w:rPr>
          <w:rtl/>
        </w:rPr>
        <w:t xml:space="preserve"> </w:t>
      </w:r>
      <w:r w:rsidRPr="00594C06">
        <w:rPr>
          <w:rFonts w:cs="Arial"/>
          <w:rtl/>
        </w:rPr>
        <w:t xml:space="preserve">היינו כשנשבית צריך לשלם הפירות ולא קודם כ"כ תוס' </w:t>
      </w:r>
      <w:r w:rsidRPr="007D7CEB">
        <w:rPr>
          <w:rFonts w:cs="Arial" w:hint="cs"/>
          <w:sz w:val="16"/>
          <w:szCs w:val="16"/>
          <w:rtl/>
        </w:rPr>
        <w:t>(בכתובות [נב. ד"ה ממזרת] וביבמות [פה. אלמנה])</w:t>
      </w:r>
      <w:r>
        <w:rPr>
          <w:rFonts w:cs="Arial" w:hint="cs"/>
          <w:rtl/>
        </w:rPr>
        <w:t xml:space="preserve"> </w:t>
      </w:r>
      <w:r w:rsidRPr="00594C06">
        <w:rPr>
          <w:rFonts w:cs="Arial"/>
          <w:rtl/>
        </w:rPr>
        <w:t>ועיין סי' קי"ו</w:t>
      </w:r>
      <w:r>
        <w:rPr>
          <w:rFonts w:cs="Arial" w:hint="cs"/>
          <w:rtl/>
        </w:rPr>
        <w:t>..., ב"ש (סק"ט).</w:t>
      </w:r>
    </w:p>
  </w:footnote>
  <w:footnote w:id="1385">
    <w:p w14:paraId="346DB82F" w14:textId="77777777" w:rsidR="00DF1FC7" w:rsidRDefault="00DF1FC7" w:rsidP="002E5BAD">
      <w:pPr>
        <w:pStyle w:val="a5"/>
      </w:pPr>
      <w:r>
        <w:rPr>
          <w:rStyle w:val="a7"/>
        </w:rPr>
        <w:footnoteRef/>
      </w:r>
      <w:r>
        <w:rPr>
          <w:rtl/>
        </w:rPr>
        <w:t xml:space="preserve"> </w:t>
      </w:r>
      <w:r w:rsidRPr="00432ED2">
        <w:rPr>
          <w:rFonts w:cs="Arial"/>
          <w:rtl/>
        </w:rPr>
        <w:t>ונראה מדלא מצינו חלוק בזה בין אשת כהן לאשת ישראל</w:t>
      </w:r>
      <w:r>
        <w:rPr>
          <w:rFonts w:cs="Arial" w:hint="cs"/>
          <w:rtl/>
        </w:rPr>
        <w:t>,</w:t>
      </w:r>
      <w:r w:rsidRPr="00432ED2">
        <w:rPr>
          <w:rFonts w:cs="Arial"/>
          <w:rtl/>
        </w:rPr>
        <w:t xml:space="preserve"> ש"מ התנאי לא תקנו ביבם</w:t>
      </w:r>
      <w:r>
        <w:rPr>
          <w:rFonts w:cs="Arial" w:hint="cs"/>
          <w:rtl/>
        </w:rPr>
        <w:t>,</w:t>
      </w:r>
      <w:r w:rsidRPr="00432ED2">
        <w:rPr>
          <w:rFonts w:cs="Arial"/>
          <w:rtl/>
        </w:rPr>
        <w:t xml:space="preserve"> לכן אפי' באשת כהן דיכול לקיים התנאי פטור לפדותה</w:t>
      </w:r>
      <w:r>
        <w:rPr>
          <w:rFonts w:cs="Arial" w:hint="cs"/>
          <w:rtl/>
        </w:rPr>
        <w:t>, ב"ש (סקי"א).</w:t>
      </w:r>
    </w:p>
  </w:footnote>
  <w:footnote w:id="1386">
    <w:p w14:paraId="703FA695" w14:textId="77777777" w:rsidR="00DF1FC7" w:rsidRDefault="00DF1FC7" w:rsidP="002E5BAD">
      <w:pPr>
        <w:pStyle w:val="a5"/>
      </w:pPr>
      <w:r>
        <w:rPr>
          <w:rStyle w:val="a7"/>
        </w:rPr>
        <w:footnoteRef/>
      </w:r>
      <w:r>
        <w:rPr>
          <w:rtl/>
        </w:rPr>
        <w:t xml:space="preserve"> </w:t>
      </w:r>
      <w:r w:rsidRPr="00594C06">
        <w:rPr>
          <w:rFonts w:cs="Arial"/>
          <w:rtl/>
        </w:rPr>
        <w:t>שאין אני קורא בה ואותבינך לי לאנתו</w:t>
      </w:r>
      <w:r>
        <w:rPr>
          <w:rFonts w:cs="Arial" w:hint="cs"/>
          <w:rtl/>
        </w:rPr>
        <w:t>.</w:t>
      </w:r>
      <w:r w:rsidRPr="00594C06">
        <w:rPr>
          <w:rFonts w:cs="Arial"/>
          <w:rtl/>
        </w:rPr>
        <w:t xml:space="preserve"> ונראה שאין היורשין צריכין להחזיר הפירות שאכל הבעל</w:t>
      </w:r>
      <w:r>
        <w:rPr>
          <w:rFonts w:cs="Arial" w:hint="cs"/>
          <w:rtl/>
        </w:rPr>
        <w:t>,</w:t>
      </w:r>
      <w:r w:rsidRPr="00594C06">
        <w:rPr>
          <w:rFonts w:cs="Arial"/>
          <w:rtl/>
        </w:rPr>
        <w:t xml:space="preserve"> דמזל רע שלה הוא כשמת הבעל קודם שפדאה והוא כדין אכל</w:t>
      </w:r>
      <w:r>
        <w:rPr>
          <w:rFonts w:cs="Arial" w:hint="cs"/>
          <w:rtl/>
        </w:rPr>
        <w:t>.</w:t>
      </w:r>
      <w:r w:rsidRPr="00594C06">
        <w:rPr>
          <w:rFonts w:cs="Arial"/>
          <w:rtl/>
        </w:rPr>
        <w:t xml:space="preserve"> אבל היורשים אין להם פירות</w:t>
      </w:r>
      <w:r>
        <w:rPr>
          <w:rFonts w:cs="Arial" w:hint="cs"/>
          <w:rtl/>
        </w:rPr>
        <w:t>,</w:t>
      </w:r>
      <w:r w:rsidRPr="00594C06">
        <w:rPr>
          <w:rFonts w:cs="Arial"/>
          <w:rtl/>
        </w:rPr>
        <w:t xml:space="preserve"> מאחר שאין חייבים לפדותה</w:t>
      </w:r>
      <w:r>
        <w:rPr>
          <w:rFonts w:cs="Arial" w:hint="cs"/>
          <w:rtl/>
        </w:rPr>
        <w:t>.</w:t>
      </w:r>
      <w:r w:rsidRPr="00594C06">
        <w:rPr>
          <w:rFonts w:cs="Arial"/>
          <w:rtl/>
        </w:rPr>
        <w:t xml:space="preserve"> וכן הוא בסי' צ"ה</w:t>
      </w:r>
      <w:r>
        <w:rPr>
          <w:rFonts w:hint="cs"/>
          <w:rtl/>
        </w:rPr>
        <w:t>, ח"מ (סקי"א).</w:t>
      </w:r>
    </w:p>
  </w:footnote>
  <w:footnote w:id="1387">
    <w:p w14:paraId="54E69538" w14:textId="77777777" w:rsidR="00DF1FC7" w:rsidRDefault="00DF1FC7" w:rsidP="002E5BAD">
      <w:pPr>
        <w:pStyle w:val="a5"/>
      </w:pPr>
      <w:r>
        <w:rPr>
          <w:rStyle w:val="a7"/>
        </w:rPr>
        <w:footnoteRef/>
      </w:r>
      <w:r>
        <w:rPr>
          <w:rtl/>
        </w:rPr>
        <w:t xml:space="preserve"> </w:t>
      </w:r>
      <w:r w:rsidRPr="00FB5C17">
        <w:rPr>
          <w:rFonts w:cs="Arial"/>
          <w:rtl/>
        </w:rPr>
        <w:t>ואם צריכה רפואה הרי הרפואה כמזונות דתרווייהו חיותא נינהו</w:t>
      </w:r>
      <w:r>
        <w:rPr>
          <w:rFonts w:cs="Arial" w:hint="cs"/>
          <w:rtl/>
        </w:rPr>
        <w:t>, רש"י</w:t>
      </w:r>
      <w:r w:rsidRPr="00FB5C17">
        <w:rPr>
          <w:rFonts w:cs="Arial"/>
          <w:rtl/>
        </w:rPr>
        <w:t>.</w:t>
      </w:r>
    </w:p>
  </w:footnote>
  <w:footnote w:id="1388">
    <w:p w14:paraId="2CF75F2F" w14:textId="77777777" w:rsidR="00DF1FC7" w:rsidRDefault="00DF1FC7" w:rsidP="002E5BAD">
      <w:pPr>
        <w:pStyle w:val="a5"/>
      </w:pPr>
      <w:r>
        <w:rPr>
          <w:rStyle w:val="a7"/>
        </w:rPr>
        <w:footnoteRef/>
      </w:r>
      <w:r>
        <w:rPr>
          <w:rtl/>
        </w:rPr>
        <w:t xml:space="preserve"> </w:t>
      </w:r>
      <w:r w:rsidRPr="00293DC3">
        <w:rPr>
          <w:rFonts w:cs="Arial"/>
          <w:rtl/>
        </w:rPr>
        <w:t>מזונות אין להם קצבה - הלכך רפואה שיש לה קצבה שאינה חולה תדיר אינה בכלל מזונות</w:t>
      </w:r>
      <w:r>
        <w:rPr>
          <w:rFonts w:cs="Arial" w:hint="cs"/>
          <w:rtl/>
        </w:rPr>
        <w:t>, רש"י.</w:t>
      </w:r>
    </w:p>
  </w:footnote>
  <w:footnote w:id="1389">
    <w:p w14:paraId="290B5FBF" w14:textId="77777777" w:rsidR="00DF1FC7" w:rsidRDefault="00DF1FC7" w:rsidP="002E5BAD">
      <w:pPr>
        <w:pStyle w:val="a5"/>
      </w:pPr>
      <w:r>
        <w:rPr>
          <w:rStyle w:val="a7"/>
        </w:rPr>
        <w:footnoteRef/>
      </w:r>
      <w:r>
        <w:rPr>
          <w:rtl/>
        </w:rPr>
        <w:t xml:space="preserve"> </w:t>
      </w:r>
      <w:r w:rsidRPr="00293DC3">
        <w:rPr>
          <w:rFonts w:cs="Arial"/>
          <w:rtl/>
        </w:rPr>
        <w:t>שיקבל עליו רפואתה עולמית בכך וכך</w:t>
      </w:r>
      <w:r>
        <w:rPr>
          <w:rFonts w:cs="Arial" w:hint="cs"/>
          <w:rtl/>
        </w:rPr>
        <w:t>, רש"י.</w:t>
      </w:r>
    </w:p>
  </w:footnote>
  <w:footnote w:id="1390">
    <w:p w14:paraId="3464FBC7" w14:textId="77777777" w:rsidR="00DF1FC7" w:rsidRDefault="00DF1FC7" w:rsidP="002E5BAD">
      <w:pPr>
        <w:pStyle w:val="a5"/>
      </w:pPr>
      <w:r>
        <w:rPr>
          <w:rStyle w:val="a7"/>
        </w:rPr>
        <w:footnoteRef/>
      </w:r>
      <w:r>
        <w:rPr>
          <w:rtl/>
        </w:rPr>
        <w:t xml:space="preserve"> </w:t>
      </w:r>
      <w:r w:rsidRPr="00293DC3">
        <w:rPr>
          <w:rFonts w:cs="Arial"/>
          <w:rtl/>
        </w:rPr>
        <w:t>אוהב אחד מבעלי דינין ומטעים זכיותיו לדיין ועורך הדין לפני הדיינין לזכותו מיקרי עורכי הדיינין שעורך את הדיינין להפוך לבם לטובתו של זה</w:t>
      </w:r>
      <w:r>
        <w:rPr>
          <w:rFonts w:cs="Arial" w:hint="cs"/>
          <w:rtl/>
        </w:rPr>
        <w:t>, רש"י.</w:t>
      </w:r>
    </w:p>
  </w:footnote>
  <w:footnote w:id="1391">
    <w:p w14:paraId="211BCF85" w14:textId="77777777" w:rsidR="00DF1FC7" w:rsidRDefault="00DF1FC7" w:rsidP="002E5BAD">
      <w:pPr>
        <w:pStyle w:val="a5"/>
      </w:pPr>
      <w:r>
        <w:rPr>
          <w:rStyle w:val="a7"/>
        </w:rPr>
        <w:footnoteRef/>
      </w:r>
      <w:r>
        <w:rPr>
          <w:rtl/>
        </w:rPr>
        <w:t xml:space="preserve"> </w:t>
      </w:r>
      <w:r w:rsidRPr="003319C5">
        <w:rPr>
          <w:rFonts w:cs="Arial"/>
          <w:rtl/>
        </w:rPr>
        <w:t>חולי שיש לה קיצבה שאינה חולה תדיר אינה בכלל מזונות ומתרפאת מכתובתה וכן אם עשו קיצבה עם הרופא בשכרו כדלקמן</w:t>
      </w:r>
      <w:r>
        <w:rPr>
          <w:rFonts w:cs="Arial" w:hint="cs"/>
          <w:rtl/>
        </w:rPr>
        <w:t>, פני משה.</w:t>
      </w:r>
    </w:p>
  </w:footnote>
  <w:footnote w:id="1392">
    <w:p w14:paraId="42F4ED12" w14:textId="77777777" w:rsidR="00DF1FC7" w:rsidRDefault="00DF1FC7" w:rsidP="002E5BAD">
      <w:pPr>
        <w:pStyle w:val="a5"/>
      </w:pPr>
      <w:r>
        <w:rPr>
          <w:rStyle w:val="a7"/>
        </w:rPr>
        <w:footnoteRef/>
      </w:r>
      <w:r>
        <w:rPr>
          <w:rtl/>
        </w:rPr>
        <w:t xml:space="preserve"> </w:t>
      </w:r>
      <w:r w:rsidRPr="003319C5">
        <w:rPr>
          <w:rFonts w:cs="Arial"/>
          <w:rtl/>
        </w:rPr>
        <w:t>היתה לה מיחוש עינים ובאת לפני ר' יוחנן ושאל לה אם קצץ זה הרופא שלך</w:t>
      </w:r>
      <w:r>
        <w:rPr>
          <w:rFonts w:cs="Arial" w:hint="cs"/>
          <w:rtl/>
        </w:rPr>
        <w:t>, פני משה.</w:t>
      </w:r>
    </w:p>
  </w:footnote>
  <w:footnote w:id="1393">
    <w:p w14:paraId="49379784" w14:textId="77777777" w:rsidR="00DF1FC7" w:rsidRDefault="00DF1FC7" w:rsidP="002E5BAD">
      <w:pPr>
        <w:pStyle w:val="a5"/>
      </w:pPr>
      <w:r>
        <w:rPr>
          <w:rStyle w:val="a7"/>
        </w:rPr>
        <w:footnoteRef/>
      </w:r>
      <w:r>
        <w:rPr>
          <w:rtl/>
        </w:rPr>
        <w:t xml:space="preserve"> </w:t>
      </w:r>
      <w:r w:rsidRPr="003319C5">
        <w:rPr>
          <w:rFonts w:cs="Arial"/>
          <w:rtl/>
        </w:rPr>
        <w:t>אם עשית קצבה עמו בעד שכרו</w:t>
      </w:r>
      <w:r>
        <w:rPr>
          <w:rFonts w:cs="Arial" w:hint="cs"/>
          <w:rtl/>
        </w:rPr>
        <w:t>, פני משה.</w:t>
      </w:r>
    </w:p>
  </w:footnote>
  <w:footnote w:id="1394">
    <w:p w14:paraId="74BC83D5" w14:textId="77777777" w:rsidR="00DF1FC7" w:rsidRDefault="00DF1FC7" w:rsidP="002E5BAD">
      <w:pPr>
        <w:pStyle w:val="a5"/>
      </w:pPr>
      <w:r>
        <w:rPr>
          <w:rStyle w:val="a7"/>
        </w:rPr>
        <w:footnoteRef/>
      </w:r>
      <w:r>
        <w:rPr>
          <w:rtl/>
        </w:rPr>
        <w:t xml:space="preserve"> </w:t>
      </w:r>
      <w:r w:rsidRPr="003319C5">
        <w:rPr>
          <w:rFonts w:cs="Arial"/>
          <w:rtl/>
        </w:rPr>
        <w:t>צריכה את לשלם מכתובתיך ואם לאו בעלך צריך שיתן לך לשלם הרופא דכל שאין לו קצבה בכלל מזונות הוא</w:t>
      </w:r>
      <w:r>
        <w:rPr>
          <w:rFonts w:cs="Arial" w:hint="cs"/>
          <w:rtl/>
        </w:rPr>
        <w:t>, פני משה.</w:t>
      </w:r>
    </w:p>
  </w:footnote>
  <w:footnote w:id="1395">
    <w:p w14:paraId="7F1A7D42" w14:textId="77777777" w:rsidR="00DF1FC7" w:rsidRDefault="00DF1FC7" w:rsidP="002E5BAD">
      <w:pPr>
        <w:pStyle w:val="a5"/>
      </w:pPr>
      <w:r>
        <w:rPr>
          <w:rStyle w:val="a7"/>
        </w:rPr>
        <w:footnoteRef/>
      </w:r>
      <w:r>
        <w:rPr>
          <w:rtl/>
        </w:rPr>
        <w:t xml:space="preserve"> </w:t>
      </w:r>
      <w:r>
        <w:rPr>
          <w:rFonts w:cs="Arial" w:hint="cs"/>
          <w:rtl/>
        </w:rPr>
        <w:t>וכתב הר"ן (שם) ד</w:t>
      </w:r>
      <w:r>
        <w:rPr>
          <w:rFonts w:cs="Arial"/>
          <w:rtl/>
        </w:rPr>
        <w:t>הכי מוכח</w:t>
      </w:r>
      <w:r>
        <w:rPr>
          <w:rFonts w:cs="Arial" w:hint="cs"/>
          <w:rtl/>
        </w:rPr>
        <w:t xml:space="preserve"> </w:t>
      </w:r>
      <w:r>
        <w:rPr>
          <w:rFonts w:cs="Arial"/>
          <w:rtl/>
        </w:rPr>
        <w:t>פשטא דמתניתין</w:t>
      </w:r>
      <w:r>
        <w:rPr>
          <w:rFonts w:cs="Arial" w:hint="cs"/>
          <w:rtl/>
        </w:rPr>
        <w:t>,</w:t>
      </w:r>
      <w:r>
        <w:rPr>
          <w:rFonts w:cs="Arial"/>
          <w:rtl/>
        </w:rPr>
        <w:t xml:space="preserve"> דקתני סתמא </w:t>
      </w:r>
      <w:r>
        <w:rPr>
          <w:rFonts w:cs="Arial" w:hint="cs"/>
          <w:rtl/>
        </w:rPr>
        <w:t>'</w:t>
      </w:r>
      <w:r>
        <w:rPr>
          <w:rFonts w:cs="Arial"/>
          <w:rtl/>
        </w:rPr>
        <w:t>לקתה חייב לרפאותה</w:t>
      </w:r>
      <w:r>
        <w:rPr>
          <w:rFonts w:cs="Arial" w:hint="cs"/>
          <w:rtl/>
        </w:rPr>
        <w:t>'</w:t>
      </w:r>
      <w:r>
        <w:rPr>
          <w:rFonts w:cs="Arial"/>
          <w:rtl/>
        </w:rPr>
        <w:t xml:space="preserve"> ולא מפליג בין רפואה שיש לה קצבה לרפואה שאין לה קצבה</w:t>
      </w:r>
      <w:r>
        <w:rPr>
          <w:rFonts w:cs="Arial" w:hint="cs"/>
          <w:rtl/>
        </w:rPr>
        <w:t>.</w:t>
      </w:r>
      <w:r>
        <w:rPr>
          <w:rFonts w:cs="Arial"/>
          <w:rtl/>
        </w:rPr>
        <w:t xml:space="preserve"> וזה שלא כדברי הרב בעל העיטור (אות כ כתובות לז ע"ב ח"א) שכתב שאף באשת איש הדין כן</w:t>
      </w:r>
      <w:r>
        <w:rPr>
          <w:rFonts w:cs="Arial" w:hint="cs"/>
          <w:rtl/>
        </w:rPr>
        <w:t>,</w:t>
      </w:r>
      <w:r>
        <w:rPr>
          <w:rFonts w:cs="Arial"/>
          <w:rtl/>
        </w:rPr>
        <w:t xml:space="preserve"> והביא ראיה מהירושלמי דגרסינן בפרק מי שמת (ב"ב פ"ט ה"ד) קריבתיה דרבי שמעון בר אבא חששא עינא אתת קמיה דרבי יוחנן א"ל קציץ הוא אסייך אין קציץ מן פורניך ואי לא בעליך יהיב ליך</w:t>
      </w:r>
      <w:r>
        <w:rPr>
          <w:rFonts w:cs="Arial" w:hint="cs"/>
          <w:rtl/>
        </w:rPr>
        <w:t>.</w:t>
      </w:r>
      <w:r>
        <w:rPr>
          <w:rFonts w:cs="Arial"/>
          <w:rtl/>
        </w:rPr>
        <w:t xml:space="preserve"> אלמא אפילו בחיי בעלה רפואה שיש לה קצבה מתרפאת מכתובתה</w:t>
      </w:r>
      <w:r>
        <w:rPr>
          <w:rFonts w:cs="Arial" w:hint="cs"/>
          <w:rtl/>
        </w:rPr>
        <w:t>.</w:t>
      </w:r>
      <w:r>
        <w:rPr>
          <w:rFonts w:cs="Arial"/>
          <w:rtl/>
        </w:rPr>
        <w:t xml:space="preserve"> ואיפשר דאלמנה הות וכי קאמר </w:t>
      </w:r>
      <w:r>
        <w:rPr>
          <w:rFonts w:cs="Arial" w:hint="cs"/>
          <w:rtl/>
        </w:rPr>
        <w:t>'</w:t>
      </w:r>
      <w:r>
        <w:rPr>
          <w:rFonts w:cs="Arial"/>
          <w:rtl/>
        </w:rPr>
        <w:t>בעליך יהיב ליך</w:t>
      </w:r>
      <w:r>
        <w:rPr>
          <w:rFonts w:cs="Arial" w:hint="cs"/>
          <w:rtl/>
        </w:rPr>
        <w:t>'</w:t>
      </w:r>
      <w:r>
        <w:rPr>
          <w:rFonts w:cs="Arial"/>
          <w:rtl/>
        </w:rPr>
        <w:t xml:space="preserve"> מנכסי בעליך קאמר וכן דעת הרמב"ם שחילק פרק י"ח (ה"ה) באלמנה ולא חילק באשת איש פי"ד (הי"ז)</w:t>
      </w:r>
      <w:r>
        <w:rPr>
          <w:rFonts w:cs="Arial" w:hint="cs"/>
          <w:rtl/>
        </w:rPr>
        <w:t>. עכ"ל.</w:t>
      </w:r>
      <w:r>
        <w:rPr>
          <w:rFonts w:hint="cs"/>
          <w:rtl/>
        </w:rPr>
        <w:t xml:space="preserve"> וכתב הריטב"א </w:t>
      </w:r>
      <w:r w:rsidRPr="00F71203">
        <w:rPr>
          <w:rFonts w:hint="cs"/>
          <w:sz w:val="16"/>
          <w:szCs w:val="16"/>
          <w:rtl/>
        </w:rPr>
        <w:t>(כתובות נא. ד"ה לקתה</w:t>
      </w:r>
      <w:r>
        <w:rPr>
          <w:rFonts w:hint="cs"/>
          <w:sz w:val="16"/>
          <w:szCs w:val="16"/>
          <w:rtl/>
        </w:rPr>
        <w:t>)</w:t>
      </w:r>
      <w:r>
        <w:rPr>
          <w:rFonts w:hint="cs"/>
          <w:rtl/>
        </w:rPr>
        <w:t xml:space="preserve"> דהרי"ף כתב על הירושלמי דפליג אגמרא דידן, ואגמרא דידן סמכינן, או דיש לומר דמאי דאמר 'בעליך יהיב ליך' היינו מנכסי בעלה (כמו שפירש הר"ן). וסיים הריטב"א דדוחק לומר דהכוונה לנכסי בעלה אלא י"ל דפליג ואעפ"כ אגמרא דידן סמכינן.</w:t>
      </w:r>
    </w:p>
  </w:footnote>
  <w:footnote w:id="1396">
    <w:p w14:paraId="364448FC" w14:textId="77777777" w:rsidR="00DF1FC7" w:rsidRDefault="00DF1FC7" w:rsidP="002E5BAD">
      <w:pPr>
        <w:pStyle w:val="a5"/>
      </w:pPr>
      <w:r>
        <w:rPr>
          <w:rStyle w:val="a7"/>
        </w:rPr>
        <w:footnoteRef/>
      </w:r>
      <w:r>
        <w:rPr>
          <w:rtl/>
        </w:rPr>
        <w:t xml:space="preserve"> </w:t>
      </w:r>
      <w:r w:rsidRPr="00606810">
        <w:rPr>
          <w:rFonts w:cs="Arial"/>
          <w:rtl/>
        </w:rPr>
        <w:t>כתב בשלט</w:t>
      </w:r>
      <w:r>
        <w:rPr>
          <w:rFonts w:cs="Arial" w:hint="cs"/>
          <w:rtl/>
        </w:rPr>
        <w:t xml:space="preserve">"ג </w:t>
      </w:r>
      <w:r w:rsidRPr="00606810">
        <w:rPr>
          <w:rFonts w:cs="Arial"/>
          <w:rtl/>
        </w:rPr>
        <w:t>בשם ר"י אחרון שאם אין הבעל רוצה לרפאות את אשתו וגם אינו רוצה לגרשה שבדעתו ליורשה כופין אותו שיתן משלו כל הצורך לרפואה או יגרשנה ונוטלת כל הכתובה משלם ואם לותה מאחרים לצורך רפואתה חייב ליתן הכל משלו</w:t>
      </w:r>
      <w:r>
        <w:rPr>
          <w:rFonts w:cs="Arial" w:hint="cs"/>
          <w:rtl/>
        </w:rPr>
        <w:t>, ט"ז (סק"א).</w:t>
      </w:r>
      <w:r w:rsidRPr="00606810">
        <w:rPr>
          <w:rFonts w:cs="Arial" w:hint="cs"/>
          <w:rtl/>
        </w:rPr>
        <w:t xml:space="preserve"> </w:t>
      </w:r>
      <w:r>
        <w:rPr>
          <w:rFonts w:cs="Arial" w:hint="cs"/>
          <w:rtl/>
        </w:rPr>
        <w:t>וכ"כ הב"ש (סק"ג).</w:t>
      </w:r>
    </w:p>
  </w:footnote>
  <w:footnote w:id="1397">
    <w:p w14:paraId="74B0B6B2" w14:textId="77777777" w:rsidR="00DF1FC7" w:rsidRDefault="00DF1FC7" w:rsidP="002E5BAD">
      <w:pPr>
        <w:pStyle w:val="a5"/>
      </w:pPr>
      <w:r>
        <w:rPr>
          <w:rStyle w:val="a7"/>
        </w:rPr>
        <w:footnoteRef/>
      </w:r>
      <w:r>
        <w:rPr>
          <w:rtl/>
        </w:rPr>
        <w:t xml:space="preserve"> </w:t>
      </w:r>
      <w:r w:rsidRPr="00BC316A">
        <w:rPr>
          <w:rFonts w:cs="Arial"/>
          <w:rtl/>
        </w:rPr>
        <w:t>פרש"י שאינה חולה תדיר וה"ה אם היא חולנית תדיר והרופ' רוצה ליקח דבר קצוב ורוצה לרפא אותה כל זמן שתצטרך גם כן מקרי רפואה שיש לה קצבה</w:t>
      </w:r>
      <w:r>
        <w:rPr>
          <w:rFonts w:cs="Arial" w:hint="cs"/>
          <w:rtl/>
        </w:rPr>
        <w:t>, ח"מ (סק"א).</w:t>
      </w:r>
    </w:p>
  </w:footnote>
  <w:footnote w:id="1398">
    <w:p w14:paraId="3A5DD1FC" w14:textId="77777777" w:rsidR="00DF1FC7" w:rsidRDefault="00DF1FC7" w:rsidP="002E5BAD">
      <w:pPr>
        <w:pStyle w:val="a5"/>
      </w:pPr>
      <w:r>
        <w:rPr>
          <w:rStyle w:val="a7"/>
        </w:rPr>
        <w:footnoteRef/>
      </w:r>
      <w:r>
        <w:rPr>
          <w:rtl/>
        </w:rPr>
        <w:t xml:space="preserve"> </w:t>
      </w:r>
      <w:r w:rsidRPr="00606810">
        <w:rPr>
          <w:rFonts w:cs="Arial"/>
          <w:rtl/>
        </w:rPr>
        <w:t>וכן בימי לידתה מחוייבים ליתן לה מזונות כנהוג שנותנים ליולדת ד' שבועו' תשו' רש"ל סי' מ"ה</w:t>
      </w:r>
      <w:r>
        <w:rPr>
          <w:rFonts w:cs="Arial" w:hint="cs"/>
          <w:rtl/>
        </w:rPr>
        <w:t>, ב"ש (סק"ב).</w:t>
      </w:r>
    </w:p>
  </w:footnote>
  <w:footnote w:id="1399">
    <w:p w14:paraId="3C4D8C2F" w14:textId="77777777" w:rsidR="00DF1FC7" w:rsidRDefault="00DF1FC7" w:rsidP="002E5BAD">
      <w:pPr>
        <w:pStyle w:val="a5"/>
      </w:pPr>
      <w:r>
        <w:rPr>
          <w:rStyle w:val="a7"/>
        </w:rPr>
        <w:footnoteRef/>
      </w:r>
      <w:r>
        <w:rPr>
          <w:rtl/>
        </w:rPr>
        <w:t xml:space="preserve"> </w:t>
      </w:r>
      <w:r w:rsidRPr="00606810">
        <w:rPr>
          <w:rFonts w:cs="Arial"/>
          <w:rtl/>
        </w:rPr>
        <w:t>לפיכך חייבים ברפואתה כל זמן שחייבים במזונותיה משא"כ אשה בחיי בעלה שחייב תמיד במזונותיה משו"ה נראה באם אמר לה בעלה צאי מעשה ידיך במזונותיך דגם כן אינו חייב ברפואתה שיש לה קצבה וכתב רש"ל דכל זה הוא מדינא דגמ' אבל לדידן דנהגינן שלא לגרש בע"כ מתקנת ר"ג לא מצי אמר כלל הא גיטיך וכו' ואפילו בחולה ארוך ואפילו מוטלת במטה עכ"ל</w:t>
      </w:r>
      <w:r>
        <w:rPr>
          <w:rFonts w:cs="Arial" w:hint="cs"/>
          <w:rtl/>
        </w:rPr>
        <w:t>, ט"ז (סק"א). וה</w:t>
      </w:r>
      <w:r w:rsidRPr="00606810">
        <w:rPr>
          <w:rFonts w:cs="Arial"/>
          <w:rtl/>
        </w:rPr>
        <w:t xml:space="preserve">ב"ח </w:t>
      </w:r>
      <w:r>
        <w:rPr>
          <w:rFonts w:cs="Arial" w:hint="cs"/>
          <w:rtl/>
        </w:rPr>
        <w:t xml:space="preserve">(בסי' עז) כתב </w:t>
      </w:r>
      <w:r w:rsidRPr="00606810">
        <w:rPr>
          <w:rFonts w:cs="Arial"/>
          <w:rtl/>
        </w:rPr>
        <w:t>בשם הרב מהרר"א מזרחי דאף בזמן הזה אם רוצה לגרש וליתן לה כתובתה אין לה עליו כלום</w:t>
      </w:r>
      <w:r>
        <w:rPr>
          <w:rFonts w:cs="Arial" w:hint="cs"/>
          <w:rtl/>
        </w:rPr>
        <w:t>, אך הח"מ (סי' עז סק"ג) דחה ראיות הרב מזרחי.</w:t>
      </w:r>
    </w:p>
  </w:footnote>
  <w:footnote w:id="1400">
    <w:p w14:paraId="0607C689" w14:textId="77777777" w:rsidR="00DF1FC7" w:rsidRDefault="00DF1FC7" w:rsidP="002E5BAD">
      <w:pPr>
        <w:pStyle w:val="a5"/>
        <w:rPr>
          <w:rtl/>
        </w:rPr>
      </w:pPr>
      <w:r>
        <w:rPr>
          <w:rStyle w:val="a7"/>
        </w:rPr>
        <w:footnoteRef/>
      </w:r>
      <w:r>
        <w:rPr>
          <w:rtl/>
        </w:rPr>
        <w:t xml:space="preserve"> </w:t>
      </w:r>
      <w:r>
        <w:rPr>
          <w:rFonts w:hint="cs"/>
          <w:rtl/>
        </w:rPr>
        <w:t xml:space="preserve">וכ"כ הרא"ש (ב"ק פ"ח ס' א) גבי מי שצריך ליתן רפואה לחברו על שחבל בו, </w:t>
      </w:r>
      <w:r>
        <w:rPr>
          <w:rFonts w:cs="Arial" w:hint="cs"/>
          <w:rtl/>
        </w:rPr>
        <w:t xml:space="preserve">וז"ל- </w:t>
      </w:r>
      <w:r w:rsidRPr="00F71203">
        <w:rPr>
          <w:rFonts w:cs="Arial"/>
          <w:rtl/>
        </w:rPr>
        <w:t>וכן אם עבר על דברי הרופאים ואכל דברים הקשי' למכתו ומחמת כן נתקלקלה המכה אינו חייב לרפאותו.</w:t>
      </w:r>
      <w:r>
        <w:rPr>
          <w:rFonts w:hint="cs"/>
          <w:rtl/>
        </w:rPr>
        <w:t xml:space="preserve"> עכ"ל. וצל"ע דאולי לא דמי.</w:t>
      </w:r>
    </w:p>
  </w:footnote>
  <w:footnote w:id="1401">
    <w:p w14:paraId="735838FA" w14:textId="77777777" w:rsidR="00DF1FC7" w:rsidRDefault="00DF1FC7" w:rsidP="002E5BAD">
      <w:pPr>
        <w:pStyle w:val="a5"/>
      </w:pPr>
      <w:r>
        <w:rPr>
          <w:rStyle w:val="a7"/>
        </w:rPr>
        <w:footnoteRef/>
      </w:r>
      <w:r>
        <w:rPr>
          <w:rtl/>
        </w:rPr>
        <w:t xml:space="preserve"> </w:t>
      </w:r>
      <w:r w:rsidRPr="00293DC3">
        <w:rPr>
          <w:rFonts w:cs="Arial"/>
          <w:rtl/>
        </w:rPr>
        <w:t>שיקבל עליו רפואתה עולמית בכך וכך</w:t>
      </w:r>
      <w:r>
        <w:rPr>
          <w:rFonts w:cs="Arial" w:hint="cs"/>
          <w:rtl/>
        </w:rPr>
        <w:t>, רש"י.</w:t>
      </w:r>
    </w:p>
  </w:footnote>
  <w:footnote w:id="1402">
    <w:p w14:paraId="1A8ECC67" w14:textId="77777777" w:rsidR="00DF1FC7" w:rsidRDefault="00DF1FC7" w:rsidP="002E5BAD">
      <w:pPr>
        <w:pStyle w:val="a5"/>
      </w:pPr>
      <w:r>
        <w:rPr>
          <w:rStyle w:val="a7"/>
        </w:rPr>
        <w:footnoteRef/>
      </w:r>
      <w:r>
        <w:rPr>
          <w:rtl/>
        </w:rPr>
        <w:t xml:space="preserve"> </w:t>
      </w:r>
      <w:r w:rsidRPr="00293DC3">
        <w:rPr>
          <w:rFonts w:cs="Arial"/>
          <w:rtl/>
        </w:rPr>
        <w:t>אוהב אחד מבעלי דינין ומטעים זכיותיו לדיין ועורך הדין לפני הדיינין לזכותו מיקרי עורכי הדיינין שעורך את הדיינין להפוך לבם לטובתו של זה</w:t>
      </w:r>
      <w:r>
        <w:rPr>
          <w:rFonts w:cs="Arial" w:hint="cs"/>
          <w:rtl/>
        </w:rPr>
        <w:t>, רש"י.</w:t>
      </w:r>
    </w:p>
  </w:footnote>
  <w:footnote w:id="1403">
    <w:p w14:paraId="73444F60" w14:textId="77777777" w:rsidR="00DF1FC7" w:rsidRDefault="00DF1FC7" w:rsidP="002E5BAD">
      <w:pPr>
        <w:pStyle w:val="a5"/>
      </w:pPr>
      <w:r>
        <w:rPr>
          <w:rStyle w:val="a7"/>
        </w:rPr>
        <w:footnoteRef/>
      </w:r>
      <w:r>
        <w:rPr>
          <w:rtl/>
        </w:rPr>
        <w:t xml:space="preserve"> </w:t>
      </w:r>
      <w:r w:rsidRPr="003319C5">
        <w:rPr>
          <w:rFonts w:cs="Arial"/>
          <w:rtl/>
        </w:rPr>
        <w:t>חולי שיש לה קיצבה שאינה חולה תדיר אינה בכלל מזונות ומתרפאת מכתובתה וכן אם עשו קיצבה עם הרופא בשכרו כדלקמן</w:t>
      </w:r>
      <w:r>
        <w:rPr>
          <w:rFonts w:cs="Arial" w:hint="cs"/>
          <w:rtl/>
        </w:rPr>
        <w:t>, פני משה.</w:t>
      </w:r>
    </w:p>
  </w:footnote>
  <w:footnote w:id="1404">
    <w:p w14:paraId="1EA60C6A" w14:textId="77777777" w:rsidR="00DF1FC7" w:rsidRDefault="00DF1FC7" w:rsidP="002E5BAD">
      <w:pPr>
        <w:pStyle w:val="a5"/>
      </w:pPr>
      <w:r>
        <w:rPr>
          <w:rStyle w:val="a7"/>
        </w:rPr>
        <w:footnoteRef/>
      </w:r>
      <w:r>
        <w:rPr>
          <w:rtl/>
        </w:rPr>
        <w:t xml:space="preserve"> </w:t>
      </w:r>
      <w:r w:rsidRPr="003319C5">
        <w:rPr>
          <w:rFonts w:cs="Arial"/>
          <w:rtl/>
        </w:rPr>
        <w:t>היתה לה מיחוש עינים ובאת לפני ר' יוחנן ושאל לה אם קצץ זה הרופא שלך</w:t>
      </w:r>
      <w:r>
        <w:rPr>
          <w:rFonts w:cs="Arial" w:hint="cs"/>
          <w:rtl/>
        </w:rPr>
        <w:t>, פני משה.</w:t>
      </w:r>
    </w:p>
  </w:footnote>
  <w:footnote w:id="1405">
    <w:p w14:paraId="6336FFC5" w14:textId="77777777" w:rsidR="00DF1FC7" w:rsidRDefault="00DF1FC7" w:rsidP="002E5BAD">
      <w:pPr>
        <w:pStyle w:val="a5"/>
      </w:pPr>
      <w:r>
        <w:rPr>
          <w:rStyle w:val="a7"/>
        </w:rPr>
        <w:footnoteRef/>
      </w:r>
      <w:r>
        <w:rPr>
          <w:rtl/>
        </w:rPr>
        <w:t xml:space="preserve"> </w:t>
      </w:r>
      <w:r w:rsidRPr="003319C5">
        <w:rPr>
          <w:rFonts w:cs="Arial"/>
          <w:rtl/>
        </w:rPr>
        <w:t>אם עשית קצבה עמו בעד שכרו</w:t>
      </w:r>
      <w:r>
        <w:rPr>
          <w:rFonts w:cs="Arial" w:hint="cs"/>
          <w:rtl/>
        </w:rPr>
        <w:t>, פני משה.</w:t>
      </w:r>
    </w:p>
  </w:footnote>
  <w:footnote w:id="1406">
    <w:p w14:paraId="4FFF0A6C" w14:textId="77777777" w:rsidR="00DF1FC7" w:rsidRDefault="00DF1FC7" w:rsidP="002E5BAD">
      <w:pPr>
        <w:pStyle w:val="a5"/>
      </w:pPr>
      <w:r>
        <w:rPr>
          <w:rStyle w:val="a7"/>
        </w:rPr>
        <w:footnoteRef/>
      </w:r>
      <w:r>
        <w:rPr>
          <w:rtl/>
        </w:rPr>
        <w:t xml:space="preserve"> </w:t>
      </w:r>
      <w:r w:rsidRPr="003319C5">
        <w:rPr>
          <w:rFonts w:cs="Arial"/>
          <w:rtl/>
        </w:rPr>
        <w:t>צריכה את לשלם מכתובתיך ואם לאו בעלך צריך שיתן לך לשלם הרופא דכל שאין לו קצבה בכלל מזונות הוא</w:t>
      </w:r>
      <w:r>
        <w:rPr>
          <w:rFonts w:cs="Arial" w:hint="cs"/>
          <w:rtl/>
        </w:rPr>
        <w:t>, פני משה.</w:t>
      </w:r>
    </w:p>
  </w:footnote>
  <w:footnote w:id="1407">
    <w:p w14:paraId="063FB39E" w14:textId="77777777" w:rsidR="00DF1FC7" w:rsidRDefault="00DF1FC7" w:rsidP="002E5BAD">
      <w:pPr>
        <w:pStyle w:val="a5"/>
        <w:rPr>
          <w:rtl/>
        </w:rPr>
      </w:pPr>
      <w:r>
        <w:rPr>
          <w:rStyle w:val="a7"/>
        </w:rPr>
        <w:footnoteRef/>
      </w:r>
      <w:r>
        <w:rPr>
          <w:rtl/>
        </w:rPr>
        <w:t xml:space="preserve"> </w:t>
      </w:r>
      <w:r>
        <w:rPr>
          <w:rFonts w:cs="Arial"/>
          <w:rtl/>
        </w:rPr>
        <w:t xml:space="preserve">ואין כן דעת רבינו </w:t>
      </w:r>
      <w:r>
        <w:rPr>
          <w:rFonts w:cs="Arial" w:hint="cs"/>
          <w:sz w:val="16"/>
          <w:szCs w:val="16"/>
          <w:rtl/>
        </w:rPr>
        <w:t>{הרמב"ם}</w:t>
      </w:r>
      <w:r>
        <w:rPr>
          <w:rFonts w:cs="Arial" w:hint="cs"/>
          <w:rtl/>
        </w:rPr>
        <w:t xml:space="preserve">, </w:t>
      </w:r>
      <w:r>
        <w:rPr>
          <w:rFonts w:cs="Arial"/>
          <w:rtl/>
        </w:rPr>
        <w:t>שלא חילק</w:t>
      </w:r>
      <w:r>
        <w:rPr>
          <w:rFonts w:cs="Arial" w:hint="cs"/>
          <w:rtl/>
        </w:rPr>
        <w:t>,</w:t>
      </w:r>
      <w:r>
        <w:rPr>
          <w:rFonts w:cs="Arial"/>
          <w:rtl/>
        </w:rPr>
        <w:t xml:space="preserve"> ואני אומר שאם כן הוא </w:t>
      </w:r>
      <w:r>
        <w:rPr>
          <w:rFonts w:cs="Arial" w:hint="cs"/>
          <w:rtl/>
        </w:rPr>
        <w:t xml:space="preserve">- </w:t>
      </w:r>
      <w:r>
        <w:rPr>
          <w:rFonts w:cs="Arial"/>
          <w:rtl/>
        </w:rPr>
        <w:t xml:space="preserve">לא היו סותמין במשנה ובגמרא מלפרש </w:t>
      </w:r>
      <w:r>
        <w:rPr>
          <w:rFonts w:cs="Arial" w:hint="cs"/>
          <w:rtl/>
        </w:rPr>
        <w:t>'</w:t>
      </w:r>
      <w:r>
        <w:rPr>
          <w:rFonts w:cs="Arial"/>
          <w:rtl/>
        </w:rPr>
        <w:t>ב</w:t>
      </w:r>
      <w:r>
        <w:rPr>
          <w:rFonts w:cs="Arial" w:hint="cs"/>
          <w:rtl/>
        </w:rPr>
        <w:t>ד"א</w:t>
      </w:r>
      <w:r>
        <w:rPr>
          <w:rFonts w:cs="Arial"/>
          <w:rtl/>
        </w:rPr>
        <w:t xml:space="preserve"> בשאינה מוטלת אבל מוטלת אינו רשאי</w:t>
      </w:r>
      <w:r>
        <w:rPr>
          <w:rFonts w:cs="Arial" w:hint="cs"/>
          <w:rtl/>
        </w:rPr>
        <w:t>',</w:t>
      </w:r>
      <w:r>
        <w:rPr>
          <w:rFonts w:cs="Arial"/>
          <w:rtl/>
        </w:rPr>
        <w:t xml:space="preserve"> וכבר חילקו שם בדין האלמנה ברפואה בין יש לה קצבה לאין לה קצבה ולא חילקו כלל כשהיא אשת איש</w:t>
      </w:r>
      <w:r>
        <w:rPr>
          <w:rFonts w:cs="Arial" w:hint="cs"/>
          <w:rtl/>
        </w:rPr>
        <w:t>.</w:t>
      </w:r>
      <w:r>
        <w:rPr>
          <w:rFonts w:cs="Arial"/>
          <w:rtl/>
        </w:rPr>
        <w:t xml:space="preserve"> וענין יפת תואר חידוש הוא ולא התירה אותה תורה אלא כנגד יצר הרע ורצה לחוש עליה שהיא שבויה בארץ נכריה ובעלה בע</w:t>
      </w:r>
      <w:r>
        <w:rPr>
          <w:rFonts w:cs="Arial" w:hint="cs"/>
          <w:rtl/>
        </w:rPr>
        <w:t xml:space="preserve">ל </w:t>
      </w:r>
      <w:r>
        <w:rPr>
          <w:rFonts w:cs="Arial"/>
          <w:rtl/>
        </w:rPr>
        <w:t>כ</w:t>
      </w:r>
      <w:r>
        <w:rPr>
          <w:rFonts w:cs="Arial" w:hint="cs"/>
          <w:rtl/>
        </w:rPr>
        <w:t>רחה</w:t>
      </w:r>
      <w:r>
        <w:rPr>
          <w:rFonts w:cs="Arial"/>
          <w:rtl/>
        </w:rPr>
        <w:t xml:space="preserve"> ואין לה שום דבר לרפאות את עצמה</w:t>
      </w:r>
      <w:r>
        <w:rPr>
          <w:rFonts w:cs="Arial" w:hint="cs"/>
          <w:rtl/>
        </w:rPr>
        <w:t>,</w:t>
      </w:r>
      <w:r>
        <w:rPr>
          <w:rFonts w:cs="Arial"/>
          <w:rtl/>
        </w:rPr>
        <w:t xml:space="preserve"> ולפיכך דרשו ז"ל ושלחתה לנפשה בזמן שהיא יכולה לילך מאליה</w:t>
      </w:r>
      <w:r>
        <w:rPr>
          <w:rFonts w:cs="Arial" w:hint="cs"/>
          <w:rtl/>
        </w:rPr>
        <w:t>.</w:t>
      </w:r>
      <w:r>
        <w:rPr>
          <w:rFonts w:cs="Arial"/>
          <w:rtl/>
        </w:rPr>
        <w:t xml:space="preserve"> ואיפשר שאף ביפת תואר אסמכתא מדבריהם</w:t>
      </w:r>
      <w:r>
        <w:rPr>
          <w:rFonts w:cs="Arial" w:hint="cs"/>
          <w:rtl/>
        </w:rPr>
        <w:t>.</w:t>
      </w:r>
      <w:r>
        <w:rPr>
          <w:rFonts w:cs="Arial"/>
          <w:rtl/>
        </w:rPr>
        <w:t xml:space="preserve"> ותמהני על רבינו למה לא הזכיר הדין ההוא בהלכות מלכים בדיני היפת תואר</w:t>
      </w:r>
      <w:r>
        <w:rPr>
          <w:rFonts w:cs="Arial" w:hint="cs"/>
          <w:rtl/>
        </w:rPr>
        <w:t>, הה"מ (שם)</w:t>
      </w:r>
      <w:r>
        <w:rPr>
          <w:rFonts w:cs="Arial"/>
          <w:rtl/>
        </w:rPr>
        <w:t>.</w:t>
      </w:r>
    </w:p>
  </w:footnote>
  <w:footnote w:id="1408">
    <w:p w14:paraId="54DA7AD5" w14:textId="77777777" w:rsidR="00DF1FC7" w:rsidRDefault="00DF1FC7" w:rsidP="002E5BAD">
      <w:pPr>
        <w:pStyle w:val="a5"/>
      </w:pPr>
      <w:r>
        <w:rPr>
          <w:rStyle w:val="a7"/>
        </w:rPr>
        <w:footnoteRef/>
      </w:r>
      <w:r>
        <w:rPr>
          <w:rtl/>
        </w:rPr>
        <w:t xml:space="preserve"> </w:t>
      </w:r>
      <w:r w:rsidRPr="00B11643">
        <w:rPr>
          <w:rFonts w:cs="Arial"/>
          <w:rtl/>
        </w:rPr>
        <w:t>הח"מ כתב ה"ה בחולה שאינו ארוך. והב"ש כ' דוקא חולה ארוך ע"ש</w:t>
      </w:r>
      <w:r>
        <w:rPr>
          <w:rFonts w:cs="Arial" w:hint="cs"/>
          <w:rtl/>
        </w:rPr>
        <w:t>, באה"ט (סק"ג).</w:t>
      </w:r>
    </w:p>
  </w:footnote>
  <w:footnote w:id="1409">
    <w:p w14:paraId="5CA70D53" w14:textId="77777777" w:rsidR="00DF1FC7" w:rsidRDefault="00DF1FC7" w:rsidP="002E5BAD">
      <w:pPr>
        <w:pStyle w:val="a5"/>
      </w:pPr>
      <w:r>
        <w:rPr>
          <w:rStyle w:val="a7"/>
        </w:rPr>
        <w:footnoteRef/>
      </w:r>
      <w:r>
        <w:rPr>
          <w:rtl/>
        </w:rPr>
        <w:t xml:space="preserve"> </w:t>
      </w:r>
      <w:r w:rsidRPr="001702D1">
        <w:rPr>
          <w:rFonts w:cs="Arial"/>
          <w:rtl/>
        </w:rPr>
        <w:t>הרמב"ם והרא"ש והטור לא ס"ל חילוק זה בין מוטלת על ע"ד לבין כשאינה מוטלת על המטה אלא ס"ל הדרשה של הספרי אינו אלא אסמכתא</w:t>
      </w:r>
      <w:r>
        <w:rPr>
          <w:rFonts w:cs="Arial" w:hint="cs"/>
          <w:rtl/>
        </w:rPr>
        <w:t>.</w:t>
      </w:r>
      <w:r w:rsidRPr="001702D1">
        <w:rPr>
          <w:rFonts w:cs="Arial"/>
          <w:rtl/>
        </w:rPr>
        <w:t xml:space="preserve"> כתב מהרש"ל בזה"ז אפילו חולי ארוך אפי' אינה מוטלת על ע"ד א"י לגרשה בע"כ מיהו יש לדייק ממתני' ומן הפוסקים דכתבו בסתם דרשאי לומר הרי גיטך וכתובתך ורפאי את עצמך אפילו בזיוג הראשון דאסור לגרשה אפ"ה אם היא חולי יכול לגרשה לפ"ז ה"ה בזה"ז דאיכ' חר"ג י"ל דיכול לגרשה כמ"ש ר"ס ע"ז</w:t>
      </w:r>
    </w:p>
  </w:footnote>
  <w:footnote w:id="1410">
    <w:p w14:paraId="0FB72217" w14:textId="77777777" w:rsidR="00DF1FC7" w:rsidRDefault="00DF1FC7" w:rsidP="002E5BAD">
      <w:pPr>
        <w:pStyle w:val="a5"/>
      </w:pPr>
      <w:r>
        <w:rPr>
          <w:rStyle w:val="a7"/>
        </w:rPr>
        <w:footnoteRef/>
      </w:r>
      <w:r>
        <w:rPr>
          <w:rtl/>
        </w:rPr>
        <w:t xml:space="preserve"> </w:t>
      </w:r>
      <w:r w:rsidRPr="00DC4762">
        <w:rPr>
          <w:rFonts w:cs="Arial"/>
          <w:rtl/>
        </w:rPr>
        <w:t>המים מגלגלין האופן וטוחן</w:t>
      </w:r>
      <w:r>
        <w:rPr>
          <w:rFonts w:cs="Arial" w:hint="cs"/>
          <w:rtl/>
        </w:rPr>
        <w:t>, רש"י.</w:t>
      </w:r>
    </w:p>
  </w:footnote>
  <w:footnote w:id="1411">
    <w:p w14:paraId="7FA38645" w14:textId="77777777" w:rsidR="00DF1FC7" w:rsidRDefault="00DF1FC7" w:rsidP="002E5BAD">
      <w:pPr>
        <w:pStyle w:val="a5"/>
      </w:pPr>
      <w:r>
        <w:rPr>
          <w:rStyle w:val="a7"/>
        </w:rPr>
        <w:footnoteRef/>
      </w:r>
      <w:r>
        <w:rPr>
          <w:rtl/>
        </w:rPr>
        <w:t xml:space="preserve"> </w:t>
      </w:r>
      <w:r w:rsidRPr="00DC4762">
        <w:rPr>
          <w:rFonts w:cs="Arial"/>
          <w:rtl/>
        </w:rPr>
        <w:t>מכינה צרכי טחינה נותנתו באפרכסת וקולטת את הקמח</w:t>
      </w:r>
      <w:r>
        <w:rPr>
          <w:rFonts w:cs="Arial" w:hint="cs"/>
          <w:rtl/>
        </w:rPr>
        <w:t>, רש"י.</w:t>
      </w:r>
      <w:r w:rsidRPr="00867395">
        <w:rPr>
          <w:rFonts w:cs="Arial"/>
          <w:rtl/>
        </w:rPr>
        <w:t xml:space="preserve"> </w:t>
      </w:r>
      <w:r w:rsidRPr="00DC4762">
        <w:rPr>
          <w:rFonts w:cs="Arial"/>
          <w:rtl/>
        </w:rPr>
        <w:t>וז"ל הרמב"ם בפכ"א (מאישות ה"ה) ומטחנת כיצד מטחנת יושבת בריחים ומשמרת בקמח ואינה טוחנת ומחמרת אחר הבהמה כדי שלא יבטלו הריחים ואם היה דרכם לטחון בריחים של יד טוחנת עכ"ל נראה מדבריו שהוא מפרש דהא דמתמהי טוחנת ס"ד היינו לומר דהיאך איפשר שתהא האשה חייבת לטחון היא עצמה בריחיים גדולים במקום בהמה שזה טורח גדול שאי אפשר לסובלו</w:t>
      </w:r>
      <w:r>
        <w:rPr>
          <w:rFonts w:cs="Arial" w:hint="cs"/>
          <w:rtl/>
        </w:rPr>
        <w:t>.</w:t>
      </w:r>
      <w:r w:rsidRPr="00DC4762">
        <w:rPr>
          <w:rFonts w:cs="Arial"/>
          <w:rtl/>
        </w:rPr>
        <w:t xml:space="preserve"> ותירץ אימא מטחנת כלומר מחמרת אחר הבהמה ומשמרת הריחים</w:t>
      </w:r>
      <w:r>
        <w:rPr>
          <w:rFonts w:cs="Arial" w:hint="cs"/>
          <w:rtl/>
        </w:rPr>
        <w:t>.</w:t>
      </w:r>
      <w:r w:rsidRPr="00DC4762">
        <w:rPr>
          <w:rFonts w:cs="Arial"/>
          <w:rtl/>
        </w:rPr>
        <w:t xml:space="preserve"> וכך הם דברי רבינו</w:t>
      </w:r>
      <w:r>
        <w:rPr>
          <w:rFonts w:cs="Arial" w:hint="cs"/>
          <w:rtl/>
        </w:rPr>
        <w:t>, ב"י.</w:t>
      </w:r>
    </w:p>
  </w:footnote>
  <w:footnote w:id="1412">
    <w:p w14:paraId="3F6314EE" w14:textId="77777777" w:rsidR="00DF1FC7" w:rsidRDefault="00DF1FC7" w:rsidP="002E5BAD">
      <w:pPr>
        <w:pStyle w:val="a5"/>
      </w:pPr>
      <w:r>
        <w:rPr>
          <w:rStyle w:val="a7"/>
        </w:rPr>
        <w:footnoteRef/>
      </w:r>
      <w:r>
        <w:rPr>
          <w:rtl/>
        </w:rPr>
        <w:t xml:space="preserve"> </w:t>
      </w:r>
      <w:r w:rsidRPr="00DC4762">
        <w:rPr>
          <w:rFonts w:cs="Arial"/>
          <w:rtl/>
        </w:rPr>
        <w:t>לעולם טוחנת היא עצמה</w:t>
      </w:r>
      <w:r>
        <w:rPr>
          <w:rFonts w:cs="Arial" w:hint="cs"/>
          <w:rtl/>
        </w:rPr>
        <w:t>, רש"י.</w:t>
      </w:r>
    </w:p>
  </w:footnote>
  <w:footnote w:id="1413">
    <w:p w14:paraId="5726BEB5" w14:textId="77777777" w:rsidR="00DF1FC7" w:rsidRDefault="00DF1FC7" w:rsidP="002E5BAD">
      <w:pPr>
        <w:pStyle w:val="a5"/>
        <w:rPr>
          <w:rtl/>
        </w:rPr>
      </w:pPr>
      <w:r>
        <w:rPr>
          <w:rStyle w:val="a7"/>
        </w:rPr>
        <w:footnoteRef/>
      </w:r>
      <w:r>
        <w:rPr>
          <w:rtl/>
        </w:rPr>
        <w:t xml:space="preserve"> </w:t>
      </w:r>
      <w:r w:rsidRPr="00DC4762">
        <w:rPr>
          <w:rFonts w:cs="Arial"/>
          <w:rtl/>
        </w:rPr>
        <w:t>ריחים של יד</w:t>
      </w:r>
      <w:r>
        <w:rPr>
          <w:rFonts w:hint="cs"/>
          <w:rtl/>
        </w:rPr>
        <w:t>, רש"י.</w:t>
      </w:r>
    </w:p>
  </w:footnote>
  <w:footnote w:id="1414">
    <w:p w14:paraId="046F1434" w14:textId="77777777" w:rsidR="00DF1FC7" w:rsidRDefault="00DF1FC7" w:rsidP="002E5BAD">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1415">
    <w:p w14:paraId="3466B854" w14:textId="77777777" w:rsidR="00DF1FC7" w:rsidRDefault="00DF1FC7" w:rsidP="002E5BAD">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1416">
    <w:p w14:paraId="63BA3326" w14:textId="77777777" w:rsidR="00DF1FC7" w:rsidRDefault="00DF1FC7" w:rsidP="002E5BAD">
      <w:pPr>
        <w:pStyle w:val="a5"/>
        <w:rPr>
          <w:rtl/>
        </w:rPr>
      </w:pPr>
      <w:r>
        <w:rPr>
          <w:rStyle w:val="a7"/>
        </w:rPr>
        <w:footnoteRef/>
      </w:r>
      <w:r>
        <w:rPr>
          <w:rtl/>
        </w:rPr>
        <w:t xml:space="preserve"> </w:t>
      </w:r>
      <w:r>
        <w:rPr>
          <w:rFonts w:cs="Arial"/>
          <w:rtl/>
        </w:rPr>
        <w:t>ומפרש רבינו אינו כופה אלא לעשות בצמר אבל בצמר כופה אותה שהרי אפילו הכניסה לו מאה שפחות כופה לעשות בצמר</w:t>
      </w:r>
      <w:r>
        <w:rPr>
          <w:rFonts w:hint="cs"/>
          <w:rtl/>
        </w:rPr>
        <w:t>, הה"מ (פכ"א ה"א).</w:t>
      </w:r>
    </w:p>
  </w:footnote>
  <w:footnote w:id="1417">
    <w:p w14:paraId="79492154" w14:textId="77777777" w:rsidR="00DF1FC7" w:rsidRDefault="00DF1FC7" w:rsidP="002E5BAD">
      <w:pPr>
        <w:pStyle w:val="a5"/>
      </w:pPr>
      <w:r>
        <w:rPr>
          <w:rStyle w:val="a7"/>
        </w:rPr>
        <w:footnoteRef/>
      </w:r>
      <w:r>
        <w:rPr>
          <w:rtl/>
        </w:rPr>
        <w:t xml:space="preserve"> </w:t>
      </w:r>
      <w:r>
        <w:rPr>
          <w:rFonts w:cs="Arial" w:hint="cs"/>
          <w:rtl/>
        </w:rPr>
        <w:t>ו</w:t>
      </w:r>
      <w:r w:rsidRPr="000A7A9C">
        <w:rPr>
          <w:rFonts w:cs="Arial"/>
          <w:rtl/>
        </w:rPr>
        <w:t xml:space="preserve">כתב המרדכי </w:t>
      </w:r>
      <w:r>
        <w:rPr>
          <w:rFonts w:cs="Arial" w:hint="cs"/>
          <w:rtl/>
        </w:rPr>
        <w:t xml:space="preserve">(ר"פ </w:t>
      </w:r>
      <w:r w:rsidRPr="000A7A9C">
        <w:rPr>
          <w:rFonts w:cs="Arial"/>
          <w:rtl/>
        </w:rPr>
        <w:t>אף על פי סי' קפב) בשם רבינו ברוך והאידנא נשים שלנו לאו אורחייהו לטחון ולכבס אין כופין אותן על זה דעולה עמו ואינה יורדת</w:t>
      </w:r>
      <w:r>
        <w:rPr>
          <w:rFonts w:cs="Arial" w:hint="cs"/>
          <w:rtl/>
        </w:rPr>
        <w:t>, וכ"כ הרמב"ם הביאו הטור בסמוך, דרכ"מ (אות ה).</w:t>
      </w:r>
    </w:p>
  </w:footnote>
  <w:footnote w:id="1418">
    <w:p w14:paraId="05907C45" w14:textId="77777777" w:rsidR="00DF1FC7" w:rsidRDefault="00DF1FC7" w:rsidP="002E5BAD">
      <w:pPr>
        <w:pStyle w:val="a5"/>
      </w:pPr>
      <w:r>
        <w:rPr>
          <w:rStyle w:val="a7"/>
        </w:rPr>
        <w:footnoteRef/>
      </w:r>
      <w:r>
        <w:rPr>
          <w:rtl/>
        </w:rPr>
        <w:t xml:space="preserve"> </w:t>
      </w:r>
      <w:r>
        <w:rPr>
          <w:rFonts w:cs="Arial"/>
          <w:rtl/>
        </w:rPr>
        <w:t>ויש לתמוה על הרמב"ם שכתב בפכ"א (ה"א) אינו כופה אלא לטוות הצמר בלבד שהפשתן מזיק את הפה ואת השפתים ע"כ ולא חילק בין כיתנא רומיתא לשאר כיתנא ואיפשר שטעמו דכיון דאין כיתנא רומיתא ידוע לנו כל כיתנא מספקינן ליה בכיתנא רומיתא והוי קולא לאשה שלא לחייבה בשום כיתנא</w:t>
      </w:r>
      <w:r>
        <w:rPr>
          <w:rFonts w:cs="Arial" w:hint="cs"/>
          <w:rtl/>
        </w:rPr>
        <w:t>, ב"י.</w:t>
      </w:r>
    </w:p>
  </w:footnote>
  <w:footnote w:id="1419">
    <w:p w14:paraId="12FC1426" w14:textId="77777777" w:rsidR="00DF1FC7" w:rsidRPr="00D13318" w:rsidRDefault="00DF1FC7" w:rsidP="002E5BAD">
      <w:pPr>
        <w:pStyle w:val="a5"/>
      </w:pPr>
      <w:r>
        <w:rPr>
          <w:rStyle w:val="a7"/>
        </w:rPr>
        <w:footnoteRef/>
      </w:r>
      <w:r>
        <w:rPr>
          <w:rtl/>
        </w:rPr>
        <w:t xml:space="preserve"> </w:t>
      </w:r>
      <w:r>
        <w:rPr>
          <w:rFonts w:hint="cs"/>
          <w:rtl/>
        </w:rPr>
        <w:t xml:space="preserve">דבר זה שכתב הטור כאן הוא מדברי </w:t>
      </w:r>
      <w:r>
        <w:rPr>
          <w:rFonts w:cs="Arial" w:hint="cs"/>
          <w:rtl/>
        </w:rPr>
        <w:t>ה</w:t>
      </w:r>
      <w:r>
        <w:rPr>
          <w:rFonts w:cs="Arial"/>
          <w:rtl/>
        </w:rPr>
        <w:t xml:space="preserve">רא"ש </w:t>
      </w:r>
      <w:r w:rsidRPr="0077337F">
        <w:rPr>
          <w:rFonts w:cs="Arial" w:hint="cs"/>
          <w:sz w:val="16"/>
          <w:szCs w:val="16"/>
          <w:rtl/>
        </w:rPr>
        <w:t xml:space="preserve">(פ' אע"פ </w:t>
      </w:r>
      <w:r w:rsidRPr="0077337F">
        <w:rPr>
          <w:rFonts w:cs="Arial"/>
          <w:sz w:val="16"/>
          <w:szCs w:val="16"/>
          <w:rtl/>
        </w:rPr>
        <w:t>סו"ס לא)</w:t>
      </w:r>
      <w:r>
        <w:rPr>
          <w:rFonts w:cs="Arial" w:hint="cs"/>
          <w:rtl/>
        </w:rPr>
        <w:t xml:space="preserve">, וז"ל- </w:t>
      </w:r>
      <w:r>
        <w:rPr>
          <w:rFonts w:cs="Arial"/>
          <w:rtl/>
        </w:rPr>
        <w:t>תנן אם היתה מניקה פוחתין לה ממעשה ידיה</w:t>
      </w:r>
      <w:r>
        <w:rPr>
          <w:rFonts w:cs="Arial" w:hint="cs"/>
          <w:rtl/>
        </w:rPr>
        <w:t>,</w:t>
      </w:r>
      <w:r>
        <w:rPr>
          <w:rFonts w:cs="Arial"/>
          <w:rtl/>
        </w:rPr>
        <w:t xml:space="preserve"> </w:t>
      </w:r>
      <w:r>
        <w:rPr>
          <w:rFonts w:cs="Arial" w:hint="cs"/>
          <w:rtl/>
        </w:rPr>
        <w:t>ו</w:t>
      </w:r>
      <w:r>
        <w:rPr>
          <w:rFonts w:cs="Arial"/>
          <w:rtl/>
        </w:rPr>
        <w:t>לאו דוקא נקט מניקה אלא הוא הדין טוחנת ואופה וכל שאר מלאכות דפוחתין לה והאי דנקט מניקה משום דמיירי במשרה אשתו ע"י שליש דאינה לא טוחנת ולא אופה דכיון דאינה בבית היאך תעשה צרכי הבית אלא ודאי לא אמרו שהאשה עושה ה' סלעים אלא במשרה אשתו ע"י שליש שאינה עושה שום מלאכה</w:t>
      </w:r>
      <w:r>
        <w:rPr>
          <w:rFonts w:cs="Arial" w:hint="cs"/>
          <w:rtl/>
        </w:rPr>
        <w:t>.</w:t>
      </w:r>
      <w:r>
        <w:rPr>
          <w:rFonts w:hint="cs"/>
          <w:rtl/>
        </w:rPr>
        <w:t xml:space="preserve"> עכ"ל. </w:t>
      </w:r>
      <w:r>
        <w:rPr>
          <w:rFonts w:cs="Arial" w:hint="cs"/>
          <w:rtl/>
        </w:rPr>
        <w:t>הב"י כתב שכן כתבו ה</w:t>
      </w:r>
      <w:r>
        <w:rPr>
          <w:rFonts w:cs="Arial"/>
          <w:rtl/>
        </w:rPr>
        <w:t xml:space="preserve">תוס' </w:t>
      </w:r>
      <w:r>
        <w:rPr>
          <w:rFonts w:cs="Arial" w:hint="cs"/>
          <w:rtl/>
        </w:rPr>
        <w:t>(</w:t>
      </w:r>
      <w:r>
        <w:rPr>
          <w:rFonts w:cs="Arial"/>
          <w:rtl/>
        </w:rPr>
        <w:t>סג. ד"ה רב הונא</w:t>
      </w:r>
      <w:r>
        <w:rPr>
          <w:rFonts w:cs="Arial" w:hint="cs"/>
          <w:rtl/>
        </w:rPr>
        <w:t>), וצל"ע משום דמשמע שם לכאורה דלא תפסו תירוץ זה כעיקר.</w:t>
      </w:r>
    </w:p>
  </w:footnote>
  <w:footnote w:id="1420">
    <w:p w14:paraId="6B9DA84E" w14:textId="77777777" w:rsidR="00DF1FC7" w:rsidRDefault="00DF1FC7" w:rsidP="002E5BAD">
      <w:pPr>
        <w:pStyle w:val="a5"/>
      </w:pPr>
      <w:r>
        <w:rPr>
          <w:rStyle w:val="a7"/>
        </w:rPr>
        <w:footnoteRef/>
      </w:r>
      <w:r>
        <w:rPr>
          <w:rtl/>
        </w:rPr>
        <w:t xml:space="preserve"> </w:t>
      </w:r>
      <w:r>
        <w:rPr>
          <w:rFonts w:cs="Arial"/>
          <w:rtl/>
        </w:rPr>
        <w:t>ולא ביאר רבינו כמה הוא שיעור מה שהיא טווה בכל שבוע</w:t>
      </w:r>
      <w:r>
        <w:rPr>
          <w:rFonts w:cs="Arial" w:hint="cs"/>
          <w:rtl/>
        </w:rPr>
        <w:t>,</w:t>
      </w:r>
      <w:r>
        <w:rPr>
          <w:rFonts w:cs="Arial"/>
          <w:rtl/>
        </w:rPr>
        <w:t xml:space="preserve"> ובמשנה כמה היא עושה לו משקל חמש סלעים ביהודה שהם עשר בגליל וכו'</w:t>
      </w:r>
      <w:r>
        <w:rPr>
          <w:rFonts w:cs="Arial" w:hint="cs"/>
          <w:rtl/>
        </w:rPr>
        <w:t>.</w:t>
      </w:r>
      <w:r>
        <w:rPr>
          <w:rFonts w:cs="Arial"/>
          <w:rtl/>
        </w:rPr>
        <w:t xml:space="preserve"> ואולי שרבינו סבו</w:t>
      </w:r>
      <w:r>
        <w:rPr>
          <w:rFonts w:cs="Arial" w:hint="cs"/>
          <w:rtl/>
        </w:rPr>
        <w:t>ר</w:t>
      </w:r>
      <w:r>
        <w:rPr>
          <w:rFonts w:cs="Arial"/>
          <w:rtl/>
        </w:rPr>
        <w:t xml:space="preserve"> שאין קצבה זו בכל המקומות אלא הכל לפי המנהג</w:t>
      </w:r>
      <w:r>
        <w:rPr>
          <w:rFonts w:cs="Arial" w:hint="cs"/>
          <w:rtl/>
        </w:rPr>
        <w:t>, הה"מ (שם).</w:t>
      </w:r>
    </w:p>
  </w:footnote>
  <w:footnote w:id="1421">
    <w:p w14:paraId="1A4EA283" w14:textId="77777777" w:rsidR="00DF1FC7" w:rsidRDefault="00DF1FC7" w:rsidP="002E5BAD">
      <w:pPr>
        <w:pStyle w:val="a5"/>
        <w:rPr>
          <w:rtl/>
        </w:rPr>
      </w:pPr>
      <w:r>
        <w:rPr>
          <w:rStyle w:val="a7"/>
        </w:rPr>
        <w:footnoteRef/>
      </w:r>
      <w:r>
        <w:rPr>
          <w:rtl/>
        </w:rPr>
        <w:t xml:space="preserve"> </w:t>
      </w:r>
      <w:r w:rsidRPr="003A6A82">
        <w:rPr>
          <w:rFonts w:cs="Arial"/>
          <w:rtl/>
        </w:rPr>
        <w:t>ושייך למימר שיהא שלו דמעשה ידיה תחת מזונות</w:t>
      </w:r>
      <w:r>
        <w:rPr>
          <w:rFonts w:hint="cs"/>
          <w:rtl/>
        </w:rPr>
        <w:t>, רש"י.</w:t>
      </w:r>
    </w:p>
  </w:footnote>
  <w:footnote w:id="1422">
    <w:p w14:paraId="55BD3DE6" w14:textId="77777777" w:rsidR="00DF1FC7" w:rsidRDefault="00DF1FC7" w:rsidP="002E5BAD">
      <w:pPr>
        <w:pStyle w:val="a5"/>
      </w:pPr>
      <w:r>
        <w:rPr>
          <w:rStyle w:val="a7"/>
        </w:rPr>
        <w:footnoteRef/>
      </w:r>
      <w:r>
        <w:rPr>
          <w:rtl/>
        </w:rPr>
        <w:t xml:space="preserve"> </w:t>
      </w:r>
      <w:r w:rsidRPr="003A6A82">
        <w:rPr>
          <w:rFonts w:cs="Arial"/>
          <w:rtl/>
        </w:rPr>
        <w:t>מה שאני עושה יהא קונם לפיך</w:t>
      </w:r>
      <w:r>
        <w:rPr>
          <w:rFonts w:cs="Arial" w:hint="cs"/>
          <w:rtl/>
        </w:rPr>
        <w:t>, רש"י.</w:t>
      </w:r>
    </w:p>
  </w:footnote>
  <w:footnote w:id="1423">
    <w:p w14:paraId="57FC973D" w14:textId="77777777" w:rsidR="00DF1FC7" w:rsidRDefault="00DF1FC7" w:rsidP="002E5BAD">
      <w:pPr>
        <w:pStyle w:val="a5"/>
      </w:pPr>
      <w:r>
        <w:rPr>
          <w:rStyle w:val="a7"/>
        </w:rPr>
        <w:footnoteRef/>
      </w:r>
      <w:r>
        <w:rPr>
          <w:rtl/>
        </w:rPr>
        <w:t xml:space="preserve"> </w:t>
      </w:r>
      <w:r w:rsidRPr="003A6A82">
        <w:rPr>
          <w:rFonts w:cs="Arial"/>
          <w:rtl/>
        </w:rPr>
        <w:t>דמשעבדא ליה ואפי' לשמא תעדיף נמי לא חיישינן דאי מעדפה נמי לבעל הוא</w:t>
      </w:r>
      <w:r>
        <w:rPr>
          <w:rFonts w:cs="Arial" w:hint="cs"/>
          <w:rtl/>
        </w:rPr>
        <w:t>, רש"י.</w:t>
      </w:r>
    </w:p>
  </w:footnote>
  <w:footnote w:id="1424">
    <w:p w14:paraId="1042F493" w14:textId="77777777" w:rsidR="00DF1FC7" w:rsidRDefault="00DF1FC7" w:rsidP="002E5BAD">
      <w:pPr>
        <w:pStyle w:val="a5"/>
      </w:pPr>
      <w:r>
        <w:rPr>
          <w:rStyle w:val="a7"/>
        </w:rPr>
        <w:footnoteRef/>
      </w:r>
      <w:r>
        <w:rPr>
          <w:rtl/>
        </w:rPr>
        <w:t xml:space="preserve"> </w:t>
      </w:r>
      <w:r w:rsidRPr="003A6A82">
        <w:rPr>
          <w:rFonts w:cs="Arial"/>
          <w:rtl/>
        </w:rPr>
        <w:t>והעדפה דידה הוא וחייל עלה קונם</w:t>
      </w:r>
      <w:r>
        <w:rPr>
          <w:rFonts w:cs="Arial" w:hint="cs"/>
          <w:rtl/>
        </w:rPr>
        <w:t>, רש"י.</w:t>
      </w:r>
    </w:p>
  </w:footnote>
  <w:footnote w:id="1425">
    <w:p w14:paraId="73AD7714" w14:textId="77777777" w:rsidR="00DF1FC7" w:rsidRDefault="00DF1FC7" w:rsidP="002E5BAD">
      <w:pPr>
        <w:pStyle w:val="a5"/>
      </w:pPr>
      <w:r>
        <w:rPr>
          <w:rStyle w:val="a7"/>
        </w:rPr>
        <w:footnoteRef/>
      </w:r>
      <w:r>
        <w:rPr>
          <w:rtl/>
        </w:rPr>
        <w:t xml:space="preserve"> </w:t>
      </w:r>
      <w:r w:rsidRPr="003A6A82">
        <w:rPr>
          <w:rFonts w:cs="Arial"/>
          <w:rtl/>
        </w:rPr>
        <w:t>כגון שהיא עירנית ובעלת מלאכה</w:t>
      </w:r>
      <w:r>
        <w:rPr>
          <w:rFonts w:cs="Arial" w:hint="cs"/>
          <w:rtl/>
        </w:rPr>
        <w:t>, רש"י.</w:t>
      </w:r>
    </w:p>
  </w:footnote>
  <w:footnote w:id="1426">
    <w:p w14:paraId="60BE25A3" w14:textId="77777777" w:rsidR="00DF1FC7" w:rsidRDefault="00DF1FC7" w:rsidP="002E5BAD">
      <w:pPr>
        <w:pStyle w:val="a5"/>
        <w:rPr>
          <w:rtl/>
        </w:rPr>
      </w:pPr>
      <w:r>
        <w:rPr>
          <w:rStyle w:val="a7"/>
        </w:rPr>
        <w:footnoteRef/>
      </w:r>
      <w:r>
        <w:rPr>
          <w:rtl/>
        </w:rPr>
        <w:t xml:space="preserve"> </w:t>
      </w:r>
      <w:r w:rsidRPr="0077215F">
        <w:rPr>
          <w:rFonts w:cs="Arial"/>
          <w:rtl/>
        </w:rPr>
        <w:t>וקס"ד מציאתה כהעדפה שלא על ידי הדחק היא והיכי פליגי בה</w:t>
      </w:r>
      <w:r>
        <w:rPr>
          <w:rFonts w:hint="cs"/>
          <w:rtl/>
        </w:rPr>
        <w:t>, רש"י.</w:t>
      </w:r>
    </w:p>
  </w:footnote>
  <w:footnote w:id="1427">
    <w:p w14:paraId="79B6C34A" w14:textId="77777777" w:rsidR="00DF1FC7" w:rsidRDefault="00DF1FC7" w:rsidP="002E5BAD">
      <w:pPr>
        <w:pStyle w:val="a5"/>
      </w:pPr>
      <w:r>
        <w:rPr>
          <w:rStyle w:val="a7"/>
        </w:rPr>
        <w:footnoteRef/>
      </w:r>
      <w:r>
        <w:rPr>
          <w:rtl/>
        </w:rPr>
        <w:t xml:space="preserve"> </w:t>
      </w:r>
      <w:r w:rsidRPr="003A6A82">
        <w:rPr>
          <w:rFonts w:cs="Arial"/>
          <w:rtl/>
        </w:rPr>
        <w:t>כגון שדחקה עצמה והעדיפה</w:t>
      </w:r>
      <w:r>
        <w:rPr>
          <w:rFonts w:cs="Arial" w:hint="cs"/>
          <w:rtl/>
        </w:rPr>
        <w:t>, רש"י.</w:t>
      </w:r>
      <w:r w:rsidRPr="007E3C6C">
        <w:rPr>
          <w:rFonts w:cs="Arial"/>
          <w:rtl/>
        </w:rPr>
        <w:t xml:space="preserve"> </w:t>
      </w:r>
      <w:r>
        <w:rPr>
          <w:rFonts w:cs="Arial"/>
          <w:rtl/>
        </w:rPr>
        <w:t>וכתב הרא"ש (סי' ב) שע"י הדחק כגון עשתה מלאכה בלילות בשעה שבני אדם ישנים.</w:t>
      </w:r>
    </w:p>
  </w:footnote>
  <w:footnote w:id="1428">
    <w:p w14:paraId="736EEF5B" w14:textId="77777777" w:rsidR="00DF1FC7" w:rsidRDefault="00DF1FC7" w:rsidP="002E5BAD">
      <w:pPr>
        <w:pStyle w:val="a5"/>
      </w:pPr>
      <w:r>
        <w:rPr>
          <w:rStyle w:val="a7"/>
        </w:rPr>
        <w:footnoteRef/>
      </w:r>
      <w:r>
        <w:rPr>
          <w:rtl/>
        </w:rPr>
        <w:t xml:space="preserve"> </w:t>
      </w:r>
      <w:r w:rsidRPr="003A6A82">
        <w:rPr>
          <w:rFonts w:cs="Arial"/>
          <w:rtl/>
        </w:rPr>
        <w:t>דרוב מציאות צריך לחזר אחריהם כגון דגים שנשארו ביבשה או צבי שבור או לחפש סימא בקרקע</w:t>
      </w:r>
      <w:r>
        <w:rPr>
          <w:rFonts w:cs="Arial" w:hint="cs"/>
          <w:rtl/>
        </w:rPr>
        <w:t>, רש"י.</w:t>
      </w:r>
    </w:p>
  </w:footnote>
  <w:footnote w:id="1429">
    <w:p w14:paraId="01E17178" w14:textId="77777777" w:rsidR="00DF1FC7" w:rsidRDefault="00DF1FC7" w:rsidP="002E5BAD">
      <w:pPr>
        <w:pStyle w:val="a5"/>
      </w:pPr>
      <w:r>
        <w:rPr>
          <w:rStyle w:val="a7"/>
        </w:rPr>
        <w:footnoteRef/>
      </w:r>
      <w:r>
        <w:rPr>
          <w:rtl/>
        </w:rPr>
        <w:t xml:space="preserve"> </w:t>
      </w:r>
      <w:r w:rsidRPr="0077215F">
        <w:rPr>
          <w:rFonts w:cs="Arial"/>
          <w:rtl/>
        </w:rPr>
        <w:t>שומרת קישואים וטווה פשתן ומלמדת שיר לנשים בשכר ומחממת ביצים בחיקה או ביצי תולעים העושים משי שהנשים מחממות אותן בחיקן והם נוצרים</w:t>
      </w:r>
      <w:r>
        <w:rPr>
          <w:rFonts w:cs="Arial" w:hint="cs"/>
          <w:rtl/>
        </w:rPr>
        <w:t>, רש"י.</w:t>
      </w:r>
    </w:p>
  </w:footnote>
  <w:footnote w:id="1430">
    <w:p w14:paraId="40CAC25D" w14:textId="77777777" w:rsidR="00DF1FC7" w:rsidRDefault="00DF1FC7" w:rsidP="002E5BAD">
      <w:pPr>
        <w:pStyle w:val="a5"/>
      </w:pPr>
      <w:r>
        <w:rPr>
          <w:rStyle w:val="a7"/>
        </w:rPr>
        <w:footnoteRef/>
      </w:r>
      <w:r>
        <w:rPr>
          <w:rtl/>
        </w:rPr>
        <w:t xml:space="preserve"> </w:t>
      </w:r>
      <w:r>
        <w:rPr>
          <w:rFonts w:hint="cs"/>
          <w:rtl/>
        </w:rPr>
        <w:t>לקמן יתבאר למי מופנית שאלת הגמ', לת"ק או לר"ע.</w:t>
      </w:r>
    </w:p>
  </w:footnote>
  <w:footnote w:id="1431">
    <w:p w14:paraId="3D8F455A" w14:textId="77777777" w:rsidR="00DF1FC7" w:rsidRDefault="00DF1FC7" w:rsidP="002E5BAD">
      <w:pPr>
        <w:pStyle w:val="a5"/>
        <w:rPr>
          <w:rtl/>
        </w:rPr>
      </w:pPr>
      <w:r>
        <w:rPr>
          <w:rStyle w:val="a7"/>
        </w:rPr>
        <w:footnoteRef/>
      </w:r>
      <w:r>
        <w:rPr>
          <w:rtl/>
        </w:rPr>
        <w:t xml:space="preserve"> </w:t>
      </w:r>
      <w:r w:rsidRPr="00E55B2F">
        <w:rPr>
          <w:rFonts w:cs="Arial"/>
          <w:rtl/>
        </w:rPr>
        <w:t>כגון עשתה מלאכה בלילות בשעה שבני אדם ישנים</w:t>
      </w:r>
      <w:r>
        <w:rPr>
          <w:rFonts w:hint="cs"/>
          <w:rtl/>
        </w:rPr>
        <w:t>, רא"ש (שם).</w:t>
      </w:r>
    </w:p>
  </w:footnote>
  <w:footnote w:id="1432">
    <w:p w14:paraId="3C6456D3" w14:textId="77777777" w:rsidR="00DF1FC7" w:rsidRDefault="00DF1FC7" w:rsidP="002E5BAD">
      <w:pPr>
        <w:pStyle w:val="a5"/>
      </w:pPr>
      <w:r>
        <w:rPr>
          <w:rStyle w:val="a7"/>
        </w:rPr>
        <w:footnoteRef/>
      </w:r>
      <w:r>
        <w:rPr>
          <w:rtl/>
        </w:rPr>
        <w:t xml:space="preserve"> </w:t>
      </w:r>
      <w:r>
        <w:rPr>
          <w:rFonts w:cs="Arial"/>
          <w:rtl/>
        </w:rPr>
        <w:t>דרבי יוחנן בן נורי סבר כרבנן דהעדפה דבעל הוי</w:t>
      </w:r>
      <w:r>
        <w:rPr>
          <w:rFonts w:cs="Arial" w:hint="cs"/>
          <w:rtl/>
        </w:rPr>
        <w:t>,</w:t>
      </w:r>
      <w:r>
        <w:rPr>
          <w:rFonts w:cs="Arial"/>
          <w:rtl/>
        </w:rPr>
        <w:t xml:space="preserve"> רא"ש (פ"ה סי' טו)</w:t>
      </w:r>
      <w:r>
        <w:rPr>
          <w:rFonts w:cs="Arial" w:hint="cs"/>
          <w:rtl/>
        </w:rPr>
        <w:t>.</w:t>
      </w:r>
    </w:p>
  </w:footnote>
  <w:footnote w:id="1433">
    <w:p w14:paraId="7063C147" w14:textId="77777777" w:rsidR="00DF1FC7" w:rsidRDefault="00DF1FC7" w:rsidP="002E5BAD">
      <w:pPr>
        <w:pStyle w:val="a5"/>
        <w:rPr>
          <w:rtl/>
        </w:rPr>
      </w:pPr>
      <w:r>
        <w:rPr>
          <w:rStyle w:val="a7"/>
        </w:rPr>
        <w:footnoteRef/>
      </w:r>
      <w:r>
        <w:rPr>
          <w:rtl/>
        </w:rPr>
        <w:t xml:space="preserve"> </w:t>
      </w:r>
      <w:r>
        <w:rPr>
          <w:rFonts w:cs="Arial"/>
          <w:rtl/>
        </w:rPr>
        <w:t>פירש רבינו האיי דלרבנן קא מיבעיא ליה</w:t>
      </w:r>
      <w:r>
        <w:rPr>
          <w:rFonts w:cs="Arial" w:hint="cs"/>
          <w:sz w:val="16"/>
          <w:szCs w:val="16"/>
          <w:rtl/>
        </w:rPr>
        <w:t xml:space="preserve"> {הא דבעי רב פפי ורבינא}</w:t>
      </w:r>
      <w:r>
        <w:rPr>
          <w:rFonts w:cs="Arial" w:hint="cs"/>
          <w:rtl/>
        </w:rPr>
        <w:t>,</w:t>
      </w:r>
      <w:r>
        <w:rPr>
          <w:rFonts w:cs="Arial"/>
          <w:rtl/>
        </w:rPr>
        <w:t xml:space="preserve"> דדילמא אע</w:t>
      </w:r>
      <w:r>
        <w:rPr>
          <w:rFonts w:cs="Arial" w:hint="cs"/>
          <w:rtl/>
        </w:rPr>
        <w:t>"</w:t>
      </w:r>
      <w:r>
        <w:rPr>
          <w:rFonts w:cs="Arial"/>
          <w:rtl/>
        </w:rPr>
        <w:t>ג דבהעדפא שע"י הדחק אמרו רבנן דלבעלה</w:t>
      </w:r>
      <w:r>
        <w:rPr>
          <w:rFonts w:cs="Arial" w:hint="cs"/>
          <w:rtl/>
        </w:rPr>
        <w:t>,</w:t>
      </w:r>
      <w:r>
        <w:rPr>
          <w:rFonts w:cs="Arial"/>
          <w:rtl/>
        </w:rPr>
        <w:t xml:space="preserve"> שתים בבת אחת איפשר דלא מחייבא ליה אלא ממלאכה אחת אבל לא שתים בבת אחת</w:t>
      </w:r>
      <w:r>
        <w:rPr>
          <w:rFonts w:cs="Arial" w:hint="cs"/>
          <w:rtl/>
        </w:rPr>
        <w:t>.</w:t>
      </w:r>
      <w:r>
        <w:rPr>
          <w:rFonts w:cs="Arial"/>
          <w:rtl/>
        </w:rPr>
        <w:t xml:space="preserve"> ואת"ל שתי מלאכות שכיח דעבדה והוי דבעל</w:t>
      </w:r>
      <w:r>
        <w:rPr>
          <w:rFonts w:cs="Arial" w:hint="cs"/>
          <w:rtl/>
        </w:rPr>
        <w:t>,</w:t>
      </w:r>
      <w:r>
        <w:rPr>
          <w:rFonts w:cs="Arial"/>
          <w:rtl/>
        </w:rPr>
        <w:t xml:space="preserve"> בעי רבינא ג' וד' מהו</w:t>
      </w:r>
      <w:r>
        <w:rPr>
          <w:rFonts w:cs="Arial" w:hint="cs"/>
          <w:rtl/>
        </w:rPr>
        <w:t>,</w:t>
      </w:r>
      <w:r>
        <w:rPr>
          <w:rFonts w:cs="Arial"/>
          <w:rtl/>
        </w:rPr>
        <w:t xml:space="preserve"> וכיון דסלקא בתיקו הוי לעצמה</w:t>
      </w:r>
      <w:r>
        <w:rPr>
          <w:rFonts w:cs="Arial" w:hint="cs"/>
          <w:rtl/>
        </w:rPr>
        <w:t>, רא"ש (פ"ו סי' ב).</w:t>
      </w:r>
    </w:p>
  </w:footnote>
  <w:footnote w:id="1434">
    <w:p w14:paraId="3DFABED3" w14:textId="77777777" w:rsidR="00DF1FC7" w:rsidRDefault="00DF1FC7" w:rsidP="002E5BAD">
      <w:pPr>
        <w:pStyle w:val="a5"/>
      </w:pPr>
      <w:r>
        <w:rPr>
          <w:rStyle w:val="a7"/>
        </w:rPr>
        <w:footnoteRef/>
      </w:r>
      <w:r>
        <w:rPr>
          <w:rtl/>
        </w:rPr>
        <w:t xml:space="preserve"> </w:t>
      </w:r>
      <w:r>
        <w:rPr>
          <w:rFonts w:hint="cs"/>
          <w:rtl/>
        </w:rPr>
        <w:t xml:space="preserve">וז"ל- </w:t>
      </w:r>
      <w:r w:rsidRPr="00270F2B">
        <w:rPr>
          <w:rFonts w:cs="Arial"/>
          <w:rtl/>
        </w:rPr>
        <w:t>תוכל האשה לו' קים לי כמ"ד לעצמה וכתב הרב בב"ח שכן נוהגים במדינות אלו שלא להוצי' מיד האשה שום העדפה שעל ידי הדחק</w:t>
      </w:r>
      <w:r>
        <w:rPr>
          <w:rFonts w:cs="Arial" w:hint="cs"/>
          <w:rtl/>
        </w:rPr>
        <w:t>.</w:t>
      </w:r>
    </w:p>
  </w:footnote>
  <w:footnote w:id="1435">
    <w:p w14:paraId="57776C35" w14:textId="77777777" w:rsidR="00DF1FC7" w:rsidRDefault="00DF1FC7" w:rsidP="002E5BAD">
      <w:pPr>
        <w:pStyle w:val="a5"/>
        <w:rPr>
          <w:rtl/>
        </w:rPr>
      </w:pPr>
      <w:r>
        <w:rPr>
          <w:rStyle w:val="a7"/>
        </w:rPr>
        <w:footnoteRef/>
      </w:r>
      <w:r>
        <w:rPr>
          <w:rtl/>
        </w:rPr>
        <w:t xml:space="preserve"> </w:t>
      </w:r>
      <w:r>
        <w:rPr>
          <w:rFonts w:cs="Arial"/>
          <w:rtl/>
        </w:rPr>
        <w:t>ר"ח פירש דהני בעיות אליבא דרבי עקיבא דאמר העדפה שע"י הדחק לעצמה</w:t>
      </w:r>
      <w:r>
        <w:rPr>
          <w:rFonts w:cs="Arial" w:hint="cs"/>
          <w:rtl/>
        </w:rPr>
        <w:t>,</w:t>
      </w:r>
      <w:r>
        <w:rPr>
          <w:rFonts w:cs="Arial"/>
          <w:rtl/>
        </w:rPr>
        <w:t xml:space="preserve"> הוא הדין נמי כשעשתה שתי מלאכות</w:t>
      </w:r>
      <w:r>
        <w:rPr>
          <w:rFonts w:cs="Arial" w:hint="cs"/>
          <w:rtl/>
        </w:rPr>
        <w:t>,</w:t>
      </w:r>
      <w:r>
        <w:rPr>
          <w:rFonts w:cs="Arial"/>
          <w:rtl/>
        </w:rPr>
        <w:t xml:space="preserve"> או דילמא כיון שלא על ידי הדחק הוי לבעלה</w:t>
      </w:r>
      <w:r>
        <w:rPr>
          <w:rFonts w:cs="Arial" w:hint="cs"/>
          <w:rtl/>
        </w:rPr>
        <w:t>,</w:t>
      </w:r>
      <w:r>
        <w:rPr>
          <w:rFonts w:cs="Arial"/>
          <w:rtl/>
        </w:rPr>
        <w:t xml:space="preserve"> דלא אמר רבי עקיבא לעצמה אלא כשעושה מלאכה בשעה שבני אדם ישנים</w:t>
      </w:r>
      <w:r>
        <w:rPr>
          <w:rFonts w:cs="Arial" w:hint="cs"/>
          <w:rtl/>
        </w:rPr>
        <w:t>,</w:t>
      </w:r>
      <w:r>
        <w:rPr>
          <w:rFonts w:cs="Arial"/>
          <w:rtl/>
        </w:rPr>
        <w:t xml:space="preserve"> אבל לרבנן דאמרי דהעדפה שע"י הדחק לבעלה כל שכן עשתה שתים שלא ע"י הדחק</w:t>
      </w:r>
      <w:r>
        <w:rPr>
          <w:rFonts w:cs="Arial" w:hint="cs"/>
          <w:rtl/>
        </w:rPr>
        <w:t>,</w:t>
      </w:r>
      <w:r>
        <w:rPr>
          <w:rFonts w:cs="Arial"/>
          <w:rtl/>
        </w:rPr>
        <w:t xml:space="preserve"> מתוך זה נראה דהלכה כרבי עקיבא</w:t>
      </w:r>
      <w:r>
        <w:rPr>
          <w:rFonts w:cs="Arial" w:hint="cs"/>
          <w:rtl/>
        </w:rPr>
        <w:t>, רא"ש (פ"ו סי' ב).</w:t>
      </w:r>
      <w:r>
        <w:rPr>
          <w:rFonts w:cs="Arial"/>
          <w:rtl/>
        </w:rPr>
        <w:t xml:space="preserve"> ו</w:t>
      </w:r>
      <w:r>
        <w:rPr>
          <w:rFonts w:cs="Arial" w:hint="cs"/>
          <w:rtl/>
        </w:rPr>
        <w:t xml:space="preserve">כתב </w:t>
      </w:r>
      <w:r>
        <w:rPr>
          <w:rFonts w:cs="Arial"/>
          <w:rtl/>
        </w:rPr>
        <w:t>הר"ן (</w:t>
      </w:r>
      <w:r>
        <w:rPr>
          <w:rFonts w:cs="Arial" w:hint="cs"/>
          <w:rtl/>
        </w:rPr>
        <w:t xml:space="preserve">כד. </w:t>
      </w:r>
      <w:r>
        <w:rPr>
          <w:rFonts w:cs="Arial"/>
          <w:rtl/>
        </w:rPr>
        <w:t xml:space="preserve">ד"ה כי אתא רבין) </w:t>
      </w:r>
      <w:r>
        <w:rPr>
          <w:rFonts w:cs="Arial" w:hint="cs"/>
          <w:rtl/>
        </w:rPr>
        <w:t xml:space="preserve">דכן פירש רש"י, דכתב </w:t>
      </w:r>
      <w:r>
        <w:rPr>
          <w:rFonts w:cs="Arial"/>
          <w:rtl/>
        </w:rPr>
        <w:t>אהא דבעי רבינא ג' וד' מהו כגון שומרת קישואים וטווה פשתן ומלמדת שיר לנשים בשכר ומחממת ביצים בחיקה מי הוי כעל ידי הדחק או לא</w:t>
      </w:r>
      <w:r>
        <w:rPr>
          <w:rFonts w:cs="Arial" w:hint="cs"/>
          <w:rtl/>
        </w:rPr>
        <w:t xml:space="preserve"> </w:t>
      </w:r>
      <w:r w:rsidRPr="00C146F0">
        <w:rPr>
          <w:rFonts w:cs="Arial" w:hint="cs"/>
          <w:sz w:val="16"/>
          <w:szCs w:val="16"/>
          <w:rtl/>
        </w:rPr>
        <w:t>(ד</w:t>
      </w:r>
      <w:r w:rsidRPr="00C146F0">
        <w:rPr>
          <w:rFonts w:cs="Arial"/>
          <w:sz w:val="16"/>
          <w:szCs w:val="16"/>
          <w:rtl/>
        </w:rPr>
        <w:t>לפי</w:t>
      </w:r>
      <w:r w:rsidRPr="00C146F0">
        <w:rPr>
          <w:rFonts w:cs="Arial" w:hint="cs"/>
          <w:sz w:val="16"/>
          <w:szCs w:val="16"/>
          <w:rtl/>
        </w:rPr>
        <w:t xml:space="preserve"> פירוש זה</w:t>
      </w:r>
      <w:r w:rsidRPr="00C146F0">
        <w:rPr>
          <w:rFonts w:cs="Arial"/>
          <w:sz w:val="16"/>
          <w:szCs w:val="16"/>
          <w:rtl/>
        </w:rPr>
        <w:t xml:space="preserve"> זה אליבא דרבי עקיבא קא בעי</w:t>
      </w:r>
      <w:r w:rsidRPr="00C146F0">
        <w:rPr>
          <w:rFonts w:cs="Arial" w:hint="cs"/>
          <w:sz w:val="16"/>
          <w:szCs w:val="16"/>
          <w:rtl/>
        </w:rPr>
        <w:t>,</w:t>
      </w:r>
      <w:r w:rsidRPr="00C146F0">
        <w:rPr>
          <w:rFonts w:cs="Arial"/>
          <w:sz w:val="16"/>
          <w:szCs w:val="16"/>
          <w:rtl/>
        </w:rPr>
        <w:t xml:space="preserve"> דאילו לרבנן מאי נ"מ</w:t>
      </w:r>
      <w:r w:rsidRPr="00C146F0">
        <w:rPr>
          <w:rFonts w:cs="Arial" w:hint="cs"/>
          <w:sz w:val="16"/>
          <w:szCs w:val="16"/>
          <w:rtl/>
        </w:rPr>
        <w:t>,</w:t>
      </w:r>
      <w:r w:rsidRPr="00C146F0">
        <w:rPr>
          <w:rFonts w:cs="Arial"/>
          <w:sz w:val="16"/>
          <w:szCs w:val="16"/>
          <w:rtl/>
        </w:rPr>
        <w:t xml:space="preserve"> דהא אפילו העדפה שעל ידי הדחק דבעל הוי</w:t>
      </w:r>
      <w:r w:rsidRPr="00C146F0">
        <w:rPr>
          <w:rFonts w:cs="Arial" w:hint="cs"/>
          <w:sz w:val="16"/>
          <w:szCs w:val="16"/>
          <w:rtl/>
        </w:rPr>
        <w:t>,</w:t>
      </w:r>
      <w:r w:rsidRPr="00C146F0">
        <w:rPr>
          <w:rFonts w:cs="Arial"/>
          <w:sz w:val="16"/>
          <w:szCs w:val="16"/>
          <w:rtl/>
        </w:rPr>
        <w:t xml:space="preserve"> וכיון דאליביה בעי משמע דהלכתא כוותיה</w:t>
      </w:r>
      <w:r w:rsidRPr="00C146F0">
        <w:rPr>
          <w:rFonts w:cs="Arial" w:hint="cs"/>
          <w:sz w:val="16"/>
          <w:szCs w:val="16"/>
          <w:rtl/>
        </w:rPr>
        <w:t>)</w:t>
      </w:r>
      <w:r>
        <w:rPr>
          <w:rFonts w:cs="Arial" w:hint="cs"/>
          <w:rtl/>
        </w:rPr>
        <w:t xml:space="preserve">. וכתב הטור שהרא"ש הביא </w:t>
      </w:r>
      <w:r w:rsidRPr="000A7A9C">
        <w:rPr>
          <w:rFonts w:cs="Arial"/>
          <w:rtl/>
        </w:rPr>
        <w:t xml:space="preserve">דברי שניהם </w:t>
      </w:r>
      <w:r>
        <w:rPr>
          <w:rFonts w:cs="Arial" w:hint="cs"/>
          <w:sz w:val="16"/>
          <w:szCs w:val="16"/>
          <w:rtl/>
        </w:rPr>
        <w:t xml:space="preserve">{רב האי ור"ח} </w:t>
      </w:r>
      <w:r w:rsidRPr="000A7A9C">
        <w:rPr>
          <w:rFonts w:cs="Arial"/>
          <w:rtl/>
        </w:rPr>
        <w:t>ולא פסק כמי</w:t>
      </w:r>
      <w:r>
        <w:rPr>
          <w:rFonts w:hint="cs"/>
          <w:rtl/>
        </w:rPr>
        <w:t xml:space="preserve">. והר"ן </w:t>
      </w:r>
      <w:r>
        <w:rPr>
          <w:rFonts w:cs="Arial"/>
          <w:rtl/>
        </w:rPr>
        <w:t>(</w:t>
      </w:r>
      <w:r>
        <w:rPr>
          <w:rFonts w:cs="Arial" w:hint="cs"/>
          <w:rtl/>
        </w:rPr>
        <w:t xml:space="preserve">כד. </w:t>
      </w:r>
      <w:r>
        <w:rPr>
          <w:rFonts w:cs="Arial"/>
          <w:rtl/>
        </w:rPr>
        <w:t>ד"ה כי אתא רבין)</w:t>
      </w:r>
      <w:r w:rsidRPr="000D281E">
        <w:rPr>
          <w:rFonts w:cs="Arial" w:hint="cs"/>
          <w:rtl/>
        </w:rPr>
        <w:t xml:space="preserve"> </w:t>
      </w:r>
      <w:r>
        <w:rPr>
          <w:rFonts w:cs="Arial" w:hint="cs"/>
          <w:rtl/>
        </w:rPr>
        <w:t xml:space="preserve">תמה על הרי"ף (שם) והרמב"ם (שם) </w:t>
      </w:r>
      <w:r>
        <w:rPr>
          <w:rFonts w:cs="Arial"/>
          <w:rtl/>
        </w:rPr>
        <w:t>למה לא הביאו בעיי דרב פפא ורבינא</w:t>
      </w:r>
      <w:r>
        <w:rPr>
          <w:rFonts w:cs="Arial" w:hint="cs"/>
          <w:rtl/>
        </w:rPr>
        <w:t>,</w:t>
      </w:r>
      <w:r>
        <w:rPr>
          <w:rFonts w:cs="Arial"/>
          <w:rtl/>
        </w:rPr>
        <w:t xml:space="preserve"> שכיון שהם פוסקים כרבנן משמע דסבירא להו דהני בעיי לרבנן נינהו</w:t>
      </w:r>
      <w:r>
        <w:rPr>
          <w:rFonts w:cs="Arial" w:hint="cs"/>
          <w:rtl/>
        </w:rPr>
        <w:t>,</w:t>
      </w:r>
      <w:r>
        <w:rPr>
          <w:rFonts w:cs="Arial"/>
          <w:rtl/>
        </w:rPr>
        <w:t xml:space="preserve"> והיה להם ז"ל להביאם עכ"ל</w:t>
      </w:r>
      <w:r>
        <w:rPr>
          <w:rFonts w:cs="Arial" w:hint="cs"/>
          <w:sz w:val="16"/>
          <w:szCs w:val="16"/>
          <w:rtl/>
        </w:rPr>
        <w:t xml:space="preserve"> [הר"ן]</w:t>
      </w:r>
      <w:r>
        <w:rPr>
          <w:rFonts w:cs="Arial"/>
          <w:rtl/>
        </w:rPr>
        <w:t>. והרב המגיד כתב שאיפשר שהטעם שלא כתבום הוא מפני שהם סוברים דאתיין אליבא דרבי עקיבא ואין הלכה כמותו עכ"ל</w:t>
      </w:r>
      <w:r>
        <w:rPr>
          <w:rFonts w:cs="Arial" w:hint="cs"/>
          <w:rtl/>
        </w:rPr>
        <w:t>.</w:t>
      </w:r>
      <w:r>
        <w:rPr>
          <w:rFonts w:cs="Arial"/>
          <w:rtl/>
        </w:rPr>
        <w:t xml:space="preserve"> </w:t>
      </w:r>
      <w:r>
        <w:rPr>
          <w:rFonts w:cs="Arial" w:hint="cs"/>
          <w:rtl/>
        </w:rPr>
        <w:t xml:space="preserve">והסביר הב"י דכוונתו </w:t>
      </w:r>
      <w:r>
        <w:rPr>
          <w:rFonts w:cs="Arial"/>
          <w:rtl/>
        </w:rPr>
        <w:t>לומר דאע</w:t>
      </w:r>
      <w:r>
        <w:rPr>
          <w:rFonts w:cs="Arial" w:hint="cs"/>
          <w:rtl/>
        </w:rPr>
        <w:t>"</w:t>
      </w:r>
      <w:r>
        <w:rPr>
          <w:rFonts w:cs="Arial"/>
          <w:rtl/>
        </w:rPr>
        <w:t>ג שהם פוסקים כרב האיי</w:t>
      </w:r>
      <w:r>
        <w:rPr>
          <w:rFonts w:cs="Arial" w:hint="cs"/>
          <w:rtl/>
        </w:rPr>
        <w:t>,</w:t>
      </w:r>
      <w:r>
        <w:rPr>
          <w:rFonts w:cs="Arial"/>
          <w:rtl/>
        </w:rPr>
        <w:t xml:space="preserve"> מכל מקום לאו מטעמיה</w:t>
      </w:r>
      <w:r>
        <w:rPr>
          <w:rFonts w:cs="Arial" w:hint="cs"/>
          <w:rtl/>
        </w:rPr>
        <w:t>,</w:t>
      </w:r>
      <w:r>
        <w:rPr>
          <w:rFonts w:cs="Arial"/>
          <w:rtl/>
        </w:rPr>
        <w:t xml:space="preserve"> דאיהו פסק כן משום דמשמע ליה דהני בעיי אליבא דרבנן שייכי</w:t>
      </w:r>
      <w:r>
        <w:rPr>
          <w:rFonts w:cs="Arial" w:hint="cs"/>
          <w:rtl/>
        </w:rPr>
        <w:t>,</w:t>
      </w:r>
      <w:r>
        <w:rPr>
          <w:rFonts w:cs="Arial"/>
          <w:rtl/>
        </w:rPr>
        <w:t xml:space="preserve"> ואינהו ז"ל אע</w:t>
      </w:r>
      <w:r>
        <w:rPr>
          <w:rFonts w:cs="Arial" w:hint="cs"/>
          <w:rtl/>
        </w:rPr>
        <w:t>"</w:t>
      </w:r>
      <w:r>
        <w:rPr>
          <w:rFonts w:cs="Arial"/>
          <w:rtl/>
        </w:rPr>
        <w:t>ג דמשמע להו דהני בעיי אליבא דרבי עקיבא שייכי פסקו כרבנן</w:t>
      </w:r>
      <w:r>
        <w:rPr>
          <w:rFonts w:cs="Arial" w:hint="cs"/>
          <w:rtl/>
        </w:rPr>
        <w:t>,</w:t>
      </w:r>
      <w:r>
        <w:rPr>
          <w:rFonts w:cs="Arial"/>
          <w:rtl/>
        </w:rPr>
        <w:t xml:space="preserve"> משום דבכל דוכתא קיי"ל הלכתא כרבנן</w:t>
      </w:r>
      <w:r>
        <w:rPr>
          <w:rFonts w:cs="Arial" w:hint="cs"/>
          <w:rtl/>
        </w:rPr>
        <w:t>,</w:t>
      </w:r>
      <w:r>
        <w:rPr>
          <w:rFonts w:cs="Arial"/>
          <w:rtl/>
        </w:rPr>
        <w:t xml:space="preserve"> והא דבעו אמוראי הני בעיי אליבא דרבי עקיבא </w:t>
      </w:r>
      <w:r>
        <w:rPr>
          <w:rFonts w:cs="Arial" w:hint="cs"/>
          <w:rtl/>
        </w:rPr>
        <w:t xml:space="preserve">- </w:t>
      </w:r>
      <w:r>
        <w:rPr>
          <w:rFonts w:cs="Arial"/>
          <w:rtl/>
        </w:rPr>
        <w:t>לפרושי טעמיה אתו אע</w:t>
      </w:r>
      <w:r>
        <w:rPr>
          <w:rFonts w:cs="Arial" w:hint="cs"/>
          <w:rtl/>
        </w:rPr>
        <w:t>"</w:t>
      </w:r>
      <w:r>
        <w:rPr>
          <w:rFonts w:cs="Arial"/>
          <w:rtl/>
        </w:rPr>
        <w:t>ג דלית הלכתא כוותיה</w:t>
      </w:r>
      <w:r>
        <w:rPr>
          <w:rFonts w:cs="Arial" w:hint="cs"/>
          <w:sz w:val="16"/>
          <w:szCs w:val="16"/>
          <w:rtl/>
        </w:rPr>
        <w:t xml:space="preserve"> [עכ"ל הב"י]</w:t>
      </w:r>
      <w:r>
        <w:rPr>
          <w:rFonts w:cs="Arial" w:hint="cs"/>
          <w:rtl/>
        </w:rPr>
        <w:t>.</w:t>
      </w:r>
    </w:p>
  </w:footnote>
  <w:footnote w:id="1436">
    <w:p w14:paraId="1B7F1901" w14:textId="77777777" w:rsidR="00DF1FC7" w:rsidRDefault="00DF1FC7" w:rsidP="002E5BAD">
      <w:pPr>
        <w:pStyle w:val="a5"/>
      </w:pPr>
      <w:r>
        <w:rPr>
          <w:rStyle w:val="a7"/>
        </w:rPr>
        <w:footnoteRef/>
      </w:r>
      <w:r>
        <w:rPr>
          <w:rtl/>
        </w:rPr>
        <w:t xml:space="preserve"> </w:t>
      </w:r>
      <w:r>
        <w:rPr>
          <w:rFonts w:cs="Arial" w:hint="cs"/>
          <w:rtl/>
        </w:rPr>
        <w:t>ו</w:t>
      </w:r>
      <w:r w:rsidRPr="000A7A9C">
        <w:rPr>
          <w:rFonts w:cs="Arial"/>
          <w:rtl/>
        </w:rPr>
        <w:t>אף למ"ד המותר שלה מכל מקום אינו אלא כנכסי מלוג והבעל אוכל פירות</w:t>
      </w:r>
      <w:r>
        <w:rPr>
          <w:rFonts w:cs="Arial" w:hint="cs"/>
          <w:rtl/>
        </w:rPr>
        <w:t xml:space="preserve">, </w:t>
      </w:r>
      <w:r w:rsidRPr="000A7A9C">
        <w:rPr>
          <w:rFonts w:cs="Arial"/>
          <w:rtl/>
        </w:rPr>
        <w:t xml:space="preserve">מרדכי </w:t>
      </w:r>
      <w:r w:rsidRPr="0028436B">
        <w:rPr>
          <w:rFonts w:cs="Arial" w:hint="cs"/>
          <w:sz w:val="16"/>
          <w:szCs w:val="16"/>
          <w:rtl/>
        </w:rPr>
        <w:t>(</w:t>
      </w:r>
      <w:r w:rsidRPr="0028436B">
        <w:rPr>
          <w:rFonts w:cs="Arial"/>
          <w:sz w:val="16"/>
          <w:szCs w:val="16"/>
          <w:rtl/>
        </w:rPr>
        <w:t>ר</w:t>
      </w:r>
      <w:r w:rsidRPr="0028436B">
        <w:rPr>
          <w:rFonts w:cs="Arial" w:hint="cs"/>
          <w:sz w:val="16"/>
          <w:szCs w:val="16"/>
          <w:rtl/>
        </w:rPr>
        <w:t>"פ</w:t>
      </w:r>
      <w:r w:rsidRPr="0028436B">
        <w:rPr>
          <w:rFonts w:cs="Arial"/>
          <w:sz w:val="16"/>
          <w:szCs w:val="16"/>
          <w:rtl/>
        </w:rPr>
        <w:t xml:space="preserve"> מציאת אשה סי' קצ</w:t>
      </w:r>
      <w:r w:rsidRPr="0028436B">
        <w:rPr>
          <w:rFonts w:cs="Arial" w:hint="cs"/>
          <w:sz w:val="16"/>
          <w:szCs w:val="16"/>
          <w:rtl/>
        </w:rPr>
        <w:t>, כ"כ הדרכ"מ בשמו [אות ה]</w:t>
      </w:r>
      <w:r w:rsidRPr="0028436B">
        <w:rPr>
          <w:rFonts w:cs="Arial"/>
          <w:sz w:val="16"/>
          <w:szCs w:val="16"/>
          <w:rtl/>
        </w:rPr>
        <w:t>)</w:t>
      </w:r>
      <w:r>
        <w:rPr>
          <w:rFonts w:cs="Arial" w:hint="cs"/>
          <w:rtl/>
        </w:rPr>
        <w:t>.</w:t>
      </w:r>
    </w:p>
  </w:footnote>
  <w:footnote w:id="1437">
    <w:p w14:paraId="75EEF67B" w14:textId="77777777" w:rsidR="00DF1FC7" w:rsidRDefault="00DF1FC7" w:rsidP="002E5BAD">
      <w:pPr>
        <w:pStyle w:val="a5"/>
        <w:rPr>
          <w:rtl/>
        </w:rPr>
      </w:pPr>
      <w:r>
        <w:rPr>
          <w:rStyle w:val="a7"/>
        </w:rPr>
        <w:footnoteRef/>
      </w:r>
      <w:r>
        <w:rPr>
          <w:rtl/>
        </w:rPr>
        <w:t xml:space="preserve"> </w:t>
      </w:r>
      <w:r w:rsidRPr="000A7A9C">
        <w:rPr>
          <w:rFonts w:cs="Arial"/>
          <w:rtl/>
        </w:rPr>
        <w:t>ודבר ברור הוא שאם במעשה ידיה דשכיחי יכולה לומר איני נזונת ואיני עושה כל שכן במותר דלא שכיח</w:t>
      </w:r>
      <w:r>
        <w:rPr>
          <w:rFonts w:hint="cs"/>
          <w:rtl/>
        </w:rPr>
        <w:t>, ר"ן (שם).</w:t>
      </w:r>
    </w:p>
  </w:footnote>
  <w:footnote w:id="1438">
    <w:p w14:paraId="6B72B295" w14:textId="77777777" w:rsidR="00DF1FC7" w:rsidRDefault="00DF1FC7" w:rsidP="002E5BAD">
      <w:pPr>
        <w:pStyle w:val="a5"/>
        <w:rPr>
          <w:rtl/>
        </w:rPr>
      </w:pPr>
      <w:r>
        <w:rPr>
          <w:rStyle w:val="a7"/>
        </w:rPr>
        <w:footnoteRef/>
      </w:r>
      <w:r>
        <w:rPr>
          <w:rtl/>
        </w:rPr>
        <w:t xml:space="preserve"> </w:t>
      </w:r>
      <w:r w:rsidRPr="00E47041">
        <w:rPr>
          <w:rFonts w:cs="Arial"/>
          <w:rtl/>
        </w:rPr>
        <w:t>ודוקא בזן אותה אבל אם אינו זן אותה אע</w:t>
      </w:r>
      <w:r>
        <w:rPr>
          <w:rFonts w:cs="Arial" w:hint="cs"/>
          <w:rtl/>
        </w:rPr>
        <w:t>"</w:t>
      </w:r>
      <w:r w:rsidRPr="00E47041">
        <w:rPr>
          <w:rFonts w:cs="Arial"/>
          <w:rtl/>
        </w:rPr>
        <w:t>פ שלא בא העיכוב ממנו ואפי' שלא אמרה בפירוש איני ניזונית ואיני עושה</w:t>
      </w:r>
      <w:r>
        <w:rPr>
          <w:rFonts w:hint="cs"/>
          <w:rtl/>
        </w:rPr>
        <w:t>, באה"ט (סק"א).</w:t>
      </w:r>
    </w:p>
  </w:footnote>
  <w:footnote w:id="1439">
    <w:p w14:paraId="2A39FF88" w14:textId="77777777" w:rsidR="00DF1FC7" w:rsidRDefault="00DF1FC7" w:rsidP="002E5BAD">
      <w:pPr>
        <w:pStyle w:val="a5"/>
        <w:rPr>
          <w:rtl/>
        </w:rPr>
      </w:pPr>
      <w:r>
        <w:rPr>
          <w:rStyle w:val="a7"/>
        </w:rPr>
        <w:footnoteRef/>
      </w:r>
      <w:r>
        <w:rPr>
          <w:rtl/>
        </w:rPr>
        <w:t xml:space="preserve"> </w:t>
      </w:r>
      <w:r w:rsidRPr="00270F2B">
        <w:rPr>
          <w:rFonts w:cs="Arial"/>
          <w:rtl/>
        </w:rPr>
        <w:t>משמע דאין עושין שום מלאכה ויושבים בטל אפילו בנות משפחתה ג"כ יושבים בטל יכול הוא לכוף אותה שאל תשב בטל ותעשה מלאכה בצמר ומתני' דתנא עושה בצמר ולא בפשתן איירי נמי בכה"ג דיושבים בטל אבל אם דרכן לעשות בפשתן כופין אותה שתעשה פשתן ומגירסת הרמב"ם משמע אם אין להן מלאכה מיוחד אלא קצתן עושים מלאכה אחת וקצתן עושים מלאכה אחרת כופין אותה על צמר ולא על פשתן</w:t>
      </w:r>
      <w:r>
        <w:rPr>
          <w:rFonts w:hint="cs"/>
          <w:rtl/>
        </w:rPr>
        <w:t>, ב"ש (סק"א).</w:t>
      </w:r>
    </w:p>
  </w:footnote>
  <w:footnote w:id="1440">
    <w:p w14:paraId="0E0CD28F" w14:textId="77777777" w:rsidR="00DF1FC7" w:rsidRDefault="00DF1FC7" w:rsidP="002E5BAD">
      <w:pPr>
        <w:pStyle w:val="a5"/>
      </w:pPr>
      <w:r>
        <w:rPr>
          <w:rStyle w:val="a7"/>
        </w:rPr>
        <w:footnoteRef/>
      </w:r>
      <w:r>
        <w:rPr>
          <w:rtl/>
        </w:rPr>
        <w:t xml:space="preserve"> </w:t>
      </w:r>
      <w:r w:rsidRPr="00270F2B">
        <w:rPr>
          <w:rFonts w:cs="Arial"/>
          <w:rtl/>
        </w:rPr>
        <w:t>לאו אדחק' עצמה קאי אלא אסתם מותר מעשי ידיה לא זכה הבעל במותר אלא בנותן לה מעה כסף</w:t>
      </w:r>
      <w:r>
        <w:rPr>
          <w:rFonts w:cs="Arial" w:hint="cs"/>
          <w:rtl/>
        </w:rPr>
        <w:t>, ח"מ (סק"ג).</w:t>
      </w:r>
    </w:p>
  </w:footnote>
  <w:footnote w:id="1441">
    <w:p w14:paraId="1CF67CBC" w14:textId="77777777" w:rsidR="00DF1FC7" w:rsidRDefault="00DF1FC7" w:rsidP="002E5BAD">
      <w:pPr>
        <w:pStyle w:val="a5"/>
      </w:pPr>
      <w:r>
        <w:rPr>
          <w:rStyle w:val="a7"/>
        </w:rPr>
        <w:footnoteRef/>
      </w:r>
      <w:r>
        <w:rPr>
          <w:rtl/>
        </w:rPr>
        <w:t xml:space="preserve"> </w:t>
      </w:r>
      <w:r w:rsidRPr="00E47041">
        <w:rPr>
          <w:rFonts w:cs="Arial"/>
          <w:rtl/>
        </w:rPr>
        <w:t>ועיין במל"מ רפכ"א מה' אישות שהביא ג"כ דברי מהרי"ט בזה ושם מבואר דמהרי"ט לא החליט הדין כלל אלא שצידד בזה</w:t>
      </w:r>
      <w:r>
        <w:rPr>
          <w:rFonts w:cs="Arial" w:hint="cs"/>
          <w:rtl/>
        </w:rPr>
        <w:t>.</w:t>
      </w:r>
      <w:r w:rsidRPr="00E47041">
        <w:rPr>
          <w:rFonts w:cs="Arial"/>
          <w:rtl/>
        </w:rPr>
        <w:t xml:space="preserve"> והמל"מ תמה עליו </w:t>
      </w:r>
      <w:r>
        <w:rPr>
          <w:rFonts w:cs="Arial" w:hint="cs"/>
          <w:sz w:val="16"/>
          <w:szCs w:val="16"/>
          <w:rtl/>
        </w:rPr>
        <w:t xml:space="preserve">{על המהרי"ט} </w:t>
      </w:r>
      <w:r w:rsidRPr="00E47041">
        <w:rPr>
          <w:rFonts w:cs="Arial"/>
          <w:rtl/>
        </w:rPr>
        <w:t>למה השמיט הרב דברי גדולי המחברים אשר נחלקו בזה כו' ודעתו נראה שיכולה האשה לומר קים לי כדעת הרמ"ה שהביא הטור סי' פ"ד דאם אינה ניזונית מציאתה לעצמה ולכן לא מפקינן מינה ע"ש.</w:t>
      </w:r>
      <w:r>
        <w:rPr>
          <w:rFonts w:cs="Arial" w:hint="cs"/>
          <w:rtl/>
        </w:rPr>
        <w:t>, פת"ש (סק"א).</w:t>
      </w:r>
    </w:p>
  </w:footnote>
  <w:footnote w:id="1442">
    <w:p w14:paraId="371C0865" w14:textId="77777777" w:rsidR="00DF1FC7" w:rsidRDefault="00DF1FC7" w:rsidP="002E5BAD">
      <w:pPr>
        <w:pStyle w:val="a5"/>
      </w:pPr>
      <w:r>
        <w:rPr>
          <w:rStyle w:val="a7"/>
        </w:rPr>
        <w:footnoteRef/>
      </w:r>
      <w:r>
        <w:rPr>
          <w:rtl/>
        </w:rPr>
        <w:t xml:space="preserve"> </w:t>
      </w:r>
      <w:r>
        <w:rPr>
          <w:rFonts w:hint="cs"/>
          <w:rtl/>
        </w:rPr>
        <w:t xml:space="preserve">וז"ל- </w:t>
      </w:r>
      <w:r w:rsidRPr="00E47041">
        <w:rPr>
          <w:rFonts w:cs="Arial"/>
          <w:rtl/>
        </w:rPr>
        <w:t>ומה שמספקא עלי בנשים האלו שהנה גבירות ונכנסות בחצרות שרי מלכים וטירותם והמה כאניות סוחר להביא טרף לביתה ומכלכלים את בעליהם זה כמה שנים ומפרי ידיהם עשתו גם גברו חיל עושר ונכסי'</w:t>
      </w:r>
      <w:r>
        <w:rPr>
          <w:rFonts w:cs="Arial" w:hint="cs"/>
          <w:rtl/>
        </w:rPr>
        <w:t>,</w:t>
      </w:r>
      <w:r w:rsidRPr="00E47041">
        <w:rPr>
          <w:rFonts w:cs="Arial"/>
          <w:rtl/>
        </w:rPr>
        <w:t xml:space="preserve"> אם נאמר שאשה כזאת אין לבעלה זכות בכל אשר עשתה חיל כי מאחר שהוא אינו מעלה לה מזונות אדרבא היא מכלכלת את בעלה ואת בניה ואת כל אשר אתה בבית אין הבעל זוכה במעשה ידיה בסתם ואינה צריכה לפרש ולומר איני ניזונית ואיני עושה דכל שאין הבעל זנה במאי זכי במעשה ידיה </w:t>
      </w:r>
      <w:r w:rsidRPr="008C57E2">
        <w:rPr>
          <w:rFonts w:cs="Arial" w:hint="cs"/>
          <w:sz w:val="16"/>
          <w:szCs w:val="16"/>
          <w:rtl/>
        </w:rPr>
        <w:t>(</w:t>
      </w:r>
      <w:r w:rsidRPr="008C57E2">
        <w:rPr>
          <w:rFonts w:cs="Arial"/>
          <w:sz w:val="16"/>
          <w:szCs w:val="16"/>
          <w:rtl/>
        </w:rPr>
        <w:t>ומנא אמינא לה מהא דמייתי הר"ן ז"ל בפרק אלמנה ניזוני' משם הרמב"ן ז"ל גבי אלמנה ששהתה עשר שנים וכו' שאם לא נתן לאשתו מזונות ועשתה ואכלה אפילו שהותירה אין לבעלה עליה כלום דכל היכא דאיהו לא יהיב לה מזונות אינה צריכה להתנות בפי' ולומר איני ניזונת וכו' אלא זכתה במעשה ידיה אפילו דרך שתיקה וזו היא ששנינו אם אינו נותן לה מעה כסף לצרכיה מעשה ידיה שלה. ואין לחלק בין היכא דאתיא מיניה שלא רצה לתת לה מזונות להיכא דאתיא מינה כי כביר מצאה ידה ולא הוצרכה לבעלה שיביא לחם ביתו דהתם לאו משום שהוא לא רצה לתת לה מזונות דהא בשהתה ולא תבעה מיירי התם מעיקרא ועלה קאמר וה"מ לאפוקי מבעלה מזונות אבל אם הותירו אין לבעלה עליה כלום אלמא הותירה דומיא דפחתה דבכל ענין שלא העלה לה אין לו במות' כלו' ולשון דכל היכא דאיהו לא יהיב לה לשעתה משמע אפי' לא תבעתו וכן מתני' דמייתי מואם אינו נותן לה מעה כסף לצרכיה מיירי אפילו לא תבעתו מדלא קתני ואם אינו רוצה ליתן כו' אלמא דכל היכא דלא נתן לה זכתה במותר מעשה ידיה</w:t>
      </w:r>
      <w:r w:rsidRPr="008C57E2">
        <w:rPr>
          <w:rFonts w:cs="Arial" w:hint="cs"/>
          <w:sz w:val="16"/>
          <w:szCs w:val="16"/>
          <w:rtl/>
        </w:rPr>
        <w:t>)</w:t>
      </w:r>
      <w:r>
        <w:rPr>
          <w:rFonts w:cs="Arial" w:hint="cs"/>
          <w:rtl/>
        </w:rPr>
        <w:t>.</w:t>
      </w:r>
      <w:r w:rsidRPr="00E47041">
        <w:rPr>
          <w:rFonts w:cs="Arial"/>
          <w:rtl/>
        </w:rPr>
        <w:t xml:space="preserve"> אלא שאפשר לומר דנשים אלו שתחל' שמושן במלאכה זו עדיין הבעל טורח במזונות וכשהי</w:t>
      </w:r>
      <w:r>
        <w:rPr>
          <w:rFonts w:cs="Arial" w:hint="cs"/>
          <w:rtl/>
        </w:rPr>
        <w:t>א</w:t>
      </w:r>
      <w:r w:rsidRPr="00E47041">
        <w:rPr>
          <w:rFonts w:cs="Arial"/>
          <w:rtl/>
        </w:rPr>
        <w:t xml:space="preserve"> מרווחת ונותנה בעין יפה ונותנת יציאו' הבית כל שלא אמרה איני נזונית וכו' הרי יש לה ממה שתפרנס הבית ממה שהרויחה כבר ומדידיה קאכל' ומדידיה שת' וכל מה שהיתה הולכ' ומשתכר' קמא קמא בטיל לגבי בעל</w:t>
      </w:r>
      <w:r>
        <w:rPr>
          <w:rFonts w:cs="Arial" w:hint="cs"/>
          <w:rtl/>
        </w:rPr>
        <w:t>.</w:t>
      </w:r>
      <w:r w:rsidRPr="00E47041">
        <w:rPr>
          <w:rFonts w:cs="Arial"/>
          <w:rtl/>
        </w:rPr>
        <w:t xml:space="preserve"> אי נמי אפשר לומר דכיון דאיכא ריוח ביתא מסתמא וותרה</w:t>
      </w:r>
      <w:r>
        <w:rPr>
          <w:rFonts w:cs="Arial" w:hint="cs"/>
          <w:rtl/>
        </w:rPr>
        <w:t>,</w:t>
      </w:r>
      <w:r w:rsidRPr="00E47041">
        <w:rPr>
          <w:rFonts w:cs="Arial"/>
          <w:rtl/>
        </w:rPr>
        <w:t xml:space="preserve"> כדאמרינן בפרק מציאת האשה במי שמת והניח ב' בנות וקדמה ראשונה ונטלה עישור נכסים ולא הספיקה שניה לגבות עד שמת הבן א"ר יוחנן שניה וותרה וחולקות בשוה ומסיק דטעמא דר"י משו' ריוח ביתא. ופסקו הרי"ף והרמב"ם כר' יוחנן ואפילו למאן דפסק התם כרבי חנינא הכא עדיפא דעל הסתם היתה עושה כדרך שהיתה עושה בתחל' ואם איתא דקפדה היה לה לפרש הנלע"ד יוסף בכמהר"ר משה מטראני זלה"ה.</w:t>
      </w:r>
    </w:p>
  </w:footnote>
  <w:footnote w:id="1443">
    <w:p w14:paraId="497AEB33" w14:textId="77777777" w:rsidR="00DF1FC7" w:rsidRDefault="00DF1FC7" w:rsidP="002E5BAD">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1444">
    <w:p w14:paraId="0B9DDB92" w14:textId="77777777" w:rsidR="00DF1FC7" w:rsidRDefault="00DF1FC7" w:rsidP="002E5BAD">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1445">
    <w:p w14:paraId="41FD33ED" w14:textId="77777777" w:rsidR="00DF1FC7" w:rsidRDefault="00DF1FC7" w:rsidP="002E5BAD">
      <w:pPr>
        <w:pStyle w:val="a5"/>
        <w:rPr>
          <w:rtl/>
        </w:rPr>
      </w:pPr>
      <w:r>
        <w:rPr>
          <w:rStyle w:val="a7"/>
        </w:rPr>
        <w:footnoteRef/>
      </w:r>
      <w:r>
        <w:rPr>
          <w:rtl/>
        </w:rPr>
        <w:t xml:space="preserve"> </w:t>
      </w:r>
      <w:r w:rsidRPr="001B4F87">
        <w:rPr>
          <w:rFonts w:cs="Arial"/>
          <w:rtl/>
        </w:rPr>
        <w:t>ולא ידעתי מהו</w:t>
      </w:r>
      <w:r>
        <w:rPr>
          <w:rFonts w:cs="Arial" w:hint="cs"/>
          <w:rtl/>
        </w:rPr>
        <w:t>,</w:t>
      </w:r>
      <w:r w:rsidRPr="001B4F87">
        <w:rPr>
          <w:rFonts w:cs="Arial"/>
          <w:rtl/>
        </w:rPr>
        <w:t xml:space="preserve"> דכל העדפה ברצונה נעשית ואעפ"כ הקנוה לבעל תחת מעה כסף ואפילו העדפה שע"י הדחק למי שפוסק כן</w:t>
      </w:r>
      <w:r>
        <w:rPr>
          <w:rFonts w:cs="Arial" w:hint="cs"/>
          <w:rtl/>
        </w:rPr>
        <w:t>,</w:t>
      </w:r>
      <w:r w:rsidRPr="001B4F87">
        <w:rPr>
          <w:rFonts w:cs="Arial"/>
          <w:rtl/>
        </w:rPr>
        <w:t xml:space="preserve"> ומה ענין זה לכאן</w:t>
      </w:r>
      <w:r>
        <w:rPr>
          <w:rFonts w:cs="Arial" w:hint="cs"/>
          <w:rtl/>
        </w:rPr>
        <w:t>.</w:t>
      </w:r>
      <w:r w:rsidRPr="001B4F87">
        <w:rPr>
          <w:rFonts w:cs="Arial"/>
          <w:rtl/>
        </w:rPr>
        <w:t xml:space="preserve"> אבל קרוב הדבר לומר שאם תהא מלאכתה לעצמה כיון שלא תצטריך לחשוב עם הבעל תתבטל ותבא לידי זימה</w:t>
      </w:r>
      <w:r>
        <w:rPr>
          <w:rFonts w:cs="Arial" w:hint="cs"/>
          <w:rtl/>
        </w:rPr>
        <w:t>,</w:t>
      </w:r>
      <w:r w:rsidRPr="00D54E0D">
        <w:rPr>
          <w:rFonts w:cs="Arial" w:hint="cs"/>
          <w:rtl/>
        </w:rPr>
        <w:t xml:space="preserve"> </w:t>
      </w:r>
      <w:r>
        <w:rPr>
          <w:rFonts w:cs="Arial" w:hint="cs"/>
          <w:rtl/>
        </w:rPr>
        <w:t xml:space="preserve">ר"ן </w:t>
      </w:r>
      <w:r>
        <w:rPr>
          <w:rFonts w:cs="Arial" w:hint="cs"/>
          <w:sz w:val="16"/>
          <w:szCs w:val="16"/>
          <w:rtl/>
        </w:rPr>
        <w:t>(כה: ד"ה הלכה)</w:t>
      </w:r>
      <w:r>
        <w:rPr>
          <w:rFonts w:cs="Arial" w:hint="cs"/>
          <w:rtl/>
        </w:rPr>
        <w:t>.</w:t>
      </w:r>
      <w:r w:rsidRPr="00E73332">
        <w:rPr>
          <w:rFonts w:cs="Arial"/>
          <w:rtl/>
        </w:rPr>
        <w:t xml:space="preserve"> </w:t>
      </w:r>
      <w:r w:rsidRPr="004B36AC">
        <w:rPr>
          <w:rFonts w:cs="Arial"/>
          <w:rtl/>
        </w:rPr>
        <w:t xml:space="preserve">לפי זה י"ל אילו אם הוא </w:t>
      </w:r>
      <w:r w:rsidRPr="004B36AC">
        <w:rPr>
          <w:rFonts w:cs="Arial" w:hint="cs"/>
          <w:sz w:val="16"/>
          <w:szCs w:val="16"/>
          <w:rtl/>
        </w:rPr>
        <w:t xml:space="preserve">{מעשה </w:t>
      </w:r>
      <w:r>
        <w:rPr>
          <w:rFonts w:cs="Arial" w:hint="cs"/>
          <w:sz w:val="16"/>
          <w:szCs w:val="16"/>
          <w:rtl/>
        </w:rPr>
        <w:t>שמ</w:t>
      </w:r>
      <w:r w:rsidRPr="004B36AC">
        <w:rPr>
          <w:rFonts w:cs="Arial" w:hint="cs"/>
          <w:sz w:val="16"/>
          <w:szCs w:val="16"/>
          <w:rtl/>
        </w:rPr>
        <w:t xml:space="preserve">ביא-} </w:t>
      </w:r>
      <w:r w:rsidRPr="004B36AC">
        <w:rPr>
          <w:rFonts w:cs="Arial"/>
          <w:rtl/>
        </w:rPr>
        <w:t>עושר גדול דאינה חייבת לעשות</w:t>
      </w:r>
      <w:r>
        <w:rPr>
          <w:rFonts w:cs="Arial" w:hint="cs"/>
          <w:rtl/>
        </w:rPr>
        <w:t>,</w:t>
      </w:r>
      <w:r w:rsidRPr="004B36AC">
        <w:rPr>
          <w:rFonts w:cs="Arial"/>
          <w:rtl/>
        </w:rPr>
        <w:t xml:space="preserve"> וגם אמרה איני ניזונת ואיני עושה </w:t>
      </w:r>
      <w:r>
        <w:rPr>
          <w:rFonts w:cs="Arial" w:hint="cs"/>
          <w:rtl/>
        </w:rPr>
        <w:t xml:space="preserve">- </w:t>
      </w:r>
      <w:r w:rsidRPr="004B36AC">
        <w:rPr>
          <w:rFonts w:cs="Arial"/>
          <w:rtl/>
        </w:rPr>
        <w:t>מכל מקום חייבת לעשו</w:t>
      </w:r>
      <w:r>
        <w:rPr>
          <w:rFonts w:cs="Arial" w:hint="cs"/>
          <w:rtl/>
        </w:rPr>
        <w:t>ת</w:t>
      </w:r>
      <w:r w:rsidRPr="004B36AC">
        <w:rPr>
          <w:rFonts w:cs="Arial"/>
          <w:rtl/>
        </w:rPr>
        <w:t xml:space="preserve"> ומעשה ידיה לבעלה</w:t>
      </w:r>
      <w:r>
        <w:rPr>
          <w:rFonts w:cs="Arial" w:hint="cs"/>
          <w:rtl/>
        </w:rPr>
        <w:t>.</w:t>
      </w:r>
      <w:r w:rsidRPr="004B36AC">
        <w:rPr>
          <w:rFonts w:cs="Arial"/>
          <w:rtl/>
        </w:rPr>
        <w:t xml:space="preserve"> ואפשר שאמרה איני ניזונ</w:t>
      </w:r>
      <w:r>
        <w:rPr>
          <w:rFonts w:cs="Arial" w:hint="cs"/>
          <w:rtl/>
        </w:rPr>
        <w:t>ת</w:t>
      </w:r>
      <w:r w:rsidRPr="004B36AC">
        <w:rPr>
          <w:rFonts w:cs="Arial"/>
          <w:rtl/>
        </w:rPr>
        <w:t xml:space="preserve"> ואיני עושה לא חיישינן שלא תעשה כיון דאין לה מזונות ממנו אז מסתמ</w:t>
      </w:r>
      <w:r>
        <w:rPr>
          <w:rFonts w:cs="Arial" w:hint="cs"/>
          <w:rtl/>
        </w:rPr>
        <w:t>א</w:t>
      </w:r>
      <w:r w:rsidRPr="004B36AC">
        <w:rPr>
          <w:rFonts w:cs="Arial"/>
          <w:rtl/>
        </w:rPr>
        <w:t xml:space="preserve"> תעשה מלאכה לטובתה ואז מ</w:t>
      </w:r>
      <w:r>
        <w:rPr>
          <w:rFonts w:cs="Arial" w:hint="cs"/>
          <w:rtl/>
        </w:rPr>
        <w:t xml:space="preserve">עשה </w:t>
      </w:r>
      <w:r w:rsidRPr="004B36AC">
        <w:rPr>
          <w:rFonts w:cs="Arial"/>
          <w:rtl/>
        </w:rPr>
        <w:t>י</w:t>
      </w:r>
      <w:r>
        <w:rPr>
          <w:rFonts w:cs="Arial" w:hint="cs"/>
          <w:rtl/>
        </w:rPr>
        <w:t>דיה</w:t>
      </w:r>
      <w:r w:rsidRPr="004B36AC">
        <w:rPr>
          <w:rFonts w:cs="Arial"/>
          <w:rtl/>
        </w:rPr>
        <w:t xml:space="preserve"> לעצמה</w:t>
      </w:r>
      <w:r>
        <w:rPr>
          <w:rFonts w:cs="Arial" w:hint="cs"/>
          <w:rtl/>
        </w:rPr>
        <w:t>, ב"ש (סק"ד).</w:t>
      </w:r>
    </w:p>
  </w:footnote>
  <w:footnote w:id="1446">
    <w:p w14:paraId="29BDD44E" w14:textId="77777777" w:rsidR="00DF1FC7" w:rsidRDefault="00DF1FC7" w:rsidP="002E5BAD">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1447">
    <w:p w14:paraId="72867991" w14:textId="77777777" w:rsidR="00DF1FC7" w:rsidRDefault="00DF1FC7" w:rsidP="002E5BAD">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1448">
    <w:p w14:paraId="2BF2A996" w14:textId="77777777" w:rsidR="00DF1FC7" w:rsidRDefault="00DF1FC7" w:rsidP="002E5BAD">
      <w:pPr>
        <w:pStyle w:val="a5"/>
      </w:pPr>
      <w:r>
        <w:rPr>
          <w:rStyle w:val="a7"/>
        </w:rPr>
        <w:footnoteRef/>
      </w:r>
      <w:r>
        <w:rPr>
          <w:rtl/>
        </w:rPr>
        <w:t xml:space="preserve"> </w:t>
      </w:r>
      <w:r w:rsidRPr="004A5CA6">
        <w:rPr>
          <w:rFonts w:cs="Arial"/>
          <w:rtl/>
        </w:rPr>
        <w:t>וכ' המ"מ לא נזכר בגמרא כמה יהיה זמן ההדרה ורחוק מן הדעת שאם הדיר' יום אחד או שנים שתבא לידי זימה</w:t>
      </w:r>
      <w:r>
        <w:rPr>
          <w:rFonts w:cs="Arial" w:hint="cs"/>
          <w:rtl/>
        </w:rPr>
        <w:t>, ח"מ (סק"ז).</w:t>
      </w:r>
    </w:p>
  </w:footnote>
  <w:footnote w:id="1449">
    <w:p w14:paraId="1760A75A" w14:textId="77777777" w:rsidR="00DF1FC7" w:rsidRDefault="00DF1FC7" w:rsidP="002E5BAD">
      <w:pPr>
        <w:pStyle w:val="a5"/>
      </w:pPr>
      <w:r>
        <w:rPr>
          <w:rStyle w:val="a7"/>
        </w:rPr>
        <w:footnoteRef/>
      </w:r>
      <w:r>
        <w:rPr>
          <w:rtl/>
        </w:rPr>
        <w:t xml:space="preserve"> </w:t>
      </w:r>
      <w:r w:rsidRPr="004A5CA6">
        <w:rPr>
          <w:rFonts w:cs="Arial"/>
          <w:rtl/>
        </w:rPr>
        <w:t>כבר כתבתי בסי' ע"ד סק"ב שאין ביד הבעל לאסור על אשתו ולומר לה לא תעשה זה ואם אמר כן אין בדבריו כלום אלא א"כ תלה בתשמיש או בדברים אחרים</w:t>
      </w:r>
      <w:r>
        <w:rPr>
          <w:rFonts w:cs="Arial" w:hint="cs"/>
          <w:rtl/>
        </w:rPr>
        <w:t>, ח"מ (סק"ז).</w:t>
      </w:r>
    </w:p>
  </w:footnote>
  <w:footnote w:id="1450">
    <w:p w14:paraId="7200E296" w14:textId="77777777" w:rsidR="00DF1FC7" w:rsidRDefault="00DF1FC7" w:rsidP="002E5BAD">
      <w:pPr>
        <w:pStyle w:val="a5"/>
      </w:pPr>
      <w:r>
        <w:rPr>
          <w:rStyle w:val="a7"/>
        </w:rPr>
        <w:footnoteRef/>
      </w:r>
      <w:r>
        <w:rPr>
          <w:rtl/>
        </w:rPr>
        <w:t xml:space="preserve"> </w:t>
      </w:r>
      <w:r w:rsidRPr="00F819D1">
        <w:rPr>
          <w:rFonts w:cs="Arial"/>
          <w:rtl/>
        </w:rPr>
        <w:t>לשרת</w:t>
      </w:r>
      <w:r>
        <w:rPr>
          <w:rFonts w:cs="Arial" w:hint="cs"/>
          <w:rtl/>
        </w:rPr>
        <w:t>, רש"י.</w:t>
      </w:r>
    </w:p>
  </w:footnote>
  <w:footnote w:id="1451">
    <w:p w14:paraId="27018BDB" w14:textId="77777777" w:rsidR="00DF1FC7" w:rsidRDefault="00DF1FC7" w:rsidP="002E5BAD">
      <w:pPr>
        <w:pStyle w:val="a5"/>
        <w:rPr>
          <w:rtl/>
        </w:rPr>
      </w:pPr>
      <w:r>
        <w:rPr>
          <w:rStyle w:val="a7"/>
        </w:rPr>
        <w:footnoteRef/>
      </w:r>
      <w:r>
        <w:rPr>
          <w:rtl/>
        </w:rPr>
        <w:t xml:space="preserve"> </w:t>
      </w:r>
      <w:r w:rsidRPr="00FE7204">
        <w:rPr>
          <w:rFonts w:cs="Arial"/>
          <w:rtl/>
        </w:rPr>
        <w:t>ו</w:t>
      </w:r>
      <w:r>
        <w:rPr>
          <w:rFonts w:cs="Arial" w:hint="cs"/>
          <w:rtl/>
        </w:rPr>
        <w:t xml:space="preserve">מהא דאנו </w:t>
      </w:r>
      <w:r w:rsidRPr="00FE7204">
        <w:rPr>
          <w:rFonts w:cs="Arial"/>
          <w:rtl/>
        </w:rPr>
        <w:t>רואים שחייבת במלאכות אלה ולא חילקו בין אם הכניסה עבדים או שפחות</w:t>
      </w:r>
      <w:r>
        <w:rPr>
          <w:rFonts w:cs="Arial" w:hint="cs"/>
          <w:rtl/>
        </w:rPr>
        <w:t xml:space="preserve"> משמע דלית להאי טעמא אלא חייבת משום-...</w:t>
      </w:r>
    </w:p>
  </w:footnote>
  <w:footnote w:id="1452">
    <w:p w14:paraId="015F11AD" w14:textId="77777777" w:rsidR="00DF1FC7" w:rsidRDefault="00DF1FC7" w:rsidP="002E5BAD">
      <w:pPr>
        <w:pStyle w:val="a5"/>
      </w:pPr>
      <w:r>
        <w:rPr>
          <w:rStyle w:val="a7"/>
        </w:rPr>
        <w:footnoteRef/>
      </w:r>
      <w:r>
        <w:rPr>
          <w:rtl/>
        </w:rPr>
        <w:t xml:space="preserve"> </w:t>
      </w:r>
      <w:r>
        <w:rPr>
          <w:rFonts w:hint="cs"/>
          <w:rtl/>
        </w:rPr>
        <w:t>משום שאלו מלאכות של חבה.</w:t>
      </w:r>
    </w:p>
  </w:footnote>
  <w:footnote w:id="1453">
    <w:p w14:paraId="3735C768" w14:textId="77777777" w:rsidR="00DF1FC7" w:rsidRDefault="00DF1FC7" w:rsidP="002E5BAD">
      <w:pPr>
        <w:pStyle w:val="a5"/>
      </w:pPr>
      <w:r>
        <w:rPr>
          <w:rStyle w:val="a7"/>
        </w:rPr>
        <w:footnoteRef/>
      </w:r>
      <w:r>
        <w:rPr>
          <w:rtl/>
        </w:rPr>
        <w:t xml:space="preserve"> </w:t>
      </w:r>
      <w:r w:rsidRPr="00FE7204">
        <w:rPr>
          <w:rFonts w:cs="Arial"/>
          <w:rtl/>
        </w:rPr>
        <w:t>הוא דאין הטעם אלא משום שהיא חייבת לו לעשות דברים של חבה</w:t>
      </w:r>
      <w:r>
        <w:rPr>
          <w:rFonts w:cs="Arial" w:hint="cs"/>
          <w:rtl/>
        </w:rPr>
        <w:t>, פני משה.</w:t>
      </w:r>
    </w:p>
  </w:footnote>
  <w:footnote w:id="1454">
    <w:p w14:paraId="252FA50B" w14:textId="77777777" w:rsidR="00DF1FC7" w:rsidRDefault="00DF1FC7" w:rsidP="002E5BAD">
      <w:pPr>
        <w:pStyle w:val="a5"/>
      </w:pPr>
      <w:r>
        <w:rPr>
          <w:rStyle w:val="a7"/>
        </w:rPr>
        <w:footnoteRef/>
      </w:r>
      <w:r>
        <w:rPr>
          <w:rtl/>
        </w:rPr>
        <w:t xml:space="preserve"> </w:t>
      </w:r>
      <w:r w:rsidRPr="00FE7204">
        <w:rPr>
          <w:rFonts w:cs="Arial"/>
          <w:rtl/>
        </w:rPr>
        <w:t>ולעולם חייבת לעשות ואפילו הכניסה לו עבדים</w:t>
      </w:r>
      <w:r>
        <w:rPr>
          <w:rFonts w:cs="Arial" w:hint="cs"/>
          <w:rtl/>
        </w:rPr>
        <w:t>, פני משה.</w:t>
      </w:r>
    </w:p>
  </w:footnote>
  <w:footnote w:id="1455">
    <w:p w14:paraId="2FDB6825" w14:textId="77777777" w:rsidR="00DF1FC7" w:rsidRDefault="00DF1FC7" w:rsidP="002E5BAD">
      <w:pPr>
        <w:pStyle w:val="a5"/>
        <w:rPr>
          <w:rtl/>
        </w:rPr>
      </w:pPr>
      <w:r>
        <w:rPr>
          <w:rStyle w:val="a7"/>
        </w:rPr>
        <w:footnoteRef/>
      </w:r>
      <w:r>
        <w:rPr>
          <w:rtl/>
        </w:rPr>
        <w:t xml:space="preserve"> </w:t>
      </w:r>
      <w:r w:rsidRPr="00FE7204">
        <w:rPr>
          <w:rFonts w:cs="Arial"/>
          <w:rtl/>
        </w:rPr>
        <w:t>אמילתיה דר"א במתני' קאי ותני בתוספתא כן דכופה לעשות בצמר אבל לא בפשתן</w:t>
      </w:r>
      <w:r>
        <w:rPr>
          <w:rFonts w:hint="cs"/>
          <w:rtl/>
        </w:rPr>
        <w:t>, פני משה.</w:t>
      </w:r>
    </w:p>
  </w:footnote>
  <w:footnote w:id="1456">
    <w:p w14:paraId="0F37226B" w14:textId="77777777" w:rsidR="00DF1FC7" w:rsidRDefault="00DF1FC7" w:rsidP="002E5BAD">
      <w:pPr>
        <w:pStyle w:val="a5"/>
      </w:pPr>
      <w:r>
        <w:rPr>
          <w:rStyle w:val="a7"/>
        </w:rPr>
        <w:footnoteRef/>
      </w:r>
      <w:r>
        <w:rPr>
          <w:rtl/>
        </w:rPr>
        <w:t xml:space="preserve"> </w:t>
      </w:r>
      <w:r w:rsidRPr="00FE7204">
        <w:rPr>
          <w:rFonts w:cs="Arial"/>
          <w:rtl/>
        </w:rPr>
        <w:t>משרבטת ומארכת השפתים ע"י שהיא צריכה לשרות החוט תמיד ברוק</w:t>
      </w:r>
      <w:r>
        <w:rPr>
          <w:rFonts w:cs="Arial" w:hint="cs"/>
          <w:rtl/>
        </w:rPr>
        <w:t>, פני משה.</w:t>
      </w:r>
    </w:p>
  </w:footnote>
  <w:footnote w:id="1457">
    <w:p w14:paraId="51302794" w14:textId="77777777" w:rsidR="00DF1FC7" w:rsidRDefault="00DF1FC7" w:rsidP="002E5BAD">
      <w:pPr>
        <w:pStyle w:val="a5"/>
        <w:rPr>
          <w:rtl/>
        </w:rPr>
      </w:pPr>
      <w:r>
        <w:rPr>
          <w:rStyle w:val="a7"/>
        </w:rPr>
        <w:footnoteRef/>
      </w:r>
      <w:r>
        <w:rPr>
          <w:rtl/>
        </w:rPr>
        <w:t xml:space="preserve"> </w:t>
      </w:r>
      <w:r w:rsidRPr="00672512">
        <w:rPr>
          <w:rFonts w:cs="Arial"/>
          <w:rtl/>
        </w:rPr>
        <w:t>לעיל סעיף ב' כתב שאפילו היה לו ולה ממון הרבה ושפחו' הרבה אפ"ה צריכה להתעסק קצת במלאכה שהבטל' מביאה לידי זימה וכתב כאן עוד ד' דברים צריכה כל אשה לעשות אפי' עשירה</w:t>
      </w:r>
      <w:r>
        <w:rPr>
          <w:rFonts w:hint="cs"/>
          <w:rtl/>
        </w:rPr>
        <w:t>, ח"מ (סק"ט).</w:t>
      </w:r>
    </w:p>
  </w:footnote>
  <w:footnote w:id="1458">
    <w:p w14:paraId="3F6B4842" w14:textId="77777777" w:rsidR="00DF1FC7" w:rsidRPr="00880B72" w:rsidRDefault="00DF1FC7" w:rsidP="002E5BAD">
      <w:pPr>
        <w:pStyle w:val="a5"/>
        <w:rPr>
          <w:color w:val="FF0000"/>
        </w:rPr>
      </w:pPr>
      <w:r>
        <w:rPr>
          <w:rStyle w:val="a7"/>
        </w:rPr>
        <w:footnoteRef/>
      </w:r>
      <w:r>
        <w:rPr>
          <w:rtl/>
        </w:rPr>
        <w:t xml:space="preserve"> </w:t>
      </w:r>
      <w:r w:rsidRPr="00F147B9">
        <w:rPr>
          <w:rFonts w:cs="Arial"/>
          <w:rtl/>
        </w:rPr>
        <w:t>הר"ן כ' דין זה בעניה לטרוח עבורה וראייתו מדקאמר בגמ' דאם הכניסה לו שתי שפחו</w:t>
      </w:r>
      <w:r>
        <w:rPr>
          <w:rFonts w:cs="Arial" w:hint="cs"/>
          <w:rtl/>
        </w:rPr>
        <w:t>ת</w:t>
      </w:r>
      <w:r w:rsidRPr="00F147B9">
        <w:rPr>
          <w:rFonts w:cs="Arial"/>
          <w:rtl/>
        </w:rPr>
        <w:t xml:space="preserve"> אינה מבשלת ואינה מניקה וכו' הא שאר</w:t>
      </w:r>
      <w:r>
        <w:rPr>
          <w:rFonts w:cs="Arial" w:hint="cs"/>
          <w:rtl/>
        </w:rPr>
        <w:t>י</w:t>
      </w:r>
      <w:r w:rsidRPr="00F147B9">
        <w:rPr>
          <w:rFonts w:cs="Arial"/>
          <w:rtl/>
        </w:rPr>
        <w:t xml:space="preserve"> עבדה כגון דברים קטנים ותימא ליה וכו' משום דאמר לה קמי ארחי ופרחי מאן טרח אורחים המשתהים שבת או חודש או עוברי דרכים דמשמע שהיא חייבת לטרוח לבשל ולאפו' וכיוצא לכל בני בית הסמוכין על בעלה אבל כאן בסעי' זה דמיירי בעשירה ולא חשוב רק מילי דחיבה מהי תיתי אם בן בעלה יאמר לה הושיט לי כלי זה שתהיה היא מחוייבת לשמוע לו</w:t>
      </w:r>
      <w:r>
        <w:rPr>
          <w:rFonts w:cs="Arial" w:hint="cs"/>
          <w:rtl/>
        </w:rPr>
        <w:t>, ח"מ (סקי"ב).</w:t>
      </w:r>
      <w:r>
        <w:rPr>
          <w:rFonts w:hint="cs"/>
          <w:rtl/>
        </w:rPr>
        <w:t xml:space="preserve"> </w:t>
      </w:r>
      <w:r>
        <w:rPr>
          <w:rFonts w:hint="cs"/>
          <w:color w:val="FF0000"/>
          <w:rtl/>
        </w:rPr>
        <w:t>צ"ע אם למחוק ולהעביר את הדברים למחלוקת שיש לח"מ עם הב"ש, דנראה דדעת הב"ש לחייב גם בזה אשה עשירה.</w:t>
      </w:r>
    </w:p>
  </w:footnote>
  <w:footnote w:id="1459">
    <w:p w14:paraId="11BFF09C" w14:textId="77777777" w:rsidR="00DF1FC7" w:rsidRDefault="00DF1FC7" w:rsidP="002E5BAD">
      <w:pPr>
        <w:pStyle w:val="a5"/>
        <w:rPr>
          <w:rtl/>
        </w:rPr>
      </w:pPr>
      <w:r>
        <w:rPr>
          <w:rStyle w:val="a7"/>
        </w:rPr>
        <w:footnoteRef/>
      </w:r>
      <w:r>
        <w:rPr>
          <w:rtl/>
        </w:rPr>
        <w:t xml:space="preserve"> </w:t>
      </w:r>
      <w:r w:rsidRPr="00672512">
        <w:rPr>
          <w:rFonts w:cs="Arial"/>
          <w:rtl/>
        </w:rPr>
        <w:t>ורמב"ם בפרק כ"א מה"א דין ג' השמיט דין זה וכתב סתם כל אשה רוחצת וכו' ומצעת לו המטה משמע דמפרש להצעת המט' דמתני' גם כן הצעת מטתו</w:t>
      </w:r>
      <w:r>
        <w:rPr>
          <w:rFonts w:cs="Arial" w:hint="cs"/>
          <w:rtl/>
        </w:rPr>
        <w:t>.</w:t>
      </w:r>
      <w:r w:rsidRPr="00672512">
        <w:rPr>
          <w:rFonts w:cs="Arial"/>
          <w:rtl/>
        </w:rPr>
        <w:t xml:space="preserve"> וע"כ תמה עליו הר"ן בדף תצ"ה ע"א שהיה לו להרבו' בעניים עכ"ל (כלו' שענייה מחוייבת להציע כל המטות) ולהפך בכרים וכסתות אבל בעשיר' שתהא צריכה להציע כל המטות הוא דבר תימה וכי זו היא ישיבת קתדרא שאמרו במשנה דף נ"ט ע"ב מי שהכניסה לו ארבע שפחו' יושבת בקתדרא</w:t>
      </w:r>
      <w:r w:rsidRPr="00854903">
        <w:rPr>
          <w:rFonts w:cs="Arial"/>
          <w:rtl/>
        </w:rPr>
        <w:t xml:space="preserve"> </w:t>
      </w:r>
      <w:r w:rsidRPr="00672512">
        <w:rPr>
          <w:rFonts w:cs="Arial"/>
          <w:rtl/>
        </w:rPr>
        <w:t>וכ"כ הרב</w:t>
      </w:r>
      <w:r>
        <w:rPr>
          <w:rFonts w:cs="Arial" w:hint="cs"/>
          <w:rtl/>
        </w:rPr>
        <w:t>-...</w:t>
      </w:r>
      <w:r>
        <w:rPr>
          <w:rFonts w:hint="cs"/>
          <w:rtl/>
        </w:rPr>
        <w:t>, ח"מ (שם).</w:t>
      </w:r>
    </w:p>
  </w:footnote>
  <w:footnote w:id="1460">
    <w:p w14:paraId="0B7E41FA" w14:textId="77777777" w:rsidR="00DF1FC7" w:rsidRDefault="00DF1FC7" w:rsidP="002E5BAD">
      <w:pPr>
        <w:pStyle w:val="a5"/>
        <w:rPr>
          <w:rtl/>
        </w:rPr>
      </w:pPr>
      <w:r>
        <w:rPr>
          <w:rStyle w:val="a7"/>
        </w:rPr>
        <w:footnoteRef/>
      </w:r>
      <w:r>
        <w:rPr>
          <w:rtl/>
        </w:rPr>
        <w:t xml:space="preserve"> </w:t>
      </w:r>
      <w:r>
        <w:rPr>
          <w:rFonts w:cs="Arial" w:hint="cs"/>
          <w:rtl/>
        </w:rPr>
        <w:t>כתב הב"ש (שם) ד</w:t>
      </w:r>
      <w:r w:rsidRPr="0069056B">
        <w:rPr>
          <w:rFonts w:cs="Arial"/>
          <w:rtl/>
        </w:rPr>
        <w:t>לכאורה תמוה מנ"ל דעשירות מחוייבת להציע כל המטות ובח"מ כ' דהג"ה זו שייך לסעיף ו' מיהו בסמוך מ"ש וי"א דוקא באינן סמוכים על שלחנו ג"כ ק' מנ"ל דעשירות חייבת לשמשה לאנשים דסמוכות ע"ש לכן נראה דרמ"א כ"כ לשיטות הרמב"ם דס"ל מצעת המטה דתנא במתני' וברייתא הכל א' היא</w:t>
      </w:r>
      <w:r>
        <w:rPr>
          <w:rFonts w:cs="Arial" w:hint="cs"/>
          <w:rtl/>
        </w:rPr>
        <w:t>,</w:t>
      </w:r>
      <w:r w:rsidRPr="0069056B">
        <w:rPr>
          <w:rFonts w:cs="Arial"/>
          <w:rtl/>
        </w:rPr>
        <w:t xml:space="preserve"> וה"ק בברייתא אף על גב דתנא במתני' כשהיא מכנסת לו ג' שפחות אינה מצעת מ"מ אמרו חז"ל אחר המתני' דמצעת וכ"כ המגיד ובמתני' מה דתנא מצעת המט</w:t>
      </w:r>
      <w:r>
        <w:rPr>
          <w:rFonts w:cs="Arial" w:hint="cs"/>
          <w:rtl/>
        </w:rPr>
        <w:t>ה</w:t>
      </w:r>
      <w:r w:rsidRPr="0069056B">
        <w:rPr>
          <w:rFonts w:cs="Arial"/>
          <w:rtl/>
        </w:rPr>
        <w:t xml:space="preserve"> איירי דחייבים למצעת כל המטות אפי' לסמוכים ע"ש כמ"ש הר"ן והמגיד א"כ לפי התקנה אחר המתני'</w:t>
      </w:r>
      <w:r>
        <w:rPr>
          <w:rFonts w:hint="cs"/>
          <w:rtl/>
        </w:rPr>
        <w:t>-...</w:t>
      </w:r>
    </w:p>
  </w:footnote>
  <w:footnote w:id="1461">
    <w:p w14:paraId="05B5DB3B" w14:textId="77777777" w:rsidR="00DF1FC7" w:rsidRDefault="00DF1FC7" w:rsidP="002E5BAD">
      <w:pPr>
        <w:pStyle w:val="a5"/>
        <w:rPr>
          <w:rtl/>
        </w:rPr>
      </w:pPr>
      <w:r>
        <w:rPr>
          <w:rStyle w:val="a7"/>
        </w:rPr>
        <w:footnoteRef/>
      </w:r>
      <w:r>
        <w:rPr>
          <w:rtl/>
        </w:rPr>
        <w:t xml:space="preserve"> </w:t>
      </w:r>
      <w:r w:rsidRPr="0069056B">
        <w:rPr>
          <w:rFonts w:cs="Arial"/>
          <w:rtl/>
        </w:rPr>
        <w:t>ויש להביא ראיה לזה מש"ס דהא הקשה שם אם הכניסה שתי שפחות אינה מבשלת הא שארה עבדה והיינו מצעת מטה ותימא הא הכניסה שפחה במקומה ותירץ קמי ארחי ופרחי מאן טרח משמע דהיא חייבת הצעות המטה לפני אורחי ופרחי ודוחק לו' דה"ק מאן טרח לפני ארחי ופרחי אלא השפחה היא משרתת קמי ארחי ופרחי והיא מצעת רק מטתו ומז</w:t>
      </w:r>
      <w:r>
        <w:rPr>
          <w:rFonts w:cs="Arial" w:hint="cs"/>
          <w:rtl/>
        </w:rPr>
        <w:t>ה</w:t>
      </w:r>
      <w:r w:rsidRPr="0069056B">
        <w:rPr>
          <w:rFonts w:cs="Arial"/>
          <w:rtl/>
        </w:rPr>
        <w:t xml:space="preserve"> נלמד נמי דעומדת ומשמש</w:t>
      </w:r>
      <w:r>
        <w:rPr>
          <w:rFonts w:cs="Arial" w:hint="cs"/>
          <w:rtl/>
        </w:rPr>
        <w:t>ת</w:t>
      </w:r>
      <w:r w:rsidRPr="0069056B">
        <w:rPr>
          <w:rFonts w:cs="Arial"/>
          <w:rtl/>
        </w:rPr>
        <w:t xml:space="preserve"> לפני כל הסמוכי</w:t>
      </w:r>
      <w:r>
        <w:rPr>
          <w:rFonts w:cs="Arial" w:hint="cs"/>
          <w:rtl/>
        </w:rPr>
        <w:t>ן</w:t>
      </w:r>
      <w:r w:rsidRPr="0069056B">
        <w:rPr>
          <w:rFonts w:cs="Arial"/>
          <w:rtl/>
        </w:rPr>
        <w:t xml:space="preserve"> ע"ש דנלמד מן הצעות המטה כמ"ש בר"ן</w:t>
      </w:r>
      <w:r>
        <w:rPr>
          <w:rFonts w:cs="Arial" w:hint="cs"/>
          <w:rtl/>
        </w:rPr>
        <w:t>, ב"ש (שם).</w:t>
      </w:r>
    </w:p>
  </w:footnote>
  <w:footnote w:id="1462">
    <w:p w14:paraId="2CA81DE2" w14:textId="77777777" w:rsidR="00DF1FC7" w:rsidRDefault="00DF1FC7" w:rsidP="002E5BAD">
      <w:pPr>
        <w:pStyle w:val="a5"/>
      </w:pPr>
      <w:r>
        <w:rPr>
          <w:rStyle w:val="a7"/>
        </w:rPr>
        <w:footnoteRef/>
      </w:r>
      <w:r>
        <w:rPr>
          <w:rtl/>
        </w:rPr>
        <w:t xml:space="preserve"> </w:t>
      </w:r>
      <w:r>
        <w:rPr>
          <w:rFonts w:hint="cs"/>
          <w:rtl/>
        </w:rPr>
        <w:t xml:space="preserve">וז"ל- </w:t>
      </w:r>
      <w:r w:rsidRPr="0004676C">
        <w:rPr>
          <w:rFonts w:cs="Arial"/>
          <w:rtl/>
        </w:rPr>
        <w:t>שלש אינה מצעת לו את המטה לטרוח ולהביא את המצעות ולהפך בהם אבל פורסת את הסדין ומסדרת לו את המטה שהוא דרך חיבה וראוי לכל אשה לעשות דבר זה לבעלה אפי' יש לה כמה שפחות וכן למזוג לו הכוס ולרחוץ פניו ידיו ורגליו</w:t>
      </w:r>
      <w:r w:rsidRPr="0004676C">
        <w:rPr>
          <w:rFonts w:cs="Arial" w:hint="cs"/>
          <w:rtl/>
        </w:rPr>
        <w:t>.</w:t>
      </w:r>
    </w:p>
  </w:footnote>
  <w:footnote w:id="1463">
    <w:p w14:paraId="488F2A76" w14:textId="77777777" w:rsidR="00DF1FC7" w:rsidRDefault="00DF1FC7" w:rsidP="002E5BAD">
      <w:pPr>
        <w:pStyle w:val="a5"/>
      </w:pPr>
      <w:r>
        <w:rPr>
          <w:rStyle w:val="a7"/>
        </w:rPr>
        <w:footnoteRef/>
      </w:r>
      <w:r>
        <w:rPr>
          <w:rtl/>
        </w:rPr>
        <w:t xml:space="preserve"> </w:t>
      </w:r>
      <w:r>
        <w:rPr>
          <w:rFonts w:hint="cs"/>
          <w:rtl/>
        </w:rPr>
        <w:t xml:space="preserve">המרדכי </w:t>
      </w:r>
      <w:r w:rsidRPr="00273A55">
        <w:rPr>
          <w:rFonts w:hint="cs"/>
          <w:sz w:val="16"/>
          <w:szCs w:val="16"/>
          <w:rtl/>
        </w:rPr>
        <w:t xml:space="preserve">(כתובות סי' קפב, הביאו הדרכ"מ </w:t>
      </w:r>
      <w:r w:rsidRPr="00273A55">
        <w:rPr>
          <w:rFonts w:cs="Arial" w:hint="cs"/>
          <w:sz w:val="16"/>
          <w:szCs w:val="16"/>
          <w:rtl/>
        </w:rPr>
        <w:t xml:space="preserve">[אות </w:t>
      </w:r>
      <w:r w:rsidRPr="00273A55">
        <w:rPr>
          <w:rFonts w:cs="Arial"/>
          <w:sz w:val="16"/>
          <w:szCs w:val="16"/>
          <w:rtl/>
        </w:rPr>
        <w:t>ג*</w:t>
      </w:r>
      <w:r w:rsidRPr="00273A55">
        <w:rPr>
          <w:rFonts w:cs="Arial" w:hint="cs"/>
          <w:sz w:val="16"/>
          <w:szCs w:val="16"/>
          <w:rtl/>
        </w:rPr>
        <w:t>]</w:t>
      </w:r>
      <w:r w:rsidRPr="00273A55">
        <w:rPr>
          <w:rFonts w:cs="Arial"/>
          <w:sz w:val="16"/>
          <w:szCs w:val="16"/>
          <w:rtl/>
        </w:rPr>
        <w:t>)</w:t>
      </w:r>
      <w:r w:rsidRPr="00273A55">
        <w:rPr>
          <w:rFonts w:cs="Arial" w:hint="cs"/>
          <w:sz w:val="16"/>
          <w:szCs w:val="16"/>
          <w:rtl/>
        </w:rPr>
        <w:t xml:space="preserve"> </w:t>
      </w:r>
      <w:r>
        <w:rPr>
          <w:rFonts w:cs="Arial" w:hint="cs"/>
          <w:rtl/>
        </w:rPr>
        <w:t xml:space="preserve">הביא את פירוש רש"י והקשה עליו מהירושלמי </w:t>
      </w:r>
      <w:r w:rsidRPr="00273A55">
        <w:rPr>
          <w:rFonts w:cs="Arial" w:hint="cs"/>
          <w:sz w:val="16"/>
          <w:szCs w:val="16"/>
          <w:rtl/>
        </w:rPr>
        <w:t xml:space="preserve">(פ"ה ה"ו) </w:t>
      </w:r>
      <w:r>
        <w:rPr>
          <w:rFonts w:cs="Arial" w:hint="cs"/>
          <w:rtl/>
        </w:rPr>
        <w:t xml:space="preserve">דמשמע התם </w:t>
      </w:r>
      <w:r w:rsidRPr="00273A55">
        <w:rPr>
          <w:rFonts w:cs="Arial"/>
          <w:rtl/>
        </w:rPr>
        <w:t>דכופין אותה</w:t>
      </w:r>
      <w:r>
        <w:rPr>
          <w:rFonts w:cs="Arial" w:hint="cs"/>
          <w:rtl/>
        </w:rPr>
        <w:t>.</w:t>
      </w:r>
    </w:p>
  </w:footnote>
  <w:footnote w:id="1464">
    <w:p w14:paraId="375CD605" w14:textId="77777777" w:rsidR="00DF1FC7" w:rsidRDefault="00DF1FC7" w:rsidP="002E5BAD">
      <w:pPr>
        <w:pStyle w:val="a5"/>
        <w:rPr>
          <w:rtl/>
        </w:rPr>
      </w:pPr>
      <w:r>
        <w:rPr>
          <w:rStyle w:val="a7"/>
        </w:rPr>
        <w:footnoteRef/>
      </w:r>
      <w:r>
        <w:rPr>
          <w:rtl/>
        </w:rPr>
        <w:t xml:space="preserve"> </w:t>
      </w:r>
      <w:r w:rsidRPr="0004676C">
        <w:rPr>
          <w:rFonts w:cs="Arial"/>
          <w:rtl/>
        </w:rPr>
        <w:t>ותמהני על הרמב"ם שלא חילק בפכ"א מהלכות אישות בהצעת המטה בין עניים לעשירים וכתב בכולן בשוה ומצעת לו את המטה והוה ליה להרבות בעניים</w:t>
      </w:r>
      <w:r>
        <w:rPr>
          <w:rFonts w:hint="cs"/>
          <w:rtl/>
        </w:rPr>
        <w:t xml:space="preserve">, ר"ן </w:t>
      </w:r>
      <w:r>
        <w:rPr>
          <w:rFonts w:cs="Arial" w:hint="cs"/>
          <w:sz w:val="16"/>
          <w:szCs w:val="16"/>
          <w:rtl/>
        </w:rPr>
        <w:t>(כה. ד"ה צערא דידה)</w:t>
      </w:r>
      <w:r>
        <w:rPr>
          <w:rFonts w:hint="cs"/>
          <w:rtl/>
        </w:rPr>
        <w:t>.</w:t>
      </w:r>
    </w:p>
  </w:footnote>
  <w:footnote w:id="1465">
    <w:p w14:paraId="7F8B5FE5" w14:textId="77777777" w:rsidR="00DF1FC7" w:rsidRDefault="00DF1FC7" w:rsidP="002E5BAD">
      <w:pPr>
        <w:pStyle w:val="a5"/>
        <w:rPr>
          <w:rtl/>
        </w:rPr>
      </w:pPr>
      <w:r>
        <w:rPr>
          <w:rStyle w:val="a7"/>
        </w:rPr>
        <w:footnoteRef/>
      </w:r>
      <w:r>
        <w:rPr>
          <w:rtl/>
        </w:rPr>
        <w:t xml:space="preserve"> </w:t>
      </w:r>
      <w:r w:rsidRPr="004E0439">
        <w:rPr>
          <w:rFonts w:cs="Arial"/>
          <w:rtl/>
        </w:rPr>
        <w:t xml:space="preserve">והוא מפרשה </w:t>
      </w:r>
      <w:r>
        <w:rPr>
          <w:rFonts w:cs="Arial" w:hint="cs"/>
          <w:sz w:val="16"/>
          <w:szCs w:val="16"/>
          <w:rtl/>
        </w:rPr>
        <w:t xml:space="preserve">{את מימרא דרב הונא} </w:t>
      </w:r>
      <w:r w:rsidRPr="004E0439">
        <w:rPr>
          <w:rFonts w:cs="Arial"/>
          <w:rtl/>
        </w:rPr>
        <w:t>כך</w:t>
      </w:r>
      <w:r>
        <w:rPr>
          <w:rFonts w:cs="Arial" w:hint="cs"/>
          <w:rtl/>
        </w:rPr>
        <w:t>-</w:t>
      </w:r>
      <w:r w:rsidRPr="004E0439">
        <w:rPr>
          <w:rFonts w:cs="Arial"/>
          <w:rtl/>
        </w:rPr>
        <w:t xml:space="preserve"> </w:t>
      </w:r>
      <w:r w:rsidRPr="00DC4762">
        <w:rPr>
          <w:rFonts w:cs="Arial"/>
          <w:rtl/>
        </w:rPr>
        <w:t>אע</w:t>
      </w:r>
      <w:r>
        <w:rPr>
          <w:rFonts w:cs="Arial" w:hint="cs"/>
          <w:rtl/>
        </w:rPr>
        <w:t>"</w:t>
      </w:r>
      <w:r w:rsidRPr="00DC4762">
        <w:rPr>
          <w:rFonts w:cs="Arial"/>
          <w:rtl/>
        </w:rPr>
        <w:t>פ שמן הדין היה ראוי שתשב בקתדרא כמו ששנינו במתניתין אבל מוזגת לו</w:t>
      </w:r>
      <w:r>
        <w:rPr>
          <w:rFonts w:cs="Arial" w:hint="cs"/>
          <w:rtl/>
        </w:rPr>
        <w:t xml:space="preserve"> כוס ומצעת לו את המטה וכו', </w:t>
      </w:r>
      <w:r>
        <w:rPr>
          <w:rFonts w:hint="cs"/>
          <w:rtl/>
        </w:rPr>
        <w:t xml:space="preserve">הה"מ </w:t>
      </w:r>
      <w:r>
        <w:rPr>
          <w:rFonts w:hint="cs"/>
          <w:sz w:val="16"/>
          <w:szCs w:val="16"/>
          <w:rtl/>
        </w:rPr>
        <w:t>(פכ"א ה"ג)</w:t>
      </w:r>
      <w:r>
        <w:rPr>
          <w:rFonts w:hint="cs"/>
          <w:rtl/>
        </w:rPr>
        <w:t>.</w:t>
      </w:r>
    </w:p>
  </w:footnote>
  <w:footnote w:id="1466">
    <w:p w14:paraId="20EACB7B" w14:textId="77777777" w:rsidR="00DF1FC7" w:rsidRDefault="00DF1FC7" w:rsidP="002E5BAD">
      <w:pPr>
        <w:pStyle w:val="a5"/>
      </w:pPr>
      <w:r>
        <w:rPr>
          <w:rStyle w:val="a7"/>
        </w:rPr>
        <w:footnoteRef/>
      </w:r>
      <w:r>
        <w:rPr>
          <w:rtl/>
        </w:rPr>
        <w:t xml:space="preserve"> </w:t>
      </w:r>
      <w:r w:rsidRPr="000E2AF6">
        <w:rPr>
          <w:rFonts w:cs="Arial"/>
          <w:rtl/>
        </w:rPr>
        <w:t>משמע דמחייבים לעשות וכן משמע מתו' דף ס"ג וכן הוא דעת המ' והג"א ולא כרש"י שכ' עצה טובה היא שתעשה מלאכות אלו ובטור משמע דס"ל כרש"י</w:t>
      </w:r>
      <w:r>
        <w:rPr>
          <w:rFonts w:cs="Arial" w:hint="cs"/>
          <w:rtl/>
        </w:rPr>
        <w:t>, ב"ש (סק"ז).</w:t>
      </w:r>
    </w:p>
  </w:footnote>
  <w:footnote w:id="1467">
    <w:p w14:paraId="6A8CE7C0" w14:textId="77777777" w:rsidR="00DF1FC7" w:rsidRDefault="00DF1FC7" w:rsidP="002E5BAD">
      <w:pPr>
        <w:pStyle w:val="a5"/>
      </w:pPr>
      <w:r>
        <w:rPr>
          <w:rStyle w:val="a7"/>
        </w:rPr>
        <w:footnoteRef/>
      </w:r>
      <w:r>
        <w:rPr>
          <w:rtl/>
        </w:rPr>
        <w:t xml:space="preserve"> </w:t>
      </w:r>
      <w:r w:rsidRPr="000E2AF6">
        <w:rPr>
          <w:rFonts w:cs="Arial"/>
          <w:rtl/>
        </w:rPr>
        <w:t>דבצמר ומצעת אין חילוק כנ"ל</w:t>
      </w:r>
      <w:r>
        <w:rPr>
          <w:rFonts w:cs="Arial" w:hint="cs"/>
          <w:rtl/>
        </w:rPr>
        <w:t>, גר"א (סקי"ד).</w:t>
      </w:r>
    </w:p>
  </w:footnote>
  <w:footnote w:id="1468">
    <w:p w14:paraId="3AA3A830" w14:textId="77777777" w:rsidR="00DF1FC7" w:rsidRDefault="00DF1FC7" w:rsidP="002E5BAD">
      <w:pPr>
        <w:pStyle w:val="a5"/>
      </w:pPr>
      <w:r>
        <w:rPr>
          <w:rStyle w:val="a7"/>
        </w:rPr>
        <w:footnoteRef/>
      </w:r>
      <w:r>
        <w:rPr>
          <w:rtl/>
        </w:rPr>
        <w:t xml:space="preserve"> </w:t>
      </w:r>
      <w:r w:rsidRPr="00DC4762">
        <w:rPr>
          <w:rFonts w:cs="Arial"/>
          <w:rtl/>
        </w:rPr>
        <w:t>דין המלאכות מפורש במשנה</w:t>
      </w:r>
      <w:r>
        <w:rPr>
          <w:rFonts w:cs="Arial" w:hint="cs"/>
          <w:rtl/>
        </w:rPr>
        <w:t>,</w:t>
      </w:r>
      <w:r w:rsidRPr="00DC4762">
        <w:rPr>
          <w:rFonts w:cs="Arial"/>
          <w:rtl/>
        </w:rPr>
        <w:t xml:space="preserve"> ולא הזכיר רבינו בכאן הצעת המטה לפי שכבר הזכיר למעלה שכל אשה חייבת בה</w:t>
      </w:r>
      <w:r>
        <w:rPr>
          <w:rFonts w:cs="Arial" w:hint="cs"/>
          <w:rtl/>
        </w:rPr>
        <w:t>,</w:t>
      </w:r>
      <w:r w:rsidRPr="00DC4762">
        <w:rPr>
          <w:rFonts w:cs="Arial"/>
          <w:rtl/>
        </w:rPr>
        <w:t xml:space="preserve"> ולא חילק בהצעת המטה בין עניים לעשירים</w:t>
      </w:r>
      <w:r>
        <w:rPr>
          <w:rFonts w:cs="Arial" w:hint="cs"/>
          <w:rtl/>
        </w:rPr>
        <w:t>..., הה"מ (שם ה"ה).</w:t>
      </w:r>
    </w:p>
  </w:footnote>
  <w:footnote w:id="1469">
    <w:p w14:paraId="33780172" w14:textId="77777777" w:rsidR="00DF1FC7" w:rsidRDefault="00DF1FC7" w:rsidP="002E5BAD">
      <w:pPr>
        <w:pStyle w:val="a5"/>
      </w:pPr>
      <w:r>
        <w:rPr>
          <w:rStyle w:val="a7"/>
        </w:rPr>
        <w:footnoteRef/>
      </w:r>
      <w:r>
        <w:rPr>
          <w:rtl/>
        </w:rPr>
        <w:t xml:space="preserve"> </w:t>
      </w:r>
      <w:r w:rsidRPr="00D22EAF">
        <w:rPr>
          <w:rFonts w:cs="Arial"/>
          <w:rtl/>
        </w:rPr>
        <w:t>היינו יושבת ברחים ומשמר' קמח או או מחמרת אחר בהמתו או ברחי' של יד ומכבס' כתב בהגמ"י ובהג"א נשי דידן אין דרכן לכבס וכן אין דרכן לטחון</w:t>
      </w:r>
      <w:r>
        <w:rPr>
          <w:rFonts w:cs="Arial" w:hint="cs"/>
          <w:rtl/>
        </w:rPr>
        <w:t>, ב"ש (סק"ח).</w:t>
      </w:r>
    </w:p>
  </w:footnote>
  <w:footnote w:id="1470">
    <w:p w14:paraId="1DDC3B3F" w14:textId="77777777" w:rsidR="00DF1FC7" w:rsidRDefault="00DF1FC7" w:rsidP="002E5BAD">
      <w:pPr>
        <w:pStyle w:val="a5"/>
      </w:pPr>
      <w:r>
        <w:rPr>
          <w:rStyle w:val="a7"/>
        </w:rPr>
        <w:footnoteRef/>
      </w:r>
      <w:r>
        <w:rPr>
          <w:rtl/>
        </w:rPr>
        <w:t xml:space="preserve"> </w:t>
      </w:r>
      <w:r w:rsidRPr="00806434">
        <w:rPr>
          <w:rFonts w:cs="Arial"/>
          <w:rtl/>
        </w:rPr>
        <w:t>שהכניסה נדוניא רבה</w:t>
      </w:r>
      <w:r>
        <w:rPr>
          <w:rFonts w:cs="Arial" w:hint="cs"/>
          <w:rtl/>
        </w:rPr>
        <w:t>,</w:t>
      </w:r>
      <w:r w:rsidRPr="00806434">
        <w:rPr>
          <w:rFonts w:cs="Arial"/>
          <w:rtl/>
        </w:rPr>
        <w:t xml:space="preserve"> ויש כדאי למביאה נדוניא זו לקנות ממקצתה שפחות להכניס ולשמשה</w:t>
      </w:r>
      <w:r>
        <w:rPr>
          <w:rFonts w:cs="Arial" w:hint="cs"/>
          <w:rtl/>
        </w:rPr>
        <w:t>, רש"י.</w:t>
      </w:r>
      <w:r w:rsidRPr="00806434">
        <w:rPr>
          <w:rFonts w:cs="Arial"/>
          <w:rtl/>
        </w:rPr>
        <w:t xml:space="preserve"> </w:t>
      </w:r>
      <w:r w:rsidRPr="00DC4762">
        <w:rPr>
          <w:rFonts w:cs="Arial"/>
          <w:rtl/>
        </w:rPr>
        <w:t>וכתב הר"ן (כה. ד"ה צערא) ואחרים פירשו ראויה להכניס שדרך בנות משפחתה בכך או שדרך משפחתו בכך</w:t>
      </w:r>
      <w:r>
        <w:rPr>
          <w:rFonts w:cs="Arial" w:hint="cs"/>
          <w:rtl/>
        </w:rPr>
        <w:t>,</w:t>
      </w:r>
      <w:r w:rsidRPr="00DC4762">
        <w:rPr>
          <w:rFonts w:cs="Arial"/>
          <w:rtl/>
        </w:rPr>
        <w:t xml:space="preserve"> והכי מוכח בירושלמי (שם ה"ו)</w:t>
      </w:r>
      <w:r>
        <w:rPr>
          <w:rFonts w:hint="cs"/>
          <w:rtl/>
        </w:rPr>
        <w:t>.</w:t>
      </w:r>
    </w:p>
  </w:footnote>
  <w:footnote w:id="1471">
    <w:p w14:paraId="24D9A8A5" w14:textId="77777777" w:rsidR="00DF1FC7" w:rsidRDefault="00DF1FC7" w:rsidP="002E5BAD">
      <w:pPr>
        <w:pStyle w:val="a5"/>
      </w:pPr>
      <w:r>
        <w:rPr>
          <w:rStyle w:val="a7"/>
        </w:rPr>
        <w:footnoteRef/>
      </w:r>
      <w:r>
        <w:rPr>
          <w:rtl/>
        </w:rPr>
        <w:t xml:space="preserve"> </w:t>
      </w:r>
      <w:r w:rsidRPr="00901F1B">
        <w:rPr>
          <w:rFonts w:cs="Arial"/>
          <w:rtl/>
        </w:rPr>
        <w:t>פירוש צמצמה לו ממה שהוא חייב ליתן לה כמו קופה של בשמים ושאר דברים וצמצמה כל כך שיכול לקנות מזה כמה שפחות רבינו תם</w:t>
      </w:r>
      <w:r>
        <w:rPr>
          <w:rFonts w:cs="Arial" w:hint="cs"/>
          <w:rtl/>
        </w:rPr>
        <w:t>,</w:t>
      </w:r>
      <w:r w:rsidRPr="00901F1B">
        <w:rPr>
          <w:rFonts w:cs="Arial"/>
          <w:rtl/>
        </w:rPr>
        <w:t xml:space="preserve"> ויש גורסין </w:t>
      </w:r>
      <w:r>
        <w:rPr>
          <w:rFonts w:cs="Arial" w:hint="cs"/>
          <w:rtl/>
        </w:rPr>
        <w:t>'</w:t>
      </w:r>
      <w:r w:rsidRPr="00901F1B">
        <w:rPr>
          <w:rFonts w:cs="Arial"/>
          <w:rtl/>
        </w:rPr>
        <w:t>שמצאה לו משלו</w:t>
      </w:r>
      <w:r>
        <w:rPr>
          <w:rFonts w:cs="Arial" w:hint="cs"/>
          <w:rtl/>
        </w:rPr>
        <w:t>'</w:t>
      </w:r>
      <w:r w:rsidRPr="00901F1B">
        <w:rPr>
          <w:rFonts w:cs="Arial"/>
          <w:rtl/>
        </w:rPr>
        <w:t xml:space="preserve"> כלומר שהוא עשיר שיכול לקנות הרבה שפחות כפי צרכה</w:t>
      </w:r>
      <w:r>
        <w:rPr>
          <w:rFonts w:cs="Arial" w:hint="cs"/>
          <w:rtl/>
        </w:rPr>
        <w:t>, תוס' (שם ד"ה ואחת)</w:t>
      </w:r>
      <w:r w:rsidRPr="00901F1B">
        <w:rPr>
          <w:rFonts w:cs="Arial"/>
          <w:rtl/>
        </w:rPr>
        <w:t>.</w:t>
      </w:r>
      <w:r w:rsidRPr="00FC30B6">
        <w:rPr>
          <w:rFonts w:cs="Arial"/>
          <w:rtl/>
        </w:rPr>
        <w:t xml:space="preserve"> </w:t>
      </w:r>
      <w:r>
        <w:rPr>
          <w:rFonts w:cs="Arial" w:hint="cs"/>
          <w:rtl/>
        </w:rPr>
        <w:t xml:space="preserve">וכיש גורסין </w:t>
      </w:r>
      <w:r>
        <w:rPr>
          <w:rFonts w:cs="Arial" w:hint="cs"/>
          <w:sz w:val="16"/>
          <w:szCs w:val="16"/>
          <w:rtl/>
        </w:rPr>
        <w:t>('</w:t>
      </w:r>
      <w:r w:rsidRPr="00FC30B6">
        <w:rPr>
          <w:rFonts w:cs="Arial"/>
          <w:sz w:val="16"/>
          <w:szCs w:val="16"/>
          <w:rtl/>
        </w:rPr>
        <w:t>ואחד שמצאה לו משלו</w:t>
      </w:r>
      <w:r>
        <w:rPr>
          <w:rFonts w:cs="Arial" w:hint="cs"/>
          <w:sz w:val="16"/>
          <w:szCs w:val="16"/>
          <w:rtl/>
        </w:rPr>
        <w:t>')</w:t>
      </w:r>
      <w:r>
        <w:rPr>
          <w:rFonts w:cs="Arial" w:hint="cs"/>
          <w:rtl/>
        </w:rPr>
        <w:t xml:space="preserve"> </w:t>
      </w:r>
      <w:r w:rsidRPr="00DC4762">
        <w:rPr>
          <w:rFonts w:cs="Arial"/>
          <w:rtl/>
        </w:rPr>
        <w:t>כך היא גירסת הרי"ף (כה.) והרא"ש (סי' כג) ופי' הרא"ש שמצאה משלו שפחות או ממון הראוי לקנות שפחות וכך הם דברי הרמב"ם בפכ"א (ה"ו)</w:t>
      </w:r>
      <w:r>
        <w:rPr>
          <w:rFonts w:hint="cs"/>
          <w:rtl/>
        </w:rPr>
        <w:t>, ב"י.</w:t>
      </w:r>
    </w:p>
  </w:footnote>
  <w:footnote w:id="1472">
    <w:p w14:paraId="4D2783BA" w14:textId="77777777" w:rsidR="00DF1FC7" w:rsidRDefault="00DF1FC7" w:rsidP="002E5BAD">
      <w:pPr>
        <w:pStyle w:val="a5"/>
      </w:pPr>
      <w:r>
        <w:rPr>
          <w:rStyle w:val="a7"/>
        </w:rPr>
        <w:footnoteRef/>
      </w:r>
      <w:r w:rsidRPr="00B70964">
        <w:rPr>
          <w:rFonts w:cs="Arial"/>
          <w:rtl/>
        </w:rPr>
        <w:t xml:space="preserve"> וכ"כ הרא"ש (סי' כג)</w:t>
      </w:r>
      <w:r>
        <w:rPr>
          <w:rFonts w:cs="Arial" w:hint="cs"/>
          <w:rtl/>
        </w:rPr>
        <w:t>...</w:t>
      </w:r>
      <w:r w:rsidRPr="00B70964">
        <w:rPr>
          <w:rFonts w:cs="Arial"/>
          <w:rtl/>
        </w:rPr>
        <w:t xml:space="preserve"> והר"ן </w:t>
      </w:r>
      <w:r>
        <w:rPr>
          <w:rFonts w:cs="Arial" w:hint="cs"/>
          <w:rtl/>
        </w:rPr>
        <w:t>(</w:t>
      </w:r>
      <w:r w:rsidRPr="00B70964">
        <w:rPr>
          <w:rFonts w:cs="Arial"/>
          <w:rtl/>
        </w:rPr>
        <w:t>פ</w:t>
      </w:r>
      <w:r>
        <w:rPr>
          <w:rFonts w:cs="Arial" w:hint="cs"/>
          <w:rtl/>
        </w:rPr>
        <w:t>'</w:t>
      </w:r>
      <w:r w:rsidRPr="00B70964">
        <w:rPr>
          <w:rFonts w:cs="Arial"/>
          <w:rtl/>
        </w:rPr>
        <w:t xml:space="preserve"> אף על פי כה. ד"ה צערא) דאם הוא עשיר ויכול לשכור שפחה חייב לשכור דעולה עמו ואינה יורדת עמו</w:t>
      </w:r>
      <w:r>
        <w:rPr>
          <w:rFonts w:cs="Arial" w:hint="cs"/>
          <w:rtl/>
        </w:rPr>
        <w:t>, דרכ"מ (אות ג).</w:t>
      </w:r>
    </w:p>
  </w:footnote>
  <w:footnote w:id="1473">
    <w:p w14:paraId="7FF562D7" w14:textId="77777777" w:rsidR="00DF1FC7" w:rsidRDefault="00DF1FC7" w:rsidP="002E5BAD">
      <w:pPr>
        <w:pStyle w:val="a5"/>
      </w:pPr>
      <w:r>
        <w:rPr>
          <w:rStyle w:val="a7"/>
        </w:rPr>
        <w:footnoteRef/>
      </w:r>
      <w:r>
        <w:rPr>
          <w:rtl/>
        </w:rPr>
        <w:t xml:space="preserve"> </w:t>
      </w:r>
      <w:r w:rsidRPr="00D22EAF">
        <w:rPr>
          <w:rFonts w:cs="Arial"/>
          <w:rtl/>
        </w:rPr>
        <w:t>היינו שהכניסה לו נדוניא או אם מצמצמת משלו הוי כאלו הכניס' כ"כ תוס'</w:t>
      </w:r>
      <w:r>
        <w:rPr>
          <w:rFonts w:cs="Arial" w:hint="cs"/>
          <w:rtl/>
        </w:rPr>
        <w:t>, ב"ש (סק"י).</w:t>
      </w:r>
    </w:p>
  </w:footnote>
  <w:footnote w:id="1474">
    <w:p w14:paraId="03DDBE02" w14:textId="77777777" w:rsidR="00DF1FC7" w:rsidRDefault="00DF1FC7" w:rsidP="002E5BAD">
      <w:pPr>
        <w:pStyle w:val="a5"/>
      </w:pPr>
      <w:r>
        <w:rPr>
          <w:rStyle w:val="a7"/>
        </w:rPr>
        <w:footnoteRef/>
      </w:r>
      <w:r>
        <w:rPr>
          <w:rtl/>
        </w:rPr>
        <w:t xml:space="preserve"> </w:t>
      </w:r>
      <w:r w:rsidRPr="00FC30B6">
        <w:rPr>
          <w:rFonts w:cs="Arial"/>
          <w:rtl/>
        </w:rPr>
        <w:t>ער"נ בנדרים פ"א ב'. ד"ה שלא אתן תבן כו' וברא"ש שם ד"ה שלא אתן כו' וכ"כ התוס' שם ודלא כמ"ש בכתובות שם ד"ה לא ליתן כו' ודעת הרמב"ם צ"ע מנ"ל דבשפחה אחת נפטרה</w:t>
      </w:r>
      <w:r>
        <w:rPr>
          <w:rFonts w:cs="Arial" w:hint="cs"/>
          <w:rtl/>
        </w:rPr>
        <w:t>, גר"א (סקט"ז).</w:t>
      </w:r>
    </w:p>
  </w:footnote>
  <w:footnote w:id="1475">
    <w:p w14:paraId="6CCEF56A" w14:textId="77777777" w:rsidR="00DF1FC7" w:rsidRDefault="00DF1FC7" w:rsidP="002E5BAD">
      <w:pPr>
        <w:pStyle w:val="a5"/>
        <w:rPr>
          <w:rtl/>
        </w:rPr>
      </w:pPr>
      <w:r>
        <w:rPr>
          <w:rStyle w:val="a7"/>
        </w:rPr>
        <w:footnoteRef/>
      </w:r>
      <w:r>
        <w:rPr>
          <w:rtl/>
        </w:rPr>
        <w:t xml:space="preserve"> </w:t>
      </w:r>
      <w:r>
        <w:rPr>
          <w:rFonts w:cs="Arial" w:hint="cs"/>
          <w:rtl/>
        </w:rPr>
        <w:t>וכ"כ כנה"ג ו</w:t>
      </w:r>
      <w:r w:rsidRPr="00313EFE">
        <w:rPr>
          <w:rFonts w:cs="Arial" w:hint="cs"/>
          <w:rtl/>
        </w:rPr>
        <w:t xml:space="preserve">באה"ט </w:t>
      </w:r>
      <w:r w:rsidRPr="00313EFE">
        <w:rPr>
          <w:rFonts w:cs="Arial" w:hint="cs"/>
          <w:sz w:val="16"/>
          <w:szCs w:val="16"/>
          <w:rtl/>
        </w:rPr>
        <w:t>(סק"י)</w:t>
      </w:r>
      <w:r>
        <w:rPr>
          <w:rFonts w:hint="cs"/>
          <w:rtl/>
        </w:rPr>
        <w:t>.</w:t>
      </w:r>
    </w:p>
  </w:footnote>
  <w:footnote w:id="1476">
    <w:p w14:paraId="5AA9E788" w14:textId="77777777" w:rsidR="00DF1FC7" w:rsidRDefault="00DF1FC7" w:rsidP="002E5BAD">
      <w:pPr>
        <w:pStyle w:val="a5"/>
        <w:rPr>
          <w:rtl/>
        </w:rPr>
      </w:pPr>
      <w:r>
        <w:rPr>
          <w:rStyle w:val="a7"/>
        </w:rPr>
        <w:footnoteRef/>
      </w:r>
      <w:r>
        <w:rPr>
          <w:rtl/>
        </w:rPr>
        <w:t xml:space="preserve"> </w:t>
      </w:r>
      <w:r>
        <w:rPr>
          <w:rFonts w:cs="Arial" w:hint="cs"/>
          <w:rtl/>
        </w:rPr>
        <w:t>וכ"כ כנה"ג ו</w:t>
      </w:r>
      <w:r w:rsidRPr="00313EFE">
        <w:rPr>
          <w:rFonts w:cs="Arial" w:hint="cs"/>
          <w:rtl/>
        </w:rPr>
        <w:t xml:space="preserve">באה"ט </w:t>
      </w:r>
      <w:r w:rsidRPr="00313EFE">
        <w:rPr>
          <w:rFonts w:cs="Arial" w:hint="cs"/>
          <w:sz w:val="16"/>
          <w:szCs w:val="16"/>
          <w:rtl/>
        </w:rPr>
        <w:t>(סק"י)</w:t>
      </w:r>
      <w:r>
        <w:rPr>
          <w:rFonts w:hint="cs"/>
          <w:rtl/>
        </w:rPr>
        <w:t>.</w:t>
      </w:r>
    </w:p>
  </w:footnote>
  <w:footnote w:id="1477">
    <w:p w14:paraId="43242858" w14:textId="77777777" w:rsidR="00DF1FC7" w:rsidRDefault="00DF1FC7" w:rsidP="002E5BAD">
      <w:pPr>
        <w:pStyle w:val="a5"/>
      </w:pPr>
      <w:r>
        <w:rPr>
          <w:rStyle w:val="a7"/>
        </w:rPr>
        <w:footnoteRef/>
      </w:r>
      <w:r>
        <w:rPr>
          <w:rtl/>
        </w:rPr>
        <w:t xml:space="preserve"> </w:t>
      </w:r>
      <w:r w:rsidRPr="00DC4762">
        <w:rPr>
          <w:rFonts w:cs="Arial"/>
          <w:rtl/>
        </w:rPr>
        <w:t xml:space="preserve">ויש לתמוה למה השמיט דין הכניסה לו ג' </w:t>
      </w:r>
      <w:r>
        <w:rPr>
          <w:rFonts w:cs="Arial" w:hint="cs"/>
          <w:sz w:val="16"/>
          <w:szCs w:val="16"/>
          <w:rtl/>
        </w:rPr>
        <w:t xml:space="preserve">{וד'} </w:t>
      </w:r>
      <w:r w:rsidRPr="00DC4762">
        <w:rPr>
          <w:rFonts w:cs="Arial"/>
          <w:rtl/>
        </w:rPr>
        <w:t>שפחות ונראה שהוא ז"ל סובר דכיון דאיפסיקא הלכתא בגמרא (סא:) כרבי אליעזר דאמר אפילו הכניסה לו ק' שפחות כופה לעשות בצמר אזדא ליה הא דתנן בהכניסה לו ג' שפחות אינה עושה בצמר</w:t>
      </w:r>
      <w:r>
        <w:rPr>
          <w:rFonts w:cs="Arial" w:hint="cs"/>
          <w:rtl/>
        </w:rPr>
        <w:t>,</w:t>
      </w:r>
      <w:r w:rsidRPr="00DC4762">
        <w:rPr>
          <w:rFonts w:cs="Arial"/>
          <w:rtl/>
        </w:rPr>
        <w:t xml:space="preserve"> וכן אזדא ליה הא דקתני בה אינה מצעת את המטה מהא דאמר רב הונא אף על פי שאמרו יושבת בקתדרא וכו' ומצעת לו את המטה</w:t>
      </w:r>
      <w:r>
        <w:rPr>
          <w:rFonts w:cs="Arial" w:hint="cs"/>
          <w:rtl/>
        </w:rPr>
        <w:t>.</w:t>
      </w:r>
      <w:r w:rsidRPr="00DC4762">
        <w:rPr>
          <w:rFonts w:cs="Arial"/>
          <w:rtl/>
        </w:rPr>
        <w:t xml:space="preserve"> ולא מסתבר ליה לפלוגי בין הצעת המטה דרב הונא להצעת המטה דמתניתין</w:t>
      </w:r>
      <w:r>
        <w:rPr>
          <w:rFonts w:cs="Arial" w:hint="cs"/>
          <w:rtl/>
        </w:rPr>
        <w:t>, ב"י.</w:t>
      </w:r>
    </w:p>
  </w:footnote>
  <w:footnote w:id="1478">
    <w:p w14:paraId="5D2C8CF0" w14:textId="77777777" w:rsidR="00DF1FC7" w:rsidRDefault="00DF1FC7" w:rsidP="002E5BAD">
      <w:pPr>
        <w:pStyle w:val="a5"/>
        <w:rPr>
          <w:rtl/>
        </w:rPr>
      </w:pPr>
      <w:r>
        <w:rPr>
          <w:rStyle w:val="a7"/>
        </w:rPr>
        <w:footnoteRef/>
      </w:r>
      <w:r>
        <w:rPr>
          <w:rtl/>
        </w:rPr>
        <w:t xml:space="preserve"> </w:t>
      </w:r>
      <w:r w:rsidRPr="00DC4762">
        <w:rPr>
          <w:rFonts w:cs="Arial"/>
          <w:rtl/>
        </w:rPr>
        <w:t>פשוט הוא זה שעליה להביא ראיה</w:t>
      </w:r>
      <w:r>
        <w:rPr>
          <w:rFonts w:cs="Arial" w:hint="cs"/>
          <w:rtl/>
        </w:rPr>
        <w:t>,</w:t>
      </w:r>
      <w:r w:rsidRPr="00DC4762">
        <w:rPr>
          <w:rFonts w:cs="Arial"/>
          <w:rtl/>
        </w:rPr>
        <w:t xml:space="preserve"> שהרי מן הסתם היא משועבדת לו</w:t>
      </w:r>
      <w:r>
        <w:rPr>
          <w:rFonts w:cs="Arial" w:hint="cs"/>
          <w:rtl/>
        </w:rPr>
        <w:t>, הה"מ (שם).</w:t>
      </w:r>
    </w:p>
  </w:footnote>
  <w:footnote w:id="1479">
    <w:p w14:paraId="1127AC48" w14:textId="77777777" w:rsidR="00DF1FC7" w:rsidRDefault="00DF1FC7" w:rsidP="002E5BAD">
      <w:pPr>
        <w:pStyle w:val="a5"/>
      </w:pPr>
      <w:r>
        <w:rPr>
          <w:rStyle w:val="a7"/>
        </w:rPr>
        <w:footnoteRef/>
      </w:r>
      <w:r>
        <w:rPr>
          <w:rtl/>
        </w:rPr>
        <w:t xml:space="preserve"> </w:t>
      </w:r>
      <w:r w:rsidRPr="00DC4762">
        <w:rPr>
          <w:rFonts w:cs="Arial"/>
          <w:rtl/>
        </w:rPr>
        <w:t>לפי שהיא אינה תובעת ממנו שחייב לה שנאמר ישבע היסת ויפטר</w:t>
      </w:r>
      <w:r>
        <w:rPr>
          <w:rFonts w:cs="Arial" w:hint="cs"/>
          <w:rtl/>
        </w:rPr>
        <w:t>,</w:t>
      </w:r>
      <w:r w:rsidRPr="00DC4762">
        <w:rPr>
          <w:rFonts w:cs="Arial"/>
          <w:rtl/>
        </w:rPr>
        <w:t xml:space="preserve"> אלא שבאה ליפטר משעבודה ואינה נפטרת אלא</w:t>
      </w:r>
      <w:r w:rsidRPr="0060187B">
        <w:rPr>
          <w:rFonts w:cs="Arial"/>
          <w:rtl/>
        </w:rPr>
        <w:t xml:space="preserve"> </w:t>
      </w:r>
      <w:r w:rsidRPr="00DC4762">
        <w:rPr>
          <w:rFonts w:cs="Arial"/>
          <w:rtl/>
        </w:rPr>
        <w:t>בראיה</w:t>
      </w:r>
      <w:r>
        <w:rPr>
          <w:rFonts w:cs="Arial" w:hint="cs"/>
          <w:rtl/>
        </w:rPr>
        <w:t>, הה"מ (שם).</w:t>
      </w:r>
      <w:r w:rsidRPr="00652E6A">
        <w:rPr>
          <w:rtl/>
        </w:rPr>
        <w:t xml:space="preserve"> </w:t>
      </w:r>
      <w:r w:rsidRPr="00652E6A">
        <w:rPr>
          <w:rFonts w:cs="Arial"/>
          <w:rtl/>
        </w:rPr>
        <w:t>ובב"ח כתב שאינו מבין דבריו למה יפטר משבועת היסת</w:t>
      </w:r>
      <w:r>
        <w:rPr>
          <w:rFonts w:cs="Arial" w:hint="cs"/>
          <w:rtl/>
        </w:rPr>
        <w:t>.</w:t>
      </w:r>
      <w:r w:rsidRPr="00652E6A">
        <w:rPr>
          <w:rFonts w:cs="Arial"/>
          <w:rtl/>
        </w:rPr>
        <w:t xml:space="preserve"> ודעתו שכאן בש"ע השמיט בכיון סוף דברי הרמב"ם מפני שאין עולים כהלכה</w:t>
      </w:r>
      <w:r>
        <w:rPr>
          <w:rFonts w:cs="Arial" w:hint="cs"/>
          <w:rtl/>
        </w:rPr>
        <w:t>.</w:t>
      </w:r>
      <w:r w:rsidRPr="00652E6A">
        <w:rPr>
          <w:rFonts w:cs="Arial"/>
          <w:rtl/>
        </w:rPr>
        <w:t xml:space="preserve"> ואין דבריו ברורי</w:t>
      </w:r>
      <w:r>
        <w:rPr>
          <w:rFonts w:cs="Arial" w:hint="cs"/>
          <w:rtl/>
        </w:rPr>
        <w:t>ם,</w:t>
      </w:r>
      <w:r w:rsidRPr="00652E6A">
        <w:rPr>
          <w:rFonts w:cs="Arial"/>
          <w:rtl/>
        </w:rPr>
        <w:t xml:space="preserve"> מכ"ש שאינם מוכרחים</w:t>
      </w:r>
      <w:r>
        <w:rPr>
          <w:rFonts w:cs="Arial" w:hint="cs"/>
          <w:rtl/>
        </w:rPr>
        <w:t>,</w:t>
      </w:r>
      <w:r w:rsidRPr="00652E6A">
        <w:rPr>
          <w:rFonts w:cs="Arial"/>
          <w:rtl/>
        </w:rPr>
        <w:t xml:space="preserve"> כי שבוע</w:t>
      </w:r>
      <w:r>
        <w:rPr>
          <w:rFonts w:cs="Arial" w:hint="cs"/>
          <w:rtl/>
        </w:rPr>
        <w:t>עת</w:t>
      </w:r>
      <w:r w:rsidRPr="00652E6A">
        <w:rPr>
          <w:rFonts w:cs="Arial"/>
          <w:rtl/>
        </w:rPr>
        <w:t xml:space="preserve"> היסת תקנה היא ואם היה כאן עסק שבועה בכל יום תשביע בעל</w:t>
      </w:r>
      <w:r>
        <w:rPr>
          <w:rFonts w:cs="Arial" w:hint="cs"/>
          <w:rtl/>
        </w:rPr>
        <w:t>ה</w:t>
      </w:r>
      <w:r w:rsidRPr="00652E6A">
        <w:rPr>
          <w:rFonts w:cs="Arial"/>
          <w:rtl/>
        </w:rPr>
        <w:t xml:space="preserve"> שתאמר היום נתעשר</w:t>
      </w:r>
      <w:r>
        <w:rPr>
          <w:rFonts w:cs="Arial" w:hint="cs"/>
          <w:rtl/>
        </w:rPr>
        <w:t>.</w:t>
      </w:r>
      <w:r w:rsidRPr="00652E6A">
        <w:rPr>
          <w:rFonts w:cs="Arial"/>
          <w:rtl/>
        </w:rPr>
        <w:t xml:space="preserve"> וקשה לחלוק על דברי הרמב"ם והמ"מ בלא ראיה וגם הראב"ד לא השיגו, </w:t>
      </w:r>
      <w:r>
        <w:rPr>
          <w:rFonts w:cs="Arial" w:hint="cs"/>
          <w:rtl/>
        </w:rPr>
        <w:t>ח"מ (סק"כ). אך הב"ש (סקי"א) כתב בשם ה</w:t>
      </w:r>
      <w:r w:rsidRPr="00652E6A">
        <w:rPr>
          <w:rFonts w:cs="Arial"/>
          <w:rtl/>
        </w:rPr>
        <w:t>ב"ח דהיא יכולה להשביעו אחר שעשתה מלאכה יכולה לומר השבע לי שאין לך כדי לקנות שפחה ואפשר גם הרמב"ם ס"ל כן ומ"ש אין כאן מקום שבועה היינו כשתרצה לפטור את עצמה מן המלאכות אין כאן מקום שבועה אלא היא חייבת לעשות מיהו אח"כ יכולה להשביעו</w:t>
      </w:r>
      <w:r>
        <w:rPr>
          <w:rFonts w:cs="Arial" w:hint="cs"/>
          <w:rtl/>
        </w:rPr>
        <w:t>. עכ"ל הב"ש. והביאו הבא"ט (סקי"א). אך הפת"ש (סק"ה) כתב ש</w:t>
      </w:r>
      <w:r w:rsidRPr="00652E6A">
        <w:rPr>
          <w:rFonts w:cs="Arial"/>
          <w:rtl/>
        </w:rPr>
        <w:t>בגליון ש</w:t>
      </w:r>
      <w:r>
        <w:rPr>
          <w:rFonts w:cs="Arial" w:hint="cs"/>
          <w:rtl/>
        </w:rPr>
        <w:t>ו</w:t>
      </w:r>
      <w:r w:rsidRPr="00652E6A">
        <w:rPr>
          <w:rFonts w:cs="Arial"/>
          <w:rtl/>
        </w:rPr>
        <w:t>"ע דהגר"ע איגר זצ"ל נ"ב לענ"ד זה אינו דהא אם עשתה המ</w:t>
      </w:r>
      <w:r>
        <w:rPr>
          <w:rFonts w:cs="Arial" w:hint="cs"/>
          <w:rtl/>
        </w:rPr>
        <w:t xml:space="preserve">עשה </w:t>
      </w:r>
      <w:r w:rsidRPr="00652E6A">
        <w:rPr>
          <w:rFonts w:cs="Arial"/>
          <w:rtl/>
        </w:rPr>
        <w:t>י</w:t>
      </w:r>
      <w:r>
        <w:rPr>
          <w:rFonts w:cs="Arial" w:hint="cs"/>
          <w:rtl/>
        </w:rPr>
        <w:t>דיה</w:t>
      </w:r>
      <w:r w:rsidRPr="00652E6A">
        <w:rPr>
          <w:rFonts w:cs="Arial"/>
          <w:rtl/>
        </w:rPr>
        <w:t xml:space="preserve"> לבעלה עיין ב"ש סק"ד עכ"ל גם בספר בית מאיר תמה על הב"ש בזה</w:t>
      </w:r>
      <w:r>
        <w:rPr>
          <w:rFonts w:cs="Arial" w:hint="cs"/>
          <w:rtl/>
        </w:rPr>
        <w:t>.</w:t>
      </w:r>
    </w:p>
  </w:footnote>
  <w:footnote w:id="1480">
    <w:p w14:paraId="3A08F882" w14:textId="77777777" w:rsidR="00DF1FC7" w:rsidRDefault="00DF1FC7" w:rsidP="002E5BAD">
      <w:pPr>
        <w:pStyle w:val="a5"/>
      </w:pPr>
      <w:r>
        <w:rPr>
          <w:rStyle w:val="a7"/>
        </w:rPr>
        <w:footnoteRef/>
      </w:r>
      <w:r>
        <w:rPr>
          <w:rtl/>
        </w:rPr>
        <w:t xml:space="preserve"> </w:t>
      </w:r>
      <w:r w:rsidRPr="00344295">
        <w:rPr>
          <w:rFonts w:cs="Arial"/>
          <w:rtl/>
        </w:rPr>
        <w:t>החלב רב בדדיה ומצערה</w:t>
      </w:r>
      <w:r>
        <w:rPr>
          <w:rFonts w:cs="Arial" w:hint="cs"/>
          <w:rtl/>
        </w:rPr>
        <w:t>, רש"י.</w:t>
      </w:r>
    </w:p>
  </w:footnote>
  <w:footnote w:id="1481">
    <w:p w14:paraId="05326F78" w14:textId="77777777" w:rsidR="00DF1FC7" w:rsidRDefault="00DF1FC7" w:rsidP="002E5BAD">
      <w:pPr>
        <w:pStyle w:val="a5"/>
      </w:pPr>
      <w:r>
        <w:rPr>
          <w:rStyle w:val="a7"/>
        </w:rPr>
        <w:footnoteRef/>
      </w:r>
      <w:r>
        <w:rPr>
          <w:rtl/>
        </w:rPr>
        <w:t xml:space="preserve"> </w:t>
      </w:r>
      <w:r w:rsidRPr="003810EC">
        <w:rPr>
          <w:rFonts w:cs="Arial"/>
          <w:rtl/>
        </w:rPr>
        <w:t>אין דרך משפחתה להניק</w:t>
      </w:r>
      <w:r>
        <w:rPr>
          <w:rFonts w:cs="Arial" w:hint="cs"/>
          <w:rtl/>
        </w:rPr>
        <w:t>, רש"י.</w:t>
      </w:r>
    </w:p>
  </w:footnote>
  <w:footnote w:id="1482">
    <w:p w14:paraId="7AEAF2B5" w14:textId="77777777" w:rsidR="00DF1FC7" w:rsidRDefault="00DF1FC7" w:rsidP="002E5BAD">
      <w:pPr>
        <w:pStyle w:val="a5"/>
        <w:rPr>
          <w:rtl/>
        </w:rPr>
      </w:pPr>
      <w:r>
        <w:rPr>
          <w:rStyle w:val="a7"/>
        </w:rPr>
        <w:footnoteRef/>
      </w:r>
      <w:r>
        <w:rPr>
          <w:rtl/>
        </w:rPr>
        <w:t xml:space="preserve"> </w:t>
      </w:r>
      <w:r>
        <w:rPr>
          <w:rFonts w:cs="Arial"/>
          <w:rtl/>
        </w:rPr>
        <w:t>ומפרש רבינו אינו כופה אלא לעשות בצמר אבל בצמר כופה אותה שהרי אפילו הכניסה לו מאה שפחות כופה לעשות בצמר</w:t>
      </w:r>
      <w:r>
        <w:rPr>
          <w:rFonts w:hint="cs"/>
          <w:rtl/>
        </w:rPr>
        <w:t>, הה"מ (פכ"א ה"א).</w:t>
      </w:r>
    </w:p>
  </w:footnote>
  <w:footnote w:id="1483">
    <w:p w14:paraId="226DF8BA" w14:textId="77777777" w:rsidR="00DF1FC7" w:rsidRDefault="00DF1FC7" w:rsidP="002E5BAD">
      <w:pPr>
        <w:pStyle w:val="a5"/>
      </w:pPr>
      <w:r>
        <w:rPr>
          <w:rStyle w:val="a7"/>
        </w:rPr>
        <w:footnoteRef/>
      </w:r>
      <w:r>
        <w:rPr>
          <w:rtl/>
        </w:rPr>
        <w:t xml:space="preserve"> </w:t>
      </w:r>
      <w:r w:rsidRPr="003810EC">
        <w:rPr>
          <w:rFonts w:cs="Arial"/>
          <w:rtl/>
        </w:rPr>
        <w:t>ל</w:t>
      </w:r>
      <w:r>
        <w:rPr>
          <w:rFonts w:cs="Arial" w:hint="cs"/>
          <w:rtl/>
        </w:rPr>
        <w:t xml:space="preserve">או </w:t>
      </w:r>
      <w:r w:rsidRPr="003810EC">
        <w:rPr>
          <w:rFonts w:cs="Arial"/>
          <w:rtl/>
        </w:rPr>
        <w:t>ד</w:t>
      </w:r>
      <w:r>
        <w:rPr>
          <w:rFonts w:cs="Arial" w:hint="cs"/>
          <w:rtl/>
        </w:rPr>
        <w:t>וקא</w:t>
      </w:r>
      <w:r w:rsidRPr="003810EC">
        <w:rPr>
          <w:rFonts w:cs="Arial"/>
          <w:rtl/>
        </w:rPr>
        <w:t xml:space="preserve"> כל המלאכות</w:t>
      </w:r>
      <w:r>
        <w:rPr>
          <w:rFonts w:cs="Arial" w:hint="cs"/>
          <w:rtl/>
        </w:rPr>
        <w:t>,</w:t>
      </w:r>
      <w:r w:rsidRPr="003810EC">
        <w:rPr>
          <w:rFonts w:cs="Arial"/>
          <w:rtl/>
        </w:rPr>
        <w:t xml:space="preserve"> דהא היא חייבת לעשות בצמר אפילו כשבני משפחתה אין עושים</w:t>
      </w:r>
      <w:r>
        <w:rPr>
          <w:rFonts w:cs="Arial" w:hint="cs"/>
          <w:rtl/>
        </w:rPr>
        <w:t>,</w:t>
      </w:r>
      <w:r w:rsidRPr="003810EC">
        <w:rPr>
          <w:rFonts w:cs="Arial"/>
          <w:rtl/>
        </w:rPr>
        <w:t xml:space="preserve"> וכן חייבת למזוג הכוס וכיוצא בזה אפילו אם בני משפחתה אין עושות</w:t>
      </w:r>
      <w:r>
        <w:rPr>
          <w:rFonts w:cs="Arial" w:hint="cs"/>
          <w:rtl/>
        </w:rPr>
        <w:t>.</w:t>
      </w:r>
      <w:r w:rsidRPr="003810EC">
        <w:rPr>
          <w:rFonts w:cs="Arial"/>
          <w:rtl/>
        </w:rPr>
        <w:t xml:space="preserve"> אלא המלאכות המפורשים במתניתין קאמר אם בני משפחתה אין עושים היא ג"כ פטורה לעשות</w:t>
      </w:r>
      <w:r>
        <w:rPr>
          <w:rFonts w:cs="Arial" w:hint="cs"/>
          <w:rtl/>
        </w:rPr>
        <w:t>, ב"ש (סקי"ב).</w:t>
      </w:r>
      <w:r w:rsidRPr="00734106">
        <w:rPr>
          <w:rtl/>
        </w:rPr>
        <w:t xml:space="preserve"> </w:t>
      </w:r>
      <w:r w:rsidRPr="00734106">
        <w:rPr>
          <w:rFonts w:cs="Arial"/>
          <w:rtl/>
        </w:rPr>
        <w:t>ועיין בהגהת יד אפרים שכ' דאין זה מוסכם כי להרמב"ם שהביא הב"ש סק"א י"ל דכל שבני משפחתה יושבים בטל אף היא א"צ לעשות בצמר כל היום או משקל ה' סלעים רק מחמת זימה צריכה לעשות קצת מלאכה</w:t>
      </w:r>
      <w:r>
        <w:rPr>
          <w:rFonts w:hint="cs"/>
          <w:rtl/>
        </w:rPr>
        <w:t>, פת"ש (סק"ו).</w:t>
      </w:r>
    </w:p>
  </w:footnote>
  <w:footnote w:id="1484">
    <w:p w14:paraId="6FEBAB7E" w14:textId="77777777" w:rsidR="00DF1FC7" w:rsidRDefault="00DF1FC7" w:rsidP="002E5BAD">
      <w:pPr>
        <w:pStyle w:val="a5"/>
      </w:pPr>
      <w:r>
        <w:rPr>
          <w:rStyle w:val="a7"/>
        </w:rPr>
        <w:footnoteRef/>
      </w:r>
      <w:r>
        <w:rPr>
          <w:rtl/>
        </w:rPr>
        <w:t xml:space="preserve"> </w:t>
      </w:r>
      <w:r w:rsidRPr="00A96332">
        <w:rPr>
          <w:rFonts w:cs="Arial"/>
          <w:rtl/>
        </w:rPr>
        <w:t>פסקו ליתן לה מזונות מועטים</w:t>
      </w:r>
      <w:r>
        <w:rPr>
          <w:rFonts w:cs="Arial" w:hint="cs"/>
          <w:rtl/>
        </w:rPr>
        <w:t>, רש"י.</w:t>
      </w:r>
    </w:p>
  </w:footnote>
  <w:footnote w:id="1485">
    <w:p w14:paraId="3F1EFC41" w14:textId="77777777" w:rsidR="00DF1FC7" w:rsidRDefault="00DF1FC7" w:rsidP="002E5BAD">
      <w:pPr>
        <w:pStyle w:val="a5"/>
      </w:pPr>
      <w:r>
        <w:rPr>
          <w:rStyle w:val="a7"/>
        </w:rPr>
        <w:footnoteRef/>
      </w:r>
      <w:r>
        <w:rPr>
          <w:rtl/>
        </w:rPr>
        <w:t xml:space="preserve"> </w:t>
      </w:r>
      <w:r w:rsidRPr="00A96332">
        <w:rPr>
          <w:rFonts w:cs="Arial"/>
          <w:rtl/>
        </w:rPr>
        <w:t>משלה כדי שיהיה לה חלב הרבה ולא תמיתנו</w:t>
      </w:r>
      <w:r>
        <w:rPr>
          <w:rFonts w:cs="Arial" w:hint="cs"/>
          <w:rtl/>
        </w:rPr>
        <w:t>, רש"י.</w:t>
      </w:r>
    </w:p>
  </w:footnote>
  <w:footnote w:id="1486">
    <w:p w14:paraId="22C030A4" w14:textId="77777777" w:rsidR="00DF1FC7" w:rsidRDefault="00DF1FC7" w:rsidP="002E5BAD">
      <w:pPr>
        <w:pStyle w:val="a5"/>
      </w:pPr>
      <w:r>
        <w:rPr>
          <w:rStyle w:val="a7"/>
        </w:rPr>
        <w:footnoteRef/>
      </w:r>
      <w:r>
        <w:rPr>
          <w:rtl/>
        </w:rPr>
        <w:t xml:space="preserve"> </w:t>
      </w:r>
      <w:r>
        <w:rPr>
          <w:rFonts w:cs="Arial"/>
          <w:rtl/>
        </w:rPr>
        <w:t>ומשמע לרבינו דאע</w:t>
      </w:r>
      <w:r>
        <w:rPr>
          <w:rFonts w:cs="Arial" w:hint="cs"/>
          <w:rtl/>
        </w:rPr>
        <w:t>"</w:t>
      </w:r>
      <w:r>
        <w:rPr>
          <w:rFonts w:cs="Arial"/>
          <w:rtl/>
        </w:rPr>
        <w:t>ג דתחילת הברייתא נתנו לה בן להניק הוא הדין באשה המניקה את בנה</w:t>
      </w:r>
      <w:r>
        <w:rPr>
          <w:rFonts w:cs="Arial" w:hint="cs"/>
          <w:rtl/>
        </w:rPr>
        <w:t>, ב"י.</w:t>
      </w:r>
    </w:p>
  </w:footnote>
  <w:footnote w:id="1487">
    <w:p w14:paraId="4216D40D" w14:textId="77777777" w:rsidR="00DF1FC7" w:rsidRDefault="00DF1FC7" w:rsidP="002E5BAD">
      <w:pPr>
        <w:pStyle w:val="a5"/>
      </w:pPr>
      <w:r>
        <w:rPr>
          <w:rStyle w:val="a7"/>
        </w:rPr>
        <w:footnoteRef/>
      </w:r>
      <w:r>
        <w:rPr>
          <w:rtl/>
        </w:rPr>
        <w:t xml:space="preserve"> </w:t>
      </w:r>
      <w:r w:rsidRPr="009146AD">
        <w:rPr>
          <w:rFonts w:cs="Arial"/>
          <w:rtl/>
        </w:rPr>
        <w:t>בטור כתב מוסיפים ונותנים יין וכו' משמע דמוסיפים לה מזונות מצד עצמה אפילו מאכלים שאין מוסיפים חלב אבל לשון המחבר משמע דאין מוסיפים לה רק מה שיפה לחלב</w:t>
      </w:r>
      <w:r>
        <w:rPr>
          <w:rFonts w:cs="Arial" w:hint="cs"/>
          <w:rtl/>
        </w:rPr>
        <w:t>, ב"ש (סקי"ג).</w:t>
      </w:r>
    </w:p>
  </w:footnote>
  <w:footnote w:id="1488">
    <w:p w14:paraId="00D1D3B6" w14:textId="77777777" w:rsidR="00DF1FC7" w:rsidRDefault="00DF1FC7" w:rsidP="002E5BAD">
      <w:pPr>
        <w:pStyle w:val="a5"/>
      </w:pPr>
      <w:r>
        <w:rPr>
          <w:rStyle w:val="a7"/>
        </w:rPr>
        <w:footnoteRef/>
      </w:r>
      <w:r>
        <w:rPr>
          <w:rtl/>
        </w:rPr>
        <w:t xml:space="preserve"> </w:t>
      </w:r>
      <w:r w:rsidRPr="009146AD">
        <w:rPr>
          <w:rFonts w:cs="Arial"/>
          <w:rtl/>
        </w:rPr>
        <w:t>כתב בח"מ דהבעל צריך לשלם לה מה שהוציאה משלה</w:t>
      </w:r>
      <w:r>
        <w:rPr>
          <w:rFonts w:cs="Arial" w:hint="cs"/>
          <w:rtl/>
        </w:rPr>
        <w:t>.</w:t>
      </w:r>
      <w:r w:rsidRPr="009146AD">
        <w:rPr>
          <w:rFonts w:cs="Arial"/>
          <w:rtl/>
        </w:rPr>
        <w:t xml:space="preserve"> והראב"ד ושאר פוסקים ס"ל דאיירי הסוגיא אם נתן הילד למניקות צריכה לאכול משלה לטובת הילד</w:t>
      </w:r>
      <w:r>
        <w:rPr>
          <w:rFonts w:cs="Arial" w:hint="cs"/>
          <w:rtl/>
        </w:rPr>
        <w:t>,</w:t>
      </w:r>
      <w:r w:rsidRPr="009146AD">
        <w:rPr>
          <w:rFonts w:cs="Arial"/>
          <w:rtl/>
        </w:rPr>
        <w:t xml:space="preserve"> משמע אפילו אם שכרה בשכר קצוב חייב' לאכול הרבה משלה לטובת הילד</w:t>
      </w:r>
      <w:r>
        <w:rPr>
          <w:rFonts w:cs="Arial" w:hint="cs"/>
          <w:rtl/>
        </w:rPr>
        <w:t>, ב"ש (סקי"ד).</w:t>
      </w:r>
    </w:p>
  </w:footnote>
  <w:footnote w:id="1489">
    <w:p w14:paraId="0CB3B08E" w14:textId="77777777" w:rsidR="00DF1FC7" w:rsidRDefault="00DF1FC7" w:rsidP="002E5BAD">
      <w:pPr>
        <w:pStyle w:val="a5"/>
      </w:pPr>
      <w:r>
        <w:rPr>
          <w:rStyle w:val="a7"/>
        </w:rPr>
        <w:footnoteRef/>
      </w:r>
      <w:r>
        <w:rPr>
          <w:rtl/>
        </w:rPr>
        <w:t xml:space="preserve"> </w:t>
      </w:r>
      <w:r w:rsidRPr="00A96332">
        <w:rPr>
          <w:rFonts w:cs="Arial"/>
          <w:rtl/>
        </w:rPr>
        <w:t>פסקו ליתן לה מזונות מועטים</w:t>
      </w:r>
      <w:r>
        <w:rPr>
          <w:rFonts w:cs="Arial" w:hint="cs"/>
          <w:rtl/>
        </w:rPr>
        <w:t>, רש"י.</w:t>
      </w:r>
    </w:p>
  </w:footnote>
  <w:footnote w:id="1490">
    <w:p w14:paraId="6488FD58" w14:textId="77777777" w:rsidR="00DF1FC7" w:rsidRDefault="00DF1FC7" w:rsidP="002E5BAD">
      <w:pPr>
        <w:pStyle w:val="a5"/>
      </w:pPr>
      <w:r>
        <w:rPr>
          <w:rStyle w:val="a7"/>
        </w:rPr>
        <w:footnoteRef/>
      </w:r>
      <w:r>
        <w:rPr>
          <w:rtl/>
        </w:rPr>
        <w:t xml:space="preserve"> </w:t>
      </w:r>
      <w:r w:rsidRPr="00A96332">
        <w:rPr>
          <w:rFonts w:cs="Arial"/>
          <w:rtl/>
        </w:rPr>
        <w:t>משלה כדי שיהיה לה חלב הרבה ולא תמיתנו</w:t>
      </w:r>
      <w:r>
        <w:rPr>
          <w:rFonts w:cs="Arial" w:hint="cs"/>
          <w:rtl/>
        </w:rPr>
        <w:t>, רש"י.</w:t>
      </w:r>
    </w:p>
  </w:footnote>
  <w:footnote w:id="1491">
    <w:p w14:paraId="766C026D" w14:textId="77777777" w:rsidR="00DF1FC7" w:rsidRDefault="00DF1FC7" w:rsidP="002E5BAD">
      <w:pPr>
        <w:pStyle w:val="a5"/>
      </w:pPr>
      <w:r>
        <w:rPr>
          <w:rStyle w:val="a7"/>
        </w:rPr>
        <w:footnoteRef/>
      </w:r>
      <w:r>
        <w:rPr>
          <w:rtl/>
        </w:rPr>
        <w:t xml:space="preserve"> </w:t>
      </w:r>
      <w:r>
        <w:rPr>
          <w:rFonts w:cs="Arial"/>
          <w:rtl/>
        </w:rPr>
        <w:t xml:space="preserve">נראה שהוא ז"ל מפרש דהא דקתני פסקה קימעא אוכלת הרבה היינו לומר שאם פסקו לה מזונות הראויים לה והיא רוצה לאכול יותר </w:t>
      </w:r>
      <w:r>
        <w:rPr>
          <w:rFonts w:cs="Arial" w:hint="cs"/>
          <w:rtl/>
        </w:rPr>
        <w:t xml:space="preserve">- </w:t>
      </w:r>
      <w:r>
        <w:rPr>
          <w:rFonts w:cs="Arial"/>
          <w:rtl/>
        </w:rPr>
        <w:t>אוכלת</w:t>
      </w:r>
      <w:r>
        <w:rPr>
          <w:rFonts w:cs="Arial" w:hint="cs"/>
          <w:rtl/>
        </w:rPr>
        <w:t>,</w:t>
      </w:r>
      <w:r>
        <w:rPr>
          <w:rFonts w:cs="Arial"/>
          <w:rtl/>
        </w:rPr>
        <w:t xml:space="preserve"> ואין אבי הבן יכול לעכב עלי</w:t>
      </w:r>
      <w:r>
        <w:rPr>
          <w:rFonts w:cs="Arial" w:hint="cs"/>
          <w:rtl/>
        </w:rPr>
        <w:t>ה, ב"י.</w:t>
      </w:r>
    </w:p>
  </w:footnote>
  <w:footnote w:id="1492">
    <w:p w14:paraId="28A615DF" w14:textId="77777777" w:rsidR="00DF1FC7" w:rsidRDefault="00DF1FC7" w:rsidP="002E5BAD">
      <w:pPr>
        <w:pStyle w:val="a5"/>
        <w:rPr>
          <w:rtl/>
        </w:rPr>
      </w:pPr>
      <w:r>
        <w:rPr>
          <w:rStyle w:val="a7"/>
        </w:rPr>
        <w:footnoteRef/>
      </w:r>
      <w:r>
        <w:rPr>
          <w:rtl/>
        </w:rPr>
        <w:t xml:space="preserve"> </w:t>
      </w:r>
      <w:r w:rsidRPr="006D571C">
        <w:rPr>
          <w:rFonts w:cs="Arial"/>
          <w:rtl/>
        </w:rPr>
        <w:t>ואינו נראה כן דתניא פסקה קימעא אוכלת הרבה ולא תאכל דברים הרעים לחלב</w:t>
      </w:r>
      <w:r>
        <w:rPr>
          <w:rFonts w:cs="Arial" w:hint="cs"/>
          <w:rtl/>
        </w:rPr>
        <w:t>, טור.</w:t>
      </w:r>
      <w:r>
        <w:rPr>
          <w:rFonts w:cs="Arial"/>
          <w:rtl/>
        </w:rPr>
        <w:t xml:space="preserve"> והר"ן (כה. ד"ה קימעא) והרב המגיד גם הם תמהו על דברי הרמב"ם בזה. ואיפשר לדחוק ולומר שטעמו שמאחר שהוא ז"ל מפרש דהאי </w:t>
      </w:r>
      <w:r>
        <w:rPr>
          <w:rFonts w:cs="Arial" w:hint="cs"/>
          <w:rtl/>
        </w:rPr>
        <w:t>'</w:t>
      </w:r>
      <w:r>
        <w:rPr>
          <w:rFonts w:cs="Arial"/>
          <w:rtl/>
        </w:rPr>
        <w:t>אוכלת הרבה</w:t>
      </w:r>
      <w:r>
        <w:rPr>
          <w:rFonts w:cs="Arial" w:hint="cs"/>
          <w:rtl/>
        </w:rPr>
        <w:t>'</w:t>
      </w:r>
      <w:r>
        <w:rPr>
          <w:rFonts w:cs="Arial"/>
          <w:rtl/>
        </w:rPr>
        <w:t xml:space="preserve"> היינו לומר שאין הבעל יכול לעכב עליה אע</w:t>
      </w:r>
      <w:r>
        <w:rPr>
          <w:rFonts w:cs="Arial" w:hint="cs"/>
          <w:rtl/>
        </w:rPr>
        <w:t>"</w:t>
      </w:r>
      <w:r>
        <w:rPr>
          <w:rFonts w:cs="Arial"/>
          <w:rtl/>
        </w:rPr>
        <w:t>פ שהמאכל המרובה מזיק לולד</w:t>
      </w:r>
      <w:r>
        <w:rPr>
          <w:rFonts w:cs="Arial" w:hint="cs"/>
          <w:rtl/>
        </w:rPr>
        <w:t>,</w:t>
      </w:r>
      <w:r>
        <w:rPr>
          <w:rFonts w:cs="Arial"/>
          <w:rtl/>
        </w:rPr>
        <w:t xml:space="preserve"> וטעמו הוי ודאי משום דצערא דגופה עדיף</w:t>
      </w:r>
      <w:r>
        <w:rPr>
          <w:rFonts w:cs="Arial" w:hint="cs"/>
          <w:rtl/>
        </w:rPr>
        <w:t>,</w:t>
      </w:r>
      <w:r>
        <w:rPr>
          <w:rFonts w:cs="Arial"/>
          <w:rtl/>
        </w:rPr>
        <w:t xml:space="preserve"> אם כן סיפא דברייתא דקתני </w:t>
      </w:r>
      <w:r>
        <w:rPr>
          <w:rFonts w:cs="Arial" w:hint="cs"/>
          <w:rtl/>
        </w:rPr>
        <w:t>'</w:t>
      </w:r>
      <w:r>
        <w:rPr>
          <w:rFonts w:cs="Arial"/>
          <w:rtl/>
        </w:rPr>
        <w:t>ולא תאכל עמו דברים הרעים לחלב</w:t>
      </w:r>
      <w:r>
        <w:rPr>
          <w:rFonts w:cs="Arial" w:hint="cs"/>
          <w:rtl/>
        </w:rPr>
        <w:t>'</w:t>
      </w:r>
      <w:r>
        <w:rPr>
          <w:rFonts w:cs="Arial"/>
          <w:rtl/>
        </w:rPr>
        <w:t xml:space="preserve"> אי אפשר לומר דאינה רשאה לאכול דברים הרעים לחלב קאמר</w:t>
      </w:r>
      <w:r>
        <w:rPr>
          <w:rFonts w:cs="Arial" w:hint="cs"/>
          <w:rtl/>
        </w:rPr>
        <w:t>,</w:t>
      </w:r>
      <w:r>
        <w:rPr>
          <w:rFonts w:cs="Arial"/>
          <w:rtl/>
        </w:rPr>
        <w:t xml:space="preserve"> דהא קתני רישא דרשאה לאכול הרבה יותר מכדי צרכה ואין לך דבר שמזיק יותר מאכילה גסה</w:t>
      </w:r>
      <w:r>
        <w:rPr>
          <w:rFonts w:cs="Arial" w:hint="cs"/>
          <w:rtl/>
        </w:rPr>
        <w:t>,</w:t>
      </w:r>
      <w:r>
        <w:rPr>
          <w:rFonts w:cs="Arial"/>
          <w:rtl/>
        </w:rPr>
        <w:t xml:space="preserve"> הילכך ע"כ לומר דהכי קאמר</w:t>
      </w:r>
      <w:r>
        <w:rPr>
          <w:rFonts w:cs="Arial" w:hint="cs"/>
          <w:rtl/>
        </w:rPr>
        <w:t>-</w:t>
      </w:r>
      <w:r>
        <w:rPr>
          <w:rFonts w:cs="Arial"/>
          <w:rtl/>
        </w:rPr>
        <w:t xml:space="preserve"> אוכלת הרבה אם תרצה ואינו יכול לעכב עליה</w:t>
      </w:r>
      <w:r>
        <w:rPr>
          <w:rFonts w:cs="Arial" w:hint="cs"/>
          <w:rtl/>
        </w:rPr>
        <w:t>,</w:t>
      </w:r>
      <w:r>
        <w:rPr>
          <w:rFonts w:cs="Arial"/>
          <w:rtl/>
        </w:rPr>
        <w:t xml:space="preserve"> וכן אינו יכול לעכב עליה שלא תאכל דברים הרעים לחלב</w:t>
      </w:r>
      <w:r>
        <w:rPr>
          <w:rFonts w:cs="Arial" w:hint="cs"/>
          <w:rtl/>
        </w:rPr>
        <w:t>.</w:t>
      </w:r>
      <w:r>
        <w:rPr>
          <w:rFonts w:cs="Arial"/>
          <w:rtl/>
        </w:rPr>
        <w:t xml:space="preserve"> ועוד יש לומר דכיון דקתני רישא דאוכלת הרבה משום צערא דידה ואינה חוששת להיזק הולד</w:t>
      </w:r>
      <w:r>
        <w:rPr>
          <w:rFonts w:cs="Arial" w:hint="cs"/>
          <w:rtl/>
        </w:rPr>
        <w:t>,</w:t>
      </w:r>
      <w:r>
        <w:rPr>
          <w:rFonts w:cs="Arial"/>
          <w:rtl/>
        </w:rPr>
        <w:t xml:space="preserve"> ממילא משמע דהוא הדין למאכלים הרעים אם מתאוה להם שאוכלתן משום צערא דידה</w:t>
      </w:r>
      <w:r>
        <w:rPr>
          <w:rFonts w:cs="Arial" w:hint="cs"/>
          <w:rtl/>
        </w:rPr>
        <w:t>,</w:t>
      </w:r>
      <w:r>
        <w:rPr>
          <w:rFonts w:cs="Arial"/>
          <w:rtl/>
        </w:rPr>
        <w:t xml:space="preserve"> והא דקתני סיפא לא תאכל עמו דברים הרעים בשאינה מתאוה להם היא</w:t>
      </w:r>
      <w:r>
        <w:rPr>
          <w:rFonts w:cs="Arial" w:hint="cs"/>
          <w:rtl/>
        </w:rPr>
        <w:t>, ב"י.</w:t>
      </w:r>
      <w:r>
        <w:rPr>
          <w:rFonts w:hint="cs"/>
          <w:rtl/>
        </w:rPr>
        <w:t xml:space="preserve"> (צל"ע למה לא לפרש את דברי הברייתא כך-</w:t>
      </w:r>
      <w:r w:rsidRPr="004944BF">
        <w:rPr>
          <w:rFonts w:cs="Arial"/>
          <w:rtl/>
        </w:rPr>
        <w:t xml:space="preserve"> </w:t>
      </w:r>
      <w:r>
        <w:rPr>
          <w:rFonts w:cs="Arial" w:hint="cs"/>
          <w:rtl/>
        </w:rPr>
        <w:t>'</w:t>
      </w:r>
      <w:r w:rsidRPr="00A96332">
        <w:rPr>
          <w:rFonts w:cs="Arial"/>
          <w:rtl/>
        </w:rPr>
        <w:t>פסקה קימעא</w:t>
      </w:r>
      <w:r>
        <w:rPr>
          <w:rFonts w:cs="Arial" w:hint="cs"/>
          <w:rtl/>
        </w:rPr>
        <w:t>'- נתן לה סכום כסף מועט למזונות, '</w:t>
      </w:r>
      <w:r w:rsidRPr="00A96332">
        <w:rPr>
          <w:rFonts w:cs="Arial"/>
          <w:rtl/>
        </w:rPr>
        <w:t>אוכלת הרבה</w:t>
      </w:r>
      <w:r>
        <w:rPr>
          <w:rFonts w:cs="Arial" w:hint="cs"/>
          <w:rtl/>
        </w:rPr>
        <w:t>'- אם רצתה לאכול עוד מוסיפה משלה ואינו יכול לעכב אפילו הם דברים המזיקים לחלב.</w:t>
      </w:r>
      <w:r w:rsidRPr="00A96332">
        <w:rPr>
          <w:rFonts w:cs="Arial"/>
          <w:rtl/>
        </w:rPr>
        <w:t xml:space="preserve"> </w:t>
      </w:r>
      <w:r>
        <w:rPr>
          <w:rFonts w:cs="Arial" w:hint="cs"/>
          <w:rtl/>
        </w:rPr>
        <w:t>'</w:t>
      </w:r>
      <w:r w:rsidRPr="00A96332">
        <w:rPr>
          <w:rFonts w:cs="Arial"/>
          <w:rtl/>
        </w:rPr>
        <w:t>לא תאכל עמו דברים הרעים לחלב</w:t>
      </w:r>
      <w:r>
        <w:rPr>
          <w:rFonts w:cs="Arial" w:hint="cs"/>
          <w:rtl/>
        </w:rPr>
        <w:t xml:space="preserve">'- ואם רוצה לקנות דברים שיכולים להזיק לולד בכסף המועט שקיבלה ממנו </w:t>
      </w:r>
      <w:r>
        <w:rPr>
          <w:rFonts w:cs="Arial"/>
          <w:rtl/>
        </w:rPr>
        <w:t>–</w:t>
      </w:r>
      <w:r>
        <w:rPr>
          <w:rFonts w:cs="Arial" w:hint="cs"/>
          <w:rtl/>
        </w:rPr>
        <w:t xml:space="preserve"> אינה רשאית).</w:t>
      </w:r>
    </w:p>
  </w:footnote>
  <w:footnote w:id="1493">
    <w:p w14:paraId="06A1D2AC" w14:textId="77777777" w:rsidR="00DF1FC7" w:rsidRDefault="00DF1FC7" w:rsidP="002E5BAD">
      <w:pPr>
        <w:pStyle w:val="a5"/>
        <w:rPr>
          <w:rtl/>
        </w:rPr>
      </w:pPr>
      <w:r>
        <w:rPr>
          <w:rStyle w:val="a7"/>
        </w:rPr>
        <w:footnoteRef/>
      </w:r>
      <w:r>
        <w:rPr>
          <w:rtl/>
        </w:rPr>
        <w:t xml:space="preserve"> </w:t>
      </w:r>
      <w:r>
        <w:rPr>
          <w:rFonts w:hint="cs"/>
          <w:rtl/>
        </w:rPr>
        <w:t xml:space="preserve">הב"ש (סקט"ז) כתב </w:t>
      </w:r>
      <w:r>
        <w:rPr>
          <w:rFonts w:cs="Arial" w:hint="cs"/>
          <w:rtl/>
        </w:rPr>
        <w:t>ש</w:t>
      </w:r>
      <w:r w:rsidRPr="00977430">
        <w:rPr>
          <w:rFonts w:cs="Arial"/>
          <w:rtl/>
        </w:rPr>
        <w:t>בדינים אלו היכא דאיכא פלוגתא היא פטורה</w:t>
      </w:r>
      <w:r>
        <w:rPr>
          <w:rFonts w:cs="Arial" w:hint="cs"/>
          <w:rtl/>
        </w:rPr>
        <w:t>,</w:t>
      </w:r>
      <w:r w:rsidRPr="00977430">
        <w:rPr>
          <w:rFonts w:cs="Arial"/>
          <w:rtl/>
        </w:rPr>
        <w:t xml:space="preserve"> וע' בהרא"ש ר"פ מציאת האשה</w:t>
      </w:r>
      <w:r>
        <w:rPr>
          <w:rFonts w:cs="Arial" w:hint="cs"/>
          <w:rtl/>
        </w:rPr>
        <w:t>. עכ"ל. אך הח"מ (סקכ"ג) הביא את ה</w:t>
      </w:r>
      <w:r w:rsidRPr="00977430">
        <w:rPr>
          <w:rFonts w:cs="Arial"/>
          <w:rtl/>
        </w:rPr>
        <w:t xml:space="preserve">ב"ח </w:t>
      </w:r>
      <w:r>
        <w:rPr>
          <w:rFonts w:cs="Arial" w:hint="cs"/>
          <w:rtl/>
        </w:rPr>
        <w:t>ש</w:t>
      </w:r>
      <w:r w:rsidRPr="00977430">
        <w:rPr>
          <w:rFonts w:cs="Arial"/>
          <w:rtl/>
        </w:rPr>
        <w:t>כתב דאין הל</w:t>
      </w:r>
      <w:r>
        <w:rPr>
          <w:rFonts w:cs="Arial" w:hint="cs"/>
          <w:rtl/>
        </w:rPr>
        <w:t>כה</w:t>
      </w:r>
      <w:r w:rsidRPr="00977430">
        <w:rPr>
          <w:rFonts w:cs="Arial"/>
          <w:rtl/>
        </w:rPr>
        <w:t xml:space="preserve"> כהרא"ש דרבים חולקים עליו</w:t>
      </w:r>
      <w:r>
        <w:rPr>
          <w:rFonts w:cs="Arial" w:hint="cs"/>
          <w:rtl/>
        </w:rPr>
        <w:t>,</w:t>
      </w:r>
      <w:r w:rsidRPr="00977430">
        <w:rPr>
          <w:rFonts w:cs="Arial"/>
          <w:rtl/>
        </w:rPr>
        <w:t xml:space="preserve"> ואפשר שגם הרב מהרמ"א לא העתיק דברי הרא"ש לחייב אותה להניק שניהם</w:t>
      </w:r>
      <w:r>
        <w:rPr>
          <w:rFonts w:cs="Arial" w:hint="cs"/>
          <w:rtl/>
        </w:rPr>
        <w:t>,</w:t>
      </w:r>
      <w:r w:rsidRPr="00977430">
        <w:rPr>
          <w:rFonts w:cs="Arial"/>
          <w:rtl/>
        </w:rPr>
        <w:t xml:space="preserve"> דודאי תוכל לומר קים לי כהרי"ף ושאר פוסקים</w:t>
      </w:r>
      <w:r>
        <w:rPr>
          <w:rFonts w:cs="Arial" w:hint="cs"/>
          <w:rtl/>
        </w:rPr>
        <w:t>,</w:t>
      </w:r>
      <w:r w:rsidRPr="00977430">
        <w:rPr>
          <w:rFonts w:cs="Arial"/>
          <w:rtl/>
        </w:rPr>
        <w:t xml:space="preserve"> אלא דרך ארץ היא שכל אשה שיכולה להניק תניק שניהם</w:t>
      </w:r>
      <w:r>
        <w:rPr>
          <w:rFonts w:cs="Arial" w:hint="cs"/>
          <w:rtl/>
        </w:rPr>
        <w:t>,</w:t>
      </w:r>
      <w:r w:rsidRPr="00977430">
        <w:rPr>
          <w:rFonts w:cs="Arial"/>
          <w:rtl/>
        </w:rPr>
        <w:t xml:space="preserve"> וע"כ לא כ</w:t>
      </w:r>
      <w:r>
        <w:rPr>
          <w:rFonts w:cs="Arial" w:hint="cs"/>
          <w:rtl/>
        </w:rPr>
        <w:t>תב</w:t>
      </w:r>
      <w:r w:rsidRPr="00977430">
        <w:rPr>
          <w:rFonts w:cs="Arial"/>
          <w:rtl/>
        </w:rPr>
        <w:t xml:space="preserve"> שמחוייב</w:t>
      </w:r>
      <w:r>
        <w:rPr>
          <w:rFonts w:cs="Arial" w:hint="cs"/>
          <w:rtl/>
        </w:rPr>
        <w:t>ת</w:t>
      </w:r>
      <w:r w:rsidRPr="00977430">
        <w:rPr>
          <w:rFonts w:cs="Arial"/>
          <w:rtl/>
        </w:rPr>
        <w:t xml:space="preserve"> להניק שניהם</w:t>
      </w:r>
      <w:r>
        <w:rPr>
          <w:rFonts w:cs="Arial" w:hint="cs"/>
          <w:rtl/>
        </w:rPr>
        <w:t>,</w:t>
      </w:r>
      <w:r w:rsidRPr="00977430">
        <w:rPr>
          <w:rFonts w:cs="Arial"/>
          <w:rtl/>
        </w:rPr>
        <w:t xml:space="preserve"> שאין זה חיוב רק ראוי לה לעשו</w:t>
      </w:r>
      <w:r>
        <w:rPr>
          <w:rFonts w:cs="Arial" w:hint="cs"/>
          <w:rtl/>
        </w:rPr>
        <w:t>ת</w:t>
      </w:r>
      <w:r w:rsidRPr="00977430">
        <w:rPr>
          <w:rFonts w:cs="Arial"/>
          <w:rtl/>
        </w:rPr>
        <w:t xml:space="preserve"> כן אם יכולה לעשות</w:t>
      </w:r>
      <w:r>
        <w:rPr>
          <w:rFonts w:cs="Arial" w:hint="cs"/>
          <w:rtl/>
        </w:rPr>
        <w:t>,</w:t>
      </w:r>
      <w:r w:rsidRPr="00977430">
        <w:rPr>
          <w:rFonts w:cs="Arial"/>
          <w:rtl/>
        </w:rPr>
        <w:t xml:space="preserve"> לצאת ידי כל הפוסקים</w:t>
      </w:r>
      <w:r>
        <w:rPr>
          <w:rFonts w:cs="Arial" w:hint="cs"/>
          <w:rtl/>
        </w:rPr>
        <w:t>.</w:t>
      </w:r>
    </w:p>
  </w:footnote>
  <w:footnote w:id="1494">
    <w:p w14:paraId="091BCEFA" w14:textId="77777777" w:rsidR="00DF1FC7" w:rsidRDefault="00DF1FC7" w:rsidP="002E5BAD">
      <w:pPr>
        <w:pStyle w:val="a5"/>
        <w:rPr>
          <w:rtl/>
        </w:rPr>
      </w:pPr>
      <w:r>
        <w:rPr>
          <w:rStyle w:val="a7"/>
        </w:rPr>
        <w:footnoteRef/>
      </w:r>
      <w:r>
        <w:rPr>
          <w:rtl/>
        </w:rPr>
        <w:t xml:space="preserve"> </w:t>
      </w:r>
      <w:r w:rsidRPr="00186208">
        <w:rPr>
          <w:rFonts w:cs="Arial"/>
          <w:rtl/>
        </w:rPr>
        <w:t>ונראה שכתב רבינו כן מפני שמפשט דברי הרמב"ם נראה דדוקא על בן חבירתה הוא דמעכב בעל אבל על בנה אינו יכול לעכב</w:t>
      </w:r>
      <w:r>
        <w:rPr>
          <w:rFonts w:cs="Arial" w:hint="cs"/>
          <w:rtl/>
        </w:rPr>
        <w:t>,</w:t>
      </w:r>
      <w:r w:rsidRPr="00186208">
        <w:rPr>
          <w:rFonts w:cs="Arial"/>
          <w:rtl/>
        </w:rPr>
        <w:t xml:space="preserve"> ורבינו סבור דאף על בנה יכול לעכב דלא גרע מנתנו לה בן להניק דאינה יכולה להניק עמו בנה</w:t>
      </w:r>
      <w:r>
        <w:rPr>
          <w:rFonts w:cs="Arial" w:hint="cs"/>
          <w:rtl/>
        </w:rPr>
        <w:t>.</w:t>
      </w:r>
      <w:r w:rsidRPr="00186208">
        <w:rPr>
          <w:rFonts w:cs="Arial"/>
          <w:rtl/>
        </w:rPr>
        <w:t xml:space="preserve"> ומשמע לי דגם הרמב"ם איפשר שסובר דגם על בנה יכול לעכב</w:t>
      </w:r>
      <w:r>
        <w:rPr>
          <w:rFonts w:cs="Arial" w:hint="cs"/>
          <w:rtl/>
        </w:rPr>
        <w:t>,</w:t>
      </w:r>
      <w:r w:rsidRPr="00186208">
        <w:rPr>
          <w:rFonts w:cs="Arial"/>
          <w:rtl/>
        </w:rPr>
        <w:t xml:space="preserve"> אלא שנמשך אחר דברי הירושלמי שלא הזכיר אלא בן חבירתה</w:t>
      </w:r>
      <w:r>
        <w:rPr>
          <w:rFonts w:cs="Arial" w:hint="cs"/>
          <w:rtl/>
        </w:rPr>
        <w:t>.</w:t>
      </w:r>
      <w:r w:rsidRPr="00186208">
        <w:rPr>
          <w:rFonts w:cs="Arial"/>
          <w:rtl/>
        </w:rPr>
        <w:t xml:space="preserve"> והירושלמי שלא הזכיר שיכול לעכב על בנה איכא למימר דטעמא משום דמילתא דלא שכיחא היא</w:t>
      </w:r>
      <w:r>
        <w:rPr>
          <w:rFonts w:cs="Arial" w:hint="cs"/>
          <w:rtl/>
        </w:rPr>
        <w:t>,</w:t>
      </w:r>
      <w:r w:rsidRPr="00186208">
        <w:rPr>
          <w:rFonts w:cs="Arial"/>
          <w:rtl/>
        </w:rPr>
        <w:t xml:space="preserve"> דהא מניקת חבירו אסורה להנשא</w:t>
      </w:r>
      <w:r>
        <w:rPr>
          <w:rFonts w:cs="Arial" w:hint="cs"/>
          <w:rtl/>
        </w:rPr>
        <w:t>,</w:t>
      </w:r>
      <w:r w:rsidRPr="00186208">
        <w:rPr>
          <w:rFonts w:cs="Arial"/>
          <w:rtl/>
        </w:rPr>
        <w:t xml:space="preserve"> ולא משכחת לה אלא בשגירשה בעלה קודם שיכירנה הולד שאינה חייבת להניקו ונישאת ונתעברה וילדה ואח"כ רצתה לחזור ולהניק את בנה הראשון</w:t>
      </w:r>
      <w:r>
        <w:rPr>
          <w:rFonts w:cs="Arial" w:hint="cs"/>
          <w:rtl/>
        </w:rPr>
        <w:t xml:space="preserve">, ב"י. </w:t>
      </w:r>
      <w:r w:rsidRPr="00DC4762">
        <w:rPr>
          <w:rFonts w:cs="Arial"/>
          <w:rtl/>
        </w:rPr>
        <w:t>מיהו מצינו למימר כשעבר וכנסה וברח שנתבאר לעיל סימן י"ג דלא מפקינן מיניה או אם רצונה להניק בנה הראשון יותר מכ"ד חודש דאז מותרת להנשא מיהו גם זה מילתא דלא שכיחא הוא</w:t>
      </w:r>
      <w:r>
        <w:rPr>
          <w:rFonts w:cs="Arial" w:hint="cs"/>
          <w:rtl/>
        </w:rPr>
        <w:t>, דרכ"מ (אות ב).</w:t>
      </w:r>
    </w:p>
  </w:footnote>
  <w:footnote w:id="1495">
    <w:p w14:paraId="0AE01308" w14:textId="77777777" w:rsidR="00DF1FC7" w:rsidRDefault="00DF1FC7" w:rsidP="002E5BAD">
      <w:pPr>
        <w:pStyle w:val="a5"/>
      </w:pPr>
      <w:r>
        <w:rPr>
          <w:rStyle w:val="a7"/>
        </w:rPr>
        <w:footnoteRef/>
      </w:r>
      <w:r>
        <w:rPr>
          <w:rtl/>
        </w:rPr>
        <w:t xml:space="preserve"> </w:t>
      </w:r>
      <w:r w:rsidRPr="00977430">
        <w:rPr>
          <w:rFonts w:cs="Arial"/>
          <w:rtl/>
        </w:rPr>
        <w:t>וכן מדיוק בהר"ן</w:t>
      </w:r>
      <w:r>
        <w:rPr>
          <w:rFonts w:cs="Arial" w:hint="cs"/>
          <w:rtl/>
        </w:rPr>
        <w:t>,</w:t>
      </w:r>
      <w:r w:rsidRPr="00977430">
        <w:rPr>
          <w:rFonts w:cs="Arial"/>
          <w:rtl/>
        </w:rPr>
        <w:t xml:space="preserve"> וכ"כ רש"י היא אומר</w:t>
      </w:r>
      <w:r>
        <w:rPr>
          <w:rFonts w:cs="Arial" w:hint="cs"/>
          <w:rtl/>
        </w:rPr>
        <w:t>ת</w:t>
      </w:r>
      <w:r w:rsidRPr="00977430">
        <w:rPr>
          <w:rFonts w:cs="Arial"/>
          <w:rtl/>
        </w:rPr>
        <w:t xml:space="preserve"> להניק שומעים לה משום צער דידה </w:t>
      </w:r>
      <w:r>
        <w:rPr>
          <w:rFonts w:cs="Arial" w:hint="cs"/>
          <w:rtl/>
        </w:rPr>
        <w:t xml:space="preserve">'החלב רב </w:t>
      </w:r>
      <w:r w:rsidRPr="00977430">
        <w:rPr>
          <w:rFonts w:cs="Arial"/>
          <w:rtl/>
        </w:rPr>
        <w:t>בדדי</w:t>
      </w:r>
      <w:r>
        <w:rPr>
          <w:rFonts w:cs="Arial" w:hint="cs"/>
          <w:rtl/>
        </w:rPr>
        <w:t>ה</w:t>
      </w:r>
      <w:r w:rsidRPr="00977430">
        <w:rPr>
          <w:rFonts w:cs="Arial"/>
          <w:rtl/>
        </w:rPr>
        <w:t xml:space="preserve"> </w:t>
      </w:r>
      <w:r>
        <w:rPr>
          <w:rFonts w:cs="Arial" w:hint="cs"/>
          <w:rtl/>
        </w:rPr>
        <w:t>ו</w:t>
      </w:r>
      <w:r w:rsidRPr="00977430">
        <w:rPr>
          <w:rFonts w:cs="Arial"/>
          <w:rtl/>
        </w:rPr>
        <w:t>מצער</w:t>
      </w:r>
      <w:r>
        <w:rPr>
          <w:rFonts w:cs="Arial" w:hint="cs"/>
          <w:rtl/>
        </w:rPr>
        <w:t>ה'.</w:t>
      </w:r>
      <w:r w:rsidRPr="00977430">
        <w:rPr>
          <w:rFonts w:cs="Arial"/>
          <w:rtl/>
        </w:rPr>
        <w:t xml:space="preserve"> לפ"ז אם רצונה להניק בן חברתה ואין לה ולד אין הבעל יכול לעכב ולא כח"מ</w:t>
      </w:r>
      <w:r>
        <w:rPr>
          <w:rFonts w:cs="Arial" w:hint="cs"/>
          <w:rtl/>
        </w:rPr>
        <w:t>, ב"ש (שם).</w:t>
      </w:r>
    </w:p>
  </w:footnote>
  <w:footnote w:id="1496">
    <w:p w14:paraId="5146D4F3" w14:textId="77777777" w:rsidR="00DF1FC7" w:rsidRDefault="00DF1FC7" w:rsidP="002E5BAD">
      <w:pPr>
        <w:pStyle w:val="a5"/>
      </w:pPr>
      <w:r>
        <w:rPr>
          <w:rStyle w:val="a7"/>
        </w:rPr>
        <w:footnoteRef/>
      </w:r>
      <w:r>
        <w:rPr>
          <w:rtl/>
        </w:rPr>
        <w:t xml:space="preserve"> </w:t>
      </w:r>
      <w:r>
        <w:rPr>
          <w:rFonts w:hint="cs"/>
          <w:rtl/>
        </w:rPr>
        <w:t xml:space="preserve">וכתב הפת"ש (סק"ח) שהבא"ט </w:t>
      </w:r>
      <w:r>
        <w:rPr>
          <w:rFonts w:cs="Arial" w:hint="cs"/>
          <w:rtl/>
        </w:rPr>
        <w:t xml:space="preserve">(סקט"ז) הביא את </w:t>
      </w:r>
      <w:r w:rsidRPr="002471E8">
        <w:rPr>
          <w:rFonts w:cs="Arial"/>
          <w:rtl/>
        </w:rPr>
        <w:t>דברי הח"מ באחרונה כי דברי הח"מ נראין</w:t>
      </w:r>
      <w:r>
        <w:rPr>
          <w:rFonts w:cs="Arial" w:hint="cs"/>
          <w:rtl/>
        </w:rPr>
        <w:t>. וכן הסכים הפת"ש.</w:t>
      </w:r>
      <w:r w:rsidRPr="002471E8">
        <w:rPr>
          <w:rFonts w:cs="Arial"/>
          <w:rtl/>
        </w:rPr>
        <w:t xml:space="preserve"> </w:t>
      </w:r>
      <w:r>
        <w:rPr>
          <w:rFonts w:cs="Arial" w:hint="cs"/>
          <w:rtl/>
        </w:rPr>
        <w:t>וכתב ד</w:t>
      </w:r>
      <w:r w:rsidRPr="002471E8">
        <w:rPr>
          <w:rFonts w:cs="Arial"/>
          <w:rtl/>
        </w:rPr>
        <w:t>גם בס</w:t>
      </w:r>
      <w:r>
        <w:rPr>
          <w:rFonts w:cs="Arial" w:hint="cs"/>
          <w:rtl/>
        </w:rPr>
        <w:t>פר</w:t>
      </w:r>
      <w:r w:rsidRPr="002471E8">
        <w:rPr>
          <w:rFonts w:cs="Arial"/>
          <w:rtl/>
        </w:rPr>
        <w:t xml:space="preserve"> ב</w:t>
      </w:r>
      <w:r>
        <w:rPr>
          <w:rFonts w:cs="Arial" w:hint="cs"/>
          <w:rtl/>
        </w:rPr>
        <w:t xml:space="preserve">ית </w:t>
      </w:r>
      <w:r w:rsidRPr="002471E8">
        <w:rPr>
          <w:rFonts w:cs="Arial"/>
          <w:rtl/>
        </w:rPr>
        <w:t>מ</w:t>
      </w:r>
      <w:r>
        <w:rPr>
          <w:rFonts w:cs="Arial" w:hint="cs"/>
          <w:rtl/>
        </w:rPr>
        <w:t>איר</w:t>
      </w:r>
      <w:r w:rsidRPr="002471E8">
        <w:rPr>
          <w:rFonts w:cs="Arial"/>
          <w:rtl/>
        </w:rPr>
        <w:t xml:space="preserve"> העלה דהעיקר כדעת הח"מ דהבעל מעכב</w:t>
      </w:r>
      <w:r>
        <w:rPr>
          <w:rFonts w:cs="Arial" w:hint="cs"/>
          <w:rtl/>
        </w:rPr>
        <w:t>,</w:t>
      </w:r>
      <w:r w:rsidRPr="002471E8">
        <w:rPr>
          <w:rFonts w:cs="Arial"/>
          <w:rtl/>
        </w:rPr>
        <w:t xml:space="preserve"> ומה דנקט הכא בש"ע עם בנה הוא להורות דעם בנה אף באקראי יכול לעכב</w:t>
      </w:r>
      <w:r>
        <w:rPr>
          <w:rFonts w:cs="Arial" w:hint="cs"/>
          <w:rtl/>
        </w:rPr>
        <w:t>,</w:t>
      </w:r>
      <w:r w:rsidRPr="002471E8">
        <w:rPr>
          <w:rFonts w:cs="Arial"/>
          <w:rtl/>
        </w:rPr>
        <w:t xml:space="preserve"> אבל בקביעות אף באין לה בן יוכל לעכב. ומבואר עוד שם דביולדת שמת בנה ורוצית להניק בן חברתה משך ימים מועטים בשביל צער החלב</w:t>
      </w:r>
      <w:r>
        <w:rPr>
          <w:rFonts w:cs="Arial" w:hint="cs"/>
          <w:rtl/>
        </w:rPr>
        <w:t xml:space="preserve"> -</w:t>
      </w:r>
      <w:r w:rsidRPr="002471E8">
        <w:rPr>
          <w:rFonts w:cs="Arial"/>
          <w:rtl/>
        </w:rPr>
        <w:t xml:space="preserve"> אין הבעל יכול לעכב</w:t>
      </w:r>
      <w:r>
        <w:rPr>
          <w:rFonts w:cs="Arial" w:hint="cs"/>
          <w:rtl/>
        </w:rPr>
        <w:t>,</w:t>
      </w:r>
      <w:r w:rsidRPr="002471E8">
        <w:rPr>
          <w:rFonts w:cs="Arial"/>
          <w:rtl/>
        </w:rPr>
        <w:t xml:space="preserve"> דאם תגמל עכשיו צערה מרובה</w:t>
      </w:r>
      <w:r>
        <w:rPr>
          <w:rFonts w:cs="Arial" w:hint="cs"/>
          <w:rtl/>
        </w:rPr>
        <w:t>.</w:t>
      </w:r>
    </w:p>
  </w:footnote>
  <w:footnote w:id="1497">
    <w:p w14:paraId="25644D37" w14:textId="77777777" w:rsidR="00DF1FC7" w:rsidRDefault="00DF1FC7" w:rsidP="002E5BAD">
      <w:pPr>
        <w:pStyle w:val="a5"/>
        <w:rPr>
          <w:rtl/>
        </w:rPr>
      </w:pPr>
      <w:r>
        <w:rPr>
          <w:rStyle w:val="a7"/>
        </w:rPr>
        <w:footnoteRef/>
      </w:r>
      <w:r>
        <w:rPr>
          <w:rtl/>
        </w:rPr>
        <w:t xml:space="preserve"> </w:t>
      </w:r>
      <w:r w:rsidRPr="005320ED">
        <w:rPr>
          <w:rFonts w:cs="Arial"/>
          <w:rtl/>
        </w:rPr>
        <w:t>והך מתניתא במורדת מתשמיש</w:t>
      </w:r>
      <w:r>
        <w:rPr>
          <w:rFonts w:hint="cs"/>
          <w:rtl/>
        </w:rPr>
        <w:t>, רש"י.</w:t>
      </w:r>
    </w:p>
  </w:footnote>
  <w:footnote w:id="1498">
    <w:p w14:paraId="13F2EFC7" w14:textId="77777777" w:rsidR="00DF1FC7" w:rsidRDefault="00DF1FC7" w:rsidP="002E5BAD">
      <w:pPr>
        <w:pStyle w:val="a5"/>
        <w:rPr>
          <w:rtl/>
        </w:rPr>
      </w:pPr>
      <w:r>
        <w:rPr>
          <w:rStyle w:val="a7"/>
        </w:rPr>
        <w:footnoteRef/>
      </w:r>
      <w:r>
        <w:rPr>
          <w:rtl/>
        </w:rPr>
        <w:t xml:space="preserve"> </w:t>
      </w:r>
      <w:r w:rsidRPr="000A7A9C">
        <w:rPr>
          <w:rFonts w:cs="Arial"/>
          <w:rtl/>
        </w:rPr>
        <w:t>יראה שפוסק דמורדת ממלאכה הויא מורדת</w:t>
      </w:r>
      <w:r>
        <w:rPr>
          <w:rFonts w:cs="Arial" w:hint="cs"/>
          <w:rtl/>
        </w:rPr>
        <w:t>,</w:t>
      </w:r>
      <w:r w:rsidRPr="000A7A9C">
        <w:rPr>
          <w:rFonts w:cs="Arial"/>
          <w:rtl/>
        </w:rPr>
        <w:t xml:space="preserve"> וא"כ קשה לדבריו למה לא יפחתו מכתובתה כדין מורדת מתשמיש</w:t>
      </w:r>
      <w:r>
        <w:rPr>
          <w:rFonts w:hint="cs"/>
          <w:rtl/>
        </w:rPr>
        <w:t>, טור.</w:t>
      </w:r>
      <w:r w:rsidRPr="00561C12">
        <w:rPr>
          <w:rFonts w:cs="Arial" w:hint="cs"/>
          <w:rtl/>
        </w:rPr>
        <w:t xml:space="preserve"> </w:t>
      </w:r>
      <w:r>
        <w:rPr>
          <w:rFonts w:cs="Arial" w:hint="cs"/>
          <w:rtl/>
        </w:rPr>
        <w:t xml:space="preserve">וכתב הב"י שהטור </w:t>
      </w:r>
      <w:r>
        <w:rPr>
          <w:rFonts w:cs="Arial"/>
          <w:rtl/>
        </w:rPr>
        <w:t>למד כן ממ"ש כופין אותה ועושה אפילו בשוטים</w:t>
      </w:r>
      <w:r>
        <w:rPr>
          <w:rFonts w:cs="Arial" w:hint="cs"/>
          <w:rtl/>
        </w:rPr>
        <w:t>.</w:t>
      </w:r>
      <w:r>
        <w:rPr>
          <w:rFonts w:cs="Arial"/>
          <w:rtl/>
        </w:rPr>
        <w:t xml:space="preserve"> ומשמע לרבינו שטעמו של הרמב"ם משום דס"ל דמורדת ממלאכה הויא מורדת</w:t>
      </w:r>
      <w:r>
        <w:rPr>
          <w:rFonts w:cs="Arial" w:hint="cs"/>
          <w:rtl/>
        </w:rPr>
        <w:t>,</w:t>
      </w:r>
      <w:r>
        <w:rPr>
          <w:rFonts w:cs="Arial"/>
          <w:rtl/>
        </w:rPr>
        <w:t xml:space="preserve"> ומשום הכי קאמר שכופין אותה דאינה יכולה לומר איני נזונת ואיני עושה</w:t>
      </w:r>
      <w:r>
        <w:rPr>
          <w:rFonts w:cs="Arial" w:hint="cs"/>
          <w:rtl/>
        </w:rPr>
        <w:t>,</w:t>
      </w:r>
      <w:r>
        <w:rPr>
          <w:rFonts w:cs="Arial"/>
          <w:rtl/>
        </w:rPr>
        <w:t xml:space="preserve"> דאם איתא שהיה סובר שהיא יכולה לומר כן לא היה כותב שכופין אותה לעשות</w:t>
      </w:r>
      <w:r>
        <w:rPr>
          <w:rFonts w:cs="Arial" w:hint="cs"/>
          <w:rtl/>
        </w:rPr>
        <w:t>,</w:t>
      </w:r>
      <w:r>
        <w:rPr>
          <w:rFonts w:cs="Arial"/>
          <w:rtl/>
        </w:rPr>
        <w:t xml:space="preserve"> והקשה על זה דכיון דס"ל דהויא מורדת למה לא כתב דפוחתין לה מכתובתה ז' דינרים בשבת</w:t>
      </w:r>
      <w:r>
        <w:rPr>
          <w:rFonts w:cs="Arial" w:hint="cs"/>
          <w:rtl/>
        </w:rPr>
        <w:t>,</w:t>
      </w:r>
      <w:r>
        <w:rPr>
          <w:rFonts w:cs="Arial"/>
          <w:rtl/>
        </w:rPr>
        <w:t xml:space="preserve"> דהא מאן דס"ל דמורדת ממלאכה הויא מורדת פוחתין לה מכתובתה ז' דינרים בשבת כשם שפוחתין למורדת מתשמיש</w:t>
      </w:r>
      <w:r>
        <w:rPr>
          <w:rFonts w:cs="Arial" w:hint="cs"/>
          <w:rtl/>
        </w:rPr>
        <w:t>.</w:t>
      </w:r>
      <w:r>
        <w:rPr>
          <w:rFonts w:cs="Arial"/>
          <w:rtl/>
        </w:rPr>
        <w:t xml:space="preserve"> ואני אומר דהא ודאי פשיטא דלא ס"ל להרמב"ם דמורדת ממלאכה הויא מורדת</w:t>
      </w:r>
      <w:r>
        <w:rPr>
          <w:rFonts w:cs="Arial" w:hint="cs"/>
          <w:rtl/>
        </w:rPr>
        <w:t>,</w:t>
      </w:r>
      <w:r>
        <w:rPr>
          <w:rFonts w:cs="Arial"/>
          <w:rtl/>
        </w:rPr>
        <w:t xml:space="preserve"> שהרי פסק בפי"ב (ה"ד) שאם אמרה האשה איני ניזונת ואיני עושה שומעין לה ואין כופין אותה</w:t>
      </w:r>
      <w:r>
        <w:rPr>
          <w:rFonts w:cs="Arial" w:hint="cs"/>
          <w:rtl/>
        </w:rPr>
        <w:t>,</w:t>
      </w:r>
      <w:r>
        <w:rPr>
          <w:rFonts w:cs="Arial"/>
          <w:rtl/>
        </w:rPr>
        <w:t xml:space="preserve"> ואם כן מ"ש בפרק כ"א שכופין אותה ועושה כשאינה אומרת איני נזונת אלא היא רוצה לזון ולא לעשות</w:t>
      </w:r>
      <w:r>
        <w:rPr>
          <w:rFonts w:cs="Arial" w:hint="cs"/>
          <w:rtl/>
        </w:rPr>
        <w:t>,</w:t>
      </w:r>
      <w:r>
        <w:rPr>
          <w:rFonts w:cs="Arial"/>
          <w:rtl/>
        </w:rPr>
        <w:t xml:space="preserve"> וכ"כ הר"ן בפרק אף על פי (כג: ד"ה גמ') וז"ל דוקא בדאמרה איני נזונת ואיני עושה הא אמרה איני עושה בלבד לא אמרינן דמהני</w:t>
      </w:r>
      <w:r>
        <w:rPr>
          <w:rFonts w:cs="Arial" w:hint="cs"/>
          <w:rtl/>
        </w:rPr>
        <w:t>,</w:t>
      </w:r>
      <w:r>
        <w:rPr>
          <w:rFonts w:cs="Arial"/>
          <w:rtl/>
        </w:rPr>
        <w:t xml:space="preserve"> ולא יהא בעל חייב לזונה</w:t>
      </w:r>
      <w:r>
        <w:rPr>
          <w:rFonts w:cs="Arial" w:hint="cs"/>
          <w:rtl/>
        </w:rPr>
        <w:t>,</w:t>
      </w:r>
      <w:r>
        <w:rPr>
          <w:rFonts w:cs="Arial"/>
          <w:rtl/>
        </w:rPr>
        <w:t xml:space="preserve"> דהא כי אמרה קונם שאני עושה לפיך הא קאמרה איני עושה</w:t>
      </w:r>
      <w:r>
        <w:rPr>
          <w:rFonts w:cs="Arial" w:hint="cs"/>
          <w:rtl/>
        </w:rPr>
        <w:t>,</w:t>
      </w:r>
      <w:r>
        <w:rPr>
          <w:rFonts w:cs="Arial"/>
          <w:rtl/>
        </w:rPr>
        <w:t xml:space="preserve"> ואפילו הכי תנן בסמוך שאין צריך להפר אלמא לא מבטלא תקנה לעולם עד דאמרה בהדיא איני נזונת עכ"ל</w:t>
      </w:r>
      <w:r>
        <w:rPr>
          <w:rFonts w:cs="Arial" w:hint="cs"/>
          <w:rtl/>
        </w:rPr>
        <w:t>...</w:t>
      </w:r>
      <w:r>
        <w:rPr>
          <w:rFonts w:cs="Arial"/>
          <w:rtl/>
        </w:rPr>
        <w:t xml:space="preserve"> ועי"ל אפילו באומרת איני ניזונת ואיני עושה איירי</w:t>
      </w:r>
      <w:r>
        <w:rPr>
          <w:rFonts w:cs="Arial" w:hint="cs"/>
          <w:rtl/>
        </w:rPr>
        <w:t>,</w:t>
      </w:r>
      <w:r>
        <w:rPr>
          <w:rFonts w:cs="Arial"/>
          <w:rtl/>
        </w:rPr>
        <w:t xml:space="preserve"> דעד כאן לא אמרינן דיכולה אשה שתאמר איני נזונת ואיני עושה אלא לפטור עצמה מטוויית צמר בלבד</w:t>
      </w:r>
      <w:r>
        <w:rPr>
          <w:rFonts w:cs="Arial" w:hint="cs"/>
          <w:rtl/>
        </w:rPr>
        <w:t>,</w:t>
      </w:r>
      <w:r>
        <w:rPr>
          <w:rFonts w:cs="Arial"/>
          <w:rtl/>
        </w:rPr>
        <w:t xml:space="preserve"> אבל כל שאר מלאכות צריכה לעשות אפילו אומרת איני נזונת</w:t>
      </w:r>
      <w:r>
        <w:rPr>
          <w:rFonts w:cs="Arial" w:hint="cs"/>
          <w:rtl/>
        </w:rPr>
        <w:t>,</w:t>
      </w:r>
      <w:r>
        <w:rPr>
          <w:rFonts w:cs="Arial"/>
          <w:rtl/>
        </w:rPr>
        <w:t xml:space="preserve"> וכמו שכתב הה</w:t>
      </w:r>
      <w:r>
        <w:rPr>
          <w:rFonts w:cs="Arial" w:hint="cs"/>
          <w:rtl/>
        </w:rPr>
        <w:t>"</w:t>
      </w:r>
      <w:r>
        <w:rPr>
          <w:rFonts w:cs="Arial"/>
          <w:rtl/>
        </w:rPr>
        <w:t>מ בפי"ב (שם) בשם המפרשים ובשם הרשב"א (נט: ד"ה וכתב, סג. ד"ה ר' יוסי)</w:t>
      </w:r>
      <w:r>
        <w:rPr>
          <w:rFonts w:cs="Arial" w:hint="cs"/>
          <w:rtl/>
        </w:rPr>
        <w:t>,</w:t>
      </w:r>
      <w:r>
        <w:rPr>
          <w:rFonts w:cs="Arial"/>
          <w:rtl/>
        </w:rPr>
        <w:t xml:space="preserve"> וגם הר"ן כתב כן </w:t>
      </w:r>
      <w:r>
        <w:rPr>
          <w:rFonts w:cs="Arial" w:hint="cs"/>
          <w:rtl/>
        </w:rPr>
        <w:t>(</w:t>
      </w:r>
      <w:r>
        <w:rPr>
          <w:rFonts w:cs="Arial"/>
          <w:rtl/>
        </w:rPr>
        <w:t>בפרק א</w:t>
      </w:r>
      <w:r>
        <w:rPr>
          <w:rFonts w:cs="Arial" w:hint="cs"/>
          <w:rtl/>
        </w:rPr>
        <w:t>ף על פי</w:t>
      </w:r>
      <w:r>
        <w:rPr>
          <w:rFonts w:cs="Arial"/>
          <w:rtl/>
        </w:rPr>
        <w:t xml:space="preserve"> שם ושם)</w:t>
      </w:r>
      <w:r>
        <w:rPr>
          <w:rFonts w:cs="Arial" w:hint="cs"/>
          <w:rtl/>
        </w:rPr>
        <w:t>.</w:t>
      </w:r>
      <w:r>
        <w:rPr>
          <w:rFonts w:cs="Arial"/>
          <w:rtl/>
        </w:rPr>
        <w:t xml:space="preserve"> ואף על פי שהתוספות</w:t>
      </w:r>
      <w:r>
        <w:rPr>
          <w:rFonts w:cs="Arial" w:hint="cs"/>
          <w:rtl/>
        </w:rPr>
        <w:t xml:space="preserve"> (סג. ד"ה רב)</w:t>
      </w:r>
      <w:r>
        <w:rPr>
          <w:rFonts w:cs="Arial"/>
          <w:rtl/>
        </w:rPr>
        <w:t xml:space="preserve"> והרא"ש </w:t>
      </w:r>
      <w:r>
        <w:rPr>
          <w:rFonts w:cs="Arial" w:hint="cs"/>
          <w:rtl/>
        </w:rPr>
        <w:t>(פ"ה סו"ס לא)</w:t>
      </w:r>
      <w:r>
        <w:rPr>
          <w:rFonts w:cs="Arial"/>
          <w:rtl/>
        </w:rPr>
        <w:t xml:space="preserve"> דחו סברא זו י"ל דהרמב"ם סובר כדברי שאר מפרשים</w:t>
      </w:r>
      <w:r>
        <w:rPr>
          <w:rFonts w:cs="Arial" w:hint="cs"/>
          <w:rtl/>
        </w:rPr>
        <w:t>,</w:t>
      </w:r>
      <w:r>
        <w:rPr>
          <w:rFonts w:cs="Arial"/>
          <w:rtl/>
        </w:rPr>
        <w:t xml:space="preserve"> והכי דייק לישניה שכתב כל אשה שתמנע מלעשות מלאכה מן המלאכות שהיא חייבת</w:t>
      </w:r>
      <w:r>
        <w:rPr>
          <w:rFonts w:cs="Arial" w:hint="cs"/>
          <w:rtl/>
        </w:rPr>
        <w:t>,</w:t>
      </w:r>
      <w:r>
        <w:rPr>
          <w:rFonts w:cs="Arial"/>
          <w:rtl/>
        </w:rPr>
        <w:t xml:space="preserve"> ומדנקט לישנא ד</w:t>
      </w:r>
      <w:r>
        <w:rPr>
          <w:rFonts w:cs="Arial" w:hint="cs"/>
          <w:rtl/>
        </w:rPr>
        <w:t>'</w:t>
      </w:r>
      <w:r>
        <w:rPr>
          <w:rFonts w:cs="Arial"/>
          <w:rtl/>
        </w:rPr>
        <w:t>כל</w:t>
      </w:r>
      <w:r>
        <w:rPr>
          <w:rFonts w:cs="Arial" w:hint="cs"/>
          <w:rtl/>
        </w:rPr>
        <w:t>'</w:t>
      </w:r>
      <w:r>
        <w:rPr>
          <w:rFonts w:cs="Arial"/>
          <w:rtl/>
        </w:rPr>
        <w:t xml:space="preserve"> איכא למימר דאתא לומר שכל הנשים חייבות לעשות מלאכה לבעליהן</w:t>
      </w:r>
      <w:r>
        <w:rPr>
          <w:rFonts w:cs="Arial" w:hint="cs"/>
          <w:rtl/>
        </w:rPr>
        <w:t>,</w:t>
      </w:r>
      <w:r>
        <w:rPr>
          <w:rFonts w:cs="Arial"/>
          <w:rtl/>
        </w:rPr>
        <w:t xml:space="preserve"> דאפילו האומרת איני נזונת ואיני עושה אינה נפטרת אלא מטויית צמר אבל בשאר חייבת היא.</w:t>
      </w:r>
    </w:p>
  </w:footnote>
  <w:footnote w:id="1499">
    <w:p w14:paraId="69E572FE" w14:textId="77777777" w:rsidR="00DF1FC7" w:rsidRDefault="00DF1FC7" w:rsidP="002E5BAD">
      <w:pPr>
        <w:pStyle w:val="a5"/>
      </w:pPr>
      <w:r>
        <w:rPr>
          <w:rStyle w:val="a7"/>
        </w:rPr>
        <w:footnoteRef/>
      </w:r>
      <w:r>
        <w:rPr>
          <w:rtl/>
        </w:rPr>
        <w:t xml:space="preserve"> </w:t>
      </w:r>
      <w:r w:rsidRPr="000A7A9C">
        <w:rPr>
          <w:rFonts w:cs="Arial"/>
          <w:rtl/>
        </w:rPr>
        <w:t>(ה*) וכ"כ הר"ן (דף תצ"ה ע"ב) (כו: ד"ה גמ' רבי יוסי):</w:t>
      </w:r>
    </w:p>
  </w:footnote>
  <w:footnote w:id="1500">
    <w:p w14:paraId="227961FA" w14:textId="77777777" w:rsidR="00DF1FC7" w:rsidRDefault="00DF1FC7" w:rsidP="002E5BAD">
      <w:pPr>
        <w:pStyle w:val="a5"/>
      </w:pPr>
      <w:r>
        <w:rPr>
          <w:rStyle w:val="a7"/>
        </w:rPr>
        <w:footnoteRef/>
      </w:r>
      <w:r>
        <w:rPr>
          <w:rtl/>
        </w:rPr>
        <w:t xml:space="preserve"> </w:t>
      </w:r>
      <w:r w:rsidRPr="00061631">
        <w:rPr>
          <w:rFonts w:cs="Arial"/>
          <w:rtl/>
        </w:rPr>
        <w:t>אין הפירוש שמונע ממנה מזונו</w:t>
      </w:r>
      <w:r>
        <w:rPr>
          <w:rFonts w:cs="Arial" w:hint="cs"/>
          <w:rtl/>
        </w:rPr>
        <w:t>ת</w:t>
      </w:r>
      <w:r w:rsidRPr="00061631">
        <w:rPr>
          <w:rFonts w:cs="Arial"/>
          <w:rtl/>
        </w:rPr>
        <w:t xml:space="preserve"> וגם משמתין אותה דמאחר שאינו זנה הרי הרשות בידה לומר איני עושה (וע' מה שאכתוב בס"ק שאח"ז בשם הרשב"א אם אינה משמשות לו מלאכו' קטנות)</w:t>
      </w:r>
      <w:r>
        <w:rPr>
          <w:rFonts w:cs="Arial" w:hint="cs"/>
          <w:rtl/>
        </w:rPr>
        <w:t>,</w:t>
      </w:r>
      <w:r w:rsidRPr="00061631">
        <w:rPr>
          <w:rFonts w:cs="Arial"/>
          <w:rtl/>
        </w:rPr>
        <w:t xml:space="preserve"> אלא מיירי אם אינו רוצה למנוע ממנה מזונו' כגון שהיא מניקה או מטעם אחר הרשו</w:t>
      </w:r>
      <w:r>
        <w:rPr>
          <w:rFonts w:cs="Arial" w:hint="cs"/>
          <w:rtl/>
        </w:rPr>
        <w:t>ת</w:t>
      </w:r>
      <w:r w:rsidRPr="00061631">
        <w:rPr>
          <w:rFonts w:cs="Arial"/>
          <w:rtl/>
        </w:rPr>
        <w:t xml:space="preserve"> בידו לנדות אותה אבל מ"מ לא נקראת מורד</w:t>
      </w:r>
      <w:r>
        <w:rPr>
          <w:rFonts w:cs="Arial" w:hint="cs"/>
          <w:rtl/>
        </w:rPr>
        <w:t>ת</w:t>
      </w:r>
      <w:r w:rsidRPr="00061631">
        <w:rPr>
          <w:rFonts w:cs="Arial"/>
          <w:rtl/>
        </w:rPr>
        <w:t xml:space="preserve"> לפחות מכתובתה ולקונסה בקנס השנוי במורד דק</w:t>
      </w:r>
      <w:r>
        <w:rPr>
          <w:rFonts w:cs="Arial" w:hint="cs"/>
          <w:rtl/>
        </w:rPr>
        <w:t>יי</w:t>
      </w:r>
      <w:r w:rsidRPr="00061631">
        <w:rPr>
          <w:rFonts w:cs="Arial"/>
          <w:rtl/>
        </w:rPr>
        <w:t>"ל מורד</w:t>
      </w:r>
      <w:r>
        <w:rPr>
          <w:rFonts w:cs="Arial" w:hint="cs"/>
          <w:rtl/>
        </w:rPr>
        <w:t>ת</w:t>
      </w:r>
      <w:r w:rsidRPr="00061631">
        <w:rPr>
          <w:rFonts w:cs="Arial"/>
          <w:rtl/>
        </w:rPr>
        <w:t xml:space="preserve"> מתשמיש ולא ממלאכה (וכמו שנתב' לעיל סק"א בסי' ע"ז)</w:t>
      </w:r>
      <w:r>
        <w:rPr>
          <w:rFonts w:cs="Arial" w:hint="cs"/>
          <w:rtl/>
        </w:rPr>
        <w:t>, ח"מ (סקכ"ו).</w:t>
      </w:r>
    </w:p>
  </w:footnote>
  <w:footnote w:id="1501">
    <w:p w14:paraId="25B07649" w14:textId="77777777" w:rsidR="00DF1FC7" w:rsidRDefault="00DF1FC7" w:rsidP="002E5BAD">
      <w:pPr>
        <w:pStyle w:val="a5"/>
      </w:pPr>
      <w:r>
        <w:rPr>
          <w:rStyle w:val="a7"/>
        </w:rPr>
        <w:footnoteRef/>
      </w:r>
      <w:r>
        <w:rPr>
          <w:rtl/>
        </w:rPr>
        <w:t xml:space="preserve"> </w:t>
      </w:r>
      <w:r>
        <w:rPr>
          <w:rFonts w:hint="cs"/>
          <w:rtl/>
        </w:rPr>
        <w:t>ו</w:t>
      </w:r>
      <w:r w:rsidRPr="00061631">
        <w:rPr>
          <w:rFonts w:cs="Arial"/>
          <w:rtl/>
        </w:rPr>
        <w:t>אין עושין לה שום כפי</w:t>
      </w:r>
      <w:r>
        <w:rPr>
          <w:rFonts w:cs="Arial" w:hint="cs"/>
          <w:rtl/>
        </w:rPr>
        <w:t>ה,</w:t>
      </w:r>
      <w:r w:rsidRPr="00061631">
        <w:rPr>
          <w:rFonts w:cs="Arial"/>
          <w:rtl/>
        </w:rPr>
        <w:t xml:space="preserve"> ואפי</w:t>
      </w:r>
      <w:r>
        <w:rPr>
          <w:rFonts w:cs="Arial" w:hint="cs"/>
          <w:rtl/>
        </w:rPr>
        <w:t>לו</w:t>
      </w:r>
      <w:r w:rsidRPr="00061631">
        <w:rPr>
          <w:rFonts w:cs="Arial"/>
          <w:rtl/>
        </w:rPr>
        <w:t xml:space="preserve"> אם היא מניקה אין בידו לעכב אותה</w:t>
      </w:r>
      <w:r>
        <w:rPr>
          <w:rFonts w:cs="Arial" w:hint="cs"/>
          <w:rtl/>
        </w:rPr>
        <w:t>.</w:t>
      </w:r>
      <w:r w:rsidRPr="00061631">
        <w:rPr>
          <w:rFonts w:cs="Arial"/>
          <w:rtl/>
        </w:rPr>
        <w:t xml:space="preserve"> ומניקה דמוסיפים לה מזונות כמ"ש בסמוך ואומר</w:t>
      </w:r>
      <w:r>
        <w:rPr>
          <w:rFonts w:cs="Arial" w:hint="cs"/>
          <w:rtl/>
        </w:rPr>
        <w:t>ת</w:t>
      </w:r>
      <w:r w:rsidRPr="00061631">
        <w:rPr>
          <w:rFonts w:cs="Arial"/>
          <w:rtl/>
        </w:rPr>
        <w:t xml:space="preserve"> איני ניזונית ואיני עושה נראה אותה הוספה בשביל הנקה ג"כ אין מוסיפים לה</w:t>
      </w:r>
      <w:r>
        <w:rPr>
          <w:rFonts w:cs="Arial" w:hint="cs"/>
          <w:rtl/>
        </w:rPr>
        <w:t>, ב"ש (סק"כ).</w:t>
      </w:r>
    </w:p>
  </w:footnote>
  <w:footnote w:id="1502">
    <w:p w14:paraId="7DB6866A" w14:textId="77777777" w:rsidR="00DF1FC7" w:rsidRDefault="00DF1FC7" w:rsidP="002E5BAD">
      <w:pPr>
        <w:pStyle w:val="a5"/>
      </w:pPr>
      <w:r>
        <w:rPr>
          <w:rStyle w:val="a7"/>
        </w:rPr>
        <w:footnoteRef/>
      </w:r>
      <w:r>
        <w:rPr>
          <w:rtl/>
        </w:rPr>
        <w:t xml:space="preserve"> </w:t>
      </w:r>
      <w:r w:rsidRPr="00274C11">
        <w:rPr>
          <w:rFonts w:cs="Arial"/>
          <w:rtl/>
        </w:rPr>
        <w:t>הר"ן ס"ל דצריכה לעשות כל צרכי הבית טוחנת ושאר מלאכות וחייבת להניק אלא דאינה עושה בצמר וכתב הרשב"א דמעכב מן הכתובה כנגד שכר מי שישמשנו באותן מלאכות או שוכר עליה ממקום אחר הא יתר מכאן לא עכ"ל</w:t>
      </w:r>
      <w:r>
        <w:rPr>
          <w:rFonts w:cs="Arial" w:hint="cs"/>
          <w:rtl/>
        </w:rPr>
        <w:t>.</w:t>
      </w:r>
      <w:r w:rsidRPr="00274C11">
        <w:rPr>
          <w:rFonts w:cs="Arial"/>
          <w:rtl/>
        </w:rPr>
        <w:t xml:space="preserve"> ותוספות והרא"ש כתבו כשאמרה איני ניזונות ואיני עושה פטורה מכל מלאכות ופטורה להניק אלא חייבת במזיגת הכוס והרחצת פניו והצעת המטה</w:t>
      </w:r>
      <w:r>
        <w:rPr>
          <w:rFonts w:cs="Arial" w:hint="cs"/>
          <w:rtl/>
        </w:rPr>
        <w:t>.</w:t>
      </w:r>
      <w:r w:rsidRPr="00274C11">
        <w:rPr>
          <w:rFonts w:cs="Arial"/>
          <w:rtl/>
        </w:rPr>
        <w:t xml:space="preserve"> וכבר כתבתי במקום פלוגתא היא פטורה</w:t>
      </w:r>
      <w:r>
        <w:rPr>
          <w:rFonts w:cs="Arial" w:hint="cs"/>
          <w:rtl/>
        </w:rPr>
        <w:t>.</w:t>
      </w:r>
      <w:r w:rsidRPr="00274C11">
        <w:rPr>
          <w:rFonts w:cs="Arial"/>
          <w:rtl/>
        </w:rPr>
        <w:t xml:space="preserve"> וי"ל לשיטות הר"ן אם אין לה לזון את עצמה יכול הבעל לכוף אותה שתעשה כדי מזונות של מניקה, גם נראה אלו ג' דברים של חיבה מזיגת הכוס וכו' אין כופין אותה בכפיות דהא תוס' כתבו אלו ג' דברים חייבת לעשות ומ"מ כתבו אף למ"ד דס"ל מורד' ממלאכה הוי מורדת לא קאמר אלא מה שמפורש במתני' אבל אם היא מורדת מאלו ג' מלאכות לאו מורדת היא כן י"ל לענין כפי' נמי אין כופין אותה אף על גב דיש לדחות את זאת מ"מ עיקר הוא דאין כופין אותה בכפיות דהא כבר כתבתי בשם רש"י דס"ל דאינו אלא עצה טובה שתעשה אלו ג' מלאכות וכן ס"ל הטור</w:t>
      </w:r>
      <w:r>
        <w:rPr>
          <w:rFonts w:cs="Arial" w:hint="cs"/>
          <w:rtl/>
        </w:rPr>
        <w:t>, ב"ש (סקכ"א).</w:t>
      </w:r>
      <w:r w:rsidRPr="00274C11">
        <w:rPr>
          <w:rtl/>
        </w:rPr>
        <w:t xml:space="preserve"> </w:t>
      </w:r>
      <w:r>
        <w:rPr>
          <w:rFonts w:hint="cs"/>
          <w:rtl/>
        </w:rPr>
        <w:t>וכ"כ הבאה"ט (סק"כ). והח"מ (סקכ"ז) ד</w:t>
      </w:r>
      <w:r w:rsidRPr="00AF25B1">
        <w:rPr>
          <w:rFonts w:cs="Arial"/>
          <w:rtl/>
        </w:rPr>
        <w:t>מלשון הרב כאן שכ' צריכה לעשו' צרכי הבית משמע שדעתו כדעת המפרשים שהבי' המ"מ שחייבת בכל צרכי הבית וכן פסק לעיל סוף ס"ע ולא ידעתי למה השמיט דעת התוס' שהוא להקל על האשה דיכולה לומר קים לי כהתוס'</w:t>
      </w:r>
      <w:r>
        <w:rPr>
          <w:rFonts w:hint="cs"/>
          <w:rtl/>
        </w:rPr>
        <w:t>.</w:t>
      </w:r>
    </w:p>
  </w:footnote>
  <w:footnote w:id="1503">
    <w:p w14:paraId="5E4F7DAD" w14:textId="77777777" w:rsidR="00DF1FC7" w:rsidRDefault="00DF1FC7" w:rsidP="002E5BAD">
      <w:pPr>
        <w:pStyle w:val="a5"/>
      </w:pPr>
      <w:r>
        <w:rPr>
          <w:rStyle w:val="a7"/>
        </w:rPr>
        <w:footnoteRef/>
      </w:r>
      <w:r>
        <w:rPr>
          <w:rtl/>
        </w:rPr>
        <w:t xml:space="preserve"> </w:t>
      </w:r>
      <w:r w:rsidRPr="00080682">
        <w:rPr>
          <w:rFonts w:cs="Arial"/>
          <w:rtl/>
        </w:rPr>
        <w:t>ולא תקנו שהיא תשבע היסת על טענתו דא"כ בכל עת ובכל שעה יהיה עסק שבועה ואין שלום בבית וע"כ האמינו לאשה היושבת ביניהם אף על גב דאשה פסולה לשאר עדיות</w:t>
      </w:r>
      <w:r>
        <w:rPr>
          <w:rFonts w:cs="Arial" w:hint="cs"/>
          <w:rtl/>
        </w:rPr>
        <w:t>,</w:t>
      </w:r>
      <w:r w:rsidRPr="00080682">
        <w:rPr>
          <w:rFonts w:cs="Arial"/>
          <w:rtl/>
        </w:rPr>
        <w:t xml:space="preserve"> ח"מ</w:t>
      </w:r>
      <w:r>
        <w:rPr>
          <w:rFonts w:cs="Arial" w:hint="cs"/>
          <w:rtl/>
        </w:rPr>
        <w:t xml:space="preserve"> (סקכ"ח). והעתיקו הב"ש (סקכ"ב).</w:t>
      </w:r>
    </w:p>
  </w:footnote>
  <w:footnote w:id="1504">
    <w:p w14:paraId="2A9548B7" w14:textId="77777777" w:rsidR="00DF1FC7" w:rsidRDefault="00DF1FC7" w:rsidP="002E5BAD">
      <w:pPr>
        <w:pStyle w:val="a5"/>
      </w:pPr>
      <w:r>
        <w:rPr>
          <w:rStyle w:val="a7"/>
        </w:rPr>
        <w:footnoteRef/>
      </w:r>
      <w:r>
        <w:rPr>
          <w:rtl/>
        </w:rPr>
        <w:t xml:space="preserve"> </w:t>
      </w:r>
      <w:r>
        <w:rPr>
          <w:rFonts w:cs="Arial"/>
          <w:rtl/>
        </w:rPr>
        <w:t>והראב"ד כתב לא מן השם הוא זה אלא מפני שהיא פשיעה בבעלים שהוא שכור לה בכל שעה</w:t>
      </w:r>
      <w:r>
        <w:rPr>
          <w:rFonts w:cs="Arial" w:hint="cs"/>
          <w:rtl/>
        </w:rPr>
        <w:t>.</w:t>
      </w:r>
      <w:r>
        <w:rPr>
          <w:rFonts w:cs="Arial"/>
          <w:rtl/>
        </w:rPr>
        <w:t xml:space="preserve"> והרב המגיד דחה טעמו של הראב"ד לפי שהאיש אינו שכור עם האשה אלא בשעה שמתעסק בצרכיה</w:t>
      </w:r>
      <w:r>
        <w:rPr>
          <w:rFonts w:cs="Arial" w:hint="cs"/>
          <w:rtl/>
        </w:rPr>
        <w:t>,</w:t>
      </w:r>
      <w:r>
        <w:rPr>
          <w:rFonts w:cs="Arial"/>
          <w:rtl/>
        </w:rPr>
        <w:t xml:space="preserve"> וכתב שהרשב"א (ב"מ צו: ד"ה הא) הסכים לדברי הרמב"ם ושכן מבואר בירושלמי פרק הכותב (כתובות פ"ט ה"ד)</w:t>
      </w:r>
      <w:r>
        <w:rPr>
          <w:rFonts w:cs="Arial" w:hint="cs"/>
          <w:rtl/>
        </w:rPr>
        <w:t>, ב"י.</w:t>
      </w:r>
    </w:p>
  </w:footnote>
  <w:footnote w:id="1505">
    <w:p w14:paraId="3C13596A" w14:textId="77777777" w:rsidR="00DF1FC7" w:rsidRDefault="00DF1FC7" w:rsidP="002E5BAD">
      <w:pPr>
        <w:pStyle w:val="a5"/>
        <w:rPr>
          <w:rtl/>
        </w:rPr>
      </w:pPr>
      <w:r>
        <w:rPr>
          <w:rStyle w:val="a7"/>
        </w:rPr>
        <w:footnoteRef/>
      </w:r>
      <w:r>
        <w:rPr>
          <w:rtl/>
        </w:rPr>
        <w:t xml:space="preserve"> </w:t>
      </w:r>
      <w:r>
        <w:rPr>
          <w:rFonts w:cs="Arial"/>
          <w:rtl/>
        </w:rPr>
        <w:t>מ"ש ואסור ליקח שום דבר מידו לידה וכו'. כך כתבו התוספות והרא"ש בפרק אף על פי (תוס' סא. ד"ה מחלפא, רא"ש סי' כד) בשם רש"י וכבר נתבאר כל זה בטור יורה דעה סימן קצ"ה</w:t>
      </w:r>
      <w:r>
        <w:rPr>
          <w:rFonts w:cs="Arial" w:hint="cs"/>
          <w:rtl/>
        </w:rPr>
        <w:t>, ב"י.</w:t>
      </w:r>
    </w:p>
  </w:footnote>
  <w:footnote w:id="1506">
    <w:p w14:paraId="4D5A158B" w14:textId="77777777" w:rsidR="00DF1FC7" w:rsidRDefault="00DF1FC7" w:rsidP="002E5BAD">
      <w:pPr>
        <w:pStyle w:val="a5"/>
      </w:pPr>
      <w:r>
        <w:rPr>
          <w:rStyle w:val="a7"/>
        </w:rPr>
        <w:footnoteRef/>
      </w:r>
      <w:r>
        <w:rPr>
          <w:rtl/>
        </w:rPr>
        <w:t xml:space="preserve"> </w:t>
      </w:r>
      <w:r w:rsidRPr="00634AE3">
        <w:rPr>
          <w:rFonts w:cs="Arial"/>
          <w:rtl/>
        </w:rPr>
        <w:t>משמע קצת שאם שברה שלא בשעת מלאכה חייבת</w:t>
      </w:r>
      <w:r>
        <w:rPr>
          <w:rFonts w:cs="Arial" w:hint="cs"/>
          <w:rtl/>
        </w:rPr>
        <w:t>,</w:t>
      </w:r>
      <w:r w:rsidRPr="00634AE3">
        <w:rPr>
          <w:rFonts w:cs="Arial"/>
          <w:rtl/>
        </w:rPr>
        <w:t xml:space="preserve"> אבל ל' הירושל' שהביא המ"מ בפכ"א מה"א ה"ו סתם האשה ששברה כלים בתוך הבית פטורה משמע אפילו שלא בשעת מלאכה</w:t>
      </w:r>
      <w:r>
        <w:rPr>
          <w:rFonts w:cs="Arial" w:hint="cs"/>
          <w:rtl/>
        </w:rPr>
        <w:t>, ח"מ (סקכ"ט).</w:t>
      </w:r>
      <w:r>
        <w:rPr>
          <w:rFonts w:hint="cs"/>
          <w:rtl/>
        </w:rPr>
        <w:t xml:space="preserve"> וכ"כ ב"ש (סקכ"ג). וכן החליט הבאה"ט (סקכ"א).</w:t>
      </w:r>
    </w:p>
  </w:footnote>
  <w:footnote w:id="1507">
    <w:p w14:paraId="13F94DC4" w14:textId="77777777" w:rsidR="00DF1FC7" w:rsidRDefault="00DF1FC7" w:rsidP="002E5BAD">
      <w:pPr>
        <w:pStyle w:val="a5"/>
      </w:pPr>
      <w:r>
        <w:rPr>
          <w:rStyle w:val="a7"/>
        </w:rPr>
        <w:footnoteRef/>
      </w:r>
      <w:r>
        <w:rPr>
          <w:rtl/>
        </w:rPr>
        <w:t xml:space="preserve"> </w:t>
      </w:r>
      <w:r>
        <w:rPr>
          <w:rFonts w:cs="Arial"/>
          <w:rtl/>
        </w:rPr>
        <w:t>וכתב הר"ן בסוף פירקין (כח: ד"ה מתני') דלאו למימרא שיכול הבעל לומר איני נותן מעה ויהא המותר שלה דהא קיי"ל (נח:) יכולה אשה שתאמר איני נזונת ואיני עושה ובודאי שיכולה ג"כ לומר איני נוטלת מעה כסף ואיני נותנת מותר</w:t>
      </w:r>
      <w:r>
        <w:rPr>
          <w:rFonts w:cs="Arial" w:hint="cs"/>
          <w:rtl/>
        </w:rPr>
        <w:t>,</w:t>
      </w:r>
      <w:r>
        <w:rPr>
          <w:rFonts w:cs="Arial"/>
          <w:rtl/>
        </w:rPr>
        <w:t xml:space="preserve"> דאי הוא נמי יכול לומר איני נותן מעה כסף מה הועילו חכמים בתקנתם הרי כל אחד מהם יכול לעכב</w:t>
      </w:r>
      <w:r>
        <w:rPr>
          <w:rFonts w:cs="Arial" w:hint="cs"/>
          <w:rtl/>
        </w:rPr>
        <w:t>.</w:t>
      </w:r>
      <w:r>
        <w:rPr>
          <w:rFonts w:cs="Arial"/>
          <w:rtl/>
        </w:rPr>
        <w:t xml:space="preserve"> אלא ודאי הכי קאמר שאם שתקה היא ולא תבעה מעה כסף לצרכיה ועשתה מותר </w:t>
      </w:r>
      <w:r>
        <w:rPr>
          <w:rFonts w:cs="Arial" w:hint="cs"/>
          <w:rtl/>
        </w:rPr>
        <w:t xml:space="preserve">- </w:t>
      </w:r>
      <w:r>
        <w:rPr>
          <w:rFonts w:cs="Arial"/>
          <w:rtl/>
        </w:rPr>
        <w:t>הרי הוא לעצמה ואין הבעל יכול לומר ויתרה</w:t>
      </w:r>
      <w:r>
        <w:rPr>
          <w:rFonts w:cs="Arial" w:hint="cs"/>
          <w:rtl/>
        </w:rPr>
        <w:t>.</w:t>
      </w:r>
      <w:r>
        <w:rPr>
          <w:rFonts w:cs="Arial"/>
          <w:rtl/>
        </w:rPr>
        <w:t xml:space="preserve"> וכתב הרמב"ן ז"ל (סד: ד"ה הא) דהוא הדין למזונות ולמעשה ידיה אלא רבותא קמ"ל שאפילו במעה כסף שאינה צריכה לו כל כך לא אמרינן ויתרה עכ"ל</w:t>
      </w:r>
      <w:r>
        <w:rPr>
          <w:rFonts w:cs="Arial" w:hint="cs"/>
          <w:rtl/>
        </w:rPr>
        <w:t>, ב"י (בסי' ע).</w:t>
      </w:r>
    </w:p>
  </w:footnote>
  <w:footnote w:id="1508">
    <w:p w14:paraId="5E290AA1" w14:textId="77777777" w:rsidR="00DF1FC7" w:rsidRDefault="00DF1FC7" w:rsidP="002E5BAD">
      <w:pPr>
        <w:pStyle w:val="a5"/>
        <w:rPr>
          <w:rtl/>
        </w:rPr>
      </w:pPr>
      <w:r>
        <w:rPr>
          <w:rStyle w:val="a7"/>
        </w:rPr>
        <w:footnoteRef/>
      </w:r>
      <w:r>
        <w:rPr>
          <w:rtl/>
        </w:rPr>
        <w:t xml:space="preserve"> </w:t>
      </w:r>
      <w:r w:rsidRPr="00F04A75">
        <w:rPr>
          <w:rFonts w:cs="Arial"/>
          <w:rtl/>
        </w:rPr>
        <w:t>ראיה לדבר הפוסק לזון בת אשתו אין מעשה ידי הבת שלו כדאי' בגמ' ובתוספת' וע' בריב"ש סי' ת"פ</w:t>
      </w:r>
      <w:r>
        <w:rPr>
          <w:rFonts w:hint="cs"/>
          <w:rtl/>
        </w:rPr>
        <w:t>, ח"מ (סק"ל).</w:t>
      </w:r>
      <w:r w:rsidRPr="00F04A75">
        <w:rPr>
          <w:rtl/>
        </w:rPr>
        <w:t xml:space="preserve"> </w:t>
      </w:r>
      <w:r w:rsidRPr="00F04A75">
        <w:rPr>
          <w:rFonts w:cs="Arial"/>
          <w:rtl/>
        </w:rPr>
        <w:t>וכן הדין אם פוסק לזון יתום כמ"ש בח"ה סי' ע"ר דאין מ"י תחת מזונות אלא מי שאוכל מצד תקנות חז"ל ריב"ש</w:t>
      </w:r>
      <w:r>
        <w:rPr>
          <w:rFonts w:cs="Arial" w:hint="cs"/>
          <w:rtl/>
        </w:rPr>
        <w:t>, ב"ש (סקכ"ד).</w:t>
      </w:r>
    </w:p>
  </w:footnote>
  <w:footnote w:id="1509">
    <w:p w14:paraId="6789A5B1" w14:textId="77777777" w:rsidR="00DF1FC7" w:rsidRDefault="00DF1FC7" w:rsidP="002E5BAD">
      <w:pPr>
        <w:pStyle w:val="a5"/>
      </w:pPr>
      <w:r>
        <w:rPr>
          <w:rStyle w:val="a7"/>
        </w:rPr>
        <w:footnoteRef/>
      </w:r>
      <w:r>
        <w:rPr>
          <w:rtl/>
        </w:rPr>
        <w:t xml:space="preserve"> </w:t>
      </w:r>
      <w:r w:rsidRPr="00E73D09">
        <w:rPr>
          <w:rFonts w:cs="Arial"/>
          <w:rtl/>
        </w:rPr>
        <w:t>עיין סי' ע' שם מבואר אם מכרה נ"מ שלה בשביל המזונות א"צ הוא לשלם לה</w:t>
      </w:r>
      <w:r>
        <w:rPr>
          <w:rFonts w:cs="Arial" w:hint="cs"/>
          <w:rtl/>
        </w:rPr>
        <w:t>, ב"ש (סקכ"ה).</w:t>
      </w:r>
    </w:p>
  </w:footnote>
  <w:footnote w:id="1510">
    <w:p w14:paraId="26A66406" w14:textId="77777777" w:rsidR="00DF1FC7" w:rsidRDefault="00DF1FC7" w:rsidP="002E5BAD">
      <w:pPr>
        <w:pStyle w:val="a5"/>
      </w:pPr>
      <w:r>
        <w:rPr>
          <w:rStyle w:val="a7"/>
        </w:rPr>
        <w:footnoteRef/>
      </w:r>
      <w:r>
        <w:rPr>
          <w:rtl/>
        </w:rPr>
        <w:t xml:space="preserve"> </w:t>
      </w:r>
      <w:r w:rsidRPr="00410ECD">
        <w:rPr>
          <w:rFonts w:cs="Arial"/>
          <w:rtl/>
        </w:rPr>
        <w:t>במתני' (סד:) מפרש מה היא עושה לו משקל חמש סלעים כו'</w:t>
      </w:r>
      <w:r>
        <w:rPr>
          <w:rFonts w:cs="Arial" w:hint="cs"/>
          <w:rtl/>
        </w:rPr>
        <w:t>, רש"י.</w:t>
      </w:r>
    </w:p>
  </w:footnote>
  <w:footnote w:id="1511">
    <w:p w14:paraId="58580329" w14:textId="77777777" w:rsidR="00DF1FC7" w:rsidRDefault="00DF1FC7" w:rsidP="002E5BAD">
      <w:pPr>
        <w:pStyle w:val="a5"/>
      </w:pPr>
      <w:r>
        <w:rPr>
          <w:rStyle w:val="a7"/>
        </w:rPr>
        <w:footnoteRef/>
      </w:r>
      <w:r>
        <w:rPr>
          <w:rtl/>
        </w:rPr>
        <w:t xml:space="preserve"> </w:t>
      </w:r>
      <w:r w:rsidRPr="00410ECD">
        <w:rPr>
          <w:rFonts w:cs="Arial"/>
          <w:rtl/>
        </w:rPr>
        <w:t>אין מעשה ידיה קדוש על פיו ובגמרא מפרש לה</w:t>
      </w:r>
      <w:r>
        <w:rPr>
          <w:rFonts w:cs="Arial" w:hint="cs"/>
          <w:rtl/>
        </w:rPr>
        <w:t>, רש"י.</w:t>
      </w:r>
    </w:p>
  </w:footnote>
  <w:footnote w:id="1512">
    <w:p w14:paraId="437E1296" w14:textId="77777777" w:rsidR="00DF1FC7" w:rsidRDefault="00DF1FC7" w:rsidP="002E5BAD">
      <w:pPr>
        <w:pStyle w:val="a5"/>
      </w:pPr>
      <w:r>
        <w:rPr>
          <w:rStyle w:val="a7"/>
        </w:rPr>
        <w:footnoteRef/>
      </w:r>
      <w:r>
        <w:rPr>
          <w:rtl/>
        </w:rPr>
        <w:t xml:space="preserve"> </w:t>
      </w:r>
      <w:r w:rsidRPr="00410ECD">
        <w:rPr>
          <w:rFonts w:cs="Arial"/>
          <w:rtl/>
        </w:rPr>
        <w:t>הקדיש את מותר מעשה ידי אשתו מה שהיא עושה לו יותר על הראוי שפסקו חכמים</w:t>
      </w:r>
      <w:r>
        <w:rPr>
          <w:rFonts w:cs="Arial" w:hint="cs"/>
          <w:rtl/>
        </w:rPr>
        <w:t>,</w:t>
      </w:r>
      <w:r w:rsidRPr="00410ECD">
        <w:rPr>
          <w:rFonts w:cs="Arial"/>
          <w:rtl/>
        </w:rPr>
        <w:t xml:space="preserve"> ולא הקדיש מעשה ידיה עצמן</w:t>
      </w:r>
      <w:r>
        <w:rPr>
          <w:rFonts w:cs="Arial" w:hint="cs"/>
          <w:rtl/>
        </w:rPr>
        <w:t>,</w:t>
      </w:r>
      <w:r w:rsidRPr="00410ECD">
        <w:rPr>
          <w:rFonts w:cs="Arial"/>
          <w:rtl/>
        </w:rPr>
        <w:t xml:space="preserve"> והמותר קנוי לו במעה כסף שתקנו לה חכמים שיתן לה בכל שבת מעה כסף לצורכיה לבד המזונות כדתנן במתניתין</w:t>
      </w:r>
      <w:r>
        <w:rPr>
          <w:rFonts w:cs="Arial" w:hint="cs"/>
          <w:rtl/>
        </w:rPr>
        <w:t>, רש"י.</w:t>
      </w:r>
    </w:p>
  </w:footnote>
  <w:footnote w:id="1513">
    <w:p w14:paraId="569BE466" w14:textId="77777777" w:rsidR="00DF1FC7" w:rsidRDefault="00DF1FC7" w:rsidP="002E5BAD">
      <w:pPr>
        <w:pStyle w:val="a5"/>
      </w:pPr>
      <w:r>
        <w:rPr>
          <w:rStyle w:val="a7"/>
        </w:rPr>
        <w:footnoteRef/>
      </w:r>
      <w:r>
        <w:rPr>
          <w:rtl/>
        </w:rPr>
        <w:t xml:space="preserve"> </w:t>
      </w:r>
      <w:r>
        <w:rPr>
          <w:rFonts w:cs="Arial"/>
          <w:rtl/>
        </w:rPr>
        <w:t>משום דקסבר אין אדם מקדיש דבר שלא בא לעולם</w:t>
      </w:r>
      <w:r>
        <w:rPr>
          <w:rFonts w:cs="Arial" w:hint="cs"/>
          <w:rtl/>
        </w:rPr>
        <w:t>, ב"י.</w:t>
      </w:r>
    </w:p>
  </w:footnote>
  <w:footnote w:id="1514">
    <w:p w14:paraId="35960A14" w14:textId="77777777" w:rsidR="00DF1FC7" w:rsidRDefault="00DF1FC7" w:rsidP="002E5BAD">
      <w:pPr>
        <w:pStyle w:val="a5"/>
      </w:pPr>
      <w:r>
        <w:rPr>
          <w:rStyle w:val="a7"/>
        </w:rPr>
        <w:footnoteRef/>
      </w:r>
      <w:r>
        <w:rPr>
          <w:rtl/>
        </w:rPr>
        <w:t xml:space="preserve"> </w:t>
      </w:r>
      <w:r w:rsidRPr="00003C37">
        <w:rPr>
          <w:rFonts w:cs="Arial"/>
          <w:rtl/>
        </w:rPr>
        <w:t>מה שאני עושה יהיה קונם לפיך יהי עליך כהקדש מליהנות לו</w:t>
      </w:r>
      <w:r>
        <w:rPr>
          <w:rFonts w:cs="Arial" w:hint="cs"/>
          <w:rtl/>
        </w:rPr>
        <w:t>, רש"י.</w:t>
      </w:r>
    </w:p>
  </w:footnote>
  <w:footnote w:id="1515">
    <w:p w14:paraId="580D5FC1" w14:textId="77777777" w:rsidR="00DF1FC7" w:rsidRDefault="00DF1FC7" w:rsidP="002E5BAD">
      <w:pPr>
        <w:pStyle w:val="a5"/>
      </w:pPr>
      <w:r>
        <w:rPr>
          <w:rStyle w:val="a7"/>
        </w:rPr>
        <w:footnoteRef/>
      </w:r>
      <w:r>
        <w:rPr>
          <w:rtl/>
        </w:rPr>
        <w:t xml:space="preserve"> </w:t>
      </w:r>
      <w:r w:rsidRPr="00003C37">
        <w:rPr>
          <w:rFonts w:cs="Arial"/>
          <w:rtl/>
        </w:rPr>
        <w:t>נדר זה שאין בה כח להקדישו לפי שהוא שלו</w:t>
      </w:r>
      <w:r>
        <w:rPr>
          <w:rFonts w:cs="Arial" w:hint="cs"/>
          <w:rtl/>
        </w:rPr>
        <w:t>, רש"י.</w:t>
      </w:r>
    </w:p>
  </w:footnote>
  <w:footnote w:id="1516">
    <w:p w14:paraId="141F5BB0" w14:textId="77777777" w:rsidR="00DF1FC7" w:rsidRDefault="00DF1FC7" w:rsidP="002E5BAD">
      <w:pPr>
        <w:pStyle w:val="a5"/>
        <w:rPr>
          <w:rtl/>
        </w:rPr>
      </w:pPr>
      <w:r>
        <w:rPr>
          <w:rStyle w:val="a7"/>
        </w:rPr>
        <w:footnoteRef/>
      </w:r>
      <w:r>
        <w:rPr>
          <w:rtl/>
        </w:rPr>
        <w:t xml:space="preserve"> </w:t>
      </w:r>
      <w:r w:rsidRPr="00003C37">
        <w:rPr>
          <w:rFonts w:cs="Arial"/>
          <w:rtl/>
        </w:rPr>
        <w:t>יותר ממה שפסקו לה חכמים משקל חמש סלעים דמותר זה אינו שלו ויכולה להקדישו</w:t>
      </w:r>
      <w:r>
        <w:rPr>
          <w:rFonts w:hint="cs"/>
          <w:rtl/>
        </w:rPr>
        <w:t>, רש"י.</w:t>
      </w:r>
    </w:p>
  </w:footnote>
  <w:footnote w:id="1517">
    <w:p w14:paraId="120D29FC" w14:textId="77777777" w:rsidR="00DF1FC7" w:rsidRDefault="00DF1FC7" w:rsidP="002E5BAD">
      <w:pPr>
        <w:pStyle w:val="a5"/>
        <w:rPr>
          <w:rtl/>
        </w:rPr>
      </w:pPr>
      <w:r>
        <w:rPr>
          <w:rStyle w:val="a7"/>
        </w:rPr>
        <w:footnoteRef/>
      </w:r>
      <w:r>
        <w:rPr>
          <w:rtl/>
        </w:rPr>
        <w:t xml:space="preserve"> </w:t>
      </w:r>
      <w:r w:rsidRPr="002200E5">
        <w:rPr>
          <w:rFonts w:cs="Arial"/>
          <w:rtl/>
        </w:rPr>
        <w:t>אף עיקר מעשה ידיה צריך הפרה</w:t>
      </w:r>
      <w:r>
        <w:rPr>
          <w:rFonts w:hint="cs"/>
          <w:rtl/>
        </w:rPr>
        <w:t>, רש"י.</w:t>
      </w:r>
    </w:p>
  </w:footnote>
  <w:footnote w:id="1518">
    <w:p w14:paraId="1E10611F" w14:textId="77777777" w:rsidR="00DF1FC7" w:rsidRDefault="00DF1FC7" w:rsidP="002E5BAD">
      <w:pPr>
        <w:pStyle w:val="a5"/>
      </w:pPr>
      <w:r>
        <w:rPr>
          <w:rStyle w:val="a7"/>
        </w:rPr>
        <w:footnoteRef/>
      </w:r>
      <w:r>
        <w:rPr>
          <w:rtl/>
        </w:rPr>
        <w:t xml:space="preserve"> </w:t>
      </w:r>
      <w:r w:rsidRPr="002200E5">
        <w:rPr>
          <w:rFonts w:cs="Arial"/>
          <w:rtl/>
        </w:rPr>
        <w:t>ויהא הנדר חל שמשגרשה אינה משועבדת לו למעשה ידיה</w:t>
      </w:r>
      <w:r>
        <w:rPr>
          <w:rFonts w:cs="Arial" w:hint="cs"/>
          <w:rtl/>
        </w:rPr>
        <w:t>, רש"י.</w:t>
      </w:r>
    </w:p>
  </w:footnote>
  <w:footnote w:id="1519">
    <w:p w14:paraId="756A9B0E" w14:textId="77777777" w:rsidR="00DF1FC7" w:rsidRDefault="00DF1FC7" w:rsidP="002E5BAD">
      <w:pPr>
        <w:pStyle w:val="a5"/>
      </w:pPr>
      <w:r>
        <w:rPr>
          <w:rStyle w:val="a7"/>
        </w:rPr>
        <w:footnoteRef/>
      </w:r>
      <w:r>
        <w:rPr>
          <w:rtl/>
        </w:rPr>
        <w:t xml:space="preserve"> </w:t>
      </w:r>
      <w:r w:rsidRPr="002200E5">
        <w:rPr>
          <w:rFonts w:cs="Arial"/>
          <w:rtl/>
        </w:rPr>
        <w:t>לפי שנאסר מעשה ידיה עליו ואי אפשר לו ליזהר שלא תטחון ולא תאפה וכל שאר מלאכות השנויות במשנתנו שהאשה עושה לבעלה</w:t>
      </w:r>
      <w:r>
        <w:rPr>
          <w:rFonts w:cs="Arial" w:hint="cs"/>
          <w:rtl/>
        </w:rPr>
        <w:t>, רש"י.</w:t>
      </w:r>
    </w:p>
  </w:footnote>
  <w:footnote w:id="1520">
    <w:p w14:paraId="15CB5C27" w14:textId="77777777" w:rsidR="00DF1FC7" w:rsidRDefault="00DF1FC7" w:rsidP="002E5BAD">
      <w:pPr>
        <w:pStyle w:val="a5"/>
      </w:pPr>
      <w:r>
        <w:rPr>
          <w:rStyle w:val="a7"/>
        </w:rPr>
        <w:footnoteRef/>
      </w:r>
      <w:r>
        <w:rPr>
          <w:rtl/>
        </w:rPr>
        <w:t xml:space="preserve"> </w:t>
      </w:r>
      <w:r w:rsidRPr="002200E5">
        <w:rPr>
          <w:rFonts w:cs="Arial"/>
          <w:rtl/>
        </w:rPr>
        <w:t>אלמא לכשיגרשנה חל הנדר אלמא אדם מקדיש דבר שלא בא לעולם שעדיין לא גירשה</w:t>
      </w:r>
      <w:r>
        <w:rPr>
          <w:rFonts w:cs="Arial" w:hint="cs"/>
          <w:rtl/>
        </w:rPr>
        <w:t>, רש"י.</w:t>
      </w:r>
    </w:p>
  </w:footnote>
  <w:footnote w:id="1521">
    <w:p w14:paraId="359B0595" w14:textId="77777777" w:rsidR="00DF1FC7" w:rsidRDefault="00DF1FC7" w:rsidP="002E5BAD">
      <w:pPr>
        <w:pStyle w:val="a5"/>
      </w:pPr>
      <w:r>
        <w:rPr>
          <w:rStyle w:val="a7"/>
        </w:rPr>
        <w:footnoteRef/>
      </w:r>
      <w:r>
        <w:rPr>
          <w:rtl/>
        </w:rPr>
        <w:t xml:space="preserve"> </w:t>
      </w:r>
      <w:r w:rsidRPr="009046A7">
        <w:rPr>
          <w:rFonts w:cs="Arial"/>
          <w:rtl/>
        </w:rPr>
        <w:t>כלומר תירצת לא בא לעולם דמלאכה</w:t>
      </w:r>
      <w:r>
        <w:rPr>
          <w:rFonts w:cs="Arial" w:hint="cs"/>
          <w:rtl/>
        </w:rPr>
        <w:t>,</w:t>
      </w:r>
      <w:r w:rsidRPr="009046A7">
        <w:rPr>
          <w:rFonts w:cs="Arial"/>
          <w:rtl/>
        </w:rPr>
        <w:t xml:space="preserve"> לא בא לעולם דגירושין </w:t>
      </w:r>
      <w:r>
        <w:rPr>
          <w:rFonts w:cs="Arial" w:hint="cs"/>
          <w:rtl/>
        </w:rPr>
        <w:t xml:space="preserve">- </w:t>
      </w:r>
      <w:r w:rsidRPr="009046A7">
        <w:rPr>
          <w:rFonts w:cs="Arial"/>
          <w:rtl/>
        </w:rPr>
        <w:t>לא תירצת</w:t>
      </w:r>
      <w:r>
        <w:rPr>
          <w:rFonts w:cs="Arial" w:hint="cs"/>
          <w:rtl/>
        </w:rPr>
        <w:t>,</w:t>
      </w:r>
      <w:r w:rsidRPr="009046A7">
        <w:rPr>
          <w:rFonts w:cs="Arial"/>
          <w:rtl/>
        </w:rPr>
        <w:t xml:space="preserve"> דאילו השתא לית לה רשותא לאקדושיה והיכי קדיש לקמיה</w:t>
      </w:r>
      <w:r>
        <w:rPr>
          <w:rFonts w:cs="Arial" w:hint="cs"/>
          <w:rtl/>
        </w:rPr>
        <w:t>, רש"י.</w:t>
      </w:r>
    </w:p>
  </w:footnote>
  <w:footnote w:id="1522">
    <w:p w14:paraId="1731EE90" w14:textId="77777777" w:rsidR="00DF1FC7" w:rsidRDefault="00DF1FC7" w:rsidP="002E5BAD">
      <w:pPr>
        <w:pStyle w:val="a5"/>
      </w:pPr>
      <w:r>
        <w:rPr>
          <w:rStyle w:val="a7"/>
        </w:rPr>
        <w:footnoteRef/>
      </w:r>
      <w:r>
        <w:rPr>
          <w:rtl/>
        </w:rPr>
        <w:t xml:space="preserve"> </w:t>
      </w:r>
      <w:r w:rsidRPr="009046A7">
        <w:rPr>
          <w:rFonts w:cs="Arial"/>
          <w:rtl/>
        </w:rPr>
        <w:t>כלומר תירצת לא בא לעולם דמלאכה לא בא לעולם דגירושין לא תירצת דאילו השתא לית לה רשותא לאקדושיה והיכי קדיש לקמיה</w:t>
      </w:r>
      <w:r>
        <w:rPr>
          <w:rFonts w:cs="Arial" w:hint="cs"/>
          <w:rtl/>
        </w:rPr>
        <w:t>, רש"י.</w:t>
      </w:r>
    </w:p>
  </w:footnote>
  <w:footnote w:id="1523">
    <w:p w14:paraId="7199BE16" w14:textId="77777777" w:rsidR="00DF1FC7" w:rsidRDefault="00DF1FC7" w:rsidP="002E5BAD">
      <w:pPr>
        <w:pStyle w:val="a5"/>
      </w:pPr>
      <w:r>
        <w:rPr>
          <w:rStyle w:val="a7"/>
        </w:rPr>
        <w:footnoteRef/>
      </w:r>
      <w:r>
        <w:rPr>
          <w:rtl/>
        </w:rPr>
        <w:t xml:space="preserve"> </w:t>
      </w:r>
      <w:r w:rsidRPr="009046A7">
        <w:rPr>
          <w:rFonts w:cs="Arial"/>
          <w:rtl/>
        </w:rPr>
        <w:t xml:space="preserve">כגון ששיעבד שורו לבעל חוב וחזר והקדישו מפקיע שעבוד המלוה וגובה חובו ממקום אחר וזה כשר לקרבן ואינו גזול דלא הוה קני ליה אלא לגוביינא בעלמא ודוקא קדושת הגוף אבל קדושת דמים דבדק הבית לא מפקיע שעבוד כדתנן בערכין </w:t>
      </w:r>
      <w:r>
        <w:rPr>
          <w:rFonts w:cs="Arial" w:hint="cs"/>
          <w:rtl/>
        </w:rPr>
        <w:t>(</w:t>
      </w:r>
      <w:r w:rsidRPr="009046A7">
        <w:rPr>
          <w:rFonts w:cs="Arial"/>
          <w:rtl/>
        </w:rPr>
        <w:t>כג:) מוסיף עוד דינר ופודה את הנכסים הללו כו'</w:t>
      </w:r>
      <w:r>
        <w:rPr>
          <w:rFonts w:cs="Arial" w:hint="cs"/>
          <w:rtl/>
        </w:rPr>
        <w:t>, רש"י.</w:t>
      </w:r>
    </w:p>
  </w:footnote>
  <w:footnote w:id="1524">
    <w:p w14:paraId="321E3F8A" w14:textId="77777777" w:rsidR="00DF1FC7" w:rsidRDefault="00DF1FC7" w:rsidP="002E5BAD">
      <w:pPr>
        <w:pStyle w:val="a5"/>
      </w:pPr>
      <w:r>
        <w:rPr>
          <w:rStyle w:val="a7"/>
        </w:rPr>
        <w:footnoteRef/>
      </w:r>
      <w:r>
        <w:rPr>
          <w:rtl/>
        </w:rPr>
        <w:t xml:space="preserve"> </w:t>
      </w:r>
      <w:r w:rsidRPr="009046A7">
        <w:rPr>
          <w:rFonts w:cs="Arial"/>
          <w:rtl/>
        </w:rPr>
        <w:t xml:space="preserve">עשה חמצו אפותיקי </w:t>
      </w:r>
      <w:r>
        <w:rPr>
          <w:rFonts w:cs="Arial" w:hint="cs"/>
          <w:rtl/>
        </w:rPr>
        <w:t>לגוי</w:t>
      </w:r>
      <w:r w:rsidRPr="009046A7">
        <w:rPr>
          <w:rFonts w:cs="Arial"/>
          <w:rtl/>
        </w:rPr>
        <w:t xml:space="preserve"> והגיע הפסח איסור חמץ מפקיעו משעבוד </w:t>
      </w:r>
      <w:r>
        <w:rPr>
          <w:rFonts w:cs="Arial" w:hint="cs"/>
          <w:rtl/>
        </w:rPr>
        <w:t>הגוי</w:t>
      </w:r>
      <w:r w:rsidRPr="009046A7">
        <w:rPr>
          <w:rFonts w:cs="Arial"/>
          <w:rtl/>
        </w:rPr>
        <w:t xml:space="preserve"> ונאסר בהנאה והא דתנן (פסחים</w:t>
      </w:r>
      <w:r>
        <w:rPr>
          <w:rFonts w:cs="Arial" w:hint="cs"/>
          <w:rtl/>
        </w:rPr>
        <w:t xml:space="preserve"> </w:t>
      </w:r>
      <w:r w:rsidRPr="009046A7">
        <w:rPr>
          <w:rFonts w:cs="Arial"/>
          <w:rtl/>
        </w:rPr>
        <w:t xml:space="preserve">ל:) </w:t>
      </w:r>
      <w:r>
        <w:rPr>
          <w:rFonts w:cs="Arial" w:hint="cs"/>
          <w:rtl/>
        </w:rPr>
        <w:t>גוי</w:t>
      </w:r>
      <w:r w:rsidRPr="009046A7">
        <w:rPr>
          <w:rFonts w:cs="Arial"/>
          <w:rtl/>
        </w:rPr>
        <w:t xml:space="preserve"> שהלוה לישראל על חמצו אחר הפסח מותר בהנאה אוקמינן לה התם כשהרהינו אצלו שמסרו בידו משכון</w:t>
      </w:r>
      <w:r>
        <w:rPr>
          <w:rFonts w:cs="Arial" w:hint="cs"/>
          <w:rtl/>
        </w:rPr>
        <w:t>, רש"י.</w:t>
      </w:r>
    </w:p>
  </w:footnote>
  <w:footnote w:id="1525">
    <w:p w14:paraId="4D785A30" w14:textId="77777777" w:rsidR="00DF1FC7" w:rsidRDefault="00DF1FC7" w:rsidP="002E5BAD">
      <w:pPr>
        <w:pStyle w:val="a5"/>
      </w:pPr>
      <w:r>
        <w:rPr>
          <w:rStyle w:val="a7"/>
        </w:rPr>
        <w:footnoteRef/>
      </w:r>
      <w:r>
        <w:rPr>
          <w:rtl/>
        </w:rPr>
        <w:t xml:space="preserve"> </w:t>
      </w:r>
      <w:r w:rsidRPr="009046A7">
        <w:rPr>
          <w:rFonts w:cs="Arial"/>
          <w:rtl/>
        </w:rPr>
        <w:t>עשה עבדו אפותיקי ושחררו הלוה משוחרר וזה גובה חובו ממקום אחר</w:t>
      </w:r>
      <w:r>
        <w:rPr>
          <w:rFonts w:cs="Arial" w:hint="cs"/>
          <w:rtl/>
        </w:rPr>
        <w:t>, רש"י.</w:t>
      </w:r>
    </w:p>
  </w:footnote>
  <w:footnote w:id="1526">
    <w:p w14:paraId="1D28C11A" w14:textId="77777777" w:rsidR="00DF1FC7" w:rsidRDefault="00DF1FC7" w:rsidP="002E5BAD">
      <w:pPr>
        <w:pStyle w:val="a5"/>
      </w:pPr>
      <w:r>
        <w:rPr>
          <w:rStyle w:val="a7"/>
        </w:rPr>
        <w:footnoteRef/>
      </w:r>
      <w:r>
        <w:rPr>
          <w:rtl/>
        </w:rPr>
        <w:t xml:space="preserve"> </w:t>
      </w:r>
      <w:r w:rsidRPr="00ED6178">
        <w:rPr>
          <w:rFonts w:cs="Arial"/>
          <w:rtl/>
        </w:rPr>
        <w:t>מאי איריא דקתני שמא יגרשנה מהשתא נמי קדיש</w:t>
      </w:r>
      <w:r>
        <w:rPr>
          <w:rFonts w:cs="Arial" w:hint="cs"/>
          <w:rtl/>
        </w:rPr>
        <w:t>, רש"י.</w:t>
      </w:r>
    </w:p>
  </w:footnote>
  <w:footnote w:id="1527">
    <w:p w14:paraId="3F84B7DF" w14:textId="77777777" w:rsidR="00DF1FC7" w:rsidRDefault="00DF1FC7" w:rsidP="002E5BAD">
      <w:pPr>
        <w:pStyle w:val="a5"/>
      </w:pPr>
      <w:r>
        <w:rPr>
          <w:rStyle w:val="a7"/>
        </w:rPr>
        <w:footnoteRef/>
      </w:r>
      <w:r>
        <w:rPr>
          <w:rtl/>
        </w:rPr>
        <w:t xml:space="preserve"> </w:t>
      </w:r>
      <w:r w:rsidRPr="00797EDF">
        <w:rPr>
          <w:rFonts w:cs="Arial"/>
          <w:rtl/>
        </w:rPr>
        <w:t>בעודה תחתיו דשויוהו רבנן כלוקח גמור ולא כמלוה</w:t>
      </w:r>
      <w:r>
        <w:rPr>
          <w:rFonts w:cs="Arial" w:hint="cs"/>
          <w:rtl/>
        </w:rPr>
        <w:t>, רש"י.</w:t>
      </w:r>
    </w:p>
  </w:footnote>
  <w:footnote w:id="1528">
    <w:p w14:paraId="618EAD0B" w14:textId="77777777" w:rsidR="00DF1FC7" w:rsidRDefault="00DF1FC7" w:rsidP="002E5BAD">
      <w:pPr>
        <w:pStyle w:val="a5"/>
        <w:rPr>
          <w:rtl/>
        </w:rPr>
      </w:pPr>
      <w:r>
        <w:rPr>
          <w:rStyle w:val="a7"/>
        </w:rPr>
        <w:footnoteRef/>
      </w:r>
      <w:r>
        <w:rPr>
          <w:rtl/>
        </w:rPr>
        <w:t xml:space="preserve"> </w:t>
      </w:r>
      <w:r>
        <w:rPr>
          <w:rFonts w:cs="Arial"/>
          <w:rtl/>
        </w:rPr>
        <w:t>אהא דאמר שמואל הלכה כרבי יוחנן הסנדלר כתב הר"ן (כג: ד"ה גמ') דקסבר אין אדם מקדיש דבר שלא בא לעולם הילכך משמע דאפילו במעלה לה מזונות ומעלה לה מעה כסף לצרכיה אין הקדשו חל לא במעשה ידיה ולא במותר דכולהו דבר שלא בא לעולם נינהו</w:t>
      </w:r>
      <w:r>
        <w:rPr>
          <w:rFonts w:cs="Arial" w:hint="cs"/>
          <w:rtl/>
        </w:rPr>
        <w:t>.</w:t>
      </w:r>
      <w:r>
        <w:rPr>
          <w:rFonts w:cs="Arial"/>
          <w:rtl/>
        </w:rPr>
        <w:t xml:space="preserve"> והרמב"ם כתב בפ</w:t>
      </w:r>
      <w:r>
        <w:rPr>
          <w:rFonts w:cs="Arial" w:hint="cs"/>
          <w:rtl/>
        </w:rPr>
        <w:t>"</w:t>
      </w:r>
      <w:r>
        <w:rPr>
          <w:rFonts w:cs="Arial"/>
          <w:rtl/>
        </w:rPr>
        <w:t>ו מהל</w:t>
      </w:r>
      <w:r>
        <w:rPr>
          <w:rFonts w:cs="Arial" w:hint="cs"/>
          <w:rtl/>
        </w:rPr>
        <w:t>'</w:t>
      </w:r>
      <w:r>
        <w:rPr>
          <w:rFonts w:cs="Arial"/>
          <w:rtl/>
        </w:rPr>
        <w:t xml:space="preserve"> ערכין (הל' כו, כח)</w:t>
      </w:r>
      <w:r>
        <w:rPr>
          <w:rFonts w:cs="Arial" w:hint="cs"/>
          <w:rtl/>
        </w:rPr>
        <w:t>...</w:t>
      </w:r>
      <w:r>
        <w:rPr>
          <w:rFonts w:cs="Arial"/>
          <w:rtl/>
        </w:rPr>
        <w:t xml:space="preserve"> אמר לה יקדשו ידיך לעושיהן הואיל והם משועבדים לו הרי כל מעשה ידיה קודש</w:t>
      </w:r>
      <w:r>
        <w:rPr>
          <w:rFonts w:cs="Arial" w:hint="cs"/>
          <w:rtl/>
        </w:rPr>
        <w:t>...</w:t>
      </w:r>
      <w:r>
        <w:rPr>
          <w:rFonts w:cs="Arial"/>
          <w:rtl/>
        </w:rPr>
        <w:t xml:space="preserve"> ע"כ</w:t>
      </w:r>
      <w:r>
        <w:rPr>
          <w:rFonts w:cs="Arial" w:hint="cs"/>
          <w:rtl/>
        </w:rPr>
        <w:t>.</w:t>
      </w:r>
      <w:r>
        <w:rPr>
          <w:rFonts w:cs="Arial"/>
          <w:rtl/>
        </w:rPr>
        <w:t xml:space="preserve"> ולא ידעתי למה דבגמרא (נח:) אמרינן דהא דרב הונא אמר רב דאמר יכולה אשה שתאמר לבעלה וכו' פליגא אדריש לקיש</w:t>
      </w:r>
      <w:r>
        <w:rPr>
          <w:rFonts w:cs="Arial" w:hint="cs"/>
          <w:rtl/>
        </w:rPr>
        <w:t>,</w:t>
      </w:r>
      <w:r>
        <w:rPr>
          <w:rFonts w:cs="Arial"/>
          <w:rtl/>
        </w:rPr>
        <w:t xml:space="preserve"> דאמר לא תימא טעמא דרבי מאיר דאמר במתניתין הקדש משום דקסבר אדם מקדיש דבר שלא בא לעולם אלא טעמא דרבי מאיר מתוך שיכול לכופה למעשה ידיה נעשה כמאן דאמר לה יקדשו ידיך לעושיהן וידים הא איתנהו בעולם</w:t>
      </w:r>
      <w:r>
        <w:rPr>
          <w:rFonts w:cs="Arial" w:hint="cs"/>
          <w:rtl/>
        </w:rPr>
        <w:t>,</w:t>
      </w:r>
      <w:r>
        <w:rPr>
          <w:rFonts w:cs="Arial"/>
          <w:rtl/>
        </w:rPr>
        <w:t xml:space="preserve"> ומשמע מתוך שיכול לכופה דס"ל דאינה יכולה לומר איני נזונת הוא דאי א"ל יקדשו ידיך לעושיהן מהני אבל</w:t>
      </w:r>
      <w:r>
        <w:rPr>
          <w:rFonts w:hint="cs"/>
          <w:rtl/>
        </w:rPr>
        <w:t>-...</w:t>
      </w:r>
    </w:p>
  </w:footnote>
  <w:footnote w:id="1529">
    <w:p w14:paraId="39916054" w14:textId="77777777" w:rsidR="00DF1FC7" w:rsidRDefault="00DF1FC7" w:rsidP="002E5BAD">
      <w:pPr>
        <w:pStyle w:val="a5"/>
      </w:pPr>
      <w:r>
        <w:rPr>
          <w:rStyle w:val="a7"/>
        </w:rPr>
        <w:footnoteRef/>
      </w:r>
      <w:r>
        <w:rPr>
          <w:rtl/>
        </w:rPr>
        <w:t xml:space="preserve"> </w:t>
      </w:r>
      <w:r>
        <w:rPr>
          <w:rFonts w:cs="Arial"/>
          <w:rtl/>
        </w:rPr>
        <w:t>ולא מצית אמרת דכי צריכי לטעמא דיכולה וכו' היינו לומר דנעשה כמ"ד להו וכו' אבל אם אמר לה בפירוש אפילו בלאו האי טעמא מהני</w:t>
      </w:r>
      <w:r>
        <w:rPr>
          <w:rFonts w:cs="Arial" w:hint="cs"/>
          <w:rtl/>
        </w:rPr>
        <w:t>,</w:t>
      </w:r>
      <w:r>
        <w:rPr>
          <w:rFonts w:cs="Arial"/>
          <w:rtl/>
        </w:rPr>
        <w:t xml:space="preserve"> דאם איתא דמהני אפילו לא אמר לה לא צריכין להאי טעמא דכיון דשמעינן ליה לרבי מאיר דאמר אין אדם מוציא דבריו לבטלה כדאיתא בגמרא (נח:) כמאן דאמר לה דמי</w:t>
      </w:r>
      <w:r>
        <w:rPr>
          <w:rFonts w:cs="Arial" w:hint="cs"/>
          <w:rtl/>
        </w:rPr>
        <w:t>,</w:t>
      </w:r>
      <w:r>
        <w:rPr>
          <w:rFonts w:cs="Arial"/>
          <w:rtl/>
        </w:rPr>
        <w:t xml:space="preserve"> אלא ודאי לדידן דקיי"ל דיכולה אשה וכו' אפילו כי אמר לה </w:t>
      </w:r>
      <w:r>
        <w:rPr>
          <w:rFonts w:cs="Arial" w:hint="cs"/>
          <w:rtl/>
        </w:rPr>
        <w:t xml:space="preserve">- </w:t>
      </w:r>
      <w:r>
        <w:rPr>
          <w:rFonts w:cs="Arial"/>
          <w:rtl/>
        </w:rPr>
        <w:t>לא מהני</w:t>
      </w:r>
      <w:r>
        <w:rPr>
          <w:rFonts w:cs="Arial" w:hint="cs"/>
          <w:rtl/>
        </w:rPr>
        <w:t>.</w:t>
      </w:r>
      <w:r>
        <w:rPr>
          <w:rFonts w:cs="Arial"/>
          <w:rtl/>
        </w:rPr>
        <w:t xml:space="preserve"> ואע</w:t>
      </w:r>
      <w:r>
        <w:rPr>
          <w:rFonts w:cs="Arial" w:hint="cs"/>
          <w:rtl/>
        </w:rPr>
        <w:t>"</w:t>
      </w:r>
      <w:r>
        <w:rPr>
          <w:rFonts w:cs="Arial"/>
          <w:rtl/>
        </w:rPr>
        <w:t>ג דתנן קונם שאני עושה לפיך אין צריך להפר ומשמע דלא פליגא אדרב</w:t>
      </w:r>
      <w:r>
        <w:rPr>
          <w:rFonts w:cs="Arial" w:hint="cs"/>
          <w:rtl/>
        </w:rPr>
        <w:t>,</w:t>
      </w:r>
      <w:r>
        <w:rPr>
          <w:rFonts w:cs="Arial"/>
          <w:rtl/>
        </w:rPr>
        <w:t xml:space="preserve"> היינו טעמא משום דכיון דנזונת משל בעל משעבדא ליה כל שלא אמרה בפירוש איני נזונת</w:t>
      </w:r>
      <w:r>
        <w:rPr>
          <w:rFonts w:cs="Arial" w:hint="cs"/>
          <w:rtl/>
        </w:rPr>
        <w:t>,</w:t>
      </w:r>
      <w:r>
        <w:rPr>
          <w:rFonts w:cs="Arial"/>
          <w:rtl/>
        </w:rPr>
        <w:t xml:space="preserve"> ואפילו הכי מעשה ידיה לא באו לעולם ולא מצי אמר יקדשו ידיך לעושיהם כיון שהיא יכולה להפקיע וכמו שכתבתי ולפיכך לא נתבררו לי דברי הרמב"ם</w:t>
      </w:r>
      <w:r>
        <w:rPr>
          <w:rFonts w:cs="Arial" w:hint="cs"/>
          <w:rtl/>
        </w:rPr>
        <w:t>.</w:t>
      </w:r>
      <w:r>
        <w:rPr>
          <w:rFonts w:cs="Arial"/>
          <w:rtl/>
        </w:rPr>
        <w:t xml:space="preserve"> עכ"ל</w:t>
      </w:r>
      <w:r w:rsidRPr="004A7B98">
        <w:rPr>
          <w:rFonts w:cs="Arial"/>
          <w:rtl/>
        </w:rPr>
        <w:t xml:space="preserve"> </w:t>
      </w:r>
      <w:r>
        <w:rPr>
          <w:rFonts w:cs="Arial" w:hint="cs"/>
          <w:rtl/>
        </w:rPr>
        <w:t xml:space="preserve">הר"ן. וכתב הדרכ"מ (אות </w:t>
      </w:r>
      <w:r w:rsidRPr="004A7B98">
        <w:rPr>
          <w:rFonts w:cs="Arial"/>
          <w:rtl/>
        </w:rPr>
        <w:t xml:space="preserve">א) </w:t>
      </w:r>
      <w:r>
        <w:rPr>
          <w:rFonts w:cs="Arial" w:hint="cs"/>
          <w:rtl/>
        </w:rPr>
        <w:t>ד</w:t>
      </w:r>
      <w:r w:rsidRPr="004A7B98">
        <w:rPr>
          <w:rFonts w:cs="Arial"/>
          <w:rtl/>
        </w:rPr>
        <w:t xml:space="preserve">כן משמעות דברי רבינו בעל הטור. ובמרדכי </w:t>
      </w:r>
      <w:r>
        <w:rPr>
          <w:rFonts w:cs="Arial" w:hint="cs"/>
          <w:rtl/>
        </w:rPr>
        <w:t>(</w:t>
      </w:r>
      <w:r w:rsidRPr="004A7B98">
        <w:rPr>
          <w:rFonts w:cs="Arial"/>
          <w:rtl/>
        </w:rPr>
        <w:t xml:space="preserve">ריש המדיר סי' קצה) </w:t>
      </w:r>
      <w:r>
        <w:rPr>
          <w:rFonts w:cs="Arial" w:hint="cs"/>
          <w:rtl/>
        </w:rPr>
        <w:t xml:space="preserve">כתוב </w:t>
      </w:r>
      <w:r w:rsidRPr="004A7B98">
        <w:rPr>
          <w:rFonts w:cs="Arial"/>
          <w:rtl/>
        </w:rPr>
        <w:t>דאין חלוק בין אם אסרה על הבעל לבד או אסרה על כל העולם אלא שבאסרה על כל העולם חל ההקדש אפילו בעודה תחתיו וצריך להפר, ועיין באלו הדינים בי"ד סימן רל"ד</w:t>
      </w:r>
      <w:r>
        <w:rPr>
          <w:rFonts w:cs="Arial" w:hint="cs"/>
          <w:rtl/>
        </w:rPr>
        <w:t>.</w:t>
      </w:r>
    </w:p>
  </w:footnote>
  <w:footnote w:id="1530">
    <w:p w14:paraId="19294E7C" w14:textId="77777777" w:rsidR="00DF1FC7" w:rsidRDefault="00DF1FC7" w:rsidP="002E5BAD">
      <w:pPr>
        <w:pStyle w:val="a5"/>
        <w:rPr>
          <w:rtl/>
        </w:rPr>
      </w:pPr>
      <w:r>
        <w:rPr>
          <w:rStyle w:val="a7"/>
        </w:rPr>
        <w:footnoteRef/>
      </w:r>
      <w:r>
        <w:rPr>
          <w:rtl/>
        </w:rPr>
        <w:t xml:space="preserve"> </w:t>
      </w:r>
      <w:r>
        <w:rPr>
          <w:rFonts w:cs="Arial"/>
          <w:rtl/>
        </w:rPr>
        <w:t xml:space="preserve">נראה מדברי הרא"ש </w:t>
      </w:r>
      <w:r w:rsidRPr="00702703">
        <w:rPr>
          <w:rFonts w:cs="Arial" w:hint="cs"/>
          <w:sz w:val="16"/>
          <w:szCs w:val="16"/>
          <w:rtl/>
        </w:rPr>
        <w:t>(</w:t>
      </w:r>
      <w:r>
        <w:rPr>
          <w:rFonts w:cs="Arial" w:hint="cs"/>
          <w:sz w:val="16"/>
          <w:szCs w:val="16"/>
          <w:rtl/>
        </w:rPr>
        <w:t>שם</w:t>
      </w:r>
      <w:r w:rsidRPr="00702703">
        <w:rPr>
          <w:rFonts w:cs="Arial" w:hint="cs"/>
          <w:sz w:val="16"/>
          <w:szCs w:val="16"/>
          <w:rtl/>
        </w:rPr>
        <w:t>)</w:t>
      </w:r>
      <w:r w:rsidRPr="00702703">
        <w:rPr>
          <w:rFonts w:cs="Arial"/>
          <w:sz w:val="16"/>
          <w:szCs w:val="16"/>
          <w:rtl/>
        </w:rPr>
        <w:t xml:space="preserve"> </w:t>
      </w:r>
      <w:r>
        <w:rPr>
          <w:rFonts w:cs="Arial"/>
          <w:rtl/>
        </w:rPr>
        <w:t xml:space="preserve">דלמסקנא הדרינן ממאי דאוקימנא בדאמרה </w:t>
      </w:r>
      <w:r>
        <w:rPr>
          <w:rFonts w:cs="Arial" w:hint="cs"/>
          <w:rtl/>
        </w:rPr>
        <w:t>'</w:t>
      </w:r>
      <w:r>
        <w:rPr>
          <w:rFonts w:cs="Arial"/>
          <w:rtl/>
        </w:rPr>
        <w:t>לכי מיגרשה</w:t>
      </w:r>
      <w:r>
        <w:rPr>
          <w:rFonts w:cs="Arial" w:hint="cs"/>
          <w:rtl/>
        </w:rPr>
        <w:t>',</w:t>
      </w:r>
      <w:r>
        <w:rPr>
          <w:rFonts w:cs="Arial"/>
          <w:rtl/>
        </w:rPr>
        <w:t xml:space="preserve"> דאפילו לא אמרה הכי נמי חייל נדרא לכשתתגרש</w:t>
      </w:r>
      <w:r>
        <w:rPr>
          <w:rFonts w:cs="Arial" w:hint="cs"/>
          <w:rtl/>
        </w:rPr>
        <w:t>,</w:t>
      </w:r>
      <w:r>
        <w:rPr>
          <w:rFonts w:cs="Arial"/>
          <w:rtl/>
        </w:rPr>
        <w:t xml:space="preserve"> דבדין הוא דאפילו בעודה תחתיו ליחול</w:t>
      </w:r>
      <w:r>
        <w:rPr>
          <w:rFonts w:cs="Arial" w:hint="cs"/>
          <w:rtl/>
        </w:rPr>
        <w:t>,</w:t>
      </w:r>
      <w:r>
        <w:rPr>
          <w:rFonts w:cs="Arial"/>
          <w:rtl/>
        </w:rPr>
        <w:t xml:space="preserve"> אלא דאלמוה רבנן לשעבודיה</w:t>
      </w:r>
      <w:r>
        <w:rPr>
          <w:rFonts w:cs="Arial" w:hint="cs"/>
          <w:rtl/>
        </w:rPr>
        <w:t xml:space="preserve">, </w:t>
      </w:r>
      <w:r>
        <w:rPr>
          <w:rFonts w:cs="Arial"/>
          <w:rtl/>
        </w:rPr>
        <w:t>ומכל מקום באומרת יקדשו ידי לעושיהן עסקינן</w:t>
      </w:r>
      <w:r>
        <w:rPr>
          <w:rFonts w:cs="Arial" w:hint="cs"/>
          <w:rtl/>
        </w:rPr>
        <w:t>,</w:t>
      </w:r>
      <w:r>
        <w:rPr>
          <w:rFonts w:cs="Arial"/>
          <w:rtl/>
        </w:rPr>
        <w:t xml:space="preserve"> דאי לאו הכי אין הנדר חל אפילו לכשתתגרש</w:t>
      </w:r>
      <w:r>
        <w:rPr>
          <w:rFonts w:cs="Arial" w:hint="cs"/>
          <w:rtl/>
        </w:rPr>
        <w:t>,</w:t>
      </w:r>
      <w:r>
        <w:rPr>
          <w:rFonts w:cs="Arial"/>
          <w:rtl/>
        </w:rPr>
        <w:t xml:space="preserve"> דאין אדם מקדיש דבר שלא בא לעולם</w:t>
      </w:r>
      <w:r>
        <w:rPr>
          <w:rFonts w:cs="Arial" w:hint="cs"/>
          <w:rtl/>
        </w:rPr>
        <w:t>,</w:t>
      </w:r>
      <w:r>
        <w:rPr>
          <w:rFonts w:cs="Arial"/>
          <w:rtl/>
        </w:rPr>
        <w:t xml:space="preserve"> וכך הם דברי רבינו</w:t>
      </w:r>
      <w:r>
        <w:rPr>
          <w:rFonts w:hint="cs"/>
          <w:rtl/>
        </w:rPr>
        <w:t>, ב"י.</w:t>
      </w:r>
    </w:p>
  </w:footnote>
  <w:footnote w:id="1531">
    <w:p w14:paraId="60B4A7F6" w14:textId="77777777" w:rsidR="00DF1FC7" w:rsidRDefault="00DF1FC7" w:rsidP="002E5BAD">
      <w:pPr>
        <w:pStyle w:val="a5"/>
      </w:pPr>
      <w:r>
        <w:rPr>
          <w:rStyle w:val="a7"/>
        </w:rPr>
        <w:footnoteRef/>
      </w:r>
      <w:r>
        <w:rPr>
          <w:rtl/>
        </w:rPr>
        <w:t xml:space="preserve"> </w:t>
      </w:r>
      <w:r>
        <w:rPr>
          <w:rFonts w:cs="Arial"/>
          <w:rtl/>
        </w:rPr>
        <w:t>וטענת הר"ן (כתובות כד. ד"ה ופרכינן) עליו כתבתי בטור יורה דעה סימן רל"ד (קס: ד"ה ומ"ש וכגון)</w:t>
      </w:r>
      <w:r>
        <w:rPr>
          <w:rFonts w:cs="Arial" w:hint="cs"/>
          <w:rtl/>
        </w:rPr>
        <w:t>, ב"י.</w:t>
      </w:r>
    </w:p>
  </w:footnote>
  <w:footnote w:id="1532">
    <w:p w14:paraId="0D9C7C0F" w14:textId="77777777" w:rsidR="00DF1FC7" w:rsidRDefault="00DF1FC7" w:rsidP="002E5BAD">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1533">
    <w:p w14:paraId="4750104F" w14:textId="77777777" w:rsidR="00DF1FC7" w:rsidRDefault="00DF1FC7" w:rsidP="002E5BAD">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1534">
    <w:p w14:paraId="658E7DC4" w14:textId="77777777" w:rsidR="00DF1FC7" w:rsidRDefault="00DF1FC7" w:rsidP="002E5BAD">
      <w:pPr>
        <w:pStyle w:val="a5"/>
      </w:pPr>
      <w:r>
        <w:rPr>
          <w:rStyle w:val="a7"/>
        </w:rPr>
        <w:footnoteRef/>
      </w:r>
      <w:r>
        <w:rPr>
          <w:rtl/>
        </w:rPr>
        <w:t xml:space="preserve"> </w:t>
      </w:r>
      <w:r w:rsidRPr="001600AB">
        <w:rPr>
          <w:rFonts w:cs="Arial"/>
          <w:rtl/>
        </w:rPr>
        <w:t>אפי' אם נותן לה מזונו' ומעה כסף א"י להקדיש דאין אדם מקדיש דבר שלא בא לעולם ואפילו אם מקדיש מעשה ידיו עושה ואוכל דאין הקדש חל על מ"י דהא דשב"ל הוא כמ"ש בתו' כתובו' דף נ"ט ח"מ</w:t>
      </w:r>
      <w:r>
        <w:rPr>
          <w:rFonts w:cs="Arial" w:hint="cs"/>
          <w:rtl/>
        </w:rPr>
        <w:t xml:space="preserve"> (סק"א), ב"ש (סק"א). ודלא כהב"ח.</w:t>
      </w:r>
    </w:p>
  </w:footnote>
  <w:footnote w:id="1535">
    <w:p w14:paraId="267BA497" w14:textId="77777777" w:rsidR="00DF1FC7" w:rsidRDefault="00DF1FC7" w:rsidP="002E5BAD">
      <w:pPr>
        <w:pStyle w:val="a5"/>
        <w:rPr>
          <w:rtl/>
        </w:rPr>
      </w:pPr>
      <w:r>
        <w:rPr>
          <w:rStyle w:val="a7"/>
        </w:rPr>
        <w:footnoteRef/>
      </w:r>
      <w:r>
        <w:rPr>
          <w:rtl/>
        </w:rPr>
        <w:t xml:space="preserve"> </w:t>
      </w:r>
      <w:r w:rsidRPr="001600AB">
        <w:rPr>
          <w:rFonts w:cs="Arial"/>
          <w:rtl/>
        </w:rPr>
        <w:t>אפילו הוא בעצמו רשאי ליהנו' ממנו תוס'</w:t>
      </w:r>
      <w:r>
        <w:rPr>
          <w:rFonts w:hint="cs"/>
          <w:rtl/>
        </w:rPr>
        <w:t>, ב"ש (סק"ב).</w:t>
      </w:r>
    </w:p>
  </w:footnote>
  <w:footnote w:id="1536">
    <w:p w14:paraId="70660D45" w14:textId="77777777" w:rsidR="00DF1FC7" w:rsidRDefault="00DF1FC7" w:rsidP="002E5BAD">
      <w:pPr>
        <w:pStyle w:val="a5"/>
      </w:pPr>
      <w:r>
        <w:rPr>
          <w:rStyle w:val="a7"/>
        </w:rPr>
        <w:footnoteRef/>
      </w:r>
      <w:r>
        <w:rPr>
          <w:rtl/>
        </w:rPr>
        <w:t xml:space="preserve"> </w:t>
      </w:r>
      <w:r w:rsidRPr="001600AB">
        <w:rPr>
          <w:rFonts w:cs="Arial"/>
          <w:rtl/>
        </w:rPr>
        <w:t>היינו בנותן לה מזונות ומעה כסף דאז כל מעשה ידיה הם שלו ויכול להקדישן אבל באינו נותן לה או בהיא אומרת איני ניזוני' ואיני נוטל' מעה כסף אינו יכול להקדיש דבר שאינו שלו</w:t>
      </w:r>
      <w:r>
        <w:rPr>
          <w:rFonts w:cs="Arial" w:hint="cs"/>
          <w:rtl/>
        </w:rPr>
        <w:t>, ח"מ (סק"ג)</w:t>
      </w:r>
      <w:r>
        <w:rPr>
          <w:rFonts w:hint="cs"/>
          <w:rtl/>
        </w:rPr>
        <w:t>.</w:t>
      </w:r>
    </w:p>
  </w:footnote>
  <w:footnote w:id="1537">
    <w:p w14:paraId="1617F6CC" w14:textId="77777777" w:rsidR="00DF1FC7" w:rsidRDefault="00DF1FC7" w:rsidP="002E5BAD">
      <w:pPr>
        <w:pStyle w:val="a5"/>
      </w:pPr>
      <w:r>
        <w:rPr>
          <w:rStyle w:val="a7"/>
        </w:rPr>
        <w:footnoteRef/>
      </w:r>
      <w:r>
        <w:rPr>
          <w:rtl/>
        </w:rPr>
        <w:t xml:space="preserve"> </w:t>
      </w:r>
      <w:r w:rsidRPr="001600AB">
        <w:rPr>
          <w:rFonts w:cs="Arial"/>
          <w:rtl/>
        </w:rPr>
        <w:t>והא דלא קאמר הטעם שמא תאמר איני ניזונת משום דלא שכיח</w:t>
      </w:r>
      <w:r>
        <w:rPr>
          <w:rFonts w:cs="Arial" w:hint="cs"/>
          <w:rtl/>
        </w:rPr>
        <w:t>.</w:t>
      </w:r>
      <w:r w:rsidRPr="001600AB">
        <w:rPr>
          <w:rFonts w:cs="Arial"/>
          <w:rtl/>
        </w:rPr>
        <w:t xml:space="preserve"> תוס'</w:t>
      </w:r>
      <w:r>
        <w:rPr>
          <w:rFonts w:cs="Arial" w:hint="cs"/>
          <w:rtl/>
        </w:rPr>
        <w:t>.</w:t>
      </w:r>
      <w:r w:rsidRPr="001600AB">
        <w:rPr>
          <w:rFonts w:cs="Arial"/>
          <w:rtl/>
        </w:rPr>
        <w:t xml:space="preserve"> והא דהבעל מיפר אע</w:t>
      </w:r>
      <w:r>
        <w:rPr>
          <w:rFonts w:cs="Arial" w:hint="cs"/>
          <w:rtl/>
        </w:rPr>
        <w:t>"</w:t>
      </w:r>
      <w:r w:rsidRPr="001600AB">
        <w:rPr>
          <w:rFonts w:cs="Arial"/>
          <w:rtl/>
        </w:rPr>
        <w:t>ג דלא חל מיד ואין אסור לו מ"מ אזלינן אחר שעת הנדר גם כיון ע"פ הדין היה ראוי לחול מיד אלא חז"ל אלמוה שיעבוד דידיה היינו לטובתו עשאו זאת ולא לריעות' כ"כ הר"ן, והא דלא אמרינן כשנדרה ואסרה תשמיש דצריך להפר משום שמא יגרשנה ותהיה אסורה עליו עיין בי"ד שם</w:t>
      </w:r>
      <w:r>
        <w:rPr>
          <w:rFonts w:cs="Arial" w:hint="cs"/>
          <w:rtl/>
        </w:rPr>
        <w:t>, ב"ש</w:t>
      </w:r>
      <w:r w:rsidRPr="001563D1">
        <w:rPr>
          <w:rFonts w:cs="Arial" w:hint="cs"/>
          <w:sz w:val="16"/>
          <w:szCs w:val="16"/>
          <w:rtl/>
        </w:rPr>
        <w:t xml:space="preserve"> (סק"ו)</w:t>
      </w:r>
      <w:r>
        <w:rPr>
          <w:rFonts w:cs="Arial" w:hint="cs"/>
          <w:rtl/>
        </w:rPr>
        <w:t>.</w:t>
      </w:r>
    </w:p>
  </w:footnote>
  <w:footnote w:id="1538">
    <w:p w14:paraId="3063A4C9" w14:textId="77777777" w:rsidR="00DF1FC7" w:rsidRDefault="00DF1FC7" w:rsidP="002E5BAD">
      <w:pPr>
        <w:pStyle w:val="a5"/>
      </w:pPr>
      <w:r>
        <w:rPr>
          <w:rStyle w:val="a7"/>
        </w:rPr>
        <w:footnoteRef/>
      </w:r>
      <w:r>
        <w:rPr>
          <w:rtl/>
        </w:rPr>
        <w:t xml:space="preserve"> </w:t>
      </w:r>
      <w:r w:rsidRPr="00483EA1">
        <w:rPr>
          <w:rFonts w:cs="Arial"/>
          <w:rtl/>
        </w:rPr>
        <w:t>היינו שאסרה את הנקה עליו</w:t>
      </w:r>
      <w:r>
        <w:rPr>
          <w:rFonts w:cs="Arial" w:hint="cs"/>
          <w:rtl/>
        </w:rPr>
        <w:t>,</w:t>
      </w:r>
      <w:r w:rsidRPr="00483EA1">
        <w:rPr>
          <w:rFonts w:cs="Arial"/>
          <w:rtl/>
        </w:rPr>
        <w:t xml:space="preserve"> אז אין הנדר חל</w:t>
      </w:r>
      <w:r>
        <w:rPr>
          <w:rFonts w:cs="Arial" w:hint="cs"/>
          <w:rtl/>
        </w:rPr>
        <w:t>,</w:t>
      </w:r>
      <w:r w:rsidRPr="00483EA1">
        <w:rPr>
          <w:rFonts w:cs="Arial"/>
          <w:rtl/>
        </w:rPr>
        <w:t xml:space="preserve"> דהא היא חייבת להניק כשהיא עניה ולא הכניסה לו שתי שפחות</w:t>
      </w:r>
      <w:r>
        <w:rPr>
          <w:rFonts w:cs="Arial" w:hint="cs"/>
          <w:rtl/>
        </w:rPr>
        <w:t>,</w:t>
      </w:r>
      <w:r w:rsidRPr="00483EA1">
        <w:rPr>
          <w:rFonts w:cs="Arial"/>
          <w:rtl/>
        </w:rPr>
        <w:t xml:space="preserve"> אבל אם היא הכניסה לו שתי שפחו</w:t>
      </w:r>
      <w:r>
        <w:rPr>
          <w:rFonts w:cs="Arial" w:hint="cs"/>
          <w:rtl/>
        </w:rPr>
        <w:t>ת</w:t>
      </w:r>
      <w:r w:rsidRPr="00483EA1">
        <w:rPr>
          <w:rFonts w:cs="Arial"/>
          <w:rtl/>
        </w:rPr>
        <w:t xml:space="preserve"> אין חייבת להניק חל הנדר</w:t>
      </w:r>
      <w:r>
        <w:rPr>
          <w:rFonts w:cs="Arial" w:hint="cs"/>
          <w:rtl/>
        </w:rPr>
        <w:t>..., ב"ש (סק"א).</w:t>
      </w:r>
    </w:p>
  </w:footnote>
  <w:footnote w:id="1539">
    <w:p w14:paraId="79B58117" w14:textId="77777777" w:rsidR="00DF1FC7" w:rsidRPr="000603E4" w:rsidRDefault="00DF1FC7" w:rsidP="002E5BAD">
      <w:pPr>
        <w:pStyle w:val="a5"/>
        <w:rPr>
          <w:rtl/>
        </w:rPr>
      </w:pPr>
      <w:r w:rsidRPr="000603E4">
        <w:rPr>
          <w:rStyle w:val="a7"/>
        </w:rPr>
        <w:footnoteRef/>
      </w:r>
      <w:r w:rsidRPr="000603E4">
        <w:rPr>
          <w:rtl/>
        </w:rPr>
        <w:t xml:space="preserve"> </w:t>
      </w:r>
      <w:r w:rsidRPr="000603E4">
        <w:rPr>
          <w:rFonts w:cs="Arial"/>
          <w:rtl/>
        </w:rPr>
        <w:t>אע</w:t>
      </w:r>
      <w:r w:rsidRPr="000603E4">
        <w:rPr>
          <w:rFonts w:cs="Arial" w:hint="cs"/>
          <w:rtl/>
        </w:rPr>
        <w:t>"</w:t>
      </w:r>
      <w:r w:rsidRPr="000603E4">
        <w:rPr>
          <w:rFonts w:cs="Arial"/>
          <w:rtl/>
        </w:rPr>
        <w:t>ג דאוקמי שם אליב' דב"ה היא נתנה אצבע ב"ש לא קיימ' לן כן לפי המסקנ' אף על גב דבהג"א כתב היא נתנה אצבע ב"ש משום דהוא פוסק בכמה מקומו' כמ"ד היא נתנה אצבע ב"ש וכן פסק כשאומר' הנאת תשמיש עלי והוא לא היפר דתצא בלא כתובה משום היא נתנה אצבע ב"ש אבל אנן קי"ל הוא נותן אצבע ב"ש לכן אם לא היפר הוא חייב שכר הנקה</w:t>
      </w:r>
      <w:r w:rsidRPr="000603E4">
        <w:rPr>
          <w:rFonts w:cs="Arial" w:hint="cs"/>
          <w:rtl/>
        </w:rPr>
        <w:t>.</w:t>
      </w:r>
      <w:r w:rsidRPr="000603E4">
        <w:rPr>
          <w:rFonts w:cs="Arial"/>
          <w:rtl/>
        </w:rPr>
        <w:t xml:space="preserve"> ותימ</w:t>
      </w:r>
      <w:r w:rsidRPr="000603E4">
        <w:rPr>
          <w:rFonts w:cs="Arial" w:hint="cs"/>
          <w:rtl/>
        </w:rPr>
        <w:t>ה</w:t>
      </w:r>
      <w:r w:rsidRPr="000603E4">
        <w:rPr>
          <w:rFonts w:cs="Arial"/>
          <w:rtl/>
        </w:rPr>
        <w:t xml:space="preserve"> על</w:t>
      </w:r>
      <w:r w:rsidRPr="000603E4">
        <w:rPr>
          <w:rFonts w:cs="Arial" w:hint="cs"/>
          <w:rtl/>
        </w:rPr>
        <w:t xml:space="preserve"> </w:t>
      </w:r>
      <w:r w:rsidRPr="000603E4">
        <w:rPr>
          <w:rFonts w:cs="Arial"/>
          <w:rtl/>
        </w:rPr>
        <w:t>חלקת מחוקק שכתב אם לא היפר דהיא חייבת שכר הנקה</w:t>
      </w:r>
      <w:r w:rsidRPr="000603E4">
        <w:rPr>
          <w:rFonts w:cs="Arial" w:hint="cs"/>
          <w:rtl/>
        </w:rPr>
        <w:t>,</w:t>
      </w:r>
      <w:r w:rsidRPr="000603E4">
        <w:rPr>
          <w:rFonts w:cs="Arial"/>
          <w:rtl/>
        </w:rPr>
        <w:t xml:space="preserve"> ולית</w:t>
      </w:r>
      <w:r w:rsidRPr="000603E4">
        <w:rPr>
          <w:rFonts w:cs="Arial" w:hint="cs"/>
          <w:rtl/>
        </w:rPr>
        <w:t>א</w:t>
      </w:r>
      <w:r w:rsidRPr="000603E4">
        <w:rPr>
          <w:rFonts w:cs="Arial"/>
          <w:rtl/>
        </w:rPr>
        <w:t>, ועיין בסוגי' ונשמע משם אם לא הפר לה לא אמרינן מסני סני אותה אע</w:t>
      </w:r>
      <w:r w:rsidRPr="000603E4">
        <w:rPr>
          <w:rFonts w:cs="Arial" w:hint="cs"/>
          <w:rtl/>
        </w:rPr>
        <w:t>"</w:t>
      </w:r>
      <w:r w:rsidRPr="000603E4">
        <w:rPr>
          <w:rFonts w:cs="Arial"/>
          <w:rtl/>
        </w:rPr>
        <w:t>ג דאית לה צער כשאינה מניקה</w:t>
      </w:r>
      <w:r w:rsidRPr="000603E4">
        <w:rPr>
          <w:rFonts w:cs="Arial" w:hint="cs"/>
          <w:rtl/>
        </w:rPr>
        <w:t>.</w:t>
      </w:r>
      <w:r w:rsidRPr="000603E4">
        <w:rPr>
          <w:rFonts w:cs="Arial"/>
          <w:rtl/>
        </w:rPr>
        <w:t xml:space="preserve"> ואם הולד מכיר אותה ואיכ</w:t>
      </w:r>
      <w:r w:rsidRPr="000603E4">
        <w:rPr>
          <w:rFonts w:cs="Arial" w:hint="cs"/>
          <w:rtl/>
        </w:rPr>
        <w:t>א</w:t>
      </w:r>
      <w:r w:rsidRPr="000603E4">
        <w:rPr>
          <w:rFonts w:cs="Arial"/>
          <w:rtl/>
        </w:rPr>
        <w:t xml:space="preserve"> סכנה בדבר צ"ע אם הנדר חל</w:t>
      </w:r>
      <w:r w:rsidRPr="000603E4">
        <w:rPr>
          <w:rFonts w:hint="cs"/>
          <w:rtl/>
        </w:rPr>
        <w:t>, ב"ש (סק"א).</w:t>
      </w:r>
    </w:p>
  </w:footnote>
  <w:footnote w:id="1540">
    <w:p w14:paraId="432659E6" w14:textId="77777777" w:rsidR="00DF1FC7" w:rsidRDefault="00DF1FC7" w:rsidP="002E5BAD">
      <w:pPr>
        <w:pStyle w:val="a5"/>
      </w:pPr>
      <w:r>
        <w:rPr>
          <w:rStyle w:val="a7"/>
        </w:rPr>
        <w:footnoteRef/>
      </w:r>
      <w:r>
        <w:rPr>
          <w:rtl/>
        </w:rPr>
        <w:t xml:space="preserve"> </w:t>
      </w:r>
      <w:r>
        <w:rPr>
          <w:rFonts w:hint="cs"/>
          <w:rtl/>
        </w:rPr>
        <w:t xml:space="preserve">וז"ל- </w:t>
      </w:r>
      <w:r w:rsidRPr="007B430E">
        <w:rPr>
          <w:rFonts w:cs="Arial"/>
          <w:rtl/>
        </w:rPr>
        <w:t xml:space="preserve">היא אומרת אני אניק את בני והוא אינו רוצה שתניק אשתו כדי שלא תתנוול </w:t>
      </w:r>
      <w:r>
        <w:rPr>
          <w:rFonts w:cs="Arial" w:hint="cs"/>
          <w:rtl/>
        </w:rPr>
        <w:t xml:space="preserve">- </w:t>
      </w:r>
      <w:r w:rsidRPr="007B430E">
        <w:rPr>
          <w:rFonts w:cs="Arial"/>
          <w:rtl/>
        </w:rPr>
        <w:t>אף על פי שיש לה כמה שפחות שומעין לה</w:t>
      </w:r>
      <w:r>
        <w:rPr>
          <w:rFonts w:cs="Arial" w:hint="cs"/>
          <w:rtl/>
        </w:rPr>
        <w:t>,</w:t>
      </w:r>
      <w:r w:rsidRPr="007B430E">
        <w:rPr>
          <w:rFonts w:cs="Arial"/>
          <w:rtl/>
        </w:rPr>
        <w:t xml:space="preserve"> שצער הוא לה לפרוש מבנה</w:t>
      </w:r>
      <w:r>
        <w:rPr>
          <w:rFonts w:cs="Arial" w:hint="cs"/>
          <w:rtl/>
        </w:rPr>
        <w:t>.</w:t>
      </w:r>
    </w:p>
  </w:footnote>
  <w:footnote w:id="1541">
    <w:p w14:paraId="3153A0DA" w14:textId="77777777" w:rsidR="00DF1FC7" w:rsidRDefault="00DF1FC7" w:rsidP="002E5BAD">
      <w:pPr>
        <w:pStyle w:val="a5"/>
      </w:pPr>
      <w:r>
        <w:rPr>
          <w:rStyle w:val="a7"/>
        </w:rPr>
        <w:footnoteRef/>
      </w:r>
      <w:r>
        <w:rPr>
          <w:rtl/>
        </w:rPr>
        <w:t xml:space="preserve"> </w:t>
      </w:r>
      <w:r w:rsidRPr="005B171D">
        <w:rPr>
          <w:rFonts w:cs="Arial"/>
          <w:rtl/>
        </w:rPr>
        <w:t>מפני צער דידה שחלב מצער אותה אם יש לה הרבה חלב כ"כ רש"י והרמב"ם כתב הטעם דצער לה לפרוש מבנה ונ"מ אם תרצה להניק בן חברתה א"י הבעל לעכב לפרש"י ועיין סימן פ' ועיין בא"ח סי' ש"ה שם מבואר דמותר לומר לעכו"ם לחלוב הבהמה מפני צער בעל חי שהחלב מצער אותה וע"כ צ"ל כאן הרמב"ם מודה דאית לה צער מחמת החלב אלא כוונתו אפילו אם הבעל נותן לה תינוק אחר להניק מ"מ אית לה צער לפרוש מבנה</w:t>
      </w:r>
      <w:r>
        <w:rPr>
          <w:rFonts w:cs="Arial" w:hint="cs"/>
          <w:rtl/>
        </w:rPr>
        <w:t>, ב"ש (סק"ב).</w:t>
      </w:r>
    </w:p>
  </w:footnote>
  <w:footnote w:id="1542">
    <w:p w14:paraId="704E8BEE" w14:textId="77777777" w:rsidR="00DF1FC7" w:rsidRDefault="00DF1FC7" w:rsidP="002E5BAD">
      <w:pPr>
        <w:pStyle w:val="a5"/>
      </w:pPr>
      <w:r>
        <w:rPr>
          <w:rStyle w:val="a7"/>
        </w:rPr>
        <w:footnoteRef/>
      </w:r>
      <w:r>
        <w:rPr>
          <w:rtl/>
        </w:rPr>
        <w:t xml:space="preserve"> </w:t>
      </w:r>
      <w:r>
        <w:rPr>
          <w:rFonts w:hint="cs"/>
          <w:rtl/>
        </w:rPr>
        <w:t xml:space="preserve">וז"ל- </w:t>
      </w:r>
      <w:r w:rsidRPr="001941C7">
        <w:rPr>
          <w:rFonts w:cs="Arial"/>
          <w:rtl/>
        </w:rPr>
        <w:t>ואם הוא אומר שתניק</w:t>
      </w:r>
      <w:r>
        <w:rPr>
          <w:rFonts w:cs="Arial" w:hint="cs"/>
          <w:rtl/>
        </w:rPr>
        <w:t>,</w:t>
      </w:r>
      <w:r w:rsidRPr="001941C7">
        <w:rPr>
          <w:rFonts w:cs="Arial"/>
          <w:rtl/>
        </w:rPr>
        <w:t xml:space="preserve"> והיא אינה רוצה</w:t>
      </w:r>
      <w:r>
        <w:rPr>
          <w:rFonts w:cs="Arial" w:hint="cs"/>
          <w:rtl/>
        </w:rPr>
        <w:t>,</w:t>
      </w:r>
      <w:r w:rsidRPr="001941C7">
        <w:rPr>
          <w:rFonts w:cs="Arial"/>
          <w:rtl/>
        </w:rPr>
        <w:t xml:space="preserve"> אם אין בני משפחתו רגילין להניק </w:t>
      </w:r>
      <w:r>
        <w:rPr>
          <w:rFonts w:cs="Arial" w:hint="cs"/>
          <w:rtl/>
        </w:rPr>
        <w:t xml:space="preserve">- </w:t>
      </w:r>
      <w:r w:rsidRPr="001941C7">
        <w:rPr>
          <w:rFonts w:cs="Arial"/>
          <w:rtl/>
        </w:rPr>
        <w:t>שומעין לה ואפי</w:t>
      </w:r>
      <w:r>
        <w:rPr>
          <w:rFonts w:cs="Arial" w:hint="cs"/>
          <w:rtl/>
        </w:rPr>
        <w:t>לו</w:t>
      </w:r>
      <w:r w:rsidRPr="001941C7">
        <w:rPr>
          <w:rFonts w:cs="Arial"/>
          <w:rtl/>
        </w:rPr>
        <w:t xml:space="preserve"> בני משפחתה רגילין להניק</w:t>
      </w:r>
      <w:r>
        <w:rPr>
          <w:rFonts w:cs="Arial" w:hint="cs"/>
          <w:rtl/>
        </w:rPr>
        <w:t>.</w:t>
      </w:r>
    </w:p>
  </w:footnote>
  <w:footnote w:id="1543">
    <w:p w14:paraId="105B2745" w14:textId="77777777" w:rsidR="00DF1FC7" w:rsidRDefault="00DF1FC7" w:rsidP="002E5BAD">
      <w:pPr>
        <w:pStyle w:val="a5"/>
      </w:pPr>
      <w:r>
        <w:rPr>
          <w:rStyle w:val="a7"/>
        </w:rPr>
        <w:footnoteRef/>
      </w:r>
      <w:r>
        <w:rPr>
          <w:rtl/>
        </w:rPr>
        <w:t xml:space="preserve"> </w:t>
      </w:r>
      <w:r w:rsidRPr="001B5F1A">
        <w:rPr>
          <w:rFonts w:cs="Arial"/>
          <w:rtl/>
        </w:rPr>
        <w:t>כבר נתבאר לעיל סי' פ' סעי' י' דבכל המלאכו' הדין כך ונקט הנקה משום שיש כאן צד דפעמים היא רוצה להניק והבעל אינו רוצה</w:t>
      </w:r>
      <w:r>
        <w:rPr>
          <w:rFonts w:cs="Arial" w:hint="cs"/>
          <w:rtl/>
        </w:rPr>
        <w:t>, ח"מ (סק"ג).</w:t>
      </w:r>
    </w:p>
  </w:footnote>
  <w:footnote w:id="1544">
    <w:p w14:paraId="13FE34A5" w14:textId="77777777" w:rsidR="00DF1FC7" w:rsidRDefault="00DF1FC7" w:rsidP="002E5BAD">
      <w:pPr>
        <w:pStyle w:val="a5"/>
      </w:pPr>
      <w:r>
        <w:rPr>
          <w:rStyle w:val="a7"/>
        </w:rPr>
        <w:footnoteRef/>
      </w:r>
      <w:r>
        <w:rPr>
          <w:rtl/>
        </w:rPr>
        <w:t xml:space="preserve"> </w:t>
      </w:r>
      <w:r w:rsidRPr="001B5F1A">
        <w:rPr>
          <w:rFonts w:cs="Arial"/>
          <w:rtl/>
        </w:rPr>
        <w:t>כבר נתבאר לעיל סי' פ' סעיף ט' דאין כאן עסק שבועה בין איש לאשתו ועיין מ"ש שם</w:t>
      </w:r>
      <w:r>
        <w:rPr>
          <w:rFonts w:cs="Arial" w:hint="cs"/>
          <w:rtl/>
        </w:rPr>
        <w:t>, ח"מ (סק"ד).</w:t>
      </w:r>
    </w:p>
  </w:footnote>
  <w:footnote w:id="1545">
    <w:p w14:paraId="1A3668B9" w14:textId="77777777" w:rsidR="00DF1FC7" w:rsidRDefault="00DF1FC7" w:rsidP="002E5BAD">
      <w:pPr>
        <w:pStyle w:val="a5"/>
        <w:rPr>
          <w:rtl/>
        </w:rPr>
      </w:pPr>
      <w:r>
        <w:rPr>
          <w:rStyle w:val="a7"/>
        </w:rPr>
        <w:footnoteRef/>
      </w:r>
      <w:r>
        <w:rPr>
          <w:rtl/>
        </w:rPr>
        <w:t xml:space="preserve"> </w:t>
      </w:r>
      <w:r w:rsidRPr="00561297">
        <w:rPr>
          <w:rFonts w:cs="Arial"/>
          <w:rtl/>
        </w:rPr>
        <w:t>כמה חדשים אית לן למימר שיודע להכירה מלינק מאשה אחרת</w:t>
      </w:r>
      <w:r>
        <w:rPr>
          <w:rFonts w:hint="cs"/>
          <w:rtl/>
        </w:rPr>
        <w:t>, רש"י.</w:t>
      </w:r>
    </w:p>
  </w:footnote>
  <w:footnote w:id="1546">
    <w:p w14:paraId="345C3F53" w14:textId="77777777" w:rsidR="00DF1FC7" w:rsidRDefault="00DF1FC7" w:rsidP="002E5BAD">
      <w:pPr>
        <w:pStyle w:val="a5"/>
      </w:pPr>
      <w:r>
        <w:rPr>
          <w:rStyle w:val="a7"/>
        </w:rPr>
        <w:footnoteRef/>
      </w:r>
      <w:r>
        <w:rPr>
          <w:rtl/>
        </w:rPr>
        <w:t xml:space="preserve"> </w:t>
      </w:r>
      <w:r w:rsidRPr="00561297">
        <w:rPr>
          <w:rFonts w:cs="Arial"/>
          <w:rtl/>
        </w:rPr>
        <w:t>יש תינוק חריף ומכירה בחמשים יום ויש שאינו מכירה עד שלשה חדשים</w:t>
      </w:r>
      <w:r>
        <w:rPr>
          <w:rFonts w:cs="Arial" w:hint="cs"/>
          <w:rtl/>
        </w:rPr>
        <w:t>, רש"י.</w:t>
      </w:r>
    </w:p>
  </w:footnote>
  <w:footnote w:id="1547">
    <w:p w14:paraId="51F61CE2" w14:textId="77777777" w:rsidR="00DF1FC7" w:rsidRDefault="00DF1FC7" w:rsidP="002E5BAD">
      <w:pPr>
        <w:pStyle w:val="a5"/>
      </w:pPr>
      <w:r>
        <w:rPr>
          <w:rStyle w:val="a7"/>
        </w:rPr>
        <w:footnoteRef/>
      </w:r>
      <w:r>
        <w:rPr>
          <w:rtl/>
        </w:rPr>
        <w:t xml:space="preserve"> </w:t>
      </w:r>
      <w:r w:rsidRPr="00561297">
        <w:rPr>
          <w:rFonts w:cs="Arial"/>
          <w:rtl/>
        </w:rPr>
        <w:t>אין שיעור לדבר אלא בבדיקה הדבר תלוי אם אנו רואים שמכירה כופה ומניקתו בשכר</w:t>
      </w:r>
      <w:r>
        <w:rPr>
          <w:rFonts w:cs="Arial" w:hint="cs"/>
          <w:rtl/>
        </w:rPr>
        <w:t>, רש"י.</w:t>
      </w:r>
    </w:p>
  </w:footnote>
  <w:footnote w:id="1548">
    <w:p w14:paraId="69BED9C0" w14:textId="77777777" w:rsidR="00DF1FC7" w:rsidRDefault="00DF1FC7" w:rsidP="002E5BAD">
      <w:pPr>
        <w:pStyle w:val="a5"/>
      </w:pPr>
      <w:r>
        <w:rPr>
          <w:rStyle w:val="a7"/>
        </w:rPr>
        <w:footnoteRef/>
      </w:r>
      <w:r>
        <w:rPr>
          <w:rtl/>
        </w:rPr>
        <w:t xml:space="preserve"> </w:t>
      </w:r>
      <w:r>
        <w:rPr>
          <w:rFonts w:hint="cs"/>
          <w:rtl/>
        </w:rPr>
        <w:t xml:space="preserve">וז"ל- </w:t>
      </w:r>
      <w:r w:rsidRPr="00F2115F">
        <w:rPr>
          <w:rFonts w:cs="Arial"/>
          <w:rtl/>
        </w:rPr>
        <w:t>הלכה כרבי יצחק שאמר משום ר' יוחנן</w:t>
      </w:r>
      <w:r>
        <w:rPr>
          <w:rFonts w:cs="Arial" w:hint="cs"/>
          <w:rtl/>
        </w:rPr>
        <w:t>.</w:t>
      </w:r>
      <w:r w:rsidRPr="00F2115F">
        <w:rPr>
          <w:rFonts w:cs="Arial"/>
          <w:rtl/>
        </w:rPr>
        <w:t xml:space="preserve"> פי</w:t>
      </w:r>
      <w:r>
        <w:rPr>
          <w:rFonts w:cs="Arial" w:hint="cs"/>
          <w:rtl/>
        </w:rPr>
        <w:t>רוש,</w:t>
      </w:r>
      <w:r w:rsidRPr="00F2115F">
        <w:rPr>
          <w:rFonts w:cs="Arial"/>
          <w:rtl/>
        </w:rPr>
        <w:t xml:space="preserve"> פחות מבן חמשים</w:t>
      </w:r>
      <w:r>
        <w:rPr>
          <w:rFonts w:cs="Arial" w:hint="cs"/>
          <w:rtl/>
        </w:rPr>
        <w:t xml:space="preserve"> </w:t>
      </w:r>
      <w:r w:rsidRPr="00F2115F">
        <w:rPr>
          <w:rFonts w:cs="Arial"/>
          <w:rtl/>
        </w:rPr>
        <w:t>הוא בחזקת שאינו מכירה ולא בעי בדיקה</w:t>
      </w:r>
      <w:r>
        <w:rPr>
          <w:rFonts w:cs="Arial" w:hint="cs"/>
          <w:rtl/>
        </w:rPr>
        <w:t>,</w:t>
      </w:r>
      <w:r w:rsidRPr="00F2115F">
        <w:rPr>
          <w:rFonts w:cs="Arial"/>
          <w:rtl/>
        </w:rPr>
        <w:t xml:space="preserve"> ואפי' הוא נראה כאילו אינו רוצה לינק מאחרת אקראי בעלמא הוא ולבסוף הוא יונק ולא בעי בדיקה</w:t>
      </w:r>
      <w:r>
        <w:rPr>
          <w:rFonts w:cs="Arial" w:hint="cs"/>
          <w:rtl/>
        </w:rPr>
        <w:t>.</w:t>
      </w:r>
      <w:r w:rsidRPr="00F2115F">
        <w:rPr>
          <w:rFonts w:cs="Arial"/>
          <w:rtl/>
        </w:rPr>
        <w:t xml:space="preserve"> אבל בן חמשים</w:t>
      </w:r>
      <w:r>
        <w:rPr>
          <w:rFonts w:cs="Arial" w:hint="cs"/>
          <w:rtl/>
        </w:rPr>
        <w:t>,</w:t>
      </w:r>
      <w:r w:rsidRPr="00F2115F">
        <w:rPr>
          <w:rFonts w:cs="Arial"/>
          <w:rtl/>
        </w:rPr>
        <w:t xml:space="preserve"> אם אינו רוצה לינק</w:t>
      </w:r>
      <w:r>
        <w:rPr>
          <w:rFonts w:cs="Arial" w:hint="cs"/>
          <w:rtl/>
        </w:rPr>
        <w:t xml:space="preserve"> </w:t>
      </w:r>
      <w:r w:rsidRPr="00F2115F">
        <w:rPr>
          <w:rFonts w:cs="Arial"/>
          <w:rtl/>
        </w:rPr>
        <w:t>בעי בדיקה</w:t>
      </w:r>
      <w:r>
        <w:rPr>
          <w:rFonts w:cs="Arial" w:hint="cs"/>
          <w:rtl/>
        </w:rPr>
        <w:t>.</w:t>
      </w:r>
      <w:r w:rsidRPr="00F2115F">
        <w:rPr>
          <w:rFonts w:cs="Arial"/>
          <w:rtl/>
        </w:rPr>
        <w:t xml:space="preserve"> אבל אם רוצה לינק מאחרת</w:t>
      </w:r>
      <w:r>
        <w:rPr>
          <w:rFonts w:cs="Arial" w:hint="cs"/>
          <w:rtl/>
        </w:rPr>
        <w:t>,</w:t>
      </w:r>
      <w:r w:rsidRPr="00F2115F">
        <w:rPr>
          <w:rFonts w:cs="Arial"/>
          <w:rtl/>
        </w:rPr>
        <w:t xml:space="preserve"> אפילו בן שנה אין כופה</w:t>
      </w:r>
      <w:r>
        <w:rPr>
          <w:rFonts w:cs="Arial" w:hint="cs"/>
          <w:rtl/>
        </w:rPr>
        <w:t>.</w:t>
      </w:r>
      <w:r w:rsidRPr="00F2115F">
        <w:rPr>
          <w:rFonts w:cs="Arial"/>
          <w:rtl/>
        </w:rPr>
        <w:t xml:space="preserve"> ואם אינו רוצה לינק מאחרת</w:t>
      </w:r>
      <w:r>
        <w:rPr>
          <w:rFonts w:cs="Arial" w:hint="cs"/>
          <w:rtl/>
        </w:rPr>
        <w:t>,</w:t>
      </w:r>
      <w:r w:rsidRPr="00F2115F">
        <w:rPr>
          <w:rFonts w:cs="Arial"/>
          <w:rtl/>
        </w:rPr>
        <w:t xml:space="preserve"> אפילו קטן הרבה כופה ומניקתו מפני הסכנה</w:t>
      </w:r>
      <w:r>
        <w:rPr>
          <w:rFonts w:cs="Arial" w:hint="cs"/>
          <w:rtl/>
        </w:rPr>
        <w:t>.</w:t>
      </w:r>
    </w:p>
  </w:footnote>
  <w:footnote w:id="1549">
    <w:p w14:paraId="59B477CF" w14:textId="77777777" w:rsidR="00DF1FC7" w:rsidRDefault="00DF1FC7" w:rsidP="002E5BAD">
      <w:pPr>
        <w:pStyle w:val="a5"/>
        <w:rPr>
          <w:rtl/>
        </w:rPr>
      </w:pPr>
      <w:r>
        <w:rPr>
          <w:rStyle w:val="a7"/>
        </w:rPr>
        <w:footnoteRef/>
      </w:r>
      <w:r>
        <w:rPr>
          <w:rtl/>
        </w:rPr>
        <w:t xml:space="preserve"> </w:t>
      </w:r>
      <w:r w:rsidRPr="001941C7">
        <w:rPr>
          <w:rFonts w:cs="Arial"/>
          <w:rtl/>
        </w:rPr>
        <w:t>וכתב הרב המגיד לא ביאר רבינו בכמה ימים מפני שהוא פוסק כשמואל דאמר כל זמן שמכירה שאין שיעור קצוב לדבר שאין כל הולדות שוים בהכרה אלא בבדיקה תלוי הדבר אם אנו רואים שמכירה כופה ומניקתו בשכר עכ"ל. ויש לתמוה למה פסק כשמואל במקום רבי יוחנן וכל שכן דפסק רב שימי הלכה כמותו. [בדק הבית] ונראה שטעמו משום דבתר דפסק רב שימי הלכה כרבי יוחנן מייתי תלמודא הא דאמר רמי בר יחזקאל משמיה דשמואל משמע דלמיקבע הלכה כוותיה אתא</w:t>
      </w:r>
      <w:r>
        <w:rPr>
          <w:rFonts w:cs="Arial" w:hint="cs"/>
          <w:rtl/>
        </w:rPr>
        <w:t>,</w:t>
      </w:r>
      <w:r w:rsidRPr="001941C7">
        <w:rPr>
          <w:rFonts w:cs="Arial"/>
          <w:rtl/>
        </w:rPr>
        <w:t xml:space="preserve"> ועוד דמסתבר טעמיה</w:t>
      </w:r>
      <w:r>
        <w:rPr>
          <w:rFonts w:cs="Arial" w:hint="cs"/>
          <w:rtl/>
        </w:rPr>
        <w:t xml:space="preserve"> [ע"כ], ב"י</w:t>
      </w:r>
      <w:r w:rsidRPr="001941C7">
        <w:rPr>
          <w:rFonts w:cs="Arial"/>
          <w:rtl/>
        </w:rPr>
        <w:t>.</w:t>
      </w:r>
    </w:p>
  </w:footnote>
  <w:footnote w:id="1550">
    <w:p w14:paraId="7B6530F7" w14:textId="77777777" w:rsidR="00DF1FC7" w:rsidRDefault="00DF1FC7" w:rsidP="002E5BAD">
      <w:pPr>
        <w:pStyle w:val="a5"/>
      </w:pPr>
      <w:r>
        <w:rPr>
          <w:rStyle w:val="a7"/>
        </w:rPr>
        <w:footnoteRef/>
      </w:r>
      <w:r>
        <w:rPr>
          <w:rtl/>
        </w:rPr>
        <w:t xml:space="preserve"> </w:t>
      </w:r>
      <w:r w:rsidRPr="00BA354F">
        <w:rPr>
          <w:rFonts w:cs="Arial"/>
          <w:rtl/>
        </w:rPr>
        <w:t>כ' בח"מ לא ידעתי טעם לדין זה במה נתחייב</w:t>
      </w:r>
      <w:r>
        <w:rPr>
          <w:rFonts w:cs="Arial" w:hint="cs"/>
          <w:rtl/>
        </w:rPr>
        <w:t>ה</w:t>
      </w:r>
      <w:r w:rsidRPr="00BA354F">
        <w:rPr>
          <w:rFonts w:cs="Arial"/>
          <w:rtl/>
        </w:rPr>
        <w:t xml:space="preserve"> היא יותר משאר נשים ולמה לא יתנו לה הב"ד שכר הנק</w:t>
      </w:r>
      <w:r>
        <w:rPr>
          <w:rFonts w:cs="Arial" w:hint="cs"/>
          <w:rtl/>
        </w:rPr>
        <w:t>ה</w:t>
      </w:r>
      <w:r w:rsidRPr="00BA354F">
        <w:rPr>
          <w:rFonts w:cs="Arial"/>
          <w:rtl/>
        </w:rPr>
        <w:t xml:space="preserve"> כשם שמוטל על הב"ד לפרנס הולד אחר שגמלתו</w:t>
      </w:r>
      <w:r>
        <w:rPr>
          <w:rFonts w:cs="Arial" w:hint="cs"/>
          <w:rtl/>
        </w:rPr>
        <w:t>, ב"ש (סק"ה).</w:t>
      </w:r>
      <w:r w:rsidRPr="00896E1A">
        <w:rPr>
          <w:rtl/>
        </w:rPr>
        <w:t xml:space="preserve"> </w:t>
      </w:r>
      <w:r w:rsidRPr="00896E1A">
        <w:rPr>
          <w:rFonts w:cs="Arial"/>
          <w:rtl/>
        </w:rPr>
        <w:t>ועי' בס' ב</w:t>
      </w:r>
      <w:r>
        <w:rPr>
          <w:rFonts w:cs="Arial" w:hint="cs"/>
          <w:rtl/>
        </w:rPr>
        <w:t xml:space="preserve">ית </w:t>
      </w:r>
      <w:r w:rsidRPr="00896E1A">
        <w:rPr>
          <w:rFonts w:cs="Arial"/>
          <w:rtl/>
        </w:rPr>
        <w:t>מ</w:t>
      </w:r>
      <w:r>
        <w:rPr>
          <w:rFonts w:cs="Arial" w:hint="cs"/>
          <w:rtl/>
        </w:rPr>
        <w:t>איר</w:t>
      </w:r>
      <w:r w:rsidRPr="00896E1A">
        <w:rPr>
          <w:rFonts w:cs="Arial"/>
          <w:rtl/>
        </w:rPr>
        <w:t xml:space="preserve"> שכ</w:t>
      </w:r>
      <w:r>
        <w:rPr>
          <w:rFonts w:cs="Arial" w:hint="cs"/>
          <w:rtl/>
        </w:rPr>
        <w:t>תב-</w:t>
      </w:r>
      <w:r w:rsidRPr="00896E1A">
        <w:rPr>
          <w:rFonts w:cs="Arial"/>
          <w:rtl/>
        </w:rPr>
        <w:t xml:space="preserve"> לע</w:t>
      </w:r>
      <w:r>
        <w:rPr>
          <w:rFonts w:cs="Arial" w:hint="cs"/>
          <w:rtl/>
        </w:rPr>
        <w:t xml:space="preserve">ניות </w:t>
      </w:r>
      <w:r w:rsidRPr="00896E1A">
        <w:rPr>
          <w:rFonts w:cs="Arial"/>
          <w:rtl/>
        </w:rPr>
        <w:t>ד</w:t>
      </w:r>
      <w:r>
        <w:rPr>
          <w:rFonts w:cs="Arial" w:hint="cs"/>
          <w:rtl/>
        </w:rPr>
        <w:t>עתי</w:t>
      </w:r>
      <w:r w:rsidRPr="00896E1A">
        <w:rPr>
          <w:rFonts w:cs="Arial"/>
          <w:rtl/>
        </w:rPr>
        <w:t xml:space="preserve"> י</w:t>
      </w:r>
      <w:r>
        <w:rPr>
          <w:rFonts w:cs="Arial" w:hint="cs"/>
          <w:rtl/>
        </w:rPr>
        <w:t xml:space="preserve">ש </w:t>
      </w:r>
      <w:r w:rsidRPr="00896E1A">
        <w:rPr>
          <w:rFonts w:cs="Arial"/>
          <w:rtl/>
        </w:rPr>
        <w:t>ל</w:t>
      </w:r>
      <w:r>
        <w:rPr>
          <w:rFonts w:cs="Arial" w:hint="cs"/>
          <w:rtl/>
        </w:rPr>
        <w:t>ומר</w:t>
      </w:r>
      <w:r w:rsidRPr="00896E1A">
        <w:rPr>
          <w:rFonts w:cs="Arial"/>
          <w:rtl/>
        </w:rPr>
        <w:t xml:space="preserve"> </w:t>
      </w:r>
      <w:r>
        <w:rPr>
          <w:rFonts w:cs="Arial" w:hint="cs"/>
          <w:rtl/>
        </w:rPr>
        <w:t>ד</w:t>
      </w:r>
      <w:r w:rsidRPr="00896E1A">
        <w:rPr>
          <w:rFonts w:cs="Arial"/>
          <w:rtl/>
        </w:rPr>
        <w:t>מתורת צדקה אתינן עלה</w:t>
      </w:r>
      <w:r>
        <w:rPr>
          <w:rFonts w:cs="Arial" w:hint="cs"/>
          <w:rtl/>
        </w:rPr>
        <w:t>,</w:t>
      </w:r>
      <w:r w:rsidRPr="00896E1A">
        <w:rPr>
          <w:rFonts w:cs="Arial"/>
          <w:rtl/>
        </w:rPr>
        <w:t xml:space="preserve"> כדאיתא בי</w:t>
      </w:r>
      <w:r>
        <w:rPr>
          <w:rFonts w:cs="Arial" w:hint="cs"/>
          <w:rtl/>
        </w:rPr>
        <w:t>ו</w:t>
      </w:r>
      <w:r w:rsidRPr="00896E1A">
        <w:rPr>
          <w:rFonts w:cs="Arial"/>
          <w:rtl/>
        </w:rPr>
        <w:t xml:space="preserve">"ד </w:t>
      </w:r>
      <w:r>
        <w:rPr>
          <w:rFonts w:cs="Arial" w:hint="cs"/>
          <w:rtl/>
        </w:rPr>
        <w:t>(</w:t>
      </w:r>
      <w:r w:rsidRPr="00896E1A">
        <w:rPr>
          <w:rFonts w:cs="Arial"/>
          <w:rtl/>
        </w:rPr>
        <w:t>סי</w:t>
      </w:r>
      <w:r>
        <w:rPr>
          <w:rFonts w:cs="Arial" w:hint="cs"/>
          <w:rtl/>
        </w:rPr>
        <w:t>'</w:t>
      </w:r>
      <w:r w:rsidRPr="00896E1A">
        <w:rPr>
          <w:rFonts w:cs="Arial"/>
          <w:rtl/>
        </w:rPr>
        <w:t xml:space="preserve"> רנז סע</w:t>
      </w:r>
      <w:r>
        <w:rPr>
          <w:rFonts w:cs="Arial" w:hint="cs"/>
          <w:rtl/>
        </w:rPr>
        <w:t>'</w:t>
      </w:r>
      <w:r w:rsidRPr="00896E1A">
        <w:rPr>
          <w:rFonts w:cs="Arial"/>
          <w:rtl/>
        </w:rPr>
        <w:t xml:space="preserve"> ח</w:t>
      </w:r>
      <w:r>
        <w:rPr>
          <w:rFonts w:cs="Arial" w:hint="cs"/>
          <w:rtl/>
        </w:rPr>
        <w:t>),</w:t>
      </w:r>
      <w:r w:rsidRPr="00896E1A">
        <w:rPr>
          <w:rFonts w:cs="Arial"/>
          <w:rtl/>
        </w:rPr>
        <w:t xml:space="preserve"> ואיירי בשגם קרובי האב עניים</w:t>
      </w:r>
      <w:r>
        <w:rPr>
          <w:rFonts w:cs="Arial" w:hint="cs"/>
          <w:rtl/>
        </w:rPr>
        <w:t>.</w:t>
      </w:r>
      <w:r w:rsidRPr="00896E1A">
        <w:rPr>
          <w:rFonts w:cs="Arial"/>
          <w:rtl/>
        </w:rPr>
        <w:t xml:space="preserve"> ומה שמבואר ס"ס זה שיכולה להשליך על הקהל</w:t>
      </w:r>
      <w:r>
        <w:rPr>
          <w:rFonts w:cs="Arial" w:hint="cs"/>
          <w:rtl/>
        </w:rPr>
        <w:t>,</w:t>
      </w:r>
      <w:r w:rsidRPr="00896E1A">
        <w:rPr>
          <w:rFonts w:cs="Arial"/>
          <w:rtl/>
        </w:rPr>
        <w:t xml:space="preserve"> היינו מסתמא ענייה שאינה אמודה לפרנס משלה</w:t>
      </w:r>
      <w:r>
        <w:rPr>
          <w:rFonts w:cs="Arial" w:hint="cs"/>
          <w:rtl/>
        </w:rPr>
        <w:t>,</w:t>
      </w:r>
      <w:r w:rsidRPr="00896E1A">
        <w:rPr>
          <w:rFonts w:cs="Arial"/>
          <w:rtl/>
        </w:rPr>
        <w:t xml:space="preserve"> אבל עשירה לאו כל כמינה</w:t>
      </w:r>
      <w:r>
        <w:rPr>
          <w:rFonts w:cs="Arial" w:hint="cs"/>
          <w:rtl/>
        </w:rPr>
        <w:t>,</w:t>
      </w:r>
      <w:r w:rsidRPr="00896E1A">
        <w:rPr>
          <w:rFonts w:cs="Arial"/>
          <w:rtl/>
        </w:rPr>
        <w:t xml:space="preserve"> ולגבי הנקה תמיד עשירה היא כו' ע"ש</w:t>
      </w:r>
      <w:r>
        <w:rPr>
          <w:rFonts w:cs="Arial" w:hint="cs"/>
          <w:rtl/>
        </w:rPr>
        <w:t>, פת"ש (סק"ג).</w:t>
      </w:r>
    </w:p>
  </w:footnote>
  <w:footnote w:id="1551">
    <w:p w14:paraId="74145BBA" w14:textId="77777777" w:rsidR="00DF1FC7" w:rsidRDefault="00DF1FC7" w:rsidP="002E5BAD">
      <w:pPr>
        <w:pStyle w:val="a5"/>
      </w:pPr>
      <w:r>
        <w:rPr>
          <w:rStyle w:val="a7"/>
        </w:rPr>
        <w:footnoteRef/>
      </w:r>
      <w:r>
        <w:rPr>
          <w:rtl/>
        </w:rPr>
        <w:t xml:space="preserve"> </w:t>
      </w:r>
      <w:r w:rsidRPr="00BA354F">
        <w:rPr>
          <w:rFonts w:cs="Arial"/>
          <w:rtl/>
        </w:rPr>
        <w:t>ואפי' אם השכיר' את עצמה באיסור מ"מ כיון דאותו ולד מכיר' אין דוחין נפש מפני נפש</w:t>
      </w:r>
      <w:r>
        <w:rPr>
          <w:rFonts w:cs="Arial" w:hint="cs"/>
          <w:rtl/>
        </w:rPr>
        <w:t>, ב"ש (סק"ו).</w:t>
      </w:r>
    </w:p>
  </w:footnote>
  <w:footnote w:id="1552">
    <w:p w14:paraId="4C0FF345" w14:textId="77777777" w:rsidR="00DF1FC7" w:rsidRDefault="00DF1FC7" w:rsidP="002E5BAD">
      <w:pPr>
        <w:pStyle w:val="a5"/>
      </w:pPr>
      <w:r>
        <w:rPr>
          <w:rStyle w:val="a7"/>
        </w:rPr>
        <w:footnoteRef/>
      </w:r>
      <w:r>
        <w:rPr>
          <w:rtl/>
        </w:rPr>
        <w:t xml:space="preserve"> </w:t>
      </w:r>
      <w:r w:rsidRPr="00685AED">
        <w:rPr>
          <w:rFonts w:cs="Arial"/>
          <w:rtl/>
        </w:rPr>
        <w:t>שהרי הוא חייב במזונו' בניו עד שש שנים</w:t>
      </w:r>
      <w:r>
        <w:rPr>
          <w:rFonts w:cs="Arial" w:hint="cs"/>
          <w:rtl/>
        </w:rPr>
        <w:t>, ח"מ (סק"ז).</w:t>
      </w:r>
    </w:p>
  </w:footnote>
  <w:footnote w:id="1553">
    <w:p w14:paraId="1AF46BEB" w14:textId="77777777" w:rsidR="00DF1FC7" w:rsidRDefault="00DF1FC7" w:rsidP="002E5BAD">
      <w:pPr>
        <w:pStyle w:val="a5"/>
      </w:pPr>
      <w:r>
        <w:rPr>
          <w:rStyle w:val="a7"/>
        </w:rPr>
        <w:footnoteRef/>
      </w:r>
      <w:r>
        <w:rPr>
          <w:rtl/>
        </w:rPr>
        <w:t xml:space="preserve"> </w:t>
      </w:r>
      <w:r w:rsidRPr="003E00A2">
        <w:rPr>
          <w:rFonts w:cs="Arial"/>
          <w:rtl/>
        </w:rPr>
        <w:t>ערבה אמו לצפון ואביו לדרום אמו מוליכתו אצלה ואין אביו מוליכו אצלו שעדיין הוא צריך לאמו ובתרה שדיוהו רבנן אלמא עד שש צריך סיוע מאמו וכשם שהבעל זן אותה כך זן אותו עמה</w:t>
      </w:r>
      <w:r>
        <w:rPr>
          <w:rFonts w:cs="Arial" w:hint="cs"/>
          <w:rtl/>
        </w:rPr>
        <w:t>, רש"י.</w:t>
      </w:r>
    </w:p>
  </w:footnote>
  <w:footnote w:id="1554">
    <w:p w14:paraId="2DDCE5A6" w14:textId="77777777" w:rsidR="00DF1FC7" w:rsidRDefault="00DF1FC7" w:rsidP="002E5BAD">
      <w:pPr>
        <w:pStyle w:val="a5"/>
      </w:pPr>
      <w:r>
        <w:rPr>
          <w:rStyle w:val="a7"/>
        </w:rPr>
        <w:footnoteRef/>
      </w:r>
      <w:r>
        <w:rPr>
          <w:rtl/>
        </w:rPr>
        <w:t xml:space="preserve"> </w:t>
      </w:r>
      <w:r>
        <w:rPr>
          <w:rFonts w:hint="cs"/>
          <w:rtl/>
        </w:rPr>
        <w:t>כן הוא בגמרא לפנינו וברי"ף וברא"ש, וכתב הרא"ש דפירוש הראשי תיבות היינו 'ערב הראשון'. ויש שגורסים 'ער"פ' (בה"ג רשב"א ומאירי) ופתחו הר"ת- 'ערב פסח'.</w:t>
      </w:r>
    </w:p>
  </w:footnote>
  <w:footnote w:id="1555">
    <w:p w14:paraId="0E62CB87" w14:textId="77777777" w:rsidR="00DF1FC7" w:rsidRDefault="00DF1FC7" w:rsidP="002E5BAD">
      <w:pPr>
        <w:pStyle w:val="a5"/>
      </w:pPr>
      <w:r>
        <w:rPr>
          <w:rStyle w:val="a7"/>
        </w:rPr>
        <w:footnoteRef/>
      </w:r>
      <w:r>
        <w:rPr>
          <w:rtl/>
        </w:rPr>
        <w:t xml:space="preserve"> </w:t>
      </w:r>
      <w:r>
        <w:rPr>
          <w:rFonts w:hint="cs"/>
          <w:rtl/>
        </w:rPr>
        <w:t>גם הטור כתב כן בשם הרמ"ה, אך בקיצור נמרץ.</w:t>
      </w:r>
    </w:p>
  </w:footnote>
  <w:footnote w:id="1556">
    <w:p w14:paraId="7F26B2AF" w14:textId="77777777" w:rsidR="00DF1FC7" w:rsidRDefault="00DF1FC7" w:rsidP="002E5BAD">
      <w:pPr>
        <w:pStyle w:val="a5"/>
        <w:rPr>
          <w:rtl/>
        </w:rPr>
      </w:pPr>
      <w:r>
        <w:rPr>
          <w:rStyle w:val="a7"/>
        </w:rPr>
        <w:footnoteRef/>
      </w:r>
      <w:r>
        <w:rPr>
          <w:rtl/>
        </w:rPr>
        <w:t xml:space="preserve"> </w:t>
      </w:r>
      <w:r w:rsidRPr="001941C7">
        <w:rPr>
          <w:rFonts w:cs="Arial"/>
          <w:rtl/>
        </w:rPr>
        <w:t>כ"ד חדשים</w:t>
      </w:r>
      <w:r>
        <w:rPr>
          <w:rFonts w:hint="cs"/>
          <w:rtl/>
        </w:rPr>
        <w:t>, טור.</w:t>
      </w:r>
    </w:p>
  </w:footnote>
  <w:footnote w:id="1557">
    <w:p w14:paraId="0AA1F011" w14:textId="77777777" w:rsidR="00DF1FC7" w:rsidRDefault="00DF1FC7" w:rsidP="002E5BAD">
      <w:pPr>
        <w:pStyle w:val="a5"/>
      </w:pPr>
      <w:r>
        <w:rPr>
          <w:rStyle w:val="a7"/>
        </w:rPr>
        <w:footnoteRef/>
      </w:r>
      <w:r>
        <w:rPr>
          <w:rtl/>
        </w:rPr>
        <w:t xml:space="preserve"> </w:t>
      </w:r>
      <w:r w:rsidRPr="00F60D6E">
        <w:rPr>
          <w:rFonts w:cs="Arial"/>
          <w:rtl/>
        </w:rPr>
        <w:t>א</w:t>
      </w:r>
      <w:r>
        <w:rPr>
          <w:rFonts w:cs="Arial" w:hint="cs"/>
          <w:rtl/>
        </w:rPr>
        <w:t xml:space="preserve">מר </w:t>
      </w:r>
      <w:r w:rsidRPr="00F60D6E">
        <w:rPr>
          <w:rFonts w:cs="Arial"/>
          <w:rtl/>
        </w:rPr>
        <w:t>א</w:t>
      </w:r>
      <w:r>
        <w:rPr>
          <w:rFonts w:cs="Arial" w:hint="cs"/>
          <w:rtl/>
        </w:rPr>
        <w:t>ברהם</w:t>
      </w:r>
      <w:r w:rsidRPr="00F60D6E">
        <w:rPr>
          <w:rFonts w:cs="Arial"/>
          <w:rtl/>
        </w:rPr>
        <w:t xml:space="preserve"> אין הדעת סובלת שנכוף את האב להפריד בנו ממנו עד שיהא בן שש והלא הוא חייב לחנכו תורה בן ארבע ובן חמש ואיך יחנכנו והוא גדל בין הנשים</w:t>
      </w:r>
      <w:r>
        <w:rPr>
          <w:rFonts w:cs="Arial" w:hint="cs"/>
          <w:rtl/>
        </w:rPr>
        <w:t>, ראב"ד (שם בהשגות).</w:t>
      </w:r>
      <w:r w:rsidRPr="003E00A2">
        <w:rPr>
          <w:rFonts w:cs="Arial"/>
          <w:rtl/>
        </w:rPr>
        <w:t xml:space="preserve"> </w:t>
      </w:r>
      <w:r>
        <w:rPr>
          <w:rFonts w:cs="Arial"/>
          <w:rtl/>
        </w:rPr>
        <w:t>ולא מצאתי חיוב בבן ד' ובן ה' שאינו חייב להכניסו למלמד פחות מבן ו' כנזכר פרק לא יחפור (ב"ב כא.) ואולי נתכוון הרב למה שאמרו (סוכה מב.) יודע לדבר אביו מלמדו תורה צוה לנו וכו' ואין זו קושיא שחינוך זה אפילו הוא אצל האם יכול הוא לחנכו לפעמים להושיבו אצלו עכ"ל</w:t>
      </w:r>
      <w:r>
        <w:rPr>
          <w:rFonts w:cs="Arial" w:hint="cs"/>
          <w:rtl/>
        </w:rPr>
        <w:t xml:space="preserve"> הה"מ (שם).</w:t>
      </w:r>
      <w:r>
        <w:rPr>
          <w:rFonts w:cs="Arial"/>
          <w:rtl/>
        </w:rPr>
        <w:t xml:space="preserve"> והרא"ש בתשובה כלל פ"ב (סי' ב) כתב כדברי הראב"ד ז"ל דאפילו פחות מבן שש אצל האב</w:t>
      </w:r>
      <w:r>
        <w:rPr>
          <w:rFonts w:cs="Arial" w:hint="cs"/>
          <w:rtl/>
        </w:rPr>
        <w:t>, ב"י.</w:t>
      </w:r>
    </w:p>
  </w:footnote>
  <w:footnote w:id="1558">
    <w:p w14:paraId="018385D6" w14:textId="77777777" w:rsidR="00DF1FC7" w:rsidRDefault="00DF1FC7" w:rsidP="002E5BAD">
      <w:pPr>
        <w:pStyle w:val="a5"/>
      </w:pPr>
      <w:r>
        <w:rPr>
          <w:rStyle w:val="a7"/>
        </w:rPr>
        <w:footnoteRef/>
      </w:r>
      <w:r>
        <w:rPr>
          <w:rtl/>
        </w:rPr>
        <w:t xml:space="preserve"> </w:t>
      </w:r>
      <w:r>
        <w:rPr>
          <w:rFonts w:cs="Arial"/>
          <w:rtl/>
        </w:rPr>
        <w:t>וכתב עליו הרב המגיד זה מתבאר מהסוגיא שבפרק אף על פי (סה:) שאמרו שם זן אדם את בניו קטנים ועד כמה עד בן שש וכדרב אסי דאמר קטן בן שש יוצא בעירוב אמו</w:t>
      </w:r>
      <w:r>
        <w:rPr>
          <w:rFonts w:cs="Arial" w:hint="cs"/>
          <w:rtl/>
        </w:rPr>
        <w:t>.</w:t>
      </w:r>
      <w:r>
        <w:rPr>
          <w:rFonts w:cs="Arial"/>
          <w:rtl/>
        </w:rPr>
        <w:t xml:space="preserve"> עוד אמרו שם משום דבעי למיכל בהדה</w:t>
      </w:r>
      <w:r>
        <w:rPr>
          <w:rFonts w:cs="Arial" w:hint="cs"/>
          <w:rtl/>
        </w:rPr>
        <w:t>.</w:t>
      </w:r>
      <w:r>
        <w:rPr>
          <w:rFonts w:cs="Arial"/>
          <w:rtl/>
        </w:rPr>
        <w:t xml:space="preserve"> ואמרינן פרק כיצד משתתפין (עירובין פב:) דאפילו בן בצוותא דאימיה ניחא ליה</w:t>
      </w:r>
      <w:r>
        <w:rPr>
          <w:rFonts w:cs="Arial" w:hint="cs"/>
          <w:rtl/>
        </w:rPr>
        <w:t>.</w:t>
      </w:r>
      <w:r>
        <w:rPr>
          <w:rFonts w:cs="Arial"/>
          <w:rtl/>
        </w:rPr>
        <w:t xml:space="preserve"> ודעת רבינו דאפילו בגרושה</w:t>
      </w:r>
      <w:r>
        <w:rPr>
          <w:rFonts w:cs="Arial" w:hint="cs"/>
          <w:rtl/>
        </w:rPr>
        <w:t xml:space="preserve"> עכ"ל</w:t>
      </w:r>
      <w:r>
        <w:rPr>
          <w:rFonts w:hint="cs"/>
          <w:rtl/>
        </w:rPr>
        <w:t>, ב"י.</w:t>
      </w:r>
    </w:p>
  </w:footnote>
  <w:footnote w:id="1559">
    <w:p w14:paraId="2DB20510" w14:textId="77777777" w:rsidR="00DF1FC7" w:rsidRDefault="00DF1FC7" w:rsidP="002E5BAD">
      <w:pPr>
        <w:pStyle w:val="a5"/>
      </w:pPr>
      <w:r>
        <w:rPr>
          <w:rStyle w:val="a7"/>
        </w:rPr>
        <w:footnoteRef/>
      </w:r>
      <w:r>
        <w:rPr>
          <w:rtl/>
        </w:rPr>
        <w:t xml:space="preserve"> </w:t>
      </w:r>
      <w:r w:rsidRPr="00C91C6F">
        <w:rPr>
          <w:rFonts w:cs="Arial"/>
          <w:rtl/>
        </w:rPr>
        <w:t>אע</w:t>
      </w:r>
      <w:r>
        <w:rPr>
          <w:rFonts w:cs="Arial" w:hint="cs"/>
          <w:rtl/>
        </w:rPr>
        <w:t>"</w:t>
      </w:r>
      <w:r w:rsidRPr="00C91C6F">
        <w:rPr>
          <w:rFonts w:cs="Arial"/>
          <w:rtl/>
        </w:rPr>
        <w:t>פ שאביו חייב ללמדו תורה ולחנכו כשיודע לדבר מ"מ אפי' כשהולד אצל אמו יכול האב לחנכו לפעמים כשיבא אצלו, המגיד</w:t>
      </w:r>
      <w:r>
        <w:rPr>
          <w:rFonts w:cs="Arial" w:hint="cs"/>
          <w:rtl/>
        </w:rPr>
        <w:t>, ח"מ (סק"ח).</w:t>
      </w:r>
    </w:p>
  </w:footnote>
  <w:footnote w:id="1560">
    <w:p w14:paraId="2178F1A2" w14:textId="77777777" w:rsidR="00DF1FC7" w:rsidRDefault="00DF1FC7" w:rsidP="002E5BAD">
      <w:pPr>
        <w:pStyle w:val="a5"/>
      </w:pPr>
      <w:r>
        <w:rPr>
          <w:rStyle w:val="a7"/>
        </w:rPr>
        <w:footnoteRef/>
      </w:r>
      <w:r>
        <w:rPr>
          <w:rtl/>
        </w:rPr>
        <w:t xml:space="preserve"> </w:t>
      </w:r>
      <w:r w:rsidRPr="00C91C6F">
        <w:rPr>
          <w:rFonts w:cs="Arial"/>
          <w:rtl/>
        </w:rPr>
        <w:t>יש לדקדק דמשמע אם האם מוחלת לו המזונו' תוכל להחזיק בנה אצלה על כרחו</w:t>
      </w:r>
      <w:r>
        <w:rPr>
          <w:rFonts w:cs="Arial" w:hint="cs"/>
          <w:rtl/>
        </w:rPr>
        <w:t>.</w:t>
      </w:r>
      <w:r w:rsidRPr="00C91C6F">
        <w:rPr>
          <w:rFonts w:cs="Arial"/>
          <w:rtl/>
        </w:rPr>
        <w:t xml:space="preserve"> וזה הוא נגד המושכל</w:t>
      </w:r>
      <w:r>
        <w:rPr>
          <w:rFonts w:cs="Arial" w:hint="cs"/>
          <w:rtl/>
        </w:rPr>
        <w:t>,</w:t>
      </w:r>
      <w:r w:rsidRPr="00C91C6F">
        <w:rPr>
          <w:rFonts w:cs="Arial"/>
          <w:rtl/>
        </w:rPr>
        <w:t xml:space="preserve"> למה תוכל לכופו והיא אין לה שייכות לבן והוא מצוה עליו בכמה דברים בפרט ללמדו תורה</w:t>
      </w:r>
      <w:r>
        <w:rPr>
          <w:rFonts w:cs="Arial" w:hint="cs"/>
          <w:rtl/>
        </w:rPr>
        <w:t>.</w:t>
      </w:r>
      <w:r w:rsidRPr="00C91C6F">
        <w:rPr>
          <w:rFonts w:cs="Arial"/>
          <w:rtl/>
        </w:rPr>
        <w:t xml:space="preserve"> ויש ליישב בדוחק כשהבן אינו רוצה להפרד מאמו יש לאב לומר אין עלי חיוב צדקה לפרנסו כל זמן שאין שומע לקולי להיות אצלי ללמדו תורה ושאר דברים</w:t>
      </w:r>
      <w:r>
        <w:rPr>
          <w:rFonts w:cs="Arial" w:hint="cs"/>
          <w:rtl/>
        </w:rPr>
        <w:t>, ח"מ (סק"ט).</w:t>
      </w:r>
      <w:r>
        <w:rPr>
          <w:rFonts w:hint="cs"/>
          <w:rtl/>
        </w:rPr>
        <w:t xml:space="preserve"> וכ"כ הב"ש (סק"ח) והוסיף </w:t>
      </w:r>
      <w:r>
        <w:rPr>
          <w:rFonts w:cs="Arial" w:hint="cs"/>
          <w:rtl/>
        </w:rPr>
        <w:t>דאיתא</w:t>
      </w:r>
      <w:r w:rsidRPr="00C91C6F">
        <w:rPr>
          <w:rFonts w:cs="Arial"/>
          <w:rtl/>
        </w:rPr>
        <w:t xml:space="preserve"> בש"ס פ' הנושא </w:t>
      </w:r>
      <w:r>
        <w:rPr>
          <w:rFonts w:cs="Arial" w:hint="cs"/>
          <w:rtl/>
        </w:rPr>
        <w:t xml:space="preserve">(קב:) </w:t>
      </w:r>
      <w:r w:rsidRPr="00C91C6F">
        <w:rPr>
          <w:rFonts w:cs="Arial"/>
          <w:rtl/>
        </w:rPr>
        <w:t>אם מת האב אין מניחי' הבן אצל יורשיו אלא אצל אמו ומעשה היה ושחטוהו משמע אפי' אם הוא יותר משש אין מניחין אותו אצל קרוביו אלא אם היא גרוש' ואביו חי אז יש חילוק אם הוא יותר משש אין מניחין אצל אמו וא"י למה השמיטו הפוסקים דין זה</w:t>
      </w:r>
      <w:r>
        <w:rPr>
          <w:rFonts w:hint="cs"/>
          <w:rtl/>
        </w:rPr>
        <w:t>. עכ"ל. והסיף הבאה"ט (סק"ה)</w:t>
      </w:r>
      <w:r w:rsidRPr="00470E2C">
        <w:rPr>
          <w:rtl/>
        </w:rPr>
        <w:t xml:space="preserve"> </w:t>
      </w:r>
      <w:r>
        <w:rPr>
          <w:rFonts w:cs="Arial" w:hint="cs"/>
          <w:rtl/>
        </w:rPr>
        <w:t>ד</w:t>
      </w:r>
      <w:r w:rsidRPr="00470E2C">
        <w:rPr>
          <w:rFonts w:cs="Arial"/>
          <w:rtl/>
        </w:rPr>
        <w:t xml:space="preserve">אפילו אם צוה האב שישב אצל היורשים אין שומעין לו </w:t>
      </w:r>
      <w:r>
        <w:rPr>
          <w:rFonts w:cs="Arial" w:hint="cs"/>
          <w:rtl/>
        </w:rPr>
        <w:t>(</w:t>
      </w:r>
      <w:r w:rsidRPr="00470E2C">
        <w:rPr>
          <w:rFonts w:cs="Arial"/>
          <w:rtl/>
        </w:rPr>
        <w:t xml:space="preserve">הראנ"ח ח"ב סי' </w:t>
      </w:r>
      <w:r>
        <w:rPr>
          <w:rFonts w:cs="Arial" w:hint="cs"/>
          <w:rtl/>
        </w:rPr>
        <w:t>מ)</w:t>
      </w:r>
      <w:r w:rsidRPr="00470E2C">
        <w:rPr>
          <w:rFonts w:cs="Arial"/>
          <w:rtl/>
        </w:rPr>
        <w:t xml:space="preserve">. אם הקרוב מוחל הירושה ונסתלק ממנה אין לחוש לרציחה </w:t>
      </w:r>
      <w:r>
        <w:rPr>
          <w:rFonts w:cs="Arial" w:hint="cs"/>
          <w:rtl/>
        </w:rPr>
        <w:t>(</w:t>
      </w:r>
      <w:r w:rsidRPr="00470E2C">
        <w:rPr>
          <w:rFonts w:cs="Arial"/>
          <w:rtl/>
        </w:rPr>
        <w:t>הר"ם מטראני ח"א סי' קסה</w:t>
      </w:r>
      <w:r>
        <w:rPr>
          <w:rFonts w:cs="Arial" w:hint="cs"/>
          <w:rtl/>
        </w:rPr>
        <w:t>)</w:t>
      </w:r>
      <w:r w:rsidRPr="00470E2C">
        <w:rPr>
          <w:rFonts w:cs="Arial"/>
          <w:rtl/>
        </w:rPr>
        <w:t xml:space="preserve">. אם היורשים הם עשירים ומיראי ה' וחושבי שמו אין לחוש לרציחה </w:t>
      </w:r>
      <w:r>
        <w:rPr>
          <w:rFonts w:cs="Arial" w:hint="cs"/>
          <w:rtl/>
        </w:rPr>
        <w:t>(</w:t>
      </w:r>
      <w:r w:rsidRPr="00470E2C">
        <w:rPr>
          <w:rFonts w:cs="Arial"/>
          <w:rtl/>
        </w:rPr>
        <w:t>ע' כנה"ג דף קג</w:t>
      </w:r>
      <w:r>
        <w:rPr>
          <w:rFonts w:cs="Arial" w:hint="cs"/>
          <w:rtl/>
        </w:rPr>
        <w:t>.)</w:t>
      </w:r>
      <w:r w:rsidRPr="00470E2C">
        <w:rPr>
          <w:rFonts w:cs="Arial"/>
          <w:rtl/>
        </w:rPr>
        <w:t>.</w:t>
      </w:r>
      <w:r>
        <w:rPr>
          <w:rFonts w:cs="Arial" w:hint="cs"/>
          <w:rtl/>
        </w:rPr>
        <w:t>..</w:t>
      </w:r>
      <w:r w:rsidRPr="00470E2C">
        <w:rPr>
          <w:rFonts w:cs="Arial"/>
          <w:rtl/>
        </w:rPr>
        <w:t xml:space="preserve"> בפחות מבן שש שאין מפרישין אותו מאמו</w:t>
      </w:r>
      <w:r>
        <w:rPr>
          <w:rFonts w:cs="Arial" w:hint="cs"/>
          <w:rtl/>
        </w:rPr>
        <w:t>,</w:t>
      </w:r>
      <w:r w:rsidRPr="00470E2C">
        <w:rPr>
          <w:rFonts w:cs="Arial"/>
          <w:rtl/>
        </w:rPr>
        <w:t xml:space="preserve"> הוא אפילו אם נשאת האם לאחר </w:t>
      </w:r>
      <w:r>
        <w:rPr>
          <w:rFonts w:cs="Arial" w:hint="cs"/>
          <w:rtl/>
        </w:rPr>
        <w:t>(</w:t>
      </w:r>
      <w:r w:rsidRPr="00470E2C">
        <w:rPr>
          <w:rFonts w:cs="Arial"/>
          <w:rtl/>
        </w:rPr>
        <w:t>כנה"ג בשם הרדב"ז</w:t>
      </w:r>
      <w:r w:rsidRPr="00652047">
        <w:rPr>
          <w:rtl/>
        </w:rPr>
        <w:t xml:space="preserve"> </w:t>
      </w:r>
      <w:r w:rsidRPr="00652047">
        <w:rPr>
          <w:rFonts w:cs="Arial"/>
          <w:rtl/>
        </w:rPr>
        <w:t>ח"א סי' תכ"ט</w:t>
      </w:r>
      <w:r>
        <w:rPr>
          <w:rFonts w:cs="Arial" w:hint="cs"/>
          <w:rtl/>
        </w:rPr>
        <w:t xml:space="preserve">, </w:t>
      </w:r>
      <w:r w:rsidRPr="00652047">
        <w:rPr>
          <w:rFonts w:cs="Arial"/>
          <w:rtl/>
        </w:rPr>
        <w:t>ושם כתב שזה מבואר בדברי הרמב"ם (שהובא בש"ע בסמוך) לענין הבת. והבן הצריך לאמו הרי הוא כבת כו'</w:t>
      </w:r>
      <w:r>
        <w:rPr>
          <w:rFonts w:cs="Arial" w:hint="cs"/>
          <w:rtl/>
        </w:rPr>
        <w:t>)</w:t>
      </w:r>
      <w:r w:rsidRPr="00470E2C">
        <w:rPr>
          <w:rFonts w:cs="Arial"/>
          <w:rtl/>
        </w:rPr>
        <w:t>. כי היכ</w:t>
      </w:r>
      <w:r>
        <w:rPr>
          <w:rFonts w:cs="Arial" w:hint="cs"/>
          <w:rtl/>
        </w:rPr>
        <w:t>י</w:t>
      </w:r>
      <w:r w:rsidRPr="00470E2C">
        <w:rPr>
          <w:rFonts w:cs="Arial"/>
          <w:rtl/>
        </w:rPr>
        <w:t xml:space="preserve"> דהאב יוכל להפריש את בנו אחר שש מאמו הכי נמי אבי אביו יוכל להפרישו מאמו אחר ו' </w:t>
      </w:r>
      <w:r>
        <w:rPr>
          <w:rFonts w:cs="Arial" w:hint="cs"/>
          <w:rtl/>
        </w:rPr>
        <w:t>(</w:t>
      </w:r>
      <w:r w:rsidRPr="00470E2C">
        <w:rPr>
          <w:rFonts w:cs="Arial"/>
          <w:rtl/>
        </w:rPr>
        <w:t>הר"ם מטראני ח"א סי' קסה</w:t>
      </w:r>
      <w:r>
        <w:rPr>
          <w:rFonts w:cs="Arial" w:hint="cs"/>
          <w:rtl/>
        </w:rPr>
        <w:t>)</w:t>
      </w:r>
      <w:r w:rsidRPr="00470E2C">
        <w:rPr>
          <w:rFonts w:cs="Arial"/>
          <w:rtl/>
        </w:rPr>
        <w:t>. אם הקטן אחר היותו מבן ו' ומעלה אומר דניח</w:t>
      </w:r>
      <w:r>
        <w:rPr>
          <w:rFonts w:cs="Arial" w:hint="cs"/>
          <w:rtl/>
        </w:rPr>
        <w:t>א</w:t>
      </w:r>
      <w:r w:rsidRPr="00470E2C">
        <w:rPr>
          <w:rFonts w:cs="Arial"/>
          <w:rtl/>
        </w:rPr>
        <w:t xml:space="preserve"> ליה בצוות</w:t>
      </w:r>
      <w:r>
        <w:rPr>
          <w:rFonts w:cs="Arial" w:hint="cs"/>
          <w:rtl/>
        </w:rPr>
        <w:t>א</w:t>
      </w:r>
      <w:r w:rsidRPr="00470E2C">
        <w:rPr>
          <w:rFonts w:cs="Arial"/>
          <w:rtl/>
        </w:rPr>
        <w:t xml:space="preserve"> דאימ</w:t>
      </w:r>
      <w:r>
        <w:rPr>
          <w:rFonts w:cs="Arial" w:hint="cs"/>
          <w:rtl/>
        </w:rPr>
        <w:t>ו</w:t>
      </w:r>
      <w:r w:rsidRPr="00470E2C">
        <w:rPr>
          <w:rFonts w:cs="Arial"/>
          <w:rtl/>
        </w:rPr>
        <w:t xml:space="preserve"> לאו כל כמיניה דאפטרופס לעכב בידו </w:t>
      </w:r>
      <w:r>
        <w:rPr>
          <w:rFonts w:cs="Arial" w:hint="cs"/>
          <w:rtl/>
        </w:rPr>
        <w:t>(</w:t>
      </w:r>
      <w:r w:rsidRPr="00470E2C">
        <w:rPr>
          <w:rFonts w:cs="Arial"/>
          <w:rtl/>
        </w:rPr>
        <w:t>הר"ם אלשי"ך סי' לט</w:t>
      </w:r>
      <w:r>
        <w:rPr>
          <w:rFonts w:cs="Arial" w:hint="cs"/>
          <w:rtl/>
        </w:rPr>
        <w:t>).</w:t>
      </w:r>
    </w:p>
  </w:footnote>
  <w:footnote w:id="1561">
    <w:p w14:paraId="37DAA962" w14:textId="77777777" w:rsidR="00DF1FC7" w:rsidRDefault="00DF1FC7" w:rsidP="002E5BAD">
      <w:pPr>
        <w:pStyle w:val="a5"/>
        <w:rPr>
          <w:rtl/>
        </w:rPr>
      </w:pPr>
      <w:r>
        <w:rPr>
          <w:rStyle w:val="a7"/>
        </w:rPr>
        <w:footnoteRef/>
      </w:r>
      <w:r>
        <w:rPr>
          <w:rtl/>
        </w:rPr>
        <w:t xml:space="preserve"> </w:t>
      </w:r>
      <w:r w:rsidRPr="00EB33DF">
        <w:rPr>
          <w:rFonts w:cs="Arial"/>
          <w:rtl/>
        </w:rPr>
        <w:t>רש"י פי' בת אצל אמה היינו אין כופין אות' להיות עם האב או אצל קרובים מזה מדייק בתשובת מהר"מ פדוא"ה אם רצונה להיות אצל אביה אין אמה יכולה לכופה להיות אצלה</w:t>
      </w:r>
      <w:r>
        <w:rPr>
          <w:rFonts w:hint="cs"/>
          <w:rtl/>
        </w:rPr>
        <w:t>, ב"ש (סק"ט).</w:t>
      </w:r>
    </w:p>
  </w:footnote>
  <w:footnote w:id="1562">
    <w:p w14:paraId="5AA0E868" w14:textId="77777777" w:rsidR="00DF1FC7" w:rsidRDefault="00DF1FC7" w:rsidP="002E5BAD">
      <w:pPr>
        <w:pStyle w:val="a5"/>
      </w:pPr>
      <w:r>
        <w:rPr>
          <w:rStyle w:val="a7"/>
        </w:rPr>
        <w:footnoteRef/>
      </w:r>
      <w:r>
        <w:rPr>
          <w:rtl/>
        </w:rPr>
        <w:t xml:space="preserve"> </w:t>
      </w:r>
      <w:r w:rsidRPr="00470E2C">
        <w:rPr>
          <w:rFonts w:cs="Arial"/>
          <w:rtl/>
        </w:rPr>
        <w:t>אפילו מטופל</w:t>
      </w:r>
      <w:r>
        <w:rPr>
          <w:rFonts w:cs="Arial" w:hint="cs"/>
          <w:rtl/>
        </w:rPr>
        <w:t>ת</w:t>
      </w:r>
      <w:r w:rsidRPr="00470E2C">
        <w:rPr>
          <w:rFonts w:cs="Arial"/>
          <w:rtl/>
        </w:rPr>
        <w:t xml:space="preserve"> בבנים ובבנות </w:t>
      </w:r>
      <w:r>
        <w:rPr>
          <w:rFonts w:cs="Arial" w:hint="cs"/>
          <w:rtl/>
        </w:rPr>
        <w:t>(</w:t>
      </w:r>
      <w:r w:rsidRPr="00470E2C">
        <w:rPr>
          <w:rFonts w:cs="Arial"/>
          <w:rtl/>
        </w:rPr>
        <w:t>משפטי שמואל סימן צ'</w:t>
      </w:r>
      <w:r>
        <w:rPr>
          <w:rFonts w:cs="Arial" w:hint="cs"/>
          <w:rtl/>
        </w:rPr>
        <w:t>)</w:t>
      </w:r>
      <w:r w:rsidRPr="00470E2C">
        <w:rPr>
          <w:rFonts w:cs="Arial"/>
          <w:rtl/>
        </w:rPr>
        <w:t xml:space="preserve">. אפילו נתרצה האם שתשב הבת עם האב וחזרה בה ורוצה לקחתה עמה הבת אצל האם לעולם </w:t>
      </w:r>
      <w:r>
        <w:rPr>
          <w:rFonts w:cs="Arial" w:hint="cs"/>
          <w:rtl/>
        </w:rPr>
        <w:t>(</w:t>
      </w:r>
      <w:r w:rsidRPr="00470E2C">
        <w:rPr>
          <w:rFonts w:cs="Arial"/>
          <w:rtl/>
        </w:rPr>
        <w:t>הרמ"ט ח"ג סי' ס"ב</w:t>
      </w:r>
      <w:r>
        <w:rPr>
          <w:rFonts w:cs="Arial" w:hint="cs"/>
          <w:rtl/>
        </w:rPr>
        <w:t>)</w:t>
      </w:r>
      <w:r w:rsidRPr="00470E2C">
        <w:rPr>
          <w:rFonts w:cs="Arial"/>
          <w:rtl/>
        </w:rPr>
        <w:t xml:space="preserve">. אם הבת רוצה לישב עם אחיה אין כופין אותה לישב אצל אמה. ובגוונא דליכא למיחש לרציחה </w:t>
      </w:r>
      <w:r>
        <w:rPr>
          <w:rFonts w:cs="Arial" w:hint="cs"/>
          <w:rtl/>
        </w:rPr>
        <w:t>(</w:t>
      </w:r>
      <w:r w:rsidRPr="00470E2C">
        <w:rPr>
          <w:rFonts w:cs="Arial"/>
          <w:rtl/>
        </w:rPr>
        <w:t>הר"ם פדוואה סימן נ"ג</w:t>
      </w:r>
      <w:r>
        <w:rPr>
          <w:rFonts w:cs="Arial" w:hint="cs"/>
          <w:rtl/>
        </w:rPr>
        <w:t>)</w:t>
      </w:r>
      <w:r w:rsidRPr="00470E2C">
        <w:rPr>
          <w:rFonts w:cs="Arial"/>
          <w:rtl/>
        </w:rPr>
        <w:t xml:space="preserve">. וה"ה אם רצון הבת להיות אצל אביה אין אמה יכולה לכופה להיות אצלה </w:t>
      </w:r>
      <w:r>
        <w:rPr>
          <w:rFonts w:cs="Arial" w:hint="cs"/>
          <w:rtl/>
        </w:rPr>
        <w:t>(</w:t>
      </w:r>
      <w:r w:rsidRPr="00470E2C">
        <w:rPr>
          <w:rFonts w:cs="Arial"/>
          <w:rtl/>
        </w:rPr>
        <w:t>הר"ם פדואה שם</w:t>
      </w:r>
      <w:r>
        <w:rPr>
          <w:rFonts w:cs="Arial" w:hint="cs"/>
          <w:rtl/>
        </w:rPr>
        <w:t>)</w:t>
      </w:r>
      <w:r w:rsidRPr="00470E2C">
        <w:rPr>
          <w:rFonts w:cs="Arial"/>
          <w:rtl/>
        </w:rPr>
        <w:t>. אפילו תלך האם לעיר אחרת תהיה עמה</w:t>
      </w:r>
      <w:r>
        <w:rPr>
          <w:rFonts w:cs="Arial" w:hint="cs"/>
          <w:rtl/>
        </w:rPr>
        <w:t>,</w:t>
      </w:r>
      <w:r w:rsidRPr="00470E2C">
        <w:rPr>
          <w:rFonts w:cs="Arial"/>
          <w:rtl/>
        </w:rPr>
        <w:t xml:space="preserve"> מהריב"ל. ורשד"ם חולק כמ"ש לעיל סימן פ' סקט"ו</w:t>
      </w:r>
      <w:r>
        <w:rPr>
          <w:rFonts w:cs="Arial" w:hint="cs"/>
          <w:rtl/>
        </w:rPr>
        <w:t>, באה"ט (סק"ו).</w:t>
      </w:r>
    </w:p>
  </w:footnote>
  <w:footnote w:id="1563">
    <w:p w14:paraId="6A00D12B" w14:textId="77777777" w:rsidR="00DF1FC7" w:rsidRDefault="00DF1FC7" w:rsidP="002E5BAD">
      <w:pPr>
        <w:pStyle w:val="a5"/>
      </w:pPr>
      <w:r>
        <w:rPr>
          <w:rStyle w:val="a7"/>
        </w:rPr>
        <w:footnoteRef/>
      </w:r>
      <w:r>
        <w:rPr>
          <w:rtl/>
        </w:rPr>
        <w:t xml:space="preserve"> </w:t>
      </w:r>
      <w:r w:rsidRPr="00E31FD6">
        <w:rPr>
          <w:rFonts w:cs="Arial"/>
          <w:rtl/>
        </w:rPr>
        <w:t>המעיין בתשובה יראה שהרב לא החליט הדין למעשה רק שכ' שאין הדבר פשוט כ"כ שיהיה הדין עם האם דיש מקום לומר אם הב"ד רואה שטוב ליתומים להיות אצל בית אביה הרשות ביד הבית דין ולא אמרו בגמרא הבת אצל אמה אלא בשניהם שוים ועוד דאפשר לומר דאם אין הבת רוצה להיות אצל אמה הרשות בידה ודקדק כן מל' רש"י ולא אמרו בגמרא הבת אצל האם אלא בדלא איכפ' לה לבת אצל מי תהיה ולפ"ז מ"ש כאן הרב אין האם יכולה לכוף היינו את הבת אינה יכולה לכוף אם אינה רוצה להיות אצל האם אבל אם הבת שותקת ולא איכפת לה אף שלב"ד נראה שטוב לה אצל בית אביה מ"מ יש להתיישב בדבר למעשה אם לעקור מה שאמרו חכמים הבת אצל האם בשביל אומדנא של הב"ד</w:t>
      </w:r>
      <w:r>
        <w:rPr>
          <w:rFonts w:cs="Arial" w:hint="cs"/>
          <w:rtl/>
        </w:rPr>
        <w:t>, ח"מ (סק"י). והביא הב"ש (סק"י) את קיצור דבריו.</w:t>
      </w:r>
    </w:p>
  </w:footnote>
  <w:footnote w:id="1564">
    <w:p w14:paraId="3C655455" w14:textId="77777777" w:rsidR="00DF1FC7" w:rsidRDefault="00DF1FC7" w:rsidP="002E5BAD">
      <w:pPr>
        <w:pStyle w:val="a5"/>
      </w:pPr>
      <w:r>
        <w:rPr>
          <w:rStyle w:val="a7"/>
        </w:rPr>
        <w:footnoteRef/>
      </w:r>
      <w:r>
        <w:rPr>
          <w:rtl/>
        </w:rPr>
        <w:t xml:space="preserve"> </w:t>
      </w:r>
      <w:r w:rsidRPr="003215D7">
        <w:rPr>
          <w:rFonts w:cs="Arial"/>
          <w:rtl/>
        </w:rPr>
        <w:t>כ' בח"מ אם אין האב קיים אפשר לומר שיש לאם אמה עילוי על בית אביה לגדל הבנים עד שש שנים גם להיות הבת אצלה</w:t>
      </w:r>
      <w:r>
        <w:rPr>
          <w:rFonts w:cs="Arial" w:hint="cs"/>
          <w:rtl/>
        </w:rPr>
        <w:t>, ב"ש (סקי"א).</w:t>
      </w:r>
    </w:p>
  </w:footnote>
  <w:footnote w:id="1565">
    <w:p w14:paraId="1661286F" w14:textId="77777777" w:rsidR="00DF1FC7" w:rsidRDefault="00DF1FC7" w:rsidP="002E5BAD">
      <w:pPr>
        <w:pStyle w:val="a5"/>
      </w:pPr>
      <w:r>
        <w:rPr>
          <w:rStyle w:val="a7"/>
        </w:rPr>
        <w:footnoteRef/>
      </w:r>
      <w:r>
        <w:rPr>
          <w:rtl/>
        </w:rPr>
        <w:t xml:space="preserve"> </w:t>
      </w:r>
      <w:r w:rsidRPr="00E31FD6">
        <w:rPr>
          <w:rFonts w:cs="Arial"/>
          <w:rtl/>
        </w:rPr>
        <w:t>כי בזה לא שייך דברי הה"מ שהביא הח"מ סק"ח ע"ש וכ"כ הבה"ט סק"ה בשם רשד"ם סי' קכ"ג</w:t>
      </w:r>
      <w:r>
        <w:rPr>
          <w:rFonts w:cs="Arial" w:hint="cs"/>
          <w:rtl/>
        </w:rPr>
        <w:t>, פת"ש (סק"ד).</w:t>
      </w:r>
    </w:p>
  </w:footnote>
  <w:footnote w:id="1566">
    <w:p w14:paraId="2858DEDA" w14:textId="77777777" w:rsidR="00DF1FC7" w:rsidRDefault="00DF1FC7" w:rsidP="002E5BAD">
      <w:pPr>
        <w:pStyle w:val="a5"/>
        <w:rPr>
          <w:rtl/>
        </w:rPr>
      </w:pPr>
      <w:r>
        <w:rPr>
          <w:rStyle w:val="a7"/>
        </w:rPr>
        <w:footnoteRef/>
      </w:r>
      <w:r>
        <w:rPr>
          <w:rtl/>
        </w:rPr>
        <w:t xml:space="preserve"> </w:t>
      </w:r>
      <w:r w:rsidRPr="00E31FD6">
        <w:rPr>
          <w:rFonts w:cs="Arial"/>
          <w:rtl/>
        </w:rPr>
        <w:t>כאן משמע שאין על האם שום חיוב לגדל את בניה אחר שגמלתן וכבר כתבתי שגם קודם שגמלתן אין עליה חיוב להניק בחנם ודלא כמ"ש לעיל בסעיף ה' בשם ר' ירוחם שאם אין לאב כופין אותה</w:t>
      </w:r>
      <w:r>
        <w:rPr>
          <w:rFonts w:hint="cs"/>
          <w:rtl/>
        </w:rPr>
        <w:t>, ח"מ (סקי"ב).</w:t>
      </w:r>
    </w:p>
  </w:footnote>
  <w:footnote w:id="1567">
    <w:p w14:paraId="746A1155" w14:textId="77777777" w:rsidR="00DF1FC7" w:rsidRDefault="00DF1FC7" w:rsidP="002E5BAD">
      <w:pPr>
        <w:pStyle w:val="a5"/>
      </w:pPr>
      <w:r>
        <w:rPr>
          <w:rStyle w:val="a7"/>
        </w:rPr>
        <w:footnoteRef/>
      </w:r>
      <w:r>
        <w:rPr>
          <w:rtl/>
        </w:rPr>
        <w:t xml:space="preserve"> </w:t>
      </w:r>
      <w:r>
        <w:rPr>
          <w:rFonts w:cs="Arial"/>
          <w:rtl/>
        </w:rPr>
        <w:t>ופסקו הרי"ף (כח:) והרמב"ם (שם) והרא"ש (סי' ב) כמותו משום דשקלי וטרו בגמרא אליביה ופירש רש"י (ד"ה ובזמן) דטעמא דבזמן שבגלוי לו שני חלקים משום דהבשת שלו ועוד שנמאסת עליו והוא סובל. וכתב הרמב"ם בפ"ד מהלכות חובל (שם) דבגלוי היינו כגון שחבל בפניה ובצוארה או בידיה וזרועותיה</w:t>
      </w:r>
      <w:r>
        <w:rPr>
          <w:rFonts w:cs="Arial" w:hint="cs"/>
          <w:rtl/>
        </w:rPr>
        <w:t>, ב"י.</w:t>
      </w:r>
    </w:p>
  </w:footnote>
  <w:footnote w:id="1568">
    <w:p w14:paraId="2427D64D" w14:textId="77777777" w:rsidR="00DF1FC7" w:rsidRDefault="00DF1FC7" w:rsidP="002E5BAD">
      <w:pPr>
        <w:pStyle w:val="a5"/>
      </w:pPr>
      <w:r>
        <w:rPr>
          <w:rStyle w:val="a7"/>
        </w:rPr>
        <w:footnoteRef/>
      </w:r>
      <w:r>
        <w:rPr>
          <w:rtl/>
        </w:rPr>
        <w:t xml:space="preserve"> </w:t>
      </w:r>
      <w:r>
        <w:rPr>
          <w:rFonts w:cs="Arial"/>
          <w:rtl/>
        </w:rPr>
        <w:t>כל ימי החולי רואין אותו כאלו הוא שומר קישואין ונותן שכירותו של כל יום שהרי אין ראוי למלאכה כבדה אפילו בלא חולי שהרי כבר נקטעה ידו ורגלו והוא כבר נתן לו דמיהן</w:t>
      </w:r>
      <w:r>
        <w:rPr>
          <w:rFonts w:cs="Arial" w:hint="cs"/>
          <w:rtl/>
        </w:rPr>
        <w:t>, רש"י.</w:t>
      </w:r>
    </w:p>
  </w:footnote>
  <w:footnote w:id="1569">
    <w:p w14:paraId="27551B85" w14:textId="77777777" w:rsidR="00DF1FC7" w:rsidRDefault="00DF1FC7" w:rsidP="002E5BAD">
      <w:pPr>
        <w:pStyle w:val="a5"/>
      </w:pPr>
      <w:r>
        <w:rPr>
          <w:rStyle w:val="a7"/>
        </w:rPr>
        <w:footnoteRef/>
      </w:r>
      <w:r>
        <w:rPr>
          <w:rtl/>
        </w:rPr>
        <w:t xml:space="preserve"> </w:t>
      </w:r>
      <w:r>
        <w:rPr>
          <w:rFonts w:cs="Arial"/>
          <w:rtl/>
        </w:rPr>
        <w:t>דמי ידו</w:t>
      </w:r>
      <w:r>
        <w:rPr>
          <w:rFonts w:cs="Arial" w:hint="cs"/>
          <w:rtl/>
        </w:rPr>
        <w:t>, רש"י.</w:t>
      </w:r>
    </w:p>
  </w:footnote>
  <w:footnote w:id="1570">
    <w:p w14:paraId="070D851A" w14:textId="77777777" w:rsidR="00DF1FC7" w:rsidRDefault="00DF1FC7" w:rsidP="002E5BAD">
      <w:pPr>
        <w:pStyle w:val="a5"/>
        <w:rPr>
          <w:rtl/>
        </w:rPr>
      </w:pPr>
      <w:r>
        <w:rPr>
          <w:rStyle w:val="a7"/>
        </w:rPr>
        <w:footnoteRef/>
      </w:r>
      <w:r>
        <w:rPr>
          <w:rtl/>
        </w:rPr>
        <w:t xml:space="preserve"> </w:t>
      </w:r>
      <w:r>
        <w:rPr>
          <w:rFonts w:cs="Arial"/>
          <w:rtl/>
        </w:rPr>
        <w:t>כל ימים שיפול למשכב רואין אותו כאילו הוא שומר קישואין</w:t>
      </w:r>
      <w:r>
        <w:rPr>
          <w:rFonts w:hint="cs"/>
          <w:rtl/>
        </w:rPr>
        <w:t>, רש"י.</w:t>
      </w:r>
    </w:p>
  </w:footnote>
  <w:footnote w:id="1571">
    <w:p w14:paraId="2CB7EA5F" w14:textId="77777777" w:rsidR="00DF1FC7" w:rsidRDefault="00DF1FC7" w:rsidP="002E5BAD">
      <w:pPr>
        <w:pStyle w:val="a5"/>
      </w:pPr>
      <w:r>
        <w:rPr>
          <w:rStyle w:val="a7"/>
        </w:rPr>
        <w:footnoteRef/>
      </w:r>
      <w:r>
        <w:rPr>
          <w:rtl/>
        </w:rPr>
        <w:t xml:space="preserve"> </w:t>
      </w:r>
      <w:r>
        <w:rPr>
          <w:rFonts w:cs="Arial"/>
          <w:rtl/>
        </w:rPr>
        <w:t>עד שיחזור לקדמותו נותן לו בכל יום כמו שנשכרים פועלים בשוק ולא כשומר קישואין דהא לרבא לא יהיב ליה דמי ידו</w:t>
      </w:r>
      <w:r>
        <w:rPr>
          <w:rFonts w:cs="Arial" w:hint="cs"/>
          <w:rtl/>
        </w:rPr>
        <w:t>, רש"י.</w:t>
      </w:r>
    </w:p>
  </w:footnote>
  <w:footnote w:id="1572">
    <w:p w14:paraId="26A713A2" w14:textId="77777777" w:rsidR="00DF1FC7" w:rsidRDefault="00DF1FC7" w:rsidP="002E5BAD">
      <w:pPr>
        <w:pStyle w:val="a5"/>
      </w:pPr>
      <w:r>
        <w:rPr>
          <w:rStyle w:val="a7"/>
        </w:rPr>
        <w:footnoteRef/>
      </w:r>
      <w:r>
        <w:rPr>
          <w:rtl/>
        </w:rPr>
        <w:t xml:space="preserve"> </w:t>
      </w:r>
      <w:r>
        <w:rPr>
          <w:rFonts w:cs="Arial"/>
          <w:rtl/>
        </w:rPr>
        <w:t>דין אשה שחבלה בבעלה ואיש שחבל באשתו כתב רבינו בטור חשן המשפט סימן תכ"ג</w:t>
      </w:r>
      <w:r>
        <w:rPr>
          <w:rFonts w:cs="Arial" w:hint="cs"/>
          <w:rtl/>
        </w:rPr>
        <w:t>, ב"י.</w:t>
      </w:r>
    </w:p>
  </w:footnote>
  <w:footnote w:id="1573">
    <w:p w14:paraId="72A8EE83" w14:textId="77777777" w:rsidR="00DF1FC7" w:rsidRDefault="00DF1FC7" w:rsidP="002E5BAD">
      <w:pPr>
        <w:pStyle w:val="a5"/>
      </w:pPr>
      <w:r>
        <w:rPr>
          <w:rStyle w:val="a7"/>
        </w:rPr>
        <w:footnoteRef/>
      </w:r>
      <w:r>
        <w:rPr>
          <w:rtl/>
        </w:rPr>
        <w:t xml:space="preserve"> </w:t>
      </w:r>
      <w:r>
        <w:rPr>
          <w:rFonts w:cs="Arial"/>
          <w:rtl/>
        </w:rPr>
        <w:t>לאו שלו לגמרי קאמר דהא אף במומין שבגלוי יש לה חלק כדבסמוך אלא היינו לומר דיש לו חלק בהם</w:t>
      </w:r>
      <w:r>
        <w:rPr>
          <w:rFonts w:cs="Arial" w:hint="cs"/>
          <w:rtl/>
        </w:rPr>
        <w:t>.</w:t>
      </w:r>
      <w:r>
        <w:rPr>
          <w:rFonts w:cs="Arial"/>
          <w:rtl/>
        </w:rPr>
        <w:t xml:space="preserve"> א"נ</w:t>
      </w:r>
      <w:r>
        <w:rPr>
          <w:rFonts w:cs="Arial" w:hint="cs"/>
          <w:rtl/>
        </w:rPr>
        <w:t>,</w:t>
      </w:r>
      <w:r>
        <w:rPr>
          <w:rFonts w:cs="Arial"/>
          <w:rtl/>
        </w:rPr>
        <w:t xml:space="preserve"> דכיון דאפילו חלק שלה ילקח בו קרקע והוא אוכל פירות שפיר מיקרי שלו</w:t>
      </w:r>
      <w:r>
        <w:rPr>
          <w:rFonts w:cs="Arial" w:hint="cs"/>
          <w:rtl/>
        </w:rPr>
        <w:t>, ב"י.</w:t>
      </w:r>
    </w:p>
  </w:footnote>
  <w:footnote w:id="1574">
    <w:p w14:paraId="55D30E6D" w14:textId="77777777" w:rsidR="00DF1FC7" w:rsidRDefault="00DF1FC7" w:rsidP="002E5BAD">
      <w:pPr>
        <w:pStyle w:val="a5"/>
      </w:pPr>
      <w:r>
        <w:rPr>
          <w:rStyle w:val="a7"/>
        </w:rPr>
        <w:footnoteRef/>
      </w:r>
      <w:r>
        <w:rPr>
          <w:rtl/>
        </w:rPr>
        <w:t xml:space="preserve"> </w:t>
      </w:r>
      <w:r>
        <w:rPr>
          <w:rFonts w:cs="Arial" w:hint="cs"/>
          <w:rtl/>
        </w:rPr>
        <w:t>ו</w:t>
      </w:r>
      <w:r>
        <w:rPr>
          <w:rFonts w:cs="Arial"/>
          <w:rtl/>
        </w:rPr>
        <w:t xml:space="preserve">הרא"ש </w:t>
      </w:r>
      <w:r>
        <w:rPr>
          <w:rFonts w:cs="Arial" w:hint="cs"/>
          <w:rtl/>
        </w:rPr>
        <w:t xml:space="preserve">כתב דלא נהירא כדברי </w:t>
      </w:r>
      <w:r>
        <w:rPr>
          <w:rFonts w:cs="Arial"/>
          <w:rtl/>
        </w:rPr>
        <w:t>הרמב"ם</w:t>
      </w:r>
      <w:r>
        <w:rPr>
          <w:rFonts w:cs="Arial" w:hint="cs"/>
          <w:rtl/>
        </w:rPr>
        <w:t xml:space="preserve"> בזה. וכתב הב"י דדברי הרמב"ם מתיישבים </w:t>
      </w:r>
      <w:r>
        <w:rPr>
          <w:rFonts w:cs="Arial"/>
          <w:rtl/>
        </w:rPr>
        <w:t>מתוך דברי הרב המגיד שכתב שהריפוי ינתן לבעל מפני שהוא חייב לרפאתה</w:t>
      </w:r>
      <w:r>
        <w:rPr>
          <w:rFonts w:cs="Arial" w:hint="cs"/>
          <w:rtl/>
        </w:rPr>
        <w:t>.</w:t>
      </w:r>
      <w:r>
        <w:rPr>
          <w:rFonts w:cs="Arial"/>
          <w:rtl/>
        </w:rPr>
        <w:t xml:space="preserve"> וכן כתב הר"ן בר</w:t>
      </w:r>
      <w:r>
        <w:rPr>
          <w:rFonts w:cs="Arial" w:hint="cs"/>
          <w:rtl/>
        </w:rPr>
        <w:t>"</w:t>
      </w:r>
      <w:r>
        <w:rPr>
          <w:rFonts w:cs="Arial"/>
          <w:rtl/>
        </w:rPr>
        <w:t>פ מציאת האשה (כח: ד"ה מציאת) דהא דלא תנא במתניתין ריפוי משום דלדידיה בעי למיתן דהא איהו מחייב לרפאתה</w:t>
      </w:r>
      <w:r>
        <w:rPr>
          <w:rFonts w:hint="cs"/>
          <w:rtl/>
        </w:rPr>
        <w:t>.</w:t>
      </w:r>
    </w:p>
  </w:footnote>
  <w:footnote w:id="1575">
    <w:p w14:paraId="1CDD48BC" w14:textId="77777777" w:rsidR="00DF1FC7" w:rsidRDefault="00DF1FC7" w:rsidP="002E5BAD">
      <w:pPr>
        <w:pStyle w:val="a5"/>
      </w:pPr>
      <w:r>
        <w:rPr>
          <w:rStyle w:val="a7"/>
        </w:rPr>
        <w:footnoteRef/>
      </w:r>
      <w:r>
        <w:rPr>
          <w:rtl/>
        </w:rPr>
        <w:t xml:space="preserve"> </w:t>
      </w:r>
      <w:r>
        <w:rPr>
          <w:rFonts w:cs="Arial"/>
          <w:rtl/>
        </w:rPr>
        <w:t>וכתבו הרב המגיד והר"ן (כח: ד"ה גמ' תנן) בשם הרשב"א (סה: ד"ה שלו) שיש נותנים טעם לדברי הרמב"ם משום דמדינא בשתה ופגמה שלה כרבנן</w:t>
      </w:r>
      <w:r>
        <w:rPr>
          <w:rFonts w:cs="Arial" w:hint="cs"/>
          <w:rtl/>
        </w:rPr>
        <w:t>,</w:t>
      </w:r>
      <w:r>
        <w:rPr>
          <w:rFonts w:cs="Arial"/>
          <w:rtl/>
        </w:rPr>
        <w:t xml:space="preserve"> ועד כאן לא פליג רבי יהודה בן בתירא אלא משום דאית ליה בושת בבשתה ומצטער בפגמה כדאיתא בירושלמי (כתובות פ"ו סוף ה"א)</w:t>
      </w:r>
      <w:r>
        <w:rPr>
          <w:rFonts w:cs="Arial" w:hint="cs"/>
          <w:rtl/>
        </w:rPr>
        <w:t>,</w:t>
      </w:r>
      <w:r>
        <w:rPr>
          <w:rFonts w:cs="Arial"/>
          <w:rtl/>
        </w:rPr>
        <w:t xml:space="preserve"> והילכך כשהוא בעצמו חבל בה מפני מה נוטל שהוא בייש את עצמו</w:t>
      </w:r>
      <w:r>
        <w:rPr>
          <w:rFonts w:cs="Arial" w:hint="cs"/>
          <w:rtl/>
        </w:rPr>
        <w:t>.</w:t>
      </w:r>
      <w:r>
        <w:rPr>
          <w:rFonts w:cs="Arial"/>
          <w:rtl/>
        </w:rPr>
        <w:t xml:space="preserve"> וכתב הר"ן על זה דאכתי הוא תמה על הרמב"ם למה אין הבעל אוכל פירות</w:t>
      </w:r>
      <w:r>
        <w:rPr>
          <w:rFonts w:cs="Arial" w:hint="cs"/>
          <w:rtl/>
        </w:rPr>
        <w:t>,</w:t>
      </w:r>
      <w:r>
        <w:rPr>
          <w:rFonts w:cs="Arial"/>
          <w:rtl/>
        </w:rPr>
        <w:t xml:space="preserve"> והאריך בזה</w:t>
      </w:r>
      <w:r>
        <w:rPr>
          <w:rFonts w:cs="Arial" w:hint="cs"/>
          <w:rtl/>
        </w:rPr>
        <w:t>.</w:t>
      </w:r>
      <w:r>
        <w:rPr>
          <w:rFonts w:cs="Arial"/>
          <w:rtl/>
        </w:rPr>
        <w:t xml:space="preserve"> ומיהו רבינו כתב בסימן פ"ה (קכה.) בשם הגאונים דקנסו אותו שאין לו בו כלום ואינו אוכל פירותיהם</w:t>
      </w:r>
      <w:r>
        <w:rPr>
          <w:rFonts w:cs="Arial" w:hint="cs"/>
          <w:rtl/>
        </w:rPr>
        <w:t>,</w:t>
      </w:r>
      <w:r>
        <w:rPr>
          <w:rFonts w:cs="Arial"/>
          <w:rtl/>
        </w:rPr>
        <w:t xml:space="preserve"> וכך הם דברי הראב"ד שהביא רבינו כאן</w:t>
      </w:r>
      <w:r>
        <w:rPr>
          <w:rFonts w:cs="Arial" w:hint="cs"/>
          <w:rtl/>
        </w:rPr>
        <w:t>, ב"י.</w:t>
      </w:r>
    </w:p>
  </w:footnote>
  <w:footnote w:id="1576">
    <w:p w14:paraId="703C25AB" w14:textId="77777777" w:rsidR="00DF1FC7" w:rsidRDefault="00DF1FC7" w:rsidP="002E5BAD">
      <w:pPr>
        <w:pStyle w:val="a5"/>
      </w:pPr>
      <w:r>
        <w:rPr>
          <w:rStyle w:val="a7"/>
        </w:rPr>
        <w:footnoteRef/>
      </w:r>
      <w:r>
        <w:rPr>
          <w:rtl/>
        </w:rPr>
        <w:t xml:space="preserve"> </w:t>
      </w:r>
      <w:r>
        <w:rPr>
          <w:rFonts w:hint="cs"/>
          <w:rtl/>
        </w:rPr>
        <w:t xml:space="preserve">וז"ל- </w:t>
      </w:r>
      <w:r>
        <w:rPr>
          <w:rFonts w:cs="Arial"/>
          <w:rtl/>
        </w:rPr>
        <w:t>א"א תימה הוא למה הורו שישלם הכל הרי הוא נוטל בשל אחרים שליש או שני שלישים וכשחבל בה הוא למה ישלם הכל. ואולי טעה בדבריהם שלא אמרו אלא על מה שראוי לה וקנסו אותו שלא יאכל מהם פירות דבמקום פסידא לא תקון רבנן והוא עושה שלא כהוגן דין הוא שלא יהא חוטא נשכר</w:t>
      </w:r>
      <w:r>
        <w:rPr>
          <w:rFonts w:cs="Arial" w:hint="cs"/>
          <w:rtl/>
        </w:rPr>
        <w:t>.</w:t>
      </w:r>
    </w:p>
  </w:footnote>
  <w:footnote w:id="1577">
    <w:p w14:paraId="4E7DF500" w14:textId="77777777" w:rsidR="00DF1FC7" w:rsidRDefault="00DF1FC7" w:rsidP="002E5BAD">
      <w:pPr>
        <w:pStyle w:val="a5"/>
      </w:pPr>
      <w:r>
        <w:rPr>
          <w:rStyle w:val="a7"/>
        </w:rPr>
        <w:footnoteRef/>
      </w:r>
      <w:r>
        <w:rPr>
          <w:rtl/>
        </w:rPr>
        <w:t xml:space="preserve"> </w:t>
      </w:r>
      <w:r>
        <w:rPr>
          <w:rFonts w:cs="Arial"/>
          <w:rtl/>
        </w:rPr>
        <w:t>פשוט הוא דכיון דבחלקה יש לו זכות שהרי הוא אוכל פירות היאך תוכל היא למחול זכותו</w:t>
      </w:r>
      <w:r>
        <w:rPr>
          <w:rFonts w:cs="Arial" w:hint="cs"/>
          <w:rtl/>
        </w:rPr>
        <w:t>, ב"י.</w:t>
      </w:r>
    </w:p>
  </w:footnote>
  <w:footnote w:id="1578">
    <w:p w14:paraId="512CDFC9" w14:textId="77777777" w:rsidR="00DF1FC7" w:rsidRDefault="00DF1FC7" w:rsidP="002E5BAD">
      <w:pPr>
        <w:pStyle w:val="a5"/>
      </w:pPr>
      <w:r>
        <w:rPr>
          <w:rStyle w:val="a7"/>
        </w:rPr>
        <w:footnoteRef/>
      </w:r>
      <w:r>
        <w:rPr>
          <w:rtl/>
        </w:rPr>
        <w:t xml:space="preserve"> </w:t>
      </w:r>
      <w:r>
        <w:rPr>
          <w:rFonts w:cs="Arial"/>
          <w:rtl/>
        </w:rPr>
        <w:t>פשיטא דהיינו דוקא לחלקים שלה</w:t>
      </w:r>
      <w:r>
        <w:rPr>
          <w:rFonts w:cs="Arial" w:hint="cs"/>
          <w:rtl/>
        </w:rPr>
        <w:t>,</w:t>
      </w:r>
      <w:r>
        <w:rPr>
          <w:rFonts w:cs="Arial"/>
          <w:rtl/>
        </w:rPr>
        <w:t xml:space="preserve"> וכדאמר אביי בסוף פרק השולח (גיטין מח:) בעל בנכסי אשתו צריך הרשאה</w:t>
      </w:r>
      <w:r>
        <w:rPr>
          <w:rFonts w:cs="Arial" w:hint="cs"/>
          <w:rtl/>
        </w:rPr>
        <w:t>,</w:t>
      </w:r>
      <w:r>
        <w:rPr>
          <w:rFonts w:cs="Arial"/>
          <w:rtl/>
        </w:rPr>
        <w:t xml:space="preserve"> אבל לחלק דידיה בלא הרשאה נמי מצי תבע ליה</w:t>
      </w:r>
      <w:r>
        <w:rPr>
          <w:rFonts w:cs="Arial" w:hint="cs"/>
          <w:rtl/>
        </w:rPr>
        <w:t>, ב"י.</w:t>
      </w:r>
    </w:p>
  </w:footnote>
  <w:footnote w:id="1579">
    <w:p w14:paraId="4191F33E" w14:textId="77777777" w:rsidR="00DF1FC7" w:rsidRDefault="00DF1FC7" w:rsidP="002E5BAD">
      <w:pPr>
        <w:pStyle w:val="a5"/>
      </w:pPr>
      <w:r>
        <w:rPr>
          <w:rStyle w:val="a7"/>
        </w:rPr>
        <w:footnoteRef/>
      </w:r>
      <w:r>
        <w:rPr>
          <w:rFonts w:hint="cs"/>
          <w:rtl/>
        </w:rPr>
        <w:t xml:space="preserve"> </w:t>
      </w:r>
      <w:r>
        <w:rPr>
          <w:rFonts w:cs="Arial"/>
          <w:rtl/>
        </w:rPr>
        <w:t>שותיה</w:t>
      </w:r>
      <w:r>
        <w:rPr>
          <w:rFonts w:cs="Arial" w:hint="cs"/>
          <w:sz w:val="16"/>
          <w:szCs w:val="16"/>
          <w:rtl/>
        </w:rPr>
        <w:t xml:space="preserve"> {שיחתו, ע"פ קידושין ע:, שותא - שיחה}</w:t>
      </w:r>
      <w:r>
        <w:rPr>
          <w:rFonts w:cs="Arial"/>
          <w:rtl/>
        </w:rPr>
        <w:t xml:space="preserve"> דמר לא ידענא דהא אמרינן בפרק החובל (צא.) זאת אומרת ביישו בדברים פטור מכלום</w:t>
      </w:r>
      <w:r>
        <w:rPr>
          <w:rFonts w:cs="Arial" w:hint="cs"/>
          <w:rtl/>
        </w:rPr>
        <w:t>,</w:t>
      </w:r>
      <w:r>
        <w:rPr>
          <w:rFonts w:cs="Arial"/>
          <w:rtl/>
        </w:rPr>
        <w:t xml:space="preserve"> וכ"כ הוא ז"ל בטור חושן משפט סימן ת"כ (סעיף כט צח:)</w:t>
      </w:r>
      <w:r>
        <w:rPr>
          <w:rFonts w:cs="Arial" w:hint="cs"/>
          <w:rtl/>
        </w:rPr>
        <w:t>,</w:t>
      </w:r>
      <w:r>
        <w:rPr>
          <w:rFonts w:cs="Arial"/>
          <w:rtl/>
        </w:rPr>
        <w:t xml:space="preserve"> ואם כן מה חלק וחלקים שייך ביה</w:t>
      </w:r>
      <w:r>
        <w:rPr>
          <w:rFonts w:cs="Arial" w:hint="cs"/>
          <w:rtl/>
        </w:rPr>
        <w:t>, ב"י.</w:t>
      </w:r>
      <w:r>
        <w:rPr>
          <w:rtl/>
        </w:rPr>
        <w:t xml:space="preserve"> </w:t>
      </w:r>
      <w:r>
        <w:rPr>
          <w:rFonts w:cs="Arial" w:hint="cs"/>
          <w:rtl/>
        </w:rPr>
        <w:t>וכתב הדרכ"מ (אות א)</w:t>
      </w:r>
      <w:r w:rsidRPr="006265B1">
        <w:rPr>
          <w:rFonts w:cs="Arial"/>
          <w:rtl/>
        </w:rPr>
        <w:t xml:space="preserve"> ולי נראה דודאי מדינא פטור אבל הרוצה לצאת ידי שמים ונותן לה דמי בשתה כדי שתתפייס ותמחול לו</w:t>
      </w:r>
      <w:r>
        <w:rPr>
          <w:rFonts w:cs="Arial" w:hint="cs"/>
          <w:rtl/>
        </w:rPr>
        <w:t>,</w:t>
      </w:r>
      <w:r w:rsidRPr="006265B1">
        <w:rPr>
          <w:rFonts w:cs="Arial"/>
          <w:rtl/>
        </w:rPr>
        <w:t xml:space="preserve"> או שנידוהו עד שיפייסנה</w:t>
      </w:r>
      <w:r>
        <w:rPr>
          <w:rFonts w:cs="Arial" w:hint="cs"/>
          <w:rtl/>
        </w:rPr>
        <w:t xml:space="preserve"> </w:t>
      </w:r>
      <w:r w:rsidRPr="006265B1">
        <w:rPr>
          <w:rFonts w:cs="Arial"/>
          <w:rtl/>
        </w:rPr>
        <w:t xml:space="preserve"> כמו שמבואר בסימן ת"ך (עמ' תקע) בחו</w:t>
      </w:r>
      <w:r>
        <w:rPr>
          <w:rFonts w:cs="Arial" w:hint="cs"/>
          <w:rtl/>
        </w:rPr>
        <w:t>"מ</w:t>
      </w:r>
      <w:r w:rsidRPr="006265B1">
        <w:rPr>
          <w:rFonts w:cs="Arial"/>
          <w:rtl/>
        </w:rPr>
        <w:t xml:space="preserve"> ועיין שם בסימן א' (סעי' יב)</w:t>
      </w:r>
      <w:r>
        <w:rPr>
          <w:rFonts w:cs="Arial" w:hint="cs"/>
          <w:rtl/>
        </w:rPr>
        <w:t>,</w:t>
      </w:r>
      <w:r w:rsidRPr="006265B1">
        <w:rPr>
          <w:rFonts w:cs="Arial"/>
          <w:rtl/>
        </w:rPr>
        <w:t xml:space="preserve"> בזה יש לומר שיש לבעל חלק בממון</w:t>
      </w:r>
      <w:r>
        <w:rPr>
          <w:rFonts w:cs="Arial" w:hint="cs"/>
          <w:rtl/>
        </w:rPr>
        <w:t>.</w:t>
      </w:r>
      <w:r>
        <w:rPr>
          <w:rFonts w:hint="cs"/>
          <w:rtl/>
        </w:rPr>
        <w:t xml:space="preserve"> </w:t>
      </w:r>
      <w:r w:rsidRPr="00D06CE2">
        <w:rPr>
          <w:rFonts w:hint="cs"/>
          <w:color w:val="00B0F0"/>
          <w:rtl/>
        </w:rPr>
        <w:t>(וכ"פ בהגה)</w:t>
      </w:r>
      <w:r>
        <w:rPr>
          <w:rFonts w:hint="cs"/>
          <w:rtl/>
        </w:rPr>
        <w:t xml:space="preserve"> וכעין זה תירץ כנה"ג</w:t>
      </w:r>
      <w:r w:rsidRPr="00905EA4">
        <w:rPr>
          <w:rFonts w:hint="cs"/>
          <w:sz w:val="16"/>
          <w:szCs w:val="16"/>
          <w:rtl/>
        </w:rPr>
        <w:t xml:space="preserve"> (הגב"י אעה"ז סי' פג אות א)</w:t>
      </w:r>
      <w:r>
        <w:rPr>
          <w:rFonts w:hint="cs"/>
          <w:rtl/>
        </w:rPr>
        <w:t xml:space="preserve"> וז"ל- </w:t>
      </w:r>
      <w:r w:rsidRPr="00905EA4">
        <w:rPr>
          <w:rFonts w:cs="Arial"/>
          <w:rtl/>
        </w:rPr>
        <w:t>יש לתרץ בעד הרב בעל הטורים, דמייתי בזמן הזה דנהגו לקנוס המבייש בדברים, כמ"ש הטור והרב המחבר ז"ל בח"מ סימן ת"ך בשם רב שרירא. ושוב נדפסו תשובות הר"ש הלוי וראיתי בחלק א"ה סי"ו תירץ כן</w:t>
      </w:r>
      <w:r>
        <w:rPr>
          <w:rFonts w:cs="Arial" w:hint="cs"/>
          <w:rtl/>
        </w:rPr>
        <w:t>.</w:t>
      </w:r>
      <w:r>
        <w:rPr>
          <w:rFonts w:hint="cs"/>
          <w:rtl/>
        </w:rPr>
        <w:t xml:space="preserve"> עכ"ל. והביא הב"ש (סק"ח) את דברי </w:t>
      </w:r>
      <w:r w:rsidRPr="00500A1A">
        <w:rPr>
          <w:rFonts w:cs="Arial"/>
          <w:rtl/>
        </w:rPr>
        <w:t>ה</w:t>
      </w:r>
      <w:r>
        <w:rPr>
          <w:rFonts w:cs="Arial" w:hint="cs"/>
          <w:rtl/>
        </w:rPr>
        <w:t>ה</w:t>
      </w:r>
      <w:r w:rsidRPr="00500A1A">
        <w:rPr>
          <w:rFonts w:cs="Arial"/>
          <w:rtl/>
        </w:rPr>
        <w:t>גה</w:t>
      </w:r>
      <w:r>
        <w:rPr>
          <w:rFonts w:cs="Arial" w:hint="cs"/>
          <w:rtl/>
        </w:rPr>
        <w:t>ו</w:t>
      </w:r>
      <w:r w:rsidRPr="00500A1A">
        <w:rPr>
          <w:rFonts w:cs="Arial"/>
          <w:rtl/>
        </w:rPr>
        <w:t xml:space="preserve">ת פרישה </w:t>
      </w:r>
      <w:r>
        <w:rPr>
          <w:rFonts w:cs="Arial" w:hint="cs"/>
          <w:rtl/>
        </w:rPr>
        <w:t>ש</w:t>
      </w:r>
      <w:r w:rsidRPr="00500A1A">
        <w:rPr>
          <w:rFonts w:cs="Arial"/>
          <w:rtl/>
        </w:rPr>
        <w:t xml:space="preserve">פירש </w:t>
      </w:r>
      <w:r>
        <w:rPr>
          <w:rFonts w:cs="Arial" w:hint="cs"/>
          <w:rtl/>
        </w:rPr>
        <w:t xml:space="preserve">את </w:t>
      </w:r>
      <w:r w:rsidRPr="00500A1A">
        <w:rPr>
          <w:rFonts w:cs="Arial"/>
          <w:rtl/>
        </w:rPr>
        <w:t>קושי</w:t>
      </w:r>
      <w:r>
        <w:rPr>
          <w:rFonts w:cs="Arial" w:hint="cs"/>
          <w:rtl/>
        </w:rPr>
        <w:t>ת</w:t>
      </w:r>
      <w:r w:rsidRPr="00500A1A">
        <w:rPr>
          <w:rFonts w:cs="Arial"/>
          <w:rtl/>
        </w:rPr>
        <w:t xml:space="preserve"> הב"י</w:t>
      </w:r>
      <w:r>
        <w:rPr>
          <w:rFonts w:cs="Arial" w:hint="cs"/>
          <w:rtl/>
        </w:rPr>
        <w:t xml:space="preserve"> כך-</w:t>
      </w:r>
      <w:r w:rsidRPr="00500A1A">
        <w:rPr>
          <w:rFonts w:cs="Arial"/>
          <w:rtl/>
        </w:rPr>
        <w:t xml:space="preserve"> הואיל ע"פ הדין המבייש בדברים פטור</w:t>
      </w:r>
      <w:r>
        <w:rPr>
          <w:rFonts w:cs="Arial" w:hint="cs"/>
          <w:rtl/>
        </w:rPr>
        <w:t>,</w:t>
      </w:r>
      <w:r w:rsidRPr="00500A1A">
        <w:rPr>
          <w:rFonts w:cs="Arial"/>
          <w:rtl/>
        </w:rPr>
        <w:t xml:space="preserve"> גם ע"פ הדין כל הנזק ובושת שייכים לה אלא חז"ל תיקנו לו חלק</w:t>
      </w:r>
      <w:r>
        <w:rPr>
          <w:rFonts w:cs="Arial" w:hint="cs"/>
          <w:rtl/>
        </w:rPr>
        <w:t>,</w:t>
      </w:r>
      <w:r w:rsidRPr="00500A1A">
        <w:rPr>
          <w:rFonts w:cs="Arial"/>
          <w:rtl/>
        </w:rPr>
        <w:t xml:space="preserve"> אם כן המבייש בדברים הוי תקנה לתקנה</w:t>
      </w:r>
      <w:r>
        <w:rPr>
          <w:rFonts w:hint="cs"/>
          <w:rtl/>
        </w:rPr>
        <w:t>.</w:t>
      </w:r>
    </w:p>
  </w:footnote>
  <w:footnote w:id="1580">
    <w:p w14:paraId="172D6778" w14:textId="77777777" w:rsidR="00DF1FC7" w:rsidRDefault="00DF1FC7" w:rsidP="002E5BAD">
      <w:pPr>
        <w:pStyle w:val="a5"/>
      </w:pPr>
      <w:r>
        <w:rPr>
          <w:rStyle w:val="a7"/>
        </w:rPr>
        <w:footnoteRef/>
      </w:r>
      <w:r>
        <w:rPr>
          <w:rtl/>
        </w:rPr>
        <w:t xml:space="preserve"> </w:t>
      </w:r>
      <w:r w:rsidRPr="00905EA4">
        <w:rPr>
          <w:rFonts w:cs="Arial"/>
          <w:rtl/>
        </w:rPr>
        <w:t>מה שהשבת לבעלה כתב בטור הטעם כיון שמעשה ידיה שלו והרי היא מתבטלת ממעשה ידיה</w:t>
      </w:r>
      <w:r>
        <w:rPr>
          <w:rFonts w:cs="Arial" w:hint="cs"/>
          <w:rtl/>
        </w:rPr>
        <w:t>,</w:t>
      </w:r>
      <w:r w:rsidRPr="00905EA4">
        <w:rPr>
          <w:rFonts w:cs="Arial"/>
          <w:rtl/>
        </w:rPr>
        <w:t xml:space="preserve"> ולפ"ז אם היא אשה שאין עליה חיוב לעשות רק לישב בקתדר</w:t>
      </w:r>
      <w:r>
        <w:rPr>
          <w:rFonts w:cs="Arial" w:hint="cs"/>
          <w:rtl/>
        </w:rPr>
        <w:t>א</w:t>
      </w:r>
      <w:r w:rsidRPr="00905EA4">
        <w:rPr>
          <w:rFonts w:cs="Arial"/>
          <w:rtl/>
        </w:rPr>
        <w:t xml:space="preserve"> ולעשות רק מעט מלאכה כדי שלא תבא לידי זימה כמבואר לעיל סי' פ'</w:t>
      </w:r>
      <w:r>
        <w:rPr>
          <w:rFonts w:cs="Arial" w:hint="cs"/>
          <w:rtl/>
        </w:rPr>
        <w:t>,</w:t>
      </w:r>
      <w:r w:rsidRPr="00905EA4">
        <w:rPr>
          <w:rFonts w:cs="Arial"/>
          <w:rtl/>
        </w:rPr>
        <w:t xml:space="preserve"> וא"כ היה מן הראוי שלא יהיה כל השבת לבעלה</w:t>
      </w:r>
      <w:r>
        <w:rPr>
          <w:rFonts w:cs="Arial" w:hint="cs"/>
          <w:rtl/>
        </w:rPr>
        <w:t>.</w:t>
      </w:r>
      <w:r w:rsidRPr="00905EA4">
        <w:rPr>
          <w:rFonts w:cs="Arial"/>
          <w:rtl/>
        </w:rPr>
        <w:t xml:space="preserve"> ומיהו כבר כתבתי לעיל סי' פ' שדעת הרשב"א שאף שאינה מחוייבת לעשות אם עשתה מעשה ידיה לבעלה</w:t>
      </w:r>
      <w:r>
        <w:rPr>
          <w:rFonts w:cs="Arial" w:hint="cs"/>
          <w:rtl/>
        </w:rPr>
        <w:t>,</w:t>
      </w:r>
      <w:r w:rsidRPr="00905EA4">
        <w:rPr>
          <w:rFonts w:cs="Arial"/>
          <w:rtl/>
        </w:rPr>
        <w:t xml:space="preserve"> וא"כ בכל אשה השבת לבעל שיכול הבעל לומר הייתי מפייס את אשתי שתעשה מלאכה כל היום </w:t>
      </w:r>
      <w:r w:rsidRPr="00B5155B">
        <w:rPr>
          <w:rFonts w:cs="Arial" w:hint="cs"/>
          <w:sz w:val="16"/>
          <w:szCs w:val="16"/>
          <w:rtl/>
        </w:rPr>
        <w:t>(</w:t>
      </w:r>
      <w:r w:rsidRPr="00B5155B">
        <w:rPr>
          <w:rFonts w:cs="Arial"/>
          <w:sz w:val="16"/>
          <w:szCs w:val="16"/>
          <w:rtl/>
        </w:rPr>
        <w:t>וכיצד שמין השבת במקום נזק נתבאר כאן בטור ובח"מ סי' ת"ך</w:t>
      </w:r>
      <w:r>
        <w:rPr>
          <w:rFonts w:cs="Arial" w:hint="cs"/>
          <w:sz w:val="16"/>
          <w:szCs w:val="16"/>
          <w:rtl/>
        </w:rPr>
        <w:t>)</w:t>
      </w:r>
      <w:r>
        <w:rPr>
          <w:rFonts w:cs="Arial" w:hint="cs"/>
          <w:rtl/>
        </w:rPr>
        <w:t>, ח"מ (סק"א). וכ"כ הב"ש (סק"א) אך סיים- ו</w:t>
      </w:r>
      <w:r w:rsidRPr="00B5155B">
        <w:rPr>
          <w:rFonts w:cs="Arial"/>
          <w:rtl/>
        </w:rPr>
        <w:t>מיהו דעת הרשב"א שם דעת יחידאי היא ובאומר</w:t>
      </w:r>
      <w:r>
        <w:rPr>
          <w:rFonts w:cs="Arial" w:hint="cs"/>
          <w:rtl/>
        </w:rPr>
        <w:t>ת</w:t>
      </w:r>
      <w:r w:rsidRPr="00B5155B">
        <w:rPr>
          <w:rFonts w:cs="Arial"/>
          <w:rtl/>
        </w:rPr>
        <w:t xml:space="preserve"> איני נזונית ואיני עושה אז אין לו שבת, ובסי' פ' כתבתי אם עושית בצמר כדי שלא תבא לידי זנות שלה הוא כשאומרת איני ניזונת ונ"מ ג"כ לענין שבת</w:t>
      </w:r>
      <w:r>
        <w:rPr>
          <w:rFonts w:hint="cs"/>
          <w:rtl/>
        </w:rPr>
        <w:t>.</w:t>
      </w:r>
    </w:p>
  </w:footnote>
  <w:footnote w:id="1581">
    <w:p w14:paraId="43E7272F" w14:textId="77777777" w:rsidR="00DF1FC7" w:rsidRDefault="00DF1FC7" w:rsidP="002E5BAD">
      <w:pPr>
        <w:pStyle w:val="a5"/>
      </w:pPr>
      <w:r>
        <w:rPr>
          <w:rStyle w:val="a7"/>
        </w:rPr>
        <w:footnoteRef/>
      </w:r>
      <w:r>
        <w:rPr>
          <w:rtl/>
        </w:rPr>
        <w:t xml:space="preserve"> </w:t>
      </w:r>
      <w:r w:rsidRPr="00B5155B">
        <w:rPr>
          <w:rFonts w:cs="Arial"/>
          <w:rtl/>
        </w:rPr>
        <w:t>אין הכוונה שהבעל ישתכר בריפוי שישכור לה רופא בסמא חריפא ויצער אותה דהא צער לא זכי ליה רחמנ' רק מאחר שהבעל מחויב לרפאותה כדרך שמרפ' כל חליה ע"כ נקט שהריפוי יוחזר לבעלה ומטפל ברפואתה וגם הרמב"ם דעתו כהרא"ש</w:t>
      </w:r>
      <w:r>
        <w:rPr>
          <w:rFonts w:cs="Arial" w:hint="cs"/>
          <w:sz w:val="16"/>
          <w:szCs w:val="16"/>
          <w:rtl/>
        </w:rPr>
        <w:t xml:space="preserve"> {היינו במה שאמר שאם בחרה לקחת סם חזק המותר שלה דבכלל צער הוא}</w:t>
      </w:r>
      <w:r>
        <w:rPr>
          <w:rFonts w:cs="Arial" w:hint="cs"/>
          <w:rtl/>
        </w:rPr>
        <w:t>, ח"מ (סק"ב).</w:t>
      </w:r>
    </w:p>
  </w:footnote>
  <w:footnote w:id="1582">
    <w:p w14:paraId="15D6FF95" w14:textId="77777777" w:rsidR="00DF1FC7" w:rsidRDefault="00DF1FC7" w:rsidP="002E5BAD">
      <w:pPr>
        <w:pStyle w:val="a5"/>
      </w:pPr>
      <w:r>
        <w:rPr>
          <w:rStyle w:val="a7"/>
        </w:rPr>
        <w:footnoteRef/>
      </w:r>
      <w:r>
        <w:rPr>
          <w:rtl/>
        </w:rPr>
        <w:t xml:space="preserve"> </w:t>
      </w:r>
      <w:r w:rsidRPr="00B5155B">
        <w:rPr>
          <w:rFonts w:cs="Arial"/>
          <w:rtl/>
        </w:rPr>
        <w:t>לא נתבאר אם רק הקרן שלה ויקח בדמי הצער קרקע והוא אוכל פירות ככל נ"מ שלה או לגמרי הוא שלה ואין לו אפי' פירות</w:t>
      </w:r>
      <w:r>
        <w:rPr>
          <w:rFonts w:cs="Arial" w:hint="cs"/>
          <w:rtl/>
        </w:rPr>
        <w:t>,</w:t>
      </w:r>
      <w:r w:rsidRPr="00B5155B">
        <w:rPr>
          <w:rFonts w:cs="Arial"/>
          <w:rtl/>
        </w:rPr>
        <w:t xml:space="preserve"> וע' בר"ן שכתב דאפי' לת"ק דבשתה ופגמה שלה אפ"ה הוא אוכל פירות</w:t>
      </w:r>
      <w:r>
        <w:rPr>
          <w:rFonts w:cs="Arial" w:hint="cs"/>
          <w:rtl/>
        </w:rPr>
        <w:t>, ח"מ (סק"ג). וכתב הב"ש (סק"ג) ד</w:t>
      </w:r>
      <w:r w:rsidRPr="00B5155B">
        <w:rPr>
          <w:rFonts w:cs="Arial"/>
          <w:rtl/>
        </w:rPr>
        <w:t>לקמן סי' פ"ה סעיף ז' משמע דאינו אוכל פירות</w:t>
      </w:r>
      <w:r>
        <w:rPr>
          <w:rFonts w:hint="cs"/>
          <w:rtl/>
        </w:rPr>
        <w:t>.</w:t>
      </w:r>
    </w:p>
  </w:footnote>
  <w:footnote w:id="1583">
    <w:p w14:paraId="7417B1DF" w14:textId="77777777" w:rsidR="00DF1FC7" w:rsidRDefault="00DF1FC7" w:rsidP="002E5BAD">
      <w:pPr>
        <w:pStyle w:val="a5"/>
        <w:rPr>
          <w:rtl/>
        </w:rPr>
      </w:pPr>
      <w:r>
        <w:rPr>
          <w:rStyle w:val="a7"/>
        </w:rPr>
        <w:footnoteRef/>
      </w:r>
      <w:r>
        <w:rPr>
          <w:rtl/>
        </w:rPr>
        <w:t xml:space="preserve"> </w:t>
      </w:r>
      <w:r w:rsidRPr="00A435CA">
        <w:rPr>
          <w:rFonts w:cs="Arial"/>
          <w:rtl/>
        </w:rPr>
        <w:t>ואם מתה קודם שגבתה אינו יורש חלקה דהוי ראוי עיין תוס' והרא"ש פי"נ דף קכ"ה</w:t>
      </w:r>
      <w:r>
        <w:rPr>
          <w:rFonts w:hint="cs"/>
          <w:rtl/>
        </w:rPr>
        <w:t>, ב"ש (סק"ד).</w:t>
      </w:r>
    </w:p>
  </w:footnote>
  <w:footnote w:id="1584">
    <w:p w14:paraId="4C0FA16F" w14:textId="77777777" w:rsidR="00DF1FC7" w:rsidRDefault="00DF1FC7" w:rsidP="002E5BAD">
      <w:pPr>
        <w:pStyle w:val="a5"/>
      </w:pPr>
      <w:r>
        <w:rPr>
          <w:rStyle w:val="a7"/>
        </w:rPr>
        <w:footnoteRef/>
      </w:r>
      <w:r>
        <w:rPr>
          <w:rtl/>
        </w:rPr>
        <w:t xml:space="preserve"> </w:t>
      </w:r>
      <w:r w:rsidRPr="00A435CA">
        <w:rPr>
          <w:rFonts w:cs="Arial"/>
          <w:rtl/>
        </w:rPr>
        <w:t>דמאחר דאית ליה פירות בחלקה אינה יכולה להפקיע זכותו</w:t>
      </w:r>
      <w:r>
        <w:rPr>
          <w:rFonts w:cs="Arial" w:hint="cs"/>
          <w:rtl/>
        </w:rPr>
        <w:t>, ח"מ (סק"ד).</w:t>
      </w:r>
    </w:p>
  </w:footnote>
  <w:footnote w:id="1585">
    <w:p w14:paraId="0EB10F0C" w14:textId="77777777" w:rsidR="00DF1FC7" w:rsidRDefault="00DF1FC7" w:rsidP="002E5BAD">
      <w:pPr>
        <w:pStyle w:val="a5"/>
      </w:pPr>
      <w:r>
        <w:rPr>
          <w:rStyle w:val="a7"/>
        </w:rPr>
        <w:footnoteRef/>
      </w:r>
      <w:r>
        <w:rPr>
          <w:rtl/>
        </w:rPr>
        <w:t xml:space="preserve"> </w:t>
      </w:r>
      <w:r w:rsidRPr="00211973">
        <w:rPr>
          <w:rFonts w:cs="Arial"/>
          <w:rtl/>
        </w:rPr>
        <w:t>היינו כשגבה כבר חלקו</w:t>
      </w:r>
      <w:r>
        <w:rPr>
          <w:rFonts w:cs="Arial" w:hint="cs"/>
          <w:rtl/>
        </w:rPr>
        <w:t>,</w:t>
      </w:r>
      <w:r w:rsidRPr="00211973">
        <w:rPr>
          <w:rFonts w:cs="Arial"/>
          <w:rtl/>
        </w:rPr>
        <w:t xml:space="preserve"> אבל אם לא גבה אמרינן אגב שתובע חלקו תובע ג"כ חלקה</w:t>
      </w:r>
      <w:r>
        <w:rPr>
          <w:rFonts w:cs="Arial" w:hint="cs"/>
          <w:rtl/>
        </w:rPr>
        <w:t>,</w:t>
      </w:r>
      <w:r w:rsidRPr="00211973">
        <w:rPr>
          <w:rFonts w:cs="Arial"/>
          <w:rtl/>
        </w:rPr>
        <w:t xml:space="preserve"> וא"ל למה לא יתבע חלקה מ</w:t>
      </w:r>
      <w:r>
        <w:rPr>
          <w:rFonts w:cs="Arial" w:hint="cs"/>
          <w:rtl/>
        </w:rPr>
        <w:t xml:space="preserve">אי </w:t>
      </w:r>
      <w:r w:rsidRPr="00211973">
        <w:rPr>
          <w:rFonts w:cs="Arial"/>
          <w:rtl/>
        </w:rPr>
        <w:t>ש</w:t>
      </w:r>
      <w:r>
        <w:rPr>
          <w:rFonts w:cs="Arial" w:hint="cs"/>
          <w:rtl/>
        </w:rPr>
        <w:t>נא</w:t>
      </w:r>
      <w:r w:rsidRPr="00211973">
        <w:rPr>
          <w:rFonts w:cs="Arial"/>
          <w:rtl/>
        </w:rPr>
        <w:t xml:space="preserve"> מהא שכת' הת"ה מעות אשתו א"צ הרשאה כמ"ש לקמן סי' פ"ה</w:t>
      </w:r>
      <w:r>
        <w:rPr>
          <w:rFonts w:cs="Arial" w:hint="cs"/>
          <w:rtl/>
        </w:rPr>
        <w:t>.</w:t>
      </w:r>
      <w:r w:rsidRPr="00211973">
        <w:rPr>
          <w:rFonts w:cs="Arial"/>
          <w:rtl/>
        </w:rPr>
        <w:t xml:space="preserve"> וי"ל ש"ה דעדיין לא בא לידה ולא היה לה שום זכות בזה הממון</w:t>
      </w:r>
      <w:r>
        <w:rPr>
          <w:rFonts w:cs="Arial" w:hint="cs"/>
          <w:rtl/>
        </w:rPr>
        <w:t>,</w:t>
      </w:r>
      <w:r w:rsidRPr="00211973">
        <w:rPr>
          <w:rFonts w:cs="Arial"/>
          <w:rtl/>
        </w:rPr>
        <w:t xml:space="preserve"> כ"כ בפרישה</w:t>
      </w:r>
      <w:r>
        <w:rPr>
          <w:rFonts w:cs="Arial" w:hint="cs"/>
          <w:rtl/>
        </w:rPr>
        <w:t>,</w:t>
      </w:r>
      <w:r w:rsidRPr="00211973">
        <w:rPr>
          <w:rFonts w:cs="Arial"/>
          <w:rtl/>
        </w:rPr>
        <w:t xml:space="preserve"> ועיין ב"ח</w:t>
      </w:r>
      <w:r>
        <w:rPr>
          <w:rFonts w:cs="Arial" w:hint="cs"/>
          <w:rtl/>
        </w:rPr>
        <w:t>, ב"ש (סק"ה). וה</w:t>
      </w:r>
      <w:r w:rsidRPr="00211973">
        <w:rPr>
          <w:rFonts w:cs="Arial"/>
          <w:rtl/>
        </w:rPr>
        <w:t>ב"ח שכתב דאף על חלקו צריך הרשאה</w:t>
      </w:r>
      <w:r>
        <w:rPr>
          <w:rFonts w:cs="Arial" w:hint="cs"/>
          <w:rtl/>
        </w:rPr>
        <w:t>,</w:t>
      </w:r>
      <w:r w:rsidRPr="00211973">
        <w:rPr>
          <w:rFonts w:cs="Arial"/>
          <w:rtl/>
        </w:rPr>
        <w:t xml:space="preserve"> ואם היה ידועה חלקו וחלקה בשעת תביעה א"צ הרשאה אף על חלקה</w:t>
      </w:r>
      <w:r>
        <w:rPr>
          <w:rFonts w:cs="Arial" w:hint="cs"/>
          <w:rtl/>
        </w:rPr>
        <w:t>,</w:t>
      </w:r>
      <w:r w:rsidRPr="00211973">
        <w:rPr>
          <w:rFonts w:cs="Arial"/>
          <w:rtl/>
        </w:rPr>
        <w:t xml:space="preserve"> דמיגו דנחית אחלקו נחית אחלקה</w:t>
      </w:r>
      <w:r>
        <w:rPr>
          <w:rFonts w:cs="Arial" w:hint="cs"/>
          <w:rtl/>
        </w:rPr>
        <w:t>.</w:t>
      </w:r>
      <w:r w:rsidRPr="00211973">
        <w:rPr>
          <w:rFonts w:cs="Arial"/>
          <w:rtl/>
        </w:rPr>
        <w:t xml:space="preserve"> ואין דבריו מוכרחים וע' בתשו' הרא"ש כלל מ'</w:t>
      </w:r>
      <w:r>
        <w:rPr>
          <w:rFonts w:cs="Arial" w:hint="cs"/>
          <w:rtl/>
        </w:rPr>
        <w:t>, ח"מ (סק"ה).</w:t>
      </w:r>
    </w:p>
  </w:footnote>
  <w:footnote w:id="1586">
    <w:p w14:paraId="399AEC2B" w14:textId="77777777" w:rsidR="00DF1FC7" w:rsidRDefault="00DF1FC7" w:rsidP="002E5BAD">
      <w:pPr>
        <w:pStyle w:val="a5"/>
      </w:pPr>
      <w:r>
        <w:rPr>
          <w:rStyle w:val="a7"/>
        </w:rPr>
        <w:footnoteRef/>
      </w:r>
      <w:r>
        <w:rPr>
          <w:rtl/>
        </w:rPr>
        <w:t xml:space="preserve"> </w:t>
      </w:r>
      <w:r w:rsidRPr="00500A1A">
        <w:rPr>
          <w:rFonts w:cs="Arial"/>
          <w:rtl/>
        </w:rPr>
        <w:t>ולכאורה נראה הואיל אף לדעת הרמב"ם השבת שלו הוא א"כ אם חיסר לה אבר דעושה בו מלאכה אין משלם כל הנזק דהא נזק הוא מה שפחת' בלא אותו אבר ושמין מה ששוה אבר ההוא יותר מחמת המלאכה ודמי המלאכה שלו הוא וא"י למה סתמו הפוסקים וכותבים סתם ולא חילקו איזה אבר חסר לה</w:t>
      </w:r>
      <w:r>
        <w:rPr>
          <w:rFonts w:cs="Arial" w:hint="cs"/>
          <w:rtl/>
        </w:rPr>
        <w:t>, ב"ש (סק"ו).</w:t>
      </w:r>
    </w:p>
  </w:footnote>
  <w:footnote w:id="1587">
    <w:p w14:paraId="0762F8EE" w14:textId="77777777" w:rsidR="00DF1FC7" w:rsidRDefault="00DF1FC7" w:rsidP="002E5BAD">
      <w:pPr>
        <w:pStyle w:val="a5"/>
        <w:rPr>
          <w:rtl/>
        </w:rPr>
      </w:pPr>
      <w:r>
        <w:rPr>
          <w:rStyle w:val="a7"/>
        </w:rPr>
        <w:footnoteRef/>
      </w:r>
      <w:r>
        <w:rPr>
          <w:rtl/>
        </w:rPr>
        <w:t xml:space="preserve"> </w:t>
      </w:r>
      <w:r w:rsidRPr="00500A1A">
        <w:rPr>
          <w:rFonts w:cs="Arial"/>
          <w:rtl/>
        </w:rPr>
        <w:t>משמע דאין לו פירות מן מעות הקנס שנותן לה וגם אינו יורש הקנס דאל"כ א"י ליתן לאחר כמ"ש בסי' פ"ה</w:t>
      </w:r>
      <w:r>
        <w:rPr>
          <w:rFonts w:hint="cs"/>
          <w:rtl/>
        </w:rPr>
        <w:t>, ב"ש (סק"ז).</w:t>
      </w:r>
    </w:p>
  </w:footnote>
  <w:footnote w:id="1588">
    <w:p w14:paraId="7AF464A0" w14:textId="77777777" w:rsidR="00DF1FC7" w:rsidRDefault="00DF1FC7" w:rsidP="002E5BAD">
      <w:pPr>
        <w:pStyle w:val="a5"/>
        <w:rPr>
          <w:rtl/>
        </w:rPr>
      </w:pPr>
      <w:r>
        <w:rPr>
          <w:rStyle w:val="a7"/>
        </w:rPr>
        <w:footnoteRef/>
      </w:r>
      <w:r>
        <w:rPr>
          <w:rtl/>
        </w:rPr>
        <w:t xml:space="preserve"> </w:t>
      </w:r>
      <w:r w:rsidRPr="00500A1A">
        <w:rPr>
          <w:rFonts w:cs="Arial"/>
          <w:rtl/>
        </w:rPr>
        <w:t>כלומר בפני רבים ואם בסתר כלומר בפני שני עדים כן כתב הרא"ש בתשובה כלל מ'</w:t>
      </w:r>
      <w:r>
        <w:rPr>
          <w:rFonts w:hint="cs"/>
          <w:rtl/>
        </w:rPr>
        <w:t>, ח"מ (סק"ח).</w:t>
      </w:r>
    </w:p>
  </w:footnote>
  <w:footnote w:id="1589">
    <w:p w14:paraId="0CC547BD" w14:textId="77777777" w:rsidR="00DF1FC7" w:rsidRDefault="00DF1FC7" w:rsidP="002E5BAD">
      <w:pPr>
        <w:pStyle w:val="a5"/>
      </w:pPr>
      <w:r>
        <w:rPr>
          <w:rStyle w:val="a7"/>
        </w:rPr>
        <w:footnoteRef/>
      </w:r>
      <w:r>
        <w:rPr>
          <w:rtl/>
        </w:rPr>
        <w:t xml:space="preserve"> </w:t>
      </w:r>
      <w:r w:rsidRPr="00B63DC2">
        <w:rPr>
          <w:rFonts w:cs="Arial"/>
          <w:rtl/>
        </w:rPr>
        <w:t>לדברי החולקים על הרמב"ם גם כאן אינו משלם רק שני חלקים שלה וכתב המ"מ שמכאן יש קצת ראיה לדעת הרמב"ם דהא בגמ' סתמו ולא חלקו</w:t>
      </w:r>
      <w:r>
        <w:rPr>
          <w:rFonts w:cs="Arial" w:hint="cs"/>
          <w:rtl/>
        </w:rPr>
        <w:t>.</w:t>
      </w:r>
      <w:r w:rsidRPr="00B63DC2">
        <w:rPr>
          <w:rFonts w:cs="Arial"/>
          <w:rtl/>
        </w:rPr>
        <w:t xml:space="preserve"> אבל בנ</w:t>
      </w:r>
      <w:r>
        <w:rPr>
          <w:rFonts w:cs="Arial" w:hint="cs"/>
          <w:rtl/>
        </w:rPr>
        <w:t>מוק</w:t>
      </w:r>
      <w:r w:rsidRPr="00B63DC2">
        <w:rPr>
          <w:rFonts w:cs="Arial"/>
          <w:rtl/>
        </w:rPr>
        <w:t>"י כ' דלדידן דק"ל כריב"ב אינו משלם רק שני חלקים מן הנזק ואינו משלם הצער</w:t>
      </w:r>
      <w:r>
        <w:rPr>
          <w:rFonts w:cs="Arial" w:hint="cs"/>
          <w:rtl/>
        </w:rPr>
        <w:t>, ח"מ (סק"ט).</w:t>
      </w:r>
    </w:p>
  </w:footnote>
  <w:footnote w:id="1590">
    <w:p w14:paraId="075DC9A6" w14:textId="77777777" w:rsidR="00DF1FC7" w:rsidRDefault="00DF1FC7" w:rsidP="002E5BAD">
      <w:pPr>
        <w:pStyle w:val="a5"/>
      </w:pPr>
      <w:r>
        <w:rPr>
          <w:rStyle w:val="a7"/>
        </w:rPr>
        <w:footnoteRef/>
      </w:r>
      <w:r>
        <w:rPr>
          <w:rtl/>
        </w:rPr>
        <w:t xml:space="preserve"> </w:t>
      </w:r>
      <w:r>
        <w:rPr>
          <w:rFonts w:cs="Arial"/>
          <w:rtl/>
        </w:rPr>
        <w:t>ופירש רש"י דרוב מציאות צריך לחזר אחריהם כגון דגים שעלו ליבשה או צבי שבור או לחפש סימא בקרקע</w:t>
      </w:r>
      <w:r>
        <w:rPr>
          <w:rFonts w:cs="Arial" w:hint="cs"/>
          <w:rtl/>
        </w:rPr>
        <w:t>.</w:t>
      </w:r>
      <w:r>
        <w:rPr>
          <w:rFonts w:cs="Arial"/>
          <w:rtl/>
        </w:rPr>
        <w:t xml:space="preserve"> והרא"ש (סי' ב) כתב מציאה כהעדפה שע"י הדחק דמי </w:t>
      </w:r>
      <w:r>
        <w:rPr>
          <w:rFonts w:cs="Arial" w:hint="cs"/>
          <w:rtl/>
        </w:rPr>
        <w:t xml:space="preserve">- </w:t>
      </w:r>
      <w:r>
        <w:rPr>
          <w:rFonts w:cs="Arial"/>
          <w:rtl/>
        </w:rPr>
        <w:t>פי' מציאה שע"י הדחק</w:t>
      </w:r>
      <w:r>
        <w:rPr>
          <w:rFonts w:cs="Arial" w:hint="cs"/>
          <w:rtl/>
        </w:rPr>
        <w:t>, ב"י.</w:t>
      </w:r>
    </w:p>
  </w:footnote>
  <w:footnote w:id="1591">
    <w:p w14:paraId="340D8A52" w14:textId="77777777" w:rsidR="00DF1FC7" w:rsidRDefault="00DF1FC7" w:rsidP="002E5BAD">
      <w:pPr>
        <w:pStyle w:val="a5"/>
      </w:pPr>
      <w:r>
        <w:rPr>
          <w:rStyle w:val="a7"/>
        </w:rPr>
        <w:footnoteRef/>
      </w:r>
      <w:r>
        <w:rPr>
          <w:rtl/>
        </w:rPr>
        <w:t xml:space="preserve"> </w:t>
      </w:r>
      <w:r w:rsidRPr="004C03CA">
        <w:rPr>
          <w:rFonts w:cs="Arial"/>
          <w:rtl/>
        </w:rPr>
        <w:t>כגון זרק לה גיטה, ספק קרוב לה ספק קרוב לו ברשות הרבים</w:t>
      </w:r>
      <w:r>
        <w:rPr>
          <w:rFonts w:cs="Arial" w:hint="cs"/>
          <w:rtl/>
        </w:rPr>
        <w:t>, רש"י.</w:t>
      </w:r>
    </w:p>
  </w:footnote>
  <w:footnote w:id="1592">
    <w:p w14:paraId="06803B4B" w14:textId="77777777" w:rsidR="00DF1FC7" w:rsidRDefault="00DF1FC7" w:rsidP="002E5BAD">
      <w:pPr>
        <w:pStyle w:val="a5"/>
      </w:pPr>
      <w:r>
        <w:rPr>
          <w:rStyle w:val="a7"/>
        </w:rPr>
        <w:footnoteRef/>
      </w:r>
      <w:r>
        <w:rPr>
          <w:rtl/>
        </w:rPr>
        <w:t xml:space="preserve"> </w:t>
      </w:r>
      <w:r w:rsidRPr="004C03CA">
        <w:rPr>
          <w:rFonts w:cs="Arial"/>
          <w:rtl/>
        </w:rPr>
        <w:t>ומשום הכי אצטריך לאשמועינן דמציאתה שלה, דטעמא מאי אמור רבנן מציאת האשה כו'</w:t>
      </w:r>
      <w:r>
        <w:rPr>
          <w:rFonts w:cs="Arial" w:hint="cs"/>
          <w:rtl/>
        </w:rPr>
        <w:t>, רש"י.</w:t>
      </w:r>
    </w:p>
  </w:footnote>
  <w:footnote w:id="1593">
    <w:p w14:paraId="006F5503" w14:textId="77777777" w:rsidR="00DF1FC7" w:rsidRDefault="00DF1FC7" w:rsidP="002E5BAD">
      <w:pPr>
        <w:pStyle w:val="a5"/>
      </w:pPr>
      <w:r>
        <w:rPr>
          <w:rStyle w:val="a7"/>
        </w:rPr>
        <w:footnoteRef/>
      </w:r>
      <w:r>
        <w:rPr>
          <w:rtl/>
        </w:rPr>
        <w:t xml:space="preserve"> </w:t>
      </w:r>
      <w:r>
        <w:rPr>
          <w:rFonts w:cs="Arial" w:hint="cs"/>
          <w:rtl/>
        </w:rPr>
        <w:t xml:space="preserve">וז"ל- </w:t>
      </w:r>
      <w:r>
        <w:rPr>
          <w:rFonts w:cs="Arial"/>
          <w:rtl/>
        </w:rPr>
        <w:t>כתב הרמ"ה הא דמציאתה לבעלה דוקא בנזונת אבל באינה נזונת תהוי לה איבה ואיבה (יבמות צ:)</w:t>
      </w:r>
      <w:r>
        <w:rPr>
          <w:rFonts w:cs="Arial" w:hint="cs"/>
          <w:rtl/>
        </w:rPr>
        <w:t>.</w:t>
      </w:r>
      <w:r>
        <w:rPr>
          <w:rFonts w:cs="Arial"/>
          <w:rtl/>
        </w:rPr>
        <w:t xml:space="preserve"> ולא דק בזה</w:t>
      </w:r>
      <w:r>
        <w:rPr>
          <w:rFonts w:cs="Arial" w:hint="cs"/>
          <w:rtl/>
        </w:rPr>
        <w:t>,</w:t>
      </w:r>
      <w:r>
        <w:rPr>
          <w:rFonts w:cs="Arial"/>
          <w:rtl/>
        </w:rPr>
        <w:t xml:space="preserve"> דלא משכחת אשה שאינה נזונת אלא באומרת איני נזונת ואיני עושה (כתובות נח:) או כשאמר לה בעלה צאי מעשה ידיך במזונותיך והיא מספקת (שם קז.)</w:t>
      </w:r>
      <w:r>
        <w:rPr>
          <w:rFonts w:cs="Arial" w:hint="cs"/>
          <w:rtl/>
        </w:rPr>
        <w:t>,</w:t>
      </w:r>
      <w:r>
        <w:rPr>
          <w:rFonts w:cs="Arial"/>
          <w:rtl/>
        </w:rPr>
        <w:t xml:space="preserve"> וכיון דברשות קא עבדי חיישינן לאיבה ומציאתה לבעלה</w:t>
      </w:r>
      <w:r>
        <w:rPr>
          <w:rFonts w:cs="Arial" w:hint="cs"/>
          <w:rtl/>
        </w:rPr>
        <w:t>.</w:t>
      </w:r>
    </w:p>
  </w:footnote>
  <w:footnote w:id="1594">
    <w:p w14:paraId="4A1D005F" w14:textId="77777777" w:rsidR="00DF1FC7" w:rsidRDefault="00DF1FC7" w:rsidP="002E5BAD">
      <w:pPr>
        <w:pStyle w:val="a5"/>
      </w:pPr>
      <w:r>
        <w:rPr>
          <w:rStyle w:val="a7"/>
        </w:rPr>
        <w:footnoteRef/>
      </w:r>
      <w:r>
        <w:rPr>
          <w:rtl/>
        </w:rPr>
        <w:t xml:space="preserve"> </w:t>
      </w:r>
      <w:r w:rsidRPr="0067570D">
        <w:rPr>
          <w:rFonts w:cs="Arial"/>
          <w:rtl/>
        </w:rPr>
        <w:t>ואיני כדאי להכריע בין הרים גדולים ונראה דבאומרת ניזונית יפה כ' הרמ"ה</w:t>
      </w:r>
      <w:r>
        <w:rPr>
          <w:rFonts w:cs="Arial" w:hint="cs"/>
          <w:rtl/>
        </w:rPr>
        <w:t>,</w:t>
      </w:r>
      <w:r w:rsidRPr="0067570D">
        <w:rPr>
          <w:rFonts w:cs="Arial"/>
          <w:rtl/>
        </w:rPr>
        <w:t xml:space="preserve"> ובאומר לה צאי מ"י יפה כתב הרא"ש</w:t>
      </w:r>
      <w:r>
        <w:rPr>
          <w:rFonts w:cs="Arial" w:hint="cs"/>
          <w:rtl/>
        </w:rPr>
        <w:t>,</w:t>
      </w:r>
      <w:r w:rsidRPr="0067570D">
        <w:rPr>
          <w:rFonts w:cs="Arial"/>
          <w:rtl/>
        </w:rPr>
        <w:t xml:space="preserve"> ואפשר דלא פליגי ודו"ק</w:t>
      </w:r>
      <w:r>
        <w:rPr>
          <w:rFonts w:cs="Arial" w:hint="cs"/>
          <w:rtl/>
        </w:rPr>
        <w:t xml:space="preserve">, ח"מ (סק"ב). </w:t>
      </w:r>
    </w:p>
  </w:footnote>
  <w:footnote w:id="1595">
    <w:p w14:paraId="55A423C3" w14:textId="77777777" w:rsidR="00DF1FC7" w:rsidRDefault="00DF1FC7" w:rsidP="002E5BAD">
      <w:pPr>
        <w:pStyle w:val="a5"/>
      </w:pPr>
      <w:r>
        <w:rPr>
          <w:rStyle w:val="a7"/>
        </w:rPr>
        <w:footnoteRef/>
      </w:r>
      <w:r>
        <w:rPr>
          <w:rtl/>
        </w:rPr>
        <w:t xml:space="preserve"> </w:t>
      </w:r>
      <w:r w:rsidRPr="00050C17">
        <w:rPr>
          <w:rFonts w:cs="Arial"/>
          <w:rtl/>
        </w:rPr>
        <w:t>כתבו תוס' ר"פ מציאת האשה ב' טעמים למה הבעל זוכה במציאה א' משום מזונות שנותן לה, ואחד משום איב</w:t>
      </w:r>
      <w:r>
        <w:rPr>
          <w:rFonts w:cs="Arial" w:hint="cs"/>
          <w:rtl/>
        </w:rPr>
        <w:t>ה.</w:t>
      </w:r>
      <w:r w:rsidRPr="00050C17">
        <w:rPr>
          <w:rFonts w:cs="Arial"/>
          <w:rtl/>
        </w:rPr>
        <w:t xml:space="preserve"> ובירושלמי איתא הטעם שלא תהא מברחת ותאמר מציא' מצאתי</w:t>
      </w:r>
      <w:r>
        <w:rPr>
          <w:rFonts w:cs="Arial" w:hint="cs"/>
          <w:rtl/>
        </w:rPr>
        <w:t>.</w:t>
      </w:r>
      <w:r w:rsidRPr="00050C17">
        <w:rPr>
          <w:rFonts w:cs="Arial"/>
          <w:rtl/>
        </w:rPr>
        <w:t xml:space="preserve"> ובש"ס איתא מציאה כהעדפה ע"י דחק דמי ופרש"י הואיל רוב מציאות באין ע"י הדחק לכן דינם כהעדפה ע"י דחק</w:t>
      </w:r>
      <w:r>
        <w:rPr>
          <w:rFonts w:cs="Arial" w:hint="cs"/>
          <w:rtl/>
        </w:rPr>
        <w:t>.</w:t>
      </w:r>
      <w:r w:rsidRPr="00050C17">
        <w:rPr>
          <w:rFonts w:cs="Arial"/>
          <w:rtl/>
        </w:rPr>
        <w:t xml:space="preserve"> אבל הרא"ש כתב דוקא מציאה ע"י דחק דינו כהעדפה ע"י דחק אבל שאר מציאות י"ל לכ"ע מוציא ממנה</w:t>
      </w:r>
      <w:r>
        <w:rPr>
          <w:rFonts w:cs="Arial" w:hint="cs"/>
          <w:rtl/>
        </w:rPr>
        <w:t>.</w:t>
      </w:r>
      <w:r w:rsidRPr="00050C17">
        <w:rPr>
          <w:rFonts w:cs="Arial"/>
          <w:rtl/>
        </w:rPr>
        <w:t xml:space="preserve"> ובסי' פ' נתבאר הפלוגתא בהעדפה ע"י דחק ושם פסק ב"ח דאין מוציאין מיד האשה העדפה ע"י דחק גם מציאה אין מוציאים מיהו אם בא לידו זכה אפי' אם אינו נותן לה מעה כסף</w:t>
      </w:r>
      <w:r>
        <w:rPr>
          <w:rFonts w:cs="Arial" w:hint="cs"/>
          <w:rtl/>
        </w:rPr>
        <w:t>, ב"ש (סק"א).</w:t>
      </w:r>
    </w:p>
  </w:footnote>
  <w:footnote w:id="1596">
    <w:p w14:paraId="14FCE0AF" w14:textId="77777777" w:rsidR="00DF1FC7" w:rsidRDefault="00DF1FC7" w:rsidP="002E5BAD">
      <w:pPr>
        <w:pStyle w:val="a5"/>
        <w:rPr>
          <w:rtl/>
        </w:rPr>
      </w:pPr>
      <w:r>
        <w:rPr>
          <w:rStyle w:val="a7"/>
        </w:rPr>
        <w:footnoteRef/>
      </w:r>
      <w:r>
        <w:rPr>
          <w:rtl/>
        </w:rPr>
        <w:t xml:space="preserve"> </w:t>
      </w:r>
      <w:r w:rsidRPr="00577A45">
        <w:rPr>
          <w:rFonts w:cs="Arial"/>
          <w:rtl/>
        </w:rPr>
        <w:t>שהוא אוכל מנכסי מלוג שלה כגון נכסים שנפלו לה משניסת או שהיו לה קודם לכן שלא שמאתן לו בנדוניית כתובתה</w:t>
      </w:r>
      <w:r>
        <w:rPr>
          <w:rFonts w:hint="cs"/>
          <w:rtl/>
        </w:rPr>
        <w:t>, רש"י.</w:t>
      </w:r>
    </w:p>
  </w:footnote>
  <w:footnote w:id="1597">
    <w:p w14:paraId="4444622E" w14:textId="77777777" w:rsidR="00DF1FC7" w:rsidRDefault="00DF1FC7" w:rsidP="002E5BAD">
      <w:pPr>
        <w:pStyle w:val="a5"/>
        <w:rPr>
          <w:rtl/>
        </w:rPr>
      </w:pPr>
      <w:r>
        <w:rPr>
          <w:rStyle w:val="a7"/>
        </w:rPr>
        <w:footnoteRef/>
      </w:r>
      <w:r>
        <w:rPr>
          <w:rtl/>
        </w:rPr>
        <w:t xml:space="preserve"> </w:t>
      </w:r>
      <w:r w:rsidRPr="00E47C0B">
        <w:rPr>
          <w:rFonts w:cs="Arial"/>
          <w:rtl/>
        </w:rPr>
        <w:t>תחת הנדוניא שהכניסה לו והיא כתובה בשטר הכתובה והוא יורש</w:t>
      </w:r>
      <w:r>
        <w:rPr>
          <w:rFonts w:hint="cs"/>
          <w:rtl/>
        </w:rPr>
        <w:t>, רש"י.</w:t>
      </w:r>
    </w:p>
  </w:footnote>
  <w:footnote w:id="1598">
    <w:p w14:paraId="0E7758EE" w14:textId="77777777" w:rsidR="00DF1FC7" w:rsidRDefault="00DF1FC7" w:rsidP="002E5BAD">
      <w:pPr>
        <w:pStyle w:val="a5"/>
        <w:rPr>
          <w:rtl/>
        </w:rPr>
      </w:pPr>
      <w:r>
        <w:rPr>
          <w:rStyle w:val="a7"/>
        </w:rPr>
        <w:footnoteRef/>
      </w:r>
      <w:r>
        <w:rPr>
          <w:rtl/>
        </w:rPr>
        <w:t xml:space="preserve"> </w:t>
      </w:r>
      <w:r w:rsidRPr="00577A45">
        <w:rPr>
          <w:rFonts w:cs="Arial"/>
          <w:rtl/>
        </w:rPr>
        <w:t>לא יהא בפירות כדי פרקונה והשתא כי אכלינהו ולא ידיע כמה הוה פריק לה מדיליה דהכי תיקון דאיהו אכיל בין רב בין מעט והוא פריק כל כמה דהוי</w:t>
      </w:r>
      <w:r>
        <w:rPr>
          <w:rFonts w:hint="cs"/>
          <w:rtl/>
        </w:rPr>
        <w:t>, רש"י.</w:t>
      </w:r>
    </w:p>
  </w:footnote>
  <w:footnote w:id="1599">
    <w:p w14:paraId="139B4A40" w14:textId="77777777" w:rsidR="00DF1FC7" w:rsidRDefault="00DF1FC7" w:rsidP="002E5BAD">
      <w:pPr>
        <w:pStyle w:val="a5"/>
      </w:pPr>
      <w:r>
        <w:rPr>
          <w:rStyle w:val="a7"/>
        </w:rPr>
        <w:footnoteRef/>
      </w:r>
      <w:r>
        <w:rPr>
          <w:rtl/>
        </w:rPr>
        <w:t xml:space="preserve"> </w:t>
      </w:r>
      <w:r w:rsidRPr="00577A45">
        <w:rPr>
          <w:rFonts w:cs="Arial"/>
          <w:rtl/>
        </w:rPr>
        <w:t>מזונות תחת פירות ופרקונה תחת מעשה ידיה ונפקא מינה דאי אמרה איני ניזונית ואיני עושה לא כלום קאמרה</w:t>
      </w:r>
      <w:r>
        <w:rPr>
          <w:rFonts w:cs="Arial" w:hint="cs"/>
          <w:rtl/>
        </w:rPr>
        <w:t>, רש"י.</w:t>
      </w:r>
    </w:p>
  </w:footnote>
  <w:footnote w:id="1600">
    <w:p w14:paraId="477C3E09" w14:textId="77777777" w:rsidR="00DF1FC7" w:rsidRDefault="00DF1FC7" w:rsidP="002E5BAD">
      <w:pPr>
        <w:pStyle w:val="a5"/>
      </w:pPr>
      <w:r>
        <w:rPr>
          <w:rStyle w:val="a7"/>
        </w:rPr>
        <w:footnoteRef/>
      </w:r>
      <w:r>
        <w:rPr>
          <w:rtl/>
        </w:rPr>
        <w:t xml:space="preserve"> </w:t>
      </w:r>
      <w:r w:rsidRPr="00577A45">
        <w:rPr>
          <w:rFonts w:cs="Arial"/>
          <w:rtl/>
        </w:rPr>
        <w:t>מזונות ומעשה ידיה מצוין</w:t>
      </w:r>
      <w:r>
        <w:rPr>
          <w:rFonts w:cs="Arial" w:hint="cs"/>
          <w:rtl/>
        </w:rPr>
        <w:t xml:space="preserve"> -</w:t>
      </w:r>
      <w:r w:rsidRPr="00577A45">
        <w:rPr>
          <w:rFonts w:cs="Arial"/>
          <w:rtl/>
        </w:rPr>
        <w:t xml:space="preserve"> שבויה ואשה שיש לה נכסי מלוג לא שכיחי</w:t>
      </w:r>
      <w:r>
        <w:rPr>
          <w:rFonts w:cs="Arial" w:hint="cs"/>
          <w:rtl/>
        </w:rPr>
        <w:t>, רש"י.</w:t>
      </w:r>
    </w:p>
  </w:footnote>
  <w:footnote w:id="1601">
    <w:p w14:paraId="0464AF5F" w14:textId="77777777" w:rsidR="00DF1FC7" w:rsidRDefault="00DF1FC7" w:rsidP="002E5BAD">
      <w:pPr>
        <w:pStyle w:val="a5"/>
      </w:pPr>
      <w:r>
        <w:rPr>
          <w:rStyle w:val="a7"/>
        </w:rPr>
        <w:footnoteRef/>
      </w:r>
      <w:r>
        <w:rPr>
          <w:rtl/>
        </w:rPr>
        <w:t xml:space="preserve"> </w:t>
      </w:r>
      <w:r>
        <w:rPr>
          <w:rFonts w:hint="cs"/>
          <w:rtl/>
        </w:rPr>
        <w:t>וז"ל</w:t>
      </w:r>
      <w:r>
        <w:rPr>
          <w:rFonts w:cs="Arial" w:hint="cs"/>
          <w:rtl/>
        </w:rPr>
        <w:t>-</w:t>
      </w:r>
      <w:r w:rsidRPr="00422CA3">
        <w:rPr>
          <w:rFonts w:cs="Arial"/>
          <w:rtl/>
        </w:rPr>
        <w:t xml:space="preserve"> דע שבפרקונה ובקבורתה אין הבעל יכול להנצל מחיובם</w:t>
      </w:r>
      <w:r>
        <w:rPr>
          <w:rFonts w:cs="Arial" w:hint="cs"/>
          <w:rtl/>
        </w:rPr>
        <w:t>,</w:t>
      </w:r>
      <w:r w:rsidRPr="00422CA3">
        <w:rPr>
          <w:rFonts w:cs="Arial"/>
          <w:rtl/>
        </w:rPr>
        <w:t xml:space="preserve"> ואפילו יניח לה פירותיה וכתובתה</w:t>
      </w:r>
      <w:r>
        <w:rPr>
          <w:rFonts w:cs="Arial" w:hint="cs"/>
          <w:rtl/>
        </w:rPr>
        <w:t>.</w:t>
      </w:r>
      <w:r w:rsidRPr="00422CA3">
        <w:rPr>
          <w:rFonts w:cs="Arial"/>
          <w:rtl/>
        </w:rPr>
        <w:t xml:space="preserve"> וכן היא אינה יכולה להפקיע ממנו זכות פירות וכתובה אפילו תאמר איני נפדית ואיני נקברת מנכסיו וזה נראה מדברי רבינו וכן הסכימו הרמב"ן (כתובות מז: ד"ה הא) והרשב"א (שם ד"ה תקנו)</w:t>
      </w:r>
      <w:r>
        <w:rPr>
          <w:rFonts w:cs="Arial" w:hint="cs"/>
          <w:rtl/>
        </w:rPr>
        <w:t>.</w:t>
      </w:r>
    </w:p>
  </w:footnote>
  <w:footnote w:id="1602">
    <w:p w14:paraId="25A889A8" w14:textId="77777777" w:rsidR="00DF1FC7" w:rsidRDefault="00DF1FC7" w:rsidP="002E5BAD">
      <w:pPr>
        <w:pStyle w:val="a5"/>
        <w:rPr>
          <w:rtl/>
        </w:rPr>
      </w:pPr>
      <w:r>
        <w:rPr>
          <w:rStyle w:val="a7"/>
        </w:rPr>
        <w:footnoteRef/>
      </w:r>
      <w:r>
        <w:rPr>
          <w:rtl/>
        </w:rPr>
        <w:t xml:space="preserve"> </w:t>
      </w:r>
      <w:r>
        <w:rPr>
          <w:rFonts w:cs="Arial" w:hint="cs"/>
          <w:rtl/>
        </w:rPr>
        <w:t xml:space="preserve">תוס' </w:t>
      </w:r>
      <w:r w:rsidRPr="00422CA3">
        <w:rPr>
          <w:rFonts w:cs="Arial"/>
          <w:sz w:val="16"/>
          <w:szCs w:val="16"/>
          <w:rtl/>
        </w:rPr>
        <w:t>(</w:t>
      </w:r>
      <w:r>
        <w:rPr>
          <w:rFonts w:cs="Arial" w:hint="cs"/>
          <w:sz w:val="16"/>
          <w:szCs w:val="16"/>
          <w:rtl/>
        </w:rPr>
        <w:t xml:space="preserve">כתובות </w:t>
      </w:r>
      <w:r w:rsidRPr="00B0447A">
        <w:rPr>
          <w:rFonts w:cs="Arial"/>
          <w:sz w:val="16"/>
          <w:szCs w:val="16"/>
          <w:rtl/>
        </w:rPr>
        <w:t>מז: ד"ה זימנין</w:t>
      </w:r>
      <w:r w:rsidRPr="00422CA3">
        <w:rPr>
          <w:rFonts w:cs="Arial"/>
          <w:sz w:val="16"/>
          <w:szCs w:val="16"/>
          <w:rtl/>
        </w:rPr>
        <w:t>)</w:t>
      </w:r>
      <w:r w:rsidRPr="00B0447A">
        <w:rPr>
          <w:rFonts w:cs="Arial"/>
          <w:rtl/>
        </w:rPr>
        <w:t xml:space="preserve"> </w:t>
      </w:r>
      <w:r>
        <w:rPr>
          <w:rFonts w:cs="Arial" w:hint="cs"/>
          <w:rtl/>
        </w:rPr>
        <w:t xml:space="preserve">רמב"ם </w:t>
      </w:r>
      <w:r w:rsidRPr="00422CA3">
        <w:rPr>
          <w:rFonts w:cs="Arial" w:hint="cs"/>
          <w:sz w:val="16"/>
          <w:szCs w:val="16"/>
          <w:rtl/>
        </w:rPr>
        <w:t>(</w:t>
      </w:r>
      <w:r w:rsidRPr="00422CA3">
        <w:rPr>
          <w:rFonts w:cs="Arial"/>
          <w:sz w:val="16"/>
          <w:szCs w:val="16"/>
          <w:rtl/>
        </w:rPr>
        <w:t>פי"ב מאישות ה"ד)</w:t>
      </w:r>
      <w:r>
        <w:rPr>
          <w:rFonts w:cs="Arial" w:hint="cs"/>
          <w:rtl/>
        </w:rPr>
        <w:t xml:space="preserve"> </w:t>
      </w:r>
      <w:r w:rsidRPr="00422CA3">
        <w:rPr>
          <w:rFonts w:cs="Arial"/>
          <w:rtl/>
        </w:rPr>
        <w:t xml:space="preserve">רמב"ן </w:t>
      </w:r>
      <w:r w:rsidRPr="00B0447A">
        <w:rPr>
          <w:rFonts w:cs="Arial"/>
          <w:sz w:val="16"/>
          <w:szCs w:val="16"/>
          <w:rtl/>
        </w:rPr>
        <w:t xml:space="preserve">(כתובות מז: ד"ה הא) </w:t>
      </w:r>
      <w:r w:rsidRPr="00422CA3">
        <w:rPr>
          <w:rFonts w:cs="Arial"/>
          <w:rtl/>
        </w:rPr>
        <w:t xml:space="preserve">רשב"א </w:t>
      </w:r>
      <w:r w:rsidRPr="00B0447A">
        <w:rPr>
          <w:rFonts w:cs="Arial"/>
          <w:sz w:val="16"/>
          <w:szCs w:val="16"/>
          <w:rtl/>
        </w:rPr>
        <w:t>(שם ד"ה תקנו)</w:t>
      </w:r>
      <w:r w:rsidRPr="00B0447A">
        <w:rPr>
          <w:rFonts w:cs="Arial" w:hint="cs"/>
          <w:rtl/>
        </w:rPr>
        <w:t xml:space="preserve"> </w:t>
      </w:r>
      <w:r w:rsidRPr="00422CA3">
        <w:rPr>
          <w:rFonts w:cs="Arial"/>
          <w:rtl/>
        </w:rPr>
        <w:t xml:space="preserve">רא"ש </w:t>
      </w:r>
      <w:r w:rsidRPr="00B0447A">
        <w:rPr>
          <w:rFonts w:cs="Arial" w:hint="cs"/>
          <w:sz w:val="16"/>
          <w:szCs w:val="16"/>
          <w:rtl/>
        </w:rPr>
        <w:t xml:space="preserve">(פ' נערה שנתפתתה </w:t>
      </w:r>
      <w:r w:rsidRPr="00B0447A">
        <w:rPr>
          <w:rFonts w:cs="Arial"/>
          <w:sz w:val="16"/>
          <w:szCs w:val="16"/>
          <w:rtl/>
        </w:rPr>
        <w:t>סי' י)</w:t>
      </w:r>
      <w:r>
        <w:rPr>
          <w:rFonts w:cs="Arial" w:hint="cs"/>
          <w:rtl/>
        </w:rPr>
        <w:t xml:space="preserve"> טור והה"מ </w:t>
      </w:r>
      <w:r w:rsidRPr="00422CA3">
        <w:rPr>
          <w:rFonts w:cs="Arial" w:hint="cs"/>
          <w:sz w:val="16"/>
          <w:szCs w:val="16"/>
          <w:rtl/>
        </w:rPr>
        <w:t>(</w:t>
      </w:r>
      <w:r>
        <w:rPr>
          <w:rFonts w:cs="Arial" w:hint="cs"/>
          <w:sz w:val="16"/>
          <w:szCs w:val="16"/>
          <w:rtl/>
        </w:rPr>
        <w:t>שם</w:t>
      </w:r>
      <w:r w:rsidRPr="00422CA3">
        <w:rPr>
          <w:rFonts w:cs="Arial"/>
          <w:sz w:val="16"/>
          <w:szCs w:val="16"/>
          <w:rtl/>
        </w:rPr>
        <w:t>)</w:t>
      </w:r>
      <w:r>
        <w:rPr>
          <w:rFonts w:hint="cs"/>
          <w:rtl/>
        </w:rPr>
        <w:t>.</w:t>
      </w:r>
    </w:p>
  </w:footnote>
  <w:footnote w:id="1603">
    <w:p w14:paraId="4DB5CA12" w14:textId="77777777" w:rsidR="00DF1FC7" w:rsidRDefault="00DF1FC7" w:rsidP="002E5BAD">
      <w:pPr>
        <w:pStyle w:val="a5"/>
      </w:pPr>
      <w:r>
        <w:rPr>
          <w:rStyle w:val="a7"/>
        </w:rPr>
        <w:footnoteRef/>
      </w:r>
      <w:r>
        <w:rPr>
          <w:rtl/>
        </w:rPr>
        <w:t xml:space="preserve"> </w:t>
      </w:r>
      <w:r w:rsidRPr="006C4118">
        <w:rPr>
          <w:rFonts w:cs="Arial"/>
          <w:rtl/>
        </w:rPr>
        <w:t>ודחו התוספות (שם ד"ה יכולה) דבריו וכתבו דאי אפשר לומר כן והעלו דאין שומעין לו והביאו ראיות לדבריהם וכתבו דהכי איתא בירושלמי בהדיא.</w:t>
      </w:r>
      <w:r>
        <w:rPr>
          <w:rFonts w:cs="Arial" w:hint="cs"/>
          <w:rtl/>
        </w:rPr>
        <w:t xml:space="preserve"> וכ"כ הה"מ וכו', ב"י.</w:t>
      </w:r>
    </w:p>
  </w:footnote>
  <w:footnote w:id="1604">
    <w:p w14:paraId="5215FEC9" w14:textId="77777777" w:rsidR="00DF1FC7" w:rsidRDefault="00DF1FC7" w:rsidP="002E5BAD">
      <w:pPr>
        <w:pStyle w:val="a5"/>
      </w:pPr>
      <w:r>
        <w:rPr>
          <w:rStyle w:val="a7"/>
        </w:rPr>
        <w:footnoteRef/>
      </w:r>
      <w:r>
        <w:rPr>
          <w:rtl/>
        </w:rPr>
        <w:t xml:space="preserve"> </w:t>
      </w:r>
      <w:r>
        <w:rPr>
          <w:rFonts w:hint="cs"/>
          <w:rtl/>
        </w:rPr>
        <w:t>וז"ל</w:t>
      </w:r>
      <w:r>
        <w:rPr>
          <w:rFonts w:cs="Arial" w:hint="cs"/>
          <w:rtl/>
        </w:rPr>
        <w:t>-</w:t>
      </w:r>
      <w:r w:rsidRPr="00422CA3">
        <w:rPr>
          <w:rFonts w:cs="Arial"/>
          <w:rtl/>
        </w:rPr>
        <w:t xml:space="preserve"> דע שבפרקונה ובקבורתה אין הבעל יכול להנצל מחיובם</w:t>
      </w:r>
      <w:r>
        <w:rPr>
          <w:rFonts w:cs="Arial" w:hint="cs"/>
          <w:rtl/>
        </w:rPr>
        <w:t>,</w:t>
      </w:r>
      <w:r w:rsidRPr="00422CA3">
        <w:rPr>
          <w:rFonts w:cs="Arial"/>
          <w:rtl/>
        </w:rPr>
        <w:t xml:space="preserve"> ואפילו יניח לה פירותיה וכתובתה</w:t>
      </w:r>
      <w:r>
        <w:rPr>
          <w:rFonts w:cs="Arial" w:hint="cs"/>
          <w:rtl/>
        </w:rPr>
        <w:t>.</w:t>
      </w:r>
      <w:r w:rsidRPr="00422CA3">
        <w:rPr>
          <w:rFonts w:cs="Arial"/>
          <w:rtl/>
        </w:rPr>
        <w:t xml:space="preserve"> וכן היא אינה יכולה להפקיע ממנו זכות פירות וכתובה אפילו תאמר איני נפדית ואיני נקברת מנכסיו וזה נראה מדברי רבינו וכן הסכימו הרמב"ן (כתובות מז: ד"ה הא) והרשב"א (שם ד"ה תקנו)</w:t>
      </w:r>
      <w:r>
        <w:rPr>
          <w:rFonts w:cs="Arial" w:hint="cs"/>
          <w:rtl/>
        </w:rPr>
        <w:t>.</w:t>
      </w:r>
    </w:p>
  </w:footnote>
  <w:footnote w:id="1605">
    <w:p w14:paraId="30DC5497" w14:textId="77777777" w:rsidR="00DF1FC7" w:rsidRDefault="00DF1FC7" w:rsidP="002E5BAD">
      <w:pPr>
        <w:pStyle w:val="a5"/>
        <w:rPr>
          <w:rtl/>
        </w:rPr>
      </w:pPr>
      <w:r>
        <w:rPr>
          <w:rStyle w:val="a7"/>
        </w:rPr>
        <w:footnoteRef/>
      </w:r>
      <w:r>
        <w:rPr>
          <w:rtl/>
        </w:rPr>
        <w:t xml:space="preserve"> </w:t>
      </w:r>
      <w:r w:rsidRPr="00DE3527">
        <w:rPr>
          <w:rFonts w:cs="Arial"/>
          <w:rtl/>
        </w:rPr>
        <w:t>מה שהאשה מכנסת לבעלה ושמה לו לקבלם עליו באחריות כתובתה</w:t>
      </w:r>
      <w:r>
        <w:rPr>
          <w:rFonts w:cs="Arial" w:hint="cs"/>
          <w:rtl/>
        </w:rPr>
        <w:t>,</w:t>
      </w:r>
      <w:r w:rsidRPr="00DE3527">
        <w:rPr>
          <w:rFonts w:cs="Arial"/>
          <w:rtl/>
        </w:rPr>
        <w:t xml:space="preserve"> כמו שכותבין </w:t>
      </w:r>
      <w:r>
        <w:rPr>
          <w:rFonts w:cs="Arial" w:hint="cs"/>
          <w:rtl/>
        </w:rPr>
        <w:t>'</w:t>
      </w:r>
      <w:r w:rsidRPr="00DE3527">
        <w:rPr>
          <w:rFonts w:cs="Arial"/>
          <w:rtl/>
        </w:rPr>
        <w:t>ודא נדוניא דהנעלת ליה</w:t>
      </w:r>
      <w:r>
        <w:rPr>
          <w:rFonts w:cs="Arial" w:hint="cs"/>
          <w:rtl/>
        </w:rPr>
        <w:t>',</w:t>
      </w:r>
      <w:r w:rsidRPr="00DE3527">
        <w:rPr>
          <w:rFonts w:cs="Arial"/>
          <w:rtl/>
        </w:rPr>
        <w:t xml:space="preserve"> והוא מוסיף כנגדן וכותב </w:t>
      </w:r>
      <w:r>
        <w:rPr>
          <w:rFonts w:cs="Arial" w:hint="cs"/>
          <w:rtl/>
        </w:rPr>
        <w:t>'</w:t>
      </w:r>
      <w:r w:rsidRPr="00DE3527">
        <w:rPr>
          <w:rFonts w:cs="Arial"/>
          <w:rtl/>
        </w:rPr>
        <w:t>סך הכל קבל עליו פלוני כך וכך בכתובתה</w:t>
      </w:r>
      <w:r>
        <w:rPr>
          <w:rFonts w:cs="Arial" w:hint="cs"/>
          <w:rtl/>
        </w:rPr>
        <w:t>' -</w:t>
      </w:r>
      <w:r w:rsidRPr="00DE3527">
        <w:rPr>
          <w:rFonts w:cs="Arial"/>
          <w:rtl/>
        </w:rPr>
        <w:t xml:space="preserve"> קורין צאן ברזל</w:t>
      </w:r>
      <w:r>
        <w:rPr>
          <w:rFonts w:cs="Arial" w:hint="cs"/>
          <w:rtl/>
        </w:rPr>
        <w:t>.</w:t>
      </w:r>
      <w:r w:rsidRPr="00DE3527">
        <w:rPr>
          <w:rFonts w:cs="Arial"/>
          <w:rtl/>
        </w:rPr>
        <w:t xml:space="preserve"> ויש שמכנסת ממון הרבה ואינה כותבת כולו בכתובתה</w:t>
      </w:r>
      <w:r>
        <w:rPr>
          <w:rFonts w:cs="Arial" w:hint="cs"/>
          <w:rtl/>
        </w:rPr>
        <w:t>,</w:t>
      </w:r>
      <w:r w:rsidRPr="00DE3527">
        <w:rPr>
          <w:rFonts w:cs="Arial"/>
          <w:rtl/>
        </w:rPr>
        <w:t xml:space="preserve"> ומשיירת לעצמה </w:t>
      </w:r>
      <w:r>
        <w:rPr>
          <w:rFonts w:cs="Arial" w:hint="cs"/>
          <w:rtl/>
        </w:rPr>
        <w:t xml:space="preserve">- </w:t>
      </w:r>
      <w:r w:rsidRPr="00DE3527">
        <w:rPr>
          <w:rFonts w:cs="Arial"/>
          <w:rtl/>
        </w:rPr>
        <w:t>הן נכסי מלוג</w:t>
      </w:r>
      <w:r>
        <w:rPr>
          <w:rFonts w:cs="Arial" w:hint="cs"/>
          <w:rtl/>
        </w:rPr>
        <w:t>,</w:t>
      </w:r>
      <w:r w:rsidRPr="00DE3527">
        <w:rPr>
          <w:rFonts w:cs="Arial"/>
          <w:rtl/>
        </w:rPr>
        <w:t xml:space="preserve"> והבעל אוכל פירות</w:t>
      </w:r>
      <w:r>
        <w:rPr>
          <w:rFonts w:cs="Arial" w:hint="cs"/>
          <w:rtl/>
        </w:rPr>
        <w:t>,</w:t>
      </w:r>
      <w:r w:rsidRPr="00DE3527">
        <w:rPr>
          <w:rFonts w:cs="Arial"/>
          <w:rtl/>
        </w:rPr>
        <w:t xml:space="preserve"> והקרן שלה קיים</w:t>
      </w:r>
      <w:r>
        <w:rPr>
          <w:rFonts w:cs="Arial" w:hint="cs"/>
          <w:rtl/>
        </w:rPr>
        <w:t>,</w:t>
      </w:r>
      <w:r w:rsidRPr="00DE3527">
        <w:rPr>
          <w:rFonts w:cs="Arial"/>
          <w:rtl/>
        </w:rPr>
        <w:t xml:space="preserve"> ואם מתו </w:t>
      </w:r>
      <w:r>
        <w:rPr>
          <w:rFonts w:cs="Arial" w:hint="cs"/>
          <w:rtl/>
        </w:rPr>
        <w:t xml:space="preserve">- </w:t>
      </w:r>
      <w:r w:rsidRPr="00DE3527">
        <w:rPr>
          <w:rFonts w:cs="Arial"/>
          <w:rtl/>
        </w:rPr>
        <w:t>מתו לה</w:t>
      </w:r>
      <w:r>
        <w:rPr>
          <w:rFonts w:cs="Arial" w:hint="cs"/>
          <w:rtl/>
        </w:rPr>
        <w:t>,</w:t>
      </w:r>
      <w:r w:rsidRPr="00DE3527">
        <w:rPr>
          <w:rFonts w:cs="Arial"/>
          <w:rtl/>
        </w:rPr>
        <w:t xml:space="preserve"> או פחתו </w:t>
      </w:r>
      <w:r>
        <w:rPr>
          <w:rFonts w:cs="Arial" w:hint="cs"/>
          <w:rtl/>
        </w:rPr>
        <w:t xml:space="preserve">- </w:t>
      </w:r>
      <w:r w:rsidRPr="00DE3527">
        <w:rPr>
          <w:rFonts w:cs="Arial"/>
          <w:rtl/>
        </w:rPr>
        <w:t>פחתו לה</w:t>
      </w:r>
      <w:r>
        <w:rPr>
          <w:rFonts w:cs="Arial" w:hint="cs"/>
          <w:rtl/>
        </w:rPr>
        <w:t>.</w:t>
      </w:r>
      <w:r w:rsidRPr="00DE3527">
        <w:rPr>
          <w:rFonts w:cs="Arial"/>
          <w:rtl/>
        </w:rPr>
        <w:t xml:space="preserve"> לשון צאן ברזל</w:t>
      </w:r>
      <w:r>
        <w:rPr>
          <w:rFonts w:cs="Arial" w:hint="cs"/>
          <w:rtl/>
        </w:rPr>
        <w:t xml:space="preserve">, </w:t>
      </w:r>
      <w:r w:rsidRPr="00DE3527">
        <w:rPr>
          <w:rFonts w:cs="Arial"/>
          <w:rtl/>
        </w:rPr>
        <w:t>קרן קיים</w:t>
      </w:r>
      <w:r>
        <w:rPr>
          <w:rFonts w:cs="Arial" w:hint="cs"/>
          <w:rtl/>
        </w:rPr>
        <w:t>,</w:t>
      </w:r>
      <w:r w:rsidRPr="00DE3527">
        <w:rPr>
          <w:rFonts w:cs="Arial"/>
          <w:rtl/>
        </w:rPr>
        <w:t xml:space="preserve"> שאין פוחת ונפסד</w:t>
      </w:r>
      <w:r>
        <w:rPr>
          <w:rFonts w:cs="Arial" w:hint="cs"/>
          <w:rtl/>
        </w:rPr>
        <w:t>,</w:t>
      </w:r>
      <w:r w:rsidRPr="00DE3527">
        <w:rPr>
          <w:rFonts w:cs="Arial"/>
          <w:rtl/>
        </w:rPr>
        <w:t xml:space="preserve"> שאפילו מתו כולן אחריותן עליו לשלם לה כשימות או יגרשנה</w:t>
      </w:r>
      <w:r>
        <w:rPr>
          <w:rFonts w:hint="cs"/>
          <w:rtl/>
        </w:rPr>
        <w:t>, רש"י.</w:t>
      </w:r>
    </w:p>
  </w:footnote>
  <w:footnote w:id="1606">
    <w:p w14:paraId="0FA5EA18" w14:textId="77777777" w:rsidR="00DF1FC7" w:rsidRDefault="00DF1FC7" w:rsidP="002E5BAD">
      <w:pPr>
        <w:pStyle w:val="a5"/>
        <w:rPr>
          <w:rtl/>
        </w:rPr>
      </w:pPr>
      <w:r>
        <w:rPr>
          <w:rStyle w:val="a7"/>
        </w:rPr>
        <w:footnoteRef/>
      </w:r>
      <w:r>
        <w:rPr>
          <w:rtl/>
        </w:rPr>
        <w:t xml:space="preserve"> </w:t>
      </w:r>
      <w:r w:rsidRPr="00EB63AD">
        <w:rPr>
          <w:rFonts w:cs="Arial"/>
          <w:rtl/>
        </w:rPr>
        <w:t>לפי שהן שלה והיא חללה ולקמן בגמרא מפרש טעמא</w:t>
      </w:r>
      <w:r>
        <w:rPr>
          <w:rFonts w:hint="cs"/>
          <w:rtl/>
        </w:rPr>
        <w:t>, רש"י.</w:t>
      </w:r>
    </w:p>
  </w:footnote>
  <w:footnote w:id="1607">
    <w:p w14:paraId="6B1247E6" w14:textId="77777777" w:rsidR="00DF1FC7" w:rsidRDefault="00DF1FC7" w:rsidP="002E5BAD">
      <w:pPr>
        <w:pStyle w:val="a5"/>
        <w:rPr>
          <w:rtl/>
        </w:rPr>
      </w:pPr>
      <w:r>
        <w:rPr>
          <w:rStyle w:val="a7"/>
        </w:rPr>
        <w:footnoteRef/>
      </w:r>
      <w:r>
        <w:rPr>
          <w:rtl/>
        </w:rPr>
        <w:t xml:space="preserve"> </w:t>
      </w:r>
      <w:r w:rsidRPr="00E84812">
        <w:rPr>
          <w:rFonts w:cs="Arial"/>
          <w:rtl/>
        </w:rPr>
        <w:t>ודע שיש קצת דברים שהכתובה והחוב שוים בהן כפוגמת כתובתה ופוחתת ונפרעת מנכסי יתומים ושלא בפניו ומן המשועבדין שכל אלו בעל חוב גם כן צריך שבועה בהן ואין ספק שדין זה נוהג אף בנדוניא ולא הוצרך רבינו לבאר כן דפשוט הוא שלא יפה כחה מן החוב. ודע שאין דעת רבינו מוסכם בזה מכל המפרשים ז"ל</w:t>
      </w:r>
      <w:r>
        <w:rPr>
          <w:rFonts w:hint="cs"/>
          <w:rtl/>
        </w:rPr>
        <w:t>, הה"מ (שם).</w:t>
      </w:r>
    </w:p>
  </w:footnote>
  <w:footnote w:id="1608">
    <w:p w14:paraId="375D30B3" w14:textId="77777777" w:rsidR="00DF1FC7" w:rsidRPr="00BA73D9" w:rsidRDefault="00DF1FC7" w:rsidP="002E5BAD">
      <w:pPr>
        <w:pStyle w:val="a5"/>
      </w:pPr>
      <w:r w:rsidRPr="00BA73D9">
        <w:rPr>
          <w:rStyle w:val="a7"/>
        </w:rPr>
        <w:footnoteRef/>
      </w:r>
      <w:r w:rsidRPr="00BA73D9">
        <w:rPr>
          <w:rtl/>
        </w:rPr>
        <w:t xml:space="preserve"> </w:t>
      </w:r>
      <w:r w:rsidRPr="00BA73D9">
        <w:rPr>
          <w:rFonts w:cs="Arial" w:hint="cs"/>
          <w:rtl/>
        </w:rPr>
        <w:t xml:space="preserve">והביא הב"י את דברי הרא"ש </w:t>
      </w:r>
      <w:r w:rsidRPr="00BA73D9">
        <w:rPr>
          <w:rFonts w:cs="Arial"/>
          <w:rtl/>
        </w:rPr>
        <w:t>(סי' ג) על זה</w:t>
      </w:r>
      <w:r w:rsidRPr="00BA73D9">
        <w:rPr>
          <w:rFonts w:cs="Arial" w:hint="cs"/>
          <w:rtl/>
        </w:rPr>
        <w:t>, וז"ל-</w:t>
      </w:r>
      <w:r w:rsidRPr="00BA73D9">
        <w:rPr>
          <w:rFonts w:cs="Arial"/>
          <w:rtl/>
        </w:rPr>
        <w:t xml:space="preserve"> פסק ר"י דשומר חינם מיהא הוי וחייב בפשיעה</w:t>
      </w:r>
      <w:r w:rsidRPr="00BA73D9">
        <w:rPr>
          <w:rFonts w:cs="Arial" w:hint="cs"/>
          <w:rtl/>
        </w:rPr>
        <w:t>,</w:t>
      </w:r>
      <w:r w:rsidRPr="00BA73D9">
        <w:rPr>
          <w:rFonts w:cs="Arial"/>
          <w:rtl/>
        </w:rPr>
        <w:t xml:space="preserve"> וגבי בעל בנכסי אשתו לא נפקא מינה מידי דפשיעה בבעלים פטור</w:t>
      </w:r>
      <w:r w:rsidRPr="00BA73D9">
        <w:rPr>
          <w:rFonts w:cs="Arial" w:hint="cs"/>
          <w:rtl/>
        </w:rPr>
        <w:t>,</w:t>
      </w:r>
      <w:r w:rsidRPr="00BA73D9">
        <w:rPr>
          <w:rFonts w:cs="Arial"/>
          <w:rtl/>
        </w:rPr>
        <w:t xml:space="preserve"> אלא נפקא מינה ללוקח בהמה לל' יום דלא שואל הוי ולא שוכר</w:t>
      </w:r>
      <w:r w:rsidRPr="00BA73D9">
        <w:rPr>
          <w:rFonts w:cs="Arial" w:hint="cs"/>
          <w:rtl/>
        </w:rPr>
        <w:t>,</w:t>
      </w:r>
      <w:r w:rsidRPr="00BA73D9">
        <w:rPr>
          <w:rFonts w:cs="Arial"/>
          <w:rtl/>
        </w:rPr>
        <w:t xml:space="preserve"> דבלשון מקח לקחה</w:t>
      </w:r>
      <w:r w:rsidRPr="00BA73D9">
        <w:rPr>
          <w:rFonts w:cs="Arial" w:hint="cs"/>
          <w:rtl/>
        </w:rPr>
        <w:t>,</w:t>
      </w:r>
      <w:r w:rsidRPr="00BA73D9">
        <w:rPr>
          <w:rFonts w:cs="Arial"/>
          <w:rtl/>
        </w:rPr>
        <w:t xml:space="preserve"> ומסתבר דשומר חינם הוי</w:t>
      </w:r>
      <w:r w:rsidRPr="00BA73D9">
        <w:rPr>
          <w:rFonts w:cs="Arial" w:hint="cs"/>
          <w:rtl/>
        </w:rPr>
        <w:t>,</w:t>
      </w:r>
      <w:r w:rsidRPr="00BA73D9">
        <w:rPr>
          <w:rFonts w:cs="Arial"/>
          <w:rtl/>
        </w:rPr>
        <w:t xml:space="preserve"> עכ"ל. ויש לתמוה על רבינו למה תלה הדבר בפסק ר"י</w:t>
      </w:r>
      <w:r w:rsidRPr="00BA73D9">
        <w:rPr>
          <w:rFonts w:cs="Arial" w:hint="cs"/>
          <w:rtl/>
        </w:rPr>
        <w:t>,</w:t>
      </w:r>
      <w:r w:rsidRPr="00BA73D9">
        <w:rPr>
          <w:rFonts w:cs="Arial"/>
          <w:rtl/>
        </w:rPr>
        <w:t xml:space="preserve"> דהא כיון דמהא דאמר רבא מאי קמיבעיא לרמי בר חמא וכו' שמעינן דבעל בנכסי אשתו אשתו עמו במלאכתו מיקריא</w:t>
      </w:r>
      <w:r w:rsidRPr="00BA73D9">
        <w:rPr>
          <w:rFonts w:cs="Arial" w:hint="cs"/>
          <w:rtl/>
        </w:rPr>
        <w:t>,</w:t>
      </w:r>
      <w:r w:rsidRPr="00BA73D9">
        <w:rPr>
          <w:rFonts w:cs="Arial"/>
          <w:rtl/>
        </w:rPr>
        <w:t xml:space="preserve"> והא קיי"ל דפשיעה בבעלים פטור כדאיתא בהשואל (צה.)</w:t>
      </w:r>
      <w:r w:rsidRPr="00BA73D9">
        <w:rPr>
          <w:rFonts w:cs="Arial" w:hint="cs"/>
          <w:rtl/>
        </w:rPr>
        <w:t>,</w:t>
      </w:r>
      <w:r w:rsidRPr="00BA73D9">
        <w:rPr>
          <w:rFonts w:cs="Arial"/>
          <w:rtl/>
        </w:rPr>
        <w:t xml:space="preserve"> ממילא שמעינן דאם פשע בהם ונאבדו בפשיעה פטור</w:t>
      </w:r>
      <w:r>
        <w:rPr>
          <w:rFonts w:cs="Arial" w:hint="cs"/>
          <w:sz w:val="16"/>
          <w:szCs w:val="16"/>
          <w:rtl/>
        </w:rPr>
        <w:t xml:space="preserve"> [עכ"ל הב"י]</w:t>
      </w:r>
      <w:r w:rsidRPr="00BA73D9">
        <w:rPr>
          <w:rFonts w:cs="Arial" w:hint="cs"/>
          <w:rtl/>
        </w:rPr>
        <w:t>.</w:t>
      </w:r>
      <w:r>
        <w:rPr>
          <w:rFonts w:hint="cs"/>
          <w:rtl/>
        </w:rPr>
        <w:t xml:space="preserve"> אך הב"ש (סק"ה) כתב </w:t>
      </w:r>
      <w:r>
        <w:rPr>
          <w:rFonts w:cs="Arial" w:hint="cs"/>
          <w:rtl/>
        </w:rPr>
        <w:t>ד</w:t>
      </w:r>
      <w:r w:rsidRPr="00CE3528">
        <w:rPr>
          <w:rFonts w:cs="Arial"/>
          <w:rtl/>
        </w:rPr>
        <w:t xml:space="preserve">משמע </w:t>
      </w:r>
      <w:r>
        <w:rPr>
          <w:rFonts w:cs="Arial" w:hint="cs"/>
          <w:rtl/>
        </w:rPr>
        <w:t>ד</w:t>
      </w:r>
      <w:r w:rsidRPr="00CE3528">
        <w:rPr>
          <w:rFonts w:cs="Arial"/>
          <w:rtl/>
        </w:rPr>
        <w:t>מגניבה ואבידה פטור מטעם דלא קיבל עליו שמירה</w:t>
      </w:r>
      <w:r>
        <w:rPr>
          <w:rFonts w:cs="Arial" w:hint="cs"/>
          <w:rtl/>
        </w:rPr>
        <w:t>,</w:t>
      </w:r>
      <w:r w:rsidRPr="00CE3528">
        <w:rPr>
          <w:rFonts w:cs="Arial"/>
          <w:rtl/>
        </w:rPr>
        <w:t xml:space="preserve"> אלא מפשיעה אינו פטור מטעם זה</w:t>
      </w:r>
      <w:r>
        <w:rPr>
          <w:rFonts w:cs="Arial" w:hint="cs"/>
          <w:rtl/>
        </w:rPr>
        <w:t>,</w:t>
      </w:r>
      <w:r w:rsidRPr="00CE3528">
        <w:rPr>
          <w:rFonts w:cs="Arial"/>
          <w:rtl/>
        </w:rPr>
        <w:t xml:space="preserve"> כיון דהוא משתמש בהם</w:t>
      </w:r>
      <w:r>
        <w:rPr>
          <w:rFonts w:cs="Arial" w:hint="cs"/>
          <w:rtl/>
        </w:rPr>
        <w:t>,</w:t>
      </w:r>
      <w:r w:rsidRPr="00CE3528">
        <w:rPr>
          <w:rFonts w:cs="Arial"/>
          <w:rtl/>
        </w:rPr>
        <w:t xml:space="preserve"> אלא מטעם שמירה בבעלים הוא פטור</w:t>
      </w:r>
      <w:r>
        <w:rPr>
          <w:rFonts w:cs="Arial" w:hint="cs"/>
          <w:rtl/>
        </w:rPr>
        <w:t>,</w:t>
      </w:r>
      <w:r w:rsidRPr="00CE3528">
        <w:rPr>
          <w:rFonts w:cs="Arial"/>
          <w:rtl/>
        </w:rPr>
        <w:t xml:space="preserve"> ו</w:t>
      </w:r>
      <w:r>
        <w:rPr>
          <w:rFonts w:cs="Arial"/>
          <w:rtl/>
        </w:rPr>
        <w:t>נכסי צאן ברזל</w:t>
      </w:r>
      <w:r w:rsidRPr="00CE3528">
        <w:rPr>
          <w:rFonts w:cs="Arial"/>
          <w:rtl/>
        </w:rPr>
        <w:t xml:space="preserve"> הוא חייב אע</w:t>
      </w:r>
      <w:r>
        <w:rPr>
          <w:rFonts w:cs="Arial" w:hint="cs"/>
          <w:rtl/>
        </w:rPr>
        <w:t>"</w:t>
      </w:r>
      <w:r w:rsidRPr="00CE3528">
        <w:rPr>
          <w:rFonts w:cs="Arial"/>
          <w:rtl/>
        </w:rPr>
        <w:t>ג דהוי שמירה בבעלים כיון דמקבל בפירוש אחריות מחייב את עצמו</w:t>
      </w:r>
      <w:r>
        <w:rPr>
          <w:rFonts w:cs="Arial" w:hint="cs"/>
          <w:rtl/>
        </w:rPr>
        <w:t>.</w:t>
      </w:r>
      <w:r w:rsidRPr="00CE3528">
        <w:rPr>
          <w:rFonts w:cs="Arial"/>
          <w:rtl/>
        </w:rPr>
        <w:t xml:space="preserve"> והטור כ' דין זה בשם ר"י דהוא פטור מטעם שמירה בבעלים והקשה הב"י למה תלה הטור הדין בדברי ר"י הא מבואר כן בסוגי' פ' השואל</w:t>
      </w:r>
      <w:r>
        <w:rPr>
          <w:rFonts w:cs="Arial" w:hint="cs"/>
          <w:rtl/>
        </w:rPr>
        <w:t>,</w:t>
      </w:r>
      <w:r w:rsidRPr="00CE3528">
        <w:rPr>
          <w:rFonts w:cs="Arial"/>
          <w:rtl/>
        </w:rPr>
        <w:t xml:space="preserve"> ולמ"ש ניחא דאת</w:t>
      </w:r>
      <w:r>
        <w:rPr>
          <w:rFonts w:cs="Arial" w:hint="cs"/>
          <w:rtl/>
        </w:rPr>
        <w:t>א</w:t>
      </w:r>
      <w:r w:rsidRPr="00CE3528">
        <w:rPr>
          <w:rFonts w:cs="Arial"/>
          <w:rtl/>
        </w:rPr>
        <w:t xml:space="preserve"> לאשמעינן בשם ר"י דאינו פטור משום דלא קיבל שמירה עליו</w:t>
      </w:r>
      <w:r>
        <w:rPr>
          <w:rFonts w:cs="Arial" w:hint="cs"/>
          <w:rtl/>
        </w:rPr>
        <w:t>,</w:t>
      </w:r>
      <w:r w:rsidRPr="00CE3528">
        <w:rPr>
          <w:rFonts w:cs="Arial"/>
          <w:rtl/>
        </w:rPr>
        <w:t xml:space="preserve"> ונ"מ הלוקח בהמה לשלשים יום דאינו מקבל שמירה</w:t>
      </w:r>
      <w:r>
        <w:rPr>
          <w:rFonts w:cs="Arial" w:hint="cs"/>
          <w:rtl/>
        </w:rPr>
        <w:t>,</w:t>
      </w:r>
      <w:r w:rsidRPr="00CE3528">
        <w:rPr>
          <w:rFonts w:cs="Arial"/>
          <w:rtl/>
        </w:rPr>
        <w:t xml:space="preserve"> מ"מ פסק ר"י דהוא </w:t>
      </w:r>
      <w:r>
        <w:rPr>
          <w:rFonts w:cs="Arial" w:hint="cs"/>
          <w:rtl/>
        </w:rPr>
        <w:t>שומר חינם</w:t>
      </w:r>
      <w:r>
        <w:rPr>
          <w:rFonts w:hint="cs"/>
          <w:rtl/>
        </w:rPr>
        <w:t>.</w:t>
      </w:r>
    </w:p>
  </w:footnote>
  <w:footnote w:id="1609">
    <w:p w14:paraId="0D221D78" w14:textId="77777777" w:rsidR="00DF1FC7" w:rsidRDefault="00DF1FC7" w:rsidP="002E5BAD">
      <w:pPr>
        <w:pStyle w:val="a5"/>
      </w:pPr>
      <w:r>
        <w:rPr>
          <w:rStyle w:val="a7"/>
        </w:rPr>
        <w:footnoteRef/>
      </w:r>
      <w:r>
        <w:rPr>
          <w:rtl/>
        </w:rPr>
        <w:t xml:space="preserve"> </w:t>
      </w:r>
      <w:r w:rsidRPr="004C5DE2">
        <w:rPr>
          <w:rFonts w:cs="Arial"/>
          <w:rtl/>
        </w:rPr>
        <w:t>ר"ל הנכסים אשר יש להם קיום כצאן ברזל משום דכל אחריו</w:t>
      </w:r>
      <w:r>
        <w:rPr>
          <w:rFonts w:cs="Arial" w:hint="cs"/>
          <w:rtl/>
        </w:rPr>
        <w:t>תם</w:t>
      </w:r>
      <w:r w:rsidRPr="004C5DE2">
        <w:rPr>
          <w:rFonts w:cs="Arial"/>
          <w:rtl/>
        </w:rPr>
        <w:t xml:space="preserve"> מוטל עליו</w:t>
      </w:r>
      <w:r>
        <w:rPr>
          <w:rFonts w:cs="Arial" w:hint="cs"/>
          <w:rtl/>
        </w:rPr>
        <w:t>...</w:t>
      </w:r>
      <w:r w:rsidRPr="004C5DE2">
        <w:rPr>
          <w:rtl/>
        </w:rPr>
        <w:t xml:space="preserve"> </w:t>
      </w:r>
      <w:r w:rsidRPr="004C5DE2">
        <w:rPr>
          <w:rFonts w:cs="Arial"/>
          <w:rtl/>
        </w:rPr>
        <w:t xml:space="preserve">ואפילו </w:t>
      </w:r>
      <w:r>
        <w:rPr>
          <w:rFonts w:cs="Arial"/>
          <w:rtl/>
        </w:rPr>
        <w:t>נכסי צאן ברזל</w:t>
      </w:r>
      <w:r w:rsidRPr="004C5DE2">
        <w:rPr>
          <w:rFonts w:cs="Arial"/>
          <w:rtl/>
        </w:rPr>
        <w:t xml:space="preserve"> דאינו רשאי למוכרם מפני שבח בית אביה ואין לו אלא פירות מ"מ יש לו יתרון טפי מנ"מ דפירי פירות הכל שלו ועיין בריב"ש סי' ק"נ</w:t>
      </w:r>
      <w:r>
        <w:rPr>
          <w:rFonts w:cs="Arial" w:hint="cs"/>
          <w:rtl/>
        </w:rPr>
        <w:t>, ב"ש (סק"ג).</w:t>
      </w:r>
      <w:r>
        <w:rPr>
          <w:rFonts w:hint="cs"/>
          <w:rtl/>
        </w:rPr>
        <w:t xml:space="preserve"> </w:t>
      </w:r>
    </w:p>
  </w:footnote>
  <w:footnote w:id="1610">
    <w:p w14:paraId="70D14148" w14:textId="77777777" w:rsidR="00DF1FC7" w:rsidRDefault="00DF1FC7" w:rsidP="002E5BAD">
      <w:pPr>
        <w:pStyle w:val="a5"/>
      </w:pPr>
      <w:r>
        <w:rPr>
          <w:rStyle w:val="a7"/>
        </w:rPr>
        <w:footnoteRef/>
      </w:r>
      <w:r>
        <w:rPr>
          <w:rtl/>
        </w:rPr>
        <w:t xml:space="preserve"> </w:t>
      </w:r>
      <w:r w:rsidRPr="00DC0ABF">
        <w:rPr>
          <w:rFonts w:cs="Arial"/>
          <w:rtl/>
        </w:rPr>
        <w:t>בגדים היינו מה שהיא מכנסת לו אבל בגדים שלה הם נ"מ כמ"ש בסי' ע"ז</w:t>
      </w:r>
      <w:r>
        <w:rPr>
          <w:rFonts w:cs="Arial" w:hint="cs"/>
          <w:rtl/>
        </w:rPr>
        <w:t>, ב"ש (סק"ד).</w:t>
      </w:r>
    </w:p>
  </w:footnote>
  <w:footnote w:id="1611">
    <w:p w14:paraId="26C26C4E" w14:textId="77777777" w:rsidR="00DF1FC7" w:rsidRDefault="00DF1FC7" w:rsidP="002E5BAD">
      <w:pPr>
        <w:pStyle w:val="a5"/>
        <w:rPr>
          <w:rtl/>
        </w:rPr>
      </w:pPr>
      <w:r>
        <w:rPr>
          <w:rStyle w:val="a7"/>
        </w:rPr>
        <w:footnoteRef/>
      </w:r>
      <w:r>
        <w:rPr>
          <w:rtl/>
        </w:rPr>
        <w:t xml:space="preserve"> </w:t>
      </w:r>
      <w:r w:rsidRPr="004C5DE2">
        <w:rPr>
          <w:rFonts w:cs="Arial"/>
          <w:rtl/>
        </w:rPr>
        <w:t>פרט כאן ג' דברים ששייך בהן מיתה או פחת</w:t>
      </w:r>
      <w:r>
        <w:rPr>
          <w:rFonts w:cs="Arial" w:hint="cs"/>
          <w:rtl/>
        </w:rPr>
        <w:t>,</w:t>
      </w:r>
      <w:r w:rsidRPr="004C5DE2">
        <w:rPr>
          <w:rFonts w:cs="Arial"/>
          <w:rtl/>
        </w:rPr>
        <w:t xml:space="preserve"> וה"ה אם הכניסה לו קרקע ג"כ </w:t>
      </w:r>
      <w:r>
        <w:rPr>
          <w:rFonts w:cs="Arial"/>
          <w:rtl/>
        </w:rPr>
        <w:t>צאן ברזל</w:t>
      </w:r>
      <w:r w:rsidRPr="004C5DE2">
        <w:rPr>
          <w:rFonts w:cs="Arial"/>
          <w:rtl/>
        </w:rPr>
        <w:t xml:space="preserve"> מקרי</w:t>
      </w:r>
      <w:r>
        <w:rPr>
          <w:rFonts w:cs="Arial" w:hint="cs"/>
          <w:rtl/>
        </w:rPr>
        <w:t>,</w:t>
      </w:r>
      <w:r w:rsidRPr="004C5DE2">
        <w:rPr>
          <w:rFonts w:cs="Arial"/>
          <w:rtl/>
        </w:rPr>
        <w:t xml:space="preserve"> ואינו רשאי למכרה משום שבח בית אביה כמו שיתבאר לקמן סי</w:t>
      </w:r>
      <w:r>
        <w:rPr>
          <w:rFonts w:cs="Arial" w:hint="cs"/>
          <w:rtl/>
        </w:rPr>
        <w:t>'</w:t>
      </w:r>
      <w:r w:rsidRPr="004C5DE2">
        <w:rPr>
          <w:rFonts w:cs="Arial"/>
          <w:rtl/>
        </w:rPr>
        <w:t xml:space="preserve"> צ</w:t>
      </w:r>
      <w:r>
        <w:rPr>
          <w:rFonts w:cs="Arial" w:hint="cs"/>
          <w:rtl/>
        </w:rPr>
        <w:t>.</w:t>
      </w:r>
      <w:r w:rsidRPr="004C5DE2">
        <w:rPr>
          <w:rFonts w:cs="Arial"/>
          <w:rtl/>
        </w:rPr>
        <w:t xml:space="preserve"> אבל אם הכניסה לו מעות או סחורות בנדן</w:t>
      </w:r>
      <w:r>
        <w:rPr>
          <w:rFonts w:cs="Arial" w:hint="cs"/>
          <w:rtl/>
        </w:rPr>
        <w:t>,</w:t>
      </w:r>
      <w:r w:rsidRPr="004C5DE2">
        <w:rPr>
          <w:rFonts w:cs="Arial"/>
          <w:rtl/>
        </w:rPr>
        <w:t xml:space="preserve"> הרשות בידו להוציאן ולישא וליתן בהם והריוח וההפסד שלו</w:t>
      </w:r>
      <w:r>
        <w:rPr>
          <w:rFonts w:cs="Arial" w:hint="cs"/>
          <w:rtl/>
        </w:rPr>
        <w:t>,</w:t>
      </w:r>
      <w:r w:rsidRPr="004C5DE2">
        <w:rPr>
          <w:rFonts w:cs="Arial"/>
          <w:rtl/>
        </w:rPr>
        <w:t xml:space="preserve"> וע"כ הוא מוסיף שליש בהם ע"פ דין התלמוד</w:t>
      </w:r>
      <w:r>
        <w:rPr>
          <w:rFonts w:cs="Arial" w:hint="cs"/>
          <w:rtl/>
        </w:rPr>
        <w:t>,</w:t>
      </w:r>
      <w:r w:rsidRPr="004C5DE2">
        <w:rPr>
          <w:rFonts w:cs="Arial"/>
          <w:rtl/>
        </w:rPr>
        <w:t xml:space="preserve"> אבל כשמכנסת לו דברים שאין רשאי למוכרן הוא פוחת חומש</w:t>
      </w:r>
      <w:r>
        <w:rPr>
          <w:rFonts w:hint="cs"/>
          <w:rtl/>
        </w:rPr>
        <w:t>, ח"מ (סק"ב).</w:t>
      </w:r>
    </w:p>
  </w:footnote>
  <w:footnote w:id="1612">
    <w:p w14:paraId="0BC1BDA3" w14:textId="77777777" w:rsidR="00DF1FC7" w:rsidRDefault="00DF1FC7" w:rsidP="002E5BAD">
      <w:pPr>
        <w:pStyle w:val="a5"/>
      </w:pPr>
      <w:r>
        <w:rPr>
          <w:rStyle w:val="a7"/>
        </w:rPr>
        <w:footnoteRef/>
      </w:r>
      <w:r>
        <w:rPr>
          <w:rtl/>
        </w:rPr>
        <w:t xml:space="preserve"> </w:t>
      </w:r>
      <w:r w:rsidRPr="004C5DE2">
        <w:rPr>
          <w:rFonts w:cs="Arial"/>
          <w:rtl/>
        </w:rPr>
        <w:t>מלוג ע"ש שאוכל כעין מליג</w:t>
      </w:r>
      <w:r>
        <w:rPr>
          <w:rFonts w:cs="Arial" w:hint="cs"/>
          <w:rtl/>
        </w:rPr>
        <w:t>ת</w:t>
      </w:r>
      <w:r w:rsidRPr="004C5DE2">
        <w:rPr>
          <w:rFonts w:cs="Arial"/>
          <w:rtl/>
        </w:rPr>
        <w:t xml:space="preserve"> הראש שתולשים השער הגמי"י</w:t>
      </w:r>
      <w:r>
        <w:rPr>
          <w:rFonts w:cs="Arial" w:hint="cs"/>
          <w:rtl/>
        </w:rPr>
        <w:t xml:space="preserve">, ב"ש (סק"ג). </w:t>
      </w:r>
      <w:r>
        <w:rPr>
          <w:rFonts w:hint="cs"/>
          <w:rtl/>
        </w:rPr>
        <w:t>וה</w:t>
      </w:r>
      <w:r>
        <w:rPr>
          <w:rFonts w:cs="Arial" w:hint="cs"/>
          <w:rtl/>
        </w:rPr>
        <w:t>ח"מ (סק"ג) פירוש דל</w:t>
      </w:r>
      <w:r w:rsidRPr="00DC0ABF">
        <w:rPr>
          <w:rFonts w:cs="Arial"/>
          <w:rtl/>
        </w:rPr>
        <w:t xml:space="preserve">שון מלוג </w:t>
      </w:r>
      <w:r>
        <w:rPr>
          <w:rFonts w:cs="Arial" w:hint="cs"/>
          <w:rtl/>
        </w:rPr>
        <w:t xml:space="preserve">הוא </w:t>
      </w:r>
      <w:r w:rsidRPr="00DC0ABF">
        <w:rPr>
          <w:rFonts w:cs="Arial"/>
          <w:rtl/>
        </w:rPr>
        <w:t>כענין מליגת הראש שתולש השער ועוזב הראש כך כאן אוכל פירות ועוזב קרן</w:t>
      </w:r>
      <w:r>
        <w:rPr>
          <w:rFonts w:cs="Arial" w:hint="cs"/>
          <w:rtl/>
        </w:rPr>
        <w:t>.</w:t>
      </w:r>
    </w:p>
  </w:footnote>
  <w:footnote w:id="1613">
    <w:p w14:paraId="2294CCC4" w14:textId="77777777" w:rsidR="00DF1FC7" w:rsidRDefault="00DF1FC7" w:rsidP="002E5BAD">
      <w:pPr>
        <w:pStyle w:val="a5"/>
      </w:pPr>
      <w:r>
        <w:rPr>
          <w:rStyle w:val="a7"/>
        </w:rPr>
        <w:footnoteRef/>
      </w:r>
      <w:r>
        <w:rPr>
          <w:rtl/>
        </w:rPr>
        <w:t xml:space="preserve"> </w:t>
      </w:r>
      <w:r w:rsidRPr="00DC0ABF">
        <w:rPr>
          <w:rFonts w:cs="Arial"/>
          <w:rtl/>
        </w:rPr>
        <w:t>אם הם מעות ועומדים ביד אחר להסתחר והבעל הגון וירא שמים ומקבל אחריותם יוכל הוא עצמו ליש' וליתן בהם ויאכל פירות הר"ם גלאנטי סי' ק"ג</w:t>
      </w:r>
      <w:r>
        <w:rPr>
          <w:rFonts w:cs="Arial" w:hint="cs"/>
          <w:rtl/>
        </w:rPr>
        <w:t>, באה"ט (סק"ג).</w:t>
      </w:r>
    </w:p>
  </w:footnote>
  <w:footnote w:id="1614">
    <w:p w14:paraId="418037AC" w14:textId="77777777" w:rsidR="00DF1FC7" w:rsidRDefault="00DF1FC7" w:rsidP="002E5BAD">
      <w:pPr>
        <w:pStyle w:val="a5"/>
      </w:pPr>
      <w:r>
        <w:rPr>
          <w:rStyle w:val="a7"/>
        </w:rPr>
        <w:footnoteRef/>
      </w:r>
      <w:r>
        <w:rPr>
          <w:rtl/>
        </w:rPr>
        <w:t xml:space="preserve"> </w:t>
      </w:r>
      <w:r w:rsidRPr="00DC0ABF">
        <w:rPr>
          <w:rFonts w:cs="Arial"/>
          <w:rtl/>
        </w:rPr>
        <w:t xml:space="preserve">כלומר אבל בנכסי </w:t>
      </w:r>
      <w:r>
        <w:rPr>
          <w:rFonts w:cs="Arial"/>
          <w:rtl/>
        </w:rPr>
        <w:t>צאן ברזל</w:t>
      </w:r>
      <w:r w:rsidRPr="00DC0ABF">
        <w:rPr>
          <w:rFonts w:cs="Arial"/>
          <w:rtl/>
        </w:rPr>
        <w:t xml:space="preserve"> אם הכניסה לו מעות וסחורות הרשות בידו להוציא גם הקרן אבל בנכסי מלוג נפלו לה כספים ילקח בהן קרקע והוא אוכל פירות ועיין בריב"ש סימן ק"ן כתב כמה חילוקים שבין נכסי </w:t>
      </w:r>
      <w:r>
        <w:rPr>
          <w:rFonts w:cs="Arial"/>
          <w:rtl/>
        </w:rPr>
        <w:t>צאן ברזל</w:t>
      </w:r>
      <w:r w:rsidRPr="00DC0ABF">
        <w:rPr>
          <w:rFonts w:cs="Arial"/>
          <w:rtl/>
        </w:rPr>
        <w:t xml:space="preserve"> לנ"מ</w:t>
      </w:r>
      <w:r>
        <w:rPr>
          <w:rFonts w:cs="Arial" w:hint="cs"/>
          <w:rtl/>
        </w:rPr>
        <w:t>, ח"מ (סק"ד).</w:t>
      </w:r>
    </w:p>
  </w:footnote>
  <w:footnote w:id="1615">
    <w:p w14:paraId="6EE48B5C" w14:textId="77777777" w:rsidR="00DF1FC7" w:rsidRDefault="00DF1FC7" w:rsidP="002E5BAD">
      <w:pPr>
        <w:pStyle w:val="a5"/>
        <w:rPr>
          <w:rtl/>
        </w:rPr>
      </w:pPr>
      <w:r>
        <w:rPr>
          <w:rStyle w:val="a7"/>
        </w:rPr>
        <w:footnoteRef/>
      </w:r>
      <w:r>
        <w:rPr>
          <w:rtl/>
        </w:rPr>
        <w:t xml:space="preserve"> </w:t>
      </w:r>
      <w:r w:rsidRPr="00CE3528">
        <w:rPr>
          <w:rFonts w:cs="Arial"/>
          <w:rtl/>
        </w:rPr>
        <w:t>כלומר אע</w:t>
      </w:r>
      <w:r>
        <w:rPr>
          <w:rFonts w:cs="Arial" w:hint="cs"/>
          <w:rtl/>
        </w:rPr>
        <w:t>"</w:t>
      </w:r>
      <w:r w:rsidRPr="00CE3528">
        <w:rPr>
          <w:rFonts w:cs="Arial"/>
          <w:rtl/>
        </w:rPr>
        <w:t xml:space="preserve">פ שכתב שהבגדים שהכניסה לו בנדן הם נכסי </w:t>
      </w:r>
      <w:r>
        <w:rPr>
          <w:rFonts w:cs="Arial"/>
          <w:rtl/>
        </w:rPr>
        <w:t>צאן ברזל</w:t>
      </w:r>
      <w:r w:rsidRPr="00CE3528">
        <w:rPr>
          <w:rFonts w:cs="Arial"/>
          <w:rtl/>
        </w:rPr>
        <w:t xml:space="preserve"> היינו ששמו הבגדים כמה הם שוים וקיבל אחריותן אבל בבגדים שהכלה לובשת אין דרך לשומן לה בנדן רק הם נכסי מלוג שלה</w:t>
      </w:r>
      <w:r>
        <w:rPr>
          <w:rFonts w:hint="cs"/>
          <w:rtl/>
        </w:rPr>
        <w:t>, ח"מ (סק"ה).</w:t>
      </w:r>
    </w:p>
  </w:footnote>
  <w:footnote w:id="1616">
    <w:p w14:paraId="50C34C5F" w14:textId="77777777" w:rsidR="00DF1FC7" w:rsidRDefault="00DF1FC7" w:rsidP="002E5BAD">
      <w:pPr>
        <w:pStyle w:val="a5"/>
      </w:pPr>
      <w:r>
        <w:rPr>
          <w:rStyle w:val="a7"/>
        </w:rPr>
        <w:footnoteRef/>
      </w:r>
      <w:r>
        <w:rPr>
          <w:rtl/>
        </w:rPr>
        <w:t xml:space="preserve"> </w:t>
      </w:r>
      <w:r w:rsidRPr="00CE3528">
        <w:rPr>
          <w:rFonts w:cs="Arial"/>
          <w:rtl/>
        </w:rPr>
        <w:t>כלומר שאינו רשאי למכור שדה זו שיחד לה בכתובה כמו שאינו רשאי למכור קרקע שהכניסה לו</w:t>
      </w:r>
      <w:r>
        <w:rPr>
          <w:rFonts w:cs="Arial" w:hint="cs"/>
          <w:rtl/>
        </w:rPr>
        <w:t>, ח"מ (סק"ו).</w:t>
      </w:r>
    </w:p>
  </w:footnote>
  <w:footnote w:id="1617">
    <w:p w14:paraId="6F55AD67" w14:textId="77777777" w:rsidR="00DF1FC7" w:rsidRDefault="00DF1FC7" w:rsidP="002E5BAD">
      <w:pPr>
        <w:pStyle w:val="a5"/>
      </w:pPr>
      <w:r>
        <w:rPr>
          <w:rStyle w:val="a7"/>
        </w:rPr>
        <w:footnoteRef/>
      </w:r>
      <w:r>
        <w:rPr>
          <w:rtl/>
        </w:rPr>
        <w:t xml:space="preserve"> </w:t>
      </w:r>
      <w:r w:rsidRPr="009836F3">
        <w:rPr>
          <w:rFonts w:cs="Arial"/>
          <w:rtl/>
        </w:rPr>
        <w:t xml:space="preserve">והברירה בידו אם הוא רוצה אינו מקבל אחריות עליו </w:t>
      </w:r>
      <w:r>
        <w:rPr>
          <w:rFonts w:cs="Arial" w:hint="cs"/>
          <w:rtl/>
        </w:rPr>
        <w:t xml:space="preserve">(ריב"ש סי' קנ, </w:t>
      </w:r>
      <w:r w:rsidRPr="009836F3">
        <w:rPr>
          <w:rFonts w:cs="Arial"/>
          <w:rtl/>
        </w:rPr>
        <w:t>ועיין בתשו' ריב"ש סי' עו</w:t>
      </w:r>
      <w:r>
        <w:rPr>
          <w:rFonts w:cs="Arial" w:hint="cs"/>
          <w:rtl/>
        </w:rPr>
        <w:t>),</w:t>
      </w:r>
      <w:r w:rsidRPr="009836F3">
        <w:rPr>
          <w:rFonts w:cs="Arial"/>
          <w:rtl/>
        </w:rPr>
        <w:t xml:space="preserve"> ואם כבר קיבל אחריות א"י לסלק דדינו כשומר דא"י לחזור תוך הזמן</w:t>
      </w:r>
      <w:r>
        <w:rPr>
          <w:rFonts w:cs="Arial" w:hint="cs"/>
          <w:rtl/>
        </w:rPr>
        <w:t>,</w:t>
      </w:r>
      <w:r w:rsidRPr="009836F3">
        <w:rPr>
          <w:rFonts w:cs="Arial"/>
          <w:rtl/>
        </w:rPr>
        <w:t xml:space="preserve"> מ"ה נקרא </w:t>
      </w:r>
      <w:r>
        <w:rPr>
          <w:rFonts w:cs="Arial"/>
          <w:rtl/>
        </w:rPr>
        <w:t>צאן ברזל</w:t>
      </w:r>
      <w:r>
        <w:rPr>
          <w:rFonts w:cs="Arial" w:hint="cs"/>
          <w:rtl/>
        </w:rPr>
        <w:t>,</w:t>
      </w:r>
      <w:r w:rsidRPr="009836F3">
        <w:rPr>
          <w:rFonts w:cs="Arial"/>
          <w:rtl/>
        </w:rPr>
        <w:t xml:space="preserve"> ועיין בח"ה סי' רנ"ג</w:t>
      </w:r>
      <w:r>
        <w:rPr>
          <w:rFonts w:cs="Arial" w:hint="cs"/>
          <w:rtl/>
        </w:rPr>
        <w:t>, ב"ש (סק"ז).</w:t>
      </w:r>
      <w:r>
        <w:rPr>
          <w:rFonts w:hint="cs"/>
          <w:rtl/>
        </w:rPr>
        <w:t xml:space="preserve"> אך הח"מ (סק"ז) כתב דצ"ע </w:t>
      </w:r>
      <w:r>
        <w:rPr>
          <w:rFonts w:cs="Arial" w:hint="cs"/>
          <w:rtl/>
        </w:rPr>
        <w:t xml:space="preserve">אם אינו יכול לחזור בו תוך הזמן דהרי אפשר שדומה להא </w:t>
      </w:r>
      <w:r w:rsidRPr="0014557A">
        <w:rPr>
          <w:rFonts w:cs="Arial"/>
          <w:rtl/>
        </w:rPr>
        <w:t>שיכול הלוה לפרוע תוך זמנו כמבואר בח"מ סימן ע"ד</w:t>
      </w:r>
      <w:r>
        <w:rPr>
          <w:rFonts w:cs="Arial" w:hint="cs"/>
          <w:rtl/>
        </w:rPr>
        <w:t>. עכ"ד. ואני לא הבנתי, דהרי קיי"ל לעיל (סע' ב) דבעל בנכסי אשתו הוי שומר חינם. וצל"ע.</w:t>
      </w:r>
    </w:p>
  </w:footnote>
  <w:footnote w:id="1618">
    <w:p w14:paraId="44EA40E7" w14:textId="77777777" w:rsidR="00DF1FC7" w:rsidRDefault="00DF1FC7" w:rsidP="002E5BAD">
      <w:pPr>
        <w:pStyle w:val="a5"/>
      </w:pPr>
      <w:r>
        <w:rPr>
          <w:rStyle w:val="a7"/>
        </w:rPr>
        <w:footnoteRef/>
      </w:r>
      <w:r>
        <w:rPr>
          <w:rtl/>
        </w:rPr>
        <w:t xml:space="preserve"> </w:t>
      </w:r>
      <w:r w:rsidRPr="001C326D">
        <w:rPr>
          <w:rFonts w:cs="Arial"/>
          <w:rtl/>
        </w:rPr>
        <w:t>מאשתו אם בא לדון עם שום אדם בגוף הקרקע דאי ליכא מצי אמר ליה לאו בעל דברים דידי את דקנין פירות לאו כקנין הגוף הוא</w:t>
      </w:r>
      <w:r>
        <w:rPr>
          <w:rFonts w:cs="Arial" w:hint="cs"/>
          <w:rtl/>
        </w:rPr>
        <w:t>, רש"י.</w:t>
      </w:r>
    </w:p>
  </w:footnote>
  <w:footnote w:id="1619">
    <w:p w14:paraId="69C8BAC0" w14:textId="77777777" w:rsidR="00DF1FC7" w:rsidRDefault="00DF1FC7" w:rsidP="002E5BAD">
      <w:pPr>
        <w:pStyle w:val="a5"/>
      </w:pPr>
      <w:r>
        <w:rPr>
          <w:rStyle w:val="a7"/>
        </w:rPr>
        <w:footnoteRef/>
      </w:r>
      <w:r>
        <w:rPr>
          <w:rtl/>
        </w:rPr>
        <w:t xml:space="preserve"> </w:t>
      </w:r>
      <w:r w:rsidRPr="001C326D">
        <w:rPr>
          <w:rFonts w:cs="Arial"/>
          <w:rtl/>
        </w:rPr>
        <w:t>לדון לפירא שאין לו לדון עמו כלל בפירות שאין לו טענה עם אותו האיש בפירות כלל</w:t>
      </w:r>
      <w:r>
        <w:rPr>
          <w:rFonts w:hint="cs"/>
          <w:rtl/>
        </w:rPr>
        <w:t>, רש"י.</w:t>
      </w:r>
    </w:p>
  </w:footnote>
  <w:footnote w:id="1620">
    <w:p w14:paraId="54B159F9" w14:textId="77777777" w:rsidR="00DF1FC7" w:rsidRDefault="00DF1FC7" w:rsidP="002E5BAD">
      <w:pPr>
        <w:pStyle w:val="a5"/>
      </w:pPr>
      <w:r>
        <w:rPr>
          <w:rStyle w:val="a7"/>
        </w:rPr>
        <w:footnoteRef/>
      </w:r>
      <w:r>
        <w:rPr>
          <w:rtl/>
        </w:rPr>
        <w:t xml:space="preserve"> </w:t>
      </w:r>
      <w:r>
        <w:rPr>
          <w:rFonts w:cs="Arial" w:hint="cs"/>
          <w:rtl/>
        </w:rPr>
        <w:t xml:space="preserve">וז"ל- </w:t>
      </w:r>
      <w:r w:rsidRPr="007A228B">
        <w:rPr>
          <w:rFonts w:cs="Arial"/>
          <w:rtl/>
        </w:rPr>
        <w:t>ובשניהם אוכל פירותיהן ומשתמש בהן כל זמן שהיא עמו</w:t>
      </w:r>
      <w:r>
        <w:rPr>
          <w:rFonts w:cs="Arial" w:hint="cs"/>
          <w:rtl/>
        </w:rPr>
        <w:t>.</w:t>
      </w:r>
      <w:r w:rsidRPr="007A228B">
        <w:rPr>
          <w:rFonts w:cs="Arial"/>
          <w:rtl/>
        </w:rPr>
        <w:t xml:space="preserve"> לפיכך אם שום אדם מחזיק בשלה</w:t>
      </w:r>
      <w:r>
        <w:rPr>
          <w:rFonts w:cs="Arial" w:hint="cs"/>
          <w:rtl/>
        </w:rPr>
        <w:t>,</w:t>
      </w:r>
      <w:r w:rsidRPr="007A228B">
        <w:rPr>
          <w:rFonts w:cs="Arial"/>
          <w:rtl/>
        </w:rPr>
        <w:t xml:space="preserve"> ובא הבעל להוציאו מידו </w:t>
      </w:r>
      <w:r>
        <w:rPr>
          <w:rFonts w:cs="Arial" w:hint="cs"/>
          <w:rtl/>
        </w:rPr>
        <w:t xml:space="preserve">- </w:t>
      </w:r>
      <w:r w:rsidRPr="007A228B">
        <w:rPr>
          <w:rFonts w:cs="Arial"/>
          <w:rtl/>
        </w:rPr>
        <w:t>א"צ הרשאה ממנה</w:t>
      </w:r>
      <w:r>
        <w:rPr>
          <w:rFonts w:cs="Arial" w:hint="cs"/>
          <w:rtl/>
        </w:rPr>
        <w:t>,</w:t>
      </w:r>
      <w:r w:rsidRPr="007A228B">
        <w:rPr>
          <w:rFonts w:cs="Arial"/>
          <w:rtl/>
        </w:rPr>
        <w:t xml:space="preserve"> דמגו דנחית לפירי נחית לגופא</w:t>
      </w:r>
      <w:r>
        <w:rPr>
          <w:rFonts w:cs="Arial" w:hint="cs"/>
          <w:rtl/>
        </w:rPr>
        <w:t xml:space="preserve">. עכ"ל. וכתב הב"י- </w:t>
      </w:r>
      <w:r w:rsidRPr="001C326D">
        <w:rPr>
          <w:rFonts w:cs="Arial"/>
          <w:rtl/>
        </w:rPr>
        <w:t>והדבר ברור שיש בלשון רבינו קיצור שהיה לו לפרש דהא דאינו צריך הרשאה דוקא בדנחית לפירות אבל לא נחית לפירות צריך הרשאה אלא שסמך על מה שכתב בטור חושן משפט סימן קכ"ב (סע' טו - טז) כי שם כתב דין זה בארוכה וגם אני ביארתיו שם.</w:t>
      </w:r>
      <w:r w:rsidRPr="00121234">
        <w:rPr>
          <w:rFonts w:cs="Arial"/>
          <w:rtl/>
        </w:rPr>
        <w:t xml:space="preserve"> </w:t>
      </w:r>
    </w:p>
  </w:footnote>
  <w:footnote w:id="1621">
    <w:p w14:paraId="32D599D2" w14:textId="77777777" w:rsidR="00DF1FC7" w:rsidRDefault="00DF1FC7" w:rsidP="002E5BAD">
      <w:pPr>
        <w:pStyle w:val="a5"/>
      </w:pPr>
      <w:r>
        <w:rPr>
          <w:rStyle w:val="a7"/>
        </w:rPr>
        <w:footnoteRef/>
      </w:r>
      <w:r>
        <w:rPr>
          <w:rtl/>
        </w:rPr>
        <w:t xml:space="preserve"> </w:t>
      </w:r>
      <w:r w:rsidRPr="00121234">
        <w:rPr>
          <w:rFonts w:cs="Arial"/>
          <w:rtl/>
        </w:rPr>
        <w:t>ועוד כתב הא דבעינן שיהיו פירות בקרקע היינו דבלא פירות אין לו לבעל שום זכות על הקרקע שרוצה לדון עליו אבל אם יש לו שום נפקותא לדון על הקרקע אע"ג דאין פירות בקרקע</w:t>
      </w:r>
      <w:r>
        <w:rPr>
          <w:rFonts w:cs="Arial" w:hint="cs"/>
          <w:rtl/>
        </w:rPr>
        <w:t xml:space="preserve"> -</w:t>
      </w:r>
      <w:r w:rsidRPr="00121234">
        <w:rPr>
          <w:rFonts w:cs="Arial"/>
          <w:rtl/>
        </w:rPr>
        <w:t xml:space="preserve"> אין צריך הרשאה</w:t>
      </w:r>
      <w:r>
        <w:rPr>
          <w:rFonts w:cs="Arial" w:hint="cs"/>
          <w:rtl/>
        </w:rPr>
        <w:t>.</w:t>
      </w:r>
      <w:r w:rsidRPr="00121234">
        <w:rPr>
          <w:rFonts w:cs="Arial"/>
          <w:rtl/>
        </w:rPr>
        <w:t xml:space="preserve"> ולא משמע בח</w:t>
      </w:r>
      <w:r>
        <w:rPr>
          <w:rFonts w:cs="Arial" w:hint="cs"/>
          <w:rtl/>
        </w:rPr>
        <w:t>ו"מ</w:t>
      </w:r>
      <w:r w:rsidRPr="00121234">
        <w:rPr>
          <w:rFonts w:cs="Arial"/>
          <w:rtl/>
        </w:rPr>
        <w:t xml:space="preserve"> סימן קכ"ב כדבריו</w:t>
      </w:r>
      <w:r>
        <w:rPr>
          <w:rFonts w:cs="Arial" w:hint="cs"/>
          <w:rtl/>
        </w:rPr>
        <w:t>, דרכ"מ (אות ב).</w:t>
      </w:r>
    </w:p>
  </w:footnote>
  <w:footnote w:id="1622">
    <w:p w14:paraId="477AEA80" w14:textId="77777777" w:rsidR="00DF1FC7" w:rsidRPr="00EE10D6" w:rsidRDefault="00DF1FC7" w:rsidP="002E5BAD">
      <w:pPr>
        <w:pStyle w:val="a5"/>
        <w:rPr>
          <w:rFonts w:cs="Arial"/>
        </w:rPr>
      </w:pPr>
      <w:r>
        <w:rPr>
          <w:rStyle w:val="a7"/>
        </w:rPr>
        <w:footnoteRef/>
      </w:r>
      <w:r>
        <w:rPr>
          <w:rtl/>
        </w:rPr>
        <w:t xml:space="preserve"> </w:t>
      </w:r>
      <w:r w:rsidRPr="00EE10D6">
        <w:rPr>
          <w:rFonts w:cs="Arial"/>
          <w:rtl/>
        </w:rPr>
        <w:t>עיין בת"ה סי' שי"ב שם מבואר לר</w:t>
      </w:r>
      <w:r>
        <w:rPr>
          <w:rFonts w:cs="Arial" w:hint="cs"/>
          <w:rtl/>
        </w:rPr>
        <w:t xml:space="preserve">ב </w:t>
      </w:r>
      <w:r w:rsidRPr="00EE10D6">
        <w:rPr>
          <w:rFonts w:cs="Arial"/>
          <w:rtl/>
        </w:rPr>
        <w:t>ה</w:t>
      </w:r>
      <w:r>
        <w:rPr>
          <w:rFonts w:cs="Arial" w:hint="cs"/>
          <w:rtl/>
        </w:rPr>
        <w:t>אי</w:t>
      </w:r>
      <w:r w:rsidRPr="00EE10D6">
        <w:rPr>
          <w:rFonts w:cs="Arial"/>
          <w:rtl/>
        </w:rPr>
        <w:t xml:space="preserve"> ורמב"ם </w:t>
      </w:r>
      <w:r>
        <w:rPr>
          <w:rFonts w:cs="Arial" w:hint="cs"/>
          <w:rtl/>
        </w:rPr>
        <w:t>(</w:t>
      </w:r>
      <w:r w:rsidRPr="00EE10D6">
        <w:rPr>
          <w:rFonts w:cs="Arial"/>
          <w:rtl/>
        </w:rPr>
        <w:t>פ"ג ה"ש</w:t>
      </w:r>
      <w:r>
        <w:rPr>
          <w:rFonts w:cs="Arial" w:hint="cs"/>
          <w:rtl/>
        </w:rPr>
        <w:t>)</w:t>
      </w:r>
      <w:r w:rsidRPr="00EE10D6">
        <w:rPr>
          <w:rFonts w:cs="Arial"/>
          <w:rtl/>
        </w:rPr>
        <w:t xml:space="preserve"> וסמ"ג ס"ל קרקע שאין בה פירות צריך הרשאה</w:t>
      </w:r>
      <w:r>
        <w:rPr>
          <w:rFonts w:cs="Arial" w:hint="cs"/>
          <w:rtl/>
        </w:rPr>
        <w:t>,</w:t>
      </w:r>
      <w:r w:rsidRPr="00EE10D6">
        <w:rPr>
          <w:rFonts w:cs="Arial"/>
          <w:rtl/>
        </w:rPr>
        <w:t xml:space="preserve"> ומשמע אפילו עומדת לגדל פירות צריך הרשאה</w:t>
      </w:r>
      <w:r>
        <w:rPr>
          <w:rFonts w:cs="Arial" w:hint="cs"/>
          <w:rtl/>
        </w:rPr>
        <w:t>,</w:t>
      </w:r>
      <w:r w:rsidRPr="00EE10D6">
        <w:rPr>
          <w:rFonts w:cs="Arial"/>
          <w:rtl/>
        </w:rPr>
        <w:t xml:space="preserve"> ולא כסמ"ע בסי' קכ"ב שכתב כשעומדת לגדל פירות א"צ הרשאה אף לדעת ר</w:t>
      </w:r>
      <w:r>
        <w:rPr>
          <w:rFonts w:cs="Arial" w:hint="cs"/>
          <w:rtl/>
        </w:rPr>
        <w:t xml:space="preserve">ב </w:t>
      </w:r>
      <w:r w:rsidRPr="00EE10D6">
        <w:rPr>
          <w:rFonts w:cs="Arial"/>
          <w:rtl/>
        </w:rPr>
        <w:t>ה</w:t>
      </w:r>
      <w:r>
        <w:rPr>
          <w:rFonts w:cs="Arial" w:hint="cs"/>
          <w:rtl/>
        </w:rPr>
        <w:t>אי.</w:t>
      </w:r>
      <w:r w:rsidRPr="00EE10D6">
        <w:rPr>
          <w:rFonts w:cs="Arial"/>
          <w:rtl/>
        </w:rPr>
        <w:t xml:space="preserve"> ולהר</w:t>
      </w:r>
      <w:r>
        <w:rPr>
          <w:rFonts w:cs="Arial" w:hint="cs"/>
          <w:rtl/>
        </w:rPr>
        <w:t>א"</w:t>
      </w:r>
      <w:r w:rsidRPr="00EE10D6">
        <w:rPr>
          <w:rFonts w:cs="Arial"/>
          <w:rtl/>
        </w:rPr>
        <w:t>ש</w:t>
      </w:r>
      <w:r>
        <w:rPr>
          <w:rFonts w:cs="Arial" w:hint="cs"/>
          <w:rtl/>
        </w:rPr>
        <w:t xml:space="preserve"> </w:t>
      </w:r>
      <w:r w:rsidRPr="00EE10D6">
        <w:rPr>
          <w:rFonts w:cs="Arial"/>
          <w:rtl/>
        </w:rPr>
        <w:t xml:space="preserve">א"צ הרשאה </w:t>
      </w:r>
      <w:r>
        <w:rPr>
          <w:rFonts w:cs="Arial" w:hint="cs"/>
          <w:rtl/>
        </w:rPr>
        <w:t>(</w:t>
      </w:r>
      <w:r w:rsidRPr="00EE10D6">
        <w:rPr>
          <w:rFonts w:cs="Arial"/>
          <w:rtl/>
        </w:rPr>
        <w:t xml:space="preserve">אפילו </w:t>
      </w:r>
      <w:r>
        <w:rPr>
          <w:rFonts w:cs="Arial" w:hint="cs"/>
          <w:rtl/>
        </w:rPr>
        <w:t>ב</w:t>
      </w:r>
      <w:r w:rsidRPr="00EE10D6">
        <w:rPr>
          <w:rFonts w:cs="Arial"/>
          <w:rtl/>
        </w:rPr>
        <w:t>קרקע שאינו מגדל פירות כלל הואיל וראוי למכור וליקח בהן קרקע שעושה פירות</w:t>
      </w:r>
      <w:r>
        <w:rPr>
          <w:rFonts w:cs="Arial" w:hint="cs"/>
          <w:rtl/>
        </w:rPr>
        <w:t>),</w:t>
      </w:r>
      <w:r w:rsidRPr="002256BC">
        <w:rPr>
          <w:rFonts w:cs="Arial" w:hint="cs"/>
          <w:rtl/>
        </w:rPr>
        <w:t xml:space="preserve"> </w:t>
      </w:r>
      <w:r>
        <w:rPr>
          <w:rFonts w:cs="Arial" w:hint="cs"/>
          <w:rtl/>
        </w:rPr>
        <w:t>ב"ש (סק"ח).</w:t>
      </w:r>
      <w:r w:rsidRPr="00EE10D6">
        <w:rPr>
          <w:rFonts w:cs="Arial"/>
          <w:rtl/>
        </w:rPr>
        <w:t xml:space="preserve"> </w:t>
      </w:r>
      <w:r>
        <w:rPr>
          <w:rFonts w:cs="Arial" w:hint="cs"/>
          <w:rtl/>
        </w:rPr>
        <w:t xml:space="preserve">וכדברי הרא"ש </w:t>
      </w:r>
      <w:r w:rsidRPr="00EE10D6">
        <w:rPr>
          <w:rFonts w:cs="Arial"/>
          <w:rtl/>
        </w:rPr>
        <w:t>כן פסק בת"ה סימן שי"ב מכח הדין ומכח סברא ע"ש ודלא כמשמעות הריב"ש סימן תצ"ו</w:t>
      </w:r>
      <w:r>
        <w:rPr>
          <w:rFonts w:cs="Arial" w:hint="cs"/>
          <w:rtl/>
        </w:rPr>
        <w:t>, ח"מ (סק"ח).</w:t>
      </w:r>
      <w:r w:rsidRPr="002256BC">
        <w:rPr>
          <w:rtl/>
        </w:rPr>
        <w:t xml:space="preserve"> </w:t>
      </w:r>
      <w:r w:rsidRPr="002256BC">
        <w:rPr>
          <w:rFonts w:cs="Arial"/>
          <w:rtl/>
        </w:rPr>
        <w:t xml:space="preserve">וכל זה איירי בנ"מ אבל </w:t>
      </w:r>
      <w:r>
        <w:rPr>
          <w:rFonts w:cs="Arial"/>
          <w:rtl/>
        </w:rPr>
        <w:t>נכסי צאן ברזל</w:t>
      </w:r>
      <w:r w:rsidRPr="002256BC">
        <w:rPr>
          <w:rFonts w:cs="Arial"/>
          <w:rtl/>
        </w:rPr>
        <w:t xml:space="preserve"> א"צ הרשאה אפילו במיתתה ועיין בטח"ה שם</w:t>
      </w:r>
      <w:r>
        <w:rPr>
          <w:rFonts w:cs="Arial" w:hint="cs"/>
          <w:rtl/>
        </w:rPr>
        <w:t>, ב"ש (סק"ח).</w:t>
      </w:r>
    </w:p>
  </w:footnote>
  <w:footnote w:id="1623">
    <w:p w14:paraId="518308D7" w14:textId="77777777" w:rsidR="00DF1FC7" w:rsidRDefault="00DF1FC7" w:rsidP="002E5BAD">
      <w:pPr>
        <w:pStyle w:val="a5"/>
      </w:pPr>
      <w:r>
        <w:rPr>
          <w:rStyle w:val="a7"/>
        </w:rPr>
        <w:footnoteRef/>
      </w:r>
      <w:r>
        <w:rPr>
          <w:rtl/>
        </w:rPr>
        <w:t xml:space="preserve"> </w:t>
      </w:r>
      <w:r w:rsidRPr="008C1F6E">
        <w:rPr>
          <w:rFonts w:cs="Arial"/>
          <w:rtl/>
        </w:rPr>
        <w:t>עיין בר"ן ס"פ השולח וכלל הוא נ</w:t>
      </w:r>
      <w:r>
        <w:rPr>
          <w:rFonts w:cs="Arial" w:hint="cs"/>
          <w:rtl/>
        </w:rPr>
        <w:t>כסי מלוג</w:t>
      </w:r>
      <w:r w:rsidRPr="008C1F6E">
        <w:rPr>
          <w:rFonts w:cs="Arial"/>
          <w:rtl/>
        </w:rPr>
        <w:t xml:space="preserve"> ויש בהם פירות דינם איש ואשתו כשותפות</w:t>
      </w:r>
      <w:r>
        <w:rPr>
          <w:rFonts w:cs="Arial" w:hint="cs"/>
          <w:rtl/>
        </w:rPr>
        <w:t>,</w:t>
      </w:r>
      <w:r w:rsidRPr="008C1F6E">
        <w:rPr>
          <w:rFonts w:cs="Arial"/>
          <w:rtl/>
        </w:rPr>
        <w:t xml:space="preserve"> מ</w:t>
      </w:r>
      <w:r>
        <w:rPr>
          <w:rFonts w:cs="Arial" w:hint="cs"/>
          <w:rtl/>
        </w:rPr>
        <w:t>שום הכי</w:t>
      </w:r>
      <w:r w:rsidRPr="008C1F6E">
        <w:rPr>
          <w:rFonts w:cs="Arial"/>
          <w:rtl/>
        </w:rPr>
        <w:t xml:space="preserve"> כשהיא במת</w:t>
      </w:r>
      <w:r>
        <w:rPr>
          <w:rFonts w:cs="Arial" w:hint="cs"/>
          <w:rtl/>
        </w:rPr>
        <w:t>א</w:t>
      </w:r>
      <w:r w:rsidRPr="008C1F6E">
        <w:rPr>
          <w:rFonts w:cs="Arial"/>
          <w:rtl/>
        </w:rPr>
        <w:t xml:space="preserve"> והוא ירד לדין ויצא חייב מחמת עדים שהעידו לא הוי כקבל</w:t>
      </w:r>
      <w:r>
        <w:rPr>
          <w:rFonts w:cs="Arial" w:hint="cs"/>
          <w:rtl/>
        </w:rPr>
        <w:t>ת</w:t>
      </w:r>
      <w:r w:rsidRPr="008C1F6E">
        <w:rPr>
          <w:rFonts w:cs="Arial"/>
          <w:rtl/>
        </w:rPr>
        <w:t xml:space="preserve"> עדות שלא בפני בעל דבר ואם ליתא במתא א</w:t>
      </w:r>
      <w:r>
        <w:rPr>
          <w:rFonts w:cs="Arial" w:hint="cs"/>
          <w:rtl/>
        </w:rPr>
        <w:t xml:space="preserve">ינם </w:t>
      </w:r>
      <w:r w:rsidRPr="008C1F6E">
        <w:rPr>
          <w:rFonts w:cs="Arial"/>
          <w:rtl/>
        </w:rPr>
        <w:t>י</w:t>
      </w:r>
      <w:r>
        <w:rPr>
          <w:rFonts w:cs="Arial" w:hint="cs"/>
          <w:rtl/>
        </w:rPr>
        <w:t>כולים</w:t>
      </w:r>
      <w:r w:rsidRPr="008C1F6E">
        <w:rPr>
          <w:rFonts w:cs="Arial"/>
          <w:rtl/>
        </w:rPr>
        <w:t xml:space="preserve"> לקבל עדות שלא בפניה</w:t>
      </w:r>
      <w:r>
        <w:rPr>
          <w:rFonts w:cs="Arial" w:hint="cs"/>
          <w:rtl/>
        </w:rPr>
        <w:t>,</w:t>
      </w:r>
      <w:r w:rsidRPr="008C1F6E">
        <w:rPr>
          <w:rFonts w:cs="Arial"/>
          <w:rtl/>
        </w:rPr>
        <w:t xml:space="preserve"> ולגבי פירות נמי הודאת פיו לא מהני אפילו על חלקו שהרי אי</w:t>
      </w:r>
      <w:r>
        <w:rPr>
          <w:rFonts w:cs="Arial" w:hint="cs"/>
          <w:rtl/>
        </w:rPr>
        <w:t>נו יכול</w:t>
      </w:r>
      <w:r w:rsidRPr="008C1F6E">
        <w:rPr>
          <w:rFonts w:cs="Arial"/>
          <w:rtl/>
        </w:rPr>
        <w:t xml:space="preserve"> למכור משום רווח ביתו</w:t>
      </w:r>
      <w:r>
        <w:rPr>
          <w:rFonts w:cs="Arial" w:hint="cs"/>
          <w:rtl/>
        </w:rPr>
        <w:t>.</w:t>
      </w:r>
      <w:r w:rsidRPr="008C1F6E">
        <w:rPr>
          <w:rFonts w:cs="Arial"/>
          <w:rtl/>
        </w:rPr>
        <w:t xml:space="preserve"> וב</w:t>
      </w:r>
      <w:r>
        <w:rPr>
          <w:rFonts w:cs="Arial"/>
          <w:rtl/>
        </w:rPr>
        <w:t>נכסי צאן ברזל</w:t>
      </w:r>
      <w:r w:rsidRPr="008C1F6E">
        <w:rPr>
          <w:rFonts w:cs="Arial"/>
          <w:rtl/>
        </w:rPr>
        <w:t xml:space="preserve"> מקבלים עדים שלא בפניה אפילו ליתא במתא אבל הודאתו לא מהני כיון די"ל כליי אני נוטל</w:t>
      </w:r>
      <w:r>
        <w:rPr>
          <w:rFonts w:cs="Arial" w:hint="cs"/>
          <w:rtl/>
        </w:rPr>
        <w:t>,</w:t>
      </w:r>
      <w:r w:rsidRPr="008C1F6E">
        <w:rPr>
          <w:rFonts w:cs="Arial"/>
          <w:rtl/>
        </w:rPr>
        <w:t xml:space="preserve"> כ"כ הרשב"א בחדושיו</w:t>
      </w:r>
      <w:r>
        <w:rPr>
          <w:rFonts w:cs="Arial" w:hint="cs"/>
          <w:rtl/>
        </w:rPr>
        <w:t>.</w:t>
      </w:r>
      <w:r w:rsidRPr="008C1F6E">
        <w:rPr>
          <w:rFonts w:cs="Arial"/>
          <w:rtl/>
        </w:rPr>
        <w:t xml:space="preserve"> ומזה נשמע נמי כשאין פירות בקרקע נ</w:t>
      </w:r>
      <w:r>
        <w:rPr>
          <w:rFonts w:cs="Arial" w:hint="cs"/>
          <w:rtl/>
        </w:rPr>
        <w:t>כסי מלוג</w:t>
      </w:r>
      <w:r w:rsidRPr="008C1F6E">
        <w:rPr>
          <w:rFonts w:cs="Arial"/>
          <w:rtl/>
        </w:rPr>
        <w:t xml:space="preserve"> א</w:t>
      </w:r>
      <w:r>
        <w:rPr>
          <w:rFonts w:cs="Arial" w:hint="cs"/>
          <w:rtl/>
        </w:rPr>
        <w:t>ינו יכול</w:t>
      </w:r>
      <w:r w:rsidRPr="008C1F6E">
        <w:rPr>
          <w:rFonts w:cs="Arial"/>
          <w:rtl/>
        </w:rPr>
        <w:t xml:space="preserve"> לדון בלא הרשאה דהא הטעם הוא דהם כשותפות, וכן משמע לכאורה אפילו במעו</w:t>
      </w:r>
      <w:r>
        <w:rPr>
          <w:rFonts w:cs="Arial" w:hint="cs"/>
          <w:rtl/>
        </w:rPr>
        <w:t>ת</w:t>
      </w:r>
      <w:r w:rsidRPr="008C1F6E">
        <w:rPr>
          <w:rFonts w:cs="Arial"/>
          <w:rtl/>
        </w:rPr>
        <w:t xml:space="preserve"> א"י לירד לדין בלא הרשאה</w:t>
      </w:r>
      <w:r>
        <w:rPr>
          <w:rFonts w:cs="Arial" w:hint="cs"/>
          <w:rtl/>
        </w:rPr>
        <w:t>,</w:t>
      </w:r>
      <w:r w:rsidRPr="008C1F6E">
        <w:rPr>
          <w:rFonts w:cs="Arial"/>
          <w:rtl/>
        </w:rPr>
        <w:t xml:space="preserve"> וכן מדייק בתשובת רש"ך </w:t>
      </w:r>
      <w:r>
        <w:rPr>
          <w:rFonts w:cs="Arial" w:hint="cs"/>
          <w:rtl/>
        </w:rPr>
        <w:t>(</w:t>
      </w:r>
      <w:r w:rsidRPr="008C1F6E">
        <w:rPr>
          <w:rFonts w:cs="Arial"/>
          <w:rtl/>
        </w:rPr>
        <w:t>ס"ג סי' סז</w:t>
      </w:r>
      <w:r>
        <w:rPr>
          <w:rFonts w:cs="Arial" w:hint="cs"/>
          <w:rtl/>
        </w:rPr>
        <w:t>)</w:t>
      </w:r>
      <w:r w:rsidRPr="008C1F6E">
        <w:rPr>
          <w:rFonts w:cs="Arial"/>
          <w:rtl/>
        </w:rPr>
        <w:t xml:space="preserve"> דהרשב"א חולק על דין של הת"ה ויש לדחות</w:t>
      </w:r>
      <w:r>
        <w:rPr>
          <w:rFonts w:cs="Arial" w:hint="cs"/>
          <w:rtl/>
        </w:rPr>
        <w:t>, ב"ש (סק"ח).</w:t>
      </w:r>
    </w:p>
  </w:footnote>
  <w:footnote w:id="1624">
    <w:p w14:paraId="2AF6FFDE" w14:textId="77777777" w:rsidR="00DF1FC7" w:rsidRDefault="00DF1FC7" w:rsidP="002E5BAD">
      <w:pPr>
        <w:pStyle w:val="a5"/>
      </w:pPr>
      <w:r>
        <w:rPr>
          <w:rStyle w:val="a7"/>
        </w:rPr>
        <w:footnoteRef/>
      </w:r>
      <w:r>
        <w:rPr>
          <w:rtl/>
        </w:rPr>
        <w:t xml:space="preserve"> </w:t>
      </w:r>
      <w:r w:rsidRPr="00EE10D6">
        <w:rPr>
          <w:rFonts w:cs="Arial"/>
          <w:rtl/>
        </w:rPr>
        <w:t>אפשר לומר אפילו על הפירות לבדן צריך הרשאה דאין כח בידו למחול הפירות משום ריוח ביתא וכמ"ש בשם הר"ן</w:t>
      </w:r>
      <w:r>
        <w:rPr>
          <w:rFonts w:cs="Arial" w:hint="cs"/>
          <w:rtl/>
        </w:rPr>
        <w:t>, ח"מ (סק"י).</w:t>
      </w:r>
    </w:p>
  </w:footnote>
  <w:footnote w:id="1625">
    <w:p w14:paraId="60C2A05E" w14:textId="77777777" w:rsidR="00DF1FC7" w:rsidRDefault="00DF1FC7" w:rsidP="002E5BAD">
      <w:pPr>
        <w:pStyle w:val="a5"/>
      </w:pPr>
      <w:r>
        <w:rPr>
          <w:rStyle w:val="a7"/>
        </w:rPr>
        <w:footnoteRef/>
      </w:r>
      <w:r>
        <w:rPr>
          <w:rtl/>
        </w:rPr>
        <w:t xml:space="preserve"> </w:t>
      </w:r>
      <w:r w:rsidRPr="00EE10D6">
        <w:rPr>
          <w:rFonts w:cs="Arial"/>
          <w:rtl/>
        </w:rPr>
        <w:t>המעיין בח"ה יראה דבמעות מזומני</w:t>
      </w:r>
      <w:r>
        <w:rPr>
          <w:rFonts w:cs="Arial" w:hint="cs"/>
          <w:rtl/>
        </w:rPr>
        <w:t>ם</w:t>
      </w:r>
      <w:r w:rsidRPr="00EE10D6">
        <w:rPr>
          <w:rFonts w:cs="Arial"/>
          <w:rtl/>
        </w:rPr>
        <w:t xml:space="preserve"> כ"ע מודו אפילו לדעת רב האי </w:t>
      </w:r>
      <w:r>
        <w:rPr>
          <w:rFonts w:cs="Arial" w:hint="cs"/>
          <w:rtl/>
        </w:rPr>
        <w:t>(</w:t>
      </w:r>
      <w:r w:rsidRPr="00EE10D6">
        <w:rPr>
          <w:rFonts w:cs="Arial"/>
          <w:rtl/>
        </w:rPr>
        <w:t>דס"ל דצריך שיהיו פירות באותו קרקע</w:t>
      </w:r>
      <w:r>
        <w:rPr>
          <w:rFonts w:cs="Arial" w:hint="cs"/>
          <w:rtl/>
        </w:rPr>
        <w:t>)</w:t>
      </w:r>
      <w:r w:rsidRPr="00EE10D6">
        <w:rPr>
          <w:rFonts w:cs="Arial"/>
          <w:rtl/>
        </w:rPr>
        <w:t xml:space="preserve"> מודה הוא במעות מזומנים</w:t>
      </w:r>
      <w:r>
        <w:rPr>
          <w:rFonts w:cs="Arial" w:hint="cs"/>
          <w:rtl/>
        </w:rPr>
        <w:t>,</w:t>
      </w:r>
      <w:r w:rsidRPr="00EE10D6">
        <w:rPr>
          <w:rFonts w:cs="Arial"/>
          <w:rtl/>
        </w:rPr>
        <w:t xml:space="preserve"> אבל למעשה פסק שם דאפילו שאר דברים שצריכין למכור ליקח מהן קרקע שעושה פירות</w:t>
      </w:r>
      <w:r>
        <w:rPr>
          <w:rFonts w:cs="Arial" w:hint="cs"/>
          <w:rtl/>
        </w:rPr>
        <w:t>,</w:t>
      </w:r>
      <w:r w:rsidRPr="00EE10D6">
        <w:rPr>
          <w:rFonts w:cs="Arial"/>
          <w:rtl/>
        </w:rPr>
        <w:t xml:space="preserve"> והאשה כאן ואינה רוצה להרשות את בעלה </w:t>
      </w:r>
      <w:r>
        <w:rPr>
          <w:rFonts w:cs="Arial" w:hint="cs"/>
          <w:rtl/>
        </w:rPr>
        <w:t xml:space="preserve">- </w:t>
      </w:r>
      <w:r w:rsidRPr="00EE10D6">
        <w:rPr>
          <w:rFonts w:cs="Arial"/>
          <w:rtl/>
        </w:rPr>
        <w:t>יכול בעלה לדון בלא הרשאה</w:t>
      </w:r>
      <w:r>
        <w:rPr>
          <w:rFonts w:cs="Arial" w:hint="cs"/>
          <w:rtl/>
        </w:rPr>
        <w:t>,</w:t>
      </w:r>
      <w:r w:rsidRPr="00EE10D6">
        <w:rPr>
          <w:rFonts w:cs="Arial"/>
          <w:rtl/>
        </w:rPr>
        <w:t xml:space="preserve"> שאם לא יוציאו מיד המחזיק נמצא שחסר הוא את הפירות לעולם</w:t>
      </w:r>
      <w:r>
        <w:rPr>
          <w:rFonts w:cs="Arial" w:hint="cs"/>
          <w:rtl/>
        </w:rPr>
        <w:t>.</w:t>
      </w:r>
      <w:r w:rsidRPr="00EE10D6">
        <w:rPr>
          <w:rFonts w:cs="Arial"/>
          <w:rtl/>
        </w:rPr>
        <w:t xml:space="preserve"> ע"ש שכתב שהדין והסברא נותנת כך רק במעות מזומנים א"צ לשאול את פיה</w:t>
      </w:r>
      <w:r>
        <w:rPr>
          <w:rFonts w:cs="Arial" w:hint="cs"/>
          <w:rtl/>
        </w:rPr>
        <w:t>,</w:t>
      </w:r>
      <w:r w:rsidRPr="00EE10D6">
        <w:rPr>
          <w:rFonts w:cs="Arial"/>
          <w:rtl/>
        </w:rPr>
        <w:t xml:space="preserve"> דהוי כאלו יש פירות עתה בקרקע ובדבר שצריך למכור שואלין אותה</w:t>
      </w:r>
      <w:r>
        <w:rPr>
          <w:rFonts w:cs="Arial" w:hint="cs"/>
          <w:rtl/>
        </w:rPr>
        <w:t>,</w:t>
      </w:r>
      <w:r w:rsidRPr="00EE10D6">
        <w:rPr>
          <w:rFonts w:cs="Arial"/>
          <w:rtl/>
        </w:rPr>
        <w:t xml:space="preserve"> אם רוצה לילך עמו או ליתן לו הרשאה</w:t>
      </w:r>
      <w:r>
        <w:rPr>
          <w:rFonts w:cs="Arial" w:hint="cs"/>
          <w:rtl/>
        </w:rPr>
        <w:t xml:space="preserve"> -</w:t>
      </w:r>
      <w:r w:rsidRPr="00EE10D6">
        <w:rPr>
          <w:rFonts w:cs="Arial"/>
          <w:rtl/>
        </w:rPr>
        <w:t xml:space="preserve"> הוא טוב</w:t>
      </w:r>
      <w:r>
        <w:rPr>
          <w:rFonts w:cs="Arial" w:hint="cs"/>
          <w:rtl/>
        </w:rPr>
        <w:t>,</w:t>
      </w:r>
      <w:r w:rsidRPr="00EE10D6">
        <w:rPr>
          <w:rFonts w:cs="Arial"/>
          <w:rtl/>
        </w:rPr>
        <w:t xml:space="preserve"> ואם לאו </w:t>
      </w:r>
      <w:r>
        <w:rPr>
          <w:rFonts w:cs="Arial" w:hint="cs"/>
          <w:rtl/>
        </w:rPr>
        <w:t xml:space="preserve">- </w:t>
      </w:r>
      <w:r w:rsidRPr="00EE10D6">
        <w:rPr>
          <w:rFonts w:cs="Arial"/>
          <w:rtl/>
        </w:rPr>
        <w:t>טוען אף שלא בהרשאה</w:t>
      </w:r>
      <w:r>
        <w:rPr>
          <w:rFonts w:cs="Arial" w:hint="cs"/>
          <w:rtl/>
        </w:rPr>
        <w:t>, ח"מ (סקי"א).</w:t>
      </w:r>
    </w:p>
  </w:footnote>
  <w:footnote w:id="1626">
    <w:p w14:paraId="258F233F" w14:textId="77777777" w:rsidR="00DF1FC7" w:rsidRDefault="00DF1FC7" w:rsidP="002E5BAD">
      <w:pPr>
        <w:pStyle w:val="a5"/>
      </w:pPr>
      <w:r>
        <w:rPr>
          <w:rStyle w:val="a7"/>
        </w:rPr>
        <w:footnoteRef/>
      </w:r>
      <w:r>
        <w:rPr>
          <w:rtl/>
        </w:rPr>
        <w:t xml:space="preserve"> </w:t>
      </w:r>
      <w:r w:rsidRPr="00AD3F4C">
        <w:rPr>
          <w:rFonts w:cs="Arial"/>
          <w:rtl/>
        </w:rPr>
        <w:t>פרה של נכסי מלוג</w:t>
      </w:r>
      <w:r>
        <w:rPr>
          <w:rFonts w:cs="Arial" w:hint="cs"/>
          <w:rtl/>
        </w:rPr>
        <w:t>, רש"י.</w:t>
      </w:r>
    </w:p>
  </w:footnote>
  <w:footnote w:id="1627">
    <w:p w14:paraId="7F47ED57" w14:textId="77777777" w:rsidR="00DF1FC7" w:rsidRDefault="00DF1FC7" w:rsidP="002E5BAD">
      <w:pPr>
        <w:pStyle w:val="a5"/>
      </w:pPr>
      <w:r>
        <w:rPr>
          <w:rStyle w:val="a7"/>
        </w:rPr>
        <w:footnoteRef/>
      </w:r>
      <w:r>
        <w:rPr>
          <w:rtl/>
        </w:rPr>
        <w:t xml:space="preserve"> </w:t>
      </w:r>
      <w:r w:rsidRPr="00AD3F4C">
        <w:rPr>
          <w:rFonts w:cs="Arial"/>
          <w:rtl/>
        </w:rPr>
        <w:t>למלאכתו</w:t>
      </w:r>
      <w:r>
        <w:rPr>
          <w:rFonts w:cs="Arial" w:hint="cs"/>
          <w:rtl/>
        </w:rPr>
        <w:t>, רש"י.</w:t>
      </w:r>
    </w:p>
  </w:footnote>
  <w:footnote w:id="1628">
    <w:p w14:paraId="0569316C" w14:textId="77777777" w:rsidR="00DF1FC7" w:rsidRDefault="00DF1FC7" w:rsidP="002E5BAD">
      <w:pPr>
        <w:pStyle w:val="a5"/>
        <w:rPr>
          <w:rtl/>
        </w:rPr>
      </w:pPr>
      <w:r>
        <w:rPr>
          <w:rStyle w:val="a7"/>
        </w:rPr>
        <w:footnoteRef/>
      </w:r>
      <w:r>
        <w:rPr>
          <w:rtl/>
        </w:rPr>
        <w:t xml:space="preserve"> </w:t>
      </w:r>
      <w:r w:rsidRPr="001F63D8">
        <w:rPr>
          <w:rFonts w:cs="Arial"/>
          <w:rtl/>
        </w:rPr>
        <w:t>שהבעל אוכל פירות מלוג - כקנין הגוף דמי, והוה ליה בעלים שואל ונשאל, כאילו קרקע ופרה שלו</w:t>
      </w:r>
      <w:r>
        <w:rPr>
          <w:rFonts w:hint="cs"/>
          <w:rtl/>
        </w:rPr>
        <w:t>, רש"י.</w:t>
      </w:r>
    </w:p>
  </w:footnote>
  <w:footnote w:id="1629">
    <w:p w14:paraId="2F99B7CE" w14:textId="77777777" w:rsidR="00DF1FC7" w:rsidRDefault="00DF1FC7" w:rsidP="002E5BAD">
      <w:pPr>
        <w:pStyle w:val="a5"/>
      </w:pPr>
      <w:r>
        <w:rPr>
          <w:rStyle w:val="a7"/>
        </w:rPr>
        <w:footnoteRef/>
      </w:r>
      <w:r>
        <w:rPr>
          <w:rtl/>
        </w:rPr>
        <w:t xml:space="preserve"> </w:t>
      </w:r>
      <w:r w:rsidRPr="001F63D8">
        <w:rPr>
          <w:rFonts w:cs="Arial"/>
          <w:rtl/>
        </w:rPr>
        <w:t>שיאכל לוקח פירותיה שתיים שלוש שנים, ואחר זמן תחזור לבעלים - מביא בכורים וקורא: ארמי אובד אבי, וכל הפרשה (דברים כו) וקורא אני בו: הנה הבאתי את ראשית פרי האדמה אשר נתתה לי - דקנין פירות כקנין הגוף</w:t>
      </w:r>
      <w:r>
        <w:rPr>
          <w:rFonts w:cs="Arial" w:hint="cs"/>
          <w:rtl/>
        </w:rPr>
        <w:t>, רש"י.</w:t>
      </w:r>
    </w:p>
  </w:footnote>
  <w:footnote w:id="1630">
    <w:p w14:paraId="372D1CD3" w14:textId="77777777" w:rsidR="00DF1FC7" w:rsidRDefault="00DF1FC7" w:rsidP="002E5BAD">
      <w:pPr>
        <w:pStyle w:val="a5"/>
        <w:rPr>
          <w:rtl/>
        </w:rPr>
      </w:pPr>
      <w:r>
        <w:rPr>
          <w:rStyle w:val="a7"/>
        </w:rPr>
        <w:footnoteRef/>
      </w:r>
      <w:r>
        <w:rPr>
          <w:rtl/>
        </w:rPr>
        <w:t xml:space="preserve"> </w:t>
      </w:r>
      <w:r>
        <w:rPr>
          <w:rFonts w:hint="cs"/>
          <w:rtl/>
        </w:rPr>
        <w:t xml:space="preserve">בגירסת הב"י בטור נוספה כאן תיבת 'הבעל'. וכתב הב"י- </w:t>
      </w:r>
      <w:r w:rsidRPr="001F63D8">
        <w:rPr>
          <w:rFonts w:cs="Arial"/>
          <w:rtl/>
        </w:rPr>
        <w:t>נראה לי שיש למחוק מדברי רבינו תיבת הבעל וכך יש לגרוס שאם יש לה פרה של נכסי מלוג והשאילה לאחר ונשאל עמה לא חשיב שאלה בבעלים ע"כ דהא בהשאילה האשה עסקינן כמבואר בלשון הגמרא שהבאתי וכן כתב הוא עצמו בטור חושן משפט סימן שמ"ו (סע' יא) ואיפשר לומר דשפיר גרסינן הבעל בלשון רבינו כאן ורבותא אשמועינן דאפילו הבעל הוא המשאיל והוא הנשאל עמה לא חשיב שאלה בבעלים דקנין פירות לאו כקנין הגוף דמי</w:t>
      </w:r>
      <w:r>
        <w:rPr>
          <w:rFonts w:cs="Arial" w:hint="cs"/>
          <w:rtl/>
        </w:rPr>
        <w:t>.</w:t>
      </w:r>
    </w:p>
  </w:footnote>
  <w:footnote w:id="1631">
    <w:p w14:paraId="58B78CF6" w14:textId="77777777" w:rsidR="00DF1FC7" w:rsidRDefault="00DF1FC7" w:rsidP="002E5BAD">
      <w:pPr>
        <w:pStyle w:val="a5"/>
        <w:rPr>
          <w:rtl/>
        </w:rPr>
      </w:pPr>
      <w:r>
        <w:rPr>
          <w:rStyle w:val="a7"/>
        </w:rPr>
        <w:footnoteRef/>
      </w:r>
      <w:r>
        <w:rPr>
          <w:rtl/>
        </w:rPr>
        <w:t xml:space="preserve"> </w:t>
      </w:r>
      <w:r w:rsidRPr="003A1745">
        <w:rPr>
          <w:rFonts w:cs="Arial"/>
          <w:rtl/>
        </w:rPr>
        <w:t>קא סלקא דעתך להתחייב באונסי בהמות נכסי מלוג שלה, שהוא עושה בהן מלאכתו</w:t>
      </w:r>
      <w:r>
        <w:rPr>
          <w:rFonts w:cs="Arial" w:hint="cs"/>
          <w:rtl/>
        </w:rPr>
        <w:t>,</w:t>
      </w:r>
      <w:r>
        <w:rPr>
          <w:rFonts w:hint="cs"/>
          <w:rtl/>
        </w:rPr>
        <w:t xml:space="preserve"> רש"י.</w:t>
      </w:r>
    </w:p>
  </w:footnote>
  <w:footnote w:id="1632">
    <w:p w14:paraId="14A7B00E" w14:textId="77777777" w:rsidR="00DF1FC7" w:rsidRDefault="00DF1FC7" w:rsidP="002E5BAD">
      <w:pPr>
        <w:pStyle w:val="a5"/>
        <w:rPr>
          <w:rtl/>
        </w:rPr>
      </w:pPr>
      <w:r>
        <w:rPr>
          <w:rStyle w:val="a7"/>
        </w:rPr>
        <w:footnoteRef/>
      </w:r>
      <w:r>
        <w:rPr>
          <w:rtl/>
        </w:rPr>
        <w:t xml:space="preserve"> </w:t>
      </w:r>
      <w:r w:rsidRPr="003A1745">
        <w:rPr>
          <w:rFonts w:cs="Arial"/>
          <w:rtl/>
        </w:rPr>
        <w:t>שהיא עמו תדיר במלאכתו, והיא נשאלת לו תחלה, משנשאה</w:t>
      </w:r>
      <w:r>
        <w:rPr>
          <w:rFonts w:hint="cs"/>
          <w:rtl/>
        </w:rPr>
        <w:t>, רש"י.</w:t>
      </w:r>
    </w:p>
  </w:footnote>
  <w:footnote w:id="1633">
    <w:p w14:paraId="0019D824" w14:textId="77777777" w:rsidR="00DF1FC7" w:rsidRDefault="00DF1FC7" w:rsidP="002E5BAD">
      <w:pPr>
        <w:pStyle w:val="a5"/>
      </w:pPr>
      <w:r>
        <w:rPr>
          <w:rStyle w:val="a7"/>
        </w:rPr>
        <w:footnoteRef/>
      </w:r>
      <w:r>
        <w:rPr>
          <w:rtl/>
        </w:rPr>
        <w:t xml:space="preserve"> </w:t>
      </w:r>
      <w:r w:rsidRPr="000343CE">
        <w:rPr>
          <w:rFonts w:cs="Arial"/>
          <w:rtl/>
        </w:rPr>
        <w:t>וה"ה דמצי למימר דשאל מינה פרה אלא מילתא דשכיחא נקט</w:t>
      </w:r>
      <w:r>
        <w:rPr>
          <w:rFonts w:cs="Arial" w:hint="cs"/>
          <w:rtl/>
        </w:rPr>
        <w:t>,</w:t>
      </w:r>
      <w:r w:rsidRPr="000343CE">
        <w:rPr>
          <w:rFonts w:cs="Arial"/>
          <w:rtl/>
        </w:rPr>
        <w:t xml:space="preserve"> תוס</w:t>
      </w:r>
      <w:r>
        <w:rPr>
          <w:rFonts w:cs="Arial" w:hint="cs"/>
          <w:rtl/>
        </w:rPr>
        <w:t>'</w:t>
      </w:r>
      <w:r w:rsidRPr="000343CE">
        <w:rPr>
          <w:rFonts w:cs="Arial"/>
          <w:rtl/>
        </w:rPr>
        <w:t xml:space="preserve"> (שם ד"ה דאגר</w:t>
      </w:r>
      <w:r>
        <w:rPr>
          <w:rFonts w:cs="Arial" w:hint="cs"/>
          <w:rtl/>
        </w:rPr>
        <w:t>, הביאו הב"ח [אות ה]</w:t>
      </w:r>
      <w:r w:rsidRPr="000343CE">
        <w:rPr>
          <w:rFonts w:cs="Arial"/>
          <w:rtl/>
        </w:rPr>
        <w:t>)</w:t>
      </w:r>
      <w:r>
        <w:rPr>
          <w:rFonts w:cs="Arial" w:hint="cs"/>
          <w:rtl/>
        </w:rPr>
        <w:t>.</w:t>
      </w:r>
    </w:p>
  </w:footnote>
  <w:footnote w:id="1634">
    <w:p w14:paraId="7A858264" w14:textId="77777777" w:rsidR="00DF1FC7" w:rsidRDefault="00DF1FC7" w:rsidP="002E5BAD">
      <w:pPr>
        <w:pStyle w:val="a5"/>
      </w:pPr>
      <w:r>
        <w:rPr>
          <w:rStyle w:val="a7"/>
        </w:rPr>
        <w:footnoteRef/>
      </w:r>
      <w:r>
        <w:rPr>
          <w:rtl/>
        </w:rPr>
        <w:t xml:space="preserve"> </w:t>
      </w:r>
      <w:r w:rsidRPr="003A1745">
        <w:rPr>
          <w:rFonts w:cs="Arial"/>
          <w:rtl/>
        </w:rPr>
        <w:t>וזכה הוא אף בפרה, להשתמש בה כל יומי השכירות</w:t>
      </w:r>
      <w:r>
        <w:rPr>
          <w:rFonts w:cs="Arial" w:hint="cs"/>
          <w:rtl/>
        </w:rPr>
        <w:t xml:space="preserve">. </w:t>
      </w:r>
      <w:r w:rsidRPr="00166B2C">
        <w:rPr>
          <w:rFonts w:cs="Arial"/>
          <w:rtl/>
        </w:rPr>
        <w:t>מאי</w:t>
      </w:r>
      <w:r>
        <w:rPr>
          <w:rFonts w:cs="Arial" w:hint="cs"/>
          <w:rtl/>
        </w:rPr>
        <w:t>?</w:t>
      </w:r>
      <w:r w:rsidRPr="00166B2C">
        <w:rPr>
          <w:rFonts w:cs="Arial"/>
          <w:rtl/>
        </w:rPr>
        <w:t xml:space="preserve"> שואל ממנה הוא</w:t>
      </w:r>
      <w:r>
        <w:rPr>
          <w:rFonts w:cs="Arial" w:hint="cs"/>
          <w:rtl/>
        </w:rPr>
        <w:t>?</w:t>
      </w:r>
      <w:r w:rsidRPr="00166B2C">
        <w:rPr>
          <w:rFonts w:cs="Arial"/>
          <w:rtl/>
        </w:rPr>
        <w:t xml:space="preserve"> והוה ליה איהו כשוכר פרה מחבירו והשאילה לאחר ומתה, דאיפליגו רבנן ורבי יוסי בהמפקיד (ב</w:t>
      </w:r>
      <w:r>
        <w:rPr>
          <w:rFonts w:cs="Arial" w:hint="cs"/>
          <w:rtl/>
        </w:rPr>
        <w:t>"</w:t>
      </w:r>
      <w:r w:rsidRPr="00166B2C">
        <w:rPr>
          <w:rFonts w:cs="Arial"/>
          <w:rtl/>
        </w:rPr>
        <w:t>מ לה</w:t>
      </w:r>
      <w:r>
        <w:rPr>
          <w:rFonts w:cs="Arial" w:hint="cs"/>
          <w:rtl/>
        </w:rPr>
        <w:t>:</w:t>
      </w:r>
      <w:r w:rsidRPr="00166B2C">
        <w:rPr>
          <w:rFonts w:cs="Arial"/>
          <w:rtl/>
        </w:rPr>
        <w:t>) ואמרי רבנן: נשבע שוכר שמתה כדרכה ופטור, ושואל משלם לשוכר, ורבי יוסי אומר: תחזור פרה לבעלים.</w:t>
      </w:r>
    </w:p>
  </w:footnote>
  <w:footnote w:id="1635">
    <w:p w14:paraId="6EE821B3" w14:textId="77777777" w:rsidR="00DF1FC7" w:rsidRDefault="00DF1FC7" w:rsidP="002E5BAD">
      <w:pPr>
        <w:pStyle w:val="a5"/>
        <w:rPr>
          <w:rtl/>
        </w:rPr>
      </w:pPr>
      <w:r>
        <w:rPr>
          <w:rStyle w:val="a7"/>
        </w:rPr>
        <w:footnoteRef/>
      </w:r>
      <w:r>
        <w:rPr>
          <w:rtl/>
        </w:rPr>
        <w:t xml:space="preserve"> </w:t>
      </w:r>
      <w:r w:rsidRPr="00166B2C">
        <w:rPr>
          <w:rFonts w:cs="Arial"/>
          <w:rtl/>
        </w:rPr>
        <w:t>דדינא דשואל בהדי דמשאיל הוא, ולא אצל בעלים הראשונים - לא תיבעי לך, דאפילו הוא שואל, כיון דלדידה בעי שלומי - פטור, דשאילה בבעלים היא, כי תיבעי לך - לרבי יוסי, דאמר: תשלומין לבעלים, והשתא לא בבעלים היא, מאי, שואל הוי ממנה, ושואל חייב באונסים, ומשלם לבעלים, או שוכר הוי, ופטור מאונסין, ומאי שכירותיה - שהרי תקנו לה חכמים פרקונה תחת פירות, אם נשבית</w:t>
      </w:r>
      <w:r>
        <w:rPr>
          <w:rFonts w:hint="cs"/>
          <w:rtl/>
        </w:rPr>
        <w:t>, רש"י.</w:t>
      </w:r>
    </w:p>
  </w:footnote>
  <w:footnote w:id="1636">
    <w:p w14:paraId="5A61C2BE" w14:textId="77777777" w:rsidR="00DF1FC7" w:rsidRDefault="00DF1FC7" w:rsidP="002E5BAD">
      <w:pPr>
        <w:pStyle w:val="a5"/>
      </w:pPr>
      <w:r>
        <w:rPr>
          <w:rStyle w:val="a7"/>
        </w:rPr>
        <w:footnoteRef/>
      </w:r>
      <w:r>
        <w:rPr>
          <w:rtl/>
        </w:rPr>
        <w:t xml:space="preserve"> </w:t>
      </w:r>
      <w:r w:rsidRPr="00E81756">
        <w:rPr>
          <w:rFonts w:cs="Arial"/>
          <w:rtl/>
        </w:rPr>
        <w:t>ופטור</w:t>
      </w:r>
      <w:r>
        <w:rPr>
          <w:rFonts w:cs="Arial" w:hint="cs"/>
          <w:rtl/>
        </w:rPr>
        <w:t>, רש"י.</w:t>
      </w:r>
    </w:p>
  </w:footnote>
  <w:footnote w:id="1637">
    <w:p w14:paraId="7378D075" w14:textId="77777777" w:rsidR="00DF1FC7" w:rsidRDefault="00DF1FC7" w:rsidP="002E5BAD">
      <w:pPr>
        <w:pStyle w:val="a5"/>
      </w:pPr>
      <w:r>
        <w:rPr>
          <w:rStyle w:val="a7"/>
        </w:rPr>
        <w:footnoteRef/>
      </w:r>
      <w:r>
        <w:rPr>
          <w:rtl/>
        </w:rPr>
        <w:t xml:space="preserve"> </w:t>
      </w:r>
      <w:r w:rsidRPr="00E81756">
        <w:rPr>
          <w:rFonts w:cs="Arial"/>
          <w:rtl/>
        </w:rPr>
        <w:t>ובעל יורש אשתו, דבר תורה</w:t>
      </w:r>
      <w:r>
        <w:rPr>
          <w:rFonts w:cs="Arial" w:hint="cs"/>
          <w:rtl/>
        </w:rPr>
        <w:t>, רש"י.</w:t>
      </w:r>
    </w:p>
  </w:footnote>
  <w:footnote w:id="1638">
    <w:p w14:paraId="7CE205BF" w14:textId="77777777" w:rsidR="00DF1FC7" w:rsidRDefault="00DF1FC7" w:rsidP="002E5BAD">
      <w:pPr>
        <w:pStyle w:val="a5"/>
      </w:pPr>
      <w:r>
        <w:rPr>
          <w:rStyle w:val="a7"/>
        </w:rPr>
        <w:footnoteRef/>
      </w:r>
      <w:r>
        <w:rPr>
          <w:rtl/>
        </w:rPr>
        <w:t xml:space="preserve"> </w:t>
      </w:r>
      <w:r w:rsidRPr="00E81756">
        <w:rPr>
          <w:rFonts w:cs="Arial"/>
          <w:rtl/>
        </w:rPr>
        <w:t>אלמא אין לה רשות למכור, דהוא הוי לוקח ראשון</w:t>
      </w:r>
      <w:r>
        <w:rPr>
          <w:rFonts w:cs="Arial" w:hint="cs"/>
          <w:rtl/>
        </w:rPr>
        <w:t>, רש"י.</w:t>
      </w:r>
    </w:p>
  </w:footnote>
  <w:footnote w:id="1639">
    <w:p w14:paraId="06036A4D" w14:textId="77777777" w:rsidR="00DF1FC7" w:rsidRDefault="00DF1FC7" w:rsidP="002E5BAD">
      <w:pPr>
        <w:pStyle w:val="a5"/>
      </w:pPr>
      <w:r>
        <w:rPr>
          <w:rStyle w:val="a7"/>
        </w:rPr>
        <w:footnoteRef/>
      </w:r>
      <w:r>
        <w:rPr>
          <w:rtl/>
        </w:rPr>
        <w:t xml:space="preserve"> </w:t>
      </w:r>
      <w:r>
        <w:rPr>
          <w:rFonts w:hint="cs"/>
          <w:rtl/>
        </w:rPr>
        <w:t>הטור קיצר מאוד בלשונו כאן, אז הבאתי דבריו מסי' שמ"ו.</w:t>
      </w:r>
    </w:p>
  </w:footnote>
  <w:footnote w:id="1640">
    <w:p w14:paraId="4C11AD77" w14:textId="77777777" w:rsidR="00DF1FC7" w:rsidRDefault="00DF1FC7" w:rsidP="002E5BAD">
      <w:pPr>
        <w:pStyle w:val="a5"/>
      </w:pPr>
      <w:r>
        <w:rPr>
          <w:rStyle w:val="a7"/>
        </w:rPr>
        <w:footnoteRef/>
      </w:r>
      <w:r>
        <w:rPr>
          <w:rtl/>
        </w:rPr>
        <w:t xml:space="preserve"> </w:t>
      </w:r>
      <w:r w:rsidRPr="000343CE">
        <w:rPr>
          <w:rFonts w:cs="Arial"/>
          <w:rtl/>
        </w:rPr>
        <w:t xml:space="preserve">הרמב"ם כתב דין זה </w:t>
      </w:r>
      <w:r>
        <w:rPr>
          <w:rFonts w:cs="Arial" w:hint="cs"/>
          <w:rtl/>
        </w:rPr>
        <w:t>ב</w:t>
      </w:r>
      <w:r w:rsidRPr="000343CE">
        <w:rPr>
          <w:rFonts w:cs="Arial"/>
          <w:rtl/>
        </w:rPr>
        <w:t xml:space="preserve">לשון </w:t>
      </w:r>
      <w:r>
        <w:rPr>
          <w:rFonts w:cs="Arial" w:hint="cs"/>
          <w:rtl/>
        </w:rPr>
        <w:t>'</w:t>
      </w:r>
      <w:r w:rsidRPr="000343CE">
        <w:rPr>
          <w:rFonts w:cs="Arial"/>
          <w:rtl/>
        </w:rPr>
        <w:t>שאלה</w:t>
      </w:r>
      <w:r>
        <w:rPr>
          <w:rFonts w:cs="Arial" w:hint="cs"/>
          <w:rtl/>
        </w:rPr>
        <w:t xml:space="preserve">', וכתב הב"ח דגם התוס' </w:t>
      </w:r>
      <w:r w:rsidRPr="000343CE">
        <w:rPr>
          <w:rFonts w:cs="Arial"/>
          <w:rtl/>
        </w:rPr>
        <w:t>(שם ד"ה דאגר</w:t>
      </w:r>
      <w:r>
        <w:rPr>
          <w:rFonts w:cs="Arial" w:hint="cs"/>
          <w:rtl/>
        </w:rPr>
        <w:t>) כתבו דהוא הדין דמצי הגמ' לכתוב בלשון שאלה. וכתב הב"ח וז"ל-</w:t>
      </w:r>
      <w:r w:rsidRPr="000343CE">
        <w:rPr>
          <w:rFonts w:cs="Arial"/>
          <w:rtl/>
        </w:rPr>
        <w:t xml:space="preserve"> ורצונם </w:t>
      </w:r>
      <w:r>
        <w:rPr>
          <w:rFonts w:cs="Arial" w:hint="cs"/>
          <w:sz w:val="16"/>
          <w:szCs w:val="16"/>
          <w:rtl/>
        </w:rPr>
        <w:t xml:space="preserve">{של התוס' והרמב"ם} </w:t>
      </w:r>
      <w:r w:rsidRPr="000343CE">
        <w:rPr>
          <w:rFonts w:cs="Arial"/>
          <w:rtl/>
        </w:rPr>
        <w:t>לומר דאם היה שואל</w:t>
      </w:r>
      <w:r>
        <w:rPr>
          <w:rFonts w:cs="Arial" w:hint="cs"/>
          <w:rtl/>
        </w:rPr>
        <w:t xml:space="preserve"> -</w:t>
      </w:r>
      <w:r w:rsidRPr="000343CE">
        <w:rPr>
          <w:rFonts w:cs="Arial"/>
          <w:rtl/>
        </w:rPr>
        <w:t xml:space="preserve"> היה חייב לשלם לבעלים הראשונים שהוא המשכיר אפילו אם מתה</w:t>
      </w:r>
      <w:r>
        <w:rPr>
          <w:rFonts w:cs="Arial" w:hint="cs"/>
          <w:rtl/>
        </w:rPr>
        <w:t>,</w:t>
      </w:r>
      <w:r w:rsidRPr="000343CE">
        <w:rPr>
          <w:rFonts w:cs="Arial"/>
          <w:rtl/>
        </w:rPr>
        <w:t xml:space="preserve"> דהלכה כרבי יוסי דאמר (ב"מ לה</w:t>
      </w:r>
      <w:r>
        <w:rPr>
          <w:rFonts w:cs="Arial" w:hint="cs"/>
          <w:rtl/>
        </w:rPr>
        <w:t>:</w:t>
      </w:r>
      <w:r w:rsidRPr="000343CE">
        <w:rPr>
          <w:rFonts w:cs="Arial"/>
          <w:rtl/>
        </w:rPr>
        <w:t>) היאך עושה הלה סחורה בפרתו של חבירו</w:t>
      </w:r>
      <w:r>
        <w:rPr>
          <w:rFonts w:cs="Arial" w:hint="cs"/>
          <w:rtl/>
        </w:rPr>
        <w:t>,</w:t>
      </w:r>
      <w:r w:rsidRPr="000343CE">
        <w:rPr>
          <w:rFonts w:cs="Arial"/>
          <w:rtl/>
        </w:rPr>
        <w:t xml:space="preserve"> ודינא דבעל דשואל הוא בהדי המשכיר הוא וכאילו השאילו ממנו</w:t>
      </w:r>
      <w:r>
        <w:rPr>
          <w:rFonts w:cs="Arial" w:hint="cs"/>
          <w:rtl/>
        </w:rPr>
        <w:t>,</w:t>
      </w:r>
      <w:r w:rsidRPr="000343CE">
        <w:rPr>
          <w:rFonts w:cs="Arial"/>
          <w:rtl/>
        </w:rPr>
        <w:t xml:space="preserve"> וכן אם היה שוכר היה דינו עם המשכיר והיה חייב בגנבה ואבידה</w:t>
      </w:r>
      <w:r>
        <w:rPr>
          <w:rFonts w:cs="Arial" w:hint="cs"/>
          <w:rtl/>
        </w:rPr>
        <w:t>.</w:t>
      </w:r>
      <w:r w:rsidRPr="000343CE">
        <w:rPr>
          <w:rFonts w:cs="Arial"/>
          <w:rtl/>
        </w:rPr>
        <w:t xml:space="preserve"> אבל כיון שהוא חשוב לוקח ממנה</w:t>
      </w:r>
      <w:r>
        <w:rPr>
          <w:rFonts w:cs="Arial" w:hint="cs"/>
          <w:rtl/>
        </w:rPr>
        <w:t xml:space="preserve"> -</w:t>
      </w:r>
      <w:r w:rsidRPr="000343CE">
        <w:rPr>
          <w:rFonts w:cs="Arial"/>
          <w:rtl/>
        </w:rPr>
        <w:t xml:space="preserve"> אין דינו של משכיר עם הבעל כי אם עם האשה ששכרה ממנו</w:t>
      </w:r>
      <w:r>
        <w:rPr>
          <w:rFonts w:cs="Arial" w:hint="cs"/>
          <w:rtl/>
        </w:rPr>
        <w:t>,</w:t>
      </w:r>
      <w:r w:rsidRPr="000343CE">
        <w:rPr>
          <w:rFonts w:cs="Arial"/>
          <w:rtl/>
        </w:rPr>
        <w:t xml:space="preserve"> והיא חייבת לשלם למשכיר לכשתתאלמן או תתגרש</w:t>
      </w:r>
      <w:r>
        <w:rPr>
          <w:rFonts w:cs="Arial" w:hint="cs"/>
          <w:rtl/>
        </w:rPr>
        <w:t>,</w:t>
      </w:r>
      <w:r w:rsidRPr="000343CE">
        <w:rPr>
          <w:rFonts w:cs="Arial"/>
          <w:rtl/>
        </w:rPr>
        <w:t xml:space="preserve"> והבעל פטור ממנה אפילו פשע</w:t>
      </w:r>
      <w:r>
        <w:rPr>
          <w:rFonts w:cs="Arial" w:hint="cs"/>
          <w:rtl/>
        </w:rPr>
        <w:t>,</w:t>
      </w:r>
      <w:r w:rsidRPr="000343CE">
        <w:rPr>
          <w:rFonts w:cs="Arial"/>
          <w:rtl/>
        </w:rPr>
        <w:t xml:space="preserve"> דהוי פשיעה בבעלים</w:t>
      </w:r>
      <w:r>
        <w:rPr>
          <w:rFonts w:cs="Arial" w:hint="cs"/>
          <w:rtl/>
        </w:rPr>
        <w:t>.</w:t>
      </w:r>
      <w:r w:rsidRPr="000343CE">
        <w:rPr>
          <w:rFonts w:cs="Arial"/>
          <w:rtl/>
        </w:rPr>
        <w:t xml:space="preserve"> מיהו בהגה</w:t>
      </w:r>
      <w:r>
        <w:rPr>
          <w:rFonts w:cs="Arial" w:hint="cs"/>
          <w:rtl/>
        </w:rPr>
        <w:t>"מ</w:t>
      </w:r>
      <w:r w:rsidRPr="000343CE">
        <w:rPr>
          <w:rFonts w:cs="Arial"/>
          <w:rtl/>
        </w:rPr>
        <w:t xml:space="preserve"> (שאלה פ"ב אות ג) כתב דר"י חולק על זה </w:t>
      </w:r>
      <w:r w:rsidRPr="00CF49F6">
        <w:rPr>
          <w:rFonts w:cs="Arial"/>
          <w:rtl/>
        </w:rPr>
        <w:t>וז"ל לשם</w:t>
      </w:r>
      <w:r w:rsidRPr="00CF49F6">
        <w:rPr>
          <w:rFonts w:cs="Arial" w:hint="cs"/>
          <w:rtl/>
        </w:rPr>
        <w:t>-</w:t>
      </w:r>
      <w:r w:rsidRPr="00CF49F6">
        <w:rPr>
          <w:rFonts w:cs="Arial"/>
          <w:rtl/>
        </w:rPr>
        <w:t xml:space="preserve"> אבל ר"י אומר דחייב בפשיעה כשומר חינם ומשלם למשכיר לרבי יוסי דאמר תחזור פרה לבעלים הראשונים עכ"ל</w:t>
      </w:r>
      <w:r w:rsidRPr="001E2BF9">
        <w:rPr>
          <w:rFonts w:cs="Arial"/>
          <w:sz w:val="16"/>
          <w:szCs w:val="16"/>
          <w:rtl/>
        </w:rPr>
        <w:t xml:space="preserve"> </w:t>
      </w:r>
      <w:r>
        <w:rPr>
          <w:rFonts w:cs="Arial" w:hint="cs"/>
          <w:sz w:val="16"/>
          <w:szCs w:val="16"/>
          <w:rtl/>
        </w:rPr>
        <w:t>(</w:t>
      </w:r>
      <w:r w:rsidRPr="001E2BF9">
        <w:rPr>
          <w:rFonts w:cs="Arial"/>
          <w:sz w:val="16"/>
          <w:szCs w:val="16"/>
          <w:rtl/>
        </w:rPr>
        <w:t>נראה דהבין כך מלשון התוספות שכתבו ע"ש ר"י דשומר חינם הוי וחייב בפשיעה דר"ל דבהך בעיא דרמי בר חמא אף על פי דלא שואל הוי ולא שוכר הוי ופטור מאונסין ומגניבה ואבדה אפילו לרבי יוסי מכל מקום אם פשע בה חייב לשלם למשכיר</w:t>
      </w:r>
      <w:r>
        <w:rPr>
          <w:rFonts w:cs="Arial" w:hint="cs"/>
          <w:sz w:val="16"/>
          <w:szCs w:val="16"/>
          <w:rtl/>
        </w:rPr>
        <w:t>,</w:t>
      </w:r>
      <w:r w:rsidRPr="001E2BF9">
        <w:rPr>
          <w:rFonts w:cs="Arial"/>
          <w:sz w:val="16"/>
          <w:szCs w:val="16"/>
          <w:rtl/>
        </w:rPr>
        <w:t xml:space="preserve"> דשומר חינם שלו מיהא הוי לרבי יוסי</w:t>
      </w:r>
      <w:r>
        <w:rPr>
          <w:rFonts w:cs="Arial" w:hint="cs"/>
          <w:sz w:val="16"/>
          <w:szCs w:val="16"/>
          <w:rtl/>
        </w:rPr>
        <w:t>,</w:t>
      </w:r>
      <w:r w:rsidRPr="001E2BF9">
        <w:rPr>
          <w:rFonts w:cs="Arial"/>
          <w:sz w:val="16"/>
          <w:szCs w:val="16"/>
          <w:rtl/>
        </w:rPr>
        <w:t xml:space="preserve"> ואצל המשכיר לא הוי פשיעה בבעלים</w:t>
      </w:r>
      <w:r w:rsidRPr="001E2BF9">
        <w:rPr>
          <w:rFonts w:cs="Arial" w:hint="cs"/>
          <w:sz w:val="16"/>
          <w:szCs w:val="16"/>
          <w:rtl/>
        </w:rPr>
        <w:t>)</w:t>
      </w:r>
      <w:r>
        <w:rPr>
          <w:rFonts w:cs="Arial" w:hint="cs"/>
          <w:rtl/>
        </w:rPr>
        <w:t xml:space="preserve">, </w:t>
      </w:r>
      <w:r w:rsidRPr="000343CE">
        <w:rPr>
          <w:rFonts w:cs="Arial"/>
          <w:rtl/>
        </w:rPr>
        <w:t>והכי משמע להדיא מלשון המרדכי הארוך (ב"ק סי' קמג) דכך מפרש ר"י</w:t>
      </w:r>
      <w:r>
        <w:rPr>
          <w:rFonts w:cs="Arial" w:hint="cs"/>
          <w:rtl/>
        </w:rPr>
        <w:t>.</w:t>
      </w:r>
      <w:r w:rsidRPr="000343CE">
        <w:rPr>
          <w:rFonts w:cs="Arial"/>
          <w:rtl/>
        </w:rPr>
        <w:t xml:space="preserve"> אבל מדברי הרא"ש מבואר דהיה מפרש מ"ש התוס' דשומר חינם הוי וחייב בפשיעה הכי קאמר והיה חייב בפשיעה אם לא היתה פשיעה בבעלים ולפי זה הלוקח בהמה לשלשים יום וכולי שומר חנם הוי וחייב בפשיעה אבל גבי בעל בנכסי אשתו אפילו שאלה או שכרה פרה מאחר ואח"כ ניסת ומתה או אפילו פשע בה הבעל פטור אפילו לרבי יוסי דהילכתא כוותיה וכמ"ש הרמב"ם כך היא דעת ר"י והרא"ש וכך הוא מבואר מדברי רבינו בחושן משפט סימן שמ"ו (ס"כ) ע"ש. והכי נקטינן</w:t>
      </w:r>
      <w:r>
        <w:rPr>
          <w:rFonts w:cs="Arial" w:hint="cs"/>
          <w:rtl/>
        </w:rPr>
        <w:t>,</w:t>
      </w:r>
      <w:r w:rsidRPr="000343CE">
        <w:rPr>
          <w:rFonts w:cs="Arial"/>
          <w:rtl/>
        </w:rPr>
        <w:t xml:space="preserve"> וכ"פ בש</w:t>
      </w:r>
      <w:r>
        <w:rPr>
          <w:rFonts w:cs="Arial" w:hint="cs"/>
          <w:rtl/>
        </w:rPr>
        <w:t>ו</w:t>
      </w:r>
      <w:r w:rsidRPr="000343CE">
        <w:rPr>
          <w:rFonts w:cs="Arial"/>
          <w:rtl/>
        </w:rPr>
        <w:t>"ע כאן (ס"ו) וכן בחושן משפט (סי"ז)</w:t>
      </w:r>
      <w:r>
        <w:rPr>
          <w:rFonts w:cs="Arial" w:hint="cs"/>
          <w:rtl/>
        </w:rPr>
        <w:t>.</w:t>
      </w:r>
    </w:p>
  </w:footnote>
  <w:footnote w:id="1641">
    <w:p w14:paraId="5D388F7C" w14:textId="77777777" w:rsidR="00DF1FC7" w:rsidRDefault="00DF1FC7" w:rsidP="002E5BAD">
      <w:pPr>
        <w:pStyle w:val="a5"/>
        <w:rPr>
          <w:rtl/>
        </w:rPr>
      </w:pPr>
      <w:r>
        <w:rPr>
          <w:rStyle w:val="a7"/>
        </w:rPr>
        <w:footnoteRef/>
      </w:r>
      <w:r>
        <w:rPr>
          <w:rtl/>
        </w:rPr>
        <w:t xml:space="preserve"> </w:t>
      </w:r>
      <w:r>
        <w:rPr>
          <w:rFonts w:cs="Arial" w:hint="cs"/>
          <w:rtl/>
        </w:rPr>
        <w:t>'</w:t>
      </w:r>
      <w:r w:rsidRPr="00B41346">
        <w:rPr>
          <w:rFonts w:cs="Arial"/>
          <w:rtl/>
        </w:rPr>
        <w:t>אשה ששאלה וכו' עד נכנס תחתיה</w:t>
      </w:r>
      <w:r>
        <w:rPr>
          <w:rFonts w:cs="Arial" w:hint="cs"/>
          <w:rtl/>
        </w:rPr>
        <w:t>' -</w:t>
      </w:r>
      <w:r w:rsidRPr="00B41346">
        <w:rPr>
          <w:rFonts w:cs="Arial"/>
          <w:rtl/>
        </w:rPr>
        <w:t xml:space="preserve"> א"א והוא שקיבל אותה על עצמו בשאלה</w:t>
      </w:r>
      <w:r>
        <w:rPr>
          <w:rFonts w:hint="cs"/>
          <w:rtl/>
        </w:rPr>
        <w:t>, ראב"ד (בהשגות שם). הטור (סי' שמו ס"כ) גורס בדברי הראב"ד 'בשכירות' במקום 'בשאלה'.</w:t>
      </w:r>
    </w:p>
  </w:footnote>
  <w:footnote w:id="1642">
    <w:p w14:paraId="5DE57F68" w14:textId="77777777" w:rsidR="00DF1FC7" w:rsidRDefault="00DF1FC7" w:rsidP="002E5BAD">
      <w:pPr>
        <w:pStyle w:val="a5"/>
      </w:pPr>
      <w:r>
        <w:rPr>
          <w:rStyle w:val="a7"/>
        </w:rPr>
        <w:footnoteRef/>
      </w:r>
      <w:r>
        <w:rPr>
          <w:rtl/>
        </w:rPr>
        <w:t xml:space="preserve"> </w:t>
      </w:r>
      <w:r w:rsidRPr="00EF3810">
        <w:rPr>
          <w:rFonts w:cs="Arial"/>
          <w:rtl/>
        </w:rPr>
        <w:t>אע</w:t>
      </w:r>
      <w:r>
        <w:rPr>
          <w:rFonts w:cs="Arial" w:hint="cs"/>
          <w:rtl/>
        </w:rPr>
        <w:t>"</w:t>
      </w:r>
      <w:r w:rsidRPr="00EF3810">
        <w:rPr>
          <w:rFonts w:cs="Arial"/>
          <w:rtl/>
        </w:rPr>
        <w:t>ג דק</w:t>
      </w:r>
      <w:r>
        <w:rPr>
          <w:rFonts w:cs="Arial" w:hint="cs"/>
          <w:rtl/>
        </w:rPr>
        <w:t>יי</w:t>
      </w:r>
      <w:r w:rsidRPr="00EF3810">
        <w:rPr>
          <w:rFonts w:cs="Arial"/>
          <w:rtl/>
        </w:rPr>
        <w:t>"ל דלוקח בהמה לזמן קצוב הוי ש"ח וחייב בפשיעה</w:t>
      </w:r>
      <w:r>
        <w:rPr>
          <w:rFonts w:cs="Arial" w:hint="cs"/>
          <w:rtl/>
        </w:rPr>
        <w:t xml:space="preserve"> </w:t>
      </w:r>
      <w:r w:rsidRPr="00EF3810">
        <w:rPr>
          <w:rFonts w:cs="Arial"/>
          <w:rtl/>
        </w:rPr>
        <w:t>כמו שפ</w:t>
      </w:r>
      <w:r>
        <w:rPr>
          <w:rFonts w:cs="Arial" w:hint="cs"/>
          <w:rtl/>
        </w:rPr>
        <w:t>ס</w:t>
      </w:r>
      <w:r w:rsidRPr="00EF3810">
        <w:rPr>
          <w:rFonts w:cs="Arial"/>
          <w:rtl/>
        </w:rPr>
        <w:t>ק בח</w:t>
      </w:r>
      <w:r>
        <w:rPr>
          <w:rFonts w:cs="Arial" w:hint="cs"/>
          <w:rtl/>
        </w:rPr>
        <w:t>ו</w:t>
      </w:r>
      <w:r w:rsidRPr="00EF3810">
        <w:rPr>
          <w:rFonts w:cs="Arial"/>
          <w:rtl/>
        </w:rPr>
        <w:t xml:space="preserve">"מ סימן שמ"ו </w:t>
      </w:r>
      <w:r w:rsidRPr="00EF3810">
        <w:rPr>
          <w:rFonts w:cs="Arial" w:hint="cs"/>
          <w:sz w:val="16"/>
          <w:szCs w:val="16"/>
          <w:rtl/>
        </w:rPr>
        <w:t>(</w:t>
      </w:r>
      <w:r w:rsidRPr="00EF3810">
        <w:rPr>
          <w:rFonts w:cs="Arial"/>
          <w:sz w:val="16"/>
          <w:szCs w:val="16"/>
          <w:rtl/>
        </w:rPr>
        <w:t>ע' בסמ"ע שנדחק לפרש דמיירי שהאשה שאלה כל ימי חיותה דהפרה או כל ימי חיותה דהאשה דאז פטור הבעל משום דנקר' לוקח ולא משום שמירה בבעלים כיון דהבהמה אינה שלה אבל אם שאלה האשה רק לזמן מוגבל אז חייב הבעל בפשיעה כדין לוקח לזמן ודברים אלו ודאי אינם ברורים אך האמת יורה דרכו</w:t>
      </w:r>
      <w:r>
        <w:rPr>
          <w:rFonts w:cs="Arial" w:hint="cs"/>
          <w:sz w:val="16"/>
          <w:szCs w:val="16"/>
          <w:rtl/>
        </w:rPr>
        <w:t>-)</w:t>
      </w:r>
      <w:r w:rsidRPr="00EF3810">
        <w:rPr>
          <w:rFonts w:cs="Arial"/>
          <w:rtl/>
        </w:rPr>
        <w:t xml:space="preserve"> דהרמב"ם לא ס"ל דין זה דלוקח לזמן</w:t>
      </w:r>
      <w:r>
        <w:rPr>
          <w:rFonts w:cs="Arial" w:hint="cs"/>
          <w:rtl/>
        </w:rPr>
        <w:t>.</w:t>
      </w:r>
      <w:r w:rsidRPr="00EF3810">
        <w:rPr>
          <w:rFonts w:cs="Arial"/>
          <w:rtl/>
        </w:rPr>
        <w:t xml:space="preserve"> ולדעת ר"י דס"ל דלוקח לזמן חייב בפשיעה דהוי כשומר חנם</w:t>
      </w:r>
      <w:r>
        <w:rPr>
          <w:rFonts w:cs="Arial" w:hint="cs"/>
          <w:rtl/>
        </w:rPr>
        <w:t>,</w:t>
      </w:r>
      <w:r w:rsidRPr="00EF3810">
        <w:rPr>
          <w:rFonts w:cs="Arial"/>
          <w:rtl/>
        </w:rPr>
        <w:t xml:space="preserve"> א"כ בבעל אפשר פטור דהוי שמירה בבעלים</w:t>
      </w:r>
      <w:r>
        <w:rPr>
          <w:rFonts w:cs="Arial" w:hint="cs"/>
          <w:rtl/>
        </w:rPr>
        <w:t>.</w:t>
      </w:r>
      <w:r w:rsidRPr="00EF3810">
        <w:rPr>
          <w:rFonts w:cs="Arial"/>
          <w:rtl/>
        </w:rPr>
        <w:t xml:space="preserve"> ואע</w:t>
      </w:r>
      <w:r>
        <w:rPr>
          <w:rFonts w:cs="Arial" w:hint="cs"/>
          <w:rtl/>
        </w:rPr>
        <w:t>"</w:t>
      </w:r>
      <w:r w:rsidRPr="00EF3810">
        <w:rPr>
          <w:rFonts w:cs="Arial"/>
          <w:rtl/>
        </w:rPr>
        <w:t>ג דאין החפץ שלה</w:t>
      </w:r>
      <w:r>
        <w:rPr>
          <w:rFonts w:cs="Arial" w:hint="cs"/>
          <w:rtl/>
        </w:rPr>
        <w:t>,</w:t>
      </w:r>
      <w:r w:rsidRPr="00EF3810">
        <w:rPr>
          <w:rFonts w:cs="Arial"/>
          <w:rtl/>
        </w:rPr>
        <w:t xml:space="preserve"> מאחר דלוקח הוי </w:t>
      </w:r>
      <w:r>
        <w:rPr>
          <w:rFonts w:cs="Arial" w:hint="cs"/>
          <w:rtl/>
        </w:rPr>
        <w:t xml:space="preserve">- </w:t>
      </w:r>
      <w:r w:rsidRPr="00EF3810">
        <w:rPr>
          <w:rFonts w:cs="Arial"/>
          <w:rtl/>
        </w:rPr>
        <w:t xml:space="preserve">הוי כשומר שלה </w:t>
      </w:r>
      <w:r w:rsidRPr="00EF3810">
        <w:rPr>
          <w:rFonts w:cs="Arial" w:hint="cs"/>
          <w:sz w:val="16"/>
          <w:szCs w:val="16"/>
          <w:rtl/>
        </w:rPr>
        <w:t>(</w:t>
      </w:r>
      <w:r w:rsidRPr="00EF3810">
        <w:rPr>
          <w:rFonts w:cs="Arial"/>
          <w:sz w:val="16"/>
          <w:szCs w:val="16"/>
          <w:rtl/>
        </w:rPr>
        <w:t>וכבר הארכתי בביאורי להרא"ש בפרק השואל ובארתי כוונת הרב מהרמ"א בסי' שמ"ו וא</w:t>
      </w:r>
      <w:r>
        <w:rPr>
          <w:rFonts w:cs="Arial" w:hint="cs"/>
          <w:sz w:val="16"/>
          <w:szCs w:val="16"/>
          <w:rtl/>
        </w:rPr>
        <w:t>כמ"ל</w:t>
      </w:r>
      <w:r w:rsidRPr="00EF3810">
        <w:rPr>
          <w:rFonts w:cs="Arial"/>
          <w:sz w:val="16"/>
          <w:szCs w:val="16"/>
          <w:rtl/>
        </w:rPr>
        <w:t xml:space="preserve"> יותר מזה</w:t>
      </w:r>
      <w:r>
        <w:rPr>
          <w:rFonts w:cs="Arial" w:hint="cs"/>
          <w:sz w:val="16"/>
          <w:szCs w:val="16"/>
          <w:rtl/>
        </w:rPr>
        <w:t>)</w:t>
      </w:r>
      <w:r>
        <w:rPr>
          <w:rFonts w:cs="Arial" w:hint="cs"/>
          <w:rtl/>
        </w:rPr>
        <w:t>, ח"מ (סקי"ד).</w:t>
      </w:r>
      <w:r>
        <w:rPr>
          <w:rFonts w:hint="cs"/>
          <w:rtl/>
        </w:rPr>
        <w:t xml:space="preserve"> וכן כתב הב"ש (סק"ט*) בשם הרא"ש</w:t>
      </w:r>
      <w:r w:rsidRPr="00EF3810">
        <w:rPr>
          <w:rtl/>
        </w:rPr>
        <w:t xml:space="preserve"> </w:t>
      </w:r>
      <w:r w:rsidRPr="00EF3810">
        <w:rPr>
          <w:rFonts w:cs="Arial"/>
          <w:rtl/>
        </w:rPr>
        <w:t>הבעל פטור מטעם שמירה בבעלים אף על גב דאין הגוף שלה</w:t>
      </w:r>
      <w:r>
        <w:rPr>
          <w:rFonts w:hint="cs"/>
          <w:rtl/>
        </w:rPr>
        <w:t xml:space="preserve">. וכתב </w:t>
      </w:r>
      <w:r>
        <w:rPr>
          <w:rFonts w:cs="Arial" w:hint="cs"/>
          <w:rtl/>
        </w:rPr>
        <w:t>עוד ד</w:t>
      </w:r>
      <w:r w:rsidRPr="00EF3810">
        <w:rPr>
          <w:rFonts w:cs="Arial"/>
          <w:rtl/>
        </w:rPr>
        <w:t>מ</w:t>
      </w:r>
      <w:r>
        <w:rPr>
          <w:rFonts w:cs="Arial" w:hint="cs"/>
          <w:rtl/>
        </w:rPr>
        <w:t>ה</w:t>
      </w:r>
      <w:r w:rsidRPr="00EF3810">
        <w:rPr>
          <w:rFonts w:cs="Arial"/>
          <w:rtl/>
        </w:rPr>
        <w:t xml:space="preserve">תוס' </w:t>
      </w:r>
      <w:r>
        <w:rPr>
          <w:rFonts w:cs="Arial" w:hint="cs"/>
          <w:rtl/>
        </w:rPr>
        <w:t>(</w:t>
      </w:r>
      <w:r w:rsidRPr="00EF3810">
        <w:rPr>
          <w:rFonts w:cs="Arial"/>
          <w:rtl/>
        </w:rPr>
        <w:t>פ' השואל מ"ש בשם ר"י</w:t>
      </w:r>
      <w:r>
        <w:rPr>
          <w:rFonts w:cs="Arial" w:hint="cs"/>
          <w:rtl/>
        </w:rPr>
        <w:t>)</w:t>
      </w:r>
      <w:r w:rsidRPr="00EF3810">
        <w:rPr>
          <w:rFonts w:cs="Arial"/>
          <w:rtl/>
        </w:rPr>
        <w:t xml:space="preserve"> משמע דס"ל דחייב בפשיעה דאע</w:t>
      </w:r>
      <w:r>
        <w:rPr>
          <w:rFonts w:cs="Arial" w:hint="cs"/>
          <w:rtl/>
        </w:rPr>
        <w:t>"</w:t>
      </w:r>
      <w:r w:rsidRPr="00EF3810">
        <w:rPr>
          <w:rFonts w:cs="Arial"/>
          <w:rtl/>
        </w:rPr>
        <w:t>ג דאינו מקבל שמירה ושמירה בבעלים לא שייך בכלים שאין הגוף שלה</w:t>
      </w:r>
      <w:r>
        <w:rPr>
          <w:rFonts w:hint="cs"/>
          <w:rtl/>
        </w:rPr>
        <w:t>.</w:t>
      </w:r>
    </w:p>
  </w:footnote>
  <w:footnote w:id="1643">
    <w:p w14:paraId="4855A02F" w14:textId="77777777" w:rsidR="00DF1FC7" w:rsidRDefault="00DF1FC7" w:rsidP="002E5BAD">
      <w:pPr>
        <w:pStyle w:val="a5"/>
      </w:pPr>
      <w:r>
        <w:rPr>
          <w:rStyle w:val="a7"/>
        </w:rPr>
        <w:footnoteRef/>
      </w:r>
      <w:r>
        <w:rPr>
          <w:rtl/>
        </w:rPr>
        <w:t xml:space="preserve"> </w:t>
      </w:r>
      <w:r w:rsidRPr="00C45B9C">
        <w:rPr>
          <w:rFonts w:cs="Arial"/>
          <w:rtl/>
        </w:rPr>
        <w:t>וכ"כ הרמב"ם</w:t>
      </w:r>
      <w:r>
        <w:rPr>
          <w:rFonts w:cs="Arial" w:hint="cs"/>
          <w:rtl/>
        </w:rPr>
        <w:t>,</w:t>
      </w:r>
      <w:r w:rsidRPr="00C45B9C">
        <w:rPr>
          <w:rFonts w:cs="Arial"/>
          <w:rtl/>
        </w:rPr>
        <w:t xml:space="preserve"> ולהרא"ש דס"ל דהוי שמירה בבעלים י"ל דפטור אף אם הודיעה לו</w:t>
      </w:r>
      <w:r>
        <w:rPr>
          <w:rFonts w:cs="Arial" w:hint="cs"/>
          <w:rtl/>
        </w:rPr>
        <w:t>,</w:t>
      </w:r>
      <w:r w:rsidRPr="00C45B9C">
        <w:rPr>
          <w:rFonts w:cs="Arial"/>
          <w:rtl/>
        </w:rPr>
        <w:t xml:space="preserve"> אא"כ התנה בפירוש שחייב לשלם</w:t>
      </w:r>
      <w:r>
        <w:rPr>
          <w:rFonts w:cs="Arial" w:hint="cs"/>
          <w:rtl/>
        </w:rPr>
        <w:t>.</w:t>
      </w:r>
      <w:r w:rsidRPr="00C45B9C">
        <w:rPr>
          <w:rFonts w:cs="Arial"/>
          <w:rtl/>
        </w:rPr>
        <w:t xml:space="preserve"> ואפשר אם הודיעה לו הוי כאלו אמרה לו שהו</w:t>
      </w:r>
      <w:r>
        <w:rPr>
          <w:rFonts w:cs="Arial" w:hint="cs"/>
          <w:rtl/>
        </w:rPr>
        <w:t>א</w:t>
      </w:r>
      <w:r w:rsidRPr="00C45B9C">
        <w:rPr>
          <w:rFonts w:cs="Arial"/>
          <w:rtl/>
        </w:rPr>
        <w:t xml:space="preserve"> בעל דבר של המשאיל, ועיין במגיד שכתב אף לרמב"ם דוק</w:t>
      </w:r>
      <w:r>
        <w:rPr>
          <w:rFonts w:cs="Arial" w:hint="cs"/>
          <w:rtl/>
        </w:rPr>
        <w:t>א</w:t>
      </w:r>
      <w:r w:rsidRPr="00C45B9C">
        <w:rPr>
          <w:rFonts w:cs="Arial"/>
          <w:rtl/>
        </w:rPr>
        <w:t xml:space="preserve"> אם נשתמש אחר ההודאה</w:t>
      </w:r>
      <w:r>
        <w:rPr>
          <w:rFonts w:cs="Arial" w:hint="cs"/>
          <w:rtl/>
        </w:rPr>
        <w:t>,</w:t>
      </w:r>
      <w:r w:rsidRPr="00C45B9C">
        <w:rPr>
          <w:rFonts w:cs="Arial"/>
          <w:rtl/>
        </w:rPr>
        <w:t xml:space="preserve"> ולראב"ד דוק</w:t>
      </w:r>
      <w:r>
        <w:rPr>
          <w:rFonts w:cs="Arial" w:hint="cs"/>
          <w:rtl/>
        </w:rPr>
        <w:t>א</w:t>
      </w:r>
      <w:r w:rsidRPr="00C45B9C">
        <w:rPr>
          <w:rFonts w:cs="Arial"/>
          <w:rtl/>
        </w:rPr>
        <w:t xml:space="preserve"> שקיבל על עצמו בשאלה כמ"ש בח"ה סי' שמ"ו</w:t>
      </w:r>
      <w:r>
        <w:rPr>
          <w:rFonts w:cs="Arial" w:hint="cs"/>
          <w:rtl/>
        </w:rPr>
        <w:t>, ב"ש (סקי"א).</w:t>
      </w:r>
    </w:p>
  </w:footnote>
  <w:footnote w:id="1644">
    <w:p w14:paraId="17EEF807" w14:textId="77777777" w:rsidR="00DF1FC7" w:rsidRDefault="00DF1FC7" w:rsidP="002E5BAD">
      <w:pPr>
        <w:pStyle w:val="a5"/>
      </w:pPr>
      <w:r>
        <w:rPr>
          <w:rStyle w:val="a7"/>
        </w:rPr>
        <w:footnoteRef/>
      </w:r>
      <w:r>
        <w:rPr>
          <w:rtl/>
        </w:rPr>
        <w:t xml:space="preserve"> </w:t>
      </w:r>
      <w:r w:rsidRPr="006D295A">
        <w:rPr>
          <w:rFonts w:cs="Arial"/>
          <w:rtl/>
        </w:rPr>
        <w:t>לתבוע את בתה להחזיר לה הנכסים והבת הוציאה שטר מתנתה וקרעיה ר"נ</w:t>
      </w:r>
      <w:r>
        <w:rPr>
          <w:rFonts w:cs="Arial" w:hint="cs"/>
          <w:rtl/>
        </w:rPr>
        <w:t>, רש"י.</w:t>
      </w:r>
    </w:p>
  </w:footnote>
  <w:footnote w:id="1645">
    <w:p w14:paraId="45ADECEC" w14:textId="77777777" w:rsidR="00DF1FC7" w:rsidRDefault="00DF1FC7" w:rsidP="002E5BAD">
      <w:pPr>
        <w:pStyle w:val="a5"/>
      </w:pPr>
      <w:r>
        <w:rPr>
          <w:rStyle w:val="a7"/>
        </w:rPr>
        <w:footnoteRef/>
      </w:r>
      <w:r>
        <w:rPr>
          <w:rtl/>
        </w:rPr>
        <w:t xml:space="preserve"> </w:t>
      </w:r>
      <w:r w:rsidRPr="006D295A">
        <w:rPr>
          <w:rFonts w:cs="Arial"/>
          <w:rtl/>
        </w:rPr>
        <w:t>אינו בקי בדינין ומר עוקבא אב ב"ד הוה</w:t>
      </w:r>
      <w:r>
        <w:rPr>
          <w:rFonts w:cs="Arial" w:hint="cs"/>
          <w:rtl/>
        </w:rPr>
        <w:t>, רש"י.</w:t>
      </w:r>
    </w:p>
  </w:footnote>
  <w:footnote w:id="1646">
    <w:p w14:paraId="3C670568" w14:textId="77777777" w:rsidR="00DF1FC7" w:rsidRDefault="00DF1FC7" w:rsidP="002E5BAD">
      <w:pPr>
        <w:pStyle w:val="a5"/>
        <w:rPr>
          <w:rtl/>
        </w:rPr>
      </w:pPr>
      <w:r>
        <w:rPr>
          <w:rStyle w:val="a7"/>
        </w:rPr>
        <w:footnoteRef/>
      </w:r>
      <w:r>
        <w:rPr>
          <w:rtl/>
        </w:rPr>
        <w:t xml:space="preserve"> </w:t>
      </w:r>
      <w:r w:rsidRPr="006D295A">
        <w:rPr>
          <w:rFonts w:cs="Arial"/>
          <w:rtl/>
        </w:rPr>
        <w:t>שירצה המקבל מתנה להחזיק בנכסים על פיו שלא להחזירם לנותן אקרענו ולקמיה פריך הואיל ולאו שטרא הוא היאך הועיל להבריח</w:t>
      </w:r>
      <w:r>
        <w:rPr>
          <w:rFonts w:hint="cs"/>
          <w:rtl/>
        </w:rPr>
        <w:t>, רש"י.</w:t>
      </w:r>
    </w:p>
  </w:footnote>
  <w:footnote w:id="1647">
    <w:p w14:paraId="5747414B" w14:textId="77777777" w:rsidR="00DF1FC7" w:rsidRDefault="00DF1FC7" w:rsidP="002E5BAD">
      <w:pPr>
        <w:pStyle w:val="a5"/>
      </w:pPr>
      <w:r>
        <w:rPr>
          <w:rStyle w:val="a7"/>
        </w:rPr>
        <w:footnoteRef/>
      </w:r>
      <w:r>
        <w:rPr>
          <w:rtl/>
        </w:rPr>
        <w:t xml:space="preserve"> </w:t>
      </w:r>
      <w:r w:rsidRPr="006D295A">
        <w:rPr>
          <w:rFonts w:cs="Arial"/>
          <w:rtl/>
        </w:rPr>
        <w:t>רבא לרב נחמן כשקרע אותו שטר היכי סמכת בהא אדשמואל וקרעת ליה</w:t>
      </w:r>
      <w:r>
        <w:rPr>
          <w:rFonts w:cs="Arial" w:hint="cs"/>
          <w:rtl/>
        </w:rPr>
        <w:t>, רש"י.</w:t>
      </w:r>
    </w:p>
  </w:footnote>
  <w:footnote w:id="1648">
    <w:p w14:paraId="63A0C445" w14:textId="77777777" w:rsidR="00DF1FC7" w:rsidRDefault="00DF1FC7" w:rsidP="002E5BAD">
      <w:pPr>
        <w:pStyle w:val="a5"/>
        <w:rPr>
          <w:rtl/>
        </w:rPr>
      </w:pPr>
      <w:r>
        <w:rPr>
          <w:rStyle w:val="a7"/>
        </w:rPr>
        <w:footnoteRef/>
      </w:r>
      <w:r>
        <w:rPr>
          <w:rtl/>
        </w:rPr>
        <w:t xml:space="preserve"> </w:t>
      </w:r>
      <w:r w:rsidRPr="006D295A">
        <w:rPr>
          <w:rFonts w:cs="Arial"/>
          <w:rtl/>
        </w:rPr>
        <w:t>אמר שמואל אקרענו</w:t>
      </w:r>
      <w:r>
        <w:rPr>
          <w:rFonts w:hint="cs"/>
          <w:rtl/>
        </w:rPr>
        <w:t>, רש"י.</w:t>
      </w:r>
    </w:p>
  </w:footnote>
  <w:footnote w:id="1649">
    <w:p w14:paraId="299665BB" w14:textId="77777777" w:rsidR="00DF1FC7" w:rsidRDefault="00DF1FC7" w:rsidP="002E5BAD">
      <w:pPr>
        <w:pStyle w:val="a5"/>
        <w:rPr>
          <w:rtl/>
        </w:rPr>
      </w:pPr>
      <w:r>
        <w:rPr>
          <w:rStyle w:val="a7"/>
        </w:rPr>
        <w:footnoteRef/>
      </w:r>
      <w:r>
        <w:rPr>
          <w:rtl/>
        </w:rPr>
        <w:t xml:space="preserve"> </w:t>
      </w:r>
      <w:r w:rsidRPr="006D295A">
        <w:rPr>
          <w:rFonts w:cs="Arial"/>
          <w:rtl/>
        </w:rPr>
        <w:t>ולא גמר להקנותו אלא בעוד שהוא דואג מאחרים שלא יחזיקו בהם</w:t>
      </w:r>
      <w:r>
        <w:rPr>
          <w:rFonts w:hint="cs"/>
          <w:rtl/>
        </w:rPr>
        <w:t>, רש"י.</w:t>
      </w:r>
    </w:p>
  </w:footnote>
  <w:footnote w:id="1650">
    <w:p w14:paraId="09C98889" w14:textId="77777777" w:rsidR="00DF1FC7" w:rsidRDefault="00DF1FC7" w:rsidP="002E5BAD">
      <w:pPr>
        <w:pStyle w:val="a5"/>
        <w:rPr>
          <w:rtl/>
        </w:rPr>
      </w:pPr>
      <w:r>
        <w:rPr>
          <w:rStyle w:val="a7"/>
        </w:rPr>
        <w:footnoteRef/>
      </w:r>
      <w:r>
        <w:rPr>
          <w:rtl/>
        </w:rPr>
        <w:t xml:space="preserve"> </w:t>
      </w:r>
      <w:r w:rsidRPr="006D295A">
        <w:rPr>
          <w:rFonts w:cs="Arial"/>
          <w:rtl/>
        </w:rPr>
        <w:t>בנותנתן לאיש נכרי איכא למימר דלא גמרה ואקניא</w:t>
      </w:r>
      <w:r>
        <w:rPr>
          <w:rFonts w:hint="cs"/>
          <w:rtl/>
        </w:rPr>
        <w:t>, רש"י.</w:t>
      </w:r>
    </w:p>
  </w:footnote>
  <w:footnote w:id="1651">
    <w:p w14:paraId="13879BD5" w14:textId="77777777" w:rsidR="00DF1FC7" w:rsidRDefault="00DF1FC7" w:rsidP="002E5BAD">
      <w:pPr>
        <w:pStyle w:val="a5"/>
      </w:pPr>
      <w:r>
        <w:rPr>
          <w:rStyle w:val="a7"/>
        </w:rPr>
        <w:footnoteRef/>
      </w:r>
      <w:r>
        <w:rPr>
          <w:rtl/>
        </w:rPr>
        <w:t xml:space="preserve"> </w:t>
      </w:r>
      <w:r w:rsidRPr="006D295A">
        <w:rPr>
          <w:rFonts w:cs="Arial"/>
          <w:rtl/>
        </w:rPr>
        <w:t>מתנה חלוטה</w:t>
      </w:r>
      <w:r>
        <w:rPr>
          <w:rFonts w:cs="Arial" w:hint="cs"/>
          <w:rtl/>
        </w:rPr>
        <w:t>, רש"י.</w:t>
      </w:r>
    </w:p>
  </w:footnote>
  <w:footnote w:id="1652">
    <w:p w14:paraId="5471E65C" w14:textId="77777777" w:rsidR="00DF1FC7" w:rsidRDefault="00DF1FC7" w:rsidP="002E5BAD">
      <w:pPr>
        <w:pStyle w:val="a5"/>
        <w:rPr>
          <w:rtl/>
        </w:rPr>
      </w:pPr>
      <w:r>
        <w:rPr>
          <w:rStyle w:val="a7"/>
        </w:rPr>
        <w:footnoteRef/>
      </w:r>
      <w:r>
        <w:rPr>
          <w:rtl/>
        </w:rPr>
        <w:t xml:space="preserve"> </w:t>
      </w:r>
      <w:r w:rsidRPr="006D295A">
        <w:rPr>
          <w:rFonts w:cs="Arial"/>
          <w:rtl/>
        </w:rPr>
        <w:t>שטר פיוסים שמפייסתו לקבל מתנה זו להפקיע זכות בעלה קודם נישואין ולא שיזכה מקבל זה בהם</w:t>
      </w:r>
      <w:r>
        <w:rPr>
          <w:rFonts w:hint="cs"/>
          <w:rtl/>
        </w:rPr>
        <w:t>, רש"י.</w:t>
      </w:r>
    </w:p>
  </w:footnote>
  <w:footnote w:id="1653">
    <w:p w14:paraId="309F492A" w14:textId="77777777" w:rsidR="00DF1FC7" w:rsidRDefault="00DF1FC7" w:rsidP="002E5BAD">
      <w:pPr>
        <w:pStyle w:val="a5"/>
      </w:pPr>
      <w:r>
        <w:rPr>
          <w:rStyle w:val="a7"/>
        </w:rPr>
        <w:footnoteRef/>
      </w:r>
      <w:r>
        <w:rPr>
          <w:rtl/>
        </w:rPr>
        <w:t xml:space="preserve"> </w:t>
      </w:r>
      <w:r w:rsidRPr="006D295A">
        <w:rPr>
          <w:rFonts w:cs="Arial"/>
          <w:rtl/>
        </w:rPr>
        <w:t>המקבל הזה</w:t>
      </w:r>
      <w:r>
        <w:rPr>
          <w:rFonts w:cs="Arial" w:hint="cs"/>
          <w:rtl/>
        </w:rPr>
        <w:t>, רש"י.</w:t>
      </w:r>
    </w:p>
  </w:footnote>
  <w:footnote w:id="1654">
    <w:p w14:paraId="69C69FC1" w14:textId="77777777" w:rsidR="00DF1FC7" w:rsidRDefault="00DF1FC7" w:rsidP="002E5BAD">
      <w:pPr>
        <w:pStyle w:val="a5"/>
      </w:pPr>
      <w:r>
        <w:rPr>
          <w:rStyle w:val="a7"/>
        </w:rPr>
        <w:footnoteRef/>
      </w:r>
      <w:r>
        <w:rPr>
          <w:rtl/>
        </w:rPr>
        <w:t xml:space="preserve"> </w:t>
      </w:r>
      <w:r w:rsidRPr="006D295A">
        <w:rPr>
          <w:rFonts w:cs="Arial"/>
          <w:rtl/>
        </w:rPr>
        <w:t>ומחזיק בהן עולמית</w:t>
      </w:r>
      <w:r>
        <w:rPr>
          <w:rFonts w:cs="Arial" w:hint="cs"/>
          <w:rtl/>
        </w:rPr>
        <w:t>, רש"י.</w:t>
      </w:r>
    </w:p>
  </w:footnote>
  <w:footnote w:id="1655">
    <w:p w14:paraId="03EBA49B" w14:textId="77777777" w:rsidR="00DF1FC7" w:rsidRDefault="00DF1FC7" w:rsidP="002E5BAD">
      <w:pPr>
        <w:pStyle w:val="a5"/>
      </w:pPr>
      <w:r>
        <w:rPr>
          <w:rStyle w:val="a7"/>
        </w:rPr>
        <w:footnoteRef/>
      </w:r>
      <w:r>
        <w:rPr>
          <w:rtl/>
        </w:rPr>
        <w:t xml:space="preserve"> </w:t>
      </w:r>
      <w:r w:rsidRPr="006D295A">
        <w:rPr>
          <w:rFonts w:cs="Arial"/>
          <w:rtl/>
        </w:rPr>
        <w:t>בשטר זה מהיום נתונים לך ולכשארצה יש כאן הברחה מבעלה שאם בא לזכות תאמר אני רוצה [במתנה ונמצא קיימת למפרע ואם זה שנכתב שטר יבוא להחזיק תאמר איני רוצה]</w:t>
      </w:r>
      <w:r>
        <w:rPr>
          <w:rFonts w:cs="Arial" w:hint="cs"/>
          <w:rtl/>
        </w:rPr>
        <w:t>, רש"י.</w:t>
      </w:r>
    </w:p>
  </w:footnote>
  <w:footnote w:id="1656">
    <w:p w14:paraId="02167A98" w14:textId="77777777" w:rsidR="00DF1FC7" w:rsidRDefault="00DF1FC7" w:rsidP="002E5BAD">
      <w:pPr>
        <w:pStyle w:val="a5"/>
      </w:pPr>
      <w:r>
        <w:rPr>
          <w:rStyle w:val="a7"/>
        </w:rPr>
        <w:footnoteRef/>
      </w:r>
      <w:r>
        <w:rPr>
          <w:rtl/>
        </w:rPr>
        <w:t xml:space="preserve"> </w:t>
      </w:r>
      <w:r w:rsidRPr="00B26A8D">
        <w:rPr>
          <w:rFonts w:cs="Arial"/>
          <w:rtl/>
        </w:rPr>
        <w:t>תיובתא דשמואל</w:t>
      </w:r>
      <w:r>
        <w:rPr>
          <w:rFonts w:cs="Arial" w:hint="cs"/>
          <w:rtl/>
        </w:rPr>
        <w:t>, רש"י.</w:t>
      </w:r>
    </w:p>
  </w:footnote>
  <w:footnote w:id="1657">
    <w:p w14:paraId="3369DA1C" w14:textId="77777777" w:rsidR="00DF1FC7" w:rsidRDefault="00DF1FC7" w:rsidP="002E5BAD">
      <w:pPr>
        <w:pStyle w:val="a5"/>
      </w:pPr>
      <w:r>
        <w:rPr>
          <w:rStyle w:val="a7"/>
        </w:rPr>
        <w:footnoteRef/>
      </w:r>
      <w:r>
        <w:rPr>
          <w:rtl/>
        </w:rPr>
        <w:t xml:space="preserve"> </w:t>
      </w:r>
      <w:r w:rsidRPr="00B26A8D">
        <w:rPr>
          <w:rFonts w:cs="Arial"/>
          <w:rtl/>
        </w:rPr>
        <w:t>כי אמר שמואל לא קני בכותבת לו כל נכסיה דכיון דלא שיירה מידי לנפשה אם תתגרש אנן סהדי דלא גמרה ומקניא והא דקתני רצה מצחק בה בכותבת מקצתן</w:t>
      </w:r>
      <w:r>
        <w:rPr>
          <w:rFonts w:cs="Arial" w:hint="cs"/>
          <w:rtl/>
        </w:rPr>
        <w:t>, רש"י.</w:t>
      </w:r>
    </w:p>
  </w:footnote>
  <w:footnote w:id="1658">
    <w:p w14:paraId="7EE1232F" w14:textId="77777777" w:rsidR="00DF1FC7" w:rsidRDefault="00DF1FC7" w:rsidP="002E5BAD">
      <w:pPr>
        <w:pStyle w:val="a5"/>
      </w:pPr>
      <w:r>
        <w:rPr>
          <w:rStyle w:val="a7"/>
        </w:rPr>
        <w:footnoteRef/>
      </w:r>
      <w:r>
        <w:rPr>
          <w:rtl/>
        </w:rPr>
        <w:t xml:space="preserve"> </w:t>
      </w:r>
      <w:r w:rsidRPr="00B26A8D">
        <w:rPr>
          <w:rFonts w:cs="Arial"/>
          <w:rtl/>
        </w:rPr>
        <w:t>לשמואל בכותבת כולן דאמר לא קני כיון דלא קני מאי הברחה איכא ליקנינהו בעל ויאכל פירות וירשנה אם תמות תחתיו</w:t>
      </w:r>
      <w:r>
        <w:rPr>
          <w:rFonts w:cs="Arial" w:hint="cs"/>
          <w:rtl/>
        </w:rPr>
        <w:t>, רש"י.</w:t>
      </w:r>
    </w:p>
  </w:footnote>
  <w:footnote w:id="1659">
    <w:p w14:paraId="1E0FD011" w14:textId="77777777" w:rsidR="00DF1FC7" w:rsidRDefault="00DF1FC7" w:rsidP="002E5BAD">
      <w:pPr>
        <w:pStyle w:val="a5"/>
        <w:rPr>
          <w:rtl/>
        </w:rPr>
      </w:pPr>
      <w:r>
        <w:rPr>
          <w:rStyle w:val="a7"/>
        </w:rPr>
        <w:footnoteRef/>
      </w:r>
      <w:r>
        <w:rPr>
          <w:rtl/>
        </w:rPr>
        <w:t xml:space="preserve"> </w:t>
      </w:r>
      <w:r w:rsidRPr="00B26A8D">
        <w:rPr>
          <w:rFonts w:cs="Arial"/>
          <w:rtl/>
        </w:rPr>
        <w:t>שהרי ע"מ שאינן שלה נשאה דסבור שהמתנה גמורה</w:t>
      </w:r>
      <w:r>
        <w:rPr>
          <w:rFonts w:hint="cs"/>
          <w:rtl/>
        </w:rPr>
        <w:t>, רש"י.</w:t>
      </w:r>
    </w:p>
  </w:footnote>
  <w:footnote w:id="1660">
    <w:p w14:paraId="5FADD7BE" w14:textId="77777777" w:rsidR="00DF1FC7" w:rsidRDefault="00DF1FC7" w:rsidP="002E5BAD">
      <w:pPr>
        <w:pStyle w:val="a5"/>
      </w:pPr>
      <w:r>
        <w:rPr>
          <w:rStyle w:val="a7"/>
        </w:rPr>
        <w:footnoteRef/>
      </w:r>
      <w:r>
        <w:rPr>
          <w:rtl/>
        </w:rPr>
        <w:t xml:space="preserve"> </w:t>
      </w:r>
      <w:r>
        <w:rPr>
          <w:rFonts w:hint="cs"/>
          <w:rtl/>
        </w:rPr>
        <w:t xml:space="preserve">וז"ל- </w:t>
      </w:r>
      <w:r w:rsidRPr="00FA2EA4">
        <w:rPr>
          <w:rFonts w:cs="Arial"/>
          <w:rtl/>
        </w:rPr>
        <w:t>ומכל מקום לענין הדין אמת הוא שהנותן מתנה לאשתו שקנתה ואין הבעל אוכל פירות, אם מכרה ונתנה ומתה הבעל מוציא מיד הלקוחות כדין נכסי מלוג, וכך כתב הנגיד רב שמואל הלוי בשם תשובת רבינו שרירא ורבינו האיי גאונים ז"ל</w:t>
      </w:r>
      <w:r>
        <w:rPr>
          <w:rFonts w:cs="Arial" w:hint="cs"/>
          <w:rtl/>
        </w:rPr>
        <w:t>.</w:t>
      </w:r>
      <w:r>
        <w:rPr>
          <w:rFonts w:hint="cs"/>
          <w:rtl/>
        </w:rPr>
        <w:t xml:space="preserve"> עכ"ל. והב"י הביא את הלשון הזו (בדיוק) בשם הרשב"א, אך לא הצלחתי למצוא כן בדבריו, אלא הרשב"א </w:t>
      </w:r>
      <w:r w:rsidRPr="00FA2EA4">
        <w:rPr>
          <w:rFonts w:cs="Arial"/>
          <w:sz w:val="16"/>
          <w:szCs w:val="16"/>
          <w:rtl/>
        </w:rPr>
        <w:t>(ב"ב נא: ד"ה במתנה)</w:t>
      </w:r>
      <w:r>
        <w:rPr>
          <w:rFonts w:hint="cs"/>
          <w:rtl/>
        </w:rPr>
        <w:t xml:space="preserve"> כתב שדעתו לא נוחה בפסק זה, והביא הה"מ </w:t>
      </w:r>
      <w:r w:rsidRPr="00D65D96">
        <w:rPr>
          <w:rFonts w:hint="cs"/>
          <w:sz w:val="16"/>
          <w:szCs w:val="16"/>
          <w:rtl/>
        </w:rPr>
        <w:t xml:space="preserve">(פכ"ב מאישות הכ"ז) </w:t>
      </w:r>
      <w:r>
        <w:rPr>
          <w:rFonts w:hint="cs"/>
          <w:rtl/>
        </w:rPr>
        <w:t xml:space="preserve">דבריו </w:t>
      </w:r>
      <w:r w:rsidRPr="00FA2EA4">
        <w:rPr>
          <w:rFonts w:hint="cs"/>
          <w:sz w:val="16"/>
          <w:szCs w:val="16"/>
          <w:rtl/>
        </w:rPr>
        <w:t xml:space="preserve">(וז"ל הרשב"א- </w:t>
      </w:r>
      <w:r w:rsidRPr="00FA2EA4">
        <w:rPr>
          <w:rFonts w:cs="Arial"/>
          <w:sz w:val="16"/>
          <w:szCs w:val="16"/>
          <w:rtl/>
        </w:rPr>
        <w:t>במתנה קנתה ואין הבעל אוכל פירות, ומיהו אם מתה הבעל יורשה, הא למה הדבר דומה לאב שנתן לבנו מתנה שאין לאב בהן אכילת פירות ואם מת הבן האב יורשו, ואפי' מכרה היא או נתנה לאחר ומתה הבעל מוציא מיד הלקוחות אא"כ פירש לה שתוכל למכור וליתן לאחר, ואפשר שעוד צריכה שיכתוב לה בפירוש שאם מכרה או נתנה לאחרים שלא יהא הוא מוציא מיד הלקוחות הא לאו הכי לא שלא אמר לה שתוכל למכור וליתן אלא שלא יוציא הוא מיד הלקוחות בחייה אבל לאחר מיתה הוא מוציא מיד הלקוחות עד שיפרש וכן דעת גאון ז"ל, ואין דעתי נוטה לכך</w:t>
      </w:r>
      <w:r>
        <w:rPr>
          <w:rFonts w:cs="Arial" w:hint="cs"/>
          <w:sz w:val="16"/>
          <w:szCs w:val="16"/>
          <w:rtl/>
        </w:rPr>
        <w:t>)</w:t>
      </w:r>
      <w:r>
        <w:rPr>
          <w:rFonts w:cs="Arial" w:hint="cs"/>
          <w:rtl/>
        </w:rPr>
        <w:t>.</w:t>
      </w:r>
      <w:r>
        <w:rPr>
          <w:rFonts w:hint="cs"/>
          <w:rtl/>
        </w:rPr>
        <w:t xml:space="preserve"> והביא הח"מ (סקי"ט) את דברי הה"מ בשם הרשב"א.</w:t>
      </w:r>
    </w:p>
  </w:footnote>
  <w:footnote w:id="1661">
    <w:p w14:paraId="2B3A7D60" w14:textId="77777777" w:rsidR="00DF1FC7" w:rsidRDefault="00DF1FC7" w:rsidP="002E5BAD">
      <w:pPr>
        <w:pStyle w:val="a5"/>
      </w:pPr>
      <w:r>
        <w:rPr>
          <w:rStyle w:val="a7"/>
        </w:rPr>
        <w:footnoteRef/>
      </w:r>
      <w:r>
        <w:rPr>
          <w:rtl/>
        </w:rPr>
        <w:t xml:space="preserve"> </w:t>
      </w:r>
      <w:r>
        <w:rPr>
          <w:rFonts w:cs="Arial"/>
          <w:rtl/>
        </w:rPr>
        <w:t>טעמו שכיון שאין לו פירות אין לו שום זכות בקרקע</w:t>
      </w:r>
      <w:r>
        <w:rPr>
          <w:rFonts w:cs="Arial" w:hint="cs"/>
          <w:rtl/>
        </w:rPr>
        <w:t>, ב"י.</w:t>
      </w:r>
    </w:p>
  </w:footnote>
  <w:footnote w:id="1662">
    <w:p w14:paraId="7DE88E2F" w14:textId="77777777" w:rsidR="00DF1FC7" w:rsidRDefault="00DF1FC7" w:rsidP="002E5BAD">
      <w:pPr>
        <w:pStyle w:val="a5"/>
      </w:pPr>
      <w:r>
        <w:rPr>
          <w:rStyle w:val="a7"/>
        </w:rPr>
        <w:footnoteRef/>
      </w:r>
      <w:r>
        <w:rPr>
          <w:rtl/>
        </w:rPr>
        <w:t xml:space="preserve"> </w:t>
      </w:r>
      <w:r>
        <w:rPr>
          <w:rFonts w:cs="Arial"/>
          <w:rtl/>
        </w:rPr>
        <w:t>טעמו הוא ממה שנתבאר בסימן ס"ט (קד.) ויתבאר עוד בסימן צ"ב (קלו.) שלענין ירושה לא מהני תנאה אלא אם כן כתב לה בעודה ארוסה</w:t>
      </w:r>
      <w:r>
        <w:rPr>
          <w:rFonts w:cs="Arial" w:hint="cs"/>
          <w:rtl/>
        </w:rPr>
        <w:t>, ב"י.</w:t>
      </w:r>
    </w:p>
  </w:footnote>
  <w:footnote w:id="1663">
    <w:p w14:paraId="5DA397C2" w14:textId="77777777" w:rsidR="00DF1FC7" w:rsidRDefault="00DF1FC7" w:rsidP="002E5BAD">
      <w:pPr>
        <w:pStyle w:val="a5"/>
      </w:pPr>
      <w:r>
        <w:rPr>
          <w:rStyle w:val="a7"/>
        </w:rPr>
        <w:footnoteRef/>
      </w:r>
      <w:r>
        <w:rPr>
          <w:rtl/>
        </w:rPr>
        <w:t xml:space="preserve"> </w:t>
      </w:r>
      <w:r w:rsidRPr="00CD0152">
        <w:rPr>
          <w:rFonts w:cs="Arial"/>
          <w:rtl/>
        </w:rPr>
        <w:t>כן הוא בירו</w:t>
      </w:r>
      <w:r>
        <w:rPr>
          <w:rFonts w:cs="Arial" w:hint="cs"/>
          <w:rtl/>
        </w:rPr>
        <w:t>שלמי,</w:t>
      </w:r>
      <w:r w:rsidRPr="00CD0152">
        <w:rPr>
          <w:rFonts w:cs="Arial"/>
          <w:rtl/>
        </w:rPr>
        <w:t xml:space="preserve"> אע</w:t>
      </w:r>
      <w:r>
        <w:rPr>
          <w:rFonts w:cs="Arial" w:hint="cs"/>
          <w:rtl/>
        </w:rPr>
        <w:t>"</w:t>
      </w:r>
      <w:r w:rsidRPr="00CD0152">
        <w:rPr>
          <w:rFonts w:cs="Arial"/>
          <w:rtl/>
        </w:rPr>
        <w:t xml:space="preserve">ג </w:t>
      </w:r>
      <w:r>
        <w:rPr>
          <w:rFonts w:cs="Arial" w:hint="cs"/>
          <w:rtl/>
        </w:rPr>
        <w:t>ד</w:t>
      </w:r>
      <w:r w:rsidRPr="00CD0152">
        <w:rPr>
          <w:rFonts w:cs="Arial"/>
          <w:rtl/>
        </w:rPr>
        <w:t>מציאה שלו לגמרי</w:t>
      </w:r>
      <w:r>
        <w:rPr>
          <w:rFonts w:cs="Arial" w:hint="cs"/>
          <w:rtl/>
        </w:rPr>
        <w:t>,</w:t>
      </w:r>
      <w:r w:rsidRPr="00CD0152">
        <w:rPr>
          <w:rFonts w:cs="Arial"/>
          <w:rtl/>
        </w:rPr>
        <w:t xml:space="preserve"> התם חיישינן שלא תהא אשה מברח</w:t>
      </w:r>
      <w:r>
        <w:rPr>
          <w:rFonts w:cs="Arial" w:hint="cs"/>
          <w:rtl/>
        </w:rPr>
        <w:t>ת</w:t>
      </w:r>
      <w:r w:rsidRPr="00CD0152">
        <w:rPr>
          <w:rFonts w:cs="Arial"/>
          <w:rtl/>
        </w:rPr>
        <w:t xml:space="preserve"> ותאמר מציאה מצאתי</w:t>
      </w:r>
      <w:r>
        <w:rPr>
          <w:rFonts w:cs="Arial" w:hint="cs"/>
          <w:rtl/>
        </w:rPr>
        <w:t>,</w:t>
      </w:r>
      <w:r w:rsidRPr="00CD0152">
        <w:rPr>
          <w:rFonts w:cs="Arial"/>
          <w:rtl/>
        </w:rPr>
        <w:t xml:space="preserve"> משא"כ מתנה קול יוצא במתנה</w:t>
      </w:r>
      <w:r>
        <w:rPr>
          <w:rFonts w:cs="Arial" w:hint="cs"/>
          <w:rtl/>
        </w:rPr>
        <w:t>.</w:t>
      </w:r>
      <w:r w:rsidRPr="00CD0152">
        <w:rPr>
          <w:rFonts w:cs="Arial"/>
          <w:rtl/>
        </w:rPr>
        <w:t xml:space="preserve"> ועיין הג"א ר"פ מציאת האשה היינו למ"ד שם בירושלמי האומר מציאתה לבעל מטעם הנ"ל</w:t>
      </w:r>
      <w:r>
        <w:rPr>
          <w:rFonts w:cs="Arial" w:hint="cs"/>
          <w:rtl/>
        </w:rPr>
        <w:t>,</w:t>
      </w:r>
      <w:r w:rsidRPr="00CD0152">
        <w:rPr>
          <w:rFonts w:cs="Arial"/>
          <w:rtl/>
        </w:rPr>
        <w:t xml:space="preserve"> ולת"ק שם הטעם משום קטטה היינו איבה צ"ל במתנה לא חיישינן לאיבה כיון דהנותן אין רצונו ליתן לו</w:t>
      </w:r>
      <w:r>
        <w:rPr>
          <w:rFonts w:cs="Arial" w:hint="cs"/>
          <w:rtl/>
        </w:rPr>
        <w:t>,</w:t>
      </w:r>
      <w:r w:rsidRPr="00CD0152">
        <w:rPr>
          <w:rFonts w:cs="Arial"/>
          <w:rtl/>
        </w:rPr>
        <w:t xml:space="preserve"> והפירו</w:t>
      </w:r>
      <w:r>
        <w:rPr>
          <w:rFonts w:cs="Arial" w:hint="cs"/>
          <w:rtl/>
        </w:rPr>
        <w:t>ת</w:t>
      </w:r>
      <w:r w:rsidRPr="00CD0152">
        <w:rPr>
          <w:rFonts w:cs="Arial"/>
          <w:rtl/>
        </w:rPr>
        <w:t xml:space="preserve"> של מתנה זו אין ב"ח שלו יכול לגבות משום רווח בית</w:t>
      </w:r>
      <w:r>
        <w:rPr>
          <w:rFonts w:cs="Arial" w:hint="cs"/>
          <w:rtl/>
        </w:rPr>
        <w:t>,</w:t>
      </w:r>
      <w:r w:rsidRPr="00CD0152">
        <w:rPr>
          <w:rFonts w:cs="Arial"/>
          <w:rtl/>
        </w:rPr>
        <w:t xml:space="preserve"> בעה"ת שער ו'</w:t>
      </w:r>
      <w:r>
        <w:rPr>
          <w:rFonts w:cs="Arial" w:hint="cs"/>
          <w:rtl/>
        </w:rPr>
        <w:t>, ב"ש (סקי"ב).</w:t>
      </w:r>
    </w:p>
  </w:footnote>
  <w:footnote w:id="1664">
    <w:p w14:paraId="6801E2E3" w14:textId="77777777" w:rsidR="00DF1FC7" w:rsidRDefault="00DF1FC7" w:rsidP="002E5BAD">
      <w:pPr>
        <w:pStyle w:val="a5"/>
      </w:pPr>
      <w:r>
        <w:rPr>
          <w:rStyle w:val="a7"/>
        </w:rPr>
        <w:footnoteRef/>
      </w:r>
      <w:r>
        <w:rPr>
          <w:rtl/>
        </w:rPr>
        <w:t xml:space="preserve"> </w:t>
      </w:r>
      <w:r w:rsidRPr="00CD0152">
        <w:rPr>
          <w:rFonts w:cs="Arial"/>
          <w:rtl/>
        </w:rPr>
        <w:t>היינו אחרים ואם לא גבתה הנזק בחייה אין הבעל יורש דהוי ראוי תוספות והרא"ש פי"נ דף קכ"ה ועיין שור שנגח דף מ"ב ואם חבל בה בעלה עיין סימן פ"ג</w:t>
      </w:r>
      <w:r>
        <w:rPr>
          <w:rFonts w:cs="Arial" w:hint="cs"/>
          <w:rtl/>
        </w:rPr>
        <w:t>, ב"ש (סקי"ג).</w:t>
      </w:r>
    </w:p>
  </w:footnote>
  <w:footnote w:id="1665">
    <w:p w14:paraId="2B6A1082" w14:textId="77777777" w:rsidR="00DF1FC7" w:rsidRDefault="00DF1FC7" w:rsidP="002E5BAD">
      <w:pPr>
        <w:pStyle w:val="a5"/>
      </w:pPr>
      <w:r>
        <w:rPr>
          <w:rStyle w:val="a7"/>
        </w:rPr>
        <w:footnoteRef/>
      </w:r>
      <w:r>
        <w:rPr>
          <w:rtl/>
        </w:rPr>
        <w:t xml:space="preserve"> </w:t>
      </w:r>
      <w:r w:rsidRPr="00DC7251">
        <w:rPr>
          <w:rFonts w:cs="Arial"/>
          <w:rtl/>
        </w:rPr>
        <w:t>וכתב בח"מ נראה בחלוקה הראשונה כשמכרה הכתובה בטובת הנאה רשות בידה ליתן הדמים למי שתרצה</w:t>
      </w:r>
      <w:r>
        <w:rPr>
          <w:rFonts w:cs="Arial" w:hint="cs"/>
          <w:rtl/>
        </w:rPr>
        <w:t>.</w:t>
      </w:r>
      <w:r w:rsidRPr="00DC7251">
        <w:rPr>
          <w:rFonts w:cs="Arial"/>
          <w:rtl/>
        </w:rPr>
        <w:t xml:space="preserve"> ולי נראה דמוכח כן מסוגי</w:t>
      </w:r>
      <w:r>
        <w:rPr>
          <w:rFonts w:cs="Arial" w:hint="cs"/>
          <w:rtl/>
        </w:rPr>
        <w:t>א</w:t>
      </w:r>
      <w:r w:rsidRPr="00DC7251">
        <w:rPr>
          <w:rFonts w:cs="Arial"/>
          <w:rtl/>
        </w:rPr>
        <w:t xml:space="preserve"> פ' החובל</w:t>
      </w:r>
      <w:r>
        <w:rPr>
          <w:rFonts w:cs="Arial" w:hint="cs"/>
          <w:rtl/>
        </w:rPr>
        <w:t>...</w:t>
      </w:r>
      <w:r w:rsidRPr="00DC7251">
        <w:rPr>
          <w:rFonts w:cs="Arial"/>
          <w:rtl/>
        </w:rPr>
        <w:t xml:space="preserve"> </w:t>
      </w:r>
      <w:r>
        <w:rPr>
          <w:rFonts w:cs="Arial" w:hint="cs"/>
          <w:rtl/>
        </w:rPr>
        <w:t xml:space="preserve">דכתבו </w:t>
      </w:r>
      <w:r w:rsidRPr="00DC7251">
        <w:rPr>
          <w:rFonts w:cs="Arial"/>
          <w:rtl/>
        </w:rPr>
        <w:t xml:space="preserve">תוס' </w:t>
      </w:r>
      <w:r>
        <w:rPr>
          <w:rFonts w:cs="Arial" w:hint="cs"/>
          <w:rtl/>
        </w:rPr>
        <w:t>(</w:t>
      </w:r>
      <w:r w:rsidRPr="00DC7251">
        <w:rPr>
          <w:rFonts w:cs="Arial"/>
          <w:rtl/>
        </w:rPr>
        <w:t>פ' החובל</w:t>
      </w:r>
      <w:r>
        <w:rPr>
          <w:rFonts w:cs="Arial" w:hint="cs"/>
          <w:rtl/>
        </w:rPr>
        <w:t>)</w:t>
      </w:r>
      <w:r w:rsidRPr="00DC7251">
        <w:rPr>
          <w:rFonts w:cs="Arial"/>
          <w:rtl/>
        </w:rPr>
        <w:t xml:space="preserve"> אם מכרה הכתוב</w:t>
      </w:r>
      <w:r>
        <w:rPr>
          <w:rFonts w:cs="Arial" w:hint="cs"/>
          <w:rtl/>
        </w:rPr>
        <w:t>ה</w:t>
      </w:r>
      <w:r w:rsidRPr="00DC7251">
        <w:rPr>
          <w:rFonts w:cs="Arial"/>
          <w:rtl/>
        </w:rPr>
        <w:t xml:space="preserve"> בטובת הנאה אין לו הפירות מן הטובת הנאה וא"צ ליקח קרקע בעד הפירות</w:t>
      </w:r>
      <w:r>
        <w:rPr>
          <w:rFonts w:cs="Arial" w:hint="cs"/>
          <w:rtl/>
        </w:rPr>
        <w:t>.</w:t>
      </w:r>
      <w:r w:rsidRPr="00DC7251">
        <w:rPr>
          <w:rFonts w:cs="Arial"/>
          <w:rtl/>
        </w:rPr>
        <w:t xml:space="preserve"> וכן מוכח שם</w:t>
      </w:r>
      <w:r>
        <w:rPr>
          <w:rFonts w:cs="Arial" w:hint="cs"/>
          <w:rtl/>
        </w:rPr>
        <w:t>,</w:t>
      </w:r>
      <w:r w:rsidRPr="00DC7251">
        <w:rPr>
          <w:rFonts w:cs="Arial"/>
          <w:rtl/>
        </w:rPr>
        <w:t xml:space="preserve"> דאל"כ מה פריך ותזבון הכתוב</w:t>
      </w:r>
      <w:r>
        <w:rPr>
          <w:rFonts w:cs="Arial" w:hint="cs"/>
          <w:rtl/>
        </w:rPr>
        <w:t>ה</w:t>
      </w:r>
      <w:r w:rsidRPr="00DC7251">
        <w:rPr>
          <w:rFonts w:cs="Arial"/>
          <w:rtl/>
        </w:rPr>
        <w:t xml:space="preserve"> בטובת הנא</w:t>
      </w:r>
      <w:r>
        <w:rPr>
          <w:rFonts w:cs="Arial" w:hint="cs"/>
          <w:rtl/>
        </w:rPr>
        <w:t>ה</w:t>
      </w:r>
      <w:r w:rsidRPr="00DC7251">
        <w:rPr>
          <w:rFonts w:cs="Arial"/>
          <w:rtl/>
        </w:rPr>
        <w:t xml:space="preserve"> ותתן לנחבל</w:t>
      </w:r>
      <w:r>
        <w:rPr>
          <w:rFonts w:cs="Arial" w:hint="cs"/>
          <w:rtl/>
        </w:rPr>
        <w:t>,</w:t>
      </w:r>
      <w:r w:rsidRPr="00DC7251">
        <w:rPr>
          <w:rFonts w:cs="Arial"/>
          <w:rtl/>
        </w:rPr>
        <w:t xml:space="preserve"> אם יש לו חלק בפירות איך תתן לנחבל</w:t>
      </w:r>
      <w:r>
        <w:rPr>
          <w:rFonts w:cs="Arial" w:hint="cs"/>
          <w:rtl/>
        </w:rPr>
        <w:t>?</w:t>
      </w:r>
      <w:r w:rsidRPr="00DC7251">
        <w:rPr>
          <w:rFonts w:cs="Arial"/>
          <w:rtl/>
        </w:rPr>
        <w:t xml:space="preserve"> אלא ודאי דאין לו בו שום זכות</w:t>
      </w:r>
      <w:r>
        <w:rPr>
          <w:rFonts w:cs="Arial" w:hint="cs"/>
          <w:rtl/>
        </w:rPr>
        <w:t>.</w:t>
      </w:r>
      <w:r w:rsidRPr="00DC7251">
        <w:rPr>
          <w:rFonts w:cs="Arial"/>
          <w:rtl/>
        </w:rPr>
        <w:t xml:space="preserve"> ומזה מוכח נמי דיכולה ליתן אותו מעות לאחר גם דאינו יורש אותו מעות</w:t>
      </w:r>
      <w:r>
        <w:rPr>
          <w:rFonts w:cs="Arial" w:hint="cs"/>
          <w:rtl/>
        </w:rPr>
        <w:t>,</w:t>
      </w:r>
      <w:r w:rsidRPr="00DC7251">
        <w:rPr>
          <w:rFonts w:cs="Arial"/>
          <w:rtl/>
        </w:rPr>
        <w:t xml:space="preserve"> דאל"כ איך ס"ד שתמכור ותתן לנחבל ועיין ס"ס ורס"צ, ובסי' קי"ח מבואר ב"ח שהלוה לה אפילו אחר הנישואין גובה ממתנה זו</w:t>
      </w:r>
      <w:r>
        <w:rPr>
          <w:rFonts w:cs="Arial" w:hint="cs"/>
          <w:rtl/>
        </w:rPr>
        <w:t>, ב"ש (סקט"ו-טז).</w:t>
      </w:r>
    </w:p>
  </w:footnote>
  <w:footnote w:id="1666">
    <w:p w14:paraId="1F08103D" w14:textId="77777777" w:rsidR="00DF1FC7" w:rsidRDefault="00DF1FC7" w:rsidP="002E5BAD">
      <w:pPr>
        <w:pStyle w:val="a5"/>
        <w:rPr>
          <w:rtl/>
        </w:rPr>
      </w:pPr>
      <w:r>
        <w:rPr>
          <w:rStyle w:val="a7"/>
        </w:rPr>
        <w:footnoteRef/>
      </w:r>
      <w:r>
        <w:rPr>
          <w:rtl/>
        </w:rPr>
        <w:t xml:space="preserve"> </w:t>
      </w:r>
      <w:r w:rsidRPr="00DC7251">
        <w:rPr>
          <w:rFonts w:cs="Arial"/>
          <w:rtl/>
        </w:rPr>
        <w:t>ואם מכרה המכר בטל</w:t>
      </w:r>
      <w:r>
        <w:rPr>
          <w:rFonts w:cs="Arial" w:hint="cs"/>
          <w:rtl/>
        </w:rPr>
        <w:t>,</w:t>
      </w:r>
      <w:r w:rsidRPr="00DC7251">
        <w:rPr>
          <w:rFonts w:cs="Arial"/>
          <w:rtl/>
        </w:rPr>
        <w:t xml:space="preserve"> כ"כ תו</w:t>
      </w:r>
      <w:r>
        <w:rPr>
          <w:rFonts w:cs="Arial" w:hint="cs"/>
          <w:rtl/>
        </w:rPr>
        <w:t>ס</w:t>
      </w:r>
      <w:r w:rsidRPr="00DC7251">
        <w:rPr>
          <w:rFonts w:cs="Arial"/>
          <w:rtl/>
        </w:rPr>
        <w:t>' והרא"ש</w:t>
      </w:r>
      <w:r>
        <w:rPr>
          <w:rFonts w:cs="Arial" w:hint="cs"/>
          <w:rtl/>
        </w:rPr>
        <w:t>,</w:t>
      </w:r>
      <w:r w:rsidRPr="00DC7251">
        <w:rPr>
          <w:rFonts w:cs="Arial"/>
          <w:rtl/>
        </w:rPr>
        <w:t xml:space="preserve"> משמע המכר בטל מיד ול"ד לדמי חבלה שחבל בה בעלה דאין לו שום זכיה דשם קנס חכמי</w:t>
      </w:r>
      <w:r>
        <w:rPr>
          <w:rFonts w:cs="Arial" w:hint="cs"/>
          <w:rtl/>
        </w:rPr>
        <w:t>ם</w:t>
      </w:r>
      <w:r w:rsidRPr="00DC7251">
        <w:rPr>
          <w:rFonts w:cs="Arial"/>
          <w:rtl/>
        </w:rPr>
        <w:t xml:space="preserve"> הוא דקנסו אותו דאין לו בדמים שום זכי</w:t>
      </w:r>
      <w:r>
        <w:rPr>
          <w:rFonts w:cs="Arial" w:hint="cs"/>
          <w:rtl/>
        </w:rPr>
        <w:t>ה.</w:t>
      </w:r>
      <w:r w:rsidRPr="00DC7251">
        <w:rPr>
          <w:rFonts w:cs="Arial"/>
          <w:rtl/>
        </w:rPr>
        <w:t xml:space="preserve"> והרשב"א כ' המכר קיים כל ימי חייה ואחר מותה מוצי</w:t>
      </w:r>
      <w:r>
        <w:rPr>
          <w:rFonts w:cs="Arial" w:hint="cs"/>
          <w:rtl/>
        </w:rPr>
        <w:t>א</w:t>
      </w:r>
      <w:r w:rsidRPr="00DC7251">
        <w:rPr>
          <w:rFonts w:cs="Arial"/>
          <w:rtl/>
        </w:rPr>
        <w:t xml:space="preserve"> מיד הלקוחו</w:t>
      </w:r>
      <w:r>
        <w:rPr>
          <w:rFonts w:cs="Arial" w:hint="cs"/>
          <w:rtl/>
        </w:rPr>
        <w:t>ת</w:t>
      </w:r>
      <w:r w:rsidRPr="00DC7251">
        <w:rPr>
          <w:rFonts w:cs="Arial"/>
          <w:rtl/>
        </w:rPr>
        <w:t xml:space="preserve"> ונ"מ מוצי</w:t>
      </w:r>
      <w:r>
        <w:rPr>
          <w:rFonts w:cs="Arial" w:hint="cs"/>
          <w:rtl/>
        </w:rPr>
        <w:t>א</w:t>
      </w:r>
      <w:r w:rsidRPr="00DC7251">
        <w:rPr>
          <w:rFonts w:cs="Arial"/>
          <w:rtl/>
        </w:rPr>
        <w:t xml:space="preserve"> מיד</w:t>
      </w:r>
      <w:r>
        <w:rPr>
          <w:rFonts w:cs="Arial" w:hint="cs"/>
          <w:rtl/>
        </w:rPr>
        <w:t>.</w:t>
      </w:r>
      <w:r w:rsidRPr="00DC7251">
        <w:rPr>
          <w:rFonts w:cs="Arial"/>
          <w:rtl/>
        </w:rPr>
        <w:t xml:space="preserve"> והרמ"ה שהבי</w:t>
      </w:r>
      <w:r>
        <w:rPr>
          <w:rFonts w:cs="Arial" w:hint="cs"/>
          <w:rtl/>
        </w:rPr>
        <w:t>א</w:t>
      </w:r>
      <w:r w:rsidRPr="00DC7251">
        <w:rPr>
          <w:rFonts w:cs="Arial"/>
          <w:rtl/>
        </w:rPr>
        <w:t xml:space="preserve"> הטור משמע דס"ל אפילו אחר מותה אינו מוצי</w:t>
      </w:r>
      <w:r>
        <w:rPr>
          <w:rFonts w:cs="Arial" w:hint="cs"/>
          <w:rtl/>
        </w:rPr>
        <w:t>א</w:t>
      </w:r>
      <w:r w:rsidRPr="00DC7251">
        <w:rPr>
          <w:rFonts w:cs="Arial"/>
          <w:rtl/>
        </w:rPr>
        <w:t xml:space="preserve"> מן הלקוחו</w:t>
      </w:r>
      <w:r>
        <w:rPr>
          <w:rFonts w:cs="Arial" w:hint="cs"/>
          <w:rtl/>
        </w:rPr>
        <w:t>ת</w:t>
      </w:r>
      <w:r w:rsidRPr="00DC7251">
        <w:rPr>
          <w:rFonts w:cs="Arial"/>
          <w:rtl/>
        </w:rPr>
        <w:t xml:space="preserve"> גם ס"ל דאין לו פירי פירות</w:t>
      </w:r>
      <w:r>
        <w:rPr>
          <w:rFonts w:cs="Arial" w:hint="cs"/>
          <w:rtl/>
        </w:rPr>
        <w:t>,</w:t>
      </w:r>
      <w:r w:rsidRPr="00DC7251">
        <w:rPr>
          <w:rFonts w:cs="Arial"/>
          <w:rtl/>
        </w:rPr>
        <w:t xml:space="preserve"> וכ"כ ב"ח</w:t>
      </w:r>
      <w:r>
        <w:rPr>
          <w:rFonts w:cs="Arial" w:hint="cs"/>
          <w:rtl/>
        </w:rPr>
        <w:t>, ב"ש (סקט"ו).</w:t>
      </w:r>
    </w:p>
  </w:footnote>
  <w:footnote w:id="1667">
    <w:p w14:paraId="1363B2CE" w14:textId="77777777" w:rsidR="00DF1FC7" w:rsidRDefault="00DF1FC7" w:rsidP="002E5BAD">
      <w:pPr>
        <w:pStyle w:val="a5"/>
      </w:pPr>
      <w:r>
        <w:rPr>
          <w:rStyle w:val="a7"/>
        </w:rPr>
        <w:footnoteRef/>
      </w:r>
      <w:r>
        <w:rPr>
          <w:rtl/>
        </w:rPr>
        <w:t xml:space="preserve"> </w:t>
      </w:r>
      <w:r w:rsidRPr="00C10D4B">
        <w:rPr>
          <w:rFonts w:cs="Arial"/>
          <w:rtl/>
        </w:rPr>
        <w:t>בתמיה</w:t>
      </w:r>
      <w:r>
        <w:rPr>
          <w:rFonts w:cs="Arial" w:hint="cs"/>
          <w:rtl/>
        </w:rPr>
        <w:t>,</w:t>
      </w:r>
      <w:r w:rsidRPr="00C10D4B">
        <w:rPr>
          <w:rFonts w:cs="Arial"/>
          <w:rtl/>
        </w:rPr>
        <w:t xml:space="preserve"> שני דברים של רבא סותרין זה את זה</w:t>
      </w:r>
      <w:r>
        <w:rPr>
          <w:rFonts w:cs="Arial" w:hint="cs"/>
          <w:rtl/>
        </w:rPr>
        <w:t>,</w:t>
      </w:r>
      <w:r w:rsidRPr="00C10D4B">
        <w:rPr>
          <w:rFonts w:cs="Arial"/>
          <w:rtl/>
        </w:rPr>
        <w:t xml:space="preserve"> לא קנתה </w:t>
      </w:r>
      <w:r>
        <w:rPr>
          <w:rFonts w:cs="Arial" w:hint="cs"/>
          <w:rtl/>
        </w:rPr>
        <w:t xml:space="preserve">- </w:t>
      </w:r>
      <w:r w:rsidRPr="00C10D4B">
        <w:rPr>
          <w:rFonts w:cs="Arial"/>
          <w:rtl/>
        </w:rPr>
        <w:t>משמע לא גוף ולא פירות</w:t>
      </w:r>
      <w:r>
        <w:rPr>
          <w:rFonts w:cs="Arial" w:hint="cs"/>
          <w:rtl/>
        </w:rPr>
        <w:t>,</w:t>
      </w:r>
      <w:r w:rsidRPr="00C10D4B">
        <w:rPr>
          <w:rFonts w:cs="Arial"/>
          <w:rtl/>
        </w:rPr>
        <w:t xml:space="preserve"> דלגלויי זוזי הוא דבעי</w:t>
      </w:r>
      <w:r>
        <w:rPr>
          <w:rFonts w:cs="Arial" w:hint="cs"/>
          <w:rtl/>
        </w:rPr>
        <w:t>.</w:t>
      </w:r>
      <w:r w:rsidRPr="00C10D4B">
        <w:rPr>
          <w:rFonts w:cs="Arial"/>
          <w:rtl/>
        </w:rPr>
        <w:t xml:space="preserve"> והבעל אוכל פירות </w:t>
      </w:r>
      <w:r>
        <w:rPr>
          <w:rFonts w:cs="Arial" w:hint="cs"/>
          <w:rtl/>
        </w:rPr>
        <w:t xml:space="preserve">- </w:t>
      </w:r>
      <w:r w:rsidRPr="00C10D4B">
        <w:rPr>
          <w:rFonts w:cs="Arial"/>
          <w:rtl/>
        </w:rPr>
        <w:t>משמע שקנתה גוף הקרקע</w:t>
      </w:r>
      <w:r>
        <w:rPr>
          <w:rFonts w:cs="Arial" w:hint="cs"/>
          <w:rtl/>
        </w:rPr>
        <w:t>,</w:t>
      </w:r>
      <w:r w:rsidRPr="00C10D4B">
        <w:rPr>
          <w:rFonts w:cs="Arial"/>
          <w:rtl/>
        </w:rPr>
        <w:t xml:space="preserve"> דלאו לגלויי זוזי הוא דבעי</w:t>
      </w:r>
      <w:r>
        <w:rPr>
          <w:rFonts w:cs="Arial" w:hint="cs"/>
          <w:rtl/>
        </w:rPr>
        <w:t xml:space="preserve">, רשב"ם. </w:t>
      </w:r>
    </w:p>
  </w:footnote>
  <w:footnote w:id="1668">
    <w:p w14:paraId="72CF369D" w14:textId="77777777" w:rsidR="00DF1FC7" w:rsidRDefault="00DF1FC7" w:rsidP="002E5BAD">
      <w:pPr>
        <w:pStyle w:val="a5"/>
      </w:pPr>
      <w:r>
        <w:rPr>
          <w:rStyle w:val="a7"/>
        </w:rPr>
        <w:footnoteRef/>
      </w:r>
      <w:r>
        <w:rPr>
          <w:rtl/>
        </w:rPr>
        <w:t xml:space="preserve"> </w:t>
      </w:r>
      <w:r w:rsidRPr="00C10D4B">
        <w:rPr>
          <w:rFonts w:cs="Arial"/>
          <w:rtl/>
        </w:rPr>
        <w:t>שלא היו ידועין ומפורסמים לבעל לא קנתה דלגלויי זוזי הוא דבעי</w:t>
      </w:r>
      <w:r>
        <w:rPr>
          <w:rFonts w:cs="Arial" w:hint="cs"/>
          <w:rtl/>
        </w:rPr>
        <w:t>, רשב"ם.</w:t>
      </w:r>
    </w:p>
  </w:footnote>
  <w:footnote w:id="1669">
    <w:p w14:paraId="126F2491" w14:textId="77777777" w:rsidR="00DF1FC7" w:rsidRDefault="00DF1FC7" w:rsidP="002E5BAD">
      <w:pPr>
        <w:pStyle w:val="a5"/>
        <w:rPr>
          <w:rtl/>
        </w:rPr>
      </w:pPr>
      <w:r>
        <w:rPr>
          <w:rStyle w:val="a7"/>
        </w:rPr>
        <w:footnoteRef/>
      </w:r>
      <w:r>
        <w:rPr>
          <w:rtl/>
        </w:rPr>
        <w:t xml:space="preserve"> </w:t>
      </w:r>
      <w:r w:rsidRPr="00C10D4B">
        <w:rPr>
          <w:rFonts w:cs="Arial"/>
          <w:rtl/>
        </w:rPr>
        <w:t>קנתה והבעל אוכל פירות דליכא גלויי זוזי שהרי גלויין ועומדין הן</w:t>
      </w:r>
      <w:r>
        <w:rPr>
          <w:rFonts w:hint="cs"/>
          <w:rtl/>
        </w:rPr>
        <w:t>, רשב"ם.</w:t>
      </w:r>
    </w:p>
  </w:footnote>
  <w:footnote w:id="1670">
    <w:p w14:paraId="4CDA8825" w14:textId="77777777" w:rsidR="00DF1FC7" w:rsidRDefault="00DF1FC7" w:rsidP="002E5BAD">
      <w:pPr>
        <w:pStyle w:val="a5"/>
      </w:pPr>
      <w:r>
        <w:rPr>
          <w:rStyle w:val="a7"/>
        </w:rPr>
        <w:footnoteRef/>
      </w:r>
      <w:r>
        <w:rPr>
          <w:rtl/>
        </w:rPr>
        <w:t xml:space="preserve"> </w:t>
      </w:r>
      <w:r>
        <w:rPr>
          <w:rFonts w:cs="Arial" w:hint="cs"/>
          <w:rtl/>
        </w:rPr>
        <w:t xml:space="preserve">משמע מדברי הטור שאין לה במעות כלום. וכ"כ הה"מ (פכ"ב הכ"ט) בשם הרשב"א וקצת מפרשים, וז"ל- </w:t>
      </w:r>
      <w:r w:rsidRPr="00CD2EA5">
        <w:rPr>
          <w:rFonts w:cs="Arial"/>
          <w:rtl/>
        </w:rPr>
        <w:t>במוכר במעות טמונים</w:t>
      </w:r>
      <w:r w:rsidRPr="00CD2EA5">
        <w:rPr>
          <w:rFonts w:cs="Arial" w:hint="cs"/>
          <w:rtl/>
        </w:rPr>
        <w:t>,</w:t>
      </w:r>
      <w:r w:rsidRPr="00CD2EA5">
        <w:rPr>
          <w:rFonts w:cs="Arial"/>
          <w:rtl/>
        </w:rPr>
        <w:t xml:space="preserve"> אם טען בריא שמשלו היו </w:t>
      </w:r>
      <w:r w:rsidRPr="00CD2EA5">
        <w:rPr>
          <w:rFonts w:cs="Arial" w:hint="cs"/>
          <w:rtl/>
        </w:rPr>
        <w:t xml:space="preserve">- </w:t>
      </w:r>
      <w:r w:rsidRPr="00CD2EA5">
        <w:rPr>
          <w:rFonts w:cs="Arial"/>
          <w:rtl/>
        </w:rPr>
        <w:t>אין לה בהם כלום</w:t>
      </w:r>
      <w:r>
        <w:rPr>
          <w:rFonts w:hint="cs"/>
          <w:rtl/>
        </w:rPr>
        <w:t>.</w:t>
      </w:r>
      <w:r w:rsidRPr="003E6DC3">
        <w:rPr>
          <w:rFonts w:hint="cs"/>
          <w:color w:val="00B0F0"/>
          <w:rtl/>
        </w:rPr>
        <w:t xml:space="preserve"> </w:t>
      </w:r>
      <w:r w:rsidRPr="009853E1">
        <w:rPr>
          <w:rFonts w:hint="cs"/>
          <w:color w:val="00B0F0"/>
          <w:rtl/>
        </w:rPr>
        <w:t>(וכ"פ הרמ"א)</w:t>
      </w:r>
      <w:r>
        <w:rPr>
          <w:rFonts w:cs="Arial" w:hint="cs"/>
          <w:rtl/>
        </w:rPr>
        <w:t xml:space="preserve"> </w:t>
      </w:r>
    </w:p>
  </w:footnote>
  <w:footnote w:id="1671">
    <w:p w14:paraId="76A5D97E" w14:textId="77777777" w:rsidR="00DF1FC7" w:rsidRDefault="00DF1FC7" w:rsidP="002E5BAD">
      <w:pPr>
        <w:pStyle w:val="a5"/>
        <w:rPr>
          <w:rtl/>
        </w:rPr>
      </w:pPr>
      <w:r>
        <w:rPr>
          <w:rStyle w:val="a7"/>
        </w:rPr>
        <w:footnoteRef/>
      </w:r>
      <w:r>
        <w:rPr>
          <w:rtl/>
        </w:rPr>
        <w:t xml:space="preserve"> </w:t>
      </w:r>
      <w:r>
        <w:rPr>
          <w:rFonts w:cs="Arial"/>
          <w:rtl/>
        </w:rPr>
        <w:t>וכתב הרב המגיד</w:t>
      </w:r>
      <w:r>
        <w:rPr>
          <w:rFonts w:cs="Arial" w:hint="cs"/>
          <w:rtl/>
        </w:rPr>
        <w:t>-</w:t>
      </w:r>
      <w:r>
        <w:rPr>
          <w:rFonts w:cs="Arial"/>
          <w:rtl/>
        </w:rPr>
        <w:t xml:space="preserve"> מפרש רבינו </w:t>
      </w:r>
      <w:r>
        <w:rPr>
          <w:rFonts w:cs="Arial" w:hint="cs"/>
          <w:rtl/>
        </w:rPr>
        <w:t>'</w:t>
      </w:r>
      <w:r>
        <w:rPr>
          <w:rFonts w:cs="Arial"/>
          <w:rtl/>
        </w:rPr>
        <w:t>לא קנתה</w:t>
      </w:r>
      <w:r>
        <w:rPr>
          <w:rFonts w:cs="Arial" w:hint="cs"/>
          <w:rtl/>
        </w:rPr>
        <w:t>'</w:t>
      </w:r>
      <w:r>
        <w:rPr>
          <w:rFonts w:cs="Arial"/>
          <w:rtl/>
        </w:rPr>
        <w:t xml:space="preserve"> שאין המכר קיים ומן המעות ילקח בהם קרקע אחר והוא יאכל פירותיהן</w:t>
      </w:r>
      <w:r>
        <w:rPr>
          <w:rFonts w:cs="Arial" w:hint="cs"/>
          <w:rtl/>
        </w:rPr>
        <w:t>,</w:t>
      </w:r>
      <w:r>
        <w:rPr>
          <w:rFonts w:cs="Arial"/>
          <w:rtl/>
        </w:rPr>
        <w:t xml:space="preserve"> לפי שהאשה נאמנת לומר על מעות שהן בידה </w:t>
      </w:r>
      <w:r>
        <w:rPr>
          <w:rFonts w:cs="Arial" w:hint="cs"/>
          <w:rtl/>
        </w:rPr>
        <w:t>'</w:t>
      </w:r>
      <w:r>
        <w:rPr>
          <w:rFonts w:cs="Arial"/>
          <w:rtl/>
        </w:rPr>
        <w:t>נתנו לי במתנה</w:t>
      </w:r>
      <w:r>
        <w:rPr>
          <w:rFonts w:cs="Arial" w:hint="cs"/>
          <w:rtl/>
        </w:rPr>
        <w:t>',</w:t>
      </w:r>
      <w:r>
        <w:rPr>
          <w:rFonts w:cs="Arial"/>
          <w:rtl/>
        </w:rPr>
        <w:t xml:space="preserve"> וכיון שכן אף על פי שהם עתה ביד הבעל כיון שהיא לא נתנתם לו אלא על דעת המכר לא הורע כחה בכך</w:t>
      </w:r>
      <w:r>
        <w:rPr>
          <w:rFonts w:cs="Arial" w:hint="cs"/>
          <w:rtl/>
        </w:rPr>
        <w:t>,</w:t>
      </w:r>
      <w:r>
        <w:rPr>
          <w:rFonts w:cs="Arial"/>
          <w:rtl/>
        </w:rPr>
        <w:t xml:space="preserve"> שהרי כשהוציאתן מרשותה היתה סבורה שיהיה לה שדה תחתיהם</w:t>
      </w:r>
      <w:r>
        <w:rPr>
          <w:rFonts w:cs="Arial" w:hint="cs"/>
          <w:rtl/>
        </w:rPr>
        <w:t>.</w:t>
      </w:r>
      <w:r>
        <w:rPr>
          <w:rFonts w:cs="Arial"/>
          <w:rtl/>
        </w:rPr>
        <w:t xml:space="preserve"> והוצרכתי לכתוב בזה מפני שרבינו כתב בפ"ב מהלכות מלוה ולוה (ה"ח) הבעל שלוה מאשתו ואחר כך גרשה אין לה עליו כלום שכל המעות שביד האשה בחזקת בעל אלא אם כן הביאה ראיה שהם בנדונייתה ע"כ. והכרח הוא שהוא ז"ל מחלק בין הקונה ממנו שדה ובין המלוה אליו</w:t>
      </w:r>
      <w:r>
        <w:rPr>
          <w:rFonts w:cs="Arial" w:hint="cs"/>
          <w:rtl/>
        </w:rPr>
        <w:t>.</w:t>
      </w:r>
      <w:r>
        <w:rPr>
          <w:rFonts w:cs="Arial"/>
          <w:rtl/>
        </w:rPr>
        <w:t xml:space="preserve"> חדא</w:t>
      </w:r>
      <w:r>
        <w:rPr>
          <w:rFonts w:cs="Arial" w:hint="cs"/>
          <w:rtl/>
        </w:rPr>
        <w:t>,</w:t>
      </w:r>
      <w:r>
        <w:rPr>
          <w:rFonts w:cs="Arial"/>
          <w:rtl/>
        </w:rPr>
        <w:t xml:space="preserve"> שכאן חילק בין מעות טמונים לשאינם טמונים</w:t>
      </w:r>
      <w:r>
        <w:rPr>
          <w:rFonts w:cs="Arial" w:hint="cs"/>
          <w:rtl/>
        </w:rPr>
        <w:t>,</w:t>
      </w:r>
      <w:r>
        <w:rPr>
          <w:rFonts w:cs="Arial"/>
          <w:rtl/>
        </w:rPr>
        <w:t xml:space="preserve"> ושם לא חילק</w:t>
      </w:r>
      <w:r>
        <w:rPr>
          <w:rFonts w:cs="Arial" w:hint="cs"/>
          <w:rtl/>
        </w:rPr>
        <w:t>.</w:t>
      </w:r>
      <w:r>
        <w:rPr>
          <w:rFonts w:cs="Arial"/>
          <w:rtl/>
        </w:rPr>
        <w:t xml:space="preserve"> ועוד</w:t>
      </w:r>
      <w:r>
        <w:rPr>
          <w:rFonts w:cs="Arial" w:hint="cs"/>
          <w:rtl/>
        </w:rPr>
        <w:t>,</w:t>
      </w:r>
      <w:r>
        <w:rPr>
          <w:rFonts w:cs="Arial"/>
          <w:rtl/>
        </w:rPr>
        <w:t xml:space="preserve"> שכאן כתב אפילו טמונים ילקח בהם קרקע</w:t>
      </w:r>
      <w:r>
        <w:rPr>
          <w:rFonts w:cs="Arial" w:hint="cs"/>
          <w:rtl/>
        </w:rPr>
        <w:t>,</w:t>
      </w:r>
      <w:r>
        <w:rPr>
          <w:rFonts w:cs="Arial"/>
          <w:rtl/>
        </w:rPr>
        <w:t xml:space="preserve"> ושם כתב אין לה עליו כלום</w:t>
      </w:r>
      <w:r>
        <w:rPr>
          <w:rFonts w:cs="Arial" w:hint="cs"/>
          <w:rtl/>
        </w:rPr>
        <w:t>.</w:t>
      </w:r>
      <w:r>
        <w:rPr>
          <w:rFonts w:cs="Arial"/>
          <w:rtl/>
        </w:rPr>
        <w:t xml:space="preserve"> והטעם שכל שהלותן לו יצאו מחזקתה והרי הן ביד הבעל</w:t>
      </w:r>
      <w:r>
        <w:rPr>
          <w:rFonts w:cs="Arial" w:hint="cs"/>
          <w:rtl/>
        </w:rPr>
        <w:t>,</w:t>
      </w:r>
      <w:r>
        <w:rPr>
          <w:rFonts w:cs="Arial"/>
          <w:rtl/>
        </w:rPr>
        <w:t xml:space="preserve"> וחוששין שמא משלו הן</w:t>
      </w:r>
      <w:r>
        <w:rPr>
          <w:rFonts w:cs="Arial" w:hint="cs"/>
          <w:rtl/>
        </w:rPr>
        <w:t>,</w:t>
      </w:r>
      <w:r>
        <w:rPr>
          <w:rFonts w:cs="Arial"/>
          <w:rtl/>
        </w:rPr>
        <w:t xml:space="preserve"> שאם לא כן לא היה לה להלוותן לו אלא ליקח מהם קרקע</w:t>
      </w:r>
      <w:r>
        <w:rPr>
          <w:rFonts w:cs="Arial" w:hint="cs"/>
          <w:rtl/>
        </w:rPr>
        <w:t>.</w:t>
      </w:r>
      <w:r>
        <w:rPr>
          <w:rFonts w:cs="Arial"/>
          <w:rtl/>
        </w:rPr>
        <w:t xml:space="preserve"> אבל בקונה ממנו שדה היתה סבורה שהמכר קיים</w:t>
      </w:r>
      <w:r>
        <w:rPr>
          <w:rFonts w:cs="Arial" w:hint="cs"/>
          <w:rtl/>
        </w:rPr>
        <w:t>,</w:t>
      </w:r>
      <w:r>
        <w:rPr>
          <w:rFonts w:cs="Arial"/>
          <w:rtl/>
        </w:rPr>
        <w:t xml:space="preserve"> ולפיכך לא אבדה זכותה</w:t>
      </w:r>
      <w:r>
        <w:rPr>
          <w:rFonts w:cs="Arial" w:hint="cs"/>
          <w:rtl/>
        </w:rPr>
        <w:t>.</w:t>
      </w:r>
      <w:r>
        <w:rPr>
          <w:rFonts w:cs="Arial"/>
          <w:rtl/>
        </w:rPr>
        <w:t xml:space="preserve"> כך נראה לדעת רבינו. </w:t>
      </w:r>
      <w:r w:rsidRPr="0071491D">
        <w:rPr>
          <w:rFonts w:cs="Arial"/>
          <w:rtl/>
        </w:rPr>
        <w:t>אבל מדברי הרשב"א ז"ל וקצת מפרשים</w:t>
      </w:r>
      <w:r>
        <w:rPr>
          <w:rFonts w:cs="Arial"/>
          <w:rtl/>
        </w:rPr>
        <w:t xml:space="preserve"> נראה שהם משוים אותם</w:t>
      </w:r>
      <w:r>
        <w:rPr>
          <w:rFonts w:cs="Arial" w:hint="cs"/>
          <w:rtl/>
        </w:rPr>
        <w:t>,</w:t>
      </w:r>
      <w:r>
        <w:rPr>
          <w:rFonts w:cs="Arial"/>
          <w:rtl/>
        </w:rPr>
        <w:t xml:space="preserve"> וכשאמרו בלוה שאין לה עליו כלום</w:t>
      </w:r>
      <w:r>
        <w:rPr>
          <w:rFonts w:cs="Arial" w:hint="cs"/>
          <w:rtl/>
        </w:rPr>
        <w:t>,</w:t>
      </w:r>
      <w:r>
        <w:rPr>
          <w:rFonts w:cs="Arial"/>
          <w:rtl/>
        </w:rPr>
        <w:t xml:space="preserve"> דוקא במעות טמונים</w:t>
      </w:r>
      <w:r>
        <w:rPr>
          <w:rFonts w:cs="Arial" w:hint="cs"/>
          <w:rtl/>
        </w:rPr>
        <w:t>.</w:t>
      </w:r>
      <w:r>
        <w:rPr>
          <w:rFonts w:cs="Arial"/>
          <w:rtl/>
        </w:rPr>
        <w:t xml:space="preserve"> וכשאמרו אין לה עליו כלום</w:t>
      </w:r>
      <w:r>
        <w:rPr>
          <w:rFonts w:cs="Arial" w:hint="cs"/>
          <w:rtl/>
        </w:rPr>
        <w:t>,</w:t>
      </w:r>
      <w:r>
        <w:rPr>
          <w:rFonts w:cs="Arial"/>
          <w:rtl/>
        </w:rPr>
        <w:t xml:space="preserve"> דוקא בטוען בריא שמשלו הן והיא גנבתן</w:t>
      </w:r>
      <w:r>
        <w:rPr>
          <w:rFonts w:cs="Arial" w:hint="cs"/>
          <w:rtl/>
        </w:rPr>
        <w:t>,</w:t>
      </w:r>
      <w:r>
        <w:rPr>
          <w:rFonts w:cs="Arial"/>
          <w:rtl/>
        </w:rPr>
        <w:t xml:space="preserve"> וכיון שהם ברשותו הוא נאמן</w:t>
      </w:r>
      <w:r>
        <w:rPr>
          <w:rFonts w:cs="Arial" w:hint="cs"/>
          <w:rtl/>
        </w:rPr>
        <w:t>.</w:t>
      </w:r>
      <w:r>
        <w:rPr>
          <w:rFonts w:cs="Arial"/>
          <w:rtl/>
        </w:rPr>
        <w:t xml:space="preserve"> אבל אם לא טען בבריא </w:t>
      </w:r>
      <w:r>
        <w:rPr>
          <w:rFonts w:cs="Arial" w:hint="cs"/>
          <w:rtl/>
        </w:rPr>
        <w:t xml:space="preserve">- </w:t>
      </w:r>
      <w:r>
        <w:rPr>
          <w:rFonts w:cs="Arial"/>
          <w:rtl/>
        </w:rPr>
        <w:t>אין לו בהם אלא אכילת פירות בלבד</w:t>
      </w:r>
      <w:r>
        <w:rPr>
          <w:rFonts w:cs="Arial" w:hint="cs"/>
          <w:rtl/>
        </w:rPr>
        <w:t>,</w:t>
      </w:r>
      <w:r>
        <w:rPr>
          <w:rFonts w:cs="Arial"/>
          <w:rtl/>
        </w:rPr>
        <w:t xml:space="preserve"> וכשגרשה חייב להחזירם לה</w:t>
      </w:r>
      <w:r>
        <w:rPr>
          <w:rFonts w:cs="Arial" w:hint="cs"/>
          <w:rtl/>
        </w:rPr>
        <w:t>.</w:t>
      </w:r>
      <w:r w:rsidRPr="0071491D">
        <w:rPr>
          <w:rtl/>
        </w:rPr>
        <w:t xml:space="preserve"> </w:t>
      </w:r>
      <w:r w:rsidRPr="0071491D">
        <w:rPr>
          <w:rFonts w:cs="Arial"/>
          <w:rtl/>
        </w:rPr>
        <w:t>וכבר כתבתי דעת זה פ"ב מהלכות מלוה ולוה</w:t>
      </w:r>
      <w:r>
        <w:rPr>
          <w:rFonts w:cs="Arial" w:hint="cs"/>
          <w:rtl/>
        </w:rPr>
        <w:t>.</w:t>
      </w:r>
      <w:r>
        <w:rPr>
          <w:rFonts w:cs="Arial"/>
          <w:rtl/>
        </w:rPr>
        <w:t xml:space="preserve"> ולפי זה אף במוכר במעות טמונים</w:t>
      </w:r>
      <w:r>
        <w:rPr>
          <w:rFonts w:cs="Arial" w:hint="cs"/>
          <w:rtl/>
        </w:rPr>
        <w:t>,</w:t>
      </w:r>
      <w:r>
        <w:rPr>
          <w:rFonts w:cs="Arial"/>
          <w:rtl/>
        </w:rPr>
        <w:t xml:space="preserve"> אם טען בריא שמשלו היו </w:t>
      </w:r>
      <w:r>
        <w:rPr>
          <w:rFonts w:cs="Arial" w:hint="cs"/>
          <w:rtl/>
        </w:rPr>
        <w:t xml:space="preserve">- </w:t>
      </w:r>
      <w:r>
        <w:rPr>
          <w:rFonts w:cs="Arial"/>
          <w:rtl/>
        </w:rPr>
        <w:t>אין לה בהם כלום עכ"ל</w:t>
      </w:r>
      <w:r>
        <w:rPr>
          <w:rFonts w:cs="Arial" w:hint="cs"/>
          <w:rtl/>
        </w:rPr>
        <w:t xml:space="preserve"> </w:t>
      </w:r>
      <w:r>
        <w:rPr>
          <w:rFonts w:cs="Arial" w:hint="cs"/>
          <w:sz w:val="16"/>
          <w:szCs w:val="16"/>
          <w:rtl/>
        </w:rPr>
        <w:t>[הה"מ]</w:t>
      </w:r>
      <w:r>
        <w:rPr>
          <w:rFonts w:hint="cs"/>
          <w:rtl/>
        </w:rPr>
        <w:t>, ב"י.</w:t>
      </w:r>
    </w:p>
  </w:footnote>
  <w:footnote w:id="1672">
    <w:p w14:paraId="53959FBF" w14:textId="77777777" w:rsidR="00DF1FC7" w:rsidRDefault="00DF1FC7" w:rsidP="002E5BAD">
      <w:pPr>
        <w:pStyle w:val="a5"/>
        <w:rPr>
          <w:rtl/>
        </w:rPr>
      </w:pPr>
      <w:r>
        <w:rPr>
          <w:rStyle w:val="a7"/>
        </w:rPr>
        <w:footnoteRef/>
      </w:r>
      <w:r>
        <w:rPr>
          <w:rtl/>
        </w:rPr>
        <w:t xml:space="preserve"> </w:t>
      </w:r>
      <w:r w:rsidRPr="00BC77B4">
        <w:rPr>
          <w:rFonts w:cs="Arial"/>
          <w:rtl/>
        </w:rPr>
        <w:t>עיין בהג"א במקום שאין קונין בכסף לבד ונתנ' כסף ואח"כ נתן הוא שטר קנתה</w:t>
      </w:r>
      <w:r>
        <w:rPr>
          <w:rFonts w:hint="cs"/>
          <w:rtl/>
        </w:rPr>
        <w:t>, ב"ש (סקי"ט).</w:t>
      </w:r>
    </w:p>
  </w:footnote>
  <w:footnote w:id="1673">
    <w:p w14:paraId="2E1E4EA9" w14:textId="77777777" w:rsidR="00DF1FC7" w:rsidRDefault="00DF1FC7" w:rsidP="002E5BAD">
      <w:pPr>
        <w:pStyle w:val="a5"/>
      </w:pPr>
      <w:r>
        <w:rPr>
          <w:rStyle w:val="a7"/>
        </w:rPr>
        <w:footnoteRef/>
      </w:r>
      <w:r>
        <w:rPr>
          <w:rtl/>
        </w:rPr>
        <w:t xml:space="preserve"> </w:t>
      </w:r>
      <w:r w:rsidRPr="00BC77B4">
        <w:rPr>
          <w:rFonts w:cs="Arial"/>
          <w:rtl/>
        </w:rPr>
        <w:t>משמ</w:t>
      </w:r>
      <w:r>
        <w:rPr>
          <w:rFonts w:cs="Arial" w:hint="cs"/>
          <w:rtl/>
        </w:rPr>
        <w:t>ע</w:t>
      </w:r>
      <w:r w:rsidRPr="00BC77B4">
        <w:rPr>
          <w:rFonts w:cs="Arial"/>
          <w:rtl/>
        </w:rPr>
        <w:t xml:space="preserve"> מתוס' אם ידוע דיש לה מעות אע</w:t>
      </w:r>
      <w:r>
        <w:rPr>
          <w:rFonts w:cs="Arial" w:hint="cs"/>
          <w:rtl/>
        </w:rPr>
        <w:t>"</w:t>
      </w:r>
      <w:r w:rsidRPr="00BC77B4">
        <w:rPr>
          <w:rFonts w:cs="Arial"/>
          <w:rtl/>
        </w:rPr>
        <w:t>ג דאין ידוע מאין בא לה המעות</w:t>
      </w:r>
      <w:r>
        <w:rPr>
          <w:rFonts w:cs="Arial" w:hint="cs"/>
          <w:rtl/>
        </w:rPr>
        <w:t>,</w:t>
      </w:r>
      <w:r w:rsidRPr="00BC77B4">
        <w:rPr>
          <w:rFonts w:cs="Arial"/>
          <w:rtl/>
        </w:rPr>
        <w:t xml:space="preserve"> דינו כמעות גלוים</w:t>
      </w:r>
      <w:r>
        <w:rPr>
          <w:rFonts w:cs="Arial" w:hint="cs"/>
          <w:rtl/>
        </w:rPr>
        <w:t>,</w:t>
      </w:r>
      <w:r w:rsidRPr="00BC77B4">
        <w:rPr>
          <w:rFonts w:cs="Arial"/>
          <w:rtl/>
        </w:rPr>
        <w:t xml:space="preserve"> דאל"כ איך הקשו על ר"ש במעות גלוים יאמר דכוונתו להוציא המעות איך הוא רוצה להוציא אם ידוע דאחרי</w:t>
      </w:r>
      <w:r>
        <w:rPr>
          <w:rFonts w:cs="Arial" w:hint="cs"/>
          <w:rtl/>
        </w:rPr>
        <w:t>ם</w:t>
      </w:r>
      <w:r w:rsidRPr="00BC77B4">
        <w:rPr>
          <w:rFonts w:cs="Arial"/>
          <w:rtl/>
        </w:rPr>
        <w:t xml:space="preserve"> נתנו לה ע"מ שאין לו רשות בידם</w:t>
      </w:r>
      <w:r>
        <w:rPr>
          <w:rFonts w:cs="Arial" w:hint="cs"/>
          <w:rtl/>
        </w:rPr>
        <w:t>.</w:t>
      </w:r>
      <w:r w:rsidRPr="00BC77B4">
        <w:rPr>
          <w:rFonts w:cs="Arial"/>
          <w:rtl/>
        </w:rPr>
        <w:t xml:space="preserve"> והנ</w:t>
      </w:r>
      <w:r>
        <w:rPr>
          <w:rFonts w:cs="Arial" w:hint="cs"/>
          <w:rtl/>
        </w:rPr>
        <w:t>מוק</w:t>
      </w:r>
      <w:r w:rsidRPr="00BC77B4">
        <w:rPr>
          <w:rFonts w:cs="Arial"/>
          <w:rtl/>
        </w:rPr>
        <w:t>"י כתב מעות גלוים היינו שידוע דנתנו לה מעות ע"מ שאין לו רשות בהם</w:t>
      </w:r>
      <w:r>
        <w:rPr>
          <w:rFonts w:cs="Arial" w:hint="cs"/>
          <w:rtl/>
        </w:rPr>
        <w:t>, ב"ש (סק"כ).</w:t>
      </w:r>
    </w:p>
  </w:footnote>
  <w:footnote w:id="1674">
    <w:p w14:paraId="5BBC6EED" w14:textId="77777777" w:rsidR="00DF1FC7" w:rsidRDefault="00DF1FC7" w:rsidP="002E5BAD">
      <w:pPr>
        <w:pStyle w:val="a5"/>
        <w:rPr>
          <w:rtl/>
        </w:rPr>
      </w:pPr>
      <w:r>
        <w:rPr>
          <w:rStyle w:val="a7"/>
        </w:rPr>
        <w:footnoteRef/>
      </w:r>
      <w:r>
        <w:rPr>
          <w:rtl/>
        </w:rPr>
        <w:t xml:space="preserve"> </w:t>
      </w:r>
      <w:r w:rsidRPr="0075102A">
        <w:rPr>
          <w:rFonts w:cs="Arial"/>
          <w:rtl/>
        </w:rPr>
        <w:t>ואינו יכול לטעון</w:t>
      </w:r>
      <w:r>
        <w:rPr>
          <w:rFonts w:cs="Arial" w:hint="cs"/>
          <w:rtl/>
        </w:rPr>
        <w:t>-</w:t>
      </w:r>
      <w:r w:rsidRPr="0075102A">
        <w:rPr>
          <w:rFonts w:cs="Arial"/>
          <w:rtl/>
        </w:rPr>
        <w:t xml:space="preserve"> אע</w:t>
      </w:r>
      <w:r>
        <w:rPr>
          <w:rFonts w:cs="Arial" w:hint="cs"/>
          <w:rtl/>
        </w:rPr>
        <w:t>"</w:t>
      </w:r>
      <w:r w:rsidRPr="0075102A">
        <w:rPr>
          <w:rFonts w:cs="Arial"/>
          <w:rtl/>
        </w:rPr>
        <w:t>פ שהיו גלוים לא הייתי יכול להוצי' מידה כי אמרה שלי הם ע"כ מכרתי לה קרקע כדי שאני אהיה מוחזק במעות</w:t>
      </w:r>
      <w:r>
        <w:rPr>
          <w:rFonts w:cs="Arial" w:hint="cs"/>
          <w:rtl/>
        </w:rPr>
        <w:t>,</w:t>
      </w:r>
      <w:r w:rsidRPr="0075102A">
        <w:rPr>
          <w:rFonts w:cs="Arial"/>
          <w:rtl/>
        </w:rPr>
        <w:t xml:space="preserve"> דאין זה חזקה</w:t>
      </w:r>
      <w:r>
        <w:rPr>
          <w:rFonts w:cs="Arial" w:hint="cs"/>
          <w:rtl/>
        </w:rPr>
        <w:t>,</w:t>
      </w:r>
      <w:r w:rsidRPr="0075102A">
        <w:rPr>
          <w:rFonts w:cs="Arial"/>
          <w:rtl/>
        </w:rPr>
        <w:t xml:space="preserve"> דמאחר שנתנה לו המעות בפני עדים ושטר מכירה בידה והיא מבררת המעות היו גלוים וידועים לו א"כ היא נקראת מוחזקת בקרקע</w:t>
      </w:r>
      <w:r>
        <w:rPr>
          <w:rFonts w:hint="cs"/>
          <w:rtl/>
        </w:rPr>
        <w:t>, ח"מ (סקכ"ב).</w:t>
      </w:r>
    </w:p>
  </w:footnote>
  <w:footnote w:id="1675">
    <w:p w14:paraId="66F86984" w14:textId="77777777" w:rsidR="00DF1FC7" w:rsidRDefault="00DF1FC7" w:rsidP="002E5BAD">
      <w:pPr>
        <w:pStyle w:val="a5"/>
      </w:pPr>
      <w:r>
        <w:rPr>
          <w:rStyle w:val="a7"/>
        </w:rPr>
        <w:footnoteRef/>
      </w:r>
      <w:r>
        <w:rPr>
          <w:rtl/>
        </w:rPr>
        <w:t xml:space="preserve"> </w:t>
      </w:r>
      <w:r w:rsidRPr="00BC77B4">
        <w:rPr>
          <w:rFonts w:cs="Arial"/>
          <w:rtl/>
        </w:rPr>
        <w:t>אף על גב דגבי לוה מן האשה סתם כ' בסי' שאח"ז ריש סעיף ב' שאין לה עליו כלום משמע דאפי' במעות שאינם טמונים וגדולה מזה משמע בדברי הרמב"ם סוף פ"ב ממלוה שכל מעות שביד האשה הם בחזקת בעלה אלא אם הביאה ראיה שהם מנדונייתה וכתב המ"מ שם שכן דעת הרמב"ן והנה בפכ"ב מה"א כתב שאם נמצאו מעות או מטלטלין ביד האשה נאמנת לומר מתנה נתנו לי כמ"ש בסמוך סעי' י"ב וכן הוא בירוש' וא"כ עכצ"ל מ"ש פ"ב ממלוה שכל מעות שביד האש' הם בחזקת בעל' היינו כשהאש' הלואתן לבעלה ואז אינה נאמנת לומר שלי היו אבל כל זמן שהם בידה נאמנת לומ' שלי הם ואפי' אינם בידה רק נתנתן לבעל ע"ד שתקנה ממנו שדה ואפי' מעות טמונים לא אבדה זכותה אבל בהלואה אבדה אפי' במעות שאינם טמונים שלא היה לה להלוות לו אלא ליקח בהן קרקע כל זה הוא דעת הרמב"ם ע"פ פירושו של המ"מ</w:t>
      </w:r>
      <w:r>
        <w:rPr>
          <w:rFonts w:cs="Arial" w:hint="cs"/>
          <w:rtl/>
        </w:rPr>
        <w:t>, ח"מ (סקכ"ג).</w:t>
      </w:r>
    </w:p>
  </w:footnote>
  <w:footnote w:id="1676">
    <w:p w14:paraId="62F4CA9D" w14:textId="77777777" w:rsidR="00DF1FC7" w:rsidRDefault="00DF1FC7" w:rsidP="002E5BAD">
      <w:pPr>
        <w:pStyle w:val="a5"/>
        <w:rPr>
          <w:rtl/>
        </w:rPr>
      </w:pPr>
      <w:r>
        <w:rPr>
          <w:rStyle w:val="a7"/>
        </w:rPr>
        <w:footnoteRef/>
      </w:r>
      <w:r>
        <w:rPr>
          <w:rtl/>
        </w:rPr>
        <w:t xml:space="preserve"> </w:t>
      </w:r>
      <w:r w:rsidRPr="00BC77B4">
        <w:rPr>
          <w:rFonts w:cs="Arial"/>
          <w:rtl/>
        </w:rPr>
        <w:t>היינו במעות טמונים עדיף ברי שלו אבל במעות שאינם טמונים ברי דידה עדיף ודעת המפרשים שהביא המ"מ הוא להשוות מכר להלואה ובשניהם במעות טמונים ברי דידיה עדיף ואם אינו טוען ברי או במעות שאינם טמונים אפי' טוען ברי היא נאמנת אבל לדעת הרמב"ם גבי מכר לא מהני ברי דידיה אפי' במעות טמונים וגבי הלואה א"צ לטענת ברי רק מסתמ' הם בחזקתו עד שתביא ראיה</w:t>
      </w:r>
      <w:r>
        <w:rPr>
          <w:rFonts w:hint="cs"/>
          <w:rtl/>
        </w:rPr>
        <w:t>, ח"מ (סקכ"ד).</w:t>
      </w:r>
    </w:p>
  </w:footnote>
  <w:footnote w:id="1677">
    <w:p w14:paraId="640DC4D2" w14:textId="77777777" w:rsidR="00DF1FC7" w:rsidRDefault="00DF1FC7" w:rsidP="002E5BAD">
      <w:pPr>
        <w:pStyle w:val="a5"/>
      </w:pPr>
      <w:r>
        <w:rPr>
          <w:rStyle w:val="a7"/>
        </w:rPr>
        <w:footnoteRef/>
      </w:r>
      <w:r>
        <w:rPr>
          <w:rtl/>
        </w:rPr>
        <w:t xml:space="preserve"> </w:t>
      </w:r>
      <w:r w:rsidRPr="00236BCF">
        <w:rPr>
          <w:rFonts w:cs="Arial"/>
          <w:rtl/>
        </w:rPr>
        <w:t>הרי פירש מה שאמר בתחלה המעות הללו נתונין לך במתנה דלא הוי מתנה לכל דבר אלא למה שפירש הילכך אהני נמי מה שאמר ע"מ שאין לבעליך רשות בהן</w:t>
      </w:r>
      <w:r>
        <w:rPr>
          <w:rFonts w:cs="Arial" w:hint="cs"/>
          <w:rtl/>
        </w:rPr>
        <w:t>, רא"ש (בפירושו לש"ס שם).</w:t>
      </w:r>
    </w:p>
  </w:footnote>
  <w:footnote w:id="1678">
    <w:p w14:paraId="7F4499AE" w14:textId="77777777" w:rsidR="00DF1FC7" w:rsidRDefault="00DF1FC7" w:rsidP="002E5BAD">
      <w:pPr>
        <w:pStyle w:val="a5"/>
        <w:rPr>
          <w:rtl/>
        </w:rPr>
      </w:pPr>
      <w:r>
        <w:rPr>
          <w:rStyle w:val="a7"/>
        </w:rPr>
        <w:footnoteRef/>
      </w:r>
      <w:r>
        <w:rPr>
          <w:rtl/>
        </w:rPr>
        <w:t xml:space="preserve"> </w:t>
      </w:r>
      <w:r w:rsidRPr="00236BCF">
        <w:rPr>
          <w:rFonts w:cs="Arial"/>
          <w:rtl/>
        </w:rPr>
        <w:t>כיון דהויא מתנה לכל דבר קנה יתהון בעל ותו לא אהני מה שאמר ע"מ שאין לבעלה רשות בהן</w:t>
      </w:r>
      <w:r>
        <w:rPr>
          <w:rFonts w:hint="cs"/>
          <w:rtl/>
        </w:rPr>
        <w:t>, רא"ש (בפירושו לש"ס שם).</w:t>
      </w:r>
    </w:p>
  </w:footnote>
  <w:footnote w:id="1679">
    <w:p w14:paraId="05C8AFE9" w14:textId="77777777" w:rsidR="00DF1FC7" w:rsidRDefault="00DF1FC7" w:rsidP="002E5BAD">
      <w:pPr>
        <w:pStyle w:val="a5"/>
      </w:pPr>
      <w:r>
        <w:rPr>
          <w:rStyle w:val="a7"/>
        </w:rPr>
        <w:footnoteRef/>
      </w:r>
      <w:r>
        <w:rPr>
          <w:rtl/>
        </w:rPr>
        <w:t xml:space="preserve"> </w:t>
      </w:r>
      <w:r w:rsidRPr="00560CFB">
        <w:rPr>
          <w:rFonts w:cs="Arial" w:hint="cs"/>
          <w:rtl/>
        </w:rPr>
        <w:t xml:space="preserve">וכן פירש הרשב"א </w:t>
      </w:r>
      <w:r w:rsidRPr="00560CFB">
        <w:rPr>
          <w:rFonts w:cs="Arial"/>
          <w:sz w:val="16"/>
          <w:szCs w:val="16"/>
          <w:rtl/>
        </w:rPr>
        <w:t>(נדרים פח. ד"ה והרמב"ם</w:t>
      </w:r>
      <w:r w:rsidRPr="00560CFB">
        <w:rPr>
          <w:rFonts w:cs="Arial" w:hint="cs"/>
          <w:sz w:val="16"/>
          <w:szCs w:val="16"/>
          <w:rtl/>
        </w:rPr>
        <w:t xml:space="preserve">)  </w:t>
      </w:r>
      <w:r w:rsidRPr="00560CFB">
        <w:rPr>
          <w:rFonts w:cs="Arial" w:hint="cs"/>
          <w:rtl/>
        </w:rPr>
        <w:t>את הבנת הרמב"ם וז"ל- הרמב"ם מפרש ד</w:t>
      </w:r>
      <w:r w:rsidRPr="00560CFB">
        <w:rPr>
          <w:rFonts w:cs="Arial"/>
          <w:rtl/>
        </w:rPr>
        <w:t>בין לרב בין לשמואל</w:t>
      </w:r>
      <w:r w:rsidRPr="00560CFB">
        <w:rPr>
          <w:rFonts w:cs="Arial" w:hint="cs"/>
          <w:rtl/>
        </w:rPr>
        <w:t>,</w:t>
      </w:r>
      <w:r w:rsidRPr="00560CFB">
        <w:rPr>
          <w:rFonts w:cs="Arial"/>
          <w:rtl/>
        </w:rPr>
        <w:t xml:space="preserve"> </w:t>
      </w:r>
      <w:r w:rsidRPr="00560CFB">
        <w:rPr>
          <w:rFonts w:cs="Arial" w:hint="cs"/>
          <w:rtl/>
        </w:rPr>
        <w:t>'</w:t>
      </w:r>
      <w:r w:rsidRPr="00560CFB">
        <w:rPr>
          <w:rFonts w:cs="Arial"/>
          <w:rtl/>
        </w:rPr>
        <w:t>ע</w:t>
      </w:r>
      <w:r w:rsidRPr="00560CFB">
        <w:rPr>
          <w:rFonts w:cs="Arial" w:hint="cs"/>
          <w:rtl/>
        </w:rPr>
        <w:t xml:space="preserve">ל </w:t>
      </w:r>
      <w:r w:rsidRPr="00560CFB">
        <w:rPr>
          <w:rFonts w:cs="Arial"/>
          <w:rtl/>
        </w:rPr>
        <w:t>מ</w:t>
      </w:r>
      <w:r w:rsidRPr="00560CFB">
        <w:rPr>
          <w:rFonts w:cs="Arial" w:hint="cs"/>
          <w:rtl/>
        </w:rPr>
        <w:t>נת</w:t>
      </w:r>
      <w:r w:rsidRPr="00560CFB">
        <w:rPr>
          <w:rFonts w:cs="Arial"/>
          <w:rtl/>
        </w:rPr>
        <w:t xml:space="preserve"> שאין לבעליך רשות בהו</w:t>
      </w:r>
      <w:r w:rsidRPr="00560CFB">
        <w:rPr>
          <w:rFonts w:cs="Arial" w:hint="cs"/>
          <w:rtl/>
        </w:rPr>
        <w:t>'</w:t>
      </w:r>
      <w:r w:rsidRPr="00560CFB">
        <w:rPr>
          <w:rFonts w:cs="Arial"/>
          <w:rtl/>
        </w:rPr>
        <w:t xml:space="preserve"> לחודיה </w:t>
      </w:r>
      <w:r w:rsidRPr="00560CFB">
        <w:rPr>
          <w:rFonts w:cs="Arial" w:hint="cs"/>
          <w:rtl/>
        </w:rPr>
        <w:t xml:space="preserve">- </w:t>
      </w:r>
      <w:r w:rsidRPr="00560CFB">
        <w:rPr>
          <w:rFonts w:cs="Arial"/>
          <w:rtl/>
        </w:rPr>
        <w:t>קנה יתהון בעל כסתמא דהא מתניתין</w:t>
      </w:r>
      <w:r w:rsidRPr="00560CFB">
        <w:rPr>
          <w:rFonts w:cs="Arial" w:hint="cs"/>
          <w:rtl/>
        </w:rPr>
        <w:t>.</w:t>
      </w:r>
      <w:r w:rsidRPr="00560CFB">
        <w:rPr>
          <w:rFonts w:cs="Arial"/>
          <w:rtl/>
        </w:rPr>
        <w:t xml:space="preserve"> ובפירושא דהא מתני' פליגי</w:t>
      </w:r>
      <w:r w:rsidRPr="00560CFB">
        <w:rPr>
          <w:rFonts w:cs="Arial" w:hint="cs"/>
          <w:rtl/>
        </w:rPr>
        <w:t>,</w:t>
      </w:r>
      <w:r w:rsidRPr="00560CFB">
        <w:rPr>
          <w:rFonts w:cs="Arial"/>
          <w:rtl/>
        </w:rPr>
        <w:t xml:space="preserve"> דרב סבר דלישנא דמתני' דוקא</w:t>
      </w:r>
      <w:r w:rsidRPr="00560CFB">
        <w:rPr>
          <w:rFonts w:cs="Arial" w:hint="cs"/>
          <w:rtl/>
        </w:rPr>
        <w:t>,</w:t>
      </w:r>
      <w:r w:rsidRPr="00560CFB">
        <w:rPr>
          <w:rFonts w:cs="Arial"/>
          <w:rtl/>
        </w:rPr>
        <w:t xml:space="preserve"> כלומר עד שייחד לה דבר כגון מה שתאכלי או מה שתשתי או שתלבשי וכיוצא בזה</w:t>
      </w:r>
      <w:r w:rsidRPr="00560CFB">
        <w:rPr>
          <w:rFonts w:cs="Arial" w:hint="cs"/>
          <w:rtl/>
        </w:rPr>
        <w:t>,</w:t>
      </w:r>
      <w:r w:rsidRPr="00560CFB">
        <w:rPr>
          <w:rFonts w:cs="Arial"/>
          <w:rtl/>
        </w:rPr>
        <w:t xml:space="preserve"> הא בכולל לעשות בהן כל מה שתרצי </w:t>
      </w:r>
      <w:r w:rsidRPr="00560CFB">
        <w:rPr>
          <w:rFonts w:cs="Arial" w:hint="cs"/>
          <w:rtl/>
        </w:rPr>
        <w:t xml:space="preserve">- </w:t>
      </w:r>
      <w:r w:rsidRPr="00560CFB">
        <w:rPr>
          <w:rFonts w:cs="Arial"/>
          <w:rtl/>
        </w:rPr>
        <w:t>קנה יתהון בעל</w:t>
      </w:r>
      <w:r w:rsidRPr="00560CFB">
        <w:rPr>
          <w:rFonts w:cs="Arial" w:hint="cs"/>
          <w:rtl/>
        </w:rPr>
        <w:t>.</w:t>
      </w:r>
      <w:r w:rsidRPr="00560CFB">
        <w:rPr>
          <w:rFonts w:cs="Arial"/>
          <w:rtl/>
        </w:rPr>
        <w:t xml:space="preserve"> ושמואל אמר אפילו לא יחד לה דבר אלא שאמר לה </w:t>
      </w:r>
      <w:r w:rsidRPr="00560CFB">
        <w:rPr>
          <w:rFonts w:cs="Arial" w:hint="cs"/>
          <w:rtl/>
        </w:rPr>
        <w:t>'</w:t>
      </w:r>
      <w:r w:rsidRPr="00560CFB">
        <w:rPr>
          <w:rFonts w:cs="Arial"/>
          <w:rtl/>
        </w:rPr>
        <w:t>על מנת שאין לבעליך רשות בהן אלא מה שתרצי עשי</w:t>
      </w:r>
      <w:r w:rsidRPr="00560CFB">
        <w:rPr>
          <w:rFonts w:cs="Arial" w:hint="cs"/>
          <w:rtl/>
        </w:rPr>
        <w:t>' -</w:t>
      </w:r>
      <w:r w:rsidRPr="00560CFB">
        <w:rPr>
          <w:rFonts w:cs="Arial"/>
          <w:rtl/>
        </w:rPr>
        <w:t xml:space="preserve"> לא קני יתהון בעל, אבל </w:t>
      </w:r>
      <w:r w:rsidRPr="00560CFB">
        <w:rPr>
          <w:rFonts w:cs="Arial" w:hint="cs"/>
          <w:rtl/>
        </w:rPr>
        <w:t>'</w:t>
      </w:r>
      <w:r w:rsidRPr="00560CFB">
        <w:rPr>
          <w:rFonts w:cs="Arial"/>
          <w:rtl/>
        </w:rPr>
        <w:t>מה שתרצי</w:t>
      </w:r>
      <w:r w:rsidRPr="00560CFB">
        <w:rPr>
          <w:rFonts w:cs="Arial" w:hint="cs"/>
          <w:rtl/>
        </w:rPr>
        <w:t>'</w:t>
      </w:r>
      <w:r w:rsidRPr="00560CFB">
        <w:rPr>
          <w:rFonts w:cs="Arial"/>
          <w:rtl/>
        </w:rPr>
        <w:t xml:space="preserve"> לחודיה</w:t>
      </w:r>
      <w:r w:rsidRPr="00560CFB">
        <w:rPr>
          <w:rFonts w:cs="Arial" w:hint="cs"/>
          <w:rtl/>
        </w:rPr>
        <w:t>,</w:t>
      </w:r>
      <w:r w:rsidRPr="00560CFB">
        <w:rPr>
          <w:rFonts w:cs="Arial"/>
          <w:rtl/>
        </w:rPr>
        <w:t xml:space="preserve"> וא"נ </w:t>
      </w:r>
      <w:r w:rsidRPr="00560CFB">
        <w:rPr>
          <w:rFonts w:cs="Arial" w:hint="cs"/>
          <w:rtl/>
        </w:rPr>
        <w:t>'</w:t>
      </w:r>
      <w:r w:rsidRPr="00560CFB">
        <w:rPr>
          <w:rFonts w:cs="Arial"/>
          <w:rtl/>
        </w:rPr>
        <w:t>ע</w:t>
      </w:r>
      <w:r w:rsidRPr="00560CFB">
        <w:rPr>
          <w:rFonts w:cs="Arial" w:hint="cs"/>
          <w:rtl/>
        </w:rPr>
        <w:t>"מ</w:t>
      </w:r>
      <w:r w:rsidRPr="00560CFB">
        <w:rPr>
          <w:rFonts w:cs="Arial"/>
          <w:rtl/>
        </w:rPr>
        <w:t xml:space="preserve"> שאין לבעליך רשות בהן</w:t>
      </w:r>
      <w:r w:rsidRPr="00560CFB">
        <w:rPr>
          <w:rFonts w:cs="Arial" w:hint="cs"/>
          <w:rtl/>
        </w:rPr>
        <w:t>'</w:t>
      </w:r>
      <w:r w:rsidRPr="00560CFB">
        <w:rPr>
          <w:rFonts w:cs="Arial"/>
          <w:rtl/>
        </w:rPr>
        <w:t xml:space="preserve"> לחודיה </w:t>
      </w:r>
      <w:r w:rsidRPr="00560CFB">
        <w:rPr>
          <w:rFonts w:cs="Arial" w:hint="cs"/>
          <w:rtl/>
        </w:rPr>
        <w:t xml:space="preserve">- </w:t>
      </w:r>
      <w:r w:rsidRPr="00560CFB">
        <w:rPr>
          <w:rFonts w:cs="Arial"/>
          <w:rtl/>
        </w:rPr>
        <w:t>קנה יתהון בעל</w:t>
      </w:r>
      <w:r>
        <w:rPr>
          <w:rFonts w:cs="Arial" w:hint="cs"/>
          <w:rtl/>
        </w:rPr>
        <w:t>.</w:t>
      </w:r>
    </w:p>
  </w:footnote>
  <w:footnote w:id="1680">
    <w:p w14:paraId="7F112F52" w14:textId="77777777" w:rsidR="00DF1FC7" w:rsidRDefault="00DF1FC7" w:rsidP="002E5BAD">
      <w:pPr>
        <w:pStyle w:val="a5"/>
      </w:pPr>
      <w:r>
        <w:rPr>
          <w:rStyle w:val="a7"/>
        </w:rPr>
        <w:footnoteRef/>
      </w:r>
      <w:r>
        <w:rPr>
          <w:rtl/>
        </w:rPr>
        <w:t xml:space="preserve"> </w:t>
      </w:r>
      <w:r>
        <w:rPr>
          <w:rFonts w:cs="Arial"/>
          <w:rtl/>
        </w:rPr>
        <w:t xml:space="preserve">ר"ת </w:t>
      </w:r>
      <w:r w:rsidRPr="00236BCF">
        <w:rPr>
          <w:rFonts w:cs="Arial"/>
          <w:sz w:val="16"/>
          <w:szCs w:val="16"/>
          <w:rtl/>
        </w:rPr>
        <w:t>(</w:t>
      </w:r>
      <w:r w:rsidRPr="00236BCF">
        <w:rPr>
          <w:rFonts w:cs="Arial" w:hint="cs"/>
          <w:sz w:val="16"/>
          <w:szCs w:val="16"/>
          <w:rtl/>
        </w:rPr>
        <w:t>ב</w:t>
      </w:r>
      <w:r w:rsidRPr="00236BCF">
        <w:rPr>
          <w:rFonts w:cs="Arial"/>
          <w:sz w:val="16"/>
          <w:szCs w:val="16"/>
          <w:rtl/>
        </w:rPr>
        <w:t xml:space="preserve">תוס' קידושין כג: ד"ה ורבי) </w:t>
      </w:r>
      <w:r>
        <w:rPr>
          <w:rFonts w:cs="Arial"/>
          <w:rtl/>
        </w:rPr>
        <w:t>ראב"</w:t>
      </w:r>
      <w:r>
        <w:rPr>
          <w:rFonts w:cs="Arial" w:hint="cs"/>
          <w:rtl/>
        </w:rPr>
        <w:t>ד</w:t>
      </w:r>
      <w:r>
        <w:rPr>
          <w:rFonts w:cs="Arial"/>
          <w:rtl/>
        </w:rPr>
        <w:t xml:space="preserve"> </w:t>
      </w:r>
      <w:r w:rsidRPr="00236BCF">
        <w:rPr>
          <w:rFonts w:cs="Arial"/>
          <w:sz w:val="16"/>
          <w:szCs w:val="16"/>
          <w:rtl/>
        </w:rPr>
        <w:t>(בהשגות פ"ז מנדרים הי"ז</w:t>
      </w:r>
      <w:r>
        <w:rPr>
          <w:rFonts w:cs="Arial" w:hint="cs"/>
          <w:sz w:val="16"/>
          <w:szCs w:val="16"/>
          <w:rtl/>
        </w:rPr>
        <w:t>, כ"כ בשמו הרשב"א והר"ן</w:t>
      </w:r>
      <w:r w:rsidRPr="00236BCF">
        <w:rPr>
          <w:rFonts w:cs="Arial"/>
          <w:sz w:val="16"/>
          <w:szCs w:val="16"/>
          <w:rtl/>
        </w:rPr>
        <w:t>)</w:t>
      </w:r>
      <w:r w:rsidRPr="00236BCF">
        <w:rPr>
          <w:rFonts w:cs="Arial" w:hint="cs"/>
          <w:rtl/>
        </w:rPr>
        <w:t xml:space="preserve"> </w:t>
      </w:r>
      <w:r>
        <w:rPr>
          <w:rFonts w:cs="Arial" w:hint="cs"/>
          <w:rtl/>
        </w:rPr>
        <w:t>מרדכי</w:t>
      </w:r>
      <w:r w:rsidRPr="00236BCF">
        <w:rPr>
          <w:rFonts w:cs="Arial" w:hint="cs"/>
          <w:sz w:val="16"/>
          <w:szCs w:val="16"/>
          <w:rtl/>
        </w:rPr>
        <w:t xml:space="preserve"> </w:t>
      </w:r>
      <w:r>
        <w:rPr>
          <w:rFonts w:cs="Arial" w:hint="cs"/>
          <w:sz w:val="16"/>
          <w:szCs w:val="16"/>
          <w:rtl/>
        </w:rPr>
        <w:t>(</w:t>
      </w:r>
      <w:r w:rsidRPr="00236BCF">
        <w:rPr>
          <w:rFonts w:cs="Arial" w:hint="cs"/>
          <w:sz w:val="16"/>
          <w:szCs w:val="16"/>
          <w:rtl/>
        </w:rPr>
        <w:t>קידושין סי' תצג</w:t>
      </w:r>
      <w:r>
        <w:rPr>
          <w:rFonts w:cs="Arial" w:hint="cs"/>
          <w:sz w:val="16"/>
          <w:szCs w:val="16"/>
          <w:rtl/>
        </w:rPr>
        <w:t>, כ"כ הדרכ"מ [אות ג] בשמו</w:t>
      </w:r>
      <w:r w:rsidRPr="00236BCF">
        <w:rPr>
          <w:rFonts w:cs="Arial" w:hint="cs"/>
          <w:sz w:val="16"/>
          <w:szCs w:val="16"/>
          <w:rtl/>
        </w:rPr>
        <w:t>)</w:t>
      </w:r>
      <w:r>
        <w:rPr>
          <w:rFonts w:cs="Arial" w:hint="cs"/>
          <w:rtl/>
        </w:rPr>
        <w:t xml:space="preserve"> </w:t>
      </w:r>
      <w:r w:rsidRPr="00892AA5">
        <w:rPr>
          <w:rFonts w:cs="Arial" w:hint="cs"/>
          <w:rtl/>
        </w:rPr>
        <w:t xml:space="preserve">רשב"א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 xml:space="preserve">רא"ש </w:t>
      </w:r>
      <w:r w:rsidRPr="00236BCF">
        <w:rPr>
          <w:rFonts w:cs="Arial"/>
          <w:sz w:val="16"/>
          <w:szCs w:val="16"/>
          <w:rtl/>
        </w:rPr>
        <w:t>(</w:t>
      </w:r>
      <w:r w:rsidRPr="00236BCF">
        <w:rPr>
          <w:rFonts w:cs="Arial" w:hint="cs"/>
          <w:sz w:val="16"/>
          <w:szCs w:val="16"/>
          <w:rtl/>
        </w:rPr>
        <w:t xml:space="preserve">נדרים פ' בתרא </w:t>
      </w:r>
      <w:r w:rsidRPr="00236BCF">
        <w:rPr>
          <w:rFonts w:cs="Arial"/>
          <w:sz w:val="16"/>
          <w:szCs w:val="16"/>
          <w:rtl/>
        </w:rPr>
        <w:t>סי' ה</w:t>
      </w:r>
      <w:r w:rsidRPr="00236BCF">
        <w:rPr>
          <w:rFonts w:cs="Arial" w:hint="cs"/>
          <w:sz w:val="16"/>
          <w:szCs w:val="16"/>
          <w:rtl/>
        </w:rPr>
        <w:t>, ו</w:t>
      </w:r>
      <w:r w:rsidRPr="00236BCF">
        <w:rPr>
          <w:rFonts w:cs="Arial"/>
          <w:sz w:val="16"/>
          <w:szCs w:val="16"/>
          <w:rtl/>
        </w:rPr>
        <w:t>פ"ק דקידושין סי' כט)</w:t>
      </w:r>
      <w:r>
        <w:rPr>
          <w:rFonts w:cs="Arial" w:hint="cs"/>
          <w:rtl/>
        </w:rPr>
        <w:t xml:space="preserve"> וטור.</w:t>
      </w:r>
    </w:p>
  </w:footnote>
  <w:footnote w:id="1681">
    <w:p w14:paraId="51514709" w14:textId="77777777" w:rsidR="00DF1FC7" w:rsidRDefault="00DF1FC7" w:rsidP="002E5BAD">
      <w:pPr>
        <w:pStyle w:val="a5"/>
        <w:rPr>
          <w:rtl/>
        </w:rPr>
      </w:pPr>
      <w:r>
        <w:rPr>
          <w:rStyle w:val="a7"/>
        </w:rPr>
        <w:footnoteRef/>
      </w:r>
      <w:r>
        <w:rPr>
          <w:rtl/>
        </w:rPr>
        <w:t xml:space="preserve"> </w:t>
      </w:r>
      <w:r w:rsidRPr="001B4C81">
        <w:rPr>
          <w:rFonts w:cs="Arial"/>
          <w:rtl/>
        </w:rPr>
        <w:t xml:space="preserve">רב סעדיה גאון </w:t>
      </w:r>
      <w:r w:rsidRPr="001B4C81">
        <w:rPr>
          <w:rFonts w:cs="Arial" w:hint="cs"/>
          <w:sz w:val="16"/>
          <w:szCs w:val="16"/>
          <w:rtl/>
        </w:rPr>
        <w:t>(</w:t>
      </w:r>
      <w:r w:rsidRPr="001B4C81">
        <w:rPr>
          <w:rFonts w:cs="Arial"/>
          <w:sz w:val="16"/>
          <w:szCs w:val="16"/>
          <w:rtl/>
        </w:rPr>
        <w:t>ספר המתנות</w:t>
      </w:r>
      <w:r w:rsidRPr="001B4C81">
        <w:rPr>
          <w:rFonts w:cs="Arial" w:hint="cs"/>
          <w:sz w:val="16"/>
          <w:szCs w:val="16"/>
          <w:rtl/>
        </w:rPr>
        <w:t>, כ"כ בשמו הרמב"ן הרשב"א הה"מ והר"ן)</w:t>
      </w:r>
      <w:r w:rsidRPr="001B4C81">
        <w:rPr>
          <w:rFonts w:cs="Arial"/>
          <w:sz w:val="16"/>
          <w:szCs w:val="16"/>
          <w:rtl/>
        </w:rPr>
        <w:t xml:space="preserve"> </w:t>
      </w:r>
      <w:r>
        <w:rPr>
          <w:rFonts w:cs="Arial" w:hint="cs"/>
          <w:rtl/>
        </w:rPr>
        <w:t xml:space="preserve">רב עמרם גאון </w:t>
      </w:r>
      <w:r w:rsidRPr="001B4C81">
        <w:rPr>
          <w:rFonts w:cs="Arial" w:hint="cs"/>
          <w:sz w:val="16"/>
          <w:szCs w:val="16"/>
          <w:rtl/>
        </w:rPr>
        <w:t xml:space="preserve">(כ"כ בשמו </w:t>
      </w:r>
      <w:r w:rsidRPr="001B4C81">
        <w:rPr>
          <w:rFonts w:cs="Arial"/>
          <w:sz w:val="16"/>
          <w:szCs w:val="16"/>
          <w:rtl/>
        </w:rPr>
        <w:t>רב שמואל הלוי הנגיד</w:t>
      </w:r>
      <w:r w:rsidRPr="001B4C81">
        <w:rPr>
          <w:rFonts w:cs="Arial" w:hint="cs"/>
          <w:sz w:val="16"/>
          <w:szCs w:val="16"/>
          <w:rtl/>
        </w:rPr>
        <w:t>, הביאו הרמב"ן הרשב"א הה"מ והר"ן)</w:t>
      </w:r>
      <w:r w:rsidRPr="001B4C81">
        <w:rPr>
          <w:rFonts w:hint="cs"/>
          <w:rtl/>
        </w:rPr>
        <w:t xml:space="preserve"> </w:t>
      </w:r>
      <w:r>
        <w:rPr>
          <w:rFonts w:hint="cs"/>
          <w:rtl/>
        </w:rPr>
        <w:t xml:space="preserve">רמב"ם </w:t>
      </w:r>
      <w:r>
        <w:rPr>
          <w:rFonts w:cs="Arial" w:hint="cs"/>
          <w:sz w:val="16"/>
          <w:szCs w:val="16"/>
          <w:rtl/>
        </w:rPr>
        <w:t>(פ"ג מזכיה ומתנה הי"ג, כ"כ הרשב"א הה"מ והר"ן בשמו)</w:t>
      </w:r>
      <w:r>
        <w:rPr>
          <w:rFonts w:hint="cs"/>
          <w:rtl/>
        </w:rPr>
        <w:t xml:space="preserve"> רמב"ן </w:t>
      </w:r>
      <w:r w:rsidRPr="001B4C81">
        <w:rPr>
          <w:rFonts w:cs="Arial"/>
          <w:sz w:val="16"/>
          <w:szCs w:val="16"/>
          <w:rtl/>
        </w:rPr>
        <w:t>(קידושין כג: ד"ה ורבי)</w:t>
      </w:r>
      <w:r>
        <w:rPr>
          <w:rFonts w:hint="cs"/>
          <w:rtl/>
        </w:rPr>
        <w:t xml:space="preserve"> והה"מ</w:t>
      </w:r>
      <w:r>
        <w:rPr>
          <w:rFonts w:hint="cs"/>
          <w:sz w:val="16"/>
          <w:szCs w:val="16"/>
          <w:rtl/>
        </w:rPr>
        <w:t xml:space="preserve"> (שם)</w:t>
      </w:r>
      <w:r>
        <w:rPr>
          <w:rFonts w:hint="cs"/>
          <w:rtl/>
        </w:rPr>
        <w:t>.</w:t>
      </w:r>
    </w:p>
  </w:footnote>
  <w:footnote w:id="1682">
    <w:p w14:paraId="361F13FD" w14:textId="77777777" w:rsidR="00DF1FC7" w:rsidRDefault="00DF1FC7" w:rsidP="002E5BAD">
      <w:pPr>
        <w:pStyle w:val="a5"/>
      </w:pPr>
      <w:r>
        <w:rPr>
          <w:rStyle w:val="a7"/>
        </w:rPr>
        <w:footnoteRef/>
      </w:r>
      <w:r>
        <w:rPr>
          <w:rtl/>
        </w:rPr>
        <w:t xml:space="preserve"> </w:t>
      </w:r>
      <w:r>
        <w:rPr>
          <w:rFonts w:cs="Arial"/>
          <w:rtl/>
        </w:rPr>
        <w:t xml:space="preserve">ר"ת </w:t>
      </w:r>
      <w:r w:rsidRPr="00236BCF">
        <w:rPr>
          <w:rFonts w:cs="Arial"/>
          <w:sz w:val="16"/>
          <w:szCs w:val="16"/>
          <w:rtl/>
        </w:rPr>
        <w:t>(</w:t>
      </w:r>
      <w:r w:rsidRPr="00236BCF">
        <w:rPr>
          <w:rFonts w:cs="Arial" w:hint="cs"/>
          <w:sz w:val="16"/>
          <w:szCs w:val="16"/>
          <w:rtl/>
        </w:rPr>
        <w:t>ב</w:t>
      </w:r>
      <w:r w:rsidRPr="00236BCF">
        <w:rPr>
          <w:rFonts w:cs="Arial"/>
          <w:sz w:val="16"/>
          <w:szCs w:val="16"/>
          <w:rtl/>
        </w:rPr>
        <w:t xml:space="preserve">תוס' קידושין כג: ד"ה ורבי) </w:t>
      </w:r>
      <w:r>
        <w:rPr>
          <w:rFonts w:cs="Arial"/>
          <w:rtl/>
        </w:rPr>
        <w:t>ראב"</w:t>
      </w:r>
      <w:r>
        <w:rPr>
          <w:rFonts w:cs="Arial" w:hint="cs"/>
          <w:rtl/>
        </w:rPr>
        <w:t>ד</w:t>
      </w:r>
      <w:r>
        <w:rPr>
          <w:rFonts w:cs="Arial"/>
          <w:rtl/>
        </w:rPr>
        <w:t xml:space="preserve"> </w:t>
      </w:r>
      <w:r w:rsidRPr="00236BCF">
        <w:rPr>
          <w:rFonts w:cs="Arial"/>
          <w:sz w:val="16"/>
          <w:szCs w:val="16"/>
          <w:rtl/>
        </w:rPr>
        <w:t>(בהשגות פ"ז מנדרים הי"ז</w:t>
      </w:r>
      <w:r>
        <w:rPr>
          <w:rFonts w:cs="Arial" w:hint="cs"/>
          <w:sz w:val="16"/>
          <w:szCs w:val="16"/>
          <w:rtl/>
        </w:rPr>
        <w:t>, כ"כ בשמו הרשב"א והר"ן</w:t>
      </w:r>
      <w:r w:rsidRPr="00236BCF">
        <w:rPr>
          <w:rFonts w:cs="Arial"/>
          <w:sz w:val="16"/>
          <w:szCs w:val="16"/>
          <w:rtl/>
        </w:rPr>
        <w:t>)</w:t>
      </w:r>
      <w:r w:rsidRPr="00236BCF">
        <w:rPr>
          <w:rFonts w:cs="Arial" w:hint="cs"/>
          <w:rtl/>
        </w:rPr>
        <w:t xml:space="preserve"> </w:t>
      </w:r>
      <w:r>
        <w:rPr>
          <w:rFonts w:cs="Arial" w:hint="cs"/>
          <w:rtl/>
        </w:rPr>
        <w:t>מרדכי</w:t>
      </w:r>
      <w:r w:rsidRPr="00236BCF">
        <w:rPr>
          <w:rFonts w:cs="Arial" w:hint="cs"/>
          <w:sz w:val="16"/>
          <w:szCs w:val="16"/>
          <w:rtl/>
        </w:rPr>
        <w:t xml:space="preserve"> </w:t>
      </w:r>
      <w:r>
        <w:rPr>
          <w:rFonts w:cs="Arial" w:hint="cs"/>
          <w:sz w:val="16"/>
          <w:szCs w:val="16"/>
          <w:rtl/>
        </w:rPr>
        <w:t>(</w:t>
      </w:r>
      <w:r w:rsidRPr="00236BCF">
        <w:rPr>
          <w:rFonts w:cs="Arial" w:hint="cs"/>
          <w:sz w:val="16"/>
          <w:szCs w:val="16"/>
          <w:rtl/>
        </w:rPr>
        <w:t>קידושין סי' תצג</w:t>
      </w:r>
      <w:r>
        <w:rPr>
          <w:rFonts w:cs="Arial" w:hint="cs"/>
          <w:sz w:val="16"/>
          <w:szCs w:val="16"/>
          <w:rtl/>
        </w:rPr>
        <w:t>, כ"כ הדרכ"מ [אות ג] בשמו</w:t>
      </w:r>
      <w:r w:rsidRPr="00236BCF">
        <w:rPr>
          <w:rFonts w:cs="Arial" w:hint="cs"/>
          <w:sz w:val="16"/>
          <w:szCs w:val="16"/>
          <w:rtl/>
        </w:rPr>
        <w:t>)</w:t>
      </w:r>
      <w:r>
        <w:rPr>
          <w:rFonts w:cs="Arial" w:hint="cs"/>
          <w:rtl/>
        </w:rPr>
        <w:t xml:space="preserve"> </w:t>
      </w:r>
      <w:r w:rsidRPr="00892AA5">
        <w:rPr>
          <w:rFonts w:cs="Arial" w:hint="cs"/>
          <w:rtl/>
        </w:rPr>
        <w:t xml:space="preserve">רשב"א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 xml:space="preserve">רא"ש </w:t>
      </w:r>
      <w:r w:rsidRPr="00236BCF">
        <w:rPr>
          <w:rFonts w:cs="Arial"/>
          <w:sz w:val="16"/>
          <w:szCs w:val="16"/>
          <w:rtl/>
        </w:rPr>
        <w:t>(</w:t>
      </w:r>
      <w:r w:rsidRPr="00236BCF">
        <w:rPr>
          <w:rFonts w:cs="Arial" w:hint="cs"/>
          <w:sz w:val="16"/>
          <w:szCs w:val="16"/>
          <w:rtl/>
        </w:rPr>
        <w:t xml:space="preserve">נדרים פ' בתרא </w:t>
      </w:r>
      <w:r w:rsidRPr="00236BCF">
        <w:rPr>
          <w:rFonts w:cs="Arial"/>
          <w:sz w:val="16"/>
          <w:szCs w:val="16"/>
          <w:rtl/>
        </w:rPr>
        <w:t>סי' ה</w:t>
      </w:r>
      <w:r w:rsidRPr="00236BCF">
        <w:rPr>
          <w:rFonts w:cs="Arial" w:hint="cs"/>
          <w:sz w:val="16"/>
          <w:szCs w:val="16"/>
          <w:rtl/>
        </w:rPr>
        <w:t>, ו</w:t>
      </w:r>
      <w:r w:rsidRPr="00236BCF">
        <w:rPr>
          <w:rFonts w:cs="Arial"/>
          <w:sz w:val="16"/>
          <w:szCs w:val="16"/>
          <w:rtl/>
        </w:rPr>
        <w:t>פ"ק דקידושין סי' כט)</w:t>
      </w:r>
      <w:r>
        <w:rPr>
          <w:rFonts w:cs="Arial" w:hint="cs"/>
          <w:rtl/>
        </w:rPr>
        <w:t xml:space="preserve"> וטור.</w:t>
      </w:r>
    </w:p>
  </w:footnote>
  <w:footnote w:id="1683">
    <w:p w14:paraId="614EA414" w14:textId="77777777" w:rsidR="00DF1FC7" w:rsidRDefault="00DF1FC7" w:rsidP="002E5BAD">
      <w:pPr>
        <w:pStyle w:val="a5"/>
      </w:pPr>
      <w:r>
        <w:rPr>
          <w:rStyle w:val="a7"/>
        </w:rPr>
        <w:footnoteRef/>
      </w:r>
      <w:r>
        <w:rPr>
          <w:rtl/>
        </w:rPr>
        <w:t xml:space="preserve"> </w:t>
      </w:r>
      <w:r w:rsidRPr="006B4DCF">
        <w:rPr>
          <w:rFonts w:cs="Arial"/>
          <w:rtl/>
        </w:rPr>
        <w:t>ר"ת והראב"ד פסקו כרב משום דגבי נדרים איתשיל קמייהו והוי לה איסורי וקי"ל כרב באיסורי, ועוד דהא אקשינן ופרקינן דשמעתין אליבא דרב דאלמא הלכתא כותיה</w:t>
      </w:r>
      <w:r>
        <w:rPr>
          <w:rFonts w:cs="Arial" w:hint="cs"/>
          <w:rtl/>
        </w:rPr>
        <w:t>...</w:t>
      </w:r>
      <w:r w:rsidRPr="006B4DCF">
        <w:rPr>
          <w:rFonts w:cs="Arial"/>
          <w:rtl/>
        </w:rPr>
        <w:t xml:space="preserve"> ובפ"ק דקדושין הארכתי בה יותר בס"ד, ונראין דברי ר"ת והראב"ד ז"ל דקי"ל כרב דאיסורי נינהו, וסוגיא דשמעתין כותי'</w:t>
      </w:r>
      <w:r>
        <w:rPr>
          <w:rFonts w:cs="Arial" w:hint="cs"/>
          <w:rtl/>
        </w:rPr>
        <w:t>, רשב"א (שם).</w:t>
      </w:r>
    </w:p>
  </w:footnote>
  <w:footnote w:id="1684">
    <w:p w14:paraId="20F984EF" w14:textId="77777777" w:rsidR="00DF1FC7" w:rsidRDefault="00DF1FC7" w:rsidP="002E5BAD">
      <w:pPr>
        <w:pStyle w:val="a5"/>
      </w:pPr>
      <w:r>
        <w:rPr>
          <w:rStyle w:val="a7"/>
        </w:rPr>
        <w:footnoteRef/>
      </w:r>
      <w:r>
        <w:rPr>
          <w:rtl/>
        </w:rPr>
        <w:t xml:space="preserve"> </w:t>
      </w:r>
      <w:r>
        <w:rPr>
          <w:rFonts w:hint="cs"/>
          <w:rtl/>
        </w:rPr>
        <w:t xml:space="preserve">וכתב הב"ש (סקכ"ג) דלשיטת הרמב"ן באמת בדבר אחד סגי, היינו </w:t>
      </w:r>
      <w:r w:rsidRPr="00D37159">
        <w:rPr>
          <w:rFonts w:cs="Arial"/>
          <w:rtl/>
        </w:rPr>
        <w:t xml:space="preserve">אפילו אמר סתם </w:t>
      </w:r>
      <w:r>
        <w:rPr>
          <w:rFonts w:cs="Arial" w:hint="cs"/>
          <w:rtl/>
        </w:rPr>
        <w:t>'</w:t>
      </w:r>
      <w:r w:rsidRPr="00D37159">
        <w:rPr>
          <w:rFonts w:cs="Arial"/>
          <w:rtl/>
        </w:rPr>
        <w:t>ע</w:t>
      </w:r>
      <w:r>
        <w:rPr>
          <w:rFonts w:cs="Arial" w:hint="cs"/>
          <w:rtl/>
        </w:rPr>
        <w:t xml:space="preserve">ל </w:t>
      </w:r>
      <w:r w:rsidRPr="00D37159">
        <w:rPr>
          <w:rFonts w:cs="Arial"/>
          <w:rtl/>
        </w:rPr>
        <w:t>מ</w:t>
      </w:r>
      <w:r>
        <w:rPr>
          <w:rFonts w:cs="Arial" w:hint="cs"/>
          <w:rtl/>
        </w:rPr>
        <w:t>נת</w:t>
      </w:r>
      <w:r w:rsidRPr="00D37159">
        <w:rPr>
          <w:rFonts w:cs="Arial"/>
          <w:rtl/>
        </w:rPr>
        <w:t xml:space="preserve"> שאין לבעל רשות</w:t>
      </w:r>
      <w:r>
        <w:rPr>
          <w:rFonts w:cs="Arial" w:hint="cs"/>
          <w:rtl/>
        </w:rPr>
        <w:t>'</w:t>
      </w:r>
      <w:r w:rsidRPr="00D37159">
        <w:rPr>
          <w:rFonts w:cs="Arial"/>
          <w:rtl/>
        </w:rPr>
        <w:t xml:space="preserve"> </w:t>
      </w:r>
      <w:r>
        <w:rPr>
          <w:rFonts w:cs="Arial" w:hint="cs"/>
          <w:rtl/>
        </w:rPr>
        <w:t xml:space="preserve">- </w:t>
      </w:r>
      <w:r w:rsidRPr="00D37159">
        <w:rPr>
          <w:rFonts w:cs="Arial"/>
          <w:rtl/>
        </w:rPr>
        <w:t>מהני</w:t>
      </w:r>
      <w:r>
        <w:rPr>
          <w:rFonts w:cs="Arial" w:hint="cs"/>
          <w:rtl/>
        </w:rPr>
        <w:t>...</w:t>
      </w:r>
      <w:r w:rsidRPr="00D37159">
        <w:rPr>
          <w:rFonts w:cs="Arial"/>
          <w:rtl/>
        </w:rPr>
        <w:t xml:space="preserve"> וכן אם אמר </w:t>
      </w:r>
      <w:r>
        <w:rPr>
          <w:rFonts w:cs="Arial" w:hint="cs"/>
          <w:rtl/>
        </w:rPr>
        <w:t>'</w:t>
      </w:r>
      <w:r w:rsidRPr="00D37159">
        <w:rPr>
          <w:rFonts w:cs="Arial"/>
          <w:rtl/>
        </w:rPr>
        <w:t>מה שתרצה עשה לבד</w:t>
      </w:r>
      <w:r>
        <w:rPr>
          <w:rFonts w:cs="Arial" w:hint="cs"/>
          <w:rtl/>
        </w:rPr>
        <w:t>' -</w:t>
      </w:r>
      <w:r w:rsidRPr="00D37159">
        <w:rPr>
          <w:rFonts w:cs="Arial"/>
          <w:rtl/>
        </w:rPr>
        <w:t xml:space="preserve"> נמי מהני</w:t>
      </w:r>
      <w:r>
        <w:rPr>
          <w:rFonts w:cs="Arial" w:hint="cs"/>
          <w:rtl/>
        </w:rPr>
        <w:t xml:space="preserve">. וכתב שכן דעת </w:t>
      </w:r>
      <w:r w:rsidRPr="00D37159">
        <w:rPr>
          <w:rFonts w:cs="Arial"/>
          <w:rtl/>
        </w:rPr>
        <w:t>הר"ש בשם ר"ע הגאון</w:t>
      </w:r>
      <w:r>
        <w:rPr>
          <w:rFonts w:cs="Arial" w:hint="cs"/>
          <w:rtl/>
        </w:rPr>
        <w:t>.</w:t>
      </w:r>
    </w:p>
  </w:footnote>
  <w:footnote w:id="1685">
    <w:p w14:paraId="1F6D8D5B" w14:textId="77777777" w:rsidR="00DF1FC7" w:rsidRDefault="00DF1FC7" w:rsidP="002E5BAD">
      <w:pPr>
        <w:pStyle w:val="a5"/>
      </w:pPr>
      <w:r>
        <w:rPr>
          <w:rStyle w:val="a7"/>
        </w:rPr>
        <w:footnoteRef/>
      </w:r>
      <w:r>
        <w:rPr>
          <w:rtl/>
        </w:rPr>
        <w:t xml:space="preserve"> </w:t>
      </w:r>
      <w:r w:rsidRPr="00D37159">
        <w:rPr>
          <w:rFonts w:cs="Arial"/>
          <w:rtl/>
        </w:rPr>
        <w:t>ואני תמה על הכרעה זו נגד רבותינו בעלי התוספות והסכימו עמהם הרא"ש ומהר"ם וראבי"ה והראב"ד ובפרט אם הבעל מוחזק ועיין בי"ד סי' רכ"ב</w:t>
      </w:r>
      <w:r>
        <w:rPr>
          <w:rFonts w:cs="Arial" w:hint="cs"/>
          <w:rtl/>
        </w:rPr>
        <w:t>, ח"מ (סקכ"ו).</w:t>
      </w:r>
    </w:p>
  </w:footnote>
  <w:footnote w:id="1686">
    <w:p w14:paraId="48D4AF4E" w14:textId="77777777" w:rsidR="00DF1FC7" w:rsidRDefault="00DF1FC7" w:rsidP="002E5BAD">
      <w:pPr>
        <w:pStyle w:val="a5"/>
      </w:pPr>
      <w:r>
        <w:rPr>
          <w:rStyle w:val="a7"/>
        </w:rPr>
        <w:footnoteRef/>
      </w:r>
      <w:r>
        <w:rPr>
          <w:rtl/>
        </w:rPr>
        <w:t xml:space="preserve"> </w:t>
      </w:r>
      <w:r>
        <w:rPr>
          <w:rFonts w:cs="Arial" w:hint="cs"/>
          <w:rtl/>
        </w:rPr>
        <w:t xml:space="preserve">וגם הרשב"א כתב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ד</w:t>
      </w:r>
      <w:r w:rsidRPr="00892AA5">
        <w:rPr>
          <w:rFonts w:cs="Arial"/>
          <w:rtl/>
        </w:rPr>
        <w:t xml:space="preserve">אף לדברי מי שפוסק כשמואל איכא למימר דוקא באומר </w:t>
      </w:r>
      <w:r>
        <w:rPr>
          <w:rFonts w:cs="Arial" w:hint="cs"/>
          <w:rtl/>
        </w:rPr>
        <w:t>'</w:t>
      </w:r>
      <w:r w:rsidRPr="00892AA5">
        <w:rPr>
          <w:rFonts w:cs="Arial"/>
          <w:rtl/>
        </w:rPr>
        <w:t>ע"מ שאין לבעליך רשות בהן ומה שתרצי עשי</w:t>
      </w:r>
      <w:r>
        <w:rPr>
          <w:rFonts w:cs="Arial" w:hint="cs"/>
          <w:rtl/>
        </w:rPr>
        <w:t>'</w:t>
      </w:r>
      <w:r w:rsidRPr="00892AA5">
        <w:rPr>
          <w:rFonts w:cs="Arial"/>
          <w:rtl/>
        </w:rPr>
        <w:t xml:space="preserve"> כדברי הרמב"ם ז"ל, הא ע"מ שאין לבעליך רשות בהן לחוד קנה יתהון בעל </w:t>
      </w:r>
      <w:r w:rsidRPr="00560CFB">
        <w:rPr>
          <w:rFonts w:cs="Arial" w:hint="cs"/>
          <w:sz w:val="16"/>
          <w:szCs w:val="16"/>
          <w:rtl/>
        </w:rPr>
        <w:t>(</w:t>
      </w:r>
      <w:r w:rsidRPr="00560CFB">
        <w:rPr>
          <w:rFonts w:cs="Arial"/>
          <w:sz w:val="16"/>
          <w:szCs w:val="16"/>
          <w:rtl/>
        </w:rPr>
        <w:t>אע</w:t>
      </w:r>
      <w:r w:rsidRPr="00560CFB">
        <w:rPr>
          <w:rFonts w:cs="Arial" w:hint="cs"/>
          <w:sz w:val="16"/>
          <w:szCs w:val="16"/>
          <w:rtl/>
        </w:rPr>
        <w:t>"</w:t>
      </w:r>
      <w:r w:rsidRPr="00560CFB">
        <w:rPr>
          <w:rFonts w:cs="Arial"/>
          <w:sz w:val="16"/>
          <w:szCs w:val="16"/>
          <w:rtl/>
        </w:rPr>
        <w:t>ג דבכולי תלמודא נסיב ע"מ שאין לבעליך רשות בהן לחוד כההיא דאמרינן בפ' בן סורר גבי אינו חייב עד שיאכל משל אביו ומשל אמו אמו מנא לה מה שקנתה אשה קנה בעלה דאקני לה אחר ע"מ שאין לבעליך רשות בהן, וכן בנזיר פרק מי שאמר הריני נזיר גבי אם משלה היתה הבהמה וכו' מנא לה מה שקנתה אשה קנה בעלה ומתרץ נמי כגון שנתן לה אחר ע"מ שאין לבעלה רשות בה, אפ"ה לאו ראיה היא דהתם לאו דוכתא דהאי דינא אי סגי בהאי לישנא בלחוד או עד דלימא לה שאת נושאת ונותנת לתוך פיך וכיוצא בזה או מה שתרצי עשי ורישא דהא מתני' נקט</w:t>
      </w:r>
      <w:r>
        <w:rPr>
          <w:rFonts w:cs="Arial" w:hint="cs"/>
          <w:sz w:val="16"/>
          <w:szCs w:val="16"/>
          <w:rtl/>
        </w:rPr>
        <w:t>)</w:t>
      </w:r>
      <w:r>
        <w:rPr>
          <w:rFonts w:cs="Arial" w:hint="cs"/>
          <w:rtl/>
        </w:rPr>
        <w:t>.</w:t>
      </w:r>
    </w:p>
  </w:footnote>
  <w:footnote w:id="1687">
    <w:p w14:paraId="2256159C" w14:textId="77777777" w:rsidR="00DF1FC7" w:rsidRDefault="00DF1FC7" w:rsidP="002E5BAD">
      <w:pPr>
        <w:pStyle w:val="a5"/>
        <w:rPr>
          <w:rtl/>
        </w:rPr>
      </w:pPr>
      <w:r>
        <w:rPr>
          <w:rStyle w:val="a7"/>
        </w:rPr>
        <w:footnoteRef/>
      </w:r>
      <w:r>
        <w:rPr>
          <w:rtl/>
        </w:rPr>
        <w:t xml:space="preserve"> </w:t>
      </w:r>
      <w:r w:rsidRPr="00B91C11">
        <w:rPr>
          <w:rFonts w:cs="Arial"/>
          <w:rtl/>
        </w:rPr>
        <w:t>עיין בתשו' אא"ז פנים מאירות ח"ב סי' ק"ו שכ' דהרב בעל הלבוש נתן בכאן מקום לטעות בדבריו שכ' וז"ל וטעמא דמלתא משום דקיי"ל יד אשה כיד בעלה לפיכך אם נתן לה אחר מתנה סתם מיד שזכתה בה אשה קנאה בעלה דידה כידו וכשמוסיף לומר ע"מ שאין לבעלך רשות בה מוציא הגוף מרשות הבעל אבל הפירות הם שלו כו' ומשמע מדבריו דאם נתן לה מתנה סתם הוי גם הגוף של בעלה דיד אשה כיד בעלה ולא דק כלל בזה כו' ע"ש. וכ' עוד בראובן שנתן שטח"ז לבתו כנהוג ושבק חיים ונטלה הבת חלקה ותבעה שבעלה יקח בחלקה קרקע והוא יאכל פירות כדין נכסי מלוג בכדי שיהיה לה זה יתר על כתובתה ופסקו הדיינים שמחוייב הבעל ליתן לה שטר על הקרן שיהי' לה כדין נכסי מלוג וכ' הוא ז"ל דיפה פסקו דאף אי נימא דהוי כמתנה שנתן לה אחר הרי דעת רוב הפוסקים דלא קנה הבעל לגמרי רק לפירות כמבואר בש"ע כאן ולעיל ס"ז וכן פסק בח"מ סי' רמ"ט ס"ג ובפרט בשטר ח"ז הנהוג דכבר הכריע רמ"א בפ"מ סי' רפ"א דדינו כירושה ובירושה כ"ע מודו דהוי נכסי מלוג ודייני דסמכי פסקו כן</w:t>
      </w:r>
      <w:r>
        <w:rPr>
          <w:rFonts w:hint="cs"/>
          <w:rtl/>
        </w:rPr>
        <w:t>, פת"ש</w:t>
      </w:r>
      <w:r w:rsidRPr="00B91C11">
        <w:rPr>
          <w:rFonts w:hint="cs"/>
          <w:sz w:val="16"/>
          <w:szCs w:val="16"/>
          <w:rtl/>
        </w:rPr>
        <w:t xml:space="preserve"> (סק"א)</w:t>
      </w:r>
      <w:r>
        <w:rPr>
          <w:rFonts w:hint="cs"/>
          <w:rtl/>
        </w:rPr>
        <w:t>.</w:t>
      </w:r>
    </w:p>
  </w:footnote>
  <w:footnote w:id="1688">
    <w:p w14:paraId="5B87C614" w14:textId="77777777" w:rsidR="00DF1FC7" w:rsidRDefault="00DF1FC7" w:rsidP="002E5BAD">
      <w:pPr>
        <w:pStyle w:val="a5"/>
      </w:pPr>
      <w:r>
        <w:rPr>
          <w:rStyle w:val="a7"/>
        </w:rPr>
        <w:footnoteRef/>
      </w:r>
      <w:r>
        <w:rPr>
          <w:rtl/>
        </w:rPr>
        <w:t xml:space="preserve"> </w:t>
      </w:r>
      <w:r w:rsidRPr="00302983">
        <w:rPr>
          <w:rFonts w:cs="Arial"/>
          <w:rtl/>
        </w:rPr>
        <w:t>מיהו אם תפס הבעל נראה די"ל קים לי כשיטת ר"ת והראב"ד ומ'</w:t>
      </w:r>
      <w:r>
        <w:rPr>
          <w:rFonts w:cs="Arial" w:hint="cs"/>
          <w:rtl/>
        </w:rPr>
        <w:t>.</w:t>
      </w:r>
      <w:r w:rsidRPr="00302983">
        <w:rPr>
          <w:rFonts w:cs="Arial"/>
          <w:rtl/>
        </w:rPr>
        <w:t xml:space="preserve"> ובי</w:t>
      </w:r>
      <w:r>
        <w:rPr>
          <w:rFonts w:cs="Arial" w:hint="cs"/>
          <w:rtl/>
        </w:rPr>
        <w:t>ו</w:t>
      </w:r>
      <w:r w:rsidRPr="00302983">
        <w:rPr>
          <w:rFonts w:cs="Arial"/>
          <w:rtl/>
        </w:rPr>
        <w:t>"ד סימן רכ"ב הביא שם דעת תוספת דשם לענין איסור חשש לדעת תוספות ג"כ</w:t>
      </w:r>
      <w:r>
        <w:rPr>
          <w:rFonts w:cs="Arial" w:hint="cs"/>
          <w:rtl/>
        </w:rPr>
        <w:t>.</w:t>
      </w:r>
      <w:r w:rsidRPr="00302983">
        <w:rPr>
          <w:rFonts w:cs="Arial"/>
          <w:rtl/>
        </w:rPr>
        <w:t xml:space="preserve"> ומבואר בה"ת </w:t>
      </w:r>
      <w:r>
        <w:rPr>
          <w:rFonts w:cs="Arial" w:hint="cs"/>
          <w:rtl/>
        </w:rPr>
        <w:t>(</w:t>
      </w:r>
      <w:r w:rsidRPr="00302983">
        <w:rPr>
          <w:rFonts w:cs="Arial"/>
          <w:rtl/>
        </w:rPr>
        <w:t>שער ששי</w:t>
      </w:r>
      <w:r>
        <w:rPr>
          <w:rFonts w:cs="Arial" w:hint="cs"/>
          <w:rtl/>
        </w:rPr>
        <w:t>)</w:t>
      </w:r>
      <w:r w:rsidRPr="00302983">
        <w:rPr>
          <w:rFonts w:cs="Arial"/>
          <w:rtl/>
        </w:rPr>
        <w:t xml:space="preserve"> אם התנה ע"מ מה שתרצ</w:t>
      </w:r>
      <w:r>
        <w:rPr>
          <w:rFonts w:cs="Arial" w:hint="cs"/>
          <w:rtl/>
        </w:rPr>
        <w:t>ה</w:t>
      </w:r>
      <w:r w:rsidRPr="00302983">
        <w:rPr>
          <w:rFonts w:cs="Arial"/>
          <w:rtl/>
        </w:rPr>
        <w:t xml:space="preserve"> תעשה בלא רשות הבעל </w:t>
      </w:r>
      <w:r>
        <w:rPr>
          <w:rFonts w:cs="Arial" w:hint="cs"/>
          <w:rtl/>
        </w:rPr>
        <w:t xml:space="preserve">- </w:t>
      </w:r>
      <w:r w:rsidRPr="00302983">
        <w:rPr>
          <w:rFonts w:cs="Arial"/>
          <w:rtl/>
        </w:rPr>
        <w:t>אינו יורש אותה</w:t>
      </w:r>
      <w:r>
        <w:rPr>
          <w:rFonts w:cs="Arial" w:hint="cs"/>
          <w:rtl/>
        </w:rPr>
        <w:t>,</w:t>
      </w:r>
      <w:r w:rsidRPr="00302983">
        <w:rPr>
          <w:rFonts w:cs="Arial"/>
          <w:rtl/>
        </w:rPr>
        <w:t xml:space="preserve"> והובא נמי בכ"מ</w:t>
      </w:r>
      <w:r>
        <w:rPr>
          <w:rFonts w:cs="Arial" w:hint="cs"/>
          <w:rtl/>
        </w:rPr>
        <w:t>.</w:t>
      </w:r>
      <w:r w:rsidRPr="00302983">
        <w:rPr>
          <w:rFonts w:cs="Arial"/>
          <w:rtl/>
        </w:rPr>
        <w:t xml:space="preserve"> וקצת יש לדייק מרש"י והרא"ש בסוגי' דלעיל דלא ס"ל כן</w:t>
      </w:r>
      <w:r>
        <w:rPr>
          <w:rFonts w:cs="Arial" w:hint="cs"/>
          <w:rtl/>
        </w:rPr>
        <w:t>,</w:t>
      </w:r>
      <w:r w:rsidRPr="00302983">
        <w:rPr>
          <w:rFonts w:cs="Arial"/>
          <w:rtl/>
        </w:rPr>
        <w:t xml:space="preserve"> דהא כתבו אהא אם קבל מן האשה יחזיר לאשה</w:t>
      </w:r>
      <w:r>
        <w:rPr>
          <w:rFonts w:cs="Arial" w:hint="cs"/>
          <w:rtl/>
        </w:rPr>
        <w:t xml:space="preserve"> </w:t>
      </w:r>
      <w:r w:rsidRPr="00302983">
        <w:rPr>
          <w:rFonts w:cs="Arial"/>
          <w:rtl/>
        </w:rPr>
        <w:t>ולא חיישינן שמא נתנו לה ע"מ שאין לבעל רשות משום אף אם נתנו לה יורש אותה</w:t>
      </w:r>
      <w:r>
        <w:rPr>
          <w:rFonts w:cs="Arial" w:hint="cs"/>
          <w:rtl/>
        </w:rPr>
        <w:t>,</w:t>
      </w:r>
      <w:r w:rsidRPr="00302983">
        <w:rPr>
          <w:rFonts w:cs="Arial"/>
          <w:rtl/>
        </w:rPr>
        <w:t xml:space="preserve"> ולמ"ש הבע"ת אכתי קשה שמא נתנו לה בתנאי שאין לו רשות אלא מה שתרצה דאז אינו יורש אותה</w:t>
      </w:r>
      <w:r>
        <w:rPr>
          <w:rFonts w:cs="Arial" w:hint="cs"/>
          <w:rtl/>
        </w:rPr>
        <w:t>,</w:t>
      </w:r>
      <w:r w:rsidRPr="00302983">
        <w:rPr>
          <w:rFonts w:cs="Arial"/>
          <w:rtl/>
        </w:rPr>
        <w:t xml:space="preserve"> וכן ראיתי בהגה' ש"ך שם</w:t>
      </w:r>
      <w:r>
        <w:rPr>
          <w:rFonts w:cs="Arial" w:hint="cs"/>
          <w:rtl/>
        </w:rPr>
        <w:t>, ב"ש (סקכ"ג).</w:t>
      </w:r>
    </w:p>
  </w:footnote>
  <w:footnote w:id="1689">
    <w:p w14:paraId="02C6E741" w14:textId="77777777" w:rsidR="00DF1FC7" w:rsidRDefault="00DF1FC7" w:rsidP="002E5BAD">
      <w:pPr>
        <w:pStyle w:val="a5"/>
      </w:pPr>
      <w:r>
        <w:rPr>
          <w:rStyle w:val="a7"/>
        </w:rPr>
        <w:footnoteRef/>
      </w:r>
      <w:r>
        <w:rPr>
          <w:rtl/>
        </w:rPr>
        <w:t xml:space="preserve"> </w:t>
      </w:r>
      <w:r>
        <w:rPr>
          <w:rFonts w:cs="Arial"/>
          <w:rtl/>
        </w:rPr>
        <w:t>דין זה שהיא נאמנת לומר על מעות שבידה שאינם נכסי מלוג כן מוכיח בירושלמי פרק מציאת האשה (ה"א)</w:t>
      </w:r>
      <w:r>
        <w:rPr>
          <w:rFonts w:cs="Arial" w:hint="cs"/>
          <w:rtl/>
        </w:rPr>
        <w:t>, הה"מ (שם).</w:t>
      </w:r>
    </w:p>
  </w:footnote>
  <w:footnote w:id="1690">
    <w:p w14:paraId="23A25100" w14:textId="77777777" w:rsidR="00DF1FC7" w:rsidRDefault="00DF1FC7" w:rsidP="002E5BAD">
      <w:pPr>
        <w:pStyle w:val="a5"/>
      </w:pPr>
      <w:r>
        <w:rPr>
          <w:rStyle w:val="a7"/>
        </w:rPr>
        <w:footnoteRef/>
      </w:r>
      <w:r>
        <w:rPr>
          <w:rtl/>
        </w:rPr>
        <w:t xml:space="preserve"> </w:t>
      </w:r>
      <w:r>
        <w:rPr>
          <w:rFonts w:cs="Arial"/>
          <w:rtl/>
        </w:rPr>
        <w:t>אם ירצה אבל היא אינה נשבעת היסת על שמא כנזכר פ"א מהל' טוען (ה"ז)</w:t>
      </w:r>
      <w:r>
        <w:rPr>
          <w:rFonts w:cs="Arial" w:hint="cs"/>
          <w:rtl/>
        </w:rPr>
        <w:t>, הה"מ (שם).</w:t>
      </w:r>
    </w:p>
  </w:footnote>
  <w:footnote w:id="1691">
    <w:p w14:paraId="250A432C" w14:textId="77777777" w:rsidR="00DF1FC7" w:rsidRDefault="00DF1FC7" w:rsidP="002E5BAD">
      <w:pPr>
        <w:pStyle w:val="a5"/>
      </w:pPr>
      <w:r>
        <w:rPr>
          <w:rStyle w:val="a7"/>
        </w:rPr>
        <w:footnoteRef/>
      </w:r>
      <w:r>
        <w:rPr>
          <w:rtl/>
        </w:rPr>
        <w:t xml:space="preserve"> </w:t>
      </w:r>
      <w:r>
        <w:rPr>
          <w:rFonts w:cs="Arial"/>
          <w:rtl/>
        </w:rPr>
        <w:t xml:space="preserve">והביא </w:t>
      </w:r>
      <w:r>
        <w:rPr>
          <w:rFonts w:cs="Arial" w:hint="cs"/>
          <w:rtl/>
        </w:rPr>
        <w:t xml:space="preserve">הרמב"ן </w:t>
      </w:r>
      <w:r>
        <w:rPr>
          <w:rFonts w:cs="Arial"/>
          <w:rtl/>
        </w:rPr>
        <w:t>ראיה מהדין שיתבאר בסמוך (הל</w:t>
      </w:r>
      <w:r>
        <w:rPr>
          <w:rFonts w:cs="Arial" w:hint="cs"/>
          <w:rtl/>
        </w:rPr>
        <w:t>"</w:t>
      </w:r>
      <w:r>
        <w:rPr>
          <w:rFonts w:cs="Arial"/>
          <w:rtl/>
        </w:rPr>
        <w:t>ב</w:t>
      </w:r>
      <w:r>
        <w:rPr>
          <w:rFonts w:cs="Arial" w:hint="cs"/>
          <w:rtl/>
        </w:rPr>
        <w:t xml:space="preserve"> ברמב"ם</w:t>
      </w:r>
      <w:r>
        <w:rPr>
          <w:rFonts w:cs="Arial"/>
          <w:rtl/>
        </w:rPr>
        <w:t>) במי שקיבל פקדון ובשעת מיתה אמרה של פלוני הוא</w:t>
      </w:r>
      <w:r>
        <w:rPr>
          <w:rFonts w:cs="Arial" w:hint="cs"/>
          <w:rtl/>
        </w:rPr>
        <w:t>,</w:t>
      </w:r>
      <w:r>
        <w:rPr>
          <w:rFonts w:cs="Arial"/>
          <w:rtl/>
        </w:rPr>
        <w:t xml:space="preserve"> שאם אינה נאמנת לו</w:t>
      </w:r>
      <w:r>
        <w:rPr>
          <w:rFonts w:cs="Arial" w:hint="cs"/>
          <w:rtl/>
        </w:rPr>
        <w:t>,</w:t>
      </w:r>
      <w:r>
        <w:rPr>
          <w:rFonts w:cs="Arial"/>
          <w:rtl/>
        </w:rPr>
        <w:t xml:space="preserve"> יתן ליורשים</w:t>
      </w:r>
      <w:r>
        <w:rPr>
          <w:rFonts w:cs="Arial" w:hint="cs"/>
          <w:rtl/>
        </w:rPr>
        <w:t>.</w:t>
      </w:r>
      <w:r>
        <w:rPr>
          <w:rFonts w:cs="Arial"/>
          <w:rtl/>
        </w:rPr>
        <w:t xml:space="preserve"> ואם איתא דבחייה היתה יכולה להפקיע מבעלה לגמרי</w:t>
      </w:r>
      <w:r>
        <w:rPr>
          <w:rFonts w:cs="Arial" w:hint="cs"/>
          <w:rtl/>
        </w:rPr>
        <w:t xml:space="preserve"> -</w:t>
      </w:r>
      <w:r>
        <w:rPr>
          <w:rFonts w:cs="Arial"/>
          <w:rtl/>
        </w:rPr>
        <w:t xml:space="preserve"> אפילו מתה יעשו כדבריה מגו דבחייה היתה יכולה להפקיען ממנו</w:t>
      </w:r>
      <w:r>
        <w:rPr>
          <w:rFonts w:cs="Arial" w:hint="cs"/>
          <w:rtl/>
        </w:rPr>
        <w:t>,</w:t>
      </w:r>
      <w:r>
        <w:rPr>
          <w:rFonts w:cs="Arial"/>
          <w:rtl/>
        </w:rPr>
        <w:t xml:space="preserve"> אלא לאו ש"מ שאינה יכולה לומר שלי הם על מנת שאין לבעלי רשות בהם</w:t>
      </w:r>
      <w:r>
        <w:rPr>
          <w:rFonts w:cs="Arial" w:hint="cs"/>
          <w:rtl/>
        </w:rPr>
        <w:t>.</w:t>
      </w:r>
      <w:r>
        <w:rPr>
          <w:rFonts w:cs="Arial"/>
          <w:rtl/>
        </w:rPr>
        <w:t xml:space="preserve"> ויש חולקים בזה ואומרים שהיא נאמנת ודוחים ראיה זו וזה דעת ה</w:t>
      </w:r>
      <w:r w:rsidRPr="00A376A0">
        <w:rPr>
          <w:rFonts w:cs="Arial"/>
          <w:rtl/>
        </w:rPr>
        <w:t>רשב"א</w:t>
      </w:r>
      <w:r>
        <w:rPr>
          <w:rFonts w:cs="Arial" w:hint="cs"/>
          <w:rtl/>
        </w:rPr>
        <w:t xml:space="preserve"> ז"ל</w:t>
      </w:r>
      <w:r w:rsidRPr="00A376A0">
        <w:rPr>
          <w:rFonts w:cs="Arial"/>
          <w:rtl/>
        </w:rPr>
        <w:t xml:space="preserve"> </w:t>
      </w:r>
      <w:r w:rsidRPr="00A376A0">
        <w:rPr>
          <w:rFonts w:cs="Arial"/>
          <w:sz w:val="16"/>
          <w:szCs w:val="16"/>
          <w:rtl/>
        </w:rPr>
        <w:t>(שם ד"ה אין מקבלין)</w:t>
      </w:r>
      <w:r>
        <w:rPr>
          <w:rFonts w:cs="Arial" w:hint="cs"/>
          <w:rtl/>
        </w:rPr>
        <w:t>, הה"מ (שם).</w:t>
      </w:r>
      <w:r w:rsidRPr="00A376A0">
        <w:rPr>
          <w:rFonts w:cs="Arial"/>
          <w:rtl/>
        </w:rPr>
        <w:t xml:space="preserve"> </w:t>
      </w:r>
      <w:r>
        <w:rPr>
          <w:rFonts w:cs="Arial"/>
          <w:rtl/>
        </w:rPr>
        <w:t>וכתב עוד בזה הרב המגיד בפ"ב מהלכות מלוה (ה"ח) ופ"ז מהלכות שאלה ופקדון (ה"י). ונימוק</w:t>
      </w:r>
      <w:r>
        <w:rPr>
          <w:rFonts w:cs="Arial" w:hint="cs"/>
          <w:rtl/>
        </w:rPr>
        <w:t>"</w:t>
      </w:r>
      <w:r>
        <w:rPr>
          <w:rFonts w:cs="Arial"/>
          <w:rtl/>
        </w:rPr>
        <w:t>י כתב בפרק חזקת (כז:) שדעת הריטב"א כדעת הרשב"א</w:t>
      </w:r>
      <w:r>
        <w:rPr>
          <w:rFonts w:hint="cs"/>
          <w:rtl/>
        </w:rPr>
        <w:t xml:space="preserve">, ב"י. וכתב הדרכ"מ (אות </w:t>
      </w:r>
      <w:r w:rsidRPr="007A228B">
        <w:rPr>
          <w:rFonts w:cs="Arial"/>
          <w:rtl/>
        </w:rPr>
        <w:t xml:space="preserve">ד) </w:t>
      </w:r>
      <w:r>
        <w:rPr>
          <w:rFonts w:cs="Arial" w:hint="cs"/>
          <w:rtl/>
        </w:rPr>
        <w:t>ד</w:t>
      </w:r>
      <w:r w:rsidRPr="007A228B">
        <w:rPr>
          <w:rFonts w:cs="Arial"/>
          <w:rtl/>
        </w:rPr>
        <w:t>לקמן סימן פ"ו איתא בשם הר"ש והרא"ש דבמעות שאינן טמונים היא נאמנת ובמעות טמונים אינה נאמנת ועיין לקמן וכ"כ הרשב"א (ח"א) בתשובה סימן תתק"ו דבמעות טמונים אינה נאמנת וכ"כ בשם מקצת המפרשים</w:t>
      </w:r>
      <w:r>
        <w:rPr>
          <w:rFonts w:cs="Arial" w:hint="cs"/>
          <w:rtl/>
        </w:rPr>
        <w:t>.</w:t>
      </w:r>
    </w:p>
  </w:footnote>
  <w:footnote w:id="1692">
    <w:p w14:paraId="15BFB51F" w14:textId="77777777" w:rsidR="00DF1FC7" w:rsidRDefault="00DF1FC7" w:rsidP="002E5BAD">
      <w:pPr>
        <w:pStyle w:val="a5"/>
        <w:rPr>
          <w:rtl/>
        </w:rPr>
      </w:pPr>
      <w:r>
        <w:rPr>
          <w:rStyle w:val="a7"/>
        </w:rPr>
        <w:footnoteRef/>
      </w:r>
      <w:r>
        <w:rPr>
          <w:rtl/>
        </w:rPr>
        <w:t xml:space="preserve"> </w:t>
      </w:r>
      <w:r>
        <w:rPr>
          <w:rFonts w:cs="Arial"/>
          <w:rtl/>
        </w:rPr>
        <w:t>דעת רבינו הוא שאע"פ שאינה נאמנת לומר אחר נתנם לי כשטוענת בריא אתה נתתם לי נאמנת לפי שאין האשה מעיזה פניה בפני בעלה בכל דבר שהוא יודע האמת כמוה וכתב רבינו כאן שנשבעת היסת לפי שהבעל טוען בריא והיא מוחזקת ונשבעת היסת כדין כופר בכל</w:t>
      </w:r>
      <w:r>
        <w:rPr>
          <w:rFonts w:hint="cs"/>
          <w:rtl/>
        </w:rPr>
        <w:t>, הה"מ (שם).</w:t>
      </w:r>
    </w:p>
  </w:footnote>
  <w:footnote w:id="1693">
    <w:p w14:paraId="76941A55" w14:textId="77777777" w:rsidR="00DF1FC7" w:rsidRDefault="00DF1FC7" w:rsidP="002E5BAD">
      <w:pPr>
        <w:pStyle w:val="a5"/>
      </w:pPr>
      <w:r>
        <w:rPr>
          <w:rStyle w:val="a7"/>
        </w:rPr>
        <w:footnoteRef/>
      </w:r>
      <w:r>
        <w:rPr>
          <w:rtl/>
        </w:rPr>
        <w:t xml:space="preserve"> </w:t>
      </w:r>
      <w:r w:rsidRPr="007A228B">
        <w:rPr>
          <w:rFonts w:cs="Arial"/>
          <w:rtl/>
        </w:rPr>
        <w:t>וכן הוא לקמן סי' פו</w:t>
      </w:r>
      <w:r>
        <w:rPr>
          <w:rFonts w:cs="Arial" w:hint="cs"/>
          <w:rtl/>
        </w:rPr>
        <w:t>, דרכ"מ (אות ה).</w:t>
      </w:r>
    </w:p>
  </w:footnote>
  <w:footnote w:id="1694">
    <w:p w14:paraId="2AC3384D" w14:textId="77777777" w:rsidR="00DF1FC7" w:rsidRDefault="00DF1FC7" w:rsidP="002E5BAD">
      <w:pPr>
        <w:pStyle w:val="a5"/>
      </w:pPr>
      <w:r>
        <w:rPr>
          <w:rStyle w:val="a7"/>
        </w:rPr>
        <w:footnoteRef/>
      </w:r>
      <w:r>
        <w:rPr>
          <w:rtl/>
        </w:rPr>
        <w:t xml:space="preserve"> </w:t>
      </w:r>
      <w:r w:rsidRPr="00991894">
        <w:rPr>
          <w:rFonts w:cs="Arial"/>
          <w:rtl/>
        </w:rPr>
        <w:t>כלומר שמא מעשה ידיך הם ע"כ אין לו עליה רק חרם סתם אבל אם היה טוען ברי היתה צריכה לישבע היסת</w:t>
      </w:r>
      <w:r>
        <w:rPr>
          <w:rFonts w:cs="Arial" w:hint="cs"/>
          <w:rtl/>
        </w:rPr>
        <w:t>, ח"מ (סקכ"ז).</w:t>
      </w:r>
    </w:p>
  </w:footnote>
  <w:footnote w:id="1695">
    <w:p w14:paraId="1E539A8C" w14:textId="77777777" w:rsidR="00DF1FC7" w:rsidRDefault="00DF1FC7" w:rsidP="002E5BAD">
      <w:pPr>
        <w:pStyle w:val="a5"/>
      </w:pPr>
      <w:r>
        <w:rPr>
          <w:rStyle w:val="a7"/>
        </w:rPr>
        <w:footnoteRef/>
      </w:r>
      <w:r>
        <w:rPr>
          <w:rtl/>
        </w:rPr>
        <w:t xml:space="preserve"> </w:t>
      </w:r>
      <w:r w:rsidRPr="00950C56">
        <w:rPr>
          <w:rFonts w:cs="Arial"/>
          <w:rtl/>
        </w:rPr>
        <w:t>שאין יכולת בידה להפקיע מבעלה לגמרי וכל ממון הנמצא ביד האשה הוא בחזקת בעלה לפירות וגם ליורשה לאחר מיתתה כדין נ"מ</w:t>
      </w:r>
      <w:r>
        <w:rPr>
          <w:rFonts w:cs="Arial" w:hint="cs"/>
          <w:rtl/>
        </w:rPr>
        <w:t>.</w:t>
      </w:r>
      <w:r w:rsidRPr="00950C56">
        <w:rPr>
          <w:rFonts w:cs="Arial"/>
          <w:rtl/>
        </w:rPr>
        <w:t xml:space="preserve"> ועיין בכ"מ מ"ש בשם בעל התרומות דמשמעות דבריו שאין לה נאמנות על הפקעת ירושה</w:t>
      </w:r>
      <w:r>
        <w:rPr>
          <w:rFonts w:cs="Arial" w:hint="cs"/>
          <w:rtl/>
        </w:rPr>
        <w:t>, ח"מ (סקכ"ח).</w:t>
      </w:r>
    </w:p>
  </w:footnote>
  <w:footnote w:id="1696">
    <w:p w14:paraId="085CA5A9" w14:textId="77777777" w:rsidR="00DF1FC7" w:rsidRDefault="00DF1FC7" w:rsidP="002E5BAD">
      <w:pPr>
        <w:pStyle w:val="a5"/>
      </w:pPr>
      <w:r>
        <w:rPr>
          <w:rStyle w:val="a7"/>
        </w:rPr>
        <w:footnoteRef/>
      </w:r>
      <w:r>
        <w:rPr>
          <w:rtl/>
        </w:rPr>
        <w:t xml:space="preserve"> </w:t>
      </w:r>
      <w:r w:rsidRPr="00950C56">
        <w:rPr>
          <w:rFonts w:cs="Arial"/>
          <w:rtl/>
        </w:rPr>
        <w:t>משפט הג"ה זו משמע דבמעות שאינם טמונים נאמנת להפקיע מבעלה לגמרי ולטעון שניתן לה המעות ע"מ שלא יהיה לבעלה רשות לא בפירו' ולא בירושה ואני לא ראיתי זה בדברי הרב רבי שמשון והרא"ש שהם לא כתבו רק שבמעות שאינם טמונים לא מהני תקיפת הבעל כמו שמהני במעות טמונים אבל מ"מ הם בחזקת נ"מ ואף שהמ"מ כתב שאין הכל מסכימין עם הרמב"ם והרמב"ן בזה והרשב"א הוא מהחולקים וס"ל דנאמנת האשה לומר שלי הם לגמרי ונתנו לה ע"מ שאין לבעלה רשות בהן וכן דעת הר"י והריטב"א כמו שכתב נ"י אבל מ"מ הביא הב"י בשם הרשב"א בתשובה שלא החליט הדבר למעשה וגם לא חילק בין טמונים לשאינם טמונים דאפשר אף בטמונים כל זמן שהם בידה תוכל לטעון ששלה הם על מנת שאין לבעלה רשות כלל ואין חילוק בין טמונים לשאינם טמונים אלא כשהבעל מוחזק בהם אבל כשהם ביד האשה אין מי שיחלק בין טמונים לשאינם טמונים</w:t>
      </w:r>
      <w:r>
        <w:rPr>
          <w:rFonts w:cs="Arial" w:hint="cs"/>
          <w:rtl/>
        </w:rPr>
        <w:t>, ח"מ (סקכ"ט).</w:t>
      </w:r>
    </w:p>
  </w:footnote>
  <w:footnote w:id="1697">
    <w:p w14:paraId="654BEBBB" w14:textId="77777777" w:rsidR="00DF1FC7" w:rsidRDefault="00DF1FC7" w:rsidP="002E5BAD">
      <w:pPr>
        <w:pStyle w:val="a5"/>
        <w:rPr>
          <w:rtl/>
        </w:rPr>
      </w:pPr>
      <w:r>
        <w:rPr>
          <w:rStyle w:val="a7"/>
        </w:rPr>
        <w:footnoteRef/>
      </w:r>
      <w:r>
        <w:rPr>
          <w:rtl/>
        </w:rPr>
        <w:t xml:space="preserve"> </w:t>
      </w:r>
      <w:r w:rsidRPr="00950C56">
        <w:rPr>
          <w:rFonts w:cs="Arial"/>
          <w:rtl/>
        </w:rPr>
        <w:t>ואפילו אינה נושאת אלא שהבעל מאמין לה ומפקיד מה שיש לו בידה גם כן כל מה שברשות' בחזקת הבעל הם וכך כתב הטור בסימן פ"ו על כן כתבו הפוסקים שסתם אשה מיקרי נושאת ונותנת דסתם נשים הבעל מאמין לה ומפקיד שלו בידה וכן פסק בשלחן ערוך בח"מ סימן ס"ב והראיה שצריכה להביא הוא שיש לה ממון מיוחד ואז נאמנ' לומר שמה שנמצא בידה הוא מאותו ממון המיוחד לה ועוד יתבאר דין נושאת ונותנת בתוך הבית בסי' שאח"ז</w:t>
      </w:r>
      <w:r>
        <w:rPr>
          <w:rFonts w:hint="cs"/>
          <w:rtl/>
        </w:rPr>
        <w:t>, ח"מ (סק"ל).</w:t>
      </w:r>
    </w:p>
  </w:footnote>
  <w:footnote w:id="1698">
    <w:p w14:paraId="2C9F4CA3" w14:textId="77777777" w:rsidR="00DF1FC7" w:rsidRDefault="00DF1FC7" w:rsidP="002E5BAD">
      <w:pPr>
        <w:pStyle w:val="a5"/>
      </w:pPr>
      <w:r>
        <w:rPr>
          <w:rStyle w:val="a7"/>
        </w:rPr>
        <w:footnoteRef/>
      </w:r>
      <w:r>
        <w:rPr>
          <w:rtl/>
        </w:rPr>
        <w:t xml:space="preserve"> </w:t>
      </w:r>
      <w:r w:rsidRPr="006403CA">
        <w:rPr>
          <w:rFonts w:cs="Arial"/>
          <w:rtl/>
        </w:rPr>
        <w:t>נאמנת בכל ענין ואפי' בנושאת בתוך הבית ואפשר אף לשיטות הרמב"ם דס"ל חזקה מה שביד האשה בחזקת נ"מ הוא מ"מ נאמנות אף על גב דהוי מיגו במקום חזקה מ"מ אף על גב דמחזיקים בתורת נ"מ עכ"פ היא תופסת ומיגו במקום חזקה אבעי' דלא אפשטא היא ואין מוציאים מידה כמ"ש בסמוך והרב רמ"א כתב דין זה בשם תשובת מהר"מ כמ"ש בד"מ ולכאורה קשה איך למד מתשובת מהר"מ דין זה הא שם היה עובדא דאמרה אתה נתת לי והוה העזה ומנ"ל דנאמנ' כשלא אמרה אתה נתת לי וי"ל שם לא היה שייך העזה דאיירי שם במרדה בו אז בודאי מעיזה בפניו, ובתשו' הרשב"א שהביא הב"י סס"ז ג"כ מבואר דין זה אלא בתשו' מהר"מ מבואר אפי' בנושא' נאמנת במיגו</w:t>
      </w:r>
      <w:r>
        <w:rPr>
          <w:rFonts w:cs="Arial" w:hint="cs"/>
          <w:rtl/>
        </w:rPr>
        <w:t>.</w:t>
      </w:r>
      <w:r w:rsidRPr="006403CA">
        <w:rPr>
          <w:rFonts w:cs="Arial"/>
          <w:rtl/>
        </w:rPr>
        <w:t xml:space="preserve"> מיהו מתוספת בסוגיא זו משמע דאינה נאמנת בנושאת אף על גב דיש לה מיגו דהא כתבו בנושאת שהפקידה פקדון אינה נאמנת לו' שלי הוא או של פלוני והתם יש לה מיגו דיכולה ליתן לפלוני כמ"ש בתוס' שם ועיין בח"ה ס"ס ס"ב כ' בהג"ה שם אשה שכתבה המעות שבידה של אחרים הוא אם ידוע שהיה לה ממון נאמנת ופירש הסמ"ע דאיירי דאין לה מיגו אבל אם יש לה מיגו נאמנת אפי' בא"י שיש לה מעות אפי' אם היא נושאת בבית, והיינו כדעת מהר"מ ובש"ך השיג עליו והביא תוספות אלו דס"ל בנושא' ל"מ מיגו ובחנם השיג על הסמ"ע דהא הוא כתב לפרש שם דברי הרב רמ"א והוא פסק כאן דנאמנת במיגו</w:t>
      </w:r>
      <w:r>
        <w:rPr>
          <w:rFonts w:hint="cs"/>
          <w:rtl/>
        </w:rPr>
        <w:t>, ב"ש (סקכ"ט).</w:t>
      </w:r>
    </w:p>
  </w:footnote>
  <w:footnote w:id="1699">
    <w:p w14:paraId="764BCBAC" w14:textId="77777777" w:rsidR="00DF1FC7" w:rsidRDefault="00DF1FC7" w:rsidP="002E5BAD">
      <w:pPr>
        <w:pStyle w:val="a5"/>
      </w:pPr>
      <w:r>
        <w:rPr>
          <w:rStyle w:val="a7"/>
        </w:rPr>
        <w:footnoteRef/>
      </w:r>
      <w:r>
        <w:rPr>
          <w:rtl/>
        </w:rPr>
        <w:t xml:space="preserve"> </w:t>
      </w:r>
      <w:r w:rsidRPr="000E374A">
        <w:rPr>
          <w:rFonts w:cs="Arial"/>
          <w:rtl/>
        </w:rPr>
        <w:t>כלומר ואין לך פירות כמ"ש לעיל סעיף ז' שאין לבעל פירות במה שנותן לה מתנה אעפ"י שכבר נתבאר שעליה להביא ראיה כל שרוצה להפקיע הפירות מיד בעלה מ"מ הכא שאני מאחר שמעיזה בפניו נאמנת כ"כ המ"מ ולדעת בעל התרומות שהביא הכ"מ א"צ לתירוץ זה שגם הפירות נאמנת להפקיע מיד בעלה רק הירושה אינה נאמנת להפקיע לאחר מיתה</w:t>
      </w:r>
      <w:r>
        <w:rPr>
          <w:rFonts w:cs="Arial" w:hint="cs"/>
          <w:rtl/>
        </w:rPr>
        <w:t>, ח"מ (סקל"ב).</w:t>
      </w:r>
    </w:p>
  </w:footnote>
  <w:footnote w:id="1700">
    <w:p w14:paraId="54D18A1B" w14:textId="77777777" w:rsidR="00DF1FC7" w:rsidRDefault="00DF1FC7" w:rsidP="002E5BAD">
      <w:pPr>
        <w:pStyle w:val="a5"/>
      </w:pPr>
      <w:r>
        <w:rPr>
          <w:rStyle w:val="a7"/>
        </w:rPr>
        <w:footnoteRef/>
      </w:r>
      <w:r>
        <w:rPr>
          <w:rtl/>
        </w:rPr>
        <w:t xml:space="preserve"> </w:t>
      </w:r>
      <w:r>
        <w:rPr>
          <w:rFonts w:hint="cs"/>
          <w:rtl/>
        </w:rPr>
        <w:t xml:space="preserve">אפילו היא נושאת ונותנת בבית </w:t>
      </w:r>
      <w:r w:rsidRPr="00A61343">
        <w:rPr>
          <w:rFonts w:cs="Arial"/>
          <w:rtl/>
        </w:rPr>
        <w:t>נאמנת</w:t>
      </w:r>
      <w:r>
        <w:rPr>
          <w:rFonts w:cs="Arial" w:hint="cs"/>
          <w:rtl/>
        </w:rPr>
        <w:t>,</w:t>
      </w:r>
      <w:r w:rsidRPr="00A61343">
        <w:rPr>
          <w:rFonts w:cs="Arial"/>
          <w:rtl/>
        </w:rPr>
        <w:t xml:space="preserve"> מטעם דא"י להעיז לפי סברת המגיד</w:t>
      </w:r>
      <w:r>
        <w:rPr>
          <w:rFonts w:cs="Arial" w:hint="cs"/>
          <w:rtl/>
        </w:rPr>
        <w:t>, ע"פ ב"ש (סקכ"ח). וכ"כ הבא"ט (סקי"ט). וכתב הפת"ש (סק"ג) ש</w:t>
      </w:r>
      <w:r w:rsidRPr="00A61343">
        <w:rPr>
          <w:rFonts w:cs="Arial"/>
          <w:rtl/>
        </w:rPr>
        <w:t>בס' ישועות יעקב סק"ט חולק עליו</w:t>
      </w:r>
      <w:r>
        <w:rPr>
          <w:rFonts w:cs="Arial" w:hint="cs"/>
          <w:rtl/>
        </w:rPr>
        <w:t>.</w:t>
      </w:r>
    </w:p>
  </w:footnote>
  <w:footnote w:id="1701">
    <w:p w14:paraId="05AC1B22" w14:textId="77777777" w:rsidR="00DF1FC7" w:rsidRDefault="00DF1FC7" w:rsidP="002E5BAD">
      <w:pPr>
        <w:pStyle w:val="a5"/>
      </w:pPr>
      <w:r>
        <w:rPr>
          <w:rStyle w:val="a7"/>
        </w:rPr>
        <w:footnoteRef/>
      </w:r>
      <w:r>
        <w:rPr>
          <w:rtl/>
        </w:rPr>
        <w:t xml:space="preserve"> </w:t>
      </w:r>
      <w:r w:rsidRPr="00A61343">
        <w:rPr>
          <w:rFonts w:cs="Arial"/>
          <w:rtl/>
        </w:rPr>
        <w:t>מבואר בה"ב והובא בכ"מ מטלטלים הידועים שהם של בעל אינה נאמנת שבעל נתן לה במתנ' ואף למ"ש בשם המגיד דא"י להעיז מכל מקום דבר הידוע שהוא של הבעל אינה נאמנת אלא דבר שא"י שהוא של בעל אלא מה שביד האשה הוא בחזקת נ"מ אז מהני החזקה דא"י להעיז</w:t>
      </w:r>
      <w:r>
        <w:rPr>
          <w:rFonts w:cs="Arial" w:hint="cs"/>
          <w:rtl/>
        </w:rPr>
        <w:t>, ב"ש (סקל"א).</w:t>
      </w:r>
    </w:p>
  </w:footnote>
  <w:footnote w:id="1702">
    <w:p w14:paraId="36999B5A" w14:textId="77777777" w:rsidR="00DF1FC7" w:rsidRDefault="00DF1FC7" w:rsidP="002E5BAD">
      <w:pPr>
        <w:pStyle w:val="a5"/>
      </w:pPr>
      <w:r>
        <w:rPr>
          <w:rStyle w:val="a7"/>
        </w:rPr>
        <w:footnoteRef/>
      </w:r>
      <w:r>
        <w:rPr>
          <w:rtl/>
        </w:rPr>
        <w:t xml:space="preserve"> </w:t>
      </w:r>
      <w:r w:rsidRPr="00BC5A33">
        <w:rPr>
          <w:rFonts w:cs="Arial"/>
          <w:rtl/>
        </w:rPr>
        <w:t>והקרן קיימת לה שלא תיקנו לו חכמים תחת פירקונה אלא פירו</w:t>
      </w:r>
      <w:r>
        <w:rPr>
          <w:rFonts w:cs="Arial" w:hint="cs"/>
          <w:rtl/>
        </w:rPr>
        <w:t>ת</w:t>
      </w:r>
      <w:r>
        <w:rPr>
          <w:rFonts w:hint="cs"/>
          <w:rtl/>
        </w:rPr>
        <w:t>, רש"י.</w:t>
      </w:r>
    </w:p>
  </w:footnote>
  <w:footnote w:id="1703">
    <w:p w14:paraId="3DE9A7C8" w14:textId="77777777" w:rsidR="00DF1FC7" w:rsidRDefault="00DF1FC7" w:rsidP="002E5BAD">
      <w:pPr>
        <w:pStyle w:val="a5"/>
      </w:pPr>
      <w:r>
        <w:rPr>
          <w:rStyle w:val="a7"/>
        </w:rPr>
        <w:footnoteRef/>
      </w:r>
      <w:r>
        <w:rPr>
          <w:rtl/>
        </w:rPr>
        <w:t xml:space="preserve"> </w:t>
      </w:r>
      <w:r w:rsidRPr="00BC5A33">
        <w:rPr>
          <w:rFonts w:cs="Arial"/>
          <w:rtl/>
        </w:rPr>
        <w:t>נפלו לה כספים ובאו ליקח לה קרקע זה אומר קרקע בת זריעה אני רוצה וזאת אומרת בתים אני רוצה ליקח או איפוך</w:t>
      </w:r>
      <w:r>
        <w:rPr>
          <w:rFonts w:hint="cs"/>
          <w:rtl/>
        </w:rPr>
        <w:t>, רש"י.</w:t>
      </w:r>
    </w:p>
  </w:footnote>
  <w:footnote w:id="1704">
    <w:p w14:paraId="47D68690" w14:textId="77777777" w:rsidR="00DF1FC7" w:rsidRDefault="00DF1FC7" w:rsidP="002E5BAD">
      <w:pPr>
        <w:pStyle w:val="a5"/>
      </w:pPr>
      <w:r>
        <w:rPr>
          <w:rStyle w:val="a7"/>
        </w:rPr>
        <w:footnoteRef/>
      </w:r>
      <w:r>
        <w:rPr>
          <w:rtl/>
        </w:rPr>
        <w:t xml:space="preserve"> </w:t>
      </w:r>
      <w:r w:rsidRPr="00BC5A33">
        <w:rPr>
          <w:rFonts w:cs="Arial"/>
          <w:rtl/>
        </w:rPr>
        <w:t>זבנינן מינייהו ששכרה מרובה ואינה מרקבת ושניהם מעכבים הבעל יכול לומר דבר שפירותיו מרובים אני חפץ וכן אם בא הוא ליקח בית יכולה היא לומר איני רוצה בדבר שהוא כלה והולך והקרן מתמעט</w:t>
      </w:r>
      <w:r>
        <w:rPr>
          <w:rFonts w:hint="cs"/>
          <w:rtl/>
        </w:rPr>
        <w:t>, רש"י.</w:t>
      </w:r>
    </w:p>
  </w:footnote>
  <w:footnote w:id="1705">
    <w:p w14:paraId="0BF5132A" w14:textId="77777777" w:rsidR="00DF1FC7" w:rsidRDefault="00DF1FC7" w:rsidP="002E5BAD">
      <w:pPr>
        <w:pStyle w:val="a5"/>
      </w:pPr>
      <w:r>
        <w:rPr>
          <w:rStyle w:val="a7"/>
        </w:rPr>
        <w:footnoteRef/>
      </w:r>
      <w:r>
        <w:rPr>
          <w:rtl/>
        </w:rPr>
        <w:t xml:space="preserve"> </w:t>
      </w:r>
      <w:r w:rsidRPr="00950E2F">
        <w:rPr>
          <w:rFonts w:cs="Arial"/>
          <w:rtl/>
        </w:rPr>
        <w:t>שכרן מרובה מדיקלי שהן עשויין ליבש</w:t>
      </w:r>
      <w:r>
        <w:rPr>
          <w:rFonts w:hint="cs"/>
          <w:rtl/>
        </w:rPr>
        <w:t>, רש"י.</w:t>
      </w:r>
    </w:p>
  </w:footnote>
  <w:footnote w:id="1706">
    <w:p w14:paraId="53ECE55C" w14:textId="77777777" w:rsidR="00DF1FC7" w:rsidRDefault="00DF1FC7" w:rsidP="002E5BAD">
      <w:pPr>
        <w:pStyle w:val="a5"/>
      </w:pPr>
      <w:r>
        <w:rPr>
          <w:rStyle w:val="a7"/>
        </w:rPr>
        <w:footnoteRef/>
      </w:r>
      <w:r>
        <w:rPr>
          <w:rtl/>
        </w:rPr>
        <w:t xml:space="preserve"> </w:t>
      </w:r>
      <w:r w:rsidRPr="00950E2F">
        <w:rPr>
          <w:rFonts w:cs="Arial"/>
          <w:rtl/>
        </w:rPr>
        <w:t>תמרים</w:t>
      </w:r>
      <w:r>
        <w:rPr>
          <w:rFonts w:hint="cs"/>
          <w:rtl/>
        </w:rPr>
        <w:t>, רש"י.</w:t>
      </w:r>
    </w:p>
  </w:footnote>
  <w:footnote w:id="1707">
    <w:p w14:paraId="4227CF9E" w14:textId="77777777" w:rsidR="00DF1FC7" w:rsidRDefault="00DF1FC7" w:rsidP="002E5BAD">
      <w:pPr>
        <w:pStyle w:val="a5"/>
      </w:pPr>
      <w:r>
        <w:rPr>
          <w:rStyle w:val="a7"/>
        </w:rPr>
        <w:footnoteRef/>
      </w:r>
      <w:r>
        <w:rPr>
          <w:rtl/>
        </w:rPr>
        <w:t xml:space="preserve"> </w:t>
      </w:r>
      <w:r w:rsidRPr="00BC5A33">
        <w:rPr>
          <w:rFonts w:cs="Arial"/>
          <w:rtl/>
        </w:rPr>
        <w:t>שאר אילנות</w:t>
      </w:r>
      <w:r>
        <w:rPr>
          <w:rFonts w:hint="cs"/>
          <w:rtl/>
        </w:rPr>
        <w:t>, רש"י.</w:t>
      </w:r>
    </w:p>
  </w:footnote>
  <w:footnote w:id="1708">
    <w:p w14:paraId="0C54A809" w14:textId="77777777" w:rsidR="00DF1FC7" w:rsidRDefault="00DF1FC7" w:rsidP="002E5BAD">
      <w:pPr>
        <w:pStyle w:val="a5"/>
      </w:pPr>
      <w:r>
        <w:rPr>
          <w:rStyle w:val="a7"/>
        </w:rPr>
        <w:footnoteRef/>
      </w:r>
      <w:r>
        <w:rPr>
          <w:rtl/>
        </w:rPr>
        <w:t xml:space="preserve"> </w:t>
      </w:r>
      <w:r w:rsidRPr="00BC5A33">
        <w:rPr>
          <w:rFonts w:cs="Arial"/>
          <w:rtl/>
        </w:rPr>
        <w:t>אין גזעו מחליף</w:t>
      </w:r>
      <w:r>
        <w:rPr>
          <w:rFonts w:hint="cs"/>
          <w:rtl/>
        </w:rPr>
        <w:t>, רש"י.</w:t>
      </w:r>
    </w:p>
  </w:footnote>
  <w:footnote w:id="1709">
    <w:p w14:paraId="26BF0743" w14:textId="77777777" w:rsidR="00DF1FC7" w:rsidRDefault="00DF1FC7" w:rsidP="002E5BAD">
      <w:pPr>
        <w:pStyle w:val="a5"/>
      </w:pPr>
      <w:r>
        <w:rPr>
          <w:rStyle w:val="a7"/>
        </w:rPr>
        <w:footnoteRef/>
      </w:r>
      <w:r>
        <w:rPr>
          <w:rtl/>
        </w:rPr>
        <w:t xml:space="preserve"> </w:t>
      </w:r>
      <w:r w:rsidRPr="00BC5A33">
        <w:rPr>
          <w:rFonts w:cs="Arial"/>
          <w:rtl/>
        </w:rPr>
        <w:t>יער לחתוך עצים</w:t>
      </w:r>
      <w:r>
        <w:rPr>
          <w:rFonts w:hint="cs"/>
          <w:rtl/>
        </w:rPr>
        <w:t>, רש"י.</w:t>
      </w:r>
    </w:p>
  </w:footnote>
  <w:footnote w:id="1710">
    <w:p w14:paraId="09864C57" w14:textId="77777777" w:rsidR="00DF1FC7" w:rsidRDefault="00DF1FC7" w:rsidP="002E5BAD">
      <w:pPr>
        <w:pStyle w:val="a5"/>
      </w:pPr>
      <w:r>
        <w:rPr>
          <w:rStyle w:val="a7"/>
        </w:rPr>
        <w:footnoteRef/>
      </w:r>
      <w:r>
        <w:rPr>
          <w:rtl/>
        </w:rPr>
        <w:t xml:space="preserve"> </w:t>
      </w:r>
      <w:r w:rsidRPr="00950E2F">
        <w:rPr>
          <w:rFonts w:cs="Arial"/>
          <w:rtl/>
        </w:rPr>
        <w:t>אילנות של עוזרדין ולא היו פריין חשוב להן וקוצצין אותן לעצים</w:t>
      </w:r>
      <w:r>
        <w:rPr>
          <w:rFonts w:hint="cs"/>
          <w:rtl/>
        </w:rPr>
        <w:t>, רש"י.</w:t>
      </w:r>
    </w:p>
  </w:footnote>
  <w:footnote w:id="1711">
    <w:p w14:paraId="002B6586" w14:textId="77777777" w:rsidR="00DF1FC7" w:rsidRDefault="00DF1FC7" w:rsidP="002E5BAD">
      <w:pPr>
        <w:pStyle w:val="a5"/>
      </w:pPr>
      <w:r>
        <w:rPr>
          <w:rStyle w:val="a7"/>
        </w:rPr>
        <w:footnoteRef/>
      </w:r>
      <w:r>
        <w:rPr>
          <w:rtl/>
        </w:rPr>
        <w:t xml:space="preserve"> </w:t>
      </w:r>
      <w:r w:rsidRPr="00BC5A33">
        <w:rPr>
          <w:rFonts w:cs="Arial"/>
          <w:rtl/>
        </w:rPr>
        <w:t>חפירה של דגים שקורין ויויי"ר</w:t>
      </w:r>
      <w:r>
        <w:rPr>
          <w:rFonts w:hint="cs"/>
          <w:rtl/>
        </w:rPr>
        <w:t>, רש"י.</w:t>
      </w:r>
    </w:p>
  </w:footnote>
  <w:footnote w:id="1712">
    <w:p w14:paraId="1BE276D6" w14:textId="77777777" w:rsidR="00DF1FC7" w:rsidRDefault="00DF1FC7" w:rsidP="002E5BAD">
      <w:pPr>
        <w:pStyle w:val="a5"/>
      </w:pPr>
      <w:r>
        <w:rPr>
          <w:rStyle w:val="a7"/>
        </w:rPr>
        <w:footnoteRef/>
      </w:r>
      <w:r>
        <w:rPr>
          <w:rtl/>
        </w:rPr>
        <w:t xml:space="preserve"> </w:t>
      </w:r>
      <w:r w:rsidRPr="00BC5A33">
        <w:rPr>
          <w:rFonts w:cs="Arial"/>
          <w:rtl/>
        </w:rPr>
        <w:t>אם נפלו לה בירושה קציצת העצים ודגים שבחפירה הוא פריין והקרקע הוא קרן</w:t>
      </w:r>
      <w:r>
        <w:rPr>
          <w:rFonts w:hint="cs"/>
          <w:rtl/>
        </w:rPr>
        <w:t>, רש"י.</w:t>
      </w:r>
    </w:p>
  </w:footnote>
  <w:footnote w:id="1713">
    <w:p w14:paraId="59F5A936" w14:textId="77777777" w:rsidR="00DF1FC7" w:rsidRDefault="00DF1FC7" w:rsidP="002E5BAD">
      <w:pPr>
        <w:pStyle w:val="a5"/>
      </w:pPr>
      <w:r>
        <w:rPr>
          <w:rStyle w:val="a7"/>
        </w:rPr>
        <w:footnoteRef/>
      </w:r>
      <w:r>
        <w:rPr>
          <w:rtl/>
        </w:rPr>
        <w:t xml:space="preserve"> </w:t>
      </w:r>
      <w:r w:rsidRPr="00950E2F">
        <w:rPr>
          <w:rFonts w:cs="Arial"/>
          <w:rtl/>
        </w:rPr>
        <w:t>כולהו הוו קרנא הואיל והעצים והדגים כלים</w:t>
      </w:r>
      <w:r>
        <w:rPr>
          <w:rFonts w:cs="Arial" w:hint="cs"/>
          <w:rtl/>
        </w:rPr>
        <w:t>,</w:t>
      </w:r>
      <w:r w:rsidRPr="00950E2F">
        <w:rPr>
          <w:rFonts w:cs="Arial"/>
          <w:rtl/>
        </w:rPr>
        <w:t xml:space="preserve"> והכל ימכר מיד</w:t>
      </w:r>
      <w:r>
        <w:rPr>
          <w:rFonts w:cs="Arial" w:hint="cs"/>
          <w:rtl/>
        </w:rPr>
        <w:t>,</w:t>
      </w:r>
      <w:r w:rsidRPr="00950E2F">
        <w:rPr>
          <w:rFonts w:cs="Arial"/>
          <w:rtl/>
        </w:rPr>
        <w:t xml:space="preserve"> וילקח בהן קרקע והוא אוכל פירות</w:t>
      </w:r>
      <w:r>
        <w:rPr>
          <w:rFonts w:hint="cs"/>
          <w:rtl/>
        </w:rPr>
        <w:t>, רש"י.</w:t>
      </w:r>
    </w:p>
  </w:footnote>
  <w:footnote w:id="1714">
    <w:p w14:paraId="4069710E" w14:textId="77777777" w:rsidR="00DF1FC7" w:rsidRDefault="00DF1FC7" w:rsidP="002E5BAD">
      <w:pPr>
        <w:pStyle w:val="a5"/>
        <w:rPr>
          <w:rtl/>
        </w:rPr>
      </w:pPr>
      <w:r>
        <w:rPr>
          <w:rStyle w:val="a7"/>
        </w:rPr>
        <w:footnoteRef/>
      </w:r>
      <w:r>
        <w:rPr>
          <w:rtl/>
        </w:rPr>
        <w:t xml:space="preserve"> </w:t>
      </w:r>
      <w:r>
        <w:rPr>
          <w:rFonts w:cs="Arial"/>
          <w:rtl/>
        </w:rPr>
        <w:t>כלומר הפרי יאכל הבעל ולא אמרינן ימכר וילקח בהם קרקע</w:t>
      </w:r>
      <w:r>
        <w:rPr>
          <w:rFonts w:cs="Arial" w:hint="cs"/>
          <w:rtl/>
        </w:rPr>
        <w:t>,</w:t>
      </w:r>
      <w:r>
        <w:rPr>
          <w:rFonts w:cs="Arial"/>
          <w:rtl/>
        </w:rPr>
        <w:t xml:space="preserve"> רא"ש (סי' ה)</w:t>
      </w:r>
      <w:r>
        <w:rPr>
          <w:rFonts w:cs="Arial" w:hint="cs"/>
          <w:rtl/>
        </w:rPr>
        <w:t>.</w:t>
      </w:r>
    </w:p>
  </w:footnote>
  <w:footnote w:id="1715">
    <w:p w14:paraId="28230A44" w14:textId="77777777" w:rsidR="00DF1FC7" w:rsidRDefault="00DF1FC7" w:rsidP="002E5BAD">
      <w:pPr>
        <w:pStyle w:val="a5"/>
        <w:rPr>
          <w:rtl/>
        </w:rPr>
      </w:pPr>
      <w:r>
        <w:rPr>
          <w:rStyle w:val="a7"/>
        </w:rPr>
        <w:footnoteRef/>
      </w:r>
      <w:r>
        <w:rPr>
          <w:rtl/>
        </w:rPr>
        <w:t xml:space="preserve"> </w:t>
      </w:r>
      <w:r>
        <w:rPr>
          <w:rFonts w:cs="Arial"/>
          <w:rtl/>
        </w:rPr>
        <w:t>כלומר יעשה ממנו קרן וימכר וילקח בהם קרקע</w:t>
      </w:r>
      <w:r>
        <w:rPr>
          <w:rFonts w:cs="Arial" w:hint="cs"/>
          <w:rtl/>
        </w:rPr>
        <w:t>,</w:t>
      </w:r>
      <w:r>
        <w:rPr>
          <w:rFonts w:cs="Arial"/>
          <w:rtl/>
        </w:rPr>
        <w:t xml:space="preserve"> רא"ש (סי' ה)</w:t>
      </w:r>
      <w:r>
        <w:rPr>
          <w:rFonts w:cs="Arial" w:hint="cs"/>
          <w:rtl/>
        </w:rPr>
        <w:t>.</w:t>
      </w:r>
    </w:p>
  </w:footnote>
  <w:footnote w:id="1716">
    <w:p w14:paraId="634DA6EC" w14:textId="77777777" w:rsidR="00DF1FC7" w:rsidRDefault="00DF1FC7" w:rsidP="002E5BAD">
      <w:pPr>
        <w:pStyle w:val="a5"/>
        <w:rPr>
          <w:rtl/>
        </w:rPr>
      </w:pPr>
      <w:r>
        <w:rPr>
          <w:rStyle w:val="a7"/>
        </w:rPr>
        <w:footnoteRef/>
      </w:r>
      <w:r>
        <w:rPr>
          <w:rtl/>
        </w:rPr>
        <w:t xml:space="preserve"> </w:t>
      </w:r>
      <w:r>
        <w:rPr>
          <w:rFonts w:cs="Arial"/>
          <w:rtl/>
        </w:rPr>
        <w:t>לנוסחא בתרייתא ה"פ</w:t>
      </w:r>
      <w:r>
        <w:rPr>
          <w:rFonts w:cs="Arial" w:hint="cs"/>
          <w:rtl/>
        </w:rPr>
        <w:t>-</w:t>
      </w:r>
      <w:r>
        <w:rPr>
          <w:rFonts w:cs="Arial"/>
          <w:rtl/>
        </w:rPr>
        <w:t xml:space="preserve"> כשבא לקנות בכספים שנפלו לה לא יקנה לעשות קרן אלא דבר שגזעו מחליף אבל דבר שאין גזעו מחליף לא יקנה דחשיב כפירי</w:t>
      </w:r>
      <w:r>
        <w:rPr>
          <w:rFonts w:cs="Arial" w:hint="cs"/>
          <w:rtl/>
        </w:rPr>
        <w:t>,</w:t>
      </w:r>
      <w:r>
        <w:rPr>
          <w:rFonts w:cs="Arial"/>
          <w:rtl/>
        </w:rPr>
        <w:t xml:space="preserve"> רא"ש (סי' ה)</w:t>
      </w:r>
      <w:r>
        <w:rPr>
          <w:rFonts w:cs="Arial" w:hint="cs"/>
          <w:rtl/>
        </w:rPr>
        <w:t>.</w:t>
      </w:r>
      <w:r>
        <w:rPr>
          <w:rFonts w:hint="cs"/>
          <w:rtl/>
        </w:rPr>
        <w:t xml:space="preserve"> וכתב הב"י דנראה מדברי הרא"ש </w:t>
      </w:r>
      <w:r>
        <w:rPr>
          <w:rFonts w:cs="Arial"/>
          <w:rtl/>
        </w:rPr>
        <w:t>שהוא מקיים דברי השתי נוסחאות</w:t>
      </w:r>
      <w:r>
        <w:rPr>
          <w:rFonts w:cs="Arial" w:hint="cs"/>
          <w:rtl/>
        </w:rPr>
        <w:t>,</w:t>
      </w:r>
      <w:r>
        <w:rPr>
          <w:rFonts w:cs="Arial"/>
          <w:rtl/>
        </w:rPr>
        <w:t xml:space="preserve"> דכשנפל לה דבר שגזעו מחליף</w:t>
      </w:r>
      <w:r>
        <w:rPr>
          <w:rFonts w:cs="Arial" w:hint="cs"/>
          <w:rtl/>
        </w:rPr>
        <w:t>,</w:t>
      </w:r>
      <w:r>
        <w:rPr>
          <w:rFonts w:cs="Arial"/>
          <w:rtl/>
        </w:rPr>
        <w:t xml:space="preserve"> לא ימכר אלא מקיימו כמות שהוא ויאכל פירותיו</w:t>
      </w:r>
      <w:r>
        <w:rPr>
          <w:rFonts w:cs="Arial" w:hint="cs"/>
          <w:rtl/>
        </w:rPr>
        <w:t>.</w:t>
      </w:r>
      <w:r>
        <w:rPr>
          <w:rFonts w:cs="Arial"/>
          <w:rtl/>
        </w:rPr>
        <w:t xml:space="preserve"> ואם נפל לה דבר שאין גזעו מחליף</w:t>
      </w:r>
      <w:r>
        <w:rPr>
          <w:rFonts w:cs="Arial" w:hint="cs"/>
          <w:rtl/>
        </w:rPr>
        <w:t>,</w:t>
      </w:r>
      <w:r>
        <w:rPr>
          <w:rFonts w:cs="Arial"/>
          <w:rtl/>
        </w:rPr>
        <w:t xml:space="preserve"> ימכר וילקח בהם קרקע</w:t>
      </w:r>
      <w:r>
        <w:rPr>
          <w:rFonts w:cs="Arial" w:hint="cs"/>
          <w:rtl/>
        </w:rPr>
        <w:t>.</w:t>
      </w:r>
      <w:r>
        <w:rPr>
          <w:rFonts w:cs="Arial"/>
          <w:rtl/>
        </w:rPr>
        <w:t xml:space="preserve"> ואם נפלו לה מעות</w:t>
      </w:r>
      <w:r>
        <w:rPr>
          <w:rFonts w:cs="Arial" w:hint="cs"/>
          <w:rtl/>
        </w:rPr>
        <w:t>,</w:t>
      </w:r>
      <w:r>
        <w:rPr>
          <w:rFonts w:cs="Arial"/>
          <w:rtl/>
        </w:rPr>
        <w:t xml:space="preserve"> ילקח בהם דבר שגזעו מחליף</w:t>
      </w:r>
      <w:r>
        <w:rPr>
          <w:rFonts w:cs="Arial" w:hint="cs"/>
          <w:rtl/>
        </w:rPr>
        <w:t>,</w:t>
      </w:r>
      <w:r>
        <w:rPr>
          <w:rFonts w:cs="Arial"/>
          <w:rtl/>
        </w:rPr>
        <w:t xml:space="preserve"> ולא ילקח דבר שאין גזעו מחליף</w:t>
      </w:r>
      <w:r>
        <w:rPr>
          <w:rFonts w:cs="Arial" w:hint="cs"/>
          <w:rtl/>
        </w:rPr>
        <w:t>.</w:t>
      </w:r>
      <w:r>
        <w:rPr>
          <w:rFonts w:cs="Arial"/>
          <w:rtl/>
        </w:rPr>
        <w:t xml:space="preserve"> וזהו שכתב רבינו </w:t>
      </w:r>
      <w:r>
        <w:rPr>
          <w:rFonts w:cs="Arial" w:hint="cs"/>
          <w:sz w:val="16"/>
          <w:szCs w:val="16"/>
          <w:rtl/>
        </w:rPr>
        <w:t xml:space="preserve">{הטור} </w:t>
      </w:r>
      <w:r>
        <w:rPr>
          <w:rFonts w:cs="Arial"/>
          <w:rtl/>
        </w:rPr>
        <w:t>ואין קונין דבר שאין גזעו מחליף ואם נפל לה דבר שגזעו מחליף אין צריך למוכרן כיון שגזעו מחליף אוכל הפירות והקרן קיימת לה</w:t>
      </w:r>
      <w:r>
        <w:rPr>
          <w:rFonts w:cs="Arial" w:hint="cs"/>
          <w:rtl/>
        </w:rPr>
        <w:t>.</w:t>
      </w:r>
    </w:p>
  </w:footnote>
  <w:footnote w:id="1717">
    <w:p w14:paraId="35098BDE" w14:textId="77777777" w:rsidR="00DF1FC7" w:rsidRDefault="00DF1FC7" w:rsidP="002E5BAD">
      <w:pPr>
        <w:pStyle w:val="a5"/>
      </w:pPr>
      <w:r>
        <w:rPr>
          <w:rStyle w:val="a7"/>
        </w:rPr>
        <w:footnoteRef/>
      </w:r>
      <w:r>
        <w:rPr>
          <w:rtl/>
        </w:rPr>
        <w:t xml:space="preserve"> </w:t>
      </w:r>
      <w:r w:rsidRPr="00192E85">
        <w:rPr>
          <w:rFonts w:cs="Arial"/>
          <w:rtl/>
        </w:rPr>
        <w:t>לאכול חלבה</w:t>
      </w:r>
      <w:r>
        <w:rPr>
          <w:rFonts w:cs="Arial" w:hint="cs"/>
          <w:rtl/>
        </w:rPr>
        <w:t>, רש"י.</w:t>
      </w:r>
    </w:p>
  </w:footnote>
  <w:footnote w:id="1718">
    <w:p w14:paraId="4A479F36" w14:textId="77777777" w:rsidR="00DF1FC7" w:rsidRDefault="00DF1FC7" w:rsidP="002E5BAD">
      <w:pPr>
        <w:pStyle w:val="a5"/>
      </w:pPr>
      <w:r>
        <w:rPr>
          <w:rStyle w:val="a7"/>
        </w:rPr>
        <w:footnoteRef/>
      </w:r>
      <w:r>
        <w:rPr>
          <w:rtl/>
        </w:rPr>
        <w:t xml:space="preserve"> </w:t>
      </w:r>
      <w:r w:rsidRPr="00192E85">
        <w:rPr>
          <w:rFonts w:cs="Arial"/>
          <w:rtl/>
        </w:rPr>
        <w:t>הן עיקר שלה להכי נקט להו והוא הדין דשקיל חלב וולדות</w:t>
      </w:r>
      <w:r>
        <w:rPr>
          <w:rFonts w:cs="Arial" w:hint="cs"/>
          <w:rtl/>
        </w:rPr>
        <w:t>, רש"י.</w:t>
      </w:r>
    </w:p>
  </w:footnote>
  <w:footnote w:id="1719">
    <w:p w14:paraId="38B3B31C" w14:textId="77777777" w:rsidR="00DF1FC7" w:rsidRDefault="00DF1FC7" w:rsidP="002E5BAD">
      <w:pPr>
        <w:pStyle w:val="a5"/>
      </w:pPr>
      <w:r>
        <w:rPr>
          <w:rStyle w:val="a7"/>
        </w:rPr>
        <w:footnoteRef/>
      </w:r>
      <w:r>
        <w:rPr>
          <w:rtl/>
        </w:rPr>
        <w:t xml:space="preserve"> </w:t>
      </w:r>
      <w:r w:rsidRPr="00192E85">
        <w:rPr>
          <w:rFonts w:cs="Arial"/>
          <w:rtl/>
        </w:rPr>
        <w:t>דגבי בהמה איכא עורה וגבי תרנגולת איכא נוצה וגבי דקל כשייבש איכא עציו אבל הני כולהו פירות נינהו שמתחדשין תמיד ודרך הנאתם היא</w:t>
      </w:r>
      <w:r>
        <w:rPr>
          <w:rFonts w:cs="Arial" w:hint="cs"/>
          <w:rtl/>
        </w:rPr>
        <w:t>, רש"י.</w:t>
      </w:r>
    </w:p>
  </w:footnote>
  <w:footnote w:id="1720">
    <w:p w14:paraId="60EB0080" w14:textId="77777777" w:rsidR="00DF1FC7" w:rsidRDefault="00DF1FC7" w:rsidP="002E5BAD">
      <w:pPr>
        <w:pStyle w:val="a5"/>
      </w:pPr>
      <w:r>
        <w:rPr>
          <w:rStyle w:val="a7"/>
        </w:rPr>
        <w:footnoteRef/>
      </w:r>
      <w:r>
        <w:rPr>
          <w:rtl/>
        </w:rPr>
        <w:t xml:space="preserve"> </w:t>
      </w:r>
      <w:r w:rsidRPr="00192E85">
        <w:rPr>
          <w:rFonts w:cs="Arial"/>
          <w:rtl/>
        </w:rPr>
        <w:t>טלית בנכסי מלוג אף על פי שלא שמאתו בכתובה בנכסי צאן ברזל וצריך להיות קרן שמור לה</w:t>
      </w:r>
      <w:r>
        <w:rPr>
          <w:rFonts w:cs="Arial" w:hint="cs"/>
          <w:rtl/>
        </w:rPr>
        <w:t xml:space="preserve">, רש"י. </w:t>
      </w:r>
    </w:p>
  </w:footnote>
  <w:footnote w:id="1721">
    <w:p w14:paraId="327F2BB5" w14:textId="77777777" w:rsidR="00DF1FC7" w:rsidRDefault="00DF1FC7" w:rsidP="002E5BAD">
      <w:pPr>
        <w:pStyle w:val="a5"/>
      </w:pPr>
      <w:r>
        <w:rPr>
          <w:rStyle w:val="a7"/>
        </w:rPr>
        <w:footnoteRef/>
      </w:r>
      <w:r>
        <w:rPr>
          <w:rtl/>
        </w:rPr>
        <w:t xml:space="preserve"> </w:t>
      </w:r>
      <w:r w:rsidRPr="00192E85">
        <w:rPr>
          <w:rFonts w:cs="Arial"/>
          <w:rtl/>
        </w:rPr>
        <w:t>כסויו שמכסה הימנו הן פירותיו</w:t>
      </w:r>
      <w:r>
        <w:rPr>
          <w:rFonts w:cs="Arial" w:hint="cs"/>
          <w:rtl/>
        </w:rPr>
        <w:t>, רש"י.</w:t>
      </w:r>
    </w:p>
  </w:footnote>
  <w:footnote w:id="1722">
    <w:p w14:paraId="53BC863C" w14:textId="77777777" w:rsidR="00DF1FC7" w:rsidRDefault="00DF1FC7" w:rsidP="002E5BAD">
      <w:pPr>
        <w:pStyle w:val="a5"/>
      </w:pPr>
      <w:r>
        <w:rPr>
          <w:rStyle w:val="a7"/>
        </w:rPr>
        <w:footnoteRef/>
      </w:r>
      <w:r>
        <w:rPr>
          <w:rtl/>
        </w:rPr>
        <w:t xml:space="preserve"> </w:t>
      </w:r>
      <w:r w:rsidRPr="00A713D5">
        <w:rPr>
          <w:rFonts w:cs="Arial"/>
          <w:rtl/>
        </w:rPr>
        <w:t>והשחקין יהיו לה לקרן</w:t>
      </w:r>
      <w:r>
        <w:rPr>
          <w:rFonts w:cs="Arial" w:hint="cs"/>
          <w:rtl/>
        </w:rPr>
        <w:t>, רש"י.</w:t>
      </w:r>
    </w:p>
  </w:footnote>
  <w:footnote w:id="1723">
    <w:p w14:paraId="02769094" w14:textId="77777777" w:rsidR="00DF1FC7" w:rsidRDefault="00DF1FC7" w:rsidP="002E5BAD">
      <w:pPr>
        <w:pStyle w:val="a5"/>
      </w:pPr>
      <w:r>
        <w:rPr>
          <w:rStyle w:val="a7"/>
        </w:rPr>
        <w:footnoteRef/>
      </w:r>
      <w:r>
        <w:rPr>
          <w:rtl/>
        </w:rPr>
        <w:t xml:space="preserve"> </w:t>
      </w:r>
      <w:r>
        <w:rPr>
          <w:rFonts w:cs="Arial" w:hint="cs"/>
          <w:rtl/>
        </w:rPr>
        <w:t xml:space="preserve">וז"ל- </w:t>
      </w:r>
      <w:r>
        <w:rPr>
          <w:rFonts w:cs="Arial"/>
          <w:rtl/>
        </w:rPr>
        <w:t>אשה שהיו לה כספים הראויות לבעל לאכול פירותיהם, הוא אומר כך וכך ילקח בהם והיא אומרת איני לוקחת בהן אלא כך וכך, לוקחים דבר שפירותיו מרובים ויציאתו מעוטה, בין שהיה הדבר כרצונו בין שהיה כרצונה</w:t>
      </w:r>
      <w:r>
        <w:rPr>
          <w:rFonts w:cs="Arial" w:hint="cs"/>
          <w:rtl/>
        </w:rPr>
        <w:t>.</w:t>
      </w:r>
      <w:r>
        <w:rPr>
          <w:rFonts w:cs="Arial"/>
          <w:rtl/>
        </w:rPr>
        <w:t xml:space="preserve"> ואין לוקחין אלא דבר שגזעו מחליף שמא יאכל הכל ונמצא הקרן אבד.</w:t>
      </w:r>
    </w:p>
  </w:footnote>
  <w:footnote w:id="1724">
    <w:p w14:paraId="19953D02" w14:textId="77777777" w:rsidR="00DF1FC7" w:rsidRDefault="00DF1FC7" w:rsidP="002E5BAD">
      <w:pPr>
        <w:pStyle w:val="a5"/>
      </w:pPr>
      <w:r>
        <w:rPr>
          <w:rStyle w:val="a7"/>
        </w:rPr>
        <w:footnoteRef/>
      </w:r>
      <w:r>
        <w:rPr>
          <w:rtl/>
        </w:rPr>
        <w:t xml:space="preserve"> </w:t>
      </w:r>
      <w:r>
        <w:rPr>
          <w:rFonts w:cs="Arial"/>
          <w:rtl/>
        </w:rPr>
        <w:t>סובר רבינו דלענין אם נפל לה אילן וכיוצא בו הלכה כלישנא ד</w:t>
      </w:r>
      <w:r>
        <w:rPr>
          <w:rFonts w:cs="Arial" w:hint="cs"/>
          <w:rtl/>
        </w:rPr>
        <w:t>'</w:t>
      </w:r>
      <w:r>
        <w:rPr>
          <w:rFonts w:cs="Arial"/>
          <w:rtl/>
        </w:rPr>
        <w:t>אמרי לה פירא</w:t>
      </w:r>
      <w:r>
        <w:rPr>
          <w:rFonts w:cs="Arial" w:hint="cs"/>
          <w:rtl/>
        </w:rPr>
        <w:t>',</w:t>
      </w:r>
      <w:r>
        <w:rPr>
          <w:rFonts w:cs="Arial"/>
          <w:rtl/>
        </w:rPr>
        <w:t xml:space="preserve"> מדאמר רב נחמן (שם:) עיילא ליה גלימא </w:t>
      </w:r>
      <w:r>
        <w:rPr>
          <w:rFonts w:cs="Arial" w:hint="cs"/>
          <w:rtl/>
        </w:rPr>
        <w:t xml:space="preserve">- </w:t>
      </w:r>
      <w:r>
        <w:rPr>
          <w:rFonts w:cs="Arial"/>
          <w:rtl/>
        </w:rPr>
        <w:t>פירא הוי</w:t>
      </w:r>
      <w:r>
        <w:rPr>
          <w:rFonts w:cs="Arial" w:hint="cs"/>
          <w:rtl/>
        </w:rPr>
        <w:t>,</w:t>
      </w:r>
      <w:r>
        <w:rPr>
          <w:rFonts w:cs="Arial"/>
          <w:rtl/>
        </w:rPr>
        <w:t xml:space="preserve"> מכסי ליה ואזיל עד דכליא</w:t>
      </w:r>
      <w:r>
        <w:rPr>
          <w:rFonts w:cs="Arial" w:hint="cs"/>
          <w:rtl/>
        </w:rPr>
        <w:t>..., ב"י.</w:t>
      </w:r>
    </w:p>
  </w:footnote>
  <w:footnote w:id="1725">
    <w:p w14:paraId="0D5234E6" w14:textId="77777777" w:rsidR="00DF1FC7" w:rsidRDefault="00DF1FC7" w:rsidP="002E5BAD">
      <w:pPr>
        <w:pStyle w:val="a5"/>
      </w:pPr>
      <w:r>
        <w:rPr>
          <w:rStyle w:val="a7"/>
        </w:rPr>
        <w:footnoteRef/>
      </w:r>
      <w:r>
        <w:rPr>
          <w:rtl/>
        </w:rPr>
        <w:t xml:space="preserve"> </w:t>
      </w:r>
      <w:r>
        <w:rPr>
          <w:rFonts w:cs="Arial" w:hint="cs"/>
          <w:rtl/>
        </w:rPr>
        <w:t>סובר רבנו ד</w:t>
      </w:r>
      <w:r>
        <w:rPr>
          <w:rFonts w:cs="Arial"/>
          <w:rtl/>
        </w:rPr>
        <w:t>לענין אם נפלו מעות הלכה כלישנא דאמרי לה קרנא דהוא לישנא בתרא</w:t>
      </w:r>
      <w:r>
        <w:rPr>
          <w:rFonts w:cs="Arial" w:hint="cs"/>
          <w:rtl/>
        </w:rPr>
        <w:t>...</w:t>
      </w:r>
      <w:r>
        <w:rPr>
          <w:rFonts w:cs="Arial"/>
          <w:rtl/>
        </w:rPr>
        <w:t xml:space="preserve"> ובדין זה כן דעת הרי"ף (לח.) שכתב הילכך כל היכא דקתני ילקח בו קרקע אין קונין אלא דבר שגזעו מחליף</w:t>
      </w:r>
      <w:r>
        <w:rPr>
          <w:rFonts w:cs="Arial" w:hint="cs"/>
          <w:rtl/>
        </w:rPr>
        <w:t>.</w:t>
      </w:r>
      <w:r>
        <w:rPr>
          <w:rFonts w:cs="Arial"/>
          <w:rtl/>
        </w:rPr>
        <w:t xml:space="preserve"> וכן כתב הרמב"ם בפכ"ב מהלכות אישות (הל"ג). ולענין הדין הראשון שהוא עיילא ליה גלימא וכיוצא בו יתבאר בסמוך דעת הפוסקים בו</w:t>
      </w:r>
      <w:r>
        <w:rPr>
          <w:rFonts w:cs="Arial" w:hint="cs"/>
          <w:rtl/>
        </w:rPr>
        <w:t>, ב"י.</w:t>
      </w:r>
    </w:p>
  </w:footnote>
  <w:footnote w:id="1726">
    <w:p w14:paraId="25C40464" w14:textId="77777777" w:rsidR="00DF1FC7" w:rsidRDefault="00DF1FC7" w:rsidP="002E5BAD">
      <w:pPr>
        <w:pStyle w:val="a5"/>
        <w:rPr>
          <w:rtl/>
        </w:rPr>
      </w:pPr>
      <w:r>
        <w:rPr>
          <w:rStyle w:val="a7"/>
        </w:rPr>
        <w:footnoteRef/>
      </w:r>
      <w:r>
        <w:rPr>
          <w:rtl/>
        </w:rPr>
        <w:t xml:space="preserve"> </w:t>
      </w:r>
      <w:r w:rsidRPr="00F71D8A">
        <w:rPr>
          <w:rFonts w:cs="Arial"/>
          <w:rtl/>
        </w:rPr>
        <w:t>ופי' רי"ף אפי' אין גוף העז והרחל והתרנגולת והדקל שלה ואין לה בהן אלא הפירות אפ"ה אוכל והולך ולא נהירא לא"א הרא"ש ז"ל דכיון דליכא שיור כלל אין לכלות הקרן לגמרי אלא כפירש"י שגוף העז שלה</w:t>
      </w:r>
      <w:r>
        <w:rPr>
          <w:rFonts w:cs="Arial" w:hint="cs"/>
          <w:rtl/>
        </w:rPr>
        <w:t>.</w:t>
      </w:r>
      <w:r w:rsidRPr="00F71D8A">
        <w:rPr>
          <w:rFonts w:cs="Arial"/>
          <w:rtl/>
        </w:rPr>
        <w:t xml:space="preserve"> ונקט עז לחלבה דסתמא עז להכי קאי</w:t>
      </w:r>
      <w:r>
        <w:rPr>
          <w:rFonts w:cs="Arial" w:hint="cs"/>
          <w:sz w:val="16"/>
          <w:szCs w:val="16"/>
          <w:rtl/>
        </w:rPr>
        <w:t xml:space="preserve"> {</w:t>
      </w:r>
      <w:r w:rsidRPr="00426F08">
        <w:rPr>
          <w:rFonts w:cs="Arial"/>
          <w:sz w:val="16"/>
          <w:szCs w:val="16"/>
          <w:rtl/>
        </w:rPr>
        <w:t>משום דק</w:t>
      </w:r>
      <w:r>
        <w:rPr>
          <w:rFonts w:cs="Arial" w:hint="cs"/>
          <w:sz w:val="16"/>
          <w:szCs w:val="16"/>
          <w:rtl/>
        </w:rPr>
        <w:t xml:space="preserve">שיא </w:t>
      </w:r>
      <w:r w:rsidRPr="00426F08">
        <w:rPr>
          <w:rFonts w:cs="Arial"/>
          <w:sz w:val="16"/>
          <w:szCs w:val="16"/>
          <w:rtl/>
        </w:rPr>
        <w:t>ל</w:t>
      </w:r>
      <w:r>
        <w:rPr>
          <w:rFonts w:cs="Arial" w:hint="cs"/>
          <w:sz w:val="16"/>
          <w:szCs w:val="16"/>
          <w:rtl/>
        </w:rPr>
        <w:t>יה</w:t>
      </w:r>
      <w:r w:rsidRPr="00426F08">
        <w:rPr>
          <w:rFonts w:cs="Arial"/>
          <w:sz w:val="16"/>
          <w:szCs w:val="16"/>
          <w:rtl/>
        </w:rPr>
        <w:t xml:space="preserve"> דלישנא דעז לחלבה משמע כפירוש הרי"ף לכך כתב דנקט עז לחלבה משום דסתם עז להכי קאי</w:t>
      </w:r>
      <w:r>
        <w:rPr>
          <w:rFonts w:cs="Arial" w:hint="cs"/>
          <w:sz w:val="16"/>
          <w:szCs w:val="16"/>
          <w:rtl/>
        </w:rPr>
        <w:t>, ב"י}</w:t>
      </w:r>
      <w:r>
        <w:rPr>
          <w:rFonts w:cs="Arial" w:hint="cs"/>
          <w:rtl/>
        </w:rPr>
        <w:t>,</w:t>
      </w:r>
      <w:r w:rsidRPr="00F71D8A">
        <w:rPr>
          <w:rFonts w:cs="Arial"/>
          <w:rtl/>
        </w:rPr>
        <w:t xml:space="preserve"> והשתא נשאר לה הגוף לשיור</w:t>
      </w:r>
      <w:r>
        <w:rPr>
          <w:rFonts w:cs="Arial" w:hint="cs"/>
          <w:rtl/>
        </w:rPr>
        <w:t>,</w:t>
      </w:r>
      <w:r w:rsidRPr="00F71D8A">
        <w:rPr>
          <w:rFonts w:cs="Arial"/>
          <w:rtl/>
        </w:rPr>
        <w:t xml:space="preserve"> וכן באידך</w:t>
      </w:r>
      <w:r>
        <w:rPr>
          <w:rFonts w:hint="cs"/>
          <w:rtl/>
        </w:rPr>
        <w:t>, טור.</w:t>
      </w:r>
    </w:p>
  </w:footnote>
  <w:footnote w:id="1727">
    <w:p w14:paraId="6BE949F1" w14:textId="77777777" w:rsidR="00DF1FC7" w:rsidRDefault="00DF1FC7" w:rsidP="002E5BAD">
      <w:pPr>
        <w:pStyle w:val="a5"/>
        <w:rPr>
          <w:rtl/>
        </w:rPr>
      </w:pPr>
      <w:r>
        <w:rPr>
          <w:rStyle w:val="a7"/>
        </w:rPr>
        <w:footnoteRef/>
      </w:r>
      <w:r>
        <w:rPr>
          <w:rtl/>
        </w:rPr>
        <w:t xml:space="preserve"> </w:t>
      </w:r>
      <w:r>
        <w:rPr>
          <w:rFonts w:cs="Arial"/>
          <w:rtl/>
        </w:rPr>
        <w:t>פי' לא היה לה אלא חלב וגיזה וביצה בלבד וכן לא היו לו בדקל אלא פירותיו בלבד</w:t>
      </w:r>
      <w:r>
        <w:rPr>
          <w:rFonts w:cs="Arial" w:hint="cs"/>
          <w:rtl/>
        </w:rPr>
        <w:t>, ב"י.</w:t>
      </w:r>
    </w:p>
  </w:footnote>
  <w:footnote w:id="1728">
    <w:p w14:paraId="6FC685AE" w14:textId="77777777" w:rsidR="00DF1FC7" w:rsidRDefault="00DF1FC7" w:rsidP="002E5BAD">
      <w:pPr>
        <w:pStyle w:val="a5"/>
        <w:rPr>
          <w:rtl/>
        </w:rPr>
      </w:pPr>
      <w:r>
        <w:rPr>
          <w:rStyle w:val="a7"/>
        </w:rPr>
        <w:footnoteRef/>
      </w:r>
      <w:r>
        <w:rPr>
          <w:rtl/>
        </w:rPr>
        <w:t xml:space="preserve"> </w:t>
      </w:r>
      <w:r>
        <w:rPr>
          <w:rFonts w:cs="Arial"/>
          <w:rtl/>
        </w:rPr>
        <w:t>וכתב הר"ן (שם ד"ה הכניסה) דאע</w:t>
      </w:r>
      <w:r>
        <w:rPr>
          <w:rFonts w:cs="Arial" w:hint="cs"/>
          <w:rtl/>
        </w:rPr>
        <w:t>"</w:t>
      </w:r>
      <w:r>
        <w:rPr>
          <w:rFonts w:cs="Arial"/>
          <w:rtl/>
        </w:rPr>
        <w:t>ג דכי מתה הבהמה מיכליא קרנא לא חיישינן למתה וכחושה</w:t>
      </w:r>
      <w:r>
        <w:rPr>
          <w:rFonts w:cs="Arial" w:hint="cs"/>
          <w:rtl/>
        </w:rPr>
        <w:t>,</w:t>
      </w:r>
      <w:r>
        <w:rPr>
          <w:rFonts w:cs="Arial"/>
          <w:rtl/>
        </w:rPr>
        <w:t xml:space="preserve"> כרבי חנינא דקיימא לן כוותיה</w:t>
      </w:r>
      <w:r>
        <w:rPr>
          <w:rFonts w:cs="Arial" w:hint="cs"/>
          <w:rtl/>
        </w:rPr>
        <w:t>.</w:t>
      </w:r>
      <w:r>
        <w:rPr>
          <w:rFonts w:cs="Arial"/>
          <w:rtl/>
        </w:rPr>
        <w:t xml:space="preserve"> וגבי עיילא ליה גלימא פירא הוי ומכסי בה עד דכלי כתב</w:t>
      </w:r>
      <w:r>
        <w:rPr>
          <w:rFonts w:cs="Arial" w:hint="cs"/>
          <w:rtl/>
        </w:rPr>
        <w:t>-</w:t>
      </w:r>
      <w:r>
        <w:rPr>
          <w:rFonts w:cs="Arial"/>
          <w:rtl/>
        </w:rPr>
        <w:t xml:space="preserve"> ואע</w:t>
      </w:r>
      <w:r>
        <w:rPr>
          <w:rFonts w:cs="Arial" w:hint="cs"/>
          <w:rtl/>
        </w:rPr>
        <w:t>"</w:t>
      </w:r>
      <w:r>
        <w:rPr>
          <w:rFonts w:cs="Arial"/>
          <w:rtl/>
        </w:rPr>
        <w:t>ג דמכליא קרנא</w:t>
      </w:r>
      <w:r>
        <w:rPr>
          <w:rFonts w:cs="Arial" w:hint="cs"/>
          <w:rtl/>
        </w:rPr>
        <w:t>,</w:t>
      </w:r>
      <w:r>
        <w:rPr>
          <w:rFonts w:cs="Arial"/>
          <w:rtl/>
        </w:rPr>
        <w:t xml:space="preserve"> כיון שאין בלויו ניכר בכל שעה ושעה לא איכפת לן</w:t>
      </w:r>
      <w:r>
        <w:rPr>
          <w:rFonts w:cs="Arial" w:hint="cs"/>
          <w:rtl/>
        </w:rPr>
        <w:t>.</w:t>
      </w:r>
      <w:r>
        <w:rPr>
          <w:rFonts w:cs="Arial"/>
          <w:rtl/>
        </w:rPr>
        <w:t xml:space="preserve"> אבל רש"י כתב והשחקים יהיו לה קרן עכ"ל. והרא"ש (סי' ז) כתב על דברי הרי"ף</w:t>
      </w:r>
      <w:r>
        <w:rPr>
          <w:rFonts w:cs="Arial" w:hint="cs"/>
          <w:rtl/>
        </w:rPr>
        <w:t>-</w:t>
      </w:r>
      <w:r>
        <w:rPr>
          <w:rFonts w:cs="Arial"/>
          <w:rtl/>
        </w:rPr>
        <w:t xml:space="preserve"> ולא נראה לי</w:t>
      </w:r>
      <w:r>
        <w:rPr>
          <w:rFonts w:cs="Arial" w:hint="cs"/>
          <w:rtl/>
        </w:rPr>
        <w:t>,</w:t>
      </w:r>
      <w:r>
        <w:rPr>
          <w:rFonts w:cs="Arial"/>
          <w:rtl/>
        </w:rPr>
        <w:t xml:space="preserve"> דכיון דליכא שיור כלל אין לכלות הקרן לגמרי</w:t>
      </w:r>
      <w:r>
        <w:rPr>
          <w:rFonts w:cs="Arial" w:hint="cs"/>
          <w:rtl/>
        </w:rPr>
        <w:t>,</w:t>
      </w:r>
      <w:r>
        <w:rPr>
          <w:rFonts w:cs="Arial"/>
          <w:rtl/>
        </w:rPr>
        <w:t xml:space="preserve"> דבגלימא איכא שחקים</w:t>
      </w:r>
      <w:r>
        <w:rPr>
          <w:rFonts w:cs="Arial" w:hint="cs"/>
          <w:rtl/>
        </w:rPr>
        <w:t>,</w:t>
      </w:r>
      <w:r>
        <w:rPr>
          <w:rFonts w:cs="Arial"/>
          <w:rtl/>
        </w:rPr>
        <w:t xml:space="preserve"> גפרית ומחפורת של צריף נשאר המקום</w:t>
      </w:r>
      <w:r>
        <w:rPr>
          <w:rFonts w:cs="Arial" w:hint="cs"/>
          <w:rtl/>
        </w:rPr>
        <w:t>.</w:t>
      </w:r>
      <w:r>
        <w:rPr>
          <w:rFonts w:cs="Arial"/>
          <w:rtl/>
        </w:rPr>
        <w:t xml:space="preserve"> והראב"ד פירש הטעם כיון דמקום החלב והגיזה קנוי לה הוי חלב של כל יום ויום פירא</w:t>
      </w:r>
      <w:r>
        <w:rPr>
          <w:rFonts w:cs="Arial" w:hint="cs"/>
          <w:rtl/>
        </w:rPr>
        <w:t>.</w:t>
      </w:r>
      <w:r>
        <w:rPr>
          <w:rFonts w:cs="Arial"/>
          <w:rtl/>
        </w:rPr>
        <w:t xml:space="preserve"> ולא מסתבר דלא מיקרי גזעו מחליף אלא היכא שנשאר מן הקרן קיים עכ"ל</w:t>
      </w:r>
      <w:r>
        <w:rPr>
          <w:rFonts w:cs="Arial" w:hint="cs"/>
          <w:rtl/>
        </w:rPr>
        <w:t>, ב"י.</w:t>
      </w:r>
    </w:p>
  </w:footnote>
  <w:footnote w:id="1729">
    <w:p w14:paraId="2E034A0A" w14:textId="77777777" w:rsidR="00DF1FC7" w:rsidRDefault="00DF1FC7" w:rsidP="002E5BAD">
      <w:pPr>
        <w:pStyle w:val="a5"/>
      </w:pPr>
      <w:r>
        <w:rPr>
          <w:rStyle w:val="a7"/>
        </w:rPr>
        <w:footnoteRef/>
      </w:r>
      <w:r>
        <w:rPr>
          <w:rtl/>
        </w:rPr>
        <w:t xml:space="preserve"> </w:t>
      </w:r>
      <w:r w:rsidRPr="00120D5D">
        <w:rPr>
          <w:rFonts w:cs="Arial"/>
          <w:rtl/>
        </w:rPr>
        <w:t>ומעות מזומנים אין מניחים לו להרויח בהם אלא לוקחים גם כן בהם דבר שפירות מרובים והפירות מהם יכול למכור ולהרויח עם המעות תשובת הרשב"א עיין תשובת רש"ך ס"ג סימן מ"ז</w:t>
      </w:r>
      <w:r>
        <w:rPr>
          <w:rFonts w:cs="Arial" w:hint="cs"/>
          <w:rtl/>
        </w:rPr>
        <w:t>, ב"ש (סקל"ב).</w:t>
      </w:r>
    </w:p>
  </w:footnote>
  <w:footnote w:id="1730">
    <w:p w14:paraId="4F3C35C7" w14:textId="77777777" w:rsidR="00DF1FC7" w:rsidRDefault="00DF1FC7" w:rsidP="002E5BAD">
      <w:pPr>
        <w:pStyle w:val="a5"/>
      </w:pPr>
      <w:r>
        <w:rPr>
          <w:rStyle w:val="a7"/>
        </w:rPr>
        <w:footnoteRef/>
      </w:r>
      <w:r>
        <w:rPr>
          <w:rtl/>
        </w:rPr>
        <w:t xml:space="preserve"> </w:t>
      </w:r>
      <w:r w:rsidRPr="009E5A93">
        <w:rPr>
          <w:rFonts w:cs="Arial"/>
          <w:rtl/>
        </w:rPr>
        <w:t>בגמרא מפרש ארעא ובתי ארעא וכו' והרמב"ם השמיט זה משום שאם יראה בעיני ב"ד ששכירות הבתים יותר טוב משדות הרשות בידם והכל תלוי בזה בדב' שפירותיו מרובין ובזמן הגמרא היה ארעא עדיף מבתי</w:t>
      </w:r>
      <w:r>
        <w:rPr>
          <w:rFonts w:cs="Arial" w:hint="cs"/>
          <w:rtl/>
        </w:rPr>
        <w:t>, ח"מ (סקל"ג).</w:t>
      </w:r>
    </w:p>
  </w:footnote>
  <w:footnote w:id="1731">
    <w:p w14:paraId="53E7EC75" w14:textId="77777777" w:rsidR="00DF1FC7" w:rsidRDefault="00DF1FC7" w:rsidP="002E5BAD">
      <w:pPr>
        <w:pStyle w:val="a5"/>
      </w:pPr>
      <w:r>
        <w:rPr>
          <w:rStyle w:val="a7"/>
        </w:rPr>
        <w:footnoteRef/>
      </w:r>
      <w:r>
        <w:rPr>
          <w:rtl/>
        </w:rPr>
        <w:t xml:space="preserve"> </w:t>
      </w:r>
      <w:r w:rsidRPr="00120D5D">
        <w:rPr>
          <w:rFonts w:cs="Arial"/>
          <w:rtl/>
        </w:rPr>
        <w:t>אע</w:t>
      </w:r>
      <w:r>
        <w:rPr>
          <w:rFonts w:cs="Arial" w:hint="cs"/>
          <w:rtl/>
        </w:rPr>
        <w:t>"</w:t>
      </w:r>
      <w:r w:rsidRPr="00120D5D">
        <w:rPr>
          <w:rFonts w:cs="Arial"/>
          <w:rtl/>
        </w:rPr>
        <w:t>ג אם נפלה לה פירות קי"ל דימכור שאני התם אחר שיאכל הפירות כלו הכל אבל כאן יש חלב אחר וכן הדקל יוציא פירות אחרים</w:t>
      </w:r>
      <w:r>
        <w:rPr>
          <w:rFonts w:cs="Arial" w:hint="cs"/>
          <w:rtl/>
        </w:rPr>
        <w:t>, ב"ש (סקל"ג).</w:t>
      </w:r>
    </w:p>
  </w:footnote>
  <w:footnote w:id="1732">
    <w:p w14:paraId="03672431" w14:textId="77777777" w:rsidR="00DF1FC7" w:rsidRDefault="00DF1FC7" w:rsidP="002E5BAD">
      <w:pPr>
        <w:pStyle w:val="a5"/>
      </w:pPr>
      <w:r>
        <w:rPr>
          <w:rStyle w:val="a7"/>
        </w:rPr>
        <w:footnoteRef/>
      </w:r>
      <w:r>
        <w:rPr>
          <w:rtl/>
        </w:rPr>
        <w:t xml:space="preserve"> </w:t>
      </w:r>
      <w:r w:rsidRPr="009E35EA">
        <w:rPr>
          <w:rFonts w:cs="Arial"/>
          <w:rtl/>
        </w:rPr>
        <w:t>יכולה היא לעכב</w:t>
      </w:r>
      <w:r>
        <w:rPr>
          <w:rFonts w:cs="Arial" w:hint="cs"/>
          <w:rtl/>
        </w:rPr>
        <w:t>, רש"י.</w:t>
      </w:r>
    </w:p>
  </w:footnote>
  <w:footnote w:id="1733">
    <w:p w14:paraId="26E41D8E" w14:textId="77777777" w:rsidR="00DF1FC7" w:rsidRDefault="00DF1FC7" w:rsidP="002E5BAD">
      <w:pPr>
        <w:pStyle w:val="a5"/>
      </w:pPr>
      <w:r>
        <w:rPr>
          <w:rStyle w:val="a7"/>
        </w:rPr>
        <w:footnoteRef/>
      </w:r>
      <w:r>
        <w:rPr>
          <w:rtl/>
        </w:rPr>
        <w:t xml:space="preserve"> </w:t>
      </w:r>
      <w:r>
        <w:rPr>
          <w:rFonts w:hint="cs"/>
          <w:rtl/>
        </w:rPr>
        <w:t>לפני הטור והב"י הגירסא הייתה 'רשב"ג'. אך לפנינו איתא 'רבי יהודה'. וכן היה לפני הרמב"ם.</w:t>
      </w:r>
    </w:p>
  </w:footnote>
  <w:footnote w:id="1734">
    <w:p w14:paraId="184E9B71" w14:textId="77777777" w:rsidR="00DF1FC7" w:rsidRDefault="00DF1FC7" w:rsidP="002E5BAD">
      <w:pPr>
        <w:pStyle w:val="a5"/>
        <w:rPr>
          <w:rtl/>
        </w:rPr>
      </w:pPr>
      <w:r>
        <w:rPr>
          <w:rStyle w:val="a7"/>
        </w:rPr>
        <w:footnoteRef/>
      </w:r>
      <w:r>
        <w:rPr>
          <w:rtl/>
        </w:rPr>
        <w:t xml:space="preserve"> </w:t>
      </w:r>
      <w:r w:rsidRPr="009E35EA">
        <w:rPr>
          <w:rFonts w:cs="Arial"/>
          <w:rtl/>
        </w:rPr>
        <w:t>כגון שהיו לאביה זיתים שקנה בלא קרקע על מנת שיהיו בקרקע המוכר והלוקח יאכל פירות עד שיבשו</w:t>
      </w:r>
      <w:r>
        <w:rPr>
          <w:rFonts w:hint="cs"/>
          <w:rtl/>
        </w:rPr>
        <w:t>, רש"י.</w:t>
      </w:r>
    </w:p>
  </w:footnote>
  <w:footnote w:id="1735">
    <w:p w14:paraId="1AAE0323" w14:textId="77777777" w:rsidR="00DF1FC7" w:rsidRDefault="00DF1FC7" w:rsidP="002E5BAD">
      <w:pPr>
        <w:pStyle w:val="a5"/>
      </w:pPr>
      <w:r>
        <w:rPr>
          <w:rStyle w:val="a7"/>
        </w:rPr>
        <w:footnoteRef/>
      </w:r>
      <w:r>
        <w:rPr>
          <w:rtl/>
        </w:rPr>
        <w:t xml:space="preserve"> </w:t>
      </w:r>
      <w:r>
        <w:rPr>
          <w:rFonts w:cs="Arial"/>
          <w:rtl/>
        </w:rPr>
        <w:t>לאו למימרא שאין ראויין למלאכה כלל</w:t>
      </w:r>
      <w:r>
        <w:rPr>
          <w:rFonts w:cs="Arial" w:hint="cs"/>
          <w:rtl/>
        </w:rPr>
        <w:t>,</w:t>
      </w:r>
      <w:r>
        <w:rPr>
          <w:rFonts w:cs="Arial"/>
          <w:rtl/>
        </w:rPr>
        <w:t xml:space="preserve"> דאם כן מה מכר שייך בהם</w:t>
      </w:r>
      <w:r>
        <w:rPr>
          <w:rFonts w:cs="Arial" w:hint="cs"/>
          <w:rtl/>
        </w:rPr>
        <w:t>,</w:t>
      </w:r>
      <w:r>
        <w:rPr>
          <w:rFonts w:cs="Arial"/>
          <w:rtl/>
        </w:rPr>
        <w:t xml:space="preserve"> ותו מאי ישתמש בהם כמו שהם דקאמר</w:t>
      </w:r>
      <w:r>
        <w:rPr>
          <w:rFonts w:cs="Arial" w:hint="cs"/>
          <w:rtl/>
        </w:rPr>
        <w:t>,</w:t>
      </w:r>
      <w:r>
        <w:rPr>
          <w:rFonts w:cs="Arial"/>
          <w:rtl/>
        </w:rPr>
        <w:t xml:space="preserve"> אלא היינו לומר שאינם ראויים למלאכה כבדה</w:t>
      </w:r>
      <w:r>
        <w:rPr>
          <w:rFonts w:cs="Arial" w:hint="cs"/>
          <w:rtl/>
        </w:rPr>
        <w:t>,</w:t>
      </w:r>
      <w:r>
        <w:rPr>
          <w:rFonts w:cs="Arial"/>
          <w:rtl/>
        </w:rPr>
        <w:t xml:space="preserve"> ומכל מקום ראויים הם למלאכה קלה</w:t>
      </w:r>
      <w:r>
        <w:rPr>
          <w:rFonts w:cs="Arial" w:hint="cs"/>
          <w:rtl/>
        </w:rPr>
        <w:t>, ב"י.</w:t>
      </w:r>
    </w:p>
  </w:footnote>
  <w:footnote w:id="1736">
    <w:p w14:paraId="20BB1B53" w14:textId="77777777" w:rsidR="00DF1FC7" w:rsidRDefault="00DF1FC7" w:rsidP="002E5BAD">
      <w:pPr>
        <w:pStyle w:val="a5"/>
      </w:pPr>
      <w:r>
        <w:rPr>
          <w:rStyle w:val="a7"/>
        </w:rPr>
        <w:footnoteRef/>
      </w:r>
      <w:r>
        <w:rPr>
          <w:rtl/>
        </w:rPr>
        <w:t xml:space="preserve"> </w:t>
      </w:r>
      <w:r>
        <w:rPr>
          <w:rFonts w:cs="Arial"/>
          <w:rtl/>
        </w:rPr>
        <w:t>משמע לרבינו דימכרו דקאמר תנא קמא היינו לומר דבבעל תליא מילתא אם רצה למכור ימכור</w:t>
      </w:r>
      <w:r>
        <w:rPr>
          <w:rFonts w:cs="Arial" w:hint="cs"/>
          <w:rtl/>
        </w:rPr>
        <w:t>.</w:t>
      </w:r>
      <w:r>
        <w:rPr>
          <w:rFonts w:cs="Arial"/>
          <w:rtl/>
        </w:rPr>
        <w:t xml:space="preserve"> והרמ"ה משמע ליה דהיינו לומר שאי זה משניהם שרוצה למכור ימכור ע"כ של חבירו</w:t>
      </w:r>
      <w:r>
        <w:rPr>
          <w:rFonts w:cs="Arial" w:hint="cs"/>
          <w:rtl/>
        </w:rPr>
        <w:t xml:space="preserve">, ב"י. </w:t>
      </w:r>
    </w:p>
  </w:footnote>
  <w:footnote w:id="1737">
    <w:p w14:paraId="45140F2D" w14:textId="77777777" w:rsidR="00DF1FC7" w:rsidRDefault="00DF1FC7" w:rsidP="002E5BAD">
      <w:pPr>
        <w:pStyle w:val="a5"/>
        <w:rPr>
          <w:rtl/>
        </w:rPr>
      </w:pPr>
      <w:r>
        <w:rPr>
          <w:rStyle w:val="a7"/>
        </w:rPr>
        <w:footnoteRef/>
      </w:r>
      <w:r>
        <w:rPr>
          <w:rtl/>
        </w:rPr>
        <w:t xml:space="preserve"> </w:t>
      </w:r>
      <w:r>
        <w:rPr>
          <w:rFonts w:cs="Arial"/>
          <w:rtl/>
        </w:rPr>
        <w:t>איני יודע היכן כתב כן כי בפסקיו לא ראיתי דבר שיוכיח לומר שסובר כן</w:t>
      </w:r>
      <w:r>
        <w:rPr>
          <w:rFonts w:hint="cs"/>
          <w:rtl/>
        </w:rPr>
        <w:t>, ב"י.</w:t>
      </w:r>
    </w:p>
  </w:footnote>
  <w:footnote w:id="1738">
    <w:p w14:paraId="2D970AE3" w14:textId="77777777" w:rsidR="00DF1FC7" w:rsidRDefault="00DF1FC7" w:rsidP="002E5BAD">
      <w:pPr>
        <w:pStyle w:val="a5"/>
      </w:pPr>
      <w:r>
        <w:rPr>
          <w:rStyle w:val="a7"/>
        </w:rPr>
        <w:footnoteRef/>
      </w:r>
      <w:r>
        <w:rPr>
          <w:rtl/>
        </w:rPr>
        <w:t xml:space="preserve"> </w:t>
      </w:r>
      <w:r w:rsidRPr="007A228B">
        <w:rPr>
          <w:rFonts w:cs="Arial"/>
          <w:rtl/>
        </w:rPr>
        <w:t>ודוקא כשאינם נטועים בשדה שלה ואינם עושין כדי טיפולן</w:t>
      </w:r>
      <w:r>
        <w:rPr>
          <w:rFonts w:cs="Arial" w:hint="cs"/>
          <w:rtl/>
        </w:rPr>
        <w:t>,</w:t>
      </w:r>
      <w:r w:rsidRPr="007A228B">
        <w:rPr>
          <w:rFonts w:cs="Arial"/>
          <w:rtl/>
        </w:rPr>
        <w:t xml:space="preserve"> אבל אם נטועים בשדה שלה או אפי' אינם נטועים בשדה שלה ועושין כדי טיפולן יכולין לעכב עליו למוכרן משום שבח בית אביה</w:t>
      </w:r>
      <w:r>
        <w:rPr>
          <w:rFonts w:cs="Arial" w:hint="cs"/>
          <w:rtl/>
        </w:rPr>
        <w:t>, טור בשם הרמב"ם.</w:t>
      </w:r>
    </w:p>
  </w:footnote>
  <w:footnote w:id="1739">
    <w:p w14:paraId="168982A1" w14:textId="77777777" w:rsidR="00DF1FC7" w:rsidRDefault="00DF1FC7" w:rsidP="002E5BAD">
      <w:pPr>
        <w:pStyle w:val="a5"/>
      </w:pPr>
      <w:r>
        <w:rPr>
          <w:rStyle w:val="a7"/>
        </w:rPr>
        <w:footnoteRef/>
      </w:r>
      <w:r>
        <w:rPr>
          <w:rtl/>
        </w:rPr>
        <w:t xml:space="preserve"> </w:t>
      </w:r>
      <w:r w:rsidRPr="007A228B">
        <w:rPr>
          <w:rFonts w:cs="Arial"/>
          <w:rtl/>
        </w:rPr>
        <w:t>ואיני יודע למה פוסק בחד כחכמים ובחד כרשב"ג</w:t>
      </w:r>
      <w:r>
        <w:rPr>
          <w:rFonts w:cs="Arial" w:hint="cs"/>
          <w:rtl/>
        </w:rPr>
        <w:t>, טור.</w:t>
      </w:r>
      <w:r w:rsidRPr="00673C09">
        <w:rPr>
          <w:rFonts w:cs="Arial"/>
          <w:rtl/>
        </w:rPr>
        <w:t xml:space="preserve"> </w:t>
      </w:r>
      <w:r>
        <w:rPr>
          <w:rFonts w:cs="Arial"/>
          <w:rtl/>
        </w:rPr>
        <w:t>ו</w:t>
      </w:r>
      <w:r>
        <w:rPr>
          <w:rFonts w:cs="Arial" w:hint="cs"/>
          <w:rtl/>
        </w:rPr>
        <w:t>כתב הב"י ד</w:t>
      </w:r>
      <w:r>
        <w:rPr>
          <w:rFonts w:cs="Arial"/>
          <w:rtl/>
        </w:rPr>
        <w:t>מה שתמה רבינו על הרמב"ם למה פסק בחד כחכמים ובחד כרשב"ג כבר כתבו הר"ן (לח: ד"ה גמ' מחלוקת) והרב המגיד שהוא ז"ל גורס כנוסחת ספרים דגרסי בבבא דנפלו לה זיתים רבי יהודה במקום רשב"ג ולפיכך פסק בעבדים כרשב"ג דכל מקום ששנה במשנתינו הלכה כמותו (כתובות עז.) ובזיתים וגפנים פסק כת"ק</w:t>
      </w:r>
      <w:r>
        <w:rPr>
          <w:rFonts w:hint="cs"/>
          <w:rtl/>
        </w:rPr>
        <w:t>.</w:t>
      </w:r>
    </w:p>
  </w:footnote>
  <w:footnote w:id="1740">
    <w:p w14:paraId="34651E00" w14:textId="77777777" w:rsidR="00DF1FC7" w:rsidRDefault="00DF1FC7" w:rsidP="002E5BAD">
      <w:pPr>
        <w:pStyle w:val="a5"/>
      </w:pPr>
      <w:r>
        <w:rPr>
          <w:rStyle w:val="a7"/>
        </w:rPr>
        <w:footnoteRef/>
      </w:r>
      <w:r>
        <w:rPr>
          <w:rtl/>
        </w:rPr>
        <w:t xml:space="preserve"> </w:t>
      </w:r>
      <w:r w:rsidRPr="00B53778">
        <w:rPr>
          <w:rFonts w:cs="Arial"/>
          <w:rtl/>
        </w:rPr>
        <w:t>ואם היא רוצה למכור אינה יכולה לכופו דהא אפילו בעז לחלבה שאין לה רק חלב אוכל והולך עד שיכלה הקרן מכ"ש בעבדים זקנים משתמש בהן והולך אף עפ"י שלא ישאר לה הקרן</w:t>
      </w:r>
      <w:r>
        <w:rPr>
          <w:rFonts w:cs="Arial" w:hint="cs"/>
          <w:rtl/>
        </w:rPr>
        <w:t>, ח"מ (סקל"ד).</w:t>
      </w:r>
    </w:p>
  </w:footnote>
  <w:footnote w:id="1741">
    <w:p w14:paraId="263CB2BA" w14:textId="77777777" w:rsidR="00DF1FC7" w:rsidRDefault="00DF1FC7" w:rsidP="002E5BAD">
      <w:pPr>
        <w:pStyle w:val="a5"/>
      </w:pPr>
      <w:r>
        <w:rPr>
          <w:rStyle w:val="a7"/>
        </w:rPr>
        <w:footnoteRef/>
      </w:r>
      <w:r>
        <w:rPr>
          <w:rtl/>
        </w:rPr>
        <w:t xml:space="preserve"> </w:t>
      </w:r>
      <w:r w:rsidRPr="0097011F">
        <w:rPr>
          <w:rFonts w:cs="Arial"/>
          <w:rtl/>
        </w:rPr>
        <w:t>דקסבר מה שגדל ברשותו הוו פירות ומה שלא גדל ברשותו הוי קרן לפיכך מה שדמי הקרקע יקרים עכשיו בשביל תבואה זו צריך ליתן לה דמים ויקנו מהן קרקע ויאכל הוא פירותיה</w:t>
      </w:r>
      <w:r>
        <w:rPr>
          <w:rFonts w:cs="Arial" w:hint="cs"/>
          <w:rtl/>
        </w:rPr>
        <w:t>, רש"י.</w:t>
      </w:r>
    </w:p>
  </w:footnote>
  <w:footnote w:id="1742">
    <w:p w14:paraId="01A1636A" w14:textId="77777777" w:rsidR="00DF1FC7" w:rsidRDefault="00DF1FC7" w:rsidP="002E5BAD">
      <w:pPr>
        <w:pStyle w:val="a5"/>
        <w:rPr>
          <w:rtl/>
        </w:rPr>
      </w:pPr>
      <w:r>
        <w:rPr>
          <w:rStyle w:val="a7"/>
        </w:rPr>
        <w:footnoteRef/>
      </w:r>
      <w:r>
        <w:rPr>
          <w:rtl/>
        </w:rPr>
        <w:t xml:space="preserve"> </w:t>
      </w:r>
      <w:r w:rsidRPr="0097011F">
        <w:rPr>
          <w:rFonts w:cs="Arial"/>
          <w:rtl/>
        </w:rPr>
        <w:t>אף אלו שלא גדלו ברשותו תורת פירות נתנו בהן הואיל והקרקע קיימת לה</w:t>
      </w:r>
      <w:r>
        <w:rPr>
          <w:rFonts w:hint="cs"/>
          <w:rtl/>
        </w:rPr>
        <w:t>, רש"י.</w:t>
      </w:r>
    </w:p>
  </w:footnote>
  <w:footnote w:id="1743">
    <w:p w14:paraId="276F84D1" w14:textId="77777777" w:rsidR="00DF1FC7" w:rsidRDefault="00DF1FC7" w:rsidP="002E5BAD">
      <w:pPr>
        <w:pStyle w:val="a5"/>
      </w:pPr>
      <w:r>
        <w:rPr>
          <w:rStyle w:val="a7"/>
        </w:rPr>
        <w:footnoteRef/>
      </w:r>
      <w:r>
        <w:rPr>
          <w:rtl/>
        </w:rPr>
        <w:t xml:space="preserve"> </w:t>
      </w:r>
      <w:r>
        <w:rPr>
          <w:rFonts w:hint="cs"/>
          <w:rtl/>
        </w:rPr>
        <w:t xml:space="preserve">וז"ל- </w:t>
      </w:r>
      <w:r w:rsidRPr="008C162E">
        <w:rPr>
          <w:rFonts w:cs="Arial"/>
          <w:rtl/>
        </w:rPr>
        <w:t>נפלו לה פירות מחוברין לקרקע הרי אלו של בעל, תלושין מן הקרקע שלה וימכרו וילקח בהן קרקע והוא אוכל פירות</w:t>
      </w:r>
      <w:r>
        <w:rPr>
          <w:rFonts w:cs="Arial" w:hint="cs"/>
          <w:rtl/>
        </w:rPr>
        <w:t>.</w:t>
      </w:r>
    </w:p>
  </w:footnote>
  <w:footnote w:id="1744">
    <w:p w14:paraId="7C471F50" w14:textId="77777777" w:rsidR="00DF1FC7" w:rsidRDefault="00DF1FC7" w:rsidP="002E5BAD">
      <w:pPr>
        <w:pStyle w:val="a5"/>
      </w:pPr>
      <w:r>
        <w:rPr>
          <w:rStyle w:val="a7"/>
        </w:rPr>
        <w:footnoteRef/>
      </w:r>
      <w:r>
        <w:rPr>
          <w:rtl/>
        </w:rPr>
        <w:t xml:space="preserve"> </w:t>
      </w:r>
      <w:r>
        <w:rPr>
          <w:rFonts w:cs="Arial"/>
          <w:rtl/>
        </w:rPr>
        <w:t>וכתב</w:t>
      </w:r>
      <w:r>
        <w:rPr>
          <w:rFonts w:cs="Arial" w:hint="cs"/>
          <w:rtl/>
        </w:rPr>
        <w:t xml:space="preserve"> הרא"ש</w:t>
      </w:r>
      <w:r>
        <w:rPr>
          <w:rFonts w:cs="Arial"/>
          <w:rtl/>
        </w:rPr>
        <w:t xml:space="preserve"> דהכי מוכח בירושלמי (פ"ח ה"ד)</w:t>
      </w:r>
      <w:r>
        <w:rPr>
          <w:rFonts w:cs="Arial" w:hint="cs"/>
          <w:rtl/>
        </w:rPr>
        <w:t>.</w:t>
      </w:r>
    </w:p>
  </w:footnote>
  <w:footnote w:id="1745">
    <w:p w14:paraId="4F894027" w14:textId="77777777" w:rsidR="00DF1FC7" w:rsidRDefault="00DF1FC7" w:rsidP="002E5BAD">
      <w:pPr>
        <w:pStyle w:val="a5"/>
        <w:rPr>
          <w:rtl/>
        </w:rPr>
      </w:pPr>
      <w:r>
        <w:rPr>
          <w:rStyle w:val="a7"/>
        </w:rPr>
        <w:footnoteRef/>
      </w:r>
      <w:r>
        <w:rPr>
          <w:rtl/>
        </w:rPr>
        <w:t xml:space="preserve"> </w:t>
      </w:r>
      <w:r w:rsidRPr="00ED6597">
        <w:rPr>
          <w:rFonts w:cs="Arial"/>
          <w:rtl/>
        </w:rPr>
        <w:t>רש"י כתב הואיל והקרקע קיימת לה</w:t>
      </w:r>
      <w:r>
        <w:rPr>
          <w:rFonts w:cs="Arial" w:hint="cs"/>
          <w:rtl/>
        </w:rPr>
        <w:t>,</w:t>
      </w:r>
      <w:r w:rsidRPr="00ED6597">
        <w:rPr>
          <w:rFonts w:cs="Arial"/>
          <w:rtl/>
        </w:rPr>
        <w:t xml:space="preserve"> ורש"י אזיל לטעמיה שפי' כן גבי עז לחלבה דבעי תמיד שיור גבי עז עורה וגבי תרנגולת נוצה</w:t>
      </w:r>
      <w:r>
        <w:rPr>
          <w:rFonts w:cs="Arial" w:hint="cs"/>
          <w:rtl/>
        </w:rPr>
        <w:t>,</w:t>
      </w:r>
      <w:r w:rsidRPr="00ED6597">
        <w:rPr>
          <w:rFonts w:cs="Arial"/>
          <w:rtl/>
        </w:rPr>
        <w:t xml:space="preserve"> אבל לפי' הרמב"ם אין לה רק פירות המחוברים לא גרע מעז לחלבה</w:t>
      </w:r>
      <w:r>
        <w:rPr>
          <w:rFonts w:hint="cs"/>
          <w:rtl/>
        </w:rPr>
        <w:t>, ח"מ (סקל"ה).</w:t>
      </w:r>
    </w:p>
  </w:footnote>
  <w:footnote w:id="1746">
    <w:p w14:paraId="5F6EF29B" w14:textId="77777777" w:rsidR="00DF1FC7" w:rsidRDefault="00DF1FC7" w:rsidP="002E5BAD">
      <w:pPr>
        <w:pStyle w:val="a5"/>
      </w:pPr>
      <w:r>
        <w:rPr>
          <w:rStyle w:val="a7"/>
        </w:rPr>
        <w:footnoteRef/>
      </w:r>
      <w:r>
        <w:rPr>
          <w:rtl/>
        </w:rPr>
        <w:t xml:space="preserve"> </w:t>
      </w:r>
      <w:r w:rsidRPr="00ED6597">
        <w:rPr>
          <w:rFonts w:cs="Arial"/>
          <w:rtl/>
        </w:rPr>
        <w:t>אע"ג דק"ל כל העומד ליקצור כקצור דמי שאני הכא דתקנת חכמים היה פירות הנלקטים בעודה תחתיו הרי הן שלו עיין בהרא"ש</w:t>
      </w:r>
      <w:r>
        <w:rPr>
          <w:rFonts w:hint="cs"/>
          <w:rtl/>
        </w:rPr>
        <w:t>, ח"מ (סקל"ו).</w:t>
      </w:r>
    </w:p>
  </w:footnote>
  <w:footnote w:id="1747">
    <w:p w14:paraId="3E5E075D" w14:textId="77777777" w:rsidR="00DF1FC7" w:rsidRDefault="00DF1FC7" w:rsidP="002E5BAD">
      <w:pPr>
        <w:pStyle w:val="a5"/>
        <w:rPr>
          <w:rtl/>
        </w:rPr>
      </w:pPr>
      <w:r>
        <w:rPr>
          <w:rStyle w:val="a7"/>
        </w:rPr>
        <w:footnoteRef/>
      </w:r>
      <w:r>
        <w:rPr>
          <w:rtl/>
        </w:rPr>
        <w:t xml:space="preserve"> </w:t>
      </w:r>
      <w:r>
        <w:rPr>
          <w:rFonts w:hint="cs"/>
          <w:rtl/>
        </w:rPr>
        <w:t>כן הוא בדפוס ראשון. אבל במהדורת קבאלי שכ"ז ובעוד מהדורות איתא 'תולשין'. ובחלק מהמהדורות (שפ"ז) איתא 'תולשן' או 'תולשם'. ועל גרסאות משובשות אלו כתב הרמ"א את הגהתו.</w:t>
      </w:r>
    </w:p>
  </w:footnote>
  <w:footnote w:id="1748">
    <w:p w14:paraId="384D5992" w14:textId="77777777" w:rsidR="00DF1FC7" w:rsidRDefault="00DF1FC7" w:rsidP="002E5BAD">
      <w:pPr>
        <w:pStyle w:val="a5"/>
      </w:pPr>
      <w:r>
        <w:rPr>
          <w:rStyle w:val="a7"/>
        </w:rPr>
        <w:footnoteRef/>
      </w:r>
      <w:r>
        <w:rPr>
          <w:rtl/>
        </w:rPr>
        <w:t xml:space="preserve"> </w:t>
      </w:r>
      <w:r>
        <w:rPr>
          <w:rFonts w:cs="Arial"/>
          <w:rtl/>
        </w:rPr>
        <w:t>ומשמע ודאי דהוא הדין לבהמות נכסי מלוג</w:t>
      </w:r>
      <w:r>
        <w:rPr>
          <w:rFonts w:cs="Arial" w:hint="cs"/>
          <w:sz w:val="16"/>
          <w:szCs w:val="16"/>
          <w:rtl/>
        </w:rPr>
        <w:t xml:space="preserve"> {שהבעל חייב במזונותיהן}</w:t>
      </w:r>
      <w:r>
        <w:rPr>
          <w:rFonts w:cs="Arial" w:hint="cs"/>
          <w:rtl/>
        </w:rPr>
        <w:t xml:space="preserve">, ב"י. </w:t>
      </w:r>
    </w:p>
  </w:footnote>
  <w:footnote w:id="1749">
    <w:p w14:paraId="0A720744" w14:textId="77777777" w:rsidR="00DF1FC7" w:rsidRDefault="00DF1FC7" w:rsidP="002E5BAD">
      <w:pPr>
        <w:pStyle w:val="a5"/>
      </w:pPr>
      <w:r>
        <w:rPr>
          <w:rStyle w:val="a7"/>
        </w:rPr>
        <w:footnoteRef/>
      </w:r>
      <w:r>
        <w:rPr>
          <w:rtl/>
        </w:rPr>
        <w:t xml:space="preserve"> </w:t>
      </w:r>
      <w:r>
        <w:rPr>
          <w:rFonts w:hint="cs"/>
          <w:rtl/>
        </w:rPr>
        <w:t xml:space="preserve">וז"ל- </w:t>
      </w:r>
      <w:r w:rsidRPr="000D5ED4">
        <w:rPr>
          <w:rFonts w:cs="Arial"/>
          <w:rtl/>
        </w:rPr>
        <w:t>דוקא במידי דאתי מעלמא כגון כפל ולד בהמת מלוג</w:t>
      </w:r>
      <w:r>
        <w:rPr>
          <w:rFonts w:cs="Arial" w:hint="cs"/>
          <w:rtl/>
        </w:rPr>
        <w:t>,</w:t>
      </w:r>
      <w:r w:rsidRPr="000D5ED4">
        <w:rPr>
          <w:rFonts w:cs="Arial"/>
          <w:rtl/>
        </w:rPr>
        <w:t xml:space="preserve"> אבל פשיטא דפירי דפירא נמי תקינו ליה רבנן כדתנן בהכותב (לקמן פג.) לעולם הוא אוכל פירי פירות עד שיכתוב כו'</w:t>
      </w:r>
      <w:r>
        <w:rPr>
          <w:rFonts w:cs="Arial" w:hint="cs"/>
          <w:rtl/>
        </w:rPr>
        <w:t>.</w:t>
      </w:r>
      <w:r w:rsidRPr="000D5ED4">
        <w:rPr>
          <w:rFonts w:cs="Arial"/>
          <w:rtl/>
        </w:rPr>
        <w:t xml:space="preserve"> והא דקאמר משלם תשלומי כפל לאשה היינו כפל לחודיה</w:t>
      </w:r>
      <w:r>
        <w:rPr>
          <w:rFonts w:cs="Arial" w:hint="cs"/>
          <w:rtl/>
        </w:rPr>
        <w:t>,</w:t>
      </w:r>
      <w:r w:rsidRPr="000D5ED4">
        <w:rPr>
          <w:rFonts w:cs="Arial"/>
          <w:rtl/>
        </w:rPr>
        <w:t xml:space="preserve"> אבל קרן לבעל</w:t>
      </w:r>
      <w:r>
        <w:rPr>
          <w:rFonts w:cs="Arial" w:hint="cs"/>
          <w:rtl/>
        </w:rPr>
        <w:t>.</w:t>
      </w:r>
      <w:r w:rsidRPr="000D5ED4">
        <w:rPr>
          <w:rFonts w:cs="Arial"/>
          <w:rtl/>
        </w:rPr>
        <w:t xml:space="preserve"> </w:t>
      </w:r>
    </w:p>
  </w:footnote>
  <w:footnote w:id="1750">
    <w:p w14:paraId="538D6B48" w14:textId="77777777" w:rsidR="00DF1FC7" w:rsidRDefault="00DF1FC7" w:rsidP="002E5BAD">
      <w:pPr>
        <w:pStyle w:val="a5"/>
        <w:rPr>
          <w:rtl/>
        </w:rPr>
      </w:pPr>
      <w:r>
        <w:rPr>
          <w:rStyle w:val="a7"/>
        </w:rPr>
        <w:footnoteRef/>
      </w:r>
      <w:r>
        <w:rPr>
          <w:rtl/>
        </w:rPr>
        <w:t xml:space="preserve"> </w:t>
      </w:r>
      <w:r w:rsidRPr="000F2C8D">
        <w:rPr>
          <w:rFonts w:cs="Arial"/>
          <w:rtl/>
        </w:rPr>
        <w:t>והרי"ף (לח.) חילק בע</w:t>
      </w:r>
      <w:r w:rsidRPr="000F2C8D">
        <w:rPr>
          <w:rFonts w:cs="Arial" w:hint="cs"/>
          <w:rtl/>
        </w:rPr>
        <w:t xml:space="preserve">נין </w:t>
      </w:r>
      <w:r w:rsidRPr="000F2C8D">
        <w:rPr>
          <w:rFonts w:cs="Arial"/>
          <w:rtl/>
        </w:rPr>
        <w:t>א</w:t>
      </w:r>
      <w:r w:rsidRPr="000F2C8D">
        <w:rPr>
          <w:rFonts w:cs="Arial" w:hint="cs"/>
          <w:rtl/>
        </w:rPr>
        <w:t>חר</w:t>
      </w:r>
      <w:r w:rsidRPr="000F2C8D">
        <w:rPr>
          <w:rFonts w:cs="Arial"/>
          <w:rtl/>
        </w:rPr>
        <w:t xml:space="preserve"> דהא דאמרינן לקמן דאוכל פירי פירות כגון שמכר הפירות ולקח בדמיהן קרקע</w:t>
      </w:r>
      <w:r w:rsidRPr="000F2C8D">
        <w:rPr>
          <w:rFonts w:cs="Arial" w:hint="cs"/>
          <w:rtl/>
        </w:rPr>
        <w:t>,</w:t>
      </w:r>
      <w:r w:rsidRPr="000F2C8D">
        <w:rPr>
          <w:rFonts w:cs="Arial"/>
          <w:rtl/>
        </w:rPr>
        <w:t xml:space="preserve"> דכיון דלא אכיל פירא</w:t>
      </w:r>
      <w:r w:rsidRPr="000F2C8D">
        <w:rPr>
          <w:rFonts w:cs="Arial" w:hint="cs"/>
          <w:rtl/>
        </w:rPr>
        <w:t>,</w:t>
      </w:r>
      <w:r w:rsidRPr="000F2C8D">
        <w:rPr>
          <w:rFonts w:cs="Arial"/>
          <w:rtl/>
        </w:rPr>
        <w:t xml:space="preserve"> דינא הוא דליכול פירי פירא דקיימי במקום פירא</w:t>
      </w:r>
      <w:r w:rsidRPr="000F2C8D">
        <w:rPr>
          <w:rFonts w:cs="Arial" w:hint="cs"/>
          <w:rtl/>
        </w:rPr>
        <w:t>,</w:t>
      </w:r>
      <w:r w:rsidRPr="000F2C8D">
        <w:rPr>
          <w:rFonts w:cs="Arial"/>
          <w:rtl/>
        </w:rPr>
        <w:t xml:space="preserve"> אבל הכא דשקיל פירא לא שקיל לכפל דהוי פירי דפירא</w:t>
      </w:r>
      <w:r w:rsidRPr="000F2C8D">
        <w:rPr>
          <w:rFonts w:cs="Arial" w:hint="cs"/>
          <w:rtl/>
        </w:rPr>
        <w:t>,</w:t>
      </w:r>
      <w:r w:rsidRPr="000F2C8D">
        <w:rPr>
          <w:rFonts w:cs="Arial"/>
          <w:rtl/>
        </w:rPr>
        <w:t xml:space="preserve"> ולדידיה נמי הוי ולד</w:t>
      </w:r>
      <w:r w:rsidRPr="000F2C8D">
        <w:rPr>
          <w:rFonts w:cs="Arial" w:hint="cs"/>
          <w:rtl/>
        </w:rPr>
        <w:t xml:space="preserve"> ולד</w:t>
      </w:r>
      <w:r w:rsidRPr="000F2C8D">
        <w:rPr>
          <w:rFonts w:cs="Arial"/>
          <w:rtl/>
        </w:rPr>
        <w:t xml:space="preserve"> לאשה</w:t>
      </w:r>
      <w:r w:rsidRPr="000F2C8D">
        <w:rPr>
          <w:rFonts w:cs="Arial" w:hint="cs"/>
          <w:rtl/>
        </w:rPr>
        <w:t>.</w:t>
      </w:r>
      <w:r w:rsidRPr="000F2C8D">
        <w:rPr>
          <w:rFonts w:cs="Arial"/>
          <w:rtl/>
        </w:rPr>
        <w:t xml:space="preserve"> ולא מסתברא כלל</w:t>
      </w:r>
      <w:r w:rsidRPr="000F2C8D">
        <w:rPr>
          <w:rFonts w:cs="Arial" w:hint="cs"/>
          <w:rtl/>
        </w:rPr>
        <w:t>,</w:t>
      </w:r>
      <w:r w:rsidRPr="000F2C8D">
        <w:rPr>
          <w:rFonts w:cs="Arial"/>
          <w:rtl/>
        </w:rPr>
        <w:t xml:space="preserve"> דכיון דולד דידיה הוא ואי בעי שחיט ואכיל ליה</w:t>
      </w:r>
      <w:r w:rsidRPr="000F2C8D">
        <w:rPr>
          <w:rFonts w:cs="Arial" w:hint="cs"/>
          <w:rtl/>
        </w:rPr>
        <w:t>,</w:t>
      </w:r>
      <w:r w:rsidRPr="000F2C8D">
        <w:rPr>
          <w:rFonts w:cs="Arial"/>
          <w:rtl/>
        </w:rPr>
        <w:t xml:space="preserve"> דליהוי ולד דידיה לדידה</w:t>
      </w:r>
      <w:r w:rsidRPr="000F2C8D">
        <w:rPr>
          <w:rFonts w:cs="Arial" w:hint="cs"/>
          <w:rtl/>
        </w:rPr>
        <w:t>.</w:t>
      </w:r>
      <w:r w:rsidRPr="000F2C8D">
        <w:rPr>
          <w:rFonts w:cs="Arial"/>
          <w:rtl/>
        </w:rPr>
        <w:t xml:space="preserve"> ומסתבר כשינוייא קמא</w:t>
      </w:r>
      <w:r>
        <w:rPr>
          <w:rFonts w:hint="cs"/>
          <w:rtl/>
        </w:rPr>
        <w:t>, רא"ש (שם).</w:t>
      </w:r>
    </w:p>
  </w:footnote>
  <w:footnote w:id="1751">
    <w:p w14:paraId="7359901B" w14:textId="77777777" w:rsidR="00DF1FC7" w:rsidRDefault="00DF1FC7" w:rsidP="002E5BAD">
      <w:pPr>
        <w:pStyle w:val="a5"/>
        <w:rPr>
          <w:rtl/>
        </w:rPr>
      </w:pPr>
      <w:r>
        <w:rPr>
          <w:rStyle w:val="a7"/>
        </w:rPr>
        <w:footnoteRef/>
      </w:r>
      <w:r>
        <w:rPr>
          <w:rtl/>
        </w:rPr>
        <w:t xml:space="preserve"> </w:t>
      </w:r>
      <w:r>
        <w:rPr>
          <w:rFonts w:cs="Arial" w:hint="cs"/>
          <w:rtl/>
        </w:rPr>
        <w:t xml:space="preserve">הר"ן </w:t>
      </w:r>
      <w:r w:rsidRPr="000F2C8D">
        <w:rPr>
          <w:rFonts w:cs="Arial"/>
          <w:rtl/>
        </w:rPr>
        <w:t>כתב על דברי הרי"ף</w:t>
      </w:r>
      <w:r w:rsidRPr="000F2C8D">
        <w:rPr>
          <w:rFonts w:cs="Arial" w:hint="cs"/>
          <w:rtl/>
        </w:rPr>
        <w:t>-</w:t>
      </w:r>
      <w:r w:rsidRPr="000F2C8D">
        <w:rPr>
          <w:rFonts w:cs="Arial"/>
          <w:rtl/>
        </w:rPr>
        <w:t xml:space="preserve"> נראה מדבריו שאפילו</w:t>
      </w:r>
      <w:r w:rsidRPr="000F2C8D">
        <w:rPr>
          <w:rFonts w:cs="Arial" w:hint="cs"/>
          <w:rtl/>
        </w:rPr>
        <w:t xml:space="preserve"> ולד</w:t>
      </w:r>
      <w:r w:rsidRPr="000F2C8D">
        <w:rPr>
          <w:rFonts w:cs="Arial"/>
          <w:rtl/>
        </w:rPr>
        <w:t xml:space="preserve"> ולד בהמת מלוג לא הוי לבעל</w:t>
      </w:r>
      <w:r w:rsidRPr="000F2C8D">
        <w:rPr>
          <w:rFonts w:cs="Arial" w:hint="cs"/>
          <w:rtl/>
        </w:rPr>
        <w:t>,</w:t>
      </w:r>
      <w:r w:rsidRPr="000F2C8D">
        <w:rPr>
          <w:rFonts w:cs="Arial"/>
          <w:rtl/>
        </w:rPr>
        <w:t xml:space="preserve"> ואינו נראה כן אלא</w:t>
      </w:r>
      <w:r>
        <w:rPr>
          <w:rFonts w:hint="cs"/>
          <w:rtl/>
        </w:rPr>
        <w:t>-...</w:t>
      </w:r>
    </w:p>
  </w:footnote>
  <w:footnote w:id="1752">
    <w:p w14:paraId="4DFA4BAD" w14:textId="77777777" w:rsidR="00DF1FC7" w:rsidRDefault="00DF1FC7" w:rsidP="002E5BAD">
      <w:pPr>
        <w:pStyle w:val="a5"/>
      </w:pPr>
      <w:r>
        <w:rPr>
          <w:rStyle w:val="a7"/>
        </w:rPr>
        <w:footnoteRef/>
      </w:r>
      <w:r>
        <w:rPr>
          <w:rtl/>
        </w:rPr>
        <w:t xml:space="preserve"> </w:t>
      </w:r>
      <w:r w:rsidRPr="007A228B">
        <w:rPr>
          <w:rFonts w:cs="Arial"/>
          <w:rtl/>
        </w:rPr>
        <w:t xml:space="preserve">וכ"כ בעל העיטור </w:t>
      </w:r>
      <w:r w:rsidRPr="00A018DD">
        <w:rPr>
          <w:rFonts w:cs="Arial"/>
          <w:sz w:val="16"/>
          <w:szCs w:val="16"/>
          <w:rtl/>
        </w:rPr>
        <w:t>(אות כ כתובות לו ע"ד)</w:t>
      </w:r>
      <w:r>
        <w:rPr>
          <w:rFonts w:cs="Arial" w:hint="cs"/>
          <w:rtl/>
        </w:rPr>
        <w:t xml:space="preserve"> </w:t>
      </w:r>
      <w:r w:rsidRPr="007A228B">
        <w:rPr>
          <w:rFonts w:cs="Arial"/>
          <w:rtl/>
        </w:rPr>
        <w:t xml:space="preserve">שאם מכרה נכסי </w:t>
      </w:r>
      <w:r>
        <w:rPr>
          <w:rFonts w:cs="Arial"/>
          <w:rtl/>
        </w:rPr>
        <w:t>צאן ברזל</w:t>
      </w:r>
      <w:r w:rsidRPr="007A228B">
        <w:rPr>
          <w:rFonts w:cs="Arial"/>
          <w:rtl/>
        </w:rPr>
        <w:t xml:space="preserve"> בטובת הנאה אין הבעל אוכל פירות מאותה טובת הנאה</w:t>
      </w:r>
      <w:r>
        <w:rPr>
          <w:rFonts w:cs="Arial" w:hint="cs"/>
          <w:rtl/>
        </w:rPr>
        <w:t>, טור.</w:t>
      </w:r>
    </w:p>
  </w:footnote>
  <w:footnote w:id="1753">
    <w:p w14:paraId="16360D08" w14:textId="77777777" w:rsidR="00DF1FC7" w:rsidRDefault="00DF1FC7" w:rsidP="002E5BAD">
      <w:pPr>
        <w:pStyle w:val="a5"/>
      </w:pPr>
      <w:r>
        <w:rPr>
          <w:rStyle w:val="a7"/>
        </w:rPr>
        <w:footnoteRef/>
      </w:r>
      <w:r>
        <w:rPr>
          <w:rtl/>
        </w:rPr>
        <w:t xml:space="preserve"> </w:t>
      </w:r>
      <w:r>
        <w:rPr>
          <w:rFonts w:hint="cs"/>
          <w:rtl/>
        </w:rPr>
        <w:t xml:space="preserve">וז"ל התוס' שם- </w:t>
      </w:r>
      <w:r>
        <w:rPr>
          <w:rFonts w:cs="Arial" w:hint="cs"/>
          <w:rtl/>
        </w:rPr>
        <w:t>ת</w:t>
      </w:r>
      <w:r w:rsidRPr="000D5ED4">
        <w:rPr>
          <w:rFonts w:cs="Arial"/>
          <w:rtl/>
        </w:rPr>
        <w:t>ימה</w:t>
      </w:r>
      <w:r>
        <w:rPr>
          <w:rFonts w:cs="Arial" w:hint="cs"/>
          <w:rtl/>
        </w:rPr>
        <w:t>,</w:t>
      </w:r>
      <w:r w:rsidRPr="000D5ED4">
        <w:rPr>
          <w:rFonts w:cs="Arial"/>
          <w:rtl/>
        </w:rPr>
        <w:t xml:space="preserve"> דגונב בהמת מלוג עצמה שהיא של אשה הוי הכפל לבעל</w:t>
      </w:r>
      <w:r>
        <w:rPr>
          <w:rFonts w:cs="Arial" w:hint="cs"/>
          <w:rtl/>
        </w:rPr>
        <w:t>,</w:t>
      </w:r>
      <w:r w:rsidRPr="000D5ED4">
        <w:rPr>
          <w:rFonts w:cs="Arial"/>
          <w:rtl/>
        </w:rPr>
        <w:t xml:space="preserve"> דהא לא הוי פירא דפירא</w:t>
      </w:r>
      <w:r>
        <w:rPr>
          <w:rFonts w:cs="Arial" w:hint="cs"/>
          <w:rtl/>
        </w:rPr>
        <w:t>,</w:t>
      </w:r>
      <w:r w:rsidRPr="000D5ED4">
        <w:rPr>
          <w:rFonts w:cs="Arial"/>
          <w:rtl/>
        </w:rPr>
        <w:t xml:space="preserve"> וגונב ולד בהמת מלוג דהויא דבעל</w:t>
      </w:r>
      <w:r>
        <w:rPr>
          <w:rFonts w:cs="Arial" w:hint="cs"/>
          <w:rtl/>
        </w:rPr>
        <w:t>,</w:t>
      </w:r>
      <w:r w:rsidRPr="000D5ED4">
        <w:rPr>
          <w:rFonts w:cs="Arial"/>
          <w:rtl/>
        </w:rPr>
        <w:t xml:space="preserve"> הוי הכפל לאשה</w:t>
      </w:r>
      <w:r>
        <w:rPr>
          <w:rFonts w:cs="Arial" w:hint="cs"/>
          <w:rtl/>
        </w:rPr>
        <w:t>,</w:t>
      </w:r>
      <w:r w:rsidRPr="000D5ED4">
        <w:rPr>
          <w:rFonts w:cs="Arial"/>
          <w:rtl/>
        </w:rPr>
        <w:t xml:space="preserve"> וריב"ן פירש דכ"ש בהמת מלוג עצמה דהוי הכפל לאשה</w:t>
      </w:r>
      <w:r>
        <w:rPr>
          <w:rFonts w:cs="Arial" w:hint="cs"/>
          <w:rtl/>
        </w:rPr>
        <w:t>,</w:t>
      </w:r>
      <w:r w:rsidRPr="000D5ED4">
        <w:rPr>
          <w:rFonts w:cs="Arial"/>
          <w:rtl/>
        </w:rPr>
        <w:t xml:space="preserve"> והכי פי'</w:t>
      </w:r>
      <w:r>
        <w:rPr>
          <w:rFonts w:cs="Arial" w:hint="cs"/>
          <w:rtl/>
        </w:rPr>
        <w:t>,</w:t>
      </w:r>
      <w:r w:rsidRPr="000D5ED4">
        <w:rPr>
          <w:rFonts w:cs="Arial"/>
          <w:rtl/>
        </w:rPr>
        <w:t xml:space="preserve"> פירא </w:t>
      </w:r>
      <w:r>
        <w:rPr>
          <w:rFonts w:cs="Arial" w:hint="cs"/>
          <w:rtl/>
        </w:rPr>
        <w:t xml:space="preserve">- </w:t>
      </w:r>
      <w:r w:rsidRPr="000D5ED4">
        <w:rPr>
          <w:rFonts w:cs="Arial"/>
          <w:rtl/>
        </w:rPr>
        <w:t>כיון דלא הוי מעלמא תקינו ליה רבנן</w:t>
      </w:r>
      <w:r>
        <w:rPr>
          <w:rFonts w:cs="Arial" w:hint="cs"/>
          <w:rtl/>
        </w:rPr>
        <w:t>,</w:t>
      </w:r>
      <w:r w:rsidRPr="000D5ED4">
        <w:rPr>
          <w:rFonts w:cs="Arial"/>
          <w:rtl/>
        </w:rPr>
        <w:t xml:space="preserve"> והוא הדין פירא דפירא</w:t>
      </w:r>
      <w:r>
        <w:rPr>
          <w:rFonts w:cs="Arial" w:hint="cs"/>
          <w:rtl/>
        </w:rPr>
        <w:t>.</w:t>
      </w:r>
      <w:r w:rsidRPr="000D5ED4">
        <w:rPr>
          <w:rFonts w:cs="Arial"/>
          <w:rtl/>
        </w:rPr>
        <w:t xml:space="preserve"> הא פירא דפירא דאתי מעלמא </w:t>
      </w:r>
      <w:r>
        <w:rPr>
          <w:rFonts w:cs="Arial" w:hint="cs"/>
          <w:rtl/>
        </w:rPr>
        <w:t xml:space="preserve">- </w:t>
      </w:r>
      <w:r w:rsidRPr="000D5ED4">
        <w:rPr>
          <w:rFonts w:cs="Arial"/>
          <w:rtl/>
        </w:rPr>
        <w:t>לא תקינו ליה</w:t>
      </w:r>
      <w:r>
        <w:rPr>
          <w:rFonts w:cs="Arial" w:hint="cs"/>
          <w:rtl/>
        </w:rPr>
        <w:t>,</w:t>
      </w:r>
      <w:r w:rsidRPr="000D5ED4">
        <w:rPr>
          <w:rFonts w:cs="Arial"/>
          <w:rtl/>
        </w:rPr>
        <w:t xml:space="preserve"> וכל שכן פירא דאתי מעלמא</w:t>
      </w:r>
      <w:r>
        <w:rPr>
          <w:rFonts w:cs="Arial" w:hint="cs"/>
          <w:rtl/>
        </w:rPr>
        <w:t>.</w:t>
      </w:r>
    </w:p>
  </w:footnote>
  <w:footnote w:id="1754">
    <w:p w14:paraId="329EB5F0" w14:textId="77777777" w:rsidR="00DF1FC7" w:rsidRDefault="00DF1FC7" w:rsidP="002E5BAD">
      <w:pPr>
        <w:pStyle w:val="a5"/>
      </w:pPr>
      <w:r>
        <w:rPr>
          <w:rStyle w:val="a7"/>
        </w:rPr>
        <w:footnoteRef/>
      </w:r>
      <w:r>
        <w:rPr>
          <w:rtl/>
        </w:rPr>
        <w:t xml:space="preserve"> </w:t>
      </w:r>
      <w:r>
        <w:rPr>
          <w:rFonts w:cs="Arial" w:hint="cs"/>
          <w:rtl/>
        </w:rPr>
        <w:t xml:space="preserve">וז"ל- </w:t>
      </w:r>
      <w:r w:rsidRPr="000F2C8D">
        <w:rPr>
          <w:rFonts w:cs="Arial"/>
          <w:rtl/>
        </w:rPr>
        <w:t>וקצת קשה</w:t>
      </w:r>
      <w:r w:rsidRPr="000F2C8D">
        <w:rPr>
          <w:rFonts w:cs="Arial" w:hint="cs"/>
          <w:rtl/>
        </w:rPr>
        <w:t>,</w:t>
      </w:r>
      <w:r w:rsidRPr="000F2C8D">
        <w:rPr>
          <w:rFonts w:cs="Arial"/>
          <w:rtl/>
        </w:rPr>
        <w:t xml:space="preserve"> דהגונב בהמת מלוג שהוא לאשה הוי הכפל לבעל</w:t>
      </w:r>
      <w:r w:rsidRPr="000F2C8D">
        <w:rPr>
          <w:rFonts w:cs="Arial" w:hint="cs"/>
          <w:rtl/>
        </w:rPr>
        <w:t>,</w:t>
      </w:r>
      <w:r w:rsidRPr="000F2C8D">
        <w:rPr>
          <w:rFonts w:cs="Arial"/>
          <w:rtl/>
        </w:rPr>
        <w:t xml:space="preserve"> דהוי פירא קמא</w:t>
      </w:r>
      <w:r w:rsidRPr="000F2C8D">
        <w:rPr>
          <w:rFonts w:cs="Arial" w:hint="cs"/>
          <w:rtl/>
        </w:rPr>
        <w:t>,</w:t>
      </w:r>
      <w:r w:rsidRPr="000F2C8D">
        <w:rPr>
          <w:rFonts w:cs="Arial"/>
          <w:rtl/>
        </w:rPr>
        <w:t xml:space="preserve"> והגונב ולד בהמת מלוג שהוא לבעל משלם כפל לאשה</w:t>
      </w:r>
      <w:r w:rsidRPr="000F2C8D">
        <w:rPr>
          <w:rFonts w:cs="Arial" w:hint="cs"/>
          <w:rtl/>
        </w:rPr>
        <w:t>.</w:t>
      </w:r>
      <w:r w:rsidRPr="000F2C8D">
        <w:rPr>
          <w:rFonts w:cs="Arial"/>
          <w:rtl/>
        </w:rPr>
        <w:t xml:space="preserve"> וריב"ן (תוס' עט: ד"ה פירא) כתב דכל שכן גונב בהמת מלוג דמשלם כפל לאשה</w:t>
      </w:r>
      <w:r w:rsidRPr="000F2C8D">
        <w:rPr>
          <w:rFonts w:cs="Arial" w:hint="cs"/>
          <w:rtl/>
        </w:rPr>
        <w:t>,</w:t>
      </w:r>
      <w:r w:rsidRPr="000F2C8D">
        <w:rPr>
          <w:rFonts w:cs="Arial"/>
          <w:rtl/>
        </w:rPr>
        <w:t xml:space="preserve"> כיון דמעלמא קאתי</w:t>
      </w:r>
      <w:r>
        <w:rPr>
          <w:rFonts w:cs="Arial" w:hint="cs"/>
          <w:rtl/>
        </w:rPr>
        <w:t>.</w:t>
      </w:r>
    </w:p>
  </w:footnote>
  <w:footnote w:id="1755">
    <w:p w14:paraId="0DB67D5A" w14:textId="77777777" w:rsidR="00DF1FC7" w:rsidRDefault="00DF1FC7" w:rsidP="002E5BAD">
      <w:pPr>
        <w:pStyle w:val="a5"/>
      </w:pPr>
      <w:r>
        <w:rPr>
          <w:rStyle w:val="a7"/>
        </w:rPr>
        <w:footnoteRef/>
      </w:r>
      <w:r>
        <w:rPr>
          <w:rtl/>
        </w:rPr>
        <w:t xml:space="preserve"> </w:t>
      </w:r>
      <w:r>
        <w:rPr>
          <w:rFonts w:hint="cs"/>
          <w:rtl/>
        </w:rPr>
        <w:t xml:space="preserve">וז"ל- </w:t>
      </w:r>
      <w:r w:rsidRPr="000F2C8D">
        <w:rPr>
          <w:rFonts w:cs="Arial"/>
          <w:rtl/>
        </w:rPr>
        <w:t xml:space="preserve">ומהאי טעמא </w:t>
      </w:r>
      <w:r>
        <w:rPr>
          <w:rFonts w:cs="Arial" w:hint="cs"/>
          <w:sz w:val="16"/>
          <w:szCs w:val="16"/>
          <w:rtl/>
        </w:rPr>
        <w:t>{ש</w:t>
      </w:r>
      <w:r w:rsidRPr="00F62F59">
        <w:rPr>
          <w:rFonts w:cs="Arial"/>
          <w:sz w:val="16"/>
          <w:szCs w:val="16"/>
          <w:rtl/>
        </w:rPr>
        <w:t>לא תיקנו לו דבר שאינו מצוי</w:t>
      </w:r>
      <w:r>
        <w:rPr>
          <w:rFonts w:cs="Arial" w:hint="cs"/>
          <w:sz w:val="16"/>
          <w:szCs w:val="16"/>
          <w:rtl/>
        </w:rPr>
        <w:t>}</w:t>
      </w:r>
      <w:r>
        <w:rPr>
          <w:rFonts w:cs="Arial" w:hint="cs"/>
          <w:rtl/>
        </w:rPr>
        <w:t xml:space="preserve"> </w:t>
      </w:r>
      <w:r w:rsidRPr="000F2C8D">
        <w:rPr>
          <w:rFonts w:cs="Arial"/>
          <w:rtl/>
        </w:rPr>
        <w:t>אפילו כפל של בהמת מלוג משלם לאשה</w:t>
      </w:r>
      <w:r w:rsidRPr="000F2C8D">
        <w:rPr>
          <w:rFonts w:cs="Arial" w:hint="cs"/>
          <w:rtl/>
        </w:rPr>
        <w:t>,</w:t>
      </w:r>
      <w:r w:rsidRPr="000F2C8D">
        <w:rPr>
          <w:rFonts w:cs="Arial"/>
          <w:rtl/>
        </w:rPr>
        <w:t xml:space="preserve"> דפירא כי האי לא תקינו ליה רבנן</w:t>
      </w:r>
      <w:r w:rsidRPr="000F2C8D">
        <w:rPr>
          <w:rFonts w:cs="Arial" w:hint="cs"/>
          <w:rtl/>
        </w:rPr>
        <w:t>.</w:t>
      </w:r>
      <w:r w:rsidRPr="000F2C8D">
        <w:rPr>
          <w:rFonts w:cs="Arial"/>
          <w:rtl/>
        </w:rPr>
        <w:t xml:space="preserve"> וולד בהמה דנקט הכא</w:t>
      </w:r>
      <w:r w:rsidRPr="000F2C8D">
        <w:rPr>
          <w:rFonts w:cs="Arial" w:hint="cs"/>
          <w:rtl/>
        </w:rPr>
        <w:t>,</w:t>
      </w:r>
      <w:r w:rsidRPr="000F2C8D">
        <w:rPr>
          <w:rFonts w:cs="Arial"/>
          <w:rtl/>
        </w:rPr>
        <w:t xml:space="preserve"> לרבותא נקטיה</w:t>
      </w:r>
      <w:r w:rsidRPr="000F2C8D">
        <w:rPr>
          <w:rFonts w:cs="Arial" w:hint="cs"/>
          <w:rtl/>
        </w:rPr>
        <w:t>,</w:t>
      </w:r>
      <w:r w:rsidRPr="000F2C8D">
        <w:rPr>
          <w:rFonts w:cs="Arial"/>
          <w:rtl/>
        </w:rPr>
        <w:t xml:space="preserve"> דאע</w:t>
      </w:r>
      <w:r>
        <w:rPr>
          <w:rFonts w:cs="Arial" w:hint="cs"/>
          <w:rtl/>
        </w:rPr>
        <w:t>"</w:t>
      </w:r>
      <w:r w:rsidRPr="000F2C8D">
        <w:rPr>
          <w:rFonts w:cs="Arial"/>
          <w:rtl/>
        </w:rPr>
        <w:t>ג דולד גופיה דבעל אפילו הכי כפיליה הוי לאשה</w:t>
      </w:r>
      <w:r w:rsidRPr="000F2C8D">
        <w:rPr>
          <w:rFonts w:cs="Arial" w:hint="cs"/>
          <w:rtl/>
        </w:rPr>
        <w:t>.</w:t>
      </w:r>
      <w:r w:rsidRPr="000F2C8D">
        <w:rPr>
          <w:rFonts w:cs="Arial"/>
          <w:rtl/>
        </w:rPr>
        <w:t xml:space="preserve"> וכך נראים דברי הרמב"ם בפרק שנים ועשרים מהלכות אישות (הכ"ח) שאין זה הפרי שתקנו לו חכמים</w:t>
      </w:r>
      <w:r>
        <w:rPr>
          <w:rFonts w:cs="Arial" w:hint="cs"/>
          <w:rtl/>
        </w:rPr>
        <w:t>.</w:t>
      </w:r>
    </w:p>
  </w:footnote>
  <w:footnote w:id="1756">
    <w:p w14:paraId="2CF38BE9" w14:textId="77777777" w:rsidR="00DF1FC7" w:rsidRDefault="00DF1FC7" w:rsidP="002E5BAD">
      <w:pPr>
        <w:pStyle w:val="a5"/>
      </w:pPr>
      <w:r>
        <w:rPr>
          <w:rStyle w:val="a7"/>
        </w:rPr>
        <w:footnoteRef/>
      </w:r>
      <w:r>
        <w:rPr>
          <w:rtl/>
        </w:rPr>
        <w:t xml:space="preserve"> </w:t>
      </w:r>
      <w:r>
        <w:rPr>
          <w:rFonts w:cs="Arial"/>
          <w:rtl/>
        </w:rPr>
        <w:t>לכאורה יש לתמוה על לשון אפילו דנקט</w:t>
      </w:r>
      <w:r>
        <w:rPr>
          <w:rFonts w:cs="Arial" w:hint="cs"/>
          <w:rtl/>
        </w:rPr>
        <w:t>,</w:t>
      </w:r>
      <w:r>
        <w:rPr>
          <w:rFonts w:cs="Arial"/>
          <w:rtl/>
        </w:rPr>
        <w:t xml:space="preserve"> דמשמע דמכל שכן אתי</w:t>
      </w:r>
      <w:r>
        <w:rPr>
          <w:rFonts w:cs="Arial" w:hint="cs"/>
          <w:rtl/>
        </w:rPr>
        <w:t>,</w:t>
      </w:r>
      <w:r>
        <w:rPr>
          <w:rFonts w:cs="Arial"/>
          <w:rtl/>
        </w:rPr>
        <w:t xml:space="preserve"> דאם הולד שהוא שלו אין הכפל שלו</w:t>
      </w:r>
      <w:r>
        <w:rPr>
          <w:rFonts w:cs="Arial" w:hint="cs"/>
          <w:rtl/>
        </w:rPr>
        <w:t>,</w:t>
      </w:r>
      <w:r>
        <w:rPr>
          <w:rFonts w:cs="Arial"/>
          <w:rtl/>
        </w:rPr>
        <w:t xml:space="preserve"> האם שהיא שלה על אחת כמה וכמה</w:t>
      </w:r>
      <w:r>
        <w:rPr>
          <w:rFonts w:cs="Arial" w:hint="cs"/>
          <w:rtl/>
        </w:rPr>
        <w:t>.</w:t>
      </w:r>
      <w:r>
        <w:rPr>
          <w:rFonts w:cs="Arial"/>
          <w:rtl/>
        </w:rPr>
        <w:t xml:space="preserve"> ושמא י"ל דמשום דלפי מה שכתב הרא"ש לדעת הרי"ף דבעל אינו נוטל אלא ולדות ולא ולדי ולדות נמצא שיפה כח הבעל באם מבולד</w:t>
      </w:r>
      <w:r>
        <w:rPr>
          <w:rFonts w:cs="Arial" w:hint="cs"/>
          <w:rtl/>
        </w:rPr>
        <w:t>,</w:t>
      </w:r>
      <w:r>
        <w:rPr>
          <w:rFonts w:cs="Arial"/>
          <w:rtl/>
        </w:rPr>
        <w:t xml:space="preserve"> משום הכי כתב דאפילו נגנבה האם שיפה כח הבעל בה שהרי ולדותיה שלו עכ"ז אין הכפל שלו</w:t>
      </w:r>
      <w:r>
        <w:rPr>
          <w:rFonts w:cs="Arial" w:hint="cs"/>
          <w:rtl/>
        </w:rPr>
        <w:t>, ב"י.</w:t>
      </w:r>
    </w:p>
  </w:footnote>
  <w:footnote w:id="1757">
    <w:p w14:paraId="164B358D" w14:textId="77777777" w:rsidR="00DF1FC7" w:rsidRDefault="00DF1FC7" w:rsidP="002E5BAD">
      <w:pPr>
        <w:pStyle w:val="a5"/>
      </w:pPr>
      <w:r>
        <w:rPr>
          <w:rStyle w:val="a7"/>
        </w:rPr>
        <w:footnoteRef/>
      </w:r>
      <w:r>
        <w:rPr>
          <w:rtl/>
        </w:rPr>
        <w:t xml:space="preserve"> </w:t>
      </w:r>
      <w:r w:rsidRPr="005A2554">
        <w:rPr>
          <w:rFonts w:cs="Arial"/>
          <w:rtl/>
        </w:rPr>
        <w:t>אע</w:t>
      </w:r>
      <w:r>
        <w:rPr>
          <w:rFonts w:cs="Arial" w:hint="cs"/>
          <w:rtl/>
        </w:rPr>
        <w:t>"</w:t>
      </w:r>
      <w:r w:rsidRPr="005A2554">
        <w:rPr>
          <w:rFonts w:cs="Arial"/>
          <w:rtl/>
        </w:rPr>
        <w:t>ג דק"ל יכול הרב לומר לעבדו עשה עמי ואיני זנך אפ"ה עבדי מלוג עדיפי מעבדי' שלו ועיין בי"ד סי' רסז סע' כ</w:t>
      </w:r>
      <w:r>
        <w:rPr>
          <w:rFonts w:cs="Arial" w:hint="cs"/>
          <w:rtl/>
        </w:rPr>
        <w:t xml:space="preserve">, ח"מ </w:t>
      </w:r>
      <w:r w:rsidRPr="00941E89">
        <w:rPr>
          <w:rFonts w:cs="Arial" w:hint="cs"/>
          <w:rtl/>
        </w:rPr>
        <w:t>(סקל"ח)</w:t>
      </w:r>
      <w:r>
        <w:rPr>
          <w:rFonts w:cs="Arial" w:hint="cs"/>
          <w:rtl/>
        </w:rPr>
        <w:t>.</w:t>
      </w:r>
      <w:r w:rsidRPr="00941E89">
        <w:rPr>
          <w:rtl/>
        </w:rPr>
        <w:t xml:space="preserve"> </w:t>
      </w:r>
      <w:r w:rsidRPr="00941E89">
        <w:rPr>
          <w:rFonts w:cs="Arial"/>
          <w:rtl/>
        </w:rPr>
        <w:t xml:space="preserve">מיהו של </w:t>
      </w:r>
      <w:r>
        <w:rPr>
          <w:rFonts w:cs="Arial"/>
          <w:rtl/>
        </w:rPr>
        <w:t>צאן ברזל</w:t>
      </w:r>
      <w:r w:rsidRPr="00941E89">
        <w:rPr>
          <w:rFonts w:cs="Arial"/>
          <w:rtl/>
        </w:rPr>
        <w:t xml:space="preserve"> שהם באחריות שלו י"ל דיכול לומר עשה עמי ואיני זנך וכן משמע שם</w:t>
      </w:r>
      <w:r>
        <w:rPr>
          <w:rFonts w:cs="Arial" w:hint="cs"/>
          <w:rtl/>
        </w:rPr>
        <w:t xml:space="preserve"> (ביו"ד סי' רסז), ב"ש (סקל"ו).</w:t>
      </w:r>
    </w:p>
  </w:footnote>
  <w:footnote w:id="1758">
    <w:p w14:paraId="5E5215C6" w14:textId="77777777" w:rsidR="00DF1FC7" w:rsidRDefault="00DF1FC7" w:rsidP="002E5BAD">
      <w:pPr>
        <w:pStyle w:val="a5"/>
        <w:rPr>
          <w:rtl/>
        </w:rPr>
      </w:pPr>
      <w:r>
        <w:rPr>
          <w:rStyle w:val="a7"/>
        </w:rPr>
        <w:footnoteRef/>
      </w:r>
      <w:r>
        <w:rPr>
          <w:rtl/>
        </w:rPr>
        <w:t xml:space="preserve"> </w:t>
      </w:r>
      <w:r w:rsidRPr="005A2554">
        <w:rPr>
          <w:rFonts w:cs="Arial"/>
          <w:rtl/>
        </w:rPr>
        <w:t>ומכ"ש ולד ולד עד עולם. וכתב הרא"ש בשם בה"ג דאם מתה האם קודם ששחט הולד נעשה הולד קרן של האשה במקום האם ולא ידעתי למה הושמט דין זה כאן ודין הכפל שלא זיכו אותו לבעל אפילו כפל דולד שהוא שלו הושמט כאן משום דאין כפל נוהג עכשיו דאין דנין דיני קנסות ומ"מ יש נ"מ גם האידנ' אם תפסה זכתה ואין הבעל מוציא מידה</w:t>
      </w:r>
      <w:r>
        <w:rPr>
          <w:rFonts w:hint="cs"/>
          <w:rtl/>
        </w:rPr>
        <w:t>, ח"מ (סקל"ט).</w:t>
      </w:r>
    </w:p>
  </w:footnote>
  <w:footnote w:id="1759">
    <w:p w14:paraId="0E1A2593" w14:textId="77777777" w:rsidR="00DF1FC7" w:rsidRDefault="00DF1FC7" w:rsidP="002E5BAD">
      <w:pPr>
        <w:pStyle w:val="a5"/>
      </w:pPr>
      <w:r>
        <w:rPr>
          <w:rStyle w:val="a7"/>
        </w:rPr>
        <w:footnoteRef/>
      </w:r>
      <w:r>
        <w:rPr>
          <w:rtl/>
        </w:rPr>
        <w:t xml:space="preserve"> </w:t>
      </w:r>
      <w:r w:rsidRPr="00941E89">
        <w:rPr>
          <w:rFonts w:cs="Arial"/>
          <w:rtl/>
        </w:rPr>
        <w:t>כ"כ הרמב"ם ורש"י</w:t>
      </w:r>
      <w:r>
        <w:rPr>
          <w:rFonts w:cs="Arial" w:hint="cs"/>
          <w:rtl/>
        </w:rPr>
        <w:t>,</w:t>
      </w:r>
      <w:r w:rsidRPr="00941E89">
        <w:rPr>
          <w:rFonts w:cs="Arial"/>
          <w:rtl/>
        </w:rPr>
        <w:t xml:space="preserve"> משמע </w:t>
      </w:r>
      <w:r>
        <w:rPr>
          <w:rFonts w:cs="Arial" w:hint="cs"/>
          <w:rtl/>
        </w:rPr>
        <w:t xml:space="preserve">דולד </w:t>
      </w:r>
      <w:r w:rsidRPr="00941E89">
        <w:rPr>
          <w:rFonts w:cs="Arial"/>
          <w:rtl/>
        </w:rPr>
        <w:t>בהמת נ</w:t>
      </w:r>
      <w:r>
        <w:rPr>
          <w:rFonts w:cs="Arial" w:hint="cs"/>
          <w:rtl/>
        </w:rPr>
        <w:t xml:space="preserve">כסי </w:t>
      </w:r>
      <w:r w:rsidRPr="00941E89">
        <w:rPr>
          <w:rFonts w:cs="Arial"/>
          <w:rtl/>
        </w:rPr>
        <w:t>מ</w:t>
      </w:r>
      <w:r>
        <w:rPr>
          <w:rFonts w:cs="Arial" w:hint="cs"/>
          <w:rtl/>
        </w:rPr>
        <w:t>לוג</w:t>
      </w:r>
      <w:r w:rsidRPr="00941E89">
        <w:rPr>
          <w:rFonts w:cs="Arial"/>
          <w:rtl/>
        </w:rPr>
        <w:t xml:space="preserve"> לא שייך ש</w:t>
      </w:r>
      <w:r>
        <w:rPr>
          <w:rFonts w:cs="Arial" w:hint="cs"/>
          <w:rtl/>
        </w:rPr>
        <w:t>בח בית אביה,</w:t>
      </w:r>
      <w:r w:rsidRPr="00941E89">
        <w:rPr>
          <w:rFonts w:cs="Arial"/>
          <w:rtl/>
        </w:rPr>
        <w:t xml:space="preserve"> כ"כ בח"מ </w:t>
      </w:r>
      <w:r>
        <w:rPr>
          <w:rFonts w:cs="Arial" w:hint="cs"/>
          <w:rtl/>
        </w:rPr>
        <w:t xml:space="preserve">(סק"מ). </w:t>
      </w:r>
      <w:r w:rsidRPr="00941E89">
        <w:rPr>
          <w:rFonts w:cs="Arial"/>
          <w:rtl/>
        </w:rPr>
        <w:t>והטור ס"ס פ"ט כתב גם ולד בהמו</w:t>
      </w:r>
      <w:r>
        <w:rPr>
          <w:rFonts w:cs="Arial" w:hint="cs"/>
          <w:rtl/>
        </w:rPr>
        <w:t>ת</w:t>
      </w:r>
      <w:r w:rsidRPr="00941E89">
        <w:rPr>
          <w:rFonts w:cs="Arial"/>
          <w:rtl/>
        </w:rPr>
        <w:t xml:space="preserve"> נותנת דמים ונוטלת</w:t>
      </w:r>
      <w:r>
        <w:rPr>
          <w:rFonts w:cs="Arial" w:hint="cs"/>
          <w:rtl/>
        </w:rPr>
        <w:t>.</w:t>
      </w:r>
      <w:r w:rsidRPr="00941E89">
        <w:rPr>
          <w:rFonts w:cs="Arial"/>
          <w:rtl/>
        </w:rPr>
        <w:t xml:space="preserve"> מיהו הריב"ש </w:t>
      </w:r>
      <w:r>
        <w:rPr>
          <w:rFonts w:cs="Arial" w:hint="cs"/>
          <w:rtl/>
        </w:rPr>
        <w:t>(</w:t>
      </w:r>
      <w:r w:rsidRPr="00941E89">
        <w:rPr>
          <w:rFonts w:cs="Arial"/>
          <w:rtl/>
        </w:rPr>
        <w:t>סי</w:t>
      </w:r>
      <w:r>
        <w:rPr>
          <w:rFonts w:cs="Arial" w:hint="cs"/>
          <w:rtl/>
        </w:rPr>
        <w:t>'</w:t>
      </w:r>
      <w:r w:rsidRPr="00941E89">
        <w:rPr>
          <w:rFonts w:cs="Arial"/>
          <w:rtl/>
        </w:rPr>
        <w:t xml:space="preserve"> כא</w:t>
      </w:r>
      <w:r>
        <w:rPr>
          <w:rFonts w:cs="Arial" w:hint="cs"/>
          <w:rtl/>
        </w:rPr>
        <w:t>)</w:t>
      </w:r>
      <w:r w:rsidRPr="00941E89">
        <w:rPr>
          <w:rFonts w:cs="Arial"/>
          <w:rtl/>
        </w:rPr>
        <w:t xml:space="preserve"> כתב להדי</w:t>
      </w:r>
      <w:r>
        <w:rPr>
          <w:rFonts w:cs="Arial" w:hint="cs"/>
          <w:rtl/>
        </w:rPr>
        <w:t>א</w:t>
      </w:r>
      <w:r w:rsidRPr="00941E89">
        <w:rPr>
          <w:rFonts w:cs="Arial"/>
          <w:rtl/>
        </w:rPr>
        <w:t xml:space="preserve"> דוקא ולד שפחות לוקח</w:t>
      </w:r>
      <w:r>
        <w:rPr>
          <w:rFonts w:cs="Arial" w:hint="cs"/>
          <w:rtl/>
        </w:rPr>
        <w:t>ת</w:t>
      </w:r>
      <w:r w:rsidRPr="00941E89">
        <w:rPr>
          <w:rFonts w:cs="Arial"/>
          <w:rtl/>
        </w:rPr>
        <w:t xml:space="preserve"> משום שב"א ולא ולד בהמות</w:t>
      </w:r>
      <w:r>
        <w:rPr>
          <w:rFonts w:cs="Arial" w:hint="cs"/>
          <w:rtl/>
        </w:rPr>
        <w:t>.</w:t>
      </w:r>
      <w:r w:rsidRPr="00941E89">
        <w:rPr>
          <w:rFonts w:cs="Arial"/>
          <w:rtl/>
        </w:rPr>
        <w:t xml:space="preserve"> גם נשמע מהרי"ף אם הבעל מוכר הפירות ולקח קרקע אז הקרקע שייך לה ואין לו אלא הפירות כי הפירות לא תקנו חז"ל אלא לריוח ביתו ולא לקנות קרק</w:t>
      </w:r>
      <w:r>
        <w:rPr>
          <w:rFonts w:cs="Arial" w:hint="cs"/>
          <w:rtl/>
        </w:rPr>
        <w:t>ע, ב"ש (סקל"ח).</w:t>
      </w:r>
    </w:p>
  </w:footnote>
  <w:footnote w:id="1760">
    <w:p w14:paraId="1C20274F" w14:textId="77777777" w:rsidR="00DF1FC7" w:rsidRDefault="00DF1FC7" w:rsidP="002E5BAD">
      <w:pPr>
        <w:pStyle w:val="a5"/>
      </w:pPr>
      <w:r>
        <w:rPr>
          <w:rStyle w:val="a7"/>
        </w:rPr>
        <w:footnoteRef/>
      </w:r>
      <w:r>
        <w:rPr>
          <w:rtl/>
        </w:rPr>
        <w:t xml:space="preserve"> </w:t>
      </w:r>
      <w:r w:rsidRPr="001270F4">
        <w:rPr>
          <w:rFonts w:cs="Arial"/>
          <w:rtl/>
        </w:rPr>
        <w:t>מכר לאחרים קרקע מלוג שיעשה הלוקח ויאכל פירות</w:t>
      </w:r>
      <w:r>
        <w:rPr>
          <w:rFonts w:cs="Arial" w:hint="cs"/>
          <w:rtl/>
        </w:rPr>
        <w:t>, רש"י.</w:t>
      </w:r>
    </w:p>
  </w:footnote>
  <w:footnote w:id="1761">
    <w:p w14:paraId="1890D04D" w14:textId="77777777" w:rsidR="00DF1FC7" w:rsidRDefault="00DF1FC7" w:rsidP="002E5BAD">
      <w:pPr>
        <w:pStyle w:val="a5"/>
      </w:pPr>
      <w:r>
        <w:rPr>
          <w:rStyle w:val="a7"/>
        </w:rPr>
        <w:footnoteRef/>
      </w:r>
      <w:r>
        <w:rPr>
          <w:rtl/>
        </w:rPr>
        <w:t xml:space="preserve"> </w:t>
      </w:r>
      <w:r w:rsidRPr="001270F4">
        <w:rPr>
          <w:rFonts w:cs="Arial"/>
          <w:rtl/>
        </w:rPr>
        <w:t>שיכניס הפירות לביתו ויהא מזון הבית מצוי וייטיב לה</w:t>
      </w:r>
      <w:r>
        <w:rPr>
          <w:rFonts w:cs="Arial" w:hint="cs"/>
          <w:rtl/>
        </w:rPr>
        <w:t>, רש"י.</w:t>
      </w:r>
    </w:p>
  </w:footnote>
  <w:footnote w:id="1762">
    <w:p w14:paraId="0693E235" w14:textId="77777777" w:rsidR="00DF1FC7" w:rsidRDefault="00DF1FC7" w:rsidP="002E5BAD">
      <w:pPr>
        <w:pStyle w:val="a5"/>
      </w:pPr>
      <w:r>
        <w:rPr>
          <w:rStyle w:val="a7"/>
        </w:rPr>
        <w:footnoteRef/>
      </w:r>
      <w:r>
        <w:rPr>
          <w:rtl/>
        </w:rPr>
        <w:t xml:space="preserve"> </w:t>
      </w:r>
      <w:r w:rsidRPr="00197DA4">
        <w:rPr>
          <w:rFonts w:cs="Arial"/>
          <w:rtl/>
        </w:rPr>
        <w:t>לעולם משום רווח ביתא אית ליה לרבא תקנת פירות</w:t>
      </w:r>
      <w:r>
        <w:rPr>
          <w:rFonts w:cs="Arial" w:hint="cs"/>
          <w:rtl/>
        </w:rPr>
        <w:t>, רש"י.</w:t>
      </w:r>
    </w:p>
  </w:footnote>
  <w:footnote w:id="1763">
    <w:p w14:paraId="7259C2A0" w14:textId="77777777" w:rsidR="00DF1FC7" w:rsidRDefault="00DF1FC7" w:rsidP="002E5BAD">
      <w:pPr>
        <w:pStyle w:val="a5"/>
      </w:pPr>
      <w:r>
        <w:rPr>
          <w:rStyle w:val="a7"/>
        </w:rPr>
        <w:footnoteRef/>
      </w:r>
      <w:r>
        <w:rPr>
          <w:rtl/>
        </w:rPr>
        <w:t xml:space="preserve"> </w:t>
      </w:r>
      <w:r w:rsidRPr="00197DA4">
        <w:rPr>
          <w:rFonts w:cs="Arial"/>
          <w:rtl/>
        </w:rPr>
        <w:t>ביתא שאף עתה היא עושה צרכי הבית</w:t>
      </w:r>
      <w:r>
        <w:rPr>
          <w:rFonts w:cs="Arial" w:hint="cs"/>
          <w:rtl/>
        </w:rPr>
        <w:t>, רש"י.</w:t>
      </w:r>
    </w:p>
  </w:footnote>
  <w:footnote w:id="1764">
    <w:p w14:paraId="788C56E1" w14:textId="77777777" w:rsidR="00DF1FC7" w:rsidRDefault="00DF1FC7" w:rsidP="002E5BAD">
      <w:pPr>
        <w:pStyle w:val="a5"/>
      </w:pPr>
      <w:r>
        <w:rPr>
          <w:rStyle w:val="a7"/>
        </w:rPr>
        <w:footnoteRef/>
      </w:r>
      <w:r>
        <w:rPr>
          <w:rtl/>
        </w:rPr>
        <w:t xml:space="preserve"> </w:t>
      </w:r>
      <w:r w:rsidRPr="00197DA4">
        <w:rPr>
          <w:rFonts w:cs="Arial"/>
          <w:rtl/>
        </w:rPr>
        <w:t>השדה שלא יחוש הלוקח לזבלה ולטייבה דקא סבר למחר נפקת מנאי שאין הגוף שלי אבל בעל מצפה שמא תמות היא בחייו ויירש את גוף הקרקע ומשבח לה</w:t>
      </w:r>
      <w:r>
        <w:rPr>
          <w:rFonts w:cs="Arial" w:hint="cs"/>
          <w:rtl/>
        </w:rPr>
        <w:t>, רש"י.</w:t>
      </w:r>
    </w:p>
  </w:footnote>
  <w:footnote w:id="1765">
    <w:p w14:paraId="3AEDDF2A" w14:textId="77777777" w:rsidR="00DF1FC7" w:rsidRDefault="00DF1FC7" w:rsidP="002E5BAD">
      <w:pPr>
        <w:pStyle w:val="a5"/>
      </w:pPr>
      <w:r>
        <w:rPr>
          <w:rStyle w:val="a7"/>
        </w:rPr>
        <w:footnoteRef/>
      </w:r>
      <w:r>
        <w:rPr>
          <w:rtl/>
        </w:rPr>
        <w:t xml:space="preserve"> </w:t>
      </w:r>
      <w:r w:rsidRPr="00197DA4">
        <w:rPr>
          <w:rFonts w:cs="Arial"/>
          <w:rtl/>
        </w:rPr>
        <w:t>דחזיא ליה כל שעתא אי מכסיף לה</w:t>
      </w:r>
      <w:r>
        <w:rPr>
          <w:rFonts w:cs="Arial" w:hint="cs"/>
          <w:rtl/>
        </w:rPr>
        <w:t>, רש"י.</w:t>
      </w:r>
    </w:p>
  </w:footnote>
  <w:footnote w:id="1766">
    <w:p w14:paraId="5297179D" w14:textId="77777777" w:rsidR="00DF1FC7" w:rsidRPr="00197DA4" w:rsidRDefault="00DF1FC7" w:rsidP="002E5BAD">
      <w:pPr>
        <w:pStyle w:val="a5"/>
        <w:rPr>
          <w:rFonts w:cs="Arial"/>
        </w:rPr>
      </w:pPr>
      <w:r>
        <w:rPr>
          <w:rStyle w:val="a7"/>
        </w:rPr>
        <w:footnoteRef/>
      </w:r>
      <w:r>
        <w:rPr>
          <w:rtl/>
        </w:rPr>
        <w:t xml:space="preserve"> </w:t>
      </w:r>
      <w:r w:rsidRPr="00197DA4">
        <w:rPr>
          <w:rFonts w:cs="Arial"/>
          <w:rtl/>
        </w:rPr>
        <w:t>באותה שדה, ואז אין לחוש שיפסיד את הקרקע.</w:t>
      </w:r>
      <w:r>
        <w:rPr>
          <w:rFonts w:cs="Arial" w:hint="cs"/>
          <w:rtl/>
        </w:rPr>
        <w:t xml:space="preserve"> </w:t>
      </w:r>
      <w:r w:rsidRPr="00197DA4">
        <w:rPr>
          <w:rFonts w:cs="Arial"/>
          <w:rtl/>
        </w:rPr>
        <w:t xml:space="preserve">ומדובר שנותן את כל הפירות לבעל השדה שמכר לו את הקרקע, והוא עצמו נוטל את שכרו מהפירות עבור עבודתו בשדה שמכר ללוקח. ומהממון ההוא אין רווח ביתא </w:t>
      </w:r>
      <w:r>
        <w:rPr>
          <w:rFonts w:cs="Arial" w:hint="cs"/>
          <w:rtl/>
        </w:rPr>
        <w:t>(</w:t>
      </w:r>
      <w:r w:rsidRPr="00197DA4">
        <w:rPr>
          <w:rFonts w:cs="Arial"/>
          <w:rtl/>
        </w:rPr>
        <w:t>אלא אם כן משתמש בו לעיסקא</w:t>
      </w:r>
      <w:r>
        <w:rPr>
          <w:rFonts w:cs="Arial" w:hint="cs"/>
          <w:rtl/>
        </w:rPr>
        <w:t xml:space="preserve">). </w:t>
      </w:r>
      <w:r w:rsidRPr="00197DA4">
        <w:rPr>
          <w:rFonts w:cs="Arial"/>
          <w:rtl/>
        </w:rPr>
        <w:t xml:space="preserve">כך בארו רוב הראשונים. אך יש שפרשו - כגון שהבעל אריס בשדה אחרת, ואז יש חשש שמא תכסיף. ומאידך אין בעיה משום רווח ביתא כיון שמביא לה פירות אחרים במקומם </w:t>
      </w:r>
      <w:r>
        <w:rPr>
          <w:rFonts w:cs="Arial" w:hint="cs"/>
          <w:rtl/>
        </w:rPr>
        <w:t>(פירוש חברותא).</w:t>
      </w:r>
    </w:p>
  </w:footnote>
  <w:footnote w:id="1767">
    <w:p w14:paraId="0971B536" w14:textId="77777777" w:rsidR="00DF1FC7" w:rsidRDefault="00DF1FC7" w:rsidP="002E5BAD">
      <w:pPr>
        <w:pStyle w:val="a5"/>
      </w:pPr>
      <w:r>
        <w:rPr>
          <w:rStyle w:val="a7"/>
        </w:rPr>
        <w:footnoteRef/>
      </w:r>
      <w:r>
        <w:rPr>
          <w:rtl/>
        </w:rPr>
        <w:t xml:space="preserve"> </w:t>
      </w:r>
      <w:r w:rsidRPr="00197DA4">
        <w:rPr>
          <w:rFonts w:cs="Arial"/>
          <w:rtl/>
        </w:rPr>
        <w:t>שהבעל עושה סחורה במעות שקיבל מן הלוקח ומשתכר בהן ואיכא רווח ביתא</w:t>
      </w:r>
      <w:r>
        <w:rPr>
          <w:rFonts w:cs="Arial" w:hint="cs"/>
          <w:rtl/>
        </w:rPr>
        <w:t>, רש"י.</w:t>
      </w:r>
    </w:p>
  </w:footnote>
  <w:footnote w:id="1768">
    <w:p w14:paraId="6A417D8E" w14:textId="77777777" w:rsidR="00DF1FC7" w:rsidRDefault="00DF1FC7" w:rsidP="002E5BAD">
      <w:pPr>
        <w:pStyle w:val="a5"/>
      </w:pPr>
      <w:r>
        <w:rPr>
          <w:rStyle w:val="a7"/>
        </w:rPr>
        <w:footnoteRef/>
      </w:r>
      <w:r>
        <w:rPr>
          <w:rtl/>
        </w:rPr>
        <w:t xml:space="preserve"> </w:t>
      </w:r>
      <w:r w:rsidRPr="00310BCC">
        <w:rPr>
          <w:rFonts w:cs="Arial"/>
          <w:rtl/>
        </w:rPr>
        <w:t>אבל אם נפלו לה כספים והוא רוצה לעשו' סחור' בהם ולא ליקח הקרקע אין שומעין לו דהקרן צריך להיות קיים לאש' כ"כ הרשב"א</w:t>
      </w:r>
      <w:r>
        <w:rPr>
          <w:rFonts w:cs="Arial" w:hint="cs"/>
          <w:rtl/>
        </w:rPr>
        <w:t>, ח"מ (סקמ"ב).</w:t>
      </w:r>
    </w:p>
  </w:footnote>
  <w:footnote w:id="1769">
    <w:p w14:paraId="6D7A9F7A" w14:textId="77777777" w:rsidR="00DF1FC7" w:rsidRDefault="00DF1FC7" w:rsidP="002E5BAD">
      <w:pPr>
        <w:pStyle w:val="a5"/>
      </w:pPr>
      <w:r>
        <w:rPr>
          <w:rStyle w:val="a7"/>
        </w:rPr>
        <w:footnoteRef/>
      </w:r>
      <w:r>
        <w:rPr>
          <w:rtl/>
        </w:rPr>
        <w:t xml:space="preserve"> </w:t>
      </w:r>
      <w:r w:rsidRPr="00310BCC">
        <w:rPr>
          <w:rFonts w:cs="Arial"/>
          <w:rtl/>
        </w:rPr>
        <w:t>עיין בח"מ ואם גובה הב"ח מפירו' של נ"מ לכאור' אינו גובה דהא אפילו למכור לשנים מרובות אינו יכול משום ריוח ביתו מכ"ש לשלם לב"ח ועיין בתשובת המבי"ט ס"י</w:t>
      </w:r>
      <w:r>
        <w:rPr>
          <w:rFonts w:cs="Arial" w:hint="cs"/>
          <w:rtl/>
        </w:rPr>
        <w:t>, ח"מ (סקמ"ג).</w:t>
      </w:r>
      <w:r w:rsidRPr="00310BCC">
        <w:rPr>
          <w:rtl/>
        </w:rPr>
        <w:t xml:space="preserve"> </w:t>
      </w:r>
      <w:r w:rsidRPr="00310BCC">
        <w:rPr>
          <w:rFonts w:cs="Arial"/>
          <w:rtl/>
        </w:rPr>
        <w:t>וכבר כתבתי כן בשם בהעה"ת</w:t>
      </w:r>
      <w:r>
        <w:rPr>
          <w:rFonts w:cs="Arial" w:hint="cs"/>
          <w:rtl/>
        </w:rPr>
        <w:t>, ב"ש (סקל"ט).</w:t>
      </w:r>
      <w:r>
        <w:rPr>
          <w:rFonts w:hint="cs"/>
          <w:rtl/>
        </w:rPr>
        <w:t xml:space="preserve"> ועוד כתב הב"ש (שם)</w:t>
      </w:r>
      <w:r w:rsidRPr="00310BCC">
        <w:rPr>
          <w:rtl/>
        </w:rPr>
        <w:t xml:space="preserve"> </w:t>
      </w:r>
      <w:r>
        <w:rPr>
          <w:rFonts w:cs="Arial" w:hint="cs"/>
          <w:rtl/>
        </w:rPr>
        <w:t>שב</w:t>
      </w:r>
      <w:r w:rsidRPr="00310BCC">
        <w:rPr>
          <w:rFonts w:cs="Arial"/>
          <w:rtl/>
        </w:rPr>
        <w:t>תשוב' מהרי"ו סי' ע"ח דרשאי לתפוס מעות נדוני' אם הם בעין לצורך מזונות שלה</w:t>
      </w:r>
      <w:r>
        <w:rPr>
          <w:rFonts w:hint="cs"/>
          <w:rtl/>
        </w:rPr>
        <w:t>.</w:t>
      </w:r>
    </w:p>
  </w:footnote>
  <w:footnote w:id="1770">
    <w:p w14:paraId="144504EF" w14:textId="77777777" w:rsidR="00DF1FC7" w:rsidRDefault="00DF1FC7" w:rsidP="002E5BAD">
      <w:pPr>
        <w:pStyle w:val="a5"/>
        <w:rPr>
          <w:rtl/>
        </w:rPr>
      </w:pPr>
      <w:r>
        <w:rPr>
          <w:rStyle w:val="a7"/>
        </w:rPr>
        <w:footnoteRef/>
      </w:r>
      <w:r>
        <w:rPr>
          <w:rtl/>
        </w:rPr>
        <w:t xml:space="preserve"> </w:t>
      </w:r>
      <w:r w:rsidRPr="00167ADF">
        <w:rPr>
          <w:rFonts w:cs="Arial"/>
          <w:rtl/>
        </w:rPr>
        <w:t>משמע קצת דלכתחלה יכולה האשה למחות רק אם מכור בדיעבד מכור מטעם שכתב רב האי והובא בטור</w:t>
      </w:r>
      <w:r>
        <w:rPr>
          <w:rFonts w:hint="cs"/>
          <w:rtl/>
        </w:rPr>
        <w:t xml:space="preserve">, ח"מ (סקמ"ד). אך הב"ש (סק"מ) כתב </w:t>
      </w:r>
      <w:r>
        <w:rPr>
          <w:rFonts w:cs="Arial" w:hint="cs"/>
          <w:rtl/>
        </w:rPr>
        <w:t>ד</w:t>
      </w:r>
      <w:r w:rsidRPr="00167ADF">
        <w:rPr>
          <w:rFonts w:cs="Arial"/>
          <w:rtl/>
        </w:rPr>
        <w:t>מה שמדייק בח"מ דוק</w:t>
      </w:r>
      <w:r>
        <w:rPr>
          <w:rFonts w:cs="Arial" w:hint="cs"/>
          <w:rtl/>
        </w:rPr>
        <w:t>א</w:t>
      </w:r>
      <w:r w:rsidRPr="00167ADF">
        <w:rPr>
          <w:rFonts w:cs="Arial"/>
          <w:rtl/>
        </w:rPr>
        <w:t xml:space="preserve"> דיעבד</w:t>
      </w:r>
      <w:r>
        <w:rPr>
          <w:rFonts w:cs="Arial" w:hint="cs"/>
          <w:rtl/>
        </w:rPr>
        <w:t>... -</w:t>
      </w:r>
      <w:r w:rsidRPr="00167ADF">
        <w:rPr>
          <w:rFonts w:cs="Arial"/>
          <w:rtl/>
        </w:rPr>
        <w:t xml:space="preserve"> ליתא</w:t>
      </w:r>
      <w:r>
        <w:rPr>
          <w:rFonts w:cs="Arial" w:hint="cs"/>
          <w:rtl/>
        </w:rPr>
        <w:t>,</w:t>
      </w:r>
      <w:r w:rsidRPr="00167ADF">
        <w:rPr>
          <w:rFonts w:cs="Arial"/>
          <w:rtl/>
        </w:rPr>
        <w:t xml:space="preserve"> כמה שמסיים הטור </w:t>
      </w:r>
      <w:r>
        <w:rPr>
          <w:rFonts w:cs="Arial" w:hint="cs"/>
          <w:rtl/>
        </w:rPr>
        <w:t>'</w:t>
      </w:r>
      <w:r w:rsidRPr="00167ADF">
        <w:rPr>
          <w:rFonts w:cs="Arial"/>
          <w:rtl/>
        </w:rPr>
        <w:t xml:space="preserve">טוב יותר </w:t>
      </w:r>
      <w:r>
        <w:rPr>
          <w:rFonts w:cs="Arial" w:hint="cs"/>
          <w:rtl/>
        </w:rPr>
        <w:t xml:space="preserve">למוכרו </w:t>
      </w:r>
      <w:r w:rsidRPr="00167ADF">
        <w:rPr>
          <w:rFonts w:cs="Arial"/>
          <w:rtl/>
        </w:rPr>
        <w:t>לפירות</w:t>
      </w:r>
      <w:r>
        <w:rPr>
          <w:rFonts w:cs="Arial" w:hint="cs"/>
          <w:rtl/>
        </w:rPr>
        <w:t>'.</w:t>
      </w:r>
      <w:r>
        <w:rPr>
          <w:rFonts w:hint="cs"/>
          <w:rtl/>
        </w:rPr>
        <w:t xml:space="preserve"> עכ"ל. וגם </w:t>
      </w:r>
      <w:r w:rsidRPr="00BE7D6B">
        <w:rPr>
          <w:rFonts w:cs="Arial"/>
          <w:rtl/>
        </w:rPr>
        <w:t>בס</w:t>
      </w:r>
      <w:r>
        <w:rPr>
          <w:rFonts w:cs="Arial" w:hint="cs"/>
          <w:rtl/>
        </w:rPr>
        <w:t>פר</w:t>
      </w:r>
      <w:r w:rsidRPr="00BE7D6B">
        <w:rPr>
          <w:rFonts w:cs="Arial"/>
          <w:rtl/>
        </w:rPr>
        <w:t xml:space="preserve"> ישועות יעקב</w:t>
      </w:r>
      <w:r>
        <w:rPr>
          <w:rFonts w:cs="Arial" w:hint="cs"/>
          <w:rtl/>
        </w:rPr>
        <w:t xml:space="preserve"> (הביאו הפת"ש סק"ד)</w:t>
      </w:r>
      <w:r w:rsidRPr="00BE7D6B">
        <w:rPr>
          <w:rFonts w:cs="Arial"/>
          <w:rtl/>
        </w:rPr>
        <w:t xml:space="preserve"> כ' שהדין עם הב"ש בזה</w:t>
      </w:r>
      <w:r>
        <w:rPr>
          <w:rFonts w:cs="Arial" w:hint="cs"/>
          <w:rtl/>
        </w:rPr>
        <w:t>.</w:t>
      </w:r>
    </w:p>
  </w:footnote>
  <w:footnote w:id="1771">
    <w:p w14:paraId="36DAF0CF" w14:textId="77777777" w:rsidR="00DF1FC7" w:rsidRDefault="00DF1FC7" w:rsidP="002E5BAD">
      <w:pPr>
        <w:pStyle w:val="a5"/>
      </w:pPr>
      <w:r>
        <w:rPr>
          <w:rStyle w:val="a7"/>
        </w:rPr>
        <w:footnoteRef/>
      </w:r>
      <w:r>
        <w:rPr>
          <w:rtl/>
        </w:rPr>
        <w:t xml:space="preserve"> </w:t>
      </w:r>
      <w:r w:rsidRPr="001270F4">
        <w:rPr>
          <w:rFonts w:cs="Arial"/>
          <w:rtl/>
        </w:rPr>
        <w:t>מכר לאחרים קרקע מלוג שיעשה הלוקח ויאכל פירות</w:t>
      </w:r>
      <w:r>
        <w:rPr>
          <w:rFonts w:cs="Arial" w:hint="cs"/>
          <w:rtl/>
        </w:rPr>
        <w:t>, רש"י.</w:t>
      </w:r>
    </w:p>
  </w:footnote>
  <w:footnote w:id="1772">
    <w:p w14:paraId="08550095" w14:textId="77777777" w:rsidR="00DF1FC7" w:rsidRDefault="00DF1FC7" w:rsidP="002E5BAD">
      <w:pPr>
        <w:pStyle w:val="a5"/>
      </w:pPr>
      <w:r>
        <w:rPr>
          <w:rStyle w:val="a7"/>
        </w:rPr>
        <w:footnoteRef/>
      </w:r>
      <w:r>
        <w:rPr>
          <w:rtl/>
        </w:rPr>
        <w:t xml:space="preserve"> </w:t>
      </w:r>
      <w:r w:rsidRPr="001270F4">
        <w:rPr>
          <w:rFonts w:cs="Arial"/>
          <w:rtl/>
        </w:rPr>
        <w:t>שיכניס הפירות לביתו ויהא מזון הבית מצוי וייטיב לה</w:t>
      </w:r>
      <w:r>
        <w:rPr>
          <w:rFonts w:cs="Arial" w:hint="cs"/>
          <w:rtl/>
        </w:rPr>
        <w:t>, רש"י.</w:t>
      </w:r>
    </w:p>
  </w:footnote>
  <w:footnote w:id="1773">
    <w:p w14:paraId="4003FD44" w14:textId="77777777" w:rsidR="00DF1FC7" w:rsidRDefault="00DF1FC7" w:rsidP="002E5BAD">
      <w:pPr>
        <w:pStyle w:val="a5"/>
      </w:pPr>
      <w:r>
        <w:rPr>
          <w:rStyle w:val="a7"/>
        </w:rPr>
        <w:footnoteRef/>
      </w:r>
      <w:r>
        <w:rPr>
          <w:rtl/>
        </w:rPr>
        <w:t xml:space="preserve"> </w:t>
      </w:r>
      <w:r w:rsidRPr="00197DA4">
        <w:rPr>
          <w:rFonts w:cs="Arial"/>
          <w:rtl/>
        </w:rPr>
        <w:t>לעולם משום רווח ביתא אית ליה לרבא תקנת פירות</w:t>
      </w:r>
      <w:r>
        <w:rPr>
          <w:rFonts w:cs="Arial" w:hint="cs"/>
          <w:rtl/>
        </w:rPr>
        <w:t>, רש"י.</w:t>
      </w:r>
    </w:p>
  </w:footnote>
  <w:footnote w:id="1774">
    <w:p w14:paraId="7417E8D3" w14:textId="77777777" w:rsidR="00DF1FC7" w:rsidRDefault="00DF1FC7" w:rsidP="002E5BAD">
      <w:pPr>
        <w:pStyle w:val="a5"/>
      </w:pPr>
      <w:r>
        <w:rPr>
          <w:rStyle w:val="a7"/>
        </w:rPr>
        <w:footnoteRef/>
      </w:r>
      <w:r>
        <w:rPr>
          <w:rtl/>
        </w:rPr>
        <w:t xml:space="preserve"> </w:t>
      </w:r>
      <w:r w:rsidRPr="00197DA4">
        <w:rPr>
          <w:rFonts w:cs="Arial"/>
          <w:rtl/>
        </w:rPr>
        <w:t>ביתא שאף עתה היא עושה צרכי הבית</w:t>
      </w:r>
      <w:r>
        <w:rPr>
          <w:rFonts w:cs="Arial" w:hint="cs"/>
          <w:rtl/>
        </w:rPr>
        <w:t>, רש"י.</w:t>
      </w:r>
    </w:p>
  </w:footnote>
  <w:footnote w:id="1775">
    <w:p w14:paraId="544BDFA9" w14:textId="77777777" w:rsidR="00DF1FC7" w:rsidRDefault="00DF1FC7" w:rsidP="002E5BAD">
      <w:pPr>
        <w:pStyle w:val="a5"/>
      </w:pPr>
      <w:r>
        <w:rPr>
          <w:rStyle w:val="a7"/>
        </w:rPr>
        <w:footnoteRef/>
      </w:r>
      <w:r>
        <w:rPr>
          <w:rtl/>
        </w:rPr>
        <w:t xml:space="preserve"> </w:t>
      </w:r>
      <w:r w:rsidRPr="007A228B">
        <w:rPr>
          <w:rFonts w:cs="Arial"/>
          <w:rtl/>
        </w:rPr>
        <w:t>לדעת הרמב"ם אפי' בבית אחר</w:t>
      </w:r>
      <w:r>
        <w:rPr>
          <w:rFonts w:cs="Arial" w:hint="cs"/>
          <w:rtl/>
        </w:rPr>
        <w:t>, טור. וכתב הב"י-</w:t>
      </w:r>
      <w:r>
        <w:rPr>
          <w:rFonts w:cs="Arial"/>
          <w:rtl/>
        </w:rPr>
        <w:t xml:space="preserve"> ודקדק רבינו</w:t>
      </w:r>
      <w:r>
        <w:rPr>
          <w:rFonts w:cs="Arial" w:hint="cs"/>
          <w:sz w:val="16"/>
          <w:szCs w:val="16"/>
          <w:rtl/>
        </w:rPr>
        <w:t xml:space="preserve"> {הטור כן}</w:t>
      </w:r>
      <w:r>
        <w:rPr>
          <w:rFonts w:cs="Arial"/>
          <w:rtl/>
        </w:rPr>
        <w:t xml:space="preserve"> מדכתב </w:t>
      </w:r>
      <w:r>
        <w:rPr>
          <w:rFonts w:cs="Arial" w:hint="cs"/>
          <w:sz w:val="16"/>
          <w:szCs w:val="16"/>
          <w:rtl/>
        </w:rPr>
        <w:t>{הרמב"ם}</w:t>
      </w:r>
      <w:r>
        <w:rPr>
          <w:rFonts w:cs="Arial" w:hint="cs"/>
          <w:rtl/>
        </w:rPr>
        <w:t xml:space="preserve"> '</w:t>
      </w:r>
      <w:r>
        <w:rPr>
          <w:rFonts w:cs="Arial"/>
          <w:rtl/>
        </w:rPr>
        <w:t>בבית אשה אחרת</w:t>
      </w:r>
      <w:r>
        <w:rPr>
          <w:rFonts w:cs="Arial" w:hint="cs"/>
          <w:rtl/>
        </w:rPr>
        <w:t>',</w:t>
      </w:r>
      <w:r>
        <w:rPr>
          <w:rFonts w:cs="Arial"/>
          <w:rtl/>
        </w:rPr>
        <w:t xml:space="preserve"> משמע דאפילו היא בבית אחר רשאי</w:t>
      </w:r>
      <w:r>
        <w:rPr>
          <w:rFonts w:cs="Arial" w:hint="cs"/>
          <w:rtl/>
        </w:rPr>
        <w:t>.</w:t>
      </w:r>
      <w:r>
        <w:rPr>
          <w:rFonts w:cs="Arial"/>
          <w:rtl/>
        </w:rPr>
        <w:t xml:space="preserve"> וכבר היה איפשר לדחות דביחד לה בית בתוך ביתו מיירי</w:t>
      </w:r>
      <w:r>
        <w:rPr>
          <w:rFonts w:cs="Arial" w:hint="cs"/>
          <w:rtl/>
        </w:rPr>
        <w:t>,</w:t>
      </w:r>
      <w:r>
        <w:rPr>
          <w:rFonts w:cs="Arial"/>
          <w:rtl/>
        </w:rPr>
        <w:t xml:space="preserve"> אלא דמדקתני סיפא דאינו יכול להוליכם לעיר אחרת משמע הא באותה העיר אפילו בבית אחר מותר</w:t>
      </w:r>
      <w:r>
        <w:rPr>
          <w:rFonts w:cs="Arial" w:hint="cs"/>
          <w:rtl/>
        </w:rPr>
        <w:t>.</w:t>
      </w:r>
      <w:r>
        <w:rPr>
          <w:rFonts w:cs="Arial"/>
          <w:rtl/>
        </w:rPr>
        <w:t xml:space="preserve"> ואיפשר שטעמו מפני שהוא מפרש מה שאמרו והא קא רווח ביתא היינו לומר דכשהשפחה או העבד משמשים אותו בבית אשה אחרת איכא רווח ביתא של בעלת העבדים שאינה צריכה לשמשו אז</w:t>
      </w:r>
      <w:r>
        <w:rPr>
          <w:rFonts w:cs="Arial" w:hint="cs"/>
          <w:rtl/>
        </w:rPr>
        <w:t>,</w:t>
      </w:r>
      <w:r>
        <w:rPr>
          <w:rFonts w:cs="Arial"/>
          <w:rtl/>
        </w:rPr>
        <w:t xml:space="preserve"> ומה לה אם ישמשוהו בביתה או בבית האחרת כיון שלא נוסף לה שימוש בשביל כך</w:t>
      </w:r>
      <w:r>
        <w:rPr>
          <w:rFonts w:cs="Arial" w:hint="cs"/>
          <w:rtl/>
        </w:rPr>
        <w:t>,</w:t>
      </w:r>
      <w:r>
        <w:rPr>
          <w:rFonts w:cs="Arial"/>
          <w:rtl/>
        </w:rPr>
        <w:t xml:space="preserve"> וזהו שדייק הרמב"ם לכתוב שישמשו אותו בבית אשה אחרת</w:t>
      </w:r>
      <w:r>
        <w:rPr>
          <w:rFonts w:cs="Arial" w:hint="cs"/>
          <w:rtl/>
        </w:rPr>
        <w:t>,</w:t>
      </w:r>
      <w:r>
        <w:rPr>
          <w:rFonts w:cs="Arial"/>
          <w:rtl/>
        </w:rPr>
        <w:t xml:space="preserve"> דמשמע דדוקא במשמשים אותו מיירי</w:t>
      </w:r>
      <w:r>
        <w:rPr>
          <w:rFonts w:cs="Arial" w:hint="cs"/>
          <w:rtl/>
        </w:rPr>
        <w:t>,</w:t>
      </w:r>
      <w:r>
        <w:rPr>
          <w:rFonts w:cs="Arial"/>
          <w:rtl/>
        </w:rPr>
        <w:t xml:space="preserve"> אבל אם אינם משמשים אלא לאשה האחרת</w:t>
      </w:r>
      <w:r>
        <w:rPr>
          <w:rFonts w:cs="Arial" w:hint="cs"/>
          <w:rtl/>
        </w:rPr>
        <w:t xml:space="preserve"> -</w:t>
      </w:r>
      <w:r>
        <w:rPr>
          <w:rFonts w:cs="Arial"/>
          <w:rtl/>
        </w:rPr>
        <w:t xml:space="preserve"> לא</w:t>
      </w:r>
      <w:r>
        <w:rPr>
          <w:rFonts w:cs="Arial" w:hint="cs"/>
          <w:rtl/>
        </w:rPr>
        <w:t>.</w:t>
      </w:r>
      <w:r>
        <w:rPr>
          <w:rFonts w:cs="Arial"/>
          <w:rtl/>
        </w:rPr>
        <w:t xml:space="preserve"> ומכל מקום בעיר אחרת אפילו משמשים אותו לא</w:t>
      </w:r>
      <w:r>
        <w:rPr>
          <w:rFonts w:cs="Arial" w:hint="cs"/>
          <w:rtl/>
        </w:rPr>
        <w:t>,</w:t>
      </w:r>
      <w:r>
        <w:rPr>
          <w:rFonts w:cs="Arial"/>
          <w:rtl/>
        </w:rPr>
        <w:t xml:space="preserve"> משום דכשהם בעיר אחת אף על פי שמשמשים אותו בבית אחר</w:t>
      </w:r>
      <w:r>
        <w:rPr>
          <w:rFonts w:cs="Arial" w:hint="cs"/>
          <w:rtl/>
        </w:rPr>
        <w:t>,</w:t>
      </w:r>
      <w:r>
        <w:rPr>
          <w:rFonts w:cs="Arial"/>
          <w:rtl/>
        </w:rPr>
        <w:t xml:space="preserve"> אחר שיגמרו שמושו איפשר להם לבא אצלה לשמשה לסייע השפחות האחרות</w:t>
      </w:r>
      <w:r>
        <w:rPr>
          <w:rFonts w:cs="Arial" w:hint="cs"/>
          <w:rtl/>
        </w:rPr>
        <w:t>,</w:t>
      </w:r>
      <w:r>
        <w:rPr>
          <w:rFonts w:cs="Arial"/>
          <w:rtl/>
        </w:rPr>
        <w:t xml:space="preserve"> מש</w:t>
      </w:r>
      <w:r>
        <w:rPr>
          <w:rFonts w:cs="Arial" w:hint="cs"/>
          <w:rtl/>
        </w:rPr>
        <w:t>א</w:t>
      </w:r>
      <w:r>
        <w:rPr>
          <w:rFonts w:cs="Arial"/>
          <w:rtl/>
        </w:rPr>
        <w:t>"כ כשיהיו בעיר אחרת. והרב המגיד כתב שדעת הרמב"ם כפירש"י</w:t>
      </w:r>
      <w:r>
        <w:rPr>
          <w:rFonts w:cs="Arial" w:hint="cs"/>
          <w:rtl/>
        </w:rPr>
        <w:t>.</w:t>
      </w:r>
      <w:r>
        <w:rPr>
          <w:rFonts w:cs="Arial"/>
          <w:rtl/>
        </w:rPr>
        <w:t xml:space="preserve"> ולא שת לבו לדקדק דבריו בזה</w:t>
      </w:r>
      <w:r>
        <w:rPr>
          <w:rFonts w:cs="Arial" w:hint="cs"/>
          <w:rtl/>
        </w:rPr>
        <w:t>,</w:t>
      </w:r>
      <w:r>
        <w:rPr>
          <w:rFonts w:cs="Arial"/>
          <w:rtl/>
        </w:rPr>
        <w:t xml:space="preserve"> ומה שכתבנו לדעתו הוא הנכון.</w:t>
      </w:r>
      <w:r>
        <w:rPr>
          <w:rFonts w:hint="cs"/>
          <w:rtl/>
        </w:rPr>
        <w:t xml:space="preserve"> עכ"ל הב"י. וכ"כ הנמוק"י (הביאו באה"ג אות ג) דלא כהבנת הה"מ ברמב"ם.</w:t>
      </w:r>
    </w:p>
  </w:footnote>
  <w:footnote w:id="1776">
    <w:p w14:paraId="7DD03DB8" w14:textId="77777777" w:rsidR="00DF1FC7" w:rsidRDefault="00DF1FC7" w:rsidP="002E5BAD">
      <w:pPr>
        <w:pStyle w:val="a5"/>
        <w:rPr>
          <w:rtl/>
        </w:rPr>
      </w:pPr>
      <w:r>
        <w:rPr>
          <w:rStyle w:val="a7"/>
        </w:rPr>
        <w:footnoteRef/>
      </w:r>
      <w:r>
        <w:rPr>
          <w:rFonts w:hint="cs"/>
          <w:rtl/>
        </w:rPr>
        <w:t xml:space="preserve"> וכתב ה</w:t>
      </w:r>
      <w:r>
        <w:rPr>
          <w:rFonts w:cs="Arial" w:hint="cs"/>
          <w:rtl/>
        </w:rPr>
        <w:t>רשב"ץ</w:t>
      </w:r>
      <w:r w:rsidRPr="00627CE6">
        <w:rPr>
          <w:rFonts w:cs="Arial"/>
          <w:rtl/>
        </w:rPr>
        <w:t xml:space="preserve"> </w:t>
      </w:r>
      <w:r w:rsidRPr="00445F69">
        <w:rPr>
          <w:rFonts w:cs="Arial"/>
          <w:sz w:val="16"/>
          <w:szCs w:val="16"/>
          <w:rtl/>
        </w:rPr>
        <w:t>(ח"א סי' צח)</w:t>
      </w:r>
      <w:r w:rsidRPr="00627CE6">
        <w:rPr>
          <w:rFonts w:cs="Arial"/>
          <w:rtl/>
        </w:rPr>
        <w:t xml:space="preserve"> </w:t>
      </w:r>
      <w:r>
        <w:rPr>
          <w:rFonts w:cs="Arial" w:hint="cs"/>
          <w:rtl/>
        </w:rPr>
        <w:t>ד</w:t>
      </w:r>
      <w:r w:rsidRPr="00627CE6">
        <w:rPr>
          <w:rFonts w:cs="Arial"/>
          <w:rtl/>
        </w:rPr>
        <w:t>כיון דאיכא פלוגתא לא עבדינן עובדא אא</w:t>
      </w:r>
      <w:r>
        <w:rPr>
          <w:rFonts w:cs="Arial" w:hint="cs"/>
          <w:rtl/>
        </w:rPr>
        <w:t>"</w:t>
      </w:r>
      <w:r w:rsidRPr="00627CE6">
        <w:rPr>
          <w:rFonts w:cs="Arial"/>
          <w:rtl/>
        </w:rPr>
        <w:t>כ נוהגים לדון כהרמב"ם</w:t>
      </w:r>
      <w:r>
        <w:rPr>
          <w:rFonts w:hint="cs"/>
          <w:rtl/>
        </w:rPr>
        <w:t>. אבל מסידור דברי הרמ"א בהג"ה נראה שהבין את דברי הרמב"ם כהה"מ.</w:t>
      </w:r>
    </w:p>
  </w:footnote>
  <w:footnote w:id="1777">
    <w:p w14:paraId="38DCA831" w14:textId="77777777" w:rsidR="00DF1FC7" w:rsidRDefault="00DF1FC7" w:rsidP="002E5BAD">
      <w:pPr>
        <w:pStyle w:val="a5"/>
        <w:rPr>
          <w:rtl/>
        </w:rPr>
      </w:pPr>
      <w:r>
        <w:rPr>
          <w:rStyle w:val="a7"/>
        </w:rPr>
        <w:footnoteRef/>
      </w:r>
      <w:r>
        <w:rPr>
          <w:rtl/>
        </w:rPr>
        <w:t xml:space="preserve"> </w:t>
      </w:r>
      <w:r w:rsidRPr="007A228B">
        <w:rPr>
          <w:rFonts w:cs="Arial"/>
          <w:rtl/>
        </w:rPr>
        <w:t>ועיין שם ועיין עוד לקמן סימן פ"ו במי שרוצה להחזיק בנכסי אשה מחמת שבעלה חייב לו נדוניא</w:t>
      </w:r>
      <w:r>
        <w:rPr>
          <w:rFonts w:cs="Arial" w:hint="cs"/>
          <w:rtl/>
        </w:rPr>
        <w:t>.</w:t>
      </w:r>
      <w:r w:rsidRPr="007A228B">
        <w:rPr>
          <w:rFonts w:cs="Arial"/>
          <w:rtl/>
        </w:rPr>
        <w:t xml:space="preserve"> ועיין בחושן משפט סימן צ"ז (סעי' מו) אי בעל חוב גובה מה שהכניסה לו לנדוניא</w:t>
      </w:r>
      <w:r>
        <w:rPr>
          <w:rFonts w:hint="cs"/>
          <w:rtl/>
        </w:rPr>
        <w:t>, דרכ"מ (אות ו).</w:t>
      </w:r>
    </w:p>
  </w:footnote>
  <w:footnote w:id="1778">
    <w:p w14:paraId="042D2C75" w14:textId="77777777" w:rsidR="00DF1FC7" w:rsidRDefault="00DF1FC7" w:rsidP="002E5BAD">
      <w:pPr>
        <w:pStyle w:val="a5"/>
      </w:pPr>
      <w:r>
        <w:rPr>
          <w:rStyle w:val="a7"/>
        </w:rPr>
        <w:footnoteRef/>
      </w:r>
      <w:r>
        <w:rPr>
          <w:rtl/>
        </w:rPr>
        <w:t xml:space="preserve"> </w:t>
      </w:r>
      <w:r w:rsidRPr="00A014AB">
        <w:rPr>
          <w:rtl/>
        </w:rPr>
        <w:t>ולא לבעל דאין לנו להחזיקה בגנבת</w:t>
      </w:r>
      <w:r>
        <w:rPr>
          <w:rFonts w:hint="cs"/>
          <w:rtl/>
        </w:rPr>
        <w:t>, רשב"ם</w:t>
      </w:r>
      <w:r w:rsidRPr="00A014AB">
        <w:rPr>
          <w:rtl/>
        </w:rPr>
        <w:t>.</w:t>
      </w:r>
    </w:p>
  </w:footnote>
  <w:footnote w:id="1779">
    <w:p w14:paraId="540F3103" w14:textId="77777777" w:rsidR="00DF1FC7" w:rsidRDefault="00DF1FC7" w:rsidP="002E5BAD">
      <w:pPr>
        <w:pStyle w:val="a5"/>
      </w:pPr>
      <w:r>
        <w:rPr>
          <w:rStyle w:val="a7"/>
        </w:rPr>
        <w:footnoteRef/>
      </w:r>
      <w:r>
        <w:rPr>
          <w:rtl/>
        </w:rPr>
        <w:t xml:space="preserve"> </w:t>
      </w:r>
      <w:r w:rsidRPr="00A014AB">
        <w:rPr>
          <w:rtl/>
        </w:rPr>
        <w:t>שאפילו אם ניתן לה ממון זה על מנת שאין לבעלה רשות בה מכיון שמתה יורשה בעלה</w:t>
      </w:r>
      <w:r>
        <w:rPr>
          <w:rFonts w:hint="cs"/>
          <w:rtl/>
        </w:rPr>
        <w:t>, רשב"ם</w:t>
      </w:r>
      <w:r w:rsidRPr="00A014AB">
        <w:rPr>
          <w:rtl/>
        </w:rPr>
        <w:t>.</w:t>
      </w:r>
    </w:p>
  </w:footnote>
  <w:footnote w:id="1780">
    <w:p w14:paraId="65D815E1" w14:textId="77777777" w:rsidR="00DF1FC7" w:rsidRPr="00A014AB" w:rsidRDefault="00DF1FC7" w:rsidP="002E5BAD">
      <w:pPr>
        <w:pStyle w:val="a5"/>
      </w:pPr>
      <w:r>
        <w:rPr>
          <w:rStyle w:val="a7"/>
        </w:rPr>
        <w:footnoteRef/>
      </w:r>
      <w:r>
        <w:rPr>
          <w:rtl/>
        </w:rPr>
        <w:t xml:space="preserve"> </w:t>
      </w:r>
      <w:r w:rsidRPr="00A014AB">
        <w:rPr>
          <w:rtl/>
        </w:rPr>
        <w:t>דמסתמא כל מה שקנה עבד קנה רבו</w:t>
      </w:r>
      <w:r>
        <w:rPr>
          <w:rFonts w:hint="cs"/>
          <w:rtl/>
        </w:rPr>
        <w:t>.</w:t>
      </w:r>
      <w:r w:rsidRPr="00A014AB">
        <w:rPr>
          <w:rtl/>
        </w:rPr>
        <w:t xml:space="preserve"> ונראה בעיני דהוא הדין אם נשתחרר העבד ואח"כ מת</w:t>
      </w:r>
      <w:r>
        <w:rPr>
          <w:rFonts w:hint="cs"/>
          <w:rtl/>
        </w:rPr>
        <w:t xml:space="preserve"> -</w:t>
      </w:r>
      <w:r w:rsidRPr="00A014AB">
        <w:rPr>
          <w:rtl/>
        </w:rPr>
        <w:t xml:space="preserve"> יחזיר לרבו</w:t>
      </w:r>
      <w:r>
        <w:rPr>
          <w:rFonts w:hint="cs"/>
          <w:rtl/>
        </w:rPr>
        <w:t>,</w:t>
      </w:r>
      <w:r w:rsidRPr="00A014AB">
        <w:rPr>
          <w:rtl/>
        </w:rPr>
        <w:t xml:space="preserve"> שהרי עבד היה כשהפקיד לזה</w:t>
      </w:r>
      <w:r>
        <w:rPr>
          <w:rFonts w:hint="cs"/>
          <w:rtl/>
        </w:rPr>
        <w:t>,</w:t>
      </w:r>
      <w:r w:rsidRPr="00A014AB">
        <w:rPr>
          <w:rtl/>
        </w:rPr>
        <w:t xml:space="preserve"> וסתם עבדים גזלנים הם</w:t>
      </w:r>
      <w:r>
        <w:rPr>
          <w:rFonts w:hint="cs"/>
          <w:rtl/>
        </w:rPr>
        <w:t>.</w:t>
      </w:r>
      <w:r w:rsidRPr="00A014AB">
        <w:rPr>
          <w:rtl/>
        </w:rPr>
        <w:t xml:space="preserve"> אבל אם נתגרשה האשה ואח"כ מתה </w:t>
      </w:r>
      <w:r>
        <w:rPr>
          <w:rFonts w:hint="cs"/>
          <w:rtl/>
        </w:rPr>
        <w:t xml:space="preserve">- </w:t>
      </w:r>
      <w:r w:rsidRPr="00A014AB">
        <w:rPr>
          <w:rtl/>
        </w:rPr>
        <w:t>יחזיר ליורשיה ולא לבעלה</w:t>
      </w:r>
      <w:r>
        <w:rPr>
          <w:rFonts w:hint="cs"/>
          <w:rtl/>
        </w:rPr>
        <w:t>,</w:t>
      </w:r>
      <w:r w:rsidRPr="00A014AB">
        <w:rPr>
          <w:rtl/>
        </w:rPr>
        <w:t xml:space="preserve"> דמשנתגרשה אין הבעל יורשה</w:t>
      </w:r>
      <w:r>
        <w:rPr>
          <w:rFonts w:hint="cs"/>
          <w:rtl/>
        </w:rPr>
        <w:t>, רשב"ם</w:t>
      </w:r>
      <w:r w:rsidRPr="00A014AB">
        <w:rPr>
          <w:rtl/>
        </w:rPr>
        <w:t>.</w:t>
      </w:r>
      <w:r w:rsidRPr="00F04916">
        <w:rPr>
          <w:rFonts w:cs="Arial"/>
          <w:rtl/>
        </w:rPr>
        <w:t xml:space="preserve"> </w:t>
      </w:r>
      <w:r>
        <w:rPr>
          <w:rFonts w:cs="Arial"/>
          <w:rtl/>
        </w:rPr>
        <w:t>ומ"ש רשב"ם לחלק בין נשתחרר העבד ואח</w:t>
      </w:r>
      <w:r>
        <w:rPr>
          <w:rFonts w:cs="Arial" w:hint="cs"/>
          <w:rtl/>
        </w:rPr>
        <w:t>"</w:t>
      </w:r>
      <w:r>
        <w:rPr>
          <w:rFonts w:cs="Arial"/>
          <w:rtl/>
        </w:rPr>
        <w:t>כ מת לנתגרשה האשה ואח</w:t>
      </w:r>
      <w:r>
        <w:rPr>
          <w:rFonts w:cs="Arial" w:hint="cs"/>
          <w:rtl/>
        </w:rPr>
        <w:t>"</w:t>
      </w:r>
      <w:r>
        <w:rPr>
          <w:rFonts w:cs="Arial"/>
          <w:rtl/>
        </w:rPr>
        <w:t>כ מתה כתב הרמב"ן (נא: ד"ה מן האשה) שיפה כיוון וכן דעת הרא"ש כמו שאכתוב לשונו בסמוך</w:t>
      </w:r>
      <w:r>
        <w:rPr>
          <w:rFonts w:cs="Arial" w:hint="cs"/>
          <w:rtl/>
        </w:rPr>
        <w:t>.</w:t>
      </w:r>
      <w:r>
        <w:rPr>
          <w:rFonts w:cs="Arial"/>
          <w:rtl/>
        </w:rPr>
        <w:t xml:space="preserve"> ולאפוקי ממה שכתבו הגה</w:t>
      </w:r>
      <w:r>
        <w:rPr>
          <w:rFonts w:cs="Arial" w:hint="cs"/>
          <w:rtl/>
        </w:rPr>
        <w:t xml:space="preserve">"מ </w:t>
      </w:r>
      <w:r>
        <w:rPr>
          <w:rFonts w:cs="Arial"/>
          <w:rtl/>
        </w:rPr>
        <w:t>(שם ושם) שראב"ן חולק בזה</w:t>
      </w:r>
      <w:r>
        <w:rPr>
          <w:rFonts w:cs="Arial" w:hint="cs"/>
          <w:rtl/>
        </w:rPr>
        <w:t>, ב"י.</w:t>
      </w:r>
    </w:p>
  </w:footnote>
  <w:footnote w:id="1781">
    <w:p w14:paraId="2DCC581E" w14:textId="77777777" w:rsidR="00DF1FC7" w:rsidRDefault="00DF1FC7" w:rsidP="002E5BAD">
      <w:pPr>
        <w:pStyle w:val="a5"/>
      </w:pPr>
      <w:r>
        <w:rPr>
          <w:rStyle w:val="a7"/>
        </w:rPr>
        <w:footnoteRef/>
      </w:r>
      <w:r>
        <w:rPr>
          <w:rtl/>
        </w:rPr>
        <w:t xml:space="preserve"> </w:t>
      </w:r>
      <w:r w:rsidRPr="00A014AB">
        <w:rPr>
          <w:rtl/>
        </w:rPr>
        <w:t>לא יחזיר</w:t>
      </w:r>
      <w:r>
        <w:rPr>
          <w:rFonts w:hint="cs"/>
          <w:rtl/>
        </w:rPr>
        <w:t>,</w:t>
      </w:r>
      <w:r w:rsidRPr="00A014AB">
        <w:rPr>
          <w:rtl/>
        </w:rPr>
        <w:t xml:space="preserve"> שהרי אין יודע לשמור</w:t>
      </w:r>
      <w:r>
        <w:rPr>
          <w:rFonts w:hint="cs"/>
          <w:rtl/>
        </w:rPr>
        <w:t>,</w:t>
      </w:r>
      <w:r w:rsidRPr="00A014AB">
        <w:rPr>
          <w:rtl/>
        </w:rPr>
        <w:t xml:space="preserve"> וכמשליך לאיבוד דמי מי שהחזיר לו</w:t>
      </w:r>
      <w:r>
        <w:rPr>
          <w:rFonts w:hint="cs"/>
          <w:rtl/>
        </w:rPr>
        <w:t>,</w:t>
      </w:r>
      <w:r w:rsidRPr="00A014AB">
        <w:rPr>
          <w:rtl/>
        </w:rPr>
        <w:t xml:space="preserve"> אלא יעשה לו סגולה עד שיגדיל</w:t>
      </w:r>
      <w:r>
        <w:rPr>
          <w:rFonts w:hint="cs"/>
          <w:rtl/>
        </w:rPr>
        <w:t>,</w:t>
      </w:r>
      <w:r w:rsidRPr="00A014AB">
        <w:rPr>
          <w:rtl/>
        </w:rPr>
        <w:t xml:space="preserve"> ויחזיר לו</w:t>
      </w:r>
      <w:r>
        <w:rPr>
          <w:rFonts w:hint="cs"/>
          <w:rtl/>
        </w:rPr>
        <w:t>.</w:t>
      </w:r>
      <w:r w:rsidRPr="00A014AB">
        <w:rPr>
          <w:rtl/>
        </w:rPr>
        <w:t xml:space="preserve"> ואם מת קטן</w:t>
      </w:r>
      <w:r>
        <w:rPr>
          <w:rFonts w:hint="cs"/>
          <w:rtl/>
        </w:rPr>
        <w:t>,</w:t>
      </w:r>
      <w:r w:rsidRPr="00A014AB">
        <w:rPr>
          <w:rtl/>
        </w:rPr>
        <w:t xml:space="preserve"> יחזיר ליורשיו</w:t>
      </w:r>
      <w:r>
        <w:rPr>
          <w:rFonts w:hint="cs"/>
          <w:rtl/>
        </w:rPr>
        <w:t>, רשב"ם</w:t>
      </w:r>
      <w:r w:rsidRPr="00A014AB">
        <w:rPr>
          <w:rtl/>
        </w:rPr>
        <w:t>.</w:t>
      </w:r>
    </w:p>
  </w:footnote>
  <w:footnote w:id="1782">
    <w:p w14:paraId="135D48A6" w14:textId="77777777" w:rsidR="00DF1FC7" w:rsidRDefault="00DF1FC7" w:rsidP="002E5BAD">
      <w:pPr>
        <w:pStyle w:val="a5"/>
      </w:pPr>
      <w:r>
        <w:rPr>
          <w:rStyle w:val="a7"/>
        </w:rPr>
        <w:footnoteRef/>
      </w:r>
      <w:r>
        <w:rPr>
          <w:rtl/>
        </w:rPr>
        <w:t xml:space="preserve"> </w:t>
      </w:r>
      <w:r w:rsidRPr="000E1371">
        <w:rPr>
          <w:rFonts w:cs="Arial"/>
          <w:rtl/>
        </w:rPr>
        <w:t>ונ"ל שאם הגיע לעונת הפעוטות מחזיר לו</w:t>
      </w:r>
      <w:r>
        <w:rPr>
          <w:rFonts w:cs="Arial" w:hint="cs"/>
          <w:rtl/>
        </w:rPr>
        <w:t>,</w:t>
      </w:r>
      <w:r w:rsidRPr="000E1371">
        <w:rPr>
          <w:rFonts w:cs="Arial"/>
          <w:rtl/>
        </w:rPr>
        <w:t xml:space="preserve"> דאפילו לכתחלה נותנין לו כדי להתלמד ומקחן מקח וממכרן ממכר במטלטלין</w:t>
      </w:r>
      <w:r>
        <w:rPr>
          <w:rFonts w:cs="Arial" w:hint="cs"/>
          <w:rtl/>
        </w:rPr>
        <w:t xml:space="preserve">, </w:t>
      </w:r>
      <w:r w:rsidRPr="000E1371">
        <w:rPr>
          <w:rFonts w:cs="Arial"/>
          <w:rtl/>
        </w:rPr>
        <w:t xml:space="preserve">רשב"א </w:t>
      </w:r>
      <w:r w:rsidRPr="000E1371">
        <w:rPr>
          <w:rFonts w:cs="Arial"/>
          <w:sz w:val="16"/>
          <w:szCs w:val="16"/>
          <w:rtl/>
        </w:rPr>
        <w:t>(נב. ד"ה קטן</w:t>
      </w:r>
      <w:r w:rsidRPr="000E1371">
        <w:rPr>
          <w:rFonts w:cs="Arial" w:hint="cs"/>
          <w:sz w:val="16"/>
          <w:szCs w:val="16"/>
          <w:rtl/>
        </w:rPr>
        <w:t>, וכ"כ בשמו הה"מ [</w:t>
      </w:r>
      <w:r w:rsidRPr="000E1371">
        <w:rPr>
          <w:rFonts w:cs="Arial"/>
          <w:sz w:val="16"/>
          <w:szCs w:val="16"/>
          <w:rtl/>
        </w:rPr>
        <w:t>פ"ז משאלה ופקדון ה"י</w:t>
      </w:r>
      <w:r w:rsidRPr="000E1371">
        <w:rPr>
          <w:rFonts w:cs="Arial" w:hint="cs"/>
          <w:sz w:val="16"/>
          <w:szCs w:val="16"/>
          <w:rtl/>
        </w:rPr>
        <w:t xml:space="preserve">] </w:t>
      </w:r>
      <w:r w:rsidRPr="000E1371">
        <w:rPr>
          <w:rFonts w:cs="Arial"/>
          <w:sz w:val="16"/>
          <w:szCs w:val="16"/>
          <w:rtl/>
        </w:rPr>
        <w:t>ונמוק</w:t>
      </w:r>
      <w:r w:rsidRPr="000E1371">
        <w:rPr>
          <w:rFonts w:cs="Arial" w:hint="cs"/>
          <w:sz w:val="16"/>
          <w:szCs w:val="16"/>
          <w:rtl/>
        </w:rPr>
        <w:t>"</w:t>
      </w:r>
      <w:r w:rsidRPr="000E1371">
        <w:rPr>
          <w:rFonts w:cs="Arial"/>
          <w:sz w:val="16"/>
          <w:szCs w:val="16"/>
          <w:rtl/>
        </w:rPr>
        <w:t>י</w:t>
      </w:r>
      <w:r w:rsidRPr="000E1371">
        <w:rPr>
          <w:rFonts w:cs="Arial" w:hint="cs"/>
          <w:sz w:val="16"/>
          <w:szCs w:val="16"/>
          <w:rtl/>
        </w:rPr>
        <w:t xml:space="preserve"> [כז:]</w:t>
      </w:r>
      <w:r w:rsidRPr="000E1371">
        <w:rPr>
          <w:rFonts w:cs="Arial"/>
          <w:sz w:val="16"/>
          <w:szCs w:val="16"/>
          <w:rtl/>
        </w:rPr>
        <w:t>)</w:t>
      </w:r>
      <w:r>
        <w:rPr>
          <w:rFonts w:cs="Arial" w:hint="cs"/>
          <w:rtl/>
        </w:rPr>
        <w:t xml:space="preserve">. </w:t>
      </w:r>
      <w:r w:rsidRPr="008F55F8">
        <w:rPr>
          <w:rFonts w:cs="Arial"/>
          <w:rtl/>
        </w:rPr>
        <w:t xml:space="preserve">וכתב עוד </w:t>
      </w:r>
      <w:r>
        <w:rPr>
          <w:rFonts w:cs="Arial" w:hint="cs"/>
          <w:rtl/>
        </w:rPr>
        <w:t>ה</w:t>
      </w:r>
      <w:r w:rsidRPr="008F55F8">
        <w:rPr>
          <w:rFonts w:cs="Arial"/>
          <w:rtl/>
        </w:rPr>
        <w:t>נמוק</w:t>
      </w:r>
      <w:r>
        <w:rPr>
          <w:rFonts w:cs="Arial" w:hint="cs"/>
          <w:rtl/>
        </w:rPr>
        <w:t>"</w:t>
      </w:r>
      <w:r w:rsidRPr="008F55F8">
        <w:rPr>
          <w:rFonts w:cs="Arial"/>
          <w:rtl/>
        </w:rPr>
        <w:t xml:space="preserve">י </w:t>
      </w:r>
      <w:r>
        <w:rPr>
          <w:rFonts w:cs="Arial" w:hint="cs"/>
          <w:rtl/>
        </w:rPr>
        <w:t>(</w:t>
      </w:r>
      <w:r w:rsidRPr="008F55F8">
        <w:rPr>
          <w:rFonts w:cs="Arial"/>
          <w:rtl/>
        </w:rPr>
        <w:t>שם) דהא דקתני יעשה לו סגולה כלומר משום השבת אבידה</w:t>
      </w:r>
      <w:r>
        <w:rPr>
          <w:rFonts w:cs="Arial" w:hint="cs"/>
          <w:rtl/>
        </w:rPr>
        <w:t>,</w:t>
      </w:r>
      <w:r w:rsidRPr="008F55F8">
        <w:rPr>
          <w:rFonts w:cs="Arial"/>
          <w:rtl/>
        </w:rPr>
        <w:t xml:space="preserve"> אבל מותר להחזיר לאפטרופוס של קטן.</w:t>
      </w:r>
    </w:p>
  </w:footnote>
  <w:footnote w:id="1783">
    <w:p w14:paraId="7CB8C24C" w14:textId="77777777" w:rsidR="00DF1FC7" w:rsidRDefault="00DF1FC7" w:rsidP="002E5BAD">
      <w:pPr>
        <w:pStyle w:val="a5"/>
      </w:pPr>
      <w:r>
        <w:rPr>
          <w:rStyle w:val="a7"/>
        </w:rPr>
        <w:footnoteRef/>
      </w:r>
      <w:r>
        <w:rPr>
          <w:rtl/>
        </w:rPr>
        <w:t xml:space="preserve"> </w:t>
      </w:r>
      <w:r w:rsidRPr="00A014AB">
        <w:rPr>
          <w:rtl/>
        </w:rPr>
        <w:t>אפילו קטן</w:t>
      </w:r>
      <w:r>
        <w:rPr>
          <w:rFonts w:hint="cs"/>
          <w:rtl/>
        </w:rPr>
        <w:t>, רשב"ם</w:t>
      </w:r>
      <w:r w:rsidRPr="00A014AB">
        <w:rPr>
          <w:rtl/>
        </w:rPr>
        <w:t>.</w:t>
      </w:r>
    </w:p>
  </w:footnote>
  <w:footnote w:id="1784">
    <w:p w14:paraId="5702CE13" w14:textId="77777777" w:rsidR="00DF1FC7" w:rsidRDefault="00DF1FC7" w:rsidP="002E5BAD">
      <w:pPr>
        <w:pStyle w:val="a5"/>
      </w:pPr>
      <w:r>
        <w:rPr>
          <w:rStyle w:val="a7"/>
        </w:rPr>
        <w:footnoteRef/>
      </w:r>
      <w:r>
        <w:rPr>
          <w:rtl/>
        </w:rPr>
        <w:t xml:space="preserve"> </w:t>
      </w:r>
      <w:r w:rsidRPr="00A014AB">
        <w:rPr>
          <w:rtl/>
        </w:rPr>
        <w:t>אורחא דמילתא נקט</w:t>
      </w:r>
      <w:r>
        <w:rPr>
          <w:rFonts w:hint="cs"/>
          <w:rtl/>
        </w:rPr>
        <w:t>,</w:t>
      </w:r>
      <w:r w:rsidRPr="00A014AB">
        <w:rPr>
          <w:rtl/>
        </w:rPr>
        <w:t xml:space="preserve"> דכשהם בריאים אם רוצים להחזיר לבעלים יטלו שלהם מיד הנפקד ויחזירו לבעליהן</w:t>
      </w:r>
      <w:r>
        <w:rPr>
          <w:rFonts w:hint="cs"/>
          <w:rtl/>
        </w:rPr>
        <w:t>,</w:t>
      </w:r>
      <w:r w:rsidRPr="00A014AB">
        <w:rPr>
          <w:rtl/>
        </w:rPr>
        <w:t xml:space="preserve"> דמה להן לגלות הדבר</w:t>
      </w:r>
      <w:r>
        <w:rPr>
          <w:rFonts w:hint="cs"/>
          <w:rtl/>
        </w:rPr>
        <w:t>, רשב"ם</w:t>
      </w:r>
      <w:r w:rsidRPr="00A014AB">
        <w:rPr>
          <w:rtl/>
        </w:rPr>
        <w:t>.</w:t>
      </w:r>
    </w:p>
  </w:footnote>
  <w:footnote w:id="1785">
    <w:p w14:paraId="21A8A178" w14:textId="77777777" w:rsidR="00DF1FC7" w:rsidRDefault="00DF1FC7" w:rsidP="002E5BAD">
      <w:pPr>
        <w:pStyle w:val="a5"/>
      </w:pPr>
      <w:r>
        <w:rPr>
          <w:rStyle w:val="a7"/>
        </w:rPr>
        <w:footnoteRef/>
      </w:r>
      <w:r>
        <w:rPr>
          <w:rtl/>
        </w:rPr>
        <w:t xml:space="preserve"> </w:t>
      </w:r>
      <w:r w:rsidRPr="00A014AB">
        <w:rPr>
          <w:rtl/>
        </w:rPr>
        <w:t>יחזיר הנפקד לאותו פלוני שפירשו אלו</w:t>
      </w:r>
      <w:r>
        <w:rPr>
          <w:rFonts w:hint="cs"/>
          <w:rtl/>
        </w:rPr>
        <w:t>, רשב"ם</w:t>
      </w:r>
      <w:r w:rsidRPr="00A014AB">
        <w:rPr>
          <w:rtl/>
        </w:rPr>
        <w:t>.</w:t>
      </w:r>
    </w:p>
  </w:footnote>
  <w:footnote w:id="1786">
    <w:p w14:paraId="5D474804" w14:textId="77777777" w:rsidR="00DF1FC7" w:rsidRDefault="00DF1FC7" w:rsidP="002E5BAD">
      <w:pPr>
        <w:pStyle w:val="a5"/>
      </w:pPr>
      <w:r>
        <w:rPr>
          <w:rStyle w:val="a7"/>
        </w:rPr>
        <w:footnoteRef/>
      </w:r>
      <w:r>
        <w:rPr>
          <w:rtl/>
        </w:rPr>
        <w:t xml:space="preserve"> </w:t>
      </w:r>
      <w:r w:rsidRPr="00A014AB">
        <w:rPr>
          <w:rtl/>
        </w:rPr>
        <w:t>כלומר ואי לא מהימן להו ההוא נפקד שהפקדון של אותו פלוני הוא</w:t>
      </w:r>
      <w:r>
        <w:rPr>
          <w:rFonts w:hint="cs"/>
          <w:rtl/>
        </w:rPr>
        <w:t>,</w:t>
      </w:r>
      <w:r w:rsidRPr="00A014AB">
        <w:rPr>
          <w:rtl/>
        </w:rPr>
        <w:t xml:space="preserve"> אלא של בעלים שלהם הוא ומתוך בושה אינם רוצים לומר שהוא של בעליהן דלא ליתחזקו בגזלנים וגנבים</w:t>
      </w:r>
      <w:r>
        <w:rPr>
          <w:rFonts w:hint="cs"/>
          <w:rtl/>
        </w:rPr>
        <w:t>,</w:t>
      </w:r>
      <w:r w:rsidRPr="00A014AB">
        <w:rPr>
          <w:rtl/>
        </w:rPr>
        <w:t xml:space="preserve"> יעשה הנפקד פירוש אחר לפירושן שיחזיר לבעליהן של אלו ולא לאותו פלוני</w:t>
      </w:r>
      <w:r>
        <w:rPr>
          <w:rFonts w:hint="cs"/>
          <w:rtl/>
        </w:rPr>
        <w:t>, רשב"ם (מבואר מדבריו כאן [ובד"ה בשעת מיתתן] שאם אינו מאמין לה יכול להחזיר לבעל גם כשהיא בריאה. והב"י הביא את הרא"ש שחולק על זה, וכתב שהתנאי שצריך להאמין לה שייך רק כשהיא בשעת מיתה, שאז אין לה מיגו). זהו פירוש רשב"ם, אך ה</w:t>
      </w:r>
      <w:r w:rsidRPr="00146CBE">
        <w:rPr>
          <w:rtl/>
        </w:rPr>
        <w:t>נמוק</w:t>
      </w:r>
      <w:r>
        <w:rPr>
          <w:rFonts w:hint="cs"/>
          <w:rtl/>
        </w:rPr>
        <w:t>"</w:t>
      </w:r>
      <w:r w:rsidRPr="00146CBE">
        <w:rPr>
          <w:rtl/>
        </w:rPr>
        <w:t xml:space="preserve">י (כז סוע"ב) </w:t>
      </w:r>
      <w:r>
        <w:rPr>
          <w:rFonts w:hint="cs"/>
          <w:rtl/>
        </w:rPr>
        <w:t xml:space="preserve">כתב- </w:t>
      </w:r>
      <w:r w:rsidRPr="00146CBE">
        <w:rPr>
          <w:rtl/>
        </w:rPr>
        <w:t>פירוש לפירושן כלומר שיעכב הפקדון לעצמו</w:t>
      </w:r>
      <w:r>
        <w:rPr>
          <w:rFonts w:hint="cs"/>
          <w:rtl/>
        </w:rPr>
        <w:t>,</w:t>
      </w:r>
      <w:r w:rsidRPr="00146CBE">
        <w:rPr>
          <w:rtl/>
        </w:rPr>
        <w:t xml:space="preserve"> אא</w:t>
      </w:r>
      <w:r>
        <w:rPr>
          <w:rFonts w:hint="cs"/>
          <w:rtl/>
        </w:rPr>
        <w:t>"</w:t>
      </w:r>
      <w:r w:rsidRPr="00146CBE">
        <w:rPr>
          <w:rtl/>
        </w:rPr>
        <w:t>כ יביא ראיה אותו פלוני או ישבע שהוא הפקיד אצלה וזהו פירוש לפירושן שהם מתביישים לומר שהם של בעלים שגנבו מהם עכ"ל</w:t>
      </w:r>
      <w:r>
        <w:rPr>
          <w:rFonts w:hint="cs"/>
          <w:rtl/>
        </w:rPr>
        <w:t>. וכתב הב"י</w:t>
      </w:r>
      <w:r w:rsidRPr="00146CBE">
        <w:rPr>
          <w:rtl/>
        </w:rPr>
        <w:t xml:space="preserve"> </w:t>
      </w:r>
      <w:r>
        <w:rPr>
          <w:rFonts w:hint="cs"/>
          <w:rtl/>
        </w:rPr>
        <w:t>ד</w:t>
      </w:r>
      <w:r w:rsidRPr="00146CBE">
        <w:rPr>
          <w:rtl/>
        </w:rPr>
        <w:t>מה שכת</w:t>
      </w:r>
      <w:r>
        <w:rPr>
          <w:rFonts w:hint="cs"/>
          <w:rtl/>
        </w:rPr>
        <w:t>ב</w:t>
      </w:r>
      <w:r w:rsidRPr="00146CBE">
        <w:rPr>
          <w:rtl/>
        </w:rPr>
        <w:t xml:space="preserve"> </w:t>
      </w:r>
      <w:r>
        <w:rPr>
          <w:rFonts w:hint="cs"/>
          <w:rtl/>
        </w:rPr>
        <w:t>'</w:t>
      </w:r>
      <w:r w:rsidRPr="00146CBE">
        <w:rPr>
          <w:rtl/>
        </w:rPr>
        <w:t>או ישבע שהוא הפקיד אצלה</w:t>
      </w:r>
      <w:r>
        <w:rPr>
          <w:rFonts w:hint="cs"/>
          <w:rtl/>
        </w:rPr>
        <w:t>'</w:t>
      </w:r>
      <w:r w:rsidRPr="00146CBE">
        <w:rPr>
          <w:rtl/>
        </w:rPr>
        <w:t xml:space="preserve"> הוא תימה שיהיה הלה נאמן בשבועתו ולא ראיתי כן לאחד מן הפוסקים. </w:t>
      </w:r>
    </w:p>
  </w:footnote>
  <w:footnote w:id="1787">
    <w:p w14:paraId="12A2AFFA" w14:textId="77777777" w:rsidR="00DF1FC7" w:rsidRDefault="00DF1FC7" w:rsidP="002E5BAD">
      <w:pPr>
        <w:pStyle w:val="a5"/>
      </w:pPr>
      <w:r>
        <w:rPr>
          <w:rStyle w:val="a7"/>
        </w:rPr>
        <w:footnoteRef/>
      </w:r>
      <w:r>
        <w:rPr>
          <w:rtl/>
        </w:rPr>
        <w:t xml:space="preserve"> </w:t>
      </w:r>
      <w:r w:rsidRPr="00A014AB">
        <w:rPr>
          <w:rtl/>
        </w:rPr>
        <w:t>שלא גנבה ממך כלום</w:t>
      </w:r>
      <w:r>
        <w:rPr>
          <w:rFonts w:hint="cs"/>
          <w:rtl/>
        </w:rPr>
        <w:t>, רשב"ם</w:t>
      </w:r>
      <w:r w:rsidRPr="00A014AB">
        <w:rPr>
          <w:rtl/>
        </w:rPr>
        <w:t>.</w:t>
      </w:r>
    </w:p>
  </w:footnote>
  <w:footnote w:id="1788">
    <w:p w14:paraId="0645BA3A" w14:textId="77777777" w:rsidR="00DF1FC7" w:rsidRDefault="00DF1FC7" w:rsidP="002E5BAD">
      <w:pPr>
        <w:pStyle w:val="a5"/>
      </w:pPr>
      <w:r>
        <w:rPr>
          <w:rStyle w:val="a7"/>
        </w:rPr>
        <w:footnoteRef/>
      </w:r>
      <w:r>
        <w:rPr>
          <w:rtl/>
        </w:rPr>
        <w:t xml:space="preserve"> </w:t>
      </w:r>
      <w:r w:rsidRPr="00A014AB">
        <w:rPr>
          <w:rtl/>
        </w:rPr>
        <w:t>עכב לעצמך</w:t>
      </w:r>
      <w:r>
        <w:rPr>
          <w:rFonts w:hint="cs"/>
          <w:rtl/>
        </w:rPr>
        <w:t>, רשב"ם</w:t>
      </w:r>
      <w:r w:rsidRPr="00A014AB">
        <w:rPr>
          <w:rtl/>
        </w:rPr>
        <w:t>.</w:t>
      </w:r>
    </w:p>
  </w:footnote>
  <w:footnote w:id="1789">
    <w:p w14:paraId="3C060396" w14:textId="77777777" w:rsidR="00DF1FC7" w:rsidRDefault="00DF1FC7" w:rsidP="002E5BAD">
      <w:pPr>
        <w:pStyle w:val="a5"/>
      </w:pPr>
      <w:r>
        <w:rPr>
          <w:rStyle w:val="a7"/>
        </w:rPr>
        <w:footnoteRef/>
      </w:r>
      <w:r>
        <w:rPr>
          <w:rtl/>
        </w:rPr>
        <w:t xml:space="preserve"> </w:t>
      </w:r>
      <w:r>
        <w:rPr>
          <w:rFonts w:hint="cs"/>
          <w:rtl/>
        </w:rPr>
        <w:t xml:space="preserve">וז"ל- </w:t>
      </w:r>
      <w:r>
        <w:rPr>
          <w:rFonts w:cs="Arial"/>
          <w:rtl/>
        </w:rPr>
        <w:t>אם אמרה תנהו לפלוני שהוא שלו נותן לו דנאמנת במגו דאי בעיא שקלה איהי ויהיבתה ליה</w:t>
      </w:r>
      <w:r>
        <w:rPr>
          <w:rFonts w:cs="Arial" w:hint="cs"/>
          <w:rtl/>
        </w:rPr>
        <w:t>.</w:t>
      </w:r>
      <w:r>
        <w:rPr>
          <w:rFonts w:cs="Arial"/>
          <w:rtl/>
        </w:rPr>
        <w:t xml:space="preserve"> דהא דמפליג בדביתהו דרבה בר בר חנה בין אי מהימנא ליה בין אי לא מהימנא</w:t>
      </w:r>
      <w:r>
        <w:rPr>
          <w:rFonts w:cs="Arial" w:hint="cs"/>
          <w:rtl/>
        </w:rPr>
        <w:t>,</w:t>
      </w:r>
      <w:r>
        <w:rPr>
          <w:rFonts w:cs="Arial"/>
          <w:rtl/>
        </w:rPr>
        <w:t xml:space="preserve"> הני מילי כששוכבת על ערש דוי ואין כאן מגו שאין יכולה ליקח מן הנפקד וליתנו לפלוני</w:t>
      </w:r>
      <w:r>
        <w:rPr>
          <w:rFonts w:cs="Arial" w:hint="cs"/>
          <w:rtl/>
        </w:rPr>
        <w:t>.</w:t>
      </w:r>
      <w:r>
        <w:rPr>
          <w:rFonts w:cs="Arial"/>
          <w:rtl/>
        </w:rPr>
        <w:t xml:space="preserve"> ונראה דאפילו אם יאמר הבעל שלי הם</w:t>
      </w:r>
      <w:r>
        <w:rPr>
          <w:rFonts w:cs="Arial" w:hint="cs"/>
          <w:rtl/>
        </w:rPr>
        <w:t>,</w:t>
      </w:r>
      <w:r>
        <w:rPr>
          <w:rFonts w:cs="Arial"/>
          <w:rtl/>
        </w:rPr>
        <w:t xml:space="preserve"> אף על פי כן יחזירהו ל</w:t>
      </w:r>
      <w:r>
        <w:rPr>
          <w:rFonts w:cs="Arial" w:hint="cs"/>
          <w:rtl/>
        </w:rPr>
        <w:t xml:space="preserve">ו </w:t>
      </w:r>
      <w:r>
        <w:rPr>
          <w:rFonts w:cs="Arial" w:hint="cs"/>
          <w:sz w:val="16"/>
          <w:szCs w:val="16"/>
          <w:rtl/>
        </w:rPr>
        <w:t>{לאותו אחד שאמרה האשה שהפקדון שייך לו}</w:t>
      </w:r>
      <w:r>
        <w:rPr>
          <w:rFonts w:cs="Arial"/>
          <w:rtl/>
        </w:rPr>
        <w:t xml:space="preserve"> הנפקד</w:t>
      </w:r>
      <w:r>
        <w:rPr>
          <w:rFonts w:cs="Arial" w:hint="cs"/>
          <w:rtl/>
        </w:rPr>
        <w:t>,</w:t>
      </w:r>
      <w:r>
        <w:rPr>
          <w:rFonts w:cs="Arial"/>
          <w:rtl/>
        </w:rPr>
        <w:t xml:space="preserve"> דאם איתא שיחזירהו לבעל אם יאמר שלי הם הוה ליה למיתני </w:t>
      </w:r>
      <w:r>
        <w:rPr>
          <w:rFonts w:cs="Arial" w:hint="cs"/>
          <w:rtl/>
        </w:rPr>
        <w:t>'</w:t>
      </w:r>
      <w:r>
        <w:rPr>
          <w:rFonts w:cs="Arial"/>
          <w:rtl/>
        </w:rPr>
        <w:t>יודיע לבעל</w:t>
      </w:r>
      <w:r>
        <w:rPr>
          <w:rFonts w:cs="Arial" w:hint="cs"/>
          <w:rtl/>
        </w:rPr>
        <w:t>',</w:t>
      </w:r>
      <w:r>
        <w:rPr>
          <w:rFonts w:cs="Arial"/>
          <w:rtl/>
        </w:rPr>
        <w:t xml:space="preserve"> כיון דמסתמא הנמצא ביד האשה מבית הבעל בא היה צריך שיודיע לבעל אולי יאמר שלי הוא וינתן לו</w:t>
      </w:r>
      <w:r>
        <w:rPr>
          <w:rFonts w:cs="Arial" w:hint="cs"/>
          <w:rtl/>
        </w:rPr>
        <w:t>,</w:t>
      </w:r>
      <w:r>
        <w:rPr>
          <w:rFonts w:cs="Arial"/>
          <w:rtl/>
        </w:rPr>
        <w:t xml:space="preserve"> אלא ודאי אפילו אם יאמר שלי הוא ינתן לאשה</w:t>
      </w:r>
      <w:r>
        <w:rPr>
          <w:rFonts w:cs="Arial" w:hint="cs"/>
          <w:rtl/>
        </w:rPr>
        <w:t>.</w:t>
      </w:r>
    </w:p>
  </w:footnote>
  <w:footnote w:id="1790">
    <w:p w14:paraId="4DC45407" w14:textId="77777777" w:rsidR="00DF1FC7" w:rsidRDefault="00DF1FC7" w:rsidP="002E5BAD">
      <w:pPr>
        <w:pStyle w:val="a5"/>
      </w:pPr>
      <w:r>
        <w:rPr>
          <w:rStyle w:val="a7"/>
        </w:rPr>
        <w:footnoteRef/>
      </w:r>
      <w:r>
        <w:rPr>
          <w:rtl/>
        </w:rPr>
        <w:t xml:space="preserve"> </w:t>
      </w:r>
      <w:r>
        <w:rPr>
          <w:rFonts w:cs="Arial"/>
          <w:rtl/>
        </w:rPr>
        <w:t>וכן נראה ממה שכתב ה</w:t>
      </w:r>
      <w:r>
        <w:rPr>
          <w:rFonts w:cs="Arial" w:hint="cs"/>
          <w:rtl/>
        </w:rPr>
        <w:t>ה"מ</w:t>
      </w:r>
      <w:r>
        <w:rPr>
          <w:rFonts w:cs="Arial"/>
          <w:rtl/>
        </w:rPr>
        <w:t xml:space="preserve"> </w:t>
      </w:r>
      <w:r>
        <w:rPr>
          <w:rFonts w:cs="Arial" w:hint="cs"/>
          <w:rtl/>
        </w:rPr>
        <w:t>(</w:t>
      </w:r>
      <w:r>
        <w:rPr>
          <w:rFonts w:cs="Arial"/>
          <w:rtl/>
        </w:rPr>
        <w:t>פ</w:t>
      </w:r>
      <w:r>
        <w:rPr>
          <w:rFonts w:cs="Arial" w:hint="cs"/>
          <w:rtl/>
        </w:rPr>
        <w:t>"ז מ</w:t>
      </w:r>
      <w:r>
        <w:rPr>
          <w:rFonts w:cs="Arial"/>
          <w:rtl/>
        </w:rPr>
        <w:t>שאלה ופקדון ה"י) בשם הר"י ן' מיגא"ש ז"ל דמדקתני יחזיר לאשה</w:t>
      </w:r>
      <w:r>
        <w:rPr>
          <w:rFonts w:cs="Arial" w:hint="cs"/>
          <w:rtl/>
        </w:rPr>
        <w:t>,</w:t>
      </w:r>
      <w:r>
        <w:rPr>
          <w:rFonts w:cs="Arial"/>
          <w:rtl/>
        </w:rPr>
        <w:t xml:space="preserve"> כשתתן האשה לאותו פלוני אין לבעל להרהר ולערער עליה בכך</w:t>
      </w:r>
      <w:r>
        <w:rPr>
          <w:rFonts w:cs="Arial" w:hint="cs"/>
          <w:rtl/>
        </w:rPr>
        <w:t>.</w:t>
      </w:r>
      <w:r>
        <w:rPr>
          <w:rFonts w:cs="Arial"/>
          <w:rtl/>
        </w:rPr>
        <w:t xml:space="preserve"> ודלא כראב"ן (ב"ב ריד ע"ד ד"ה אין) שכתבו הגה</w:t>
      </w:r>
      <w:r>
        <w:rPr>
          <w:rFonts w:cs="Arial" w:hint="cs"/>
          <w:rtl/>
        </w:rPr>
        <w:t>"מ</w:t>
      </w:r>
      <w:r>
        <w:rPr>
          <w:rFonts w:cs="Arial"/>
          <w:rtl/>
        </w:rPr>
        <w:t xml:space="preserve"> (שם אות ז, אישות פכ"ב אות ע) שהוא חולק על זה</w:t>
      </w:r>
      <w:r>
        <w:rPr>
          <w:rFonts w:hint="cs"/>
          <w:rtl/>
        </w:rPr>
        <w:t>, ב"י.</w:t>
      </w:r>
    </w:p>
  </w:footnote>
  <w:footnote w:id="1791">
    <w:p w14:paraId="7FD875C4" w14:textId="77777777" w:rsidR="00DF1FC7" w:rsidRDefault="00DF1FC7" w:rsidP="002E5BAD">
      <w:pPr>
        <w:pStyle w:val="a5"/>
        <w:rPr>
          <w:rtl/>
        </w:rPr>
      </w:pPr>
      <w:r>
        <w:rPr>
          <w:rStyle w:val="a7"/>
        </w:rPr>
        <w:footnoteRef/>
      </w:r>
      <w:r>
        <w:rPr>
          <w:rtl/>
        </w:rPr>
        <w:t xml:space="preserve"> </w:t>
      </w:r>
      <w:r w:rsidRPr="00410A12">
        <w:rPr>
          <w:rFonts w:cs="Arial"/>
          <w:rtl/>
        </w:rPr>
        <w:t>וכ</w:t>
      </w:r>
      <w:r>
        <w:rPr>
          <w:rFonts w:cs="Arial" w:hint="cs"/>
          <w:rtl/>
        </w:rPr>
        <w:t xml:space="preserve">תב </w:t>
      </w:r>
      <w:r w:rsidRPr="00410A12">
        <w:rPr>
          <w:rFonts w:cs="Arial"/>
          <w:rtl/>
        </w:rPr>
        <w:t xml:space="preserve">ב"י </w:t>
      </w:r>
      <w:r>
        <w:rPr>
          <w:rFonts w:cs="Arial" w:hint="cs"/>
          <w:rtl/>
        </w:rPr>
        <w:t>(</w:t>
      </w:r>
      <w:r w:rsidRPr="00410A12">
        <w:rPr>
          <w:rFonts w:cs="Arial"/>
          <w:rtl/>
        </w:rPr>
        <w:t>בחו</w:t>
      </w:r>
      <w:r>
        <w:rPr>
          <w:rFonts w:cs="Arial" w:hint="cs"/>
          <w:rtl/>
        </w:rPr>
        <w:t>"מ סי'</w:t>
      </w:r>
      <w:r w:rsidRPr="00410A12">
        <w:rPr>
          <w:rFonts w:cs="Arial"/>
          <w:rtl/>
        </w:rPr>
        <w:t xml:space="preserve"> סה סע' ז) תשובת הריטב"א (סי' קכו) אשה שהיה לה שטר חוב על בעלה והיא יכולה לגבותו בכל עת שתרצה והיתה יכולה לעשות בו מה שתרצה והפקידה אותו ביד אחר ומתה וזה לא היה יודע אם נתנה השטר במתנה לאחרים או לא ופסק דיחזיר השטר לבעל דאין מוציאין הנכסים מחזקתן מספק</w:t>
      </w:r>
      <w:r>
        <w:rPr>
          <w:rFonts w:cs="Arial" w:hint="cs"/>
          <w:rtl/>
        </w:rPr>
        <w:t>, דרכ"מ (אות א).</w:t>
      </w:r>
    </w:p>
  </w:footnote>
  <w:footnote w:id="1792">
    <w:p w14:paraId="2E2AEF9E" w14:textId="77777777" w:rsidR="00DF1FC7" w:rsidRDefault="00DF1FC7" w:rsidP="002E5BAD">
      <w:pPr>
        <w:pStyle w:val="a5"/>
      </w:pPr>
      <w:r>
        <w:rPr>
          <w:rStyle w:val="a7"/>
        </w:rPr>
        <w:footnoteRef/>
      </w:r>
      <w:r>
        <w:rPr>
          <w:rtl/>
        </w:rPr>
        <w:t xml:space="preserve"> </w:t>
      </w:r>
      <w:r w:rsidRPr="00A03108">
        <w:rPr>
          <w:rFonts w:cs="Arial"/>
          <w:rtl/>
        </w:rPr>
        <w:t>דתלינן שמא הופקד בידו או ניתן לו על מנת שיצא לחירות בו</w:t>
      </w:r>
      <w:r>
        <w:rPr>
          <w:rFonts w:cs="Arial" w:hint="cs"/>
          <w:rtl/>
        </w:rPr>
        <w:t>, רא"ש (שם).</w:t>
      </w:r>
    </w:p>
  </w:footnote>
  <w:footnote w:id="1793">
    <w:p w14:paraId="40374D5A" w14:textId="77777777" w:rsidR="00DF1FC7" w:rsidRDefault="00DF1FC7" w:rsidP="002E5BAD">
      <w:pPr>
        <w:pStyle w:val="a5"/>
        <w:rPr>
          <w:rtl/>
        </w:rPr>
      </w:pPr>
      <w:r>
        <w:rPr>
          <w:rStyle w:val="a7"/>
        </w:rPr>
        <w:footnoteRef/>
      </w:r>
      <w:r>
        <w:rPr>
          <w:rtl/>
        </w:rPr>
        <w:t xml:space="preserve"> </w:t>
      </w:r>
      <w:r>
        <w:rPr>
          <w:rFonts w:hint="cs"/>
          <w:rtl/>
        </w:rPr>
        <w:t>לכאורה יש סתירה בדברי הרמ"א שבסעיף הבא פסק כ</w:t>
      </w:r>
      <w:r>
        <w:rPr>
          <w:rFonts w:cs="Arial" w:hint="cs"/>
          <w:rtl/>
        </w:rPr>
        <w:t xml:space="preserve">הרא"ש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והטור, שאם </w:t>
      </w:r>
      <w:r w:rsidRPr="00227F6B">
        <w:rPr>
          <w:rFonts w:cs="Arial"/>
          <w:rtl/>
        </w:rPr>
        <w:t xml:space="preserve">האשה נושאת ונותנת </w:t>
      </w:r>
      <w:r>
        <w:rPr>
          <w:rFonts w:cs="Arial" w:hint="cs"/>
          <w:rtl/>
        </w:rPr>
        <w:t xml:space="preserve">- </w:t>
      </w:r>
      <w:r w:rsidRPr="00227F6B">
        <w:rPr>
          <w:rFonts w:cs="Arial"/>
          <w:rtl/>
        </w:rPr>
        <w:t>אינה נאמנת לומר של</w:t>
      </w:r>
      <w:r>
        <w:rPr>
          <w:rFonts w:cs="Arial" w:hint="cs"/>
          <w:rtl/>
        </w:rPr>
        <w:t>י/</w:t>
      </w:r>
      <w:r w:rsidRPr="00227F6B">
        <w:rPr>
          <w:rFonts w:cs="Arial"/>
          <w:rtl/>
        </w:rPr>
        <w:t>של פלוני הוא</w:t>
      </w:r>
      <w:r>
        <w:rPr>
          <w:rFonts w:cs="Arial" w:hint="cs"/>
          <w:rtl/>
        </w:rPr>
        <w:t xml:space="preserve">. אבל לא קשה, שהרי כאן רק אמר להחזיר לה, אבל לא אמר שהיא נאמנת, אלא יחזיר לה והבעל יבוא איתה בדין. ושם דיבר במקרה שהבעל מוחזק (כגון שלוה או תקף) וכ"ש שאינה נאמנת להוציא ממנו בלא ראיה. </w:t>
      </w:r>
    </w:p>
  </w:footnote>
  <w:footnote w:id="1794">
    <w:p w14:paraId="249F3E14" w14:textId="77777777" w:rsidR="00DF1FC7" w:rsidRDefault="00DF1FC7" w:rsidP="002E5BAD">
      <w:pPr>
        <w:pStyle w:val="a5"/>
        <w:rPr>
          <w:rtl/>
        </w:rPr>
      </w:pPr>
      <w:r>
        <w:rPr>
          <w:rStyle w:val="a7"/>
        </w:rPr>
        <w:footnoteRef/>
      </w:r>
      <w:r>
        <w:rPr>
          <w:rtl/>
        </w:rPr>
        <w:t xml:space="preserve"> </w:t>
      </w:r>
      <w:r w:rsidRPr="00410A12">
        <w:rPr>
          <w:rFonts w:cs="Arial"/>
          <w:rtl/>
        </w:rPr>
        <w:t>ועיין בחושן המשפט סימן שמ"ח (ד"מ אות ב, ג) אשה שגנבה משל בעלה ונתנה לאחרים והחזירו לה או עזרו לה להוציא הגניבה אימתי חייב לשלם לבעל וחילוקים שם בזה</w:t>
      </w:r>
      <w:r>
        <w:rPr>
          <w:rFonts w:hint="cs"/>
          <w:rtl/>
        </w:rPr>
        <w:t>, דרכ"מ (אות ב).</w:t>
      </w:r>
    </w:p>
  </w:footnote>
  <w:footnote w:id="1795">
    <w:p w14:paraId="0C1D4A94" w14:textId="77777777" w:rsidR="00DF1FC7" w:rsidRDefault="00DF1FC7" w:rsidP="002E5BAD">
      <w:pPr>
        <w:pStyle w:val="a5"/>
      </w:pPr>
      <w:r>
        <w:rPr>
          <w:rStyle w:val="a7"/>
        </w:rPr>
        <w:footnoteRef/>
      </w:r>
      <w:r>
        <w:rPr>
          <w:rtl/>
        </w:rPr>
        <w:t xml:space="preserve"> </w:t>
      </w:r>
      <w:r w:rsidRPr="00655722">
        <w:rPr>
          <w:rFonts w:cs="Arial"/>
          <w:rtl/>
        </w:rPr>
        <w:t xml:space="preserve">וכ' המגיד </w:t>
      </w:r>
      <w:r>
        <w:rPr>
          <w:rFonts w:cs="Arial" w:hint="cs"/>
          <w:rtl/>
        </w:rPr>
        <w:t>(</w:t>
      </w:r>
      <w:r w:rsidRPr="00655722">
        <w:rPr>
          <w:rFonts w:cs="Arial"/>
          <w:rtl/>
        </w:rPr>
        <w:t xml:space="preserve">ספ"ז </w:t>
      </w:r>
      <w:r>
        <w:rPr>
          <w:rFonts w:cs="Arial" w:hint="cs"/>
          <w:rtl/>
        </w:rPr>
        <w:t>מ</w:t>
      </w:r>
      <w:r w:rsidRPr="00655722">
        <w:rPr>
          <w:rFonts w:cs="Arial"/>
          <w:rtl/>
        </w:rPr>
        <w:t>ה"ש</w:t>
      </w:r>
      <w:r>
        <w:rPr>
          <w:rFonts w:cs="Arial" w:hint="cs"/>
          <w:rtl/>
        </w:rPr>
        <w:t>)</w:t>
      </w:r>
      <w:r w:rsidRPr="00655722">
        <w:rPr>
          <w:rFonts w:cs="Arial"/>
          <w:rtl/>
        </w:rPr>
        <w:t xml:space="preserve"> בשם רשב"א לדעת הרמב"ם דס"ל כל הממון שביד האשה בחזקת נ"מ הם</w:t>
      </w:r>
      <w:r>
        <w:rPr>
          <w:rFonts w:cs="Arial" w:hint="cs"/>
          <w:rtl/>
        </w:rPr>
        <w:t xml:space="preserve"> -</w:t>
      </w:r>
      <w:r w:rsidRPr="00655722">
        <w:rPr>
          <w:rFonts w:cs="Arial"/>
          <w:rtl/>
        </w:rPr>
        <w:t xml:space="preserve"> רשאי להחזיר לבעל הוא דתני</w:t>
      </w:r>
      <w:r>
        <w:rPr>
          <w:rFonts w:cs="Arial" w:hint="cs"/>
          <w:rtl/>
        </w:rPr>
        <w:t>א</w:t>
      </w:r>
      <w:r w:rsidRPr="00655722">
        <w:rPr>
          <w:rFonts w:cs="Arial"/>
          <w:rtl/>
        </w:rPr>
        <w:t xml:space="preserve"> יחזיר לאשה</w:t>
      </w:r>
      <w:r>
        <w:rPr>
          <w:rFonts w:cs="Arial" w:hint="cs"/>
          <w:rtl/>
        </w:rPr>
        <w:t>,</w:t>
      </w:r>
      <w:r w:rsidRPr="00655722">
        <w:rPr>
          <w:rFonts w:cs="Arial"/>
          <w:rtl/>
        </w:rPr>
        <w:t xml:space="preserve"> דלא תימ</w:t>
      </w:r>
      <w:r>
        <w:rPr>
          <w:rFonts w:cs="Arial" w:hint="cs"/>
          <w:rtl/>
        </w:rPr>
        <w:t>א</w:t>
      </w:r>
      <w:r w:rsidRPr="00655722">
        <w:rPr>
          <w:rFonts w:cs="Arial"/>
          <w:rtl/>
        </w:rPr>
        <w:t xml:space="preserve"> דאינו רשאי להחזיר לאשה קמ"ל דרשאי להחזיר לאיש או לאשה, וכתב הרא"ש אם הבעל רוצה ליתן חרם מי שקיבל פקדון מאשתו א</w:t>
      </w:r>
      <w:r>
        <w:rPr>
          <w:rFonts w:cs="Arial" w:hint="cs"/>
          <w:rtl/>
        </w:rPr>
        <w:t xml:space="preserve">ינו </w:t>
      </w:r>
      <w:r w:rsidRPr="00655722">
        <w:rPr>
          <w:rFonts w:cs="Arial"/>
          <w:rtl/>
        </w:rPr>
        <w:t>י</w:t>
      </w:r>
      <w:r>
        <w:rPr>
          <w:rFonts w:cs="Arial" w:hint="cs"/>
          <w:rtl/>
        </w:rPr>
        <w:t>כול,</w:t>
      </w:r>
      <w:r w:rsidRPr="00655722">
        <w:rPr>
          <w:rFonts w:cs="Arial"/>
          <w:rtl/>
        </w:rPr>
        <w:t xml:space="preserve"> כיון דאין המפקיד צריך להחזיר לידו</w:t>
      </w:r>
      <w:r>
        <w:rPr>
          <w:rFonts w:cs="Arial" w:hint="cs"/>
          <w:rtl/>
        </w:rPr>
        <w:t>.</w:t>
      </w:r>
      <w:r w:rsidRPr="00655722">
        <w:rPr>
          <w:rFonts w:cs="Arial"/>
          <w:rtl/>
        </w:rPr>
        <w:t xml:space="preserve"> מיהו לשיטות הרמב"ם י"ל דיכול ליתן חרם דהא הפירות עכ"פ שלו הם</w:t>
      </w:r>
      <w:r>
        <w:rPr>
          <w:rFonts w:cs="Arial" w:hint="cs"/>
          <w:rtl/>
        </w:rPr>
        <w:t>, ב"ש (סק"ב).</w:t>
      </w:r>
    </w:p>
  </w:footnote>
  <w:footnote w:id="1796">
    <w:p w14:paraId="5AC2C3EA" w14:textId="77777777" w:rsidR="00DF1FC7" w:rsidRDefault="00DF1FC7" w:rsidP="002E5BAD">
      <w:pPr>
        <w:pStyle w:val="a5"/>
        <w:rPr>
          <w:rtl/>
        </w:rPr>
      </w:pPr>
      <w:r>
        <w:rPr>
          <w:rStyle w:val="a7"/>
        </w:rPr>
        <w:footnoteRef/>
      </w:r>
      <w:r>
        <w:rPr>
          <w:rtl/>
        </w:rPr>
        <w:t xml:space="preserve"> </w:t>
      </w:r>
      <w:r w:rsidRPr="00F1275D">
        <w:rPr>
          <w:rFonts w:cs="Arial"/>
          <w:rtl/>
        </w:rPr>
        <w:t>וכ' המגיד ספ"ז ה"ש בשם רשב"א לדעת הרמב"ם דס"ל כל הממון שביד האשה בחזקת נ"מ הם רשאי להחזיר לבעל הוא דתני' יחזיר לאשה דלא תימ' דאינו רשאי להחזיר לאשה קמ"ל דרשאי להחזיר לאיש או לאשה, וכתב הרא"ש אם הבעל רוצה ליתן חרם מי שקיבל פקדון מאשתו א"י כיון דאין המפקיד צריך להחזיר לידו מיהו לשיטות הרמב"ם י"ל דיכול ליתן חרם דהא הפירות עכ"פ שלו הם</w:t>
      </w:r>
      <w:r>
        <w:rPr>
          <w:rFonts w:hint="cs"/>
          <w:rtl/>
        </w:rPr>
        <w:t>, ב"ש (סק"ג).</w:t>
      </w:r>
    </w:p>
  </w:footnote>
  <w:footnote w:id="1797">
    <w:p w14:paraId="7CE2D207" w14:textId="77777777" w:rsidR="00DF1FC7" w:rsidRDefault="00DF1FC7" w:rsidP="002E5BAD">
      <w:pPr>
        <w:pStyle w:val="a5"/>
      </w:pPr>
      <w:r>
        <w:rPr>
          <w:rStyle w:val="a7"/>
        </w:rPr>
        <w:footnoteRef/>
      </w:r>
      <w:r>
        <w:rPr>
          <w:rtl/>
        </w:rPr>
        <w:t xml:space="preserve"> </w:t>
      </w:r>
      <w:r w:rsidRPr="00F1275D">
        <w:rPr>
          <w:rFonts w:cs="Arial"/>
          <w:rtl/>
        </w:rPr>
        <w:t>לא אתי' כרמב"ם דלדידיה רשאי להחזיר לבעלה ואפשר אם אמרה דגנבה</w:t>
      </w:r>
      <w:r>
        <w:rPr>
          <w:rFonts w:cs="Arial" w:hint="cs"/>
          <w:rtl/>
        </w:rPr>
        <w:t xml:space="preserve"> </w:t>
      </w:r>
      <w:r w:rsidRPr="00F1275D">
        <w:rPr>
          <w:rFonts w:cs="Arial"/>
          <w:rtl/>
        </w:rPr>
        <w:t>ורוצה להחזיר בהם גרע טפי</w:t>
      </w:r>
      <w:r>
        <w:rPr>
          <w:rFonts w:cs="Arial" w:hint="cs"/>
          <w:rtl/>
        </w:rPr>
        <w:t>, ב"ש (סק"ד).</w:t>
      </w:r>
    </w:p>
  </w:footnote>
  <w:footnote w:id="1798">
    <w:p w14:paraId="24A05792" w14:textId="77777777" w:rsidR="00DF1FC7" w:rsidRDefault="00DF1FC7" w:rsidP="002E5BAD">
      <w:pPr>
        <w:pStyle w:val="a5"/>
      </w:pPr>
      <w:r>
        <w:rPr>
          <w:rStyle w:val="a7"/>
        </w:rPr>
        <w:footnoteRef/>
      </w:r>
      <w:r>
        <w:rPr>
          <w:rtl/>
        </w:rPr>
        <w:t xml:space="preserve"> </w:t>
      </w:r>
      <w:r w:rsidRPr="00D43D3C">
        <w:rPr>
          <w:rFonts w:cs="Arial"/>
          <w:rtl/>
        </w:rPr>
        <w:t>כלו</w:t>
      </w:r>
      <w:r>
        <w:rPr>
          <w:rFonts w:cs="Arial" w:hint="cs"/>
          <w:rtl/>
        </w:rPr>
        <w:t>מר</w:t>
      </w:r>
      <w:r w:rsidRPr="00D43D3C">
        <w:rPr>
          <w:rFonts w:cs="Arial"/>
          <w:rtl/>
        </w:rPr>
        <w:t xml:space="preserve"> אם מתה בלא צוואה יתן ליורשיה</w:t>
      </w:r>
      <w:r>
        <w:rPr>
          <w:rFonts w:cs="Arial" w:hint="cs"/>
          <w:rtl/>
        </w:rPr>
        <w:t>, ח"מ (סק"ד).</w:t>
      </w:r>
    </w:p>
  </w:footnote>
  <w:footnote w:id="1799">
    <w:p w14:paraId="364C4DC9" w14:textId="77777777" w:rsidR="00DF1FC7" w:rsidRDefault="00DF1FC7" w:rsidP="002E5BAD">
      <w:pPr>
        <w:pStyle w:val="a5"/>
      </w:pPr>
      <w:r>
        <w:rPr>
          <w:rStyle w:val="a7"/>
        </w:rPr>
        <w:footnoteRef/>
      </w:r>
      <w:r>
        <w:rPr>
          <w:rtl/>
        </w:rPr>
        <w:t xml:space="preserve"> </w:t>
      </w:r>
      <w:r w:rsidRPr="00F1275D">
        <w:rPr>
          <w:rFonts w:cs="Arial"/>
          <w:rtl/>
        </w:rPr>
        <w:t>דמאחר שנתבאר בח"מ סי' ס"ב דכל אשה הנושאת ונותנת תוך הבית שנמצאו מטלטלין ברשותה עליה להביא ראיה שיש לה ממון מיוחד שתוכל לטעון מה שנמצ' בידו מן הממון המיוחד לי הוא וכל זמן שלא תביא ראיה הכל בחזקת בעלה הוא וא"כ מכ"ש אם הפקידה ביד אחרים שיכול הבעל לעכב שלא להחזיר לה רק לו</w:t>
      </w:r>
      <w:r>
        <w:rPr>
          <w:rFonts w:cs="Arial" w:hint="cs"/>
          <w:rtl/>
        </w:rPr>
        <w:t>, ח"מ (סק"ה).</w:t>
      </w:r>
    </w:p>
  </w:footnote>
  <w:footnote w:id="1800">
    <w:p w14:paraId="2850F861" w14:textId="77777777" w:rsidR="00DF1FC7" w:rsidRDefault="00DF1FC7" w:rsidP="002E5BAD">
      <w:pPr>
        <w:pStyle w:val="a5"/>
      </w:pPr>
      <w:r>
        <w:rPr>
          <w:rStyle w:val="a7"/>
        </w:rPr>
        <w:footnoteRef/>
      </w:r>
      <w:r>
        <w:rPr>
          <w:rtl/>
        </w:rPr>
        <w:t xml:space="preserve"> </w:t>
      </w:r>
      <w:r w:rsidRPr="009B617A">
        <w:rPr>
          <w:rFonts w:cs="Arial"/>
          <w:rtl/>
        </w:rPr>
        <w:t>ה"ה דאינה נאמנת לומר שלה הם. וכתב מהר"ם אלשיך סימן י"ט דוק' באשה הוא דין זה מפני שחזקתה שגונבת משל בעלה. אבל בבן גדול נושא ונותן בנכסי אביו מחזקינן ליה בשלו ע"ש. ולכאורה לא משמע כן. מש"ע ח"מ סי' ס"ב ע"ש</w:t>
      </w:r>
      <w:r>
        <w:rPr>
          <w:rFonts w:hint="cs"/>
          <w:rtl/>
        </w:rPr>
        <w:t>, באה"ט (סק"ג).</w:t>
      </w:r>
    </w:p>
  </w:footnote>
  <w:footnote w:id="1801">
    <w:p w14:paraId="45556B58" w14:textId="77777777" w:rsidR="00DF1FC7" w:rsidRDefault="00DF1FC7" w:rsidP="002E5BAD">
      <w:pPr>
        <w:pStyle w:val="a5"/>
        <w:rPr>
          <w:rtl/>
        </w:rPr>
      </w:pPr>
      <w:r>
        <w:rPr>
          <w:rStyle w:val="a7"/>
        </w:rPr>
        <w:footnoteRef/>
      </w:r>
      <w:r>
        <w:rPr>
          <w:rtl/>
        </w:rPr>
        <w:t xml:space="preserve"> </w:t>
      </w:r>
      <w:r w:rsidRPr="00844CBF">
        <w:rPr>
          <w:rFonts w:cs="Arial"/>
          <w:rtl/>
        </w:rPr>
        <w:t>הריב"ש מביא ראיה לדין זה מדברי הרמב"ם דס"ל חזקה כל מה שביד האשה הוא בחזקת נ"מ אפי' אין נושאת ונותנת ומ"מ מחזירים לידה כן ה"נ בנושאת לשאר פוסקים, מיהו יש לפקפק בשלמ' לשיטות הרמב"ם יחזיר להאשה משום של אשה הוא אלא הפירות שייך לבעל לכן יחזיר לה אבל הנושאת ונותנת הוא של הבעל י"ל דלא יחזיר לה וכן הקשה בח"מ</w:t>
      </w:r>
      <w:r>
        <w:rPr>
          <w:rFonts w:cs="Arial" w:hint="cs"/>
          <w:rtl/>
        </w:rPr>
        <w:t xml:space="preserve"> (סק"ו)</w:t>
      </w:r>
      <w:r>
        <w:rPr>
          <w:rFonts w:hint="cs"/>
          <w:rtl/>
        </w:rPr>
        <w:t>, ב"ש (סק"ז).</w:t>
      </w:r>
    </w:p>
  </w:footnote>
  <w:footnote w:id="1802">
    <w:p w14:paraId="7903DB18" w14:textId="77777777" w:rsidR="00DF1FC7" w:rsidRDefault="00DF1FC7" w:rsidP="002E5BAD">
      <w:pPr>
        <w:pStyle w:val="a5"/>
      </w:pPr>
      <w:r>
        <w:rPr>
          <w:rStyle w:val="a7"/>
        </w:rPr>
        <w:footnoteRef/>
      </w:r>
      <w:r>
        <w:rPr>
          <w:rtl/>
        </w:rPr>
        <w:t xml:space="preserve"> </w:t>
      </w:r>
      <w:r w:rsidRPr="00E949A3">
        <w:rPr>
          <w:rFonts w:cs="Arial"/>
          <w:rtl/>
        </w:rPr>
        <w:t>לשיטות הרמב"ם המעות הם בתורת נ"מ אפי' במעות טמונים. ולשאר פוסקים</w:t>
      </w:r>
      <w:r>
        <w:rPr>
          <w:rFonts w:cs="Arial" w:hint="cs"/>
          <w:rtl/>
        </w:rPr>
        <w:t xml:space="preserve"> -</w:t>
      </w:r>
      <w:r w:rsidRPr="00E949A3">
        <w:rPr>
          <w:rFonts w:cs="Arial"/>
          <w:rtl/>
        </w:rPr>
        <w:t xml:space="preserve"> במעות טמונים אם הבעל רוצה </w:t>
      </w:r>
      <w:r>
        <w:rPr>
          <w:rFonts w:cs="Arial" w:hint="cs"/>
          <w:rtl/>
        </w:rPr>
        <w:t xml:space="preserve">יכול </w:t>
      </w:r>
      <w:r w:rsidRPr="00E949A3">
        <w:rPr>
          <w:rFonts w:cs="Arial"/>
          <w:rtl/>
        </w:rPr>
        <w:t>להחזיק בהם ויאמר שלו הם לגמרי. ובמעות גלוים לא מהני מה שנתן לבעל</w:t>
      </w:r>
      <w:r>
        <w:rPr>
          <w:rFonts w:cs="Arial" w:hint="cs"/>
          <w:rtl/>
        </w:rPr>
        <w:t>,</w:t>
      </w:r>
      <w:r w:rsidRPr="00E949A3">
        <w:rPr>
          <w:rFonts w:cs="Arial"/>
          <w:rtl/>
        </w:rPr>
        <w:t xml:space="preserve"> עיין</w:t>
      </w:r>
      <w:r>
        <w:rPr>
          <w:rFonts w:cs="Arial" w:hint="cs"/>
          <w:rtl/>
        </w:rPr>
        <w:t xml:space="preserve"> ב"ש (סק"ח), באה"ט (סק"ה).</w:t>
      </w:r>
      <w:r>
        <w:rPr>
          <w:rFonts w:hint="cs"/>
          <w:rtl/>
        </w:rPr>
        <w:t xml:space="preserve"> וכ"כ הח"מ (סק"י).</w:t>
      </w:r>
    </w:p>
  </w:footnote>
  <w:footnote w:id="1803">
    <w:p w14:paraId="23F9168A" w14:textId="77777777" w:rsidR="00DF1FC7" w:rsidRDefault="00DF1FC7" w:rsidP="002E5BAD">
      <w:pPr>
        <w:pStyle w:val="a5"/>
      </w:pPr>
      <w:r>
        <w:rPr>
          <w:rStyle w:val="a7"/>
        </w:rPr>
        <w:footnoteRef/>
      </w:r>
      <w:r w:rsidRPr="004D4D0D">
        <w:rPr>
          <w:rFonts w:cs="Arial"/>
          <w:rtl/>
        </w:rPr>
        <w:t xml:space="preserve"> כבר נתבאר בסמוך שזהו דעת ר"ש</w:t>
      </w:r>
      <w:r>
        <w:rPr>
          <w:rFonts w:cs="Arial" w:hint="cs"/>
          <w:rtl/>
        </w:rPr>
        <w:t>,</w:t>
      </w:r>
      <w:r w:rsidRPr="004D4D0D">
        <w:rPr>
          <w:rFonts w:cs="Arial"/>
          <w:rtl/>
        </w:rPr>
        <w:t xml:space="preserve"> וכבר נתבאר בסימן פ"ה </w:t>
      </w:r>
      <w:r w:rsidRPr="00731053">
        <w:rPr>
          <w:rFonts w:cs="Arial"/>
          <w:sz w:val="16"/>
          <w:szCs w:val="16"/>
          <w:rtl/>
        </w:rPr>
        <w:t>(קכד: ד"ה מכר</w:t>
      </w:r>
      <w:r w:rsidRPr="00731053">
        <w:rPr>
          <w:rFonts w:cs="Arial" w:hint="cs"/>
          <w:sz w:val="16"/>
          <w:szCs w:val="16"/>
          <w:rtl/>
        </w:rPr>
        <w:t>, סע' ט מסעיפי השו"ע</w:t>
      </w:r>
      <w:r w:rsidRPr="00731053">
        <w:rPr>
          <w:rFonts w:cs="Arial"/>
          <w:sz w:val="16"/>
          <w:szCs w:val="16"/>
          <w:rtl/>
        </w:rPr>
        <w:t xml:space="preserve">) </w:t>
      </w:r>
      <w:r w:rsidRPr="004D4D0D">
        <w:rPr>
          <w:rFonts w:cs="Arial"/>
          <w:rtl/>
        </w:rPr>
        <w:t xml:space="preserve">שזה דעת הרשב"א </w:t>
      </w:r>
      <w:r w:rsidRPr="00731053">
        <w:rPr>
          <w:rFonts w:cs="Arial"/>
          <w:sz w:val="16"/>
          <w:szCs w:val="16"/>
          <w:rtl/>
        </w:rPr>
        <w:t xml:space="preserve">(נא. ד"ה שאני התם) </w:t>
      </w:r>
      <w:r w:rsidRPr="004D4D0D">
        <w:rPr>
          <w:rFonts w:cs="Arial"/>
          <w:rtl/>
        </w:rPr>
        <w:t>וקצת מפרשים</w:t>
      </w:r>
      <w:r>
        <w:rPr>
          <w:rFonts w:cs="Arial" w:hint="cs"/>
          <w:rtl/>
        </w:rPr>
        <w:t>,</w:t>
      </w:r>
      <w:r w:rsidRPr="004D4D0D">
        <w:rPr>
          <w:rFonts w:cs="Arial"/>
          <w:rtl/>
        </w:rPr>
        <w:t xml:space="preserve"> ושהרמב"ם</w:t>
      </w:r>
      <w:r w:rsidRPr="00731053">
        <w:rPr>
          <w:rFonts w:cs="Arial"/>
          <w:sz w:val="16"/>
          <w:szCs w:val="16"/>
          <w:rtl/>
        </w:rPr>
        <w:t xml:space="preserve"> (פ"ב ממלוה ה"ח</w:t>
      </w:r>
      <w:r w:rsidRPr="00731053">
        <w:rPr>
          <w:rFonts w:cs="Arial" w:hint="cs"/>
          <w:sz w:val="16"/>
          <w:szCs w:val="16"/>
          <w:rtl/>
        </w:rPr>
        <w:t>, כ"כ בשמו הה"מ [פכ"ב מאישות הכ"ט]</w:t>
      </w:r>
      <w:r w:rsidRPr="00731053">
        <w:rPr>
          <w:rFonts w:cs="Arial"/>
          <w:sz w:val="16"/>
          <w:szCs w:val="16"/>
          <w:rtl/>
        </w:rPr>
        <w:t>)</w:t>
      </w:r>
      <w:r w:rsidRPr="004D4D0D">
        <w:rPr>
          <w:rFonts w:cs="Arial"/>
          <w:rtl/>
        </w:rPr>
        <w:t xml:space="preserve"> נראה שחולק בדבר</w:t>
      </w:r>
      <w:r>
        <w:rPr>
          <w:rFonts w:cs="Arial" w:hint="cs"/>
          <w:rtl/>
        </w:rPr>
        <w:t>, ב"י.</w:t>
      </w:r>
    </w:p>
  </w:footnote>
  <w:footnote w:id="1804">
    <w:p w14:paraId="25E2787D" w14:textId="77777777" w:rsidR="00DF1FC7" w:rsidRDefault="00DF1FC7" w:rsidP="002E5BAD">
      <w:pPr>
        <w:pStyle w:val="a5"/>
      </w:pPr>
      <w:r>
        <w:rPr>
          <w:rStyle w:val="a7"/>
        </w:rPr>
        <w:footnoteRef/>
      </w:r>
      <w:r>
        <w:rPr>
          <w:rtl/>
        </w:rPr>
        <w:t xml:space="preserve"> </w:t>
      </w:r>
      <w:r w:rsidRPr="00A03108">
        <w:rPr>
          <w:rFonts w:cs="Arial"/>
          <w:rtl/>
        </w:rPr>
        <w:t>מדאמרינן לעיל (נא.) לוה מן האשה אין לה עליו כלום ואם היתה נאמנת להוציא מידו דבר שהוא בחזקתו ולומר של פלוני הוא תהא גם נאמנת לומר שלי הוא במגו דאי בעיא אמרה אחרים הפקידו בידי דאין צריכה לומר מי הם האחרים וישאר לעולם בידיה כך פר"י</w:t>
      </w:r>
      <w:r>
        <w:rPr>
          <w:rFonts w:cs="Arial" w:hint="cs"/>
          <w:rtl/>
        </w:rPr>
        <w:t xml:space="preserve">, רא"ש (שם). </w:t>
      </w:r>
    </w:p>
  </w:footnote>
  <w:footnote w:id="1805">
    <w:p w14:paraId="7C350A67" w14:textId="77777777" w:rsidR="00DF1FC7" w:rsidRDefault="00DF1FC7" w:rsidP="002E5BAD">
      <w:pPr>
        <w:pStyle w:val="a5"/>
        <w:rPr>
          <w:rtl/>
        </w:rPr>
      </w:pPr>
      <w:r>
        <w:rPr>
          <w:rStyle w:val="a7"/>
        </w:rPr>
        <w:footnoteRef/>
      </w:r>
      <w:r>
        <w:rPr>
          <w:rtl/>
        </w:rPr>
        <w:t xml:space="preserve"> </w:t>
      </w:r>
      <w:r>
        <w:rPr>
          <w:rFonts w:hint="cs"/>
          <w:rtl/>
        </w:rPr>
        <w:t xml:space="preserve">לאחר דברי ר"י הביא הרא"ש את קושיית ר"ש על ר"י, וז"ל- </w:t>
      </w:r>
      <w:r w:rsidRPr="00B05B26">
        <w:rPr>
          <w:rFonts w:cs="Arial"/>
          <w:rtl/>
        </w:rPr>
        <w:t>והקשה רבינו שמשון א"כ במעות שאינן טמונין אמאי קנתה כי היכי דאמר (נא:) בטמונין לא קנתה דלגלויי זוזי הוא דבעי ה"נ באינן טמונין להוציאם מידה הוא דבעי שלא היה יכול להוציאם מידה בענין אחר ותירץ</w:t>
      </w:r>
      <w:r>
        <w:rPr>
          <w:rFonts w:hint="cs"/>
          <w:rtl/>
        </w:rPr>
        <w:t xml:space="preserve"> ד-...</w:t>
      </w:r>
    </w:p>
  </w:footnote>
  <w:footnote w:id="1806">
    <w:p w14:paraId="19DD1E10" w14:textId="77777777" w:rsidR="00DF1FC7" w:rsidRDefault="00DF1FC7" w:rsidP="002E5BAD">
      <w:pPr>
        <w:pStyle w:val="a5"/>
        <w:rPr>
          <w:rtl/>
        </w:rPr>
      </w:pPr>
      <w:r>
        <w:rPr>
          <w:rStyle w:val="a7"/>
        </w:rPr>
        <w:footnoteRef/>
      </w:r>
      <w:r>
        <w:rPr>
          <w:rtl/>
        </w:rPr>
        <w:t xml:space="preserve"> </w:t>
      </w:r>
      <w:r w:rsidRPr="00410A12">
        <w:rPr>
          <w:rFonts w:cs="Arial"/>
          <w:rtl/>
        </w:rPr>
        <w:t>ועיין לעיל סי' פה (אות ד) כתבתי דעות שאר הפוסקים בזה</w:t>
      </w:r>
      <w:r>
        <w:rPr>
          <w:rFonts w:cs="Arial" w:hint="cs"/>
          <w:rtl/>
        </w:rPr>
        <w:t xml:space="preserve">, דרכ"מ </w:t>
      </w:r>
      <w:r w:rsidRPr="00410A12">
        <w:rPr>
          <w:rFonts w:cs="Arial"/>
          <w:rtl/>
        </w:rPr>
        <w:t>(</w:t>
      </w:r>
      <w:r>
        <w:rPr>
          <w:rFonts w:cs="Arial" w:hint="cs"/>
          <w:rtl/>
        </w:rPr>
        <w:t xml:space="preserve">אות </w:t>
      </w:r>
      <w:r w:rsidRPr="00410A12">
        <w:rPr>
          <w:rFonts w:cs="Arial"/>
          <w:rtl/>
        </w:rPr>
        <w:t>ב*)</w:t>
      </w:r>
      <w:r>
        <w:rPr>
          <w:rFonts w:cs="Arial" w:hint="cs"/>
          <w:rtl/>
        </w:rPr>
        <w:t>.</w:t>
      </w:r>
    </w:p>
  </w:footnote>
  <w:footnote w:id="1807">
    <w:p w14:paraId="52D6FD0A" w14:textId="77777777" w:rsidR="00DF1FC7" w:rsidRDefault="00DF1FC7" w:rsidP="002E5BAD">
      <w:pPr>
        <w:pStyle w:val="a5"/>
        <w:rPr>
          <w:rtl/>
        </w:rPr>
      </w:pPr>
      <w:r>
        <w:rPr>
          <w:rStyle w:val="a7"/>
        </w:rPr>
        <w:footnoteRef/>
      </w:r>
      <w:r w:rsidRPr="00410A12">
        <w:rPr>
          <w:rFonts w:cs="Arial"/>
          <w:rtl/>
        </w:rPr>
        <w:t xml:space="preserve"> ע"ל בסמוך (אות ח) תשובת הרשב"א דסתם אשה מיקרי נושאת ונותנת תוך הבית</w:t>
      </w:r>
      <w:r>
        <w:rPr>
          <w:rFonts w:cs="Arial" w:hint="cs"/>
          <w:rtl/>
        </w:rPr>
        <w:t>.</w:t>
      </w:r>
      <w:r w:rsidRPr="00410A12">
        <w:rPr>
          <w:rFonts w:cs="Arial"/>
          <w:rtl/>
        </w:rPr>
        <w:t xml:space="preserve"> וכן הוא במרדכי פרק חזקת (סי' תקמו)</w:t>
      </w:r>
      <w:r>
        <w:rPr>
          <w:rFonts w:cs="Arial" w:hint="cs"/>
          <w:rtl/>
        </w:rPr>
        <w:t>.</w:t>
      </w:r>
      <w:r w:rsidRPr="00410A12">
        <w:rPr>
          <w:rFonts w:cs="Arial"/>
          <w:rtl/>
        </w:rPr>
        <w:t xml:space="preserve"> וכתב שם דלא מהמני אפילו בשבועה לומר של פלוני הם</w:t>
      </w:r>
      <w:r>
        <w:rPr>
          <w:rFonts w:cs="Arial" w:hint="cs"/>
          <w:rtl/>
        </w:rPr>
        <w:t>, דרכ"מ (אות ד).</w:t>
      </w:r>
    </w:p>
  </w:footnote>
  <w:footnote w:id="1808">
    <w:p w14:paraId="1CB64F70" w14:textId="77777777" w:rsidR="00DF1FC7" w:rsidRDefault="00DF1FC7" w:rsidP="002E5BAD">
      <w:pPr>
        <w:pStyle w:val="a5"/>
      </w:pPr>
      <w:r>
        <w:rPr>
          <w:rStyle w:val="a7"/>
        </w:rPr>
        <w:footnoteRef/>
      </w:r>
      <w:r>
        <w:rPr>
          <w:rtl/>
        </w:rPr>
        <w:t xml:space="preserve"> </w:t>
      </w:r>
      <w:r>
        <w:rPr>
          <w:rFonts w:hint="cs"/>
          <w:rtl/>
        </w:rPr>
        <w:t>הטור הכתב את הדברים הללו לאחר מה שכתב על בעל שלוה מאשתו וכו', וצ"ע אם כוונתו דווקא בדין זה (וכן נראה מהרמ"א, שפסק כאן כהרא"ש והטור ובסע' א פסק כהריב"ש) או שכוונתו שבכל הדינים אינה נאמנת.</w:t>
      </w:r>
    </w:p>
  </w:footnote>
  <w:footnote w:id="1809">
    <w:p w14:paraId="19123742" w14:textId="77777777" w:rsidR="00DF1FC7" w:rsidRDefault="00DF1FC7" w:rsidP="002E5BAD">
      <w:pPr>
        <w:pStyle w:val="a5"/>
        <w:rPr>
          <w:rtl/>
        </w:rPr>
      </w:pPr>
      <w:r>
        <w:rPr>
          <w:rStyle w:val="a7"/>
        </w:rPr>
        <w:footnoteRef/>
      </w:r>
      <w:r>
        <w:rPr>
          <w:rtl/>
        </w:rPr>
        <w:t xml:space="preserve"> </w:t>
      </w:r>
      <w:r w:rsidRPr="00410A12">
        <w:rPr>
          <w:rFonts w:cs="Arial"/>
          <w:rtl/>
        </w:rPr>
        <w:t>והרשב"א כתב בתשובה (ח"א) סימן תתקנ"ז דוקא שהיא בחזקת שיש לה נכסי מלוג וטוענת כן אז הדין עמה אבל אם אינה מוחזקת בכך עליה להביא ראיה ואינה נאמנת אפילו בשבועה דכל מה שיש לאשה בחזקת בעלה הוא כי סתם אשה נושאת ונותנת תוך הבית ועוד האריך בזה</w:t>
      </w:r>
      <w:r>
        <w:rPr>
          <w:rFonts w:cs="Arial" w:hint="cs"/>
          <w:rtl/>
        </w:rPr>
        <w:t>, דרכ"מ (אות ח).</w:t>
      </w:r>
    </w:p>
  </w:footnote>
  <w:footnote w:id="1810">
    <w:p w14:paraId="6ADEA1F6" w14:textId="77777777" w:rsidR="00DF1FC7" w:rsidRDefault="00DF1FC7" w:rsidP="002E5BAD">
      <w:pPr>
        <w:pStyle w:val="a5"/>
        <w:rPr>
          <w:rtl/>
        </w:rPr>
      </w:pPr>
      <w:r>
        <w:rPr>
          <w:rStyle w:val="a7"/>
        </w:rPr>
        <w:footnoteRef/>
      </w:r>
      <w:r>
        <w:rPr>
          <w:rtl/>
        </w:rPr>
        <w:t xml:space="preserve"> </w:t>
      </w:r>
      <w:r>
        <w:rPr>
          <w:rFonts w:cs="Arial" w:hint="cs"/>
          <w:rtl/>
        </w:rPr>
        <w:t>ו</w:t>
      </w:r>
      <w:r w:rsidRPr="00E516EC">
        <w:rPr>
          <w:rFonts w:cs="Arial"/>
          <w:rtl/>
        </w:rPr>
        <w:t>נ"ל דוקא כשאין דרכה להשכין דאז חזקתו גנוב</w:t>
      </w:r>
      <w:r>
        <w:rPr>
          <w:rFonts w:cs="Arial" w:hint="cs"/>
          <w:rtl/>
        </w:rPr>
        <w:t>,</w:t>
      </w:r>
      <w:r w:rsidRPr="00E516EC">
        <w:rPr>
          <w:rFonts w:cs="Arial"/>
          <w:rtl/>
        </w:rPr>
        <w:t xml:space="preserve"> אבל אם דרכה בכך מסתמא הוא ברשות בעלה ומה שעשתה עשוי</w:t>
      </w:r>
      <w:r>
        <w:rPr>
          <w:rFonts w:cs="Arial" w:hint="cs"/>
          <w:rtl/>
        </w:rPr>
        <w:t>,</w:t>
      </w:r>
      <w:r w:rsidRPr="00E516EC">
        <w:rPr>
          <w:rFonts w:cs="Arial"/>
          <w:rtl/>
        </w:rPr>
        <w:t xml:space="preserve"> ועיין לקמן סימן צ' (עמ' שצב - שצג) בדין מכירת נכסיה</w:t>
      </w:r>
      <w:r>
        <w:rPr>
          <w:rFonts w:cs="Arial" w:hint="cs"/>
          <w:rtl/>
        </w:rPr>
        <w:t>, דרכ"מ (אות ג).</w:t>
      </w:r>
    </w:p>
  </w:footnote>
  <w:footnote w:id="1811">
    <w:p w14:paraId="79F8430A" w14:textId="77777777" w:rsidR="00DF1FC7" w:rsidRDefault="00DF1FC7" w:rsidP="002E5BAD">
      <w:pPr>
        <w:pStyle w:val="a5"/>
        <w:rPr>
          <w:rtl/>
        </w:rPr>
      </w:pPr>
      <w:r>
        <w:rPr>
          <w:rStyle w:val="a7"/>
        </w:rPr>
        <w:footnoteRef/>
      </w:r>
      <w:r w:rsidRPr="00410A12">
        <w:rPr>
          <w:rFonts w:cs="Arial"/>
          <w:rtl/>
        </w:rPr>
        <w:t xml:space="preserve"> ועיין בתשובת (הרשב"א המיוחסות) הרמב"ן סימן מ"ה אם נתן מתנה לבתו על תנאי שלא יירשנה בעלה כיצד יכתוב השטר שיהא השטר קיים ועיין שם</w:t>
      </w:r>
      <w:r>
        <w:rPr>
          <w:rFonts w:cs="Arial" w:hint="cs"/>
          <w:rtl/>
        </w:rPr>
        <w:t>, דרכ"מ (אות ה).</w:t>
      </w:r>
    </w:p>
  </w:footnote>
  <w:footnote w:id="1812">
    <w:p w14:paraId="4430CD65" w14:textId="77777777" w:rsidR="00DF1FC7" w:rsidRDefault="00DF1FC7" w:rsidP="002E5BAD">
      <w:pPr>
        <w:pStyle w:val="a5"/>
        <w:rPr>
          <w:rtl/>
        </w:rPr>
      </w:pPr>
      <w:r>
        <w:rPr>
          <w:rStyle w:val="a7"/>
        </w:rPr>
        <w:footnoteRef/>
      </w:r>
      <w:r>
        <w:rPr>
          <w:rtl/>
        </w:rPr>
        <w:t xml:space="preserve"> </w:t>
      </w:r>
      <w:r w:rsidRPr="00410A12">
        <w:rPr>
          <w:rFonts w:cs="Arial"/>
          <w:rtl/>
        </w:rPr>
        <w:t>אמנם בתשובת הרשב"א (ח"א) סימן תתע"ט משמע דטוענין ליתומים דשלה היו ואפילו באשה שנשאה ונתנה בתוך הבית אף על גב דהיא אינה נאמנת לטעון מכל מקום ליתומים טוענין וע"ש וכן פסק הריב"ש בתשובה סימן קס"ט</w:t>
      </w:r>
      <w:r>
        <w:rPr>
          <w:rFonts w:cs="Arial" w:hint="cs"/>
          <w:rtl/>
        </w:rPr>
        <w:t>, דרכ"מ (אות ו).</w:t>
      </w:r>
    </w:p>
  </w:footnote>
  <w:footnote w:id="1813">
    <w:p w14:paraId="1F4471C9" w14:textId="77777777" w:rsidR="00DF1FC7" w:rsidRDefault="00DF1FC7" w:rsidP="002E5BAD">
      <w:pPr>
        <w:pStyle w:val="a5"/>
        <w:rPr>
          <w:rtl/>
        </w:rPr>
      </w:pPr>
      <w:r>
        <w:rPr>
          <w:rStyle w:val="a7"/>
        </w:rPr>
        <w:footnoteRef/>
      </w:r>
      <w:r>
        <w:rPr>
          <w:rtl/>
        </w:rPr>
        <w:t xml:space="preserve"> </w:t>
      </w:r>
      <w:r w:rsidRPr="00410A12">
        <w:rPr>
          <w:rFonts w:cs="Arial"/>
          <w:rtl/>
        </w:rPr>
        <w:t>ועיין עוד במיוחסות סי</w:t>
      </w:r>
      <w:r>
        <w:rPr>
          <w:rFonts w:cs="Arial" w:hint="cs"/>
          <w:rtl/>
        </w:rPr>
        <w:t>'</w:t>
      </w:r>
      <w:r w:rsidRPr="00410A12">
        <w:rPr>
          <w:rFonts w:cs="Arial"/>
          <w:rtl/>
        </w:rPr>
        <w:t xml:space="preserve"> מ"ב ובתשובת הרשב"א (ח"א) סימן תתקצ"ו מדינים אלו</w:t>
      </w:r>
      <w:r>
        <w:rPr>
          <w:rFonts w:cs="Arial" w:hint="cs"/>
          <w:rtl/>
        </w:rPr>
        <w:t>,</w:t>
      </w:r>
      <w:r w:rsidRPr="00410A12">
        <w:rPr>
          <w:rFonts w:cs="Arial"/>
          <w:rtl/>
        </w:rPr>
        <w:t xml:space="preserve"> ועיין בחושן המשפט סימן ס"ב וס"ד מקצת דינים אלו</w:t>
      </w:r>
      <w:r>
        <w:rPr>
          <w:rFonts w:cs="Arial" w:hint="cs"/>
          <w:rtl/>
        </w:rPr>
        <w:t>, דרכ"מ (אות ז).</w:t>
      </w:r>
    </w:p>
  </w:footnote>
  <w:footnote w:id="1814">
    <w:p w14:paraId="1FCDFA8C" w14:textId="77777777" w:rsidR="00DF1FC7" w:rsidRDefault="00DF1FC7" w:rsidP="002E5BAD">
      <w:pPr>
        <w:pStyle w:val="a5"/>
        <w:rPr>
          <w:rtl/>
        </w:rPr>
      </w:pPr>
      <w:r>
        <w:rPr>
          <w:rStyle w:val="a7"/>
        </w:rPr>
        <w:footnoteRef/>
      </w:r>
      <w:r>
        <w:rPr>
          <w:rtl/>
        </w:rPr>
        <w:t xml:space="preserve"> </w:t>
      </w:r>
      <w:r w:rsidRPr="00410A12">
        <w:rPr>
          <w:rFonts w:cs="Arial"/>
          <w:rtl/>
        </w:rPr>
        <w:t>וע"ש בטעם הדבר כי האריך בזה. ועיין בחושן המשפט סימן קכ"ז (סעי' א) מקצת דינים אלו</w:t>
      </w:r>
      <w:r>
        <w:rPr>
          <w:rFonts w:cs="Arial" w:hint="cs"/>
          <w:rtl/>
        </w:rPr>
        <w:t>, דרכ"מ (אות ט).</w:t>
      </w:r>
    </w:p>
  </w:footnote>
  <w:footnote w:id="1815">
    <w:p w14:paraId="3C118E1F" w14:textId="77777777" w:rsidR="00DF1FC7" w:rsidRDefault="00DF1FC7" w:rsidP="002E5BAD">
      <w:pPr>
        <w:pStyle w:val="a5"/>
      </w:pPr>
      <w:r>
        <w:rPr>
          <w:rStyle w:val="a7"/>
        </w:rPr>
        <w:footnoteRef/>
      </w:r>
      <w:r>
        <w:rPr>
          <w:rtl/>
        </w:rPr>
        <w:t xml:space="preserve"> </w:t>
      </w:r>
      <w:r w:rsidRPr="00DD17D3">
        <w:rPr>
          <w:rFonts w:cs="Arial"/>
          <w:rtl/>
        </w:rPr>
        <w:t>כ"פ הרמב"ם ספ"ב ה"מ ובבה"ת שער ל"ז דאין חילוק בין מעות טמונים לשאינם טמונים דאנן סהדי דלא נשתעבד לה להיות עבד לוה לה וכתב הרמב"ם שם כל המעות של האשה מחזיקים שהוא של בעלה אע</w:t>
      </w:r>
      <w:r>
        <w:rPr>
          <w:rFonts w:cs="Arial" w:hint="cs"/>
          <w:rtl/>
        </w:rPr>
        <w:t>"</w:t>
      </w:r>
      <w:r w:rsidRPr="00DD17D3">
        <w:rPr>
          <w:rFonts w:cs="Arial"/>
          <w:rtl/>
        </w:rPr>
        <w:t>ג</w:t>
      </w:r>
      <w:r>
        <w:rPr>
          <w:rFonts w:cs="Arial" w:hint="cs"/>
          <w:rtl/>
        </w:rPr>
        <w:t xml:space="preserve"> </w:t>
      </w:r>
      <w:r w:rsidRPr="00DD17D3">
        <w:rPr>
          <w:rFonts w:cs="Arial"/>
          <w:rtl/>
        </w:rPr>
        <w:t>בפ"ק כ"ב ה"א כ' בחזקת נ"מ הם היינו כשהמעות ביד האשה אמרינן נ"מ הם וכשהמעות ביד בעלה אמרינן לגמרי של בעלה הוא וכשלוה ממנה אז יצאו המעות מחזקתה אמרי' של בעלה הוא אבל כשקנה ממנה קרקע לא יצאה מחזקתה אמרינן של נ"מ הוא וכן בתקף ממנה לא יצא מחזקתה ובחזקת נ"מ הוא וצריך להחזיר לה אחר הגט וכ"כ בח"מ, וכשלוה ממנה אמרינן שלו הוא אפי' לא טען ברי כמ"ש בסי' פ"ה</w:t>
      </w:r>
      <w:r>
        <w:rPr>
          <w:rFonts w:hint="cs"/>
          <w:rtl/>
        </w:rPr>
        <w:t>, ב"ש (סק"ט).</w:t>
      </w:r>
    </w:p>
  </w:footnote>
  <w:footnote w:id="1816">
    <w:p w14:paraId="08861D1F" w14:textId="77777777" w:rsidR="00DF1FC7" w:rsidRDefault="00DF1FC7" w:rsidP="002E5BAD">
      <w:pPr>
        <w:pStyle w:val="a5"/>
      </w:pPr>
      <w:r>
        <w:rPr>
          <w:rStyle w:val="a7"/>
        </w:rPr>
        <w:footnoteRef/>
      </w:r>
      <w:r>
        <w:rPr>
          <w:rtl/>
        </w:rPr>
        <w:t xml:space="preserve"> </w:t>
      </w:r>
      <w:r w:rsidRPr="00DD17D3">
        <w:rPr>
          <w:rFonts w:cs="Arial"/>
          <w:rtl/>
        </w:rPr>
        <w:t>היינו לשיטות תוס' והרא"ש והרשב"א בין במכר ובין בתקף ובין בלוה בכלם אמרי' במעות טמונים אין לה עליו כלום והיינו כשטוען ברי כמ"ש בטור ובמגיד ואם הוא טוען שמא והיא טוענת ברי צריך להחזיר לה והמעות הם נ"מ, ובמעות גלוים צריך להחזיר לה ונאמנת לו' שאין לו רשות בהם לגמרי כמ"ש בסי' פ"ה</w:t>
      </w:r>
      <w:r>
        <w:rPr>
          <w:rFonts w:cs="Arial" w:hint="cs"/>
          <w:rtl/>
        </w:rPr>
        <w:t>, ב"ש (סק"י).</w:t>
      </w:r>
    </w:p>
  </w:footnote>
  <w:footnote w:id="1817">
    <w:p w14:paraId="1C17EA48" w14:textId="77777777" w:rsidR="00DF1FC7" w:rsidRDefault="00DF1FC7" w:rsidP="002E5BAD">
      <w:pPr>
        <w:pStyle w:val="a5"/>
      </w:pPr>
      <w:r>
        <w:rPr>
          <w:rStyle w:val="a7"/>
        </w:rPr>
        <w:footnoteRef/>
      </w:r>
      <w:r>
        <w:rPr>
          <w:rtl/>
        </w:rPr>
        <w:t xml:space="preserve"> </w:t>
      </w:r>
      <w:r>
        <w:rPr>
          <w:rFonts w:cs="Arial" w:hint="cs"/>
          <w:rtl/>
        </w:rPr>
        <w:t xml:space="preserve">כתב </w:t>
      </w:r>
      <w:r w:rsidRPr="00DD17D3">
        <w:rPr>
          <w:rFonts w:cs="Arial"/>
          <w:rtl/>
        </w:rPr>
        <w:t>ה</w:t>
      </w:r>
      <w:r>
        <w:rPr>
          <w:rFonts w:cs="Arial" w:hint="cs"/>
          <w:rtl/>
        </w:rPr>
        <w:t>ה"</w:t>
      </w:r>
      <w:r w:rsidRPr="00DD17D3">
        <w:rPr>
          <w:rFonts w:cs="Arial"/>
          <w:rtl/>
        </w:rPr>
        <w:t>מ</w:t>
      </w:r>
      <w:r>
        <w:rPr>
          <w:rFonts w:cs="Arial" w:hint="cs"/>
          <w:rtl/>
        </w:rPr>
        <w:t xml:space="preserve"> </w:t>
      </w:r>
      <w:r w:rsidRPr="00DD17D3">
        <w:rPr>
          <w:rFonts w:cs="Arial"/>
          <w:rtl/>
        </w:rPr>
        <w:t xml:space="preserve">בשם הרשב"א </w:t>
      </w:r>
      <w:r>
        <w:rPr>
          <w:rFonts w:cs="Arial" w:hint="cs"/>
          <w:rtl/>
        </w:rPr>
        <w:t>(</w:t>
      </w:r>
      <w:r w:rsidRPr="00DD17D3">
        <w:rPr>
          <w:rFonts w:cs="Arial"/>
          <w:rtl/>
        </w:rPr>
        <w:t>שם ספ"ב</w:t>
      </w:r>
      <w:r>
        <w:rPr>
          <w:rFonts w:cs="Arial" w:hint="cs"/>
          <w:rtl/>
        </w:rPr>
        <w:t>)</w:t>
      </w:r>
      <w:r w:rsidRPr="00DD17D3">
        <w:rPr>
          <w:rFonts w:cs="Arial"/>
          <w:rtl/>
        </w:rPr>
        <w:t xml:space="preserve"> כשלוה ממנה מעות גלוים הוי כאלו הודה לה שניתן לה בע"מ שאין לו רשות בהם אפי' הפירות</w:t>
      </w:r>
      <w:r>
        <w:rPr>
          <w:rFonts w:cs="Arial" w:hint="cs"/>
          <w:rtl/>
        </w:rPr>
        <w:t>,</w:t>
      </w:r>
      <w:r w:rsidRPr="00DD17D3">
        <w:rPr>
          <w:rFonts w:cs="Arial"/>
          <w:rtl/>
        </w:rPr>
        <w:t xml:space="preserve"> ולא כח"מ </w:t>
      </w:r>
      <w:r>
        <w:rPr>
          <w:rFonts w:cs="Arial" w:hint="cs"/>
          <w:rtl/>
        </w:rPr>
        <w:t xml:space="preserve">(סק"ט) </w:t>
      </w:r>
      <w:r w:rsidRPr="00DD17D3">
        <w:rPr>
          <w:rFonts w:cs="Arial"/>
          <w:rtl/>
        </w:rPr>
        <w:t>שכתב קודם הגט אוכל הפירות</w:t>
      </w:r>
      <w:r>
        <w:rPr>
          <w:rFonts w:cs="Arial" w:hint="cs"/>
          <w:rtl/>
        </w:rPr>
        <w:t>,</w:t>
      </w:r>
      <w:r w:rsidRPr="00DD17D3">
        <w:rPr>
          <w:rFonts w:cs="Arial"/>
          <w:rtl/>
        </w:rPr>
        <w:t xml:space="preserve"> גם א"י להשביעה</w:t>
      </w:r>
      <w:r>
        <w:rPr>
          <w:rFonts w:cs="Arial" w:hint="cs"/>
          <w:rtl/>
        </w:rPr>
        <w:t>, ב"ש (סקי"א).</w:t>
      </w:r>
    </w:p>
  </w:footnote>
  <w:footnote w:id="1818">
    <w:p w14:paraId="5C839296" w14:textId="77777777" w:rsidR="00DF1FC7" w:rsidRDefault="00DF1FC7" w:rsidP="002E5BAD">
      <w:pPr>
        <w:pStyle w:val="a5"/>
        <w:rPr>
          <w:rtl/>
        </w:rPr>
      </w:pPr>
      <w:r>
        <w:rPr>
          <w:rStyle w:val="a7"/>
        </w:rPr>
        <w:footnoteRef/>
      </w:r>
      <w:r>
        <w:rPr>
          <w:rtl/>
        </w:rPr>
        <w:t xml:space="preserve"> </w:t>
      </w:r>
      <w:r w:rsidRPr="000E3732">
        <w:rPr>
          <w:rFonts w:cs="Arial"/>
          <w:rtl/>
        </w:rPr>
        <w:t>לא ידעתי מאי אפי</w:t>
      </w:r>
      <w:r>
        <w:rPr>
          <w:rFonts w:cs="Arial" w:hint="cs"/>
          <w:rtl/>
        </w:rPr>
        <w:t>לו,</w:t>
      </w:r>
      <w:r w:rsidRPr="000E3732">
        <w:rPr>
          <w:rFonts w:cs="Arial"/>
          <w:rtl/>
        </w:rPr>
        <w:t xml:space="preserve"> דקודם שגירשה משלם לה הקרן ויקח בהן קרקע והוא אוכל פירות ולאחר שגירשה צריך לשלם לה לגמרי</w:t>
      </w:r>
      <w:r>
        <w:rPr>
          <w:rFonts w:cs="Arial" w:hint="cs"/>
          <w:rtl/>
        </w:rPr>
        <w:t>, ח"מ (סק"ט).</w:t>
      </w:r>
      <w:r w:rsidRPr="00DD17D3">
        <w:rPr>
          <w:rtl/>
        </w:rPr>
        <w:t xml:space="preserve"> </w:t>
      </w:r>
      <w:r>
        <w:rPr>
          <w:rFonts w:cs="Arial" w:hint="cs"/>
          <w:rtl/>
        </w:rPr>
        <w:t>אך הב"ש (סקי"ב) כתב ד</w:t>
      </w:r>
      <w:r w:rsidRPr="00DD17D3">
        <w:rPr>
          <w:rFonts w:cs="Arial"/>
          <w:rtl/>
        </w:rPr>
        <w:t>בסמוך כתב רבות' אם לא גרשה דמגיע לו הנאה ממעות שלה מ"מ א"צ לשלם וכאן רבותא אפי' אחר הגט דאין מגיע לו הנאה מ"מ צריך לשלם</w:t>
      </w:r>
      <w:r>
        <w:rPr>
          <w:rFonts w:hint="cs"/>
          <w:rtl/>
        </w:rPr>
        <w:t>.</w:t>
      </w:r>
    </w:p>
  </w:footnote>
  <w:footnote w:id="1819">
    <w:p w14:paraId="3E9B7ACE" w14:textId="77777777" w:rsidR="00DF1FC7" w:rsidRDefault="00DF1FC7" w:rsidP="002E5BAD">
      <w:pPr>
        <w:pStyle w:val="a5"/>
      </w:pPr>
      <w:r>
        <w:rPr>
          <w:rStyle w:val="a7"/>
        </w:rPr>
        <w:footnoteRef/>
      </w:r>
      <w:r>
        <w:rPr>
          <w:rtl/>
        </w:rPr>
        <w:t xml:space="preserve"> </w:t>
      </w:r>
      <w:r w:rsidRPr="000118CF">
        <w:rPr>
          <w:rFonts w:cs="Arial"/>
          <w:rtl/>
        </w:rPr>
        <w:t>כבר נתבאר בסי' הקודם די"ל שלי הם ואין לבעל רשות בהם, וכן נרא' עיקר דהא הריטב"א והר"י ס"ל כן וכן הרשב"א וכ"כ הרשב"א בשם הרא"מ וכן נוטים דברי תוס' והרא"ש וכ"כ מהרש"ל וב"ח</w:t>
      </w:r>
      <w:r>
        <w:rPr>
          <w:rFonts w:cs="Arial" w:hint="cs"/>
          <w:rtl/>
        </w:rPr>
        <w:t>, ב"ש (סקי"ג).</w:t>
      </w:r>
      <w:r w:rsidRPr="000118CF">
        <w:rPr>
          <w:rtl/>
        </w:rPr>
        <w:t xml:space="preserve"> </w:t>
      </w:r>
      <w:r w:rsidRPr="000118CF">
        <w:rPr>
          <w:rFonts w:cs="Arial"/>
          <w:rtl/>
        </w:rPr>
        <w:t>ולפי זה מ"ש בשם המרדכי בסעיף שלפני זה שאם החזיר הנפקד לבעל פטור היינו במעות טמונים דמהני תקיפה אבל במעות שאינם טמונים דלא מהני תקיפה מידה נראה דה"ה דלא מהני מה שנתן לו הנפקד דלמה תאבד זכותה</w:t>
      </w:r>
      <w:r>
        <w:rPr>
          <w:rFonts w:cs="Arial" w:hint="cs"/>
          <w:rtl/>
        </w:rPr>
        <w:t>, ח"מ (סק"י).</w:t>
      </w:r>
    </w:p>
  </w:footnote>
  <w:footnote w:id="1820">
    <w:p w14:paraId="6DC30368" w14:textId="77777777" w:rsidR="00DF1FC7" w:rsidRDefault="00DF1FC7" w:rsidP="002E5BAD">
      <w:pPr>
        <w:pStyle w:val="a5"/>
        <w:rPr>
          <w:rtl/>
        </w:rPr>
      </w:pPr>
      <w:r>
        <w:rPr>
          <w:rStyle w:val="a7"/>
        </w:rPr>
        <w:footnoteRef/>
      </w:r>
      <w:r>
        <w:rPr>
          <w:rtl/>
        </w:rPr>
        <w:t xml:space="preserve"> </w:t>
      </w:r>
      <w:r w:rsidRPr="00DC681F">
        <w:rPr>
          <w:rFonts w:cs="Arial"/>
          <w:rtl/>
        </w:rPr>
        <w:t>לאו בחדא מחתא מחתינהו דשלי היינו הקרן שלי ופירות שלו כדין נ"מ דכבר נתבאר בסי' שלפני זה סעיף י"ב דאין האשה נאמנת להפקיע הפירות מבעלה אע</w:t>
      </w:r>
      <w:r>
        <w:rPr>
          <w:rFonts w:cs="Arial" w:hint="cs"/>
          <w:rtl/>
        </w:rPr>
        <w:t>"</w:t>
      </w:r>
      <w:r w:rsidRPr="00DC681F">
        <w:rPr>
          <w:rFonts w:cs="Arial"/>
          <w:rtl/>
        </w:rPr>
        <w:t>פ שכתב שם שיש חולקים במעות שאינם טמונים וס"ל דנאמנת להפקיע לגמרי מבעלה כבר כתבתי דלמעשה לא החליטו הדבר אבל כשאומרת של פלוני הם הם שלו לגמרי</w:t>
      </w:r>
      <w:r>
        <w:rPr>
          <w:rFonts w:hint="cs"/>
          <w:rtl/>
        </w:rPr>
        <w:t>, ח"מ (סקי"א). נראה שהב"ש (סקי"ג) חולק עליו.</w:t>
      </w:r>
    </w:p>
  </w:footnote>
  <w:footnote w:id="1821">
    <w:p w14:paraId="6D668D10" w14:textId="77777777" w:rsidR="00DF1FC7" w:rsidRDefault="00DF1FC7" w:rsidP="002E5BAD">
      <w:pPr>
        <w:pStyle w:val="a5"/>
        <w:rPr>
          <w:rtl/>
        </w:rPr>
      </w:pPr>
      <w:r>
        <w:rPr>
          <w:rStyle w:val="a7"/>
        </w:rPr>
        <w:footnoteRef/>
      </w:r>
      <w:r>
        <w:rPr>
          <w:rtl/>
        </w:rPr>
        <w:t xml:space="preserve"> </w:t>
      </w:r>
      <w:r w:rsidRPr="00DC681F">
        <w:rPr>
          <w:rFonts w:cs="Arial"/>
          <w:rtl/>
        </w:rPr>
        <w:t>אפי' אם הוא אינו טוען ברי משום חזקה היא דהכל משלו הוא וכן באונות ושטרות היוצאים על שמה אינה נאמנת דשלה הוא אף על גב דא"י לטעון ברי כמ"ש בתשוב' רשב"א</w:t>
      </w:r>
      <w:r>
        <w:rPr>
          <w:rFonts w:hint="cs"/>
          <w:rtl/>
        </w:rPr>
        <w:t>..., ב"ש (סקי"ד).</w:t>
      </w:r>
    </w:p>
  </w:footnote>
  <w:footnote w:id="1822">
    <w:p w14:paraId="123E8864" w14:textId="77777777" w:rsidR="00DF1FC7" w:rsidRDefault="00DF1FC7" w:rsidP="002E5BAD">
      <w:pPr>
        <w:pStyle w:val="a5"/>
      </w:pPr>
      <w:r>
        <w:rPr>
          <w:rStyle w:val="a7"/>
        </w:rPr>
        <w:footnoteRef/>
      </w:r>
      <w:r>
        <w:rPr>
          <w:rtl/>
        </w:rPr>
        <w:t xml:space="preserve"> </w:t>
      </w:r>
      <w:r w:rsidRPr="00DC681F">
        <w:rPr>
          <w:rFonts w:cs="Arial"/>
          <w:rtl/>
        </w:rPr>
        <w:t>היינו לשיטות הי"א שייך דין זה אבל לרמב"ם אפי' מעות שאינן טמונים יכול לתפוס</w:t>
      </w:r>
      <w:r>
        <w:rPr>
          <w:rFonts w:cs="Arial" w:hint="cs"/>
          <w:rtl/>
        </w:rPr>
        <w:t>..., ב"ש (סקט"ו). וכ"כ הח"מ (סקי"ג).</w:t>
      </w:r>
      <w:r w:rsidRPr="00DC681F">
        <w:rPr>
          <w:rFonts w:cs="Arial"/>
          <w:rtl/>
        </w:rPr>
        <w:t xml:space="preserve"> </w:t>
      </w:r>
      <w:r>
        <w:rPr>
          <w:rFonts w:cs="Arial" w:hint="cs"/>
          <w:rtl/>
        </w:rPr>
        <w:t xml:space="preserve">וכתב עוד הב"ש שם- </w:t>
      </w:r>
      <w:r w:rsidRPr="00DC681F">
        <w:rPr>
          <w:rFonts w:cs="Arial"/>
          <w:rtl/>
        </w:rPr>
        <w:t>ואפשר בממרנ"י שלנו שלא נזכר מי הוא המלוה אמרי' גם בזה דלא יצא המעות מחזקתו כמ"ש בסי' ג"ן</w:t>
      </w:r>
      <w:r>
        <w:rPr>
          <w:rFonts w:cs="Arial" w:hint="cs"/>
          <w:rtl/>
        </w:rPr>
        <w:t>.</w:t>
      </w:r>
    </w:p>
  </w:footnote>
  <w:footnote w:id="1823">
    <w:p w14:paraId="04031543" w14:textId="77777777" w:rsidR="00DF1FC7" w:rsidRDefault="00DF1FC7" w:rsidP="002E5BAD">
      <w:pPr>
        <w:pStyle w:val="a5"/>
        <w:rPr>
          <w:rtl/>
        </w:rPr>
      </w:pPr>
      <w:r>
        <w:rPr>
          <w:rStyle w:val="a7"/>
        </w:rPr>
        <w:footnoteRef/>
      </w:r>
      <w:r>
        <w:rPr>
          <w:rtl/>
        </w:rPr>
        <w:t xml:space="preserve"> </w:t>
      </w:r>
      <w:r w:rsidRPr="0008255B">
        <w:rPr>
          <w:rFonts w:cs="Arial"/>
          <w:rtl/>
        </w:rPr>
        <w:t>ע' ב"י סס"ז הביא תשו' רשב"א אף אחר מותה צריכים יורשים להביא ראיה דמשלה היא אף על גב דתנן בש"ס אם מת א' מן האחים אשר השטרות יוצאים ע"ש צריכים האחים להבי' ראיה שם איירי כשאינם טוענים ברי אבל כשטוען ברי צריכים היורשים להביא ראיה, ובתשובת רשב"א סי' תתע"ט כתב דטוענים ליורשים משלה הוא אפי' בנושאת וי"ל שם איירי כשהבעל אינו טוען ברי ובד"מ כתב בתשובה אלו סותרים זה את זה, ואף למה שכתב לעיל בשם תשובת רשב"א בנו"נ אפי' אם הוא אינו טוען ברי אינה נאמנת היינו כל זמן כשהיא בחייה אבל אם היא מתה והוא טוען שמא טוענים בשביל היתומים והוא צריך ראיה</w:t>
      </w:r>
      <w:r>
        <w:rPr>
          <w:rFonts w:hint="cs"/>
          <w:rtl/>
        </w:rPr>
        <w:t>, ב"ש (סקט"ז).</w:t>
      </w:r>
    </w:p>
  </w:footnote>
  <w:footnote w:id="1824">
    <w:p w14:paraId="05534FE9" w14:textId="77777777" w:rsidR="00DF1FC7" w:rsidRDefault="00DF1FC7" w:rsidP="002E5BAD">
      <w:pPr>
        <w:pStyle w:val="a5"/>
      </w:pPr>
      <w:r>
        <w:rPr>
          <w:rStyle w:val="a7"/>
        </w:rPr>
        <w:footnoteRef/>
      </w:r>
      <w:r>
        <w:rPr>
          <w:rtl/>
        </w:rPr>
        <w:t xml:space="preserve"> </w:t>
      </w:r>
      <w:r>
        <w:rPr>
          <w:rFonts w:cs="Arial" w:hint="cs"/>
          <w:rtl/>
        </w:rPr>
        <w:t>צ"ע שוב בח"מ (סקי"ד) ובב"ש (סקי"ז).</w:t>
      </w:r>
    </w:p>
  </w:footnote>
  <w:footnote w:id="1825">
    <w:p w14:paraId="682D4355" w14:textId="77777777" w:rsidR="00DF1FC7" w:rsidRDefault="00DF1FC7" w:rsidP="002E5BAD">
      <w:pPr>
        <w:pStyle w:val="a5"/>
      </w:pPr>
      <w:r>
        <w:rPr>
          <w:rStyle w:val="a7"/>
        </w:rPr>
        <w:footnoteRef/>
      </w:r>
      <w:r>
        <w:rPr>
          <w:rtl/>
        </w:rPr>
        <w:t xml:space="preserve"> </w:t>
      </w:r>
      <w:r w:rsidRPr="008C35BD">
        <w:rPr>
          <w:rFonts w:cs="Arial"/>
          <w:rtl/>
        </w:rPr>
        <w:t>דהוי כידע שגנוב</w:t>
      </w:r>
      <w:r>
        <w:rPr>
          <w:rFonts w:cs="Arial" w:hint="cs"/>
          <w:rtl/>
        </w:rPr>
        <w:t>,</w:t>
      </w:r>
      <w:r w:rsidRPr="008C35BD">
        <w:rPr>
          <w:rFonts w:cs="Arial"/>
          <w:rtl/>
        </w:rPr>
        <w:t xml:space="preserve"> כמ"ש בח</w:t>
      </w:r>
      <w:r>
        <w:rPr>
          <w:rFonts w:cs="Arial" w:hint="cs"/>
          <w:rtl/>
        </w:rPr>
        <w:t>ו"מ</w:t>
      </w:r>
      <w:r w:rsidRPr="008C35BD">
        <w:rPr>
          <w:rFonts w:cs="Arial"/>
          <w:rtl/>
        </w:rPr>
        <w:t xml:space="preserve"> סי' שנ"ו</w:t>
      </w:r>
      <w:r>
        <w:rPr>
          <w:rFonts w:cs="Arial" w:hint="cs"/>
          <w:rtl/>
        </w:rPr>
        <w:t>,</w:t>
      </w:r>
      <w:r w:rsidRPr="008C35BD">
        <w:rPr>
          <w:rFonts w:cs="Arial"/>
          <w:rtl/>
        </w:rPr>
        <w:t xml:space="preserve"> דאז לכ"ע לית</w:t>
      </w:r>
      <w:r>
        <w:rPr>
          <w:rFonts w:cs="Arial" w:hint="cs"/>
          <w:rtl/>
        </w:rPr>
        <w:t>א</w:t>
      </w:r>
      <w:r w:rsidRPr="008C35BD">
        <w:rPr>
          <w:rFonts w:cs="Arial"/>
          <w:rtl/>
        </w:rPr>
        <w:t xml:space="preserve"> תקנת השוק</w:t>
      </w:r>
      <w:r>
        <w:rPr>
          <w:rFonts w:cs="Arial" w:hint="cs"/>
          <w:rtl/>
        </w:rPr>
        <w:t>.</w:t>
      </w:r>
      <w:r w:rsidRPr="008C35BD">
        <w:rPr>
          <w:rFonts w:cs="Arial"/>
          <w:rtl/>
        </w:rPr>
        <w:t xml:space="preserve"> מזה ראיה לכאור</w:t>
      </w:r>
      <w:r>
        <w:rPr>
          <w:rFonts w:cs="Arial" w:hint="cs"/>
          <w:rtl/>
        </w:rPr>
        <w:t>ה</w:t>
      </w:r>
      <w:r w:rsidRPr="008C35BD">
        <w:rPr>
          <w:rFonts w:cs="Arial"/>
          <w:rtl/>
        </w:rPr>
        <w:t xml:space="preserve"> כשהפקיד</w:t>
      </w:r>
      <w:r>
        <w:rPr>
          <w:rFonts w:cs="Arial" w:hint="cs"/>
          <w:rtl/>
        </w:rPr>
        <w:t>ה</w:t>
      </w:r>
      <w:r w:rsidRPr="008C35BD">
        <w:rPr>
          <w:rFonts w:cs="Arial"/>
          <w:rtl/>
        </w:rPr>
        <w:t xml:space="preserve"> ביד אחר והיא נושאת בבית דבעל יכול להוצי</w:t>
      </w:r>
      <w:r>
        <w:rPr>
          <w:rFonts w:cs="Arial" w:hint="cs"/>
          <w:rtl/>
        </w:rPr>
        <w:t>א</w:t>
      </w:r>
      <w:r w:rsidRPr="008C35BD">
        <w:rPr>
          <w:rFonts w:cs="Arial"/>
          <w:rtl/>
        </w:rPr>
        <w:t xml:space="preserve"> מן הנפקד דהא כאן מוציאים מן הלוקח בלא דמים ומפסידים אותו ובסעיף א' פסק בשם הריב"ש דמחזירים לידה ויש לחלק</w:t>
      </w:r>
      <w:r>
        <w:rPr>
          <w:rFonts w:cs="Arial" w:hint="cs"/>
          <w:rtl/>
        </w:rPr>
        <w:t>, ב"ש (סקי"ח).</w:t>
      </w:r>
    </w:p>
  </w:footnote>
  <w:footnote w:id="1826">
    <w:p w14:paraId="2B7CFBBB" w14:textId="77777777" w:rsidR="00DF1FC7" w:rsidRDefault="00DF1FC7" w:rsidP="002E5BAD">
      <w:pPr>
        <w:pStyle w:val="a5"/>
        <w:rPr>
          <w:rtl/>
        </w:rPr>
      </w:pPr>
      <w:r>
        <w:rPr>
          <w:rStyle w:val="a7"/>
        </w:rPr>
        <w:footnoteRef/>
      </w:r>
      <w:r>
        <w:rPr>
          <w:rtl/>
        </w:rPr>
        <w:t xml:space="preserve"> </w:t>
      </w:r>
      <w:r w:rsidRPr="00763B86">
        <w:rPr>
          <w:rFonts w:cs="Arial"/>
          <w:rtl/>
        </w:rPr>
        <w:t>ואז אפילו אם ידוע שהוא משל הבעל א"צ להחזיר כיון דרכה בכך</w:t>
      </w:r>
      <w:r>
        <w:rPr>
          <w:rFonts w:cs="Arial" w:hint="cs"/>
          <w:rtl/>
        </w:rPr>
        <w:t>.</w:t>
      </w:r>
      <w:r w:rsidRPr="00763B86">
        <w:rPr>
          <w:rFonts w:cs="Arial"/>
          <w:rtl/>
        </w:rPr>
        <w:t xml:space="preserve"> וג' חלוקים בדין זה</w:t>
      </w:r>
      <w:r>
        <w:rPr>
          <w:rFonts w:cs="Arial" w:hint="cs"/>
          <w:rtl/>
        </w:rPr>
        <w:t>:</w:t>
      </w:r>
      <w:r w:rsidRPr="00763B86">
        <w:rPr>
          <w:rFonts w:cs="Arial"/>
          <w:rtl/>
        </w:rPr>
        <w:t xml:space="preserve"> </w:t>
      </w:r>
      <w:r>
        <w:rPr>
          <w:rFonts w:cs="Arial" w:hint="cs"/>
          <w:rtl/>
        </w:rPr>
        <w:t xml:space="preserve">{א} </w:t>
      </w:r>
      <w:r w:rsidRPr="00763B86">
        <w:rPr>
          <w:rFonts w:cs="Arial"/>
          <w:rtl/>
        </w:rPr>
        <w:t>אם אינה נושאת בבית ואין דרכה למכור</w:t>
      </w:r>
      <w:r>
        <w:rPr>
          <w:rFonts w:cs="Arial" w:hint="cs"/>
          <w:rtl/>
        </w:rPr>
        <w:t>,</w:t>
      </w:r>
      <w:r w:rsidRPr="00763B86">
        <w:rPr>
          <w:rFonts w:cs="Arial"/>
          <w:rtl/>
        </w:rPr>
        <w:t xml:space="preserve"> אז אם ידוע שהוא משל בעל צריך להחזיר בלא דמים</w:t>
      </w:r>
      <w:r>
        <w:rPr>
          <w:rFonts w:cs="Arial" w:hint="cs"/>
          <w:rtl/>
        </w:rPr>
        <w:t>,</w:t>
      </w:r>
      <w:r w:rsidRPr="00763B86">
        <w:rPr>
          <w:rFonts w:cs="Arial"/>
          <w:rtl/>
        </w:rPr>
        <w:t xml:space="preserve"> דלא שייך ת</w:t>
      </w:r>
      <w:r>
        <w:rPr>
          <w:rFonts w:cs="Arial" w:hint="cs"/>
          <w:rtl/>
        </w:rPr>
        <w:t xml:space="preserve">קנת </w:t>
      </w:r>
      <w:r w:rsidRPr="00763B86">
        <w:rPr>
          <w:rFonts w:cs="Arial"/>
          <w:rtl/>
        </w:rPr>
        <w:t>ה</w:t>
      </w:r>
      <w:r>
        <w:rPr>
          <w:rFonts w:cs="Arial" w:hint="cs"/>
          <w:rtl/>
        </w:rPr>
        <w:t>שוק</w:t>
      </w:r>
      <w:r w:rsidRPr="00763B86">
        <w:rPr>
          <w:rFonts w:cs="Arial"/>
          <w:rtl/>
        </w:rPr>
        <w:t xml:space="preserve"> בכה"ג</w:t>
      </w:r>
      <w:r>
        <w:rPr>
          <w:rFonts w:cs="Arial" w:hint="cs"/>
          <w:rtl/>
        </w:rPr>
        <w:t>.</w:t>
      </w:r>
      <w:r w:rsidRPr="00763B86">
        <w:rPr>
          <w:rFonts w:cs="Arial"/>
          <w:rtl/>
        </w:rPr>
        <w:t xml:space="preserve"> ואם אמר א</w:t>
      </w:r>
      <w:r>
        <w:rPr>
          <w:rFonts w:cs="Arial" w:hint="cs"/>
          <w:rtl/>
        </w:rPr>
        <w:t>יני יודע</w:t>
      </w:r>
      <w:r w:rsidRPr="00763B86">
        <w:rPr>
          <w:rFonts w:cs="Arial"/>
          <w:rtl/>
        </w:rPr>
        <w:t xml:space="preserve"> ומקבל</w:t>
      </w:r>
      <w:r>
        <w:rPr>
          <w:rFonts w:cs="Arial" w:hint="cs"/>
          <w:rtl/>
        </w:rPr>
        <w:t xml:space="preserve"> </w:t>
      </w:r>
      <w:r w:rsidRPr="00763B86">
        <w:rPr>
          <w:rFonts w:cs="Arial"/>
          <w:rtl/>
        </w:rPr>
        <w:t>בחרם אז אין מוציאין ממנו מחמת פלוגתת הפוסקים</w:t>
      </w:r>
      <w:r>
        <w:rPr>
          <w:rFonts w:cs="Arial" w:hint="cs"/>
          <w:rtl/>
        </w:rPr>
        <w:t>,</w:t>
      </w:r>
      <w:r w:rsidRPr="00763B86">
        <w:rPr>
          <w:rFonts w:cs="Arial"/>
          <w:rtl/>
        </w:rPr>
        <w:t xml:space="preserve"> ואם תפס הבעל אין מוציאין ממנו וא"צ להחזיר דמים כמ"ש</w:t>
      </w:r>
      <w:r>
        <w:rPr>
          <w:rFonts w:cs="Arial" w:hint="cs"/>
          <w:rtl/>
        </w:rPr>
        <w:t>,</w:t>
      </w:r>
      <w:r w:rsidRPr="00763B86">
        <w:rPr>
          <w:rFonts w:cs="Arial"/>
          <w:rtl/>
        </w:rPr>
        <w:t xml:space="preserve"> וח"מ לא כ"כ</w:t>
      </w:r>
      <w:r>
        <w:rPr>
          <w:rFonts w:cs="Arial" w:hint="cs"/>
          <w:rtl/>
        </w:rPr>
        <w:t>.</w:t>
      </w:r>
      <w:r w:rsidRPr="00763B86">
        <w:rPr>
          <w:rFonts w:cs="Arial"/>
          <w:rtl/>
        </w:rPr>
        <w:t xml:space="preserve"> </w:t>
      </w:r>
      <w:r>
        <w:rPr>
          <w:rFonts w:cs="Arial" w:hint="cs"/>
          <w:rtl/>
        </w:rPr>
        <w:t xml:space="preserve">{ב} </w:t>
      </w:r>
      <w:r w:rsidRPr="00763B86">
        <w:rPr>
          <w:rFonts w:cs="Arial"/>
          <w:rtl/>
        </w:rPr>
        <w:t>ואם היא נושאת בבית ואין דרכה למכור</w:t>
      </w:r>
      <w:r>
        <w:rPr>
          <w:rFonts w:cs="Arial" w:hint="cs"/>
          <w:rtl/>
        </w:rPr>
        <w:t>,</w:t>
      </w:r>
      <w:r w:rsidRPr="00763B86">
        <w:rPr>
          <w:rFonts w:cs="Arial"/>
          <w:rtl/>
        </w:rPr>
        <w:t xml:space="preserve"> אז לכ"ע בחזקת שלו הוא וצריך להחזיר בלא דמים</w:t>
      </w:r>
      <w:r>
        <w:rPr>
          <w:rFonts w:cs="Arial" w:hint="cs"/>
          <w:rtl/>
        </w:rPr>
        <w:t>.</w:t>
      </w:r>
      <w:r w:rsidRPr="00763B86">
        <w:rPr>
          <w:rFonts w:cs="Arial"/>
          <w:rtl/>
        </w:rPr>
        <w:t xml:space="preserve"> </w:t>
      </w:r>
      <w:r>
        <w:rPr>
          <w:rFonts w:cs="Arial" w:hint="cs"/>
          <w:rtl/>
        </w:rPr>
        <w:t xml:space="preserve">{ג} </w:t>
      </w:r>
      <w:r w:rsidRPr="00763B86">
        <w:rPr>
          <w:rFonts w:cs="Arial"/>
          <w:rtl/>
        </w:rPr>
        <w:t>ואם דרכה למכור אפילו אם בודאי משל בעל הוא המכר קיים</w:t>
      </w:r>
      <w:r>
        <w:rPr>
          <w:rFonts w:cs="Arial" w:hint="cs"/>
          <w:rtl/>
        </w:rPr>
        <w:t>.</w:t>
      </w:r>
      <w:r w:rsidRPr="00763B86">
        <w:rPr>
          <w:rFonts w:cs="Arial"/>
          <w:rtl/>
        </w:rPr>
        <w:t xml:space="preserve"> וכתב ב"ה ה"ה שני שותפים בסחורה אחת ומכר א' סחורה בלי ידיעת חבירו אין צריך הלוקח להחזיר הסחורה הואיל הוא דרכו למכור רק זה השותף חייב לשלם לחבירו מה שהפסיד לו בממכרו קודם הזמן כמ"ש בח"ה סימן קע"ו</w:t>
      </w:r>
      <w:r>
        <w:rPr>
          <w:rFonts w:hint="cs"/>
          <w:rtl/>
        </w:rPr>
        <w:t>, ב"ש (סקי"ט).</w:t>
      </w:r>
    </w:p>
  </w:footnote>
  <w:footnote w:id="1827">
    <w:p w14:paraId="74D20554" w14:textId="77777777" w:rsidR="00DF1FC7" w:rsidRDefault="00DF1FC7" w:rsidP="002E5BAD">
      <w:pPr>
        <w:pStyle w:val="a5"/>
        <w:rPr>
          <w:rtl/>
        </w:rPr>
      </w:pPr>
      <w:r>
        <w:rPr>
          <w:rStyle w:val="a7"/>
        </w:rPr>
        <w:footnoteRef/>
      </w:r>
      <w:r>
        <w:rPr>
          <w:rtl/>
        </w:rPr>
        <w:t xml:space="preserve"> </w:t>
      </w:r>
      <w:r w:rsidRPr="00B42B97">
        <w:rPr>
          <w:rFonts w:cs="Arial"/>
          <w:rtl/>
        </w:rPr>
        <w:t>שאם החזיק בנכסי מלוג של אשתו שנפלו לה מבית אביה בירושה ג' שנים אינה חזקה לומר מאשתי לקחתיה ואבדתי שטרי דאין דרך אשה למחות על בעלה כשמחזיק בנכסיה ואוכל את הפירות מאחר שזן אותה</w:t>
      </w:r>
      <w:r>
        <w:rPr>
          <w:rFonts w:cs="Arial" w:hint="cs"/>
          <w:rtl/>
        </w:rPr>
        <w:t>, רשב"ם.</w:t>
      </w:r>
    </w:p>
  </w:footnote>
  <w:footnote w:id="1828">
    <w:p w14:paraId="382363E6" w14:textId="77777777" w:rsidR="00DF1FC7" w:rsidRDefault="00DF1FC7" w:rsidP="002E5BAD">
      <w:pPr>
        <w:pStyle w:val="a5"/>
        <w:rPr>
          <w:rtl/>
        </w:rPr>
      </w:pPr>
      <w:r>
        <w:rPr>
          <w:rStyle w:val="a7"/>
        </w:rPr>
        <w:footnoteRef/>
      </w:r>
      <w:r>
        <w:rPr>
          <w:rtl/>
        </w:rPr>
        <w:t xml:space="preserve"> </w:t>
      </w:r>
      <w:r w:rsidRPr="00B42B97">
        <w:rPr>
          <w:rFonts w:cs="Arial"/>
          <w:rtl/>
        </w:rPr>
        <w:t>דאין יכול לטעון לקוח הוא בידי</w:t>
      </w:r>
      <w:r>
        <w:rPr>
          <w:rFonts w:cs="Arial" w:hint="cs"/>
          <w:rtl/>
        </w:rPr>
        <w:t>, רשב"ם.</w:t>
      </w:r>
    </w:p>
  </w:footnote>
  <w:footnote w:id="1829">
    <w:p w14:paraId="40BC361D" w14:textId="77777777" w:rsidR="00DF1FC7" w:rsidRDefault="00DF1FC7" w:rsidP="002E5BAD">
      <w:pPr>
        <w:pStyle w:val="a5"/>
        <w:rPr>
          <w:rtl/>
        </w:rPr>
      </w:pPr>
      <w:r>
        <w:rPr>
          <w:rStyle w:val="a7"/>
        </w:rPr>
        <w:footnoteRef/>
      </w:r>
      <w:r>
        <w:rPr>
          <w:rtl/>
        </w:rPr>
        <w:t xml:space="preserve"> </w:t>
      </w:r>
      <w:r w:rsidRPr="00B42B97">
        <w:rPr>
          <w:rFonts w:cs="Arial"/>
          <w:rtl/>
        </w:rPr>
        <w:t>בתקנת חכמים שתקנו פירות של נכסי אשה לבעל תחת פרקונה אותן פירי הוא דקאכיל ואין לו בגוף הקרקע כלום ואין צריכה למחות שהכל יודעין שבתורת פירות ירד לקרקע זו ולא דמי למשכנתא דסורא דאמרן דצריך למחות בסוף כל ג' דהתם היינו טעמא שמא לסוף זמן מרובה לא יהו עדים זכורים שבתורת משכון באה לידו ויכול לטעון לקוח הוא בידי אבל נכסי אשה לבעלה כל העולם יודעין שפירות יש לו בקרקע אשתו ולא תהיה לו חזקה בחייה</w:t>
      </w:r>
      <w:r>
        <w:rPr>
          <w:rFonts w:cs="Arial" w:hint="cs"/>
          <w:rtl/>
        </w:rPr>
        <w:t>, רשב"ם.</w:t>
      </w:r>
    </w:p>
  </w:footnote>
  <w:footnote w:id="1830">
    <w:p w14:paraId="0F74BBEC" w14:textId="77777777" w:rsidR="00DF1FC7" w:rsidRDefault="00DF1FC7" w:rsidP="002E5BAD">
      <w:pPr>
        <w:pStyle w:val="a5"/>
        <w:rPr>
          <w:rtl/>
        </w:rPr>
      </w:pPr>
      <w:r>
        <w:rPr>
          <w:rStyle w:val="a7"/>
        </w:rPr>
        <w:footnoteRef/>
      </w:r>
      <w:r>
        <w:rPr>
          <w:rtl/>
        </w:rPr>
        <w:t xml:space="preserve"> </w:t>
      </w:r>
      <w:r w:rsidRPr="00B42B97">
        <w:rPr>
          <w:rFonts w:cs="Arial"/>
          <w:rtl/>
        </w:rPr>
        <w:t>כלומר לא יהא לי</w:t>
      </w:r>
      <w:r>
        <w:rPr>
          <w:rFonts w:cs="Arial" w:hint="cs"/>
          <w:rtl/>
        </w:rPr>
        <w:t>,</w:t>
      </w:r>
      <w:r w:rsidRPr="00B42B97">
        <w:rPr>
          <w:rFonts w:cs="Arial"/>
          <w:rtl/>
        </w:rPr>
        <w:t xml:space="preserve"> ואפילו הכי אין לאיש חזקה</w:t>
      </w:r>
      <w:r>
        <w:rPr>
          <w:rFonts w:cs="Arial" w:hint="cs"/>
          <w:rtl/>
        </w:rPr>
        <w:t>,</w:t>
      </w:r>
      <w:r w:rsidRPr="00B42B97">
        <w:rPr>
          <w:rFonts w:cs="Arial"/>
          <w:rtl/>
        </w:rPr>
        <w:t xml:space="preserve"> דאין אשתו מקפדת אם יאכל הפירות שלא כדין</w:t>
      </w:r>
      <w:r>
        <w:rPr>
          <w:rFonts w:cs="Arial" w:hint="cs"/>
          <w:rtl/>
        </w:rPr>
        <w:t>, רשב"ם.</w:t>
      </w:r>
    </w:p>
  </w:footnote>
  <w:footnote w:id="1831">
    <w:p w14:paraId="0C5A07DB" w14:textId="77777777" w:rsidR="00DF1FC7" w:rsidRDefault="00DF1FC7" w:rsidP="002E5BAD">
      <w:pPr>
        <w:pStyle w:val="a5"/>
        <w:rPr>
          <w:rtl/>
        </w:rPr>
      </w:pPr>
      <w:r>
        <w:rPr>
          <w:rStyle w:val="a7"/>
        </w:rPr>
        <w:footnoteRef/>
      </w:r>
      <w:r>
        <w:rPr>
          <w:rtl/>
        </w:rPr>
        <w:t xml:space="preserve"> </w:t>
      </w:r>
      <w:r w:rsidRPr="00B42B97">
        <w:rPr>
          <w:rFonts w:cs="Arial"/>
          <w:rtl/>
        </w:rPr>
        <w:t>דאין זה לשון מתנה כשאמר לא יהא לי חלק בשלי דעל כרחו הרי הוא שלו עד שיאמר לחבירו שדי נתונה לך שדי מכורה לך שדי מופקרת לכל מי שירצה</w:t>
      </w:r>
      <w:r>
        <w:rPr>
          <w:rFonts w:cs="Arial" w:hint="cs"/>
          <w:rtl/>
        </w:rPr>
        <w:t>, רשב"ם.</w:t>
      </w:r>
    </w:p>
  </w:footnote>
  <w:footnote w:id="1832">
    <w:p w14:paraId="74EC1C18" w14:textId="77777777" w:rsidR="00DF1FC7" w:rsidRDefault="00DF1FC7" w:rsidP="002E5BAD">
      <w:pPr>
        <w:pStyle w:val="a5"/>
        <w:rPr>
          <w:rtl/>
        </w:rPr>
      </w:pPr>
      <w:r>
        <w:rPr>
          <w:rStyle w:val="a7"/>
        </w:rPr>
        <w:footnoteRef/>
      </w:r>
      <w:r>
        <w:rPr>
          <w:rtl/>
        </w:rPr>
        <w:t xml:space="preserve"> </w:t>
      </w:r>
      <w:r w:rsidRPr="00B42B97">
        <w:rPr>
          <w:rFonts w:cs="Arial"/>
          <w:rtl/>
        </w:rPr>
        <w:t>דין ודברים אין לי בנכסייך</w:t>
      </w:r>
      <w:r>
        <w:rPr>
          <w:rFonts w:cs="Arial" w:hint="cs"/>
          <w:rtl/>
        </w:rPr>
        <w:t>, רשב"ם.</w:t>
      </w:r>
    </w:p>
  </w:footnote>
  <w:footnote w:id="1833">
    <w:p w14:paraId="20FEC61F" w14:textId="77777777" w:rsidR="00DF1FC7" w:rsidRDefault="00DF1FC7" w:rsidP="002E5BAD">
      <w:pPr>
        <w:pStyle w:val="a5"/>
        <w:rPr>
          <w:rtl/>
        </w:rPr>
      </w:pPr>
      <w:r>
        <w:rPr>
          <w:rStyle w:val="a7"/>
        </w:rPr>
        <w:footnoteRef/>
      </w:r>
      <w:r>
        <w:rPr>
          <w:rtl/>
        </w:rPr>
        <w:t xml:space="preserve"> </w:t>
      </w:r>
      <w:r w:rsidRPr="00B42B97">
        <w:rPr>
          <w:rFonts w:cs="Arial"/>
          <w:rtl/>
        </w:rPr>
        <w:t>דהיינו קודם שיזכה בנכסי אשתו דאינו זוכה בפירות עד שעת נשואין וכדמסיק ואזיל דבירושות הבאות לאדם בתקנת חכמים יכול לעקרן אם מתנה עליה קודם הזמן בעוד שלא באו לידו ואומר לא יהא לי חלק באותו ממון העתיד לבא לי בתקנת חכמים דאין מזכין לו לאדם בעל כרחו</w:t>
      </w:r>
      <w:r>
        <w:rPr>
          <w:rFonts w:cs="Arial" w:hint="cs"/>
          <w:rtl/>
        </w:rPr>
        <w:t>, רשב"ם.</w:t>
      </w:r>
    </w:p>
  </w:footnote>
  <w:footnote w:id="1834">
    <w:p w14:paraId="69036169" w14:textId="77777777" w:rsidR="00DF1FC7" w:rsidRDefault="00DF1FC7" w:rsidP="002E5BAD">
      <w:pPr>
        <w:pStyle w:val="a5"/>
        <w:rPr>
          <w:rtl/>
        </w:rPr>
      </w:pPr>
      <w:r>
        <w:rPr>
          <w:rStyle w:val="a7"/>
        </w:rPr>
        <w:footnoteRef/>
      </w:r>
      <w:r>
        <w:rPr>
          <w:rtl/>
        </w:rPr>
        <w:t xml:space="preserve"> </w:t>
      </w:r>
      <w:r w:rsidRPr="00B42B97">
        <w:rPr>
          <w:rFonts w:cs="Arial"/>
          <w:rtl/>
        </w:rPr>
        <w:t>העתידה לבא לו כגון נחלה דרבנן כדמפרש לקמן אדם יכול להתנות עליה קודם שתבא שלא יירשנה כגון דקאמר דין ודברים אין לי על אותה נחלה העתידה לבא לי כלומר לא יהא לי דין ודברים</w:t>
      </w:r>
      <w:r>
        <w:rPr>
          <w:rFonts w:cs="Arial" w:hint="cs"/>
          <w:rtl/>
        </w:rPr>
        <w:t>, רשב"ם.</w:t>
      </w:r>
    </w:p>
  </w:footnote>
  <w:footnote w:id="1835">
    <w:p w14:paraId="41BCE44B" w14:textId="77777777" w:rsidR="00DF1FC7" w:rsidRDefault="00DF1FC7" w:rsidP="002E5BAD">
      <w:pPr>
        <w:pStyle w:val="a5"/>
        <w:rPr>
          <w:rtl/>
        </w:rPr>
      </w:pPr>
      <w:r>
        <w:rPr>
          <w:rStyle w:val="a7"/>
        </w:rPr>
        <w:footnoteRef/>
      </w:r>
      <w:r>
        <w:rPr>
          <w:rtl/>
        </w:rPr>
        <w:t xml:space="preserve"> </w:t>
      </w:r>
      <w:r w:rsidRPr="00B42B97">
        <w:rPr>
          <w:rFonts w:cs="Arial"/>
          <w:rtl/>
        </w:rPr>
        <w:t>כלומר ובאיזו נחלה מועיל התנאי בנחלה הבאה לו בתקנת חכמים כדרבא אבל בנחלה דאורייתא כגון דין ודברים אין לי בירושת אבי כשימות לא יועיל התנאי דבעל כרחו שלו יהא אא"כ יתננה לאחרים בלשון מתנה</w:t>
      </w:r>
      <w:r>
        <w:rPr>
          <w:rFonts w:cs="Arial" w:hint="cs"/>
          <w:rtl/>
        </w:rPr>
        <w:t>, רשב"ם.</w:t>
      </w:r>
    </w:p>
  </w:footnote>
  <w:footnote w:id="1836">
    <w:p w14:paraId="068EE159" w14:textId="77777777" w:rsidR="00DF1FC7" w:rsidRDefault="00DF1FC7" w:rsidP="002E5BAD">
      <w:pPr>
        <w:pStyle w:val="a5"/>
        <w:rPr>
          <w:rtl/>
        </w:rPr>
      </w:pPr>
      <w:r>
        <w:rPr>
          <w:rStyle w:val="a7"/>
        </w:rPr>
        <w:footnoteRef/>
      </w:r>
      <w:r>
        <w:rPr>
          <w:rtl/>
        </w:rPr>
        <w:t xml:space="preserve"> </w:t>
      </w:r>
      <w:r w:rsidRPr="00B42B97">
        <w:rPr>
          <w:rFonts w:cs="Arial"/>
          <w:rtl/>
        </w:rPr>
        <w:t>שעשו להנאתי</w:t>
      </w:r>
      <w:r>
        <w:rPr>
          <w:rFonts w:cs="Arial" w:hint="cs"/>
          <w:rtl/>
        </w:rPr>
        <w:t>, רשב"ם.</w:t>
      </w:r>
    </w:p>
  </w:footnote>
  <w:footnote w:id="1837">
    <w:p w14:paraId="3267CD7A" w14:textId="77777777" w:rsidR="00DF1FC7" w:rsidRDefault="00DF1FC7" w:rsidP="002E5BAD">
      <w:pPr>
        <w:pStyle w:val="a5"/>
      </w:pPr>
      <w:r>
        <w:rPr>
          <w:rStyle w:val="a7"/>
        </w:rPr>
        <w:footnoteRef/>
      </w:r>
      <w:r>
        <w:rPr>
          <w:rtl/>
        </w:rPr>
        <w:t xml:space="preserve"> </w:t>
      </w:r>
      <w:r>
        <w:rPr>
          <w:rFonts w:hint="cs"/>
          <w:rtl/>
        </w:rPr>
        <w:t>ו</w:t>
      </w:r>
      <w:r w:rsidRPr="00D26B90">
        <w:rPr>
          <w:rFonts w:cs="Arial"/>
          <w:rtl/>
        </w:rPr>
        <w:t>היינו דאצטריך במתני' למיתני דאין לאיש חזקה בנכסי אשתו לומר לקוח הוא בידי דאע"ג דכתב לה בעודה ארוסה שלא יטול כלום בפירותיה אפי' הכי שתקה ולא מיחתה לבעלה דמצי אמרה נחת רוח עשיתי לבעלי ששתקתי אבל מעולם לא מכרתי לו</w:t>
      </w:r>
      <w:r>
        <w:rPr>
          <w:rFonts w:cs="Arial" w:hint="cs"/>
          <w:rtl/>
        </w:rPr>
        <w:t>, רשב"ם.</w:t>
      </w:r>
    </w:p>
  </w:footnote>
  <w:footnote w:id="1838">
    <w:p w14:paraId="5342995C" w14:textId="77777777" w:rsidR="00DF1FC7" w:rsidRDefault="00DF1FC7" w:rsidP="002E5BAD">
      <w:pPr>
        <w:pStyle w:val="a5"/>
      </w:pPr>
      <w:r>
        <w:rPr>
          <w:rStyle w:val="a7"/>
        </w:rPr>
        <w:footnoteRef/>
      </w:r>
      <w:r>
        <w:rPr>
          <w:rtl/>
        </w:rPr>
        <w:t xml:space="preserve"> </w:t>
      </w:r>
      <w:r w:rsidRPr="00D26B90">
        <w:rPr>
          <w:rFonts w:cs="Arial"/>
          <w:rtl/>
        </w:rPr>
        <w:t>דקתני מתני' אין לאיש חזקה שאין חזקה מועלת לו לקיים מקחו אבל ראיית עדים או שטר תועיל לו לקיים מכירתה דאם מכרה לו אשתו נכסי מלוג שלה קנה</w:t>
      </w:r>
      <w:r>
        <w:rPr>
          <w:rFonts w:cs="Arial" w:hint="cs"/>
          <w:rtl/>
        </w:rPr>
        <w:t>, רשב"ם.</w:t>
      </w:r>
    </w:p>
  </w:footnote>
  <w:footnote w:id="1839">
    <w:p w14:paraId="3D0248AC" w14:textId="77777777" w:rsidR="00DF1FC7" w:rsidRDefault="00DF1FC7" w:rsidP="002E5BAD">
      <w:pPr>
        <w:pStyle w:val="a5"/>
        <w:rPr>
          <w:rtl/>
        </w:rPr>
      </w:pPr>
      <w:r>
        <w:rPr>
          <w:rStyle w:val="a7"/>
        </w:rPr>
        <w:footnoteRef/>
      </w:r>
      <w:r>
        <w:rPr>
          <w:rtl/>
        </w:rPr>
        <w:t xml:space="preserve"> </w:t>
      </w:r>
      <w:r w:rsidRPr="00D26B90">
        <w:rPr>
          <w:rFonts w:cs="Arial"/>
          <w:rtl/>
        </w:rPr>
        <w:t>שמכרתי לו שלא יכעוס עלי אבל לא היה בדעתי להקנותו דלא דמי לתליוהו וזבין דזביניה זביני דאגב אונסי' גמר ומקני אבל הכא דליכא אונס כ"כ לא גמרה ואקנייה</w:t>
      </w:r>
      <w:r>
        <w:rPr>
          <w:rFonts w:cs="Arial" w:hint="cs"/>
          <w:rtl/>
        </w:rPr>
        <w:t>, רשב"ם.</w:t>
      </w:r>
    </w:p>
  </w:footnote>
  <w:footnote w:id="1840">
    <w:p w14:paraId="1BAAB7B1" w14:textId="77777777" w:rsidR="00DF1FC7" w:rsidRDefault="00DF1FC7" w:rsidP="002E5BAD">
      <w:pPr>
        <w:pStyle w:val="a5"/>
        <w:rPr>
          <w:rtl/>
        </w:rPr>
      </w:pPr>
      <w:r>
        <w:rPr>
          <w:rStyle w:val="a7"/>
        </w:rPr>
        <w:footnoteRef/>
      </w:r>
      <w:r>
        <w:rPr>
          <w:rtl/>
        </w:rPr>
        <w:t xml:space="preserve"> </w:t>
      </w:r>
      <w:r w:rsidRPr="00184FB4">
        <w:rPr>
          <w:rFonts w:cs="Arial"/>
          <w:rtl/>
        </w:rPr>
        <w:t>דכי הך טענה יכולה אשה לטעון לאחרים שקנו מבעלה וכ"ש שמכרה לבעלה עצמו</w:t>
      </w:r>
      <w:r>
        <w:rPr>
          <w:rFonts w:cs="Arial" w:hint="cs"/>
          <w:rtl/>
        </w:rPr>
        <w:t>, רשב"ם.</w:t>
      </w:r>
    </w:p>
  </w:footnote>
  <w:footnote w:id="1841">
    <w:p w14:paraId="7F55C688" w14:textId="77777777" w:rsidR="00DF1FC7" w:rsidRDefault="00DF1FC7" w:rsidP="002E5BAD">
      <w:pPr>
        <w:pStyle w:val="a5"/>
        <w:rPr>
          <w:rtl/>
        </w:rPr>
      </w:pPr>
      <w:r>
        <w:rPr>
          <w:rStyle w:val="a7"/>
        </w:rPr>
        <w:footnoteRef/>
      </w:r>
      <w:r>
        <w:rPr>
          <w:rtl/>
        </w:rPr>
        <w:t xml:space="preserve"> </w:t>
      </w:r>
      <w:r w:rsidRPr="00184FB4">
        <w:rPr>
          <w:rFonts w:cs="Arial"/>
          <w:rtl/>
        </w:rPr>
        <w:t>מן הבעל כל קרקעותיו משועבדים לכתובת אשתו והיום ולמחר אם ימות או יגרשנה תטרוף מלקוחות אם לא תמצא בני חורין שכן כתב לה כל נכסי אחראין וערבאין לכתובתיך במס' כתובות (דף נא)</w:t>
      </w:r>
      <w:r w:rsidRPr="007B7C0D">
        <w:rPr>
          <w:rFonts w:cs="Arial" w:hint="cs"/>
          <w:rtl/>
        </w:rPr>
        <w:t xml:space="preserve"> </w:t>
      </w:r>
      <w:r>
        <w:rPr>
          <w:rFonts w:cs="Arial" w:hint="cs"/>
          <w:rtl/>
        </w:rPr>
        <w:t>, רשב"ם.</w:t>
      </w:r>
    </w:p>
  </w:footnote>
  <w:footnote w:id="1842">
    <w:p w14:paraId="18AE4951" w14:textId="77777777" w:rsidR="00DF1FC7" w:rsidRDefault="00DF1FC7" w:rsidP="002E5BAD">
      <w:pPr>
        <w:pStyle w:val="a5"/>
        <w:rPr>
          <w:rtl/>
        </w:rPr>
      </w:pPr>
      <w:r>
        <w:rPr>
          <w:rStyle w:val="a7"/>
        </w:rPr>
        <w:footnoteRef/>
      </w:r>
      <w:r>
        <w:rPr>
          <w:rtl/>
        </w:rPr>
        <w:t xml:space="preserve"> </w:t>
      </w:r>
      <w:r w:rsidRPr="00184FB4">
        <w:rPr>
          <w:rFonts w:cs="Arial"/>
          <w:rtl/>
        </w:rPr>
        <w:t>זה הלוקח ולקח מן האשה נתן לה דבר מועט והקנתו לו כדי שלא תטרוף ממנו חוב כתובתה</w:t>
      </w:r>
      <w:r>
        <w:rPr>
          <w:rFonts w:cs="Arial" w:hint="cs"/>
          <w:rtl/>
        </w:rPr>
        <w:t>, רשב"ם.</w:t>
      </w:r>
    </w:p>
  </w:footnote>
  <w:footnote w:id="1843">
    <w:p w14:paraId="713F7048" w14:textId="77777777" w:rsidR="00DF1FC7" w:rsidRDefault="00DF1FC7" w:rsidP="002E5BAD">
      <w:pPr>
        <w:pStyle w:val="a5"/>
        <w:rPr>
          <w:rtl/>
        </w:rPr>
      </w:pPr>
      <w:r>
        <w:rPr>
          <w:rStyle w:val="a7"/>
        </w:rPr>
        <w:footnoteRef/>
      </w:r>
      <w:r>
        <w:rPr>
          <w:rtl/>
        </w:rPr>
        <w:t xml:space="preserve"> </w:t>
      </w:r>
      <w:r w:rsidRPr="00184FB4">
        <w:rPr>
          <w:rFonts w:cs="Arial"/>
          <w:rtl/>
        </w:rPr>
        <w:t>האי מקחו בטל אחזר ולקח מן האשה קאי דהוי בטל לגמרי ההוא מקח וכשתבא לגבות כתובתה תטרוף ממנו דמצי אמרה נחת רוח עשיתי לבעלי למכור לך קרקע המשועבד לי ולא גמרתי בלבי להקנות לך</w:t>
      </w:r>
      <w:r>
        <w:rPr>
          <w:rFonts w:cs="Arial" w:hint="cs"/>
          <w:rtl/>
        </w:rPr>
        <w:t>, רשב"ם.</w:t>
      </w:r>
    </w:p>
  </w:footnote>
  <w:footnote w:id="1844">
    <w:p w14:paraId="29C35B6A" w14:textId="77777777" w:rsidR="00DF1FC7" w:rsidRDefault="00DF1FC7" w:rsidP="002E5BAD">
      <w:pPr>
        <w:pStyle w:val="a5"/>
        <w:rPr>
          <w:rtl/>
        </w:rPr>
      </w:pPr>
      <w:r>
        <w:rPr>
          <w:rStyle w:val="a7"/>
        </w:rPr>
        <w:footnoteRef/>
      </w:r>
      <w:r>
        <w:rPr>
          <w:rtl/>
        </w:rPr>
        <w:t xml:space="preserve"> </w:t>
      </w:r>
      <w:r w:rsidRPr="00184FB4">
        <w:rPr>
          <w:rFonts w:cs="Arial"/>
          <w:rtl/>
        </w:rPr>
        <w:t>דההיא דחזר ולקח מן האשה אמר רבה בר רב הונא לא נצרכה למיתני מקחו בטל היכא דחזר ולקח מן האשה אלא באותן ג' שדות המשועבדות לה יותר משאר נכסים ודעתה סמכא עילווייהו טפי דהוי מקחן בטל דודאי לא גמרה ואקניי' אלא נחת רוח עשתה לבעלה ולקמיה מפרש למעוטי מאי דלא ליהוי מקח בטל</w:t>
      </w:r>
      <w:r>
        <w:rPr>
          <w:rFonts w:cs="Arial" w:hint="cs"/>
          <w:rtl/>
        </w:rPr>
        <w:t>, רשב"ם.</w:t>
      </w:r>
    </w:p>
  </w:footnote>
  <w:footnote w:id="1845">
    <w:p w14:paraId="4696C2A8" w14:textId="77777777" w:rsidR="00DF1FC7" w:rsidRDefault="00DF1FC7" w:rsidP="002E5BAD">
      <w:pPr>
        <w:pStyle w:val="a5"/>
      </w:pPr>
      <w:r>
        <w:rPr>
          <w:rStyle w:val="a7"/>
        </w:rPr>
        <w:footnoteRef/>
      </w:r>
      <w:r>
        <w:rPr>
          <w:rtl/>
        </w:rPr>
        <w:t xml:space="preserve"> </w:t>
      </w:r>
      <w:r w:rsidRPr="007B7C0D">
        <w:rPr>
          <w:rFonts w:cs="Arial"/>
          <w:rtl/>
        </w:rPr>
        <w:t>הוא מכר את הפירות והיא מכרה את הגוף</w:t>
      </w:r>
      <w:r>
        <w:rPr>
          <w:rFonts w:cs="Arial" w:hint="cs"/>
          <w:rtl/>
        </w:rPr>
        <w:t>, רשב"ם.</w:t>
      </w:r>
    </w:p>
  </w:footnote>
  <w:footnote w:id="1846">
    <w:p w14:paraId="20B67602" w14:textId="77777777" w:rsidR="00DF1FC7" w:rsidRDefault="00DF1FC7" w:rsidP="002E5BAD">
      <w:pPr>
        <w:pStyle w:val="a5"/>
      </w:pPr>
      <w:r>
        <w:rPr>
          <w:rStyle w:val="a7"/>
        </w:rPr>
        <w:footnoteRef/>
      </w:r>
      <w:r>
        <w:rPr>
          <w:rtl/>
        </w:rPr>
        <w:t xml:space="preserve"> </w:t>
      </w:r>
      <w:r w:rsidRPr="007B7C0D">
        <w:rPr>
          <w:rFonts w:cs="Arial"/>
          <w:rtl/>
        </w:rPr>
        <w:t>ולא מצית אמרה נחת רוח עשיתי לבעלי דבשלה לא עבדה נחת רוח דלא קפיד עליה בעל והלכך שפיר קדייקא מתני' הא ראיה יש שאם יש לו שטר או עדים שמכרה לו אשתו נכסי מלוג שלה הוי המקח קיים</w:t>
      </w:r>
      <w:r>
        <w:rPr>
          <w:rFonts w:cs="Arial" w:hint="cs"/>
          <w:rtl/>
        </w:rPr>
        <w:t>, רשב"ם.</w:t>
      </w:r>
    </w:p>
  </w:footnote>
  <w:footnote w:id="1847">
    <w:p w14:paraId="12D9EF70" w14:textId="77777777" w:rsidR="00DF1FC7" w:rsidRDefault="00DF1FC7" w:rsidP="002E5BAD">
      <w:pPr>
        <w:pStyle w:val="a5"/>
      </w:pPr>
      <w:r>
        <w:rPr>
          <w:rStyle w:val="a7"/>
        </w:rPr>
        <w:footnoteRef/>
      </w:r>
      <w:r>
        <w:rPr>
          <w:rtl/>
        </w:rPr>
        <w:t xml:space="preserve"> </w:t>
      </w:r>
      <w:r w:rsidRPr="00AE16D0">
        <w:rPr>
          <w:rFonts w:cs="Arial"/>
          <w:rtl/>
        </w:rPr>
        <w:t>וכ"כ בחושן המשפט סימן קמ"ט (סעי' יא) וכתב שם דיש חולקין ועיין שם</w:t>
      </w:r>
      <w:r>
        <w:rPr>
          <w:rFonts w:cs="Arial" w:hint="cs"/>
          <w:rtl/>
        </w:rPr>
        <w:t>, דרכ"מ (אות א).</w:t>
      </w:r>
    </w:p>
  </w:footnote>
  <w:footnote w:id="1848">
    <w:p w14:paraId="4DC364D1" w14:textId="77777777" w:rsidR="00DF1FC7" w:rsidRDefault="00DF1FC7" w:rsidP="002E5BAD">
      <w:pPr>
        <w:pStyle w:val="a5"/>
      </w:pPr>
      <w:r>
        <w:rPr>
          <w:rStyle w:val="a7"/>
        </w:rPr>
        <w:footnoteRef/>
      </w:r>
      <w:r>
        <w:rPr>
          <w:rtl/>
        </w:rPr>
        <w:t xml:space="preserve"> </w:t>
      </w:r>
      <w:r w:rsidRPr="00B731B9">
        <w:rPr>
          <w:rFonts w:cs="Arial"/>
          <w:rtl/>
        </w:rPr>
        <w:t>אפ"ה אין דרך אשה לדקדק עם בעלה אם אוכל פירותיה</w:t>
      </w:r>
      <w:r>
        <w:rPr>
          <w:rFonts w:cs="Arial" w:hint="cs"/>
          <w:rtl/>
        </w:rPr>
        <w:t>.</w:t>
      </w:r>
      <w:r w:rsidRPr="00B731B9">
        <w:rPr>
          <w:rFonts w:cs="Arial"/>
          <w:rtl/>
        </w:rPr>
        <w:t xml:space="preserve"> והרמב"ם בפי"ג מטוען כתב</w:t>
      </w:r>
      <w:r>
        <w:rPr>
          <w:rFonts w:cs="Arial" w:hint="cs"/>
          <w:rtl/>
        </w:rPr>
        <w:t>-</w:t>
      </w:r>
      <w:r w:rsidRPr="00B731B9">
        <w:rPr>
          <w:rFonts w:cs="Arial"/>
          <w:rtl/>
        </w:rPr>
        <w:t xml:space="preserve"> ואפי' התנה עמה כשהיא ארוסה שלא ירשנה ואח"כ אכל ובנה והרס</w:t>
      </w:r>
      <w:r>
        <w:rPr>
          <w:rFonts w:cs="Arial" w:hint="cs"/>
          <w:rtl/>
        </w:rPr>
        <w:t>,</w:t>
      </w:r>
      <w:r w:rsidRPr="00B731B9">
        <w:rPr>
          <w:rFonts w:cs="Arial"/>
          <w:rtl/>
        </w:rPr>
        <w:t xml:space="preserve"> וכך העתיק לשונו בש"ע בח"מ סי' קמ"ט ושם נתבאר דיש חולקין בחפירת בורות שקלקל גוף הקרקע</w:t>
      </w:r>
      <w:r>
        <w:rPr>
          <w:rFonts w:cs="Arial" w:hint="cs"/>
          <w:rtl/>
        </w:rPr>
        <w:t>.</w:t>
      </w:r>
      <w:r w:rsidRPr="00B731B9">
        <w:rPr>
          <w:rFonts w:cs="Arial"/>
          <w:rtl/>
        </w:rPr>
        <w:t xml:space="preserve"> ודין התנאי והסילוק מן הפירות והירושה בדיבור או בקנין באירוסין או לאחר שנשאת יתבאר לקמן בסי' צ"ב</w:t>
      </w:r>
      <w:r>
        <w:rPr>
          <w:rFonts w:cs="Arial" w:hint="cs"/>
          <w:rtl/>
        </w:rPr>
        <w:t>, ח"מ (סק"א).</w:t>
      </w:r>
    </w:p>
  </w:footnote>
  <w:footnote w:id="1849">
    <w:p w14:paraId="5BFF8A8E" w14:textId="77777777" w:rsidR="00DF1FC7" w:rsidRDefault="00DF1FC7" w:rsidP="002E5BAD">
      <w:pPr>
        <w:pStyle w:val="a5"/>
      </w:pPr>
      <w:r>
        <w:rPr>
          <w:rStyle w:val="a7"/>
        </w:rPr>
        <w:footnoteRef/>
      </w:r>
      <w:r>
        <w:rPr>
          <w:rtl/>
        </w:rPr>
        <w:t xml:space="preserve"> </w:t>
      </w:r>
      <w:r w:rsidRPr="00C74A68">
        <w:rPr>
          <w:rFonts w:cs="Arial"/>
          <w:rtl/>
        </w:rPr>
        <w:t>אע</w:t>
      </w:r>
      <w:r>
        <w:rPr>
          <w:rFonts w:cs="Arial" w:hint="cs"/>
          <w:rtl/>
        </w:rPr>
        <w:t>"</w:t>
      </w:r>
      <w:r w:rsidRPr="00C74A68">
        <w:rPr>
          <w:rFonts w:cs="Arial"/>
          <w:rtl/>
        </w:rPr>
        <w:t>פ שנשתמשה כחפצה כמה שנים</w:t>
      </w:r>
      <w:r>
        <w:rPr>
          <w:rFonts w:cs="Arial" w:hint="cs"/>
          <w:rtl/>
        </w:rPr>
        <w:t>,</w:t>
      </w:r>
      <w:r w:rsidRPr="00C74A68">
        <w:rPr>
          <w:rFonts w:cs="Arial"/>
          <w:rtl/>
        </w:rPr>
        <w:t xml:space="preserve"> ואע</w:t>
      </w:r>
      <w:r>
        <w:rPr>
          <w:rFonts w:cs="Arial" w:hint="cs"/>
          <w:rtl/>
        </w:rPr>
        <w:t>"</w:t>
      </w:r>
      <w:r w:rsidRPr="00C74A68">
        <w:rPr>
          <w:rFonts w:cs="Arial"/>
          <w:rtl/>
        </w:rPr>
        <w:t>פ שיחד לה שדה במזונותיה ואכלה שדות אחרות לשון הרמב"ם בפ' הנ"ל</w:t>
      </w:r>
      <w:r>
        <w:rPr>
          <w:rFonts w:cs="Arial" w:hint="cs"/>
          <w:rtl/>
        </w:rPr>
        <w:t>,</w:t>
      </w:r>
      <w:r w:rsidRPr="00C74A68">
        <w:rPr>
          <w:rFonts w:cs="Arial"/>
          <w:rtl/>
        </w:rPr>
        <w:t xml:space="preserve"> והועתק לשונו בח"מ בש"ע סי' הנ"ל</w:t>
      </w:r>
      <w:r>
        <w:rPr>
          <w:rFonts w:cs="Arial" w:hint="cs"/>
          <w:rtl/>
        </w:rPr>
        <w:t xml:space="preserve"> (קמט ס"ט), ח"מ (סק"ב).</w:t>
      </w:r>
    </w:p>
  </w:footnote>
  <w:footnote w:id="1850">
    <w:p w14:paraId="75734140" w14:textId="77777777" w:rsidR="00DF1FC7" w:rsidRDefault="00DF1FC7" w:rsidP="002E5BAD">
      <w:pPr>
        <w:pStyle w:val="a5"/>
      </w:pPr>
      <w:r>
        <w:rPr>
          <w:rStyle w:val="a7"/>
        </w:rPr>
        <w:footnoteRef/>
      </w:r>
      <w:r>
        <w:rPr>
          <w:rtl/>
        </w:rPr>
        <w:t xml:space="preserve"> </w:t>
      </w:r>
      <w:r w:rsidRPr="00444D9B">
        <w:rPr>
          <w:rFonts w:cs="Arial"/>
          <w:rtl/>
        </w:rPr>
        <w:t>אא"כ נתגרשה אפילו ספק גירושין כמ"ש בח"ה סי' קמ"ט</w:t>
      </w:r>
      <w:r>
        <w:rPr>
          <w:rFonts w:cs="Arial" w:hint="cs"/>
          <w:rtl/>
        </w:rPr>
        <w:t>, ב"ש (סק"ב).</w:t>
      </w:r>
    </w:p>
  </w:footnote>
  <w:footnote w:id="1851">
    <w:p w14:paraId="619B2205" w14:textId="77777777" w:rsidR="00DF1FC7" w:rsidRDefault="00DF1FC7" w:rsidP="002E5BAD">
      <w:pPr>
        <w:pStyle w:val="a5"/>
        <w:rPr>
          <w:rtl/>
        </w:rPr>
      </w:pPr>
      <w:r>
        <w:rPr>
          <w:rStyle w:val="a7"/>
        </w:rPr>
        <w:footnoteRef/>
      </w:r>
      <w:r>
        <w:rPr>
          <w:rtl/>
        </w:rPr>
        <w:t xml:space="preserve"> </w:t>
      </w:r>
      <w:r w:rsidRPr="00C74A68">
        <w:rPr>
          <w:rFonts w:cs="Arial"/>
          <w:rtl/>
        </w:rPr>
        <w:t>בח"מ סי' קמ"ט כתב הרב דין זה בשם י"א משום שאינו מוסכם</w:t>
      </w:r>
      <w:r>
        <w:rPr>
          <w:rFonts w:cs="Arial" w:hint="cs"/>
          <w:rtl/>
        </w:rPr>
        <w:t>,</w:t>
      </w:r>
      <w:r w:rsidRPr="00C74A68">
        <w:rPr>
          <w:rFonts w:cs="Arial"/>
          <w:rtl/>
        </w:rPr>
        <w:t xml:space="preserve"> דהא לדעת הרמב"ם אפי' חפר וקלקל הקרקע אין לאיש חזקה</w:t>
      </w:r>
      <w:r>
        <w:rPr>
          <w:rFonts w:cs="Arial" w:hint="cs"/>
          <w:rtl/>
        </w:rPr>
        <w:t>,</w:t>
      </w:r>
      <w:r w:rsidRPr="00C74A68">
        <w:rPr>
          <w:rFonts w:cs="Arial"/>
          <w:rtl/>
        </w:rPr>
        <w:t xml:space="preserve"> מכ"ש פתיחת החלונות פשיט' דיכולה האשה לומר לא מחלתי תשמיש זה לדורות רק עם בעלי לא דקדקתי לפי שעה</w:t>
      </w:r>
      <w:r>
        <w:rPr>
          <w:rFonts w:cs="Arial" w:hint="cs"/>
          <w:rtl/>
        </w:rPr>
        <w:t>,</w:t>
      </w:r>
      <w:r w:rsidRPr="00C74A68">
        <w:rPr>
          <w:rFonts w:cs="Arial"/>
          <w:rtl/>
        </w:rPr>
        <w:t xml:space="preserve"> וכ"כ הריטב"א בהדיא הביאו הב"י סי' קמ"ט</w:t>
      </w:r>
      <w:r>
        <w:rPr>
          <w:rFonts w:hint="cs"/>
          <w:rtl/>
        </w:rPr>
        <w:t>, ח"מ (סק"ג).</w:t>
      </w:r>
    </w:p>
  </w:footnote>
  <w:footnote w:id="1852">
    <w:p w14:paraId="1774F7B4" w14:textId="77777777" w:rsidR="00DF1FC7" w:rsidRDefault="00DF1FC7" w:rsidP="002E5BAD">
      <w:pPr>
        <w:pStyle w:val="a5"/>
      </w:pPr>
      <w:r>
        <w:rPr>
          <w:rStyle w:val="a7"/>
        </w:rPr>
        <w:footnoteRef/>
      </w:r>
      <w:r>
        <w:rPr>
          <w:rtl/>
        </w:rPr>
        <w:t xml:space="preserve"> </w:t>
      </w:r>
      <w:r w:rsidRPr="0098542A">
        <w:rPr>
          <w:rFonts w:cs="Arial"/>
          <w:rtl/>
        </w:rPr>
        <w:t>תימה לרשב"א דמאי קשיא נימא לעולם באחר והא דקאמר (צריך) למחות כשכתב לה דין ודברים אין לי בנכסייך ובפירותיהם שאין לבעל פירות ולכך צריכה למחות שאינה סומכת עליו ונראה לו דמ"מ סומכת עליו כיון שאם מתה יורשה דאפילו כתב לה בחייך ובמותך קיימא לן כרשב"ג דאם מתה יורשה בפרק הכותב (כתובות פג:)</w:t>
      </w:r>
      <w:r>
        <w:rPr>
          <w:rFonts w:cs="Arial" w:hint="cs"/>
          <w:rtl/>
        </w:rPr>
        <w:t xml:space="preserve">, תוס' (נ: ד"ה </w:t>
      </w:r>
      <w:r w:rsidRPr="0098542A">
        <w:rPr>
          <w:rFonts w:cs="Arial"/>
          <w:rtl/>
        </w:rPr>
        <w:t>במאן</w:t>
      </w:r>
      <w:r>
        <w:rPr>
          <w:rFonts w:cs="Arial" w:hint="cs"/>
          <w:rtl/>
        </w:rPr>
        <w:t>). וכ"כ הטור.</w:t>
      </w:r>
    </w:p>
  </w:footnote>
  <w:footnote w:id="1853">
    <w:p w14:paraId="7D4F7EB7" w14:textId="77777777" w:rsidR="00DF1FC7" w:rsidRDefault="00DF1FC7" w:rsidP="002E5BAD">
      <w:pPr>
        <w:pStyle w:val="a5"/>
        <w:rPr>
          <w:rtl/>
        </w:rPr>
      </w:pPr>
      <w:r>
        <w:rPr>
          <w:rStyle w:val="a7"/>
        </w:rPr>
        <w:footnoteRef/>
      </w:r>
      <w:r>
        <w:rPr>
          <w:rtl/>
        </w:rPr>
        <w:t xml:space="preserve"> </w:t>
      </w:r>
      <w:r w:rsidRPr="00444D9B">
        <w:rPr>
          <w:rFonts w:cs="Arial"/>
          <w:rtl/>
        </w:rPr>
        <w:t>אא"כ החזיק' וטוען בפני מכרת לבעלך והוא מכר לי</w:t>
      </w:r>
      <w:r>
        <w:rPr>
          <w:rFonts w:cs="Arial" w:hint="cs"/>
          <w:rtl/>
        </w:rPr>
        <w:t>,</w:t>
      </w:r>
      <w:r w:rsidRPr="00444D9B">
        <w:rPr>
          <w:rFonts w:cs="Arial"/>
          <w:rtl/>
        </w:rPr>
        <w:t xml:space="preserve"> אז נאמן במיגו אתה מכרת לי אפילו התחיל להחזיק בחיי בעלה</w:t>
      </w:r>
      <w:r>
        <w:rPr>
          <w:rFonts w:cs="Arial" w:hint="cs"/>
          <w:rtl/>
        </w:rPr>
        <w:t>,</w:t>
      </w:r>
      <w:r w:rsidRPr="00444D9B">
        <w:rPr>
          <w:rFonts w:cs="Arial"/>
          <w:rtl/>
        </w:rPr>
        <w:t xml:space="preserve"> טח"מ</w:t>
      </w:r>
      <w:r>
        <w:rPr>
          <w:rFonts w:cs="Arial" w:hint="cs"/>
          <w:rtl/>
        </w:rPr>
        <w:t>.</w:t>
      </w:r>
      <w:r w:rsidRPr="00444D9B">
        <w:rPr>
          <w:rFonts w:cs="Arial"/>
          <w:rtl/>
        </w:rPr>
        <w:t xml:space="preserve"> </w:t>
      </w:r>
    </w:p>
  </w:footnote>
  <w:footnote w:id="1854">
    <w:p w14:paraId="6DBD39E0" w14:textId="77777777" w:rsidR="00DF1FC7" w:rsidRDefault="00DF1FC7" w:rsidP="002E5BAD">
      <w:pPr>
        <w:pStyle w:val="a5"/>
      </w:pPr>
      <w:r>
        <w:rPr>
          <w:rStyle w:val="a7"/>
        </w:rPr>
        <w:footnoteRef/>
      </w:r>
      <w:r>
        <w:rPr>
          <w:rtl/>
        </w:rPr>
        <w:t xml:space="preserve"> </w:t>
      </w:r>
      <w:r w:rsidRPr="000B69EF">
        <w:rPr>
          <w:rFonts w:cs="Arial"/>
          <w:rtl/>
        </w:rPr>
        <w:t>אשתמיטתא דברי הדרישה כו' ובגליון הב"ש דהגר"ע איגר זצ"ל נ"ב גם בדרישה חו"מ סי' קמ"ט הקשה כן אבל לענ"ד לק"מ דהא הש"ס פריך לרב לשיטתי' דפסק כרשב"ג דאם מתה יורשה עכ"ל וכן תירץ בס' קצות החושן שם סק"ג ע"ש וגם בתשו' גבעת שאול סי' צ"ה ובספר בית מאיר ובקו"א לס' כתובה ע"ש עוד</w:t>
      </w:r>
      <w:r>
        <w:rPr>
          <w:rFonts w:cs="Arial" w:hint="cs"/>
          <w:rtl/>
        </w:rPr>
        <w:t>, פת"ש (סק"א).</w:t>
      </w:r>
    </w:p>
  </w:footnote>
  <w:footnote w:id="1855">
    <w:p w14:paraId="0F6228E9" w14:textId="77777777" w:rsidR="00DF1FC7" w:rsidRDefault="00DF1FC7" w:rsidP="002E5BAD">
      <w:pPr>
        <w:pStyle w:val="a5"/>
        <w:rPr>
          <w:rtl/>
        </w:rPr>
      </w:pPr>
      <w:r>
        <w:rPr>
          <w:rStyle w:val="a7"/>
        </w:rPr>
        <w:footnoteRef/>
      </w:r>
      <w:r>
        <w:rPr>
          <w:rtl/>
        </w:rPr>
        <w:t xml:space="preserve"> </w:t>
      </w:r>
      <w:r w:rsidRPr="00DE3527">
        <w:rPr>
          <w:rFonts w:cs="Arial"/>
          <w:rtl/>
        </w:rPr>
        <w:t>מה שהאשה מכנסת לבעלה ושמה לו לקבלם עליו באחריות כתובתה</w:t>
      </w:r>
      <w:r>
        <w:rPr>
          <w:rFonts w:cs="Arial" w:hint="cs"/>
          <w:rtl/>
        </w:rPr>
        <w:t>,</w:t>
      </w:r>
      <w:r w:rsidRPr="00DE3527">
        <w:rPr>
          <w:rFonts w:cs="Arial"/>
          <w:rtl/>
        </w:rPr>
        <w:t xml:space="preserve"> כמו שכותבין </w:t>
      </w:r>
      <w:r>
        <w:rPr>
          <w:rFonts w:cs="Arial" w:hint="cs"/>
          <w:rtl/>
        </w:rPr>
        <w:t>'</w:t>
      </w:r>
      <w:r w:rsidRPr="00DE3527">
        <w:rPr>
          <w:rFonts w:cs="Arial"/>
          <w:rtl/>
        </w:rPr>
        <w:t>ודא נדוניא דהנעלת ליה</w:t>
      </w:r>
      <w:r>
        <w:rPr>
          <w:rFonts w:cs="Arial" w:hint="cs"/>
          <w:rtl/>
        </w:rPr>
        <w:t>',</w:t>
      </w:r>
      <w:r w:rsidRPr="00DE3527">
        <w:rPr>
          <w:rFonts w:cs="Arial"/>
          <w:rtl/>
        </w:rPr>
        <w:t xml:space="preserve"> והוא מוסיף כנגדן וכותב </w:t>
      </w:r>
      <w:r>
        <w:rPr>
          <w:rFonts w:cs="Arial" w:hint="cs"/>
          <w:rtl/>
        </w:rPr>
        <w:t>'</w:t>
      </w:r>
      <w:r w:rsidRPr="00DE3527">
        <w:rPr>
          <w:rFonts w:cs="Arial"/>
          <w:rtl/>
        </w:rPr>
        <w:t>סך הכל קבל עליו פלוני כך וכך בכתובתה</w:t>
      </w:r>
      <w:r>
        <w:rPr>
          <w:rFonts w:cs="Arial" w:hint="cs"/>
          <w:rtl/>
        </w:rPr>
        <w:t>' -</w:t>
      </w:r>
      <w:r w:rsidRPr="00DE3527">
        <w:rPr>
          <w:rFonts w:cs="Arial"/>
          <w:rtl/>
        </w:rPr>
        <w:t xml:space="preserve"> קורין צאן ברזל</w:t>
      </w:r>
      <w:r>
        <w:rPr>
          <w:rFonts w:cs="Arial" w:hint="cs"/>
          <w:rtl/>
        </w:rPr>
        <w:t>.</w:t>
      </w:r>
      <w:r w:rsidRPr="00DE3527">
        <w:rPr>
          <w:rFonts w:cs="Arial"/>
          <w:rtl/>
        </w:rPr>
        <w:t xml:space="preserve"> ויש שמכנסת ממון הרבה ואינה כותבת כולו בכתובתה</w:t>
      </w:r>
      <w:r>
        <w:rPr>
          <w:rFonts w:cs="Arial" w:hint="cs"/>
          <w:rtl/>
        </w:rPr>
        <w:t>,</w:t>
      </w:r>
      <w:r w:rsidRPr="00DE3527">
        <w:rPr>
          <w:rFonts w:cs="Arial"/>
          <w:rtl/>
        </w:rPr>
        <w:t xml:space="preserve"> ומשיירת לעצמה </w:t>
      </w:r>
      <w:r>
        <w:rPr>
          <w:rFonts w:cs="Arial" w:hint="cs"/>
          <w:rtl/>
        </w:rPr>
        <w:t xml:space="preserve">- </w:t>
      </w:r>
      <w:r w:rsidRPr="00DE3527">
        <w:rPr>
          <w:rFonts w:cs="Arial"/>
          <w:rtl/>
        </w:rPr>
        <w:t>הן נכסי מלוג</w:t>
      </w:r>
      <w:r>
        <w:rPr>
          <w:rFonts w:cs="Arial" w:hint="cs"/>
          <w:rtl/>
        </w:rPr>
        <w:t>,</w:t>
      </w:r>
      <w:r w:rsidRPr="00DE3527">
        <w:rPr>
          <w:rFonts w:cs="Arial"/>
          <w:rtl/>
        </w:rPr>
        <w:t xml:space="preserve"> והבעל אוכל פירות</w:t>
      </w:r>
      <w:r>
        <w:rPr>
          <w:rFonts w:cs="Arial" w:hint="cs"/>
          <w:rtl/>
        </w:rPr>
        <w:t>,</w:t>
      </w:r>
      <w:r w:rsidRPr="00DE3527">
        <w:rPr>
          <w:rFonts w:cs="Arial"/>
          <w:rtl/>
        </w:rPr>
        <w:t xml:space="preserve"> והקרן שלה קיים</w:t>
      </w:r>
      <w:r>
        <w:rPr>
          <w:rFonts w:cs="Arial" w:hint="cs"/>
          <w:rtl/>
        </w:rPr>
        <w:t>,</w:t>
      </w:r>
      <w:r w:rsidRPr="00DE3527">
        <w:rPr>
          <w:rFonts w:cs="Arial"/>
          <w:rtl/>
        </w:rPr>
        <w:t xml:space="preserve"> ואם מתו </w:t>
      </w:r>
      <w:r>
        <w:rPr>
          <w:rFonts w:cs="Arial" w:hint="cs"/>
          <w:rtl/>
        </w:rPr>
        <w:t xml:space="preserve">- </w:t>
      </w:r>
      <w:r w:rsidRPr="00DE3527">
        <w:rPr>
          <w:rFonts w:cs="Arial"/>
          <w:rtl/>
        </w:rPr>
        <w:t>מתו לה</w:t>
      </w:r>
      <w:r>
        <w:rPr>
          <w:rFonts w:cs="Arial" w:hint="cs"/>
          <w:rtl/>
        </w:rPr>
        <w:t>,</w:t>
      </w:r>
      <w:r w:rsidRPr="00DE3527">
        <w:rPr>
          <w:rFonts w:cs="Arial"/>
          <w:rtl/>
        </w:rPr>
        <w:t xml:space="preserve"> או פחתו </w:t>
      </w:r>
      <w:r>
        <w:rPr>
          <w:rFonts w:cs="Arial" w:hint="cs"/>
          <w:rtl/>
        </w:rPr>
        <w:t xml:space="preserve">- </w:t>
      </w:r>
      <w:r w:rsidRPr="00DE3527">
        <w:rPr>
          <w:rFonts w:cs="Arial"/>
          <w:rtl/>
        </w:rPr>
        <w:t>פחתו לה</w:t>
      </w:r>
      <w:r>
        <w:rPr>
          <w:rFonts w:cs="Arial" w:hint="cs"/>
          <w:rtl/>
        </w:rPr>
        <w:t>.</w:t>
      </w:r>
      <w:r w:rsidRPr="00DE3527">
        <w:rPr>
          <w:rFonts w:cs="Arial"/>
          <w:rtl/>
        </w:rPr>
        <w:t xml:space="preserve"> לשון צאן ברזל</w:t>
      </w:r>
      <w:r>
        <w:rPr>
          <w:rFonts w:cs="Arial" w:hint="cs"/>
          <w:rtl/>
        </w:rPr>
        <w:t xml:space="preserve">, </w:t>
      </w:r>
      <w:r w:rsidRPr="00DE3527">
        <w:rPr>
          <w:rFonts w:cs="Arial"/>
          <w:rtl/>
        </w:rPr>
        <w:t>קרן קיים</w:t>
      </w:r>
      <w:r>
        <w:rPr>
          <w:rFonts w:cs="Arial" w:hint="cs"/>
          <w:rtl/>
        </w:rPr>
        <w:t>,</w:t>
      </w:r>
      <w:r w:rsidRPr="00DE3527">
        <w:rPr>
          <w:rFonts w:cs="Arial"/>
          <w:rtl/>
        </w:rPr>
        <w:t xml:space="preserve"> שאין פוחת ונפסד</w:t>
      </w:r>
      <w:r>
        <w:rPr>
          <w:rFonts w:cs="Arial" w:hint="cs"/>
          <w:rtl/>
        </w:rPr>
        <w:t>,</w:t>
      </w:r>
      <w:r w:rsidRPr="00DE3527">
        <w:rPr>
          <w:rFonts w:cs="Arial"/>
          <w:rtl/>
        </w:rPr>
        <w:t xml:space="preserve"> שאפילו מתו כולן אחריותן עליו לשלם לה כשימות או יגרשנה</w:t>
      </w:r>
      <w:r>
        <w:rPr>
          <w:rFonts w:hint="cs"/>
          <w:rtl/>
        </w:rPr>
        <w:t>, רש"י.</w:t>
      </w:r>
    </w:p>
  </w:footnote>
  <w:footnote w:id="1856">
    <w:p w14:paraId="43C820BA" w14:textId="77777777" w:rsidR="00DF1FC7" w:rsidRDefault="00DF1FC7" w:rsidP="002E5BAD">
      <w:pPr>
        <w:pStyle w:val="a5"/>
        <w:rPr>
          <w:rtl/>
        </w:rPr>
      </w:pPr>
      <w:r>
        <w:rPr>
          <w:rStyle w:val="a7"/>
        </w:rPr>
        <w:footnoteRef/>
      </w:r>
      <w:r>
        <w:rPr>
          <w:rtl/>
        </w:rPr>
        <w:t xml:space="preserve"> </w:t>
      </w:r>
      <w:r w:rsidRPr="00EB63AD">
        <w:rPr>
          <w:rFonts w:cs="Arial"/>
          <w:rtl/>
        </w:rPr>
        <w:t>לפי שהן שלה והיא חללה ולקמן בגמרא מפרש טעמא</w:t>
      </w:r>
      <w:r>
        <w:rPr>
          <w:rFonts w:hint="cs"/>
          <w:rtl/>
        </w:rPr>
        <w:t>, רש"י.</w:t>
      </w:r>
    </w:p>
  </w:footnote>
  <w:footnote w:id="1857">
    <w:p w14:paraId="6F9C4E3E" w14:textId="77777777" w:rsidR="00DF1FC7" w:rsidRDefault="00DF1FC7" w:rsidP="002E5BAD">
      <w:pPr>
        <w:pStyle w:val="a5"/>
      </w:pPr>
      <w:r>
        <w:rPr>
          <w:rStyle w:val="a7"/>
        </w:rPr>
        <w:footnoteRef/>
      </w:r>
      <w:r>
        <w:rPr>
          <w:rtl/>
        </w:rPr>
        <w:t xml:space="preserve"> </w:t>
      </w:r>
      <w:r w:rsidRPr="00844E7D">
        <w:rPr>
          <w:rFonts w:cs="Arial"/>
          <w:rtl/>
        </w:rPr>
        <w:t>נכסי צאן ברזל ששמה לו בכתובתה והיו בהן כלים ודבר המסויים וכשגירשה ובאתה ליטול כתובתה</w:t>
      </w:r>
      <w:r>
        <w:rPr>
          <w:rFonts w:cs="Arial" w:hint="cs"/>
          <w:rtl/>
        </w:rPr>
        <w:t>, רש"י.</w:t>
      </w:r>
    </w:p>
  </w:footnote>
  <w:footnote w:id="1858">
    <w:p w14:paraId="5A729616" w14:textId="77777777" w:rsidR="00DF1FC7" w:rsidRDefault="00DF1FC7" w:rsidP="002E5BAD">
      <w:pPr>
        <w:pStyle w:val="a5"/>
        <w:rPr>
          <w:rtl/>
        </w:rPr>
      </w:pPr>
      <w:r>
        <w:rPr>
          <w:rStyle w:val="a7"/>
        </w:rPr>
        <w:footnoteRef/>
      </w:r>
      <w:r>
        <w:rPr>
          <w:rtl/>
        </w:rPr>
        <w:t xml:space="preserve"> </w:t>
      </w:r>
      <w:r w:rsidRPr="00844E7D">
        <w:rPr>
          <w:rFonts w:cs="Arial"/>
          <w:rtl/>
        </w:rPr>
        <w:t>כמו שקבלתי עלי בשומא ומאז הן באחריותי ושלי הן</w:t>
      </w:r>
      <w:r>
        <w:rPr>
          <w:rFonts w:hint="cs"/>
          <w:rtl/>
        </w:rPr>
        <w:t>, רש"י.</w:t>
      </w:r>
    </w:p>
  </w:footnote>
  <w:footnote w:id="1859">
    <w:p w14:paraId="78F4A3AE" w14:textId="77777777" w:rsidR="00DF1FC7" w:rsidRDefault="00DF1FC7" w:rsidP="002E5BAD">
      <w:pPr>
        <w:pStyle w:val="a5"/>
      </w:pPr>
      <w:r>
        <w:rPr>
          <w:rStyle w:val="a7"/>
        </w:rPr>
        <w:footnoteRef/>
      </w:r>
      <w:r>
        <w:rPr>
          <w:rtl/>
        </w:rPr>
        <w:t xml:space="preserve"> </w:t>
      </w:r>
      <w:r>
        <w:rPr>
          <w:rFonts w:cs="Arial" w:hint="cs"/>
          <w:rtl/>
        </w:rPr>
        <w:t>ו</w:t>
      </w:r>
      <w:r w:rsidRPr="00844E7D">
        <w:rPr>
          <w:rFonts w:cs="Arial"/>
          <w:rtl/>
        </w:rPr>
        <w:t>דוקא בשעדיין עושין מעין מלאכתן ואע</w:t>
      </w:r>
      <w:r>
        <w:rPr>
          <w:rFonts w:cs="Arial" w:hint="cs"/>
          <w:rtl/>
        </w:rPr>
        <w:t>"</w:t>
      </w:r>
      <w:r w:rsidRPr="00844E7D">
        <w:rPr>
          <w:rFonts w:cs="Arial"/>
          <w:rtl/>
        </w:rPr>
        <w:t>פ שבלו קצת אבל אם לא היו עושים מעין מלאכתן אין כאן משום שבח בית אביה</w:t>
      </w:r>
      <w:r>
        <w:rPr>
          <w:rFonts w:cs="Arial" w:hint="cs"/>
          <w:rtl/>
        </w:rPr>
        <w:t>, ריב"ש (סי' שסח)</w:t>
      </w:r>
      <w:r w:rsidRPr="00844E7D">
        <w:rPr>
          <w:rFonts w:cs="Arial"/>
          <w:rtl/>
        </w:rPr>
        <w:t>.</w:t>
      </w:r>
    </w:p>
  </w:footnote>
  <w:footnote w:id="1860">
    <w:p w14:paraId="5C38344F" w14:textId="77777777" w:rsidR="00DF1FC7" w:rsidRDefault="00DF1FC7" w:rsidP="002E5BAD">
      <w:pPr>
        <w:pStyle w:val="a5"/>
      </w:pPr>
      <w:r>
        <w:rPr>
          <w:rStyle w:val="a7"/>
        </w:rPr>
        <w:footnoteRef/>
      </w:r>
      <w:r>
        <w:rPr>
          <w:rtl/>
        </w:rPr>
        <w:t xml:space="preserve"> </w:t>
      </w:r>
      <w:r>
        <w:rPr>
          <w:rFonts w:hint="cs"/>
          <w:rtl/>
        </w:rPr>
        <w:t xml:space="preserve">כלומר ואסור בהנאה, ב"י </w:t>
      </w:r>
      <w:r w:rsidRPr="00051A54">
        <w:rPr>
          <w:rFonts w:hint="cs"/>
          <w:sz w:val="16"/>
          <w:szCs w:val="16"/>
          <w:rtl/>
        </w:rPr>
        <w:t>(</w:t>
      </w:r>
      <w:r w:rsidRPr="00051A54">
        <w:rPr>
          <w:rFonts w:cs="Arial"/>
          <w:sz w:val="16"/>
          <w:szCs w:val="16"/>
          <w:rtl/>
        </w:rPr>
        <w:t>תכריכי המת איסורי הנאה הן כהקדש דגמר שם שם מעגלה ערופה בפ' נגמר הדין (סנהדרין מז:)</w:t>
      </w:r>
      <w:r w:rsidRPr="00051A54">
        <w:rPr>
          <w:rFonts w:cs="Arial" w:hint="cs"/>
          <w:sz w:val="16"/>
          <w:szCs w:val="16"/>
          <w:rtl/>
        </w:rPr>
        <w:t>, רש"י)</w:t>
      </w:r>
      <w:r w:rsidRPr="00ED3532">
        <w:rPr>
          <w:rFonts w:cs="Arial"/>
          <w:rtl/>
        </w:rPr>
        <w:t>.</w:t>
      </w:r>
    </w:p>
  </w:footnote>
  <w:footnote w:id="1861">
    <w:p w14:paraId="733B9C54" w14:textId="77777777" w:rsidR="00DF1FC7" w:rsidRDefault="00DF1FC7" w:rsidP="002E5BAD">
      <w:pPr>
        <w:pStyle w:val="a5"/>
      </w:pPr>
      <w:r>
        <w:rPr>
          <w:rStyle w:val="a7"/>
        </w:rPr>
        <w:footnoteRef/>
      </w:r>
      <w:r>
        <w:rPr>
          <w:rtl/>
        </w:rPr>
        <w:t xml:space="preserve"> </w:t>
      </w:r>
      <w:r>
        <w:rPr>
          <w:rFonts w:cs="Arial"/>
          <w:rtl/>
        </w:rPr>
        <w:t xml:space="preserve">איכא למידק אמאי נקט רבינו </w:t>
      </w:r>
      <w:r>
        <w:rPr>
          <w:rFonts w:cs="Arial" w:hint="cs"/>
          <w:rtl/>
        </w:rPr>
        <w:t>'</w:t>
      </w:r>
      <w:r>
        <w:rPr>
          <w:rFonts w:cs="Arial"/>
          <w:rtl/>
        </w:rPr>
        <w:t>אפילו בלו הרבה ואין ראוי לעשות בהן מעין מלאכתן ראשונה</w:t>
      </w:r>
      <w:r>
        <w:rPr>
          <w:rFonts w:cs="Arial" w:hint="cs"/>
          <w:rtl/>
        </w:rPr>
        <w:t>'</w:t>
      </w:r>
      <w:r>
        <w:rPr>
          <w:rFonts w:cs="Arial"/>
          <w:rtl/>
        </w:rPr>
        <w:t xml:space="preserve"> דמשמע טעמא דאכתי השחקים קיימים הא אם אין השחקים קיימים משלם אותם והא ודאי ליתא דהא תנן אם מתו מתו לה</w:t>
      </w:r>
      <w:r>
        <w:rPr>
          <w:rFonts w:cs="Arial" w:hint="cs"/>
          <w:rtl/>
        </w:rPr>
        <w:t>.</w:t>
      </w:r>
      <w:r>
        <w:rPr>
          <w:rFonts w:cs="Arial"/>
          <w:rtl/>
        </w:rPr>
        <w:t xml:space="preserve"> וצריך לומר דכל שבלו ואין עושין מעין מלאכתם ראשונה חשיב כמתו בעבדים</w:t>
      </w:r>
      <w:r>
        <w:rPr>
          <w:rFonts w:cs="Arial" w:hint="cs"/>
          <w:rtl/>
        </w:rPr>
        <w:t>, ב"י.</w:t>
      </w:r>
    </w:p>
  </w:footnote>
  <w:footnote w:id="1862">
    <w:p w14:paraId="50E9365B" w14:textId="77777777" w:rsidR="00DF1FC7" w:rsidRDefault="00DF1FC7" w:rsidP="002E5BAD">
      <w:pPr>
        <w:pStyle w:val="a5"/>
        <w:rPr>
          <w:rtl/>
        </w:rPr>
      </w:pPr>
      <w:r>
        <w:rPr>
          <w:rStyle w:val="a7"/>
        </w:rPr>
        <w:footnoteRef/>
      </w:r>
      <w:r>
        <w:rPr>
          <w:rtl/>
        </w:rPr>
        <w:t xml:space="preserve"> </w:t>
      </w:r>
      <w:r w:rsidRPr="00442018">
        <w:rPr>
          <w:rFonts w:cs="Arial"/>
          <w:rtl/>
        </w:rPr>
        <w:t>ומטעם זה כתב הרמ"ה שאינו רשאי למוכרם אפי' בעודה תחתיו</w:t>
      </w:r>
      <w:r w:rsidRPr="00442018">
        <w:rPr>
          <w:rFonts w:cs="Arial" w:hint="cs"/>
          <w:rtl/>
        </w:rPr>
        <w:t>.</w:t>
      </w:r>
      <w:r w:rsidRPr="00442018">
        <w:rPr>
          <w:rFonts w:cs="Arial"/>
          <w:rtl/>
        </w:rPr>
        <w:t xml:space="preserve"> ולא נהירא לא"א הרא"ש ז"ל דודאי בעודה תחתיו עושה בהן כל מה שירצה אלא אם שיירה נותנת דמים ונוטלתן</w:t>
      </w:r>
      <w:r>
        <w:rPr>
          <w:rFonts w:cs="Arial" w:hint="cs"/>
          <w:rtl/>
        </w:rPr>
        <w:t xml:space="preserve"> </w:t>
      </w:r>
      <w:r>
        <w:rPr>
          <w:rFonts w:cs="Arial" w:hint="cs"/>
          <w:sz w:val="16"/>
          <w:szCs w:val="16"/>
          <w:rtl/>
        </w:rPr>
        <w:t>(יתבאר בסימן צ', ב"י)</w:t>
      </w:r>
      <w:r>
        <w:rPr>
          <w:rFonts w:hint="cs"/>
          <w:rtl/>
        </w:rPr>
        <w:t>, טור.</w:t>
      </w:r>
    </w:p>
  </w:footnote>
  <w:footnote w:id="1863">
    <w:p w14:paraId="1DD71402" w14:textId="77777777" w:rsidR="00DF1FC7" w:rsidRDefault="00DF1FC7" w:rsidP="002E5BAD">
      <w:pPr>
        <w:pStyle w:val="a5"/>
        <w:rPr>
          <w:rtl/>
        </w:rPr>
      </w:pPr>
      <w:r>
        <w:rPr>
          <w:rStyle w:val="a7"/>
        </w:rPr>
        <w:footnoteRef/>
      </w:r>
      <w:r>
        <w:rPr>
          <w:rtl/>
        </w:rPr>
        <w:t xml:space="preserve"> </w:t>
      </w:r>
      <w:r>
        <w:rPr>
          <w:rFonts w:cs="Arial" w:hint="cs"/>
          <w:rtl/>
        </w:rPr>
        <w:t xml:space="preserve">וז"ל- </w:t>
      </w:r>
      <w:r>
        <w:rPr>
          <w:rFonts w:cs="Arial"/>
          <w:rtl/>
        </w:rPr>
        <w:t>דייקי רבוותא מדקתני במתני' בעבדי צאן ברזל והוא הדין בנכסי צאן ברזל אם מתו מתו לו ולא קתני אם פחתו פחתו לו דוקא כעין מתו ממש דלא משמשי מעין מלאכתם דכמאן דליתנהו דמי הוא דחייב באחריותן ומשלם דמי' אבל אי איתנהו אע</w:t>
      </w:r>
      <w:r>
        <w:rPr>
          <w:rFonts w:cs="Arial" w:hint="cs"/>
          <w:rtl/>
        </w:rPr>
        <w:t>"</w:t>
      </w:r>
      <w:r>
        <w:rPr>
          <w:rFonts w:cs="Arial"/>
          <w:rtl/>
        </w:rPr>
        <w:t>ג דבלו טובא ופחתו אי משמשי מעין מלאכתן נוטלתן האשה ואינו משלם דמים שדין עבדי צאן ברזל ודין נכסי צאן ברזל חד הוא כדין אלו כך דין אלו ואנן לא חזינן להאי דיוקא דהא מקשינן בגמרא (שם ע"ב) למאן דאמר כל היכא דמחייב באחריותן אכלי בתרומה מהא דתנן כהן ששכר פרה מישראל אע</w:t>
      </w:r>
      <w:r>
        <w:rPr>
          <w:rFonts w:cs="Arial" w:hint="cs"/>
          <w:rtl/>
        </w:rPr>
        <w:t>"</w:t>
      </w:r>
      <w:r>
        <w:rPr>
          <w:rFonts w:cs="Arial"/>
          <w:rtl/>
        </w:rPr>
        <w:t>פ שמזונותיה עליו לא יאכילנה כרשיני תרומה וקא מפרקינן ותסברא נהי דמחייב באונסיה בכחישה וביתרות דמיה מי מחייב מדקא מפרקינן הכי גבי שכירות פרה מכלל דלגבי צאן ברזל מחייב ואפילו בכחישה וביתרות דמים ולהכי אכלי בתרומה וש"מ דליתא להאי דיוקא דדקו קמאי ז"ל אלא מיהו אע</w:t>
      </w:r>
      <w:r>
        <w:rPr>
          <w:rFonts w:cs="Arial" w:hint="cs"/>
          <w:rtl/>
        </w:rPr>
        <w:t>"</w:t>
      </w:r>
      <w:r>
        <w:rPr>
          <w:rFonts w:cs="Arial"/>
          <w:rtl/>
        </w:rPr>
        <w:t>ג דדינא דגמרא הכי לא מחייבינן ליה לבעל השתא בכחישה וביתרות דמים דכיון דלא נהגי עלמא הכי כל מאן דמקבל לנכסי צאן ברזל וכתב להו עליה אדעתא דמנהגא הוא דמקבל להו עליה הילכך לא מיחייב אלא לפום מנהגא</w:t>
      </w:r>
      <w:r>
        <w:rPr>
          <w:rFonts w:hint="cs"/>
          <w:rtl/>
        </w:rPr>
        <w:t>.</w:t>
      </w:r>
    </w:p>
  </w:footnote>
  <w:footnote w:id="1864">
    <w:p w14:paraId="5F27471F" w14:textId="77777777" w:rsidR="00DF1FC7" w:rsidRDefault="00DF1FC7" w:rsidP="002E5BAD">
      <w:pPr>
        <w:pStyle w:val="a5"/>
        <w:rPr>
          <w:rtl/>
        </w:rPr>
      </w:pPr>
      <w:r>
        <w:rPr>
          <w:rStyle w:val="a7"/>
        </w:rPr>
        <w:footnoteRef/>
      </w:r>
      <w:r>
        <w:rPr>
          <w:rtl/>
        </w:rPr>
        <w:t xml:space="preserve"> </w:t>
      </w:r>
      <w:r w:rsidRPr="00A44EC8">
        <w:rPr>
          <w:rFonts w:cs="Arial"/>
          <w:rtl/>
        </w:rPr>
        <w:t>ועיין במגיד משנה (הל"ה) שכתב שיש מקומות שנוהגין כדברי התלמוד ועיין שם</w:t>
      </w:r>
      <w:r>
        <w:rPr>
          <w:rFonts w:cs="Arial" w:hint="cs"/>
          <w:rtl/>
        </w:rPr>
        <w:t>, דרכ"מ (אות א).</w:t>
      </w:r>
    </w:p>
  </w:footnote>
  <w:footnote w:id="1865">
    <w:p w14:paraId="00E06B86" w14:textId="77777777" w:rsidR="00DF1FC7" w:rsidRDefault="00DF1FC7" w:rsidP="002E5BAD">
      <w:pPr>
        <w:pStyle w:val="a5"/>
        <w:rPr>
          <w:rtl/>
        </w:rPr>
      </w:pPr>
      <w:r>
        <w:rPr>
          <w:rStyle w:val="a7"/>
        </w:rPr>
        <w:footnoteRef/>
      </w:r>
      <w:r>
        <w:rPr>
          <w:rtl/>
        </w:rPr>
        <w:t xml:space="preserve"> </w:t>
      </w:r>
      <w:r w:rsidRPr="001676FE">
        <w:rPr>
          <w:rFonts w:cs="Arial"/>
          <w:rtl/>
        </w:rPr>
        <w:t>כ"כ הרמב"ם פי"ח מהל' אישות וכ' המ"מ ביאור דבריו כשהנכסים הם בעין אבל ודאי אם נאבדו ובאה לגבות מן היתומים צריכה היא לישבע ואם מתה בלא שבועה ודאי אין יורשיה נוטלים כלום דלא עדיף מחוב דעלמא וכ"כ הריב"ש סי' קס"ט דאף דאין המטלטלין שהביאה בנדוניא בעין אלא אף אם נמכרו ולקחו אחרים בדמיהן כיון שאם לא מתה היתה נוטלת אותן בלא שבועה וע"ש וע' לקמן ריש סי' צ"ו</w:t>
      </w:r>
      <w:r>
        <w:rPr>
          <w:rFonts w:hint="cs"/>
          <w:rtl/>
        </w:rPr>
        <w:t xml:space="preserve">, ח"מ (סק"א). והביא הב"ש (סק"א) את דברי הה"מ וכתב וז"ל- </w:t>
      </w:r>
      <w:r w:rsidRPr="001676FE">
        <w:rPr>
          <w:rFonts w:cs="Arial"/>
          <w:rtl/>
        </w:rPr>
        <w:t xml:space="preserve">ולמ"ש תוספות </w:t>
      </w:r>
      <w:r>
        <w:rPr>
          <w:rFonts w:cs="Arial" w:hint="cs"/>
          <w:rtl/>
        </w:rPr>
        <w:t>(</w:t>
      </w:r>
      <w:r w:rsidRPr="001676FE">
        <w:rPr>
          <w:rFonts w:cs="Arial"/>
          <w:rtl/>
        </w:rPr>
        <w:t>ריש ב"ב ובפ' השולח דף ל"ד</w:t>
      </w:r>
      <w:r>
        <w:rPr>
          <w:rFonts w:cs="Arial" w:hint="cs"/>
          <w:rtl/>
        </w:rPr>
        <w:t>)</w:t>
      </w:r>
      <w:r w:rsidRPr="001676FE">
        <w:rPr>
          <w:rFonts w:cs="Arial"/>
          <w:rtl/>
        </w:rPr>
        <w:t xml:space="preserve"> הטעם דאלמנה צריכה שבועה אע</w:t>
      </w:r>
      <w:r>
        <w:rPr>
          <w:rFonts w:cs="Arial" w:hint="cs"/>
          <w:rtl/>
        </w:rPr>
        <w:t>"</w:t>
      </w:r>
      <w:r w:rsidRPr="001676FE">
        <w:rPr>
          <w:rFonts w:cs="Arial"/>
          <w:rtl/>
        </w:rPr>
        <w:t>ג דקי"ל חזקה אין אדם פורע תוך הזמן</w:t>
      </w:r>
      <w:r>
        <w:rPr>
          <w:rFonts w:cs="Arial" w:hint="cs"/>
          <w:rtl/>
        </w:rPr>
        <w:t>,</w:t>
      </w:r>
      <w:r w:rsidRPr="001676FE">
        <w:rPr>
          <w:rFonts w:cs="Arial"/>
          <w:rtl/>
        </w:rPr>
        <w:t xml:space="preserve"> משום אלמנה דאי</w:t>
      </w:r>
      <w:r>
        <w:rPr>
          <w:rFonts w:cs="Arial" w:hint="cs"/>
          <w:rtl/>
        </w:rPr>
        <w:t>ן</w:t>
      </w:r>
      <w:r w:rsidRPr="001676FE">
        <w:rPr>
          <w:rFonts w:cs="Arial"/>
          <w:rtl/>
        </w:rPr>
        <w:t xml:space="preserve"> לה כתובה מתקנות חז"ל חיישינן טפי</w:t>
      </w:r>
      <w:r>
        <w:rPr>
          <w:rFonts w:cs="Arial" w:hint="cs"/>
          <w:rtl/>
        </w:rPr>
        <w:t>,</w:t>
      </w:r>
      <w:r w:rsidRPr="001676FE">
        <w:rPr>
          <w:rFonts w:cs="Arial"/>
          <w:rtl/>
        </w:rPr>
        <w:t xml:space="preserve"> לפ</w:t>
      </w:r>
      <w:r>
        <w:rPr>
          <w:rFonts w:cs="Arial" w:hint="cs"/>
          <w:rtl/>
        </w:rPr>
        <w:t>י זה</w:t>
      </w:r>
      <w:r w:rsidRPr="001676FE">
        <w:rPr>
          <w:rFonts w:cs="Arial"/>
          <w:rtl/>
        </w:rPr>
        <w:t xml:space="preserve"> נ"מ ונצ"ב א"צ שבועה אפי' ליתא בעין</w:t>
      </w:r>
      <w:r>
        <w:rPr>
          <w:rFonts w:cs="Arial" w:hint="cs"/>
          <w:rtl/>
        </w:rPr>
        <w:t>,</w:t>
      </w:r>
      <w:r w:rsidRPr="001676FE">
        <w:rPr>
          <w:rFonts w:cs="Arial"/>
          <w:rtl/>
        </w:rPr>
        <w:t xml:space="preserve"> ועיין סי' צ"ז שם כתבתי באריכות</w:t>
      </w:r>
      <w:r>
        <w:rPr>
          <w:rFonts w:cs="Arial" w:hint="cs"/>
          <w:rtl/>
        </w:rPr>
        <w:t>.</w:t>
      </w:r>
    </w:p>
  </w:footnote>
  <w:footnote w:id="1866">
    <w:p w14:paraId="3C899F70" w14:textId="77777777" w:rsidR="00DF1FC7" w:rsidRDefault="00DF1FC7" w:rsidP="002E5BAD">
      <w:pPr>
        <w:pStyle w:val="a5"/>
      </w:pPr>
      <w:r>
        <w:rPr>
          <w:rStyle w:val="a7"/>
        </w:rPr>
        <w:footnoteRef/>
      </w:r>
      <w:r>
        <w:rPr>
          <w:rtl/>
        </w:rPr>
        <w:t xml:space="preserve"> </w:t>
      </w:r>
      <w:r w:rsidRPr="001676FE">
        <w:rPr>
          <w:rFonts w:cs="Arial"/>
          <w:rtl/>
        </w:rPr>
        <w:t>כבר נתבאר לעיל ר"ס פ"ה אפי' אם פשע הבעל בהם פטור דהוי פשיעה בבעלים</w:t>
      </w:r>
      <w:r>
        <w:rPr>
          <w:rFonts w:cs="Arial" w:hint="cs"/>
          <w:rtl/>
        </w:rPr>
        <w:t>, ח"מ (סק"ב).</w:t>
      </w:r>
    </w:p>
  </w:footnote>
  <w:footnote w:id="1867">
    <w:p w14:paraId="06B66887" w14:textId="77777777" w:rsidR="00DF1FC7" w:rsidRDefault="00DF1FC7" w:rsidP="002E5BAD">
      <w:pPr>
        <w:pStyle w:val="a5"/>
      </w:pPr>
      <w:r>
        <w:rPr>
          <w:rStyle w:val="a7"/>
        </w:rPr>
        <w:footnoteRef/>
      </w:r>
      <w:r>
        <w:rPr>
          <w:rtl/>
        </w:rPr>
        <w:t xml:space="preserve"> </w:t>
      </w:r>
      <w:r w:rsidRPr="000E4FBD">
        <w:rPr>
          <w:rFonts w:cs="Arial"/>
          <w:rtl/>
        </w:rPr>
        <w:t>כלומר והריוח הוא לה דמאחר דהמנהג הוא שאין הבעל משלם הפחת אף על גב דמדינא אם פחתו פחתו לו א"כ גם אם הותירו לא הותירו לו רק לה דלמה תלקה האשה בחסר ויתר ועיין בתשו' הריב"ש סי' צ"א וסי' ק'</w:t>
      </w:r>
      <w:r>
        <w:rPr>
          <w:rFonts w:cs="Arial" w:hint="cs"/>
          <w:rtl/>
        </w:rPr>
        <w:t>, ח"מ (סק"ג)</w:t>
      </w:r>
    </w:p>
  </w:footnote>
  <w:footnote w:id="1868">
    <w:p w14:paraId="1ED4C402" w14:textId="77777777" w:rsidR="00DF1FC7" w:rsidRDefault="00DF1FC7" w:rsidP="002E5BAD">
      <w:pPr>
        <w:pStyle w:val="a5"/>
      </w:pPr>
      <w:r>
        <w:rPr>
          <w:rStyle w:val="a7"/>
        </w:rPr>
        <w:footnoteRef/>
      </w:r>
      <w:r>
        <w:rPr>
          <w:rtl/>
        </w:rPr>
        <w:t xml:space="preserve"> </w:t>
      </w:r>
      <w:r w:rsidRPr="00706BA2">
        <w:rPr>
          <w:rFonts w:cs="Arial"/>
          <w:rtl/>
        </w:rPr>
        <w:t>משמע אפי' למנהג שלנו שאין כותבין שום כלי מ"מ שייך שב"א בכלים שהכניסה לו ויש לדמות לולד שפחה דאין פורטים בכתובה מ"מ שייך שב"א וכ"כ בט"ז גם מוכח לדעת הרא"ש והטור דס"ל וולד בהמה וולד שפחה שייך שב"א ובעת הגירושין צריך ליתן לה וכל זמן שהיא תחתיו רשאי למכור ש"מ אע</w:t>
      </w:r>
      <w:r>
        <w:rPr>
          <w:rFonts w:cs="Arial" w:hint="cs"/>
          <w:rtl/>
        </w:rPr>
        <w:t>"</w:t>
      </w:r>
      <w:r w:rsidRPr="00706BA2">
        <w:rPr>
          <w:rFonts w:cs="Arial"/>
          <w:rtl/>
        </w:rPr>
        <w:t>ג דרשאי להוציא ולמכור מ"מ שייך שב"א לכן אפי' בזה"ז אם עדיין אותן מטלטלין שהכניס</w:t>
      </w:r>
      <w:r>
        <w:rPr>
          <w:rFonts w:cs="Arial" w:hint="cs"/>
          <w:rtl/>
        </w:rPr>
        <w:t>ה</w:t>
      </w:r>
      <w:r w:rsidRPr="00706BA2">
        <w:rPr>
          <w:rFonts w:cs="Arial"/>
          <w:rtl/>
        </w:rPr>
        <w:t xml:space="preserve"> בנדוניא הן בעין יכולה לומר את כליי אני לוקח בעת גביות כתובת'</w:t>
      </w:r>
      <w:r>
        <w:rPr>
          <w:rFonts w:cs="Arial" w:hint="cs"/>
          <w:rtl/>
        </w:rPr>
        <w:t>, ב"ש (סק"ד).</w:t>
      </w:r>
    </w:p>
  </w:footnote>
  <w:footnote w:id="1869">
    <w:p w14:paraId="637046B5" w14:textId="77777777" w:rsidR="00DF1FC7" w:rsidRDefault="00DF1FC7" w:rsidP="002E5BAD">
      <w:pPr>
        <w:pStyle w:val="a5"/>
      </w:pPr>
      <w:r>
        <w:rPr>
          <w:rStyle w:val="a7"/>
        </w:rPr>
        <w:footnoteRef/>
      </w:r>
      <w:r>
        <w:rPr>
          <w:rtl/>
        </w:rPr>
        <w:t xml:space="preserve"> </w:t>
      </w:r>
      <w:r w:rsidRPr="00706BA2">
        <w:rPr>
          <w:rFonts w:cs="Arial"/>
          <w:rtl/>
        </w:rPr>
        <w:t>אז שייך שב"א ונוטל' כשומא של עכשיו ואם אין עושי' מעין מלאכתן אפי' אם רוצה למחול על הפחת ורצונה ליקח כמות שהן יכול הוא לעכב וא"צ ליתן לה וכן משמע מריב"ש וכ"כ בח"מ</w:t>
      </w:r>
      <w:r>
        <w:rPr>
          <w:rFonts w:hint="cs"/>
          <w:rtl/>
        </w:rPr>
        <w:t xml:space="preserve"> (סק"ה), ב"ש (סק"ה).</w:t>
      </w:r>
    </w:p>
  </w:footnote>
  <w:footnote w:id="1870">
    <w:p w14:paraId="6555809E" w14:textId="77777777" w:rsidR="00DF1FC7" w:rsidRPr="00BC7C07" w:rsidRDefault="00DF1FC7" w:rsidP="002E5BAD">
      <w:pPr>
        <w:pStyle w:val="a5"/>
        <w:rPr>
          <w:rFonts w:cs="Arial"/>
        </w:rPr>
      </w:pPr>
      <w:r>
        <w:rPr>
          <w:rStyle w:val="a7"/>
        </w:rPr>
        <w:footnoteRef/>
      </w:r>
      <w:r>
        <w:rPr>
          <w:rFonts w:hint="cs"/>
          <w:rtl/>
        </w:rPr>
        <w:t xml:space="preserve"> </w:t>
      </w:r>
      <w:r w:rsidRPr="00BC7C07">
        <w:rPr>
          <w:rFonts w:cs="Arial"/>
          <w:rtl/>
        </w:rPr>
        <w:t>כלו</w:t>
      </w:r>
      <w:r>
        <w:rPr>
          <w:rFonts w:cs="Arial" w:hint="cs"/>
          <w:rtl/>
        </w:rPr>
        <w:t>מר</w:t>
      </w:r>
      <w:r w:rsidRPr="00BC7C07">
        <w:rPr>
          <w:rFonts w:cs="Arial"/>
          <w:rtl/>
        </w:rPr>
        <w:t xml:space="preserve"> אע</w:t>
      </w:r>
      <w:r>
        <w:rPr>
          <w:rFonts w:cs="Arial" w:hint="cs"/>
          <w:rtl/>
        </w:rPr>
        <w:t>"</w:t>
      </w:r>
      <w:r w:rsidRPr="00BC7C07">
        <w:rPr>
          <w:rFonts w:cs="Arial"/>
          <w:rtl/>
        </w:rPr>
        <w:t>פ שבעודה תחתיו כל הולדות שלו מ"מ אם בשעת מיתה וגירושין יש ביד הבעל ולד השפחה שלה או ולד הבהמה שלה שלא מכרן הבעל אזי נותנת לו דמיהן ונוטלתן משום שבח בית אביה</w:t>
      </w:r>
      <w:r>
        <w:rPr>
          <w:rFonts w:cs="Arial" w:hint="cs"/>
          <w:rtl/>
        </w:rPr>
        <w:t>.</w:t>
      </w:r>
      <w:r>
        <w:rPr>
          <w:rtl/>
        </w:rPr>
        <w:t xml:space="preserve"> </w:t>
      </w:r>
      <w:r w:rsidRPr="00BC7C07">
        <w:rPr>
          <w:rFonts w:cs="Arial"/>
          <w:rtl/>
        </w:rPr>
        <w:t>ומשמע כאן דאף בולד בהמה יש שבח בית אביה</w:t>
      </w:r>
      <w:r>
        <w:rPr>
          <w:rFonts w:cs="Arial" w:hint="cs"/>
          <w:rtl/>
        </w:rPr>
        <w:t>,</w:t>
      </w:r>
      <w:r w:rsidRPr="00BC7C07">
        <w:rPr>
          <w:rFonts w:cs="Arial"/>
          <w:rtl/>
        </w:rPr>
        <w:t xml:space="preserve"> אבל פשט הגמ' </w:t>
      </w:r>
      <w:r>
        <w:rPr>
          <w:rFonts w:cs="Arial" w:hint="cs"/>
          <w:rtl/>
        </w:rPr>
        <w:t>(</w:t>
      </w:r>
      <w:r w:rsidRPr="00BC7C07">
        <w:rPr>
          <w:rFonts w:cs="Arial"/>
          <w:rtl/>
        </w:rPr>
        <w:t>כתובות</w:t>
      </w:r>
      <w:r>
        <w:rPr>
          <w:rFonts w:cs="Arial" w:hint="cs"/>
          <w:rtl/>
        </w:rPr>
        <w:t xml:space="preserve"> </w:t>
      </w:r>
      <w:r w:rsidRPr="00BC7C07">
        <w:rPr>
          <w:rFonts w:cs="Arial"/>
          <w:rtl/>
        </w:rPr>
        <w:t>עט</w:t>
      </w:r>
      <w:r>
        <w:rPr>
          <w:rFonts w:cs="Arial" w:hint="cs"/>
          <w:rtl/>
        </w:rPr>
        <w:t>:)</w:t>
      </w:r>
      <w:r w:rsidRPr="00BC7C07">
        <w:rPr>
          <w:rFonts w:cs="Arial"/>
          <w:rtl/>
        </w:rPr>
        <w:t xml:space="preserve"> דמודה חנניא שאם נתגרשה לא קאי אלא אולד שפחה</w:t>
      </w:r>
      <w:r>
        <w:rPr>
          <w:rFonts w:cs="Arial" w:hint="cs"/>
          <w:rtl/>
        </w:rPr>
        <w:t>,</w:t>
      </w:r>
      <w:r w:rsidRPr="00BC7C07">
        <w:rPr>
          <w:rFonts w:cs="Arial"/>
          <w:rtl/>
        </w:rPr>
        <w:t xml:space="preserve"> וכ"כ הרמב"ם בהדיא נותנת דמים משום שבח בית אביה בפכ"ב</w:t>
      </w:r>
      <w:r>
        <w:rPr>
          <w:rFonts w:cs="Arial" w:hint="cs"/>
          <w:rtl/>
        </w:rPr>
        <w:t>,</w:t>
      </w:r>
      <w:r w:rsidRPr="00BC7C07">
        <w:rPr>
          <w:rFonts w:cs="Arial"/>
          <w:rtl/>
        </w:rPr>
        <w:t xml:space="preserve"> וכ"כ המ"מ שם</w:t>
      </w:r>
      <w:r>
        <w:rPr>
          <w:rFonts w:cs="Arial" w:hint="cs"/>
          <w:rtl/>
        </w:rPr>
        <w:t>,</w:t>
      </w:r>
      <w:r w:rsidRPr="00BC7C07">
        <w:rPr>
          <w:rFonts w:cs="Arial"/>
          <w:rtl/>
        </w:rPr>
        <w:t xml:space="preserve"> וכן הוא בריב"ש סי' כ"א</w:t>
      </w:r>
      <w:r>
        <w:rPr>
          <w:rFonts w:cs="Arial" w:hint="cs"/>
          <w:rtl/>
        </w:rPr>
        <w:t>,</w:t>
      </w:r>
      <w:r w:rsidRPr="00BC7C07">
        <w:rPr>
          <w:rFonts w:cs="Arial"/>
          <w:rtl/>
        </w:rPr>
        <w:t xml:space="preserve"> וכן פסק לעיל סי' פ"ה סעיף ט"ז</w:t>
      </w:r>
      <w:r>
        <w:rPr>
          <w:rFonts w:cs="Arial" w:hint="cs"/>
          <w:rtl/>
        </w:rPr>
        <w:t>,</w:t>
      </w:r>
      <w:r w:rsidRPr="00BC7C07">
        <w:rPr>
          <w:rFonts w:cs="Arial"/>
          <w:rtl/>
        </w:rPr>
        <w:t xml:space="preserve"> וכאן נמשך אחר לשון הטור ולא זכר מה שפסק בסי' פ"ה</w:t>
      </w:r>
      <w:r>
        <w:rPr>
          <w:rFonts w:cs="Arial" w:hint="cs"/>
          <w:rtl/>
        </w:rPr>
        <w:t xml:space="preserve">, ח"מ (סק"ו). </w:t>
      </w:r>
    </w:p>
  </w:footnote>
  <w:footnote w:id="1871">
    <w:p w14:paraId="1C3418B3" w14:textId="77777777" w:rsidR="00DF1FC7" w:rsidRDefault="00DF1FC7" w:rsidP="002E5BAD">
      <w:pPr>
        <w:pStyle w:val="a5"/>
        <w:rPr>
          <w:rtl/>
        </w:rPr>
      </w:pPr>
      <w:r>
        <w:rPr>
          <w:rStyle w:val="a7"/>
        </w:rPr>
        <w:footnoteRef/>
      </w:r>
      <w:r>
        <w:rPr>
          <w:rtl/>
        </w:rPr>
        <w:t xml:space="preserve"> </w:t>
      </w:r>
      <w:r w:rsidRPr="00FF165F">
        <w:rPr>
          <w:rFonts w:cs="Arial"/>
          <w:rtl/>
        </w:rPr>
        <w:t>אע</w:t>
      </w:r>
      <w:r>
        <w:rPr>
          <w:rFonts w:cs="Arial" w:hint="cs"/>
          <w:rtl/>
        </w:rPr>
        <w:t>"</w:t>
      </w:r>
      <w:r w:rsidRPr="00FF165F">
        <w:rPr>
          <w:rFonts w:cs="Arial"/>
          <w:rtl/>
        </w:rPr>
        <w:t>ג דצריכים ליתן לה הכלים</w:t>
      </w:r>
      <w:r>
        <w:rPr>
          <w:rFonts w:cs="Arial" w:hint="cs"/>
          <w:rtl/>
        </w:rPr>
        <w:t>,</w:t>
      </w:r>
      <w:r w:rsidRPr="00FF165F">
        <w:rPr>
          <w:rFonts w:cs="Arial"/>
          <w:rtl/>
        </w:rPr>
        <w:t xml:space="preserve"> מ"מ כיון דמחוסר גוביינא </w:t>
      </w:r>
      <w:r>
        <w:rPr>
          <w:rFonts w:cs="Arial" w:hint="cs"/>
          <w:rtl/>
        </w:rPr>
        <w:t xml:space="preserve">- </w:t>
      </w:r>
      <w:r w:rsidRPr="00FF165F">
        <w:rPr>
          <w:rFonts w:cs="Arial"/>
          <w:rtl/>
        </w:rPr>
        <w:t>חל הקדש עליהם</w:t>
      </w:r>
      <w:r>
        <w:rPr>
          <w:rFonts w:cs="Arial" w:hint="cs"/>
          <w:rtl/>
        </w:rPr>
        <w:t>.</w:t>
      </w:r>
      <w:r w:rsidRPr="00FF165F">
        <w:rPr>
          <w:rFonts w:cs="Arial"/>
          <w:rtl/>
        </w:rPr>
        <w:t xml:space="preserve"> א</w:t>
      </w:r>
      <w:r>
        <w:rPr>
          <w:rFonts w:cs="Arial" w:hint="cs"/>
          <w:rtl/>
        </w:rPr>
        <w:t>ע"ג</w:t>
      </w:r>
      <w:r w:rsidRPr="00FF165F">
        <w:rPr>
          <w:rFonts w:cs="Arial"/>
          <w:rtl/>
        </w:rPr>
        <w:t xml:space="preserve"> </w:t>
      </w:r>
      <w:r>
        <w:rPr>
          <w:rFonts w:cs="Arial" w:hint="cs"/>
          <w:rtl/>
        </w:rPr>
        <w:t>ד</w:t>
      </w:r>
      <w:r w:rsidRPr="00FF165F">
        <w:rPr>
          <w:rFonts w:cs="Arial"/>
          <w:rtl/>
        </w:rPr>
        <w:t>אם היא אמרה קונם מ</w:t>
      </w:r>
      <w:r>
        <w:rPr>
          <w:rFonts w:cs="Arial" w:hint="cs"/>
          <w:rtl/>
        </w:rPr>
        <w:t>עשה יד</w:t>
      </w:r>
      <w:r w:rsidRPr="00FF165F">
        <w:rPr>
          <w:rFonts w:cs="Arial"/>
          <w:rtl/>
        </w:rPr>
        <w:t>י א</w:t>
      </w:r>
      <w:r>
        <w:rPr>
          <w:rFonts w:cs="Arial" w:hint="cs"/>
          <w:rtl/>
        </w:rPr>
        <w:t>ינה יכולה</w:t>
      </w:r>
      <w:r w:rsidRPr="00FF165F">
        <w:rPr>
          <w:rFonts w:cs="Arial"/>
          <w:rtl/>
        </w:rPr>
        <w:t xml:space="preserve"> לאסור מ</w:t>
      </w:r>
      <w:r>
        <w:rPr>
          <w:rFonts w:cs="Arial" w:hint="cs"/>
          <w:rtl/>
        </w:rPr>
        <w:t>עשה ידיה</w:t>
      </w:r>
      <w:r w:rsidRPr="00FF165F">
        <w:rPr>
          <w:rFonts w:cs="Arial"/>
          <w:rtl/>
        </w:rPr>
        <w:t xml:space="preserve"> מעכשיו אפי' אם אמרה יקדשו ידי</w:t>
      </w:r>
      <w:r>
        <w:rPr>
          <w:rFonts w:cs="Arial" w:hint="cs"/>
          <w:rtl/>
        </w:rPr>
        <w:t>,</w:t>
      </w:r>
      <w:r w:rsidRPr="00FF165F">
        <w:rPr>
          <w:rFonts w:cs="Arial"/>
          <w:rtl/>
        </w:rPr>
        <w:t xml:space="preserve"> משום דאלמוה חז"ל לשיעבוד דבעל</w:t>
      </w:r>
      <w:r>
        <w:rPr>
          <w:rFonts w:cs="Arial" w:hint="cs"/>
          <w:rtl/>
        </w:rPr>
        <w:t>,</w:t>
      </w:r>
      <w:r w:rsidRPr="00FF165F">
        <w:rPr>
          <w:rFonts w:cs="Arial"/>
          <w:rtl/>
        </w:rPr>
        <w:t xml:space="preserve"> כמ"ש בסוגיא פ' אף על פי ולעיל סי' פ"ב</w:t>
      </w:r>
      <w:r>
        <w:rPr>
          <w:rFonts w:cs="Arial" w:hint="cs"/>
          <w:rtl/>
        </w:rPr>
        <w:t>,</w:t>
      </w:r>
      <w:r w:rsidRPr="00FF165F">
        <w:rPr>
          <w:rFonts w:cs="Arial"/>
          <w:rtl/>
        </w:rPr>
        <w:t xml:space="preserve"> ובשיעבוד האשה קי"ל ג"כ דאלמוה חז"ל שיעבוד שלה</w:t>
      </w:r>
      <w:r>
        <w:rPr>
          <w:rFonts w:cs="Arial" w:hint="cs"/>
          <w:rtl/>
        </w:rPr>
        <w:t>,</w:t>
      </w:r>
      <w:r w:rsidRPr="00FF165F">
        <w:rPr>
          <w:rFonts w:cs="Arial"/>
          <w:rtl/>
        </w:rPr>
        <w:t xml:space="preserve"> ומ"מ חל הקדש על שיעבוד שלה אע</w:t>
      </w:r>
      <w:r>
        <w:rPr>
          <w:rFonts w:cs="Arial" w:hint="cs"/>
          <w:rtl/>
        </w:rPr>
        <w:t>"</w:t>
      </w:r>
      <w:r w:rsidRPr="00FF165F">
        <w:rPr>
          <w:rFonts w:cs="Arial"/>
          <w:rtl/>
        </w:rPr>
        <w:t xml:space="preserve">ג </w:t>
      </w:r>
      <w:r>
        <w:rPr>
          <w:rFonts w:cs="Arial" w:hint="cs"/>
          <w:rtl/>
        </w:rPr>
        <w:t>ד</w:t>
      </w:r>
      <w:r w:rsidRPr="00FF165F">
        <w:rPr>
          <w:rFonts w:cs="Arial"/>
          <w:rtl/>
        </w:rPr>
        <w:t>קונם אין חל</w:t>
      </w:r>
      <w:r>
        <w:rPr>
          <w:rFonts w:cs="Arial" w:hint="cs"/>
          <w:rtl/>
        </w:rPr>
        <w:t>,</w:t>
      </w:r>
      <w:r w:rsidRPr="00FF165F">
        <w:rPr>
          <w:rFonts w:cs="Arial"/>
          <w:rtl/>
        </w:rPr>
        <w:t xml:space="preserve"> שאני קונם דאינה אסורה על כל העולם</w:t>
      </w:r>
      <w:r>
        <w:rPr>
          <w:rFonts w:cs="Arial" w:hint="cs"/>
          <w:rtl/>
        </w:rPr>
        <w:t>,</w:t>
      </w:r>
      <w:r w:rsidRPr="00FF165F">
        <w:rPr>
          <w:rFonts w:cs="Arial"/>
          <w:rtl/>
        </w:rPr>
        <w:t xml:space="preserve"> אבל הקדש אסור ע</w:t>
      </w:r>
      <w:r>
        <w:rPr>
          <w:rFonts w:cs="Arial" w:hint="cs"/>
          <w:rtl/>
        </w:rPr>
        <w:t xml:space="preserve">ל </w:t>
      </w:r>
      <w:r w:rsidRPr="00FF165F">
        <w:rPr>
          <w:rFonts w:cs="Arial"/>
          <w:rtl/>
        </w:rPr>
        <w:t>כ</w:t>
      </w:r>
      <w:r>
        <w:rPr>
          <w:rFonts w:cs="Arial" w:hint="cs"/>
          <w:rtl/>
        </w:rPr>
        <w:t>ל</w:t>
      </w:r>
      <w:r w:rsidRPr="00FF165F">
        <w:rPr>
          <w:rFonts w:cs="Arial"/>
          <w:rtl/>
        </w:rPr>
        <w:t xml:space="preserve"> העולם חל טפי</w:t>
      </w:r>
      <w:r>
        <w:rPr>
          <w:rFonts w:cs="Arial" w:hint="cs"/>
          <w:rtl/>
        </w:rPr>
        <w:t>,</w:t>
      </w:r>
      <w:r w:rsidRPr="00FF165F">
        <w:rPr>
          <w:rFonts w:cs="Arial"/>
          <w:rtl/>
        </w:rPr>
        <w:t xml:space="preserve"> כ"כ תוספות פ' אע"פ</w:t>
      </w:r>
      <w:r>
        <w:rPr>
          <w:rFonts w:cs="Arial" w:hint="cs"/>
          <w:rtl/>
        </w:rPr>
        <w:t>.</w:t>
      </w:r>
      <w:r w:rsidRPr="00FF165F">
        <w:rPr>
          <w:rFonts w:cs="Arial"/>
          <w:rtl/>
        </w:rPr>
        <w:t xml:space="preserve"> מיהו בנ</w:t>
      </w:r>
      <w:r>
        <w:rPr>
          <w:rFonts w:cs="Arial" w:hint="cs"/>
          <w:rtl/>
        </w:rPr>
        <w:t>מוק</w:t>
      </w:r>
      <w:r w:rsidRPr="00FF165F">
        <w:rPr>
          <w:rFonts w:cs="Arial"/>
          <w:rtl/>
        </w:rPr>
        <w:t>"י משמע הקדש ג"כ לא חל אלא כשהפרישו על המת משום צורך המת</w:t>
      </w:r>
      <w:r>
        <w:rPr>
          <w:rFonts w:cs="Arial" w:hint="cs"/>
          <w:rtl/>
        </w:rPr>
        <w:t>,</w:t>
      </w:r>
      <w:r w:rsidRPr="00FF165F">
        <w:rPr>
          <w:rFonts w:cs="Arial"/>
          <w:rtl/>
        </w:rPr>
        <w:t xml:space="preserve"> אז נאסר דאינו מצוי</w:t>
      </w:r>
      <w:r>
        <w:rPr>
          <w:rFonts w:cs="Arial" w:hint="cs"/>
          <w:rtl/>
        </w:rPr>
        <w:t>,</w:t>
      </w:r>
      <w:r w:rsidRPr="00FF165F">
        <w:rPr>
          <w:rFonts w:cs="Arial"/>
          <w:rtl/>
        </w:rPr>
        <w:t xml:space="preserve"> אבל הקדש לא חל עיין שם בפרק אלמנה לכ"ג</w:t>
      </w:r>
      <w:r>
        <w:rPr>
          <w:rFonts w:cs="Arial" w:hint="cs"/>
          <w:rtl/>
        </w:rPr>
        <w:t>.</w:t>
      </w:r>
      <w:r w:rsidRPr="00FF165F">
        <w:rPr>
          <w:rFonts w:cs="Arial"/>
          <w:rtl/>
        </w:rPr>
        <w:t xml:space="preserve"> והרא"ש בפרק המדיר תירץ בע"א וכתב אע</w:t>
      </w:r>
      <w:r>
        <w:rPr>
          <w:rFonts w:cs="Arial" w:hint="cs"/>
          <w:rtl/>
        </w:rPr>
        <w:t>"</w:t>
      </w:r>
      <w:r w:rsidRPr="00FF165F">
        <w:rPr>
          <w:rFonts w:cs="Arial"/>
          <w:rtl/>
        </w:rPr>
        <w:t>ג דאלמוה שיעבוד האשה מ"מ לענין כתובה לא אלמוה</w:t>
      </w:r>
      <w:r>
        <w:rPr>
          <w:rFonts w:cs="Arial" w:hint="cs"/>
          <w:rtl/>
        </w:rPr>
        <w:t>,</w:t>
      </w:r>
      <w:r w:rsidRPr="00FF165F">
        <w:rPr>
          <w:rFonts w:cs="Arial"/>
          <w:rtl/>
        </w:rPr>
        <w:t xml:space="preserve"> ואם הקדישה היא נ"מ שלה תלי' בתרוצים אלו</w:t>
      </w:r>
      <w:r>
        <w:rPr>
          <w:rFonts w:cs="Arial" w:hint="cs"/>
          <w:rtl/>
        </w:rPr>
        <w:t>,</w:t>
      </w:r>
      <w:r w:rsidRPr="00FF165F">
        <w:rPr>
          <w:rFonts w:cs="Arial"/>
          <w:rtl/>
        </w:rPr>
        <w:t xml:space="preserve"> לפי תירוץ של תוספות הנ"ל חל ההקדש</w:t>
      </w:r>
      <w:r>
        <w:rPr>
          <w:rFonts w:cs="Arial" w:hint="cs"/>
          <w:rtl/>
        </w:rPr>
        <w:t>,</w:t>
      </w:r>
      <w:r w:rsidRPr="00FF165F">
        <w:rPr>
          <w:rFonts w:cs="Arial"/>
          <w:rtl/>
        </w:rPr>
        <w:t xml:space="preserve"> ולמ"ש הרא"ש לא חל</w:t>
      </w:r>
      <w:r>
        <w:rPr>
          <w:rFonts w:cs="Arial" w:hint="cs"/>
          <w:rtl/>
        </w:rPr>
        <w:t>,</w:t>
      </w:r>
      <w:r w:rsidRPr="00FF165F">
        <w:rPr>
          <w:rFonts w:cs="Arial"/>
          <w:rtl/>
        </w:rPr>
        <w:t xml:space="preserve"> וכן לתירוץ בתרא של תו</w:t>
      </w:r>
      <w:r>
        <w:rPr>
          <w:rFonts w:cs="Arial" w:hint="cs"/>
          <w:rtl/>
        </w:rPr>
        <w:t>ס'</w:t>
      </w:r>
      <w:r w:rsidRPr="00FF165F">
        <w:rPr>
          <w:rFonts w:cs="Arial"/>
          <w:rtl/>
        </w:rPr>
        <w:t xml:space="preserve"> א</w:t>
      </w:r>
      <w:r>
        <w:rPr>
          <w:rFonts w:cs="Arial" w:hint="cs"/>
          <w:rtl/>
        </w:rPr>
        <w:t>"י</w:t>
      </w:r>
      <w:r w:rsidRPr="00FF165F">
        <w:rPr>
          <w:rFonts w:cs="Arial"/>
          <w:rtl/>
        </w:rPr>
        <w:t xml:space="preserve"> להקדיש נ"מ משום דידו עדיפא מידה</w:t>
      </w:r>
      <w:r>
        <w:rPr>
          <w:rFonts w:cs="Arial" w:hint="cs"/>
          <w:rtl/>
        </w:rPr>
        <w:t>,</w:t>
      </w:r>
      <w:r w:rsidRPr="00FF165F">
        <w:rPr>
          <w:rFonts w:cs="Arial"/>
          <w:rtl/>
        </w:rPr>
        <w:t xml:space="preserve"> ועיין ח"ה סי' רע"ב ועיין סי' צ'</w:t>
      </w:r>
      <w:r>
        <w:rPr>
          <w:rFonts w:hint="cs"/>
          <w:rtl/>
        </w:rPr>
        <w:t>, ב"ש (סק"ז).</w:t>
      </w:r>
    </w:p>
  </w:footnote>
  <w:footnote w:id="1872">
    <w:p w14:paraId="15A442B4" w14:textId="77777777" w:rsidR="00DF1FC7" w:rsidRDefault="00DF1FC7" w:rsidP="002E5BAD">
      <w:pPr>
        <w:pStyle w:val="a5"/>
      </w:pPr>
      <w:r>
        <w:rPr>
          <w:rStyle w:val="a7"/>
        </w:rPr>
        <w:footnoteRef/>
      </w:r>
      <w:r>
        <w:rPr>
          <w:rtl/>
        </w:rPr>
        <w:t xml:space="preserve"> </w:t>
      </w:r>
      <w:r w:rsidRPr="00D74190">
        <w:rPr>
          <w:rFonts w:cs="Arial"/>
          <w:rtl/>
        </w:rPr>
        <w:t>חכמים</w:t>
      </w:r>
      <w:r>
        <w:rPr>
          <w:rFonts w:cs="Arial" w:hint="cs"/>
          <w:rtl/>
        </w:rPr>
        <w:t>, רש"י.</w:t>
      </w:r>
    </w:p>
  </w:footnote>
  <w:footnote w:id="1873">
    <w:p w14:paraId="599FA54B" w14:textId="77777777" w:rsidR="00DF1FC7" w:rsidRDefault="00DF1FC7" w:rsidP="002E5BAD">
      <w:pPr>
        <w:pStyle w:val="a5"/>
      </w:pPr>
      <w:r>
        <w:rPr>
          <w:rStyle w:val="a7"/>
        </w:rPr>
        <w:footnoteRef/>
      </w:r>
      <w:r>
        <w:rPr>
          <w:rtl/>
        </w:rPr>
        <w:t xml:space="preserve"> </w:t>
      </w:r>
      <w:r w:rsidRPr="00D74190">
        <w:rPr>
          <w:rFonts w:cs="Arial"/>
          <w:rtl/>
        </w:rPr>
        <w:t>דלא איירו בהו רבנן לית להו הא דאמר ר"ש ביציאתה שלה</w:t>
      </w:r>
      <w:r>
        <w:rPr>
          <w:rFonts w:cs="Arial" w:hint="cs"/>
          <w:rtl/>
        </w:rPr>
        <w:t>,</w:t>
      </w:r>
      <w:r w:rsidRPr="00D74190">
        <w:rPr>
          <w:rFonts w:cs="Arial"/>
          <w:rtl/>
        </w:rPr>
        <w:t xml:space="preserve"> דקסברי מה שגדל ברשותו שלו</w:t>
      </w:r>
      <w:r>
        <w:rPr>
          <w:rFonts w:cs="Arial" w:hint="cs"/>
          <w:rtl/>
        </w:rPr>
        <w:t>.</w:t>
      </w:r>
      <w:r w:rsidRPr="00D74190">
        <w:rPr>
          <w:rFonts w:cs="Arial"/>
          <w:rtl/>
        </w:rPr>
        <w:t xml:space="preserve"> ותלוש בשעת יציאה ליכא למימר דפליגי עליה ונימרו שלה</w:t>
      </w:r>
      <w:r>
        <w:rPr>
          <w:rFonts w:cs="Arial" w:hint="cs"/>
          <w:rtl/>
        </w:rPr>
        <w:t>,</w:t>
      </w:r>
      <w:r w:rsidRPr="00D74190">
        <w:rPr>
          <w:rFonts w:cs="Arial"/>
          <w:rtl/>
        </w:rPr>
        <w:t xml:space="preserve"> דכיון דתלשן הכל מודים שזכה בהן</w:t>
      </w:r>
      <w:r>
        <w:rPr>
          <w:rFonts w:cs="Arial" w:hint="cs"/>
          <w:rtl/>
        </w:rPr>
        <w:t>, רש"י.</w:t>
      </w:r>
    </w:p>
  </w:footnote>
  <w:footnote w:id="1874">
    <w:p w14:paraId="5C950709" w14:textId="77777777" w:rsidR="00DF1FC7" w:rsidRDefault="00DF1FC7" w:rsidP="002E5BAD">
      <w:pPr>
        <w:pStyle w:val="a5"/>
      </w:pPr>
      <w:r>
        <w:rPr>
          <w:rStyle w:val="a7"/>
        </w:rPr>
        <w:footnoteRef/>
      </w:r>
      <w:r>
        <w:rPr>
          <w:rtl/>
        </w:rPr>
        <w:t xml:space="preserve"> </w:t>
      </w:r>
      <w:r w:rsidRPr="00CD0298">
        <w:rPr>
          <w:rFonts w:cs="Arial"/>
          <w:rtl/>
        </w:rPr>
        <w:t>ובהכי מתרצא נמי מה שהקשה הר"י הלוי ז"ל על פסק רב אלפס מההיא דיש נוחלין (ב"ב קלו.) הכותב נכסיו לבנו לאחר מותו מכר האב מכורין עד שימות ושמין את המחובר ללוקח</w:t>
      </w:r>
      <w:r>
        <w:rPr>
          <w:rFonts w:cs="Arial" w:hint="cs"/>
          <w:rtl/>
        </w:rPr>
        <w:t>,</w:t>
      </w:r>
      <w:r w:rsidRPr="00CD0298">
        <w:rPr>
          <w:rFonts w:cs="Arial"/>
          <w:rtl/>
        </w:rPr>
        <w:t xml:space="preserve"> אלמא בפירות מחוברים אזלי</w:t>
      </w:r>
      <w:r w:rsidRPr="00CD0298">
        <w:rPr>
          <w:rFonts w:cs="Arial" w:hint="cs"/>
          <w:rtl/>
        </w:rPr>
        <w:t>נ</w:t>
      </w:r>
      <w:r w:rsidRPr="00CD0298">
        <w:rPr>
          <w:rFonts w:cs="Arial"/>
          <w:rtl/>
        </w:rPr>
        <w:t>ן בתר מאן דגדלי ברשותו</w:t>
      </w:r>
      <w:r>
        <w:rPr>
          <w:rFonts w:cs="Arial" w:hint="cs"/>
          <w:rtl/>
        </w:rPr>
        <w:t>,</w:t>
      </w:r>
      <w:r w:rsidRPr="00CD0298">
        <w:rPr>
          <w:rFonts w:cs="Arial"/>
          <w:rtl/>
        </w:rPr>
        <w:t xml:space="preserve"> ומחמת קושיא זו פסק הלכה כרבנן</w:t>
      </w:r>
      <w:r>
        <w:rPr>
          <w:rFonts w:cs="Arial" w:hint="cs"/>
          <w:rtl/>
        </w:rPr>
        <w:t>,</w:t>
      </w:r>
      <w:r w:rsidRPr="00CD0298">
        <w:rPr>
          <w:rFonts w:cs="Arial"/>
          <w:rtl/>
        </w:rPr>
        <w:t xml:space="preserve"> ולא קשיא מידי כדפרישית</w:t>
      </w:r>
      <w:r>
        <w:rPr>
          <w:rFonts w:cs="Arial" w:hint="cs"/>
          <w:rtl/>
        </w:rPr>
        <w:t>,</w:t>
      </w:r>
      <w:r w:rsidRPr="00CD0298">
        <w:rPr>
          <w:rFonts w:cs="Arial"/>
          <w:rtl/>
        </w:rPr>
        <w:t xml:space="preserve"> דאכילת פירות אינו אלא תקנת חכמים</w:t>
      </w:r>
      <w:r>
        <w:rPr>
          <w:rFonts w:cs="Arial" w:hint="cs"/>
          <w:rtl/>
        </w:rPr>
        <w:t>.</w:t>
      </w:r>
      <w:r w:rsidRPr="00CD0298">
        <w:rPr>
          <w:rFonts w:cs="Arial"/>
          <w:rtl/>
        </w:rPr>
        <w:t xml:space="preserve"> וגם לדידיה קשה לרבנן על הכניסה</w:t>
      </w:r>
      <w:r>
        <w:rPr>
          <w:rFonts w:cs="Arial" w:hint="cs"/>
          <w:rtl/>
        </w:rPr>
        <w:t>,</w:t>
      </w:r>
      <w:r w:rsidRPr="00CD0298">
        <w:rPr>
          <w:rFonts w:cs="Arial"/>
          <w:rtl/>
        </w:rPr>
        <w:t xml:space="preserve"> אלא ודאי חכמים השוו מדותיהם באכילת פירות שכל הנלקטים תחתיו הם שלו</w:t>
      </w:r>
      <w:r>
        <w:rPr>
          <w:rFonts w:cs="Arial" w:hint="cs"/>
          <w:rtl/>
        </w:rPr>
        <w:t>, רא"ש (שם).</w:t>
      </w:r>
    </w:p>
  </w:footnote>
  <w:footnote w:id="1875">
    <w:p w14:paraId="5C3BC779" w14:textId="77777777" w:rsidR="00DF1FC7" w:rsidRDefault="00DF1FC7" w:rsidP="002E5BAD">
      <w:pPr>
        <w:pStyle w:val="a5"/>
      </w:pPr>
      <w:r>
        <w:rPr>
          <w:rStyle w:val="a7"/>
        </w:rPr>
        <w:footnoteRef/>
      </w:r>
      <w:r>
        <w:rPr>
          <w:rtl/>
        </w:rPr>
        <w:t xml:space="preserve"> </w:t>
      </w:r>
      <w:r>
        <w:rPr>
          <w:rFonts w:cs="Arial"/>
          <w:rtl/>
        </w:rPr>
        <w:t>כן משמע מהא דכתבתי בסמוך בשם הרא"ש שכל הנלקטים תחתיו הם שלו</w:t>
      </w:r>
      <w:r>
        <w:rPr>
          <w:rFonts w:cs="Arial" w:hint="cs"/>
          <w:rtl/>
        </w:rPr>
        <w:t>, ב"י.</w:t>
      </w:r>
    </w:p>
  </w:footnote>
  <w:footnote w:id="1876">
    <w:p w14:paraId="7C6059AD" w14:textId="77777777" w:rsidR="00DF1FC7" w:rsidRDefault="00DF1FC7" w:rsidP="002E5BAD">
      <w:pPr>
        <w:pStyle w:val="a5"/>
      </w:pPr>
      <w:r>
        <w:rPr>
          <w:rStyle w:val="a7"/>
        </w:rPr>
        <w:footnoteRef/>
      </w:r>
      <w:r>
        <w:rPr>
          <w:rtl/>
        </w:rPr>
        <w:t xml:space="preserve"> </w:t>
      </w:r>
      <w:r>
        <w:rPr>
          <w:rFonts w:hint="cs"/>
          <w:rtl/>
        </w:rPr>
        <w:t>בחנם (בלא שומא), דהרי מיירי הכא בנכסי מלוג, ואם כן למה תשום אותם דהרי לא תיקנו לו פירות אלא הנלקטים כשהיא תחתיו, ע"פ ב"ש (סק"ח). וגם הח"מ (סק"ט) כתב שברור שבמשנה מדובר על נכסי מלוג ולכן לוקחת בחנם, אך הוא תמה על השו"ע מדוע משמע ממנו שהעמיד את הפירות בנצ"ב. אך הב"ש (שם) כתב שברור שגם דעת השו"ע היא שהפירות הם בכלל נכסי מלוג.</w:t>
      </w:r>
    </w:p>
  </w:footnote>
  <w:footnote w:id="1877">
    <w:p w14:paraId="175D3132" w14:textId="77777777" w:rsidR="00DF1FC7" w:rsidRDefault="00DF1FC7" w:rsidP="002E5BAD">
      <w:pPr>
        <w:pStyle w:val="a5"/>
      </w:pPr>
      <w:r>
        <w:rPr>
          <w:rStyle w:val="a7"/>
        </w:rPr>
        <w:footnoteRef/>
      </w:r>
      <w:r>
        <w:rPr>
          <w:rtl/>
        </w:rPr>
        <w:t xml:space="preserve"> </w:t>
      </w:r>
      <w:r w:rsidRPr="0019164E">
        <w:rPr>
          <w:rFonts w:cs="Arial"/>
          <w:rtl/>
        </w:rPr>
        <w:t>וכתבו הרי"ף (לח:) והרא"ש (סי' ט) וכן הלכתא. וכתב הרא"ש וכיון דלא יהיב שיעורא לחבילי זמורות מוקמינן לה אפחות שבממון והיינו שוה פרוטה עכ"ל. והרמב"ם כתב בפכ"ג מהלכות אישות (ה"ח) אפילו אכל גרוגרת אחת דרך כבוד או שאכל דינר אחד אפילו שלא דרך כבוד ואפילו לא לקח בפירות ממה שהוציא אלא חבילה אחת של זמורות מה שהוציא הוציא ומה שאכל אכל ע"כ. וטעמו משום דבפלוגתא דאמוראי דחד אמר כאיסר וחד אמר כדינר פסק כמ"ד כדינר משום דכיון דירד ברשות אית לן למפסק כמי שמקל עליו</w:t>
      </w:r>
      <w:r>
        <w:rPr>
          <w:rFonts w:cs="Arial" w:hint="cs"/>
          <w:rtl/>
        </w:rPr>
        <w:t>,</w:t>
      </w:r>
      <w:r w:rsidRPr="0019164E">
        <w:rPr>
          <w:rFonts w:cs="Arial"/>
          <w:rtl/>
        </w:rPr>
        <w:t xml:space="preserve"> ועוד שהנכסים הם בחזקתו קודם שגרשה וה"ל נתבע ועליה להביא ראיה דהלכה כמ"ד כאיסר. ונראה מדבריו שהוא מפרש דרב יהודה דעבד עובדא בחבילי זמורות לאו בשיעורא מיירי אלא אשמועינן דאפילו לא אכל פירות ממש אלא שהאכיל חבילי זמורות לבהמתו חשיב כאכל פירות</w:t>
      </w:r>
      <w:r>
        <w:rPr>
          <w:rFonts w:cs="Arial" w:hint="cs"/>
          <w:rtl/>
        </w:rPr>
        <w:t>.</w:t>
      </w:r>
      <w:r w:rsidRPr="0019164E">
        <w:rPr>
          <w:rFonts w:cs="Arial"/>
          <w:rtl/>
        </w:rPr>
        <w:t xml:space="preserve"> וכן משמע בגמרא דקאמר רב יהודה לטעמיה דאמר אכלה ערלה שביעית וכלאים ה"ז חזקה</w:t>
      </w:r>
      <w:r>
        <w:rPr>
          <w:rFonts w:cs="Arial" w:hint="cs"/>
          <w:rtl/>
        </w:rPr>
        <w:t>,</w:t>
      </w:r>
      <w:r w:rsidRPr="0019164E">
        <w:rPr>
          <w:rFonts w:cs="Arial"/>
          <w:rtl/>
        </w:rPr>
        <w:t xml:space="preserve"> כלומר ובערלה וכלאים אין שם אכילת פירות ואפילו הכי הויא חזקה משום דאכילת זמורות חשיבא אכילה</w:t>
      </w:r>
      <w:r>
        <w:rPr>
          <w:rFonts w:cs="Arial" w:hint="cs"/>
          <w:rtl/>
        </w:rPr>
        <w:t>, ב"י.</w:t>
      </w:r>
    </w:p>
  </w:footnote>
  <w:footnote w:id="1878">
    <w:p w14:paraId="6D34FBA4" w14:textId="77777777" w:rsidR="00DF1FC7" w:rsidRDefault="00DF1FC7" w:rsidP="002E5BAD">
      <w:pPr>
        <w:pStyle w:val="a5"/>
        <w:rPr>
          <w:rtl/>
        </w:rPr>
      </w:pPr>
      <w:r>
        <w:rPr>
          <w:rStyle w:val="a7"/>
        </w:rPr>
        <w:footnoteRef/>
      </w:r>
      <w:r>
        <w:rPr>
          <w:rtl/>
        </w:rPr>
        <w:t xml:space="preserve"> </w:t>
      </w:r>
      <w:r w:rsidRPr="009219CB">
        <w:rPr>
          <w:rFonts w:cs="Arial"/>
          <w:rtl/>
        </w:rPr>
        <w:t xml:space="preserve">דין זה הוא כפול ובסעיף זה העתיק ל' הרמב"ם </w:t>
      </w:r>
      <w:r>
        <w:rPr>
          <w:rFonts w:cs="Arial" w:hint="cs"/>
          <w:rtl/>
        </w:rPr>
        <w:t>ובסעיף הבא</w:t>
      </w:r>
      <w:r w:rsidRPr="009219CB">
        <w:rPr>
          <w:rFonts w:cs="Arial"/>
          <w:rtl/>
        </w:rPr>
        <w:t xml:space="preserve"> העתיק ל' הטור להורו</w:t>
      </w:r>
      <w:r>
        <w:rPr>
          <w:rFonts w:cs="Arial" w:hint="cs"/>
          <w:rtl/>
        </w:rPr>
        <w:t>ת</w:t>
      </w:r>
      <w:r w:rsidRPr="009219CB">
        <w:rPr>
          <w:rFonts w:cs="Arial"/>
          <w:rtl/>
        </w:rPr>
        <w:t xml:space="preserve"> איך תהיה השומא כמ"ש דהיינו ששמין וכו'</w:t>
      </w:r>
      <w:r>
        <w:rPr>
          <w:rFonts w:cs="Arial" w:hint="cs"/>
          <w:rtl/>
        </w:rPr>
        <w:t>, ע"פ ח"מ (סקי"ח).</w:t>
      </w:r>
    </w:p>
  </w:footnote>
  <w:footnote w:id="1879">
    <w:p w14:paraId="24A6B06D" w14:textId="77777777" w:rsidR="00DF1FC7" w:rsidRDefault="00DF1FC7" w:rsidP="002E5BAD">
      <w:pPr>
        <w:pStyle w:val="a5"/>
      </w:pPr>
      <w:r>
        <w:rPr>
          <w:rStyle w:val="a7"/>
        </w:rPr>
        <w:footnoteRef/>
      </w:r>
      <w:r>
        <w:rPr>
          <w:rtl/>
        </w:rPr>
        <w:t xml:space="preserve"> </w:t>
      </w:r>
      <w:r w:rsidRPr="00BB0A86">
        <w:rPr>
          <w:rFonts w:cs="Arial"/>
          <w:rtl/>
        </w:rPr>
        <w:t>כלומר אף על פי שלא אכל מפירות בעצמו רק האכיל לבהמתו חבילי זמורות שהן מאכל לפילין ומ"מ לדעת הרמב"ם נראה שצריך שיהיו שוים דינר דלאו אכילת כבוד הוא מה שהאכיל לבהמתו אבל דעת הרא"ש שרב יהודא פליג על הני תרי אמוראי וס"ל דבנהנה פרוטה סגי</w:t>
      </w:r>
      <w:r>
        <w:rPr>
          <w:rFonts w:cs="Arial" w:hint="cs"/>
          <w:rtl/>
        </w:rPr>
        <w:t>, ח"מ (סקי"ב).</w:t>
      </w:r>
    </w:p>
  </w:footnote>
  <w:footnote w:id="1880">
    <w:p w14:paraId="29CB042A" w14:textId="77777777" w:rsidR="00DF1FC7" w:rsidRDefault="00DF1FC7" w:rsidP="002E5BAD">
      <w:pPr>
        <w:pStyle w:val="a5"/>
      </w:pPr>
      <w:r>
        <w:rPr>
          <w:rStyle w:val="a7"/>
        </w:rPr>
        <w:footnoteRef/>
      </w:r>
      <w:r>
        <w:rPr>
          <w:rtl/>
        </w:rPr>
        <w:t xml:space="preserve"> </w:t>
      </w:r>
      <w:r w:rsidRPr="00BB0A86">
        <w:rPr>
          <w:rFonts w:cs="Arial"/>
          <w:rtl/>
        </w:rPr>
        <w:t>כדין כל היורד ברשות והא ידע והאי לא ידע משתבע האי דידע ויטול</w:t>
      </w:r>
      <w:r>
        <w:rPr>
          <w:rFonts w:cs="Arial" w:hint="cs"/>
          <w:rtl/>
        </w:rPr>
        <w:t>, ח"מ (סקי"ג).</w:t>
      </w:r>
      <w:r w:rsidRPr="00B37A06">
        <w:rPr>
          <w:rtl/>
        </w:rPr>
        <w:t xml:space="preserve"> </w:t>
      </w:r>
      <w:r w:rsidRPr="00B37A06">
        <w:rPr>
          <w:rFonts w:cs="Arial"/>
          <w:rtl/>
        </w:rPr>
        <w:t>כ"כ הר"ן וכמ"ש בח"ה סי' נ"א אף על גב דדינו כמוצי' שלא ברשות לענין דאינו נוטל אלא הוצאות מ"מ לדין זה דינו כמוציא ברשות</w:t>
      </w:r>
      <w:r>
        <w:rPr>
          <w:rFonts w:hint="cs"/>
          <w:rtl/>
        </w:rPr>
        <w:t>, ב"ש (סקי"ד).</w:t>
      </w:r>
    </w:p>
  </w:footnote>
  <w:footnote w:id="1881">
    <w:p w14:paraId="6C6B8C6E" w14:textId="77777777" w:rsidR="00DF1FC7" w:rsidRDefault="00DF1FC7" w:rsidP="002E5BAD">
      <w:pPr>
        <w:pStyle w:val="a5"/>
        <w:rPr>
          <w:rtl/>
        </w:rPr>
      </w:pPr>
      <w:r>
        <w:rPr>
          <w:rStyle w:val="a7"/>
        </w:rPr>
        <w:footnoteRef/>
      </w:r>
      <w:r>
        <w:rPr>
          <w:rtl/>
        </w:rPr>
        <w:t xml:space="preserve"> </w:t>
      </w:r>
      <w:r>
        <w:rPr>
          <w:rFonts w:hint="cs"/>
          <w:rtl/>
        </w:rPr>
        <w:t>שאז דינו כמו שנתבאר לעיל (ולא כתב פעמיים כדי לא לכפול את הדברים לחינם). וכך נבין מה ששינה השו"ע מלשון הרמב"ם וכתב 'כשיעור או פחות', שרצה לכלול בזה את כל המקרים, היינו שאם אכל כשיעור</w:t>
      </w:r>
      <w:r>
        <w:rPr>
          <w:rFonts w:hint="cs"/>
          <w:sz w:val="16"/>
          <w:szCs w:val="16"/>
          <w:rtl/>
        </w:rPr>
        <w:t xml:space="preserve"> (כשיעור פירושו </w:t>
      </w:r>
      <w:r>
        <w:rPr>
          <w:sz w:val="16"/>
          <w:szCs w:val="16"/>
          <w:rtl/>
        </w:rPr>
        <w:t>–</w:t>
      </w:r>
      <w:r>
        <w:rPr>
          <w:rFonts w:hint="cs"/>
          <w:sz w:val="16"/>
          <w:szCs w:val="16"/>
          <w:rtl/>
        </w:rPr>
        <w:t xml:space="preserve"> גרוגרת דרך כבוד או בדינר לא דרך כבוד)</w:t>
      </w:r>
      <w:r>
        <w:rPr>
          <w:rFonts w:hint="cs"/>
          <w:rtl/>
        </w:rPr>
        <w:t xml:space="preserve"> </w:t>
      </w:r>
      <w:r>
        <w:rPr>
          <w:rtl/>
        </w:rPr>
        <w:t>–</w:t>
      </w:r>
      <w:r>
        <w:rPr>
          <w:rFonts w:hint="cs"/>
          <w:rtl/>
        </w:rPr>
        <w:t xml:space="preserve"> מה שהוציא הוציא, ואם אכל פחות מכשיעור </w:t>
      </w:r>
      <w:r>
        <w:rPr>
          <w:rtl/>
        </w:rPr>
        <w:t>–</w:t>
      </w:r>
      <w:r>
        <w:rPr>
          <w:rFonts w:hint="cs"/>
          <w:rtl/>
        </w:rPr>
        <w:t xml:space="preserve"> שמין את השבח ונוטל את ההוצאה בשבועה עד תקרת השבח.</w:t>
      </w:r>
    </w:p>
  </w:footnote>
  <w:footnote w:id="1882">
    <w:p w14:paraId="74F75B9B" w14:textId="77777777" w:rsidR="00DF1FC7" w:rsidRDefault="00DF1FC7" w:rsidP="002E5BAD">
      <w:pPr>
        <w:pStyle w:val="a5"/>
      </w:pPr>
      <w:r>
        <w:rPr>
          <w:rStyle w:val="a7"/>
        </w:rPr>
        <w:footnoteRef/>
      </w:r>
      <w:r>
        <w:rPr>
          <w:rtl/>
        </w:rPr>
        <w:t xml:space="preserve"> </w:t>
      </w:r>
      <w:r w:rsidRPr="00BB0A86">
        <w:rPr>
          <w:rFonts w:cs="Arial"/>
          <w:rtl/>
        </w:rPr>
        <w:t>ומנכין לו מה שאכל מן הקרן</w:t>
      </w:r>
      <w:r>
        <w:rPr>
          <w:rFonts w:cs="Arial" w:hint="cs"/>
          <w:rtl/>
        </w:rPr>
        <w:t>, ח"מ (סקט"ט).</w:t>
      </w:r>
    </w:p>
  </w:footnote>
  <w:footnote w:id="1883">
    <w:p w14:paraId="50824F0E" w14:textId="77777777" w:rsidR="00DF1FC7" w:rsidRDefault="00DF1FC7" w:rsidP="002E5BAD">
      <w:pPr>
        <w:pStyle w:val="a5"/>
      </w:pPr>
      <w:r>
        <w:rPr>
          <w:rStyle w:val="a7"/>
        </w:rPr>
        <w:footnoteRef/>
      </w:r>
      <w:r>
        <w:rPr>
          <w:rtl/>
        </w:rPr>
        <w:t xml:space="preserve"> </w:t>
      </w:r>
      <w:r w:rsidRPr="001A64DA">
        <w:rPr>
          <w:rFonts w:cs="Arial"/>
          <w:rtl/>
        </w:rPr>
        <w:t>אלא נשבעת היא ולא תשלם והיינו כשהוא לא תפיס או תפיס בעדים דאין לו מיגו אבל אם אית ליה מיגו גובה</w:t>
      </w:r>
      <w:r>
        <w:rPr>
          <w:rFonts w:cs="Arial" w:hint="cs"/>
          <w:rtl/>
        </w:rPr>
        <w:t>, ב"ש (סקי"ז). וכ"כ ח"מ (סקי"ז).</w:t>
      </w:r>
    </w:p>
  </w:footnote>
  <w:footnote w:id="1884">
    <w:p w14:paraId="321FAEC5" w14:textId="77777777" w:rsidR="00DF1FC7" w:rsidRDefault="00DF1FC7" w:rsidP="002E5BAD">
      <w:pPr>
        <w:pStyle w:val="a5"/>
        <w:rPr>
          <w:rtl/>
        </w:rPr>
      </w:pPr>
      <w:r>
        <w:rPr>
          <w:rStyle w:val="a7"/>
        </w:rPr>
        <w:footnoteRef/>
      </w:r>
      <w:r>
        <w:rPr>
          <w:rtl/>
        </w:rPr>
        <w:t xml:space="preserve"> </w:t>
      </w:r>
      <w:r w:rsidRPr="009219CB">
        <w:rPr>
          <w:rFonts w:cs="Arial"/>
          <w:rtl/>
        </w:rPr>
        <w:t xml:space="preserve">דין זה הוא כפול ובסעיף </w:t>
      </w:r>
      <w:r>
        <w:rPr>
          <w:rFonts w:cs="Arial" w:hint="cs"/>
          <w:rtl/>
        </w:rPr>
        <w:t xml:space="preserve">שלפני </w:t>
      </w:r>
      <w:r w:rsidRPr="009219CB">
        <w:rPr>
          <w:rFonts w:cs="Arial"/>
          <w:rtl/>
        </w:rPr>
        <w:t xml:space="preserve">זה העתיק ל' הרמב"ם </w:t>
      </w:r>
      <w:r>
        <w:rPr>
          <w:rFonts w:cs="Arial" w:hint="cs"/>
          <w:rtl/>
        </w:rPr>
        <w:t>וכאן</w:t>
      </w:r>
      <w:r w:rsidRPr="009219CB">
        <w:rPr>
          <w:rFonts w:cs="Arial"/>
          <w:rtl/>
        </w:rPr>
        <w:t xml:space="preserve"> העתיק ל' הטור להורו</w:t>
      </w:r>
      <w:r>
        <w:rPr>
          <w:rFonts w:cs="Arial" w:hint="cs"/>
          <w:rtl/>
        </w:rPr>
        <w:t>ת</w:t>
      </w:r>
      <w:r w:rsidRPr="009219CB">
        <w:rPr>
          <w:rFonts w:cs="Arial"/>
          <w:rtl/>
        </w:rPr>
        <w:t xml:space="preserve"> איך תהיה השומא כמ"ש דהיינו ששמין וכו'</w:t>
      </w:r>
      <w:r>
        <w:rPr>
          <w:rFonts w:cs="Arial" w:hint="cs"/>
          <w:rtl/>
        </w:rPr>
        <w:t>, ח"מ (סקי"ח).</w:t>
      </w:r>
    </w:p>
  </w:footnote>
  <w:footnote w:id="1885">
    <w:p w14:paraId="04807783" w14:textId="77777777" w:rsidR="00DF1FC7" w:rsidRDefault="00DF1FC7" w:rsidP="002E5BAD">
      <w:pPr>
        <w:pStyle w:val="a5"/>
      </w:pPr>
      <w:r>
        <w:rPr>
          <w:rStyle w:val="a7"/>
        </w:rPr>
        <w:footnoteRef/>
      </w:r>
      <w:r>
        <w:rPr>
          <w:rtl/>
        </w:rPr>
        <w:t xml:space="preserve"> </w:t>
      </w:r>
      <w:r>
        <w:rPr>
          <w:rFonts w:cs="Arial" w:hint="cs"/>
          <w:rtl/>
        </w:rPr>
        <w:t xml:space="preserve">וז"ל- </w:t>
      </w:r>
      <w:r w:rsidRPr="00BB0A86">
        <w:rPr>
          <w:rFonts w:cs="Arial"/>
          <w:rtl/>
        </w:rPr>
        <w:t>במה דברים אמורים במגרש אבל האשה שמרדה על בעלה אפילו אכל הרבה שמין לו כמה אכל ופוחתין אותו ממה שראוי ליתן לו מן ההוצאה אחר שישבע ונוטלו, שלא הקנה לה כדי שתטול ותצא מעצמה</w:t>
      </w:r>
      <w:r>
        <w:rPr>
          <w:rFonts w:cs="Arial" w:hint="cs"/>
          <w:rtl/>
        </w:rPr>
        <w:t>...</w:t>
      </w:r>
    </w:p>
  </w:footnote>
  <w:footnote w:id="1886">
    <w:p w14:paraId="4F759C0E" w14:textId="77777777" w:rsidR="00DF1FC7" w:rsidRDefault="00DF1FC7" w:rsidP="002E5BAD">
      <w:pPr>
        <w:pStyle w:val="a5"/>
      </w:pPr>
      <w:r>
        <w:rPr>
          <w:rStyle w:val="a7"/>
        </w:rPr>
        <w:footnoteRef/>
      </w:r>
      <w:r>
        <w:rPr>
          <w:rtl/>
        </w:rPr>
        <w:t xml:space="preserve"> </w:t>
      </w:r>
      <w:r w:rsidRPr="0019164E">
        <w:rPr>
          <w:rFonts w:cs="Arial"/>
          <w:rtl/>
        </w:rPr>
        <w:t>(ב) בהגהות אלפסי (דף תק"י) (שלטי הגיבורים לט. אות ב) הא דאמרינן מה שהוציא הוציא ומה שאכל אכל היינו דוקא שמוציא מרצונו או שהוא מאלה שדינן שכופין אותו להוציא מדינא דגמרא אבל אם תובעת גירושין שלא כדין אלא שכופין הבעל מתקנת הגאונים צריכה לתת לו כל יציאותיו שהוציא יותר על מה שאכל ויכול לעגנה בגט עד שתתן לו עכ"ל:</w:t>
      </w:r>
    </w:p>
  </w:footnote>
  <w:footnote w:id="1887">
    <w:p w14:paraId="6DF09927" w14:textId="77777777" w:rsidR="00DF1FC7" w:rsidRDefault="00DF1FC7" w:rsidP="002E5BAD">
      <w:pPr>
        <w:pStyle w:val="a5"/>
      </w:pPr>
      <w:r>
        <w:rPr>
          <w:rStyle w:val="a7"/>
        </w:rPr>
        <w:footnoteRef/>
      </w:r>
      <w:r>
        <w:rPr>
          <w:rtl/>
        </w:rPr>
        <w:t xml:space="preserve"> </w:t>
      </w:r>
      <w:r w:rsidRPr="0011307A">
        <w:rPr>
          <w:rFonts w:cs="Arial"/>
          <w:rtl/>
        </w:rPr>
        <w:t>נראה אם אכל יותר מהוצאות אמרי' מה שאכל אכל</w:t>
      </w:r>
      <w:r>
        <w:rPr>
          <w:rFonts w:cs="Arial" w:hint="cs"/>
          <w:rtl/>
        </w:rPr>
        <w:t>.</w:t>
      </w:r>
      <w:r w:rsidRPr="0011307A">
        <w:rPr>
          <w:rFonts w:cs="Arial"/>
          <w:rtl/>
        </w:rPr>
        <w:t xml:space="preserve"> ומל' הרא"ש והטור והמחבר משמע דאין מנכין לו מה שאכל, וברמב"ם מבואר דמנכין לו מה שאכל</w:t>
      </w:r>
      <w:r>
        <w:rPr>
          <w:rFonts w:cs="Arial" w:hint="cs"/>
          <w:rtl/>
        </w:rPr>
        <w:t>..., ב"ש (סקי"ח).</w:t>
      </w:r>
    </w:p>
  </w:footnote>
  <w:footnote w:id="1888">
    <w:p w14:paraId="423065BA" w14:textId="77777777" w:rsidR="00DF1FC7" w:rsidRDefault="00DF1FC7" w:rsidP="002E5BAD">
      <w:pPr>
        <w:pStyle w:val="a5"/>
      </w:pPr>
      <w:r>
        <w:rPr>
          <w:rStyle w:val="a7"/>
        </w:rPr>
        <w:footnoteRef/>
      </w:r>
      <w:r>
        <w:rPr>
          <w:rtl/>
        </w:rPr>
        <w:t xml:space="preserve"> </w:t>
      </w:r>
      <w:r w:rsidRPr="00621D05">
        <w:rPr>
          <w:rFonts w:cs="Arial"/>
          <w:rtl/>
        </w:rPr>
        <w:t>יתומה שהשיאתה אמה ואחיה יכולה למאן</w:t>
      </w:r>
      <w:r>
        <w:rPr>
          <w:rFonts w:cs="Arial" w:hint="cs"/>
          <w:rtl/>
        </w:rPr>
        <w:t>, רש"י.</w:t>
      </w:r>
    </w:p>
  </w:footnote>
  <w:footnote w:id="1889">
    <w:p w14:paraId="55BB7473" w14:textId="77777777" w:rsidR="00DF1FC7" w:rsidRDefault="00DF1FC7" w:rsidP="002E5BAD">
      <w:pPr>
        <w:pStyle w:val="a5"/>
      </w:pPr>
      <w:r>
        <w:rPr>
          <w:rStyle w:val="a7"/>
        </w:rPr>
        <w:footnoteRef/>
      </w:r>
      <w:r>
        <w:rPr>
          <w:rtl/>
        </w:rPr>
        <w:t xml:space="preserve"> </w:t>
      </w:r>
      <w:r w:rsidRPr="00621D05">
        <w:rPr>
          <w:rFonts w:cs="Arial"/>
          <w:rtl/>
        </w:rPr>
        <w:t>ואם מיאנה בו שמין לו שבח שהשביח ונוטל כמשפט אריסי המדינה</w:t>
      </w:r>
      <w:r>
        <w:rPr>
          <w:rFonts w:cs="Arial" w:hint="cs"/>
          <w:rtl/>
        </w:rPr>
        <w:t>, רש"י.</w:t>
      </w:r>
    </w:p>
  </w:footnote>
  <w:footnote w:id="1890">
    <w:p w14:paraId="136F3E7D" w14:textId="77777777" w:rsidR="00DF1FC7" w:rsidRDefault="00DF1FC7" w:rsidP="002E5BAD">
      <w:pPr>
        <w:pStyle w:val="a5"/>
      </w:pPr>
      <w:r>
        <w:rPr>
          <w:rStyle w:val="a7"/>
        </w:rPr>
        <w:footnoteRef/>
      </w:r>
      <w:r>
        <w:rPr>
          <w:rtl/>
        </w:rPr>
        <w:t xml:space="preserve"> </w:t>
      </w:r>
      <w:r w:rsidRPr="00BA53EB">
        <w:rPr>
          <w:rFonts w:cs="Arial"/>
          <w:rtl/>
        </w:rPr>
        <w:t>דשמין לו כאריס</w:t>
      </w:r>
      <w:r>
        <w:rPr>
          <w:rFonts w:cs="Arial" w:hint="cs"/>
          <w:rtl/>
        </w:rPr>
        <w:t>, רש"י.</w:t>
      </w:r>
    </w:p>
  </w:footnote>
  <w:footnote w:id="1891">
    <w:p w14:paraId="2DBD0BAA" w14:textId="77777777" w:rsidR="00DF1FC7" w:rsidRDefault="00DF1FC7" w:rsidP="002E5BAD">
      <w:pPr>
        <w:pStyle w:val="a5"/>
      </w:pPr>
      <w:r>
        <w:rPr>
          <w:rStyle w:val="a7"/>
        </w:rPr>
        <w:footnoteRef/>
      </w:r>
      <w:r>
        <w:rPr>
          <w:rtl/>
        </w:rPr>
        <w:t xml:space="preserve"> </w:t>
      </w:r>
      <w:r w:rsidRPr="00BA53EB">
        <w:rPr>
          <w:rFonts w:cs="Arial"/>
          <w:rtl/>
        </w:rPr>
        <w:t>שלא יכסיף ויקלקל הקרקעות ויאכל ולא ישביח שדואג שמא תמאן וכיון דשיימינן ליה כאריס תו לא מפסיד להו מימר אמר שמא לא תמאן ואם תמאן הרי אטול שבחי לפי עמלי</w:t>
      </w:r>
      <w:r>
        <w:rPr>
          <w:rFonts w:cs="Arial" w:hint="cs"/>
          <w:rtl/>
        </w:rPr>
        <w:t>, רש"י.</w:t>
      </w:r>
    </w:p>
  </w:footnote>
  <w:footnote w:id="1892">
    <w:p w14:paraId="487552D2" w14:textId="77777777" w:rsidR="00DF1FC7" w:rsidRDefault="00DF1FC7" w:rsidP="002E5BAD">
      <w:pPr>
        <w:pStyle w:val="a5"/>
      </w:pPr>
      <w:r>
        <w:rPr>
          <w:rStyle w:val="a7"/>
        </w:rPr>
        <w:footnoteRef/>
      </w:r>
      <w:r>
        <w:rPr>
          <w:rtl/>
        </w:rPr>
        <w:t xml:space="preserve"> </w:t>
      </w:r>
      <w:r>
        <w:rPr>
          <w:rFonts w:cs="Arial" w:hint="cs"/>
          <w:rtl/>
        </w:rPr>
        <w:t xml:space="preserve">וז"ל- </w:t>
      </w:r>
      <w:r>
        <w:rPr>
          <w:rFonts w:cs="Arial"/>
          <w:rtl/>
        </w:rPr>
        <w:t>מ"ט עבוד רבנן תקנתא וכו' הילכך אם הוציא ולא אכל</w:t>
      </w:r>
      <w:r>
        <w:rPr>
          <w:rFonts w:cs="Arial" w:hint="cs"/>
          <w:rtl/>
        </w:rPr>
        <w:t>,</w:t>
      </w:r>
      <w:r>
        <w:rPr>
          <w:rFonts w:cs="Arial"/>
          <w:rtl/>
        </w:rPr>
        <w:t xml:space="preserve"> או הוציא הרבה ואכל קימעא </w:t>
      </w:r>
      <w:r>
        <w:rPr>
          <w:rFonts w:cs="Arial" w:hint="cs"/>
          <w:rtl/>
        </w:rPr>
        <w:t xml:space="preserve">- </w:t>
      </w:r>
      <w:r>
        <w:rPr>
          <w:rFonts w:cs="Arial"/>
          <w:rtl/>
        </w:rPr>
        <w:t>שמין לו כאריסי העיר</w:t>
      </w:r>
      <w:r>
        <w:rPr>
          <w:rFonts w:cs="Arial" w:hint="cs"/>
          <w:rtl/>
        </w:rPr>
        <w:t>.</w:t>
      </w:r>
      <w:r>
        <w:rPr>
          <w:rFonts w:cs="Arial"/>
          <w:rtl/>
        </w:rPr>
        <w:t xml:space="preserve"> אבל אם הוציא קימעא ואכל הרבה </w:t>
      </w:r>
      <w:r>
        <w:rPr>
          <w:rFonts w:cs="Arial" w:hint="cs"/>
          <w:rtl/>
        </w:rPr>
        <w:t xml:space="preserve">- </w:t>
      </w:r>
      <w:r>
        <w:rPr>
          <w:rFonts w:cs="Arial"/>
          <w:rtl/>
        </w:rPr>
        <w:t>ברשות אכל</w:t>
      </w:r>
      <w:r>
        <w:rPr>
          <w:rFonts w:cs="Arial" w:hint="cs"/>
          <w:rtl/>
        </w:rPr>
        <w:t>,</w:t>
      </w:r>
      <w:r>
        <w:rPr>
          <w:rFonts w:cs="Arial"/>
          <w:rtl/>
        </w:rPr>
        <w:t xml:space="preserve"> ולא תקנו חכמים לגרע כחו</w:t>
      </w:r>
      <w:r>
        <w:rPr>
          <w:rFonts w:cs="Arial" w:hint="cs"/>
          <w:rtl/>
        </w:rPr>
        <w:t>.</w:t>
      </w:r>
      <w:r>
        <w:rPr>
          <w:rFonts w:cs="Arial"/>
          <w:rtl/>
        </w:rPr>
        <w:t xml:space="preserve"> וכן אם הוציא ולא אכל וניחא ליה למישקל הוצאה שיעור שבח </w:t>
      </w:r>
      <w:r>
        <w:rPr>
          <w:rFonts w:cs="Arial" w:hint="cs"/>
          <w:rtl/>
        </w:rPr>
        <w:t xml:space="preserve">- </w:t>
      </w:r>
      <w:r>
        <w:rPr>
          <w:rFonts w:cs="Arial"/>
          <w:rtl/>
        </w:rPr>
        <w:t>שומעין לו</w:t>
      </w:r>
      <w:r>
        <w:rPr>
          <w:rFonts w:cs="Arial" w:hint="cs"/>
          <w:rtl/>
        </w:rPr>
        <w:t>,</w:t>
      </w:r>
      <w:r>
        <w:rPr>
          <w:rFonts w:cs="Arial"/>
          <w:rtl/>
        </w:rPr>
        <w:t xml:space="preserve"> דלא תקינו להיות כמוציא על נכסי אחר אלא ליפות כחו ולא לגרע כחו</w:t>
      </w:r>
      <w:r>
        <w:rPr>
          <w:rFonts w:cs="Arial" w:hint="cs"/>
          <w:rtl/>
        </w:rPr>
        <w:t>.</w:t>
      </w:r>
    </w:p>
  </w:footnote>
  <w:footnote w:id="1893">
    <w:p w14:paraId="57F728DD" w14:textId="77777777" w:rsidR="00DF1FC7" w:rsidRDefault="00DF1FC7" w:rsidP="002E5BAD">
      <w:pPr>
        <w:pStyle w:val="a5"/>
      </w:pPr>
      <w:r>
        <w:rPr>
          <w:rStyle w:val="a7"/>
        </w:rPr>
        <w:footnoteRef/>
      </w:r>
      <w:r>
        <w:rPr>
          <w:rtl/>
        </w:rPr>
        <w:t xml:space="preserve"> </w:t>
      </w:r>
      <w:r>
        <w:rPr>
          <w:rFonts w:hint="cs"/>
          <w:rtl/>
        </w:rPr>
        <w:t xml:space="preserve">פירוש - </w:t>
      </w:r>
      <w:r w:rsidRPr="00EC697B">
        <w:rPr>
          <w:rFonts w:cs="Arial"/>
          <w:rtl/>
        </w:rPr>
        <w:t xml:space="preserve">שאם הוציא הרבה, והיה השבח מועט מאד, עד כדי כך שאם יקבל כמשפט אריסי המדינה יפסיד, יכול לומר אי אפשי בתקנת חכמים ויטול </w:t>
      </w:r>
      <w:r>
        <w:rPr>
          <w:rFonts w:cs="Arial" w:hint="cs"/>
          <w:rtl/>
        </w:rPr>
        <w:t>ה</w:t>
      </w:r>
      <w:r w:rsidRPr="00EC697B">
        <w:rPr>
          <w:rFonts w:cs="Arial"/>
          <w:rtl/>
        </w:rPr>
        <w:t>הוצאה</w:t>
      </w:r>
      <w:r>
        <w:rPr>
          <w:rFonts w:cs="Arial" w:hint="cs"/>
          <w:rtl/>
        </w:rPr>
        <w:t>.</w:t>
      </w:r>
    </w:p>
  </w:footnote>
  <w:footnote w:id="1894">
    <w:p w14:paraId="3FE799AD" w14:textId="77777777" w:rsidR="00DF1FC7" w:rsidRDefault="00DF1FC7" w:rsidP="002E5BAD">
      <w:pPr>
        <w:pStyle w:val="a5"/>
        <w:rPr>
          <w:rtl/>
        </w:rPr>
      </w:pPr>
      <w:r>
        <w:rPr>
          <w:rStyle w:val="a7"/>
        </w:rPr>
        <w:footnoteRef/>
      </w:r>
      <w:r>
        <w:rPr>
          <w:rtl/>
        </w:rPr>
        <w:t xml:space="preserve"> </w:t>
      </w:r>
      <w:r w:rsidRPr="007471CA">
        <w:rPr>
          <w:rFonts w:cs="Arial"/>
          <w:rtl/>
        </w:rPr>
        <w:t>משמע דדינו כיורד ברשות ממש ונוטל הוצאה אפי' כשהוצי' יותר משבח</w:t>
      </w:r>
      <w:r>
        <w:rPr>
          <w:rFonts w:cs="Arial" w:hint="cs"/>
          <w:rtl/>
        </w:rPr>
        <w:t>,</w:t>
      </w:r>
      <w:r w:rsidRPr="007471CA">
        <w:rPr>
          <w:rFonts w:cs="Arial"/>
          <w:rtl/>
        </w:rPr>
        <w:t xml:space="preserve"> כנ"ל מרמב"ם פכ"ב ומהטור ומל' המחבר וכ"מ מהר"ן</w:t>
      </w:r>
      <w:r>
        <w:rPr>
          <w:rFonts w:cs="Arial" w:hint="cs"/>
          <w:rtl/>
        </w:rPr>
        <w:t>.</w:t>
      </w:r>
      <w:r w:rsidRPr="007471CA">
        <w:rPr>
          <w:rFonts w:cs="Arial"/>
          <w:rtl/>
        </w:rPr>
        <w:t xml:space="preserve"> והרמב"ם פ"י ה"ג דין ז' משוה דין שותף לדין הוציא הוצאות על נכסי אשתו קטנה</w:t>
      </w:r>
      <w:r>
        <w:rPr>
          <w:rFonts w:cs="Arial" w:hint="cs"/>
          <w:rtl/>
        </w:rPr>
        <w:t>.</w:t>
      </w:r>
      <w:r w:rsidRPr="007471CA">
        <w:rPr>
          <w:rFonts w:cs="Arial"/>
          <w:rtl/>
        </w:rPr>
        <w:t xml:space="preserve"> נ"ל דס"ל שותף נוטל ג"כ כיורד ברשות אפי' אם הוצאה יותר משבח</w:t>
      </w:r>
      <w:r>
        <w:rPr>
          <w:rFonts w:cs="Arial" w:hint="cs"/>
          <w:rtl/>
        </w:rPr>
        <w:t>.</w:t>
      </w:r>
      <w:r w:rsidRPr="007471CA">
        <w:rPr>
          <w:rFonts w:cs="Arial"/>
          <w:rtl/>
        </w:rPr>
        <w:t xml:space="preserve"> ולא כנ"י שכתב בפ' ח"ה דשותף אינו נוטל שיעור הוצאה כשהוצאה יותר משבח</w:t>
      </w:r>
      <w:r>
        <w:rPr>
          <w:rFonts w:cs="Arial" w:hint="cs"/>
          <w:rtl/>
        </w:rPr>
        <w:t>.</w:t>
      </w:r>
      <w:r w:rsidRPr="007471CA">
        <w:rPr>
          <w:rFonts w:cs="Arial"/>
          <w:rtl/>
        </w:rPr>
        <w:t xml:space="preserve"> ובח"ה סי' קע"ח פסק בהג"ה כנ"י, ובסי' שע"ה הביא המחבר ל' הרמב"ם דמשוה דין שותף לדין בעל בנכסי אשתו קטנה</w:t>
      </w:r>
      <w:r>
        <w:rPr>
          <w:rFonts w:cs="Arial" w:hint="cs"/>
          <w:rtl/>
        </w:rPr>
        <w:t>.</w:t>
      </w:r>
      <w:r w:rsidRPr="007471CA">
        <w:rPr>
          <w:rFonts w:cs="Arial"/>
          <w:rtl/>
        </w:rPr>
        <w:t xml:space="preserve"> ולכאורה נ"ל כמ"ש דהרמב"ם לא ס"ל כנ"י</w:t>
      </w:r>
      <w:r>
        <w:rPr>
          <w:rFonts w:cs="Arial" w:hint="cs"/>
          <w:rtl/>
        </w:rPr>
        <w:t>.</w:t>
      </w:r>
      <w:r w:rsidRPr="007471CA">
        <w:rPr>
          <w:rFonts w:cs="Arial"/>
          <w:rtl/>
        </w:rPr>
        <w:t xml:space="preserve"> גם דברי הסמ"ע תמוהים שכתב שם בסי' שע"ה כן הדין במוצי' הוצאות על נכסי אשתו וכתבתי לשונו בסי' קע"ח עכ"ל</w:t>
      </w:r>
      <w:r>
        <w:rPr>
          <w:rFonts w:cs="Arial" w:hint="cs"/>
          <w:rtl/>
        </w:rPr>
        <w:t>.</w:t>
      </w:r>
      <w:r w:rsidRPr="007471CA">
        <w:rPr>
          <w:rFonts w:cs="Arial"/>
          <w:rtl/>
        </w:rPr>
        <w:t xml:space="preserve"> וע"כ באשתו קטנה קאמר</w:t>
      </w:r>
      <w:r>
        <w:rPr>
          <w:rFonts w:cs="Arial" w:hint="cs"/>
          <w:rtl/>
        </w:rPr>
        <w:t>,</w:t>
      </w:r>
      <w:r w:rsidRPr="007471CA">
        <w:rPr>
          <w:rFonts w:cs="Arial"/>
          <w:rtl/>
        </w:rPr>
        <w:t xml:space="preserve"> דהא באשתו גדולה דינו כיורד שלא ברשות אפי' אם השבח יותר מהוצאה</w:t>
      </w:r>
      <w:r>
        <w:rPr>
          <w:rFonts w:cs="Arial" w:hint="cs"/>
          <w:rtl/>
        </w:rPr>
        <w:t>,</w:t>
      </w:r>
      <w:r w:rsidRPr="007471CA">
        <w:rPr>
          <w:rFonts w:cs="Arial"/>
          <w:rtl/>
        </w:rPr>
        <w:t xml:space="preserve"> א</w:t>
      </w:r>
      <w:r>
        <w:rPr>
          <w:rFonts w:cs="Arial" w:hint="cs"/>
          <w:rtl/>
        </w:rPr>
        <w:t xml:space="preserve">לא </w:t>
      </w:r>
      <w:r w:rsidRPr="007471CA">
        <w:rPr>
          <w:rFonts w:cs="Arial"/>
          <w:rtl/>
        </w:rPr>
        <w:t>ע</w:t>
      </w:r>
      <w:r>
        <w:rPr>
          <w:rFonts w:cs="Arial" w:hint="cs"/>
          <w:rtl/>
        </w:rPr>
        <w:t xml:space="preserve">ל </w:t>
      </w:r>
      <w:r w:rsidRPr="007471CA">
        <w:rPr>
          <w:rFonts w:cs="Arial"/>
          <w:rtl/>
        </w:rPr>
        <w:t>כ</w:t>
      </w:r>
      <w:r>
        <w:rPr>
          <w:rFonts w:cs="Arial" w:hint="cs"/>
          <w:rtl/>
        </w:rPr>
        <w:t>רחך</w:t>
      </w:r>
      <w:r w:rsidRPr="007471CA">
        <w:rPr>
          <w:rFonts w:cs="Arial"/>
          <w:rtl/>
        </w:rPr>
        <w:t xml:space="preserve"> אשתו קטנה קאמר</w:t>
      </w:r>
      <w:r>
        <w:rPr>
          <w:rFonts w:cs="Arial" w:hint="cs"/>
          <w:rtl/>
        </w:rPr>
        <w:t>,</w:t>
      </w:r>
      <w:r w:rsidRPr="007471CA">
        <w:rPr>
          <w:rFonts w:cs="Arial"/>
          <w:rtl/>
        </w:rPr>
        <w:t xml:space="preserve"> ולא הביא דכל הפוסקים הנ"ל ס"ל באשתו קטנה נוטל אפי' הוצאה יותר משבח</w:t>
      </w:r>
      <w:r>
        <w:rPr>
          <w:rFonts w:hint="cs"/>
          <w:rtl/>
        </w:rPr>
        <w:t>, ב"ש (סק"כ).</w:t>
      </w:r>
    </w:p>
  </w:footnote>
  <w:footnote w:id="1895">
    <w:p w14:paraId="32FF5133" w14:textId="77777777" w:rsidR="00DF1FC7" w:rsidRDefault="00DF1FC7" w:rsidP="002E5BAD">
      <w:pPr>
        <w:pStyle w:val="a5"/>
      </w:pPr>
      <w:r>
        <w:rPr>
          <w:rStyle w:val="a7"/>
        </w:rPr>
        <w:footnoteRef/>
      </w:r>
      <w:r>
        <w:rPr>
          <w:rtl/>
        </w:rPr>
        <w:t xml:space="preserve"> </w:t>
      </w:r>
      <w:r w:rsidRPr="00D012E8">
        <w:rPr>
          <w:rFonts w:cs="Arial"/>
          <w:rtl/>
        </w:rPr>
        <w:t>דלבעל הוא דתיקון רבנן דלהימניה בשבוע' ולא ליורשים ונראה שאם היורשין מוחזקין שלא בעדים ויכולין לטעון ברי גם הם נאמנים בשבועה</w:t>
      </w:r>
      <w:r>
        <w:rPr>
          <w:rFonts w:cs="Arial" w:hint="cs"/>
          <w:rtl/>
        </w:rPr>
        <w:t>, ח"מ (סקכ"א).</w:t>
      </w:r>
      <w:r>
        <w:rPr>
          <w:rFonts w:hint="cs"/>
          <w:rtl/>
        </w:rPr>
        <w:t xml:space="preserve"> וכ"כ הב"ש (סקכ"א), והוסיף ש</w:t>
      </w:r>
      <w:r w:rsidRPr="00F852BD">
        <w:rPr>
          <w:rFonts w:cs="Arial"/>
          <w:rtl/>
        </w:rPr>
        <w:t>בח</w:t>
      </w:r>
      <w:r>
        <w:rPr>
          <w:rFonts w:cs="Arial" w:hint="cs"/>
          <w:rtl/>
        </w:rPr>
        <w:t>ו"מ</w:t>
      </w:r>
      <w:r w:rsidRPr="00F852BD">
        <w:rPr>
          <w:rFonts w:cs="Arial"/>
          <w:rtl/>
        </w:rPr>
        <w:t xml:space="preserve"> סי' פ"ט פסק יורשי השכיר אינם נשבעים ונוטלים</w:t>
      </w:r>
      <w:r>
        <w:rPr>
          <w:rFonts w:cs="Arial" w:hint="cs"/>
          <w:rtl/>
        </w:rPr>
        <w:t>,</w:t>
      </w:r>
      <w:r w:rsidRPr="00F852BD">
        <w:rPr>
          <w:rFonts w:cs="Arial"/>
          <w:rtl/>
        </w:rPr>
        <w:t xml:space="preserve"> ובסי' ק"ח שכתב יורשי השכיר אינן נשבעין ונוטלין</w:t>
      </w:r>
      <w:r>
        <w:rPr>
          <w:rFonts w:cs="Arial" w:hint="cs"/>
          <w:rtl/>
        </w:rPr>
        <w:t>,</w:t>
      </w:r>
      <w:r w:rsidRPr="00F852BD">
        <w:rPr>
          <w:rFonts w:cs="Arial"/>
          <w:rtl/>
        </w:rPr>
        <w:t xml:space="preserve"> משום אין אדם מוריש שבועה לבניו</w:t>
      </w:r>
      <w:r>
        <w:rPr>
          <w:rFonts w:cs="Arial" w:hint="cs"/>
          <w:rtl/>
        </w:rPr>
        <w:t>,</w:t>
      </w:r>
      <w:r w:rsidRPr="00F852BD">
        <w:rPr>
          <w:rFonts w:cs="Arial"/>
          <w:rtl/>
        </w:rPr>
        <w:t xml:space="preserve"> היינו אם אי</w:t>
      </w:r>
      <w:r>
        <w:rPr>
          <w:rFonts w:cs="Arial" w:hint="cs"/>
          <w:rtl/>
        </w:rPr>
        <w:t>נם יודעים</w:t>
      </w:r>
      <w:r w:rsidRPr="00F852BD">
        <w:rPr>
          <w:rFonts w:cs="Arial"/>
          <w:rtl/>
        </w:rPr>
        <w:t xml:space="preserve"> בודאי שלא פרע אלא רוצים לישבע שלא פקדתנו </w:t>
      </w:r>
      <w:r>
        <w:rPr>
          <w:rFonts w:cs="Arial" w:hint="cs"/>
          <w:rtl/>
        </w:rPr>
        <w:t xml:space="preserve">- </w:t>
      </w:r>
      <w:r w:rsidRPr="00F852BD">
        <w:rPr>
          <w:rFonts w:cs="Arial"/>
          <w:rtl/>
        </w:rPr>
        <w:t>אינן נשבעין ונוטלין</w:t>
      </w:r>
      <w:r>
        <w:rPr>
          <w:rFonts w:cs="Arial" w:hint="cs"/>
          <w:rtl/>
        </w:rPr>
        <w:t>.</w:t>
      </w:r>
      <w:r w:rsidRPr="00F852BD">
        <w:rPr>
          <w:rFonts w:cs="Arial"/>
          <w:rtl/>
        </w:rPr>
        <w:t xml:space="preserve"> אבל אם טענו ברי שלא פרע </w:t>
      </w:r>
      <w:r>
        <w:rPr>
          <w:rFonts w:cs="Arial" w:hint="cs"/>
          <w:rtl/>
        </w:rPr>
        <w:t xml:space="preserve">- </w:t>
      </w:r>
      <w:r w:rsidRPr="00F852BD">
        <w:rPr>
          <w:rFonts w:cs="Arial"/>
          <w:rtl/>
        </w:rPr>
        <w:t>נשבעים ונוטלים</w:t>
      </w:r>
      <w:r>
        <w:rPr>
          <w:rFonts w:cs="Arial" w:hint="cs"/>
          <w:rtl/>
        </w:rPr>
        <w:t>.</w:t>
      </w:r>
      <w:r w:rsidRPr="00F852BD">
        <w:rPr>
          <w:rFonts w:cs="Arial"/>
          <w:rtl/>
        </w:rPr>
        <w:t xml:space="preserve"> וכאן אפי' טוען טענות ברי </w:t>
      </w:r>
      <w:r>
        <w:rPr>
          <w:rFonts w:cs="Arial" w:hint="cs"/>
          <w:rtl/>
        </w:rPr>
        <w:t xml:space="preserve">- </w:t>
      </w:r>
      <w:r w:rsidRPr="00F852BD">
        <w:rPr>
          <w:rFonts w:cs="Arial"/>
          <w:rtl/>
        </w:rPr>
        <w:t>לא מהני</w:t>
      </w:r>
      <w:r>
        <w:rPr>
          <w:rFonts w:cs="Arial" w:hint="cs"/>
          <w:rtl/>
        </w:rPr>
        <w:t>,</w:t>
      </w:r>
      <w:r w:rsidRPr="00F852BD">
        <w:rPr>
          <w:rFonts w:cs="Arial"/>
          <w:rtl/>
        </w:rPr>
        <w:t xml:space="preserve"> משום שכיר עדיף</w:t>
      </w:r>
      <w:r>
        <w:rPr>
          <w:rFonts w:cs="Arial" w:hint="cs"/>
          <w:rtl/>
        </w:rPr>
        <w:t>,</w:t>
      </w:r>
      <w:r w:rsidRPr="00F852BD">
        <w:rPr>
          <w:rFonts w:cs="Arial"/>
          <w:rtl/>
        </w:rPr>
        <w:t xml:space="preserve"> דשכר אותו גם משום כדי חייו וחיי בניו</w:t>
      </w:r>
      <w:r>
        <w:rPr>
          <w:rFonts w:cs="Arial" w:hint="cs"/>
          <w:rtl/>
        </w:rPr>
        <w:t>,</w:t>
      </w:r>
      <w:r w:rsidRPr="00F852BD">
        <w:rPr>
          <w:rFonts w:cs="Arial"/>
          <w:rtl/>
        </w:rPr>
        <w:t xml:space="preserve"> לכן בטענות ברי נשבעים ונוטלים</w:t>
      </w:r>
      <w:r>
        <w:rPr>
          <w:rFonts w:cs="Arial" w:hint="cs"/>
          <w:rtl/>
        </w:rPr>
        <w:t>.</w:t>
      </w:r>
      <w:r w:rsidRPr="00F852BD">
        <w:rPr>
          <w:rFonts w:cs="Arial"/>
          <w:rtl/>
        </w:rPr>
        <w:t xml:space="preserve"> אבל כאן אפי' בטענות ברי אין נשבעים ונוטלין</w:t>
      </w:r>
      <w:r>
        <w:rPr>
          <w:rFonts w:hint="cs"/>
          <w:rtl/>
        </w:rPr>
        <w:t>.</w:t>
      </w:r>
    </w:p>
  </w:footnote>
  <w:footnote w:id="1896">
    <w:p w14:paraId="07DAD2B8" w14:textId="77777777" w:rsidR="00DF1FC7" w:rsidRDefault="00DF1FC7" w:rsidP="002E5BAD">
      <w:pPr>
        <w:pStyle w:val="a5"/>
      </w:pPr>
      <w:r>
        <w:rPr>
          <w:rStyle w:val="a7"/>
        </w:rPr>
        <w:footnoteRef/>
      </w:r>
      <w:r>
        <w:rPr>
          <w:rtl/>
        </w:rPr>
        <w:t xml:space="preserve"> </w:t>
      </w:r>
      <w:r w:rsidRPr="00E90A10">
        <w:rPr>
          <w:rFonts w:cs="Arial"/>
          <w:rtl/>
        </w:rPr>
        <w:t>בנכסי אשתו ליטול מחצה או שליש ועמד וגרשה משאכל קימעא</w:t>
      </w:r>
      <w:r>
        <w:rPr>
          <w:rFonts w:hint="cs"/>
          <w:rtl/>
        </w:rPr>
        <w:t>, רש"י.</w:t>
      </w:r>
    </w:p>
  </w:footnote>
  <w:footnote w:id="1897">
    <w:p w14:paraId="70D2915E" w14:textId="77777777" w:rsidR="00DF1FC7" w:rsidRDefault="00DF1FC7" w:rsidP="002E5BAD">
      <w:pPr>
        <w:pStyle w:val="a5"/>
      </w:pPr>
      <w:r>
        <w:rPr>
          <w:rStyle w:val="a7"/>
        </w:rPr>
        <w:footnoteRef/>
      </w:r>
      <w:r>
        <w:rPr>
          <w:rtl/>
        </w:rPr>
        <w:t xml:space="preserve"> </w:t>
      </w:r>
      <w:r w:rsidRPr="00E90A10">
        <w:rPr>
          <w:rFonts w:cs="Arial"/>
          <w:rtl/>
        </w:rPr>
        <w:t>שיטלו האריסין כפי שבחם</w:t>
      </w:r>
      <w:r>
        <w:rPr>
          <w:rFonts w:hint="cs"/>
          <w:rtl/>
        </w:rPr>
        <w:t>, רש"י.</w:t>
      </w:r>
    </w:p>
  </w:footnote>
  <w:footnote w:id="1898">
    <w:p w14:paraId="591FA9A6" w14:textId="77777777" w:rsidR="00DF1FC7" w:rsidRDefault="00DF1FC7" w:rsidP="002E5BAD">
      <w:pPr>
        <w:pStyle w:val="a5"/>
      </w:pPr>
      <w:r>
        <w:rPr>
          <w:rStyle w:val="a7"/>
        </w:rPr>
        <w:footnoteRef/>
      </w:r>
      <w:r>
        <w:rPr>
          <w:rtl/>
        </w:rPr>
        <w:t xml:space="preserve"> </w:t>
      </w:r>
      <w:r w:rsidRPr="00E90A10">
        <w:rPr>
          <w:rFonts w:cs="Arial"/>
          <w:rtl/>
        </w:rPr>
        <w:t>הוא הכניסם ולא היא</w:t>
      </w:r>
      <w:r>
        <w:rPr>
          <w:rFonts w:cs="Arial" w:hint="cs"/>
          <w:rtl/>
        </w:rPr>
        <w:t>,</w:t>
      </w:r>
      <w:r w:rsidRPr="00E90A10">
        <w:rPr>
          <w:rFonts w:cs="Arial"/>
          <w:rtl/>
        </w:rPr>
        <w:t xml:space="preserve"> וכי איסתלק ליה בעל איסתלקו אינהו ולא שקלי מידי כי דיניה דמה שהוציא הוציא ומה שאכל אכל</w:t>
      </w:r>
      <w:r>
        <w:rPr>
          <w:rFonts w:hint="cs"/>
          <w:rtl/>
        </w:rPr>
        <w:t>, רש"י.</w:t>
      </w:r>
    </w:p>
  </w:footnote>
  <w:footnote w:id="1899">
    <w:p w14:paraId="2EBC31BA" w14:textId="77777777" w:rsidR="00DF1FC7" w:rsidRDefault="00DF1FC7" w:rsidP="002E5BAD">
      <w:pPr>
        <w:pStyle w:val="a5"/>
      </w:pPr>
      <w:r>
        <w:rPr>
          <w:rStyle w:val="a7"/>
        </w:rPr>
        <w:footnoteRef/>
      </w:r>
      <w:r>
        <w:rPr>
          <w:rtl/>
        </w:rPr>
        <w:t xml:space="preserve"> </w:t>
      </w:r>
      <w:r w:rsidRPr="00E90A10">
        <w:rPr>
          <w:rFonts w:cs="Arial"/>
          <w:rtl/>
        </w:rPr>
        <w:t>אם לא הורידם הבעל היתה היא מורידה לתוכה אריסין</w:t>
      </w:r>
      <w:r>
        <w:rPr>
          <w:rFonts w:hint="cs"/>
          <w:rtl/>
        </w:rPr>
        <w:t>, רש"י.</w:t>
      </w:r>
    </w:p>
  </w:footnote>
  <w:footnote w:id="1900">
    <w:p w14:paraId="04CC800B" w14:textId="77777777" w:rsidR="00DF1FC7" w:rsidRDefault="00DF1FC7" w:rsidP="002E5BAD">
      <w:pPr>
        <w:pStyle w:val="a5"/>
      </w:pPr>
      <w:r>
        <w:rPr>
          <w:rStyle w:val="a7"/>
        </w:rPr>
        <w:footnoteRef/>
      </w:r>
      <w:r>
        <w:rPr>
          <w:rtl/>
        </w:rPr>
        <w:t xml:space="preserve"> </w:t>
      </w:r>
      <w:r w:rsidRPr="00E90A10">
        <w:rPr>
          <w:rFonts w:cs="Arial"/>
          <w:rtl/>
        </w:rPr>
        <w:t>ליטול היציאה כשיעור שבח כדאמר בב"מ בהשואל והכא אמר בעי לסלוקי בלא כלום</w:t>
      </w:r>
      <w:r>
        <w:rPr>
          <w:rFonts w:hint="cs"/>
          <w:rtl/>
        </w:rPr>
        <w:t>, רש"י.</w:t>
      </w:r>
    </w:p>
  </w:footnote>
  <w:footnote w:id="1901">
    <w:p w14:paraId="3458E6CF" w14:textId="77777777" w:rsidR="00DF1FC7" w:rsidRDefault="00DF1FC7" w:rsidP="002E5BAD">
      <w:pPr>
        <w:pStyle w:val="a5"/>
      </w:pPr>
      <w:r>
        <w:rPr>
          <w:rStyle w:val="a7"/>
        </w:rPr>
        <w:footnoteRef/>
      </w:r>
      <w:r>
        <w:rPr>
          <w:rtl/>
        </w:rPr>
        <w:t xml:space="preserve"> </w:t>
      </w:r>
      <w:r w:rsidRPr="00A12268">
        <w:rPr>
          <w:rFonts w:cs="Arial"/>
          <w:rtl/>
        </w:rPr>
        <w:t>ראה זה שלא היה איש משביחן וירד להן ומה הפסידן הלכך יציאה שיעור שבח מיהת יהיב ליה</w:t>
      </w:r>
      <w:r>
        <w:rPr>
          <w:rFonts w:hint="cs"/>
          <w:rtl/>
        </w:rPr>
        <w:t>, רש"י.</w:t>
      </w:r>
    </w:p>
  </w:footnote>
  <w:footnote w:id="1902">
    <w:p w14:paraId="519B719C" w14:textId="77777777" w:rsidR="00DF1FC7" w:rsidRDefault="00DF1FC7" w:rsidP="002E5BAD">
      <w:pPr>
        <w:pStyle w:val="a5"/>
      </w:pPr>
      <w:r>
        <w:rPr>
          <w:rStyle w:val="a7"/>
        </w:rPr>
        <w:footnoteRef/>
      </w:r>
      <w:r>
        <w:rPr>
          <w:rtl/>
        </w:rPr>
        <w:t xml:space="preserve"> </w:t>
      </w:r>
      <w:r w:rsidRPr="00A12268">
        <w:rPr>
          <w:rFonts w:cs="Arial"/>
          <w:rtl/>
        </w:rPr>
        <w:t>שיטריח בהן</w:t>
      </w:r>
      <w:r>
        <w:rPr>
          <w:rFonts w:cs="Arial" w:hint="cs"/>
          <w:rtl/>
        </w:rPr>
        <w:t>,</w:t>
      </w:r>
      <w:r w:rsidRPr="00A12268">
        <w:rPr>
          <w:rFonts w:cs="Arial"/>
          <w:rtl/>
        </w:rPr>
        <w:t xml:space="preserve"> ואמרה להו אי לא נחתיתו אתון איהו עביד ולא הוה שקיל השתא מידי</w:t>
      </w:r>
      <w:r>
        <w:rPr>
          <w:rFonts w:hint="cs"/>
          <w:rtl/>
        </w:rPr>
        <w:t>, רש"י.</w:t>
      </w:r>
    </w:p>
  </w:footnote>
  <w:footnote w:id="1903">
    <w:p w14:paraId="5362426A" w14:textId="77777777" w:rsidR="00DF1FC7" w:rsidRDefault="00DF1FC7" w:rsidP="002E5BAD">
      <w:pPr>
        <w:pStyle w:val="a5"/>
      </w:pPr>
      <w:r>
        <w:rPr>
          <w:rStyle w:val="a7"/>
        </w:rPr>
        <w:footnoteRef/>
      </w:r>
      <w:r>
        <w:rPr>
          <w:rtl/>
        </w:rPr>
        <w:t xml:space="preserve"> </w:t>
      </w:r>
      <w:r w:rsidRPr="00A12268">
        <w:rPr>
          <w:rFonts w:cs="Arial"/>
          <w:rtl/>
        </w:rPr>
        <w:t>ויודע בטיב אריסות שאם לא ירדו אלו היה הוא עצמו עובדה</w:t>
      </w:r>
      <w:r>
        <w:rPr>
          <w:rFonts w:hint="cs"/>
          <w:rtl/>
        </w:rPr>
        <w:t>, רש"י.</w:t>
      </w:r>
    </w:p>
  </w:footnote>
  <w:footnote w:id="1904">
    <w:p w14:paraId="7B9AC70D" w14:textId="77777777" w:rsidR="00DF1FC7" w:rsidRDefault="00DF1FC7" w:rsidP="002E5BAD">
      <w:pPr>
        <w:pStyle w:val="a5"/>
      </w:pPr>
      <w:r>
        <w:rPr>
          <w:rStyle w:val="a7"/>
        </w:rPr>
        <w:footnoteRef/>
      </w:r>
      <w:r>
        <w:rPr>
          <w:rtl/>
        </w:rPr>
        <w:t xml:space="preserve"> </w:t>
      </w:r>
      <w:r w:rsidRPr="00A12268">
        <w:rPr>
          <w:rFonts w:cs="Arial"/>
          <w:rtl/>
        </w:rPr>
        <w:t>דאמרה להו קא מפסידתו לי דאי לא נחתיתו הוה איהו נחית ועביד ולא הוה שקיל השתא מידי</w:t>
      </w:r>
      <w:r>
        <w:rPr>
          <w:rFonts w:hint="cs"/>
          <w:rtl/>
        </w:rPr>
        <w:t>, רש"י.</w:t>
      </w:r>
    </w:p>
  </w:footnote>
  <w:footnote w:id="1905">
    <w:p w14:paraId="7BD34929" w14:textId="77777777" w:rsidR="00DF1FC7" w:rsidRPr="00A57803" w:rsidRDefault="00DF1FC7" w:rsidP="002E5BAD">
      <w:pPr>
        <w:pStyle w:val="a5"/>
      </w:pPr>
      <w:r w:rsidRPr="00A57803">
        <w:rPr>
          <w:rStyle w:val="a7"/>
        </w:rPr>
        <w:footnoteRef/>
      </w:r>
      <w:r w:rsidRPr="00A57803">
        <w:rPr>
          <w:rtl/>
        </w:rPr>
        <w:t xml:space="preserve"> </w:t>
      </w:r>
      <w:r w:rsidRPr="00A57803">
        <w:rPr>
          <w:rFonts w:hint="cs"/>
          <w:rtl/>
        </w:rPr>
        <w:t xml:space="preserve">וז"ל- </w:t>
      </w:r>
      <w:r w:rsidRPr="00A57803">
        <w:rPr>
          <w:rFonts w:cs="Arial"/>
          <w:rtl/>
        </w:rPr>
        <w:t>אסתלק ליה בעל אסתלקו אינהו ואיתתא לא יהבה מידי וגם הבעל אינו חייב ליתן להם</w:t>
      </w:r>
      <w:r w:rsidRPr="00A57803">
        <w:rPr>
          <w:rFonts w:cs="Arial" w:hint="cs"/>
          <w:rtl/>
        </w:rPr>
        <w:t>.</w:t>
      </w:r>
      <w:r w:rsidRPr="00A57803">
        <w:rPr>
          <w:rFonts w:cs="Arial"/>
          <w:rtl/>
        </w:rPr>
        <w:t xml:space="preserve"> ואף על גב דהשוכר את הפועל לעשות בשלו והראהו בשל חבירו נותן לו שכרו משלם</w:t>
      </w:r>
      <w:r w:rsidRPr="00A57803">
        <w:rPr>
          <w:rFonts w:cs="Arial" w:hint="cs"/>
          <w:rtl/>
        </w:rPr>
        <w:t>,</w:t>
      </w:r>
      <w:r w:rsidRPr="00A57803">
        <w:rPr>
          <w:rFonts w:cs="Arial"/>
          <w:rtl/>
        </w:rPr>
        <w:t xml:space="preserve"> שאני הכא</w:t>
      </w:r>
      <w:r w:rsidRPr="00A57803">
        <w:rPr>
          <w:rFonts w:cs="Arial" w:hint="cs"/>
          <w:rtl/>
        </w:rPr>
        <w:t>,</w:t>
      </w:r>
      <w:r w:rsidRPr="00A57803">
        <w:rPr>
          <w:rFonts w:cs="Arial"/>
          <w:rtl/>
        </w:rPr>
        <w:t xml:space="preserve"> שהאריסין יודעים שהקרקע של האשה הוא</w:t>
      </w:r>
      <w:r w:rsidRPr="00A57803">
        <w:rPr>
          <w:rFonts w:cs="Arial" w:hint="cs"/>
          <w:rtl/>
        </w:rPr>
        <w:t>,</w:t>
      </w:r>
      <w:r w:rsidRPr="00A57803">
        <w:rPr>
          <w:rFonts w:cs="Arial"/>
          <w:rtl/>
        </w:rPr>
        <w:t xml:space="preserve"> שעל מנת כן נכנסו שאם יגרשנה יפסידו</w:t>
      </w:r>
      <w:r w:rsidRPr="00A57803">
        <w:rPr>
          <w:rFonts w:cs="Arial" w:hint="cs"/>
          <w:rtl/>
        </w:rPr>
        <w:t>,</w:t>
      </w:r>
      <w:r w:rsidRPr="00A57803">
        <w:rPr>
          <w:rFonts w:cs="Arial"/>
          <w:rtl/>
        </w:rPr>
        <w:t xml:space="preserve"> ואין להם עליו</w:t>
      </w:r>
      <w:r w:rsidRPr="00A57803">
        <w:rPr>
          <w:rFonts w:cs="Arial" w:hint="cs"/>
          <w:rtl/>
        </w:rPr>
        <w:t>,</w:t>
      </w:r>
      <w:r w:rsidRPr="00A57803">
        <w:rPr>
          <w:rFonts w:cs="Arial"/>
          <w:rtl/>
        </w:rPr>
        <w:t xml:space="preserve"> ואיבעי להו לאתנויי שאם יגרשנה שהוא יפרע להם</w:t>
      </w:r>
      <w:r w:rsidRPr="00A57803">
        <w:rPr>
          <w:rFonts w:cs="Arial" w:hint="cs"/>
          <w:rtl/>
        </w:rPr>
        <w:t>,</w:t>
      </w:r>
      <w:r w:rsidRPr="00A57803">
        <w:rPr>
          <w:rFonts w:cs="Arial"/>
          <w:rtl/>
        </w:rPr>
        <w:t xml:space="preserve"> ומדלא התנו אינהו דאפסידו אנפשייהו.</w:t>
      </w:r>
    </w:p>
  </w:footnote>
  <w:footnote w:id="1906">
    <w:p w14:paraId="73AAAB71" w14:textId="77777777" w:rsidR="00DF1FC7" w:rsidRDefault="00DF1FC7" w:rsidP="002E5BAD">
      <w:pPr>
        <w:pStyle w:val="a5"/>
      </w:pPr>
      <w:r>
        <w:rPr>
          <w:rStyle w:val="a7"/>
        </w:rPr>
        <w:footnoteRef/>
      </w:r>
      <w:r>
        <w:rPr>
          <w:rtl/>
        </w:rPr>
        <w:t xml:space="preserve"> </w:t>
      </w:r>
      <w:r w:rsidRPr="00A57803">
        <w:rPr>
          <w:rFonts w:cs="Arial"/>
          <w:rtl/>
        </w:rPr>
        <w:t>זה לשון הרמב"ם פ"י מהלכו' גזילה</w:t>
      </w:r>
      <w:r>
        <w:rPr>
          <w:rFonts w:cs="Arial" w:hint="cs"/>
          <w:rtl/>
        </w:rPr>
        <w:t>,</w:t>
      </w:r>
      <w:r w:rsidRPr="00A57803">
        <w:rPr>
          <w:rFonts w:cs="Arial"/>
          <w:rtl/>
        </w:rPr>
        <w:t xml:space="preserve"> ודעתו דאין אריס של הבעל עדיף מהבעל עצמו</w:t>
      </w:r>
      <w:r>
        <w:rPr>
          <w:rFonts w:cs="Arial" w:hint="cs"/>
          <w:rtl/>
        </w:rPr>
        <w:t>,</w:t>
      </w:r>
      <w:r w:rsidRPr="00A57803">
        <w:rPr>
          <w:rFonts w:cs="Arial"/>
          <w:rtl/>
        </w:rPr>
        <w:t xml:space="preserve"> וכשם דהבעל שהוציא ולא אכל אין נוטל הוצאה אלא שיעור שבח ולא כל הוצאה</w:t>
      </w:r>
      <w:r>
        <w:rPr>
          <w:rFonts w:cs="Arial" w:hint="cs"/>
          <w:rtl/>
        </w:rPr>
        <w:t>,</w:t>
      </w:r>
      <w:r w:rsidRPr="00A57803">
        <w:rPr>
          <w:rFonts w:cs="Arial"/>
          <w:rtl/>
        </w:rPr>
        <w:t xml:space="preserve"> ואם השבח יתר על ההוצא' אין לו אלא הוצאה</w:t>
      </w:r>
      <w:r>
        <w:rPr>
          <w:rFonts w:cs="Arial" w:hint="cs"/>
          <w:rtl/>
        </w:rPr>
        <w:t>,</w:t>
      </w:r>
      <w:r w:rsidRPr="00A57803">
        <w:rPr>
          <w:rFonts w:cs="Arial"/>
          <w:rtl/>
        </w:rPr>
        <w:t xml:space="preserve"> והיינו ידו על התחתונ'</w:t>
      </w:r>
      <w:r>
        <w:rPr>
          <w:rFonts w:cs="Arial" w:hint="cs"/>
          <w:rtl/>
        </w:rPr>
        <w:t>,</w:t>
      </w:r>
      <w:r w:rsidRPr="00A57803">
        <w:rPr>
          <w:rFonts w:cs="Arial"/>
          <w:rtl/>
        </w:rPr>
        <w:t xml:space="preserve"> כן דין האריס</w:t>
      </w:r>
      <w:r>
        <w:rPr>
          <w:rFonts w:cs="Arial" w:hint="cs"/>
          <w:rtl/>
        </w:rPr>
        <w:t>.</w:t>
      </w:r>
      <w:r w:rsidRPr="00A57803">
        <w:rPr>
          <w:rFonts w:cs="Arial"/>
          <w:rtl/>
        </w:rPr>
        <w:t xml:space="preserve"> ומשמע שאם האריס ג"כ נהנה מעט מן הפירו' לא יטול כלום כמו הבעל שאכל קמעא והוציא הרבה</w:t>
      </w:r>
      <w:r>
        <w:rPr>
          <w:rFonts w:cs="Arial" w:hint="cs"/>
          <w:rtl/>
        </w:rPr>
        <w:t>.</w:t>
      </w:r>
      <w:r w:rsidRPr="00A57803">
        <w:rPr>
          <w:rFonts w:cs="Arial"/>
          <w:rtl/>
        </w:rPr>
        <w:t xml:space="preserve"> וגדול' מזה משמע מפרש"י שאם הבעל אכל קמעא אזי אין לאריס כלום דמצי האש' למטען מאחר שהבעל אריס אלו לא ירדת הי' הבעל בעצמו עובד ולא הי' נוטל כלום מאחר שאכל קמעא</w:t>
      </w:r>
      <w:r>
        <w:rPr>
          <w:rFonts w:cs="Arial" w:hint="cs"/>
          <w:rtl/>
        </w:rPr>
        <w:t>, ח"מ (סקכ"ב).</w:t>
      </w:r>
      <w:r>
        <w:rPr>
          <w:rFonts w:hint="cs"/>
          <w:rtl/>
        </w:rPr>
        <w:t xml:space="preserve"> וכתב הב"ש (סקכ"ב) </w:t>
      </w:r>
      <w:r>
        <w:rPr>
          <w:rFonts w:cs="Arial" w:hint="cs"/>
          <w:rtl/>
        </w:rPr>
        <w:t xml:space="preserve">דכמו שכתב הח"מ (שם) בשם רש"י כך </w:t>
      </w:r>
      <w:r w:rsidRPr="00054743">
        <w:rPr>
          <w:rFonts w:cs="Arial"/>
          <w:rtl/>
        </w:rPr>
        <w:t>מבואר בר"ן</w:t>
      </w:r>
      <w:r>
        <w:rPr>
          <w:rFonts w:cs="Arial" w:hint="cs"/>
          <w:rtl/>
        </w:rPr>
        <w:t>,</w:t>
      </w:r>
      <w:r w:rsidRPr="00054743">
        <w:rPr>
          <w:rFonts w:cs="Arial"/>
          <w:rtl/>
        </w:rPr>
        <w:t xml:space="preserve"> </w:t>
      </w:r>
      <w:r>
        <w:rPr>
          <w:rFonts w:cs="Arial" w:hint="cs"/>
          <w:rtl/>
        </w:rPr>
        <w:t>ד</w:t>
      </w:r>
      <w:r w:rsidRPr="00054743">
        <w:rPr>
          <w:rFonts w:cs="Arial"/>
          <w:rtl/>
        </w:rPr>
        <w:t>אם הבעל אכל קצת הפסידו הם ג"כ לגמרי</w:t>
      </w:r>
      <w:r>
        <w:rPr>
          <w:rFonts w:cs="Arial" w:hint="cs"/>
          <w:rtl/>
        </w:rPr>
        <w:t>,</w:t>
      </w:r>
      <w:r w:rsidRPr="00054743">
        <w:rPr>
          <w:rFonts w:cs="Arial"/>
          <w:rtl/>
        </w:rPr>
        <w:t xml:space="preserve"> וכ"כ תוס' וכ"מ מהרא"ש והטור</w:t>
      </w:r>
      <w:r>
        <w:rPr>
          <w:rFonts w:cs="Arial" w:hint="cs"/>
          <w:rtl/>
        </w:rPr>
        <w:t>.</w:t>
      </w:r>
      <w:r w:rsidRPr="00054743">
        <w:rPr>
          <w:rFonts w:cs="Arial"/>
          <w:rtl/>
        </w:rPr>
        <w:t xml:space="preserve"> ונראה גם הרמב"ם מודה לזה דהא הם ירדו לקרקע על דעת הבעל</w:t>
      </w:r>
      <w:r>
        <w:rPr>
          <w:rFonts w:cs="Arial" w:hint="cs"/>
          <w:rtl/>
        </w:rPr>
        <w:t>,</w:t>
      </w:r>
      <w:r w:rsidRPr="00054743">
        <w:rPr>
          <w:rFonts w:cs="Arial"/>
          <w:rtl/>
        </w:rPr>
        <w:t xml:space="preserve"> אלא הרמב"ם כתב דינו כשלא אכל ואז ידו על התחתונה כן הוא יד הפועלים</w:t>
      </w:r>
      <w:r>
        <w:rPr>
          <w:rFonts w:cs="Arial" w:hint="cs"/>
          <w:rtl/>
        </w:rPr>
        <w:t>.</w:t>
      </w:r>
      <w:r w:rsidRPr="00054743">
        <w:rPr>
          <w:rFonts w:cs="Arial"/>
          <w:rtl/>
        </w:rPr>
        <w:t xml:space="preserve"> מיהו מ"ש בח"מ </w:t>
      </w:r>
      <w:r>
        <w:rPr>
          <w:rFonts w:cs="Arial" w:hint="cs"/>
          <w:rtl/>
        </w:rPr>
        <w:t>(שם)</w:t>
      </w:r>
      <w:r>
        <w:rPr>
          <w:rFonts w:cs="Arial" w:hint="cs"/>
        </w:rPr>
        <w:t xml:space="preserve"> </w:t>
      </w:r>
      <w:r w:rsidRPr="00054743">
        <w:rPr>
          <w:rFonts w:cs="Arial"/>
          <w:rtl/>
        </w:rPr>
        <w:t xml:space="preserve">אם הפועל אכל קצת הפסיד </w:t>
      </w:r>
      <w:r>
        <w:rPr>
          <w:rFonts w:cs="Arial" w:hint="cs"/>
          <w:rtl/>
        </w:rPr>
        <w:t xml:space="preserve">- </w:t>
      </w:r>
      <w:r w:rsidRPr="00054743">
        <w:rPr>
          <w:rFonts w:cs="Arial"/>
          <w:rtl/>
        </w:rPr>
        <w:t>יש לספק</w:t>
      </w:r>
      <w:r>
        <w:rPr>
          <w:rFonts w:cs="Arial" w:hint="cs"/>
          <w:rtl/>
        </w:rPr>
        <w:t>,</w:t>
      </w:r>
      <w:r w:rsidRPr="00054743">
        <w:rPr>
          <w:rFonts w:cs="Arial"/>
          <w:rtl/>
        </w:rPr>
        <w:t xml:space="preserve"> כי י"ל דדוק</w:t>
      </w:r>
      <w:r>
        <w:rPr>
          <w:rFonts w:cs="Arial" w:hint="cs"/>
          <w:rtl/>
        </w:rPr>
        <w:t>א</w:t>
      </w:r>
      <w:r w:rsidRPr="00054743">
        <w:rPr>
          <w:rFonts w:cs="Arial"/>
          <w:rtl/>
        </w:rPr>
        <w:t xml:space="preserve"> בבעל תקנו חז"ל אם אכל הפסיד</w:t>
      </w:r>
      <w:r>
        <w:rPr>
          <w:rFonts w:cs="Arial" w:hint="cs"/>
          <w:rtl/>
        </w:rPr>
        <w:t>,</w:t>
      </w:r>
      <w:r w:rsidRPr="00054743">
        <w:rPr>
          <w:rFonts w:cs="Arial"/>
          <w:rtl/>
        </w:rPr>
        <w:t xml:space="preserve"> אבל פועל שאכל אע</w:t>
      </w:r>
      <w:r>
        <w:rPr>
          <w:rFonts w:cs="Arial" w:hint="cs"/>
          <w:rtl/>
        </w:rPr>
        <w:t>"</w:t>
      </w:r>
      <w:r w:rsidRPr="00054743">
        <w:rPr>
          <w:rFonts w:cs="Arial"/>
          <w:rtl/>
        </w:rPr>
        <w:t>ג שירד על דעת הבעל י"ל שאין דינו ממש כבעל</w:t>
      </w:r>
      <w:r>
        <w:rPr>
          <w:rFonts w:hint="cs"/>
          <w:rtl/>
        </w:rPr>
        <w:t>.</w:t>
      </w:r>
    </w:p>
  </w:footnote>
  <w:footnote w:id="1907">
    <w:p w14:paraId="7580107F" w14:textId="77777777" w:rsidR="00DF1FC7" w:rsidRDefault="00DF1FC7" w:rsidP="002E5BAD">
      <w:pPr>
        <w:pStyle w:val="a5"/>
        <w:rPr>
          <w:rtl/>
        </w:rPr>
      </w:pPr>
      <w:r>
        <w:rPr>
          <w:rStyle w:val="a7"/>
        </w:rPr>
        <w:footnoteRef/>
      </w:r>
      <w:r>
        <w:rPr>
          <w:rtl/>
        </w:rPr>
        <w:t xml:space="preserve"> </w:t>
      </w:r>
      <w:r w:rsidRPr="00A57803">
        <w:rPr>
          <w:rFonts w:cs="Arial"/>
          <w:rtl/>
        </w:rPr>
        <w:t>כלו' שהבעל צריך לשלם לאריס כדין השוכר הפועל לעשו' בשלו והראה בשל חבירו דנותן לו שכרו משלם ודין הבעל עם האשה כמו שנתבאר בסי' זה</w:t>
      </w:r>
      <w:r>
        <w:rPr>
          <w:rFonts w:hint="cs"/>
          <w:rtl/>
        </w:rPr>
        <w:t>, ח"מ (סקכ"ג).</w:t>
      </w:r>
    </w:p>
  </w:footnote>
  <w:footnote w:id="1908">
    <w:p w14:paraId="4D05E17B" w14:textId="77777777" w:rsidR="00DF1FC7" w:rsidRDefault="00DF1FC7" w:rsidP="002E5BAD">
      <w:pPr>
        <w:pStyle w:val="a5"/>
      </w:pPr>
      <w:r>
        <w:rPr>
          <w:rStyle w:val="a7"/>
        </w:rPr>
        <w:footnoteRef/>
      </w:r>
      <w:r>
        <w:rPr>
          <w:rtl/>
        </w:rPr>
        <w:t xml:space="preserve"> </w:t>
      </w:r>
      <w:r>
        <w:rPr>
          <w:rFonts w:cs="Arial"/>
          <w:rtl/>
        </w:rPr>
        <w:t xml:space="preserve">כ"כ הרא"ש בתשובה </w:t>
      </w:r>
      <w:r>
        <w:rPr>
          <w:rFonts w:cs="Arial" w:hint="cs"/>
          <w:rtl/>
        </w:rPr>
        <w:t>(</w:t>
      </w:r>
      <w:r>
        <w:rPr>
          <w:rFonts w:cs="Arial"/>
          <w:rtl/>
        </w:rPr>
        <w:t>כלל יג סי' יט</w:t>
      </w:r>
      <w:r>
        <w:rPr>
          <w:rFonts w:cs="Arial" w:hint="cs"/>
          <w:rtl/>
        </w:rPr>
        <w:t>,</w:t>
      </w:r>
      <w:r>
        <w:rPr>
          <w:rFonts w:cs="Arial"/>
          <w:rtl/>
        </w:rPr>
        <w:t xml:space="preserve"> ובסוף כלל עה סי' ו) וכ"כ הרשב"א בתשובה (ח"ז סי' נז)</w:t>
      </w:r>
      <w:r>
        <w:rPr>
          <w:rFonts w:cs="Arial" w:hint="cs"/>
          <w:rtl/>
        </w:rPr>
        <w:t>, ב"י. וכתב הדרכ"מ</w:t>
      </w:r>
      <w:r w:rsidRPr="00D37988">
        <w:rPr>
          <w:rFonts w:cs="Arial"/>
          <w:rtl/>
        </w:rPr>
        <w:t xml:space="preserve"> (</w:t>
      </w:r>
      <w:r>
        <w:rPr>
          <w:rFonts w:cs="Arial" w:hint="cs"/>
          <w:rtl/>
        </w:rPr>
        <w:t xml:space="preserve">אות </w:t>
      </w:r>
      <w:r w:rsidRPr="00D37988">
        <w:rPr>
          <w:rFonts w:cs="Arial"/>
          <w:rtl/>
        </w:rPr>
        <w:t xml:space="preserve">א) </w:t>
      </w:r>
      <w:r>
        <w:rPr>
          <w:rFonts w:cs="Arial" w:hint="cs"/>
          <w:rtl/>
        </w:rPr>
        <w:t>ש</w:t>
      </w:r>
      <w:r w:rsidRPr="00D37988">
        <w:rPr>
          <w:rFonts w:cs="Arial"/>
          <w:rtl/>
        </w:rPr>
        <w:t xml:space="preserve">בתשובת הרא"ש </w:t>
      </w:r>
      <w:r>
        <w:rPr>
          <w:rFonts w:cs="Arial" w:hint="cs"/>
          <w:rtl/>
        </w:rPr>
        <w:t>(</w:t>
      </w:r>
      <w:r w:rsidRPr="00D37988">
        <w:rPr>
          <w:rFonts w:cs="Arial"/>
          <w:rtl/>
        </w:rPr>
        <w:t>כלל יג סי</w:t>
      </w:r>
      <w:r>
        <w:rPr>
          <w:rFonts w:cs="Arial" w:hint="cs"/>
          <w:rtl/>
        </w:rPr>
        <w:t>'</w:t>
      </w:r>
      <w:r w:rsidRPr="00D37988">
        <w:rPr>
          <w:rFonts w:cs="Arial"/>
          <w:rtl/>
        </w:rPr>
        <w:t xml:space="preserve"> יט</w:t>
      </w:r>
      <w:r>
        <w:rPr>
          <w:rFonts w:cs="Arial" w:hint="cs"/>
          <w:rtl/>
        </w:rPr>
        <w:t>)</w:t>
      </w:r>
      <w:r w:rsidRPr="00D37988">
        <w:rPr>
          <w:rFonts w:cs="Arial"/>
          <w:rtl/>
        </w:rPr>
        <w:t xml:space="preserve"> </w:t>
      </w:r>
      <w:r>
        <w:rPr>
          <w:rFonts w:cs="Arial" w:hint="cs"/>
          <w:rtl/>
        </w:rPr>
        <w:t xml:space="preserve">כתב </w:t>
      </w:r>
      <w:r w:rsidRPr="00D37988">
        <w:rPr>
          <w:rFonts w:cs="Arial"/>
          <w:rtl/>
        </w:rPr>
        <w:t xml:space="preserve">דהוא הדין לכל מה שנוהגין בו בני משפחתו </w:t>
      </w:r>
      <w:r>
        <w:rPr>
          <w:rFonts w:cs="Arial" w:hint="cs"/>
          <w:rtl/>
        </w:rPr>
        <w:t xml:space="preserve">- </w:t>
      </w:r>
      <w:r w:rsidRPr="00D37988">
        <w:rPr>
          <w:rFonts w:cs="Arial"/>
          <w:rtl/>
        </w:rPr>
        <w:t>הוא צורך קבור</w:t>
      </w:r>
      <w:r>
        <w:rPr>
          <w:rFonts w:cs="Arial" w:hint="cs"/>
          <w:rtl/>
        </w:rPr>
        <w:t>ה.</w:t>
      </w:r>
    </w:p>
  </w:footnote>
  <w:footnote w:id="1909">
    <w:p w14:paraId="75A80392" w14:textId="77777777" w:rsidR="00DF1FC7" w:rsidRDefault="00DF1FC7" w:rsidP="002E5BAD">
      <w:pPr>
        <w:pStyle w:val="a5"/>
        <w:rPr>
          <w:rtl/>
        </w:rPr>
      </w:pPr>
      <w:r>
        <w:rPr>
          <w:rStyle w:val="a7"/>
        </w:rPr>
        <w:footnoteRef/>
      </w:r>
      <w:r>
        <w:rPr>
          <w:rtl/>
        </w:rPr>
        <w:t xml:space="preserve"> </w:t>
      </w:r>
      <w:r w:rsidRPr="00F856DF">
        <w:rPr>
          <w:rFonts w:cs="Arial"/>
          <w:rtl/>
        </w:rPr>
        <w:t>וכתב הה</w:t>
      </w:r>
      <w:r>
        <w:rPr>
          <w:rFonts w:cs="Arial" w:hint="cs"/>
          <w:rtl/>
        </w:rPr>
        <w:t>"</w:t>
      </w:r>
      <w:r w:rsidRPr="00F856DF">
        <w:rPr>
          <w:rFonts w:cs="Arial"/>
          <w:rtl/>
        </w:rPr>
        <w:t>מ</w:t>
      </w:r>
      <w:r>
        <w:rPr>
          <w:rFonts w:cs="Arial" w:hint="cs"/>
          <w:rtl/>
        </w:rPr>
        <w:t>-</w:t>
      </w:r>
      <w:r w:rsidRPr="00F856DF">
        <w:rPr>
          <w:rFonts w:cs="Arial"/>
          <w:rtl/>
        </w:rPr>
        <w:t xml:space="preserve"> כתב רבינו </w:t>
      </w:r>
      <w:r>
        <w:rPr>
          <w:rFonts w:cs="Arial" w:hint="cs"/>
          <w:rtl/>
        </w:rPr>
        <w:t>'</w:t>
      </w:r>
      <w:r w:rsidRPr="00F856DF">
        <w:rPr>
          <w:rFonts w:cs="Arial"/>
          <w:rtl/>
        </w:rPr>
        <w:t>כדרך כל המדינה</w:t>
      </w:r>
      <w:r>
        <w:rPr>
          <w:rFonts w:cs="Arial" w:hint="cs"/>
          <w:rtl/>
        </w:rPr>
        <w:t>'</w:t>
      </w:r>
      <w:r w:rsidRPr="00F856DF">
        <w:rPr>
          <w:rFonts w:cs="Arial"/>
          <w:rtl/>
        </w:rPr>
        <w:t xml:space="preserve"> לומר שאם נהגו בני המדינה שלא להספיד אינו מספיד</w:t>
      </w:r>
      <w:r>
        <w:rPr>
          <w:rFonts w:cs="Arial" w:hint="cs"/>
          <w:rtl/>
        </w:rPr>
        <w:t>,</w:t>
      </w:r>
      <w:r w:rsidRPr="00F856DF">
        <w:rPr>
          <w:rFonts w:cs="Arial"/>
          <w:rtl/>
        </w:rPr>
        <w:t xml:space="preserve"> וכן מבואר בירושלמי (פ"ד ה"ו)</w:t>
      </w:r>
      <w:r>
        <w:rPr>
          <w:rFonts w:hint="cs"/>
          <w:rtl/>
        </w:rPr>
        <w:t>, ב"י.</w:t>
      </w:r>
    </w:p>
  </w:footnote>
  <w:footnote w:id="1910">
    <w:p w14:paraId="499DFAB7" w14:textId="77777777" w:rsidR="00DF1FC7" w:rsidRDefault="00DF1FC7" w:rsidP="002E5BAD">
      <w:pPr>
        <w:pStyle w:val="a5"/>
      </w:pPr>
      <w:r>
        <w:rPr>
          <w:rStyle w:val="a7"/>
        </w:rPr>
        <w:footnoteRef/>
      </w:r>
      <w:r>
        <w:rPr>
          <w:rtl/>
        </w:rPr>
        <w:t xml:space="preserve"> </w:t>
      </w:r>
      <w:r w:rsidRPr="00F856DF">
        <w:rPr>
          <w:rFonts w:cs="Arial"/>
          <w:rtl/>
        </w:rPr>
        <w:t>קבורה תקנו חז"ל תחת נדוניא ולא תחת הכתובה</w:t>
      </w:r>
      <w:r>
        <w:rPr>
          <w:rFonts w:cs="Arial" w:hint="cs"/>
          <w:rtl/>
        </w:rPr>
        <w:t>,</w:t>
      </w:r>
      <w:r w:rsidRPr="00F856DF">
        <w:rPr>
          <w:rFonts w:cs="Arial"/>
          <w:rtl/>
        </w:rPr>
        <w:t xml:space="preserve"> דהא ארוסה לית לה קבורה</w:t>
      </w:r>
      <w:r>
        <w:rPr>
          <w:rFonts w:cs="Arial" w:hint="cs"/>
          <w:rtl/>
        </w:rPr>
        <w:t>,</w:t>
      </w:r>
      <w:r w:rsidRPr="00F856DF">
        <w:rPr>
          <w:rFonts w:cs="Arial"/>
          <w:rtl/>
        </w:rPr>
        <w:t xml:space="preserve"> כן כתבו תוס' </w:t>
      </w:r>
      <w:r>
        <w:rPr>
          <w:rFonts w:cs="Arial" w:hint="cs"/>
          <w:rtl/>
        </w:rPr>
        <w:t>(מ</w:t>
      </w:r>
      <w:r w:rsidRPr="00F856DF">
        <w:rPr>
          <w:rFonts w:cs="Arial"/>
          <w:rtl/>
        </w:rPr>
        <w:t>ו</w:t>
      </w:r>
      <w:r>
        <w:rPr>
          <w:rFonts w:cs="Arial" w:hint="cs"/>
          <w:rtl/>
        </w:rPr>
        <w:t>:).</w:t>
      </w:r>
      <w:r w:rsidRPr="00F856DF">
        <w:rPr>
          <w:rFonts w:cs="Arial"/>
          <w:rtl/>
        </w:rPr>
        <w:t xml:space="preserve"> ולא תחת נ"מ</w:t>
      </w:r>
      <w:r>
        <w:rPr>
          <w:rFonts w:cs="Arial" w:hint="cs"/>
          <w:rtl/>
        </w:rPr>
        <w:t>,</w:t>
      </w:r>
      <w:r w:rsidRPr="00F856DF">
        <w:rPr>
          <w:rFonts w:cs="Arial"/>
          <w:rtl/>
        </w:rPr>
        <w:t xml:space="preserve"> כמ"ש בסי' ע"ז</w:t>
      </w:r>
      <w:r>
        <w:rPr>
          <w:rFonts w:cs="Arial" w:hint="cs"/>
          <w:rtl/>
        </w:rPr>
        <w:t>.</w:t>
      </w:r>
      <w:r w:rsidRPr="00F856DF">
        <w:rPr>
          <w:rFonts w:cs="Arial"/>
          <w:rtl/>
        </w:rPr>
        <w:t xml:space="preserve"> ואם בני משפחתה אין מספידים כלל</w:t>
      </w:r>
      <w:r>
        <w:rPr>
          <w:rFonts w:cs="Arial" w:hint="cs"/>
          <w:rtl/>
        </w:rPr>
        <w:t>,</w:t>
      </w:r>
      <w:r w:rsidRPr="00F856DF">
        <w:rPr>
          <w:rFonts w:cs="Arial"/>
          <w:rtl/>
        </w:rPr>
        <w:t xml:space="preserve"> ובני משפחתו מספידים לזכרים ויש פוחתים לנקבו</w:t>
      </w:r>
      <w:r>
        <w:rPr>
          <w:rFonts w:cs="Arial" w:hint="cs"/>
          <w:rtl/>
        </w:rPr>
        <w:t>ת,</w:t>
      </w:r>
      <w:r w:rsidRPr="00F856DF">
        <w:rPr>
          <w:rFonts w:cs="Arial"/>
          <w:rtl/>
        </w:rPr>
        <w:t xml:space="preserve"> אל יפחות לה</w:t>
      </w:r>
      <w:r>
        <w:rPr>
          <w:rFonts w:cs="Arial" w:hint="cs"/>
          <w:rtl/>
        </w:rPr>
        <w:t>,</w:t>
      </w:r>
      <w:r w:rsidRPr="00F856DF">
        <w:rPr>
          <w:rFonts w:cs="Arial"/>
          <w:rtl/>
        </w:rPr>
        <w:t xml:space="preserve"> כן כתבו תוס'</w:t>
      </w:r>
      <w:r>
        <w:rPr>
          <w:rFonts w:cs="Arial" w:hint="cs"/>
          <w:rtl/>
        </w:rPr>
        <w:t>.</w:t>
      </w:r>
      <w:r w:rsidRPr="00F856DF">
        <w:rPr>
          <w:rFonts w:cs="Arial"/>
          <w:rtl/>
        </w:rPr>
        <w:t xml:space="preserve"> אפי' אם שניהם רוצים שלא ירש הנדונייא ולא יקבר אותה</w:t>
      </w:r>
      <w:r>
        <w:rPr>
          <w:rFonts w:cs="Arial" w:hint="cs"/>
          <w:rtl/>
        </w:rPr>
        <w:t xml:space="preserve"> -</w:t>
      </w:r>
      <w:r w:rsidRPr="00F856DF">
        <w:rPr>
          <w:rFonts w:cs="Arial"/>
          <w:rtl/>
        </w:rPr>
        <w:t xml:space="preserve"> אין שומעים להם </w:t>
      </w:r>
      <w:r>
        <w:rPr>
          <w:rFonts w:cs="Arial" w:hint="cs"/>
          <w:rtl/>
        </w:rPr>
        <w:t>(</w:t>
      </w:r>
      <w:r w:rsidRPr="00F856DF">
        <w:rPr>
          <w:rFonts w:cs="Arial"/>
          <w:rtl/>
        </w:rPr>
        <w:t>שם</w:t>
      </w:r>
      <w:r>
        <w:rPr>
          <w:rFonts w:cs="Arial" w:hint="cs"/>
          <w:rtl/>
        </w:rPr>
        <w:t>).</w:t>
      </w:r>
      <w:r w:rsidRPr="00F856DF">
        <w:rPr>
          <w:rFonts w:cs="Arial"/>
          <w:rtl/>
        </w:rPr>
        <w:t xml:space="preserve"> כתב בתשו' מהרי"ל בעל חייב בקבורה אפי' אם כנס אותה ערומה</w:t>
      </w:r>
      <w:r>
        <w:rPr>
          <w:rFonts w:cs="Arial" w:hint="cs"/>
          <w:rtl/>
        </w:rPr>
        <w:t>,</w:t>
      </w:r>
      <w:r w:rsidRPr="00F856DF">
        <w:rPr>
          <w:rFonts w:cs="Arial"/>
          <w:rtl/>
        </w:rPr>
        <w:t xml:space="preserve"> דלא פלוג חז"ל</w:t>
      </w:r>
      <w:r>
        <w:rPr>
          <w:rFonts w:cs="Arial" w:hint="cs"/>
          <w:rtl/>
        </w:rPr>
        <w:t xml:space="preserve"> (ועיין ב</w:t>
      </w:r>
      <w:r w:rsidRPr="002C039F">
        <w:rPr>
          <w:rFonts w:cs="Arial"/>
          <w:rtl/>
        </w:rPr>
        <w:t xml:space="preserve">שו"ת רדב"ז </w:t>
      </w:r>
      <w:r>
        <w:rPr>
          <w:rFonts w:cs="Arial" w:hint="cs"/>
          <w:rtl/>
        </w:rPr>
        <w:t>[</w:t>
      </w:r>
      <w:r w:rsidRPr="002C039F">
        <w:rPr>
          <w:rFonts w:cs="Arial"/>
          <w:rtl/>
        </w:rPr>
        <w:t>ח</w:t>
      </w:r>
      <w:r>
        <w:rPr>
          <w:rFonts w:cs="Arial" w:hint="cs"/>
          <w:rtl/>
        </w:rPr>
        <w:t>"</w:t>
      </w:r>
      <w:r w:rsidRPr="002C039F">
        <w:rPr>
          <w:rFonts w:cs="Arial"/>
          <w:rtl/>
        </w:rPr>
        <w:t>ג סי</w:t>
      </w:r>
      <w:r>
        <w:rPr>
          <w:rFonts w:cs="Arial" w:hint="cs"/>
          <w:rtl/>
        </w:rPr>
        <w:t>'</w:t>
      </w:r>
      <w:r w:rsidRPr="002C039F">
        <w:rPr>
          <w:rFonts w:cs="Arial"/>
          <w:rtl/>
        </w:rPr>
        <w:t xml:space="preserve"> תרלג</w:t>
      </w:r>
      <w:r>
        <w:rPr>
          <w:rFonts w:cs="Arial" w:hint="cs"/>
          <w:rtl/>
        </w:rPr>
        <w:t>] דמיירי בזה).</w:t>
      </w:r>
      <w:r w:rsidRPr="00F856DF">
        <w:rPr>
          <w:rFonts w:cs="Arial"/>
          <w:rtl/>
        </w:rPr>
        <w:t xml:space="preserve"> וכן נשמע כמ"ש תוספ' ר"פ אלמנה ניזונ'</w:t>
      </w:r>
      <w:r>
        <w:rPr>
          <w:rFonts w:cs="Arial" w:hint="cs"/>
          <w:rtl/>
        </w:rPr>
        <w:t>,</w:t>
      </w:r>
      <w:r w:rsidRPr="00F856DF">
        <w:rPr>
          <w:rFonts w:cs="Arial"/>
          <w:rtl/>
        </w:rPr>
        <w:t xml:space="preserve"> ועיין בסמוך</w:t>
      </w:r>
      <w:r>
        <w:rPr>
          <w:rFonts w:cs="Arial" w:hint="cs"/>
          <w:rtl/>
        </w:rPr>
        <w:t>, ב"ש (סק"א).</w:t>
      </w:r>
    </w:p>
  </w:footnote>
  <w:footnote w:id="1911">
    <w:p w14:paraId="4CA80FED" w14:textId="77777777" w:rsidR="00DF1FC7" w:rsidRDefault="00DF1FC7" w:rsidP="002E5BAD">
      <w:pPr>
        <w:pStyle w:val="a5"/>
        <w:rPr>
          <w:rtl/>
        </w:rPr>
      </w:pPr>
      <w:r>
        <w:rPr>
          <w:rStyle w:val="a7"/>
        </w:rPr>
        <w:footnoteRef/>
      </w:r>
      <w:r>
        <w:rPr>
          <w:rtl/>
        </w:rPr>
        <w:t xml:space="preserve"> </w:t>
      </w:r>
      <w:r>
        <w:rPr>
          <w:rFonts w:cs="Arial" w:hint="cs"/>
          <w:rtl/>
        </w:rPr>
        <w:t>וכתב ה</w:t>
      </w:r>
      <w:r w:rsidRPr="009372C5">
        <w:rPr>
          <w:rFonts w:cs="Arial"/>
          <w:rtl/>
        </w:rPr>
        <w:t xml:space="preserve">רמ"ע מפאנו </w:t>
      </w:r>
      <w:r>
        <w:rPr>
          <w:rFonts w:cs="Arial" w:hint="cs"/>
          <w:rtl/>
        </w:rPr>
        <w:t>(</w:t>
      </w:r>
      <w:r w:rsidRPr="009372C5">
        <w:rPr>
          <w:rFonts w:cs="Arial"/>
          <w:rtl/>
        </w:rPr>
        <w:t>ס"ס פט</w:t>
      </w:r>
      <w:r>
        <w:rPr>
          <w:rFonts w:cs="Arial" w:hint="cs"/>
          <w:rtl/>
        </w:rPr>
        <w:t xml:space="preserve">, הביאו הפת"ש [סק"ב]) דאין זה חיוב אלא במקום שמנהג משפחתו כן </w:t>
      </w:r>
      <w:r w:rsidRPr="000A59E3">
        <w:rPr>
          <w:rFonts w:cs="Arial" w:hint="cs"/>
          <w:sz w:val="16"/>
          <w:szCs w:val="16"/>
          <w:rtl/>
        </w:rPr>
        <w:t>(וז"ל-</w:t>
      </w:r>
      <w:r w:rsidRPr="000A59E3">
        <w:rPr>
          <w:rFonts w:cs="Arial"/>
          <w:sz w:val="16"/>
          <w:szCs w:val="16"/>
          <w:rtl/>
        </w:rPr>
        <w:t xml:space="preserve"> ומה שטען עוד ראובן על חתנו </w:t>
      </w:r>
      <w:r>
        <w:rPr>
          <w:rFonts w:cs="Arial" w:hint="cs"/>
          <w:sz w:val="16"/>
          <w:szCs w:val="16"/>
          <w:rtl/>
        </w:rPr>
        <w:t xml:space="preserve">שמעון </w:t>
      </w:r>
      <w:r w:rsidRPr="000A59E3">
        <w:rPr>
          <w:rFonts w:cs="Arial"/>
          <w:sz w:val="16"/>
          <w:szCs w:val="16"/>
          <w:rtl/>
        </w:rPr>
        <w:t xml:space="preserve">שיעמיד נר תמיד בבה"כ ויפרע מי שיאמר קדיש בעד אשתו </w:t>
      </w:r>
      <w:r w:rsidRPr="000A59E3">
        <w:rPr>
          <w:rFonts w:cs="Arial" w:hint="cs"/>
          <w:sz w:val="14"/>
          <w:szCs w:val="14"/>
          <w:rtl/>
        </w:rPr>
        <w:t>{</w:t>
      </w:r>
      <w:r>
        <w:rPr>
          <w:rFonts w:cs="Arial" w:hint="cs"/>
          <w:sz w:val="14"/>
          <w:szCs w:val="14"/>
          <w:rtl/>
        </w:rPr>
        <w:t>אשת שמעון</w:t>
      </w:r>
      <w:r w:rsidRPr="000A59E3">
        <w:rPr>
          <w:rFonts w:cs="Arial" w:hint="cs"/>
          <w:sz w:val="14"/>
          <w:szCs w:val="14"/>
          <w:rtl/>
        </w:rPr>
        <w:t>}</w:t>
      </w:r>
      <w:r>
        <w:rPr>
          <w:rFonts w:cs="Arial" w:hint="cs"/>
          <w:sz w:val="14"/>
          <w:szCs w:val="14"/>
          <w:rtl/>
        </w:rPr>
        <w:t xml:space="preserve"> </w:t>
      </w:r>
      <w:r w:rsidRPr="000A59E3">
        <w:rPr>
          <w:rFonts w:cs="Arial"/>
          <w:sz w:val="16"/>
          <w:szCs w:val="16"/>
          <w:rtl/>
        </w:rPr>
        <w:t>נ"ל שיפה השיב חתנו שאינו חייב כלום שהדלקת הנר אפילו לבן על האב אינו אלא מנהג בעלמא והרבה שאין מדליקין אלא מעט בעת התפילה ומהא דכ' הרשב"א דבעל חייב לעשות מצבה ליכא ראיה דלא קאמר אלא כגון דמנהג משפחתו לעשות כו'</w:t>
      </w:r>
      <w:r w:rsidRPr="000A59E3">
        <w:rPr>
          <w:rFonts w:cs="Arial" w:hint="cs"/>
          <w:sz w:val="16"/>
          <w:szCs w:val="16"/>
          <w:rtl/>
        </w:rPr>
        <w:t>.</w:t>
      </w:r>
      <w:r w:rsidRPr="000A59E3">
        <w:rPr>
          <w:rFonts w:cs="Arial"/>
          <w:sz w:val="16"/>
          <w:szCs w:val="16"/>
          <w:rtl/>
        </w:rPr>
        <w:t xml:space="preserve"> וע"ד הקדיש לא הוטל חיוב זה אלא לבן על אביו ועל אמו אבל בעל על אשתו אין לו חיוב על זה</w:t>
      </w:r>
      <w:r>
        <w:rPr>
          <w:rFonts w:cs="Arial" w:hint="cs"/>
          <w:sz w:val="16"/>
          <w:szCs w:val="16"/>
          <w:rtl/>
        </w:rPr>
        <w:t>)</w:t>
      </w:r>
      <w:r>
        <w:rPr>
          <w:rFonts w:hint="cs"/>
          <w:rtl/>
        </w:rPr>
        <w:t>.</w:t>
      </w:r>
    </w:p>
  </w:footnote>
  <w:footnote w:id="1912">
    <w:p w14:paraId="6677E1F2" w14:textId="77777777" w:rsidR="00DF1FC7" w:rsidRDefault="00DF1FC7" w:rsidP="002E5BAD">
      <w:pPr>
        <w:pStyle w:val="a5"/>
      </w:pPr>
      <w:r>
        <w:rPr>
          <w:rStyle w:val="a7"/>
        </w:rPr>
        <w:footnoteRef/>
      </w:r>
      <w:r>
        <w:rPr>
          <w:rtl/>
        </w:rPr>
        <w:t xml:space="preserve"> </w:t>
      </w:r>
      <w:r>
        <w:rPr>
          <w:rFonts w:hint="cs"/>
          <w:rtl/>
        </w:rPr>
        <w:t xml:space="preserve">וכן איתא שם </w:t>
      </w:r>
      <w:r>
        <w:rPr>
          <w:rFonts w:cs="Arial" w:hint="cs"/>
          <w:rtl/>
        </w:rPr>
        <w:t>בפרק ד ה"ו.</w:t>
      </w:r>
    </w:p>
  </w:footnote>
  <w:footnote w:id="1913">
    <w:p w14:paraId="2023DB81" w14:textId="77777777" w:rsidR="00DF1FC7" w:rsidRDefault="00DF1FC7" w:rsidP="002E5BAD">
      <w:pPr>
        <w:pStyle w:val="a5"/>
      </w:pPr>
      <w:r>
        <w:rPr>
          <w:rStyle w:val="a7"/>
        </w:rPr>
        <w:footnoteRef/>
      </w:r>
      <w:r>
        <w:rPr>
          <w:rtl/>
        </w:rPr>
        <w:t xml:space="preserve"> </w:t>
      </w:r>
      <w:r w:rsidRPr="00DC68FF">
        <w:rPr>
          <w:rFonts w:cs="Arial"/>
          <w:rtl/>
        </w:rPr>
        <w:t>אם האב פירנס את בתו שהלך בעלה למדינת הים</w:t>
      </w:r>
      <w:r>
        <w:rPr>
          <w:rFonts w:cs="Arial" w:hint="cs"/>
          <w:rtl/>
        </w:rPr>
        <w:t xml:space="preserve"> </w:t>
      </w:r>
      <w:r w:rsidRPr="00DC68FF">
        <w:rPr>
          <w:rFonts w:cs="Arial"/>
          <w:rtl/>
        </w:rPr>
        <w:t>האב גובה מהבעל כשיחזור</w:t>
      </w:r>
      <w:r>
        <w:rPr>
          <w:rFonts w:cs="Arial" w:hint="cs"/>
          <w:rtl/>
        </w:rPr>
        <w:t>, ידיד נפש.</w:t>
      </w:r>
    </w:p>
  </w:footnote>
  <w:footnote w:id="1914">
    <w:p w14:paraId="1AA8AE7F" w14:textId="77777777" w:rsidR="00DF1FC7" w:rsidRDefault="00DF1FC7" w:rsidP="002E5BAD">
      <w:pPr>
        <w:pStyle w:val="a5"/>
      </w:pPr>
      <w:r>
        <w:rPr>
          <w:rStyle w:val="a7"/>
        </w:rPr>
        <w:footnoteRef/>
      </w:r>
      <w:r>
        <w:rPr>
          <w:rtl/>
        </w:rPr>
        <w:t xml:space="preserve"> </w:t>
      </w:r>
      <w:r w:rsidRPr="00D37988">
        <w:rPr>
          <w:rFonts w:cs="Arial"/>
          <w:rtl/>
        </w:rPr>
        <w:t xml:space="preserve">ומשמע מדברי </w:t>
      </w:r>
      <w:r>
        <w:rPr>
          <w:rFonts w:cs="Arial" w:hint="cs"/>
          <w:rtl/>
        </w:rPr>
        <w:t xml:space="preserve">הגמ"ר </w:t>
      </w:r>
      <w:r w:rsidRPr="008953CE">
        <w:rPr>
          <w:rFonts w:cs="Arial" w:hint="cs"/>
          <w:sz w:val="16"/>
          <w:szCs w:val="16"/>
          <w:rtl/>
        </w:rPr>
        <w:t>(</w:t>
      </w:r>
      <w:r w:rsidRPr="008953CE">
        <w:rPr>
          <w:rFonts w:cs="Arial"/>
          <w:sz w:val="16"/>
          <w:szCs w:val="16"/>
          <w:rtl/>
        </w:rPr>
        <w:t>סוף כתובות סי' שיא)</w:t>
      </w:r>
      <w:r w:rsidRPr="00D37988">
        <w:rPr>
          <w:rFonts w:cs="Arial"/>
          <w:rtl/>
        </w:rPr>
        <w:t xml:space="preserve"> דהוא הדין אם היה הבעל בעיר ועמד האב או אחר וקוברה</w:t>
      </w:r>
      <w:r>
        <w:rPr>
          <w:rFonts w:cs="Arial" w:hint="cs"/>
          <w:rtl/>
        </w:rPr>
        <w:t xml:space="preserve">, ב"י. </w:t>
      </w:r>
      <w:r w:rsidRPr="00C16802">
        <w:rPr>
          <w:rFonts w:cs="Arial"/>
          <w:rtl/>
        </w:rPr>
        <w:t>ולא ידענא מאי קמ"ל בהא, ואפשר דרצה לומר אע</w:t>
      </w:r>
      <w:r>
        <w:rPr>
          <w:rFonts w:cs="Arial" w:hint="cs"/>
          <w:rtl/>
        </w:rPr>
        <w:t>"</w:t>
      </w:r>
      <w:r w:rsidRPr="00C16802">
        <w:rPr>
          <w:rFonts w:cs="Arial"/>
          <w:rtl/>
        </w:rPr>
        <w:t>ג שלא נמלכו בבעל תחלה אפילו הכי צריך לשלם להם וכ</w:t>
      </w:r>
      <w:r>
        <w:rPr>
          <w:rFonts w:cs="Arial" w:hint="cs"/>
          <w:rtl/>
        </w:rPr>
        <w:t>"מ</w:t>
      </w:r>
      <w:r w:rsidRPr="00C16802">
        <w:rPr>
          <w:rFonts w:cs="Arial"/>
          <w:rtl/>
        </w:rPr>
        <w:t xml:space="preserve"> שם בהגמ</w:t>
      </w:r>
      <w:r>
        <w:rPr>
          <w:rFonts w:cs="Arial" w:hint="cs"/>
          <w:rtl/>
        </w:rPr>
        <w:t>"</w:t>
      </w:r>
      <w:r w:rsidRPr="00C16802">
        <w:rPr>
          <w:rFonts w:cs="Arial"/>
          <w:rtl/>
        </w:rPr>
        <w:t>ר בסופו</w:t>
      </w:r>
      <w:r>
        <w:rPr>
          <w:rFonts w:cs="Arial" w:hint="cs"/>
          <w:rtl/>
        </w:rPr>
        <w:t>, דרכ"מ (אות ג)</w:t>
      </w:r>
      <w:r w:rsidRPr="00C16802">
        <w:rPr>
          <w:rFonts w:cs="Arial"/>
          <w:rtl/>
        </w:rPr>
        <w:t>.</w:t>
      </w:r>
    </w:p>
  </w:footnote>
  <w:footnote w:id="1915">
    <w:p w14:paraId="543AEE51" w14:textId="77777777" w:rsidR="00DF1FC7" w:rsidRDefault="00DF1FC7" w:rsidP="002E5BAD">
      <w:pPr>
        <w:pStyle w:val="a5"/>
        <w:rPr>
          <w:rtl/>
        </w:rPr>
      </w:pPr>
      <w:r>
        <w:rPr>
          <w:rStyle w:val="a7"/>
        </w:rPr>
        <w:footnoteRef/>
      </w:r>
      <w:r>
        <w:rPr>
          <w:rtl/>
        </w:rPr>
        <w:t xml:space="preserve"> </w:t>
      </w:r>
      <w:r w:rsidRPr="002E0BE8">
        <w:rPr>
          <w:rFonts w:cs="Arial"/>
          <w:rtl/>
        </w:rPr>
        <w:t>אבל מצאתי להרמב"ם ז"ל שפסק כר' יוסה דירושלמי דאמר לקבורה בין אב בין אחר גובה שלא עלתה על דעת שתהא אשתו מושלכת לכלבים, ולא נתבררו לי דבריו דכיון דר' חגאי פליג עליה המוציא מחבירו עליו הראיה, ועוד דבגמרין משמע דדוקא בית דין יורדין לנכסיו הא אחר הניח מעותיו על קרן הצבי</w:t>
      </w:r>
      <w:r>
        <w:rPr>
          <w:rFonts w:hint="cs"/>
          <w:rtl/>
        </w:rPr>
        <w:t>, רשב"א (שם).</w:t>
      </w:r>
    </w:p>
  </w:footnote>
  <w:footnote w:id="1916">
    <w:p w14:paraId="73D56B65" w14:textId="77777777" w:rsidR="00DF1FC7" w:rsidRDefault="00DF1FC7" w:rsidP="002E5BAD">
      <w:pPr>
        <w:pStyle w:val="a5"/>
      </w:pPr>
      <w:r>
        <w:rPr>
          <w:rStyle w:val="a7"/>
        </w:rPr>
        <w:footnoteRef/>
      </w:r>
      <w:r>
        <w:rPr>
          <w:rtl/>
        </w:rPr>
        <w:t xml:space="preserve"> </w:t>
      </w:r>
      <w:r w:rsidRPr="00C16802">
        <w:rPr>
          <w:rFonts w:cs="Arial"/>
          <w:rtl/>
        </w:rPr>
        <w:t>ועיין לקמן סימן ק' (אות ב) אי האשה חייבת בקבורת בעלה</w:t>
      </w:r>
      <w:r>
        <w:rPr>
          <w:rFonts w:cs="Arial" w:hint="cs"/>
          <w:rtl/>
        </w:rPr>
        <w:t>, דרכ"מ (אות ב).</w:t>
      </w:r>
      <w:r w:rsidRPr="00444578">
        <w:rPr>
          <w:rtl/>
        </w:rPr>
        <w:t xml:space="preserve"> </w:t>
      </w:r>
      <w:r w:rsidRPr="00444578">
        <w:rPr>
          <w:rFonts w:cs="Arial"/>
          <w:rtl/>
        </w:rPr>
        <w:t>ובסי' קי"ח מבואר מי ומי חייב ליתן לסיוע הקבורה גם אם היא חייבת בקבורת בעלה</w:t>
      </w:r>
      <w:r>
        <w:rPr>
          <w:rFonts w:hint="cs"/>
          <w:rtl/>
        </w:rPr>
        <w:t>, ב"ש (סק"ג).</w:t>
      </w:r>
    </w:p>
  </w:footnote>
  <w:footnote w:id="1917">
    <w:p w14:paraId="5D85F6F4" w14:textId="77777777" w:rsidR="00DF1FC7" w:rsidRDefault="00DF1FC7" w:rsidP="002E5BAD">
      <w:pPr>
        <w:pStyle w:val="a5"/>
      </w:pPr>
      <w:r>
        <w:rPr>
          <w:rStyle w:val="a7"/>
        </w:rPr>
        <w:footnoteRef/>
      </w:r>
      <w:r w:rsidRPr="00D37988">
        <w:rPr>
          <w:rFonts w:cs="Arial"/>
          <w:rtl/>
        </w:rPr>
        <w:t xml:space="preserve"> עיין בחושן המשפט (סי' קט סעי' ה) אי מוכרין בלא הכרזה</w:t>
      </w:r>
      <w:r>
        <w:rPr>
          <w:rFonts w:cs="Arial" w:hint="cs"/>
          <w:rtl/>
        </w:rPr>
        <w:t>, דרכ"מ (אות ד).</w:t>
      </w:r>
    </w:p>
  </w:footnote>
  <w:footnote w:id="1918">
    <w:p w14:paraId="775FD2D1" w14:textId="77777777" w:rsidR="00DF1FC7" w:rsidRDefault="00DF1FC7" w:rsidP="002E5BAD">
      <w:pPr>
        <w:pStyle w:val="a5"/>
      </w:pPr>
      <w:r>
        <w:rPr>
          <w:rStyle w:val="a7"/>
        </w:rPr>
        <w:footnoteRef/>
      </w:r>
      <w:r>
        <w:rPr>
          <w:rtl/>
        </w:rPr>
        <w:t xml:space="preserve"> </w:t>
      </w:r>
      <w:r w:rsidRPr="00C16802">
        <w:rPr>
          <w:rFonts w:cs="Arial"/>
          <w:rtl/>
        </w:rPr>
        <w:t>מ"ש בלא הכרזה ממה שאמרו פרק אלמנה נזונת (כתובות ק:) דלקבורה מזבנינן בלא אכרזתא וכן פרש"י ורבינו האיי וכו'</w:t>
      </w:r>
      <w:r>
        <w:rPr>
          <w:rFonts w:cs="Arial" w:hint="cs"/>
          <w:rtl/>
        </w:rPr>
        <w:t>.</w:t>
      </w:r>
      <w:r w:rsidRPr="00C16802">
        <w:rPr>
          <w:rFonts w:cs="Arial"/>
          <w:rtl/>
        </w:rPr>
        <w:t xml:space="preserve"> </w:t>
      </w:r>
    </w:p>
  </w:footnote>
  <w:footnote w:id="1919">
    <w:p w14:paraId="32279682" w14:textId="77777777" w:rsidR="00DF1FC7" w:rsidRDefault="00DF1FC7" w:rsidP="002E5BAD">
      <w:pPr>
        <w:pStyle w:val="a5"/>
      </w:pPr>
      <w:r>
        <w:rPr>
          <w:rStyle w:val="a7"/>
        </w:rPr>
        <w:footnoteRef/>
      </w:r>
      <w:r>
        <w:rPr>
          <w:rtl/>
        </w:rPr>
        <w:t xml:space="preserve"> </w:t>
      </w:r>
      <w:r>
        <w:rPr>
          <w:rFonts w:hint="cs"/>
          <w:rtl/>
        </w:rPr>
        <w:t xml:space="preserve">וכתב הב"ש דכן דעת התוס' (דף פ). </w:t>
      </w:r>
      <w:r w:rsidRPr="00B64FE5">
        <w:rPr>
          <w:rFonts w:hint="cs"/>
          <w:color w:val="FF0000"/>
          <w:rtl/>
        </w:rPr>
        <w:t>לא מצאתי היכן, צריך לחפש</w:t>
      </w:r>
      <w:r>
        <w:rPr>
          <w:rFonts w:hint="cs"/>
          <w:rtl/>
        </w:rPr>
        <w:t>.</w:t>
      </w:r>
    </w:p>
  </w:footnote>
  <w:footnote w:id="1920">
    <w:p w14:paraId="33C5D95C" w14:textId="77777777" w:rsidR="00DF1FC7" w:rsidRDefault="00DF1FC7" w:rsidP="002E5BAD">
      <w:pPr>
        <w:pStyle w:val="a5"/>
      </w:pPr>
      <w:r>
        <w:rPr>
          <w:rStyle w:val="a7"/>
        </w:rPr>
        <w:footnoteRef/>
      </w:r>
      <w:r>
        <w:rPr>
          <w:rtl/>
        </w:rPr>
        <w:t xml:space="preserve"> </w:t>
      </w:r>
      <w:r w:rsidRPr="00264A23">
        <w:rPr>
          <w:rFonts w:cs="Arial"/>
          <w:rtl/>
        </w:rPr>
        <w:t>אם מתה שהרי יורשיה גובין כתובתה מיורשי הבעל ועליהן לקוברה שהרי בעלה תחת כתובתה חייב בקבורתה עכשיו שאינו יורשה היא תקבור עצמה</w:t>
      </w:r>
      <w:r>
        <w:rPr>
          <w:rFonts w:cs="Arial" w:hint="cs"/>
          <w:rtl/>
        </w:rPr>
        <w:t>, רש"י.</w:t>
      </w:r>
    </w:p>
  </w:footnote>
  <w:footnote w:id="1921">
    <w:p w14:paraId="483079FC" w14:textId="77777777" w:rsidR="00DF1FC7" w:rsidRDefault="00DF1FC7" w:rsidP="002E5BAD">
      <w:pPr>
        <w:pStyle w:val="a5"/>
      </w:pPr>
      <w:r>
        <w:rPr>
          <w:rStyle w:val="a7"/>
        </w:rPr>
        <w:footnoteRef/>
      </w:r>
      <w:r>
        <w:rPr>
          <w:rtl/>
        </w:rPr>
        <w:t xml:space="preserve"> </w:t>
      </w:r>
      <w:r w:rsidRPr="00AA21A5">
        <w:rPr>
          <w:rFonts w:cs="Arial"/>
          <w:rtl/>
        </w:rPr>
        <w:t>דאיצטריך לתנא למיתני אותן יורשין שיורשין כתובתה ש"מ איכא יורשים אחריני בהדייהו דלא ירתי כתובתה</w:t>
      </w:r>
      <w:r>
        <w:rPr>
          <w:rFonts w:cs="Arial" w:hint="cs"/>
          <w:rtl/>
        </w:rPr>
        <w:t>, רש"י.</w:t>
      </w:r>
    </w:p>
  </w:footnote>
  <w:footnote w:id="1922">
    <w:p w14:paraId="06C4910A" w14:textId="77777777" w:rsidR="00DF1FC7" w:rsidRDefault="00DF1FC7" w:rsidP="002E5BAD">
      <w:pPr>
        <w:pStyle w:val="a5"/>
      </w:pPr>
      <w:r>
        <w:rPr>
          <w:rStyle w:val="a7"/>
        </w:rPr>
        <w:footnoteRef/>
      </w:r>
      <w:r>
        <w:rPr>
          <w:rtl/>
        </w:rPr>
        <w:t xml:space="preserve"> </w:t>
      </w:r>
      <w:r w:rsidRPr="00AA21A5">
        <w:rPr>
          <w:rFonts w:cs="Arial"/>
          <w:rtl/>
        </w:rPr>
        <w:t>כתובה זו שאני יורש אין כאן מנדוניית אביה כלום אלא מאתים ותוספת שכתב לה אחי ואין אני יורש אותה אלא אחי</w:t>
      </w:r>
      <w:r>
        <w:rPr>
          <w:rFonts w:cs="Arial" w:hint="cs"/>
          <w:rtl/>
        </w:rPr>
        <w:t>, רש"י.</w:t>
      </w:r>
    </w:p>
  </w:footnote>
  <w:footnote w:id="1923">
    <w:p w14:paraId="3DFCF3F7" w14:textId="77777777" w:rsidR="00DF1FC7" w:rsidRDefault="00DF1FC7" w:rsidP="002E5BAD">
      <w:pPr>
        <w:pStyle w:val="a5"/>
        <w:rPr>
          <w:rtl/>
        </w:rPr>
      </w:pPr>
      <w:r>
        <w:rPr>
          <w:rStyle w:val="a7"/>
        </w:rPr>
        <w:footnoteRef/>
      </w:r>
      <w:r>
        <w:rPr>
          <w:rtl/>
        </w:rPr>
        <w:t xml:space="preserve"> </w:t>
      </w:r>
      <w:r w:rsidRPr="00AA21A5">
        <w:rPr>
          <w:rFonts w:cs="Arial"/>
          <w:rtl/>
        </w:rPr>
        <w:t>כמו שהיה הוא קוברה אם מתה בחייו ואפילו לא הכניסה לו כלום</w:t>
      </w:r>
      <w:r>
        <w:rPr>
          <w:rFonts w:hint="cs"/>
          <w:rtl/>
        </w:rPr>
        <w:t>, רש"י.</w:t>
      </w:r>
    </w:p>
  </w:footnote>
  <w:footnote w:id="1924">
    <w:p w14:paraId="2C282193" w14:textId="77777777" w:rsidR="00DF1FC7" w:rsidRDefault="00DF1FC7" w:rsidP="002E5BAD">
      <w:pPr>
        <w:pStyle w:val="a5"/>
      </w:pPr>
      <w:r>
        <w:rPr>
          <w:rStyle w:val="a7"/>
        </w:rPr>
        <w:footnoteRef/>
      </w:r>
      <w:r>
        <w:rPr>
          <w:rtl/>
        </w:rPr>
        <w:t xml:space="preserve"> </w:t>
      </w:r>
      <w:r w:rsidRPr="009E08D6">
        <w:rPr>
          <w:rFonts w:cs="Arial"/>
          <w:rtl/>
        </w:rPr>
        <w:t>שהקבורה באה תחתיה</w:t>
      </w:r>
      <w:r>
        <w:rPr>
          <w:rFonts w:cs="Arial" w:hint="cs"/>
          <w:rtl/>
        </w:rPr>
        <w:t>, רש"י.</w:t>
      </w:r>
    </w:p>
  </w:footnote>
  <w:footnote w:id="1925">
    <w:p w14:paraId="1A9CCBE3" w14:textId="77777777" w:rsidR="00DF1FC7" w:rsidRPr="009D20D7" w:rsidRDefault="00DF1FC7" w:rsidP="002E5BAD">
      <w:pPr>
        <w:pStyle w:val="a5"/>
      </w:pPr>
      <w:r>
        <w:rPr>
          <w:rStyle w:val="a7"/>
        </w:rPr>
        <w:footnoteRef/>
      </w:r>
      <w:r>
        <w:rPr>
          <w:rtl/>
        </w:rPr>
        <w:t xml:space="preserve"> </w:t>
      </w:r>
      <w:r w:rsidRPr="00D37988">
        <w:rPr>
          <w:rFonts w:cs="Arial"/>
          <w:rtl/>
        </w:rPr>
        <w:t>יראה שחושב ליורשי הבעל יורשיה כל זמן שלא נשבעה כיון שאין יורשיה נוטלין כל זמן שלא נשבעה ולא נהירא כיון שראויין לירש אותה אילו נשבעה חשיבי שפיר יורשיה וכ"כ הראב"ד</w:t>
      </w:r>
      <w:r>
        <w:rPr>
          <w:rFonts w:cs="Arial" w:hint="cs"/>
          <w:rtl/>
        </w:rPr>
        <w:t>, טור.</w:t>
      </w:r>
      <w:r w:rsidRPr="00A67041">
        <w:rPr>
          <w:rFonts w:cs="Arial"/>
          <w:rtl/>
        </w:rPr>
        <w:t xml:space="preserve"> </w:t>
      </w:r>
      <w:r>
        <w:rPr>
          <w:rFonts w:cs="Arial"/>
          <w:rtl/>
        </w:rPr>
        <w:t>וכתב הרב המגיד מתה האלמנה וכו' ר"פ אלמנה יורשיה יורשי כתובתה חייבים בקבורתה ופרק האשה שנפלו (פא.) פירשו בגמרא יורשי כתובתה בשומרת יבם שמתה</w:t>
      </w:r>
      <w:r>
        <w:rPr>
          <w:rFonts w:cs="Arial" w:hint="cs"/>
          <w:rtl/>
        </w:rPr>
        <w:t>,</w:t>
      </w:r>
      <w:r>
        <w:rPr>
          <w:rFonts w:cs="Arial"/>
          <w:rtl/>
        </w:rPr>
        <w:t xml:space="preserve"> ויורשי הבעל שהם יורשי כתובתה וחצי נכסי צאן ברזל שלה חייבים בקבורתה כמו שיתבאר פכ"ב (ה"י)</w:t>
      </w:r>
      <w:r>
        <w:rPr>
          <w:rFonts w:cs="Arial" w:hint="cs"/>
          <w:rtl/>
        </w:rPr>
        <w:t>,</w:t>
      </w:r>
      <w:r>
        <w:rPr>
          <w:rFonts w:cs="Arial"/>
          <w:rtl/>
        </w:rPr>
        <w:t xml:space="preserve"> וסובר רבינו דכל שכן באלמנה דעלמא שלא נשבעה</w:t>
      </w:r>
      <w:r>
        <w:rPr>
          <w:rFonts w:cs="Arial" w:hint="cs"/>
          <w:rtl/>
        </w:rPr>
        <w:t>,</w:t>
      </w:r>
      <w:r>
        <w:rPr>
          <w:rFonts w:cs="Arial"/>
          <w:rtl/>
        </w:rPr>
        <w:t xml:space="preserve"> שאין יורשין שלה יורשין כלום כנזכר פרק י"ו (הי"ב)</w:t>
      </w:r>
      <w:r>
        <w:rPr>
          <w:rFonts w:cs="Arial" w:hint="cs"/>
          <w:rtl/>
        </w:rPr>
        <w:t>,</w:t>
      </w:r>
      <w:r>
        <w:rPr>
          <w:rFonts w:cs="Arial"/>
          <w:rtl/>
        </w:rPr>
        <w:t xml:space="preserve"> שיורשי הבעל חייבים בקבורתה</w:t>
      </w:r>
      <w:r>
        <w:rPr>
          <w:rFonts w:cs="Arial" w:hint="cs"/>
          <w:rtl/>
        </w:rPr>
        <w:t>.</w:t>
      </w:r>
      <w:r>
        <w:rPr>
          <w:rFonts w:cs="Arial"/>
          <w:rtl/>
        </w:rPr>
        <w:t xml:space="preserve"> אבל בהשגות (פי"ח ה"ו) כתוב א"א דעתא קלישתא חזינן הכא וכי מפני שלא נשבעה</w:t>
      </w:r>
      <w:r>
        <w:rPr>
          <w:rFonts w:cs="Arial" w:hint="cs"/>
          <w:rtl/>
        </w:rPr>
        <w:t>,</w:t>
      </w:r>
      <w:r>
        <w:rPr>
          <w:rFonts w:cs="Arial"/>
          <w:rtl/>
        </w:rPr>
        <w:t xml:space="preserve"> קרא ליורשי הבעל יורשי כתובתה</w:t>
      </w:r>
      <w:r>
        <w:rPr>
          <w:rFonts w:cs="Arial" w:hint="cs"/>
          <w:rtl/>
        </w:rPr>
        <w:t>,</w:t>
      </w:r>
      <w:r>
        <w:rPr>
          <w:rFonts w:cs="Arial"/>
          <w:rtl/>
        </w:rPr>
        <w:t xml:space="preserve"> והלא הם אומרים שכבר נפרעה ונטלה צררי והורישה</w:t>
      </w:r>
      <w:r>
        <w:rPr>
          <w:rFonts w:cs="Arial" w:hint="cs"/>
          <w:rtl/>
        </w:rPr>
        <w:t>.</w:t>
      </w:r>
      <w:r>
        <w:rPr>
          <w:rFonts w:cs="Arial"/>
          <w:rtl/>
        </w:rPr>
        <w:t xml:space="preserve"> אלא ודאי יורשי נדונייתה ונכסי מלוג שלה קוברים אותה</w:t>
      </w:r>
      <w:r>
        <w:rPr>
          <w:rFonts w:cs="Arial" w:hint="cs"/>
          <w:rtl/>
        </w:rPr>
        <w:t>,</w:t>
      </w:r>
      <w:r>
        <w:rPr>
          <w:rFonts w:cs="Arial"/>
          <w:rtl/>
        </w:rPr>
        <w:t xml:space="preserve"> ואף על פי שלא ירשו כלום עכ"ל</w:t>
      </w:r>
      <w:r>
        <w:rPr>
          <w:rFonts w:cs="Arial" w:hint="cs"/>
          <w:rtl/>
        </w:rPr>
        <w:t>.</w:t>
      </w:r>
      <w:r>
        <w:rPr>
          <w:rFonts w:cs="Arial"/>
          <w:rtl/>
        </w:rPr>
        <w:t xml:space="preserve"> ובאמת שיש לחלק בין זו שדינה שיורשיה יורשין אותה אלא שלא נשבעה</w:t>
      </w:r>
      <w:r>
        <w:rPr>
          <w:rFonts w:cs="Arial" w:hint="cs"/>
          <w:rtl/>
        </w:rPr>
        <w:t>,</w:t>
      </w:r>
      <w:r>
        <w:rPr>
          <w:rFonts w:cs="Arial"/>
          <w:rtl/>
        </w:rPr>
        <w:t xml:space="preserve"> לההיא דשומרת יבם</w:t>
      </w:r>
      <w:r>
        <w:rPr>
          <w:rFonts w:cs="Arial" w:hint="cs"/>
          <w:rtl/>
        </w:rPr>
        <w:t>.</w:t>
      </w:r>
      <w:r>
        <w:rPr>
          <w:rFonts w:cs="Arial"/>
          <w:rtl/>
        </w:rPr>
        <w:t xml:space="preserve"> ואין בידי להכריע</w:t>
      </w:r>
      <w:r>
        <w:rPr>
          <w:rFonts w:cs="Arial" w:hint="cs"/>
          <w:rtl/>
        </w:rPr>
        <w:t>.</w:t>
      </w:r>
      <w:r>
        <w:rPr>
          <w:rFonts w:cs="Arial"/>
          <w:rtl/>
        </w:rPr>
        <w:t xml:space="preserve"> עכ"ל</w:t>
      </w:r>
      <w:r>
        <w:rPr>
          <w:rFonts w:cs="Arial" w:hint="cs"/>
          <w:sz w:val="16"/>
          <w:szCs w:val="16"/>
          <w:rtl/>
        </w:rPr>
        <w:t xml:space="preserve"> [הה"מ]</w:t>
      </w:r>
      <w:r>
        <w:rPr>
          <w:rFonts w:cs="Arial"/>
          <w:rtl/>
        </w:rPr>
        <w:t xml:space="preserve">. </w:t>
      </w:r>
      <w:r w:rsidRPr="00A67041">
        <w:rPr>
          <w:rFonts w:cs="Arial"/>
          <w:rtl/>
        </w:rPr>
        <w:t>וגם הר"ן כתב בר"פ אלמנה (נה. ד"ה אלמנה) שטעמו של הרמב"ם דיליף לה במכל שכן דשומרת יבם והראב"ד השיג עליו והדין</w:t>
      </w:r>
      <w:r>
        <w:rPr>
          <w:rFonts w:cs="Arial"/>
          <w:rtl/>
        </w:rPr>
        <w:t xml:space="preserve"> עמו ע"כ</w:t>
      </w:r>
      <w:r>
        <w:rPr>
          <w:rFonts w:hint="cs"/>
          <w:rtl/>
        </w:rPr>
        <w:t>, ב"י</w:t>
      </w:r>
      <w:r>
        <w:rPr>
          <w:rFonts w:cs="Arial" w:hint="cs"/>
          <w:rtl/>
        </w:rPr>
        <w:t>.</w:t>
      </w:r>
    </w:p>
  </w:footnote>
  <w:footnote w:id="1926">
    <w:p w14:paraId="0C4681E2" w14:textId="77777777" w:rsidR="00DF1FC7" w:rsidRDefault="00DF1FC7" w:rsidP="002E5BAD">
      <w:pPr>
        <w:pStyle w:val="a5"/>
      </w:pPr>
      <w:r>
        <w:rPr>
          <w:rStyle w:val="a7"/>
        </w:rPr>
        <w:footnoteRef/>
      </w:r>
      <w:r>
        <w:rPr>
          <w:rtl/>
        </w:rPr>
        <w:t xml:space="preserve"> </w:t>
      </w:r>
      <w:r w:rsidRPr="00B64FE5">
        <w:rPr>
          <w:rFonts w:cs="Arial"/>
          <w:rtl/>
        </w:rPr>
        <w:t>ועיין בס' בית מאיר שפקפק על דבריו ומסיים דהברור שאין להוציא ע"פ הכרעתו ע"ש. גם בס' ישועות יעקב סק"ב חלקו על הפמ"א בזה ע"ש ועי' בס' יד המלך פי"ח מהל' אישות מ"ש בזה</w:t>
      </w:r>
      <w:r>
        <w:rPr>
          <w:rFonts w:cs="Arial" w:hint="cs"/>
          <w:rtl/>
        </w:rPr>
        <w:t>, פת"ש (סק"ג).</w:t>
      </w:r>
    </w:p>
  </w:footnote>
  <w:footnote w:id="1927">
    <w:p w14:paraId="07F17A58" w14:textId="77777777" w:rsidR="00DF1FC7" w:rsidRDefault="00DF1FC7" w:rsidP="002E5BAD">
      <w:pPr>
        <w:pStyle w:val="a5"/>
      </w:pPr>
      <w:r>
        <w:rPr>
          <w:rStyle w:val="a7"/>
        </w:rPr>
        <w:footnoteRef/>
      </w:r>
      <w:r>
        <w:rPr>
          <w:rtl/>
        </w:rPr>
        <w:t xml:space="preserve"> </w:t>
      </w:r>
      <w:r>
        <w:rPr>
          <w:rFonts w:hint="cs"/>
          <w:rtl/>
        </w:rPr>
        <w:t xml:space="preserve">וז"ל- </w:t>
      </w:r>
      <w:r w:rsidRPr="00AC1506">
        <w:rPr>
          <w:rFonts w:cs="Arial"/>
          <w:rtl/>
        </w:rPr>
        <w:t>ואי ירית נכסי מלוג חייב בקבורת' דתקנת קבורת' גם כן תחת ירושתה כדמוכח פרק האשה שנפלו בסוגיא דשומרת יבם שמתה מי קוברה כדאיתא שם בתו'</w:t>
      </w:r>
      <w:r w:rsidRPr="00AC1506">
        <w:rPr>
          <w:rFonts w:cs="Arial" w:hint="cs"/>
          <w:rtl/>
        </w:rPr>
        <w:t>.</w:t>
      </w:r>
      <w:r w:rsidRPr="00AC1506">
        <w:rPr>
          <w:rFonts w:cs="Arial"/>
          <w:rtl/>
        </w:rPr>
        <w:t xml:space="preserve"> ואפילו נימא דעובדא דמהר"מ לא היו לה נכסי מלוג, בהא לא מפקע תקנת קבורתה דאם כן מי שפסק להכניסה ערומה מי לא חייב בקבורתה, אלא לא פלוג רבנן בתקנתא אף על גב דעיקר תקנתם משום נדוניא וכתובה כדמוכח בתוס' פרק נערה אההוא דשכיחה ולא שכיח' מכל מקום אי יריש נכסי מלוג מנא לי' למהר"ם לפטור הואיל ויריש נכסי מלוג. ואינהו נמי מחייבי קבורה</w:t>
      </w:r>
      <w:r>
        <w:rPr>
          <w:rFonts w:cs="Arial" w:hint="cs"/>
          <w:rtl/>
        </w:rPr>
        <w:t>.</w:t>
      </w:r>
    </w:p>
  </w:footnote>
  <w:footnote w:id="1928">
    <w:p w14:paraId="55EF4122" w14:textId="77777777" w:rsidR="00DF1FC7" w:rsidRDefault="00DF1FC7" w:rsidP="002E5BAD">
      <w:pPr>
        <w:pStyle w:val="a5"/>
      </w:pPr>
      <w:r>
        <w:rPr>
          <w:rStyle w:val="a7"/>
        </w:rPr>
        <w:footnoteRef/>
      </w:r>
      <w:r>
        <w:rPr>
          <w:rtl/>
        </w:rPr>
        <w:t xml:space="preserve"> </w:t>
      </w:r>
      <w:r w:rsidRPr="001C0969">
        <w:rPr>
          <w:rFonts w:cs="Arial"/>
          <w:rtl/>
        </w:rPr>
        <w:t xml:space="preserve">וכ"מ מראב"ד דאמרי' לא פלוג </w:t>
      </w:r>
      <w:r w:rsidRPr="00171226">
        <w:rPr>
          <w:rFonts w:cs="Arial" w:hint="cs"/>
          <w:sz w:val="16"/>
          <w:szCs w:val="16"/>
          <w:rtl/>
        </w:rPr>
        <w:t>(</w:t>
      </w:r>
      <w:r>
        <w:rPr>
          <w:rFonts w:cs="Arial" w:hint="cs"/>
          <w:sz w:val="16"/>
          <w:szCs w:val="16"/>
          <w:rtl/>
        </w:rPr>
        <w:t>ועיין בח"מ [</w:t>
      </w:r>
      <w:r w:rsidRPr="00171226">
        <w:rPr>
          <w:rFonts w:cs="Arial" w:hint="cs"/>
          <w:sz w:val="16"/>
          <w:szCs w:val="16"/>
          <w:rtl/>
        </w:rPr>
        <w:t>סק"</w:t>
      </w:r>
      <w:r w:rsidRPr="00171226">
        <w:rPr>
          <w:rFonts w:cs="Arial"/>
          <w:sz w:val="16"/>
          <w:szCs w:val="16"/>
          <w:rtl/>
        </w:rPr>
        <w:t>ד</w:t>
      </w:r>
      <w:r>
        <w:rPr>
          <w:rFonts w:cs="Arial" w:hint="cs"/>
          <w:sz w:val="16"/>
          <w:szCs w:val="16"/>
          <w:rtl/>
        </w:rPr>
        <w:t>] שכתב שאפשר לפרש אחרת את דברי הראב"ד</w:t>
      </w:r>
      <w:r w:rsidRPr="00171226">
        <w:rPr>
          <w:rFonts w:cs="Arial"/>
          <w:sz w:val="16"/>
          <w:szCs w:val="16"/>
          <w:rtl/>
        </w:rPr>
        <w:t>)</w:t>
      </w:r>
      <w:r>
        <w:rPr>
          <w:rFonts w:cs="Arial" w:hint="cs"/>
          <w:rtl/>
        </w:rPr>
        <w:t xml:space="preserve">. </w:t>
      </w:r>
      <w:r w:rsidRPr="001C0969">
        <w:rPr>
          <w:rFonts w:cs="Arial"/>
          <w:rtl/>
        </w:rPr>
        <w:t>מיהו מרמב"ם משמע דס"ל כשלא ירש אינו חייב בקבורה דאי ס"ל ל"פ א"כ אם מתה בלא שבועה למה היורשים אינם חייבים לקבור אותה אלא ודאי ס"ל כשלא ירש הבעל</w:t>
      </w:r>
      <w:r>
        <w:rPr>
          <w:rFonts w:cs="Arial" w:hint="cs"/>
          <w:rtl/>
        </w:rPr>
        <w:t xml:space="preserve"> </w:t>
      </w:r>
      <w:r w:rsidRPr="001C0969">
        <w:rPr>
          <w:rFonts w:cs="Arial"/>
          <w:rtl/>
        </w:rPr>
        <w:t>או היורשים אינם חייבים בקבורה</w:t>
      </w:r>
      <w:r>
        <w:rPr>
          <w:rFonts w:cs="Arial" w:hint="cs"/>
          <w:rtl/>
        </w:rPr>
        <w:t>, ב"ש (סק"ה)</w:t>
      </w:r>
      <w:r w:rsidRPr="001C0969">
        <w:rPr>
          <w:rFonts w:cs="Arial" w:hint="cs"/>
          <w:rtl/>
        </w:rPr>
        <w:t>.</w:t>
      </w:r>
    </w:p>
  </w:footnote>
  <w:footnote w:id="1929">
    <w:p w14:paraId="56A293E9" w14:textId="77777777" w:rsidR="00DF1FC7" w:rsidRDefault="00DF1FC7" w:rsidP="002E5BAD">
      <w:pPr>
        <w:pStyle w:val="a5"/>
        <w:rPr>
          <w:rtl/>
        </w:rPr>
      </w:pPr>
      <w:r>
        <w:rPr>
          <w:rStyle w:val="a7"/>
        </w:rPr>
        <w:footnoteRef/>
      </w:r>
      <w:r>
        <w:rPr>
          <w:rtl/>
        </w:rPr>
        <w:t xml:space="preserve"> </w:t>
      </w:r>
      <w:r>
        <w:rPr>
          <w:rFonts w:cs="Arial"/>
          <w:rtl/>
        </w:rPr>
        <w:t>בגמ' מפרש בחזקת מי הלכך לאו לקמיה קאי אלא ה"ג וכתובה בחזקת יורשי הבעל והני נכסים דקאמרי ב"ה הן נכסי צאן ברזל שהכניסה מבית אביה ושמאן בכתובתה ואחריותם עליו אם פיחתו פיחתו לו ואם הותירו הותירו לו</w:t>
      </w:r>
      <w:r>
        <w:rPr>
          <w:rFonts w:cs="Arial" w:hint="cs"/>
          <w:rtl/>
        </w:rPr>
        <w:t>, רשב"ם</w:t>
      </w:r>
      <w:r>
        <w:rPr>
          <w:rFonts w:cs="Arial"/>
          <w:rtl/>
        </w:rPr>
        <w:t>.</w:t>
      </w:r>
    </w:p>
  </w:footnote>
  <w:footnote w:id="1930">
    <w:p w14:paraId="36113453" w14:textId="77777777" w:rsidR="00DF1FC7" w:rsidRDefault="00DF1FC7" w:rsidP="002E5BAD">
      <w:pPr>
        <w:pStyle w:val="a5"/>
        <w:rPr>
          <w:rtl/>
        </w:rPr>
      </w:pPr>
      <w:r>
        <w:rPr>
          <w:rStyle w:val="a7"/>
        </w:rPr>
        <w:footnoteRef/>
      </w:r>
      <w:r>
        <w:rPr>
          <w:rtl/>
        </w:rPr>
        <w:t xml:space="preserve"> </w:t>
      </w:r>
      <w:r>
        <w:rPr>
          <w:rFonts w:cs="Arial"/>
          <w:rtl/>
        </w:rPr>
        <w:t>מנה ומאתים ותוספת שממון הבעל ראוי לינתן לה הלכך מספק לא תוציאנו מחזקת הבעל ומחזקת יורשים</w:t>
      </w:r>
      <w:r>
        <w:rPr>
          <w:rFonts w:cs="Arial" w:hint="cs"/>
          <w:rtl/>
        </w:rPr>
        <w:t>, רשב"ם</w:t>
      </w:r>
      <w:r>
        <w:rPr>
          <w:rFonts w:cs="Arial"/>
          <w:rtl/>
        </w:rPr>
        <w:t>.</w:t>
      </w:r>
    </w:p>
  </w:footnote>
  <w:footnote w:id="1931">
    <w:p w14:paraId="4D113675" w14:textId="77777777" w:rsidR="00DF1FC7" w:rsidRDefault="00DF1FC7" w:rsidP="002E5BAD">
      <w:pPr>
        <w:pStyle w:val="a5"/>
        <w:rPr>
          <w:rtl/>
        </w:rPr>
      </w:pPr>
      <w:r>
        <w:rPr>
          <w:rStyle w:val="a7"/>
        </w:rPr>
        <w:footnoteRef/>
      </w:r>
      <w:r>
        <w:rPr>
          <w:rtl/>
        </w:rPr>
        <w:t xml:space="preserve"> </w:t>
      </w:r>
      <w:r>
        <w:rPr>
          <w:rFonts w:cs="Arial"/>
          <w:rtl/>
        </w:rPr>
        <w:t>הן נכסי מלוג שנפלו מבית האב ואין אחריותן עליו</w:t>
      </w:r>
      <w:r>
        <w:rPr>
          <w:rFonts w:cs="Arial" w:hint="cs"/>
          <w:rtl/>
        </w:rPr>
        <w:t>, רשב"ם</w:t>
      </w:r>
      <w:r>
        <w:rPr>
          <w:rFonts w:cs="Arial"/>
          <w:rtl/>
        </w:rPr>
        <w:t>.</w:t>
      </w:r>
    </w:p>
  </w:footnote>
  <w:footnote w:id="1932">
    <w:p w14:paraId="28630C55" w14:textId="77777777" w:rsidR="00DF1FC7" w:rsidRPr="00BD74BB" w:rsidRDefault="00DF1FC7" w:rsidP="002E5BAD">
      <w:pPr>
        <w:pStyle w:val="a5"/>
        <w:rPr>
          <w:rFonts w:cs="Arial"/>
          <w:rtl/>
        </w:rPr>
      </w:pPr>
      <w:r>
        <w:rPr>
          <w:rStyle w:val="a7"/>
        </w:rPr>
        <w:footnoteRef/>
      </w:r>
      <w:r>
        <w:rPr>
          <w:rtl/>
        </w:rPr>
        <w:t xml:space="preserve"> </w:t>
      </w:r>
      <w:r>
        <w:rPr>
          <w:rFonts w:cs="Arial"/>
          <w:rtl/>
        </w:rPr>
        <w:t>שמאביה בא לה</w:t>
      </w:r>
      <w:r>
        <w:rPr>
          <w:rFonts w:cs="Arial" w:hint="cs"/>
          <w:rtl/>
        </w:rPr>
        <w:t>, רשב"ם</w:t>
      </w:r>
      <w:r>
        <w:rPr>
          <w:rFonts w:cs="Arial"/>
          <w:rtl/>
        </w:rPr>
        <w:t>.</w:t>
      </w:r>
    </w:p>
  </w:footnote>
  <w:footnote w:id="1933">
    <w:p w14:paraId="7ADCECF2" w14:textId="77777777" w:rsidR="00DF1FC7" w:rsidRDefault="00DF1FC7" w:rsidP="002E5BAD">
      <w:pPr>
        <w:pStyle w:val="a5"/>
      </w:pPr>
      <w:r>
        <w:rPr>
          <w:rStyle w:val="a7"/>
        </w:rPr>
        <w:footnoteRef/>
      </w:r>
      <w:r>
        <w:rPr>
          <w:rtl/>
        </w:rPr>
        <w:t xml:space="preserve"> </w:t>
      </w:r>
      <w:r>
        <w:rPr>
          <w:rFonts w:cs="Arial" w:hint="cs"/>
          <w:rtl/>
        </w:rPr>
        <w:t>הביא הרא"ש דבריהם, וכתב וז"ל-</w:t>
      </w:r>
      <w:r>
        <w:rPr>
          <w:rFonts w:cs="Arial"/>
          <w:rtl/>
        </w:rPr>
        <w:t xml:space="preserve"> ולי נראה דאם הלוותה האשה מנכסי מלוג שלה כשהיתה תחת בעלה</w:t>
      </w:r>
      <w:r>
        <w:rPr>
          <w:rFonts w:cs="Arial" w:hint="cs"/>
          <w:rtl/>
        </w:rPr>
        <w:t>,</w:t>
      </w:r>
      <w:r>
        <w:rPr>
          <w:rFonts w:cs="Arial"/>
          <w:rtl/>
        </w:rPr>
        <w:t xml:space="preserve"> ומתה</w:t>
      </w:r>
      <w:r>
        <w:rPr>
          <w:rFonts w:cs="Arial" w:hint="cs"/>
          <w:rtl/>
        </w:rPr>
        <w:t>,</w:t>
      </w:r>
      <w:r>
        <w:rPr>
          <w:rFonts w:cs="Arial"/>
          <w:rtl/>
        </w:rPr>
        <w:t xml:space="preserve"> ירית בעל ההיא מלוה</w:t>
      </w:r>
      <w:r>
        <w:rPr>
          <w:rFonts w:cs="Arial" w:hint="cs"/>
          <w:rtl/>
        </w:rPr>
        <w:t>,</w:t>
      </w:r>
      <w:r>
        <w:rPr>
          <w:rFonts w:cs="Arial"/>
          <w:rtl/>
        </w:rPr>
        <w:t xml:space="preserve"> שהרי שלא כדין הלוותה קרן של נכסי מלוג שלה</w:t>
      </w:r>
      <w:r>
        <w:rPr>
          <w:rFonts w:cs="Arial" w:hint="cs"/>
          <w:rtl/>
        </w:rPr>
        <w:t>,</w:t>
      </w:r>
      <w:r>
        <w:rPr>
          <w:rFonts w:cs="Arial"/>
          <w:rtl/>
        </w:rPr>
        <w:t xml:space="preserve"> שהקרן ברשותו הוא ליטול הימנו פירות</w:t>
      </w:r>
      <w:r>
        <w:rPr>
          <w:rFonts w:cs="Arial" w:hint="cs"/>
          <w:rtl/>
        </w:rPr>
        <w:t>,</w:t>
      </w:r>
      <w:r>
        <w:rPr>
          <w:rFonts w:cs="Arial"/>
          <w:rtl/>
        </w:rPr>
        <w:t xml:space="preserve"> ולא עדיף ממכרה (שם נ.) שהתקינו באושא שהבעל מוציא מיד הלקוחות משום דכלוקח ראשון שויוה רבנן</w:t>
      </w:r>
      <w:r>
        <w:rPr>
          <w:rFonts w:cs="Arial" w:hint="cs"/>
          <w:rtl/>
        </w:rPr>
        <w:t>,</w:t>
      </w:r>
      <w:r>
        <w:rPr>
          <w:rFonts w:cs="Arial"/>
          <w:rtl/>
        </w:rPr>
        <w:t xml:space="preserve"> וכל שכן אם הלוותה ממון שהיה בידיה שהבעל מוציא מידו ויורש אותה מלוה</w:t>
      </w:r>
      <w:r>
        <w:rPr>
          <w:rFonts w:cs="Arial" w:hint="cs"/>
          <w:rtl/>
        </w:rPr>
        <w:t>.</w:t>
      </w:r>
      <w:r>
        <w:rPr>
          <w:rFonts w:cs="Arial"/>
          <w:rtl/>
        </w:rPr>
        <w:t xml:space="preserve"> אבל אם מתו מורישי האשה והניחו מלוה ביד אחרים ומתה האשה קודם שגבתה המלוה</w:t>
      </w:r>
      <w:r>
        <w:rPr>
          <w:rFonts w:cs="Arial" w:hint="cs"/>
          <w:rtl/>
        </w:rPr>
        <w:t>.</w:t>
      </w:r>
      <w:r>
        <w:rPr>
          <w:rFonts w:cs="Arial"/>
          <w:rtl/>
        </w:rPr>
        <w:t xml:space="preserve"> או אם היה מלוה ביד אחר כשלקחה</w:t>
      </w:r>
      <w:r>
        <w:rPr>
          <w:rFonts w:cs="Arial" w:hint="cs"/>
          <w:rtl/>
        </w:rPr>
        <w:t>,</w:t>
      </w:r>
      <w:r>
        <w:rPr>
          <w:rFonts w:cs="Arial"/>
          <w:rtl/>
        </w:rPr>
        <w:t xml:space="preserve"> ומתה קודם שגבתה</w:t>
      </w:r>
      <w:r>
        <w:rPr>
          <w:rFonts w:cs="Arial" w:hint="cs"/>
          <w:rtl/>
        </w:rPr>
        <w:t xml:space="preserve">, </w:t>
      </w:r>
      <w:r>
        <w:rPr>
          <w:rFonts w:cs="Arial"/>
          <w:rtl/>
        </w:rPr>
        <w:t>בהך מלוה לא ירית לה בעל</w:t>
      </w:r>
      <w:r>
        <w:rPr>
          <w:rFonts w:cs="Arial" w:hint="cs"/>
          <w:rtl/>
        </w:rPr>
        <w:t>,</w:t>
      </w:r>
      <w:r>
        <w:rPr>
          <w:rFonts w:cs="Arial"/>
          <w:rtl/>
        </w:rPr>
        <w:t xml:space="preserve"> והיינו דומיא דנזקי אשתו</w:t>
      </w:r>
      <w:r>
        <w:rPr>
          <w:rFonts w:cs="Arial" w:hint="cs"/>
          <w:rtl/>
        </w:rPr>
        <w:t>.</w:t>
      </w:r>
    </w:p>
  </w:footnote>
  <w:footnote w:id="1934">
    <w:p w14:paraId="087AF87A" w14:textId="77777777" w:rsidR="00DF1FC7" w:rsidRDefault="00DF1FC7" w:rsidP="002E5BAD">
      <w:pPr>
        <w:pStyle w:val="a5"/>
      </w:pPr>
      <w:r>
        <w:rPr>
          <w:rStyle w:val="a7"/>
        </w:rPr>
        <w:footnoteRef/>
      </w:r>
      <w:r>
        <w:rPr>
          <w:rtl/>
        </w:rPr>
        <w:t xml:space="preserve"> </w:t>
      </w:r>
      <w:r>
        <w:rPr>
          <w:rFonts w:cs="Arial"/>
          <w:rtl/>
        </w:rPr>
        <w:t>והרב המגיד כתב בפרק ראשון מהלכות נחלות (הי"א)</w:t>
      </w:r>
      <w:r>
        <w:rPr>
          <w:rFonts w:cs="Arial" w:hint="cs"/>
          <w:rtl/>
        </w:rPr>
        <w:t>-</w:t>
      </w:r>
      <w:r>
        <w:rPr>
          <w:rFonts w:cs="Arial"/>
          <w:rtl/>
        </w:rPr>
        <w:t xml:space="preserve"> לא הזכיר רבינו בדין הבעל במלוה שום דבר</w:t>
      </w:r>
      <w:r>
        <w:rPr>
          <w:rFonts w:cs="Arial" w:hint="cs"/>
          <w:rtl/>
        </w:rPr>
        <w:t>.</w:t>
      </w:r>
      <w:r>
        <w:rPr>
          <w:rFonts w:cs="Arial"/>
          <w:rtl/>
        </w:rPr>
        <w:t xml:space="preserve"> אבל ממ"ש בפ</w:t>
      </w:r>
      <w:r>
        <w:rPr>
          <w:rFonts w:cs="Arial" w:hint="cs"/>
          <w:rtl/>
        </w:rPr>
        <w:t>כ</w:t>
      </w:r>
      <w:r>
        <w:rPr>
          <w:rFonts w:cs="Arial"/>
          <w:rtl/>
        </w:rPr>
        <w:t>"ב מהלכות אישות (ה"ז) כל נכסים שיש לאשה בין נכסי מלוג וכו' ואם מתה בחיי הבעל יירש הכל ולא חילק כלל בין נכסים לנכסים נראה קצת שהוא סבור כדברי רבו ן' מיגאש ז"ל (קכה: ד"ה הא) שכתב שהבעל יורש את המלוה</w:t>
      </w:r>
      <w:r>
        <w:rPr>
          <w:rFonts w:cs="Arial" w:hint="cs"/>
          <w:rtl/>
        </w:rPr>
        <w:t>,</w:t>
      </w:r>
      <w:r>
        <w:rPr>
          <w:rFonts w:cs="Arial"/>
          <w:rtl/>
        </w:rPr>
        <w:t xml:space="preserve"> והאריך </w:t>
      </w:r>
      <w:r>
        <w:rPr>
          <w:rFonts w:cs="Arial" w:hint="cs"/>
          <w:sz w:val="16"/>
          <w:szCs w:val="16"/>
          <w:rtl/>
        </w:rPr>
        <w:t xml:space="preserve">{הר"י מיגאש} </w:t>
      </w:r>
      <w:r>
        <w:rPr>
          <w:rFonts w:cs="Arial"/>
          <w:rtl/>
        </w:rPr>
        <w:t>בזה וחילק במלוה על פה בין הגיע זמנה ללא הגיע זמנה מחיים דאשה</w:t>
      </w:r>
      <w:r>
        <w:rPr>
          <w:rFonts w:cs="Arial" w:hint="cs"/>
          <w:rtl/>
        </w:rPr>
        <w:t>.</w:t>
      </w:r>
      <w:r>
        <w:rPr>
          <w:rFonts w:cs="Arial"/>
          <w:rtl/>
        </w:rPr>
        <w:t xml:space="preserve"> והוא עצמו </w:t>
      </w:r>
      <w:r>
        <w:rPr>
          <w:rFonts w:cs="Arial" w:hint="cs"/>
          <w:sz w:val="16"/>
          <w:szCs w:val="16"/>
          <w:rtl/>
        </w:rPr>
        <w:t xml:space="preserve">{הר"י מיגאש} </w:t>
      </w:r>
      <w:r>
        <w:rPr>
          <w:rFonts w:cs="Arial"/>
          <w:rtl/>
        </w:rPr>
        <w:t>כתב שהרי"ף ור"ח חלוקים עליו ואומרים שדין הבעל במלוה כדין הבכור</w:t>
      </w:r>
      <w:r>
        <w:rPr>
          <w:rFonts w:cs="Arial" w:hint="cs"/>
          <w:rtl/>
        </w:rPr>
        <w:t>,</w:t>
      </w:r>
      <w:r>
        <w:rPr>
          <w:rFonts w:cs="Arial"/>
          <w:rtl/>
        </w:rPr>
        <w:t xml:space="preserve"> והוא ז"ל </w:t>
      </w:r>
      <w:r>
        <w:rPr>
          <w:rFonts w:cs="Arial" w:hint="cs"/>
          <w:sz w:val="16"/>
          <w:szCs w:val="16"/>
          <w:rtl/>
        </w:rPr>
        <w:t xml:space="preserve">{הר"י מיגאש} </w:t>
      </w:r>
      <w:r>
        <w:rPr>
          <w:rFonts w:cs="Arial"/>
          <w:rtl/>
        </w:rPr>
        <w:t>חשש לדבריהם ולא עשה מעשה כדבריו</w:t>
      </w:r>
      <w:r>
        <w:rPr>
          <w:rFonts w:cs="Arial" w:hint="cs"/>
          <w:rtl/>
        </w:rPr>
        <w:t>.</w:t>
      </w:r>
      <w:r>
        <w:rPr>
          <w:rFonts w:cs="Arial"/>
          <w:rtl/>
        </w:rPr>
        <w:t xml:space="preserve"> והרמב"ן (קכה: ד"ה אמר ר"פ) והרשב"א (שם: ד"ה והרמב"ן וד"ה ועוד) ז"ל דעתם כדעת הגאונים שאין הבעל נוטל במלוה</w:t>
      </w:r>
      <w:r>
        <w:rPr>
          <w:rFonts w:cs="Arial" w:hint="cs"/>
          <w:rtl/>
        </w:rPr>
        <w:t>.</w:t>
      </w:r>
      <w:r>
        <w:rPr>
          <w:rFonts w:cs="Arial"/>
          <w:rtl/>
        </w:rPr>
        <w:t xml:space="preserve"> וכן עיקר</w:t>
      </w:r>
      <w:r>
        <w:rPr>
          <w:rFonts w:cs="Arial" w:hint="cs"/>
          <w:rtl/>
        </w:rPr>
        <w:t>.</w:t>
      </w:r>
      <w:r>
        <w:rPr>
          <w:rFonts w:cs="Arial"/>
          <w:rtl/>
        </w:rPr>
        <w:t xml:space="preserve"> ומכל מקום זהו בשנתברר שהמלוה היא מן האשה</w:t>
      </w:r>
      <w:r>
        <w:rPr>
          <w:rFonts w:cs="Arial" w:hint="cs"/>
          <w:rtl/>
        </w:rPr>
        <w:t>,</w:t>
      </w:r>
      <w:r>
        <w:rPr>
          <w:rFonts w:cs="Arial"/>
          <w:rtl/>
        </w:rPr>
        <w:t xml:space="preserve"> אבל אם היתה נושאת ונותנת בתוך הבית והיו שטרות יוצאות על שמה אין חזקתן שלה כמו שיתבאר פ"ט (מנחלות ה"ז</w:t>
      </w:r>
      <w:r>
        <w:rPr>
          <w:rFonts w:cs="Arial" w:hint="cs"/>
          <w:rtl/>
        </w:rPr>
        <w:t xml:space="preserve">, </w:t>
      </w:r>
      <w:r w:rsidRPr="00D9440F">
        <w:rPr>
          <w:rFonts w:cs="Arial"/>
          <w:rtl/>
        </w:rPr>
        <w:t>וכבר נתבאר דין זה לעיל ס</w:t>
      </w:r>
      <w:r>
        <w:rPr>
          <w:rFonts w:cs="Arial" w:hint="cs"/>
          <w:rtl/>
        </w:rPr>
        <w:t>"</w:t>
      </w:r>
      <w:r w:rsidRPr="00D9440F">
        <w:rPr>
          <w:rFonts w:cs="Arial"/>
          <w:rtl/>
        </w:rPr>
        <w:t xml:space="preserve">ס פ"ו </w:t>
      </w:r>
      <w:r>
        <w:rPr>
          <w:rFonts w:cs="Arial" w:hint="cs"/>
          <w:rtl/>
        </w:rPr>
        <w:t xml:space="preserve">, דרכ"מ [אות </w:t>
      </w:r>
      <w:r w:rsidRPr="00D9440F">
        <w:rPr>
          <w:rFonts w:cs="Arial"/>
          <w:rtl/>
        </w:rPr>
        <w:t>ג*</w:t>
      </w:r>
      <w:r>
        <w:rPr>
          <w:rFonts w:cs="Arial" w:hint="cs"/>
          <w:rtl/>
        </w:rPr>
        <w:t>]</w:t>
      </w:r>
      <w:r>
        <w:rPr>
          <w:rFonts w:cs="Arial"/>
          <w:rtl/>
        </w:rPr>
        <w:t>) עכ"ל</w:t>
      </w:r>
      <w:r w:rsidRPr="00D9440F">
        <w:rPr>
          <w:rFonts w:cs="Arial"/>
          <w:rtl/>
        </w:rPr>
        <w:t xml:space="preserve"> </w:t>
      </w:r>
      <w:r>
        <w:rPr>
          <w:rFonts w:cs="Arial" w:hint="cs"/>
          <w:rtl/>
        </w:rPr>
        <w:t xml:space="preserve">הה"מ. </w:t>
      </w:r>
    </w:p>
  </w:footnote>
  <w:footnote w:id="1935">
    <w:p w14:paraId="709B1DD5" w14:textId="77777777" w:rsidR="00DF1FC7" w:rsidRDefault="00DF1FC7" w:rsidP="002E5BAD">
      <w:pPr>
        <w:pStyle w:val="a5"/>
        <w:rPr>
          <w:rtl/>
        </w:rPr>
      </w:pPr>
      <w:r>
        <w:rPr>
          <w:rStyle w:val="a7"/>
        </w:rPr>
        <w:footnoteRef/>
      </w:r>
      <w:r>
        <w:rPr>
          <w:rtl/>
        </w:rPr>
        <w:t xml:space="preserve"> </w:t>
      </w:r>
      <w:r w:rsidRPr="00CD250C">
        <w:rPr>
          <w:rFonts w:cs="Arial"/>
          <w:rtl/>
        </w:rPr>
        <w:t>דאי לא מברחת למה לי</w:t>
      </w:r>
      <w:r>
        <w:rPr>
          <w:rFonts w:cs="Arial" w:hint="cs"/>
          <w:rtl/>
        </w:rPr>
        <w:t>.</w:t>
      </w:r>
      <w:r w:rsidRPr="00CD250C">
        <w:rPr>
          <w:rFonts w:cs="Arial"/>
          <w:rtl/>
        </w:rPr>
        <w:t xml:space="preserve"> וכן בפרק חזקת (ב"ב מט.) דאוקימנא בכותב לה בעודה ארוסה דין ודברים אין לי על שדה זו</w:t>
      </w:r>
      <w:r>
        <w:rPr>
          <w:rFonts w:cs="Arial" w:hint="cs"/>
          <w:rtl/>
        </w:rPr>
        <w:t>.</w:t>
      </w:r>
      <w:r w:rsidRPr="00CD250C">
        <w:rPr>
          <w:rFonts w:cs="Arial"/>
          <w:rtl/>
        </w:rPr>
        <w:t xml:space="preserve"> ובפרק בן סורר (סנהדרין עא.) דאוקימנא בשנתן לה אחר על מנת שאין לבעלה רשות בהם</w:t>
      </w:r>
      <w:r>
        <w:rPr>
          <w:rFonts w:cs="Arial" w:hint="cs"/>
          <w:rtl/>
        </w:rPr>
        <w:t>.</w:t>
      </w:r>
      <w:r w:rsidRPr="00CD250C">
        <w:rPr>
          <w:rFonts w:cs="Arial"/>
          <w:rtl/>
        </w:rPr>
        <w:t xml:space="preserve"> לוקמינהו לכולהו בנכסים ששיירה לעצמה</w:t>
      </w:r>
      <w:r>
        <w:rPr>
          <w:rFonts w:cs="Arial" w:hint="cs"/>
          <w:rtl/>
        </w:rPr>
        <w:t>,</w:t>
      </w:r>
      <w:r w:rsidRPr="00CD250C">
        <w:rPr>
          <w:rFonts w:cs="Arial"/>
          <w:rtl/>
        </w:rPr>
        <w:t xml:space="preserve"> שזה היה יותר קרוב ומצוי</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936">
    <w:p w14:paraId="09D47975" w14:textId="77777777" w:rsidR="00DF1FC7" w:rsidRDefault="00DF1FC7" w:rsidP="002E5BAD">
      <w:pPr>
        <w:pStyle w:val="a5"/>
        <w:rPr>
          <w:rtl/>
        </w:rPr>
      </w:pPr>
      <w:r>
        <w:rPr>
          <w:rStyle w:val="a7"/>
        </w:rPr>
        <w:footnoteRef/>
      </w:r>
      <w:r>
        <w:rPr>
          <w:rtl/>
        </w:rPr>
        <w:t xml:space="preserve"> </w:t>
      </w:r>
      <w:r w:rsidRPr="00CD250C">
        <w:rPr>
          <w:rFonts w:cs="Arial"/>
          <w:rtl/>
        </w:rPr>
        <w:t xml:space="preserve">לפי שאמרו בפרק יש נוחלין (קכו.) גבי בכור שאינו נוטל במלוה </w:t>
      </w:r>
      <w:r>
        <w:rPr>
          <w:rFonts w:cs="Arial" w:hint="cs"/>
          <w:rtl/>
        </w:rPr>
        <w:t>'</w:t>
      </w:r>
      <w:r w:rsidRPr="00CD250C">
        <w:rPr>
          <w:rFonts w:cs="Arial"/>
          <w:rtl/>
        </w:rPr>
        <w:t>ובמלוה שעמו פלגי</w:t>
      </w:r>
      <w:r>
        <w:rPr>
          <w:rFonts w:cs="Arial" w:hint="cs"/>
          <w:rtl/>
        </w:rPr>
        <w:t>',</w:t>
      </w:r>
      <w:r w:rsidRPr="00CD250C">
        <w:rPr>
          <w:rFonts w:cs="Arial"/>
          <w:rtl/>
        </w:rPr>
        <w:t xml:space="preserve"> יש גורסים שם כן</w:t>
      </w:r>
      <w:r>
        <w:rPr>
          <w:rFonts w:cs="Arial" w:hint="cs"/>
          <w:rtl/>
        </w:rPr>
        <w:t>.</w:t>
      </w:r>
      <w:r w:rsidRPr="00CD250C">
        <w:rPr>
          <w:rFonts w:cs="Arial"/>
          <w:rtl/>
        </w:rPr>
        <w:t xml:space="preserve"> ולומר שהמלוה שעם הבן הבכור</w:t>
      </w:r>
      <w:r>
        <w:rPr>
          <w:rFonts w:cs="Arial" w:hint="cs"/>
          <w:rtl/>
        </w:rPr>
        <w:t>,</w:t>
      </w:r>
      <w:r w:rsidRPr="00CD250C">
        <w:rPr>
          <w:rFonts w:cs="Arial"/>
          <w:rtl/>
        </w:rPr>
        <w:t xml:space="preserve"> כלומר שהלוהו אביו</w:t>
      </w:r>
      <w:r>
        <w:rPr>
          <w:rFonts w:cs="Arial" w:hint="cs"/>
          <w:rtl/>
        </w:rPr>
        <w:t>,</w:t>
      </w:r>
      <w:r w:rsidRPr="00CD250C">
        <w:rPr>
          <w:rFonts w:cs="Arial"/>
          <w:rtl/>
        </w:rPr>
        <w:t xml:space="preserve"> מספקא לן אם היא מוחזקת אצלו או לא</w:t>
      </w:r>
      <w:r>
        <w:rPr>
          <w:rFonts w:cs="Arial" w:hint="cs"/>
          <w:rtl/>
        </w:rPr>
        <w:t>.</w:t>
      </w:r>
      <w:r w:rsidRPr="00CD250C">
        <w:rPr>
          <w:rFonts w:cs="Arial"/>
          <w:rtl/>
        </w:rPr>
        <w:t xml:space="preserve"> וכיון שכן מספיקא</w:t>
      </w:r>
      <w:r>
        <w:rPr>
          <w:rFonts w:cs="Arial" w:hint="cs"/>
          <w:rtl/>
        </w:rPr>
        <w:t>,</w:t>
      </w:r>
      <w:r w:rsidRPr="00CD250C">
        <w:rPr>
          <w:rFonts w:cs="Arial"/>
          <w:rtl/>
        </w:rPr>
        <w:t xml:space="preserve"> חולקים ונוטל באותה מלוה מחצית הבכורה כדין ממון המוטל בספק</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937">
    <w:p w14:paraId="37442165" w14:textId="77777777" w:rsidR="00DF1FC7" w:rsidRDefault="00DF1FC7" w:rsidP="002E5BAD">
      <w:pPr>
        <w:pStyle w:val="a5"/>
        <w:rPr>
          <w:rtl/>
        </w:rPr>
      </w:pPr>
      <w:r>
        <w:rPr>
          <w:rStyle w:val="a7"/>
        </w:rPr>
        <w:footnoteRef/>
      </w:r>
      <w:r>
        <w:rPr>
          <w:rtl/>
        </w:rPr>
        <w:t xml:space="preserve"> </w:t>
      </w:r>
      <w:r w:rsidRPr="00CD250C">
        <w:rPr>
          <w:rFonts w:cs="Arial"/>
          <w:rtl/>
        </w:rPr>
        <w:t>ואפילו הבכור נוטל בה פי שנים כדאיתא בפרק איזהו נשך (ב"מ סז:)</w:t>
      </w:r>
      <w:r>
        <w:rPr>
          <w:rFonts w:cs="Arial" w:hint="cs"/>
          <w:rtl/>
        </w:rPr>
        <w:t>.</w:t>
      </w:r>
      <w:r w:rsidRPr="00CD250C">
        <w:rPr>
          <w:rFonts w:cs="Arial"/>
          <w:rtl/>
        </w:rPr>
        <w:t xml:space="preserve"> וכל משכנתא סתם הרי היא כאתרא דלא מסלקי</w:t>
      </w:r>
      <w:r>
        <w:rPr>
          <w:rFonts w:cs="Arial" w:hint="cs"/>
          <w:rtl/>
        </w:rPr>
        <w:t>,</w:t>
      </w:r>
      <w:r w:rsidRPr="00CD250C">
        <w:rPr>
          <w:rFonts w:cs="Arial"/>
          <w:rtl/>
        </w:rPr>
        <w:t xml:space="preserve"> משום דסתם משכנתא שתא</w:t>
      </w:r>
      <w:r>
        <w:rPr>
          <w:rFonts w:cs="Arial" w:hint="cs"/>
          <w:rtl/>
        </w:rPr>
        <w:t>,</w:t>
      </w:r>
      <w:r w:rsidRPr="00CD250C">
        <w:rPr>
          <w:rFonts w:cs="Arial"/>
          <w:rtl/>
        </w:rPr>
        <w:t xml:space="preserve"> ואין קרוי אתרא דמסלקי אלא המקום שא"א ללוה לסלק את המלוה כל זמן שירצה ואפילו ביומו</w:t>
      </w:r>
      <w:r>
        <w:rPr>
          <w:rFonts w:cs="Arial" w:hint="cs"/>
          <w:rtl/>
        </w:rPr>
        <w:t>.</w:t>
      </w:r>
      <w:r w:rsidRPr="00CD250C">
        <w:rPr>
          <w:rFonts w:cs="Arial"/>
          <w:rtl/>
        </w:rPr>
        <w:t xml:space="preserve"> והכי מוכחא לי שמעתא התם</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938">
    <w:p w14:paraId="4BC1F9C1" w14:textId="77777777" w:rsidR="00DF1FC7" w:rsidRDefault="00DF1FC7" w:rsidP="002E5BAD">
      <w:pPr>
        <w:pStyle w:val="a5"/>
        <w:rPr>
          <w:rtl/>
        </w:rPr>
      </w:pPr>
      <w:r>
        <w:rPr>
          <w:rStyle w:val="a7"/>
        </w:rPr>
        <w:footnoteRef/>
      </w:r>
      <w:r>
        <w:rPr>
          <w:rtl/>
        </w:rPr>
        <w:t xml:space="preserve"> </w:t>
      </w:r>
      <w:r w:rsidRPr="00CD250C">
        <w:rPr>
          <w:rFonts w:cs="Arial"/>
          <w:rtl/>
        </w:rPr>
        <w:t xml:space="preserve">ובתשובה אחרת כתב וז"ל דעתי באמת נוטה לדברי ר"ח והרי"ף במלוה שהיא ראויה וגם הר"י </w:t>
      </w:r>
      <w:r w:rsidRPr="005D7B71">
        <w:rPr>
          <w:rFonts w:cs="Arial"/>
          <w:rtl/>
        </w:rPr>
        <w:t>הלוי חושש בפירוש לדבריהם</w:t>
      </w:r>
      <w:r w:rsidRPr="00CD250C">
        <w:rPr>
          <w:rFonts w:cs="Arial"/>
          <w:rtl/>
        </w:rPr>
        <w:t xml:space="preserve"> הלכה למעשה אחר כל הראיות שהביא</w:t>
      </w:r>
      <w:r>
        <w:rPr>
          <w:rFonts w:hint="cs"/>
          <w:rtl/>
        </w:rPr>
        <w:t>, ב"י.</w:t>
      </w:r>
    </w:p>
  </w:footnote>
  <w:footnote w:id="1939">
    <w:p w14:paraId="6B9747B0" w14:textId="77777777" w:rsidR="00DF1FC7" w:rsidRDefault="00DF1FC7" w:rsidP="002E5BAD">
      <w:pPr>
        <w:pStyle w:val="a5"/>
        <w:rPr>
          <w:rtl/>
        </w:rPr>
      </w:pPr>
      <w:r>
        <w:rPr>
          <w:rStyle w:val="a7"/>
        </w:rPr>
        <w:footnoteRef/>
      </w:r>
      <w:r>
        <w:rPr>
          <w:rtl/>
        </w:rPr>
        <w:t xml:space="preserve"> </w:t>
      </w:r>
      <w:r w:rsidRPr="00843F99">
        <w:rPr>
          <w:rFonts w:cs="Arial"/>
          <w:rtl/>
        </w:rPr>
        <w:t>ועיין בחושן משפט סוף סימן רפ"א (אות ג) הארכתי בזה</w:t>
      </w:r>
      <w:r>
        <w:rPr>
          <w:rFonts w:cs="Arial" w:hint="cs"/>
          <w:rtl/>
        </w:rPr>
        <w:t>, דרכ"מ (אות ב)</w:t>
      </w:r>
      <w:r w:rsidRPr="00843F99">
        <w:rPr>
          <w:rFonts w:cs="Arial"/>
          <w:rtl/>
        </w:rPr>
        <w:t>.</w:t>
      </w:r>
    </w:p>
  </w:footnote>
  <w:footnote w:id="1940">
    <w:p w14:paraId="25A61E54" w14:textId="77777777" w:rsidR="00DF1FC7" w:rsidRDefault="00DF1FC7" w:rsidP="002E5BAD">
      <w:pPr>
        <w:pStyle w:val="a5"/>
      </w:pPr>
      <w:r>
        <w:rPr>
          <w:rStyle w:val="a7"/>
        </w:rPr>
        <w:footnoteRef/>
      </w:r>
      <w:r>
        <w:rPr>
          <w:rtl/>
        </w:rPr>
        <w:t xml:space="preserve"> </w:t>
      </w:r>
      <w:r w:rsidRPr="00726398">
        <w:rPr>
          <w:rFonts w:cs="Arial"/>
          <w:rtl/>
        </w:rPr>
        <w:t xml:space="preserve">הרמב"ם </w:t>
      </w:r>
      <w:r>
        <w:rPr>
          <w:rFonts w:cs="Arial" w:hint="cs"/>
          <w:rtl/>
        </w:rPr>
        <w:t>(</w:t>
      </w:r>
      <w:r w:rsidRPr="00726398">
        <w:rPr>
          <w:rFonts w:cs="Arial"/>
          <w:rtl/>
        </w:rPr>
        <w:t xml:space="preserve">פ"א </w:t>
      </w:r>
      <w:r>
        <w:rPr>
          <w:rFonts w:cs="Arial" w:hint="cs"/>
          <w:rtl/>
        </w:rPr>
        <w:t>מהל' נחלות)</w:t>
      </w:r>
      <w:r w:rsidRPr="00726398">
        <w:rPr>
          <w:rFonts w:cs="Arial"/>
          <w:rtl/>
        </w:rPr>
        <w:t xml:space="preserve"> פסק ירושת הבעל מד"ס</w:t>
      </w:r>
      <w:r>
        <w:rPr>
          <w:rFonts w:cs="Arial" w:hint="cs"/>
          <w:rtl/>
        </w:rPr>
        <w:t>.</w:t>
      </w:r>
      <w:r w:rsidRPr="00726398">
        <w:rPr>
          <w:rFonts w:cs="Arial"/>
          <w:rtl/>
        </w:rPr>
        <w:t xml:space="preserve"> והראב"ד והרשב"א ס"ל שהוא מדאוריית</w:t>
      </w:r>
      <w:r>
        <w:rPr>
          <w:rFonts w:cs="Arial" w:hint="cs"/>
          <w:rtl/>
        </w:rPr>
        <w:t>א.</w:t>
      </w:r>
      <w:r w:rsidRPr="00726398">
        <w:rPr>
          <w:rFonts w:cs="Arial"/>
          <w:rtl/>
        </w:rPr>
        <w:t xml:space="preserve"> ע"ש במגיד ובכ"מ</w:t>
      </w:r>
      <w:r>
        <w:rPr>
          <w:rFonts w:cs="Arial" w:hint="cs"/>
          <w:rtl/>
        </w:rPr>
        <w:t>.</w:t>
      </w:r>
      <w:r w:rsidRPr="00726398">
        <w:rPr>
          <w:rFonts w:cs="Arial"/>
          <w:rtl/>
        </w:rPr>
        <w:t xml:space="preserve"> ועסי' נ"ז שם מבואר כשמסר אותם לבעל או לשלוחו יורש אותה</w:t>
      </w:r>
      <w:r>
        <w:rPr>
          <w:rFonts w:cs="Arial" w:hint="cs"/>
          <w:rtl/>
        </w:rPr>
        <w:t>, ב"ש (סק"א).</w:t>
      </w:r>
    </w:p>
  </w:footnote>
  <w:footnote w:id="1941">
    <w:p w14:paraId="70E64BDD" w14:textId="77777777" w:rsidR="00DF1FC7" w:rsidRDefault="00DF1FC7" w:rsidP="002E5BAD">
      <w:pPr>
        <w:pStyle w:val="a5"/>
      </w:pPr>
      <w:r>
        <w:rPr>
          <w:rStyle w:val="a7"/>
        </w:rPr>
        <w:footnoteRef/>
      </w:r>
      <w:r>
        <w:rPr>
          <w:rtl/>
        </w:rPr>
        <w:t xml:space="preserve"> </w:t>
      </w:r>
      <w:r w:rsidRPr="009615B2">
        <w:rPr>
          <w:rFonts w:cs="Arial"/>
          <w:rtl/>
        </w:rPr>
        <w:t>אפילו אותן נכסים שלא היה לבעל בהן אכילת פירות כמבואר לעיל סי' פ"ה אפ"ה יורש אותן</w:t>
      </w:r>
      <w:r>
        <w:rPr>
          <w:rFonts w:cs="Arial" w:hint="cs"/>
          <w:rtl/>
        </w:rPr>
        <w:t>, ח"מ (סק"א).</w:t>
      </w:r>
    </w:p>
  </w:footnote>
  <w:footnote w:id="1942">
    <w:p w14:paraId="4DF944D6" w14:textId="77777777" w:rsidR="00DF1FC7" w:rsidRDefault="00DF1FC7" w:rsidP="002E5BAD">
      <w:pPr>
        <w:pStyle w:val="a5"/>
        <w:rPr>
          <w:rtl/>
        </w:rPr>
      </w:pPr>
      <w:r>
        <w:rPr>
          <w:rStyle w:val="a7"/>
        </w:rPr>
        <w:footnoteRef/>
      </w:r>
      <w:r>
        <w:rPr>
          <w:rtl/>
        </w:rPr>
        <w:t xml:space="preserve"> </w:t>
      </w:r>
      <w:r w:rsidRPr="009615B2">
        <w:rPr>
          <w:rFonts w:cs="Arial"/>
          <w:rtl/>
        </w:rPr>
        <w:t>אף על גב דאומדן דעתא הוא שאבי הבת לא היתה כוונתו על זרע קיימ' שימות בחייו רק כוונתו היה שיבא ממונו לבתו או לזרעה לא לבעלה בזמן שאין לבתו זרע ממנו מ"מ מאחר שהודה חייב להבת לא אמרינן אומדנ</w:t>
      </w:r>
      <w:r>
        <w:rPr>
          <w:rFonts w:cs="Arial" w:hint="cs"/>
          <w:rtl/>
        </w:rPr>
        <w:t>א</w:t>
      </w:r>
      <w:r w:rsidRPr="009615B2">
        <w:rPr>
          <w:rFonts w:cs="Arial"/>
          <w:rtl/>
        </w:rPr>
        <w:t xml:space="preserve"> בהודאה ע"כ נראה דטוב לכתוב אם תמות בתי בלא זרע קיימא אחר מיתתי ואז צריך שיהיה הזרע קיים אחרי מיתת האב וכן ראיתי נוהגין לכתוב עתה</w:t>
      </w:r>
      <w:r>
        <w:rPr>
          <w:rFonts w:hint="cs"/>
          <w:rtl/>
        </w:rPr>
        <w:t>, ח"מ (סק"ב).</w:t>
      </w:r>
    </w:p>
  </w:footnote>
  <w:footnote w:id="1943">
    <w:p w14:paraId="6ED2A0C7" w14:textId="77777777" w:rsidR="00DF1FC7" w:rsidRDefault="00DF1FC7" w:rsidP="002E5BAD">
      <w:pPr>
        <w:pStyle w:val="a5"/>
        <w:rPr>
          <w:rtl/>
        </w:rPr>
      </w:pPr>
      <w:r>
        <w:rPr>
          <w:rStyle w:val="a7"/>
        </w:rPr>
        <w:footnoteRef/>
      </w:r>
      <w:r>
        <w:rPr>
          <w:rtl/>
        </w:rPr>
        <w:t xml:space="preserve"> </w:t>
      </w:r>
      <w:r w:rsidRPr="009615B2">
        <w:rPr>
          <w:rFonts w:cs="Arial"/>
          <w:rtl/>
        </w:rPr>
        <w:t>דדוק' באשתו אינו נוטל בראוי אבל את זרעו יורש אף שלא בא עדיין ליד זרעו מ"מ השטר היה של זרעו והוא יורש השטר</w:t>
      </w:r>
      <w:r>
        <w:rPr>
          <w:rFonts w:hint="cs"/>
          <w:rtl/>
        </w:rPr>
        <w:t>, ח"מ (סק"ג).</w:t>
      </w:r>
      <w:r w:rsidRPr="00E16242">
        <w:rPr>
          <w:rFonts w:cs="Arial"/>
          <w:rtl/>
        </w:rPr>
        <w:t xml:space="preserve"> </w:t>
      </w:r>
      <w:r>
        <w:rPr>
          <w:rFonts w:cs="Arial" w:hint="cs"/>
          <w:rtl/>
        </w:rPr>
        <w:t>ו</w:t>
      </w:r>
      <w:r w:rsidRPr="009615B2">
        <w:rPr>
          <w:rFonts w:cs="Arial"/>
          <w:rtl/>
        </w:rPr>
        <w:t xml:space="preserve">עיין בתשו' שב יעקב </w:t>
      </w:r>
      <w:r>
        <w:rPr>
          <w:rFonts w:cs="Arial" w:hint="cs"/>
          <w:rtl/>
        </w:rPr>
        <w:t>(</w:t>
      </w:r>
      <w:r w:rsidRPr="009615B2">
        <w:rPr>
          <w:rFonts w:cs="Arial"/>
          <w:rtl/>
        </w:rPr>
        <w:t>אה"ע סי' כו</w:t>
      </w:r>
      <w:r>
        <w:rPr>
          <w:rFonts w:cs="Arial" w:hint="cs"/>
          <w:rtl/>
        </w:rPr>
        <w:t>)</w:t>
      </w:r>
      <w:r w:rsidRPr="009615B2">
        <w:rPr>
          <w:rFonts w:cs="Arial"/>
          <w:rtl/>
        </w:rPr>
        <w:t xml:space="preserve"> שגדול אחד רצה לסתור דין זה</w:t>
      </w:r>
      <w:r>
        <w:rPr>
          <w:rFonts w:cs="Arial" w:hint="cs"/>
          <w:rtl/>
        </w:rPr>
        <w:t>,</w:t>
      </w:r>
      <w:r w:rsidRPr="009615B2">
        <w:rPr>
          <w:rFonts w:cs="Arial"/>
          <w:rtl/>
        </w:rPr>
        <w:t xml:space="preserve"> ושגם בתשו' חינוך בית יהודה </w:t>
      </w:r>
      <w:r>
        <w:rPr>
          <w:rFonts w:cs="Arial" w:hint="cs"/>
          <w:rtl/>
        </w:rPr>
        <w:t>(</w:t>
      </w:r>
      <w:r w:rsidRPr="009615B2">
        <w:rPr>
          <w:rFonts w:cs="Arial"/>
          <w:rtl/>
        </w:rPr>
        <w:t>סי' קלג</w:t>
      </w:r>
      <w:r>
        <w:rPr>
          <w:rFonts w:cs="Arial" w:hint="cs"/>
          <w:rtl/>
        </w:rPr>
        <w:t>)</w:t>
      </w:r>
      <w:r w:rsidRPr="009615B2">
        <w:rPr>
          <w:rFonts w:cs="Arial"/>
          <w:rtl/>
        </w:rPr>
        <w:t xml:space="preserve"> פסק לפסק גמור נגד דברי הרמ"א. ומהרי"ו לא כתב זאת לפסק הלכה. והתאזרו חיל שלשה מטיבי צעד הגאון בעל כנ"י והגאון בעל שבות יעקב והגאון המחבר והעלו שאין לזוז מפסק הרמ"א ז"ל ויישבו כל הקושיות והפקפוקים</w:t>
      </w:r>
      <w:r>
        <w:rPr>
          <w:rFonts w:cs="Arial" w:hint="cs"/>
          <w:rtl/>
        </w:rPr>
        <w:t>..., פת"ש (סק"א)</w:t>
      </w:r>
      <w:r>
        <w:rPr>
          <w:rFonts w:hint="cs"/>
          <w:rtl/>
        </w:rPr>
        <w:t>.</w:t>
      </w:r>
    </w:p>
  </w:footnote>
  <w:footnote w:id="1944">
    <w:p w14:paraId="216EE6BC" w14:textId="77777777" w:rsidR="00DF1FC7" w:rsidRDefault="00DF1FC7" w:rsidP="002E5BAD">
      <w:pPr>
        <w:pStyle w:val="a5"/>
        <w:rPr>
          <w:rtl/>
        </w:rPr>
      </w:pPr>
      <w:r>
        <w:rPr>
          <w:rStyle w:val="a7"/>
        </w:rPr>
        <w:footnoteRef/>
      </w:r>
      <w:r>
        <w:rPr>
          <w:rtl/>
        </w:rPr>
        <w:t xml:space="preserve"> </w:t>
      </w:r>
      <w:r w:rsidRPr="001D6908">
        <w:rPr>
          <w:rFonts w:cs="Arial"/>
          <w:rtl/>
        </w:rPr>
        <w:t>אף על פי שמתה בחיי מוריש' ולא זכתה בפירות מ"מ הבעל יורש הקרקע והפירות לאחר מיתת מורישי' דה"ל מוחזק מאחר שהיה גוף הקרקע שלה קודם מיתת מורישיה</w:t>
      </w:r>
      <w:r>
        <w:rPr>
          <w:rFonts w:hint="cs"/>
          <w:rtl/>
        </w:rPr>
        <w:t xml:space="preserve">, ח"מ (סק"ד). אך הב"ש (סק"ה*) כתב </w:t>
      </w:r>
      <w:r>
        <w:rPr>
          <w:rFonts w:cs="Arial" w:hint="cs"/>
          <w:rtl/>
        </w:rPr>
        <w:t>ד</w:t>
      </w:r>
      <w:r w:rsidRPr="00274F7B">
        <w:rPr>
          <w:rFonts w:cs="Arial"/>
          <w:rtl/>
        </w:rPr>
        <w:t xml:space="preserve">משמע </w:t>
      </w:r>
      <w:r>
        <w:rPr>
          <w:rFonts w:cs="Arial" w:hint="cs"/>
          <w:rtl/>
        </w:rPr>
        <w:t>ש</w:t>
      </w:r>
      <w:r w:rsidRPr="00274F7B">
        <w:rPr>
          <w:rFonts w:cs="Arial"/>
          <w:rtl/>
        </w:rPr>
        <w:t>הפירות אינו יורש משום דהוי ראוי</w:t>
      </w:r>
      <w:r>
        <w:rPr>
          <w:rFonts w:cs="Arial" w:hint="cs"/>
          <w:rtl/>
        </w:rPr>
        <w:t>,</w:t>
      </w:r>
      <w:r w:rsidRPr="00274F7B">
        <w:rPr>
          <w:rFonts w:cs="Arial"/>
          <w:rtl/>
        </w:rPr>
        <w:t xml:space="preserve"> דהא המוריש יכול למכור אותה</w:t>
      </w:r>
      <w:r>
        <w:rPr>
          <w:rFonts w:cs="Arial" w:hint="cs"/>
          <w:rtl/>
        </w:rPr>
        <w:t>,</w:t>
      </w:r>
      <w:r w:rsidRPr="00274F7B">
        <w:rPr>
          <w:rFonts w:cs="Arial"/>
          <w:rtl/>
        </w:rPr>
        <w:t xml:space="preserve"> וע' בח"ה סי' רנ"ו</w:t>
      </w:r>
      <w:r>
        <w:rPr>
          <w:rFonts w:cs="Arial" w:hint="cs"/>
          <w:rtl/>
        </w:rPr>
        <w:t>,</w:t>
      </w:r>
      <w:r w:rsidRPr="00274F7B">
        <w:rPr>
          <w:rFonts w:cs="Arial"/>
          <w:rtl/>
        </w:rPr>
        <w:t xml:space="preserve"> ולא כח"מ</w:t>
      </w:r>
      <w:r>
        <w:rPr>
          <w:rFonts w:cs="Arial" w:hint="cs"/>
          <w:rtl/>
        </w:rPr>
        <w:t>.</w:t>
      </w:r>
      <w:r>
        <w:rPr>
          <w:rFonts w:hint="cs"/>
          <w:rtl/>
        </w:rPr>
        <w:t xml:space="preserve"> עכ"ל. וכתב </w:t>
      </w:r>
      <w:r>
        <w:rPr>
          <w:rFonts w:cs="Arial" w:hint="cs"/>
          <w:rtl/>
        </w:rPr>
        <w:t>רעק"א (</w:t>
      </w:r>
      <w:r w:rsidRPr="009615B2">
        <w:rPr>
          <w:rFonts w:cs="Arial"/>
          <w:rtl/>
        </w:rPr>
        <w:t>בגליון ש</w:t>
      </w:r>
      <w:r>
        <w:rPr>
          <w:rFonts w:cs="Arial" w:hint="cs"/>
          <w:rtl/>
        </w:rPr>
        <w:t>ו</w:t>
      </w:r>
      <w:r w:rsidRPr="009615B2">
        <w:rPr>
          <w:rFonts w:cs="Arial"/>
          <w:rtl/>
        </w:rPr>
        <w:t>"ע</w:t>
      </w:r>
      <w:r>
        <w:rPr>
          <w:rFonts w:cs="Arial" w:hint="cs"/>
          <w:rtl/>
        </w:rPr>
        <w:t>, הביאו הפת"ש סק"ב*)</w:t>
      </w:r>
      <w:r w:rsidRPr="009615B2">
        <w:rPr>
          <w:rFonts w:cs="Arial"/>
          <w:rtl/>
        </w:rPr>
        <w:t xml:space="preserve"> </w:t>
      </w:r>
      <w:r>
        <w:rPr>
          <w:rFonts w:cs="Arial" w:hint="cs"/>
          <w:rtl/>
        </w:rPr>
        <w:t>על דברי הח"מ ל</w:t>
      </w:r>
      <w:r w:rsidRPr="009615B2">
        <w:rPr>
          <w:rFonts w:cs="Arial"/>
          <w:rtl/>
        </w:rPr>
        <w:t>עיין בשו"ת הר"ם אלשיך סי' י"ח</w:t>
      </w:r>
      <w:r>
        <w:rPr>
          <w:rFonts w:hint="cs"/>
          <w:rtl/>
        </w:rPr>
        <w:t>.</w:t>
      </w:r>
    </w:p>
  </w:footnote>
  <w:footnote w:id="1945">
    <w:p w14:paraId="36967843" w14:textId="77777777" w:rsidR="00DF1FC7" w:rsidRDefault="00DF1FC7" w:rsidP="002E5BAD">
      <w:pPr>
        <w:pStyle w:val="a5"/>
      </w:pPr>
      <w:r>
        <w:rPr>
          <w:rStyle w:val="a7"/>
        </w:rPr>
        <w:footnoteRef/>
      </w:r>
      <w:r>
        <w:rPr>
          <w:rtl/>
        </w:rPr>
        <w:t xml:space="preserve"> </w:t>
      </w:r>
      <w:r w:rsidRPr="005E7AB9">
        <w:rPr>
          <w:rFonts w:cs="Arial"/>
          <w:rtl/>
        </w:rPr>
        <w:t>כ"כ ר"ח ור"ה הגאון וכל הפוסקים כמ"ש בתוס' והרא"ש והר"ן והמגיד</w:t>
      </w:r>
      <w:r>
        <w:rPr>
          <w:rFonts w:cs="Arial" w:hint="cs"/>
          <w:rtl/>
        </w:rPr>
        <w:t>.</w:t>
      </w:r>
      <w:r w:rsidRPr="005E7AB9">
        <w:rPr>
          <w:rFonts w:cs="Arial"/>
          <w:rtl/>
        </w:rPr>
        <w:t xml:space="preserve"> אלא כתבו בשם הר"י מיגש דס"ל דיורש מלוה</w:t>
      </w:r>
      <w:r>
        <w:rPr>
          <w:rFonts w:cs="Arial" w:hint="cs"/>
          <w:rtl/>
        </w:rPr>
        <w:t>.</w:t>
      </w:r>
      <w:r w:rsidRPr="005E7AB9">
        <w:rPr>
          <w:rFonts w:cs="Arial"/>
          <w:rtl/>
        </w:rPr>
        <w:t xml:space="preserve"> לכן נ"ל אף אם תפס א</w:t>
      </w:r>
      <w:r>
        <w:rPr>
          <w:rFonts w:cs="Arial" w:hint="cs"/>
          <w:rtl/>
        </w:rPr>
        <w:t>ינו יכול</w:t>
      </w:r>
      <w:r w:rsidRPr="005E7AB9">
        <w:rPr>
          <w:rFonts w:cs="Arial"/>
          <w:rtl/>
        </w:rPr>
        <w:t xml:space="preserve"> לו</w:t>
      </w:r>
      <w:r>
        <w:rPr>
          <w:rFonts w:cs="Arial" w:hint="cs"/>
          <w:rtl/>
        </w:rPr>
        <w:t>מר</w:t>
      </w:r>
      <w:r w:rsidRPr="005E7AB9">
        <w:rPr>
          <w:rFonts w:cs="Arial"/>
          <w:rtl/>
        </w:rPr>
        <w:t xml:space="preserve"> קים לי כהאי אף למ"ש המגיד </w:t>
      </w:r>
      <w:r>
        <w:rPr>
          <w:rFonts w:cs="Arial" w:hint="cs"/>
          <w:rtl/>
        </w:rPr>
        <w:t>(</w:t>
      </w:r>
      <w:r w:rsidRPr="005E7AB9">
        <w:rPr>
          <w:rFonts w:cs="Arial"/>
          <w:rtl/>
        </w:rPr>
        <w:t xml:space="preserve">פ"א </w:t>
      </w:r>
      <w:r>
        <w:rPr>
          <w:rFonts w:cs="Arial" w:hint="cs"/>
          <w:rtl/>
        </w:rPr>
        <w:t>מהל' נחלות)</w:t>
      </w:r>
      <w:r w:rsidRPr="005E7AB9">
        <w:rPr>
          <w:rFonts w:cs="Arial"/>
          <w:rtl/>
        </w:rPr>
        <w:t xml:space="preserve"> דהרמב"ם ס"ל כהר"י מ"מ הוי דיעה אחת כמ"ש בתשו' מהר"י לבית הלוי סי' נ"ה</w:t>
      </w:r>
      <w:r>
        <w:rPr>
          <w:rFonts w:cs="Arial" w:hint="cs"/>
          <w:rtl/>
        </w:rPr>
        <w:t>, ב"ש (סק"ו).</w:t>
      </w:r>
    </w:p>
  </w:footnote>
  <w:footnote w:id="1946">
    <w:p w14:paraId="4590847F" w14:textId="77777777" w:rsidR="00DF1FC7" w:rsidRDefault="00DF1FC7" w:rsidP="002E5BAD">
      <w:pPr>
        <w:pStyle w:val="a5"/>
      </w:pPr>
      <w:r>
        <w:rPr>
          <w:rStyle w:val="a7"/>
        </w:rPr>
        <w:footnoteRef/>
      </w:r>
      <w:r>
        <w:rPr>
          <w:rtl/>
        </w:rPr>
        <w:t xml:space="preserve"> </w:t>
      </w:r>
      <w:r w:rsidRPr="00925F11">
        <w:rPr>
          <w:rFonts w:cs="Arial"/>
          <w:rtl/>
        </w:rPr>
        <w:t>בהרא"ש ליתא תיבת משנשאת</w:t>
      </w:r>
      <w:r>
        <w:rPr>
          <w:rFonts w:cs="Arial" w:hint="cs"/>
          <w:rtl/>
        </w:rPr>
        <w:t>,</w:t>
      </w:r>
      <w:r w:rsidRPr="00925F11">
        <w:rPr>
          <w:rFonts w:cs="Arial"/>
          <w:rtl/>
        </w:rPr>
        <w:t xml:space="preserve"> וב"ח כתב</w:t>
      </w:r>
      <w:r>
        <w:rPr>
          <w:rFonts w:cs="Arial" w:hint="cs"/>
          <w:rtl/>
        </w:rPr>
        <w:t>-</w:t>
      </w:r>
      <w:r w:rsidRPr="00925F11">
        <w:rPr>
          <w:rFonts w:cs="Arial"/>
          <w:rtl/>
        </w:rPr>
        <w:t xml:space="preserve"> הוא ט"ס בטור</w:t>
      </w:r>
      <w:r>
        <w:rPr>
          <w:rFonts w:cs="Arial" w:hint="cs"/>
          <w:rtl/>
        </w:rPr>
        <w:t>.</w:t>
      </w:r>
      <w:r w:rsidRPr="00925F11">
        <w:rPr>
          <w:rFonts w:cs="Arial"/>
          <w:rtl/>
        </w:rPr>
        <w:t xml:space="preserve"> ואפשר לרבות</w:t>
      </w:r>
      <w:r>
        <w:rPr>
          <w:rFonts w:cs="Arial" w:hint="cs"/>
          <w:rtl/>
        </w:rPr>
        <w:t>א</w:t>
      </w:r>
      <w:r w:rsidRPr="00925F11">
        <w:rPr>
          <w:rFonts w:cs="Arial"/>
          <w:rtl/>
        </w:rPr>
        <w:t xml:space="preserve"> כתב אע</w:t>
      </w:r>
      <w:r>
        <w:rPr>
          <w:rFonts w:cs="Arial" w:hint="cs"/>
          <w:rtl/>
        </w:rPr>
        <w:t>"</w:t>
      </w:r>
      <w:r w:rsidRPr="00925F11">
        <w:rPr>
          <w:rFonts w:cs="Arial"/>
          <w:rtl/>
        </w:rPr>
        <w:t>ג דמת המוריש קודם הנשואין והיה לו מלוה אשר בוודאי אשתו יורש והוא ידע מזה מ"מ הוי ראוי כיון שלא גבתה</w:t>
      </w:r>
      <w:r>
        <w:rPr>
          <w:rFonts w:cs="Arial" w:hint="cs"/>
          <w:rtl/>
        </w:rPr>
        <w:t xml:space="preserve">, ב"ש (סק"ז). והח"מ (סק"ו) הסכים לדברי הב"ח שהוא טעות סופר, דהרי </w:t>
      </w:r>
      <w:r w:rsidRPr="00925F11">
        <w:rPr>
          <w:rFonts w:cs="Arial"/>
          <w:rtl/>
        </w:rPr>
        <w:t>אין הפרש בין היה להם מלוה ביד אחרים כשנשאה או הלוה לאחרים לאחר שנשאה דסוף סוף הוי ראוי לגבי אשה מאחר שלא גבתה האשה קודם שמתה</w:t>
      </w:r>
      <w:r>
        <w:rPr>
          <w:rFonts w:cs="Arial" w:hint="cs"/>
          <w:rtl/>
        </w:rPr>
        <w:t>.</w:t>
      </w:r>
      <w:r w:rsidRPr="00925F11">
        <w:rPr>
          <w:rFonts w:cs="Arial"/>
          <w:rtl/>
        </w:rPr>
        <w:t xml:space="preserve"> ודוק</w:t>
      </w:r>
      <w:r>
        <w:rPr>
          <w:rFonts w:cs="Arial" w:hint="cs"/>
          <w:rtl/>
        </w:rPr>
        <w:t>א</w:t>
      </w:r>
      <w:r w:rsidRPr="00925F11">
        <w:rPr>
          <w:rFonts w:cs="Arial"/>
          <w:rtl/>
        </w:rPr>
        <w:t xml:space="preserve"> מלוה אבל היה להם פקדונות ביד אחרים כל היכא דאיתנהו ברשותיה דמרי' איתנהו ולא הוי ראוי</w:t>
      </w:r>
      <w:r>
        <w:rPr>
          <w:rFonts w:cs="Arial" w:hint="cs"/>
          <w:rtl/>
        </w:rPr>
        <w:t>.</w:t>
      </w:r>
      <w:r w:rsidRPr="00925F11">
        <w:rPr>
          <w:rFonts w:cs="Arial"/>
          <w:rtl/>
        </w:rPr>
        <w:t xml:space="preserve"> וכ"כ בב"ח</w:t>
      </w:r>
      <w:r>
        <w:rPr>
          <w:rFonts w:cs="Arial" w:hint="cs"/>
          <w:rtl/>
        </w:rPr>
        <w:t>.</w:t>
      </w:r>
      <w:r w:rsidRPr="00925F11">
        <w:rPr>
          <w:rFonts w:cs="Arial"/>
          <w:rtl/>
        </w:rPr>
        <w:t xml:space="preserve"> ואם היה מלוה שיש עליה משכון, יתבאר בסמוך עוד פרטי דינים אלו</w:t>
      </w:r>
      <w:r>
        <w:rPr>
          <w:rFonts w:cs="Arial" w:hint="cs"/>
          <w:rtl/>
        </w:rPr>
        <w:t>.</w:t>
      </w:r>
    </w:p>
  </w:footnote>
  <w:footnote w:id="1947">
    <w:p w14:paraId="5437D407" w14:textId="77777777" w:rsidR="00DF1FC7" w:rsidRDefault="00DF1FC7" w:rsidP="002E5BAD">
      <w:pPr>
        <w:pStyle w:val="a5"/>
      </w:pPr>
      <w:r>
        <w:rPr>
          <w:rStyle w:val="a7"/>
        </w:rPr>
        <w:footnoteRef/>
      </w:r>
      <w:r>
        <w:rPr>
          <w:rtl/>
        </w:rPr>
        <w:t xml:space="preserve"> </w:t>
      </w:r>
      <w:r w:rsidRPr="00925F11">
        <w:rPr>
          <w:rFonts w:cs="Arial"/>
          <w:rtl/>
        </w:rPr>
        <w:t>ה"ה לשאר בעלי חובות דהא ק"ל ב"ח מכאן ולהבא הוא גובה ועיין מ"ש בזה לקמן סי' ק' לחלק בין ראוי דירושת הבעל לראוי דכתובה וכמ"ש בתשובת מהרי"ל סי' ע"ד</w:t>
      </w:r>
      <w:r>
        <w:rPr>
          <w:rFonts w:cs="Arial" w:hint="cs"/>
          <w:rtl/>
        </w:rPr>
        <w:t>, ח"מ (סק"ז).</w:t>
      </w:r>
    </w:p>
  </w:footnote>
  <w:footnote w:id="1948">
    <w:p w14:paraId="7CCDECDA" w14:textId="77777777" w:rsidR="00DF1FC7" w:rsidRDefault="00DF1FC7" w:rsidP="002E5BAD">
      <w:pPr>
        <w:pStyle w:val="a5"/>
      </w:pPr>
      <w:r>
        <w:rPr>
          <w:rStyle w:val="a7"/>
        </w:rPr>
        <w:footnoteRef/>
      </w:r>
      <w:r>
        <w:rPr>
          <w:rtl/>
        </w:rPr>
        <w:t xml:space="preserve"> </w:t>
      </w:r>
      <w:r w:rsidRPr="009615B2">
        <w:rPr>
          <w:rFonts w:cs="Arial"/>
          <w:rtl/>
        </w:rPr>
        <w:t>דין זה הוא ממרדכי ס"פ כל הנשבעין</w:t>
      </w:r>
      <w:r>
        <w:rPr>
          <w:rFonts w:cs="Arial" w:hint="cs"/>
          <w:rtl/>
        </w:rPr>
        <w:t>,</w:t>
      </w:r>
      <w:r w:rsidRPr="009615B2">
        <w:rPr>
          <w:rFonts w:cs="Arial"/>
          <w:rtl/>
        </w:rPr>
        <w:t xml:space="preserve"> וע"ל סי' ק' ס"ב בהגה י"א דאם מת יעקב כו' הואיל והיו משועבדים לאלמנת אביו כו' והוא ג"כ מדברי המרדכי ס"פ נערה. והם סותרים זא"ז. ועב"ש שם סק</w:t>
      </w:r>
      <w:r>
        <w:rPr>
          <w:rFonts w:cs="Arial" w:hint="cs"/>
          <w:rtl/>
        </w:rPr>
        <w:t>י</w:t>
      </w:r>
      <w:r w:rsidRPr="009615B2">
        <w:rPr>
          <w:rFonts w:cs="Arial"/>
          <w:rtl/>
        </w:rPr>
        <w:t>"ד כתב בזה ג' תירוצים. א'</w:t>
      </w:r>
      <w:r>
        <w:rPr>
          <w:rFonts w:cs="Arial" w:hint="cs"/>
          <w:rtl/>
        </w:rPr>
        <w:t>,</w:t>
      </w:r>
      <w:r w:rsidRPr="009615B2">
        <w:rPr>
          <w:rFonts w:cs="Arial"/>
          <w:rtl/>
        </w:rPr>
        <w:t xml:space="preserve"> בשם הד"מ דכאן בסי' צ' איירי לפי המנהג דהיורשים יכולים לסלקה (ר"ל היכא שתיקנו כך ע' בסי' צ"ג ס"ג בהגה. אבל מן הסתם לדידן דקיי"ל כאנשי גליל כל הנכסים נקראו מוחזקים לה וראויים לגבי היורשי' ואין בעל הבת יורש מהם כלום)</w:t>
      </w:r>
      <w:r>
        <w:rPr>
          <w:rFonts w:cs="Arial" w:hint="cs"/>
          <w:rtl/>
        </w:rPr>
        <w:t>.</w:t>
      </w:r>
      <w:r w:rsidRPr="009615B2">
        <w:rPr>
          <w:rFonts w:cs="Arial"/>
          <w:rtl/>
        </w:rPr>
        <w:t xml:space="preserve"> ב'</w:t>
      </w:r>
      <w:r>
        <w:rPr>
          <w:rFonts w:cs="Arial" w:hint="cs"/>
          <w:rtl/>
        </w:rPr>
        <w:t>,</w:t>
      </w:r>
      <w:r w:rsidRPr="009615B2">
        <w:rPr>
          <w:rFonts w:cs="Arial"/>
          <w:rtl/>
        </w:rPr>
        <w:t xml:space="preserve"> בשם מהרי"ל </w:t>
      </w:r>
      <w:r>
        <w:rPr>
          <w:rFonts w:cs="Arial" w:hint="cs"/>
          <w:rtl/>
        </w:rPr>
        <w:t>(</w:t>
      </w:r>
      <w:r w:rsidRPr="009615B2">
        <w:rPr>
          <w:rFonts w:cs="Arial"/>
          <w:rtl/>
        </w:rPr>
        <w:t>סי' עד</w:t>
      </w:r>
      <w:r>
        <w:rPr>
          <w:rFonts w:cs="Arial" w:hint="cs"/>
          <w:rtl/>
        </w:rPr>
        <w:t>)</w:t>
      </w:r>
      <w:r w:rsidRPr="009615B2">
        <w:rPr>
          <w:rFonts w:cs="Arial"/>
          <w:rtl/>
        </w:rPr>
        <w:t xml:space="preserve"> דשאני ירושה הבאה מאליה (ר"ל ירושת הבעל את אשתו דממילא קא אתיא) אבל כתובה ליתא אלא חוב ומחוסר גוביינא. ג'</w:t>
      </w:r>
      <w:r>
        <w:rPr>
          <w:rFonts w:cs="Arial" w:hint="cs"/>
          <w:rtl/>
        </w:rPr>
        <w:t>,</w:t>
      </w:r>
      <w:r w:rsidRPr="009615B2">
        <w:rPr>
          <w:rFonts w:cs="Arial"/>
          <w:rtl/>
        </w:rPr>
        <w:t xml:space="preserve"> בשם תשובת שארית יוסף דיש חילוק היכא דנשבע' על כתובתה אז היא מוחזקת בנכסים הן לענין ירושה הן לענין כתובה וכאן איירי שלא נשבעה ע"ש</w:t>
      </w:r>
      <w:r>
        <w:rPr>
          <w:rFonts w:cs="Arial" w:hint="cs"/>
          <w:rtl/>
        </w:rPr>
        <w:t>.</w:t>
      </w:r>
      <w:r w:rsidRPr="009615B2">
        <w:rPr>
          <w:rFonts w:cs="Arial"/>
          <w:rtl/>
        </w:rPr>
        <w:t xml:space="preserve"> וכפי הנראה מדברי הב"ש שם וכאן סק"ח תופס לעיקר תירוץ מהרי"ל</w:t>
      </w:r>
      <w:r>
        <w:rPr>
          <w:rFonts w:cs="Arial" w:hint="cs"/>
          <w:rtl/>
        </w:rPr>
        <w:t>.</w:t>
      </w:r>
      <w:r w:rsidRPr="009615B2">
        <w:rPr>
          <w:rFonts w:cs="Arial"/>
          <w:rtl/>
        </w:rPr>
        <w:t xml:space="preserve"> וכן הח"מ שם וכאן לא כ' אלא תירוץ מהרי"ל</w:t>
      </w:r>
      <w:r>
        <w:rPr>
          <w:rFonts w:cs="Arial" w:hint="cs"/>
          <w:rtl/>
        </w:rPr>
        <w:t>.</w:t>
      </w:r>
      <w:r w:rsidRPr="009615B2">
        <w:rPr>
          <w:rFonts w:cs="Arial"/>
          <w:rtl/>
        </w:rPr>
        <w:t xml:space="preserve"> ועיין בתשו' פרח שושן כלל ד' סי' א' שהאריך מאד בענין זה</w:t>
      </w:r>
      <w:r>
        <w:rPr>
          <w:rFonts w:cs="Arial" w:hint="cs"/>
          <w:rtl/>
        </w:rPr>
        <w:t>..., פת"ש (סק"ג).</w:t>
      </w:r>
    </w:p>
  </w:footnote>
  <w:footnote w:id="1949">
    <w:p w14:paraId="03045F02" w14:textId="77777777" w:rsidR="00DF1FC7" w:rsidRDefault="00DF1FC7" w:rsidP="002E5BAD">
      <w:pPr>
        <w:pStyle w:val="a5"/>
      </w:pPr>
      <w:r>
        <w:rPr>
          <w:rStyle w:val="a7"/>
        </w:rPr>
        <w:footnoteRef/>
      </w:r>
      <w:r>
        <w:rPr>
          <w:rtl/>
        </w:rPr>
        <w:t xml:space="preserve"> </w:t>
      </w:r>
      <w:r w:rsidRPr="009615B2">
        <w:rPr>
          <w:rFonts w:cs="Arial"/>
          <w:rtl/>
        </w:rPr>
        <w:t xml:space="preserve">עיין בתשו' חות יאיר </w:t>
      </w:r>
      <w:r>
        <w:rPr>
          <w:rFonts w:cs="Arial" w:hint="cs"/>
          <w:rtl/>
        </w:rPr>
        <w:t>(</w:t>
      </w:r>
      <w:r w:rsidRPr="009615B2">
        <w:rPr>
          <w:rFonts w:cs="Arial"/>
          <w:rtl/>
        </w:rPr>
        <w:t>סי' קכב</w:t>
      </w:r>
      <w:r>
        <w:rPr>
          <w:rFonts w:cs="Arial" w:hint="cs"/>
          <w:rtl/>
        </w:rPr>
        <w:t>)</w:t>
      </w:r>
      <w:r w:rsidRPr="009615B2">
        <w:rPr>
          <w:rFonts w:cs="Arial"/>
          <w:rtl/>
        </w:rPr>
        <w:t xml:space="preserve"> שכ' דאפילו אם הכניסה השטר לבעלה בנדן בעת שנשאה ה"ל ראוי ואינו יורש ואפילו הגיע זמן פרעון השטר לפני מותה לא חשיב בהכי מוחזק. וה"נ בכה"ג לענין ירושה דידה דאם מת מוריש' ולפני שירדו יורשים לנחלה או אפילו אח"כ שהסכימו ליתן לה חצי חלק זכר מ"מ כל כמה שלא נתנו לה ומתה היא</w:t>
      </w:r>
      <w:r>
        <w:rPr>
          <w:rFonts w:cs="Arial" w:hint="cs"/>
          <w:rtl/>
        </w:rPr>
        <w:t>,</w:t>
      </w:r>
      <w:r w:rsidRPr="009615B2">
        <w:rPr>
          <w:rFonts w:cs="Arial"/>
          <w:rtl/>
        </w:rPr>
        <w:t xml:space="preserve"> אין הבעל יורש. ומ"מ אם הכניסה לו שט"ח בשטר דקני לך איהו וכ"ש או במעמד שלשתן במלוה בע"פ ודאי משעה שהכניס</w:t>
      </w:r>
      <w:r>
        <w:rPr>
          <w:rFonts w:cs="Arial" w:hint="cs"/>
          <w:rtl/>
        </w:rPr>
        <w:t>ה -</w:t>
      </w:r>
      <w:r w:rsidRPr="009615B2">
        <w:rPr>
          <w:rFonts w:cs="Arial"/>
          <w:rtl/>
        </w:rPr>
        <w:t xml:space="preserve"> דידי</w:t>
      </w:r>
      <w:r>
        <w:rPr>
          <w:rFonts w:cs="Arial" w:hint="cs"/>
          <w:rtl/>
        </w:rPr>
        <w:t>ה</w:t>
      </w:r>
      <w:r w:rsidRPr="009615B2">
        <w:rPr>
          <w:rFonts w:cs="Arial"/>
          <w:rtl/>
        </w:rPr>
        <w:t xml:space="preserve"> הוא וזה ברור ע"ש ועיין בתשובת שבו"י ח"ב סי' קל"א ובס' ב"מ מזה</w:t>
      </w:r>
      <w:r>
        <w:rPr>
          <w:rFonts w:cs="Arial" w:hint="cs"/>
          <w:rtl/>
        </w:rPr>
        <w:t>, פת"ש (סק"ד).</w:t>
      </w:r>
    </w:p>
  </w:footnote>
  <w:footnote w:id="1950">
    <w:p w14:paraId="59BD9449" w14:textId="77777777" w:rsidR="00DF1FC7" w:rsidRDefault="00DF1FC7" w:rsidP="002E5BAD">
      <w:pPr>
        <w:pStyle w:val="a5"/>
      </w:pPr>
      <w:r>
        <w:rPr>
          <w:rStyle w:val="a7"/>
        </w:rPr>
        <w:footnoteRef/>
      </w:r>
      <w:r>
        <w:rPr>
          <w:rtl/>
        </w:rPr>
        <w:t xml:space="preserve"> </w:t>
      </w:r>
      <w:r>
        <w:rPr>
          <w:rFonts w:cs="Arial" w:hint="cs"/>
          <w:rtl/>
        </w:rPr>
        <w:t>ו</w:t>
      </w:r>
      <w:r w:rsidRPr="00726398">
        <w:rPr>
          <w:rFonts w:cs="Arial"/>
          <w:rtl/>
        </w:rPr>
        <w:t>מלוה שיש עליה משכון יורש הבעל דכגבוי דמי אפילו משכון בשעת הלואה</w:t>
      </w:r>
      <w:r>
        <w:rPr>
          <w:rFonts w:cs="Arial" w:hint="cs"/>
          <w:rtl/>
        </w:rPr>
        <w:t xml:space="preserve"> </w:t>
      </w:r>
      <w:r>
        <w:rPr>
          <w:rFonts w:cs="Arial" w:hint="cs"/>
          <w:sz w:val="16"/>
          <w:szCs w:val="16"/>
          <w:rtl/>
        </w:rPr>
        <w:t xml:space="preserve">{כ"כ </w:t>
      </w:r>
      <w:r w:rsidRPr="00306D13">
        <w:rPr>
          <w:rFonts w:cs="Arial"/>
          <w:sz w:val="16"/>
          <w:szCs w:val="16"/>
          <w:rtl/>
        </w:rPr>
        <w:t xml:space="preserve">במרדכי ר"פ י"נ </w:t>
      </w:r>
      <w:r>
        <w:rPr>
          <w:rFonts w:cs="Arial" w:hint="cs"/>
          <w:sz w:val="16"/>
          <w:szCs w:val="16"/>
          <w:rtl/>
        </w:rPr>
        <w:t xml:space="preserve">גבי </w:t>
      </w:r>
      <w:r w:rsidRPr="00306D13">
        <w:rPr>
          <w:rFonts w:cs="Arial"/>
          <w:sz w:val="16"/>
          <w:szCs w:val="16"/>
          <w:rtl/>
        </w:rPr>
        <w:t>בכור נוטל פי שנים דבע"ח קונה משכון וכו' ועיין בח"מ סי' רע"ח סעיף ז' ונראה דכל הדינים שייכי</w:t>
      </w:r>
      <w:r>
        <w:rPr>
          <w:rFonts w:cs="Arial" w:hint="cs"/>
          <w:sz w:val="16"/>
          <w:szCs w:val="16"/>
          <w:rtl/>
        </w:rPr>
        <w:t xml:space="preserve"> הכא גם כן}</w:t>
      </w:r>
      <w:r>
        <w:rPr>
          <w:rFonts w:cs="Arial" w:hint="cs"/>
          <w:rtl/>
        </w:rPr>
        <w:t>...</w:t>
      </w:r>
      <w:r w:rsidRPr="00726398">
        <w:rPr>
          <w:rFonts w:cs="Arial"/>
          <w:rtl/>
        </w:rPr>
        <w:t xml:space="preserve"> ועיין עוד אם גנבו נ"מ של אשה ולא הוחזר עד לאחר מיתה הוה ראוי</w:t>
      </w:r>
      <w:r>
        <w:rPr>
          <w:rFonts w:cs="Arial" w:hint="cs"/>
          <w:rtl/>
        </w:rPr>
        <w:t>.</w:t>
      </w:r>
      <w:r w:rsidRPr="00726398">
        <w:rPr>
          <w:rFonts w:cs="Arial"/>
          <w:rtl/>
        </w:rPr>
        <w:t xml:space="preserve"> ואם גזלו קרקע אינה נגזלת וכן אם גנבו ספרים עיין בח"מ סי' הנ"ל</w:t>
      </w:r>
      <w:r>
        <w:rPr>
          <w:rFonts w:cs="Arial" w:hint="cs"/>
          <w:rtl/>
        </w:rPr>
        <w:t>.</w:t>
      </w:r>
      <w:r w:rsidRPr="00726398">
        <w:rPr>
          <w:rFonts w:cs="Arial"/>
          <w:rtl/>
        </w:rPr>
        <w:t xml:space="preserve"> ושכר פעולה שלא גבתה קודם מיתה מיקרי ראוי</w:t>
      </w:r>
      <w:r>
        <w:rPr>
          <w:rFonts w:cs="Arial" w:hint="cs"/>
          <w:rtl/>
        </w:rPr>
        <w:t>, ח"מ (סק"ח).</w:t>
      </w:r>
      <w:r w:rsidRPr="00306D13">
        <w:rPr>
          <w:rtl/>
        </w:rPr>
        <w:t xml:space="preserve"> </w:t>
      </w:r>
      <w:r>
        <w:rPr>
          <w:rFonts w:hint="cs"/>
          <w:rtl/>
        </w:rPr>
        <w:t>וכ"כ ה</w:t>
      </w:r>
      <w:r>
        <w:rPr>
          <w:rFonts w:cs="Arial" w:hint="cs"/>
          <w:rtl/>
        </w:rPr>
        <w:t>ב"ש (סק"ט) ד</w:t>
      </w:r>
      <w:r w:rsidRPr="00306D13">
        <w:rPr>
          <w:rFonts w:cs="Arial"/>
          <w:rtl/>
        </w:rPr>
        <w:t>אם יש לה משכ</w:t>
      </w:r>
      <w:r>
        <w:rPr>
          <w:rFonts w:cs="Arial" w:hint="cs"/>
          <w:rtl/>
        </w:rPr>
        <w:t>ו</w:t>
      </w:r>
      <w:r w:rsidRPr="00306D13">
        <w:rPr>
          <w:rFonts w:cs="Arial"/>
          <w:rtl/>
        </w:rPr>
        <w:t>נו</w:t>
      </w:r>
      <w:r>
        <w:rPr>
          <w:rFonts w:cs="Arial" w:hint="cs"/>
          <w:rtl/>
        </w:rPr>
        <w:t>ת</w:t>
      </w:r>
      <w:r w:rsidRPr="00306D13">
        <w:rPr>
          <w:rFonts w:cs="Arial"/>
          <w:rtl/>
        </w:rPr>
        <w:t xml:space="preserve"> של מטלטלין או של קרקע באתרא דלא מסלקי בעל יורש</w:t>
      </w:r>
      <w:r>
        <w:rPr>
          <w:rFonts w:cs="Arial" w:hint="cs"/>
          <w:rtl/>
        </w:rPr>
        <w:t>.</w:t>
      </w:r>
      <w:r w:rsidRPr="00306D13">
        <w:rPr>
          <w:rFonts w:cs="Arial"/>
          <w:rtl/>
        </w:rPr>
        <w:t xml:space="preserve"> הג"א ותשובת רשב"א</w:t>
      </w:r>
      <w:r>
        <w:rPr>
          <w:rFonts w:cs="Arial" w:hint="cs"/>
          <w:rtl/>
        </w:rPr>
        <w:t>.</w:t>
      </w:r>
      <w:r w:rsidRPr="00306D13">
        <w:rPr>
          <w:rFonts w:cs="Arial"/>
          <w:rtl/>
        </w:rPr>
        <w:t xml:space="preserve"> ואין נקרא אתרא דמסלקי אלא כשיכול לסלק בכל עת שירצה</w:t>
      </w:r>
      <w:r>
        <w:rPr>
          <w:rFonts w:cs="Arial" w:hint="cs"/>
          <w:rtl/>
        </w:rPr>
        <w:t>.</w:t>
      </w:r>
      <w:r w:rsidRPr="00306D13">
        <w:rPr>
          <w:rFonts w:cs="Arial"/>
          <w:rtl/>
        </w:rPr>
        <w:t xml:space="preserve"> ואם הוא חייב לה קודם שנשאת</w:t>
      </w:r>
      <w:r>
        <w:rPr>
          <w:rFonts w:cs="Arial" w:hint="cs"/>
          <w:rtl/>
        </w:rPr>
        <w:t>,</w:t>
      </w:r>
      <w:r w:rsidRPr="00306D13">
        <w:rPr>
          <w:rFonts w:cs="Arial"/>
          <w:rtl/>
        </w:rPr>
        <w:t xml:space="preserve"> משמע מתשו' הרשב"א שהביא הב"י כשנשאה זכה בהם ויורש</w:t>
      </w:r>
      <w:r>
        <w:rPr>
          <w:rFonts w:cs="Arial" w:hint="cs"/>
          <w:rtl/>
        </w:rPr>
        <w:t>,</w:t>
      </w:r>
      <w:r w:rsidRPr="00306D13">
        <w:rPr>
          <w:rFonts w:cs="Arial"/>
          <w:rtl/>
        </w:rPr>
        <w:t xml:space="preserve"> אא"כ שכתב דין ודברים אין לי בהם אז יורש החצי</w:t>
      </w:r>
      <w:r>
        <w:rPr>
          <w:rFonts w:cs="Arial" w:hint="cs"/>
          <w:rtl/>
        </w:rPr>
        <w:t>,</w:t>
      </w:r>
      <w:r w:rsidRPr="00306D13">
        <w:rPr>
          <w:rFonts w:cs="Arial"/>
          <w:rtl/>
        </w:rPr>
        <w:t xml:space="preserve"> ולא כמשמעו' בח"מ</w:t>
      </w:r>
      <w:r>
        <w:rPr>
          <w:rFonts w:cs="Arial" w:hint="cs"/>
          <w:rtl/>
        </w:rPr>
        <w:t>...</w:t>
      </w:r>
      <w:r>
        <w:rPr>
          <w:rFonts w:hint="cs"/>
          <w:rtl/>
        </w:rPr>
        <w:t xml:space="preserve"> וכתב עוד הב"ש (סק"י) </w:t>
      </w:r>
      <w:r>
        <w:rPr>
          <w:rFonts w:cs="Arial" w:hint="cs"/>
          <w:rtl/>
        </w:rPr>
        <w:t>ש</w:t>
      </w:r>
      <w:r w:rsidRPr="00306D13">
        <w:rPr>
          <w:rFonts w:cs="Arial"/>
          <w:rtl/>
        </w:rPr>
        <w:t xml:space="preserve">בסי' פ"ה </w:t>
      </w:r>
      <w:r>
        <w:rPr>
          <w:rFonts w:cs="Arial" w:hint="cs"/>
          <w:rtl/>
        </w:rPr>
        <w:t xml:space="preserve">כבר </w:t>
      </w:r>
      <w:r w:rsidRPr="00306D13">
        <w:rPr>
          <w:rFonts w:cs="Arial"/>
          <w:rtl/>
        </w:rPr>
        <w:t>כתב</w:t>
      </w:r>
      <w:r>
        <w:rPr>
          <w:rFonts w:cs="Arial" w:hint="cs"/>
          <w:rtl/>
        </w:rPr>
        <w:t xml:space="preserve"> ד</w:t>
      </w:r>
      <w:r w:rsidRPr="00306D13">
        <w:rPr>
          <w:rFonts w:cs="Arial"/>
          <w:rtl/>
        </w:rPr>
        <w:t>נזק אם לא גבתה מן החובל אינו יורש</w:t>
      </w:r>
      <w:r>
        <w:rPr>
          <w:rFonts w:cs="Arial" w:hint="cs"/>
          <w:rtl/>
        </w:rPr>
        <w:t>.</w:t>
      </w:r>
    </w:p>
  </w:footnote>
  <w:footnote w:id="1951">
    <w:p w14:paraId="58EE9614" w14:textId="77777777" w:rsidR="00DF1FC7" w:rsidRDefault="00DF1FC7" w:rsidP="002E5BAD">
      <w:pPr>
        <w:pStyle w:val="a5"/>
      </w:pPr>
      <w:r>
        <w:rPr>
          <w:rStyle w:val="a7"/>
        </w:rPr>
        <w:footnoteRef/>
      </w:r>
      <w:r>
        <w:rPr>
          <w:rtl/>
        </w:rPr>
        <w:t xml:space="preserve"> </w:t>
      </w:r>
      <w:r w:rsidRPr="0061030C">
        <w:rPr>
          <w:rFonts w:cs="Arial"/>
          <w:rtl/>
        </w:rPr>
        <w:t>היינו דכתב לה דין ודברים אין לי בנכסייך אז יכולה למכור כמ"ש בסי' צ"ב כן יכולה להלות לאחרים אע</w:t>
      </w:r>
      <w:r>
        <w:rPr>
          <w:rFonts w:cs="Arial" w:hint="cs"/>
          <w:rtl/>
        </w:rPr>
        <w:t>"</w:t>
      </w:r>
      <w:r w:rsidRPr="0061030C">
        <w:rPr>
          <w:rFonts w:cs="Arial"/>
          <w:rtl/>
        </w:rPr>
        <w:t>ג כל זמן שלא הלותה יש לו פירו</w:t>
      </w:r>
      <w:r>
        <w:rPr>
          <w:rFonts w:cs="Arial" w:hint="cs"/>
          <w:rtl/>
        </w:rPr>
        <w:t>ת</w:t>
      </w:r>
      <w:r w:rsidRPr="0061030C">
        <w:rPr>
          <w:rFonts w:cs="Arial"/>
          <w:rtl/>
        </w:rPr>
        <w:t xml:space="preserve"> מ"מ יכולה להלות ואינו יורש המלו</w:t>
      </w:r>
      <w:r>
        <w:rPr>
          <w:rFonts w:cs="Arial" w:hint="cs"/>
          <w:rtl/>
        </w:rPr>
        <w:t>ה.</w:t>
      </w:r>
      <w:r w:rsidRPr="0061030C">
        <w:rPr>
          <w:rFonts w:cs="Arial"/>
          <w:rtl/>
        </w:rPr>
        <w:t xml:space="preserve"> ובח"מ מסופק באלו דינים שנתבאר בסי' פ"ה דאין לו פירו</w:t>
      </w:r>
      <w:r>
        <w:rPr>
          <w:rFonts w:cs="Arial" w:hint="cs"/>
          <w:rtl/>
        </w:rPr>
        <w:t>ת</w:t>
      </w:r>
      <w:r w:rsidRPr="0061030C">
        <w:rPr>
          <w:rFonts w:cs="Arial"/>
          <w:rtl/>
        </w:rPr>
        <w:t xml:space="preserve"> אם יורש הלואה שהלות</w:t>
      </w:r>
      <w:r>
        <w:rPr>
          <w:rFonts w:cs="Arial" w:hint="cs"/>
          <w:rtl/>
        </w:rPr>
        <w:t>ה.</w:t>
      </w:r>
      <w:r w:rsidRPr="0061030C">
        <w:rPr>
          <w:rFonts w:cs="Arial"/>
          <w:rtl/>
        </w:rPr>
        <w:t xml:space="preserve"> ושם מבואר בשלשה דברים אין לבעל פירות</w:t>
      </w:r>
      <w:r>
        <w:rPr>
          <w:rFonts w:cs="Arial" w:hint="cs"/>
          <w:rtl/>
        </w:rPr>
        <w:t>:</w:t>
      </w:r>
      <w:r w:rsidRPr="0061030C">
        <w:rPr>
          <w:rFonts w:cs="Arial"/>
          <w:rtl/>
        </w:rPr>
        <w:t xml:space="preserve"> א'</w:t>
      </w:r>
      <w:r>
        <w:rPr>
          <w:rFonts w:cs="Arial" w:hint="cs"/>
          <w:rtl/>
        </w:rPr>
        <w:t>,</w:t>
      </w:r>
      <w:r w:rsidRPr="0061030C">
        <w:rPr>
          <w:rFonts w:cs="Arial"/>
          <w:rtl/>
        </w:rPr>
        <w:t xml:space="preserve"> במברחת</w:t>
      </w:r>
      <w:r>
        <w:rPr>
          <w:rFonts w:cs="Arial" w:hint="cs"/>
          <w:rtl/>
        </w:rPr>
        <w:t>,</w:t>
      </w:r>
      <w:r w:rsidRPr="0061030C">
        <w:rPr>
          <w:rFonts w:cs="Arial"/>
          <w:rtl/>
        </w:rPr>
        <w:t xml:space="preserve"> ושם מכירת</w:t>
      </w:r>
      <w:r>
        <w:rPr>
          <w:rFonts w:cs="Arial" w:hint="cs"/>
          <w:rtl/>
        </w:rPr>
        <w:t>ה</w:t>
      </w:r>
      <w:r w:rsidRPr="0061030C">
        <w:rPr>
          <w:rFonts w:cs="Arial"/>
          <w:rtl/>
        </w:rPr>
        <w:t xml:space="preserve"> קיימת והפירות הם של המקבל מתנה</w:t>
      </w:r>
      <w:r>
        <w:rPr>
          <w:rFonts w:cs="Arial" w:hint="cs"/>
          <w:rtl/>
        </w:rPr>
        <w:t>,</w:t>
      </w:r>
      <w:r w:rsidRPr="0061030C">
        <w:rPr>
          <w:rFonts w:cs="Arial"/>
          <w:rtl/>
        </w:rPr>
        <w:t xml:space="preserve"> א"כ אין לספק בזה</w:t>
      </w:r>
      <w:r>
        <w:rPr>
          <w:rFonts w:cs="Arial" w:hint="cs"/>
          <w:rtl/>
        </w:rPr>
        <w:t>.</w:t>
      </w:r>
      <w:r w:rsidRPr="0061030C">
        <w:rPr>
          <w:rFonts w:cs="Arial"/>
          <w:rtl/>
        </w:rPr>
        <w:t xml:space="preserve"> השני</w:t>
      </w:r>
      <w:r>
        <w:rPr>
          <w:rFonts w:cs="Arial" w:hint="cs"/>
          <w:rtl/>
        </w:rPr>
        <w:t>,</w:t>
      </w:r>
      <w:r w:rsidRPr="0061030C">
        <w:rPr>
          <w:rFonts w:cs="Arial"/>
          <w:rtl/>
        </w:rPr>
        <w:t xml:space="preserve"> במוכרת כתובת</w:t>
      </w:r>
      <w:r>
        <w:rPr>
          <w:rFonts w:cs="Arial" w:hint="cs"/>
          <w:rtl/>
        </w:rPr>
        <w:t>ה</w:t>
      </w:r>
      <w:r w:rsidRPr="0061030C">
        <w:rPr>
          <w:rFonts w:cs="Arial"/>
          <w:rtl/>
        </w:rPr>
        <w:t xml:space="preserve"> בטובת הנא</w:t>
      </w:r>
      <w:r>
        <w:rPr>
          <w:rFonts w:cs="Arial" w:hint="cs"/>
          <w:rtl/>
        </w:rPr>
        <w:t>ה,</w:t>
      </w:r>
      <w:r w:rsidRPr="0061030C">
        <w:rPr>
          <w:rFonts w:cs="Arial"/>
          <w:rtl/>
        </w:rPr>
        <w:t xml:space="preserve"> ושם כתב הח"מ סקי"ח בפשיטו</w:t>
      </w:r>
      <w:r>
        <w:rPr>
          <w:rFonts w:cs="Arial" w:hint="cs"/>
          <w:rtl/>
        </w:rPr>
        <w:t>ת</w:t>
      </w:r>
      <w:r w:rsidRPr="0061030C">
        <w:rPr>
          <w:rFonts w:cs="Arial"/>
          <w:rtl/>
        </w:rPr>
        <w:t xml:space="preserve"> דרשאי ליתן הדמים למי שתרצ</w:t>
      </w:r>
      <w:r>
        <w:rPr>
          <w:rFonts w:cs="Arial" w:hint="cs"/>
          <w:rtl/>
        </w:rPr>
        <w:t>ה,</w:t>
      </w:r>
      <w:r w:rsidRPr="0061030C">
        <w:rPr>
          <w:rFonts w:cs="Arial"/>
          <w:rtl/>
        </w:rPr>
        <w:t xml:space="preserve"> א"כ הלואת</w:t>
      </w:r>
      <w:r>
        <w:rPr>
          <w:rFonts w:cs="Arial" w:hint="cs"/>
          <w:rtl/>
        </w:rPr>
        <w:t>ה</w:t>
      </w:r>
      <w:r w:rsidRPr="0061030C">
        <w:rPr>
          <w:rFonts w:cs="Arial"/>
          <w:rtl/>
        </w:rPr>
        <w:t xml:space="preserve"> ג"כ קיימת</w:t>
      </w:r>
      <w:r>
        <w:rPr>
          <w:rFonts w:cs="Arial" w:hint="cs"/>
          <w:rtl/>
        </w:rPr>
        <w:t>.</w:t>
      </w:r>
      <w:r w:rsidRPr="0061030C">
        <w:rPr>
          <w:rFonts w:cs="Arial"/>
          <w:rtl/>
        </w:rPr>
        <w:t xml:space="preserve"> השלישי</w:t>
      </w:r>
      <w:r>
        <w:rPr>
          <w:rFonts w:cs="Arial" w:hint="cs"/>
          <w:rtl/>
        </w:rPr>
        <w:t>,</w:t>
      </w:r>
      <w:r w:rsidRPr="0061030C">
        <w:rPr>
          <w:rFonts w:cs="Arial"/>
          <w:rtl/>
        </w:rPr>
        <w:t xml:space="preserve"> כשנתן הבעל מתנו</w:t>
      </w:r>
      <w:r>
        <w:rPr>
          <w:rFonts w:cs="Arial" w:hint="cs"/>
          <w:rtl/>
        </w:rPr>
        <w:t>ת</w:t>
      </w:r>
      <w:r w:rsidRPr="0061030C">
        <w:rPr>
          <w:rFonts w:cs="Arial"/>
          <w:rtl/>
        </w:rPr>
        <w:t xml:space="preserve"> לאשתו אחר הנשואין</w:t>
      </w:r>
      <w:r>
        <w:rPr>
          <w:rFonts w:cs="Arial" w:hint="cs"/>
          <w:rtl/>
        </w:rPr>
        <w:t>,</w:t>
      </w:r>
      <w:r w:rsidRPr="0061030C">
        <w:rPr>
          <w:rFonts w:cs="Arial"/>
          <w:rtl/>
        </w:rPr>
        <w:t xml:space="preserve"> ובזה יש לו פירות היינו דמוכרים הפירות ולוקחי</w:t>
      </w:r>
      <w:r>
        <w:rPr>
          <w:rFonts w:cs="Arial" w:hint="cs"/>
          <w:rtl/>
        </w:rPr>
        <w:t>ם</w:t>
      </w:r>
      <w:r w:rsidRPr="0061030C">
        <w:rPr>
          <w:rFonts w:cs="Arial"/>
          <w:rtl/>
        </w:rPr>
        <w:t xml:space="preserve"> בהם קרקע והפירות מן הקרקע שלו הם</w:t>
      </w:r>
      <w:r>
        <w:rPr>
          <w:rFonts w:cs="Arial" w:hint="cs"/>
          <w:rtl/>
        </w:rPr>
        <w:t>,</w:t>
      </w:r>
      <w:r w:rsidRPr="0061030C">
        <w:rPr>
          <w:rFonts w:cs="Arial"/>
          <w:rtl/>
        </w:rPr>
        <w:t xml:space="preserve"> ממילא הלואת</w:t>
      </w:r>
      <w:r>
        <w:rPr>
          <w:rFonts w:cs="Arial" w:hint="cs"/>
          <w:rtl/>
        </w:rPr>
        <w:t>ה</w:t>
      </w:r>
      <w:r w:rsidRPr="0061030C">
        <w:rPr>
          <w:rFonts w:cs="Arial"/>
          <w:rtl/>
        </w:rPr>
        <w:t xml:space="preserve"> בטל דהא כשיש לו פירו</w:t>
      </w:r>
      <w:r>
        <w:rPr>
          <w:rFonts w:cs="Arial" w:hint="cs"/>
          <w:rtl/>
        </w:rPr>
        <w:t>ת</w:t>
      </w:r>
      <w:r w:rsidRPr="0061030C">
        <w:rPr>
          <w:rFonts w:cs="Arial"/>
          <w:rtl/>
        </w:rPr>
        <w:t xml:space="preserve"> אף לדעת הח"מ הלואת</w:t>
      </w:r>
      <w:r>
        <w:rPr>
          <w:rFonts w:cs="Arial" w:hint="cs"/>
          <w:rtl/>
        </w:rPr>
        <w:t>ה</w:t>
      </w:r>
      <w:r w:rsidRPr="0061030C">
        <w:rPr>
          <w:rFonts w:cs="Arial"/>
          <w:rtl/>
        </w:rPr>
        <w:t xml:space="preserve"> בטל</w:t>
      </w:r>
      <w:r>
        <w:rPr>
          <w:rFonts w:cs="Arial" w:hint="cs"/>
          <w:rtl/>
        </w:rPr>
        <w:t>.</w:t>
      </w:r>
      <w:r w:rsidRPr="0061030C">
        <w:rPr>
          <w:rFonts w:cs="Arial"/>
          <w:rtl/>
        </w:rPr>
        <w:t xml:space="preserve"> וא"י במה הוא מסופק</w:t>
      </w:r>
      <w:r>
        <w:rPr>
          <w:rFonts w:cs="Arial" w:hint="cs"/>
          <w:rtl/>
        </w:rPr>
        <w:t>.</w:t>
      </w:r>
      <w:r w:rsidRPr="0061030C">
        <w:rPr>
          <w:rFonts w:cs="Arial"/>
          <w:rtl/>
        </w:rPr>
        <w:t xml:space="preserve"> ועיין סי' קי"א סעיף ט'</w:t>
      </w:r>
      <w:r>
        <w:rPr>
          <w:rFonts w:cs="Arial" w:hint="cs"/>
          <w:rtl/>
        </w:rPr>
        <w:t>, ב"ש (סקי"ב).</w:t>
      </w:r>
    </w:p>
  </w:footnote>
  <w:footnote w:id="1952">
    <w:p w14:paraId="54005AC6" w14:textId="77777777" w:rsidR="00DF1FC7" w:rsidRDefault="00DF1FC7" w:rsidP="002E5BAD">
      <w:pPr>
        <w:pStyle w:val="a5"/>
        <w:rPr>
          <w:rtl/>
        </w:rPr>
      </w:pPr>
      <w:r>
        <w:rPr>
          <w:rStyle w:val="a7"/>
        </w:rPr>
        <w:footnoteRef/>
      </w:r>
      <w:r>
        <w:rPr>
          <w:rtl/>
        </w:rPr>
        <w:t xml:space="preserve"> </w:t>
      </w:r>
      <w:r w:rsidRPr="00BE3E06">
        <w:rPr>
          <w:rFonts w:cs="Arial"/>
          <w:rtl/>
        </w:rPr>
        <w:t>בח"מ סימן רמ"ח כתב הטור אבל אם אין זרע אין שאר יורשים כגון אחי אביה וכו' עומדים במקומה ליטול ובב"י הניח הדבר בצ"ע שם ועיין בסמ"ע שם ואין להאריך כאן במה שאינו שייך לדיני נשים</w:t>
      </w:r>
      <w:r>
        <w:rPr>
          <w:rFonts w:hint="cs"/>
          <w:rtl/>
        </w:rPr>
        <w:t>, ח"מ (סק"י).</w:t>
      </w:r>
    </w:p>
  </w:footnote>
  <w:footnote w:id="1953">
    <w:p w14:paraId="2CA75225" w14:textId="77777777" w:rsidR="00DF1FC7" w:rsidRDefault="00DF1FC7" w:rsidP="002E5BAD">
      <w:pPr>
        <w:pStyle w:val="a5"/>
      </w:pPr>
      <w:r>
        <w:rPr>
          <w:rStyle w:val="a7"/>
        </w:rPr>
        <w:footnoteRef/>
      </w:r>
      <w:r>
        <w:rPr>
          <w:rtl/>
        </w:rPr>
        <w:t xml:space="preserve"> </w:t>
      </w:r>
      <w:r w:rsidRPr="006E6DA2">
        <w:rPr>
          <w:rFonts w:cs="Arial"/>
          <w:rtl/>
        </w:rPr>
        <w:t>אבל אם אמר מעכשיו לפלוני ואחריו לבתי לא מהני מלת מעכשיו שאמר לראשון ע' ב"ח ודרישה</w:t>
      </w:r>
      <w:r>
        <w:rPr>
          <w:rFonts w:cs="Arial" w:hint="cs"/>
          <w:rtl/>
        </w:rPr>
        <w:t>, ב"ש (סקי"ד).</w:t>
      </w:r>
    </w:p>
  </w:footnote>
  <w:footnote w:id="1954">
    <w:p w14:paraId="2A0724B8" w14:textId="77777777" w:rsidR="00DF1FC7" w:rsidRDefault="00DF1FC7" w:rsidP="002E5BAD">
      <w:pPr>
        <w:pStyle w:val="a5"/>
      </w:pPr>
      <w:r>
        <w:rPr>
          <w:rStyle w:val="a7"/>
        </w:rPr>
        <w:footnoteRef/>
      </w:r>
      <w:r>
        <w:rPr>
          <w:rtl/>
        </w:rPr>
        <w:t xml:space="preserve"> </w:t>
      </w:r>
      <w:r w:rsidRPr="00C84EDD">
        <w:rPr>
          <w:rFonts w:cs="Arial"/>
          <w:rtl/>
        </w:rPr>
        <w:t>ועיין בדגמ</w:t>
      </w:r>
      <w:r>
        <w:rPr>
          <w:rFonts w:cs="Arial" w:hint="cs"/>
          <w:rtl/>
        </w:rPr>
        <w:t>"</w:t>
      </w:r>
      <w:r w:rsidRPr="00C84EDD">
        <w:rPr>
          <w:rFonts w:cs="Arial"/>
          <w:rtl/>
        </w:rPr>
        <w:t>ר שכ' דבת</w:t>
      </w:r>
      <w:r>
        <w:rPr>
          <w:rFonts w:cs="Arial" w:hint="cs"/>
          <w:rtl/>
        </w:rPr>
        <w:t>רו</w:t>
      </w:r>
      <w:r w:rsidRPr="00C84EDD">
        <w:rPr>
          <w:rFonts w:cs="Arial"/>
          <w:rtl/>
        </w:rPr>
        <w:t>ה"ד סי</w:t>
      </w:r>
      <w:r>
        <w:rPr>
          <w:rFonts w:cs="Arial" w:hint="cs"/>
          <w:rtl/>
        </w:rPr>
        <w:t>'</w:t>
      </w:r>
      <w:r w:rsidRPr="00C84EDD">
        <w:rPr>
          <w:rFonts w:cs="Arial"/>
          <w:rtl/>
        </w:rPr>
        <w:t xml:space="preserve"> ש"ן משמע שדינו כמלו</w:t>
      </w:r>
      <w:r>
        <w:rPr>
          <w:rFonts w:cs="Arial" w:hint="cs"/>
          <w:rtl/>
        </w:rPr>
        <w:t>ה,</w:t>
      </w:r>
      <w:r w:rsidRPr="00C84EDD">
        <w:rPr>
          <w:rFonts w:cs="Arial"/>
          <w:rtl/>
        </w:rPr>
        <w:t xml:space="preserve"> ואמנם בחפץ מסויים ודאי יורש הבעל ע"ש</w:t>
      </w:r>
      <w:r>
        <w:rPr>
          <w:rFonts w:cs="Arial" w:hint="cs"/>
          <w:rtl/>
        </w:rPr>
        <w:t>.</w:t>
      </w:r>
      <w:r w:rsidRPr="00C84EDD">
        <w:rPr>
          <w:rFonts w:cs="Arial"/>
          <w:rtl/>
        </w:rPr>
        <w:t xml:space="preserve"> ועיין בתשו' שב יעקב סימן כ"ו</w:t>
      </w:r>
      <w:r>
        <w:rPr>
          <w:rFonts w:cs="Arial" w:hint="cs"/>
          <w:rtl/>
        </w:rPr>
        <w:t>, פת"ש (סק"ה).</w:t>
      </w:r>
    </w:p>
  </w:footnote>
  <w:footnote w:id="1955">
    <w:p w14:paraId="6F18610F" w14:textId="77777777" w:rsidR="00DF1FC7" w:rsidRDefault="00DF1FC7" w:rsidP="002E5BAD">
      <w:pPr>
        <w:pStyle w:val="a5"/>
      </w:pPr>
      <w:r>
        <w:rPr>
          <w:rStyle w:val="a7"/>
        </w:rPr>
        <w:footnoteRef/>
      </w:r>
      <w:r>
        <w:rPr>
          <w:rtl/>
        </w:rPr>
        <w:t xml:space="preserve"> </w:t>
      </w:r>
      <w:r w:rsidRPr="00BE3E06">
        <w:rPr>
          <w:rFonts w:cs="Arial"/>
          <w:rtl/>
        </w:rPr>
        <w:t>ע' סי' ס"א שם מבואר דסבירא ליה לרמב"ם הכונס נדה אל ירשנ' ולכאורה קשה מ"ש מחייבי לאוין דהא בנדה נמי קידושי' תופסין בה אלא החופה לא חזיא לביאה ועיין בדריש' תירץ שם אין בדעתו לבוא עליה בנדת' הוי לדידי' חופה דלא חזיא ביאה משא"כ בחייבי לאוין דדעתו לבא עליה הוי חופה דחזיא לביאה ויורש אותה</w:t>
      </w:r>
      <w:r>
        <w:rPr>
          <w:rFonts w:cs="Arial" w:hint="cs"/>
          <w:rtl/>
        </w:rPr>
        <w:t>, ב"ש (סקט"ו).</w:t>
      </w:r>
    </w:p>
  </w:footnote>
  <w:footnote w:id="1956">
    <w:p w14:paraId="155081D3" w14:textId="77777777" w:rsidR="00DF1FC7" w:rsidRDefault="00DF1FC7" w:rsidP="002E5BAD">
      <w:pPr>
        <w:pStyle w:val="a5"/>
        <w:rPr>
          <w:rtl/>
        </w:rPr>
      </w:pPr>
      <w:r>
        <w:rPr>
          <w:rStyle w:val="a7"/>
        </w:rPr>
        <w:footnoteRef/>
      </w:r>
      <w:r>
        <w:rPr>
          <w:rtl/>
        </w:rPr>
        <w:t xml:space="preserve"> </w:t>
      </w:r>
      <w:r>
        <w:rPr>
          <w:rFonts w:hint="cs"/>
          <w:rtl/>
        </w:rPr>
        <w:t>כמבואר בפ"ד מהל' אישות (ה"ז), וז"ל הרמב"ם שם-</w:t>
      </w:r>
      <w:r w:rsidRPr="002172B8">
        <w:rPr>
          <w:rtl/>
        </w:rPr>
        <w:t xml:space="preserve"> </w:t>
      </w:r>
      <w:r w:rsidRPr="002172B8">
        <w:rPr>
          <w:rFonts w:cs="Arial"/>
          <w:rtl/>
        </w:rPr>
        <w:t>קטן שקידש אין קידושיו קידושין, אבל גדול שקידש את הקטנה היתומה או קטנה שיצאת מרשות אב, אם היתה פחותה מבת שש אע</w:t>
      </w:r>
      <w:r>
        <w:rPr>
          <w:rFonts w:cs="Arial" w:hint="cs"/>
          <w:rtl/>
        </w:rPr>
        <w:t>"</w:t>
      </w:r>
      <w:r w:rsidRPr="002172B8">
        <w:rPr>
          <w:rFonts w:cs="Arial"/>
          <w:rtl/>
        </w:rPr>
        <w:t>פ שהיא נבונת לחש ביותר ומכרת ומבחנת אין כאן שם קידושין ואינה צריכה למאן, ואם היתה מבת עשר ומעלה אע</w:t>
      </w:r>
      <w:r>
        <w:rPr>
          <w:rFonts w:cs="Arial" w:hint="cs"/>
          <w:rtl/>
        </w:rPr>
        <w:t>"</w:t>
      </w:r>
      <w:r w:rsidRPr="002172B8">
        <w:rPr>
          <w:rFonts w:cs="Arial"/>
          <w:rtl/>
        </w:rPr>
        <w:t>פ שהיא סכלה ביותר הואיל ונתקדשה לדעתה הרי זו מקודשת למיאון. היתה מבת שש עד סוף עשר בודקין את יופי דעתה, אם מבחנת ומכרת עסקי הנישואין והקידושין צריכה למאן, ואם לאו אינה מתקדשת למיאון ואינה צריכה למאן.</w:t>
      </w:r>
    </w:p>
  </w:footnote>
  <w:footnote w:id="1957">
    <w:p w14:paraId="4C913B6A" w14:textId="77777777" w:rsidR="00DF1FC7" w:rsidRDefault="00DF1FC7" w:rsidP="002E5BAD">
      <w:pPr>
        <w:pStyle w:val="a5"/>
      </w:pPr>
      <w:r>
        <w:rPr>
          <w:rStyle w:val="a7"/>
        </w:rPr>
        <w:footnoteRef/>
      </w:r>
      <w:r>
        <w:rPr>
          <w:rtl/>
        </w:rPr>
        <w:t xml:space="preserve"> </w:t>
      </w:r>
      <w:r w:rsidRPr="00015C7E">
        <w:rPr>
          <w:rFonts w:cs="Arial" w:hint="cs"/>
          <w:rtl/>
        </w:rPr>
        <w:t>אפילו נתפקחה, רמב"ם (פ"א מנחלות ה"ט</w:t>
      </w:r>
      <w:r>
        <w:rPr>
          <w:rFonts w:cs="Arial" w:hint="cs"/>
          <w:rtl/>
        </w:rPr>
        <w:t>, הביאו הב"י בבדה"ב</w:t>
      </w:r>
      <w:r w:rsidRPr="00015C7E">
        <w:rPr>
          <w:rFonts w:cs="Arial" w:hint="cs"/>
          <w:rtl/>
        </w:rPr>
        <w:t>)</w:t>
      </w:r>
      <w:r>
        <w:rPr>
          <w:rFonts w:hint="cs"/>
          <w:rtl/>
        </w:rPr>
        <w:t>.</w:t>
      </w:r>
      <w:r w:rsidRPr="00015C7E">
        <w:rPr>
          <w:rFonts w:hint="cs"/>
          <w:color w:val="E36C0A" w:themeColor="accent6" w:themeShade="BF"/>
          <w:rtl/>
        </w:rPr>
        <w:t xml:space="preserve"> </w:t>
      </w:r>
      <w:r w:rsidRPr="001D67C0">
        <w:rPr>
          <w:rFonts w:hint="cs"/>
          <w:color w:val="E36C0A" w:themeColor="accent6" w:themeShade="BF"/>
          <w:rtl/>
        </w:rPr>
        <w:t>(וכ"פ בשו"ע)</w:t>
      </w:r>
    </w:p>
  </w:footnote>
  <w:footnote w:id="1958">
    <w:p w14:paraId="7AA14173" w14:textId="77777777" w:rsidR="00DF1FC7" w:rsidRDefault="00DF1FC7" w:rsidP="002E5BAD">
      <w:pPr>
        <w:pStyle w:val="a5"/>
      </w:pPr>
      <w:r>
        <w:rPr>
          <w:rStyle w:val="a7"/>
        </w:rPr>
        <w:footnoteRef/>
      </w:r>
      <w:r>
        <w:rPr>
          <w:rtl/>
        </w:rPr>
        <w:t xml:space="preserve"> </w:t>
      </w:r>
      <w:r w:rsidRPr="00D9440F">
        <w:rPr>
          <w:rFonts w:cs="Arial"/>
          <w:rtl/>
        </w:rPr>
        <w:t xml:space="preserve">זה למד רבינו ממה שאמרו שאין לה כתובה כנזכר </w:t>
      </w:r>
      <w:r>
        <w:rPr>
          <w:rFonts w:cs="Arial" w:hint="cs"/>
          <w:rtl/>
        </w:rPr>
        <w:t>ב</w:t>
      </w:r>
      <w:r w:rsidRPr="00D9440F">
        <w:rPr>
          <w:rFonts w:cs="Arial"/>
          <w:rtl/>
        </w:rPr>
        <w:t>פי"א (ה"ד) וכשם שאין לה כתובה ממנו כך אינו יורשה והיא אינה בת דעת שתוכל לזכות לו</w:t>
      </w:r>
      <w:r>
        <w:rPr>
          <w:rFonts w:cs="Arial" w:hint="cs"/>
          <w:rtl/>
        </w:rPr>
        <w:t>, הה"מ (פכ"ב מאישות ה"ד).</w:t>
      </w:r>
    </w:p>
  </w:footnote>
  <w:footnote w:id="1959">
    <w:p w14:paraId="1758C0DB" w14:textId="77777777" w:rsidR="00DF1FC7" w:rsidRDefault="00DF1FC7" w:rsidP="002E5BAD">
      <w:pPr>
        <w:pStyle w:val="a5"/>
        <w:rPr>
          <w:rtl/>
        </w:rPr>
      </w:pPr>
      <w:r>
        <w:rPr>
          <w:rStyle w:val="a7"/>
        </w:rPr>
        <w:footnoteRef/>
      </w:r>
      <w:r>
        <w:rPr>
          <w:rtl/>
        </w:rPr>
        <w:t xml:space="preserve"> </w:t>
      </w:r>
      <w:r w:rsidRPr="00D9440F">
        <w:rPr>
          <w:rFonts w:cs="Arial"/>
          <w:rtl/>
        </w:rPr>
        <w:t>זה לא מצאתי מבואר אבל דברי טעם הם כיון שהיא בת דעת</w:t>
      </w:r>
      <w:r>
        <w:rPr>
          <w:rFonts w:cs="Arial" w:hint="cs"/>
          <w:rtl/>
        </w:rPr>
        <w:t>, ו</w:t>
      </w:r>
      <w:r w:rsidRPr="00D9440F">
        <w:rPr>
          <w:rFonts w:cs="Arial"/>
          <w:rtl/>
        </w:rPr>
        <w:t>בהשגות כתוב שאף על פי שהיא בת דעת ונישאת לו אינו יורשה שמה שבידה זכתה לו מה שלאחר מיתה לא זכתה לו</w:t>
      </w:r>
      <w:r>
        <w:rPr>
          <w:rFonts w:cs="Arial" w:hint="cs"/>
          <w:rtl/>
        </w:rPr>
        <w:t>,</w:t>
      </w:r>
      <w:r w:rsidRPr="001D5AD0">
        <w:rPr>
          <w:rFonts w:cs="Arial" w:hint="cs"/>
          <w:rtl/>
        </w:rPr>
        <w:t xml:space="preserve"> </w:t>
      </w:r>
      <w:r>
        <w:rPr>
          <w:rFonts w:cs="Arial" w:hint="cs"/>
          <w:rtl/>
        </w:rPr>
        <w:t xml:space="preserve">הה"מ (שם). </w:t>
      </w:r>
    </w:p>
  </w:footnote>
  <w:footnote w:id="1960">
    <w:p w14:paraId="42EB5093" w14:textId="77777777" w:rsidR="00DF1FC7" w:rsidRDefault="00DF1FC7" w:rsidP="002E5BAD">
      <w:pPr>
        <w:pStyle w:val="a5"/>
      </w:pPr>
      <w:r>
        <w:rPr>
          <w:rStyle w:val="a7"/>
        </w:rPr>
        <w:footnoteRef/>
      </w:r>
      <w:r>
        <w:rPr>
          <w:rtl/>
        </w:rPr>
        <w:t xml:space="preserve"> </w:t>
      </w:r>
      <w:r w:rsidRPr="00E75EC8">
        <w:rPr>
          <w:rFonts w:cs="Arial"/>
          <w:rtl/>
        </w:rPr>
        <w:t>ואפשר שגם הרמב"ם מיירי דוקא כשכתבו לה ב"ד כתובה</w:t>
      </w:r>
      <w:r>
        <w:rPr>
          <w:rFonts w:cs="Arial" w:hint="cs"/>
          <w:rtl/>
        </w:rPr>
        <w:t>,</w:t>
      </w:r>
      <w:r w:rsidRPr="00E75EC8">
        <w:rPr>
          <w:rFonts w:cs="Arial"/>
          <w:rtl/>
        </w:rPr>
        <w:t xml:space="preserve"> ועיין במ"מ לא משמע כן</w:t>
      </w:r>
      <w:r>
        <w:rPr>
          <w:rFonts w:cs="Arial" w:hint="cs"/>
          <w:rtl/>
        </w:rPr>
        <w:t>, ח"מ (סקי"ב).</w:t>
      </w:r>
    </w:p>
  </w:footnote>
  <w:footnote w:id="1961">
    <w:p w14:paraId="587EE806" w14:textId="77777777" w:rsidR="00DF1FC7" w:rsidRDefault="00DF1FC7" w:rsidP="002E5BAD">
      <w:pPr>
        <w:pStyle w:val="a5"/>
      </w:pPr>
      <w:r>
        <w:rPr>
          <w:rStyle w:val="a7"/>
        </w:rPr>
        <w:footnoteRef/>
      </w:r>
      <w:r>
        <w:rPr>
          <w:rtl/>
        </w:rPr>
        <w:t xml:space="preserve"> </w:t>
      </w:r>
      <w:r w:rsidRPr="000227AE">
        <w:rPr>
          <w:rFonts w:cs="Arial"/>
          <w:rtl/>
        </w:rPr>
        <w:t>אפילו שלא נבעלה רק שנכנסה לחופה</w:t>
      </w:r>
      <w:r>
        <w:rPr>
          <w:rFonts w:cs="Arial" w:hint="cs"/>
          <w:rtl/>
        </w:rPr>
        <w:t>, כן מבואר מדברי ה</w:t>
      </w:r>
      <w:r w:rsidRPr="000227AE">
        <w:rPr>
          <w:rFonts w:cs="Arial"/>
          <w:rtl/>
        </w:rPr>
        <w:t xml:space="preserve">ב"ש </w:t>
      </w:r>
      <w:r>
        <w:rPr>
          <w:rFonts w:cs="Arial" w:hint="cs"/>
          <w:rtl/>
        </w:rPr>
        <w:t>(</w:t>
      </w:r>
      <w:r w:rsidRPr="000227AE">
        <w:rPr>
          <w:rFonts w:cs="Arial"/>
          <w:rtl/>
        </w:rPr>
        <w:t>סקט"ו</w:t>
      </w:r>
      <w:r>
        <w:rPr>
          <w:rFonts w:cs="Arial" w:hint="cs"/>
          <w:rtl/>
        </w:rPr>
        <w:t>),</w:t>
      </w:r>
      <w:r w:rsidRPr="000227AE">
        <w:rPr>
          <w:rFonts w:cs="Arial"/>
          <w:rtl/>
        </w:rPr>
        <w:t xml:space="preserve"> וכ"כ בס' שעה"מ </w:t>
      </w:r>
      <w:r>
        <w:rPr>
          <w:rFonts w:cs="Arial" w:hint="cs"/>
          <w:rtl/>
        </w:rPr>
        <w:t>(</w:t>
      </w:r>
      <w:r w:rsidRPr="000227AE">
        <w:rPr>
          <w:rFonts w:cs="Arial"/>
          <w:rtl/>
        </w:rPr>
        <w:t>פ"י מה"א בקונ' חופת חתנים סעיף ד</w:t>
      </w:r>
      <w:r>
        <w:rPr>
          <w:rFonts w:cs="Arial" w:hint="cs"/>
          <w:rtl/>
        </w:rPr>
        <w:t>)</w:t>
      </w:r>
      <w:r w:rsidRPr="000227AE">
        <w:rPr>
          <w:rFonts w:cs="Arial"/>
          <w:rtl/>
        </w:rPr>
        <w:t xml:space="preserve"> ע"ש שהאריך בענין זה</w:t>
      </w:r>
      <w:r>
        <w:rPr>
          <w:rFonts w:cs="Arial" w:hint="cs"/>
          <w:rtl/>
        </w:rPr>
        <w:t>, פת"ש (סק"ו).</w:t>
      </w:r>
    </w:p>
  </w:footnote>
  <w:footnote w:id="1962">
    <w:p w14:paraId="1798191B" w14:textId="77777777" w:rsidR="00DF1FC7" w:rsidRDefault="00DF1FC7" w:rsidP="002E5BAD">
      <w:pPr>
        <w:pStyle w:val="a5"/>
      </w:pPr>
      <w:r>
        <w:rPr>
          <w:rStyle w:val="a7"/>
        </w:rPr>
        <w:footnoteRef/>
      </w:r>
      <w:r>
        <w:rPr>
          <w:rtl/>
        </w:rPr>
        <w:t xml:space="preserve"> </w:t>
      </w:r>
      <w:r w:rsidRPr="00E75EC8">
        <w:rPr>
          <w:rFonts w:cs="Arial"/>
          <w:rtl/>
        </w:rPr>
        <w:t>והיינו בלא נתייחד עמה אחר שנתפקחה אבל אם נתפקחה ונתייחד עמה אח"כ הרי היא כאשתו גמורה לכל דבר וכמו שנתבאר למעלה סי' מ"ג וסי' ס"ז</w:t>
      </w:r>
      <w:r>
        <w:rPr>
          <w:rFonts w:cs="Arial" w:hint="cs"/>
          <w:rtl/>
        </w:rPr>
        <w:t>, ח"מ (סקי"א).</w:t>
      </w:r>
    </w:p>
  </w:footnote>
  <w:footnote w:id="1963">
    <w:p w14:paraId="4107DC01" w14:textId="77777777" w:rsidR="00DF1FC7" w:rsidRDefault="00DF1FC7" w:rsidP="002E5BAD">
      <w:pPr>
        <w:pStyle w:val="a5"/>
      </w:pPr>
      <w:r>
        <w:rPr>
          <w:rStyle w:val="a7"/>
        </w:rPr>
        <w:footnoteRef/>
      </w:r>
      <w:r>
        <w:rPr>
          <w:rtl/>
        </w:rPr>
        <w:t xml:space="preserve"> </w:t>
      </w:r>
      <w:r w:rsidRPr="00D9440F">
        <w:rPr>
          <w:rFonts w:cs="Arial"/>
          <w:rtl/>
        </w:rPr>
        <w:t>פסק רבינו ספ"ח</w:t>
      </w:r>
      <w:r>
        <w:rPr>
          <w:rFonts w:cs="Arial" w:hint="cs"/>
          <w:rtl/>
        </w:rPr>
        <w:t xml:space="preserve"> </w:t>
      </w:r>
      <w:r w:rsidRPr="00D9440F">
        <w:rPr>
          <w:rFonts w:cs="Arial"/>
          <w:rtl/>
        </w:rPr>
        <w:t>מהלכות תרומות (הט"ז) כדברי רב הונא</w:t>
      </w:r>
      <w:r>
        <w:rPr>
          <w:rFonts w:cs="Arial" w:hint="cs"/>
          <w:rtl/>
        </w:rPr>
        <w:t>,</w:t>
      </w:r>
      <w:r w:rsidRPr="00D9440F">
        <w:rPr>
          <w:rFonts w:cs="Arial"/>
          <w:rtl/>
        </w:rPr>
        <w:t xml:space="preserve"> וכל שכן לענין ממון ירושה</w:t>
      </w:r>
      <w:r>
        <w:rPr>
          <w:rFonts w:cs="Arial" w:hint="cs"/>
          <w:rtl/>
        </w:rPr>
        <w:t>,</w:t>
      </w:r>
      <w:r w:rsidRPr="00D9440F">
        <w:rPr>
          <w:rFonts w:cs="Arial"/>
          <w:rtl/>
        </w:rPr>
        <w:t xml:space="preserve"> שהעמד ממון על חזקתו</w:t>
      </w:r>
      <w:r>
        <w:rPr>
          <w:rFonts w:cs="Arial" w:hint="cs"/>
          <w:rtl/>
        </w:rPr>
        <w:t>.</w:t>
      </w:r>
      <w:r w:rsidRPr="00D9440F">
        <w:rPr>
          <w:rFonts w:cs="Arial"/>
          <w:rtl/>
        </w:rPr>
        <w:t xml:space="preserve"> ולזה כתב רבינו בין בפניו</w:t>
      </w:r>
      <w:r>
        <w:rPr>
          <w:rFonts w:cs="Arial" w:hint="cs"/>
          <w:rtl/>
        </w:rPr>
        <w:t>, הה"מ (שם).</w:t>
      </w:r>
    </w:p>
  </w:footnote>
  <w:footnote w:id="1964">
    <w:p w14:paraId="658FD8DE" w14:textId="77777777" w:rsidR="00DF1FC7" w:rsidRDefault="00DF1FC7" w:rsidP="002E5BAD">
      <w:pPr>
        <w:pStyle w:val="a5"/>
        <w:rPr>
          <w:rtl/>
        </w:rPr>
      </w:pPr>
      <w:r>
        <w:rPr>
          <w:rStyle w:val="a7"/>
        </w:rPr>
        <w:footnoteRef/>
      </w:r>
      <w:r>
        <w:rPr>
          <w:rtl/>
        </w:rPr>
        <w:t xml:space="preserve"> </w:t>
      </w:r>
      <w:r w:rsidRPr="00F7391E">
        <w:rPr>
          <w:rFonts w:cs="Arial"/>
          <w:rtl/>
        </w:rPr>
        <w:t>דהאי דשתק משום דמרתח רתח כן הוא בגמרא</w:t>
      </w:r>
      <w:r>
        <w:rPr>
          <w:rFonts w:hint="cs"/>
          <w:rtl/>
        </w:rPr>
        <w:t>, ח"מ (סקי"ג).</w:t>
      </w:r>
    </w:p>
  </w:footnote>
  <w:footnote w:id="1965">
    <w:p w14:paraId="5A7FB9ED" w14:textId="77777777" w:rsidR="00DF1FC7" w:rsidRDefault="00DF1FC7" w:rsidP="002E5BAD">
      <w:pPr>
        <w:pStyle w:val="a5"/>
        <w:rPr>
          <w:rtl/>
        </w:rPr>
      </w:pPr>
      <w:r>
        <w:rPr>
          <w:rStyle w:val="a7"/>
        </w:rPr>
        <w:footnoteRef/>
      </w:r>
      <w:r>
        <w:rPr>
          <w:rtl/>
        </w:rPr>
        <w:t xml:space="preserve"> </w:t>
      </w:r>
      <w:r>
        <w:rPr>
          <w:rFonts w:hint="cs"/>
          <w:rtl/>
        </w:rPr>
        <w:t>מי שנתן לאשתו גט על תנאי-...</w:t>
      </w:r>
    </w:p>
  </w:footnote>
  <w:footnote w:id="1966">
    <w:p w14:paraId="710CADE8" w14:textId="77777777" w:rsidR="00DF1FC7" w:rsidRPr="000D42C8" w:rsidRDefault="00DF1FC7" w:rsidP="002E5BAD">
      <w:pPr>
        <w:pStyle w:val="a5"/>
        <w:rPr>
          <w:rFonts w:cs="Arial"/>
        </w:rPr>
      </w:pPr>
      <w:r>
        <w:rPr>
          <w:rStyle w:val="a7"/>
        </w:rPr>
        <w:footnoteRef/>
      </w:r>
      <w:r>
        <w:rPr>
          <w:rtl/>
        </w:rPr>
        <w:t xml:space="preserve"> </w:t>
      </w:r>
      <w:r w:rsidRPr="0006145B">
        <w:rPr>
          <w:rFonts w:cs="Arial"/>
          <w:rtl/>
        </w:rPr>
        <w:t>ו</w:t>
      </w:r>
      <w:r>
        <w:rPr>
          <w:rFonts w:cs="Arial" w:hint="cs"/>
          <w:rtl/>
        </w:rPr>
        <w:t>כתב הה"מ (שם) ש</w:t>
      </w:r>
      <w:r w:rsidRPr="0006145B">
        <w:rPr>
          <w:rFonts w:cs="Arial"/>
          <w:rtl/>
        </w:rPr>
        <w:t>מדברי ר' זעירא יש ללמוד הפך מדברי ההשגות</w:t>
      </w:r>
      <w:r>
        <w:rPr>
          <w:rFonts w:cs="Arial" w:hint="cs"/>
          <w:rtl/>
        </w:rPr>
        <w:t>,</w:t>
      </w:r>
      <w:r w:rsidRPr="0006145B">
        <w:rPr>
          <w:rFonts w:cs="Arial"/>
          <w:rtl/>
        </w:rPr>
        <w:t xml:space="preserve"> דאם איתא דאפילו בספק מגורשת הבעל יורש</w:t>
      </w:r>
      <w:r>
        <w:rPr>
          <w:rFonts w:cs="Arial" w:hint="cs"/>
          <w:rtl/>
        </w:rPr>
        <w:t>,</w:t>
      </w:r>
      <w:r w:rsidRPr="0006145B">
        <w:rPr>
          <w:rFonts w:cs="Arial"/>
          <w:rtl/>
        </w:rPr>
        <w:t xml:space="preserve"> היכי אמר ר' זעירא זאת אומרת שהיא כאשת איש לכל דבר</w:t>
      </w:r>
      <w:r>
        <w:rPr>
          <w:rFonts w:cs="Arial" w:hint="cs"/>
          <w:rtl/>
        </w:rPr>
        <w:t>?</w:t>
      </w:r>
      <w:r w:rsidRPr="0006145B">
        <w:rPr>
          <w:rFonts w:cs="Arial"/>
          <w:rtl/>
        </w:rPr>
        <w:t xml:space="preserve"> ונמצאת הקושיא ראיה</w:t>
      </w:r>
      <w:r>
        <w:rPr>
          <w:rFonts w:cs="Arial" w:hint="cs"/>
          <w:sz w:val="16"/>
          <w:szCs w:val="16"/>
          <w:rtl/>
        </w:rPr>
        <w:t xml:space="preserve"> {כי אז יוצא שאם אינה אשת איש לכל דבר (היינו ספק מגורשת) </w:t>
      </w:r>
      <w:r>
        <w:rPr>
          <w:rFonts w:cs="Arial"/>
          <w:sz w:val="16"/>
          <w:szCs w:val="16"/>
          <w:rtl/>
        </w:rPr>
        <w:t>–</w:t>
      </w:r>
      <w:r>
        <w:rPr>
          <w:rFonts w:cs="Arial" w:hint="cs"/>
          <w:sz w:val="16"/>
          <w:szCs w:val="16"/>
          <w:rtl/>
        </w:rPr>
        <w:t xml:space="preserve"> אינו יורשה, כדעת הרמב"ם}</w:t>
      </w:r>
      <w:r>
        <w:rPr>
          <w:rFonts w:cs="Arial" w:hint="cs"/>
          <w:rtl/>
        </w:rPr>
        <w:t>.</w:t>
      </w:r>
      <w:r w:rsidRPr="0006145B">
        <w:rPr>
          <w:rFonts w:cs="Arial"/>
          <w:rtl/>
        </w:rPr>
        <w:t xml:space="preserve"> ואולי תדחה ותאמר דמשום נדריה אמר כן רבי זעירא</w:t>
      </w:r>
      <w:r>
        <w:rPr>
          <w:rFonts w:cs="Arial" w:hint="cs"/>
          <w:rtl/>
        </w:rPr>
        <w:t>,</w:t>
      </w:r>
      <w:r w:rsidRPr="0006145B">
        <w:rPr>
          <w:rFonts w:cs="Arial"/>
          <w:rtl/>
        </w:rPr>
        <w:t xml:space="preserve"> דודאי אם לא היתה כאשת איש לכל דבר לא היה בעלה זכאי בהפרת נדריה דהויא לה ספיקא דאורייתא ולחומרא</w:t>
      </w:r>
      <w:r>
        <w:rPr>
          <w:rFonts w:cs="Arial" w:hint="cs"/>
          <w:rtl/>
        </w:rPr>
        <w:t>.</w:t>
      </w:r>
      <w:r w:rsidRPr="0006145B">
        <w:rPr>
          <w:rFonts w:cs="Arial"/>
          <w:rtl/>
        </w:rPr>
        <w:t xml:space="preserve"> מ"מ אפילו נאמר כן נדחית ראייתו משם</w:t>
      </w:r>
      <w:r>
        <w:rPr>
          <w:rFonts w:cs="Arial" w:hint="cs"/>
          <w:rtl/>
        </w:rPr>
        <w:t>,</w:t>
      </w:r>
      <w:r w:rsidRPr="0006145B">
        <w:rPr>
          <w:rFonts w:cs="Arial"/>
          <w:rtl/>
        </w:rPr>
        <w:t xml:space="preserve"> דאמינא לך דמשום הכי זכאי בירושתה</w:t>
      </w:r>
      <w:r>
        <w:rPr>
          <w:rFonts w:cs="Arial" w:hint="cs"/>
          <w:rtl/>
        </w:rPr>
        <w:t>,</w:t>
      </w:r>
      <w:r w:rsidRPr="0006145B">
        <w:rPr>
          <w:rFonts w:cs="Arial"/>
          <w:rtl/>
        </w:rPr>
        <w:t xml:space="preserve"> משום דחשבינן לה כאשת איש לכל דבר לדעת הירושלמי ואמרינן הן הן עדי יחוד הן הן עדי ביאה שודאי הוא</w:t>
      </w:r>
      <w:r>
        <w:rPr>
          <w:rFonts w:cs="Arial" w:hint="cs"/>
          <w:rtl/>
        </w:rPr>
        <w:t>.</w:t>
      </w:r>
      <w:r w:rsidRPr="0006145B">
        <w:rPr>
          <w:rFonts w:cs="Arial"/>
          <w:rtl/>
        </w:rPr>
        <w:t xml:space="preserve"> הא בספק </w:t>
      </w:r>
      <w:r>
        <w:rPr>
          <w:rFonts w:cs="Arial" w:hint="cs"/>
          <w:rtl/>
        </w:rPr>
        <w:t xml:space="preserve">- </w:t>
      </w:r>
      <w:r w:rsidRPr="0006145B">
        <w:rPr>
          <w:rFonts w:cs="Arial"/>
          <w:rtl/>
        </w:rPr>
        <w:t>ודאי לא היה זכאי בירושתה</w:t>
      </w:r>
      <w:r>
        <w:rPr>
          <w:rFonts w:cs="Arial" w:hint="cs"/>
          <w:rtl/>
        </w:rPr>
        <w:t>.</w:t>
      </w:r>
      <w:r w:rsidRPr="0006145B">
        <w:rPr>
          <w:rFonts w:cs="Arial"/>
          <w:rtl/>
        </w:rPr>
        <w:t xml:space="preserve"> וזה ברור</w:t>
      </w:r>
      <w:r>
        <w:rPr>
          <w:rFonts w:cs="Arial" w:hint="cs"/>
          <w:rtl/>
        </w:rPr>
        <w:t>.</w:t>
      </w:r>
      <w:r w:rsidRPr="0006145B">
        <w:rPr>
          <w:rFonts w:cs="Arial"/>
          <w:rtl/>
        </w:rPr>
        <w:t xml:space="preserve"> ותדע לך שהרי ודאי בספק קדושין כי ההיא דהתם היאך יירשנה</w:t>
      </w:r>
      <w:r>
        <w:rPr>
          <w:rFonts w:cs="Arial" w:hint="cs"/>
          <w:rtl/>
        </w:rPr>
        <w:t>,</w:t>
      </w:r>
      <w:r w:rsidRPr="0006145B">
        <w:rPr>
          <w:rFonts w:cs="Arial"/>
          <w:rtl/>
        </w:rPr>
        <w:t xml:space="preserve"> והיכי מפקינן ירושתה מחזקת האב בספק</w:t>
      </w:r>
      <w:r>
        <w:rPr>
          <w:rFonts w:cs="Arial" w:hint="cs"/>
          <w:rtl/>
        </w:rPr>
        <w:t>,</w:t>
      </w:r>
      <w:r w:rsidRPr="0006145B">
        <w:rPr>
          <w:rFonts w:cs="Arial"/>
          <w:rtl/>
        </w:rPr>
        <w:t xml:space="preserve"> אלא ודאי טעם הירושלמי שהם סבורים שהיא כאשת איש לכל דבר כנזכר שם</w:t>
      </w:r>
      <w:r>
        <w:rPr>
          <w:rFonts w:cs="Arial" w:hint="cs"/>
          <w:rtl/>
        </w:rPr>
        <w:t>.</w:t>
      </w:r>
      <w:r w:rsidRPr="0006145B">
        <w:rPr>
          <w:rFonts w:cs="Arial"/>
          <w:rtl/>
        </w:rPr>
        <w:t xml:space="preserve"> וזה נראה לי מוכרח בדעת הירושלמי</w:t>
      </w:r>
      <w:r>
        <w:rPr>
          <w:rFonts w:cs="Arial" w:hint="cs"/>
          <w:rtl/>
        </w:rPr>
        <w:t>,</w:t>
      </w:r>
      <w:r w:rsidRPr="0006145B">
        <w:rPr>
          <w:rFonts w:cs="Arial"/>
          <w:rtl/>
        </w:rPr>
        <w:t xml:space="preserve"> ונסתלקה ההשגה</w:t>
      </w:r>
      <w:r>
        <w:rPr>
          <w:rFonts w:cs="Arial" w:hint="cs"/>
          <w:rtl/>
        </w:rPr>
        <w:t>,</w:t>
      </w:r>
      <w:r w:rsidRPr="0006145B">
        <w:rPr>
          <w:rFonts w:cs="Arial"/>
          <w:rtl/>
        </w:rPr>
        <w:t xml:space="preserve"> ונשאר דינו של רבינו קיים ונכון</w:t>
      </w:r>
      <w:r>
        <w:rPr>
          <w:rFonts w:cs="Arial" w:hint="cs"/>
          <w:rtl/>
        </w:rPr>
        <w:t>.</w:t>
      </w:r>
      <w:r w:rsidRPr="0006145B">
        <w:rPr>
          <w:rFonts w:cs="Arial"/>
          <w:rtl/>
        </w:rPr>
        <w:t xml:space="preserve"> ומצאתי אח"כ שדבר זה מחלוקת בין הגאונים ז"ל</w:t>
      </w:r>
      <w:r>
        <w:rPr>
          <w:rFonts w:cs="Arial" w:hint="cs"/>
          <w:rtl/>
        </w:rPr>
        <w:t>. עכ"ל הה"מ. וכתב הב"ש (סק"כ) דמכיון שהיא גם מחלוקת גאונים (שאז יש עוד דס"ל כהראב"ד) אז</w:t>
      </w:r>
      <w:r w:rsidRPr="00E72183">
        <w:rPr>
          <w:rFonts w:cs="Arial"/>
          <w:rtl/>
        </w:rPr>
        <w:t xml:space="preserve"> מהני ע</w:t>
      </w:r>
      <w:r>
        <w:rPr>
          <w:rFonts w:cs="Arial" w:hint="cs"/>
          <w:rtl/>
        </w:rPr>
        <w:t xml:space="preserve">ל כל </w:t>
      </w:r>
      <w:r w:rsidRPr="00E72183">
        <w:rPr>
          <w:rFonts w:cs="Arial"/>
          <w:rtl/>
        </w:rPr>
        <w:t>פ</w:t>
      </w:r>
      <w:r>
        <w:rPr>
          <w:rFonts w:cs="Arial" w:hint="cs"/>
          <w:rtl/>
        </w:rPr>
        <w:t>נים</w:t>
      </w:r>
      <w:r w:rsidRPr="00E72183">
        <w:rPr>
          <w:rFonts w:cs="Arial"/>
          <w:rtl/>
        </w:rPr>
        <w:t xml:space="preserve"> תפיסת הבעל</w:t>
      </w:r>
      <w:r>
        <w:rPr>
          <w:rFonts w:cs="Arial" w:hint="cs"/>
          <w:rtl/>
        </w:rPr>
        <w:t>.</w:t>
      </w:r>
    </w:p>
  </w:footnote>
  <w:footnote w:id="1967">
    <w:p w14:paraId="0E78A44E" w14:textId="77777777" w:rsidR="00DF1FC7" w:rsidRDefault="00DF1FC7" w:rsidP="002E5BAD">
      <w:pPr>
        <w:pStyle w:val="a5"/>
      </w:pPr>
      <w:r>
        <w:rPr>
          <w:rStyle w:val="a7"/>
        </w:rPr>
        <w:footnoteRef/>
      </w:r>
      <w:r>
        <w:rPr>
          <w:rtl/>
        </w:rPr>
        <w:t xml:space="preserve"> </w:t>
      </w:r>
      <w:r>
        <w:rPr>
          <w:rFonts w:hint="cs"/>
          <w:rtl/>
        </w:rPr>
        <w:t xml:space="preserve">יש לי מעט מבוכה בעניין זה. הב"י לא הביא, לא את דברי הרמב"ם, לא את דברי הראב"ד ולא את דברי הה"מ (והגמרות שהביא להוכחת הדברים כנ"ל) בנושא ספק גירושין. אלא הביא רק את דברי הרשב"ם והרא"ש בעניין נתן דעתו לגרשה. ויש לחקור האם הרא"ש והטור חולקים עם הרמב"ם (שהרי כתבו בלשון די ברורה שלא כדעת הרמב"ם), או לא. ואכן הח"מ (סקי"ד) כתב שהרא"ש והטור חולקים על דברי הרמב"ם והשו"ע (שפסק כהרמב"ם). ובאה"ג (אות מ) כתב שלא מצא מוצא לדין זה והעמיד שמה שהשו"ע כתב שאינו יורשה, היינו </w:t>
      </w:r>
      <w:r>
        <w:rPr>
          <w:rFonts w:cs="Arial" w:hint="cs"/>
          <w:rtl/>
        </w:rPr>
        <w:t>ב</w:t>
      </w:r>
      <w:r w:rsidRPr="00DB2DC5">
        <w:rPr>
          <w:rFonts w:cs="Arial"/>
          <w:rtl/>
        </w:rPr>
        <w:t>נכסי</w:t>
      </w:r>
      <w:r>
        <w:rPr>
          <w:rFonts w:cs="Arial" w:hint="cs"/>
          <w:rtl/>
        </w:rPr>
        <w:t>ם</w:t>
      </w:r>
      <w:r w:rsidRPr="00DB2DC5">
        <w:rPr>
          <w:rFonts w:cs="Arial"/>
          <w:rtl/>
        </w:rPr>
        <w:t xml:space="preserve"> שהן בחזקת האשה</w:t>
      </w:r>
      <w:r>
        <w:rPr>
          <w:rFonts w:cs="Arial" w:hint="cs"/>
          <w:rtl/>
        </w:rPr>
        <w:t>.</w:t>
      </w:r>
      <w:r w:rsidRPr="00DB2DC5">
        <w:rPr>
          <w:rFonts w:cs="Arial"/>
          <w:rtl/>
        </w:rPr>
        <w:t xml:space="preserve"> אבל הנכסים שהן בחזקת הבעל</w:t>
      </w:r>
      <w:r>
        <w:rPr>
          <w:rFonts w:cs="Arial" w:hint="cs"/>
          <w:rtl/>
        </w:rPr>
        <w:t>,</w:t>
      </w:r>
      <w:r w:rsidRPr="00DB2DC5">
        <w:rPr>
          <w:rFonts w:cs="Arial"/>
          <w:rtl/>
        </w:rPr>
        <w:t xml:space="preserve"> לדעת הרא"ש והתוס' אין מוציאין מידו דאין ספק מוציא מידי ודאי ודינם כדין נפל הבית עליו כולי שבסעיף שאחריו</w:t>
      </w:r>
      <w:r>
        <w:rPr>
          <w:rFonts w:cs="Arial" w:hint="cs"/>
          <w:rtl/>
        </w:rPr>
        <w:t>.</w:t>
      </w:r>
      <w:r w:rsidRPr="00DB2DC5">
        <w:rPr>
          <w:rFonts w:cs="Arial"/>
          <w:rtl/>
        </w:rPr>
        <w:t xml:space="preserve"> </w:t>
      </w:r>
      <w:r>
        <w:rPr>
          <w:rFonts w:hint="cs"/>
          <w:rtl/>
        </w:rPr>
        <w:t>ונראה מדברי באה"ג שלא ידע שדברי השו"ע מקורם ברמב"ם, ולכן כתב מה שכתב בדעת השו"ע.</w:t>
      </w:r>
    </w:p>
  </w:footnote>
  <w:footnote w:id="1968">
    <w:p w14:paraId="4544041A" w14:textId="77777777" w:rsidR="00DF1FC7" w:rsidRDefault="00DF1FC7" w:rsidP="002E5BAD">
      <w:pPr>
        <w:pStyle w:val="a5"/>
      </w:pPr>
      <w:r>
        <w:rPr>
          <w:rStyle w:val="a7"/>
        </w:rPr>
        <w:footnoteRef/>
      </w:r>
      <w:r>
        <w:rPr>
          <w:rtl/>
        </w:rPr>
        <w:t xml:space="preserve"> </w:t>
      </w:r>
      <w:r>
        <w:rPr>
          <w:rFonts w:hint="cs"/>
          <w:rtl/>
        </w:rPr>
        <w:t xml:space="preserve">הביא הפת"ש (סק"ז) מסקנתו, וכתב </w:t>
      </w:r>
      <w:r>
        <w:rPr>
          <w:rFonts w:cs="Arial" w:hint="cs"/>
          <w:rtl/>
        </w:rPr>
        <w:t>ל</w:t>
      </w:r>
      <w:r w:rsidRPr="00352B7C">
        <w:rPr>
          <w:rFonts w:cs="Arial"/>
          <w:rtl/>
        </w:rPr>
        <w:t>עיין בתשו' מקור ברוך סי' י' ובת' תורת חסד סי' צ"ו ובס' שעה"מ שם ס"ד מ"ש בזה</w:t>
      </w:r>
      <w:r>
        <w:rPr>
          <w:rFonts w:hint="cs"/>
          <w:rtl/>
        </w:rPr>
        <w:t>.</w:t>
      </w:r>
    </w:p>
  </w:footnote>
  <w:footnote w:id="1969">
    <w:p w14:paraId="5D5E2306" w14:textId="77777777" w:rsidR="00DF1FC7" w:rsidRDefault="00DF1FC7" w:rsidP="002E5BAD">
      <w:pPr>
        <w:pStyle w:val="a5"/>
      </w:pPr>
      <w:r>
        <w:rPr>
          <w:rStyle w:val="a7"/>
        </w:rPr>
        <w:footnoteRef/>
      </w:r>
      <w:r>
        <w:rPr>
          <w:rtl/>
        </w:rPr>
        <w:t xml:space="preserve"> </w:t>
      </w:r>
      <w:r w:rsidRPr="00197B54">
        <w:rPr>
          <w:rFonts w:cs="Arial"/>
          <w:rtl/>
        </w:rPr>
        <w:t>חולי הוא שאינה יכולה להריח ומום שבסתר הוא ותנן בהמדיר בכתובות (עב:) המקדש את האשה ע"מ שאין בה מומין ונמצאו עליה מומין אינה מקודשת כנסה סתם ונמצאו בה מומין תצא שלא בכתובה כו' עד וחכ"א במה דברים אמורים במומין שבסתר כו' וזה האיש לא קבל עליו את המומין ואם קדשה סתם וכנסה סתם ונמצאו בה מומין תצא בלא כתובה ומיהו גט בעיא כדמפרש בגמרא בפרק המדיר</w:t>
      </w:r>
      <w:r>
        <w:rPr>
          <w:rFonts w:cs="Arial" w:hint="cs"/>
          <w:rtl/>
        </w:rPr>
        <w:t>, רשב"ם.</w:t>
      </w:r>
    </w:p>
  </w:footnote>
  <w:footnote w:id="1970">
    <w:p w14:paraId="7F728540" w14:textId="77777777" w:rsidR="00DF1FC7" w:rsidRDefault="00DF1FC7" w:rsidP="002E5BAD">
      <w:pPr>
        <w:pStyle w:val="a5"/>
      </w:pPr>
      <w:r>
        <w:rPr>
          <w:rStyle w:val="a7"/>
        </w:rPr>
        <w:footnoteRef/>
      </w:r>
      <w:r>
        <w:rPr>
          <w:rtl/>
        </w:rPr>
        <w:t xml:space="preserve"> </w:t>
      </w:r>
      <w:r w:rsidRPr="006D7AD8">
        <w:rPr>
          <w:rFonts w:cs="Arial"/>
          <w:rtl/>
        </w:rPr>
        <w:t>שם ונשא עמו בתוך חיקו צנון לנסותה אם תריח ויש מפרשים כותבת נטל בתוך חיקו ולא צנון וקרוב לגליל היה מעשה</w:t>
      </w:r>
      <w:r>
        <w:rPr>
          <w:rFonts w:cs="Arial" w:hint="cs"/>
          <w:rtl/>
        </w:rPr>
        <w:t>, רשב"ם.</w:t>
      </w:r>
    </w:p>
  </w:footnote>
  <w:footnote w:id="1971">
    <w:p w14:paraId="676EF3EA" w14:textId="77777777" w:rsidR="00DF1FC7" w:rsidRDefault="00DF1FC7" w:rsidP="002E5BAD">
      <w:pPr>
        <w:pStyle w:val="a5"/>
      </w:pPr>
      <w:r>
        <w:rPr>
          <w:rStyle w:val="a7"/>
        </w:rPr>
        <w:footnoteRef/>
      </w:r>
      <w:r>
        <w:rPr>
          <w:rtl/>
        </w:rPr>
        <w:t xml:space="preserve"> </w:t>
      </w:r>
      <w:r w:rsidRPr="00197B54">
        <w:rPr>
          <w:rFonts w:cs="Arial"/>
          <w:rtl/>
        </w:rPr>
        <w:t>דרך שחוק</w:t>
      </w:r>
      <w:r>
        <w:rPr>
          <w:rFonts w:cs="Arial" w:hint="cs"/>
          <w:rtl/>
        </w:rPr>
        <w:t>, רשב"ם.</w:t>
      </w:r>
    </w:p>
  </w:footnote>
  <w:footnote w:id="1972">
    <w:p w14:paraId="26904807" w14:textId="77777777" w:rsidR="00DF1FC7" w:rsidRDefault="00DF1FC7" w:rsidP="002E5BAD">
      <w:pPr>
        <w:pStyle w:val="a5"/>
        <w:rPr>
          <w:rtl/>
        </w:rPr>
      </w:pPr>
      <w:r>
        <w:rPr>
          <w:rStyle w:val="a7"/>
        </w:rPr>
        <w:footnoteRef/>
      </w:r>
      <w:r>
        <w:rPr>
          <w:rtl/>
        </w:rPr>
        <w:t xml:space="preserve"> </w:t>
      </w:r>
      <w:r w:rsidRPr="00197B54">
        <w:rPr>
          <w:rFonts w:cs="Arial"/>
          <w:rtl/>
        </w:rPr>
        <w:t>שהן מתוקים ונאכל עם הצנון שהוא חד שכן היה דרכן לאכול תמרים עם הצנון שזה חד וזה מתוק ומתקן זה את זה ולפי שהבינה שלנסותה נתכוין השיבתו דרך שחוק כך וללישנא דאמרי' שנטל עמו כותבת אמרה כותבות דיריחו אני מריח ולא צנון, יריחו נקראת עיר התמרים והיינו כותבות</w:t>
      </w:r>
      <w:r>
        <w:rPr>
          <w:rFonts w:hint="cs"/>
          <w:rtl/>
        </w:rPr>
        <w:t>, רשב"ם.</w:t>
      </w:r>
    </w:p>
  </w:footnote>
  <w:footnote w:id="1973">
    <w:p w14:paraId="0827FD3A" w14:textId="77777777" w:rsidR="00DF1FC7" w:rsidRDefault="00DF1FC7" w:rsidP="002E5BAD">
      <w:pPr>
        <w:pStyle w:val="a5"/>
        <w:rPr>
          <w:rtl/>
        </w:rPr>
      </w:pPr>
      <w:r>
        <w:rPr>
          <w:rStyle w:val="a7"/>
        </w:rPr>
        <w:footnoteRef/>
      </w:r>
      <w:r>
        <w:rPr>
          <w:rtl/>
        </w:rPr>
        <w:t xml:space="preserve"> </w:t>
      </w:r>
      <w:r>
        <w:rPr>
          <w:rFonts w:hint="cs"/>
          <w:rtl/>
        </w:rPr>
        <w:t xml:space="preserve">היינו שהעמידו שם (התוס' בשם ר"ת) את המעשה בגמרא בארוסה. וכתב הדרכ"מ (אות ד) </w:t>
      </w:r>
      <w:r>
        <w:rPr>
          <w:rFonts w:cs="Arial" w:hint="cs"/>
          <w:rtl/>
        </w:rPr>
        <w:t>ש</w:t>
      </w:r>
      <w:r w:rsidRPr="00D03DE5">
        <w:rPr>
          <w:rFonts w:cs="Arial"/>
          <w:rtl/>
        </w:rPr>
        <w:t>כן נראה מסקנת המרדכי שם (סי' תריב)</w:t>
      </w:r>
      <w:r>
        <w:rPr>
          <w:rFonts w:hint="cs"/>
          <w:rtl/>
        </w:rPr>
        <w:t xml:space="preserve">. </w:t>
      </w:r>
      <w:r w:rsidRPr="00E931EF">
        <w:rPr>
          <w:rFonts w:hint="cs"/>
          <w:color w:val="00B0F0"/>
          <w:rtl/>
        </w:rPr>
        <w:t>(וכ"פ בהגה)</w:t>
      </w:r>
    </w:p>
  </w:footnote>
  <w:footnote w:id="1974">
    <w:p w14:paraId="012A54E5" w14:textId="77777777" w:rsidR="00DF1FC7" w:rsidRDefault="00DF1FC7" w:rsidP="002E5BAD">
      <w:pPr>
        <w:pStyle w:val="a5"/>
        <w:rPr>
          <w:rtl/>
        </w:rPr>
      </w:pPr>
      <w:r>
        <w:rPr>
          <w:rStyle w:val="a7"/>
        </w:rPr>
        <w:footnoteRef/>
      </w:r>
      <w:r>
        <w:rPr>
          <w:rtl/>
        </w:rPr>
        <w:t xml:space="preserve"> </w:t>
      </w:r>
      <w:r>
        <w:rPr>
          <w:rFonts w:cs="Arial" w:hint="cs"/>
          <w:rtl/>
        </w:rPr>
        <w:t>ו</w:t>
      </w:r>
      <w:r w:rsidRPr="006262B5">
        <w:rPr>
          <w:rFonts w:cs="Arial"/>
          <w:rtl/>
        </w:rPr>
        <w:t xml:space="preserve">כ"כ הרמב"ם </w:t>
      </w:r>
      <w:r>
        <w:rPr>
          <w:rFonts w:cs="Arial" w:hint="cs"/>
          <w:rtl/>
        </w:rPr>
        <w:t>(</w:t>
      </w:r>
      <w:r>
        <w:rPr>
          <w:rFonts w:cs="Arial"/>
          <w:rtl/>
        </w:rPr>
        <w:t>פכ"ב ה"ו)</w:t>
      </w:r>
      <w:r>
        <w:rPr>
          <w:rFonts w:cs="Arial" w:hint="cs"/>
          <w:rtl/>
        </w:rPr>
        <w:t xml:space="preserve"> </w:t>
      </w:r>
      <w:r w:rsidRPr="006262B5">
        <w:rPr>
          <w:rFonts w:cs="Arial"/>
          <w:rtl/>
        </w:rPr>
        <w:t>הורו הגאונים אשה שחלתה ובקשה מבעלה שיגרשנה ותצא בלא כתובה כדי שלא ירשנה אין שומעין לה ואפי' אמרה אני שונאת אותו ואיני רוצה לעמוד עמו אין שומעין לה</w:t>
      </w:r>
      <w:r>
        <w:rPr>
          <w:rFonts w:cs="Arial" w:hint="cs"/>
          <w:rtl/>
        </w:rPr>
        <w:t xml:space="preserve"> ע"כ, טור. </w:t>
      </w:r>
      <w:r w:rsidRPr="00F03F10">
        <w:rPr>
          <w:rFonts w:cs="Arial"/>
          <w:rtl/>
        </w:rPr>
        <w:t>וכתב ה</w:t>
      </w:r>
      <w:r>
        <w:rPr>
          <w:rFonts w:cs="Arial" w:hint="cs"/>
          <w:rtl/>
        </w:rPr>
        <w:t>ה"מ (שם) שהוראה זו מובאת</w:t>
      </w:r>
      <w:r w:rsidRPr="00F03F10">
        <w:rPr>
          <w:rFonts w:cs="Arial"/>
          <w:rtl/>
        </w:rPr>
        <w:t xml:space="preserve"> בהלכות פרק אף על פי (רי"ף כז.)</w:t>
      </w:r>
      <w:r>
        <w:rPr>
          <w:rFonts w:cs="Arial" w:hint="cs"/>
          <w:rtl/>
        </w:rPr>
        <w:t>.</w:t>
      </w:r>
      <w:r w:rsidRPr="00F03F10">
        <w:rPr>
          <w:rFonts w:cs="Arial"/>
          <w:rtl/>
        </w:rPr>
        <w:t xml:space="preserve"> ודע שלפי שיטתינו שאין כופין הבעל לגרש מחמת שום מרד אין צורך להוראה זו שהרי אין כופין הבעל</w:t>
      </w:r>
      <w:r>
        <w:rPr>
          <w:rFonts w:cs="Arial" w:hint="cs"/>
          <w:rtl/>
        </w:rPr>
        <w:t>,</w:t>
      </w:r>
      <w:r w:rsidRPr="00F03F10">
        <w:rPr>
          <w:rFonts w:cs="Arial"/>
          <w:rtl/>
        </w:rPr>
        <w:t xml:space="preserve"> ואם גירשה מעצמו ודאי אבד כתובתה עכ"ל. </w:t>
      </w:r>
      <w:r>
        <w:rPr>
          <w:rFonts w:cs="Arial" w:hint="cs"/>
          <w:rtl/>
        </w:rPr>
        <w:t>ו</w:t>
      </w:r>
      <w:r w:rsidRPr="00F03F10">
        <w:rPr>
          <w:rFonts w:cs="Arial"/>
          <w:rtl/>
        </w:rPr>
        <w:t xml:space="preserve">מה שהביא רבינו </w:t>
      </w:r>
      <w:r>
        <w:rPr>
          <w:rFonts w:cs="Arial" w:hint="cs"/>
          <w:sz w:val="16"/>
          <w:szCs w:val="16"/>
          <w:rtl/>
        </w:rPr>
        <w:t xml:space="preserve">{הטור} </w:t>
      </w:r>
      <w:r w:rsidRPr="00F03F10">
        <w:rPr>
          <w:rFonts w:cs="Arial"/>
          <w:rtl/>
        </w:rPr>
        <w:t>דברי הרמב"ם כדי לסייע להרא"ש איכא למידחי</w:t>
      </w:r>
      <w:r>
        <w:rPr>
          <w:rFonts w:cs="Arial" w:hint="cs"/>
          <w:rtl/>
        </w:rPr>
        <w:t>,</w:t>
      </w:r>
      <w:r w:rsidRPr="00F03F10">
        <w:rPr>
          <w:rFonts w:cs="Arial"/>
          <w:rtl/>
        </w:rPr>
        <w:t xml:space="preserve"> דשאני התם שהוא אינו רוצה לגרשה</w:t>
      </w:r>
      <w:r>
        <w:rPr>
          <w:rFonts w:cs="Arial" w:hint="cs"/>
          <w:rtl/>
        </w:rPr>
        <w:t>,</w:t>
      </w:r>
      <w:r w:rsidRPr="00F03F10">
        <w:rPr>
          <w:rFonts w:cs="Arial"/>
          <w:rtl/>
        </w:rPr>
        <w:t xml:space="preserve"> ואע</w:t>
      </w:r>
      <w:r>
        <w:rPr>
          <w:rFonts w:cs="Arial" w:hint="cs"/>
          <w:rtl/>
        </w:rPr>
        <w:t>"</w:t>
      </w:r>
      <w:r w:rsidRPr="00F03F10">
        <w:rPr>
          <w:rFonts w:cs="Arial"/>
          <w:rtl/>
        </w:rPr>
        <w:t>פ שהיא רוצה להתגרש לא הפסיד הוא זכותו בשביל כך</w:t>
      </w:r>
      <w:r>
        <w:rPr>
          <w:rFonts w:cs="Arial" w:hint="cs"/>
          <w:rtl/>
        </w:rPr>
        <w:t>, ב"י.</w:t>
      </w:r>
      <w:r>
        <w:rPr>
          <w:rFonts w:hint="cs"/>
          <w:rtl/>
        </w:rPr>
        <w:t xml:space="preserve"> ומענין לענין, כתב הדרכ"מ (אות ה) שמדברי הה"מ </w:t>
      </w:r>
      <w:r w:rsidRPr="00D9440F">
        <w:rPr>
          <w:rFonts w:cs="Arial"/>
          <w:rtl/>
        </w:rPr>
        <w:t>שמעינן דאם היא מורדת ומתה</w:t>
      </w:r>
      <w:r>
        <w:rPr>
          <w:rFonts w:cs="Arial" w:hint="cs"/>
          <w:rtl/>
        </w:rPr>
        <w:t xml:space="preserve"> -</w:t>
      </w:r>
      <w:r w:rsidRPr="00D9440F">
        <w:rPr>
          <w:rFonts w:cs="Arial"/>
          <w:rtl/>
        </w:rPr>
        <w:t xml:space="preserve"> יורשה</w:t>
      </w:r>
      <w:r>
        <w:rPr>
          <w:rFonts w:cs="Arial" w:hint="cs"/>
          <w:rtl/>
        </w:rPr>
        <w:t>,</w:t>
      </w:r>
      <w:r w:rsidRPr="00D9440F">
        <w:rPr>
          <w:rFonts w:cs="Arial"/>
          <w:rtl/>
        </w:rPr>
        <w:t xml:space="preserve"> וכן הוא לעיל סימן ע"ז (עמ' שמג)</w:t>
      </w:r>
      <w:r>
        <w:rPr>
          <w:rFonts w:cs="Arial" w:hint="cs"/>
          <w:rtl/>
        </w:rPr>
        <w:t>.</w:t>
      </w:r>
      <w:r>
        <w:rPr>
          <w:rFonts w:hint="cs"/>
          <w:rtl/>
        </w:rPr>
        <w:t xml:space="preserve"> </w:t>
      </w:r>
      <w:r w:rsidRPr="00E931EF">
        <w:rPr>
          <w:rFonts w:hint="cs"/>
          <w:color w:val="00B0F0"/>
          <w:rtl/>
        </w:rPr>
        <w:t>(וכ"פ בהגה)</w:t>
      </w:r>
    </w:p>
  </w:footnote>
  <w:footnote w:id="1975">
    <w:p w14:paraId="500778DB" w14:textId="77777777" w:rsidR="00DF1FC7" w:rsidRDefault="00DF1FC7" w:rsidP="002E5BAD">
      <w:pPr>
        <w:pStyle w:val="a5"/>
        <w:rPr>
          <w:rtl/>
        </w:rPr>
      </w:pPr>
      <w:r>
        <w:rPr>
          <w:rStyle w:val="a7"/>
        </w:rPr>
        <w:footnoteRef/>
      </w:r>
      <w:r>
        <w:rPr>
          <w:rtl/>
        </w:rPr>
        <w:t xml:space="preserve"> </w:t>
      </w:r>
      <w:r>
        <w:rPr>
          <w:rFonts w:hint="cs"/>
          <w:rtl/>
        </w:rPr>
        <w:t>ואפשר לומר שהרמ"א לא פסק כהרא"ש וסיעתו אלא בא רק לאפוקי מדעת הרשב"ם. וצ"ע.</w:t>
      </w:r>
    </w:p>
  </w:footnote>
  <w:footnote w:id="1976">
    <w:p w14:paraId="49B45515" w14:textId="77777777" w:rsidR="00DF1FC7" w:rsidRDefault="00DF1FC7" w:rsidP="002E5BAD">
      <w:pPr>
        <w:pStyle w:val="a5"/>
      </w:pPr>
      <w:r>
        <w:rPr>
          <w:rStyle w:val="a7"/>
        </w:rPr>
        <w:footnoteRef/>
      </w:r>
      <w:r>
        <w:rPr>
          <w:rtl/>
        </w:rPr>
        <w:t xml:space="preserve"> </w:t>
      </w:r>
      <w:r w:rsidRPr="00D9440F">
        <w:rPr>
          <w:rFonts w:cs="Arial"/>
          <w:rtl/>
        </w:rPr>
        <w:t>ונראה לי דזהו דוקא לסברת הרשב"ם דסבירא ליה דמשנתן עיניו לגרשה אינו יורשה אבל לדעת החולקים עליו לא</w:t>
      </w:r>
      <w:r>
        <w:rPr>
          <w:rFonts w:cs="Arial" w:hint="cs"/>
          <w:rtl/>
        </w:rPr>
        <w:t>.</w:t>
      </w:r>
      <w:r w:rsidRPr="00D9440F">
        <w:rPr>
          <w:rFonts w:cs="Arial"/>
          <w:rtl/>
        </w:rPr>
        <w:t xml:space="preserve"> וכ"כ הרי"ף והרא"ש בהדיא פרק אף ע"פ (רי"ף כז. רא"ש סי' לה) דאעפ"י שכופין אותו כל זמן שלא גירש אותה יורש אותה</w:t>
      </w:r>
      <w:r>
        <w:rPr>
          <w:rFonts w:cs="Arial" w:hint="cs"/>
          <w:rtl/>
        </w:rPr>
        <w:t>.</w:t>
      </w:r>
      <w:r w:rsidRPr="00D9440F">
        <w:rPr>
          <w:rFonts w:cs="Arial"/>
          <w:rtl/>
        </w:rPr>
        <w:t xml:space="preserve"> מיהו יש לדחות דשאני הנהו שכופין לגרש מדינא דרוצה לנהוג עמה מנהג אישות ולא פשע כלל ולכן אינו מאבד ירושתו מה שאין כן במורד או מדיר דאינו נוהג מנהג אישות ולמיפק קאי לכן אינו יורשה וצ"ע</w:t>
      </w:r>
      <w:r>
        <w:rPr>
          <w:rFonts w:cs="Arial" w:hint="cs"/>
          <w:rtl/>
        </w:rPr>
        <w:t>, דרכ"מ (אות ה).</w:t>
      </w:r>
      <w:r>
        <w:rPr>
          <w:rFonts w:hint="cs"/>
          <w:rtl/>
        </w:rPr>
        <w:t xml:space="preserve"> והח"מ (סקט"ז) כתב שמדברי הרי"ף משמע שכל מיש כופין אותו להוציא, אם מתה קודם הגירושין </w:t>
      </w:r>
      <w:r>
        <w:rPr>
          <w:rtl/>
        </w:rPr>
        <w:t>–</w:t>
      </w:r>
      <w:r>
        <w:rPr>
          <w:rFonts w:hint="cs"/>
          <w:rtl/>
        </w:rPr>
        <w:t xml:space="preserve"> הבעל יורש אותה.</w:t>
      </w:r>
    </w:p>
  </w:footnote>
  <w:footnote w:id="1977">
    <w:p w14:paraId="2630DEAC" w14:textId="77777777" w:rsidR="00DF1FC7" w:rsidRDefault="00DF1FC7" w:rsidP="002E5BAD">
      <w:pPr>
        <w:pStyle w:val="a5"/>
      </w:pPr>
      <w:r>
        <w:rPr>
          <w:rStyle w:val="a7"/>
        </w:rPr>
        <w:footnoteRef/>
      </w:r>
      <w:r>
        <w:rPr>
          <w:rtl/>
        </w:rPr>
        <w:t xml:space="preserve"> </w:t>
      </w:r>
      <w:r w:rsidRPr="005358BD">
        <w:rPr>
          <w:rFonts w:cs="Arial"/>
          <w:rtl/>
        </w:rPr>
        <w:t>לאפוקי מדעת הרשב"ם בפרק מי שמת בעובדא תותרנית דפירוש הסוגיא דאיירי בנישואים ומ"מ אינו יורשה כיון שנתן עיניו לגרשה וכל הפוסקים חולקים ופירשו הסוגיא דאיירי בארוסה</w:t>
      </w:r>
      <w:r>
        <w:rPr>
          <w:rFonts w:cs="Arial" w:hint="cs"/>
          <w:rtl/>
        </w:rPr>
        <w:t>, ב"ש (סקכ"א).</w:t>
      </w:r>
      <w:r w:rsidRPr="005358BD">
        <w:rPr>
          <w:rFonts w:cs="Arial"/>
          <w:rtl/>
        </w:rPr>
        <w:t xml:space="preserve"> </w:t>
      </w:r>
      <w:r w:rsidRPr="00352B7C">
        <w:rPr>
          <w:rFonts w:cs="Arial"/>
          <w:rtl/>
        </w:rPr>
        <w:t>ובס' כרם שלמה כ' שראה בגליון כ"י מהרב מהגאון בעל חתם סופר שכתב</w:t>
      </w:r>
      <w:r>
        <w:rPr>
          <w:rFonts w:cs="Arial" w:hint="cs"/>
          <w:rtl/>
        </w:rPr>
        <w:t>-</w:t>
      </w:r>
      <w:r w:rsidRPr="00352B7C">
        <w:rPr>
          <w:rFonts w:cs="Arial"/>
          <w:rtl/>
        </w:rPr>
        <w:t xml:space="preserve"> נלע"ד דאפילו הרשב"ם נמי לא אמרה אלא קודם תקנת רגמ"ה אבל עכשיו שאין בידו לגרשה לא עדיף הוא מאשה שאמרה לבעלה גרשני דלא מקרי בזה קטטה כמבואר ר"פ האש' שלום עכ"ל. ועי' בס' ישועות יעקב </w:t>
      </w:r>
      <w:r>
        <w:rPr>
          <w:rFonts w:cs="Arial" w:hint="cs"/>
          <w:rtl/>
        </w:rPr>
        <w:t>(</w:t>
      </w:r>
      <w:r w:rsidRPr="00352B7C">
        <w:rPr>
          <w:rFonts w:cs="Arial"/>
          <w:rtl/>
        </w:rPr>
        <w:t>סק"ח</w:t>
      </w:r>
      <w:r>
        <w:rPr>
          <w:rFonts w:cs="Arial" w:hint="cs"/>
          <w:rtl/>
        </w:rPr>
        <w:t>)</w:t>
      </w:r>
      <w:r w:rsidRPr="00352B7C">
        <w:rPr>
          <w:rFonts w:cs="Arial"/>
          <w:rtl/>
        </w:rPr>
        <w:t xml:space="preserve"> שהביא דמהרש"ל </w:t>
      </w:r>
      <w:r>
        <w:rPr>
          <w:rFonts w:cs="Arial" w:hint="cs"/>
          <w:rtl/>
        </w:rPr>
        <w:t>(</w:t>
      </w:r>
      <w:r w:rsidRPr="00352B7C">
        <w:rPr>
          <w:rFonts w:cs="Arial"/>
          <w:rtl/>
        </w:rPr>
        <w:t>פ"ב דגיטין</w:t>
      </w:r>
      <w:r>
        <w:rPr>
          <w:rFonts w:cs="Arial" w:hint="cs"/>
          <w:rtl/>
        </w:rPr>
        <w:t>)</w:t>
      </w:r>
      <w:r w:rsidRPr="00352B7C">
        <w:rPr>
          <w:rFonts w:cs="Arial"/>
          <w:rtl/>
        </w:rPr>
        <w:t xml:space="preserve"> למד מזה לענין אבילו</w:t>
      </w:r>
      <w:r>
        <w:rPr>
          <w:rFonts w:cs="Arial" w:hint="cs"/>
          <w:rtl/>
        </w:rPr>
        <w:t>ת</w:t>
      </w:r>
      <w:r w:rsidRPr="00352B7C">
        <w:rPr>
          <w:rFonts w:cs="Arial"/>
          <w:rtl/>
        </w:rPr>
        <w:t xml:space="preserve"> במעשה שבא לפניו שהתפשרו על הגירושין ומתה האשה</w:t>
      </w:r>
      <w:r>
        <w:rPr>
          <w:rFonts w:cs="Arial" w:hint="cs"/>
          <w:rtl/>
        </w:rPr>
        <w:t>,</w:t>
      </w:r>
      <w:r w:rsidRPr="00352B7C">
        <w:rPr>
          <w:rFonts w:cs="Arial"/>
          <w:rtl/>
        </w:rPr>
        <w:t xml:space="preserve"> והור</w:t>
      </w:r>
      <w:r>
        <w:rPr>
          <w:rFonts w:cs="Arial" w:hint="cs"/>
          <w:rtl/>
        </w:rPr>
        <w:t>ה</w:t>
      </w:r>
      <w:r w:rsidRPr="00352B7C">
        <w:rPr>
          <w:rFonts w:cs="Arial"/>
          <w:rtl/>
        </w:rPr>
        <w:t xml:space="preserve"> הלכה למעשה שלא ינהוג הבעל אבילו</w:t>
      </w:r>
      <w:r>
        <w:rPr>
          <w:rFonts w:cs="Arial" w:hint="cs"/>
          <w:rtl/>
        </w:rPr>
        <w:t>ת,</w:t>
      </w:r>
      <w:r w:rsidRPr="00352B7C">
        <w:rPr>
          <w:rFonts w:cs="Arial"/>
          <w:rtl/>
        </w:rPr>
        <w:t xml:space="preserve"> דהלכה כדברי המיקל באבל</w:t>
      </w:r>
      <w:r>
        <w:rPr>
          <w:rFonts w:cs="Arial" w:hint="cs"/>
          <w:rtl/>
        </w:rPr>
        <w:t>.</w:t>
      </w:r>
      <w:r w:rsidRPr="00352B7C">
        <w:rPr>
          <w:rFonts w:cs="Arial"/>
          <w:rtl/>
        </w:rPr>
        <w:t xml:space="preserve"> והסכים עמו חכם גדול מארץ ישראל (עיין בס' ב"מ מזה)</w:t>
      </w:r>
      <w:r>
        <w:rPr>
          <w:rFonts w:cs="Arial" w:hint="cs"/>
          <w:rtl/>
        </w:rPr>
        <w:t>.</w:t>
      </w:r>
      <w:r w:rsidRPr="00352B7C">
        <w:rPr>
          <w:rFonts w:cs="Arial"/>
          <w:rtl/>
        </w:rPr>
        <w:t xml:space="preserve"> והוא ז"ל </w:t>
      </w:r>
      <w:r>
        <w:rPr>
          <w:rFonts w:cs="Arial" w:hint="cs"/>
          <w:sz w:val="16"/>
          <w:szCs w:val="16"/>
          <w:rtl/>
        </w:rPr>
        <w:t xml:space="preserve">{הישועות יעקב} </w:t>
      </w:r>
      <w:r w:rsidRPr="00352B7C">
        <w:rPr>
          <w:rFonts w:cs="Arial"/>
          <w:rtl/>
        </w:rPr>
        <w:t>כתב על זה</w:t>
      </w:r>
      <w:r>
        <w:rPr>
          <w:rFonts w:cs="Arial" w:hint="cs"/>
          <w:rtl/>
        </w:rPr>
        <w:t>-</w:t>
      </w:r>
      <w:r w:rsidRPr="00352B7C">
        <w:rPr>
          <w:rFonts w:cs="Arial"/>
          <w:rtl/>
        </w:rPr>
        <w:t xml:space="preserve"> הנה זה ימים אירע מעשה בא</w:t>
      </w:r>
      <w:r>
        <w:rPr>
          <w:rFonts w:cs="Arial" w:hint="cs"/>
          <w:rtl/>
        </w:rPr>
        <w:t>חד</w:t>
      </w:r>
      <w:r w:rsidRPr="00352B7C">
        <w:rPr>
          <w:rFonts w:cs="Arial"/>
          <w:rtl/>
        </w:rPr>
        <w:t xml:space="preserve"> שקיבל התרה ממאה רבנים וזיכה גט לאשתו</w:t>
      </w:r>
      <w:r>
        <w:rPr>
          <w:rFonts w:cs="Arial" w:hint="cs"/>
          <w:rtl/>
        </w:rPr>
        <w:t>,</w:t>
      </w:r>
      <w:r w:rsidRPr="00352B7C">
        <w:rPr>
          <w:rFonts w:cs="Arial"/>
          <w:rtl/>
        </w:rPr>
        <w:t xml:space="preserve"> וביני ביני מתה עליו אשתו</w:t>
      </w:r>
      <w:r>
        <w:rPr>
          <w:rFonts w:cs="Arial" w:hint="cs"/>
          <w:rtl/>
        </w:rPr>
        <w:t>,</w:t>
      </w:r>
      <w:r w:rsidRPr="00352B7C">
        <w:rPr>
          <w:rFonts w:cs="Arial"/>
          <w:rtl/>
        </w:rPr>
        <w:t xml:space="preserve"> ואמרתי דבזה כדאי מהרש"ל לסמוך עליו שלא לנהוג אבילו</w:t>
      </w:r>
      <w:r>
        <w:rPr>
          <w:rFonts w:cs="Arial" w:hint="cs"/>
          <w:rtl/>
        </w:rPr>
        <w:t>ת</w:t>
      </w:r>
      <w:r w:rsidRPr="00352B7C">
        <w:rPr>
          <w:rFonts w:cs="Arial"/>
          <w:rtl/>
        </w:rPr>
        <w:t xml:space="preserve"> כלל כיון שכבר זיכה לה הגט ע"ש</w:t>
      </w:r>
      <w:r>
        <w:rPr>
          <w:rFonts w:cs="Arial" w:hint="cs"/>
          <w:rtl/>
        </w:rPr>
        <w:t>, פת"ש (סק"ח).</w:t>
      </w:r>
    </w:p>
  </w:footnote>
  <w:footnote w:id="1978">
    <w:p w14:paraId="3BDB305F" w14:textId="77777777" w:rsidR="00DF1FC7" w:rsidRDefault="00DF1FC7" w:rsidP="002E5BAD">
      <w:pPr>
        <w:pStyle w:val="a5"/>
      </w:pPr>
      <w:r>
        <w:rPr>
          <w:rStyle w:val="a7"/>
        </w:rPr>
        <w:footnoteRef/>
      </w:r>
      <w:r>
        <w:rPr>
          <w:rtl/>
        </w:rPr>
        <w:t xml:space="preserve"> </w:t>
      </w:r>
      <w:r w:rsidRPr="007F201D">
        <w:rPr>
          <w:rFonts w:cs="Arial"/>
          <w:rtl/>
        </w:rPr>
        <w:t>אף על גב דלענין קדושין צריכה גט מספק מ"מ לענין ממון הירושה אוקי ממון בחזקתה ואף שלא נתברר שהיה בה מום מ"מ הודאת הבעל כמא' עדים דמי</w:t>
      </w:r>
      <w:r>
        <w:rPr>
          <w:rFonts w:cs="Arial" w:hint="cs"/>
          <w:rtl/>
        </w:rPr>
        <w:t>, ח"מ (סקט"ו).</w:t>
      </w:r>
    </w:p>
  </w:footnote>
  <w:footnote w:id="1979">
    <w:p w14:paraId="62DB75B7" w14:textId="77777777" w:rsidR="00DF1FC7" w:rsidRDefault="00DF1FC7" w:rsidP="002E5BAD">
      <w:pPr>
        <w:pStyle w:val="a5"/>
        <w:rPr>
          <w:rtl/>
        </w:rPr>
      </w:pPr>
      <w:r>
        <w:rPr>
          <w:rStyle w:val="a7"/>
        </w:rPr>
        <w:footnoteRef/>
      </w:r>
      <w:r>
        <w:rPr>
          <w:rtl/>
        </w:rPr>
        <w:t xml:space="preserve"> </w:t>
      </w:r>
      <w:r w:rsidRPr="007F201D">
        <w:rPr>
          <w:rFonts w:cs="Arial"/>
          <w:rtl/>
        </w:rPr>
        <w:t>לכאורה הוא סותר מ"ש לפני זה בנתן עיניו לגרשה דהא מסתמ</w:t>
      </w:r>
      <w:r>
        <w:rPr>
          <w:rFonts w:cs="Arial" w:hint="cs"/>
          <w:rtl/>
        </w:rPr>
        <w:t>א</w:t>
      </w:r>
      <w:r w:rsidRPr="007F201D">
        <w:rPr>
          <w:rFonts w:cs="Arial"/>
          <w:rtl/>
        </w:rPr>
        <w:t xml:space="preserve"> כשנותן עיניו לגרשה אינו נוהג עמה מנהג אישות כמבואר לקמן סי' קי"ט</w:t>
      </w:r>
      <w:r>
        <w:rPr>
          <w:rFonts w:cs="Arial" w:hint="cs"/>
          <w:rtl/>
        </w:rPr>
        <w:t>,</w:t>
      </w:r>
      <w:r w:rsidRPr="007F201D">
        <w:rPr>
          <w:rFonts w:cs="Arial"/>
          <w:rtl/>
        </w:rPr>
        <w:t xml:space="preserve"> וכן ראיתי בד"מ שכ' וז"ל דזהו דוקא לסברת רשב"ם</w:t>
      </w:r>
      <w:r>
        <w:rPr>
          <w:rFonts w:cs="Arial" w:hint="cs"/>
          <w:rtl/>
        </w:rPr>
        <w:t>...</w:t>
      </w:r>
      <w:r w:rsidRPr="007F201D">
        <w:rPr>
          <w:rFonts w:cs="Arial"/>
          <w:rtl/>
        </w:rPr>
        <w:t xml:space="preserve"> מיהו יש לדחות</w:t>
      </w:r>
      <w:r>
        <w:rPr>
          <w:rFonts w:cs="Arial" w:hint="cs"/>
          <w:rtl/>
        </w:rPr>
        <w:t>...</w:t>
      </w:r>
      <w:r w:rsidRPr="007F201D">
        <w:rPr>
          <w:rFonts w:cs="Arial"/>
          <w:rtl/>
        </w:rPr>
        <w:t xml:space="preserve"> וצ"ע עכ"ל ד"מ</w:t>
      </w:r>
      <w:r>
        <w:rPr>
          <w:rFonts w:cs="Arial" w:hint="cs"/>
          <w:rtl/>
        </w:rPr>
        <w:t>.</w:t>
      </w:r>
      <w:r w:rsidRPr="007F201D">
        <w:rPr>
          <w:rFonts w:cs="Arial"/>
          <w:rtl/>
        </w:rPr>
        <w:t xml:space="preserve"> ומסתימת לשון הרי"ף שכתב כל מאן דכייפינן ליה לאפוקי וכו' וכללא הוא דמשמע בין במורד בין במדיר אף שכופין להוציא אם מתה קודם הגירושין הבעל ירית לה</w:t>
      </w:r>
      <w:r>
        <w:rPr>
          <w:rFonts w:hint="cs"/>
          <w:rtl/>
        </w:rPr>
        <w:t xml:space="preserve">, ח"מ (סקט"ז). וגם הב"ש כתב שנראה </w:t>
      </w:r>
      <w:r w:rsidRPr="007F201D">
        <w:rPr>
          <w:rFonts w:cs="Arial"/>
          <w:rtl/>
        </w:rPr>
        <w:t xml:space="preserve">לכאורה </w:t>
      </w:r>
      <w:r>
        <w:rPr>
          <w:rFonts w:cs="Arial" w:hint="cs"/>
          <w:rtl/>
        </w:rPr>
        <w:t>ש</w:t>
      </w:r>
      <w:r w:rsidRPr="007F201D">
        <w:rPr>
          <w:rFonts w:cs="Arial"/>
          <w:rtl/>
        </w:rPr>
        <w:t>דעת הש</w:t>
      </w:r>
      <w:r>
        <w:rPr>
          <w:rFonts w:cs="Arial" w:hint="cs"/>
          <w:rtl/>
        </w:rPr>
        <w:t>לט</w:t>
      </w:r>
      <w:r w:rsidRPr="007F201D">
        <w:rPr>
          <w:rFonts w:cs="Arial"/>
          <w:rtl/>
        </w:rPr>
        <w:t>"ג יחידאי</w:t>
      </w:r>
      <w:r>
        <w:rPr>
          <w:rFonts w:cs="Arial" w:hint="cs"/>
          <w:rtl/>
        </w:rPr>
        <w:t>ת. וכדמשמע מדברי הרי"ף והרא"ש שהביא הדרכ"מ.</w:t>
      </w:r>
    </w:p>
  </w:footnote>
  <w:footnote w:id="1980">
    <w:p w14:paraId="183FD915" w14:textId="77777777" w:rsidR="00DF1FC7" w:rsidRDefault="00DF1FC7" w:rsidP="002E5BAD">
      <w:pPr>
        <w:pStyle w:val="a5"/>
        <w:rPr>
          <w:rtl/>
        </w:rPr>
      </w:pPr>
      <w:r>
        <w:rPr>
          <w:rStyle w:val="a7"/>
        </w:rPr>
        <w:footnoteRef/>
      </w:r>
      <w:r>
        <w:rPr>
          <w:rtl/>
        </w:rPr>
        <w:t xml:space="preserve"> </w:t>
      </w:r>
      <w:r>
        <w:rPr>
          <w:rFonts w:cs="Arial"/>
          <w:rtl/>
        </w:rPr>
        <w:t>הני נכסים דקאמרי ב"ה הן נכסי צאן ברזל שהכניסה מבית אביה ושמאן בכתובתה ואחריותם עליו אם פיחתו פיחתו לו ואם הותירו הותירו לו</w:t>
      </w:r>
      <w:r>
        <w:rPr>
          <w:rFonts w:cs="Arial" w:hint="cs"/>
          <w:rtl/>
        </w:rPr>
        <w:t>, רשב"ם</w:t>
      </w:r>
      <w:r>
        <w:rPr>
          <w:rFonts w:cs="Arial"/>
          <w:rtl/>
        </w:rPr>
        <w:t>.</w:t>
      </w:r>
    </w:p>
  </w:footnote>
  <w:footnote w:id="1981">
    <w:p w14:paraId="6477A7CF" w14:textId="77777777" w:rsidR="00DF1FC7" w:rsidRDefault="00DF1FC7" w:rsidP="002E5BAD">
      <w:pPr>
        <w:pStyle w:val="a5"/>
        <w:rPr>
          <w:rtl/>
        </w:rPr>
      </w:pPr>
      <w:r>
        <w:rPr>
          <w:rStyle w:val="a7"/>
        </w:rPr>
        <w:footnoteRef/>
      </w:r>
      <w:r>
        <w:rPr>
          <w:rtl/>
        </w:rPr>
        <w:t xml:space="preserve"> </w:t>
      </w:r>
      <w:r>
        <w:rPr>
          <w:rFonts w:cs="Arial"/>
          <w:rtl/>
        </w:rPr>
        <w:t>מנה ומאתים ותוספת שממון הבעל ראוי לינתן לה הלכך מספק לא תוציאנו מחזקת הבעל ומחזקת יורשים</w:t>
      </w:r>
      <w:r>
        <w:rPr>
          <w:rFonts w:cs="Arial" w:hint="cs"/>
          <w:rtl/>
        </w:rPr>
        <w:t>, רשב"ם</w:t>
      </w:r>
      <w:r>
        <w:rPr>
          <w:rFonts w:cs="Arial"/>
          <w:rtl/>
        </w:rPr>
        <w:t>.</w:t>
      </w:r>
    </w:p>
  </w:footnote>
  <w:footnote w:id="1982">
    <w:p w14:paraId="5D6D9E58" w14:textId="77777777" w:rsidR="00DF1FC7" w:rsidRDefault="00DF1FC7" w:rsidP="002E5BAD">
      <w:pPr>
        <w:pStyle w:val="a5"/>
        <w:rPr>
          <w:rtl/>
        </w:rPr>
      </w:pPr>
      <w:r>
        <w:rPr>
          <w:rStyle w:val="a7"/>
        </w:rPr>
        <w:footnoteRef/>
      </w:r>
      <w:r>
        <w:rPr>
          <w:rtl/>
        </w:rPr>
        <w:t xml:space="preserve"> </w:t>
      </w:r>
      <w:r>
        <w:rPr>
          <w:rFonts w:cs="Arial"/>
          <w:rtl/>
        </w:rPr>
        <w:t>הן נכסי מלוג שנפלו מבית האב ואין אחריותן עליו</w:t>
      </w:r>
      <w:r>
        <w:rPr>
          <w:rFonts w:cs="Arial" w:hint="cs"/>
          <w:rtl/>
        </w:rPr>
        <w:t>, רשב"ם</w:t>
      </w:r>
      <w:r>
        <w:rPr>
          <w:rFonts w:cs="Arial"/>
          <w:rtl/>
        </w:rPr>
        <w:t>.</w:t>
      </w:r>
    </w:p>
  </w:footnote>
  <w:footnote w:id="1983">
    <w:p w14:paraId="51607042" w14:textId="77777777" w:rsidR="00DF1FC7" w:rsidRPr="00BD74BB" w:rsidRDefault="00DF1FC7" w:rsidP="002E5BAD">
      <w:pPr>
        <w:pStyle w:val="a5"/>
        <w:rPr>
          <w:rFonts w:cs="Arial"/>
          <w:rtl/>
        </w:rPr>
      </w:pPr>
      <w:r>
        <w:rPr>
          <w:rStyle w:val="a7"/>
        </w:rPr>
        <w:footnoteRef/>
      </w:r>
      <w:r>
        <w:rPr>
          <w:rtl/>
        </w:rPr>
        <w:t xml:space="preserve"> </w:t>
      </w:r>
      <w:r>
        <w:rPr>
          <w:rFonts w:cs="Arial"/>
          <w:rtl/>
        </w:rPr>
        <w:t>שמאביה בא לה</w:t>
      </w:r>
      <w:r>
        <w:rPr>
          <w:rFonts w:cs="Arial" w:hint="cs"/>
          <w:rtl/>
        </w:rPr>
        <w:t>, רשב"ם</w:t>
      </w:r>
      <w:r>
        <w:rPr>
          <w:rFonts w:cs="Arial"/>
          <w:rtl/>
        </w:rPr>
        <w:t>.</w:t>
      </w:r>
    </w:p>
  </w:footnote>
  <w:footnote w:id="1984">
    <w:p w14:paraId="7BBF6917" w14:textId="77777777" w:rsidR="00DF1FC7" w:rsidRDefault="00DF1FC7" w:rsidP="002E5BAD">
      <w:pPr>
        <w:pStyle w:val="a5"/>
        <w:rPr>
          <w:rtl/>
        </w:rPr>
      </w:pPr>
      <w:r>
        <w:rPr>
          <w:rStyle w:val="a7"/>
        </w:rPr>
        <w:footnoteRef/>
      </w:r>
      <w:r>
        <w:rPr>
          <w:rtl/>
        </w:rPr>
        <w:t xml:space="preserve"> </w:t>
      </w:r>
      <w:r>
        <w:rPr>
          <w:rFonts w:cs="Arial"/>
          <w:rtl/>
        </w:rPr>
        <w:t xml:space="preserve">פשוט הוא </w:t>
      </w:r>
      <w:r w:rsidRPr="004B1BD3">
        <w:rPr>
          <w:rFonts w:cs="Arial"/>
          <w:sz w:val="16"/>
          <w:szCs w:val="16"/>
          <w:rtl/>
        </w:rPr>
        <w:t xml:space="preserve">[בדק הבית] </w:t>
      </w:r>
      <w:r>
        <w:rPr>
          <w:rFonts w:cs="Arial"/>
          <w:rtl/>
        </w:rPr>
        <w:t xml:space="preserve">לכאורה אבל לפירוש הר"ש מנייד דלא חיישינן להתפסת צררי במת פתאום כמו שנתבאר בסימן צ"ו אין צריך לידחק בכך </w:t>
      </w:r>
      <w:r w:rsidRPr="004B1BD3">
        <w:rPr>
          <w:rFonts w:cs="Arial"/>
          <w:sz w:val="16"/>
          <w:szCs w:val="16"/>
          <w:rtl/>
        </w:rPr>
        <w:t>[עד כאן]</w:t>
      </w:r>
      <w:r>
        <w:rPr>
          <w:rFonts w:hint="cs"/>
          <w:rtl/>
        </w:rPr>
        <w:t>, ב"י.</w:t>
      </w:r>
    </w:p>
  </w:footnote>
  <w:footnote w:id="1985">
    <w:p w14:paraId="792FA4BE" w14:textId="77777777" w:rsidR="00DF1FC7" w:rsidRDefault="00DF1FC7" w:rsidP="002E5BAD">
      <w:pPr>
        <w:pStyle w:val="a5"/>
        <w:rPr>
          <w:rtl/>
        </w:rPr>
      </w:pPr>
      <w:r>
        <w:rPr>
          <w:rStyle w:val="a7"/>
        </w:rPr>
        <w:footnoteRef/>
      </w:r>
      <w:r>
        <w:rPr>
          <w:rtl/>
        </w:rPr>
        <w:t xml:space="preserve"> </w:t>
      </w:r>
      <w:r w:rsidRPr="009B4B1E">
        <w:rPr>
          <w:rFonts w:cs="Arial"/>
          <w:rtl/>
        </w:rPr>
        <w:t>אבל אם אין לו בנים אלא ממנה אין נ"מ מזה דהא הבנים יורשים הכל אבל אם יש לו בן מאשה הראשונה ובן מאשה זו שייך דין זה אע</w:t>
      </w:r>
      <w:r>
        <w:rPr>
          <w:rFonts w:cs="Arial" w:hint="cs"/>
          <w:rtl/>
        </w:rPr>
        <w:t>"</w:t>
      </w:r>
      <w:r w:rsidRPr="009B4B1E">
        <w:rPr>
          <w:rFonts w:cs="Arial"/>
          <w:rtl/>
        </w:rPr>
        <w:t>ג דבן מאשה זו יורש בוודאי חצי הכתובה ונ"מ ונצ"ב לא אמרינן כיון דהוא יורש ודאי במקצת יורש הכל ועיין בח"ה סימן ר"פ</w:t>
      </w:r>
      <w:r>
        <w:rPr>
          <w:rFonts w:hint="cs"/>
          <w:rtl/>
        </w:rPr>
        <w:t>, ב"ש (סקכ"ה).</w:t>
      </w:r>
    </w:p>
  </w:footnote>
  <w:footnote w:id="1986">
    <w:p w14:paraId="33D003F0" w14:textId="77777777" w:rsidR="00DF1FC7" w:rsidRDefault="00DF1FC7" w:rsidP="002E5BAD">
      <w:pPr>
        <w:pStyle w:val="a5"/>
        <w:rPr>
          <w:rtl/>
        </w:rPr>
      </w:pPr>
      <w:r>
        <w:rPr>
          <w:rStyle w:val="a7"/>
        </w:rPr>
        <w:footnoteRef/>
      </w:r>
      <w:r>
        <w:rPr>
          <w:rtl/>
        </w:rPr>
        <w:t xml:space="preserve"> </w:t>
      </w:r>
      <w:r w:rsidRPr="00CB21A0">
        <w:rPr>
          <w:rFonts w:cs="Arial"/>
          <w:rtl/>
        </w:rPr>
        <w:t>ואף על פי שיחד לה נכסים לכתובה, שאם היתה בחיים לא היתה צריכה לישבע אפ"ה הכתובה והתוס' בחזקת יורשי הבעל כל זמן שלא מת הוא בודאי בחייה עיין בטור</w:t>
      </w:r>
      <w:r>
        <w:rPr>
          <w:rFonts w:hint="cs"/>
          <w:rtl/>
        </w:rPr>
        <w:t>, ח"מ (סקי"ח).</w:t>
      </w:r>
    </w:p>
  </w:footnote>
  <w:footnote w:id="1987">
    <w:p w14:paraId="4E33CBDA" w14:textId="77777777" w:rsidR="00DF1FC7" w:rsidRDefault="00DF1FC7" w:rsidP="002E5BAD">
      <w:pPr>
        <w:pStyle w:val="a5"/>
      </w:pPr>
      <w:r>
        <w:rPr>
          <w:rStyle w:val="a7"/>
        </w:rPr>
        <w:footnoteRef/>
      </w:r>
      <w:r>
        <w:rPr>
          <w:rtl/>
        </w:rPr>
        <w:t xml:space="preserve"> </w:t>
      </w:r>
      <w:r w:rsidRPr="00CB21A0">
        <w:rPr>
          <w:rFonts w:cs="Arial"/>
          <w:rtl/>
        </w:rPr>
        <w:t>אף על פי דק"ל לקמן סי' צ"ו דאם אין נכסי צ"ב בעין אז דברים הבאים מכחן אינה נפרעת אלא בשבועה וכאן שמתה בלא שבוע' אם כן אין אדם מוריש שבועה לבניו כבר כתב הרא"ש בשם הרשב"א פ"ק דבתר' ס"ק ט' דאין דרך להתפיס צררי אלא סמוך למית' ובנפל הבית ומת פתאום לא חיישי' לצררי לכך לא צריכה שבועה ועיין בת"ה סי' ש"ל</w:t>
      </w:r>
      <w:r>
        <w:rPr>
          <w:rFonts w:cs="Arial" w:hint="cs"/>
          <w:rtl/>
        </w:rPr>
        <w:t>, ח"מ (סקי"ט).</w:t>
      </w:r>
      <w:r w:rsidRPr="009B4B1E">
        <w:rPr>
          <w:rtl/>
        </w:rPr>
        <w:t xml:space="preserve"> </w:t>
      </w:r>
      <w:r>
        <w:rPr>
          <w:rFonts w:hint="cs"/>
          <w:rtl/>
        </w:rPr>
        <w:t xml:space="preserve">ותוספת </w:t>
      </w:r>
      <w:r w:rsidRPr="009B4B1E">
        <w:rPr>
          <w:rFonts w:cs="Arial"/>
          <w:rtl/>
        </w:rPr>
        <w:t>היינו מה שהוסיף הוא מעצמו</w:t>
      </w:r>
      <w:r>
        <w:rPr>
          <w:rFonts w:cs="Arial" w:hint="cs"/>
          <w:rtl/>
        </w:rPr>
        <w:t>,</w:t>
      </w:r>
      <w:r w:rsidRPr="009B4B1E">
        <w:rPr>
          <w:rFonts w:cs="Arial"/>
          <w:rtl/>
        </w:rPr>
        <w:t xml:space="preserve"> אבל תוספות שליש על הנדוניא דינו כנצ"ב כמו שכתוב בסי' ק'</w:t>
      </w:r>
      <w:r>
        <w:rPr>
          <w:rFonts w:cs="Arial" w:hint="cs"/>
          <w:rtl/>
        </w:rPr>
        <w:t>, ב"ש (סקכ"ו).</w:t>
      </w:r>
    </w:p>
  </w:footnote>
  <w:footnote w:id="1988">
    <w:p w14:paraId="342056D8" w14:textId="77777777" w:rsidR="00DF1FC7" w:rsidRDefault="00DF1FC7" w:rsidP="002E5BAD">
      <w:pPr>
        <w:pStyle w:val="a5"/>
      </w:pPr>
      <w:r>
        <w:rPr>
          <w:rStyle w:val="a7"/>
        </w:rPr>
        <w:footnoteRef/>
      </w:r>
      <w:r>
        <w:rPr>
          <w:rtl/>
        </w:rPr>
        <w:t xml:space="preserve"> </w:t>
      </w:r>
      <w:r w:rsidRPr="004700E8">
        <w:rPr>
          <w:rFonts w:cs="Arial"/>
          <w:rtl/>
        </w:rPr>
        <w:t>אלמנה היתה</w:t>
      </w:r>
      <w:r>
        <w:rPr>
          <w:rFonts w:cs="Arial" w:hint="cs"/>
          <w:rtl/>
        </w:rPr>
        <w:t>,</w:t>
      </w:r>
      <w:r w:rsidRPr="004700E8">
        <w:rPr>
          <w:rFonts w:cs="Arial"/>
          <w:rtl/>
        </w:rPr>
        <w:t xml:space="preserve"> ובאת להנשא</w:t>
      </w:r>
      <w:r>
        <w:rPr>
          <w:rFonts w:cs="Arial" w:hint="cs"/>
          <w:rtl/>
        </w:rPr>
        <w:t>,</w:t>
      </w:r>
      <w:r w:rsidRPr="004700E8">
        <w:rPr>
          <w:rFonts w:cs="Arial"/>
          <w:rtl/>
        </w:rPr>
        <w:t xml:space="preserve"> והיתה מקדמת ונותנתן לבתה כדי להבריח זכות בעלה מהם שלא יזכה בהם</w:t>
      </w:r>
      <w:r>
        <w:rPr>
          <w:rFonts w:cs="Arial" w:hint="cs"/>
          <w:rtl/>
        </w:rPr>
        <w:t>, רש"י. ועוד כתב רש"י (שם באותו ד"ה)</w:t>
      </w:r>
      <w:r w:rsidRPr="004700E8">
        <w:rPr>
          <w:rFonts w:cs="Arial"/>
          <w:rtl/>
        </w:rPr>
        <w:t xml:space="preserve"> </w:t>
      </w:r>
      <w:r>
        <w:rPr>
          <w:rFonts w:cs="Arial" w:hint="cs"/>
          <w:rtl/>
        </w:rPr>
        <w:t xml:space="preserve">וז"ל- </w:t>
      </w:r>
      <w:r w:rsidRPr="004700E8">
        <w:rPr>
          <w:rFonts w:cs="Arial"/>
          <w:rtl/>
        </w:rPr>
        <w:t>והודיעה לעדים שאין מתנה זו מתנה אלא להבריח ולא שתזכה בהם הבת אם תתאלמן היא או תתגרש</w:t>
      </w:r>
      <w:r>
        <w:rPr>
          <w:rFonts w:cs="Arial" w:hint="cs"/>
          <w:sz w:val="16"/>
          <w:szCs w:val="16"/>
          <w:rtl/>
        </w:rPr>
        <w:t xml:space="preserve"> {עכ"ל}</w:t>
      </w:r>
      <w:r>
        <w:rPr>
          <w:rFonts w:cs="Arial" w:hint="cs"/>
          <w:rtl/>
        </w:rPr>
        <w:t xml:space="preserve">. ועל זה </w:t>
      </w:r>
      <w:r>
        <w:rPr>
          <w:rFonts w:cs="Arial"/>
          <w:rtl/>
        </w:rPr>
        <w:t xml:space="preserve">כתב הר"ן (לז. ד"ה גמ' ידועים) </w:t>
      </w:r>
      <w:r>
        <w:rPr>
          <w:rFonts w:cs="Arial" w:hint="cs"/>
          <w:rtl/>
        </w:rPr>
        <w:t>ד</w:t>
      </w:r>
      <w:r>
        <w:rPr>
          <w:rFonts w:cs="Arial"/>
          <w:rtl/>
        </w:rPr>
        <w:t xml:space="preserve">לא נהירא </w:t>
      </w:r>
      <w:r w:rsidRPr="00B32B58">
        <w:rPr>
          <w:rFonts w:cs="Arial" w:hint="cs"/>
          <w:sz w:val="16"/>
          <w:szCs w:val="16"/>
          <w:rtl/>
        </w:rPr>
        <w:t>(</w:t>
      </w:r>
      <w:r w:rsidRPr="00B32B58">
        <w:rPr>
          <w:rFonts w:cs="Arial"/>
          <w:sz w:val="16"/>
          <w:szCs w:val="16"/>
          <w:rtl/>
        </w:rPr>
        <w:t>דהכא פליג רב ענן כדאיתא בגמ</w:t>
      </w:r>
      <w:r>
        <w:rPr>
          <w:rFonts w:cs="Arial" w:hint="cs"/>
          <w:sz w:val="16"/>
          <w:szCs w:val="16"/>
          <w:rtl/>
        </w:rPr>
        <w:t>'</w:t>
      </w:r>
      <w:r w:rsidRPr="00B32B58">
        <w:rPr>
          <w:rFonts w:cs="Arial"/>
          <w:sz w:val="16"/>
          <w:szCs w:val="16"/>
          <w:rtl/>
        </w:rPr>
        <w:t xml:space="preserve"> (עט.)</w:t>
      </w:r>
      <w:r w:rsidRPr="00B32B58">
        <w:rPr>
          <w:rFonts w:cs="Arial" w:hint="cs"/>
          <w:sz w:val="16"/>
          <w:szCs w:val="16"/>
          <w:rtl/>
        </w:rPr>
        <w:t>,</w:t>
      </w:r>
      <w:r w:rsidRPr="00B32B58">
        <w:rPr>
          <w:rFonts w:cs="Arial"/>
          <w:sz w:val="16"/>
          <w:szCs w:val="16"/>
          <w:rtl/>
        </w:rPr>
        <w:t xml:space="preserve"> ואילו גילתה דעתה ליכא מאן דפליג</w:t>
      </w:r>
      <w:r w:rsidRPr="00B32B58">
        <w:rPr>
          <w:rFonts w:cs="Arial" w:hint="cs"/>
          <w:sz w:val="16"/>
          <w:szCs w:val="16"/>
          <w:rtl/>
        </w:rPr>
        <w:t>,</w:t>
      </w:r>
      <w:r w:rsidRPr="00B32B58">
        <w:rPr>
          <w:rFonts w:cs="Arial"/>
          <w:sz w:val="16"/>
          <w:szCs w:val="16"/>
          <w:rtl/>
        </w:rPr>
        <w:t xml:space="preserve"> כדאמרינן בפרק מי שמת (קנא.) אפילו למ"ד מברחת קנה הני מילי היכא דלא גליא דעתה אבל הא גליא דעתה</w:t>
      </w:r>
      <w:r>
        <w:rPr>
          <w:rFonts w:cs="Arial" w:hint="cs"/>
          <w:sz w:val="16"/>
          <w:szCs w:val="16"/>
          <w:rtl/>
        </w:rPr>
        <w:t>)</w:t>
      </w:r>
      <w:r>
        <w:rPr>
          <w:rFonts w:cs="Arial" w:hint="cs"/>
          <w:rtl/>
        </w:rPr>
        <w:t>,</w:t>
      </w:r>
      <w:r>
        <w:rPr>
          <w:rFonts w:cs="Arial"/>
          <w:rtl/>
        </w:rPr>
        <w:t xml:space="preserve"> וגם הרא"ש (שם) כתב על דברי רש"י ולא נהירא לי </w:t>
      </w:r>
      <w:r w:rsidRPr="006A4799">
        <w:rPr>
          <w:rFonts w:cs="Arial" w:hint="cs"/>
          <w:sz w:val="16"/>
          <w:szCs w:val="16"/>
          <w:rtl/>
        </w:rPr>
        <w:t>(</w:t>
      </w:r>
      <w:r w:rsidRPr="006A4799">
        <w:rPr>
          <w:rFonts w:cs="Arial"/>
          <w:sz w:val="16"/>
          <w:szCs w:val="16"/>
          <w:rtl/>
        </w:rPr>
        <w:t>דאם כן אפילו מקצתן נמי כיון דאיכא תנאי</w:t>
      </w:r>
      <w:r w:rsidRPr="006A4799">
        <w:rPr>
          <w:rFonts w:cs="Arial" w:hint="cs"/>
          <w:sz w:val="16"/>
          <w:szCs w:val="16"/>
          <w:rtl/>
        </w:rPr>
        <w:t>.</w:t>
      </w:r>
      <w:r w:rsidRPr="006A4799">
        <w:rPr>
          <w:rFonts w:cs="Arial"/>
          <w:sz w:val="16"/>
          <w:szCs w:val="16"/>
          <w:rtl/>
        </w:rPr>
        <w:t xml:space="preserve"> ועוד דאי איכא עדים אמאי בעי רבא לפלוגי בין ברתה לאחריני</w:t>
      </w:r>
      <w:r w:rsidRPr="006A4799">
        <w:rPr>
          <w:rFonts w:cs="Arial" w:hint="cs"/>
          <w:sz w:val="16"/>
          <w:szCs w:val="16"/>
          <w:rtl/>
        </w:rPr>
        <w:t>.</w:t>
      </w:r>
      <w:r w:rsidRPr="006A4799">
        <w:rPr>
          <w:rFonts w:cs="Arial"/>
          <w:sz w:val="16"/>
          <w:szCs w:val="16"/>
          <w:rtl/>
        </w:rPr>
        <w:t xml:space="preserve"> ועוד אי כתב ידן יוצא ממקום אחר מה מועיל מה שהודיעה לעדים</w:t>
      </w:r>
      <w:r w:rsidRPr="006A4799">
        <w:rPr>
          <w:rFonts w:cs="Arial" w:hint="cs"/>
          <w:sz w:val="16"/>
          <w:szCs w:val="16"/>
          <w:rtl/>
        </w:rPr>
        <w:t>,</w:t>
      </w:r>
      <w:r w:rsidRPr="006A4799">
        <w:rPr>
          <w:rFonts w:cs="Arial"/>
          <w:sz w:val="16"/>
          <w:szCs w:val="16"/>
          <w:rtl/>
        </w:rPr>
        <w:t xml:space="preserve"> לא אתי בעל פה ומרע לשטרא</w:t>
      </w:r>
      <w:r w:rsidRPr="006A4799">
        <w:rPr>
          <w:rFonts w:cs="Arial" w:hint="cs"/>
          <w:sz w:val="16"/>
          <w:szCs w:val="16"/>
          <w:rtl/>
        </w:rPr>
        <w:t>.</w:t>
      </w:r>
      <w:r w:rsidRPr="006A4799">
        <w:rPr>
          <w:rFonts w:cs="Arial"/>
          <w:sz w:val="16"/>
          <w:szCs w:val="16"/>
          <w:rtl/>
        </w:rPr>
        <w:t xml:space="preserve"> ועוד אמרינן בפרק מי שמת אפילו למ"ד מברחת קני הני מילי היכא דלא גליא דעתה דמשום אינסובי והא גליא דעתה והתם לא היה תנאי דאילו היה תנאי לא היה טועה רב ביבי לקיים המתנה</w:t>
      </w:r>
      <w:r w:rsidRPr="006A4799">
        <w:rPr>
          <w:rFonts w:cs="Arial" w:hint="cs"/>
          <w:sz w:val="16"/>
          <w:szCs w:val="16"/>
          <w:rtl/>
        </w:rPr>
        <w:t>,</w:t>
      </w:r>
      <w:r w:rsidRPr="006A4799">
        <w:rPr>
          <w:rFonts w:cs="Arial"/>
          <w:sz w:val="16"/>
          <w:szCs w:val="16"/>
          <w:rtl/>
        </w:rPr>
        <w:t xml:space="preserve"> אלא גילוי דעת שאמרה שהיתה רוצה לינשא והא גילוי דעת מועיל לכו</w:t>
      </w:r>
      <w:r>
        <w:rPr>
          <w:rFonts w:cs="Arial" w:hint="cs"/>
          <w:sz w:val="16"/>
          <w:szCs w:val="16"/>
          <w:rtl/>
        </w:rPr>
        <w:t>"ע</w:t>
      </w:r>
      <w:r w:rsidRPr="006A4799">
        <w:rPr>
          <w:rFonts w:cs="Arial"/>
          <w:sz w:val="16"/>
          <w:szCs w:val="16"/>
          <w:rtl/>
        </w:rPr>
        <w:t xml:space="preserve"> אפילו למ"ד מברחת קנה</w:t>
      </w:r>
      <w:r w:rsidRPr="006A4799">
        <w:rPr>
          <w:rFonts w:cs="Arial" w:hint="cs"/>
          <w:sz w:val="16"/>
          <w:szCs w:val="16"/>
          <w:rtl/>
        </w:rPr>
        <w:t>,</w:t>
      </w:r>
      <w:r w:rsidRPr="006A4799">
        <w:rPr>
          <w:rFonts w:cs="Arial"/>
          <w:sz w:val="16"/>
          <w:szCs w:val="16"/>
          <w:rtl/>
        </w:rPr>
        <w:t xml:space="preserve"> כי ההוא דזבן נכסיה אדעתא למיסק לארץ ישראל</w:t>
      </w:r>
      <w:r w:rsidRPr="006A4799">
        <w:rPr>
          <w:rFonts w:cs="Arial" w:hint="cs"/>
          <w:sz w:val="16"/>
          <w:szCs w:val="16"/>
          <w:rtl/>
        </w:rPr>
        <w:t>.</w:t>
      </w:r>
      <w:r w:rsidRPr="006A4799">
        <w:rPr>
          <w:rFonts w:cs="Arial"/>
          <w:sz w:val="16"/>
          <w:szCs w:val="16"/>
          <w:rtl/>
        </w:rPr>
        <w:t xml:space="preserve"> מכלל</w:t>
      </w:r>
      <w:r>
        <w:rPr>
          <w:rFonts w:cs="Arial" w:hint="cs"/>
          <w:sz w:val="16"/>
          <w:szCs w:val="16"/>
          <w:rtl/>
        </w:rPr>
        <w:t>-)</w:t>
      </w:r>
      <w:r w:rsidRPr="006A4799">
        <w:rPr>
          <w:rFonts w:cs="Arial"/>
          <w:sz w:val="16"/>
          <w:szCs w:val="16"/>
          <w:rtl/>
        </w:rPr>
        <w:t xml:space="preserve"> </w:t>
      </w:r>
      <w:r>
        <w:rPr>
          <w:rFonts w:cs="Arial"/>
          <w:rtl/>
        </w:rPr>
        <w:t>דמברחת אפילו גילוי דעת אין כאן</w:t>
      </w:r>
      <w:r>
        <w:rPr>
          <w:rFonts w:cs="Arial" w:hint="cs"/>
          <w:rtl/>
        </w:rPr>
        <w:t>.</w:t>
      </w:r>
      <w:r>
        <w:rPr>
          <w:rFonts w:cs="Arial"/>
          <w:rtl/>
        </w:rPr>
        <w:t xml:space="preserve"> אלא שידוע לעולם שאשה זו עומדת לינשא וכשכותבת כל נכסיה לאחר אנו אומדין דעתה שלהבריח מבעלה נתכוונה</w:t>
      </w:r>
      <w:r>
        <w:rPr>
          <w:rFonts w:cs="Arial" w:hint="cs"/>
          <w:rtl/>
        </w:rPr>
        <w:t>,</w:t>
      </w:r>
      <w:r>
        <w:rPr>
          <w:rFonts w:cs="Arial"/>
          <w:rtl/>
        </w:rPr>
        <w:t xml:space="preserve"> דלא שביק איניש נפשיה וכו'</w:t>
      </w:r>
      <w:r>
        <w:rPr>
          <w:rFonts w:cs="Arial" w:hint="cs"/>
          <w:rtl/>
        </w:rPr>
        <w:t>.</w:t>
      </w:r>
      <w:r w:rsidRPr="00D079DF">
        <w:rPr>
          <w:rFonts w:cs="Arial"/>
          <w:rtl/>
        </w:rPr>
        <w:t xml:space="preserve"> </w:t>
      </w:r>
      <w:r>
        <w:rPr>
          <w:rFonts w:cs="Arial"/>
          <w:rtl/>
        </w:rPr>
        <w:t>וכן אם נשאת מיד סמוך לנתינת הנכסים</w:t>
      </w:r>
      <w:r>
        <w:rPr>
          <w:rFonts w:cs="Arial" w:hint="cs"/>
          <w:rtl/>
        </w:rPr>
        <w:t>.</w:t>
      </w:r>
      <w:r>
        <w:rPr>
          <w:rFonts w:cs="Arial"/>
          <w:rtl/>
        </w:rPr>
        <w:t xml:space="preserve"> הילכך אמדינן דעתה דנתכוונה להבריח הנכסים מבעלה שלא יאכל הפירות</w:t>
      </w:r>
      <w:r>
        <w:rPr>
          <w:rFonts w:cs="Arial" w:hint="cs"/>
          <w:rtl/>
        </w:rPr>
        <w:t>,</w:t>
      </w:r>
      <w:r>
        <w:rPr>
          <w:rFonts w:cs="Arial"/>
          <w:rtl/>
        </w:rPr>
        <w:t xml:space="preserve"> וגם לא יירשנה אם תמות</w:t>
      </w:r>
      <w:r>
        <w:rPr>
          <w:rFonts w:cs="Arial" w:hint="cs"/>
          <w:rtl/>
        </w:rPr>
        <w:t>,</w:t>
      </w:r>
      <w:r>
        <w:rPr>
          <w:rFonts w:cs="Arial"/>
          <w:rtl/>
        </w:rPr>
        <w:t xml:space="preserve"> ושתוכל למכור פירות כל פעם שתרצה</w:t>
      </w:r>
      <w:r>
        <w:rPr>
          <w:rFonts w:hint="cs"/>
          <w:rtl/>
        </w:rPr>
        <w:t>.</w:t>
      </w:r>
    </w:p>
  </w:footnote>
  <w:footnote w:id="1989">
    <w:p w14:paraId="57B05E7B" w14:textId="77777777" w:rsidR="00DF1FC7" w:rsidRDefault="00DF1FC7" w:rsidP="002E5BAD">
      <w:pPr>
        <w:pStyle w:val="a5"/>
      </w:pPr>
      <w:r>
        <w:rPr>
          <w:rStyle w:val="a7"/>
        </w:rPr>
        <w:footnoteRef/>
      </w:r>
      <w:r>
        <w:rPr>
          <w:rtl/>
        </w:rPr>
        <w:t xml:space="preserve"> </w:t>
      </w:r>
      <w:r w:rsidRPr="006D295A">
        <w:rPr>
          <w:rFonts w:cs="Arial"/>
          <w:rtl/>
        </w:rPr>
        <w:t>לתבוע את בתה להחזיר לה הנכסים והבת הוציאה שטר מתנתה וקרעיה ר"נ</w:t>
      </w:r>
      <w:r>
        <w:rPr>
          <w:rFonts w:cs="Arial" w:hint="cs"/>
          <w:rtl/>
        </w:rPr>
        <w:t>, רש"י.</w:t>
      </w:r>
    </w:p>
  </w:footnote>
  <w:footnote w:id="1990">
    <w:p w14:paraId="24256F80" w14:textId="77777777" w:rsidR="00DF1FC7" w:rsidRDefault="00DF1FC7" w:rsidP="002E5BAD">
      <w:pPr>
        <w:pStyle w:val="a5"/>
      </w:pPr>
      <w:r>
        <w:rPr>
          <w:rStyle w:val="a7"/>
        </w:rPr>
        <w:footnoteRef/>
      </w:r>
      <w:r>
        <w:rPr>
          <w:rtl/>
        </w:rPr>
        <w:t xml:space="preserve"> </w:t>
      </w:r>
      <w:r w:rsidRPr="006D295A">
        <w:rPr>
          <w:rFonts w:cs="Arial"/>
          <w:rtl/>
        </w:rPr>
        <w:t>אינו בקי בדינין ומר עוקבא אב ב"ד הוה</w:t>
      </w:r>
      <w:r>
        <w:rPr>
          <w:rFonts w:cs="Arial" w:hint="cs"/>
          <w:rtl/>
        </w:rPr>
        <w:t>, רש"י.</w:t>
      </w:r>
    </w:p>
  </w:footnote>
  <w:footnote w:id="1991">
    <w:p w14:paraId="4B333AAC" w14:textId="77777777" w:rsidR="00DF1FC7" w:rsidRDefault="00DF1FC7" w:rsidP="002E5BAD">
      <w:pPr>
        <w:pStyle w:val="a5"/>
        <w:rPr>
          <w:rtl/>
        </w:rPr>
      </w:pPr>
      <w:r>
        <w:rPr>
          <w:rStyle w:val="a7"/>
        </w:rPr>
        <w:footnoteRef/>
      </w:r>
      <w:r>
        <w:rPr>
          <w:rtl/>
        </w:rPr>
        <w:t xml:space="preserve"> </w:t>
      </w:r>
      <w:r w:rsidRPr="006D295A">
        <w:rPr>
          <w:rFonts w:cs="Arial"/>
          <w:rtl/>
        </w:rPr>
        <w:t>שירצה המקבל מתנה להחזיק בנכסים על פיו שלא להחזירם לנותן אקרענו ולקמיה פריך הואיל ולאו שטרא הוא היאך הועיל להבריח</w:t>
      </w:r>
      <w:r>
        <w:rPr>
          <w:rFonts w:hint="cs"/>
          <w:rtl/>
        </w:rPr>
        <w:t>, רש"י.</w:t>
      </w:r>
    </w:p>
  </w:footnote>
  <w:footnote w:id="1992">
    <w:p w14:paraId="075EA2AB" w14:textId="77777777" w:rsidR="00DF1FC7" w:rsidRDefault="00DF1FC7" w:rsidP="002E5BAD">
      <w:pPr>
        <w:pStyle w:val="a5"/>
      </w:pPr>
      <w:r>
        <w:rPr>
          <w:rStyle w:val="a7"/>
        </w:rPr>
        <w:footnoteRef/>
      </w:r>
      <w:r>
        <w:rPr>
          <w:rtl/>
        </w:rPr>
        <w:t xml:space="preserve"> </w:t>
      </w:r>
      <w:r w:rsidRPr="006D295A">
        <w:rPr>
          <w:rFonts w:cs="Arial"/>
          <w:rtl/>
        </w:rPr>
        <w:t>רבא לרב נחמן כשקרע אותו שטר היכי סמכת בהא אדשמואל וקרעת ליה</w:t>
      </w:r>
      <w:r>
        <w:rPr>
          <w:rFonts w:cs="Arial" w:hint="cs"/>
          <w:rtl/>
        </w:rPr>
        <w:t>, רש"י.</w:t>
      </w:r>
    </w:p>
  </w:footnote>
  <w:footnote w:id="1993">
    <w:p w14:paraId="549326DA" w14:textId="77777777" w:rsidR="00DF1FC7" w:rsidRDefault="00DF1FC7" w:rsidP="002E5BAD">
      <w:pPr>
        <w:pStyle w:val="a5"/>
        <w:rPr>
          <w:rtl/>
        </w:rPr>
      </w:pPr>
      <w:r>
        <w:rPr>
          <w:rStyle w:val="a7"/>
        </w:rPr>
        <w:footnoteRef/>
      </w:r>
      <w:r>
        <w:rPr>
          <w:rtl/>
        </w:rPr>
        <w:t xml:space="preserve"> </w:t>
      </w:r>
      <w:r w:rsidRPr="006D295A">
        <w:rPr>
          <w:rFonts w:cs="Arial"/>
          <w:rtl/>
        </w:rPr>
        <w:t>אמר שמואל אקרענו</w:t>
      </w:r>
      <w:r>
        <w:rPr>
          <w:rFonts w:hint="cs"/>
          <w:rtl/>
        </w:rPr>
        <w:t>, רש"י.</w:t>
      </w:r>
    </w:p>
  </w:footnote>
  <w:footnote w:id="1994">
    <w:p w14:paraId="2C4663E5" w14:textId="77777777" w:rsidR="00DF1FC7" w:rsidRDefault="00DF1FC7" w:rsidP="002E5BAD">
      <w:pPr>
        <w:pStyle w:val="a5"/>
        <w:rPr>
          <w:rtl/>
        </w:rPr>
      </w:pPr>
      <w:r>
        <w:rPr>
          <w:rStyle w:val="a7"/>
        </w:rPr>
        <w:footnoteRef/>
      </w:r>
      <w:r>
        <w:rPr>
          <w:rtl/>
        </w:rPr>
        <w:t xml:space="preserve"> </w:t>
      </w:r>
      <w:r w:rsidRPr="006D295A">
        <w:rPr>
          <w:rFonts w:cs="Arial"/>
          <w:rtl/>
        </w:rPr>
        <w:t>ולא גמר להקנותו אלא בעוד שהוא דואג מאחרים שלא יחזיקו בהם</w:t>
      </w:r>
      <w:r>
        <w:rPr>
          <w:rFonts w:hint="cs"/>
          <w:rtl/>
        </w:rPr>
        <w:t>, רש"י.</w:t>
      </w:r>
    </w:p>
  </w:footnote>
  <w:footnote w:id="1995">
    <w:p w14:paraId="237314D8" w14:textId="77777777" w:rsidR="00DF1FC7" w:rsidRDefault="00DF1FC7" w:rsidP="002E5BAD">
      <w:pPr>
        <w:pStyle w:val="a5"/>
        <w:rPr>
          <w:rtl/>
        </w:rPr>
      </w:pPr>
      <w:r>
        <w:rPr>
          <w:rStyle w:val="a7"/>
        </w:rPr>
        <w:footnoteRef/>
      </w:r>
      <w:r>
        <w:rPr>
          <w:rtl/>
        </w:rPr>
        <w:t xml:space="preserve"> </w:t>
      </w:r>
      <w:r w:rsidRPr="006D295A">
        <w:rPr>
          <w:rFonts w:cs="Arial"/>
          <w:rtl/>
        </w:rPr>
        <w:t>בנותנתן לאיש נכרי איכא למימר דלא גמרה ואקניא</w:t>
      </w:r>
      <w:r>
        <w:rPr>
          <w:rFonts w:hint="cs"/>
          <w:rtl/>
        </w:rPr>
        <w:t>, רש"י.</w:t>
      </w:r>
    </w:p>
  </w:footnote>
  <w:footnote w:id="1996">
    <w:p w14:paraId="10F37558" w14:textId="77777777" w:rsidR="00DF1FC7" w:rsidRDefault="00DF1FC7" w:rsidP="002E5BAD">
      <w:pPr>
        <w:pStyle w:val="a5"/>
      </w:pPr>
      <w:r>
        <w:rPr>
          <w:rStyle w:val="a7"/>
        </w:rPr>
        <w:footnoteRef/>
      </w:r>
      <w:r>
        <w:rPr>
          <w:rtl/>
        </w:rPr>
        <w:t xml:space="preserve"> </w:t>
      </w:r>
      <w:r w:rsidRPr="006D295A">
        <w:rPr>
          <w:rFonts w:cs="Arial"/>
          <w:rtl/>
        </w:rPr>
        <w:t>מתנה חלוטה</w:t>
      </w:r>
      <w:r>
        <w:rPr>
          <w:rFonts w:cs="Arial" w:hint="cs"/>
          <w:rtl/>
        </w:rPr>
        <w:t>, רש"י.</w:t>
      </w:r>
    </w:p>
  </w:footnote>
  <w:footnote w:id="1997">
    <w:p w14:paraId="66E96065" w14:textId="77777777" w:rsidR="00DF1FC7" w:rsidRDefault="00DF1FC7" w:rsidP="002E5BAD">
      <w:pPr>
        <w:pStyle w:val="a5"/>
        <w:rPr>
          <w:rtl/>
        </w:rPr>
      </w:pPr>
      <w:r>
        <w:rPr>
          <w:rStyle w:val="a7"/>
        </w:rPr>
        <w:footnoteRef/>
      </w:r>
      <w:r>
        <w:rPr>
          <w:rtl/>
        </w:rPr>
        <w:t xml:space="preserve"> </w:t>
      </w:r>
      <w:r w:rsidRPr="006D295A">
        <w:rPr>
          <w:rFonts w:cs="Arial"/>
          <w:rtl/>
        </w:rPr>
        <w:t>שטר פיוסים שמפייסתו לקבל מתנה זו להפקיע זכות בעלה קודם נישואין ולא שיזכה מקבל זה בהם</w:t>
      </w:r>
      <w:r>
        <w:rPr>
          <w:rFonts w:hint="cs"/>
          <w:rtl/>
        </w:rPr>
        <w:t>, רש"י.</w:t>
      </w:r>
    </w:p>
  </w:footnote>
  <w:footnote w:id="1998">
    <w:p w14:paraId="22240212" w14:textId="77777777" w:rsidR="00DF1FC7" w:rsidRDefault="00DF1FC7" w:rsidP="002E5BAD">
      <w:pPr>
        <w:pStyle w:val="a5"/>
      </w:pPr>
      <w:r>
        <w:rPr>
          <w:rStyle w:val="a7"/>
        </w:rPr>
        <w:footnoteRef/>
      </w:r>
      <w:r>
        <w:rPr>
          <w:rtl/>
        </w:rPr>
        <w:t xml:space="preserve"> </w:t>
      </w:r>
      <w:r w:rsidRPr="006D295A">
        <w:rPr>
          <w:rFonts w:cs="Arial"/>
          <w:rtl/>
        </w:rPr>
        <w:t>המקבל הזה</w:t>
      </w:r>
      <w:r>
        <w:rPr>
          <w:rFonts w:cs="Arial" w:hint="cs"/>
          <w:rtl/>
        </w:rPr>
        <w:t>, רש"י.</w:t>
      </w:r>
    </w:p>
  </w:footnote>
  <w:footnote w:id="1999">
    <w:p w14:paraId="5A703E49" w14:textId="77777777" w:rsidR="00DF1FC7" w:rsidRDefault="00DF1FC7" w:rsidP="002E5BAD">
      <w:pPr>
        <w:pStyle w:val="a5"/>
      </w:pPr>
      <w:r>
        <w:rPr>
          <w:rStyle w:val="a7"/>
        </w:rPr>
        <w:footnoteRef/>
      </w:r>
      <w:r>
        <w:rPr>
          <w:rtl/>
        </w:rPr>
        <w:t xml:space="preserve"> </w:t>
      </w:r>
      <w:r w:rsidRPr="006D295A">
        <w:rPr>
          <w:rFonts w:cs="Arial"/>
          <w:rtl/>
        </w:rPr>
        <w:t>ומחזיק בהן עולמית</w:t>
      </w:r>
      <w:r>
        <w:rPr>
          <w:rFonts w:cs="Arial" w:hint="cs"/>
          <w:rtl/>
        </w:rPr>
        <w:t>, רש"י.</w:t>
      </w:r>
    </w:p>
  </w:footnote>
  <w:footnote w:id="2000">
    <w:p w14:paraId="1F1256E1" w14:textId="77777777" w:rsidR="00DF1FC7" w:rsidRDefault="00DF1FC7" w:rsidP="002E5BAD">
      <w:pPr>
        <w:pStyle w:val="a5"/>
      </w:pPr>
      <w:r>
        <w:rPr>
          <w:rStyle w:val="a7"/>
        </w:rPr>
        <w:footnoteRef/>
      </w:r>
      <w:r>
        <w:rPr>
          <w:rtl/>
        </w:rPr>
        <w:t xml:space="preserve"> </w:t>
      </w:r>
      <w:r w:rsidRPr="006D295A">
        <w:rPr>
          <w:rFonts w:cs="Arial"/>
          <w:rtl/>
        </w:rPr>
        <w:t>בשטר זה מהיום נתונים לך ולכשארצה</w:t>
      </w:r>
      <w:r>
        <w:rPr>
          <w:rFonts w:cs="Arial" w:hint="cs"/>
          <w:rtl/>
        </w:rPr>
        <w:t>,</w:t>
      </w:r>
      <w:r w:rsidRPr="006D295A">
        <w:rPr>
          <w:rFonts w:cs="Arial"/>
          <w:rtl/>
        </w:rPr>
        <w:t xml:space="preserve"> יש כאן הברחה מבעלה</w:t>
      </w:r>
      <w:r>
        <w:rPr>
          <w:rFonts w:cs="Arial" w:hint="cs"/>
          <w:rtl/>
        </w:rPr>
        <w:t>,</w:t>
      </w:r>
      <w:r w:rsidRPr="006D295A">
        <w:rPr>
          <w:rFonts w:cs="Arial"/>
          <w:rtl/>
        </w:rPr>
        <w:t xml:space="preserve"> שאם בא לזכות תאמר אני רוצה [במתנה</w:t>
      </w:r>
      <w:r>
        <w:rPr>
          <w:rFonts w:cs="Arial" w:hint="cs"/>
          <w:rtl/>
        </w:rPr>
        <w:t>,</w:t>
      </w:r>
      <w:r w:rsidRPr="006D295A">
        <w:rPr>
          <w:rFonts w:cs="Arial"/>
          <w:rtl/>
        </w:rPr>
        <w:t xml:space="preserve"> ונמצא קיימת למפרע</w:t>
      </w:r>
      <w:r>
        <w:rPr>
          <w:rFonts w:cs="Arial" w:hint="cs"/>
          <w:rtl/>
        </w:rPr>
        <w:t>.</w:t>
      </w:r>
      <w:r w:rsidRPr="006D295A">
        <w:rPr>
          <w:rFonts w:cs="Arial"/>
          <w:rtl/>
        </w:rPr>
        <w:t xml:space="preserve"> ואם זה שנכתב שטר יבוא להחזיק</w:t>
      </w:r>
      <w:r>
        <w:rPr>
          <w:rFonts w:cs="Arial" w:hint="cs"/>
          <w:rtl/>
        </w:rPr>
        <w:t>,</w:t>
      </w:r>
      <w:r w:rsidRPr="006D295A">
        <w:rPr>
          <w:rFonts w:cs="Arial"/>
          <w:rtl/>
        </w:rPr>
        <w:t xml:space="preserve"> תאמר איני רוצה]</w:t>
      </w:r>
      <w:r>
        <w:rPr>
          <w:rFonts w:cs="Arial" w:hint="cs"/>
          <w:rtl/>
        </w:rPr>
        <w:t>, רש"י.</w:t>
      </w:r>
      <w:r w:rsidRPr="00BA4D73">
        <w:rPr>
          <w:rFonts w:cs="Arial"/>
          <w:rtl/>
        </w:rPr>
        <w:t xml:space="preserve"> </w:t>
      </w:r>
      <w:r>
        <w:rPr>
          <w:rFonts w:cs="Arial" w:hint="cs"/>
          <w:rtl/>
        </w:rPr>
        <w:t>וכתב הב"י דכן נראה שהרמב"ם (פכ"ב מאישות הכ"ב) מפרש</w:t>
      </w:r>
      <w:r>
        <w:rPr>
          <w:rFonts w:cs="Arial"/>
          <w:rtl/>
        </w:rPr>
        <w:t xml:space="preserve"> </w:t>
      </w:r>
      <w:r w:rsidRPr="00C37E3F">
        <w:rPr>
          <w:rFonts w:cs="Arial" w:hint="cs"/>
          <w:sz w:val="16"/>
          <w:szCs w:val="16"/>
          <w:rtl/>
        </w:rPr>
        <w:t>(</w:t>
      </w:r>
      <w:r w:rsidRPr="00C37E3F">
        <w:rPr>
          <w:rFonts w:cs="Arial"/>
          <w:sz w:val="16"/>
          <w:szCs w:val="16"/>
          <w:rtl/>
        </w:rPr>
        <w:t>וכתב הר"ן (שם) וזה על דרך מאי דאמרינן בקידושין פרק האומר (סג.) דעל מנת שירצה</w:t>
      </w:r>
      <w:r w:rsidRPr="00C37E3F">
        <w:rPr>
          <w:rFonts w:cs="Arial" w:hint="cs"/>
          <w:sz w:val="16"/>
          <w:szCs w:val="16"/>
          <w:rtl/>
        </w:rPr>
        <w:t>,</w:t>
      </w:r>
      <w:r w:rsidRPr="00C37E3F">
        <w:rPr>
          <w:rFonts w:cs="Arial"/>
          <w:sz w:val="16"/>
          <w:szCs w:val="16"/>
          <w:rtl/>
        </w:rPr>
        <w:t xml:space="preserve"> היינו דאמר אין</w:t>
      </w:r>
      <w:r w:rsidRPr="00C37E3F">
        <w:rPr>
          <w:rFonts w:cs="Arial" w:hint="cs"/>
          <w:sz w:val="16"/>
          <w:szCs w:val="16"/>
          <w:rtl/>
        </w:rPr>
        <w:t>,</w:t>
      </w:r>
      <w:r w:rsidRPr="00C37E3F">
        <w:rPr>
          <w:rFonts w:cs="Arial"/>
          <w:sz w:val="16"/>
          <w:szCs w:val="16"/>
          <w:rtl/>
        </w:rPr>
        <w:t xml:space="preserve"> וכל היכא שאמר אין </w:t>
      </w:r>
      <w:r w:rsidRPr="00C37E3F">
        <w:rPr>
          <w:rFonts w:cs="Arial" w:hint="cs"/>
          <w:sz w:val="16"/>
          <w:szCs w:val="16"/>
          <w:rtl/>
        </w:rPr>
        <w:t xml:space="preserve">- </w:t>
      </w:r>
      <w:r w:rsidRPr="00C37E3F">
        <w:rPr>
          <w:rFonts w:cs="Arial"/>
          <w:sz w:val="16"/>
          <w:szCs w:val="16"/>
          <w:rtl/>
        </w:rPr>
        <w:t>קנה למפרע אפילו הם מטלטלים ובשעה שתרצה עומדים ברשות הרבים</w:t>
      </w:r>
      <w:r w:rsidRPr="00C37E3F">
        <w:rPr>
          <w:rFonts w:cs="Arial" w:hint="cs"/>
          <w:sz w:val="16"/>
          <w:szCs w:val="16"/>
          <w:rtl/>
        </w:rPr>
        <w:t>,</w:t>
      </w:r>
      <w:r w:rsidRPr="00C37E3F">
        <w:rPr>
          <w:rFonts w:cs="Arial"/>
          <w:sz w:val="16"/>
          <w:szCs w:val="16"/>
          <w:rtl/>
        </w:rPr>
        <w:t xml:space="preserve"> כדמוכח בריש המפקיד (ב"מ לד.)</w:t>
      </w:r>
      <w:r>
        <w:rPr>
          <w:rFonts w:cs="Arial" w:hint="cs"/>
          <w:rtl/>
        </w:rPr>
        <w:t>.</w:t>
      </w:r>
      <w:r>
        <w:rPr>
          <w:rFonts w:cs="Arial"/>
          <w:rtl/>
        </w:rPr>
        <w:t xml:space="preserve"> וכ</w:t>
      </w:r>
      <w:r>
        <w:rPr>
          <w:rFonts w:cs="Arial" w:hint="cs"/>
          <w:rtl/>
        </w:rPr>
        <w:t>"</w:t>
      </w:r>
      <w:r>
        <w:rPr>
          <w:rFonts w:cs="Arial"/>
          <w:rtl/>
        </w:rPr>
        <w:t>כ הה</w:t>
      </w:r>
      <w:r>
        <w:rPr>
          <w:rFonts w:cs="Arial" w:hint="cs"/>
          <w:rtl/>
        </w:rPr>
        <w:t>"</w:t>
      </w:r>
      <w:r>
        <w:rPr>
          <w:rFonts w:cs="Arial"/>
          <w:rtl/>
        </w:rPr>
        <w:t>מ (שם) בשם הרשב"א (כתובות עט. ד"ה וחכמים)</w:t>
      </w:r>
      <w:r>
        <w:rPr>
          <w:rFonts w:cs="Arial" w:hint="cs"/>
          <w:rtl/>
        </w:rPr>
        <w:t>, וכתב הה"מ שכן עיקר</w:t>
      </w:r>
      <w:r>
        <w:rPr>
          <w:rFonts w:cs="Arial"/>
          <w:rtl/>
        </w:rPr>
        <w:t>.</w:t>
      </w:r>
      <w:r>
        <w:rPr>
          <w:rFonts w:cs="Arial" w:hint="cs"/>
          <w:rtl/>
        </w:rPr>
        <w:t xml:space="preserve"> אך הרא"ש</w:t>
      </w:r>
      <w:r>
        <w:rPr>
          <w:rFonts w:cs="Arial"/>
          <w:rtl/>
        </w:rPr>
        <w:t xml:space="preserve">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כתב '</w:t>
      </w:r>
      <w:r>
        <w:rPr>
          <w:rFonts w:cs="Arial"/>
          <w:rtl/>
        </w:rPr>
        <w:t>עד שתכתוב לו מהיום לכשארצה</w:t>
      </w:r>
      <w:r>
        <w:rPr>
          <w:rFonts w:cs="Arial" w:hint="cs"/>
          <w:rtl/>
        </w:rPr>
        <w:t>'</w:t>
      </w:r>
      <w:r>
        <w:rPr>
          <w:rFonts w:cs="Arial"/>
          <w:rtl/>
        </w:rPr>
        <w:t xml:space="preserve"> פירוש מהיום תחול המתנה לכשארצה לקיימה</w:t>
      </w:r>
      <w:r>
        <w:rPr>
          <w:rFonts w:cs="Arial" w:hint="cs"/>
          <w:rtl/>
        </w:rPr>
        <w:t>,</w:t>
      </w:r>
      <w:r>
        <w:rPr>
          <w:rFonts w:cs="Arial"/>
          <w:rtl/>
        </w:rPr>
        <w:t xml:space="preserve"> אבל בכל פעם שארצה הרשות בידי לבטלה</w:t>
      </w:r>
      <w:r>
        <w:rPr>
          <w:rFonts w:cs="Arial" w:hint="cs"/>
          <w:rtl/>
        </w:rPr>
        <w:t>.</w:t>
      </w:r>
      <w:r>
        <w:rPr>
          <w:rFonts w:cs="Arial"/>
          <w:rtl/>
        </w:rPr>
        <w:t xml:space="preserve"> וכן כתב הר"ן (לז: ד"ה שטר) בשם ר"ח</w:t>
      </w:r>
      <w:r>
        <w:rPr>
          <w:rFonts w:cs="Arial" w:hint="cs"/>
          <w:rtl/>
        </w:rPr>
        <w:t>.</w:t>
      </w:r>
      <w:r>
        <w:rPr>
          <w:rFonts w:hint="cs"/>
          <w:rtl/>
        </w:rPr>
        <w:t xml:space="preserve"> </w:t>
      </w:r>
    </w:p>
  </w:footnote>
  <w:footnote w:id="2001">
    <w:p w14:paraId="1D9BBFD8" w14:textId="77777777" w:rsidR="00DF1FC7" w:rsidRDefault="00DF1FC7" w:rsidP="002E5BAD">
      <w:pPr>
        <w:pStyle w:val="a5"/>
      </w:pPr>
      <w:r>
        <w:rPr>
          <w:rStyle w:val="a7"/>
        </w:rPr>
        <w:footnoteRef/>
      </w:r>
      <w:r>
        <w:rPr>
          <w:rtl/>
        </w:rPr>
        <w:t xml:space="preserve"> </w:t>
      </w:r>
      <w:r w:rsidRPr="00B26A8D">
        <w:rPr>
          <w:rFonts w:cs="Arial"/>
          <w:rtl/>
        </w:rPr>
        <w:t>תיובתא דשמואל</w:t>
      </w:r>
      <w:r>
        <w:rPr>
          <w:rFonts w:cs="Arial" w:hint="cs"/>
          <w:rtl/>
        </w:rPr>
        <w:t>, רש"י.</w:t>
      </w:r>
    </w:p>
  </w:footnote>
  <w:footnote w:id="2002">
    <w:p w14:paraId="7B1B8D98" w14:textId="77777777" w:rsidR="00DF1FC7" w:rsidRDefault="00DF1FC7" w:rsidP="002E5BAD">
      <w:pPr>
        <w:pStyle w:val="a5"/>
      </w:pPr>
      <w:r>
        <w:rPr>
          <w:rStyle w:val="a7"/>
        </w:rPr>
        <w:footnoteRef/>
      </w:r>
      <w:r>
        <w:rPr>
          <w:rtl/>
        </w:rPr>
        <w:t xml:space="preserve"> </w:t>
      </w:r>
      <w:r w:rsidRPr="00B26A8D">
        <w:rPr>
          <w:rFonts w:cs="Arial"/>
          <w:rtl/>
        </w:rPr>
        <w:t>כי אמר שמואל לא קני בכותבת לו כל נכסיה דכיון דלא שיירה מידי לנפשה אם תתגרש אנן סהדי דלא גמרה ומקניא והא דקתני רצה מצחק בה בכותבת מקצתן</w:t>
      </w:r>
      <w:r>
        <w:rPr>
          <w:rFonts w:cs="Arial" w:hint="cs"/>
          <w:rtl/>
        </w:rPr>
        <w:t>, רש"י.</w:t>
      </w:r>
    </w:p>
  </w:footnote>
  <w:footnote w:id="2003">
    <w:p w14:paraId="6B13EF09" w14:textId="77777777" w:rsidR="00DF1FC7" w:rsidRDefault="00DF1FC7" w:rsidP="002E5BAD">
      <w:pPr>
        <w:pStyle w:val="a5"/>
      </w:pPr>
      <w:r>
        <w:rPr>
          <w:rStyle w:val="a7"/>
        </w:rPr>
        <w:footnoteRef/>
      </w:r>
      <w:r>
        <w:rPr>
          <w:rtl/>
        </w:rPr>
        <w:t xml:space="preserve"> </w:t>
      </w:r>
      <w:r w:rsidRPr="00B26A8D">
        <w:rPr>
          <w:rFonts w:cs="Arial"/>
          <w:rtl/>
        </w:rPr>
        <w:t>לשמואל בכותבת כולן דאמר לא קני</w:t>
      </w:r>
      <w:r>
        <w:rPr>
          <w:rFonts w:cs="Arial" w:hint="cs"/>
          <w:rtl/>
        </w:rPr>
        <w:t>,</w:t>
      </w:r>
      <w:r w:rsidRPr="00B26A8D">
        <w:rPr>
          <w:rFonts w:cs="Arial"/>
          <w:rtl/>
        </w:rPr>
        <w:t xml:space="preserve"> כיון דלא קני מאי הברחה איכא ליקנינהו בעל ויאכל פירות וירשנה אם תמות תחתיו</w:t>
      </w:r>
      <w:r>
        <w:rPr>
          <w:rFonts w:cs="Arial" w:hint="cs"/>
          <w:rtl/>
        </w:rPr>
        <w:t xml:space="preserve">, רש"י. והביא הר"ן (לז: ד"ה הא) דבריו, וכתב וז"ל- אבל </w:t>
      </w:r>
      <w:r w:rsidRPr="001A2DA7">
        <w:rPr>
          <w:rFonts w:cs="Arial"/>
          <w:rtl/>
        </w:rPr>
        <w:t xml:space="preserve">מדברי הרמב"ם ז"ל </w:t>
      </w:r>
      <w:r>
        <w:rPr>
          <w:rFonts w:cs="Arial" w:hint="cs"/>
          <w:rtl/>
        </w:rPr>
        <w:t>(</w:t>
      </w:r>
      <w:r w:rsidRPr="001A2DA7">
        <w:rPr>
          <w:rFonts w:cs="Arial"/>
          <w:rtl/>
        </w:rPr>
        <w:t>בפ</w:t>
      </w:r>
      <w:r>
        <w:rPr>
          <w:rFonts w:cs="Arial" w:hint="cs"/>
          <w:rtl/>
        </w:rPr>
        <w:t>כ"ב</w:t>
      </w:r>
      <w:r w:rsidRPr="001A2DA7">
        <w:rPr>
          <w:rFonts w:cs="Arial"/>
          <w:rtl/>
        </w:rPr>
        <w:t xml:space="preserve"> מהל</w:t>
      </w:r>
      <w:r>
        <w:rPr>
          <w:rFonts w:cs="Arial" w:hint="cs"/>
          <w:rtl/>
        </w:rPr>
        <w:t>'</w:t>
      </w:r>
      <w:r w:rsidRPr="001A2DA7">
        <w:rPr>
          <w:rFonts w:cs="Arial"/>
          <w:rtl/>
        </w:rPr>
        <w:t xml:space="preserve"> אישות</w:t>
      </w:r>
      <w:r>
        <w:rPr>
          <w:rFonts w:cs="Arial" w:hint="cs"/>
          <w:rtl/>
        </w:rPr>
        <w:t>)</w:t>
      </w:r>
      <w:r w:rsidRPr="001A2DA7">
        <w:rPr>
          <w:rFonts w:cs="Arial"/>
          <w:rtl/>
        </w:rPr>
        <w:t xml:space="preserve"> נראה לי דלאו אדשמואל פרכינן</w:t>
      </w:r>
      <w:r>
        <w:rPr>
          <w:rFonts w:cs="Arial" w:hint="cs"/>
          <w:rtl/>
        </w:rPr>
        <w:t>,</w:t>
      </w:r>
      <w:r w:rsidRPr="001A2DA7">
        <w:rPr>
          <w:rFonts w:cs="Arial"/>
          <w:rtl/>
        </w:rPr>
        <w:t xml:space="preserve"> דבמברחת קנה לוקח אם תמות היא בחייו </w:t>
      </w:r>
      <w:r w:rsidRPr="001A2DA7">
        <w:rPr>
          <w:rFonts w:cs="Arial" w:hint="cs"/>
          <w:sz w:val="16"/>
          <w:szCs w:val="16"/>
          <w:rtl/>
        </w:rPr>
        <w:t>(</w:t>
      </w:r>
      <w:r w:rsidRPr="001A2DA7">
        <w:rPr>
          <w:rFonts w:cs="Arial"/>
          <w:sz w:val="16"/>
          <w:szCs w:val="16"/>
          <w:rtl/>
        </w:rPr>
        <w:t>שמתוך אומדן דעת שלה הרי הוא כאילו פרשה שאם הבעל ימות בחייה לא תהא מתנה כלום ואם היא תמות בחיי בעלה שיזכה בה מקבל מתנה אלא שלא רצתה לפרש כן כי היכי דלא תהוי לה איבה</w:t>
      </w:r>
      <w:r>
        <w:rPr>
          <w:rFonts w:cs="Arial" w:hint="cs"/>
          <w:sz w:val="16"/>
          <w:szCs w:val="16"/>
          <w:rtl/>
        </w:rPr>
        <w:t>)</w:t>
      </w:r>
      <w:r>
        <w:rPr>
          <w:rFonts w:cs="Arial" w:hint="cs"/>
          <w:rtl/>
        </w:rPr>
        <w:t>,</w:t>
      </w:r>
      <w:r w:rsidRPr="001A2DA7">
        <w:rPr>
          <w:rFonts w:cs="Arial"/>
          <w:rtl/>
        </w:rPr>
        <w:t xml:space="preserve"> וכי פרכינן ואי לא קננהו לוקח ליקנינהו בעל אמהיום ולכשארצה פרכינן דכיון שמתה ולא אמרה אין נמצא שלא קנה לוקח מעולם ואי הכי ליקנינהו בעל</w:t>
      </w:r>
      <w:r>
        <w:rPr>
          <w:rFonts w:cs="Arial" w:hint="cs"/>
          <w:rtl/>
        </w:rPr>
        <w:t>.</w:t>
      </w:r>
    </w:p>
  </w:footnote>
  <w:footnote w:id="2004">
    <w:p w14:paraId="76C61EFB" w14:textId="77777777" w:rsidR="00DF1FC7" w:rsidRDefault="00DF1FC7" w:rsidP="002E5BAD">
      <w:pPr>
        <w:pStyle w:val="a5"/>
        <w:rPr>
          <w:rtl/>
        </w:rPr>
      </w:pPr>
      <w:r>
        <w:rPr>
          <w:rStyle w:val="a7"/>
        </w:rPr>
        <w:footnoteRef/>
      </w:r>
      <w:r>
        <w:rPr>
          <w:rtl/>
        </w:rPr>
        <w:t xml:space="preserve"> </w:t>
      </w:r>
      <w:r w:rsidRPr="00B26A8D">
        <w:rPr>
          <w:rFonts w:cs="Arial"/>
          <w:rtl/>
        </w:rPr>
        <w:t>שהרי ע"מ שאינן שלה נשאה דסבור שהמתנה גמורה</w:t>
      </w:r>
      <w:r>
        <w:rPr>
          <w:rFonts w:hint="cs"/>
          <w:rtl/>
        </w:rPr>
        <w:t>, רש"י.</w:t>
      </w:r>
    </w:p>
  </w:footnote>
  <w:footnote w:id="2005">
    <w:p w14:paraId="299F86FC" w14:textId="77777777" w:rsidR="00DF1FC7" w:rsidRDefault="00DF1FC7" w:rsidP="002E5BAD">
      <w:pPr>
        <w:pStyle w:val="a5"/>
        <w:rPr>
          <w:rtl/>
        </w:rPr>
      </w:pPr>
      <w:r>
        <w:rPr>
          <w:rStyle w:val="a7"/>
        </w:rPr>
        <w:footnoteRef/>
      </w:r>
      <w:r>
        <w:rPr>
          <w:rtl/>
        </w:rPr>
        <w:t xml:space="preserve"> </w:t>
      </w:r>
      <w:r>
        <w:rPr>
          <w:rFonts w:cs="Arial"/>
          <w:rtl/>
        </w:rPr>
        <w:t xml:space="preserve">וז"ל הרמב"ם </w:t>
      </w:r>
      <w:r>
        <w:rPr>
          <w:rFonts w:cs="Arial" w:hint="cs"/>
          <w:rtl/>
        </w:rPr>
        <w:t xml:space="preserve">שם </w:t>
      </w:r>
      <w:r>
        <w:rPr>
          <w:rFonts w:cs="Arial"/>
          <w:rtl/>
        </w:rPr>
        <w:t>(פ"ו מהל</w:t>
      </w:r>
      <w:r>
        <w:rPr>
          <w:rFonts w:cs="Arial" w:hint="cs"/>
          <w:rtl/>
        </w:rPr>
        <w:t xml:space="preserve">' </w:t>
      </w:r>
      <w:r>
        <w:rPr>
          <w:rFonts w:cs="Arial"/>
          <w:rtl/>
        </w:rPr>
        <w:t>זכיה ומתנה הי"ב)</w:t>
      </w:r>
      <w:r>
        <w:rPr>
          <w:rFonts w:cs="Arial" w:hint="cs"/>
          <w:rtl/>
        </w:rPr>
        <w:t xml:space="preserve">- </w:t>
      </w:r>
      <w:r w:rsidRPr="006B7900">
        <w:rPr>
          <w:rFonts w:cs="Arial"/>
          <w:rtl/>
        </w:rPr>
        <w:t>הרוצה להנשא וכתבה כל נכסיה בין לבנה בין לאחר, ואחר כך נשאת ונתגרשה או שמת בעלה</w:t>
      </w:r>
      <w:r>
        <w:rPr>
          <w:rFonts w:cs="Arial" w:hint="cs"/>
          <w:rtl/>
        </w:rPr>
        <w:t xml:space="preserve"> -</w:t>
      </w:r>
      <w:r w:rsidRPr="006B7900">
        <w:rPr>
          <w:rFonts w:cs="Arial"/>
          <w:rtl/>
        </w:rPr>
        <w:t xml:space="preserve"> מתנתה בטילה</w:t>
      </w:r>
      <w:r>
        <w:rPr>
          <w:rFonts w:cs="Arial" w:hint="cs"/>
          <w:rtl/>
        </w:rPr>
        <w:t>,</w:t>
      </w:r>
      <w:r w:rsidRPr="006B7900">
        <w:rPr>
          <w:rFonts w:cs="Arial"/>
          <w:rtl/>
        </w:rPr>
        <w:t xml:space="preserve"> שזו מברחת היא ולא כתבה כל נכסיה אלא להבריח מבעלה שלא יירשנה, וכשתהיה צריכה להן יחזרו לה</w:t>
      </w:r>
      <w:r>
        <w:rPr>
          <w:rFonts w:cs="Arial" w:hint="cs"/>
          <w:rtl/>
        </w:rPr>
        <w:t>.</w:t>
      </w:r>
      <w:r w:rsidRPr="006B7900">
        <w:rPr>
          <w:rFonts w:cs="Arial"/>
          <w:rtl/>
        </w:rPr>
        <w:t xml:space="preserve"> לפיכך אם מתה היא בחיי בעלה</w:t>
      </w:r>
      <w:r>
        <w:rPr>
          <w:rFonts w:cs="Arial" w:hint="cs"/>
          <w:rtl/>
        </w:rPr>
        <w:t>,</w:t>
      </w:r>
      <w:r w:rsidRPr="006B7900">
        <w:rPr>
          <w:rFonts w:cs="Arial"/>
          <w:rtl/>
        </w:rPr>
        <w:t xml:space="preserve"> קנה המקבל מתנה את הכל</w:t>
      </w:r>
      <w:r>
        <w:rPr>
          <w:rFonts w:cs="Arial" w:hint="cs"/>
          <w:rtl/>
        </w:rPr>
        <w:t>.</w:t>
      </w:r>
      <w:r w:rsidRPr="006B7900">
        <w:rPr>
          <w:rFonts w:cs="Arial"/>
          <w:rtl/>
        </w:rPr>
        <w:t xml:space="preserve"> ואם שיירה כלום אפילו מטלטלין</w:t>
      </w:r>
      <w:r>
        <w:rPr>
          <w:rFonts w:cs="Arial" w:hint="cs"/>
          <w:rtl/>
        </w:rPr>
        <w:t xml:space="preserve"> -</w:t>
      </w:r>
      <w:r w:rsidRPr="006B7900">
        <w:rPr>
          <w:rFonts w:cs="Arial"/>
          <w:rtl/>
        </w:rPr>
        <w:t xml:space="preserve"> מתנתה קיימת</w:t>
      </w:r>
      <w:r>
        <w:rPr>
          <w:rFonts w:cs="Arial" w:hint="cs"/>
          <w:rtl/>
        </w:rPr>
        <w:t>,</w:t>
      </w:r>
      <w:r w:rsidRPr="006B7900">
        <w:rPr>
          <w:rFonts w:cs="Arial"/>
          <w:rtl/>
        </w:rPr>
        <w:t xml:space="preserve"> ואף על פי שנתגרשה אינה חוזרת.</w:t>
      </w:r>
    </w:p>
  </w:footnote>
  <w:footnote w:id="2006">
    <w:p w14:paraId="680A3880" w14:textId="77777777" w:rsidR="00DF1FC7" w:rsidRDefault="00DF1FC7" w:rsidP="002E5BAD">
      <w:pPr>
        <w:pStyle w:val="a5"/>
        <w:rPr>
          <w:rtl/>
        </w:rPr>
      </w:pPr>
      <w:r>
        <w:rPr>
          <w:rStyle w:val="a7"/>
        </w:rPr>
        <w:footnoteRef/>
      </w:r>
      <w:r>
        <w:rPr>
          <w:rtl/>
        </w:rPr>
        <w:t xml:space="preserve"> </w:t>
      </w:r>
      <w:r w:rsidRPr="00856465">
        <w:rPr>
          <w:rFonts w:cs="Arial"/>
          <w:rtl/>
        </w:rPr>
        <w:t>שיעור כדי פרנסתו יראה אם הוא עובד אדמה שישייר לו קרקע כדי פרנסת בני ביתו וכן אם מתעסק בסחורה או ברבית ששייר כדי שיוכל להתפרנס מן הריוח</w:t>
      </w:r>
      <w:r>
        <w:rPr>
          <w:rFonts w:hint="cs"/>
          <w:rtl/>
        </w:rPr>
        <w:t>, רא"ש (ב"ב פ"ט סי' כו).</w:t>
      </w:r>
    </w:p>
  </w:footnote>
  <w:footnote w:id="2007">
    <w:p w14:paraId="6B268739" w14:textId="77777777" w:rsidR="00DF1FC7" w:rsidRDefault="00DF1FC7" w:rsidP="002E5BAD">
      <w:pPr>
        <w:pStyle w:val="a5"/>
      </w:pPr>
      <w:r>
        <w:rPr>
          <w:rStyle w:val="a7"/>
        </w:rPr>
        <w:footnoteRef/>
      </w:r>
      <w:r>
        <w:rPr>
          <w:rtl/>
        </w:rPr>
        <w:t xml:space="preserve"> </w:t>
      </w:r>
      <w:r>
        <w:rPr>
          <w:rFonts w:cs="Arial"/>
          <w:rtl/>
        </w:rPr>
        <w:t>הילכך הפירות יאכל מקבל המתנה כל זמן שיושבת תחת בעלה</w:t>
      </w:r>
      <w:r>
        <w:rPr>
          <w:rFonts w:cs="Arial" w:hint="cs"/>
          <w:rtl/>
        </w:rPr>
        <w:t>.</w:t>
      </w:r>
      <w:r>
        <w:rPr>
          <w:rFonts w:cs="Arial"/>
          <w:rtl/>
        </w:rPr>
        <w:t xml:space="preserve"> וגם לא מכרתו ונתנתו לאחר שהרי היא כיוונה שלא יהיה הבעל נהנה מהם</w:t>
      </w:r>
      <w:r>
        <w:rPr>
          <w:rFonts w:cs="Arial" w:hint="cs"/>
          <w:rtl/>
        </w:rPr>
        <w:t>,</w:t>
      </w:r>
      <w:r>
        <w:rPr>
          <w:rFonts w:cs="Arial"/>
          <w:rtl/>
        </w:rPr>
        <w:t xml:space="preserve"> </w:t>
      </w:r>
      <w:r w:rsidRPr="00823305">
        <w:rPr>
          <w:rFonts w:cs="Arial"/>
          <w:rtl/>
        </w:rPr>
        <w:t>ואם היו הפירות שלה היה הבעל נהנה מהן דאמרינן בהם ימכרו וילקח בהן קרקע כדפרישי' לעיל גבי פירות נכסים שאינן ידועין</w:t>
      </w:r>
      <w:r>
        <w:rPr>
          <w:rFonts w:cs="Arial" w:hint="cs"/>
          <w:rtl/>
        </w:rPr>
        <w:t>.</w:t>
      </w:r>
      <w:r>
        <w:rPr>
          <w:rFonts w:cs="Arial"/>
          <w:rtl/>
        </w:rPr>
        <w:t xml:space="preserve"> ועוד אומדנא דמוכח שכיוונה שיהיו הפירות של המקבל מתנה לפי שהיא יודעת שלא תמצא מי שישתדל בהם לעבדם ולשמרם ולא יכסיפם אם לא יהנה בפירות</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w:t>
      </w:r>
    </w:p>
  </w:footnote>
  <w:footnote w:id="2008">
    <w:p w14:paraId="401E9828" w14:textId="77777777" w:rsidR="00DF1FC7" w:rsidRDefault="00DF1FC7" w:rsidP="002E5BAD">
      <w:pPr>
        <w:pStyle w:val="a5"/>
        <w:rPr>
          <w:rtl/>
        </w:rPr>
      </w:pPr>
      <w:r>
        <w:rPr>
          <w:rStyle w:val="a7"/>
        </w:rPr>
        <w:footnoteRef/>
      </w:r>
      <w:r>
        <w:rPr>
          <w:rtl/>
        </w:rPr>
        <w:t xml:space="preserve"> </w:t>
      </w:r>
      <w:r>
        <w:rPr>
          <w:rFonts w:cs="Arial"/>
          <w:rtl/>
        </w:rPr>
        <w:t>דאם לא כן יירשנה בעלה דאין לה יורש קרוב ממנו והיא כיוונה להבריח ממנו</w:t>
      </w:r>
      <w:r>
        <w:rPr>
          <w:rFonts w:cs="Arial" w:hint="cs"/>
          <w:rtl/>
        </w:rPr>
        <w:t>.</w:t>
      </w:r>
      <w:r>
        <w:rPr>
          <w:rFonts w:cs="Arial"/>
          <w:rtl/>
        </w:rPr>
        <w:t xml:space="preserve"> הילכך על כרחך ישארו ביד המקבל מתנה</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w:t>
      </w:r>
      <w:r w:rsidRPr="004D3B08">
        <w:rPr>
          <w:rFonts w:cs="Arial"/>
          <w:rtl/>
        </w:rPr>
        <w:t xml:space="preserve"> </w:t>
      </w:r>
      <w:r>
        <w:rPr>
          <w:rFonts w:cs="Arial" w:hint="cs"/>
          <w:rtl/>
        </w:rPr>
        <w:t>וכתב הדרכ"מ (אות ו)</w:t>
      </w:r>
      <w:r w:rsidRPr="004D3B08">
        <w:rPr>
          <w:rFonts w:cs="Arial"/>
          <w:rtl/>
        </w:rPr>
        <w:t xml:space="preserve"> </w:t>
      </w:r>
      <w:r>
        <w:rPr>
          <w:rFonts w:cs="Arial" w:hint="cs"/>
          <w:rtl/>
        </w:rPr>
        <w:t>ד</w:t>
      </w:r>
      <w:r w:rsidRPr="004D3B08">
        <w:rPr>
          <w:rFonts w:cs="Arial"/>
          <w:rtl/>
        </w:rPr>
        <w:t xml:space="preserve">כן משמע במרדכי </w:t>
      </w:r>
      <w:r>
        <w:rPr>
          <w:rFonts w:cs="Arial" w:hint="cs"/>
          <w:rtl/>
        </w:rPr>
        <w:t>(</w:t>
      </w:r>
      <w:r w:rsidRPr="004D3B08">
        <w:rPr>
          <w:rFonts w:cs="Arial"/>
          <w:rtl/>
        </w:rPr>
        <w:t>פרק מי שמת סי' רח) דכתב דדין מברחת אינו אלא בדהדרא עליו</w:t>
      </w:r>
      <w:r>
        <w:rPr>
          <w:rFonts w:cs="Arial" w:hint="cs"/>
          <w:rtl/>
        </w:rPr>
        <w:t>,</w:t>
      </w:r>
      <w:r w:rsidRPr="004D3B08">
        <w:rPr>
          <w:rFonts w:cs="Arial"/>
          <w:rtl/>
        </w:rPr>
        <w:t xml:space="preserve"> אבל לא הדרא עליו קנה זה במה שבידו</w:t>
      </w:r>
      <w:r>
        <w:rPr>
          <w:rFonts w:cs="Arial" w:hint="cs"/>
          <w:rtl/>
        </w:rPr>
        <w:t>,</w:t>
      </w:r>
      <w:r w:rsidRPr="004D3B08">
        <w:rPr>
          <w:rFonts w:cs="Arial"/>
          <w:rtl/>
        </w:rPr>
        <w:t xml:space="preserve"> ועיין שם</w:t>
      </w:r>
      <w:r>
        <w:rPr>
          <w:rFonts w:cs="Arial" w:hint="cs"/>
          <w:rtl/>
        </w:rPr>
        <w:t>.</w:t>
      </w:r>
      <w:r w:rsidRPr="004D3B08">
        <w:rPr>
          <w:rFonts w:cs="Arial"/>
          <w:rtl/>
        </w:rPr>
        <w:t xml:space="preserve"> ולא משמע כן בהר"ן פרק האשה (לז: ד"ה הא) דכתב דאם כתבה לו מהיום ולכשארצה הבעל יורשה</w:t>
      </w:r>
      <w:r>
        <w:rPr>
          <w:rFonts w:cs="Arial" w:hint="cs"/>
          <w:rtl/>
        </w:rPr>
        <w:t>,</w:t>
      </w:r>
      <w:r w:rsidRPr="004D3B08">
        <w:rPr>
          <w:rFonts w:cs="Arial"/>
          <w:rtl/>
        </w:rPr>
        <w:t xml:space="preserve"> אבל בשאר מברחת נשאר למקבל</w:t>
      </w:r>
      <w:r>
        <w:rPr>
          <w:rFonts w:cs="Arial" w:hint="cs"/>
          <w:rtl/>
        </w:rPr>
        <w:t>.</w:t>
      </w:r>
      <w:r>
        <w:rPr>
          <w:rFonts w:hint="cs"/>
          <w:rtl/>
        </w:rPr>
        <w:t xml:space="preserve"> </w:t>
      </w:r>
    </w:p>
  </w:footnote>
  <w:footnote w:id="2009">
    <w:p w14:paraId="70C01982" w14:textId="77777777" w:rsidR="00DF1FC7" w:rsidRDefault="00DF1FC7" w:rsidP="002E5BAD">
      <w:pPr>
        <w:pStyle w:val="a5"/>
        <w:rPr>
          <w:rtl/>
        </w:rPr>
      </w:pPr>
      <w:r>
        <w:rPr>
          <w:rStyle w:val="a7"/>
        </w:rPr>
        <w:footnoteRef/>
      </w:r>
      <w:r>
        <w:rPr>
          <w:rtl/>
        </w:rPr>
        <w:t xml:space="preserve"> </w:t>
      </w:r>
      <w:r>
        <w:rPr>
          <w:rFonts w:hint="cs"/>
          <w:rtl/>
        </w:rPr>
        <w:t xml:space="preserve">ההבדל בין הרמב"ם לרא"ש בכל הנ"ל הוא: </w:t>
      </w:r>
    </w:p>
    <w:p w14:paraId="149F8E69" w14:textId="77777777" w:rsidR="00DF1FC7" w:rsidRDefault="00DF1FC7" w:rsidP="002E5BAD">
      <w:pPr>
        <w:pStyle w:val="a5"/>
        <w:rPr>
          <w:rtl/>
        </w:rPr>
      </w:pPr>
      <w:r>
        <w:rPr>
          <w:rFonts w:hint="cs"/>
          <w:rtl/>
        </w:rPr>
        <w:t xml:space="preserve">א) שהרא"ש סובר שכדי שתהיה המתנה קנויה למקבל </w:t>
      </w:r>
      <w:r w:rsidRPr="00713F1B">
        <w:rPr>
          <w:rFonts w:hint="cs"/>
          <w:sz w:val="16"/>
          <w:szCs w:val="16"/>
          <w:rtl/>
        </w:rPr>
        <w:t xml:space="preserve">(כשלא כתבה לו 'מהיום לכשארצה') </w:t>
      </w:r>
      <w:r>
        <w:rPr>
          <w:rFonts w:hint="cs"/>
          <w:rtl/>
        </w:rPr>
        <w:t xml:space="preserve">צריכה שתשאיר לעצמה כדי פרנסתה. ולרמב"ם די שתשאיר של שהוא, ואפילו מטלטלין. וכתב הח"מ (סק"כ) שדעת הרי"ף כהרמב"ם. </w:t>
      </w:r>
    </w:p>
    <w:p w14:paraId="48270120" w14:textId="77777777" w:rsidR="00DF1FC7" w:rsidRPr="006B2D4F" w:rsidRDefault="00DF1FC7" w:rsidP="002E5BAD">
      <w:pPr>
        <w:pStyle w:val="a5"/>
        <w:rPr>
          <w:color w:val="000000" w:themeColor="text1"/>
          <w:rtl/>
        </w:rPr>
      </w:pPr>
      <w:r>
        <w:rPr>
          <w:rFonts w:hint="cs"/>
          <w:rtl/>
        </w:rPr>
        <w:t xml:space="preserve">ב) הם מפרשים אחרת את דברי הגמ' 'עד שתכתוב לו מהיום </w:t>
      </w:r>
      <w:r w:rsidRPr="006B2D4F">
        <w:rPr>
          <w:rFonts w:hint="cs"/>
          <w:color w:val="000000" w:themeColor="text1"/>
          <w:rtl/>
        </w:rPr>
        <w:t>ולכשארצה'</w:t>
      </w:r>
      <w:r>
        <w:rPr>
          <w:rFonts w:hint="cs"/>
          <w:color w:val="000000" w:themeColor="text1"/>
          <w:rtl/>
        </w:rPr>
        <w:t xml:space="preserve"> </w:t>
      </w:r>
      <w:r w:rsidRPr="00190545">
        <w:rPr>
          <w:rFonts w:hint="cs"/>
          <w:color w:val="000000" w:themeColor="text1"/>
          <w:sz w:val="16"/>
          <w:szCs w:val="16"/>
          <w:rtl/>
        </w:rPr>
        <w:t>(כמו שכתבתי לעיל</w:t>
      </w:r>
      <w:r>
        <w:rPr>
          <w:rFonts w:hint="cs"/>
          <w:color w:val="000000" w:themeColor="text1"/>
          <w:sz w:val="16"/>
          <w:szCs w:val="16"/>
          <w:rtl/>
        </w:rPr>
        <w:t xml:space="preserve"> בהערה</w:t>
      </w:r>
      <w:r w:rsidRPr="00190545">
        <w:rPr>
          <w:rFonts w:hint="cs"/>
          <w:color w:val="000000" w:themeColor="text1"/>
          <w:sz w:val="16"/>
          <w:szCs w:val="16"/>
          <w:rtl/>
        </w:rPr>
        <w:t xml:space="preserve"> על דברי הגמ'</w:t>
      </w:r>
      <w:r>
        <w:rPr>
          <w:rFonts w:hint="cs"/>
          <w:color w:val="000000" w:themeColor="text1"/>
          <w:sz w:val="16"/>
          <w:szCs w:val="16"/>
          <w:rtl/>
        </w:rPr>
        <w:t xml:space="preserve"> הללו</w:t>
      </w:r>
      <w:r w:rsidRPr="00190545">
        <w:rPr>
          <w:rFonts w:hint="cs"/>
          <w:color w:val="000000" w:themeColor="text1"/>
          <w:sz w:val="16"/>
          <w:szCs w:val="16"/>
          <w:rtl/>
        </w:rPr>
        <w:t>)</w:t>
      </w:r>
      <w:r>
        <w:rPr>
          <w:rFonts w:hint="cs"/>
          <w:color w:val="000000" w:themeColor="text1"/>
          <w:rtl/>
        </w:rPr>
        <w:t>. והנפק"מ בין הפירושים היא</w:t>
      </w:r>
      <w:r w:rsidRPr="006B2D4F">
        <w:rPr>
          <w:rFonts w:hint="cs"/>
          <w:color w:val="000000" w:themeColor="text1"/>
          <w:rtl/>
        </w:rPr>
        <w:t>, שהרא"ש סובר שהקניין חל מהיום</w:t>
      </w:r>
      <w:r>
        <w:rPr>
          <w:rFonts w:hint="cs"/>
          <w:color w:val="000000" w:themeColor="text1"/>
          <w:rtl/>
        </w:rPr>
        <w:t>,</w:t>
      </w:r>
      <w:r w:rsidRPr="006B2D4F">
        <w:rPr>
          <w:rFonts w:hint="cs"/>
          <w:color w:val="000000" w:themeColor="text1"/>
          <w:rtl/>
        </w:rPr>
        <w:t xml:space="preserve"> ו</w:t>
      </w:r>
      <w:r>
        <w:rPr>
          <w:rFonts w:hint="cs"/>
          <w:color w:val="000000" w:themeColor="text1"/>
          <w:rtl/>
        </w:rPr>
        <w:t xml:space="preserve">אעפ"כ </w:t>
      </w:r>
      <w:r w:rsidRPr="006B2D4F">
        <w:rPr>
          <w:rFonts w:hint="cs"/>
          <w:color w:val="000000" w:themeColor="text1"/>
          <w:rtl/>
        </w:rPr>
        <w:t>יכולה לחזור בה כל זמן שרוצה</w:t>
      </w:r>
      <w:r>
        <w:rPr>
          <w:rFonts w:hint="cs"/>
          <w:color w:val="000000" w:themeColor="text1"/>
          <w:rtl/>
        </w:rPr>
        <w:t>.</w:t>
      </w:r>
      <w:r w:rsidRPr="006B2D4F">
        <w:rPr>
          <w:rFonts w:hint="cs"/>
          <w:color w:val="000000" w:themeColor="text1"/>
          <w:rtl/>
        </w:rPr>
        <w:t xml:space="preserve"> </w:t>
      </w:r>
      <w:r>
        <w:rPr>
          <w:rFonts w:hint="cs"/>
          <w:color w:val="000000" w:themeColor="text1"/>
          <w:rtl/>
        </w:rPr>
        <w:t xml:space="preserve">ולבנתיים </w:t>
      </w:r>
      <w:r w:rsidRPr="00190545">
        <w:rPr>
          <w:rFonts w:hint="cs"/>
          <w:color w:val="000000" w:themeColor="text1"/>
          <w:sz w:val="16"/>
          <w:szCs w:val="16"/>
          <w:rtl/>
        </w:rPr>
        <w:t xml:space="preserve">(עד שתחזור בה) </w:t>
      </w:r>
      <w:r w:rsidRPr="006B2D4F">
        <w:rPr>
          <w:rFonts w:hint="cs"/>
          <w:color w:val="000000" w:themeColor="text1"/>
          <w:rtl/>
        </w:rPr>
        <w:t xml:space="preserve">המקבל אוכל פירות. אבל לרמב"ם הקניין לא גמור עד שתאמר שהיא רוצה </w:t>
      </w:r>
      <w:r w:rsidRPr="00190545">
        <w:rPr>
          <w:rFonts w:hint="cs"/>
          <w:color w:val="000000" w:themeColor="text1"/>
          <w:sz w:val="16"/>
          <w:szCs w:val="16"/>
          <w:rtl/>
        </w:rPr>
        <w:t>(ואז הקניין חל למפרע)</w:t>
      </w:r>
      <w:r>
        <w:rPr>
          <w:rFonts w:hint="cs"/>
          <w:color w:val="000000" w:themeColor="text1"/>
          <w:rtl/>
        </w:rPr>
        <w:t>.</w:t>
      </w:r>
      <w:r w:rsidRPr="006B2D4F">
        <w:rPr>
          <w:rFonts w:hint="cs"/>
          <w:color w:val="000000" w:themeColor="text1"/>
          <w:rtl/>
        </w:rPr>
        <w:t xml:space="preserve"> </w:t>
      </w:r>
      <w:r>
        <w:rPr>
          <w:rFonts w:hint="cs"/>
          <w:color w:val="000000" w:themeColor="text1"/>
          <w:rtl/>
        </w:rPr>
        <w:t>והשאלה עכשיו מה יהיה לדעת הרמב"ם דין הפירות בזמן ש</w:t>
      </w:r>
      <w:r w:rsidRPr="006B2D4F">
        <w:rPr>
          <w:rFonts w:hint="cs"/>
          <w:color w:val="000000" w:themeColor="text1"/>
          <w:rtl/>
        </w:rPr>
        <w:t>בנתיים</w:t>
      </w:r>
      <w:r>
        <w:rPr>
          <w:rFonts w:hint="cs"/>
          <w:color w:val="000000" w:themeColor="text1"/>
          <w:rtl/>
        </w:rPr>
        <w:t xml:space="preserve"> </w:t>
      </w:r>
      <w:r w:rsidRPr="00190545">
        <w:rPr>
          <w:rFonts w:hint="cs"/>
          <w:color w:val="000000" w:themeColor="text1"/>
          <w:sz w:val="16"/>
          <w:szCs w:val="16"/>
          <w:rtl/>
        </w:rPr>
        <w:t>(עד שתאמר שהיא רוצה להקנות לו לגמרי את המתנה)</w:t>
      </w:r>
      <w:r>
        <w:rPr>
          <w:rFonts w:hint="cs"/>
          <w:color w:val="000000" w:themeColor="text1"/>
          <w:rtl/>
        </w:rPr>
        <w:t xml:space="preserve">. ונראה לחלק בין מברחת לכותבת, שבמברחת </w:t>
      </w:r>
      <w:r w:rsidRPr="006B2D4F">
        <w:rPr>
          <w:rFonts w:hint="cs"/>
          <w:color w:val="000000" w:themeColor="text1"/>
          <w:rtl/>
        </w:rPr>
        <w:t xml:space="preserve">המקבל יכול לאכול </w:t>
      </w:r>
      <w:r>
        <w:rPr>
          <w:rFonts w:hint="cs"/>
          <w:color w:val="000000" w:themeColor="text1"/>
          <w:rtl/>
        </w:rPr>
        <w:t>את ה</w:t>
      </w:r>
      <w:r w:rsidRPr="006B2D4F">
        <w:rPr>
          <w:rFonts w:hint="cs"/>
          <w:color w:val="000000" w:themeColor="text1"/>
          <w:rtl/>
        </w:rPr>
        <w:t xml:space="preserve">פירות </w:t>
      </w:r>
      <w:r w:rsidRPr="00190545">
        <w:rPr>
          <w:rFonts w:hint="cs"/>
          <w:color w:val="000000" w:themeColor="text1"/>
          <w:sz w:val="16"/>
          <w:szCs w:val="16"/>
          <w:rtl/>
        </w:rPr>
        <w:t>(כך נ"ל מדברי הרמב"ם. ואח"כ ראיתי שכך מדייק הב"ש [סק"ל] מדברי הרמב"ם. ולא כשלט"ג שכתב שהמקבל לא אוכל פירות)</w:t>
      </w:r>
      <w:r>
        <w:rPr>
          <w:rFonts w:hint="cs"/>
          <w:color w:val="000000" w:themeColor="text1"/>
          <w:rtl/>
        </w:rPr>
        <w:t>. אבל בכותבת אינו יכול לאכול, שהרי המתנה לא שלו עד שתאמר 'רוצה אני'. ומכל מקום אם אכל אין מוציאין מידו</w:t>
      </w:r>
      <w:r w:rsidRPr="006B2D4F">
        <w:rPr>
          <w:rFonts w:hint="cs"/>
          <w:color w:val="000000" w:themeColor="text1"/>
          <w:rtl/>
        </w:rPr>
        <w:t xml:space="preserve"> </w:t>
      </w:r>
      <w:r>
        <w:rPr>
          <w:rFonts w:hint="cs"/>
          <w:color w:val="000000" w:themeColor="text1"/>
          <w:rtl/>
        </w:rPr>
        <w:t>ד</w:t>
      </w:r>
      <w:r w:rsidRPr="006B2D4F">
        <w:rPr>
          <w:rFonts w:hint="cs"/>
          <w:color w:val="000000" w:themeColor="text1"/>
          <w:rtl/>
        </w:rPr>
        <w:t>ברשות קאכיל</w:t>
      </w:r>
      <w:r>
        <w:rPr>
          <w:rFonts w:hint="cs"/>
          <w:color w:val="000000" w:themeColor="text1"/>
          <w:rtl/>
        </w:rPr>
        <w:t xml:space="preserve"> </w:t>
      </w:r>
      <w:r>
        <w:rPr>
          <w:rFonts w:hint="cs"/>
          <w:color w:val="000000" w:themeColor="text1"/>
          <w:sz w:val="16"/>
          <w:szCs w:val="16"/>
          <w:rtl/>
        </w:rPr>
        <w:t>(</w:t>
      </w:r>
      <w:r w:rsidRPr="00190545">
        <w:rPr>
          <w:rFonts w:hint="cs"/>
          <w:color w:val="000000" w:themeColor="text1"/>
          <w:sz w:val="16"/>
          <w:szCs w:val="16"/>
          <w:rtl/>
        </w:rPr>
        <w:t xml:space="preserve">וכמו שכתב הר"ן </w:t>
      </w:r>
      <w:r>
        <w:rPr>
          <w:rFonts w:cs="Arial" w:hint="cs"/>
          <w:color w:val="000000" w:themeColor="text1"/>
          <w:sz w:val="16"/>
          <w:szCs w:val="16"/>
          <w:rtl/>
        </w:rPr>
        <w:t>[</w:t>
      </w:r>
      <w:r w:rsidRPr="00190545">
        <w:rPr>
          <w:rFonts w:cs="Arial"/>
          <w:color w:val="000000" w:themeColor="text1"/>
          <w:sz w:val="16"/>
          <w:szCs w:val="16"/>
          <w:rtl/>
        </w:rPr>
        <w:t>לז: ד"ה הא</w:t>
      </w:r>
      <w:r>
        <w:rPr>
          <w:rFonts w:cs="Arial" w:hint="cs"/>
          <w:color w:val="000000" w:themeColor="text1"/>
          <w:sz w:val="16"/>
          <w:szCs w:val="16"/>
          <w:rtl/>
        </w:rPr>
        <w:t>])</w:t>
      </w:r>
      <w:r>
        <w:rPr>
          <w:rFonts w:hint="cs"/>
          <w:color w:val="000000" w:themeColor="text1"/>
          <w:rtl/>
        </w:rPr>
        <w:t>. ונראה לומר שכמו שהרא"ש סובר בזה (בין במברחת ובין בכותבת) שהאשה יכולה למכור את הפירות ואין המקבל יכול לעכב, כך גם הרמב"ם סובר.</w:t>
      </w:r>
    </w:p>
  </w:footnote>
  <w:footnote w:id="2010">
    <w:p w14:paraId="1B62FE32" w14:textId="77777777" w:rsidR="00DF1FC7" w:rsidRDefault="00DF1FC7" w:rsidP="002E5BAD">
      <w:pPr>
        <w:pStyle w:val="a5"/>
        <w:rPr>
          <w:rtl/>
        </w:rPr>
      </w:pPr>
      <w:r>
        <w:rPr>
          <w:rStyle w:val="a7"/>
        </w:rPr>
        <w:footnoteRef/>
      </w:r>
      <w:r>
        <w:rPr>
          <w:rtl/>
        </w:rPr>
        <w:t xml:space="preserve"> </w:t>
      </w:r>
      <w:r w:rsidRPr="00966159">
        <w:rPr>
          <w:rFonts w:cs="Arial"/>
          <w:rtl/>
        </w:rPr>
        <w:t>ואיני רואה דבריהם במברחת מן הטעם שכתבתי למעלה</w:t>
      </w:r>
      <w:r>
        <w:rPr>
          <w:rFonts w:hint="cs"/>
          <w:rtl/>
        </w:rPr>
        <w:t>, ר"ן (שם).</w:t>
      </w:r>
    </w:p>
  </w:footnote>
  <w:footnote w:id="2011">
    <w:p w14:paraId="3FBE8846" w14:textId="77777777" w:rsidR="00DF1FC7" w:rsidRDefault="00DF1FC7" w:rsidP="002E5BAD">
      <w:pPr>
        <w:pStyle w:val="a5"/>
        <w:rPr>
          <w:rtl/>
        </w:rPr>
      </w:pPr>
      <w:r>
        <w:rPr>
          <w:rStyle w:val="a7"/>
        </w:rPr>
        <w:footnoteRef/>
      </w:r>
      <w:r>
        <w:rPr>
          <w:rtl/>
        </w:rPr>
        <w:t xml:space="preserve"> </w:t>
      </w:r>
      <w:r>
        <w:rPr>
          <w:rFonts w:cs="Arial" w:hint="cs"/>
          <w:rtl/>
        </w:rPr>
        <w:t>ש</w:t>
      </w:r>
      <w:r w:rsidRPr="00C831CF">
        <w:rPr>
          <w:rFonts w:cs="Arial"/>
          <w:rtl/>
        </w:rPr>
        <w:t>מתוך אומדן דעת שלה הרי הוא כאילו פרשה שאם הבעל ימות בחייה לא תהא מתנה כלום</w:t>
      </w:r>
      <w:r>
        <w:rPr>
          <w:rFonts w:cs="Arial" w:hint="cs"/>
          <w:rtl/>
        </w:rPr>
        <w:t>,</w:t>
      </w:r>
      <w:r w:rsidRPr="00C831CF">
        <w:rPr>
          <w:rFonts w:cs="Arial"/>
          <w:rtl/>
        </w:rPr>
        <w:t xml:space="preserve"> ואם היא תמות בחיי בעלה שיזכה בה מקבל מתנה</w:t>
      </w:r>
      <w:r>
        <w:rPr>
          <w:rFonts w:cs="Arial" w:hint="cs"/>
          <w:rtl/>
        </w:rPr>
        <w:t>,</w:t>
      </w:r>
      <w:r w:rsidRPr="00C831CF">
        <w:rPr>
          <w:rFonts w:cs="Arial"/>
          <w:rtl/>
        </w:rPr>
        <w:t xml:space="preserve"> אלא שלא רצתה לפרש כן כי היכי דלא תהוי לה איבה</w:t>
      </w:r>
      <w:r>
        <w:rPr>
          <w:rFonts w:hint="cs"/>
          <w:rtl/>
        </w:rPr>
        <w:t>, ר"ן (שם).</w:t>
      </w:r>
    </w:p>
  </w:footnote>
  <w:footnote w:id="2012">
    <w:p w14:paraId="0B7EC38B" w14:textId="77777777" w:rsidR="00DF1FC7" w:rsidRDefault="00DF1FC7" w:rsidP="002E5BAD">
      <w:pPr>
        <w:pStyle w:val="a5"/>
      </w:pPr>
      <w:r>
        <w:rPr>
          <w:rStyle w:val="a7"/>
        </w:rPr>
        <w:footnoteRef/>
      </w:r>
      <w:r>
        <w:rPr>
          <w:rtl/>
        </w:rPr>
        <w:t xml:space="preserve"> </w:t>
      </w:r>
      <w:r>
        <w:rPr>
          <w:rFonts w:cs="Arial"/>
          <w:rtl/>
        </w:rPr>
        <w:t>דאזלינן בתר אומדנא שלא נתנתם לו אלא כדי להבריחם מבעלה ומיד שמת בעלה בטלה האומדנא וחזרו הנכסים לרשותה מידי דהוה אמתנת שכיב מרע בכולה דאם עמד חוזר ואם עמד ונתרפא מאותו חולי ומת אח"כ קודם שחזר בו נתבטלה המתנה ממילא</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 וכתב עוד הב"י ל</w:t>
      </w:r>
      <w:r>
        <w:rPr>
          <w:rFonts w:cs="Arial"/>
          <w:rtl/>
        </w:rPr>
        <w:t>עיין במרדכי בפרק הנזכר (כתובות סי' רח)</w:t>
      </w:r>
      <w:r>
        <w:rPr>
          <w:rFonts w:cs="Arial" w:hint="cs"/>
          <w:rtl/>
        </w:rPr>
        <w:t>.</w:t>
      </w:r>
    </w:p>
  </w:footnote>
  <w:footnote w:id="2013">
    <w:p w14:paraId="1920645F" w14:textId="77777777" w:rsidR="00DF1FC7" w:rsidRPr="00416FFE" w:rsidRDefault="00DF1FC7" w:rsidP="002E5BAD">
      <w:pPr>
        <w:pStyle w:val="a5"/>
        <w:rPr>
          <w:rFonts w:cs="Arial"/>
          <w:rtl/>
        </w:rPr>
      </w:pPr>
      <w:r>
        <w:rPr>
          <w:rStyle w:val="a7"/>
        </w:rPr>
        <w:footnoteRef/>
      </w:r>
      <w:r>
        <w:rPr>
          <w:rtl/>
        </w:rPr>
        <w:t xml:space="preserve"> </w:t>
      </w:r>
      <w:r>
        <w:rPr>
          <w:rFonts w:cs="Arial" w:hint="cs"/>
          <w:rtl/>
        </w:rPr>
        <w:t xml:space="preserve">וכתב הב"ש (סקל"ג) דכן דעת הרא"ש </w:t>
      </w:r>
      <w:r w:rsidRPr="00EE7187">
        <w:rPr>
          <w:rFonts w:cs="Arial" w:hint="cs"/>
          <w:sz w:val="16"/>
          <w:szCs w:val="16"/>
          <w:rtl/>
        </w:rPr>
        <w:t xml:space="preserve">(ולא כמו שכתב הטור בשם הרא"ש, וז"ל- </w:t>
      </w:r>
      <w:r w:rsidRPr="00EE7187">
        <w:rPr>
          <w:rFonts w:cs="Arial"/>
          <w:sz w:val="16"/>
          <w:szCs w:val="16"/>
          <w:rtl/>
        </w:rPr>
        <w:t>ונ"ל לדעת הרא"ש אם מת הבעל ומתה היא אח</w:t>
      </w:r>
      <w:r w:rsidRPr="00EE7187">
        <w:rPr>
          <w:rFonts w:cs="Arial" w:hint="cs"/>
          <w:sz w:val="16"/>
          <w:szCs w:val="16"/>
          <w:rtl/>
        </w:rPr>
        <w:t>"</w:t>
      </w:r>
      <w:r w:rsidRPr="00EE7187">
        <w:rPr>
          <w:rFonts w:cs="Arial"/>
          <w:sz w:val="16"/>
          <w:szCs w:val="16"/>
          <w:rtl/>
        </w:rPr>
        <w:t>כ ולא חזרה בפירוש יורש המקבל שהרי לא חזרה וע"כ לא כתב הרא"ש דחוזרים הנכסים ליורשים אלא בנתנה כל נכסיה ואז אומדנא דמוכח הוא דכוונתה היה לחזור אחר מיתתו אבל בכה"ג דנתנה מקצת נכסיה דליכא אומדנא דמוכח אלא התנאי היה דתוכל לחזור אז אם לא חזרה למה לא יזכה המקבל ותימא על הטור שכתב בזה דהרא"ש חולק על הרמ"ה וסביר' ליה דאין יורש המקבל וא</w:t>
      </w:r>
      <w:r w:rsidRPr="00EE7187">
        <w:rPr>
          <w:rFonts w:cs="Arial" w:hint="cs"/>
          <w:sz w:val="16"/>
          <w:szCs w:val="16"/>
          <w:rtl/>
        </w:rPr>
        <w:t xml:space="preserve">יני </w:t>
      </w:r>
      <w:r w:rsidRPr="00EE7187">
        <w:rPr>
          <w:rFonts w:cs="Arial"/>
          <w:sz w:val="16"/>
          <w:szCs w:val="16"/>
          <w:rtl/>
        </w:rPr>
        <w:t>י</w:t>
      </w:r>
      <w:r w:rsidRPr="00EE7187">
        <w:rPr>
          <w:rFonts w:cs="Arial" w:hint="cs"/>
          <w:sz w:val="16"/>
          <w:szCs w:val="16"/>
          <w:rtl/>
        </w:rPr>
        <w:t>ודע</w:t>
      </w:r>
      <w:r w:rsidRPr="00EE7187">
        <w:rPr>
          <w:rFonts w:cs="Arial"/>
          <w:sz w:val="16"/>
          <w:szCs w:val="16"/>
          <w:rtl/>
        </w:rPr>
        <w:t xml:space="preserve"> מנ"ל</w:t>
      </w:r>
      <w:r w:rsidRPr="00EE7187">
        <w:rPr>
          <w:rFonts w:cs="Arial" w:hint="cs"/>
          <w:sz w:val="16"/>
          <w:szCs w:val="16"/>
          <w:rtl/>
        </w:rPr>
        <w:t>)</w:t>
      </w:r>
      <w:r>
        <w:rPr>
          <w:rFonts w:cs="Arial"/>
          <w:rtl/>
        </w:rPr>
        <w:t xml:space="preserve">. </w:t>
      </w:r>
      <w:r>
        <w:rPr>
          <w:rFonts w:cs="Arial" w:hint="cs"/>
          <w:rtl/>
        </w:rPr>
        <w:t xml:space="preserve">אך הקו"נ (כתובות פ"ח אות מ) דחה את דבריו והעלה כהבנת הטור בדברי הרא"ש, וכתב שגם בכותבת שנתנה מקצת נכסיה יש אומדנא דמוכח שרצתה להבריח. </w:t>
      </w:r>
    </w:p>
  </w:footnote>
  <w:footnote w:id="2014">
    <w:p w14:paraId="0AB73ED2" w14:textId="77777777" w:rsidR="00DF1FC7" w:rsidRDefault="00DF1FC7" w:rsidP="002E5BAD">
      <w:pPr>
        <w:pStyle w:val="a5"/>
      </w:pPr>
      <w:r>
        <w:rPr>
          <w:rStyle w:val="a7"/>
        </w:rPr>
        <w:footnoteRef/>
      </w:r>
      <w:r>
        <w:rPr>
          <w:rtl/>
        </w:rPr>
        <w:t xml:space="preserve"> </w:t>
      </w:r>
      <w:r>
        <w:rPr>
          <w:rFonts w:cs="Arial" w:hint="cs"/>
          <w:rtl/>
        </w:rPr>
        <w:t>שאז המקבל</w:t>
      </w:r>
      <w:r w:rsidRPr="00416FFE">
        <w:rPr>
          <w:rFonts w:cs="Arial"/>
          <w:rtl/>
        </w:rPr>
        <w:t xml:space="preserve"> אינו אוכל הפירות ואינו יורש אותה דהא לא חל המתנה עדיין כל זמן שלא אמרה הן</w:t>
      </w:r>
      <w:r>
        <w:rPr>
          <w:rFonts w:cs="Arial" w:hint="cs"/>
          <w:rtl/>
        </w:rPr>
        <w:t>,</w:t>
      </w:r>
      <w:r w:rsidRPr="00416FFE">
        <w:rPr>
          <w:rFonts w:cs="Arial"/>
          <w:rtl/>
        </w:rPr>
        <w:t xml:space="preserve"> והבעל ג"כ אינו אוכל פירות דהוי כנכסים שא"י</w:t>
      </w:r>
      <w:r>
        <w:rPr>
          <w:rFonts w:cs="Arial" w:hint="cs"/>
          <w:rtl/>
        </w:rPr>
        <w:t>,</w:t>
      </w:r>
      <w:r w:rsidRPr="00416FFE">
        <w:rPr>
          <w:rFonts w:cs="Arial"/>
          <w:rtl/>
        </w:rPr>
        <w:t xml:space="preserve"> </w:t>
      </w:r>
      <w:r>
        <w:rPr>
          <w:rFonts w:cs="Arial" w:hint="cs"/>
          <w:rtl/>
        </w:rPr>
        <w:t>ד</w:t>
      </w:r>
      <w:r w:rsidRPr="00416FFE">
        <w:rPr>
          <w:rFonts w:cs="Arial"/>
          <w:rtl/>
        </w:rPr>
        <w:t>בכל יום סבר שתאמר הן</w:t>
      </w:r>
      <w:r>
        <w:rPr>
          <w:rFonts w:cs="Arial" w:hint="cs"/>
          <w:rtl/>
        </w:rPr>
        <w:t>,</w:t>
      </w:r>
      <w:r w:rsidRPr="00416FFE">
        <w:rPr>
          <w:rFonts w:cs="Arial"/>
          <w:rtl/>
        </w:rPr>
        <w:t xml:space="preserve"> אלא הפירות שלה הם</w:t>
      </w:r>
      <w:r>
        <w:rPr>
          <w:rFonts w:cs="Arial" w:hint="cs"/>
          <w:rtl/>
        </w:rPr>
        <w:t>, ב"ש (סקל"ב).</w:t>
      </w:r>
    </w:p>
  </w:footnote>
  <w:footnote w:id="2015">
    <w:p w14:paraId="32F1BB82" w14:textId="77777777" w:rsidR="00DF1FC7" w:rsidRPr="006B2D4F" w:rsidRDefault="00DF1FC7" w:rsidP="002E5BAD">
      <w:pPr>
        <w:pStyle w:val="a5"/>
        <w:rPr>
          <w:rFonts w:cs="Arial"/>
        </w:rPr>
      </w:pPr>
      <w:r>
        <w:rPr>
          <w:rStyle w:val="a7"/>
        </w:rPr>
        <w:footnoteRef/>
      </w:r>
      <w:r>
        <w:rPr>
          <w:rtl/>
        </w:rPr>
        <w:t xml:space="preserve"> </w:t>
      </w:r>
      <w:r w:rsidRPr="000118A1">
        <w:rPr>
          <w:rFonts w:cs="Arial"/>
          <w:rtl/>
        </w:rPr>
        <w:t>ואם לא עמדה להנש</w:t>
      </w:r>
      <w:r>
        <w:rPr>
          <w:rFonts w:cs="Arial" w:hint="cs"/>
          <w:rtl/>
        </w:rPr>
        <w:t>א</w:t>
      </w:r>
      <w:r w:rsidRPr="000118A1">
        <w:rPr>
          <w:rFonts w:cs="Arial"/>
          <w:rtl/>
        </w:rPr>
        <w:t xml:space="preserve"> דאז לא הוי אומדנ</w:t>
      </w:r>
      <w:r>
        <w:rPr>
          <w:rFonts w:cs="Arial" w:hint="cs"/>
          <w:rtl/>
        </w:rPr>
        <w:t>א</w:t>
      </w:r>
      <w:r w:rsidRPr="000118A1">
        <w:rPr>
          <w:rFonts w:cs="Arial"/>
          <w:rtl/>
        </w:rPr>
        <w:t xml:space="preserve"> דמוכח</w:t>
      </w:r>
      <w:r>
        <w:rPr>
          <w:rFonts w:cs="Arial" w:hint="cs"/>
          <w:rtl/>
        </w:rPr>
        <w:t>,</w:t>
      </w:r>
      <w:r w:rsidRPr="000118A1">
        <w:rPr>
          <w:rFonts w:cs="Arial"/>
          <w:rtl/>
        </w:rPr>
        <w:t xml:space="preserve"> או אם נתנה רק מקצת דליכא אומדנ</w:t>
      </w:r>
      <w:r>
        <w:rPr>
          <w:rFonts w:cs="Arial" w:hint="cs"/>
          <w:rtl/>
        </w:rPr>
        <w:t>א</w:t>
      </w:r>
      <w:r w:rsidRPr="000118A1">
        <w:rPr>
          <w:rFonts w:cs="Arial"/>
          <w:rtl/>
        </w:rPr>
        <w:t xml:space="preserve"> דמוכח</w:t>
      </w:r>
      <w:r>
        <w:rPr>
          <w:rFonts w:cs="Arial" w:hint="cs"/>
          <w:rtl/>
        </w:rPr>
        <w:t>,</w:t>
      </w:r>
      <w:r w:rsidRPr="000118A1">
        <w:rPr>
          <w:rFonts w:cs="Arial"/>
          <w:rtl/>
        </w:rPr>
        <w:t xml:space="preserve"> ועידי חתימה על השטר מתנה מעידים שאמרה שכוונתה להבריח</w:t>
      </w:r>
      <w:r>
        <w:rPr>
          <w:rFonts w:cs="Arial" w:hint="cs"/>
          <w:rtl/>
        </w:rPr>
        <w:t>,</w:t>
      </w:r>
      <w:r w:rsidRPr="000118A1">
        <w:rPr>
          <w:rFonts w:cs="Arial"/>
          <w:rtl/>
        </w:rPr>
        <w:t xml:space="preserve"> אם כתיבת יד העדים יוצא ממקום אחר </w:t>
      </w:r>
      <w:r>
        <w:rPr>
          <w:rFonts w:cs="Arial" w:hint="cs"/>
          <w:rtl/>
        </w:rPr>
        <w:t xml:space="preserve">- </w:t>
      </w:r>
      <w:r w:rsidRPr="000118A1">
        <w:rPr>
          <w:rFonts w:cs="Arial"/>
          <w:rtl/>
        </w:rPr>
        <w:t>אין נאמנים ומתנה קיימת</w:t>
      </w:r>
      <w:r>
        <w:rPr>
          <w:rFonts w:cs="Arial" w:hint="cs"/>
          <w:rtl/>
        </w:rPr>
        <w:t>,</w:t>
      </w:r>
      <w:r w:rsidRPr="000118A1">
        <w:rPr>
          <w:rFonts w:cs="Arial"/>
          <w:rtl/>
        </w:rPr>
        <w:t xml:space="preserve"> כן כתב הרא"ש</w:t>
      </w:r>
      <w:r>
        <w:rPr>
          <w:rFonts w:cs="Arial" w:hint="cs"/>
          <w:rtl/>
        </w:rPr>
        <w:t>.</w:t>
      </w:r>
      <w:r w:rsidRPr="000118A1">
        <w:rPr>
          <w:rFonts w:cs="Arial"/>
          <w:rtl/>
        </w:rPr>
        <w:t xml:space="preserve"> וכן מדייק המרדכי מדברי רש"י</w:t>
      </w:r>
      <w:r>
        <w:rPr>
          <w:rFonts w:cs="Arial" w:hint="cs"/>
          <w:rtl/>
        </w:rPr>
        <w:t>.</w:t>
      </w:r>
      <w:r w:rsidRPr="000118A1">
        <w:rPr>
          <w:rFonts w:cs="Arial"/>
          <w:rtl/>
        </w:rPr>
        <w:t xml:space="preserve"> ועיין בח"ה ס"ס ק"ן בהג"ה ובסמ"ע שם</w:t>
      </w:r>
      <w:r>
        <w:rPr>
          <w:rFonts w:cs="Arial" w:hint="cs"/>
          <w:rtl/>
        </w:rPr>
        <w:t>, ב"ש (סקכ"ח).</w:t>
      </w:r>
    </w:p>
  </w:footnote>
  <w:footnote w:id="2016">
    <w:p w14:paraId="7EB32D0F" w14:textId="77777777" w:rsidR="00DF1FC7" w:rsidRDefault="00DF1FC7" w:rsidP="002E5BAD">
      <w:pPr>
        <w:pStyle w:val="a5"/>
      </w:pPr>
      <w:r>
        <w:rPr>
          <w:rStyle w:val="a7"/>
        </w:rPr>
        <w:footnoteRef/>
      </w:r>
      <w:r>
        <w:rPr>
          <w:rtl/>
        </w:rPr>
        <w:t xml:space="preserve"> </w:t>
      </w:r>
      <w:r>
        <w:rPr>
          <w:rFonts w:cs="Arial" w:hint="cs"/>
          <w:rtl/>
        </w:rPr>
        <w:t>כן הוא ברשב"א שלפנינו, וכן הוא בר"ן (שהעתיק את לשון הרשב"א). אך ב"י כתב אחרת, וז"ל- '</w:t>
      </w:r>
      <w:r w:rsidRPr="00213D3D">
        <w:rPr>
          <w:rFonts w:cs="Arial"/>
          <w:rtl/>
        </w:rPr>
        <w:t>איפשר לומר שתהא מתנתה קיימת</w:t>
      </w:r>
      <w:r>
        <w:rPr>
          <w:rFonts w:cs="Arial" w:hint="cs"/>
          <w:rtl/>
        </w:rPr>
        <w:t xml:space="preserve">'. וזה משנה את המשמעות לגמרי. ונראה שזו טעות סופר/דפוס, ופשוט הושמטה שורה מדברי הרשב"א שהיו לפני הב"י (שהרי תיבות אלו שכתב הב"י כתבם הרשב"א שורה אח"כ). </w:t>
      </w:r>
    </w:p>
  </w:footnote>
  <w:footnote w:id="2017">
    <w:p w14:paraId="3AD4998D" w14:textId="77777777" w:rsidR="00DF1FC7" w:rsidRDefault="00DF1FC7" w:rsidP="002E5BAD">
      <w:pPr>
        <w:pStyle w:val="a5"/>
      </w:pPr>
      <w:r>
        <w:rPr>
          <w:rStyle w:val="a7"/>
        </w:rPr>
        <w:footnoteRef/>
      </w:r>
      <w:r>
        <w:rPr>
          <w:rtl/>
        </w:rPr>
        <w:t xml:space="preserve"> </w:t>
      </w:r>
      <w:r>
        <w:rPr>
          <w:rFonts w:cs="Arial" w:hint="cs"/>
          <w:rtl/>
        </w:rPr>
        <w:t>ו</w:t>
      </w:r>
      <w:r w:rsidRPr="00D9440F">
        <w:rPr>
          <w:rFonts w:cs="Arial"/>
          <w:rtl/>
        </w:rPr>
        <w:t>דברי הריב"ש בדין זה בסימן קמ"ג</w:t>
      </w:r>
      <w:r>
        <w:rPr>
          <w:rFonts w:cs="Arial" w:hint="cs"/>
          <w:rtl/>
        </w:rPr>
        <w:t>.</w:t>
      </w:r>
      <w:r w:rsidRPr="00D9440F">
        <w:rPr>
          <w:rFonts w:cs="Arial"/>
          <w:rtl/>
        </w:rPr>
        <w:t xml:space="preserve"> </w:t>
      </w:r>
      <w:r>
        <w:rPr>
          <w:rFonts w:cs="Arial" w:hint="cs"/>
          <w:rtl/>
        </w:rPr>
        <w:t xml:space="preserve">וכתב הדרכ"מ </w:t>
      </w:r>
      <w:r w:rsidRPr="00D9440F">
        <w:rPr>
          <w:rFonts w:cs="Arial"/>
          <w:rtl/>
        </w:rPr>
        <w:t>(</w:t>
      </w:r>
      <w:r>
        <w:rPr>
          <w:rFonts w:cs="Arial" w:hint="cs"/>
          <w:rtl/>
        </w:rPr>
        <w:t xml:space="preserve">אות </w:t>
      </w:r>
      <w:r w:rsidRPr="00D9440F">
        <w:rPr>
          <w:rFonts w:cs="Arial"/>
          <w:rtl/>
        </w:rPr>
        <w:t xml:space="preserve">ו*) </w:t>
      </w:r>
      <w:r>
        <w:rPr>
          <w:rFonts w:cs="Arial" w:hint="cs"/>
          <w:rtl/>
        </w:rPr>
        <w:t>ל</w:t>
      </w:r>
      <w:r w:rsidRPr="00D9440F">
        <w:rPr>
          <w:rFonts w:cs="Arial"/>
          <w:rtl/>
        </w:rPr>
        <w:t>עיין בחושן המשפט סי' ס"א מתי תלינן בשופרא דשטרי</w:t>
      </w:r>
      <w:r>
        <w:rPr>
          <w:rFonts w:cs="Arial" w:hint="cs"/>
          <w:rtl/>
        </w:rPr>
        <w:t>.</w:t>
      </w:r>
    </w:p>
  </w:footnote>
  <w:footnote w:id="2018">
    <w:p w14:paraId="09138EDE" w14:textId="77777777" w:rsidR="00DF1FC7" w:rsidRDefault="00DF1FC7" w:rsidP="002E5BAD">
      <w:pPr>
        <w:pStyle w:val="a5"/>
      </w:pPr>
      <w:r>
        <w:rPr>
          <w:rStyle w:val="a7"/>
        </w:rPr>
        <w:footnoteRef/>
      </w:r>
      <w:r>
        <w:rPr>
          <w:rtl/>
        </w:rPr>
        <w:t xml:space="preserve"> </w:t>
      </w:r>
      <w:r>
        <w:rPr>
          <w:rFonts w:cs="Arial" w:hint="cs"/>
          <w:rtl/>
        </w:rPr>
        <w:t xml:space="preserve">וז"ל- </w:t>
      </w:r>
      <w:r w:rsidRPr="009D64F8">
        <w:rPr>
          <w:rFonts w:cs="Arial"/>
          <w:rtl/>
        </w:rPr>
        <w:t>אמר רבי יוסי בר חנינא באושא התקינו האשה שמכרה בנכסי מלוג בחיי בעלה ומתה הבעל מוציא מיד הלקוחות</w:t>
      </w:r>
      <w:r>
        <w:rPr>
          <w:rFonts w:cs="Arial" w:hint="cs"/>
          <w:rtl/>
        </w:rPr>
        <w:t>.</w:t>
      </w:r>
      <w:r w:rsidRPr="009D64F8">
        <w:rPr>
          <w:rFonts w:cs="Arial"/>
          <w:rtl/>
        </w:rPr>
        <w:t xml:space="preserve"> דשוויה רבנן כלוקח ראשון</w:t>
      </w:r>
      <w:r>
        <w:rPr>
          <w:rFonts w:cs="Arial" w:hint="cs"/>
          <w:rtl/>
        </w:rPr>
        <w:t>,</w:t>
      </w:r>
      <w:r w:rsidRPr="009D64F8">
        <w:rPr>
          <w:rFonts w:cs="Arial"/>
          <w:rtl/>
        </w:rPr>
        <w:t xml:space="preserve"> הילכך מוציא בלא דמים</w:t>
      </w:r>
      <w:r>
        <w:rPr>
          <w:rFonts w:cs="Arial" w:hint="cs"/>
          <w:rtl/>
        </w:rPr>
        <w:t>.</w:t>
      </w:r>
      <w:r w:rsidRPr="009D64F8">
        <w:rPr>
          <w:rFonts w:cs="Arial"/>
          <w:rtl/>
        </w:rPr>
        <w:t xml:space="preserve"> ומוציא לאו דווקא</w:t>
      </w:r>
      <w:r>
        <w:rPr>
          <w:rFonts w:cs="Arial" w:hint="cs"/>
          <w:rtl/>
        </w:rPr>
        <w:t>,</w:t>
      </w:r>
      <w:r w:rsidRPr="009D64F8">
        <w:rPr>
          <w:rFonts w:cs="Arial"/>
          <w:rtl/>
        </w:rPr>
        <w:t xml:space="preserve"> דכל ימי האשה הקרקע ביד הבעל ואוכל פירות</w:t>
      </w:r>
      <w:r>
        <w:rPr>
          <w:rFonts w:cs="Arial" w:hint="cs"/>
          <w:rtl/>
        </w:rPr>
        <w:t>.</w:t>
      </w:r>
      <w:r w:rsidRPr="009D64F8">
        <w:rPr>
          <w:rFonts w:cs="Arial"/>
          <w:rtl/>
        </w:rPr>
        <w:t xml:space="preserve"> והיא מוכרת הגוף מעכשיו</w:t>
      </w:r>
      <w:r>
        <w:rPr>
          <w:rFonts w:cs="Arial" w:hint="cs"/>
          <w:rtl/>
        </w:rPr>
        <w:t>,</w:t>
      </w:r>
      <w:r w:rsidRPr="009D64F8">
        <w:rPr>
          <w:rFonts w:cs="Arial"/>
          <w:rtl/>
        </w:rPr>
        <w:t xml:space="preserve"> והפירות לאחר מיתתה</w:t>
      </w:r>
      <w:r>
        <w:rPr>
          <w:rFonts w:cs="Arial" w:hint="cs"/>
          <w:rtl/>
        </w:rPr>
        <w:t>.</w:t>
      </w:r>
      <w:r w:rsidRPr="009D64F8">
        <w:rPr>
          <w:rFonts w:cs="Arial"/>
          <w:rtl/>
        </w:rPr>
        <w:t xml:space="preserve"> והבעל מוציא מיד הלוקח הגוף שמכרה לו מעכשיו</w:t>
      </w:r>
      <w:r>
        <w:rPr>
          <w:rFonts w:cs="Arial" w:hint="cs"/>
          <w:rtl/>
        </w:rPr>
        <w:t>,</w:t>
      </w:r>
      <w:r w:rsidRPr="009D64F8">
        <w:rPr>
          <w:rFonts w:cs="Arial"/>
          <w:rtl/>
        </w:rPr>
        <w:t xml:space="preserve"> וישאר אצלו</w:t>
      </w:r>
      <w:r>
        <w:rPr>
          <w:rFonts w:cs="Arial" w:hint="cs"/>
          <w:rtl/>
        </w:rPr>
        <w:t>.</w:t>
      </w:r>
      <w:r w:rsidRPr="009D64F8">
        <w:rPr>
          <w:rFonts w:cs="Arial"/>
          <w:rtl/>
        </w:rPr>
        <w:t xml:space="preserve"> ואי איתנהו להנהו דמי דשקלה איתתיה</w:t>
      </w:r>
      <w:r>
        <w:rPr>
          <w:rFonts w:cs="Arial" w:hint="cs"/>
          <w:rtl/>
        </w:rPr>
        <w:t>,</w:t>
      </w:r>
      <w:r w:rsidRPr="009D64F8">
        <w:rPr>
          <w:rFonts w:cs="Arial"/>
          <w:rtl/>
        </w:rPr>
        <w:t xml:space="preserve"> מהדר להו ללוקח</w:t>
      </w:r>
      <w:r>
        <w:rPr>
          <w:rFonts w:cs="Arial" w:hint="cs"/>
          <w:rtl/>
        </w:rPr>
        <w:t>,</w:t>
      </w:r>
      <w:r w:rsidRPr="009D64F8">
        <w:rPr>
          <w:rFonts w:cs="Arial"/>
          <w:rtl/>
        </w:rPr>
        <w:t xml:space="preserve"> דגזל הוו כיון דהמכר לא הוה מכר</w:t>
      </w:r>
      <w:r>
        <w:rPr>
          <w:rFonts w:cs="Arial" w:hint="cs"/>
          <w:rtl/>
        </w:rPr>
        <w:t>.</w:t>
      </w:r>
      <w:r w:rsidRPr="009D64F8">
        <w:rPr>
          <w:rFonts w:cs="Arial"/>
          <w:rtl/>
        </w:rPr>
        <w:t xml:space="preserve"> אם נמצאו מעות בידה</w:t>
      </w:r>
      <w:r>
        <w:rPr>
          <w:rFonts w:cs="Arial" w:hint="cs"/>
          <w:rtl/>
        </w:rPr>
        <w:t>,</w:t>
      </w:r>
      <w:r w:rsidRPr="009D64F8">
        <w:rPr>
          <w:rFonts w:cs="Arial"/>
          <w:rtl/>
        </w:rPr>
        <w:t xml:space="preserve"> אנו תולים שדמי מכר זה הן</w:t>
      </w:r>
      <w:r>
        <w:rPr>
          <w:rFonts w:cs="Arial" w:hint="cs"/>
          <w:rtl/>
        </w:rPr>
        <w:t>,</w:t>
      </w:r>
      <w:r w:rsidRPr="009D64F8">
        <w:rPr>
          <w:rFonts w:cs="Arial"/>
          <w:rtl/>
        </w:rPr>
        <w:t xml:space="preserve"> ולא מצי בעל למימר דילמא מציאה אשכחה</w:t>
      </w:r>
      <w:r>
        <w:rPr>
          <w:rFonts w:cs="Arial" w:hint="cs"/>
          <w:rtl/>
        </w:rPr>
        <w:t>. עכ"ל הרא"ש.</w:t>
      </w:r>
      <w:r w:rsidRPr="0006636A">
        <w:rPr>
          <w:rFonts w:cs="Arial" w:hint="cs"/>
          <w:rtl/>
        </w:rPr>
        <w:t xml:space="preserve"> </w:t>
      </w:r>
      <w:r>
        <w:rPr>
          <w:rFonts w:cs="Arial" w:hint="cs"/>
          <w:rtl/>
        </w:rPr>
        <w:t xml:space="preserve">וכ"כ </w:t>
      </w:r>
      <w:r>
        <w:rPr>
          <w:rFonts w:cs="Arial"/>
          <w:rtl/>
        </w:rPr>
        <w:t xml:space="preserve">הר"ן בפרק נערה שנתפתתה (יח. ד"ה האשה) בשם הרשב"א (נ. ד"ה האשה) </w:t>
      </w:r>
      <w:r>
        <w:rPr>
          <w:rFonts w:cs="Arial" w:hint="cs"/>
          <w:rtl/>
        </w:rPr>
        <w:t>וז"ל-</w:t>
      </w:r>
      <w:r>
        <w:rPr>
          <w:rFonts w:cs="Arial"/>
          <w:rtl/>
        </w:rPr>
        <w:t xml:space="preserve"> </w:t>
      </w:r>
      <w:r>
        <w:rPr>
          <w:rFonts w:cs="Arial" w:hint="cs"/>
          <w:rtl/>
        </w:rPr>
        <w:t>'</w:t>
      </w:r>
      <w:r>
        <w:rPr>
          <w:rFonts w:cs="Arial"/>
          <w:rtl/>
        </w:rPr>
        <w:t>מוציא</w:t>
      </w:r>
      <w:r>
        <w:rPr>
          <w:rFonts w:cs="Arial" w:hint="cs"/>
          <w:rtl/>
        </w:rPr>
        <w:t>'</w:t>
      </w:r>
      <w:r>
        <w:rPr>
          <w:rFonts w:cs="Arial"/>
          <w:rtl/>
        </w:rPr>
        <w:t xml:space="preserve"> דאמרינן </w:t>
      </w:r>
      <w:r>
        <w:rPr>
          <w:rFonts w:cs="Arial" w:hint="cs"/>
          <w:sz w:val="16"/>
          <w:szCs w:val="16"/>
          <w:rtl/>
        </w:rPr>
        <w:t xml:space="preserve">{בתקנת אושא} </w:t>
      </w:r>
      <w:r>
        <w:rPr>
          <w:rFonts w:cs="Arial"/>
          <w:rtl/>
        </w:rPr>
        <w:t>היינו לומר שעד שמתה זכותן תלוי ועומד בידן שמא ימות הוא בחייה והן נכנסין לנחלה</w:t>
      </w:r>
      <w:r>
        <w:rPr>
          <w:rFonts w:cs="Arial" w:hint="cs"/>
          <w:rtl/>
        </w:rPr>
        <w:t>,</w:t>
      </w:r>
      <w:r>
        <w:rPr>
          <w:rFonts w:cs="Arial"/>
          <w:rtl/>
        </w:rPr>
        <w:t xml:space="preserve"> והכי איתא בירושלמי בפרק הכותב</w:t>
      </w:r>
      <w:r>
        <w:rPr>
          <w:rFonts w:cs="Arial" w:hint="cs"/>
          <w:rtl/>
        </w:rPr>
        <w:t>.</w:t>
      </w:r>
      <w:r>
        <w:rPr>
          <w:rFonts w:cs="Arial"/>
          <w:rtl/>
        </w:rPr>
        <w:t xml:space="preserve"> אבל עכשיו שמתה בחיי הבעל</w:t>
      </w:r>
      <w:r>
        <w:rPr>
          <w:rFonts w:cs="Arial" w:hint="cs"/>
          <w:rtl/>
        </w:rPr>
        <w:t>,</w:t>
      </w:r>
      <w:r>
        <w:rPr>
          <w:rFonts w:cs="Arial"/>
          <w:rtl/>
        </w:rPr>
        <w:t xml:space="preserve"> מוציא מידן זכות זה שהיה תלוי ועומד בידן</w:t>
      </w:r>
      <w:r>
        <w:rPr>
          <w:rFonts w:cs="Arial" w:hint="cs"/>
          <w:rtl/>
        </w:rPr>
        <w:t>.</w:t>
      </w:r>
      <w:r>
        <w:rPr>
          <w:rFonts w:cs="Arial"/>
          <w:rtl/>
        </w:rPr>
        <w:t xml:space="preserve"> ולא מוציא ממש קאמר</w:t>
      </w:r>
      <w:r>
        <w:rPr>
          <w:rFonts w:cs="Arial" w:hint="cs"/>
          <w:rtl/>
        </w:rPr>
        <w:t>,</w:t>
      </w:r>
      <w:r>
        <w:rPr>
          <w:rFonts w:cs="Arial"/>
          <w:rtl/>
        </w:rPr>
        <w:t xml:space="preserve"> דנכסים לאו ביד הלקוחות הוו קיימי</w:t>
      </w:r>
      <w:r>
        <w:rPr>
          <w:rFonts w:cs="Arial" w:hint="cs"/>
          <w:rtl/>
        </w:rPr>
        <w:t>.</w:t>
      </w:r>
      <w:r>
        <w:rPr>
          <w:rFonts w:cs="Arial"/>
          <w:rtl/>
        </w:rPr>
        <w:t xml:space="preserve"> עכ"ל</w:t>
      </w:r>
      <w:r>
        <w:rPr>
          <w:rFonts w:cs="Arial" w:hint="cs"/>
          <w:rtl/>
        </w:rPr>
        <w:t>.</w:t>
      </w:r>
    </w:p>
  </w:footnote>
  <w:footnote w:id="2019">
    <w:p w14:paraId="4E5C898E" w14:textId="77777777" w:rsidR="00DF1FC7" w:rsidRDefault="00DF1FC7" w:rsidP="002E5BAD">
      <w:pPr>
        <w:pStyle w:val="a5"/>
      </w:pPr>
      <w:r>
        <w:rPr>
          <w:rStyle w:val="a7"/>
        </w:rPr>
        <w:footnoteRef/>
      </w:r>
      <w:r>
        <w:rPr>
          <w:rtl/>
        </w:rPr>
        <w:t xml:space="preserve"> </w:t>
      </w:r>
      <w:r>
        <w:rPr>
          <w:rFonts w:cs="Arial"/>
          <w:rtl/>
        </w:rPr>
        <w:t>שגוף הקרקע מכור ואם ימות הוא בחייה זכו הלקוחות</w:t>
      </w:r>
      <w:r>
        <w:rPr>
          <w:rFonts w:cs="Arial" w:hint="cs"/>
          <w:rtl/>
        </w:rPr>
        <w:t>,</w:t>
      </w:r>
      <w:r>
        <w:rPr>
          <w:rFonts w:cs="Arial"/>
          <w:rtl/>
        </w:rPr>
        <w:t xml:space="preserve"> וכן מבואר בירושלמי פרק הכותב (ה"א)</w:t>
      </w:r>
      <w:r>
        <w:rPr>
          <w:rFonts w:cs="Arial" w:hint="cs"/>
          <w:rtl/>
        </w:rPr>
        <w:t>, הה"מ (שם, כ"כ בשמו הב"י).</w:t>
      </w:r>
    </w:p>
  </w:footnote>
  <w:footnote w:id="2020">
    <w:p w14:paraId="4F15DB2F" w14:textId="77777777" w:rsidR="00DF1FC7" w:rsidRDefault="00DF1FC7" w:rsidP="002E5BAD">
      <w:pPr>
        <w:pStyle w:val="a5"/>
      </w:pPr>
      <w:r>
        <w:rPr>
          <w:rStyle w:val="a7"/>
        </w:rPr>
        <w:footnoteRef/>
      </w:r>
      <w:r>
        <w:rPr>
          <w:rtl/>
        </w:rPr>
        <w:t xml:space="preserve"> </w:t>
      </w:r>
      <w:r>
        <w:rPr>
          <w:rFonts w:hint="cs"/>
          <w:rtl/>
        </w:rPr>
        <w:t xml:space="preserve">וז"ל- </w:t>
      </w:r>
      <w:r w:rsidRPr="0055510E">
        <w:rPr>
          <w:rFonts w:cs="Arial"/>
          <w:rtl/>
        </w:rPr>
        <w:t>וקי"ל דבעל מוציא מיד הלקוחות בלא דמים ואי איתנהו להנהו דמי דשקלה אתתיה מהדר להו ללוקח ולא יכול בעל למימר דילמא מציאה אשכחה</w:t>
      </w:r>
      <w:r>
        <w:rPr>
          <w:rFonts w:cs="Arial" w:hint="cs"/>
          <w:rtl/>
        </w:rPr>
        <w:t>.</w:t>
      </w:r>
      <w:r>
        <w:rPr>
          <w:rFonts w:hint="cs"/>
          <w:rtl/>
        </w:rPr>
        <w:t xml:space="preserve"> עכ"ל. </w:t>
      </w:r>
      <w:r>
        <w:rPr>
          <w:rFonts w:cs="Arial"/>
          <w:rtl/>
        </w:rPr>
        <w:t>וכתב עליו הר"ן (שם) בשם הרשב"א (שם) דמלשונו זה משמע דאע</w:t>
      </w:r>
      <w:r>
        <w:rPr>
          <w:rFonts w:cs="Arial" w:hint="cs"/>
          <w:rtl/>
        </w:rPr>
        <w:t>"</w:t>
      </w:r>
      <w:r>
        <w:rPr>
          <w:rFonts w:cs="Arial"/>
          <w:rtl/>
        </w:rPr>
        <w:t>ג דליכא סהדי דהנהו זוזי ממש איתנהו דשקיל מלוקח אלא דהניחה זוזי מסתמא אמרינן דאינהו נינהו זוזי וה"ל כעין פקדון דאיגלאי מילתא דממכרה בטל למפרע ומעות כעין פקדון נינהו אבל אחלפינהו אע</w:t>
      </w:r>
      <w:r>
        <w:rPr>
          <w:rFonts w:cs="Arial" w:hint="cs"/>
          <w:rtl/>
        </w:rPr>
        <w:t>"</w:t>
      </w:r>
      <w:r>
        <w:rPr>
          <w:rFonts w:cs="Arial"/>
          <w:rtl/>
        </w:rPr>
        <w:t>ג דחילופיהן בידה מסתברא דאינו חייב בעל לשלומי מינייהו ללוקח דמכי שלחה בהו יד קמו זוזי עלה בהלואה ומימר אמר להו אנא מטלטלי שבקה לי וזוזי דידכו קמו עלה בהלואה ואינו משלם</w:t>
      </w:r>
      <w:r>
        <w:rPr>
          <w:rFonts w:cs="Arial" w:hint="cs"/>
          <w:rtl/>
        </w:rPr>
        <w:t>.</w:t>
      </w:r>
      <w:r>
        <w:rPr>
          <w:rFonts w:cs="Arial"/>
          <w:rtl/>
        </w:rPr>
        <w:t xml:space="preserve"> וכ</w:t>
      </w:r>
      <w:r>
        <w:rPr>
          <w:rFonts w:cs="Arial" w:hint="cs"/>
          <w:rtl/>
        </w:rPr>
        <w:t>"</w:t>
      </w:r>
      <w:r>
        <w:rPr>
          <w:rFonts w:cs="Arial"/>
          <w:rtl/>
        </w:rPr>
        <w:t>כ ה</w:t>
      </w:r>
      <w:r>
        <w:rPr>
          <w:rFonts w:cs="Arial" w:hint="cs"/>
          <w:rtl/>
        </w:rPr>
        <w:t>ה"מ</w:t>
      </w:r>
      <w:r>
        <w:rPr>
          <w:rFonts w:cs="Arial"/>
          <w:rtl/>
        </w:rPr>
        <w:t xml:space="preserve"> בפכ"ב מהל</w:t>
      </w:r>
      <w:r>
        <w:rPr>
          <w:rFonts w:cs="Arial" w:hint="cs"/>
          <w:rtl/>
        </w:rPr>
        <w:t>'</w:t>
      </w:r>
      <w:r>
        <w:rPr>
          <w:rFonts w:cs="Arial"/>
          <w:rtl/>
        </w:rPr>
        <w:t xml:space="preserve"> אישות ג"כ בשם הרשב"א ז"ל</w:t>
      </w:r>
      <w:r>
        <w:rPr>
          <w:rFonts w:cs="Arial" w:hint="cs"/>
          <w:rtl/>
        </w:rPr>
        <w:t>.</w:t>
      </w:r>
      <w:r>
        <w:rPr>
          <w:rFonts w:cs="Arial"/>
          <w:rtl/>
        </w:rPr>
        <w:t xml:space="preserve"> ודבר זה מבואר בדברי הרמב"ם </w:t>
      </w:r>
      <w:r>
        <w:rPr>
          <w:rFonts w:cs="Arial" w:hint="cs"/>
          <w:rtl/>
        </w:rPr>
        <w:t>(פכ"ב ה"ז), ב"י.</w:t>
      </w:r>
      <w:r>
        <w:rPr>
          <w:rFonts w:cs="Arial"/>
          <w:rtl/>
        </w:rPr>
        <w:t xml:space="preserve"> </w:t>
      </w:r>
    </w:p>
  </w:footnote>
  <w:footnote w:id="2021">
    <w:p w14:paraId="148688AC" w14:textId="77777777" w:rsidR="00DF1FC7" w:rsidRDefault="00DF1FC7" w:rsidP="002E5BAD">
      <w:pPr>
        <w:pStyle w:val="a5"/>
        <w:rPr>
          <w:rtl/>
        </w:rPr>
      </w:pPr>
      <w:r>
        <w:rPr>
          <w:rStyle w:val="a7"/>
        </w:rPr>
        <w:footnoteRef/>
      </w:r>
      <w:r>
        <w:rPr>
          <w:rtl/>
        </w:rPr>
        <w:t xml:space="preserve"> </w:t>
      </w:r>
      <w:r>
        <w:rPr>
          <w:rFonts w:cs="Arial" w:hint="cs"/>
          <w:rtl/>
        </w:rPr>
        <w:t>ו</w:t>
      </w:r>
      <w:r w:rsidRPr="000D1E98">
        <w:rPr>
          <w:rFonts w:cs="Arial"/>
          <w:rtl/>
        </w:rPr>
        <w:t>לא חשו לפסידא דלקוחות דלא איבעי להו למיזבן מאיתתא דיתבה תותי גברא כדאיתא בשילהי יש נוחלין (קלט</w:t>
      </w:r>
      <w:r>
        <w:rPr>
          <w:rFonts w:cs="Arial" w:hint="cs"/>
          <w:rtl/>
        </w:rPr>
        <w:t>:</w:t>
      </w:r>
      <w:r w:rsidRPr="000D1E98">
        <w:rPr>
          <w:rFonts w:cs="Arial"/>
          <w:rtl/>
        </w:rPr>
        <w:t>)</w:t>
      </w:r>
      <w:r>
        <w:rPr>
          <w:rFonts w:cs="Arial" w:hint="cs"/>
          <w:rtl/>
        </w:rPr>
        <w:t>.</w:t>
      </w:r>
      <w:r w:rsidRPr="000D1E98">
        <w:rPr>
          <w:rFonts w:cs="Arial"/>
          <w:rtl/>
        </w:rPr>
        <w:t xml:space="preserve"> וה"ה ללותה דאינו משלם כלום דמכי נשאת הוה ליה לוקח</w:t>
      </w:r>
      <w:r>
        <w:rPr>
          <w:rFonts w:cs="Arial" w:hint="cs"/>
          <w:rtl/>
        </w:rPr>
        <w:t>,</w:t>
      </w:r>
      <w:r w:rsidRPr="000D1E98">
        <w:rPr>
          <w:rFonts w:hint="cs"/>
          <w:rtl/>
        </w:rPr>
        <w:t xml:space="preserve"> </w:t>
      </w:r>
      <w:r>
        <w:rPr>
          <w:rFonts w:hint="cs"/>
          <w:rtl/>
        </w:rPr>
        <w:t>רשב"א (נ.)</w:t>
      </w:r>
      <w:r>
        <w:rPr>
          <w:rFonts w:cs="Arial" w:hint="cs"/>
          <w:rtl/>
        </w:rPr>
        <w:t>.</w:t>
      </w:r>
    </w:p>
  </w:footnote>
  <w:footnote w:id="2022">
    <w:p w14:paraId="0835E5DC" w14:textId="77777777" w:rsidR="00DF1FC7" w:rsidRDefault="00DF1FC7" w:rsidP="002E5BAD">
      <w:pPr>
        <w:pStyle w:val="a5"/>
      </w:pPr>
      <w:r>
        <w:rPr>
          <w:rStyle w:val="a7"/>
        </w:rPr>
        <w:footnoteRef/>
      </w:r>
      <w:r>
        <w:rPr>
          <w:rtl/>
        </w:rPr>
        <w:t xml:space="preserve"> </w:t>
      </w:r>
      <w:r w:rsidRPr="00BC36A2">
        <w:rPr>
          <w:rFonts w:cs="Arial"/>
          <w:rtl/>
        </w:rPr>
        <w:t xml:space="preserve">ועיין ב"ח </w:t>
      </w:r>
      <w:r>
        <w:rPr>
          <w:rFonts w:cs="Arial" w:hint="cs"/>
          <w:rtl/>
        </w:rPr>
        <w:t>(</w:t>
      </w:r>
      <w:r w:rsidRPr="00BC36A2">
        <w:rPr>
          <w:rFonts w:cs="Arial"/>
          <w:rtl/>
        </w:rPr>
        <w:t>ח</w:t>
      </w:r>
      <w:r>
        <w:rPr>
          <w:rFonts w:cs="Arial" w:hint="cs"/>
          <w:rtl/>
        </w:rPr>
        <w:t>ו"מ</w:t>
      </w:r>
      <w:r w:rsidRPr="00BC36A2">
        <w:rPr>
          <w:rFonts w:cs="Arial"/>
          <w:rtl/>
        </w:rPr>
        <w:t xml:space="preserve"> ס"ס צו</w:t>
      </w:r>
      <w:r>
        <w:rPr>
          <w:rFonts w:cs="Arial" w:hint="cs"/>
          <w:rtl/>
        </w:rPr>
        <w:t>)</w:t>
      </w:r>
      <w:r w:rsidRPr="00BC36A2">
        <w:rPr>
          <w:rFonts w:cs="Arial"/>
          <w:rtl/>
        </w:rPr>
        <w:t xml:space="preserve"> שכתוב לוה שאין לו לשלם לכל ב</w:t>
      </w:r>
      <w:r>
        <w:rPr>
          <w:rFonts w:cs="Arial" w:hint="cs"/>
          <w:rtl/>
        </w:rPr>
        <w:t xml:space="preserve">עלי </w:t>
      </w:r>
      <w:r w:rsidRPr="00BC36A2">
        <w:rPr>
          <w:rFonts w:cs="Arial"/>
          <w:rtl/>
        </w:rPr>
        <w:t>ח</w:t>
      </w:r>
      <w:r>
        <w:rPr>
          <w:rFonts w:cs="Arial" w:hint="cs"/>
          <w:rtl/>
        </w:rPr>
        <w:t>וב</w:t>
      </w:r>
      <w:r w:rsidRPr="00BC36A2">
        <w:rPr>
          <w:rFonts w:cs="Arial"/>
          <w:rtl/>
        </w:rPr>
        <w:t xml:space="preserve"> ויש בידו בעין סחורו</w:t>
      </w:r>
      <w:r>
        <w:rPr>
          <w:rFonts w:cs="Arial" w:hint="cs"/>
          <w:rtl/>
        </w:rPr>
        <w:t>ת</w:t>
      </w:r>
      <w:r w:rsidRPr="00BC36A2">
        <w:rPr>
          <w:rFonts w:cs="Arial"/>
          <w:rtl/>
        </w:rPr>
        <w:t xml:space="preserve"> מה שלקח בהקפה מן איזה אנשים</w:t>
      </w:r>
      <w:r>
        <w:rPr>
          <w:rFonts w:cs="Arial" w:hint="cs"/>
          <w:rtl/>
        </w:rPr>
        <w:t xml:space="preserve"> -</w:t>
      </w:r>
      <w:r w:rsidRPr="00BC36A2">
        <w:rPr>
          <w:rFonts w:cs="Arial"/>
          <w:rtl/>
        </w:rPr>
        <w:t xml:space="preserve"> מחזירים אותם סחורות לאלו אנשים ואינם בכלל חלוקה</w:t>
      </w:r>
      <w:r>
        <w:rPr>
          <w:rFonts w:cs="Arial" w:hint="cs"/>
          <w:rtl/>
        </w:rPr>
        <w:t>.</w:t>
      </w:r>
      <w:r w:rsidRPr="00BC36A2">
        <w:rPr>
          <w:rFonts w:cs="Arial"/>
          <w:rtl/>
        </w:rPr>
        <w:t xml:space="preserve"> ונראה אם ידוע שלקח סחורה כזו אמרי</w:t>
      </w:r>
      <w:r>
        <w:rPr>
          <w:rFonts w:cs="Arial" w:hint="cs"/>
          <w:rtl/>
        </w:rPr>
        <w:t>נן</w:t>
      </w:r>
      <w:r w:rsidRPr="00BC36A2">
        <w:rPr>
          <w:rFonts w:cs="Arial"/>
          <w:rtl/>
        </w:rPr>
        <w:t xml:space="preserve"> זו הסחור</w:t>
      </w:r>
      <w:r>
        <w:rPr>
          <w:rFonts w:cs="Arial" w:hint="cs"/>
          <w:rtl/>
        </w:rPr>
        <w:t>ה</w:t>
      </w:r>
      <w:r w:rsidRPr="00BC36A2">
        <w:rPr>
          <w:rFonts w:cs="Arial"/>
          <w:rtl/>
        </w:rPr>
        <w:t xml:space="preserve"> שבידו מהני סחורו</w:t>
      </w:r>
      <w:r>
        <w:rPr>
          <w:rFonts w:cs="Arial" w:hint="cs"/>
          <w:rtl/>
        </w:rPr>
        <w:t>ת</w:t>
      </w:r>
      <w:r w:rsidRPr="00BC36A2">
        <w:rPr>
          <w:rFonts w:cs="Arial"/>
          <w:rtl/>
        </w:rPr>
        <w:t xml:space="preserve"> הם אע</w:t>
      </w:r>
      <w:r>
        <w:rPr>
          <w:rFonts w:cs="Arial" w:hint="cs"/>
          <w:rtl/>
        </w:rPr>
        <w:t>"</w:t>
      </w:r>
      <w:r w:rsidRPr="00BC36A2">
        <w:rPr>
          <w:rFonts w:cs="Arial"/>
          <w:rtl/>
        </w:rPr>
        <w:t xml:space="preserve">ג דא"י בבירור דאלו סחורות של פלוני הם </w:t>
      </w:r>
      <w:r>
        <w:rPr>
          <w:rFonts w:cs="Arial" w:hint="cs"/>
          <w:rtl/>
        </w:rPr>
        <w:t>(</w:t>
      </w:r>
      <w:r w:rsidRPr="00BC36A2">
        <w:rPr>
          <w:rFonts w:cs="Arial"/>
          <w:rtl/>
        </w:rPr>
        <w:t>כמו דלא חיישי</w:t>
      </w:r>
      <w:r>
        <w:rPr>
          <w:rFonts w:cs="Arial" w:hint="cs"/>
          <w:rtl/>
        </w:rPr>
        <w:t>נן</w:t>
      </w:r>
      <w:r w:rsidRPr="00BC36A2">
        <w:rPr>
          <w:rFonts w:cs="Arial"/>
          <w:rtl/>
        </w:rPr>
        <w:t xml:space="preserve"> כאן </w:t>
      </w:r>
      <w:r w:rsidRPr="00B63936">
        <w:rPr>
          <w:rFonts w:cs="Arial" w:hint="cs"/>
          <w:sz w:val="16"/>
          <w:szCs w:val="16"/>
          <w:rtl/>
        </w:rPr>
        <w:t>{בדברי הרמב"ם והשו"ע</w:t>
      </w:r>
      <w:r>
        <w:rPr>
          <w:rFonts w:cs="Arial" w:hint="cs"/>
          <w:sz w:val="16"/>
          <w:szCs w:val="16"/>
          <w:rtl/>
        </w:rPr>
        <w:t xml:space="preserve"> להב' הב"ש</w:t>
      </w:r>
      <w:r w:rsidRPr="00B63936">
        <w:rPr>
          <w:rFonts w:cs="Arial" w:hint="cs"/>
          <w:sz w:val="16"/>
          <w:szCs w:val="16"/>
          <w:rtl/>
        </w:rPr>
        <w:t xml:space="preserve">} </w:t>
      </w:r>
      <w:r w:rsidRPr="00BC36A2">
        <w:rPr>
          <w:rFonts w:cs="Arial"/>
          <w:rtl/>
        </w:rPr>
        <w:t>שמא מעות אחרים הוא אם ידוע דלקחה מעות כאלו</w:t>
      </w:r>
      <w:r>
        <w:rPr>
          <w:rFonts w:cs="Arial" w:hint="cs"/>
          <w:rtl/>
        </w:rPr>
        <w:t>).</w:t>
      </w:r>
      <w:r w:rsidRPr="00BC36A2">
        <w:rPr>
          <w:rFonts w:cs="Arial"/>
          <w:rtl/>
        </w:rPr>
        <w:t xml:space="preserve"> ושם כתב ב"ח אפי' מה דנתחלף מאלו סחורות הוי כאלו הי</w:t>
      </w:r>
      <w:r>
        <w:rPr>
          <w:rFonts w:cs="Arial" w:hint="cs"/>
          <w:rtl/>
        </w:rPr>
        <w:t>ו</w:t>
      </w:r>
      <w:r w:rsidRPr="00BC36A2">
        <w:rPr>
          <w:rFonts w:cs="Arial"/>
          <w:rtl/>
        </w:rPr>
        <w:t xml:space="preserve"> אלו סחורות בעין</w:t>
      </w:r>
      <w:r>
        <w:rPr>
          <w:rFonts w:cs="Arial" w:hint="cs"/>
          <w:rtl/>
        </w:rPr>
        <w:t>,</w:t>
      </w:r>
      <w:r w:rsidRPr="00BC36A2">
        <w:rPr>
          <w:rFonts w:cs="Arial"/>
          <w:rtl/>
        </w:rPr>
        <w:t xml:space="preserve"> וכן הוא שם בטור סי' ק"ח ובב"י ס"ס צ"ו בשם בעל התרומות</w:t>
      </w:r>
      <w:r>
        <w:rPr>
          <w:rFonts w:cs="Arial" w:hint="cs"/>
          <w:rtl/>
        </w:rPr>
        <w:t>,</w:t>
      </w:r>
      <w:r w:rsidRPr="00BC36A2">
        <w:rPr>
          <w:rFonts w:cs="Arial"/>
          <w:rtl/>
        </w:rPr>
        <w:t xml:space="preserve"> ומזה ראיה כמ"ש בשם הנ"י</w:t>
      </w:r>
      <w:r>
        <w:rPr>
          <w:rFonts w:cs="Arial" w:hint="cs"/>
          <w:rtl/>
        </w:rPr>
        <w:t>.</w:t>
      </w:r>
      <w:r w:rsidRPr="00BC36A2">
        <w:rPr>
          <w:rFonts w:cs="Arial"/>
          <w:rtl/>
        </w:rPr>
        <w:t xml:space="preserve"> וע' תשובת צ"צ סי' קיז</w:t>
      </w:r>
      <w:r>
        <w:rPr>
          <w:rFonts w:cs="Arial" w:hint="cs"/>
          <w:rtl/>
        </w:rPr>
        <w:t xml:space="preserve">, ב"ש </w:t>
      </w:r>
      <w:r>
        <w:rPr>
          <w:rFonts w:hint="cs"/>
          <w:rtl/>
        </w:rPr>
        <w:t>(סקל"ח).</w:t>
      </w:r>
    </w:p>
  </w:footnote>
  <w:footnote w:id="2023">
    <w:p w14:paraId="16BFE551" w14:textId="77777777" w:rsidR="00DF1FC7" w:rsidRDefault="00DF1FC7" w:rsidP="002E5BAD">
      <w:pPr>
        <w:pStyle w:val="a5"/>
        <w:rPr>
          <w:rtl/>
        </w:rPr>
      </w:pPr>
      <w:r>
        <w:rPr>
          <w:rStyle w:val="a7"/>
        </w:rPr>
        <w:footnoteRef/>
      </w:r>
      <w:r>
        <w:rPr>
          <w:rtl/>
        </w:rPr>
        <w:t xml:space="preserve"> </w:t>
      </w:r>
      <w:r w:rsidRPr="00F613E0">
        <w:rPr>
          <w:rFonts w:cs="Arial"/>
          <w:rtl/>
        </w:rPr>
        <w:t>ועיין לעיל ריש סימן זה ובח"ה סימן ת"ה אם הקדישה ברצון בעלה או ששתק אימת צריך לקיים</w:t>
      </w:r>
      <w:r>
        <w:rPr>
          <w:rFonts w:hint="cs"/>
          <w:rtl/>
        </w:rPr>
        <w:t>, דרכ"מ (אות ז).</w:t>
      </w:r>
    </w:p>
  </w:footnote>
  <w:footnote w:id="2024">
    <w:p w14:paraId="5ACD1756" w14:textId="77777777" w:rsidR="00DF1FC7" w:rsidRDefault="00DF1FC7" w:rsidP="002E5BAD">
      <w:pPr>
        <w:pStyle w:val="a5"/>
      </w:pPr>
      <w:r>
        <w:rPr>
          <w:rStyle w:val="a7"/>
        </w:rPr>
        <w:footnoteRef/>
      </w:r>
      <w:r>
        <w:rPr>
          <w:rtl/>
        </w:rPr>
        <w:t xml:space="preserve"> </w:t>
      </w:r>
      <w:r w:rsidRPr="00524552">
        <w:rPr>
          <w:rFonts w:cs="Arial"/>
          <w:rtl/>
        </w:rPr>
        <w:t>אין ללוקח תועלת בגוף הקרקע מאחר שהפירו</w:t>
      </w:r>
      <w:r>
        <w:rPr>
          <w:rFonts w:cs="Arial" w:hint="cs"/>
          <w:rtl/>
        </w:rPr>
        <w:t>ת</w:t>
      </w:r>
      <w:r w:rsidRPr="00524552">
        <w:rPr>
          <w:rFonts w:cs="Arial"/>
          <w:rtl/>
        </w:rPr>
        <w:t xml:space="preserve"> וכל תשמישי קרקע הכל לבעל</w:t>
      </w:r>
      <w:r>
        <w:rPr>
          <w:rFonts w:cs="Arial" w:hint="cs"/>
          <w:rtl/>
        </w:rPr>
        <w:t>.</w:t>
      </w:r>
      <w:r w:rsidRPr="00524552">
        <w:rPr>
          <w:rFonts w:cs="Arial"/>
          <w:rtl/>
        </w:rPr>
        <w:t xml:space="preserve"> ואם למחות ביד הבעל שלא לקלקל בקרקע ולחפור בורות שיחין מערות</w:t>
      </w:r>
      <w:r>
        <w:rPr>
          <w:rFonts w:cs="Arial" w:hint="cs"/>
          <w:rtl/>
        </w:rPr>
        <w:t>,</w:t>
      </w:r>
      <w:r w:rsidRPr="00524552">
        <w:rPr>
          <w:rFonts w:cs="Arial"/>
          <w:rtl/>
        </w:rPr>
        <w:t xml:space="preserve"> גם הרא"ש (דס"ל דמוציא אף גוף הקרקע וכמו שכתב בהג"ה אח"ז) יודה לזה</w:t>
      </w:r>
      <w:r>
        <w:rPr>
          <w:rFonts w:cs="Arial" w:hint="cs"/>
          <w:rtl/>
        </w:rPr>
        <w:t>,</w:t>
      </w:r>
      <w:r w:rsidRPr="00524552">
        <w:rPr>
          <w:rFonts w:cs="Arial"/>
          <w:rtl/>
        </w:rPr>
        <w:t xml:space="preserve"> דכל </w:t>
      </w:r>
      <w:r>
        <w:rPr>
          <w:rFonts w:cs="Arial" w:hint="cs"/>
          <w:rtl/>
        </w:rPr>
        <w:t>ש</w:t>
      </w:r>
      <w:r w:rsidRPr="00524552">
        <w:rPr>
          <w:rFonts w:cs="Arial"/>
          <w:rtl/>
        </w:rPr>
        <w:t>האש</w:t>
      </w:r>
      <w:r>
        <w:rPr>
          <w:rFonts w:cs="Arial" w:hint="cs"/>
          <w:rtl/>
        </w:rPr>
        <w:t>ה</w:t>
      </w:r>
      <w:r w:rsidRPr="00524552">
        <w:rPr>
          <w:rFonts w:cs="Arial"/>
          <w:rtl/>
        </w:rPr>
        <w:t xml:space="preserve"> יכולה למחות גם הלוקח יכול למחות</w:t>
      </w:r>
      <w:r>
        <w:rPr>
          <w:rFonts w:cs="Arial" w:hint="cs"/>
          <w:sz w:val="16"/>
          <w:szCs w:val="16"/>
          <w:rtl/>
        </w:rPr>
        <w:t xml:space="preserve"> {וכ"כ ב"ש [סקל"ו], ודלא כפרישה דכתב דלדעת הרא"ש הלוקח אינו יכול למחות}</w:t>
      </w:r>
      <w:r>
        <w:rPr>
          <w:rFonts w:cs="Arial" w:hint="cs"/>
          <w:rtl/>
        </w:rPr>
        <w:t>.</w:t>
      </w:r>
      <w:r w:rsidRPr="00524552">
        <w:rPr>
          <w:rFonts w:cs="Arial"/>
          <w:rtl/>
        </w:rPr>
        <w:t xml:space="preserve"> ומכל מקום יש ללוקח תועלת בגוף הקרקע לענין פרוזבול</w:t>
      </w:r>
      <w:r>
        <w:rPr>
          <w:rFonts w:hint="cs"/>
          <w:rtl/>
        </w:rPr>
        <w:t>, ח"מ (סקכ"ז).</w:t>
      </w:r>
      <w:r w:rsidRPr="009B688E">
        <w:rPr>
          <w:rtl/>
        </w:rPr>
        <w:t xml:space="preserve"> </w:t>
      </w:r>
      <w:r>
        <w:rPr>
          <w:rFonts w:cs="Arial" w:hint="cs"/>
          <w:rtl/>
        </w:rPr>
        <w:t>וכתב הב"ש (סקל"ו) דיש עוד נפקא מינה, והיא ש</w:t>
      </w:r>
      <w:r w:rsidRPr="009B688E">
        <w:rPr>
          <w:rFonts w:cs="Arial"/>
          <w:rtl/>
        </w:rPr>
        <w:t>להרמב"ם דסבירא ליה דגוף הקרקע נשאר ביד הלוקח ויש לו זכות כאילו הקרקע היה שלו</w:t>
      </w:r>
      <w:r>
        <w:rPr>
          <w:rFonts w:cs="Arial" w:hint="cs"/>
          <w:rtl/>
        </w:rPr>
        <w:t xml:space="preserve"> -</w:t>
      </w:r>
      <w:r w:rsidRPr="009B688E">
        <w:rPr>
          <w:rFonts w:cs="Arial"/>
          <w:rtl/>
        </w:rPr>
        <w:t xml:space="preserve"> אין לו דין על המעות אפילו כשהמעות בעין עד שתמו</w:t>
      </w:r>
      <w:r>
        <w:rPr>
          <w:rFonts w:cs="Arial" w:hint="cs"/>
          <w:rtl/>
        </w:rPr>
        <w:t>ת</w:t>
      </w:r>
      <w:r w:rsidRPr="009B688E">
        <w:rPr>
          <w:rFonts w:cs="Arial"/>
          <w:rtl/>
        </w:rPr>
        <w:t xml:space="preserve"> והבעל מוציא הקרקע מיד הלוקח</w:t>
      </w:r>
      <w:r>
        <w:rPr>
          <w:rFonts w:cs="Arial" w:hint="cs"/>
          <w:rtl/>
        </w:rPr>
        <w:t>.</w:t>
      </w:r>
      <w:r w:rsidRPr="009B688E">
        <w:rPr>
          <w:rFonts w:cs="Arial"/>
          <w:rtl/>
        </w:rPr>
        <w:t xml:space="preserve"> וכן מדיוק ברמב"ם שכתב ואם הדמים וכו' בסיפא בשמתה בחייו</w:t>
      </w:r>
      <w:r>
        <w:rPr>
          <w:rFonts w:cs="Arial" w:hint="cs"/>
          <w:rtl/>
        </w:rPr>
        <w:t>,</w:t>
      </w:r>
      <w:r w:rsidRPr="009B688E">
        <w:rPr>
          <w:rFonts w:cs="Arial"/>
          <w:rtl/>
        </w:rPr>
        <w:t xml:space="preserve"> ש"מ בחייו אין ללוקח טענה על המעות</w:t>
      </w:r>
      <w:r>
        <w:rPr>
          <w:rFonts w:cs="Arial" w:hint="cs"/>
          <w:rtl/>
        </w:rPr>
        <w:t>.</w:t>
      </w:r>
      <w:r w:rsidRPr="009B688E">
        <w:rPr>
          <w:rFonts w:cs="Arial"/>
          <w:rtl/>
        </w:rPr>
        <w:t xml:space="preserve"> אבל לשיטו' הרא"ש נראה דיש ללוקח טענה על המעות מיד</w:t>
      </w:r>
      <w:r>
        <w:rPr>
          <w:rFonts w:cs="Arial" w:hint="cs"/>
          <w:rtl/>
        </w:rPr>
        <w:t>,</w:t>
      </w:r>
      <w:r w:rsidRPr="009B688E">
        <w:rPr>
          <w:rFonts w:cs="Arial"/>
          <w:rtl/>
        </w:rPr>
        <w:t xml:space="preserve"> מאחר שאין לו שום זכות בקרקע</w:t>
      </w:r>
      <w:r>
        <w:rPr>
          <w:rFonts w:cs="Arial" w:hint="cs"/>
          <w:rtl/>
        </w:rPr>
        <w:t>.</w:t>
      </w:r>
      <w:r w:rsidRPr="009B688E">
        <w:rPr>
          <w:rFonts w:cs="Arial"/>
          <w:rtl/>
        </w:rPr>
        <w:t xml:space="preserve"> שוב ראיתי כן בפרישה סקל"ז</w:t>
      </w:r>
      <w:r>
        <w:rPr>
          <w:rFonts w:cs="Arial" w:hint="cs"/>
          <w:rtl/>
        </w:rPr>
        <w:t>.</w:t>
      </w:r>
    </w:p>
  </w:footnote>
  <w:footnote w:id="2025">
    <w:p w14:paraId="09051FF4" w14:textId="77777777" w:rsidR="00DF1FC7" w:rsidRDefault="00DF1FC7" w:rsidP="002E5BAD">
      <w:pPr>
        <w:pStyle w:val="a5"/>
        <w:rPr>
          <w:rtl/>
        </w:rPr>
      </w:pPr>
      <w:r>
        <w:rPr>
          <w:rStyle w:val="a7"/>
        </w:rPr>
        <w:footnoteRef/>
      </w:r>
      <w:r>
        <w:rPr>
          <w:rtl/>
        </w:rPr>
        <w:t xml:space="preserve"> </w:t>
      </w:r>
      <w:r w:rsidRPr="00B907BA">
        <w:rPr>
          <w:rFonts w:cs="Arial"/>
          <w:rtl/>
        </w:rPr>
        <w:t>הרא"ש כתב אפילו אם מכרה רק הגוף בלא הפירות מוציא הגוף</w:t>
      </w:r>
      <w:r>
        <w:rPr>
          <w:rFonts w:cs="Arial" w:hint="cs"/>
          <w:rtl/>
        </w:rPr>
        <w:t>,</w:t>
      </w:r>
      <w:r w:rsidRPr="00B907BA">
        <w:rPr>
          <w:rFonts w:cs="Arial"/>
          <w:rtl/>
        </w:rPr>
        <w:t xml:space="preserve"> </w:t>
      </w:r>
      <w:r>
        <w:rPr>
          <w:rFonts w:cs="Arial" w:hint="cs"/>
          <w:rtl/>
        </w:rPr>
        <w:t xml:space="preserve">לכך </w:t>
      </w:r>
      <w:r w:rsidRPr="00B907BA">
        <w:rPr>
          <w:rFonts w:cs="Arial"/>
          <w:rtl/>
        </w:rPr>
        <w:t>נראה אף בכה"ג מוציא הקרקע מיד</w:t>
      </w:r>
      <w:r>
        <w:rPr>
          <w:rFonts w:cs="Arial" w:hint="cs"/>
          <w:rtl/>
        </w:rPr>
        <w:t>, ב"ש (סקל"ז).</w:t>
      </w:r>
    </w:p>
  </w:footnote>
  <w:footnote w:id="2026">
    <w:p w14:paraId="24A781B9" w14:textId="77777777" w:rsidR="00DF1FC7" w:rsidRDefault="00DF1FC7" w:rsidP="002E5BAD">
      <w:pPr>
        <w:pStyle w:val="a5"/>
      </w:pPr>
      <w:r>
        <w:rPr>
          <w:rStyle w:val="a7"/>
        </w:rPr>
        <w:footnoteRef/>
      </w:r>
      <w:r>
        <w:rPr>
          <w:rtl/>
        </w:rPr>
        <w:t xml:space="preserve"> </w:t>
      </w:r>
      <w:r w:rsidRPr="00BC36A2">
        <w:rPr>
          <w:rFonts w:cs="Arial"/>
          <w:rtl/>
        </w:rPr>
        <w:t>ע</w:t>
      </w:r>
      <w:r>
        <w:rPr>
          <w:rFonts w:cs="Arial" w:hint="cs"/>
          <w:rtl/>
        </w:rPr>
        <w:t xml:space="preserve">ל </w:t>
      </w:r>
      <w:r w:rsidRPr="00BC36A2">
        <w:rPr>
          <w:rFonts w:cs="Arial"/>
          <w:rtl/>
        </w:rPr>
        <w:t>כ</w:t>
      </w:r>
      <w:r>
        <w:rPr>
          <w:rFonts w:cs="Arial" w:hint="cs"/>
          <w:rtl/>
        </w:rPr>
        <w:t>רחך</w:t>
      </w:r>
      <w:r w:rsidRPr="00BC36A2">
        <w:rPr>
          <w:rFonts w:cs="Arial"/>
          <w:rtl/>
        </w:rPr>
        <w:t xml:space="preserve"> לא איירי בידוע בבירור דהני מעות הם</w:t>
      </w:r>
      <w:r>
        <w:rPr>
          <w:rFonts w:cs="Arial" w:hint="cs"/>
          <w:rtl/>
        </w:rPr>
        <w:t>,</w:t>
      </w:r>
      <w:r w:rsidRPr="00BC36A2">
        <w:rPr>
          <w:rFonts w:cs="Arial"/>
          <w:rtl/>
        </w:rPr>
        <w:t xml:space="preserve"> דא"כ מהיכ</w:t>
      </w:r>
      <w:r>
        <w:rPr>
          <w:rFonts w:cs="Arial" w:hint="cs"/>
          <w:rtl/>
        </w:rPr>
        <w:t>א</w:t>
      </w:r>
      <w:r w:rsidRPr="00BC36A2">
        <w:rPr>
          <w:rFonts w:cs="Arial"/>
          <w:rtl/>
        </w:rPr>
        <w:t xml:space="preserve"> תיתי לומר מציאה מצאה</w:t>
      </w:r>
      <w:r>
        <w:rPr>
          <w:rFonts w:cs="Arial" w:hint="cs"/>
          <w:rtl/>
        </w:rPr>
        <w:t>.</w:t>
      </w:r>
      <w:r w:rsidRPr="00BC36A2">
        <w:rPr>
          <w:rFonts w:cs="Arial"/>
          <w:rtl/>
        </w:rPr>
        <w:t xml:space="preserve"> אלא איירי בידוע לנו שקבלה סך כזה ומטבעות כאלו</w:t>
      </w:r>
      <w:r>
        <w:rPr>
          <w:rFonts w:cs="Arial" w:hint="cs"/>
          <w:rtl/>
        </w:rPr>
        <w:t>,</w:t>
      </w:r>
      <w:r w:rsidRPr="00BC36A2">
        <w:rPr>
          <w:rFonts w:cs="Arial"/>
          <w:rtl/>
        </w:rPr>
        <w:t xml:space="preserve"> </w:t>
      </w:r>
      <w:r>
        <w:rPr>
          <w:rFonts w:cs="Arial" w:hint="cs"/>
          <w:rtl/>
        </w:rPr>
        <w:t>ו</w:t>
      </w:r>
      <w:r w:rsidRPr="00BC36A2">
        <w:rPr>
          <w:rFonts w:cs="Arial"/>
          <w:rtl/>
        </w:rPr>
        <w:t>אמרינן הני מעות הם</w:t>
      </w:r>
      <w:r>
        <w:rPr>
          <w:rFonts w:cs="Arial" w:hint="cs"/>
          <w:rtl/>
        </w:rPr>
        <w:t>.</w:t>
      </w:r>
      <w:r w:rsidRPr="00BC36A2">
        <w:rPr>
          <w:rFonts w:cs="Arial"/>
          <w:rtl/>
        </w:rPr>
        <w:t xml:space="preserve"> ובהג"ה מוסיף אפילו אם א</w:t>
      </w:r>
      <w:r>
        <w:rPr>
          <w:rFonts w:cs="Arial" w:hint="cs"/>
          <w:rtl/>
        </w:rPr>
        <w:t>ין ידוע</w:t>
      </w:r>
      <w:r w:rsidRPr="00BC36A2">
        <w:rPr>
          <w:rFonts w:cs="Arial"/>
          <w:rtl/>
        </w:rPr>
        <w:t xml:space="preserve"> לנו מ"מ תלינן דהני מעו</w:t>
      </w:r>
      <w:r>
        <w:rPr>
          <w:rFonts w:cs="Arial" w:hint="cs"/>
          <w:rtl/>
        </w:rPr>
        <w:t>ת</w:t>
      </w:r>
      <w:r w:rsidRPr="00BC36A2">
        <w:rPr>
          <w:rFonts w:cs="Arial"/>
          <w:rtl/>
        </w:rPr>
        <w:t xml:space="preserve"> הם ובעל אי</w:t>
      </w:r>
      <w:r>
        <w:rPr>
          <w:rFonts w:cs="Arial" w:hint="cs"/>
          <w:rtl/>
        </w:rPr>
        <w:t>נו יכול לומר</w:t>
      </w:r>
      <w:r w:rsidRPr="00BC36A2">
        <w:rPr>
          <w:rFonts w:cs="Arial"/>
          <w:rtl/>
        </w:rPr>
        <w:t xml:space="preserve"> שמא ממעו</w:t>
      </w:r>
      <w:r>
        <w:rPr>
          <w:rFonts w:cs="Arial" w:hint="cs"/>
          <w:rtl/>
        </w:rPr>
        <w:t>ת</w:t>
      </w:r>
      <w:r w:rsidRPr="00BC36A2">
        <w:rPr>
          <w:rFonts w:cs="Arial"/>
          <w:rtl/>
        </w:rPr>
        <w:t xml:space="preserve"> שלו לקחה</w:t>
      </w:r>
      <w:r>
        <w:rPr>
          <w:rFonts w:cs="Arial" w:hint="cs"/>
          <w:rtl/>
        </w:rPr>
        <w:t>.</w:t>
      </w:r>
      <w:r w:rsidRPr="00BC36A2">
        <w:rPr>
          <w:rFonts w:cs="Arial"/>
          <w:rtl/>
        </w:rPr>
        <w:t xml:space="preserve"> מיהו בנושאת בבית י"ל די</w:t>
      </w:r>
      <w:r>
        <w:rPr>
          <w:rFonts w:cs="Arial" w:hint="cs"/>
          <w:rtl/>
        </w:rPr>
        <w:t xml:space="preserve">כול </w:t>
      </w:r>
      <w:r w:rsidRPr="00BC36A2">
        <w:rPr>
          <w:rFonts w:cs="Arial"/>
          <w:rtl/>
        </w:rPr>
        <w:t>ל</w:t>
      </w:r>
      <w:r>
        <w:rPr>
          <w:rFonts w:cs="Arial" w:hint="cs"/>
          <w:rtl/>
        </w:rPr>
        <w:t>ומר</w:t>
      </w:r>
      <w:r w:rsidRPr="00BC36A2">
        <w:rPr>
          <w:rFonts w:cs="Arial"/>
          <w:rtl/>
        </w:rPr>
        <w:t xml:space="preserve"> דמשלו הם</w:t>
      </w:r>
      <w:r>
        <w:rPr>
          <w:rFonts w:cs="Arial" w:hint="cs"/>
          <w:rtl/>
        </w:rPr>
        <w:t>.</w:t>
      </w:r>
      <w:r w:rsidRPr="00BC36A2">
        <w:rPr>
          <w:rFonts w:cs="Arial"/>
          <w:rtl/>
        </w:rPr>
        <w:t xml:space="preserve"> ונראה אם רצה הלוקח מחרים אם לא מצא מעות אצלה</w:t>
      </w:r>
      <w:r>
        <w:rPr>
          <w:rFonts w:cs="Arial" w:hint="cs"/>
          <w:rtl/>
        </w:rPr>
        <w:t>,</w:t>
      </w:r>
      <w:r w:rsidRPr="00BC36A2">
        <w:rPr>
          <w:rFonts w:cs="Arial"/>
          <w:rtl/>
        </w:rPr>
        <w:t xml:space="preserve"> כמו שמחרים על המכירה</w:t>
      </w:r>
      <w:r>
        <w:rPr>
          <w:rFonts w:cs="Arial" w:hint="cs"/>
          <w:rtl/>
        </w:rPr>
        <w:t>.</w:t>
      </w:r>
      <w:r w:rsidRPr="00BC36A2">
        <w:rPr>
          <w:rFonts w:cs="Arial"/>
          <w:rtl/>
        </w:rPr>
        <w:t xml:space="preserve"> ואם הוציאה המעו</w:t>
      </w:r>
      <w:r>
        <w:rPr>
          <w:rFonts w:cs="Arial" w:hint="cs"/>
          <w:rtl/>
        </w:rPr>
        <w:t>ת</w:t>
      </w:r>
      <w:r w:rsidRPr="00BC36A2">
        <w:rPr>
          <w:rFonts w:cs="Arial"/>
          <w:rtl/>
        </w:rPr>
        <w:t xml:space="preserve"> על דבר אחר</w:t>
      </w:r>
      <w:r>
        <w:rPr>
          <w:rFonts w:cs="Arial" w:hint="cs"/>
          <w:rtl/>
        </w:rPr>
        <w:t>,</w:t>
      </w:r>
      <w:r w:rsidRPr="00BC36A2">
        <w:rPr>
          <w:rFonts w:cs="Arial"/>
          <w:rtl/>
        </w:rPr>
        <w:t xml:space="preserve"> יכול הבעל לומר מיד שהוציאה המעות </w:t>
      </w:r>
      <w:r>
        <w:rPr>
          <w:rFonts w:cs="Arial" w:hint="cs"/>
          <w:rtl/>
        </w:rPr>
        <w:t xml:space="preserve">- </w:t>
      </w:r>
      <w:r w:rsidRPr="00BC36A2">
        <w:rPr>
          <w:rFonts w:cs="Arial"/>
          <w:rtl/>
        </w:rPr>
        <w:t>קמו עליה בהלואה ואין אני מחוייב לשלם ההלואה שחייבה</w:t>
      </w:r>
      <w:r>
        <w:rPr>
          <w:rFonts w:cs="Arial" w:hint="cs"/>
          <w:rtl/>
        </w:rPr>
        <w:t>,</w:t>
      </w:r>
      <w:r w:rsidRPr="00BC36A2">
        <w:rPr>
          <w:rFonts w:cs="Arial"/>
          <w:rtl/>
        </w:rPr>
        <w:t xml:space="preserve"> ומטלטלים שהניחה אני יורש אותן</w:t>
      </w:r>
      <w:r>
        <w:rPr>
          <w:rFonts w:cs="Arial" w:hint="cs"/>
          <w:rtl/>
        </w:rPr>
        <w:t>,</w:t>
      </w:r>
      <w:r w:rsidRPr="00BC36A2">
        <w:rPr>
          <w:rFonts w:cs="Arial"/>
          <w:rtl/>
        </w:rPr>
        <w:t xml:space="preserve"> כ"כ הר"ן והמגיד שם בשם הרשב"א</w:t>
      </w:r>
      <w:r>
        <w:rPr>
          <w:rFonts w:cs="Arial" w:hint="cs"/>
          <w:rtl/>
        </w:rPr>
        <w:t xml:space="preserve">..., ב"ש </w:t>
      </w:r>
      <w:r>
        <w:rPr>
          <w:rFonts w:hint="cs"/>
          <w:rtl/>
        </w:rPr>
        <w:t>(סקל"ח).</w:t>
      </w:r>
    </w:p>
  </w:footnote>
  <w:footnote w:id="2027">
    <w:p w14:paraId="492864E2" w14:textId="77777777" w:rsidR="00DF1FC7" w:rsidRDefault="00DF1FC7" w:rsidP="002E5BAD">
      <w:pPr>
        <w:pStyle w:val="a5"/>
      </w:pPr>
      <w:r>
        <w:rPr>
          <w:rStyle w:val="a7"/>
        </w:rPr>
        <w:footnoteRef/>
      </w:r>
      <w:r>
        <w:rPr>
          <w:rtl/>
        </w:rPr>
        <w:t xml:space="preserve"> </w:t>
      </w:r>
      <w:r w:rsidRPr="00524552">
        <w:rPr>
          <w:rFonts w:cs="Arial"/>
          <w:rtl/>
        </w:rPr>
        <w:t>משמע למפרע חל המכיר</w:t>
      </w:r>
      <w:r>
        <w:rPr>
          <w:rFonts w:cs="Arial" w:hint="cs"/>
          <w:rtl/>
        </w:rPr>
        <w:t>ה</w:t>
      </w:r>
      <w:r w:rsidRPr="00524552">
        <w:rPr>
          <w:rFonts w:cs="Arial"/>
          <w:rtl/>
        </w:rPr>
        <w:t xml:space="preserve"> משע</w:t>
      </w:r>
      <w:r>
        <w:rPr>
          <w:rFonts w:cs="Arial" w:hint="cs"/>
          <w:rtl/>
        </w:rPr>
        <w:t>ה</w:t>
      </w:r>
      <w:r w:rsidRPr="00524552">
        <w:rPr>
          <w:rFonts w:cs="Arial"/>
          <w:rtl/>
        </w:rPr>
        <w:t xml:space="preserve"> ראשונ</w:t>
      </w:r>
      <w:r>
        <w:rPr>
          <w:rFonts w:cs="Arial" w:hint="cs"/>
          <w:rtl/>
        </w:rPr>
        <w:t>ה</w:t>
      </w:r>
      <w:r w:rsidRPr="00524552">
        <w:rPr>
          <w:rFonts w:cs="Arial"/>
          <w:rtl/>
        </w:rPr>
        <w:t xml:space="preserve"> אפילו לדעת הרא"ש שמוציא הגוף מיד הלקוחו</w:t>
      </w:r>
      <w:r>
        <w:rPr>
          <w:rFonts w:cs="Arial" w:hint="cs"/>
          <w:rtl/>
        </w:rPr>
        <w:t>ת</w:t>
      </w:r>
      <w:r w:rsidRPr="00524552">
        <w:rPr>
          <w:rFonts w:cs="Arial"/>
          <w:rtl/>
        </w:rPr>
        <w:t xml:space="preserve"> מ"מ אם נתאלמנ</w:t>
      </w:r>
      <w:r>
        <w:rPr>
          <w:rFonts w:cs="Arial" w:hint="cs"/>
          <w:rtl/>
        </w:rPr>
        <w:t>ה</w:t>
      </w:r>
      <w:r w:rsidRPr="00524552">
        <w:rPr>
          <w:rFonts w:cs="Arial"/>
          <w:rtl/>
        </w:rPr>
        <w:t xml:space="preserve"> איגלי מילתא למפרע שהמכיר</w:t>
      </w:r>
      <w:r>
        <w:rPr>
          <w:rFonts w:cs="Arial" w:hint="cs"/>
          <w:rtl/>
        </w:rPr>
        <w:t>ה</w:t>
      </w:r>
      <w:r w:rsidRPr="00524552">
        <w:rPr>
          <w:rFonts w:cs="Arial"/>
          <w:rtl/>
        </w:rPr>
        <w:t xml:space="preserve"> הית</w:t>
      </w:r>
      <w:r>
        <w:rPr>
          <w:rFonts w:cs="Arial" w:hint="cs"/>
          <w:rtl/>
        </w:rPr>
        <w:t>ה</w:t>
      </w:r>
      <w:r w:rsidRPr="00524552">
        <w:rPr>
          <w:rFonts w:cs="Arial"/>
          <w:rtl/>
        </w:rPr>
        <w:t xml:space="preserve"> כדין</w:t>
      </w:r>
      <w:r>
        <w:rPr>
          <w:rFonts w:cs="Arial" w:hint="cs"/>
          <w:rtl/>
        </w:rPr>
        <w:t>, ח"מ (סקכ"ט).</w:t>
      </w:r>
    </w:p>
  </w:footnote>
  <w:footnote w:id="2028">
    <w:p w14:paraId="2DB3014D" w14:textId="77777777" w:rsidR="00DF1FC7" w:rsidRDefault="00DF1FC7" w:rsidP="002E5BAD">
      <w:pPr>
        <w:pStyle w:val="a5"/>
      </w:pPr>
      <w:r>
        <w:rPr>
          <w:rStyle w:val="a7"/>
        </w:rPr>
        <w:footnoteRef/>
      </w:r>
      <w:r>
        <w:rPr>
          <w:rtl/>
        </w:rPr>
        <w:t xml:space="preserve"> </w:t>
      </w:r>
      <w:r w:rsidRPr="00113245">
        <w:rPr>
          <w:rFonts w:cs="Arial"/>
          <w:rtl/>
        </w:rPr>
        <w:t>ד</w:t>
      </w:r>
      <w:r>
        <w:rPr>
          <w:rFonts w:cs="Arial" w:hint="cs"/>
          <w:rtl/>
        </w:rPr>
        <w:t xml:space="preserve">וקא </w:t>
      </w:r>
      <w:r w:rsidRPr="00113245">
        <w:rPr>
          <w:rFonts w:cs="Arial"/>
          <w:rtl/>
        </w:rPr>
        <w:t xml:space="preserve">הלוקח יכול למחות בבעלה שלא יבנה ולא יהרוס, </w:t>
      </w:r>
      <w:r>
        <w:rPr>
          <w:rFonts w:cs="Arial" w:hint="cs"/>
          <w:rtl/>
        </w:rPr>
        <w:t xml:space="preserve">משמע </w:t>
      </w:r>
      <w:r w:rsidRPr="00113245">
        <w:rPr>
          <w:rFonts w:cs="Arial"/>
          <w:rtl/>
        </w:rPr>
        <w:t xml:space="preserve">אבל אם לא מכרה </w:t>
      </w:r>
      <w:r>
        <w:rPr>
          <w:rFonts w:cs="Arial" w:hint="cs"/>
          <w:rtl/>
        </w:rPr>
        <w:t xml:space="preserve">- </w:t>
      </w:r>
      <w:r w:rsidRPr="00113245">
        <w:rPr>
          <w:rFonts w:cs="Arial"/>
          <w:rtl/>
        </w:rPr>
        <w:t>אין האשה בעצמה יכולה למחות בו, והוא מהאי טעמא שבעלה קנאה כל ימי חייה</w:t>
      </w:r>
      <w:r>
        <w:rPr>
          <w:rFonts w:cs="Arial" w:hint="cs"/>
          <w:rtl/>
        </w:rPr>
        <w:t>, סמ"ע (חו"מ סי' ריב סקי"ג, הביא דבריו רעק"א בגליון)</w:t>
      </w:r>
      <w:r w:rsidRPr="00113245">
        <w:rPr>
          <w:rFonts w:cs="Arial"/>
          <w:rtl/>
        </w:rPr>
        <w:t>.</w:t>
      </w:r>
    </w:p>
  </w:footnote>
  <w:footnote w:id="2029">
    <w:p w14:paraId="4745C096" w14:textId="77777777" w:rsidR="00DF1FC7" w:rsidRDefault="00DF1FC7" w:rsidP="002E5BAD">
      <w:pPr>
        <w:pStyle w:val="a5"/>
        <w:rPr>
          <w:rtl/>
        </w:rPr>
      </w:pPr>
      <w:r>
        <w:rPr>
          <w:rStyle w:val="a7"/>
        </w:rPr>
        <w:footnoteRef/>
      </w:r>
      <w:r>
        <w:rPr>
          <w:rtl/>
        </w:rPr>
        <w:t xml:space="preserve"> </w:t>
      </w:r>
      <w:r w:rsidRPr="00F31F49">
        <w:rPr>
          <w:rFonts w:cs="Arial"/>
          <w:rtl/>
        </w:rPr>
        <w:t>אף אם לא מכר</w:t>
      </w:r>
      <w:r>
        <w:rPr>
          <w:rFonts w:cs="Arial" w:hint="cs"/>
          <w:rtl/>
        </w:rPr>
        <w:t>ה</w:t>
      </w:r>
      <w:r w:rsidRPr="00F31F49">
        <w:rPr>
          <w:rFonts w:cs="Arial"/>
          <w:rtl/>
        </w:rPr>
        <w:t xml:space="preserve"> היא בעצמ</w:t>
      </w:r>
      <w:r>
        <w:rPr>
          <w:rFonts w:cs="Arial" w:hint="cs"/>
          <w:rtl/>
        </w:rPr>
        <w:t>ה</w:t>
      </w:r>
      <w:r w:rsidRPr="00F31F49">
        <w:rPr>
          <w:rFonts w:cs="Arial"/>
          <w:rtl/>
        </w:rPr>
        <w:t xml:space="preserve"> יכול למחו</w:t>
      </w:r>
      <w:r>
        <w:rPr>
          <w:rFonts w:cs="Arial" w:hint="cs"/>
          <w:rtl/>
        </w:rPr>
        <w:t>ת</w:t>
      </w:r>
      <w:r w:rsidRPr="00F31F49">
        <w:rPr>
          <w:rFonts w:cs="Arial"/>
          <w:rtl/>
        </w:rPr>
        <w:t xml:space="preserve"> שלא יקלקל גוף הקרקע</w:t>
      </w:r>
      <w:r>
        <w:rPr>
          <w:rFonts w:cs="Arial" w:hint="cs"/>
          <w:rtl/>
        </w:rPr>
        <w:t>,</w:t>
      </w:r>
      <w:r w:rsidRPr="00F31F49">
        <w:rPr>
          <w:rFonts w:cs="Arial"/>
          <w:rtl/>
        </w:rPr>
        <w:t xml:space="preserve"> שאין לבעל רק פירות</w:t>
      </w:r>
      <w:r>
        <w:rPr>
          <w:rFonts w:hint="cs"/>
          <w:rtl/>
        </w:rPr>
        <w:t>, ח"מ (סק"ל).</w:t>
      </w:r>
      <w:r w:rsidRPr="00B1267F">
        <w:rPr>
          <w:rFonts w:cs="Arial"/>
          <w:rtl/>
        </w:rPr>
        <w:t xml:space="preserve"> </w:t>
      </w:r>
      <w:r w:rsidRPr="00FA3C79">
        <w:rPr>
          <w:rFonts w:cs="Arial"/>
          <w:rtl/>
        </w:rPr>
        <w:t>ומ"מ אם רוצה לבנות כדי להרבו</w:t>
      </w:r>
      <w:r>
        <w:rPr>
          <w:rFonts w:cs="Arial" w:hint="cs"/>
          <w:rtl/>
        </w:rPr>
        <w:t>ת</w:t>
      </w:r>
      <w:r w:rsidRPr="00FA3C79">
        <w:rPr>
          <w:rFonts w:cs="Arial"/>
          <w:rtl/>
        </w:rPr>
        <w:t xml:space="preserve"> בפירות</w:t>
      </w:r>
      <w:r>
        <w:rPr>
          <w:rFonts w:cs="Arial" w:hint="cs"/>
          <w:rtl/>
        </w:rPr>
        <w:t>,</w:t>
      </w:r>
      <w:r w:rsidRPr="00FA3C79">
        <w:rPr>
          <w:rFonts w:cs="Arial"/>
          <w:rtl/>
        </w:rPr>
        <w:t xml:space="preserve"> ומתנה שאם יזכה הלוקח יהי</w:t>
      </w:r>
      <w:r>
        <w:rPr>
          <w:rFonts w:cs="Arial" w:hint="cs"/>
          <w:rtl/>
        </w:rPr>
        <w:t>ה</w:t>
      </w:r>
      <w:r w:rsidRPr="00FA3C79">
        <w:rPr>
          <w:rFonts w:cs="Arial"/>
          <w:rtl/>
        </w:rPr>
        <w:t xml:space="preserve"> ידו על התחתונ</w:t>
      </w:r>
      <w:r>
        <w:rPr>
          <w:rFonts w:cs="Arial" w:hint="cs"/>
          <w:rtl/>
        </w:rPr>
        <w:t>ה</w:t>
      </w:r>
      <w:r w:rsidRPr="00FA3C79">
        <w:rPr>
          <w:rFonts w:cs="Arial"/>
          <w:rtl/>
        </w:rPr>
        <w:t xml:space="preserve"> </w:t>
      </w:r>
      <w:r>
        <w:rPr>
          <w:rFonts w:cs="Arial" w:hint="cs"/>
          <w:rtl/>
        </w:rPr>
        <w:t xml:space="preserve">- </w:t>
      </w:r>
      <w:r w:rsidRPr="00FA3C79">
        <w:rPr>
          <w:rFonts w:cs="Arial"/>
          <w:rtl/>
        </w:rPr>
        <w:t>מסתברא לי שלא יכול הלוקח לעכב</w:t>
      </w:r>
      <w:r>
        <w:rPr>
          <w:rFonts w:cs="Arial" w:hint="cs"/>
          <w:rtl/>
        </w:rPr>
        <w:t>.</w:t>
      </w:r>
      <w:r w:rsidRPr="00FA3C79">
        <w:rPr>
          <w:rFonts w:cs="Arial"/>
          <w:rtl/>
        </w:rPr>
        <w:t xml:space="preserve"> דאע"ג דמי שרוצ</w:t>
      </w:r>
      <w:r>
        <w:rPr>
          <w:rFonts w:cs="Arial" w:hint="cs"/>
          <w:rtl/>
        </w:rPr>
        <w:t>ה</w:t>
      </w:r>
      <w:r w:rsidRPr="00FA3C79">
        <w:rPr>
          <w:rFonts w:cs="Arial"/>
          <w:rtl/>
        </w:rPr>
        <w:t xml:space="preserve"> לירד לתוך שדה חבירו אפילו בתנאי זה יכול בעל השדה לעכב ולומר איני רוצה שתבנ</w:t>
      </w:r>
      <w:r>
        <w:rPr>
          <w:rFonts w:cs="Arial" w:hint="cs"/>
          <w:rtl/>
        </w:rPr>
        <w:t>ה</w:t>
      </w:r>
      <w:r w:rsidRPr="00FA3C79">
        <w:rPr>
          <w:rFonts w:cs="Arial"/>
          <w:rtl/>
        </w:rPr>
        <w:t xml:space="preserve"> בתוך שלי אפילו ע"מ שתהי</w:t>
      </w:r>
      <w:r>
        <w:rPr>
          <w:rFonts w:cs="Arial" w:hint="cs"/>
          <w:rtl/>
        </w:rPr>
        <w:t>ה</w:t>
      </w:r>
      <w:r w:rsidRPr="00FA3C79">
        <w:rPr>
          <w:rFonts w:cs="Arial"/>
          <w:rtl/>
        </w:rPr>
        <w:t xml:space="preserve"> ידך על התחתונ</w:t>
      </w:r>
      <w:r>
        <w:rPr>
          <w:rFonts w:cs="Arial" w:hint="cs"/>
          <w:rtl/>
        </w:rPr>
        <w:t xml:space="preserve">ה - </w:t>
      </w:r>
      <w:r w:rsidRPr="00FA3C79">
        <w:rPr>
          <w:rFonts w:cs="Arial"/>
          <w:rtl/>
        </w:rPr>
        <w:t>שאני הכא שיש לו בקרקע זה שייכו</w:t>
      </w:r>
      <w:r>
        <w:rPr>
          <w:rFonts w:cs="Arial" w:hint="cs"/>
          <w:rtl/>
        </w:rPr>
        <w:t>ת,</w:t>
      </w:r>
      <w:r w:rsidRPr="00FA3C79">
        <w:rPr>
          <w:rFonts w:cs="Arial"/>
          <w:rtl/>
        </w:rPr>
        <w:t xml:space="preserve"> חדא שהוא אוכל פירות ואיכא מ"ד קנין פירות כקנין הגוף דמי</w:t>
      </w:r>
      <w:r>
        <w:rPr>
          <w:rFonts w:cs="Arial" w:hint="cs"/>
          <w:rtl/>
        </w:rPr>
        <w:t>,</w:t>
      </w:r>
      <w:r w:rsidRPr="00FA3C79">
        <w:rPr>
          <w:rFonts w:cs="Arial"/>
          <w:rtl/>
        </w:rPr>
        <w:t xml:space="preserve"> ותו דאפשר שלא יזכה הלוקח בקרקע זה לעולם דקיי"ל כתקנת אושא</w:t>
      </w:r>
      <w:r>
        <w:rPr>
          <w:rFonts w:cs="Arial" w:hint="cs"/>
          <w:rtl/>
        </w:rPr>
        <w:t xml:space="preserve">, </w:t>
      </w:r>
      <w:r w:rsidRPr="00FA3C79">
        <w:rPr>
          <w:rFonts w:cs="Arial"/>
          <w:rtl/>
        </w:rPr>
        <w:t xml:space="preserve">רדב"ז </w:t>
      </w:r>
      <w:r>
        <w:rPr>
          <w:rFonts w:cs="Arial" w:hint="cs"/>
          <w:rtl/>
        </w:rPr>
        <w:t>(</w:t>
      </w:r>
      <w:r w:rsidRPr="00FA3C79">
        <w:rPr>
          <w:rFonts w:cs="Arial"/>
          <w:rtl/>
        </w:rPr>
        <w:t>ח"א סי' קיח</w:t>
      </w:r>
      <w:r>
        <w:rPr>
          <w:rFonts w:cs="Arial" w:hint="cs"/>
          <w:rtl/>
        </w:rPr>
        <w:t>, הביאו הפת"ש סקי"א).</w:t>
      </w:r>
      <w:r w:rsidRPr="00A124CD">
        <w:rPr>
          <w:rFonts w:cs="Arial"/>
          <w:rtl/>
        </w:rPr>
        <w:t xml:space="preserve"> </w:t>
      </w:r>
    </w:p>
  </w:footnote>
  <w:footnote w:id="2030">
    <w:p w14:paraId="59FA1D9F" w14:textId="77777777" w:rsidR="00DF1FC7" w:rsidRDefault="00DF1FC7" w:rsidP="002E5BAD">
      <w:pPr>
        <w:pStyle w:val="a5"/>
      </w:pPr>
      <w:r>
        <w:rPr>
          <w:rStyle w:val="a7"/>
        </w:rPr>
        <w:footnoteRef/>
      </w:r>
      <w:r>
        <w:rPr>
          <w:rtl/>
        </w:rPr>
        <w:t xml:space="preserve"> </w:t>
      </w:r>
      <w:r w:rsidRPr="00F31F49">
        <w:rPr>
          <w:rFonts w:cs="Arial"/>
          <w:rtl/>
        </w:rPr>
        <w:t>המעין שם ירא</w:t>
      </w:r>
      <w:r>
        <w:rPr>
          <w:rFonts w:cs="Arial" w:hint="cs"/>
          <w:rtl/>
        </w:rPr>
        <w:t>ה</w:t>
      </w:r>
      <w:r w:rsidRPr="00F31F49">
        <w:rPr>
          <w:rFonts w:cs="Arial"/>
          <w:rtl/>
        </w:rPr>
        <w:t xml:space="preserve"> דאף דהקדיש</w:t>
      </w:r>
      <w:r>
        <w:rPr>
          <w:rFonts w:cs="Arial" w:hint="cs"/>
          <w:rtl/>
        </w:rPr>
        <w:t>ה</w:t>
      </w:r>
      <w:r w:rsidRPr="00F31F49">
        <w:rPr>
          <w:rFonts w:cs="Arial"/>
          <w:rtl/>
        </w:rPr>
        <w:t xml:space="preserve"> קדושת הגוף אפ"ה אלמוהו רבנן לשעבוד דבעל משום דידו עדיפא מידה</w:t>
      </w:r>
      <w:r>
        <w:rPr>
          <w:rFonts w:cs="Arial" w:hint="cs"/>
          <w:rtl/>
        </w:rPr>
        <w:t>.</w:t>
      </w:r>
      <w:r w:rsidRPr="00F31F49">
        <w:rPr>
          <w:rFonts w:cs="Arial"/>
          <w:rtl/>
        </w:rPr>
        <w:t xml:space="preserve"> אמנם ודאי אם נתאלמנ</w:t>
      </w:r>
      <w:r>
        <w:rPr>
          <w:rFonts w:cs="Arial" w:hint="cs"/>
          <w:rtl/>
        </w:rPr>
        <w:t>ה</w:t>
      </w:r>
      <w:r w:rsidRPr="00F31F49">
        <w:rPr>
          <w:rFonts w:cs="Arial"/>
          <w:rtl/>
        </w:rPr>
        <w:t xml:space="preserve"> חל ההקדש ע"ש</w:t>
      </w:r>
      <w:r>
        <w:rPr>
          <w:rFonts w:cs="Arial" w:hint="cs"/>
          <w:rtl/>
        </w:rPr>
        <w:t>, ח"מ (סקל"א).</w:t>
      </w:r>
      <w:r>
        <w:rPr>
          <w:rFonts w:hint="cs"/>
          <w:rtl/>
        </w:rPr>
        <w:t xml:space="preserve"> וכתב הב"ש (סק"מ) ד</w:t>
      </w:r>
      <w:r w:rsidRPr="004975DC">
        <w:rPr>
          <w:rFonts w:cs="Arial"/>
          <w:rtl/>
        </w:rPr>
        <w:t>א</w:t>
      </w:r>
      <w:r>
        <w:rPr>
          <w:rFonts w:cs="Arial" w:hint="cs"/>
          <w:rtl/>
        </w:rPr>
        <w:t>ע"ג</w:t>
      </w:r>
      <w:r w:rsidRPr="004975DC">
        <w:rPr>
          <w:rFonts w:cs="Arial"/>
          <w:rtl/>
        </w:rPr>
        <w:t xml:space="preserve"> </w:t>
      </w:r>
      <w:r>
        <w:rPr>
          <w:rFonts w:cs="Arial" w:hint="cs"/>
          <w:rtl/>
        </w:rPr>
        <w:t>ד</w:t>
      </w:r>
      <w:r w:rsidRPr="004975DC">
        <w:rPr>
          <w:rFonts w:cs="Arial"/>
          <w:rtl/>
        </w:rPr>
        <w:t xml:space="preserve">אם פרשו </w:t>
      </w:r>
      <w:r>
        <w:rPr>
          <w:rFonts w:cs="Arial" w:hint="cs"/>
          <w:rtl/>
        </w:rPr>
        <w:t>ע</w:t>
      </w:r>
      <w:r w:rsidRPr="004975DC">
        <w:rPr>
          <w:rFonts w:cs="Arial"/>
          <w:rtl/>
        </w:rPr>
        <w:t>ל</w:t>
      </w:r>
      <w:r>
        <w:rPr>
          <w:rFonts w:cs="Arial" w:hint="cs"/>
          <w:rtl/>
        </w:rPr>
        <w:t xml:space="preserve"> ה</w:t>
      </w:r>
      <w:r w:rsidRPr="004975DC">
        <w:rPr>
          <w:rFonts w:cs="Arial"/>
          <w:rtl/>
        </w:rPr>
        <w:t>מת נצ"ב שלה יכולין לאסור</w:t>
      </w:r>
      <w:r>
        <w:rPr>
          <w:rFonts w:cs="Arial" w:hint="cs"/>
          <w:rtl/>
        </w:rPr>
        <w:t>,</w:t>
      </w:r>
      <w:r w:rsidRPr="004975DC">
        <w:rPr>
          <w:rFonts w:cs="Arial"/>
          <w:rtl/>
        </w:rPr>
        <w:t xml:space="preserve"> כמ"ש בסי' פ"ה</w:t>
      </w:r>
      <w:r>
        <w:rPr>
          <w:rFonts w:cs="Arial" w:hint="cs"/>
          <w:rtl/>
        </w:rPr>
        <w:t>,</w:t>
      </w:r>
      <w:r w:rsidRPr="004975DC">
        <w:rPr>
          <w:rFonts w:cs="Arial"/>
          <w:rtl/>
        </w:rPr>
        <w:t xml:space="preserve"> מ"מ היא אי</w:t>
      </w:r>
      <w:r>
        <w:rPr>
          <w:rFonts w:cs="Arial" w:hint="cs"/>
          <w:rtl/>
        </w:rPr>
        <w:t>נה יכולה</w:t>
      </w:r>
      <w:r w:rsidRPr="004975DC">
        <w:rPr>
          <w:rFonts w:cs="Arial"/>
          <w:rtl/>
        </w:rPr>
        <w:t xml:space="preserve"> לאסור עליו</w:t>
      </w:r>
      <w:r>
        <w:rPr>
          <w:rFonts w:cs="Arial" w:hint="cs"/>
          <w:rtl/>
        </w:rPr>
        <w:t>,</w:t>
      </w:r>
      <w:r w:rsidRPr="004975DC">
        <w:rPr>
          <w:rFonts w:cs="Arial"/>
          <w:rtl/>
        </w:rPr>
        <w:t xml:space="preserve"> דידו עדיף מידה</w:t>
      </w:r>
      <w:r>
        <w:rPr>
          <w:rFonts w:cs="Arial" w:hint="cs"/>
          <w:rtl/>
        </w:rPr>
        <w:t>,</w:t>
      </w:r>
      <w:r w:rsidRPr="004975DC">
        <w:rPr>
          <w:rFonts w:cs="Arial"/>
          <w:rtl/>
        </w:rPr>
        <w:t xml:space="preserve"> או הקדש דמים שאני</w:t>
      </w:r>
      <w:r>
        <w:rPr>
          <w:rFonts w:cs="Arial" w:hint="cs"/>
          <w:rtl/>
        </w:rPr>
        <w:t>.</w:t>
      </w:r>
      <w:r w:rsidRPr="004975DC">
        <w:rPr>
          <w:rFonts w:cs="Arial"/>
          <w:rtl/>
        </w:rPr>
        <w:t xml:space="preserve"> ונ</w:t>
      </w:r>
      <w:r>
        <w:rPr>
          <w:rFonts w:cs="Arial" w:hint="cs"/>
          <w:rtl/>
        </w:rPr>
        <w:t>פ"</w:t>
      </w:r>
      <w:r w:rsidRPr="004975DC">
        <w:rPr>
          <w:rFonts w:cs="Arial"/>
          <w:rtl/>
        </w:rPr>
        <w:t>מ אם היא הפרישה על המת גלימ</w:t>
      </w:r>
      <w:r>
        <w:rPr>
          <w:rFonts w:cs="Arial" w:hint="cs"/>
          <w:rtl/>
        </w:rPr>
        <w:t>ה</w:t>
      </w:r>
      <w:r w:rsidRPr="004975DC">
        <w:rPr>
          <w:rFonts w:cs="Arial"/>
          <w:rtl/>
        </w:rPr>
        <w:t xml:space="preserve"> של נ</w:t>
      </w:r>
      <w:r>
        <w:rPr>
          <w:rFonts w:cs="Arial" w:hint="cs"/>
          <w:rtl/>
        </w:rPr>
        <w:t>כ</w:t>
      </w:r>
      <w:r w:rsidRPr="004975DC">
        <w:rPr>
          <w:rFonts w:cs="Arial"/>
          <w:rtl/>
        </w:rPr>
        <w:t>"מ</w:t>
      </w:r>
      <w:r>
        <w:rPr>
          <w:rFonts w:cs="Arial" w:hint="cs"/>
          <w:rtl/>
        </w:rPr>
        <w:t>.</w:t>
      </w:r>
      <w:r w:rsidRPr="004975DC">
        <w:rPr>
          <w:rFonts w:cs="Arial"/>
          <w:rtl/>
        </w:rPr>
        <w:t xml:space="preserve"> ולרמב"ם נראה אע</w:t>
      </w:r>
      <w:r>
        <w:rPr>
          <w:rFonts w:cs="Arial" w:hint="cs"/>
          <w:rtl/>
        </w:rPr>
        <w:t>"</w:t>
      </w:r>
      <w:r w:rsidRPr="004975DC">
        <w:rPr>
          <w:rFonts w:cs="Arial"/>
          <w:rtl/>
        </w:rPr>
        <w:t>ג בשמכרה נ</w:t>
      </w:r>
      <w:r>
        <w:rPr>
          <w:rFonts w:cs="Arial" w:hint="cs"/>
          <w:rtl/>
        </w:rPr>
        <w:t>כ</w:t>
      </w:r>
      <w:r w:rsidRPr="004975DC">
        <w:rPr>
          <w:rFonts w:cs="Arial"/>
          <w:rtl/>
        </w:rPr>
        <w:t>"מ ס"ל הגוף נקנה ללוקח</w:t>
      </w:r>
      <w:r>
        <w:rPr>
          <w:rFonts w:cs="Arial" w:hint="cs"/>
          <w:rtl/>
        </w:rPr>
        <w:t>,</w:t>
      </w:r>
      <w:r w:rsidRPr="004975DC">
        <w:rPr>
          <w:rFonts w:cs="Arial"/>
          <w:rtl/>
        </w:rPr>
        <w:t xml:space="preserve"> מ"מ אם הקדיש</w:t>
      </w:r>
      <w:r>
        <w:rPr>
          <w:rFonts w:cs="Arial" w:hint="cs"/>
          <w:rtl/>
        </w:rPr>
        <w:t>ה</w:t>
      </w:r>
      <w:r w:rsidRPr="004975DC">
        <w:rPr>
          <w:rFonts w:cs="Arial"/>
          <w:rtl/>
        </w:rPr>
        <w:t xml:space="preserve"> לא חל ההקדש כלל</w:t>
      </w:r>
      <w:r>
        <w:rPr>
          <w:rFonts w:cs="Arial" w:hint="cs"/>
          <w:rtl/>
        </w:rPr>
        <w:t>.</w:t>
      </w:r>
      <w:r w:rsidRPr="004975DC">
        <w:rPr>
          <w:rFonts w:cs="Arial"/>
          <w:rtl/>
        </w:rPr>
        <w:t xml:space="preserve"> דהא אם יהי</w:t>
      </w:r>
      <w:r>
        <w:rPr>
          <w:rFonts w:cs="Arial" w:hint="cs"/>
          <w:rtl/>
        </w:rPr>
        <w:t>ה</w:t>
      </w:r>
      <w:r w:rsidRPr="004975DC">
        <w:rPr>
          <w:rFonts w:cs="Arial"/>
          <w:rtl/>
        </w:rPr>
        <w:t xml:space="preserve"> הגוף קרקע הקדש תו אי</w:t>
      </w:r>
      <w:r>
        <w:rPr>
          <w:rFonts w:cs="Arial" w:hint="cs"/>
          <w:rtl/>
        </w:rPr>
        <w:t>נו יכול</w:t>
      </w:r>
      <w:r w:rsidRPr="004975DC">
        <w:rPr>
          <w:rFonts w:cs="Arial"/>
          <w:rtl/>
        </w:rPr>
        <w:t xml:space="preserve"> להוציא הפירות</w:t>
      </w:r>
      <w:r>
        <w:rPr>
          <w:rFonts w:cs="Arial" w:hint="cs"/>
          <w:rtl/>
        </w:rPr>
        <w:t>,</w:t>
      </w:r>
      <w:r w:rsidRPr="004975DC">
        <w:rPr>
          <w:rFonts w:cs="Arial"/>
          <w:rtl/>
        </w:rPr>
        <w:t xml:space="preserve"> וע</w:t>
      </w:r>
      <w:r>
        <w:rPr>
          <w:rFonts w:cs="Arial" w:hint="cs"/>
          <w:rtl/>
        </w:rPr>
        <w:t>"</w:t>
      </w:r>
      <w:r w:rsidRPr="004975DC">
        <w:rPr>
          <w:rFonts w:cs="Arial"/>
          <w:rtl/>
        </w:rPr>
        <w:t>כ לא חל ההקדש כלל</w:t>
      </w:r>
      <w:r>
        <w:rPr>
          <w:rFonts w:cs="Arial" w:hint="cs"/>
          <w:rtl/>
        </w:rPr>
        <w:t>.</w:t>
      </w:r>
      <w:r w:rsidRPr="004975DC">
        <w:rPr>
          <w:rFonts w:cs="Arial"/>
          <w:rtl/>
        </w:rPr>
        <w:t xml:space="preserve"> ועיין ח"ה סי' רע"ב ובתוס' </w:t>
      </w:r>
      <w:r>
        <w:rPr>
          <w:rFonts w:cs="Arial" w:hint="cs"/>
          <w:rtl/>
        </w:rPr>
        <w:t>(</w:t>
      </w:r>
      <w:r w:rsidRPr="004975DC">
        <w:rPr>
          <w:rFonts w:cs="Arial"/>
          <w:rtl/>
        </w:rPr>
        <w:t>פ' אף על פי ד"ה ר"ע</w:t>
      </w:r>
      <w:r>
        <w:rPr>
          <w:rFonts w:cs="Arial" w:hint="cs"/>
          <w:rtl/>
        </w:rPr>
        <w:t>).</w:t>
      </w:r>
    </w:p>
  </w:footnote>
  <w:footnote w:id="2031">
    <w:p w14:paraId="6B4F4283" w14:textId="77777777" w:rsidR="00DF1FC7" w:rsidRDefault="00DF1FC7" w:rsidP="002E5BAD">
      <w:pPr>
        <w:pStyle w:val="a5"/>
        <w:rPr>
          <w:rtl/>
        </w:rPr>
      </w:pPr>
      <w:r>
        <w:rPr>
          <w:rStyle w:val="a7"/>
        </w:rPr>
        <w:footnoteRef/>
      </w:r>
      <w:r>
        <w:rPr>
          <w:rtl/>
        </w:rPr>
        <w:t xml:space="preserve"> </w:t>
      </w:r>
      <w:r w:rsidRPr="00FA3C79">
        <w:rPr>
          <w:rFonts w:cs="Arial"/>
          <w:rtl/>
        </w:rPr>
        <w:t>היינו בטוען שמא ואם טוען ברי צריך הבעל לישבע היסת</w:t>
      </w:r>
      <w:r>
        <w:rPr>
          <w:rFonts w:hint="cs"/>
          <w:rtl/>
        </w:rPr>
        <w:t>, ח"מ (סקל"ב).</w:t>
      </w:r>
    </w:p>
  </w:footnote>
  <w:footnote w:id="2032">
    <w:p w14:paraId="5AB78F0E" w14:textId="77777777" w:rsidR="00DF1FC7" w:rsidRDefault="00DF1FC7" w:rsidP="002E5BAD">
      <w:pPr>
        <w:pStyle w:val="a5"/>
        <w:rPr>
          <w:rtl/>
        </w:rPr>
      </w:pPr>
      <w:r>
        <w:rPr>
          <w:rStyle w:val="a7"/>
        </w:rPr>
        <w:footnoteRef/>
      </w:r>
      <w:r>
        <w:rPr>
          <w:rtl/>
        </w:rPr>
        <w:t xml:space="preserve"> </w:t>
      </w:r>
      <w:r w:rsidRPr="00AA35C2">
        <w:rPr>
          <w:rFonts w:cs="Arial"/>
          <w:rtl/>
        </w:rPr>
        <w:t>איירי דנתרצה בלי הפצרה שלה</w:t>
      </w:r>
      <w:r>
        <w:rPr>
          <w:rFonts w:cs="Arial" w:hint="cs"/>
          <w:rtl/>
        </w:rPr>
        <w:t xml:space="preserve">, ב"ש </w:t>
      </w:r>
      <w:r w:rsidRPr="00AA35C2">
        <w:rPr>
          <w:rFonts w:cs="Arial" w:hint="cs"/>
          <w:sz w:val="16"/>
          <w:szCs w:val="16"/>
          <w:rtl/>
        </w:rPr>
        <w:t>(סק"מ*)</w:t>
      </w:r>
      <w:r>
        <w:rPr>
          <w:rFonts w:cs="Arial" w:hint="cs"/>
          <w:rtl/>
        </w:rPr>
        <w:t xml:space="preserve">. כמו שכתב הרמ"א בהל' נדרים </w:t>
      </w:r>
      <w:r w:rsidRPr="00AA35C2">
        <w:rPr>
          <w:rFonts w:cs="Arial" w:hint="cs"/>
          <w:sz w:val="16"/>
          <w:szCs w:val="16"/>
          <w:rtl/>
        </w:rPr>
        <w:t xml:space="preserve">(יו"ד סי' רלב סי"ז) </w:t>
      </w:r>
      <w:r>
        <w:rPr>
          <w:rFonts w:cs="Arial" w:hint="cs"/>
          <w:rtl/>
        </w:rPr>
        <w:t xml:space="preserve">בשם הרשב"א </w:t>
      </w:r>
      <w:r w:rsidRPr="00AA35C2">
        <w:rPr>
          <w:rFonts w:cs="Arial" w:hint="cs"/>
          <w:sz w:val="16"/>
          <w:szCs w:val="16"/>
          <w:rtl/>
        </w:rPr>
        <w:t>(וז"ל-</w:t>
      </w:r>
      <w:r w:rsidRPr="00AA35C2">
        <w:rPr>
          <w:rFonts w:cs="Arial"/>
          <w:sz w:val="16"/>
          <w:szCs w:val="16"/>
          <w:rtl/>
        </w:rPr>
        <w:t xml:space="preserve"> מי שנדר לחולה איזה דבר, אם עשו זה משום הפצרת החולה שלא תטרוף דעתו עליו הוי הנדר אונס, אבל אם לא עשה כן מפני זה אלא מפני דבר אחר, הוי כנדר על דעת חבירו</w:t>
      </w:r>
      <w:r>
        <w:rPr>
          <w:rFonts w:cs="Arial" w:hint="cs"/>
          <w:sz w:val="16"/>
          <w:szCs w:val="16"/>
          <w:rtl/>
        </w:rPr>
        <w:t>)</w:t>
      </w:r>
      <w:r>
        <w:rPr>
          <w:rFonts w:hint="cs"/>
          <w:rtl/>
        </w:rPr>
        <w:t>.</w:t>
      </w:r>
    </w:p>
  </w:footnote>
  <w:footnote w:id="2033">
    <w:p w14:paraId="4EF7E27A" w14:textId="77777777" w:rsidR="00DF1FC7" w:rsidRDefault="00DF1FC7" w:rsidP="002E5BAD">
      <w:pPr>
        <w:pStyle w:val="a5"/>
        <w:rPr>
          <w:rtl/>
        </w:rPr>
      </w:pPr>
      <w:r>
        <w:rPr>
          <w:rStyle w:val="a7"/>
        </w:rPr>
        <w:footnoteRef/>
      </w:r>
      <w:r>
        <w:rPr>
          <w:rtl/>
        </w:rPr>
        <w:t xml:space="preserve"> </w:t>
      </w:r>
      <w:r w:rsidRPr="00FA3C79">
        <w:rPr>
          <w:rFonts w:cs="Arial"/>
          <w:rtl/>
        </w:rPr>
        <w:t>היינו במתנה מרובה</w:t>
      </w:r>
      <w:r>
        <w:rPr>
          <w:rFonts w:cs="Arial" w:hint="cs"/>
          <w:rtl/>
        </w:rPr>
        <w:t>.</w:t>
      </w:r>
      <w:r w:rsidRPr="00FA3C79">
        <w:rPr>
          <w:rFonts w:cs="Arial"/>
          <w:rtl/>
        </w:rPr>
        <w:t xml:space="preserve"> ומתנה מועטת נקר</w:t>
      </w:r>
      <w:r>
        <w:rPr>
          <w:rFonts w:cs="Arial" w:hint="cs"/>
          <w:rtl/>
        </w:rPr>
        <w:t>א</w:t>
      </w:r>
      <w:r w:rsidRPr="00FA3C79">
        <w:rPr>
          <w:rFonts w:cs="Arial"/>
          <w:rtl/>
        </w:rPr>
        <w:t xml:space="preserve"> מחוסר אמנה</w:t>
      </w:r>
      <w:r>
        <w:rPr>
          <w:rFonts w:cs="Arial" w:hint="cs"/>
          <w:rtl/>
        </w:rPr>
        <w:t>.</w:t>
      </w:r>
      <w:r w:rsidRPr="00FA3C79">
        <w:rPr>
          <w:rFonts w:cs="Arial"/>
          <w:rtl/>
        </w:rPr>
        <w:t xml:space="preserve"> וע' בח"מ סי' רמ"ט וסי' ר"ד</w:t>
      </w:r>
      <w:r>
        <w:rPr>
          <w:rFonts w:hint="cs"/>
          <w:rtl/>
        </w:rPr>
        <w:t>, ח"מ (סקל"ג).</w:t>
      </w:r>
    </w:p>
  </w:footnote>
  <w:footnote w:id="2034">
    <w:p w14:paraId="16B84CB9" w14:textId="77777777" w:rsidR="00DF1FC7" w:rsidRDefault="00DF1FC7" w:rsidP="002E5BAD">
      <w:pPr>
        <w:pStyle w:val="a5"/>
      </w:pPr>
      <w:r>
        <w:rPr>
          <w:rStyle w:val="a7"/>
        </w:rPr>
        <w:footnoteRef/>
      </w:r>
      <w:r>
        <w:rPr>
          <w:rtl/>
        </w:rPr>
        <w:t xml:space="preserve"> </w:t>
      </w:r>
      <w:r w:rsidRPr="00984F6F">
        <w:rPr>
          <w:rFonts w:cs="Arial"/>
          <w:rtl/>
        </w:rPr>
        <w:t>ופסקו הרי"ף (לז:) והרמב"ם (פכ"ב מאישות ה"ח) והרא"ש (סי' ג) ז"ל הלכה כרבי שמעון</w:t>
      </w:r>
      <w:r w:rsidRPr="00984F6F">
        <w:rPr>
          <w:rFonts w:cs="Arial" w:hint="cs"/>
          <w:rtl/>
        </w:rPr>
        <w:t>, ב"י</w:t>
      </w:r>
      <w:r>
        <w:rPr>
          <w:rFonts w:cs="Arial" w:hint="cs"/>
          <w:rtl/>
        </w:rPr>
        <w:t>.</w:t>
      </w:r>
    </w:p>
  </w:footnote>
  <w:footnote w:id="2035">
    <w:p w14:paraId="376405FC" w14:textId="77777777" w:rsidR="00DF1FC7" w:rsidRDefault="00DF1FC7" w:rsidP="002E5BAD">
      <w:pPr>
        <w:pStyle w:val="a5"/>
      </w:pPr>
      <w:r>
        <w:rPr>
          <w:rStyle w:val="a7"/>
        </w:rPr>
        <w:footnoteRef/>
      </w:r>
      <w:r>
        <w:rPr>
          <w:rtl/>
        </w:rPr>
        <w:t xml:space="preserve"> </w:t>
      </w:r>
      <w:r w:rsidRPr="000C687E">
        <w:rPr>
          <w:rFonts w:cs="Arial"/>
          <w:rtl/>
        </w:rPr>
        <w:t>(ח*) וכתב הר"ן ריש האשה שנפלו (לז. ד"ה ונפלו לה נכסים) ולאו דוקא במדינת הים אלא אפילו באותה מדינה רק שלא יהיו ידועים לבעל, וכ"כ בית יוסף בשם תשובת הרשב"א:</w:t>
      </w:r>
    </w:p>
  </w:footnote>
  <w:footnote w:id="2036">
    <w:p w14:paraId="134677E8" w14:textId="77777777" w:rsidR="00DF1FC7" w:rsidRDefault="00DF1FC7" w:rsidP="002E5BAD">
      <w:pPr>
        <w:pStyle w:val="a5"/>
        <w:rPr>
          <w:rtl/>
        </w:rPr>
      </w:pPr>
      <w:r>
        <w:rPr>
          <w:rStyle w:val="a7"/>
        </w:rPr>
        <w:footnoteRef/>
      </w:r>
      <w:r>
        <w:rPr>
          <w:rtl/>
        </w:rPr>
        <w:t xml:space="preserve"> </w:t>
      </w:r>
      <w:r>
        <w:rPr>
          <w:rFonts w:cs="Arial"/>
          <w:rtl/>
        </w:rPr>
        <w:t>וכבר כתבתי תשובה זו בסוף סימן פ"ה</w:t>
      </w:r>
      <w:r>
        <w:rPr>
          <w:rFonts w:cs="Arial" w:hint="cs"/>
          <w:rtl/>
        </w:rPr>
        <w:t>, ב"י.</w:t>
      </w:r>
      <w:r w:rsidRPr="00D9440F">
        <w:rPr>
          <w:rFonts w:cs="Arial"/>
          <w:rtl/>
        </w:rPr>
        <w:t xml:space="preserve"> וע"ל סי' פ"ו (דמה"א סוד"ה היו המעות) תשובה מדין אשה שהיו לה נכסים שאינן ידועים לבעל והשאילתן לאחרים</w:t>
      </w:r>
      <w:r>
        <w:rPr>
          <w:rFonts w:cs="Arial" w:hint="cs"/>
          <w:rtl/>
        </w:rPr>
        <w:t>, דרכ"מ (אות ט).</w:t>
      </w:r>
    </w:p>
  </w:footnote>
  <w:footnote w:id="2037">
    <w:p w14:paraId="1172AD37" w14:textId="77777777" w:rsidR="00DF1FC7" w:rsidRDefault="00DF1FC7" w:rsidP="002E5BAD">
      <w:pPr>
        <w:pStyle w:val="a5"/>
      </w:pPr>
      <w:r>
        <w:rPr>
          <w:rStyle w:val="a7"/>
        </w:rPr>
        <w:footnoteRef/>
      </w:r>
      <w:r>
        <w:rPr>
          <w:rtl/>
        </w:rPr>
        <w:t xml:space="preserve"> </w:t>
      </w:r>
      <w:r w:rsidRPr="009E0829">
        <w:rPr>
          <w:rFonts w:cs="Arial"/>
          <w:rtl/>
        </w:rPr>
        <w:t>משום דיורש אותה אף שא</w:t>
      </w:r>
      <w:r>
        <w:rPr>
          <w:rFonts w:cs="Arial" w:hint="cs"/>
          <w:rtl/>
        </w:rPr>
        <w:t>ינם ידועים</w:t>
      </w:r>
      <w:r w:rsidRPr="009E0829">
        <w:rPr>
          <w:rFonts w:cs="Arial"/>
          <w:rtl/>
        </w:rPr>
        <w:t xml:space="preserve"> לו</w:t>
      </w:r>
      <w:r>
        <w:rPr>
          <w:rFonts w:cs="Arial" w:hint="cs"/>
          <w:rtl/>
        </w:rPr>
        <w:t>,</w:t>
      </w:r>
      <w:r w:rsidRPr="009E0829">
        <w:rPr>
          <w:rFonts w:cs="Arial"/>
          <w:rtl/>
        </w:rPr>
        <w:t xml:space="preserve"> הר"ן</w:t>
      </w:r>
      <w:r>
        <w:rPr>
          <w:rFonts w:cs="Arial" w:hint="cs"/>
          <w:rtl/>
        </w:rPr>
        <w:t>, ב"ש (סקמ"א).</w:t>
      </w:r>
    </w:p>
  </w:footnote>
  <w:footnote w:id="2038">
    <w:p w14:paraId="776BD7B7" w14:textId="77777777" w:rsidR="00DF1FC7" w:rsidRDefault="00DF1FC7" w:rsidP="002E5BAD">
      <w:pPr>
        <w:pStyle w:val="a5"/>
        <w:rPr>
          <w:rtl/>
        </w:rPr>
      </w:pPr>
      <w:r>
        <w:rPr>
          <w:rStyle w:val="a7"/>
        </w:rPr>
        <w:footnoteRef/>
      </w:r>
      <w:r>
        <w:rPr>
          <w:rtl/>
        </w:rPr>
        <w:t xml:space="preserve"> </w:t>
      </w:r>
      <w:r w:rsidRPr="00D9440F">
        <w:rPr>
          <w:rFonts w:cs="Arial"/>
          <w:rtl/>
        </w:rPr>
        <w:t>וכן נתבאר לעיל בדין אשה שהבריחה נכסיה</w:t>
      </w:r>
      <w:r>
        <w:rPr>
          <w:rFonts w:hint="cs"/>
          <w:rtl/>
        </w:rPr>
        <w:t>, דרכ"מ (אות י).</w:t>
      </w:r>
    </w:p>
  </w:footnote>
  <w:footnote w:id="2039">
    <w:p w14:paraId="7F3F8548" w14:textId="77777777" w:rsidR="00DF1FC7" w:rsidRDefault="00DF1FC7" w:rsidP="002E5BAD">
      <w:pPr>
        <w:pStyle w:val="a5"/>
        <w:rPr>
          <w:rtl/>
        </w:rPr>
      </w:pPr>
      <w:r>
        <w:rPr>
          <w:rStyle w:val="a7"/>
        </w:rPr>
        <w:footnoteRef/>
      </w:r>
      <w:r>
        <w:rPr>
          <w:rtl/>
        </w:rPr>
        <w:t xml:space="preserve"> </w:t>
      </w:r>
      <w:r>
        <w:rPr>
          <w:rFonts w:hint="cs"/>
          <w:rtl/>
        </w:rPr>
        <w:t>לפני הגירסא היא 'מכרה' (גם בדפוס וילנא וגם בדפוס ונציה), אבל ברור מההקשר שצריך להיות כתוב 'מכרו'. וכן באמת הגירסא שהיית לפני רב האי גאון (</w:t>
      </w:r>
      <w:r w:rsidRPr="001277A9">
        <w:rPr>
          <w:rFonts w:cs="Arial"/>
          <w:rtl/>
        </w:rPr>
        <w:t>ספר המקח והממכר עמק השער שער ד</w:t>
      </w:r>
      <w:r>
        <w:rPr>
          <w:rFonts w:hint="cs"/>
          <w:rtl/>
        </w:rPr>
        <w:t>) הרז"ה (</w:t>
      </w:r>
      <w:r w:rsidRPr="001277A9">
        <w:rPr>
          <w:rFonts w:cs="Arial"/>
          <w:rtl/>
        </w:rPr>
        <w:t>מלחמת ה'</w:t>
      </w:r>
      <w:r>
        <w:rPr>
          <w:rFonts w:cs="Arial" w:hint="cs"/>
          <w:rtl/>
        </w:rPr>
        <w:t>,</w:t>
      </w:r>
      <w:r w:rsidRPr="001277A9">
        <w:rPr>
          <w:rFonts w:cs="Arial"/>
          <w:rtl/>
        </w:rPr>
        <w:t xml:space="preserve"> יבמות כב</w:t>
      </w:r>
      <w:r>
        <w:rPr>
          <w:rFonts w:cs="Arial" w:hint="cs"/>
          <w:rtl/>
        </w:rPr>
        <w:t>.</w:t>
      </w:r>
      <w:r>
        <w:rPr>
          <w:rFonts w:hint="cs"/>
          <w:rtl/>
        </w:rPr>
        <w:t xml:space="preserve">) הרא"ש (ב"ב פ"ג סי' נג) הר"ן (כתובות יח. מדפה"ר) ועוד.  </w:t>
      </w:r>
    </w:p>
  </w:footnote>
  <w:footnote w:id="2040">
    <w:p w14:paraId="42E91A76" w14:textId="77777777" w:rsidR="00DF1FC7" w:rsidRDefault="00DF1FC7" w:rsidP="002E5BAD">
      <w:pPr>
        <w:pStyle w:val="a5"/>
      </w:pPr>
      <w:r>
        <w:rPr>
          <w:rStyle w:val="a7"/>
        </w:rPr>
        <w:footnoteRef/>
      </w:r>
      <w:r>
        <w:rPr>
          <w:rtl/>
        </w:rPr>
        <w:t xml:space="preserve"> </w:t>
      </w:r>
      <w:r>
        <w:rPr>
          <w:rFonts w:hint="cs"/>
          <w:rtl/>
        </w:rPr>
        <w:t xml:space="preserve">וז"ל- </w:t>
      </w:r>
      <w:r w:rsidRPr="00074620">
        <w:rPr>
          <w:rFonts w:cs="Arial"/>
          <w:rtl/>
        </w:rPr>
        <w:t>הבעל שמכר קרקע בנכסי אשתו בין נכסי צאן ברזל בין נכסי מלוג לא עשה כלום.</w:t>
      </w:r>
    </w:p>
  </w:footnote>
  <w:footnote w:id="2041">
    <w:p w14:paraId="03A8EBB9" w14:textId="77777777" w:rsidR="00DF1FC7" w:rsidRDefault="00DF1FC7" w:rsidP="002E5BAD">
      <w:pPr>
        <w:pStyle w:val="a5"/>
      </w:pPr>
      <w:r>
        <w:rPr>
          <w:rStyle w:val="a7"/>
        </w:rPr>
        <w:footnoteRef/>
      </w:r>
      <w:r>
        <w:rPr>
          <w:rtl/>
        </w:rPr>
        <w:t xml:space="preserve"> </w:t>
      </w:r>
      <w:r>
        <w:rPr>
          <w:rFonts w:cs="Arial" w:hint="cs"/>
          <w:rtl/>
        </w:rPr>
        <w:t>וז"ל-</w:t>
      </w:r>
      <w:r>
        <w:rPr>
          <w:rFonts w:cs="Arial"/>
          <w:rtl/>
        </w:rPr>
        <w:t xml:space="preserve"> </w:t>
      </w:r>
      <w:r w:rsidRPr="008A5B22">
        <w:rPr>
          <w:rFonts w:cs="Arial"/>
          <w:rtl/>
        </w:rPr>
        <w:t xml:space="preserve">לכאורה משמע מדקאמר דזבין איהו ומת אתיא איהי ומפקא אלמא </w:t>
      </w:r>
      <w:r>
        <w:rPr>
          <w:rFonts w:cs="Arial"/>
          <w:rtl/>
        </w:rPr>
        <w:t>דהמקח קיים כל ימי חיי הבעל</w:t>
      </w:r>
      <w:r>
        <w:rPr>
          <w:rFonts w:cs="Arial" w:hint="cs"/>
          <w:rtl/>
        </w:rPr>
        <w:t>,</w:t>
      </w:r>
      <w:r>
        <w:rPr>
          <w:rFonts w:cs="Arial"/>
          <w:rtl/>
        </w:rPr>
        <w:t xml:space="preserve"> ואם מתה איהי איגלאי מילתא שהמכר קיים מתחלתו. ומיהו בירושלמי (כתובות פ"ט ה"א) קאמר מכר הוא ומתה היא</w:t>
      </w:r>
      <w:r>
        <w:rPr>
          <w:rFonts w:cs="Arial" w:hint="cs"/>
          <w:rtl/>
        </w:rPr>
        <w:t>,</w:t>
      </w:r>
      <w:r>
        <w:rPr>
          <w:rFonts w:cs="Arial"/>
          <w:rtl/>
        </w:rPr>
        <w:t xml:space="preserve"> מכרו בטל</w:t>
      </w:r>
      <w:r>
        <w:rPr>
          <w:rFonts w:cs="Arial" w:hint="cs"/>
          <w:rtl/>
        </w:rPr>
        <w:t>.</w:t>
      </w:r>
      <w:r>
        <w:rPr>
          <w:rFonts w:cs="Arial"/>
          <w:rtl/>
        </w:rPr>
        <w:t xml:space="preserve"> ופירש ה"ר יונה (נ. ד"ה כי אתמר) הטעם משום שבח בית אביה ביטלו המכר לאלתר</w:t>
      </w:r>
      <w:r>
        <w:rPr>
          <w:rFonts w:cs="Arial" w:hint="cs"/>
          <w:rtl/>
        </w:rPr>
        <w:t>.</w:t>
      </w:r>
      <w:r>
        <w:rPr>
          <w:rFonts w:cs="Arial"/>
          <w:rtl/>
        </w:rPr>
        <w:t xml:space="preserve"> והא דקאמר </w:t>
      </w:r>
      <w:r>
        <w:rPr>
          <w:rFonts w:cs="Arial" w:hint="cs"/>
          <w:rtl/>
        </w:rPr>
        <w:t>'</w:t>
      </w:r>
      <w:r>
        <w:rPr>
          <w:rFonts w:cs="Arial"/>
          <w:rtl/>
        </w:rPr>
        <w:t>מכר הוא ומתה היא מכרו בטל</w:t>
      </w:r>
      <w:r>
        <w:rPr>
          <w:rFonts w:cs="Arial" w:hint="cs"/>
          <w:rtl/>
        </w:rPr>
        <w:t>'</w:t>
      </w:r>
      <w:r>
        <w:rPr>
          <w:rFonts w:cs="Arial"/>
          <w:rtl/>
        </w:rPr>
        <w:t xml:space="preserve"> הוא הדין דלאלתר בטל</w:t>
      </w:r>
      <w:r>
        <w:rPr>
          <w:rFonts w:cs="Arial" w:hint="cs"/>
          <w:rtl/>
        </w:rPr>
        <w:t>,</w:t>
      </w:r>
      <w:r>
        <w:rPr>
          <w:rFonts w:cs="Arial"/>
          <w:rtl/>
        </w:rPr>
        <w:t xml:space="preserve"> אלא לרבותא נקט אע</w:t>
      </w:r>
      <w:r>
        <w:rPr>
          <w:rFonts w:cs="Arial" w:hint="cs"/>
          <w:rtl/>
        </w:rPr>
        <w:t>"</w:t>
      </w:r>
      <w:r>
        <w:rPr>
          <w:rFonts w:cs="Arial"/>
          <w:rtl/>
        </w:rPr>
        <w:t>פ שלא ערערו על המקח עד שמתה היא</w:t>
      </w:r>
      <w:r>
        <w:rPr>
          <w:rFonts w:cs="Arial" w:hint="cs"/>
          <w:rtl/>
        </w:rPr>
        <w:t>.</w:t>
      </w:r>
      <w:r>
        <w:rPr>
          <w:rFonts w:cs="Arial"/>
          <w:rtl/>
        </w:rPr>
        <w:t xml:space="preserve"> והאי דנקט גמרא דידן </w:t>
      </w:r>
      <w:r>
        <w:rPr>
          <w:rFonts w:cs="Arial" w:hint="cs"/>
          <w:rtl/>
        </w:rPr>
        <w:t>'</w:t>
      </w:r>
      <w:r>
        <w:rPr>
          <w:rFonts w:cs="Arial"/>
          <w:rtl/>
        </w:rPr>
        <w:t>דזבין הוא ומית אתיא איהי ומפקא</w:t>
      </w:r>
      <w:r>
        <w:rPr>
          <w:rFonts w:cs="Arial" w:hint="cs"/>
          <w:rtl/>
        </w:rPr>
        <w:t>',</w:t>
      </w:r>
      <w:r>
        <w:rPr>
          <w:rFonts w:cs="Arial"/>
          <w:rtl/>
        </w:rPr>
        <w:t xml:space="preserve"> אע</w:t>
      </w:r>
      <w:r>
        <w:rPr>
          <w:rFonts w:cs="Arial" w:hint="cs"/>
          <w:rtl/>
        </w:rPr>
        <w:t>"</w:t>
      </w:r>
      <w:r>
        <w:rPr>
          <w:rFonts w:cs="Arial"/>
          <w:rtl/>
        </w:rPr>
        <w:t>ג דהוא הדין דמתה היא איהו מפיק ואפילו לאלתר מכרו בטל</w:t>
      </w:r>
      <w:r>
        <w:rPr>
          <w:rFonts w:cs="Arial" w:hint="cs"/>
          <w:rtl/>
        </w:rPr>
        <w:t>,</w:t>
      </w:r>
      <w:r>
        <w:rPr>
          <w:rFonts w:cs="Arial"/>
          <w:rtl/>
        </w:rPr>
        <w:t xml:space="preserve"> משום דעיקר חידוש דברי אמימר לאשמועינן דאשה שמכרה הבעל מוציא מיד הלקוחות</w:t>
      </w:r>
      <w:r>
        <w:rPr>
          <w:rFonts w:cs="Arial" w:hint="cs"/>
          <w:rtl/>
        </w:rPr>
        <w:t>,</w:t>
      </w:r>
      <w:r>
        <w:rPr>
          <w:rFonts w:cs="Arial"/>
          <w:rtl/>
        </w:rPr>
        <w:t xml:space="preserve"> והתם דוקא כשמתה</w:t>
      </w:r>
      <w:r>
        <w:rPr>
          <w:rFonts w:cs="Arial" w:hint="cs"/>
          <w:rtl/>
        </w:rPr>
        <w:t>,</w:t>
      </w:r>
      <w:r>
        <w:rPr>
          <w:rFonts w:cs="Arial"/>
          <w:rtl/>
        </w:rPr>
        <w:t xml:space="preserve"> אבל כשמת הוא מכרה קיים</w:t>
      </w:r>
      <w:r>
        <w:rPr>
          <w:rFonts w:cs="Arial" w:hint="cs"/>
          <w:rtl/>
        </w:rPr>
        <w:t>.</w:t>
      </w:r>
      <w:r>
        <w:rPr>
          <w:rFonts w:cs="Arial"/>
          <w:rtl/>
        </w:rPr>
        <w:t xml:space="preserve"> ואיידי דנקט אשה שמכרה</w:t>
      </w:r>
      <w:r>
        <w:rPr>
          <w:rFonts w:cs="Arial" w:hint="cs"/>
          <w:rtl/>
        </w:rPr>
        <w:t>,</w:t>
      </w:r>
      <w:r>
        <w:rPr>
          <w:rFonts w:cs="Arial"/>
          <w:rtl/>
        </w:rPr>
        <w:t xml:space="preserve"> נקט נמי איש שמכר</w:t>
      </w:r>
      <w:r>
        <w:rPr>
          <w:rFonts w:cs="Arial" w:hint="cs"/>
          <w:rtl/>
        </w:rPr>
        <w:t>,</w:t>
      </w:r>
      <w:r>
        <w:rPr>
          <w:rFonts w:cs="Arial"/>
          <w:rtl/>
        </w:rPr>
        <w:t xml:space="preserve"> הילכך מפרש ליה תלמודא</w:t>
      </w:r>
      <w:r>
        <w:rPr>
          <w:rFonts w:cs="Arial" w:hint="cs"/>
          <w:sz w:val="16"/>
          <w:szCs w:val="16"/>
          <w:rtl/>
        </w:rPr>
        <w:t xml:space="preserve"> {לבעל שמכר}</w:t>
      </w:r>
      <w:r>
        <w:rPr>
          <w:rFonts w:cs="Arial"/>
          <w:rtl/>
        </w:rPr>
        <w:t xml:space="preserve"> דומיא דאשה שמכרה</w:t>
      </w:r>
      <w:r>
        <w:rPr>
          <w:rFonts w:cs="Arial" w:hint="cs"/>
          <w:sz w:val="16"/>
          <w:szCs w:val="16"/>
          <w:rtl/>
        </w:rPr>
        <w:t xml:space="preserve"> {וכמו שכתבו באשה שמכרה 'ומתה', כך כתבו באיש שמכר 'ומית' אע"פ שהם שונים. שבעל שמכר - מכרו בטל לאלתר. ואשה שמכרה - מכרה בטל רק לאחר שמתה}</w:t>
      </w:r>
      <w:r>
        <w:rPr>
          <w:rFonts w:cs="Arial" w:hint="cs"/>
          <w:rtl/>
        </w:rPr>
        <w:t xml:space="preserve"> עכ"ל. (ולאחר שהביא הב"י את דברי הרא"ש הללו כתב- ו</w:t>
      </w:r>
      <w:r>
        <w:rPr>
          <w:rFonts w:cs="Arial"/>
          <w:rtl/>
        </w:rPr>
        <w:t>כך נראה מדברי הרמב"ם</w:t>
      </w:r>
      <w:r>
        <w:rPr>
          <w:rFonts w:hint="cs"/>
          <w:rtl/>
        </w:rPr>
        <w:t xml:space="preserve"> [פכ"ב הט"ו]).</w:t>
      </w:r>
    </w:p>
  </w:footnote>
  <w:footnote w:id="2042">
    <w:p w14:paraId="0267DD4C" w14:textId="77777777" w:rsidR="00DF1FC7" w:rsidRDefault="00DF1FC7" w:rsidP="002E5BAD">
      <w:pPr>
        <w:pStyle w:val="a5"/>
      </w:pPr>
      <w:r>
        <w:rPr>
          <w:rStyle w:val="a7"/>
        </w:rPr>
        <w:footnoteRef/>
      </w:r>
      <w:r>
        <w:rPr>
          <w:rtl/>
        </w:rPr>
        <w:t xml:space="preserve"> </w:t>
      </w:r>
      <w:r>
        <w:rPr>
          <w:rFonts w:cs="Arial"/>
          <w:rtl/>
        </w:rPr>
        <w:t>כן משמע מדברי הרא"ש שכתבתי בסמוך</w:t>
      </w:r>
      <w:r>
        <w:rPr>
          <w:rFonts w:cs="Arial" w:hint="cs"/>
          <w:rtl/>
        </w:rPr>
        <w:t>, ב"י.</w:t>
      </w:r>
    </w:p>
  </w:footnote>
  <w:footnote w:id="2043">
    <w:p w14:paraId="65A14BDA" w14:textId="77777777" w:rsidR="00DF1FC7" w:rsidRDefault="00DF1FC7" w:rsidP="002E5BAD">
      <w:pPr>
        <w:pStyle w:val="a5"/>
      </w:pPr>
      <w:r>
        <w:rPr>
          <w:rStyle w:val="a7"/>
        </w:rPr>
        <w:footnoteRef/>
      </w:r>
      <w:r>
        <w:rPr>
          <w:rtl/>
        </w:rPr>
        <w:t xml:space="preserve"> </w:t>
      </w:r>
      <w:r w:rsidRPr="006B10A0">
        <w:rPr>
          <w:rFonts w:cs="Arial"/>
          <w:rtl/>
        </w:rPr>
        <w:t>נכסי צאן ברזל, הנישומים בכתובתה</w:t>
      </w:r>
      <w:r>
        <w:rPr>
          <w:rFonts w:cs="Arial" w:hint="cs"/>
          <w:rtl/>
        </w:rPr>
        <w:t>.</w:t>
      </w:r>
    </w:p>
  </w:footnote>
  <w:footnote w:id="2044">
    <w:p w14:paraId="77E7E095" w14:textId="77777777" w:rsidR="00DF1FC7" w:rsidRDefault="00DF1FC7" w:rsidP="002E5BAD">
      <w:pPr>
        <w:pStyle w:val="a5"/>
      </w:pPr>
      <w:r>
        <w:rPr>
          <w:rStyle w:val="a7"/>
        </w:rPr>
        <w:footnoteRef/>
      </w:r>
      <w:r>
        <w:rPr>
          <w:rtl/>
        </w:rPr>
        <w:t xml:space="preserve"> </w:t>
      </w:r>
      <w:r w:rsidRPr="00F73BB0">
        <w:rPr>
          <w:rFonts w:cs="Arial"/>
          <w:rtl/>
        </w:rPr>
        <w:t>שאם יגרשנה תטול כליה</w:t>
      </w:r>
      <w:r>
        <w:rPr>
          <w:rFonts w:cs="Arial" w:hint="cs"/>
          <w:rtl/>
        </w:rPr>
        <w:t>, רש"י.</w:t>
      </w:r>
    </w:p>
  </w:footnote>
  <w:footnote w:id="2045">
    <w:p w14:paraId="159FA4AD" w14:textId="77777777" w:rsidR="00DF1FC7" w:rsidRDefault="00DF1FC7" w:rsidP="002E5BAD">
      <w:pPr>
        <w:pStyle w:val="a5"/>
      </w:pPr>
      <w:r>
        <w:rPr>
          <w:rStyle w:val="a7"/>
        </w:rPr>
        <w:footnoteRef/>
      </w:r>
      <w:r>
        <w:rPr>
          <w:rtl/>
        </w:rPr>
        <w:t xml:space="preserve"> </w:t>
      </w:r>
      <w:r w:rsidRPr="00F73BB0">
        <w:rPr>
          <w:rFonts w:cs="Arial"/>
          <w:rtl/>
        </w:rPr>
        <w:t>או זה או זה</w:t>
      </w:r>
      <w:r>
        <w:rPr>
          <w:rFonts w:cs="Arial" w:hint="cs"/>
          <w:rtl/>
        </w:rPr>
        <w:t>, רש"י.</w:t>
      </w:r>
    </w:p>
  </w:footnote>
  <w:footnote w:id="2046">
    <w:p w14:paraId="287D2DBB" w14:textId="77777777" w:rsidR="00DF1FC7" w:rsidRDefault="00DF1FC7" w:rsidP="002E5BAD">
      <w:pPr>
        <w:pStyle w:val="a5"/>
      </w:pPr>
      <w:r>
        <w:rPr>
          <w:rStyle w:val="a7"/>
        </w:rPr>
        <w:footnoteRef/>
      </w:r>
      <w:r>
        <w:rPr>
          <w:rtl/>
        </w:rPr>
        <w:t xml:space="preserve"> </w:t>
      </w:r>
      <w:r w:rsidRPr="00F73BB0">
        <w:rPr>
          <w:rFonts w:cs="Arial"/>
          <w:rtl/>
        </w:rPr>
        <w:t>אורחא דמילתא נקט שאין אדם מוכר כלי תשמישיו אלא למזונות</w:t>
      </w:r>
      <w:r>
        <w:rPr>
          <w:rFonts w:cs="Arial" w:hint="cs"/>
          <w:rtl/>
        </w:rPr>
        <w:t>, רש"י.</w:t>
      </w:r>
    </w:p>
  </w:footnote>
  <w:footnote w:id="2047">
    <w:p w14:paraId="65503134" w14:textId="77777777" w:rsidR="00DF1FC7" w:rsidRDefault="00DF1FC7" w:rsidP="002E5BAD">
      <w:pPr>
        <w:pStyle w:val="a5"/>
      </w:pPr>
      <w:r>
        <w:rPr>
          <w:rStyle w:val="a7"/>
        </w:rPr>
        <w:footnoteRef/>
      </w:r>
      <w:r>
        <w:rPr>
          <w:rtl/>
        </w:rPr>
        <w:t xml:space="preserve"> </w:t>
      </w:r>
      <w:r w:rsidRPr="00F73BB0">
        <w:rPr>
          <w:rFonts w:cs="Arial"/>
          <w:rtl/>
        </w:rPr>
        <w:t>לא מיבעיא דאם מכר הוא בלא דעתה</w:t>
      </w:r>
      <w:r>
        <w:rPr>
          <w:rFonts w:cs="Arial" w:hint="cs"/>
          <w:rtl/>
        </w:rPr>
        <w:t>,</w:t>
      </w:r>
      <w:r w:rsidRPr="00F73BB0">
        <w:rPr>
          <w:rFonts w:cs="Arial"/>
          <w:rtl/>
        </w:rPr>
        <w:t xml:space="preserve"> ומת או גרשה</w:t>
      </w:r>
      <w:r>
        <w:rPr>
          <w:rFonts w:cs="Arial" w:hint="cs"/>
          <w:rtl/>
        </w:rPr>
        <w:t>,</w:t>
      </w:r>
      <w:r w:rsidRPr="00F73BB0">
        <w:rPr>
          <w:rFonts w:cs="Arial"/>
          <w:rtl/>
        </w:rPr>
        <w:t xml:space="preserve"> דהיא מוציאה מיד הלקוחות</w:t>
      </w:r>
      <w:r>
        <w:rPr>
          <w:rFonts w:cs="Arial" w:hint="cs"/>
          <w:rtl/>
        </w:rPr>
        <w:t>.</w:t>
      </w:r>
      <w:r w:rsidRPr="00F73BB0">
        <w:rPr>
          <w:rFonts w:cs="Arial"/>
          <w:rtl/>
        </w:rPr>
        <w:t xml:space="preserve"> אלא אפילו מתה היא</w:t>
      </w:r>
      <w:r>
        <w:rPr>
          <w:rFonts w:cs="Arial" w:hint="cs"/>
          <w:rtl/>
        </w:rPr>
        <w:t>,</w:t>
      </w:r>
      <w:r w:rsidRPr="00F73BB0">
        <w:rPr>
          <w:rFonts w:cs="Arial"/>
          <w:rtl/>
        </w:rPr>
        <w:t xml:space="preserve"> הוא מוציא מיד הלקוחות</w:t>
      </w:r>
      <w:r>
        <w:rPr>
          <w:rFonts w:cs="Arial" w:hint="cs"/>
          <w:rtl/>
        </w:rPr>
        <w:t>,</w:t>
      </w:r>
      <w:r w:rsidRPr="00F73BB0">
        <w:rPr>
          <w:rFonts w:cs="Arial"/>
          <w:rtl/>
        </w:rPr>
        <w:t xml:space="preserve"> דמכירה לאו מכירה הואי (שמא ימות הוא בחייה ונמצאת מכירה שלא כדין) כל זמן שהיא קיימת</w:t>
      </w:r>
      <w:r>
        <w:rPr>
          <w:rFonts w:cs="Arial" w:hint="cs"/>
          <w:rtl/>
        </w:rPr>
        <w:t>, רש"י.</w:t>
      </w:r>
    </w:p>
  </w:footnote>
  <w:footnote w:id="2048">
    <w:p w14:paraId="507C82AA" w14:textId="77777777" w:rsidR="00DF1FC7" w:rsidRDefault="00DF1FC7" w:rsidP="002E5BAD">
      <w:pPr>
        <w:pStyle w:val="a5"/>
        <w:rPr>
          <w:rtl/>
        </w:rPr>
      </w:pPr>
      <w:r>
        <w:rPr>
          <w:rStyle w:val="a7"/>
        </w:rPr>
        <w:footnoteRef/>
      </w:r>
      <w:r>
        <w:rPr>
          <w:rtl/>
        </w:rPr>
        <w:t xml:space="preserve"> </w:t>
      </w:r>
      <w:r>
        <w:rPr>
          <w:rFonts w:cs="Arial" w:hint="cs"/>
          <w:rtl/>
        </w:rPr>
        <w:t>והוא הדין</w:t>
      </w:r>
      <w:r w:rsidRPr="00C319EF">
        <w:rPr>
          <w:rFonts w:cs="Arial"/>
          <w:rtl/>
        </w:rPr>
        <w:t xml:space="preserve"> </w:t>
      </w:r>
      <w:r>
        <w:rPr>
          <w:rFonts w:cs="Arial" w:hint="cs"/>
          <w:rtl/>
        </w:rPr>
        <w:t>ל</w:t>
      </w:r>
      <w:r w:rsidRPr="008C513A">
        <w:rPr>
          <w:rFonts w:cs="Arial"/>
          <w:rtl/>
        </w:rPr>
        <w:t>שדה ששם לה בכתובתה דינה כנכסי צאן ברזל</w:t>
      </w:r>
      <w:r>
        <w:rPr>
          <w:rFonts w:cs="Arial" w:hint="cs"/>
          <w:rtl/>
        </w:rPr>
        <w:t xml:space="preserve"> </w:t>
      </w:r>
      <w:r w:rsidRPr="00C319EF">
        <w:rPr>
          <w:rFonts w:cs="Arial" w:hint="cs"/>
          <w:sz w:val="16"/>
          <w:szCs w:val="16"/>
          <w:rtl/>
        </w:rPr>
        <w:t>(כ"כ הדרכ"מ</w:t>
      </w:r>
      <w:r w:rsidRPr="00C319EF">
        <w:rPr>
          <w:rFonts w:cs="Arial"/>
          <w:sz w:val="16"/>
          <w:szCs w:val="16"/>
          <w:rtl/>
        </w:rPr>
        <w:t xml:space="preserve"> (</w:t>
      </w:r>
      <w:r w:rsidRPr="00C319EF">
        <w:rPr>
          <w:rFonts w:cs="Arial" w:hint="cs"/>
          <w:sz w:val="16"/>
          <w:szCs w:val="16"/>
          <w:rtl/>
        </w:rPr>
        <w:t xml:space="preserve">אות </w:t>
      </w:r>
      <w:r w:rsidRPr="00C319EF">
        <w:rPr>
          <w:rFonts w:cs="Arial"/>
          <w:sz w:val="16"/>
          <w:szCs w:val="16"/>
          <w:rtl/>
        </w:rPr>
        <w:t xml:space="preserve">יא) </w:t>
      </w:r>
      <w:r w:rsidRPr="00C319EF">
        <w:rPr>
          <w:rFonts w:cs="Arial" w:hint="cs"/>
          <w:sz w:val="16"/>
          <w:szCs w:val="16"/>
          <w:rtl/>
        </w:rPr>
        <w:t>דמוכח ב</w:t>
      </w:r>
      <w:r w:rsidRPr="00C319EF">
        <w:rPr>
          <w:rFonts w:cs="Arial"/>
          <w:sz w:val="16"/>
          <w:szCs w:val="16"/>
          <w:rtl/>
        </w:rPr>
        <w:t xml:space="preserve">גמרא </w:t>
      </w:r>
      <w:r w:rsidRPr="00C319EF">
        <w:rPr>
          <w:rFonts w:cs="Arial" w:hint="cs"/>
          <w:sz w:val="16"/>
          <w:szCs w:val="16"/>
          <w:rtl/>
        </w:rPr>
        <w:t>(</w:t>
      </w:r>
      <w:r w:rsidRPr="00C319EF">
        <w:rPr>
          <w:rFonts w:cs="Arial"/>
          <w:sz w:val="16"/>
          <w:szCs w:val="16"/>
          <w:rtl/>
        </w:rPr>
        <w:t>פ</w:t>
      </w:r>
      <w:r w:rsidRPr="00C319EF">
        <w:rPr>
          <w:rFonts w:cs="Arial" w:hint="cs"/>
          <w:sz w:val="16"/>
          <w:szCs w:val="16"/>
          <w:rtl/>
        </w:rPr>
        <w:t>'</w:t>
      </w:r>
      <w:r w:rsidRPr="00C319EF">
        <w:rPr>
          <w:rFonts w:cs="Arial"/>
          <w:sz w:val="16"/>
          <w:szCs w:val="16"/>
          <w:rtl/>
        </w:rPr>
        <w:t xml:space="preserve"> אלמנה לכ"ג ובפ</w:t>
      </w:r>
      <w:r w:rsidRPr="00C319EF">
        <w:rPr>
          <w:rFonts w:cs="Arial" w:hint="cs"/>
          <w:sz w:val="16"/>
          <w:szCs w:val="16"/>
          <w:rtl/>
        </w:rPr>
        <w:t>'</w:t>
      </w:r>
      <w:r w:rsidRPr="00C319EF">
        <w:rPr>
          <w:rFonts w:cs="Arial"/>
          <w:sz w:val="16"/>
          <w:szCs w:val="16"/>
          <w:rtl/>
        </w:rPr>
        <w:t xml:space="preserve"> חזקת הבתים</w:t>
      </w:r>
      <w:r w:rsidRPr="00C319EF">
        <w:rPr>
          <w:rFonts w:cs="Arial" w:hint="cs"/>
          <w:sz w:val="16"/>
          <w:szCs w:val="16"/>
          <w:rtl/>
        </w:rPr>
        <w:t>)</w:t>
      </w:r>
      <w:r w:rsidRPr="00C319EF">
        <w:rPr>
          <w:rFonts w:cs="Arial"/>
          <w:sz w:val="16"/>
          <w:szCs w:val="16"/>
          <w:rtl/>
        </w:rPr>
        <w:t xml:space="preserve"> וכ"כ הרמב"ם </w:t>
      </w:r>
      <w:r w:rsidRPr="00C319EF">
        <w:rPr>
          <w:rFonts w:cs="Arial" w:hint="cs"/>
          <w:sz w:val="16"/>
          <w:szCs w:val="16"/>
          <w:rtl/>
        </w:rPr>
        <w:t>(</w:t>
      </w:r>
      <w:r w:rsidRPr="00C319EF">
        <w:rPr>
          <w:rFonts w:cs="Arial"/>
          <w:sz w:val="16"/>
          <w:szCs w:val="16"/>
          <w:rtl/>
        </w:rPr>
        <w:t>פכ"ב מאישות הי"ח) ומוסכם מן הפוסקים</w:t>
      </w:r>
      <w:r w:rsidRPr="00C319EF">
        <w:rPr>
          <w:rFonts w:cs="Arial" w:hint="cs"/>
          <w:sz w:val="16"/>
          <w:szCs w:val="16"/>
          <w:rtl/>
        </w:rPr>
        <w:t xml:space="preserve">, וכ"כ </w:t>
      </w:r>
      <w:r w:rsidRPr="00C319EF">
        <w:rPr>
          <w:rFonts w:cs="Arial"/>
          <w:sz w:val="16"/>
          <w:szCs w:val="16"/>
          <w:rtl/>
        </w:rPr>
        <w:t>נמוק</w:t>
      </w:r>
      <w:r w:rsidRPr="00C319EF">
        <w:rPr>
          <w:rFonts w:cs="Arial" w:hint="cs"/>
          <w:sz w:val="16"/>
          <w:szCs w:val="16"/>
          <w:rtl/>
        </w:rPr>
        <w:t>"</w:t>
      </w:r>
      <w:r w:rsidRPr="00C319EF">
        <w:rPr>
          <w:rFonts w:cs="Arial"/>
          <w:sz w:val="16"/>
          <w:szCs w:val="16"/>
          <w:rtl/>
        </w:rPr>
        <w:t>י (יבמות כב: דיבור ראשון) ובמרדכי שם ריש הפרק (סי' סג)</w:t>
      </w:r>
      <w:r w:rsidRPr="00C319EF">
        <w:rPr>
          <w:rFonts w:cs="Arial" w:hint="cs"/>
          <w:sz w:val="16"/>
          <w:szCs w:val="16"/>
          <w:rtl/>
        </w:rPr>
        <w:t>.</w:t>
      </w:r>
      <w:r w:rsidRPr="00C319EF">
        <w:rPr>
          <w:rFonts w:cs="Arial"/>
          <w:sz w:val="16"/>
          <w:szCs w:val="16"/>
          <w:rtl/>
        </w:rPr>
        <w:t xml:space="preserve"> וע</w:t>
      </w:r>
      <w:r>
        <w:rPr>
          <w:rFonts w:cs="Arial" w:hint="cs"/>
          <w:sz w:val="16"/>
          <w:szCs w:val="16"/>
          <w:rtl/>
        </w:rPr>
        <w:t>"</w:t>
      </w:r>
      <w:r w:rsidRPr="00C319EF">
        <w:rPr>
          <w:rFonts w:cs="Arial"/>
          <w:sz w:val="16"/>
          <w:szCs w:val="16"/>
          <w:rtl/>
        </w:rPr>
        <w:t>ש שהאריך במרדכי בדינים אלו</w:t>
      </w:r>
      <w:r w:rsidRPr="00C319EF">
        <w:rPr>
          <w:rFonts w:cs="Arial" w:hint="cs"/>
          <w:sz w:val="16"/>
          <w:szCs w:val="16"/>
          <w:rtl/>
        </w:rPr>
        <w:t>)</w:t>
      </w:r>
      <w:r>
        <w:rPr>
          <w:rFonts w:cs="Arial" w:hint="cs"/>
          <w:rtl/>
        </w:rPr>
        <w:t>.</w:t>
      </w:r>
    </w:p>
  </w:footnote>
  <w:footnote w:id="2049">
    <w:p w14:paraId="53AD8760" w14:textId="77777777" w:rsidR="00DF1FC7" w:rsidRDefault="00DF1FC7" w:rsidP="002E5BAD">
      <w:pPr>
        <w:pStyle w:val="a5"/>
      </w:pPr>
      <w:r>
        <w:rPr>
          <w:rStyle w:val="a7"/>
        </w:rPr>
        <w:footnoteRef/>
      </w:r>
      <w:r>
        <w:rPr>
          <w:rtl/>
        </w:rPr>
        <w:t xml:space="preserve"> </w:t>
      </w:r>
      <w:r>
        <w:rPr>
          <w:rFonts w:cs="Arial" w:hint="cs"/>
          <w:rtl/>
        </w:rPr>
        <w:t>וז"ל</w:t>
      </w:r>
      <w:r>
        <w:rPr>
          <w:rFonts w:cs="Arial"/>
          <w:rtl/>
        </w:rPr>
        <w:t xml:space="preserve"> הרא"ש (</w:t>
      </w:r>
      <w:r>
        <w:rPr>
          <w:rFonts w:cs="Arial" w:hint="cs"/>
          <w:rtl/>
        </w:rPr>
        <w:t xml:space="preserve">יבמות פ"ז </w:t>
      </w:r>
      <w:r>
        <w:rPr>
          <w:rFonts w:cs="Arial"/>
          <w:rtl/>
        </w:rPr>
        <w:t>סי' א)</w:t>
      </w:r>
      <w:r>
        <w:rPr>
          <w:rFonts w:cs="Arial" w:hint="cs"/>
          <w:rtl/>
        </w:rPr>
        <w:t>-</w:t>
      </w:r>
      <w:r>
        <w:rPr>
          <w:rFonts w:cs="Arial"/>
          <w:rtl/>
        </w:rPr>
        <w:t xml:space="preserve"> ונראה לפרש הבעל מוציא מיד הלקוחות לאלתר דתקון רבנן שלא יתקיים המקח בדבר זה כלל שלא תהא האשה צריכה לטרוח ולהוציא מן הלקוחות לאחר מיתת בעלה ולא דמי לנכסי בעלה שהוא מוכר והמכר קיים עד שתטרוף כתובתה מהם דהתם לא חשו חכמים על טורח האשה שמא יפרעו לה כתובתה ולא תצטרך לטרוף אבל בנכסים הללו שאפילו אם ימצאו לבעל נכסים יכולה לומר איני רוצה אלא אלו חשו חכמים לטורח האשה וביטלו המקח לאלתר וכן פירש רבינו גרשון מכרו שניהם או זה או זה דאם מכר הבעל עצמו האשה מוציאה ואם מכרה האשה הבעל מוציא ור"ח פירש דאפילו אם מכר הבעל הוא עצמו מוציא דתקון רבנן שלא יתקיים המקח כלל דרבן שמעון בן גמליאל לטעמיה כדאמרינן בפרק השולח (גיטין מא.) תניא העושה שדהו אפותיקי לכתובת אשה ובעל חוב גובה משאר נכסים כלומר אם רצה מוכר אותה שדה וגובין משאר נכסים רבן שמעון בן גמליאל אומר בעל חוב גובה משאר נכסים כתובה אינה גובה משאר נכסים</w:t>
      </w:r>
      <w:r>
        <w:rPr>
          <w:rFonts w:cs="Arial" w:hint="cs"/>
          <w:rtl/>
        </w:rPr>
        <w:t>.</w:t>
      </w:r>
      <w:r>
        <w:rPr>
          <w:rFonts w:cs="Arial"/>
          <w:rtl/>
        </w:rPr>
        <w:t xml:space="preserve"> כלומר אינו יכול למכור אותה שדה כלל ואם מכר המכר בטל לאלתר והבעל מוציא מיד הלקוחות אף אם האשה שותקת</w:t>
      </w:r>
      <w:r>
        <w:rPr>
          <w:rFonts w:cs="Arial" w:hint="cs"/>
          <w:rtl/>
        </w:rPr>
        <w:t>.</w:t>
      </w:r>
      <w:r>
        <w:rPr>
          <w:rFonts w:cs="Arial"/>
          <w:rtl/>
        </w:rPr>
        <w:t xml:space="preserve"> והכי איתמר בירושלמי (יבמות פ"ז ה"א) העושה שדהו אפותיקי לאשה בכתובתה ולבעל חוב בחובו מכרה הרי זו מכורה והלוקח יחוש לעצמו רבן שמעון בן גמליאל אומר לאשה בכתובתה אינה מכורה שלא עלתה על דעתו שתהא האשה מחזרת על בתי דינין</w:t>
      </w:r>
      <w:r>
        <w:rPr>
          <w:rFonts w:cs="Arial" w:hint="cs"/>
          <w:rtl/>
        </w:rPr>
        <w:t>.</w:t>
      </w:r>
      <w:r>
        <w:rPr>
          <w:rFonts w:cs="Arial"/>
          <w:rtl/>
        </w:rPr>
        <w:t xml:space="preserve"> וכל שכן הכא בשום שהכניסה</w:t>
      </w:r>
      <w:r>
        <w:rPr>
          <w:rFonts w:cs="Arial" w:hint="cs"/>
          <w:rtl/>
        </w:rPr>
        <w:t>,</w:t>
      </w:r>
      <w:r>
        <w:rPr>
          <w:rFonts w:cs="Arial"/>
          <w:rtl/>
        </w:rPr>
        <w:t xml:space="preserve"> וכן נמי בשום שהכניס לה דעדיף מאפותיקי</w:t>
      </w:r>
      <w:r>
        <w:rPr>
          <w:rFonts w:cs="Arial" w:hint="cs"/>
          <w:rtl/>
        </w:rPr>
        <w:t>,</w:t>
      </w:r>
      <w:r>
        <w:rPr>
          <w:rFonts w:cs="Arial"/>
          <w:rtl/>
        </w:rPr>
        <w:t xml:space="preserve"> ויכול הבעל לבטל את המקח שמכר.</w:t>
      </w:r>
    </w:p>
  </w:footnote>
  <w:footnote w:id="2050">
    <w:p w14:paraId="432F62FD" w14:textId="77777777" w:rsidR="00DF1FC7" w:rsidRDefault="00DF1FC7" w:rsidP="002E5BAD">
      <w:pPr>
        <w:pStyle w:val="a5"/>
      </w:pPr>
      <w:r>
        <w:rPr>
          <w:rStyle w:val="a7"/>
        </w:rPr>
        <w:footnoteRef/>
      </w:r>
      <w:r>
        <w:rPr>
          <w:rtl/>
        </w:rPr>
        <w:t xml:space="preserve"> </w:t>
      </w:r>
      <w:r>
        <w:rPr>
          <w:rFonts w:hint="cs"/>
          <w:rtl/>
        </w:rPr>
        <w:t>וכתב הרא"ש ד</w:t>
      </w:r>
      <w:r>
        <w:rPr>
          <w:rFonts w:cs="Arial"/>
          <w:rtl/>
        </w:rPr>
        <w:t>תימה הוא לומר דכל זמן שהאשה שותקת יהא המקח קיים וכו'</w:t>
      </w:r>
      <w:r>
        <w:rPr>
          <w:rFonts w:hint="cs"/>
          <w:rtl/>
        </w:rPr>
        <w:t>...</w:t>
      </w:r>
    </w:p>
  </w:footnote>
  <w:footnote w:id="2051">
    <w:p w14:paraId="0BF55A15" w14:textId="77777777" w:rsidR="00DF1FC7" w:rsidRDefault="00DF1FC7" w:rsidP="002E5BAD">
      <w:pPr>
        <w:pStyle w:val="a5"/>
      </w:pPr>
      <w:r>
        <w:rPr>
          <w:rStyle w:val="a7"/>
        </w:rPr>
        <w:footnoteRef/>
      </w:r>
      <w:r>
        <w:rPr>
          <w:rtl/>
        </w:rPr>
        <w:t xml:space="preserve"> </w:t>
      </w:r>
      <w:r>
        <w:rPr>
          <w:rFonts w:cs="Arial" w:hint="cs"/>
          <w:rtl/>
        </w:rPr>
        <w:t>וז"ל</w:t>
      </w:r>
      <w:r>
        <w:rPr>
          <w:rFonts w:cs="Arial"/>
          <w:rtl/>
        </w:rPr>
        <w:t xml:space="preserve"> הרא"ש (סי' א)</w:t>
      </w:r>
      <w:r>
        <w:rPr>
          <w:rFonts w:cs="Arial" w:hint="cs"/>
          <w:rtl/>
        </w:rPr>
        <w:t xml:space="preserve"> בשמו-</w:t>
      </w:r>
      <w:r>
        <w:rPr>
          <w:rFonts w:cs="Arial"/>
          <w:rtl/>
        </w:rPr>
        <w:t xml:space="preserve"> ורי"ף (כב.) כתב והאי מכרו שניהם לפרנסה דקאמר רשב"ג הבעל מוציא מיד הלקוחות לא איפשיטא שפיר דנעביד בה מעשה. וכתב הרמב"ן (מלחמות שם) דהיינו ספיקו דרב אלפס משום דרשב"ג לטעמיה כדפרישית ושמא קיי"ל כרבנן דפליגי עליה ואמרו דהמקח קיים עד שתבוא האשה ותטרוף מן הלקוחות וכל שכן שאין הבעל מוציא מיד הלקוחות עכ"ל</w:t>
      </w:r>
      <w:r>
        <w:rPr>
          <w:rFonts w:cs="Arial" w:hint="cs"/>
          <w:rtl/>
        </w:rPr>
        <w:t xml:space="preserve"> הרא"ש.</w:t>
      </w:r>
      <w:r>
        <w:rPr>
          <w:rFonts w:cs="Arial"/>
          <w:rtl/>
        </w:rPr>
        <w:t xml:space="preserve"> ו</w:t>
      </w:r>
      <w:r>
        <w:rPr>
          <w:rFonts w:cs="Arial" w:hint="cs"/>
          <w:rtl/>
        </w:rPr>
        <w:t xml:space="preserve">בסוף דבריו </w:t>
      </w:r>
      <w:r>
        <w:rPr>
          <w:rFonts w:cs="Arial"/>
          <w:rtl/>
        </w:rPr>
        <w:t xml:space="preserve">כתב עוד דפסק ר"י </w:t>
      </w:r>
      <w:r w:rsidRPr="008E0760">
        <w:rPr>
          <w:rFonts w:cs="Arial"/>
          <w:rtl/>
        </w:rPr>
        <w:t>(תוס' ב"ב נ. ד"ה אילימא)</w:t>
      </w:r>
      <w:r>
        <w:rPr>
          <w:rFonts w:cs="Arial"/>
          <w:rtl/>
        </w:rPr>
        <w:t xml:space="preserve"> דהמקח קיים עד שעת טריפה כרבנן</w:t>
      </w:r>
      <w:r>
        <w:rPr>
          <w:rFonts w:cs="Arial" w:hint="cs"/>
          <w:rtl/>
        </w:rPr>
        <w:t>.</w:t>
      </w:r>
    </w:p>
  </w:footnote>
  <w:footnote w:id="2052">
    <w:p w14:paraId="5E8D86C2" w14:textId="77777777" w:rsidR="00DF1FC7" w:rsidRDefault="00DF1FC7" w:rsidP="002E5BAD">
      <w:pPr>
        <w:pStyle w:val="a5"/>
        <w:rPr>
          <w:rtl/>
        </w:rPr>
      </w:pPr>
      <w:r>
        <w:rPr>
          <w:rStyle w:val="a7"/>
        </w:rPr>
        <w:footnoteRef/>
      </w:r>
      <w:r>
        <w:rPr>
          <w:rtl/>
        </w:rPr>
        <w:t xml:space="preserve"> </w:t>
      </w:r>
      <w:r w:rsidRPr="008C513A">
        <w:rPr>
          <w:rFonts w:cs="Arial"/>
          <w:rtl/>
        </w:rPr>
        <w:t>וכן פי' ר"י דבין בשדה שהכניסה לו שום משלה וכתבו אותו בכתיבה ובין נכסי צאן ברזל הוי מכר שלו קיים עד שעת טירפא ולזה הסכים א"א הרא"ש ז"ל</w:t>
      </w:r>
      <w:r>
        <w:rPr>
          <w:rFonts w:cs="Arial" w:hint="cs"/>
          <w:rtl/>
        </w:rPr>
        <w:t>, טור. ועל מה שכתב הטור שכן הסכים הרא"ש כתב הב"י ש</w:t>
      </w:r>
      <w:r>
        <w:rPr>
          <w:rFonts w:cs="Arial"/>
          <w:rtl/>
        </w:rPr>
        <w:t>אינ</w:t>
      </w:r>
      <w:r>
        <w:rPr>
          <w:rFonts w:cs="Arial" w:hint="cs"/>
          <w:rtl/>
        </w:rPr>
        <w:t>ו</w:t>
      </w:r>
      <w:r>
        <w:rPr>
          <w:rFonts w:cs="Arial"/>
          <w:rtl/>
        </w:rPr>
        <w:t xml:space="preserve"> רואה הוכחה ברורה בדברי הרא"ש לומר שהוא מסכים בכך</w:t>
      </w:r>
      <w:r>
        <w:rPr>
          <w:rFonts w:hint="cs"/>
          <w:rtl/>
        </w:rPr>
        <w:t>.</w:t>
      </w:r>
    </w:p>
  </w:footnote>
  <w:footnote w:id="2053">
    <w:p w14:paraId="7677A3FA" w14:textId="77777777" w:rsidR="00DF1FC7" w:rsidRDefault="00DF1FC7" w:rsidP="002E5BAD">
      <w:pPr>
        <w:pStyle w:val="a5"/>
        <w:rPr>
          <w:rtl/>
        </w:rPr>
      </w:pPr>
      <w:r>
        <w:rPr>
          <w:rStyle w:val="a7"/>
        </w:rPr>
        <w:footnoteRef/>
      </w:r>
      <w:r>
        <w:rPr>
          <w:rtl/>
        </w:rPr>
        <w:t xml:space="preserve"> </w:t>
      </w:r>
      <w:r w:rsidRPr="00865D60">
        <w:rPr>
          <w:rFonts w:cs="Arial"/>
          <w:rtl/>
        </w:rPr>
        <w:t>וכתב הרב המגיד פירוש מקחו בטל מיד</w:t>
      </w:r>
      <w:r w:rsidRPr="00865D60">
        <w:rPr>
          <w:rFonts w:cs="Arial" w:hint="cs"/>
          <w:rtl/>
        </w:rPr>
        <w:t>,</w:t>
      </w:r>
      <w:r w:rsidRPr="00865D60">
        <w:rPr>
          <w:rFonts w:cs="Arial"/>
          <w:rtl/>
        </w:rPr>
        <w:t xml:space="preserve"> וזה דעת הרבה מהמפרשים דודאי בנכסי צאן ברזל בטל מיד</w:t>
      </w:r>
      <w:r w:rsidRPr="00865D60">
        <w:rPr>
          <w:rFonts w:cs="Arial" w:hint="cs"/>
          <w:rtl/>
        </w:rPr>
        <w:t>.</w:t>
      </w:r>
      <w:r w:rsidRPr="00865D60">
        <w:rPr>
          <w:rFonts w:cs="Arial"/>
          <w:rtl/>
        </w:rPr>
        <w:t xml:space="preserve"> ובהשגות א"א לא מצאתי בנכסי צאן ברזל שלא יהא מכרו קיים עד שיבא לעת הגבוי אלא רשב"ג, ורבנן פליגי עליה בירושלמי בפרק אלמנה לכ"ג (ה"א)</w:t>
      </w:r>
      <w:r>
        <w:rPr>
          <w:rFonts w:cs="Arial" w:hint="cs"/>
          <w:rtl/>
        </w:rPr>
        <w:t xml:space="preserve">. </w:t>
      </w:r>
      <w:r w:rsidRPr="00865D60">
        <w:rPr>
          <w:rFonts w:cs="Arial"/>
          <w:rtl/>
        </w:rPr>
        <w:t>ע"כ</w:t>
      </w:r>
      <w:r>
        <w:rPr>
          <w:rFonts w:cs="Arial" w:hint="cs"/>
          <w:rtl/>
        </w:rPr>
        <w:t>.</w:t>
      </w:r>
      <w:r w:rsidRPr="00865D60">
        <w:rPr>
          <w:rFonts w:cs="Arial"/>
          <w:rtl/>
        </w:rPr>
        <w:t xml:space="preserve"> והירושלמי שהזכיר</w:t>
      </w:r>
      <w:r>
        <w:rPr>
          <w:rFonts w:cs="Arial" w:hint="cs"/>
          <w:rtl/>
        </w:rPr>
        <w:t>,</w:t>
      </w:r>
      <w:r w:rsidRPr="00865D60">
        <w:rPr>
          <w:rFonts w:cs="Arial"/>
          <w:rtl/>
        </w:rPr>
        <w:t xml:space="preserve"> בשדה שעשאו לה אפותיקי הוא</w:t>
      </w:r>
      <w:r w:rsidRPr="00865D60">
        <w:rPr>
          <w:rFonts w:cs="Arial" w:hint="cs"/>
          <w:rtl/>
        </w:rPr>
        <w:t>,</w:t>
      </w:r>
      <w:r w:rsidRPr="00865D60">
        <w:rPr>
          <w:rFonts w:cs="Arial"/>
          <w:rtl/>
        </w:rPr>
        <w:t xml:space="preserve"> ושם השוו נכסי צאן ברזל שהכניסה לו לאפותיקי</w:t>
      </w:r>
      <w:r>
        <w:rPr>
          <w:rFonts w:cs="Arial" w:hint="cs"/>
          <w:rtl/>
        </w:rPr>
        <w:t>.</w:t>
      </w:r>
      <w:r w:rsidRPr="00865D60">
        <w:rPr>
          <w:rFonts w:cs="Arial"/>
          <w:rtl/>
        </w:rPr>
        <w:t xml:space="preserve"> ודעת הרמב"ן (יבמות סו: ד"ה מכרו, גיטין מא. ד"ה גובה) לפסוק בנכסי צאן ברזל שמקחו בטל לאלתר משום שבח בית אביה</w:t>
      </w:r>
      <w:r w:rsidRPr="00865D60">
        <w:rPr>
          <w:rFonts w:cs="Arial" w:hint="cs"/>
          <w:rtl/>
        </w:rPr>
        <w:t>.</w:t>
      </w:r>
      <w:r w:rsidRPr="00865D60">
        <w:rPr>
          <w:rFonts w:cs="Arial"/>
          <w:rtl/>
        </w:rPr>
        <w:t xml:space="preserve"> ואף הרשב"א (גיטין מא. ד"ה ולענין פסק) הסכים לדעת רבינו בנכסי צאן ברזל</w:t>
      </w:r>
      <w:r w:rsidRPr="00865D60">
        <w:rPr>
          <w:rFonts w:cs="Arial" w:hint="cs"/>
          <w:rtl/>
        </w:rPr>
        <w:t>.</w:t>
      </w:r>
      <w:r w:rsidRPr="00865D60">
        <w:rPr>
          <w:rFonts w:cs="Arial"/>
          <w:rtl/>
        </w:rPr>
        <w:t xml:space="preserve"> וזה דעת הגאון</w:t>
      </w:r>
      <w:r w:rsidRPr="00865D60">
        <w:rPr>
          <w:rFonts w:cs="Arial" w:hint="cs"/>
          <w:rtl/>
        </w:rPr>
        <w:t>.</w:t>
      </w:r>
      <w:r w:rsidRPr="00865D60">
        <w:rPr>
          <w:rFonts w:cs="Arial"/>
          <w:rtl/>
        </w:rPr>
        <w:t xml:space="preserve"> ועיקר עכ"ל</w:t>
      </w:r>
      <w:r>
        <w:rPr>
          <w:rFonts w:cs="Arial" w:hint="cs"/>
          <w:rtl/>
        </w:rPr>
        <w:t>, ב"י</w:t>
      </w:r>
      <w:r w:rsidRPr="00865D60">
        <w:rPr>
          <w:rFonts w:cs="Arial" w:hint="cs"/>
          <w:rtl/>
        </w:rPr>
        <w:t>.</w:t>
      </w:r>
      <w:r>
        <w:rPr>
          <w:rFonts w:hint="cs"/>
          <w:rtl/>
        </w:rPr>
        <w:t xml:space="preserve"> וכתב הדרכ"מ (אות </w:t>
      </w:r>
      <w:r w:rsidRPr="00343291">
        <w:rPr>
          <w:rFonts w:cs="Arial"/>
          <w:rtl/>
        </w:rPr>
        <w:t xml:space="preserve">יב) </w:t>
      </w:r>
      <w:r>
        <w:rPr>
          <w:rFonts w:cs="Arial" w:hint="cs"/>
          <w:rtl/>
        </w:rPr>
        <w:t>ד</w:t>
      </w:r>
      <w:r w:rsidRPr="00343291">
        <w:rPr>
          <w:rFonts w:cs="Arial"/>
          <w:rtl/>
        </w:rPr>
        <w:t xml:space="preserve">כן הוא </w:t>
      </w:r>
      <w:r>
        <w:rPr>
          <w:rFonts w:cs="Arial" w:hint="cs"/>
          <w:sz w:val="16"/>
          <w:szCs w:val="16"/>
          <w:rtl/>
        </w:rPr>
        <w:t>{שבנכסי צ"ב בטל מיד}</w:t>
      </w:r>
      <w:r>
        <w:rPr>
          <w:rFonts w:cs="Arial" w:hint="cs"/>
          <w:rtl/>
        </w:rPr>
        <w:t xml:space="preserve"> </w:t>
      </w:r>
      <w:r w:rsidRPr="00343291">
        <w:rPr>
          <w:rFonts w:cs="Arial"/>
          <w:rtl/>
        </w:rPr>
        <w:t xml:space="preserve">במרדכי </w:t>
      </w:r>
      <w:r>
        <w:rPr>
          <w:rFonts w:cs="Arial" w:hint="cs"/>
          <w:rtl/>
        </w:rPr>
        <w:t>(</w:t>
      </w:r>
      <w:r w:rsidRPr="00343291">
        <w:rPr>
          <w:rFonts w:cs="Arial"/>
          <w:rtl/>
        </w:rPr>
        <w:t>פרק חזקת סי' תקמה)</w:t>
      </w:r>
      <w:r>
        <w:rPr>
          <w:rFonts w:cs="Arial" w:hint="cs"/>
          <w:rtl/>
        </w:rPr>
        <w:t>,</w:t>
      </w:r>
      <w:r w:rsidRPr="00343291">
        <w:rPr>
          <w:rFonts w:cs="Arial"/>
          <w:rtl/>
        </w:rPr>
        <w:t xml:space="preserve"> וכ"כ נמוק</w:t>
      </w:r>
      <w:r>
        <w:rPr>
          <w:rFonts w:cs="Arial" w:hint="cs"/>
          <w:rtl/>
        </w:rPr>
        <w:t>"</w:t>
      </w:r>
      <w:r w:rsidRPr="00343291">
        <w:rPr>
          <w:rFonts w:cs="Arial"/>
          <w:rtl/>
        </w:rPr>
        <w:t xml:space="preserve">י </w:t>
      </w:r>
      <w:r>
        <w:rPr>
          <w:rFonts w:cs="Arial" w:hint="cs"/>
          <w:rtl/>
        </w:rPr>
        <w:t>(</w:t>
      </w:r>
      <w:r w:rsidRPr="00343291">
        <w:rPr>
          <w:rFonts w:cs="Arial"/>
          <w:rtl/>
        </w:rPr>
        <w:t>פ</w:t>
      </w:r>
      <w:r>
        <w:rPr>
          <w:rFonts w:cs="Arial" w:hint="cs"/>
          <w:rtl/>
        </w:rPr>
        <w:t>'</w:t>
      </w:r>
      <w:r w:rsidRPr="00343291">
        <w:rPr>
          <w:rFonts w:cs="Arial"/>
          <w:rtl/>
        </w:rPr>
        <w:t xml:space="preserve"> אלמנה לכ"ג שם)</w:t>
      </w:r>
      <w:r>
        <w:rPr>
          <w:rFonts w:cs="Arial" w:hint="cs"/>
          <w:rtl/>
        </w:rPr>
        <w:t>,</w:t>
      </w:r>
      <w:r w:rsidRPr="00343291">
        <w:rPr>
          <w:rFonts w:cs="Arial"/>
          <w:rtl/>
        </w:rPr>
        <w:t xml:space="preserve"> וכתב דאפילו לא מכר רק לפירות אפילו הכי המכר בטל מיד</w:t>
      </w:r>
      <w:r>
        <w:rPr>
          <w:rFonts w:cs="Arial" w:hint="cs"/>
          <w:rtl/>
        </w:rPr>
        <w:t>,</w:t>
      </w:r>
      <w:r w:rsidRPr="00343291">
        <w:rPr>
          <w:rFonts w:cs="Arial"/>
          <w:rtl/>
        </w:rPr>
        <w:t xml:space="preserve"> ועוד האריך שם</w:t>
      </w:r>
      <w:r>
        <w:rPr>
          <w:rFonts w:cs="Arial" w:hint="cs"/>
          <w:rtl/>
        </w:rPr>
        <w:t>.</w:t>
      </w:r>
      <w:r w:rsidRPr="00343291">
        <w:rPr>
          <w:rFonts w:cs="Arial"/>
          <w:rtl/>
        </w:rPr>
        <w:t xml:space="preserve"> ומדברי הר"ן </w:t>
      </w:r>
      <w:r>
        <w:rPr>
          <w:rFonts w:cs="Arial" w:hint="cs"/>
          <w:rtl/>
        </w:rPr>
        <w:t>(</w:t>
      </w:r>
      <w:r w:rsidRPr="00343291">
        <w:rPr>
          <w:rFonts w:cs="Arial"/>
          <w:rtl/>
        </w:rPr>
        <w:t>פ</w:t>
      </w:r>
      <w:r>
        <w:rPr>
          <w:rFonts w:cs="Arial" w:hint="cs"/>
          <w:rtl/>
        </w:rPr>
        <w:t>'</w:t>
      </w:r>
      <w:r w:rsidRPr="00343291">
        <w:rPr>
          <w:rFonts w:cs="Arial"/>
          <w:rtl/>
        </w:rPr>
        <w:t xml:space="preserve"> חזקת הבתים מט: ד"ה וכתב) נראה דחולק וס"ל דלפירות הוי מכור וע"ש</w:t>
      </w:r>
      <w:r>
        <w:rPr>
          <w:rFonts w:cs="Arial" w:hint="cs"/>
          <w:rtl/>
        </w:rPr>
        <w:t>.</w:t>
      </w:r>
      <w:r w:rsidRPr="00343291">
        <w:rPr>
          <w:rFonts w:cs="Arial"/>
          <w:rtl/>
        </w:rPr>
        <w:t xml:space="preserve"> והמגיד משנה </w:t>
      </w:r>
      <w:r>
        <w:rPr>
          <w:rFonts w:cs="Arial" w:hint="cs"/>
          <w:rtl/>
        </w:rPr>
        <w:t>(</w:t>
      </w:r>
      <w:r w:rsidRPr="00343291">
        <w:rPr>
          <w:rFonts w:cs="Arial"/>
          <w:rtl/>
        </w:rPr>
        <w:t>פ"ל מהל</w:t>
      </w:r>
      <w:r>
        <w:rPr>
          <w:rFonts w:cs="Arial" w:hint="cs"/>
          <w:rtl/>
        </w:rPr>
        <w:t>'</w:t>
      </w:r>
      <w:r w:rsidRPr="00343291">
        <w:rPr>
          <w:rFonts w:cs="Arial"/>
          <w:rtl/>
        </w:rPr>
        <w:t xml:space="preserve"> מכירה ה"ג) כתב בשם הרשב"א כדברי הר"ן</w:t>
      </w:r>
      <w:r>
        <w:rPr>
          <w:rFonts w:cs="Arial" w:hint="cs"/>
          <w:rtl/>
        </w:rPr>
        <w:t>.</w:t>
      </w:r>
      <w:r w:rsidRPr="00343291">
        <w:rPr>
          <w:rFonts w:cs="Arial"/>
          <w:rtl/>
        </w:rPr>
        <w:t xml:space="preserve"> וע"ל סימן פ"ה אם חל השעבוד של הבעל על המעות שהכניסה לו אשתו</w:t>
      </w:r>
      <w:r>
        <w:rPr>
          <w:rFonts w:cs="Arial" w:hint="cs"/>
          <w:rtl/>
        </w:rPr>
        <w:t>.</w:t>
      </w:r>
      <w:r w:rsidRPr="00343291">
        <w:rPr>
          <w:rFonts w:cs="Arial"/>
          <w:rtl/>
        </w:rPr>
        <w:t xml:space="preserve"> ולקמן סימן קי"ח בסופו (עמ' צג) אם חל השעבוד של בעל על קרקעות שהכניסה לו אשתו</w:t>
      </w:r>
      <w:r>
        <w:rPr>
          <w:rFonts w:cs="Arial" w:hint="cs"/>
          <w:rtl/>
        </w:rPr>
        <w:t xml:space="preserve"> </w:t>
      </w:r>
      <w:r>
        <w:rPr>
          <w:rFonts w:cs="Arial" w:hint="cs"/>
          <w:sz w:val="16"/>
          <w:szCs w:val="16"/>
          <w:rtl/>
        </w:rPr>
        <w:t>{עכ"ל הדרכ"מ}</w:t>
      </w:r>
      <w:r>
        <w:rPr>
          <w:rFonts w:cs="Arial" w:hint="cs"/>
          <w:rtl/>
        </w:rPr>
        <w:t>.</w:t>
      </w:r>
    </w:p>
  </w:footnote>
  <w:footnote w:id="2054">
    <w:p w14:paraId="66DAB66A" w14:textId="77777777" w:rsidR="00DF1FC7" w:rsidRDefault="00DF1FC7" w:rsidP="002E5BAD">
      <w:pPr>
        <w:pStyle w:val="a5"/>
      </w:pPr>
      <w:r>
        <w:rPr>
          <w:rStyle w:val="a7"/>
        </w:rPr>
        <w:footnoteRef/>
      </w:r>
      <w:r>
        <w:rPr>
          <w:rtl/>
        </w:rPr>
        <w:t xml:space="preserve"> </w:t>
      </w:r>
      <w:r w:rsidRPr="0070672E">
        <w:rPr>
          <w:rFonts w:cs="Arial"/>
          <w:rtl/>
        </w:rPr>
        <w:t>הטעם הוא כשמכר</w:t>
      </w:r>
      <w:r>
        <w:rPr>
          <w:rFonts w:cs="Arial" w:hint="cs"/>
          <w:rtl/>
        </w:rPr>
        <w:t>ה</w:t>
      </w:r>
      <w:r w:rsidRPr="0070672E">
        <w:rPr>
          <w:rFonts w:cs="Arial"/>
          <w:rtl/>
        </w:rPr>
        <w:t xml:space="preserve"> לבעלה המכירה בטל משום די</w:t>
      </w:r>
      <w:r>
        <w:rPr>
          <w:rFonts w:cs="Arial" w:hint="cs"/>
          <w:rtl/>
        </w:rPr>
        <w:t xml:space="preserve">כולה </w:t>
      </w:r>
      <w:r w:rsidRPr="0070672E">
        <w:rPr>
          <w:rFonts w:cs="Arial"/>
          <w:rtl/>
        </w:rPr>
        <w:t>ל</w:t>
      </w:r>
      <w:r>
        <w:rPr>
          <w:rFonts w:cs="Arial" w:hint="cs"/>
          <w:rtl/>
        </w:rPr>
        <w:t>ומר</w:t>
      </w:r>
      <w:r w:rsidRPr="0070672E">
        <w:rPr>
          <w:rFonts w:cs="Arial"/>
          <w:rtl/>
        </w:rPr>
        <w:t xml:space="preserve"> נחת רוח עשיתי לבעלי</w:t>
      </w:r>
      <w:r>
        <w:rPr>
          <w:rFonts w:cs="Arial" w:hint="cs"/>
          <w:rtl/>
        </w:rPr>
        <w:t>.</w:t>
      </w:r>
      <w:r w:rsidRPr="0070672E">
        <w:rPr>
          <w:rFonts w:cs="Arial"/>
          <w:rtl/>
        </w:rPr>
        <w:t xml:space="preserve"> ואם מכרה לאחרים בטל המכר מטע</w:t>
      </w:r>
      <w:r>
        <w:rPr>
          <w:rFonts w:cs="Arial" w:hint="cs"/>
          <w:rtl/>
        </w:rPr>
        <w:t>ם</w:t>
      </w:r>
      <w:r w:rsidRPr="0070672E">
        <w:rPr>
          <w:rFonts w:cs="Arial"/>
          <w:rtl/>
        </w:rPr>
        <w:t xml:space="preserve"> דנצ"ב ברשות הבעל הם</w:t>
      </w:r>
      <w:r>
        <w:rPr>
          <w:rFonts w:cs="Arial" w:hint="cs"/>
          <w:rtl/>
        </w:rPr>
        <w:t>,</w:t>
      </w:r>
      <w:r w:rsidRPr="0070672E">
        <w:rPr>
          <w:rFonts w:cs="Arial"/>
          <w:rtl/>
        </w:rPr>
        <w:t xml:space="preserve"> לכן בטל המכיר</w:t>
      </w:r>
      <w:r>
        <w:rPr>
          <w:rFonts w:cs="Arial" w:hint="cs"/>
          <w:rtl/>
        </w:rPr>
        <w:t>ה</w:t>
      </w:r>
      <w:r w:rsidRPr="0070672E">
        <w:rPr>
          <w:rFonts w:cs="Arial"/>
          <w:rtl/>
        </w:rPr>
        <w:t xml:space="preserve"> אפילו גוף הקרקע יכול להוציא מהם לכ"ע</w:t>
      </w:r>
      <w:r>
        <w:rPr>
          <w:rFonts w:cs="Arial" w:hint="cs"/>
          <w:rtl/>
        </w:rPr>
        <w:t>,</w:t>
      </w:r>
      <w:r w:rsidRPr="0070672E">
        <w:rPr>
          <w:rFonts w:cs="Arial"/>
          <w:rtl/>
        </w:rPr>
        <w:t xml:space="preserve"> אע</w:t>
      </w:r>
      <w:r>
        <w:rPr>
          <w:rFonts w:cs="Arial" w:hint="cs"/>
          <w:rtl/>
        </w:rPr>
        <w:t>"</w:t>
      </w:r>
      <w:r w:rsidRPr="0070672E">
        <w:rPr>
          <w:rFonts w:cs="Arial"/>
          <w:rtl/>
        </w:rPr>
        <w:t>ג דהוא ג"כ אי</w:t>
      </w:r>
      <w:r>
        <w:rPr>
          <w:rFonts w:cs="Arial" w:hint="cs"/>
          <w:rtl/>
        </w:rPr>
        <w:t>נו יכול</w:t>
      </w:r>
      <w:r w:rsidRPr="0070672E">
        <w:rPr>
          <w:rFonts w:cs="Arial"/>
          <w:rtl/>
        </w:rPr>
        <w:t xml:space="preserve"> למכור נצ"ב</w:t>
      </w:r>
      <w:r>
        <w:rPr>
          <w:rFonts w:cs="Arial" w:hint="cs"/>
          <w:rtl/>
        </w:rPr>
        <w:t>,</w:t>
      </w:r>
      <w:r w:rsidRPr="0070672E">
        <w:rPr>
          <w:rFonts w:cs="Arial"/>
          <w:rtl/>
        </w:rPr>
        <w:t xml:space="preserve"> מ"מ גוף הקרקע של נצ"ב ברשות הבעל לכל דבר</w:t>
      </w:r>
      <w:r>
        <w:rPr>
          <w:rFonts w:cs="Arial" w:hint="cs"/>
          <w:rtl/>
        </w:rPr>
        <w:t>.</w:t>
      </w:r>
      <w:r w:rsidRPr="0070672E">
        <w:rPr>
          <w:rFonts w:cs="Arial"/>
          <w:rtl/>
        </w:rPr>
        <w:t xml:space="preserve"> וגוף הקרקע של נ"מ ברשות האשה</w:t>
      </w:r>
      <w:r>
        <w:rPr>
          <w:rFonts w:cs="Arial" w:hint="cs"/>
          <w:rtl/>
        </w:rPr>
        <w:t xml:space="preserve">, </w:t>
      </w:r>
      <w:r w:rsidRPr="0070672E">
        <w:rPr>
          <w:rFonts w:cs="Arial"/>
          <w:rtl/>
        </w:rPr>
        <w:t>והיא י</w:t>
      </w:r>
      <w:r>
        <w:rPr>
          <w:rFonts w:cs="Arial" w:hint="cs"/>
          <w:rtl/>
        </w:rPr>
        <w:t xml:space="preserve">כולה </w:t>
      </w:r>
      <w:r w:rsidRPr="0070672E">
        <w:rPr>
          <w:rFonts w:cs="Arial"/>
          <w:rtl/>
        </w:rPr>
        <w:t>ל</w:t>
      </w:r>
      <w:r>
        <w:rPr>
          <w:rFonts w:cs="Arial" w:hint="cs"/>
          <w:rtl/>
        </w:rPr>
        <w:t>ומר</w:t>
      </w:r>
      <w:r w:rsidRPr="0070672E">
        <w:rPr>
          <w:rFonts w:cs="Arial"/>
          <w:rtl/>
        </w:rPr>
        <w:t xml:space="preserve"> דא"י לבטל המכירה דחז"ל עשו התקנ</w:t>
      </w:r>
      <w:r>
        <w:rPr>
          <w:rFonts w:cs="Arial" w:hint="cs"/>
          <w:rtl/>
        </w:rPr>
        <w:t>ה</w:t>
      </w:r>
      <w:r w:rsidRPr="0070672E">
        <w:rPr>
          <w:rFonts w:cs="Arial"/>
          <w:rtl/>
        </w:rPr>
        <w:t xml:space="preserve"> לטובתה שיהי</w:t>
      </w:r>
      <w:r>
        <w:rPr>
          <w:rFonts w:cs="Arial" w:hint="cs"/>
          <w:rtl/>
        </w:rPr>
        <w:t>ו</w:t>
      </w:r>
      <w:r w:rsidRPr="0070672E">
        <w:rPr>
          <w:rFonts w:cs="Arial"/>
          <w:rtl/>
        </w:rPr>
        <w:t xml:space="preserve"> הנכסים שלה ביד הבעל ולא ביד אחר ואם איהו מכר</w:t>
      </w:r>
      <w:r>
        <w:rPr>
          <w:rFonts w:cs="Arial" w:hint="cs"/>
          <w:rtl/>
        </w:rPr>
        <w:t>ה</w:t>
      </w:r>
      <w:r w:rsidRPr="0070672E">
        <w:rPr>
          <w:rFonts w:cs="Arial"/>
          <w:rtl/>
        </w:rPr>
        <w:t xml:space="preserve"> ואינה רוצה בתקנת חז"ל איהי אפסדא אנפשה כ"כ בפרישה</w:t>
      </w:r>
      <w:r>
        <w:rPr>
          <w:rFonts w:cs="Arial" w:hint="cs"/>
          <w:rtl/>
        </w:rPr>
        <w:t>, ב"ש (סקמ"ה).</w:t>
      </w:r>
    </w:p>
  </w:footnote>
  <w:footnote w:id="2055">
    <w:p w14:paraId="6F94DF70" w14:textId="77777777" w:rsidR="00DF1FC7" w:rsidRDefault="00DF1FC7" w:rsidP="002E5BAD">
      <w:pPr>
        <w:pStyle w:val="a5"/>
      </w:pPr>
      <w:r>
        <w:rPr>
          <w:rStyle w:val="a7"/>
        </w:rPr>
        <w:footnoteRef/>
      </w:r>
      <w:r>
        <w:rPr>
          <w:rtl/>
        </w:rPr>
        <w:t xml:space="preserve"> </w:t>
      </w:r>
      <w:r w:rsidRPr="00705CD0">
        <w:rPr>
          <w:rFonts w:cs="Arial"/>
          <w:rtl/>
        </w:rPr>
        <w:t>כאן כתב בשם ויש אומרים דין זה משום דגוף הקרקע של נצ"ב בחזקת הבעל</w:t>
      </w:r>
      <w:r>
        <w:rPr>
          <w:rFonts w:cs="Arial" w:hint="cs"/>
          <w:rtl/>
        </w:rPr>
        <w:t>,</w:t>
      </w:r>
      <w:r w:rsidRPr="00705CD0">
        <w:rPr>
          <w:rFonts w:cs="Arial"/>
          <w:rtl/>
        </w:rPr>
        <w:t xml:space="preserve"> משא"כ בנ"מ לכ"ע מכירתה קיימת אחר מיתתו</w:t>
      </w:r>
      <w:r>
        <w:rPr>
          <w:rFonts w:cs="Arial" w:hint="cs"/>
          <w:rtl/>
        </w:rPr>
        <w:t>,</w:t>
      </w:r>
      <w:r w:rsidRPr="00705CD0">
        <w:rPr>
          <w:rFonts w:cs="Arial"/>
          <w:rtl/>
        </w:rPr>
        <w:t xml:space="preserve"> והיינו לדעת הרב רמ"א</w:t>
      </w:r>
      <w:r>
        <w:rPr>
          <w:rFonts w:cs="Arial" w:hint="cs"/>
          <w:rtl/>
        </w:rPr>
        <w:t>.</w:t>
      </w:r>
      <w:r w:rsidRPr="00705CD0">
        <w:rPr>
          <w:rFonts w:cs="Arial"/>
          <w:rtl/>
        </w:rPr>
        <w:t xml:space="preserve"> מיהו למ"ש בסמוך נראה בין בנ"מ ובין בנצ"ב המכר בטל</w:t>
      </w:r>
      <w:r>
        <w:rPr>
          <w:rFonts w:cs="Arial" w:hint="cs"/>
          <w:rtl/>
        </w:rPr>
        <w:t>,</w:t>
      </w:r>
      <w:r w:rsidRPr="00705CD0">
        <w:rPr>
          <w:rFonts w:cs="Arial"/>
          <w:rtl/>
        </w:rPr>
        <w:t xml:space="preserve"> כיון דא"י למכור מהיום</w:t>
      </w:r>
      <w:r>
        <w:rPr>
          <w:rFonts w:cs="Arial" w:hint="cs"/>
          <w:rtl/>
        </w:rPr>
        <w:t>.</w:t>
      </w:r>
      <w:r w:rsidRPr="00705CD0">
        <w:rPr>
          <w:rFonts w:cs="Arial"/>
          <w:rtl/>
        </w:rPr>
        <w:t xml:space="preserve"> והנ</w:t>
      </w:r>
      <w:r>
        <w:rPr>
          <w:rFonts w:cs="Arial" w:hint="cs"/>
          <w:rtl/>
        </w:rPr>
        <w:t>מוק</w:t>
      </w:r>
      <w:r w:rsidRPr="00705CD0">
        <w:rPr>
          <w:rFonts w:cs="Arial"/>
          <w:rtl/>
        </w:rPr>
        <w:t>"י לא כתב דין זה אלא אם מכרה הקרקע של נצ"ב בטובת הנאה</w:t>
      </w:r>
      <w:r>
        <w:rPr>
          <w:rFonts w:cs="Arial" w:hint="cs"/>
          <w:rtl/>
        </w:rPr>
        <w:t>,</w:t>
      </w:r>
      <w:r w:rsidRPr="00705CD0">
        <w:rPr>
          <w:rFonts w:cs="Arial"/>
          <w:rtl/>
        </w:rPr>
        <w:t xml:space="preserve"> דזאת בידה</w:t>
      </w:r>
      <w:r>
        <w:rPr>
          <w:rFonts w:cs="Arial" w:hint="cs"/>
          <w:rtl/>
        </w:rPr>
        <w:t>,</w:t>
      </w:r>
      <w:r w:rsidRPr="00705CD0">
        <w:rPr>
          <w:rFonts w:cs="Arial"/>
          <w:rtl/>
        </w:rPr>
        <w:t xml:space="preserve"> מ</w:t>
      </w:r>
      <w:r>
        <w:rPr>
          <w:rFonts w:cs="Arial" w:hint="cs"/>
          <w:rtl/>
        </w:rPr>
        <w:t xml:space="preserve">שום </w:t>
      </w:r>
      <w:r w:rsidRPr="00705CD0">
        <w:rPr>
          <w:rFonts w:cs="Arial"/>
          <w:rtl/>
        </w:rPr>
        <w:t>ה</w:t>
      </w:r>
      <w:r>
        <w:rPr>
          <w:rFonts w:cs="Arial" w:hint="cs"/>
          <w:rtl/>
        </w:rPr>
        <w:t>כי</w:t>
      </w:r>
      <w:r w:rsidRPr="00705CD0">
        <w:rPr>
          <w:rFonts w:cs="Arial"/>
          <w:rtl/>
        </w:rPr>
        <w:t xml:space="preserve"> מכירת</w:t>
      </w:r>
      <w:r>
        <w:rPr>
          <w:rFonts w:cs="Arial" w:hint="cs"/>
          <w:rtl/>
        </w:rPr>
        <w:t>ה</w:t>
      </w:r>
      <w:r w:rsidRPr="00705CD0">
        <w:rPr>
          <w:rFonts w:cs="Arial"/>
          <w:rtl/>
        </w:rPr>
        <w:t xml:space="preserve"> קיימת</w:t>
      </w:r>
      <w:r>
        <w:rPr>
          <w:rFonts w:cs="Arial" w:hint="cs"/>
          <w:rtl/>
        </w:rPr>
        <w:t>.</w:t>
      </w:r>
      <w:r w:rsidRPr="00705CD0">
        <w:rPr>
          <w:rFonts w:cs="Arial"/>
          <w:rtl/>
        </w:rPr>
        <w:t xml:space="preserve"> אבל אם מכרה מהיום דא"י למכור</w:t>
      </w:r>
      <w:r>
        <w:rPr>
          <w:rFonts w:cs="Arial" w:hint="cs"/>
          <w:rtl/>
        </w:rPr>
        <w:t>,</w:t>
      </w:r>
      <w:r w:rsidRPr="00705CD0">
        <w:rPr>
          <w:rFonts w:cs="Arial"/>
          <w:rtl/>
        </w:rPr>
        <w:t xml:space="preserve"> י"ל בטל לגמרי אף אחר מיתתו אין חוזר וניער</w:t>
      </w:r>
      <w:r>
        <w:rPr>
          <w:rFonts w:cs="Arial" w:hint="cs"/>
          <w:rtl/>
        </w:rPr>
        <w:t>, ב"ש (סקמ"ו).</w:t>
      </w:r>
      <w:r w:rsidRPr="00705CD0">
        <w:rPr>
          <w:rFonts w:cs="Arial"/>
          <w:rtl/>
        </w:rPr>
        <w:t xml:space="preserve"> </w:t>
      </w:r>
      <w:r>
        <w:rPr>
          <w:rFonts w:cs="Arial" w:hint="cs"/>
          <w:rtl/>
        </w:rPr>
        <w:t>ו</w:t>
      </w:r>
      <w:r w:rsidRPr="001315E7">
        <w:rPr>
          <w:rFonts w:cs="Arial"/>
          <w:rtl/>
        </w:rPr>
        <w:t xml:space="preserve">כבר כתבתי שכן כתבו הפוסקים </w:t>
      </w:r>
      <w:r>
        <w:rPr>
          <w:rFonts w:cs="Arial" w:hint="cs"/>
          <w:rtl/>
        </w:rPr>
        <w:t xml:space="preserve">(חו"מ סי' תכד) </w:t>
      </w:r>
      <w:r w:rsidRPr="001315E7">
        <w:rPr>
          <w:rFonts w:cs="Arial"/>
          <w:rtl/>
        </w:rPr>
        <w:t>באשה שחבלה באחרים שצריכה למכור בטובת הנאה נצ"ב או נכסי מלוג שלה ולכשתתאלמן או תתגרש מכרה קיים</w:t>
      </w:r>
      <w:r>
        <w:rPr>
          <w:rFonts w:cs="Arial" w:hint="cs"/>
          <w:rtl/>
        </w:rPr>
        <w:t>, ח"מ (סקמ"א).</w:t>
      </w:r>
    </w:p>
  </w:footnote>
  <w:footnote w:id="2056">
    <w:p w14:paraId="3D4CD136" w14:textId="77777777" w:rsidR="00DF1FC7" w:rsidRDefault="00DF1FC7" w:rsidP="002E5BAD">
      <w:pPr>
        <w:pStyle w:val="a5"/>
      </w:pPr>
      <w:r>
        <w:rPr>
          <w:rStyle w:val="a7"/>
        </w:rPr>
        <w:footnoteRef/>
      </w:r>
      <w:r>
        <w:rPr>
          <w:rtl/>
        </w:rPr>
        <w:t xml:space="preserve"> </w:t>
      </w:r>
      <w:r w:rsidRPr="00917D08">
        <w:rPr>
          <w:rFonts w:cs="Arial"/>
          <w:rtl/>
        </w:rPr>
        <w:t>במכירת הבעל בנצ"ב נחלקו הפוסקים אם בטל מיד או נאמר דמאחר דהגוף שלו א"כ מכרו קיים עד שעת טירפ' וזה דעת רי"ף ור"י כמבואר בטור</w:t>
      </w:r>
      <w:r>
        <w:rPr>
          <w:rFonts w:cs="Arial" w:hint="cs"/>
          <w:rtl/>
        </w:rPr>
        <w:t>,</w:t>
      </w:r>
      <w:r w:rsidRPr="00917D08">
        <w:rPr>
          <w:rFonts w:cs="Arial"/>
          <w:rtl/>
        </w:rPr>
        <w:t xml:space="preserve"> וע' בב"ח</w:t>
      </w:r>
      <w:r>
        <w:rPr>
          <w:rFonts w:cs="Arial" w:hint="cs"/>
          <w:rtl/>
        </w:rPr>
        <w:t>.</w:t>
      </w:r>
      <w:r w:rsidRPr="00917D08">
        <w:rPr>
          <w:rFonts w:cs="Arial"/>
          <w:rtl/>
        </w:rPr>
        <w:t xml:space="preserve"> ונראה דע"כ לא פליגי הפוסקים אלא במכר הבעל גוף ופירות</w:t>
      </w:r>
      <w:r>
        <w:rPr>
          <w:rFonts w:cs="Arial" w:hint="cs"/>
          <w:rtl/>
        </w:rPr>
        <w:t>,</w:t>
      </w:r>
      <w:r w:rsidRPr="00917D08">
        <w:rPr>
          <w:rFonts w:cs="Arial"/>
          <w:rtl/>
        </w:rPr>
        <w:t xml:space="preserve"> וכמ"ש המ"מ בשם הרשב"א </w:t>
      </w:r>
      <w:r>
        <w:rPr>
          <w:rFonts w:cs="Arial" w:hint="cs"/>
          <w:rtl/>
        </w:rPr>
        <w:t>(</w:t>
      </w:r>
      <w:r w:rsidRPr="00917D08">
        <w:rPr>
          <w:rFonts w:cs="Arial"/>
          <w:rtl/>
        </w:rPr>
        <w:t>פ</w:t>
      </w:r>
      <w:r>
        <w:rPr>
          <w:rFonts w:cs="Arial" w:hint="cs"/>
          <w:rtl/>
        </w:rPr>
        <w:t>"</w:t>
      </w:r>
      <w:r w:rsidRPr="00917D08">
        <w:rPr>
          <w:rFonts w:cs="Arial"/>
          <w:rtl/>
        </w:rPr>
        <w:t>ל ממכירה</w:t>
      </w:r>
      <w:r>
        <w:rPr>
          <w:rFonts w:cs="Arial" w:hint="cs"/>
          <w:rtl/>
        </w:rPr>
        <w:t>),</w:t>
      </w:r>
      <w:r w:rsidRPr="00917D08">
        <w:rPr>
          <w:rFonts w:cs="Arial"/>
          <w:rtl/>
        </w:rPr>
        <w:t xml:space="preserve"> אבל אם הבעל מוכר הפירות מיד והגוף לכשתמות אשתו נראה דהמקח קיים</w:t>
      </w:r>
      <w:r>
        <w:rPr>
          <w:rFonts w:cs="Arial" w:hint="cs"/>
          <w:rtl/>
        </w:rPr>
        <w:t xml:space="preserve"> </w:t>
      </w:r>
      <w:r w:rsidRPr="0067324A">
        <w:rPr>
          <w:rFonts w:cs="Arial" w:hint="cs"/>
          <w:sz w:val="16"/>
          <w:szCs w:val="16"/>
          <w:rtl/>
        </w:rPr>
        <w:t>{</w:t>
      </w:r>
      <w:r w:rsidRPr="0067324A">
        <w:rPr>
          <w:rFonts w:cs="Arial"/>
          <w:sz w:val="16"/>
          <w:szCs w:val="16"/>
          <w:rtl/>
        </w:rPr>
        <w:t>בין בצ"ב בין בנ"מ</w:t>
      </w:r>
      <w:r>
        <w:rPr>
          <w:rFonts w:cs="Arial" w:hint="cs"/>
          <w:sz w:val="16"/>
          <w:szCs w:val="16"/>
          <w:rtl/>
        </w:rPr>
        <w:t>, ח"מ סקמ"ג)</w:t>
      </w:r>
      <w:r w:rsidRPr="0067324A">
        <w:rPr>
          <w:rFonts w:cs="Arial" w:hint="cs"/>
          <w:sz w:val="16"/>
          <w:szCs w:val="16"/>
          <w:rtl/>
        </w:rPr>
        <w:t>}</w:t>
      </w:r>
      <w:r>
        <w:rPr>
          <w:rFonts w:cs="Arial" w:hint="cs"/>
          <w:rtl/>
        </w:rPr>
        <w:t>,</w:t>
      </w:r>
      <w:r w:rsidRPr="00917D08">
        <w:rPr>
          <w:rFonts w:cs="Arial"/>
          <w:rtl/>
        </w:rPr>
        <w:t xml:space="preserve"> דומה למה שנתבאר האומר שדה זו שאירש מאבא וכו'</w:t>
      </w:r>
      <w:r>
        <w:rPr>
          <w:rFonts w:cs="Arial" w:hint="cs"/>
          <w:rtl/>
        </w:rPr>
        <w:t>, ח"מ (סקמ"ב).</w:t>
      </w:r>
    </w:p>
  </w:footnote>
  <w:footnote w:id="2057">
    <w:p w14:paraId="4702D278" w14:textId="77777777" w:rsidR="00DF1FC7" w:rsidRDefault="00DF1FC7" w:rsidP="002E5BAD">
      <w:pPr>
        <w:pStyle w:val="a5"/>
        <w:rPr>
          <w:rtl/>
        </w:rPr>
      </w:pPr>
      <w:r>
        <w:rPr>
          <w:rStyle w:val="a7"/>
        </w:rPr>
        <w:footnoteRef/>
      </w:r>
      <w:r>
        <w:rPr>
          <w:rtl/>
        </w:rPr>
        <w:t xml:space="preserve"> </w:t>
      </w:r>
      <w:r w:rsidRPr="007A5A15">
        <w:rPr>
          <w:rFonts w:cs="Arial"/>
          <w:rtl/>
        </w:rPr>
        <w:t xml:space="preserve">כתב הראנ"ח </w:t>
      </w:r>
      <w:r>
        <w:rPr>
          <w:rFonts w:cs="Arial" w:hint="cs"/>
          <w:rtl/>
        </w:rPr>
        <w:t>(</w:t>
      </w:r>
      <w:r w:rsidRPr="007A5A15">
        <w:rPr>
          <w:rFonts w:cs="Arial"/>
          <w:rtl/>
        </w:rPr>
        <w:t>ח"א סי</w:t>
      </w:r>
      <w:r>
        <w:rPr>
          <w:rFonts w:cs="Arial" w:hint="cs"/>
          <w:rtl/>
        </w:rPr>
        <w:t>'</w:t>
      </w:r>
      <w:r w:rsidRPr="007A5A15">
        <w:rPr>
          <w:rFonts w:cs="Arial"/>
          <w:rtl/>
        </w:rPr>
        <w:t xml:space="preserve"> צה</w:t>
      </w:r>
      <w:r>
        <w:rPr>
          <w:rFonts w:cs="Arial" w:hint="cs"/>
          <w:rtl/>
        </w:rPr>
        <w:t>)</w:t>
      </w:r>
      <w:r w:rsidRPr="007A5A15">
        <w:rPr>
          <w:rFonts w:cs="Arial"/>
          <w:rtl/>
        </w:rPr>
        <w:t xml:space="preserve"> דאפילו היא מרוצה במכר אלא שאינה רוצה למכור לראובן אלא לשמעון המכר בטל ע"ש. וכשם שאינו יוכל למכור כך אינו יוכל לשעבד וכן להקדיש הרמ"ט </w:t>
      </w:r>
      <w:r>
        <w:rPr>
          <w:rFonts w:cs="Arial" w:hint="cs"/>
          <w:rtl/>
        </w:rPr>
        <w:t>(</w:t>
      </w:r>
      <w:r w:rsidRPr="007A5A15">
        <w:rPr>
          <w:rFonts w:cs="Arial"/>
          <w:rtl/>
        </w:rPr>
        <w:t>ח"א סי</w:t>
      </w:r>
      <w:r>
        <w:rPr>
          <w:rFonts w:cs="Arial" w:hint="cs"/>
          <w:rtl/>
        </w:rPr>
        <w:t>'</w:t>
      </w:r>
      <w:r w:rsidRPr="007A5A15">
        <w:rPr>
          <w:rFonts w:cs="Arial"/>
          <w:rtl/>
        </w:rPr>
        <w:t xml:space="preserve"> שיט</w:t>
      </w:r>
      <w:r>
        <w:rPr>
          <w:rFonts w:cs="Arial" w:hint="cs"/>
          <w:rtl/>
        </w:rPr>
        <w:t>,</w:t>
      </w:r>
      <w:r w:rsidRPr="007A5A15">
        <w:rPr>
          <w:rFonts w:cs="Arial"/>
          <w:rtl/>
        </w:rPr>
        <w:t xml:space="preserve"> וסי</w:t>
      </w:r>
      <w:r>
        <w:rPr>
          <w:rFonts w:cs="Arial" w:hint="cs"/>
          <w:rtl/>
        </w:rPr>
        <w:t>'</w:t>
      </w:r>
      <w:r w:rsidRPr="007A5A15">
        <w:rPr>
          <w:rFonts w:cs="Arial"/>
          <w:rtl/>
        </w:rPr>
        <w:t xml:space="preserve"> רעד</w:t>
      </w:r>
      <w:r>
        <w:rPr>
          <w:rFonts w:cs="Arial" w:hint="cs"/>
          <w:rtl/>
        </w:rPr>
        <w:t>)</w:t>
      </w:r>
      <w:r w:rsidRPr="007A5A15">
        <w:rPr>
          <w:rFonts w:cs="Arial"/>
          <w:rtl/>
        </w:rPr>
        <w:t xml:space="preserve">. אם מתיראין משוד או מגלות אין לה לעכב במכירתם ואם מעכבת במכירתם יוכל לומר תפטרי אותי מאחריותם תשובת הגאונים </w:t>
      </w:r>
      <w:r>
        <w:rPr>
          <w:rFonts w:cs="Arial" w:hint="cs"/>
          <w:rtl/>
        </w:rPr>
        <w:t>(</w:t>
      </w:r>
      <w:r w:rsidRPr="007A5A15">
        <w:rPr>
          <w:rFonts w:cs="Arial"/>
          <w:rtl/>
        </w:rPr>
        <w:t>סי</w:t>
      </w:r>
      <w:r>
        <w:rPr>
          <w:rFonts w:cs="Arial" w:hint="cs"/>
          <w:rtl/>
        </w:rPr>
        <w:t>'</w:t>
      </w:r>
      <w:r w:rsidRPr="007A5A15">
        <w:rPr>
          <w:rFonts w:cs="Arial"/>
          <w:rtl/>
        </w:rPr>
        <w:t xml:space="preserve"> רעח</w:t>
      </w:r>
      <w:r>
        <w:rPr>
          <w:rFonts w:cs="Arial" w:hint="cs"/>
          <w:rtl/>
        </w:rPr>
        <w:t>)</w:t>
      </w:r>
      <w:r>
        <w:rPr>
          <w:rFonts w:hint="cs"/>
          <w:rtl/>
        </w:rPr>
        <w:t>, באה"ט (סקכ"ט).</w:t>
      </w:r>
    </w:p>
  </w:footnote>
  <w:footnote w:id="2058">
    <w:p w14:paraId="525114DE" w14:textId="77777777" w:rsidR="00DF1FC7" w:rsidRDefault="00DF1FC7" w:rsidP="002E5BAD">
      <w:pPr>
        <w:pStyle w:val="a5"/>
      </w:pPr>
      <w:r>
        <w:rPr>
          <w:rStyle w:val="a7"/>
        </w:rPr>
        <w:footnoteRef/>
      </w:r>
      <w:r>
        <w:rPr>
          <w:rtl/>
        </w:rPr>
        <w:t xml:space="preserve"> </w:t>
      </w:r>
      <w:r w:rsidRPr="0070672E">
        <w:rPr>
          <w:rFonts w:cs="Arial"/>
          <w:rtl/>
        </w:rPr>
        <w:t>זה לא קאי לדעת היש מי שאומר שהוא דעת ר"ת דס"ל דהמקח בטל מיד דמהי תיתי שיחזור וינעור בשעת מיתתה (ל' חוזר וניעור והוא ל' הרשב"א בתשו' הביאו הב"י סי' זה ס"ק י"ב) אלא קאי לדעה הראשונה דאין המקח בטל מיד רק האשה יכולה לבטלו אם תרצה ואם שתקה ומתה הבעל יורש כחה ויכול לבטלו וזה דעת רש"י</w:t>
      </w:r>
      <w:r>
        <w:rPr>
          <w:rFonts w:cs="Arial" w:hint="cs"/>
          <w:rtl/>
        </w:rPr>
        <w:t>, ח"מ (סקמ"ד).</w:t>
      </w:r>
    </w:p>
  </w:footnote>
  <w:footnote w:id="2059">
    <w:p w14:paraId="0B9A693C" w14:textId="77777777" w:rsidR="00DF1FC7" w:rsidRDefault="00DF1FC7" w:rsidP="002E5BAD">
      <w:pPr>
        <w:pStyle w:val="a5"/>
      </w:pPr>
      <w:r>
        <w:rPr>
          <w:rStyle w:val="a7"/>
        </w:rPr>
        <w:footnoteRef/>
      </w:r>
      <w:r>
        <w:rPr>
          <w:rtl/>
        </w:rPr>
        <w:t xml:space="preserve"> </w:t>
      </w:r>
      <w:r>
        <w:rPr>
          <w:rFonts w:cs="Arial" w:hint="cs"/>
          <w:rtl/>
        </w:rPr>
        <w:t xml:space="preserve">ואם מכרן - </w:t>
      </w:r>
      <w:r>
        <w:rPr>
          <w:rFonts w:cs="Arial"/>
          <w:rtl/>
        </w:rPr>
        <w:t>המכר בטל</w:t>
      </w:r>
      <w:r>
        <w:rPr>
          <w:rFonts w:cs="Arial" w:hint="cs"/>
          <w:rtl/>
        </w:rPr>
        <w:t xml:space="preserve">, </w:t>
      </w:r>
      <w:r>
        <w:rPr>
          <w:rFonts w:cs="Arial"/>
          <w:rtl/>
        </w:rPr>
        <w:t xml:space="preserve">רמב"ן </w:t>
      </w:r>
      <w:r w:rsidRPr="00E777AD">
        <w:rPr>
          <w:rFonts w:cs="Arial"/>
          <w:sz w:val="16"/>
          <w:szCs w:val="16"/>
          <w:rtl/>
        </w:rPr>
        <w:t>(יבמות שם סוד"ה מכרו)</w:t>
      </w:r>
      <w:r w:rsidRPr="00E777AD">
        <w:rPr>
          <w:rFonts w:cs="Arial" w:hint="cs"/>
          <w:sz w:val="16"/>
          <w:szCs w:val="16"/>
          <w:rtl/>
        </w:rPr>
        <w:t xml:space="preserve"> </w:t>
      </w:r>
      <w:r>
        <w:rPr>
          <w:rFonts w:cs="Arial" w:hint="cs"/>
          <w:rtl/>
        </w:rPr>
        <w:t>ו</w:t>
      </w:r>
      <w:r>
        <w:rPr>
          <w:rFonts w:cs="Arial"/>
          <w:rtl/>
        </w:rPr>
        <w:t xml:space="preserve">רשב"א </w:t>
      </w:r>
      <w:r w:rsidRPr="00E777AD">
        <w:rPr>
          <w:rFonts w:cs="Arial"/>
          <w:sz w:val="16"/>
          <w:szCs w:val="16"/>
          <w:rtl/>
        </w:rPr>
        <w:t>(יבמות סו: סוד"ה מכרו שניהם)</w:t>
      </w:r>
      <w:r>
        <w:rPr>
          <w:rFonts w:cs="Arial" w:hint="cs"/>
          <w:rtl/>
        </w:rPr>
        <w:t>.</w:t>
      </w:r>
      <w:r w:rsidRPr="00763570">
        <w:rPr>
          <w:rFonts w:cs="Arial"/>
          <w:rtl/>
        </w:rPr>
        <w:t xml:space="preserve"> </w:t>
      </w:r>
      <w:r>
        <w:rPr>
          <w:rFonts w:cs="Arial" w:hint="cs"/>
          <w:rtl/>
        </w:rPr>
        <w:t>וכן דעת ה</w:t>
      </w:r>
      <w:r>
        <w:rPr>
          <w:rFonts w:cs="Arial"/>
          <w:rtl/>
        </w:rPr>
        <w:t xml:space="preserve">ריב"ש </w:t>
      </w:r>
      <w:r w:rsidRPr="0070305D">
        <w:rPr>
          <w:rFonts w:cs="Arial" w:hint="cs"/>
          <w:sz w:val="16"/>
          <w:szCs w:val="16"/>
          <w:rtl/>
        </w:rPr>
        <w:t>(</w:t>
      </w:r>
      <w:r w:rsidRPr="0070305D">
        <w:rPr>
          <w:rFonts w:cs="Arial"/>
          <w:sz w:val="16"/>
          <w:szCs w:val="16"/>
          <w:rtl/>
        </w:rPr>
        <w:t>סי</w:t>
      </w:r>
      <w:r w:rsidRPr="0070305D">
        <w:rPr>
          <w:rFonts w:cs="Arial" w:hint="cs"/>
          <w:sz w:val="16"/>
          <w:szCs w:val="16"/>
          <w:rtl/>
        </w:rPr>
        <w:t>'</w:t>
      </w:r>
      <w:r w:rsidRPr="0070305D">
        <w:rPr>
          <w:rFonts w:cs="Arial"/>
          <w:sz w:val="16"/>
          <w:szCs w:val="16"/>
          <w:rtl/>
        </w:rPr>
        <w:t xml:space="preserve"> כב</w:t>
      </w:r>
      <w:r w:rsidRPr="0070305D">
        <w:rPr>
          <w:rFonts w:cs="Arial" w:hint="cs"/>
          <w:sz w:val="16"/>
          <w:szCs w:val="16"/>
          <w:rtl/>
        </w:rPr>
        <w:t>,</w:t>
      </w:r>
      <w:r w:rsidRPr="0070305D">
        <w:rPr>
          <w:rFonts w:cs="Arial"/>
          <w:sz w:val="16"/>
          <w:szCs w:val="16"/>
          <w:rtl/>
        </w:rPr>
        <w:t xml:space="preserve"> ו</w:t>
      </w:r>
      <w:r w:rsidRPr="0070305D">
        <w:rPr>
          <w:rFonts w:cs="Arial" w:hint="cs"/>
          <w:sz w:val="16"/>
          <w:szCs w:val="16"/>
          <w:rtl/>
        </w:rPr>
        <w:t xml:space="preserve">סי' </w:t>
      </w:r>
      <w:r w:rsidRPr="0070305D">
        <w:rPr>
          <w:rFonts w:cs="Arial"/>
          <w:sz w:val="16"/>
          <w:szCs w:val="16"/>
          <w:rtl/>
        </w:rPr>
        <w:t>ק</w:t>
      </w:r>
      <w:r w:rsidRPr="0070305D">
        <w:rPr>
          <w:rFonts w:cs="Arial" w:hint="cs"/>
          <w:sz w:val="16"/>
          <w:szCs w:val="16"/>
          <w:rtl/>
        </w:rPr>
        <w:t>)</w:t>
      </w:r>
      <w:r>
        <w:rPr>
          <w:rFonts w:cs="Arial" w:hint="cs"/>
          <w:rtl/>
        </w:rPr>
        <w:t xml:space="preserve">, והסיף שכך </w:t>
      </w:r>
      <w:r>
        <w:rPr>
          <w:rFonts w:cs="Arial"/>
          <w:rtl/>
        </w:rPr>
        <w:t>דעת כל האחרונים</w:t>
      </w:r>
      <w:r>
        <w:rPr>
          <w:rFonts w:cs="Arial" w:hint="cs"/>
          <w:rtl/>
        </w:rPr>
        <w:t>.</w:t>
      </w:r>
      <w:r w:rsidRPr="005B4840">
        <w:rPr>
          <w:rFonts w:hint="cs"/>
          <w:rtl/>
        </w:rPr>
        <w:t xml:space="preserve"> </w:t>
      </w:r>
      <w:r>
        <w:rPr>
          <w:rFonts w:hint="cs"/>
          <w:rtl/>
        </w:rPr>
        <w:t>וכתב הדרכ"מ</w:t>
      </w:r>
      <w:r>
        <w:rPr>
          <w:rtl/>
        </w:rPr>
        <w:t xml:space="preserve"> </w:t>
      </w:r>
      <w:r w:rsidRPr="00343291">
        <w:rPr>
          <w:rFonts w:cs="Arial"/>
          <w:rtl/>
        </w:rPr>
        <w:t>(</w:t>
      </w:r>
      <w:r>
        <w:rPr>
          <w:rFonts w:cs="Arial" w:hint="cs"/>
          <w:rtl/>
        </w:rPr>
        <w:t xml:space="preserve">אות </w:t>
      </w:r>
      <w:r w:rsidRPr="00343291">
        <w:rPr>
          <w:rFonts w:cs="Arial"/>
          <w:rtl/>
        </w:rPr>
        <w:t xml:space="preserve">יד) </w:t>
      </w:r>
      <w:r>
        <w:rPr>
          <w:rFonts w:cs="Arial" w:hint="cs"/>
          <w:rtl/>
        </w:rPr>
        <w:t>ש</w:t>
      </w:r>
      <w:r w:rsidRPr="00343291">
        <w:rPr>
          <w:rFonts w:cs="Arial"/>
          <w:rtl/>
        </w:rPr>
        <w:t xml:space="preserve">כן פסק </w:t>
      </w:r>
      <w:r>
        <w:rPr>
          <w:rFonts w:cs="Arial" w:hint="cs"/>
          <w:rtl/>
        </w:rPr>
        <w:t>ה</w:t>
      </w:r>
      <w:r w:rsidRPr="00343291">
        <w:rPr>
          <w:rFonts w:cs="Arial"/>
          <w:rtl/>
        </w:rPr>
        <w:t>נמוק</w:t>
      </w:r>
      <w:r>
        <w:rPr>
          <w:rFonts w:cs="Arial" w:hint="cs"/>
          <w:rtl/>
        </w:rPr>
        <w:t>"</w:t>
      </w:r>
      <w:r w:rsidRPr="00343291">
        <w:rPr>
          <w:rFonts w:cs="Arial"/>
          <w:rtl/>
        </w:rPr>
        <w:t xml:space="preserve">י </w:t>
      </w:r>
      <w:r>
        <w:rPr>
          <w:rFonts w:cs="Arial" w:hint="cs"/>
          <w:rtl/>
        </w:rPr>
        <w:t>(</w:t>
      </w:r>
      <w:r w:rsidRPr="00343291">
        <w:rPr>
          <w:rFonts w:cs="Arial"/>
          <w:rtl/>
        </w:rPr>
        <w:t>פרק אלמנה כב: דיבור ראשון) ודלא כדמשמע מדברי המרדכי ריש הפרק שם (סי' סג) כדברי הרמב"ם</w:t>
      </w:r>
      <w:r>
        <w:rPr>
          <w:rFonts w:hint="cs"/>
          <w:rtl/>
        </w:rPr>
        <w:t>.</w:t>
      </w:r>
    </w:p>
  </w:footnote>
  <w:footnote w:id="2060">
    <w:p w14:paraId="3DC3DB71" w14:textId="77777777" w:rsidR="00DF1FC7" w:rsidRDefault="00DF1FC7" w:rsidP="002E5BAD">
      <w:pPr>
        <w:pStyle w:val="a5"/>
        <w:rPr>
          <w:rtl/>
        </w:rPr>
      </w:pPr>
      <w:r>
        <w:rPr>
          <w:rStyle w:val="a7"/>
        </w:rPr>
        <w:footnoteRef/>
      </w:r>
      <w:r>
        <w:rPr>
          <w:rtl/>
        </w:rPr>
        <w:t xml:space="preserve"> </w:t>
      </w:r>
      <w:r>
        <w:rPr>
          <w:rFonts w:cs="Arial" w:hint="cs"/>
          <w:rtl/>
        </w:rPr>
        <w:t>וכ"כ רי"ו (</w:t>
      </w:r>
      <w:r>
        <w:rPr>
          <w:rFonts w:cs="Arial"/>
          <w:rtl/>
        </w:rPr>
        <w:t>מישרים נכ"ג ח"י סג ע"ג</w:t>
      </w:r>
      <w:r>
        <w:rPr>
          <w:rFonts w:cs="Arial" w:hint="cs"/>
          <w:rtl/>
        </w:rPr>
        <w:t>, הביאו הב"י</w:t>
      </w:r>
      <w:r>
        <w:rPr>
          <w:rFonts w:cs="Arial"/>
          <w:rtl/>
        </w:rPr>
        <w:t>)</w:t>
      </w:r>
      <w:r>
        <w:rPr>
          <w:rFonts w:cs="Arial" w:hint="cs"/>
          <w:rtl/>
        </w:rPr>
        <w:t>. וכתב הדרכ"מ</w:t>
      </w:r>
      <w:r w:rsidRPr="00343291">
        <w:rPr>
          <w:rFonts w:cs="Arial"/>
          <w:rtl/>
        </w:rPr>
        <w:t xml:space="preserve"> (</w:t>
      </w:r>
      <w:r>
        <w:rPr>
          <w:rFonts w:cs="Arial" w:hint="cs"/>
          <w:rtl/>
        </w:rPr>
        <w:t xml:space="preserve">אות </w:t>
      </w:r>
      <w:r w:rsidRPr="00343291">
        <w:rPr>
          <w:rFonts w:cs="Arial"/>
          <w:rtl/>
        </w:rPr>
        <w:t xml:space="preserve">יג) </w:t>
      </w:r>
      <w:r>
        <w:rPr>
          <w:rFonts w:cs="Arial" w:hint="cs"/>
          <w:rtl/>
        </w:rPr>
        <w:t>ד</w:t>
      </w:r>
      <w:r w:rsidRPr="00343291">
        <w:rPr>
          <w:rFonts w:cs="Arial"/>
          <w:rtl/>
        </w:rPr>
        <w:t xml:space="preserve">כן הוא במרדכי </w:t>
      </w:r>
      <w:r>
        <w:rPr>
          <w:rFonts w:cs="Arial" w:hint="cs"/>
          <w:rtl/>
        </w:rPr>
        <w:t>(</w:t>
      </w:r>
      <w:r w:rsidRPr="00343291">
        <w:rPr>
          <w:rFonts w:cs="Arial"/>
          <w:rtl/>
        </w:rPr>
        <w:t>פ</w:t>
      </w:r>
      <w:r>
        <w:rPr>
          <w:rFonts w:cs="Arial" w:hint="cs"/>
          <w:rtl/>
        </w:rPr>
        <w:t>'</w:t>
      </w:r>
      <w:r w:rsidRPr="00343291">
        <w:rPr>
          <w:rFonts w:cs="Arial"/>
          <w:rtl/>
        </w:rPr>
        <w:t xml:space="preserve"> מציאת האשה כתובות סי' קצ</w:t>
      </w:r>
      <w:r>
        <w:rPr>
          <w:rFonts w:cs="Arial" w:hint="cs"/>
          <w:rtl/>
        </w:rPr>
        <w:t>,</w:t>
      </w:r>
      <w:r w:rsidRPr="00343291">
        <w:rPr>
          <w:rFonts w:cs="Arial"/>
          <w:rtl/>
        </w:rPr>
        <w:t xml:space="preserve"> וס</w:t>
      </w:r>
      <w:r>
        <w:rPr>
          <w:rFonts w:cs="Arial" w:hint="cs"/>
          <w:rtl/>
        </w:rPr>
        <w:t>"</w:t>
      </w:r>
      <w:r w:rsidRPr="00343291">
        <w:rPr>
          <w:rFonts w:cs="Arial"/>
          <w:rtl/>
        </w:rPr>
        <w:t>פ נערה שנתפתתה סי' קעב) וע"ל סימן פ"ג כתבתי עוד מדין זה</w:t>
      </w:r>
      <w:r>
        <w:rPr>
          <w:rFonts w:cs="Arial" w:hint="cs"/>
          <w:rtl/>
        </w:rPr>
        <w:t>.</w:t>
      </w:r>
    </w:p>
  </w:footnote>
  <w:footnote w:id="2061">
    <w:p w14:paraId="1DC6642E" w14:textId="77777777" w:rsidR="00DF1FC7" w:rsidRDefault="00DF1FC7" w:rsidP="002E5BAD">
      <w:pPr>
        <w:pStyle w:val="a5"/>
        <w:rPr>
          <w:rtl/>
        </w:rPr>
      </w:pPr>
      <w:r>
        <w:rPr>
          <w:rStyle w:val="a7"/>
        </w:rPr>
        <w:footnoteRef/>
      </w:r>
      <w:r>
        <w:rPr>
          <w:rtl/>
        </w:rPr>
        <w:t xml:space="preserve"> </w:t>
      </w:r>
      <w:r>
        <w:rPr>
          <w:rFonts w:cs="Arial"/>
          <w:rtl/>
        </w:rPr>
        <w:t>וכתב ה</w:t>
      </w:r>
      <w:r>
        <w:rPr>
          <w:rFonts w:cs="Arial" w:hint="cs"/>
          <w:rtl/>
        </w:rPr>
        <w:t>ה"מ-</w:t>
      </w:r>
      <w:r>
        <w:rPr>
          <w:rFonts w:cs="Arial"/>
          <w:rtl/>
        </w:rPr>
        <w:t xml:space="preserve"> זה הדין לדעת הראב"ד (הט"ו) ודאי אמת הוא</w:t>
      </w:r>
      <w:r>
        <w:rPr>
          <w:rFonts w:cs="Arial" w:hint="cs"/>
          <w:rtl/>
        </w:rPr>
        <w:t>,</w:t>
      </w:r>
      <w:r>
        <w:rPr>
          <w:rFonts w:cs="Arial"/>
          <w:rtl/>
        </w:rPr>
        <w:t xml:space="preserve"> דלא עדיפי מקרקע שהוא סבור שאם מכרו מכרו קיים</w:t>
      </w:r>
      <w:r>
        <w:rPr>
          <w:rFonts w:cs="Arial" w:hint="cs"/>
          <w:rtl/>
        </w:rPr>
        <w:t>.</w:t>
      </w:r>
      <w:r>
        <w:rPr>
          <w:rFonts w:cs="Arial"/>
          <w:rtl/>
        </w:rPr>
        <w:t xml:space="preserve"> אבל הרשב"א (יבמות סו: סוד"ה מכרו שניהם) והרמב"ן (יבמות שם סוד"ה מכרו) ז"ל נחלקו בזה ואמרו שאפילו במטלטלין המכר בטל</w:t>
      </w:r>
      <w:r>
        <w:rPr>
          <w:rFonts w:cs="Arial" w:hint="cs"/>
          <w:rtl/>
        </w:rPr>
        <w:t>.</w:t>
      </w:r>
      <w:r>
        <w:rPr>
          <w:rFonts w:cs="Arial"/>
          <w:rtl/>
        </w:rPr>
        <w:t xml:space="preserve"> וכבר הארכתי בזה בהל</w:t>
      </w:r>
      <w:r>
        <w:rPr>
          <w:rFonts w:cs="Arial" w:hint="cs"/>
          <w:rtl/>
        </w:rPr>
        <w:t>'</w:t>
      </w:r>
      <w:r>
        <w:rPr>
          <w:rFonts w:cs="Arial"/>
          <w:rtl/>
        </w:rPr>
        <w:t xml:space="preserve"> מכירה פ</w:t>
      </w:r>
      <w:r>
        <w:rPr>
          <w:rFonts w:cs="Arial" w:hint="cs"/>
          <w:rtl/>
        </w:rPr>
        <w:t>"</w:t>
      </w:r>
      <w:r>
        <w:rPr>
          <w:rFonts w:cs="Arial"/>
          <w:rtl/>
        </w:rPr>
        <w:t>ל (ה"ה) ושם כתבתי שדעת רבינו האיי (המקח והממכר שער ד) כדעת רבינו עכ"ל</w:t>
      </w:r>
      <w:r>
        <w:rPr>
          <w:rFonts w:hint="cs"/>
          <w:rtl/>
        </w:rPr>
        <w:t>, ב"י. וכתב הב"ש (סקמ"ח) דר"ת סובר כדברי הרמב"ם (</w:t>
      </w:r>
      <w:r w:rsidRPr="008F6E86">
        <w:rPr>
          <w:rFonts w:hint="cs"/>
          <w:color w:val="FF0000"/>
          <w:rtl/>
        </w:rPr>
        <w:t>צל"ע מהיכן הוציא כן</w:t>
      </w:r>
      <w:r>
        <w:rPr>
          <w:rFonts w:hint="cs"/>
          <w:rtl/>
        </w:rPr>
        <w:t>).</w:t>
      </w:r>
    </w:p>
  </w:footnote>
  <w:footnote w:id="2062">
    <w:p w14:paraId="5EFE024A" w14:textId="77777777" w:rsidR="00DF1FC7" w:rsidRDefault="00DF1FC7" w:rsidP="002E5BAD">
      <w:pPr>
        <w:pStyle w:val="a5"/>
      </w:pPr>
      <w:r>
        <w:rPr>
          <w:rStyle w:val="a7"/>
        </w:rPr>
        <w:footnoteRef/>
      </w:r>
      <w:r>
        <w:rPr>
          <w:rtl/>
        </w:rPr>
        <w:t xml:space="preserve"> </w:t>
      </w:r>
      <w:r>
        <w:rPr>
          <w:rFonts w:hint="cs"/>
          <w:rtl/>
        </w:rPr>
        <w:t xml:space="preserve">וז"ל- </w:t>
      </w:r>
      <w:r w:rsidRPr="00461B0D">
        <w:rPr>
          <w:rFonts w:cs="Arial"/>
          <w:rtl/>
        </w:rPr>
        <w:t>על ראובן שלוה מעות משמעון על בגדי אשתו וחזר והשאילו לו עד לאחר המועד ומת במועד ומחמת יראת המושל מכרה את אשר לה לשמעון וגם מלבושיה שהיו ממושכנין בידו והחזיר לה שמעון הכל חוץ מן המלבושים ופסק ר"י שהדין עמו דאע"ג דאין אדם רשאי</w:t>
      </w:r>
      <w:r>
        <w:rPr>
          <w:rFonts w:cs="Arial" w:hint="cs"/>
          <w:rtl/>
        </w:rPr>
        <w:t xml:space="preserve"> </w:t>
      </w:r>
      <w:r w:rsidRPr="00461B0D">
        <w:rPr>
          <w:rFonts w:cs="Arial"/>
          <w:rtl/>
        </w:rPr>
        <w:t>למשכן את בגדי אשתו מ"מ אחזוקי אינשי בגנבי לא מחזקינן ומסתמא ברשותה משכנם בעלה וכיון שהשאיל לו שמעון עד לאחר המועד עדיין הם ברשות שמעון כיון שבתורת שאלה בא לידי ולא בתורת חזרה כדפרישית לעיל ואין האשה יכולה לטעון תפשתים עבור כתובתי ואני הייתי מוחזקת בהם כשמסרתי לך מלבושי דכיון שהחזירם לו לא היו יותר ברשותה ויש חולקים על דין זה דיש לה לומר נחת רוח עשיתי לבעלי מה שמסרתי לו מלבושי</w:t>
      </w:r>
      <w:r>
        <w:rPr>
          <w:rFonts w:cs="Arial" w:hint="cs"/>
          <w:rtl/>
        </w:rPr>
        <w:t>.</w:t>
      </w:r>
    </w:p>
  </w:footnote>
  <w:footnote w:id="2063">
    <w:p w14:paraId="51AAB8F5" w14:textId="77777777" w:rsidR="00DF1FC7" w:rsidRDefault="00DF1FC7" w:rsidP="002E5BAD">
      <w:pPr>
        <w:pStyle w:val="a5"/>
      </w:pPr>
      <w:r>
        <w:rPr>
          <w:rStyle w:val="a7"/>
        </w:rPr>
        <w:footnoteRef/>
      </w:r>
      <w:r>
        <w:rPr>
          <w:rtl/>
        </w:rPr>
        <w:t xml:space="preserve"> </w:t>
      </w:r>
      <w:r>
        <w:rPr>
          <w:rFonts w:cs="Arial" w:hint="cs"/>
          <w:rtl/>
        </w:rPr>
        <w:t xml:space="preserve">וז"ל הב"י בשם מצאתי כתוב- </w:t>
      </w:r>
      <w:r w:rsidRPr="000C4173">
        <w:rPr>
          <w:rFonts w:cs="Arial"/>
          <w:rtl/>
        </w:rPr>
        <w:t>דן הר"ח על אשה שלותה על בגדיה או על תכשיטיה ואח"כ הלך בעלה והוסיף ולוה עליהם יותר</w:t>
      </w:r>
      <w:r>
        <w:rPr>
          <w:rFonts w:cs="Arial" w:hint="cs"/>
          <w:rtl/>
        </w:rPr>
        <w:t>,</w:t>
      </w:r>
      <w:r w:rsidRPr="000C4173">
        <w:rPr>
          <w:rFonts w:cs="Arial"/>
          <w:rtl/>
        </w:rPr>
        <w:t xml:space="preserve"> אם מידיעתה עשה הבעל </w:t>
      </w:r>
      <w:r>
        <w:rPr>
          <w:rFonts w:cs="Arial" w:hint="cs"/>
          <w:rtl/>
        </w:rPr>
        <w:t xml:space="preserve">- </w:t>
      </w:r>
      <w:r w:rsidRPr="000C4173">
        <w:rPr>
          <w:rFonts w:cs="Arial"/>
          <w:rtl/>
        </w:rPr>
        <w:t>אז המלוה יכול לתפסם בשביל כל ההלואה</w:t>
      </w:r>
      <w:r>
        <w:rPr>
          <w:rFonts w:cs="Arial" w:hint="cs"/>
          <w:rtl/>
        </w:rPr>
        <w:t>.</w:t>
      </w:r>
      <w:r w:rsidRPr="000C4173">
        <w:rPr>
          <w:rFonts w:cs="Arial"/>
          <w:rtl/>
        </w:rPr>
        <w:t xml:space="preserve"> אבל אם שלא מדעתה לוה </w:t>
      </w:r>
      <w:r>
        <w:rPr>
          <w:rFonts w:cs="Arial" w:hint="cs"/>
          <w:rtl/>
        </w:rPr>
        <w:t xml:space="preserve">- </w:t>
      </w:r>
      <w:r w:rsidRPr="000C4173">
        <w:rPr>
          <w:rFonts w:cs="Arial"/>
          <w:rtl/>
        </w:rPr>
        <w:t>היא יכולה להוציא מן המלוה באותם מעות שלותה היא</w:t>
      </w:r>
      <w:r>
        <w:rPr>
          <w:rFonts w:cs="Arial" w:hint="cs"/>
          <w:rtl/>
        </w:rPr>
        <w:t>,</w:t>
      </w:r>
      <w:r w:rsidRPr="000C4173">
        <w:rPr>
          <w:rFonts w:cs="Arial"/>
          <w:rtl/>
        </w:rPr>
        <w:t xml:space="preserve"> כי כך שנינו אין לבעל בבגדי אשתו כלום</w:t>
      </w:r>
      <w:r>
        <w:rPr>
          <w:rFonts w:cs="Arial" w:hint="cs"/>
          <w:rtl/>
        </w:rPr>
        <w:t>,</w:t>
      </w:r>
      <w:r w:rsidRPr="000C4173">
        <w:rPr>
          <w:rFonts w:cs="Arial"/>
          <w:rtl/>
        </w:rPr>
        <w:t xml:space="preserve"> ולא בתכשיטיה</w:t>
      </w:r>
      <w:r>
        <w:rPr>
          <w:rFonts w:cs="Arial" w:hint="cs"/>
          <w:rtl/>
        </w:rPr>
        <w:t>.</w:t>
      </w:r>
      <w:r w:rsidRPr="000C4173">
        <w:rPr>
          <w:rFonts w:cs="Arial"/>
          <w:rtl/>
        </w:rPr>
        <w:t xml:space="preserve"> ואפילו אם לוה הבעל מתחלה עליהם והיא אומרת שעשה בלא ידיעתה </w:t>
      </w:r>
      <w:r>
        <w:rPr>
          <w:rFonts w:cs="Arial" w:hint="cs"/>
          <w:rtl/>
        </w:rPr>
        <w:t xml:space="preserve">- </w:t>
      </w:r>
      <w:r w:rsidRPr="000C4173">
        <w:rPr>
          <w:rFonts w:cs="Arial"/>
          <w:rtl/>
        </w:rPr>
        <w:t>דין הוא שיחזיר לה אם תשבע דשלא מדעתה לוה בעלה עליהם</w:t>
      </w:r>
      <w:r>
        <w:rPr>
          <w:rFonts w:cs="Arial" w:hint="cs"/>
          <w:rtl/>
        </w:rPr>
        <w:t>.</w:t>
      </w:r>
    </w:p>
  </w:footnote>
  <w:footnote w:id="2064">
    <w:p w14:paraId="1D86744F" w14:textId="77777777" w:rsidR="00DF1FC7" w:rsidRDefault="00DF1FC7" w:rsidP="002E5BAD">
      <w:pPr>
        <w:pStyle w:val="a5"/>
      </w:pPr>
      <w:r>
        <w:rPr>
          <w:rStyle w:val="a7"/>
        </w:rPr>
        <w:footnoteRef/>
      </w:r>
      <w:r>
        <w:rPr>
          <w:rtl/>
        </w:rPr>
        <w:t xml:space="preserve"> </w:t>
      </w:r>
      <w:r w:rsidRPr="00C726C5">
        <w:rPr>
          <w:rFonts w:cs="Arial"/>
          <w:rtl/>
        </w:rPr>
        <w:t>ו</w:t>
      </w:r>
      <w:r>
        <w:rPr>
          <w:rFonts w:cs="Arial" w:hint="cs"/>
          <w:rtl/>
        </w:rPr>
        <w:t xml:space="preserve">מה שכתב הרשב"א </w:t>
      </w:r>
      <w:r w:rsidRPr="00C726C5">
        <w:rPr>
          <w:rFonts w:cs="Arial"/>
          <w:rtl/>
        </w:rPr>
        <w:t xml:space="preserve">בתשובה </w:t>
      </w:r>
      <w:r>
        <w:rPr>
          <w:rFonts w:cs="Arial" w:hint="cs"/>
          <w:rtl/>
        </w:rPr>
        <w:t xml:space="preserve">סי' </w:t>
      </w:r>
      <w:r w:rsidRPr="00C726C5">
        <w:rPr>
          <w:rFonts w:cs="Arial"/>
          <w:rtl/>
        </w:rPr>
        <w:t>תתקל"ו דאינו יכול למשכן</w:t>
      </w:r>
      <w:r>
        <w:rPr>
          <w:rFonts w:cs="Arial" w:hint="cs"/>
          <w:rtl/>
        </w:rPr>
        <w:t>,</w:t>
      </w:r>
      <w:r w:rsidRPr="00C726C5">
        <w:rPr>
          <w:rFonts w:cs="Arial"/>
          <w:rtl/>
        </w:rPr>
        <w:t xml:space="preserve"> י</w:t>
      </w:r>
      <w:r>
        <w:rPr>
          <w:rFonts w:cs="Arial" w:hint="cs"/>
          <w:rtl/>
        </w:rPr>
        <w:t>ש לומר</w:t>
      </w:r>
      <w:r w:rsidRPr="00C726C5">
        <w:rPr>
          <w:rFonts w:cs="Arial"/>
          <w:rtl/>
        </w:rPr>
        <w:t xml:space="preserve"> </w:t>
      </w:r>
      <w:r>
        <w:rPr>
          <w:rFonts w:cs="Arial" w:hint="cs"/>
          <w:rtl/>
        </w:rPr>
        <w:t>ד</w:t>
      </w:r>
      <w:r w:rsidRPr="00C726C5">
        <w:rPr>
          <w:rFonts w:cs="Arial"/>
          <w:rtl/>
        </w:rPr>
        <w:t xml:space="preserve">שם איירי </w:t>
      </w:r>
      <w:r>
        <w:rPr>
          <w:rFonts w:cs="Arial" w:hint="cs"/>
          <w:rtl/>
        </w:rPr>
        <w:t>ב</w:t>
      </w:r>
      <w:r w:rsidRPr="00C726C5">
        <w:rPr>
          <w:rFonts w:cs="Arial"/>
          <w:rtl/>
        </w:rPr>
        <w:t>בגדים שעשה לה חמיה מחמת החיוב שהתחייב בעת השידוך</w:t>
      </w:r>
      <w:r>
        <w:rPr>
          <w:rFonts w:cs="Arial" w:hint="cs"/>
          <w:rtl/>
        </w:rPr>
        <w:t>,</w:t>
      </w:r>
      <w:r w:rsidRPr="00C726C5">
        <w:rPr>
          <w:rFonts w:cs="Arial"/>
          <w:rtl/>
        </w:rPr>
        <w:t xml:space="preserve"> אבל מה שעשה לה בעלה מרצון הטוב ס"ל אפש</w:t>
      </w:r>
      <w:r>
        <w:rPr>
          <w:rFonts w:cs="Arial" w:hint="cs"/>
          <w:rtl/>
        </w:rPr>
        <w:t>ר</w:t>
      </w:r>
      <w:r w:rsidRPr="00C726C5">
        <w:rPr>
          <w:rFonts w:cs="Arial"/>
          <w:rtl/>
        </w:rPr>
        <w:t xml:space="preserve">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מיהו מהרי"ק </w:t>
      </w:r>
      <w:r>
        <w:rPr>
          <w:rFonts w:cs="Arial" w:hint="cs"/>
          <w:rtl/>
        </w:rPr>
        <w:t>(</w:t>
      </w:r>
      <w:r w:rsidRPr="00C726C5">
        <w:rPr>
          <w:rFonts w:cs="Arial"/>
          <w:rtl/>
        </w:rPr>
        <w:t>שורש י</w:t>
      </w:r>
      <w:r>
        <w:rPr>
          <w:rFonts w:cs="Arial" w:hint="cs"/>
          <w:rtl/>
        </w:rPr>
        <w:t>)</w:t>
      </w:r>
      <w:r w:rsidRPr="00C726C5">
        <w:rPr>
          <w:rFonts w:cs="Arial"/>
          <w:rtl/>
        </w:rPr>
        <w:t xml:space="preserve"> כתב הרשב"א לא החליט זאת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והב"י </w:t>
      </w:r>
      <w:r>
        <w:rPr>
          <w:rFonts w:cs="Arial" w:hint="cs"/>
          <w:rtl/>
        </w:rPr>
        <w:t>כאן (</w:t>
      </w:r>
      <w:r w:rsidRPr="00C726C5">
        <w:rPr>
          <w:rFonts w:cs="Arial"/>
          <w:rtl/>
        </w:rPr>
        <w:t>בסי' זה</w:t>
      </w:r>
      <w:r>
        <w:rPr>
          <w:rFonts w:cs="Arial" w:hint="cs"/>
          <w:rtl/>
        </w:rPr>
        <w:t>)</w:t>
      </w:r>
      <w:r w:rsidRPr="00C726C5">
        <w:rPr>
          <w:rFonts w:cs="Arial"/>
          <w:rtl/>
        </w:rPr>
        <w:t xml:space="preserve"> הביא תשובת מ</w:t>
      </w:r>
      <w:r>
        <w:rPr>
          <w:rFonts w:cs="Arial" w:hint="cs"/>
          <w:rtl/>
        </w:rPr>
        <w:t>צאתי כתוב</w:t>
      </w:r>
      <w:r w:rsidRPr="00C726C5">
        <w:rPr>
          <w:rFonts w:cs="Arial"/>
          <w:rtl/>
        </w:rPr>
        <w:t xml:space="preserve"> ושם כתב דאי</w:t>
      </w:r>
      <w:r>
        <w:rPr>
          <w:rFonts w:cs="Arial" w:hint="cs"/>
          <w:rtl/>
        </w:rPr>
        <w:t>נו</w:t>
      </w:r>
      <w:r w:rsidRPr="00C726C5">
        <w:rPr>
          <w:rFonts w:cs="Arial"/>
          <w:rtl/>
        </w:rPr>
        <w:t xml:space="preserve"> </w:t>
      </w:r>
      <w:r>
        <w:rPr>
          <w:rFonts w:cs="Arial" w:hint="cs"/>
          <w:rtl/>
        </w:rPr>
        <w:t xml:space="preserve">יכול </w:t>
      </w:r>
      <w:r w:rsidRPr="00C726C5">
        <w:rPr>
          <w:rFonts w:cs="Arial"/>
          <w:rtl/>
        </w:rPr>
        <w:t>משכן</w:t>
      </w:r>
      <w:r>
        <w:rPr>
          <w:rFonts w:cs="Arial" w:hint="cs"/>
          <w:rtl/>
        </w:rPr>
        <w:t>,</w:t>
      </w:r>
      <w:r w:rsidRPr="00C726C5">
        <w:rPr>
          <w:rFonts w:cs="Arial"/>
          <w:rtl/>
        </w:rPr>
        <w:t xml:space="preserve"> וכ"כ המרדכי </w:t>
      </w:r>
      <w:r>
        <w:rPr>
          <w:rFonts w:cs="Arial" w:hint="cs"/>
          <w:rtl/>
        </w:rPr>
        <w:t>(</w:t>
      </w:r>
      <w:r w:rsidRPr="00C726C5">
        <w:rPr>
          <w:rFonts w:cs="Arial"/>
          <w:rtl/>
        </w:rPr>
        <w:t xml:space="preserve">ס"פ האומנין </w:t>
      </w:r>
      <w:r>
        <w:rPr>
          <w:rFonts w:cs="Arial" w:hint="cs"/>
          <w:rtl/>
        </w:rPr>
        <w:t xml:space="preserve">סי' שסד) </w:t>
      </w:r>
      <w:r w:rsidRPr="00C726C5">
        <w:rPr>
          <w:rFonts w:cs="Arial"/>
          <w:rtl/>
        </w:rPr>
        <w:t>ומשמע שם דאיירי אפילו אם עשה הוא לה בגדים</w:t>
      </w:r>
      <w:r>
        <w:rPr>
          <w:rFonts w:cs="Arial" w:hint="cs"/>
          <w:rtl/>
        </w:rPr>
        <w:t>.</w:t>
      </w:r>
      <w:r w:rsidRPr="00C726C5">
        <w:rPr>
          <w:rFonts w:cs="Arial"/>
          <w:rtl/>
        </w:rPr>
        <w:t xml:space="preserve"> והש"ך </w:t>
      </w:r>
      <w:r>
        <w:rPr>
          <w:rFonts w:cs="Arial" w:hint="cs"/>
          <w:rtl/>
        </w:rPr>
        <w:t>(</w:t>
      </w:r>
      <w:r w:rsidRPr="00C726C5">
        <w:rPr>
          <w:rFonts w:cs="Arial"/>
          <w:rtl/>
        </w:rPr>
        <w:t>ח</w:t>
      </w:r>
      <w:r>
        <w:rPr>
          <w:rFonts w:cs="Arial" w:hint="cs"/>
          <w:rtl/>
        </w:rPr>
        <w:t xml:space="preserve">ו"מ </w:t>
      </w:r>
      <w:r w:rsidRPr="00C726C5">
        <w:rPr>
          <w:rFonts w:cs="Arial"/>
          <w:rtl/>
        </w:rPr>
        <w:t>סי' עב</w:t>
      </w:r>
      <w:r>
        <w:rPr>
          <w:rFonts w:cs="Arial" w:hint="cs"/>
          <w:rtl/>
        </w:rPr>
        <w:t xml:space="preserve"> סקכ"ד)</w:t>
      </w:r>
      <w:r w:rsidRPr="00C726C5">
        <w:rPr>
          <w:rFonts w:cs="Arial"/>
          <w:rtl/>
        </w:rPr>
        <w:t xml:space="preserve"> כתב בפשיטות דיכול למשכן וכתב כן ע"פ תשוב' הרשב"א הנ"ל</w:t>
      </w:r>
      <w:r>
        <w:rPr>
          <w:rFonts w:hint="cs"/>
          <w:rtl/>
        </w:rPr>
        <w:t xml:space="preserve">. וכן נראה לי ברור דעת הב"י כאן, שהרי לאחר שהביא את דברי המרדכי (ב"מ סי' שסד) ותשו' המצאתי כתוב, כתב בבדה"ב וז"ל- </w:t>
      </w:r>
      <w:r w:rsidRPr="003509BC">
        <w:rPr>
          <w:rFonts w:cs="Arial"/>
          <w:rtl/>
        </w:rPr>
        <w:t>דין הממשכן כסות אשתו כתבתי בסוף סימן ע"ג</w:t>
      </w:r>
      <w:r>
        <w:rPr>
          <w:rFonts w:cs="Arial" w:hint="cs"/>
          <w:rtl/>
        </w:rPr>
        <w:t xml:space="preserve">. עכ"ל. ושם בסוף סימן עג הביא רק את דברי הרשב"א </w:t>
      </w:r>
      <w:r>
        <w:rPr>
          <w:rFonts w:hint="cs"/>
          <w:rtl/>
        </w:rPr>
        <w:t xml:space="preserve">(ח"ב סי' רפו) הנ"ל. וכתב שם לעיין במרדכי. נראה שדעתו ברור שאם משכן </w:t>
      </w:r>
      <w:r>
        <w:rPr>
          <w:rtl/>
        </w:rPr>
        <w:t>–</w:t>
      </w:r>
      <w:r>
        <w:rPr>
          <w:rFonts w:hint="cs"/>
          <w:rtl/>
        </w:rPr>
        <w:t xml:space="preserve"> הרי הם ממושכנים. וכמו שפסק שם (סי' עג ס"ט) בשו"ע.</w:t>
      </w:r>
    </w:p>
  </w:footnote>
  <w:footnote w:id="2065">
    <w:p w14:paraId="4A28C45A" w14:textId="77777777" w:rsidR="00DF1FC7" w:rsidRDefault="00DF1FC7" w:rsidP="002E5BAD">
      <w:pPr>
        <w:pStyle w:val="a5"/>
        <w:rPr>
          <w:rtl/>
        </w:rPr>
      </w:pPr>
      <w:r>
        <w:rPr>
          <w:rStyle w:val="a7"/>
        </w:rPr>
        <w:footnoteRef/>
      </w:r>
      <w:r>
        <w:rPr>
          <w:rtl/>
        </w:rPr>
        <w:t xml:space="preserve"> </w:t>
      </w:r>
      <w:r w:rsidRPr="008F6E86">
        <w:rPr>
          <w:rFonts w:cs="Arial"/>
          <w:rtl/>
        </w:rPr>
        <w:t>הטעם שהרי הוא יכול לבלותן לגמרי בתשמיש והם עומדים לבלות וליאבד ע"כ ממכרו ממכר משא"כ בקרקע</w:t>
      </w:r>
      <w:r>
        <w:rPr>
          <w:rFonts w:cs="Arial" w:hint="cs"/>
          <w:rtl/>
        </w:rPr>
        <w:t>.</w:t>
      </w:r>
      <w:r w:rsidRPr="008F6E86">
        <w:rPr>
          <w:rFonts w:cs="Arial"/>
          <w:rtl/>
        </w:rPr>
        <w:t xml:space="preserve"> וק"ק דטעם זה שייך גם בנ"מ לפי מה שנתבאר לעיל בסי' פ"ה סעיף י"ג</w:t>
      </w:r>
      <w:r>
        <w:rPr>
          <w:rFonts w:hint="cs"/>
          <w:rtl/>
        </w:rPr>
        <w:t>, ח"מ (סקמ"ה).</w:t>
      </w:r>
    </w:p>
  </w:footnote>
  <w:footnote w:id="2066">
    <w:p w14:paraId="19019FBE" w14:textId="77777777" w:rsidR="00DF1FC7" w:rsidRDefault="00DF1FC7" w:rsidP="002E5BAD">
      <w:pPr>
        <w:pStyle w:val="a5"/>
      </w:pPr>
      <w:r>
        <w:rPr>
          <w:rStyle w:val="a7"/>
        </w:rPr>
        <w:footnoteRef/>
      </w:r>
      <w:r>
        <w:rPr>
          <w:rtl/>
        </w:rPr>
        <w:t xml:space="preserve"> </w:t>
      </w:r>
      <w:r>
        <w:rPr>
          <w:rFonts w:cs="Arial" w:hint="cs"/>
          <w:rtl/>
        </w:rPr>
        <w:t xml:space="preserve">מיירי שהאשה תובעת לבעל שישלם לה או יביא לה בגדים כמותם, וכמו שכתב הרשב"א (שם). אבל לא נתברר שם בתשו' וגם בדברי הרמ"א מה הדין אם האשה רוצה להוציא מהלוקח. הח"מ </w:t>
      </w:r>
      <w:r w:rsidRPr="008F6E86">
        <w:rPr>
          <w:rFonts w:cs="Arial"/>
          <w:rtl/>
        </w:rPr>
        <w:t>(</w:t>
      </w:r>
      <w:r>
        <w:rPr>
          <w:rFonts w:cs="Arial" w:hint="cs"/>
          <w:rtl/>
        </w:rPr>
        <w:t>סק</w:t>
      </w:r>
      <w:r w:rsidRPr="008F6E86">
        <w:rPr>
          <w:rFonts w:cs="Arial"/>
          <w:rtl/>
        </w:rPr>
        <w:t>מ</w:t>
      </w:r>
      <w:r>
        <w:rPr>
          <w:rFonts w:cs="Arial" w:hint="cs"/>
          <w:rtl/>
        </w:rPr>
        <w:t>"</w:t>
      </w:r>
      <w:r w:rsidRPr="008F6E86">
        <w:rPr>
          <w:rFonts w:cs="Arial"/>
          <w:rtl/>
        </w:rPr>
        <w:t>ו)</w:t>
      </w:r>
      <w:r>
        <w:rPr>
          <w:rFonts w:cs="Arial" w:hint="cs"/>
          <w:rtl/>
        </w:rPr>
        <w:t xml:space="preserve"> כתב ד</w:t>
      </w:r>
      <w:r w:rsidRPr="008F6E86">
        <w:rPr>
          <w:rFonts w:cs="Arial"/>
          <w:rtl/>
        </w:rPr>
        <w:t>צריך הלוקח להחזיר לה מה שידוע שהוא שלה</w:t>
      </w:r>
      <w:r>
        <w:rPr>
          <w:rFonts w:cs="Arial" w:hint="cs"/>
          <w:rtl/>
        </w:rPr>
        <w:t>,</w:t>
      </w:r>
      <w:r w:rsidRPr="008F6E86">
        <w:rPr>
          <w:rFonts w:cs="Arial"/>
          <w:rtl/>
        </w:rPr>
        <w:t xml:space="preserve"> ואין הבעל נאמן לו</w:t>
      </w:r>
      <w:r>
        <w:rPr>
          <w:rFonts w:cs="Arial" w:hint="cs"/>
          <w:rtl/>
        </w:rPr>
        <w:t>מר</w:t>
      </w:r>
      <w:r w:rsidRPr="008F6E86">
        <w:rPr>
          <w:rFonts w:cs="Arial"/>
          <w:rtl/>
        </w:rPr>
        <w:t xml:space="preserve"> שברשותה עשה</w:t>
      </w:r>
      <w:r>
        <w:rPr>
          <w:rFonts w:cs="Arial" w:hint="cs"/>
          <w:rtl/>
        </w:rPr>
        <w:t>.</w:t>
      </w:r>
      <w:r w:rsidRPr="008F6E86">
        <w:rPr>
          <w:rFonts w:cs="Arial"/>
          <w:rtl/>
        </w:rPr>
        <w:t xml:space="preserve"> </w:t>
      </w:r>
      <w:r>
        <w:rPr>
          <w:rFonts w:cs="Arial" w:hint="cs"/>
          <w:rtl/>
        </w:rPr>
        <w:t xml:space="preserve">אא"כ יברר </w:t>
      </w:r>
      <w:r w:rsidRPr="008F6E86">
        <w:rPr>
          <w:rFonts w:cs="Arial"/>
          <w:rtl/>
        </w:rPr>
        <w:t>הבעל שברשותה עשה</w:t>
      </w:r>
      <w:r>
        <w:rPr>
          <w:rFonts w:cs="Arial" w:hint="cs"/>
          <w:rtl/>
        </w:rPr>
        <w:t>.</w:t>
      </w:r>
      <w:r w:rsidRPr="008F6E86">
        <w:rPr>
          <w:rFonts w:cs="Arial"/>
          <w:rtl/>
        </w:rPr>
        <w:t xml:space="preserve"> וכל זמן שלא יברר היא מוחזקת בנכסיה להוציא מיד הלוקח כ"ז שנכסיה הם בעין</w:t>
      </w:r>
      <w:r>
        <w:rPr>
          <w:rFonts w:cs="Arial" w:hint="cs"/>
          <w:rtl/>
        </w:rPr>
        <w:t>.</w:t>
      </w:r>
      <w:r w:rsidRPr="008F6E86">
        <w:rPr>
          <w:rFonts w:cs="Arial"/>
          <w:rtl/>
        </w:rPr>
        <w:t xml:space="preserve"> </w:t>
      </w:r>
      <w:r>
        <w:rPr>
          <w:rFonts w:cs="Arial" w:hint="cs"/>
          <w:rtl/>
        </w:rPr>
        <w:t>וכתב הב"ש (סק</w:t>
      </w:r>
      <w:r w:rsidRPr="008F6E86">
        <w:rPr>
          <w:rFonts w:cs="Arial"/>
          <w:rtl/>
        </w:rPr>
        <w:t>מ</w:t>
      </w:r>
      <w:r>
        <w:rPr>
          <w:rFonts w:cs="Arial" w:hint="cs"/>
          <w:rtl/>
        </w:rPr>
        <w:t>"</w:t>
      </w:r>
      <w:r w:rsidRPr="008F6E86">
        <w:rPr>
          <w:rFonts w:cs="Arial"/>
          <w:rtl/>
        </w:rPr>
        <w:t>ט</w:t>
      </w:r>
      <w:r>
        <w:rPr>
          <w:rFonts w:cs="Arial" w:hint="cs"/>
          <w:rtl/>
        </w:rPr>
        <w:t>)</w:t>
      </w:r>
      <w:r w:rsidRPr="008F6E86">
        <w:rPr>
          <w:rFonts w:cs="Arial"/>
          <w:rtl/>
        </w:rPr>
        <w:t xml:space="preserve"> </w:t>
      </w:r>
      <w:r>
        <w:rPr>
          <w:rFonts w:cs="Arial" w:hint="cs"/>
          <w:rtl/>
        </w:rPr>
        <w:t xml:space="preserve">שבאמת </w:t>
      </w:r>
      <w:r w:rsidRPr="008F6E86">
        <w:rPr>
          <w:rFonts w:cs="Arial"/>
          <w:rtl/>
        </w:rPr>
        <w:t>בתשו' מ</w:t>
      </w:r>
      <w:r>
        <w:rPr>
          <w:rFonts w:cs="Arial" w:hint="cs"/>
          <w:rtl/>
        </w:rPr>
        <w:t xml:space="preserve">צאתי </w:t>
      </w:r>
      <w:r w:rsidRPr="008F6E86">
        <w:rPr>
          <w:rFonts w:cs="Arial"/>
          <w:rtl/>
        </w:rPr>
        <w:t>כ</w:t>
      </w:r>
      <w:r>
        <w:rPr>
          <w:rFonts w:cs="Arial" w:hint="cs"/>
          <w:rtl/>
        </w:rPr>
        <w:t>תוב</w:t>
      </w:r>
      <w:r w:rsidRPr="008F6E86">
        <w:rPr>
          <w:rFonts w:cs="Arial"/>
          <w:rtl/>
        </w:rPr>
        <w:t xml:space="preserve"> שהביא הב"י </w:t>
      </w:r>
      <w:r>
        <w:rPr>
          <w:rFonts w:cs="Arial" w:hint="cs"/>
          <w:rtl/>
        </w:rPr>
        <w:t>מבואר כדברי הח"מ ד</w:t>
      </w:r>
      <w:r w:rsidRPr="008F6E86">
        <w:rPr>
          <w:rFonts w:cs="Arial"/>
          <w:rtl/>
        </w:rPr>
        <w:t>כתב</w:t>
      </w:r>
      <w:r>
        <w:rPr>
          <w:rFonts w:cs="Arial" w:hint="cs"/>
          <w:rtl/>
        </w:rPr>
        <w:t xml:space="preserve"> שם</w:t>
      </w:r>
      <w:r w:rsidRPr="008F6E86">
        <w:rPr>
          <w:rFonts w:cs="Arial"/>
          <w:rtl/>
        </w:rPr>
        <w:t xml:space="preserve"> </w:t>
      </w:r>
      <w:r>
        <w:rPr>
          <w:rFonts w:cs="Arial" w:hint="cs"/>
          <w:rtl/>
        </w:rPr>
        <w:t>ש</w:t>
      </w:r>
      <w:r w:rsidRPr="008F6E86">
        <w:rPr>
          <w:rFonts w:cs="Arial"/>
          <w:rtl/>
        </w:rPr>
        <w:t>היא נאמנת נגד המלוה לומר שהשכין שלא ברשות</w:t>
      </w:r>
      <w:r>
        <w:rPr>
          <w:rFonts w:cs="Arial" w:hint="cs"/>
          <w:rtl/>
        </w:rPr>
        <w:t>ה,</w:t>
      </w:r>
      <w:r w:rsidRPr="008F6E86">
        <w:rPr>
          <w:rFonts w:cs="Arial"/>
          <w:rtl/>
        </w:rPr>
        <w:t xml:space="preserve"> ותשבע והמלוה יחזיר זה</w:t>
      </w:r>
      <w:r>
        <w:rPr>
          <w:rFonts w:cs="Arial" w:hint="cs"/>
          <w:rtl/>
        </w:rPr>
        <w:t>.</w:t>
      </w:r>
      <w:r w:rsidRPr="008F6E86">
        <w:rPr>
          <w:rFonts w:cs="Arial"/>
          <w:rtl/>
        </w:rPr>
        <w:t xml:space="preserve"> </w:t>
      </w:r>
      <w:r>
        <w:rPr>
          <w:rFonts w:cs="Arial" w:hint="cs"/>
          <w:rtl/>
        </w:rPr>
        <w:t xml:space="preserve">אבל </w:t>
      </w:r>
      <w:r w:rsidRPr="008F6E86">
        <w:rPr>
          <w:rFonts w:cs="Arial"/>
          <w:rtl/>
        </w:rPr>
        <w:t xml:space="preserve">המרדכי </w:t>
      </w:r>
      <w:r w:rsidRPr="00647311">
        <w:rPr>
          <w:rFonts w:cs="Arial" w:hint="cs"/>
          <w:sz w:val="16"/>
          <w:szCs w:val="16"/>
          <w:rtl/>
        </w:rPr>
        <w:t>(</w:t>
      </w:r>
      <w:r w:rsidRPr="00647311">
        <w:rPr>
          <w:rFonts w:cs="Arial"/>
          <w:sz w:val="16"/>
          <w:szCs w:val="16"/>
          <w:rtl/>
        </w:rPr>
        <w:t>ס"פ האומנין</w:t>
      </w:r>
      <w:r w:rsidRPr="00647311">
        <w:rPr>
          <w:rFonts w:cs="Arial" w:hint="cs"/>
          <w:sz w:val="16"/>
          <w:szCs w:val="16"/>
          <w:rtl/>
        </w:rPr>
        <w:t>)</w:t>
      </w:r>
      <w:r w:rsidRPr="00647311">
        <w:rPr>
          <w:rFonts w:cs="Arial"/>
          <w:sz w:val="16"/>
          <w:szCs w:val="16"/>
          <w:rtl/>
        </w:rPr>
        <w:t xml:space="preserve"> </w:t>
      </w:r>
      <w:r w:rsidRPr="008F6E86">
        <w:rPr>
          <w:rFonts w:cs="Arial"/>
          <w:rtl/>
        </w:rPr>
        <w:t>כתב מסתמא אמרי</w:t>
      </w:r>
      <w:r>
        <w:rPr>
          <w:rFonts w:cs="Arial" w:hint="cs"/>
          <w:rtl/>
        </w:rPr>
        <w:t>נן</w:t>
      </w:r>
      <w:r w:rsidRPr="008F6E86">
        <w:rPr>
          <w:rFonts w:cs="Arial"/>
          <w:rtl/>
        </w:rPr>
        <w:t xml:space="preserve"> ברשות</w:t>
      </w:r>
      <w:r>
        <w:rPr>
          <w:rFonts w:cs="Arial" w:hint="cs"/>
          <w:rtl/>
        </w:rPr>
        <w:t>ה</w:t>
      </w:r>
      <w:r w:rsidRPr="008F6E86">
        <w:rPr>
          <w:rFonts w:cs="Arial"/>
          <w:rtl/>
        </w:rPr>
        <w:t xml:space="preserve"> השכין</w:t>
      </w:r>
      <w:r>
        <w:rPr>
          <w:rFonts w:cs="Arial" w:hint="cs"/>
          <w:rtl/>
        </w:rPr>
        <w:t>,</w:t>
      </w:r>
      <w:r w:rsidRPr="008F6E86">
        <w:rPr>
          <w:rFonts w:cs="Arial"/>
          <w:rtl/>
        </w:rPr>
        <w:t xml:space="preserve"> והרשב"א </w:t>
      </w:r>
      <w:r>
        <w:rPr>
          <w:rFonts w:cs="Arial" w:hint="cs"/>
          <w:rtl/>
        </w:rPr>
        <w:t>(</w:t>
      </w:r>
      <w:r w:rsidRPr="008F6E86">
        <w:rPr>
          <w:rFonts w:cs="Arial"/>
          <w:rtl/>
        </w:rPr>
        <w:t>בתשו</w:t>
      </w:r>
      <w:r>
        <w:rPr>
          <w:rFonts w:cs="Arial" w:hint="cs"/>
          <w:rtl/>
        </w:rPr>
        <w:t>'</w:t>
      </w:r>
      <w:r w:rsidRPr="008F6E86">
        <w:rPr>
          <w:rFonts w:cs="Arial"/>
          <w:rtl/>
        </w:rPr>
        <w:t xml:space="preserve"> שהביא ס"ס ע"ג</w:t>
      </w:r>
      <w:r>
        <w:rPr>
          <w:rFonts w:cs="Arial" w:hint="cs"/>
          <w:rtl/>
        </w:rPr>
        <w:t>)</w:t>
      </w:r>
      <w:r w:rsidRPr="008F6E86">
        <w:rPr>
          <w:rFonts w:cs="Arial"/>
          <w:rtl/>
        </w:rPr>
        <w:t xml:space="preserve"> כתב ג"כ דאי</w:t>
      </w:r>
      <w:r>
        <w:rPr>
          <w:rFonts w:cs="Arial" w:hint="cs"/>
          <w:rtl/>
        </w:rPr>
        <w:t>נה יכולה</w:t>
      </w:r>
      <w:r w:rsidRPr="008F6E86">
        <w:rPr>
          <w:rFonts w:cs="Arial"/>
          <w:rtl/>
        </w:rPr>
        <w:t xml:space="preserve"> להוציא מן המלוה</w:t>
      </w:r>
      <w:r>
        <w:rPr>
          <w:rFonts w:cs="Arial" w:hint="cs"/>
          <w:rtl/>
        </w:rPr>
        <w:t>,</w:t>
      </w:r>
      <w:r w:rsidRPr="008F6E86">
        <w:rPr>
          <w:rFonts w:cs="Arial"/>
          <w:rtl/>
        </w:rPr>
        <w:t xml:space="preserve"> דמאן לימא לן דלא אפקיה מדעתה</w:t>
      </w:r>
      <w:r>
        <w:rPr>
          <w:rFonts w:cs="Arial" w:hint="cs"/>
          <w:rtl/>
        </w:rPr>
        <w:t>.</w:t>
      </w:r>
      <w:r w:rsidRPr="008F6E86">
        <w:rPr>
          <w:rFonts w:cs="Arial"/>
          <w:rtl/>
        </w:rPr>
        <w:t xml:space="preserve"> גם שייך בזה תקנות השוק ואי</w:t>
      </w:r>
      <w:r>
        <w:rPr>
          <w:rFonts w:cs="Arial" w:hint="cs"/>
          <w:rtl/>
        </w:rPr>
        <w:t>נה יכולה</w:t>
      </w:r>
      <w:r w:rsidRPr="008F6E86">
        <w:rPr>
          <w:rFonts w:cs="Arial"/>
          <w:rtl/>
        </w:rPr>
        <w:t xml:space="preserve"> להוציא מן המלוה בלא מעות</w:t>
      </w:r>
      <w:r>
        <w:rPr>
          <w:rFonts w:cs="Arial" w:hint="cs"/>
          <w:rtl/>
        </w:rPr>
        <w:t>.</w:t>
      </w:r>
      <w:r w:rsidRPr="008F6E86">
        <w:rPr>
          <w:rFonts w:cs="Arial"/>
          <w:rtl/>
        </w:rPr>
        <w:t xml:space="preserve"> לכן עיקר כהפוסקי</w:t>
      </w:r>
      <w:r>
        <w:rPr>
          <w:rFonts w:cs="Arial" w:hint="cs"/>
          <w:rtl/>
        </w:rPr>
        <w:t>ם</w:t>
      </w:r>
      <w:r w:rsidRPr="008F6E86">
        <w:rPr>
          <w:rFonts w:cs="Arial"/>
          <w:rtl/>
        </w:rPr>
        <w:t xml:space="preserve"> הללו</w:t>
      </w:r>
      <w:r>
        <w:rPr>
          <w:rFonts w:cs="Arial" w:hint="cs"/>
          <w:rtl/>
        </w:rPr>
        <w:t>.</w:t>
      </w:r>
      <w:r w:rsidRPr="008F6E86">
        <w:rPr>
          <w:rFonts w:cs="Arial"/>
          <w:rtl/>
        </w:rPr>
        <w:t xml:space="preserve"> וכ"כ הסמ"ע </w:t>
      </w:r>
      <w:r>
        <w:rPr>
          <w:rFonts w:cs="Arial" w:hint="cs"/>
          <w:rtl/>
        </w:rPr>
        <w:t>(</w:t>
      </w:r>
      <w:r w:rsidRPr="008F6E86">
        <w:rPr>
          <w:rFonts w:cs="Arial"/>
          <w:rtl/>
        </w:rPr>
        <w:t>סי' עב סקי"ח</w:t>
      </w:r>
      <w:r>
        <w:rPr>
          <w:rFonts w:cs="Arial" w:hint="cs"/>
          <w:rtl/>
        </w:rPr>
        <w:t>).</w:t>
      </w:r>
      <w:r w:rsidRPr="008F6E86">
        <w:rPr>
          <w:rFonts w:cs="Arial"/>
          <w:rtl/>
        </w:rPr>
        <w:t xml:space="preserve"> ונשמע ממרדכי הנ"ל אפי' אם הבעל אינו בכאן ואינו טוען שעש</w:t>
      </w:r>
      <w:r>
        <w:rPr>
          <w:rFonts w:cs="Arial" w:hint="cs"/>
          <w:rtl/>
        </w:rPr>
        <w:t>ה</w:t>
      </w:r>
      <w:r w:rsidRPr="008F6E86">
        <w:rPr>
          <w:rFonts w:cs="Arial"/>
          <w:rtl/>
        </w:rPr>
        <w:t xml:space="preserve"> ברשות</w:t>
      </w:r>
      <w:r>
        <w:rPr>
          <w:rFonts w:cs="Arial" w:hint="cs"/>
          <w:rtl/>
        </w:rPr>
        <w:t>ה</w:t>
      </w:r>
      <w:r w:rsidRPr="008F6E86">
        <w:rPr>
          <w:rFonts w:cs="Arial"/>
          <w:rtl/>
        </w:rPr>
        <w:t xml:space="preserve"> אמרי</w:t>
      </w:r>
      <w:r>
        <w:rPr>
          <w:rFonts w:cs="Arial" w:hint="cs"/>
          <w:rtl/>
        </w:rPr>
        <w:t>נן</w:t>
      </w:r>
      <w:r w:rsidRPr="008F6E86">
        <w:rPr>
          <w:rFonts w:cs="Arial"/>
          <w:rtl/>
        </w:rPr>
        <w:t xml:space="preserve"> מסתמא עשה ברשו</w:t>
      </w:r>
      <w:r>
        <w:rPr>
          <w:rFonts w:cs="Arial" w:hint="cs"/>
          <w:rtl/>
        </w:rPr>
        <w:t>תה.</w:t>
      </w:r>
      <w:r w:rsidRPr="008F6E86">
        <w:rPr>
          <w:rFonts w:cs="Arial"/>
          <w:rtl/>
        </w:rPr>
        <w:t xml:space="preserve"> גם נ"מ למ"ש הרשב"א בתשובה הטעם משום ת</w:t>
      </w:r>
      <w:r>
        <w:rPr>
          <w:rFonts w:cs="Arial" w:hint="cs"/>
          <w:rtl/>
        </w:rPr>
        <w:t xml:space="preserve">קנת </w:t>
      </w:r>
      <w:r w:rsidRPr="008F6E86">
        <w:rPr>
          <w:rFonts w:cs="Arial"/>
          <w:rtl/>
        </w:rPr>
        <w:t>ה</w:t>
      </w:r>
      <w:r>
        <w:rPr>
          <w:rFonts w:cs="Arial" w:hint="cs"/>
          <w:rtl/>
        </w:rPr>
        <w:t>שוק,</w:t>
      </w:r>
      <w:r w:rsidRPr="008F6E86">
        <w:rPr>
          <w:rFonts w:cs="Arial"/>
          <w:rtl/>
        </w:rPr>
        <w:t xml:space="preserve"> א"כ כשמחזיר המעות המקח בטל ולדברי שאר פוסקים שהבאתי א"צ להחזיר הבגדים</w:t>
      </w:r>
      <w:r>
        <w:rPr>
          <w:rFonts w:cs="Arial" w:hint="cs"/>
          <w:rtl/>
        </w:rPr>
        <w:t>.</w:t>
      </w:r>
    </w:p>
  </w:footnote>
  <w:footnote w:id="2067">
    <w:p w14:paraId="6E59F6D7" w14:textId="77777777" w:rsidR="00DF1FC7" w:rsidRDefault="00DF1FC7" w:rsidP="002E5BAD">
      <w:pPr>
        <w:pStyle w:val="a5"/>
      </w:pPr>
      <w:r>
        <w:rPr>
          <w:rStyle w:val="a7"/>
        </w:rPr>
        <w:footnoteRef/>
      </w:r>
      <w:r>
        <w:rPr>
          <w:rtl/>
        </w:rPr>
        <w:t xml:space="preserve"> </w:t>
      </w:r>
      <w:r w:rsidRPr="00647311">
        <w:rPr>
          <w:rFonts w:cs="Arial"/>
          <w:rtl/>
        </w:rPr>
        <w:t>הל</w:t>
      </w:r>
      <w:r>
        <w:rPr>
          <w:rFonts w:cs="Arial" w:hint="cs"/>
          <w:rtl/>
        </w:rPr>
        <w:t>שון</w:t>
      </w:r>
      <w:r w:rsidRPr="00647311">
        <w:rPr>
          <w:rFonts w:cs="Arial"/>
          <w:rtl/>
        </w:rPr>
        <w:t xml:space="preserve"> מגומגם קצת</w:t>
      </w:r>
      <w:r>
        <w:rPr>
          <w:rFonts w:cs="Arial" w:hint="cs"/>
          <w:rtl/>
        </w:rPr>
        <w:t>,</w:t>
      </w:r>
      <w:r w:rsidRPr="00647311">
        <w:rPr>
          <w:rFonts w:cs="Arial"/>
          <w:rtl/>
        </w:rPr>
        <w:t xml:space="preserve"> דאין לאשה כח למחות בבעל</w:t>
      </w:r>
      <w:r>
        <w:rPr>
          <w:rFonts w:cs="Arial" w:hint="cs"/>
          <w:rtl/>
        </w:rPr>
        <w:t>ה</w:t>
      </w:r>
      <w:r w:rsidRPr="00647311">
        <w:rPr>
          <w:rFonts w:cs="Arial"/>
          <w:rtl/>
        </w:rPr>
        <w:t xml:space="preserve"> למכור נכסים שלו</w:t>
      </w:r>
      <w:r>
        <w:rPr>
          <w:rFonts w:cs="Arial" w:hint="cs"/>
          <w:rtl/>
        </w:rPr>
        <w:t>,</w:t>
      </w:r>
      <w:r w:rsidRPr="00647311">
        <w:rPr>
          <w:rFonts w:cs="Arial"/>
          <w:rtl/>
        </w:rPr>
        <w:t xml:space="preserve"> רק בהגיע זמן הגביה טורפ</w:t>
      </w:r>
      <w:r>
        <w:rPr>
          <w:rFonts w:cs="Arial" w:hint="cs"/>
          <w:rtl/>
        </w:rPr>
        <w:t>תן.</w:t>
      </w:r>
      <w:r w:rsidRPr="00647311">
        <w:rPr>
          <w:rFonts w:cs="Arial"/>
          <w:rtl/>
        </w:rPr>
        <w:t xml:space="preserve"> ואפשר לה למחות שלא למוכרן לכותי ולמי שלא תוכל לטרוף ממנו</w:t>
      </w:r>
      <w:r>
        <w:rPr>
          <w:rFonts w:cs="Arial" w:hint="cs"/>
          <w:rtl/>
        </w:rPr>
        <w:t>, ח"מ (סקמ"ז).</w:t>
      </w:r>
    </w:p>
  </w:footnote>
  <w:footnote w:id="2068">
    <w:p w14:paraId="0C5F8680" w14:textId="77777777" w:rsidR="00DF1FC7" w:rsidRDefault="00DF1FC7" w:rsidP="002E5BAD">
      <w:pPr>
        <w:pStyle w:val="a5"/>
        <w:rPr>
          <w:rFonts w:cs="Arial"/>
          <w:rtl/>
        </w:rPr>
      </w:pPr>
      <w:r>
        <w:rPr>
          <w:rStyle w:val="a7"/>
        </w:rPr>
        <w:footnoteRef/>
      </w:r>
      <w:r w:rsidRPr="007E0216">
        <w:rPr>
          <w:rFonts w:cs="Arial"/>
          <w:rtl/>
        </w:rPr>
        <w:t xml:space="preserve"> </w:t>
      </w:r>
      <w:r w:rsidRPr="006E106F">
        <w:rPr>
          <w:rFonts w:cs="Arial"/>
          <w:u w:val="single"/>
          <w:rtl/>
        </w:rPr>
        <w:t>ובעסק חזקות שנוהגין בכמה מקומו</w:t>
      </w:r>
      <w:r w:rsidRPr="006E106F">
        <w:rPr>
          <w:rFonts w:cs="Arial" w:hint="cs"/>
          <w:u w:val="single"/>
          <w:rtl/>
        </w:rPr>
        <w:t>ת</w:t>
      </w:r>
      <w:r w:rsidRPr="006E106F">
        <w:rPr>
          <w:rFonts w:cs="Arial"/>
          <w:u w:val="single"/>
          <w:rtl/>
        </w:rPr>
        <w:t xml:space="preserve"> במדינת ישמעאל שמי שדר בבית ישמעאל או בכיפה יש לו חזקה שאין אחר רשאי לשכור הבית מן הישמעאל בלי רשות</w:t>
      </w:r>
      <w:r w:rsidRPr="006E106F">
        <w:rPr>
          <w:rFonts w:cs="Arial" w:hint="cs"/>
          <w:u w:val="single"/>
          <w:rtl/>
        </w:rPr>
        <w:t>.</w:t>
      </w:r>
      <w:r w:rsidRPr="006E106F">
        <w:rPr>
          <w:rFonts w:cs="Arial"/>
          <w:u w:val="single"/>
          <w:rtl/>
        </w:rPr>
        <w:t xml:space="preserve"> ובכמה מקומו</w:t>
      </w:r>
      <w:r w:rsidRPr="006E106F">
        <w:rPr>
          <w:rFonts w:cs="Arial" w:hint="cs"/>
          <w:u w:val="single"/>
          <w:rtl/>
        </w:rPr>
        <w:t>ת</w:t>
      </w:r>
      <w:r w:rsidRPr="006E106F">
        <w:rPr>
          <w:rFonts w:cs="Arial"/>
          <w:u w:val="single"/>
          <w:rtl/>
        </w:rPr>
        <w:t xml:space="preserve"> הוא דרך קנין שקונין ומוכרין זכות חזקות אלו</w:t>
      </w:r>
      <w:r w:rsidRPr="006E106F">
        <w:rPr>
          <w:rFonts w:cs="Arial" w:hint="cs"/>
          <w:u w:val="single"/>
          <w:rtl/>
        </w:rPr>
        <w:t>.</w:t>
      </w:r>
      <w:r w:rsidRPr="006E106F">
        <w:rPr>
          <w:rFonts w:cs="Arial"/>
          <w:u w:val="single"/>
          <w:rtl/>
        </w:rPr>
        <w:t xml:space="preserve"> אם דינם כקרקע או כמטלטלי</w:t>
      </w:r>
      <w:r w:rsidRPr="00205EDE">
        <w:rPr>
          <w:rFonts w:cs="Arial"/>
          <w:rtl/>
        </w:rPr>
        <w:t>ן</w:t>
      </w:r>
      <w:r>
        <w:rPr>
          <w:rFonts w:cs="Arial" w:hint="cs"/>
          <w:rtl/>
        </w:rPr>
        <w:t>:</w:t>
      </w:r>
    </w:p>
    <w:p w14:paraId="47B7A1A9" w14:textId="77777777" w:rsidR="00DF1FC7" w:rsidRPr="006E106F" w:rsidRDefault="00DF1FC7" w:rsidP="00B75458">
      <w:pPr>
        <w:pStyle w:val="a5"/>
        <w:numPr>
          <w:ilvl w:val="0"/>
          <w:numId w:val="187"/>
        </w:numPr>
      </w:pPr>
      <w:r>
        <w:rPr>
          <w:rFonts w:cs="Arial" w:hint="cs"/>
          <w:rtl/>
        </w:rPr>
        <w:t xml:space="preserve">ב"ש </w:t>
      </w:r>
      <w:r>
        <w:rPr>
          <w:rFonts w:cs="Arial" w:hint="cs"/>
          <w:sz w:val="16"/>
          <w:szCs w:val="16"/>
          <w:rtl/>
        </w:rPr>
        <w:t>(סקנ"א)</w:t>
      </w:r>
      <w:r>
        <w:rPr>
          <w:rFonts w:cs="Arial" w:hint="cs"/>
          <w:rtl/>
        </w:rPr>
        <w:t xml:space="preserve">- </w:t>
      </w:r>
      <w:r w:rsidRPr="006E106F">
        <w:rPr>
          <w:rFonts w:cs="Arial"/>
          <w:rtl/>
        </w:rPr>
        <w:t>דין מטלטלין הוא</w:t>
      </w:r>
      <w:r>
        <w:rPr>
          <w:rFonts w:cs="Arial" w:hint="cs"/>
          <w:rtl/>
        </w:rPr>
        <w:t>,</w:t>
      </w:r>
      <w:r w:rsidRPr="006E106F">
        <w:rPr>
          <w:rFonts w:cs="Arial"/>
          <w:rtl/>
        </w:rPr>
        <w:t xml:space="preserve"> כ"כ בהג"ה דרישה וכ"כ בט"ז</w:t>
      </w:r>
      <w:r>
        <w:rPr>
          <w:rFonts w:cs="Arial" w:hint="cs"/>
          <w:rtl/>
        </w:rPr>
        <w:t>.</w:t>
      </w:r>
      <w:r w:rsidRPr="006E106F">
        <w:rPr>
          <w:rFonts w:cs="Arial"/>
          <w:rtl/>
        </w:rPr>
        <w:t xml:space="preserve"> ועיין תשובת בן לב ותשו' רש"ך </w:t>
      </w:r>
      <w:r>
        <w:rPr>
          <w:rFonts w:cs="Arial" w:hint="cs"/>
          <w:rtl/>
        </w:rPr>
        <w:t>(</w:t>
      </w:r>
      <w:r w:rsidRPr="006E106F">
        <w:rPr>
          <w:rFonts w:cs="Arial"/>
          <w:rtl/>
        </w:rPr>
        <w:t>ס"א סי' פד</w:t>
      </w:r>
      <w:r>
        <w:rPr>
          <w:rFonts w:cs="Arial" w:hint="cs"/>
          <w:rtl/>
        </w:rPr>
        <w:t>)</w:t>
      </w:r>
      <w:r w:rsidRPr="006E106F">
        <w:rPr>
          <w:rFonts w:cs="Arial"/>
          <w:rtl/>
        </w:rPr>
        <w:t xml:space="preserve"> ותשובת מהר"י לבית הלוי </w:t>
      </w:r>
      <w:r>
        <w:rPr>
          <w:rFonts w:cs="Arial" w:hint="cs"/>
          <w:rtl/>
        </w:rPr>
        <w:t>(</w:t>
      </w:r>
      <w:r w:rsidRPr="006E106F">
        <w:rPr>
          <w:rFonts w:cs="Arial"/>
          <w:rtl/>
        </w:rPr>
        <w:t>סי' נה</w:t>
      </w:r>
      <w:r>
        <w:rPr>
          <w:rFonts w:cs="Arial" w:hint="cs"/>
          <w:rtl/>
        </w:rPr>
        <w:t>).</w:t>
      </w:r>
      <w:r w:rsidRPr="006E106F">
        <w:rPr>
          <w:rFonts w:cs="Arial"/>
          <w:rtl/>
        </w:rPr>
        <w:t xml:space="preserve"> ושם כתב דחזקו</w:t>
      </w:r>
      <w:r>
        <w:rPr>
          <w:rFonts w:cs="Arial" w:hint="cs"/>
          <w:rtl/>
        </w:rPr>
        <w:t>ת</w:t>
      </w:r>
      <w:r w:rsidRPr="006E106F">
        <w:rPr>
          <w:rFonts w:cs="Arial"/>
          <w:rtl/>
        </w:rPr>
        <w:t xml:space="preserve"> יש להם דין קרקעו</w:t>
      </w:r>
      <w:r>
        <w:rPr>
          <w:rFonts w:cs="Arial" w:hint="cs"/>
          <w:rtl/>
        </w:rPr>
        <w:t>ת.</w:t>
      </w:r>
      <w:r w:rsidRPr="006E106F">
        <w:rPr>
          <w:rFonts w:cs="Arial"/>
          <w:rtl/>
        </w:rPr>
        <w:t xml:space="preserve"> אפשר דין אשה שאני</w:t>
      </w:r>
      <w:r>
        <w:rPr>
          <w:rFonts w:cs="Arial" w:hint="cs"/>
          <w:rtl/>
        </w:rPr>
        <w:t>.</w:t>
      </w:r>
      <w:r w:rsidRPr="006E106F">
        <w:rPr>
          <w:rFonts w:cs="Arial"/>
          <w:rtl/>
        </w:rPr>
        <w:t xml:space="preserve"> ועיין בח"ה שם כתב אם החזיק כ"כ שהכניס בה פועלים לבנות ולנטוע או שהכניס דיורין בנתיים חשיב הקרקע כגבוי לישראל</w:t>
      </w:r>
      <w:r>
        <w:rPr>
          <w:rFonts w:cs="Arial" w:hint="cs"/>
          <w:rtl/>
        </w:rPr>
        <w:t>.</w:t>
      </w:r>
    </w:p>
    <w:p w14:paraId="6AC19CF8" w14:textId="77777777" w:rsidR="00DF1FC7" w:rsidRDefault="00DF1FC7" w:rsidP="00B75458">
      <w:pPr>
        <w:pStyle w:val="a5"/>
        <w:numPr>
          <w:ilvl w:val="0"/>
          <w:numId w:val="187"/>
        </w:numPr>
      </w:pPr>
      <w:r w:rsidRPr="00205EDE">
        <w:rPr>
          <w:rFonts w:cs="Arial"/>
          <w:rtl/>
        </w:rPr>
        <w:t xml:space="preserve">ישועות יעקב </w:t>
      </w:r>
      <w:r w:rsidRPr="006E106F">
        <w:rPr>
          <w:rFonts w:cs="Arial" w:hint="cs"/>
          <w:sz w:val="16"/>
          <w:szCs w:val="16"/>
          <w:rtl/>
        </w:rPr>
        <w:t>(</w:t>
      </w:r>
      <w:r w:rsidRPr="006E106F">
        <w:rPr>
          <w:rFonts w:cs="Arial"/>
          <w:sz w:val="16"/>
          <w:szCs w:val="16"/>
          <w:rtl/>
        </w:rPr>
        <w:t>סקי"ט</w:t>
      </w:r>
      <w:r w:rsidRPr="006E106F">
        <w:rPr>
          <w:rFonts w:cs="Arial" w:hint="cs"/>
          <w:sz w:val="16"/>
          <w:szCs w:val="16"/>
          <w:rtl/>
        </w:rPr>
        <w:t>, הביאו הפת"ש [סקי"ג])</w:t>
      </w:r>
      <w:r>
        <w:rPr>
          <w:rFonts w:cs="Arial" w:hint="cs"/>
          <w:rtl/>
        </w:rPr>
        <w:t xml:space="preserve">- </w:t>
      </w:r>
      <w:r w:rsidRPr="00205EDE">
        <w:rPr>
          <w:rFonts w:cs="Arial"/>
          <w:rtl/>
        </w:rPr>
        <w:t>האריכו בזה האחרונים בתשובותיהם ובכמה דברים יש נ"מ בזה כגון לענין מצרנות ולענין שטח"ז שכתוב בו חוץ מספרים וקרקעו' והסכימו כולם שאין לנו הכרע' גמור' בזה ונכון למצוא פשר דבר אף שלא מרצון הצדדים</w:t>
      </w:r>
      <w:r>
        <w:rPr>
          <w:rFonts w:cs="Arial" w:hint="cs"/>
          <w:rtl/>
        </w:rPr>
        <w:t>.</w:t>
      </w:r>
    </w:p>
  </w:footnote>
  <w:footnote w:id="2069">
    <w:p w14:paraId="20AFC85D" w14:textId="77777777" w:rsidR="00DF1FC7" w:rsidRDefault="00DF1FC7" w:rsidP="002E5BAD">
      <w:pPr>
        <w:pStyle w:val="a5"/>
      </w:pPr>
      <w:r>
        <w:rPr>
          <w:rStyle w:val="a7"/>
        </w:rPr>
        <w:footnoteRef/>
      </w:r>
      <w:r>
        <w:rPr>
          <w:rtl/>
        </w:rPr>
        <w:t xml:space="preserve"> </w:t>
      </w:r>
      <w:r w:rsidRPr="00647311">
        <w:rPr>
          <w:rFonts w:cs="Arial"/>
          <w:rtl/>
        </w:rPr>
        <w:t>בת"ה סיים שם אם החזיק הישראל כל כך בקרקע הכותי שהכניס בה פועלים לבנות ולנטוע או שהכניס דיורין בבתים איזה זמן אף על פי שביד הכותי לפדות מ"מ חשיב הקרקע כגבוי לישראל כל זמן שלא פדאה הכותי וכח שעבוד כתוב' האש' עליו וראיה מהא דשומא הדרא לעולם וכו' ומהתימ' על הרב מוהרמ"א שהשמיט זה</w:t>
      </w:r>
      <w:r>
        <w:rPr>
          <w:rFonts w:cs="Arial" w:hint="cs"/>
          <w:rtl/>
        </w:rPr>
        <w:t>, ח"מ (סקמ"ח).</w:t>
      </w:r>
    </w:p>
  </w:footnote>
  <w:footnote w:id="2070">
    <w:p w14:paraId="12A64B57" w14:textId="77777777" w:rsidR="00DF1FC7" w:rsidRPr="00B816B4" w:rsidRDefault="00DF1FC7" w:rsidP="002E5BAD">
      <w:pPr>
        <w:pStyle w:val="a5"/>
        <w:rPr>
          <w:rtl/>
        </w:rPr>
      </w:pPr>
      <w:r w:rsidRPr="00B816B4">
        <w:rPr>
          <w:rStyle w:val="a7"/>
        </w:rPr>
        <w:footnoteRef/>
      </w:r>
      <w:r w:rsidRPr="00B816B4">
        <w:rPr>
          <w:rtl/>
        </w:rPr>
        <w:t xml:space="preserve"> </w:t>
      </w:r>
      <w:r w:rsidRPr="00B816B4">
        <w:rPr>
          <w:rFonts w:cs="Arial"/>
          <w:rtl/>
        </w:rPr>
        <w:t>אמדו חכמים דעתו של מקדיש שרצונו להקנות לאשתו ובניו כסותם, וכיון שגמר בדעתו באופן ברור להקנות, מועילה מחשבתו והרי זה קנוי להם אף שלא עשו מעשה קנין, ואין ההקדש חל עליהם</w:t>
      </w:r>
      <w:r w:rsidRPr="00B816B4">
        <w:rPr>
          <w:rFonts w:hint="cs"/>
          <w:rtl/>
        </w:rPr>
        <w:t xml:space="preserve"> (פירוש חברותא).</w:t>
      </w:r>
    </w:p>
  </w:footnote>
  <w:footnote w:id="2071">
    <w:p w14:paraId="10A4FAE3" w14:textId="77777777" w:rsidR="00DF1FC7" w:rsidRDefault="00DF1FC7" w:rsidP="002E5BAD">
      <w:pPr>
        <w:pStyle w:val="a5"/>
        <w:rPr>
          <w:rtl/>
        </w:rPr>
      </w:pPr>
      <w:r>
        <w:rPr>
          <w:rStyle w:val="a7"/>
        </w:rPr>
        <w:footnoteRef/>
      </w:r>
      <w:r>
        <w:rPr>
          <w:rtl/>
        </w:rPr>
        <w:t xml:space="preserve"> </w:t>
      </w:r>
      <w:r>
        <w:rPr>
          <w:rFonts w:cs="Arial" w:hint="cs"/>
          <w:rtl/>
        </w:rPr>
        <w:t>ו</w:t>
      </w:r>
      <w:r w:rsidRPr="008B78CF">
        <w:rPr>
          <w:rFonts w:cs="Arial"/>
          <w:rtl/>
        </w:rPr>
        <w:t>כן הוא במרדכי פרק מציאת האשה (שם) דאין חילוק בזה בין בגדי שבת וי"ט לבגדי חול</w:t>
      </w:r>
      <w:r>
        <w:rPr>
          <w:rFonts w:cs="Arial" w:hint="cs"/>
          <w:rtl/>
        </w:rPr>
        <w:t>, דרכ"מ (אות טו).</w:t>
      </w:r>
      <w:r w:rsidRPr="008B78CF">
        <w:rPr>
          <w:rFonts w:cs="Arial"/>
          <w:rtl/>
        </w:rPr>
        <w:t xml:space="preserve"> </w:t>
      </w:r>
    </w:p>
  </w:footnote>
  <w:footnote w:id="2072">
    <w:p w14:paraId="2439855F" w14:textId="77777777" w:rsidR="00DF1FC7" w:rsidRDefault="00DF1FC7" w:rsidP="002E5BAD">
      <w:pPr>
        <w:pStyle w:val="a5"/>
        <w:rPr>
          <w:rtl/>
        </w:rPr>
      </w:pPr>
      <w:r>
        <w:rPr>
          <w:rStyle w:val="a7"/>
        </w:rPr>
        <w:footnoteRef/>
      </w:r>
      <w:r>
        <w:rPr>
          <w:rtl/>
        </w:rPr>
        <w:t xml:space="preserve"> </w:t>
      </w:r>
      <w:r w:rsidRPr="008B78CF">
        <w:rPr>
          <w:rFonts w:cs="Arial"/>
          <w:rtl/>
        </w:rPr>
        <w:t>לא משמע כן מדברי הטור</w:t>
      </w:r>
      <w:r>
        <w:rPr>
          <w:rFonts w:cs="Arial" w:hint="cs"/>
          <w:rtl/>
        </w:rPr>
        <w:t>, דרכ"מ (אות טו).</w:t>
      </w:r>
      <w:r w:rsidRPr="00DE4AED">
        <w:rPr>
          <w:rtl/>
        </w:rPr>
        <w:t xml:space="preserve"> </w:t>
      </w:r>
      <w:r>
        <w:rPr>
          <w:rFonts w:cs="Arial" w:hint="cs"/>
          <w:rtl/>
        </w:rPr>
        <w:t>אך הב"ש (סקנ"ג) כתב ד</w:t>
      </w:r>
      <w:r w:rsidRPr="00DE4AED">
        <w:rPr>
          <w:rFonts w:cs="Arial"/>
          <w:rtl/>
        </w:rPr>
        <w:t xml:space="preserve">הא דכתב הרא"ש </w:t>
      </w:r>
      <w:r>
        <w:rPr>
          <w:rFonts w:cs="Arial" w:hint="cs"/>
          <w:rtl/>
        </w:rPr>
        <w:t>(</w:t>
      </w:r>
      <w:r w:rsidRPr="00DE4AED">
        <w:rPr>
          <w:rFonts w:cs="Arial"/>
          <w:rtl/>
        </w:rPr>
        <w:t>פ' אלמנה לכ"ג</w:t>
      </w:r>
      <w:r>
        <w:rPr>
          <w:rFonts w:cs="Arial" w:hint="cs"/>
          <w:rtl/>
        </w:rPr>
        <w:t>)</w:t>
      </w:r>
      <w:r w:rsidRPr="00DE4AED">
        <w:rPr>
          <w:rFonts w:cs="Arial"/>
          <w:rtl/>
        </w:rPr>
        <w:t xml:space="preserve"> והטור דא</w:t>
      </w:r>
      <w:r>
        <w:rPr>
          <w:rFonts w:cs="Arial" w:hint="cs"/>
          <w:rtl/>
        </w:rPr>
        <w:t>ינו יכול</w:t>
      </w:r>
      <w:r w:rsidRPr="00DE4AED">
        <w:rPr>
          <w:rFonts w:cs="Arial"/>
          <w:rtl/>
        </w:rPr>
        <w:t xml:space="preserve"> למכור כלי זהב</w:t>
      </w:r>
      <w:r>
        <w:rPr>
          <w:rFonts w:cs="Arial" w:hint="cs"/>
          <w:rtl/>
        </w:rPr>
        <w:t xml:space="preserve"> -</w:t>
      </w:r>
      <w:r w:rsidRPr="00DE4AED">
        <w:rPr>
          <w:rFonts w:cs="Arial"/>
          <w:rtl/>
        </w:rPr>
        <w:t xml:space="preserve"> שם איירי שהיא הכניסה</w:t>
      </w:r>
      <w:r>
        <w:rPr>
          <w:rFonts w:cs="Arial" w:hint="cs"/>
          <w:rtl/>
        </w:rPr>
        <w:t>,</w:t>
      </w:r>
      <w:r w:rsidRPr="00DE4AED">
        <w:rPr>
          <w:rFonts w:cs="Arial"/>
          <w:rtl/>
        </w:rPr>
        <w:t xml:space="preserve"> ולא כד</w:t>
      </w:r>
      <w:r>
        <w:rPr>
          <w:rFonts w:cs="Arial" w:hint="cs"/>
          <w:rtl/>
        </w:rPr>
        <w:t>רכ</w:t>
      </w:r>
      <w:r w:rsidRPr="00DE4AED">
        <w:rPr>
          <w:rFonts w:cs="Arial"/>
          <w:rtl/>
        </w:rPr>
        <w:t>"מ שכתב דהם חולקים על מהרי"ק</w:t>
      </w:r>
      <w:r>
        <w:rPr>
          <w:rFonts w:cs="Arial" w:hint="cs"/>
          <w:rtl/>
        </w:rPr>
        <w:t>.</w:t>
      </w:r>
    </w:p>
  </w:footnote>
  <w:footnote w:id="2073">
    <w:p w14:paraId="4DBE5C1C" w14:textId="77777777" w:rsidR="00DF1FC7" w:rsidRDefault="00DF1FC7" w:rsidP="002E5BAD">
      <w:pPr>
        <w:pStyle w:val="a5"/>
        <w:rPr>
          <w:rtl/>
        </w:rPr>
      </w:pPr>
      <w:r>
        <w:rPr>
          <w:rStyle w:val="a7"/>
        </w:rPr>
        <w:footnoteRef/>
      </w:r>
      <w:r>
        <w:rPr>
          <w:rtl/>
        </w:rPr>
        <w:t xml:space="preserve"> </w:t>
      </w:r>
      <w:r w:rsidRPr="008B78CF">
        <w:rPr>
          <w:rFonts w:cs="Arial"/>
          <w:rtl/>
        </w:rPr>
        <w:t>ולא משמע כן בתשו</w:t>
      </w:r>
      <w:r>
        <w:rPr>
          <w:rFonts w:cs="Arial" w:hint="cs"/>
          <w:rtl/>
        </w:rPr>
        <w:t>'</w:t>
      </w:r>
      <w:r w:rsidRPr="008B78CF">
        <w:rPr>
          <w:rFonts w:cs="Arial"/>
          <w:rtl/>
        </w:rPr>
        <w:t xml:space="preserve"> הרשב"א שכתבתי לעיל</w:t>
      </w:r>
      <w:r>
        <w:rPr>
          <w:rFonts w:cs="Arial" w:hint="cs"/>
          <w:rtl/>
        </w:rPr>
        <w:t>.</w:t>
      </w:r>
      <w:r w:rsidRPr="008B78CF">
        <w:rPr>
          <w:rFonts w:cs="Arial"/>
          <w:rtl/>
        </w:rPr>
        <w:t xml:space="preserve"> מיהו אפשר דהרשב"א מיירי כשרוצה למכרן שלא לצורך פרנסה</w:t>
      </w:r>
      <w:r>
        <w:rPr>
          <w:rFonts w:cs="Arial" w:hint="cs"/>
          <w:rtl/>
        </w:rPr>
        <w:t>, דרכ"מ (אות טו).</w:t>
      </w:r>
    </w:p>
  </w:footnote>
  <w:footnote w:id="2074">
    <w:p w14:paraId="1AE08CC5" w14:textId="77777777" w:rsidR="00DF1FC7" w:rsidRDefault="00DF1FC7" w:rsidP="002E5BAD">
      <w:pPr>
        <w:pStyle w:val="a5"/>
      </w:pPr>
      <w:r>
        <w:rPr>
          <w:rStyle w:val="a7"/>
        </w:rPr>
        <w:footnoteRef/>
      </w:r>
      <w:r>
        <w:rPr>
          <w:rtl/>
        </w:rPr>
        <w:t xml:space="preserve"> </w:t>
      </w:r>
      <w:r w:rsidRPr="00E56144">
        <w:rPr>
          <w:rFonts w:cs="Arial"/>
          <w:rtl/>
        </w:rPr>
        <w:t>וקשה דהא מה שנתן לה הם נ"מ</w:t>
      </w:r>
      <w:r>
        <w:rPr>
          <w:rFonts w:cs="Arial" w:hint="cs"/>
          <w:rtl/>
        </w:rPr>
        <w:t>... ו</w:t>
      </w:r>
      <w:r w:rsidRPr="00E56144">
        <w:rPr>
          <w:rFonts w:cs="Arial"/>
          <w:rtl/>
        </w:rPr>
        <w:t>הרב כתב לפני זה דנ"מ לכ</w:t>
      </w:r>
      <w:r>
        <w:rPr>
          <w:rFonts w:cs="Arial" w:hint="cs"/>
          <w:rtl/>
        </w:rPr>
        <w:t>ו</w:t>
      </w:r>
      <w:r w:rsidRPr="00E56144">
        <w:rPr>
          <w:rFonts w:cs="Arial"/>
          <w:rtl/>
        </w:rPr>
        <w:t>"ע אם מכרן או משכנן בטל</w:t>
      </w:r>
      <w:r>
        <w:rPr>
          <w:rFonts w:cs="Arial" w:hint="cs"/>
          <w:rtl/>
        </w:rPr>
        <w:t>.</w:t>
      </w:r>
      <w:r w:rsidRPr="00E56144">
        <w:rPr>
          <w:rFonts w:cs="Arial"/>
          <w:rtl/>
        </w:rPr>
        <w:t xml:space="preserve"> ע"כ נראה לפרש שלא נתן לה במתנה גמורה מיד רק שהכניס לה שום משלו ליחד לה כנגד התוס</w:t>
      </w:r>
      <w:r>
        <w:rPr>
          <w:rFonts w:cs="Arial" w:hint="cs"/>
          <w:rtl/>
        </w:rPr>
        <w:t>פת</w:t>
      </w:r>
      <w:r w:rsidRPr="00E56144">
        <w:rPr>
          <w:rFonts w:cs="Arial"/>
          <w:rtl/>
        </w:rPr>
        <w:t xml:space="preserve"> שהוסיף לה</w:t>
      </w:r>
      <w:r>
        <w:rPr>
          <w:rFonts w:cs="Arial" w:hint="cs"/>
          <w:rtl/>
        </w:rPr>
        <w:t>..., ח"מ (סקמ"ט).</w:t>
      </w:r>
      <w:r>
        <w:rPr>
          <w:rFonts w:hint="cs"/>
          <w:rtl/>
        </w:rPr>
        <w:t xml:space="preserve"> ועיין בדברי הב"ש (סקנ"ב) והש"ך (חו"מ סי' עב סקכ"ד)</w:t>
      </w:r>
      <w:r>
        <w:rPr>
          <w:rFonts w:cs="Arial" w:hint="cs"/>
          <w:rtl/>
        </w:rPr>
        <w:t>.</w:t>
      </w:r>
    </w:p>
  </w:footnote>
  <w:footnote w:id="2075">
    <w:p w14:paraId="338518F1" w14:textId="77777777" w:rsidR="00DF1FC7" w:rsidRDefault="00DF1FC7" w:rsidP="002E5BAD">
      <w:pPr>
        <w:pStyle w:val="a5"/>
      </w:pPr>
      <w:r>
        <w:rPr>
          <w:rStyle w:val="a7"/>
        </w:rPr>
        <w:footnoteRef/>
      </w:r>
      <w:r>
        <w:rPr>
          <w:rtl/>
        </w:rPr>
        <w:t xml:space="preserve"> </w:t>
      </w:r>
      <w:r w:rsidRPr="00A36C47">
        <w:rPr>
          <w:rFonts w:cs="Arial"/>
          <w:rtl/>
        </w:rPr>
        <w:t>נראה אף שכתב וה"ה אין דין מטלטלין שקנה לה שוה לדין נצ"ב דהא המקדיש את נכסיו אין לו בכסות אשתו ובניו ואם ההקדש אין חל ודאי דאין המכר חל דאין יכול למכור דבר שאינו שלו</w:t>
      </w:r>
      <w:r>
        <w:rPr>
          <w:rFonts w:cs="Arial" w:hint="cs"/>
          <w:rtl/>
        </w:rPr>
        <w:t>, ח"מ (סק"נ).</w:t>
      </w:r>
    </w:p>
  </w:footnote>
  <w:footnote w:id="2076">
    <w:p w14:paraId="141A91F2" w14:textId="77777777" w:rsidR="00DF1FC7" w:rsidRDefault="00DF1FC7" w:rsidP="002E5BAD">
      <w:pPr>
        <w:pStyle w:val="a5"/>
      </w:pPr>
      <w:r>
        <w:rPr>
          <w:rStyle w:val="a7"/>
        </w:rPr>
        <w:footnoteRef/>
      </w:r>
      <w:r>
        <w:rPr>
          <w:rtl/>
        </w:rPr>
        <w:t xml:space="preserve"> </w:t>
      </w:r>
      <w:r w:rsidRPr="00A36C47">
        <w:rPr>
          <w:rFonts w:cs="Arial"/>
          <w:rtl/>
        </w:rPr>
        <w:t>כתב כאן ע"פ דעת מהר"ם שהביא מהרי"ק בשורש י' שאין לחלק בין בגדי שבת לחול רק באחים שחלקו ולא בב"ח ובעל אבל הרמב"ם פ"א ממלוה כ' דבגדי שבת וי"ט גובה אותן ב"ח וכן סתם המחבר בח"מ בש"ע סי' צ"ז סעיף כ"ו ואין לחלק דכאן לכתחלה קאמר דאין יכול למכור אפי' בגדי שבת דזה אינו דאין לך ב"ח גדול מאם אין לו מה יאכל ולמה לא ימכור בשעת דוחקו וע' לקמן סי' צ"ט</w:t>
      </w:r>
      <w:r>
        <w:rPr>
          <w:rFonts w:cs="Arial" w:hint="cs"/>
          <w:rtl/>
        </w:rPr>
        <w:t>, ח"מ (סקנ"א).</w:t>
      </w:r>
    </w:p>
  </w:footnote>
  <w:footnote w:id="2077">
    <w:p w14:paraId="5A5DB3D3" w14:textId="77777777" w:rsidR="00DF1FC7" w:rsidRDefault="00DF1FC7" w:rsidP="002E5BAD">
      <w:pPr>
        <w:pStyle w:val="a5"/>
        <w:rPr>
          <w:rtl/>
        </w:rPr>
      </w:pPr>
      <w:r>
        <w:rPr>
          <w:rStyle w:val="a7"/>
        </w:rPr>
        <w:footnoteRef/>
      </w:r>
      <w:r>
        <w:rPr>
          <w:rtl/>
        </w:rPr>
        <w:t xml:space="preserve"> </w:t>
      </w:r>
      <w:r w:rsidRPr="00360641">
        <w:rPr>
          <w:rFonts w:cs="Arial"/>
          <w:rtl/>
        </w:rPr>
        <w:t>היינו בנתנו לה סתם ולא פירשו ע"מ שלא יהיה לבעל רשות בה באופן המועיל ע"פ הדין וכמו שנתבאר לעיל סי' פ"ה סעיף י"א</w:t>
      </w:r>
      <w:r>
        <w:rPr>
          <w:rFonts w:hint="cs"/>
          <w:rtl/>
        </w:rPr>
        <w:t>, ח"מ (סקנ"ב).</w:t>
      </w:r>
    </w:p>
  </w:footnote>
  <w:footnote w:id="2078">
    <w:p w14:paraId="57C8875C" w14:textId="77777777" w:rsidR="00DF1FC7" w:rsidRDefault="00DF1FC7" w:rsidP="002E5BAD">
      <w:pPr>
        <w:pStyle w:val="a5"/>
        <w:rPr>
          <w:rtl/>
        </w:rPr>
      </w:pPr>
      <w:r>
        <w:rPr>
          <w:rStyle w:val="a7"/>
        </w:rPr>
        <w:footnoteRef/>
      </w:r>
      <w:r>
        <w:rPr>
          <w:rtl/>
        </w:rPr>
        <w:t xml:space="preserve"> </w:t>
      </w:r>
      <w:r w:rsidRPr="00360641">
        <w:rPr>
          <w:rFonts w:cs="Arial"/>
          <w:rtl/>
        </w:rPr>
        <w:t>זה לשון מהרי"ק בשורש י' הכא שאחרים נתנו לה ולא מצינו שנתרצה הבעל מעולם שיהיו שלה ללבוש ולהתקשט ודאי יכול הבעל לטעון ולומר איני חפץ שהיא תתקשט ביותר מהצריך לה והוא ימות ברעב או יחזיר על הפתחים וכו' ע"כ צריכים למכור המלבושים והתכשיטים אותם שאינם צריכה וינתנו המעות בריוח והוא יאכל הריוח מאותן המלבושים עכ"ל, וכן צריך לפרש כאן דברי המחבר אף על פי שסתם דבריו דיכול למוכרם דמשמע לגמרי לפרנס עצמו מן הקרן וזה אינו</w:t>
      </w:r>
      <w:r>
        <w:rPr>
          <w:rFonts w:hint="cs"/>
          <w:rtl/>
        </w:rPr>
        <w:t>, ח"מ (סקנ"ג).</w:t>
      </w:r>
    </w:p>
  </w:footnote>
  <w:footnote w:id="2079">
    <w:p w14:paraId="42FDA8DE" w14:textId="77777777" w:rsidR="00DF1FC7" w:rsidRDefault="00DF1FC7" w:rsidP="002E5BAD">
      <w:pPr>
        <w:pStyle w:val="a5"/>
        <w:rPr>
          <w:rtl/>
        </w:rPr>
      </w:pPr>
      <w:r>
        <w:rPr>
          <w:rStyle w:val="a7"/>
        </w:rPr>
        <w:footnoteRef/>
      </w:r>
      <w:r>
        <w:rPr>
          <w:rFonts w:hint="cs"/>
          <w:rtl/>
        </w:rPr>
        <w:t xml:space="preserve"> </w:t>
      </w:r>
      <w:r>
        <w:rPr>
          <w:rFonts w:cs="Arial"/>
          <w:rtl/>
        </w:rPr>
        <w:t>ראיית עדים או שטר תועיל לו לקיים מכירתה דאם מכרה לו אשתו נכסי מלוג שלה קנה</w:t>
      </w:r>
      <w:r>
        <w:rPr>
          <w:rFonts w:hint="cs"/>
          <w:rtl/>
        </w:rPr>
        <w:t>, רשב"ם.</w:t>
      </w:r>
    </w:p>
  </w:footnote>
  <w:footnote w:id="2080">
    <w:p w14:paraId="18441B53" w14:textId="77777777" w:rsidR="00DF1FC7" w:rsidRDefault="00DF1FC7" w:rsidP="002E5BAD">
      <w:pPr>
        <w:pStyle w:val="a5"/>
        <w:rPr>
          <w:rtl/>
        </w:rPr>
      </w:pPr>
      <w:r>
        <w:rPr>
          <w:rStyle w:val="a7"/>
        </w:rPr>
        <w:footnoteRef/>
      </w:r>
      <w:r>
        <w:rPr>
          <w:rFonts w:hint="cs"/>
          <w:rtl/>
        </w:rPr>
        <w:t xml:space="preserve"> </w:t>
      </w:r>
      <w:r>
        <w:rPr>
          <w:rFonts w:cs="Arial"/>
          <w:rtl/>
        </w:rPr>
        <w:t>שמכרתי לו שלא יכעוס עלי אבל לא היה בדעתי להקנותו</w:t>
      </w:r>
      <w:r>
        <w:rPr>
          <w:rFonts w:hint="cs"/>
          <w:rtl/>
        </w:rPr>
        <w:t>, רשב"ם.</w:t>
      </w:r>
    </w:p>
  </w:footnote>
  <w:footnote w:id="2081">
    <w:p w14:paraId="07D90E5B" w14:textId="77777777" w:rsidR="00DF1FC7" w:rsidRDefault="00DF1FC7" w:rsidP="002E5BAD">
      <w:pPr>
        <w:pStyle w:val="a5"/>
        <w:rPr>
          <w:rtl/>
        </w:rPr>
      </w:pPr>
      <w:r>
        <w:rPr>
          <w:rStyle w:val="a7"/>
        </w:rPr>
        <w:footnoteRef/>
      </w:r>
      <w:r>
        <w:rPr>
          <w:rFonts w:hint="cs"/>
          <w:rtl/>
        </w:rPr>
        <w:t xml:space="preserve"> </w:t>
      </w:r>
      <w:r>
        <w:rPr>
          <w:rFonts w:cs="Arial"/>
          <w:rtl/>
        </w:rPr>
        <w:t>דכי הך טענה יכולה אשה שתטעון לאחרים שקנו מבעלה וכל שכן שמכרה לבעל עצמו</w:t>
      </w:r>
      <w:r>
        <w:rPr>
          <w:rFonts w:hint="cs"/>
          <w:rtl/>
        </w:rPr>
        <w:t>, רשב"ם.</w:t>
      </w:r>
    </w:p>
  </w:footnote>
  <w:footnote w:id="2082">
    <w:p w14:paraId="2D086C50" w14:textId="77777777" w:rsidR="00DF1FC7" w:rsidRDefault="00DF1FC7" w:rsidP="002E5BAD">
      <w:pPr>
        <w:pStyle w:val="a5"/>
        <w:rPr>
          <w:rtl/>
        </w:rPr>
      </w:pPr>
      <w:r>
        <w:rPr>
          <w:rStyle w:val="a7"/>
        </w:rPr>
        <w:footnoteRef/>
      </w:r>
      <w:r>
        <w:rPr>
          <w:rFonts w:hint="cs"/>
          <w:rtl/>
        </w:rPr>
        <w:t xml:space="preserve"> </w:t>
      </w:r>
      <w:r>
        <w:rPr>
          <w:rFonts w:cs="Arial"/>
          <w:rtl/>
        </w:rPr>
        <w:t>מן הבעל כל קרקעותיו משועבדים לכתובת אשתו והיום או למחר אם ימות או יגרשנה תטרוף מלקוחות אם לא תמצא בני חורין</w:t>
      </w:r>
      <w:r>
        <w:rPr>
          <w:rFonts w:hint="cs"/>
          <w:rtl/>
        </w:rPr>
        <w:t>, רשב"ם.</w:t>
      </w:r>
    </w:p>
  </w:footnote>
  <w:footnote w:id="2083">
    <w:p w14:paraId="372FF5D5" w14:textId="77777777" w:rsidR="00DF1FC7" w:rsidRDefault="00DF1FC7" w:rsidP="002E5BAD">
      <w:pPr>
        <w:pStyle w:val="a5"/>
        <w:rPr>
          <w:rtl/>
        </w:rPr>
      </w:pPr>
      <w:r>
        <w:rPr>
          <w:rStyle w:val="a7"/>
        </w:rPr>
        <w:footnoteRef/>
      </w:r>
      <w:r>
        <w:rPr>
          <w:rFonts w:hint="cs"/>
          <w:rtl/>
        </w:rPr>
        <w:t xml:space="preserve"> </w:t>
      </w:r>
      <w:r>
        <w:rPr>
          <w:rFonts w:cs="Arial"/>
          <w:rtl/>
        </w:rPr>
        <w:t>זה הלוקח</w:t>
      </w:r>
      <w:r>
        <w:rPr>
          <w:rFonts w:hint="cs"/>
          <w:rtl/>
        </w:rPr>
        <w:t>, רשב"ם.</w:t>
      </w:r>
    </w:p>
  </w:footnote>
  <w:footnote w:id="2084">
    <w:p w14:paraId="45F6ABC5" w14:textId="77777777" w:rsidR="00DF1FC7" w:rsidRDefault="00DF1FC7" w:rsidP="002E5BAD">
      <w:pPr>
        <w:pStyle w:val="a5"/>
        <w:rPr>
          <w:rtl/>
        </w:rPr>
      </w:pPr>
      <w:r>
        <w:rPr>
          <w:rStyle w:val="a7"/>
        </w:rPr>
        <w:footnoteRef/>
      </w:r>
      <w:r>
        <w:rPr>
          <w:rFonts w:hint="cs"/>
          <w:rtl/>
        </w:rPr>
        <w:t xml:space="preserve"> </w:t>
      </w:r>
      <w:r>
        <w:rPr>
          <w:rFonts w:cs="Arial"/>
          <w:rtl/>
        </w:rPr>
        <w:t>נתן לה דבר מועט והקנתו לו כדי שלא תטרוף ממנו חוב כתובתה</w:t>
      </w:r>
      <w:r>
        <w:rPr>
          <w:rFonts w:hint="cs"/>
          <w:rtl/>
        </w:rPr>
        <w:t>, רשב"ם.</w:t>
      </w:r>
    </w:p>
  </w:footnote>
  <w:footnote w:id="2085">
    <w:p w14:paraId="232871AB" w14:textId="77777777" w:rsidR="00DF1FC7" w:rsidRDefault="00DF1FC7" w:rsidP="002E5BAD">
      <w:pPr>
        <w:pStyle w:val="a5"/>
        <w:rPr>
          <w:rtl/>
        </w:rPr>
      </w:pPr>
      <w:r>
        <w:rPr>
          <w:rStyle w:val="a7"/>
        </w:rPr>
        <w:footnoteRef/>
      </w:r>
      <w:r>
        <w:rPr>
          <w:rFonts w:hint="cs"/>
          <w:rtl/>
        </w:rPr>
        <w:t xml:space="preserve"> </w:t>
      </w:r>
      <w:r>
        <w:rPr>
          <w:rFonts w:cs="Arial"/>
          <w:rtl/>
        </w:rPr>
        <w:t>לא בטל ממש שכל זמן שיחיה הבעל יאכל זה הלוקח פירות אלא האי מקחו בטל אחזר ולקח מן האשה קאי דהוי בטל לגמרי ההוא מקח וכשתבוא לגבות כתובתה תטרוף ממנו</w:t>
      </w:r>
      <w:r>
        <w:rPr>
          <w:rFonts w:hint="cs"/>
          <w:rtl/>
        </w:rPr>
        <w:t>, רשב"ם.</w:t>
      </w:r>
    </w:p>
  </w:footnote>
  <w:footnote w:id="2086">
    <w:p w14:paraId="619D8370" w14:textId="77777777" w:rsidR="00DF1FC7" w:rsidRDefault="00DF1FC7" w:rsidP="002E5BAD">
      <w:pPr>
        <w:pStyle w:val="a5"/>
        <w:rPr>
          <w:rtl/>
        </w:rPr>
      </w:pPr>
      <w:r>
        <w:rPr>
          <w:rStyle w:val="a7"/>
        </w:rPr>
        <w:footnoteRef/>
      </w:r>
      <w:r>
        <w:rPr>
          <w:rFonts w:hint="cs"/>
          <w:rtl/>
        </w:rPr>
        <w:t xml:space="preserve"> </w:t>
      </w:r>
      <w:r>
        <w:rPr>
          <w:rFonts w:cs="Arial"/>
          <w:rtl/>
        </w:rPr>
        <w:t>למיתני מקחו בטל היכא דחזר ולקח מן האשה אלא באותן ג' שדות המשועבדות לה יותר משאר נכסים ודעתה סמכה עלייהו טפי דודאי לא גמרה ואקנייה אלא נחת רוח עשתה לבעלה</w:t>
      </w:r>
      <w:r>
        <w:rPr>
          <w:rFonts w:hint="cs"/>
          <w:rtl/>
        </w:rPr>
        <w:t>, רשב"ם.</w:t>
      </w:r>
    </w:p>
  </w:footnote>
  <w:footnote w:id="2087">
    <w:p w14:paraId="72C8431D" w14:textId="77777777" w:rsidR="00DF1FC7" w:rsidRDefault="00DF1FC7" w:rsidP="002E5BAD">
      <w:pPr>
        <w:pStyle w:val="a5"/>
        <w:rPr>
          <w:rtl/>
        </w:rPr>
      </w:pPr>
      <w:r>
        <w:rPr>
          <w:rStyle w:val="a7"/>
        </w:rPr>
        <w:footnoteRef/>
      </w:r>
      <w:r>
        <w:rPr>
          <w:rFonts w:hint="cs"/>
          <w:rtl/>
        </w:rPr>
        <w:t xml:space="preserve"> </w:t>
      </w:r>
      <w:r>
        <w:rPr>
          <w:rFonts w:cs="Arial"/>
          <w:rtl/>
        </w:rPr>
        <w:t>כלומר א' מהג' שדות הוא שדה ששיעבד לה בפירוש והזכירו בשטר הכתובה וסמכה דעתה עליה טפי משאר נכסים</w:t>
      </w:r>
      <w:r>
        <w:rPr>
          <w:rFonts w:hint="cs"/>
          <w:rtl/>
        </w:rPr>
        <w:t>, רשב"ם.</w:t>
      </w:r>
    </w:p>
  </w:footnote>
  <w:footnote w:id="2088">
    <w:p w14:paraId="07C3B12A" w14:textId="77777777" w:rsidR="00DF1FC7" w:rsidRDefault="00DF1FC7" w:rsidP="002E5BAD">
      <w:pPr>
        <w:pStyle w:val="a5"/>
        <w:rPr>
          <w:rtl/>
        </w:rPr>
      </w:pPr>
      <w:r>
        <w:rPr>
          <w:rStyle w:val="a7"/>
        </w:rPr>
        <w:footnoteRef/>
      </w:r>
      <w:r>
        <w:rPr>
          <w:rFonts w:hint="cs"/>
          <w:rtl/>
        </w:rPr>
        <w:t xml:space="preserve"> </w:t>
      </w:r>
      <w:r>
        <w:rPr>
          <w:rFonts w:cs="Arial"/>
          <w:rtl/>
        </w:rPr>
        <w:t>לא נכתב בתוך השטר אלא לאחר הנישואין ייחד לה א' משדותיו ועשאו אפותיקי לגבות ממנו כתובתה</w:t>
      </w:r>
      <w:r>
        <w:rPr>
          <w:rFonts w:hint="cs"/>
          <w:rtl/>
        </w:rPr>
        <w:t>, רשב"ם.</w:t>
      </w:r>
    </w:p>
  </w:footnote>
  <w:footnote w:id="2089">
    <w:p w14:paraId="79705505" w14:textId="77777777" w:rsidR="00DF1FC7" w:rsidRDefault="00DF1FC7" w:rsidP="002E5BAD">
      <w:pPr>
        <w:pStyle w:val="a5"/>
        <w:rPr>
          <w:rtl/>
        </w:rPr>
      </w:pPr>
      <w:r>
        <w:rPr>
          <w:rStyle w:val="a7"/>
        </w:rPr>
        <w:footnoteRef/>
      </w:r>
      <w:r>
        <w:rPr>
          <w:rFonts w:hint="cs"/>
          <w:rtl/>
        </w:rPr>
        <w:t xml:space="preserve">  </w:t>
      </w:r>
      <w:r>
        <w:rPr>
          <w:rFonts w:cs="Arial"/>
          <w:rtl/>
        </w:rPr>
        <w:t>שדה שהכניסה לו מבית אביה ושמו אותו וכתבו שוויו בשטר הכתובה והם נכסי צאן ברזל</w:t>
      </w:r>
      <w:r>
        <w:rPr>
          <w:rFonts w:hint="cs"/>
          <w:rtl/>
        </w:rPr>
        <w:t>, רשב"ם.</w:t>
      </w:r>
    </w:p>
  </w:footnote>
  <w:footnote w:id="2090">
    <w:p w14:paraId="657AACEE" w14:textId="77777777" w:rsidR="00DF1FC7" w:rsidRDefault="00DF1FC7" w:rsidP="002E5BAD">
      <w:pPr>
        <w:pStyle w:val="a5"/>
        <w:rPr>
          <w:rtl/>
        </w:rPr>
      </w:pPr>
      <w:r>
        <w:rPr>
          <w:rStyle w:val="a7"/>
        </w:rPr>
        <w:footnoteRef/>
      </w:r>
      <w:r>
        <w:rPr>
          <w:rFonts w:hint="cs"/>
          <w:rtl/>
        </w:rPr>
        <w:t xml:space="preserve">  </w:t>
      </w:r>
      <w:r>
        <w:rPr>
          <w:rFonts w:cs="Arial"/>
          <w:rtl/>
        </w:rPr>
        <w:t>נקט ג' שדות הללו דהוי מקחו בטל ולא שדה אחרת</w:t>
      </w:r>
      <w:r>
        <w:rPr>
          <w:rFonts w:hint="cs"/>
          <w:rtl/>
        </w:rPr>
        <w:t>, רשב"ם.</w:t>
      </w:r>
    </w:p>
  </w:footnote>
  <w:footnote w:id="2091">
    <w:p w14:paraId="2E491A14" w14:textId="77777777" w:rsidR="00DF1FC7" w:rsidRDefault="00DF1FC7" w:rsidP="002E5BAD">
      <w:pPr>
        <w:pStyle w:val="a5"/>
        <w:rPr>
          <w:rtl/>
        </w:rPr>
      </w:pPr>
      <w:r>
        <w:rPr>
          <w:rStyle w:val="a7"/>
        </w:rPr>
        <w:footnoteRef/>
      </w:r>
      <w:r>
        <w:rPr>
          <w:rFonts w:hint="cs"/>
          <w:rtl/>
        </w:rPr>
        <w:t xml:space="preserve">  </w:t>
      </w:r>
      <w:r>
        <w:rPr>
          <w:rFonts w:cs="Arial"/>
          <w:rtl/>
        </w:rPr>
        <w:t>וקרקעות של בעל המשועבדים לה</w:t>
      </w:r>
      <w:r>
        <w:rPr>
          <w:rFonts w:hint="cs"/>
          <w:rtl/>
        </w:rPr>
        <w:t>, רשב"ם.</w:t>
      </w:r>
    </w:p>
  </w:footnote>
  <w:footnote w:id="2092">
    <w:p w14:paraId="457A2F28" w14:textId="77777777" w:rsidR="00DF1FC7" w:rsidRDefault="00DF1FC7" w:rsidP="002E5BAD">
      <w:pPr>
        <w:pStyle w:val="a5"/>
        <w:rPr>
          <w:rtl/>
        </w:rPr>
      </w:pPr>
      <w:r>
        <w:rPr>
          <w:rStyle w:val="a7"/>
        </w:rPr>
        <w:footnoteRef/>
      </w:r>
      <w:r>
        <w:rPr>
          <w:rFonts w:hint="cs"/>
          <w:rtl/>
        </w:rPr>
        <w:t xml:space="preserve">  </w:t>
      </w:r>
      <w:r>
        <w:rPr>
          <w:rFonts w:cs="Arial"/>
          <w:rtl/>
        </w:rPr>
        <w:t>דמציא אמרה נחת רוח עשיתי לבעלי דאי לא כתבה ללוקח ה"ל איבה דא"ל בעלה עינך נתת בגרושין או מיתה ולכך אין את מנחת למכור מנכסי כלום אבל בהנך ג' שדות לא אמר לה בעל דמאחר שייחדם לה דין הוא שתערער במכירתן ואפילו הכי מקחו בטל דכיון דמכל מקום אינם שלה לגמרי כי אם של בעל מציא אמרה נחת רוח עשיתי לבעלי</w:t>
      </w:r>
      <w:r>
        <w:rPr>
          <w:rFonts w:hint="cs"/>
          <w:rtl/>
        </w:rPr>
        <w:t>, רשב"ם.</w:t>
      </w:r>
    </w:p>
  </w:footnote>
  <w:footnote w:id="2093">
    <w:p w14:paraId="7B6FECB7" w14:textId="77777777" w:rsidR="00DF1FC7" w:rsidRDefault="00DF1FC7" w:rsidP="002E5BAD">
      <w:pPr>
        <w:pStyle w:val="a5"/>
        <w:rPr>
          <w:rtl/>
        </w:rPr>
      </w:pPr>
      <w:r>
        <w:rPr>
          <w:rStyle w:val="a7"/>
        </w:rPr>
        <w:footnoteRef/>
      </w:r>
      <w:r>
        <w:rPr>
          <w:rFonts w:hint="cs"/>
          <w:rtl/>
        </w:rPr>
        <w:t xml:space="preserve">  </w:t>
      </w:r>
      <w:r>
        <w:rPr>
          <w:rFonts w:cs="Arial"/>
          <w:rtl/>
        </w:rPr>
        <w:t>דכיון דשלה הם אינה יגורה מבעלה למחות בו שלא ימכור ולא מציא למימר נחת רוח עשיתי לבעלי</w:t>
      </w:r>
      <w:r>
        <w:rPr>
          <w:rFonts w:hint="cs"/>
          <w:rtl/>
        </w:rPr>
        <w:t>, רשב"ם.</w:t>
      </w:r>
    </w:p>
  </w:footnote>
  <w:footnote w:id="2094">
    <w:p w14:paraId="0FD92ADC" w14:textId="77777777" w:rsidR="00DF1FC7" w:rsidRDefault="00DF1FC7" w:rsidP="002E5BAD">
      <w:pPr>
        <w:pStyle w:val="a5"/>
        <w:rPr>
          <w:rtl/>
        </w:rPr>
      </w:pPr>
      <w:r>
        <w:rPr>
          <w:rStyle w:val="a7"/>
        </w:rPr>
        <w:footnoteRef/>
      </w:r>
      <w:r>
        <w:rPr>
          <w:rtl/>
        </w:rPr>
        <w:t xml:space="preserve"> </w:t>
      </w:r>
      <w:r>
        <w:rPr>
          <w:rFonts w:hint="cs"/>
          <w:rtl/>
        </w:rPr>
        <w:t xml:space="preserve">וז"ל- </w:t>
      </w:r>
      <w:r w:rsidRPr="008C513A">
        <w:rPr>
          <w:rFonts w:cs="Arial"/>
          <w:rtl/>
        </w:rPr>
        <w:t>מכרו שניהם ביחד</w:t>
      </w:r>
      <w:r>
        <w:rPr>
          <w:rFonts w:cs="Arial" w:hint="cs"/>
          <w:rtl/>
        </w:rPr>
        <w:t>,</w:t>
      </w:r>
      <w:r w:rsidRPr="008C513A">
        <w:rPr>
          <w:rFonts w:cs="Arial"/>
          <w:rtl/>
        </w:rPr>
        <w:t xml:space="preserve"> או אפילו לקח מהאיש תחלה ואח"כ מהאשה </w:t>
      </w:r>
      <w:r>
        <w:rPr>
          <w:rFonts w:cs="Arial" w:hint="cs"/>
          <w:rtl/>
        </w:rPr>
        <w:t xml:space="preserve">- </w:t>
      </w:r>
      <w:r w:rsidRPr="008C513A">
        <w:rPr>
          <w:rFonts w:cs="Arial"/>
          <w:rtl/>
        </w:rPr>
        <w:t>המכר קיים בנכסי מלוג</w:t>
      </w:r>
      <w:r>
        <w:rPr>
          <w:rFonts w:cs="Arial" w:hint="cs"/>
          <w:rtl/>
        </w:rPr>
        <w:t>.</w:t>
      </w:r>
    </w:p>
  </w:footnote>
  <w:footnote w:id="2095">
    <w:p w14:paraId="194DEF80" w14:textId="77777777" w:rsidR="00DF1FC7" w:rsidRDefault="00DF1FC7" w:rsidP="002E5BAD">
      <w:pPr>
        <w:pStyle w:val="a5"/>
      </w:pPr>
      <w:r>
        <w:rPr>
          <w:rStyle w:val="a7"/>
        </w:rPr>
        <w:footnoteRef/>
      </w:r>
      <w:r>
        <w:rPr>
          <w:rtl/>
        </w:rPr>
        <w:t xml:space="preserve"> </w:t>
      </w:r>
      <w:r>
        <w:rPr>
          <w:rFonts w:cs="Arial" w:hint="cs"/>
          <w:rtl/>
        </w:rPr>
        <w:t xml:space="preserve">וז"ל- </w:t>
      </w:r>
      <w:r w:rsidRPr="008472CD">
        <w:rPr>
          <w:rFonts w:cs="Arial"/>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w:t>
      </w:r>
    </w:p>
  </w:footnote>
  <w:footnote w:id="2096">
    <w:p w14:paraId="5DE9B01B" w14:textId="77777777" w:rsidR="00DF1FC7" w:rsidRDefault="00DF1FC7" w:rsidP="002E5BAD">
      <w:pPr>
        <w:pStyle w:val="a5"/>
      </w:pPr>
      <w:r>
        <w:rPr>
          <w:rStyle w:val="a7"/>
        </w:rPr>
        <w:footnoteRef/>
      </w:r>
      <w:r>
        <w:rPr>
          <w:rtl/>
        </w:rPr>
        <w:t xml:space="preserve"> </w:t>
      </w:r>
      <w:r>
        <w:rPr>
          <w:rFonts w:cs="Arial"/>
          <w:rtl/>
        </w:rPr>
        <w:t>ובפ"ל מהלכות מכירה (ה"ג) כתב</w:t>
      </w:r>
      <w:r>
        <w:rPr>
          <w:rFonts w:cs="Arial" w:hint="cs"/>
          <w:rtl/>
        </w:rPr>
        <w:t xml:space="preserve"> </w:t>
      </w:r>
      <w:r>
        <w:rPr>
          <w:rFonts w:cs="Arial" w:hint="cs"/>
          <w:sz w:val="16"/>
          <w:szCs w:val="16"/>
          <w:rtl/>
        </w:rPr>
        <w:t>{הרמב"ם}</w:t>
      </w:r>
      <w:r>
        <w:rPr>
          <w:rFonts w:cs="Arial" w:hint="cs"/>
          <w:rtl/>
        </w:rPr>
        <w:t>-</w:t>
      </w:r>
      <w:r>
        <w:rPr>
          <w:rFonts w:cs="Arial"/>
          <w:rtl/>
        </w:rPr>
        <w:t xml:space="preserve"> הבעל שמכר או נתן בין קרקע שהכניסה לו אשתו בכתובתה או קרקע שהכניס לה שום משלו בין קרקע שייחד לה בכתובתה אף על פי שקנו מיד האשה אחר שקיימה מעשיו הרי כל מעשיו בטל מפני שהיא אומרת נחת רוח עשיתי לבעלי. </w:t>
      </w:r>
      <w:r>
        <w:rPr>
          <w:rFonts w:cs="Arial" w:hint="cs"/>
          <w:rtl/>
        </w:rPr>
        <w:t xml:space="preserve">עכ"ל. </w:t>
      </w:r>
      <w:r>
        <w:rPr>
          <w:rFonts w:cs="Arial"/>
          <w:rtl/>
        </w:rPr>
        <w:t xml:space="preserve">וכתב הרב המגיד </w:t>
      </w:r>
      <w:r>
        <w:rPr>
          <w:rFonts w:cs="Arial" w:hint="cs"/>
          <w:rtl/>
        </w:rPr>
        <w:t xml:space="preserve">(שם) </w:t>
      </w:r>
      <w:r>
        <w:rPr>
          <w:rFonts w:cs="Arial"/>
          <w:rtl/>
        </w:rPr>
        <w:t>דעת רוב המפרשים שבאלו מקחו בטל לאלתר וזה דעת המחבר</w:t>
      </w:r>
      <w:r>
        <w:rPr>
          <w:rFonts w:cs="Arial" w:hint="cs"/>
          <w:rtl/>
        </w:rPr>
        <w:t>.</w:t>
      </w:r>
    </w:p>
  </w:footnote>
  <w:footnote w:id="2097">
    <w:p w14:paraId="6915D4E5" w14:textId="77777777" w:rsidR="00DF1FC7" w:rsidRDefault="00DF1FC7" w:rsidP="002E5BAD">
      <w:pPr>
        <w:pStyle w:val="a5"/>
        <w:rPr>
          <w:rtl/>
        </w:rPr>
      </w:pPr>
      <w:r>
        <w:rPr>
          <w:rStyle w:val="a7"/>
        </w:rPr>
        <w:footnoteRef/>
      </w:r>
      <w:r>
        <w:rPr>
          <w:rtl/>
        </w:rPr>
        <w:t xml:space="preserve"> </w:t>
      </w:r>
      <w:r w:rsidRPr="008B78CF">
        <w:rPr>
          <w:rFonts w:cs="Arial"/>
          <w:rtl/>
        </w:rPr>
        <w:t>וכ"כ</w:t>
      </w:r>
      <w:r>
        <w:rPr>
          <w:rFonts w:cs="Arial" w:hint="cs"/>
          <w:rtl/>
        </w:rPr>
        <w:t xml:space="preserve"> </w:t>
      </w:r>
      <w:r w:rsidRPr="008B78CF">
        <w:rPr>
          <w:rFonts w:cs="Arial"/>
          <w:rtl/>
        </w:rPr>
        <w:t>נמוק</w:t>
      </w:r>
      <w:r>
        <w:rPr>
          <w:rFonts w:cs="Arial" w:hint="cs"/>
          <w:rtl/>
        </w:rPr>
        <w:t>"</w:t>
      </w:r>
      <w:r w:rsidRPr="008B78CF">
        <w:rPr>
          <w:rFonts w:cs="Arial"/>
          <w:rtl/>
        </w:rPr>
        <w:t>י</w:t>
      </w:r>
      <w:r>
        <w:rPr>
          <w:rFonts w:cs="Arial" w:hint="cs"/>
          <w:rtl/>
        </w:rPr>
        <w:t xml:space="preserve"> (</w:t>
      </w:r>
      <w:r w:rsidRPr="008B78CF">
        <w:rPr>
          <w:rFonts w:cs="Arial"/>
          <w:rtl/>
        </w:rPr>
        <w:t>פרק חזקת כו סוע"ב)</w:t>
      </w:r>
      <w:r>
        <w:rPr>
          <w:rFonts w:cs="Arial" w:hint="cs"/>
          <w:rtl/>
        </w:rPr>
        <w:t>, דרכ"מ (אות יט).</w:t>
      </w:r>
    </w:p>
  </w:footnote>
  <w:footnote w:id="2098">
    <w:p w14:paraId="05955446" w14:textId="77777777" w:rsidR="00DF1FC7" w:rsidRDefault="00DF1FC7" w:rsidP="002E5BAD">
      <w:pPr>
        <w:pStyle w:val="a5"/>
        <w:rPr>
          <w:rtl/>
        </w:rPr>
      </w:pPr>
      <w:r>
        <w:rPr>
          <w:rStyle w:val="a7"/>
        </w:rPr>
        <w:footnoteRef/>
      </w:r>
      <w:r>
        <w:rPr>
          <w:rtl/>
        </w:rPr>
        <w:t xml:space="preserve"> </w:t>
      </w:r>
      <w:r>
        <w:rPr>
          <w:rFonts w:hint="cs"/>
          <w:rtl/>
        </w:rPr>
        <w:t xml:space="preserve">וז"ל- </w:t>
      </w:r>
      <w:r w:rsidRPr="00B10002">
        <w:rPr>
          <w:rFonts w:cs="Arial"/>
          <w:rtl/>
        </w:rPr>
        <w:t>וכן האשה שמכרה או נתנה נכסי מלוג לבעלה מכרה ומתנתה קיימין ואינה יכולה לומר בנכסי מלוג נחת רוח עשיתי לבעלי, אבל בשאר נכסים יש לה לומר</w:t>
      </w:r>
      <w:r>
        <w:rPr>
          <w:rFonts w:cs="Arial" w:hint="cs"/>
          <w:rtl/>
        </w:rPr>
        <w:t>.</w:t>
      </w:r>
    </w:p>
  </w:footnote>
  <w:footnote w:id="2099">
    <w:p w14:paraId="4CCEB74D" w14:textId="77777777" w:rsidR="00DF1FC7" w:rsidRDefault="00DF1FC7" w:rsidP="002E5BAD">
      <w:pPr>
        <w:pStyle w:val="a5"/>
      </w:pPr>
      <w:r>
        <w:rPr>
          <w:rStyle w:val="a7"/>
        </w:rPr>
        <w:footnoteRef/>
      </w:r>
      <w:r w:rsidRPr="00843F99">
        <w:rPr>
          <w:rFonts w:cs="Arial"/>
          <w:rtl/>
        </w:rPr>
        <w:t xml:space="preserve"> וכ"כ המרדכי </w:t>
      </w:r>
      <w:r>
        <w:rPr>
          <w:rFonts w:cs="Arial" w:hint="cs"/>
          <w:rtl/>
        </w:rPr>
        <w:t>(</w:t>
      </w:r>
      <w:r w:rsidRPr="00843F99">
        <w:rPr>
          <w:rFonts w:cs="Arial"/>
          <w:rtl/>
        </w:rPr>
        <w:t>פרק הניזקין</w:t>
      </w:r>
      <w:r>
        <w:rPr>
          <w:rFonts w:cs="Arial" w:hint="cs"/>
          <w:rtl/>
        </w:rPr>
        <w:t xml:space="preserve"> </w:t>
      </w:r>
      <w:r w:rsidRPr="00843F99">
        <w:rPr>
          <w:rFonts w:cs="Arial"/>
          <w:rtl/>
        </w:rPr>
        <w:t>סי' שצה) ונמוק</w:t>
      </w:r>
      <w:r>
        <w:rPr>
          <w:rFonts w:cs="Arial" w:hint="cs"/>
          <w:rtl/>
        </w:rPr>
        <w:t>"</w:t>
      </w:r>
      <w:r w:rsidRPr="00843F99">
        <w:rPr>
          <w:rFonts w:cs="Arial"/>
          <w:rtl/>
        </w:rPr>
        <w:t xml:space="preserve">י </w:t>
      </w:r>
      <w:r>
        <w:rPr>
          <w:rFonts w:cs="Arial" w:hint="cs"/>
          <w:rtl/>
        </w:rPr>
        <w:t>(</w:t>
      </w:r>
      <w:r w:rsidRPr="00843F99">
        <w:rPr>
          <w:rFonts w:cs="Arial"/>
          <w:rtl/>
        </w:rPr>
        <w:t>פ</w:t>
      </w:r>
      <w:r>
        <w:rPr>
          <w:rFonts w:cs="Arial" w:hint="cs"/>
          <w:rtl/>
        </w:rPr>
        <w:t>'</w:t>
      </w:r>
      <w:r w:rsidRPr="00843F99">
        <w:rPr>
          <w:rFonts w:cs="Arial"/>
          <w:rtl/>
        </w:rPr>
        <w:t xml:space="preserve"> אלמנה לכ"ג כב</w:t>
      </w:r>
      <w:r>
        <w:rPr>
          <w:rFonts w:cs="Arial" w:hint="cs"/>
          <w:rtl/>
        </w:rPr>
        <w:t>.</w:t>
      </w:r>
      <w:r w:rsidRPr="00843F99">
        <w:rPr>
          <w:rFonts w:cs="Arial"/>
          <w:rtl/>
        </w:rPr>
        <w:t>)</w:t>
      </w:r>
      <w:r>
        <w:rPr>
          <w:rFonts w:cs="Arial" w:hint="cs"/>
          <w:rtl/>
        </w:rPr>
        <w:t>, דרכ"מ (אות טז).</w:t>
      </w:r>
      <w:r w:rsidRPr="00D0315E">
        <w:rPr>
          <w:rFonts w:cs="Arial"/>
          <w:rtl/>
        </w:rPr>
        <w:t xml:space="preserve"> </w:t>
      </w:r>
      <w:r>
        <w:rPr>
          <w:rFonts w:cs="Arial"/>
          <w:rtl/>
        </w:rPr>
        <w:t>ובספר התרומות שער ששי (ח' א - ב) האריך הרבה בדינים אלו וכתב בהם כמה דינים מחודשים</w:t>
      </w:r>
      <w:r>
        <w:rPr>
          <w:rFonts w:cs="Arial" w:hint="cs"/>
          <w:rtl/>
        </w:rPr>
        <w:t>, ב"י</w:t>
      </w:r>
      <w:r>
        <w:rPr>
          <w:rFonts w:cs="Arial"/>
          <w:rtl/>
        </w:rPr>
        <w:t>.</w:t>
      </w:r>
    </w:p>
  </w:footnote>
  <w:footnote w:id="2100">
    <w:p w14:paraId="315AF5D1" w14:textId="77777777" w:rsidR="00DF1FC7" w:rsidRDefault="00DF1FC7" w:rsidP="002E5BAD">
      <w:pPr>
        <w:pStyle w:val="a5"/>
      </w:pPr>
      <w:r>
        <w:rPr>
          <w:rStyle w:val="a7"/>
        </w:rPr>
        <w:footnoteRef/>
      </w:r>
      <w:r>
        <w:rPr>
          <w:rFonts w:cs="Arial" w:hint="cs"/>
          <w:rtl/>
        </w:rPr>
        <w:t xml:space="preserve"> </w:t>
      </w:r>
      <w:r w:rsidRPr="005F7941">
        <w:rPr>
          <w:rFonts w:cs="Arial"/>
          <w:rtl/>
        </w:rPr>
        <w:t>כתב הרב המגיד (הי"ח)</w:t>
      </w:r>
      <w:r>
        <w:rPr>
          <w:rFonts w:cs="Arial" w:hint="cs"/>
          <w:rtl/>
        </w:rPr>
        <w:t>-</w:t>
      </w:r>
      <w:r w:rsidRPr="005F7941">
        <w:rPr>
          <w:rFonts w:cs="Arial"/>
          <w:rtl/>
        </w:rPr>
        <w:t xml:space="preserve"> יש דברים בהשגות שנראה מהם ש</w:t>
      </w:r>
      <w:r>
        <w:rPr>
          <w:rFonts w:cs="Arial" w:hint="cs"/>
          <w:rtl/>
        </w:rPr>
        <w:t>-...</w:t>
      </w:r>
    </w:p>
  </w:footnote>
  <w:footnote w:id="2101">
    <w:p w14:paraId="09951B89" w14:textId="77777777" w:rsidR="00DF1FC7" w:rsidRDefault="00DF1FC7" w:rsidP="002E5BAD">
      <w:pPr>
        <w:pStyle w:val="a5"/>
      </w:pPr>
      <w:r>
        <w:rPr>
          <w:rStyle w:val="a7"/>
        </w:rPr>
        <w:footnoteRef/>
      </w:r>
      <w:r>
        <w:rPr>
          <w:rFonts w:cs="Arial" w:hint="cs"/>
          <w:rtl/>
        </w:rPr>
        <w:t xml:space="preserve"> </w:t>
      </w:r>
      <w:r w:rsidRPr="005F7941">
        <w:rPr>
          <w:rFonts w:cs="Arial"/>
          <w:rtl/>
        </w:rPr>
        <w:t>והא ודאי אם איתא שדעת הרמב"ם כמו שכתב הרב המגיד</w:t>
      </w:r>
      <w:r>
        <w:rPr>
          <w:rFonts w:cs="Arial" w:hint="cs"/>
          <w:rtl/>
        </w:rPr>
        <w:t>,</w:t>
      </w:r>
      <w:r w:rsidRPr="005F7941">
        <w:rPr>
          <w:rFonts w:cs="Arial"/>
          <w:rtl/>
        </w:rPr>
        <w:t xml:space="preserve"> לענין הלכה לא נקטינן כהרא"ש</w:t>
      </w:r>
      <w:r>
        <w:rPr>
          <w:rFonts w:cs="Arial" w:hint="cs"/>
          <w:rtl/>
        </w:rPr>
        <w:t>,</w:t>
      </w:r>
      <w:r w:rsidRPr="005F7941">
        <w:rPr>
          <w:rFonts w:cs="Arial"/>
          <w:rtl/>
        </w:rPr>
        <w:t xml:space="preserve"> כיון דרבים פליגי עליה</w:t>
      </w:r>
      <w:r>
        <w:rPr>
          <w:rFonts w:cs="Arial" w:hint="cs"/>
          <w:rtl/>
        </w:rPr>
        <w:t>.</w:t>
      </w:r>
      <w:r w:rsidRPr="005F7941">
        <w:rPr>
          <w:rFonts w:cs="Arial"/>
          <w:rtl/>
        </w:rPr>
        <w:t xml:space="preserve"> אלא מיהו נראה מדקדוק דברי הרמב"ם דהא דלא מהני מחילתה או מכירתה לבעלה בנכסי צאן ברזל</w:t>
      </w:r>
      <w:r>
        <w:rPr>
          <w:rFonts w:cs="Arial" w:hint="cs"/>
          <w:rtl/>
        </w:rPr>
        <w:t>,</w:t>
      </w:r>
      <w:r w:rsidRPr="005F7941">
        <w:rPr>
          <w:rFonts w:cs="Arial"/>
          <w:rtl/>
        </w:rPr>
        <w:t xml:space="preserve"> דוקא בשטענה נחת רוח עשיתי לבעלי</w:t>
      </w:r>
      <w:r>
        <w:rPr>
          <w:rFonts w:cs="Arial" w:hint="cs"/>
          <w:rtl/>
        </w:rPr>
        <w:t>,</w:t>
      </w:r>
      <w:r w:rsidRPr="005F7941">
        <w:rPr>
          <w:rFonts w:cs="Arial"/>
          <w:rtl/>
        </w:rPr>
        <w:t xml:space="preserve"> אבל כל זמן שלא טענה כן מחילתה ומכירתה לבעלה קיימים</w:t>
      </w:r>
      <w:r>
        <w:rPr>
          <w:rFonts w:cs="Arial" w:hint="cs"/>
          <w:rtl/>
        </w:rPr>
        <w:t>.</w:t>
      </w:r>
      <w:r w:rsidRPr="005F7941">
        <w:rPr>
          <w:rFonts w:cs="Arial"/>
          <w:rtl/>
        </w:rPr>
        <w:t xml:space="preserve"> שהרי כתב (שם) </w:t>
      </w:r>
      <w:r>
        <w:rPr>
          <w:rFonts w:cs="Arial" w:hint="cs"/>
          <w:rtl/>
        </w:rPr>
        <w:t>'</w:t>
      </w:r>
      <w:r w:rsidRPr="005F7941">
        <w:rPr>
          <w:rFonts w:cs="Arial"/>
          <w:rtl/>
        </w:rPr>
        <w:t>חוזרת בכל עת שתרצה שלא נתנה ולא מכרה אלא מפני שלום ביתה</w:t>
      </w:r>
      <w:r>
        <w:rPr>
          <w:rFonts w:cs="Arial" w:hint="cs"/>
          <w:rtl/>
        </w:rPr>
        <w:t>'.</w:t>
      </w:r>
      <w:r w:rsidRPr="005F7941">
        <w:rPr>
          <w:rFonts w:cs="Arial"/>
          <w:rtl/>
        </w:rPr>
        <w:t xml:space="preserve"> משמע בהדיא דלא מהניא האי טענה אלא לענין שתחזור בכל עת שתרצה</w:t>
      </w:r>
      <w:r>
        <w:rPr>
          <w:rFonts w:cs="Arial" w:hint="cs"/>
          <w:rtl/>
        </w:rPr>
        <w:t>,</w:t>
      </w:r>
      <w:r w:rsidRPr="005F7941">
        <w:rPr>
          <w:rFonts w:cs="Arial"/>
          <w:rtl/>
        </w:rPr>
        <w:t xml:space="preserve"> אבל כל זמן שלא חזרה </w:t>
      </w:r>
      <w:r>
        <w:rPr>
          <w:rFonts w:cs="Arial" w:hint="cs"/>
          <w:rtl/>
        </w:rPr>
        <w:t xml:space="preserve">- </w:t>
      </w:r>
      <w:r w:rsidRPr="005F7941">
        <w:rPr>
          <w:rFonts w:cs="Arial"/>
          <w:rtl/>
        </w:rPr>
        <w:t>מחילתה ומכירתה קיימים</w:t>
      </w:r>
      <w:r w:rsidRPr="005F7941">
        <w:rPr>
          <w:rFonts w:cs="Arial" w:hint="cs"/>
          <w:rtl/>
        </w:rPr>
        <w:t>.</w:t>
      </w:r>
      <w:r w:rsidRPr="005F7941">
        <w:rPr>
          <w:rFonts w:cs="Arial"/>
          <w:rtl/>
        </w:rPr>
        <w:t xml:space="preserve"> ונפקא מינה לדידן דכתבינן בכתובה שאם תמות האשה בחיי בעלה יחזירו חצי נכסי צאן ברזל ליורשיה מבית אביה</w:t>
      </w:r>
      <w:r>
        <w:rPr>
          <w:rFonts w:cs="Arial" w:hint="cs"/>
          <w:rtl/>
        </w:rPr>
        <w:t>.</w:t>
      </w:r>
      <w:r w:rsidRPr="005F7941">
        <w:rPr>
          <w:rFonts w:cs="Arial"/>
          <w:rtl/>
        </w:rPr>
        <w:t xml:space="preserve"> אם מכרה או מחלה לבעלה כל נכסי צאן ברזל שלה ומתה ולא ערערה על מכירתה ומחילתה לומר נחת רוח עשיתי לבעלי</w:t>
      </w:r>
      <w:r>
        <w:rPr>
          <w:rFonts w:cs="Arial" w:hint="cs"/>
          <w:rtl/>
        </w:rPr>
        <w:t>,</w:t>
      </w:r>
      <w:r w:rsidRPr="005F7941">
        <w:rPr>
          <w:rFonts w:cs="Arial"/>
          <w:rtl/>
        </w:rPr>
        <w:t xml:space="preserve"> שאין מכירתה ומחילתה בטלים מזה הצד</w:t>
      </w:r>
      <w:r>
        <w:rPr>
          <w:rFonts w:cs="Arial" w:hint="cs"/>
          <w:rtl/>
        </w:rPr>
        <w:t>.</w:t>
      </w:r>
      <w:r w:rsidRPr="005F7941">
        <w:rPr>
          <w:rFonts w:cs="Arial"/>
          <w:rtl/>
        </w:rPr>
        <w:t xml:space="preserve"> ומיהו אם יכולה היא לחוב ליורשיה בכך יתבאר בסימן קי"ח (קעב:). ומכל מקום יש לדון על מה שכתב הרב המגיד שדעת הרמב"ם דאם מחלה נכסי צאן ברזל לבעלה יכולה לומר נחת רוח עשיתי לבעלי</w:t>
      </w:r>
      <w:r>
        <w:rPr>
          <w:rFonts w:cs="Arial" w:hint="cs"/>
          <w:rtl/>
        </w:rPr>
        <w:t>.</w:t>
      </w:r>
      <w:r w:rsidRPr="005F7941">
        <w:rPr>
          <w:rFonts w:cs="Arial"/>
          <w:rtl/>
        </w:rPr>
        <w:t xml:space="preserve"> דהרמב"ם לא איירי אלא במוכרת או נותנת</w:t>
      </w:r>
      <w:r>
        <w:rPr>
          <w:rFonts w:cs="Arial" w:hint="cs"/>
          <w:rtl/>
        </w:rPr>
        <w:t>,</w:t>
      </w:r>
      <w:r w:rsidRPr="005F7941">
        <w:rPr>
          <w:rFonts w:cs="Arial"/>
          <w:rtl/>
        </w:rPr>
        <w:t xml:space="preserve"> ולא במוחלת</w:t>
      </w:r>
      <w:r>
        <w:rPr>
          <w:rFonts w:cs="Arial" w:hint="cs"/>
          <w:rtl/>
        </w:rPr>
        <w:t>.</w:t>
      </w:r>
      <w:r w:rsidRPr="005F7941">
        <w:rPr>
          <w:rFonts w:cs="Arial"/>
          <w:rtl/>
        </w:rPr>
        <w:t xml:space="preserve"> ואיכא לפלוגי בינייהו כעין מאי דמפליג הרא"ש בתשובה</w:t>
      </w:r>
      <w:r>
        <w:rPr>
          <w:rFonts w:cs="Arial" w:hint="cs"/>
          <w:rtl/>
        </w:rPr>
        <w:t>,</w:t>
      </w:r>
      <w:r w:rsidRPr="005F7941">
        <w:rPr>
          <w:rFonts w:cs="Arial"/>
          <w:rtl/>
        </w:rPr>
        <w:t xml:space="preserve"> דמוכרת או נותנת לבעלה אינה אלא כמסלקת שעבודה מאותן קרקעות</w:t>
      </w:r>
      <w:r>
        <w:rPr>
          <w:rFonts w:cs="Arial" w:hint="cs"/>
          <w:rtl/>
        </w:rPr>
        <w:t>,</w:t>
      </w:r>
      <w:r w:rsidRPr="005F7941">
        <w:rPr>
          <w:rFonts w:cs="Arial"/>
          <w:rtl/>
        </w:rPr>
        <w:t xml:space="preserve"> ובהא שייך איבה לומר עיניך נתת בגירושין ומיתה לגבות מקרקעות אלו</w:t>
      </w:r>
      <w:r>
        <w:rPr>
          <w:rFonts w:cs="Arial" w:hint="cs"/>
          <w:rtl/>
        </w:rPr>
        <w:t>.</w:t>
      </w:r>
      <w:r w:rsidRPr="005F7941">
        <w:rPr>
          <w:rFonts w:cs="Arial"/>
          <w:rtl/>
        </w:rPr>
        <w:t xml:space="preserve"> אבל במוחלת לא מצי בעל לומר עיניך נתת בגירושין ומיתה</w:t>
      </w:r>
      <w:r>
        <w:rPr>
          <w:rFonts w:cs="Arial" w:hint="cs"/>
          <w:rtl/>
        </w:rPr>
        <w:t>,</w:t>
      </w:r>
      <w:r w:rsidRPr="005F7941">
        <w:rPr>
          <w:rFonts w:cs="Arial"/>
          <w:rtl/>
        </w:rPr>
        <w:t xml:space="preserve"> דאדרבה כל זמן שכתובתה מרובה לא תהא קלה בעיניו לגרשה ואדרבה היא תאמר לו עיניך נתת בגירושין כדי שאהא קלה בעיניך לגרשני</w:t>
      </w:r>
      <w:r>
        <w:rPr>
          <w:rFonts w:hint="cs"/>
          <w:rtl/>
        </w:rPr>
        <w:t>, ב"י.</w:t>
      </w:r>
    </w:p>
  </w:footnote>
  <w:footnote w:id="2102">
    <w:p w14:paraId="384E0A9F" w14:textId="77777777" w:rsidR="00DF1FC7" w:rsidRDefault="00DF1FC7" w:rsidP="002E5BAD">
      <w:pPr>
        <w:pStyle w:val="a5"/>
      </w:pPr>
      <w:r>
        <w:rPr>
          <w:rStyle w:val="a7"/>
        </w:rPr>
        <w:footnoteRef/>
      </w:r>
      <w:r>
        <w:rPr>
          <w:rFonts w:cs="Arial" w:hint="cs"/>
          <w:rtl/>
        </w:rPr>
        <w:t xml:space="preserve"> רמב"ם </w:t>
      </w:r>
      <w:r>
        <w:rPr>
          <w:rFonts w:cs="Arial" w:hint="cs"/>
          <w:sz w:val="16"/>
          <w:szCs w:val="16"/>
          <w:rtl/>
        </w:rPr>
        <w:t>(כ" בשמו הה"מ [פי"ז מאישות הי"ט])</w:t>
      </w:r>
      <w:r>
        <w:rPr>
          <w:rFonts w:cs="Arial" w:hint="cs"/>
          <w:rtl/>
        </w:rPr>
        <w:t xml:space="preserve"> </w:t>
      </w:r>
      <w:r w:rsidRPr="005F7941">
        <w:rPr>
          <w:rFonts w:cs="Arial"/>
          <w:rtl/>
        </w:rPr>
        <w:t xml:space="preserve">רמב"ן </w:t>
      </w:r>
      <w:r w:rsidRPr="009E18C9">
        <w:rPr>
          <w:rFonts w:cs="Arial"/>
          <w:sz w:val="16"/>
          <w:szCs w:val="16"/>
          <w:rtl/>
        </w:rPr>
        <w:t>(כתובות נג. ד"ה והא דאמרינן א"ל</w:t>
      </w:r>
      <w:r>
        <w:rPr>
          <w:rFonts w:cs="Arial" w:hint="cs"/>
          <w:sz w:val="16"/>
          <w:szCs w:val="16"/>
          <w:rtl/>
        </w:rPr>
        <w:t>, כ"כ הה"מ בשמו [שם ושם]</w:t>
      </w:r>
      <w:r w:rsidRPr="009E18C9">
        <w:rPr>
          <w:rFonts w:cs="Arial"/>
          <w:sz w:val="16"/>
          <w:szCs w:val="16"/>
          <w:rtl/>
        </w:rPr>
        <w:t xml:space="preserve">) </w:t>
      </w:r>
      <w:r w:rsidRPr="005F7941">
        <w:rPr>
          <w:rFonts w:cs="Arial"/>
          <w:rtl/>
        </w:rPr>
        <w:t xml:space="preserve">ורשב"א </w:t>
      </w:r>
      <w:r w:rsidRPr="009E18C9">
        <w:rPr>
          <w:rFonts w:cs="Arial"/>
          <w:sz w:val="16"/>
          <w:szCs w:val="16"/>
          <w:rtl/>
        </w:rPr>
        <w:t>(שם ד"ה ולעיקר</w:t>
      </w:r>
      <w:r>
        <w:rPr>
          <w:rFonts w:cs="Arial" w:hint="cs"/>
          <w:sz w:val="16"/>
          <w:szCs w:val="16"/>
          <w:rtl/>
        </w:rPr>
        <w:t>, כ"כ הה"מ בשמו [שם ושם]</w:t>
      </w:r>
      <w:r w:rsidRPr="009E18C9">
        <w:rPr>
          <w:rFonts w:cs="Arial"/>
          <w:sz w:val="16"/>
          <w:szCs w:val="16"/>
          <w:rtl/>
        </w:rPr>
        <w:t>)</w:t>
      </w:r>
      <w:r>
        <w:rPr>
          <w:rFonts w:cs="Arial" w:hint="cs"/>
          <w:rtl/>
        </w:rPr>
        <w:t>.</w:t>
      </w:r>
    </w:p>
  </w:footnote>
  <w:footnote w:id="2103">
    <w:p w14:paraId="24FA43EA" w14:textId="77777777" w:rsidR="00DF1FC7" w:rsidRDefault="00DF1FC7" w:rsidP="002E5BAD">
      <w:pPr>
        <w:pStyle w:val="a5"/>
      </w:pPr>
      <w:r>
        <w:rPr>
          <w:rStyle w:val="a7"/>
        </w:rPr>
        <w:footnoteRef/>
      </w:r>
      <w:r>
        <w:rPr>
          <w:rFonts w:cs="Arial" w:hint="cs"/>
          <w:rtl/>
        </w:rPr>
        <w:t xml:space="preserve"> </w:t>
      </w:r>
      <w:r w:rsidRPr="005F7941">
        <w:rPr>
          <w:rFonts w:cs="Arial"/>
          <w:rtl/>
        </w:rPr>
        <w:t>שהרי כל הנשים יש להן כתובה</w:t>
      </w:r>
      <w:r>
        <w:rPr>
          <w:rFonts w:cs="Arial" w:hint="cs"/>
          <w:rtl/>
        </w:rPr>
        <w:t>,</w:t>
      </w:r>
      <w:r w:rsidRPr="005F7941">
        <w:rPr>
          <w:rFonts w:cs="Arial"/>
          <w:rtl/>
        </w:rPr>
        <w:t xml:space="preserve"> ולא תהיה לה איבה אם לא תמחול</w:t>
      </w:r>
      <w:r>
        <w:rPr>
          <w:rFonts w:cs="Arial" w:hint="cs"/>
          <w:rtl/>
        </w:rPr>
        <w:t>,</w:t>
      </w:r>
      <w:r w:rsidRPr="005F7941">
        <w:rPr>
          <w:rFonts w:cs="Arial"/>
          <w:rtl/>
        </w:rPr>
        <w:t xml:space="preserve"> ואדרבה היא יכולה לומר לו שהוא אינו חפץ בה ונותן עיניו לגרשה כשמבקש שתמחול כתובתה</w:t>
      </w:r>
      <w:r>
        <w:rPr>
          <w:rFonts w:cs="Arial" w:hint="cs"/>
          <w:rtl/>
        </w:rPr>
        <w:t>.</w:t>
      </w:r>
      <w:r w:rsidRPr="005F7941">
        <w:rPr>
          <w:rFonts w:cs="Arial"/>
          <w:rtl/>
        </w:rPr>
        <w:t xml:space="preserve"> מה שאין כן בנכסי צאן ברזל</w:t>
      </w:r>
      <w:r>
        <w:rPr>
          <w:rFonts w:cs="Arial" w:hint="cs"/>
          <w:rtl/>
        </w:rPr>
        <w:t>,</w:t>
      </w:r>
      <w:r w:rsidRPr="005F7941">
        <w:rPr>
          <w:rFonts w:cs="Arial"/>
          <w:rtl/>
        </w:rPr>
        <w:t xml:space="preserve"> כמו שיתבאר פכ"ב וזה דעת רבינו</w:t>
      </w:r>
      <w:r>
        <w:rPr>
          <w:rFonts w:cs="Arial" w:hint="cs"/>
          <w:rtl/>
        </w:rPr>
        <w:t>, הה"מ (פי"ז הי"ט).</w:t>
      </w:r>
    </w:p>
  </w:footnote>
  <w:footnote w:id="2104">
    <w:p w14:paraId="300C2CCB" w14:textId="77777777" w:rsidR="00DF1FC7" w:rsidRDefault="00DF1FC7" w:rsidP="002E5BAD">
      <w:pPr>
        <w:pStyle w:val="a5"/>
      </w:pPr>
      <w:r>
        <w:rPr>
          <w:rStyle w:val="a7"/>
        </w:rPr>
        <w:footnoteRef/>
      </w:r>
      <w:r>
        <w:rPr>
          <w:rFonts w:cs="Arial" w:hint="cs"/>
          <w:rtl/>
        </w:rPr>
        <w:t xml:space="preserve"> </w:t>
      </w:r>
      <w:r w:rsidRPr="005F7941">
        <w:rPr>
          <w:rFonts w:cs="Arial"/>
          <w:rtl/>
        </w:rPr>
        <w:t>ו</w:t>
      </w:r>
      <w:r>
        <w:rPr>
          <w:rFonts w:cs="Arial" w:hint="cs"/>
          <w:rtl/>
        </w:rPr>
        <w:t>מ</w:t>
      </w:r>
      <w:r w:rsidRPr="005F7941">
        <w:rPr>
          <w:rFonts w:cs="Arial"/>
          <w:rtl/>
        </w:rPr>
        <w:t xml:space="preserve">דברי הרא"ש </w:t>
      </w:r>
      <w:r>
        <w:rPr>
          <w:rFonts w:cs="Arial" w:hint="cs"/>
          <w:rtl/>
        </w:rPr>
        <w:t>מבואר</w:t>
      </w:r>
      <w:r w:rsidRPr="005F7941">
        <w:rPr>
          <w:rFonts w:cs="Arial"/>
          <w:rtl/>
        </w:rPr>
        <w:t xml:space="preserve"> שמחילתה בנכסי צאן ברזל מועיל</w:t>
      </w:r>
      <w:r>
        <w:rPr>
          <w:rFonts w:cs="Arial" w:hint="cs"/>
          <w:rtl/>
        </w:rPr>
        <w:t>...</w:t>
      </w:r>
      <w:r w:rsidRPr="002926CA">
        <w:rPr>
          <w:rtl/>
        </w:rPr>
        <w:t xml:space="preserve"> </w:t>
      </w:r>
      <w:r w:rsidRPr="002926CA">
        <w:rPr>
          <w:rFonts w:cs="Arial"/>
          <w:rtl/>
        </w:rPr>
        <w:t>וכבר נתבאר בסימן זה שרוב הפוסקים חולקים על זה וסוברים דמוכרת או מוחלת נכסי צאן ברזל לבעלה יכולה לומר נחת רוח עשיתי לבעלי כפי מה שכתב הרב המגיד וכבר כתבתי שם מה שיש לדון בדבר לומר דהרמב"ם לא פליג אהרא"ש בהא. וכתב רבינו תשובה זו בסוף סימן קי"ח</w:t>
      </w:r>
      <w:r>
        <w:rPr>
          <w:rFonts w:cs="Arial" w:hint="cs"/>
          <w:rtl/>
        </w:rPr>
        <w:t>, ב"י.</w:t>
      </w:r>
    </w:p>
  </w:footnote>
  <w:footnote w:id="2105">
    <w:p w14:paraId="5E1F37D8" w14:textId="77777777" w:rsidR="00DF1FC7" w:rsidRDefault="00DF1FC7" w:rsidP="002E5BAD">
      <w:pPr>
        <w:pStyle w:val="a5"/>
        <w:rPr>
          <w:rtl/>
        </w:rPr>
      </w:pPr>
      <w:r>
        <w:rPr>
          <w:rStyle w:val="a7"/>
        </w:rPr>
        <w:footnoteRef/>
      </w:r>
      <w:r>
        <w:rPr>
          <w:rtl/>
        </w:rPr>
        <w:t xml:space="preserve"> </w:t>
      </w:r>
      <w:r w:rsidRPr="005C5D4E">
        <w:rPr>
          <w:rFonts w:cs="Arial"/>
          <w:rtl/>
        </w:rPr>
        <w:t>אע</w:t>
      </w:r>
      <w:r>
        <w:rPr>
          <w:rFonts w:cs="Arial" w:hint="cs"/>
          <w:rtl/>
        </w:rPr>
        <w:t>"</w:t>
      </w:r>
      <w:r w:rsidRPr="005C5D4E">
        <w:rPr>
          <w:rFonts w:cs="Arial"/>
          <w:rtl/>
        </w:rPr>
        <w:t xml:space="preserve">ג </w:t>
      </w:r>
      <w:r>
        <w:rPr>
          <w:rFonts w:cs="Arial" w:hint="cs"/>
          <w:rtl/>
        </w:rPr>
        <w:t>ש</w:t>
      </w:r>
      <w:r w:rsidRPr="005C5D4E">
        <w:rPr>
          <w:rFonts w:cs="Arial"/>
          <w:rtl/>
        </w:rPr>
        <w:t>שיעבוד כתובה הוא על כל נכסיו</w:t>
      </w:r>
      <w:r>
        <w:rPr>
          <w:rFonts w:cs="Arial" w:hint="cs"/>
          <w:rtl/>
        </w:rPr>
        <w:t>,</w:t>
      </w:r>
      <w:r w:rsidRPr="005C5D4E">
        <w:rPr>
          <w:rFonts w:cs="Arial"/>
          <w:rtl/>
        </w:rPr>
        <w:t xml:space="preserve"> מ"מ מיחד לה קרקע אחת בפירוש או כותב לה קרקע אחת בפירוש</w:t>
      </w:r>
      <w:r>
        <w:rPr>
          <w:rFonts w:hint="cs"/>
          <w:rtl/>
        </w:rPr>
        <w:t>, ב"ש (סקנ"ז).</w:t>
      </w:r>
    </w:p>
  </w:footnote>
  <w:footnote w:id="2106">
    <w:p w14:paraId="6EAE39F9" w14:textId="77777777" w:rsidR="00DF1FC7" w:rsidRDefault="00DF1FC7" w:rsidP="002E5BAD">
      <w:pPr>
        <w:pStyle w:val="a5"/>
      </w:pPr>
      <w:r>
        <w:rPr>
          <w:rStyle w:val="a7"/>
        </w:rPr>
        <w:footnoteRef/>
      </w:r>
      <w:r>
        <w:rPr>
          <w:rtl/>
        </w:rPr>
        <w:t xml:space="preserve"> </w:t>
      </w:r>
      <w:r w:rsidRPr="00D27352">
        <w:rPr>
          <w:rFonts w:cs="Arial"/>
          <w:rtl/>
        </w:rPr>
        <w:t>כלו' שכתב לה שדה נגד שום שהכניסה לו מנכסי נדוניית' ועיין בתוס' דף מ"ט מ"ש בשם ר"ח</w:t>
      </w:r>
      <w:r>
        <w:rPr>
          <w:rFonts w:cs="Arial" w:hint="cs"/>
          <w:rtl/>
        </w:rPr>
        <w:t>, ח"מ (סקנ"ה).</w:t>
      </w:r>
    </w:p>
  </w:footnote>
  <w:footnote w:id="2107">
    <w:p w14:paraId="2CF303DD" w14:textId="77777777" w:rsidR="00DF1FC7" w:rsidRDefault="00DF1FC7" w:rsidP="002E5BAD">
      <w:pPr>
        <w:pStyle w:val="a5"/>
      </w:pPr>
      <w:r>
        <w:rPr>
          <w:rStyle w:val="a7"/>
        </w:rPr>
        <w:footnoteRef/>
      </w:r>
      <w:r>
        <w:rPr>
          <w:rtl/>
        </w:rPr>
        <w:t xml:space="preserve"> </w:t>
      </w:r>
      <w:r w:rsidRPr="004032AE">
        <w:rPr>
          <w:rFonts w:cs="Arial"/>
          <w:rtl/>
        </w:rPr>
        <w:t>אבל לא אמרי</w:t>
      </w:r>
      <w:r>
        <w:rPr>
          <w:rFonts w:cs="Arial" w:hint="cs"/>
          <w:rtl/>
        </w:rPr>
        <w:t>נן</w:t>
      </w:r>
      <w:r w:rsidRPr="004032AE">
        <w:rPr>
          <w:rFonts w:cs="Arial"/>
          <w:rtl/>
        </w:rPr>
        <w:t xml:space="preserve"> בזה אחריות ט"ס</w:t>
      </w:r>
      <w:r>
        <w:rPr>
          <w:rFonts w:cs="Arial" w:hint="cs"/>
          <w:rtl/>
        </w:rPr>
        <w:t>,</w:t>
      </w:r>
      <w:r w:rsidRPr="004032AE">
        <w:rPr>
          <w:rFonts w:cs="Arial"/>
          <w:rtl/>
        </w:rPr>
        <w:t xml:space="preserve"> עיין במגיד</w:t>
      </w:r>
      <w:r>
        <w:rPr>
          <w:rFonts w:cs="Arial" w:hint="cs"/>
          <w:rtl/>
        </w:rPr>
        <w:t>, ב"ש (סקנ"ט).</w:t>
      </w:r>
    </w:p>
  </w:footnote>
  <w:footnote w:id="2108">
    <w:p w14:paraId="01E7F940" w14:textId="77777777" w:rsidR="00DF1FC7" w:rsidRPr="00A11A36" w:rsidRDefault="00DF1FC7" w:rsidP="002E5BAD">
      <w:pPr>
        <w:pStyle w:val="a5"/>
        <w:rPr>
          <w:rFonts w:cs="Arial"/>
        </w:rPr>
      </w:pPr>
      <w:r>
        <w:rPr>
          <w:rStyle w:val="a7"/>
        </w:rPr>
        <w:footnoteRef/>
      </w:r>
      <w:r>
        <w:rPr>
          <w:rtl/>
        </w:rPr>
        <w:t xml:space="preserve"> </w:t>
      </w:r>
      <w:r w:rsidRPr="00A11A36">
        <w:rPr>
          <w:rFonts w:cs="Arial"/>
          <w:rtl/>
        </w:rPr>
        <w:t>שלשה מחלוקת איכא בדין זה להרא"ש משמע דאינה יכלה לומר נ"ר עשיתי אלא כשהוא מכר לאחר והיא מסכמת למעשיו ואז י"ל הוכרחתי לעשות לו נ"ר כיון שהוא דחוק למכור אם לא הסכמתי היה אומר עיניך נתתה בגירושין והראב"ד סבירא ליה כשמחל' הוי כאלו עקרה שיעבוד' מעיקרו ואינה יכולה לומר נ"ר עשיתי, ולרמב"ן ורשב"א כתובה ותוספת מהני מכירה ומחילה אבל נצ"ב שייך איבה ולא מהני מכירה ומחילה</w:t>
      </w:r>
      <w:r>
        <w:rPr>
          <w:rFonts w:cs="Arial" w:hint="cs"/>
          <w:rtl/>
        </w:rPr>
        <w:t xml:space="preserve">, ב"ש (סע' קטן ס). וכ"כ הח"מ (סקנ"ז). וכתב עוד הב"ש (שם) דכדעת הרמב"ן והרשב"א </w:t>
      </w:r>
      <w:r w:rsidRPr="00A11A36">
        <w:rPr>
          <w:rFonts w:cs="Arial"/>
          <w:rtl/>
        </w:rPr>
        <w:t xml:space="preserve">כ"כ המגיד </w:t>
      </w:r>
      <w:r>
        <w:rPr>
          <w:rFonts w:cs="Arial" w:hint="cs"/>
          <w:rtl/>
        </w:rPr>
        <w:t xml:space="preserve">בשם </w:t>
      </w:r>
      <w:r w:rsidRPr="00A11A36">
        <w:rPr>
          <w:rFonts w:cs="Arial"/>
          <w:rtl/>
        </w:rPr>
        <w:t xml:space="preserve">הרמב"ם </w:t>
      </w:r>
      <w:r>
        <w:rPr>
          <w:rFonts w:cs="Arial" w:hint="cs"/>
          <w:rtl/>
        </w:rPr>
        <w:t>ד</w:t>
      </w:r>
      <w:r w:rsidRPr="00A11A36">
        <w:rPr>
          <w:rFonts w:cs="Arial"/>
          <w:rtl/>
        </w:rPr>
        <w:t>סבירא ליה מחילה לא מהני</w:t>
      </w:r>
      <w:r>
        <w:rPr>
          <w:rFonts w:cs="Arial" w:hint="cs"/>
          <w:rtl/>
        </w:rPr>
        <w:t>.</w:t>
      </w:r>
      <w:r w:rsidRPr="00A11A36">
        <w:rPr>
          <w:rFonts w:cs="Arial"/>
          <w:rtl/>
        </w:rPr>
        <w:t xml:space="preserve"> ולכאורה נראה דמוכח כן דהא כתב אבדו או נגנבו ומחלה מהני ש"מ אם היו הנכסים בעין לא מהני המחילה</w:t>
      </w:r>
      <w:r>
        <w:rPr>
          <w:rFonts w:cs="Arial" w:hint="cs"/>
          <w:rtl/>
        </w:rPr>
        <w:t>.</w:t>
      </w:r>
      <w:r w:rsidRPr="00A11A36">
        <w:rPr>
          <w:rFonts w:cs="Arial"/>
          <w:rtl/>
        </w:rPr>
        <w:t xml:space="preserve"> וקשה</w:t>
      </w:r>
      <w:r>
        <w:rPr>
          <w:rFonts w:cs="Arial" w:hint="cs"/>
          <w:rtl/>
        </w:rPr>
        <w:t>,</w:t>
      </w:r>
      <w:r w:rsidRPr="00A11A36">
        <w:rPr>
          <w:rFonts w:cs="Arial"/>
          <w:rtl/>
        </w:rPr>
        <w:t xml:space="preserve"> </w:t>
      </w:r>
      <w:r>
        <w:rPr>
          <w:rFonts w:cs="Arial" w:hint="cs"/>
          <w:rtl/>
        </w:rPr>
        <w:t>ד</w:t>
      </w:r>
      <w:r w:rsidRPr="00A11A36">
        <w:rPr>
          <w:rFonts w:cs="Arial"/>
          <w:rtl/>
        </w:rPr>
        <w:t>בסעיף זה הביא מחלוקת בדין זה וכאן איירי נמי כשהנכסים בעין</w:t>
      </w:r>
      <w:r>
        <w:rPr>
          <w:rFonts w:cs="Arial" w:hint="cs"/>
          <w:rtl/>
        </w:rPr>
        <w:t>.</w:t>
      </w:r>
      <w:r w:rsidRPr="00A11A36">
        <w:rPr>
          <w:rFonts w:cs="Arial"/>
          <w:rtl/>
        </w:rPr>
        <w:t xml:space="preserve"> ובסעיף י"ח סתם כדעת הרמב"ם</w:t>
      </w:r>
      <w:r>
        <w:rPr>
          <w:rFonts w:cs="Arial" w:hint="cs"/>
          <w:rtl/>
        </w:rPr>
        <w:t>.</w:t>
      </w:r>
      <w:r w:rsidRPr="00A11A36">
        <w:rPr>
          <w:rFonts w:cs="Arial"/>
          <w:rtl/>
        </w:rPr>
        <w:t xml:space="preserve"> ואפשר דכוונתו כשהם בעין איתא מחלוקת</w:t>
      </w:r>
      <w:r>
        <w:rPr>
          <w:rFonts w:cs="Arial" w:hint="cs"/>
          <w:rtl/>
        </w:rPr>
        <w:t>,</w:t>
      </w:r>
      <w:r w:rsidRPr="00A11A36">
        <w:rPr>
          <w:rFonts w:cs="Arial"/>
          <w:rtl/>
        </w:rPr>
        <w:t xml:space="preserve"> ולקמן קמ"ל כשאינן בעין לכולי עלמא מהני מחילה, ולא כבית יוסף וד"מ דכתבו דרמב"ם סבירא ליה דמהני המחיל', ונדוניא שלנו שכותבים על סך כך וכך מהני המחילה דהוי כדבר שאינו בעין כיון שכותבים על מעות וכן כתוב בתשובת ריב"ש סי' קמ"ט עיין שם, ועיין סי' ס"ג וסי' ק"ה והיינו לשיטות הריב"ש לדעת הרמב"ם כל שאינו בדין הדין שוה לכתובה</w:t>
      </w:r>
      <w:r>
        <w:rPr>
          <w:rFonts w:cs="Arial" w:hint="cs"/>
          <w:rtl/>
        </w:rPr>
        <w:t>.</w:t>
      </w:r>
    </w:p>
  </w:footnote>
  <w:footnote w:id="2109">
    <w:p w14:paraId="3B51B610" w14:textId="77777777" w:rsidR="00DF1FC7" w:rsidRDefault="00DF1FC7" w:rsidP="002E5BAD">
      <w:pPr>
        <w:pStyle w:val="a5"/>
      </w:pPr>
      <w:r>
        <w:rPr>
          <w:rStyle w:val="a7"/>
        </w:rPr>
        <w:footnoteRef/>
      </w:r>
      <w:r>
        <w:rPr>
          <w:rtl/>
        </w:rPr>
        <w:t xml:space="preserve"> </w:t>
      </w:r>
      <w:r w:rsidRPr="00A11A36">
        <w:rPr>
          <w:rFonts w:cs="Arial"/>
          <w:rtl/>
        </w:rPr>
        <w:t>וקשה כשהנכסי' בעין איך שייך מחילה דלא שייך מחילה אלא במעות הלואה כמ"ש בח"ה סי' רמ"א ואפשר כיון שהם באחריות שלו ועומד למכור כשהיא מסכים עמו הוי כאלו המעו' בידו ושייך מחיל' על זכות שלה</w:t>
      </w:r>
      <w:r>
        <w:rPr>
          <w:rFonts w:cs="Arial" w:hint="cs"/>
          <w:rtl/>
        </w:rPr>
        <w:t>, ב"ש (סע' קטן סא).</w:t>
      </w:r>
    </w:p>
  </w:footnote>
  <w:footnote w:id="2110">
    <w:p w14:paraId="48C244ED" w14:textId="77777777" w:rsidR="00DF1FC7" w:rsidRDefault="00DF1FC7" w:rsidP="002E5BAD">
      <w:pPr>
        <w:pStyle w:val="a5"/>
      </w:pPr>
      <w:r>
        <w:rPr>
          <w:rStyle w:val="a7"/>
        </w:rPr>
        <w:footnoteRef/>
      </w:r>
      <w:r>
        <w:rPr>
          <w:rtl/>
        </w:rPr>
        <w:t xml:space="preserve"> </w:t>
      </w:r>
      <w:r>
        <w:rPr>
          <w:rFonts w:cs="Arial"/>
          <w:rtl/>
        </w:rPr>
        <w:t>גזלני שדות, אנשים אלימים שמאיימים על בעלי שדות לרוצחם נפש אם לא יתנו להם את שדותיהם לפדיון נפשם.</w:t>
      </w:r>
      <w:r>
        <w:rPr>
          <w:rFonts w:cs="Arial" w:hint="cs"/>
          <w:rtl/>
        </w:rPr>
        <w:t>..</w:t>
      </w:r>
      <w:r>
        <w:rPr>
          <w:rFonts w:cs="Arial"/>
          <w:rtl/>
        </w:rPr>
        <w:t xml:space="preserve"> בימי מלחמת טיטוס ביהודה וירושלים, שהיו ישראל מופקרים להריגה, מפני שהיתה גזירה להרוג את כל ישראל, כל מי שנתן את שדהו לסיקריקון, כדי להציל את נפשו, היה גומר בלבו להקנות לו את שדהו</w:t>
      </w:r>
      <w:r>
        <w:rPr>
          <w:rFonts w:cs="Arial" w:hint="cs"/>
          <w:rtl/>
        </w:rPr>
        <w:t>.</w:t>
      </w:r>
      <w:r>
        <w:rPr>
          <w:rFonts w:cs="Arial"/>
          <w:rtl/>
        </w:rPr>
        <w:t xml:space="preserve"> לפיכך הקונה מן הסיקריקון באותם הימים, הרי זה כקונה מיד הבעלים, ומקחו קיים. לאחר אותה תקופה, כשבטלה הגזירה, אלא שמכל מקום היו באים גזלנים וגוזלים שדות מישראל, הדין הוא, שמי שקנה שדה מן הסיקריקון אף שחזר וקנה אותה גם מבעל השדה - מקחו בטל, לפי שלא מכר לו את השדה מרצונו כי אם מחמת מוראו מן הסיקריקון, ואמנם בעל השדה לא גמר בלבו להקנות לו את השדה, אלא חשב: "יקחנה לו עכשיו, ולמחר אתבע אותו לדין". ברם, אם קנה את השדה מבעליה תחילה, וחזר ושילם גם לסיקריקון כסף, כדי שישאיר בידו את השדה - מקחו קיים, ואין בעל השדה יכול לערער</w:t>
      </w:r>
      <w:r>
        <w:rPr>
          <w:rFonts w:cs="Arial" w:hint="cs"/>
          <w:rtl/>
        </w:rPr>
        <w:t xml:space="preserve"> (מושגים תלמודיים, הרב יהודה חיון)</w:t>
      </w:r>
      <w:r>
        <w:rPr>
          <w:rFonts w:cs="Arial"/>
          <w:rtl/>
        </w:rPr>
        <w:t>.</w:t>
      </w:r>
    </w:p>
  </w:footnote>
  <w:footnote w:id="2111">
    <w:p w14:paraId="5FDB2305" w14:textId="77777777" w:rsidR="00DF1FC7" w:rsidRDefault="00DF1FC7" w:rsidP="002E5BAD">
      <w:pPr>
        <w:pStyle w:val="a5"/>
        <w:rPr>
          <w:rtl/>
        </w:rPr>
      </w:pPr>
      <w:r>
        <w:rPr>
          <w:rStyle w:val="a7"/>
        </w:rPr>
        <w:footnoteRef/>
      </w:r>
      <w:r>
        <w:rPr>
          <w:rtl/>
        </w:rPr>
        <w:t xml:space="preserve"> </w:t>
      </w:r>
      <w:r w:rsidRPr="00F00788">
        <w:rPr>
          <w:rFonts w:cs="Arial"/>
          <w:rtl/>
        </w:rPr>
        <w:t>דמקחו בטל</w:t>
      </w:r>
      <w:r>
        <w:rPr>
          <w:rFonts w:hint="cs"/>
          <w:rtl/>
        </w:rPr>
        <w:t>, רש"י.</w:t>
      </w:r>
    </w:p>
  </w:footnote>
  <w:footnote w:id="2112">
    <w:p w14:paraId="74DB585F" w14:textId="77777777" w:rsidR="00DF1FC7" w:rsidRDefault="00DF1FC7" w:rsidP="002E5BAD">
      <w:pPr>
        <w:pStyle w:val="a5"/>
        <w:rPr>
          <w:rtl/>
        </w:rPr>
      </w:pPr>
      <w:r>
        <w:rPr>
          <w:rStyle w:val="a7"/>
        </w:rPr>
        <w:footnoteRef/>
      </w:r>
      <w:r>
        <w:rPr>
          <w:rtl/>
        </w:rPr>
        <w:t xml:space="preserve"> </w:t>
      </w:r>
      <w:r w:rsidRPr="00F00788">
        <w:rPr>
          <w:rFonts w:cs="Arial"/>
          <w:rtl/>
        </w:rPr>
        <w:t>בעלים לזה שלקח מסיקריקון</w:t>
      </w:r>
      <w:r>
        <w:rPr>
          <w:rFonts w:hint="cs"/>
          <w:rtl/>
        </w:rPr>
        <w:t>, רש"י.</w:t>
      </w:r>
    </w:p>
  </w:footnote>
  <w:footnote w:id="2113">
    <w:p w14:paraId="1DDA2163" w14:textId="77777777" w:rsidR="00DF1FC7" w:rsidRDefault="00DF1FC7" w:rsidP="002E5BAD">
      <w:pPr>
        <w:pStyle w:val="a5"/>
        <w:rPr>
          <w:rtl/>
        </w:rPr>
      </w:pPr>
      <w:r>
        <w:rPr>
          <w:rStyle w:val="a7"/>
        </w:rPr>
        <w:footnoteRef/>
      </w:r>
      <w:r>
        <w:rPr>
          <w:rtl/>
        </w:rPr>
        <w:t xml:space="preserve"> </w:t>
      </w:r>
      <w:r w:rsidRPr="00F00788">
        <w:rPr>
          <w:rFonts w:cs="Arial"/>
          <w:rtl/>
        </w:rPr>
        <w:t>בחזקה דכיון דדיבורא בעלמא הוא איכא למימר השני נוח לי</w:t>
      </w:r>
      <w:r>
        <w:rPr>
          <w:rFonts w:hint="cs"/>
          <w:rtl/>
        </w:rPr>
        <w:t>, רש"י.</w:t>
      </w:r>
    </w:p>
  </w:footnote>
  <w:footnote w:id="2114">
    <w:p w14:paraId="543F8398" w14:textId="77777777" w:rsidR="00DF1FC7" w:rsidRDefault="00DF1FC7" w:rsidP="002E5BAD">
      <w:pPr>
        <w:pStyle w:val="a5"/>
        <w:rPr>
          <w:rtl/>
        </w:rPr>
      </w:pPr>
      <w:r>
        <w:rPr>
          <w:rStyle w:val="a7"/>
        </w:rPr>
        <w:footnoteRef/>
      </w:r>
      <w:r>
        <w:rPr>
          <w:rtl/>
        </w:rPr>
        <w:t xml:space="preserve"> </w:t>
      </w:r>
      <w:r w:rsidRPr="00F00788">
        <w:rPr>
          <w:rFonts w:cs="Arial"/>
          <w:rtl/>
        </w:rPr>
        <w:t>אי כתב ליה שטרא בשמיה</w:t>
      </w:r>
      <w:r>
        <w:rPr>
          <w:rFonts w:hint="cs"/>
          <w:rtl/>
        </w:rPr>
        <w:t>, רש"י.</w:t>
      </w:r>
    </w:p>
  </w:footnote>
  <w:footnote w:id="2115">
    <w:p w14:paraId="23A833A4" w14:textId="77777777" w:rsidR="00DF1FC7" w:rsidRDefault="00DF1FC7" w:rsidP="002E5BAD">
      <w:pPr>
        <w:pStyle w:val="a5"/>
        <w:rPr>
          <w:rtl/>
        </w:rPr>
      </w:pPr>
      <w:r>
        <w:rPr>
          <w:rStyle w:val="a7"/>
        </w:rPr>
        <w:footnoteRef/>
      </w:r>
      <w:r>
        <w:rPr>
          <w:rtl/>
        </w:rPr>
        <w:t xml:space="preserve"> </w:t>
      </w:r>
      <w:r w:rsidRPr="00F00788">
        <w:rPr>
          <w:rFonts w:cs="Arial"/>
          <w:rtl/>
        </w:rPr>
        <w:t>דכולי האי לא הוה ליה למיעבד אי לאו דזבנה ליה מכר גמור ומדעת</w:t>
      </w:r>
      <w:r>
        <w:rPr>
          <w:rFonts w:hint="cs"/>
          <w:rtl/>
        </w:rPr>
        <w:t>, רש"י.</w:t>
      </w:r>
    </w:p>
  </w:footnote>
  <w:footnote w:id="2116">
    <w:p w14:paraId="06D1D0C1" w14:textId="77777777" w:rsidR="00DF1FC7" w:rsidRPr="00461662" w:rsidRDefault="00DF1FC7" w:rsidP="002E5BAD">
      <w:pPr>
        <w:pStyle w:val="a5"/>
        <w:rPr>
          <w:rFonts w:cs="Arial"/>
          <w:rtl/>
        </w:rPr>
      </w:pPr>
      <w:r>
        <w:rPr>
          <w:rStyle w:val="a7"/>
        </w:rPr>
        <w:footnoteRef/>
      </w:r>
      <w:r>
        <w:rPr>
          <w:rtl/>
        </w:rPr>
        <w:t xml:space="preserve"> </w:t>
      </w:r>
      <w:r w:rsidRPr="00F00788">
        <w:rPr>
          <w:rFonts w:cs="Arial"/>
          <w:rtl/>
        </w:rPr>
        <w:t>דאי טרפו לה מיניה לגבייה דמי ארעא</w:t>
      </w:r>
      <w:r>
        <w:rPr>
          <w:rFonts w:hint="cs"/>
          <w:rtl/>
        </w:rPr>
        <w:t xml:space="preserve">, רש"י. וכתב הרשב"א (בחידושיו על הדף) </w:t>
      </w:r>
      <w:r>
        <w:rPr>
          <w:rFonts w:cs="Arial" w:hint="cs"/>
          <w:rtl/>
        </w:rPr>
        <w:t>ד</w:t>
      </w:r>
      <w:r w:rsidRPr="00461662">
        <w:rPr>
          <w:rFonts w:cs="Arial"/>
          <w:rtl/>
        </w:rPr>
        <w:t>יש מי שפירש דאזיל לטעמיה דאמר בב"מ אחריות לאו טעות סופר הוא</w:t>
      </w:r>
      <w:r>
        <w:rPr>
          <w:rFonts w:cs="Arial" w:hint="cs"/>
          <w:rtl/>
        </w:rPr>
        <w:t>,</w:t>
      </w:r>
      <w:r w:rsidRPr="00461662">
        <w:rPr>
          <w:rFonts w:cs="Arial"/>
          <w:rtl/>
        </w:rPr>
        <w:t xml:space="preserve"> ולדידן דקי"ל אחריות טעות סופר הוא</w:t>
      </w:r>
      <w:r>
        <w:rPr>
          <w:rFonts w:cs="Arial" w:hint="cs"/>
          <w:rtl/>
        </w:rPr>
        <w:t xml:space="preserve"> -</w:t>
      </w:r>
      <w:r w:rsidRPr="00461662">
        <w:rPr>
          <w:rFonts w:cs="Arial"/>
          <w:rtl/>
        </w:rPr>
        <w:t xml:space="preserve"> כל שלא כתב בלא אחריות מפורש היינו כתיבת אחריות וקנה, וזהו דעת רבינו האי גאון ז"ל </w:t>
      </w:r>
      <w:r>
        <w:rPr>
          <w:rFonts w:cs="Arial" w:hint="cs"/>
          <w:rtl/>
        </w:rPr>
        <w:t>(</w:t>
      </w:r>
      <w:r w:rsidRPr="00461662">
        <w:rPr>
          <w:rFonts w:cs="Arial"/>
          <w:rtl/>
        </w:rPr>
        <w:t>בספר המקח בשער ל'</w:t>
      </w:r>
      <w:r>
        <w:rPr>
          <w:rFonts w:cs="Arial" w:hint="cs"/>
          <w:rtl/>
        </w:rPr>
        <w:t>)</w:t>
      </w:r>
      <w:r w:rsidRPr="00461662">
        <w:rPr>
          <w:rFonts w:cs="Arial"/>
          <w:rtl/>
        </w:rPr>
        <w:t xml:space="preserve"> דכל שלא פירש בלא אחריות היינו כותב אחריות</w:t>
      </w:r>
      <w:r>
        <w:rPr>
          <w:rFonts w:cs="Arial" w:hint="cs"/>
          <w:rtl/>
        </w:rPr>
        <w:t>.</w:t>
      </w:r>
      <w:r w:rsidRPr="00461662">
        <w:rPr>
          <w:rFonts w:cs="Arial"/>
          <w:rtl/>
        </w:rPr>
        <w:t xml:space="preserve"> ולא מיחוור</w:t>
      </w:r>
      <w:r>
        <w:rPr>
          <w:rFonts w:cs="Arial" w:hint="cs"/>
          <w:rtl/>
        </w:rPr>
        <w:t>,</w:t>
      </w:r>
      <w:r w:rsidRPr="00461662">
        <w:rPr>
          <w:rFonts w:cs="Arial"/>
          <w:rtl/>
        </w:rPr>
        <w:t xml:space="preserve"> דבעלמא קי"ל כמ"ד אחריות טעות סופר הוא</w:t>
      </w:r>
      <w:r>
        <w:rPr>
          <w:rFonts w:cs="Arial" w:hint="cs"/>
          <w:rtl/>
        </w:rPr>
        <w:t>,</w:t>
      </w:r>
      <w:r w:rsidRPr="00461662">
        <w:rPr>
          <w:rFonts w:cs="Arial"/>
          <w:rtl/>
        </w:rPr>
        <w:t xml:space="preserve"> ודלא כשמואל והכא מותבינן עלי' דרב ולסיועיה לשמואל, אלא ודאי הכא כיון דמחמת יראת סיקריקון כתב לו את השטר אף על גב דבעלמא קי"ל דמן הסתם אחריות טעות סופר הוא הכא לא אמרינן, דהתם היינו טעמא משום דלא שדי איניש זוזי בכדי ומוכר כי שקיל מיניה דלוקח זוזיה אדעתא דמקבל עליה אחריות שקלינהו אבל הכא דמינס אניס מוכר זה על כתיבת השטר דמשום נחת רוח דסיקריקון כתב ליה עד דמפרש ליה את האחריות ודאי לא אמרי' ביה אחריות טעות סופר הוא, והוא הדין בלוקח מן האיש וחזר ולקח מן האשה.</w:t>
      </w:r>
    </w:p>
  </w:footnote>
  <w:footnote w:id="2117">
    <w:p w14:paraId="3A423C1A" w14:textId="77777777" w:rsidR="00DF1FC7" w:rsidRDefault="00DF1FC7" w:rsidP="002E5BAD">
      <w:pPr>
        <w:pStyle w:val="a5"/>
      </w:pPr>
      <w:r>
        <w:rPr>
          <w:rStyle w:val="a7"/>
        </w:rPr>
        <w:footnoteRef/>
      </w:r>
      <w:r>
        <w:rPr>
          <w:rtl/>
        </w:rPr>
        <w:t xml:space="preserve"> </w:t>
      </w:r>
      <w:r>
        <w:rPr>
          <w:rFonts w:hint="cs"/>
          <w:rtl/>
        </w:rPr>
        <w:t xml:space="preserve">וכ"כ הרמב"ם (פי"ז מאישות הי"א) </w:t>
      </w:r>
      <w:r>
        <w:rPr>
          <w:rFonts w:cs="Arial" w:hint="cs"/>
          <w:rtl/>
        </w:rPr>
        <w:t xml:space="preserve">וז"ל- </w:t>
      </w:r>
      <w:r w:rsidRPr="007C1187">
        <w:rPr>
          <w:rFonts w:cs="Arial"/>
          <w:rtl/>
        </w:rPr>
        <w:t>הבעל שמכר נכסיו ואח"כ כתבה אשתו ללוקח דין ודברים אין לי עמך והסכימה למעשיו אף על פי שקנו ממנה הרי זו טורפת שלא כתבה לו אלא שלא תהיה בינה לבין בעלה קטטה ויש לה לומר נחת רוח עשיתי לבעלי.</w:t>
      </w:r>
    </w:p>
  </w:footnote>
  <w:footnote w:id="2118">
    <w:p w14:paraId="1A088FEF" w14:textId="77777777" w:rsidR="00DF1FC7" w:rsidRDefault="00DF1FC7" w:rsidP="002E5BAD">
      <w:pPr>
        <w:pStyle w:val="a5"/>
      </w:pPr>
      <w:r>
        <w:rPr>
          <w:rStyle w:val="a7"/>
        </w:rPr>
        <w:footnoteRef/>
      </w:r>
      <w:r>
        <w:rPr>
          <w:rtl/>
        </w:rPr>
        <w:t xml:space="preserve"> </w:t>
      </w:r>
      <w:r w:rsidRPr="005F7941">
        <w:rPr>
          <w:rFonts w:cs="Arial"/>
          <w:rtl/>
        </w:rPr>
        <w:t>וכתב הה</w:t>
      </w:r>
      <w:r>
        <w:rPr>
          <w:rFonts w:cs="Arial" w:hint="cs"/>
          <w:rtl/>
        </w:rPr>
        <w:t>"</w:t>
      </w:r>
      <w:r w:rsidRPr="005F7941">
        <w:rPr>
          <w:rFonts w:cs="Arial"/>
          <w:rtl/>
        </w:rPr>
        <w:t xml:space="preserve">מ </w:t>
      </w:r>
      <w:r w:rsidRPr="005F7941">
        <w:rPr>
          <w:rFonts w:cs="Arial" w:hint="cs"/>
          <w:sz w:val="16"/>
          <w:szCs w:val="16"/>
          <w:rtl/>
        </w:rPr>
        <w:t>(</w:t>
      </w:r>
      <w:r w:rsidRPr="005F7941">
        <w:rPr>
          <w:rFonts w:cs="Arial"/>
          <w:sz w:val="16"/>
          <w:szCs w:val="16"/>
          <w:rtl/>
        </w:rPr>
        <w:t xml:space="preserve">מכירה פ"ל ה"ג) </w:t>
      </w:r>
      <w:r w:rsidRPr="005F7941">
        <w:rPr>
          <w:rFonts w:cs="Arial"/>
          <w:rtl/>
        </w:rPr>
        <w:t>ותמה אני על המחבר איך לא ביאר זה כלומר שלא כתב שאם קיבלה עליה אחריות מכרו קיים</w:t>
      </w:r>
      <w:r>
        <w:rPr>
          <w:rFonts w:cs="Arial" w:hint="cs"/>
          <w:rtl/>
        </w:rPr>
        <w:t>, ב"י.</w:t>
      </w:r>
    </w:p>
  </w:footnote>
  <w:footnote w:id="2119">
    <w:p w14:paraId="5586792C" w14:textId="77777777" w:rsidR="00DF1FC7" w:rsidRDefault="00DF1FC7" w:rsidP="002E5BAD">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2120">
    <w:p w14:paraId="22E3736A" w14:textId="77777777" w:rsidR="00DF1FC7" w:rsidRDefault="00DF1FC7" w:rsidP="002E5BAD">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2121">
    <w:p w14:paraId="0ACF689A" w14:textId="77777777" w:rsidR="00DF1FC7" w:rsidRDefault="00DF1FC7" w:rsidP="002E5BAD">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2122">
    <w:p w14:paraId="51EC8D2C" w14:textId="77777777" w:rsidR="00DF1FC7" w:rsidRDefault="00DF1FC7" w:rsidP="002E5BAD">
      <w:pPr>
        <w:pStyle w:val="a5"/>
        <w:rPr>
          <w:rtl/>
        </w:rPr>
      </w:pPr>
      <w:r>
        <w:rPr>
          <w:rStyle w:val="a7"/>
        </w:rPr>
        <w:footnoteRef/>
      </w:r>
      <w:r>
        <w:rPr>
          <w:rtl/>
        </w:rPr>
        <w:t xml:space="preserve"> </w:t>
      </w:r>
      <w:r w:rsidRPr="006C343E">
        <w:rPr>
          <w:rFonts w:cs="Arial"/>
          <w:rtl/>
        </w:rPr>
        <w:t>ואמרי' בהכותב לאשתו דהיכא דקנו מידו מגופה של קרקע קנו מידו</w:t>
      </w:r>
      <w:r>
        <w:rPr>
          <w:rFonts w:hint="cs"/>
          <w:rtl/>
        </w:rPr>
        <w:t>, רש"י.</w:t>
      </w:r>
    </w:p>
  </w:footnote>
  <w:footnote w:id="2123">
    <w:p w14:paraId="7AF0B7C8" w14:textId="77777777" w:rsidR="00DF1FC7" w:rsidRDefault="00DF1FC7" w:rsidP="002E5BAD">
      <w:pPr>
        <w:pStyle w:val="a5"/>
        <w:rPr>
          <w:rtl/>
        </w:rPr>
      </w:pPr>
      <w:r>
        <w:rPr>
          <w:rStyle w:val="a7"/>
        </w:rPr>
        <w:footnoteRef/>
      </w:r>
      <w:r>
        <w:rPr>
          <w:rtl/>
        </w:rPr>
        <w:t xml:space="preserve"> </w:t>
      </w:r>
      <w:r w:rsidRPr="006C343E">
        <w:rPr>
          <w:rFonts w:cs="Arial"/>
          <w:rtl/>
        </w:rPr>
        <w:t>שטר מכר על שדה אחת</w:t>
      </w:r>
      <w:r>
        <w:rPr>
          <w:rFonts w:hint="cs"/>
          <w:rtl/>
        </w:rPr>
        <w:t>, רש"י.</w:t>
      </w:r>
    </w:p>
  </w:footnote>
  <w:footnote w:id="2124">
    <w:p w14:paraId="7FC77BF2" w14:textId="77777777" w:rsidR="00DF1FC7" w:rsidRDefault="00DF1FC7" w:rsidP="002E5BAD">
      <w:pPr>
        <w:pStyle w:val="a5"/>
        <w:rPr>
          <w:rtl/>
        </w:rPr>
      </w:pPr>
      <w:r>
        <w:rPr>
          <w:rStyle w:val="a7"/>
        </w:rPr>
        <w:footnoteRef/>
      </w:r>
      <w:r>
        <w:rPr>
          <w:rtl/>
        </w:rPr>
        <w:t xml:space="preserve"> </w:t>
      </w:r>
      <w:r w:rsidRPr="006C343E">
        <w:rPr>
          <w:rFonts w:cs="Arial"/>
          <w:rtl/>
        </w:rPr>
        <w:t>לא הודית באותו מכר וכתב שטר אחר ללוקח שני על שדה אחרת וחתמה לו</w:t>
      </w:r>
      <w:r>
        <w:rPr>
          <w:rFonts w:hint="cs"/>
          <w:rtl/>
        </w:rPr>
        <w:t>, רש"י.</w:t>
      </w:r>
    </w:p>
  </w:footnote>
  <w:footnote w:id="2125">
    <w:p w14:paraId="22EB02B4" w14:textId="77777777" w:rsidR="00DF1FC7" w:rsidRDefault="00DF1FC7" w:rsidP="002E5BAD">
      <w:pPr>
        <w:pStyle w:val="a5"/>
        <w:rPr>
          <w:rtl/>
        </w:rPr>
      </w:pPr>
      <w:r>
        <w:rPr>
          <w:rStyle w:val="a7"/>
        </w:rPr>
        <w:footnoteRef/>
      </w:r>
      <w:r>
        <w:rPr>
          <w:rtl/>
        </w:rPr>
        <w:t xml:space="preserve"> </w:t>
      </w:r>
      <w:r w:rsidRPr="006C343E">
        <w:rPr>
          <w:rFonts w:cs="Arial"/>
          <w:rtl/>
        </w:rPr>
        <w:t>אם אין שם בני חורין שהרי הראשון אומר הנחתי ליך מקום לגבות הימנו</w:t>
      </w:r>
      <w:r>
        <w:rPr>
          <w:rFonts w:hint="cs"/>
          <w:rtl/>
        </w:rPr>
        <w:t>, רש"י.</w:t>
      </w:r>
    </w:p>
  </w:footnote>
  <w:footnote w:id="2126">
    <w:p w14:paraId="2CD37CBF" w14:textId="77777777" w:rsidR="00DF1FC7" w:rsidRDefault="00DF1FC7" w:rsidP="002E5BAD">
      <w:pPr>
        <w:pStyle w:val="a5"/>
        <w:rPr>
          <w:rtl/>
        </w:rPr>
      </w:pPr>
      <w:r>
        <w:rPr>
          <w:rStyle w:val="a7"/>
        </w:rPr>
        <w:footnoteRef/>
      </w:r>
      <w:r>
        <w:rPr>
          <w:rtl/>
        </w:rPr>
        <w:t xml:space="preserve"> </w:t>
      </w:r>
      <w:r w:rsidRPr="006C343E">
        <w:rPr>
          <w:rFonts w:cs="Arial"/>
          <w:rtl/>
        </w:rPr>
        <w:t>מן השני תגבה</w:t>
      </w:r>
      <w:r>
        <w:rPr>
          <w:rFonts w:hint="cs"/>
          <w:rtl/>
        </w:rPr>
        <w:t>, רש"י.</w:t>
      </w:r>
    </w:p>
  </w:footnote>
  <w:footnote w:id="2127">
    <w:p w14:paraId="48657E8F" w14:textId="77777777" w:rsidR="00DF1FC7" w:rsidRDefault="00DF1FC7" w:rsidP="002E5BAD">
      <w:pPr>
        <w:pStyle w:val="a5"/>
        <w:rPr>
          <w:rtl/>
        </w:rPr>
      </w:pPr>
      <w:r>
        <w:rPr>
          <w:rStyle w:val="a7"/>
        </w:rPr>
        <w:footnoteRef/>
      </w:r>
      <w:r>
        <w:rPr>
          <w:rtl/>
        </w:rPr>
        <w:t xml:space="preserve"> </w:t>
      </w:r>
      <w:r w:rsidRPr="006C343E">
        <w:rPr>
          <w:rFonts w:cs="Arial"/>
          <w:rtl/>
        </w:rPr>
        <w:t>דסתמינהו למשניות הכא בכתובות סתם לן כר"מ ובמס' גיטין סתם לן מקחו בטל כר' יהודה</w:t>
      </w:r>
      <w:r>
        <w:rPr>
          <w:rFonts w:hint="cs"/>
          <w:rtl/>
        </w:rPr>
        <w:t>, רש"י.</w:t>
      </w:r>
    </w:p>
  </w:footnote>
  <w:footnote w:id="2128">
    <w:p w14:paraId="78B4FF40" w14:textId="77777777" w:rsidR="00DF1FC7" w:rsidRDefault="00DF1FC7" w:rsidP="002E5BAD">
      <w:pPr>
        <w:pStyle w:val="a5"/>
        <w:rPr>
          <w:rtl/>
        </w:rPr>
      </w:pPr>
      <w:r>
        <w:rPr>
          <w:rStyle w:val="a7"/>
        </w:rPr>
        <w:footnoteRef/>
      </w:r>
      <w:r>
        <w:rPr>
          <w:rtl/>
        </w:rPr>
        <w:t xml:space="preserve"> </w:t>
      </w:r>
      <w:r w:rsidRPr="006C343E">
        <w:rPr>
          <w:rFonts w:cs="Arial"/>
          <w:rtl/>
        </w:rPr>
        <w:t>מתני' כשהיתה גרושה ואחר כך כתבה לו ללוקח כן</w:t>
      </w:r>
      <w:r>
        <w:rPr>
          <w:rFonts w:hint="cs"/>
          <w:rtl/>
        </w:rPr>
        <w:t>, רש"י.</w:t>
      </w:r>
    </w:p>
  </w:footnote>
  <w:footnote w:id="2129">
    <w:p w14:paraId="52B12925" w14:textId="77777777" w:rsidR="00DF1FC7" w:rsidRDefault="00DF1FC7" w:rsidP="002E5BAD">
      <w:pPr>
        <w:pStyle w:val="a5"/>
        <w:rPr>
          <w:rtl/>
        </w:rPr>
      </w:pPr>
      <w:r>
        <w:rPr>
          <w:rStyle w:val="a7"/>
        </w:rPr>
        <w:footnoteRef/>
      </w:r>
      <w:r>
        <w:rPr>
          <w:rtl/>
        </w:rPr>
        <w:t xml:space="preserve"> </w:t>
      </w:r>
      <w:r w:rsidRPr="006C343E">
        <w:rPr>
          <w:rFonts w:cs="Arial"/>
          <w:rtl/>
        </w:rPr>
        <w:t>אפי' ביושבת תחתיו ותרוייהו סתמי כר"מ ומתני' דגיטין דלקח מן האיש וחזר ולקח מן האשה להכי מקחו בטל דעד כאן לא קאמר ר"מ בבריית' איבדה כתובתה אלא בשני לקוחות והא חזינן דבראשון לא עשתה נחת רוח לבעלה הלכך לא מצית למימר כי חתמה לשני נחת רוח עשיתי לבעלי</w:t>
      </w:r>
      <w:r>
        <w:rPr>
          <w:rFonts w:hint="cs"/>
          <w:rtl/>
        </w:rPr>
        <w:t>, רש"י.</w:t>
      </w:r>
    </w:p>
  </w:footnote>
  <w:footnote w:id="2130">
    <w:p w14:paraId="718443AF" w14:textId="77777777" w:rsidR="00DF1FC7" w:rsidRDefault="00DF1FC7" w:rsidP="002E5BAD">
      <w:pPr>
        <w:pStyle w:val="a5"/>
        <w:rPr>
          <w:rtl/>
        </w:rPr>
      </w:pPr>
      <w:r>
        <w:rPr>
          <w:rStyle w:val="a7"/>
        </w:rPr>
        <w:footnoteRef/>
      </w:r>
      <w:r>
        <w:rPr>
          <w:rtl/>
        </w:rPr>
        <w:t xml:space="preserve"> </w:t>
      </w:r>
      <w:r w:rsidRPr="006C343E">
        <w:rPr>
          <w:rFonts w:cs="Arial"/>
          <w:rtl/>
        </w:rPr>
        <w:t>דהכא דאשמעינן מינה חתימתה קיימת</w:t>
      </w:r>
      <w:r>
        <w:rPr>
          <w:rFonts w:hint="cs"/>
          <w:rtl/>
        </w:rPr>
        <w:t>, רש"י.</w:t>
      </w:r>
    </w:p>
  </w:footnote>
  <w:footnote w:id="2131">
    <w:p w14:paraId="7A258935" w14:textId="77777777" w:rsidR="00DF1FC7" w:rsidRDefault="00DF1FC7" w:rsidP="002E5BAD">
      <w:pPr>
        <w:pStyle w:val="a5"/>
        <w:rPr>
          <w:rtl/>
        </w:rPr>
      </w:pPr>
      <w:r>
        <w:rPr>
          <w:rStyle w:val="a7"/>
        </w:rPr>
        <w:footnoteRef/>
      </w:r>
      <w:r>
        <w:rPr>
          <w:rtl/>
        </w:rPr>
        <w:t xml:space="preserve"> </w:t>
      </w:r>
      <w:r w:rsidRPr="006C343E">
        <w:rPr>
          <w:rFonts w:cs="Arial"/>
          <w:rtl/>
        </w:rPr>
        <w:t>הבעל לאחר קודם לזה ולא חתמה לו ולזה חתמה</w:t>
      </w:r>
      <w:r>
        <w:rPr>
          <w:rFonts w:hint="cs"/>
          <w:rtl/>
        </w:rPr>
        <w:t>, רש"י.</w:t>
      </w:r>
    </w:p>
  </w:footnote>
  <w:footnote w:id="2132">
    <w:p w14:paraId="0D0DA12E" w14:textId="77777777" w:rsidR="00DF1FC7" w:rsidRDefault="00DF1FC7" w:rsidP="002E5BAD">
      <w:pPr>
        <w:pStyle w:val="a5"/>
      </w:pPr>
      <w:r>
        <w:rPr>
          <w:rStyle w:val="a7"/>
        </w:rPr>
        <w:footnoteRef/>
      </w:r>
      <w:r>
        <w:rPr>
          <w:rtl/>
        </w:rPr>
        <w:t xml:space="preserve"> </w:t>
      </w:r>
      <w:r>
        <w:rPr>
          <w:rFonts w:cs="Arial" w:hint="cs"/>
          <w:rtl/>
        </w:rPr>
        <w:t xml:space="preserve">וז"ל- </w:t>
      </w:r>
      <w:r w:rsidRPr="008C513A">
        <w:rPr>
          <w:rFonts w:cs="Arial"/>
          <w:rtl/>
        </w:rPr>
        <w:t>וכן אם מכר לאחד ולא נתרצית במכר</w:t>
      </w:r>
      <w:r>
        <w:rPr>
          <w:rFonts w:cs="Arial" w:hint="cs"/>
          <w:rtl/>
        </w:rPr>
        <w:t>,</w:t>
      </w:r>
      <w:r w:rsidRPr="008C513A">
        <w:rPr>
          <w:rFonts w:cs="Arial"/>
          <w:rtl/>
        </w:rPr>
        <w:t xml:space="preserve"> ואח"כ מכר לאחר לא שנא אותו קרקע ולא שנא אחרת</w:t>
      </w:r>
      <w:r>
        <w:rPr>
          <w:rFonts w:cs="Arial" w:hint="cs"/>
          <w:rtl/>
        </w:rPr>
        <w:t>,</w:t>
      </w:r>
      <w:r w:rsidRPr="008C513A">
        <w:rPr>
          <w:rFonts w:cs="Arial"/>
          <w:rtl/>
        </w:rPr>
        <w:t xml:space="preserve"> ונתרצית וחתמה לו </w:t>
      </w:r>
      <w:r>
        <w:rPr>
          <w:rFonts w:cs="Arial" w:hint="cs"/>
          <w:rtl/>
        </w:rPr>
        <w:t xml:space="preserve">- </w:t>
      </w:r>
      <w:r w:rsidRPr="008C513A">
        <w:rPr>
          <w:rFonts w:cs="Arial"/>
          <w:rtl/>
        </w:rPr>
        <w:t>קנה</w:t>
      </w:r>
      <w:r>
        <w:rPr>
          <w:rFonts w:cs="Arial" w:hint="cs"/>
          <w:rtl/>
        </w:rPr>
        <w:t>,</w:t>
      </w:r>
      <w:r w:rsidRPr="008C513A">
        <w:rPr>
          <w:rFonts w:cs="Arial"/>
          <w:rtl/>
        </w:rPr>
        <w:t xml:space="preserve"> ואינה יכולה לומר נחת רוה עשיתי לבעלי</w:t>
      </w:r>
      <w:r>
        <w:rPr>
          <w:rFonts w:cs="Arial" w:hint="cs"/>
          <w:rtl/>
        </w:rPr>
        <w:t>,</w:t>
      </w:r>
      <w:r w:rsidRPr="008C513A">
        <w:rPr>
          <w:rFonts w:cs="Arial"/>
          <w:rtl/>
        </w:rPr>
        <w:t xml:space="preserve"> כיון שלא נתרצית לראשון</w:t>
      </w:r>
      <w:r w:rsidRPr="007C1187">
        <w:rPr>
          <w:rFonts w:cs="Arial"/>
          <w:rtl/>
        </w:rPr>
        <w:t>.</w:t>
      </w:r>
    </w:p>
  </w:footnote>
  <w:footnote w:id="2133">
    <w:p w14:paraId="5EED1CFA" w14:textId="77777777" w:rsidR="00DF1FC7" w:rsidRDefault="00DF1FC7" w:rsidP="002E5BAD">
      <w:pPr>
        <w:pStyle w:val="a5"/>
      </w:pPr>
      <w:r>
        <w:rPr>
          <w:rStyle w:val="a7"/>
        </w:rPr>
        <w:footnoteRef/>
      </w:r>
      <w:r>
        <w:rPr>
          <w:rtl/>
        </w:rPr>
        <w:t xml:space="preserve"> </w:t>
      </w:r>
      <w:r w:rsidRPr="007C1187">
        <w:rPr>
          <w:rFonts w:cs="Arial"/>
          <w:rtl/>
        </w:rPr>
        <w:t>וכתב הרב המגיד כתב רבינו ונפסד המכר ונראה מדבריו שאם לא נתבטל המכר מחמת שלא חתמה לו יכולה היא לומר לשני כשחתמה לו נחת רוח עשיתי לבעלי ומה שלא עשיתי כן לראשון לפי שלא היה לו צורך בכך שהרי אפילו בלא חתימתי נתקיים המכר ודברי טעם הם</w:t>
      </w:r>
      <w:r w:rsidRPr="007C1187">
        <w:rPr>
          <w:rFonts w:cs="Arial" w:hint="cs"/>
          <w:rtl/>
        </w:rPr>
        <w:t>.</w:t>
      </w:r>
      <w:r w:rsidRPr="007C1187">
        <w:rPr>
          <w:rFonts w:cs="Arial"/>
          <w:rtl/>
        </w:rPr>
        <w:t xml:space="preserve"> אלא שקשה לזה</w:t>
      </w:r>
      <w:r w:rsidRPr="007C1187">
        <w:rPr>
          <w:rFonts w:cs="Arial" w:hint="cs"/>
          <w:rtl/>
        </w:rPr>
        <w:t>,</w:t>
      </w:r>
      <w:r w:rsidRPr="007C1187">
        <w:rPr>
          <w:rFonts w:cs="Arial"/>
          <w:rtl/>
        </w:rPr>
        <w:t xml:space="preserve"> דהתם בבעיא דאשתדיף בני חרי משמע בהדיא דברייתא דכתבה לראשון ולא חתמה לשני וחתמה איבדה כתובתה היא אפילו בשנתקיים המכר הראשון וכוונת רבינו במה שכתב ונפסד המכר צריכה תלמוד עכ"ל</w:t>
      </w:r>
      <w:r>
        <w:rPr>
          <w:rFonts w:cs="Arial" w:hint="cs"/>
          <w:rtl/>
        </w:rPr>
        <w:t>, ב"י</w:t>
      </w:r>
      <w:r w:rsidRPr="007C1187">
        <w:rPr>
          <w:rFonts w:cs="Arial"/>
          <w:rtl/>
        </w:rPr>
        <w:t>.</w:t>
      </w:r>
      <w:r w:rsidRPr="00881E59">
        <w:rPr>
          <w:rFonts w:cs="Arial"/>
          <w:rtl/>
        </w:rPr>
        <w:t xml:space="preserve"> </w:t>
      </w:r>
      <w:r w:rsidRPr="00843F99">
        <w:rPr>
          <w:rFonts w:cs="Arial"/>
          <w:rtl/>
        </w:rPr>
        <w:t>וכ"כ הר"ן פרק מי שהיה נשוי (נד: ד"ה גמ') דלא בעינן שנתבטל מקח הראשון וע"ל סימן ק' מדינים אלו</w:t>
      </w:r>
      <w:r>
        <w:rPr>
          <w:rFonts w:cs="Arial" w:hint="cs"/>
          <w:rtl/>
        </w:rPr>
        <w:t>, דרכ"מ (אות יח).</w:t>
      </w:r>
      <w:r w:rsidRPr="005C5D4E">
        <w:rPr>
          <w:rtl/>
        </w:rPr>
        <w:t xml:space="preserve"> </w:t>
      </w:r>
      <w:r w:rsidRPr="005C5D4E">
        <w:rPr>
          <w:rFonts w:cs="Arial"/>
          <w:rtl/>
        </w:rPr>
        <w:t>וכן בטור השמיט תיבות אלו</w:t>
      </w:r>
      <w:r>
        <w:rPr>
          <w:rFonts w:cs="Arial" w:hint="cs"/>
          <w:sz w:val="16"/>
          <w:szCs w:val="16"/>
          <w:rtl/>
        </w:rPr>
        <w:t xml:space="preserve"> {'ונפסד המכר'}</w:t>
      </w:r>
      <w:r>
        <w:rPr>
          <w:rFonts w:cs="Arial" w:hint="cs"/>
          <w:rtl/>
        </w:rPr>
        <w:t>,</w:t>
      </w:r>
      <w:r w:rsidRPr="005C5D4E">
        <w:rPr>
          <w:rFonts w:cs="Arial"/>
          <w:rtl/>
        </w:rPr>
        <w:t xml:space="preserve"> ובב"ח נדחק לקיים דברי הרמב"ם שהם דוקא ואין דבריו ברורים</w:t>
      </w:r>
      <w:r>
        <w:rPr>
          <w:rFonts w:cs="Arial" w:hint="cs"/>
          <w:rtl/>
        </w:rPr>
        <w:t>, ח"מ (סקנ"ח).</w:t>
      </w:r>
    </w:p>
  </w:footnote>
  <w:footnote w:id="2134">
    <w:p w14:paraId="497D96A9" w14:textId="77777777" w:rsidR="00DF1FC7" w:rsidRDefault="00DF1FC7" w:rsidP="002E5BAD">
      <w:pPr>
        <w:pStyle w:val="a5"/>
      </w:pPr>
      <w:r>
        <w:rPr>
          <w:rStyle w:val="a7"/>
        </w:rPr>
        <w:footnoteRef/>
      </w:r>
      <w:r>
        <w:rPr>
          <w:rFonts w:cs="Arial" w:hint="cs"/>
          <w:rtl/>
        </w:rPr>
        <w:t xml:space="preserve"> </w:t>
      </w:r>
      <w:r w:rsidRPr="00741D85">
        <w:rPr>
          <w:rFonts w:cs="Arial"/>
          <w:rtl/>
        </w:rPr>
        <w:t>עיין בתשובת הרשב"א שאכתוב בסימן שאחר זה. עיין במישרים נכ"ג ח"ד דינים דשייכי לסימן זה</w:t>
      </w:r>
      <w:r>
        <w:rPr>
          <w:rFonts w:cs="Arial" w:hint="cs"/>
          <w:rtl/>
        </w:rPr>
        <w:t>, ב"י.</w:t>
      </w:r>
    </w:p>
  </w:footnote>
  <w:footnote w:id="2135">
    <w:p w14:paraId="7209A430" w14:textId="77777777" w:rsidR="00DF1FC7" w:rsidRDefault="00DF1FC7" w:rsidP="002E5BAD">
      <w:pPr>
        <w:pStyle w:val="a5"/>
      </w:pPr>
      <w:r>
        <w:rPr>
          <w:rStyle w:val="a7"/>
        </w:rPr>
        <w:footnoteRef/>
      </w:r>
      <w:r>
        <w:rPr>
          <w:rtl/>
        </w:rPr>
        <w:t xml:space="preserve"> </w:t>
      </w:r>
      <w:r>
        <w:rPr>
          <w:rFonts w:cs="Arial" w:hint="cs"/>
          <w:rtl/>
        </w:rPr>
        <w:t>הביאוהו ה</w:t>
      </w:r>
      <w:r w:rsidRPr="00843F99">
        <w:rPr>
          <w:rFonts w:cs="Arial"/>
          <w:rtl/>
        </w:rPr>
        <w:t xml:space="preserve">מרדכי </w:t>
      </w:r>
      <w:r>
        <w:rPr>
          <w:rFonts w:cs="Arial" w:hint="cs"/>
          <w:rtl/>
        </w:rPr>
        <w:t xml:space="preserve">(כתובות </w:t>
      </w:r>
      <w:r w:rsidRPr="00843F99">
        <w:rPr>
          <w:rFonts w:cs="Arial"/>
          <w:rtl/>
        </w:rPr>
        <w:t>סי' ריב)</w:t>
      </w:r>
      <w:r w:rsidRPr="006A72F9">
        <w:rPr>
          <w:rFonts w:cs="Arial"/>
          <w:rtl/>
        </w:rPr>
        <w:t xml:space="preserve"> </w:t>
      </w:r>
      <w:r>
        <w:rPr>
          <w:rFonts w:cs="Arial" w:hint="cs"/>
          <w:rtl/>
        </w:rPr>
        <w:t>הגה"מ</w:t>
      </w:r>
      <w:r w:rsidRPr="00843F99">
        <w:rPr>
          <w:rFonts w:cs="Arial"/>
          <w:rtl/>
        </w:rPr>
        <w:t xml:space="preserve"> </w:t>
      </w:r>
      <w:r>
        <w:rPr>
          <w:rFonts w:cs="Arial" w:hint="cs"/>
          <w:rtl/>
        </w:rPr>
        <w:t>(</w:t>
      </w:r>
      <w:r w:rsidRPr="00843F99">
        <w:rPr>
          <w:rFonts w:cs="Arial"/>
          <w:rtl/>
        </w:rPr>
        <w:t>פכ"ג דאישות אות ב)</w:t>
      </w:r>
      <w:r>
        <w:rPr>
          <w:rFonts w:cs="Arial" w:hint="cs"/>
          <w:rtl/>
        </w:rPr>
        <w:t xml:space="preserve"> והג"א (כתבות פ"ט סי' א הגהה ג). </w:t>
      </w:r>
      <w:r w:rsidRPr="00843F99">
        <w:rPr>
          <w:rFonts w:cs="Arial"/>
          <w:rtl/>
        </w:rPr>
        <w:t>והובא בב"י סי</w:t>
      </w:r>
      <w:r>
        <w:rPr>
          <w:rFonts w:cs="Arial" w:hint="cs"/>
          <w:rtl/>
        </w:rPr>
        <w:t>'</w:t>
      </w:r>
      <w:r w:rsidRPr="00843F99">
        <w:rPr>
          <w:rFonts w:cs="Arial"/>
          <w:rtl/>
        </w:rPr>
        <w:t xml:space="preserve"> צב</w:t>
      </w:r>
      <w:r>
        <w:rPr>
          <w:rFonts w:cs="Arial" w:hint="cs"/>
          <w:rtl/>
        </w:rPr>
        <w:t>.</w:t>
      </w:r>
    </w:p>
  </w:footnote>
  <w:footnote w:id="2136">
    <w:p w14:paraId="76ECBA9F" w14:textId="77777777" w:rsidR="00DF1FC7" w:rsidRPr="00F54442" w:rsidRDefault="00DF1FC7" w:rsidP="002E5BAD">
      <w:pPr>
        <w:pStyle w:val="a5"/>
        <w:rPr>
          <w:rFonts w:cs="Arial"/>
        </w:rPr>
      </w:pPr>
      <w:r>
        <w:rPr>
          <w:rStyle w:val="a7"/>
        </w:rPr>
        <w:footnoteRef/>
      </w:r>
      <w:r>
        <w:rPr>
          <w:rtl/>
        </w:rPr>
        <w:t xml:space="preserve"> </w:t>
      </w:r>
      <w:r w:rsidRPr="007D764D">
        <w:rPr>
          <w:rFonts w:cs="Arial"/>
          <w:rtl/>
        </w:rPr>
        <w:t>ה"ה אם כתבה שטר בפני עצמו מהני אפי</w:t>
      </w:r>
      <w:r>
        <w:rPr>
          <w:rFonts w:cs="Arial" w:hint="cs"/>
          <w:rtl/>
        </w:rPr>
        <w:t>לו</w:t>
      </w:r>
      <w:r w:rsidRPr="007D764D">
        <w:rPr>
          <w:rFonts w:cs="Arial"/>
          <w:rtl/>
        </w:rPr>
        <w:t xml:space="preserve"> כתבה אחר מכירת הבעל</w:t>
      </w:r>
      <w:r>
        <w:rPr>
          <w:rFonts w:cs="Arial" w:hint="cs"/>
          <w:rtl/>
        </w:rPr>
        <w:t>,</w:t>
      </w:r>
      <w:r w:rsidRPr="007D764D">
        <w:rPr>
          <w:rFonts w:cs="Arial"/>
          <w:rtl/>
        </w:rPr>
        <w:t xml:space="preserve"> ואי</w:t>
      </w:r>
      <w:r>
        <w:rPr>
          <w:rFonts w:cs="Arial" w:hint="cs"/>
          <w:rtl/>
        </w:rPr>
        <w:t>נה יכולה</w:t>
      </w:r>
      <w:r w:rsidRPr="007D764D">
        <w:rPr>
          <w:rFonts w:cs="Arial"/>
          <w:rtl/>
        </w:rPr>
        <w:t xml:space="preserve"> לו</w:t>
      </w:r>
      <w:r>
        <w:rPr>
          <w:rFonts w:cs="Arial" w:hint="cs"/>
          <w:rtl/>
        </w:rPr>
        <w:t>מר</w:t>
      </w:r>
      <w:r w:rsidRPr="007D764D">
        <w:rPr>
          <w:rFonts w:cs="Arial"/>
          <w:rtl/>
        </w:rPr>
        <w:t xml:space="preserve"> נ</w:t>
      </w:r>
      <w:r>
        <w:rPr>
          <w:rFonts w:cs="Arial" w:hint="cs"/>
          <w:rtl/>
        </w:rPr>
        <w:t xml:space="preserve">חת </w:t>
      </w:r>
      <w:r w:rsidRPr="007D764D">
        <w:rPr>
          <w:rFonts w:cs="Arial"/>
          <w:rtl/>
        </w:rPr>
        <w:t>ר</w:t>
      </w:r>
      <w:r>
        <w:rPr>
          <w:rFonts w:cs="Arial" w:hint="cs"/>
          <w:rtl/>
        </w:rPr>
        <w:t>וח</w:t>
      </w:r>
      <w:r w:rsidRPr="007D764D">
        <w:rPr>
          <w:rFonts w:cs="Arial"/>
          <w:rtl/>
        </w:rPr>
        <w:t xml:space="preserve"> לבעלי עשיתי</w:t>
      </w:r>
      <w:r>
        <w:rPr>
          <w:rFonts w:cs="Arial" w:hint="cs"/>
          <w:rtl/>
        </w:rPr>
        <w:t>,</w:t>
      </w:r>
      <w:r w:rsidRPr="007D764D">
        <w:rPr>
          <w:rFonts w:cs="Arial"/>
          <w:rtl/>
        </w:rPr>
        <w:t xml:space="preserve"> דכולי האי לא עבדה</w:t>
      </w:r>
      <w:r>
        <w:rPr>
          <w:rFonts w:cs="Arial" w:hint="cs"/>
          <w:rtl/>
        </w:rPr>
        <w:t>.</w:t>
      </w:r>
      <w:r w:rsidRPr="007D764D">
        <w:rPr>
          <w:rFonts w:cs="Arial"/>
          <w:rtl/>
        </w:rPr>
        <w:t xml:space="preserve"> עיין תוס' </w:t>
      </w:r>
      <w:r>
        <w:rPr>
          <w:rFonts w:cs="Arial" w:hint="cs"/>
          <w:rtl/>
        </w:rPr>
        <w:t>(</w:t>
      </w:r>
      <w:r w:rsidRPr="007D764D">
        <w:rPr>
          <w:rFonts w:cs="Arial"/>
          <w:rtl/>
        </w:rPr>
        <w:t>כתובות</w:t>
      </w:r>
      <w:r>
        <w:rPr>
          <w:rFonts w:cs="Arial" w:hint="cs"/>
          <w:rtl/>
        </w:rPr>
        <w:t xml:space="preserve"> </w:t>
      </w:r>
      <w:r w:rsidRPr="007D764D">
        <w:rPr>
          <w:rFonts w:cs="Arial"/>
          <w:rtl/>
        </w:rPr>
        <w:t>צה</w:t>
      </w:r>
      <w:r>
        <w:rPr>
          <w:rFonts w:cs="Arial" w:hint="cs"/>
          <w:rtl/>
        </w:rPr>
        <w:t>)</w:t>
      </w:r>
      <w:r w:rsidRPr="007D764D">
        <w:rPr>
          <w:rFonts w:cs="Arial"/>
          <w:rtl/>
        </w:rPr>
        <w:t xml:space="preserve"> וכ"כ בהג"מ ובמרדכי</w:t>
      </w:r>
      <w:r>
        <w:rPr>
          <w:rFonts w:cs="Arial" w:hint="cs"/>
          <w:rtl/>
        </w:rPr>
        <w:t>, ב"ש (סע' קטן סב).</w:t>
      </w:r>
      <w:r w:rsidRPr="007D764D">
        <w:rPr>
          <w:rFonts w:cs="Arial"/>
          <w:rtl/>
        </w:rPr>
        <w:t xml:space="preserve"> </w:t>
      </w:r>
      <w:r>
        <w:rPr>
          <w:rFonts w:cs="Arial" w:hint="cs"/>
          <w:rtl/>
        </w:rPr>
        <w:t>וכ"כ הבאה"ט (אות מג) בשמו.</w:t>
      </w:r>
      <w:r w:rsidRPr="008D6295">
        <w:rPr>
          <w:rFonts w:cs="Arial"/>
          <w:rtl/>
        </w:rPr>
        <w:t xml:space="preserve"> </w:t>
      </w:r>
      <w:r>
        <w:rPr>
          <w:rFonts w:cs="Arial" w:hint="cs"/>
          <w:rtl/>
        </w:rPr>
        <w:t>אבל</w:t>
      </w:r>
      <w:r w:rsidRPr="00A11A36">
        <w:rPr>
          <w:rFonts w:cs="Arial"/>
          <w:rtl/>
        </w:rPr>
        <w:t xml:space="preserve"> בס' ישועות יעקב </w:t>
      </w:r>
      <w:r>
        <w:rPr>
          <w:rFonts w:cs="Arial" w:hint="cs"/>
          <w:rtl/>
        </w:rPr>
        <w:t>(</w:t>
      </w:r>
      <w:r w:rsidRPr="00A11A36">
        <w:rPr>
          <w:rFonts w:cs="Arial"/>
          <w:rtl/>
        </w:rPr>
        <w:t>סקי"ט</w:t>
      </w:r>
      <w:r>
        <w:rPr>
          <w:rFonts w:cs="Arial" w:hint="cs"/>
          <w:rtl/>
        </w:rPr>
        <w:t>, הביאו הפת"ש סקט"ז)</w:t>
      </w:r>
      <w:r w:rsidRPr="00A11A36">
        <w:rPr>
          <w:rFonts w:cs="Arial"/>
          <w:rtl/>
        </w:rPr>
        <w:t xml:space="preserve"> השיג עליו ודעתו לדינא דלא כהב"ש</w:t>
      </w:r>
      <w:r>
        <w:rPr>
          <w:rFonts w:cs="Arial" w:hint="cs"/>
          <w:rtl/>
        </w:rPr>
        <w:t>. ועוד כתב הב"ש (סע' קטן סב) ד</w:t>
      </w:r>
      <w:r w:rsidRPr="007D764D">
        <w:rPr>
          <w:rFonts w:cs="Arial"/>
          <w:rtl/>
        </w:rPr>
        <w:t>אם הוא רוצה ליקח הלואה והיא סלקה כחה מנכסיו ואח"כ לקח הלואה</w:t>
      </w:r>
      <w:r>
        <w:rPr>
          <w:rFonts w:cs="Arial" w:hint="cs"/>
          <w:rtl/>
        </w:rPr>
        <w:t xml:space="preserve"> -</w:t>
      </w:r>
      <w:r w:rsidRPr="007D764D">
        <w:rPr>
          <w:rFonts w:cs="Arial"/>
          <w:rtl/>
        </w:rPr>
        <w:t xml:space="preserve"> הוי כקנין אשה וה</w:t>
      </w:r>
      <w:r>
        <w:rPr>
          <w:rFonts w:cs="Arial" w:hint="cs"/>
          <w:rtl/>
        </w:rPr>
        <w:t>דר בעלה,</w:t>
      </w:r>
      <w:r w:rsidRPr="007D764D">
        <w:rPr>
          <w:rFonts w:cs="Arial"/>
          <w:rtl/>
        </w:rPr>
        <w:t xml:space="preserve"> עיין ב</w:t>
      </w:r>
      <w:r>
        <w:rPr>
          <w:rFonts w:cs="Arial" w:hint="cs"/>
          <w:rtl/>
        </w:rPr>
        <w:t xml:space="preserve">דק </w:t>
      </w:r>
      <w:r w:rsidRPr="007D764D">
        <w:rPr>
          <w:rFonts w:cs="Arial"/>
          <w:rtl/>
        </w:rPr>
        <w:t>ה</w:t>
      </w:r>
      <w:r>
        <w:rPr>
          <w:rFonts w:cs="Arial" w:hint="cs"/>
          <w:rtl/>
        </w:rPr>
        <w:t>בית.</w:t>
      </w:r>
    </w:p>
  </w:footnote>
  <w:footnote w:id="2137">
    <w:p w14:paraId="72C06942" w14:textId="77777777" w:rsidR="00DF1FC7" w:rsidRDefault="00DF1FC7" w:rsidP="002E5BAD">
      <w:pPr>
        <w:pStyle w:val="a5"/>
      </w:pPr>
      <w:r>
        <w:rPr>
          <w:rStyle w:val="a7"/>
        </w:rPr>
        <w:footnoteRef/>
      </w:r>
      <w:r>
        <w:rPr>
          <w:rtl/>
        </w:rPr>
        <w:t xml:space="preserve"> </w:t>
      </w:r>
      <w:r w:rsidRPr="008D6295">
        <w:rPr>
          <w:rFonts w:cs="Arial"/>
          <w:rtl/>
        </w:rPr>
        <w:t>עכשיו נוהגים דכותבין אחריות וקוני</w:t>
      </w:r>
      <w:r>
        <w:rPr>
          <w:rFonts w:cs="Arial" w:hint="cs"/>
          <w:rtl/>
        </w:rPr>
        <w:t>ם</w:t>
      </w:r>
      <w:r w:rsidRPr="008D6295">
        <w:rPr>
          <w:rFonts w:cs="Arial"/>
          <w:rtl/>
        </w:rPr>
        <w:t xml:space="preserve"> מן האשה וה</w:t>
      </w:r>
      <w:r>
        <w:rPr>
          <w:rFonts w:cs="Arial" w:hint="cs"/>
          <w:rtl/>
        </w:rPr>
        <w:t xml:space="preserve">דר </w:t>
      </w:r>
      <w:r w:rsidRPr="008D6295">
        <w:rPr>
          <w:rFonts w:cs="Arial"/>
          <w:rtl/>
        </w:rPr>
        <w:t>ב</w:t>
      </w:r>
      <w:r>
        <w:rPr>
          <w:rFonts w:cs="Arial" w:hint="cs"/>
          <w:rtl/>
        </w:rPr>
        <w:t>עלה,</w:t>
      </w:r>
      <w:r w:rsidRPr="008D6295">
        <w:rPr>
          <w:rFonts w:cs="Arial"/>
          <w:rtl/>
        </w:rPr>
        <w:t xml:space="preserve"> ולא </w:t>
      </w:r>
      <w:r>
        <w:rPr>
          <w:rFonts w:cs="Arial" w:hint="cs"/>
          <w:rtl/>
        </w:rPr>
        <w:t xml:space="preserve">קודם </w:t>
      </w:r>
      <w:r w:rsidRPr="008D6295">
        <w:rPr>
          <w:rFonts w:cs="Arial"/>
          <w:rtl/>
        </w:rPr>
        <w:t>הבעל</w:t>
      </w:r>
      <w:r>
        <w:rPr>
          <w:rFonts w:cs="Arial" w:hint="cs"/>
          <w:rtl/>
        </w:rPr>
        <w:t>,</w:t>
      </w:r>
      <w:r w:rsidRPr="008D6295">
        <w:rPr>
          <w:rFonts w:cs="Arial"/>
          <w:rtl/>
        </w:rPr>
        <w:t xml:space="preserve"> מזה נראה דאחריות שכותבים בשטר לא קאי אלא על האיש ולא על האשה</w:t>
      </w:r>
      <w:r>
        <w:rPr>
          <w:rFonts w:cs="Arial" w:hint="cs"/>
          <w:rtl/>
        </w:rPr>
        <w:t>.</w:t>
      </w:r>
      <w:r w:rsidRPr="008D6295">
        <w:rPr>
          <w:rFonts w:cs="Arial"/>
          <w:rtl/>
        </w:rPr>
        <w:t xml:space="preserve"> דאם אחריות קאי על שניהם היו יכולים לעשות קנין אפי</w:t>
      </w:r>
      <w:r>
        <w:rPr>
          <w:rFonts w:cs="Arial" w:hint="cs"/>
          <w:rtl/>
        </w:rPr>
        <w:t>לו</w:t>
      </w:r>
      <w:r w:rsidRPr="008D6295">
        <w:rPr>
          <w:rFonts w:cs="Arial"/>
          <w:rtl/>
        </w:rPr>
        <w:t xml:space="preserve"> מן האיש תחלה</w:t>
      </w:r>
      <w:r>
        <w:rPr>
          <w:rFonts w:cs="Arial" w:hint="cs"/>
          <w:rtl/>
        </w:rPr>
        <w:t>.</w:t>
      </w:r>
      <w:r w:rsidRPr="008D6295">
        <w:rPr>
          <w:rFonts w:cs="Arial"/>
          <w:rtl/>
        </w:rPr>
        <w:t xml:space="preserve"> אלא הקנין שעשתה היא אינו אלא שהיא א</w:t>
      </w:r>
      <w:r>
        <w:rPr>
          <w:rFonts w:cs="Arial" w:hint="cs"/>
          <w:rtl/>
        </w:rPr>
        <w:t>ינה יכולה</w:t>
      </w:r>
      <w:r w:rsidRPr="008D6295">
        <w:rPr>
          <w:rFonts w:cs="Arial"/>
          <w:rtl/>
        </w:rPr>
        <w:t xml:space="preserve"> לערער</w:t>
      </w:r>
      <w:r>
        <w:rPr>
          <w:rFonts w:cs="Arial" w:hint="cs"/>
          <w:rtl/>
        </w:rPr>
        <w:t>,</w:t>
      </w:r>
      <w:r w:rsidRPr="008D6295">
        <w:rPr>
          <w:rFonts w:cs="Arial"/>
          <w:rtl/>
        </w:rPr>
        <w:t xml:space="preserve"> ואחריות דנפשה ס</w:t>
      </w:r>
      <w:r>
        <w:rPr>
          <w:rFonts w:cs="Arial" w:hint="cs"/>
          <w:rtl/>
        </w:rPr>
        <w:t>י</w:t>
      </w:r>
      <w:r w:rsidRPr="008D6295">
        <w:rPr>
          <w:rFonts w:cs="Arial"/>
          <w:rtl/>
        </w:rPr>
        <w:t>לקה</w:t>
      </w:r>
      <w:r>
        <w:rPr>
          <w:rFonts w:cs="Arial" w:hint="cs"/>
          <w:rtl/>
        </w:rPr>
        <w:t>,</w:t>
      </w:r>
      <w:r w:rsidRPr="008D6295">
        <w:rPr>
          <w:rFonts w:cs="Arial"/>
          <w:rtl/>
        </w:rPr>
        <w:t xml:space="preserve"> ולא שהיא מקבל</w:t>
      </w:r>
      <w:r>
        <w:rPr>
          <w:rFonts w:cs="Arial" w:hint="cs"/>
          <w:rtl/>
        </w:rPr>
        <w:t>ת</w:t>
      </w:r>
      <w:r w:rsidRPr="008D6295">
        <w:rPr>
          <w:rFonts w:cs="Arial"/>
          <w:rtl/>
        </w:rPr>
        <w:t xml:space="preserve"> אחריות</w:t>
      </w:r>
      <w:r>
        <w:rPr>
          <w:rFonts w:cs="Arial" w:hint="cs"/>
          <w:rtl/>
        </w:rPr>
        <w:t>,</w:t>
      </w:r>
      <w:r w:rsidRPr="008D6295">
        <w:rPr>
          <w:rFonts w:cs="Arial"/>
          <w:rtl/>
        </w:rPr>
        <w:t xml:space="preserve"> א</w:t>
      </w:r>
      <w:r>
        <w:rPr>
          <w:rFonts w:cs="Arial" w:hint="cs"/>
          <w:rtl/>
        </w:rPr>
        <w:t>א</w:t>
      </w:r>
      <w:r w:rsidRPr="008D6295">
        <w:rPr>
          <w:rFonts w:cs="Arial"/>
          <w:rtl/>
        </w:rPr>
        <w:t>"כ דמפורש בפירוש כן</w:t>
      </w:r>
      <w:r>
        <w:rPr>
          <w:rFonts w:cs="Arial" w:hint="cs"/>
          <w:rtl/>
        </w:rPr>
        <w:t>,</w:t>
      </w:r>
      <w:r w:rsidRPr="008D6295">
        <w:rPr>
          <w:rFonts w:cs="Arial"/>
          <w:rtl/>
        </w:rPr>
        <w:t xml:space="preserve"> וכן פסק בט"ז</w:t>
      </w:r>
      <w:r>
        <w:rPr>
          <w:rFonts w:cs="Arial" w:hint="cs"/>
          <w:rtl/>
        </w:rPr>
        <w:t>, ב"ש (סע' קטן סג).</w:t>
      </w:r>
    </w:p>
  </w:footnote>
  <w:footnote w:id="2138">
    <w:p w14:paraId="5A9300C9" w14:textId="77777777" w:rsidR="00DF1FC7" w:rsidRDefault="00DF1FC7" w:rsidP="002E5BAD">
      <w:pPr>
        <w:pStyle w:val="a5"/>
      </w:pPr>
      <w:r>
        <w:rPr>
          <w:rStyle w:val="a7"/>
        </w:rPr>
        <w:footnoteRef/>
      </w:r>
      <w:r>
        <w:rPr>
          <w:rtl/>
        </w:rPr>
        <w:t xml:space="preserve"> </w:t>
      </w:r>
      <w:r w:rsidRPr="00A11A36">
        <w:rPr>
          <w:rFonts w:cs="Arial"/>
          <w:rtl/>
        </w:rPr>
        <w:t>עיין בס' ישועות יעקב דלאו דוקא דמי שווי המכירה אף בנתן לה סך מועט מהני</w:t>
      </w:r>
      <w:r>
        <w:rPr>
          <w:rFonts w:cs="Arial" w:hint="cs"/>
          <w:rtl/>
        </w:rPr>
        <w:t>, פת"ש (סקי"ז).</w:t>
      </w:r>
    </w:p>
  </w:footnote>
  <w:footnote w:id="2139">
    <w:p w14:paraId="549209F1" w14:textId="77777777" w:rsidR="00DF1FC7" w:rsidRDefault="00DF1FC7" w:rsidP="002E5BAD">
      <w:pPr>
        <w:pStyle w:val="a5"/>
      </w:pPr>
      <w:r>
        <w:rPr>
          <w:rStyle w:val="a7"/>
        </w:rPr>
        <w:footnoteRef/>
      </w:r>
      <w:r>
        <w:rPr>
          <w:rtl/>
        </w:rPr>
        <w:t xml:space="preserve"> </w:t>
      </w:r>
      <w:r w:rsidRPr="008D6295">
        <w:rPr>
          <w:rFonts w:cs="Arial"/>
          <w:rtl/>
        </w:rPr>
        <w:t>עיין סי' נ"ד שם נתבאר אם סילק מהני קודם שבא לידו</w:t>
      </w:r>
      <w:r>
        <w:rPr>
          <w:rFonts w:cs="Arial" w:hint="cs"/>
          <w:rtl/>
        </w:rPr>
        <w:t>, ב"ש (סע' קטן סד).</w:t>
      </w:r>
    </w:p>
  </w:footnote>
  <w:footnote w:id="2140">
    <w:p w14:paraId="0194441D" w14:textId="77777777" w:rsidR="00DF1FC7" w:rsidRDefault="00DF1FC7" w:rsidP="002E5BAD">
      <w:pPr>
        <w:pStyle w:val="a5"/>
        <w:rPr>
          <w:rtl/>
        </w:rPr>
      </w:pPr>
      <w:r>
        <w:rPr>
          <w:rStyle w:val="a7"/>
        </w:rPr>
        <w:footnoteRef/>
      </w:r>
      <w:r>
        <w:rPr>
          <w:rtl/>
        </w:rPr>
        <w:t xml:space="preserve"> </w:t>
      </w:r>
      <w:r w:rsidRPr="003E3FB4">
        <w:rPr>
          <w:rFonts w:cs="Arial"/>
          <w:rtl/>
        </w:rPr>
        <w:t xml:space="preserve">כתב </w:t>
      </w:r>
      <w:r>
        <w:rPr>
          <w:rFonts w:cs="Arial" w:hint="cs"/>
          <w:rtl/>
        </w:rPr>
        <w:t>'</w:t>
      </w:r>
      <w:r w:rsidRPr="003E3FB4">
        <w:rPr>
          <w:rFonts w:cs="Arial"/>
          <w:rtl/>
        </w:rPr>
        <w:t>וקנו מידה</w:t>
      </w:r>
      <w:r>
        <w:rPr>
          <w:rFonts w:cs="Arial" w:hint="cs"/>
          <w:rtl/>
        </w:rPr>
        <w:t>',</w:t>
      </w:r>
      <w:r w:rsidRPr="003E3FB4">
        <w:rPr>
          <w:rFonts w:cs="Arial"/>
          <w:rtl/>
        </w:rPr>
        <w:t xml:space="preserve"> ופירוש שלא יצטרך לשלם אם יתאבדו נכסיה</w:t>
      </w:r>
      <w:r>
        <w:rPr>
          <w:rFonts w:cs="Arial" w:hint="cs"/>
          <w:rtl/>
        </w:rPr>
        <w:t>,</w:t>
      </w:r>
      <w:r w:rsidRPr="003E3FB4">
        <w:rPr>
          <w:rFonts w:cs="Arial"/>
          <w:rtl/>
        </w:rPr>
        <w:t xml:space="preserve"> דהיינו שהיא מחזרת נכסי צאן ברזל להיות להן דין נכסי מלוג</w:t>
      </w:r>
      <w:r>
        <w:rPr>
          <w:rFonts w:cs="Arial" w:hint="cs"/>
          <w:rtl/>
        </w:rPr>
        <w:t>.</w:t>
      </w:r>
      <w:r w:rsidRPr="003E3FB4">
        <w:rPr>
          <w:rFonts w:cs="Arial"/>
          <w:rtl/>
        </w:rPr>
        <w:t xml:space="preserve"> וזהו פשיטא שמועיל דהא עדיין לא נאבד שום דבר ולא מחלה ליה ולא מידי</w:t>
      </w:r>
      <w:r>
        <w:rPr>
          <w:rFonts w:cs="Arial" w:hint="cs"/>
          <w:rtl/>
        </w:rPr>
        <w:t>.</w:t>
      </w:r>
      <w:r w:rsidRPr="003E3FB4">
        <w:rPr>
          <w:rFonts w:cs="Arial"/>
          <w:rtl/>
        </w:rPr>
        <w:t xml:space="preserve"> אם כן הוא הדין אף אחר שנאבדו דכבר נתחייב בתשלומין אפילו הכי מועיל מחילה ולא אמרינן נחת רוח</w:t>
      </w:r>
      <w:r>
        <w:rPr>
          <w:rFonts w:cs="Arial" w:hint="cs"/>
          <w:rtl/>
        </w:rPr>
        <w:t>,</w:t>
      </w:r>
      <w:r w:rsidRPr="003E3FB4">
        <w:rPr>
          <w:rFonts w:cs="Arial"/>
          <w:rtl/>
        </w:rPr>
        <w:t xml:space="preserve"> דלא מחלה אלא שעבוד</w:t>
      </w:r>
      <w:r>
        <w:rPr>
          <w:rFonts w:cs="Arial" w:hint="cs"/>
          <w:rtl/>
        </w:rPr>
        <w:t>,</w:t>
      </w:r>
      <w:r w:rsidRPr="003E3FB4">
        <w:rPr>
          <w:rFonts w:cs="Arial"/>
          <w:rtl/>
        </w:rPr>
        <w:t xml:space="preserve"> והראב"ד השיג עליו</w:t>
      </w:r>
      <w:r>
        <w:rPr>
          <w:rFonts w:hint="cs"/>
          <w:rtl/>
        </w:rPr>
        <w:t>, פרישה (אות נח).</w:t>
      </w:r>
    </w:p>
  </w:footnote>
  <w:footnote w:id="2141">
    <w:p w14:paraId="3005ACAE" w14:textId="77777777" w:rsidR="00DF1FC7" w:rsidRDefault="00DF1FC7" w:rsidP="002E5BAD">
      <w:pPr>
        <w:pStyle w:val="a5"/>
      </w:pPr>
      <w:r>
        <w:rPr>
          <w:rStyle w:val="a7"/>
        </w:rPr>
        <w:footnoteRef/>
      </w:r>
      <w:r>
        <w:rPr>
          <w:rtl/>
        </w:rPr>
        <w:t xml:space="preserve"> </w:t>
      </w:r>
      <w:r>
        <w:rPr>
          <w:rFonts w:cs="Arial"/>
          <w:rtl/>
        </w:rPr>
        <w:t>ודברי הריב"ש בדינים אלו בסימן קמ"ט ושם יישב שני לשונות של הרמב"ם הנראים כסותרים זה את זה</w:t>
      </w:r>
      <w:r>
        <w:rPr>
          <w:rFonts w:cs="Arial" w:hint="cs"/>
          <w:rtl/>
        </w:rPr>
        <w:t>, ב"י.</w:t>
      </w:r>
    </w:p>
  </w:footnote>
  <w:footnote w:id="2142">
    <w:p w14:paraId="64BE6621" w14:textId="77777777" w:rsidR="00DF1FC7" w:rsidRDefault="00DF1FC7" w:rsidP="002E5BAD">
      <w:pPr>
        <w:pStyle w:val="a5"/>
      </w:pPr>
      <w:r>
        <w:rPr>
          <w:rStyle w:val="a7"/>
        </w:rPr>
        <w:footnoteRef/>
      </w:r>
      <w:r>
        <w:rPr>
          <w:rtl/>
        </w:rPr>
        <w:t xml:space="preserve"> </w:t>
      </w:r>
      <w:r>
        <w:rPr>
          <w:rFonts w:cs="Arial" w:hint="cs"/>
          <w:rtl/>
        </w:rPr>
        <w:t xml:space="preserve">וז"ל- </w:t>
      </w:r>
      <w:r w:rsidRPr="003E092F">
        <w:rPr>
          <w:rFonts w:cs="Arial"/>
          <w:rtl/>
        </w:rPr>
        <w:t>ולדברי הרמב"ם אף בנדון דתשובת הרא"ש שהסילוק לגבי בעלה מהני שהרי מבואר בדבריו דהא דתנן לקח מן האיש וחזר ולקח מן האשה מקחו בטל לקח מן האשה וחזר ולקח מן האיש מקחו קיים האי לקח מן האשה לא מכרה לו היא אלא לסילוק שעבודה קרי לקח מן האשה שהרי כתב בפרק י"ז מהלכות אישות (הי"א) וזה לשונו אבל אם קנו מיד האשה תחלה שאין לה שעבוד על מקום זה ואחר כך מכר אותו הבעל אינה טורפת אותו</w:t>
      </w:r>
      <w:r>
        <w:rPr>
          <w:rFonts w:cs="Arial" w:hint="cs"/>
          <w:rtl/>
        </w:rPr>
        <w:t>.</w:t>
      </w:r>
    </w:p>
  </w:footnote>
  <w:footnote w:id="2143">
    <w:p w14:paraId="7760D9F0" w14:textId="77777777" w:rsidR="00DF1FC7" w:rsidRDefault="00DF1FC7" w:rsidP="002E5BAD">
      <w:pPr>
        <w:pStyle w:val="a5"/>
      </w:pPr>
      <w:r>
        <w:rPr>
          <w:rStyle w:val="a7"/>
        </w:rPr>
        <w:footnoteRef/>
      </w:r>
      <w:r>
        <w:rPr>
          <w:rtl/>
        </w:rPr>
        <w:t xml:space="preserve"> </w:t>
      </w:r>
      <w:r w:rsidRPr="00246ED4">
        <w:rPr>
          <w:rFonts w:cs="Arial"/>
          <w:rtl/>
        </w:rPr>
        <w:t>ה"ה אם כתב הנדוניא על סך מעות מהני מחילה אפי' כשהם בעין</w:t>
      </w:r>
      <w:r>
        <w:rPr>
          <w:rFonts w:cs="Arial" w:hint="cs"/>
          <w:rtl/>
        </w:rPr>
        <w:t>.</w:t>
      </w:r>
      <w:r w:rsidRPr="00246ED4">
        <w:rPr>
          <w:rFonts w:cs="Arial"/>
          <w:rtl/>
        </w:rPr>
        <w:t xml:space="preserve"> והא שכתב </w:t>
      </w:r>
      <w:r>
        <w:rPr>
          <w:rFonts w:cs="Arial" w:hint="cs"/>
          <w:rtl/>
        </w:rPr>
        <w:t>'</w:t>
      </w:r>
      <w:r w:rsidRPr="00246ED4">
        <w:rPr>
          <w:rFonts w:cs="Arial"/>
          <w:rtl/>
        </w:rPr>
        <w:t>שאבדו</w:t>
      </w:r>
      <w:r>
        <w:rPr>
          <w:rFonts w:cs="Arial" w:hint="cs"/>
          <w:rtl/>
        </w:rPr>
        <w:t>'</w:t>
      </w:r>
      <w:r w:rsidRPr="00246ED4">
        <w:rPr>
          <w:rFonts w:cs="Arial"/>
          <w:rtl/>
        </w:rPr>
        <w:t xml:space="preserve"> קמ"ל </w:t>
      </w:r>
      <w:r>
        <w:rPr>
          <w:rFonts w:cs="Arial" w:hint="cs"/>
          <w:rtl/>
        </w:rPr>
        <w:t>ד</w:t>
      </w:r>
      <w:r w:rsidRPr="00246ED4">
        <w:rPr>
          <w:rFonts w:cs="Arial"/>
          <w:rtl/>
        </w:rPr>
        <w:t>אע</w:t>
      </w:r>
      <w:r>
        <w:rPr>
          <w:rFonts w:cs="Arial" w:hint="cs"/>
          <w:rtl/>
        </w:rPr>
        <w:t>"</w:t>
      </w:r>
      <w:r w:rsidRPr="00246ED4">
        <w:rPr>
          <w:rFonts w:cs="Arial"/>
          <w:rtl/>
        </w:rPr>
        <w:t xml:space="preserve">ג </w:t>
      </w:r>
      <w:r>
        <w:rPr>
          <w:rFonts w:cs="Arial" w:hint="cs"/>
          <w:rtl/>
        </w:rPr>
        <w:t>ש</w:t>
      </w:r>
      <w:r w:rsidRPr="00246ED4">
        <w:rPr>
          <w:rFonts w:cs="Arial"/>
          <w:rtl/>
        </w:rPr>
        <w:t>בתחלה היה בעין</w:t>
      </w:r>
      <w:r>
        <w:rPr>
          <w:rFonts w:cs="Arial" w:hint="cs"/>
          <w:rtl/>
        </w:rPr>
        <w:t>,</w:t>
      </w:r>
      <w:r w:rsidRPr="00246ED4">
        <w:rPr>
          <w:rFonts w:cs="Arial"/>
          <w:rtl/>
        </w:rPr>
        <w:t xml:space="preserve"> ריב"ש </w:t>
      </w:r>
      <w:r>
        <w:rPr>
          <w:rFonts w:cs="Arial" w:hint="cs"/>
          <w:rtl/>
        </w:rPr>
        <w:t>(סי' קמט).</w:t>
      </w:r>
      <w:r w:rsidRPr="00246ED4">
        <w:rPr>
          <w:rFonts w:cs="Arial"/>
          <w:rtl/>
        </w:rPr>
        <w:t xml:space="preserve"> ואם היה לה שטר על בעלה ומכרה לאחר</w:t>
      </w:r>
      <w:r>
        <w:rPr>
          <w:rFonts w:cs="Arial" w:hint="cs"/>
          <w:rtl/>
        </w:rPr>
        <w:t>,</w:t>
      </w:r>
      <w:r w:rsidRPr="00246ED4">
        <w:rPr>
          <w:rFonts w:cs="Arial"/>
          <w:rtl/>
        </w:rPr>
        <w:t xml:space="preserve"> ומחלה לבעלה</w:t>
      </w:r>
      <w:r>
        <w:rPr>
          <w:rFonts w:cs="Arial" w:hint="cs"/>
          <w:rtl/>
        </w:rPr>
        <w:t>,</w:t>
      </w:r>
      <w:r w:rsidRPr="00246ED4">
        <w:rPr>
          <w:rFonts w:cs="Arial"/>
          <w:rtl/>
        </w:rPr>
        <w:t xml:space="preserve"> לכ</w:t>
      </w:r>
      <w:r>
        <w:rPr>
          <w:rFonts w:cs="Arial" w:hint="cs"/>
          <w:rtl/>
        </w:rPr>
        <w:t>ו</w:t>
      </w:r>
      <w:r w:rsidRPr="00246ED4">
        <w:rPr>
          <w:rFonts w:cs="Arial"/>
          <w:rtl/>
        </w:rPr>
        <w:t>"ע לא אמרי</w:t>
      </w:r>
      <w:r>
        <w:rPr>
          <w:rFonts w:cs="Arial" w:hint="cs"/>
          <w:rtl/>
        </w:rPr>
        <w:t>נן</w:t>
      </w:r>
      <w:r w:rsidRPr="00246ED4">
        <w:rPr>
          <w:rFonts w:cs="Arial"/>
          <w:rtl/>
        </w:rPr>
        <w:t xml:space="preserve"> בזה נ"ר עשיתי לבעלי</w:t>
      </w:r>
      <w:r>
        <w:rPr>
          <w:rFonts w:cs="Arial" w:hint="cs"/>
          <w:rtl/>
        </w:rPr>
        <w:t>,</w:t>
      </w:r>
      <w:r w:rsidRPr="00246ED4">
        <w:rPr>
          <w:rFonts w:cs="Arial"/>
          <w:rtl/>
        </w:rPr>
        <w:t xml:space="preserve"> כ"כ בתשובת רשב"א</w:t>
      </w:r>
      <w:r>
        <w:rPr>
          <w:rFonts w:cs="Arial" w:hint="cs"/>
          <w:rtl/>
        </w:rPr>
        <w:t xml:space="preserve"> (ח"ה סי' עח, ובחדשות מכת"י סי' ר),</w:t>
      </w:r>
      <w:r w:rsidRPr="00246ED4">
        <w:rPr>
          <w:rFonts w:cs="Arial"/>
          <w:rtl/>
        </w:rPr>
        <w:t xml:space="preserve"> ועיין ב"י סי' צ"א</w:t>
      </w:r>
      <w:r>
        <w:rPr>
          <w:rFonts w:cs="Arial" w:hint="cs"/>
          <w:rtl/>
        </w:rPr>
        <w:t>, ב"ש (סע' קטן סה).</w:t>
      </w:r>
    </w:p>
  </w:footnote>
  <w:footnote w:id="2144">
    <w:p w14:paraId="5995BB88" w14:textId="77777777" w:rsidR="00DF1FC7" w:rsidRDefault="00DF1FC7" w:rsidP="002E5BAD">
      <w:pPr>
        <w:pStyle w:val="a5"/>
      </w:pPr>
      <w:r>
        <w:rPr>
          <w:rStyle w:val="a7"/>
        </w:rPr>
        <w:footnoteRef/>
      </w:r>
      <w:r>
        <w:rPr>
          <w:rtl/>
        </w:rPr>
        <w:t xml:space="preserve"> </w:t>
      </w:r>
      <w:r w:rsidRPr="00D47B10">
        <w:rPr>
          <w:rFonts w:cs="Arial"/>
          <w:rtl/>
        </w:rPr>
        <w:t xml:space="preserve">אף על גב </w:t>
      </w:r>
      <w:r>
        <w:rPr>
          <w:rFonts w:cs="Arial" w:hint="cs"/>
          <w:rtl/>
        </w:rPr>
        <w:t>ד</w:t>
      </w:r>
      <w:r w:rsidRPr="00D47B10">
        <w:rPr>
          <w:rFonts w:cs="Arial"/>
          <w:rtl/>
        </w:rPr>
        <w:t>במחילת כתובה א"צ קנין</w:t>
      </w:r>
      <w:r>
        <w:rPr>
          <w:rFonts w:cs="Arial" w:hint="cs"/>
          <w:rtl/>
        </w:rPr>
        <w:t>,</w:t>
      </w:r>
      <w:r w:rsidRPr="00D47B10">
        <w:rPr>
          <w:rFonts w:cs="Arial"/>
          <w:rtl/>
        </w:rPr>
        <w:t xml:space="preserve"> מ"מ בכה"ג כשהם בעין ל</w:t>
      </w:r>
      <w:r>
        <w:rPr>
          <w:rFonts w:cs="Arial" w:hint="cs"/>
          <w:rtl/>
        </w:rPr>
        <w:t xml:space="preserve">א </w:t>
      </w:r>
      <w:r w:rsidRPr="00D47B10">
        <w:rPr>
          <w:rFonts w:cs="Arial"/>
          <w:rtl/>
        </w:rPr>
        <w:t>מ</w:t>
      </w:r>
      <w:r>
        <w:rPr>
          <w:rFonts w:cs="Arial" w:hint="cs"/>
          <w:rtl/>
        </w:rPr>
        <w:t>הני</w:t>
      </w:r>
      <w:r w:rsidRPr="00D47B10">
        <w:rPr>
          <w:rFonts w:cs="Arial"/>
          <w:rtl/>
        </w:rPr>
        <w:t xml:space="preserve"> קנין</w:t>
      </w:r>
      <w:r>
        <w:rPr>
          <w:rFonts w:cs="Arial" w:hint="cs"/>
          <w:rtl/>
        </w:rPr>
        <w:t>,</w:t>
      </w:r>
      <w:r w:rsidRPr="00D47B10">
        <w:rPr>
          <w:rFonts w:cs="Arial"/>
          <w:rtl/>
        </w:rPr>
        <w:t xml:space="preserve"> לכן כשאין בעין צריך מיהת קנין</w:t>
      </w:r>
      <w:r>
        <w:rPr>
          <w:rFonts w:cs="Arial" w:hint="cs"/>
          <w:rtl/>
        </w:rPr>
        <w:t>,</w:t>
      </w:r>
      <w:r w:rsidRPr="00D47B10">
        <w:rPr>
          <w:rFonts w:cs="Arial"/>
          <w:rtl/>
        </w:rPr>
        <w:t xml:space="preserve"> ומהני</w:t>
      </w:r>
      <w:r>
        <w:rPr>
          <w:rFonts w:cs="Arial" w:hint="cs"/>
          <w:rtl/>
        </w:rPr>
        <w:t>.</w:t>
      </w:r>
      <w:r w:rsidRPr="00D47B10">
        <w:rPr>
          <w:rFonts w:cs="Arial"/>
          <w:rtl/>
        </w:rPr>
        <w:t xml:space="preserve"> ועיין תשובת ש</w:t>
      </w:r>
      <w:r>
        <w:rPr>
          <w:rFonts w:cs="Arial" w:hint="cs"/>
          <w:rtl/>
        </w:rPr>
        <w:t xml:space="preserve">ארית </w:t>
      </w:r>
      <w:r w:rsidRPr="00D47B10">
        <w:rPr>
          <w:rFonts w:cs="Arial"/>
          <w:rtl/>
        </w:rPr>
        <w:t>י</w:t>
      </w:r>
      <w:r>
        <w:rPr>
          <w:rFonts w:cs="Arial" w:hint="cs"/>
          <w:rtl/>
        </w:rPr>
        <w:t>וסף</w:t>
      </w:r>
      <w:r w:rsidRPr="00D47B10">
        <w:rPr>
          <w:rFonts w:cs="Arial"/>
          <w:rtl/>
        </w:rPr>
        <w:t xml:space="preserve"> סי' ס"ו</w:t>
      </w:r>
      <w:r>
        <w:rPr>
          <w:rFonts w:cs="Arial" w:hint="cs"/>
          <w:rtl/>
        </w:rPr>
        <w:t>.</w:t>
      </w:r>
      <w:r w:rsidRPr="00D47B10">
        <w:rPr>
          <w:rFonts w:cs="Arial"/>
          <w:rtl/>
        </w:rPr>
        <w:t xml:space="preserve"> ועיין לקמן סי' ק"ה</w:t>
      </w:r>
      <w:r>
        <w:rPr>
          <w:rFonts w:cs="Arial" w:hint="cs"/>
          <w:rtl/>
        </w:rPr>
        <w:t>.</w:t>
      </w:r>
      <w:r w:rsidRPr="00D47B10">
        <w:rPr>
          <w:rFonts w:cs="Arial"/>
          <w:rtl/>
        </w:rPr>
        <w:t xml:space="preserve"> ועיין תשובת רשב"א שהביא הב"י ר"ס צ"א</w:t>
      </w:r>
      <w:r>
        <w:rPr>
          <w:rFonts w:cs="Arial" w:hint="cs"/>
          <w:rtl/>
        </w:rPr>
        <w:t>, ב"ש (סע' קטן סו).</w:t>
      </w:r>
    </w:p>
  </w:footnote>
  <w:footnote w:id="2145">
    <w:p w14:paraId="6048273F" w14:textId="77777777" w:rsidR="00DF1FC7" w:rsidRDefault="00DF1FC7" w:rsidP="002E5BAD">
      <w:pPr>
        <w:pStyle w:val="a5"/>
        <w:rPr>
          <w:rtl/>
        </w:rPr>
      </w:pPr>
      <w:r>
        <w:rPr>
          <w:rStyle w:val="a7"/>
        </w:rPr>
        <w:footnoteRef/>
      </w:r>
      <w:r>
        <w:rPr>
          <w:rtl/>
        </w:rPr>
        <w:t xml:space="preserve"> </w:t>
      </w:r>
      <w:r w:rsidRPr="005D1457">
        <w:rPr>
          <w:rFonts w:cs="Arial"/>
          <w:rtl/>
        </w:rPr>
        <w:t>וכתב בנמוק</w:t>
      </w:r>
      <w:r>
        <w:rPr>
          <w:rFonts w:cs="Arial" w:hint="cs"/>
          <w:rtl/>
        </w:rPr>
        <w:t>"</w:t>
      </w:r>
      <w:r w:rsidRPr="005D1457">
        <w:rPr>
          <w:rFonts w:cs="Arial"/>
          <w:rtl/>
        </w:rPr>
        <w:t xml:space="preserve">י </w:t>
      </w:r>
      <w:r>
        <w:rPr>
          <w:rFonts w:cs="Arial" w:hint="cs"/>
          <w:rtl/>
        </w:rPr>
        <w:t>(</w:t>
      </w:r>
      <w:r w:rsidRPr="005D1457">
        <w:rPr>
          <w:rFonts w:cs="Arial"/>
          <w:rtl/>
        </w:rPr>
        <w:t>פ</w:t>
      </w:r>
      <w:r>
        <w:rPr>
          <w:rFonts w:cs="Arial" w:hint="cs"/>
          <w:rtl/>
        </w:rPr>
        <w:t>'</w:t>
      </w:r>
      <w:r w:rsidRPr="005D1457">
        <w:rPr>
          <w:rFonts w:cs="Arial"/>
          <w:rtl/>
        </w:rPr>
        <w:t xml:space="preserve"> הכותב פה</w:t>
      </w:r>
      <w:r>
        <w:rPr>
          <w:rFonts w:cs="Arial" w:hint="cs"/>
          <w:rtl/>
        </w:rPr>
        <w:t>:</w:t>
      </w:r>
      <w:r w:rsidRPr="005D1457">
        <w:rPr>
          <w:rFonts w:cs="Arial"/>
          <w:rtl/>
        </w:rPr>
        <w:t>) דהוא הדין דאינה נאמנת לומר פרוע הוא</w:t>
      </w:r>
      <w:r>
        <w:rPr>
          <w:rFonts w:cs="Arial" w:hint="cs"/>
          <w:rtl/>
        </w:rPr>
        <w:t>,</w:t>
      </w:r>
      <w:r w:rsidRPr="005D1457">
        <w:rPr>
          <w:rFonts w:cs="Arial"/>
          <w:rtl/>
        </w:rPr>
        <w:t xml:space="preserve"> אלא הבעל ישבע שאינו יודע שהוא פרוע</w:t>
      </w:r>
      <w:r>
        <w:rPr>
          <w:rFonts w:cs="Arial" w:hint="cs"/>
          <w:sz w:val="16"/>
          <w:szCs w:val="16"/>
          <w:rtl/>
        </w:rPr>
        <w:t xml:space="preserve"> </w:t>
      </w:r>
      <w:r w:rsidRPr="00225137">
        <w:rPr>
          <w:rFonts w:cs="Arial" w:hint="cs"/>
          <w:color w:val="00B0F0"/>
          <w:sz w:val="16"/>
          <w:szCs w:val="16"/>
          <w:rtl/>
        </w:rPr>
        <w:t>(וכ"פ בהגה)</w:t>
      </w:r>
      <w:r>
        <w:rPr>
          <w:rFonts w:cs="Arial" w:hint="cs"/>
          <w:rtl/>
        </w:rPr>
        <w:t>.</w:t>
      </w:r>
      <w:r w:rsidRPr="005D1457">
        <w:rPr>
          <w:rFonts w:cs="Arial"/>
          <w:rtl/>
        </w:rPr>
        <w:t xml:space="preserve"> ועיין ריש סימן פ"ה מדין אשה המכנסת שטר חוב או מלוה ושם סוף סימן פ"ה (אות ו) אי בעל חוב גובה מנדוניית אשה גם לעיל סימן צ' (עמ' שצד) נתבאר דין זה</w:t>
      </w:r>
      <w:r>
        <w:rPr>
          <w:rFonts w:cs="Arial" w:hint="cs"/>
          <w:rtl/>
        </w:rPr>
        <w:t>, דרכ"מ (אות א).</w:t>
      </w:r>
    </w:p>
  </w:footnote>
  <w:footnote w:id="2146">
    <w:p w14:paraId="4B1689BB" w14:textId="77777777" w:rsidR="00DF1FC7" w:rsidRDefault="00DF1FC7" w:rsidP="002E5BAD">
      <w:pPr>
        <w:pStyle w:val="a5"/>
        <w:rPr>
          <w:rtl/>
        </w:rPr>
      </w:pPr>
      <w:r>
        <w:rPr>
          <w:rStyle w:val="a7"/>
        </w:rPr>
        <w:footnoteRef/>
      </w:r>
      <w:r>
        <w:rPr>
          <w:rtl/>
        </w:rPr>
        <w:t xml:space="preserve"> </w:t>
      </w:r>
      <w:r w:rsidRPr="00C7472A">
        <w:rPr>
          <w:rFonts w:cs="Arial"/>
          <w:rtl/>
        </w:rPr>
        <w:t>מבואר בח"ה סי' ס"ו הן שהכניסה לו בתורת נצ"ב הן שהכניסה לו בתורת נ"מ אי</w:t>
      </w:r>
      <w:r>
        <w:rPr>
          <w:rFonts w:cs="Arial" w:hint="cs"/>
          <w:rtl/>
        </w:rPr>
        <w:t>נה יכולה</w:t>
      </w:r>
      <w:r w:rsidRPr="00C7472A">
        <w:rPr>
          <w:rFonts w:cs="Arial"/>
          <w:rtl/>
        </w:rPr>
        <w:t xml:space="preserve"> למחול</w:t>
      </w:r>
      <w:r>
        <w:rPr>
          <w:rFonts w:cs="Arial" w:hint="cs"/>
          <w:rtl/>
        </w:rPr>
        <w:t>.</w:t>
      </w:r>
      <w:r w:rsidRPr="00C7472A">
        <w:rPr>
          <w:rFonts w:cs="Arial"/>
          <w:rtl/>
        </w:rPr>
        <w:t xml:space="preserve"> ולשון הכניסה שייך בנ"מ ג"כ כמ"ש בסמוך</w:t>
      </w:r>
      <w:r>
        <w:rPr>
          <w:rFonts w:hint="cs"/>
          <w:rtl/>
        </w:rPr>
        <w:t>, ב"ש (סק"א).</w:t>
      </w:r>
    </w:p>
  </w:footnote>
  <w:footnote w:id="2147">
    <w:p w14:paraId="3AAEAFB6" w14:textId="77777777" w:rsidR="00DF1FC7" w:rsidRDefault="00DF1FC7" w:rsidP="002E5BAD">
      <w:pPr>
        <w:pStyle w:val="a5"/>
        <w:rPr>
          <w:rtl/>
        </w:rPr>
      </w:pPr>
      <w:r>
        <w:rPr>
          <w:rStyle w:val="a7"/>
        </w:rPr>
        <w:footnoteRef/>
      </w:r>
      <w:r>
        <w:rPr>
          <w:rtl/>
        </w:rPr>
        <w:t xml:space="preserve"> </w:t>
      </w:r>
      <w:r w:rsidRPr="00C7472A">
        <w:rPr>
          <w:rFonts w:cs="Arial"/>
          <w:rtl/>
        </w:rPr>
        <w:t>כיון דאין לה מיגו דהא אי</w:t>
      </w:r>
      <w:r>
        <w:rPr>
          <w:rFonts w:cs="Arial" w:hint="cs"/>
          <w:rtl/>
        </w:rPr>
        <w:t>נה יכולה</w:t>
      </w:r>
      <w:r w:rsidRPr="00C7472A">
        <w:rPr>
          <w:rFonts w:cs="Arial"/>
          <w:rtl/>
        </w:rPr>
        <w:t xml:space="preserve"> למחול</w:t>
      </w:r>
      <w:r>
        <w:rPr>
          <w:rFonts w:cs="Arial" w:hint="cs"/>
          <w:rtl/>
        </w:rPr>
        <w:t>,</w:t>
      </w:r>
      <w:r w:rsidRPr="00C7472A">
        <w:rPr>
          <w:rFonts w:cs="Arial"/>
          <w:rtl/>
        </w:rPr>
        <w:t xml:space="preserve"> מ</w:t>
      </w:r>
      <w:r>
        <w:rPr>
          <w:rFonts w:cs="Arial" w:hint="cs"/>
          <w:rtl/>
        </w:rPr>
        <w:t xml:space="preserve">שום </w:t>
      </w:r>
      <w:r w:rsidRPr="00C7472A">
        <w:rPr>
          <w:rFonts w:cs="Arial"/>
          <w:rtl/>
        </w:rPr>
        <w:t>ה</w:t>
      </w:r>
      <w:r>
        <w:rPr>
          <w:rFonts w:cs="Arial" w:hint="cs"/>
          <w:rtl/>
        </w:rPr>
        <w:t>כי</w:t>
      </w:r>
      <w:r w:rsidRPr="00C7472A">
        <w:rPr>
          <w:rFonts w:cs="Arial"/>
          <w:rtl/>
        </w:rPr>
        <w:t xml:space="preserve"> אינה נאמנת לומר פרוע</w:t>
      </w:r>
      <w:r>
        <w:rPr>
          <w:rFonts w:cs="Arial" w:hint="cs"/>
          <w:rtl/>
        </w:rPr>
        <w:t>.</w:t>
      </w:r>
      <w:r w:rsidRPr="00C7472A">
        <w:rPr>
          <w:rFonts w:cs="Arial"/>
          <w:rtl/>
        </w:rPr>
        <w:t xml:space="preserve"> וכן מלוה בע"פ א</w:t>
      </w:r>
      <w:r>
        <w:rPr>
          <w:rFonts w:cs="Arial" w:hint="cs"/>
          <w:rtl/>
        </w:rPr>
        <w:t>ינה יכולה</w:t>
      </w:r>
      <w:r w:rsidRPr="00C7472A">
        <w:rPr>
          <w:rFonts w:cs="Arial"/>
          <w:rtl/>
        </w:rPr>
        <w:t xml:space="preserve"> למחול</w:t>
      </w:r>
      <w:r>
        <w:rPr>
          <w:rFonts w:cs="Arial" w:hint="cs"/>
          <w:rtl/>
        </w:rPr>
        <w:t>,</w:t>
      </w:r>
      <w:r w:rsidRPr="00C7472A">
        <w:rPr>
          <w:rFonts w:cs="Arial"/>
          <w:rtl/>
        </w:rPr>
        <w:t xml:space="preserve"> ואי</w:t>
      </w:r>
      <w:r>
        <w:rPr>
          <w:rFonts w:cs="Arial" w:hint="cs"/>
          <w:rtl/>
        </w:rPr>
        <w:t>נה יכולה</w:t>
      </w:r>
      <w:r w:rsidRPr="00C7472A">
        <w:rPr>
          <w:rFonts w:cs="Arial"/>
          <w:rtl/>
        </w:rPr>
        <w:t xml:space="preserve"> לומר פרוע הוא כשהוא תוך הזמן</w:t>
      </w:r>
      <w:r>
        <w:rPr>
          <w:rFonts w:cs="Arial" w:hint="cs"/>
          <w:rtl/>
        </w:rPr>
        <w:t>.</w:t>
      </w:r>
      <w:r w:rsidRPr="00C7472A">
        <w:rPr>
          <w:rFonts w:cs="Arial"/>
          <w:rtl/>
        </w:rPr>
        <w:t xml:space="preserve"> ואם הלוה טוען פרעתי השטר</w:t>
      </w:r>
      <w:r>
        <w:rPr>
          <w:rFonts w:cs="Arial" w:hint="cs"/>
          <w:rtl/>
        </w:rPr>
        <w:t>,</w:t>
      </w:r>
      <w:r w:rsidRPr="00C7472A">
        <w:rPr>
          <w:rFonts w:cs="Arial"/>
          <w:rtl/>
        </w:rPr>
        <w:t xml:space="preserve"> אם אין בו נאמנות אז חייבת היא לישבע</w:t>
      </w:r>
      <w:r>
        <w:rPr>
          <w:rFonts w:cs="Arial" w:hint="cs"/>
          <w:rtl/>
        </w:rPr>
        <w:t>,</w:t>
      </w:r>
      <w:r w:rsidRPr="00C7472A">
        <w:rPr>
          <w:rFonts w:cs="Arial"/>
          <w:rtl/>
        </w:rPr>
        <w:t xml:space="preserve"> </w:t>
      </w:r>
      <w:r>
        <w:rPr>
          <w:rFonts w:cs="Arial" w:hint="cs"/>
          <w:rtl/>
        </w:rPr>
        <w:t>ויכולה לומר</w:t>
      </w:r>
      <w:r w:rsidRPr="00C7472A">
        <w:rPr>
          <w:rFonts w:cs="Arial"/>
          <w:rtl/>
        </w:rPr>
        <w:t xml:space="preserve"> אי</w:t>
      </w:r>
      <w:r>
        <w:rPr>
          <w:rFonts w:cs="Arial" w:hint="cs"/>
          <w:rtl/>
        </w:rPr>
        <w:t>ן</w:t>
      </w:r>
      <w:r w:rsidRPr="00C7472A">
        <w:rPr>
          <w:rFonts w:cs="Arial"/>
          <w:rtl/>
        </w:rPr>
        <w:t xml:space="preserve"> רצוני לישבע כי פרוע הוא</w:t>
      </w:r>
      <w:r>
        <w:rPr>
          <w:rFonts w:cs="Arial" w:hint="cs"/>
          <w:rtl/>
        </w:rPr>
        <w:t>.</w:t>
      </w:r>
      <w:r w:rsidRPr="00C7472A">
        <w:rPr>
          <w:rFonts w:cs="Arial"/>
          <w:rtl/>
        </w:rPr>
        <w:t xml:space="preserve"> ובמלוה בע"פ תוך הזמן תליא בפלוגתא בח"ה סי' ע"ח </w:t>
      </w:r>
      <w:r>
        <w:rPr>
          <w:rFonts w:cs="Arial" w:hint="cs"/>
          <w:sz w:val="16"/>
          <w:szCs w:val="16"/>
          <w:rtl/>
        </w:rPr>
        <w:t xml:space="preserve">{סע' ב בהגה} </w:t>
      </w:r>
      <w:r w:rsidRPr="00C7472A">
        <w:rPr>
          <w:rFonts w:cs="Arial"/>
          <w:rtl/>
        </w:rPr>
        <w:t>אם היא צריכה לישבע</w:t>
      </w:r>
      <w:r>
        <w:rPr>
          <w:rFonts w:hint="cs"/>
          <w:rtl/>
        </w:rPr>
        <w:t>, ב"ש (סק"ב).</w:t>
      </w:r>
    </w:p>
  </w:footnote>
  <w:footnote w:id="2148">
    <w:p w14:paraId="5A97BEB8" w14:textId="77777777" w:rsidR="00DF1FC7" w:rsidRDefault="00DF1FC7" w:rsidP="002E5BAD">
      <w:pPr>
        <w:pStyle w:val="a5"/>
        <w:rPr>
          <w:rtl/>
        </w:rPr>
      </w:pPr>
      <w:r>
        <w:rPr>
          <w:rStyle w:val="a7"/>
        </w:rPr>
        <w:footnoteRef/>
      </w:r>
      <w:r>
        <w:rPr>
          <w:rtl/>
        </w:rPr>
        <w:t xml:space="preserve"> </w:t>
      </w:r>
      <w:r w:rsidRPr="00E1594D">
        <w:rPr>
          <w:rFonts w:cs="Arial"/>
          <w:rtl/>
        </w:rPr>
        <w:t>אמר לפנויה נכסי ליך ואחריך לפלוני</w:t>
      </w:r>
      <w:r>
        <w:rPr>
          <w:rFonts w:cs="Arial" w:hint="cs"/>
          <w:rtl/>
        </w:rPr>
        <w:t>, רש"י.</w:t>
      </w:r>
    </w:p>
  </w:footnote>
  <w:footnote w:id="2149">
    <w:p w14:paraId="0A7C7E60" w14:textId="77777777" w:rsidR="00DF1FC7" w:rsidRDefault="00DF1FC7" w:rsidP="002E5BAD">
      <w:pPr>
        <w:pStyle w:val="a5"/>
        <w:rPr>
          <w:rtl/>
        </w:rPr>
      </w:pPr>
      <w:r>
        <w:rPr>
          <w:rStyle w:val="a7"/>
        </w:rPr>
        <w:footnoteRef/>
      </w:r>
      <w:r>
        <w:rPr>
          <w:rtl/>
        </w:rPr>
        <w:t xml:space="preserve"> </w:t>
      </w:r>
      <w:r w:rsidRPr="002A22B5">
        <w:rPr>
          <w:rFonts w:cs="Arial"/>
          <w:rtl/>
        </w:rPr>
        <w:t>כר"ש דאמר מכירתו מכירה</w:t>
      </w:r>
      <w:r>
        <w:rPr>
          <w:rFonts w:cs="Arial" w:hint="cs"/>
          <w:rtl/>
        </w:rPr>
        <w:t>, רש"י.</w:t>
      </w:r>
    </w:p>
  </w:footnote>
  <w:footnote w:id="2150">
    <w:p w14:paraId="6508E112" w14:textId="77777777" w:rsidR="00DF1FC7" w:rsidRDefault="00DF1FC7" w:rsidP="002E5BAD">
      <w:pPr>
        <w:pStyle w:val="a5"/>
        <w:rPr>
          <w:rtl/>
        </w:rPr>
      </w:pPr>
      <w:r>
        <w:rPr>
          <w:rStyle w:val="a7"/>
        </w:rPr>
        <w:footnoteRef/>
      </w:r>
      <w:r>
        <w:rPr>
          <w:rtl/>
        </w:rPr>
        <w:t xml:space="preserve"> </w:t>
      </w:r>
      <w:r w:rsidRPr="002A22B5">
        <w:rPr>
          <w:rFonts w:cs="Arial"/>
          <w:rtl/>
        </w:rPr>
        <w:t>לקמן מוקמי להא שמעתא בתרייתא באומר לנשואה</w:t>
      </w:r>
      <w:r>
        <w:rPr>
          <w:rFonts w:cs="Arial" w:hint="cs"/>
          <w:rtl/>
        </w:rPr>
        <w:t>, רש"י.</w:t>
      </w:r>
    </w:p>
  </w:footnote>
  <w:footnote w:id="2151">
    <w:p w14:paraId="20AF5239" w14:textId="77777777" w:rsidR="00DF1FC7" w:rsidRDefault="00DF1FC7" w:rsidP="002E5BAD">
      <w:pPr>
        <w:pStyle w:val="a5"/>
        <w:rPr>
          <w:rtl/>
        </w:rPr>
      </w:pPr>
      <w:r>
        <w:rPr>
          <w:rStyle w:val="a7"/>
        </w:rPr>
        <w:footnoteRef/>
      </w:r>
      <w:r>
        <w:rPr>
          <w:rtl/>
        </w:rPr>
        <w:t xml:space="preserve"> </w:t>
      </w:r>
      <w:r w:rsidRPr="002A22B5">
        <w:rPr>
          <w:rFonts w:cs="Arial"/>
          <w:rtl/>
        </w:rPr>
        <w:t>אם בא לדון עמו יכול הוא לזכות בדין שהוא לוקח ראשון</w:t>
      </w:r>
      <w:r>
        <w:rPr>
          <w:rFonts w:cs="Arial" w:hint="cs"/>
          <w:rtl/>
        </w:rPr>
        <w:t>, רש"י.</w:t>
      </w:r>
    </w:p>
  </w:footnote>
  <w:footnote w:id="2152">
    <w:p w14:paraId="00F210A7" w14:textId="77777777" w:rsidR="00DF1FC7" w:rsidRDefault="00DF1FC7" w:rsidP="002E5BAD">
      <w:pPr>
        <w:pStyle w:val="a5"/>
        <w:rPr>
          <w:rtl/>
        </w:rPr>
      </w:pPr>
      <w:r>
        <w:rPr>
          <w:rStyle w:val="a7"/>
        </w:rPr>
        <w:footnoteRef/>
      </w:r>
      <w:r>
        <w:rPr>
          <w:rtl/>
        </w:rPr>
        <w:t xml:space="preserve"> </w:t>
      </w:r>
      <w:r w:rsidRPr="002A22B5">
        <w:rPr>
          <w:rFonts w:cs="Arial"/>
          <w:rtl/>
        </w:rPr>
        <w:t>יכול להוציא מיד הבעל דכי אמר אביי אין לאחריך במקום הבעל כלום שנתן לה כשהיא פנויה וניסת אבל באומר לנשואה ה"ק לה אחריך ליקני בעל לא ליקני</w:t>
      </w:r>
      <w:r>
        <w:rPr>
          <w:rFonts w:cs="Arial" w:hint="cs"/>
          <w:rtl/>
        </w:rPr>
        <w:t>, רש"י.</w:t>
      </w:r>
    </w:p>
  </w:footnote>
  <w:footnote w:id="2153">
    <w:p w14:paraId="61759621" w14:textId="77777777" w:rsidR="00DF1FC7" w:rsidRDefault="00DF1FC7" w:rsidP="002E5BAD">
      <w:pPr>
        <w:pStyle w:val="a5"/>
        <w:rPr>
          <w:rtl/>
        </w:rPr>
      </w:pPr>
      <w:r>
        <w:rPr>
          <w:rStyle w:val="a7"/>
        </w:rPr>
        <w:footnoteRef/>
      </w:r>
      <w:r>
        <w:rPr>
          <w:rtl/>
        </w:rPr>
        <w:t xml:space="preserve"> </w:t>
      </w:r>
      <w:r w:rsidRPr="002A22B5">
        <w:rPr>
          <w:rFonts w:cs="Arial"/>
          <w:rtl/>
        </w:rPr>
        <w:t>כר"ש דאמר דמכירת הראשון מכירה</w:t>
      </w:r>
      <w:r>
        <w:rPr>
          <w:rFonts w:cs="Arial" w:hint="cs"/>
          <w:rtl/>
        </w:rPr>
        <w:t>, רש"י.</w:t>
      </w:r>
    </w:p>
  </w:footnote>
  <w:footnote w:id="2154">
    <w:p w14:paraId="770D6A6B" w14:textId="77777777" w:rsidR="00DF1FC7" w:rsidRDefault="00DF1FC7" w:rsidP="002E5BAD">
      <w:pPr>
        <w:pStyle w:val="a5"/>
        <w:rPr>
          <w:rtl/>
        </w:rPr>
      </w:pPr>
      <w:r>
        <w:rPr>
          <w:rStyle w:val="a7"/>
        </w:rPr>
        <w:footnoteRef/>
      </w:r>
      <w:r>
        <w:rPr>
          <w:rtl/>
        </w:rPr>
        <w:t xml:space="preserve"> </w:t>
      </w:r>
      <w:r w:rsidRPr="005D1457">
        <w:rPr>
          <w:rFonts w:cs="Arial"/>
          <w:rtl/>
        </w:rPr>
        <w:t>וכתבו התוספות (שם) ומוקמינן לכולהו בידא דלוקח</w:t>
      </w:r>
      <w:r>
        <w:rPr>
          <w:rFonts w:cs="Arial" w:hint="cs"/>
          <w:rtl/>
        </w:rPr>
        <w:t>,</w:t>
      </w:r>
      <w:r w:rsidRPr="005D1457">
        <w:rPr>
          <w:rFonts w:cs="Arial"/>
          <w:rtl/>
        </w:rPr>
        <w:t xml:space="preserve"> תימא מעיקרא נמי לוקמי</w:t>
      </w:r>
      <w:r>
        <w:rPr>
          <w:rFonts w:cs="Arial" w:hint="cs"/>
          <w:rtl/>
        </w:rPr>
        <w:t>ה</w:t>
      </w:r>
      <w:r w:rsidRPr="005D1457">
        <w:rPr>
          <w:rFonts w:cs="Arial"/>
          <w:rtl/>
        </w:rPr>
        <w:t xml:space="preserve"> ביד הלוקח אפוכי מטרתא למה לי</w:t>
      </w:r>
      <w:r>
        <w:rPr>
          <w:rFonts w:cs="Arial" w:hint="cs"/>
          <w:rtl/>
        </w:rPr>
        <w:t>.</w:t>
      </w:r>
      <w:r w:rsidRPr="005D1457">
        <w:rPr>
          <w:rFonts w:cs="Arial"/>
          <w:rtl/>
        </w:rPr>
        <w:t xml:space="preserve"> דאמר הבעל מוציא מיד הלוקח</w:t>
      </w:r>
      <w:r>
        <w:rPr>
          <w:rFonts w:cs="Arial" w:hint="cs"/>
          <w:rtl/>
        </w:rPr>
        <w:t>,</w:t>
      </w:r>
      <w:r w:rsidRPr="005D1457">
        <w:rPr>
          <w:rFonts w:cs="Arial"/>
          <w:rtl/>
        </w:rPr>
        <w:t xml:space="preserve"> ואחריך מיד הבעל</w:t>
      </w:r>
      <w:r>
        <w:rPr>
          <w:rFonts w:cs="Arial" w:hint="cs"/>
          <w:rtl/>
        </w:rPr>
        <w:t>,</w:t>
      </w:r>
      <w:r w:rsidRPr="005D1457">
        <w:rPr>
          <w:rFonts w:cs="Arial"/>
          <w:rtl/>
        </w:rPr>
        <w:t xml:space="preserve"> ולוקח מיד אחריך</w:t>
      </w:r>
      <w:r>
        <w:rPr>
          <w:rFonts w:cs="Arial" w:hint="cs"/>
          <w:rtl/>
        </w:rPr>
        <w:t>.</w:t>
      </w:r>
      <w:r w:rsidRPr="005D1457">
        <w:rPr>
          <w:rFonts w:cs="Arial"/>
          <w:rtl/>
        </w:rPr>
        <w:t xml:space="preserve"> ונ"ל דלאו דוקא קאמר שיוציא הבעל מיד הלקוחות</w:t>
      </w:r>
      <w:r>
        <w:rPr>
          <w:rFonts w:cs="Arial" w:hint="cs"/>
          <w:rtl/>
        </w:rPr>
        <w:t>,</w:t>
      </w:r>
      <w:r w:rsidRPr="005D1457">
        <w:rPr>
          <w:rFonts w:cs="Arial"/>
          <w:rtl/>
        </w:rPr>
        <w:t xml:space="preserve"> אלא מתוך שאם היה מוציא הבעל מיד הלוקח היה אחריך מוציא מיד הבעל ולוקח מיד אחריך </w:t>
      </w:r>
      <w:r>
        <w:rPr>
          <w:rFonts w:cs="Arial" w:hint="cs"/>
          <w:rtl/>
        </w:rPr>
        <w:t xml:space="preserve">- </w:t>
      </w:r>
      <w:r w:rsidRPr="005D1457">
        <w:rPr>
          <w:rFonts w:cs="Arial"/>
          <w:rtl/>
        </w:rPr>
        <w:t>מעיקרא נמי מוקמינן ליה בידא דלוקח</w:t>
      </w:r>
      <w:r>
        <w:rPr>
          <w:rFonts w:cs="Arial" w:hint="cs"/>
          <w:rtl/>
        </w:rPr>
        <w:t>.</w:t>
      </w:r>
      <w:r w:rsidRPr="005D1457">
        <w:rPr>
          <w:rFonts w:cs="Arial"/>
          <w:rtl/>
        </w:rPr>
        <w:t xml:space="preserve"> וכך הם דברי הרמב"ם בפרק י"ב מהלכות זכייה ומתנה (הי"ב)</w:t>
      </w:r>
      <w:r>
        <w:rPr>
          <w:rFonts w:cs="Arial" w:hint="cs"/>
          <w:rtl/>
        </w:rPr>
        <w:t>, ב"י.</w:t>
      </w:r>
    </w:p>
  </w:footnote>
  <w:footnote w:id="2155">
    <w:p w14:paraId="58B88EE5" w14:textId="77777777" w:rsidR="00DF1FC7" w:rsidRDefault="00DF1FC7" w:rsidP="002E5BAD">
      <w:pPr>
        <w:pStyle w:val="a5"/>
        <w:rPr>
          <w:rtl/>
        </w:rPr>
      </w:pPr>
      <w:r>
        <w:rPr>
          <w:rStyle w:val="a7"/>
        </w:rPr>
        <w:footnoteRef/>
      </w:r>
      <w:r>
        <w:rPr>
          <w:rtl/>
        </w:rPr>
        <w:t xml:space="preserve"> </w:t>
      </w:r>
      <w:r w:rsidRPr="005D1457">
        <w:rPr>
          <w:rFonts w:cs="Arial"/>
          <w:rtl/>
        </w:rPr>
        <w:t xml:space="preserve">וכתב הרב המגיד </w:t>
      </w:r>
      <w:r>
        <w:rPr>
          <w:rFonts w:cs="Arial" w:hint="cs"/>
          <w:rtl/>
        </w:rPr>
        <w:t>(</w:t>
      </w:r>
      <w:r w:rsidRPr="005D1457">
        <w:rPr>
          <w:rFonts w:cs="Arial"/>
          <w:rtl/>
        </w:rPr>
        <w:t>פי"ב מהלכות זכייה ומתנה הי"ב)</w:t>
      </w:r>
      <w:r>
        <w:rPr>
          <w:rFonts w:cs="Arial" w:hint="cs"/>
          <w:rtl/>
        </w:rPr>
        <w:t xml:space="preserve"> </w:t>
      </w:r>
      <w:r w:rsidRPr="005D1457">
        <w:rPr>
          <w:rFonts w:cs="Arial"/>
          <w:rtl/>
        </w:rPr>
        <w:t>שאפילו אחריך רוצה שיהיה של בעל אין בדבריו כלום</w:t>
      </w:r>
      <w:r>
        <w:rPr>
          <w:rFonts w:cs="Arial" w:hint="cs"/>
          <w:rtl/>
        </w:rPr>
        <w:t>, ב"י.</w:t>
      </w:r>
    </w:p>
  </w:footnote>
  <w:footnote w:id="2156">
    <w:p w14:paraId="3B4EC321" w14:textId="77777777" w:rsidR="00DF1FC7" w:rsidRDefault="00DF1FC7" w:rsidP="002E5BAD">
      <w:pPr>
        <w:pStyle w:val="a5"/>
        <w:rPr>
          <w:rFonts w:cs="Arial"/>
          <w:rtl/>
        </w:rPr>
      </w:pPr>
      <w:r>
        <w:rPr>
          <w:rStyle w:val="a7"/>
        </w:rPr>
        <w:footnoteRef/>
      </w:r>
      <w:r>
        <w:rPr>
          <w:rtl/>
        </w:rPr>
        <w:t xml:space="preserve"> </w:t>
      </w:r>
      <w:r w:rsidRPr="000B4300">
        <w:rPr>
          <w:rFonts w:cs="Arial"/>
          <w:rtl/>
        </w:rPr>
        <w:t xml:space="preserve">אף על גב </w:t>
      </w:r>
      <w:r>
        <w:rPr>
          <w:rFonts w:cs="Arial" w:hint="cs"/>
          <w:rtl/>
        </w:rPr>
        <w:t>ד</w:t>
      </w:r>
      <w:r w:rsidRPr="000B4300">
        <w:rPr>
          <w:rFonts w:cs="Arial"/>
          <w:rtl/>
        </w:rPr>
        <w:t>במקום פסידא לאחר דינו כיורש</w:t>
      </w:r>
      <w:r>
        <w:rPr>
          <w:rFonts w:cs="Arial" w:hint="cs"/>
          <w:rtl/>
        </w:rPr>
        <w:t>,</w:t>
      </w:r>
      <w:r w:rsidRPr="000B4300">
        <w:rPr>
          <w:rFonts w:cs="Arial"/>
          <w:rtl/>
        </w:rPr>
        <w:t xml:space="preserve"> כאן ליכא פסידא כ</w:t>
      </w:r>
      <w:r>
        <w:rPr>
          <w:rFonts w:cs="Arial" w:hint="cs"/>
          <w:rtl/>
        </w:rPr>
        <w:t>ל כך,</w:t>
      </w:r>
      <w:r w:rsidRPr="000B4300">
        <w:rPr>
          <w:rFonts w:cs="Arial"/>
          <w:rtl/>
        </w:rPr>
        <w:t xml:space="preserve"> שהרי במתנה ניתן ל</w:t>
      </w:r>
      <w:r>
        <w:rPr>
          <w:rFonts w:cs="Arial" w:hint="cs"/>
          <w:rtl/>
        </w:rPr>
        <w:t>ו,</w:t>
      </w:r>
      <w:r w:rsidRPr="000B4300">
        <w:rPr>
          <w:rFonts w:cs="Arial"/>
          <w:rtl/>
        </w:rPr>
        <w:t xml:space="preserve"> תוס' </w:t>
      </w:r>
      <w:r>
        <w:rPr>
          <w:rFonts w:cs="Arial" w:hint="cs"/>
          <w:rtl/>
        </w:rPr>
        <w:t>(</w:t>
      </w:r>
      <w:r w:rsidRPr="000B4300">
        <w:rPr>
          <w:rFonts w:cs="Arial"/>
          <w:rtl/>
        </w:rPr>
        <w:t>ס"פ י"נ</w:t>
      </w:r>
      <w:r>
        <w:rPr>
          <w:rFonts w:cs="Arial" w:hint="cs"/>
          <w:rtl/>
        </w:rPr>
        <w:t xml:space="preserve"> ב"ב קלט:</w:t>
      </w:r>
    </w:p>
    <w:p w14:paraId="57A09DF5" w14:textId="77777777" w:rsidR="00DF1FC7" w:rsidRDefault="00DF1FC7" w:rsidP="002E5BAD">
      <w:pPr>
        <w:pStyle w:val="a5"/>
        <w:rPr>
          <w:rtl/>
        </w:rPr>
      </w:pPr>
      <w:r>
        <w:rPr>
          <w:rFonts w:cs="Arial" w:hint="cs"/>
          <w:rtl/>
        </w:rPr>
        <w:t>ד"ה התם).</w:t>
      </w:r>
      <w:r w:rsidRPr="000B4300">
        <w:rPr>
          <w:rFonts w:cs="Arial"/>
          <w:rtl/>
        </w:rPr>
        <w:t xml:space="preserve"> והר"ן תירץ בשם הרשב"א כיון האשה לאנסובי קיימא ש"מ אחריך שאמר שלא במקום הבעל</w:t>
      </w:r>
      <w:r>
        <w:rPr>
          <w:rFonts w:cs="Arial" w:hint="cs"/>
          <w:rtl/>
        </w:rPr>
        <w:t>,</w:t>
      </w:r>
      <w:r w:rsidRPr="000B4300">
        <w:rPr>
          <w:rFonts w:cs="Arial"/>
          <w:rtl/>
        </w:rPr>
        <w:t xml:space="preserve"> אבל כשהיא נשוא</w:t>
      </w:r>
      <w:r>
        <w:rPr>
          <w:rFonts w:cs="Arial" w:hint="cs"/>
          <w:rtl/>
        </w:rPr>
        <w:t>ה</w:t>
      </w:r>
      <w:r w:rsidRPr="000B4300">
        <w:rPr>
          <w:rFonts w:cs="Arial"/>
          <w:rtl/>
        </w:rPr>
        <w:t xml:space="preserve"> ה</w:t>
      </w:r>
      <w:r>
        <w:rPr>
          <w:rFonts w:cs="Arial" w:hint="cs"/>
          <w:rtl/>
        </w:rPr>
        <w:t>ו</w:t>
      </w:r>
      <w:r w:rsidRPr="000B4300">
        <w:rPr>
          <w:rFonts w:cs="Arial"/>
          <w:rtl/>
        </w:rPr>
        <w:t>"ל לפרש</w:t>
      </w:r>
      <w:r>
        <w:rPr>
          <w:rFonts w:cs="Arial" w:hint="cs"/>
          <w:rtl/>
        </w:rPr>
        <w:t>, ב"ש (סק"ג).</w:t>
      </w:r>
    </w:p>
  </w:footnote>
  <w:footnote w:id="2157">
    <w:p w14:paraId="47D89918" w14:textId="77777777" w:rsidR="00DF1FC7" w:rsidRDefault="00DF1FC7" w:rsidP="002E5BAD">
      <w:pPr>
        <w:pStyle w:val="a5"/>
        <w:rPr>
          <w:rtl/>
        </w:rPr>
      </w:pPr>
      <w:r>
        <w:rPr>
          <w:rStyle w:val="a7"/>
        </w:rPr>
        <w:footnoteRef/>
      </w:r>
      <w:r>
        <w:rPr>
          <w:rtl/>
        </w:rPr>
        <w:t xml:space="preserve"> </w:t>
      </w:r>
      <w:r w:rsidRPr="000B4300">
        <w:rPr>
          <w:rFonts w:cs="Arial"/>
          <w:rtl/>
        </w:rPr>
        <w:t>אבל כל ימי חייה הבעל אוכל פירות</w:t>
      </w:r>
      <w:r>
        <w:rPr>
          <w:rFonts w:cs="Arial" w:hint="cs"/>
          <w:rtl/>
        </w:rPr>
        <w:t>,</w:t>
      </w:r>
      <w:r w:rsidRPr="000B4300">
        <w:rPr>
          <w:rFonts w:cs="Arial"/>
          <w:rtl/>
        </w:rPr>
        <w:t xml:space="preserve"> ואין ללוקח פירות</w:t>
      </w:r>
      <w:r>
        <w:rPr>
          <w:rFonts w:cs="Arial" w:hint="cs"/>
          <w:rtl/>
        </w:rPr>
        <w:t>.</w:t>
      </w:r>
      <w:r w:rsidRPr="000B4300">
        <w:rPr>
          <w:rFonts w:cs="Arial"/>
          <w:rtl/>
        </w:rPr>
        <w:t xml:space="preserve"> ואין להקשות לדעת הרא"ש שהביא לעיל בהג"ה סי' צ' סעיף ט' דאף בחייה מוציא הבעל גוף הקרקע מיד הלוקח</w:t>
      </w:r>
      <w:r>
        <w:rPr>
          <w:rFonts w:cs="Arial" w:hint="cs"/>
          <w:rtl/>
        </w:rPr>
        <w:t>,</w:t>
      </w:r>
      <w:r w:rsidRPr="000B4300">
        <w:rPr>
          <w:rFonts w:cs="Arial"/>
          <w:rtl/>
        </w:rPr>
        <w:t xml:space="preserve"> וא"כ היה אפשר לומר דאחריך יקנה ולא הלוקח</w:t>
      </w:r>
      <w:r>
        <w:rPr>
          <w:rFonts w:cs="Arial" w:hint="cs"/>
          <w:rtl/>
        </w:rPr>
        <w:t>,</w:t>
      </w:r>
      <w:r w:rsidRPr="000B4300">
        <w:rPr>
          <w:rFonts w:cs="Arial"/>
          <w:rtl/>
        </w:rPr>
        <w:t xml:space="preserve"> דהלוקח לא קנה בחיי האשה</w:t>
      </w:r>
      <w:r>
        <w:rPr>
          <w:rFonts w:cs="Arial" w:hint="cs"/>
          <w:rtl/>
        </w:rPr>
        <w:t>.</w:t>
      </w:r>
      <w:r w:rsidRPr="000B4300">
        <w:rPr>
          <w:rFonts w:cs="Arial"/>
          <w:rtl/>
        </w:rPr>
        <w:t xml:space="preserve"> דשאני הכא דמאחר דהנותן סילק את הבעל ואמר אחריך ליקני</w:t>
      </w:r>
      <w:r>
        <w:rPr>
          <w:rFonts w:cs="Arial" w:hint="cs"/>
          <w:rtl/>
        </w:rPr>
        <w:t>,</w:t>
      </w:r>
      <w:r w:rsidRPr="000B4300">
        <w:rPr>
          <w:rFonts w:cs="Arial"/>
          <w:rtl/>
        </w:rPr>
        <w:t xml:space="preserve"> בעל לא ליקני</w:t>
      </w:r>
      <w:r>
        <w:rPr>
          <w:rFonts w:cs="Arial" w:hint="cs"/>
          <w:rtl/>
        </w:rPr>
        <w:t>,</w:t>
      </w:r>
      <w:r w:rsidRPr="000B4300">
        <w:rPr>
          <w:rFonts w:cs="Arial"/>
          <w:rtl/>
        </w:rPr>
        <w:t xml:space="preserve"> וא"כ לא הוי בעל כלוקח ראשון והלוקח קנה הגוף אפי' לדעת הרא"ש</w:t>
      </w:r>
      <w:r>
        <w:rPr>
          <w:rFonts w:cs="Arial" w:hint="cs"/>
          <w:rtl/>
        </w:rPr>
        <w:t>,</w:t>
      </w:r>
      <w:r w:rsidRPr="000B4300">
        <w:rPr>
          <w:rFonts w:cs="Arial"/>
          <w:rtl/>
        </w:rPr>
        <w:t xml:space="preserve"> רק דהבעל אוכל פירות בחיי'</w:t>
      </w:r>
      <w:r>
        <w:rPr>
          <w:rFonts w:cs="Arial" w:hint="cs"/>
          <w:rtl/>
        </w:rPr>
        <w:t>,</w:t>
      </w:r>
      <w:r w:rsidRPr="000B4300">
        <w:rPr>
          <w:rFonts w:cs="Arial"/>
          <w:rtl/>
        </w:rPr>
        <w:t xml:space="preserve"> ואח"כ זכה הלוקח</w:t>
      </w:r>
      <w:r>
        <w:rPr>
          <w:rFonts w:cs="Arial" w:hint="cs"/>
          <w:rtl/>
        </w:rPr>
        <w:t>,</w:t>
      </w:r>
      <w:r w:rsidRPr="000B4300">
        <w:rPr>
          <w:rFonts w:cs="Arial"/>
          <w:rtl/>
        </w:rPr>
        <w:t xml:space="preserve"> והוא קוד' לאחריך</w:t>
      </w:r>
      <w:r>
        <w:rPr>
          <w:rFonts w:cs="Arial" w:hint="cs"/>
          <w:rtl/>
        </w:rPr>
        <w:t>.</w:t>
      </w:r>
      <w:r w:rsidRPr="000B4300">
        <w:rPr>
          <w:rFonts w:cs="Arial"/>
          <w:rtl/>
        </w:rPr>
        <w:t xml:space="preserve"> ועיין בב"ח מ"ש כאן דלדעת הרא"ש אפשר לו' דאם הוציא הבעל מן הלוקח תעמוד בידו אף על גב דאית ליה פסידא ללוקח ולע"ד הדברים ברורים כמ"ש</w:t>
      </w:r>
      <w:r>
        <w:rPr>
          <w:rFonts w:cs="Arial" w:hint="cs"/>
          <w:rtl/>
        </w:rPr>
        <w:t>, ח"מ (סק"ד).</w:t>
      </w:r>
    </w:p>
  </w:footnote>
  <w:footnote w:id="2158">
    <w:p w14:paraId="5B76066F" w14:textId="77777777" w:rsidR="00DF1FC7" w:rsidRDefault="00DF1FC7" w:rsidP="002E5BAD">
      <w:pPr>
        <w:pStyle w:val="a5"/>
        <w:rPr>
          <w:rtl/>
        </w:rPr>
      </w:pPr>
      <w:r>
        <w:rPr>
          <w:rStyle w:val="a7"/>
        </w:rPr>
        <w:footnoteRef/>
      </w:r>
      <w:r>
        <w:rPr>
          <w:rtl/>
        </w:rPr>
        <w:t xml:space="preserve"> </w:t>
      </w:r>
      <w:r w:rsidRPr="00A86702">
        <w:rPr>
          <w:rFonts w:cs="Arial"/>
          <w:rtl/>
        </w:rPr>
        <w:t>אפילו לא שמאתן לבעלה בכתובתה להיות נכסי צאן ברזל, שהן קנויין לבעל, אלא עיכבתן לעצמה להיות נכסי מלוג, הקרן שלה והבעל אוכל פירות</w:t>
      </w:r>
      <w:r>
        <w:rPr>
          <w:rFonts w:cs="Arial" w:hint="cs"/>
          <w:rtl/>
        </w:rPr>
        <w:t>, רש"י.</w:t>
      </w:r>
    </w:p>
  </w:footnote>
  <w:footnote w:id="2159">
    <w:p w14:paraId="59E1AC8F" w14:textId="77777777" w:rsidR="00DF1FC7" w:rsidRDefault="00DF1FC7" w:rsidP="002E5BAD">
      <w:pPr>
        <w:pStyle w:val="a5"/>
        <w:rPr>
          <w:rtl/>
        </w:rPr>
      </w:pPr>
      <w:r>
        <w:rPr>
          <w:rStyle w:val="a7"/>
        </w:rPr>
        <w:footnoteRef/>
      </w:r>
      <w:r>
        <w:rPr>
          <w:rtl/>
        </w:rPr>
        <w:t xml:space="preserve"> </w:t>
      </w:r>
      <w:r>
        <w:rPr>
          <w:rFonts w:cs="Arial" w:hint="cs"/>
          <w:rtl/>
        </w:rPr>
        <w:t xml:space="preserve">כן היא גירסת רש"י </w:t>
      </w:r>
      <w:r>
        <w:rPr>
          <w:rFonts w:cs="Arial" w:hint="cs"/>
          <w:sz w:val="16"/>
          <w:szCs w:val="16"/>
          <w:rtl/>
        </w:rPr>
        <w:t>(ד"ה לוקח הוי)</w:t>
      </w:r>
      <w:r>
        <w:rPr>
          <w:rFonts w:cs="Arial" w:hint="cs"/>
          <w:rtl/>
        </w:rPr>
        <w:t xml:space="preserve"> והרא"ש </w:t>
      </w:r>
      <w:r w:rsidRPr="009B7A6B">
        <w:rPr>
          <w:rFonts w:cs="Arial"/>
          <w:sz w:val="16"/>
          <w:szCs w:val="16"/>
          <w:rtl/>
        </w:rPr>
        <w:t>(פ"ג סי' ד)</w:t>
      </w:r>
      <w:r>
        <w:rPr>
          <w:rFonts w:cs="Arial" w:hint="cs"/>
          <w:rtl/>
        </w:rPr>
        <w:t xml:space="preserve">, וכן הוא בגירסא שלפני. אבל הרי"ף </w:t>
      </w:r>
      <w:r w:rsidRPr="000A5552">
        <w:rPr>
          <w:rFonts w:cs="Arial" w:hint="cs"/>
          <w:sz w:val="16"/>
          <w:szCs w:val="16"/>
          <w:rtl/>
        </w:rPr>
        <w:t>(יט:)</w:t>
      </w:r>
      <w:r>
        <w:rPr>
          <w:rFonts w:hint="cs"/>
          <w:rtl/>
        </w:rPr>
        <w:t xml:space="preserve"> והרמב"ם </w:t>
      </w:r>
      <w:r>
        <w:rPr>
          <w:rFonts w:hint="cs"/>
          <w:sz w:val="16"/>
          <w:szCs w:val="16"/>
          <w:rtl/>
        </w:rPr>
        <w:t>(פכ"ב ממלוה ולה הי"ז)</w:t>
      </w:r>
      <w:r>
        <w:rPr>
          <w:rFonts w:hint="cs"/>
          <w:rtl/>
        </w:rPr>
        <w:t xml:space="preserve"> לא גרסו 'ומתה'.</w:t>
      </w:r>
    </w:p>
  </w:footnote>
  <w:footnote w:id="2160">
    <w:p w14:paraId="41A5DACB" w14:textId="77777777" w:rsidR="00DF1FC7" w:rsidRDefault="00DF1FC7" w:rsidP="002E5BAD">
      <w:pPr>
        <w:pStyle w:val="a5"/>
        <w:rPr>
          <w:rtl/>
        </w:rPr>
      </w:pPr>
      <w:r>
        <w:rPr>
          <w:rStyle w:val="a7"/>
        </w:rPr>
        <w:footnoteRef/>
      </w:r>
      <w:r>
        <w:rPr>
          <w:rtl/>
        </w:rPr>
        <w:t xml:space="preserve"> </w:t>
      </w:r>
      <w:r w:rsidRPr="00A86702">
        <w:rPr>
          <w:rFonts w:cs="Arial"/>
          <w:rtl/>
        </w:rPr>
        <w:t>בנכסי מלוג של אשתו</w:t>
      </w:r>
      <w:r>
        <w:rPr>
          <w:rFonts w:cs="Arial" w:hint="cs"/>
          <w:rtl/>
        </w:rPr>
        <w:t>, רש"י.</w:t>
      </w:r>
    </w:p>
  </w:footnote>
  <w:footnote w:id="2161">
    <w:p w14:paraId="12C7665B" w14:textId="77777777" w:rsidR="00DF1FC7" w:rsidRDefault="00DF1FC7" w:rsidP="002E5BAD">
      <w:pPr>
        <w:pStyle w:val="a5"/>
        <w:rPr>
          <w:rtl/>
        </w:rPr>
      </w:pPr>
      <w:r>
        <w:rPr>
          <w:rStyle w:val="a7"/>
        </w:rPr>
        <w:footnoteRef/>
      </w:r>
      <w:r>
        <w:rPr>
          <w:rtl/>
        </w:rPr>
        <w:t xml:space="preserve"> </w:t>
      </w:r>
      <w:r w:rsidRPr="00A86702">
        <w:rPr>
          <w:rFonts w:cs="Arial"/>
          <w:rtl/>
        </w:rPr>
        <w:t>דין לוקח נתנו בו חכמים - הלכך לא מיהדר היכא דשמו לה ואינסיבא ומתה וירשה בעלה - כדאמרינן: זבנה אדעתא דארעא נחות</w:t>
      </w:r>
      <w:r>
        <w:rPr>
          <w:rFonts w:cs="Arial" w:hint="cs"/>
          <w:rtl/>
        </w:rPr>
        <w:t>, רש"י.</w:t>
      </w:r>
    </w:p>
  </w:footnote>
  <w:footnote w:id="2162">
    <w:p w14:paraId="06AE64EA" w14:textId="77777777" w:rsidR="00DF1FC7" w:rsidRDefault="00DF1FC7" w:rsidP="002E5BAD">
      <w:pPr>
        <w:pStyle w:val="a5"/>
        <w:rPr>
          <w:rtl/>
        </w:rPr>
      </w:pPr>
      <w:r>
        <w:rPr>
          <w:rStyle w:val="a7"/>
        </w:rPr>
        <w:footnoteRef/>
      </w:r>
      <w:r>
        <w:rPr>
          <w:rtl/>
        </w:rPr>
        <w:t xml:space="preserve"> </w:t>
      </w:r>
      <w:r w:rsidRPr="00A86702">
        <w:rPr>
          <w:rFonts w:cs="Arial"/>
          <w:rtl/>
        </w:rPr>
        <w:t>היכא דשמו מינה ואינסיבא ומתה וירשה בעלה ובא להחזיר החוב וליטול הקרקע - לא מצי למימר יורשה אני, דכלוקח שוייה רבנן ולא כיורש</w:t>
      </w:r>
      <w:r>
        <w:rPr>
          <w:rFonts w:cs="Arial" w:hint="cs"/>
          <w:rtl/>
        </w:rPr>
        <w:t>, רש"י.</w:t>
      </w:r>
    </w:p>
  </w:footnote>
  <w:footnote w:id="2163">
    <w:p w14:paraId="6B620CCB" w14:textId="77777777" w:rsidR="00DF1FC7" w:rsidRDefault="00DF1FC7" w:rsidP="002E5BAD">
      <w:pPr>
        <w:pStyle w:val="a5"/>
      </w:pPr>
      <w:r>
        <w:rPr>
          <w:rStyle w:val="a7"/>
        </w:rPr>
        <w:footnoteRef/>
      </w:r>
      <w:r>
        <w:rPr>
          <w:rtl/>
        </w:rPr>
        <w:t xml:space="preserve"> </w:t>
      </w:r>
      <w:r>
        <w:rPr>
          <w:rFonts w:cs="Arial" w:hint="cs"/>
          <w:rtl/>
        </w:rPr>
        <w:t xml:space="preserve">וכתב הה"מ </w:t>
      </w:r>
      <w:r w:rsidRPr="009B7A6B">
        <w:rPr>
          <w:rFonts w:cs="Arial" w:hint="cs"/>
          <w:sz w:val="16"/>
          <w:szCs w:val="16"/>
          <w:rtl/>
        </w:rPr>
        <w:t>(</w:t>
      </w:r>
      <w:r w:rsidRPr="009B7A6B">
        <w:rPr>
          <w:rFonts w:cs="Arial"/>
          <w:sz w:val="16"/>
          <w:szCs w:val="16"/>
          <w:rtl/>
        </w:rPr>
        <w:t>פכ"ב ממלוה הי"ז)</w:t>
      </w:r>
      <w:r>
        <w:rPr>
          <w:rFonts w:cs="Arial" w:hint="cs"/>
          <w:rtl/>
        </w:rPr>
        <w:t xml:space="preserve">- </w:t>
      </w:r>
      <w:r w:rsidRPr="009B7A6B">
        <w:rPr>
          <w:rFonts w:cs="Arial"/>
          <w:rtl/>
        </w:rPr>
        <w:t>אפילו בחייה לא מהדר</w:t>
      </w:r>
      <w:r>
        <w:rPr>
          <w:rFonts w:cs="Arial" w:hint="cs"/>
          <w:rtl/>
        </w:rPr>
        <w:t>,</w:t>
      </w:r>
      <w:r w:rsidRPr="009B7A6B">
        <w:rPr>
          <w:rFonts w:cs="Arial"/>
          <w:rtl/>
        </w:rPr>
        <w:t xml:space="preserve"> דכלוקח עשאוהו חכמים</w:t>
      </w:r>
      <w:r>
        <w:rPr>
          <w:rFonts w:cs="Arial" w:hint="cs"/>
          <w:rtl/>
        </w:rPr>
        <w:t>,</w:t>
      </w:r>
      <w:r w:rsidRPr="009B7A6B">
        <w:rPr>
          <w:rFonts w:cs="Arial"/>
          <w:rtl/>
        </w:rPr>
        <w:t xml:space="preserve"> ואילו עשאוהו יורש לא היה עדיין יורש בחיי אשתו והיה לו להחזיר</w:t>
      </w:r>
      <w:r>
        <w:rPr>
          <w:rFonts w:cs="Arial" w:hint="cs"/>
          <w:rtl/>
        </w:rPr>
        <w:t>.</w:t>
      </w:r>
      <w:r w:rsidRPr="009B7A6B">
        <w:rPr>
          <w:rFonts w:cs="Arial"/>
          <w:rtl/>
        </w:rPr>
        <w:t xml:space="preserve"> וכששמו ממנה</w:t>
      </w:r>
      <w:r>
        <w:rPr>
          <w:rFonts w:cs="Arial" w:hint="cs"/>
          <w:rtl/>
        </w:rPr>
        <w:t>,</w:t>
      </w:r>
      <w:r w:rsidRPr="009B7A6B">
        <w:rPr>
          <w:rFonts w:cs="Arial"/>
          <w:rtl/>
        </w:rPr>
        <w:t xml:space="preserve"> ונשאת</w:t>
      </w:r>
      <w:r>
        <w:rPr>
          <w:rFonts w:cs="Arial" w:hint="cs"/>
          <w:rtl/>
        </w:rPr>
        <w:t>,</w:t>
      </w:r>
      <w:r w:rsidRPr="009B7A6B">
        <w:rPr>
          <w:rFonts w:cs="Arial"/>
          <w:rtl/>
        </w:rPr>
        <w:t xml:space="preserve"> ורצו הבעל או היא להחזיר המעות </w:t>
      </w:r>
      <w:r>
        <w:rPr>
          <w:rFonts w:cs="Arial" w:hint="cs"/>
          <w:rtl/>
        </w:rPr>
        <w:t xml:space="preserve">- </w:t>
      </w:r>
      <w:r w:rsidRPr="009B7A6B">
        <w:rPr>
          <w:rFonts w:cs="Arial"/>
          <w:rtl/>
        </w:rPr>
        <w:t>אין מחזירין להם</w:t>
      </w:r>
      <w:r>
        <w:rPr>
          <w:rFonts w:cs="Arial" w:hint="cs"/>
          <w:rtl/>
        </w:rPr>
        <w:t>.</w:t>
      </w:r>
      <w:r w:rsidRPr="009B7A6B">
        <w:rPr>
          <w:rFonts w:cs="Arial"/>
          <w:rtl/>
        </w:rPr>
        <w:t xml:space="preserve"> לבעל</w:t>
      </w:r>
      <w:r>
        <w:rPr>
          <w:rFonts w:cs="Arial" w:hint="cs"/>
          <w:rtl/>
        </w:rPr>
        <w:t>,</w:t>
      </w:r>
      <w:r w:rsidRPr="009B7A6B">
        <w:rPr>
          <w:rFonts w:cs="Arial"/>
          <w:rtl/>
        </w:rPr>
        <w:t xml:space="preserve"> לפי שהוא כלוקח אחר השומא</w:t>
      </w:r>
      <w:r>
        <w:rPr>
          <w:rFonts w:cs="Arial" w:hint="cs"/>
          <w:rtl/>
        </w:rPr>
        <w:t>.</w:t>
      </w:r>
      <w:r w:rsidRPr="009B7A6B">
        <w:rPr>
          <w:rFonts w:cs="Arial"/>
          <w:rtl/>
        </w:rPr>
        <w:t xml:space="preserve"> לאשה</w:t>
      </w:r>
      <w:r>
        <w:rPr>
          <w:rFonts w:cs="Arial" w:hint="cs"/>
          <w:rtl/>
        </w:rPr>
        <w:t>,</w:t>
      </w:r>
      <w:r w:rsidRPr="009B7A6B">
        <w:rPr>
          <w:rFonts w:cs="Arial"/>
          <w:rtl/>
        </w:rPr>
        <w:t xml:space="preserve"> לפי שאנו חושבים אותה כאילו מכרה נכסיה</w:t>
      </w:r>
      <w:r>
        <w:rPr>
          <w:rFonts w:cs="Arial" w:hint="cs"/>
          <w:rtl/>
        </w:rPr>
        <w:t>.</w:t>
      </w:r>
      <w:r w:rsidRPr="009B7A6B">
        <w:rPr>
          <w:rFonts w:cs="Arial"/>
          <w:rtl/>
        </w:rPr>
        <w:t xml:space="preserve"> ואם היה הבעל כיורש היינו מחזירים לה לפי שלא היה הבעל יורש מחיים</w:t>
      </w:r>
      <w:r>
        <w:rPr>
          <w:rFonts w:cs="Arial" w:hint="cs"/>
          <w:rtl/>
        </w:rPr>
        <w:t>.</w:t>
      </w:r>
      <w:r w:rsidRPr="009B7A6B">
        <w:rPr>
          <w:rFonts w:cs="Arial"/>
          <w:rtl/>
        </w:rPr>
        <w:t xml:space="preserve"> אי נמי היינו מחזירין לו לפי שאף ליורש מחזירין</w:t>
      </w:r>
      <w:r>
        <w:rPr>
          <w:rFonts w:cs="Arial" w:hint="cs"/>
          <w:rtl/>
        </w:rPr>
        <w:t>.</w:t>
      </w:r>
      <w:r w:rsidRPr="009B7A6B">
        <w:rPr>
          <w:rFonts w:cs="Arial"/>
          <w:rtl/>
        </w:rPr>
        <w:t xml:space="preserve"> ומיהו אם מת הבעל בחייה ואחר כך רצתה להחזיר דמים </w:t>
      </w:r>
      <w:r>
        <w:rPr>
          <w:rFonts w:cs="Arial" w:hint="cs"/>
          <w:rtl/>
        </w:rPr>
        <w:t xml:space="preserve">- </w:t>
      </w:r>
      <w:r w:rsidRPr="009B7A6B">
        <w:rPr>
          <w:rFonts w:cs="Arial"/>
          <w:rtl/>
        </w:rPr>
        <w:t>מחזירין לה</w:t>
      </w:r>
      <w:r>
        <w:rPr>
          <w:rFonts w:cs="Arial" w:hint="cs"/>
          <w:rtl/>
        </w:rPr>
        <w:t>.</w:t>
      </w:r>
      <w:r w:rsidRPr="009B7A6B">
        <w:rPr>
          <w:rFonts w:cs="Arial"/>
          <w:rtl/>
        </w:rPr>
        <w:t xml:space="preserve"> וכן אם החזירו לה דמים </w:t>
      </w:r>
      <w:r>
        <w:rPr>
          <w:rFonts w:cs="Arial" w:hint="cs"/>
          <w:rtl/>
        </w:rPr>
        <w:t xml:space="preserve">- </w:t>
      </w:r>
      <w:r w:rsidRPr="009B7A6B">
        <w:rPr>
          <w:rFonts w:cs="Arial"/>
          <w:rtl/>
        </w:rPr>
        <w:t>מחזרת קרקע</w:t>
      </w:r>
      <w:r>
        <w:rPr>
          <w:rFonts w:cs="Arial" w:hint="cs"/>
          <w:rtl/>
        </w:rPr>
        <w:t>.</w:t>
      </w:r>
      <w:r w:rsidRPr="009B7A6B">
        <w:rPr>
          <w:rFonts w:cs="Arial"/>
          <w:rtl/>
        </w:rPr>
        <w:t xml:space="preserve"> וכן נראה מדברי רבינו חננאל ז"ל</w:t>
      </w:r>
      <w:r>
        <w:rPr>
          <w:rFonts w:cs="Arial" w:hint="cs"/>
          <w:rtl/>
        </w:rPr>
        <w:t>.</w:t>
      </w:r>
    </w:p>
  </w:footnote>
  <w:footnote w:id="2164">
    <w:p w14:paraId="2B91B2E5" w14:textId="77777777" w:rsidR="00DF1FC7" w:rsidRDefault="00DF1FC7" w:rsidP="002E5BAD">
      <w:pPr>
        <w:pStyle w:val="a5"/>
        <w:rPr>
          <w:rtl/>
        </w:rPr>
      </w:pPr>
      <w:r>
        <w:rPr>
          <w:rStyle w:val="a7"/>
        </w:rPr>
        <w:footnoteRef/>
      </w:r>
      <w:r>
        <w:rPr>
          <w:rtl/>
        </w:rPr>
        <w:t xml:space="preserve"> </w:t>
      </w:r>
      <w:r w:rsidRPr="00E32C51">
        <w:rPr>
          <w:rFonts w:hint="cs"/>
          <w:u w:val="single"/>
          <w:rtl/>
        </w:rPr>
        <w:t>וקשה היאך פסק כאן כהרא"ש</w:t>
      </w:r>
      <w:r>
        <w:rPr>
          <w:rFonts w:hint="cs"/>
          <w:sz w:val="16"/>
          <w:szCs w:val="16"/>
          <w:u w:val="single"/>
          <w:rtl/>
        </w:rPr>
        <w:t xml:space="preserve"> (דמיירי שאשתו מתה)</w:t>
      </w:r>
      <w:r>
        <w:rPr>
          <w:rFonts w:hint="cs"/>
          <w:u w:val="single"/>
          <w:rtl/>
        </w:rPr>
        <w:t xml:space="preserve">, ובחו"מ (סי' קג ס"י) פסק </w:t>
      </w:r>
      <w:r w:rsidRPr="00E32C51">
        <w:rPr>
          <w:rFonts w:hint="cs"/>
          <w:u w:val="single"/>
          <w:rtl/>
        </w:rPr>
        <w:t>כהרמב"ם</w:t>
      </w:r>
      <w:r>
        <w:rPr>
          <w:rFonts w:hint="cs"/>
          <w:sz w:val="16"/>
          <w:szCs w:val="16"/>
          <w:u w:val="single"/>
          <w:rtl/>
        </w:rPr>
        <w:t xml:space="preserve"> (דמיירי שאשתו בחיים)</w:t>
      </w:r>
      <w:r w:rsidRPr="00E32C51">
        <w:rPr>
          <w:rFonts w:hint="cs"/>
          <w:u w:val="single"/>
          <w:rtl/>
        </w:rPr>
        <w:t>:</w:t>
      </w:r>
    </w:p>
    <w:p w14:paraId="0F88CB71" w14:textId="77777777" w:rsidR="00DF1FC7" w:rsidRDefault="00DF1FC7" w:rsidP="00B75458">
      <w:pPr>
        <w:pStyle w:val="a5"/>
        <w:numPr>
          <w:ilvl w:val="0"/>
          <w:numId w:val="189"/>
        </w:numPr>
        <w:rPr>
          <w:rtl/>
        </w:rPr>
      </w:pPr>
      <w:r>
        <w:rPr>
          <w:rFonts w:cs="Arial" w:hint="cs"/>
          <w:rtl/>
        </w:rPr>
        <w:t>תומים</w:t>
      </w:r>
      <w:r>
        <w:rPr>
          <w:rFonts w:cs="Arial" w:hint="cs"/>
          <w:sz w:val="16"/>
          <w:szCs w:val="16"/>
          <w:rtl/>
        </w:rPr>
        <w:t xml:space="preserve"> (חו"מ סי' קג סקי"ז, וכן באורים סקל"ט)</w:t>
      </w:r>
      <w:r>
        <w:rPr>
          <w:rFonts w:cs="Arial" w:hint="cs"/>
          <w:rtl/>
        </w:rPr>
        <w:t>-</w:t>
      </w:r>
      <w:r w:rsidRPr="00F20C9C">
        <w:rPr>
          <w:rtl/>
        </w:rPr>
        <w:t xml:space="preserve"> </w:t>
      </w:r>
      <w:r>
        <w:rPr>
          <w:rFonts w:cs="Arial" w:hint="cs"/>
          <w:rtl/>
        </w:rPr>
        <w:t xml:space="preserve">בחו"מ (סי' קג) </w:t>
      </w:r>
      <w:r w:rsidRPr="00F20C9C">
        <w:rPr>
          <w:rFonts w:cs="Arial"/>
          <w:rtl/>
        </w:rPr>
        <w:t>מיירי בחיים של אשתו, ולכך אילו הוה כיורש הוה מחויב להחזיר, דאין יורש אשתו מחיים כלל. והקשו, דבאה"ע סימן צ"א כתב המחבר סעיף ג' דמתה אשתו, משמע הא בחיי אשתו לא מיקרי לוקח. ונראה דאמרינן בגמרא דכתובות דף ע"ח ע"ב, בהא דתניא במשנה משנשאת אלו ואלו מודים שאם מכרה ונתנה הבעל מוציא מיד לקוחות, ופריך הגמרא לימא תנינא לתקנת אושא דאמר רבי יוסי בר' חנינא באושא התקינו וכו', ומשני הגמרא מתניתין בחיים ולפירות, תקנת אושא לאחר מיתה ובגופה של קרקע, הרי דבחיים דהוי לוקח ומוציא מיד לקוחות הוא משנה שלימה, אבל לאחר מיתה היה מדינא דמשנה יורשה, ותקנו באושא דגם כן הוי כלוקח. ואם כן הגירסא בגמרא דידן (ב"מ לה א) שמו מיניה דאשה וכו' ומתה הבעל לוקח הוה מדרבי יוסי בר' חנינא וכו' גירסא נכונה, דבחיים אין זה לוקח מכח תקנות אושא, רק תקנות קדומה ומשנה שלימה הוא, אבל במותה דליכא כאן משנה, והו"א דלאחר כן יורש הוי, וקאמר אפילו לאחר מיתה לוקח הוה מתקנות אושא וכו', ואתי שפיר. וברור דהך ומתה רבוותא, דתו ליכא תקנת המשנה. ואם כן לדינא, הן בחיי אשתו והן במות אשתו הוי כלוקח, ואדרבא בחייה לוקח מכח משנה, ובמותה מכח תקנות אושא, ולכך סתם המחבר פה בכל גווני, רק שם באבן העזר דכל ענין הסימן הוא להודיענו תקנות אושא, כנראה שם מכל ענין הסימן, לא דיבר מן חיי אשתו, דזהו בכלל תקנות המשנה, ואין ענינו לתקנות אושא שדיבר בו בסימן ההוא, ולכך אמר דתקנת אושא הוא לאחר מיתת אשתו, דבזו צריכין לתקנת אושא להיותו גם כן ללוקח, וזה פשוט וברור ובחנם טרחו האחרונים.</w:t>
      </w:r>
      <w:r>
        <w:rPr>
          <w:rFonts w:hint="cs"/>
          <w:rtl/>
        </w:rPr>
        <w:t xml:space="preserve"> </w:t>
      </w:r>
      <w:bookmarkStart w:id="8" w:name="_Hlk66010833"/>
      <w:r w:rsidRPr="009C1A8E">
        <w:rPr>
          <w:rFonts w:hint="cs"/>
          <w:sz w:val="16"/>
          <w:szCs w:val="16"/>
          <w:rtl/>
        </w:rPr>
        <w:t>(וכ"כ הב"ש (סק"ו) ד</w:t>
      </w:r>
      <w:r w:rsidRPr="009C1A8E">
        <w:rPr>
          <w:rFonts w:cs="Arial"/>
          <w:sz w:val="16"/>
          <w:szCs w:val="16"/>
          <w:rtl/>
        </w:rPr>
        <w:t xml:space="preserve">מ"ש הטור </w:t>
      </w:r>
      <w:r w:rsidRPr="009C1A8E">
        <w:rPr>
          <w:rFonts w:cs="Arial" w:hint="cs"/>
          <w:sz w:val="16"/>
          <w:szCs w:val="16"/>
          <w:rtl/>
        </w:rPr>
        <w:t>'</w:t>
      </w:r>
      <w:r w:rsidRPr="009C1A8E">
        <w:rPr>
          <w:rFonts w:cs="Arial"/>
          <w:sz w:val="16"/>
          <w:szCs w:val="16"/>
          <w:rtl/>
        </w:rPr>
        <w:t>ומתה</w:t>
      </w:r>
      <w:r w:rsidRPr="009C1A8E">
        <w:rPr>
          <w:rFonts w:cs="Arial" w:hint="cs"/>
          <w:sz w:val="16"/>
          <w:szCs w:val="16"/>
          <w:rtl/>
        </w:rPr>
        <w:t>' -</w:t>
      </w:r>
      <w:r w:rsidRPr="009C1A8E">
        <w:rPr>
          <w:rFonts w:cs="Arial"/>
          <w:sz w:val="16"/>
          <w:szCs w:val="16"/>
          <w:rtl/>
        </w:rPr>
        <w:t xml:space="preserve"> לאו דוקא</w:t>
      </w:r>
      <w:r w:rsidRPr="009C1A8E">
        <w:rPr>
          <w:rFonts w:cs="Arial" w:hint="cs"/>
          <w:sz w:val="16"/>
          <w:szCs w:val="16"/>
          <w:rtl/>
        </w:rPr>
        <w:t>,</w:t>
      </w:r>
      <w:r w:rsidRPr="009C1A8E">
        <w:rPr>
          <w:rFonts w:cs="Arial"/>
          <w:sz w:val="16"/>
          <w:szCs w:val="16"/>
          <w:rtl/>
        </w:rPr>
        <w:t xml:space="preserve"> וכן הוא דעת הש"ך</w:t>
      </w:r>
      <w:r w:rsidRPr="009C1A8E">
        <w:rPr>
          <w:rFonts w:cs="Arial" w:hint="cs"/>
          <w:sz w:val="16"/>
          <w:szCs w:val="16"/>
          <w:rtl/>
        </w:rPr>
        <w:t xml:space="preserve"> (חו"מ סי' קג סקי"ח).</w:t>
      </w:r>
      <w:r w:rsidRPr="009C1A8E">
        <w:rPr>
          <w:rFonts w:cs="Arial"/>
          <w:sz w:val="16"/>
          <w:szCs w:val="16"/>
          <w:rtl/>
        </w:rPr>
        <w:t xml:space="preserve"> וכל זה איירי בנ"מ אבל נצ"ב לכ"ע אפי' בחיי' דינו כלוקח וכמ"ש בסמוך וכ"כ בש"ך שם</w:t>
      </w:r>
      <w:r w:rsidRPr="009C1A8E">
        <w:rPr>
          <w:rFonts w:hint="cs"/>
          <w:sz w:val="16"/>
          <w:szCs w:val="16"/>
          <w:rtl/>
        </w:rPr>
        <w:t>)</w:t>
      </w:r>
      <w:bookmarkEnd w:id="8"/>
    </w:p>
  </w:footnote>
  <w:footnote w:id="2165">
    <w:p w14:paraId="0DF17623" w14:textId="77777777" w:rsidR="00DF1FC7" w:rsidRDefault="00DF1FC7" w:rsidP="002E5BAD">
      <w:pPr>
        <w:pStyle w:val="a5"/>
        <w:rPr>
          <w:rtl/>
        </w:rPr>
      </w:pPr>
      <w:r>
        <w:rPr>
          <w:rStyle w:val="a7"/>
        </w:rPr>
        <w:footnoteRef/>
      </w:r>
      <w:r>
        <w:rPr>
          <w:rtl/>
        </w:rPr>
        <w:t xml:space="preserve"> </w:t>
      </w:r>
      <w:r>
        <w:rPr>
          <w:rFonts w:cs="Arial" w:hint="cs"/>
          <w:rtl/>
        </w:rPr>
        <w:t>אב שמת בלא בנים ו</w:t>
      </w:r>
      <w:r w:rsidRPr="004F175F">
        <w:rPr>
          <w:rFonts w:cs="Arial"/>
          <w:rtl/>
        </w:rPr>
        <w:t>לא ציוה לבנ</w:t>
      </w:r>
      <w:r>
        <w:rPr>
          <w:rFonts w:cs="Arial" w:hint="cs"/>
          <w:rtl/>
        </w:rPr>
        <w:t>ותיו</w:t>
      </w:r>
      <w:r w:rsidRPr="004F175F">
        <w:rPr>
          <w:rFonts w:cs="Arial"/>
          <w:rtl/>
        </w:rPr>
        <w:t xml:space="preserve"> מה לעשות בנכסיו</w:t>
      </w:r>
      <w:r>
        <w:rPr>
          <w:rFonts w:hint="cs"/>
          <w:rtl/>
        </w:rPr>
        <w:t>.</w:t>
      </w:r>
    </w:p>
  </w:footnote>
  <w:footnote w:id="2166">
    <w:p w14:paraId="034DC627" w14:textId="77777777" w:rsidR="00DF1FC7" w:rsidRDefault="00DF1FC7" w:rsidP="002E5BAD">
      <w:pPr>
        <w:pStyle w:val="a5"/>
        <w:rPr>
          <w:rtl/>
        </w:rPr>
      </w:pPr>
      <w:r>
        <w:rPr>
          <w:rStyle w:val="a7"/>
        </w:rPr>
        <w:footnoteRef/>
      </w:r>
      <w:r>
        <w:rPr>
          <w:rtl/>
        </w:rPr>
        <w:t xml:space="preserve"> </w:t>
      </w:r>
      <w:r>
        <w:rPr>
          <w:rFonts w:cs="Arial" w:hint="cs"/>
          <w:rtl/>
        </w:rPr>
        <w:t>לאיש</w:t>
      </w:r>
      <w:r w:rsidRPr="004F175F">
        <w:rPr>
          <w:rFonts w:cs="Arial"/>
          <w:rtl/>
        </w:rPr>
        <w:t xml:space="preserve"> </w:t>
      </w:r>
      <w:r>
        <w:rPr>
          <w:rFonts w:cs="Arial" w:hint="cs"/>
          <w:rtl/>
        </w:rPr>
        <w:t>ל</w:t>
      </w:r>
      <w:r w:rsidRPr="004F175F">
        <w:rPr>
          <w:rFonts w:cs="Arial"/>
          <w:rtl/>
        </w:rPr>
        <w:t>אחר מות אביהם, ונטלו את הוצאות הנישואין מן הירושה, קודם החלוקה</w:t>
      </w:r>
      <w:r>
        <w:rPr>
          <w:rFonts w:hint="cs"/>
          <w:rtl/>
        </w:rPr>
        <w:t>.</w:t>
      </w:r>
    </w:p>
  </w:footnote>
  <w:footnote w:id="2167">
    <w:p w14:paraId="59B78ACD" w14:textId="77777777" w:rsidR="00DF1FC7" w:rsidRPr="004F175F" w:rsidRDefault="00DF1FC7" w:rsidP="002E5BAD">
      <w:pPr>
        <w:pStyle w:val="a5"/>
        <w:rPr>
          <w:rtl/>
        </w:rPr>
      </w:pPr>
      <w:r>
        <w:rPr>
          <w:rStyle w:val="a7"/>
        </w:rPr>
        <w:footnoteRef/>
      </w:r>
      <w:r>
        <w:rPr>
          <w:rtl/>
        </w:rPr>
        <w:t xml:space="preserve"> </w:t>
      </w:r>
      <w:r w:rsidRPr="004F175F">
        <w:rPr>
          <w:rFonts w:cs="Arial"/>
          <w:rtl/>
        </w:rPr>
        <w:t>כלומר, אף הם יטלו הוצאות נישואיהם מתוך הירושה קודם החלוקה</w:t>
      </w:r>
      <w:r w:rsidRPr="004F175F">
        <w:rPr>
          <w:rFonts w:hint="cs"/>
          <w:sz w:val="16"/>
          <w:szCs w:val="16"/>
          <w:rtl/>
        </w:rPr>
        <w:t xml:space="preserve"> (פירוש חברותא)</w:t>
      </w:r>
      <w:r>
        <w:rPr>
          <w:rFonts w:hint="cs"/>
          <w:rtl/>
        </w:rPr>
        <w:t>.</w:t>
      </w:r>
    </w:p>
  </w:footnote>
  <w:footnote w:id="2168">
    <w:p w14:paraId="7154C2FF" w14:textId="77777777" w:rsidR="00DF1FC7" w:rsidRDefault="00DF1FC7" w:rsidP="002E5BAD">
      <w:pPr>
        <w:pStyle w:val="a5"/>
        <w:rPr>
          <w:rtl/>
        </w:rPr>
      </w:pPr>
      <w:r>
        <w:rPr>
          <w:rStyle w:val="a7"/>
        </w:rPr>
        <w:footnoteRef/>
      </w:r>
      <w:r>
        <w:rPr>
          <w:rtl/>
        </w:rPr>
        <w:t xml:space="preserve"> </w:t>
      </w:r>
      <w:r w:rsidRPr="004F175F">
        <w:rPr>
          <w:rFonts w:cs="Arial"/>
          <w:rtl/>
        </w:rPr>
        <w:t>נשאו הגדול</w:t>
      </w:r>
      <w:r>
        <w:rPr>
          <w:rFonts w:cs="Arial" w:hint="cs"/>
          <w:rtl/>
        </w:rPr>
        <w:t>ות</w:t>
      </w:r>
      <w:r w:rsidRPr="004F175F">
        <w:rPr>
          <w:rFonts w:cs="Arial"/>
          <w:rtl/>
        </w:rPr>
        <w:t xml:space="preserve"> קודם מיתת אביהם</w:t>
      </w:r>
      <w:r>
        <w:rPr>
          <w:rFonts w:hint="cs"/>
          <w:rtl/>
        </w:rPr>
        <w:t>.</w:t>
      </w:r>
    </w:p>
  </w:footnote>
  <w:footnote w:id="2169">
    <w:p w14:paraId="5BC9B063" w14:textId="77777777" w:rsidR="00DF1FC7" w:rsidRDefault="00DF1FC7" w:rsidP="002E5BAD">
      <w:pPr>
        <w:pStyle w:val="a5"/>
        <w:rPr>
          <w:rtl/>
        </w:rPr>
      </w:pPr>
      <w:r>
        <w:rPr>
          <w:rStyle w:val="a7"/>
        </w:rPr>
        <w:footnoteRef/>
      </w:r>
      <w:r>
        <w:rPr>
          <w:rtl/>
        </w:rPr>
        <w:t xml:space="preserve"> </w:t>
      </w:r>
      <w:r w:rsidRPr="004F175F">
        <w:rPr>
          <w:rFonts w:cs="Arial"/>
          <w:rtl/>
        </w:rPr>
        <w:t>ואין זה בכלל הירושה</w:t>
      </w:r>
      <w:r>
        <w:rPr>
          <w:rFonts w:cs="Arial" w:hint="cs"/>
          <w:rtl/>
        </w:rPr>
        <w:t xml:space="preserve"> </w:t>
      </w:r>
      <w:r w:rsidRPr="004F175F">
        <w:rPr>
          <w:rFonts w:hint="cs"/>
          <w:sz w:val="16"/>
          <w:szCs w:val="16"/>
          <w:rtl/>
        </w:rPr>
        <w:t>(פירוש חברותא)</w:t>
      </w:r>
      <w:r>
        <w:rPr>
          <w:rFonts w:hint="cs"/>
          <w:rtl/>
        </w:rPr>
        <w:t>.</w:t>
      </w:r>
    </w:p>
  </w:footnote>
  <w:footnote w:id="2170">
    <w:p w14:paraId="6380BAA0" w14:textId="77777777" w:rsidR="00DF1FC7" w:rsidRDefault="00DF1FC7" w:rsidP="002E5BAD">
      <w:pPr>
        <w:pStyle w:val="a5"/>
        <w:rPr>
          <w:rtl/>
        </w:rPr>
      </w:pPr>
      <w:r>
        <w:rPr>
          <w:rStyle w:val="a7"/>
        </w:rPr>
        <w:footnoteRef/>
      </w:r>
      <w:r>
        <w:rPr>
          <w:rtl/>
        </w:rPr>
        <w:t xml:space="preserve"> </w:t>
      </w:r>
      <w:r w:rsidRPr="004F175F">
        <w:rPr>
          <w:rFonts w:cs="Arial"/>
          <w:rtl/>
        </w:rPr>
        <w:t>כלומר, יוציאו הקטנות מהבעל את חלקם המגיע להם</w:t>
      </w:r>
      <w:r>
        <w:rPr>
          <w:rFonts w:cs="Arial" w:hint="cs"/>
          <w:rtl/>
        </w:rPr>
        <w:t>.</w:t>
      </w:r>
      <w:r w:rsidRPr="004F175F">
        <w:rPr>
          <w:rFonts w:cs="Arial"/>
          <w:rtl/>
        </w:rPr>
        <w:t xml:space="preserve"> ומשמע דהוי כיורש</w:t>
      </w:r>
      <w:r>
        <w:rPr>
          <w:rFonts w:hint="cs"/>
          <w:rtl/>
        </w:rPr>
        <w:t xml:space="preserve"> </w:t>
      </w:r>
      <w:r w:rsidRPr="004F175F">
        <w:rPr>
          <w:rFonts w:hint="cs"/>
          <w:sz w:val="16"/>
          <w:szCs w:val="16"/>
          <w:rtl/>
        </w:rPr>
        <w:t>(פירוש חברותא)</w:t>
      </w:r>
      <w:r>
        <w:rPr>
          <w:rFonts w:hint="cs"/>
          <w:rtl/>
        </w:rPr>
        <w:t>.</w:t>
      </w:r>
    </w:p>
  </w:footnote>
  <w:footnote w:id="2171">
    <w:p w14:paraId="5C848535" w14:textId="77777777" w:rsidR="00DF1FC7" w:rsidRDefault="00DF1FC7" w:rsidP="002E5BAD">
      <w:pPr>
        <w:pStyle w:val="a5"/>
        <w:rPr>
          <w:rtl/>
        </w:rPr>
      </w:pPr>
      <w:r>
        <w:rPr>
          <w:rStyle w:val="a7"/>
        </w:rPr>
        <w:footnoteRef/>
      </w:r>
      <w:r>
        <w:rPr>
          <w:rtl/>
        </w:rPr>
        <w:t xml:space="preserve"> </w:t>
      </w:r>
      <w:r w:rsidRPr="006948E0">
        <w:rPr>
          <w:rFonts w:cs="Arial"/>
          <w:rtl/>
        </w:rPr>
        <w:t>כלומר, אין הקטנות יכולות להוציא ממון מהבעל, אלא יכולות להנשא מהממון הנשאר בתפוסת הבית</w:t>
      </w:r>
      <w:r>
        <w:rPr>
          <w:rFonts w:hint="cs"/>
          <w:rtl/>
        </w:rPr>
        <w:t>.</w:t>
      </w:r>
    </w:p>
  </w:footnote>
  <w:footnote w:id="2172">
    <w:p w14:paraId="62F73079" w14:textId="77777777" w:rsidR="00DF1FC7" w:rsidRDefault="00DF1FC7" w:rsidP="002E5BAD">
      <w:pPr>
        <w:pStyle w:val="a5"/>
        <w:rPr>
          <w:rtl/>
        </w:rPr>
      </w:pPr>
      <w:r>
        <w:rPr>
          <w:rStyle w:val="a7"/>
        </w:rPr>
        <w:footnoteRef/>
      </w:r>
      <w:r>
        <w:rPr>
          <w:rtl/>
        </w:rPr>
        <w:t xml:space="preserve"> </w:t>
      </w:r>
      <w:r>
        <w:rPr>
          <w:rFonts w:cs="Arial"/>
          <w:rtl/>
        </w:rPr>
        <w:t xml:space="preserve">וכתב הרא"ש בתחלת </w:t>
      </w:r>
      <w:r>
        <w:rPr>
          <w:rFonts w:cs="Arial" w:hint="cs"/>
          <w:rtl/>
        </w:rPr>
        <w:t>(</w:t>
      </w:r>
      <w:r>
        <w:rPr>
          <w:rFonts w:cs="Arial"/>
          <w:rtl/>
        </w:rPr>
        <w:t>כלל לט סי' א) אפילו לא מתה גובה חובות בשטר מנכסים שהכניסה לבעלה</w:t>
      </w:r>
      <w:r>
        <w:rPr>
          <w:rFonts w:cs="Arial" w:hint="cs"/>
          <w:rtl/>
        </w:rPr>
        <w:t>, ב"י.</w:t>
      </w:r>
      <w:r w:rsidRPr="00EB3C2B">
        <w:rPr>
          <w:rFonts w:cs="Arial"/>
          <w:rtl/>
        </w:rPr>
        <w:t xml:space="preserve"> וע"ש סי' ד', עוד כתב שם בתשובה כל מה שימצא מנכסיה קרקע ומטלטלים ושטרות יתנו לבעל חוב בשטר חובו וכו' ואפשר דמיירי בכתבה לו אגב ולכן נוטל אף המטלטלין או אפשר לומר דלאחר מיתה שאין הבעל בא אלא משום ירושה אף מטלטלין נוטל וע"ש</w:t>
      </w:r>
      <w:r>
        <w:rPr>
          <w:rFonts w:cs="Arial" w:hint="cs"/>
          <w:rtl/>
        </w:rPr>
        <w:t>, דרכ"מ (אות ג).</w:t>
      </w:r>
    </w:p>
  </w:footnote>
  <w:footnote w:id="2173">
    <w:p w14:paraId="400B7337" w14:textId="77777777" w:rsidR="00DF1FC7" w:rsidRDefault="00DF1FC7" w:rsidP="002E5BAD">
      <w:pPr>
        <w:pStyle w:val="a5"/>
        <w:rPr>
          <w:rtl/>
        </w:rPr>
      </w:pPr>
      <w:r>
        <w:rPr>
          <w:rStyle w:val="a7"/>
        </w:rPr>
        <w:footnoteRef/>
      </w:r>
      <w:r>
        <w:rPr>
          <w:rtl/>
        </w:rPr>
        <w:t xml:space="preserve"> </w:t>
      </w:r>
      <w:r>
        <w:rPr>
          <w:rFonts w:hint="cs"/>
          <w:rtl/>
        </w:rPr>
        <w:t xml:space="preserve">וז"ל- </w:t>
      </w:r>
      <w:r w:rsidRPr="00CC0072">
        <w:rPr>
          <w:rFonts w:cs="Arial"/>
          <w:rtl/>
        </w:rPr>
        <w:t>ולענין שאילתא דשאילנא פי' ר</w:t>
      </w:r>
      <w:r>
        <w:rPr>
          <w:rFonts w:cs="Arial" w:hint="cs"/>
          <w:rtl/>
        </w:rPr>
        <w:t>"ח</w:t>
      </w:r>
      <w:r w:rsidRPr="00CC0072">
        <w:rPr>
          <w:rFonts w:cs="Arial"/>
          <w:rtl/>
        </w:rPr>
        <w:t xml:space="preserve"> ורואה אני את דבריו לוותה ואכלה ועמדה וניסת מסתברא דכיורש הוי משום פסידא דמלוה וכן סוגיא דשמעתא דכל היכא דאיכא פסידא כגון פסידא דאלמנה דליכא למימר איהו דאפסיד אנפשיה שויוהו רבנן כיורש</w:t>
      </w:r>
      <w:r>
        <w:rPr>
          <w:rFonts w:cs="Arial" w:hint="cs"/>
          <w:rtl/>
        </w:rPr>
        <w:t>.</w:t>
      </w:r>
    </w:p>
  </w:footnote>
  <w:footnote w:id="2174">
    <w:p w14:paraId="124FD5FB" w14:textId="77777777" w:rsidR="00DF1FC7" w:rsidRDefault="00DF1FC7" w:rsidP="002E5BAD">
      <w:pPr>
        <w:pStyle w:val="a5"/>
        <w:rPr>
          <w:rtl/>
        </w:rPr>
      </w:pPr>
      <w:r>
        <w:rPr>
          <w:rStyle w:val="a7"/>
        </w:rPr>
        <w:footnoteRef/>
      </w:r>
      <w:r>
        <w:rPr>
          <w:rtl/>
        </w:rPr>
        <w:t xml:space="preserve"> </w:t>
      </w:r>
      <w:r w:rsidRPr="00220A7D">
        <w:rPr>
          <w:rFonts w:cs="Arial"/>
          <w:rtl/>
        </w:rPr>
        <w:t>הוא כדברי רבינו שרירא ורבינו האיי ז"ל שכתבתי למעלה</w:t>
      </w:r>
      <w:r>
        <w:rPr>
          <w:rFonts w:cs="Arial" w:hint="cs"/>
          <w:rtl/>
        </w:rPr>
        <w:t>,</w:t>
      </w:r>
      <w:r w:rsidRPr="00220A7D">
        <w:rPr>
          <w:rFonts w:cs="Arial"/>
          <w:rtl/>
        </w:rPr>
        <w:t xml:space="preserve"> אפילו בלותה משנשאת</w:t>
      </w:r>
      <w:r>
        <w:rPr>
          <w:rFonts w:cs="Arial" w:hint="cs"/>
          <w:rtl/>
        </w:rPr>
        <w:t>,</w:t>
      </w:r>
      <w:r w:rsidRPr="00220A7D">
        <w:rPr>
          <w:rFonts w:cs="Arial"/>
          <w:rtl/>
        </w:rPr>
        <w:t xml:space="preserve"> וכבר כתבתי בזה ואפשר שיצא להן בכאן ממ"ש בגמרא לותה ואכלה ועמדה ונשאת מהו דמשמע דלא מיבעיא להו אלא דוקא באכלה</w:t>
      </w:r>
      <w:r>
        <w:rPr>
          <w:rFonts w:cs="Arial" w:hint="cs"/>
          <w:rtl/>
        </w:rPr>
        <w:t>,</w:t>
      </w:r>
      <w:r w:rsidRPr="00220A7D">
        <w:rPr>
          <w:rFonts w:cs="Arial"/>
          <w:rtl/>
        </w:rPr>
        <w:t xml:space="preserve"> הא איתנהו בעין מחזירין למלוה</w:t>
      </w:r>
      <w:r>
        <w:rPr>
          <w:rFonts w:cs="Arial" w:hint="cs"/>
          <w:rtl/>
        </w:rPr>
        <w:t>, הה"מ (שם).</w:t>
      </w:r>
    </w:p>
  </w:footnote>
  <w:footnote w:id="2175">
    <w:p w14:paraId="1BD0BF39" w14:textId="77777777" w:rsidR="00DF1FC7" w:rsidRDefault="00DF1FC7" w:rsidP="002E5BAD">
      <w:pPr>
        <w:pStyle w:val="a5"/>
        <w:rPr>
          <w:rtl/>
        </w:rPr>
      </w:pPr>
      <w:r>
        <w:rPr>
          <w:rStyle w:val="a7"/>
        </w:rPr>
        <w:footnoteRef/>
      </w:r>
      <w:r>
        <w:rPr>
          <w:rFonts w:cs="Arial" w:hint="cs"/>
          <w:rtl/>
        </w:rPr>
        <w:t xml:space="preserve"> ועיין לקמן </w:t>
      </w:r>
      <w:r w:rsidRPr="00EB3C2B">
        <w:rPr>
          <w:rFonts w:cs="Arial"/>
          <w:rtl/>
        </w:rPr>
        <w:t>סימן קי"ח (עמ' צא - צב) אם כתב לה הבעל שטר מתנה אם בעל חוב גובה מאותו שטר</w:t>
      </w:r>
      <w:r>
        <w:rPr>
          <w:rFonts w:cs="Arial" w:hint="cs"/>
          <w:rtl/>
        </w:rPr>
        <w:t>.</w:t>
      </w:r>
      <w:r w:rsidRPr="00EB3C2B">
        <w:rPr>
          <w:rFonts w:cs="Arial"/>
          <w:rtl/>
        </w:rPr>
        <w:t xml:space="preserve"> וע"ל הרבה חילוקים מדינים אלו</w:t>
      </w:r>
      <w:r>
        <w:rPr>
          <w:rFonts w:cs="Arial" w:hint="cs"/>
          <w:rtl/>
        </w:rPr>
        <w:t>, דרכ"מ (אות ב).</w:t>
      </w:r>
    </w:p>
  </w:footnote>
  <w:footnote w:id="2176">
    <w:p w14:paraId="3244BAA9" w14:textId="77777777" w:rsidR="00DF1FC7" w:rsidRDefault="00DF1FC7" w:rsidP="002E5BAD">
      <w:pPr>
        <w:pStyle w:val="a5"/>
        <w:rPr>
          <w:rtl/>
        </w:rPr>
      </w:pPr>
      <w:r>
        <w:rPr>
          <w:rStyle w:val="a7"/>
        </w:rPr>
        <w:footnoteRef/>
      </w:r>
      <w:r>
        <w:rPr>
          <w:rtl/>
        </w:rPr>
        <w:t xml:space="preserve"> </w:t>
      </w:r>
      <w:r>
        <w:rPr>
          <w:rFonts w:cs="Arial" w:hint="cs"/>
          <w:rtl/>
        </w:rPr>
        <w:t>וכתב שכן דעת ה</w:t>
      </w:r>
      <w:r>
        <w:rPr>
          <w:rFonts w:cs="Arial"/>
          <w:rtl/>
        </w:rPr>
        <w:t xml:space="preserve">תוס' </w:t>
      </w:r>
      <w:r>
        <w:rPr>
          <w:rFonts w:cs="Arial" w:hint="cs"/>
          <w:rtl/>
        </w:rPr>
        <w:t>(</w:t>
      </w:r>
      <w:r>
        <w:rPr>
          <w:rFonts w:cs="Arial"/>
          <w:rtl/>
        </w:rPr>
        <w:t>פ' המקבל קד שם</w:t>
      </w:r>
      <w:r>
        <w:rPr>
          <w:rFonts w:cs="Arial" w:hint="cs"/>
          <w:rtl/>
        </w:rPr>
        <w:t>)</w:t>
      </w:r>
      <w:r>
        <w:rPr>
          <w:rFonts w:cs="Arial"/>
          <w:rtl/>
        </w:rPr>
        <w:t xml:space="preserve"> ומהרי"ק </w:t>
      </w:r>
      <w:r>
        <w:rPr>
          <w:rFonts w:cs="Arial" w:hint="cs"/>
          <w:rtl/>
        </w:rPr>
        <w:t>(</w:t>
      </w:r>
      <w:r>
        <w:rPr>
          <w:rFonts w:cs="Arial"/>
          <w:rtl/>
        </w:rPr>
        <w:t>שורש י"ח</w:t>
      </w:r>
      <w:r>
        <w:rPr>
          <w:rFonts w:cs="Arial" w:hint="cs"/>
          <w:rtl/>
        </w:rPr>
        <w:t>),</w:t>
      </w:r>
      <w:r>
        <w:rPr>
          <w:rFonts w:cs="Arial"/>
          <w:rtl/>
        </w:rPr>
        <w:t xml:space="preserve"> ולא כר"ב שהביא המרדכי שם</w:t>
      </w:r>
      <w:r>
        <w:rPr>
          <w:rFonts w:cs="Arial" w:hint="cs"/>
          <w:rtl/>
        </w:rPr>
        <w:t>.</w:t>
      </w:r>
    </w:p>
  </w:footnote>
  <w:footnote w:id="2177">
    <w:p w14:paraId="11B9ADC7" w14:textId="77777777" w:rsidR="00DF1FC7" w:rsidRPr="004F7064" w:rsidRDefault="00DF1FC7" w:rsidP="002E5BAD">
      <w:pPr>
        <w:pStyle w:val="a5"/>
        <w:rPr>
          <w:rFonts w:cs="Arial"/>
          <w:rtl/>
        </w:rPr>
      </w:pPr>
      <w:r>
        <w:rPr>
          <w:rStyle w:val="a7"/>
        </w:rPr>
        <w:footnoteRef/>
      </w:r>
      <w:r>
        <w:rPr>
          <w:rtl/>
        </w:rPr>
        <w:t xml:space="preserve"> </w:t>
      </w:r>
      <w:r w:rsidRPr="00EB3C2B">
        <w:rPr>
          <w:rFonts w:cs="Arial"/>
          <w:rtl/>
        </w:rPr>
        <w:t>וכתב עוד (סה. ד"ה שלח) דכל נזקין והפסדות וחובות ומקח שנעשה בין קודם זמן הנישואין בין תחת הבעל אינו גובה אפילו מגוף נכסי מלוג עכ"ל</w:t>
      </w:r>
      <w:r>
        <w:rPr>
          <w:rFonts w:cs="Arial" w:hint="cs"/>
          <w:rtl/>
        </w:rPr>
        <w:t>, דרכ"מ (אות ד).</w:t>
      </w:r>
    </w:p>
  </w:footnote>
  <w:footnote w:id="2178">
    <w:p w14:paraId="1B4C709B" w14:textId="77777777" w:rsidR="00DF1FC7" w:rsidRDefault="00DF1FC7" w:rsidP="002E5BAD">
      <w:pPr>
        <w:pStyle w:val="a5"/>
        <w:rPr>
          <w:rtl/>
        </w:rPr>
      </w:pPr>
      <w:r>
        <w:rPr>
          <w:rStyle w:val="a7"/>
        </w:rPr>
        <w:footnoteRef/>
      </w:r>
      <w:r>
        <w:rPr>
          <w:rtl/>
        </w:rPr>
        <w:t xml:space="preserve"> </w:t>
      </w:r>
      <w:r>
        <w:rPr>
          <w:rFonts w:cs="Arial"/>
          <w:rtl/>
        </w:rPr>
        <w:t>דהיינו דאינו יכול להוצי</w:t>
      </w:r>
      <w:r>
        <w:rPr>
          <w:rFonts w:cs="Arial" w:hint="cs"/>
          <w:rtl/>
        </w:rPr>
        <w:t>א</w:t>
      </w:r>
      <w:r>
        <w:rPr>
          <w:rFonts w:cs="Arial"/>
          <w:rtl/>
        </w:rPr>
        <w:t xml:space="preserve"> מהבעל אבל אם תפס המלוה אין מוציאים ממנו ועיין תשובת מהר"מ אלשיך סי' י"ז</w:t>
      </w:r>
      <w:r>
        <w:rPr>
          <w:rFonts w:hint="cs"/>
          <w:rtl/>
        </w:rPr>
        <w:t>, ב"ש (סק"ט).</w:t>
      </w:r>
    </w:p>
  </w:footnote>
  <w:footnote w:id="2179">
    <w:p w14:paraId="5E889E75" w14:textId="77777777" w:rsidR="00DF1FC7" w:rsidRDefault="00DF1FC7" w:rsidP="002E5BAD">
      <w:pPr>
        <w:pStyle w:val="a5"/>
        <w:rPr>
          <w:rtl/>
        </w:rPr>
      </w:pPr>
      <w:r>
        <w:rPr>
          <w:rStyle w:val="a7"/>
        </w:rPr>
        <w:footnoteRef/>
      </w:r>
      <w:r>
        <w:rPr>
          <w:rtl/>
        </w:rPr>
        <w:t xml:space="preserve"> </w:t>
      </w:r>
      <w:r>
        <w:rPr>
          <w:rFonts w:cs="Arial"/>
          <w:rtl/>
        </w:rPr>
        <w:t>הרשב"א פי' סוגיא זו דאיירי אפילו אם היא חי</w:t>
      </w:r>
      <w:r>
        <w:rPr>
          <w:rFonts w:cs="Arial" w:hint="cs"/>
          <w:rtl/>
        </w:rPr>
        <w:t>ה,</w:t>
      </w:r>
      <w:r>
        <w:rPr>
          <w:rFonts w:cs="Arial"/>
          <w:rtl/>
        </w:rPr>
        <w:t xml:space="preserve"> ש"מ דס"ל אפילו בחייה דינו כלוקח כמ"ש בסמוך</w:t>
      </w:r>
      <w:r>
        <w:rPr>
          <w:rFonts w:cs="Arial" w:hint="cs"/>
          <w:rtl/>
        </w:rPr>
        <w:t>.</w:t>
      </w:r>
      <w:r>
        <w:rPr>
          <w:rFonts w:cs="Arial"/>
          <w:rtl/>
        </w:rPr>
        <w:t xml:space="preserve"> והרמב"ם דס"ל שומא אפילו בחייה איירי הסוגיא</w:t>
      </w:r>
      <w:r>
        <w:rPr>
          <w:rFonts w:cs="Arial" w:hint="cs"/>
          <w:rtl/>
        </w:rPr>
        <w:t>,</w:t>
      </w:r>
      <w:r>
        <w:rPr>
          <w:rFonts w:cs="Arial"/>
          <w:rtl/>
        </w:rPr>
        <w:t xml:space="preserve"> וכן משמע מדבריו ס"פ כ"ו ה"מ</w:t>
      </w:r>
      <w:r>
        <w:rPr>
          <w:rFonts w:cs="Arial" w:hint="cs"/>
          <w:rtl/>
        </w:rPr>
        <w:t xml:space="preserve"> </w:t>
      </w:r>
      <w:r>
        <w:rPr>
          <w:rFonts w:cs="Arial" w:hint="cs"/>
          <w:sz w:val="16"/>
          <w:szCs w:val="16"/>
          <w:rtl/>
        </w:rPr>
        <w:t>{וכ"כ הב"י כאן בשם הרא"ש}</w:t>
      </w:r>
      <w:r>
        <w:rPr>
          <w:rFonts w:cs="Arial" w:hint="cs"/>
          <w:rtl/>
        </w:rPr>
        <w:t>.</w:t>
      </w:r>
      <w:r>
        <w:rPr>
          <w:rFonts w:cs="Arial"/>
          <w:rtl/>
        </w:rPr>
        <w:t xml:space="preserve"> והמחבר שכתב כאן סתם דאינה נגבי' מהבעל משמע אפי' בחייה</w:t>
      </w:r>
      <w:r>
        <w:rPr>
          <w:rFonts w:cs="Arial" w:hint="cs"/>
          <w:rtl/>
        </w:rPr>
        <w:t>.</w:t>
      </w:r>
      <w:r>
        <w:rPr>
          <w:rFonts w:cs="Arial"/>
          <w:rtl/>
        </w:rPr>
        <w:t xml:space="preserve"> ובסמוך כתב ונשאת ומתה וכו'</w:t>
      </w:r>
      <w:r>
        <w:rPr>
          <w:rFonts w:cs="Arial" w:hint="cs"/>
          <w:rtl/>
        </w:rPr>
        <w:t>,</w:t>
      </w:r>
      <w:r>
        <w:rPr>
          <w:rFonts w:cs="Arial"/>
          <w:rtl/>
        </w:rPr>
        <w:t xml:space="preserve"> ע"כ צ"ל דס"ל דשומא ל"ד לדין פרעון ודוחק הוא לחלק בין פרעון לשומא </w:t>
      </w:r>
      <w:r w:rsidRPr="00D20F4F">
        <w:rPr>
          <w:rFonts w:cs="Arial" w:hint="cs"/>
          <w:sz w:val="16"/>
          <w:szCs w:val="16"/>
          <w:rtl/>
        </w:rPr>
        <w:t>(</w:t>
      </w:r>
      <w:r w:rsidRPr="00D20F4F">
        <w:rPr>
          <w:rFonts w:cs="Arial"/>
          <w:sz w:val="16"/>
          <w:szCs w:val="16"/>
          <w:rtl/>
        </w:rPr>
        <w:t>וכן הסמ"ע ס"ס קי"ב משוה דין שומא לדין פרעון מ"ה הקשה ממ"ש שם בש"ע על מ"ש ס"ס ק"ג</w:t>
      </w:r>
      <w:r>
        <w:rPr>
          <w:rFonts w:cs="Arial" w:hint="cs"/>
          <w:sz w:val="16"/>
          <w:szCs w:val="16"/>
          <w:rtl/>
        </w:rPr>
        <w:t>,</w:t>
      </w:r>
      <w:r w:rsidRPr="00D20F4F">
        <w:rPr>
          <w:rFonts w:cs="Arial"/>
          <w:sz w:val="16"/>
          <w:szCs w:val="16"/>
          <w:rtl/>
        </w:rPr>
        <w:t xml:space="preserve"> היינו בסי' קי"ב אית' ראובן שהלוה לא' ולא כתב ליה דאקני והלוה מת והניח בת ונשאת א"י לגבות מהבעל משום דדינו כלוקח</w:t>
      </w:r>
      <w:r>
        <w:rPr>
          <w:rFonts w:cs="Arial" w:hint="cs"/>
          <w:sz w:val="16"/>
          <w:szCs w:val="16"/>
          <w:rtl/>
        </w:rPr>
        <w:t>,</w:t>
      </w:r>
      <w:r w:rsidRPr="00D20F4F">
        <w:rPr>
          <w:rFonts w:cs="Arial"/>
          <w:sz w:val="16"/>
          <w:szCs w:val="16"/>
          <w:rtl/>
        </w:rPr>
        <w:t xml:space="preserve"> ומשמע אפי' בחייה דינו כלוקח</w:t>
      </w:r>
      <w:r>
        <w:rPr>
          <w:rFonts w:cs="Arial" w:hint="cs"/>
          <w:sz w:val="16"/>
          <w:szCs w:val="16"/>
          <w:rtl/>
        </w:rPr>
        <w:t>.</w:t>
      </w:r>
      <w:r w:rsidRPr="00D20F4F">
        <w:rPr>
          <w:rFonts w:cs="Arial"/>
          <w:sz w:val="16"/>
          <w:szCs w:val="16"/>
          <w:rtl/>
        </w:rPr>
        <w:t xml:space="preserve"> ובס"ס ק"ג בשומא כתב הרב רמ"א אחר מותה דינו כלוקח ולא בחייה</w:t>
      </w:r>
      <w:r>
        <w:rPr>
          <w:rFonts w:cs="Arial" w:hint="cs"/>
          <w:sz w:val="16"/>
          <w:szCs w:val="16"/>
          <w:rtl/>
        </w:rPr>
        <w:t>.</w:t>
      </w:r>
      <w:r w:rsidRPr="00D20F4F">
        <w:rPr>
          <w:rFonts w:cs="Arial"/>
          <w:sz w:val="16"/>
          <w:szCs w:val="16"/>
          <w:rtl/>
        </w:rPr>
        <w:t xml:space="preserve"> ותירץ </w:t>
      </w:r>
      <w:r>
        <w:rPr>
          <w:rFonts w:cs="Arial" w:hint="cs"/>
          <w:sz w:val="16"/>
          <w:szCs w:val="16"/>
          <w:rtl/>
        </w:rPr>
        <w:t>ד</w:t>
      </w:r>
      <w:r w:rsidRPr="00D20F4F">
        <w:rPr>
          <w:rFonts w:cs="Arial"/>
          <w:sz w:val="16"/>
          <w:szCs w:val="16"/>
          <w:rtl/>
        </w:rPr>
        <w:t>בס"ס קי"ב איירי בנצ"ב אז דינו כלוקח לכ"ע אפי' בחייה</w:t>
      </w:r>
      <w:r>
        <w:rPr>
          <w:rFonts w:cs="Arial" w:hint="cs"/>
          <w:sz w:val="16"/>
          <w:szCs w:val="16"/>
          <w:rtl/>
        </w:rPr>
        <w:t>.</w:t>
      </w:r>
      <w:r w:rsidRPr="00D20F4F">
        <w:rPr>
          <w:rFonts w:cs="Arial"/>
          <w:sz w:val="16"/>
          <w:szCs w:val="16"/>
          <w:rtl/>
        </w:rPr>
        <w:t xml:space="preserve"> ולדידיה א"י איך מתרץ כאן דברי הש"ע</w:t>
      </w:r>
      <w:r>
        <w:rPr>
          <w:rFonts w:cs="Arial" w:hint="cs"/>
          <w:sz w:val="16"/>
          <w:szCs w:val="16"/>
          <w:rtl/>
        </w:rPr>
        <w:t>.</w:t>
      </w:r>
      <w:r w:rsidRPr="007218B0">
        <w:rPr>
          <w:rFonts w:cs="Arial"/>
          <w:sz w:val="16"/>
          <w:szCs w:val="16"/>
          <w:rtl/>
        </w:rPr>
        <w:t xml:space="preserve"> מיהו לדינ' נ"ל ג"כ כוותיה דאיירי שם בנצ"ב ולא מטעמו אלא דלא תקשה למה דינו שם כלוקח ולא כיורש למה ל"ח לפסידא דמלוה דהא שם לא הפסיד לנפשו דהא הלוה בשטר אע"כ דאיירי בנצ"ב אז דינו כלוקח אפי' בחייה</w:t>
      </w:r>
      <w:r w:rsidRPr="007218B0">
        <w:rPr>
          <w:rFonts w:cs="Arial" w:hint="cs"/>
          <w:sz w:val="16"/>
          <w:szCs w:val="16"/>
          <w:rtl/>
        </w:rPr>
        <w:t>.</w:t>
      </w:r>
      <w:r w:rsidRPr="007218B0">
        <w:rPr>
          <w:rFonts w:cs="Arial"/>
          <w:sz w:val="16"/>
          <w:szCs w:val="16"/>
          <w:rtl/>
        </w:rPr>
        <w:t xml:space="preserve"> ובזה אין חילוק בין אם הפסיד לנפשו ובין אם לא הפסיד</w:t>
      </w:r>
      <w:r w:rsidRPr="007218B0">
        <w:rPr>
          <w:rFonts w:cs="Arial" w:hint="cs"/>
          <w:sz w:val="16"/>
          <w:szCs w:val="16"/>
          <w:rtl/>
        </w:rPr>
        <w:t>.</w:t>
      </w:r>
      <w:r w:rsidRPr="007218B0">
        <w:rPr>
          <w:rFonts w:cs="Arial"/>
          <w:sz w:val="16"/>
          <w:szCs w:val="16"/>
          <w:rtl/>
        </w:rPr>
        <w:t xml:space="preserve"> אע</w:t>
      </w:r>
      <w:r>
        <w:rPr>
          <w:rFonts w:cs="Arial" w:hint="cs"/>
          <w:sz w:val="16"/>
          <w:szCs w:val="16"/>
          <w:rtl/>
        </w:rPr>
        <w:t>"</w:t>
      </w:r>
      <w:r w:rsidRPr="007218B0">
        <w:rPr>
          <w:rFonts w:cs="Arial"/>
          <w:sz w:val="16"/>
          <w:szCs w:val="16"/>
          <w:rtl/>
        </w:rPr>
        <w:t>ג דהדין שם נובע מדברי בעל התרומות ושם איירי בנ"מ</w:t>
      </w:r>
      <w:r w:rsidRPr="007218B0">
        <w:rPr>
          <w:rFonts w:cs="Arial" w:hint="cs"/>
          <w:sz w:val="16"/>
          <w:szCs w:val="16"/>
          <w:rtl/>
        </w:rPr>
        <w:t>,</w:t>
      </w:r>
      <w:r w:rsidRPr="007218B0">
        <w:rPr>
          <w:rFonts w:cs="Arial"/>
          <w:sz w:val="16"/>
          <w:szCs w:val="16"/>
          <w:rtl/>
        </w:rPr>
        <w:t xml:space="preserve"> היינו משום הבע"ת ס"ל דאפשיט' הבעיא דדינו כלוקח כמ"ש שם ואסיקנ' דינו כלוקח אפי' בנ"מ או לא פלוג בין מלוה למלוה ולעולם דינו כלוקח לכן כתב דינו בנ"מ</w:t>
      </w:r>
      <w:r w:rsidRPr="007218B0">
        <w:rPr>
          <w:rFonts w:cs="Arial" w:hint="cs"/>
          <w:sz w:val="16"/>
          <w:szCs w:val="16"/>
          <w:rtl/>
        </w:rPr>
        <w:t>.</w:t>
      </w:r>
      <w:r w:rsidRPr="007218B0">
        <w:rPr>
          <w:rFonts w:cs="Arial"/>
          <w:sz w:val="16"/>
          <w:szCs w:val="16"/>
          <w:rtl/>
        </w:rPr>
        <w:t xml:space="preserve"> אבל לדידן דלא איפשוט הבעי' וחיישינן לפסידא למלוה לא שייך דינ' דהתם אא"כ בנצ"ב לכן כתב שם הדין של הבע"ת בנצ"ב וע' בש"ך שם, ונצ"ב דדינו כלוקח נובע מתשובת מהרי"ק שם ומתשו' בן לב ח"א סי' ע"ב בשם ר"י האחרון ובספר נתיבות משפט חולק על מהרי"ק ויש קצת ראיה לדבריו מ"ש בש"ס מי שמת והניח אלמנה ובת נשאת הבת אלמנתו ניזונית מנכסים דשוינהו רבנן כיורש ושם איירי בנצ"ב והיינו פרנסת הבנות כמ"ש ברמב"ם פ"כ ה"א ולקמן סי' קי"ג והסמ"ע שם והש"ך כתבו בפשיטות כמהרי"ק</w:t>
      </w:r>
      <w:r w:rsidRPr="007218B0">
        <w:rPr>
          <w:rFonts w:cs="Arial" w:hint="cs"/>
          <w:sz w:val="16"/>
          <w:szCs w:val="16"/>
          <w:rtl/>
        </w:rPr>
        <w:t>.</w:t>
      </w:r>
      <w:r w:rsidRPr="007218B0">
        <w:rPr>
          <w:rFonts w:cs="Arial"/>
          <w:sz w:val="16"/>
          <w:szCs w:val="16"/>
          <w:rtl/>
        </w:rPr>
        <w:t xml:space="preserve"> ולכן</w:t>
      </w:r>
      <w:r>
        <w:rPr>
          <w:rFonts w:cs="Arial" w:hint="cs"/>
          <w:sz w:val="16"/>
          <w:szCs w:val="16"/>
          <w:rtl/>
        </w:rPr>
        <w:t>-)</w:t>
      </w:r>
      <w:r w:rsidRPr="007218B0">
        <w:rPr>
          <w:rFonts w:cs="Arial"/>
          <w:sz w:val="22"/>
          <w:szCs w:val="22"/>
          <w:rtl/>
        </w:rPr>
        <w:t xml:space="preserve"> </w:t>
      </w:r>
      <w:r>
        <w:rPr>
          <w:rFonts w:cs="Arial"/>
          <w:rtl/>
        </w:rPr>
        <w:t>בנצ"ב אפי' אם תפס המלוה לא מהני אלא מוכרים בטובת הנאה כמ"ש בח"ה סי' תכ"ד</w:t>
      </w:r>
      <w:r>
        <w:rPr>
          <w:rFonts w:cs="Arial" w:hint="cs"/>
          <w:rtl/>
        </w:rPr>
        <w:t>.</w:t>
      </w:r>
      <w:r>
        <w:rPr>
          <w:rFonts w:cs="Arial"/>
          <w:rtl/>
        </w:rPr>
        <w:t xml:space="preserve"> ובנ"מ מהני תפיסה</w:t>
      </w:r>
      <w:r>
        <w:rPr>
          <w:rFonts w:cs="Arial" w:hint="cs"/>
          <w:rtl/>
        </w:rPr>
        <w:t>.</w:t>
      </w:r>
      <w:r>
        <w:rPr>
          <w:rFonts w:cs="Arial"/>
          <w:rtl/>
        </w:rPr>
        <w:t xml:space="preserve"> ונראה כל זה איירי אם תפס נכסי מלוג שלה</w:t>
      </w:r>
      <w:r>
        <w:rPr>
          <w:rFonts w:cs="Arial" w:hint="cs"/>
          <w:rtl/>
        </w:rPr>
        <w:t>,</w:t>
      </w:r>
      <w:r>
        <w:rPr>
          <w:rFonts w:cs="Arial"/>
          <w:rtl/>
        </w:rPr>
        <w:t xml:space="preserve"> אבל אם תפס הפירות מן הקרקע לא מהני התפיסה</w:t>
      </w:r>
      <w:r>
        <w:rPr>
          <w:rFonts w:cs="Arial" w:hint="cs"/>
          <w:rtl/>
        </w:rPr>
        <w:t>,</w:t>
      </w:r>
      <w:r>
        <w:rPr>
          <w:rFonts w:cs="Arial"/>
          <w:rtl/>
        </w:rPr>
        <w:t xml:space="preserve"> כי הפירות שייכים להבעל תחת פרקונה</w:t>
      </w:r>
      <w:r>
        <w:rPr>
          <w:rFonts w:cs="Arial" w:hint="cs"/>
          <w:rtl/>
        </w:rPr>
        <w:t>.</w:t>
      </w:r>
      <w:r>
        <w:rPr>
          <w:rFonts w:cs="Arial"/>
          <w:rtl/>
        </w:rPr>
        <w:t xml:space="preserve"> ומכאן נשמע נמי בנ"מ שייך ל' הכניסה כמ"ש הרשב"ם והרשב"א בתשו' בדין זה לשון הכניסה דאיירי בנ"מ</w:t>
      </w:r>
      <w:r>
        <w:rPr>
          <w:rFonts w:hint="cs"/>
          <w:rtl/>
        </w:rPr>
        <w:t xml:space="preserve">, ב"ש </w:t>
      </w:r>
      <w:r w:rsidRPr="00494913">
        <w:rPr>
          <w:rFonts w:hint="cs"/>
          <w:sz w:val="16"/>
          <w:szCs w:val="16"/>
          <w:rtl/>
        </w:rPr>
        <w:t>(סק"ט)</w:t>
      </w:r>
      <w:r>
        <w:rPr>
          <w:rFonts w:hint="cs"/>
          <w:rtl/>
        </w:rPr>
        <w:t>.</w:t>
      </w:r>
    </w:p>
  </w:footnote>
  <w:footnote w:id="2180">
    <w:p w14:paraId="3A33D887" w14:textId="77777777" w:rsidR="00DF1FC7" w:rsidRDefault="00DF1FC7" w:rsidP="002E5BAD">
      <w:pPr>
        <w:pStyle w:val="a5"/>
        <w:rPr>
          <w:rtl/>
        </w:rPr>
      </w:pPr>
      <w:r>
        <w:rPr>
          <w:rStyle w:val="a7"/>
        </w:rPr>
        <w:footnoteRef/>
      </w:r>
      <w:r>
        <w:rPr>
          <w:rtl/>
        </w:rPr>
        <w:t xml:space="preserve"> </w:t>
      </w:r>
      <w:r w:rsidRPr="00E103BA">
        <w:rPr>
          <w:rFonts w:cs="Arial"/>
          <w:rtl/>
        </w:rPr>
        <w:t>אבל אתי מחמתי' דהמעות אינו חייב לשלם כמבואר לעיל סי' צ' סעיף ט' אבל בנ</w:t>
      </w:r>
      <w:r>
        <w:rPr>
          <w:rFonts w:cs="Arial" w:hint="cs"/>
          <w:rtl/>
        </w:rPr>
        <w:t>מוק</w:t>
      </w:r>
      <w:r w:rsidRPr="00E103BA">
        <w:rPr>
          <w:rFonts w:cs="Arial"/>
          <w:rtl/>
        </w:rPr>
        <w:t>"י ראיתי סוף פרק י"נ כתב אם יש דבר שבא מחמת אותן מעות שנטלה וכ"ש אם המעות עצמן הם בעין חוזרים אל הלוקח וכו' ולפי זה ה"ה הכא</w:t>
      </w:r>
      <w:r>
        <w:rPr>
          <w:rFonts w:hint="cs"/>
          <w:rtl/>
        </w:rPr>
        <w:t xml:space="preserve">, ח"מ (סק"ו). אך הב"ש (סק"י) כתב </w:t>
      </w:r>
      <w:r>
        <w:rPr>
          <w:rFonts w:cs="Arial" w:hint="cs"/>
          <w:rtl/>
        </w:rPr>
        <w:t xml:space="preserve">שדעת </w:t>
      </w:r>
      <w:r>
        <w:rPr>
          <w:rFonts w:cs="Arial"/>
          <w:rtl/>
        </w:rPr>
        <w:t>הנ</w:t>
      </w:r>
      <w:r>
        <w:rPr>
          <w:rFonts w:cs="Arial" w:hint="cs"/>
          <w:rtl/>
        </w:rPr>
        <w:t>מוק</w:t>
      </w:r>
      <w:r>
        <w:rPr>
          <w:rFonts w:cs="Arial"/>
          <w:rtl/>
        </w:rPr>
        <w:t xml:space="preserve">"י </w:t>
      </w:r>
      <w:r>
        <w:rPr>
          <w:rFonts w:cs="Arial" w:hint="cs"/>
          <w:rtl/>
        </w:rPr>
        <w:t>ד</w:t>
      </w:r>
      <w:r>
        <w:rPr>
          <w:rFonts w:cs="Arial"/>
          <w:rtl/>
        </w:rPr>
        <w:t>אפילו אם המעות בעין א"צ לשלם</w:t>
      </w:r>
      <w:r>
        <w:rPr>
          <w:rFonts w:cs="Arial" w:hint="cs"/>
          <w:rtl/>
        </w:rPr>
        <w:t>.</w:t>
      </w:r>
      <w:r>
        <w:rPr>
          <w:rFonts w:cs="Arial"/>
          <w:rtl/>
        </w:rPr>
        <w:t xml:space="preserve"> ומה שכתב אחר זה דצריך להחזיר מעות בעין או דבר הבא מחמתו שם קאי אם מכרה נ"מ</w:t>
      </w:r>
      <w:r>
        <w:rPr>
          <w:rFonts w:cs="Arial" w:hint="cs"/>
          <w:rtl/>
        </w:rPr>
        <w:t>.</w:t>
      </w:r>
      <w:r>
        <w:rPr>
          <w:rFonts w:cs="Arial"/>
          <w:rtl/>
        </w:rPr>
        <w:t xml:space="preserve"> וח"מ ל</w:t>
      </w:r>
      <w:r>
        <w:rPr>
          <w:rFonts w:cs="Arial" w:hint="cs"/>
          <w:rtl/>
        </w:rPr>
        <w:t xml:space="preserve">א </w:t>
      </w:r>
      <w:r>
        <w:rPr>
          <w:rFonts w:cs="Arial"/>
          <w:rtl/>
        </w:rPr>
        <w:t>ד</w:t>
      </w:r>
      <w:r>
        <w:rPr>
          <w:rFonts w:cs="Arial" w:hint="cs"/>
          <w:rtl/>
        </w:rPr>
        <w:t>קדק</w:t>
      </w:r>
      <w:r>
        <w:rPr>
          <w:rFonts w:cs="Arial"/>
          <w:rtl/>
        </w:rPr>
        <w:t xml:space="preserve"> בזה ולא ראה מ"ש הנ</w:t>
      </w:r>
      <w:r>
        <w:rPr>
          <w:rFonts w:cs="Arial" w:hint="cs"/>
          <w:rtl/>
        </w:rPr>
        <w:t>מוק</w:t>
      </w:r>
      <w:r>
        <w:rPr>
          <w:rFonts w:cs="Arial"/>
          <w:rtl/>
        </w:rPr>
        <w:t>"י בתחלת הסוגיא</w:t>
      </w:r>
      <w:r>
        <w:rPr>
          <w:rFonts w:cs="Arial" w:hint="cs"/>
          <w:rtl/>
        </w:rPr>
        <w:t>.</w:t>
      </w:r>
    </w:p>
  </w:footnote>
  <w:footnote w:id="2181">
    <w:p w14:paraId="72068DB4" w14:textId="77777777" w:rsidR="00DF1FC7" w:rsidRDefault="00DF1FC7" w:rsidP="002E5BAD">
      <w:pPr>
        <w:pStyle w:val="a5"/>
        <w:rPr>
          <w:rtl/>
        </w:rPr>
      </w:pPr>
      <w:r>
        <w:rPr>
          <w:rStyle w:val="a7"/>
        </w:rPr>
        <w:footnoteRef/>
      </w:r>
      <w:r>
        <w:rPr>
          <w:rtl/>
        </w:rPr>
        <w:t xml:space="preserve"> </w:t>
      </w:r>
      <w:r w:rsidRPr="000B2E99">
        <w:rPr>
          <w:rFonts w:cs="Arial"/>
          <w:rtl/>
        </w:rPr>
        <w:t>כמ"ש בח"ה סי' ע"ג הלוה אם מבזבז נכסיו או רוצה לילך למ"י יכול המלוה לעכב אותו אפי' תוך הזמן</w:t>
      </w:r>
      <w:r>
        <w:rPr>
          <w:rFonts w:hint="cs"/>
          <w:rtl/>
        </w:rPr>
        <w:t>, ח"מ (סקי"א).</w:t>
      </w:r>
    </w:p>
  </w:footnote>
  <w:footnote w:id="2182">
    <w:p w14:paraId="00772A5B" w14:textId="77777777" w:rsidR="00DF1FC7" w:rsidRDefault="00DF1FC7" w:rsidP="002E5BAD">
      <w:pPr>
        <w:pStyle w:val="a5"/>
        <w:rPr>
          <w:rtl/>
        </w:rPr>
      </w:pPr>
      <w:r>
        <w:rPr>
          <w:rStyle w:val="a7"/>
        </w:rPr>
        <w:footnoteRef/>
      </w:r>
      <w:r>
        <w:rPr>
          <w:rtl/>
        </w:rPr>
        <w:t xml:space="preserve"> </w:t>
      </w:r>
      <w:r w:rsidRPr="000B2E99">
        <w:rPr>
          <w:rFonts w:cs="Arial"/>
          <w:rtl/>
        </w:rPr>
        <w:t>בין מנ"מ ובין מנכסי צאן ברזל</w:t>
      </w:r>
      <w:r>
        <w:rPr>
          <w:rFonts w:hint="cs"/>
          <w:rtl/>
        </w:rPr>
        <w:t>, ח"מ (סקי"ב).</w:t>
      </w:r>
    </w:p>
  </w:footnote>
  <w:footnote w:id="2183">
    <w:p w14:paraId="76A09130" w14:textId="77777777" w:rsidR="00DF1FC7" w:rsidRDefault="00DF1FC7" w:rsidP="002E5BAD">
      <w:pPr>
        <w:pStyle w:val="a5"/>
        <w:rPr>
          <w:rtl/>
        </w:rPr>
      </w:pPr>
      <w:r>
        <w:rPr>
          <w:rStyle w:val="a7"/>
        </w:rPr>
        <w:footnoteRef/>
      </w:r>
      <w:r>
        <w:rPr>
          <w:rtl/>
        </w:rPr>
        <w:t xml:space="preserve"> </w:t>
      </w:r>
      <w:r w:rsidRPr="000B2E99">
        <w:rPr>
          <w:rFonts w:cs="Arial"/>
          <w:rtl/>
        </w:rPr>
        <w:t>וכתב בח"מ</w:t>
      </w:r>
      <w:r>
        <w:rPr>
          <w:rFonts w:cs="Arial" w:hint="cs"/>
          <w:rtl/>
        </w:rPr>
        <w:t xml:space="preserve"> (סק"ז)</w:t>
      </w:r>
      <w:r w:rsidRPr="000B2E99">
        <w:rPr>
          <w:rFonts w:cs="Arial"/>
          <w:rtl/>
        </w:rPr>
        <w:t xml:space="preserve"> </w:t>
      </w:r>
      <w:r>
        <w:rPr>
          <w:rFonts w:cs="Arial" w:hint="cs"/>
          <w:rtl/>
        </w:rPr>
        <w:t>ד</w:t>
      </w:r>
      <w:r w:rsidRPr="000B2E99">
        <w:rPr>
          <w:rFonts w:cs="Arial"/>
          <w:rtl/>
        </w:rPr>
        <w:t>דוקא אם עברה בשוגג</w:t>
      </w:r>
      <w:r>
        <w:rPr>
          <w:rFonts w:cs="Arial" w:hint="cs"/>
          <w:rtl/>
        </w:rPr>
        <w:t>,</w:t>
      </w:r>
      <w:r w:rsidRPr="000B2E99">
        <w:rPr>
          <w:rFonts w:cs="Arial"/>
          <w:rtl/>
        </w:rPr>
        <w:t xml:space="preserve"> אבל אם עברה במזיד </w:t>
      </w:r>
      <w:r>
        <w:rPr>
          <w:rFonts w:cs="Arial" w:hint="cs"/>
          <w:rtl/>
        </w:rPr>
        <w:t>ו</w:t>
      </w:r>
      <w:r w:rsidRPr="000B2E99">
        <w:rPr>
          <w:rFonts w:cs="Arial"/>
          <w:rtl/>
        </w:rPr>
        <w:t>מכ</w:t>
      </w:r>
      <w:r>
        <w:rPr>
          <w:rFonts w:cs="Arial" w:hint="cs"/>
          <w:rtl/>
        </w:rPr>
        <w:t xml:space="preserve">ל </w:t>
      </w:r>
      <w:r w:rsidRPr="000B2E99">
        <w:rPr>
          <w:rFonts w:cs="Arial"/>
          <w:rtl/>
        </w:rPr>
        <w:t>ש</w:t>
      </w:r>
      <w:r>
        <w:rPr>
          <w:rFonts w:cs="Arial" w:hint="cs"/>
          <w:rtl/>
        </w:rPr>
        <w:t>כן</w:t>
      </w:r>
      <w:r w:rsidRPr="000B2E99">
        <w:rPr>
          <w:rFonts w:cs="Arial"/>
          <w:rtl/>
        </w:rPr>
        <w:t xml:space="preserve"> להכעיס אינו חייב לשלם בשבילה כדי שלא תתחייב את בעלה בכל יום</w:t>
      </w:r>
      <w:r>
        <w:rPr>
          <w:rFonts w:cs="Arial" w:hint="cs"/>
          <w:rtl/>
        </w:rPr>
        <w:t>.</w:t>
      </w:r>
      <w:r w:rsidRPr="000B2E99">
        <w:rPr>
          <w:rFonts w:cs="Arial"/>
          <w:rtl/>
        </w:rPr>
        <w:t xml:space="preserve"> ותימ</w:t>
      </w:r>
      <w:r>
        <w:rPr>
          <w:rFonts w:cs="Arial" w:hint="cs"/>
          <w:rtl/>
        </w:rPr>
        <w:t>ה</w:t>
      </w:r>
      <w:r w:rsidRPr="000B2E99">
        <w:rPr>
          <w:rFonts w:cs="Arial"/>
          <w:rtl/>
        </w:rPr>
        <w:t xml:space="preserve"> על תשובת מהר"ם מינץ </w:t>
      </w:r>
      <w:r>
        <w:rPr>
          <w:rFonts w:cs="Arial" w:hint="cs"/>
          <w:rtl/>
        </w:rPr>
        <w:t>(</w:t>
      </w:r>
      <w:r w:rsidRPr="000B2E99">
        <w:rPr>
          <w:rFonts w:cs="Arial"/>
          <w:rtl/>
        </w:rPr>
        <w:t>סי' ז</w:t>
      </w:r>
      <w:r>
        <w:rPr>
          <w:rFonts w:cs="Arial" w:hint="cs"/>
          <w:rtl/>
        </w:rPr>
        <w:t>)</w:t>
      </w:r>
      <w:r w:rsidRPr="000B2E99">
        <w:rPr>
          <w:rFonts w:cs="Arial"/>
          <w:rtl/>
        </w:rPr>
        <w:t xml:space="preserve"> שכתב הסוגי' פרק המקבל איירי בקרבן שחייבת מחמת נדר</w:t>
      </w:r>
      <w:r>
        <w:rPr>
          <w:rFonts w:cs="Arial" w:hint="cs"/>
          <w:rtl/>
        </w:rPr>
        <w:t>,</w:t>
      </w:r>
      <w:r w:rsidRPr="000B2E99">
        <w:rPr>
          <w:rFonts w:cs="Arial"/>
          <w:rtl/>
        </w:rPr>
        <w:t xml:space="preserve"> היפוך פרש"י ותוס'</w:t>
      </w:r>
      <w:r>
        <w:rPr>
          <w:rFonts w:cs="Arial" w:hint="cs"/>
          <w:rtl/>
        </w:rPr>
        <w:t>.</w:t>
      </w:r>
      <w:r w:rsidRPr="000B2E99">
        <w:rPr>
          <w:rFonts w:cs="Arial"/>
          <w:rtl/>
        </w:rPr>
        <w:t xml:space="preserve"> מיהו שם בת"ה מסיים וכתב וצ"ע אם הנדון דומה לראיה</w:t>
      </w:r>
      <w:r>
        <w:rPr>
          <w:rFonts w:cs="Arial" w:hint="cs"/>
          <w:rtl/>
        </w:rPr>
        <w:t>,</w:t>
      </w:r>
      <w:r w:rsidRPr="000B2E99">
        <w:rPr>
          <w:rFonts w:cs="Arial"/>
          <w:rtl/>
        </w:rPr>
        <w:t xml:space="preserve"> ותימ</w:t>
      </w:r>
      <w:r>
        <w:rPr>
          <w:rFonts w:cs="Arial" w:hint="cs"/>
          <w:rtl/>
        </w:rPr>
        <w:t>ה</w:t>
      </w:r>
      <w:r w:rsidRPr="000B2E99">
        <w:rPr>
          <w:rFonts w:cs="Arial"/>
          <w:rtl/>
        </w:rPr>
        <w:t xml:space="preserve"> על רמ"א שפסק דהבעל חייב לשלם</w:t>
      </w:r>
      <w:r>
        <w:rPr>
          <w:rFonts w:cs="Arial" w:hint="cs"/>
          <w:rtl/>
        </w:rPr>
        <w:t>.</w:t>
      </w:r>
      <w:r w:rsidRPr="000B2E99">
        <w:rPr>
          <w:rFonts w:cs="Arial"/>
          <w:rtl/>
        </w:rPr>
        <w:t xml:space="preserve"> ובט"ז כתב על כן נלע"ד דאין להוציא ממון מיד הבעל</w:t>
      </w:r>
      <w:r>
        <w:rPr>
          <w:rFonts w:cs="Arial" w:hint="cs"/>
          <w:rtl/>
        </w:rPr>
        <w:t>.</w:t>
      </w:r>
      <w:r w:rsidRPr="000B2E99">
        <w:rPr>
          <w:rFonts w:cs="Arial"/>
          <w:rtl/>
        </w:rPr>
        <w:t xml:space="preserve"> ומ"ש בתשוב</w:t>
      </w:r>
      <w:r>
        <w:rPr>
          <w:rFonts w:cs="Arial" w:hint="cs"/>
          <w:rtl/>
        </w:rPr>
        <w:t>ה</w:t>
      </w:r>
      <w:r w:rsidRPr="000B2E99">
        <w:rPr>
          <w:rFonts w:cs="Arial"/>
          <w:rtl/>
        </w:rPr>
        <w:t xml:space="preserve"> הנ"ל אשה הנושאת ונותנת בבית אם נדרה לצדק</w:t>
      </w:r>
      <w:r>
        <w:rPr>
          <w:rFonts w:cs="Arial" w:hint="cs"/>
          <w:rtl/>
        </w:rPr>
        <w:t>ה</w:t>
      </w:r>
      <w:r w:rsidRPr="000B2E99">
        <w:rPr>
          <w:rFonts w:cs="Arial"/>
          <w:rtl/>
        </w:rPr>
        <w:t xml:space="preserve"> צריך לשלם בשביל</w:t>
      </w:r>
      <w:r>
        <w:rPr>
          <w:rFonts w:cs="Arial" w:hint="cs"/>
          <w:rtl/>
        </w:rPr>
        <w:t>ה,</w:t>
      </w:r>
      <w:r w:rsidRPr="000B2E99">
        <w:rPr>
          <w:rFonts w:cs="Arial"/>
          <w:rtl/>
        </w:rPr>
        <w:t xml:space="preserve"> אף על גב דיכול למחות לה להבא מ"מ צריך לשלם מה שנדרה כבר</w:t>
      </w:r>
      <w:r>
        <w:rPr>
          <w:rFonts w:hint="cs"/>
          <w:rtl/>
        </w:rPr>
        <w:t xml:space="preserve">, ב"ש (סקי"ג). </w:t>
      </w:r>
      <w:r w:rsidRPr="00B459B9">
        <w:rPr>
          <w:rFonts w:cs="Arial"/>
          <w:rtl/>
        </w:rPr>
        <w:t xml:space="preserve">ועיין בתשו' נו"ב </w:t>
      </w:r>
      <w:r>
        <w:rPr>
          <w:rFonts w:cs="Arial" w:hint="cs"/>
          <w:rtl/>
        </w:rPr>
        <w:t>(</w:t>
      </w:r>
      <w:r w:rsidRPr="00B459B9">
        <w:rPr>
          <w:rFonts w:cs="Arial"/>
          <w:rtl/>
        </w:rPr>
        <w:t>תניינא סי' צו</w:t>
      </w:r>
      <w:r>
        <w:rPr>
          <w:rFonts w:cs="Arial" w:hint="cs"/>
          <w:rtl/>
        </w:rPr>
        <w:t>)</w:t>
      </w:r>
      <w:r w:rsidRPr="00B459B9">
        <w:rPr>
          <w:rFonts w:cs="Arial"/>
          <w:rtl/>
        </w:rPr>
        <w:t xml:space="preserve"> על דבר אשת איש שזלזל</w:t>
      </w:r>
      <w:r>
        <w:rPr>
          <w:rFonts w:cs="Arial" w:hint="cs"/>
          <w:rtl/>
        </w:rPr>
        <w:t>ה</w:t>
      </w:r>
      <w:r w:rsidRPr="00B459B9">
        <w:rPr>
          <w:rFonts w:cs="Arial"/>
          <w:rtl/>
        </w:rPr>
        <w:t xml:space="preserve"> לאחד או לרבים בדברים ורוצים לענש</w:t>
      </w:r>
      <w:r>
        <w:rPr>
          <w:rFonts w:cs="Arial" w:hint="cs"/>
          <w:rtl/>
        </w:rPr>
        <w:t>ה</w:t>
      </w:r>
      <w:r w:rsidRPr="00B459B9">
        <w:rPr>
          <w:rFonts w:cs="Arial"/>
          <w:rtl/>
        </w:rPr>
        <w:t xml:space="preserve"> בממון אין בעלה חייב לשלם עבור' והמורה לכוף את בעלה ליתן קנס אינו אלא גזלן</w:t>
      </w:r>
      <w:r>
        <w:rPr>
          <w:rFonts w:cs="Arial" w:hint="cs"/>
          <w:rtl/>
        </w:rPr>
        <w:t>.</w:t>
      </w:r>
      <w:r w:rsidRPr="00B459B9">
        <w:rPr>
          <w:rFonts w:cs="Arial"/>
          <w:rtl/>
        </w:rPr>
        <w:t xml:space="preserve"> </w:t>
      </w:r>
      <w:r>
        <w:rPr>
          <w:rFonts w:cs="Arial" w:hint="cs"/>
          <w:rtl/>
        </w:rPr>
        <w:t xml:space="preserve">עד כאן. </w:t>
      </w:r>
      <w:r w:rsidRPr="00B459B9">
        <w:rPr>
          <w:rFonts w:cs="Arial"/>
          <w:rtl/>
        </w:rPr>
        <w:t xml:space="preserve">ועיין בתשו' חתם סופר </w:t>
      </w:r>
      <w:r>
        <w:rPr>
          <w:rFonts w:cs="Arial" w:hint="cs"/>
          <w:rtl/>
        </w:rPr>
        <w:t>(</w:t>
      </w:r>
      <w:r w:rsidRPr="00B459B9">
        <w:rPr>
          <w:rFonts w:cs="Arial"/>
          <w:rtl/>
        </w:rPr>
        <w:t>סי' קלט</w:t>
      </w:r>
      <w:r>
        <w:rPr>
          <w:rFonts w:cs="Arial" w:hint="cs"/>
          <w:rtl/>
        </w:rPr>
        <w:t>)</w:t>
      </w:r>
      <w:r w:rsidRPr="00B459B9">
        <w:rPr>
          <w:rFonts w:cs="Arial"/>
          <w:rtl/>
        </w:rPr>
        <w:t xml:space="preserve"> אודות אשה שהביא</w:t>
      </w:r>
      <w:r>
        <w:rPr>
          <w:rFonts w:cs="Arial" w:hint="cs"/>
          <w:rtl/>
        </w:rPr>
        <w:t>ה</w:t>
      </w:r>
      <w:r w:rsidRPr="00B459B9">
        <w:rPr>
          <w:rFonts w:cs="Arial"/>
          <w:rtl/>
        </w:rPr>
        <w:t xml:space="preserve"> לה כמה פעמים במחשך בשר כשר ממקומו</w:t>
      </w:r>
      <w:r>
        <w:rPr>
          <w:rFonts w:cs="Arial" w:hint="cs"/>
          <w:rtl/>
        </w:rPr>
        <w:t>ת</w:t>
      </w:r>
      <w:r w:rsidRPr="00B459B9">
        <w:rPr>
          <w:rFonts w:cs="Arial"/>
          <w:rtl/>
        </w:rPr>
        <w:t xml:space="preserve"> אחרים בהיות בעלה למרחוק מבלי לשלם עבור כל ליטרא להחוכר כפי תקנת הקהיל</w:t>
      </w:r>
      <w:r>
        <w:rPr>
          <w:rFonts w:cs="Arial" w:hint="cs"/>
          <w:rtl/>
        </w:rPr>
        <w:t>ה.</w:t>
      </w:r>
      <w:r w:rsidRPr="00B459B9">
        <w:rPr>
          <w:rFonts w:cs="Arial"/>
          <w:rtl/>
        </w:rPr>
        <w:t xml:space="preserve"> והחוכר הזה חייב לבעלה ממון</w:t>
      </w:r>
      <w:r>
        <w:rPr>
          <w:rFonts w:cs="Arial" w:hint="cs"/>
          <w:rtl/>
        </w:rPr>
        <w:t>,</w:t>
      </w:r>
      <w:r w:rsidRPr="00B459B9">
        <w:rPr>
          <w:rFonts w:cs="Arial"/>
          <w:rtl/>
        </w:rPr>
        <w:t xml:space="preserve"> ורוצ</w:t>
      </w:r>
      <w:r>
        <w:rPr>
          <w:rFonts w:cs="Arial" w:hint="cs"/>
          <w:rtl/>
        </w:rPr>
        <w:t>ה</w:t>
      </w:r>
      <w:r w:rsidRPr="00B459B9">
        <w:rPr>
          <w:rFonts w:cs="Arial"/>
          <w:rtl/>
        </w:rPr>
        <w:t xml:space="preserve"> להחזיק הממון באמרו שחייב הבעל לשלם עבור אשתו קנס כפי הנהוג שם לפנים</w:t>
      </w:r>
      <w:r>
        <w:rPr>
          <w:rFonts w:cs="Arial" w:hint="cs"/>
          <w:rtl/>
        </w:rPr>
        <w:t>.</w:t>
      </w:r>
      <w:r w:rsidRPr="00B459B9">
        <w:rPr>
          <w:rFonts w:cs="Arial"/>
          <w:rtl/>
        </w:rPr>
        <w:t xml:space="preserve"> ופסק דאין החוכר יכול לעכב חובו בשביל קנס שחייבת אשתו מכמה טעמים כו'</w:t>
      </w:r>
      <w:r>
        <w:rPr>
          <w:rFonts w:cs="Arial" w:hint="cs"/>
          <w:rtl/>
        </w:rPr>
        <w:t>,</w:t>
      </w:r>
      <w:r w:rsidRPr="00B459B9">
        <w:rPr>
          <w:rFonts w:cs="Arial"/>
          <w:rtl/>
        </w:rPr>
        <w:t xml:space="preserve"> רק ינכה לו תשלומין המגיע בעד כל ליטר</w:t>
      </w:r>
      <w:r>
        <w:rPr>
          <w:rFonts w:cs="Arial" w:hint="cs"/>
          <w:rtl/>
        </w:rPr>
        <w:t>א,</w:t>
      </w:r>
      <w:r w:rsidRPr="00B459B9">
        <w:rPr>
          <w:rFonts w:cs="Arial"/>
          <w:rtl/>
        </w:rPr>
        <w:t xml:space="preserve"> והמותר ישלם לו ע"ש</w:t>
      </w:r>
      <w:r>
        <w:rPr>
          <w:rFonts w:cs="Arial" w:hint="cs"/>
          <w:rtl/>
        </w:rPr>
        <w:t>, פת"ש (סק"א).</w:t>
      </w:r>
    </w:p>
  </w:footnote>
  <w:footnote w:id="2184">
    <w:p w14:paraId="08EEDE1F" w14:textId="77777777" w:rsidR="00DF1FC7" w:rsidRDefault="00DF1FC7" w:rsidP="002E5BAD">
      <w:pPr>
        <w:pStyle w:val="a5"/>
        <w:rPr>
          <w:rtl/>
        </w:rPr>
      </w:pPr>
      <w:r>
        <w:rPr>
          <w:rStyle w:val="a7"/>
        </w:rPr>
        <w:footnoteRef/>
      </w:r>
      <w:r>
        <w:rPr>
          <w:rtl/>
        </w:rPr>
        <w:t xml:space="preserve"> </w:t>
      </w:r>
      <w:r w:rsidRPr="00721974">
        <w:rPr>
          <w:rFonts w:cs="Arial"/>
          <w:rtl/>
        </w:rPr>
        <w:t>ונתן טעם משום דאמרינן בגמרא (ב"ב קלט.) שאני פרנסה דאית לה קלא</w:t>
      </w:r>
      <w:r>
        <w:rPr>
          <w:rFonts w:cs="Arial" w:hint="cs"/>
          <w:rtl/>
        </w:rPr>
        <w:t>,</w:t>
      </w:r>
      <w:r w:rsidRPr="00721974">
        <w:rPr>
          <w:rFonts w:cs="Arial"/>
          <w:rtl/>
        </w:rPr>
        <w:t xml:space="preserve"> כלומר ומשום הכי ה"ל כמלוה בשטר</w:t>
      </w:r>
      <w:r>
        <w:rPr>
          <w:rFonts w:cs="Arial" w:hint="cs"/>
          <w:rtl/>
        </w:rPr>
        <w:t>.</w:t>
      </w:r>
      <w:r w:rsidRPr="00721974">
        <w:rPr>
          <w:rFonts w:cs="Arial"/>
          <w:rtl/>
        </w:rPr>
        <w:t xml:space="preserve"> ועוד הביא ראיה מדכתב הרי"ף איהו דאפסיד אנפשיה דלא איבעי ליה לאוזופי בלא שטר</w:t>
      </w:r>
      <w:r>
        <w:rPr>
          <w:rFonts w:cs="Arial" w:hint="cs"/>
          <w:rtl/>
        </w:rPr>
        <w:t>,</w:t>
      </w:r>
      <w:r w:rsidRPr="00721974">
        <w:rPr>
          <w:rFonts w:cs="Arial"/>
          <w:rtl/>
        </w:rPr>
        <w:t xml:space="preserve"> והאי טעמא לא שייך בסבלונות דלאו אורחא דמילתא למיעבד עלייהו שטרא</w:t>
      </w:r>
      <w:r>
        <w:rPr>
          <w:rFonts w:cs="Arial" w:hint="cs"/>
          <w:rtl/>
        </w:rPr>
        <w:t>.</w:t>
      </w:r>
      <w:r w:rsidRPr="00721974">
        <w:rPr>
          <w:rFonts w:cs="Arial"/>
          <w:rtl/>
        </w:rPr>
        <w:t xml:space="preserve"> הילכך אי הוו הני סבלונות כמלוה על פה גבי להו מנכסי מלוג</w:t>
      </w:r>
      <w:r>
        <w:rPr>
          <w:rFonts w:cs="Arial" w:hint="cs"/>
          <w:rtl/>
        </w:rPr>
        <w:t>.</w:t>
      </w:r>
      <w:r w:rsidRPr="00721974">
        <w:rPr>
          <w:rFonts w:cs="Arial"/>
          <w:rtl/>
        </w:rPr>
        <w:t xml:space="preserve"> ואם אין לה נכסי מלוג ויש לה שטר נדוניא על בעלה שיכולה לגבות השטר כל זמן שתרצה ראובן גובה סבלונות מבעל</w:t>
      </w:r>
      <w:r>
        <w:rPr>
          <w:rFonts w:cs="Arial" w:hint="cs"/>
          <w:rtl/>
        </w:rPr>
        <w:t>,</w:t>
      </w:r>
      <w:r w:rsidRPr="00721974">
        <w:rPr>
          <w:rFonts w:cs="Arial"/>
          <w:rtl/>
        </w:rPr>
        <w:t xml:space="preserve"> דכי היכי דמשועבד לה משועבד נמי לראובן מדרבי נתן</w:t>
      </w:r>
      <w:r>
        <w:rPr>
          <w:rFonts w:cs="Arial" w:hint="cs"/>
          <w:rtl/>
        </w:rPr>
        <w:t>.</w:t>
      </w:r>
      <w:r w:rsidRPr="00721974">
        <w:rPr>
          <w:rFonts w:cs="Arial"/>
          <w:rtl/>
        </w:rPr>
        <w:t xml:space="preserve"> אבל אם אין שטר נדוניא עומד ליגבות בכל זמן שהאשה רוצה אלא לכשתתאלמן או תתגרש</w:t>
      </w:r>
      <w:r>
        <w:rPr>
          <w:rFonts w:cs="Arial" w:hint="cs"/>
          <w:rtl/>
        </w:rPr>
        <w:t>,</w:t>
      </w:r>
      <w:r w:rsidRPr="00721974">
        <w:rPr>
          <w:rFonts w:cs="Arial"/>
          <w:rtl/>
        </w:rPr>
        <w:t xml:space="preserve"> לא אמרינן תמכור שטר נדונייתה בטובת הנאה ויטול המשדך טובת הנאה בחובו או ימכרו לו ב"ד שטר נדונייתה בטובת הנאה</w:t>
      </w:r>
      <w:r>
        <w:rPr>
          <w:rFonts w:cs="Arial" w:hint="cs"/>
          <w:rtl/>
        </w:rPr>
        <w:t>,</w:t>
      </w:r>
      <w:r w:rsidRPr="00721974">
        <w:rPr>
          <w:rFonts w:cs="Arial"/>
          <w:rtl/>
        </w:rPr>
        <w:t xml:space="preserve"> מטעמא דאיתא בהחובל דכל לגבי בעל ודאי מחלה ואטרוחי בית דין בכדי לא מטרחינן</w:t>
      </w:r>
      <w:r>
        <w:rPr>
          <w:rFonts w:cs="Arial" w:hint="cs"/>
          <w:rtl/>
        </w:rPr>
        <w:t>.</w:t>
      </w:r>
      <w:r w:rsidRPr="00721974">
        <w:rPr>
          <w:rFonts w:cs="Arial"/>
          <w:rtl/>
        </w:rPr>
        <w:t xml:space="preserve"> [בדק הבית] ויש לתמוה למה לא יגבה מנדונייתה ויכתבו לבעל פיטור כנגד החוב שפרע ואם אין נדונייתה יותר מהחוב יפטר מכל הנדוניא [עד כאן</w:t>
      </w:r>
      <w:r>
        <w:rPr>
          <w:rFonts w:cs="Arial" w:hint="cs"/>
          <w:rtl/>
        </w:rPr>
        <w:t>].</w:t>
      </w:r>
      <w:r w:rsidRPr="00942B49">
        <w:rPr>
          <w:rFonts w:cs="Arial"/>
          <w:rtl/>
        </w:rPr>
        <w:t xml:space="preserve"> </w:t>
      </w:r>
      <w:r>
        <w:rPr>
          <w:rFonts w:cs="Arial"/>
          <w:rtl/>
        </w:rPr>
        <w:t>ועוד יתבארו פרטי דינים אלו בתשובות הרא"ש שכתב רבינו בסימן קי"ח</w:t>
      </w:r>
      <w:r>
        <w:rPr>
          <w:rFonts w:cs="Arial" w:hint="cs"/>
          <w:rtl/>
        </w:rPr>
        <w:t>.</w:t>
      </w:r>
      <w:r>
        <w:rPr>
          <w:rFonts w:cs="Arial"/>
          <w:rtl/>
        </w:rPr>
        <w:t xml:space="preserve"> ועיין בתשוב</w:t>
      </w:r>
      <w:r>
        <w:rPr>
          <w:rFonts w:cs="Arial" w:hint="cs"/>
          <w:rtl/>
        </w:rPr>
        <w:t>ו</w:t>
      </w:r>
      <w:r>
        <w:rPr>
          <w:rFonts w:cs="Arial"/>
          <w:rtl/>
        </w:rPr>
        <w:t>ת מהרי"ק שורש י"ח</w:t>
      </w:r>
      <w:r>
        <w:rPr>
          <w:rFonts w:cs="Arial" w:hint="cs"/>
          <w:rtl/>
        </w:rPr>
        <w:t>, ב"י.</w:t>
      </w:r>
      <w:r w:rsidRPr="002316C6">
        <w:rPr>
          <w:rtl/>
        </w:rPr>
        <w:t xml:space="preserve"> </w:t>
      </w:r>
      <w:r>
        <w:rPr>
          <w:rFonts w:hint="cs"/>
          <w:rtl/>
        </w:rPr>
        <w:t xml:space="preserve">והביא הח"מ (סק"ח) חלק מדברי מהרי"ק וז"ל- </w:t>
      </w:r>
      <w:r w:rsidRPr="002316C6">
        <w:rPr>
          <w:rFonts w:cs="Arial"/>
          <w:rtl/>
        </w:rPr>
        <w:t>וכתב מהרי"ק בשורש י"ח דדוקא הכניסה לו נ"מ הוא דגבי מהבעל הא לאו הכי לא</w:t>
      </w:r>
      <w:r>
        <w:rPr>
          <w:rFonts w:cs="Arial" w:hint="cs"/>
          <w:rtl/>
        </w:rPr>
        <w:t>,</w:t>
      </w:r>
      <w:r w:rsidRPr="002316C6">
        <w:rPr>
          <w:rFonts w:cs="Arial"/>
          <w:rtl/>
        </w:rPr>
        <w:t xml:space="preserve"> ואע</w:t>
      </w:r>
      <w:r>
        <w:rPr>
          <w:rFonts w:cs="Arial" w:hint="cs"/>
          <w:rtl/>
        </w:rPr>
        <w:t>"</w:t>
      </w:r>
      <w:r w:rsidRPr="002316C6">
        <w:rPr>
          <w:rFonts w:cs="Arial"/>
          <w:rtl/>
        </w:rPr>
        <w:t>ג דחשיב ליה כמלוה בשטר</w:t>
      </w:r>
      <w:r>
        <w:rPr>
          <w:rFonts w:cs="Arial" w:hint="cs"/>
          <w:rtl/>
        </w:rPr>
        <w:t>.</w:t>
      </w:r>
      <w:r w:rsidRPr="002316C6">
        <w:rPr>
          <w:rFonts w:cs="Arial"/>
          <w:rtl/>
        </w:rPr>
        <w:t xml:space="preserve"> ובאמת קשה הא מלוה בשטר טורף מן הלקוחות ולמה לא יטרוף נצ"ב ואפשר הטעם משום דמטלטלי אין טורפין מן הלקוחות כל שלא כתב אגב כדבסמוך בהג"ה אבל בנ"מ לא חשיב לוקח גמור כי אין לו רק פירות ועדיין הגוף של האשה ע"כ טורף ממנה</w:t>
      </w:r>
      <w:r>
        <w:rPr>
          <w:rFonts w:hint="cs"/>
          <w:rtl/>
        </w:rPr>
        <w:t>.</w:t>
      </w:r>
    </w:p>
  </w:footnote>
  <w:footnote w:id="2185">
    <w:p w14:paraId="4ECBF7B2" w14:textId="77777777" w:rsidR="00DF1FC7" w:rsidRDefault="00DF1FC7" w:rsidP="002E5BAD">
      <w:pPr>
        <w:pStyle w:val="a5"/>
      </w:pPr>
      <w:r>
        <w:rPr>
          <w:rStyle w:val="a7"/>
        </w:rPr>
        <w:footnoteRef/>
      </w:r>
      <w:r w:rsidRPr="005D1457">
        <w:rPr>
          <w:rFonts w:cs="Arial"/>
          <w:rtl/>
        </w:rPr>
        <w:t xml:space="preserve"> מה שכתב שאין גובה מטלטלין שהכניסה כ"כ מהרי"ק שורש י"ח</w:t>
      </w:r>
      <w:r>
        <w:rPr>
          <w:rFonts w:cs="Arial" w:hint="cs"/>
          <w:rtl/>
        </w:rPr>
        <w:t xml:space="preserve">, דרכ"מ </w:t>
      </w:r>
      <w:r w:rsidRPr="005D1457">
        <w:rPr>
          <w:rFonts w:cs="Arial"/>
          <w:rtl/>
        </w:rPr>
        <w:t>(</w:t>
      </w:r>
      <w:r>
        <w:rPr>
          <w:rFonts w:cs="Arial" w:hint="cs"/>
          <w:rtl/>
        </w:rPr>
        <w:t xml:space="preserve">אות </w:t>
      </w:r>
      <w:r w:rsidRPr="005D1457">
        <w:rPr>
          <w:rFonts w:cs="Arial"/>
          <w:rtl/>
        </w:rPr>
        <w:t>א*)</w:t>
      </w:r>
      <w:r>
        <w:rPr>
          <w:rFonts w:cs="Arial" w:hint="cs"/>
          <w:rtl/>
        </w:rPr>
        <w:t>.</w:t>
      </w:r>
    </w:p>
  </w:footnote>
  <w:footnote w:id="2186">
    <w:p w14:paraId="01EA367E" w14:textId="77777777" w:rsidR="00DF1FC7" w:rsidRDefault="00DF1FC7" w:rsidP="002E5BAD">
      <w:pPr>
        <w:pStyle w:val="a5"/>
        <w:rPr>
          <w:rtl/>
        </w:rPr>
      </w:pPr>
      <w:r>
        <w:rPr>
          <w:rStyle w:val="a7"/>
        </w:rPr>
        <w:footnoteRef/>
      </w:r>
      <w:r>
        <w:rPr>
          <w:rtl/>
        </w:rPr>
        <w:t xml:space="preserve"> </w:t>
      </w:r>
      <w:r w:rsidRPr="00B41AC8">
        <w:rPr>
          <w:rFonts w:cs="Arial"/>
          <w:rtl/>
        </w:rPr>
        <w:t>משמע דגובה אפי' מנצ"ב וכ"כ הר"ם פדוואה סי' נ"ה אבל מהרי"ק שורש י"ח כתב דוק' מן נ"מ גובה ולא מן נצ"ב. ובפרישה ובח"מ הקשו למה אין גובין מנצ"ב כיון שדינם כמלוה בשטר. ועיין מ"ש הב"ש וכנה"ג דף ק"ט ע"ב סעיף י"ז</w:t>
      </w:r>
      <w:r>
        <w:rPr>
          <w:rFonts w:cs="Arial" w:hint="cs"/>
          <w:rtl/>
        </w:rPr>
        <w:t>, באה"ט (סקי"א).</w:t>
      </w:r>
      <w:r w:rsidRPr="00B41AC8">
        <w:rPr>
          <w:rFonts w:cs="Arial"/>
          <w:rtl/>
        </w:rPr>
        <w:t xml:space="preserve"> </w:t>
      </w:r>
      <w:r>
        <w:rPr>
          <w:rFonts w:cs="Arial" w:hint="cs"/>
          <w:rtl/>
        </w:rPr>
        <w:t>ו</w:t>
      </w:r>
      <w:r w:rsidRPr="009559AA">
        <w:rPr>
          <w:rFonts w:cs="Arial"/>
          <w:rtl/>
        </w:rPr>
        <w:t>עיין בס' ישועות יעקב שכ' דדוקא כשהבעל מודה שהיו הסבלונו</w:t>
      </w:r>
      <w:r>
        <w:rPr>
          <w:rFonts w:cs="Arial" w:hint="cs"/>
          <w:rtl/>
        </w:rPr>
        <w:t>ת</w:t>
      </w:r>
      <w:r w:rsidRPr="009559AA">
        <w:rPr>
          <w:rFonts w:cs="Arial"/>
          <w:rtl/>
        </w:rPr>
        <w:t xml:space="preserve"> ת</w:t>
      </w:r>
      <w:r>
        <w:rPr>
          <w:rFonts w:cs="Arial" w:hint="cs"/>
          <w:rtl/>
        </w:rPr>
        <w:t xml:space="preserve">חת </w:t>
      </w:r>
      <w:r w:rsidRPr="009559AA">
        <w:rPr>
          <w:rFonts w:cs="Arial"/>
          <w:rtl/>
        </w:rPr>
        <w:t>י</w:t>
      </w:r>
      <w:r>
        <w:rPr>
          <w:rFonts w:cs="Arial" w:hint="cs"/>
          <w:rtl/>
        </w:rPr>
        <w:t>דו,</w:t>
      </w:r>
      <w:r w:rsidRPr="009559AA">
        <w:rPr>
          <w:rFonts w:cs="Arial"/>
          <w:rtl/>
        </w:rPr>
        <w:t xml:space="preserve"> אבל באומר איני מאמינך</w:t>
      </w:r>
      <w:r>
        <w:rPr>
          <w:rFonts w:cs="Arial" w:hint="cs"/>
          <w:rtl/>
        </w:rPr>
        <w:t>,</w:t>
      </w:r>
      <w:r w:rsidRPr="009559AA">
        <w:rPr>
          <w:rFonts w:cs="Arial"/>
          <w:rtl/>
        </w:rPr>
        <w:t xml:space="preserve"> פשיטא שאין בידה לגבות</w:t>
      </w:r>
      <w:r>
        <w:rPr>
          <w:rFonts w:cs="Arial" w:hint="cs"/>
          <w:rtl/>
        </w:rPr>
        <w:t>.</w:t>
      </w:r>
      <w:r w:rsidRPr="009559AA">
        <w:rPr>
          <w:rFonts w:cs="Arial"/>
          <w:rtl/>
        </w:rPr>
        <w:t xml:space="preserve"> ותמה על האחרונים שלא הרגישו בזה כלל ע"ש</w:t>
      </w:r>
      <w:r>
        <w:rPr>
          <w:rFonts w:hint="cs"/>
          <w:rtl/>
        </w:rPr>
        <w:t>, פת"ש (סק"ב).</w:t>
      </w:r>
    </w:p>
  </w:footnote>
  <w:footnote w:id="2187">
    <w:p w14:paraId="1139368D" w14:textId="77777777" w:rsidR="00DF1FC7" w:rsidRDefault="00DF1FC7" w:rsidP="002E5BAD">
      <w:pPr>
        <w:pStyle w:val="a5"/>
        <w:rPr>
          <w:rtl/>
        </w:rPr>
      </w:pPr>
      <w:r>
        <w:rPr>
          <w:rStyle w:val="a7"/>
        </w:rPr>
        <w:footnoteRef/>
      </w:r>
      <w:r>
        <w:rPr>
          <w:rtl/>
        </w:rPr>
        <w:t xml:space="preserve"> </w:t>
      </w:r>
      <w:r w:rsidRPr="002316C6">
        <w:rPr>
          <w:rFonts w:cs="Arial"/>
          <w:rtl/>
        </w:rPr>
        <w:t>נראה דאף שאין המותר בעין רק דברים אחרים הבאין מחמת המותר שלקחה צריך הבעל להחזיר דמ"מ גזל הן בידה ואף על גב דלעיל סי' צ' ס"ק כ"ח לא כתבתי כן יש לחלק מ"מ למעשה צריך להתיישב בדבר</w:t>
      </w:r>
      <w:r>
        <w:rPr>
          <w:rFonts w:hint="cs"/>
          <w:rtl/>
        </w:rPr>
        <w:t>, ח"מ (סק"ט).</w:t>
      </w:r>
    </w:p>
  </w:footnote>
  <w:footnote w:id="2188">
    <w:p w14:paraId="5AEE6A3C" w14:textId="77777777" w:rsidR="00DF1FC7" w:rsidRDefault="00DF1FC7" w:rsidP="002E5BAD">
      <w:pPr>
        <w:pStyle w:val="a5"/>
        <w:rPr>
          <w:rtl/>
        </w:rPr>
      </w:pPr>
      <w:r>
        <w:rPr>
          <w:rStyle w:val="a7"/>
        </w:rPr>
        <w:footnoteRef/>
      </w:r>
      <w:r>
        <w:rPr>
          <w:rtl/>
        </w:rPr>
        <w:t xml:space="preserve"> </w:t>
      </w:r>
      <w:r w:rsidRPr="000F5529">
        <w:rPr>
          <w:rFonts w:cs="Arial"/>
          <w:rtl/>
        </w:rPr>
        <w:t>בין שנעשה קודם הנישואין ובין שנעשה אחר כך בין מגוף ובין מפירות שם בנ"י</w:t>
      </w:r>
      <w:r>
        <w:rPr>
          <w:rFonts w:hint="cs"/>
          <w:rtl/>
        </w:rPr>
        <w:t>, ב"ש (סקט"ו).</w:t>
      </w:r>
    </w:p>
  </w:footnote>
  <w:footnote w:id="2189">
    <w:p w14:paraId="076E5452" w14:textId="77777777" w:rsidR="00DF1FC7" w:rsidRDefault="00DF1FC7" w:rsidP="002E5BAD">
      <w:pPr>
        <w:pStyle w:val="a5"/>
        <w:rPr>
          <w:rtl/>
        </w:rPr>
      </w:pPr>
      <w:r>
        <w:rPr>
          <w:rStyle w:val="a7"/>
        </w:rPr>
        <w:footnoteRef/>
      </w:r>
      <w:r>
        <w:rPr>
          <w:rtl/>
        </w:rPr>
        <w:t xml:space="preserve"> </w:t>
      </w:r>
      <w:r w:rsidRPr="002316C6">
        <w:rPr>
          <w:rFonts w:cs="Arial"/>
          <w:rtl/>
        </w:rPr>
        <w:t>אע</w:t>
      </w:r>
      <w:r>
        <w:rPr>
          <w:rFonts w:cs="Arial" w:hint="cs"/>
          <w:rtl/>
        </w:rPr>
        <w:t>"</w:t>
      </w:r>
      <w:r w:rsidRPr="002316C6">
        <w:rPr>
          <w:rFonts w:cs="Arial"/>
          <w:rtl/>
        </w:rPr>
        <w:t>ג דבח"מ סי' ס' נתבאר שנהגו שאין טורף ממטלטלין שמכר או נתן או משכן מפני תקנת השוק אפשר דלגבי בעל ל"ש תקנת השוק</w:t>
      </w:r>
      <w:r>
        <w:rPr>
          <w:rFonts w:hint="cs"/>
          <w:rtl/>
        </w:rPr>
        <w:t>, ח"מ (סקי"א).</w:t>
      </w:r>
      <w:r w:rsidRPr="000F5529">
        <w:rPr>
          <w:rtl/>
        </w:rPr>
        <w:t xml:space="preserve"> </w:t>
      </w:r>
      <w:r>
        <w:rPr>
          <w:rFonts w:cs="Arial" w:hint="cs"/>
          <w:rtl/>
        </w:rPr>
        <w:t>וכ"כ הב"ש (סקי"ז) ד</w:t>
      </w:r>
      <w:r w:rsidRPr="000F5529">
        <w:rPr>
          <w:rFonts w:cs="Arial"/>
          <w:rtl/>
        </w:rPr>
        <w:t>אע</w:t>
      </w:r>
      <w:r>
        <w:rPr>
          <w:rFonts w:cs="Arial" w:hint="cs"/>
          <w:rtl/>
        </w:rPr>
        <w:t>"</w:t>
      </w:r>
      <w:r w:rsidRPr="000F5529">
        <w:rPr>
          <w:rFonts w:cs="Arial"/>
          <w:rtl/>
        </w:rPr>
        <w:t xml:space="preserve">ג </w:t>
      </w:r>
      <w:r>
        <w:rPr>
          <w:rFonts w:cs="Arial" w:hint="cs"/>
          <w:rtl/>
        </w:rPr>
        <w:t>ד</w:t>
      </w:r>
      <w:r w:rsidRPr="000F5529">
        <w:rPr>
          <w:rFonts w:cs="Arial"/>
          <w:rtl/>
        </w:rPr>
        <w:t>הבעל דינו כלוקח מ"מ לענין זה דינו כיורש</w:t>
      </w:r>
      <w:r>
        <w:rPr>
          <w:rFonts w:cs="Arial" w:hint="cs"/>
          <w:rtl/>
        </w:rPr>
        <w:t>.</w:t>
      </w:r>
      <w:r w:rsidRPr="000F5529">
        <w:rPr>
          <w:rFonts w:cs="Arial"/>
          <w:rtl/>
        </w:rPr>
        <w:t xml:space="preserve"> ומלקוחות אין גובין מטלטלין אפילו אם כתב בשטר אג"ק משום תיקון העולם כמ"ש בח"ה סי' ס' וסי' קי"ג ובבעל לא שייך תיקון העולם</w:t>
      </w:r>
      <w:r>
        <w:rPr>
          <w:rFonts w:cs="Arial" w:hint="cs"/>
          <w:rtl/>
        </w:rPr>
        <w:t>.</w:t>
      </w:r>
    </w:p>
  </w:footnote>
  <w:footnote w:id="2190">
    <w:p w14:paraId="2EA57D12" w14:textId="77777777" w:rsidR="00DF1FC7" w:rsidRPr="00B41AC8" w:rsidRDefault="00DF1FC7" w:rsidP="002E5BAD">
      <w:pPr>
        <w:pStyle w:val="a5"/>
        <w:rPr>
          <w:rFonts w:cs="Arial"/>
          <w:rtl/>
        </w:rPr>
      </w:pPr>
      <w:r>
        <w:rPr>
          <w:rStyle w:val="a7"/>
        </w:rPr>
        <w:footnoteRef/>
      </w:r>
      <w:r>
        <w:rPr>
          <w:rtl/>
        </w:rPr>
        <w:t xml:space="preserve"> </w:t>
      </w:r>
      <w:r w:rsidRPr="0040257E">
        <w:rPr>
          <w:rFonts w:cs="Arial"/>
          <w:rtl/>
        </w:rPr>
        <w:t>כבר כתבתי דמוכח מתשובת הרמב"ן אשר כתב דין זה דאיירי אפילו מטלטלין של נ"מ אין גובין</w:t>
      </w:r>
      <w:r>
        <w:rPr>
          <w:rFonts w:cs="Arial" w:hint="cs"/>
          <w:rtl/>
        </w:rPr>
        <w:t>,</w:t>
      </w:r>
      <w:r w:rsidRPr="0040257E">
        <w:rPr>
          <w:rFonts w:cs="Arial"/>
          <w:rtl/>
        </w:rPr>
        <w:t xml:space="preserve"> וכן משמע מל' הג"ה</w:t>
      </w:r>
      <w:r>
        <w:rPr>
          <w:rFonts w:cs="Arial" w:hint="cs"/>
          <w:rtl/>
        </w:rPr>
        <w:t>.</w:t>
      </w:r>
      <w:r w:rsidRPr="0040257E">
        <w:rPr>
          <w:rFonts w:cs="Arial"/>
          <w:rtl/>
        </w:rPr>
        <w:t xml:space="preserve"> ומ"מ אם תפס מטלטלין מהני לדידן</w:t>
      </w:r>
      <w:r>
        <w:rPr>
          <w:rFonts w:cs="Arial" w:hint="cs"/>
          <w:rtl/>
        </w:rPr>
        <w:t>,</w:t>
      </w:r>
      <w:r w:rsidRPr="0040257E">
        <w:rPr>
          <w:rFonts w:cs="Arial"/>
          <w:rtl/>
        </w:rPr>
        <w:t xml:space="preserve"> דהא אם דינו כיורש</w:t>
      </w:r>
      <w:r>
        <w:rPr>
          <w:rFonts w:cs="Arial" w:hint="cs"/>
          <w:rtl/>
        </w:rPr>
        <w:t>,</w:t>
      </w:r>
      <w:r w:rsidRPr="0040257E">
        <w:rPr>
          <w:rFonts w:cs="Arial"/>
          <w:rtl/>
        </w:rPr>
        <w:t xml:space="preserve"> גובין </w:t>
      </w:r>
      <w:r>
        <w:rPr>
          <w:rFonts w:cs="Arial" w:hint="cs"/>
          <w:rtl/>
        </w:rPr>
        <w:t>מ</w:t>
      </w:r>
      <w:r w:rsidRPr="0040257E">
        <w:rPr>
          <w:rFonts w:cs="Arial"/>
          <w:rtl/>
        </w:rPr>
        <w:t>מטלטלין דיתמי</w:t>
      </w:r>
      <w:r>
        <w:rPr>
          <w:rFonts w:cs="Arial" w:hint="cs"/>
          <w:rtl/>
        </w:rPr>
        <w:t>.</w:t>
      </w:r>
      <w:r w:rsidRPr="0040257E">
        <w:rPr>
          <w:rFonts w:cs="Arial"/>
          <w:rtl/>
        </w:rPr>
        <w:t xml:space="preserve"> ובפרישה וש"ך</w:t>
      </w:r>
      <w:r>
        <w:rPr>
          <w:rFonts w:cs="Arial" w:hint="cs"/>
          <w:rtl/>
        </w:rPr>
        <w:t xml:space="preserve"> </w:t>
      </w:r>
      <w:r>
        <w:rPr>
          <w:rFonts w:cs="Arial" w:hint="cs"/>
          <w:sz w:val="16"/>
          <w:szCs w:val="16"/>
          <w:rtl/>
        </w:rPr>
        <w:t>{וח"מ (סקי"ב)}</w:t>
      </w:r>
      <w:r w:rsidRPr="0040257E">
        <w:rPr>
          <w:rFonts w:cs="Arial"/>
          <w:rtl/>
        </w:rPr>
        <w:t xml:space="preserve"> פירשו דוקא מטלטלין נצ"ב אין גובין אבל מטלטלין נ"מ גובין</w:t>
      </w:r>
      <w:r>
        <w:rPr>
          <w:rFonts w:cs="Arial" w:hint="cs"/>
          <w:rtl/>
        </w:rPr>
        <w:t>.</w:t>
      </w:r>
      <w:r w:rsidRPr="0040257E">
        <w:rPr>
          <w:rFonts w:cs="Arial"/>
          <w:rtl/>
        </w:rPr>
        <w:t xml:space="preserve"> דלענין מטלטלין לא שויא אותו כלוקח ממש</w:t>
      </w:r>
      <w:r>
        <w:rPr>
          <w:rFonts w:cs="Arial" w:hint="cs"/>
          <w:rtl/>
        </w:rPr>
        <w:t>.</w:t>
      </w:r>
      <w:r w:rsidRPr="0040257E">
        <w:rPr>
          <w:rFonts w:cs="Arial"/>
          <w:rtl/>
        </w:rPr>
        <w:t xml:space="preserve"> ובד"מ הביא תשובת הרא"ש כלל ל"ב דגובין מן מטלטלין</w:t>
      </w:r>
      <w:r>
        <w:rPr>
          <w:rFonts w:cs="Arial" w:hint="cs"/>
          <w:rtl/>
        </w:rPr>
        <w:t>,</w:t>
      </w:r>
      <w:r w:rsidRPr="0040257E">
        <w:rPr>
          <w:rFonts w:cs="Arial"/>
          <w:rtl/>
        </w:rPr>
        <w:t xml:space="preserve"> וכתב די"ל דאיירי כשכתב למלוה מטלטלין אג"ק ואינו חולק על תשובת הרמב"ן הנ"ל</w:t>
      </w:r>
      <w:r>
        <w:rPr>
          <w:rFonts w:cs="Arial" w:hint="cs"/>
          <w:rtl/>
        </w:rPr>
        <w:t>.</w:t>
      </w:r>
      <w:r w:rsidRPr="0040257E">
        <w:rPr>
          <w:rFonts w:cs="Arial"/>
          <w:rtl/>
        </w:rPr>
        <w:t xml:space="preserve"> ועוד תי' </w:t>
      </w:r>
      <w:r>
        <w:rPr>
          <w:rFonts w:cs="Arial" w:hint="cs"/>
          <w:rtl/>
        </w:rPr>
        <w:t>ש</w:t>
      </w:r>
      <w:r w:rsidRPr="0040257E">
        <w:rPr>
          <w:rFonts w:cs="Arial"/>
          <w:rtl/>
        </w:rPr>
        <w:t>תשו' הרא"ש איירי אחר מיתתה אז דינו כיורש</w:t>
      </w:r>
      <w:r>
        <w:rPr>
          <w:rFonts w:cs="Arial" w:hint="cs"/>
          <w:rtl/>
        </w:rPr>
        <w:t>.</w:t>
      </w:r>
      <w:r w:rsidRPr="0040257E">
        <w:rPr>
          <w:rFonts w:cs="Arial"/>
          <w:rtl/>
        </w:rPr>
        <w:t xml:space="preserve"> ובח"מ הביא תירוץ זה</w:t>
      </w:r>
      <w:r>
        <w:rPr>
          <w:rFonts w:cs="Arial" w:hint="cs"/>
          <w:rtl/>
        </w:rPr>
        <w:t>.</w:t>
      </w:r>
      <w:r w:rsidRPr="0040257E">
        <w:rPr>
          <w:rFonts w:cs="Arial"/>
          <w:rtl/>
        </w:rPr>
        <w:t xml:space="preserve"> ולכאורה ענין תמוה</w:t>
      </w:r>
      <w:r>
        <w:rPr>
          <w:rFonts w:cs="Arial" w:hint="cs"/>
          <w:rtl/>
        </w:rPr>
        <w:t>,</w:t>
      </w:r>
      <w:r w:rsidRPr="0040257E">
        <w:rPr>
          <w:rFonts w:cs="Arial"/>
          <w:rtl/>
        </w:rPr>
        <w:t xml:space="preserve"> דהא מלוה בעל פה כתבתי בסמוך אחר מיתתה דינו כלוקח</w:t>
      </w:r>
      <w:r>
        <w:rPr>
          <w:rFonts w:cs="Arial" w:hint="cs"/>
          <w:rtl/>
        </w:rPr>
        <w:t>,</w:t>
      </w:r>
      <w:r w:rsidRPr="0040257E">
        <w:rPr>
          <w:rFonts w:cs="Arial"/>
          <w:rtl/>
        </w:rPr>
        <w:t xml:space="preserve"> וכן לענין שומא הדרא</w:t>
      </w:r>
      <w:r>
        <w:rPr>
          <w:rFonts w:cs="Arial" w:hint="cs"/>
          <w:rtl/>
        </w:rPr>
        <w:t>,</w:t>
      </w:r>
      <w:r w:rsidRPr="0040257E">
        <w:rPr>
          <w:rFonts w:cs="Arial"/>
          <w:rtl/>
        </w:rPr>
        <w:t xml:space="preserve"> ומנ"ל לומר לענין מטלטלין דינו כיורש אחר מיתתה</w:t>
      </w:r>
      <w:r>
        <w:rPr>
          <w:rFonts w:cs="Arial" w:hint="cs"/>
          <w:rtl/>
        </w:rPr>
        <w:t>,</w:t>
      </w:r>
      <w:r w:rsidRPr="0040257E">
        <w:rPr>
          <w:rFonts w:cs="Arial"/>
          <w:rtl/>
        </w:rPr>
        <w:t xml:space="preserve"> וצל"ע</w:t>
      </w:r>
      <w:r>
        <w:rPr>
          <w:rFonts w:cs="Arial" w:hint="cs"/>
          <w:rtl/>
        </w:rPr>
        <w:t>.</w:t>
      </w:r>
      <w:r w:rsidRPr="0040257E">
        <w:rPr>
          <w:rFonts w:cs="Arial"/>
          <w:rtl/>
        </w:rPr>
        <w:t xml:space="preserve"> </w:t>
      </w:r>
    </w:p>
  </w:footnote>
  <w:footnote w:id="2191">
    <w:p w14:paraId="1DBBE69F" w14:textId="77777777" w:rsidR="00DF1FC7" w:rsidRDefault="00DF1FC7" w:rsidP="002E5BAD">
      <w:pPr>
        <w:pStyle w:val="a5"/>
        <w:rPr>
          <w:rtl/>
        </w:rPr>
      </w:pPr>
      <w:r>
        <w:rPr>
          <w:rStyle w:val="a7"/>
        </w:rPr>
        <w:footnoteRef/>
      </w:r>
      <w:r>
        <w:rPr>
          <w:rtl/>
        </w:rPr>
        <w:t xml:space="preserve"> </w:t>
      </w:r>
      <w:r w:rsidRPr="00D33625">
        <w:rPr>
          <w:rFonts w:cs="Arial"/>
          <w:rtl/>
        </w:rPr>
        <w:t xml:space="preserve">ולא תני </w:t>
      </w:r>
      <w:r>
        <w:rPr>
          <w:rFonts w:cs="Arial" w:hint="cs"/>
          <w:rtl/>
        </w:rPr>
        <w:t>'</w:t>
      </w:r>
      <w:r w:rsidRPr="00D33625">
        <w:rPr>
          <w:rFonts w:cs="Arial"/>
          <w:rtl/>
        </w:rPr>
        <w:t>כותב</w:t>
      </w:r>
      <w:r>
        <w:rPr>
          <w:rFonts w:cs="Arial" w:hint="cs"/>
          <w:rtl/>
        </w:rPr>
        <w:t>',</w:t>
      </w:r>
      <w:r w:rsidRPr="00D33625">
        <w:rPr>
          <w:rFonts w:cs="Arial"/>
          <w:rtl/>
        </w:rPr>
        <w:t xml:space="preserve"> דאשמועינן דבאמירה בעלמא נמי סליק נפשיה בלא שום קנין וכתיבה</w:t>
      </w:r>
      <w:r>
        <w:rPr>
          <w:rFonts w:hint="cs"/>
          <w:rtl/>
        </w:rPr>
        <w:t>, רש"י.</w:t>
      </w:r>
    </w:p>
  </w:footnote>
  <w:footnote w:id="2192">
    <w:p w14:paraId="4C8B1563" w14:textId="77777777" w:rsidR="00DF1FC7" w:rsidRDefault="00DF1FC7" w:rsidP="002E5BAD">
      <w:pPr>
        <w:pStyle w:val="a5"/>
        <w:rPr>
          <w:rtl/>
        </w:rPr>
      </w:pPr>
      <w:r>
        <w:rPr>
          <w:rStyle w:val="a7"/>
        </w:rPr>
        <w:footnoteRef/>
      </w:r>
      <w:r>
        <w:rPr>
          <w:rtl/>
        </w:rPr>
        <w:t xml:space="preserve"> </w:t>
      </w:r>
      <w:r>
        <w:rPr>
          <w:rFonts w:cs="Arial"/>
          <w:rtl/>
        </w:rPr>
        <w:t>ודאי מי שהקרקע שלו ובא ליתנו לחבירו צריך לשון מתנה ומתניתין בכותב לה עד שלא זכה בנכסים ומתנה על מנת שלא יזכה בהם לכשישאנה ואין צריך לשון מתנה שהרי אין לו עכשיו רשות בהם</w:t>
      </w:r>
      <w:r>
        <w:rPr>
          <w:rFonts w:hint="cs"/>
          <w:rtl/>
        </w:rPr>
        <w:t>, רש"י.</w:t>
      </w:r>
    </w:p>
  </w:footnote>
  <w:footnote w:id="2193">
    <w:p w14:paraId="0EC05694" w14:textId="77777777" w:rsidR="00DF1FC7" w:rsidRDefault="00DF1FC7" w:rsidP="002E5BAD">
      <w:pPr>
        <w:pStyle w:val="a5"/>
        <w:rPr>
          <w:rtl/>
        </w:rPr>
      </w:pPr>
      <w:r>
        <w:rPr>
          <w:rStyle w:val="a7"/>
        </w:rPr>
        <w:footnoteRef/>
      </w:r>
      <w:r>
        <w:rPr>
          <w:rtl/>
        </w:rPr>
        <w:t xml:space="preserve"> </w:t>
      </w:r>
      <w:r w:rsidRPr="00BF2308">
        <w:rPr>
          <w:rFonts w:cs="Arial"/>
          <w:rtl/>
        </w:rPr>
        <w:t>שאינה ירושת אבותיו אלא ע"י מעשיו תבא לו כגון נחלת אשתו הבאה לו ע"י נשואין שלו דהואיל ומשום תקנתא דידיה תקון רבנן והוא בא למחול עליה מוחל וכדרב הונא</w:t>
      </w:r>
      <w:r>
        <w:rPr>
          <w:rFonts w:hint="cs"/>
          <w:rtl/>
        </w:rPr>
        <w:t>, רש"י.</w:t>
      </w:r>
    </w:p>
  </w:footnote>
  <w:footnote w:id="2194">
    <w:p w14:paraId="03C6168E" w14:textId="77777777" w:rsidR="00DF1FC7" w:rsidRDefault="00DF1FC7" w:rsidP="002E5BAD">
      <w:pPr>
        <w:pStyle w:val="a5"/>
        <w:rPr>
          <w:rtl/>
        </w:rPr>
      </w:pPr>
      <w:r>
        <w:rPr>
          <w:rStyle w:val="a7"/>
        </w:rPr>
        <w:footnoteRef/>
      </w:r>
      <w:r>
        <w:rPr>
          <w:rtl/>
        </w:rPr>
        <w:t xml:space="preserve"> </w:t>
      </w:r>
      <w:r w:rsidRPr="00BF2308">
        <w:rPr>
          <w:rFonts w:cs="Arial"/>
          <w:rtl/>
        </w:rPr>
        <w:t>שתיקנו לטובתי ואינה טובה לי</w:t>
      </w:r>
      <w:r>
        <w:rPr>
          <w:rFonts w:hint="cs"/>
          <w:rtl/>
        </w:rPr>
        <w:t>, רש"י.</w:t>
      </w:r>
    </w:p>
  </w:footnote>
  <w:footnote w:id="2195">
    <w:p w14:paraId="615BEE32" w14:textId="77777777" w:rsidR="00DF1FC7" w:rsidRDefault="00DF1FC7" w:rsidP="002E5BAD">
      <w:pPr>
        <w:pStyle w:val="a5"/>
        <w:rPr>
          <w:rtl/>
        </w:rPr>
      </w:pPr>
      <w:r>
        <w:rPr>
          <w:rStyle w:val="a7"/>
        </w:rPr>
        <w:footnoteRef/>
      </w:r>
      <w:r>
        <w:rPr>
          <w:rtl/>
        </w:rPr>
        <w:t xml:space="preserve"> </w:t>
      </w:r>
      <w:r>
        <w:rPr>
          <w:rFonts w:cs="Arial"/>
          <w:rtl/>
        </w:rPr>
        <w:t>דטעמא משום דתקנתה דידיה היא ויכול למחול עליה אמאי איצטריך דבי רבי ינאי לאוקומה בכותב לה ועודה ארוסה אפילו נשואה נמי</w:t>
      </w:r>
      <w:r>
        <w:rPr>
          <w:rFonts w:hint="cs"/>
          <w:rtl/>
        </w:rPr>
        <w:t>, רש"י.</w:t>
      </w:r>
    </w:p>
  </w:footnote>
  <w:footnote w:id="2196">
    <w:p w14:paraId="1ECDDF3D" w14:textId="77777777" w:rsidR="00DF1FC7" w:rsidRDefault="00DF1FC7" w:rsidP="002E5BAD">
      <w:pPr>
        <w:pStyle w:val="a5"/>
        <w:rPr>
          <w:rtl/>
        </w:rPr>
      </w:pPr>
      <w:r>
        <w:rPr>
          <w:rStyle w:val="a7"/>
        </w:rPr>
        <w:footnoteRef/>
      </w:r>
      <w:r>
        <w:rPr>
          <w:rtl/>
        </w:rPr>
        <w:t xml:space="preserve"> </w:t>
      </w:r>
      <w:r>
        <w:rPr>
          <w:rFonts w:cs="Arial"/>
          <w:rtl/>
        </w:rPr>
        <w:t>והרי הוא כשותף בהן וכיון שנכסים שלו צריך לשון מתנה ואין מועיל לשון דין ודברים</w:t>
      </w:r>
      <w:r>
        <w:rPr>
          <w:rFonts w:hint="cs"/>
          <w:rtl/>
        </w:rPr>
        <w:t>, רש"י.</w:t>
      </w:r>
    </w:p>
  </w:footnote>
  <w:footnote w:id="2197">
    <w:p w14:paraId="5AF9F04A" w14:textId="77777777" w:rsidR="00DF1FC7" w:rsidRDefault="00DF1FC7" w:rsidP="002E5BAD">
      <w:pPr>
        <w:pStyle w:val="a5"/>
        <w:rPr>
          <w:rtl/>
        </w:rPr>
      </w:pPr>
      <w:r>
        <w:rPr>
          <w:rStyle w:val="a7"/>
        </w:rPr>
        <w:footnoteRef/>
      </w:r>
      <w:r>
        <w:rPr>
          <w:rtl/>
        </w:rPr>
        <w:t xml:space="preserve"> </w:t>
      </w:r>
      <w:r w:rsidRPr="003009B8">
        <w:rPr>
          <w:rFonts w:cs="Arial"/>
          <w:rtl/>
        </w:rPr>
        <w:t>אברייתא דהאומר לחבירו דין ודברים אין לי על שדה זו קאי אבל אמתניתין לא מהניא קנין ליפות כחה דהא באמירה בלא לשון מתנה סגי לאסתלוקי אפילו מגופה של קרקע היכא דפריש כדקתני סיפא</w:t>
      </w:r>
      <w:r>
        <w:rPr>
          <w:rFonts w:hint="cs"/>
          <w:rtl/>
        </w:rPr>
        <w:t>..., רש"י.</w:t>
      </w:r>
      <w:r w:rsidRPr="00233EB8">
        <w:rPr>
          <w:rFonts w:cs="Arial"/>
          <w:rtl/>
        </w:rPr>
        <w:t xml:space="preserve"> </w:t>
      </w:r>
      <w:r w:rsidRPr="00F31ACB">
        <w:rPr>
          <w:rFonts w:cs="Arial"/>
          <w:rtl/>
        </w:rPr>
        <w:t>והתוספות (כתובות שם ד"ה קנו) הקשו על פירוש רש"י</w:t>
      </w:r>
      <w:r>
        <w:rPr>
          <w:rFonts w:cs="Arial" w:hint="cs"/>
          <w:rtl/>
        </w:rPr>
        <w:t>,</w:t>
      </w:r>
      <w:r w:rsidRPr="00F31ACB">
        <w:rPr>
          <w:rFonts w:cs="Arial"/>
          <w:rtl/>
        </w:rPr>
        <w:t xml:space="preserve"> וכתבו דנראה לר"י דאנשואה קאי דאמרינן דידו כידה אי מהני לה שום קנין. והרא"ש (שם) כתב על פירוש רש"י</w:t>
      </w:r>
      <w:r>
        <w:rPr>
          <w:rFonts w:cs="Arial" w:hint="cs"/>
          <w:rtl/>
        </w:rPr>
        <w:t>-</w:t>
      </w:r>
      <w:r w:rsidRPr="00F31ACB">
        <w:rPr>
          <w:rFonts w:cs="Arial"/>
          <w:rtl/>
        </w:rPr>
        <w:t xml:space="preserve"> וקשה מה הועיל שם קנין</w:t>
      </w:r>
      <w:r>
        <w:rPr>
          <w:rFonts w:cs="Arial" w:hint="cs"/>
          <w:rtl/>
        </w:rPr>
        <w:t>,</w:t>
      </w:r>
      <w:r w:rsidRPr="00F31ACB">
        <w:rPr>
          <w:rFonts w:cs="Arial"/>
          <w:rtl/>
        </w:rPr>
        <w:t xml:space="preserve"> למי הוא מקנה אותה</w:t>
      </w:r>
      <w:r>
        <w:rPr>
          <w:rFonts w:cs="Arial" w:hint="cs"/>
          <w:rtl/>
        </w:rPr>
        <w:t>.</w:t>
      </w:r>
      <w:r w:rsidRPr="00F31ACB">
        <w:rPr>
          <w:rFonts w:cs="Arial"/>
          <w:rtl/>
        </w:rPr>
        <w:t xml:space="preserve"> דדין ודברים אין לי בה אינו אלא לשון הפקר</w:t>
      </w:r>
      <w:r>
        <w:rPr>
          <w:rFonts w:cs="Arial" w:hint="cs"/>
          <w:rtl/>
        </w:rPr>
        <w:t>.</w:t>
      </w:r>
      <w:r w:rsidRPr="00F31ACB">
        <w:rPr>
          <w:rFonts w:cs="Arial"/>
          <w:rtl/>
        </w:rPr>
        <w:t xml:space="preserve"> הילכך נראה דאנשואה קאי דלא מהני דין ודברים משום דידו כידה</w:t>
      </w:r>
      <w:r>
        <w:rPr>
          <w:rFonts w:cs="Arial" w:hint="cs"/>
          <w:rtl/>
        </w:rPr>
        <w:t>,</w:t>
      </w:r>
      <w:r w:rsidRPr="00F31ACB">
        <w:rPr>
          <w:rFonts w:cs="Arial"/>
          <w:rtl/>
        </w:rPr>
        <w:t xml:space="preserve"> ומיבעי להו אי מהני קנין</w:t>
      </w:r>
      <w:r>
        <w:rPr>
          <w:rFonts w:cs="Arial" w:hint="cs"/>
          <w:rtl/>
        </w:rPr>
        <w:t>.</w:t>
      </w:r>
      <w:r w:rsidRPr="00F31ACB">
        <w:rPr>
          <w:rFonts w:cs="Arial"/>
          <w:rtl/>
        </w:rPr>
        <w:t xml:space="preserve"> ויש לקיים פירוש רש"י דכיון שאומר לחבירו שהוא שותף עמו והקנה לו</w:t>
      </w:r>
      <w:r>
        <w:rPr>
          <w:rFonts w:cs="Arial" w:hint="cs"/>
          <w:rtl/>
        </w:rPr>
        <w:t>,</w:t>
      </w:r>
      <w:r w:rsidRPr="00F31ACB">
        <w:rPr>
          <w:rFonts w:cs="Arial"/>
          <w:rtl/>
        </w:rPr>
        <w:t xml:space="preserve"> מוכח שהוא מקנה לו השדה</w:t>
      </w:r>
      <w:r>
        <w:rPr>
          <w:rFonts w:cs="Arial" w:hint="cs"/>
          <w:rtl/>
        </w:rPr>
        <w:t>.</w:t>
      </w:r>
      <w:r w:rsidRPr="00F31ACB">
        <w:rPr>
          <w:rFonts w:cs="Arial"/>
          <w:rtl/>
        </w:rPr>
        <w:t xml:space="preserve"> ורב אלפס (מא:) כתב קנו מידו של בעל ועודה ארוסה מהו</w:t>
      </w:r>
      <w:r>
        <w:rPr>
          <w:rFonts w:cs="Arial" w:hint="cs"/>
          <w:rtl/>
        </w:rPr>
        <w:t>.</w:t>
      </w:r>
      <w:r w:rsidRPr="00F31ACB">
        <w:rPr>
          <w:rFonts w:cs="Arial"/>
          <w:rtl/>
        </w:rPr>
        <w:t xml:space="preserve"> וקשה</w:t>
      </w:r>
      <w:r>
        <w:rPr>
          <w:rFonts w:cs="Arial" w:hint="cs"/>
          <w:rtl/>
        </w:rPr>
        <w:t>,</w:t>
      </w:r>
      <w:r w:rsidRPr="00F31ACB">
        <w:rPr>
          <w:rFonts w:cs="Arial"/>
          <w:rtl/>
        </w:rPr>
        <w:t xml:space="preserve"> דהא אפילו באמירה מועיל</w:t>
      </w:r>
      <w:r>
        <w:rPr>
          <w:rFonts w:cs="Arial" w:hint="cs"/>
          <w:rtl/>
        </w:rPr>
        <w:t>.</w:t>
      </w:r>
      <w:r w:rsidRPr="00F31ACB">
        <w:rPr>
          <w:rFonts w:cs="Arial"/>
          <w:rtl/>
        </w:rPr>
        <w:t xml:space="preserve"> וכוונתו שאם אמר דין ודברים אין לי בנכסיך וקנו מידו אם נסתלק גם מפירות וירושה</w:t>
      </w:r>
      <w:r>
        <w:rPr>
          <w:rFonts w:cs="Arial" w:hint="cs"/>
          <w:rtl/>
        </w:rPr>
        <w:t>.</w:t>
      </w:r>
      <w:r w:rsidRPr="00F31ACB">
        <w:rPr>
          <w:rFonts w:cs="Arial"/>
          <w:rtl/>
        </w:rPr>
        <w:t xml:space="preserve"> וקשה</w:t>
      </w:r>
      <w:r>
        <w:rPr>
          <w:rFonts w:cs="Arial" w:hint="cs"/>
          <w:rtl/>
        </w:rPr>
        <w:t>,</w:t>
      </w:r>
      <w:r w:rsidRPr="00F31ACB">
        <w:rPr>
          <w:rFonts w:cs="Arial"/>
          <w:rtl/>
        </w:rPr>
        <w:t xml:space="preserve"> כיון דטעמא דלא נסתלק משום דיד בעל השטר על התחתונה</w:t>
      </w:r>
      <w:r>
        <w:rPr>
          <w:rFonts w:cs="Arial" w:hint="cs"/>
          <w:rtl/>
        </w:rPr>
        <w:t>,</w:t>
      </w:r>
      <w:r w:rsidRPr="00F31ACB">
        <w:rPr>
          <w:rFonts w:cs="Arial"/>
          <w:rtl/>
        </w:rPr>
        <w:t xml:space="preserve"> או מדקדוק הלשון דבנכסייך ולא בפירות בנכסייך ולא לאחר מיתה לרב אשי</w:t>
      </w:r>
      <w:r>
        <w:rPr>
          <w:rFonts w:cs="Arial" w:hint="cs"/>
          <w:rtl/>
        </w:rPr>
        <w:t>,</w:t>
      </w:r>
      <w:r w:rsidRPr="00F31ACB">
        <w:rPr>
          <w:rFonts w:cs="Arial"/>
          <w:rtl/>
        </w:rPr>
        <w:t xml:space="preserve"> מאי מהני קנין לדבר שאינו שלו ממשמעות הלשון</w:t>
      </w:r>
      <w:r>
        <w:rPr>
          <w:rFonts w:cs="Arial" w:hint="cs"/>
          <w:rtl/>
        </w:rPr>
        <w:t>.</w:t>
      </w:r>
      <w:r w:rsidRPr="00F31ACB">
        <w:rPr>
          <w:rFonts w:cs="Arial"/>
          <w:rtl/>
        </w:rPr>
        <w:t xml:space="preserve"> ופירוש רש"י עיקר</w:t>
      </w:r>
      <w:r>
        <w:rPr>
          <w:rFonts w:cs="Arial" w:hint="cs"/>
          <w:rtl/>
        </w:rPr>
        <w:t>.</w:t>
      </w:r>
      <w:r w:rsidRPr="00F31ACB">
        <w:rPr>
          <w:rFonts w:cs="Arial"/>
          <w:rtl/>
        </w:rPr>
        <w:t xml:space="preserve"> עכ"ל</w:t>
      </w:r>
      <w:r>
        <w:rPr>
          <w:rFonts w:hint="cs"/>
          <w:rtl/>
        </w:rPr>
        <w:t>.</w:t>
      </w:r>
    </w:p>
  </w:footnote>
  <w:footnote w:id="2198">
    <w:p w14:paraId="41842B83" w14:textId="77777777" w:rsidR="00DF1FC7" w:rsidRDefault="00DF1FC7" w:rsidP="002E5BAD">
      <w:pPr>
        <w:pStyle w:val="a5"/>
        <w:rPr>
          <w:rtl/>
        </w:rPr>
      </w:pPr>
      <w:r>
        <w:rPr>
          <w:rStyle w:val="a7"/>
        </w:rPr>
        <w:footnoteRef/>
      </w:r>
      <w:r>
        <w:rPr>
          <w:rtl/>
        </w:rPr>
        <w:t xml:space="preserve"> </w:t>
      </w:r>
      <w:r w:rsidRPr="007E16F2">
        <w:rPr>
          <w:rFonts w:cs="Arial"/>
          <w:rtl/>
        </w:rPr>
        <w:t>מי אמרי' לא הקנה בחליפין הללו כלום ולא אמר עליה אלא לשון דין ודברים</w:t>
      </w:r>
      <w:r>
        <w:rPr>
          <w:rFonts w:cs="Arial" w:hint="cs"/>
          <w:rtl/>
        </w:rPr>
        <w:t>.</w:t>
      </w:r>
      <w:r w:rsidRPr="007E16F2">
        <w:rPr>
          <w:rFonts w:cs="Arial"/>
          <w:rtl/>
        </w:rPr>
        <w:t xml:space="preserve"> או דלמא אין חליפין באים אלא לדבר שיש בו ממש שזה קונה את הסודר ומקנה לו חפץ המכר או המתנה</w:t>
      </w:r>
      <w:r>
        <w:rPr>
          <w:rFonts w:cs="Arial" w:hint="cs"/>
          <w:rtl/>
        </w:rPr>
        <w:t>,</w:t>
      </w:r>
      <w:r w:rsidRPr="007E16F2">
        <w:rPr>
          <w:rFonts w:cs="Arial"/>
          <w:rtl/>
        </w:rPr>
        <w:t xml:space="preserve"> ועל גופה של קרקע קנו מידו ומתנה גמורה היא</w:t>
      </w:r>
      <w:r>
        <w:rPr>
          <w:rFonts w:hint="cs"/>
          <w:rtl/>
        </w:rPr>
        <w:t>, רש"י.</w:t>
      </w:r>
    </w:p>
  </w:footnote>
  <w:footnote w:id="2199">
    <w:p w14:paraId="06861843" w14:textId="77777777" w:rsidR="00DF1FC7" w:rsidRDefault="00DF1FC7" w:rsidP="002E5BAD">
      <w:pPr>
        <w:pStyle w:val="a5"/>
        <w:rPr>
          <w:rtl/>
        </w:rPr>
      </w:pPr>
      <w:r>
        <w:rPr>
          <w:rStyle w:val="a7"/>
        </w:rPr>
        <w:footnoteRef/>
      </w:r>
      <w:r>
        <w:rPr>
          <w:rtl/>
        </w:rPr>
        <w:t xml:space="preserve"> </w:t>
      </w:r>
      <w:r w:rsidRPr="007E16F2">
        <w:rPr>
          <w:rFonts w:cs="Arial"/>
          <w:rtl/>
        </w:rPr>
        <w:t>מה שפירש על הקנין קנו מידו והוא לשון דין ודברים ואינו כלום</w:t>
      </w:r>
      <w:r>
        <w:rPr>
          <w:rFonts w:hint="cs"/>
          <w:rtl/>
        </w:rPr>
        <w:t>, רש"י.</w:t>
      </w:r>
    </w:p>
  </w:footnote>
  <w:footnote w:id="2200">
    <w:p w14:paraId="615D6362" w14:textId="77777777" w:rsidR="00DF1FC7" w:rsidRDefault="00DF1FC7" w:rsidP="002E5BAD">
      <w:pPr>
        <w:pStyle w:val="a5"/>
        <w:rPr>
          <w:rtl/>
        </w:rPr>
      </w:pPr>
      <w:r>
        <w:rPr>
          <w:rStyle w:val="a7"/>
        </w:rPr>
        <w:footnoteRef/>
      </w:r>
      <w:r>
        <w:rPr>
          <w:rtl/>
        </w:rPr>
        <w:t xml:space="preserve"> </w:t>
      </w:r>
      <w:r w:rsidRPr="007E16F2">
        <w:rPr>
          <w:rFonts w:cs="Arial"/>
          <w:rtl/>
        </w:rPr>
        <w:t>כשבא חברו זה להחזיק בחלקו מיד עמד וערער על המתנה ואמר לא נתתי לך את השדה ודין ודברים בעלמא אמרתי לך שלא אריב עמך</w:t>
      </w:r>
      <w:r>
        <w:rPr>
          <w:rFonts w:hint="cs"/>
          <w:rtl/>
        </w:rPr>
        <w:t>, רש"י.</w:t>
      </w:r>
    </w:p>
  </w:footnote>
  <w:footnote w:id="2201">
    <w:p w14:paraId="56BA8469" w14:textId="77777777" w:rsidR="00DF1FC7" w:rsidRDefault="00DF1FC7" w:rsidP="002E5BAD">
      <w:pPr>
        <w:pStyle w:val="a5"/>
        <w:rPr>
          <w:rtl/>
        </w:rPr>
      </w:pPr>
      <w:r>
        <w:rPr>
          <w:rStyle w:val="a7"/>
        </w:rPr>
        <w:footnoteRef/>
      </w:r>
      <w:r>
        <w:rPr>
          <w:rtl/>
        </w:rPr>
        <w:t xml:space="preserve"> </w:t>
      </w:r>
      <w:r w:rsidRPr="007E16F2">
        <w:rPr>
          <w:rFonts w:cs="Arial"/>
          <w:rtl/>
        </w:rPr>
        <w:t>יום או יומים ואח"כ ערער לא דהשתא הוא דקא הדר ביה ולמדוהו לטעון כך</w:t>
      </w:r>
      <w:r>
        <w:rPr>
          <w:rFonts w:hint="cs"/>
          <w:rtl/>
        </w:rPr>
        <w:t>, רש"י.</w:t>
      </w:r>
    </w:p>
  </w:footnote>
  <w:footnote w:id="2202">
    <w:p w14:paraId="4C7699DE" w14:textId="77777777" w:rsidR="00DF1FC7" w:rsidRDefault="00DF1FC7" w:rsidP="002E5BAD">
      <w:pPr>
        <w:pStyle w:val="a5"/>
      </w:pPr>
      <w:r>
        <w:rPr>
          <w:rStyle w:val="a7"/>
        </w:rPr>
        <w:footnoteRef/>
      </w:r>
      <w:r>
        <w:rPr>
          <w:rtl/>
        </w:rPr>
        <w:t xml:space="preserve"> </w:t>
      </w:r>
      <w:r w:rsidRPr="003171A6">
        <w:rPr>
          <w:rFonts w:cs="Arial"/>
          <w:rtl/>
        </w:rPr>
        <w:t xml:space="preserve">בהגהות אלפסי (מא. אות א) </w:t>
      </w:r>
      <w:r>
        <w:rPr>
          <w:rFonts w:cs="Arial" w:hint="cs"/>
          <w:rtl/>
        </w:rPr>
        <w:t xml:space="preserve">כתב </w:t>
      </w:r>
      <w:r w:rsidRPr="003171A6">
        <w:rPr>
          <w:rFonts w:cs="Arial"/>
          <w:rtl/>
        </w:rPr>
        <w:t>דאין לבעל כלום במעות שקבלה מן המכירה</w:t>
      </w:r>
      <w:r>
        <w:rPr>
          <w:rFonts w:cs="Arial" w:hint="cs"/>
          <w:rtl/>
        </w:rPr>
        <w:t>.</w:t>
      </w:r>
      <w:r w:rsidRPr="003171A6">
        <w:rPr>
          <w:rFonts w:cs="Arial"/>
          <w:rtl/>
        </w:rPr>
        <w:t xml:space="preserve"> ואם לקחה בהן קרקע הבעל אוכל פירות</w:t>
      </w:r>
      <w:r>
        <w:rPr>
          <w:rFonts w:cs="Arial" w:hint="cs"/>
          <w:rtl/>
        </w:rPr>
        <w:t>, דרכ"מ (אות א).</w:t>
      </w:r>
      <w:r w:rsidRPr="00C14D0E">
        <w:rPr>
          <w:rFonts w:cs="Arial" w:hint="cs"/>
          <w:color w:val="00B0F0"/>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w:t>
      </w:r>
      <w:r>
        <w:rPr>
          <w:rFonts w:cs="Arial" w:hint="cs"/>
          <w:color w:val="00B0F0"/>
          <w:rtl/>
        </w:rPr>
        <w:t>בהג"ה)</w:t>
      </w:r>
    </w:p>
  </w:footnote>
  <w:footnote w:id="2203">
    <w:p w14:paraId="7CF9BECC" w14:textId="77777777" w:rsidR="00DF1FC7" w:rsidRDefault="00DF1FC7" w:rsidP="002E5BAD">
      <w:pPr>
        <w:pStyle w:val="a5"/>
        <w:rPr>
          <w:rtl/>
        </w:rPr>
      </w:pPr>
      <w:r>
        <w:rPr>
          <w:rStyle w:val="a7"/>
        </w:rPr>
        <w:footnoteRef/>
      </w:r>
      <w:r>
        <w:rPr>
          <w:rtl/>
        </w:rPr>
        <w:t xml:space="preserve"> </w:t>
      </w:r>
      <w:r w:rsidRPr="00D73933">
        <w:rPr>
          <w:rFonts w:cs="Arial"/>
          <w:rtl/>
        </w:rPr>
        <w:t xml:space="preserve">יצא לו ממ"ש בפרק חזקת </w:t>
      </w:r>
      <w:r>
        <w:rPr>
          <w:rFonts w:cs="Arial" w:hint="cs"/>
          <w:rtl/>
        </w:rPr>
        <w:t xml:space="preserve">(ב"ב מג.) </w:t>
      </w:r>
      <w:r w:rsidRPr="00D73933">
        <w:rPr>
          <w:rFonts w:cs="Arial"/>
          <w:rtl/>
        </w:rPr>
        <w:t>גבי הא דהאומר לחבירו דין ודברים אין לי על שדה זו שאם קנו מידו דקנה חבירו ולא יהא כח הבעל גדול בנכסי אשתו מכח השותף בחלקו וזה פשוט ומוסכם</w:t>
      </w:r>
      <w:r>
        <w:rPr>
          <w:rFonts w:cs="Arial" w:hint="cs"/>
          <w:rtl/>
        </w:rPr>
        <w:t>, הה"מ (שם).</w:t>
      </w:r>
      <w:r w:rsidRPr="00D73933">
        <w:rPr>
          <w:rFonts w:cs="Arial"/>
          <w:rtl/>
        </w:rPr>
        <w:t xml:space="preserve"> </w:t>
      </w:r>
    </w:p>
  </w:footnote>
  <w:footnote w:id="2204">
    <w:p w14:paraId="1419A08F" w14:textId="77777777" w:rsidR="00DF1FC7" w:rsidRDefault="00DF1FC7" w:rsidP="002E5BAD">
      <w:pPr>
        <w:pStyle w:val="a5"/>
        <w:rPr>
          <w:rtl/>
        </w:rPr>
      </w:pPr>
      <w:r>
        <w:rPr>
          <w:rStyle w:val="a7"/>
        </w:rPr>
        <w:footnoteRef/>
      </w:r>
      <w:r>
        <w:rPr>
          <w:rtl/>
        </w:rPr>
        <w:t xml:space="preserve"> </w:t>
      </w:r>
      <w:r>
        <w:rPr>
          <w:rFonts w:cs="Arial" w:hint="cs"/>
          <w:rtl/>
        </w:rPr>
        <w:t>הטור כתב על דברי הרמב"ם- ולא נהירא לא"א הרא"ש. עכ"ל. וכתב הב"י ד</w:t>
      </w:r>
      <w:r w:rsidRPr="00F31ACB">
        <w:rPr>
          <w:rFonts w:cs="Arial"/>
          <w:rtl/>
        </w:rPr>
        <w:t>יש לתמוה על רבינו שכתב</w:t>
      </w:r>
      <w:r>
        <w:rPr>
          <w:rFonts w:cs="Arial" w:hint="cs"/>
          <w:rtl/>
        </w:rPr>
        <w:t xml:space="preserve"> כך,</w:t>
      </w:r>
      <w:r w:rsidRPr="00F31ACB">
        <w:rPr>
          <w:rFonts w:cs="Arial"/>
          <w:rtl/>
        </w:rPr>
        <w:t xml:space="preserve"> שהרי ה</w:t>
      </w:r>
      <w:r>
        <w:rPr>
          <w:rFonts w:cs="Arial" w:hint="cs"/>
          <w:rtl/>
        </w:rPr>
        <w:t>רא"ש</w:t>
      </w:r>
      <w:r w:rsidRPr="00F31ACB">
        <w:rPr>
          <w:rFonts w:cs="Arial"/>
          <w:rtl/>
        </w:rPr>
        <w:t xml:space="preserve"> ז"ל בתחלה הקשה על פירוש רש"י וכתב כפר"י</w:t>
      </w:r>
      <w:r>
        <w:rPr>
          <w:rFonts w:cs="Arial" w:hint="cs"/>
          <w:rtl/>
        </w:rPr>
        <w:t>,</w:t>
      </w:r>
      <w:r w:rsidRPr="00F31ACB">
        <w:rPr>
          <w:rFonts w:cs="Arial"/>
          <w:rtl/>
        </w:rPr>
        <w:t xml:space="preserve"> ואף על פי שאח"כ חזר לקיים פירוש רש"י מכל מקום לא סתר פר"י ולא הקשה עליו</w:t>
      </w:r>
      <w:r>
        <w:rPr>
          <w:rFonts w:cs="Arial" w:hint="cs"/>
          <w:rtl/>
        </w:rPr>
        <w:t>.</w:t>
      </w:r>
      <w:r w:rsidRPr="00F31ACB">
        <w:rPr>
          <w:rFonts w:cs="Arial"/>
          <w:rtl/>
        </w:rPr>
        <w:t xml:space="preserve"> וצ"ל שסובר רבינו שכיון שבסוף דבריו כתב שפירוש רש"י עיקר משמע שהוא סובר דליתיה לפר"י</w:t>
      </w:r>
      <w:r>
        <w:rPr>
          <w:rFonts w:cs="Arial" w:hint="cs"/>
          <w:rtl/>
        </w:rPr>
        <w:t>.</w:t>
      </w:r>
    </w:p>
  </w:footnote>
  <w:footnote w:id="2205">
    <w:p w14:paraId="36313896" w14:textId="77777777" w:rsidR="00DF1FC7" w:rsidRDefault="00DF1FC7" w:rsidP="002E5BAD">
      <w:pPr>
        <w:pStyle w:val="a5"/>
        <w:rPr>
          <w:rtl/>
        </w:rPr>
      </w:pPr>
      <w:r>
        <w:rPr>
          <w:rStyle w:val="a7"/>
        </w:rPr>
        <w:footnoteRef/>
      </w:r>
      <w:r>
        <w:rPr>
          <w:rtl/>
        </w:rPr>
        <w:t xml:space="preserve"> </w:t>
      </w:r>
      <w:r w:rsidRPr="009D7965">
        <w:rPr>
          <w:rFonts w:cs="Arial"/>
          <w:rtl/>
        </w:rPr>
        <w:t>הב"י וב"ח וח"מ דייקו מדברי המגיד דמהני הקנין דאין לו זכות בפירות</w:t>
      </w:r>
      <w:r>
        <w:rPr>
          <w:rFonts w:cs="Arial" w:hint="cs"/>
          <w:rtl/>
        </w:rPr>
        <w:t>.</w:t>
      </w:r>
      <w:r w:rsidRPr="009D7965">
        <w:rPr>
          <w:rFonts w:cs="Arial"/>
          <w:rtl/>
        </w:rPr>
        <w:t xml:space="preserve"> והטור חולק ע"ז וס"ל דלא מהני אלא לענין המכירה</w:t>
      </w:r>
      <w:r>
        <w:rPr>
          <w:rFonts w:cs="Arial" w:hint="cs"/>
          <w:rtl/>
        </w:rPr>
        <w:t>.</w:t>
      </w:r>
      <w:r w:rsidRPr="009D7965">
        <w:rPr>
          <w:rFonts w:cs="Arial"/>
          <w:rtl/>
        </w:rPr>
        <w:t xml:space="preserve"> ואפש' דל</w:t>
      </w:r>
      <w:r>
        <w:rPr>
          <w:rFonts w:cs="Arial" w:hint="cs"/>
          <w:rtl/>
        </w:rPr>
        <w:t xml:space="preserve">א </w:t>
      </w:r>
      <w:r w:rsidRPr="009D7965">
        <w:rPr>
          <w:rFonts w:cs="Arial"/>
          <w:rtl/>
        </w:rPr>
        <w:t>פ</w:t>
      </w:r>
      <w:r>
        <w:rPr>
          <w:rFonts w:cs="Arial" w:hint="cs"/>
          <w:rtl/>
        </w:rPr>
        <w:t>ליגי,</w:t>
      </w:r>
      <w:r w:rsidRPr="009D7965">
        <w:rPr>
          <w:rFonts w:cs="Arial"/>
          <w:rtl/>
        </w:rPr>
        <w:t xml:space="preserve"> אלא הטור איירי כשאומר או כותב דין ודברים אין לי בנכסיך </w:t>
      </w:r>
      <w:r>
        <w:rPr>
          <w:rFonts w:cs="Arial" w:hint="cs"/>
          <w:rtl/>
        </w:rPr>
        <w:t xml:space="preserve">- </w:t>
      </w:r>
      <w:r w:rsidRPr="009D7965">
        <w:rPr>
          <w:rFonts w:cs="Arial"/>
          <w:rtl/>
        </w:rPr>
        <w:t>אז לא סילק מפירו</w:t>
      </w:r>
      <w:r>
        <w:rPr>
          <w:rFonts w:cs="Arial" w:hint="cs"/>
          <w:rtl/>
        </w:rPr>
        <w:t>ת</w:t>
      </w:r>
      <w:r w:rsidRPr="009D7965">
        <w:rPr>
          <w:rFonts w:cs="Arial"/>
          <w:rtl/>
        </w:rPr>
        <w:t xml:space="preserve"> אלא הקנין מהני לענין המכירה</w:t>
      </w:r>
      <w:r>
        <w:rPr>
          <w:rFonts w:cs="Arial" w:hint="cs"/>
          <w:rtl/>
        </w:rPr>
        <w:t>.</w:t>
      </w:r>
      <w:r w:rsidRPr="009D7965">
        <w:rPr>
          <w:rFonts w:cs="Arial"/>
          <w:rtl/>
        </w:rPr>
        <w:t xml:space="preserve"> אבל כשלא אמר נכסייך </w:t>
      </w:r>
      <w:r>
        <w:rPr>
          <w:rFonts w:cs="Arial" w:hint="cs"/>
          <w:rtl/>
        </w:rPr>
        <w:t xml:space="preserve">- </w:t>
      </w:r>
      <w:r w:rsidRPr="009D7965">
        <w:rPr>
          <w:rFonts w:cs="Arial"/>
          <w:rtl/>
        </w:rPr>
        <w:t>ס"ל להטור נמי דמהני אפילו לענין פירו</w:t>
      </w:r>
      <w:r>
        <w:rPr>
          <w:rFonts w:cs="Arial" w:hint="cs"/>
          <w:rtl/>
        </w:rPr>
        <w:t>ת</w:t>
      </w:r>
      <w:r>
        <w:rPr>
          <w:rFonts w:hint="cs"/>
          <w:rtl/>
        </w:rPr>
        <w:t>, ב"ש (סק"ד).</w:t>
      </w:r>
    </w:p>
  </w:footnote>
  <w:footnote w:id="2206">
    <w:p w14:paraId="19549388" w14:textId="77777777" w:rsidR="00DF1FC7" w:rsidRDefault="00DF1FC7" w:rsidP="002E5BAD">
      <w:pPr>
        <w:pStyle w:val="a5"/>
        <w:rPr>
          <w:rtl/>
        </w:rPr>
      </w:pPr>
      <w:r>
        <w:rPr>
          <w:rStyle w:val="a7"/>
        </w:rPr>
        <w:footnoteRef/>
      </w:r>
      <w:r>
        <w:rPr>
          <w:rtl/>
        </w:rPr>
        <w:t xml:space="preserve"> </w:t>
      </w:r>
      <w:r w:rsidRPr="00D82822">
        <w:rPr>
          <w:rFonts w:cs="Arial"/>
          <w:rtl/>
        </w:rPr>
        <w:t>פי' אפילו לאחר נשואין</w:t>
      </w:r>
      <w:r>
        <w:rPr>
          <w:rFonts w:cs="Arial" w:hint="cs"/>
          <w:rtl/>
        </w:rPr>
        <w:t>.</w:t>
      </w:r>
      <w:r w:rsidRPr="00D82822">
        <w:rPr>
          <w:rFonts w:cs="Arial"/>
          <w:rtl/>
        </w:rPr>
        <w:t xml:space="preserve"> דאלו קודם נשואין כבר נתבאר לעיל סי' צ' סעיף י"א שארוסה מכרה קיים אפי' בלא תנאי</w:t>
      </w:r>
      <w:r>
        <w:rPr>
          <w:rFonts w:cs="Arial" w:hint="cs"/>
          <w:rtl/>
        </w:rPr>
        <w:t>.</w:t>
      </w:r>
      <w:r w:rsidRPr="00D82822">
        <w:rPr>
          <w:rFonts w:cs="Arial"/>
          <w:rtl/>
        </w:rPr>
        <w:t xml:space="preserve"> ומ"מ מיירי כאן בנכסים שהיו בשעת התנאי</w:t>
      </w:r>
      <w:r>
        <w:rPr>
          <w:rFonts w:cs="Arial" w:hint="cs"/>
          <w:rtl/>
        </w:rPr>
        <w:t>,</w:t>
      </w:r>
      <w:r w:rsidRPr="00D82822">
        <w:rPr>
          <w:rFonts w:cs="Arial"/>
          <w:rtl/>
        </w:rPr>
        <w:t xml:space="preserve"> אבל בנכסים שיפלו לה לאחר מכאן יתבאר בסעיף שאחר זה אם סילוק מועיל אף לדבר שלא בא לעולם</w:t>
      </w:r>
      <w:r>
        <w:rPr>
          <w:rFonts w:cs="Arial" w:hint="cs"/>
          <w:rtl/>
        </w:rPr>
        <w:t>, ח"מ (סק"א).</w:t>
      </w:r>
      <w:r w:rsidRPr="00DD4E90">
        <w:rPr>
          <w:rtl/>
        </w:rPr>
        <w:t xml:space="preserve"> </w:t>
      </w:r>
      <w:r w:rsidRPr="00DD4E90">
        <w:rPr>
          <w:rFonts w:cs="Arial"/>
          <w:rtl/>
        </w:rPr>
        <w:t>ודוקא אם מכרה כבר א"י הוא לערער על המכירה אבל אם לא מכרה יכול לעכב</w:t>
      </w:r>
      <w:r>
        <w:rPr>
          <w:rFonts w:cs="Arial" w:hint="cs"/>
          <w:rtl/>
        </w:rPr>
        <w:t>,</w:t>
      </w:r>
      <w:r w:rsidRPr="00DD4E90">
        <w:rPr>
          <w:rFonts w:cs="Arial"/>
          <w:rtl/>
        </w:rPr>
        <w:t xml:space="preserve"> וכן משמע מל' מתני' ול' הפוסקים</w:t>
      </w:r>
      <w:r>
        <w:rPr>
          <w:rFonts w:cs="Arial" w:hint="cs"/>
          <w:rtl/>
        </w:rPr>
        <w:t>.</w:t>
      </w:r>
      <w:r w:rsidRPr="00DD4E90">
        <w:rPr>
          <w:rFonts w:cs="Arial"/>
          <w:rtl/>
        </w:rPr>
        <w:t xml:space="preserve"> וכן מוכח מתוס' והרא"ש </w:t>
      </w:r>
      <w:r>
        <w:rPr>
          <w:rFonts w:cs="Arial" w:hint="cs"/>
          <w:sz w:val="16"/>
          <w:szCs w:val="16"/>
          <w:rtl/>
        </w:rPr>
        <w:t>(</w:t>
      </w:r>
      <w:r w:rsidRPr="00652F18">
        <w:rPr>
          <w:rFonts w:cs="Arial"/>
          <w:sz w:val="16"/>
          <w:szCs w:val="16"/>
          <w:rtl/>
        </w:rPr>
        <w:t>דהקשו מה מהני הסילוק מה שיסלק מנכסים שיש בידה בעודה ארוסה דהא בלא סילוק נמי הנכסים שנפלו כשהיא ארוסה ומכרה אחר הנישואים מכרה קיים לדינא דמתניתין ושם מבואר לר"י דוקא בדיעבד המכירה קיים אבל לכתחילה א"י למכור אם כן אם אחר הסילוק יכולה למכור לכתחלה לק"מ אע</w:t>
      </w:r>
      <w:r>
        <w:rPr>
          <w:rFonts w:cs="Arial" w:hint="cs"/>
          <w:sz w:val="16"/>
          <w:szCs w:val="16"/>
          <w:rtl/>
        </w:rPr>
        <w:t>"</w:t>
      </w:r>
      <w:r w:rsidRPr="00652F18">
        <w:rPr>
          <w:rFonts w:cs="Arial"/>
          <w:sz w:val="16"/>
          <w:szCs w:val="16"/>
          <w:rtl/>
        </w:rPr>
        <w:t>ג לחנני' שם יכולה למכור לכתחלה מ"מ קשה מנ"ל דמתניתין אתיא כחנני' וכן מבואר בתוס' להדיא מ"ש אליבא דרב אשי</w:t>
      </w:r>
      <w:r w:rsidRPr="00652F18">
        <w:rPr>
          <w:rFonts w:cs="Arial" w:hint="cs"/>
          <w:sz w:val="16"/>
          <w:szCs w:val="16"/>
          <w:rtl/>
        </w:rPr>
        <w:t>)</w:t>
      </w:r>
      <w:r>
        <w:rPr>
          <w:rFonts w:cs="Arial" w:hint="cs"/>
          <w:rtl/>
        </w:rPr>
        <w:t>, ב"ש</w:t>
      </w:r>
      <w:r w:rsidRPr="000D79D3">
        <w:rPr>
          <w:rFonts w:cs="Arial" w:hint="cs"/>
          <w:sz w:val="16"/>
          <w:szCs w:val="16"/>
          <w:rtl/>
        </w:rPr>
        <w:t xml:space="preserve"> (סק"א)</w:t>
      </w:r>
      <w:r>
        <w:rPr>
          <w:rFonts w:cs="Arial" w:hint="cs"/>
          <w:rtl/>
        </w:rPr>
        <w:t>.</w:t>
      </w:r>
    </w:p>
  </w:footnote>
  <w:footnote w:id="2207">
    <w:p w14:paraId="5CAC955B" w14:textId="77777777" w:rsidR="00DF1FC7" w:rsidRDefault="00DF1FC7" w:rsidP="002E5BAD">
      <w:pPr>
        <w:pStyle w:val="a5"/>
        <w:rPr>
          <w:rtl/>
        </w:rPr>
      </w:pPr>
      <w:r>
        <w:rPr>
          <w:rStyle w:val="a7"/>
        </w:rPr>
        <w:footnoteRef/>
      </w:r>
      <w:r>
        <w:rPr>
          <w:rtl/>
        </w:rPr>
        <w:t xml:space="preserve"> </w:t>
      </w:r>
      <w:r w:rsidRPr="00D82822">
        <w:rPr>
          <w:rFonts w:cs="Arial"/>
          <w:rtl/>
        </w:rPr>
        <w:t>דמאחר שהרשות בידה ליתן הקרקע עצמה במתנה ה"ה המעות דאתי מחמתיה</w:t>
      </w:r>
      <w:r>
        <w:rPr>
          <w:rFonts w:cs="Arial" w:hint="cs"/>
          <w:rtl/>
        </w:rPr>
        <w:t>, ח"מ (סק"ב).</w:t>
      </w:r>
    </w:p>
  </w:footnote>
  <w:footnote w:id="2208">
    <w:p w14:paraId="63EAB2CD" w14:textId="77777777" w:rsidR="00DF1FC7" w:rsidRDefault="00DF1FC7" w:rsidP="002E5BAD">
      <w:pPr>
        <w:pStyle w:val="a5"/>
        <w:rPr>
          <w:rtl/>
        </w:rPr>
      </w:pPr>
      <w:r>
        <w:rPr>
          <w:rStyle w:val="a7"/>
        </w:rPr>
        <w:footnoteRef/>
      </w:r>
      <w:r>
        <w:rPr>
          <w:rtl/>
        </w:rPr>
        <w:t xml:space="preserve"> </w:t>
      </w:r>
      <w:r w:rsidRPr="00853009">
        <w:rPr>
          <w:rFonts w:cs="Arial"/>
          <w:rtl/>
        </w:rPr>
        <w:t>והא דלא אמרי' מכל דבר סילק את עצמו מתרץ אביי משום בעל השטר ידו על התחתונה ורב אשי מתרץ מ"ש לה אין לי בנכסיך משמע דלא סילק את עצמו מפירות ולא מירושה ונ"מ אם כתב בשטר שיהיה ידו על העליונה או אם כתב בשאר לשון ואם אמר מנכסייך אפילו שטרות בכלל ועיין מהרי"ק שורש י"ג</w:t>
      </w:r>
      <w:r>
        <w:rPr>
          <w:rFonts w:cs="Arial" w:hint="cs"/>
          <w:rtl/>
        </w:rPr>
        <w:t>, ב"ש (סק"ג).</w:t>
      </w:r>
    </w:p>
  </w:footnote>
  <w:footnote w:id="2209">
    <w:p w14:paraId="3DDA4E25" w14:textId="77777777" w:rsidR="00DF1FC7" w:rsidRDefault="00DF1FC7" w:rsidP="002E5BAD">
      <w:pPr>
        <w:pStyle w:val="a5"/>
      </w:pPr>
      <w:r>
        <w:rPr>
          <w:rStyle w:val="a7"/>
        </w:rPr>
        <w:footnoteRef/>
      </w:r>
      <w:r>
        <w:rPr>
          <w:rtl/>
        </w:rPr>
        <w:t xml:space="preserve"> </w:t>
      </w:r>
      <w:r w:rsidRPr="00C86FA0">
        <w:rPr>
          <w:rFonts w:cs="Arial"/>
          <w:rtl/>
        </w:rPr>
        <w:t>ו</w:t>
      </w:r>
      <w:r>
        <w:rPr>
          <w:rFonts w:cs="Arial" w:hint="cs"/>
          <w:rtl/>
        </w:rPr>
        <w:t xml:space="preserve">מ"מ כשכותב לה </w:t>
      </w:r>
      <w:r w:rsidRPr="00C86FA0">
        <w:rPr>
          <w:rFonts w:cs="Arial"/>
          <w:rtl/>
        </w:rPr>
        <w:t xml:space="preserve">אחר הנשואין </w:t>
      </w:r>
      <w:r>
        <w:rPr>
          <w:rFonts w:cs="Arial" w:hint="cs"/>
          <w:rtl/>
        </w:rPr>
        <w:t>עם קנין</w:t>
      </w:r>
      <w:r w:rsidRPr="00C86FA0">
        <w:rPr>
          <w:rFonts w:cs="Arial"/>
          <w:rtl/>
        </w:rPr>
        <w:t xml:space="preserve"> לא מהני סילוק על נכסי</w:t>
      </w:r>
      <w:r>
        <w:rPr>
          <w:rFonts w:cs="Arial" w:hint="cs"/>
          <w:rtl/>
        </w:rPr>
        <w:t>ם</w:t>
      </w:r>
      <w:r w:rsidRPr="00C86FA0">
        <w:rPr>
          <w:rFonts w:cs="Arial"/>
          <w:rtl/>
        </w:rPr>
        <w:t xml:space="preserve"> שיפלו אח"כ</w:t>
      </w:r>
      <w:r>
        <w:rPr>
          <w:rFonts w:cs="Arial" w:hint="cs"/>
          <w:rtl/>
        </w:rPr>
        <w:t>.</w:t>
      </w:r>
      <w:r w:rsidRPr="00C86FA0">
        <w:rPr>
          <w:rFonts w:cs="Arial"/>
          <w:rtl/>
        </w:rPr>
        <w:t xml:space="preserve"> דהא קנין לא חל על דבר שאינו בידה</w:t>
      </w:r>
      <w:r>
        <w:rPr>
          <w:rFonts w:cs="Arial" w:hint="cs"/>
          <w:rtl/>
        </w:rPr>
        <w:t>.</w:t>
      </w:r>
      <w:r w:rsidRPr="00C86FA0">
        <w:rPr>
          <w:rFonts w:cs="Arial"/>
          <w:rtl/>
        </w:rPr>
        <w:t xml:space="preserve"> וכן כתבו הרא"ש והר"ן לפרש הירושלמי דתני' ויש אדם מתנה על דבר שברשותו וכו'</w:t>
      </w:r>
      <w:r>
        <w:rPr>
          <w:rFonts w:cs="Arial" w:hint="cs"/>
          <w:rtl/>
        </w:rPr>
        <w:t>,</w:t>
      </w:r>
      <w:r w:rsidRPr="00C86FA0">
        <w:rPr>
          <w:rFonts w:cs="Arial"/>
          <w:rtl/>
        </w:rPr>
        <w:t xml:space="preserve"> איירי בסילוק אחר הנישואין</w:t>
      </w:r>
      <w:r>
        <w:rPr>
          <w:rFonts w:cs="Arial" w:hint="cs"/>
          <w:rtl/>
        </w:rPr>
        <w:t>,</w:t>
      </w:r>
      <w:r w:rsidRPr="00C86FA0">
        <w:rPr>
          <w:rFonts w:cs="Arial"/>
          <w:rtl/>
        </w:rPr>
        <w:t xml:space="preserve"> ש"מ סילוק אחר הנישואין לא מהני לנכסי</w:t>
      </w:r>
      <w:r>
        <w:rPr>
          <w:rFonts w:cs="Arial" w:hint="cs"/>
          <w:rtl/>
        </w:rPr>
        <w:t>ם</w:t>
      </w:r>
      <w:r w:rsidRPr="00C86FA0">
        <w:rPr>
          <w:rFonts w:cs="Arial"/>
          <w:rtl/>
        </w:rPr>
        <w:t xml:space="preserve"> שיפלו אח"כ</w:t>
      </w:r>
      <w:r>
        <w:rPr>
          <w:rFonts w:cs="Arial" w:hint="cs"/>
          <w:rtl/>
        </w:rPr>
        <w:t>, ב"ש (סק"ו).</w:t>
      </w:r>
      <w:r>
        <w:rPr>
          <w:rFonts w:hint="cs"/>
          <w:rtl/>
        </w:rPr>
        <w:t xml:space="preserve"> וכ"כ הח"מ (סק"ה, וסק"ז).</w:t>
      </w:r>
    </w:p>
  </w:footnote>
  <w:footnote w:id="2210">
    <w:p w14:paraId="7AF4BBF4" w14:textId="77777777" w:rsidR="00DF1FC7" w:rsidRDefault="00DF1FC7" w:rsidP="002E5BAD">
      <w:pPr>
        <w:pStyle w:val="a5"/>
      </w:pPr>
      <w:r>
        <w:rPr>
          <w:rStyle w:val="a7"/>
        </w:rPr>
        <w:footnoteRef/>
      </w:r>
      <w:r>
        <w:rPr>
          <w:rtl/>
        </w:rPr>
        <w:t xml:space="preserve"> </w:t>
      </w:r>
      <w:r w:rsidRPr="00D82822">
        <w:rPr>
          <w:rFonts w:cs="Arial"/>
          <w:rtl/>
        </w:rPr>
        <w:t>משמע אפי' בקנין ל"מ מאחר דהוי דשב"ל (ועיין לעיל סי' צ' ס"ק ס') ועיין במרדכי פרק הכותב בדין איש חפץ לקנות בית ומתנ' עם אשתו שלא תעכב עליו מלמכור הבית אף על פי שבשעת התנאי הוה דשב"ל שעדיין לא לקח הבית מהני ע"ש ועיין בח"מ סי' ר"ט סעיף ח'</w:t>
      </w:r>
      <w:r>
        <w:rPr>
          <w:rFonts w:cs="Arial" w:hint="cs"/>
          <w:rtl/>
        </w:rPr>
        <w:t>, ח"מ (סק"ד).</w:t>
      </w:r>
      <w:r>
        <w:rPr>
          <w:rFonts w:hint="cs"/>
          <w:rtl/>
        </w:rPr>
        <w:t xml:space="preserve"> </w:t>
      </w:r>
      <w:r w:rsidRPr="00EB6B38">
        <w:rPr>
          <w:rFonts w:hint="cs"/>
          <w:color w:val="FF0000"/>
          <w:rtl/>
        </w:rPr>
        <w:t>כדאי לעיין שוב בפת"ש סק"א אולי יש מה להעתיק לכאן</w:t>
      </w:r>
    </w:p>
  </w:footnote>
  <w:footnote w:id="2211">
    <w:p w14:paraId="19DB69AB" w14:textId="77777777" w:rsidR="00DF1FC7" w:rsidRDefault="00DF1FC7" w:rsidP="002E5BAD">
      <w:pPr>
        <w:pStyle w:val="a5"/>
        <w:rPr>
          <w:rtl/>
        </w:rPr>
      </w:pPr>
      <w:r>
        <w:rPr>
          <w:rStyle w:val="a7"/>
        </w:rPr>
        <w:footnoteRef/>
      </w:r>
      <w:r>
        <w:rPr>
          <w:rtl/>
        </w:rPr>
        <w:t xml:space="preserve"> </w:t>
      </w:r>
      <w:r>
        <w:rPr>
          <w:rFonts w:cs="Arial" w:hint="cs"/>
          <w:rtl/>
        </w:rPr>
        <w:t xml:space="preserve">וז"ל- </w:t>
      </w:r>
      <w:r w:rsidRPr="00D2753E">
        <w:rPr>
          <w:rFonts w:cs="Arial"/>
          <w:rtl/>
        </w:rPr>
        <w:t>אמרי דבי רבי ינאי בכותב לה ועודה ארוסה</w:t>
      </w:r>
      <w:r>
        <w:rPr>
          <w:rFonts w:cs="Arial" w:hint="cs"/>
          <w:rtl/>
        </w:rPr>
        <w:t>.</w:t>
      </w:r>
      <w:r w:rsidRPr="00D2753E">
        <w:rPr>
          <w:rFonts w:cs="Arial"/>
          <w:rtl/>
        </w:rPr>
        <w:t xml:space="preserve"> ומסתמא נמי מיירי דנפלו לה בעודה ארוסה</w:t>
      </w:r>
      <w:r>
        <w:rPr>
          <w:rFonts w:cs="Arial" w:hint="cs"/>
          <w:rtl/>
        </w:rPr>
        <w:t>.</w:t>
      </w:r>
      <w:r w:rsidRPr="00D2753E">
        <w:rPr>
          <w:rFonts w:cs="Arial"/>
          <w:rtl/>
        </w:rPr>
        <w:t xml:space="preserve"> וקשה</w:t>
      </w:r>
      <w:r>
        <w:rPr>
          <w:rFonts w:cs="Arial" w:hint="cs"/>
          <w:rtl/>
        </w:rPr>
        <w:t>,</w:t>
      </w:r>
      <w:r w:rsidRPr="00D2753E">
        <w:rPr>
          <w:rFonts w:cs="Arial"/>
          <w:rtl/>
        </w:rPr>
        <w:t xml:space="preserve"> דאם כן אפילו אם לא כתב לה נמי מכרה קיים</w:t>
      </w:r>
      <w:r>
        <w:rPr>
          <w:rFonts w:cs="Arial" w:hint="cs"/>
          <w:rtl/>
        </w:rPr>
        <w:t>.</w:t>
      </w:r>
      <w:r w:rsidRPr="00D2753E">
        <w:rPr>
          <w:rFonts w:cs="Arial"/>
          <w:rtl/>
        </w:rPr>
        <w:t xml:space="preserve"> דהא תנן לעיל (עח.) עד שלא נישאת ונישאת רבן גמליאל אומר אם מכרה ונתנה קיים</w:t>
      </w:r>
      <w:r>
        <w:rPr>
          <w:rFonts w:cs="Arial" w:hint="cs"/>
          <w:rtl/>
        </w:rPr>
        <w:t>.</w:t>
      </w:r>
      <w:r w:rsidRPr="00D2753E">
        <w:rPr>
          <w:rFonts w:cs="Arial"/>
          <w:rtl/>
        </w:rPr>
        <w:t xml:space="preserve"> וי"ל דמתניתין דהכא כתנאי דאמרו לו לר"ג הואיל וזכה באשה לא יזכה בנכסים</w:t>
      </w:r>
      <w:r>
        <w:rPr>
          <w:rFonts w:cs="Arial" w:hint="cs"/>
          <w:rtl/>
        </w:rPr>
        <w:t>.</w:t>
      </w:r>
      <w:r w:rsidRPr="00D2753E">
        <w:rPr>
          <w:rFonts w:cs="Arial"/>
          <w:rtl/>
        </w:rPr>
        <w:t xml:space="preserve"> והרמב"ן </w:t>
      </w:r>
      <w:r w:rsidRPr="00665EE6">
        <w:rPr>
          <w:rFonts w:cs="Arial"/>
          <w:sz w:val="16"/>
          <w:szCs w:val="16"/>
          <w:rtl/>
        </w:rPr>
        <w:t>(פג. ד"ה הא)</w:t>
      </w:r>
      <w:r w:rsidRPr="00D2753E">
        <w:rPr>
          <w:rFonts w:cs="Arial"/>
          <w:rtl/>
        </w:rPr>
        <w:t xml:space="preserve"> כתב דמסתלק הוא מנכסים שנפלו לה לאחר שתנשא דסילוק בעלמא הוא ובמה שאינו ראוי לו עדיין אדם מתנה שלא יזכה בו</w:t>
      </w:r>
      <w:r>
        <w:rPr>
          <w:rFonts w:cs="Arial" w:hint="cs"/>
          <w:rtl/>
        </w:rPr>
        <w:t>.</w:t>
      </w:r>
      <w:r w:rsidRPr="00D2753E">
        <w:rPr>
          <w:rFonts w:cs="Arial"/>
          <w:rtl/>
        </w:rPr>
        <w:t xml:space="preserve"> ומיהו בירושלמי (פ"ט ה"א) לא משמע הכי</w:t>
      </w:r>
      <w:r>
        <w:rPr>
          <w:rFonts w:cs="Arial" w:hint="cs"/>
          <w:rtl/>
        </w:rPr>
        <w:t>.</w:t>
      </w:r>
      <w:r w:rsidRPr="00D2753E">
        <w:rPr>
          <w:rFonts w:cs="Arial"/>
          <w:rtl/>
        </w:rPr>
        <w:t xml:space="preserve"> דגרסינן התם</w:t>
      </w:r>
      <w:r>
        <w:rPr>
          <w:rFonts w:cs="Arial" w:hint="cs"/>
          <w:rtl/>
        </w:rPr>
        <w:t>:</w:t>
      </w:r>
      <w:r w:rsidRPr="00D2753E">
        <w:rPr>
          <w:rFonts w:cs="Arial"/>
          <w:rtl/>
        </w:rPr>
        <w:t xml:space="preserve"> א"ר ירמיה בעו קמי דרבי זירא</w:t>
      </w:r>
      <w:r>
        <w:rPr>
          <w:rFonts w:cs="Arial" w:hint="cs"/>
          <w:rtl/>
        </w:rPr>
        <w:t>,</w:t>
      </w:r>
      <w:r w:rsidRPr="00D2753E">
        <w:rPr>
          <w:rFonts w:cs="Arial"/>
          <w:rtl/>
        </w:rPr>
        <w:t xml:space="preserve"> כתב לה דין ודברים אין לי בנכסיך</w:t>
      </w:r>
      <w:r>
        <w:rPr>
          <w:rFonts w:cs="Arial" w:hint="cs"/>
          <w:rtl/>
        </w:rPr>
        <w:t>,</w:t>
      </w:r>
      <w:r w:rsidRPr="00D2753E">
        <w:rPr>
          <w:rFonts w:cs="Arial"/>
          <w:rtl/>
        </w:rPr>
        <w:t xml:space="preserve"> ונפלו לה לאחר מכאן</w:t>
      </w:r>
      <w:r>
        <w:rPr>
          <w:rFonts w:cs="Arial" w:hint="cs"/>
          <w:rtl/>
        </w:rPr>
        <w:t>,</w:t>
      </w:r>
      <w:r w:rsidRPr="00D2753E">
        <w:rPr>
          <w:rFonts w:cs="Arial"/>
          <w:rtl/>
        </w:rPr>
        <w:t xml:space="preserve"> מהו</w:t>
      </w:r>
      <w:r>
        <w:rPr>
          <w:rFonts w:cs="Arial" w:hint="cs"/>
          <w:rtl/>
        </w:rPr>
        <w:t>?</w:t>
      </w:r>
      <w:r w:rsidRPr="00D2753E">
        <w:rPr>
          <w:rFonts w:cs="Arial"/>
          <w:rtl/>
        </w:rPr>
        <w:t xml:space="preserve"> ויש אדם מתנה על דבר שאינו ברשותו</w:t>
      </w:r>
      <w:r>
        <w:rPr>
          <w:rFonts w:cs="Arial" w:hint="cs"/>
          <w:sz w:val="16"/>
          <w:szCs w:val="16"/>
          <w:rtl/>
        </w:rPr>
        <w:t xml:space="preserve"> {ע"כ ל' הירושלמי}</w:t>
      </w:r>
      <w:r>
        <w:rPr>
          <w:rFonts w:cs="Arial" w:hint="cs"/>
          <w:rtl/>
        </w:rPr>
        <w:t>.</w:t>
      </w:r>
      <w:r w:rsidRPr="00D2753E">
        <w:rPr>
          <w:rFonts w:cs="Arial"/>
          <w:rtl/>
        </w:rPr>
        <w:t xml:space="preserve"> ולא דמי לכותב לה ועודה ארוסה</w:t>
      </w:r>
      <w:r>
        <w:rPr>
          <w:rFonts w:cs="Arial" w:hint="cs"/>
          <w:rtl/>
        </w:rPr>
        <w:t>,</w:t>
      </w:r>
      <w:r w:rsidRPr="00D2753E">
        <w:rPr>
          <w:rFonts w:cs="Arial"/>
          <w:rtl/>
        </w:rPr>
        <w:t xml:space="preserve"> דהתם הנכסים כבר ביד האשה</w:t>
      </w:r>
      <w:r>
        <w:rPr>
          <w:rFonts w:cs="Arial" w:hint="cs"/>
          <w:rtl/>
        </w:rPr>
        <w:t>.</w:t>
      </w:r>
      <w:r w:rsidRPr="00D2753E">
        <w:rPr>
          <w:rFonts w:cs="Arial"/>
          <w:rtl/>
        </w:rPr>
        <w:t xml:space="preserve"> וקצת יש לדחות דירושלמי איירי דכתב לה אחר נישואין</w:t>
      </w:r>
      <w:r>
        <w:rPr>
          <w:rFonts w:cs="Arial" w:hint="cs"/>
          <w:rtl/>
        </w:rPr>
        <w:t>,</w:t>
      </w:r>
      <w:r w:rsidRPr="00D2753E">
        <w:rPr>
          <w:rFonts w:cs="Arial"/>
          <w:rtl/>
        </w:rPr>
        <w:t xml:space="preserve"> דכיון דידו כידה אין הסילוק מועיל לדבר שאינו ברשותו</w:t>
      </w:r>
      <w:r>
        <w:rPr>
          <w:rFonts w:cs="Arial" w:hint="cs"/>
          <w:rtl/>
        </w:rPr>
        <w:t>.</w:t>
      </w:r>
      <w:r w:rsidRPr="00D2753E">
        <w:rPr>
          <w:rFonts w:cs="Arial"/>
          <w:rtl/>
        </w:rPr>
        <w:t xml:space="preserve"> אבל בעודה ארוסה מהני סילוק אפילו לנכסים שנפלו לה משנישאת</w:t>
      </w:r>
      <w:r w:rsidRPr="00D2753E">
        <w:rPr>
          <w:rFonts w:cs="Arial" w:hint="cs"/>
          <w:rtl/>
        </w:rPr>
        <w:t>.</w:t>
      </w:r>
    </w:p>
  </w:footnote>
  <w:footnote w:id="2212">
    <w:p w14:paraId="11717980" w14:textId="77777777" w:rsidR="00DF1FC7" w:rsidRDefault="00DF1FC7" w:rsidP="002E5BAD">
      <w:pPr>
        <w:pStyle w:val="a5"/>
      </w:pPr>
      <w:r>
        <w:rPr>
          <w:rStyle w:val="a7"/>
        </w:rPr>
        <w:footnoteRef/>
      </w:r>
      <w:r>
        <w:rPr>
          <w:rtl/>
        </w:rPr>
        <w:t xml:space="preserve"> </w:t>
      </w:r>
      <w:r>
        <w:rPr>
          <w:rFonts w:hint="cs"/>
          <w:rtl/>
        </w:rPr>
        <w:t xml:space="preserve">וכתב הב"ש (סק"ז) </w:t>
      </w:r>
      <w:r>
        <w:rPr>
          <w:rFonts w:cs="Arial" w:hint="cs"/>
          <w:rtl/>
        </w:rPr>
        <w:t>ד</w:t>
      </w:r>
      <w:r w:rsidRPr="00A31A43">
        <w:rPr>
          <w:rFonts w:cs="Arial"/>
          <w:rtl/>
        </w:rPr>
        <w:t>כן משמע מתוס' ריש הכותב</w:t>
      </w:r>
      <w:r>
        <w:rPr>
          <w:rFonts w:cs="Arial" w:hint="cs"/>
          <w:rtl/>
        </w:rPr>
        <w:t>.</w:t>
      </w:r>
      <w:r w:rsidRPr="00A31A43">
        <w:rPr>
          <w:rFonts w:cs="Arial"/>
          <w:rtl/>
        </w:rPr>
        <w:t xml:space="preserve"> וכן דעת המ</w:t>
      </w:r>
      <w:r>
        <w:rPr>
          <w:rFonts w:cs="Arial" w:hint="cs"/>
          <w:rtl/>
        </w:rPr>
        <w:t>רדכי,</w:t>
      </w:r>
      <w:r w:rsidRPr="00A31A43">
        <w:rPr>
          <w:rFonts w:cs="Arial"/>
          <w:rtl/>
        </w:rPr>
        <w:t xml:space="preserve"> ומביא ראיה מדמהני סילוק מפירו</w:t>
      </w:r>
      <w:r>
        <w:rPr>
          <w:rFonts w:cs="Arial" w:hint="cs"/>
          <w:rtl/>
        </w:rPr>
        <w:t>ת</w:t>
      </w:r>
      <w:r w:rsidRPr="00A31A43">
        <w:rPr>
          <w:rFonts w:cs="Arial"/>
          <w:rtl/>
        </w:rPr>
        <w:t xml:space="preserve"> אף על גב עדיין לא בא לידו</w:t>
      </w:r>
      <w:r>
        <w:rPr>
          <w:rFonts w:cs="Arial" w:hint="cs"/>
          <w:rtl/>
        </w:rPr>
        <w:t>.</w:t>
      </w:r>
      <w:r w:rsidRPr="00A31A43">
        <w:rPr>
          <w:rFonts w:cs="Arial"/>
          <w:rtl/>
        </w:rPr>
        <w:t xml:space="preserve"> ואגודה והג</w:t>
      </w:r>
      <w:r>
        <w:rPr>
          <w:rFonts w:cs="Arial" w:hint="cs"/>
          <w:rtl/>
        </w:rPr>
        <w:t>ה"</w:t>
      </w:r>
      <w:r w:rsidRPr="00A31A43">
        <w:rPr>
          <w:rFonts w:cs="Arial"/>
          <w:rtl/>
        </w:rPr>
        <w:t>מ כמ"ש בסי' צ'</w:t>
      </w:r>
      <w:r>
        <w:rPr>
          <w:rFonts w:cs="Arial" w:hint="cs"/>
          <w:rtl/>
        </w:rPr>
        <w:t>.</w:t>
      </w:r>
      <w:r w:rsidRPr="00A31A43">
        <w:rPr>
          <w:rFonts w:cs="Arial"/>
          <w:rtl/>
        </w:rPr>
        <w:t xml:space="preserve"> וכן פסק בח"ה סי' ר"ט</w:t>
      </w:r>
      <w:r>
        <w:rPr>
          <w:rFonts w:cs="Arial" w:hint="cs"/>
          <w:rtl/>
        </w:rPr>
        <w:t>.</w:t>
      </w:r>
      <w:r w:rsidRPr="00A31A43">
        <w:rPr>
          <w:rFonts w:cs="Arial"/>
          <w:rtl/>
        </w:rPr>
        <w:t xml:space="preserve"> וכן עיקר</w:t>
      </w:r>
      <w:r>
        <w:rPr>
          <w:rFonts w:cs="Arial" w:hint="cs"/>
          <w:rtl/>
        </w:rPr>
        <w:t>.</w:t>
      </w:r>
    </w:p>
  </w:footnote>
  <w:footnote w:id="2213">
    <w:p w14:paraId="494ED5B4" w14:textId="77777777" w:rsidR="00DF1FC7" w:rsidRDefault="00DF1FC7" w:rsidP="002E5BAD">
      <w:pPr>
        <w:pStyle w:val="a5"/>
        <w:rPr>
          <w:rtl/>
        </w:rPr>
      </w:pPr>
      <w:r>
        <w:rPr>
          <w:rStyle w:val="a7"/>
        </w:rPr>
        <w:footnoteRef/>
      </w:r>
      <w:r>
        <w:rPr>
          <w:rtl/>
        </w:rPr>
        <w:t xml:space="preserve"> </w:t>
      </w:r>
      <w:r w:rsidRPr="00C86FA0">
        <w:rPr>
          <w:rFonts w:cs="Arial"/>
          <w:rtl/>
        </w:rPr>
        <w:t>כלומר דדין ודברים אין לי בנכסייך היינו מסתמא בנכסי מלוג אבל בנכסי צ"ב שהכניס' לו על אחריות שלו אין זה בכלל</w:t>
      </w:r>
      <w:r>
        <w:rPr>
          <w:rFonts w:hint="cs"/>
          <w:rtl/>
        </w:rPr>
        <w:t>, ח"מ (סק"ו). וכ"כ הב"ש (סק"ט).</w:t>
      </w:r>
    </w:p>
  </w:footnote>
  <w:footnote w:id="2214">
    <w:p w14:paraId="706928B0" w14:textId="77777777" w:rsidR="00DF1FC7" w:rsidRDefault="00DF1FC7" w:rsidP="002E5BAD">
      <w:pPr>
        <w:pStyle w:val="a5"/>
      </w:pPr>
      <w:r>
        <w:rPr>
          <w:rStyle w:val="a7"/>
        </w:rPr>
        <w:footnoteRef/>
      </w:r>
      <w:r>
        <w:rPr>
          <w:rtl/>
        </w:rPr>
        <w:t xml:space="preserve"> </w:t>
      </w:r>
      <w:r w:rsidRPr="00A31A43">
        <w:rPr>
          <w:rFonts w:cs="Arial"/>
          <w:rtl/>
        </w:rPr>
        <w:t>לכאורה קשה דלא משמע כן מרמב"ן והרא"ש והר"ן דהא תירצו קושי' הנ"ל מה מהני הסילוק לדינ' דמתני' וכתבו דמהני לנכסים שיפלו אחר הנישואין ובמתני' איירי בסילוק סתם ולא התנה בפירוש על הנכסים שיפלו אח"כ וכן מוכח מתשו' מהר"ם שהביאו המרדכי והג"א דס"ל פירות הוי כנכסים שיפלו אח"כ א"כ איך הקשה שם ואימ' מפירות סילק איך ס"ד דסילוק סתם מהני לפירות ואפשר לתרץ לדעת הרמב"ן והרא"ש דכתבו לדינ' דמתני' דמכירה קיים דלא סילק ואז מוכח דסילוק קאי על הנכסים שיפלו אחר כך והוי כפירש בהדיא משא"כ בעלמא מיהו מתשו' מהר"מ קשה</w:t>
      </w:r>
      <w:r>
        <w:rPr>
          <w:rFonts w:cs="Arial" w:hint="cs"/>
          <w:rtl/>
        </w:rPr>
        <w:t xml:space="preserve">, ב"ש (סק"י). </w:t>
      </w:r>
      <w:r>
        <w:rPr>
          <w:rFonts w:cs="Arial" w:hint="cs"/>
          <w:sz w:val="16"/>
          <w:szCs w:val="16"/>
          <w:rtl/>
        </w:rPr>
        <w:t>(</w:t>
      </w:r>
      <w:r w:rsidRPr="00662C2B">
        <w:rPr>
          <w:rFonts w:cs="Arial" w:hint="cs"/>
          <w:sz w:val="16"/>
          <w:szCs w:val="16"/>
          <w:rtl/>
        </w:rPr>
        <w:t xml:space="preserve">הרמ"א כתב בדרכ"מ </w:t>
      </w:r>
      <w:r w:rsidRPr="00662C2B">
        <w:rPr>
          <w:rFonts w:cs="Arial"/>
          <w:sz w:val="16"/>
          <w:szCs w:val="16"/>
          <w:rtl/>
        </w:rPr>
        <w:t>(</w:t>
      </w:r>
      <w:r w:rsidRPr="00662C2B">
        <w:rPr>
          <w:rFonts w:cs="Arial" w:hint="cs"/>
          <w:sz w:val="16"/>
          <w:szCs w:val="16"/>
          <w:rtl/>
        </w:rPr>
        <w:t xml:space="preserve">אות </w:t>
      </w:r>
      <w:r w:rsidRPr="00662C2B">
        <w:rPr>
          <w:rFonts w:cs="Arial"/>
          <w:sz w:val="16"/>
          <w:szCs w:val="16"/>
          <w:rtl/>
        </w:rPr>
        <w:t xml:space="preserve">ג) </w:t>
      </w:r>
      <w:r w:rsidRPr="00662C2B">
        <w:rPr>
          <w:rFonts w:cs="Arial" w:hint="cs"/>
          <w:sz w:val="16"/>
          <w:szCs w:val="16"/>
          <w:rtl/>
        </w:rPr>
        <w:t xml:space="preserve">וז"ל- </w:t>
      </w:r>
      <w:r w:rsidRPr="00662C2B">
        <w:rPr>
          <w:rFonts w:cs="Arial"/>
          <w:sz w:val="16"/>
          <w:szCs w:val="16"/>
          <w:rtl/>
        </w:rPr>
        <w:t>כתב מהרי"ק שורש י"ג מי שסילק עצמו מנכסי אשתו ואחר כך נפל לה ירושה ואמר הבעל שלא סילק עצמו מאותן הנכסים, ופסק דתולה בלשון השטר וכו' וכתב ומיהו אם האב כתב לבתו שטר ירושה וכתב לה אין לי בנכסיך אין לו כלום באותה ירושה וע"ש שהאריך בדינים אלו הרבה</w:t>
      </w:r>
      <w:r w:rsidRPr="00662C2B">
        <w:rPr>
          <w:rFonts w:hint="cs"/>
          <w:sz w:val="16"/>
          <w:szCs w:val="16"/>
          <w:rtl/>
        </w:rPr>
        <w:t>. עכ"ל. ומדברי מהרי"ק שם נראה שרק נתלה לרבותא בזה שכתוב בשטר 'כל נכסיך' וכדו', והחשיב את זה כמפרש בהדיא שדעתו על כל הנכסים וגם מה שיפול אח"כ בכלל. אבל מהרי"ק לא גילה דעתו מה הדין אם לא היה כתוב 'כל נכסיך'. ולא יהבנתי למה הכריח כן הרמ"א בדבריו. שהרי יותר קרוב לומר שמסכים מהרי"ק לדברי הרמב"ן ודעימה, ובתשובה שם נתלה לרבותא על מה שפירש הבעל בהדיא. וצל"ע)</w:t>
      </w:r>
      <w:r>
        <w:rPr>
          <w:rFonts w:hint="cs"/>
          <w:rtl/>
        </w:rPr>
        <w:t xml:space="preserve">. ומדברי רש"י (פג. ד"ה </w:t>
      </w:r>
      <w:r w:rsidRPr="00662C2B">
        <w:rPr>
          <w:rFonts w:cs="Arial"/>
          <w:rtl/>
        </w:rPr>
        <w:t>קנו מידו מהו</w:t>
      </w:r>
      <w:r>
        <w:rPr>
          <w:rFonts w:cs="Arial" w:hint="cs"/>
          <w:rtl/>
        </w:rPr>
        <w:t>) משמע כדברי הרמ"א כאן.</w:t>
      </w:r>
    </w:p>
  </w:footnote>
  <w:footnote w:id="2215">
    <w:p w14:paraId="0D4AE106" w14:textId="77777777" w:rsidR="00DF1FC7" w:rsidRDefault="00DF1FC7" w:rsidP="002E5BAD">
      <w:pPr>
        <w:pStyle w:val="a5"/>
        <w:rPr>
          <w:rtl/>
        </w:rPr>
      </w:pPr>
      <w:r>
        <w:rPr>
          <w:rStyle w:val="a7"/>
        </w:rPr>
        <w:footnoteRef/>
      </w:r>
      <w:r>
        <w:rPr>
          <w:rtl/>
        </w:rPr>
        <w:t xml:space="preserve"> </w:t>
      </w:r>
      <w:r w:rsidRPr="003009B8">
        <w:rPr>
          <w:rFonts w:cs="Arial"/>
          <w:rtl/>
        </w:rPr>
        <w:t>אברייתא דהאומר לחבירו דין ודברים אין לי על שדה זו קאי אבל אמתניתין לא מהניא קנין ליפות כחה דהא באמירה בלא לשון מתנה סגי לאסתלוקי אפילו מגופה של קרקע היכא דפריש כדקתני סיפא</w:t>
      </w:r>
      <w:r>
        <w:rPr>
          <w:rFonts w:hint="cs"/>
          <w:rtl/>
        </w:rPr>
        <w:t>..., רש"י.</w:t>
      </w:r>
      <w:r w:rsidRPr="00233EB8">
        <w:rPr>
          <w:rFonts w:cs="Arial"/>
          <w:rtl/>
        </w:rPr>
        <w:t xml:space="preserve"> </w:t>
      </w:r>
      <w:r w:rsidRPr="00F31ACB">
        <w:rPr>
          <w:rFonts w:cs="Arial"/>
          <w:rtl/>
        </w:rPr>
        <w:t>והתוספות (כתובות שם ד"ה קנו) הקשו על פירוש רש"י</w:t>
      </w:r>
      <w:r>
        <w:rPr>
          <w:rFonts w:cs="Arial" w:hint="cs"/>
          <w:rtl/>
        </w:rPr>
        <w:t>,</w:t>
      </w:r>
      <w:r w:rsidRPr="00F31ACB">
        <w:rPr>
          <w:rFonts w:cs="Arial"/>
          <w:rtl/>
        </w:rPr>
        <w:t xml:space="preserve"> וכתבו דנראה לר"י דאנשואה קאי דאמרינן דידו כידה אי מהני לה שום קנין. והרא"ש (שם) כתב על פירוש רש"י</w:t>
      </w:r>
      <w:r>
        <w:rPr>
          <w:rFonts w:cs="Arial" w:hint="cs"/>
          <w:rtl/>
        </w:rPr>
        <w:t>-</w:t>
      </w:r>
      <w:r w:rsidRPr="00F31ACB">
        <w:rPr>
          <w:rFonts w:cs="Arial"/>
          <w:rtl/>
        </w:rPr>
        <w:t xml:space="preserve"> וקשה מה הועיל שם קנין</w:t>
      </w:r>
      <w:r>
        <w:rPr>
          <w:rFonts w:cs="Arial" w:hint="cs"/>
          <w:rtl/>
        </w:rPr>
        <w:t>,</w:t>
      </w:r>
      <w:r w:rsidRPr="00F31ACB">
        <w:rPr>
          <w:rFonts w:cs="Arial"/>
          <w:rtl/>
        </w:rPr>
        <w:t xml:space="preserve"> למי הוא מקנה אותה</w:t>
      </w:r>
      <w:r>
        <w:rPr>
          <w:rFonts w:cs="Arial" w:hint="cs"/>
          <w:rtl/>
        </w:rPr>
        <w:t>.</w:t>
      </w:r>
      <w:r w:rsidRPr="00F31ACB">
        <w:rPr>
          <w:rFonts w:cs="Arial"/>
          <w:rtl/>
        </w:rPr>
        <w:t xml:space="preserve"> דדין ודברים אין לי בה אינו אלא לשון הפקר</w:t>
      </w:r>
      <w:r>
        <w:rPr>
          <w:rFonts w:cs="Arial" w:hint="cs"/>
          <w:rtl/>
        </w:rPr>
        <w:t>.</w:t>
      </w:r>
      <w:r w:rsidRPr="00F31ACB">
        <w:rPr>
          <w:rFonts w:cs="Arial"/>
          <w:rtl/>
        </w:rPr>
        <w:t xml:space="preserve"> הילכך נראה דאנשואה קאי דלא מהני דין ודברים משום דידו כידה</w:t>
      </w:r>
      <w:r>
        <w:rPr>
          <w:rFonts w:cs="Arial" w:hint="cs"/>
          <w:rtl/>
        </w:rPr>
        <w:t>,</w:t>
      </w:r>
      <w:r w:rsidRPr="00F31ACB">
        <w:rPr>
          <w:rFonts w:cs="Arial"/>
          <w:rtl/>
        </w:rPr>
        <w:t xml:space="preserve"> ומיבעי להו אי מהני קנין</w:t>
      </w:r>
      <w:r>
        <w:rPr>
          <w:rFonts w:cs="Arial" w:hint="cs"/>
          <w:rtl/>
        </w:rPr>
        <w:t>.</w:t>
      </w:r>
      <w:r w:rsidRPr="00F31ACB">
        <w:rPr>
          <w:rFonts w:cs="Arial"/>
          <w:rtl/>
        </w:rPr>
        <w:t xml:space="preserve"> ויש לקיים פירוש רש"י דכיון שאומר לחבירו שהוא שותף עמו והקנה לו</w:t>
      </w:r>
      <w:r>
        <w:rPr>
          <w:rFonts w:cs="Arial" w:hint="cs"/>
          <w:rtl/>
        </w:rPr>
        <w:t>,</w:t>
      </w:r>
      <w:r w:rsidRPr="00F31ACB">
        <w:rPr>
          <w:rFonts w:cs="Arial"/>
          <w:rtl/>
        </w:rPr>
        <w:t xml:space="preserve"> מוכח שהוא מקנה לו השדה</w:t>
      </w:r>
      <w:r>
        <w:rPr>
          <w:rFonts w:cs="Arial" w:hint="cs"/>
          <w:rtl/>
        </w:rPr>
        <w:t>.</w:t>
      </w:r>
      <w:r w:rsidRPr="00F31ACB">
        <w:rPr>
          <w:rFonts w:cs="Arial"/>
          <w:rtl/>
        </w:rPr>
        <w:t xml:space="preserve"> ורב אלפס (מא:) כתב קנו מידו של בעל ועודה ארוסה מהו</w:t>
      </w:r>
      <w:r>
        <w:rPr>
          <w:rFonts w:cs="Arial" w:hint="cs"/>
          <w:rtl/>
        </w:rPr>
        <w:t>.</w:t>
      </w:r>
      <w:r w:rsidRPr="00F31ACB">
        <w:rPr>
          <w:rFonts w:cs="Arial"/>
          <w:rtl/>
        </w:rPr>
        <w:t xml:space="preserve"> וקשה</w:t>
      </w:r>
      <w:r>
        <w:rPr>
          <w:rFonts w:cs="Arial" w:hint="cs"/>
          <w:rtl/>
        </w:rPr>
        <w:t>,</w:t>
      </w:r>
      <w:r w:rsidRPr="00F31ACB">
        <w:rPr>
          <w:rFonts w:cs="Arial"/>
          <w:rtl/>
        </w:rPr>
        <w:t xml:space="preserve"> דהא אפילו באמירה מועיל</w:t>
      </w:r>
      <w:r>
        <w:rPr>
          <w:rFonts w:cs="Arial" w:hint="cs"/>
          <w:rtl/>
        </w:rPr>
        <w:t>.</w:t>
      </w:r>
      <w:r w:rsidRPr="00F31ACB">
        <w:rPr>
          <w:rFonts w:cs="Arial"/>
          <w:rtl/>
        </w:rPr>
        <w:t xml:space="preserve"> וכוונתו שאם אמר דין ודברים אין לי בנכסיך וקנו מידו אם נסתלק גם מפירות וירושה</w:t>
      </w:r>
      <w:r>
        <w:rPr>
          <w:rFonts w:cs="Arial" w:hint="cs"/>
          <w:rtl/>
        </w:rPr>
        <w:t>.</w:t>
      </w:r>
      <w:r w:rsidRPr="00F31ACB">
        <w:rPr>
          <w:rFonts w:cs="Arial"/>
          <w:rtl/>
        </w:rPr>
        <w:t xml:space="preserve"> וקשה</w:t>
      </w:r>
      <w:r>
        <w:rPr>
          <w:rFonts w:cs="Arial" w:hint="cs"/>
          <w:rtl/>
        </w:rPr>
        <w:t>,</w:t>
      </w:r>
      <w:r w:rsidRPr="00F31ACB">
        <w:rPr>
          <w:rFonts w:cs="Arial"/>
          <w:rtl/>
        </w:rPr>
        <w:t xml:space="preserve"> כיון דטעמא דלא נסתלק משום דיד בעל השטר על התחתונה</w:t>
      </w:r>
      <w:r>
        <w:rPr>
          <w:rFonts w:cs="Arial" w:hint="cs"/>
          <w:rtl/>
        </w:rPr>
        <w:t>,</w:t>
      </w:r>
      <w:r w:rsidRPr="00F31ACB">
        <w:rPr>
          <w:rFonts w:cs="Arial"/>
          <w:rtl/>
        </w:rPr>
        <w:t xml:space="preserve"> או מדקדוק הלשון דבנכסייך ולא בפירות בנכסייך ולא לאחר מיתה לרב אשי</w:t>
      </w:r>
      <w:r>
        <w:rPr>
          <w:rFonts w:cs="Arial" w:hint="cs"/>
          <w:rtl/>
        </w:rPr>
        <w:t>,</w:t>
      </w:r>
      <w:r w:rsidRPr="00F31ACB">
        <w:rPr>
          <w:rFonts w:cs="Arial"/>
          <w:rtl/>
        </w:rPr>
        <w:t xml:space="preserve"> מאי מהני קנין לדבר שאינו שלו ממשמעות הלשון</w:t>
      </w:r>
      <w:r>
        <w:rPr>
          <w:rFonts w:cs="Arial" w:hint="cs"/>
          <w:rtl/>
        </w:rPr>
        <w:t>.</w:t>
      </w:r>
      <w:r w:rsidRPr="00F31ACB">
        <w:rPr>
          <w:rFonts w:cs="Arial"/>
          <w:rtl/>
        </w:rPr>
        <w:t xml:space="preserve"> ופירוש רש"י עיקר</w:t>
      </w:r>
      <w:r>
        <w:rPr>
          <w:rFonts w:cs="Arial" w:hint="cs"/>
          <w:rtl/>
        </w:rPr>
        <w:t>.</w:t>
      </w:r>
      <w:r w:rsidRPr="00F31ACB">
        <w:rPr>
          <w:rFonts w:cs="Arial"/>
          <w:rtl/>
        </w:rPr>
        <w:t xml:space="preserve"> עכ"ל</w:t>
      </w:r>
      <w:r>
        <w:rPr>
          <w:rFonts w:hint="cs"/>
          <w:rtl/>
        </w:rPr>
        <w:t>.</w:t>
      </w:r>
    </w:p>
  </w:footnote>
  <w:footnote w:id="2216">
    <w:p w14:paraId="0CA76B0A" w14:textId="77777777" w:rsidR="00DF1FC7" w:rsidRDefault="00DF1FC7" w:rsidP="002E5BAD">
      <w:pPr>
        <w:pStyle w:val="a5"/>
        <w:rPr>
          <w:rtl/>
        </w:rPr>
      </w:pPr>
      <w:r>
        <w:rPr>
          <w:rStyle w:val="a7"/>
        </w:rPr>
        <w:footnoteRef/>
      </w:r>
      <w:r>
        <w:rPr>
          <w:rtl/>
        </w:rPr>
        <w:t xml:space="preserve"> </w:t>
      </w:r>
      <w:r w:rsidRPr="007E16F2">
        <w:rPr>
          <w:rFonts w:cs="Arial"/>
          <w:rtl/>
        </w:rPr>
        <w:t>מי אמרי' לא הקנה בחליפין הללו כלום ולא אמר עליה אלא לשון דין ודברים</w:t>
      </w:r>
      <w:r>
        <w:rPr>
          <w:rFonts w:cs="Arial" w:hint="cs"/>
          <w:rtl/>
        </w:rPr>
        <w:t>.</w:t>
      </w:r>
      <w:r w:rsidRPr="007E16F2">
        <w:rPr>
          <w:rFonts w:cs="Arial"/>
          <w:rtl/>
        </w:rPr>
        <w:t xml:space="preserve"> או דלמא אין חליפין באים אלא לדבר שיש בו ממש שזה קונה את הסודר ומקנה לו חפץ המכר או המתנה</w:t>
      </w:r>
      <w:r>
        <w:rPr>
          <w:rFonts w:cs="Arial" w:hint="cs"/>
          <w:rtl/>
        </w:rPr>
        <w:t>,</w:t>
      </w:r>
      <w:r w:rsidRPr="007E16F2">
        <w:rPr>
          <w:rFonts w:cs="Arial"/>
          <w:rtl/>
        </w:rPr>
        <w:t xml:space="preserve"> ועל גופה של קרקע קנו מידו ומתנה גמורה היא</w:t>
      </w:r>
      <w:r>
        <w:rPr>
          <w:rFonts w:hint="cs"/>
          <w:rtl/>
        </w:rPr>
        <w:t>, רש"י.</w:t>
      </w:r>
    </w:p>
  </w:footnote>
  <w:footnote w:id="2217">
    <w:p w14:paraId="0DC21988" w14:textId="77777777" w:rsidR="00DF1FC7" w:rsidRDefault="00DF1FC7" w:rsidP="002E5BAD">
      <w:pPr>
        <w:pStyle w:val="a5"/>
        <w:rPr>
          <w:rtl/>
        </w:rPr>
      </w:pPr>
      <w:r>
        <w:rPr>
          <w:rStyle w:val="a7"/>
        </w:rPr>
        <w:footnoteRef/>
      </w:r>
      <w:r>
        <w:rPr>
          <w:rtl/>
        </w:rPr>
        <w:t xml:space="preserve"> </w:t>
      </w:r>
      <w:r w:rsidRPr="007E16F2">
        <w:rPr>
          <w:rFonts w:cs="Arial"/>
          <w:rtl/>
        </w:rPr>
        <w:t>מה שפירש על הקנין קנו מידו והוא לשון דין ודברים ואינו כלום</w:t>
      </w:r>
      <w:r>
        <w:rPr>
          <w:rFonts w:hint="cs"/>
          <w:rtl/>
        </w:rPr>
        <w:t>, רש"י.</w:t>
      </w:r>
    </w:p>
  </w:footnote>
  <w:footnote w:id="2218">
    <w:p w14:paraId="6A5A210A" w14:textId="77777777" w:rsidR="00DF1FC7" w:rsidRDefault="00DF1FC7" w:rsidP="002E5BAD">
      <w:pPr>
        <w:pStyle w:val="a5"/>
        <w:rPr>
          <w:rtl/>
        </w:rPr>
      </w:pPr>
      <w:r>
        <w:rPr>
          <w:rStyle w:val="a7"/>
        </w:rPr>
        <w:footnoteRef/>
      </w:r>
      <w:r>
        <w:rPr>
          <w:rtl/>
        </w:rPr>
        <w:t xml:space="preserve"> </w:t>
      </w:r>
      <w:r w:rsidRPr="00F31ACB">
        <w:rPr>
          <w:rFonts w:cs="Arial"/>
          <w:rtl/>
        </w:rPr>
        <w:t>וטעמו מדגרסינן בפרק הכותב (פג.) איבעיא להו קנו מידו מהו ופי' הרי"ף (מא:) דאמתניתין דהכותב לאשתו דין ודברים אין לי בנכסיך קאי</w:t>
      </w:r>
      <w:r>
        <w:rPr>
          <w:rFonts w:cs="Arial" w:hint="cs"/>
          <w:rtl/>
        </w:rPr>
        <w:t>.</w:t>
      </w:r>
      <w:r w:rsidRPr="00F31ACB">
        <w:rPr>
          <w:rFonts w:cs="Arial"/>
          <w:rtl/>
        </w:rPr>
        <w:t xml:space="preserve"> ומיבעיא ליה אי קנו מידו של בעל בעודה ארוסה</w:t>
      </w:r>
      <w:r>
        <w:rPr>
          <w:rFonts w:cs="Arial" w:hint="cs"/>
          <w:rtl/>
        </w:rPr>
        <w:t>,</w:t>
      </w:r>
      <w:r w:rsidRPr="00F31ACB">
        <w:rPr>
          <w:rFonts w:cs="Arial"/>
          <w:rtl/>
        </w:rPr>
        <w:t xml:space="preserve"> אי אמרינן דקנין לטפויי אתי</w:t>
      </w:r>
      <w:r>
        <w:rPr>
          <w:rFonts w:cs="Arial" w:hint="cs"/>
          <w:rtl/>
        </w:rPr>
        <w:t>,</w:t>
      </w:r>
      <w:r w:rsidRPr="00F31ACB">
        <w:rPr>
          <w:rFonts w:cs="Arial"/>
          <w:rtl/>
        </w:rPr>
        <w:t xml:space="preserve"> ומגופה של קרקע קנו מידו שלא יהא לו זכות בקרקע כלל</w:t>
      </w:r>
      <w:r>
        <w:rPr>
          <w:rFonts w:cs="Arial" w:hint="cs"/>
          <w:rtl/>
        </w:rPr>
        <w:t>.</w:t>
      </w:r>
      <w:r w:rsidRPr="00F31ACB">
        <w:rPr>
          <w:rFonts w:cs="Arial"/>
          <w:rtl/>
        </w:rPr>
        <w:t xml:space="preserve"> וכיון שכן אינו אוכל פירות</w:t>
      </w:r>
      <w:r>
        <w:rPr>
          <w:rFonts w:cs="Arial" w:hint="cs"/>
          <w:rtl/>
        </w:rPr>
        <w:t>.</w:t>
      </w:r>
      <w:r w:rsidRPr="00F31ACB">
        <w:rPr>
          <w:rFonts w:cs="Arial"/>
          <w:rtl/>
        </w:rPr>
        <w:t xml:space="preserve"> ואסיקנא דמגופה של קרקע קנו מידו ואפילו בעורר</w:t>
      </w:r>
      <w:r>
        <w:rPr>
          <w:rFonts w:cs="Arial" w:hint="cs"/>
          <w:rtl/>
        </w:rPr>
        <w:t>.</w:t>
      </w:r>
      <w:r w:rsidRPr="00F31ACB">
        <w:rPr>
          <w:rFonts w:cs="Arial"/>
          <w:rtl/>
        </w:rPr>
        <w:t xml:space="preserve"> ורש"י (פג. ד"ה קנו מידו) פי' בענין אחר</w:t>
      </w:r>
      <w:r>
        <w:rPr>
          <w:rFonts w:cs="Arial" w:hint="cs"/>
          <w:rtl/>
        </w:rPr>
        <w:t>.</w:t>
      </w:r>
      <w:r w:rsidRPr="00F31ACB">
        <w:rPr>
          <w:rFonts w:cs="Arial"/>
          <w:rtl/>
        </w:rPr>
        <w:t xml:space="preserve"> והרא"ש (סי' א) הקשה על דברי הרי"ף וכתב שפירוש רש"י עיקר</w:t>
      </w:r>
      <w:r>
        <w:rPr>
          <w:rFonts w:cs="Arial" w:hint="cs"/>
          <w:rtl/>
        </w:rPr>
        <w:t xml:space="preserve">. </w:t>
      </w:r>
      <w:r w:rsidRPr="00F31ACB">
        <w:rPr>
          <w:rFonts w:cs="Arial"/>
          <w:rtl/>
        </w:rPr>
        <w:t>והראב"ד (פכ"ג מאישות ה"ב) כתב על דברי הרמב"ם כל מה שכתב כאן הבל ורעות רוח ותמה עליו הרב המגיד (שם ה"א)</w:t>
      </w:r>
      <w:r>
        <w:rPr>
          <w:rFonts w:cs="Arial" w:hint="cs"/>
          <w:rtl/>
        </w:rPr>
        <w:t>, ב"י.</w:t>
      </w:r>
    </w:p>
  </w:footnote>
  <w:footnote w:id="2219">
    <w:p w14:paraId="1EB26409" w14:textId="77777777" w:rsidR="00DF1FC7" w:rsidRDefault="00DF1FC7" w:rsidP="002E5BAD">
      <w:pPr>
        <w:pStyle w:val="a5"/>
        <w:rPr>
          <w:rtl/>
        </w:rPr>
      </w:pPr>
      <w:r>
        <w:rPr>
          <w:rStyle w:val="a7"/>
        </w:rPr>
        <w:footnoteRef/>
      </w:r>
      <w:r>
        <w:rPr>
          <w:rtl/>
        </w:rPr>
        <w:t xml:space="preserve"> </w:t>
      </w:r>
      <w:r>
        <w:rPr>
          <w:rFonts w:hint="cs"/>
          <w:rtl/>
        </w:rPr>
        <w:t xml:space="preserve">מהב"י משמע שדברי הרא"ש תלויים בפירוש רש"י. וא"כ צריך לדעת שהר"ן (מא: ד"ה קנו מידו) כתב שגם לפירוש רש"י מהני קניין על מנת להסתלק גם מהפירות </w:t>
      </w:r>
      <w:r w:rsidRPr="00A857C8">
        <w:rPr>
          <w:rFonts w:hint="cs"/>
          <w:sz w:val="16"/>
          <w:szCs w:val="16"/>
          <w:rtl/>
        </w:rPr>
        <w:t xml:space="preserve">(וז"ל- </w:t>
      </w:r>
      <w:r w:rsidRPr="00A857C8">
        <w:rPr>
          <w:rFonts w:cs="Arial"/>
          <w:sz w:val="16"/>
          <w:szCs w:val="16"/>
          <w:rtl/>
        </w:rPr>
        <w:t xml:space="preserve">קנו מידו מהו. פי' רש"י ז"ל דאברייתא דהאומר לחבירו דין ודברים אין לי על שדה זו קאי ומיבעיא לן אי קנו מידו אי אמרינן דמדין ודברים קנו מיניה או מגופה של קרקע קנו מידו דאין חליפין באין אלא בדבר שיש בו ממש שזה קונה את הסודר ומקנה לו את חפץ המכר או המתנה ועל גופה של קרקע קנו מידו ואסיקנא דמגופה של קרקע קנו מידו </w:t>
      </w:r>
      <w:r w:rsidRPr="00A857C8">
        <w:rPr>
          <w:rFonts w:cs="Arial"/>
          <w:sz w:val="16"/>
          <w:szCs w:val="16"/>
          <w:u w:val="single"/>
          <w:rtl/>
        </w:rPr>
        <w:t>והוא הדין בנשואה דמהני לפירות אם קנו מידו</w:t>
      </w:r>
      <w:r w:rsidRPr="00A857C8">
        <w:rPr>
          <w:rFonts w:cs="Arial" w:hint="cs"/>
          <w:sz w:val="16"/>
          <w:szCs w:val="16"/>
          <w:rtl/>
        </w:rPr>
        <w:t>.</w:t>
      </w:r>
      <w:r w:rsidRPr="00A857C8">
        <w:rPr>
          <w:rFonts w:cs="Arial"/>
          <w:sz w:val="16"/>
          <w:szCs w:val="16"/>
          <w:rtl/>
        </w:rPr>
        <w:t xml:space="preserve"> אבל הרי"ף ז"ל פירש דאמתני' קאי דקתני הכותב לאשתו דין ודברים אין לי בנכסיך דאוכל פירות ואם מתה יורשה וקא מיבעיא לן אם קנו מידו אי אמרי' דקנין לטפויי קא אתי ומגופה של קרקע קנו מידו שלא יהא לו זכות בקרקע כלל וכיון שכן אינו אוכל פירות</w:t>
      </w:r>
      <w:r w:rsidRPr="00A857C8">
        <w:rPr>
          <w:rFonts w:cs="Arial" w:hint="cs"/>
          <w:sz w:val="16"/>
          <w:szCs w:val="16"/>
          <w:rtl/>
        </w:rPr>
        <w:t>.</w:t>
      </w:r>
      <w:r w:rsidRPr="00A857C8">
        <w:rPr>
          <w:rFonts w:cs="Arial"/>
          <w:sz w:val="16"/>
          <w:szCs w:val="16"/>
          <w:rtl/>
        </w:rPr>
        <w:t xml:space="preserve"> ופירוש רש"י ז"ל מחוור יותר</w:t>
      </w:r>
      <w:r w:rsidRPr="00A857C8">
        <w:rPr>
          <w:rFonts w:cs="Arial" w:hint="cs"/>
          <w:sz w:val="16"/>
          <w:szCs w:val="16"/>
          <w:rtl/>
        </w:rPr>
        <w:t>.</w:t>
      </w:r>
      <w:r w:rsidRPr="00A857C8">
        <w:rPr>
          <w:rFonts w:cs="Arial"/>
          <w:sz w:val="16"/>
          <w:szCs w:val="16"/>
          <w:rtl/>
        </w:rPr>
        <w:t xml:space="preserve"> ומ"מ אף לפירוש הרי"ף ז"ל באומר לחבירו דין ודברים אין לי על שדה זו וקנו מידו מהני</w:t>
      </w:r>
      <w:r w:rsidRPr="00A857C8">
        <w:rPr>
          <w:rFonts w:cs="Arial" w:hint="cs"/>
          <w:sz w:val="16"/>
          <w:szCs w:val="16"/>
          <w:rtl/>
        </w:rPr>
        <w:t>.</w:t>
      </w:r>
      <w:r w:rsidRPr="00A857C8">
        <w:rPr>
          <w:rFonts w:cs="Arial"/>
          <w:sz w:val="16"/>
          <w:szCs w:val="16"/>
          <w:rtl/>
        </w:rPr>
        <w:t xml:space="preserve"> והכי איתא בהדיא בפ' ח"ה (דף מג א) בההיא דהאומנין אין להן חזקה</w:t>
      </w:r>
      <w:r w:rsidRPr="00A857C8">
        <w:rPr>
          <w:rFonts w:cs="Arial" w:hint="cs"/>
          <w:sz w:val="16"/>
          <w:szCs w:val="16"/>
          <w:rtl/>
        </w:rPr>
        <w:t>)</w:t>
      </w:r>
      <w:r>
        <w:rPr>
          <w:rFonts w:cs="Arial" w:hint="cs"/>
          <w:rtl/>
        </w:rPr>
        <w:t>.</w:t>
      </w:r>
      <w:r>
        <w:rPr>
          <w:rFonts w:hint="cs"/>
          <w:rtl/>
        </w:rPr>
        <w:t xml:space="preserve"> </w:t>
      </w:r>
      <w:r w:rsidRPr="00A857C8">
        <w:rPr>
          <w:rFonts w:hint="cs"/>
          <w:color w:val="FF0000"/>
          <w:rtl/>
        </w:rPr>
        <w:t>וצל"ע ליישב הסתירה.</w:t>
      </w:r>
    </w:p>
  </w:footnote>
  <w:footnote w:id="2220">
    <w:p w14:paraId="3CB47A39" w14:textId="77777777" w:rsidR="00DF1FC7" w:rsidRDefault="00DF1FC7" w:rsidP="002E5BAD">
      <w:pPr>
        <w:pStyle w:val="a5"/>
        <w:rPr>
          <w:rtl/>
        </w:rPr>
      </w:pPr>
      <w:r>
        <w:rPr>
          <w:rStyle w:val="a7"/>
        </w:rPr>
        <w:footnoteRef/>
      </w:r>
      <w:r>
        <w:rPr>
          <w:rtl/>
        </w:rPr>
        <w:t xml:space="preserve"> </w:t>
      </w:r>
      <w:r w:rsidRPr="0057219F">
        <w:rPr>
          <w:rFonts w:cs="Arial"/>
          <w:rtl/>
        </w:rPr>
        <w:t xml:space="preserve">משמע </w:t>
      </w:r>
      <w:r>
        <w:rPr>
          <w:rFonts w:cs="Arial" w:hint="cs"/>
          <w:rtl/>
        </w:rPr>
        <w:t>ד</w:t>
      </w:r>
      <w:r w:rsidRPr="0057219F">
        <w:rPr>
          <w:rFonts w:cs="Arial"/>
          <w:rtl/>
        </w:rPr>
        <w:t>אפילו מפירי פירות סילק</w:t>
      </w:r>
      <w:r>
        <w:rPr>
          <w:rFonts w:cs="Arial" w:hint="cs"/>
          <w:rtl/>
        </w:rPr>
        <w:t>.</w:t>
      </w:r>
      <w:r w:rsidRPr="0057219F">
        <w:rPr>
          <w:rFonts w:cs="Arial"/>
          <w:rtl/>
        </w:rPr>
        <w:t xml:space="preserve"> והרא"ש כתב </w:t>
      </w:r>
      <w:r>
        <w:rPr>
          <w:rFonts w:cs="Arial" w:hint="cs"/>
          <w:sz w:val="16"/>
          <w:szCs w:val="16"/>
          <w:rtl/>
        </w:rPr>
        <w:t xml:space="preserve">{בפירוש דברי הרי"ף} </w:t>
      </w:r>
      <w:r>
        <w:rPr>
          <w:rFonts w:cs="Arial" w:hint="cs"/>
          <w:rtl/>
        </w:rPr>
        <w:t>ד</w:t>
      </w:r>
      <w:r w:rsidRPr="0057219F">
        <w:rPr>
          <w:rFonts w:cs="Arial"/>
          <w:rtl/>
        </w:rPr>
        <w:t>אפילו מירוש</w:t>
      </w:r>
      <w:r>
        <w:rPr>
          <w:rFonts w:cs="Arial" w:hint="cs"/>
          <w:rtl/>
        </w:rPr>
        <w:t>ה</w:t>
      </w:r>
      <w:r w:rsidRPr="0057219F">
        <w:rPr>
          <w:rFonts w:cs="Arial"/>
          <w:rtl/>
        </w:rPr>
        <w:t xml:space="preserve"> סילק כיון דא"צ קנין ועשה קנין אמרי</w:t>
      </w:r>
      <w:r>
        <w:rPr>
          <w:rFonts w:cs="Arial" w:hint="cs"/>
          <w:rtl/>
        </w:rPr>
        <w:t>נן</w:t>
      </w:r>
      <w:r w:rsidRPr="0057219F">
        <w:rPr>
          <w:rFonts w:cs="Arial"/>
          <w:rtl/>
        </w:rPr>
        <w:t xml:space="preserve"> דסילק מגוף הקרקע</w:t>
      </w:r>
      <w:r>
        <w:rPr>
          <w:rFonts w:cs="Arial" w:hint="cs"/>
          <w:rtl/>
        </w:rPr>
        <w:t>.</w:t>
      </w:r>
      <w:r w:rsidRPr="0057219F">
        <w:rPr>
          <w:rFonts w:cs="Arial"/>
          <w:rtl/>
        </w:rPr>
        <w:t xml:space="preserve"> מיהו מרמב"ם והר"ן והטור משמע דלא סילק אלא מפירות</w:t>
      </w:r>
      <w:r>
        <w:rPr>
          <w:rFonts w:cs="Arial" w:hint="cs"/>
          <w:rtl/>
        </w:rPr>
        <w:t>,</w:t>
      </w:r>
      <w:r w:rsidRPr="0057219F">
        <w:rPr>
          <w:rFonts w:hint="cs"/>
          <w:rtl/>
        </w:rPr>
        <w:t xml:space="preserve"> </w:t>
      </w:r>
      <w:r>
        <w:rPr>
          <w:rFonts w:hint="cs"/>
          <w:rtl/>
        </w:rPr>
        <w:t>ב"ש (סקי"א)</w:t>
      </w:r>
      <w:r>
        <w:rPr>
          <w:rFonts w:cs="Arial" w:hint="cs"/>
          <w:rtl/>
        </w:rPr>
        <w:t>.</w:t>
      </w:r>
    </w:p>
  </w:footnote>
  <w:footnote w:id="2221">
    <w:p w14:paraId="72C1A516" w14:textId="77777777" w:rsidR="00DF1FC7" w:rsidRDefault="00DF1FC7" w:rsidP="002E5BAD">
      <w:pPr>
        <w:pStyle w:val="a5"/>
        <w:rPr>
          <w:rtl/>
        </w:rPr>
      </w:pPr>
      <w:r>
        <w:rPr>
          <w:rStyle w:val="a7"/>
        </w:rPr>
        <w:footnoteRef/>
      </w:r>
      <w:r>
        <w:rPr>
          <w:rtl/>
        </w:rPr>
        <w:t xml:space="preserve"> </w:t>
      </w:r>
      <w:r w:rsidRPr="00F47BAE">
        <w:rPr>
          <w:rFonts w:cs="Arial"/>
          <w:rtl/>
        </w:rPr>
        <w:t>ומכרה קיים דהא אמר דין ודברים אין לי בנכסייך אלא כשאומר דין ודברים אין לי בפירות אז מכרה בטל כ"כ תוס' דף נ' בפ' נ"ש וע' ב"י וב"ח מיהו בתוס' ב"ק דף פ"ה ע"ב אית' אף בכותב דין ודברים אין לי בנכסייך ובפירות מכרה בטל וע"ש בח"ש ובחדושי הלכות ואפשר תוס' ב"ק ס"ל פירות הוי דשב"ל ולא מהני סילוק אא"כ אמר מנכסיך ובפירות אז מהני והוי כאלו מקני הקרקע לפירות מ"ה אמרי' לענין מכירה לא סילק ותוס' כתובות ס"ל כרוב הפוסקים דסילוק מועיל לפירות א"כ למה פרט מנכסייך אע"כ דפרט לענין מכירה</w:t>
      </w:r>
      <w:r>
        <w:rPr>
          <w:rFonts w:hint="cs"/>
          <w:rtl/>
        </w:rPr>
        <w:t>, ב"ש (סקי"ב).</w:t>
      </w:r>
    </w:p>
  </w:footnote>
  <w:footnote w:id="2222">
    <w:p w14:paraId="09E728AB" w14:textId="77777777" w:rsidR="00DF1FC7" w:rsidRDefault="00DF1FC7" w:rsidP="002E5BAD">
      <w:pPr>
        <w:pStyle w:val="a5"/>
        <w:rPr>
          <w:rtl/>
        </w:rPr>
      </w:pPr>
      <w:r>
        <w:rPr>
          <w:rStyle w:val="a7"/>
        </w:rPr>
        <w:footnoteRef/>
      </w:r>
      <w:r>
        <w:rPr>
          <w:rtl/>
        </w:rPr>
        <w:t xml:space="preserve"> </w:t>
      </w:r>
      <w:r w:rsidRPr="00F0596B">
        <w:rPr>
          <w:rFonts w:cs="Arial"/>
          <w:rtl/>
        </w:rPr>
        <w:t>ואם מכרה הקרקע השניה או הפירות הרשות בידה דלא עדיפי הפירות מגוף הקרקע שאם מכרה ונתנה קיים</w:t>
      </w:r>
      <w:r>
        <w:rPr>
          <w:rFonts w:hint="cs"/>
          <w:rtl/>
        </w:rPr>
        <w:t xml:space="preserve">, ח"מ (סק"ט). אך הב"ש (סקי"ג) כתב </w:t>
      </w:r>
      <w:r>
        <w:rPr>
          <w:rFonts w:cs="Arial" w:hint="cs"/>
          <w:rtl/>
        </w:rPr>
        <w:t>ד</w:t>
      </w:r>
      <w:r w:rsidRPr="00F47BAE">
        <w:rPr>
          <w:rFonts w:cs="Arial"/>
          <w:rtl/>
        </w:rPr>
        <w:t>א</w:t>
      </w:r>
      <w:r>
        <w:rPr>
          <w:rFonts w:cs="Arial" w:hint="cs"/>
          <w:rtl/>
        </w:rPr>
        <w:t xml:space="preserve">ינו </w:t>
      </w:r>
      <w:r w:rsidRPr="00F47BAE">
        <w:rPr>
          <w:rFonts w:cs="Arial"/>
          <w:rtl/>
        </w:rPr>
        <w:t>נ</w:t>
      </w:r>
      <w:r>
        <w:rPr>
          <w:rFonts w:cs="Arial" w:hint="cs"/>
          <w:rtl/>
        </w:rPr>
        <w:t>ראה,</w:t>
      </w:r>
      <w:r w:rsidRPr="00F47BAE">
        <w:rPr>
          <w:rFonts w:cs="Arial"/>
          <w:rtl/>
        </w:rPr>
        <w:t xml:space="preserve"> ד</w:t>
      </w:r>
      <w:r>
        <w:rPr>
          <w:rFonts w:cs="Arial" w:hint="cs"/>
          <w:rtl/>
        </w:rPr>
        <w:t xml:space="preserve">הרי </w:t>
      </w:r>
      <w:r w:rsidRPr="00F47BAE">
        <w:rPr>
          <w:rFonts w:cs="Arial"/>
          <w:rtl/>
        </w:rPr>
        <w:t>לא סילק את עצמו אלא מקרקע הראשונה אבל הפירות אין בידה למכור אלא הוא מוכר ולוקח קרקע כמ"ש בתוס' דא"י למכור קרקע שניה מכ"ש דא"י למכור הפירות דהא פירות מקרקע שניה שלו הם וכן הוא בסילוק פירי פירות אא"כ שסילק עד עולם אז מה שלקחה בעד הפירות יכולה למכור אלא אם לא מכרה יורש אותה אא"כ התנה על הירושה כנ"ל</w:t>
      </w:r>
      <w:r>
        <w:rPr>
          <w:rFonts w:hint="cs"/>
          <w:rtl/>
        </w:rPr>
        <w:t>.</w:t>
      </w:r>
    </w:p>
  </w:footnote>
  <w:footnote w:id="2223">
    <w:p w14:paraId="040FDC5A" w14:textId="77777777" w:rsidR="00DF1FC7" w:rsidRDefault="00DF1FC7" w:rsidP="002E5BAD">
      <w:pPr>
        <w:pStyle w:val="a5"/>
        <w:rPr>
          <w:rtl/>
        </w:rPr>
      </w:pPr>
      <w:r>
        <w:rPr>
          <w:rStyle w:val="a7"/>
        </w:rPr>
        <w:footnoteRef/>
      </w:r>
      <w:r>
        <w:rPr>
          <w:rtl/>
        </w:rPr>
        <w:t xml:space="preserve"> </w:t>
      </w:r>
      <w:r w:rsidRPr="00F0596B">
        <w:rPr>
          <w:rFonts w:cs="Arial"/>
          <w:rtl/>
        </w:rPr>
        <w:t>דהרשות בידה לאכול הפירות או ליתנם במתנה אבל אם רוצה היא להחזיק הפירות אז כופין אותה למכור כדי שיהנה הוא מפירותיהן</w:t>
      </w:r>
      <w:r>
        <w:rPr>
          <w:rFonts w:hint="cs"/>
          <w:rtl/>
        </w:rPr>
        <w:t>, ח"מ (סק"י).</w:t>
      </w:r>
    </w:p>
  </w:footnote>
  <w:footnote w:id="2224">
    <w:p w14:paraId="6F850CF5" w14:textId="77777777" w:rsidR="00DF1FC7" w:rsidRDefault="00DF1FC7" w:rsidP="002E5BAD">
      <w:pPr>
        <w:pStyle w:val="a5"/>
        <w:rPr>
          <w:rtl/>
        </w:rPr>
      </w:pPr>
      <w:r>
        <w:rPr>
          <w:rStyle w:val="a7"/>
        </w:rPr>
        <w:footnoteRef/>
      </w:r>
      <w:r>
        <w:rPr>
          <w:rtl/>
        </w:rPr>
        <w:t xml:space="preserve"> </w:t>
      </w:r>
      <w:r w:rsidRPr="00904FA2">
        <w:rPr>
          <w:rFonts w:cs="Arial"/>
          <w:rtl/>
        </w:rPr>
        <w:t>גם בכאן לפי דעת הרא"ש אין כופין אותה למכור אם לא בדשיירה וכנ"ל בסעיף שלפני זה</w:t>
      </w:r>
      <w:r>
        <w:rPr>
          <w:rFonts w:hint="cs"/>
          <w:rtl/>
        </w:rPr>
        <w:t>, ח"מ (סקי"א).</w:t>
      </w:r>
    </w:p>
  </w:footnote>
  <w:footnote w:id="2225">
    <w:p w14:paraId="5E4F0FE8" w14:textId="77777777" w:rsidR="00DF1FC7" w:rsidRDefault="00DF1FC7" w:rsidP="002E5BAD">
      <w:pPr>
        <w:pStyle w:val="a5"/>
        <w:rPr>
          <w:rtl/>
        </w:rPr>
      </w:pPr>
      <w:r>
        <w:rPr>
          <w:rStyle w:val="a7"/>
        </w:rPr>
        <w:footnoteRef/>
      </w:r>
      <w:r>
        <w:rPr>
          <w:rtl/>
        </w:rPr>
        <w:t xml:space="preserve"> </w:t>
      </w:r>
      <w:r w:rsidRPr="00904FA2">
        <w:rPr>
          <w:rFonts w:cs="Arial"/>
          <w:rtl/>
        </w:rPr>
        <w:t>עד עולם אבל אם אמר פירות עד עולם אמרי' פירות לא יאכל לעולם אבל השתא בהתנה פירי פירות עד עולם כיון דנחית למנינ' אמרי' עד עולם קאי על כולם וע' בהמאור ובמלחמות ה'</w:t>
      </w:r>
      <w:r>
        <w:rPr>
          <w:rFonts w:hint="cs"/>
          <w:rtl/>
        </w:rPr>
        <w:t>, ב"ש (סקי"ד).</w:t>
      </w:r>
    </w:p>
  </w:footnote>
  <w:footnote w:id="2226">
    <w:p w14:paraId="1A222FB2" w14:textId="77777777" w:rsidR="00DF1FC7" w:rsidRDefault="00DF1FC7" w:rsidP="002E5BAD">
      <w:pPr>
        <w:pStyle w:val="a5"/>
        <w:rPr>
          <w:rtl/>
        </w:rPr>
      </w:pPr>
      <w:r>
        <w:rPr>
          <w:rStyle w:val="a7"/>
        </w:rPr>
        <w:footnoteRef/>
      </w:r>
      <w:r>
        <w:rPr>
          <w:rtl/>
        </w:rPr>
        <w:t xml:space="preserve"> </w:t>
      </w:r>
      <w:r>
        <w:rPr>
          <w:rFonts w:cs="Arial" w:hint="cs"/>
          <w:rtl/>
        </w:rPr>
        <w:t>וכתב הה"מ (פכ"ג ה"ג)-</w:t>
      </w:r>
      <w:r w:rsidRPr="00EC3F1D">
        <w:rPr>
          <w:rFonts w:cs="Arial"/>
          <w:rtl/>
        </w:rPr>
        <w:t xml:space="preserve"> יש מהגאונים שפסקו דכיון דבעיין לא איפשיטא יד בעל השטר על התחתונה</w:t>
      </w:r>
      <w:r w:rsidRPr="00EC3F1D">
        <w:rPr>
          <w:rFonts w:cs="Arial" w:hint="cs"/>
          <w:rtl/>
        </w:rPr>
        <w:t>.</w:t>
      </w:r>
      <w:r w:rsidRPr="00EC3F1D">
        <w:rPr>
          <w:rFonts w:cs="Arial"/>
          <w:rtl/>
        </w:rPr>
        <w:t xml:space="preserve"> </w:t>
      </w:r>
      <w:r w:rsidRPr="00D527B4">
        <w:rPr>
          <w:rFonts w:cs="Arial"/>
          <w:rtl/>
        </w:rPr>
        <w:t>ויש מהם שפסק כפשיטות הגמרא</w:t>
      </w:r>
      <w:r>
        <w:rPr>
          <w:rFonts w:cs="Arial" w:hint="cs"/>
          <w:rtl/>
        </w:rPr>
        <w:t>.</w:t>
      </w:r>
      <w:r w:rsidRPr="00D527B4">
        <w:rPr>
          <w:rFonts w:cs="Arial"/>
          <w:rtl/>
        </w:rPr>
        <w:t xml:space="preserve"> וזה דעת רשב"א ז"ל (פג: ד"ה ולענין</w:t>
      </w:r>
      <w:r>
        <w:rPr>
          <w:rFonts w:cs="Arial" w:hint="cs"/>
          <w:rtl/>
        </w:rPr>
        <w:t xml:space="preserve">, </w:t>
      </w:r>
      <w:r w:rsidRPr="00D527B4">
        <w:rPr>
          <w:rFonts w:cs="Arial" w:hint="cs"/>
          <w:color w:val="FF0000"/>
          <w:rtl/>
        </w:rPr>
        <w:t>צל"ע מדוע כתב כן בדעת הרשב"א, שהרי הרשב"א הביא את דברי ר</w:t>
      </w:r>
      <w:r>
        <w:rPr>
          <w:rFonts w:cs="Arial" w:hint="cs"/>
          <w:color w:val="FF0000"/>
          <w:rtl/>
        </w:rPr>
        <w:t>"</w:t>
      </w:r>
      <w:r w:rsidRPr="00D527B4">
        <w:rPr>
          <w:rFonts w:cs="Arial" w:hint="cs"/>
          <w:color w:val="FF0000"/>
          <w:rtl/>
        </w:rPr>
        <w:t>ח ואת דברי רב האי ולא הכריע</w:t>
      </w:r>
      <w:r w:rsidRPr="00D527B4">
        <w:rPr>
          <w:rFonts w:cs="Arial"/>
          <w:rtl/>
        </w:rPr>
        <w:t>)</w:t>
      </w:r>
      <w:r w:rsidRPr="00D527B4">
        <w:rPr>
          <w:rFonts w:cs="Arial" w:hint="cs"/>
          <w:rtl/>
        </w:rPr>
        <w:t>.</w:t>
      </w:r>
      <w:r w:rsidRPr="00D527B4">
        <w:rPr>
          <w:rFonts w:cs="Arial"/>
          <w:rtl/>
        </w:rPr>
        <w:t xml:space="preserve"> נראה שהם מפרשים אותה אליבא דרבי יהודה וכשאמר עד עולם</w:t>
      </w:r>
      <w:r w:rsidRPr="00D527B4">
        <w:rPr>
          <w:rFonts w:cs="Arial" w:hint="cs"/>
          <w:rtl/>
        </w:rPr>
        <w:t>.</w:t>
      </w:r>
      <w:r w:rsidRPr="00D527B4">
        <w:rPr>
          <w:rFonts w:cs="Arial"/>
          <w:rtl/>
        </w:rPr>
        <w:t xml:space="preserve"> ולא נזכרה בעיא זו בהלכות ובדברי רבינו</w:t>
      </w:r>
      <w:r w:rsidRPr="00D527B4">
        <w:rPr>
          <w:rFonts w:cs="Arial" w:hint="cs"/>
          <w:rtl/>
        </w:rPr>
        <w:t>,</w:t>
      </w:r>
      <w:r w:rsidRPr="00D527B4">
        <w:rPr>
          <w:rFonts w:cs="Arial"/>
          <w:rtl/>
        </w:rPr>
        <w:t xml:space="preserve"> ואולי שדעתם לפרשה אליבא דת"ק והלכה כרבי יהודה ולזה לא הזכירוה עכ"ל</w:t>
      </w:r>
      <w:r>
        <w:rPr>
          <w:rFonts w:hint="cs"/>
          <w:rtl/>
        </w:rPr>
        <w:t>.</w:t>
      </w:r>
    </w:p>
  </w:footnote>
  <w:footnote w:id="2227">
    <w:p w14:paraId="2C8C6F2C" w14:textId="77777777" w:rsidR="00DF1FC7" w:rsidRDefault="00DF1FC7" w:rsidP="002E5BAD">
      <w:pPr>
        <w:pStyle w:val="a5"/>
        <w:rPr>
          <w:rtl/>
        </w:rPr>
      </w:pPr>
      <w:r>
        <w:rPr>
          <w:rStyle w:val="a7"/>
        </w:rPr>
        <w:footnoteRef/>
      </w:r>
      <w:r>
        <w:rPr>
          <w:rtl/>
        </w:rPr>
        <w:t xml:space="preserve"> </w:t>
      </w:r>
      <w:r w:rsidRPr="00D527B4">
        <w:rPr>
          <w:rFonts w:cs="Arial"/>
          <w:rtl/>
        </w:rPr>
        <w:t>כלומר אם שיירה הפירות וקנת' בהם קרקע אינו אוכל פירותיו שהם פירי פירות אבל פירי דפירי פירות אוכל לכ"ע אם לא בכותב ג"כ עד עולם וכנ"ל</w:t>
      </w:r>
      <w:r>
        <w:rPr>
          <w:rFonts w:hint="cs"/>
          <w:rtl/>
        </w:rPr>
        <w:t>, ח"מ (סקי"ג).</w:t>
      </w:r>
    </w:p>
  </w:footnote>
  <w:footnote w:id="2228">
    <w:p w14:paraId="2291A49B" w14:textId="77777777" w:rsidR="00DF1FC7" w:rsidRDefault="00DF1FC7" w:rsidP="002E5BAD">
      <w:pPr>
        <w:pStyle w:val="a5"/>
        <w:rPr>
          <w:rtl/>
        </w:rPr>
      </w:pPr>
      <w:r>
        <w:rPr>
          <w:rStyle w:val="a7"/>
        </w:rPr>
        <w:footnoteRef/>
      </w:r>
      <w:r>
        <w:rPr>
          <w:rtl/>
        </w:rPr>
        <w:t xml:space="preserve"> </w:t>
      </w:r>
      <w:r w:rsidRPr="00F31ACB">
        <w:rPr>
          <w:rFonts w:cs="Arial"/>
          <w:rtl/>
        </w:rPr>
        <w:t>וע"ל סוף סימן קי"ח תשובת הרשב"א בדין זה</w:t>
      </w:r>
      <w:r>
        <w:rPr>
          <w:rFonts w:cs="Arial" w:hint="cs"/>
          <w:rtl/>
        </w:rPr>
        <w:t>, דרכ"מ (אות ד).</w:t>
      </w:r>
    </w:p>
  </w:footnote>
  <w:footnote w:id="2229">
    <w:p w14:paraId="48649BEF" w14:textId="77777777" w:rsidR="00DF1FC7" w:rsidRDefault="00DF1FC7" w:rsidP="002E5BAD">
      <w:pPr>
        <w:pStyle w:val="a5"/>
        <w:rPr>
          <w:rtl/>
        </w:rPr>
      </w:pPr>
      <w:r>
        <w:rPr>
          <w:rStyle w:val="a7"/>
        </w:rPr>
        <w:footnoteRef/>
      </w:r>
      <w:r>
        <w:rPr>
          <w:rtl/>
        </w:rPr>
        <w:t xml:space="preserve"> </w:t>
      </w:r>
      <w:r>
        <w:rPr>
          <w:rFonts w:hint="cs"/>
          <w:rtl/>
        </w:rPr>
        <w:t xml:space="preserve">וז"ל- </w:t>
      </w:r>
      <w:r w:rsidRPr="00E13090">
        <w:rPr>
          <w:rFonts w:cs="Arial"/>
          <w:rtl/>
        </w:rPr>
        <w:t>רשב"ג אומר אם מתה יירשנה מפני שהתנה על מה שכתוב בתורה אמר רב הלכה כרשב"ג ולית הלכתא כוותיה דקי"ל [דף נ"ו ע"א] דבר שבממון תנאו קיים: ירושלמי א"ר יוסי אלין דכתבין לנשיהן אי מיתה בלא בני כל מאי דילה תהדר לבי נשא תנאי ממון הוא וקיים</w:t>
      </w:r>
      <w:r>
        <w:rPr>
          <w:rFonts w:cs="Arial" w:hint="cs"/>
          <w:rtl/>
        </w:rPr>
        <w:t xml:space="preserve">. עכ"ל. ונחלקו באיזה מקרה דיבר הרי"ף, הרמב"ם (בתשו', הביאו הה"מ פכ"ג מאישות ה"ה) סובר דהרי"ף מפרש </w:t>
      </w:r>
      <w:r w:rsidRPr="00105C77">
        <w:rPr>
          <w:rFonts w:cs="Arial"/>
          <w:rtl/>
        </w:rPr>
        <w:t xml:space="preserve">שדין המשנה הוא במתנה אחר נישואין ואף בזה אמרו בהלכות שהתנאי קיים </w:t>
      </w:r>
      <w:r>
        <w:rPr>
          <w:rFonts w:cs="Arial" w:hint="cs"/>
          <w:rtl/>
        </w:rPr>
        <w:t>(</w:t>
      </w:r>
      <w:r w:rsidRPr="00105C77">
        <w:rPr>
          <w:rFonts w:cs="Arial"/>
          <w:rtl/>
        </w:rPr>
        <w:t>וה</w:t>
      </w:r>
      <w:r>
        <w:rPr>
          <w:rFonts w:cs="Arial" w:hint="cs"/>
          <w:rtl/>
        </w:rPr>
        <w:t>רמב"ם</w:t>
      </w:r>
      <w:r w:rsidRPr="00105C77">
        <w:rPr>
          <w:rFonts w:cs="Arial"/>
          <w:rtl/>
        </w:rPr>
        <w:t xml:space="preserve"> חולק על ההלכות בזה</w:t>
      </w:r>
      <w:r>
        <w:rPr>
          <w:rFonts w:cs="Arial" w:hint="cs"/>
          <w:rtl/>
        </w:rPr>
        <w:t>). והרמב"ן והרשב"א פירשו את דברי הרי"ף שדין המשנה הוא בכותב לה בעודה ארוסה. ומכל מקום לעיקר הדין כולם כיוונו לדעת אחת.</w:t>
      </w:r>
    </w:p>
  </w:footnote>
  <w:footnote w:id="2230">
    <w:p w14:paraId="56BF008E" w14:textId="77777777" w:rsidR="00DF1FC7" w:rsidRDefault="00DF1FC7" w:rsidP="002E5BAD">
      <w:pPr>
        <w:pStyle w:val="a5"/>
        <w:rPr>
          <w:rtl/>
        </w:rPr>
      </w:pPr>
      <w:r>
        <w:rPr>
          <w:rStyle w:val="a7"/>
        </w:rPr>
        <w:footnoteRef/>
      </w:r>
      <w:r>
        <w:rPr>
          <w:rtl/>
        </w:rPr>
        <w:t xml:space="preserve"> </w:t>
      </w:r>
      <w:r>
        <w:rPr>
          <w:rFonts w:cs="Arial" w:hint="cs"/>
          <w:rtl/>
        </w:rPr>
        <w:t xml:space="preserve">רי"ף </w:t>
      </w:r>
      <w:r>
        <w:rPr>
          <w:rFonts w:cs="Arial" w:hint="cs"/>
          <w:sz w:val="16"/>
          <w:szCs w:val="16"/>
          <w:rtl/>
        </w:rPr>
        <w:t xml:space="preserve">(מב.) </w:t>
      </w:r>
      <w:r>
        <w:rPr>
          <w:rFonts w:cs="Arial" w:hint="cs"/>
          <w:rtl/>
        </w:rPr>
        <w:t xml:space="preserve">רמב"ם </w:t>
      </w:r>
      <w:r>
        <w:rPr>
          <w:rFonts w:cs="Arial" w:hint="cs"/>
          <w:sz w:val="16"/>
          <w:szCs w:val="16"/>
          <w:rtl/>
        </w:rPr>
        <w:t>(פכ"ג מאישות ה"ה-ו, וכן בפי"ב ה"ט)</w:t>
      </w:r>
      <w:r>
        <w:rPr>
          <w:rFonts w:cs="Arial" w:hint="cs"/>
          <w:rtl/>
        </w:rPr>
        <w:t xml:space="preserve"> רמב"ן </w:t>
      </w:r>
      <w:r>
        <w:rPr>
          <w:rFonts w:cs="Arial" w:hint="cs"/>
          <w:sz w:val="16"/>
          <w:szCs w:val="16"/>
          <w:rtl/>
        </w:rPr>
        <w:t>(כ"כ הה"מ בשמו)</w:t>
      </w:r>
      <w:r>
        <w:rPr>
          <w:rFonts w:cs="Arial" w:hint="cs"/>
          <w:rtl/>
        </w:rPr>
        <w:t xml:space="preserve"> רשב"א </w:t>
      </w:r>
      <w:r>
        <w:rPr>
          <w:rFonts w:cs="Arial" w:hint="cs"/>
          <w:sz w:val="16"/>
          <w:szCs w:val="16"/>
          <w:rtl/>
        </w:rPr>
        <w:t>(כ"כ הה"מ בשמו)</w:t>
      </w:r>
      <w:r>
        <w:rPr>
          <w:rFonts w:cs="Arial" w:hint="cs"/>
          <w:rtl/>
        </w:rPr>
        <w:t xml:space="preserve"> רא"ש </w:t>
      </w:r>
      <w:r>
        <w:rPr>
          <w:rFonts w:cs="Arial" w:hint="cs"/>
          <w:sz w:val="16"/>
          <w:szCs w:val="16"/>
          <w:rtl/>
        </w:rPr>
        <w:t>(כ"כ הטור בשמו)</w:t>
      </w:r>
      <w:r>
        <w:rPr>
          <w:rFonts w:cs="Arial" w:hint="cs"/>
          <w:rtl/>
        </w:rPr>
        <w:t xml:space="preserve"> טור ור"ן</w:t>
      </w:r>
      <w:r>
        <w:rPr>
          <w:rFonts w:cs="Arial" w:hint="cs"/>
          <w:sz w:val="16"/>
          <w:szCs w:val="16"/>
          <w:rtl/>
        </w:rPr>
        <w:t xml:space="preserve"> (מב.)</w:t>
      </w:r>
      <w:r>
        <w:rPr>
          <w:rFonts w:hint="cs"/>
          <w:rtl/>
        </w:rPr>
        <w:t>.</w:t>
      </w:r>
    </w:p>
  </w:footnote>
  <w:footnote w:id="2231">
    <w:p w14:paraId="78853487" w14:textId="77777777" w:rsidR="00DF1FC7" w:rsidRDefault="00DF1FC7" w:rsidP="002E5BAD">
      <w:pPr>
        <w:pStyle w:val="a5"/>
        <w:rPr>
          <w:rtl/>
        </w:rPr>
      </w:pPr>
      <w:r>
        <w:rPr>
          <w:rStyle w:val="a7"/>
        </w:rPr>
        <w:footnoteRef/>
      </w:r>
      <w:r>
        <w:rPr>
          <w:rtl/>
        </w:rPr>
        <w:t xml:space="preserve"> </w:t>
      </w:r>
      <w:r>
        <w:rPr>
          <w:rFonts w:cs="Arial"/>
          <w:rtl/>
        </w:rPr>
        <w:t>לכאורה נראה דלא דק</w:t>
      </w:r>
      <w:r>
        <w:rPr>
          <w:rFonts w:cs="Arial" w:hint="cs"/>
          <w:sz w:val="16"/>
          <w:szCs w:val="16"/>
          <w:rtl/>
        </w:rPr>
        <w:t xml:space="preserve"> {הטור שכתב בשמם דהוי דאורייתא}</w:t>
      </w:r>
      <w:r>
        <w:rPr>
          <w:rFonts w:cs="Arial" w:hint="cs"/>
          <w:rtl/>
        </w:rPr>
        <w:t>,</w:t>
      </w:r>
      <w:r>
        <w:rPr>
          <w:rFonts w:cs="Arial"/>
          <w:rtl/>
        </w:rPr>
        <w:t xml:space="preserve"> דבפרק הכותב (פג: פד.) אמרינן דסבר רב ירושת הבעל דרבנן</w:t>
      </w:r>
      <w:r>
        <w:rPr>
          <w:rFonts w:cs="Arial" w:hint="cs"/>
          <w:rtl/>
        </w:rPr>
        <w:t>.</w:t>
      </w:r>
      <w:r>
        <w:rPr>
          <w:rFonts w:cs="Arial"/>
          <w:rtl/>
        </w:rPr>
        <w:t xml:space="preserve"> וכ</w:t>
      </w:r>
      <w:r>
        <w:rPr>
          <w:rFonts w:cs="Arial" w:hint="cs"/>
          <w:rtl/>
        </w:rPr>
        <w:t>"</w:t>
      </w:r>
      <w:r>
        <w:rPr>
          <w:rFonts w:cs="Arial"/>
          <w:rtl/>
        </w:rPr>
        <w:t>כ הרמב"ם בפ"א מהל</w:t>
      </w:r>
      <w:r>
        <w:rPr>
          <w:rFonts w:cs="Arial" w:hint="cs"/>
          <w:rtl/>
        </w:rPr>
        <w:t>'</w:t>
      </w:r>
      <w:r>
        <w:rPr>
          <w:rFonts w:cs="Arial"/>
          <w:rtl/>
        </w:rPr>
        <w:t xml:space="preserve"> נחלות (ה"ח)</w:t>
      </w:r>
      <w:r>
        <w:rPr>
          <w:rFonts w:cs="Arial" w:hint="cs"/>
          <w:rtl/>
        </w:rPr>
        <w:t>.</w:t>
      </w:r>
      <w:r>
        <w:rPr>
          <w:rFonts w:cs="Arial"/>
          <w:rtl/>
        </w:rPr>
        <w:t xml:space="preserve"> אלא שהה</w:t>
      </w:r>
      <w:r>
        <w:rPr>
          <w:rFonts w:cs="Arial" w:hint="cs"/>
          <w:rtl/>
        </w:rPr>
        <w:t>"</w:t>
      </w:r>
      <w:r>
        <w:rPr>
          <w:rFonts w:cs="Arial"/>
          <w:rtl/>
        </w:rPr>
        <w:t>מ כתב דבס"פ מי שמת (ב"ב קנט:) משמע שהיא מן התורה</w:t>
      </w:r>
      <w:r>
        <w:rPr>
          <w:rFonts w:cs="Arial" w:hint="cs"/>
          <w:rtl/>
        </w:rPr>
        <w:t>,</w:t>
      </w:r>
      <w:r>
        <w:rPr>
          <w:rFonts w:cs="Arial"/>
          <w:rtl/>
        </w:rPr>
        <w:t xml:space="preserve"> ושזה דעת הראב"ד (שם) והרשב"א ז"ל</w:t>
      </w:r>
      <w:r>
        <w:rPr>
          <w:rFonts w:cs="Arial" w:hint="cs"/>
          <w:rtl/>
        </w:rPr>
        <w:t>, ב"י.</w:t>
      </w:r>
    </w:p>
  </w:footnote>
  <w:footnote w:id="2232">
    <w:p w14:paraId="293D234B" w14:textId="77777777" w:rsidR="00DF1FC7" w:rsidRDefault="00DF1FC7" w:rsidP="002E5BAD">
      <w:pPr>
        <w:pStyle w:val="a5"/>
        <w:rPr>
          <w:rtl/>
        </w:rPr>
      </w:pPr>
      <w:r>
        <w:rPr>
          <w:rStyle w:val="a7"/>
        </w:rPr>
        <w:footnoteRef/>
      </w:r>
      <w:r>
        <w:rPr>
          <w:rtl/>
        </w:rPr>
        <w:t xml:space="preserve"> </w:t>
      </w:r>
      <w:r w:rsidRPr="00E24A66">
        <w:rPr>
          <w:rFonts w:cs="Arial"/>
          <w:rtl/>
        </w:rPr>
        <w:t>אם תפס הבעל י"ל קים לי כהני פוסקים</w:t>
      </w:r>
      <w:r>
        <w:rPr>
          <w:rFonts w:hint="cs"/>
          <w:rtl/>
        </w:rPr>
        <w:t>, ב"ש (סקט"ז).</w:t>
      </w:r>
    </w:p>
  </w:footnote>
  <w:footnote w:id="2233">
    <w:p w14:paraId="297FBEA7" w14:textId="77777777" w:rsidR="00DF1FC7" w:rsidRDefault="00DF1FC7" w:rsidP="002E5BAD">
      <w:pPr>
        <w:pStyle w:val="a5"/>
        <w:rPr>
          <w:rtl/>
        </w:rPr>
      </w:pPr>
      <w:r>
        <w:rPr>
          <w:rStyle w:val="a7"/>
        </w:rPr>
        <w:footnoteRef/>
      </w:r>
      <w:r>
        <w:rPr>
          <w:rtl/>
        </w:rPr>
        <w:t xml:space="preserve"> </w:t>
      </w:r>
      <w:r>
        <w:rPr>
          <w:rFonts w:cs="Arial" w:hint="cs"/>
          <w:rtl/>
        </w:rPr>
        <w:t xml:space="preserve">וכתב הב"י (על </w:t>
      </w:r>
      <w:r w:rsidRPr="00B15469">
        <w:rPr>
          <w:rFonts w:cs="Arial"/>
          <w:rtl/>
        </w:rPr>
        <w:t>מ"ש</w:t>
      </w:r>
      <w:r>
        <w:rPr>
          <w:rFonts w:cs="Arial" w:hint="cs"/>
          <w:rtl/>
        </w:rPr>
        <w:t xml:space="preserve"> הטור</w:t>
      </w:r>
      <w:r w:rsidRPr="00B15469">
        <w:rPr>
          <w:rFonts w:cs="Arial"/>
          <w:rtl/>
        </w:rPr>
        <w:t xml:space="preserve"> </w:t>
      </w:r>
      <w:r>
        <w:rPr>
          <w:rFonts w:cs="Arial" w:hint="cs"/>
          <w:rtl/>
        </w:rPr>
        <w:t>'</w:t>
      </w:r>
      <w:r w:rsidRPr="00B15469">
        <w:rPr>
          <w:rFonts w:cs="Arial"/>
          <w:rtl/>
        </w:rPr>
        <w:t>ואם מכרה ונתנה קיים</w:t>
      </w:r>
      <w:r>
        <w:rPr>
          <w:rFonts w:cs="Arial" w:hint="cs"/>
          <w:rtl/>
        </w:rPr>
        <w:t>')</w:t>
      </w:r>
      <w:r w:rsidRPr="00B15469">
        <w:rPr>
          <w:rFonts w:cs="Arial"/>
          <w:rtl/>
        </w:rPr>
        <w:t xml:space="preserve"> </w:t>
      </w:r>
      <w:r>
        <w:rPr>
          <w:rFonts w:cs="Arial" w:hint="cs"/>
          <w:rtl/>
        </w:rPr>
        <w:t>ד</w:t>
      </w:r>
      <w:r>
        <w:rPr>
          <w:rFonts w:cs="Arial"/>
          <w:rtl/>
        </w:rPr>
        <w:t>משמע מדברי רבינו שכתב זה בבבא זו</w:t>
      </w:r>
      <w:r>
        <w:rPr>
          <w:rFonts w:cs="Arial" w:hint="cs"/>
          <w:rtl/>
        </w:rPr>
        <w:t>,</w:t>
      </w:r>
      <w:r>
        <w:rPr>
          <w:rFonts w:cs="Arial"/>
          <w:rtl/>
        </w:rPr>
        <w:t xml:space="preserve"> דדוקא בשלא סילק עצמו מהפירות הוא דאם מכרה ונתנה קיים</w:t>
      </w:r>
      <w:r>
        <w:rPr>
          <w:rFonts w:cs="Arial" w:hint="cs"/>
          <w:rtl/>
        </w:rPr>
        <w:t>,</w:t>
      </w:r>
      <w:r>
        <w:rPr>
          <w:rFonts w:cs="Arial"/>
          <w:rtl/>
        </w:rPr>
        <w:t xml:space="preserve"> וכדדייק לכאורה לישנא</w:t>
      </w:r>
      <w:r>
        <w:rPr>
          <w:rFonts w:cs="Arial" w:hint="cs"/>
          <w:rtl/>
        </w:rPr>
        <w:t>,</w:t>
      </w:r>
      <w:r>
        <w:rPr>
          <w:rFonts w:cs="Arial"/>
          <w:rtl/>
        </w:rPr>
        <w:t xml:space="preserve"> דאם כן למה כתב לה דין ודברים אין לי בנכסייך</w:t>
      </w:r>
      <w:r>
        <w:rPr>
          <w:rFonts w:cs="Arial" w:hint="cs"/>
          <w:rtl/>
        </w:rPr>
        <w:t>.</w:t>
      </w:r>
      <w:r>
        <w:rPr>
          <w:rFonts w:cs="Arial"/>
          <w:rtl/>
        </w:rPr>
        <w:t xml:space="preserve"> אבל במסלק עצמו מפירות אם מכרה ונתנה אינו קיים</w:t>
      </w:r>
      <w:r>
        <w:rPr>
          <w:rFonts w:cs="Arial" w:hint="cs"/>
          <w:rtl/>
        </w:rPr>
        <w:t>.</w:t>
      </w:r>
      <w:r>
        <w:rPr>
          <w:rFonts w:cs="Arial"/>
          <w:rtl/>
        </w:rPr>
        <w:t xml:space="preserve"> ולי נראה דאף במסלק עצמו מפירות אם מכרה ונתנה </w:t>
      </w:r>
      <w:r>
        <w:rPr>
          <w:rFonts w:cs="Arial" w:hint="cs"/>
          <w:rtl/>
        </w:rPr>
        <w:t xml:space="preserve">- </w:t>
      </w:r>
      <w:r>
        <w:rPr>
          <w:rFonts w:cs="Arial"/>
          <w:rtl/>
        </w:rPr>
        <w:t>קיים</w:t>
      </w:r>
      <w:r>
        <w:rPr>
          <w:rFonts w:cs="Arial" w:hint="cs"/>
          <w:rtl/>
        </w:rPr>
        <w:t>,</w:t>
      </w:r>
      <w:r>
        <w:rPr>
          <w:rFonts w:cs="Arial"/>
          <w:rtl/>
        </w:rPr>
        <w:t xml:space="preserve"> דאם לא כן למה ליה למימר דין ודברים אין לי בנכסייך</w:t>
      </w:r>
      <w:r>
        <w:rPr>
          <w:rFonts w:cs="Arial" w:hint="cs"/>
          <w:rtl/>
        </w:rPr>
        <w:t>,</w:t>
      </w:r>
      <w:r>
        <w:rPr>
          <w:rFonts w:cs="Arial"/>
          <w:rtl/>
        </w:rPr>
        <w:t xml:space="preserve"> הכי ה"ל למימר </w:t>
      </w:r>
      <w:r>
        <w:rPr>
          <w:rFonts w:cs="Arial" w:hint="cs"/>
          <w:rtl/>
        </w:rPr>
        <w:t>'</w:t>
      </w:r>
      <w:r>
        <w:rPr>
          <w:rFonts w:cs="Arial"/>
          <w:rtl/>
        </w:rPr>
        <w:t>דין ודברים אין לי בפירות נכסייך</w:t>
      </w:r>
      <w:r>
        <w:rPr>
          <w:rFonts w:cs="Arial" w:hint="cs"/>
          <w:rtl/>
        </w:rPr>
        <w:t>'</w:t>
      </w:r>
      <w:r>
        <w:rPr>
          <w:rFonts w:hint="cs"/>
          <w:rtl/>
        </w:rPr>
        <w:t>.</w:t>
      </w:r>
    </w:p>
  </w:footnote>
  <w:footnote w:id="2234">
    <w:p w14:paraId="24C1CE4F" w14:textId="77777777" w:rsidR="00DF1FC7" w:rsidRDefault="00DF1FC7" w:rsidP="002E5BAD">
      <w:pPr>
        <w:pStyle w:val="a5"/>
        <w:rPr>
          <w:rtl/>
        </w:rPr>
      </w:pPr>
      <w:r>
        <w:rPr>
          <w:rStyle w:val="a7"/>
        </w:rPr>
        <w:footnoteRef/>
      </w:r>
      <w:r>
        <w:rPr>
          <w:rtl/>
        </w:rPr>
        <w:t xml:space="preserve"> </w:t>
      </w:r>
      <w:r w:rsidRPr="007C5223">
        <w:rPr>
          <w:rFonts w:cs="Arial"/>
          <w:rtl/>
        </w:rPr>
        <w:t>ואם מכרה או נתנה אינו קיים כל זמן שלא אמר דין ודברים אין לי בנכסייך</w:t>
      </w:r>
      <w:r>
        <w:rPr>
          <w:rFonts w:hint="cs"/>
          <w:rtl/>
        </w:rPr>
        <w:t>, ב"ש (סקי"ז). וכ"כ הח"מ (סקי"ד).</w:t>
      </w:r>
    </w:p>
  </w:footnote>
  <w:footnote w:id="2235">
    <w:p w14:paraId="3A1464AC" w14:textId="77777777" w:rsidR="00DF1FC7" w:rsidRDefault="00DF1FC7" w:rsidP="002E5BAD">
      <w:pPr>
        <w:pStyle w:val="a5"/>
        <w:rPr>
          <w:rtl/>
        </w:rPr>
      </w:pPr>
      <w:r>
        <w:rPr>
          <w:rStyle w:val="a7"/>
        </w:rPr>
        <w:footnoteRef/>
      </w:r>
      <w:r>
        <w:rPr>
          <w:rtl/>
        </w:rPr>
        <w:t xml:space="preserve"> </w:t>
      </w:r>
      <w:r w:rsidRPr="00E24A66">
        <w:rPr>
          <w:rFonts w:cs="Arial"/>
          <w:rtl/>
        </w:rPr>
        <w:t>דאז ראוי לירש</w:t>
      </w:r>
      <w:r>
        <w:rPr>
          <w:rFonts w:cs="Arial" w:hint="cs"/>
          <w:rtl/>
        </w:rPr>
        <w:t>,</w:t>
      </w:r>
      <w:r w:rsidRPr="00E24A66">
        <w:rPr>
          <w:rFonts w:cs="Arial"/>
          <w:rtl/>
        </w:rPr>
        <w:t xml:space="preserve"> והוי כבן שסילק את עצמו מירושת אביו דלא מהני דיבור בעלמ</w:t>
      </w:r>
      <w:r>
        <w:rPr>
          <w:rFonts w:cs="Arial" w:hint="cs"/>
          <w:rtl/>
        </w:rPr>
        <w:t>א</w:t>
      </w:r>
      <w:r w:rsidRPr="00E24A66">
        <w:rPr>
          <w:rFonts w:cs="Arial"/>
          <w:rtl/>
        </w:rPr>
        <w:t xml:space="preserve"> לסלק את עצמו דראוי לירש הוא</w:t>
      </w:r>
      <w:r>
        <w:rPr>
          <w:rFonts w:cs="Arial" w:hint="cs"/>
          <w:rtl/>
        </w:rPr>
        <w:t>.</w:t>
      </w:r>
      <w:r w:rsidRPr="00E24A66">
        <w:rPr>
          <w:rFonts w:cs="Arial"/>
          <w:rtl/>
        </w:rPr>
        <w:t xml:space="preserve"> ובקנין לא מהני</w:t>
      </w:r>
      <w:r>
        <w:rPr>
          <w:rFonts w:cs="Arial" w:hint="cs"/>
          <w:rtl/>
        </w:rPr>
        <w:t>,</w:t>
      </w:r>
      <w:r w:rsidRPr="00E24A66">
        <w:rPr>
          <w:rFonts w:cs="Arial"/>
          <w:rtl/>
        </w:rPr>
        <w:t xml:space="preserve"> דהא הירושה לאו בידו הוא</w:t>
      </w:r>
      <w:r>
        <w:rPr>
          <w:rFonts w:cs="Arial" w:hint="cs"/>
          <w:rtl/>
        </w:rPr>
        <w:t>,</w:t>
      </w:r>
      <w:r w:rsidRPr="00E24A66">
        <w:rPr>
          <w:rFonts w:cs="Arial"/>
          <w:rtl/>
        </w:rPr>
        <w:t xml:space="preserve"> כן ה"נ בירושת הבעל ואפי' אם עשתה יורש אחר והוא מרוצה לא מהני</w:t>
      </w:r>
      <w:r>
        <w:rPr>
          <w:rFonts w:cs="Arial" w:hint="cs"/>
          <w:rtl/>
        </w:rPr>
        <w:t>.</w:t>
      </w:r>
      <w:r w:rsidRPr="00E24A66">
        <w:rPr>
          <w:rFonts w:cs="Arial"/>
          <w:rtl/>
        </w:rPr>
        <w:t xml:space="preserve"> ורמב"ם פי"ב כתב הטעם משום שנא' בה לחוקת משפט לדורות</w:t>
      </w:r>
      <w:r>
        <w:rPr>
          <w:rFonts w:cs="Arial" w:hint="cs"/>
          <w:rtl/>
        </w:rPr>
        <w:t>.</w:t>
      </w:r>
      <w:r w:rsidRPr="00E24A66">
        <w:rPr>
          <w:rFonts w:cs="Arial"/>
          <w:rtl/>
        </w:rPr>
        <w:t xml:space="preserve"> ופי' המגיד כוונתו אף על גב היא מתנה שהוא הבעל לא ירש אלא אחר לא זכה האחר משום דכתיב לחוקת משפט</w:t>
      </w:r>
      <w:r>
        <w:rPr>
          <w:rFonts w:hint="cs"/>
          <w:rtl/>
        </w:rPr>
        <w:t>, ב"ש (סקי"ח).</w:t>
      </w:r>
    </w:p>
  </w:footnote>
  <w:footnote w:id="2236">
    <w:p w14:paraId="3B66E843" w14:textId="77777777" w:rsidR="00DF1FC7" w:rsidRDefault="00DF1FC7" w:rsidP="002E5BAD">
      <w:pPr>
        <w:pStyle w:val="a5"/>
        <w:rPr>
          <w:rtl/>
        </w:rPr>
      </w:pPr>
      <w:r>
        <w:rPr>
          <w:rStyle w:val="a7"/>
        </w:rPr>
        <w:footnoteRef/>
      </w:r>
      <w:r>
        <w:rPr>
          <w:rtl/>
        </w:rPr>
        <w:t xml:space="preserve"> </w:t>
      </w:r>
      <w:r w:rsidRPr="004F3A03">
        <w:rPr>
          <w:rFonts w:cs="Arial"/>
          <w:rtl/>
        </w:rPr>
        <w:t xml:space="preserve">נ"ל שחסר מכאן </w:t>
      </w:r>
      <w:r>
        <w:rPr>
          <w:rFonts w:cs="Arial" w:hint="cs"/>
          <w:sz w:val="16"/>
          <w:szCs w:val="16"/>
          <w:rtl/>
        </w:rPr>
        <w:t xml:space="preserve">{בדברי הרמב"ם לעיל} </w:t>
      </w:r>
      <w:r>
        <w:rPr>
          <w:rFonts w:cs="Arial" w:hint="cs"/>
          <w:rtl/>
        </w:rPr>
        <w:t>'</w:t>
      </w:r>
      <w:r w:rsidRPr="004F3A03">
        <w:rPr>
          <w:rFonts w:cs="Arial"/>
          <w:rtl/>
        </w:rPr>
        <w:t>וקנו מידו</w:t>
      </w:r>
      <w:r>
        <w:rPr>
          <w:rFonts w:cs="Arial" w:hint="cs"/>
          <w:rtl/>
        </w:rPr>
        <w:t>'</w:t>
      </w:r>
      <w:r w:rsidRPr="004F3A03">
        <w:rPr>
          <w:rFonts w:cs="Arial"/>
          <w:rtl/>
        </w:rPr>
        <w:t xml:space="preserve">, ואף על פי שקנו מידו לסלוק הירושה </w:t>
      </w:r>
      <w:r>
        <w:rPr>
          <w:rFonts w:cs="Arial" w:hint="cs"/>
          <w:rtl/>
        </w:rPr>
        <w:t xml:space="preserve">- </w:t>
      </w:r>
      <w:r w:rsidRPr="004F3A03">
        <w:rPr>
          <w:rFonts w:cs="Arial"/>
          <w:rtl/>
        </w:rPr>
        <w:t>אינו מועיל אחר נישואין</w:t>
      </w:r>
      <w:r>
        <w:rPr>
          <w:rFonts w:cs="Arial" w:hint="cs"/>
          <w:rtl/>
        </w:rPr>
        <w:t>.</w:t>
      </w:r>
      <w:r w:rsidRPr="004F3A03">
        <w:rPr>
          <w:rFonts w:cs="Arial"/>
          <w:rtl/>
        </w:rPr>
        <w:t xml:space="preserve"> לפי שסלוק הירושה לאחר מותה היא</w:t>
      </w:r>
      <w:r>
        <w:rPr>
          <w:rFonts w:cs="Arial" w:hint="cs"/>
          <w:rtl/>
        </w:rPr>
        <w:t>,</w:t>
      </w:r>
      <w:r w:rsidRPr="004F3A03">
        <w:rPr>
          <w:rFonts w:cs="Arial"/>
          <w:rtl/>
        </w:rPr>
        <w:t xml:space="preserve"> ואינו הקנאה לשום אדם</w:t>
      </w:r>
      <w:r>
        <w:rPr>
          <w:rFonts w:cs="Arial" w:hint="cs"/>
          <w:rtl/>
        </w:rPr>
        <w:t>,</w:t>
      </w:r>
      <w:r w:rsidRPr="004F3A03">
        <w:rPr>
          <w:rFonts w:cs="Arial"/>
          <w:rtl/>
        </w:rPr>
        <w:t xml:space="preserve"> והוה ליה כקנין דברים והנישואין כבר חלו על הכל</w:t>
      </w:r>
      <w:r>
        <w:rPr>
          <w:rFonts w:cs="Arial" w:hint="cs"/>
          <w:rtl/>
        </w:rPr>
        <w:t>.</w:t>
      </w:r>
      <w:r w:rsidRPr="004F3A03">
        <w:rPr>
          <w:rFonts w:cs="Arial"/>
          <w:rtl/>
        </w:rPr>
        <w:t xml:space="preserve"> אבל תנאי דקודם נישואין לא חלו הנישואין אלא על מנת שלא יירשנה ותנאי ממון קיים</w:t>
      </w:r>
      <w:r>
        <w:rPr>
          <w:rFonts w:cs="Arial" w:hint="cs"/>
          <w:rtl/>
        </w:rPr>
        <w:t>, ראב"ד (שם בהשגות)</w:t>
      </w:r>
      <w:r w:rsidRPr="004F3A03">
        <w:rPr>
          <w:rFonts w:cs="Arial"/>
          <w:rtl/>
        </w:rPr>
        <w:t>.</w:t>
      </w:r>
      <w:r>
        <w:rPr>
          <w:rFonts w:cs="Arial" w:hint="cs"/>
          <w:rtl/>
        </w:rPr>
        <w:t xml:space="preserve"> וכ"כ הה"מ,</w:t>
      </w:r>
      <w:r w:rsidRPr="007C5223">
        <w:rPr>
          <w:rFonts w:cs="Arial"/>
          <w:rtl/>
        </w:rPr>
        <w:t xml:space="preserve"> שכל תנאי שאחר נשואין צריך קנין</w:t>
      </w:r>
      <w:r>
        <w:rPr>
          <w:rFonts w:cs="Arial" w:hint="cs"/>
          <w:rtl/>
        </w:rPr>
        <w:t>,</w:t>
      </w:r>
      <w:r w:rsidRPr="007C5223">
        <w:rPr>
          <w:rFonts w:cs="Arial"/>
          <w:rtl/>
        </w:rPr>
        <w:t xml:space="preserve"> כמו שנתבאר סעיף א'</w:t>
      </w:r>
      <w:r>
        <w:rPr>
          <w:rFonts w:cs="Arial" w:hint="cs"/>
          <w:rtl/>
        </w:rPr>
        <w:t>. וכ"כ הח"מ (סקט"ו-טז) והב"ש (סקי"ט).</w:t>
      </w:r>
    </w:p>
  </w:footnote>
  <w:footnote w:id="2237">
    <w:p w14:paraId="75E91AA5" w14:textId="77777777" w:rsidR="00DF1FC7" w:rsidRDefault="00DF1FC7" w:rsidP="002E5BAD">
      <w:pPr>
        <w:pStyle w:val="a5"/>
        <w:rPr>
          <w:rtl/>
        </w:rPr>
      </w:pPr>
      <w:r>
        <w:rPr>
          <w:rStyle w:val="a7"/>
        </w:rPr>
        <w:footnoteRef/>
      </w:r>
      <w:r>
        <w:rPr>
          <w:rtl/>
        </w:rPr>
        <w:t xml:space="preserve"> </w:t>
      </w:r>
      <w:r>
        <w:rPr>
          <w:rFonts w:cs="Arial"/>
          <w:rtl/>
        </w:rPr>
        <w:t>הכותב שטר סילוק לאשתו בשעת החופה מסולק גם משטר ירושה. כתב האב לבתו בשעת החופה מהרי"ק בשורש י"ג. העושה פיטור לאשתו אם יש במשמעות כל מיני תביעות וערעורים. מהרי"ק בשורש י"ג</w:t>
      </w:r>
      <w:r>
        <w:rPr>
          <w:rFonts w:hint="cs"/>
          <w:rtl/>
        </w:rPr>
        <w:t>, ב"י.</w:t>
      </w:r>
    </w:p>
  </w:footnote>
  <w:footnote w:id="2238">
    <w:p w14:paraId="0AB010A6" w14:textId="77777777" w:rsidR="00DF1FC7" w:rsidRDefault="00DF1FC7" w:rsidP="002E5BAD">
      <w:pPr>
        <w:pStyle w:val="a5"/>
        <w:rPr>
          <w:rtl/>
        </w:rPr>
      </w:pPr>
      <w:r>
        <w:rPr>
          <w:rStyle w:val="a7"/>
        </w:rPr>
        <w:footnoteRef/>
      </w:r>
      <w:r>
        <w:rPr>
          <w:rtl/>
        </w:rPr>
        <w:t xml:space="preserve"> </w:t>
      </w:r>
      <w:r w:rsidRPr="007C5223">
        <w:rPr>
          <w:rFonts w:cs="Arial"/>
          <w:rtl/>
        </w:rPr>
        <w:t>ואם מכרה או נתנה קיים</w:t>
      </w:r>
      <w:r>
        <w:rPr>
          <w:rFonts w:hint="cs"/>
          <w:rtl/>
        </w:rPr>
        <w:t>..., ח"מ (סקי"ז).</w:t>
      </w:r>
    </w:p>
  </w:footnote>
  <w:footnote w:id="2239">
    <w:p w14:paraId="2FAF2293" w14:textId="77777777" w:rsidR="00DF1FC7" w:rsidRDefault="00DF1FC7" w:rsidP="002E5BAD">
      <w:pPr>
        <w:pStyle w:val="a5"/>
      </w:pPr>
      <w:r>
        <w:rPr>
          <w:rStyle w:val="a7"/>
        </w:rPr>
        <w:footnoteRef/>
      </w:r>
      <w:r>
        <w:rPr>
          <w:rtl/>
        </w:rPr>
        <w:t xml:space="preserve"> </w:t>
      </w:r>
      <w:r w:rsidRPr="00DF6B51">
        <w:rPr>
          <w:rFonts w:cs="Arial"/>
          <w:rtl/>
        </w:rPr>
        <w:t>ועיין בש"ג דף תק"י כתב חליצה כ"ז שהיא זקוקה ליבם אינה גובה הכתובה ואם נתן לה גט אף על גב דצריכה עוד חליצה מ"מ הואיל דאסורה להנשא לאחי' גובה כתובתה</w:t>
      </w:r>
      <w:r>
        <w:rPr>
          <w:rFonts w:cs="Arial" w:hint="cs"/>
          <w:rtl/>
        </w:rPr>
        <w:t>, ב"ש (סק"א).</w:t>
      </w:r>
    </w:p>
  </w:footnote>
  <w:footnote w:id="2240">
    <w:p w14:paraId="6CCE3133" w14:textId="77777777" w:rsidR="00DF1FC7" w:rsidRDefault="00DF1FC7" w:rsidP="002E5BAD">
      <w:pPr>
        <w:pStyle w:val="a5"/>
      </w:pPr>
      <w:r>
        <w:rPr>
          <w:rStyle w:val="a7"/>
        </w:rPr>
        <w:footnoteRef/>
      </w:r>
      <w:r>
        <w:rPr>
          <w:rtl/>
        </w:rPr>
        <w:t xml:space="preserve"> </w:t>
      </w:r>
      <w:r w:rsidRPr="00E533FD">
        <w:rPr>
          <w:rFonts w:cs="Arial"/>
          <w:rtl/>
        </w:rPr>
        <w:t>אבל הראב"ד בהשגות כתב בפ"ז מהל' נחלות דאע"פ דהיורשין יורדין לנחלה אינה נוטלת כתובת</w:t>
      </w:r>
      <w:r>
        <w:rPr>
          <w:rFonts w:cs="Arial" w:hint="cs"/>
          <w:rtl/>
        </w:rPr>
        <w:t>ה</w:t>
      </w:r>
      <w:r w:rsidRPr="00E533FD">
        <w:rPr>
          <w:rFonts w:cs="Arial"/>
          <w:rtl/>
        </w:rPr>
        <w:t xml:space="preserve"> שאין אני קורא בה כשתנשא לאחר תטלי מה שכתוב ליכי</w:t>
      </w:r>
      <w:r>
        <w:rPr>
          <w:rFonts w:cs="Arial" w:hint="cs"/>
          <w:rtl/>
        </w:rPr>
        <w:t>,</w:t>
      </w:r>
      <w:r w:rsidRPr="00E533FD">
        <w:rPr>
          <w:rFonts w:cs="Arial"/>
          <w:rtl/>
        </w:rPr>
        <w:t xml:space="preserve"> וכן הסכים שם במ"מ</w:t>
      </w:r>
      <w:r>
        <w:rPr>
          <w:rFonts w:cs="Arial" w:hint="cs"/>
          <w:rtl/>
        </w:rPr>
        <w:t>, ח"מ (סק"א).</w:t>
      </w:r>
      <w:r w:rsidRPr="009D384A">
        <w:rPr>
          <w:rFonts w:cs="Arial"/>
          <w:rtl/>
        </w:rPr>
        <w:t xml:space="preserve"> </w:t>
      </w:r>
      <w:r w:rsidRPr="00DF6B51">
        <w:rPr>
          <w:rFonts w:cs="Arial"/>
          <w:rtl/>
        </w:rPr>
        <w:t>אבל היכא דידוע שתהיה מותרת לאחר זמן גובה הכתובה לאלתר</w:t>
      </w:r>
      <w:r>
        <w:rPr>
          <w:rFonts w:hint="cs"/>
          <w:rtl/>
        </w:rPr>
        <w:t>.</w:t>
      </w:r>
      <w:r w:rsidRPr="009D384A">
        <w:rPr>
          <w:rFonts w:cs="Arial"/>
          <w:rtl/>
        </w:rPr>
        <w:t xml:space="preserve"> </w:t>
      </w:r>
      <w:r w:rsidRPr="00DF6B51">
        <w:rPr>
          <w:rFonts w:cs="Arial"/>
          <w:rtl/>
        </w:rPr>
        <w:t>ובסי' י"ז כתבתי אם ע"א מעיד דטבע אינה גובה כתובתה אבל אם שנים מעידים גובה הכתובה</w:t>
      </w:r>
      <w:r>
        <w:rPr>
          <w:rFonts w:hint="cs"/>
          <w:rtl/>
        </w:rPr>
        <w:t>, ב"ש (סק"א).</w:t>
      </w:r>
    </w:p>
  </w:footnote>
  <w:footnote w:id="2241">
    <w:p w14:paraId="3D425C87" w14:textId="77777777" w:rsidR="00DF1FC7" w:rsidRDefault="00DF1FC7" w:rsidP="002E5BAD">
      <w:pPr>
        <w:pStyle w:val="a5"/>
      </w:pPr>
      <w:r>
        <w:rPr>
          <w:rStyle w:val="a7"/>
        </w:rPr>
        <w:footnoteRef/>
      </w:r>
      <w:r>
        <w:rPr>
          <w:rtl/>
        </w:rPr>
        <w:t xml:space="preserve"> </w:t>
      </w:r>
      <w:r w:rsidRPr="00E533FD">
        <w:rPr>
          <w:rFonts w:cs="Arial"/>
          <w:rtl/>
        </w:rPr>
        <w:t>ו</w:t>
      </w:r>
      <w:r>
        <w:rPr>
          <w:rFonts w:cs="Arial" w:hint="cs"/>
          <w:rtl/>
        </w:rPr>
        <w:t>כ"כ הח"מ (סק"א) ד</w:t>
      </w:r>
      <w:r w:rsidRPr="00E533FD">
        <w:rPr>
          <w:rFonts w:cs="Arial"/>
          <w:rtl/>
        </w:rPr>
        <w:t>מעוברת ומניקת ותוך ג' חדשים למיתת הבעל אע</w:t>
      </w:r>
      <w:r>
        <w:rPr>
          <w:rFonts w:cs="Arial" w:hint="cs"/>
          <w:rtl/>
        </w:rPr>
        <w:t>"</w:t>
      </w:r>
      <w:r w:rsidRPr="00E533FD">
        <w:rPr>
          <w:rFonts w:cs="Arial"/>
          <w:rtl/>
        </w:rPr>
        <w:t>פ שאסור' להנשא מ"מ נוטלת כתובתה מיד דקרינן בה כשתנשא לאחר כשיגיע הזמן הקצוב ועיין במ"מ פי"ח מהל' אישות</w:t>
      </w:r>
      <w:r>
        <w:rPr>
          <w:rFonts w:cs="Arial" w:hint="cs"/>
          <w:rtl/>
        </w:rPr>
        <w:t>,</w:t>
      </w:r>
      <w:r w:rsidRPr="00E533FD">
        <w:rPr>
          <w:rFonts w:cs="Arial"/>
          <w:rtl/>
        </w:rPr>
        <w:t xml:space="preserve"> ועיין לקמן סי' צ"ה סעיף</w:t>
      </w:r>
      <w:r>
        <w:rPr>
          <w:rFonts w:cs="Arial" w:hint="cs"/>
          <w:rtl/>
        </w:rPr>
        <w:t>,</w:t>
      </w:r>
      <w:r w:rsidRPr="00E533FD">
        <w:rPr>
          <w:rFonts w:cs="Arial"/>
          <w:rtl/>
        </w:rPr>
        <w:t xml:space="preserve"> ב' ועיין בהגהות אלפסי </w:t>
      </w:r>
      <w:r>
        <w:rPr>
          <w:rFonts w:cs="Arial" w:hint="cs"/>
          <w:rtl/>
        </w:rPr>
        <w:t>(</w:t>
      </w:r>
      <w:r w:rsidRPr="00E533FD">
        <w:rPr>
          <w:rFonts w:cs="Arial"/>
          <w:rtl/>
        </w:rPr>
        <w:t>פרק האשה דף תק"י</w:t>
      </w:r>
      <w:r>
        <w:rPr>
          <w:rFonts w:cs="Arial" w:hint="cs"/>
          <w:rtl/>
        </w:rPr>
        <w:t>)</w:t>
      </w:r>
      <w:r w:rsidRPr="00E533FD">
        <w:rPr>
          <w:rFonts w:cs="Arial"/>
          <w:rtl/>
        </w:rPr>
        <w:t xml:space="preserve"> זה לשונו ול"נ שכל אשה ראויה לגבות כתובתה מיד כשתתאלמן או תתגרש אלא אם זקוקה וכ"ש במקום שכותבים</w:t>
      </w:r>
      <w:r>
        <w:rPr>
          <w:rFonts w:cs="Arial" w:hint="cs"/>
          <w:rtl/>
        </w:rPr>
        <w:t xml:space="preserve"> וכו'.</w:t>
      </w:r>
    </w:p>
  </w:footnote>
  <w:footnote w:id="2242">
    <w:p w14:paraId="35E46935" w14:textId="77777777" w:rsidR="00DF1FC7" w:rsidRDefault="00DF1FC7" w:rsidP="002E5BAD">
      <w:pPr>
        <w:pStyle w:val="a5"/>
      </w:pPr>
      <w:r>
        <w:rPr>
          <w:rStyle w:val="a7"/>
        </w:rPr>
        <w:footnoteRef/>
      </w:r>
      <w:r w:rsidRPr="00C94C46">
        <w:rPr>
          <w:rFonts w:cs="Arial"/>
          <w:rtl/>
        </w:rPr>
        <w:t xml:space="preserve"> ובהגמ</w:t>
      </w:r>
      <w:r>
        <w:rPr>
          <w:rFonts w:cs="Arial" w:hint="cs"/>
          <w:rtl/>
        </w:rPr>
        <w:t>"</w:t>
      </w:r>
      <w:r w:rsidRPr="00C94C46">
        <w:rPr>
          <w:rFonts w:cs="Arial"/>
          <w:rtl/>
        </w:rPr>
        <w:t>ר דכתובות (סי' שט) משמע דיכולה לומר לו בחייו שיתן לה נכסי צאן ברזל והתוספת לקנות בהן תכשיטין</w:t>
      </w:r>
      <w:r>
        <w:rPr>
          <w:rFonts w:cs="Arial" w:hint="cs"/>
          <w:rtl/>
        </w:rPr>
        <w:t>.</w:t>
      </w:r>
      <w:r w:rsidRPr="00C94C46">
        <w:rPr>
          <w:rFonts w:cs="Arial"/>
          <w:rtl/>
        </w:rPr>
        <w:t xml:space="preserve"> וצ"ע שם</w:t>
      </w:r>
      <w:r>
        <w:rPr>
          <w:rFonts w:cs="Arial" w:hint="cs"/>
          <w:rtl/>
        </w:rPr>
        <w:t>.</w:t>
      </w:r>
      <w:r w:rsidRPr="00C94C46">
        <w:rPr>
          <w:rFonts w:cs="Arial"/>
          <w:rtl/>
        </w:rPr>
        <w:t xml:space="preserve"> ועיין לעיל סוף סימן פ"ה (אות ו) אם יכולה לתפוס נדונייתה בחיי בעלה</w:t>
      </w:r>
      <w:r>
        <w:rPr>
          <w:rFonts w:cs="Arial" w:hint="cs"/>
          <w:rtl/>
        </w:rPr>
        <w:t>.</w:t>
      </w:r>
      <w:r w:rsidRPr="00C94C46">
        <w:rPr>
          <w:rFonts w:cs="Arial"/>
          <w:rtl/>
        </w:rPr>
        <w:t xml:space="preserve"> גם לעיל סימן ס"ו כתבתי מדינים אלו</w:t>
      </w:r>
      <w:r>
        <w:rPr>
          <w:rFonts w:cs="Arial" w:hint="cs"/>
          <w:rtl/>
        </w:rPr>
        <w:t>, דרכ"מ (אות ב).</w:t>
      </w:r>
    </w:p>
  </w:footnote>
  <w:footnote w:id="2243">
    <w:p w14:paraId="16A4D8A5" w14:textId="77777777" w:rsidR="00DF1FC7" w:rsidRDefault="00DF1FC7" w:rsidP="002E5BAD">
      <w:pPr>
        <w:pStyle w:val="a5"/>
      </w:pPr>
      <w:r>
        <w:rPr>
          <w:rStyle w:val="a7"/>
        </w:rPr>
        <w:footnoteRef/>
      </w:r>
      <w:r>
        <w:rPr>
          <w:rtl/>
        </w:rPr>
        <w:t xml:space="preserve"> </w:t>
      </w:r>
      <w:r w:rsidRPr="00C7104C">
        <w:rPr>
          <w:rFonts w:cs="Arial"/>
          <w:rtl/>
        </w:rPr>
        <w:t>ומה שכתבתי למעלה מהרשב"א חולק על זה זולתי אם היה המנהג בימיו כך אבל הוא לא כתב ולא תלה הדב' במנהג</w:t>
      </w:r>
      <w:r>
        <w:rPr>
          <w:rFonts w:cs="Arial" w:hint="cs"/>
          <w:rtl/>
        </w:rPr>
        <w:t>, רי"ו</w:t>
      </w:r>
      <w:r w:rsidRPr="008E4921">
        <w:rPr>
          <w:rFonts w:cs="Arial" w:hint="cs"/>
          <w:sz w:val="16"/>
          <w:szCs w:val="16"/>
          <w:rtl/>
        </w:rPr>
        <w:t xml:space="preserve"> (שם)</w:t>
      </w:r>
      <w:r>
        <w:rPr>
          <w:rFonts w:cs="Arial" w:hint="cs"/>
          <w:rtl/>
        </w:rPr>
        <w:t>.</w:t>
      </w:r>
    </w:p>
  </w:footnote>
  <w:footnote w:id="2244">
    <w:p w14:paraId="4D17E2DE" w14:textId="77777777" w:rsidR="00DF1FC7" w:rsidRDefault="00DF1FC7" w:rsidP="002E5BAD">
      <w:pPr>
        <w:pStyle w:val="a5"/>
      </w:pPr>
      <w:r>
        <w:rPr>
          <w:rStyle w:val="a7"/>
        </w:rPr>
        <w:footnoteRef/>
      </w:r>
      <w:r>
        <w:rPr>
          <w:rtl/>
        </w:rPr>
        <w:t xml:space="preserve"> </w:t>
      </w:r>
      <w:r w:rsidRPr="00E533FD">
        <w:rPr>
          <w:rFonts w:cs="Arial"/>
          <w:rtl/>
        </w:rPr>
        <w:t>ומ"מ אם הנדוני' עדיין בידה או ביד אביה יכולה להחזיק למזונות ועיין בח"מ סי' צ"ז סעיף כ"ד וסעיף כ"ו</w:t>
      </w:r>
      <w:r>
        <w:rPr>
          <w:rFonts w:cs="Arial" w:hint="cs"/>
          <w:rtl/>
        </w:rPr>
        <w:t>, ח"מ (סק"ב).</w:t>
      </w:r>
      <w:r>
        <w:rPr>
          <w:rFonts w:hint="cs"/>
          <w:rtl/>
        </w:rPr>
        <w:t xml:space="preserve"> </w:t>
      </w:r>
      <w:r>
        <w:rPr>
          <w:rFonts w:cs="Arial" w:hint="cs"/>
          <w:rtl/>
        </w:rPr>
        <w:t xml:space="preserve">וכתב הבאה"ט (סק"ב)- </w:t>
      </w:r>
      <w:r w:rsidRPr="003A11F1">
        <w:rPr>
          <w:rFonts w:cs="Arial"/>
          <w:rtl/>
        </w:rPr>
        <w:t xml:space="preserve">כ' מהר"י הלוי </w:t>
      </w:r>
      <w:r>
        <w:rPr>
          <w:rFonts w:cs="Arial" w:hint="cs"/>
          <w:rtl/>
        </w:rPr>
        <w:t>(</w:t>
      </w:r>
      <w:r w:rsidRPr="003A11F1">
        <w:rPr>
          <w:rFonts w:cs="Arial"/>
          <w:rtl/>
        </w:rPr>
        <w:t>סי' טז</w:t>
      </w:r>
      <w:r>
        <w:rPr>
          <w:rFonts w:cs="Arial" w:hint="cs"/>
          <w:rtl/>
        </w:rPr>
        <w:t>)</w:t>
      </w:r>
      <w:r w:rsidRPr="003A11F1">
        <w:rPr>
          <w:rFonts w:cs="Arial"/>
          <w:rtl/>
        </w:rPr>
        <w:t xml:space="preserve"> אם אנו רואים כוונת הבעל לאכול לה כל הממון ואח"כ לקום וללכת חוץ מהעיר כדי שתצטרך על כרחה להתרצות ממנו בגט בלבד</w:t>
      </w:r>
      <w:r>
        <w:rPr>
          <w:rFonts w:cs="Arial" w:hint="cs"/>
          <w:rtl/>
        </w:rPr>
        <w:t xml:space="preserve"> -</w:t>
      </w:r>
      <w:r w:rsidRPr="003A11F1">
        <w:rPr>
          <w:rFonts w:cs="Arial"/>
          <w:rtl/>
        </w:rPr>
        <w:t xml:space="preserve"> נתנה כתובה לגבות מחיים ע"ש. התנה הבעל שתגבה כתובתה מחיים</w:t>
      </w:r>
      <w:r>
        <w:rPr>
          <w:rFonts w:cs="Arial" w:hint="cs"/>
          <w:rtl/>
        </w:rPr>
        <w:t>,</w:t>
      </w:r>
      <w:r w:rsidRPr="003A11F1">
        <w:rPr>
          <w:rFonts w:cs="Arial"/>
          <w:rtl/>
        </w:rPr>
        <w:t xml:space="preserve"> עיין כנה"ג </w:t>
      </w:r>
      <w:r>
        <w:rPr>
          <w:rFonts w:cs="Arial" w:hint="cs"/>
          <w:rtl/>
        </w:rPr>
        <w:t>(</w:t>
      </w:r>
      <w:r w:rsidRPr="003A11F1">
        <w:rPr>
          <w:rFonts w:cs="Arial"/>
          <w:rtl/>
        </w:rPr>
        <w:t>דף קי"ב ע"א ס"ד</w:t>
      </w:r>
      <w:r>
        <w:rPr>
          <w:rFonts w:cs="Arial" w:hint="cs"/>
          <w:rtl/>
        </w:rPr>
        <w:t>)</w:t>
      </w:r>
      <w:r w:rsidRPr="003A11F1">
        <w:rPr>
          <w:rFonts w:cs="Arial"/>
          <w:rtl/>
        </w:rPr>
        <w:t>. אשת משומד מנהג הוא להגבות כתובתה מיד אפילו בלא שבועה</w:t>
      </w:r>
      <w:r>
        <w:rPr>
          <w:rFonts w:cs="Arial" w:hint="cs"/>
          <w:rtl/>
        </w:rPr>
        <w:t>,</w:t>
      </w:r>
      <w:r w:rsidRPr="003A11F1">
        <w:rPr>
          <w:rFonts w:cs="Arial"/>
          <w:rtl/>
        </w:rPr>
        <w:t xml:space="preserve"> אגרת הרמב"ם </w:t>
      </w:r>
      <w:r>
        <w:rPr>
          <w:rFonts w:cs="Arial" w:hint="cs"/>
          <w:rtl/>
        </w:rPr>
        <w:t>(</w:t>
      </w:r>
      <w:r w:rsidRPr="003A11F1">
        <w:rPr>
          <w:rFonts w:cs="Arial"/>
          <w:rtl/>
        </w:rPr>
        <w:t>סי' כ</w:t>
      </w:r>
      <w:r>
        <w:rPr>
          <w:rFonts w:cs="Arial" w:hint="cs"/>
          <w:rtl/>
        </w:rPr>
        <w:t>)</w:t>
      </w:r>
      <w:r w:rsidRPr="003A11F1">
        <w:rPr>
          <w:rFonts w:cs="Arial"/>
          <w:rtl/>
        </w:rPr>
        <w:t xml:space="preserve"> וש"ג </w:t>
      </w:r>
      <w:r>
        <w:rPr>
          <w:rFonts w:cs="Arial" w:hint="cs"/>
          <w:rtl/>
        </w:rPr>
        <w:t>(</w:t>
      </w:r>
      <w:r w:rsidRPr="003A11F1">
        <w:rPr>
          <w:rFonts w:cs="Arial"/>
          <w:rtl/>
        </w:rPr>
        <w:t>פרק המקבל</w:t>
      </w:r>
      <w:r>
        <w:rPr>
          <w:rFonts w:cs="Arial" w:hint="cs"/>
          <w:rtl/>
        </w:rPr>
        <w:t>)</w:t>
      </w:r>
      <w:r w:rsidRPr="003A11F1">
        <w:rPr>
          <w:rFonts w:cs="Arial"/>
          <w:rtl/>
        </w:rPr>
        <w:t>. אשה שרוצה לתת לבתה סך כך</w:t>
      </w:r>
      <w:r>
        <w:rPr>
          <w:rFonts w:cs="Arial" w:hint="cs"/>
          <w:rtl/>
        </w:rPr>
        <w:t>,</w:t>
      </w:r>
      <w:r w:rsidRPr="003A11F1">
        <w:rPr>
          <w:rFonts w:cs="Arial"/>
          <w:rtl/>
        </w:rPr>
        <w:t xml:space="preserve"> והבעל אינו רוצה</w:t>
      </w:r>
      <w:r>
        <w:rPr>
          <w:rFonts w:cs="Arial" w:hint="cs"/>
          <w:rtl/>
        </w:rPr>
        <w:t>,</w:t>
      </w:r>
      <w:r w:rsidRPr="003A11F1">
        <w:rPr>
          <w:rFonts w:cs="Arial"/>
          <w:rtl/>
        </w:rPr>
        <w:t xml:space="preserve"> והיא טוענת שיתן לה הסך והיא תכתוב בשטר כתובתה שקבלה סך ההוא מבעלה</w:t>
      </w:r>
      <w:r>
        <w:rPr>
          <w:rFonts w:cs="Arial" w:hint="cs"/>
          <w:rtl/>
        </w:rPr>
        <w:t>,</w:t>
      </w:r>
      <w:r w:rsidRPr="003A11F1">
        <w:rPr>
          <w:rFonts w:cs="Arial"/>
          <w:rtl/>
        </w:rPr>
        <w:t xml:space="preserve"> ובעלה אינו רוצה </w:t>
      </w:r>
      <w:r>
        <w:rPr>
          <w:rFonts w:cs="Arial" w:hint="cs"/>
          <w:rtl/>
        </w:rPr>
        <w:t xml:space="preserve">- </w:t>
      </w:r>
      <w:r w:rsidRPr="003A11F1">
        <w:rPr>
          <w:rFonts w:cs="Arial"/>
          <w:rtl/>
        </w:rPr>
        <w:t>הדין עמו שלא נתנה כתובתה לגבות מחיים</w:t>
      </w:r>
      <w:r>
        <w:rPr>
          <w:rFonts w:cs="Arial" w:hint="cs"/>
          <w:rtl/>
        </w:rPr>
        <w:t>,</w:t>
      </w:r>
      <w:r w:rsidRPr="003A11F1">
        <w:rPr>
          <w:rFonts w:cs="Arial"/>
          <w:rtl/>
        </w:rPr>
        <w:t xml:space="preserve"> הרש"ך </w:t>
      </w:r>
      <w:r>
        <w:rPr>
          <w:rFonts w:cs="Arial" w:hint="cs"/>
          <w:rtl/>
        </w:rPr>
        <w:t>(</w:t>
      </w:r>
      <w:r w:rsidRPr="003A11F1">
        <w:rPr>
          <w:rFonts w:cs="Arial"/>
          <w:rtl/>
        </w:rPr>
        <w:t>ח"ב סי' קסו</w:t>
      </w:r>
      <w:r>
        <w:rPr>
          <w:rFonts w:cs="Arial" w:hint="cs"/>
          <w:rtl/>
        </w:rPr>
        <w:t>)</w:t>
      </w:r>
      <w:r w:rsidRPr="003A11F1">
        <w:rPr>
          <w:rFonts w:cs="Arial"/>
          <w:rtl/>
        </w:rPr>
        <w:t>. עיין בספר מקור ברוך סי' נ"ט ועיין כנה"ג. ל</w:t>
      </w:r>
      <w:r>
        <w:rPr>
          <w:rFonts w:cs="Arial" w:hint="cs"/>
          <w:rtl/>
        </w:rPr>
        <w:t xml:space="preserve">א </w:t>
      </w:r>
      <w:r w:rsidRPr="003A11F1">
        <w:rPr>
          <w:rFonts w:cs="Arial"/>
          <w:rtl/>
        </w:rPr>
        <w:t>מ</w:t>
      </w:r>
      <w:r>
        <w:rPr>
          <w:rFonts w:cs="Arial" w:hint="cs"/>
          <w:rtl/>
        </w:rPr>
        <w:t>בעיא</w:t>
      </w:r>
      <w:r w:rsidRPr="003A11F1">
        <w:rPr>
          <w:rFonts w:cs="Arial"/>
          <w:rtl/>
        </w:rPr>
        <w:t xml:space="preserve"> שלא ניתנה כתובתה לגבות מחיים אלא אפילו שואלת לבעלה שיעשה לה בטחון אינה יכולה להכריחו שיעשה לה בטחון</w:t>
      </w:r>
      <w:r>
        <w:rPr>
          <w:rFonts w:cs="Arial" w:hint="cs"/>
          <w:rtl/>
        </w:rPr>
        <w:t>,</w:t>
      </w:r>
      <w:r w:rsidRPr="003A11F1">
        <w:rPr>
          <w:rFonts w:cs="Arial"/>
          <w:rtl/>
        </w:rPr>
        <w:t xml:space="preserve"> הריב"ש </w:t>
      </w:r>
      <w:r>
        <w:rPr>
          <w:rFonts w:cs="Arial" w:hint="cs"/>
          <w:rtl/>
        </w:rPr>
        <w:t>(</w:t>
      </w:r>
      <w:r w:rsidRPr="003A11F1">
        <w:rPr>
          <w:rFonts w:cs="Arial"/>
          <w:rtl/>
        </w:rPr>
        <w:t>סי' צא</w:t>
      </w:r>
      <w:r>
        <w:rPr>
          <w:rFonts w:cs="Arial" w:hint="cs"/>
          <w:rtl/>
        </w:rPr>
        <w:t>)</w:t>
      </w:r>
      <w:r w:rsidRPr="003A11F1">
        <w:rPr>
          <w:rFonts w:cs="Arial"/>
          <w:rtl/>
        </w:rPr>
        <w:t>. אשה שנתעלם בעלה זה יו"ד שנים וקרוב לודאי שמת ואבדה כתובתה נרא' שיש ליתן הממון ביד בתו מטעם אפטרופס ותפרנס את אמה</w:t>
      </w:r>
      <w:r>
        <w:rPr>
          <w:rFonts w:cs="Arial" w:hint="cs"/>
          <w:rtl/>
        </w:rPr>
        <w:t>,</w:t>
      </w:r>
      <w:r w:rsidRPr="003A11F1">
        <w:rPr>
          <w:rFonts w:cs="Arial"/>
          <w:rtl/>
        </w:rPr>
        <w:t xml:space="preserve"> הר"ם מינץ </w:t>
      </w:r>
      <w:r>
        <w:rPr>
          <w:rFonts w:cs="Arial" w:hint="cs"/>
          <w:rtl/>
        </w:rPr>
        <w:t>(</w:t>
      </w:r>
      <w:r w:rsidRPr="003A11F1">
        <w:rPr>
          <w:rFonts w:cs="Arial"/>
          <w:rtl/>
        </w:rPr>
        <w:t>סי' מא</w:t>
      </w:r>
      <w:r>
        <w:rPr>
          <w:rFonts w:cs="Arial" w:hint="cs"/>
          <w:rtl/>
        </w:rPr>
        <w:t>).</w:t>
      </w:r>
      <w:r>
        <w:rPr>
          <w:rFonts w:hint="cs"/>
          <w:rtl/>
        </w:rPr>
        <w:t xml:space="preserve"> עכ"ל הבאה"ט. וכתב הפת"ש (סק"א) </w:t>
      </w:r>
      <w:r>
        <w:rPr>
          <w:rFonts w:cs="Arial" w:hint="cs"/>
          <w:rtl/>
        </w:rPr>
        <w:t>ש</w:t>
      </w:r>
      <w:r w:rsidRPr="00E533FD">
        <w:rPr>
          <w:rFonts w:cs="Arial"/>
          <w:rtl/>
        </w:rPr>
        <w:t>בס' בית מאיר כ</w:t>
      </w:r>
      <w:r>
        <w:rPr>
          <w:rFonts w:cs="Arial" w:hint="cs"/>
          <w:rtl/>
        </w:rPr>
        <w:t>תב-</w:t>
      </w:r>
      <w:r w:rsidRPr="00E533FD">
        <w:rPr>
          <w:rFonts w:cs="Arial"/>
          <w:rtl/>
        </w:rPr>
        <w:t xml:space="preserve"> ויראה לע"ד נהי לא קיי"ל כהעיטור שבב"י</w:t>
      </w:r>
      <w:r>
        <w:rPr>
          <w:rFonts w:cs="Arial" w:hint="cs"/>
          <w:rtl/>
        </w:rPr>
        <w:t>,</w:t>
      </w:r>
      <w:r w:rsidRPr="00E533FD">
        <w:rPr>
          <w:rFonts w:cs="Arial"/>
          <w:rtl/>
        </w:rPr>
        <w:t xml:space="preserve"> ואפי' אם נשתטה הבעל איתא בתשו' רמב"ן </w:t>
      </w:r>
      <w:r>
        <w:rPr>
          <w:rFonts w:cs="Arial" w:hint="cs"/>
          <w:rtl/>
        </w:rPr>
        <w:t>(</w:t>
      </w:r>
      <w:r w:rsidRPr="00E533FD">
        <w:rPr>
          <w:rFonts w:cs="Arial"/>
          <w:rtl/>
        </w:rPr>
        <w:t>סי' צט</w:t>
      </w:r>
      <w:r>
        <w:rPr>
          <w:rFonts w:cs="Arial" w:hint="cs"/>
          <w:rtl/>
        </w:rPr>
        <w:t>)</w:t>
      </w:r>
      <w:r w:rsidRPr="00E533FD">
        <w:rPr>
          <w:rFonts w:cs="Arial"/>
          <w:rtl/>
        </w:rPr>
        <w:t xml:space="preserve"> דאין לה תקנה ואינה יכולה לקחת נדוניית' ויתפרנס הוא מצדקה אלא ב"ד יורדין לנכסיו ומפרנסין לו ולאשתו ובניו ע"ש</w:t>
      </w:r>
      <w:r>
        <w:rPr>
          <w:rFonts w:cs="Arial" w:hint="cs"/>
          <w:rtl/>
        </w:rPr>
        <w:t>,</w:t>
      </w:r>
      <w:r w:rsidRPr="00E533FD">
        <w:rPr>
          <w:rFonts w:cs="Arial"/>
          <w:rtl/>
        </w:rPr>
        <w:t xml:space="preserve"> מ"מ אם מבזבז נכסיו בשחוק וזנות וכדומה דפסקינן בח"מ סימן ע"ג גבי לוה ומלוה דיכול לתבוע תוך הזמן אף דאפשר אשה גרועה דאולי לא תבא כלל לידי גוביינא</w:t>
      </w:r>
      <w:r>
        <w:rPr>
          <w:rFonts w:cs="Arial" w:hint="cs"/>
          <w:rtl/>
        </w:rPr>
        <w:t xml:space="preserve"> -</w:t>
      </w:r>
      <w:r w:rsidRPr="00E533FD">
        <w:rPr>
          <w:rFonts w:cs="Arial"/>
          <w:rtl/>
        </w:rPr>
        <w:t xml:space="preserve"> מ"מ בכי הא ודאי יש לסמוך על העיטור ופשטות משמעות הרמב"ם</w:t>
      </w:r>
      <w:r>
        <w:rPr>
          <w:rFonts w:cs="Arial" w:hint="cs"/>
          <w:rtl/>
        </w:rPr>
        <w:t>.</w:t>
      </w:r>
      <w:r w:rsidRPr="00E533FD">
        <w:rPr>
          <w:rFonts w:cs="Arial"/>
          <w:rtl/>
        </w:rPr>
        <w:t xml:space="preserve"> ואפילו אינה כלל מורדת ויושבת תחתיו יכולה לתבוע להוציא הממון ולעשות מהן נ"מ ע"י ענין בטוח והוא יאכל הפירות</w:t>
      </w:r>
      <w:r>
        <w:rPr>
          <w:rFonts w:cs="Arial" w:hint="cs"/>
          <w:rtl/>
        </w:rPr>
        <w:t>,</w:t>
      </w:r>
      <w:r w:rsidRPr="00E533FD">
        <w:rPr>
          <w:rFonts w:cs="Arial"/>
          <w:rtl/>
        </w:rPr>
        <w:t xml:space="preserve"> דהא להרבה ענינים נדוני' לחוב לזמן דמי עכ"ל</w:t>
      </w:r>
      <w:r>
        <w:rPr>
          <w:rFonts w:hint="cs"/>
          <w:rtl/>
        </w:rPr>
        <w:t>.</w:t>
      </w:r>
    </w:p>
  </w:footnote>
  <w:footnote w:id="2245">
    <w:p w14:paraId="28674FF1" w14:textId="77777777" w:rsidR="00DF1FC7" w:rsidRDefault="00DF1FC7" w:rsidP="002E5BAD">
      <w:pPr>
        <w:pStyle w:val="a5"/>
      </w:pPr>
      <w:r>
        <w:rPr>
          <w:rStyle w:val="a7"/>
        </w:rPr>
        <w:footnoteRef/>
      </w:r>
      <w:r>
        <w:rPr>
          <w:rtl/>
        </w:rPr>
        <w:t xml:space="preserve"> </w:t>
      </w:r>
      <w:r w:rsidRPr="00E533FD">
        <w:rPr>
          <w:rFonts w:cs="Arial"/>
          <w:rtl/>
        </w:rPr>
        <w:t>כלו' שהוא נותן לה הנדוניא או שהיא קטנה שהיא ברשותו אזי יכול להתנות עם הבעל לגרוע כח בתו ועיין בריב"ש סי' ק"ב</w:t>
      </w:r>
      <w:r>
        <w:rPr>
          <w:rFonts w:cs="Arial" w:hint="cs"/>
          <w:rtl/>
        </w:rPr>
        <w:t>, ח"מ (סק"ג).</w:t>
      </w:r>
    </w:p>
  </w:footnote>
  <w:footnote w:id="2246">
    <w:p w14:paraId="1E729C9B" w14:textId="77777777" w:rsidR="00DF1FC7" w:rsidRDefault="00DF1FC7" w:rsidP="002E5BAD">
      <w:pPr>
        <w:pStyle w:val="a5"/>
        <w:rPr>
          <w:rtl/>
        </w:rPr>
      </w:pPr>
      <w:r>
        <w:rPr>
          <w:rStyle w:val="a7"/>
        </w:rPr>
        <w:footnoteRef/>
      </w:r>
      <w:r>
        <w:rPr>
          <w:rtl/>
        </w:rPr>
        <w:t xml:space="preserve"> </w:t>
      </w:r>
      <w:r w:rsidRPr="00C21207">
        <w:rPr>
          <w:rFonts w:cs="Arial"/>
          <w:rtl/>
        </w:rPr>
        <w:t>טעמא דבני מערבא דחייב במזונותיה עד שיפרע לה כל כתובתה כדי ליפות כח האשה שיפרעו לה כתובתה בעין יפה בבת אחת ולא יתנו על יד על יד תקנו חכמים שיתחייב במזונות עד שיתנו לה פרוטה אחרונה. דאל"כ אמאי חייב לזונה יותר משאר בעלי חובות. והאי טעמא לא שייך באשה הבאה ממדינת הים ואומרת גירשני בעלי דאי אפשר לפרוע כתובתה בבת אחת שמא יבא ויאמר לא גירשתיה והיא לא תעיז פניה להכחישו בפניו. הלכך עד כדי כתובתה ניזונית ממ"נ ותו לא הרי אמרה גירשני בעלי</w:t>
      </w:r>
      <w:r>
        <w:rPr>
          <w:rFonts w:hint="cs"/>
          <w:rtl/>
        </w:rPr>
        <w:t>, רא"ש (פ"ק דב"מ סי' לד).</w:t>
      </w:r>
    </w:p>
  </w:footnote>
  <w:footnote w:id="2247">
    <w:p w14:paraId="2DEEA7CC" w14:textId="77777777" w:rsidR="00DF1FC7" w:rsidRDefault="00DF1FC7" w:rsidP="002E5BAD">
      <w:pPr>
        <w:pStyle w:val="a5"/>
      </w:pPr>
      <w:r>
        <w:rPr>
          <w:rStyle w:val="a7"/>
        </w:rPr>
        <w:footnoteRef/>
      </w:r>
      <w:r>
        <w:rPr>
          <w:rtl/>
        </w:rPr>
        <w:t xml:space="preserve"> </w:t>
      </w:r>
      <w:r w:rsidRPr="00506832">
        <w:rPr>
          <w:rFonts w:cs="Arial"/>
          <w:rtl/>
        </w:rPr>
        <w:t>אף על פי שלא נתן לה כתובתה הרי היא שלה</w:t>
      </w:r>
      <w:r>
        <w:rPr>
          <w:rFonts w:cs="Arial" w:hint="cs"/>
          <w:rtl/>
        </w:rPr>
        <w:t xml:space="preserve"> (כך המשיך הרי"ף [שם] את דברי הירושלמי).</w:t>
      </w:r>
    </w:p>
  </w:footnote>
  <w:footnote w:id="2248">
    <w:p w14:paraId="37A80D82" w14:textId="77777777" w:rsidR="00DF1FC7" w:rsidRPr="00E167F2" w:rsidRDefault="00DF1FC7" w:rsidP="002E5BAD">
      <w:pPr>
        <w:pStyle w:val="a5"/>
      </w:pPr>
      <w:r>
        <w:rPr>
          <w:rStyle w:val="a7"/>
        </w:rPr>
        <w:footnoteRef/>
      </w:r>
      <w:r>
        <w:rPr>
          <w:rtl/>
        </w:rPr>
        <w:t xml:space="preserve"> </w:t>
      </w:r>
      <w:r w:rsidRPr="00E167F2">
        <w:rPr>
          <w:rFonts w:cs="Arial"/>
          <w:rtl/>
        </w:rPr>
        <w:t>דעת קצת מן האחרונים ז"ל לסמוך על הירושלמי וכתב הרנב"ר ז"ל שאין לזוז מדברי הרי"ף ז"ל שדבריו דברי קבלה וכל שכן לאפוקי ממונא</w:t>
      </w:r>
      <w:r>
        <w:rPr>
          <w:rFonts w:cs="Arial" w:hint="cs"/>
          <w:rtl/>
        </w:rPr>
        <w:t>,</w:t>
      </w:r>
      <w:r w:rsidRPr="00E167F2">
        <w:rPr>
          <w:rFonts w:cs="Arial"/>
          <w:rtl/>
        </w:rPr>
        <w:t xml:space="preserve"> </w:t>
      </w:r>
      <w:r>
        <w:rPr>
          <w:rFonts w:cs="Arial"/>
          <w:rtl/>
        </w:rPr>
        <w:t>נמוק</w:t>
      </w:r>
      <w:r>
        <w:rPr>
          <w:rFonts w:cs="Arial" w:hint="cs"/>
          <w:rtl/>
        </w:rPr>
        <w:t>"</w:t>
      </w:r>
      <w:r>
        <w:rPr>
          <w:rFonts w:cs="Arial"/>
          <w:rtl/>
        </w:rPr>
        <w:t xml:space="preserve">י </w:t>
      </w:r>
      <w:r w:rsidRPr="00E167F2">
        <w:rPr>
          <w:rFonts w:cs="Arial"/>
          <w:sz w:val="16"/>
          <w:szCs w:val="16"/>
          <w:rtl/>
        </w:rPr>
        <w:t>(ב"מ ו. ד"ה גמ')</w:t>
      </w:r>
      <w:r>
        <w:rPr>
          <w:rFonts w:cs="Arial" w:hint="cs"/>
          <w:rtl/>
        </w:rPr>
        <w:t>.</w:t>
      </w:r>
      <w:r w:rsidRPr="00C908E9">
        <w:rPr>
          <w:rFonts w:cs="Arial"/>
          <w:rtl/>
        </w:rPr>
        <w:t xml:space="preserve"> </w:t>
      </w:r>
      <w:r w:rsidRPr="00E167F2">
        <w:rPr>
          <w:rFonts w:cs="Arial"/>
          <w:rtl/>
        </w:rPr>
        <w:t>וכן דעת הרמב"ם</w:t>
      </w:r>
      <w:r>
        <w:rPr>
          <w:rFonts w:cs="Arial" w:hint="cs"/>
          <w:rtl/>
        </w:rPr>
        <w:t>,</w:t>
      </w:r>
      <w:r w:rsidRPr="00E167F2">
        <w:rPr>
          <w:rFonts w:cs="Arial"/>
          <w:rtl/>
        </w:rPr>
        <w:t xml:space="preserve"> שהשמיט הירושלמי הזה</w:t>
      </w:r>
      <w:r>
        <w:rPr>
          <w:rFonts w:cs="Arial" w:hint="cs"/>
          <w:rtl/>
        </w:rPr>
        <w:t>.</w:t>
      </w:r>
      <w:r w:rsidRPr="00E167F2">
        <w:rPr>
          <w:rFonts w:cs="Arial"/>
          <w:rtl/>
        </w:rPr>
        <w:t xml:space="preserve"> וכן דעת הריב"ש בתשובה (סי' שג)</w:t>
      </w:r>
      <w:r>
        <w:rPr>
          <w:rFonts w:cs="Arial" w:hint="cs"/>
          <w:rtl/>
        </w:rPr>
        <w:t>,</w:t>
      </w:r>
      <w:r w:rsidRPr="00E167F2">
        <w:rPr>
          <w:rFonts w:cs="Arial"/>
          <w:rtl/>
        </w:rPr>
        <w:t xml:space="preserve"> וכתב שכן כתב הרשב"א בתשובה בפשיטות</w:t>
      </w:r>
      <w:r>
        <w:rPr>
          <w:rFonts w:cs="Arial" w:hint="cs"/>
          <w:rtl/>
        </w:rPr>
        <w:t>,</w:t>
      </w:r>
      <w:r w:rsidRPr="00E167F2">
        <w:rPr>
          <w:rFonts w:cs="Arial"/>
          <w:rtl/>
        </w:rPr>
        <w:t xml:space="preserve"> וכן כתב בתשובות להרמב"ן (במיוחסות) סימן ע"ב</w:t>
      </w:r>
      <w:r>
        <w:rPr>
          <w:rFonts w:cs="Arial" w:hint="cs"/>
          <w:rtl/>
        </w:rPr>
        <w:t>, ב"י.</w:t>
      </w:r>
    </w:p>
  </w:footnote>
  <w:footnote w:id="2249">
    <w:p w14:paraId="451B0A3F" w14:textId="77777777" w:rsidR="00DF1FC7" w:rsidRDefault="00DF1FC7" w:rsidP="002E5BAD">
      <w:pPr>
        <w:pStyle w:val="a5"/>
      </w:pPr>
      <w:r>
        <w:rPr>
          <w:rStyle w:val="a7"/>
        </w:rPr>
        <w:footnoteRef/>
      </w:r>
      <w:r>
        <w:rPr>
          <w:rtl/>
        </w:rPr>
        <w:t xml:space="preserve"> </w:t>
      </w:r>
      <w:r w:rsidRPr="003E717B">
        <w:rPr>
          <w:rFonts w:cs="Arial"/>
          <w:rtl/>
        </w:rPr>
        <w:t>כגון זרק לה גיטה, ספק קרוב לה ספק קרוב לו ברשות הרבים</w:t>
      </w:r>
      <w:r>
        <w:rPr>
          <w:rFonts w:cs="Arial" w:hint="cs"/>
          <w:rtl/>
        </w:rPr>
        <w:t>, רש"י.</w:t>
      </w:r>
    </w:p>
  </w:footnote>
  <w:footnote w:id="2250">
    <w:p w14:paraId="3964DA72" w14:textId="77777777" w:rsidR="00DF1FC7" w:rsidRDefault="00DF1FC7" w:rsidP="002E5BAD">
      <w:pPr>
        <w:pStyle w:val="a5"/>
        <w:rPr>
          <w:rtl/>
        </w:rPr>
      </w:pPr>
      <w:r>
        <w:rPr>
          <w:rStyle w:val="a7"/>
        </w:rPr>
        <w:footnoteRef/>
      </w:r>
      <w:r>
        <w:rPr>
          <w:rtl/>
        </w:rPr>
        <w:t xml:space="preserve"> </w:t>
      </w:r>
      <w:r w:rsidRPr="003E717B">
        <w:rPr>
          <w:rFonts w:cs="Arial"/>
          <w:rtl/>
        </w:rPr>
        <w:t>דוקא בחייו משום דמעוכבת בשבילו להנשא אבל לאחר מיתה לא דדלמא גרושין הוו ואין לה מזונות דמספיקא לא מפקי' ממונא</w:t>
      </w:r>
      <w:r>
        <w:rPr>
          <w:rFonts w:cs="Arial" w:hint="cs"/>
          <w:rtl/>
        </w:rPr>
        <w:t>,</w:t>
      </w:r>
      <w:r w:rsidRPr="003E717B">
        <w:rPr>
          <w:rFonts w:cs="Arial"/>
          <w:rtl/>
        </w:rPr>
        <w:t xml:space="preserve"> </w:t>
      </w:r>
      <w:r>
        <w:rPr>
          <w:rFonts w:cs="Arial"/>
          <w:rtl/>
        </w:rPr>
        <w:t>רש"י</w:t>
      </w:r>
      <w:r>
        <w:rPr>
          <w:rFonts w:cs="Arial" w:hint="cs"/>
          <w:rtl/>
        </w:rPr>
        <w:t>.</w:t>
      </w:r>
      <w:r>
        <w:rPr>
          <w:rFonts w:cs="Arial"/>
          <w:rtl/>
        </w:rPr>
        <w:t xml:space="preserve"> </w:t>
      </w:r>
    </w:p>
  </w:footnote>
  <w:footnote w:id="2251">
    <w:p w14:paraId="6D1D0CCC" w14:textId="77777777" w:rsidR="00DF1FC7" w:rsidRDefault="00DF1FC7" w:rsidP="002E5BAD">
      <w:pPr>
        <w:pStyle w:val="a5"/>
      </w:pPr>
      <w:r>
        <w:rPr>
          <w:rStyle w:val="a7"/>
        </w:rPr>
        <w:footnoteRef/>
      </w:r>
      <w:r>
        <w:rPr>
          <w:rtl/>
        </w:rPr>
        <w:t xml:space="preserve"> </w:t>
      </w:r>
      <w:r w:rsidRPr="00974416">
        <w:rPr>
          <w:rFonts w:cs="Arial"/>
          <w:rtl/>
        </w:rPr>
        <w:t>וכשנתגרשה לגמרי אף שלא נתן לה כתובה אפ"ה אין לה מזונות ודלא כהחולקין שיש לה מזונות עד שישלם לה כתובה עד פרוטה אחרונה עיין בטור ובב"י</w:t>
      </w:r>
      <w:r>
        <w:rPr>
          <w:rFonts w:cs="Arial" w:hint="cs"/>
          <w:rtl/>
        </w:rPr>
        <w:t>, ח"מ (סק"ד).</w:t>
      </w:r>
      <w:r w:rsidRPr="00257D1B">
        <w:rPr>
          <w:rtl/>
        </w:rPr>
        <w:t xml:space="preserve"> </w:t>
      </w:r>
      <w:r>
        <w:rPr>
          <w:rFonts w:cs="Arial" w:hint="cs"/>
          <w:rtl/>
        </w:rPr>
        <w:t xml:space="preserve">וכ"כ </w:t>
      </w:r>
      <w:r w:rsidRPr="00257D1B">
        <w:rPr>
          <w:rFonts w:cs="Arial"/>
          <w:rtl/>
        </w:rPr>
        <w:t>בס' ישועו' יעקב</w:t>
      </w:r>
      <w:r>
        <w:rPr>
          <w:rFonts w:cs="Arial" w:hint="cs"/>
          <w:rtl/>
        </w:rPr>
        <w:t>,</w:t>
      </w:r>
      <w:r w:rsidRPr="00257D1B">
        <w:rPr>
          <w:rFonts w:cs="Arial"/>
          <w:rtl/>
        </w:rPr>
        <w:t xml:space="preserve"> שכ' ולדינא נראה שאין להוציא מן הבעל ע"ש</w:t>
      </w:r>
      <w:r>
        <w:rPr>
          <w:rFonts w:cs="Arial" w:hint="cs"/>
          <w:rtl/>
        </w:rPr>
        <w:t>.</w:t>
      </w:r>
      <w:r w:rsidRPr="00257D1B">
        <w:rPr>
          <w:rFonts w:cs="Arial"/>
          <w:rtl/>
        </w:rPr>
        <w:t xml:space="preserve"> ופשוט הוא</w:t>
      </w:r>
      <w:r>
        <w:rPr>
          <w:rFonts w:cs="Arial" w:hint="cs"/>
          <w:rtl/>
        </w:rPr>
        <w:t>, פת"ש (סק"ג).</w:t>
      </w:r>
    </w:p>
  </w:footnote>
  <w:footnote w:id="2252">
    <w:p w14:paraId="0E80CF98" w14:textId="77777777" w:rsidR="00DF1FC7" w:rsidRDefault="00DF1FC7" w:rsidP="002E5BAD">
      <w:pPr>
        <w:pStyle w:val="a5"/>
      </w:pPr>
      <w:r>
        <w:rPr>
          <w:rStyle w:val="a7"/>
        </w:rPr>
        <w:footnoteRef/>
      </w:r>
      <w:r>
        <w:rPr>
          <w:rtl/>
        </w:rPr>
        <w:t xml:space="preserve"> </w:t>
      </w:r>
      <w:r>
        <w:rPr>
          <w:rFonts w:cs="Arial"/>
          <w:rtl/>
        </w:rPr>
        <w:t>פי</w:t>
      </w:r>
      <w:r>
        <w:rPr>
          <w:rFonts w:cs="Arial" w:hint="cs"/>
          <w:rtl/>
        </w:rPr>
        <w:t>רוש</w:t>
      </w:r>
      <w:r>
        <w:rPr>
          <w:rFonts w:cs="Arial"/>
          <w:rtl/>
        </w:rPr>
        <w:t xml:space="preserve"> </w:t>
      </w:r>
      <w:r>
        <w:rPr>
          <w:rFonts w:cs="Arial" w:hint="cs"/>
          <w:rtl/>
        </w:rPr>
        <w:t>'</w:t>
      </w:r>
      <w:r>
        <w:rPr>
          <w:rFonts w:cs="Arial"/>
          <w:rtl/>
        </w:rPr>
        <w:t>כל ימי מיגד אלמנותיך</w:t>
      </w:r>
      <w:r>
        <w:rPr>
          <w:rFonts w:cs="Arial" w:hint="cs"/>
          <w:rtl/>
        </w:rPr>
        <w:t>' -</w:t>
      </w:r>
      <w:r>
        <w:rPr>
          <w:rFonts w:cs="Arial"/>
          <w:rtl/>
        </w:rPr>
        <w:t xml:space="preserve"> כל ימי משך אלמנותיך</w:t>
      </w:r>
      <w:r>
        <w:rPr>
          <w:rFonts w:cs="Arial" w:hint="cs"/>
          <w:rtl/>
        </w:rPr>
        <w:t>, ב"י.</w:t>
      </w:r>
    </w:p>
  </w:footnote>
  <w:footnote w:id="2253">
    <w:p w14:paraId="7EA8B9D4" w14:textId="77777777" w:rsidR="00DF1FC7" w:rsidRDefault="00DF1FC7" w:rsidP="002E5BAD">
      <w:pPr>
        <w:pStyle w:val="a5"/>
      </w:pPr>
      <w:r>
        <w:rPr>
          <w:rStyle w:val="a7"/>
        </w:rPr>
        <w:footnoteRef/>
      </w:r>
      <w:r>
        <w:rPr>
          <w:rtl/>
        </w:rPr>
        <w:t xml:space="preserve"> </w:t>
      </w:r>
      <w:r>
        <w:rPr>
          <w:rFonts w:cs="Arial"/>
          <w:rtl/>
        </w:rPr>
        <w:t>והוא פשוט שאין בידו להפקיע חוב שנשתעבדו נכסיו לו ודוגמת זה אמרינן בסוף פרק מציאת האשה (סח:) האומר אל יזונו בנותי מנכסי אין שומעין לו</w:t>
      </w:r>
      <w:r>
        <w:rPr>
          <w:rFonts w:cs="Arial" w:hint="cs"/>
          <w:rtl/>
        </w:rPr>
        <w:t>, ב"י.</w:t>
      </w:r>
    </w:p>
  </w:footnote>
  <w:footnote w:id="2254">
    <w:p w14:paraId="29EE0263" w14:textId="77777777" w:rsidR="00DF1FC7" w:rsidRDefault="00DF1FC7" w:rsidP="002E5BAD">
      <w:pPr>
        <w:pStyle w:val="a5"/>
      </w:pPr>
      <w:r>
        <w:rPr>
          <w:rStyle w:val="a7"/>
        </w:rPr>
        <w:footnoteRef/>
      </w:r>
      <w:r>
        <w:rPr>
          <w:rtl/>
        </w:rPr>
        <w:t xml:space="preserve"> </w:t>
      </w:r>
      <w:r>
        <w:rPr>
          <w:rFonts w:cs="Arial"/>
          <w:rtl/>
        </w:rPr>
        <w:t>הכי משמע מפשטא דמתני'</w:t>
      </w:r>
      <w:r>
        <w:rPr>
          <w:rFonts w:cs="Arial" w:hint="cs"/>
          <w:rtl/>
        </w:rPr>
        <w:t>, ב"י.</w:t>
      </w:r>
    </w:p>
  </w:footnote>
  <w:footnote w:id="2255">
    <w:p w14:paraId="2ADE59EC" w14:textId="77777777" w:rsidR="00DF1FC7" w:rsidRDefault="00DF1FC7" w:rsidP="002E5BAD">
      <w:pPr>
        <w:pStyle w:val="a5"/>
        <w:rPr>
          <w:rtl/>
        </w:rPr>
      </w:pPr>
      <w:r>
        <w:rPr>
          <w:rStyle w:val="a7"/>
        </w:rPr>
        <w:footnoteRef/>
      </w:r>
      <w:r>
        <w:rPr>
          <w:rtl/>
        </w:rPr>
        <w:t xml:space="preserve"> </w:t>
      </w:r>
      <w:r>
        <w:rPr>
          <w:rFonts w:hint="cs"/>
          <w:rtl/>
        </w:rPr>
        <w:t xml:space="preserve">וז"ל- </w:t>
      </w:r>
      <w:r>
        <w:rPr>
          <w:rFonts w:cs="Arial"/>
          <w:rtl/>
        </w:rPr>
        <w:t>וששאלתם אם הלכה כאנשי יהודה או כאנשי גליל [כתובות נב</w:t>
      </w:r>
      <w:r>
        <w:rPr>
          <w:rFonts w:cs="Arial" w:hint="cs"/>
          <w:rtl/>
        </w:rPr>
        <w:t>:</w:t>
      </w:r>
      <w:r>
        <w:rPr>
          <w:rFonts w:cs="Arial"/>
          <w:rtl/>
        </w:rPr>
        <w:t>]</w:t>
      </w:r>
      <w:r>
        <w:rPr>
          <w:rFonts w:cs="Arial" w:hint="cs"/>
          <w:rtl/>
        </w:rPr>
        <w:t>.</w:t>
      </w:r>
      <w:r>
        <w:rPr>
          <w:rFonts w:cs="Arial"/>
          <w:rtl/>
        </w:rPr>
        <w:t xml:space="preserve"> אני איני כדי להכריע בזה, דבר זה נפתח בגדולים ורבו מחלוקות בדבר זה. אמנם מנהגינו לפסוק בכל דבר כדברי רבינו האלפיסי בדבר שלא נחלקו עליו התוספות. אמנם איני זכור בשום דבר שהתוס' חלוקין עליו כי כל דרכיו משפט צדק, וכ"ש בנדון זה שהתוס' פסקו בהדיא כמותו דהלכה כאנשי גליל. </w:t>
      </w:r>
    </w:p>
    <w:p w14:paraId="2F2C70ED" w14:textId="77777777" w:rsidR="00DF1FC7" w:rsidRDefault="00DF1FC7" w:rsidP="002E5BAD">
      <w:pPr>
        <w:pStyle w:val="a5"/>
        <w:rPr>
          <w:rtl/>
        </w:rPr>
      </w:pPr>
      <w:r>
        <w:rPr>
          <w:rFonts w:cs="Arial"/>
          <w:rtl/>
        </w:rPr>
        <w:t>ואין להביא ראיה ממנהג עירכם שיש בני אדם שנים ושלשה שכתבו לנשותיהם שכל זמן שהיו רוצים לישב כך באלמנות חיות להתחזק בכל נכסיהם, זו אינה ראיה כלל לומר שנהגתם כאנשי יהודה מדהוצרכו לכתוב כך. חדא, וכי מפני שכתבו כך לייפות את כחה בעלמא נביא ראיה מזה. ועוד, אפילו לאנשי גליל מועיל מה שכותב לה כך, דאפילו לאנשי גליל נהי דניזונית בעל כרחן של היתומים ואין יכולין לסלקה בכתובתה, מ"מ אין מחזיקין אותה בכל הנכסים. להכי אהני מה שכותב לה כך, דלכתחילה מחזיקין לה בכל הנכסים לשאת ולתת בהו. ואי לא כתב לה לא יהבינן בידה אלא כדי ל' יום כל שעה ושעה מל' לל' כדמפרש בפרק אלמנה [כתובות צז</w:t>
      </w:r>
      <w:r>
        <w:rPr>
          <w:rFonts w:cs="Arial" w:hint="cs"/>
          <w:rtl/>
        </w:rPr>
        <w:t>.</w:t>
      </w:r>
      <w:r>
        <w:rPr>
          <w:rFonts w:cs="Arial"/>
          <w:rtl/>
        </w:rPr>
        <w:t>]. גם אין ראייה ממה שכמה פעמים נתנו היתומים לאלמנה וסילקוה, דשמא מרצונה היה. ועוד, אטו כולהו נשי דינא גמירן דידעי דלא יכלו לסלקן בעל כרחן, מה שלא מיחו הנשים לפי שהיו סבורות דדינא הכי.</w:t>
      </w:r>
    </w:p>
  </w:footnote>
  <w:footnote w:id="2256">
    <w:p w14:paraId="56F504CB" w14:textId="77777777" w:rsidR="00DF1FC7" w:rsidRDefault="00DF1FC7" w:rsidP="002E5BAD">
      <w:pPr>
        <w:pStyle w:val="a5"/>
      </w:pPr>
      <w:r>
        <w:rPr>
          <w:rStyle w:val="a7"/>
        </w:rPr>
        <w:footnoteRef/>
      </w:r>
      <w:r>
        <w:rPr>
          <w:rtl/>
        </w:rPr>
        <w:t xml:space="preserve"> </w:t>
      </w:r>
      <w:r>
        <w:rPr>
          <w:rFonts w:cs="Arial"/>
          <w:rtl/>
        </w:rPr>
        <w:t xml:space="preserve">ר"ח </w:t>
      </w:r>
      <w:r w:rsidRPr="005D5D84">
        <w:rPr>
          <w:rFonts w:cs="Arial" w:hint="cs"/>
          <w:sz w:val="16"/>
          <w:szCs w:val="16"/>
          <w:rtl/>
        </w:rPr>
        <w:t>(</w:t>
      </w:r>
      <w:r w:rsidRPr="005D5D84">
        <w:rPr>
          <w:rFonts w:cs="Arial"/>
          <w:sz w:val="16"/>
          <w:szCs w:val="16"/>
          <w:rtl/>
        </w:rPr>
        <w:t>בתוס' שם ד"ה ושמואל</w:t>
      </w:r>
      <w:r w:rsidRPr="005D5D84">
        <w:rPr>
          <w:rFonts w:cs="Arial" w:hint="cs"/>
          <w:sz w:val="16"/>
          <w:szCs w:val="16"/>
          <w:rtl/>
        </w:rPr>
        <w:t>)</w:t>
      </w:r>
      <w:r w:rsidRPr="005D5D84">
        <w:rPr>
          <w:rFonts w:cs="Arial"/>
          <w:sz w:val="16"/>
          <w:szCs w:val="16"/>
          <w:rtl/>
        </w:rPr>
        <w:t xml:space="preserve"> </w:t>
      </w:r>
      <w:r>
        <w:rPr>
          <w:rFonts w:cs="Arial"/>
          <w:rtl/>
        </w:rPr>
        <w:t xml:space="preserve">רי"ף </w:t>
      </w:r>
      <w:r w:rsidRPr="005D5D84">
        <w:rPr>
          <w:rFonts w:cs="Arial" w:hint="cs"/>
          <w:sz w:val="16"/>
          <w:szCs w:val="16"/>
          <w:rtl/>
        </w:rPr>
        <w:t>(</w:t>
      </w:r>
      <w:r w:rsidRPr="005D5D84">
        <w:rPr>
          <w:rFonts w:cs="Arial"/>
          <w:sz w:val="16"/>
          <w:szCs w:val="16"/>
          <w:rtl/>
        </w:rPr>
        <w:t xml:space="preserve">כ:) </w:t>
      </w:r>
      <w:r>
        <w:rPr>
          <w:rFonts w:cs="Arial"/>
          <w:rtl/>
        </w:rPr>
        <w:t xml:space="preserve">רמב"ם </w:t>
      </w:r>
      <w:r w:rsidRPr="005D5D84">
        <w:rPr>
          <w:rFonts w:cs="Arial" w:hint="cs"/>
          <w:sz w:val="16"/>
          <w:szCs w:val="16"/>
          <w:rtl/>
        </w:rPr>
        <w:t>(</w:t>
      </w:r>
      <w:r w:rsidRPr="005D5D84">
        <w:rPr>
          <w:rFonts w:cs="Arial"/>
          <w:sz w:val="16"/>
          <w:szCs w:val="16"/>
          <w:rtl/>
        </w:rPr>
        <w:t xml:space="preserve">פי"ח מאישות ה"א) </w:t>
      </w:r>
      <w:r>
        <w:rPr>
          <w:rFonts w:cs="Arial" w:hint="cs"/>
          <w:rtl/>
        </w:rPr>
        <w:t xml:space="preserve">מהר"ם </w:t>
      </w:r>
      <w:r>
        <w:rPr>
          <w:rFonts w:cs="Arial" w:hint="cs"/>
          <w:sz w:val="16"/>
          <w:szCs w:val="16"/>
          <w:rtl/>
        </w:rPr>
        <w:t>(</w:t>
      </w:r>
      <w:r w:rsidRPr="0057573F">
        <w:rPr>
          <w:rFonts w:cs="Arial"/>
          <w:sz w:val="16"/>
          <w:szCs w:val="16"/>
          <w:rtl/>
        </w:rPr>
        <w:t>ספר סיני וליקוטים סי</w:t>
      </w:r>
      <w:r>
        <w:rPr>
          <w:rFonts w:cs="Arial" w:hint="cs"/>
          <w:sz w:val="16"/>
          <w:szCs w:val="16"/>
          <w:rtl/>
        </w:rPr>
        <w:t>'</w:t>
      </w:r>
      <w:r w:rsidRPr="0057573F">
        <w:rPr>
          <w:rFonts w:cs="Arial"/>
          <w:sz w:val="16"/>
          <w:szCs w:val="16"/>
          <w:rtl/>
        </w:rPr>
        <w:t xml:space="preserve"> קטו</w:t>
      </w:r>
      <w:r>
        <w:rPr>
          <w:rFonts w:cs="Arial" w:hint="cs"/>
          <w:sz w:val="16"/>
          <w:szCs w:val="16"/>
          <w:rtl/>
        </w:rPr>
        <w:t xml:space="preserve">, הביאו המרדכי [כתובות סי' קע]) </w:t>
      </w:r>
      <w:r>
        <w:rPr>
          <w:rFonts w:cs="Arial"/>
          <w:rtl/>
        </w:rPr>
        <w:t xml:space="preserve">רא"ש </w:t>
      </w:r>
      <w:r w:rsidRPr="005D5D84">
        <w:rPr>
          <w:rFonts w:cs="Arial"/>
          <w:sz w:val="16"/>
          <w:szCs w:val="16"/>
          <w:rtl/>
        </w:rPr>
        <w:t>(סי' לא)</w:t>
      </w:r>
      <w:r w:rsidRPr="005D5D84">
        <w:rPr>
          <w:rFonts w:cs="Arial" w:hint="cs"/>
          <w:sz w:val="16"/>
          <w:szCs w:val="16"/>
          <w:rtl/>
        </w:rPr>
        <w:t xml:space="preserve"> </w:t>
      </w:r>
      <w:r>
        <w:rPr>
          <w:rFonts w:cs="Arial" w:hint="cs"/>
          <w:rtl/>
        </w:rPr>
        <w:t>וטור.</w:t>
      </w:r>
    </w:p>
  </w:footnote>
  <w:footnote w:id="2257">
    <w:p w14:paraId="10C5D1A4" w14:textId="77777777" w:rsidR="00DF1FC7" w:rsidRDefault="00DF1FC7" w:rsidP="002E5BAD">
      <w:pPr>
        <w:pStyle w:val="a5"/>
        <w:rPr>
          <w:rtl/>
        </w:rPr>
      </w:pPr>
      <w:r>
        <w:rPr>
          <w:rStyle w:val="a7"/>
        </w:rPr>
        <w:footnoteRef/>
      </w:r>
      <w:r>
        <w:rPr>
          <w:rtl/>
        </w:rPr>
        <w:t xml:space="preserve"> </w:t>
      </w:r>
      <w:r w:rsidRPr="00410A12">
        <w:rPr>
          <w:rFonts w:cs="Arial"/>
          <w:rtl/>
        </w:rPr>
        <w:t>ועיין עוד במיוחסות סי</w:t>
      </w:r>
      <w:r>
        <w:rPr>
          <w:rFonts w:cs="Arial" w:hint="cs"/>
          <w:rtl/>
        </w:rPr>
        <w:t>'</w:t>
      </w:r>
      <w:r w:rsidRPr="00410A12">
        <w:rPr>
          <w:rFonts w:cs="Arial"/>
          <w:rtl/>
        </w:rPr>
        <w:t xml:space="preserve"> מ"ב ובתשובת הרשב"א (ח"א) סימן תתקצ"ו מדינים אלו</w:t>
      </w:r>
      <w:r>
        <w:rPr>
          <w:rFonts w:cs="Arial" w:hint="cs"/>
          <w:rtl/>
        </w:rPr>
        <w:t>,</w:t>
      </w:r>
      <w:r w:rsidRPr="00410A12">
        <w:rPr>
          <w:rFonts w:cs="Arial"/>
          <w:rtl/>
        </w:rPr>
        <w:t xml:space="preserve"> ועיין בחושן המשפט סימן ס"ב וס"ד מקצת דינים אלו</w:t>
      </w:r>
      <w:r>
        <w:rPr>
          <w:rFonts w:cs="Arial" w:hint="cs"/>
          <w:rtl/>
        </w:rPr>
        <w:t>, דרכ"מ (אות ז).</w:t>
      </w:r>
    </w:p>
  </w:footnote>
  <w:footnote w:id="2258">
    <w:p w14:paraId="100837A7" w14:textId="77777777" w:rsidR="00DF1FC7" w:rsidRDefault="00DF1FC7" w:rsidP="002E5BAD">
      <w:pPr>
        <w:pStyle w:val="a5"/>
      </w:pPr>
      <w:r>
        <w:rPr>
          <w:rStyle w:val="a7"/>
        </w:rPr>
        <w:footnoteRef/>
      </w:r>
      <w:r>
        <w:rPr>
          <w:rtl/>
        </w:rPr>
        <w:t xml:space="preserve"> </w:t>
      </w:r>
      <w:r>
        <w:rPr>
          <w:rFonts w:cs="Arial" w:hint="cs"/>
          <w:rtl/>
        </w:rPr>
        <w:t xml:space="preserve">וזו תחילת לשון התשובה- </w:t>
      </w:r>
      <w:r w:rsidRPr="00DD7578">
        <w:rPr>
          <w:rFonts w:cs="Arial"/>
          <w:rtl/>
        </w:rPr>
        <w:t>כך אירע מעשה שמת אדם אחד שהיה אמוד אמיד בממון ולא הניח בנים ולא אחין</w:t>
      </w:r>
      <w:r>
        <w:rPr>
          <w:rFonts w:cs="Arial" w:hint="cs"/>
          <w:rtl/>
        </w:rPr>
        <w:t>,</w:t>
      </w:r>
      <w:r w:rsidRPr="00DD7578">
        <w:rPr>
          <w:rFonts w:cs="Arial"/>
          <w:rtl/>
        </w:rPr>
        <w:t xml:space="preserve"> ואלמנתו תפסה הנכסים ואמרה שרוצה לזון מהם ואינה רוצה להוציאם מת"י אולי יפסדו ויחסרו לה מזונות</w:t>
      </w:r>
      <w:r>
        <w:rPr>
          <w:rFonts w:cs="Arial" w:hint="cs"/>
          <w:rtl/>
        </w:rPr>
        <w:t>.</w:t>
      </w:r>
      <w:r w:rsidRPr="00DD7578">
        <w:rPr>
          <w:rFonts w:cs="Arial"/>
          <w:rtl/>
        </w:rPr>
        <w:t xml:space="preserve"> ולפיכך נתעוררו אנשים מן הקהל לתקן שכל אשה לא תהיה נזונית מנכסי בעלה רק ג' חדשים ואז תהיה מוכרחת לישבע וליטול כתובתה ואני אומר לפענ"ד כי אין כח ביד ב"ד לתקן זה</w:t>
      </w:r>
      <w:r>
        <w:rPr>
          <w:rFonts w:cs="Arial" w:hint="cs"/>
          <w:rtl/>
        </w:rPr>
        <w:t>...</w:t>
      </w:r>
    </w:p>
  </w:footnote>
  <w:footnote w:id="2259">
    <w:p w14:paraId="264BC88D" w14:textId="77777777" w:rsidR="00DF1FC7" w:rsidRDefault="00DF1FC7" w:rsidP="002E5BAD">
      <w:pPr>
        <w:pStyle w:val="a5"/>
        <w:rPr>
          <w:rtl/>
        </w:rPr>
      </w:pPr>
      <w:r>
        <w:rPr>
          <w:rStyle w:val="a7"/>
        </w:rPr>
        <w:footnoteRef/>
      </w:r>
      <w:r>
        <w:rPr>
          <w:rtl/>
        </w:rPr>
        <w:t xml:space="preserve"> </w:t>
      </w:r>
      <w:r w:rsidRPr="00DE524A">
        <w:rPr>
          <w:rFonts w:cs="Arial"/>
          <w:rtl/>
        </w:rPr>
        <w:t>והאריך בדבר ואין דבריו נראין בעיני אלא יכולים הם לתקן כן ותקנה הגונה וראויה היא וכן כתב הריב"ש בתשובה סימן ק"ז שזו אחת מהתקנות שהתקינו במקומו</w:t>
      </w:r>
      <w:r>
        <w:rPr>
          <w:rFonts w:cs="Arial" w:hint="cs"/>
          <w:rtl/>
        </w:rPr>
        <w:t>, ב"י.</w:t>
      </w:r>
    </w:p>
  </w:footnote>
  <w:footnote w:id="2260">
    <w:p w14:paraId="44599C9E" w14:textId="77777777" w:rsidR="00DF1FC7" w:rsidRDefault="00DF1FC7" w:rsidP="002E5BAD">
      <w:pPr>
        <w:pStyle w:val="a5"/>
        <w:rPr>
          <w:rtl/>
        </w:rPr>
      </w:pPr>
      <w:r>
        <w:rPr>
          <w:rStyle w:val="a7"/>
        </w:rPr>
        <w:footnoteRef/>
      </w:r>
      <w:r w:rsidRPr="00C94137">
        <w:rPr>
          <w:rFonts w:cs="Arial"/>
          <w:rtl/>
        </w:rPr>
        <w:t xml:space="preserve"> וע"ל סימן קי"ח (עמ' פח) תשובת הרא"ש (כלל נ סי' ט) אם הברירה ביד היתומים ליתן לה כתובה או חצי הנכסים אי יכולין לסלקה בעל כרחה</w:t>
      </w:r>
      <w:r>
        <w:rPr>
          <w:rFonts w:cs="Arial" w:hint="cs"/>
          <w:rtl/>
        </w:rPr>
        <w:t xml:space="preserve">, דרכ"מ </w:t>
      </w:r>
      <w:r w:rsidRPr="00C94137">
        <w:rPr>
          <w:rFonts w:cs="Arial"/>
          <w:rtl/>
        </w:rPr>
        <w:t>(</w:t>
      </w:r>
      <w:r>
        <w:rPr>
          <w:rFonts w:cs="Arial" w:hint="cs"/>
          <w:rtl/>
        </w:rPr>
        <w:t xml:space="preserve">אות </w:t>
      </w:r>
      <w:r w:rsidRPr="00C94137">
        <w:rPr>
          <w:rFonts w:cs="Arial"/>
          <w:rtl/>
        </w:rPr>
        <w:t>טז)</w:t>
      </w:r>
      <w:r>
        <w:rPr>
          <w:rFonts w:cs="Arial" w:hint="cs"/>
          <w:rtl/>
        </w:rPr>
        <w:t>.</w:t>
      </w:r>
    </w:p>
  </w:footnote>
  <w:footnote w:id="2261">
    <w:p w14:paraId="3CDA399B" w14:textId="77777777" w:rsidR="00DF1FC7" w:rsidRDefault="00DF1FC7" w:rsidP="002E5BAD">
      <w:pPr>
        <w:pStyle w:val="a5"/>
      </w:pPr>
      <w:r>
        <w:rPr>
          <w:rStyle w:val="a7"/>
        </w:rPr>
        <w:footnoteRef/>
      </w:r>
      <w:r>
        <w:rPr>
          <w:rtl/>
        </w:rPr>
        <w:t xml:space="preserve"> </w:t>
      </w:r>
      <w:r>
        <w:rPr>
          <w:rFonts w:cs="Arial"/>
          <w:rtl/>
        </w:rPr>
        <w:t xml:space="preserve">עיי' בתשו' אא"ז פנים מאירות </w:t>
      </w:r>
      <w:r>
        <w:rPr>
          <w:rFonts w:cs="Arial" w:hint="cs"/>
          <w:rtl/>
        </w:rPr>
        <w:t>(</w:t>
      </w:r>
      <w:r>
        <w:rPr>
          <w:rFonts w:cs="Arial"/>
          <w:rtl/>
        </w:rPr>
        <w:t>ח"ב סי' ק</w:t>
      </w:r>
      <w:r>
        <w:rPr>
          <w:rFonts w:cs="Arial" w:hint="cs"/>
          <w:rtl/>
        </w:rPr>
        <w:t>)</w:t>
      </w:r>
      <w:r>
        <w:rPr>
          <w:rFonts w:cs="Arial"/>
          <w:rtl/>
        </w:rPr>
        <w:t xml:space="preserve"> שכ' דהדבר ברור דדוקא אם לא תבעה האלמנה כתובה בב"ד</w:t>
      </w:r>
      <w:r>
        <w:rPr>
          <w:rFonts w:cs="Arial" w:hint="cs"/>
          <w:rtl/>
        </w:rPr>
        <w:t>,</w:t>
      </w:r>
      <w:r>
        <w:rPr>
          <w:rFonts w:cs="Arial"/>
          <w:rtl/>
        </w:rPr>
        <w:t xml:space="preserve"> אבל אם תבעה כתוב</w:t>
      </w:r>
      <w:r>
        <w:rPr>
          <w:rFonts w:cs="Arial" w:hint="cs"/>
          <w:rtl/>
        </w:rPr>
        <w:t>ה</w:t>
      </w:r>
      <w:r>
        <w:rPr>
          <w:rFonts w:cs="Arial"/>
          <w:rtl/>
        </w:rPr>
        <w:t xml:space="preserve"> בב"ד מזה לא דיבר הריב"ש</w:t>
      </w:r>
      <w:r>
        <w:rPr>
          <w:rFonts w:cs="Arial" w:hint="cs"/>
          <w:rtl/>
        </w:rPr>
        <w:t>,</w:t>
      </w:r>
      <w:r>
        <w:rPr>
          <w:rFonts w:cs="Arial"/>
          <w:rtl/>
        </w:rPr>
        <w:t xml:space="preserve"> וכ"ע מודו דאין לה מזונות</w:t>
      </w:r>
      <w:r>
        <w:rPr>
          <w:rFonts w:cs="Arial" w:hint="cs"/>
          <w:rtl/>
        </w:rPr>
        <w:t xml:space="preserve">... </w:t>
      </w:r>
      <w:r>
        <w:rPr>
          <w:rFonts w:cs="Arial"/>
          <w:rtl/>
        </w:rPr>
        <w:t>אפי' בג"ח הראשונים. וסיים שדבר זה הוא פשוט ולא כתבתי אלא להוצי' מדיין א' שרצה לפסוק אף בדתבעה כתובו' ליתן לה מזונות משך ג' חדשי' ראשונים ודבר ברור שאין הדין כן עכ"ד ע"ש. וכ"כ בגליון ש"ע דהגאון רע"ק זצ"ל</w:t>
      </w:r>
      <w:r>
        <w:rPr>
          <w:rFonts w:cs="Arial" w:hint="cs"/>
          <w:rtl/>
        </w:rPr>
        <w:t>, פת"ש (סק"ו).</w:t>
      </w:r>
    </w:p>
  </w:footnote>
  <w:footnote w:id="2262">
    <w:p w14:paraId="1AE0D1D8" w14:textId="77777777" w:rsidR="00DF1FC7" w:rsidRDefault="00DF1FC7" w:rsidP="002E5BAD">
      <w:pPr>
        <w:pStyle w:val="a5"/>
        <w:rPr>
          <w:rtl/>
        </w:rPr>
      </w:pPr>
      <w:r>
        <w:rPr>
          <w:rStyle w:val="a7"/>
        </w:rPr>
        <w:footnoteRef/>
      </w:r>
      <w:r>
        <w:rPr>
          <w:rtl/>
        </w:rPr>
        <w:t xml:space="preserve"> </w:t>
      </w:r>
      <w:r w:rsidRPr="000E1495">
        <w:rPr>
          <w:rFonts w:cs="Arial"/>
          <w:rtl/>
        </w:rPr>
        <w:t>ובגרושה היא להיפך כ"ז שלא תתבע אין לה מזונות לכ"ע ואם תתבע יש לה מזונות לשיטת הרא"ש אם לא סילק לה אחר התביע', פרישה</w:t>
      </w:r>
      <w:r>
        <w:rPr>
          <w:rFonts w:hint="cs"/>
          <w:rtl/>
        </w:rPr>
        <w:t>, ב"ש (סק"ה).</w:t>
      </w:r>
    </w:p>
  </w:footnote>
  <w:footnote w:id="2263">
    <w:p w14:paraId="3DDEF97A" w14:textId="77777777" w:rsidR="00DF1FC7" w:rsidRDefault="00DF1FC7" w:rsidP="002E5BAD">
      <w:pPr>
        <w:pStyle w:val="a5"/>
      </w:pPr>
      <w:r>
        <w:rPr>
          <w:rStyle w:val="a7"/>
        </w:rPr>
        <w:footnoteRef/>
      </w:r>
      <w:r>
        <w:rPr>
          <w:rtl/>
        </w:rPr>
        <w:t xml:space="preserve"> </w:t>
      </w:r>
      <w:r w:rsidRPr="000E1495">
        <w:rPr>
          <w:rFonts w:cs="Arial"/>
          <w:rtl/>
        </w:rPr>
        <w:t>אם היה התנאי בשעת נשואין פשיטא דמהני ואם מחלה תנאי כתובתה אחר הנשואין אפשר דג"כ מהני בלא קנין כמו שיתבאר לקמן בסי' ק"ה במוחלת כתובתה לבעלה</w:t>
      </w:r>
      <w:r>
        <w:rPr>
          <w:rFonts w:cs="Arial" w:hint="cs"/>
          <w:rtl/>
        </w:rPr>
        <w:t>, ח"מ (סק"ה).</w:t>
      </w:r>
      <w:r>
        <w:rPr>
          <w:rFonts w:hint="cs"/>
          <w:rtl/>
        </w:rPr>
        <w:t xml:space="preserve"> והעתיק הב"ש (סק"ו) דבריו.</w:t>
      </w:r>
    </w:p>
  </w:footnote>
  <w:footnote w:id="2264">
    <w:p w14:paraId="2E158507" w14:textId="77777777" w:rsidR="00DF1FC7" w:rsidRDefault="00DF1FC7" w:rsidP="002E5BAD">
      <w:pPr>
        <w:pStyle w:val="a5"/>
      </w:pPr>
      <w:r>
        <w:rPr>
          <w:rStyle w:val="a7"/>
        </w:rPr>
        <w:footnoteRef/>
      </w:r>
      <w:r>
        <w:rPr>
          <w:rtl/>
        </w:rPr>
        <w:t xml:space="preserve"> </w:t>
      </w:r>
      <w:r>
        <w:rPr>
          <w:rFonts w:cs="Arial" w:hint="cs"/>
          <w:rtl/>
        </w:rPr>
        <w:t>ו</w:t>
      </w:r>
      <w:r w:rsidRPr="00261097">
        <w:rPr>
          <w:rFonts w:cs="Arial"/>
          <w:rtl/>
        </w:rPr>
        <w:t>כתב בס' ישועות יעקב דכעת נהגו בתי דינים שבישראל לסלק להאלמנה כתובת</w:t>
      </w:r>
      <w:r>
        <w:rPr>
          <w:rFonts w:cs="Arial" w:hint="cs"/>
          <w:rtl/>
        </w:rPr>
        <w:t>ה</w:t>
      </w:r>
      <w:r w:rsidRPr="00261097">
        <w:rPr>
          <w:rFonts w:cs="Arial"/>
          <w:rtl/>
        </w:rPr>
        <w:t xml:space="preserve"> כל זמן שירצו היורשים</w:t>
      </w:r>
      <w:r>
        <w:rPr>
          <w:rFonts w:cs="Arial" w:hint="cs"/>
          <w:rtl/>
        </w:rPr>
        <w:t>.</w:t>
      </w:r>
      <w:r w:rsidRPr="00261097">
        <w:rPr>
          <w:rFonts w:cs="Arial"/>
          <w:rtl/>
        </w:rPr>
        <w:t xml:space="preserve"> וכל הנשאת על דעת המנהג היא נשאת</w:t>
      </w:r>
      <w:r>
        <w:rPr>
          <w:rFonts w:cs="Arial" w:hint="cs"/>
          <w:rtl/>
        </w:rPr>
        <w:t>.</w:t>
      </w:r>
      <w:r w:rsidRPr="00261097">
        <w:rPr>
          <w:rFonts w:cs="Arial"/>
          <w:rtl/>
        </w:rPr>
        <w:t xml:space="preserve"> וטעמא דמלתא כיון שהמזונות ביוקר מאד מן מה שהי</w:t>
      </w:r>
      <w:r>
        <w:rPr>
          <w:rFonts w:cs="Arial" w:hint="cs"/>
          <w:rtl/>
        </w:rPr>
        <w:t>ה</w:t>
      </w:r>
      <w:r w:rsidRPr="00261097">
        <w:rPr>
          <w:rFonts w:cs="Arial"/>
          <w:rtl/>
        </w:rPr>
        <w:t xml:space="preserve"> מלפנים</w:t>
      </w:r>
      <w:r>
        <w:rPr>
          <w:rFonts w:cs="Arial" w:hint="cs"/>
          <w:rtl/>
        </w:rPr>
        <w:t>,</w:t>
      </w:r>
      <w:r w:rsidRPr="00261097">
        <w:rPr>
          <w:rFonts w:cs="Arial"/>
          <w:rtl/>
        </w:rPr>
        <w:t xml:space="preserve"> וסך הכתוב</w:t>
      </w:r>
      <w:r>
        <w:rPr>
          <w:rFonts w:cs="Arial" w:hint="cs"/>
          <w:rtl/>
        </w:rPr>
        <w:t>ה</w:t>
      </w:r>
      <w:r w:rsidRPr="00261097">
        <w:rPr>
          <w:rFonts w:cs="Arial"/>
          <w:rtl/>
        </w:rPr>
        <w:t xml:space="preserve"> כמו שהי</w:t>
      </w:r>
      <w:r>
        <w:rPr>
          <w:rFonts w:cs="Arial" w:hint="cs"/>
          <w:rtl/>
        </w:rPr>
        <w:t>ה</w:t>
      </w:r>
      <w:r w:rsidRPr="00261097">
        <w:rPr>
          <w:rFonts w:cs="Arial"/>
          <w:rtl/>
        </w:rPr>
        <w:t xml:space="preserve"> מקדם</w:t>
      </w:r>
      <w:r>
        <w:rPr>
          <w:rFonts w:cs="Arial" w:hint="cs"/>
          <w:rtl/>
        </w:rPr>
        <w:t>,</w:t>
      </w:r>
      <w:r w:rsidRPr="00261097">
        <w:rPr>
          <w:rFonts w:cs="Arial"/>
          <w:rtl/>
        </w:rPr>
        <w:t xml:space="preserve"> וא"כ כל אחת לא תרצה לקבל כתובתה רק הנדוני</w:t>
      </w:r>
      <w:r>
        <w:rPr>
          <w:rFonts w:cs="Arial" w:hint="cs"/>
          <w:rtl/>
        </w:rPr>
        <w:t>ה</w:t>
      </w:r>
      <w:r w:rsidRPr="00261097">
        <w:rPr>
          <w:rFonts w:cs="Arial"/>
          <w:rtl/>
        </w:rPr>
        <w:t xml:space="preserve"> ותהי</w:t>
      </w:r>
      <w:r>
        <w:rPr>
          <w:rFonts w:cs="Arial" w:hint="cs"/>
          <w:rtl/>
        </w:rPr>
        <w:t>ה</w:t>
      </w:r>
      <w:r w:rsidRPr="00261097">
        <w:rPr>
          <w:rFonts w:cs="Arial"/>
          <w:rtl/>
        </w:rPr>
        <w:t xml:space="preserve"> כ"א נוטלת נדוני</w:t>
      </w:r>
      <w:r>
        <w:rPr>
          <w:rFonts w:cs="Arial" w:hint="cs"/>
          <w:rtl/>
        </w:rPr>
        <w:t>ה</w:t>
      </w:r>
      <w:r w:rsidRPr="00261097">
        <w:rPr>
          <w:rFonts w:cs="Arial"/>
          <w:rtl/>
        </w:rPr>
        <w:t xml:space="preserve"> שלה ותרצ</w:t>
      </w:r>
      <w:r>
        <w:rPr>
          <w:rFonts w:cs="Arial" w:hint="cs"/>
          <w:rtl/>
        </w:rPr>
        <w:t>ה</w:t>
      </w:r>
      <w:r w:rsidRPr="00261097">
        <w:rPr>
          <w:rFonts w:cs="Arial"/>
          <w:rtl/>
        </w:rPr>
        <w:t xml:space="preserve"> להיות ניזונית</w:t>
      </w:r>
      <w:r>
        <w:rPr>
          <w:rFonts w:cs="Arial" w:hint="cs"/>
          <w:rtl/>
        </w:rPr>
        <w:t>.</w:t>
      </w:r>
      <w:r w:rsidRPr="00261097">
        <w:rPr>
          <w:rFonts w:cs="Arial"/>
          <w:rtl/>
        </w:rPr>
        <w:t xml:space="preserve"> לכך עשו בזה תקנה</w:t>
      </w:r>
      <w:r>
        <w:rPr>
          <w:rFonts w:cs="Arial" w:hint="cs"/>
          <w:rtl/>
        </w:rPr>
        <w:t>.</w:t>
      </w:r>
      <w:r w:rsidRPr="00261097">
        <w:rPr>
          <w:rFonts w:cs="Arial"/>
          <w:rtl/>
        </w:rPr>
        <w:t xml:space="preserve"> </w:t>
      </w:r>
      <w:r w:rsidRPr="00D91A3C">
        <w:rPr>
          <w:rFonts w:cs="Arial"/>
          <w:rtl/>
        </w:rPr>
        <w:t xml:space="preserve">עכ"ל. וכ"כ בתשו' שבו"י </w:t>
      </w:r>
      <w:r>
        <w:rPr>
          <w:rFonts w:cs="Arial" w:hint="cs"/>
          <w:rtl/>
        </w:rPr>
        <w:t>(</w:t>
      </w:r>
      <w:r w:rsidRPr="00D91A3C">
        <w:rPr>
          <w:rFonts w:cs="Arial"/>
          <w:rtl/>
        </w:rPr>
        <w:t>ח"ב סי' קכד</w:t>
      </w:r>
      <w:r>
        <w:rPr>
          <w:rFonts w:cs="Arial" w:hint="cs"/>
          <w:rtl/>
        </w:rPr>
        <w:t>).</w:t>
      </w:r>
      <w:r w:rsidRPr="00D91A3C">
        <w:rPr>
          <w:rFonts w:cs="Arial"/>
          <w:rtl/>
        </w:rPr>
        <w:t xml:space="preserve"> והובא ג"כ בס</w:t>
      </w:r>
      <w:r>
        <w:rPr>
          <w:rFonts w:cs="Arial" w:hint="cs"/>
          <w:rtl/>
        </w:rPr>
        <w:t xml:space="preserve">פר </w:t>
      </w:r>
      <w:r w:rsidRPr="00D91A3C">
        <w:rPr>
          <w:rFonts w:cs="Arial"/>
          <w:rtl/>
        </w:rPr>
        <w:t>ב</w:t>
      </w:r>
      <w:r>
        <w:rPr>
          <w:rFonts w:cs="Arial" w:hint="cs"/>
          <w:rtl/>
        </w:rPr>
        <w:t>ית מאיר</w:t>
      </w:r>
      <w:r w:rsidRPr="00D91A3C">
        <w:rPr>
          <w:rFonts w:cs="Arial"/>
          <w:rtl/>
        </w:rPr>
        <w:t xml:space="preserve"> דכך נתפשט המנהג במדינות אלו</w:t>
      </w:r>
      <w:r>
        <w:rPr>
          <w:rFonts w:cs="Arial" w:hint="cs"/>
          <w:rtl/>
        </w:rPr>
        <w:t>,</w:t>
      </w:r>
      <w:r w:rsidRPr="00D91A3C">
        <w:rPr>
          <w:rFonts w:cs="Arial"/>
          <w:rtl/>
        </w:rPr>
        <w:t xml:space="preserve"> וכן עשו הלכה למעש</w:t>
      </w:r>
      <w:r>
        <w:rPr>
          <w:rFonts w:cs="Arial" w:hint="cs"/>
          <w:rtl/>
        </w:rPr>
        <w:t>ה</w:t>
      </w:r>
      <w:r w:rsidRPr="00D91A3C">
        <w:rPr>
          <w:rFonts w:cs="Arial"/>
          <w:rtl/>
        </w:rPr>
        <w:t xml:space="preserve"> בק"ק פראג. וע"ש עוד שכ' דכן המנהג ג"כ להוציאה מהמדור</w:t>
      </w:r>
      <w:r>
        <w:rPr>
          <w:rFonts w:cs="Arial" w:hint="cs"/>
          <w:rtl/>
        </w:rPr>
        <w:t>.</w:t>
      </w:r>
      <w:r w:rsidRPr="00D91A3C">
        <w:rPr>
          <w:rFonts w:cs="Arial"/>
          <w:rtl/>
        </w:rPr>
        <w:t xml:space="preserve"> ובס' בית מאיר פקפק ע"ז דהוא נגד ההלכ</w:t>
      </w:r>
      <w:r>
        <w:rPr>
          <w:rFonts w:cs="Arial" w:hint="cs"/>
          <w:rtl/>
        </w:rPr>
        <w:t>ה</w:t>
      </w:r>
      <w:r w:rsidRPr="00D91A3C">
        <w:rPr>
          <w:rFonts w:cs="Arial"/>
          <w:rtl/>
        </w:rPr>
        <w:t xml:space="preserve"> ומה"ת לתקן זאת</w:t>
      </w:r>
      <w:r>
        <w:rPr>
          <w:rFonts w:cs="Arial" w:hint="cs"/>
          <w:rtl/>
        </w:rPr>
        <w:t>,</w:t>
      </w:r>
      <w:r w:rsidRPr="00D91A3C">
        <w:rPr>
          <w:rFonts w:cs="Arial"/>
          <w:rtl/>
        </w:rPr>
        <w:t xml:space="preserve"> וכן הורו ישישי דייני ק"ק פ"פ דמיין ואין לזוז מדבריהם ואין לגרש נשי עמינו מבית תענוגיהם כל ימי מיגר אלמנות' בעל כרחה כל כמה שהיא לא תבעה כתובה בב"ד עכ"ד ע"ש</w:t>
      </w:r>
      <w:r>
        <w:rPr>
          <w:rFonts w:cs="Arial" w:hint="cs"/>
          <w:rtl/>
        </w:rPr>
        <w:t>, פת"ש (סק"ה).</w:t>
      </w:r>
    </w:p>
  </w:footnote>
  <w:footnote w:id="2265">
    <w:p w14:paraId="0A9D30DE" w14:textId="77777777" w:rsidR="00DF1FC7" w:rsidRDefault="00DF1FC7" w:rsidP="002E5BAD">
      <w:pPr>
        <w:pStyle w:val="a5"/>
      </w:pPr>
      <w:r>
        <w:rPr>
          <w:rStyle w:val="a7"/>
        </w:rPr>
        <w:footnoteRef/>
      </w:r>
      <w:r>
        <w:rPr>
          <w:rtl/>
        </w:rPr>
        <w:t xml:space="preserve"> </w:t>
      </w:r>
      <w:r w:rsidRPr="000E1495">
        <w:rPr>
          <w:rFonts w:cs="Arial"/>
          <w:rtl/>
        </w:rPr>
        <w:t>שם בריב"ש כתב שהתקנה היתה שהרשות ביד היתומים לסלקה מזכות מזונותיה זולתי בג' חדשים הראשונים</w:t>
      </w:r>
      <w:r>
        <w:rPr>
          <w:rFonts w:cs="Arial" w:hint="cs"/>
          <w:rtl/>
        </w:rPr>
        <w:t>, ח"מ (סק"ו).</w:t>
      </w:r>
      <w:r>
        <w:rPr>
          <w:rFonts w:hint="cs"/>
          <w:rtl/>
        </w:rPr>
        <w:t xml:space="preserve"> וכ"כ הב"ש (סק"ז), והוסיף </w:t>
      </w:r>
      <w:r>
        <w:rPr>
          <w:rFonts w:cs="Arial" w:hint="cs"/>
          <w:rtl/>
        </w:rPr>
        <w:t>ש</w:t>
      </w:r>
      <w:r w:rsidRPr="000E1495">
        <w:rPr>
          <w:rFonts w:cs="Arial"/>
          <w:rtl/>
        </w:rPr>
        <w:t>הטעם משמע הואיל היא אסורה להנש</w:t>
      </w:r>
      <w:r>
        <w:rPr>
          <w:rFonts w:cs="Arial" w:hint="cs"/>
          <w:rtl/>
        </w:rPr>
        <w:t>א</w:t>
      </w:r>
      <w:r w:rsidRPr="000E1495">
        <w:rPr>
          <w:rFonts w:cs="Arial"/>
          <w:rtl/>
        </w:rPr>
        <w:t xml:space="preserve"> מחמתו יש לו מזונות בע"כ לפ"ז ה"ה כל היכא דאסורה מחמתו א"י לתקן לסלקה ולהפסיד לה מזונות</w:t>
      </w:r>
      <w:r>
        <w:rPr>
          <w:rFonts w:cs="Arial" w:hint="cs"/>
          <w:rtl/>
        </w:rPr>
        <w:t>.</w:t>
      </w:r>
      <w:r w:rsidRPr="000E1495">
        <w:rPr>
          <w:rFonts w:cs="Arial"/>
          <w:rtl/>
        </w:rPr>
        <w:t xml:space="preserve"> ונשמע נמי דנותנים מזונות מיד אפי' תוך ג"ח אף על גב מי שהלך למ"י אין פוסקים לה מזונו</w:t>
      </w:r>
      <w:r>
        <w:rPr>
          <w:rFonts w:cs="Arial" w:hint="cs"/>
          <w:rtl/>
        </w:rPr>
        <w:t>ת</w:t>
      </w:r>
      <w:r w:rsidRPr="000E1495">
        <w:rPr>
          <w:rFonts w:cs="Arial"/>
          <w:rtl/>
        </w:rPr>
        <w:t xml:space="preserve"> תוך ג"ח עי' סי' ע'</w:t>
      </w:r>
      <w:r>
        <w:rPr>
          <w:rFonts w:hint="cs"/>
          <w:rtl/>
        </w:rPr>
        <w:t>.</w:t>
      </w:r>
    </w:p>
  </w:footnote>
  <w:footnote w:id="2266">
    <w:p w14:paraId="4B686786" w14:textId="77777777" w:rsidR="00DF1FC7" w:rsidRDefault="00DF1FC7" w:rsidP="002E5BAD">
      <w:pPr>
        <w:pStyle w:val="a5"/>
      </w:pPr>
      <w:r>
        <w:rPr>
          <w:rStyle w:val="a7"/>
        </w:rPr>
        <w:footnoteRef/>
      </w:r>
      <w:r>
        <w:rPr>
          <w:rtl/>
        </w:rPr>
        <w:t xml:space="preserve"> </w:t>
      </w:r>
      <w:r>
        <w:rPr>
          <w:rFonts w:hint="cs"/>
          <w:rtl/>
        </w:rPr>
        <w:t>עיין לקמן שבפירוש איבעיא זו נחלקו המפרשים.</w:t>
      </w:r>
    </w:p>
  </w:footnote>
  <w:footnote w:id="2267">
    <w:p w14:paraId="7F586654" w14:textId="77777777" w:rsidR="00DF1FC7" w:rsidRDefault="00DF1FC7" w:rsidP="002E5BAD">
      <w:pPr>
        <w:pStyle w:val="a5"/>
      </w:pPr>
      <w:r>
        <w:rPr>
          <w:rStyle w:val="a7"/>
        </w:rPr>
        <w:footnoteRef/>
      </w:r>
      <w:r>
        <w:rPr>
          <w:rtl/>
        </w:rPr>
        <w:t xml:space="preserve"> </w:t>
      </w:r>
      <w:r>
        <w:rPr>
          <w:rFonts w:hint="cs"/>
          <w:rtl/>
        </w:rPr>
        <w:t>וכן הוא בירושלמי מסכות כתובות פי"ג ה"ג.</w:t>
      </w:r>
    </w:p>
  </w:footnote>
  <w:footnote w:id="2268">
    <w:p w14:paraId="7D5A9EDF" w14:textId="77777777" w:rsidR="00DF1FC7" w:rsidRDefault="00DF1FC7" w:rsidP="002E5BAD">
      <w:pPr>
        <w:pStyle w:val="a5"/>
        <w:rPr>
          <w:rtl/>
        </w:rPr>
      </w:pPr>
      <w:r>
        <w:rPr>
          <w:rStyle w:val="a7"/>
        </w:rPr>
        <w:footnoteRef/>
      </w:r>
      <w:r>
        <w:rPr>
          <w:rtl/>
        </w:rPr>
        <w:t xml:space="preserve"> </w:t>
      </w:r>
      <w:r>
        <w:rPr>
          <w:rFonts w:hint="cs"/>
          <w:rtl/>
        </w:rPr>
        <w:t xml:space="preserve">וז"ל- </w:t>
      </w:r>
      <w:r w:rsidRPr="00847732">
        <w:rPr>
          <w:rFonts w:cs="Arial"/>
          <w:rtl/>
        </w:rPr>
        <w:t>נראה לפרש דודאי אם אין כאן אלא אלמנה אצל הבנים שניהם שוין בנכסים</w:t>
      </w:r>
      <w:r>
        <w:rPr>
          <w:rFonts w:cs="Arial" w:hint="cs"/>
          <w:rtl/>
        </w:rPr>
        <w:t>.</w:t>
      </w:r>
      <w:r w:rsidRPr="00847732">
        <w:rPr>
          <w:rFonts w:cs="Arial"/>
          <w:rtl/>
        </w:rPr>
        <w:t xml:space="preserve"> וכן אם אין כאן אלא אלמנה ובנות </w:t>
      </w:r>
      <w:r w:rsidRPr="00847732">
        <w:rPr>
          <w:rFonts w:cs="Arial" w:hint="cs"/>
          <w:sz w:val="16"/>
          <w:szCs w:val="16"/>
          <w:rtl/>
        </w:rPr>
        <w:t>(</w:t>
      </w:r>
      <w:r w:rsidRPr="00847732">
        <w:rPr>
          <w:rFonts w:cs="Arial"/>
          <w:sz w:val="16"/>
          <w:szCs w:val="16"/>
          <w:rtl/>
        </w:rPr>
        <w:t>דלא תקנו נכסים מועטים אלא לבנות שהן יוצאי יריכו והם בנות ירושה במקום שאין בנים ואע</w:t>
      </w:r>
      <w:r w:rsidRPr="00847732">
        <w:rPr>
          <w:rFonts w:cs="Arial" w:hint="cs"/>
          <w:sz w:val="16"/>
          <w:szCs w:val="16"/>
          <w:rtl/>
        </w:rPr>
        <w:t>"</w:t>
      </w:r>
      <w:r w:rsidRPr="00847732">
        <w:rPr>
          <w:rFonts w:cs="Arial"/>
          <w:sz w:val="16"/>
          <w:szCs w:val="16"/>
          <w:rtl/>
        </w:rPr>
        <w:t>ג</w:t>
      </w:r>
      <w:r w:rsidRPr="00847732">
        <w:rPr>
          <w:rFonts w:cs="Arial" w:hint="cs"/>
          <w:sz w:val="16"/>
          <w:szCs w:val="16"/>
          <w:rtl/>
        </w:rPr>
        <w:t xml:space="preserve"> </w:t>
      </w:r>
      <w:r w:rsidRPr="00847732">
        <w:rPr>
          <w:rFonts w:cs="Arial"/>
          <w:sz w:val="16"/>
          <w:szCs w:val="16"/>
          <w:rtl/>
        </w:rPr>
        <w:t>דמיחסרא גוביינא ואי מינסבא לית לה אבל לאלמנה אצל הבנים או אצל בנות לא רצו חכמים לתקן דין נכסים מועטים אצל האלמנה שלא רצו לעקר דין ירושה מן הבנים אצל האלמנה</w:t>
      </w:r>
      <w:r>
        <w:rPr>
          <w:rFonts w:cs="Arial" w:hint="cs"/>
          <w:sz w:val="16"/>
          <w:szCs w:val="16"/>
          <w:rtl/>
        </w:rPr>
        <w:t>)</w:t>
      </w:r>
      <w:r w:rsidRPr="00847732">
        <w:rPr>
          <w:rFonts w:cs="Arial"/>
          <w:rtl/>
        </w:rPr>
        <w:t xml:space="preserve"> והשתא מיבעי ליה כשיש בנים ובנות שיש כבר דין נכסים מועטין בשביל בנות</w:t>
      </w:r>
      <w:r>
        <w:rPr>
          <w:rFonts w:cs="Arial" w:hint="cs"/>
          <w:rtl/>
        </w:rPr>
        <w:t>,</w:t>
      </w:r>
      <w:r w:rsidRPr="00847732">
        <w:rPr>
          <w:rFonts w:cs="Arial"/>
          <w:rtl/>
        </w:rPr>
        <w:t xml:space="preserve"> אם ממעטא נמי אלמנה</w:t>
      </w:r>
      <w:r>
        <w:rPr>
          <w:rFonts w:cs="Arial" w:hint="cs"/>
          <w:rtl/>
        </w:rPr>
        <w:t>.</w:t>
      </w:r>
      <w:r w:rsidRPr="008C687A">
        <w:rPr>
          <w:rtl/>
        </w:rPr>
        <w:t xml:space="preserve"> </w:t>
      </w:r>
      <w:r w:rsidRPr="008C687A">
        <w:rPr>
          <w:rFonts w:cs="Arial"/>
          <w:rtl/>
        </w:rPr>
        <w:t>(הג"ה, וכן כתוב בתוס'</w:t>
      </w:r>
      <w:r>
        <w:rPr>
          <w:rFonts w:cs="Arial" w:hint="cs"/>
          <w:rtl/>
        </w:rPr>
        <w:t xml:space="preserve"> -</w:t>
      </w:r>
      <w:r w:rsidRPr="008C687A">
        <w:rPr>
          <w:rFonts w:cs="Arial"/>
          <w:rtl/>
        </w:rPr>
        <w:t xml:space="preserve"> ותיזון האלמנה עם הבנות</w:t>
      </w:r>
      <w:r>
        <w:rPr>
          <w:rFonts w:cs="Arial" w:hint="cs"/>
          <w:rtl/>
        </w:rPr>
        <w:t>,</w:t>
      </w:r>
      <w:r w:rsidRPr="008C687A">
        <w:rPr>
          <w:rFonts w:cs="Arial"/>
          <w:rtl/>
        </w:rPr>
        <w:t xml:space="preserve"> או דלמא כיון דאי מינסבא לית לה מזוני השתא נמי לית לה אלא הכל יהיה לבנות</w:t>
      </w:r>
      <w:r>
        <w:rPr>
          <w:rFonts w:cs="Arial" w:hint="cs"/>
          <w:rtl/>
        </w:rPr>
        <w:t>.</w:t>
      </w:r>
      <w:r w:rsidRPr="008C687A">
        <w:rPr>
          <w:rFonts w:cs="Arial"/>
          <w:rtl/>
        </w:rPr>
        <w:t xml:space="preserve"> ואי ממעטא מ"מ לא תיזון האלמנה עמהן אלא עד שיבגרו הבנות, ע"כ הג"ה)</w:t>
      </w:r>
      <w:r>
        <w:rPr>
          <w:rFonts w:cs="Arial" w:hint="cs"/>
          <w:rtl/>
        </w:rPr>
        <w:t>.</w:t>
      </w:r>
      <w:r w:rsidRPr="00847732">
        <w:rPr>
          <w:rFonts w:cs="Arial"/>
          <w:rtl/>
        </w:rPr>
        <w:t xml:space="preserve"> והא דקאמר בסמוך דאלמנה אצל הבת אלמנה ניזונת והבת תשאל על הפתחים היינו שיש שם בנים עם הבנות שיש כאן דין נכסים מועטים אצל בנות אבל אי ליתנהו לבנים לא תטול האלמנה כלום יותר מהבת</w:t>
      </w:r>
      <w:r>
        <w:rPr>
          <w:rFonts w:cs="Arial" w:hint="cs"/>
          <w:rtl/>
        </w:rPr>
        <w:t>...</w:t>
      </w:r>
      <w:r w:rsidRPr="00847732">
        <w:rPr>
          <w:rFonts w:cs="Arial"/>
          <w:rtl/>
        </w:rPr>
        <w:t xml:space="preserve"> ואור"י שכן משמע בירושל</w:t>
      </w:r>
      <w:r>
        <w:rPr>
          <w:rFonts w:cs="Arial" w:hint="cs"/>
          <w:rtl/>
        </w:rPr>
        <w:t>מי (ב"ב פ"ט ה"א, כתובות פי"ג ה"ג)...</w:t>
      </w:r>
    </w:p>
  </w:footnote>
  <w:footnote w:id="2269">
    <w:p w14:paraId="188DC2AE" w14:textId="77777777" w:rsidR="00DF1FC7" w:rsidRDefault="00DF1FC7" w:rsidP="002E5BAD">
      <w:pPr>
        <w:pStyle w:val="a5"/>
        <w:rPr>
          <w:rtl/>
        </w:rPr>
      </w:pPr>
      <w:r>
        <w:rPr>
          <w:rStyle w:val="a7"/>
        </w:rPr>
        <w:footnoteRef/>
      </w:r>
      <w:r>
        <w:rPr>
          <w:rtl/>
        </w:rPr>
        <w:t xml:space="preserve"> </w:t>
      </w:r>
      <w:r w:rsidRPr="006872FF">
        <w:rPr>
          <w:rFonts w:cs="Arial"/>
          <w:rtl/>
        </w:rPr>
        <w:t>וז"ל</w:t>
      </w:r>
      <w:r>
        <w:rPr>
          <w:rFonts w:cs="Arial" w:hint="cs"/>
          <w:rtl/>
        </w:rPr>
        <w:t>-</w:t>
      </w:r>
      <w:r w:rsidRPr="006872FF">
        <w:rPr>
          <w:rFonts w:cs="Arial"/>
          <w:rtl/>
        </w:rPr>
        <w:t xml:space="preserve"> פירש הר</w:t>
      </w:r>
      <w:r>
        <w:rPr>
          <w:rFonts w:cs="Arial" w:hint="cs"/>
          <w:rtl/>
        </w:rPr>
        <w:t>יב"ם</w:t>
      </w:r>
      <w:r w:rsidRPr="006872FF">
        <w:rPr>
          <w:rFonts w:cs="Arial"/>
          <w:rtl/>
        </w:rPr>
        <w:t xml:space="preserve"> </w:t>
      </w:r>
      <w:r>
        <w:rPr>
          <w:rFonts w:cs="Arial" w:hint="cs"/>
          <w:sz w:val="16"/>
          <w:szCs w:val="16"/>
          <w:rtl/>
        </w:rPr>
        <w:t>{</w:t>
      </w:r>
      <w:r w:rsidRPr="00D4069D">
        <w:rPr>
          <w:rFonts w:cs="Arial" w:hint="cs"/>
          <w:sz w:val="16"/>
          <w:szCs w:val="16"/>
          <w:rtl/>
        </w:rPr>
        <w:t>שהוא מבעלי התוס'</w:t>
      </w:r>
      <w:r>
        <w:rPr>
          <w:rFonts w:cs="Arial" w:hint="cs"/>
          <w:sz w:val="16"/>
          <w:szCs w:val="16"/>
          <w:rtl/>
        </w:rPr>
        <w:t>,</w:t>
      </w:r>
      <w:r w:rsidRPr="005A37BD">
        <w:rPr>
          <w:rFonts w:cs="Arial" w:hint="cs"/>
          <w:sz w:val="16"/>
          <w:szCs w:val="16"/>
          <w:rtl/>
        </w:rPr>
        <w:t xml:space="preserve"> </w:t>
      </w:r>
      <w:r>
        <w:rPr>
          <w:rFonts w:cs="Arial" w:hint="cs"/>
          <w:sz w:val="16"/>
          <w:szCs w:val="16"/>
          <w:rtl/>
        </w:rPr>
        <w:t>וכן גרס הפלפולא חריפתא [שם אות כ], אך הב"י גרס הרמב"ן. ונראה שזו ט"ס בב"י,</w:t>
      </w:r>
      <w:r w:rsidRPr="00D4069D">
        <w:rPr>
          <w:rFonts w:cs="Arial" w:hint="cs"/>
          <w:sz w:val="16"/>
          <w:szCs w:val="16"/>
          <w:rtl/>
        </w:rPr>
        <w:t xml:space="preserve"> שהרי הרמב"ן בסוף דבריו כתב שדעתו נוטה לדברי הרמב"ם, </w:t>
      </w:r>
      <w:r>
        <w:rPr>
          <w:rFonts w:cs="Arial" w:hint="cs"/>
          <w:sz w:val="16"/>
          <w:szCs w:val="16"/>
          <w:rtl/>
        </w:rPr>
        <w:t xml:space="preserve">והב"י עצמו הביאו, </w:t>
      </w:r>
      <w:r w:rsidRPr="00D4069D">
        <w:rPr>
          <w:rFonts w:cs="Arial" w:hint="cs"/>
          <w:sz w:val="16"/>
          <w:szCs w:val="16"/>
          <w:rtl/>
        </w:rPr>
        <w:t>וא"כ איך יביא הרא"ש את הדברים בשמו בצורה חלקית</w:t>
      </w:r>
      <w:r>
        <w:rPr>
          <w:rFonts w:cs="Arial" w:hint="cs"/>
          <w:sz w:val="16"/>
          <w:szCs w:val="16"/>
          <w:rtl/>
        </w:rPr>
        <w:t>. ועוד שאין הלשון דומה ללשון הרמב"ן אלא ללשון התוס'}</w:t>
      </w:r>
      <w:r w:rsidRPr="006872FF">
        <w:rPr>
          <w:rFonts w:cs="Arial"/>
          <w:rtl/>
        </w:rPr>
        <w:t xml:space="preserve"> דפשיטא ליה שאם הניח אלמנה ובנים בלא בנות</w:t>
      </w:r>
      <w:r>
        <w:rPr>
          <w:rFonts w:cs="Arial" w:hint="cs"/>
          <w:rtl/>
        </w:rPr>
        <w:t xml:space="preserve"> -</w:t>
      </w:r>
      <w:r w:rsidRPr="006872FF">
        <w:rPr>
          <w:rFonts w:cs="Arial"/>
          <w:rtl/>
        </w:rPr>
        <w:t xml:space="preserve"> דאין שייך לומר באלמנה נכסים מועטים לומר האלמנה תיזון והבנים ישאלו על הפתחים</w:t>
      </w:r>
      <w:r>
        <w:rPr>
          <w:rFonts w:cs="Arial" w:hint="cs"/>
          <w:rtl/>
        </w:rPr>
        <w:t>.</w:t>
      </w:r>
      <w:r w:rsidRPr="006872FF">
        <w:rPr>
          <w:rFonts w:cs="Arial"/>
          <w:rtl/>
        </w:rPr>
        <w:t xml:space="preserve"> וכן נמי אם לא הניח אלא אלמנה ובת </w:t>
      </w:r>
      <w:r>
        <w:rPr>
          <w:rFonts w:cs="Arial" w:hint="cs"/>
          <w:rtl/>
        </w:rPr>
        <w:t xml:space="preserve">- </w:t>
      </w:r>
      <w:r w:rsidRPr="006872FF">
        <w:rPr>
          <w:rFonts w:cs="Arial"/>
          <w:rtl/>
        </w:rPr>
        <w:t>לא אמרינן האלמנה תיזון והבת תשאל על הפתחים</w:t>
      </w:r>
      <w:r>
        <w:rPr>
          <w:rFonts w:cs="Arial" w:hint="cs"/>
          <w:rtl/>
        </w:rPr>
        <w:t>.</w:t>
      </w:r>
      <w:r w:rsidRPr="006872FF">
        <w:rPr>
          <w:rFonts w:cs="Arial"/>
          <w:rtl/>
        </w:rPr>
        <w:t xml:space="preserve"> והיינו טעמא לפי שאין שיעור קצוב לאלמנה לפי שפעמים נישאת ברחוק זמן ופעמים בקרוב ואין לדבר קצבה עד אימת הוו מרובים ואימת הוו מועטין</w:t>
      </w:r>
      <w:r>
        <w:rPr>
          <w:rFonts w:cs="Arial" w:hint="cs"/>
          <w:rtl/>
        </w:rPr>
        <w:t>,</w:t>
      </w:r>
      <w:r w:rsidRPr="006872FF">
        <w:rPr>
          <w:rFonts w:cs="Arial"/>
          <w:rtl/>
        </w:rPr>
        <w:t xml:space="preserve"> הילכך לא תיקנו לעקור מן התורה דבר בשביל מזונות האלמנה</w:t>
      </w:r>
      <w:r>
        <w:rPr>
          <w:rFonts w:cs="Arial" w:hint="cs"/>
          <w:rtl/>
        </w:rPr>
        <w:t>.</w:t>
      </w:r>
      <w:r w:rsidRPr="006872FF">
        <w:rPr>
          <w:rFonts w:cs="Arial"/>
          <w:rtl/>
        </w:rPr>
        <w:t xml:space="preserve"> אבל בנות יש להן קצבה עד שיבגרו</w:t>
      </w:r>
      <w:r>
        <w:rPr>
          <w:rFonts w:cs="Arial" w:hint="cs"/>
          <w:rtl/>
        </w:rPr>
        <w:t>.</w:t>
      </w:r>
      <w:r w:rsidRPr="006872FF">
        <w:rPr>
          <w:rFonts w:cs="Arial"/>
          <w:rtl/>
        </w:rPr>
        <w:t xml:space="preserve"> והך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hint="cs"/>
          <w:rtl/>
        </w:rPr>
        <w:t>.</w:t>
      </w:r>
    </w:p>
  </w:footnote>
  <w:footnote w:id="2270">
    <w:p w14:paraId="117255D2" w14:textId="77777777" w:rsidR="00DF1FC7" w:rsidRDefault="00DF1FC7" w:rsidP="002E5BAD">
      <w:pPr>
        <w:pStyle w:val="a5"/>
        <w:rPr>
          <w:rtl/>
        </w:rPr>
      </w:pPr>
      <w:r>
        <w:rPr>
          <w:rStyle w:val="a7"/>
        </w:rPr>
        <w:footnoteRef/>
      </w:r>
      <w:r>
        <w:rPr>
          <w:rtl/>
        </w:rPr>
        <w:t xml:space="preserve"> </w:t>
      </w:r>
      <w:r w:rsidRPr="003632FA">
        <w:rPr>
          <w:rFonts w:cs="Arial"/>
          <w:rtl/>
        </w:rPr>
        <w:t>דהא אלמנה לא ממעטא להו וקרינן בהו הבנים יירשו והבנות יזונו ומחלק הבנות לא תזון האלמנה עמהם והיינו דאיכא בין ממעטא ללא ממעטא דאי ממעטא הבנים ישאלו והאלמנה תזון ואי לא ממעטא יזונו יחד האלמנה והבנים אבל הבנות אין להן להפסיד במזונותיהם כלל בין ממעטא בין לא ממעטא דהא בין בנכסים מרובין בין בנכסים מועטין תנן הבנות יזונו אי נמי היכא דלא ממעטא מיקרו נכסים מרובין ואף על פי שנתעכבה היום או למחר מלינשא הרי הוא כמרובין ונתמעטו דאמרינן כבר זכו בהן יורשין ויזונו שלשתן יחד בנים ובנות ואלמנה</w:t>
      </w:r>
      <w:r>
        <w:rPr>
          <w:rFonts w:hint="cs"/>
          <w:rtl/>
        </w:rPr>
        <w:t>, רשב"ם (שם).</w:t>
      </w:r>
    </w:p>
  </w:footnote>
  <w:footnote w:id="2271">
    <w:p w14:paraId="6A530D23" w14:textId="77777777" w:rsidR="00DF1FC7" w:rsidRDefault="00DF1FC7" w:rsidP="002E5BAD">
      <w:pPr>
        <w:pStyle w:val="a5"/>
      </w:pPr>
      <w:r>
        <w:rPr>
          <w:rStyle w:val="a7"/>
        </w:rPr>
        <w:footnoteRef/>
      </w:r>
      <w:r>
        <w:rPr>
          <w:rtl/>
        </w:rPr>
        <w:t xml:space="preserve"> </w:t>
      </w:r>
      <w:r w:rsidRPr="00217F3F">
        <w:rPr>
          <w:rFonts w:cs="Arial"/>
          <w:rtl/>
        </w:rPr>
        <w:t>ומיהו ה"ה תמיהא מילתא שאם כן לא שבקת חיי ליורש במקום אלמנה</w:t>
      </w:r>
      <w:r w:rsidRPr="00217F3F">
        <w:rPr>
          <w:rFonts w:cs="Arial" w:hint="cs"/>
          <w:rtl/>
        </w:rPr>
        <w:t>,</w:t>
      </w:r>
      <w:r w:rsidRPr="00217F3F">
        <w:rPr>
          <w:rFonts w:cs="Arial"/>
          <w:rtl/>
        </w:rPr>
        <w:t xml:space="preserve"> דהא כתיבנא לעיל דכל היכא דקודמת מוציאין לה מעכשיו דמי פרנסתה כל ימי חייה</w:t>
      </w:r>
      <w:r w:rsidRPr="00217F3F">
        <w:rPr>
          <w:rFonts w:cs="Arial" w:hint="cs"/>
          <w:rtl/>
        </w:rPr>
        <w:t>,</w:t>
      </w:r>
      <w:r w:rsidRPr="00217F3F">
        <w:rPr>
          <w:rFonts w:cs="Arial"/>
          <w:rtl/>
        </w:rPr>
        <w:t xml:space="preserve"> ונמצאו רובן של יורשים הולכים בפחי נפש</w:t>
      </w:r>
      <w:r w:rsidRPr="00217F3F">
        <w:rPr>
          <w:rFonts w:cs="Arial" w:hint="cs"/>
          <w:rtl/>
        </w:rPr>
        <w:t>.</w:t>
      </w:r>
      <w:r w:rsidRPr="00217F3F">
        <w:rPr>
          <w:rFonts w:cs="Arial"/>
          <w:rtl/>
        </w:rPr>
        <w:t xml:space="preserve"> אבל בירושלמי משמע שאין אלמנה קודמת אלא עם בת במקום בן</w:t>
      </w:r>
      <w:r w:rsidRPr="00217F3F">
        <w:rPr>
          <w:rFonts w:cs="Arial" w:hint="cs"/>
          <w:rtl/>
        </w:rPr>
        <w:t>.</w:t>
      </w:r>
      <w:r w:rsidRPr="00217F3F">
        <w:rPr>
          <w:rFonts w:cs="Arial"/>
          <w:rtl/>
        </w:rPr>
        <w:t xml:space="preserve"> אבל אלמנה עם הבן בלבד או עם הבת בלבד אינה קודמת אלא שניהם נזונים ביחד</w:t>
      </w:r>
      <w:r w:rsidRPr="00217F3F">
        <w:rPr>
          <w:rFonts w:cs="Arial" w:hint="cs"/>
          <w:rtl/>
        </w:rPr>
        <w:t>.</w:t>
      </w:r>
      <w:r w:rsidRPr="00217F3F">
        <w:rPr>
          <w:rFonts w:cs="Arial"/>
          <w:rtl/>
        </w:rPr>
        <w:t xml:space="preserve"> וסמכו עליו רוב המפרשים ז"ל</w:t>
      </w:r>
      <w:r w:rsidRPr="00217F3F">
        <w:rPr>
          <w:rFonts w:cs="Arial" w:hint="cs"/>
          <w:rtl/>
        </w:rPr>
        <w:t>.</w:t>
      </w:r>
      <w:r w:rsidRPr="00217F3F">
        <w:rPr>
          <w:rFonts w:cs="Arial"/>
          <w:rtl/>
        </w:rPr>
        <w:t xml:space="preserve"> אבל הרמב"ם ז"ל נראה שלא סמך עליו ואף דעת הרמב"ן נוטה לו עכ"ל</w:t>
      </w:r>
      <w:r>
        <w:rPr>
          <w:rFonts w:cs="Arial" w:hint="cs"/>
          <w:sz w:val="16"/>
          <w:szCs w:val="16"/>
          <w:rtl/>
        </w:rPr>
        <w:t xml:space="preserve"> [הר"ן]</w:t>
      </w:r>
      <w:r>
        <w:rPr>
          <w:rFonts w:cs="Arial" w:hint="cs"/>
          <w:rtl/>
        </w:rPr>
        <w:t>, ב"י.</w:t>
      </w:r>
    </w:p>
  </w:footnote>
  <w:footnote w:id="2272">
    <w:p w14:paraId="0F2BEC3B" w14:textId="77777777" w:rsidR="00DF1FC7" w:rsidRDefault="00DF1FC7" w:rsidP="002E5BAD">
      <w:pPr>
        <w:pStyle w:val="a5"/>
      </w:pPr>
      <w:r>
        <w:rPr>
          <w:rStyle w:val="a7"/>
        </w:rPr>
        <w:footnoteRef/>
      </w:r>
      <w:r>
        <w:rPr>
          <w:rtl/>
        </w:rPr>
        <w:t xml:space="preserve"> </w:t>
      </w:r>
      <w:r w:rsidRPr="00556503">
        <w:rPr>
          <w:rFonts w:cs="Arial"/>
          <w:rtl/>
        </w:rPr>
        <w:t>והכניסה הנכסים לבעלה אלמנתו נזונת מנכסיו</w:t>
      </w:r>
      <w:r>
        <w:rPr>
          <w:rFonts w:cs="Arial" w:hint="cs"/>
          <w:rtl/>
        </w:rPr>
        <w:t>, רשב"ם.</w:t>
      </w:r>
    </w:p>
  </w:footnote>
  <w:footnote w:id="2273">
    <w:p w14:paraId="23125838" w14:textId="77777777" w:rsidR="00DF1FC7" w:rsidRDefault="00DF1FC7" w:rsidP="002E5BAD">
      <w:pPr>
        <w:pStyle w:val="a5"/>
      </w:pPr>
      <w:r>
        <w:rPr>
          <w:rStyle w:val="a7"/>
        </w:rPr>
        <w:footnoteRef/>
      </w:r>
      <w:r>
        <w:rPr>
          <w:rtl/>
        </w:rPr>
        <w:t xml:space="preserve"> </w:t>
      </w:r>
      <w:r w:rsidRPr="00556503">
        <w:rPr>
          <w:rFonts w:cs="Arial"/>
          <w:rtl/>
        </w:rPr>
        <w:t>בעל בנכסי אשתו אפילו בחייה יורש הוי משום הכי קתני נישאת הבת אלמנתו נזונת מנכסיו דאע"ג דמזון האשה והבנות לא טרפא ממשעבדי דהיינו לקוחות מיורשין מיהא גביא</w:t>
      </w:r>
      <w:r>
        <w:rPr>
          <w:rFonts w:cs="Arial" w:hint="cs"/>
          <w:rtl/>
        </w:rPr>
        <w:t>, רשב"ם.</w:t>
      </w:r>
    </w:p>
  </w:footnote>
  <w:footnote w:id="2274">
    <w:p w14:paraId="11CF2C72" w14:textId="77777777" w:rsidR="00DF1FC7" w:rsidRDefault="00DF1FC7" w:rsidP="002E5BAD">
      <w:pPr>
        <w:pStyle w:val="a5"/>
      </w:pPr>
      <w:r>
        <w:rPr>
          <w:rStyle w:val="a7"/>
        </w:rPr>
        <w:footnoteRef/>
      </w:r>
      <w:r>
        <w:rPr>
          <w:rtl/>
        </w:rPr>
        <w:t xml:space="preserve"> </w:t>
      </w:r>
      <w:r w:rsidRPr="00EB6D18">
        <w:rPr>
          <w:rFonts w:cs="Arial"/>
          <w:rtl/>
        </w:rPr>
        <w:t>ומכ"ש אלמנה לגבי בן דהבן ישאל על הפתחים ק"ו מבת ומה בת שדוחה את הבנים אלמנה דוחה אותה בנים שנדחין מפני הבת אינו דין שידחו מפני האלמנה כך נראה לפי דעת הרמב"ם</w:t>
      </w:r>
      <w:r>
        <w:rPr>
          <w:rFonts w:cs="Arial" w:hint="cs"/>
          <w:rtl/>
        </w:rPr>
        <w:t>, ח"מ (סק"ז).</w:t>
      </w:r>
    </w:p>
  </w:footnote>
  <w:footnote w:id="2275">
    <w:p w14:paraId="53E8CB8F" w14:textId="77777777" w:rsidR="00DF1FC7" w:rsidRDefault="00DF1FC7" w:rsidP="002E5BAD">
      <w:pPr>
        <w:pStyle w:val="a5"/>
      </w:pPr>
      <w:r>
        <w:rPr>
          <w:rStyle w:val="a7"/>
        </w:rPr>
        <w:footnoteRef/>
      </w:r>
      <w:r>
        <w:rPr>
          <w:rtl/>
        </w:rPr>
        <w:t xml:space="preserve"> </w:t>
      </w:r>
      <w:r w:rsidRPr="00EB6D18">
        <w:rPr>
          <w:rFonts w:cs="Arial"/>
          <w:rtl/>
        </w:rPr>
        <w:t>לבת יש שיעור עד דתבגר אבל לאלמנה צריך לשער עד זמן שראויה לחיות וכמ"ש הרב בהג"ה אח"ז אם לא במקום שיש תיקון עד מתי האלמנה ניזונית</w:t>
      </w:r>
      <w:r>
        <w:rPr>
          <w:rFonts w:cs="Arial" w:hint="cs"/>
          <w:rtl/>
        </w:rPr>
        <w:t>, ח"מ (סק"ח).</w:t>
      </w:r>
    </w:p>
  </w:footnote>
  <w:footnote w:id="2276">
    <w:p w14:paraId="24D604FE" w14:textId="77777777" w:rsidR="00DF1FC7" w:rsidRDefault="00DF1FC7" w:rsidP="002E5BAD">
      <w:pPr>
        <w:pStyle w:val="a5"/>
        <w:rPr>
          <w:rtl/>
        </w:rPr>
      </w:pPr>
      <w:r>
        <w:rPr>
          <w:rStyle w:val="a7"/>
        </w:rPr>
        <w:footnoteRef/>
      </w:r>
      <w:r>
        <w:rPr>
          <w:rtl/>
        </w:rPr>
        <w:t xml:space="preserve"> </w:t>
      </w:r>
      <w:r w:rsidRPr="00EB6D18">
        <w:rPr>
          <w:rFonts w:cs="Arial"/>
          <w:rtl/>
        </w:rPr>
        <w:t>טעם הי"א שאין כח באלמנ' לדחות ירושה דאו</w:t>
      </w:r>
      <w:r>
        <w:rPr>
          <w:rFonts w:cs="Arial" w:hint="cs"/>
          <w:rtl/>
        </w:rPr>
        <w:t>'</w:t>
      </w:r>
      <w:r w:rsidRPr="00EB6D18">
        <w:rPr>
          <w:rFonts w:cs="Arial"/>
          <w:rtl/>
        </w:rPr>
        <w:t xml:space="preserve"> אבל כשיש שם בת ובן דהואיל וניתן כח לבת מכח התקנה לדחות הבן בנכסים מועטים שגם היא יורשת נקראת כשאין בן ואז יש כח באלמנה לדחות גם הבת הואיל ושניהם מכח התקנה אוכלין</w:t>
      </w:r>
      <w:r>
        <w:rPr>
          <w:rFonts w:hint="cs"/>
          <w:rtl/>
        </w:rPr>
        <w:t>, ח"מ (סק"ט).</w:t>
      </w:r>
    </w:p>
  </w:footnote>
  <w:footnote w:id="2277">
    <w:p w14:paraId="418A4829" w14:textId="77777777" w:rsidR="00DF1FC7" w:rsidRDefault="00DF1FC7" w:rsidP="002E5BAD">
      <w:pPr>
        <w:pStyle w:val="a5"/>
      </w:pPr>
      <w:r>
        <w:rPr>
          <w:rStyle w:val="a7"/>
        </w:rPr>
        <w:footnoteRef/>
      </w:r>
      <w:r>
        <w:rPr>
          <w:rtl/>
        </w:rPr>
        <w:t xml:space="preserve"> </w:t>
      </w:r>
      <w:r w:rsidRPr="00311F2C">
        <w:rPr>
          <w:rFonts w:cs="Arial"/>
          <w:rtl/>
        </w:rPr>
        <w:t>דין זה לא קאי לדעת הי"א דהא גמרא ערוכה היא בפרק יש נוחלין שלח רבין באיגרתיה וכו' נשאת הבת אלמנתו ניזונת מנכסיו וכו'</w:t>
      </w:r>
      <w:r>
        <w:rPr>
          <w:rFonts w:cs="Arial" w:hint="cs"/>
          <w:rtl/>
        </w:rPr>
        <w:t>, ח"מ (סק"י).</w:t>
      </w:r>
      <w:r>
        <w:rPr>
          <w:rFonts w:hint="cs"/>
          <w:rtl/>
        </w:rPr>
        <w:t xml:space="preserve"> והוסיף הב"ש (סק"י) </w:t>
      </w:r>
      <w:r w:rsidRPr="00CD5EDE">
        <w:rPr>
          <w:rFonts w:cs="Arial"/>
          <w:rtl/>
        </w:rPr>
        <w:t xml:space="preserve">בשם מהרי"ק </w:t>
      </w:r>
      <w:r>
        <w:rPr>
          <w:rFonts w:cs="Arial" w:hint="cs"/>
          <w:rtl/>
        </w:rPr>
        <w:t>ד</w:t>
      </w:r>
      <w:r w:rsidRPr="00CD5EDE">
        <w:rPr>
          <w:rFonts w:cs="Arial"/>
          <w:rtl/>
        </w:rPr>
        <w:t>כל הסוגיא שם איירי בנ"מ</w:t>
      </w:r>
      <w:r>
        <w:rPr>
          <w:rFonts w:cs="Arial" w:hint="cs"/>
          <w:rtl/>
        </w:rPr>
        <w:t>,</w:t>
      </w:r>
      <w:r w:rsidRPr="00CD5EDE">
        <w:rPr>
          <w:rFonts w:cs="Arial"/>
          <w:rtl/>
        </w:rPr>
        <w:t xml:space="preserve"> אבל בנצ"ב הוא לוקח גמור ואין מוציאים מן הבעל</w:t>
      </w:r>
      <w:r>
        <w:rPr>
          <w:rFonts w:cs="Arial" w:hint="cs"/>
          <w:rtl/>
        </w:rPr>
        <w:t>.</w:t>
      </w:r>
      <w:r w:rsidRPr="00CD5EDE">
        <w:rPr>
          <w:rFonts w:cs="Arial"/>
          <w:rtl/>
        </w:rPr>
        <w:t xml:space="preserve"> </w:t>
      </w:r>
      <w:r>
        <w:rPr>
          <w:rFonts w:cs="Arial" w:hint="cs"/>
          <w:rtl/>
        </w:rPr>
        <w:t>ו</w:t>
      </w:r>
      <w:r w:rsidRPr="00CD5EDE">
        <w:rPr>
          <w:rFonts w:cs="Arial"/>
          <w:rtl/>
        </w:rPr>
        <w:t xml:space="preserve">אע"ג </w:t>
      </w:r>
      <w:r>
        <w:rPr>
          <w:rFonts w:cs="Arial" w:hint="cs"/>
          <w:rtl/>
        </w:rPr>
        <w:t>ד</w:t>
      </w:r>
      <w:r w:rsidRPr="00CD5EDE">
        <w:rPr>
          <w:rFonts w:cs="Arial"/>
          <w:rtl/>
        </w:rPr>
        <w:t>אם הכניסה דבר שאינה שלה בתורת נצ"ב צריך להחזיר כמ"ש בס"ס צ"א</w:t>
      </w:r>
      <w:r>
        <w:rPr>
          <w:rFonts w:cs="Arial" w:hint="cs"/>
          <w:rtl/>
        </w:rPr>
        <w:t>,</w:t>
      </w:r>
      <w:r w:rsidRPr="00CD5EDE">
        <w:rPr>
          <w:rFonts w:cs="Arial"/>
          <w:rtl/>
        </w:rPr>
        <w:t xml:space="preserve"> היינו משום דהוי כגזל</w:t>
      </w:r>
      <w:r>
        <w:rPr>
          <w:rFonts w:cs="Arial" w:hint="cs"/>
          <w:rtl/>
        </w:rPr>
        <w:t>,</w:t>
      </w:r>
      <w:r w:rsidRPr="00CD5EDE">
        <w:rPr>
          <w:rFonts w:cs="Arial"/>
          <w:rtl/>
        </w:rPr>
        <w:t xml:space="preserve"> אבל כאן מזונות אלמנה ליתא אלא חיוב ואין מוציאים</w:t>
      </w:r>
      <w:r>
        <w:rPr>
          <w:rFonts w:cs="Arial" w:hint="cs"/>
          <w:rtl/>
        </w:rPr>
        <w:t>.</w:t>
      </w:r>
      <w:r w:rsidRPr="00CD5EDE">
        <w:rPr>
          <w:rFonts w:cs="Arial"/>
          <w:rtl/>
        </w:rPr>
        <w:t xml:space="preserve"> ואי</w:t>
      </w:r>
      <w:r>
        <w:rPr>
          <w:rFonts w:cs="Arial" w:hint="cs"/>
          <w:rtl/>
        </w:rPr>
        <w:t>ני יודע</w:t>
      </w:r>
      <w:r w:rsidRPr="00CD5EDE">
        <w:rPr>
          <w:rFonts w:cs="Arial"/>
          <w:rtl/>
        </w:rPr>
        <w:t xml:space="preserve"> למה לא פירשו כל האחרונים דאיירי בנ"מ</w:t>
      </w:r>
      <w:r>
        <w:rPr>
          <w:rFonts w:cs="Arial" w:hint="cs"/>
          <w:rtl/>
        </w:rPr>
        <w:t>.</w:t>
      </w:r>
    </w:p>
  </w:footnote>
  <w:footnote w:id="2278">
    <w:p w14:paraId="70FF1619" w14:textId="77777777" w:rsidR="00DF1FC7" w:rsidRDefault="00DF1FC7" w:rsidP="002E5BAD">
      <w:pPr>
        <w:pStyle w:val="a5"/>
        <w:rPr>
          <w:rtl/>
        </w:rPr>
      </w:pPr>
      <w:r>
        <w:rPr>
          <w:rStyle w:val="a7"/>
        </w:rPr>
        <w:footnoteRef/>
      </w:r>
      <w:r>
        <w:rPr>
          <w:rtl/>
        </w:rPr>
        <w:t xml:space="preserve"> </w:t>
      </w:r>
      <w:r w:rsidRPr="00C94C46">
        <w:rPr>
          <w:rFonts w:cs="Arial"/>
          <w:rtl/>
        </w:rPr>
        <w:t>(ה) ובהגהות אלפסי (ע"א) סוף פרק נערה אלמנה שבאת לבית דין ונשבעת שבועת אלמנה לא מיקרי תובעת כתובתה ולא אבדה מזונות וכן משמע בהר"ן פרק אלמנה נזונת (דף תקנ"ט ע"א) (נז. ד"ה גמ'), ועיין עוד מזה לקמן סימן צ"ט:</w:t>
      </w:r>
    </w:p>
  </w:footnote>
  <w:footnote w:id="2279">
    <w:p w14:paraId="04FFA8AF" w14:textId="77777777" w:rsidR="00DF1FC7" w:rsidRDefault="00DF1FC7" w:rsidP="002E5BAD">
      <w:pPr>
        <w:pStyle w:val="a5"/>
        <w:rPr>
          <w:rtl/>
        </w:rPr>
      </w:pPr>
      <w:r>
        <w:rPr>
          <w:rStyle w:val="a7"/>
        </w:rPr>
        <w:footnoteRef/>
      </w:r>
      <w:r>
        <w:rPr>
          <w:rtl/>
        </w:rPr>
        <w:t xml:space="preserve"> </w:t>
      </w:r>
      <w:r w:rsidRPr="00F22E6E">
        <w:rPr>
          <w:rFonts w:cs="Arial"/>
          <w:rtl/>
        </w:rPr>
        <w:t>(ו) וכתב בהגהות אלפסי פרק נערה דאפילו תבעה כל הכתובה פחות מדינר א' בתוספת נזונת בשביל אותו הדינר ודלא כסברת הר"ן (כא: ד"ה תובעת) שמחלק בין תובעת לנפרעת כתובה, וכתב [הר"ן] ריש [פרק] אף על פי (ע"ב) (שם) דאפשר לומר דאם תובעת מקצת כתובה אבדה מזונות מה שאין כן במכרה מקצת, וכתב עוד (הר"ן שם) בשם הרמב"ן (בספר הזכות כתובות כא ב) דאם נתנו לה כתובה ונזונת בשביל התוספת ותובעת התוספת אבדה מזונות וכתב המגיד משנה פי"ח (הכ"ח) שכן דעת הרי"ף (כא ב) והרמב"ם (שם):</w:t>
      </w:r>
    </w:p>
  </w:footnote>
  <w:footnote w:id="2280">
    <w:p w14:paraId="5EF6EEC1" w14:textId="77777777" w:rsidR="00DF1FC7" w:rsidRDefault="00DF1FC7" w:rsidP="002E5BAD">
      <w:pPr>
        <w:pStyle w:val="a5"/>
      </w:pPr>
      <w:r>
        <w:rPr>
          <w:rStyle w:val="a7"/>
        </w:rPr>
        <w:footnoteRef/>
      </w:r>
      <w:r>
        <w:rPr>
          <w:rtl/>
        </w:rPr>
        <w:t xml:space="preserve"> </w:t>
      </w:r>
      <w:r w:rsidRPr="00F22E6E">
        <w:rPr>
          <w:rFonts w:cs="Arial"/>
          <w:rtl/>
        </w:rPr>
        <w:t>(ז) אמנם בשם תשובת הרשב"א (ח"ו סי' ה) כתב דאוכלת בשביל הנדוניא וכתב עוד (שם) ואף אם תמצא לומר דאינה אוכלת בשביל הנדוניא מכל מקום אם מחלה מקצת לבעלה אמרינן דמקצת שמחלה היינו הנדוניא ושיירה לעצמה עיקר הכתובה ולא אבדה מזונות ולא אמרינן דיד בעל השטר על התחתונה דאדרבה הבעל נקרא בעל השטר וידו על התחתונה דהרי בודאי חייב לה מזונות והוא בא ליפטר ממנה מכח המחילה שלה ועליו לברר מה מחלה וכו':</w:t>
      </w:r>
    </w:p>
  </w:footnote>
  <w:footnote w:id="2281">
    <w:p w14:paraId="42325042" w14:textId="77777777" w:rsidR="00DF1FC7" w:rsidRDefault="00DF1FC7" w:rsidP="002E5BAD">
      <w:pPr>
        <w:pStyle w:val="a5"/>
      </w:pPr>
      <w:r>
        <w:rPr>
          <w:rStyle w:val="a7"/>
        </w:rPr>
        <w:footnoteRef/>
      </w:r>
      <w:r>
        <w:rPr>
          <w:rtl/>
        </w:rPr>
        <w:t xml:space="preserve"> </w:t>
      </w:r>
      <w:r w:rsidRPr="00F22E6E">
        <w:rPr>
          <w:rFonts w:cs="Arial"/>
          <w:rtl/>
        </w:rPr>
        <w:t>(ח) וע"ל סימן ע' (אות ט) אשת איש ששתקה לבעלה אימת הוי מחילה:</w:t>
      </w:r>
    </w:p>
  </w:footnote>
  <w:footnote w:id="2282">
    <w:p w14:paraId="1F3DCE44" w14:textId="77777777" w:rsidR="00DF1FC7" w:rsidRDefault="00DF1FC7" w:rsidP="002E5BAD">
      <w:pPr>
        <w:pStyle w:val="a5"/>
        <w:rPr>
          <w:rtl/>
        </w:rPr>
      </w:pPr>
      <w:r>
        <w:rPr>
          <w:rStyle w:val="a7"/>
        </w:rPr>
        <w:footnoteRef/>
      </w:r>
      <w:r>
        <w:rPr>
          <w:rtl/>
        </w:rPr>
        <w:t xml:space="preserve"> </w:t>
      </w:r>
      <w:r w:rsidRPr="00DB1BB3">
        <w:rPr>
          <w:rFonts w:cs="Arial"/>
          <w:rtl/>
        </w:rPr>
        <w:t>(ט) וכן פסק הריטב"א פרק שני דייני גזירות (קד: ד"ה מי):</w:t>
      </w:r>
    </w:p>
  </w:footnote>
  <w:footnote w:id="2283">
    <w:p w14:paraId="211EDBD3" w14:textId="77777777" w:rsidR="00DF1FC7" w:rsidRDefault="00DF1FC7" w:rsidP="002E5BAD">
      <w:pPr>
        <w:pStyle w:val="a5"/>
      </w:pPr>
      <w:r>
        <w:rPr>
          <w:rStyle w:val="a7"/>
        </w:rPr>
        <w:footnoteRef/>
      </w:r>
      <w:r>
        <w:rPr>
          <w:rtl/>
        </w:rPr>
        <w:t xml:space="preserve"> </w:t>
      </w:r>
      <w:r w:rsidRPr="00554FA8">
        <w:rPr>
          <w:rFonts w:cs="Arial"/>
          <w:rtl/>
        </w:rPr>
        <w:t>(יד) וכן פסק הרמב"ן בתשובה סימן מ"ט דאין לה למעות שקבלו כלום אף על גב דלא יכולה להוציא הקרקע מיד הלקוחות וע"ל סימן קי"ב (עמ' סה) לענין מזונות הבנות:</w:t>
      </w:r>
    </w:p>
  </w:footnote>
  <w:footnote w:id="2284">
    <w:p w14:paraId="37E3EE51" w14:textId="77777777" w:rsidR="00DF1FC7" w:rsidRDefault="00DF1FC7" w:rsidP="002E5BAD">
      <w:pPr>
        <w:pStyle w:val="a5"/>
      </w:pPr>
      <w:r>
        <w:rPr>
          <w:rStyle w:val="a7"/>
        </w:rPr>
        <w:footnoteRef/>
      </w:r>
      <w:r>
        <w:rPr>
          <w:rtl/>
        </w:rPr>
        <w:t xml:space="preserve"> </w:t>
      </w:r>
      <w:r w:rsidRPr="00554FA8">
        <w:rPr>
          <w:rFonts w:cs="Arial"/>
          <w:rtl/>
        </w:rPr>
        <w:t>(יד*) ועיין במרדכי פרק אלמנה ניזונת (ע"ב) שהאריך בזה וכן הוא בהגהות מרדכי דבבא בתרא (דף רס"א ע"א):</w:t>
      </w:r>
    </w:p>
  </w:footnote>
  <w:footnote w:id="2285">
    <w:p w14:paraId="3E3A69E6" w14:textId="77777777" w:rsidR="00DF1FC7" w:rsidRDefault="00DF1FC7" w:rsidP="002E5BAD">
      <w:pPr>
        <w:pStyle w:val="a5"/>
      </w:pPr>
      <w:r>
        <w:rPr>
          <w:rStyle w:val="a7"/>
        </w:rPr>
        <w:footnoteRef/>
      </w:r>
      <w:r>
        <w:rPr>
          <w:rtl/>
        </w:rPr>
        <w:t xml:space="preserve"> </w:t>
      </w:r>
      <w:r w:rsidRPr="00C94137">
        <w:rPr>
          <w:rFonts w:cs="Arial"/>
          <w:rtl/>
        </w:rPr>
        <w:t>(י) וכן פסק הריב"ש סימן ק"ז דנזונת ממתנת שכיב מרע במקום דליכא בני חורין, וכתב עוד דאם נתן למקצת בניו בלשון מתנה ולמקצתן בלשון ירושה אינה נזונת מן המתנה דאותן שנתן בלשון ירושה נקראים בני חורין, ובמרדכי פרק נערה שנתפתתה (ע"ג וע"ד) (סי' קסא) האריך בזה וכתב דמוהר"ם סבירא ליה דנזונת אפילו ממתנת בריא ויש סוברים (רבינו שמואל במרדכי שם) דאפילו ממתנת שכיב מרע ממטלטלין אינה נזונת אפילו לאחר תקנת הגאונים שתקנו שכתובה נגבית ממטלטלין וע"ש, ועיין בחושן המשפט סימן רנ"ב (ס"א) יתבארו עוד מדינים אלו. כתב הר"ן ריש המדיר (לא: ד"ה גמ') הקדיש נכסיו אין אשתו נזונת מהן דהוי כמתנת בריא, וע"ל סימן ק"ו (אות ט) שאם צוה לפניה מתנת שכיב מרע ושתקה הוי מחילה וע"ל. כב"י בחושן המשפט סימן רנ"ג (מחודשים [ג]) בשם תשובת הריטב"א (סי' קה) שנשאל על שכיב מרע שצוה שיחלוקו אשתו ובניו נכסיו שוה בשוה ואם תרצה היא לשבת עם בניה שיתנו לה פירות כל נכסי הבנים שיתפרנסו מהן היא והבנים ועכשיו מת אחד מהבנים והאפוטרופסים טוענים שמאחר שנפטר אחד מהבנים אין לה להחזיק בנכסים אלא שיהיו ליורשים, עוד אומרים האפוטרופסים שרוצים למכור או להשכין מבתי היתומים לתועלתם והאלמנה טוענת שאינם רשאים לפי שיש לה ליטול פירות כל הנכסים, והשיב הדין עם האלמנה דכל פירות בין קרקע בין מטלטלין בכלל נכסיו ואף על פי שמת אחד מהבנים עוד זכותה קיים בכל הנכסים ההם, ומכל מקום לפי לשון הצוואה שכתבת איני רואה שתהא מחזקת בנכסי הבנים אלא הם מחזיקין בנכסיהם ונותנין לה מהפירות שתהא מתפרנסת עמהן כדין אלמנה דעלמא ואם יותיר הרי הוא שלהם עכ"ל:</w:t>
      </w:r>
    </w:p>
  </w:footnote>
  <w:footnote w:id="2286">
    <w:p w14:paraId="61FD798A" w14:textId="77777777" w:rsidR="00DF1FC7" w:rsidRDefault="00DF1FC7" w:rsidP="002E5BAD">
      <w:pPr>
        <w:pStyle w:val="a5"/>
      </w:pPr>
      <w:r>
        <w:rPr>
          <w:rStyle w:val="a7"/>
        </w:rPr>
        <w:footnoteRef/>
      </w:r>
      <w:r>
        <w:rPr>
          <w:rtl/>
        </w:rPr>
        <w:t xml:space="preserve"> </w:t>
      </w:r>
      <w:r w:rsidRPr="00C94137">
        <w:rPr>
          <w:rFonts w:cs="Arial"/>
          <w:rtl/>
        </w:rPr>
        <w:t>(יא) וכן הוא בתשובות הרשב"א (ח"א) סי' (תת"ע) [תתע"ט] אמנם בהגהות מיימוני בפי"ח מאישות (אות ט) משמע דלא מהני תפיסה בשטרות וכן הוא בפ"א מהלכות זכייה בהגהות (אות ה) וכן משמע מדברי הרמב"ם בפי"א מהלכות מלוה (ה"ח) וע"ש ובריב"ש סי' שמ"ה:</w:t>
      </w:r>
    </w:p>
  </w:footnote>
  <w:footnote w:id="2287">
    <w:p w14:paraId="542C8CEE" w14:textId="77777777" w:rsidR="00DF1FC7" w:rsidRDefault="00DF1FC7" w:rsidP="002E5BAD">
      <w:pPr>
        <w:pStyle w:val="a5"/>
      </w:pPr>
      <w:r>
        <w:rPr>
          <w:rStyle w:val="a7"/>
        </w:rPr>
        <w:footnoteRef/>
      </w:r>
      <w:r>
        <w:rPr>
          <w:rtl/>
        </w:rPr>
        <w:t xml:space="preserve"> </w:t>
      </w:r>
      <w:r w:rsidRPr="00C94137">
        <w:rPr>
          <w:rFonts w:cs="Arial"/>
          <w:rtl/>
        </w:rPr>
        <w:t>(יב) וכן פסק הר"ן ריש מי שהיה נשוי (מט. ד"ה וגרסינן בירושלמי):</w:t>
      </w:r>
    </w:p>
  </w:footnote>
  <w:footnote w:id="2288">
    <w:p w14:paraId="4C277295" w14:textId="77777777" w:rsidR="00DF1FC7" w:rsidRDefault="00DF1FC7" w:rsidP="002E5BAD">
      <w:pPr>
        <w:pStyle w:val="a5"/>
      </w:pPr>
      <w:r>
        <w:rPr>
          <w:rStyle w:val="a7"/>
        </w:rPr>
        <w:footnoteRef/>
      </w:r>
      <w:r>
        <w:rPr>
          <w:rtl/>
        </w:rPr>
        <w:t xml:space="preserve"> </w:t>
      </w:r>
      <w:r w:rsidRPr="00C94137">
        <w:rPr>
          <w:rFonts w:cs="Arial"/>
          <w:rtl/>
        </w:rPr>
        <w:t>(יג) וכן כתב הרמב"ן בתשובה סימן מ"ט דגביא ממשועבדים וכן הוא במגיד משנה פרק י"ח דאישות (הי"ג), וכתב עוד הרמב"ן סימן נ"ז דעכשיו שהכל נהגו לקנות הויא המזונות ככתובים וסתם אשה גביא ממשועבדים:</w:t>
      </w:r>
    </w:p>
  </w:footnote>
  <w:footnote w:id="2289">
    <w:p w14:paraId="20639C17" w14:textId="77777777" w:rsidR="00DF1FC7" w:rsidRDefault="00DF1FC7" w:rsidP="002E5BAD">
      <w:pPr>
        <w:pStyle w:val="a5"/>
        <w:rPr>
          <w:rtl/>
        </w:rPr>
      </w:pPr>
      <w:r>
        <w:rPr>
          <w:rStyle w:val="a7"/>
        </w:rPr>
        <w:footnoteRef/>
      </w:r>
      <w:r>
        <w:rPr>
          <w:rtl/>
        </w:rPr>
        <w:t xml:space="preserve"> </w:t>
      </w:r>
      <w:r w:rsidRPr="00C94137">
        <w:rPr>
          <w:rFonts w:cs="Arial"/>
          <w:rtl/>
        </w:rPr>
        <w:t>(יד**) כמו שכתב הר"ן פרק אלמנה עכ"ל ב"י, ודברי הר"ן כתבתי לעיל:</w:t>
      </w:r>
    </w:p>
  </w:footnote>
  <w:footnote w:id="2290">
    <w:p w14:paraId="2867EFA8" w14:textId="77777777" w:rsidR="00DF1FC7" w:rsidRDefault="00DF1FC7" w:rsidP="002E5BAD">
      <w:pPr>
        <w:pStyle w:val="a5"/>
      </w:pPr>
      <w:r>
        <w:rPr>
          <w:rStyle w:val="a7"/>
        </w:rPr>
        <w:footnoteRef/>
      </w:r>
      <w:r>
        <w:rPr>
          <w:rtl/>
        </w:rPr>
        <w:t xml:space="preserve"> </w:t>
      </w:r>
      <w:r w:rsidRPr="00C94137">
        <w:rPr>
          <w:rFonts w:cs="Arial"/>
          <w:rtl/>
        </w:rPr>
        <w:t>(טו) אמנם בריב"ש סימן שס"ד שהביא הב"י לעיל (עמ' תטו ד"ה כתב הריב"ש) משמע דאף בבית מהני תפיסה:</w:t>
      </w:r>
    </w:p>
  </w:footnote>
  <w:footnote w:id="2291">
    <w:p w14:paraId="3661B694" w14:textId="77777777" w:rsidR="00DF1FC7" w:rsidRDefault="00DF1FC7" w:rsidP="002E5BAD">
      <w:pPr>
        <w:pStyle w:val="a5"/>
        <w:rPr>
          <w:rtl/>
        </w:rPr>
      </w:pPr>
      <w:r>
        <w:rPr>
          <w:rStyle w:val="a7"/>
        </w:rPr>
        <w:footnoteRef/>
      </w:r>
      <w:r>
        <w:rPr>
          <w:rtl/>
        </w:rPr>
        <w:t xml:space="preserve"> </w:t>
      </w:r>
      <w:r w:rsidRPr="00554FA8">
        <w:rPr>
          <w:rFonts w:cs="Arial"/>
          <w:rtl/>
        </w:rPr>
        <w:t>(יז) נראה דאמכרה לאחרים קאי והואיל וטעתה כל מה שמכרה בטעות הוא בטל כמו שיתבאר לקמן (עמ' מא) לענין מכירת כתובה ואף על גב דהרמב"ם לא כתבו לענין מכירת מזונותיה נלמד אחד מחבירו ודלא כב"י שפירש דברי הטור בענין אחר:</w:t>
      </w:r>
    </w:p>
  </w:footnote>
  <w:footnote w:id="2292">
    <w:p w14:paraId="5DA62E98" w14:textId="77777777" w:rsidR="00DF1FC7" w:rsidRDefault="00DF1FC7" w:rsidP="002E5BAD">
      <w:pPr>
        <w:pStyle w:val="a5"/>
      </w:pPr>
      <w:r>
        <w:rPr>
          <w:rStyle w:val="a7"/>
        </w:rPr>
        <w:footnoteRef/>
      </w:r>
      <w:r>
        <w:rPr>
          <w:rtl/>
        </w:rPr>
        <w:t xml:space="preserve"> </w:t>
      </w:r>
      <w:r w:rsidRPr="00C94137">
        <w:rPr>
          <w:rFonts w:cs="Arial"/>
          <w:rtl/>
        </w:rPr>
        <w:t>(יח) וכתב ריב"ש בסימן רמ"ד דוקא אלמנה המוכרת אבל אפוטרופוס או בית דין שמכרו לא אבדו זכותן שיש להן על הקרקע ההוא מחמת חוב ושעבוד עכ"ל. ובהגהות אלפסי פרק אלמנה נזונת (דף תקנ"ו ע"ב) (נו. אות ג) דאין חילוק בין אחריות של בעל חוב או אחריות דגזילה. כתב ריב"ש סימן רמ"ד ראובן צוה בעת מותו ואשתו קבלה קנין בזה הלשון אני משעבדת עצמי להשלים מנכסי המת כל צוואתו ועתה באה האלמנה לגבות כתובתה ואמרה שלא קיבלה קנין רק לקיים צוואתו מה שנשאר מכתובתה ולא קיבלה קנין רק משום שהיא נושאת ונותנת תוך הבית והיו כל הנכסים ברשותה ונראה דהדין עם האלמנה דהואיל ולא קבלה טובה משום זה הקנין בודאי אחריות דנפשה לא קבלה עליה וע"ש כי האריך בדבר:</w:t>
      </w:r>
    </w:p>
  </w:footnote>
  <w:footnote w:id="2293">
    <w:p w14:paraId="4B566D76" w14:textId="77777777" w:rsidR="00DF1FC7" w:rsidRDefault="00DF1FC7" w:rsidP="002E5BAD">
      <w:pPr>
        <w:pStyle w:val="a5"/>
      </w:pPr>
      <w:r>
        <w:rPr>
          <w:rStyle w:val="a7"/>
        </w:rPr>
        <w:footnoteRef/>
      </w:r>
      <w:r>
        <w:rPr>
          <w:rtl/>
        </w:rPr>
        <w:t xml:space="preserve"> </w:t>
      </w:r>
      <w:r w:rsidRPr="00BF47E4">
        <w:rPr>
          <w:rFonts w:cs="Arial"/>
          <w:rtl/>
        </w:rPr>
        <w:t>לא בשבח שהשביחו אם אינם שוין הנכסים בשעת מיתת בעלה כדי שיעור כתובה ואח"כ השביחו אינה נוטלת אלא כמה שהיו שוין ולא בראוי כבמוחזק</w:t>
      </w:r>
      <w:r>
        <w:rPr>
          <w:rFonts w:cs="Arial" w:hint="cs"/>
          <w:rtl/>
        </w:rPr>
        <w:t>, רש"י.</w:t>
      </w:r>
    </w:p>
  </w:footnote>
  <w:footnote w:id="2294">
    <w:p w14:paraId="4DB22574" w14:textId="77777777" w:rsidR="00DF1FC7" w:rsidRDefault="00DF1FC7" w:rsidP="002E5BAD">
      <w:pPr>
        <w:pStyle w:val="a5"/>
      </w:pPr>
      <w:r>
        <w:rPr>
          <w:rStyle w:val="a7"/>
        </w:rPr>
        <w:footnoteRef/>
      </w:r>
      <w:r>
        <w:rPr>
          <w:rtl/>
        </w:rPr>
        <w:t xml:space="preserve"> </w:t>
      </w:r>
      <w:r w:rsidRPr="00BF47E4">
        <w:rPr>
          <w:rFonts w:cs="Arial"/>
          <w:rtl/>
        </w:rPr>
        <w:t>שהלוה לחבירו מעות ומכר לוה הנכסים והשביחום לקוחות טורף בעל חוב הגוף והשבח והך אשה נמי בעלת חוב היא</w:t>
      </w:r>
      <w:r>
        <w:rPr>
          <w:rFonts w:cs="Arial" w:hint="cs"/>
          <w:rtl/>
        </w:rPr>
        <w:t>, רש"י.</w:t>
      </w:r>
    </w:p>
  </w:footnote>
  <w:footnote w:id="2295">
    <w:p w14:paraId="4653A7F6" w14:textId="77777777" w:rsidR="00DF1FC7" w:rsidRDefault="00DF1FC7" w:rsidP="002E5BAD">
      <w:pPr>
        <w:pStyle w:val="a5"/>
      </w:pPr>
      <w:r>
        <w:rPr>
          <w:rStyle w:val="a7"/>
        </w:rPr>
        <w:footnoteRef/>
      </w:r>
      <w:r>
        <w:rPr>
          <w:rtl/>
        </w:rPr>
        <w:t xml:space="preserve"> </w:t>
      </w:r>
      <w:r w:rsidRPr="00BF47E4">
        <w:rPr>
          <w:rFonts w:cs="Arial"/>
          <w:rtl/>
        </w:rPr>
        <w:t>זה אחד מקולי כתובה</w:t>
      </w:r>
      <w:r>
        <w:rPr>
          <w:rFonts w:cs="Arial" w:hint="cs"/>
          <w:rtl/>
        </w:rPr>
        <w:t>, רש"י.</w:t>
      </w:r>
    </w:p>
  </w:footnote>
  <w:footnote w:id="2296">
    <w:p w14:paraId="125F5386" w14:textId="77777777" w:rsidR="00DF1FC7" w:rsidRDefault="00DF1FC7" w:rsidP="002E5BAD">
      <w:pPr>
        <w:pStyle w:val="a5"/>
      </w:pPr>
      <w:r>
        <w:rPr>
          <w:rStyle w:val="a7"/>
        </w:rPr>
        <w:footnoteRef/>
      </w:r>
      <w:r>
        <w:rPr>
          <w:rtl/>
        </w:rPr>
        <w:t xml:space="preserve"> </w:t>
      </w:r>
      <w:r>
        <w:rPr>
          <w:rFonts w:cs="Arial" w:hint="cs"/>
          <w:rtl/>
        </w:rPr>
        <w:t xml:space="preserve">וז"ל- </w:t>
      </w:r>
      <w:r>
        <w:rPr>
          <w:rFonts w:cs="Arial"/>
          <w:rtl/>
        </w:rPr>
        <w:t>אע</w:t>
      </w:r>
      <w:r>
        <w:rPr>
          <w:rFonts w:cs="Arial" w:hint="cs"/>
          <w:rtl/>
        </w:rPr>
        <w:t>"</w:t>
      </w:r>
      <w:r>
        <w:rPr>
          <w:rFonts w:cs="Arial"/>
          <w:rtl/>
        </w:rPr>
        <w:t>פ שהורע כח הבכור והבעל לענין מלוה דהוי ראוי לגבייהו</w:t>
      </w:r>
      <w:r>
        <w:rPr>
          <w:rFonts w:cs="Arial" w:hint="cs"/>
          <w:rtl/>
        </w:rPr>
        <w:t>,</w:t>
      </w:r>
      <w:r>
        <w:rPr>
          <w:rFonts w:cs="Arial"/>
          <w:rtl/>
        </w:rPr>
        <w:t xml:space="preserve"> לגבי כתובת אשה הויא כמוחזק</w:t>
      </w:r>
      <w:r>
        <w:rPr>
          <w:rFonts w:cs="Arial" w:hint="cs"/>
          <w:rtl/>
        </w:rPr>
        <w:t>,</w:t>
      </w:r>
      <w:r>
        <w:rPr>
          <w:rFonts w:cs="Arial"/>
          <w:rtl/>
        </w:rPr>
        <w:t xml:space="preserve"> וגובה כתובתה ממנה</w:t>
      </w:r>
      <w:r>
        <w:rPr>
          <w:rFonts w:cs="Arial" w:hint="cs"/>
          <w:rtl/>
        </w:rPr>
        <w:t>,</w:t>
      </w:r>
      <w:r>
        <w:rPr>
          <w:rFonts w:cs="Arial"/>
          <w:rtl/>
        </w:rPr>
        <w:t xml:space="preserve"> כדתנן בפרק הכותב (כתובות פד.) מי שמת והניח אשה ובעל חוב ויורשים והיה לו פקדון או מלוה ביד אחרים וכו'</w:t>
      </w:r>
      <w:r>
        <w:rPr>
          <w:rFonts w:cs="Arial" w:hint="cs"/>
          <w:rtl/>
        </w:rPr>
        <w:t>.</w:t>
      </w:r>
      <w:r>
        <w:rPr>
          <w:rFonts w:cs="Arial"/>
          <w:rtl/>
        </w:rPr>
        <w:t xml:space="preserve"> ומיהו אין ראיה דלעולם אם גבו יתומים את המלוה בין גבו מעות בין גבו קרקע אינה גובה מהם משום דהוי ראוי אבל בעוד שלא גבו יפה כחה לגבות אף על פי שהוא ראוי כי היכי דיפה כח המלוה והאשה לגבות אף על גב דמטלטלי דיתמי לא משתעבדי לבעל חוב והוא הדין לענין ראוי נמי כיון שהם ביד אחרים יפה כחן לגבות</w:t>
      </w:r>
      <w:r>
        <w:rPr>
          <w:rFonts w:cs="Arial" w:hint="cs"/>
          <w:rtl/>
        </w:rPr>
        <w:t>.</w:t>
      </w:r>
      <w:r>
        <w:rPr>
          <w:rFonts w:cs="Arial"/>
          <w:rtl/>
        </w:rPr>
        <w:t xml:space="preserve"> וקצת יש להביא ראיה מהא דאמר רב נחמן לעיל (ב"ב קכה.) יתומים שגבו קרקע בחובת אביהם בעל חוב חוזר וגובה אותה מהם לרבא דמפרש טעמא (פסחים לא.) דא"ל כי היכי דמשעבדנא לאבוהון משתעבדנא ליה מדרבי נתן</w:t>
      </w:r>
      <w:r>
        <w:rPr>
          <w:rFonts w:cs="Arial" w:hint="cs"/>
          <w:rtl/>
        </w:rPr>
        <w:t>.</w:t>
      </w:r>
      <w:r>
        <w:rPr>
          <w:rFonts w:cs="Arial"/>
          <w:rtl/>
        </w:rPr>
        <w:t xml:space="preserve"> והאי טעמא נמי שייך בכתובת אשה אף על גב דלא ניתנה ליגבות בחיי הבעל</w:t>
      </w:r>
      <w:r>
        <w:rPr>
          <w:rFonts w:cs="Arial" w:hint="cs"/>
          <w:rtl/>
        </w:rPr>
        <w:t>,</w:t>
      </w:r>
      <w:r>
        <w:rPr>
          <w:rFonts w:cs="Arial"/>
          <w:rtl/>
        </w:rPr>
        <w:t xml:space="preserve"> מכל מקום ה"ל שעבוד על כל בעלי חובין</w:t>
      </w:r>
      <w:r>
        <w:rPr>
          <w:rFonts w:cs="Arial" w:hint="cs"/>
          <w:rtl/>
        </w:rPr>
        <w:t>.</w:t>
      </w:r>
      <w:r>
        <w:rPr>
          <w:rFonts w:cs="Arial"/>
          <w:rtl/>
        </w:rPr>
        <w:t xml:space="preserve"> ומצינו למימר דיש חילוק בין כתובת אשה לבעל חוב משום דאקילו רבנן בכתובת אשה</w:t>
      </w:r>
      <w:r>
        <w:rPr>
          <w:rFonts w:cs="Arial" w:hint="cs"/>
          <w:rtl/>
        </w:rPr>
        <w:t>,</w:t>
      </w:r>
      <w:r>
        <w:rPr>
          <w:rFonts w:cs="Arial"/>
          <w:rtl/>
        </w:rPr>
        <w:t xml:space="preserve"> כדאמרינן בפרק יש בכור מקולי כתובה שנו כאן</w:t>
      </w:r>
      <w:r>
        <w:rPr>
          <w:rFonts w:cs="Arial" w:hint="cs"/>
          <w:rtl/>
        </w:rPr>
        <w:t>.</w:t>
      </w:r>
      <w:r>
        <w:rPr>
          <w:rFonts w:cs="Arial"/>
          <w:rtl/>
        </w:rPr>
        <w:t xml:space="preserve"> ומיהו למאי דאמור רבנן דאקיל כמו גבי שבח אמור</w:t>
      </w:r>
      <w:r>
        <w:rPr>
          <w:rFonts w:cs="Arial" w:hint="cs"/>
          <w:rtl/>
        </w:rPr>
        <w:t>,</w:t>
      </w:r>
      <w:r>
        <w:rPr>
          <w:rFonts w:cs="Arial"/>
          <w:rtl/>
        </w:rPr>
        <w:t xml:space="preserve"> ובמאי דלא אמור לא אמור</w:t>
      </w:r>
      <w:r>
        <w:rPr>
          <w:rFonts w:cs="Arial" w:hint="cs"/>
          <w:rtl/>
        </w:rPr>
        <w:t>.</w:t>
      </w:r>
      <w:r>
        <w:rPr>
          <w:rFonts w:cs="Arial"/>
          <w:rtl/>
        </w:rPr>
        <w:t xml:space="preserve"> ועוד ראיה מהא דאמרינן בפרק האשה שנפלו (כתובות פא:) הרי שהיה נושה באחיו מנה וכו' אלמא אף על גב שכבר המלוה ביד היורש גובה ממנה כתובה</w:t>
      </w:r>
      <w:r>
        <w:rPr>
          <w:rFonts w:cs="Arial" w:hint="cs"/>
          <w:rtl/>
        </w:rPr>
        <w:t>.</w:t>
      </w:r>
      <w:r>
        <w:rPr>
          <w:rFonts w:cs="Arial"/>
          <w:rtl/>
        </w:rPr>
        <w:t xml:space="preserve"> והאידנא דתקינו הגאונים דבעל חוב וכתובה גבו ממטלטלי דיתמי</w:t>
      </w:r>
      <w:r>
        <w:rPr>
          <w:rFonts w:cs="Arial" w:hint="cs"/>
          <w:rtl/>
        </w:rPr>
        <w:t>,</w:t>
      </w:r>
      <w:r>
        <w:rPr>
          <w:rFonts w:cs="Arial"/>
          <w:rtl/>
        </w:rPr>
        <w:t xml:space="preserve"> אם גבו מטלטלין בחובת אביהם הרי הן כמקרקעי ובעל חוב וכתובת אשה גובה מהם</w:t>
      </w:r>
      <w:r>
        <w:rPr>
          <w:rFonts w:cs="Arial" w:hint="cs"/>
          <w:rtl/>
        </w:rPr>
        <w:t>.</w:t>
      </w:r>
      <w:r>
        <w:rPr>
          <w:rFonts w:cs="Arial"/>
          <w:rtl/>
        </w:rPr>
        <w:t xml:space="preserve"> וכן עמא דבר</w:t>
      </w:r>
      <w:r>
        <w:rPr>
          <w:rFonts w:cs="Arial" w:hint="cs"/>
          <w:rtl/>
        </w:rPr>
        <w:t>.</w:t>
      </w:r>
      <w:r>
        <w:rPr>
          <w:rFonts w:cs="Arial"/>
          <w:rtl/>
        </w:rPr>
        <w:t xml:space="preserve"> ואפילו ממלוה דגוי</w:t>
      </w:r>
      <w:r>
        <w:rPr>
          <w:rFonts w:cs="Arial" w:hint="cs"/>
          <w:rtl/>
        </w:rPr>
        <w:t>.</w:t>
      </w:r>
      <w:r>
        <w:rPr>
          <w:rFonts w:cs="Arial"/>
          <w:rtl/>
        </w:rPr>
        <w:t xml:space="preserve"> והיינו טעמא דלענין בעל חוב וכתובת אשה לא חשיבא מלוה ראוי משום דמשתעבדא להו בחיי אבוהון מדרבי נתן</w:t>
      </w:r>
      <w:r>
        <w:rPr>
          <w:rFonts w:cs="Arial" w:hint="cs"/>
          <w:rtl/>
        </w:rPr>
        <w:t>.</w:t>
      </w:r>
    </w:p>
  </w:footnote>
  <w:footnote w:id="2297">
    <w:p w14:paraId="6E13F645" w14:textId="77777777" w:rsidR="00DF1FC7" w:rsidRDefault="00DF1FC7" w:rsidP="002E5BAD">
      <w:pPr>
        <w:pStyle w:val="a5"/>
        <w:rPr>
          <w:rtl/>
        </w:rPr>
      </w:pPr>
      <w:r>
        <w:rPr>
          <w:rStyle w:val="a7"/>
        </w:rPr>
        <w:footnoteRef/>
      </w:r>
      <w:r>
        <w:rPr>
          <w:rtl/>
        </w:rPr>
        <w:t xml:space="preserve"> </w:t>
      </w:r>
      <w:r>
        <w:rPr>
          <w:rFonts w:cs="Arial"/>
          <w:rtl/>
        </w:rPr>
        <w:t>כ"כ הרמב"ם בפי"ו מהלכות אישות (ה"ה). וכתב הרב המגיד</w:t>
      </w:r>
      <w:r>
        <w:rPr>
          <w:rFonts w:cs="Arial" w:hint="cs"/>
          <w:rtl/>
        </w:rPr>
        <w:t>-</w:t>
      </w:r>
      <w:r>
        <w:rPr>
          <w:rFonts w:cs="Arial"/>
          <w:rtl/>
        </w:rPr>
        <w:t xml:space="preserve"> דע שאין נכסי צאן ברזל בכלל זה אלא הרי הן נגבין משבח שהשביח לוקח</w:t>
      </w:r>
      <w:r>
        <w:rPr>
          <w:rFonts w:cs="Arial" w:hint="cs"/>
          <w:rtl/>
        </w:rPr>
        <w:t>ף</w:t>
      </w:r>
      <w:r>
        <w:rPr>
          <w:rFonts w:cs="Arial"/>
          <w:rtl/>
        </w:rPr>
        <w:t xml:space="preserve"> אבל לא מן היתומים כמו החוב</w:t>
      </w:r>
      <w:r>
        <w:rPr>
          <w:rFonts w:cs="Arial" w:hint="cs"/>
          <w:rtl/>
        </w:rPr>
        <w:t>,</w:t>
      </w:r>
      <w:r>
        <w:rPr>
          <w:rFonts w:cs="Arial"/>
          <w:rtl/>
        </w:rPr>
        <w:t xml:space="preserve"> ודין החוב נזכר פכ"א מהלכות מלוה</w:t>
      </w:r>
      <w:r>
        <w:rPr>
          <w:rFonts w:cs="Arial" w:hint="cs"/>
          <w:rtl/>
        </w:rPr>
        <w:t>.</w:t>
      </w:r>
      <w:r>
        <w:rPr>
          <w:rFonts w:cs="Arial"/>
          <w:rtl/>
        </w:rPr>
        <w:t xml:space="preserve"> זהו דעת רבינו וכן הסכים הרשב"א ז"ל בתשובה (ח"ד סי' קנב ד"ה ולענין מה שטענו) עכ"ל</w:t>
      </w:r>
      <w:r>
        <w:rPr>
          <w:rFonts w:hint="cs"/>
          <w:sz w:val="16"/>
          <w:szCs w:val="16"/>
          <w:rtl/>
        </w:rPr>
        <w:t xml:space="preserve"> [הה"מ]</w:t>
      </w:r>
      <w:r>
        <w:rPr>
          <w:rFonts w:hint="cs"/>
          <w:rtl/>
        </w:rPr>
        <w:t>, ב"י.</w:t>
      </w:r>
    </w:p>
  </w:footnote>
  <w:footnote w:id="2298">
    <w:p w14:paraId="0EDBB6EC" w14:textId="77777777" w:rsidR="00DF1FC7" w:rsidRDefault="00DF1FC7" w:rsidP="002E5BAD">
      <w:pPr>
        <w:pStyle w:val="a5"/>
      </w:pPr>
      <w:r>
        <w:rPr>
          <w:rStyle w:val="a7"/>
        </w:rPr>
        <w:footnoteRef/>
      </w:r>
      <w:r>
        <w:rPr>
          <w:rtl/>
        </w:rPr>
        <w:t xml:space="preserve"> </w:t>
      </w:r>
      <w:r w:rsidRPr="003D2914">
        <w:rPr>
          <w:rFonts w:cs="Arial"/>
          <w:rtl/>
        </w:rPr>
        <w:t>וכן פסק המרדכי ריש יש נוחלין (סי' תקעד)</w:t>
      </w:r>
      <w:r>
        <w:rPr>
          <w:rFonts w:cs="Arial" w:hint="cs"/>
          <w:rtl/>
        </w:rPr>
        <w:t>,</w:t>
      </w:r>
      <w:r w:rsidRPr="003D2914">
        <w:rPr>
          <w:rFonts w:cs="Arial"/>
          <w:rtl/>
        </w:rPr>
        <w:t xml:space="preserve"> ואפילו גבו כבר היתומים בין מקרקעי בין מטלטלין</w:t>
      </w:r>
      <w:r>
        <w:rPr>
          <w:rFonts w:cs="Arial" w:hint="cs"/>
          <w:rtl/>
        </w:rPr>
        <w:t>.</w:t>
      </w:r>
      <w:r w:rsidRPr="003D2914">
        <w:rPr>
          <w:rFonts w:cs="Arial"/>
          <w:rtl/>
        </w:rPr>
        <w:t xml:space="preserve"> ודלא כמ"ד שכתב המרדכי ריש הכותב (סי' רטו) דאינה גובאת ממלוה</w:t>
      </w:r>
      <w:r>
        <w:rPr>
          <w:rFonts w:cs="Arial" w:hint="cs"/>
          <w:rtl/>
        </w:rPr>
        <w:t>.</w:t>
      </w:r>
      <w:r w:rsidRPr="003D2914">
        <w:rPr>
          <w:rFonts w:cs="Arial"/>
          <w:rtl/>
        </w:rPr>
        <w:t xml:space="preserve"> וכתב עוד במרדכי דיש נוחלין (שם) דשכר פעולתו שלא היה מעולם בידו דבעל אין אשה גובאת ממנו כתובתה דמיקרי ראוי</w:t>
      </w:r>
      <w:r>
        <w:rPr>
          <w:rFonts w:cs="Arial" w:hint="cs"/>
          <w:rtl/>
        </w:rPr>
        <w:t>.</w:t>
      </w:r>
      <w:r w:rsidRPr="003D2914">
        <w:rPr>
          <w:rFonts w:cs="Arial"/>
          <w:rtl/>
        </w:rPr>
        <w:t xml:space="preserve"> ומוהר"ם השיב על ספר שגנבו גוי ואחר מיתת הבעל הוחזר דזה מיקרי מוחזק ולא ראוי ולא גרע ממלוה</w:t>
      </w:r>
      <w:r>
        <w:rPr>
          <w:rFonts w:cs="Arial" w:hint="cs"/>
          <w:rtl/>
        </w:rPr>
        <w:t>.</w:t>
      </w:r>
      <w:r w:rsidRPr="003D2914">
        <w:rPr>
          <w:rFonts w:cs="Arial"/>
          <w:rtl/>
        </w:rPr>
        <w:t xml:space="preserve"> וכתב עוד (המרדכי שם) דמי שכתב לבנו גוף הבית</w:t>
      </w:r>
      <w:r>
        <w:rPr>
          <w:rFonts w:cs="Arial" w:hint="cs"/>
          <w:rtl/>
        </w:rPr>
        <w:t>,</w:t>
      </w:r>
      <w:r w:rsidRPr="003D2914">
        <w:rPr>
          <w:rFonts w:cs="Arial"/>
          <w:rtl/>
        </w:rPr>
        <w:t xml:space="preserve"> ולאלמנתו הפירות</w:t>
      </w:r>
      <w:r>
        <w:rPr>
          <w:rFonts w:cs="Arial" w:hint="cs"/>
          <w:rtl/>
        </w:rPr>
        <w:t>,</w:t>
      </w:r>
      <w:r w:rsidRPr="003D2914">
        <w:rPr>
          <w:rFonts w:cs="Arial"/>
          <w:rtl/>
        </w:rPr>
        <w:t xml:space="preserve"> נקרא הבן מוחזק בבית ואם מת גובאת אלמנתו כתובתה מן הבית וכן עשו מעשה בקלוני"א</w:t>
      </w:r>
      <w:r>
        <w:rPr>
          <w:rFonts w:cs="Arial" w:hint="cs"/>
          <w:rtl/>
        </w:rPr>
        <w:t>, דרכ"מ (אות ג).</w:t>
      </w:r>
    </w:p>
  </w:footnote>
  <w:footnote w:id="2299">
    <w:p w14:paraId="1E0526F8" w14:textId="77777777" w:rsidR="00DF1FC7" w:rsidRDefault="00DF1FC7" w:rsidP="002E5BAD">
      <w:pPr>
        <w:pStyle w:val="a5"/>
      </w:pPr>
      <w:r>
        <w:rPr>
          <w:rStyle w:val="a7"/>
        </w:rPr>
        <w:footnoteRef/>
      </w:r>
      <w:r>
        <w:rPr>
          <w:rtl/>
        </w:rPr>
        <w:t xml:space="preserve"> </w:t>
      </w:r>
      <w:r>
        <w:rPr>
          <w:rFonts w:cs="Arial"/>
          <w:rtl/>
        </w:rPr>
        <w:t>תקנה זו כתבה</w:t>
      </w:r>
      <w:r>
        <w:rPr>
          <w:rFonts w:cs="Arial" w:hint="cs"/>
          <w:rtl/>
        </w:rPr>
        <w:t xml:space="preserve"> גם</w:t>
      </w:r>
      <w:r>
        <w:rPr>
          <w:rFonts w:cs="Arial"/>
          <w:rtl/>
        </w:rPr>
        <w:t xml:space="preserve"> הרא"ש </w:t>
      </w:r>
      <w:r w:rsidRPr="0068098A">
        <w:rPr>
          <w:rFonts w:cs="Arial" w:hint="cs"/>
          <w:sz w:val="16"/>
          <w:szCs w:val="16"/>
          <w:rtl/>
        </w:rPr>
        <w:t>(</w:t>
      </w:r>
      <w:r w:rsidRPr="0068098A">
        <w:rPr>
          <w:rFonts w:cs="Arial"/>
          <w:sz w:val="16"/>
          <w:szCs w:val="16"/>
          <w:rtl/>
        </w:rPr>
        <w:t xml:space="preserve">קידושין פרק האומר סי' יד) </w:t>
      </w:r>
      <w:r>
        <w:rPr>
          <w:rFonts w:cs="Arial"/>
          <w:rtl/>
        </w:rPr>
        <w:t xml:space="preserve">והרי"ף </w:t>
      </w:r>
      <w:r w:rsidRPr="0068098A">
        <w:rPr>
          <w:rFonts w:cs="Arial" w:hint="cs"/>
          <w:sz w:val="16"/>
          <w:szCs w:val="16"/>
          <w:rtl/>
        </w:rPr>
        <w:t xml:space="preserve">(פ' מציאת האשה ל:) </w:t>
      </w:r>
      <w:r>
        <w:rPr>
          <w:rFonts w:cs="Arial"/>
          <w:rtl/>
        </w:rPr>
        <w:t xml:space="preserve">והתוספות </w:t>
      </w:r>
      <w:r w:rsidRPr="0068098A">
        <w:rPr>
          <w:rFonts w:cs="Arial" w:hint="cs"/>
          <w:sz w:val="16"/>
          <w:szCs w:val="16"/>
          <w:rtl/>
        </w:rPr>
        <w:t>(</w:t>
      </w:r>
      <w:r w:rsidRPr="0068098A">
        <w:rPr>
          <w:rFonts w:cs="Arial"/>
          <w:sz w:val="16"/>
          <w:szCs w:val="16"/>
          <w:rtl/>
        </w:rPr>
        <w:t>פ</w:t>
      </w:r>
      <w:r>
        <w:rPr>
          <w:rFonts w:cs="Arial" w:hint="cs"/>
          <w:sz w:val="16"/>
          <w:szCs w:val="16"/>
          <w:rtl/>
        </w:rPr>
        <w:t>'</w:t>
      </w:r>
      <w:r w:rsidRPr="0068098A">
        <w:rPr>
          <w:rFonts w:cs="Arial"/>
          <w:sz w:val="16"/>
          <w:szCs w:val="16"/>
          <w:rtl/>
        </w:rPr>
        <w:t xml:space="preserve"> מציאת האשה סז. ד"ה גמלים</w:t>
      </w:r>
      <w:r w:rsidRPr="0068098A">
        <w:rPr>
          <w:rFonts w:cs="Arial" w:hint="cs"/>
          <w:sz w:val="16"/>
          <w:szCs w:val="16"/>
          <w:rtl/>
        </w:rPr>
        <w:t>, ובבכורות נב. דיבור ראשון מעמוד הקודם</w:t>
      </w:r>
      <w:r w:rsidRPr="0068098A">
        <w:rPr>
          <w:rFonts w:cs="Arial"/>
          <w:sz w:val="16"/>
          <w:szCs w:val="16"/>
          <w:rtl/>
        </w:rPr>
        <w:t>)</w:t>
      </w:r>
      <w:r>
        <w:rPr>
          <w:rFonts w:cs="Arial" w:hint="cs"/>
          <w:rtl/>
        </w:rPr>
        <w:t>, ב"י.</w:t>
      </w:r>
    </w:p>
  </w:footnote>
  <w:footnote w:id="2300">
    <w:p w14:paraId="46B4CA84" w14:textId="77777777" w:rsidR="00DF1FC7" w:rsidRDefault="00DF1FC7" w:rsidP="002E5BAD">
      <w:pPr>
        <w:pStyle w:val="a5"/>
        <w:rPr>
          <w:rtl/>
        </w:rPr>
      </w:pPr>
      <w:r>
        <w:rPr>
          <w:rStyle w:val="a7"/>
        </w:rPr>
        <w:footnoteRef/>
      </w:r>
      <w:r>
        <w:rPr>
          <w:rtl/>
        </w:rPr>
        <w:t xml:space="preserve"> </w:t>
      </w:r>
      <w:r>
        <w:rPr>
          <w:rFonts w:hint="cs"/>
          <w:rtl/>
        </w:rPr>
        <w:t xml:space="preserve">וז"ל- </w:t>
      </w:r>
      <w:r w:rsidRPr="009B35D3">
        <w:rPr>
          <w:rFonts w:cs="Arial"/>
          <w:rtl/>
        </w:rPr>
        <w:t xml:space="preserve">ודאי כי תקינו דורות האחרונים </w:t>
      </w:r>
      <w:r>
        <w:rPr>
          <w:rFonts w:cs="Arial" w:hint="cs"/>
          <w:rtl/>
        </w:rPr>
        <w:t xml:space="preserve">לגבות </w:t>
      </w:r>
      <w:r w:rsidRPr="009B35D3">
        <w:rPr>
          <w:rFonts w:cs="Arial"/>
          <w:rtl/>
        </w:rPr>
        <w:t xml:space="preserve">כתובה </w:t>
      </w:r>
      <w:r>
        <w:rPr>
          <w:rFonts w:cs="Arial" w:hint="cs"/>
          <w:rtl/>
        </w:rPr>
        <w:t>מ</w:t>
      </w:r>
      <w:r w:rsidRPr="009B35D3">
        <w:rPr>
          <w:rFonts w:cs="Arial"/>
          <w:rtl/>
        </w:rPr>
        <w:t>מטלטלין מפני שאין להם שדות וכרמים בזמן הזה, דומיא דמקרקעי תיקנו מטלטלין שהן בעין לאחר מיתה וסמכו בשעת הדחק על ר' מאיר שאמר [כתובות פא</w:t>
      </w:r>
      <w:r>
        <w:rPr>
          <w:rFonts w:cs="Arial" w:hint="cs"/>
          <w:rtl/>
        </w:rPr>
        <w:t>:</w:t>
      </w:r>
      <w:r w:rsidRPr="009B35D3">
        <w:rPr>
          <w:rFonts w:cs="Arial"/>
          <w:rtl/>
        </w:rPr>
        <w:t>] מטלטלין משתעבדי לכתובה אפי' בזמן דאיכא מקרקעי, דתיקנו דומיא דגמלים של ערביא [שם סז</w:t>
      </w:r>
      <w:r>
        <w:rPr>
          <w:rFonts w:cs="Arial" w:hint="cs"/>
          <w:rtl/>
        </w:rPr>
        <w:t>.</w:t>
      </w:r>
      <w:r w:rsidRPr="009B35D3">
        <w:rPr>
          <w:rFonts w:cs="Arial"/>
          <w:rtl/>
        </w:rPr>
        <w:t>] ותותבי דבי מיכסי ושקי דתמרוריא ואשלי דקמחוניא שהן מטלטלין שהן בעין</w:t>
      </w:r>
      <w:r>
        <w:rPr>
          <w:rFonts w:cs="Arial" w:hint="cs"/>
          <w:rtl/>
        </w:rPr>
        <w:t>.</w:t>
      </w:r>
      <w:r w:rsidRPr="009B35D3">
        <w:rPr>
          <w:rFonts w:cs="Arial"/>
          <w:rtl/>
        </w:rPr>
        <w:t xml:space="preserve"> ואפילו מטלטלין שאינן בעין והיא תופסת אותן כשמת </w:t>
      </w:r>
      <w:r>
        <w:rPr>
          <w:rFonts w:cs="Arial" w:hint="cs"/>
          <w:rtl/>
        </w:rPr>
        <w:t xml:space="preserve">נשבעת </w:t>
      </w:r>
      <w:r w:rsidRPr="009B35D3">
        <w:rPr>
          <w:rFonts w:cs="Arial"/>
          <w:rtl/>
        </w:rPr>
        <w:t>כמה שיש בידה וגובה השאר מן המטלטלין שהוא בעין כשומת בית דין אע</w:t>
      </w:r>
      <w:r>
        <w:rPr>
          <w:rFonts w:cs="Arial" w:hint="cs"/>
          <w:rtl/>
        </w:rPr>
        <w:t>"</w:t>
      </w:r>
      <w:r w:rsidRPr="009B35D3">
        <w:rPr>
          <w:rFonts w:cs="Arial"/>
          <w:rtl/>
        </w:rPr>
        <w:t>ג דתפסה לאחר מיתה דהכי אמרינן [שם צו</w:t>
      </w:r>
      <w:r>
        <w:rPr>
          <w:rFonts w:cs="Arial" w:hint="cs"/>
          <w:rtl/>
        </w:rPr>
        <w:t>.</w:t>
      </w:r>
      <w:r w:rsidRPr="009B35D3">
        <w:rPr>
          <w:rFonts w:cs="Arial"/>
          <w:rtl/>
        </w:rPr>
        <w:t>] אלמנה שתפסה מטלטלין בכתובה מה שתפסה תפסה ואין כח ביד הב"ד להוציא מידה אפי' בזמן שהיה שיעבודא על הקרקעים וכל שכן ששיעבודא על המטלטלין, אבל להוציא מטלטלין שהן ביד היתומין ליתן לה לא ראיתי מימי אפי' בזמן הזה. ואם מה שחייבו את שמעון משום דר' נתן דאמר [שם יט</w:t>
      </w:r>
      <w:r>
        <w:rPr>
          <w:rFonts w:cs="Arial" w:hint="cs"/>
          <w:rtl/>
        </w:rPr>
        <w:t>.</w:t>
      </w:r>
      <w:r w:rsidRPr="009B35D3">
        <w:rPr>
          <w:rFonts w:cs="Arial"/>
          <w:rtl/>
        </w:rPr>
        <w:t>] מוציאין מזה ונותנין לזה, הא אמרינן [שם פב</w:t>
      </w:r>
      <w:r>
        <w:rPr>
          <w:rFonts w:cs="Arial" w:hint="cs"/>
          <w:rtl/>
        </w:rPr>
        <w:t>.</w:t>
      </w:r>
      <w:r w:rsidRPr="009B35D3">
        <w:rPr>
          <w:rFonts w:cs="Arial"/>
          <w:rtl/>
        </w:rPr>
        <w:t xml:space="preserve">] </w:t>
      </w:r>
      <w:r w:rsidRPr="007B6154">
        <w:rPr>
          <w:rFonts w:cs="Arial"/>
          <w:rtl/>
        </w:rPr>
        <w:t>לא אשכחן תנא דמיקל תרי קולי בכתובה</w:t>
      </w:r>
      <w:r w:rsidRPr="009B35D3">
        <w:rPr>
          <w:rFonts w:cs="Arial"/>
          <w:rtl/>
        </w:rPr>
        <w:t>, דר' מאיר דאית ליה מטלטלי משתעבדי לית ליה דר' נתן ור' נתן לית ליה דר"מ, הילכך אפי' היה ביד שמעון הכסף לא היה להם להוציא מידו ולתת לה וכל שכן שנתן לראובן שאין לחייבו ליתן לה.</w:t>
      </w:r>
    </w:p>
  </w:footnote>
  <w:footnote w:id="2301">
    <w:p w14:paraId="20C9FC4D" w14:textId="77777777" w:rsidR="00DF1FC7" w:rsidRPr="0085652D" w:rsidRDefault="00DF1FC7" w:rsidP="002E5BAD">
      <w:pPr>
        <w:pStyle w:val="a5"/>
        <w:rPr>
          <w:rtl/>
        </w:rPr>
      </w:pPr>
      <w:r>
        <w:rPr>
          <w:rStyle w:val="a7"/>
        </w:rPr>
        <w:footnoteRef/>
      </w:r>
      <w:r>
        <w:rPr>
          <w:rtl/>
        </w:rPr>
        <w:t xml:space="preserve"> </w:t>
      </w:r>
      <w:r>
        <w:rPr>
          <w:rFonts w:hint="cs"/>
          <w:rtl/>
        </w:rPr>
        <w:t>ו</w:t>
      </w:r>
      <w:r w:rsidRPr="00F02E86">
        <w:rPr>
          <w:rFonts w:cs="Arial"/>
          <w:rtl/>
        </w:rPr>
        <w:t>לא קיי"ל הכי</w:t>
      </w:r>
      <w:r>
        <w:rPr>
          <w:rFonts w:cs="Arial" w:hint="cs"/>
          <w:rtl/>
        </w:rPr>
        <w:t>,</w:t>
      </w:r>
      <w:r w:rsidRPr="00F02E86">
        <w:rPr>
          <w:rFonts w:cs="Arial"/>
          <w:rtl/>
        </w:rPr>
        <w:t xml:space="preserve"> אלא דגביא ממטלטלין בני חורין</w:t>
      </w:r>
      <w:r>
        <w:rPr>
          <w:rFonts w:cs="Arial" w:hint="cs"/>
          <w:rtl/>
        </w:rPr>
        <w:t>.</w:t>
      </w:r>
      <w:r w:rsidRPr="00F02E86">
        <w:rPr>
          <w:rFonts w:cs="Arial"/>
          <w:rtl/>
        </w:rPr>
        <w:t xml:space="preserve"> וכן פסק הרי"ף (ל</w:t>
      </w:r>
      <w:r>
        <w:rPr>
          <w:rFonts w:cs="Arial" w:hint="cs"/>
          <w:rtl/>
        </w:rPr>
        <w:t>:</w:t>
      </w:r>
      <w:r w:rsidRPr="00F02E86">
        <w:rPr>
          <w:rFonts w:cs="Arial"/>
          <w:rtl/>
        </w:rPr>
        <w:t>) ותוספות (סז. ד"ה גמלים) פרק מציאת האשה והרא"ש פרק האומר (סי' יד) והרמב"ם פי"ו דהלכות אישות (ה"ז) וכן המנהג פשוט. כתב המרדכי ריש הכותב (סי' רטו) דאשה גובה כתובתה ממטלטלין ואין חילוק בין אם תפסו יתמי או לא</w:t>
      </w:r>
      <w:r>
        <w:rPr>
          <w:rFonts w:cs="Arial" w:hint="cs"/>
          <w:rtl/>
        </w:rPr>
        <w:t>,</w:t>
      </w:r>
      <w:r w:rsidRPr="0085652D">
        <w:rPr>
          <w:rFonts w:hint="cs"/>
          <w:rtl/>
        </w:rPr>
        <w:t xml:space="preserve"> </w:t>
      </w:r>
      <w:r>
        <w:rPr>
          <w:rFonts w:hint="cs"/>
          <w:rtl/>
        </w:rPr>
        <w:t>דרכ"מ (אות י).</w:t>
      </w:r>
    </w:p>
  </w:footnote>
  <w:footnote w:id="2302">
    <w:p w14:paraId="7FE0E159" w14:textId="77777777" w:rsidR="00DF1FC7" w:rsidRPr="003D10C3" w:rsidRDefault="00DF1FC7" w:rsidP="002E5BAD">
      <w:pPr>
        <w:pStyle w:val="a5"/>
        <w:rPr>
          <w:rFonts w:cs="Arial"/>
        </w:rPr>
      </w:pPr>
      <w:r>
        <w:rPr>
          <w:rStyle w:val="a7"/>
        </w:rPr>
        <w:footnoteRef/>
      </w:r>
      <w:r>
        <w:rPr>
          <w:rtl/>
        </w:rPr>
        <w:t xml:space="preserve"> </w:t>
      </w:r>
      <w:r>
        <w:rPr>
          <w:rFonts w:cs="Arial" w:hint="cs"/>
          <w:rtl/>
        </w:rPr>
        <w:t xml:space="preserve">אבל ממתנת שכיב מרע גובה. </w:t>
      </w:r>
      <w:r w:rsidRPr="00E40325">
        <w:rPr>
          <w:rFonts w:cs="Arial"/>
          <w:rtl/>
        </w:rPr>
        <w:t xml:space="preserve">וכן פסק המרדכי </w:t>
      </w:r>
      <w:r w:rsidRPr="00E40325">
        <w:rPr>
          <w:rFonts w:cs="Arial" w:hint="cs"/>
          <w:sz w:val="16"/>
          <w:szCs w:val="16"/>
          <w:rtl/>
        </w:rPr>
        <w:t>(</w:t>
      </w:r>
      <w:r w:rsidRPr="00E40325">
        <w:rPr>
          <w:rFonts w:cs="Arial"/>
          <w:sz w:val="16"/>
          <w:szCs w:val="16"/>
          <w:rtl/>
        </w:rPr>
        <w:t>פ</w:t>
      </w:r>
      <w:r w:rsidRPr="00E40325">
        <w:rPr>
          <w:rFonts w:cs="Arial" w:hint="cs"/>
          <w:sz w:val="16"/>
          <w:szCs w:val="16"/>
          <w:rtl/>
        </w:rPr>
        <w:t>'</w:t>
      </w:r>
      <w:r w:rsidRPr="00E40325">
        <w:rPr>
          <w:rFonts w:cs="Arial"/>
          <w:sz w:val="16"/>
          <w:szCs w:val="16"/>
          <w:rtl/>
        </w:rPr>
        <w:t xml:space="preserve"> ב' דייני גזירות סי' ער</w:t>
      </w:r>
      <w:r w:rsidRPr="00E40325">
        <w:rPr>
          <w:rFonts w:cs="Arial" w:hint="cs"/>
          <w:sz w:val="16"/>
          <w:szCs w:val="16"/>
          <w:rtl/>
        </w:rPr>
        <w:t>,</w:t>
      </w:r>
      <w:r w:rsidRPr="00E40325">
        <w:rPr>
          <w:rFonts w:cs="Arial"/>
          <w:sz w:val="16"/>
          <w:szCs w:val="16"/>
          <w:rtl/>
        </w:rPr>
        <w:t xml:space="preserve"> ופרק מי שמת ב"ב סי' תרל</w:t>
      </w:r>
      <w:r w:rsidRPr="00E40325">
        <w:rPr>
          <w:rFonts w:cs="Arial" w:hint="cs"/>
          <w:sz w:val="16"/>
          <w:szCs w:val="16"/>
          <w:rtl/>
        </w:rPr>
        <w:t>,</w:t>
      </w:r>
      <w:r w:rsidRPr="00E40325">
        <w:rPr>
          <w:rFonts w:cs="Arial"/>
          <w:sz w:val="16"/>
          <w:szCs w:val="16"/>
          <w:rtl/>
        </w:rPr>
        <w:t xml:space="preserve"> ופרק נערה שם)</w:t>
      </w:r>
      <w:r w:rsidRPr="00E40325">
        <w:rPr>
          <w:rFonts w:cs="Arial"/>
          <w:rtl/>
        </w:rPr>
        <w:t xml:space="preserve"> בשם מוהר"ם</w:t>
      </w:r>
      <w:r>
        <w:rPr>
          <w:rFonts w:cs="Arial" w:hint="cs"/>
          <w:rtl/>
        </w:rPr>
        <w:t>.</w:t>
      </w:r>
      <w:r w:rsidRPr="00E40325">
        <w:rPr>
          <w:rFonts w:cs="Arial"/>
          <w:rtl/>
        </w:rPr>
        <w:t xml:space="preserve"> ובהגהות דב"ב (סי' תרסח)</w:t>
      </w:r>
      <w:r>
        <w:rPr>
          <w:rFonts w:cs="Arial" w:hint="cs"/>
          <w:rtl/>
        </w:rPr>
        <w:t>.</w:t>
      </w:r>
      <w:r w:rsidRPr="00E40325">
        <w:rPr>
          <w:rFonts w:cs="Arial"/>
          <w:rtl/>
        </w:rPr>
        <w:t xml:space="preserve"> וכן הוא בחו</w:t>
      </w:r>
      <w:r>
        <w:rPr>
          <w:rFonts w:cs="Arial" w:hint="cs"/>
          <w:rtl/>
        </w:rPr>
        <w:t>"</w:t>
      </w:r>
      <w:r w:rsidRPr="00E40325">
        <w:rPr>
          <w:rFonts w:cs="Arial"/>
          <w:rtl/>
        </w:rPr>
        <w:t>מ סימן רנ"ב (ס"א עמ' עא) ועיין שם</w:t>
      </w:r>
      <w:r>
        <w:rPr>
          <w:rFonts w:cs="Arial" w:hint="cs"/>
          <w:rtl/>
        </w:rPr>
        <w:t>..</w:t>
      </w:r>
      <w:r w:rsidRPr="00E40325">
        <w:rPr>
          <w:rFonts w:cs="Arial"/>
          <w:rtl/>
        </w:rPr>
        <w:t>. ו</w:t>
      </w:r>
      <w:r>
        <w:rPr>
          <w:rFonts w:cs="Arial" w:hint="cs"/>
          <w:rtl/>
        </w:rPr>
        <w:t xml:space="preserve">כ"פ </w:t>
      </w:r>
      <w:r w:rsidRPr="00E40325">
        <w:rPr>
          <w:rFonts w:cs="Arial"/>
          <w:rtl/>
        </w:rPr>
        <w:t>מהרא"י בפסקיו (תרו</w:t>
      </w:r>
      <w:r>
        <w:rPr>
          <w:rFonts w:cs="Arial" w:hint="cs"/>
          <w:rtl/>
        </w:rPr>
        <w:t>ה"ד</w:t>
      </w:r>
      <w:r w:rsidRPr="00E40325">
        <w:rPr>
          <w:rFonts w:cs="Arial"/>
          <w:rtl/>
        </w:rPr>
        <w:t xml:space="preserve"> ח"ב סי' פו</w:t>
      </w:r>
      <w:r>
        <w:rPr>
          <w:rFonts w:cs="Arial" w:hint="cs"/>
          <w:rtl/>
        </w:rPr>
        <w:t>)...</w:t>
      </w:r>
      <w:r w:rsidRPr="00E40325">
        <w:rPr>
          <w:rFonts w:cs="Arial"/>
          <w:rtl/>
        </w:rPr>
        <w:t xml:space="preserve"> וע"ש ולקמן סימן ק"ו (אות ב) יתבאר דאם צוה לפניה מתנת שכ"מ ושתקה הוי מחילה</w:t>
      </w:r>
      <w:r>
        <w:rPr>
          <w:rFonts w:cs="Arial" w:hint="cs"/>
          <w:rtl/>
        </w:rPr>
        <w:t>.</w:t>
      </w:r>
      <w:r w:rsidRPr="00E40325">
        <w:rPr>
          <w:rFonts w:cs="Arial"/>
          <w:rtl/>
        </w:rPr>
        <w:t xml:space="preserve"> ועיין מדינים אלו </w:t>
      </w:r>
      <w:r>
        <w:rPr>
          <w:rFonts w:cs="Arial" w:hint="cs"/>
          <w:rtl/>
        </w:rPr>
        <w:t>בחו"מ</w:t>
      </w:r>
      <w:r w:rsidRPr="00E40325">
        <w:rPr>
          <w:rFonts w:cs="Arial"/>
          <w:rtl/>
        </w:rPr>
        <w:t xml:space="preserve"> סי</w:t>
      </w:r>
      <w:r>
        <w:rPr>
          <w:rFonts w:cs="Arial" w:hint="cs"/>
          <w:rtl/>
        </w:rPr>
        <w:t>'</w:t>
      </w:r>
      <w:r w:rsidRPr="00E40325">
        <w:rPr>
          <w:rFonts w:cs="Arial"/>
          <w:rtl/>
        </w:rPr>
        <w:t xml:space="preserve"> רנ"ה (אות א)</w:t>
      </w:r>
      <w:r>
        <w:rPr>
          <w:rFonts w:cs="Arial" w:hint="cs"/>
          <w:rtl/>
        </w:rPr>
        <w:t>, דרכ"מ (אות ז).</w:t>
      </w:r>
    </w:p>
  </w:footnote>
  <w:footnote w:id="2303">
    <w:p w14:paraId="71320931" w14:textId="77777777" w:rsidR="00DF1FC7" w:rsidRDefault="00DF1FC7" w:rsidP="002E5BAD">
      <w:pPr>
        <w:pStyle w:val="a5"/>
      </w:pPr>
      <w:r>
        <w:rPr>
          <w:rStyle w:val="a7"/>
        </w:rPr>
        <w:footnoteRef/>
      </w:r>
      <w:r>
        <w:rPr>
          <w:rtl/>
        </w:rPr>
        <w:t xml:space="preserve"> </w:t>
      </w:r>
      <w:r>
        <w:rPr>
          <w:rFonts w:cs="Arial" w:hint="cs"/>
          <w:rtl/>
        </w:rPr>
        <w:t xml:space="preserve">כן </w:t>
      </w:r>
      <w:r>
        <w:rPr>
          <w:rFonts w:cs="Arial"/>
          <w:rtl/>
        </w:rPr>
        <w:t>כתבו התוספות (</w:t>
      </w:r>
      <w:r>
        <w:rPr>
          <w:rFonts w:cs="Arial" w:hint="cs"/>
          <w:rtl/>
        </w:rPr>
        <w:t>פ' מציאת האשה סז.</w:t>
      </w:r>
      <w:r>
        <w:rPr>
          <w:rFonts w:cs="Arial"/>
          <w:rtl/>
        </w:rPr>
        <w:t>) והרא"ש (</w:t>
      </w:r>
      <w:r>
        <w:rPr>
          <w:rFonts w:cs="Arial" w:hint="cs"/>
          <w:rtl/>
        </w:rPr>
        <w:t xml:space="preserve">פ' מציאת האשה </w:t>
      </w:r>
      <w:r>
        <w:rPr>
          <w:rFonts w:cs="Arial"/>
          <w:rtl/>
        </w:rPr>
        <w:t>סי' ה) בפשיטות דאין האשה גובה ממטלטלין שמכר הבעל</w:t>
      </w:r>
      <w:r>
        <w:rPr>
          <w:rFonts w:cs="Arial" w:hint="cs"/>
          <w:rtl/>
        </w:rPr>
        <w:t>.</w:t>
      </w:r>
      <w:r>
        <w:rPr>
          <w:rFonts w:cs="Arial"/>
          <w:rtl/>
        </w:rPr>
        <w:t xml:space="preserve"> ובקידושין פרק האומר (שם) נסתפק הרא"ש אי גביא כתובה ממתנה והאריך בדבר ובסוף כתב וז"ל ולענין פסק הלכה הכי הלכתא דעדיפא כח מתנה מכח ירושה כדמוכחא ההיא דפרק שנים אוחזים (ב"מ יב:) וההיא דפרק נושאים (יבמות צט.) איכא לאוקמי במתנת שכיב מרע הילכך אפילו כשתקנו הגאונים דכתובה ומזונות גבו ממטלטלי דיתמי ממתנת בריא לא גבו עכ"ל. וכ"כ התוספות בפרק נערה שנתפתתה (מט: ד"ה הוא) וז"ל</w:t>
      </w:r>
      <w:r>
        <w:rPr>
          <w:rFonts w:cs="Arial" w:hint="cs"/>
          <w:rtl/>
        </w:rPr>
        <w:t>-</w:t>
      </w:r>
      <w:r>
        <w:rPr>
          <w:rFonts w:cs="Arial"/>
          <w:rtl/>
        </w:rPr>
        <w:t xml:space="preserve"> ולפי מה שתקנו הגאונים דאשה גובה כתובה ומזונות ממטלטלי דיתמי</w:t>
      </w:r>
      <w:r>
        <w:rPr>
          <w:rFonts w:cs="Arial" w:hint="cs"/>
          <w:rtl/>
        </w:rPr>
        <w:t>,</w:t>
      </w:r>
      <w:r>
        <w:rPr>
          <w:rFonts w:cs="Arial"/>
          <w:rtl/>
        </w:rPr>
        <w:t xml:space="preserve"> אע</w:t>
      </w:r>
      <w:r>
        <w:rPr>
          <w:rFonts w:cs="Arial" w:hint="cs"/>
          <w:rtl/>
        </w:rPr>
        <w:t>"</w:t>
      </w:r>
      <w:r>
        <w:rPr>
          <w:rFonts w:cs="Arial"/>
          <w:rtl/>
        </w:rPr>
        <w:t>ג דירושה הויא דאורייתא</w:t>
      </w:r>
      <w:r>
        <w:rPr>
          <w:rFonts w:cs="Arial" w:hint="cs"/>
          <w:rtl/>
        </w:rPr>
        <w:t>,</w:t>
      </w:r>
      <w:r>
        <w:rPr>
          <w:rFonts w:cs="Arial"/>
          <w:rtl/>
        </w:rPr>
        <w:t xml:space="preserve"> כל שכן דגביא ממטלטלי דמתנת שכיב מרע דרבנן</w:t>
      </w:r>
      <w:r>
        <w:rPr>
          <w:rFonts w:cs="Arial" w:hint="cs"/>
          <w:rtl/>
        </w:rPr>
        <w:t>,</w:t>
      </w:r>
      <w:r>
        <w:rPr>
          <w:rFonts w:cs="Arial"/>
          <w:rtl/>
        </w:rPr>
        <w:t xml:space="preserve"> דכהאי גוונא אמרינן בפרק יש נוחלין (קלג.)</w:t>
      </w:r>
      <w:r>
        <w:rPr>
          <w:rFonts w:cs="Arial" w:hint="cs"/>
          <w:rtl/>
        </w:rPr>
        <w:t>.</w:t>
      </w:r>
      <w:r>
        <w:rPr>
          <w:rFonts w:cs="Arial"/>
          <w:rtl/>
        </w:rPr>
        <w:t xml:space="preserve"> אבל מטלטלי דמתנת בריא דהויא דאורייתא </w:t>
      </w:r>
      <w:r>
        <w:rPr>
          <w:rFonts w:cs="Arial" w:hint="cs"/>
          <w:rtl/>
        </w:rPr>
        <w:t xml:space="preserve">- </w:t>
      </w:r>
      <w:r>
        <w:rPr>
          <w:rFonts w:cs="Arial"/>
          <w:rtl/>
        </w:rPr>
        <w:t>לא גביא כתובתה</w:t>
      </w:r>
      <w:r>
        <w:rPr>
          <w:rFonts w:cs="Arial" w:hint="cs"/>
          <w:rtl/>
        </w:rPr>
        <w:t>...</w:t>
      </w:r>
      <w:r>
        <w:rPr>
          <w:rFonts w:cs="Arial"/>
          <w:rtl/>
        </w:rPr>
        <w:t xml:space="preserve"> עכ"ל</w:t>
      </w:r>
      <w:r>
        <w:rPr>
          <w:rFonts w:cs="Arial" w:hint="cs"/>
          <w:rtl/>
        </w:rPr>
        <w:t>, ב"י.</w:t>
      </w:r>
    </w:p>
  </w:footnote>
  <w:footnote w:id="2304">
    <w:p w14:paraId="2797925D" w14:textId="77777777" w:rsidR="00DF1FC7" w:rsidRDefault="00DF1FC7" w:rsidP="002E5BAD">
      <w:pPr>
        <w:pStyle w:val="a5"/>
        <w:rPr>
          <w:rtl/>
        </w:rPr>
      </w:pPr>
      <w:r>
        <w:rPr>
          <w:rStyle w:val="a7"/>
        </w:rPr>
        <w:footnoteRef/>
      </w:r>
      <w:r>
        <w:rPr>
          <w:rtl/>
        </w:rPr>
        <w:t xml:space="preserve"> </w:t>
      </w:r>
      <w:r w:rsidRPr="00E40325">
        <w:rPr>
          <w:rFonts w:cs="Arial"/>
          <w:rtl/>
        </w:rPr>
        <w:t xml:space="preserve">ובתשובת ראב"ן במרדכי </w:t>
      </w:r>
      <w:r>
        <w:rPr>
          <w:rFonts w:cs="Arial" w:hint="cs"/>
          <w:rtl/>
        </w:rPr>
        <w:t>(</w:t>
      </w:r>
      <w:r w:rsidRPr="00E40325">
        <w:rPr>
          <w:rFonts w:cs="Arial"/>
          <w:rtl/>
        </w:rPr>
        <w:t>פרק אלמנה נזונת סי' רמח</w:t>
      </w:r>
      <w:r>
        <w:rPr>
          <w:rFonts w:cs="Arial" w:hint="cs"/>
          <w:rtl/>
        </w:rPr>
        <w:t>,</w:t>
      </w:r>
      <w:r w:rsidRPr="00E40325">
        <w:rPr>
          <w:rFonts w:cs="Arial"/>
          <w:rtl/>
        </w:rPr>
        <w:t xml:space="preserve"> ופרק מי שמת סי' תרלא) משמע </w:t>
      </w:r>
      <w:r>
        <w:rPr>
          <w:rFonts w:cs="Arial" w:hint="cs"/>
          <w:rtl/>
        </w:rPr>
        <w:t>ד</w:t>
      </w:r>
      <w:r w:rsidRPr="00E40325">
        <w:rPr>
          <w:rFonts w:cs="Arial"/>
          <w:rtl/>
        </w:rPr>
        <w:t xml:space="preserve">במתנת שכיב מרע </w:t>
      </w:r>
      <w:r>
        <w:rPr>
          <w:rFonts w:cs="Arial" w:hint="cs"/>
          <w:rtl/>
        </w:rPr>
        <w:t xml:space="preserve">רק </w:t>
      </w:r>
      <w:r w:rsidRPr="00E40325">
        <w:rPr>
          <w:rFonts w:cs="Arial"/>
          <w:rtl/>
        </w:rPr>
        <w:t>אם תפסו המקבלין אין מוציאין מהם</w:t>
      </w:r>
      <w:r>
        <w:rPr>
          <w:rFonts w:cs="Arial" w:hint="cs"/>
          <w:rtl/>
        </w:rPr>
        <w:t>, ע"פ דרכ"מ (אות ז).</w:t>
      </w:r>
      <w:r w:rsidRPr="00E40325">
        <w:rPr>
          <w:rFonts w:cs="Arial"/>
          <w:rtl/>
        </w:rPr>
        <w:t xml:space="preserve"> </w:t>
      </w:r>
    </w:p>
  </w:footnote>
  <w:footnote w:id="2305">
    <w:p w14:paraId="7CD6D379" w14:textId="77777777" w:rsidR="00DF1FC7" w:rsidRDefault="00DF1FC7" w:rsidP="002E5BAD">
      <w:pPr>
        <w:pStyle w:val="a5"/>
        <w:rPr>
          <w:rtl/>
        </w:rPr>
      </w:pPr>
      <w:r>
        <w:rPr>
          <w:rStyle w:val="a7"/>
        </w:rPr>
        <w:footnoteRef/>
      </w:r>
      <w:r>
        <w:rPr>
          <w:rtl/>
        </w:rPr>
        <w:t xml:space="preserve"> </w:t>
      </w:r>
      <w:r w:rsidRPr="0071190C">
        <w:rPr>
          <w:rFonts w:cs="Arial"/>
          <w:rtl/>
        </w:rPr>
        <w:t>ומ"ש רבינו ואם מכרום היורשים אחר מותו גובה מהם. נראה שדבר פשוט הוא שהרי משמת נפלו הנכסים לפני האלמנה ואין כח ביד היתומים ליתנם</w:t>
      </w:r>
      <w:r>
        <w:rPr>
          <w:rFonts w:cs="Arial" w:hint="cs"/>
          <w:rtl/>
        </w:rPr>
        <w:t>.</w:t>
      </w:r>
      <w:r w:rsidRPr="0071190C">
        <w:rPr>
          <w:rFonts w:cs="Arial"/>
          <w:rtl/>
        </w:rPr>
        <w:t xml:space="preserve"> [בדק הבית] זה פשוט ואף על גב דאמרינן בפרק מציאת האשה (סט.) האחים שמכרו או שמשכנו אין מוציאין למזונות דוקא למזונות אבל לכתובה מוציאין דחוב היא [עד כאן]</w:t>
      </w:r>
      <w:r>
        <w:rPr>
          <w:rFonts w:cs="Arial" w:hint="cs"/>
          <w:rtl/>
        </w:rPr>
        <w:t>, ב"י.</w:t>
      </w:r>
    </w:p>
  </w:footnote>
  <w:footnote w:id="2306">
    <w:p w14:paraId="587BB30E" w14:textId="77777777" w:rsidR="00DF1FC7" w:rsidRDefault="00DF1FC7" w:rsidP="002E5BAD">
      <w:pPr>
        <w:pStyle w:val="a5"/>
      </w:pPr>
      <w:r>
        <w:rPr>
          <w:rStyle w:val="a7"/>
        </w:rPr>
        <w:footnoteRef/>
      </w:r>
      <w:r>
        <w:rPr>
          <w:rtl/>
        </w:rPr>
        <w:t xml:space="preserve"> </w:t>
      </w:r>
      <w:r>
        <w:rPr>
          <w:rFonts w:hint="cs"/>
          <w:rtl/>
        </w:rPr>
        <w:t xml:space="preserve">וז"ל- </w:t>
      </w:r>
      <w:r>
        <w:rPr>
          <w:rFonts w:cs="Arial"/>
          <w:rtl/>
        </w:rPr>
        <w:t>ומזונות לא גביא אפילו ממקרקעי כי היכי דלא גביא מלקוחות כדפרישית</w:t>
      </w:r>
      <w:r>
        <w:rPr>
          <w:rFonts w:cs="Arial" w:hint="cs"/>
          <w:rtl/>
        </w:rPr>
        <w:t>.</w:t>
      </w:r>
      <w:r>
        <w:rPr>
          <w:rFonts w:cs="Arial"/>
          <w:rtl/>
        </w:rPr>
        <w:t xml:space="preserve"> ולא מיבעיא נתן הוא</w:t>
      </w:r>
      <w:r>
        <w:rPr>
          <w:rFonts w:cs="Arial" w:hint="cs"/>
          <w:rtl/>
        </w:rPr>
        <w:t>,</w:t>
      </w:r>
      <w:r>
        <w:rPr>
          <w:rFonts w:cs="Arial"/>
          <w:rtl/>
        </w:rPr>
        <w:t xml:space="preserve"> אלא אפילו נתנו יתומים</w:t>
      </w:r>
      <w:r>
        <w:rPr>
          <w:rFonts w:cs="Arial" w:hint="cs"/>
          <w:rtl/>
        </w:rPr>
        <w:t>,</w:t>
      </w:r>
      <w:r>
        <w:rPr>
          <w:rFonts w:cs="Arial"/>
          <w:rtl/>
        </w:rPr>
        <w:t xml:space="preserve"> אף על גב שכבר משמת נשתעבדו הנכסים</w:t>
      </w:r>
      <w:r>
        <w:rPr>
          <w:rFonts w:cs="Arial" w:hint="cs"/>
          <w:rtl/>
        </w:rPr>
        <w:t>.</w:t>
      </w:r>
    </w:p>
  </w:footnote>
  <w:footnote w:id="2307">
    <w:p w14:paraId="1C9101B8" w14:textId="77777777" w:rsidR="00DF1FC7" w:rsidRDefault="00DF1FC7" w:rsidP="002E5BAD">
      <w:pPr>
        <w:pStyle w:val="a5"/>
      </w:pPr>
      <w:r>
        <w:rPr>
          <w:rStyle w:val="a7"/>
        </w:rPr>
        <w:footnoteRef/>
      </w:r>
      <w:r>
        <w:rPr>
          <w:rtl/>
        </w:rPr>
        <w:t xml:space="preserve"> </w:t>
      </w:r>
      <w:r>
        <w:rPr>
          <w:rFonts w:hint="cs"/>
          <w:rtl/>
        </w:rPr>
        <w:t>וכתב הב"ש (סק"ח) דכ"כ הנמוק"י בפרק מי שמת (ב"ב ע: מדפה"ר).</w:t>
      </w:r>
    </w:p>
  </w:footnote>
  <w:footnote w:id="2308">
    <w:p w14:paraId="01FBBD53" w14:textId="77777777" w:rsidR="00DF1FC7" w:rsidRDefault="00DF1FC7" w:rsidP="002E5BAD">
      <w:pPr>
        <w:pStyle w:val="a5"/>
      </w:pPr>
      <w:r>
        <w:rPr>
          <w:rStyle w:val="a7"/>
        </w:rPr>
        <w:footnoteRef/>
      </w:r>
      <w:r>
        <w:rPr>
          <w:rtl/>
        </w:rPr>
        <w:t xml:space="preserve"> </w:t>
      </w:r>
      <w:r w:rsidRPr="00A42E68">
        <w:rPr>
          <w:rFonts w:cs="Arial"/>
          <w:rtl/>
        </w:rPr>
        <w:t xml:space="preserve">וכתב הרב המגיד מדברי רבינו נראה שאע"פ שלא כתב לה </w:t>
      </w:r>
      <w:r>
        <w:rPr>
          <w:rFonts w:cs="Arial" w:hint="cs"/>
          <w:rtl/>
        </w:rPr>
        <w:t>'</w:t>
      </w:r>
      <w:r w:rsidRPr="00A42E68">
        <w:rPr>
          <w:rFonts w:cs="Arial"/>
          <w:rtl/>
        </w:rPr>
        <w:t>מטלטלי אגב מקרקעי</w:t>
      </w:r>
      <w:r>
        <w:rPr>
          <w:rFonts w:cs="Arial" w:hint="cs"/>
          <w:rtl/>
        </w:rPr>
        <w:t>'</w:t>
      </w:r>
      <w:r w:rsidRPr="00A42E68">
        <w:rPr>
          <w:rFonts w:cs="Arial"/>
          <w:rtl/>
        </w:rPr>
        <w:t xml:space="preserve"> אלא </w:t>
      </w:r>
      <w:r>
        <w:rPr>
          <w:rFonts w:cs="Arial" w:hint="cs"/>
          <w:rtl/>
        </w:rPr>
        <w:t>'</w:t>
      </w:r>
      <w:r w:rsidRPr="00A42E68">
        <w:rPr>
          <w:rFonts w:cs="Arial"/>
          <w:rtl/>
        </w:rPr>
        <w:t>מקרקעי ומטלטלי</w:t>
      </w:r>
      <w:r>
        <w:rPr>
          <w:rFonts w:cs="Arial" w:hint="cs"/>
          <w:rtl/>
        </w:rPr>
        <w:t>' -</w:t>
      </w:r>
      <w:r w:rsidRPr="00A42E68">
        <w:rPr>
          <w:rFonts w:cs="Arial"/>
          <w:rtl/>
        </w:rPr>
        <w:t xml:space="preserve"> גובה היא מן הדין מן היורשים אפילו מטלטלין</w:t>
      </w:r>
      <w:r>
        <w:rPr>
          <w:rFonts w:cs="Arial" w:hint="cs"/>
          <w:rtl/>
        </w:rPr>
        <w:t>.</w:t>
      </w:r>
      <w:r w:rsidRPr="00A42E68">
        <w:rPr>
          <w:rFonts w:cs="Arial"/>
          <w:rtl/>
        </w:rPr>
        <w:t xml:space="preserve"> וכ"כ הרשב"א בסוף כתובות</w:t>
      </w:r>
      <w:r>
        <w:rPr>
          <w:rFonts w:cs="Arial" w:hint="cs"/>
          <w:rtl/>
        </w:rPr>
        <w:t>.</w:t>
      </w:r>
      <w:r w:rsidRPr="00A42E68">
        <w:rPr>
          <w:rFonts w:cs="Arial"/>
          <w:rtl/>
        </w:rPr>
        <w:t xml:space="preserve"> ואם כתב לה מטלטלי אגב מקרקעי אפילו מן הלקוחות גובה מטלטלין כמבואר פי"ח מהלכות מלוה (ה"ב)</w:t>
      </w:r>
      <w:r>
        <w:rPr>
          <w:rFonts w:cs="Arial" w:hint="cs"/>
          <w:rtl/>
        </w:rPr>
        <w:t>, ב"י. וכתב עוד הב"י (בבדה"ב) ל</w:t>
      </w:r>
      <w:r w:rsidRPr="00A42E68">
        <w:rPr>
          <w:rFonts w:cs="Arial"/>
          <w:rtl/>
        </w:rPr>
        <w:t>עיין בהרי</w:t>
      </w:r>
      <w:r>
        <w:rPr>
          <w:rFonts w:cs="Arial" w:hint="cs"/>
          <w:rtl/>
        </w:rPr>
        <w:t>ב"ש</w:t>
      </w:r>
      <w:r w:rsidRPr="00A42E68">
        <w:rPr>
          <w:rFonts w:cs="Arial"/>
          <w:rtl/>
        </w:rPr>
        <w:t xml:space="preserve"> </w:t>
      </w:r>
      <w:r>
        <w:rPr>
          <w:rFonts w:cs="Arial" w:hint="cs"/>
          <w:rtl/>
        </w:rPr>
        <w:t>(סי' שצב).</w:t>
      </w:r>
    </w:p>
  </w:footnote>
  <w:footnote w:id="2309">
    <w:p w14:paraId="319AC596" w14:textId="77777777" w:rsidR="00DF1FC7" w:rsidRDefault="00DF1FC7" w:rsidP="002E5BAD">
      <w:pPr>
        <w:pStyle w:val="a5"/>
        <w:rPr>
          <w:rtl/>
        </w:rPr>
      </w:pPr>
      <w:r>
        <w:rPr>
          <w:rStyle w:val="a7"/>
        </w:rPr>
        <w:footnoteRef/>
      </w:r>
      <w:r>
        <w:rPr>
          <w:rtl/>
        </w:rPr>
        <w:t xml:space="preserve"> </w:t>
      </w:r>
      <w:r w:rsidRPr="00A42E68">
        <w:rPr>
          <w:rFonts w:cs="Arial"/>
          <w:rtl/>
        </w:rPr>
        <w:t>דעת רבינו הוא שאין לומר בזה אע</w:t>
      </w:r>
      <w:r>
        <w:rPr>
          <w:rFonts w:cs="Arial" w:hint="cs"/>
          <w:rtl/>
        </w:rPr>
        <w:t>"</w:t>
      </w:r>
      <w:r w:rsidRPr="00A42E68">
        <w:rPr>
          <w:rFonts w:cs="Arial"/>
          <w:rtl/>
        </w:rPr>
        <w:t>פ שלא נכתב כמי שנכתב דמי שאין זה תנאי ב"ד כיון שנתחדש אחר התלמוד ע</w:t>
      </w:r>
      <w:r>
        <w:rPr>
          <w:rFonts w:cs="Arial" w:hint="cs"/>
          <w:rtl/>
        </w:rPr>
        <w:t>כ"ל</w:t>
      </w:r>
      <w:r>
        <w:rPr>
          <w:rFonts w:cs="Arial" w:hint="cs"/>
          <w:sz w:val="16"/>
          <w:szCs w:val="16"/>
          <w:rtl/>
        </w:rPr>
        <w:t xml:space="preserve"> [הה"מ]</w:t>
      </w:r>
      <w:r>
        <w:rPr>
          <w:rFonts w:cs="Arial" w:hint="cs"/>
          <w:rtl/>
        </w:rPr>
        <w:t>, ב"י.</w:t>
      </w:r>
      <w:r w:rsidRPr="002E5679">
        <w:rPr>
          <w:rtl/>
        </w:rPr>
        <w:t xml:space="preserve"> </w:t>
      </w:r>
      <w:r w:rsidRPr="002E5679">
        <w:rPr>
          <w:rFonts w:cs="Arial"/>
          <w:rtl/>
        </w:rPr>
        <w:t>מיהו בכ</w:t>
      </w:r>
      <w:r>
        <w:rPr>
          <w:rFonts w:cs="Arial" w:hint="cs"/>
          <w:rtl/>
        </w:rPr>
        <w:t>ס</w:t>
      </w:r>
      <w:r w:rsidRPr="002E5679">
        <w:rPr>
          <w:rFonts w:cs="Arial"/>
          <w:rtl/>
        </w:rPr>
        <w:t>"מ כתב בשם הריב"ש דרמב"ם איירי במקום היכא דמנהג הוא לכתוב בפי' מטלטלין אז אם לא כתב לא נשתעבדו המטלטלים אא"כ דידע התיקון הגאונים ואם נתפשט התיקון בכל ישראל אמרי' אף שלא נכתב כנכת' דמי אלא בימי הרמב"ם עדיין לא נתפשט התיקון לפ"ז בזה"ז שנתפשט התיקון אמרינן אף שלא נכתב כנכתב דמי והרא"ש פ' מציאות האשה כתב בשם ר"ת דגובין מן מטלטלין משום דכותבין מטלטלין ובפ' נ"ש הביא תקנו' הגאונים ובפ"ק דב"ק כתב מטלטלין דינם כקרקע בדורות הללו מדינ' דש"ס הואיל כל משא ומתן בהם והוי כגמל' דערבי', וכן בטח"ה סי' תי"ט כתב הטעם הואיל כל מו"מ בהם ובסי' זה כתב הטעם מחמת תקנות הגאונים או מחמת שכותבין בפירוש וצריך ישוב</w:t>
      </w:r>
      <w:r>
        <w:rPr>
          <w:rFonts w:hint="cs"/>
          <w:rtl/>
        </w:rPr>
        <w:t>, ב"ש (סק"ב).</w:t>
      </w:r>
    </w:p>
  </w:footnote>
  <w:footnote w:id="2310">
    <w:p w14:paraId="199ADA52" w14:textId="77777777" w:rsidR="00DF1FC7" w:rsidRDefault="00DF1FC7" w:rsidP="002E5BAD">
      <w:pPr>
        <w:pStyle w:val="a5"/>
      </w:pPr>
      <w:r>
        <w:rPr>
          <w:rStyle w:val="a7"/>
        </w:rPr>
        <w:footnoteRef/>
      </w:r>
      <w:r>
        <w:rPr>
          <w:rtl/>
        </w:rPr>
        <w:t xml:space="preserve"> </w:t>
      </w:r>
      <w:r>
        <w:rPr>
          <w:rFonts w:hint="cs"/>
          <w:rtl/>
        </w:rPr>
        <w:t>ונראה שהרשב"א הרא"ש והר"ן (שמובאים בסמוך) חולקים על דברי הרמב"ם. וגם השו"ע לא פסק כדבריו הרמב"ם בזה.</w:t>
      </w:r>
    </w:p>
  </w:footnote>
  <w:footnote w:id="2311">
    <w:p w14:paraId="64B64990" w14:textId="77777777" w:rsidR="00DF1FC7" w:rsidRDefault="00DF1FC7" w:rsidP="002E5BAD">
      <w:pPr>
        <w:pStyle w:val="a5"/>
        <w:rPr>
          <w:rtl/>
        </w:rPr>
      </w:pPr>
      <w:r>
        <w:rPr>
          <w:rStyle w:val="a7"/>
        </w:rPr>
        <w:footnoteRef/>
      </w:r>
      <w:r>
        <w:rPr>
          <w:rtl/>
        </w:rPr>
        <w:t xml:space="preserve"> </w:t>
      </w:r>
      <w:r w:rsidRPr="003D2914">
        <w:rPr>
          <w:rFonts w:cs="Arial"/>
          <w:rtl/>
        </w:rPr>
        <w:t>וכ"כ ב"י בשם תשובת הרא"ש, וכן הוא בחשן המשפט סוף סי' תי"ט</w:t>
      </w:r>
      <w:r>
        <w:rPr>
          <w:rFonts w:cs="Arial" w:hint="cs"/>
          <w:rtl/>
        </w:rPr>
        <w:t>,</w:t>
      </w:r>
      <w:r>
        <w:rPr>
          <w:rFonts w:hint="cs"/>
          <w:rtl/>
        </w:rPr>
        <w:t xml:space="preserve"> דרכ"מ (אות ה*).</w:t>
      </w:r>
    </w:p>
  </w:footnote>
  <w:footnote w:id="2312">
    <w:p w14:paraId="403107FB" w14:textId="77777777" w:rsidR="00DF1FC7" w:rsidRDefault="00DF1FC7" w:rsidP="002E5BAD">
      <w:pPr>
        <w:pStyle w:val="a5"/>
      </w:pPr>
      <w:r>
        <w:rPr>
          <w:rStyle w:val="a7"/>
        </w:rPr>
        <w:footnoteRef/>
      </w:r>
      <w:r>
        <w:rPr>
          <w:rtl/>
        </w:rPr>
        <w:t xml:space="preserve"> </w:t>
      </w:r>
      <w:r w:rsidRPr="00A8631B">
        <w:rPr>
          <w:rFonts w:cs="Arial"/>
          <w:rtl/>
        </w:rPr>
        <w:t>ונראה דאיצטריך להאי טעמא לאותם שאינם משעבדים בכתובה מטלטלי אגב מקרקעי וגם אינם נוהגים ע"פ תקנת הגאונים</w:t>
      </w:r>
      <w:r>
        <w:rPr>
          <w:rFonts w:cs="Arial" w:hint="cs"/>
          <w:rtl/>
        </w:rPr>
        <w:t>.</w:t>
      </w:r>
      <w:r w:rsidRPr="00A8631B">
        <w:rPr>
          <w:rFonts w:cs="Arial"/>
          <w:rtl/>
        </w:rPr>
        <w:t xml:space="preserve"> אבל לדידן דמשעבדי'</w:t>
      </w:r>
      <w:r>
        <w:rPr>
          <w:rFonts w:cs="Arial" w:hint="cs"/>
          <w:rtl/>
        </w:rPr>
        <w:t>,</w:t>
      </w:r>
      <w:r w:rsidRPr="00A8631B">
        <w:rPr>
          <w:rFonts w:cs="Arial"/>
          <w:rtl/>
        </w:rPr>
        <w:t xml:space="preserve"> בלאו האי טעמא נמי גביא מהחובות</w:t>
      </w:r>
      <w:r>
        <w:rPr>
          <w:rFonts w:cs="Arial" w:hint="cs"/>
          <w:rtl/>
        </w:rPr>
        <w:t>, ב"י.</w:t>
      </w:r>
      <w:r w:rsidRPr="00A678C2">
        <w:rPr>
          <w:rFonts w:cs="Arial"/>
          <w:rtl/>
        </w:rPr>
        <w:t xml:space="preserve"> </w:t>
      </w:r>
      <w:r>
        <w:rPr>
          <w:rFonts w:cs="Arial" w:hint="cs"/>
          <w:rtl/>
        </w:rPr>
        <w:t xml:space="preserve">עוד כתב הב"י- </w:t>
      </w:r>
      <w:r>
        <w:rPr>
          <w:rFonts w:cs="Arial"/>
          <w:rtl/>
        </w:rPr>
        <w:t>אם כתובה נגבית מעיסקא שנתנו לו להתעסק עיין בפרק המקבל (ב"מ קד:).</w:t>
      </w:r>
    </w:p>
  </w:footnote>
  <w:footnote w:id="2313">
    <w:p w14:paraId="340C0CE3" w14:textId="77777777" w:rsidR="00DF1FC7" w:rsidRDefault="00DF1FC7" w:rsidP="002E5BAD">
      <w:pPr>
        <w:pStyle w:val="a5"/>
      </w:pPr>
      <w:r>
        <w:rPr>
          <w:rStyle w:val="a7"/>
        </w:rPr>
        <w:footnoteRef/>
      </w:r>
      <w:r>
        <w:rPr>
          <w:rFonts w:cs="Arial" w:hint="cs"/>
          <w:rtl/>
        </w:rPr>
        <w:t xml:space="preserve"> </w:t>
      </w:r>
      <w:r w:rsidRPr="00750F97">
        <w:rPr>
          <w:rFonts w:cs="Arial"/>
          <w:rtl/>
        </w:rPr>
        <w:t xml:space="preserve">ולדידן דכתבינן מטלטלי אגב מקרקעי דקנאי ודאקנה </w:t>
      </w:r>
      <w:r>
        <w:rPr>
          <w:rFonts w:cs="Arial" w:hint="cs"/>
          <w:rtl/>
        </w:rPr>
        <w:t xml:space="preserve">- </w:t>
      </w:r>
      <w:r w:rsidRPr="00750F97">
        <w:rPr>
          <w:rFonts w:cs="Arial"/>
          <w:rtl/>
        </w:rPr>
        <w:t>גובה ממטלטלין שמכר כמו מן הקרקעות</w:t>
      </w:r>
      <w:r>
        <w:rPr>
          <w:rFonts w:cs="Arial" w:hint="cs"/>
          <w:rtl/>
        </w:rPr>
        <w:t>.</w:t>
      </w:r>
      <w:r w:rsidRPr="00750F97">
        <w:rPr>
          <w:rFonts w:cs="Arial"/>
          <w:rtl/>
        </w:rPr>
        <w:t xml:space="preserve"> ועיין בחשן משפט סימן ס'</w:t>
      </w:r>
      <w:r>
        <w:rPr>
          <w:rFonts w:hint="cs"/>
          <w:rtl/>
        </w:rPr>
        <w:t xml:space="preserve">, ב"י. וכתב הדרכ"מ (אות י*) </w:t>
      </w:r>
      <w:r>
        <w:rPr>
          <w:rFonts w:cs="Arial" w:hint="cs"/>
          <w:rtl/>
        </w:rPr>
        <w:t>ד</w:t>
      </w:r>
      <w:r w:rsidRPr="00F02E86">
        <w:rPr>
          <w:rFonts w:cs="Arial"/>
          <w:rtl/>
        </w:rPr>
        <w:t>כן כתב המ"מ פי"ו דאישות (ה"ח)</w:t>
      </w:r>
      <w:r>
        <w:rPr>
          <w:rFonts w:cs="Arial" w:hint="cs"/>
          <w:rtl/>
        </w:rPr>
        <w:t>.</w:t>
      </w:r>
    </w:p>
  </w:footnote>
  <w:footnote w:id="2314">
    <w:p w14:paraId="4D573F19" w14:textId="77777777" w:rsidR="00DF1FC7" w:rsidRDefault="00DF1FC7" w:rsidP="002E5BAD">
      <w:pPr>
        <w:pStyle w:val="a5"/>
      </w:pPr>
      <w:r>
        <w:rPr>
          <w:rStyle w:val="a7"/>
        </w:rPr>
        <w:footnoteRef/>
      </w:r>
      <w:r>
        <w:rPr>
          <w:rtl/>
        </w:rPr>
        <w:t xml:space="preserve"> </w:t>
      </w:r>
      <w:r w:rsidRPr="003D2914">
        <w:rPr>
          <w:rFonts w:cs="Arial"/>
          <w:rtl/>
        </w:rPr>
        <w:t>וסיים שם</w:t>
      </w:r>
      <w:r>
        <w:rPr>
          <w:rFonts w:cs="Arial" w:hint="cs"/>
          <w:rtl/>
        </w:rPr>
        <w:t xml:space="preserve">- </w:t>
      </w:r>
      <w:r w:rsidRPr="003D2914">
        <w:rPr>
          <w:rFonts w:cs="Arial"/>
          <w:rtl/>
        </w:rPr>
        <w:t>הוה ליה עדיין ראוי אע</w:t>
      </w:r>
      <w:r>
        <w:rPr>
          <w:rFonts w:cs="Arial" w:hint="cs"/>
          <w:rtl/>
        </w:rPr>
        <w:t>"</w:t>
      </w:r>
      <w:r w:rsidRPr="003D2914">
        <w:rPr>
          <w:rFonts w:cs="Arial"/>
          <w:rtl/>
        </w:rPr>
        <w:t>ג דהנכסים יותר מכדי כתובתה משום דהלכה כאנשי גליל (כתובות נד</w:t>
      </w:r>
      <w:r>
        <w:rPr>
          <w:rFonts w:cs="Arial" w:hint="cs"/>
          <w:rtl/>
        </w:rPr>
        <w:t>.</w:t>
      </w:r>
      <w:r w:rsidRPr="003D2914">
        <w:rPr>
          <w:rFonts w:cs="Arial"/>
          <w:rtl/>
        </w:rPr>
        <w:t>) דס"ל דאין יכולין לסלק האלמנה ממזונות</w:t>
      </w:r>
      <w:r>
        <w:rPr>
          <w:rFonts w:cs="Arial" w:hint="cs"/>
          <w:rtl/>
        </w:rPr>
        <w:t>.</w:t>
      </w:r>
      <w:r w:rsidRPr="003D2914">
        <w:rPr>
          <w:rFonts w:cs="Arial"/>
          <w:rtl/>
        </w:rPr>
        <w:t xml:space="preserve"> וכן הוא בתשובת מיימוני </w:t>
      </w:r>
      <w:r>
        <w:rPr>
          <w:rFonts w:cs="Arial" w:hint="cs"/>
          <w:rtl/>
        </w:rPr>
        <w:t>(</w:t>
      </w:r>
      <w:r w:rsidRPr="003D2914">
        <w:rPr>
          <w:rFonts w:cs="Arial"/>
          <w:rtl/>
        </w:rPr>
        <w:t>סוף ספר משפטים סי</w:t>
      </w:r>
      <w:r>
        <w:rPr>
          <w:rFonts w:cs="Arial" w:hint="cs"/>
          <w:rtl/>
        </w:rPr>
        <w:t>'</w:t>
      </w:r>
      <w:r w:rsidRPr="003D2914">
        <w:rPr>
          <w:rFonts w:cs="Arial"/>
          <w:rtl/>
        </w:rPr>
        <w:t xml:space="preserve"> ז</w:t>
      </w:r>
      <w:r>
        <w:rPr>
          <w:rFonts w:cs="Arial" w:hint="cs"/>
          <w:rtl/>
        </w:rPr>
        <w:t>).</w:t>
      </w:r>
      <w:r w:rsidRPr="003D2914">
        <w:rPr>
          <w:rFonts w:cs="Arial"/>
          <w:rtl/>
        </w:rPr>
        <w:t xml:space="preserve"> וצ"ע דבמרדכי פרק כל הנשבעי</w:t>
      </w:r>
      <w:r>
        <w:rPr>
          <w:rFonts w:cs="Arial" w:hint="cs"/>
          <w:rtl/>
        </w:rPr>
        <w:t>ן</w:t>
      </w:r>
      <w:r w:rsidRPr="003D2914">
        <w:rPr>
          <w:rFonts w:cs="Arial"/>
          <w:rtl/>
        </w:rPr>
        <w:t xml:space="preserve"> (שבועות סי' תשפ) תשובת מוהר"ם (ד"ל סי' רכו) סותרת לזה דכתב שם דהבעל יורש נכסי אשתו שנפלו לה מאביה אף על גב שעדיין היו משועבדים לאלמנת אביה</w:t>
      </w:r>
      <w:r>
        <w:rPr>
          <w:rFonts w:cs="Arial" w:hint="cs"/>
          <w:rtl/>
        </w:rPr>
        <w:t>.</w:t>
      </w:r>
      <w:r w:rsidRPr="003D2914">
        <w:rPr>
          <w:rFonts w:cs="Arial"/>
          <w:rtl/>
        </w:rPr>
        <w:t xml:space="preserve"> ואע</w:t>
      </w:r>
      <w:r>
        <w:rPr>
          <w:rFonts w:cs="Arial" w:hint="cs"/>
          <w:rtl/>
        </w:rPr>
        <w:t>"</w:t>
      </w:r>
      <w:r w:rsidRPr="003D2914">
        <w:rPr>
          <w:rFonts w:cs="Arial"/>
          <w:rtl/>
        </w:rPr>
        <w:t>ג דאין הבעל יורש את אשתו בראוי</w:t>
      </w:r>
      <w:r>
        <w:rPr>
          <w:rFonts w:cs="Arial" w:hint="cs"/>
          <w:rtl/>
        </w:rPr>
        <w:t>,</w:t>
      </w:r>
      <w:r w:rsidRPr="003D2914">
        <w:rPr>
          <w:rFonts w:cs="Arial"/>
          <w:rtl/>
        </w:rPr>
        <w:t xml:space="preserve"> כתב שם דזה מיקרי מוחזק</w:t>
      </w:r>
      <w:r>
        <w:rPr>
          <w:rFonts w:cs="Arial" w:hint="cs"/>
          <w:rtl/>
        </w:rPr>
        <w:t>.</w:t>
      </w:r>
      <w:r w:rsidRPr="003D2914">
        <w:rPr>
          <w:rFonts w:cs="Arial"/>
          <w:rtl/>
        </w:rPr>
        <w:t xml:space="preserve"> ואפשר לומר דכאן מיירי במקום שנוהגין כאנשי יהודה דמסלקין האלמנה</w:t>
      </w:r>
      <w:r>
        <w:rPr>
          <w:rFonts w:cs="Arial" w:hint="cs"/>
          <w:rtl/>
        </w:rPr>
        <w:t>,</w:t>
      </w:r>
      <w:r w:rsidRPr="003D2914">
        <w:rPr>
          <w:rFonts w:cs="Arial"/>
          <w:rtl/>
        </w:rPr>
        <w:t xml:space="preserve"> ולכן נקרא מוחזק</w:t>
      </w:r>
      <w:r>
        <w:rPr>
          <w:rFonts w:cs="Arial" w:hint="cs"/>
          <w:rtl/>
        </w:rPr>
        <w:t>,</w:t>
      </w:r>
      <w:r w:rsidRPr="003D2914">
        <w:rPr>
          <w:rFonts w:cs="Arial"/>
          <w:rtl/>
        </w:rPr>
        <w:t xml:space="preserve"> וע"ש ולעיל סימן צ"ג (עמ' תז)</w:t>
      </w:r>
      <w:r>
        <w:rPr>
          <w:rFonts w:cs="Arial" w:hint="cs"/>
          <w:rtl/>
        </w:rPr>
        <w:t>.</w:t>
      </w:r>
      <w:r w:rsidRPr="003D2914">
        <w:rPr>
          <w:rFonts w:cs="Arial"/>
          <w:rtl/>
        </w:rPr>
        <w:t xml:space="preserve"> ועיין בתשובת מהרי"ל סוף סימן ע"ה מדין ראוי אצל כתובה</w:t>
      </w:r>
      <w:r>
        <w:rPr>
          <w:rFonts w:cs="Arial" w:hint="cs"/>
          <w:rtl/>
        </w:rPr>
        <w:t>, דרכ"מ (אות ה).</w:t>
      </w:r>
    </w:p>
  </w:footnote>
  <w:footnote w:id="2315">
    <w:p w14:paraId="271C8BBC" w14:textId="77777777" w:rsidR="00DF1FC7" w:rsidRDefault="00DF1FC7" w:rsidP="002E5BAD">
      <w:pPr>
        <w:pStyle w:val="a5"/>
      </w:pPr>
      <w:r>
        <w:rPr>
          <w:rStyle w:val="a7"/>
        </w:rPr>
        <w:footnoteRef/>
      </w:r>
      <w:r>
        <w:rPr>
          <w:rtl/>
        </w:rPr>
        <w:t xml:space="preserve"> </w:t>
      </w:r>
      <w:r w:rsidRPr="003D2914">
        <w:rPr>
          <w:rFonts w:cs="Arial"/>
          <w:rtl/>
        </w:rPr>
        <w:t>והמגיד משנה פי"ו דאישות (הל' א, ג) הזכיר ב' הסברות והאריך בדבר זה אימת הנדוניא בכלל כתובה</w:t>
      </w:r>
      <w:r>
        <w:rPr>
          <w:rFonts w:cs="Arial" w:hint="cs"/>
          <w:rtl/>
        </w:rPr>
        <w:t>, דרכ"מ (אות א).</w:t>
      </w:r>
    </w:p>
  </w:footnote>
  <w:footnote w:id="2316">
    <w:p w14:paraId="0D29631F" w14:textId="77777777" w:rsidR="00DF1FC7" w:rsidRDefault="00DF1FC7" w:rsidP="002E5BAD">
      <w:pPr>
        <w:pStyle w:val="a5"/>
      </w:pPr>
      <w:r>
        <w:rPr>
          <w:rStyle w:val="a7"/>
        </w:rPr>
        <w:footnoteRef/>
      </w:r>
      <w:r w:rsidRPr="00F02E86">
        <w:rPr>
          <w:rFonts w:cs="Arial"/>
          <w:rtl/>
        </w:rPr>
        <w:t xml:space="preserve"> ונראה הא דאינו נאמן לומר פקדון יש לו בידו דהיינו בהקנה לה מטלטלי באגב</w:t>
      </w:r>
      <w:r>
        <w:rPr>
          <w:rFonts w:cs="Arial" w:hint="cs"/>
          <w:rtl/>
        </w:rPr>
        <w:t>,</w:t>
      </w:r>
      <w:r w:rsidRPr="00F02E86">
        <w:rPr>
          <w:rFonts w:cs="Arial"/>
          <w:rtl/>
        </w:rPr>
        <w:t xml:space="preserve"> אבל בלאו הכי נאמן כמו שכת' בתחלה</w:t>
      </w:r>
      <w:r>
        <w:rPr>
          <w:rFonts w:cs="Arial" w:hint="cs"/>
          <w:rtl/>
        </w:rPr>
        <w:t>.</w:t>
      </w:r>
      <w:r w:rsidRPr="00F02E86">
        <w:rPr>
          <w:rFonts w:cs="Arial"/>
          <w:rtl/>
        </w:rPr>
        <w:t xml:space="preserve"> ועיין בדינים אלו בחושן המשפט סימן צ"ט (סע' י ובדמ"ק אות ד)</w:t>
      </w:r>
      <w:r>
        <w:rPr>
          <w:rFonts w:cs="Arial" w:hint="cs"/>
          <w:rtl/>
        </w:rPr>
        <w:t>, דרכ"מ (אות יב).</w:t>
      </w:r>
    </w:p>
  </w:footnote>
  <w:footnote w:id="2317">
    <w:p w14:paraId="07CC5C1B" w14:textId="77777777" w:rsidR="00DF1FC7" w:rsidRDefault="00DF1FC7" w:rsidP="002E5BAD">
      <w:pPr>
        <w:pStyle w:val="a5"/>
      </w:pPr>
      <w:r>
        <w:rPr>
          <w:rStyle w:val="a7"/>
        </w:rPr>
        <w:footnoteRef/>
      </w:r>
      <w:r>
        <w:rPr>
          <w:rtl/>
        </w:rPr>
        <w:t xml:space="preserve"> </w:t>
      </w:r>
      <w:r w:rsidRPr="006A6FF0">
        <w:rPr>
          <w:rFonts w:cs="Arial"/>
          <w:rtl/>
        </w:rPr>
        <w:t>וכן הוא בהג</w:t>
      </w:r>
      <w:r>
        <w:rPr>
          <w:rFonts w:cs="Arial" w:hint="cs"/>
          <w:rtl/>
        </w:rPr>
        <w:t>"א</w:t>
      </w:r>
      <w:r w:rsidRPr="006A6FF0">
        <w:rPr>
          <w:rFonts w:cs="Arial"/>
          <w:rtl/>
        </w:rPr>
        <w:t xml:space="preserve"> (כתובות פ"ט סי' כז) ובהג</w:t>
      </w:r>
      <w:r>
        <w:rPr>
          <w:rFonts w:cs="Arial" w:hint="cs"/>
          <w:rtl/>
        </w:rPr>
        <w:t>ה"מ</w:t>
      </w:r>
      <w:r w:rsidRPr="006A6FF0">
        <w:rPr>
          <w:rFonts w:cs="Arial"/>
          <w:rtl/>
        </w:rPr>
        <w:t xml:space="preserve"> פי"ז דאישות (אות ד) וכן כתב ב"י סימן צ"ג (עמ' תז ד"ה כתב הרשב"א) בשם תשובת הרשב"א (ח"א סי' אלף קג, מיוחסות סי' סד) וכן הוא בתשובת הרא"ש כלל נ' סימן א' ובכלל ט"ו סימן ג', וכן כתב הטור בחושן המשפט סימן ער"ה (ס"ד)</w:t>
      </w:r>
      <w:r>
        <w:rPr>
          <w:rFonts w:cs="Arial" w:hint="cs"/>
          <w:rtl/>
        </w:rPr>
        <w:t>, דרכ"מ (אות ב).</w:t>
      </w:r>
    </w:p>
  </w:footnote>
  <w:footnote w:id="2318">
    <w:p w14:paraId="45F621FE" w14:textId="77777777" w:rsidR="00DF1FC7" w:rsidRDefault="00DF1FC7" w:rsidP="002E5BAD">
      <w:pPr>
        <w:pStyle w:val="a5"/>
      </w:pPr>
      <w:r>
        <w:rPr>
          <w:rStyle w:val="a7"/>
        </w:rPr>
        <w:footnoteRef/>
      </w:r>
      <w:r>
        <w:rPr>
          <w:rtl/>
        </w:rPr>
        <w:t xml:space="preserve"> </w:t>
      </w:r>
      <w:r w:rsidRPr="006A6FF0">
        <w:rPr>
          <w:rFonts w:cs="Arial"/>
          <w:rtl/>
        </w:rPr>
        <w:t>ועיין בדין זה בחושן המשפט סימן רמ"ח (ס"ה)</w:t>
      </w:r>
      <w:r>
        <w:rPr>
          <w:rFonts w:cs="Arial" w:hint="cs"/>
          <w:rtl/>
        </w:rPr>
        <w:t>, דרכ"מ (אות ב).</w:t>
      </w:r>
    </w:p>
  </w:footnote>
  <w:footnote w:id="2319">
    <w:p w14:paraId="0E82F13B" w14:textId="77777777" w:rsidR="00DF1FC7" w:rsidRDefault="00DF1FC7" w:rsidP="002E5BAD">
      <w:pPr>
        <w:pStyle w:val="a5"/>
        <w:rPr>
          <w:rtl/>
        </w:rPr>
      </w:pPr>
      <w:r>
        <w:rPr>
          <w:rStyle w:val="a7"/>
        </w:rPr>
        <w:footnoteRef/>
      </w:r>
      <w:r>
        <w:rPr>
          <w:rtl/>
        </w:rPr>
        <w:t xml:space="preserve"> </w:t>
      </w:r>
      <w:r w:rsidRPr="00F02E86">
        <w:rPr>
          <w:rFonts w:cs="Arial"/>
          <w:rtl/>
        </w:rPr>
        <w:t>וכן הוא בהגה</w:t>
      </w:r>
      <w:r>
        <w:rPr>
          <w:rFonts w:cs="Arial" w:hint="cs"/>
          <w:rtl/>
        </w:rPr>
        <w:t>"</w:t>
      </w:r>
      <w:r w:rsidRPr="00F02E86">
        <w:rPr>
          <w:rFonts w:cs="Arial"/>
          <w:rtl/>
        </w:rPr>
        <w:t>מ פי"ו דאישות (אות ד) דאין מתנת בריא מפקיע מידי כתובה אלא בנתן לאחר אבל לא ליורשיו</w:t>
      </w:r>
      <w:r>
        <w:rPr>
          <w:rFonts w:cs="Arial" w:hint="cs"/>
          <w:rtl/>
        </w:rPr>
        <w:t>.</w:t>
      </w:r>
      <w:r w:rsidRPr="00F02E86">
        <w:rPr>
          <w:rFonts w:cs="Arial"/>
          <w:rtl/>
        </w:rPr>
        <w:t xml:space="preserve"> וכ"כ מהרא"י </w:t>
      </w:r>
      <w:r>
        <w:rPr>
          <w:rFonts w:cs="Arial" w:hint="cs"/>
          <w:rtl/>
        </w:rPr>
        <w:t>(</w:t>
      </w:r>
      <w:r w:rsidRPr="00F02E86">
        <w:rPr>
          <w:rFonts w:cs="Arial"/>
          <w:rtl/>
        </w:rPr>
        <w:t>סי' פו</w:t>
      </w:r>
      <w:r>
        <w:rPr>
          <w:rFonts w:cs="Arial" w:hint="cs"/>
          <w:rtl/>
        </w:rPr>
        <w:t>).</w:t>
      </w:r>
      <w:r w:rsidRPr="00F02E86">
        <w:rPr>
          <w:rFonts w:cs="Arial"/>
          <w:rtl/>
        </w:rPr>
        <w:t xml:space="preserve"> וכ"כ מהרי"ו </w:t>
      </w:r>
      <w:r>
        <w:rPr>
          <w:rFonts w:cs="Arial" w:hint="cs"/>
          <w:rtl/>
        </w:rPr>
        <w:t>(</w:t>
      </w:r>
      <w:r w:rsidRPr="00F02E86">
        <w:rPr>
          <w:rFonts w:cs="Arial"/>
          <w:rtl/>
        </w:rPr>
        <w:t>בתשובה סי</w:t>
      </w:r>
      <w:r>
        <w:rPr>
          <w:rFonts w:cs="Arial" w:hint="cs"/>
          <w:rtl/>
        </w:rPr>
        <w:t xml:space="preserve">' </w:t>
      </w:r>
      <w:r w:rsidRPr="00F02E86">
        <w:rPr>
          <w:rFonts w:cs="Arial"/>
          <w:rtl/>
        </w:rPr>
        <w:t>קנו</w:t>
      </w:r>
      <w:r>
        <w:rPr>
          <w:rFonts w:cs="Arial" w:hint="cs"/>
          <w:rtl/>
        </w:rPr>
        <w:t>)</w:t>
      </w:r>
      <w:r w:rsidRPr="00F02E86">
        <w:rPr>
          <w:rFonts w:cs="Arial"/>
          <w:rtl/>
        </w:rPr>
        <w:t xml:space="preserve"> וכתב שם דמכל שכן אם צוה לקברו ולהזכיר נשמתו מנכסיו</w:t>
      </w:r>
      <w:r>
        <w:rPr>
          <w:rFonts w:cs="Arial" w:hint="cs"/>
          <w:rtl/>
        </w:rPr>
        <w:t>,</w:t>
      </w:r>
      <w:r w:rsidRPr="00F02E86">
        <w:rPr>
          <w:rFonts w:cs="Arial"/>
          <w:rtl/>
        </w:rPr>
        <w:t xml:space="preserve"> דלא מהני</w:t>
      </w:r>
      <w:r>
        <w:rPr>
          <w:rFonts w:cs="Arial" w:hint="cs"/>
          <w:rtl/>
        </w:rPr>
        <w:t>,</w:t>
      </w:r>
      <w:r w:rsidRPr="00F02E86">
        <w:rPr>
          <w:rFonts w:cs="Arial"/>
          <w:rtl/>
        </w:rPr>
        <w:t xml:space="preserve"> ואשה גובה כתובתה מהן</w:t>
      </w:r>
      <w:r>
        <w:rPr>
          <w:rFonts w:hint="cs"/>
          <w:rtl/>
        </w:rPr>
        <w:t>, דרכ"מ (אות יא).</w:t>
      </w:r>
    </w:p>
  </w:footnote>
  <w:footnote w:id="2320">
    <w:p w14:paraId="506D23BF" w14:textId="77777777" w:rsidR="00DF1FC7" w:rsidRDefault="00DF1FC7" w:rsidP="002E5BAD">
      <w:pPr>
        <w:pStyle w:val="a5"/>
        <w:rPr>
          <w:rtl/>
        </w:rPr>
      </w:pPr>
      <w:r>
        <w:rPr>
          <w:rStyle w:val="a7"/>
        </w:rPr>
        <w:footnoteRef/>
      </w:r>
      <w:r>
        <w:rPr>
          <w:rtl/>
        </w:rPr>
        <w:t xml:space="preserve"> </w:t>
      </w:r>
      <w:r w:rsidRPr="00F02E86">
        <w:rPr>
          <w:rFonts w:cs="Arial"/>
          <w:rtl/>
        </w:rPr>
        <w:t>וצ"ע דמשמע דאם זיכה לו מחיים מפקינן מידי כתובה וזה סותר דבריו שבפרק נערה ובהגהות מיימוני כמו שכתבתי בסמוך</w:t>
      </w:r>
      <w:r>
        <w:rPr>
          <w:rFonts w:cs="Arial" w:hint="cs"/>
          <w:rtl/>
        </w:rPr>
        <w:t>, דרכ"מ (אות יא)</w:t>
      </w:r>
      <w:r w:rsidRPr="00F02E86">
        <w:rPr>
          <w:rFonts w:cs="Arial"/>
          <w:rtl/>
        </w:rPr>
        <w:t>.</w:t>
      </w:r>
    </w:p>
  </w:footnote>
  <w:footnote w:id="2321">
    <w:p w14:paraId="060142E3" w14:textId="77777777" w:rsidR="00DF1FC7" w:rsidRDefault="00DF1FC7" w:rsidP="002E5BAD">
      <w:pPr>
        <w:pStyle w:val="a5"/>
        <w:rPr>
          <w:rtl/>
        </w:rPr>
      </w:pPr>
      <w:r>
        <w:rPr>
          <w:rStyle w:val="a7"/>
        </w:rPr>
        <w:footnoteRef/>
      </w:r>
      <w:r>
        <w:rPr>
          <w:rtl/>
        </w:rPr>
        <w:t xml:space="preserve"> </w:t>
      </w:r>
      <w:r w:rsidRPr="00F02E86">
        <w:rPr>
          <w:rFonts w:cs="Arial"/>
          <w:rtl/>
        </w:rPr>
        <w:t>וצ"ע דבסוף פ</w:t>
      </w:r>
      <w:r>
        <w:rPr>
          <w:rFonts w:cs="Arial" w:hint="cs"/>
          <w:rtl/>
        </w:rPr>
        <w:t>'</w:t>
      </w:r>
      <w:r w:rsidRPr="00F02E86">
        <w:rPr>
          <w:rFonts w:cs="Arial"/>
          <w:rtl/>
        </w:rPr>
        <w:t xml:space="preserve"> יש נוחלין (</w:t>
      </w:r>
      <w:r>
        <w:rPr>
          <w:rFonts w:cs="Arial" w:hint="cs"/>
          <w:rtl/>
        </w:rPr>
        <w:t>ב</w:t>
      </w:r>
      <w:r w:rsidRPr="00F02E86">
        <w:rPr>
          <w:rFonts w:cs="Arial"/>
          <w:rtl/>
        </w:rPr>
        <w:t>מרדכי סי' תקצט) משמע שם דעדיפא מתנה זו מירושה וע"ל סימן קי"א (אות א)</w:t>
      </w:r>
      <w:r>
        <w:rPr>
          <w:rFonts w:cs="Arial" w:hint="cs"/>
          <w:rtl/>
        </w:rPr>
        <w:t>, דרכ"מ (אות יא)</w:t>
      </w:r>
      <w:r w:rsidRPr="00F02E86">
        <w:rPr>
          <w:rFonts w:cs="Arial"/>
          <w:rtl/>
        </w:rPr>
        <w:t>.</w:t>
      </w:r>
    </w:p>
  </w:footnote>
  <w:footnote w:id="2322">
    <w:p w14:paraId="796FB289" w14:textId="77777777" w:rsidR="00DF1FC7" w:rsidRDefault="00DF1FC7" w:rsidP="002E5BAD">
      <w:pPr>
        <w:pStyle w:val="a5"/>
      </w:pPr>
      <w:r>
        <w:rPr>
          <w:rStyle w:val="a7"/>
        </w:rPr>
        <w:footnoteRef/>
      </w:r>
      <w:r>
        <w:rPr>
          <w:rtl/>
        </w:rPr>
        <w:t xml:space="preserve"> </w:t>
      </w:r>
      <w:r w:rsidRPr="00D610BB">
        <w:rPr>
          <w:rFonts w:cs="Arial"/>
          <w:rtl/>
        </w:rPr>
        <w:t>כלו</w:t>
      </w:r>
      <w:r>
        <w:rPr>
          <w:rFonts w:cs="Arial" w:hint="cs"/>
          <w:rtl/>
        </w:rPr>
        <w:t>מר</w:t>
      </w:r>
      <w:r w:rsidRPr="00D610BB">
        <w:rPr>
          <w:rFonts w:cs="Arial"/>
          <w:rtl/>
        </w:rPr>
        <w:t xml:space="preserve"> אפילו מן הבעל עצמו</w:t>
      </w:r>
      <w:r>
        <w:rPr>
          <w:rFonts w:cs="Arial" w:hint="cs"/>
          <w:rtl/>
        </w:rPr>
        <w:t>,</w:t>
      </w:r>
      <w:r w:rsidRPr="00D610BB">
        <w:rPr>
          <w:rFonts w:cs="Arial"/>
          <w:rtl/>
        </w:rPr>
        <w:t xml:space="preserve"> כגון גרושה אינה נגבית אלא מן הקרקע</w:t>
      </w:r>
      <w:r>
        <w:rPr>
          <w:rFonts w:cs="Arial" w:hint="cs"/>
          <w:rtl/>
        </w:rPr>
        <w:t>..., ח"מ (סק"א).</w:t>
      </w:r>
    </w:p>
  </w:footnote>
  <w:footnote w:id="2323">
    <w:p w14:paraId="4D213B30" w14:textId="77777777" w:rsidR="00DF1FC7" w:rsidRDefault="00DF1FC7" w:rsidP="002E5BAD">
      <w:pPr>
        <w:pStyle w:val="a5"/>
      </w:pPr>
      <w:r>
        <w:rPr>
          <w:rStyle w:val="a7"/>
        </w:rPr>
        <w:footnoteRef/>
      </w:r>
      <w:r>
        <w:rPr>
          <w:rtl/>
        </w:rPr>
        <w:t xml:space="preserve"> </w:t>
      </w:r>
      <w:r w:rsidRPr="00D610BB">
        <w:rPr>
          <w:rFonts w:cs="Arial"/>
          <w:rtl/>
        </w:rPr>
        <w:t>עיין לקמן סי' קי"א סי"ד</w:t>
      </w:r>
      <w:r>
        <w:rPr>
          <w:rFonts w:cs="Arial" w:hint="cs"/>
          <w:rtl/>
        </w:rPr>
        <w:t>,</w:t>
      </w:r>
      <w:r w:rsidRPr="00D610BB">
        <w:rPr>
          <w:rFonts w:cs="Arial"/>
          <w:rtl/>
        </w:rPr>
        <w:t xml:space="preserve"> ולדעת הרא"ש והרשב"א שכתבתי בסמוך אף כתובת בנין דכרין נוהגת במטלטלין דבדורו</w:t>
      </w:r>
      <w:r>
        <w:rPr>
          <w:rFonts w:cs="Arial" w:hint="cs"/>
          <w:rtl/>
        </w:rPr>
        <w:t>ת</w:t>
      </w:r>
      <w:r w:rsidRPr="00D610BB">
        <w:rPr>
          <w:rFonts w:cs="Arial"/>
          <w:rtl/>
        </w:rPr>
        <w:t xml:space="preserve"> הללו מטלטלי כמו מקרקעי</w:t>
      </w:r>
      <w:r>
        <w:rPr>
          <w:rFonts w:cs="Arial" w:hint="cs"/>
          <w:rtl/>
        </w:rPr>
        <w:t>, ח"מ (סק"ג).</w:t>
      </w:r>
    </w:p>
  </w:footnote>
  <w:footnote w:id="2324">
    <w:p w14:paraId="0EE87F60" w14:textId="77777777" w:rsidR="00DF1FC7" w:rsidRDefault="00DF1FC7" w:rsidP="002E5BAD">
      <w:pPr>
        <w:pStyle w:val="a5"/>
      </w:pPr>
      <w:r>
        <w:rPr>
          <w:rStyle w:val="a7"/>
        </w:rPr>
        <w:footnoteRef/>
      </w:r>
      <w:r>
        <w:rPr>
          <w:rtl/>
        </w:rPr>
        <w:t xml:space="preserve"> </w:t>
      </w:r>
      <w:r w:rsidRPr="00ED4741">
        <w:rPr>
          <w:rFonts w:cs="Arial"/>
          <w:rtl/>
        </w:rPr>
        <w:t>ה"ה אם לא גבו היורשים עדיין גובה כתובה מן הש"ח שהניח בעלה דש"ח נקרא מטלטלין וכ"כ בסמ"ע בסי' ק"ז</w:t>
      </w:r>
      <w:r>
        <w:rPr>
          <w:rFonts w:cs="Arial" w:hint="cs"/>
          <w:rtl/>
        </w:rPr>
        <w:t>, ח"מ (סק"ד).</w:t>
      </w:r>
    </w:p>
  </w:footnote>
  <w:footnote w:id="2325">
    <w:p w14:paraId="086B3EAD" w14:textId="77777777" w:rsidR="00DF1FC7" w:rsidRDefault="00DF1FC7" w:rsidP="002E5BAD">
      <w:pPr>
        <w:pStyle w:val="a5"/>
        <w:rPr>
          <w:rtl/>
        </w:rPr>
      </w:pPr>
      <w:r>
        <w:rPr>
          <w:rStyle w:val="a7"/>
        </w:rPr>
        <w:footnoteRef/>
      </w:r>
      <w:r>
        <w:rPr>
          <w:rtl/>
        </w:rPr>
        <w:t xml:space="preserve"> </w:t>
      </w:r>
      <w:r w:rsidRPr="00D62F40">
        <w:rPr>
          <w:rFonts w:cs="Arial"/>
          <w:rtl/>
        </w:rPr>
        <w:t>לאו דוקא יורשים דהא גם מבעל לדינא דגמ' אין כתובה נגבית מן המטלטלין וכ"כ בהגהות אלפסי אם רצה בעל או יורשיו להגבות קרקע הרשות בידו ואם הקרקע שוה י' והיא רוצה לקבלה בכ' והיורשים רוצים לסלקה בי' דמי הקרקע הדין עמה עיין בר"ן פ' נערה</w:t>
      </w:r>
      <w:r>
        <w:rPr>
          <w:rFonts w:hint="cs"/>
          <w:rtl/>
        </w:rPr>
        <w:t>, ח"מ (סק"ה).</w:t>
      </w:r>
    </w:p>
  </w:footnote>
  <w:footnote w:id="2326">
    <w:p w14:paraId="15501A30" w14:textId="77777777" w:rsidR="00DF1FC7" w:rsidRDefault="00DF1FC7" w:rsidP="002E5BAD">
      <w:pPr>
        <w:pStyle w:val="a5"/>
      </w:pPr>
      <w:r>
        <w:rPr>
          <w:rStyle w:val="a7"/>
        </w:rPr>
        <w:footnoteRef/>
      </w:r>
      <w:r>
        <w:rPr>
          <w:rtl/>
        </w:rPr>
        <w:t xml:space="preserve"> </w:t>
      </w:r>
      <w:r w:rsidRPr="00D62F40">
        <w:rPr>
          <w:rFonts w:cs="Arial"/>
          <w:rtl/>
        </w:rPr>
        <w:t>עיין במרדכי פ' נערה שכ"כ בשם מהר"ם</w:t>
      </w:r>
      <w:r>
        <w:rPr>
          <w:rFonts w:cs="Arial" w:hint="cs"/>
          <w:rtl/>
        </w:rPr>
        <w:t>.</w:t>
      </w:r>
      <w:r w:rsidRPr="00D62F40">
        <w:rPr>
          <w:rFonts w:cs="Arial"/>
          <w:rtl/>
        </w:rPr>
        <w:t xml:space="preserve"> ועיין בתשובת מהר"ם סי' קצ"ב שהאריך בזה להוכיח כן מן הגמר</w:t>
      </w:r>
      <w:r>
        <w:rPr>
          <w:rFonts w:cs="Arial" w:hint="cs"/>
          <w:rtl/>
        </w:rPr>
        <w:t>א.</w:t>
      </w:r>
      <w:r w:rsidRPr="00D62F40">
        <w:rPr>
          <w:rFonts w:cs="Arial"/>
          <w:rtl/>
        </w:rPr>
        <w:t xml:space="preserve"> ועיין במרדכי </w:t>
      </w:r>
      <w:r>
        <w:rPr>
          <w:rFonts w:cs="Arial" w:hint="cs"/>
          <w:rtl/>
        </w:rPr>
        <w:t>(</w:t>
      </w:r>
      <w:r w:rsidRPr="00D62F40">
        <w:rPr>
          <w:rFonts w:cs="Arial"/>
          <w:rtl/>
        </w:rPr>
        <w:t>פ' יש נוחלין סי' תרכ"ט ותר"ל</w:t>
      </w:r>
      <w:r>
        <w:rPr>
          <w:rFonts w:cs="Arial" w:hint="cs"/>
          <w:rtl/>
        </w:rPr>
        <w:t>)</w:t>
      </w:r>
      <w:r w:rsidRPr="00D62F40">
        <w:rPr>
          <w:rFonts w:cs="Arial"/>
          <w:rtl/>
        </w:rPr>
        <w:t xml:space="preserve"> משמע דלא עבדינן עובד</w:t>
      </w:r>
      <w:r>
        <w:rPr>
          <w:rFonts w:cs="Arial" w:hint="cs"/>
          <w:rtl/>
        </w:rPr>
        <w:t>א</w:t>
      </w:r>
      <w:r w:rsidRPr="00D62F40">
        <w:rPr>
          <w:rFonts w:cs="Arial"/>
          <w:rtl/>
        </w:rPr>
        <w:t xml:space="preserve"> לגבות ממתנות בריא דחיילא מחיים</w:t>
      </w:r>
      <w:r>
        <w:rPr>
          <w:rFonts w:cs="Arial" w:hint="cs"/>
          <w:rtl/>
        </w:rPr>
        <w:t>.</w:t>
      </w:r>
      <w:r w:rsidRPr="00D62F40">
        <w:rPr>
          <w:rFonts w:cs="Arial"/>
          <w:rtl/>
        </w:rPr>
        <w:t xml:space="preserve"> וכן משמע בת"ה </w:t>
      </w:r>
      <w:r>
        <w:rPr>
          <w:rFonts w:cs="Arial" w:hint="cs"/>
          <w:rtl/>
        </w:rPr>
        <w:t>(</w:t>
      </w:r>
      <w:r w:rsidRPr="00D62F40">
        <w:rPr>
          <w:rFonts w:cs="Arial"/>
          <w:rtl/>
        </w:rPr>
        <w:t>סי' פו</w:t>
      </w:r>
      <w:r>
        <w:rPr>
          <w:rFonts w:cs="Arial" w:hint="cs"/>
          <w:rtl/>
        </w:rPr>
        <w:t>).</w:t>
      </w:r>
      <w:r w:rsidRPr="00D62F40">
        <w:rPr>
          <w:rFonts w:cs="Arial"/>
          <w:rtl/>
        </w:rPr>
        <w:t xml:space="preserve"> וגם בתשוב' מהרי"ו להלכה אמר ולא למעשה</w:t>
      </w:r>
      <w:r>
        <w:rPr>
          <w:rFonts w:cs="Arial" w:hint="cs"/>
          <w:rtl/>
        </w:rPr>
        <w:t>.</w:t>
      </w:r>
      <w:r w:rsidRPr="00D62F40">
        <w:rPr>
          <w:rFonts w:cs="Arial"/>
          <w:rtl/>
        </w:rPr>
        <w:t xml:space="preserve"> וכ"מ קצת בתשובת מהר"ם הנ"ל סי' קצ"ב דלא אמר זה רק לסניף ולא למעשה</w:t>
      </w:r>
      <w:r>
        <w:rPr>
          <w:rFonts w:cs="Arial" w:hint="cs"/>
          <w:rtl/>
        </w:rPr>
        <w:t>.</w:t>
      </w:r>
      <w:r w:rsidRPr="00D62F40">
        <w:rPr>
          <w:rFonts w:cs="Arial"/>
          <w:rtl/>
        </w:rPr>
        <w:t xml:space="preserve"> וגם בד"מ כתב דברי מהר"מ סתרי אהדדי</w:t>
      </w:r>
      <w:r>
        <w:rPr>
          <w:rFonts w:cs="Arial" w:hint="cs"/>
          <w:rtl/>
        </w:rPr>
        <w:t>, ח"מ (סק"ז).</w:t>
      </w:r>
      <w:r w:rsidRPr="002E5679">
        <w:rPr>
          <w:rtl/>
        </w:rPr>
        <w:t xml:space="preserve"> </w:t>
      </w:r>
      <w:r w:rsidRPr="002E5679">
        <w:rPr>
          <w:rFonts w:cs="Arial"/>
          <w:rtl/>
        </w:rPr>
        <w:t>וא</w:t>
      </w:r>
      <w:r>
        <w:rPr>
          <w:rFonts w:cs="Arial" w:hint="cs"/>
          <w:rtl/>
        </w:rPr>
        <w:t xml:space="preserve">יני </w:t>
      </w:r>
      <w:r w:rsidRPr="002E5679">
        <w:rPr>
          <w:rFonts w:cs="Arial"/>
          <w:rtl/>
        </w:rPr>
        <w:t>י</w:t>
      </w:r>
      <w:r>
        <w:rPr>
          <w:rFonts w:cs="Arial" w:hint="cs"/>
          <w:rtl/>
        </w:rPr>
        <w:t>ודע</w:t>
      </w:r>
      <w:r w:rsidRPr="002E5679">
        <w:rPr>
          <w:rFonts w:cs="Arial"/>
          <w:rtl/>
        </w:rPr>
        <w:t xml:space="preserve"> מנ"ל</w:t>
      </w:r>
      <w:r>
        <w:rPr>
          <w:rFonts w:cs="Arial" w:hint="cs"/>
          <w:sz w:val="16"/>
          <w:szCs w:val="16"/>
          <w:rtl/>
        </w:rPr>
        <w:t xml:space="preserve"> {אה דאמר הח"מ להלכה ולא למעשה}</w:t>
      </w:r>
      <w:r>
        <w:rPr>
          <w:rFonts w:cs="Arial" w:hint="cs"/>
          <w:rtl/>
        </w:rPr>
        <w:t>,</w:t>
      </w:r>
      <w:r w:rsidRPr="002E5679">
        <w:rPr>
          <w:rFonts w:cs="Arial"/>
          <w:rtl/>
        </w:rPr>
        <w:t xml:space="preserve"> וכן מוכח בפסקי מהרא"י סימן פ"ו אף על גב דשם איירי במ</w:t>
      </w:r>
      <w:r>
        <w:rPr>
          <w:rFonts w:cs="Arial" w:hint="cs"/>
          <w:rtl/>
        </w:rPr>
        <w:t xml:space="preserve">תנת </w:t>
      </w:r>
      <w:r w:rsidRPr="002E5679">
        <w:rPr>
          <w:rFonts w:cs="Arial"/>
          <w:rtl/>
        </w:rPr>
        <w:t>ש"מ מכל מקום נשמע זאת דהא כתב כן לדעת הפוסקים דסבירא להו מתנת ש"מ מפקיע הכתובה מחלק לדעתם בין אם נתן לאחרים לבין אם נתן לבניו מזה נשמע למתנות בריא גם מסיים שם מהרי"א וכתב כדכתב מור"ם בפרק נערה ושם איירי במתנות בריא מיהו בתשובת רש"ך ס"א סי' ל"ד כתב היורשים י"ל קים לנו כהני פוסקים דאין חילוק בין אם נתן ליורשיו לבין אם נתן לאחרים גם כתב שם מלוה בע"פ אינו גובה מיורשים</w:t>
      </w:r>
      <w:r>
        <w:rPr>
          <w:rFonts w:hint="cs"/>
          <w:rtl/>
        </w:rPr>
        <w:t>, ב"ש (סק"ו).</w:t>
      </w:r>
    </w:p>
  </w:footnote>
  <w:footnote w:id="2327">
    <w:p w14:paraId="3D0964C7" w14:textId="77777777" w:rsidR="00DF1FC7" w:rsidRDefault="00DF1FC7" w:rsidP="002E5BAD">
      <w:pPr>
        <w:pStyle w:val="a5"/>
      </w:pPr>
      <w:r>
        <w:rPr>
          <w:rStyle w:val="a7"/>
        </w:rPr>
        <w:footnoteRef/>
      </w:r>
      <w:r>
        <w:rPr>
          <w:rtl/>
        </w:rPr>
        <w:t xml:space="preserve"> </w:t>
      </w:r>
      <w:r w:rsidRPr="00D62F40">
        <w:rPr>
          <w:rFonts w:cs="Arial"/>
          <w:rtl/>
        </w:rPr>
        <w:t>צ"ל שהיה קנין בצוא</w:t>
      </w:r>
      <w:r>
        <w:rPr>
          <w:rFonts w:cs="Arial" w:hint="cs"/>
          <w:rtl/>
        </w:rPr>
        <w:t>ה</w:t>
      </w:r>
      <w:r w:rsidRPr="00D62F40">
        <w:rPr>
          <w:rFonts w:cs="Arial"/>
          <w:rtl/>
        </w:rPr>
        <w:t xml:space="preserve"> זו או שמסר ביד שליש דחייב השליש לקיים משום מצוה לקיים דברי המת</w:t>
      </w:r>
      <w:r>
        <w:rPr>
          <w:rFonts w:cs="Arial" w:hint="cs"/>
          <w:rtl/>
        </w:rPr>
        <w:t>,</w:t>
      </w:r>
      <w:r w:rsidRPr="00D62F40">
        <w:rPr>
          <w:rFonts w:cs="Arial"/>
          <w:rtl/>
        </w:rPr>
        <w:t xml:space="preserve"> דאי לאו הכי אין בצואה זו ממש</w:t>
      </w:r>
      <w:r>
        <w:rPr>
          <w:rFonts w:cs="Arial" w:hint="cs"/>
          <w:rtl/>
        </w:rPr>
        <w:t>.</w:t>
      </w:r>
      <w:r w:rsidRPr="00D62F40">
        <w:rPr>
          <w:rFonts w:cs="Arial"/>
          <w:rtl/>
        </w:rPr>
        <w:t xml:space="preserve"> ועיין בתשו' מהר"ם פדו' סי' נ"ב</w:t>
      </w:r>
      <w:r>
        <w:rPr>
          <w:rFonts w:cs="Arial" w:hint="cs"/>
          <w:rtl/>
        </w:rPr>
        <w:t>.</w:t>
      </w:r>
      <w:r w:rsidRPr="00D62F40">
        <w:rPr>
          <w:rFonts w:cs="Arial"/>
          <w:rtl/>
        </w:rPr>
        <w:t xml:space="preserve"> ועיין בח"מ סוף סי' רנ"ז</w:t>
      </w:r>
      <w:r>
        <w:rPr>
          <w:rFonts w:cs="Arial" w:hint="cs"/>
          <w:rtl/>
        </w:rPr>
        <w:t>, ח"מ (סק"ח).</w:t>
      </w:r>
    </w:p>
  </w:footnote>
  <w:footnote w:id="2328">
    <w:p w14:paraId="2C6BE8C2" w14:textId="77777777" w:rsidR="00DF1FC7" w:rsidRPr="00334651" w:rsidRDefault="00DF1FC7" w:rsidP="002E5BAD">
      <w:pPr>
        <w:pStyle w:val="a5"/>
        <w:rPr>
          <w:rFonts w:cs="Arial"/>
        </w:rPr>
      </w:pPr>
      <w:r>
        <w:rPr>
          <w:rStyle w:val="a7"/>
        </w:rPr>
        <w:footnoteRef/>
      </w:r>
      <w:r>
        <w:rPr>
          <w:rtl/>
        </w:rPr>
        <w:t xml:space="preserve"> </w:t>
      </w:r>
      <w:r w:rsidRPr="00C256FE">
        <w:rPr>
          <w:rFonts w:cs="Arial"/>
          <w:rtl/>
        </w:rPr>
        <w:t>משום דאינה אלא כמתנת ש"מ</w:t>
      </w:r>
      <w:r>
        <w:rPr>
          <w:rFonts w:cs="Arial" w:hint="cs"/>
          <w:rtl/>
        </w:rPr>
        <w:t>.</w:t>
      </w:r>
      <w:r w:rsidRPr="00C256FE">
        <w:rPr>
          <w:rFonts w:cs="Arial"/>
          <w:rtl/>
        </w:rPr>
        <w:t xml:space="preserve"> אי מיירי דהשליש ביד שליש וצווה לו ליתן לאחר מיתה</w:t>
      </w:r>
      <w:r>
        <w:rPr>
          <w:rFonts w:cs="Arial" w:hint="cs"/>
          <w:rtl/>
        </w:rPr>
        <w:t>,</w:t>
      </w:r>
      <w:r w:rsidRPr="00C256FE">
        <w:rPr>
          <w:rFonts w:cs="Arial"/>
          <w:rtl/>
        </w:rPr>
        <w:t xml:space="preserve"> ניחא דהאשה גובה כתובתה</w:t>
      </w:r>
      <w:r>
        <w:rPr>
          <w:rFonts w:cs="Arial" w:hint="cs"/>
          <w:rtl/>
        </w:rPr>
        <w:t>,</w:t>
      </w:r>
      <w:r w:rsidRPr="00C256FE">
        <w:rPr>
          <w:rFonts w:cs="Arial"/>
          <w:rtl/>
        </w:rPr>
        <w:t xml:space="preserve"> דכל שקנה מכח מצוה לקיים דברי המת הוי כמתנת ש"מ ואינו קונה עד לאחר מיתה</w:t>
      </w:r>
      <w:r>
        <w:rPr>
          <w:rFonts w:cs="Arial" w:hint="cs"/>
          <w:rtl/>
        </w:rPr>
        <w:t>,</w:t>
      </w:r>
      <w:r w:rsidRPr="00C256FE">
        <w:rPr>
          <w:rFonts w:cs="Arial"/>
          <w:rtl/>
        </w:rPr>
        <w:t xml:space="preserve"> וכמו שפסק המרדכי בפ' מי שמת בשם מהר"מ סי' תר"ל</w:t>
      </w:r>
      <w:r>
        <w:rPr>
          <w:rFonts w:cs="Arial" w:hint="cs"/>
          <w:rtl/>
        </w:rPr>
        <w:t>.</w:t>
      </w:r>
      <w:r w:rsidRPr="00C256FE">
        <w:rPr>
          <w:rFonts w:cs="Arial"/>
          <w:rtl/>
        </w:rPr>
        <w:t xml:space="preserve"> אבל אם הקנה בקנין דהוי מתנה ברי</w:t>
      </w:r>
      <w:r>
        <w:rPr>
          <w:rFonts w:cs="Arial" w:hint="cs"/>
          <w:rtl/>
        </w:rPr>
        <w:t>א</w:t>
      </w:r>
      <w:r w:rsidRPr="00C256FE">
        <w:rPr>
          <w:rFonts w:cs="Arial"/>
          <w:rtl/>
        </w:rPr>
        <w:t xml:space="preserve"> מעכשיו</w:t>
      </w:r>
      <w:r>
        <w:rPr>
          <w:rFonts w:cs="Arial" w:hint="cs"/>
          <w:rtl/>
        </w:rPr>
        <w:t>,</w:t>
      </w:r>
      <w:r w:rsidRPr="00C256FE">
        <w:rPr>
          <w:rFonts w:cs="Arial"/>
          <w:rtl/>
        </w:rPr>
        <w:t xml:space="preserve"> אף שלא צוה ליתן רק לאחר מיתה מ"מ קנה הגוף מיד</w:t>
      </w:r>
      <w:r>
        <w:rPr>
          <w:rFonts w:cs="Arial" w:hint="cs"/>
          <w:rtl/>
        </w:rPr>
        <w:t>,</w:t>
      </w:r>
      <w:r w:rsidRPr="00C256FE">
        <w:rPr>
          <w:rFonts w:cs="Arial"/>
          <w:rtl/>
        </w:rPr>
        <w:t xml:space="preserve"> וקשה למה תטול האשה הכתובה ממה שנתן במתנת ברי</w:t>
      </w:r>
      <w:r>
        <w:rPr>
          <w:rFonts w:cs="Arial" w:hint="cs"/>
          <w:rtl/>
        </w:rPr>
        <w:t>.</w:t>
      </w:r>
      <w:r w:rsidRPr="00C256FE">
        <w:rPr>
          <w:rFonts w:cs="Arial"/>
          <w:rtl/>
        </w:rPr>
        <w:t xml:space="preserve"> ועיין במרדכי פ' יש נוחלין סי' תקצ"ט</w:t>
      </w:r>
      <w:r>
        <w:rPr>
          <w:rFonts w:cs="Arial" w:hint="cs"/>
          <w:rtl/>
        </w:rPr>
        <w:t>.</w:t>
      </w:r>
      <w:r w:rsidRPr="00C256FE">
        <w:rPr>
          <w:rFonts w:cs="Arial"/>
          <w:rtl/>
        </w:rPr>
        <w:t xml:space="preserve"> הן אמת ראיתי במרדכי פ' י"נ בסי' תקפ"ד פסק היכא דכתב לחתנו ולבתו ליטול כח' מחלק הזכרים דפסק ר"מ דכתובה נגבית ממתנה זו דלעולם לא יטול יותר מן היורשים</w:t>
      </w:r>
      <w:r>
        <w:rPr>
          <w:rFonts w:cs="Arial" w:hint="cs"/>
          <w:rtl/>
        </w:rPr>
        <w:t>,</w:t>
      </w:r>
      <w:r w:rsidRPr="00C256FE">
        <w:rPr>
          <w:rFonts w:cs="Arial"/>
          <w:rtl/>
        </w:rPr>
        <w:t xml:space="preserve"> משום דהזכיר במתנה ליטול כא' מן הזכרים</w:t>
      </w:r>
      <w:r>
        <w:rPr>
          <w:rFonts w:cs="Arial" w:hint="cs"/>
          <w:rtl/>
        </w:rPr>
        <w:t>.</w:t>
      </w:r>
      <w:r w:rsidRPr="00C256FE">
        <w:rPr>
          <w:rFonts w:cs="Arial"/>
          <w:rtl/>
        </w:rPr>
        <w:t xml:space="preserve"> אבל אם צוה בקנין כשהיה בריא ליתן לא</w:t>
      </w:r>
      <w:r>
        <w:rPr>
          <w:rFonts w:cs="Arial" w:hint="cs"/>
          <w:rtl/>
        </w:rPr>
        <w:t>חד</w:t>
      </w:r>
      <w:r w:rsidRPr="00C256FE">
        <w:rPr>
          <w:rFonts w:cs="Arial"/>
          <w:rtl/>
        </w:rPr>
        <w:t xml:space="preserve"> לאחר מותו וכל קנין מעכשיו הוא אם כן קנה המקבל הגוף מיד אין טעם לומר שתטול האשה כתובתה ממתנת ברי</w:t>
      </w:r>
      <w:r>
        <w:rPr>
          <w:rFonts w:cs="Arial" w:hint="cs"/>
          <w:rtl/>
        </w:rPr>
        <w:t>א.</w:t>
      </w:r>
      <w:r w:rsidRPr="00C256FE">
        <w:rPr>
          <w:rFonts w:cs="Arial"/>
          <w:rtl/>
        </w:rPr>
        <w:t xml:space="preserve"> ובמרדכי סי' תר"ל כתב דלא עבדינ</w:t>
      </w:r>
      <w:r>
        <w:rPr>
          <w:rFonts w:cs="Arial" w:hint="cs"/>
          <w:rtl/>
        </w:rPr>
        <w:t>א</w:t>
      </w:r>
      <w:r w:rsidRPr="00C256FE">
        <w:rPr>
          <w:rFonts w:cs="Arial"/>
          <w:rtl/>
        </w:rPr>
        <w:t xml:space="preserve"> עובדא לגבות ממתנת בריא דחיילא מחיים ומשמע אפילו מן היורש ומכ"ש אם נתן במתנת בריא לאחר ומה בכך שלא צוה ליתן לידו עד לאחר מיתה סוף סוף קנו מידו</w:t>
      </w:r>
      <w:r>
        <w:rPr>
          <w:rFonts w:cs="Arial" w:hint="cs"/>
          <w:rtl/>
        </w:rPr>
        <w:t>, ח"מ (סק"ט).</w:t>
      </w:r>
    </w:p>
  </w:footnote>
  <w:footnote w:id="2329">
    <w:p w14:paraId="42CD1260" w14:textId="77777777" w:rsidR="00DF1FC7" w:rsidRDefault="00DF1FC7" w:rsidP="002E5BAD">
      <w:pPr>
        <w:pStyle w:val="a5"/>
      </w:pPr>
      <w:r>
        <w:rPr>
          <w:rStyle w:val="a7"/>
        </w:rPr>
        <w:footnoteRef/>
      </w:r>
      <w:r>
        <w:rPr>
          <w:rtl/>
        </w:rPr>
        <w:t xml:space="preserve"> </w:t>
      </w:r>
      <w:r w:rsidRPr="00334651">
        <w:rPr>
          <w:rFonts w:cs="Arial"/>
          <w:rtl/>
        </w:rPr>
        <w:t>משמע דגובה מן המטלטלין שמכרו</w:t>
      </w:r>
      <w:r>
        <w:rPr>
          <w:rFonts w:cs="Arial" w:hint="cs"/>
          <w:rtl/>
        </w:rPr>
        <w:t>,</w:t>
      </w:r>
      <w:r w:rsidRPr="00334651">
        <w:rPr>
          <w:rFonts w:cs="Arial"/>
          <w:rtl/>
        </w:rPr>
        <w:t xml:space="preserve"> מכ"ש אם נתנו המטלטלין </w:t>
      </w:r>
      <w:r>
        <w:rPr>
          <w:rFonts w:cs="Arial" w:hint="cs"/>
          <w:sz w:val="16"/>
          <w:szCs w:val="16"/>
          <w:rtl/>
        </w:rPr>
        <w:t>(</w:t>
      </w:r>
      <w:r w:rsidRPr="00413A05">
        <w:rPr>
          <w:rFonts w:cs="Arial"/>
          <w:sz w:val="16"/>
          <w:szCs w:val="16"/>
          <w:rtl/>
        </w:rPr>
        <w:t>והרא"ש פרק האומר כת</w:t>
      </w:r>
      <w:r w:rsidRPr="00413A05">
        <w:rPr>
          <w:rFonts w:cs="Arial" w:hint="cs"/>
          <w:sz w:val="16"/>
          <w:szCs w:val="16"/>
          <w:rtl/>
        </w:rPr>
        <w:t>ב</w:t>
      </w:r>
      <w:r w:rsidRPr="00413A05">
        <w:rPr>
          <w:rFonts w:cs="Arial"/>
          <w:sz w:val="16"/>
          <w:szCs w:val="16"/>
          <w:rtl/>
        </w:rPr>
        <w:t xml:space="preserve"> להדיא דאם נתנו היתומים לא גבו והרב בב"ח כתב שהרא"ש לא מיירי רק לענין מזונות אבל לענין כתובה גובה ממה שמכרו היתומי</w:t>
      </w:r>
      <w:r w:rsidRPr="00413A05">
        <w:rPr>
          <w:rFonts w:cs="Arial" w:hint="cs"/>
          <w:sz w:val="16"/>
          <w:szCs w:val="16"/>
          <w:rtl/>
        </w:rPr>
        <w:t>ם</w:t>
      </w:r>
      <w:r w:rsidRPr="00413A05">
        <w:rPr>
          <w:rFonts w:cs="Arial"/>
          <w:sz w:val="16"/>
          <w:szCs w:val="16"/>
          <w:rtl/>
        </w:rPr>
        <w:t xml:space="preserve"> וכן ראיתי בקיצור פסקי הרא"ש ואם נתנו היתומים מוציאין לכתובה ולא מזונו' וכו'</w:t>
      </w:r>
      <w:r w:rsidRPr="00413A05">
        <w:rPr>
          <w:rFonts w:cs="Arial" w:hint="cs"/>
          <w:sz w:val="16"/>
          <w:szCs w:val="16"/>
          <w:rtl/>
        </w:rPr>
        <w:t>)</w:t>
      </w:r>
      <w:r>
        <w:rPr>
          <w:rFonts w:cs="Arial" w:hint="cs"/>
          <w:rtl/>
        </w:rPr>
        <w:t>.</w:t>
      </w:r>
      <w:r w:rsidRPr="00334651">
        <w:rPr>
          <w:rFonts w:cs="Arial"/>
          <w:rtl/>
        </w:rPr>
        <w:t xml:space="preserve"> ובח"מ סי' ק"ז כתב הטור שאם מכרו מטלטלין</w:t>
      </w:r>
      <w:r>
        <w:rPr>
          <w:rFonts w:cs="Arial" w:hint="cs"/>
          <w:rtl/>
        </w:rPr>
        <w:t>,</w:t>
      </w:r>
      <w:r w:rsidRPr="00334651">
        <w:rPr>
          <w:rFonts w:cs="Arial"/>
          <w:rtl/>
        </w:rPr>
        <w:t xml:space="preserve"> ולא שיעבד למלוה מטלטלי</w:t>
      </w:r>
      <w:r>
        <w:rPr>
          <w:rFonts w:cs="Arial" w:hint="cs"/>
          <w:rtl/>
        </w:rPr>
        <w:t>,</w:t>
      </w:r>
      <w:r w:rsidRPr="00334651">
        <w:rPr>
          <w:rFonts w:cs="Arial"/>
          <w:rtl/>
        </w:rPr>
        <w:t xml:space="preserve"> אין יכול לטרוף מן המטלטלין וגם מן הדמים שבידם ע"ש</w:t>
      </w:r>
      <w:r>
        <w:rPr>
          <w:rFonts w:cs="Arial" w:hint="cs"/>
          <w:rtl/>
        </w:rPr>
        <w:t>.</w:t>
      </w:r>
      <w:r w:rsidRPr="00334651">
        <w:rPr>
          <w:rFonts w:cs="Arial"/>
          <w:rtl/>
        </w:rPr>
        <w:t xml:space="preserve"> והרא"ש בתשו' כלל ע"ט סי' י' כתב כי מאחר דק"ל ב"ח מכאן ולהב</w:t>
      </w:r>
      <w:r>
        <w:rPr>
          <w:rFonts w:cs="Arial" w:hint="cs"/>
          <w:rtl/>
        </w:rPr>
        <w:t>א</w:t>
      </w:r>
      <w:r w:rsidRPr="00334651">
        <w:rPr>
          <w:rFonts w:cs="Arial"/>
          <w:rtl/>
        </w:rPr>
        <w:t xml:space="preserve"> גובה</w:t>
      </w:r>
      <w:r>
        <w:rPr>
          <w:rFonts w:cs="Arial" w:hint="cs"/>
          <w:rtl/>
        </w:rPr>
        <w:t>,</w:t>
      </w:r>
      <w:r w:rsidRPr="00334651">
        <w:rPr>
          <w:rFonts w:cs="Arial"/>
          <w:rtl/>
        </w:rPr>
        <w:t xml:space="preserve"> כל מה שמכרו היתומים קודם טריפא שלהם</w:t>
      </w:r>
      <w:r>
        <w:rPr>
          <w:rFonts w:cs="Arial" w:hint="cs"/>
          <w:rtl/>
        </w:rPr>
        <w:t>,</w:t>
      </w:r>
      <w:r w:rsidRPr="00334651">
        <w:rPr>
          <w:rFonts w:cs="Arial"/>
          <w:rtl/>
        </w:rPr>
        <w:t xml:space="preserve"> מכרו</w:t>
      </w:r>
      <w:r>
        <w:rPr>
          <w:rFonts w:cs="Arial" w:hint="cs"/>
          <w:rtl/>
        </w:rPr>
        <w:t>,</w:t>
      </w:r>
      <w:r w:rsidRPr="00334651">
        <w:rPr>
          <w:rFonts w:cs="Arial"/>
          <w:rtl/>
        </w:rPr>
        <w:t xml:space="preserve"> ואין עליהם דין מזיק שעבודו של חבירו</w:t>
      </w:r>
      <w:r>
        <w:rPr>
          <w:rFonts w:cs="Arial" w:hint="cs"/>
          <w:rtl/>
        </w:rPr>
        <w:t>,</w:t>
      </w:r>
      <w:r w:rsidRPr="00334651">
        <w:rPr>
          <w:rFonts w:cs="Arial"/>
          <w:rtl/>
        </w:rPr>
        <w:t xml:space="preserve"> ע"ש</w:t>
      </w:r>
      <w:r>
        <w:rPr>
          <w:rFonts w:cs="Arial" w:hint="cs"/>
          <w:rtl/>
        </w:rPr>
        <w:t>.</w:t>
      </w:r>
      <w:r w:rsidRPr="00334651">
        <w:rPr>
          <w:rFonts w:cs="Arial"/>
          <w:rtl/>
        </w:rPr>
        <w:t xml:space="preserve"> וטעם זה שייך גם גבי מתנה שנתנו היתומים</w:t>
      </w:r>
      <w:r>
        <w:rPr>
          <w:rFonts w:cs="Arial" w:hint="cs"/>
          <w:rtl/>
        </w:rPr>
        <w:t>, ח"מ (סק'"י).</w:t>
      </w:r>
    </w:p>
  </w:footnote>
  <w:footnote w:id="2330">
    <w:p w14:paraId="5046B3AE" w14:textId="77777777" w:rsidR="00DF1FC7" w:rsidRDefault="00DF1FC7" w:rsidP="002E5BAD">
      <w:pPr>
        <w:pStyle w:val="a5"/>
      </w:pPr>
      <w:r>
        <w:rPr>
          <w:rStyle w:val="a7"/>
        </w:rPr>
        <w:footnoteRef/>
      </w:r>
      <w:r>
        <w:rPr>
          <w:rtl/>
        </w:rPr>
        <w:t xml:space="preserve"> </w:t>
      </w:r>
      <w:r w:rsidRPr="00334651">
        <w:rPr>
          <w:rFonts w:cs="Arial"/>
          <w:rtl/>
        </w:rPr>
        <w:t>מדנקט גבי דידי</w:t>
      </w:r>
      <w:r>
        <w:rPr>
          <w:rFonts w:cs="Arial" w:hint="cs"/>
          <w:rtl/>
        </w:rPr>
        <w:t>ה</w:t>
      </w:r>
      <w:r w:rsidRPr="00334651">
        <w:rPr>
          <w:rFonts w:cs="Arial"/>
          <w:rtl/>
        </w:rPr>
        <w:t xml:space="preserve"> שמכר או נתן</w:t>
      </w:r>
      <w:r>
        <w:rPr>
          <w:rFonts w:cs="Arial" w:hint="cs"/>
          <w:rtl/>
        </w:rPr>
        <w:t>,</w:t>
      </w:r>
      <w:r w:rsidRPr="00334651">
        <w:rPr>
          <w:rFonts w:cs="Arial"/>
          <w:rtl/>
        </w:rPr>
        <w:t xml:space="preserve"> וגבי יורשים לא נקט שמכרו או נתנו</w:t>
      </w:r>
      <w:r>
        <w:rPr>
          <w:rFonts w:cs="Arial" w:hint="cs"/>
          <w:rtl/>
        </w:rPr>
        <w:t>.</w:t>
      </w:r>
      <w:r w:rsidRPr="00334651">
        <w:rPr>
          <w:rFonts w:cs="Arial"/>
          <w:rtl/>
        </w:rPr>
        <w:t xml:space="preserve"> משמע דגבי יורשים שנתנו ליכא תקנת השוק</w:t>
      </w:r>
      <w:r>
        <w:rPr>
          <w:rFonts w:cs="Arial" w:hint="cs"/>
          <w:rtl/>
        </w:rPr>
        <w:t>.</w:t>
      </w:r>
      <w:r w:rsidRPr="00334651">
        <w:rPr>
          <w:rFonts w:cs="Arial"/>
          <w:rtl/>
        </w:rPr>
        <w:t xml:space="preserve"> ולא ידעתי למה גבי דידיה שוה מתנה למכר ולא גבי יורשים</w:t>
      </w:r>
      <w:r>
        <w:rPr>
          <w:rFonts w:cs="Arial" w:hint="cs"/>
          <w:rtl/>
        </w:rPr>
        <w:t>.</w:t>
      </w:r>
      <w:r w:rsidRPr="00334651">
        <w:rPr>
          <w:rFonts w:cs="Arial"/>
          <w:rtl/>
        </w:rPr>
        <w:t xml:space="preserve"> ועיין בח"מ סי' ס' בב"י</w:t>
      </w:r>
      <w:r>
        <w:rPr>
          <w:rFonts w:cs="Arial" w:hint="cs"/>
          <w:rtl/>
        </w:rPr>
        <w:t>.</w:t>
      </w:r>
      <w:r w:rsidRPr="00334651">
        <w:rPr>
          <w:rFonts w:cs="Arial"/>
          <w:rtl/>
        </w:rPr>
        <w:t xml:space="preserve"> ואפשר דאם נתנו היתומים המטלטלין יש לחוש דכל היתומים יעשו</w:t>
      </w:r>
      <w:r>
        <w:rPr>
          <w:rFonts w:cs="Arial" w:hint="cs"/>
          <w:rtl/>
        </w:rPr>
        <w:t>,</w:t>
      </w:r>
      <w:r w:rsidRPr="00334651">
        <w:rPr>
          <w:rFonts w:cs="Arial"/>
          <w:rtl/>
        </w:rPr>
        <w:t xml:space="preserve"> כן ומה הועילו הגאונים בתקנתן</w:t>
      </w:r>
      <w:r>
        <w:rPr>
          <w:rFonts w:cs="Arial" w:hint="cs"/>
          <w:rtl/>
        </w:rPr>
        <w:t>.</w:t>
      </w:r>
      <w:r w:rsidRPr="00334651">
        <w:rPr>
          <w:rFonts w:cs="Arial"/>
          <w:rtl/>
        </w:rPr>
        <w:t xml:space="preserve"> ואם גובה מן הדמים שביד היתומים אם מכרו הנכסים עיין בח"מ מחלוק' רב האי והרא"ש בסי' ק"ז</w:t>
      </w:r>
      <w:r>
        <w:rPr>
          <w:rFonts w:cs="Arial" w:hint="cs"/>
          <w:rtl/>
        </w:rPr>
        <w:t>, ח"מ (סקי"א).</w:t>
      </w:r>
    </w:p>
  </w:footnote>
  <w:footnote w:id="2331">
    <w:p w14:paraId="43680D00" w14:textId="77777777" w:rsidR="00DF1FC7" w:rsidRDefault="00DF1FC7" w:rsidP="002E5BAD">
      <w:pPr>
        <w:pStyle w:val="a5"/>
        <w:rPr>
          <w:rtl/>
        </w:rPr>
      </w:pPr>
      <w:r>
        <w:rPr>
          <w:rStyle w:val="a7"/>
        </w:rPr>
        <w:footnoteRef/>
      </w:r>
      <w:r>
        <w:rPr>
          <w:rtl/>
        </w:rPr>
        <w:t xml:space="preserve"> </w:t>
      </w:r>
      <w:r w:rsidRPr="007D572F">
        <w:rPr>
          <w:rFonts w:cs="Arial"/>
          <w:rtl/>
        </w:rPr>
        <w:t>כ"כ ע"פ תשובת הרא"ש כמ"ש בח"ה סי' ס' וכבר כתבתי בסמוך דעת הרשב"א בזה ונראה לכ"ע אם כ' לה מטלטלין אג"ק ועדיין בידה המטלטלין והוא מכר או נתן לאחר א"צ ליתן להם ובכה"ג לא שייך תקנות השוק כיון דעדיין בידה המטלטלין</w:t>
      </w:r>
      <w:r>
        <w:rPr>
          <w:rFonts w:hint="cs"/>
          <w:rtl/>
        </w:rPr>
        <w:t>, ב"ש (סק"ט).</w:t>
      </w:r>
    </w:p>
  </w:footnote>
  <w:footnote w:id="2332">
    <w:p w14:paraId="09C79D55" w14:textId="77777777" w:rsidR="00DF1FC7" w:rsidRDefault="00DF1FC7" w:rsidP="002E5BAD">
      <w:pPr>
        <w:pStyle w:val="a5"/>
      </w:pPr>
      <w:r>
        <w:rPr>
          <w:rStyle w:val="a7"/>
        </w:rPr>
        <w:footnoteRef/>
      </w:r>
      <w:r>
        <w:rPr>
          <w:rtl/>
        </w:rPr>
        <w:t xml:space="preserve"> </w:t>
      </w:r>
      <w:r w:rsidRPr="00413A05">
        <w:rPr>
          <w:rFonts w:cs="Arial"/>
          <w:rtl/>
        </w:rPr>
        <w:t>כלו' אפילו שבח דממילא כגון אם נתיקרו הנכסים או עלו בה אילנו' ומכ"ש מה שהשביחו היורשים והלקוחות ע"י הוצאה וטרחא שלהם ואם השביחה האלמנה עיין לעיל סי' צ"ה כמה חלוקים בזה</w:t>
      </w:r>
      <w:r>
        <w:rPr>
          <w:rFonts w:cs="Arial" w:hint="cs"/>
          <w:rtl/>
        </w:rPr>
        <w:t>, ח"מ (סקי"ב).</w:t>
      </w:r>
      <w:r w:rsidRPr="00795280">
        <w:rPr>
          <w:rtl/>
        </w:rPr>
        <w:t xml:space="preserve"> </w:t>
      </w:r>
      <w:r w:rsidRPr="00795280">
        <w:rPr>
          <w:rFonts w:cs="Arial"/>
          <w:rtl/>
        </w:rPr>
        <w:t xml:space="preserve">ועיין בס' ב"מ שכ' דהוא תמוה דודאי לא גרעה מבכור (בח"מ סי' רעח ס"ו) וגביא משבחא דממילא דלא נשתנה כגון ארעא ואסקה שרטון או דיקלא ואלים ומכ"ש נתיקרה כדמוכח בבכורות </w:t>
      </w:r>
      <w:r>
        <w:rPr>
          <w:rFonts w:cs="Arial" w:hint="cs"/>
          <w:rtl/>
        </w:rPr>
        <w:t>(</w:t>
      </w:r>
      <w:r w:rsidRPr="00795280">
        <w:rPr>
          <w:rFonts w:cs="Arial"/>
          <w:rtl/>
        </w:rPr>
        <w:t>נב</w:t>
      </w:r>
      <w:r>
        <w:rPr>
          <w:rFonts w:cs="Arial" w:hint="cs"/>
          <w:rtl/>
        </w:rPr>
        <w:t>.)</w:t>
      </w:r>
      <w:r w:rsidRPr="00795280">
        <w:rPr>
          <w:rFonts w:cs="Arial"/>
          <w:rtl/>
        </w:rPr>
        <w:t xml:space="preserve"> כו'</w:t>
      </w:r>
      <w:r>
        <w:rPr>
          <w:rFonts w:cs="Arial" w:hint="cs"/>
          <w:rtl/>
        </w:rPr>
        <w:t>.</w:t>
      </w:r>
      <w:r w:rsidRPr="00795280">
        <w:rPr>
          <w:rFonts w:cs="Arial"/>
          <w:rtl/>
        </w:rPr>
        <w:t xml:space="preserve"> וכן מצאתי להדיא בש"ך </w:t>
      </w:r>
      <w:r>
        <w:rPr>
          <w:rFonts w:cs="Arial" w:hint="cs"/>
          <w:rtl/>
        </w:rPr>
        <w:t>(</w:t>
      </w:r>
      <w:r w:rsidRPr="00795280">
        <w:rPr>
          <w:rFonts w:cs="Arial"/>
          <w:rtl/>
        </w:rPr>
        <w:t>ח</w:t>
      </w:r>
      <w:r>
        <w:rPr>
          <w:rFonts w:cs="Arial" w:hint="cs"/>
          <w:rtl/>
        </w:rPr>
        <w:t>ו</w:t>
      </w:r>
      <w:r w:rsidRPr="00795280">
        <w:rPr>
          <w:rFonts w:cs="Arial"/>
          <w:rtl/>
        </w:rPr>
        <w:t>"מ סי' קטו ססקל"ב</w:t>
      </w:r>
      <w:r>
        <w:rPr>
          <w:rFonts w:cs="Arial" w:hint="cs"/>
          <w:rtl/>
        </w:rPr>
        <w:t>)</w:t>
      </w:r>
      <w:r w:rsidRPr="00795280">
        <w:rPr>
          <w:rFonts w:cs="Arial"/>
          <w:rtl/>
        </w:rPr>
        <w:t xml:space="preserve"> שכ' וז"ל דהא אפילו בכור וכתובת אשה גובה משבח דנתיקרה לכ"ע עכ"ל ועיין בת' נו"ב חח"מ סי' ט'</w:t>
      </w:r>
      <w:r>
        <w:rPr>
          <w:rFonts w:hint="cs"/>
          <w:rtl/>
        </w:rPr>
        <w:t>, פת"ש (סק"ה).</w:t>
      </w:r>
    </w:p>
  </w:footnote>
  <w:footnote w:id="2333">
    <w:p w14:paraId="49EB81AC" w14:textId="77777777" w:rsidR="00DF1FC7" w:rsidRDefault="00DF1FC7" w:rsidP="002E5BAD">
      <w:pPr>
        <w:pStyle w:val="a5"/>
      </w:pPr>
      <w:r>
        <w:rPr>
          <w:rStyle w:val="a7"/>
        </w:rPr>
        <w:footnoteRef/>
      </w:r>
      <w:r>
        <w:rPr>
          <w:rtl/>
        </w:rPr>
        <w:t xml:space="preserve"> </w:t>
      </w:r>
      <w:r w:rsidRPr="00795280">
        <w:rPr>
          <w:rFonts w:cs="Arial"/>
          <w:rtl/>
        </w:rPr>
        <w:t xml:space="preserve">עבה"ט </w:t>
      </w:r>
      <w:r>
        <w:rPr>
          <w:rFonts w:cs="Arial" w:hint="cs"/>
          <w:rtl/>
        </w:rPr>
        <w:t xml:space="preserve">(סק"י) </w:t>
      </w:r>
      <w:r w:rsidRPr="00795280">
        <w:rPr>
          <w:rFonts w:cs="Arial"/>
          <w:rtl/>
        </w:rPr>
        <w:t>שכ' אפי' מבעל עצמו מהרי"ו סי' מ'. ועיין בס' ב"מ שכ' דאף שמבואר שם הכי מ"מ לע"ד בכיון גדול השמיט הרמ"א ז"ל דברים אלו כי המה תמוהים כו' ע"ש</w:t>
      </w:r>
      <w:r>
        <w:rPr>
          <w:rFonts w:cs="Arial" w:hint="cs"/>
          <w:rtl/>
        </w:rPr>
        <w:t>, פת"ש (סק"ו).</w:t>
      </w:r>
    </w:p>
  </w:footnote>
  <w:footnote w:id="2334">
    <w:p w14:paraId="6ADA7B5F" w14:textId="77777777" w:rsidR="00DF1FC7" w:rsidRDefault="00DF1FC7" w:rsidP="002E5BAD">
      <w:pPr>
        <w:pStyle w:val="a5"/>
      </w:pPr>
      <w:r>
        <w:rPr>
          <w:rStyle w:val="a7"/>
        </w:rPr>
        <w:footnoteRef/>
      </w:r>
      <w:r>
        <w:rPr>
          <w:rtl/>
        </w:rPr>
        <w:t xml:space="preserve"> </w:t>
      </w:r>
      <w:r w:rsidRPr="00413A05">
        <w:rPr>
          <w:rFonts w:cs="Arial"/>
          <w:rtl/>
        </w:rPr>
        <w:t>לאו דוקא נקט הרב מהרי"ו</w:t>
      </w:r>
      <w:r>
        <w:rPr>
          <w:rFonts w:cs="Arial" w:hint="cs"/>
          <w:rtl/>
        </w:rPr>
        <w:t>...</w:t>
      </w:r>
      <w:r w:rsidRPr="00413A05">
        <w:rPr>
          <w:rFonts w:cs="Arial"/>
          <w:rtl/>
        </w:rPr>
        <w:t xml:space="preserve"> לפרוע לאחר שנתים</w:t>
      </w:r>
      <w:r>
        <w:rPr>
          <w:rFonts w:cs="Arial" w:hint="cs"/>
          <w:rtl/>
        </w:rPr>
        <w:t>,</w:t>
      </w:r>
      <w:r w:rsidRPr="00413A05">
        <w:rPr>
          <w:rFonts w:cs="Arial"/>
          <w:rtl/>
        </w:rPr>
        <w:t xml:space="preserve"> רק דקושטא דמילתא נקט שמעשה כך היה שם אבל לדינא אף שצוה ליתן לבנו מתנה מיד ומת הבן ולא גבה הוה ליה כשכר פעול' ומיקרי ראוי</w:t>
      </w:r>
      <w:r>
        <w:rPr>
          <w:rFonts w:cs="Arial" w:hint="cs"/>
          <w:rtl/>
        </w:rPr>
        <w:t>, ח"מ (סקי"ג).</w:t>
      </w:r>
    </w:p>
  </w:footnote>
  <w:footnote w:id="2335">
    <w:p w14:paraId="5ABBEE2F" w14:textId="77777777" w:rsidR="00DF1FC7" w:rsidRDefault="00DF1FC7" w:rsidP="002E5BAD">
      <w:pPr>
        <w:pStyle w:val="a5"/>
      </w:pPr>
      <w:r>
        <w:rPr>
          <w:rStyle w:val="a7"/>
        </w:rPr>
        <w:footnoteRef/>
      </w:r>
      <w:r>
        <w:rPr>
          <w:rtl/>
        </w:rPr>
        <w:t xml:space="preserve"> </w:t>
      </w:r>
      <w:r w:rsidRPr="00B67DE7">
        <w:rPr>
          <w:rFonts w:cs="Arial"/>
          <w:rtl/>
        </w:rPr>
        <w:t>כלומר אפי' מת יעקב קודם ראובן ומכ"ש מת ראובן תחלה דפשיטא דהוי נכסי יעקב ראוי</w:t>
      </w:r>
      <w:r>
        <w:rPr>
          <w:rFonts w:cs="Arial" w:hint="cs"/>
          <w:rtl/>
        </w:rPr>
        <w:t>, ח"מ (סקט"ו).</w:t>
      </w:r>
    </w:p>
  </w:footnote>
  <w:footnote w:id="2336">
    <w:p w14:paraId="76AD78E2" w14:textId="77777777" w:rsidR="00DF1FC7" w:rsidRDefault="00DF1FC7" w:rsidP="002E5BAD">
      <w:pPr>
        <w:pStyle w:val="a5"/>
        <w:rPr>
          <w:rtl/>
        </w:rPr>
      </w:pPr>
      <w:r>
        <w:rPr>
          <w:rStyle w:val="a7"/>
        </w:rPr>
        <w:footnoteRef/>
      </w:r>
      <w:r>
        <w:rPr>
          <w:rtl/>
        </w:rPr>
        <w:t xml:space="preserve"> </w:t>
      </w:r>
      <w:r w:rsidRPr="00B67DE7">
        <w:rPr>
          <w:rFonts w:cs="Arial"/>
          <w:rtl/>
        </w:rPr>
        <w:t>משמע אף שלאחר שמת ראובן מתה ג"כ אלמנת יעקב אפ"ה מיקרי ראוי דהכל תלוי בשעת מיתת ראובן ודוקא לענין כתובה מקרי ראוי לגבי אשת ראובן הואיל והנכסים היו משועבדי' לאלמנת יעקב לכתובה ולמזונות וכתובת אלמנת יעקב מבטל כתובת אלמנת ראובן אבל לענין ירושת הבעל כגון אם מת יעקב בחיי דינה בתו ואח"כ מתה דינה אזי בעלה של דינה יורש אותה מה שירשה מיעקב אביה אף שהיו הנכסים משועבדים לאלמנת יעקב אפ"ה נקראים הנכסים מוחזקי' לבת כמו שפסק לעיל בסי' צ' סעיף ח' והטעם מבואר בתשובת מהרי"ל</w:t>
      </w:r>
      <w:r>
        <w:rPr>
          <w:rFonts w:cs="Arial" w:hint="cs"/>
          <w:rtl/>
        </w:rPr>
        <w:t xml:space="preserve"> (שם)...</w:t>
      </w:r>
      <w:r>
        <w:rPr>
          <w:rFonts w:hint="cs"/>
          <w:rtl/>
        </w:rPr>
        <w:t>, ח"מ (סקט"ז).</w:t>
      </w:r>
    </w:p>
  </w:footnote>
  <w:footnote w:id="2337">
    <w:p w14:paraId="780360F2" w14:textId="77777777" w:rsidR="00DF1FC7" w:rsidRDefault="00DF1FC7" w:rsidP="002E5BAD">
      <w:pPr>
        <w:pStyle w:val="a5"/>
      </w:pPr>
      <w:r>
        <w:rPr>
          <w:rStyle w:val="a7"/>
        </w:rPr>
        <w:footnoteRef/>
      </w:r>
      <w:r>
        <w:rPr>
          <w:rtl/>
        </w:rPr>
        <w:t xml:space="preserve"> </w:t>
      </w:r>
      <w:r w:rsidRPr="00416DF6">
        <w:rPr>
          <w:rFonts w:cs="Arial"/>
          <w:rtl/>
        </w:rPr>
        <w:t>זה לשון מהר"מ אלמנה שמת חמיה קודם בעלה אין לה לגבות כתובתה מנכסי חמיה מחלק ירושת הבעל דכיון דחמיה הניח אלמנה וק"ל הלכה כאנשי גליל (דניזונית האלמנה בע"כ של היתומים כמבואר לעיל ריש סי' צ"ה בחלק' מחוקק) הוי להו כל נכסי חמיה ראוי לגבי בעלה ואינה נוטל' בראוי ואפי' יש במוחזק יותר על כתובת חמותה משמע במקום שק"ל כאנשי יהודה (דביד היורשים לסלק' בעל כרח' וכמבואר ג"כ לעיל ריש סי' צ"ה) אי יש במוחזק יותר על כתובת חמותה גובה כתובתה מן המותר אבל מה שכנגד כתובת חמותה ודאי הוי ראוי אף אם מתה חמות' דכתוב' מבטל כתובה וכמ"ש לעיל בס"ק לפני זה ובב"ח השיג כאן על דברי הרב ואין דבריו ברורים וכדברי הרב מוכח במרדכי פ' נערה וכמו שהעתקתי לעיל לשונו</w:t>
      </w:r>
      <w:r>
        <w:rPr>
          <w:rFonts w:cs="Arial" w:hint="cs"/>
          <w:rtl/>
        </w:rPr>
        <w:t>, ח"מ (סקי"ז).</w:t>
      </w:r>
    </w:p>
  </w:footnote>
  <w:footnote w:id="2338">
    <w:p w14:paraId="34AB2504" w14:textId="77777777" w:rsidR="00DF1FC7" w:rsidRDefault="00DF1FC7" w:rsidP="002E5BAD">
      <w:pPr>
        <w:pStyle w:val="a5"/>
      </w:pPr>
      <w:r>
        <w:rPr>
          <w:rStyle w:val="a7"/>
        </w:rPr>
        <w:footnoteRef/>
      </w:r>
      <w:r>
        <w:rPr>
          <w:rtl/>
        </w:rPr>
        <w:t xml:space="preserve"> </w:t>
      </w:r>
      <w:r w:rsidRPr="00416DF6">
        <w:rPr>
          <w:rFonts w:cs="Arial"/>
          <w:rtl/>
        </w:rPr>
        <w:t>ומיירי דלא נתייאש מן הגניבה וכן הוא במרדכי וכן הוא בתשו' מהרי"ל הנ"ל וכי מייאש הוי ראוי אף על גב שהי' מוחזק נעשה ראוי וע' עוד במרדכי על אשה שמת בעלה והניח לבנו גוף הבית ולאלמנתו הפירות ומת הבן בחיי אמו נקרא הבן מוחזק בבית ואשת הבן גובה כתובתה מן הבית וכן עשו מעשה בקלוני'</w:t>
      </w:r>
      <w:r>
        <w:rPr>
          <w:rFonts w:cs="Arial" w:hint="cs"/>
          <w:rtl/>
        </w:rPr>
        <w:t>, ח"מ (סקי"ח).</w:t>
      </w:r>
    </w:p>
  </w:footnote>
  <w:footnote w:id="2339">
    <w:p w14:paraId="24B7E318" w14:textId="77777777" w:rsidR="00DF1FC7" w:rsidRDefault="00DF1FC7" w:rsidP="002E5BAD">
      <w:pPr>
        <w:pStyle w:val="a5"/>
      </w:pPr>
      <w:r>
        <w:rPr>
          <w:rStyle w:val="a7"/>
        </w:rPr>
        <w:footnoteRef/>
      </w:r>
      <w:r>
        <w:rPr>
          <w:rtl/>
        </w:rPr>
        <w:t xml:space="preserve"> </w:t>
      </w:r>
      <w:r w:rsidRPr="00416DF6">
        <w:rPr>
          <w:rFonts w:cs="Arial"/>
          <w:rtl/>
        </w:rPr>
        <w:t>לעיל סי' צ לענין ירושת הבעל לא הוי מלוה שלה מוחזק לגבי דידי' וכן לענין בכור מבואר בח"מ סי' רע"ח דאין הבכור נוטל פי שנים במלוה אפילו בשטר אף על פי שגבו קרקע בחוב אביהם מ"מ כתובה עדיפא לענין זה ומקרי מוחזק לגבי כתובת אשה וב"ח משום דמשתעבדא להו מחיים מדר' נתן וע' בב"י שהעתיק דברי הרא"ש ודוקא מלוה שחייבים לבעל אבל מלוה שירש הבעל ממורישיו ולא בא עדיין לידו ולא היה בידו מעולם מיקרי ראוי לענין כתובה וע' בתשוב' מהרי"ו סי' מ'</w:t>
      </w:r>
      <w:r>
        <w:rPr>
          <w:rFonts w:cs="Arial" w:hint="cs"/>
          <w:rtl/>
        </w:rPr>
        <w:t>, ח"מ (סקי"ט).</w:t>
      </w:r>
    </w:p>
  </w:footnote>
  <w:footnote w:id="2340">
    <w:p w14:paraId="3D8FE4FD" w14:textId="77777777" w:rsidR="00DF1FC7" w:rsidRDefault="00DF1FC7" w:rsidP="002E5BAD">
      <w:pPr>
        <w:pStyle w:val="a5"/>
      </w:pPr>
      <w:r>
        <w:rPr>
          <w:rStyle w:val="a7"/>
        </w:rPr>
        <w:footnoteRef/>
      </w:r>
      <w:r>
        <w:rPr>
          <w:rtl/>
        </w:rPr>
        <w:t xml:space="preserve"> </w:t>
      </w:r>
      <w:r w:rsidRPr="00416DF6">
        <w:rPr>
          <w:rFonts w:cs="Arial"/>
          <w:rtl/>
        </w:rPr>
        <w:t>כלומר ונגבין מן הבינונים ולענין שבח דינו כמו שנתבאר בח"מ סי' קט"ו בדין ראוי אצל ב"ח ע' בח"מ סי' ק"ד ובסי' ק"ז ובסי' קי"א ובתשוב' מהרש"ל מה שנחלק עם הרב מהרמ"א בדין ראוי ואין כאן מקום להאריך מה ששייך לח"מ</w:t>
      </w:r>
      <w:r>
        <w:rPr>
          <w:rFonts w:cs="Arial" w:hint="cs"/>
          <w:rtl/>
        </w:rPr>
        <w:t>, ח"מ (סק"כ).</w:t>
      </w:r>
    </w:p>
  </w:footnote>
  <w:footnote w:id="2341">
    <w:p w14:paraId="54508C82" w14:textId="77777777" w:rsidR="00DF1FC7" w:rsidRDefault="00DF1FC7" w:rsidP="002E5BAD">
      <w:pPr>
        <w:pStyle w:val="a5"/>
      </w:pPr>
      <w:r>
        <w:rPr>
          <w:rStyle w:val="a7"/>
        </w:rPr>
        <w:footnoteRef/>
      </w:r>
      <w:r>
        <w:rPr>
          <w:rtl/>
        </w:rPr>
        <w:t xml:space="preserve"> </w:t>
      </w:r>
      <w:r w:rsidRPr="006E41F4">
        <w:rPr>
          <w:rFonts w:cs="Arial"/>
          <w:rtl/>
        </w:rPr>
        <w:t>דטעמ</w:t>
      </w:r>
      <w:r>
        <w:rPr>
          <w:rFonts w:cs="Arial" w:hint="cs"/>
          <w:rtl/>
        </w:rPr>
        <w:t>א</w:t>
      </w:r>
      <w:r w:rsidRPr="006E41F4">
        <w:rPr>
          <w:rFonts w:cs="Arial"/>
          <w:rtl/>
        </w:rPr>
        <w:t xml:space="preserve"> דב</w:t>
      </w:r>
      <w:r>
        <w:rPr>
          <w:rFonts w:cs="Arial" w:hint="cs"/>
          <w:rtl/>
        </w:rPr>
        <w:t>ע"</w:t>
      </w:r>
      <w:r w:rsidRPr="006E41F4">
        <w:rPr>
          <w:rFonts w:cs="Arial"/>
          <w:rtl/>
        </w:rPr>
        <w:t>ח בבינונית משום נעילת דלת</w:t>
      </w:r>
      <w:r>
        <w:rPr>
          <w:rFonts w:cs="Arial" w:hint="cs"/>
          <w:rtl/>
        </w:rPr>
        <w:t>,</w:t>
      </w:r>
      <w:r w:rsidRPr="006E41F4">
        <w:rPr>
          <w:rFonts w:cs="Arial"/>
          <w:rtl/>
        </w:rPr>
        <w:t xml:space="preserve"> וזה לא שייך באשה ואדינא מוקמינן דכל ב</w:t>
      </w:r>
      <w:r>
        <w:rPr>
          <w:rFonts w:cs="Arial" w:hint="cs"/>
          <w:rtl/>
        </w:rPr>
        <w:t>ע</w:t>
      </w:r>
      <w:r w:rsidRPr="006E41F4">
        <w:rPr>
          <w:rFonts w:cs="Arial"/>
          <w:rtl/>
        </w:rPr>
        <w:t>"ח מן התורה בזיבורית</w:t>
      </w:r>
      <w:r>
        <w:rPr>
          <w:rFonts w:cs="Arial" w:hint="cs"/>
          <w:rtl/>
        </w:rPr>
        <w:t>.</w:t>
      </w:r>
      <w:r w:rsidRPr="006E41F4">
        <w:rPr>
          <w:rFonts w:cs="Arial"/>
          <w:rtl/>
        </w:rPr>
        <w:t xml:space="preserve"> והדעה הראשונה סוברת דאף דק"ל דיותר משהאיש רוצה לישא האשה רוצה להנשא היינו לענין מה שהבעל נותן לה משלו אבל במה שהביאה מביתה אם תוציאנה בזיבורית ממנעי ולא נסבי</w:t>
      </w:r>
      <w:r>
        <w:rPr>
          <w:rFonts w:cs="Arial" w:hint="cs"/>
          <w:rtl/>
        </w:rPr>
        <w:t>.</w:t>
      </w:r>
      <w:r w:rsidRPr="006E41F4">
        <w:rPr>
          <w:rFonts w:cs="Arial"/>
          <w:rtl/>
        </w:rPr>
        <w:t xml:space="preserve"> וכתב הר"ן שלזה הדעת נוטה</w:t>
      </w:r>
      <w:r>
        <w:rPr>
          <w:rFonts w:cs="Arial" w:hint="cs"/>
          <w:rtl/>
        </w:rPr>
        <w:t>.</w:t>
      </w:r>
      <w:r w:rsidRPr="006E41F4">
        <w:rPr>
          <w:rFonts w:cs="Arial"/>
          <w:rtl/>
        </w:rPr>
        <w:t xml:space="preserve"> גם המ"מ הביא שני הדעות פט"ז מה"א וכ' שמן הירוש</w:t>
      </w:r>
      <w:r>
        <w:rPr>
          <w:rFonts w:cs="Arial" w:hint="cs"/>
          <w:rtl/>
        </w:rPr>
        <w:t>למי</w:t>
      </w:r>
      <w:r w:rsidRPr="006E41F4">
        <w:rPr>
          <w:rFonts w:cs="Arial"/>
          <w:rtl/>
        </w:rPr>
        <w:t xml:space="preserve"> נראה דנצ"ב בבינונית</w:t>
      </w:r>
      <w:r>
        <w:rPr>
          <w:rFonts w:cs="Arial" w:hint="cs"/>
          <w:rtl/>
        </w:rPr>
        <w:t>, ח"מ (סקכ"א).</w:t>
      </w:r>
    </w:p>
  </w:footnote>
  <w:footnote w:id="2342">
    <w:p w14:paraId="312B45D2" w14:textId="77777777" w:rsidR="00DF1FC7" w:rsidRDefault="00DF1FC7" w:rsidP="002E5BAD">
      <w:pPr>
        <w:pStyle w:val="a5"/>
        <w:rPr>
          <w:rtl/>
        </w:rPr>
      </w:pPr>
      <w:r>
        <w:rPr>
          <w:rStyle w:val="a7"/>
        </w:rPr>
        <w:footnoteRef/>
      </w:r>
      <w:r>
        <w:rPr>
          <w:rFonts w:hint="cs"/>
          <w:rtl/>
        </w:rPr>
        <w:t xml:space="preserve"> </w:t>
      </w:r>
      <w:r>
        <w:rPr>
          <w:rFonts w:cs="Arial"/>
          <w:rtl/>
        </w:rPr>
        <w:t>ראיית עדים או שטר תועיל לו לקיים מכירתה דאם מכרה לו אשתו נכסי מלוג שלה קנה</w:t>
      </w:r>
      <w:r>
        <w:rPr>
          <w:rFonts w:hint="cs"/>
          <w:rtl/>
        </w:rPr>
        <w:t>, רשב"ם.</w:t>
      </w:r>
    </w:p>
  </w:footnote>
  <w:footnote w:id="2343">
    <w:p w14:paraId="64226706" w14:textId="77777777" w:rsidR="00DF1FC7" w:rsidRDefault="00DF1FC7" w:rsidP="002E5BAD">
      <w:pPr>
        <w:pStyle w:val="a5"/>
        <w:rPr>
          <w:rtl/>
        </w:rPr>
      </w:pPr>
      <w:r>
        <w:rPr>
          <w:rStyle w:val="a7"/>
        </w:rPr>
        <w:footnoteRef/>
      </w:r>
      <w:r>
        <w:rPr>
          <w:rFonts w:hint="cs"/>
          <w:rtl/>
        </w:rPr>
        <w:t xml:space="preserve"> </w:t>
      </w:r>
      <w:r>
        <w:rPr>
          <w:rFonts w:cs="Arial"/>
          <w:rtl/>
        </w:rPr>
        <w:t>שמכרתי לו שלא יכעוס עלי אבל לא היה בדעתי להקנותו</w:t>
      </w:r>
      <w:r>
        <w:rPr>
          <w:rFonts w:hint="cs"/>
          <w:rtl/>
        </w:rPr>
        <w:t>, רשב"ם.</w:t>
      </w:r>
    </w:p>
  </w:footnote>
  <w:footnote w:id="2344">
    <w:p w14:paraId="16D733F0" w14:textId="77777777" w:rsidR="00DF1FC7" w:rsidRDefault="00DF1FC7" w:rsidP="002E5BAD">
      <w:pPr>
        <w:pStyle w:val="a5"/>
        <w:rPr>
          <w:rtl/>
        </w:rPr>
      </w:pPr>
      <w:r>
        <w:rPr>
          <w:rStyle w:val="a7"/>
        </w:rPr>
        <w:footnoteRef/>
      </w:r>
      <w:r>
        <w:rPr>
          <w:rFonts w:hint="cs"/>
          <w:rtl/>
        </w:rPr>
        <w:t xml:space="preserve"> </w:t>
      </w:r>
      <w:r>
        <w:rPr>
          <w:rFonts w:cs="Arial"/>
          <w:rtl/>
        </w:rPr>
        <w:t>דכי הך טענה יכולה אשה שתטעון לאחרים שקנו מבעלה וכל שכן שמכרה לבעל עצמו</w:t>
      </w:r>
      <w:r>
        <w:rPr>
          <w:rFonts w:hint="cs"/>
          <w:rtl/>
        </w:rPr>
        <w:t>, רשב"ם.</w:t>
      </w:r>
    </w:p>
  </w:footnote>
  <w:footnote w:id="2345">
    <w:p w14:paraId="58F04119" w14:textId="77777777" w:rsidR="00DF1FC7" w:rsidRDefault="00DF1FC7" w:rsidP="002E5BAD">
      <w:pPr>
        <w:pStyle w:val="a5"/>
        <w:rPr>
          <w:rtl/>
        </w:rPr>
      </w:pPr>
      <w:r>
        <w:rPr>
          <w:rStyle w:val="a7"/>
        </w:rPr>
        <w:footnoteRef/>
      </w:r>
      <w:r>
        <w:rPr>
          <w:rFonts w:hint="cs"/>
          <w:rtl/>
        </w:rPr>
        <w:t xml:space="preserve"> </w:t>
      </w:r>
      <w:r>
        <w:rPr>
          <w:rFonts w:cs="Arial"/>
          <w:rtl/>
        </w:rPr>
        <w:t>מן הבעל כל קרקעותיו משועבדים לכתובת אשתו והיום או למחר אם ימות או יגרשנה תטרוף מלקוחות אם לא תמצא בני חורין</w:t>
      </w:r>
      <w:r>
        <w:rPr>
          <w:rFonts w:hint="cs"/>
          <w:rtl/>
        </w:rPr>
        <w:t>, רשב"ם.</w:t>
      </w:r>
    </w:p>
  </w:footnote>
  <w:footnote w:id="2346">
    <w:p w14:paraId="13FE3DCB" w14:textId="77777777" w:rsidR="00DF1FC7" w:rsidRDefault="00DF1FC7" w:rsidP="002E5BAD">
      <w:pPr>
        <w:pStyle w:val="a5"/>
        <w:rPr>
          <w:rtl/>
        </w:rPr>
      </w:pPr>
      <w:r>
        <w:rPr>
          <w:rStyle w:val="a7"/>
        </w:rPr>
        <w:footnoteRef/>
      </w:r>
      <w:r>
        <w:rPr>
          <w:rFonts w:hint="cs"/>
          <w:rtl/>
        </w:rPr>
        <w:t xml:space="preserve"> </w:t>
      </w:r>
      <w:r>
        <w:rPr>
          <w:rFonts w:cs="Arial"/>
          <w:rtl/>
        </w:rPr>
        <w:t>זה הלוקח</w:t>
      </w:r>
      <w:r>
        <w:rPr>
          <w:rFonts w:hint="cs"/>
          <w:rtl/>
        </w:rPr>
        <w:t>, רשב"ם.</w:t>
      </w:r>
    </w:p>
  </w:footnote>
  <w:footnote w:id="2347">
    <w:p w14:paraId="1B9542D4" w14:textId="77777777" w:rsidR="00DF1FC7" w:rsidRDefault="00DF1FC7" w:rsidP="002E5BAD">
      <w:pPr>
        <w:pStyle w:val="a5"/>
        <w:rPr>
          <w:rtl/>
        </w:rPr>
      </w:pPr>
      <w:r>
        <w:rPr>
          <w:rStyle w:val="a7"/>
        </w:rPr>
        <w:footnoteRef/>
      </w:r>
      <w:r>
        <w:rPr>
          <w:rFonts w:hint="cs"/>
          <w:rtl/>
        </w:rPr>
        <w:t xml:space="preserve"> </w:t>
      </w:r>
      <w:r>
        <w:rPr>
          <w:rFonts w:cs="Arial"/>
          <w:rtl/>
        </w:rPr>
        <w:t>נתן לה דבר מועט והקנתו לו כדי שלא תטרוף ממנו חוב כתובתה</w:t>
      </w:r>
      <w:r>
        <w:rPr>
          <w:rFonts w:hint="cs"/>
          <w:rtl/>
        </w:rPr>
        <w:t>, רשב"ם.</w:t>
      </w:r>
    </w:p>
  </w:footnote>
  <w:footnote w:id="2348">
    <w:p w14:paraId="48318DB1" w14:textId="77777777" w:rsidR="00DF1FC7" w:rsidRDefault="00DF1FC7" w:rsidP="002E5BAD">
      <w:pPr>
        <w:pStyle w:val="a5"/>
        <w:rPr>
          <w:rtl/>
        </w:rPr>
      </w:pPr>
      <w:r>
        <w:rPr>
          <w:rStyle w:val="a7"/>
        </w:rPr>
        <w:footnoteRef/>
      </w:r>
      <w:r>
        <w:rPr>
          <w:rFonts w:hint="cs"/>
          <w:rtl/>
        </w:rPr>
        <w:t xml:space="preserve"> </w:t>
      </w:r>
      <w:r>
        <w:rPr>
          <w:rFonts w:cs="Arial"/>
          <w:rtl/>
        </w:rPr>
        <w:t>לא בטל ממש שכל זמן שיחיה הבעל יאכל זה הלוקח פירות אלא האי מקחו בטל אחזר ולקח מן האשה קאי דהוי בטל לגמרי ההוא מקח וכשתבוא לגבות כתובתה תטרוף ממנו</w:t>
      </w:r>
      <w:r>
        <w:rPr>
          <w:rFonts w:hint="cs"/>
          <w:rtl/>
        </w:rPr>
        <w:t>, רשב"ם.</w:t>
      </w:r>
    </w:p>
  </w:footnote>
  <w:footnote w:id="2349">
    <w:p w14:paraId="30158E80" w14:textId="77777777" w:rsidR="00DF1FC7" w:rsidRDefault="00DF1FC7" w:rsidP="002E5BAD">
      <w:pPr>
        <w:pStyle w:val="a5"/>
        <w:rPr>
          <w:rtl/>
        </w:rPr>
      </w:pPr>
      <w:r>
        <w:rPr>
          <w:rStyle w:val="a7"/>
        </w:rPr>
        <w:footnoteRef/>
      </w:r>
      <w:r>
        <w:rPr>
          <w:rFonts w:hint="cs"/>
          <w:rtl/>
        </w:rPr>
        <w:t xml:space="preserve"> </w:t>
      </w:r>
      <w:r>
        <w:rPr>
          <w:rFonts w:cs="Arial"/>
          <w:rtl/>
        </w:rPr>
        <w:t>למיתני מקחו בטל היכא דחזר ולקח מן האשה אלא באותן ג' שדות המשועבדות לה יותר משאר נכסים ודעתה סמכה עלייהו טפי דודאי לא גמרה ואקנייה אלא נחת רוח עשתה לבעלה</w:t>
      </w:r>
      <w:r>
        <w:rPr>
          <w:rFonts w:hint="cs"/>
          <w:rtl/>
        </w:rPr>
        <w:t>, רשב"ם.</w:t>
      </w:r>
    </w:p>
  </w:footnote>
  <w:footnote w:id="2350">
    <w:p w14:paraId="46089E1D" w14:textId="77777777" w:rsidR="00DF1FC7" w:rsidRDefault="00DF1FC7" w:rsidP="002E5BAD">
      <w:pPr>
        <w:pStyle w:val="a5"/>
        <w:rPr>
          <w:rtl/>
        </w:rPr>
      </w:pPr>
      <w:r>
        <w:rPr>
          <w:rStyle w:val="a7"/>
        </w:rPr>
        <w:footnoteRef/>
      </w:r>
      <w:r>
        <w:rPr>
          <w:rFonts w:hint="cs"/>
          <w:rtl/>
        </w:rPr>
        <w:t xml:space="preserve"> </w:t>
      </w:r>
      <w:r>
        <w:rPr>
          <w:rFonts w:cs="Arial"/>
          <w:rtl/>
        </w:rPr>
        <w:t>כלומר א' מהג' שדות הוא שדה ששיעבד לה בפירוש והזכירו בשטר הכתובה וסמכה דעתה עליה טפי משאר נכסים</w:t>
      </w:r>
      <w:r>
        <w:rPr>
          <w:rFonts w:hint="cs"/>
          <w:rtl/>
        </w:rPr>
        <w:t>, רשב"ם.</w:t>
      </w:r>
    </w:p>
  </w:footnote>
  <w:footnote w:id="2351">
    <w:p w14:paraId="53A6A1AA" w14:textId="77777777" w:rsidR="00DF1FC7" w:rsidRDefault="00DF1FC7" w:rsidP="002E5BAD">
      <w:pPr>
        <w:pStyle w:val="a5"/>
        <w:rPr>
          <w:rtl/>
        </w:rPr>
      </w:pPr>
      <w:r>
        <w:rPr>
          <w:rStyle w:val="a7"/>
        </w:rPr>
        <w:footnoteRef/>
      </w:r>
      <w:r>
        <w:rPr>
          <w:rFonts w:hint="cs"/>
          <w:rtl/>
        </w:rPr>
        <w:t xml:space="preserve"> </w:t>
      </w:r>
      <w:r>
        <w:rPr>
          <w:rFonts w:cs="Arial"/>
          <w:rtl/>
        </w:rPr>
        <w:t>לא נכתב בתוך השטר אלא לאחר הנישואין ייחד לה א' משדותיו ועשאו אפותיקי לגבות ממנו כתובתה</w:t>
      </w:r>
      <w:r>
        <w:rPr>
          <w:rFonts w:hint="cs"/>
          <w:rtl/>
        </w:rPr>
        <w:t>, רשב"ם.</w:t>
      </w:r>
    </w:p>
  </w:footnote>
  <w:footnote w:id="2352">
    <w:p w14:paraId="3A94DC83" w14:textId="77777777" w:rsidR="00DF1FC7" w:rsidRDefault="00DF1FC7" w:rsidP="002E5BAD">
      <w:pPr>
        <w:pStyle w:val="a5"/>
        <w:rPr>
          <w:rtl/>
        </w:rPr>
      </w:pPr>
      <w:r>
        <w:rPr>
          <w:rStyle w:val="a7"/>
        </w:rPr>
        <w:footnoteRef/>
      </w:r>
      <w:r>
        <w:rPr>
          <w:rFonts w:hint="cs"/>
          <w:rtl/>
        </w:rPr>
        <w:t xml:space="preserve">  </w:t>
      </w:r>
      <w:r>
        <w:rPr>
          <w:rFonts w:cs="Arial"/>
          <w:rtl/>
        </w:rPr>
        <w:t>שדה שהכניסה לו מבית אביה ושמו אותו וכתבו שוויו בשטר הכתובה והם נכסי צאן ברזל</w:t>
      </w:r>
      <w:r>
        <w:rPr>
          <w:rFonts w:hint="cs"/>
          <w:rtl/>
        </w:rPr>
        <w:t>, רשב"ם.</w:t>
      </w:r>
    </w:p>
  </w:footnote>
  <w:footnote w:id="2353">
    <w:p w14:paraId="7BDC5AB0" w14:textId="77777777" w:rsidR="00DF1FC7" w:rsidRDefault="00DF1FC7" w:rsidP="002E5BAD">
      <w:pPr>
        <w:pStyle w:val="a5"/>
        <w:rPr>
          <w:rtl/>
        </w:rPr>
      </w:pPr>
      <w:r>
        <w:rPr>
          <w:rStyle w:val="a7"/>
        </w:rPr>
        <w:footnoteRef/>
      </w:r>
      <w:r>
        <w:rPr>
          <w:rFonts w:hint="cs"/>
          <w:rtl/>
        </w:rPr>
        <w:t xml:space="preserve">  </w:t>
      </w:r>
      <w:r>
        <w:rPr>
          <w:rFonts w:cs="Arial"/>
          <w:rtl/>
        </w:rPr>
        <w:t>נקט ג' שדות הללו דהוי מקחו בטל ולא שדה אחרת</w:t>
      </w:r>
      <w:r>
        <w:rPr>
          <w:rFonts w:hint="cs"/>
          <w:rtl/>
        </w:rPr>
        <w:t>, רשב"ם.</w:t>
      </w:r>
    </w:p>
  </w:footnote>
  <w:footnote w:id="2354">
    <w:p w14:paraId="4F900E9E" w14:textId="77777777" w:rsidR="00DF1FC7" w:rsidRDefault="00DF1FC7" w:rsidP="002E5BAD">
      <w:pPr>
        <w:pStyle w:val="a5"/>
        <w:rPr>
          <w:rtl/>
        </w:rPr>
      </w:pPr>
      <w:r>
        <w:rPr>
          <w:rStyle w:val="a7"/>
        </w:rPr>
        <w:footnoteRef/>
      </w:r>
      <w:r>
        <w:rPr>
          <w:rFonts w:hint="cs"/>
          <w:rtl/>
        </w:rPr>
        <w:t xml:space="preserve">  </w:t>
      </w:r>
      <w:r>
        <w:rPr>
          <w:rFonts w:cs="Arial"/>
          <w:rtl/>
        </w:rPr>
        <w:t>וקרקעות של בעל המשועבדים לה</w:t>
      </w:r>
      <w:r>
        <w:rPr>
          <w:rFonts w:hint="cs"/>
          <w:rtl/>
        </w:rPr>
        <w:t>, רשב"ם.</w:t>
      </w:r>
    </w:p>
  </w:footnote>
  <w:footnote w:id="2355">
    <w:p w14:paraId="648DA6D4" w14:textId="77777777" w:rsidR="00DF1FC7" w:rsidRDefault="00DF1FC7" w:rsidP="002E5BAD">
      <w:pPr>
        <w:pStyle w:val="a5"/>
        <w:rPr>
          <w:rtl/>
        </w:rPr>
      </w:pPr>
      <w:r>
        <w:rPr>
          <w:rStyle w:val="a7"/>
        </w:rPr>
        <w:footnoteRef/>
      </w:r>
      <w:r>
        <w:rPr>
          <w:rFonts w:hint="cs"/>
          <w:rtl/>
        </w:rPr>
        <w:t xml:space="preserve">  </w:t>
      </w:r>
      <w:r>
        <w:rPr>
          <w:rFonts w:cs="Arial"/>
          <w:rtl/>
        </w:rPr>
        <w:t>דמציא אמרה נחת רוח עשיתי לבעלי דאי לא כתבה ללוקח ה"ל איבה דא"ל בעלה עינך נתת בגרושין או מיתה ולכך אין את מנחת למכור מנכסי כלום אבל בהנך ג' שדות לא אמר לה בעל דמאחר שייחדם לה דין הוא שתערער במכירתן ואפילו הכי מקחו בטל דכיון דמכל מקום אינם שלה לגמרי כי אם של בעל מציא אמרה נחת רוח עשיתי לבעלי</w:t>
      </w:r>
      <w:r>
        <w:rPr>
          <w:rFonts w:hint="cs"/>
          <w:rtl/>
        </w:rPr>
        <w:t>, רשב"ם.</w:t>
      </w:r>
    </w:p>
  </w:footnote>
  <w:footnote w:id="2356">
    <w:p w14:paraId="2945EE48" w14:textId="77777777" w:rsidR="00DF1FC7" w:rsidRDefault="00DF1FC7" w:rsidP="002E5BAD">
      <w:pPr>
        <w:pStyle w:val="a5"/>
        <w:rPr>
          <w:rtl/>
        </w:rPr>
      </w:pPr>
      <w:r>
        <w:rPr>
          <w:rStyle w:val="a7"/>
        </w:rPr>
        <w:footnoteRef/>
      </w:r>
      <w:r>
        <w:rPr>
          <w:rFonts w:hint="cs"/>
          <w:rtl/>
        </w:rPr>
        <w:t xml:space="preserve">  </w:t>
      </w:r>
      <w:r>
        <w:rPr>
          <w:rFonts w:cs="Arial"/>
          <w:rtl/>
        </w:rPr>
        <w:t>דכיון דשלה הם אינה יגורה מבעלה למחות בו שלא ימכור ולא מציא למימר נחת רוח עשיתי לבעלי</w:t>
      </w:r>
      <w:r>
        <w:rPr>
          <w:rFonts w:hint="cs"/>
          <w:rtl/>
        </w:rPr>
        <w:t>, רשב"ם.</w:t>
      </w:r>
    </w:p>
  </w:footnote>
  <w:footnote w:id="2357">
    <w:p w14:paraId="7AD2FCC5" w14:textId="77777777" w:rsidR="00DF1FC7" w:rsidRDefault="00DF1FC7" w:rsidP="002E5BAD">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2358">
    <w:p w14:paraId="0B380FC0" w14:textId="77777777" w:rsidR="00DF1FC7" w:rsidRDefault="00DF1FC7" w:rsidP="002E5BAD">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2359">
    <w:p w14:paraId="00C0E7BC" w14:textId="77777777" w:rsidR="00DF1FC7" w:rsidRDefault="00DF1FC7" w:rsidP="002E5BAD">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2360">
    <w:p w14:paraId="0386C681" w14:textId="77777777" w:rsidR="00DF1FC7" w:rsidRDefault="00DF1FC7" w:rsidP="002E5BAD">
      <w:pPr>
        <w:pStyle w:val="a5"/>
        <w:rPr>
          <w:rtl/>
        </w:rPr>
      </w:pPr>
      <w:r>
        <w:rPr>
          <w:rStyle w:val="a7"/>
        </w:rPr>
        <w:footnoteRef/>
      </w:r>
      <w:r>
        <w:rPr>
          <w:rtl/>
        </w:rPr>
        <w:t xml:space="preserve"> </w:t>
      </w:r>
      <w:r w:rsidRPr="006C343E">
        <w:rPr>
          <w:rFonts w:cs="Arial"/>
          <w:rtl/>
        </w:rPr>
        <w:t>ואמרי' בהכותב לאשתו דהיכא דקנו מידו מגופה של קרקע קנו מידו</w:t>
      </w:r>
      <w:r>
        <w:rPr>
          <w:rFonts w:hint="cs"/>
          <w:rtl/>
        </w:rPr>
        <w:t>, רש"י.</w:t>
      </w:r>
    </w:p>
  </w:footnote>
  <w:footnote w:id="2361">
    <w:p w14:paraId="647A06F9" w14:textId="77777777" w:rsidR="00DF1FC7" w:rsidRDefault="00DF1FC7" w:rsidP="002E5BAD">
      <w:pPr>
        <w:pStyle w:val="a5"/>
        <w:rPr>
          <w:rtl/>
        </w:rPr>
      </w:pPr>
      <w:r>
        <w:rPr>
          <w:rStyle w:val="a7"/>
        </w:rPr>
        <w:footnoteRef/>
      </w:r>
      <w:r>
        <w:rPr>
          <w:rtl/>
        </w:rPr>
        <w:t xml:space="preserve"> </w:t>
      </w:r>
      <w:r w:rsidRPr="006C343E">
        <w:rPr>
          <w:rFonts w:cs="Arial"/>
          <w:rtl/>
        </w:rPr>
        <w:t>שטר מכר על שדה אחת</w:t>
      </w:r>
      <w:r>
        <w:rPr>
          <w:rFonts w:hint="cs"/>
          <w:rtl/>
        </w:rPr>
        <w:t>, רש"י.</w:t>
      </w:r>
    </w:p>
  </w:footnote>
  <w:footnote w:id="2362">
    <w:p w14:paraId="386A6811" w14:textId="77777777" w:rsidR="00DF1FC7" w:rsidRDefault="00DF1FC7" w:rsidP="002E5BAD">
      <w:pPr>
        <w:pStyle w:val="a5"/>
        <w:rPr>
          <w:rtl/>
        </w:rPr>
      </w:pPr>
      <w:r>
        <w:rPr>
          <w:rStyle w:val="a7"/>
        </w:rPr>
        <w:footnoteRef/>
      </w:r>
      <w:r>
        <w:rPr>
          <w:rtl/>
        </w:rPr>
        <w:t xml:space="preserve"> </w:t>
      </w:r>
      <w:r w:rsidRPr="006C343E">
        <w:rPr>
          <w:rFonts w:cs="Arial"/>
          <w:rtl/>
        </w:rPr>
        <w:t>לא הודית באותו מכר וכתב שטר אחר ללוקח שני על שדה אחרת וחתמה לו</w:t>
      </w:r>
      <w:r>
        <w:rPr>
          <w:rFonts w:hint="cs"/>
          <w:rtl/>
        </w:rPr>
        <w:t>, רש"י.</w:t>
      </w:r>
    </w:p>
  </w:footnote>
  <w:footnote w:id="2363">
    <w:p w14:paraId="65271416" w14:textId="77777777" w:rsidR="00DF1FC7" w:rsidRDefault="00DF1FC7" w:rsidP="002E5BAD">
      <w:pPr>
        <w:pStyle w:val="a5"/>
        <w:rPr>
          <w:rtl/>
        </w:rPr>
      </w:pPr>
      <w:r>
        <w:rPr>
          <w:rStyle w:val="a7"/>
        </w:rPr>
        <w:footnoteRef/>
      </w:r>
      <w:r>
        <w:rPr>
          <w:rtl/>
        </w:rPr>
        <w:t xml:space="preserve"> </w:t>
      </w:r>
      <w:r w:rsidRPr="006C343E">
        <w:rPr>
          <w:rFonts w:cs="Arial"/>
          <w:rtl/>
        </w:rPr>
        <w:t>אם אין שם בני חורין שהרי הראשון אומר הנחתי ליך מקום לגבות הימנו</w:t>
      </w:r>
      <w:r>
        <w:rPr>
          <w:rFonts w:hint="cs"/>
          <w:rtl/>
        </w:rPr>
        <w:t>, רש"י.</w:t>
      </w:r>
    </w:p>
  </w:footnote>
  <w:footnote w:id="2364">
    <w:p w14:paraId="273A8DE0" w14:textId="77777777" w:rsidR="00DF1FC7" w:rsidRDefault="00DF1FC7" w:rsidP="002E5BAD">
      <w:pPr>
        <w:pStyle w:val="a5"/>
        <w:rPr>
          <w:rtl/>
        </w:rPr>
      </w:pPr>
      <w:r>
        <w:rPr>
          <w:rStyle w:val="a7"/>
        </w:rPr>
        <w:footnoteRef/>
      </w:r>
      <w:r>
        <w:rPr>
          <w:rtl/>
        </w:rPr>
        <w:t xml:space="preserve"> </w:t>
      </w:r>
      <w:r w:rsidRPr="006C343E">
        <w:rPr>
          <w:rFonts w:cs="Arial"/>
          <w:rtl/>
        </w:rPr>
        <w:t>מן השני תגבה</w:t>
      </w:r>
      <w:r>
        <w:rPr>
          <w:rFonts w:hint="cs"/>
          <w:rtl/>
        </w:rPr>
        <w:t>, רש"י.</w:t>
      </w:r>
    </w:p>
  </w:footnote>
  <w:footnote w:id="2365">
    <w:p w14:paraId="0C6183D9" w14:textId="77777777" w:rsidR="00DF1FC7" w:rsidRDefault="00DF1FC7" w:rsidP="002E5BAD">
      <w:pPr>
        <w:pStyle w:val="a5"/>
        <w:rPr>
          <w:rtl/>
        </w:rPr>
      </w:pPr>
      <w:r>
        <w:rPr>
          <w:rStyle w:val="a7"/>
        </w:rPr>
        <w:footnoteRef/>
      </w:r>
      <w:r>
        <w:rPr>
          <w:rtl/>
        </w:rPr>
        <w:t xml:space="preserve"> </w:t>
      </w:r>
      <w:r w:rsidRPr="006C343E">
        <w:rPr>
          <w:rFonts w:cs="Arial"/>
          <w:rtl/>
        </w:rPr>
        <w:t>דסתמינהו למשניות הכא בכתובות סתם לן כר"מ ובמס' גיטין סתם לן מקחו בטל כר' יהודה</w:t>
      </w:r>
      <w:r>
        <w:rPr>
          <w:rFonts w:hint="cs"/>
          <w:rtl/>
        </w:rPr>
        <w:t>, רש"י.</w:t>
      </w:r>
    </w:p>
  </w:footnote>
  <w:footnote w:id="2366">
    <w:p w14:paraId="140BDB86" w14:textId="77777777" w:rsidR="00DF1FC7" w:rsidRDefault="00DF1FC7" w:rsidP="002E5BAD">
      <w:pPr>
        <w:pStyle w:val="a5"/>
        <w:rPr>
          <w:rtl/>
        </w:rPr>
      </w:pPr>
      <w:r>
        <w:rPr>
          <w:rStyle w:val="a7"/>
        </w:rPr>
        <w:footnoteRef/>
      </w:r>
      <w:r>
        <w:rPr>
          <w:rtl/>
        </w:rPr>
        <w:t xml:space="preserve"> </w:t>
      </w:r>
      <w:r w:rsidRPr="006C343E">
        <w:rPr>
          <w:rFonts w:cs="Arial"/>
          <w:rtl/>
        </w:rPr>
        <w:t>מתני' כשהיתה גרושה ואחר כך כתבה לו ללוקח כן</w:t>
      </w:r>
      <w:r>
        <w:rPr>
          <w:rFonts w:hint="cs"/>
          <w:rtl/>
        </w:rPr>
        <w:t>, רש"י.</w:t>
      </w:r>
    </w:p>
  </w:footnote>
  <w:footnote w:id="2367">
    <w:p w14:paraId="25F1664B" w14:textId="77777777" w:rsidR="00DF1FC7" w:rsidRDefault="00DF1FC7" w:rsidP="002E5BAD">
      <w:pPr>
        <w:pStyle w:val="a5"/>
        <w:rPr>
          <w:rtl/>
        </w:rPr>
      </w:pPr>
      <w:r>
        <w:rPr>
          <w:rStyle w:val="a7"/>
        </w:rPr>
        <w:footnoteRef/>
      </w:r>
      <w:r>
        <w:rPr>
          <w:rtl/>
        </w:rPr>
        <w:t xml:space="preserve"> </w:t>
      </w:r>
      <w:r w:rsidRPr="006C343E">
        <w:rPr>
          <w:rFonts w:cs="Arial"/>
          <w:rtl/>
        </w:rPr>
        <w:t>אפי' ביושבת תחתיו ותרוייהו סתמי כר"מ ומתני' דגיטין דלקח מן האיש וחזר ולקח מן האשה להכי מקחו בטל דעד כאן לא קאמר ר"מ בבריית' איבדה כתובתה אלא בשני לקוחות והא חזינן דבראשון לא עשתה נחת רוח לבעלה הלכך לא מצית למימר כי חתמה לשני נחת רוח עשיתי לבעלי</w:t>
      </w:r>
      <w:r>
        <w:rPr>
          <w:rFonts w:hint="cs"/>
          <w:rtl/>
        </w:rPr>
        <w:t>, רש"י.</w:t>
      </w:r>
    </w:p>
  </w:footnote>
  <w:footnote w:id="2368">
    <w:p w14:paraId="38EE1114" w14:textId="77777777" w:rsidR="00DF1FC7" w:rsidRDefault="00DF1FC7" w:rsidP="002E5BAD">
      <w:pPr>
        <w:pStyle w:val="a5"/>
        <w:rPr>
          <w:rtl/>
        </w:rPr>
      </w:pPr>
      <w:r>
        <w:rPr>
          <w:rStyle w:val="a7"/>
        </w:rPr>
        <w:footnoteRef/>
      </w:r>
      <w:r>
        <w:rPr>
          <w:rtl/>
        </w:rPr>
        <w:t xml:space="preserve"> </w:t>
      </w:r>
      <w:r w:rsidRPr="006C343E">
        <w:rPr>
          <w:rFonts w:cs="Arial"/>
          <w:rtl/>
        </w:rPr>
        <w:t>דהכא דאשמעינן מינה חתימתה קיימת</w:t>
      </w:r>
      <w:r>
        <w:rPr>
          <w:rFonts w:hint="cs"/>
          <w:rtl/>
        </w:rPr>
        <w:t>, רש"י.</w:t>
      </w:r>
    </w:p>
  </w:footnote>
  <w:footnote w:id="2369">
    <w:p w14:paraId="20121132" w14:textId="77777777" w:rsidR="00DF1FC7" w:rsidRDefault="00DF1FC7" w:rsidP="002E5BAD">
      <w:pPr>
        <w:pStyle w:val="a5"/>
        <w:rPr>
          <w:rtl/>
        </w:rPr>
      </w:pPr>
      <w:r>
        <w:rPr>
          <w:rStyle w:val="a7"/>
        </w:rPr>
        <w:footnoteRef/>
      </w:r>
      <w:r>
        <w:rPr>
          <w:rtl/>
        </w:rPr>
        <w:t xml:space="preserve"> </w:t>
      </w:r>
      <w:r w:rsidRPr="006C343E">
        <w:rPr>
          <w:rFonts w:cs="Arial"/>
          <w:rtl/>
        </w:rPr>
        <w:t>הבעל לאחר קודם לזה ולא חתמה לו ולזה חתמה</w:t>
      </w:r>
      <w:r>
        <w:rPr>
          <w:rFonts w:hint="cs"/>
          <w:rtl/>
        </w:rPr>
        <w:t>, רש"י.</w:t>
      </w:r>
    </w:p>
  </w:footnote>
  <w:footnote w:id="2370">
    <w:p w14:paraId="702A7856" w14:textId="77777777" w:rsidR="00DF1FC7" w:rsidRDefault="00DF1FC7" w:rsidP="002E5BAD">
      <w:pPr>
        <w:pStyle w:val="a5"/>
      </w:pPr>
      <w:r>
        <w:rPr>
          <w:rStyle w:val="a7"/>
        </w:rPr>
        <w:footnoteRef/>
      </w:r>
      <w:r>
        <w:rPr>
          <w:rtl/>
        </w:rPr>
        <w:t xml:space="preserve"> </w:t>
      </w:r>
      <w:r>
        <w:rPr>
          <w:rFonts w:cs="Arial" w:hint="cs"/>
          <w:rtl/>
        </w:rPr>
        <w:t xml:space="preserve">וז"ל- </w:t>
      </w:r>
      <w:r w:rsidRPr="008472CD">
        <w:rPr>
          <w:rFonts w:cs="Arial"/>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w:t>
      </w:r>
    </w:p>
  </w:footnote>
  <w:footnote w:id="2371">
    <w:p w14:paraId="28577EE5" w14:textId="77777777" w:rsidR="00DF1FC7" w:rsidRDefault="00DF1FC7" w:rsidP="002E5BAD">
      <w:pPr>
        <w:pStyle w:val="a5"/>
      </w:pPr>
      <w:r>
        <w:rPr>
          <w:rStyle w:val="a7"/>
        </w:rPr>
        <w:footnoteRef/>
      </w:r>
      <w:r>
        <w:rPr>
          <w:rtl/>
        </w:rPr>
        <w:t xml:space="preserve"> </w:t>
      </w:r>
      <w:r>
        <w:rPr>
          <w:rFonts w:cs="Arial" w:hint="cs"/>
          <w:rtl/>
        </w:rPr>
        <w:t xml:space="preserve">וז"ל- </w:t>
      </w:r>
      <w:r w:rsidRPr="003D2914">
        <w:rPr>
          <w:rFonts w:cs="Arial"/>
          <w:rtl/>
        </w:rPr>
        <w:t>מכר לאחד קרקע</w:t>
      </w:r>
      <w:r>
        <w:rPr>
          <w:rFonts w:cs="Arial" w:hint="cs"/>
          <w:rtl/>
        </w:rPr>
        <w:t>,</w:t>
      </w:r>
      <w:r w:rsidRPr="003D2914">
        <w:rPr>
          <w:rFonts w:cs="Arial"/>
          <w:rtl/>
        </w:rPr>
        <w:t xml:space="preserve"> ולא נתרצית שלא רצתה לחתום לו</w:t>
      </w:r>
      <w:r>
        <w:rPr>
          <w:rFonts w:cs="Arial" w:hint="cs"/>
          <w:rtl/>
        </w:rPr>
        <w:t>.</w:t>
      </w:r>
      <w:r w:rsidRPr="003D2914">
        <w:rPr>
          <w:rFonts w:cs="Arial"/>
          <w:rtl/>
        </w:rPr>
        <w:t xml:space="preserve"> ואחרי כן מכר לאחר</w:t>
      </w:r>
      <w:r>
        <w:rPr>
          <w:rFonts w:cs="Arial" w:hint="cs"/>
          <w:rtl/>
        </w:rPr>
        <w:t>,</w:t>
      </w:r>
      <w:r w:rsidRPr="003D2914">
        <w:rPr>
          <w:rFonts w:cs="Arial"/>
          <w:rtl/>
        </w:rPr>
        <w:t xml:space="preserve"> לא שנא אותו קרקע ולא שנא קרקע אחרת</w:t>
      </w:r>
      <w:r>
        <w:rPr>
          <w:rFonts w:cs="Arial" w:hint="cs"/>
          <w:rtl/>
        </w:rPr>
        <w:t xml:space="preserve">, </w:t>
      </w:r>
      <w:r w:rsidRPr="003D2914">
        <w:rPr>
          <w:rFonts w:cs="Arial"/>
          <w:rtl/>
        </w:rPr>
        <w:t xml:space="preserve">וחתמה לו </w:t>
      </w:r>
      <w:r>
        <w:rPr>
          <w:rFonts w:cs="Arial" w:hint="cs"/>
          <w:rtl/>
        </w:rPr>
        <w:t xml:space="preserve">- </w:t>
      </w:r>
      <w:r w:rsidRPr="003D2914">
        <w:rPr>
          <w:rFonts w:cs="Arial"/>
          <w:rtl/>
        </w:rPr>
        <w:t>קנה ואינה גובה ממנו</w:t>
      </w:r>
      <w:r>
        <w:rPr>
          <w:rFonts w:cs="Arial" w:hint="cs"/>
          <w:rtl/>
        </w:rPr>
        <w:t>,</w:t>
      </w:r>
      <w:r w:rsidRPr="003D2914">
        <w:rPr>
          <w:rFonts w:cs="Arial"/>
          <w:rtl/>
        </w:rPr>
        <w:t xml:space="preserve"> שאינה יכולה לומר נחת רוח עשיתי לבעלי</w:t>
      </w:r>
      <w:r>
        <w:rPr>
          <w:rFonts w:cs="Arial" w:hint="cs"/>
          <w:rtl/>
        </w:rPr>
        <w:t>,</w:t>
      </w:r>
      <w:r w:rsidRPr="003D2914">
        <w:rPr>
          <w:rFonts w:cs="Arial"/>
          <w:rtl/>
        </w:rPr>
        <w:t xml:space="preserve"> שאם היתה רוצה לעשות נחת רוח היתה עושה לראשון</w:t>
      </w:r>
      <w:r w:rsidRPr="007C1187">
        <w:rPr>
          <w:rFonts w:cs="Arial"/>
          <w:rtl/>
        </w:rPr>
        <w:t>.</w:t>
      </w:r>
    </w:p>
  </w:footnote>
  <w:footnote w:id="2372">
    <w:p w14:paraId="3FABD036" w14:textId="77777777" w:rsidR="00DF1FC7" w:rsidRDefault="00DF1FC7" w:rsidP="002E5BAD">
      <w:pPr>
        <w:pStyle w:val="a5"/>
      </w:pPr>
      <w:r>
        <w:rPr>
          <w:rStyle w:val="a7"/>
        </w:rPr>
        <w:footnoteRef/>
      </w:r>
      <w:r>
        <w:rPr>
          <w:rtl/>
        </w:rPr>
        <w:t xml:space="preserve"> </w:t>
      </w:r>
      <w:r w:rsidRPr="007C1187">
        <w:rPr>
          <w:rFonts w:cs="Arial"/>
          <w:rtl/>
        </w:rPr>
        <w:t>וכתב הרב המגיד כתב רבינו ונפסד המכר ונראה מדבריו שאם לא נתבטל המכר מחמת שלא חתמה לו יכולה היא לומר לשני כשחתמה לו נחת רוח עשיתי לבעלי ומה שלא עשיתי כן לראשון לפי שלא היה לו צורך בכך שהרי אפילו בלא חתימתי נתקיים המכר ודברי טעם הם</w:t>
      </w:r>
      <w:r w:rsidRPr="007C1187">
        <w:rPr>
          <w:rFonts w:cs="Arial" w:hint="cs"/>
          <w:rtl/>
        </w:rPr>
        <w:t>.</w:t>
      </w:r>
      <w:r w:rsidRPr="007C1187">
        <w:rPr>
          <w:rFonts w:cs="Arial"/>
          <w:rtl/>
        </w:rPr>
        <w:t xml:space="preserve"> אלא שקשה לזה</w:t>
      </w:r>
      <w:r w:rsidRPr="007C1187">
        <w:rPr>
          <w:rFonts w:cs="Arial" w:hint="cs"/>
          <w:rtl/>
        </w:rPr>
        <w:t>,</w:t>
      </w:r>
      <w:r w:rsidRPr="007C1187">
        <w:rPr>
          <w:rFonts w:cs="Arial"/>
          <w:rtl/>
        </w:rPr>
        <w:t xml:space="preserve"> דהתם בבעיא דאשתדיף בני חרי משמע בהדיא דברייתא דכתבה לראשון ולא חתמה לשני וחתמה איבדה כתובתה היא אפילו בשנתקיים המכר הראשון וכוונת רבינו במה שכתב ונפסד המכר צריכה תלמוד עכ"ל</w:t>
      </w:r>
      <w:r>
        <w:rPr>
          <w:rFonts w:cs="Arial" w:hint="cs"/>
          <w:rtl/>
        </w:rPr>
        <w:t>, ב"י</w:t>
      </w:r>
      <w:r w:rsidRPr="007C1187">
        <w:rPr>
          <w:rFonts w:cs="Arial"/>
          <w:rtl/>
        </w:rPr>
        <w:t>.</w:t>
      </w:r>
      <w:r w:rsidRPr="00881E59">
        <w:rPr>
          <w:rFonts w:cs="Arial"/>
          <w:rtl/>
        </w:rPr>
        <w:t xml:space="preserve"> </w:t>
      </w:r>
      <w:r w:rsidRPr="00843F99">
        <w:rPr>
          <w:rFonts w:cs="Arial"/>
          <w:rtl/>
        </w:rPr>
        <w:t>וכ"כ הר"ן פרק מי שהיה נשוי (נד: ד"ה גמ') דלא בעינן שנתבטל מקח הראשון וע"ל סימן ק' מדינים אלו</w:t>
      </w:r>
      <w:r>
        <w:rPr>
          <w:rFonts w:cs="Arial" w:hint="cs"/>
          <w:rtl/>
        </w:rPr>
        <w:t>, דרכ"מ (אות יח).</w:t>
      </w:r>
      <w:r w:rsidRPr="005C5D4E">
        <w:rPr>
          <w:rtl/>
        </w:rPr>
        <w:t xml:space="preserve"> </w:t>
      </w:r>
      <w:r w:rsidRPr="005C5D4E">
        <w:rPr>
          <w:rFonts w:cs="Arial"/>
          <w:rtl/>
        </w:rPr>
        <w:t>וכן בטור השמיט תיבות אלו</w:t>
      </w:r>
      <w:r>
        <w:rPr>
          <w:rFonts w:cs="Arial" w:hint="cs"/>
          <w:sz w:val="16"/>
          <w:szCs w:val="16"/>
          <w:rtl/>
        </w:rPr>
        <w:t xml:space="preserve"> {'ונפסד המכר'}</w:t>
      </w:r>
      <w:r>
        <w:rPr>
          <w:rFonts w:cs="Arial" w:hint="cs"/>
          <w:rtl/>
        </w:rPr>
        <w:t>,</w:t>
      </w:r>
      <w:r w:rsidRPr="005C5D4E">
        <w:rPr>
          <w:rFonts w:cs="Arial"/>
          <w:rtl/>
        </w:rPr>
        <w:t xml:space="preserve"> ובב"ח נדחק לקיים דברי הרמב"ם שהם דוקא ואין דבריו ברורים</w:t>
      </w:r>
      <w:r>
        <w:rPr>
          <w:rFonts w:cs="Arial" w:hint="cs"/>
          <w:rtl/>
        </w:rPr>
        <w:t>, ח"מ (סקנ"ח).</w:t>
      </w:r>
    </w:p>
  </w:footnote>
  <w:footnote w:id="2373">
    <w:p w14:paraId="3D5F8A39" w14:textId="77777777" w:rsidR="00DF1FC7" w:rsidRDefault="00DF1FC7" w:rsidP="002E5BAD">
      <w:pPr>
        <w:pStyle w:val="a5"/>
      </w:pPr>
      <w:r>
        <w:rPr>
          <w:rStyle w:val="a7"/>
        </w:rPr>
        <w:footnoteRef/>
      </w:r>
      <w:r>
        <w:rPr>
          <w:rtl/>
        </w:rPr>
        <w:t xml:space="preserve"> </w:t>
      </w:r>
      <w:r w:rsidRPr="004C001E">
        <w:rPr>
          <w:rFonts w:cs="Arial"/>
          <w:rtl/>
        </w:rPr>
        <w:t>ה"ה מכר לראשון פעם אחרת ונתרצית ג"כ יש טענה זו דלמה לא עשתה נחת רוח לבעלה בפעם הראשון</w:t>
      </w:r>
      <w:r>
        <w:rPr>
          <w:rFonts w:cs="Arial" w:hint="cs"/>
          <w:rtl/>
        </w:rPr>
        <w:t>, ח"מ (סקכ"ג).</w:t>
      </w:r>
    </w:p>
  </w:footnote>
  <w:footnote w:id="2374">
    <w:p w14:paraId="1546880C" w14:textId="77777777" w:rsidR="00DF1FC7" w:rsidRDefault="00DF1FC7" w:rsidP="002E5BAD">
      <w:pPr>
        <w:pStyle w:val="a5"/>
      </w:pPr>
      <w:r>
        <w:rPr>
          <w:rStyle w:val="a7"/>
        </w:rPr>
        <w:footnoteRef/>
      </w:r>
      <w:r>
        <w:rPr>
          <w:rtl/>
        </w:rPr>
        <w:t xml:space="preserve"> </w:t>
      </w:r>
      <w:r w:rsidRPr="004C001E">
        <w:rPr>
          <w:rFonts w:cs="Arial"/>
          <w:rtl/>
        </w:rPr>
        <w:t xml:space="preserve">אף על גב דיכול לומר לה הנחתי לך מקום לגבות שדה השניה </w:t>
      </w:r>
      <w:r w:rsidRPr="007363DE">
        <w:rPr>
          <w:rFonts w:cs="Arial" w:hint="cs"/>
          <w:sz w:val="16"/>
          <w:szCs w:val="16"/>
          <w:rtl/>
        </w:rPr>
        <w:t>(</w:t>
      </w:r>
      <w:r w:rsidRPr="007363DE">
        <w:rPr>
          <w:rFonts w:cs="Arial"/>
          <w:sz w:val="16"/>
          <w:szCs w:val="16"/>
          <w:rtl/>
        </w:rPr>
        <w:t>וכן הדין גבי מלוה שכתב ללוקח שני דין ודברים אין לי עמך אין לו על לוקח ראשון כלום מפני שיכול לומר הנחתי לך מקום לגבות וכמו שנתבאר בח"מ סי' קי"א וקי"ח</w:t>
      </w:r>
      <w:r w:rsidRPr="007363DE">
        <w:rPr>
          <w:rFonts w:cs="Arial" w:hint="cs"/>
          <w:sz w:val="16"/>
          <w:szCs w:val="16"/>
          <w:rtl/>
        </w:rPr>
        <w:t>)</w:t>
      </w:r>
      <w:r w:rsidRPr="007363DE">
        <w:rPr>
          <w:rFonts w:cs="Arial"/>
          <w:sz w:val="16"/>
          <w:szCs w:val="16"/>
          <w:rtl/>
        </w:rPr>
        <w:t xml:space="preserve"> </w:t>
      </w:r>
      <w:r>
        <w:rPr>
          <w:rFonts w:cs="Arial" w:hint="cs"/>
          <w:rtl/>
        </w:rPr>
        <w:t xml:space="preserve">- </w:t>
      </w:r>
      <w:r w:rsidRPr="004C001E">
        <w:rPr>
          <w:rFonts w:cs="Arial"/>
          <w:rtl/>
        </w:rPr>
        <w:t>שאני אשה דלא ניתנה כתובה לגבות מחיים ולא שייך בה למימר את היא דאפסדת אנפשך וכמ"ש התוס' דף צ"ח בשם ר"ת ור"ח וכמ"ש הרא"ש</w:t>
      </w:r>
      <w:r>
        <w:rPr>
          <w:rFonts w:cs="Arial" w:hint="cs"/>
          <w:rtl/>
        </w:rPr>
        <w:t>, ח"מ (סקכ"ד).</w:t>
      </w:r>
    </w:p>
  </w:footnote>
  <w:footnote w:id="2375">
    <w:p w14:paraId="4DDDF7F2" w14:textId="77777777" w:rsidR="00DF1FC7" w:rsidRDefault="00DF1FC7" w:rsidP="002E5BAD">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2376">
    <w:p w14:paraId="577DD29C" w14:textId="77777777" w:rsidR="00DF1FC7" w:rsidRDefault="00DF1FC7" w:rsidP="002E5BAD">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2377">
    <w:p w14:paraId="11058065" w14:textId="77777777" w:rsidR="00DF1FC7" w:rsidRDefault="00DF1FC7" w:rsidP="002E5BAD">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2378">
    <w:p w14:paraId="1B1B4E61" w14:textId="77777777" w:rsidR="00DF1FC7" w:rsidRDefault="00DF1FC7" w:rsidP="002E5BAD">
      <w:pPr>
        <w:pStyle w:val="a5"/>
      </w:pPr>
      <w:r>
        <w:rPr>
          <w:rStyle w:val="a7"/>
        </w:rPr>
        <w:footnoteRef/>
      </w:r>
      <w:r>
        <w:rPr>
          <w:rtl/>
        </w:rPr>
        <w:t xml:space="preserve"> </w:t>
      </w:r>
      <w:r w:rsidRPr="006B67C9">
        <w:rPr>
          <w:rFonts w:cs="Arial"/>
          <w:rtl/>
        </w:rPr>
        <w:t>לא נתבאר בגמ' אופן הפשר שיעשו</w:t>
      </w:r>
      <w:r>
        <w:rPr>
          <w:rFonts w:cs="Arial" w:hint="cs"/>
          <w:rtl/>
        </w:rPr>
        <w:t>.</w:t>
      </w:r>
      <w:r w:rsidRPr="006B67C9">
        <w:rPr>
          <w:rFonts w:cs="Arial"/>
          <w:rtl/>
        </w:rPr>
        <w:t xml:space="preserve"> ונראה</w:t>
      </w:r>
      <w:r>
        <w:rPr>
          <w:rFonts w:cs="Arial" w:hint="cs"/>
          <w:rtl/>
        </w:rPr>
        <w:t>,</w:t>
      </w:r>
      <w:r w:rsidRPr="006B67C9">
        <w:rPr>
          <w:rFonts w:cs="Arial"/>
          <w:rtl/>
        </w:rPr>
        <w:t xml:space="preserve"> אם השניה רוצה לעשות פשר עם הלוקח </w:t>
      </w:r>
      <w:r>
        <w:rPr>
          <w:rFonts w:cs="Arial" w:hint="cs"/>
          <w:rtl/>
        </w:rPr>
        <w:t xml:space="preserve">- </w:t>
      </w:r>
      <w:r w:rsidRPr="006B67C9">
        <w:rPr>
          <w:rFonts w:cs="Arial"/>
          <w:rtl/>
        </w:rPr>
        <w:t>אז אבדה הראשונה זכותה</w:t>
      </w:r>
      <w:r>
        <w:rPr>
          <w:rFonts w:cs="Arial" w:hint="cs"/>
          <w:rtl/>
        </w:rPr>
        <w:t>,</w:t>
      </w:r>
      <w:r w:rsidRPr="006B67C9">
        <w:rPr>
          <w:rFonts w:cs="Arial"/>
          <w:rtl/>
        </w:rPr>
        <w:t xml:space="preserve"> כי השניה לא תטרוף מן הלוקח</w:t>
      </w:r>
      <w:r>
        <w:rPr>
          <w:rFonts w:cs="Arial" w:hint="cs"/>
          <w:rtl/>
        </w:rPr>
        <w:t>.</w:t>
      </w:r>
      <w:r w:rsidRPr="006B67C9">
        <w:rPr>
          <w:rFonts w:cs="Arial"/>
          <w:rtl/>
        </w:rPr>
        <w:t xml:space="preserve"> ואם הראשונ</w:t>
      </w:r>
      <w:r>
        <w:rPr>
          <w:rFonts w:cs="Arial" w:hint="cs"/>
          <w:rtl/>
        </w:rPr>
        <w:t>ה</w:t>
      </w:r>
      <w:r w:rsidRPr="006B67C9">
        <w:rPr>
          <w:rFonts w:cs="Arial"/>
          <w:rtl/>
        </w:rPr>
        <w:t xml:space="preserve"> תרצה לעשות פשר עם הלוקח </w:t>
      </w:r>
      <w:r>
        <w:rPr>
          <w:rFonts w:cs="Arial" w:hint="cs"/>
          <w:rtl/>
        </w:rPr>
        <w:t xml:space="preserve">- </w:t>
      </w:r>
      <w:r w:rsidRPr="006B67C9">
        <w:rPr>
          <w:rFonts w:cs="Arial"/>
          <w:rtl/>
        </w:rPr>
        <w:t>אז אבדה השני</w:t>
      </w:r>
      <w:r>
        <w:rPr>
          <w:rFonts w:cs="Arial" w:hint="cs"/>
          <w:rtl/>
        </w:rPr>
        <w:t>ה</w:t>
      </w:r>
      <w:r w:rsidRPr="006B67C9">
        <w:rPr>
          <w:rFonts w:cs="Arial"/>
          <w:rtl/>
        </w:rPr>
        <w:t xml:space="preserve"> זכותה</w:t>
      </w:r>
      <w:r>
        <w:rPr>
          <w:rFonts w:cs="Arial" w:hint="cs"/>
          <w:rtl/>
        </w:rPr>
        <w:t>,</w:t>
      </w:r>
      <w:r w:rsidRPr="006B67C9">
        <w:rPr>
          <w:rFonts w:cs="Arial"/>
          <w:rtl/>
        </w:rPr>
        <w:t xml:space="preserve"> כי הלוקח לא יטרוף מן הראשונה</w:t>
      </w:r>
      <w:r>
        <w:rPr>
          <w:rFonts w:cs="Arial" w:hint="cs"/>
          <w:rtl/>
        </w:rPr>
        <w:t>.</w:t>
      </w:r>
      <w:r w:rsidRPr="006B67C9">
        <w:rPr>
          <w:rFonts w:cs="Arial"/>
          <w:rtl/>
        </w:rPr>
        <w:t xml:space="preserve"> ואם הראשונ</w:t>
      </w:r>
      <w:r>
        <w:rPr>
          <w:rFonts w:cs="Arial" w:hint="cs"/>
          <w:rtl/>
        </w:rPr>
        <w:t>ה</w:t>
      </w:r>
      <w:r w:rsidRPr="006B67C9">
        <w:rPr>
          <w:rFonts w:cs="Arial"/>
          <w:rtl/>
        </w:rPr>
        <w:t xml:space="preserve"> והשני</w:t>
      </w:r>
      <w:r>
        <w:rPr>
          <w:rFonts w:cs="Arial" w:hint="cs"/>
          <w:rtl/>
        </w:rPr>
        <w:t>ה</w:t>
      </w:r>
      <w:r w:rsidRPr="006B67C9">
        <w:rPr>
          <w:rFonts w:cs="Arial"/>
          <w:rtl/>
        </w:rPr>
        <w:t xml:space="preserve"> יעשו פשר </w:t>
      </w:r>
      <w:r>
        <w:rPr>
          <w:rFonts w:cs="Arial" w:hint="cs"/>
          <w:rtl/>
        </w:rPr>
        <w:t xml:space="preserve">- </w:t>
      </w:r>
      <w:r w:rsidRPr="006B67C9">
        <w:rPr>
          <w:rFonts w:cs="Arial"/>
          <w:rtl/>
        </w:rPr>
        <w:t>אבד הלוקח זכותו</w:t>
      </w:r>
      <w:r>
        <w:rPr>
          <w:rFonts w:cs="Arial" w:hint="cs"/>
          <w:rtl/>
        </w:rPr>
        <w:t>,</w:t>
      </w:r>
      <w:r w:rsidRPr="006B67C9">
        <w:rPr>
          <w:rFonts w:cs="Arial"/>
          <w:rtl/>
        </w:rPr>
        <w:t xml:space="preserve"> כי הראשונ לא תטרוף מן השניה</w:t>
      </w:r>
      <w:r>
        <w:rPr>
          <w:rFonts w:cs="Arial" w:hint="cs"/>
          <w:rtl/>
        </w:rPr>
        <w:t>, ח"מ (סקכ"ו).</w:t>
      </w:r>
    </w:p>
  </w:footnote>
  <w:footnote w:id="2379">
    <w:p w14:paraId="019A8EBF" w14:textId="77777777" w:rsidR="00DF1FC7" w:rsidRDefault="00DF1FC7" w:rsidP="002E5BAD">
      <w:pPr>
        <w:pStyle w:val="a5"/>
      </w:pPr>
      <w:r>
        <w:rPr>
          <w:rStyle w:val="a7"/>
        </w:rPr>
        <w:footnoteRef/>
      </w:r>
      <w:r>
        <w:rPr>
          <w:rtl/>
        </w:rPr>
        <w:t xml:space="preserve"> </w:t>
      </w:r>
      <w:r>
        <w:rPr>
          <w:rFonts w:cs="Arial"/>
          <w:rtl/>
        </w:rPr>
        <w:t>גדולות ושוקלות יותר משל ארץ ישראל</w:t>
      </w:r>
      <w:r>
        <w:rPr>
          <w:rFonts w:cs="Arial" w:hint="cs"/>
          <w:rtl/>
        </w:rPr>
        <w:t>, רש"י.</w:t>
      </w:r>
    </w:p>
  </w:footnote>
  <w:footnote w:id="2380">
    <w:p w14:paraId="2162EF02" w14:textId="77777777" w:rsidR="00DF1FC7" w:rsidRDefault="00DF1FC7" w:rsidP="002E5BAD">
      <w:pPr>
        <w:pStyle w:val="a5"/>
      </w:pPr>
      <w:r>
        <w:rPr>
          <w:rStyle w:val="a7"/>
        </w:rPr>
        <w:footnoteRef/>
      </w:r>
      <w:r>
        <w:rPr>
          <w:rtl/>
        </w:rPr>
        <w:t xml:space="preserve"> </w:t>
      </w:r>
      <w:r>
        <w:rPr>
          <w:rFonts w:cs="Arial"/>
          <w:rtl/>
        </w:rPr>
        <w:t>כאן הקילו בכתובתה וזו אחת מקולי כתובה</w:t>
      </w:r>
      <w:r>
        <w:rPr>
          <w:rFonts w:cs="Arial" w:hint="cs"/>
          <w:rtl/>
        </w:rPr>
        <w:t>, רש"י.</w:t>
      </w:r>
    </w:p>
  </w:footnote>
  <w:footnote w:id="2381">
    <w:p w14:paraId="6B77ED5A" w14:textId="77777777" w:rsidR="00DF1FC7" w:rsidRDefault="00DF1FC7" w:rsidP="002E5BAD">
      <w:pPr>
        <w:pStyle w:val="a5"/>
        <w:rPr>
          <w:rtl/>
        </w:rPr>
      </w:pPr>
      <w:r>
        <w:rPr>
          <w:rStyle w:val="a7"/>
        </w:rPr>
        <w:footnoteRef/>
      </w:r>
      <w:r>
        <w:rPr>
          <w:rtl/>
        </w:rPr>
        <w:t xml:space="preserve"> </w:t>
      </w:r>
      <w:r w:rsidRPr="00667CE7">
        <w:rPr>
          <w:rFonts w:cs="Arial"/>
          <w:rtl/>
        </w:rPr>
        <w:t>הילכך בתר שיעבוד אזלינן כדין כל שטרי חוב</w:t>
      </w:r>
      <w:r>
        <w:rPr>
          <w:rFonts w:hint="cs"/>
          <w:rtl/>
        </w:rPr>
        <w:t>, רש"י.</w:t>
      </w:r>
    </w:p>
  </w:footnote>
  <w:footnote w:id="2382">
    <w:p w14:paraId="72D981ED" w14:textId="77777777" w:rsidR="00DF1FC7" w:rsidRDefault="00DF1FC7" w:rsidP="002E5BAD">
      <w:pPr>
        <w:pStyle w:val="a5"/>
      </w:pPr>
      <w:r>
        <w:rPr>
          <w:rStyle w:val="a7"/>
        </w:rPr>
        <w:footnoteRef/>
      </w:r>
      <w:r>
        <w:rPr>
          <w:rtl/>
        </w:rPr>
        <w:t xml:space="preserve"> </w:t>
      </w:r>
      <w:r>
        <w:rPr>
          <w:rFonts w:cs="Arial"/>
          <w:rtl/>
        </w:rPr>
        <w:t xml:space="preserve">וכתב הרב המגיד </w:t>
      </w:r>
      <w:r>
        <w:rPr>
          <w:rFonts w:cs="Arial" w:hint="cs"/>
          <w:rtl/>
        </w:rPr>
        <w:t>(פט"ז ה"ו)</w:t>
      </w:r>
      <w:r>
        <w:rPr>
          <w:rFonts w:cs="Arial"/>
          <w:rtl/>
        </w:rPr>
        <w:t xml:space="preserve"> על דברי הרמב"ם</w:t>
      </w:r>
      <w:r>
        <w:rPr>
          <w:rFonts w:cs="Arial" w:hint="cs"/>
          <w:rtl/>
        </w:rPr>
        <w:t>-</w:t>
      </w:r>
      <w:r>
        <w:rPr>
          <w:rFonts w:cs="Arial"/>
          <w:rtl/>
        </w:rPr>
        <w:t xml:space="preserve"> דע שכל זה הוא כשיש בשיווי המטבע שהוא מגבה לה כדי מאתים ומנה שתקנו חכמים</w:t>
      </w:r>
      <w:r>
        <w:rPr>
          <w:rFonts w:cs="Arial" w:hint="cs"/>
          <w:rtl/>
        </w:rPr>
        <w:t>.</w:t>
      </w:r>
      <w:r>
        <w:rPr>
          <w:rFonts w:cs="Arial"/>
          <w:rtl/>
        </w:rPr>
        <w:t xml:space="preserve"> אבל פחות מכאן א</w:t>
      </w:r>
      <w:r>
        <w:rPr>
          <w:rFonts w:cs="Arial" w:hint="cs"/>
          <w:rtl/>
        </w:rPr>
        <w:t xml:space="preserve">י </w:t>
      </w:r>
      <w:r>
        <w:rPr>
          <w:rFonts w:cs="Arial"/>
          <w:rtl/>
        </w:rPr>
        <w:t>א</w:t>
      </w:r>
      <w:r>
        <w:rPr>
          <w:rFonts w:cs="Arial" w:hint="cs"/>
          <w:rtl/>
        </w:rPr>
        <w:t>פשר</w:t>
      </w:r>
      <w:r>
        <w:rPr>
          <w:rFonts w:cs="Arial"/>
          <w:rtl/>
        </w:rPr>
        <w:t xml:space="preserve"> לפחות</w:t>
      </w:r>
      <w:r>
        <w:rPr>
          <w:rFonts w:cs="Arial" w:hint="cs"/>
          <w:rtl/>
        </w:rPr>
        <w:t>.</w:t>
      </w:r>
      <w:r>
        <w:rPr>
          <w:rFonts w:cs="Arial"/>
          <w:rtl/>
        </w:rPr>
        <w:t xml:space="preserve"> ולא הוצרך רבינו לפרש זה שכבר נתבאר פרק י' (ה"ט) שכל הפוחת לבתולה מק"ק ולאלמנה מק' הרי בעילתו בעילת זנות</w:t>
      </w:r>
      <w:r>
        <w:rPr>
          <w:rFonts w:cs="Arial" w:hint="cs"/>
          <w:rtl/>
        </w:rPr>
        <w:t xml:space="preserve">... </w:t>
      </w:r>
      <w:r w:rsidRPr="00EA4E15">
        <w:rPr>
          <w:rFonts w:cs="Arial"/>
          <w:rtl/>
        </w:rPr>
        <w:t>ודע שנכסי צאן ברזל לדעת רבינו הרי הן כדין החוב בדבר זה</w:t>
      </w:r>
      <w:r w:rsidRPr="00EA4E15">
        <w:rPr>
          <w:rFonts w:cs="Arial" w:hint="cs"/>
          <w:rtl/>
        </w:rPr>
        <w:t>,</w:t>
      </w:r>
      <w:r w:rsidRPr="00EA4E15">
        <w:rPr>
          <w:rFonts w:cs="Arial"/>
          <w:rtl/>
        </w:rPr>
        <w:t xml:space="preserve"> וכבר נתבאר דין החוב פי"ז מהלכות מלוה (ה"ט)</w:t>
      </w:r>
      <w:r>
        <w:rPr>
          <w:rFonts w:cs="Arial" w:hint="cs"/>
          <w:rtl/>
        </w:rPr>
        <w:t>.</w:t>
      </w:r>
      <w:r w:rsidRPr="00EA4E15">
        <w:rPr>
          <w:rFonts w:cs="Arial"/>
          <w:rtl/>
        </w:rPr>
        <w:t xml:space="preserve"> וכן דעת הרשב"א ז"ל בתשובה (ח"ד סי' קנב ד"ה ולענין מה שטענו) שכל מה שהוא מקולי כתובה אין נכסי צאן ברזל בכלל אלא הרי הן כדין החוב</w:t>
      </w:r>
      <w:r>
        <w:rPr>
          <w:rFonts w:cs="Arial" w:hint="cs"/>
          <w:sz w:val="16"/>
          <w:szCs w:val="16"/>
          <w:rtl/>
        </w:rPr>
        <w:t xml:space="preserve"> [עכ"ל הה"מ]</w:t>
      </w:r>
      <w:r w:rsidRPr="00EA4E15">
        <w:rPr>
          <w:rFonts w:cs="Arial"/>
          <w:rtl/>
        </w:rPr>
        <w:t xml:space="preserve">. </w:t>
      </w:r>
      <w:r w:rsidRPr="00BB642E">
        <w:rPr>
          <w:rFonts w:hint="cs"/>
          <w:color w:val="00B0F0"/>
          <w:rtl/>
        </w:rPr>
        <w:t>(וכ"פ הרמ"א)</w:t>
      </w:r>
      <w:r>
        <w:rPr>
          <w:rFonts w:cs="Arial" w:hint="cs"/>
          <w:rtl/>
        </w:rPr>
        <w:t xml:space="preserve">. </w:t>
      </w:r>
      <w:r w:rsidRPr="00EA4E15">
        <w:rPr>
          <w:rFonts w:cs="Arial"/>
          <w:rtl/>
        </w:rPr>
        <w:t>ו</w:t>
      </w:r>
      <w:r>
        <w:rPr>
          <w:rFonts w:cs="Arial" w:hint="cs"/>
          <w:rtl/>
        </w:rPr>
        <w:t>כתב הב"י ד</w:t>
      </w:r>
      <w:r w:rsidRPr="00EA4E15">
        <w:rPr>
          <w:rFonts w:cs="Arial"/>
          <w:rtl/>
        </w:rPr>
        <w:t>כל זה ביאר יפה הריב"ש בתשוב</w:t>
      </w:r>
      <w:r>
        <w:rPr>
          <w:rFonts w:cs="Arial" w:hint="cs"/>
          <w:rtl/>
        </w:rPr>
        <w:t>ה</w:t>
      </w:r>
      <w:r w:rsidRPr="00EA4E15">
        <w:rPr>
          <w:rFonts w:cs="Arial"/>
          <w:rtl/>
        </w:rPr>
        <w:t xml:space="preserve"> סימן שי"ב</w:t>
      </w:r>
      <w:r>
        <w:rPr>
          <w:rFonts w:cs="Arial" w:hint="cs"/>
          <w:rtl/>
        </w:rPr>
        <w:t>.</w:t>
      </w:r>
      <w:r w:rsidRPr="00F02E86">
        <w:rPr>
          <w:rFonts w:cs="Arial"/>
          <w:rtl/>
        </w:rPr>
        <w:t xml:space="preserve"> </w:t>
      </w:r>
      <w:r>
        <w:rPr>
          <w:rFonts w:cs="Arial" w:hint="cs"/>
          <w:rtl/>
        </w:rPr>
        <w:t xml:space="preserve">וכתב הדרכ"מ </w:t>
      </w:r>
      <w:r w:rsidRPr="00F02E86">
        <w:rPr>
          <w:rFonts w:cs="Arial"/>
          <w:rtl/>
        </w:rPr>
        <w:t>(</w:t>
      </w:r>
      <w:r>
        <w:rPr>
          <w:rFonts w:cs="Arial" w:hint="cs"/>
          <w:rtl/>
        </w:rPr>
        <w:t xml:space="preserve">אות </w:t>
      </w:r>
      <w:r w:rsidRPr="00F02E86">
        <w:rPr>
          <w:rFonts w:cs="Arial"/>
          <w:rtl/>
        </w:rPr>
        <w:t xml:space="preserve">יג) </w:t>
      </w:r>
      <w:r>
        <w:rPr>
          <w:rFonts w:cs="Arial" w:hint="cs"/>
          <w:rtl/>
        </w:rPr>
        <w:t>ל</w:t>
      </w:r>
      <w:r w:rsidRPr="00F02E86">
        <w:rPr>
          <w:rFonts w:cs="Arial"/>
          <w:rtl/>
        </w:rPr>
        <w:t>עיין בתשובות מיימוני שם (אישות) סימן י"ג</w:t>
      </w:r>
      <w:r>
        <w:rPr>
          <w:rFonts w:cs="Arial" w:hint="cs"/>
          <w:rtl/>
        </w:rPr>
        <w:t>.</w:t>
      </w:r>
    </w:p>
  </w:footnote>
  <w:footnote w:id="2383">
    <w:p w14:paraId="1D5A5CCF" w14:textId="77777777" w:rsidR="00DF1FC7" w:rsidRPr="00EA4E15" w:rsidRDefault="00DF1FC7" w:rsidP="002E5BAD">
      <w:pPr>
        <w:pStyle w:val="a5"/>
        <w:rPr>
          <w:rFonts w:cs="Arial"/>
          <w:rtl/>
        </w:rPr>
      </w:pPr>
      <w:r>
        <w:rPr>
          <w:rStyle w:val="a7"/>
        </w:rPr>
        <w:footnoteRef/>
      </w:r>
      <w:r>
        <w:rPr>
          <w:rtl/>
        </w:rPr>
        <w:t xml:space="preserve"> </w:t>
      </w:r>
      <w:r w:rsidRPr="00823CA2">
        <w:rPr>
          <w:rFonts w:cs="Arial"/>
          <w:rtl/>
        </w:rPr>
        <w:t>ואין כן דעת רבינו</w:t>
      </w:r>
      <w:r>
        <w:rPr>
          <w:rFonts w:cs="Arial" w:hint="cs"/>
          <w:rtl/>
        </w:rPr>
        <w:t>,</w:t>
      </w:r>
      <w:r w:rsidRPr="00823CA2">
        <w:rPr>
          <w:rFonts w:cs="Arial"/>
          <w:rtl/>
        </w:rPr>
        <w:t xml:space="preserve"> אלא אף בכותב סתם יש לה בפחות שבמטבעות שבמקום הנישואין והגירושין</w:t>
      </w:r>
      <w:r>
        <w:rPr>
          <w:rFonts w:cs="Arial" w:hint="cs"/>
          <w:rtl/>
        </w:rPr>
        <w:t>,</w:t>
      </w:r>
      <w:r w:rsidRPr="00823CA2">
        <w:rPr>
          <w:rFonts w:cs="Arial"/>
          <w:rtl/>
        </w:rPr>
        <w:t xml:space="preserve"> אע</w:t>
      </w:r>
      <w:r>
        <w:rPr>
          <w:rFonts w:cs="Arial" w:hint="cs"/>
          <w:rtl/>
        </w:rPr>
        <w:t>"</w:t>
      </w:r>
      <w:r w:rsidRPr="00823CA2">
        <w:rPr>
          <w:rFonts w:cs="Arial"/>
          <w:rtl/>
        </w:rPr>
        <w:t>פ שהוא יותר משיעור חכמים</w:t>
      </w:r>
      <w:r>
        <w:rPr>
          <w:rFonts w:cs="Arial" w:hint="cs"/>
          <w:rtl/>
        </w:rPr>
        <w:t>.</w:t>
      </w:r>
      <w:r w:rsidRPr="00823CA2">
        <w:rPr>
          <w:rFonts w:cs="Arial"/>
          <w:rtl/>
        </w:rPr>
        <w:t xml:space="preserve"> וכן הסכימו הרמב"ן </w:t>
      </w:r>
      <w:r w:rsidRPr="00823CA2">
        <w:rPr>
          <w:rFonts w:cs="Arial"/>
          <w:sz w:val="16"/>
          <w:szCs w:val="16"/>
          <w:rtl/>
        </w:rPr>
        <w:t xml:space="preserve">(קי: ד"ה ויש) </w:t>
      </w:r>
      <w:r w:rsidRPr="00823CA2">
        <w:rPr>
          <w:rFonts w:cs="Arial"/>
          <w:rtl/>
        </w:rPr>
        <w:t xml:space="preserve">והרשב"א ז"ל ודחו סברת הר"א ז"ל. וכתב הרשב"א ז"ל שאם כתב לה </w:t>
      </w:r>
      <w:r>
        <w:rPr>
          <w:rFonts w:cs="Arial" w:hint="cs"/>
          <w:rtl/>
        </w:rPr>
        <w:t>'</w:t>
      </w:r>
      <w:r w:rsidRPr="00823CA2">
        <w:rPr>
          <w:rFonts w:cs="Arial"/>
          <w:rtl/>
        </w:rPr>
        <w:t>מאתים דינרים דחזו ליכי</w:t>
      </w:r>
      <w:r>
        <w:rPr>
          <w:rFonts w:cs="Arial" w:hint="cs"/>
          <w:rtl/>
        </w:rPr>
        <w:t>'</w:t>
      </w:r>
      <w:r w:rsidRPr="00823CA2">
        <w:rPr>
          <w:rFonts w:cs="Arial"/>
          <w:rtl/>
        </w:rPr>
        <w:t xml:space="preserve"> שהם מאתים של מדינה</w:t>
      </w:r>
      <w:r>
        <w:rPr>
          <w:rFonts w:cs="Arial" w:hint="cs"/>
          <w:rtl/>
        </w:rPr>
        <w:t>,</w:t>
      </w:r>
      <w:r w:rsidRPr="00823CA2">
        <w:rPr>
          <w:rFonts w:cs="Arial"/>
          <w:rtl/>
        </w:rPr>
        <w:t xml:space="preserve"> שהרי לא פירש אי אלו מאתים אותן דחזו לה עכ"ל</w:t>
      </w:r>
      <w:r>
        <w:rPr>
          <w:rFonts w:cs="Arial" w:hint="cs"/>
          <w:sz w:val="16"/>
          <w:szCs w:val="16"/>
          <w:rtl/>
        </w:rPr>
        <w:t xml:space="preserve"> [הרשב"א]</w:t>
      </w:r>
      <w:r>
        <w:rPr>
          <w:rFonts w:cs="Arial" w:hint="cs"/>
          <w:rtl/>
        </w:rPr>
        <w:t>, הה"מ (שם)</w:t>
      </w:r>
      <w:r>
        <w:rPr>
          <w:rFonts w:cs="Arial"/>
          <w:rtl/>
        </w:rPr>
        <w:t>.</w:t>
      </w:r>
    </w:p>
  </w:footnote>
  <w:footnote w:id="2384">
    <w:p w14:paraId="2EA7207B" w14:textId="77777777" w:rsidR="00DF1FC7" w:rsidRDefault="00DF1FC7" w:rsidP="002E5BAD">
      <w:pPr>
        <w:pStyle w:val="a5"/>
        <w:rPr>
          <w:rtl/>
        </w:rPr>
      </w:pPr>
      <w:r>
        <w:rPr>
          <w:rStyle w:val="a7"/>
        </w:rPr>
        <w:footnoteRef/>
      </w:r>
      <w:r>
        <w:rPr>
          <w:rtl/>
        </w:rPr>
        <w:t xml:space="preserve"> </w:t>
      </w:r>
      <w:r>
        <w:rPr>
          <w:rFonts w:cs="Arial"/>
          <w:rtl/>
        </w:rPr>
        <w:t>ואין דבריו נראים לי</w:t>
      </w:r>
      <w:r>
        <w:rPr>
          <w:rFonts w:cs="Arial" w:hint="cs"/>
          <w:rtl/>
        </w:rPr>
        <w:t>, ב"י.</w:t>
      </w:r>
      <w:r w:rsidRPr="00F02E86">
        <w:rPr>
          <w:rFonts w:cs="Arial"/>
          <w:rtl/>
        </w:rPr>
        <w:t xml:space="preserve"> </w:t>
      </w:r>
      <w:r>
        <w:rPr>
          <w:rFonts w:cs="Arial" w:hint="cs"/>
          <w:rtl/>
        </w:rPr>
        <w:t xml:space="preserve">וכתב הדרכ"מ </w:t>
      </w:r>
      <w:r w:rsidRPr="00F02E86">
        <w:rPr>
          <w:rFonts w:cs="Arial"/>
          <w:rtl/>
        </w:rPr>
        <w:t>(</w:t>
      </w:r>
      <w:r>
        <w:rPr>
          <w:rFonts w:cs="Arial" w:hint="cs"/>
          <w:rtl/>
        </w:rPr>
        <w:t xml:space="preserve">אות </w:t>
      </w:r>
      <w:r w:rsidRPr="00F02E86">
        <w:rPr>
          <w:rFonts w:cs="Arial"/>
          <w:rtl/>
        </w:rPr>
        <w:t>יד)</w:t>
      </w:r>
      <w:r>
        <w:rPr>
          <w:rFonts w:cs="Arial" w:hint="cs"/>
          <w:rtl/>
        </w:rPr>
        <w:t>-</w:t>
      </w:r>
      <w:r w:rsidRPr="00F02E86">
        <w:rPr>
          <w:rFonts w:cs="Arial"/>
          <w:rtl/>
        </w:rPr>
        <w:t xml:space="preserve"> ולא ידעתי טעמו</w:t>
      </w:r>
      <w:r>
        <w:rPr>
          <w:rFonts w:cs="Arial" w:hint="cs"/>
          <w:rtl/>
        </w:rPr>
        <w:t>,</w:t>
      </w:r>
      <w:r w:rsidRPr="00F02E86">
        <w:rPr>
          <w:rFonts w:cs="Arial"/>
          <w:rtl/>
        </w:rPr>
        <w:t xml:space="preserve"> כי סברת מהרי"ק נראית נכונה</w:t>
      </w:r>
      <w:r>
        <w:rPr>
          <w:rFonts w:cs="Arial" w:hint="cs"/>
          <w:rtl/>
        </w:rPr>
        <w:t>,</w:t>
      </w:r>
      <w:r w:rsidRPr="00F02E86">
        <w:rPr>
          <w:rFonts w:cs="Arial"/>
          <w:rtl/>
        </w:rPr>
        <w:t xml:space="preserve"> כי השליש שמוסיפים הוא משום דאמרו חכמים שיכול להרויח בנדוניא שליש</w:t>
      </w:r>
      <w:r>
        <w:rPr>
          <w:rFonts w:cs="Arial" w:hint="cs"/>
          <w:rtl/>
        </w:rPr>
        <w:t>,</w:t>
      </w:r>
      <w:r w:rsidRPr="00F02E86">
        <w:rPr>
          <w:rFonts w:cs="Arial"/>
          <w:rtl/>
        </w:rPr>
        <w:t xml:space="preserve"> כדאיתא במשנה פרק מציאת האשה (סו</w:t>
      </w:r>
      <w:r>
        <w:rPr>
          <w:rFonts w:cs="Arial" w:hint="cs"/>
          <w:rtl/>
        </w:rPr>
        <w:t>.</w:t>
      </w:r>
      <w:r w:rsidRPr="00F02E86">
        <w:rPr>
          <w:rFonts w:cs="Arial"/>
          <w:rtl/>
        </w:rPr>
        <w:t>) ומחוייב להוסיף לה במקום שנהגו כדאיתא לעיל סימן ס"ו (עמ' רצז)</w:t>
      </w:r>
      <w:r>
        <w:rPr>
          <w:rFonts w:cs="Arial" w:hint="cs"/>
          <w:rtl/>
        </w:rPr>
        <w:t>.</w:t>
      </w:r>
      <w:r w:rsidRPr="00F02E86">
        <w:rPr>
          <w:rFonts w:cs="Arial"/>
          <w:rtl/>
        </w:rPr>
        <w:t xml:space="preserve"> אם כן הוי זה השליש כאילו הכניסה לו כ"כ, מה שאין כן בתוספת שברצונו תליא מילתא</w:t>
      </w:r>
      <w:r>
        <w:rPr>
          <w:rFonts w:cs="Arial" w:hint="cs"/>
          <w:rtl/>
        </w:rPr>
        <w:t>.</w:t>
      </w:r>
      <w:r w:rsidRPr="00F02E86">
        <w:rPr>
          <w:rFonts w:cs="Arial"/>
          <w:rtl/>
        </w:rPr>
        <w:t xml:space="preserve"> כן נראה לי</w:t>
      </w:r>
      <w:r>
        <w:rPr>
          <w:rFonts w:cs="Arial" w:hint="cs"/>
          <w:rtl/>
        </w:rPr>
        <w:t>.</w:t>
      </w:r>
    </w:p>
  </w:footnote>
  <w:footnote w:id="2385">
    <w:p w14:paraId="5C95D9C3" w14:textId="77777777" w:rsidR="00DF1FC7" w:rsidRDefault="00DF1FC7" w:rsidP="002E5BAD">
      <w:pPr>
        <w:pStyle w:val="a5"/>
      </w:pPr>
      <w:r>
        <w:rPr>
          <w:rStyle w:val="a7"/>
        </w:rPr>
        <w:footnoteRef/>
      </w:r>
      <w:r>
        <w:rPr>
          <w:rtl/>
        </w:rPr>
        <w:t xml:space="preserve"> </w:t>
      </w:r>
      <w:r>
        <w:rPr>
          <w:rFonts w:hint="cs"/>
          <w:rtl/>
        </w:rPr>
        <w:t>ופשוט הוא, ב"י.</w:t>
      </w:r>
    </w:p>
  </w:footnote>
  <w:footnote w:id="2386">
    <w:p w14:paraId="7BCFE7D3" w14:textId="77777777" w:rsidR="00DF1FC7" w:rsidRDefault="00DF1FC7" w:rsidP="002E5BAD">
      <w:pPr>
        <w:pStyle w:val="a5"/>
      </w:pPr>
      <w:r>
        <w:rPr>
          <w:rStyle w:val="a7"/>
        </w:rPr>
        <w:footnoteRef/>
      </w:r>
      <w:r>
        <w:rPr>
          <w:rtl/>
        </w:rPr>
        <w:t xml:space="preserve"> </w:t>
      </w:r>
      <w:r w:rsidRPr="005F6D41">
        <w:rPr>
          <w:rFonts w:cs="Arial"/>
          <w:rtl/>
        </w:rPr>
        <w:t>דין זה הוא מתשו' הרשב"א</w:t>
      </w:r>
      <w:r>
        <w:rPr>
          <w:rFonts w:cs="Arial" w:hint="cs"/>
          <w:rtl/>
        </w:rPr>
        <w:t>,</w:t>
      </w:r>
      <w:r w:rsidRPr="005F6D41">
        <w:rPr>
          <w:rFonts w:cs="Arial"/>
          <w:rtl/>
        </w:rPr>
        <w:t xml:space="preserve"> והרשב"א אזיל לטעמי' דס"ל שגביית הכתובה הוא במקום הגירושין</w:t>
      </w:r>
      <w:r>
        <w:rPr>
          <w:rFonts w:cs="Arial" w:hint="cs"/>
          <w:rtl/>
        </w:rPr>
        <w:t>.</w:t>
      </w:r>
      <w:r w:rsidRPr="005F6D41">
        <w:rPr>
          <w:rFonts w:cs="Arial"/>
          <w:rtl/>
        </w:rPr>
        <w:t xml:space="preserve"> שכ' בתשו' </w:t>
      </w:r>
      <w:r>
        <w:rPr>
          <w:rFonts w:cs="Arial" w:hint="cs"/>
          <w:rtl/>
        </w:rPr>
        <w:t>(</w:t>
      </w:r>
      <w:r w:rsidRPr="005F6D41">
        <w:rPr>
          <w:rFonts w:cs="Arial"/>
          <w:rtl/>
        </w:rPr>
        <w:t>סי' אלף רנד</w:t>
      </w:r>
      <w:r>
        <w:rPr>
          <w:rFonts w:cs="Arial" w:hint="cs"/>
          <w:rtl/>
        </w:rPr>
        <w:t>)</w:t>
      </w:r>
      <w:r w:rsidRPr="005F6D41">
        <w:rPr>
          <w:rFonts w:cs="Arial"/>
          <w:rtl/>
        </w:rPr>
        <w:t xml:space="preserve"> דא</w:t>
      </w:r>
      <w:r>
        <w:rPr>
          <w:rFonts w:cs="Arial" w:hint="cs"/>
          <w:rtl/>
        </w:rPr>
        <w:t xml:space="preserve">ינה </w:t>
      </w:r>
      <w:r w:rsidRPr="005F6D41">
        <w:rPr>
          <w:rFonts w:cs="Arial"/>
          <w:rtl/>
        </w:rPr>
        <w:t>צ</w:t>
      </w:r>
      <w:r>
        <w:rPr>
          <w:rFonts w:cs="Arial" w:hint="cs"/>
          <w:rtl/>
        </w:rPr>
        <w:t>ריכה</w:t>
      </w:r>
      <w:r w:rsidRPr="005F6D41">
        <w:rPr>
          <w:rFonts w:cs="Arial"/>
          <w:rtl/>
        </w:rPr>
        <w:t xml:space="preserve"> לקבל גט כל שאין כתובה מוכנת</w:t>
      </w:r>
      <w:r>
        <w:rPr>
          <w:rFonts w:cs="Arial" w:hint="cs"/>
          <w:rtl/>
        </w:rPr>
        <w:t>.</w:t>
      </w:r>
      <w:r w:rsidRPr="005F6D41">
        <w:rPr>
          <w:rFonts w:cs="Arial"/>
          <w:rtl/>
        </w:rPr>
        <w:t xml:space="preserve"> והביא ראי</w:t>
      </w:r>
      <w:r>
        <w:rPr>
          <w:rFonts w:cs="Arial" w:hint="cs"/>
          <w:rtl/>
        </w:rPr>
        <w:t>ה</w:t>
      </w:r>
      <w:r w:rsidRPr="005F6D41">
        <w:rPr>
          <w:rFonts w:cs="Arial"/>
          <w:rtl/>
        </w:rPr>
        <w:t xml:space="preserve"> מל' המשנה </w:t>
      </w:r>
      <w:r w:rsidRPr="000C6B1E">
        <w:rPr>
          <w:rFonts w:cs="Arial" w:hint="cs"/>
          <w:sz w:val="16"/>
          <w:szCs w:val="16"/>
          <w:rtl/>
        </w:rPr>
        <w:t>(</w:t>
      </w:r>
      <w:r w:rsidRPr="000C6B1E">
        <w:rPr>
          <w:rFonts w:cs="Arial"/>
          <w:sz w:val="16"/>
          <w:szCs w:val="16"/>
          <w:rtl/>
        </w:rPr>
        <w:t xml:space="preserve">וכ"מ קצת מל' הרא"ש </w:t>
      </w:r>
      <w:r w:rsidRPr="000C6B1E">
        <w:rPr>
          <w:rFonts w:cs="Arial" w:hint="cs"/>
          <w:sz w:val="16"/>
          <w:szCs w:val="16"/>
          <w:rtl/>
        </w:rPr>
        <w:t>(</w:t>
      </w:r>
      <w:r w:rsidRPr="000C6B1E">
        <w:rPr>
          <w:rFonts w:cs="Arial"/>
          <w:sz w:val="16"/>
          <w:szCs w:val="16"/>
          <w:rtl/>
        </w:rPr>
        <w:t>כלל מב</w:t>
      </w:r>
      <w:r w:rsidRPr="000C6B1E">
        <w:rPr>
          <w:rFonts w:cs="Arial" w:hint="cs"/>
          <w:sz w:val="16"/>
          <w:szCs w:val="16"/>
          <w:rtl/>
        </w:rPr>
        <w:t>)</w:t>
      </w:r>
      <w:r w:rsidRPr="000C6B1E">
        <w:rPr>
          <w:rFonts w:cs="Arial"/>
          <w:sz w:val="16"/>
          <w:szCs w:val="16"/>
          <w:rtl/>
        </w:rPr>
        <w:t xml:space="preserve"> שכ' כיון שמן הדין היא חייבת לקבל גט נמצא פריעת חוב כתובה כשאר חוב</w:t>
      </w:r>
      <w:r w:rsidRPr="000C6B1E">
        <w:rPr>
          <w:rFonts w:cs="Arial" w:hint="cs"/>
          <w:sz w:val="16"/>
          <w:szCs w:val="16"/>
          <w:rtl/>
        </w:rPr>
        <w:t>.</w:t>
      </w:r>
      <w:r w:rsidRPr="000C6B1E">
        <w:rPr>
          <w:rFonts w:cs="Arial"/>
          <w:sz w:val="16"/>
          <w:szCs w:val="16"/>
          <w:rtl/>
        </w:rPr>
        <w:t xml:space="preserve"> משמע הא כל שאין חייבת לקבל גט רק שהוא מגרשה מרצונ</w:t>
      </w:r>
      <w:r w:rsidRPr="000C6B1E">
        <w:rPr>
          <w:rFonts w:cs="Arial" w:hint="cs"/>
          <w:sz w:val="16"/>
          <w:szCs w:val="16"/>
          <w:rtl/>
        </w:rPr>
        <w:t>ה</w:t>
      </w:r>
      <w:r w:rsidRPr="000C6B1E">
        <w:rPr>
          <w:rFonts w:cs="Arial"/>
          <w:sz w:val="16"/>
          <w:szCs w:val="16"/>
          <w:rtl/>
        </w:rPr>
        <w:t xml:space="preserve"> </w:t>
      </w:r>
      <w:r w:rsidRPr="000C6B1E">
        <w:rPr>
          <w:rFonts w:cs="Arial" w:hint="cs"/>
          <w:sz w:val="16"/>
          <w:szCs w:val="16"/>
          <w:rtl/>
        </w:rPr>
        <w:t xml:space="preserve">- </w:t>
      </w:r>
      <w:r w:rsidRPr="000C6B1E">
        <w:rPr>
          <w:rFonts w:cs="Arial"/>
          <w:sz w:val="16"/>
          <w:szCs w:val="16"/>
          <w:rtl/>
        </w:rPr>
        <w:t>צריך ליתן לה כתובה</w:t>
      </w:r>
      <w:r w:rsidRPr="000C6B1E">
        <w:rPr>
          <w:rFonts w:cs="Arial" w:hint="cs"/>
          <w:sz w:val="16"/>
          <w:szCs w:val="16"/>
          <w:rtl/>
        </w:rPr>
        <w:t>.</w:t>
      </w:r>
      <w:r w:rsidRPr="000C6B1E">
        <w:rPr>
          <w:rFonts w:cs="Arial"/>
          <w:sz w:val="16"/>
          <w:szCs w:val="16"/>
          <w:rtl/>
        </w:rPr>
        <w:t xml:space="preserve"> אבל כל שחייבת לקבל גט </w:t>
      </w:r>
      <w:r w:rsidRPr="000C6B1E">
        <w:rPr>
          <w:rFonts w:cs="Arial" w:hint="cs"/>
          <w:sz w:val="16"/>
          <w:szCs w:val="16"/>
          <w:rtl/>
        </w:rPr>
        <w:t xml:space="preserve">- </w:t>
      </w:r>
      <w:r w:rsidRPr="000C6B1E">
        <w:rPr>
          <w:rFonts w:cs="Arial"/>
          <w:sz w:val="16"/>
          <w:szCs w:val="16"/>
          <w:rtl/>
        </w:rPr>
        <w:t>יכול לגרשה ואח"כ תתבע היא אותו</w:t>
      </w:r>
      <w:r w:rsidRPr="000C6B1E">
        <w:rPr>
          <w:rFonts w:cs="Arial" w:hint="cs"/>
          <w:sz w:val="16"/>
          <w:szCs w:val="16"/>
          <w:rtl/>
        </w:rPr>
        <w:t>,</w:t>
      </w:r>
      <w:r w:rsidRPr="000C6B1E">
        <w:rPr>
          <w:rFonts w:cs="Arial"/>
          <w:sz w:val="16"/>
          <w:szCs w:val="16"/>
          <w:rtl/>
        </w:rPr>
        <w:t xml:space="preserve"> ואם יש לו</w:t>
      </w:r>
      <w:r w:rsidRPr="000C6B1E">
        <w:rPr>
          <w:rFonts w:cs="Arial" w:hint="cs"/>
          <w:sz w:val="16"/>
          <w:szCs w:val="16"/>
          <w:rtl/>
        </w:rPr>
        <w:t>,</w:t>
      </w:r>
      <w:r w:rsidRPr="000C6B1E">
        <w:rPr>
          <w:rFonts w:cs="Arial"/>
          <w:sz w:val="16"/>
          <w:szCs w:val="16"/>
          <w:rtl/>
        </w:rPr>
        <w:t xml:space="preserve"> ישלם לה</w:t>
      </w:r>
      <w:r w:rsidRPr="000C6B1E">
        <w:rPr>
          <w:rFonts w:cs="Arial" w:hint="cs"/>
          <w:sz w:val="16"/>
          <w:szCs w:val="16"/>
          <w:rtl/>
        </w:rPr>
        <w:t>,</w:t>
      </w:r>
      <w:r w:rsidRPr="000C6B1E">
        <w:rPr>
          <w:rFonts w:cs="Arial"/>
          <w:sz w:val="16"/>
          <w:szCs w:val="16"/>
          <w:rtl/>
        </w:rPr>
        <w:t xml:space="preserve"> וא"כ צריכ</w:t>
      </w:r>
      <w:r w:rsidRPr="000C6B1E">
        <w:rPr>
          <w:rFonts w:cs="Arial" w:hint="cs"/>
          <w:sz w:val="16"/>
          <w:szCs w:val="16"/>
          <w:rtl/>
        </w:rPr>
        <w:t>ה</w:t>
      </w:r>
      <w:r w:rsidRPr="000C6B1E">
        <w:rPr>
          <w:rFonts w:cs="Arial"/>
          <w:sz w:val="16"/>
          <w:szCs w:val="16"/>
          <w:rtl/>
        </w:rPr>
        <w:t xml:space="preserve"> היא לילך אחריו ונותן לה מעות מקום שהוא דר שם</w:t>
      </w:r>
      <w:r>
        <w:rPr>
          <w:rFonts w:cs="Arial" w:hint="cs"/>
          <w:sz w:val="16"/>
          <w:szCs w:val="16"/>
          <w:rtl/>
        </w:rPr>
        <w:t>)</w:t>
      </w:r>
      <w:r>
        <w:rPr>
          <w:rFonts w:cs="Arial" w:hint="cs"/>
          <w:rtl/>
        </w:rPr>
        <w:t>.</w:t>
      </w:r>
      <w:r w:rsidRPr="005F6D41">
        <w:rPr>
          <w:rFonts w:cs="Arial"/>
          <w:rtl/>
        </w:rPr>
        <w:t xml:space="preserve"> וע' בתשו' הריב"ש </w:t>
      </w:r>
      <w:r>
        <w:rPr>
          <w:rFonts w:cs="Arial" w:hint="cs"/>
          <w:rtl/>
        </w:rPr>
        <w:t>(</w:t>
      </w:r>
      <w:r w:rsidRPr="005F6D41">
        <w:rPr>
          <w:rFonts w:cs="Arial"/>
          <w:rtl/>
        </w:rPr>
        <w:t>סי' צא</w:t>
      </w:r>
      <w:r>
        <w:rPr>
          <w:rFonts w:cs="Arial" w:hint="cs"/>
          <w:rtl/>
        </w:rPr>
        <w:t>)</w:t>
      </w:r>
      <w:r w:rsidRPr="005F6D41">
        <w:rPr>
          <w:rFonts w:cs="Arial"/>
          <w:rtl/>
        </w:rPr>
        <w:t xml:space="preserve"> משמע קצת דכל אשה צריכ</w:t>
      </w:r>
      <w:r>
        <w:rPr>
          <w:rFonts w:cs="Arial" w:hint="cs"/>
          <w:rtl/>
        </w:rPr>
        <w:t>ה</w:t>
      </w:r>
      <w:r w:rsidRPr="005F6D41">
        <w:rPr>
          <w:rFonts w:cs="Arial"/>
          <w:rtl/>
        </w:rPr>
        <w:t xml:space="preserve"> לקבל גט תחלה ואח"כ תתבע הכתוב</w:t>
      </w:r>
      <w:r>
        <w:rPr>
          <w:rFonts w:cs="Arial" w:hint="cs"/>
          <w:rtl/>
        </w:rPr>
        <w:t>ה,</w:t>
      </w:r>
      <w:r w:rsidRPr="005F6D41">
        <w:rPr>
          <w:rFonts w:cs="Arial"/>
          <w:rtl/>
        </w:rPr>
        <w:t xml:space="preserve"> וא"כ לפי דבריו אף ששלח לה גט למקום הנשואין צריכה היא לילך אחריו ולתבוע כתובה במקום שהוא דר</w:t>
      </w:r>
      <w:r>
        <w:rPr>
          <w:rFonts w:cs="Arial" w:hint="cs"/>
          <w:rtl/>
        </w:rPr>
        <w:t>, ח"מ (סקכ"ז).</w:t>
      </w:r>
      <w:r>
        <w:rPr>
          <w:rFonts w:hint="cs"/>
          <w:rtl/>
        </w:rPr>
        <w:t xml:space="preserve"> וכתב הב"ש (סקכ"ד) ל</w:t>
      </w:r>
      <w:r w:rsidRPr="000C6B1E">
        <w:rPr>
          <w:rFonts w:cs="Arial"/>
          <w:rtl/>
        </w:rPr>
        <w:t>ע</w:t>
      </w:r>
      <w:r>
        <w:rPr>
          <w:rFonts w:cs="Arial" w:hint="cs"/>
          <w:rtl/>
        </w:rPr>
        <w:t>י</w:t>
      </w:r>
      <w:r w:rsidRPr="000C6B1E">
        <w:rPr>
          <w:rFonts w:cs="Arial"/>
          <w:rtl/>
        </w:rPr>
        <w:t xml:space="preserve">' </w:t>
      </w:r>
      <w:r>
        <w:rPr>
          <w:rFonts w:cs="Arial" w:hint="cs"/>
          <w:rtl/>
        </w:rPr>
        <w:t>ב</w:t>
      </w:r>
      <w:r w:rsidRPr="000C6B1E">
        <w:rPr>
          <w:rFonts w:cs="Arial"/>
          <w:rtl/>
        </w:rPr>
        <w:t>סימן קי"ט שם מבואר פלוגתת הפוסקים אם היא יכולה לומר לא אקבל הגט עד שיסלק לי הכתובה</w:t>
      </w:r>
      <w:r>
        <w:rPr>
          <w:rFonts w:cs="Arial" w:hint="cs"/>
          <w:rtl/>
        </w:rPr>
        <w:t xml:space="preserve">... </w:t>
      </w:r>
      <w:r w:rsidRPr="000C6B1E">
        <w:rPr>
          <w:rFonts w:cs="Arial"/>
          <w:rtl/>
        </w:rPr>
        <w:t>ולכאורה נ"ל ע"כ לא פליגי שם אלא כשאין לו לשלם אבל כשיש לו לשלם לכ"ע חל הזמן פרעון בעת הנתינת הגט</w:t>
      </w:r>
      <w:r>
        <w:rPr>
          <w:rFonts w:cs="Arial" w:hint="cs"/>
          <w:rtl/>
        </w:rPr>
        <w:t>.</w:t>
      </w:r>
      <w:r w:rsidRPr="000C6B1E">
        <w:rPr>
          <w:rFonts w:cs="Arial"/>
          <w:rtl/>
        </w:rPr>
        <w:t xml:space="preserve"> ושם במקום הגט הוא מקום הוצאות השטר חוב היינו הכתובה</w:t>
      </w:r>
      <w:r>
        <w:rPr>
          <w:rFonts w:cs="Arial" w:hint="cs"/>
          <w:rtl/>
        </w:rPr>
        <w:t>.</w:t>
      </w:r>
      <w:r w:rsidRPr="000C6B1E">
        <w:rPr>
          <w:rFonts w:cs="Arial"/>
          <w:rtl/>
        </w:rPr>
        <w:t xml:space="preserve"> ואפי' אם אין לו לשלם י"ל מ"מ בעת נתינת הגט חל הז</w:t>
      </w:r>
      <w:r>
        <w:rPr>
          <w:rFonts w:cs="Arial" w:hint="cs"/>
          <w:rtl/>
        </w:rPr>
        <w:t xml:space="preserve">מן </w:t>
      </w:r>
      <w:r w:rsidRPr="000C6B1E">
        <w:rPr>
          <w:rFonts w:cs="Arial"/>
          <w:rtl/>
        </w:rPr>
        <w:t>פ</w:t>
      </w:r>
      <w:r>
        <w:rPr>
          <w:rFonts w:cs="Arial" w:hint="cs"/>
          <w:rtl/>
        </w:rPr>
        <w:t>רעון,</w:t>
      </w:r>
      <w:r w:rsidRPr="000C6B1E">
        <w:rPr>
          <w:rFonts w:cs="Arial"/>
          <w:rtl/>
        </w:rPr>
        <w:t xml:space="preserve"> ואז הוי מקום הוצאות השטר חוב</w:t>
      </w:r>
      <w:r>
        <w:rPr>
          <w:rFonts w:hint="cs"/>
          <w:rtl/>
        </w:rPr>
        <w:t>.</w:t>
      </w:r>
    </w:p>
  </w:footnote>
  <w:footnote w:id="2387">
    <w:p w14:paraId="71FD8F9F" w14:textId="77777777" w:rsidR="00DF1FC7" w:rsidRDefault="00DF1FC7" w:rsidP="002E5BAD">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2388">
    <w:p w14:paraId="277BBE46" w14:textId="77777777" w:rsidR="00DF1FC7" w:rsidRDefault="00DF1FC7" w:rsidP="002E5BAD">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2389">
    <w:p w14:paraId="513F527A" w14:textId="77777777" w:rsidR="00DF1FC7" w:rsidRDefault="00DF1FC7" w:rsidP="002E5BAD">
      <w:pPr>
        <w:pStyle w:val="a5"/>
      </w:pPr>
      <w:r>
        <w:rPr>
          <w:rStyle w:val="a7"/>
        </w:rPr>
        <w:footnoteRef/>
      </w:r>
      <w:r>
        <w:rPr>
          <w:rtl/>
        </w:rPr>
        <w:t xml:space="preserve"> </w:t>
      </w:r>
      <w:r w:rsidRPr="00BF051A">
        <w:rPr>
          <w:rFonts w:cs="Arial"/>
          <w:rtl/>
        </w:rPr>
        <w:t>דבר שהוא תנאי בית דין, כגון כתובה ומזון האשה והבנות, הטוען ואמר פרעתי שלא בעדים - לא אמר כלום</w:t>
      </w:r>
      <w:r>
        <w:rPr>
          <w:rFonts w:cs="Arial" w:hint="cs"/>
          <w:rtl/>
        </w:rPr>
        <w:t>, רש"י.</w:t>
      </w:r>
    </w:p>
  </w:footnote>
  <w:footnote w:id="2390">
    <w:p w14:paraId="054C045D" w14:textId="77777777" w:rsidR="00DF1FC7" w:rsidRDefault="00DF1FC7" w:rsidP="002E5BAD">
      <w:pPr>
        <w:pStyle w:val="a5"/>
      </w:pPr>
      <w:r>
        <w:rPr>
          <w:rStyle w:val="a7"/>
        </w:rPr>
        <w:footnoteRef/>
      </w:r>
      <w:r>
        <w:rPr>
          <w:rtl/>
        </w:rPr>
        <w:t xml:space="preserve"> </w:t>
      </w:r>
      <w:r w:rsidRPr="00BF051A">
        <w:rPr>
          <w:rFonts w:cs="Arial"/>
          <w:rtl/>
        </w:rPr>
        <w:t>אם לא שהגבהתי לך את החרס, לא היית מוצא את המרגלית שהיתה חבויה תחתיה. כלומר, אם לא שאמרתי את הכלל ש"הטוען אחר מעשה בית דין לא אמר כלום", לא היית מבין מעצמך דין זה מתוך המשנה</w:t>
      </w:r>
      <w:r>
        <w:rPr>
          <w:rFonts w:cs="Arial" w:hint="cs"/>
          <w:rtl/>
        </w:rPr>
        <w:t xml:space="preserve"> (פירוש חברותא).</w:t>
      </w:r>
    </w:p>
  </w:footnote>
  <w:footnote w:id="2391">
    <w:p w14:paraId="505028CB" w14:textId="77777777" w:rsidR="00DF1FC7" w:rsidRDefault="00DF1FC7" w:rsidP="002E5BAD">
      <w:pPr>
        <w:pStyle w:val="a5"/>
      </w:pPr>
      <w:r>
        <w:rPr>
          <w:rStyle w:val="a7"/>
        </w:rPr>
        <w:footnoteRef/>
      </w:r>
      <w:r>
        <w:rPr>
          <w:rtl/>
        </w:rPr>
        <w:t xml:space="preserve"> </w:t>
      </w:r>
      <w:r w:rsidRPr="00BF051A">
        <w:rPr>
          <w:rFonts w:cs="Arial"/>
          <w:rtl/>
        </w:rPr>
        <w:t>אלא סומכין על תנאי בית דין, ותגבה לעולם עד שיוציא הבעל שובר, דגט שמעיד שגירשה הוא מוכיח שחייב הוא לה כתובה</w:t>
      </w:r>
      <w:r>
        <w:rPr>
          <w:rFonts w:cs="Arial" w:hint="cs"/>
          <w:rtl/>
        </w:rPr>
        <w:t>, רש"י.</w:t>
      </w:r>
    </w:p>
  </w:footnote>
  <w:footnote w:id="2392">
    <w:p w14:paraId="2E39D8C0" w14:textId="77777777" w:rsidR="00DF1FC7" w:rsidRDefault="00DF1FC7" w:rsidP="002E5BAD">
      <w:pPr>
        <w:pStyle w:val="a5"/>
        <w:rPr>
          <w:rtl/>
        </w:rPr>
      </w:pPr>
      <w:r>
        <w:rPr>
          <w:rStyle w:val="a7"/>
        </w:rPr>
        <w:footnoteRef/>
      </w:r>
      <w:r>
        <w:rPr>
          <w:rtl/>
        </w:rPr>
        <w:t xml:space="preserve"> </w:t>
      </w:r>
      <w:r>
        <w:rPr>
          <w:rFonts w:hint="cs"/>
          <w:rtl/>
        </w:rPr>
        <w:t>יורש, ולומר פרעתיה, רש"י.</w:t>
      </w:r>
    </w:p>
  </w:footnote>
  <w:footnote w:id="2393">
    <w:p w14:paraId="7C3D11E4" w14:textId="77777777" w:rsidR="00DF1FC7" w:rsidRDefault="00DF1FC7" w:rsidP="002E5BAD">
      <w:pPr>
        <w:pStyle w:val="a5"/>
      </w:pPr>
      <w:r>
        <w:rPr>
          <w:rStyle w:val="a7"/>
        </w:rPr>
        <w:footnoteRef/>
      </w:r>
      <w:r>
        <w:rPr>
          <w:rtl/>
        </w:rPr>
        <w:t xml:space="preserve"> </w:t>
      </w:r>
      <w:r w:rsidRPr="006F1DF9">
        <w:rPr>
          <w:rFonts w:cs="Arial"/>
          <w:rtl/>
        </w:rPr>
        <w:t>שתקנו כתובה לארוסה, והלא הכל יטענו פרעתי</w:t>
      </w:r>
      <w:r>
        <w:rPr>
          <w:rFonts w:cs="Arial" w:hint="cs"/>
          <w:rtl/>
        </w:rPr>
        <w:t>, רש"י.</w:t>
      </w:r>
    </w:p>
  </w:footnote>
  <w:footnote w:id="2394">
    <w:p w14:paraId="4DE4575B" w14:textId="77777777" w:rsidR="00DF1FC7" w:rsidRDefault="00DF1FC7" w:rsidP="002E5BAD">
      <w:pPr>
        <w:pStyle w:val="a5"/>
      </w:pPr>
      <w:r>
        <w:rPr>
          <w:rStyle w:val="a7"/>
        </w:rPr>
        <w:footnoteRef/>
      </w:r>
      <w:r>
        <w:rPr>
          <w:rtl/>
        </w:rPr>
        <w:t xml:space="preserve"> </w:t>
      </w:r>
      <w:r>
        <w:rPr>
          <w:rFonts w:hint="cs"/>
          <w:rtl/>
        </w:rPr>
        <w:t xml:space="preserve">וז"ל שם- </w:t>
      </w:r>
      <w:r w:rsidRPr="00DF7DC4">
        <w:rPr>
          <w:rFonts w:cs="Arial"/>
          <w:rtl/>
        </w:rPr>
        <w:t xml:space="preserve">הוציאה גט ואין בידה שטר כתובה, אם דרך אותו מקום שלא יכתבו כתובה </w:t>
      </w:r>
      <w:r w:rsidRPr="00DF7DC4">
        <w:rPr>
          <w:rFonts w:cs="Arial" w:hint="cs"/>
          <w:rtl/>
        </w:rPr>
        <w:t xml:space="preserve">- </w:t>
      </w:r>
      <w:r w:rsidRPr="00DF7DC4">
        <w:rPr>
          <w:rFonts w:cs="Arial"/>
          <w:rtl/>
        </w:rPr>
        <w:t xml:space="preserve">גובה עיקר כתובה בגט שבידה, ואם דרכן לכתוב כתובה </w:t>
      </w:r>
      <w:r w:rsidRPr="00DF7DC4">
        <w:rPr>
          <w:rFonts w:cs="Arial" w:hint="cs"/>
          <w:rtl/>
        </w:rPr>
        <w:t xml:space="preserve">- </w:t>
      </w:r>
      <w:r w:rsidRPr="00DF7DC4">
        <w:rPr>
          <w:rFonts w:cs="Arial"/>
          <w:rtl/>
        </w:rPr>
        <w:t>אפילו עיקר אין לה עד שתוציא שטר כתובה כמו שביארנו, ונשבע הבעל שבועת הסת על טענתה ונפטר</w:t>
      </w:r>
      <w:r>
        <w:rPr>
          <w:rFonts w:cs="Arial" w:hint="cs"/>
          <w:rtl/>
        </w:rPr>
        <w:t>.</w:t>
      </w:r>
    </w:p>
  </w:footnote>
  <w:footnote w:id="2395">
    <w:p w14:paraId="4BF81DE4" w14:textId="77777777" w:rsidR="00DF1FC7" w:rsidRDefault="00DF1FC7" w:rsidP="002E5BAD">
      <w:pPr>
        <w:pStyle w:val="a5"/>
        <w:rPr>
          <w:rtl/>
        </w:rPr>
      </w:pPr>
      <w:r>
        <w:rPr>
          <w:rStyle w:val="a7"/>
        </w:rPr>
        <w:footnoteRef/>
      </w:r>
      <w:r>
        <w:rPr>
          <w:rtl/>
        </w:rPr>
        <w:t xml:space="preserve"> </w:t>
      </w:r>
      <w:r>
        <w:rPr>
          <w:rFonts w:hint="cs"/>
          <w:rtl/>
        </w:rPr>
        <w:t xml:space="preserve">וז"ל- </w:t>
      </w:r>
      <w:r w:rsidRPr="003D2914">
        <w:rPr>
          <w:rFonts w:cs="Arial"/>
          <w:rtl/>
        </w:rPr>
        <w:t xml:space="preserve">במקום שכותבין כתובה </w:t>
      </w:r>
      <w:r>
        <w:rPr>
          <w:rFonts w:cs="Arial" w:hint="cs"/>
          <w:rtl/>
        </w:rPr>
        <w:t xml:space="preserve">- </w:t>
      </w:r>
      <w:r w:rsidRPr="003D2914">
        <w:rPr>
          <w:rFonts w:cs="Arial"/>
          <w:rtl/>
        </w:rPr>
        <w:t>אינה נגבית אלא אם כן יהיה שטר כתובה בידה</w:t>
      </w:r>
      <w:r>
        <w:rPr>
          <w:rFonts w:cs="Arial" w:hint="cs"/>
          <w:rtl/>
        </w:rPr>
        <w:t>.</w:t>
      </w:r>
      <w:r w:rsidRPr="003D2914">
        <w:rPr>
          <w:rFonts w:cs="Arial"/>
          <w:rtl/>
        </w:rPr>
        <w:t xml:space="preserve"> אלא נשבע שבועת היסת ונפטר</w:t>
      </w:r>
      <w:r>
        <w:rPr>
          <w:rFonts w:cs="Arial" w:hint="cs"/>
          <w:rtl/>
        </w:rPr>
        <w:t>.</w:t>
      </w:r>
      <w:r w:rsidRPr="003D2914">
        <w:rPr>
          <w:rFonts w:cs="Arial"/>
          <w:rtl/>
        </w:rPr>
        <w:t xml:space="preserve"> ובמקום שאין כותבין </w:t>
      </w:r>
      <w:r>
        <w:rPr>
          <w:rFonts w:cs="Arial" w:hint="cs"/>
          <w:rtl/>
        </w:rPr>
        <w:t xml:space="preserve">- </w:t>
      </w:r>
      <w:r w:rsidRPr="003D2914">
        <w:rPr>
          <w:rFonts w:cs="Arial"/>
          <w:rtl/>
        </w:rPr>
        <w:t>עיקר כתובה גובה בלא כתובה בתנאי ב"ד בעדי מיתה</w:t>
      </w:r>
      <w:r>
        <w:rPr>
          <w:rFonts w:cs="Arial" w:hint="cs"/>
          <w:rtl/>
        </w:rPr>
        <w:t>,</w:t>
      </w:r>
      <w:r w:rsidRPr="003D2914">
        <w:rPr>
          <w:rFonts w:cs="Arial"/>
          <w:rtl/>
        </w:rPr>
        <w:t xml:space="preserve"> או אפי' בלא עדים</w:t>
      </w:r>
      <w:r>
        <w:rPr>
          <w:rFonts w:cs="Arial" w:hint="cs"/>
          <w:rtl/>
        </w:rPr>
        <w:t>,</w:t>
      </w:r>
      <w:r w:rsidRPr="003D2914">
        <w:rPr>
          <w:rFonts w:cs="Arial"/>
          <w:rtl/>
        </w:rPr>
        <w:t xml:space="preserve"> </w:t>
      </w:r>
      <w:r w:rsidRPr="00D664B6">
        <w:rPr>
          <w:rFonts w:cs="Arial"/>
          <w:color w:val="000000" w:themeColor="text1"/>
          <w:rtl/>
        </w:rPr>
        <w:t>שהאשה שאומרת מת בעלי נאמנת כדפירש' לעיל</w:t>
      </w:r>
      <w:r>
        <w:rPr>
          <w:rFonts w:cs="Arial" w:hint="cs"/>
          <w:color w:val="000000" w:themeColor="text1"/>
          <w:rtl/>
        </w:rPr>
        <w:t>.</w:t>
      </w:r>
    </w:p>
  </w:footnote>
  <w:footnote w:id="2396">
    <w:p w14:paraId="089F99E2" w14:textId="77777777" w:rsidR="00DF1FC7" w:rsidRDefault="00DF1FC7" w:rsidP="002E5BAD">
      <w:pPr>
        <w:pStyle w:val="a5"/>
        <w:rPr>
          <w:rtl/>
        </w:rPr>
      </w:pPr>
      <w:r>
        <w:rPr>
          <w:rStyle w:val="a7"/>
        </w:rPr>
        <w:footnoteRef/>
      </w:r>
      <w:r>
        <w:rPr>
          <w:rtl/>
        </w:rPr>
        <w:t xml:space="preserve"> </w:t>
      </w:r>
      <w:r w:rsidRPr="00F02E86">
        <w:rPr>
          <w:rFonts w:cs="Arial"/>
          <w:rtl/>
        </w:rPr>
        <w:t>זה מוסכם דבמקום שאין כותבין וסומכין על תנאי ב"ד הרי הבעל צריך להביא ראיה שנפרעה וכן מתבאר במשנה ובגמרא פרק הכותב (פט.) ופרק הנושא (קד.)</w:t>
      </w:r>
      <w:r>
        <w:rPr>
          <w:rFonts w:hint="cs"/>
          <w:rtl/>
        </w:rPr>
        <w:t>, הה"מ (שם).</w:t>
      </w:r>
    </w:p>
  </w:footnote>
  <w:footnote w:id="2397">
    <w:p w14:paraId="6DDF35B6" w14:textId="77777777" w:rsidR="00DF1FC7" w:rsidRDefault="00DF1FC7" w:rsidP="002E5BAD">
      <w:pPr>
        <w:pStyle w:val="a5"/>
      </w:pPr>
      <w:r>
        <w:rPr>
          <w:rStyle w:val="a7"/>
        </w:rPr>
        <w:footnoteRef/>
      </w:r>
      <w:r>
        <w:rPr>
          <w:rtl/>
        </w:rPr>
        <w:t xml:space="preserve"> </w:t>
      </w:r>
      <w:r w:rsidRPr="00F02E86">
        <w:rPr>
          <w:rFonts w:cs="Arial"/>
          <w:rtl/>
        </w:rPr>
        <w:t>שהתוספת אינו מתנאי ב"ד שנאמר אף על פי שלא נכתב כמו שנכתב הוא</w:t>
      </w:r>
      <w:r>
        <w:rPr>
          <w:rFonts w:cs="Arial" w:hint="cs"/>
          <w:rtl/>
        </w:rPr>
        <w:t>.</w:t>
      </w:r>
      <w:r w:rsidRPr="00F02E86">
        <w:rPr>
          <w:rFonts w:cs="Arial"/>
          <w:rtl/>
        </w:rPr>
        <w:t xml:space="preserve"> וקל וחומר הוא מדין העיקר במקום שכותבין</w:t>
      </w:r>
      <w:r>
        <w:rPr>
          <w:rFonts w:cs="Arial" w:hint="cs"/>
          <w:rtl/>
        </w:rPr>
        <w:t>.</w:t>
      </w:r>
      <w:r w:rsidRPr="00F02E86">
        <w:rPr>
          <w:rFonts w:cs="Arial"/>
          <w:rtl/>
        </w:rPr>
        <w:t xml:space="preserve"> ודבר פשוט הוא לפי שיטת ההלכות ורבינו וכן כתב הרמב"ן ז"ל בפ"ק דמציעא (יז. ד"ה אבל)</w:t>
      </w:r>
      <w:r>
        <w:rPr>
          <w:rFonts w:cs="Arial" w:hint="cs"/>
          <w:rtl/>
        </w:rPr>
        <w:t>, הה"מ (שם).</w:t>
      </w:r>
    </w:p>
  </w:footnote>
  <w:footnote w:id="2398">
    <w:p w14:paraId="271C7351" w14:textId="77777777" w:rsidR="00DF1FC7" w:rsidRDefault="00DF1FC7" w:rsidP="002E5BAD">
      <w:pPr>
        <w:pStyle w:val="a5"/>
      </w:pPr>
      <w:r>
        <w:rPr>
          <w:rStyle w:val="a7"/>
        </w:rPr>
        <w:footnoteRef/>
      </w:r>
      <w:r>
        <w:rPr>
          <w:rtl/>
        </w:rPr>
        <w:t xml:space="preserve"> </w:t>
      </w:r>
      <w:r w:rsidRPr="00F02E86">
        <w:rPr>
          <w:rFonts w:cs="Arial"/>
          <w:rtl/>
        </w:rPr>
        <w:t>וכתב הרב המגיד בפט"ז מהל</w:t>
      </w:r>
      <w:r>
        <w:rPr>
          <w:rFonts w:cs="Arial" w:hint="cs"/>
          <w:rtl/>
        </w:rPr>
        <w:t>'</w:t>
      </w:r>
      <w:r w:rsidRPr="00F02E86">
        <w:rPr>
          <w:rFonts w:cs="Arial"/>
          <w:rtl/>
        </w:rPr>
        <w:t xml:space="preserve"> אישות (הכ"א) שדעת הרבה מפרשים וגאונים כדעת הרי"ף והרמב"ם</w:t>
      </w:r>
      <w:r>
        <w:rPr>
          <w:rFonts w:cs="Arial" w:hint="cs"/>
          <w:rtl/>
        </w:rPr>
        <w:t>,</w:t>
      </w:r>
      <w:r w:rsidRPr="00F02E86">
        <w:rPr>
          <w:rFonts w:cs="Arial"/>
          <w:rtl/>
        </w:rPr>
        <w:t xml:space="preserve"> ועיקר</w:t>
      </w:r>
      <w:r>
        <w:rPr>
          <w:rFonts w:cs="Arial" w:hint="cs"/>
          <w:rtl/>
        </w:rPr>
        <w:t>.</w:t>
      </w:r>
      <w:r w:rsidRPr="00F02E86">
        <w:rPr>
          <w:rFonts w:cs="Arial"/>
          <w:rtl/>
        </w:rPr>
        <w:t xml:space="preserve"> ודוקא כשהבעל טוען פרעתי או מחלה לי</w:t>
      </w:r>
      <w:r>
        <w:rPr>
          <w:rFonts w:cs="Arial" w:hint="cs"/>
          <w:rtl/>
        </w:rPr>
        <w:t>,</w:t>
      </w:r>
      <w:r w:rsidRPr="00F02E86">
        <w:rPr>
          <w:rFonts w:cs="Arial"/>
          <w:rtl/>
        </w:rPr>
        <w:t xml:space="preserve"> אבל אם מודה ודאי חייב לפורעה</w:t>
      </w:r>
      <w:r>
        <w:rPr>
          <w:rFonts w:cs="Arial" w:hint="cs"/>
          <w:rtl/>
        </w:rPr>
        <w:t>.</w:t>
      </w:r>
      <w:r w:rsidRPr="00F02E86">
        <w:rPr>
          <w:rFonts w:cs="Arial"/>
          <w:rtl/>
        </w:rPr>
        <w:t xml:space="preserve"> וכן יתבאר זה בדברי רבינו</w:t>
      </w:r>
      <w:r>
        <w:rPr>
          <w:rFonts w:cs="Arial" w:hint="cs"/>
          <w:rtl/>
        </w:rPr>
        <w:t>.</w:t>
      </w:r>
      <w:r w:rsidRPr="00F02E86">
        <w:rPr>
          <w:rFonts w:cs="Arial"/>
          <w:rtl/>
        </w:rPr>
        <w:t xml:space="preserve"> וידוע שלעולם טוענין ליורש ע"כ</w:t>
      </w:r>
      <w:r>
        <w:rPr>
          <w:rFonts w:cs="Arial" w:hint="cs"/>
          <w:rtl/>
        </w:rPr>
        <w:t>, ב"י.</w:t>
      </w:r>
      <w:r>
        <w:rPr>
          <w:rFonts w:hint="cs"/>
          <w:rtl/>
        </w:rPr>
        <w:t xml:space="preserve"> </w:t>
      </w:r>
      <w:r w:rsidRPr="00814509">
        <w:rPr>
          <w:rFonts w:hint="cs"/>
          <w:color w:val="E36C0A" w:themeColor="accent6" w:themeShade="BF"/>
          <w:rtl/>
        </w:rPr>
        <w:t>(וכ"פ בשו"ע)</w:t>
      </w:r>
      <w:r>
        <w:rPr>
          <w:rFonts w:hint="cs"/>
          <w:rtl/>
        </w:rPr>
        <w:t xml:space="preserve">. ועל הא דכתב הה"מ דאם מודה ודאי חייב לפורעה כתב הב"ש (סקכ"ח)- </w:t>
      </w:r>
      <w:r w:rsidRPr="00C95EDC">
        <w:rPr>
          <w:rFonts w:cs="Arial"/>
          <w:rtl/>
        </w:rPr>
        <w:t>וקשה מאי קמ"ל פשיטא אם הוא מודה חייב לשלם</w:t>
      </w:r>
      <w:r>
        <w:rPr>
          <w:rFonts w:cs="Arial" w:hint="cs"/>
          <w:rtl/>
        </w:rPr>
        <w:t>.</w:t>
      </w:r>
      <w:r w:rsidRPr="00C95EDC">
        <w:rPr>
          <w:rFonts w:cs="Arial"/>
          <w:rtl/>
        </w:rPr>
        <w:t xml:space="preserve"> ונראה דקמ"ל חידוש גדול דכותבים שובר על הכתוב</w:t>
      </w:r>
      <w:r>
        <w:rPr>
          <w:rFonts w:cs="Arial" w:hint="cs"/>
          <w:rtl/>
        </w:rPr>
        <w:t>ה.</w:t>
      </w:r>
      <w:r w:rsidRPr="00C95EDC">
        <w:rPr>
          <w:rFonts w:cs="Arial"/>
          <w:rtl/>
        </w:rPr>
        <w:t xml:space="preserve"> ולא כדעת הש"ג שכתב אע</w:t>
      </w:r>
      <w:r>
        <w:rPr>
          <w:rFonts w:cs="Arial" w:hint="cs"/>
          <w:rtl/>
        </w:rPr>
        <w:t>"</w:t>
      </w:r>
      <w:r w:rsidRPr="00C95EDC">
        <w:rPr>
          <w:rFonts w:cs="Arial"/>
          <w:rtl/>
        </w:rPr>
        <w:t>ג דקי"ל דכותבים שובר ללו' משום עבד לוה למלוה אבל בכתובה אם נאבדה א"צ לשלם שמא תמצא הכתוב' והוא יאבד השובר</w:t>
      </w:r>
      <w:r>
        <w:rPr>
          <w:rFonts w:cs="Arial" w:hint="cs"/>
          <w:rtl/>
        </w:rPr>
        <w:t>.</w:t>
      </w:r>
      <w:r w:rsidRPr="00C95EDC">
        <w:rPr>
          <w:rFonts w:cs="Arial"/>
          <w:rtl/>
        </w:rPr>
        <w:t xml:space="preserve"> ותוס' והג"א ס"פ הכותב והר"ן ס"ל ג"כ דכותבים שובר על כתובה</w:t>
      </w:r>
      <w:r>
        <w:rPr>
          <w:rFonts w:cs="Arial" w:hint="cs"/>
          <w:rtl/>
        </w:rPr>
        <w:t>.</w:t>
      </w:r>
      <w:r w:rsidRPr="00C95EDC">
        <w:rPr>
          <w:rFonts w:cs="Arial"/>
          <w:rtl/>
        </w:rPr>
        <w:t xml:space="preserve"> וא</w:t>
      </w:r>
      <w:r>
        <w:rPr>
          <w:rFonts w:cs="Arial" w:hint="cs"/>
          <w:rtl/>
        </w:rPr>
        <w:t xml:space="preserve">ין </w:t>
      </w:r>
      <w:r w:rsidRPr="00C95EDC">
        <w:rPr>
          <w:rFonts w:cs="Arial"/>
          <w:rtl/>
        </w:rPr>
        <w:t>ל</w:t>
      </w:r>
      <w:r>
        <w:rPr>
          <w:rFonts w:cs="Arial" w:hint="cs"/>
          <w:rtl/>
        </w:rPr>
        <w:t>ומר</w:t>
      </w:r>
      <w:r w:rsidRPr="00C95EDC">
        <w:rPr>
          <w:rFonts w:cs="Arial"/>
          <w:rtl/>
        </w:rPr>
        <w:t xml:space="preserve"> שאר הפוסקים איירי כשנשרף הכתובה אז כותבים שובר משום דאין חשש שתמצא הכתובה משא"כ בנאבד</w:t>
      </w:r>
      <w:r>
        <w:rPr>
          <w:rFonts w:cs="Arial" w:hint="cs"/>
          <w:rtl/>
        </w:rPr>
        <w:t xml:space="preserve"> -</w:t>
      </w:r>
      <w:r w:rsidRPr="00C95EDC">
        <w:rPr>
          <w:rFonts w:cs="Arial"/>
          <w:rtl/>
        </w:rPr>
        <w:t xml:space="preserve"> דהא בנשרף ליכ</w:t>
      </w:r>
      <w:r>
        <w:rPr>
          <w:rFonts w:cs="Arial" w:hint="cs"/>
          <w:rtl/>
        </w:rPr>
        <w:t>א</w:t>
      </w:r>
      <w:r w:rsidRPr="00C95EDC">
        <w:rPr>
          <w:rFonts w:cs="Arial"/>
          <w:rtl/>
        </w:rPr>
        <w:t xml:space="preserve"> פלוגת</w:t>
      </w:r>
      <w:r>
        <w:rPr>
          <w:rFonts w:cs="Arial" w:hint="cs"/>
          <w:rtl/>
        </w:rPr>
        <w:t>א</w:t>
      </w:r>
      <w:r w:rsidRPr="00C95EDC">
        <w:rPr>
          <w:rFonts w:cs="Arial"/>
          <w:rtl/>
        </w:rPr>
        <w:t xml:space="preserve"> כלל וע</w:t>
      </w:r>
      <w:r>
        <w:rPr>
          <w:rFonts w:cs="Arial" w:hint="cs"/>
          <w:rtl/>
        </w:rPr>
        <w:t xml:space="preserve">ל </w:t>
      </w:r>
      <w:r w:rsidRPr="00C95EDC">
        <w:rPr>
          <w:rFonts w:cs="Arial"/>
          <w:rtl/>
        </w:rPr>
        <w:t>כ</w:t>
      </w:r>
      <w:r>
        <w:rPr>
          <w:rFonts w:cs="Arial" w:hint="cs"/>
          <w:rtl/>
        </w:rPr>
        <w:t>רחך</w:t>
      </w:r>
      <w:r w:rsidRPr="00C95EDC">
        <w:rPr>
          <w:rFonts w:cs="Arial"/>
          <w:rtl/>
        </w:rPr>
        <w:t xml:space="preserve"> דאיירי אפילו אם נאבדה הכתובה כותבים שובר</w:t>
      </w:r>
      <w:r>
        <w:rPr>
          <w:rFonts w:cs="Arial" w:hint="cs"/>
          <w:rtl/>
        </w:rPr>
        <w:t>.</w:t>
      </w:r>
      <w:r w:rsidRPr="00C95EDC">
        <w:rPr>
          <w:rFonts w:cs="Arial"/>
          <w:rtl/>
        </w:rPr>
        <w:t xml:space="preserve"> </w:t>
      </w:r>
      <w:r w:rsidRPr="00C95EDC">
        <w:rPr>
          <w:rFonts w:cs="Arial" w:hint="cs"/>
          <w:sz w:val="16"/>
          <w:szCs w:val="16"/>
          <w:rtl/>
        </w:rPr>
        <w:t>(</w:t>
      </w:r>
      <w:r w:rsidRPr="00C95EDC">
        <w:rPr>
          <w:rFonts w:cs="Arial"/>
          <w:sz w:val="16"/>
          <w:szCs w:val="16"/>
          <w:rtl/>
        </w:rPr>
        <w:t>ולפי דברי הש"ג יש לישב דברי הרי"ף הא שפסק פ"ק דב"ק כר' יוחנן דאמר הטוען אחר מעשה ב"ד לא אמר כלום ובס"פ הכותב הביא אוקימת' דשמואל דמתני' שם איירי במקום שאין כותבים כתובה אז צריך לשלם לה כשאין הכתובה בידה אבל במקום שכותבים כתובה א"צ לשלם והקשו הפוסקים עליו כיון שפסק כר' יוחנן היה לו לפסוק אפילו במקום שכותבין כתובה ואין הכתובה בידה צריך הוא לשלם וא"י לו' פרעתי כיון שמעשה ב"ד הוא ולדברי הש"ג י"ל אף על גב דא"י לומר פרעתי מ"מ אם נאבד א"צ לשלם דחיישינן שמא תמצ' הכתובה ואין כותבים שובר לכן צ"ל המתניתין איירי במקום שאין כותבים כתובה ומדין ר"י נ"מ נשרפה הכתובה דאז ליכ' חשש שמא תמצ' הכתובה וטוען פרעתי א</w:t>
      </w:r>
      <w:r w:rsidRPr="00C95EDC">
        <w:rPr>
          <w:rFonts w:cs="Arial" w:hint="cs"/>
          <w:sz w:val="16"/>
          <w:szCs w:val="16"/>
          <w:rtl/>
        </w:rPr>
        <w:t>ינו יכול</w:t>
      </w:r>
      <w:r w:rsidRPr="00C95EDC">
        <w:rPr>
          <w:rFonts w:cs="Arial"/>
          <w:sz w:val="16"/>
          <w:szCs w:val="16"/>
          <w:rtl/>
        </w:rPr>
        <w:t xml:space="preserve"> לטעון אחר מעשה ב"ד</w:t>
      </w:r>
      <w:r>
        <w:rPr>
          <w:rFonts w:hint="cs"/>
          <w:sz w:val="16"/>
          <w:szCs w:val="16"/>
          <w:rtl/>
        </w:rPr>
        <w:t>).</w:t>
      </w:r>
    </w:p>
  </w:footnote>
  <w:footnote w:id="2399">
    <w:p w14:paraId="0980A8FF" w14:textId="77777777" w:rsidR="00DF1FC7" w:rsidRDefault="00DF1FC7" w:rsidP="002E5BAD">
      <w:pPr>
        <w:pStyle w:val="a5"/>
      </w:pPr>
      <w:r>
        <w:rPr>
          <w:rStyle w:val="a7"/>
        </w:rPr>
        <w:footnoteRef/>
      </w:r>
      <w:r>
        <w:rPr>
          <w:rtl/>
        </w:rPr>
        <w:t xml:space="preserve"> </w:t>
      </w:r>
      <w:r>
        <w:rPr>
          <w:rFonts w:hint="cs"/>
          <w:rtl/>
        </w:rPr>
        <w:t xml:space="preserve">וכ"כ </w:t>
      </w:r>
      <w:r w:rsidRPr="007A28AB">
        <w:rPr>
          <w:rFonts w:hint="cs"/>
          <w:rtl/>
        </w:rPr>
        <w:t>הסמ"ג (</w:t>
      </w:r>
      <w:r w:rsidRPr="007A28AB">
        <w:rPr>
          <w:rtl/>
        </w:rPr>
        <w:t>עשין מח קכז ע"א</w:t>
      </w:r>
      <w:r w:rsidRPr="007A28AB">
        <w:rPr>
          <w:rFonts w:hint="cs"/>
          <w:rtl/>
        </w:rPr>
        <w:t>)</w:t>
      </w:r>
      <w:r>
        <w:rPr>
          <w:rFonts w:hint="cs"/>
          <w:rtl/>
        </w:rPr>
        <w:t xml:space="preserve"> והמרדכי (כתובות סי' רסה)</w:t>
      </w:r>
      <w:r w:rsidRPr="007A28AB">
        <w:rPr>
          <w:rFonts w:hint="cs"/>
          <w:rtl/>
        </w:rPr>
        <w:t xml:space="preserve"> בשם ר' שמשון ב"א בשם ר"י</w:t>
      </w:r>
      <w:r>
        <w:rPr>
          <w:rFonts w:hint="cs"/>
          <w:rtl/>
        </w:rPr>
        <w:t>.</w:t>
      </w:r>
    </w:p>
  </w:footnote>
  <w:footnote w:id="2400">
    <w:p w14:paraId="27DFE574" w14:textId="77777777" w:rsidR="00DF1FC7" w:rsidRDefault="00DF1FC7" w:rsidP="002E5BAD">
      <w:pPr>
        <w:pStyle w:val="a5"/>
      </w:pPr>
      <w:r>
        <w:rPr>
          <w:rStyle w:val="a7"/>
        </w:rPr>
        <w:footnoteRef/>
      </w:r>
      <w:r>
        <w:rPr>
          <w:rtl/>
        </w:rPr>
        <w:t xml:space="preserve"> </w:t>
      </w:r>
      <w:r w:rsidRPr="00814509">
        <w:rPr>
          <w:rFonts w:cs="Arial"/>
          <w:rtl/>
        </w:rPr>
        <w:t>וכן פסק הר"ם הלכה למעשה וכל גדולי אשכנז</w:t>
      </w:r>
      <w:r>
        <w:rPr>
          <w:rFonts w:cs="Arial" w:hint="cs"/>
          <w:rtl/>
        </w:rPr>
        <w:t>...</w:t>
      </w:r>
      <w:r w:rsidRPr="00814509">
        <w:rPr>
          <w:rFonts w:cs="Arial"/>
          <w:rtl/>
        </w:rPr>
        <w:t xml:space="preserve"> וכתב ה"ר יצחק ברבי מנוח דכן עשו מעשה כל גדולי צרפת וכן כתבתי לעיל פרק הכותב משום ספר חפץ וכן כתב ראבי"ה במשפטי הכתובה</w:t>
      </w:r>
      <w:r>
        <w:rPr>
          <w:rFonts w:hint="cs"/>
          <w:rtl/>
        </w:rPr>
        <w:t xml:space="preserve">, מרדכי (סי' רסה). וכתב הדרכ"מ </w:t>
      </w:r>
      <w:r>
        <w:rPr>
          <w:rFonts w:cs="Arial" w:hint="cs"/>
          <w:rtl/>
        </w:rPr>
        <w:t xml:space="preserve">דכן משמע בהגמ"ר (ב"מ </w:t>
      </w:r>
      <w:r w:rsidRPr="00D602DC">
        <w:rPr>
          <w:rFonts w:cs="Arial"/>
          <w:rtl/>
        </w:rPr>
        <w:t>סי' תכג)</w:t>
      </w:r>
      <w:r>
        <w:rPr>
          <w:rFonts w:hint="cs"/>
          <w:rtl/>
        </w:rPr>
        <w:t>,</w:t>
      </w:r>
      <w:r w:rsidRPr="008E6249">
        <w:rPr>
          <w:rFonts w:cs="Arial"/>
          <w:rtl/>
        </w:rPr>
        <w:t xml:space="preserve"> </w:t>
      </w:r>
      <w:r w:rsidRPr="00D602DC">
        <w:rPr>
          <w:rFonts w:cs="Arial"/>
          <w:rtl/>
        </w:rPr>
        <w:t>ו</w:t>
      </w:r>
      <w:r>
        <w:rPr>
          <w:rFonts w:cs="Arial" w:hint="cs"/>
          <w:rtl/>
        </w:rPr>
        <w:t>ש</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8E6249">
        <w:rPr>
          <w:rFonts w:cs="Arial"/>
          <w:rtl/>
        </w:rPr>
        <w:t xml:space="preserve"> </w:t>
      </w:r>
      <w:r w:rsidRPr="00D602DC">
        <w:rPr>
          <w:rFonts w:cs="Arial"/>
          <w:rtl/>
        </w:rPr>
        <w:t xml:space="preserve">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w:t>
      </w:r>
      <w:r>
        <w:rPr>
          <w:rFonts w:hint="cs"/>
          <w:rtl/>
        </w:rPr>
        <w:t>.</w:t>
      </w:r>
    </w:p>
  </w:footnote>
  <w:footnote w:id="2401">
    <w:p w14:paraId="53724A10" w14:textId="77777777" w:rsidR="00DF1FC7" w:rsidRDefault="00DF1FC7" w:rsidP="002E5BAD">
      <w:pPr>
        <w:pStyle w:val="a5"/>
        <w:rPr>
          <w:rtl/>
        </w:rPr>
      </w:pPr>
      <w:r>
        <w:rPr>
          <w:rStyle w:val="a7"/>
        </w:rPr>
        <w:footnoteRef/>
      </w:r>
      <w:r>
        <w:rPr>
          <w:rtl/>
        </w:rPr>
        <w:t xml:space="preserve"> </w:t>
      </w:r>
      <w:r w:rsidRPr="00D602DC">
        <w:rPr>
          <w:rFonts w:cs="Arial"/>
          <w:rtl/>
        </w:rPr>
        <w:t>ו</w:t>
      </w:r>
      <w:r>
        <w:rPr>
          <w:rFonts w:cs="Arial" w:hint="cs"/>
          <w:rtl/>
        </w:rPr>
        <w:t>כתב הדרכ"מ (אות טז) ד</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D602DC">
        <w:rPr>
          <w:rFonts w:cs="Arial"/>
          <w:rtl/>
        </w:rPr>
        <w:t xml:space="preserve"> 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 xml:space="preserve"> וסי' רלב),</w:t>
      </w:r>
      <w:r w:rsidRPr="00D602DC">
        <w:rPr>
          <w:rFonts w:cs="Arial"/>
          <w:rtl/>
        </w:rPr>
        <w:t xml:space="preserve"> וכתב שם דכן היה המנהג באוסטרייך להגבות לה הכתובה שהיו נוהגים לכתוב בכל הנשים</w:t>
      </w:r>
      <w:r>
        <w:rPr>
          <w:rFonts w:cs="Arial" w:hint="cs"/>
          <w:rtl/>
        </w:rPr>
        <w:t>...</w:t>
      </w:r>
      <w:r w:rsidRPr="00D602DC">
        <w:rPr>
          <w:rFonts w:cs="Arial"/>
          <w:rtl/>
        </w:rPr>
        <w:t xml:space="preserve"> </w:t>
      </w:r>
      <w:r w:rsidRPr="008E6249">
        <w:rPr>
          <w:rFonts w:cs="Arial"/>
          <w:rtl/>
        </w:rPr>
        <w:t xml:space="preserve">וכן הוא בתשובות מיימוני </w:t>
      </w:r>
      <w:r>
        <w:rPr>
          <w:rFonts w:cs="Arial" w:hint="cs"/>
          <w:rtl/>
        </w:rPr>
        <w:t>(</w:t>
      </w:r>
      <w:r w:rsidRPr="008E6249">
        <w:rPr>
          <w:rFonts w:cs="Arial"/>
          <w:rtl/>
        </w:rPr>
        <w:t>סוף הל</w:t>
      </w:r>
      <w:r>
        <w:rPr>
          <w:rFonts w:cs="Arial" w:hint="cs"/>
          <w:rtl/>
        </w:rPr>
        <w:t>'</w:t>
      </w:r>
      <w:r w:rsidRPr="008E6249">
        <w:rPr>
          <w:rFonts w:cs="Arial"/>
          <w:rtl/>
        </w:rPr>
        <w:t xml:space="preserve"> אישות סי' יז) בשם ר"ת דגובאת אף התוספת אם מנהג קבוע בעיר ויודעין מה הוסיף לה</w:t>
      </w:r>
      <w:r>
        <w:rPr>
          <w:rFonts w:cs="Arial" w:hint="cs"/>
          <w:rtl/>
        </w:rPr>
        <w:t>.</w:t>
      </w:r>
      <w:r w:rsidRPr="008E6249">
        <w:rPr>
          <w:rFonts w:cs="Arial"/>
          <w:rtl/>
        </w:rPr>
        <w:t xml:space="preserve"> ואם אין מנהג קבוע הבעל צריך לישבע שלא הוסיף לה אם טוענת ברי</w:t>
      </w:r>
      <w:r>
        <w:rPr>
          <w:rFonts w:cs="Arial" w:hint="cs"/>
          <w:rtl/>
        </w:rPr>
        <w:t>.</w:t>
      </w:r>
      <w:r w:rsidRPr="008E6249">
        <w:rPr>
          <w:rFonts w:cs="Arial"/>
          <w:rtl/>
        </w:rPr>
        <w:t xml:space="preserve"> ובאלמנה אין היתומים צריכים לישבע, מיהו אם תפסה לא מפקינן מינה ונשבעת ונפטרת</w:t>
      </w:r>
      <w:r>
        <w:rPr>
          <w:rFonts w:cs="Arial" w:hint="cs"/>
          <w:rtl/>
        </w:rPr>
        <w:t xml:space="preserve">. </w:t>
      </w:r>
      <w:r w:rsidRPr="008E6249">
        <w:rPr>
          <w:rFonts w:cs="Arial"/>
          <w:rtl/>
        </w:rPr>
        <w:t xml:space="preserve">וכן הוא במרדכי </w:t>
      </w:r>
      <w:r>
        <w:rPr>
          <w:rFonts w:cs="Arial" w:hint="cs"/>
          <w:rtl/>
        </w:rPr>
        <w:t>(</w:t>
      </w:r>
      <w:r w:rsidRPr="008E6249">
        <w:rPr>
          <w:rFonts w:cs="Arial"/>
          <w:rtl/>
        </w:rPr>
        <w:t>פרק אלמנה נזונת סי' רנג)</w:t>
      </w:r>
      <w:r>
        <w:rPr>
          <w:rFonts w:cs="Arial" w:hint="cs"/>
          <w:rtl/>
        </w:rPr>
        <w:t>,</w:t>
      </w:r>
      <w:r w:rsidRPr="008E6249">
        <w:rPr>
          <w:rFonts w:cs="Arial"/>
          <w:rtl/>
        </w:rPr>
        <w:t xml:space="preserve"> וכתב שם דדוקא עד שלא נשאת</w:t>
      </w:r>
      <w:r>
        <w:rPr>
          <w:rFonts w:cs="Arial" w:hint="cs"/>
          <w:rtl/>
        </w:rPr>
        <w:t>,</w:t>
      </w:r>
      <w:r w:rsidRPr="008E6249">
        <w:rPr>
          <w:rFonts w:cs="Arial"/>
          <w:rtl/>
        </w:rPr>
        <w:t xml:space="preserve"> אבל משנשאת נאמן לומר פרעתי אם אין שטר כתובה יוצא מתחת ידה</w:t>
      </w:r>
      <w:r>
        <w:rPr>
          <w:rFonts w:cs="Arial" w:hint="cs"/>
          <w:rtl/>
        </w:rPr>
        <w:t xml:space="preserve"> </w:t>
      </w:r>
      <w:r w:rsidRPr="0070440F">
        <w:rPr>
          <w:rFonts w:hint="cs"/>
          <w:color w:val="00B0F0"/>
          <w:rtl/>
        </w:rPr>
        <w:t>(וכ"</w:t>
      </w:r>
      <w:r>
        <w:rPr>
          <w:rFonts w:hint="cs"/>
          <w:color w:val="00B0F0"/>
          <w:rtl/>
        </w:rPr>
        <w:t>כ</w:t>
      </w:r>
      <w:r w:rsidRPr="0070440F">
        <w:rPr>
          <w:rFonts w:hint="cs"/>
          <w:color w:val="00B0F0"/>
          <w:rtl/>
        </w:rPr>
        <w:t xml:space="preserve"> </w:t>
      </w:r>
      <w:r>
        <w:rPr>
          <w:rFonts w:hint="cs"/>
          <w:color w:val="00B0F0"/>
          <w:rtl/>
        </w:rPr>
        <w:t>בהג"ה</w:t>
      </w:r>
      <w:r w:rsidRPr="0070440F">
        <w:rPr>
          <w:rFonts w:hint="cs"/>
          <w:color w:val="00B0F0"/>
          <w:rtl/>
        </w:rPr>
        <w:t>)</w:t>
      </w:r>
      <w:r w:rsidRPr="008E6249">
        <w:rPr>
          <w:rFonts w:cs="Arial"/>
          <w:rtl/>
        </w:rPr>
        <w:t xml:space="preserve">. וכתב מהרא"י </w:t>
      </w:r>
      <w:r>
        <w:rPr>
          <w:rFonts w:cs="Arial" w:hint="cs"/>
          <w:rtl/>
        </w:rPr>
        <w:t>(</w:t>
      </w:r>
      <w:r w:rsidRPr="008E6249">
        <w:rPr>
          <w:rFonts w:cs="Arial"/>
          <w:rtl/>
        </w:rPr>
        <w:t>בכתביו סי</w:t>
      </w:r>
      <w:r>
        <w:rPr>
          <w:rFonts w:cs="Arial" w:hint="cs"/>
          <w:rtl/>
        </w:rPr>
        <w:t>'</w:t>
      </w:r>
      <w:r w:rsidRPr="008E6249">
        <w:rPr>
          <w:rFonts w:cs="Arial"/>
          <w:rtl/>
        </w:rPr>
        <w:t xml:space="preserve"> רכט ו</w:t>
      </w:r>
      <w:r>
        <w:rPr>
          <w:rFonts w:cs="Arial" w:hint="cs"/>
          <w:rtl/>
        </w:rPr>
        <w:t>-</w:t>
      </w:r>
      <w:r w:rsidRPr="008E6249">
        <w:rPr>
          <w:rFonts w:cs="Arial"/>
          <w:rtl/>
        </w:rPr>
        <w:t>רלב</w:t>
      </w:r>
      <w:r>
        <w:rPr>
          <w:rFonts w:cs="Arial" w:hint="cs"/>
          <w:rtl/>
        </w:rPr>
        <w:t>)</w:t>
      </w:r>
      <w:r w:rsidRPr="008E6249">
        <w:rPr>
          <w:rFonts w:cs="Arial"/>
          <w:rtl/>
        </w:rPr>
        <w:t xml:space="preserve"> דבמקום שנוהגין לכתוב תוספת בשוה גובה אפילו אין שטר כתובתה בידה</w:t>
      </w:r>
      <w:r>
        <w:rPr>
          <w:rFonts w:cs="Arial" w:hint="cs"/>
          <w:rtl/>
        </w:rPr>
        <w:t>.</w:t>
      </w:r>
      <w:r w:rsidRPr="008E6249">
        <w:rPr>
          <w:rFonts w:cs="Arial"/>
          <w:rtl/>
        </w:rPr>
        <w:t xml:space="preserve"> ואם אין מנהג לכתוב בשוה אע</w:t>
      </w:r>
      <w:r>
        <w:rPr>
          <w:rFonts w:cs="Arial" w:hint="cs"/>
          <w:rtl/>
        </w:rPr>
        <w:t>"</w:t>
      </w:r>
      <w:r w:rsidRPr="008E6249">
        <w:rPr>
          <w:rFonts w:cs="Arial"/>
          <w:rtl/>
        </w:rPr>
        <w:t>ג דרוב נוהגין לכתוב בשוה כיון שאינו מנהג פשוט אינה גובה התוספת אע</w:t>
      </w:r>
      <w:r>
        <w:rPr>
          <w:rFonts w:cs="Arial" w:hint="cs"/>
          <w:rtl/>
        </w:rPr>
        <w:t>"</w:t>
      </w:r>
      <w:r w:rsidRPr="008E6249">
        <w:rPr>
          <w:rFonts w:cs="Arial"/>
          <w:rtl/>
        </w:rPr>
        <w:t>פ ששטר כתובה יוצא מתחת ידה</w:t>
      </w:r>
      <w:r>
        <w:rPr>
          <w:rFonts w:cs="Arial" w:hint="cs"/>
          <w:rtl/>
        </w:rPr>
        <w:t>,</w:t>
      </w:r>
      <w:r w:rsidRPr="008E6249">
        <w:rPr>
          <w:rFonts w:cs="Arial"/>
          <w:rtl/>
        </w:rPr>
        <w:t xml:space="preserve"> אא</w:t>
      </w:r>
      <w:r>
        <w:rPr>
          <w:rFonts w:cs="Arial" w:hint="cs"/>
          <w:rtl/>
        </w:rPr>
        <w:t>"</w:t>
      </w:r>
      <w:r w:rsidRPr="008E6249">
        <w:rPr>
          <w:rFonts w:cs="Arial"/>
          <w:rtl/>
        </w:rPr>
        <w:t>כ הכתובה מקויימת או שהחתן בעצמו חתום עליה ומכירין חתימתו</w:t>
      </w:r>
      <w:r>
        <w:rPr>
          <w:rFonts w:cs="Arial" w:hint="cs"/>
          <w:rtl/>
        </w:rPr>
        <w:t>.</w:t>
      </w:r>
      <w:r w:rsidRPr="008E6249">
        <w:rPr>
          <w:rFonts w:cs="Arial"/>
          <w:rtl/>
        </w:rPr>
        <w:t xml:space="preserve"> אבל כשאין מקויימת חיישינן שמא מזוייפת היא</w:t>
      </w:r>
      <w:r>
        <w:rPr>
          <w:rFonts w:cs="Arial" w:hint="cs"/>
          <w:rtl/>
        </w:rPr>
        <w:t xml:space="preserve">  </w:t>
      </w:r>
      <w:r w:rsidRPr="0070440F">
        <w:rPr>
          <w:rFonts w:hint="cs"/>
          <w:color w:val="00B0F0"/>
          <w:rtl/>
        </w:rPr>
        <w:t>(וכ"</w:t>
      </w:r>
      <w:r>
        <w:rPr>
          <w:rFonts w:hint="cs"/>
          <w:color w:val="00B0F0"/>
          <w:rtl/>
        </w:rPr>
        <w:t>פ</w:t>
      </w:r>
      <w:r w:rsidRPr="0070440F">
        <w:rPr>
          <w:rFonts w:hint="cs"/>
          <w:color w:val="00B0F0"/>
          <w:rtl/>
        </w:rPr>
        <w:t xml:space="preserve"> </w:t>
      </w:r>
      <w:r>
        <w:rPr>
          <w:rFonts w:hint="cs"/>
          <w:color w:val="00B0F0"/>
          <w:rtl/>
        </w:rPr>
        <w:t>בהג"ה</w:t>
      </w:r>
      <w:r w:rsidRPr="0070440F">
        <w:rPr>
          <w:rFonts w:hint="cs"/>
          <w:color w:val="00B0F0"/>
          <w:rtl/>
        </w:rPr>
        <w:t>)</w:t>
      </w:r>
      <w:r>
        <w:rPr>
          <w:rFonts w:cs="Arial" w:hint="cs"/>
          <w:rtl/>
        </w:rPr>
        <w:t>.</w:t>
      </w:r>
      <w:r w:rsidRPr="008E6249">
        <w:rPr>
          <w:rFonts w:cs="Arial"/>
          <w:rtl/>
        </w:rPr>
        <w:t xml:space="preserve"> וכן הוא בתשובת מהרי"ו </w:t>
      </w:r>
      <w:r>
        <w:rPr>
          <w:rFonts w:cs="Arial" w:hint="cs"/>
          <w:rtl/>
        </w:rPr>
        <w:t>(</w:t>
      </w:r>
      <w:r w:rsidRPr="008E6249">
        <w:rPr>
          <w:rFonts w:cs="Arial"/>
          <w:rtl/>
        </w:rPr>
        <w:t>סי</w:t>
      </w:r>
      <w:r>
        <w:rPr>
          <w:rFonts w:cs="Arial" w:hint="cs"/>
          <w:rtl/>
        </w:rPr>
        <w:t>'</w:t>
      </w:r>
      <w:r w:rsidRPr="008E6249">
        <w:rPr>
          <w:rFonts w:cs="Arial"/>
          <w:rtl/>
        </w:rPr>
        <w:t xml:space="preserve"> קיג</w:t>
      </w:r>
      <w:r>
        <w:rPr>
          <w:rFonts w:cs="Arial" w:hint="cs"/>
          <w:rtl/>
        </w:rPr>
        <w:t>).</w:t>
      </w:r>
      <w:r w:rsidRPr="008E6249">
        <w:rPr>
          <w:rFonts w:cs="Arial"/>
          <w:rtl/>
        </w:rPr>
        <w:t xml:space="preserve"> וכן משמע ממהרי"ק </w:t>
      </w:r>
      <w:r>
        <w:rPr>
          <w:rFonts w:cs="Arial" w:hint="cs"/>
          <w:rtl/>
        </w:rPr>
        <w:t>(</w:t>
      </w:r>
      <w:r w:rsidRPr="008E6249">
        <w:rPr>
          <w:rFonts w:cs="Arial"/>
          <w:rtl/>
        </w:rPr>
        <w:t>שורש יט</w:t>
      </w:r>
      <w:r>
        <w:rPr>
          <w:rFonts w:cs="Arial" w:hint="cs"/>
          <w:rtl/>
        </w:rPr>
        <w:t>).</w:t>
      </w:r>
      <w:r w:rsidRPr="008E6249">
        <w:rPr>
          <w:rFonts w:cs="Arial"/>
          <w:rtl/>
        </w:rPr>
        <w:t xml:space="preserve"> וכתב </w:t>
      </w:r>
      <w:r>
        <w:rPr>
          <w:rFonts w:cs="Arial" w:hint="cs"/>
          <w:rtl/>
        </w:rPr>
        <w:t>מהרא"י (שם ב</w:t>
      </w:r>
      <w:r w:rsidRPr="008E6249">
        <w:rPr>
          <w:rFonts w:cs="Arial"/>
          <w:rtl/>
        </w:rPr>
        <w:t>סי</w:t>
      </w:r>
      <w:r>
        <w:rPr>
          <w:rFonts w:cs="Arial" w:hint="cs"/>
          <w:rtl/>
        </w:rPr>
        <w:t>'</w:t>
      </w:r>
      <w:r w:rsidRPr="008E6249">
        <w:rPr>
          <w:rFonts w:cs="Arial"/>
          <w:rtl/>
        </w:rPr>
        <w:t xml:space="preserve"> רכט</w:t>
      </w:r>
      <w:r>
        <w:rPr>
          <w:rFonts w:cs="Arial" w:hint="cs"/>
          <w:rtl/>
        </w:rPr>
        <w:t>)</w:t>
      </w:r>
      <w:r w:rsidRPr="008E6249">
        <w:rPr>
          <w:rFonts w:cs="Arial"/>
          <w:rtl/>
        </w:rPr>
        <w:t xml:space="preserve"> דאם המנהג קבוע רק שלפעמים על ידי שינוי הזוג כגון שזקן עשיר נושא ענייה כדי לשמשו שרגילין לפעמים לכתוב לה סך מועט </w:t>
      </w:r>
      <w:r>
        <w:rPr>
          <w:rFonts w:cs="Arial" w:hint="cs"/>
          <w:rtl/>
        </w:rPr>
        <w:t xml:space="preserve">- </w:t>
      </w:r>
      <w:r w:rsidRPr="008E6249">
        <w:rPr>
          <w:rFonts w:cs="Arial"/>
          <w:rtl/>
        </w:rPr>
        <w:t>אז גובה בלא שטר כתובה כי זה מיקרי מנהג קבוע</w:t>
      </w:r>
      <w:r>
        <w:rPr>
          <w:rFonts w:cs="Arial" w:hint="cs"/>
          <w:rtl/>
        </w:rPr>
        <w:t xml:space="preserve">. </w:t>
      </w:r>
      <w:r w:rsidRPr="008E6249">
        <w:rPr>
          <w:rFonts w:cs="Arial"/>
          <w:rtl/>
        </w:rPr>
        <w:t>ו</w:t>
      </w:r>
      <w:r>
        <w:rPr>
          <w:rFonts w:cs="Arial" w:hint="cs"/>
          <w:rtl/>
        </w:rPr>
        <w:t>כתב עוד (</w:t>
      </w:r>
      <w:r w:rsidRPr="008E6249">
        <w:rPr>
          <w:rFonts w:cs="Arial"/>
          <w:rtl/>
        </w:rPr>
        <w:t>בסי</w:t>
      </w:r>
      <w:r>
        <w:rPr>
          <w:rFonts w:cs="Arial" w:hint="cs"/>
          <w:rtl/>
        </w:rPr>
        <w:t>'</w:t>
      </w:r>
      <w:r w:rsidRPr="008E6249">
        <w:rPr>
          <w:rFonts w:cs="Arial"/>
          <w:rtl/>
        </w:rPr>
        <w:t xml:space="preserve"> רלב</w:t>
      </w:r>
      <w:r>
        <w:rPr>
          <w:rFonts w:cs="Arial" w:hint="cs"/>
          <w:rtl/>
        </w:rPr>
        <w:t>)</w:t>
      </w:r>
      <w:r w:rsidRPr="008E6249">
        <w:rPr>
          <w:rFonts w:cs="Arial"/>
          <w:rtl/>
        </w:rPr>
        <w:t xml:space="preserve"> </w:t>
      </w:r>
      <w:r>
        <w:rPr>
          <w:rFonts w:cs="Arial" w:hint="cs"/>
          <w:rtl/>
        </w:rPr>
        <w:t>ד</w:t>
      </w:r>
      <w:r w:rsidRPr="008E6249">
        <w:rPr>
          <w:rFonts w:cs="Arial"/>
          <w:rtl/>
        </w:rPr>
        <w:t>אם אין מנהג קבוע והאלמנה תפסה הנכסים</w:t>
      </w:r>
      <w:r>
        <w:rPr>
          <w:rFonts w:cs="Arial" w:hint="cs"/>
          <w:rtl/>
        </w:rPr>
        <w:t>,</w:t>
      </w:r>
      <w:r w:rsidRPr="008E6249">
        <w:rPr>
          <w:rFonts w:cs="Arial"/>
          <w:rtl/>
        </w:rPr>
        <w:t xml:space="preserve"> אם יש לה מגו להחזיק בנכסים נאמנת לומר שהוסיף לה</w:t>
      </w:r>
      <w:r>
        <w:rPr>
          <w:rFonts w:cs="Arial" w:hint="cs"/>
          <w:rtl/>
        </w:rPr>
        <w:t>,</w:t>
      </w:r>
      <w:r w:rsidRPr="008E6249">
        <w:rPr>
          <w:rFonts w:cs="Arial"/>
          <w:rtl/>
        </w:rPr>
        <w:t xml:space="preserve"> אבל הדבר צריך דקדוק גדול כי בכל דהו אין לה מגו</w:t>
      </w:r>
      <w:r>
        <w:rPr>
          <w:rFonts w:cs="Arial" w:hint="cs"/>
          <w:rtl/>
        </w:rPr>
        <w:t xml:space="preserve"> </w:t>
      </w:r>
      <w:r w:rsidRPr="0070440F">
        <w:rPr>
          <w:rFonts w:hint="cs"/>
          <w:color w:val="00B0F0"/>
          <w:rtl/>
        </w:rPr>
        <w:t>(וכ"</w:t>
      </w:r>
      <w:r>
        <w:rPr>
          <w:rFonts w:hint="cs"/>
          <w:color w:val="00B0F0"/>
          <w:rtl/>
        </w:rPr>
        <w:t>פ</w:t>
      </w:r>
      <w:r w:rsidRPr="0070440F">
        <w:rPr>
          <w:rFonts w:hint="cs"/>
          <w:color w:val="00B0F0"/>
          <w:rtl/>
        </w:rPr>
        <w:t xml:space="preserve"> </w:t>
      </w:r>
      <w:r>
        <w:rPr>
          <w:rFonts w:hint="cs"/>
          <w:color w:val="00B0F0"/>
          <w:rtl/>
        </w:rPr>
        <w:t>בהג"ה</w:t>
      </w:r>
      <w:r w:rsidRPr="0070440F">
        <w:rPr>
          <w:rFonts w:hint="cs"/>
          <w:color w:val="00B0F0"/>
          <w:rtl/>
        </w:rPr>
        <w:t>)</w:t>
      </w:r>
      <w:r>
        <w:rPr>
          <w:rFonts w:cs="Arial" w:hint="cs"/>
          <w:rtl/>
        </w:rPr>
        <w:t>.</w:t>
      </w:r>
      <w:r w:rsidRPr="008E6249">
        <w:rPr>
          <w:rFonts w:cs="Arial"/>
          <w:rtl/>
        </w:rPr>
        <w:t xml:space="preserve"> וכ"כ מהרי"ו </w:t>
      </w:r>
      <w:r>
        <w:rPr>
          <w:rFonts w:cs="Arial" w:hint="cs"/>
          <w:rtl/>
        </w:rPr>
        <w:t>(</w:t>
      </w:r>
      <w:r w:rsidRPr="008E6249">
        <w:rPr>
          <w:rFonts w:cs="Arial"/>
          <w:rtl/>
        </w:rPr>
        <w:t>בתשובה ס</w:t>
      </w:r>
      <w:r>
        <w:rPr>
          <w:rFonts w:cs="Arial" w:hint="cs"/>
          <w:rtl/>
        </w:rPr>
        <w:t>י'</w:t>
      </w:r>
      <w:r w:rsidRPr="008E6249">
        <w:rPr>
          <w:rFonts w:cs="Arial"/>
          <w:rtl/>
        </w:rPr>
        <w:t xml:space="preserve"> קיג</w:t>
      </w:r>
      <w:r>
        <w:rPr>
          <w:rFonts w:cs="Arial" w:hint="cs"/>
          <w:rtl/>
        </w:rPr>
        <w:t>)</w:t>
      </w:r>
      <w:r w:rsidRPr="008E6249">
        <w:rPr>
          <w:rFonts w:cs="Arial"/>
          <w:rtl/>
        </w:rPr>
        <w:t>.</w:t>
      </w:r>
    </w:p>
  </w:footnote>
  <w:footnote w:id="2402">
    <w:p w14:paraId="6290271F" w14:textId="77777777" w:rsidR="00DF1FC7" w:rsidRDefault="00DF1FC7" w:rsidP="002E5BAD">
      <w:pPr>
        <w:pStyle w:val="a5"/>
      </w:pPr>
      <w:r>
        <w:rPr>
          <w:rStyle w:val="a7"/>
        </w:rPr>
        <w:footnoteRef/>
      </w:r>
      <w:r>
        <w:rPr>
          <w:rtl/>
        </w:rPr>
        <w:t xml:space="preserve"> </w:t>
      </w:r>
      <w:r w:rsidRPr="00FD573D">
        <w:rPr>
          <w:rFonts w:cs="Arial"/>
          <w:rtl/>
        </w:rPr>
        <w:t>ואפשר דכה"ג א"צ לקיים כלל וגובה אף התוספת, וצ"ע בדברי מהרי"ו ומהרא"י בתשובות הנ"ל</w:t>
      </w:r>
      <w:r>
        <w:rPr>
          <w:rFonts w:cs="Arial" w:hint="cs"/>
          <w:rtl/>
        </w:rPr>
        <w:t>, דרכ"מ (אות טז).</w:t>
      </w:r>
    </w:p>
  </w:footnote>
  <w:footnote w:id="2403">
    <w:p w14:paraId="4F39ABE6" w14:textId="77777777" w:rsidR="00DF1FC7" w:rsidRDefault="00DF1FC7" w:rsidP="002E5BAD">
      <w:pPr>
        <w:pStyle w:val="a5"/>
        <w:rPr>
          <w:rtl/>
        </w:rPr>
      </w:pPr>
      <w:r>
        <w:rPr>
          <w:rStyle w:val="a7"/>
        </w:rPr>
        <w:footnoteRef/>
      </w:r>
      <w:r>
        <w:rPr>
          <w:rtl/>
        </w:rPr>
        <w:t xml:space="preserve"> </w:t>
      </w:r>
      <w:r w:rsidRPr="00D602DC">
        <w:rPr>
          <w:rFonts w:cs="Arial"/>
          <w:rtl/>
        </w:rPr>
        <w:t>ועיין בתשובת מהרי"ל סימן ע"ג בדינים אלו</w:t>
      </w:r>
      <w:r>
        <w:rPr>
          <w:rFonts w:hint="cs"/>
          <w:rtl/>
        </w:rPr>
        <w:t>, דרכ"מ (אות טז).</w:t>
      </w:r>
    </w:p>
  </w:footnote>
  <w:footnote w:id="2404">
    <w:p w14:paraId="72847603" w14:textId="77777777" w:rsidR="00DF1FC7" w:rsidRDefault="00DF1FC7" w:rsidP="002E5BAD">
      <w:pPr>
        <w:pStyle w:val="a5"/>
        <w:rPr>
          <w:rtl/>
        </w:rPr>
      </w:pPr>
      <w:r>
        <w:rPr>
          <w:rStyle w:val="a7"/>
        </w:rPr>
        <w:footnoteRef/>
      </w:r>
      <w:r>
        <w:rPr>
          <w:rtl/>
        </w:rPr>
        <w:t xml:space="preserve"> </w:t>
      </w:r>
      <w:r>
        <w:rPr>
          <w:rFonts w:cs="Arial" w:hint="cs"/>
          <w:rtl/>
        </w:rPr>
        <w:t xml:space="preserve">ר' יצחק הלוי </w:t>
      </w:r>
      <w:r>
        <w:rPr>
          <w:rFonts w:cs="Arial" w:hint="cs"/>
          <w:sz w:val="16"/>
          <w:szCs w:val="16"/>
          <w:rtl/>
        </w:rPr>
        <w:t>(כ"כ הראב"ן בשמו [סי' קז])</w:t>
      </w:r>
      <w:r>
        <w:rPr>
          <w:rFonts w:cs="Arial" w:hint="cs"/>
          <w:rtl/>
        </w:rPr>
        <w:t xml:space="preserve"> </w:t>
      </w:r>
      <w:r w:rsidRPr="00D24FB5">
        <w:rPr>
          <w:rFonts w:cs="Arial"/>
          <w:rtl/>
        </w:rPr>
        <w:t>ריב"א</w:t>
      </w:r>
      <w:r>
        <w:rPr>
          <w:rFonts w:cs="Arial" w:hint="cs"/>
          <w:sz w:val="16"/>
          <w:szCs w:val="16"/>
          <w:rtl/>
        </w:rPr>
        <w:t xml:space="preserve"> (כ"כ בשמו מרדכי [סי' רנג] והג"א [פי"א סי' ה])</w:t>
      </w:r>
      <w:r>
        <w:rPr>
          <w:rFonts w:cs="Arial" w:hint="cs"/>
          <w:rtl/>
        </w:rPr>
        <w:t xml:space="preserve"> ומהר"ם</w:t>
      </w:r>
      <w:r w:rsidRPr="00D512B4">
        <w:rPr>
          <w:rtl/>
        </w:rPr>
        <w:t xml:space="preserve"> </w:t>
      </w:r>
      <w:r w:rsidRPr="00D512B4">
        <w:rPr>
          <w:rFonts w:cs="Arial" w:hint="cs"/>
          <w:sz w:val="16"/>
          <w:szCs w:val="16"/>
          <w:rtl/>
        </w:rPr>
        <w:t>(</w:t>
      </w:r>
      <w:r w:rsidRPr="00D512B4">
        <w:rPr>
          <w:rFonts w:cs="Arial"/>
          <w:sz w:val="16"/>
          <w:szCs w:val="16"/>
          <w:rtl/>
        </w:rPr>
        <w:t>ספר סיני וליקוטים סי</w:t>
      </w:r>
      <w:r>
        <w:rPr>
          <w:rFonts w:cs="Arial" w:hint="cs"/>
          <w:sz w:val="16"/>
          <w:szCs w:val="16"/>
          <w:rtl/>
        </w:rPr>
        <w:t>'</w:t>
      </w:r>
      <w:r w:rsidRPr="00D512B4">
        <w:rPr>
          <w:rFonts w:cs="Arial"/>
          <w:sz w:val="16"/>
          <w:szCs w:val="16"/>
          <w:rtl/>
        </w:rPr>
        <w:t xml:space="preserve"> תקעא</w:t>
      </w:r>
      <w:r>
        <w:rPr>
          <w:rFonts w:cs="Arial" w:hint="cs"/>
          <w:sz w:val="16"/>
          <w:szCs w:val="16"/>
          <w:rtl/>
        </w:rPr>
        <w:t>)</w:t>
      </w:r>
      <w:r>
        <w:rPr>
          <w:rFonts w:hint="cs"/>
          <w:rtl/>
        </w:rPr>
        <w:t>.</w:t>
      </w:r>
    </w:p>
  </w:footnote>
  <w:footnote w:id="2405">
    <w:p w14:paraId="5EB03AAA" w14:textId="77777777" w:rsidR="00DF1FC7" w:rsidRDefault="00DF1FC7" w:rsidP="002E5BAD">
      <w:pPr>
        <w:pStyle w:val="a5"/>
      </w:pPr>
      <w:r>
        <w:rPr>
          <w:rStyle w:val="a7"/>
        </w:rPr>
        <w:footnoteRef/>
      </w:r>
      <w:r>
        <w:rPr>
          <w:rtl/>
        </w:rPr>
        <w:t xml:space="preserve"> </w:t>
      </w:r>
      <w:r w:rsidRPr="00C95EDC">
        <w:rPr>
          <w:rFonts w:cs="Arial"/>
          <w:rtl/>
        </w:rPr>
        <w:t>הש"ג לא כתב דין זה אלא כתב אם נשרפה הכתובה</w:t>
      </w:r>
      <w:r>
        <w:rPr>
          <w:rFonts w:cs="Arial" w:hint="cs"/>
          <w:rtl/>
        </w:rPr>
        <w:t>.</w:t>
      </w:r>
      <w:r w:rsidRPr="00C95EDC">
        <w:rPr>
          <w:rFonts w:cs="Arial"/>
          <w:rtl/>
        </w:rPr>
        <w:t xml:space="preserve"> והקשה בח"מ </w:t>
      </w:r>
      <w:r>
        <w:rPr>
          <w:rFonts w:cs="Arial" w:hint="cs"/>
          <w:rtl/>
        </w:rPr>
        <w:t xml:space="preserve">(סקל"א) </w:t>
      </w:r>
      <w:r w:rsidRPr="00C95EDC">
        <w:rPr>
          <w:rFonts w:cs="Arial"/>
          <w:rtl/>
        </w:rPr>
        <w:t>מנ"ל להרב רמ"א אם נאבדה דצריך לשלם דהא יש לחוש שמא תמצא הכתובה</w:t>
      </w:r>
      <w:r>
        <w:rPr>
          <w:rFonts w:cs="Arial" w:hint="cs"/>
          <w:rtl/>
        </w:rPr>
        <w:t>.</w:t>
      </w:r>
      <w:r w:rsidRPr="00C95EDC">
        <w:rPr>
          <w:rFonts w:cs="Arial"/>
          <w:rtl/>
        </w:rPr>
        <w:t xml:space="preserve"> ובאמת לק"מ</w:t>
      </w:r>
      <w:r>
        <w:rPr>
          <w:rFonts w:cs="Arial" w:hint="cs"/>
          <w:rtl/>
        </w:rPr>
        <w:t>,</w:t>
      </w:r>
      <w:r w:rsidRPr="00C95EDC">
        <w:rPr>
          <w:rFonts w:cs="Arial"/>
          <w:rtl/>
        </w:rPr>
        <w:t xml:space="preserve"> כי הש"ג לטעמו דס"ל דאין כותבים שובר על הכתובה</w:t>
      </w:r>
      <w:r>
        <w:rPr>
          <w:rFonts w:cs="Arial" w:hint="cs"/>
          <w:rtl/>
        </w:rPr>
        <w:t>,</w:t>
      </w:r>
      <w:r w:rsidRPr="00C95EDC">
        <w:rPr>
          <w:rFonts w:cs="Arial"/>
          <w:rtl/>
        </w:rPr>
        <w:t xml:space="preserve"> לכן כתב דינו רק בנשרף ולא בנאבד</w:t>
      </w:r>
      <w:r>
        <w:rPr>
          <w:rFonts w:cs="Arial" w:hint="cs"/>
          <w:rtl/>
        </w:rPr>
        <w:t>.</w:t>
      </w:r>
      <w:r w:rsidRPr="00C95EDC">
        <w:rPr>
          <w:rFonts w:cs="Arial"/>
          <w:rtl/>
        </w:rPr>
        <w:t xml:space="preserve"> אבל למה דקי"ל דכותבים שובר צריך לשלם אפילו אם נאבדה הכתובה וא</w:t>
      </w:r>
      <w:r>
        <w:rPr>
          <w:rFonts w:cs="Arial" w:hint="cs"/>
          <w:rtl/>
        </w:rPr>
        <w:t xml:space="preserve">ינו יכול לומר </w:t>
      </w:r>
      <w:r w:rsidRPr="00C95EDC">
        <w:rPr>
          <w:rFonts w:cs="Arial"/>
          <w:rtl/>
        </w:rPr>
        <w:t>פרעתי אא"כ כשיש ריעות'</w:t>
      </w:r>
      <w:r>
        <w:rPr>
          <w:rFonts w:cs="Arial" w:hint="cs"/>
          <w:rtl/>
        </w:rPr>
        <w:t>,</w:t>
      </w:r>
      <w:r w:rsidRPr="00C95EDC">
        <w:rPr>
          <w:rFonts w:cs="Arial"/>
          <w:rtl/>
        </w:rPr>
        <w:t xml:space="preserve"> היינו שאין הכתובה בידה</w:t>
      </w:r>
      <w:r>
        <w:rPr>
          <w:rFonts w:cs="Arial" w:hint="cs"/>
          <w:rtl/>
        </w:rPr>
        <w:t>.</w:t>
      </w:r>
      <w:r w:rsidRPr="00C95EDC">
        <w:rPr>
          <w:rFonts w:cs="Arial"/>
          <w:rtl/>
        </w:rPr>
        <w:t xml:space="preserve"> אבל אם ידוע דנאבדה או נשרפה ליכא ריעות' </w:t>
      </w:r>
      <w:r>
        <w:rPr>
          <w:rFonts w:cs="Arial" w:hint="cs"/>
          <w:rtl/>
        </w:rPr>
        <w:t>ואינו יכול לומר</w:t>
      </w:r>
      <w:r w:rsidRPr="00C95EDC">
        <w:rPr>
          <w:rFonts w:cs="Arial"/>
          <w:rtl/>
        </w:rPr>
        <w:t xml:space="preserve"> פרעתי</w:t>
      </w:r>
      <w:r>
        <w:rPr>
          <w:rFonts w:cs="Arial" w:hint="cs"/>
          <w:rtl/>
        </w:rPr>
        <w:t>, ב"ש (סקכ"ט). וכתב הח"מ (סקל"א) ל</w:t>
      </w:r>
      <w:r w:rsidRPr="00C25A24">
        <w:rPr>
          <w:rFonts w:cs="Arial"/>
          <w:rtl/>
        </w:rPr>
        <w:t>עיין בח"מ סי' מא</w:t>
      </w:r>
      <w:r>
        <w:rPr>
          <w:rFonts w:cs="Arial" w:hint="cs"/>
          <w:rtl/>
        </w:rPr>
        <w:t xml:space="preserve"> (סע' ג)</w:t>
      </w:r>
      <w:r w:rsidRPr="00C25A24">
        <w:rPr>
          <w:rFonts w:cs="Arial"/>
          <w:rtl/>
        </w:rPr>
        <w:t xml:space="preserve"> דמחלק שם ג"כ בין נאבדה לנשרפה</w:t>
      </w:r>
      <w:r>
        <w:rPr>
          <w:rFonts w:cs="Arial" w:hint="cs"/>
          <w:rtl/>
        </w:rPr>
        <w:t>.</w:t>
      </w:r>
      <w:r w:rsidRPr="00C25A24">
        <w:rPr>
          <w:rFonts w:cs="Arial"/>
          <w:rtl/>
        </w:rPr>
        <w:t xml:space="preserve"> </w:t>
      </w:r>
      <w:r>
        <w:rPr>
          <w:rFonts w:cs="Arial" w:hint="cs"/>
          <w:rtl/>
        </w:rPr>
        <w:t>וכתב עוד ד</w:t>
      </w:r>
      <w:r w:rsidRPr="00C25A24">
        <w:rPr>
          <w:rFonts w:cs="Arial"/>
          <w:rtl/>
        </w:rPr>
        <w:t>נראה דאם נשרפה הכתובה בחיי הבעל והבעל טוען מאחר שאסור לשהות עם אשתו בלא כתובה כתבתי לה כתובה אחר</w:t>
      </w:r>
      <w:r>
        <w:rPr>
          <w:rFonts w:cs="Arial" w:hint="cs"/>
          <w:rtl/>
        </w:rPr>
        <w:t>ת</w:t>
      </w:r>
      <w:r w:rsidRPr="00C25A24">
        <w:rPr>
          <w:rFonts w:cs="Arial"/>
          <w:rtl/>
        </w:rPr>
        <w:t xml:space="preserve"> </w:t>
      </w:r>
      <w:r>
        <w:rPr>
          <w:rFonts w:cs="Arial" w:hint="cs"/>
          <w:rtl/>
        </w:rPr>
        <w:t xml:space="preserve">- </w:t>
      </w:r>
      <w:r w:rsidRPr="00C25A24">
        <w:rPr>
          <w:rFonts w:cs="Arial"/>
          <w:rtl/>
        </w:rPr>
        <w:t>טענתו טענה</w:t>
      </w:r>
      <w:r>
        <w:rPr>
          <w:rFonts w:cs="Arial" w:hint="cs"/>
          <w:rtl/>
        </w:rPr>
        <w:t>,</w:t>
      </w:r>
      <w:r w:rsidRPr="00C25A24">
        <w:rPr>
          <w:rFonts w:cs="Arial"/>
          <w:rtl/>
        </w:rPr>
        <w:t xml:space="preserve"> וכן אנן טוענין כן בעד היתומים</w:t>
      </w:r>
      <w:r>
        <w:rPr>
          <w:rFonts w:cs="Arial" w:hint="cs"/>
          <w:rtl/>
        </w:rPr>
        <w:t>,</w:t>
      </w:r>
      <w:r w:rsidRPr="00C25A24">
        <w:rPr>
          <w:rFonts w:cs="Arial"/>
          <w:rtl/>
        </w:rPr>
        <w:t xml:space="preserve"> אם לא שהיא תביא עדים שנשרפה סמוך לגירושין ולמיתה ואז הוי כמקום שאין כותבין כתובה</w:t>
      </w:r>
      <w:r>
        <w:rPr>
          <w:rFonts w:cs="Arial" w:hint="cs"/>
          <w:rtl/>
        </w:rPr>
        <w:t>.</w:t>
      </w:r>
      <w:r w:rsidRPr="00C25A24">
        <w:rPr>
          <w:rFonts w:cs="Arial"/>
          <w:rtl/>
        </w:rPr>
        <w:t xml:space="preserve"> ועיין לעיל סי' ס"ו סעיף ג' משמע באבדה כתובתה גובה כתובתה שם מיירי בידוע שלא פרע</w:t>
      </w:r>
      <w:r>
        <w:rPr>
          <w:rFonts w:hint="cs"/>
          <w:rtl/>
        </w:rPr>
        <w:t>.</w:t>
      </w:r>
    </w:p>
  </w:footnote>
  <w:footnote w:id="2406">
    <w:p w14:paraId="29C7630D" w14:textId="77777777" w:rsidR="00DF1FC7" w:rsidRDefault="00DF1FC7" w:rsidP="002E5BAD">
      <w:pPr>
        <w:pStyle w:val="a5"/>
      </w:pPr>
      <w:r>
        <w:rPr>
          <w:rStyle w:val="a7"/>
        </w:rPr>
        <w:footnoteRef/>
      </w:r>
      <w:r>
        <w:rPr>
          <w:rtl/>
        </w:rPr>
        <w:t xml:space="preserve"> </w:t>
      </w:r>
      <w:r w:rsidRPr="00A0251F">
        <w:rPr>
          <w:rFonts w:cs="Arial"/>
          <w:rtl/>
        </w:rPr>
        <w:t xml:space="preserve">הנה תוס' </w:t>
      </w:r>
      <w:r>
        <w:rPr>
          <w:rFonts w:cs="Arial" w:hint="cs"/>
          <w:rtl/>
        </w:rPr>
        <w:t>(</w:t>
      </w:r>
      <w:r w:rsidRPr="00A0251F">
        <w:rPr>
          <w:rFonts w:cs="Arial"/>
          <w:rtl/>
        </w:rPr>
        <w:t>ב"מ יז</w:t>
      </w:r>
      <w:r>
        <w:rPr>
          <w:rFonts w:cs="Arial" w:hint="cs"/>
          <w:rtl/>
        </w:rPr>
        <w:t>)</w:t>
      </w:r>
      <w:r w:rsidRPr="00A0251F">
        <w:rPr>
          <w:rFonts w:cs="Arial"/>
          <w:rtl/>
        </w:rPr>
        <w:t xml:space="preserve"> והרמב"ם </w:t>
      </w:r>
      <w:r>
        <w:rPr>
          <w:rFonts w:cs="Arial" w:hint="cs"/>
          <w:rtl/>
        </w:rPr>
        <w:t>(</w:t>
      </w:r>
      <w:r w:rsidRPr="00A0251F">
        <w:rPr>
          <w:rFonts w:cs="Arial"/>
          <w:rtl/>
        </w:rPr>
        <w:t>פט"ז</w:t>
      </w:r>
      <w:r>
        <w:rPr>
          <w:rFonts w:cs="Arial" w:hint="cs"/>
          <w:rtl/>
        </w:rPr>
        <w:t>)</w:t>
      </w:r>
      <w:r w:rsidRPr="00A0251F">
        <w:rPr>
          <w:rFonts w:cs="Arial"/>
          <w:rtl/>
        </w:rPr>
        <w:t xml:space="preserve"> והר"ן כתבו להדי</w:t>
      </w:r>
      <w:r>
        <w:rPr>
          <w:rFonts w:cs="Arial" w:hint="cs"/>
          <w:rtl/>
        </w:rPr>
        <w:t>א</w:t>
      </w:r>
      <w:r w:rsidRPr="00A0251F">
        <w:rPr>
          <w:rFonts w:cs="Arial"/>
          <w:rtl/>
        </w:rPr>
        <w:t xml:space="preserve"> דאינו גובה ת</w:t>
      </w:r>
      <w:r>
        <w:rPr>
          <w:rFonts w:cs="Arial" w:hint="cs"/>
          <w:rtl/>
        </w:rPr>
        <w:t xml:space="preserve">וספת </w:t>
      </w:r>
      <w:r w:rsidRPr="00A0251F">
        <w:rPr>
          <w:rFonts w:cs="Arial"/>
          <w:rtl/>
        </w:rPr>
        <w:t>כ</w:t>
      </w:r>
      <w:r>
        <w:rPr>
          <w:rFonts w:cs="Arial" w:hint="cs"/>
          <w:rtl/>
        </w:rPr>
        <w:t>תובה</w:t>
      </w:r>
      <w:r w:rsidRPr="00A0251F">
        <w:rPr>
          <w:rFonts w:cs="Arial"/>
          <w:rtl/>
        </w:rPr>
        <w:t xml:space="preserve"> אפילו במקום דאין כותבים כתובה הואיל ולאו תנאי ב"ד הוא ואינו אלא מלוה</w:t>
      </w:r>
      <w:r>
        <w:rPr>
          <w:rFonts w:cs="Arial" w:hint="cs"/>
          <w:rtl/>
        </w:rPr>
        <w:t>.</w:t>
      </w:r>
      <w:r w:rsidRPr="00A0251F">
        <w:rPr>
          <w:rFonts w:cs="Arial"/>
          <w:rtl/>
        </w:rPr>
        <w:t xml:space="preserve"> מיהו תוספו</w:t>
      </w:r>
      <w:r>
        <w:rPr>
          <w:rFonts w:cs="Arial" w:hint="cs"/>
          <w:rtl/>
        </w:rPr>
        <w:t>ת</w:t>
      </w:r>
      <w:r w:rsidRPr="00A0251F">
        <w:rPr>
          <w:rFonts w:cs="Arial"/>
          <w:rtl/>
        </w:rPr>
        <w:t xml:space="preserve"> שליש לאו תוספת הוא</w:t>
      </w:r>
      <w:r>
        <w:rPr>
          <w:rFonts w:cs="Arial" w:hint="cs"/>
          <w:rtl/>
        </w:rPr>
        <w:t>,</w:t>
      </w:r>
      <w:r w:rsidRPr="00A0251F">
        <w:rPr>
          <w:rFonts w:cs="Arial"/>
          <w:rtl/>
        </w:rPr>
        <w:t xml:space="preserve"> אלא הוי כאלו הכניסה לו השליש זה הואיל שיכול להרויח בנדוני</w:t>
      </w:r>
      <w:r>
        <w:rPr>
          <w:rFonts w:cs="Arial" w:hint="cs"/>
          <w:rtl/>
        </w:rPr>
        <w:t>א</w:t>
      </w:r>
      <w:r w:rsidRPr="00A0251F">
        <w:rPr>
          <w:rFonts w:cs="Arial"/>
          <w:rtl/>
        </w:rPr>
        <w:t xml:space="preserve"> כ"כ</w:t>
      </w:r>
      <w:r>
        <w:rPr>
          <w:rFonts w:cs="Arial" w:hint="cs"/>
          <w:rtl/>
        </w:rPr>
        <w:t>,</w:t>
      </w:r>
      <w:r w:rsidRPr="00A0251F">
        <w:rPr>
          <w:rFonts w:cs="Arial"/>
          <w:rtl/>
        </w:rPr>
        <w:t xml:space="preserve"> א"כ אם יש בידה שטר או התנאים כמה הכניסה לו גובה אותה סך והוספה שליש</w:t>
      </w:r>
      <w:r>
        <w:rPr>
          <w:rFonts w:cs="Arial" w:hint="cs"/>
          <w:sz w:val="16"/>
          <w:szCs w:val="16"/>
          <w:rtl/>
        </w:rPr>
        <w:t xml:space="preserve"> (</w:t>
      </w:r>
      <w:r w:rsidRPr="002D122A">
        <w:rPr>
          <w:rFonts w:cs="Arial"/>
          <w:sz w:val="16"/>
          <w:szCs w:val="16"/>
          <w:rtl/>
        </w:rPr>
        <w:t>ועיין בס' ב"מ שתמה עליו וכ' שטר זה א</w:t>
      </w:r>
      <w:r>
        <w:rPr>
          <w:rFonts w:cs="Arial" w:hint="cs"/>
          <w:sz w:val="16"/>
          <w:szCs w:val="16"/>
          <w:rtl/>
        </w:rPr>
        <w:t>יני יודע</w:t>
      </w:r>
      <w:r w:rsidRPr="002D122A">
        <w:rPr>
          <w:rFonts w:cs="Arial"/>
          <w:sz w:val="16"/>
          <w:szCs w:val="16"/>
          <w:rtl/>
        </w:rPr>
        <w:t xml:space="preserve"> מה טיבו</w:t>
      </w:r>
      <w:r>
        <w:rPr>
          <w:rFonts w:cs="Arial" w:hint="cs"/>
          <w:sz w:val="16"/>
          <w:szCs w:val="16"/>
          <w:rtl/>
        </w:rPr>
        <w:t>,</w:t>
      </w:r>
      <w:r w:rsidRPr="002D122A">
        <w:rPr>
          <w:rFonts w:cs="Arial"/>
          <w:sz w:val="16"/>
          <w:szCs w:val="16"/>
          <w:rtl/>
        </w:rPr>
        <w:t xml:space="preserve"> והתנאים ג"כ צ"ע</w:t>
      </w:r>
      <w:r>
        <w:rPr>
          <w:rFonts w:cs="Arial" w:hint="cs"/>
          <w:sz w:val="16"/>
          <w:szCs w:val="16"/>
          <w:rtl/>
        </w:rPr>
        <w:t>,</w:t>
      </w:r>
      <w:r w:rsidRPr="002D122A">
        <w:rPr>
          <w:rFonts w:cs="Arial"/>
          <w:sz w:val="16"/>
          <w:szCs w:val="16"/>
          <w:rtl/>
        </w:rPr>
        <w:t xml:space="preserve"> לא מבעיא תנאים ראשונים הנכתבים בשעת שדוכין זה ודאי אינו ראיה</w:t>
      </w:r>
      <w:r>
        <w:rPr>
          <w:rFonts w:cs="Arial" w:hint="cs"/>
          <w:sz w:val="16"/>
          <w:szCs w:val="16"/>
          <w:rtl/>
        </w:rPr>
        <w:t>,</w:t>
      </w:r>
      <w:r w:rsidRPr="002D122A">
        <w:rPr>
          <w:rFonts w:cs="Arial"/>
          <w:sz w:val="16"/>
          <w:szCs w:val="16"/>
          <w:rtl/>
        </w:rPr>
        <w:t xml:space="preserve"> אלא אפילו תנאים אחרונים כו' ע"ש באורך</w:t>
      </w:r>
      <w:r>
        <w:rPr>
          <w:rFonts w:cs="Arial" w:hint="cs"/>
          <w:sz w:val="16"/>
          <w:szCs w:val="16"/>
          <w:rtl/>
        </w:rPr>
        <w:t>, פת"ש [סקי"ב])</w:t>
      </w:r>
      <w:r>
        <w:rPr>
          <w:rFonts w:cs="Arial" w:hint="cs"/>
          <w:rtl/>
        </w:rPr>
        <w:t>...</w:t>
      </w:r>
      <w:r w:rsidRPr="00A0251F">
        <w:rPr>
          <w:rFonts w:cs="Arial"/>
          <w:rtl/>
        </w:rPr>
        <w:t xml:space="preserve"> אבל מה שהוסיף לה תליא בפלוגת' זו אם גובה בלא הכתובה ועיין בהג"ה דרישה</w:t>
      </w:r>
      <w:r>
        <w:rPr>
          <w:rFonts w:cs="Arial" w:hint="cs"/>
          <w:rtl/>
        </w:rPr>
        <w:t>, ב"ש (סק"ל).</w:t>
      </w:r>
    </w:p>
  </w:footnote>
  <w:footnote w:id="2407">
    <w:p w14:paraId="612FB4A6" w14:textId="77777777" w:rsidR="00DF1FC7" w:rsidRDefault="00DF1FC7" w:rsidP="002E5BAD">
      <w:pPr>
        <w:pStyle w:val="a5"/>
        <w:rPr>
          <w:rtl/>
        </w:rPr>
      </w:pPr>
      <w:r>
        <w:rPr>
          <w:rStyle w:val="a7"/>
        </w:rPr>
        <w:footnoteRef/>
      </w:r>
      <w:r>
        <w:rPr>
          <w:rtl/>
        </w:rPr>
        <w:t xml:space="preserve"> </w:t>
      </w:r>
      <w:r w:rsidRPr="00C25A24">
        <w:rPr>
          <w:rFonts w:cs="Arial"/>
          <w:rtl/>
        </w:rPr>
        <w:t>בב"ח כתב שמהרש"ל העיד שנוהגין לגבו' בלא כתובה עיקר כתובה וכל תנאיה בתנאי ב"ד אף במקום שכותבין ובב"ח כתב שיש להשוות דעת מהרמ"א עם דעת מהרש"ל שזה מעיד שנהגו לגבות עיקר כתובה מנה מאתים בלא כתובה ועדות מהרמ"א קאי על התוס' ול"נ שיש לדון בזה לפי ראות עיני הדיין כי באמת בזמן הזה לא שכיח לפרוע הכתובה או למחול בלא ידיעת ב"ד</w:t>
      </w:r>
      <w:r>
        <w:rPr>
          <w:rFonts w:hint="cs"/>
          <w:rtl/>
        </w:rPr>
        <w:t xml:space="preserve">, ח"מ (סקל"ב). וכתב הב"ש (סקל"א) </w:t>
      </w:r>
      <w:r>
        <w:rPr>
          <w:rFonts w:cs="Arial" w:hint="cs"/>
          <w:rtl/>
        </w:rPr>
        <w:t>ל</w:t>
      </w:r>
      <w:r w:rsidRPr="00A0251F">
        <w:rPr>
          <w:rFonts w:cs="Arial"/>
          <w:rtl/>
        </w:rPr>
        <w:t>עיין סי' צ"ג שם אית' אפילו לשיטו' הפוסקים דאין לה כתובה מ"מ אית לה מזונו' ועיין ס"ס קי"א ועיין בהרא"ש פ' שני דייני שם נשמע דס"ל דגובה בלא כתובה אפילו במקום שכותבים כתובה דהא הדין של הרמב"ם שהבי' הרא"ש בענין מזונו' איירי במקום שכותבים כמ"ש בפ' י"ח דין כ"ג להדי'</w:t>
      </w:r>
      <w:r>
        <w:rPr>
          <w:rFonts w:cs="Arial" w:hint="cs"/>
          <w:rtl/>
        </w:rPr>
        <w:t>.</w:t>
      </w:r>
    </w:p>
  </w:footnote>
  <w:footnote w:id="2408">
    <w:p w14:paraId="7E3236B7" w14:textId="77777777" w:rsidR="00DF1FC7" w:rsidRDefault="00DF1FC7" w:rsidP="002E5BAD">
      <w:pPr>
        <w:pStyle w:val="a5"/>
      </w:pPr>
      <w:r>
        <w:rPr>
          <w:rStyle w:val="a7"/>
        </w:rPr>
        <w:footnoteRef/>
      </w:r>
      <w:r>
        <w:rPr>
          <w:rtl/>
        </w:rPr>
        <w:t xml:space="preserve"> </w:t>
      </w:r>
      <w:r w:rsidRPr="00C25A24">
        <w:rPr>
          <w:rFonts w:cs="Arial"/>
          <w:rtl/>
        </w:rPr>
        <w:t>כלו' אפילו לדעת הסוברים שגובין בלא כתובה אפי' תוספו' היינו שמנהג פשוט בכל המדינה לגבות תוספו' זה אבל בשאין המנהג פשוט אין זה דומה לתנאי ב"ד ונראה אף אם תביא ראיה שכתב לה מ"מ יכול לטעון פרעתי מאחר שאין הכתובה מקויימת ומשמע מל' הרב דבאין המנהג פשוט אינה גובה בלא קיום מכ"ש בלא כתובה אבל אם המנהג פשוט בזה נחלקו הפוסקים אם גובה בלא כתובה או בלא קיום אבל במהרי"ק סי' י"ט כתב שאף שנחלקו הפוסקים היינו בדלא נקיטא כתובה דאז ריעא טענתה דידה מאחר שאין הכתובה בידה אבל אם הכתובה בידה רק שאינה מקויימת ומתוך אורך הזמן לא נמצאו לה עדי קיום נלע"ד דבהא מודו כל הפוסקים דמהימנ' וכו' ועיין לעיל סי' ס"ו סעי' י"א דאם אומרת שהוסיף לה יותר מן המנהג ויש בידה שטר כתובתה בלא קיום אינה גובה אלא כמנהג משמע לסך שהמנהג פשוט א"צ קיום וכדעת מהרי"ק</w:t>
      </w:r>
      <w:r>
        <w:rPr>
          <w:rFonts w:cs="Arial" w:hint="cs"/>
          <w:rtl/>
        </w:rPr>
        <w:t>, ח"מ (סקל"ג).</w:t>
      </w:r>
    </w:p>
  </w:footnote>
  <w:footnote w:id="2409">
    <w:p w14:paraId="676A18B1" w14:textId="77777777" w:rsidR="00DF1FC7" w:rsidRDefault="00DF1FC7" w:rsidP="002E5BAD">
      <w:pPr>
        <w:pStyle w:val="a5"/>
      </w:pPr>
      <w:r>
        <w:rPr>
          <w:rStyle w:val="a7"/>
        </w:rPr>
        <w:footnoteRef/>
      </w:r>
      <w:r>
        <w:rPr>
          <w:rtl/>
        </w:rPr>
        <w:t xml:space="preserve"> </w:t>
      </w:r>
      <w:r w:rsidRPr="002D122A">
        <w:rPr>
          <w:rFonts w:cs="Arial"/>
          <w:rtl/>
        </w:rPr>
        <w:t>במהרי"ק שורש י"ט מבואר אף שנחלקו הפוסקים אם גובה בלא כתובה לא נחלקו אלא כשאין הכתובה בידה דאז איכ' ריעות' אבל אם הכתובה בידה אלא דאינה מקוים ומתוך אותו הזמן לא נמצאו עדי קיום מודים כל הפוסקים דהיא נאמנת כיון דליכ' ריעות', ומה שאין מנהג פשוט אז אפילו אם יש בידה הכתובה ואינה מקוים אינה גובה וכן יש לפרש דברי רמ"א</w:t>
      </w:r>
      <w:r>
        <w:rPr>
          <w:rFonts w:cs="Arial" w:hint="cs"/>
          <w:rtl/>
        </w:rPr>
        <w:t>, ב"ש (סקל"ב).</w:t>
      </w:r>
    </w:p>
  </w:footnote>
  <w:footnote w:id="2410">
    <w:p w14:paraId="6C423536" w14:textId="77777777" w:rsidR="00DF1FC7" w:rsidRDefault="00DF1FC7" w:rsidP="002E5BAD">
      <w:pPr>
        <w:pStyle w:val="a5"/>
      </w:pPr>
      <w:r>
        <w:rPr>
          <w:rStyle w:val="a7"/>
        </w:rPr>
        <w:footnoteRef/>
      </w:r>
      <w:r>
        <w:rPr>
          <w:rtl/>
        </w:rPr>
        <w:t xml:space="preserve"> </w:t>
      </w:r>
      <w:r w:rsidRPr="00C25A24">
        <w:rPr>
          <w:rFonts w:cs="Arial"/>
          <w:rtl/>
        </w:rPr>
        <w:t>עיין בסי' ס"ו סעיף יוד שם כתב בפשיטות אם אבדה כתובתה דגובה כתובתה כפי מנהג בני משפחתה או משפחתו וצ"ל דמיירי שם בידוע שלא נפרעת כתובתה רק שאין יודעים סך הכתובה</w:t>
      </w:r>
      <w:r>
        <w:rPr>
          <w:rFonts w:cs="Arial" w:hint="cs"/>
          <w:rtl/>
        </w:rPr>
        <w:t>, ח"מ (סקל"ה).</w:t>
      </w:r>
    </w:p>
  </w:footnote>
  <w:footnote w:id="2411">
    <w:p w14:paraId="43003C92" w14:textId="77777777" w:rsidR="00DF1FC7" w:rsidRDefault="00DF1FC7" w:rsidP="002E5BAD">
      <w:pPr>
        <w:pStyle w:val="a5"/>
      </w:pPr>
      <w:r>
        <w:rPr>
          <w:rStyle w:val="a7"/>
        </w:rPr>
        <w:footnoteRef/>
      </w:r>
      <w:r>
        <w:rPr>
          <w:rtl/>
        </w:rPr>
        <w:t xml:space="preserve"> </w:t>
      </w:r>
      <w:r w:rsidRPr="00A0251F">
        <w:rPr>
          <w:rFonts w:cs="Arial"/>
          <w:rtl/>
        </w:rPr>
        <w:t>כלו' בזה מודו דאינה גובה בלא כתובה ומיירי בדלא תפסה ונראה דאם קודם שנשאת מצעת דבריה בפני ב"ד שלא נפרע' מכתובתה והיא מוכנ' לשבע ושלא תפסיד זכות שלה אף אם תנשא לאיש נראה דמהני לה תנאי זה ודינה כאלו לא נשא</w:t>
      </w:r>
      <w:r>
        <w:rPr>
          <w:rFonts w:cs="Arial" w:hint="cs"/>
          <w:rtl/>
        </w:rPr>
        <w:t>ת, ח"מ (סקל"ו).</w:t>
      </w:r>
    </w:p>
  </w:footnote>
  <w:footnote w:id="2412">
    <w:p w14:paraId="7B2092DD" w14:textId="77777777" w:rsidR="00DF1FC7" w:rsidRDefault="00DF1FC7" w:rsidP="002E5BAD">
      <w:pPr>
        <w:pStyle w:val="a5"/>
      </w:pPr>
      <w:r>
        <w:rPr>
          <w:rStyle w:val="a7"/>
        </w:rPr>
        <w:footnoteRef/>
      </w:r>
      <w:r>
        <w:rPr>
          <w:rtl/>
        </w:rPr>
        <w:t xml:space="preserve"> </w:t>
      </w:r>
      <w:r w:rsidRPr="00A0251F">
        <w:rPr>
          <w:rFonts w:cs="Arial"/>
          <w:rtl/>
        </w:rPr>
        <w:t>עיין בח"מ סי' נ"ב</w:t>
      </w:r>
      <w:r>
        <w:rPr>
          <w:rFonts w:cs="Arial" w:hint="cs"/>
          <w:rtl/>
        </w:rPr>
        <w:t>, עיין בחו"מ סי' נב, ח"מ (סקל"ח).</w:t>
      </w:r>
    </w:p>
  </w:footnote>
  <w:footnote w:id="2413">
    <w:p w14:paraId="2BAF22B8" w14:textId="77777777" w:rsidR="00DF1FC7" w:rsidRDefault="00DF1FC7" w:rsidP="002E5BAD">
      <w:pPr>
        <w:pStyle w:val="a5"/>
        <w:rPr>
          <w:rtl/>
        </w:rPr>
      </w:pPr>
      <w:r>
        <w:rPr>
          <w:rStyle w:val="a7"/>
        </w:rPr>
        <w:footnoteRef/>
      </w:r>
      <w:r>
        <w:rPr>
          <w:rtl/>
        </w:rPr>
        <w:t xml:space="preserve"> </w:t>
      </w:r>
      <w:r>
        <w:rPr>
          <w:rFonts w:cs="Arial" w:hint="cs"/>
          <w:rtl/>
        </w:rPr>
        <w:t xml:space="preserve">משנה זו היא המשך עקיף לתחילת הפרק, ששם כתוב במשנה- </w:t>
      </w:r>
      <w:r w:rsidRPr="00531E96">
        <w:rPr>
          <w:rFonts w:cs="Arial"/>
          <w:rtl/>
        </w:rPr>
        <w:t>האשה שהלכה היא ובעלה למדינת הים, שלום בינו לבינה ושלום בעולם, ובאה ואמרה מת בעלי</w:t>
      </w:r>
      <w:r>
        <w:rPr>
          <w:rFonts w:hint="cs"/>
          <w:rtl/>
        </w:rPr>
        <w:t>-....</w:t>
      </w:r>
    </w:p>
  </w:footnote>
  <w:footnote w:id="2414">
    <w:p w14:paraId="78D3BF30" w14:textId="77777777" w:rsidR="00DF1FC7" w:rsidRDefault="00DF1FC7" w:rsidP="002E5BAD">
      <w:pPr>
        <w:pStyle w:val="a5"/>
        <w:rPr>
          <w:rtl/>
        </w:rPr>
      </w:pPr>
      <w:r>
        <w:rPr>
          <w:rStyle w:val="a7"/>
        </w:rPr>
        <w:footnoteRef/>
      </w:r>
      <w:r>
        <w:rPr>
          <w:rtl/>
        </w:rPr>
        <w:t xml:space="preserve"> </w:t>
      </w:r>
      <w:r>
        <w:rPr>
          <w:rFonts w:cs="Arial"/>
          <w:rtl/>
        </w:rPr>
        <w:t>כבר נתבאר בסמוך בדברי הרמב"ם והרב המגיד שתוספת אינו בכלל הטוען אחר מעשה בית דין והוא הדין לנדוניא</w:t>
      </w:r>
      <w:r>
        <w:rPr>
          <w:rFonts w:cs="Arial" w:hint="cs"/>
          <w:rtl/>
        </w:rPr>
        <w:t>, ב"י. וכתב הדרכ"מ (אות טו)</w:t>
      </w:r>
      <w:r w:rsidRPr="00F02E86">
        <w:rPr>
          <w:rFonts w:cs="Arial"/>
          <w:rtl/>
        </w:rPr>
        <w:t xml:space="preserve"> כתב </w:t>
      </w:r>
      <w:r>
        <w:rPr>
          <w:rFonts w:cs="Arial" w:hint="cs"/>
          <w:rtl/>
        </w:rPr>
        <w:t>ה</w:t>
      </w:r>
      <w:r w:rsidRPr="00F02E86">
        <w:rPr>
          <w:rFonts w:cs="Arial"/>
          <w:rtl/>
        </w:rPr>
        <w:t>נמוק</w:t>
      </w:r>
      <w:r>
        <w:rPr>
          <w:rFonts w:cs="Arial" w:hint="cs"/>
          <w:rtl/>
        </w:rPr>
        <w:t>"</w:t>
      </w:r>
      <w:r w:rsidRPr="00F02E86">
        <w:rPr>
          <w:rFonts w:cs="Arial"/>
          <w:rtl/>
        </w:rPr>
        <w:t xml:space="preserve">י </w:t>
      </w:r>
      <w:r>
        <w:rPr>
          <w:rFonts w:cs="Arial" w:hint="cs"/>
          <w:rtl/>
        </w:rPr>
        <w:t>(</w:t>
      </w:r>
      <w:r w:rsidRPr="00F02E86">
        <w:rPr>
          <w:rFonts w:cs="Arial"/>
          <w:rtl/>
        </w:rPr>
        <w:t>פ</w:t>
      </w:r>
      <w:r>
        <w:rPr>
          <w:rFonts w:cs="Arial" w:hint="cs"/>
          <w:rtl/>
        </w:rPr>
        <w:t xml:space="preserve">' </w:t>
      </w:r>
      <w:r w:rsidRPr="00F02E86">
        <w:rPr>
          <w:rFonts w:cs="Arial"/>
          <w:rtl/>
        </w:rPr>
        <w:t xml:space="preserve">האשה שלום מג: ד"ה מתני' ותטול) </w:t>
      </w:r>
      <w:r>
        <w:rPr>
          <w:rFonts w:cs="Arial" w:hint="cs"/>
          <w:rtl/>
        </w:rPr>
        <w:t>דה"ה ל</w:t>
      </w:r>
      <w:r w:rsidRPr="00F02E86">
        <w:rPr>
          <w:rFonts w:cs="Arial"/>
          <w:rtl/>
        </w:rPr>
        <w:t>נכסי צאן ברזל</w:t>
      </w:r>
      <w:r>
        <w:rPr>
          <w:rFonts w:cs="Arial" w:hint="cs"/>
          <w:rtl/>
        </w:rPr>
        <w:t>.</w:t>
      </w:r>
      <w:r w:rsidRPr="00F02E86">
        <w:rPr>
          <w:rFonts w:cs="Arial"/>
          <w:rtl/>
        </w:rPr>
        <w:t xml:space="preserve"> </w:t>
      </w:r>
    </w:p>
  </w:footnote>
  <w:footnote w:id="2415">
    <w:p w14:paraId="6E5A862D" w14:textId="77777777" w:rsidR="00DF1FC7" w:rsidRDefault="00DF1FC7" w:rsidP="002E5BAD">
      <w:pPr>
        <w:pStyle w:val="a5"/>
      </w:pPr>
      <w:r>
        <w:rPr>
          <w:rStyle w:val="a7"/>
        </w:rPr>
        <w:footnoteRef/>
      </w:r>
      <w:r>
        <w:rPr>
          <w:rtl/>
        </w:rPr>
        <w:t xml:space="preserve"> </w:t>
      </w:r>
      <w:r>
        <w:rPr>
          <w:rFonts w:cs="Arial"/>
          <w:rtl/>
        </w:rPr>
        <w:t>פשוט הוא</w:t>
      </w:r>
      <w:r>
        <w:rPr>
          <w:rFonts w:cs="Arial" w:hint="cs"/>
          <w:rtl/>
        </w:rPr>
        <w:t>,</w:t>
      </w:r>
      <w:r>
        <w:rPr>
          <w:rFonts w:cs="Arial"/>
          <w:rtl/>
        </w:rPr>
        <w:t xml:space="preserve"> דהוה ליה כמלוה על פה שהוא נאמן לומר פרעתי</w:t>
      </w:r>
      <w:r>
        <w:rPr>
          <w:rFonts w:cs="Arial" w:hint="cs"/>
          <w:rtl/>
        </w:rPr>
        <w:t>, ב"י.</w:t>
      </w:r>
    </w:p>
  </w:footnote>
  <w:footnote w:id="2416">
    <w:p w14:paraId="21DA625D" w14:textId="77777777" w:rsidR="00DF1FC7" w:rsidRDefault="00DF1FC7" w:rsidP="002E5BAD">
      <w:pPr>
        <w:pStyle w:val="a5"/>
      </w:pPr>
      <w:r>
        <w:rPr>
          <w:rStyle w:val="a7"/>
        </w:rPr>
        <w:footnoteRef/>
      </w:r>
      <w:r>
        <w:rPr>
          <w:rtl/>
        </w:rPr>
        <w:t xml:space="preserve"> </w:t>
      </w:r>
      <w:r>
        <w:rPr>
          <w:rFonts w:hint="cs"/>
          <w:rtl/>
        </w:rPr>
        <w:t xml:space="preserve">וכתב הטור שכוונת הרמב"ם </w:t>
      </w:r>
      <w:r w:rsidRPr="00C93750">
        <w:rPr>
          <w:rFonts w:cs="Arial"/>
          <w:rtl/>
        </w:rPr>
        <w:t>שצריכה לישבע שמת</w:t>
      </w:r>
      <w:r>
        <w:rPr>
          <w:rFonts w:cs="Arial" w:hint="cs"/>
          <w:rtl/>
        </w:rPr>
        <w:t>. וכתב הב"י (בבדה"ב) שהבנת הטור היא</w:t>
      </w:r>
      <w:r>
        <w:rPr>
          <w:rFonts w:cs="Arial"/>
          <w:rtl/>
        </w:rPr>
        <w:t xml:space="preserve"> דבר תימה</w:t>
      </w:r>
      <w:r>
        <w:rPr>
          <w:rFonts w:cs="Arial" w:hint="cs"/>
          <w:rtl/>
        </w:rPr>
        <w:t>,</w:t>
      </w:r>
      <w:r>
        <w:rPr>
          <w:rFonts w:cs="Arial"/>
          <w:rtl/>
        </w:rPr>
        <w:t xml:space="preserve"> שמאחר שמתירין אותה לינשא ממילא גובה כתובתה שהרי הוא כותב לה שאם תנשאי לאחר תטלי מה שכתוב ליכי</w:t>
      </w:r>
      <w:r>
        <w:rPr>
          <w:rFonts w:cs="Arial" w:hint="cs"/>
          <w:rtl/>
        </w:rPr>
        <w:t>,</w:t>
      </w:r>
      <w:r>
        <w:rPr>
          <w:rFonts w:cs="Arial"/>
          <w:rtl/>
        </w:rPr>
        <w:t xml:space="preserve"> וכמו ששנינו בפרק האשה שלום (קיז.)</w:t>
      </w:r>
      <w:r>
        <w:rPr>
          <w:rFonts w:cs="Arial" w:hint="cs"/>
          <w:rtl/>
        </w:rPr>
        <w:t>,</w:t>
      </w:r>
      <w:r>
        <w:rPr>
          <w:rFonts w:cs="Arial"/>
          <w:rtl/>
        </w:rPr>
        <w:t xml:space="preserve"> ואם כן אין מקום לשבועה זו</w:t>
      </w:r>
      <w:r>
        <w:rPr>
          <w:rFonts w:cs="Arial" w:hint="cs"/>
          <w:rtl/>
        </w:rPr>
        <w:t>.</w:t>
      </w:r>
      <w:r>
        <w:rPr>
          <w:rFonts w:cs="Arial"/>
          <w:rtl/>
        </w:rPr>
        <w:t xml:space="preserve"> ומ"ש שמשביעין אותה </w:t>
      </w:r>
      <w:r>
        <w:rPr>
          <w:rFonts w:cs="Arial" w:hint="cs"/>
          <w:rtl/>
        </w:rPr>
        <w:t xml:space="preserve">- </w:t>
      </w:r>
      <w:r>
        <w:rPr>
          <w:rFonts w:cs="Arial"/>
          <w:rtl/>
        </w:rPr>
        <w:t>שבועת אלמנה</w:t>
      </w:r>
      <w:r>
        <w:rPr>
          <w:rFonts w:cs="Arial" w:hint="cs"/>
          <w:rtl/>
        </w:rPr>
        <w:t>,</w:t>
      </w:r>
      <w:r>
        <w:rPr>
          <w:rFonts w:cs="Arial"/>
          <w:rtl/>
        </w:rPr>
        <w:t xml:space="preserve"> כשאר אלמנו</w:t>
      </w:r>
      <w:r>
        <w:rPr>
          <w:rFonts w:cs="Arial" w:hint="cs"/>
          <w:rtl/>
        </w:rPr>
        <w:t>ת.</w:t>
      </w:r>
      <w:r>
        <w:rPr>
          <w:rFonts w:hint="cs"/>
          <w:rtl/>
        </w:rPr>
        <w:t xml:space="preserve"> עכ"ל הב"י. וכתב הח"מ (סקל"ט) ד</w:t>
      </w:r>
      <w:r w:rsidRPr="00145006">
        <w:rPr>
          <w:rFonts w:cs="Arial"/>
          <w:rtl/>
        </w:rPr>
        <w:t>מ</w:t>
      </w:r>
      <w:r>
        <w:rPr>
          <w:rFonts w:cs="Arial" w:hint="cs"/>
          <w:rtl/>
        </w:rPr>
        <w:t xml:space="preserve">כל מקום </w:t>
      </w:r>
      <w:r w:rsidRPr="00145006">
        <w:rPr>
          <w:rFonts w:cs="Arial"/>
          <w:rtl/>
        </w:rPr>
        <w:t>אפשר לו</w:t>
      </w:r>
      <w:r>
        <w:rPr>
          <w:rFonts w:cs="Arial" w:hint="cs"/>
          <w:rtl/>
        </w:rPr>
        <w:t>מר</w:t>
      </w:r>
      <w:r>
        <w:rPr>
          <w:rFonts w:cs="Arial" w:hint="cs"/>
          <w:sz w:val="16"/>
          <w:szCs w:val="16"/>
          <w:rtl/>
        </w:rPr>
        <w:t xml:space="preserve"> {בפירוש הבנת הטור}</w:t>
      </w:r>
      <w:r w:rsidRPr="00145006">
        <w:rPr>
          <w:rFonts w:cs="Arial"/>
          <w:rtl/>
        </w:rPr>
        <w:t xml:space="preserve"> שע"י גלגול צריכה לישבע שהגיע זמנה לגבות</w:t>
      </w:r>
      <w:r>
        <w:rPr>
          <w:rFonts w:cs="Arial" w:hint="cs"/>
          <w:rtl/>
        </w:rPr>
        <w:t xml:space="preserve"> (וכ"כ הב"ש סקל"ה).</w:t>
      </w:r>
      <w:r w:rsidRPr="00145006">
        <w:rPr>
          <w:rFonts w:cs="Arial"/>
          <w:rtl/>
        </w:rPr>
        <w:t xml:space="preserve"> ועיין לעיל סי' יז סע</w:t>
      </w:r>
      <w:r>
        <w:rPr>
          <w:rFonts w:cs="Arial" w:hint="cs"/>
          <w:rtl/>
        </w:rPr>
        <w:t>'</w:t>
      </w:r>
      <w:r w:rsidRPr="00145006">
        <w:rPr>
          <w:rFonts w:cs="Arial"/>
          <w:rtl/>
        </w:rPr>
        <w:t xml:space="preserve"> מג</w:t>
      </w:r>
      <w:r>
        <w:rPr>
          <w:rFonts w:cs="Arial" w:hint="cs"/>
          <w:rtl/>
        </w:rPr>
        <w:t>-</w:t>
      </w:r>
      <w:r w:rsidRPr="00145006">
        <w:rPr>
          <w:rFonts w:cs="Arial"/>
          <w:rtl/>
        </w:rPr>
        <w:t>מד</w:t>
      </w:r>
      <w:r>
        <w:rPr>
          <w:rFonts w:cs="Arial" w:hint="cs"/>
          <w:rtl/>
        </w:rPr>
        <w:t>,</w:t>
      </w:r>
      <w:r w:rsidRPr="00145006">
        <w:rPr>
          <w:rFonts w:cs="Arial"/>
          <w:rtl/>
        </w:rPr>
        <w:t xml:space="preserve"> ומ"ש שם על זה</w:t>
      </w:r>
      <w:r>
        <w:rPr>
          <w:rFonts w:cs="Arial" w:hint="cs"/>
          <w:rtl/>
        </w:rPr>
        <w:t>.</w:t>
      </w:r>
    </w:p>
  </w:footnote>
  <w:footnote w:id="2417">
    <w:p w14:paraId="51FC408F" w14:textId="77777777" w:rsidR="00DF1FC7" w:rsidRDefault="00DF1FC7" w:rsidP="002E5BAD">
      <w:pPr>
        <w:pStyle w:val="a5"/>
        <w:rPr>
          <w:rtl/>
        </w:rPr>
      </w:pPr>
      <w:r>
        <w:rPr>
          <w:rStyle w:val="a7"/>
        </w:rPr>
        <w:footnoteRef/>
      </w:r>
      <w:r>
        <w:rPr>
          <w:rtl/>
        </w:rPr>
        <w:t xml:space="preserve"> </w:t>
      </w:r>
      <w:r w:rsidRPr="00F02E86">
        <w:rPr>
          <w:rFonts w:cs="Arial"/>
          <w:rtl/>
        </w:rPr>
        <w:t>וכתב נמוק</w:t>
      </w:r>
      <w:r>
        <w:rPr>
          <w:rFonts w:cs="Arial" w:hint="cs"/>
          <w:rtl/>
        </w:rPr>
        <w:t>"</w:t>
      </w:r>
      <w:r w:rsidRPr="00F02E86">
        <w:rPr>
          <w:rFonts w:cs="Arial"/>
          <w:rtl/>
        </w:rPr>
        <w:t xml:space="preserve">י </w:t>
      </w:r>
      <w:r w:rsidRPr="00580535">
        <w:rPr>
          <w:rFonts w:cs="Arial" w:hint="cs"/>
          <w:sz w:val="16"/>
          <w:szCs w:val="16"/>
          <w:rtl/>
        </w:rPr>
        <w:t>(</w:t>
      </w:r>
      <w:r>
        <w:rPr>
          <w:rFonts w:cs="Arial" w:hint="cs"/>
          <w:sz w:val="16"/>
          <w:szCs w:val="16"/>
          <w:rtl/>
        </w:rPr>
        <w:t>שם</w:t>
      </w:r>
      <w:r w:rsidRPr="00580535">
        <w:rPr>
          <w:rFonts w:cs="Arial"/>
          <w:sz w:val="16"/>
          <w:szCs w:val="16"/>
          <w:rtl/>
        </w:rPr>
        <w:t xml:space="preserve"> מג: ד"ה גמ' לנחלה) </w:t>
      </w:r>
      <w:r w:rsidRPr="00F02E86">
        <w:rPr>
          <w:rFonts w:cs="Arial"/>
          <w:rtl/>
        </w:rPr>
        <w:t>דאפילו עד אחד מעיד כדבריה לא תגבה כתובתה מאחר שתבעה כתובתה</w:t>
      </w:r>
      <w:r>
        <w:rPr>
          <w:rFonts w:cs="Arial" w:hint="cs"/>
          <w:rtl/>
        </w:rPr>
        <w:t>, דרכ"מ (אות טו).</w:t>
      </w:r>
    </w:p>
  </w:footnote>
  <w:footnote w:id="2418">
    <w:p w14:paraId="55457F52" w14:textId="77777777" w:rsidR="00DF1FC7" w:rsidRDefault="00DF1FC7" w:rsidP="002E5BAD">
      <w:pPr>
        <w:pStyle w:val="a5"/>
        <w:rPr>
          <w:rtl/>
        </w:rPr>
      </w:pPr>
      <w:r>
        <w:rPr>
          <w:rStyle w:val="a7"/>
        </w:rPr>
        <w:footnoteRef/>
      </w:r>
      <w:r>
        <w:rPr>
          <w:rtl/>
        </w:rPr>
        <w:t xml:space="preserve"> </w:t>
      </w:r>
      <w:r w:rsidRPr="00C120DC">
        <w:rPr>
          <w:rFonts w:cs="Arial"/>
          <w:rtl/>
        </w:rPr>
        <w:t>ואין דבריו נראין בעיני</w:t>
      </w:r>
      <w:r>
        <w:rPr>
          <w:rFonts w:hint="cs"/>
          <w:rtl/>
        </w:rPr>
        <w:t>, ב"י.</w:t>
      </w:r>
    </w:p>
  </w:footnote>
  <w:footnote w:id="2419">
    <w:p w14:paraId="663250AB" w14:textId="77777777" w:rsidR="00DF1FC7" w:rsidRDefault="00DF1FC7" w:rsidP="002E5BAD">
      <w:pPr>
        <w:pStyle w:val="a5"/>
      </w:pPr>
      <w:r>
        <w:rPr>
          <w:rStyle w:val="a7"/>
        </w:rPr>
        <w:footnoteRef/>
      </w:r>
      <w:r>
        <w:rPr>
          <w:rtl/>
        </w:rPr>
        <w:t xml:space="preserve"> </w:t>
      </w:r>
      <w:r>
        <w:rPr>
          <w:rFonts w:hint="cs"/>
          <w:rtl/>
        </w:rPr>
        <w:t>כן היא גירסת הרי"ף (מג:) והרמב"ם (פט"ז מאישות הל"א). אך הרא"ש (פט"ו סי' ז) לא גרס סוגריים אלו.</w:t>
      </w:r>
    </w:p>
  </w:footnote>
  <w:footnote w:id="2420">
    <w:p w14:paraId="334D8ED5" w14:textId="77777777" w:rsidR="00DF1FC7" w:rsidRDefault="00DF1FC7" w:rsidP="002E5BAD">
      <w:pPr>
        <w:pStyle w:val="a5"/>
      </w:pPr>
      <w:r>
        <w:rPr>
          <w:rStyle w:val="a7"/>
        </w:rPr>
        <w:footnoteRef/>
      </w:r>
      <w:r>
        <w:rPr>
          <w:rtl/>
        </w:rPr>
        <w:t xml:space="preserve"> </w:t>
      </w:r>
      <w:r w:rsidRPr="00452BE0">
        <w:rPr>
          <w:rFonts w:cs="Arial"/>
          <w:rtl/>
        </w:rPr>
        <w:t>וכתב הה</w:t>
      </w:r>
      <w:r>
        <w:rPr>
          <w:rFonts w:cs="Arial" w:hint="cs"/>
          <w:rtl/>
        </w:rPr>
        <w:t>"</w:t>
      </w:r>
      <w:r w:rsidRPr="00452BE0">
        <w:rPr>
          <w:rFonts w:cs="Arial"/>
          <w:rtl/>
        </w:rPr>
        <w:t xml:space="preserve">מ דבאמרה </w:t>
      </w:r>
      <w:r>
        <w:rPr>
          <w:rFonts w:cs="Arial" w:hint="cs"/>
          <w:rtl/>
        </w:rPr>
        <w:t>'</w:t>
      </w:r>
      <w:r w:rsidRPr="00452BE0">
        <w:rPr>
          <w:rFonts w:cs="Arial"/>
          <w:rtl/>
        </w:rPr>
        <w:t>התירוני לינשא ותנו לי את כתובתי</w:t>
      </w:r>
      <w:r>
        <w:rPr>
          <w:rFonts w:cs="Arial" w:hint="cs"/>
          <w:rtl/>
        </w:rPr>
        <w:t>'</w:t>
      </w:r>
      <w:r w:rsidRPr="00452BE0">
        <w:rPr>
          <w:rFonts w:cs="Arial"/>
          <w:rtl/>
        </w:rPr>
        <w:t xml:space="preserve"> פסק כאת"ל כדרכו בכל התלמוד</w:t>
      </w:r>
      <w:r>
        <w:rPr>
          <w:rFonts w:cs="Arial" w:hint="cs"/>
          <w:rtl/>
        </w:rPr>
        <w:t>.</w:t>
      </w:r>
      <w:r w:rsidRPr="00452BE0">
        <w:rPr>
          <w:rFonts w:cs="Arial"/>
          <w:rtl/>
        </w:rPr>
        <w:t xml:space="preserve"> ובאמרה </w:t>
      </w:r>
      <w:r>
        <w:rPr>
          <w:rFonts w:cs="Arial" w:hint="cs"/>
          <w:rtl/>
        </w:rPr>
        <w:t>'</w:t>
      </w:r>
      <w:r w:rsidRPr="00452BE0">
        <w:rPr>
          <w:rFonts w:cs="Arial"/>
          <w:rtl/>
        </w:rPr>
        <w:t>תנו לי את כתובתי והתירוני לינשא</w:t>
      </w:r>
      <w:r>
        <w:rPr>
          <w:rFonts w:cs="Arial" w:hint="cs"/>
          <w:rtl/>
        </w:rPr>
        <w:t>',</w:t>
      </w:r>
      <w:r w:rsidRPr="00452BE0">
        <w:rPr>
          <w:rFonts w:cs="Arial"/>
          <w:rtl/>
        </w:rPr>
        <w:t xml:space="preserve"> היא בעיא דלא איפשיטא</w:t>
      </w:r>
      <w:r>
        <w:rPr>
          <w:rFonts w:cs="Arial" w:hint="cs"/>
          <w:rtl/>
        </w:rPr>
        <w:t>,</w:t>
      </w:r>
      <w:r w:rsidRPr="00452BE0">
        <w:rPr>
          <w:rFonts w:cs="Arial"/>
          <w:rtl/>
        </w:rPr>
        <w:t xml:space="preserve"> ופסק ככל תיקו שבממון שאם תפסה אין מוציאין מידה כדעתו ז"ל עכ"ל</w:t>
      </w:r>
      <w:r>
        <w:rPr>
          <w:rFonts w:cs="Arial" w:hint="cs"/>
          <w:rtl/>
        </w:rPr>
        <w:t>.</w:t>
      </w:r>
      <w:r w:rsidRPr="00452BE0">
        <w:rPr>
          <w:rFonts w:cs="Arial"/>
          <w:rtl/>
        </w:rPr>
        <w:t xml:space="preserve"> ולא שת לבו ליישב למה באמרה </w:t>
      </w:r>
      <w:r>
        <w:rPr>
          <w:rFonts w:cs="Arial" w:hint="cs"/>
          <w:rtl/>
        </w:rPr>
        <w:t>'</w:t>
      </w:r>
      <w:r w:rsidRPr="00452BE0">
        <w:rPr>
          <w:rFonts w:cs="Arial"/>
          <w:rtl/>
        </w:rPr>
        <w:t>תנו לי כתובתי והתירוני לינשא</w:t>
      </w:r>
      <w:r>
        <w:rPr>
          <w:rFonts w:cs="Arial" w:hint="cs"/>
          <w:rtl/>
        </w:rPr>
        <w:t>'</w:t>
      </w:r>
      <w:r w:rsidRPr="00452BE0">
        <w:rPr>
          <w:rFonts w:cs="Arial"/>
          <w:rtl/>
        </w:rPr>
        <w:t xml:space="preserve"> פסק דמתירין אותה</w:t>
      </w:r>
      <w:r>
        <w:rPr>
          <w:rFonts w:cs="Arial" w:hint="cs"/>
          <w:rtl/>
        </w:rPr>
        <w:t>,</w:t>
      </w:r>
      <w:r w:rsidRPr="00452BE0">
        <w:rPr>
          <w:rFonts w:cs="Arial"/>
          <w:rtl/>
        </w:rPr>
        <w:t xml:space="preserve"> והלא כיון דסלקא בתיקו ה"ל למיפסק בה לחומרא</w:t>
      </w:r>
      <w:r>
        <w:rPr>
          <w:rFonts w:cs="Arial" w:hint="cs"/>
          <w:rtl/>
        </w:rPr>
        <w:t>.</w:t>
      </w:r>
      <w:r w:rsidRPr="00452BE0">
        <w:rPr>
          <w:rFonts w:cs="Arial"/>
          <w:rtl/>
        </w:rPr>
        <w:t xml:space="preserve"> ושמא יש לומר דסבירא ליה ז"ל דכיון דמדינא איתתא מהימנא לומר מת בעלי </w:t>
      </w:r>
      <w:r w:rsidRPr="00145006">
        <w:rPr>
          <w:rFonts w:cs="Arial" w:hint="cs"/>
          <w:sz w:val="16"/>
          <w:szCs w:val="16"/>
          <w:rtl/>
        </w:rPr>
        <w:t>(</w:t>
      </w:r>
      <w:r w:rsidRPr="00145006">
        <w:rPr>
          <w:rFonts w:cs="Arial"/>
          <w:sz w:val="16"/>
          <w:szCs w:val="16"/>
          <w:rtl/>
        </w:rPr>
        <w:t>אי משום דמילתא דעבידא לאיגלויי היא</w:t>
      </w:r>
      <w:r w:rsidRPr="00145006">
        <w:rPr>
          <w:rFonts w:cs="Arial" w:hint="cs"/>
          <w:sz w:val="16"/>
          <w:szCs w:val="16"/>
          <w:rtl/>
        </w:rPr>
        <w:t>,</w:t>
      </w:r>
      <w:r w:rsidRPr="00145006">
        <w:rPr>
          <w:rFonts w:cs="Arial"/>
          <w:sz w:val="16"/>
          <w:szCs w:val="16"/>
          <w:rtl/>
        </w:rPr>
        <w:t xml:space="preserve"> אי משום מתוך חומר שהחמרת עליה בסופה וכו'</w:t>
      </w:r>
      <w:r w:rsidRPr="00145006">
        <w:rPr>
          <w:rFonts w:cs="Arial" w:hint="cs"/>
          <w:sz w:val="16"/>
          <w:szCs w:val="16"/>
          <w:rtl/>
        </w:rPr>
        <w:t>)</w:t>
      </w:r>
      <w:r w:rsidRPr="00452BE0">
        <w:rPr>
          <w:rFonts w:cs="Arial"/>
          <w:rtl/>
        </w:rPr>
        <w:t xml:space="preserve"> כי איבעיא לן בתנו לי כתובתי והתירוני לינשא אי חיישינן דמשום כתובה קאמרה</w:t>
      </w:r>
      <w:r>
        <w:rPr>
          <w:rFonts w:cs="Arial" w:hint="cs"/>
          <w:rtl/>
        </w:rPr>
        <w:t>,</w:t>
      </w:r>
      <w:r w:rsidRPr="00452BE0">
        <w:rPr>
          <w:rFonts w:cs="Arial"/>
          <w:rtl/>
        </w:rPr>
        <w:t xml:space="preserve"> ספיקא בדרבנן היא ולקולא</w:t>
      </w:r>
      <w:r>
        <w:rPr>
          <w:rFonts w:cs="Arial" w:hint="cs"/>
          <w:rtl/>
        </w:rPr>
        <w:t>, ב"י.</w:t>
      </w:r>
    </w:p>
  </w:footnote>
  <w:footnote w:id="2421">
    <w:p w14:paraId="416D4BA2" w14:textId="77777777" w:rsidR="00DF1FC7" w:rsidRDefault="00DF1FC7" w:rsidP="002E5BAD">
      <w:pPr>
        <w:pStyle w:val="a5"/>
      </w:pPr>
      <w:r>
        <w:rPr>
          <w:rStyle w:val="a7"/>
        </w:rPr>
        <w:footnoteRef/>
      </w:r>
      <w:r>
        <w:rPr>
          <w:rtl/>
        </w:rPr>
        <w:t xml:space="preserve"> </w:t>
      </w:r>
      <w:r w:rsidRPr="00452BE0">
        <w:rPr>
          <w:rFonts w:cs="Arial"/>
          <w:rtl/>
        </w:rPr>
        <w:t>הרא"ש (סי' ז) לא גריס אם תמצא לומר</w:t>
      </w:r>
      <w:r>
        <w:rPr>
          <w:rFonts w:cs="Arial" w:hint="cs"/>
          <w:rtl/>
        </w:rPr>
        <w:t>,</w:t>
      </w:r>
      <w:r w:rsidRPr="00452BE0">
        <w:rPr>
          <w:rFonts w:cs="Arial"/>
          <w:rtl/>
        </w:rPr>
        <w:t xml:space="preserve"> ואם כן קמו להו תרי בעיי בתיקו</w:t>
      </w:r>
      <w:r>
        <w:rPr>
          <w:rFonts w:cs="Arial" w:hint="cs"/>
          <w:rtl/>
        </w:rPr>
        <w:t>,</w:t>
      </w:r>
      <w:r w:rsidRPr="00452BE0">
        <w:rPr>
          <w:rFonts w:cs="Arial"/>
          <w:rtl/>
        </w:rPr>
        <w:t xml:space="preserve"> ומשמע לרבינו דספיקא בדאו</w:t>
      </w:r>
      <w:r>
        <w:rPr>
          <w:rFonts w:cs="Arial" w:hint="cs"/>
          <w:rtl/>
        </w:rPr>
        <w:t>'</w:t>
      </w:r>
      <w:r w:rsidRPr="00452BE0">
        <w:rPr>
          <w:rFonts w:cs="Arial"/>
          <w:rtl/>
        </w:rPr>
        <w:t xml:space="preserve"> היא ולחומרא</w:t>
      </w:r>
      <w:r>
        <w:rPr>
          <w:rFonts w:cs="Arial" w:hint="cs"/>
          <w:rtl/>
        </w:rPr>
        <w:t>, ב"י.</w:t>
      </w:r>
    </w:p>
  </w:footnote>
  <w:footnote w:id="2422">
    <w:p w14:paraId="18FB5FEB" w14:textId="77777777" w:rsidR="00DF1FC7" w:rsidRDefault="00DF1FC7" w:rsidP="002E5BAD">
      <w:pPr>
        <w:pStyle w:val="a5"/>
      </w:pPr>
      <w:r>
        <w:rPr>
          <w:rStyle w:val="a7"/>
        </w:rPr>
        <w:footnoteRef/>
      </w:r>
      <w:r>
        <w:rPr>
          <w:rtl/>
        </w:rPr>
        <w:t xml:space="preserve"> </w:t>
      </w:r>
      <w:r w:rsidRPr="00C12380">
        <w:rPr>
          <w:rFonts w:cs="Arial"/>
          <w:rtl/>
        </w:rPr>
        <w:t>ובמקום שכותבים כתובה והביאה ראיה שלא כתב לה אז לכ"ע אינו נאמן לומר פרעתי והיינו אוקימתא דשמואל וכמ"ש לעיל כיון דאין ריעות' לפנינו אינו נאמן לו' פרעתי גם אינו נאמן לו' כתבתי לה כתובה אחרת תוספו' שם</w:t>
      </w:r>
      <w:r>
        <w:rPr>
          <w:rFonts w:cs="Arial" w:hint="cs"/>
          <w:rtl/>
        </w:rPr>
        <w:t>, ב"ש (סקל"ו).</w:t>
      </w:r>
    </w:p>
  </w:footnote>
  <w:footnote w:id="2423">
    <w:p w14:paraId="7E9B7A95" w14:textId="77777777" w:rsidR="00DF1FC7" w:rsidRDefault="00DF1FC7" w:rsidP="002E5BAD">
      <w:pPr>
        <w:pStyle w:val="a5"/>
      </w:pPr>
      <w:r>
        <w:rPr>
          <w:rStyle w:val="a7"/>
        </w:rPr>
        <w:footnoteRef/>
      </w:r>
      <w:r>
        <w:rPr>
          <w:rtl/>
        </w:rPr>
        <w:t xml:space="preserve"> </w:t>
      </w:r>
      <w:r w:rsidRPr="00626D21">
        <w:rPr>
          <w:rFonts w:cs="Arial"/>
          <w:rtl/>
        </w:rPr>
        <w:t xml:space="preserve">שגזרו </w:t>
      </w:r>
      <w:r>
        <w:rPr>
          <w:rFonts w:cs="Arial" w:hint="cs"/>
          <w:rtl/>
        </w:rPr>
        <w:t>גוים</w:t>
      </w:r>
      <w:r w:rsidRPr="00626D21">
        <w:rPr>
          <w:rFonts w:cs="Arial"/>
          <w:rtl/>
        </w:rPr>
        <w:t xml:space="preserve"> על המצות והיו יראים לשמור גיטיהן ומשקיבלתו שורפתו וכן פרוזבוליהן</w:t>
      </w:r>
      <w:r>
        <w:rPr>
          <w:rFonts w:cs="Arial" w:hint="cs"/>
          <w:rtl/>
        </w:rPr>
        <w:t>, רש"י.</w:t>
      </w:r>
    </w:p>
  </w:footnote>
  <w:footnote w:id="2424">
    <w:p w14:paraId="2DBA9985" w14:textId="77777777" w:rsidR="00DF1FC7" w:rsidRDefault="00DF1FC7" w:rsidP="002E5BAD">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2425">
    <w:p w14:paraId="6AA052AA" w14:textId="77777777" w:rsidR="00DF1FC7" w:rsidRDefault="00DF1FC7" w:rsidP="002E5BAD">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2426">
    <w:p w14:paraId="23902B50" w14:textId="77777777" w:rsidR="00DF1FC7" w:rsidRDefault="00DF1FC7" w:rsidP="002E5BAD">
      <w:pPr>
        <w:pStyle w:val="a5"/>
      </w:pPr>
      <w:r>
        <w:rPr>
          <w:rStyle w:val="a7"/>
        </w:rPr>
        <w:footnoteRef/>
      </w:r>
      <w:r>
        <w:rPr>
          <w:rtl/>
        </w:rPr>
        <w:t xml:space="preserve"> </w:t>
      </w:r>
      <w:r w:rsidRPr="00D1259F">
        <w:rPr>
          <w:rFonts w:cs="Arial"/>
          <w:rtl/>
        </w:rPr>
        <w:t>דאמר בין עיקר בין תוספת נפרעין על פי הגט</w:t>
      </w:r>
      <w:r>
        <w:rPr>
          <w:rFonts w:cs="Arial" w:hint="cs"/>
          <w:rtl/>
        </w:rPr>
        <w:t>, רש"י.</w:t>
      </w:r>
    </w:p>
  </w:footnote>
  <w:footnote w:id="2427">
    <w:p w14:paraId="6CDA5096" w14:textId="77777777" w:rsidR="00DF1FC7" w:rsidRDefault="00DF1FC7" w:rsidP="002E5BAD">
      <w:pPr>
        <w:pStyle w:val="a5"/>
        <w:rPr>
          <w:rtl/>
        </w:rPr>
      </w:pPr>
      <w:r>
        <w:rPr>
          <w:rStyle w:val="a7"/>
        </w:rPr>
        <w:footnoteRef/>
      </w:r>
      <w:r>
        <w:rPr>
          <w:rtl/>
        </w:rPr>
        <w:t xml:space="preserve"> </w:t>
      </w:r>
      <w:r w:rsidRPr="00D1259F">
        <w:rPr>
          <w:rFonts w:cs="Arial"/>
          <w:rtl/>
        </w:rPr>
        <w:t>הא דקתני לא יפרעו</w:t>
      </w:r>
      <w:r>
        <w:rPr>
          <w:rFonts w:hint="cs"/>
          <w:rtl/>
        </w:rPr>
        <w:t>, רש"י.</w:t>
      </w:r>
    </w:p>
  </w:footnote>
  <w:footnote w:id="2428">
    <w:p w14:paraId="0E5270FF" w14:textId="77777777" w:rsidR="00DF1FC7" w:rsidRDefault="00DF1FC7" w:rsidP="002E5BAD">
      <w:pPr>
        <w:pStyle w:val="a5"/>
        <w:rPr>
          <w:rtl/>
        </w:rPr>
      </w:pPr>
      <w:r>
        <w:rPr>
          <w:rStyle w:val="a7"/>
        </w:rPr>
        <w:footnoteRef/>
      </w:r>
      <w:r>
        <w:rPr>
          <w:rtl/>
        </w:rPr>
        <w:t xml:space="preserve"> </w:t>
      </w:r>
      <w:r w:rsidRPr="00D1259F">
        <w:rPr>
          <w:rFonts w:cs="Arial"/>
          <w:rtl/>
        </w:rPr>
        <w:t>ומשום הכי מהימן במאי דאמר פרעתי ע"פ הגט דאמר כשתבעתני על פי הגט אמרתי בבית דין כתבתי לה כתובה וירא אני שלא תחזור ותוציאנה ואמרו לי הבא ראיה ולא מצאתי ראיה ואמרו לי פרע ובקשתי מהן שיכתבו לי שובר הואיל ועל כרחי אני זקוק לפרוע טוב לי שיהיה לי שובר וכתבוהו לי ואבד</w:t>
      </w:r>
      <w:r>
        <w:rPr>
          <w:rFonts w:hint="cs"/>
          <w:rtl/>
        </w:rPr>
        <w:t>, רש"י.</w:t>
      </w:r>
    </w:p>
  </w:footnote>
  <w:footnote w:id="2429">
    <w:p w14:paraId="0BC5ACB3" w14:textId="77777777" w:rsidR="00DF1FC7" w:rsidRDefault="00DF1FC7" w:rsidP="002E5BAD">
      <w:pPr>
        <w:pStyle w:val="a5"/>
      </w:pPr>
      <w:r>
        <w:rPr>
          <w:rStyle w:val="a7"/>
        </w:rPr>
        <w:footnoteRef/>
      </w:r>
      <w:r>
        <w:rPr>
          <w:rtl/>
        </w:rPr>
        <w:t xml:space="preserve"> </w:t>
      </w:r>
      <w:r w:rsidRPr="00D1259F">
        <w:rPr>
          <w:rFonts w:cs="Arial"/>
          <w:rtl/>
        </w:rPr>
        <w:t>דאמר אין נפרעין על פי הגט אלא עיקר אמאי לא יפרעו נהי דעיקר לא גביא כו'</w:t>
      </w:r>
      <w:r>
        <w:rPr>
          <w:rFonts w:cs="Arial" w:hint="cs"/>
          <w:rtl/>
        </w:rPr>
        <w:t>, רש"י.</w:t>
      </w:r>
    </w:p>
  </w:footnote>
  <w:footnote w:id="2430">
    <w:p w14:paraId="397EFC23" w14:textId="77777777" w:rsidR="00DF1FC7" w:rsidRDefault="00DF1FC7" w:rsidP="002E5BAD">
      <w:pPr>
        <w:pStyle w:val="a5"/>
        <w:rPr>
          <w:rtl/>
        </w:rPr>
      </w:pPr>
      <w:r>
        <w:rPr>
          <w:rStyle w:val="a7"/>
        </w:rPr>
        <w:footnoteRef/>
      </w:r>
      <w:r>
        <w:rPr>
          <w:rtl/>
        </w:rPr>
        <w:t xml:space="preserve"> </w:t>
      </w:r>
      <w:r w:rsidRPr="00196901">
        <w:rPr>
          <w:rFonts w:cs="Arial"/>
          <w:rtl/>
        </w:rPr>
        <w:t>ורבי יוחנן נמי מפרש הכי כדפרישית לעיל ואם תאמר והאמר רב המנונא (כתובות כב:) האשה שאמרה לבעלה גירשתני נאמנת ורבי יוחנן אית ליה דרב המנונא וי"ל דלא מהימנא אלא דוקא היכא דאינה תובעת כתובתה אבל תובעת כתובתה לא מהימנא דשמא מחמת חימוד ממון אמרה כן</w:t>
      </w:r>
      <w:r>
        <w:rPr>
          <w:rFonts w:hint="cs"/>
          <w:rtl/>
        </w:rPr>
        <w:t>, תוס' (פט. ד"ה מיגו). וכן פסק הטור כאן. אך אין כן דעת הרמב"ם. עיין בסמוך בדבריו.</w:t>
      </w:r>
    </w:p>
  </w:footnote>
  <w:footnote w:id="2431">
    <w:p w14:paraId="579B8B87" w14:textId="77777777" w:rsidR="00DF1FC7" w:rsidRDefault="00DF1FC7" w:rsidP="002E5BAD">
      <w:pPr>
        <w:pStyle w:val="a5"/>
      </w:pPr>
      <w:r>
        <w:rPr>
          <w:rStyle w:val="a7"/>
        </w:rPr>
        <w:footnoteRef/>
      </w:r>
      <w:r>
        <w:rPr>
          <w:rtl/>
        </w:rPr>
        <w:t xml:space="preserve"> </w:t>
      </w:r>
      <w:r w:rsidRPr="009357DA">
        <w:rPr>
          <w:rFonts w:cs="Arial"/>
          <w:rtl/>
        </w:rPr>
        <w:t>וא"ת א"כ היה מחויב בשאר כסות ועונה</w:t>
      </w:r>
      <w:r>
        <w:rPr>
          <w:rFonts w:cs="Arial" w:hint="cs"/>
          <w:rtl/>
        </w:rPr>
        <w:t>.</w:t>
      </w:r>
      <w:r w:rsidRPr="009357DA">
        <w:rPr>
          <w:rFonts w:cs="Arial"/>
          <w:rtl/>
        </w:rPr>
        <w:t xml:space="preserve"> וי"ל דטענו חטים והודה לו בשעורים פטור אף מדמי שעורים אא"כ תפס כדאיתא פ' המניח</w:t>
      </w:r>
      <w:r>
        <w:rPr>
          <w:rFonts w:cs="Arial" w:hint="cs"/>
          <w:rtl/>
        </w:rPr>
        <w:t xml:space="preserve">, הגמ"ר (סי' תכג, כ"כ בשמו הדרכ"מ אות </w:t>
      </w:r>
      <w:r w:rsidRPr="003D2914">
        <w:rPr>
          <w:rFonts w:cs="Arial"/>
          <w:rtl/>
        </w:rPr>
        <w:t>יט)</w:t>
      </w:r>
      <w:r>
        <w:rPr>
          <w:rFonts w:cs="Arial" w:hint="cs"/>
          <w:rtl/>
        </w:rPr>
        <w:t>.</w:t>
      </w:r>
      <w:r>
        <w:rPr>
          <w:rFonts w:hint="cs"/>
          <w:rtl/>
        </w:rPr>
        <w:t xml:space="preserve"> אך לשיטת הרמב"ם </w:t>
      </w:r>
      <w:r w:rsidRPr="009357DA">
        <w:rPr>
          <w:rFonts w:cs="Arial"/>
          <w:rtl/>
        </w:rPr>
        <w:t>לק"מ דהא אפילו אם יאמר לא גרשתיך היא נאמנת דגירש אותה ופטור משכ"ו ופטור מת"כ</w:t>
      </w:r>
      <w:r>
        <w:rPr>
          <w:rFonts w:cs="Arial" w:hint="cs"/>
          <w:rtl/>
        </w:rPr>
        <w:t>, ב"ש (סקל"ט).</w:t>
      </w:r>
    </w:p>
  </w:footnote>
  <w:footnote w:id="2432">
    <w:p w14:paraId="05449875" w14:textId="77777777" w:rsidR="00DF1FC7" w:rsidRDefault="00DF1FC7" w:rsidP="002E5BAD">
      <w:pPr>
        <w:pStyle w:val="a5"/>
        <w:rPr>
          <w:rtl/>
        </w:rPr>
      </w:pPr>
      <w:r>
        <w:rPr>
          <w:rStyle w:val="a7"/>
        </w:rPr>
        <w:footnoteRef/>
      </w:r>
      <w:r>
        <w:rPr>
          <w:rtl/>
        </w:rPr>
        <w:t xml:space="preserve"> </w:t>
      </w:r>
      <w:r w:rsidRPr="003D2914">
        <w:rPr>
          <w:rFonts w:cs="Arial"/>
          <w:rtl/>
        </w:rPr>
        <w:t>וכ</w:t>
      </w:r>
      <w:r>
        <w:rPr>
          <w:rFonts w:cs="Arial" w:hint="cs"/>
          <w:rtl/>
        </w:rPr>
        <w:t>"כ</w:t>
      </w:r>
      <w:r w:rsidRPr="003D2914">
        <w:rPr>
          <w:rFonts w:cs="Arial"/>
          <w:rtl/>
        </w:rPr>
        <w:t xml:space="preserve"> ה</w:t>
      </w:r>
      <w:r>
        <w:rPr>
          <w:rFonts w:cs="Arial" w:hint="cs"/>
          <w:rtl/>
        </w:rPr>
        <w:t>ה"</w:t>
      </w:r>
      <w:r w:rsidRPr="003D2914">
        <w:rPr>
          <w:rFonts w:cs="Arial"/>
          <w:rtl/>
        </w:rPr>
        <w:t>מ</w:t>
      </w:r>
      <w:r>
        <w:rPr>
          <w:rFonts w:cs="Arial" w:hint="cs"/>
          <w:rtl/>
        </w:rPr>
        <w:t xml:space="preserve"> </w:t>
      </w:r>
      <w:r w:rsidRPr="00BF4C34">
        <w:rPr>
          <w:rFonts w:cs="Arial" w:hint="cs"/>
          <w:sz w:val="16"/>
          <w:szCs w:val="16"/>
          <w:rtl/>
        </w:rPr>
        <w:t>(פט"ז מ</w:t>
      </w:r>
      <w:r w:rsidRPr="00BF4C34">
        <w:rPr>
          <w:rFonts w:cs="Arial"/>
          <w:sz w:val="16"/>
          <w:szCs w:val="16"/>
          <w:rtl/>
        </w:rPr>
        <w:t>אישות הכ"ו)</w:t>
      </w:r>
      <w:r>
        <w:rPr>
          <w:rFonts w:cs="Arial" w:hint="cs"/>
          <w:rtl/>
        </w:rPr>
        <w:t>,</w:t>
      </w:r>
      <w:r w:rsidRPr="003D2914">
        <w:rPr>
          <w:rFonts w:cs="Arial"/>
          <w:rtl/>
        </w:rPr>
        <w:t xml:space="preserve"> וכתב </w:t>
      </w:r>
      <w:r>
        <w:rPr>
          <w:rFonts w:cs="Arial" w:hint="cs"/>
          <w:rtl/>
        </w:rPr>
        <w:t>ד</w:t>
      </w:r>
      <w:r w:rsidRPr="003D2914">
        <w:rPr>
          <w:rFonts w:cs="Arial"/>
          <w:rtl/>
        </w:rPr>
        <w:t>א</w:t>
      </w:r>
      <w:r>
        <w:rPr>
          <w:rFonts w:cs="Arial" w:hint="cs"/>
          <w:rtl/>
        </w:rPr>
        <w:t>ע"ג</w:t>
      </w:r>
      <w:r w:rsidRPr="003D2914">
        <w:rPr>
          <w:rFonts w:cs="Arial"/>
          <w:rtl/>
        </w:rPr>
        <w:t xml:space="preserve"> דהרמב"ם חולק בזה מכל מקום יש לחוש לסברא זו</w:t>
      </w:r>
      <w:r>
        <w:rPr>
          <w:rFonts w:cs="Arial" w:hint="cs"/>
          <w:rtl/>
        </w:rPr>
        <w:t xml:space="preserve">, דרכ"מ (אות כ). </w:t>
      </w:r>
      <w:r w:rsidRPr="00BF4C34">
        <w:rPr>
          <w:rFonts w:cs="Arial" w:hint="cs"/>
          <w:color w:val="00B0F0"/>
          <w:rtl/>
        </w:rPr>
        <w:t>(וכ"פ בהג"ה)</w:t>
      </w:r>
    </w:p>
  </w:footnote>
  <w:footnote w:id="2433">
    <w:p w14:paraId="33996EE3" w14:textId="77777777" w:rsidR="00DF1FC7" w:rsidRDefault="00DF1FC7" w:rsidP="002E5BAD">
      <w:pPr>
        <w:pStyle w:val="a5"/>
      </w:pPr>
      <w:r>
        <w:rPr>
          <w:rStyle w:val="a7"/>
        </w:rPr>
        <w:footnoteRef/>
      </w:r>
      <w:r>
        <w:rPr>
          <w:rtl/>
        </w:rPr>
        <w:t xml:space="preserve"> </w:t>
      </w:r>
      <w:r w:rsidRPr="00196901">
        <w:rPr>
          <w:rFonts w:cs="Arial"/>
          <w:rtl/>
        </w:rPr>
        <w:t xml:space="preserve">דברי רבינו </w:t>
      </w:r>
      <w:r>
        <w:rPr>
          <w:rFonts w:cs="Arial" w:hint="cs"/>
          <w:rtl/>
        </w:rPr>
        <w:t xml:space="preserve">בזה לא נתבארו... </w:t>
      </w:r>
      <w:r w:rsidRPr="00196901">
        <w:rPr>
          <w:rFonts w:cs="Arial"/>
          <w:rtl/>
        </w:rPr>
        <w:t>דהא בגמרא לא קאמר דמן הסכנה ואילך אלא דאע"ג דלא מפקא גיטא גביא כלומר גובה תוספת ועיקר ובדאיכא עידי גירושין אבל אי ליכא עידי גירושין אפילו מן הסכנה ואילך לא יפרעו</w:t>
      </w:r>
      <w:r>
        <w:rPr>
          <w:rFonts w:cs="Arial" w:hint="cs"/>
          <w:rtl/>
        </w:rPr>
        <w:t>, ב"י.</w:t>
      </w:r>
    </w:p>
  </w:footnote>
  <w:footnote w:id="2434">
    <w:p w14:paraId="203FBEA7" w14:textId="77777777" w:rsidR="00DF1FC7" w:rsidRDefault="00DF1FC7" w:rsidP="002E5BAD">
      <w:pPr>
        <w:pStyle w:val="a5"/>
      </w:pPr>
      <w:r>
        <w:rPr>
          <w:rStyle w:val="a7"/>
        </w:rPr>
        <w:footnoteRef/>
      </w:r>
      <w:r>
        <w:rPr>
          <w:rtl/>
        </w:rPr>
        <w:t xml:space="preserve"> </w:t>
      </w:r>
      <w:r w:rsidRPr="003D2914">
        <w:rPr>
          <w:rFonts w:cs="Arial"/>
          <w:rtl/>
        </w:rPr>
        <w:t>ולא נהירא שאם הוא נאמן למה יתן לה עיקר</w:t>
      </w:r>
      <w:r>
        <w:rPr>
          <w:rFonts w:cs="Arial" w:hint="cs"/>
          <w:rtl/>
        </w:rPr>
        <w:t>,</w:t>
      </w:r>
      <w:r w:rsidRPr="003D2914">
        <w:rPr>
          <w:rFonts w:cs="Arial"/>
          <w:rtl/>
        </w:rPr>
        <w:t xml:space="preserve"> ואם אינו נאמן יתן לה הכל שהרי כתובה בידה</w:t>
      </w:r>
      <w:r>
        <w:rPr>
          <w:rFonts w:cs="Arial" w:hint="cs"/>
          <w:rtl/>
        </w:rPr>
        <w:t>,</w:t>
      </w:r>
      <w:r w:rsidRPr="003D2914">
        <w:rPr>
          <w:rFonts w:cs="Arial"/>
          <w:rtl/>
        </w:rPr>
        <w:t xml:space="preserve"> וכן השיג עליו הראב"ד</w:t>
      </w:r>
      <w:r>
        <w:rPr>
          <w:rFonts w:cs="Arial" w:hint="cs"/>
          <w:rtl/>
        </w:rPr>
        <w:t>, טור.</w:t>
      </w:r>
      <w:r w:rsidRPr="00AF0123">
        <w:rPr>
          <w:rFonts w:cs="Arial"/>
          <w:rtl/>
        </w:rPr>
        <w:t xml:space="preserve"> </w:t>
      </w:r>
      <w:r>
        <w:rPr>
          <w:rFonts w:cs="Arial" w:hint="cs"/>
          <w:rtl/>
        </w:rPr>
        <w:t>וכתב הב"י ד</w:t>
      </w:r>
      <w:r>
        <w:rPr>
          <w:rFonts w:cs="Arial"/>
          <w:rtl/>
        </w:rPr>
        <w:t xml:space="preserve">מה שהקשה </w:t>
      </w:r>
      <w:r>
        <w:rPr>
          <w:rFonts w:cs="Arial" w:hint="cs"/>
          <w:rtl/>
        </w:rPr>
        <w:t xml:space="preserve">הטור על הרמב"ם כבר נתבאר </w:t>
      </w:r>
      <w:r>
        <w:rPr>
          <w:rFonts w:cs="Arial"/>
          <w:rtl/>
        </w:rPr>
        <w:t>הטעם בדברי הרב המגיד שכתב לענין גביית הכתובה דברי הרמב"ן (פט. ד"ה מיגו) כדברי רבינו</w:t>
      </w:r>
      <w:r>
        <w:rPr>
          <w:rFonts w:cs="Arial" w:hint="cs"/>
          <w:rtl/>
        </w:rPr>
        <w:t>,</w:t>
      </w:r>
      <w:r>
        <w:rPr>
          <w:rFonts w:cs="Arial"/>
          <w:rtl/>
        </w:rPr>
        <w:t xml:space="preserve"> והביא ראיה לזה בפ"ב דכתובות</w:t>
      </w:r>
      <w:r>
        <w:rPr>
          <w:rFonts w:cs="Arial" w:hint="cs"/>
          <w:rtl/>
        </w:rPr>
        <w:t>,</w:t>
      </w:r>
      <w:r>
        <w:rPr>
          <w:rFonts w:cs="Arial"/>
          <w:rtl/>
        </w:rPr>
        <w:t xml:space="preserve"> והטעם מפני מדרש כתובה </w:t>
      </w:r>
      <w:r>
        <w:rPr>
          <w:rFonts w:cs="Arial" w:hint="cs"/>
          <w:rtl/>
        </w:rPr>
        <w:t>'</w:t>
      </w:r>
      <w:r>
        <w:rPr>
          <w:rFonts w:cs="Arial"/>
          <w:rtl/>
        </w:rPr>
        <w:t>לכשתנשאי לאחר תטלי מה שכתוב ליכי</w:t>
      </w:r>
      <w:r>
        <w:rPr>
          <w:rFonts w:cs="Arial" w:hint="cs"/>
          <w:rtl/>
        </w:rPr>
        <w:t>',</w:t>
      </w:r>
      <w:r>
        <w:rPr>
          <w:rFonts w:cs="Arial"/>
          <w:rtl/>
        </w:rPr>
        <w:t xml:space="preserve"> אבל בתוספת לא</w:t>
      </w:r>
      <w:r>
        <w:rPr>
          <w:rFonts w:cs="Arial" w:hint="cs"/>
          <w:rtl/>
        </w:rPr>
        <w:t>,</w:t>
      </w:r>
      <w:r>
        <w:rPr>
          <w:rFonts w:cs="Arial"/>
          <w:rtl/>
        </w:rPr>
        <w:t xml:space="preserve"> לפי שאין מדרש בתוספת</w:t>
      </w:r>
      <w:r>
        <w:rPr>
          <w:rFonts w:cs="Arial" w:hint="cs"/>
          <w:rtl/>
        </w:rPr>
        <w:t>,</w:t>
      </w:r>
      <w:r>
        <w:rPr>
          <w:rFonts w:cs="Arial"/>
          <w:rtl/>
        </w:rPr>
        <w:t xml:space="preserve"> ואין צריך לומר בנכסי צאן ברזל ע"כ. ועל מ"ש הרמב"ם (הכ"ז) אמר לה הבעל כך היה וכו' כתב זה יצא לרבינו ממה שאמרו הכא במאי עסקינן בשאין שם עידי גירושין מתוך שיכול לומר לא גירשתיה וכו' ומפרש רבינו שהוא לענין תוספת לפי שבעיקר כתובה אין שם מגו וכמו שנתבאר בדעת רבינו עכ"ל</w:t>
      </w:r>
      <w:r>
        <w:rPr>
          <w:rFonts w:hint="cs"/>
          <w:sz w:val="16"/>
          <w:szCs w:val="16"/>
          <w:rtl/>
        </w:rPr>
        <w:t xml:space="preserve"> [הה"מ]</w:t>
      </w:r>
      <w:r>
        <w:rPr>
          <w:rFonts w:hint="cs"/>
          <w:rtl/>
        </w:rPr>
        <w:t>.</w:t>
      </w:r>
    </w:p>
  </w:footnote>
  <w:footnote w:id="2435">
    <w:p w14:paraId="4881CB62" w14:textId="77777777" w:rsidR="00DF1FC7" w:rsidRDefault="00DF1FC7" w:rsidP="002E5BAD">
      <w:pPr>
        <w:pStyle w:val="a5"/>
      </w:pPr>
      <w:r>
        <w:rPr>
          <w:rStyle w:val="a7"/>
        </w:rPr>
        <w:footnoteRef/>
      </w:r>
      <w:r>
        <w:rPr>
          <w:rtl/>
        </w:rPr>
        <w:t xml:space="preserve"> </w:t>
      </w:r>
      <w:r w:rsidRPr="001F0643">
        <w:rPr>
          <w:rFonts w:cs="Arial"/>
          <w:rtl/>
        </w:rPr>
        <w:t>עמ"ש שם ע"ז ושם נתבאר דעה שלישית בשם מהרי"ק דאינ' נאמנת לענין ממון כלל אף שנאמנת להנשא</w:t>
      </w:r>
      <w:r>
        <w:rPr>
          <w:rFonts w:cs="Arial" w:hint="cs"/>
          <w:rtl/>
        </w:rPr>
        <w:t>, ח"מ (סק"מ).</w:t>
      </w:r>
    </w:p>
  </w:footnote>
  <w:footnote w:id="2436">
    <w:p w14:paraId="366449B7" w14:textId="77777777" w:rsidR="00DF1FC7" w:rsidRDefault="00DF1FC7" w:rsidP="002E5BAD">
      <w:pPr>
        <w:pStyle w:val="a5"/>
        <w:rPr>
          <w:rtl/>
        </w:rPr>
      </w:pPr>
      <w:r>
        <w:rPr>
          <w:rStyle w:val="a7"/>
        </w:rPr>
        <w:footnoteRef/>
      </w:r>
      <w:r>
        <w:rPr>
          <w:rtl/>
        </w:rPr>
        <w:t xml:space="preserve"> </w:t>
      </w:r>
      <w:r w:rsidRPr="001F0643">
        <w:rPr>
          <w:rFonts w:cs="Arial"/>
          <w:rtl/>
        </w:rPr>
        <w:t>זה הוא לשון הרמב"ם ולטעמיה אזל שאין לו מיגו על העיקר דהיא נאמנת ליטול עיקר מאחר שנאמנת על הגירושין ומספר כתוב' נלמוד אבל לדעת החולקים עליו וכמו שהכריע הרב לפני זה שכן עיקר וא"כ אף על העיקר נשבע הוא היסת דכל זמן שאין לה עדי גרושין נאמן במיגו דלא גרשתיך וכן פסק הטור ומיהו בטור כתב והוא במקום שאין כותבין דמשמע דוקא במקום שאין כותבין יכול לטעון פרעתי כשהוציאה הגט כי לא האמינו לו שכתב כתובה אבל במקום שכותבין כתובה ריעא טענתא דידי' דאיך שילם לה והכתובה בידה אף שיכול לטעון הוכרחתי לשלם מאחר שטענה אבדתי הכתובה וקי"ל כותבין שובר מ"מ טענה דידה עדיפא וכתובתה בידה ואפשר מאחר דיש לו מיגו דלא גרשתיך אינה יכולה להוציא מידו בלא ראיה ועיין בב"ח דלמסקנא דגמרא אין חילוק</w:t>
      </w:r>
      <w:r>
        <w:rPr>
          <w:rFonts w:hint="cs"/>
          <w:rtl/>
        </w:rPr>
        <w:t>, ח"מ (סקמ"א).</w:t>
      </w:r>
    </w:p>
  </w:footnote>
  <w:footnote w:id="2437">
    <w:p w14:paraId="406CC686" w14:textId="77777777" w:rsidR="00DF1FC7" w:rsidRDefault="00DF1FC7" w:rsidP="002E5BAD">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2438">
    <w:p w14:paraId="2808E2BD" w14:textId="77777777" w:rsidR="00DF1FC7" w:rsidRDefault="00DF1FC7" w:rsidP="002E5BAD">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2439">
    <w:p w14:paraId="77EF4140" w14:textId="77777777" w:rsidR="00DF1FC7" w:rsidRDefault="00DF1FC7" w:rsidP="002E5BAD">
      <w:pPr>
        <w:pStyle w:val="a5"/>
      </w:pPr>
      <w:r>
        <w:rPr>
          <w:rStyle w:val="a7"/>
        </w:rPr>
        <w:footnoteRef/>
      </w:r>
      <w:r>
        <w:rPr>
          <w:rtl/>
        </w:rPr>
        <w:t xml:space="preserve"> </w:t>
      </w:r>
      <w:r>
        <w:rPr>
          <w:rFonts w:hint="cs"/>
          <w:rtl/>
        </w:rPr>
        <w:t xml:space="preserve">וז"ל- </w:t>
      </w:r>
      <w:r w:rsidRPr="003D2914">
        <w:rPr>
          <w:rFonts w:cs="Arial"/>
          <w:rtl/>
        </w:rPr>
        <w:t>הוציאה גט ואין בידה כתובה</w:t>
      </w:r>
      <w:r>
        <w:rPr>
          <w:rFonts w:cs="Arial" w:hint="cs"/>
          <w:rtl/>
        </w:rPr>
        <w:t>,</w:t>
      </w:r>
      <w:r w:rsidRPr="003D2914">
        <w:rPr>
          <w:rFonts w:cs="Arial"/>
          <w:rtl/>
        </w:rPr>
        <w:t xml:space="preserve"> דינו כמו אלמנה</w:t>
      </w:r>
      <w:r>
        <w:rPr>
          <w:rFonts w:cs="Arial" w:hint="cs"/>
          <w:rtl/>
        </w:rPr>
        <w:t>,</w:t>
      </w:r>
      <w:r w:rsidRPr="003D2914">
        <w:rPr>
          <w:rFonts w:cs="Arial"/>
          <w:rtl/>
        </w:rPr>
        <w:t xml:space="preserve"> שבמקום שאין כותבין </w:t>
      </w:r>
      <w:r>
        <w:rPr>
          <w:rFonts w:cs="Arial" w:hint="cs"/>
          <w:rtl/>
        </w:rPr>
        <w:t xml:space="preserve">- </w:t>
      </w:r>
      <w:r w:rsidRPr="003D2914">
        <w:rPr>
          <w:rFonts w:cs="Arial"/>
          <w:rtl/>
        </w:rPr>
        <w:t>גובה עיקר ולא נדוניא ותוספת</w:t>
      </w:r>
      <w:r>
        <w:rPr>
          <w:rFonts w:cs="Arial" w:hint="cs"/>
          <w:rtl/>
        </w:rPr>
        <w:t>.</w:t>
      </w:r>
      <w:r w:rsidRPr="003D2914">
        <w:rPr>
          <w:rFonts w:cs="Arial"/>
          <w:rtl/>
        </w:rPr>
        <w:t xml:space="preserve"> ובמקום שכותבין </w:t>
      </w:r>
      <w:r>
        <w:rPr>
          <w:rFonts w:cs="Arial" w:hint="cs"/>
          <w:rtl/>
        </w:rPr>
        <w:t xml:space="preserve">- </w:t>
      </w:r>
      <w:r w:rsidRPr="003D2914">
        <w:rPr>
          <w:rFonts w:cs="Arial"/>
          <w:rtl/>
        </w:rPr>
        <w:t>אינה גובה כלל</w:t>
      </w:r>
      <w:r>
        <w:rPr>
          <w:rFonts w:cs="Arial" w:hint="cs"/>
          <w:rtl/>
        </w:rPr>
        <w:t>.</w:t>
      </w:r>
    </w:p>
  </w:footnote>
  <w:footnote w:id="2440">
    <w:p w14:paraId="30A7373A" w14:textId="77777777" w:rsidR="00DF1FC7" w:rsidRDefault="00DF1FC7" w:rsidP="002E5BAD">
      <w:pPr>
        <w:pStyle w:val="a5"/>
      </w:pPr>
      <w:r>
        <w:rPr>
          <w:rStyle w:val="a7"/>
        </w:rPr>
        <w:footnoteRef/>
      </w:r>
      <w:r>
        <w:rPr>
          <w:rtl/>
        </w:rPr>
        <w:t xml:space="preserve"> </w:t>
      </w:r>
      <w:r w:rsidRPr="00F02E86">
        <w:rPr>
          <w:rFonts w:cs="Arial"/>
          <w:rtl/>
        </w:rPr>
        <w:t>ונתבאר גם כן בדברי הרמב"ם (פט"ז הכ"ב) והה</w:t>
      </w:r>
      <w:r>
        <w:rPr>
          <w:rFonts w:cs="Arial" w:hint="cs"/>
          <w:rtl/>
        </w:rPr>
        <w:t>"</w:t>
      </w:r>
      <w:r w:rsidRPr="00F02E86">
        <w:rPr>
          <w:rFonts w:cs="Arial"/>
          <w:rtl/>
        </w:rPr>
        <w:t>מ שתוספת ונדוניא אינו בכלל הטוען אחר מעשה בית דין</w:t>
      </w:r>
      <w:r>
        <w:rPr>
          <w:rFonts w:cs="Arial" w:hint="cs"/>
          <w:rtl/>
        </w:rPr>
        <w:t>,</w:t>
      </w:r>
      <w:r w:rsidRPr="00F02E86">
        <w:rPr>
          <w:rFonts w:cs="Arial"/>
          <w:rtl/>
        </w:rPr>
        <w:t xml:space="preserve"> וכ"כ הר"ן שם (מט. דיבור ראשון)</w:t>
      </w:r>
      <w:r>
        <w:rPr>
          <w:rFonts w:cs="Arial" w:hint="cs"/>
          <w:rtl/>
        </w:rPr>
        <w:t>, ב"י.</w:t>
      </w:r>
    </w:p>
  </w:footnote>
  <w:footnote w:id="2441">
    <w:p w14:paraId="19FE7308" w14:textId="77777777" w:rsidR="00DF1FC7" w:rsidRDefault="00DF1FC7" w:rsidP="002E5BAD">
      <w:pPr>
        <w:pStyle w:val="a5"/>
      </w:pPr>
      <w:r>
        <w:rPr>
          <w:rStyle w:val="a7"/>
        </w:rPr>
        <w:footnoteRef/>
      </w:r>
      <w:r>
        <w:rPr>
          <w:rtl/>
        </w:rPr>
        <w:t xml:space="preserve"> </w:t>
      </w:r>
      <w:r w:rsidRPr="0086008F">
        <w:rPr>
          <w:rFonts w:cs="Arial"/>
          <w:rtl/>
        </w:rPr>
        <w:t>ובתו</w:t>
      </w:r>
      <w:r>
        <w:rPr>
          <w:rFonts w:cs="Arial" w:hint="cs"/>
          <w:rtl/>
        </w:rPr>
        <w:t>ס</w:t>
      </w:r>
      <w:r w:rsidRPr="0086008F">
        <w:rPr>
          <w:rFonts w:cs="Arial"/>
          <w:rtl/>
        </w:rPr>
        <w:t>' לא משמע כן</w:t>
      </w:r>
      <w:r>
        <w:rPr>
          <w:rFonts w:cs="Arial" w:hint="cs"/>
          <w:rtl/>
        </w:rPr>
        <w:t>.</w:t>
      </w:r>
      <w:r w:rsidRPr="0086008F">
        <w:rPr>
          <w:rFonts w:cs="Arial"/>
          <w:rtl/>
        </w:rPr>
        <w:t xml:space="preserve"> ונרא</w:t>
      </w:r>
      <w:r>
        <w:rPr>
          <w:rFonts w:cs="Arial" w:hint="cs"/>
          <w:rtl/>
        </w:rPr>
        <w:t>ה</w:t>
      </w:r>
      <w:r w:rsidRPr="0086008F">
        <w:rPr>
          <w:rFonts w:cs="Arial"/>
          <w:rtl/>
        </w:rPr>
        <w:t xml:space="preserve"> </w:t>
      </w:r>
      <w:r>
        <w:rPr>
          <w:rFonts w:cs="Arial" w:hint="cs"/>
          <w:rtl/>
        </w:rPr>
        <w:t>ד</w:t>
      </w:r>
      <w:r w:rsidRPr="0086008F">
        <w:rPr>
          <w:rFonts w:cs="Arial"/>
          <w:rtl/>
        </w:rPr>
        <w:t>דין זה תליא בפלוגת</w:t>
      </w:r>
      <w:r>
        <w:rPr>
          <w:rFonts w:cs="Arial" w:hint="cs"/>
          <w:rtl/>
        </w:rPr>
        <w:t>א</w:t>
      </w:r>
      <w:r w:rsidRPr="0086008F">
        <w:rPr>
          <w:rFonts w:cs="Arial"/>
          <w:rtl/>
        </w:rPr>
        <w:t xml:space="preserve"> הנ"ל אם גוב</w:t>
      </w:r>
      <w:r>
        <w:rPr>
          <w:rFonts w:cs="Arial" w:hint="cs"/>
          <w:rtl/>
        </w:rPr>
        <w:t>ה</w:t>
      </w:r>
      <w:r w:rsidRPr="0086008F">
        <w:rPr>
          <w:rFonts w:cs="Arial"/>
          <w:rtl/>
        </w:rPr>
        <w:t xml:space="preserve"> בלא כתובה במקום שכותבין כתובה</w:t>
      </w:r>
      <w:r>
        <w:rPr>
          <w:rFonts w:cs="Arial" w:hint="cs"/>
          <w:rtl/>
        </w:rPr>
        <w:t>.</w:t>
      </w:r>
      <w:r w:rsidRPr="0086008F">
        <w:rPr>
          <w:rFonts w:cs="Arial"/>
          <w:rtl/>
        </w:rPr>
        <w:t xml:space="preserve"> ותו</w:t>
      </w:r>
      <w:r>
        <w:rPr>
          <w:rFonts w:cs="Arial" w:hint="cs"/>
          <w:rtl/>
        </w:rPr>
        <w:t>ס</w:t>
      </w:r>
      <w:r w:rsidRPr="0086008F">
        <w:rPr>
          <w:rFonts w:cs="Arial"/>
          <w:rtl/>
        </w:rPr>
        <w:t>' לטעמי</w:t>
      </w:r>
      <w:r>
        <w:rPr>
          <w:rFonts w:cs="Arial" w:hint="cs"/>
          <w:rtl/>
        </w:rPr>
        <w:t>ה,</w:t>
      </w:r>
      <w:r w:rsidRPr="0086008F">
        <w:rPr>
          <w:rFonts w:cs="Arial"/>
          <w:rtl/>
        </w:rPr>
        <w:t xml:space="preserve"> דס"ל דגובה אפילו במקום שכותבים כתובה ואיכ</w:t>
      </w:r>
      <w:r>
        <w:rPr>
          <w:rFonts w:cs="Arial" w:hint="cs"/>
          <w:rtl/>
        </w:rPr>
        <w:t>א</w:t>
      </w:r>
      <w:r w:rsidRPr="0086008F">
        <w:rPr>
          <w:rFonts w:cs="Arial"/>
          <w:rtl/>
        </w:rPr>
        <w:t xml:space="preserve"> ריעות</w:t>
      </w:r>
      <w:r>
        <w:rPr>
          <w:rFonts w:cs="Arial" w:hint="cs"/>
          <w:rtl/>
        </w:rPr>
        <w:t>א</w:t>
      </w:r>
      <w:r w:rsidRPr="0086008F">
        <w:rPr>
          <w:rFonts w:cs="Arial"/>
          <w:rtl/>
        </w:rPr>
        <w:t xml:space="preserve"> בפנינו מ"מ אינו נאמן לו</w:t>
      </w:r>
      <w:r>
        <w:rPr>
          <w:rFonts w:cs="Arial" w:hint="cs"/>
          <w:rtl/>
        </w:rPr>
        <w:t>מר</w:t>
      </w:r>
      <w:r w:rsidRPr="0086008F">
        <w:rPr>
          <w:rFonts w:cs="Arial"/>
          <w:rtl/>
        </w:rPr>
        <w:t xml:space="preserve"> פרעתי</w:t>
      </w:r>
      <w:r>
        <w:rPr>
          <w:rFonts w:cs="Arial" w:hint="cs"/>
          <w:rtl/>
        </w:rPr>
        <w:t>,</w:t>
      </w:r>
      <w:r w:rsidRPr="0086008F">
        <w:rPr>
          <w:rFonts w:cs="Arial"/>
          <w:rtl/>
        </w:rPr>
        <w:t xml:space="preserve"> כן ה</w:t>
      </w:r>
      <w:r>
        <w:rPr>
          <w:rFonts w:cs="Arial" w:hint="cs"/>
          <w:rtl/>
        </w:rPr>
        <w:t xml:space="preserve">כא </w:t>
      </w:r>
      <w:r w:rsidRPr="0086008F">
        <w:rPr>
          <w:rFonts w:cs="Arial"/>
          <w:rtl/>
        </w:rPr>
        <w:t>נ</w:t>
      </w:r>
      <w:r>
        <w:rPr>
          <w:rFonts w:cs="Arial" w:hint="cs"/>
          <w:rtl/>
        </w:rPr>
        <w:t>מי</w:t>
      </w:r>
      <w:r w:rsidRPr="0086008F">
        <w:rPr>
          <w:rFonts w:cs="Arial"/>
          <w:rtl/>
        </w:rPr>
        <w:t xml:space="preserve"> אינו נאמן כשאין הגט בידה</w:t>
      </w:r>
      <w:r>
        <w:rPr>
          <w:rFonts w:cs="Arial" w:hint="cs"/>
          <w:rtl/>
        </w:rPr>
        <w:t>.</w:t>
      </w:r>
      <w:r w:rsidRPr="0086008F">
        <w:rPr>
          <w:rFonts w:cs="Arial"/>
          <w:rtl/>
        </w:rPr>
        <w:t xml:space="preserve"> אבל לשיטות הרי"ף כיון דאיכ</w:t>
      </w:r>
      <w:r>
        <w:rPr>
          <w:rFonts w:cs="Arial" w:hint="cs"/>
          <w:rtl/>
        </w:rPr>
        <w:t>א</w:t>
      </w:r>
      <w:r w:rsidRPr="0086008F">
        <w:rPr>
          <w:rFonts w:cs="Arial"/>
          <w:rtl/>
        </w:rPr>
        <w:t xml:space="preserve"> ריעות</w:t>
      </w:r>
      <w:r>
        <w:rPr>
          <w:rFonts w:cs="Arial" w:hint="cs"/>
          <w:rtl/>
        </w:rPr>
        <w:t>א</w:t>
      </w:r>
      <w:r w:rsidRPr="0086008F">
        <w:rPr>
          <w:rFonts w:cs="Arial"/>
          <w:rtl/>
        </w:rPr>
        <w:t xml:space="preserve"> אינה נאמנת</w:t>
      </w:r>
      <w:r>
        <w:rPr>
          <w:rFonts w:cs="Arial" w:hint="cs"/>
          <w:rtl/>
        </w:rPr>
        <w:t>.</w:t>
      </w:r>
      <w:r w:rsidRPr="0086008F">
        <w:rPr>
          <w:rFonts w:cs="Arial"/>
          <w:rtl/>
        </w:rPr>
        <w:t xml:space="preserve"> </w:t>
      </w:r>
      <w:r w:rsidRPr="006252FF">
        <w:rPr>
          <w:rFonts w:cs="Arial" w:hint="cs"/>
          <w:sz w:val="16"/>
          <w:szCs w:val="16"/>
          <w:rtl/>
        </w:rPr>
        <w:t>(</w:t>
      </w:r>
      <w:r w:rsidRPr="006252FF">
        <w:rPr>
          <w:rFonts w:cs="Arial"/>
          <w:sz w:val="16"/>
          <w:szCs w:val="16"/>
          <w:rtl/>
        </w:rPr>
        <w:t>וא</w:t>
      </w:r>
      <w:r w:rsidRPr="006252FF">
        <w:rPr>
          <w:rFonts w:cs="Arial" w:hint="cs"/>
          <w:sz w:val="16"/>
          <w:szCs w:val="16"/>
          <w:rtl/>
        </w:rPr>
        <w:t xml:space="preserve">ין </w:t>
      </w:r>
      <w:r w:rsidRPr="006252FF">
        <w:rPr>
          <w:rFonts w:cs="Arial"/>
          <w:sz w:val="16"/>
          <w:szCs w:val="16"/>
          <w:rtl/>
        </w:rPr>
        <w:t>ל</w:t>
      </w:r>
      <w:r w:rsidRPr="006252FF">
        <w:rPr>
          <w:rFonts w:cs="Arial" w:hint="cs"/>
          <w:sz w:val="16"/>
          <w:szCs w:val="16"/>
          <w:rtl/>
        </w:rPr>
        <w:t>הקשות</w:t>
      </w:r>
      <w:r w:rsidRPr="006252FF">
        <w:rPr>
          <w:rFonts w:cs="Arial"/>
          <w:sz w:val="16"/>
          <w:szCs w:val="16"/>
          <w:rtl/>
        </w:rPr>
        <w:t xml:space="preserve"> על הטור דס"ל נמי במקום שכותבים כתוב</w:t>
      </w:r>
      <w:r w:rsidRPr="006252FF">
        <w:rPr>
          <w:rFonts w:cs="Arial" w:hint="cs"/>
          <w:sz w:val="16"/>
          <w:szCs w:val="16"/>
          <w:rtl/>
        </w:rPr>
        <w:t>ה</w:t>
      </w:r>
      <w:r w:rsidRPr="006252FF">
        <w:rPr>
          <w:rFonts w:cs="Arial"/>
          <w:sz w:val="16"/>
          <w:szCs w:val="16"/>
          <w:rtl/>
        </w:rPr>
        <w:t xml:space="preserve"> אינו גובה בלא כתובה</w:t>
      </w:r>
      <w:r w:rsidRPr="006252FF">
        <w:rPr>
          <w:rFonts w:cs="Arial" w:hint="cs"/>
          <w:sz w:val="16"/>
          <w:szCs w:val="16"/>
          <w:rtl/>
        </w:rPr>
        <w:t>,</w:t>
      </w:r>
      <w:r w:rsidRPr="006252FF">
        <w:rPr>
          <w:rFonts w:cs="Arial"/>
          <w:sz w:val="16"/>
          <w:szCs w:val="16"/>
          <w:rtl/>
        </w:rPr>
        <w:t xml:space="preserve"> וע</w:t>
      </w:r>
      <w:r>
        <w:rPr>
          <w:rFonts w:cs="Arial" w:hint="cs"/>
          <w:sz w:val="16"/>
          <w:szCs w:val="16"/>
          <w:rtl/>
        </w:rPr>
        <w:t xml:space="preserve">ל </w:t>
      </w:r>
      <w:r w:rsidRPr="006252FF">
        <w:rPr>
          <w:rFonts w:cs="Arial"/>
          <w:sz w:val="16"/>
          <w:szCs w:val="16"/>
          <w:rtl/>
        </w:rPr>
        <w:t>כ</w:t>
      </w:r>
      <w:r>
        <w:rPr>
          <w:rFonts w:cs="Arial" w:hint="cs"/>
          <w:sz w:val="16"/>
          <w:szCs w:val="16"/>
          <w:rtl/>
        </w:rPr>
        <w:t>רחך</w:t>
      </w:r>
      <w:r w:rsidRPr="006252FF">
        <w:rPr>
          <w:rFonts w:cs="Arial"/>
          <w:sz w:val="16"/>
          <w:szCs w:val="16"/>
          <w:rtl/>
        </w:rPr>
        <w:t xml:space="preserve"> הטעם הוא משום דאיכא ריעות</w:t>
      </w:r>
      <w:r w:rsidRPr="006252FF">
        <w:rPr>
          <w:rFonts w:cs="Arial" w:hint="cs"/>
          <w:sz w:val="16"/>
          <w:szCs w:val="16"/>
          <w:rtl/>
        </w:rPr>
        <w:t>א</w:t>
      </w:r>
      <w:r w:rsidRPr="006252FF">
        <w:rPr>
          <w:rFonts w:cs="Arial"/>
          <w:sz w:val="16"/>
          <w:szCs w:val="16"/>
          <w:rtl/>
        </w:rPr>
        <w:t xml:space="preserve"> דאין הכתוב</w:t>
      </w:r>
      <w:r w:rsidRPr="006252FF">
        <w:rPr>
          <w:rFonts w:cs="Arial" w:hint="cs"/>
          <w:sz w:val="16"/>
          <w:szCs w:val="16"/>
          <w:rtl/>
        </w:rPr>
        <w:t>ה</w:t>
      </w:r>
      <w:r w:rsidRPr="006252FF">
        <w:rPr>
          <w:rFonts w:cs="Arial"/>
          <w:sz w:val="16"/>
          <w:szCs w:val="16"/>
          <w:rtl/>
        </w:rPr>
        <w:t xml:space="preserve"> בידה</w:t>
      </w:r>
      <w:r>
        <w:rPr>
          <w:rFonts w:cs="Arial" w:hint="cs"/>
          <w:sz w:val="16"/>
          <w:szCs w:val="16"/>
          <w:rtl/>
        </w:rPr>
        <w:t>,</w:t>
      </w:r>
      <w:r w:rsidRPr="006252FF">
        <w:rPr>
          <w:rFonts w:cs="Arial"/>
          <w:sz w:val="16"/>
          <w:szCs w:val="16"/>
          <w:rtl/>
        </w:rPr>
        <w:t xml:space="preserve"> א"כ קשה למה ס"ל כשהכתוב</w:t>
      </w:r>
      <w:r w:rsidRPr="006252FF">
        <w:rPr>
          <w:rFonts w:cs="Arial" w:hint="cs"/>
          <w:sz w:val="16"/>
          <w:szCs w:val="16"/>
          <w:rtl/>
        </w:rPr>
        <w:t>ה</w:t>
      </w:r>
      <w:r w:rsidRPr="006252FF">
        <w:rPr>
          <w:rFonts w:cs="Arial"/>
          <w:sz w:val="16"/>
          <w:szCs w:val="16"/>
          <w:rtl/>
        </w:rPr>
        <w:t xml:space="preserve"> בידה ואין הגט בידה אלא יש לה עידי גט גובה הכתוב</w:t>
      </w:r>
      <w:r w:rsidRPr="006252FF">
        <w:rPr>
          <w:rFonts w:cs="Arial" w:hint="cs"/>
          <w:sz w:val="16"/>
          <w:szCs w:val="16"/>
          <w:rtl/>
        </w:rPr>
        <w:t>ה,</w:t>
      </w:r>
      <w:r w:rsidRPr="006252FF">
        <w:rPr>
          <w:rFonts w:cs="Arial"/>
          <w:sz w:val="16"/>
          <w:szCs w:val="16"/>
          <w:rtl/>
        </w:rPr>
        <w:t xml:space="preserve"> אמאי</w:t>
      </w:r>
      <w:r w:rsidRPr="006252FF">
        <w:rPr>
          <w:rFonts w:cs="Arial" w:hint="cs"/>
          <w:sz w:val="16"/>
          <w:szCs w:val="16"/>
          <w:rtl/>
        </w:rPr>
        <w:t>,</w:t>
      </w:r>
      <w:r w:rsidRPr="006252FF">
        <w:rPr>
          <w:rFonts w:cs="Arial"/>
          <w:sz w:val="16"/>
          <w:szCs w:val="16"/>
          <w:rtl/>
        </w:rPr>
        <w:t xml:space="preserve"> הא יש ריעות</w:t>
      </w:r>
      <w:r w:rsidRPr="006252FF">
        <w:rPr>
          <w:rFonts w:cs="Arial" w:hint="cs"/>
          <w:sz w:val="16"/>
          <w:szCs w:val="16"/>
          <w:rtl/>
        </w:rPr>
        <w:t>א</w:t>
      </w:r>
      <w:r w:rsidRPr="006252FF">
        <w:rPr>
          <w:rFonts w:cs="Arial"/>
          <w:sz w:val="16"/>
          <w:szCs w:val="16"/>
          <w:rtl/>
        </w:rPr>
        <w:t xml:space="preserve"> דאין הגט בידה</w:t>
      </w:r>
      <w:r>
        <w:rPr>
          <w:rFonts w:cs="Arial" w:hint="cs"/>
          <w:sz w:val="16"/>
          <w:szCs w:val="16"/>
          <w:rtl/>
        </w:rPr>
        <w:t xml:space="preserve"> </w:t>
      </w:r>
      <w:r>
        <w:rPr>
          <w:rFonts w:cs="Arial"/>
          <w:sz w:val="16"/>
          <w:szCs w:val="16"/>
          <w:rtl/>
        </w:rPr>
        <w:t>–</w:t>
      </w:r>
      <w:r w:rsidRPr="006252FF">
        <w:rPr>
          <w:rFonts w:cs="Arial"/>
          <w:sz w:val="16"/>
          <w:szCs w:val="16"/>
          <w:rtl/>
        </w:rPr>
        <w:t xml:space="preserve"> די</w:t>
      </w:r>
      <w:r>
        <w:rPr>
          <w:rFonts w:cs="Arial" w:hint="cs"/>
          <w:sz w:val="16"/>
          <w:szCs w:val="16"/>
          <w:rtl/>
        </w:rPr>
        <w:t xml:space="preserve">ש </w:t>
      </w:r>
      <w:r w:rsidRPr="006252FF">
        <w:rPr>
          <w:rFonts w:cs="Arial"/>
          <w:sz w:val="16"/>
          <w:szCs w:val="16"/>
          <w:rtl/>
        </w:rPr>
        <w:t>ל</w:t>
      </w:r>
      <w:r>
        <w:rPr>
          <w:rFonts w:cs="Arial" w:hint="cs"/>
          <w:sz w:val="16"/>
          <w:szCs w:val="16"/>
          <w:rtl/>
        </w:rPr>
        <w:t>ומר</w:t>
      </w:r>
      <w:r w:rsidRPr="006252FF">
        <w:rPr>
          <w:rFonts w:cs="Arial"/>
          <w:sz w:val="16"/>
          <w:szCs w:val="16"/>
          <w:rtl/>
        </w:rPr>
        <w:t xml:space="preserve"> כיון דהכתוב</w:t>
      </w:r>
      <w:r w:rsidRPr="006252FF">
        <w:rPr>
          <w:rFonts w:cs="Arial" w:hint="cs"/>
          <w:sz w:val="16"/>
          <w:szCs w:val="16"/>
          <w:rtl/>
        </w:rPr>
        <w:t>ה</w:t>
      </w:r>
      <w:r w:rsidRPr="006252FF">
        <w:rPr>
          <w:rFonts w:cs="Arial"/>
          <w:sz w:val="16"/>
          <w:szCs w:val="16"/>
          <w:rtl/>
        </w:rPr>
        <w:t xml:space="preserve"> בידה הוי כאלו ליכ</w:t>
      </w:r>
      <w:r w:rsidRPr="006252FF">
        <w:rPr>
          <w:rFonts w:cs="Arial" w:hint="cs"/>
          <w:sz w:val="16"/>
          <w:szCs w:val="16"/>
          <w:rtl/>
        </w:rPr>
        <w:t>א</w:t>
      </w:r>
      <w:r w:rsidRPr="006252FF">
        <w:rPr>
          <w:rFonts w:cs="Arial"/>
          <w:sz w:val="16"/>
          <w:szCs w:val="16"/>
          <w:rtl/>
        </w:rPr>
        <w:t xml:space="preserve"> שום ריעות</w:t>
      </w:r>
      <w:r w:rsidRPr="006252FF">
        <w:rPr>
          <w:rFonts w:cs="Arial" w:hint="cs"/>
          <w:sz w:val="16"/>
          <w:szCs w:val="16"/>
          <w:rtl/>
        </w:rPr>
        <w:t>א</w:t>
      </w:r>
      <w:r>
        <w:rPr>
          <w:rFonts w:cs="Arial" w:hint="cs"/>
          <w:sz w:val="16"/>
          <w:szCs w:val="16"/>
          <w:rtl/>
        </w:rPr>
        <w:t>)</w:t>
      </w:r>
      <w:r>
        <w:rPr>
          <w:rFonts w:cs="Arial" w:hint="cs"/>
          <w:rtl/>
        </w:rPr>
        <w:t>, ב"ש (סקמ"א).</w:t>
      </w:r>
    </w:p>
  </w:footnote>
  <w:footnote w:id="2442">
    <w:p w14:paraId="518FADE8" w14:textId="77777777" w:rsidR="00DF1FC7" w:rsidRDefault="00DF1FC7" w:rsidP="002E5BAD">
      <w:pPr>
        <w:pStyle w:val="a5"/>
        <w:rPr>
          <w:rtl/>
        </w:rPr>
      </w:pPr>
      <w:r>
        <w:rPr>
          <w:rStyle w:val="a7"/>
        </w:rPr>
        <w:footnoteRef/>
      </w:r>
      <w:r>
        <w:rPr>
          <w:rtl/>
        </w:rPr>
        <w:t xml:space="preserve"> </w:t>
      </w:r>
      <w:r w:rsidRPr="00F02E86">
        <w:rPr>
          <w:rFonts w:cs="Arial"/>
          <w:rtl/>
        </w:rPr>
        <w:t>ועיין בזה בתשובת הרשב"א (ח"א) סימן אלף קע"א</w:t>
      </w:r>
      <w:r>
        <w:rPr>
          <w:rFonts w:hint="cs"/>
          <w:rtl/>
        </w:rPr>
        <w:t>, דרכ"מ (אות יח).</w:t>
      </w:r>
    </w:p>
  </w:footnote>
  <w:footnote w:id="2443">
    <w:p w14:paraId="100F795F" w14:textId="77777777" w:rsidR="00DF1FC7" w:rsidRDefault="00DF1FC7" w:rsidP="002E5BAD">
      <w:pPr>
        <w:pStyle w:val="a5"/>
      </w:pPr>
      <w:r>
        <w:rPr>
          <w:rStyle w:val="a7"/>
        </w:rPr>
        <w:footnoteRef/>
      </w:r>
      <w:r>
        <w:rPr>
          <w:rtl/>
        </w:rPr>
        <w:t xml:space="preserve"> </w:t>
      </w:r>
      <w:r w:rsidRPr="005C3ED7">
        <w:rPr>
          <w:rFonts w:cs="Arial"/>
          <w:rtl/>
        </w:rPr>
        <w:t xml:space="preserve">ולוקח ממנה שובר כי היכא דלא </w:t>
      </w:r>
      <w:r>
        <w:rPr>
          <w:rFonts w:cs="Arial" w:hint="cs"/>
          <w:rtl/>
        </w:rPr>
        <w:t>לי</w:t>
      </w:r>
      <w:r w:rsidRPr="005C3ED7">
        <w:rPr>
          <w:rFonts w:cs="Arial"/>
          <w:rtl/>
        </w:rPr>
        <w:t>גב</w:t>
      </w:r>
      <w:r>
        <w:rPr>
          <w:rFonts w:cs="Arial" w:hint="cs"/>
          <w:rtl/>
        </w:rPr>
        <w:t>י</w:t>
      </w:r>
      <w:r w:rsidRPr="005C3ED7">
        <w:rPr>
          <w:rFonts w:cs="Arial"/>
          <w:rtl/>
        </w:rPr>
        <w:t xml:space="preserve"> בעידי </w:t>
      </w:r>
      <w:r>
        <w:rPr>
          <w:rFonts w:cs="Arial" w:hint="cs"/>
          <w:rtl/>
        </w:rPr>
        <w:t>גט</w:t>
      </w:r>
      <w:r>
        <w:rPr>
          <w:rFonts w:cs="Arial" w:hint="cs"/>
          <w:sz w:val="16"/>
          <w:szCs w:val="16"/>
          <w:rtl/>
        </w:rPr>
        <w:t xml:space="preserve"> {יש שהגיהו כאן בעדי מיתה, אבל אין צריך לזה, שהרי הב"ש אזיל לשיטתיה [סקמ"א] שלדעת התוס' גובה כתובה בעדי גט}</w:t>
      </w:r>
      <w:r>
        <w:rPr>
          <w:rFonts w:cs="Arial" w:hint="cs"/>
          <w:rtl/>
        </w:rPr>
        <w:t>, ב"ש (סקמ"ב).</w:t>
      </w:r>
    </w:p>
  </w:footnote>
  <w:footnote w:id="2444">
    <w:p w14:paraId="3CAFEE0E" w14:textId="77777777" w:rsidR="00DF1FC7" w:rsidRDefault="00DF1FC7" w:rsidP="002E5BAD">
      <w:pPr>
        <w:pStyle w:val="a5"/>
      </w:pPr>
      <w:r>
        <w:rPr>
          <w:rStyle w:val="a7"/>
        </w:rPr>
        <w:footnoteRef/>
      </w:r>
      <w:r>
        <w:rPr>
          <w:rtl/>
        </w:rPr>
        <w:t xml:space="preserve"> </w:t>
      </w:r>
      <w:r w:rsidRPr="00EC0B80">
        <w:rPr>
          <w:rFonts w:cs="Arial"/>
          <w:rtl/>
        </w:rPr>
        <w:t>זמן ראשונה קודם לזמן גט ראשון</w:t>
      </w:r>
      <w:r>
        <w:rPr>
          <w:rFonts w:cs="Arial" w:hint="cs"/>
          <w:rtl/>
        </w:rPr>
        <w:t>,</w:t>
      </w:r>
      <w:r w:rsidRPr="00EC0B80">
        <w:rPr>
          <w:rFonts w:cs="Arial"/>
          <w:rtl/>
        </w:rPr>
        <w:t xml:space="preserve"> וזמן כתובה שנייה קודם לגט שני</w:t>
      </w:r>
      <w:r>
        <w:rPr>
          <w:rFonts w:cs="Arial" w:hint="cs"/>
          <w:rtl/>
        </w:rPr>
        <w:t>, רש"י.</w:t>
      </w:r>
    </w:p>
  </w:footnote>
  <w:footnote w:id="2445">
    <w:p w14:paraId="444C5FEF" w14:textId="77777777" w:rsidR="00DF1FC7" w:rsidRDefault="00DF1FC7" w:rsidP="002E5BAD">
      <w:pPr>
        <w:pStyle w:val="a5"/>
      </w:pPr>
      <w:r>
        <w:rPr>
          <w:rStyle w:val="a7"/>
        </w:rPr>
        <w:footnoteRef/>
      </w:r>
      <w:r>
        <w:rPr>
          <w:rtl/>
        </w:rPr>
        <w:t xml:space="preserve"> </w:t>
      </w:r>
      <w:r w:rsidRPr="00EC0B80">
        <w:rPr>
          <w:rFonts w:cs="Arial"/>
          <w:rtl/>
        </w:rPr>
        <w:t>שהרי גירשה והחזירה וכתב לה כתובה שנייה אבל קדמו ב' הכתובות לגט ראשון לא שהרי כשהחזירה לא כתב לה כתובה ותנן בסיפא ב' כתובות אינה גובה אלא אחת שעל מנת כתובה הראשונה החזירה</w:t>
      </w:r>
      <w:r>
        <w:rPr>
          <w:rFonts w:cs="Arial" w:hint="cs"/>
          <w:rtl/>
        </w:rPr>
        <w:t>, רש"י.</w:t>
      </w:r>
    </w:p>
  </w:footnote>
  <w:footnote w:id="2446">
    <w:p w14:paraId="41092D4A" w14:textId="77777777" w:rsidR="00DF1FC7" w:rsidRDefault="00DF1FC7" w:rsidP="002E5BAD">
      <w:pPr>
        <w:pStyle w:val="a5"/>
        <w:rPr>
          <w:rtl/>
        </w:rPr>
      </w:pPr>
      <w:r>
        <w:rPr>
          <w:rStyle w:val="a7"/>
        </w:rPr>
        <w:footnoteRef/>
      </w:r>
      <w:r>
        <w:rPr>
          <w:rtl/>
        </w:rPr>
        <w:t xml:space="preserve"> </w:t>
      </w:r>
      <w:r w:rsidRPr="00775DD6">
        <w:rPr>
          <w:rFonts w:cs="Arial"/>
          <w:rtl/>
        </w:rPr>
        <w:t>בתמיה ואשתי כתובות וגט קאי דקתני אין לה אלא כתובה אחת ולא קתני אין לה אלא כתובה אחרונה אלמא אי ניחא לה למיטרף לקוחות מזמן ראשון טרפה</w:t>
      </w:r>
      <w:r>
        <w:rPr>
          <w:rFonts w:hint="cs"/>
          <w:rtl/>
        </w:rPr>
        <w:t>, רש"י.</w:t>
      </w:r>
    </w:p>
  </w:footnote>
  <w:footnote w:id="2447">
    <w:p w14:paraId="181B4514" w14:textId="77777777" w:rsidR="00DF1FC7" w:rsidRDefault="00DF1FC7" w:rsidP="002E5BAD">
      <w:pPr>
        <w:pStyle w:val="a5"/>
      </w:pPr>
      <w:r>
        <w:rPr>
          <w:rStyle w:val="a7"/>
        </w:rPr>
        <w:footnoteRef/>
      </w:r>
      <w:r>
        <w:rPr>
          <w:rtl/>
        </w:rPr>
        <w:t xml:space="preserve"> </w:t>
      </w:r>
      <w:r>
        <w:rPr>
          <w:rFonts w:cs="Arial"/>
          <w:rtl/>
        </w:rPr>
        <w:t>זמנו של זה קודם לזה ושניהם על הלואה אחת או על מכר אחד</w:t>
      </w:r>
      <w:r>
        <w:rPr>
          <w:rFonts w:cs="Arial" w:hint="cs"/>
          <w:rtl/>
        </w:rPr>
        <w:t>, רש"י.</w:t>
      </w:r>
    </w:p>
  </w:footnote>
  <w:footnote w:id="2448">
    <w:p w14:paraId="6935D7E5" w14:textId="77777777" w:rsidR="00DF1FC7" w:rsidRDefault="00DF1FC7" w:rsidP="002E5BAD">
      <w:pPr>
        <w:pStyle w:val="a5"/>
      </w:pPr>
      <w:r>
        <w:rPr>
          <w:rStyle w:val="a7"/>
        </w:rPr>
        <w:footnoteRef/>
      </w:r>
      <w:r>
        <w:rPr>
          <w:rtl/>
        </w:rPr>
        <w:t xml:space="preserve"> </w:t>
      </w:r>
      <w:r w:rsidRPr="00775DD6">
        <w:rPr>
          <w:rFonts w:cs="Arial"/>
          <w:rtl/>
        </w:rPr>
        <w:t>ואינו טורף אלא מזמן שני דכיון דכתב לשטרא בתרא אחליה לשיעבוד קמא</w:t>
      </w:r>
      <w:r>
        <w:rPr>
          <w:rFonts w:cs="Arial" w:hint="cs"/>
          <w:rtl/>
        </w:rPr>
        <w:t>, רש"י.</w:t>
      </w:r>
    </w:p>
  </w:footnote>
  <w:footnote w:id="2449">
    <w:p w14:paraId="51A85EE8" w14:textId="77777777" w:rsidR="00DF1FC7" w:rsidRDefault="00DF1FC7" w:rsidP="002E5BAD">
      <w:pPr>
        <w:pStyle w:val="a5"/>
        <w:rPr>
          <w:rtl/>
        </w:rPr>
      </w:pPr>
      <w:r>
        <w:rPr>
          <w:rStyle w:val="a7"/>
        </w:rPr>
        <w:footnoteRef/>
      </w:r>
      <w:r>
        <w:rPr>
          <w:rtl/>
        </w:rPr>
        <w:t xml:space="preserve"> </w:t>
      </w:r>
      <w:r w:rsidRPr="00775DD6">
        <w:rPr>
          <w:rFonts w:cs="Arial"/>
          <w:rtl/>
        </w:rPr>
        <w:t>ולא אחליה לשיעבוד לבטל זמן שטר ראשון</w:t>
      </w:r>
      <w:r>
        <w:rPr>
          <w:rFonts w:cs="Arial" w:hint="cs"/>
          <w:rtl/>
        </w:rPr>
        <w:t>.</w:t>
      </w:r>
      <w:r w:rsidRPr="00775DD6">
        <w:rPr>
          <w:rFonts w:cs="Arial"/>
          <w:rtl/>
        </w:rPr>
        <w:t xml:space="preserve"> ותרוייהו מיהא לא גביא</w:t>
      </w:r>
      <w:r>
        <w:rPr>
          <w:rFonts w:cs="Arial" w:hint="cs"/>
          <w:rtl/>
        </w:rPr>
        <w:t>,</w:t>
      </w:r>
      <w:r w:rsidRPr="00775DD6">
        <w:rPr>
          <w:rFonts w:cs="Arial"/>
          <w:rtl/>
        </w:rPr>
        <w:t xml:space="preserve"> מדלא כתב לה צביתי ואוסיפית לה הך אקמייתא</w:t>
      </w:r>
      <w:r>
        <w:rPr>
          <w:rFonts w:cs="Arial" w:hint="cs"/>
          <w:rtl/>
        </w:rPr>
        <w:t>.</w:t>
      </w:r>
      <w:r w:rsidRPr="00775DD6">
        <w:rPr>
          <w:rFonts w:cs="Arial"/>
          <w:rtl/>
        </w:rPr>
        <w:t xml:space="preserve"> אלא שטר כתובה יתירא כתב לה</w:t>
      </w:r>
      <w:r>
        <w:rPr>
          <w:rFonts w:cs="Arial" w:hint="cs"/>
          <w:rtl/>
        </w:rPr>
        <w:t>,</w:t>
      </w:r>
      <w:r w:rsidRPr="00775DD6">
        <w:rPr>
          <w:rFonts w:cs="Arial"/>
          <w:rtl/>
        </w:rPr>
        <w:t xml:space="preserve"> ולא הזכיר בה את הראשונה</w:t>
      </w:r>
      <w:r>
        <w:rPr>
          <w:rFonts w:cs="Arial" w:hint="cs"/>
          <w:rtl/>
        </w:rPr>
        <w:t>.</w:t>
      </w:r>
      <w:r w:rsidRPr="00775DD6">
        <w:rPr>
          <w:rFonts w:cs="Arial"/>
          <w:rtl/>
        </w:rPr>
        <w:t xml:space="preserve"> הכי קאמר</w:t>
      </w:r>
      <w:r>
        <w:rPr>
          <w:rFonts w:cs="Arial" w:hint="cs"/>
          <w:rtl/>
        </w:rPr>
        <w:t>,</w:t>
      </w:r>
      <w:r w:rsidRPr="00775DD6">
        <w:rPr>
          <w:rFonts w:cs="Arial"/>
          <w:rtl/>
        </w:rPr>
        <w:t xml:space="preserve"> אם תתרצי למחול שיעבוד של ראשונה </w:t>
      </w:r>
      <w:r>
        <w:rPr>
          <w:rFonts w:cs="Arial" w:hint="cs"/>
          <w:rtl/>
        </w:rPr>
        <w:t xml:space="preserve">- </w:t>
      </w:r>
      <w:r w:rsidRPr="00775DD6">
        <w:rPr>
          <w:rFonts w:cs="Arial"/>
          <w:rtl/>
        </w:rPr>
        <w:t>גבי כתובה זו המרובה</w:t>
      </w:r>
      <w:r>
        <w:rPr>
          <w:rFonts w:cs="Arial" w:hint="cs"/>
          <w:rtl/>
        </w:rPr>
        <w:t>.</w:t>
      </w:r>
      <w:r w:rsidRPr="00775DD6">
        <w:rPr>
          <w:rFonts w:cs="Arial"/>
          <w:rtl/>
        </w:rPr>
        <w:t xml:space="preserve"> ואם לאו </w:t>
      </w:r>
      <w:r>
        <w:rPr>
          <w:rFonts w:cs="Arial" w:hint="cs"/>
          <w:rtl/>
        </w:rPr>
        <w:t xml:space="preserve">- </w:t>
      </w:r>
      <w:r w:rsidRPr="00775DD6">
        <w:rPr>
          <w:rFonts w:cs="Arial"/>
          <w:rtl/>
        </w:rPr>
        <w:t>גבי הראשונה המועטת</w:t>
      </w:r>
      <w:r>
        <w:rPr>
          <w:rFonts w:cs="Arial" w:hint="cs"/>
          <w:rtl/>
        </w:rPr>
        <w:t>.</w:t>
      </w:r>
      <w:r w:rsidRPr="00775DD6">
        <w:rPr>
          <w:rFonts w:cs="Arial"/>
          <w:rtl/>
        </w:rPr>
        <w:t xml:space="preserve"> הלכך הי מינייהו דבעיא גביא</w:t>
      </w:r>
      <w:r>
        <w:rPr>
          <w:rFonts w:cs="Arial" w:hint="cs"/>
          <w:rtl/>
        </w:rPr>
        <w:t>.</w:t>
      </w:r>
      <w:r w:rsidRPr="00775DD6">
        <w:rPr>
          <w:rFonts w:cs="Arial"/>
          <w:rtl/>
        </w:rPr>
        <w:t xml:space="preserve"> והכי פרשינן בפירקין קמאי</w:t>
      </w:r>
      <w:r>
        <w:rPr>
          <w:rFonts w:cs="Arial" w:hint="cs"/>
          <w:rtl/>
        </w:rPr>
        <w:t>.</w:t>
      </w:r>
      <w:r w:rsidRPr="00775DD6">
        <w:rPr>
          <w:rFonts w:cs="Arial"/>
          <w:rtl/>
        </w:rPr>
        <w:t xml:space="preserve"> וכי אמר רב נחמן ביטל שני את הראשון בדלא אוסיף ביה מידי</w:t>
      </w:r>
      <w:r>
        <w:rPr>
          <w:rFonts w:cs="Arial" w:hint="cs"/>
          <w:rtl/>
        </w:rPr>
        <w:t>,</w:t>
      </w:r>
      <w:r w:rsidRPr="00775DD6">
        <w:rPr>
          <w:rFonts w:cs="Arial"/>
          <w:rtl/>
        </w:rPr>
        <w:t xml:space="preserve"> דאי לאו לבטולי קמא אתא למאי כתביה</w:t>
      </w:r>
      <w:r>
        <w:rPr>
          <w:rFonts w:hint="cs"/>
          <w:rtl/>
        </w:rPr>
        <w:t>, רש"י.</w:t>
      </w:r>
    </w:p>
  </w:footnote>
  <w:footnote w:id="2450">
    <w:p w14:paraId="434DC7A4" w14:textId="77777777" w:rsidR="00DF1FC7" w:rsidRDefault="00DF1FC7" w:rsidP="002E5BAD">
      <w:pPr>
        <w:pStyle w:val="a5"/>
        <w:rPr>
          <w:rtl/>
        </w:rPr>
      </w:pPr>
      <w:r>
        <w:rPr>
          <w:rStyle w:val="a7"/>
        </w:rPr>
        <w:footnoteRef/>
      </w:r>
      <w:r>
        <w:rPr>
          <w:rtl/>
        </w:rPr>
        <w:t xml:space="preserve"> </w:t>
      </w:r>
      <w:r w:rsidRPr="0069419D">
        <w:rPr>
          <w:rFonts w:cs="Arial"/>
          <w:rtl/>
        </w:rPr>
        <w:t>כתובתה של אב - כתובה שהיא גובה משני ארוסין הללו וקסבר יש כתובה לארוסה ובימי נערות וקטנות קאמר</w:t>
      </w:r>
      <w:r>
        <w:rPr>
          <w:rFonts w:hint="cs"/>
          <w:rtl/>
        </w:rPr>
        <w:t>, רש"י.</w:t>
      </w:r>
    </w:p>
  </w:footnote>
  <w:footnote w:id="2451">
    <w:p w14:paraId="19F0C4DC" w14:textId="77777777" w:rsidR="00DF1FC7" w:rsidRDefault="00DF1FC7" w:rsidP="002E5BAD">
      <w:pPr>
        <w:pStyle w:val="a5"/>
        <w:rPr>
          <w:rtl/>
        </w:rPr>
      </w:pPr>
      <w:r>
        <w:rPr>
          <w:rStyle w:val="a7"/>
        </w:rPr>
        <w:footnoteRef/>
      </w:r>
      <w:r>
        <w:rPr>
          <w:rtl/>
        </w:rPr>
        <w:t xml:space="preserve"> </w:t>
      </w:r>
      <w:r w:rsidRPr="0069419D">
        <w:rPr>
          <w:rFonts w:cs="Arial"/>
          <w:rtl/>
        </w:rPr>
        <w:t>דמשהשיאה פקעה רשותו ובתר גוביינא אזלינן וגוביינא בתר הכי הוא ולא אזלינן בתר כתיבה לומר הואיל והראשונה נכתבה בעודה ברשות האב תיהוי דאב</w:t>
      </w:r>
      <w:r>
        <w:rPr>
          <w:rFonts w:hint="cs"/>
          <w:rtl/>
        </w:rPr>
        <w:t>, רש"י.</w:t>
      </w:r>
    </w:p>
  </w:footnote>
  <w:footnote w:id="2452">
    <w:p w14:paraId="44BCDD13" w14:textId="77777777" w:rsidR="00DF1FC7" w:rsidRDefault="00DF1FC7" w:rsidP="002E5BAD">
      <w:pPr>
        <w:pStyle w:val="a5"/>
      </w:pPr>
      <w:r>
        <w:rPr>
          <w:rStyle w:val="a7"/>
        </w:rPr>
        <w:footnoteRef/>
      </w:r>
      <w:r>
        <w:rPr>
          <w:rtl/>
        </w:rPr>
        <w:t xml:space="preserve"> </w:t>
      </w:r>
      <w:r w:rsidRPr="00E07240">
        <w:rPr>
          <w:rFonts w:cs="Arial"/>
          <w:rtl/>
        </w:rPr>
        <w:t>כתובה הראשונה שהיה לפני הנשואין</w:t>
      </w:r>
      <w:r>
        <w:rPr>
          <w:rFonts w:cs="Arial" w:hint="cs"/>
          <w:rtl/>
        </w:rPr>
        <w:t>,</w:t>
      </w:r>
      <w:r w:rsidRPr="00E07240">
        <w:rPr>
          <w:rFonts w:cs="Arial"/>
          <w:rtl/>
        </w:rPr>
        <w:t xml:space="preserve"> והלכך בגרה קודם נשואין לא נכתב ברשותו</w:t>
      </w:r>
      <w:r>
        <w:rPr>
          <w:rFonts w:cs="Arial" w:hint="cs"/>
          <w:rtl/>
        </w:rPr>
        <w:t>.</w:t>
      </w:r>
      <w:r w:rsidRPr="00E07240">
        <w:rPr>
          <w:rFonts w:cs="Arial"/>
          <w:rtl/>
        </w:rPr>
        <w:t xml:space="preserve"> הא דגרסינן נכתבים לשון רבים אמנה ומאתים דכתובה קאי</w:t>
      </w:r>
      <w:r>
        <w:rPr>
          <w:rFonts w:hint="cs"/>
          <w:rtl/>
        </w:rPr>
        <w:t>, רש"י.</w:t>
      </w:r>
    </w:p>
  </w:footnote>
  <w:footnote w:id="2453">
    <w:p w14:paraId="1C7A01BD" w14:textId="77777777" w:rsidR="00DF1FC7" w:rsidRDefault="00DF1FC7" w:rsidP="002E5BAD">
      <w:pPr>
        <w:pStyle w:val="a5"/>
      </w:pPr>
      <w:r>
        <w:rPr>
          <w:rStyle w:val="a7"/>
        </w:rPr>
        <w:footnoteRef/>
      </w:r>
      <w:r>
        <w:rPr>
          <w:rtl/>
        </w:rPr>
        <w:t xml:space="preserve"> </w:t>
      </w:r>
      <w:r w:rsidRPr="00B37682">
        <w:rPr>
          <w:rFonts w:cs="Arial"/>
          <w:rtl/>
        </w:rPr>
        <w:t>כלומר לענין זכייה דאב דהא חזינן דלאו בתר אירוסין אזלינן אפי' לר"י כדקתני ומודה ר"י במארס את בתו ובגרה כו' אלמא בתר כתיבה אזיל לענין מטרף לקוחות מאימת טרפא ממשעבדי משעת אירוסין דהא מההיא שעתא איחייב בתקנתא דרבנן או דלמא עד שעת כתיבה דהויא מלוה בשטר לא טרפא</w:t>
      </w:r>
      <w:r>
        <w:rPr>
          <w:rFonts w:cs="Arial" w:hint="cs"/>
          <w:rtl/>
        </w:rPr>
        <w:t>, רש"י.</w:t>
      </w:r>
    </w:p>
  </w:footnote>
  <w:footnote w:id="2454">
    <w:p w14:paraId="0FA16F5A" w14:textId="77777777" w:rsidR="00DF1FC7" w:rsidRDefault="00DF1FC7" w:rsidP="002E5BAD">
      <w:pPr>
        <w:pStyle w:val="a5"/>
      </w:pPr>
      <w:r>
        <w:rPr>
          <w:rStyle w:val="a7"/>
        </w:rPr>
        <w:footnoteRef/>
      </w:r>
      <w:r>
        <w:rPr>
          <w:rtl/>
        </w:rPr>
        <w:t xml:space="preserve"> </w:t>
      </w:r>
      <w:r w:rsidRPr="00B37682">
        <w:rPr>
          <w:rFonts w:cs="Arial"/>
          <w:rtl/>
        </w:rPr>
        <w:t xml:space="preserve">דמתקנתא דרבנן </w:t>
      </w:r>
      <w:r>
        <w:rPr>
          <w:rFonts w:cs="Arial" w:hint="cs"/>
          <w:rtl/>
        </w:rPr>
        <w:t xml:space="preserve">- </w:t>
      </w:r>
      <w:r w:rsidRPr="00B37682">
        <w:rPr>
          <w:rFonts w:cs="Arial"/>
          <w:rtl/>
        </w:rPr>
        <w:t>מחייב טרפא מזמן אירוסין</w:t>
      </w:r>
      <w:r>
        <w:rPr>
          <w:rFonts w:cs="Arial" w:hint="cs"/>
          <w:rtl/>
        </w:rPr>
        <w:t>.</w:t>
      </w:r>
      <w:r w:rsidRPr="00B37682">
        <w:rPr>
          <w:rFonts w:cs="Arial"/>
          <w:rtl/>
        </w:rPr>
        <w:t xml:space="preserve"> אם מת או גרשה לאחר נשואין טורפת לקוחות שלקחו מנכסיו מזמן אירוסין ואילך דמההיא שעתא אשתעבד</w:t>
      </w:r>
      <w:r>
        <w:rPr>
          <w:rFonts w:cs="Arial" w:hint="cs"/>
          <w:rtl/>
        </w:rPr>
        <w:t>, רש"י.</w:t>
      </w:r>
    </w:p>
  </w:footnote>
  <w:footnote w:id="2455">
    <w:p w14:paraId="3F39924F" w14:textId="77777777" w:rsidR="00DF1FC7" w:rsidRDefault="00DF1FC7" w:rsidP="002E5BAD">
      <w:pPr>
        <w:pStyle w:val="a5"/>
      </w:pPr>
      <w:r>
        <w:rPr>
          <w:rStyle w:val="a7"/>
        </w:rPr>
        <w:footnoteRef/>
      </w:r>
      <w:r>
        <w:rPr>
          <w:rtl/>
        </w:rPr>
        <w:t xml:space="preserve"> </w:t>
      </w:r>
      <w:r w:rsidRPr="00B37682">
        <w:rPr>
          <w:rFonts w:cs="Arial"/>
          <w:rtl/>
        </w:rPr>
        <w:t>שמעלמא היא באה לה לא נשתעבד עד זמן כתיבת הכתובה שקנו מידו וכתב</w:t>
      </w:r>
      <w:r>
        <w:rPr>
          <w:rFonts w:cs="Arial" w:hint="cs"/>
          <w:rtl/>
        </w:rPr>
        <w:t>, רש"י.</w:t>
      </w:r>
    </w:p>
  </w:footnote>
  <w:footnote w:id="2456">
    <w:p w14:paraId="1EAEA689" w14:textId="77777777" w:rsidR="00DF1FC7" w:rsidRDefault="00DF1FC7" w:rsidP="002E5BAD">
      <w:pPr>
        <w:pStyle w:val="a5"/>
      </w:pPr>
      <w:r>
        <w:rPr>
          <w:rStyle w:val="a7"/>
        </w:rPr>
        <w:footnoteRef/>
      </w:r>
      <w:r>
        <w:rPr>
          <w:rtl/>
        </w:rPr>
        <w:t xml:space="preserve"> </w:t>
      </w:r>
      <w:r w:rsidRPr="00B37682">
        <w:rPr>
          <w:rFonts w:cs="Arial"/>
          <w:rtl/>
        </w:rPr>
        <w:t>דהיא גופה מחלה לשעבודא קמא ונתרצתה בזמן הכתוב בשטר הכתובה ככל המפורש בה בין עיקר בין תוספת</w:t>
      </w:r>
      <w:r>
        <w:rPr>
          <w:rFonts w:cs="Arial" w:hint="cs"/>
          <w:rtl/>
        </w:rPr>
        <w:t>, רש"י.</w:t>
      </w:r>
    </w:p>
  </w:footnote>
  <w:footnote w:id="2457">
    <w:p w14:paraId="2D379456" w14:textId="77777777" w:rsidR="00DF1FC7" w:rsidRDefault="00DF1FC7" w:rsidP="002E5BAD">
      <w:pPr>
        <w:pStyle w:val="a5"/>
        <w:rPr>
          <w:rtl/>
        </w:rPr>
      </w:pPr>
      <w:r>
        <w:rPr>
          <w:rStyle w:val="a7"/>
        </w:rPr>
        <w:footnoteRef/>
      </w:r>
      <w:r>
        <w:rPr>
          <w:rtl/>
        </w:rPr>
        <w:t xml:space="preserve"> </w:t>
      </w:r>
      <w:r w:rsidRPr="00053678">
        <w:rPr>
          <w:rFonts w:cs="Arial"/>
          <w:rtl/>
        </w:rPr>
        <w:t>והיא מוקדמת דדוקא כסדר נקט</w:t>
      </w:r>
      <w:r>
        <w:rPr>
          <w:rFonts w:hint="cs"/>
          <w:rtl/>
        </w:rPr>
        <w:t>, רש"י.</w:t>
      </w:r>
    </w:p>
  </w:footnote>
  <w:footnote w:id="2458">
    <w:p w14:paraId="4842746B" w14:textId="77777777" w:rsidR="00DF1FC7" w:rsidRDefault="00DF1FC7" w:rsidP="002E5BAD">
      <w:pPr>
        <w:pStyle w:val="a5"/>
      </w:pPr>
      <w:r>
        <w:rPr>
          <w:rStyle w:val="a7"/>
        </w:rPr>
        <w:footnoteRef/>
      </w:r>
      <w:r>
        <w:rPr>
          <w:rtl/>
        </w:rPr>
        <w:t xml:space="preserve"> </w:t>
      </w:r>
      <w:r w:rsidRPr="00053678">
        <w:rPr>
          <w:rFonts w:cs="Arial"/>
          <w:rtl/>
        </w:rPr>
        <w:t>כלומר אין לה אלא אחד מהן ויפה כחה לגבות איזה שתרצה באתה לגבות מאתים דניחא לה בהכי וכגון שמכר נכסיו בין זמן ראשון לזמן שני דאי מפקא למיגבי בשל שלש מאות נמצאו שטרי הלקוחות קודמי</w:t>
      </w:r>
      <w:r>
        <w:rPr>
          <w:rFonts w:cs="Arial" w:hint="cs"/>
          <w:rtl/>
        </w:rPr>
        <w:t>ן, רש"י.</w:t>
      </w:r>
    </w:p>
  </w:footnote>
  <w:footnote w:id="2459">
    <w:p w14:paraId="38790A28" w14:textId="77777777" w:rsidR="00DF1FC7" w:rsidRDefault="00DF1FC7" w:rsidP="002E5BAD">
      <w:pPr>
        <w:pStyle w:val="a5"/>
      </w:pPr>
      <w:r>
        <w:rPr>
          <w:rStyle w:val="a7"/>
        </w:rPr>
        <w:footnoteRef/>
      </w:r>
      <w:r>
        <w:rPr>
          <w:rtl/>
        </w:rPr>
        <w:t xml:space="preserve"> </w:t>
      </w:r>
      <w:r w:rsidRPr="00053678">
        <w:rPr>
          <w:rFonts w:cs="Arial"/>
          <w:rtl/>
        </w:rPr>
        <w:t>מאתים וטורפת לקוחות מזמן הכתוב</w:t>
      </w:r>
      <w:r>
        <w:rPr>
          <w:rFonts w:cs="Arial" w:hint="cs"/>
          <w:rtl/>
        </w:rPr>
        <w:t>, רש"י.</w:t>
      </w:r>
    </w:p>
  </w:footnote>
  <w:footnote w:id="2460">
    <w:p w14:paraId="16877FD8" w14:textId="77777777" w:rsidR="00DF1FC7" w:rsidRDefault="00DF1FC7" w:rsidP="002E5BAD">
      <w:pPr>
        <w:pStyle w:val="a5"/>
      </w:pPr>
      <w:r>
        <w:rPr>
          <w:rStyle w:val="a7"/>
        </w:rPr>
        <w:footnoteRef/>
      </w:r>
      <w:r>
        <w:rPr>
          <w:rtl/>
        </w:rPr>
        <w:t xml:space="preserve"> </w:t>
      </w:r>
      <w:r w:rsidRPr="00053678">
        <w:rPr>
          <w:rFonts w:cs="Arial"/>
          <w:rtl/>
        </w:rPr>
        <w:t>דסבר רב הונא חוב ראשון מזמן ראשון ותוספת מזמן שני ה"נ תיגבי מאתים מזמן ראשון ומאה מזמן שני</w:t>
      </w:r>
      <w:r>
        <w:rPr>
          <w:rFonts w:cs="Arial" w:hint="cs"/>
          <w:rtl/>
        </w:rPr>
        <w:t>, רש"י.</w:t>
      </w:r>
    </w:p>
  </w:footnote>
  <w:footnote w:id="2461">
    <w:p w14:paraId="674036BE" w14:textId="77777777" w:rsidR="00DF1FC7" w:rsidRDefault="00DF1FC7" w:rsidP="002E5BAD">
      <w:pPr>
        <w:pStyle w:val="a5"/>
      </w:pPr>
      <w:r>
        <w:rPr>
          <w:rStyle w:val="a7"/>
        </w:rPr>
        <w:footnoteRef/>
      </w:r>
      <w:r>
        <w:rPr>
          <w:rtl/>
        </w:rPr>
        <w:t xml:space="preserve"> </w:t>
      </w:r>
      <w:r>
        <w:rPr>
          <w:rFonts w:hint="cs"/>
          <w:rtl/>
        </w:rPr>
        <w:t xml:space="preserve">שאתה מחשיב את הכתובה הראשונה כעיקר כתובה (וטורף בה מאתים מזמן ראשון), וכתובה שניה כתוספת (וטורף בה מזמן שני) </w:t>
      </w:r>
      <w:r>
        <w:rPr>
          <w:rtl/>
        </w:rPr>
        <w:t>–</w:t>
      </w:r>
      <w:r>
        <w:rPr>
          <w:rFonts w:hint="cs"/>
          <w:rtl/>
        </w:rPr>
        <w:t xml:space="preserve"> תחשיב כבר את כל השלש מאות של הכתובה השניה כתוספת ותגבה את כולה.</w:t>
      </w:r>
    </w:p>
  </w:footnote>
  <w:footnote w:id="2462">
    <w:p w14:paraId="2580F67C" w14:textId="77777777" w:rsidR="00DF1FC7" w:rsidRDefault="00DF1FC7" w:rsidP="002E5BAD">
      <w:pPr>
        <w:pStyle w:val="a5"/>
      </w:pPr>
      <w:r>
        <w:rPr>
          <w:rStyle w:val="a7"/>
        </w:rPr>
        <w:footnoteRef/>
      </w:r>
      <w:r>
        <w:rPr>
          <w:rtl/>
        </w:rPr>
        <w:t xml:space="preserve"> </w:t>
      </w:r>
      <w:r w:rsidRPr="002E7D1A">
        <w:rPr>
          <w:rFonts w:cs="Arial"/>
          <w:rtl/>
        </w:rPr>
        <w:t>בכתובה שניה</w:t>
      </w:r>
      <w:r>
        <w:rPr>
          <w:rFonts w:cs="Arial" w:hint="cs"/>
          <w:rtl/>
        </w:rPr>
        <w:t>, רש"י.</w:t>
      </w:r>
    </w:p>
  </w:footnote>
  <w:footnote w:id="2463">
    <w:p w14:paraId="5F7CB642" w14:textId="77777777" w:rsidR="00DF1FC7" w:rsidRDefault="00DF1FC7" w:rsidP="002E5BAD">
      <w:pPr>
        <w:pStyle w:val="a5"/>
      </w:pPr>
      <w:r>
        <w:rPr>
          <w:rStyle w:val="a7"/>
        </w:rPr>
        <w:footnoteRef/>
      </w:r>
      <w:r>
        <w:rPr>
          <w:rtl/>
        </w:rPr>
        <w:t xml:space="preserve"> </w:t>
      </w:r>
      <w:r w:rsidRPr="002E7D1A">
        <w:rPr>
          <w:rFonts w:cs="Arial"/>
          <w:rtl/>
        </w:rPr>
        <w:t>ש"מ לא להוסיף על הראשונה בא ולא תגבה השניה אא"כ הראשונה בטלה</w:t>
      </w:r>
      <w:r>
        <w:rPr>
          <w:rFonts w:cs="Arial" w:hint="cs"/>
          <w:rtl/>
        </w:rPr>
        <w:t>, רש"י.</w:t>
      </w:r>
    </w:p>
  </w:footnote>
  <w:footnote w:id="2464">
    <w:p w14:paraId="4E68D931" w14:textId="77777777" w:rsidR="00DF1FC7" w:rsidRDefault="00DF1FC7" w:rsidP="002E5BAD">
      <w:pPr>
        <w:pStyle w:val="a5"/>
        <w:rPr>
          <w:rtl/>
        </w:rPr>
      </w:pPr>
      <w:r>
        <w:rPr>
          <w:rStyle w:val="a7"/>
        </w:rPr>
        <w:footnoteRef/>
      </w:r>
      <w:r>
        <w:rPr>
          <w:rtl/>
        </w:rPr>
        <w:t xml:space="preserve"> </w:t>
      </w:r>
      <w:r w:rsidRPr="002E7D1A">
        <w:rPr>
          <w:rFonts w:cs="Arial"/>
          <w:rtl/>
        </w:rPr>
        <w:t>מדלא כתב ואוסיפית לה מאה אמאתים קמאי אלא כתב זמן שני לכל השלש מאות ולא בלשון מוסיף על השטר הראשון ש"מ אחילתיה לשעבודא קמא ואם באת לגבות שטר השני תגבה מזמן שני</w:t>
      </w:r>
      <w:r>
        <w:rPr>
          <w:rFonts w:cs="Arial" w:hint="cs"/>
          <w:rtl/>
        </w:rPr>
        <w:t>.</w:t>
      </w:r>
      <w:r w:rsidRPr="002E7D1A">
        <w:rPr>
          <w:rFonts w:cs="Arial"/>
          <w:rtl/>
        </w:rPr>
        <w:t xml:space="preserve"> אבל גבי תוספת המוסיף בכל כתובות על מנה מאתים </w:t>
      </w:r>
      <w:r>
        <w:rPr>
          <w:rFonts w:cs="Arial" w:hint="cs"/>
          <w:sz w:val="16"/>
          <w:szCs w:val="16"/>
          <w:rtl/>
        </w:rPr>
        <w:t>{היינו מקרה אחר, שהוסיף לה כבר בכתובה ראשונה, ולא כשהוסיף לה [כמו בגמ' לעיל] בכתובה שניה בזמן שני}</w:t>
      </w:r>
      <w:r>
        <w:rPr>
          <w:rFonts w:cs="Arial" w:hint="cs"/>
          <w:rtl/>
        </w:rPr>
        <w:t xml:space="preserve"> </w:t>
      </w:r>
      <w:r w:rsidRPr="002E7D1A">
        <w:rPr>
          <w:rFonts w:cs="Arial"/>
          <w:rtl/>
        </w:rPr>
        <w:t>כותבין בו ואוסיפית לה על מאי דתקון רבנן הלכך לא אחילתיה לשעבודא קמא וכדקאי קאי</w:t>
      </w:r>
      <w:r>
        <w:rPr>
          <w:rFonts w:hint="cs"/>
          <w:rtl/>
        </w:rPr>
        <w:t>, רש"י.</w:t>
      </w:r>
    </w:p>
  </w:footnote>
  <w:footnote w:id="2465">
    <w:p w14:paraId="27611720" w14:textId="77777777" w:rsidR="00DF1FC7" w:rsidRDefault="00DF1FC7" w:rsidP="002E5BAD">
      <w:pPr>
        <w:pStyle w:val="a5"/>
      </w:pPr>
      <w:r>
        <w:rPr>
          <w:rStyle w:val="a7"/>
        </w:rPr>
        <w:footnoteRef/>
      </w:r>
      <w:r>
        <w:rPr>
          <w:rtl/>
        </w:rPr>
        <w:t xml:space="preserve"> </w:t>
      </w:r>
      <w:r w:rsidRPr="00814741">
        <w:rPr>
          <w:rFonts w:cs="Arial"/>
          <w:rtl/>
        </w:rPr>
        <w:t>אדרב הונא קאי דאמר אם באת לגבות מאתים כו'</w:t>
      </w:r>
      <w:r>
        <w:rPr>
          <w:rFonts w:cs="Arial" w:hint="cs"/>
          <w:rtl/>
        </w:rPr>
        <w:t>, רש"י.</w:t>
      </w:r>
    </w:p>
  </w:footnote>
  <w:footnote w:id="2466">
    <w:p w14:paraId="52C0F6CC" w14:textId="77777777" w:rsidR="00DF1FC7" w:rsidRDefault="00DF1FC7" w:rsidP="002E5BAD">
      <w:pPr>
        <w:pStyle w:val="a5"/>
        <w:rPr>
          <w:rtl/>
        </w:rPr>
      </w:pPr>
      <w:r>
        <w:rPr>
          <w:rStyle w:val="a7"/>
        </w:rPr>
        <w:footnoteRef/>
      </w:r>
      <w:r>
        <w:rPr>
          <w:rtl/>
        </w:rPr>
        <w:t xml:space="preserve"> </w:t>
      </w:r>
      <w:r w:rsidRPr="00F2712D">
        <w:rPr>
          <w:rFonts w:cs="Arial"/>
          <w:rtl/>
        </w:rPr>
        <w:t>כתובה בנשואין הראשונים וגירשה והחזירה ולא כתב לה כתובה וחזר וגירשה</w:t>
      </w:r>
      <w:r>
        <w:rPr>
          <w:rFonts w:hint="cs"/>
          <w:rtl/>
        </w:rPr>
        <w:t>, רש"י.</w:t>
      </w:r>
    </w:p>
  </w:footnote>
  <w:footnote w:id="2467">
    <w:p w14:paraId="4FC8D796" w14:textId="77777777" w:rsidR="00DF1FC7" w:rsidRDefault="00DF1FC7" w:rsidP="002E5BAD">
      <w:pPr>
        <w:pStyle w:val="a5"/>
      </w:pPr>
      <w:r>
        <w:rPr>
          <w:rStyle w:val="a7"/>
        </w:rPr>
        <w:footnoteRef/>
      </w:r>
      <w:r>
        <w:rPr>
          <w:rtl/>
        </w:rPr>
        <w:t xml:space="preserve"> </w:t>
      </w:r>
      <w:r w:rsidRPr="003D2914">
        <w:rPr>
          <w:rFonts w:cs="Arial"/>
          <w:rtl/>
        </w:rPr>
        <w:t>(כא) מצאתי בהגהות אלפסי (שלטי הגבורים כתובות מט. אות א) גר שנתגייר עם אשתו וכתב לה כתובה בגיותו על דעת כתובה הראשונה קיימה יש אומרים דוקא כשהיא היתה ישראלית כשנשאה אבל כתב כתובה לגויה ונתגיירה אינו כלום ויש אומרים להיפך דוקא כשהיתה גויה דלא היו הנישואין בעבירה אבל כתב לישראלית דהיו הנישואין בעבירה אין צריך לקיים כתובתו הראשונה עכ"ל. כתב הרשב"א בתשובה (ח"א) סימן תתקס"ב ראובן שכתב שיור לאשתו וגירשה ביום שנשאה והחזירה ומתה בלא ולד והוא אומר שכיון שגרשה נתבטלו התנאים הראשונים והיורשים טוענין שתנאו קיים שהרי תחלה התנה כל זמן שתמות היא בלא ולד קיימא, תשובה, חייב לקיים התנאים הראשונים דכל המגרש ומחזיר על דעת כתובה הראשונה מחזירה אף על גב דאמרינן דוקא כתובה ולא תוספת היינו דוקא מה שהוסיף לה מדיליה אבל מה שמשייר מנכסים על דעת תנאים הראשונים הכניסה, ועוד שלא על דעת קידושין דוקא התנה בתחלה אלא כל זמן שתמות בלא ולד קיימא, ועוד שזה מערים היה ושורת הדין לדון השקרנים והאלמים שלא מדין תורה וע"ש שהאריך וכבר כתבתי תשובה זו לעיל סימן צ"ב. כתב ב"י סימן צ"ו (עמ' ג דיבור ראשון) תשובת הרשב"א אלמנה שמחלה מאה זהובים מכתובתה כדי להנצל מעונש השבועה ואחר כך מצאו שהבעל מחל לה על כל מה שתפסה משלו מחילתה מחילה ולא שייך בזה מחילה בטעות, וכתב עוד (שם ד"ה וכתב עוד הרשב"א) בשם הרשב"א (ח"א סי' תתקעד וח"ה סי' צב) אם היתומים קטנים אם רוצים הבית דין בעצמם ליזקק בטובת היתומים ולהגבות הכתובה לאלמנה הרשות בידם ואין צריך אפוטרופוס דאין לך אפוטרופוס גדול מבית דין עצמו ופשוט הוא:</w:t>
      </w:r>
    </w:p>
  </w:footnote>
  <w:footnote w:id="2468">
    <w:p w14:paraId="67036969" w14:textId="77777777" w:rsidR="00DF1FC7" w:rsidRDefault="00DF1FC7" w:rsidP="002E5BAD">
      <w:pPr>
        <w:pStyle w:val="a5"/>
      </w:pPr>
      <w:r>
        <w:rPr>
          <w:rStyle w:val="a7"/>
        </w:rPr>
        <w:footnoteRef/>
      </w:r>
      <w:r>
        <w:rPr>
          <w:rtl/>
        </w:rPr>
        <w:t xml:space="preserve"> </w:t>
      </w:r>
      <w:r w:rsidRPr="00F2712D">
        <w:rPr>
          <w:rFonts w:cs="Arial"/>
          <w:rtl/>
        </w:rPr>
        <w:t>פ</w:t>
      </w:r>
      <w:r>
        <w:rPr>
          <w:rFonts w:cs="Arial" w:hint="cs"/>
          <w:rtl/>
        </w:rPr>
        <w:t>ירוש-</w:t>
      </w:r>
      <w:r w:rsidRPr="00F2712D">
        <w:rPr>
          <w:rFonts w:cs="Arial"/>
          <w:rtl/>
        </w:rPr>
        <w:t xml:space="preserve"> וזמן הכתובה קדם לגט ראשון</w:t>
      </w:r>
      <w:r>
        <w:rPr>
          <w:rFonts w:cs="Arial" w:hint="cs"/>
          <w:rtl/>
        </w:rPr>
        <w:t>.</w:t>
      </w:r>
      <w:r w:rsidRPr="00F2712D">
        <w:rPr>
          <w:rFonts w:cs="Arial"/>
          <w:rtl/>
        </w:rPr>
        <w:t xml:space="preserve"> אבל זמן הכתובה אחר גט ראשון</w:t>
      </w:r>
      <w:r>
        <w:rPr>
          <w:rFonts w:cs="Arial" w:hint="cs"/>
          <w:rtl/>
        </w:rPr>
        <w:t>,</w:t>
      </w:r>
      <w:r w:rsidRPr="00F2712D">
        <w:rPr>
          <w:rFonts w:cs="Arial"/>
          <w:rtl/>
        </w:rPr>
        <w:t xml:space="preserve"> והוא במקום שאין כותבין כתובה </w:t>
      </w:r>
      <w:r>
        <w:rPr>
          <w:rFonts w:cs="Arial" w:hint="cs"/>
          <w:rtl/>
        </w:rPr>
        <w:t xml:space="preserve">- </w:t>
      </w:r>
      <w:r w:rsidRPr="00F2712D">
        <w:rPr>
          <w:rFonts w:cs="Arial"/>
          <w:rtl/>
        </w:rPr>
        <w:t>גובה בגט כתובה ראשונה ובכתובה גובת השניה</w:t>
      </w:r>
      <w:r>
        <w:rPr>
          <w:rFonts w:cs="Arial" w:hint="cs"/>
          <w:rtl/>
        </w:rPr>
        <w:t>.</w:t>
      </w:r>
      <w:r w:rsidRPr="00F2712D">
        <w:rPr>
          <w:rFonts w:cs="Arial"/>
          <w:rtl/>
        </w:rPr>
        <w:t xml:space="preserve"> וכן הוא בב"ח וכמו שיתבאר בסעיף שאח"ז</w:t>
      </w:r>
      <w:r>
        <w:rPr>
          <w:rFonts w:cs="Arial" w:hint="cs"/>
          <w:rtl/>
        </w:rPr>
        <w:t>, ח"מ (סקמ"ג).</w:t>
      </w:r>
    </w:p>
  </w:footnote>
  <w:footnote w:id="2469">
    <w:p w14:paraId="08EFCBC5" w14:textId="77777777" w:rsidR="00DF1FC7" w:rsidRDefault="00DF1FC7" w:rsidP="002E5BAD">
      <w:pPr>
        <w:pStyle w:val="a5"/>
      </w:pPr>
      <w:r>
        <w:rPr>
          <w:rStyle w:val="a7"/>
        </w:rPr>
        <w:footnoteRef/>
      </w:r>
      <w:r>
        <w:rPr>
          <w:rtl/>
        </w:rPr>
        <w:t xml:space="preserve"> </w:t>
      </w:r>
      <w:r w:rsidRPr="00076C39">
        <w:rPr>
          <w:rFonts w:cs="Arial"/>
          <w:rtl/>
        </w:rPr>
        <w:t>ועדי מיתה ובאה לגבות שתי כתובות אחת בתורת גרושין ואחת בתורת אלמנות</w:t>
      </w:r>
      <w:r>
        <w:rPr>
          <w:rFonts w:cs="Arial" w:hint="cs"/>
          <w:rtl/>
        </w:rPr>
        <w:t>, רש"י.</w:t>
      </w:r>
    </w:p>
  </w:footnote>
  <w:footnote w:id="2470">
    <w:p w14:paraId="72690A3F" w14:textId="77777777" w:rsidR="00DF1FC7" w:rsidRDefault="00DF1FC7" w:rsidP="002E5BAD">
      <w:pPr>
        <w:pStyle w:val="a5"/>
      </w:pPr>
      <w:r>
        <w:rPr>
          <w:rStyle w:val="a7"/>
        </w:rPr>
        <w:footnoteRef/>
      </w:r>
      <w:r>
        <w:rPr>
          <w:rtl/>
        </w:rPr>
        <w:t xml:space="preserve"> </w:t>
      </w:r>
      <w:r w:rsidRPr="00076C39">
        <w:rPr>
          <w:rFonts w:cs="Arial"/>
          <w:rtl/>
        </w:rPr>
        <w:t>הרי כתב לה כתובה שנית כשהחזירה</w:t>
      </w:r>
      <w:r>
        <w:rPr>
          <w:rFonts w:cs="Arial" w:hint="cs"/>
          <w:rtl/>
        </w:rPr>
        <w:t>, רש"י.</w:t>
      </w:r>
    </w:p>
  </w:footnote>
  <w:footnote w:id="2471">
    <w:p w14:paraId="42BB103E" w14:textId="77777777" w:rsidR="00DF1FC7" w:rsidRDefault="00DF1FC7" w:rsidP="002E5BAD">
      <w:pPr>
        <w:pStyle w:val="a5"/>
      </w:pPr>
      <w:r>
        <w:rPr>
          <w:rStyle w:val="a7"/>
        </w:rPr>
        <w:footnoteRef/>
      </w:r>
      <w:r>
        <w:rPr>
          <w:rtl/>
        </w:rPr>
        <w:t xml:space="preserve"> </w:t>
      </w:r>
      <w:r>
        <w:rPr>
          <w:rFonts w:hint="cs"/>
          <w:rtl/>
        </w:rPr>
        <w:t xml:space="preserve">וז"ל- </w:t>
      </w:r>
      <w:r w:rsidRPr="00417EA4">
        <w:rPr>
          <w:rFonts w:cs="Arial"/>
          <w:rtl/>
        </w:rPr>
        <w:t>אלמנה שהיה שטר כתובה יוצא מתחת ידה נשבעת וגובה כתובתה לעולם אפילו אחר מאה שנה, בין שהיתה בבית בעלה בין שהיתה בבית אביה</w:t>
      </w:r>
      <w:r>
        <w:rPr>
          <w:rFonts w:cs="Arial" w:hint="cs"/>
          <w:rtl/>
        </w:rPr>
        <w:t>...</w:t>
      </w:r>
    </w:p>
  </w:footnote>
  <w:footnote w:id="2472">
    <w:p w14:paraId="1D6AF005" w14:textId="77777777" w:rsidR="00DF1FC7" w:rsidRDefault="00DF1FC7" w:rsidP="002E5BAD">
      <w:pPr>
        <w:pStyle w:val="a5"/>
      </w:pPr>
      <w:r>
        <w:rPr>
          <w:rStyle w:val="a7"/>
        </w:rPr>
        <w:footnoteRef/>
      </w:r>
      <w:r>
        <w:rPr>
          <w:rtl/>
        </w:rPr>
        <w:t xml:space="preserve"> </w:t>
      </w:r>
      <w:r w:rsidRPr="00417EA4">
        <w:rPr>
          <w:rFonts w:cs="Arial"/>
          <w:rtl/>
        </w:rPr>
        <w:t>לדעת ר"ת והמ' בשם הראב"ן והג"א ס"ל כל שנותנים לה מזונו' לא מחלה הכתובה לעולם ואין חילוק בין אם נתנו לה בבית אביה לבין אם נתנו לה בבית בעלה אלא הכל תליא במזונו</w:t>
      </w:r>
      <w:r>
        <w:rPr>
          <w:rFonts w:cs="Arial" w:hint="cs"/>
          <w:rtl/>
        </w:rPr>
        <w:t>ת</w:t>
      </w:r>
      <w:r w:rsidRPr="00417EA4">
        <w:rPr>
          <w:rFonts w:cs="Arial"/>
          <w:rtl/>
        </w:rPr>
        <w:t xml:space="preserve"> והא דמחלק הש"ס בין בית בעלה לבית אביה משום בבית בעלה מסתמא אית לה מזונו</w:t>
      </w:r>
      <w:r>
        <w:rPr>
          <w:rFonts w:cs="Arial" w:hint="cs"/>
          <w:rtl/>
        </w:rPr>
        <w:t>ת.</w:t>
      </w:r>
      <w:r w:rsidRPr="00417EA4">
        <w:rPr>
          <w:rtl/>
        </w:rPr>
        <w:t xml:space="preserve"> </w:t>
      </w:r>
      <w:r w:rsidRPr="00417EA4">
        <w:rPr>
          <w:rFonts w:cs="Arial"/>
          <w:rtl/>
        </w:rPr>
        <w:t>ולרמב"ם פי"ו והרא"ש והטור ס"ל אפילו אם נותנים לה מזונו' בבית אביה הפסידה הכתובה אם שתקה כ"ה שנים אא"כ כשמכבדים אותה</w:t>
      </w:r>
      <w:r>
        <w:rPr>
          <w:rFonts w:cs="Arial" w:hint="cs"/>
          <w:rtl/>
        </w:rPr>
        <w:t>.</w:t>
      </w:r>
      <w:r w:rsidRPr="00417EA4">
        <w:rPr>
          <w:rFonts w:cs="Arial"/>
          <w:rtl/>
        </w:rPr>
        <w:t xml:space="preserve"> ומשמע ברמב"ם דס"ל בבית בעלה אפי' לא נתנו לה מזונו' לא הפסידה ואמרי' דלא תבעה הכתובה מחמת כסופא</w:t>
      </w:r>
      <w:r>
        <w:rPr>
          <w:rFonts w:cs="Arial" w:hint="cs"/>
          <w:rtl/>
        </w:rPr>
        <w:t>, ב"ש (סק"ה).</w:t>
      </w:r>
    </w:p>
  </w:footnote>
  <w:footnote w:id="2473">
    <w:p w14:paraId="2A86ACF6" w14:textId="77777777" w:rsidR="00DF1FC7" w:rsidRDefault="00DF1FC7" w:rsidP="002E5BAD">
      <w:pPr>
        <w:pStyle w:val="a5"/>
        <w:rPr>
          <w:rtl/>
        </w:rPr>
      </w:pPr>
      <w:r>
        <w:rPr>
          <w:rStyle w:val="a7"/>
        </w:rPr>
        <w:footnoteRef/>
      </w:r>
      <w:r>
        <w:rPr>
          <w:rtl/>
        </w:rPr>
        <w:t xml:space="preserve"> </w:t>
      </w:r>
      <w:r w:rsidRPr="003A77B0">
        <w:rPr>
          <w:rFonts w:cs="Arial"/>
          <w:rtl/>
        </w:rPr>
        <w:t>שלא נתקבלה כלום</w:t>
      </w:r>
      <w:r>
        <w:rPr>
          <w:rFonts w:hint="cs"/>
          <w:rtl/>
        </w:rPr>
        <w:t>, רש"י.</w:t>
      </w:r>
    </w:p>
  </w:footnote>
  <w:footnote w:id="2474">
    <w:p w14:paraId="0BA6153D" w14:textId="77777777" w:rsidR="00DF1FC7" w:rsidRDefault="00DF1FC7" w:rsidP="002E5BAD">
      <w:pPr>
        <w:pStyle w:val="a5"/>
        <w:rPr>
          <w:rtl/>
        </w:rPr>
      </w:pPr>
      <w:r>
        <w:rPr>
          <w:rStyle w:val="a7"/>
        </w:rPr>
        <w:footnoteRef/>
      </w:r>
      <w:r>
        <w:rPr>
          <w:rtl/>
        </w:rPr>
        <w:t xml:space="preserve"> </w:t>
      </w:r>
      <w:r w:rsidRPr="00A10132">
        <w:rPr>
          <w:rFonts w:cs="Arial"/>
          <w:rtl/>
        </w:rPr>
        <w:t>והיתה מפסדת כתובתה</w:t>
      </w:r>
      <w:r>
        <w:rPr>
          <w:rFonts w:cs="Arial" w:hint="cs"/>
          <w:rtl/>
        </w:rPr>
        <w:t>,</w:t>
      </w:r>
      <w:r w:rsidRPr="00844E4C">
        <w:rPr>
          <w:rFonts w:cs="Arial"/>
          <w:rtl/>
        </w:rPr>
        <w:t xml:space="preserve"> </w:t>
      </w:r>
      <w:r w:rsidRPr="00A10132">
        <w:rPr>
          <w:rFonts w:cs="Arial"/>
          <w:rtl/>
        </w:rPr>
        <w:t xml:space="preserve">ובגמרא מפרש </w:t>
      </w:r>
      <w:r>
        <w:rPr>
          <w:rFonts w:cs="Arial" w:hint="cs"/>
          <w:rtl/>
        </w:rPr>
        <w:t xml:space="preserve">מאי </w:t>
      </w:r>
      <w:r w:rsidRPr="00A10132">
        <w:rPr>
          <w:rFonts w:cs="Arial"/>
          <w:rtl/>
        </w:rPr>
        <w:t>טעמא</w:t>
      </w:r>
      <w:r>
        <w:rPr>
          <w:rFonts w:cs="Arial" w:hint="cs"/>
          <w:rtl/>
        </w:rPr>
        <w:t>, רש"י.</w:t>
      </w:r>
      <w:r w:rsidRPr="00A10132">
        <w:rPr>
          <w:rFonts w:cs="Arial"/>
          <w:rtl/>
        </w:rPr>
        <w:t xml:space="preserve"> ובגמרא מפרש טעמא </w:t>
      </w:r>
      <w:r w:rsidRPr="003A77B0">
        <w:rPr>
          <w:rFonts w:cs="Arial"/>
          <w:rtl/>
        </w:rPr>
        <w:t>דבההיא הנאה דקא טרחה קמי דיתמי אתיא לאורויי היתרא</w:t>
      </w:r>
      <w:r>
        <w:rPr>
          <w:rFonts w:cs="Arial" w:hint="cs"/>
          <w:rtl/>
        </w:rPr>
        <w:t>, ונשבעת שלא קיבלה כלום אך בפועל לקחה ולאו אדעתה.</w:t>
      </w:r>
    </w:p>
  </w:footnote>
  <w:footnote w:id="2475">
    <w:p w14:paraId="7D897DA7" w14:textId="77777777" w:rsidR="00DF1FC7" w:rsidRDefault="00DF1FC7" w:rsidP="002E5BAD">
      <w:pPr>
        <w:pStyle w:val="a5"/>
        <w:rPr>
          <w:rtl/>
        </w:rPr>
      </w:pPr>
      <w:r>
        <w:rPr>
          <w:rStyle w:val="a7"/>
        </w:rPr>
        <w:footnoteRef/>
      </w:r>
      <w:r>
        <w:rPr>
          <w:rtl/>
        </w:rPr>
        <w:t xml:space="preserve"> </w:t>
      </w:r>
      <w:r w:rsidRPr="00A10132">
        <w:rPr>
          <w:rFonts w:cs="Arial"/>
          <w:rtl/>
        </w:rPr>
        <w:t>יבחרו להם דבר קשה להדירה בו כגון קונם מיני מזונות עלי אם נהניתי מכתובתי</w:t>
      </w:r>
      <w:r>
        <w:rPr>
          <w:rFonts w:hint="cs"/>
          <w:rtl/>
        </w:rPr>
        <w:t>, רש"י.</w:t>
      </w:r>
    </w:p>
  </w:footnote>
  <w:footnote w:id="2476">
    <w:p w14:paraId="1EA66E39" w14:textId="77777777" w:rsidR="00DF1FC7" w:rsidRDefault="00DF1FC7" w:rsidP="002E5BAD">
      <w:pPr>
        <w:pStyle w:val="a5"/>
        <w:rPr>
          <w:rtl/>
        </w:rPr>
      </w:pPr>
      <w:r>
        <w:rPr>
          <w:rStyle w:val="a7"/>
        </w:rPr>
        <w:footnoteRef/>
      </w:r>
      <w:r>
        <w:rPr>
          <w:rtl/>
        </w:rPr>
        <w:t xml:space="preserve"> </w:t>
      </w:r>
      <w:r w:rsidRPr="00B97831">
        <w:rPr>
          <w:rFonts w:cs="Arial"/>
          <w:rtl/>
        </w:rPr>
        <w:t>דטעמא דנזקקין לכתובה</w:t>
      </w:r>
      <w:r>
        <w:rPr>
          <w:rFonts w:cs="Arial" w:hint="cs"/>
          <w:rtl/>
        </w:rPr>
        <w:t>,</w:t>
      </w:r>
      <w:r w:rsidRPr="00B97831">
        <w:rPr>
          <w:rFonts w:cs="Arial"/>
          <w:rtl/>
        </w:rPr>
        <w:t xml:space="preserve"> משום חינא שיהא לה נדוניא להנשא</w:t>
      </w:r>
      <w:r>
        <w:rPr>
          <w:rFonts w:cs="Arial" w:hint="cs"/>
          <w:rtl/>
        </w:rPr>
        <w:t>,</w:t>
      </w:r>
      <w:r w:rsidRPr="00B97831">
        <w:rPr>
          <w:rFonts w:cs="Arial"/>
          <w:rtl/>
        </w:rPr>
        <w:t xml:space="preserve"> ואם כבר נשאת שוב אין נזקקין</w:t>
      </w:r>
      <w:r>
        <w:rPr>
          <w:rFonts w:cs="Arial" w:hint="cs"/>
          <w:rtl/>
        </w:rPr>
        <w:t>.</w:t>
      </w:r>
      <w:r w:rsidRPr="00B97831">
        <w:rPr>
          <w:rFonts w:cs="Arial"/>
          <w:rtl/>
        </w:rPr>
        <w:t xml:space="preserve"> וכתב ב"י סימן צ"ו</w:t>
      </w:r>
      <w:r w:rsidRPr="00A4756C">
        <w:rPr>
          <w:rFonts w:cs="Arial"/>
          <w:sz w:val="16"/>
          <w:szCs w:val="16"/>
          <w:rtl/>
        </w:rPr>
        <w:t xml:space="preserve"> (עמ' ב טור א ד"ה ורש"י) </w:t>
      </w:r>
      <w:r w:rsidRPr="00B97831">
        <w:rPr>
          <w:rFonts w:cs="Arial"/>
          <w:rtl/>
        </w:rPr>
        <w:t xml:space="preserve">דהכי נקטינן כי התוספות פירשו </w:t>
      </w:r>
      <w:r w:rsidRPr="00A4756C">
        <w:rPr>
          <w:rFonts w:cs="Arial" w:hint="cs"/>
          <w:sz w:val="16"/>
          <w:szCs w:val="16"/>
          <w:rtl/>
        </w:rPr>
        <w:t>(</w:t>
      </w:r>
      <w:r w:rsidRPr="00A4756C">
        <w:rPr>
          <w:rFonts w:cs="Arial"/>
          <w:sz w:val="16"/>
          <w:szCs w:val="16"/>
          <w:rtl/>
        </w:rPr>
        <w:t xml:space="preserve">פרק הכותב </w:t>
      </w:r>
      <w:r w:rsidRPr="00A4756C">
        <w:rPr>
          <w:rFonts w:cs="Arial" w:hint="cs"/>
          <w:sz w:val="16"/>
          <w:szCs w:val="16"/>
          <w:rtl/>
        </w:rPr>
        <w:t>[</w:t>
      </w:r>
      <w:r w:rsidRPr="00A4756C">
        <w:rPr>
          <w:rFonts w:cs="Arial"/>
          <w:sz w:val="16"/>
          <w:szCs w:val="16"/>
          <w:rtl/>
        </w:rPr>
        <w:t>פד. ד"ה לכתובת</w:t>
      </w:r>
      <w:r w:rsidRPr="00A4756C">
        <w:rPr>
          <w:rFonts w:cs="Arial" w:hint="cs"/>
          <w:sz w:val="16"/>
          <w:szCs w:val="16"/>
          <w:rtl/>
        </w:rPr>
        <w:t>]</w:t>
      </w:r>
      <w:r w:rsidRPr="00A4756C">
        <w:rPr>
          <w:rFonts w:cs="Arial"/>
          <w:sz w:val="16"/>
          <w:szCs w:val="16"/>
          <w:rtl/>
        </w:rPr>
        <w:t xml:space="preserve"> ופרק שום היתומים</w:t>
      </w:r>
      <w:r w:rsidRPr="00A4756C">
        <w:rPr>
          <w:rFonts w:cs="Arial" w:hint="cs"/>
          <w:sz w:val="16"/>
          <w:szCs w:val="16"/>
          <w:rtl/>
        </w:rPr>
        <w:t>)</w:t>
      </w:r>
      <w:r w:rsidRPr="00B97831">
        <w:rPr>
          <w:rFonts w:cs="Arial"/>
          <w:rtl/>
        </w:rPr>
        <w:t xml:space="preserve"> בשם ר"ח והערוך </w:t>
      </w:r>
      <w:r w:rsidRPr="00A4756C">
        <w:rPr>
          <w:rFonts w:cs="Arial"/>
          <w:sz w:val="16"/>
          <w:szCs w:val="16"/>
          <w:rtl/>
        </w:rPr>
        <w:t xml:space="preserve">(ערך חן) </w:t>
      </w:r>
      <w:r w:rsidRPr="00B97831">
        <w:rPr>
          <w:rFonts w:cs="Arial"/>
          <w:rtl/>
        </w:rPr>
        <w:t>כדברי הרמב"ם</w:t>
      </w:r>
      <w:r>
        <w:rPr>
          <w:rFonts w:cs="Arial" w:hint="cs"/>
          <w:rtl/>
        </w:rPr>
        <w:t>.</w:t>
      </w:r>
      <w:r w:rsidRPr="00B97831">
        <w:rPr>
          <w:rFonts w:cs="Arial"/>
          <w:rtl/>
        </w:rPr>
        <w:t xml:space="preserve"> ואע</w:t>
      </w:r>
      <w:r>
        <w:rPr>
          <w:rFonts w:cs="Arial" w:hint="cs"/>
          <w:rtl/>
        </w:rPr>
        <w:t>"</w:t>
      </w:r>
      <w:r w:rsidRPr="00B97831">
        <w:rPr>
          <w:rFonts w:cs="Arial"/>
          <w:rtl/>
        </w:rPr>
        <w:t>ג דרש"י פירש שם (כתובות פד. ודף צז:</w:t>
      </w:r>
      <w:r>
        <w:rPr>
          <w:rFonts w:cs="Arial" w:hint="cs"/>
          <w:rtl/>
        </w:rPr>
        <w:t>,</w:t>
      </w:r>
      <w:r w:rsidRPr="00B97831">
        <w:rPr>
          <w:rFonts w:cs="Arial"/>
          <w:rtl/>
        </w:rPr>
        <w:t xml:space="preserve"> ערכין כב. ד"ה משום חינא) בענין אחר</w:t>
      </w:r>
      <w:r>
        <w:rPr>
          <w:rFonts w:cs="Arial" w:hint="cs"/>
          <w:rtl/>
        </w:rPr>
        <w:t>.</w:t>
      </w:r>
      <w:r w:rsidRPr="00B97831">
        <w:rPr>
          <w:rFonts w:cs="Arial"/>
          <w:rtl/>
        </w:rPr>
        <w:t xml:space="preserve"> מיהו בתשובת הרא"ש </w:t>
      </w:r>
      <w:r w:rsidRPr="00A4756C">
        <w:rPr>
          <w:rFonts w:cs="Arial" w:hint="cs"/>
          <w:sz w:val="16"/>
          <w:szCs w:val="16"/>
          <w:rtl/>
        </w:rPr>
        <w:t>(</w:t>
      </w:r>
      <w:r w:rsidRPr="00A4756C">
        <w:rPr>
          <w:rFonts w:cs="Arial"/>
          <w:sz w:val="16"/>
          <w:szCs w:val="16"/>
          <w:rtl/>
        </w:rPr>
        <w:t>סי</w:t>
      </w:r>
      <w:r w:rsidRPr="00A4756C">
        <w:rPr>
          <w:rFonts w:cs="Arial" w:hint="cs"/>
          <w:sz w:val="16"/>
          <w:szCs w:val="16"/>
          <w:rtl/>
        </w:rPr>
        <w:t>'</w:t>
      </w:r>
      <w:r w:rsidRPr="00A4756C">
        <w:rPr>
          <w:rFonts w:cs="Arial"/>
          <w:sz w:val="16"/>
          <w:szCs w:val="16"/>
          <w:rtl/>
        </w:rPr>
        <w:t xml:space="preserve"> א כלל פה</w:t>
      </w:r>
      <w:r w:rsidRPr="00A4756C">
        <w:rPr>
          <w:rFonts w:cs="Arial" w:hint="cs"/>
          <w:sz w:val="16"/>
          <w:szCs w:val="16"/>
          <w:rtl/>
        </w:rPr>
        <w:t>)</w:t>
      </w:r>
      <w:r w:rsidRPr="00A4756C">
        <w:rPr>
          <w:rFonts w:cs="Arial"/>
          <w:sz w:val="16"/>
          <w:szCs w:val="16"/>
          <w:rtl/>
        </w:rPr>
        <w:t xml:space="preserve"> </w:t>
      </w:r>
      <w:r w:rsidRPr="00B97831">
        <w:rPr>
          <w:rFonts w:cs="Arial"/>
          <w:rtl/>
        </w:rPr>
        <w:t>כתב דבזמן הזה לא חיישינן לצררי ומגבין לה אפילו לדעת הרמב"ם אף משנשאת וע"ש</w:t>
      </w:r>
      <w:r>
        <w:rPr>
          <w:rFonts w:cs="Arial" w:hint="cs"/>
          <w:sz w:val="16"/>
          <w:szCs w:val="16"/>
          <w:rtl/>
        </w:rPr>
        <w:t xml:space="preserve"> {צל"ע שהח"מ [סק"ב] כתב אחרת וז"ל- </w:t>
      </w:r>
      <w:r w:rsidRPr="00A4756C">
        <w:rPr>
          <w:rFonts w:cs="Arial"/>
          <w:sz w:val="16"/>
          <w:szCs w:val="16"/>
          <w:rtl/>
        </w:rPr>
        <w:t>ועיין בתשובת הרא"ש כלל פ"ה סי' א' היכא דמת פתאום דלא חיישי' צררי מודה הרמב"ם דגובין מיתומים קטנים אפילו נשאת</w:t>
      </w:r>
      <w:r>
        <w:rPr>
          <w:rFonts w:cs="Arial" w:hint="cs"/>
          <w:sz w:val="16"/>
          <w:szCs w:val="16"/>
          <w:rtl/>
        </w:rPr>
        <w:t>}</w:t>
      </w:r>
      <w:r>
        <w:rPr>
          <w:rFonts w:hint="cs"/>
          <w:rtl/>
        </w:rPr>
        <w:t>.</w:t>
      </w:r>
      <w:r w:rsidRPr="00EE72ED">
        <w:rPr>
          <w:rFonts w:cs="Arial"/>
          <w:rtl/>
        </w:rPr>
        <w:t xml:space="preserve"> </w:t>
      </w:r>
      <w:r>
        <w:rPr>
          <w:rFonts w:cs="Arial" w:hint="cs"/>
          <w:rtl/>
        </w:rPr>
        <w:t>ו</w:t>
      </w:r>
      <w:r w:rsidRPr="00B97831">
        <w:rPr>
          <w:rFonts w:cs="Arial"/>
          <w:rtl/>
        </w:rPr>
        <w:t xml:space="preserve">כתב ב"י עוד בסימן צ"ו </w:t>
      </w:r>
      <w:r w:rsidRPr="00A4756C">
        <w:rPr>
          <w:rFonts w:cs="Arial"/>
          <w:sz w:val="16"/>
          <w:szCs w:val="16"/>
          <w:rtl/>
        </w:rPr>
        <w:t>(שם</w:t>
      </w:r>
      <w:r w:rsidRPr="00A4756C">
        <w:rPr>
          <w:rFonts w:cs="Arial" w:hint="cs"/>
          <w:sz w:val="16"/>
          <w:szCs w:val="16"/>
          <w:rtl/>
        </w:rPr>
        <w:t>, בשם הרשב"א, הביאו הח"מ [סק"א] כאן</w:t>
      </w:r>
      <w:r w:rsidRPr="00A4756C">
        <w:rPr>
          <w:rFonts w:cs="Arial"/>
          <w:sz w:val="16"/>
          <w:szCs w:val="16"/>
          <w:rtl/>
        </w:rPr>
        <w:t>)</w:t>
      </w:r>
      <w:r w:rsidRPr="00B97831">
        <w:rPr>
          <w:rFonts w:cs="Arial"/>
          <w:rtl/>
        </w:rPr>
        <w:t xml:space="preserve"> ומיהו כל זמן שלא נשאת מגבין אותה אפילו היא זקנה שאינה ראויה להנשא.</w:t>
      </w:r>
      <w:r w:rsidRPr="0040053F">
        <w:rPr>
          <w:rFonts w:cs="Arial"/>
          <w:rtl/>
        </w:rPr>
        <w:t xml:space="preserve"> </w:t>
      </w:r>
      <w:r w:rsidRPr="00B97831">
        <w:rPr>
          <w:rFonts w:cs="Arial"/>
          <w:rtl/>
        </w:rPr>
        <w:t xml:space="preserve">ומצאתי כתוב פרק אלמנה נזונת </w:t>
      </w:r>
      <w:r w:rsidRPr="00A4756C">
        <w:rPr>
          <w:rFonts w:cs="Arial"/>
          <w:sz w:val="16"/>
          <w:szCs w:val="16"/>
          <w:rtl/>
        </w:rPr>
        <w:t>(שלטי הגבורים נט. דיבור ראשון)</w:t>
      </w:r>
      <w:r w:rsidRPr="00B97831">
        <w:rPr>
          <w:rFonts w:cs="Arial"/>
          <w:rtl/>
        </w:rPr>
        <w:t xml:space="preserve"> דאם נשאת על מנת שתתן לו הכתובה נזקקין לה דהא בזה נמי הוי משום חינא שאם לא יפרעו לה יגרשנה בעלה ואין לך חן גדול מזה עכ"ל, ובתשובות מיימוני סוף ספר נשים</w:t>
      </w:r>
      <w:r>
        <w:rPr>
          <w:rFonts w:cs="Arial" w:hint="cs"/>
          <w:rtl/>
        </w:rPr>
        <w:t xml:space="preserve"> </w:t>
      </w:r>
      <w:r w:rsidRPr="00A4756C">
        <w:rPr>
          <w:rFonts w:cs="Arial"/>
          <w:sz w:val="16"/>
          <w:szCs w:val="16"/>
          <w:rtl/>
        </w:rPr>
        <w:t xml:space="preserve">(סי' ה) </w:t>
      </w:r>
      <w:r w:rsidRPr="00B97831">
        <w:rPr>
          <w:rFonts w:cs="Arial"/>
          <w:rtl/>
        </w:rPr>
        <w:t>דאפילו משנשאת גובה כתובתה וטורפת אפילו ממשעבדי</w:t>
      </w:r>
      <w:r>
        <w:rPr>
          <w:rFonts w:cs="Arial" w:hint="cs"/>
          <w:rtl/>
        </w:rPr>
        <w:t>.</w:t>
      </w:r>
      <w:r w:rsidRPr="00B97831">
        <w:rPr>
          <w:rFonts w:cs="Arial"/>
          <w:rtl/>
        </w:rPr>
        <w:t xml:space="preserve"> וע"ש שהאריך בזה</w:t>
      </w:r>
      <w:r>
        <w:rPr>
          <w:rFonts w:cs="Arial" w:hint="cs"/>
          <w:rtl/>
        </w:rPr>
        <w:t>.</w:t>
      </w:r>
      <w:r w:rsidRPr="00B97831">
        <w:rPr>
          <w:rFonts w:cs="Arial"/>
          <w:rtl/>
        </w:rPr>
        <w:t xml:space="preserve"> וע"ל סוף סימן צ"ו כיצד נשבעת משנשאת</w:t>
      </w:r>
      <w:r>
        <w:rPr>
          <w:rFonts w:cs="Arial" w:hint="cs"/>
          <w:rtl/>
        </w:rPr>
        <w:t>,</w:t>
      </w:r>
      <w:r>
        <w:rPr>
          <w:rFonts w:hint="cs"/>
          <w:rtl/>
        </w:rPr>
        <w:t xml:space="preserve"> דרכ"מ (אות א).</w:t>
      </w:r>
    </w:p>
  </w:footnote>
  <w:footnote w:id="2477">
    <w:p w14:paraId="71DF529A" w14:textId="77777777" w:rsidR="00DF1FC7" w:rsidRDefault="00DF1FC7" w:rsidP="002E5BAD">
      <w:pPr>
        <w:pStyle w:val="a5"/>
      </w:pPr>
      <w:r>
        <w:rPr>
          <w:rStyle w:val="a7"/>
        </w:rPr>
        <w:footnoteRef/>
      </w:r>
      <w:r>
        <w:rPr>
          <w:rtl/>
        </w:rPr>
        <w:t xml:space="preserve"> </w:t>
      </w:r>
      <w:r w:rsidRPr="009D72AE">
        <w:rPr>
          <w:rFonts w:cs="Arial"/>
          <w:rtl/>
        </w:rPr>
        <w:t>שאין שביעית משמטת כתובה כשאר שטרות אא</w:t>
      </w:r>
      <w:r>
        <w:rPr>
          <w:rFonts w:cs="Arial" w:hint="cs"/>
          <w:rtl/>
        </w:rPr>
        <w:t>"</w:t>
      </w:r>
      <w:r w:rsidRPr="009D72AE">
        <w:rPr>
          <w:rFonts w:cs="Arial"/>
          <w:rtl/>
        </w:rPr>
        <w:t>כ פגמה וזקפה כדאמרינן במסכת גיטין (יח</w:t>
      </w:r>
      <w:r>
        <w:rPr>
          <w:rFonts w:cs="Arial" w:hint="cs"/>
          <w:rtl/>
        </w:rPr>
        <w:t>.</w:t>
      </w:r>
      <w:r w:rsidRPr="009D72AE">
        <w:rPr>
          <w:rFonts w:cs="Arial"/>
          <w:rtl/>
        </w:rPr>
        <w:t>)</w:t>
      </w:r>
      <w:r>
        <w:rPr>
          <w:rFonts w:cs="Arial" w:hint="cs"/>
          <w:rtl/>
        </w:rPr>
        <w:t>,</w:t>
      </w:r>
      <w:r w:rsidRPr="009D72AE">
        <w:rPr>
          <w:rFonts w:cs="Arial"/>
          <w:rtl/>
        </w:rPr>
        <w:t xml:space="preserve"> ותוספת נמי לא משמט</w:t>
      </w:r>
      <w:r>
        <w:rPr>
          <w:rFonts w:cs="Arial" w:hint="cs"/>
          <w:rtl/>
        </w:rPr>
        <w:t>, רש"י.</w:t>
      </w:r>
    </w:p>
  </w:footnote>
  <w:footnote w:id="2478">
    <w:p w14:paraId="1F70CC3E" w14:textId="77777777" w:rsidR="00DF1FC7" w:rsidRDefault="00DF1FC7" w:rsidP="002E5BAD">
      <w:pPr>
        <w:pStyle w:val="a5"/>
      </w:pPr>
      <w:r>
        <w:rPr>
          <w:rStyle w:val="a7"/>
        </w:rPr>
        <w:footnoteRef/>
      </w:r>
      <w:r>
        <w:rPr>
          <w:rtl/>
        </w:rPr>
        <w:t xml:space="preserve"> </w:t>
      </w:r>
      <w:r w:rsidRPr="009D72AE">
        <w:rPr>
          <w:rFonts w:cs="Arial"/>
          <w:rtl/>
        </w:rPr>
        <w:t>שתפרע קצת דגלי דעתה דעומדת ליגוש וליפרע</w:t>
      </w:r>
      <w:r>
        <w:rPr>
          <w:rFonts w:cs="Arial" w:hint="cs"/>
          <w:rtl/>
        </w:rPr>
        <w:t>, רש"י.</w:t>
      </w:r>
    </w:p>
  </w:footnote>
  <w:footnote w:id="2479">
    <w:p w14:paraId="45582863" w14:textId="77777777" w:rsidR="00DF1FC7" w:rsidRDefault="00DF1FC7" w:rsidP="002E5BAD">
      <w:pPr>
        <w:pStyle w:val="a5"/>
      </w:pPr>
      <w:r>
        <w:rPr>
          <w:rStyle w:val="a7"/>
        </w:rPr>
        <w:footnoteRef/>
      </w:r>
      <w:r>
        <w:rPr>
          <w:rtl/>
        </w:rPr>
        <w:t xml:space="preserve"> </w:t>
      </w:r>
      <w:r w:rsidRPr="009D72AE">
        <w:rPr>
          <w:rFonts w:cs="Arial"/>
          <w:rtl/>
        </w:rPr>
        <w:t>עליו המותר במלוה דנפקא לה משום כתובה ומעשה ב"ד שאינו משמט וחל עלה שם שטר חוב</w:t>
      </w:r>
      <w:r>
        <w:rPr>
          <w:rFonts w:cs="Arial" w:hint="cs"/>
          <w:rtl/>
        </w:rPr>
        <w:t>, רש"י.</w:t>
      </w:r>
      <w:r w:rsidRPr="00BA605F">
        <w:rPr>
          <w:rtl/>
        </w:rPr>
        <w:t xml:space="preserve"> </w:t>
      </w:r>
      <w:r w:rsidRPr="00BA605F">
        <w:rPr>
          <w:rFonts w:cs="Arial"/>
          <w:rtl/>
        </w:rPr>
        <w:t>ומאימתי אתה קורא אותם נזקפים במלוה משעת העמדה בדין</w:t>
      </w:r>
      <w:r>
        <w:rPr>
          <w:rFonts w:hint="cs"/>
          <w:rtl/>
        </w:rPr>
        <w:t>, מאירי (יח. ד"ה הכתובה).</w:t>
      </w:r>
    </w:p>
  </w:footnote>
  <w:footnote w:id="2480">
    <w:p w14:paraId="62122AD7" w14:textId="77777777" w:rsidR="00DF1FC7" w:rsidRDefault="00DF1FC7" w:rsidP="002E5BAD">
      <w:pPr>
        <w:pStyle w:val="a5"/>
      </w:pPr>
      <w:r>
        <w:rPr>
          <w:rStyle w:val="a7"/>
        </w:rPr>
        <w:footnoteRef/>
      </w:r>
      <w:r>
        <w:rPr>
          <w:rtl/>
        </w:rPr>
        <w:t xml:space="preserve"> </w:t>
      </w:r>
      <w:r w:rsidRPr="00957DBB">
        <w:rPr>
          <w:rFonts w:cs="Arial"/>
          <w:rtl/>
        </w:rPr>
        <w:t>כיון דגלי דעתיה בפרעון קרינא ביה לא יגוש</w:t>
      </w:r>
      <w:r>
        <w:rPr>
          <w:rFonts w:cs="Arial" w:hint="cs"/>
          <w:rtl/>
        </w:rPr>
        <w:t>, רש"י.</w:t>
      </w:r>
    </w:p>
  </w:footnote>
  <w:footnote w:id="2481">
    <w:p w14:paraId="6E0261E1" w14:textId="77777777" w:rsidR="00DF1FC7" w:rsidRDefault="00DF1FC7" w:rsidP="002E5BAD">
      <w:pPr>
        <w:pStyle w:val="a5"/>
      </w:pPr>
      <w:r>
        <w:rPr>
          <w:rStyle w:val="a7"/>
        </w:rPr>
        <w:footnoteRef/>
      </w:r>
      <w:r>
        <w:rPr>
          <w:rtl/>
        </w:rPr>
        <w:t xml:space="preserve"> </w:t>
      </w:r>
      <w:r w:rsidRPr="00957DBB">
        <w:rPr>
          <w:rFonts w:cs="Arial"/>
          <w:rtl/>
        </w:rPr>
        <w:t>במלוה</w:t>
      </w:r>
      <w:r>
        <w:rPr>
          <w:rFonts w:cs="Arial" w:hint="cs"/>
          <w:rtl/>
        </w:rPr>
        <w:t>, רש"י.</w:t>
      </w:r>
    </w:p>
  </w:footnote>
  <w:footnote w:id="2482">
    <w:p w14:paraId="6C71E487" w14:textId="77777777" w:rsidR="00DF1FC7" w:rsidRDefault="00DF1FC7" w:rsidP="002E5BAD">
      <w:pPr>
        <w:pStyle w:val="a5"/>
        <w:rPr>
          <w:rtl/>
        </w:rPr>
      </w:pPr>
      <w:r>
        <w:rPr>
          <w:rStyle w:val="a7"/>
        </w:rPr>
        <w:footnoteRef/>
      </w:r>
      <w:r>
        <w:rPr>
          <w:rtl/>
        </w:rPr>
        <w:t xml:space="preserve"> </w:t>
      </w:r>
      <w:r>
        <w:rPr>
          <w:rFonts w:cs="Arial" w:hint="cs"/>
          <w:rtl/>
        </w:rPr>
        <w:t xml:space="preserve">וז"ל- </w:t>
      </w:r>
      <w:r>
        <w:rPr>
          <w:rFonts w:cs="Arial"/>
          <w:rtl/>
        </w:rPr>
        <w:t>והרי"ף</w:t>
      </w:r>
      <w:r>
        <w:rPr>
          <w:rFonts w:cs="Arial" w:hint="cs"/>
          <w:rtl/>
        </w:rPr>
        <w:t>,</w:t>
      </w:r>
      <w:r>
        <w:rPr>
          <w:rFonts w:cs="Arial"/>
          <w:rtl/>
        </w:rPr>
        <w:t xml:space="preserve"> אע</w:t>
      </w:r>
      <w:r>
        <w:rPr>
          <w:rFonts w:cs="Arial" w:hint="cs"/>
          <w:rtl/>
        </w:rPr>
        <w:t>"</w:t>
      </w:r>
      <w:r>
        <w:rPr>
          <w:rFonts w:cs="Arial"/>
          <w:rtl/>
        </w:rPr>
        <w:t xml:space="preserve">פ שכתב בר"פ אף על פי (כב.) </w:t>
      </w:r>
      <w:r>
        <w:rPr>
          <w:rFonts w:cs="Arial" w:hint="cs"/>
          <w:rtl/>
        </w:rPr>
        <w:t>"</w:t>
      </w:r>
      <w:r>
        <w:rPr>
          <w:rFonts w:cs="Arial"/>
          <w:rtl/>
        </w:rPr>
        <w:t>לשביעית</w:t>
      </w:r>
      <w:r>
        <w:rPr>
          <w:rFonts w:cs="Arial" w:hint="cs"/>
          <w:rtl/>
        </w:rPr>
        <w:t>,</w:t>
      </w:r>
      <w:r>
        <w:rPr>
          <w:rFonts w:cs="Arial"/>
          <w:rtl/>
        </w:rPr>
        <w:t xml:space="preserve"> שאם פגמה וזקפה משמטת הכל כתובה ותוספת</w:t>
      </w:r>
      <w:r>
        <w:rPr>
          <w:rFonts w:cs="Arial" w:hint="cs"/>
          <w:rtl/>
        </w:rPr>
        <w:t>" -</w:t>
      </w:r>
      <w:r>
        <w:rPr>
          <w:rFonts w:cs="Arial"/>
          <w:rtl/>
        </w:rPr>
        <w:t xml:space="preserve"> לאו משום דליבעי פגימה וזקיפה כרב</w:t>
      </w:r>
      <w:r>
        <w:rPr>
          <w:rFonts w:cs="Arial" w:hint="cs"/>
          <w:rtl/>
        </w:rPr>
        <w:t>.</w:t>
      </w:r>
      <w:r>
        <w:rPr>
          <w:rFonts w:cs="Arial"/>
          <w:rtl/>
        </w:rPr>
        <w:t xml:space="preserve"> דהא ודאי הלכה כשמואל בדיני</w:t>
      </w:r>
      <w:r>
        <w:rPr>
          <w:rFonts w:cs="Arial" w:hint="cs"/>
          <w:rtl/>
        </w:rPr>
        <w:t>.</w:t>
      </w:r>
      <w:r>
        <w:rPr>
          <w:rFonts w:cs="Arial"/>
          <w:rtl/>
        </w:rPr>
        <w:t xml:space="preserve"> אלא לדוגמא בעלמא נקטיה</w:t>
      </w:r>
      <w:r>
        <w:rPr>
          <w:rFonts w:cs="Arial" w:hint="cs"/>
          <w:rtl/>
        </w:rPr>
        <w:t>,</w:t>
      </w:r>
      <w:r>
        <w:rPr>
          <w:rFonts w:cs="Arial"/>
          <w:rtl/>
        </w:rPr>
        <w:t xml:space="preserve"> לומר דלענין פגימה וזקיפה הוא דנפקא מינה</w:t>
      </w:r>
      <w:r>
        <w:rPr>
          <w:rFonts w:cs="Arial" w:hint="cs"/>
          <w:rtl/>
        </w:rPr>
        <w:t>,</w:t>
      </w:r>
      <w:r>
        <w:rPr>
          <w:rFonts w:cs="Arial"/>
          <w:rtl/>
        </w:rPr>
        <w:t xml:space="preserve"> ולא ללמד</w:t>
      </w:r>
      <w:r>
        <w:rPr>
          <w:rFonts w:cs="Arial" w:hint="cs"/>
          <w:rtl/>
        </w:rPr>
        <w:t>.</w:t>
      </w:r>
      <w:r>
        <w:rPr>
          <w:rFonts w:cs="Arial"/>
          <w:rtl/>
        </w:rPr>
        <w:t xml:space="preserve"> דכשם שאין שביעית משמטת עיקר כתובה מפני שהוא תנאי ב"ד כל שלא פגמה או זקפה</w:t>
      </w:r>
      <w:r>
        <w:rPr>
          <w:rFonts w:cs="Arial" w:hint="cs"/>
          <w:rtl/>
        </w:rPr>
        <w:t>,</w:t>
      </w:r>
      <w:r>
        <w:rPr>
          <w:rFonts w:cs="Arial"/>
          <w:rtl/>
        </w:rPr>
        <w:t xml:space="preserve"> הוא הדין לתוספת</w:t>
      </w:r>
      <w:r>
        <w:rPr>
          <w:rFonts w:cs="Arial" w:hint="cs"/>
          <w:rtl/>
        </w:rPr>
        <w:t>,</w:t>
      </w:r>
      <w:r>
        <w:rPr>
          <w:rFonts w:cs="Arial"/>
          <w:rtl/>
        </w:rPr>
        <w:t xml:space="preserve"> וכדפירש רש"י </w:t>
      </w:r>
      <w:r w:rsidRPr="00BF76B1">
        <w:rPr>
          <w:rFonts w:cs="Arial"/>
          <w:sz w:val="16"/>
          <w:szCs w:val="16"/>
          <w:rtl/>
        </w:rPr>
        <w:t>(כתובות נה. ד"ה ולשביעית)</w:t>
      </w:r>
      <w:r>
        <w:rPr>
          <w:rFonts w:cs="Arial" w:hint="cs"/>
          <w:rtl/>
        </w:rPr>
        <w:t>.</w:t>
      </w:r>
      <w:r>
        <w:rPr>
          <w:rFonts w:cs="Arial"/>
          <w:rtl/>
        </w:rPr>
        <w:t xml:space="preserve"> משום דקשה כמו שהקשה הר"ן </w:t>
      </w:r>
      <w:r w:rsidRPr="00BF76B1">
        <w:rPr>
          <w:rFonts w:cs="Arial"/>
          <w:sz w:val="16"/>
          <w:szCs w:val="16"/>
          <w:rtl/>
        </w:rPr>
        <w:t>(כב. ד"ה לשביעית)</w:t>
      </w:r>
      <w:r>
        <w:rPr>
          <w:rFonts w:cs="Arial" w:hint="cs"/>
          <w:rtl/>
        </w:rPr>
        <w:t>,</w:t>
      </w:r>
      <w:r>
        <w:rPr>
          <w:rFonts w:cs="Arial"/>
          <w:rtl/>
        </w:rPr>
        <w:t xml:space="preserve"> דאם כן </w:t>
      </w:r>
      <w:r>
        <w:rPr>
          <w:rFonts w:cs="Arial" w:hint="cs"/>
          <w:sz w:val="16"/>
          <w:szCs w:val="16"/>
          <w:rtl/>
        </w:rPr>
        <w:t xml:space="preserve">{היינו, דאם שביעית משמטת את התוספת} </w:t>
      </w:r>
      <w:r>
        <w:rPr>
          <w:rFonts w:cs="Arial"/>
          <w:rtl/>
        </w:rPr>
        <w:t>מאי איריא תנאי כתובה</w:t>
      </w:r>
      <w:r>
        <w:rPr>
          <w:rFonts w:cs="Arial" w:hint="cs"/>
          <w:rtl/>
        </w:rPr>
        <w:t>,</w:t>
      </w:r>
      <w:r>
        <w:rPr>
          <w:rFonts w:cs="Arial"/>
          <w:rtl/>
        </w:rPr>
        <w:t xml:space="preserve"> הרי כל חיוב שאדם מתחייב לחבירו שלא ע"ד מלוה הכי דיניה</w:t>
      </w:r>
      <w:r>
        <w:rPr>
          <w:rFonts w:cs="Arial" w:hint="cs"/>
          <w:rtl/>
        </w:rPr>
        <w:t>,</w:t>
      </w:r>
      <w:r>
        <w:rPr>
          <w:rFonts w:cs="Arial"/>
          <w:rtl/>
        </w:rPr>
        <w:t xml:space="preserve"> כדתנן בפרק בתרא דשביעית (מ"א) הקפת חנות אינה משמטת</w:t>
      </w:r>
      <w:r>
        <w:rPr>
          <w:rFonts w:cs="Arial" w:hint="cs"/>
          <w:rtl/>
        </w:rPr>
        <w:t>.</w:t>
      </w:r>
      <w:r>
        <w:rPr>
          <w:rFonts w:cs="Arial"/>
          <w:rtl/>
        </w:rPr>
        <w:t xml:space="preserve"> והרא"ש דקדק בדבריו</w:t>
      </w:r>
      <w:r>
        <w:rPr>
          <w:rFonts w:cs="Arial" w:hint="cs"/>
          <w:rtl/>
        </w:rPr>
        <w:t>,</w:t>
      </w:r>
      <w:r>
        <w:rPr>
          <w:rFonts w:cs="Arial"/>
          <w:rtl/>
        </w:rPr>
        <w:t xml:space="preserve"> שכתב בר"פ אף על פי (סי' א)</w:t>
      </w:r>
      <w:r>
        <w:rPr>
          <w:rFonts w:cs="Arial" w:hint="cs"/>
          <w:rtl/>
        </w:rPr>
        <w:t>-</w:t>
      </w:r>
      <w:r>
        <w:rPr>
          <w:rFonts w:cs="Arial"/>
          <w:rtl/>
        </w:rPr>
        <w:t xml:space="preserve"> נפקא מינה לשביעית שאם פגמה הכתובה ולא פגמה התוספת משמטת הכל כאילו פגמה גם התוספת</w:t>
      </w:r>
      <w:r>
        <w:rPr>
          <w:rFonts w:cs="Arial" w:hint="cs"/>
          <w:rtl/>
        </w:rPr>
        <w:t>.</w:t>
      </w:r>
      <w:r>
        <w:rPr>
          <w:rFonts w:cs="Arial"/>
          <w:rtl/>
        </w:rPr>
        <w:t xml:space="preserve"> ע</w:t>
      </w:r>
      <w:r>
        <w:rPr>
          <w:rFonts w:cs="Arial" w:hint="cs"/>
          <w:rtl/>
        </w:rPr>
        <w:t xml:space="preserve">ד </w:t>
      </w:r>
      <w:r>
        <w:rPr>
          <w:rFonts w:cs="Arial"/>
          <w:rtl/>
        </w:rPr>
        <w:t>כ</w:t>
      </w:r>
      <w:r>
        <w:rPr>
          <w:rFonts w:cs="Arial" w:hint="cs"/>
          <w:rtl/>
        </w:rPr>
        <w:t>אן.</w:t>
      </w:r>
      <w:r>
        <w:rPr>
          <w:rFonts w:cs="Arial"/>
          <w:rtl/>
        </w:rPr>
        <w:t xml:space="preserve"> הרי שלא הזכיר אלא פגימה בלבד</w:t>
      </w:r>
      <w:r>
        <w:rPr>
          <w:rFonts w:cs="Arial" w:hint="cs"/>
          <w:rtl/>
        </w:rPr>
        <w:t>,</w:t>
      </w:r>
      <w:r>
        <w:rPr>
          <w:rFonts w:cs="Arial"/>
          <w:rtl/>
        </w:rPr>
        <w:t xml:space="preserve"> דמשמע דבפגימה או זקיפה סגי.</w:t>
      </w:r>
    </w:p>
  </w:footnote>
  <w:footnote w:id="2483">
    <w:p w14:paraId="68590F8B" w14:textId="77777777" w:rsidR="00DF1FC7" w:rsidRDefault="00DF1FC7" w:rsidP="002E5BAD">
      <w:pPr>
        <w:pStyle w:val="a5"/>
      </w:pPr>
      <w:r>
        <w:rPr>
          <w:rStyle w:val="a7"/>
        </w:rPr>
        <w:footnoteRef/>
      </w:r>
      <w:r>
        <w:rPr>
          <w:rtl/>
        </w:rPr>
        <w:t xml:space="preserve"> </w:t>
      </w:r>
      <w:r>
        <w:rPr>
          <w:rFonts w:cs="Arial" w:hint="cs"/>
          <w:rtl/>
        </w:rPr>
        <w:t xml:space="preserve">לאו דוקא משום שהוא מעשה בית דין אלא הוא </w:t>
      </w:r>
      <w:r w:rsidRPr="00E82D05">
        <w:rPr>
          <w:rFonts w:cs="Arial"/>
          <w:rtl/>
        </w:rPr>
        <w:t>הדין בכל החיוב שאדם חייב שלא ע"ד מלוה</w:t>
      </w:r>
      <w:r>
        <w:rPr>
          <w:rFonts w:cs="Arial" w:hint="cs"/>
          <w:rtl/>
        </w:rPr>
        <w:t>,</w:t>
      </w:r>
      <w:r w:rsidRPr="00E82D05">
        <w:rPr>
          <w:rFonts w:cs="Arial"/>
          <w:rtl/>
        </w:rPr>
        <w:t xml:space="preserve"> כ"כ תוס' והר"ן</w:t>
      </w:r>
      <w:r>
        <w:rPr>
          <w:rFonts w:cs="Arial" w:hint="cs"/>
          <w:rtl/>
        </w:rPr>
        <w:t>.</w:t>
      </w:r>
      <w:r w:rsidRPr="00E82D05">
        <w:rPr>
          <w:rFonts w:cs="Arial"/>
          <w:rtl/>
        </w:rPr>
        <w:t xml:space="preserve"> ולא כרש"י </w:t>
      </w:r>
      <w:r>
        <w:rPr>
          <w:rFonts w:cs="Arial" w:hint="cs"/>
          <w:rtl/>
        </w:rPr>
        <w:t>(גיטין יח. ד"ה ותזקוף) ו</w:t>
      </w:r>
      <w:r w:rsidRPr="00E82D05">
        <w:rPr>
          <w:rFonts w:cs="Arial"/>
          <w:rtl/>
        </w:rPr>
        <w:t>הטור שכתב</w:t>
      </w:r>
      <w:r>
        <w:rPr>
          <w:rFonts w:cs="Arial" w:hint="cs"/>
          <w:rtl/>
        </w:rPr>
        <w:t>ו</w:t>
      </w:r>
      <w:r w:rsidRPr="00E82D05">
        <w:rPr>
          <w:rFonts w:cs="Arial"/>
          <w:rtl/>
        </w:rPr>
        <w:t xml:space="preserve"> </w:t>
      </w:r>
      <w:r>
        <w:rPr>
          <w:rFonts w:cs="Arial" w:hint="cs"/>
          <w:rtl/>
        </w:rPr>
        <w:t>ש</w:t>
      </w:r>
      <w:r w:rsidRPr="00E82D05">
        <w:rPr>
          <w:rFonts w:cs="Arial"/>
          <w:rtl/>
        </w:rPr>
        <w:t>הטעם דאינו משמט משו</w:t>
      </w:r>
      <w:r>
        <w:rPr>
          <w:rFonts w:cs="Arial" w:hint="cs"/>
          <w:rtl/>
        </w:rPr>
        <w:t>ם</w:t>
      </w:r>
      <w:r w:rsidRPr="00E82D05">
        <w:rPr>
          <w:rFonts w:cs="Arial"/>
          <w:rtl/>
        </w:rPr>
        <w:t xml:space="preserve"> תנאי ב"ד</w:t>
      </w:r>
      <w:r>
        <w:rPr>
          <w:rFonts w:cs="Arial" w:hint="cs"/>
          <w:rtl/>
        </w:rPr>
        <w:t>, ע"פ ב"ש (סק"ו).</w:t>
      </w:r>
    </w:p>
  </w:footnote>
  <w:footnote w:id="2484">
    <w:p w14:paraId="3BB6351E" w14:textId="77777777" w:rsidR="00DF1FC7" w:rsidRDefault="00DF1FC7" w:rsidP="002E5BAD">
      <w:pPr>
        <w:pStyle w:val="a5"/>
      </w:pPr>
      <w:r>
        <w:rPr>
          <w:rStyle w:val="a7"/>
        </w:rPr>
        <w:footnoteRef/>
      </w:r>
      <w:r>
        <w:rPr>
          <w:rtl/>
        </w:rPr>
        <w:t xml:space="preserve"> </w:t>
      </w:r>
      <w:r w:rsidRPr="00146485">
        <w:rPr>
          <w:rFonts w:cs="Arial"/>
          <w:rtl/>
        </w:rPr>
        <w:t>והיורשים זנוה שם</w:t>
      </w:r>
      <w:r>
        <w:rPr>
          <w:rFonts w:cs="Arial" w:hint="cs"/>
          <w:rtl/>
        </w:rPr>
        <w:t>, רש"י.</w:t>
      </w:r>
    </w:p>
  </w:footnote>
  <w:footnote w:id="2485">
    <w:p w14:paraId="58208FC5" w14:textId="77777777" w:rsidR="00DF1FC7" w:rsidRDefault="00DF1FC7" w:rsidP="002E5BAD">
      <w:pPr>
        <w:pStyle w:val="a5"/>
      </w:pPr>
      <w:r>
        <w:rPr>
          <w:rStyle w:val="a7"/>
        </w:rPr>
        <w:footnoteRef/>
      </w:r>
      <w:r>
        <w:rPr>
          <w:rtl/>
        </w:rPr>
        <w:t xml:space="preserve"> </w:t>
      </w:r>
      <w:r w:rsidRPr="00146485">
        <w:rPr>
          <w:rFonts w:cs="Arial"/>
          <w:rtl/>
        </w:rPr>
        <w:t>כשתרצה</w:t>
      </w:r>
      <w:r>
        <w:rPr>
          <w:rFonts w:cs="Arial" w:hint="cs"/>
          <w:rtl/>
        </w:rPr>
        <w:t>, רש"י.</w:t>
      </w:r>
    </w:p>
  </w:footnote>
  <w:footnote w:id="2486">
    <w:p w14:paraId="74386A88" w14:textId="77777777" w:rsidR="00DF1FC7" w:rsidRDefault="00DF1FC7" w:rsidP="002E5BAD">
      <w:pPr>
        <w:pStyle w:val="a5"/>
        <w:rPr>
          <w:rtl/>
        </w:rPr>
      </w:pPr>
      <w:r>
        <w:rPr>
          <w:rStyle w:val="a7"/>
        </w:rPr>
        <w:footnoteRef/>
      </w:r>
      <w:r>
        <w:rPr>
          <w:rtl/>
        </w:rPr>
        <w:t xml:space="preserve"> </w:t>
      </w:r>
      <w:r w:rsidRPr="00146485">
        <w:rPr>
          <w:rFonts w:cs="Arial"/>
          <w:rtl/>
        </w:rPr>
        <w:t>מנכסי יתומים נותנת לחם ומלח לשכניה</w:t>
      </w:r>
      <w:r>
        <w:rPr>
          <w:rFonts w:hint="cs"/>
          <w:rtl/>
        </w:rPr>
        <w:t>, רש"י.</w:t>
      </w:r>
    </w:p>
  </w:footnote>
  <w:footnote w:id="2487">
    <w:p w14:paraId="335BC7D0" w14:textId="77777777" w:rsidR="00DF1FC7" w:rsidRDefault="00DF1FC7" w:rsidP="002E5BAD">
      <w:pPr>
        <w:pStyle w:val="a5"/>
        <w:rPr>
          <w:rtl/>
        </w:rPr>
      </w:pPr>
      <w:r>
        <w:rPr>
          <w:rStyle w:val="a7"/>
        </w:rPr>
        <w:footnoteRef/>
      </w:r>
      <w:r>
        <w:rPr>
          <w:rtl/>
        </w:rPr>
        <w:t xml:space="preserve"> </w:t>
      </w:r>
      <w:r w:rsidRPr="00146485">
        <w:rPr>
          <w:rFonts w:cs="Arial"/>
          <w:rtl/>
        </w:rPr>
        <w:t>לא הוזכרו עשרים וחמש לענין הטובה שתעשה ולא אפסדוה רבנן כתובה וכשהוזכרו עשרים וחמש לענין המחילה הוזכרו דהואיל ושתקה ולא תבעה כל השנים הללו מחלתה הלכך כל זמן שהיא בבית בעלה אין שתיקתה מחילה אלא מפני שמכבדין אותה היא בושה למחות על כתובתה אבל בבית אביה מששתקה כ"ה שנים מחילה היא</w:t>
      </w:r>
      <w:r>
        <w:rPr>
          <w:rFonts w:hint="cs"/>
          <w:rtl/>
        </w:rPr>
        <w:t>, רש"י.</w:t>
      </w:r>
    </w:p>
  </w:footnote>
  <w:footnote w:id="2488">
    <w:p w14:paraId="630D3952" w14:textId="77777777" w:rsidR="00DF1FC7" w:rsidRPr="00662F2C" w:rsidRDefault="00DF1FC7" w:rsidP="002E5BAD">
      <w:pPr>
        <w:pStyle w:val="a5"/>
        <w:rPr>
          <w:rFonts w:cs="Arial"/>
          <w:rtl/>
        </w:rPr>
      </w:pPr>
      <w:r>
        <w:rPr>
          <w:rStyle w:val="a7"/>
        </w:rPr>
        <w:footnoteRef/>
      </w:r>
      <w:r>
        <w:rPr>
          <w:rtl/>
        </w:rPr>
        <w:t xml:space="preserve"> </w:t>
      </w:r>
      <w:r w:rsidRPr="00146485">
        <w:rPr>
          <w:rFonts w:cs="Arial"/>
          <w:rtl/>
        </w:rPr>
        <w:t>כלומר צריכ</w:t>
      </w:r>
      <w:r>
        <w:rPr>
          <w:rFonts w:cs="Arial" w:hint="cs"/>
          <w:rtl/>
        </w:rPr>
        <w:t>ים</w:t>
      </w:r>
      <w:r w:rsidRPr="00146485">
        <w:rPr>
          <w:rFonts w:cs="Arial"/>
          <w:rtl/>
        </w:rPr>
        <w:t xml:space="preserve"> למחות על כתובתה בתוך כ"ה שנים</w:t>
      </w:r>
      <w:r>
        <w:rPr>
          <w:rFonts w:hint="cs"/>
          <w:rtl/>
        </w:rPr>
        <w:t>, רש"י.</w:t>
      </w:r>
      <w:r w:rsidRPr="00662F2C">
        <w:rPr>
          <w:rFonts w:cs="Arial"/>
          <w:rtl/>
        </w:rPr>
        <w:t xml:space="preserve"> </w:t>
      </w:r>
      <w:r>
        <w:rPr>
          <w:rFonts w:cs="Arial" w:hint="cs"/>
          <w:rtl/>
        </w:rPr>
        <w:t xml:space="preserve">וכתב הב"י- </w:t>
      </w:r>
      <w:r>
        <w:rPr>
          <w:rFonts w:cs="Arial"/>
          <w:rtl/>
        </w:rPr>
        <w:t>כתבו הרי"ף (סב.) והרא"ש (סי' ז) הא דקתני יורשיה מזכירין כתובתה עד כ"ה שנה אוקימנא בפרק כל הנשבעין (שבועות מח.) שנשבעה ומתה</w:t>
      </w:r>
      <w:r>
        <w:rPr>
          <w:rFonts w:cs="Arial" w:hint="cs"/>
          <w:rtl/>
        </w:rPr>
        <w:t>,</w:t>
      </w:r>
      <w:r>
        <w:rPr>
          <w:rFonts w:cs="Arial"/>
          <w:rtl/>
        </w:rPr>
        <w:t xml:space="preserve"> דאין אדם מוריש שבועה לבניו</w:t>
      </w:r>
      <w:r>
        <w:rPr>
          <w:rFonts w:cs="Arial" w:hint="cs"/>
          <w:rtl/>
        </w:rPr>
        <w:t>,</w:t>
      </w:r>
      <w:r>
        <w:rPr>
          <w:rFonts w:cs="Arial"/>
          <w:rtl/>
        </w:rPr>
        <w:t xml:space="preserve"> וכבר נתבאר זה בסימן צ"ו (קמג.)</w:t>
      </w:r>
      <w:r>
        <w:rPr>
          <w:rFonts w:cs="Arial" w:hint="cs"/>
          <w:rtl/>
        </w:rPr>
        <w:t>.</w:t>
      </w:r>
    </w:p>
  </w:footnote>
  <w:footnote w:id="2489">
    <w:p w14:paraId="0D5CF8ED" w14:textId="77777777" w:rsidR="00DF1FC7" w:rsidRDefault="00DF1FC7" w:rsidP="002E5BAD">
      <w:pPr>
        <w:pStyle w:val="a5"/>
      </w:pPr>
      <w:r>
        <w:rPr>
          <w:rStyle w:val="a7"/>
        </w:rPr>
        <w:footnoteRef/>
      </w:r>
      <w:r>
        <w:rPr>
          <w:rtl/>
        </w:rPr>
        <w:t xml:space="preserve"> </w:t>
      </w:r>
      <w:r w:rsidRPr="0048018E">
        <w:rPr>
          <w:rFonts w:cs="Arial"/>
          <w:rtl/>
        </w:rPr>
        <w:t>ומונה כ"ה שנים משעת תביעה</w:t>
      </w:r>
      <w:r>
        <w:rPr>
          <w:rFonts w:cs="Arial" w:hint="cs"/>
          <w:rtl/>
        </w:rPr>
        <w:t>, רש"י.</w:t>
      </w:r>
    </w:p>
  </w:footnote>
  <w:footnote w:id="2490">
    <w:p w14:paraId="42C6526C" w14:textId="77777777" w:rsidR="00DF1FC7" w:rsidRDefault="00DF1FC7" w:rsidP="002E5BAD">
      <w:pPr>
        <w:pStyle w:val="a5"/>
      </w:pPr>
      <w:r>
        <w:rPr>
          <w:rStyle w:val="a7"/>
        </w:rPr>
        <w:footnoteRef/>
      </w:r>
      <w:r>
        <w:rPr>
          <w:rtl/>
        </w:rPr>
        <w:t xml:space="preserve"> </w:t>
      </w:r>
      <w:r w:rsidRPr="0048018E">
        <w:rPr>
          <w:rFonts w:cs="Arial"/>
          <w:rtl/>
        </w:rPr>
        <w:t>כדברי ר' מאיר או כדברי חכמים</w:t>
      </w:r>
      <w:r>
        <w:rPr>
          <w:rFonts w:cs="Arial" w:hint="cs"/>
          <w:rtl/>
        </w:rPr>
        <w:t>, רש"י.</w:t>
      </w:r>
    </w:p>
  </w:footnote>
  <w:footnote w:id="2491">
    <w:p w14:paraId="4D54C729" w14:textId="77777777" w:rsidR="00DF1FC7" w:rsidRDefault="00DF1FC7" w:rsidP="002E5BAD">
      <w:pPr>
        <w:pStyle w:val="a5"/>
      </w:pPr>
      <w:r>
        <w:rPr>
          <w:rStyle w:val="a7"/>
        </w:rPr>
        <w:footnoteRef/>
      </w:r>
      <w:r>
        <w:rPr>
          <w:rtl/>
        </w:rPr>
        <w:t xml:space="preserve"> </w:t>
      </w:r>
      <w:r w:rsidRPr="00401992">
        <w:rPr>
          <w:rFonts w:cs="Arial"/>
          <w:rtl/>
        </w:rPr>
        <w:t>אלמנה שלא גבתה כתובתה</w:t>
      </w:r>
      <w:r>
        <w:rPr>
          <w:rFonts w:cs="Arial" w:hint="cs"/>
          <w:rtl/>
        </w:rPr>
        <w:t>, רש"י.</w:t>
      </w:r>
    </w:p>
  </w:footnote>
  <w:footnote w:id="2492">
    <w:p w14:paraId="48694623" w14:textId="77777777" w:rsidR="00DF1FC7" w:rsidRDefault="00DF1FC7" w:rsidP="002E5BAD">
      <w:pPr>
        <w:pStyle w:val="a5"/>
      </w:pPr>
      <w:r>
        <w:rPr>
          <w:rStyle w:val="a7"/>
        </w:rPr>
        <w:footnoteRef/>
      </w:r>
      <w:r>
        <w:rPr>
          <w:rtl/>
        </w:rPr>
        <w:t xml:space="preserve"> </w:t>
      </w:r>
      <w:r w:rsidRPr="00401992">
        <w:rPr>
          <w:rFonts w:cs="Arial"/>
          <w:rtl/>
        </w:rPr>
        <w:t>ותובעין וגובין כתובתה</w:t>
      </w:r>
      <w:r>
        <w:rPr>
          <w:rFonts w:cs="Arial" w:hint="cs"/>
          <w:rtl/>
        </w:rPr>
        <w:t>, רש"י.</w:t>
      </w:r>
    </w:p>
  </w:footnote>
  <w:footnote w:id="2493">
    <w:p w14:paraId="09B4892E" w14:textId="77777777" w:rsidR="00DF1FC7" w:rsidRDefault="00DF1FC7" w:rsidP="002E5BAD">
      <w:pPr>
        <w:pStyle w:val="a5"/>
      </w:pPr>
      <w:r>
        <w:rPr>
          <w:rStyle w:val="a7"/>
        </w:rPr>
        <w:footnoteRef/>
      </w:r>
      <w:r>
        <w:rPr>
          <w:rtl/>
        </w:rPr>
        <w:t xml:space="preserve"> </w:t>
      </w:r>
      <w:r w:rsidRPr="00401992">
        <w:rPr>
          <w:rFonts w:cs="Arial"/>
          <w:rtl/>
        </w:rPr>
        <w:t>משמת בעלה ואם עברו כ"ה שנים ולא תבעוה הפסידוה דהכי תנן בכתובות בהנושא (דף קד) כל זמן שהיא בבית אביה שלא נטלה מזונות מן היתומין גובה כתובתה עד כ"ה שנים ואם לא תבעה מחלתה קתני מיהת יורשין גובין כתובתה ועל כרחך בשבועת יורשין יגבוה מן היתומין אף על גב דמית לוה בחיי מלוה שהוא מת בחייה ונתחייבה שבועה ליורשין אלמא הורישה שבועה ליורשיה</w:t>
      </w:r>
      <w:r>
        <w:rPr>
          <w:rFonts w:cs="Arial" w:hint="cs"/>
          <w:rtl/>
        </w:rPr>
        <w:t xml:space="preserve">, רש"י. </w:t>
      </w:r>
    </w:p>
  </w:footnote>
  <w:footnote w:id="2494">
    <w:p w14:paraId="6DFF62BB" w14:textId="77777777" w:rsidR="00DF1FC7" w:rsidRDefault="00DF1FC7" w:rsidP="002E5BAD">
      <w:pPr>
        <w:pStyle w:val="a5"/>
        <w:rPr>
          <w:rtl/>
        </w:rPr>
      </w:pPr>
      <w:r>
        <w:rPr>
          <w:rStyle w:val="a7"/>
        </w:rPr>
        <w:footnoteRef/>
      </w:r>
      <w:r>
        <w:rPr>
          <w:rtl/>
        </w:rPr>
        <w:t xml:space="preserve"> </w:t>
      </w:r>
      <w:r w:rsidRPr="00B97831">
        <w:rPr>
          <w:rFonts w:cs="Arial"/>
          <w:rtl/>
        </w:rPr>
        <w:t xml:space="preserve">ובמרדכי </w:t>
      </w:r>
      <w:r>
        <w:rPr>
          <w:rFonts w:cs="Arial" w:hint="cs"/>
          <w:rtl/>
        </w:rPr>
        <w:t>(</w:t>
      </w:r>
      <w:r w:rsidRPr="00B97831">
        <w:rPr>
          <w:rFonts w:cs="Arial"/>
          <w:rtl/>
        </w:rPr>
        <w:t>ס</w:t>
      </w:r>
      <w:r>
        <w:rPr>
          <w:rFonts w:cs="Arial" w:hint="cs"/>
          <w:rtl/>
        </w:rPr>
        <w:t>"פ</w:t>
      </w:r>
      <w:r w:rsidRPr="00B97831">
        <w:rPr>
          <w:rFonts w:cs="Arial"/>
          <w:rtl/>
        </w:rPr>
        <w:t xml:space="preserve"> הנושא סי' רסה)</w:t>
      </w:r>
      <w:r>
        <w:rPr>
          <w:rFonts w:cs="Arial" w:hint="cs"/>
          <w:rtl/>
        </w:rPr>
        <w:t xml:space="preserve"> כתב</w:t>
      </w:r>
      <w:r w:rsidRPr="00B97831">
        <w:rPr>
          <w:rFonts w:cs="Arial"/>
          <w:rtl/>
        </w:rPr>
        <w:t xml:space="preserve"> </w:t>
      </w:r>
      <w:r>
        <w:rPr>
          <w:rFonts w:cs="Arial" w:hint="cs"/>
          <w:rtl/>
        </w:rPr>
        <w:t>ד</w:t>
      </w:r>
      <w:r w:rsidRPr="00B97831">
        <w:rPr>
          <w:rFonts w:cs="Arial"/>
          <w:rtl/>
        </w:rPr>
        <w:t>הוא הדין אם נשאת לאחר</w:t>
      </w:r>
      <w:r>
        <w:rPr>
          <w:rFonts w:cs="Arial" w:hint="cs"/>
          <w:rtl/>
        </w:rPr>
        <w:t>, דרכ"מ (אות ב).</w:t>
      </w:r>
      <w:r w:rsidRPr="005D6764">
        <w:rPr>
          <w:rFonts w:cs="Arial" w:hint="cs"/>
          <w:color w:val="00B0F0"/>
          <w:rtl/>
        </w:rPr>
        <w:t xml:space="preserve"> (וכ"פ בהג"ה)</w:t>
      </w:r>
    </w:p>
  </w:footnote>
  <w:footnote w:id="2495">
    <w:p w14:paraId="797B8289" w14:textId="77777777" w:rsidR="00DF1FC7" w:rsidRDefault="00DF1FC7" w:rsidP="002E5BAD">
      <w:pPr>
        <w:pStyle w:val="a5"/>
      </w:pPr>
      <w:r>
        <w:rPr>
          <w:rStyle w:val="a7"/>
        </w:rPr>
        <w:footnoteRef/>
      </w:r>
      <w:r>
        <w:rPr>
          <w:rtl/>
        </w:rPr>
        <w:t xml:space="preserve"> </w:t>
      </w:r>
      <w:r>
        <w:rPr>
          <w:rFonts w:cs="Arial" w:hint="cs"/>
          <w:rtl/>
        </w:rPr>
        <w:t xml:space="preserve">וכתב </w:t>
      </w:r>
      <w:r w:rsidRPr="00B97831">
        <w:rPr>
          <w:rFonts w:cs="Arial"/>
          <w:rtl/>
        </w:rPr>
        <w:t xml:space="preserve">הר"ן </w:t>
      </w:r>
      <w:r>
        <w:rPr>
          <w:rFonts w:cs="Arial" w:hint="cs"/>
          <w:rtl/>
        </w:rPr>
        <w:t>(</w:t>
      </w:r>
      <w:r w:rsidRPr="00B97831">
        <w:rPr>
          <w:rFonts w:cs="Arial"/>
          <w:rtl/>
        </w:rPr>
        <w:t>פ</w:t>
      </w:r>
      <w:r>
        <w:rPr>
          <w:rFonts w:cs="Arial" w:hint="cs"/>
          <w:rtl/>
        </w:rPr>
        <w:t>'</w:t>
      </w:r>
      <w:r w:rsidRPr="00B97831">
        <w:rPr>
          <w:rFonts w:cs="Arial"/>
          <w:rtl/>
        </w:rPr>
        <w:t xml:space="preserve"> הנושא סב. ד"ה יורשיה) דלאו דוקא תבעה אלא בזכירה בעלמא שתאמר ליורשים דמה ששותקת אינו משום מחילה סגי</w:t>
      </w:r>
      <w:r>
        <w:rPr>
          <w:rFonts w:cs="Arial" w:hint="cs"/>
          <w:rtl/>
        </w:rPr>
        <w:t>,</w:t>
      </w:r>
      <w:r w:rsidRPr="00B97831">
        <w:rPr>
          <w:rFonts w:cs="Arial"/>
          <w:rtl/>
        </w:rPr>
        <w:t xml:space="preserve"> וכן הוא בירושלמי (פי"ב ה"ה)</w:t>
      </w:r>
      <w:r>
        <w:rPr>
          <w:rFonts w:cs="Arial" w:hint="cs"/>
          <w:rtl/>
        </w:rPr>
        <w:t xml:space="preserve">, דרכ"מ (אות ג). </w:t>
      </w:r>
      <w:r w:rsidRPr="005D6764">
        <w:rPr>
          <w:rFonts w:cs="Arial" w:hint="cs"/>
          <w:color w:val="00B0F0"/>
          <w:rtl/>
        </w:rPr>
        <w:t>(וכ"פ בהג"ה)</w:t>
      </w:r>
    </w:p>
  </w:footnote>
  <w:footnote w:id="2496">
    <w:p w14:paraId="124BC379" w14:textId="77777777" w:rsidR="00DF1FC7" w:rsidRDefault="00DF1FC7" w:rsidP="002E5BAD">
      <w:pPr>
        <w:pStyle w:val="a5"/>
      </w:pPr>
      <w:r>
        <w:rPr>
          <w:rStyle w:val="a7"/>
        </w:rPr>
        <w:footnoteRef/>
      </w:r>
      <w:r>
        <w:rPr>
          <w:rtl/>
        </w:rPr>
        <w:t xml:space="preserve"> </w:t>
      </w:r>
      <w:r w:rsidRPr="00EE72ED">
        <w:rPr>
          <w:rFonts w:cs="Arial"/>
          <w:rtl/>
        </w:rPr>
        <w:t>ה"ה אם אין נותנין לה מזונות כלל ג"כ גובה כתובתה כל זמן שהכתובה בידה</w:t>
      </w:r>
      <w:r>
        <w:rPr>
          <w:rFonts w:cs="Arial" w:hint="cs"/>
          <w:rtl/>
        </w:rPr>
        <w:t>..., ח"מ (סק"א).</w:t>
      </w:r>
      <w:r>
        <w:rPr>
          <w:rFonts w:hint="cs"/>
          <w:rtl/>
        </w:rPr>
        <w:t xml:space="preserve"> וכ"כ ב"ש (סק"ב).</w:t>
      </w:r>
    </w:p>
  </w:footnote>
  <w:footnote w:id="2497">
    <w:p w14:paraId="7F96BC9D" w14:textId="77777777" w:rsidR="00DF1FC7" w:rsidRDefault="00DF1FC7" w:rsidP="002E5BAD">
      <w:pPr>
        <w:pStyle w:val="a5"/>
      </w:pPr>
      <w:r>
        <w:rPr>
          <w:rStyle w:val="a7"/>
        </w:rPr>
        <w:footnoteRef/>
      </w:r>
      <w:r>
        <w:rPr>
          <w:rtl/>
        </w:rPr>
        <w:t xml:space="preserve"> </w:t>
      </w:r>
      <w:r w:rsidRPr="006C7F06">
        <w:rPr>
          <w:rFonts w:cs="Arial"/>
          <w:rtl/>
        </w:rPr>
        <w:t>כלו' אע</w:t>
      </w:r>
      <w:r>
        <w:rPr>
          <w:rFonts w:cs="Arial" w:hint="cs"/>
          <w:rtl/>
        </w:rPr>
        <w:t>"</w:t>
      </w:r>
      <w:r w:rsidRPr="006C7F06">
        <w:rPr>
          <w:rFonts w:cs="Arial"/>
          <w:rtl/>
        </w:rPr>
        <w:t>פ שנותנין לה מזונות בבית אביה אפ"ה אינה בושה מהם לתבוע כתובתה וכל שלא תבעה כ"ה שנים מחלה</w:t>
      </w:r>
      <w:r>
        <w:rPr>
          <w:rFonts w:cs="Arial" w:hint="cs"/>
          <w:rtl/>
        </w:rPr>
        <w:t>..., ח"מ</w:t>
      </w:r>
      <w:r w:rsidRPr="006C7F06">
        <w:rPr>
          <w:rFonts w:cs="Arial" w:hint="cs"/>
          <w:sz w:val="16"/>
          <w:szCs w:val="16"/>
          <w:rtl/>
        </w:rPr>
        <w:t xml:space="preserve"> (סק"ה)</w:t>
      </w:r>
      <w:r>
        <w:rPr>
          <w:rFonts w:cs="Arial" w:hint="cs"/>
          <w:rtl/>
        </w:rPr>
        <w:t>.</w:t>
      </w:r>
    </w:p>
  </w:footnote>
  <w:footnote w:id="2498">
    <w:p w14:paraId="54CED410" w14:textId="77777777" w:rsidR="00DF1FC7" w:rsidRDefault="00DF1FC7" w:rsidP="002E5BAD">
      <w:pPr>
        <w:pStyle w:val="a5"/>
      </w:pPr>
      <w:r>
        <w:rPr>
          <w:rStyle w:val="a7"/>
        </w:rPr>
        <w:footnoteRef/>
      </w:r>
      <w:r>
        <w:rPr>
          <w:rtl/>
        </w:rPr>
        <w:t xml:space="preserve"> </w:t>
      </w:r>
      <w:r w:rsidRPr="00417EA4">
        <w:rPr>
          <w:rFonts w:cs="Arial"/>
          <w:rtl/>
        </w:rPr>
        <w:t>אע</w:t>
      </w:r>
      <w:r>
        <w:rPr>
          <w:rFonts w:cs="Arial" w:hint="cs"/>
          <w:rtl/>
        </w:rPr>
        <w:t>"</w:t>
      </w:r>
      <w:r w:rsidRPr="00417EA4">
        <w:rPr>
          <w:rFonts w:cs="Arial"/>
          <w:rtl/>
        </w:rPr>
        <w:t>ג דאז אין לה מזונו</w:t>
      </w:r>
      <w:r>
        <w:rPr>
          <w:rFonts w:cs="Arial" w:hint="cs"/>
          <w:rtl/>
        </w:rPr>
        <w:t>ת</w:t>
      </w:r>
      <w:r w:rsidRPr="00417EA4">
        <w:rPr>
          <w:rFonts w:cs="Arial"/>
          <w:rtl/>
        </w:rPr>
        <w:t xml:space="preserve"> כלל מ"מ לכ</w:t>
      </w:r>
      <w:r>
        <w:rPr>
          <w:rFonts w:cs="Arial" w:hint="cs"/>
          <w:rtl/>
        </w:rPr>
        <w:t>ו</w:t>
      </w:r>
      <w:r w:rsidRPr="00417EA4">
        <w:rPr>
          <w:rFonts w:cs="Arial"/>
          <w:rtl/>
        </w:rPr>
        <w:t>"ע תוך כ"ה שנים לא הפסידה והנה בסי' הקודם מבואר כשנשאת לאחר ואין הכתובה בידה אינה גובה ובד"מ כתב רס"ז דאינה גובה אפילו במקום שאין כותבים כתובה לפ"ז צ"ל מ"ש כאן אחר שנשאת דגובה היינו כשהם מודים דחייבים לה וקמ"ל דלא תימא דמחלה להם אבל במרדכי ס"פ הנושא לכאורה לא משמע כן דהא הביא על דין זה דברי הסמ"ג שכ' דוקא במקום שאין כותבין אבל במקום שכותבין לא גביא והיינו מטעם די"ל פרענו מכלל דדין זה איירי אפי' אם אמרו פרענו אינן נאמנים במקום שאין כותבין אף לאחר שנשאת וכן מוכח ממ"ש בסי' הקודם גט ומיתה וכתובה כמ"ש שם והמרדכי דכתב בפ' אלמנה ניזונית אחר שנשאת אינה נאמנת אא"כ הכתובה בידה אין ראיה די"ל דס"ל כשיטות הפוסקים דס"ל אפי' במקום שכותבים כתובה גובה בלא כתובה מ"ה אחר שנשאת ס"ל אינה גובה אבל במקום שאין כותבין כתובה י"ל דמודים דגובה בלא כתובה והסוגי' שני גיטין איירי במקום שאין כותבין</w:t>
      </w:r>
      <w:r>
        <w:rPr>
          <w:rFonts w:cs="Arial" w:hint="cs"/>
          <w:rtl/>
        </w:rPr>
        <w:t>, ב"ש (סק"ו).</w:t>
      </w:r>
    </w:p>
  </w:footnote>
  <w:footnote w:id="2499">
    <w:p w14:paraId="1DAA3B90" w14:textId="77777777" w:rsidR="00DF1FC7" w:rsidRDefault="00DF1FC7" w:rsidP="002E5BAD">
      <w:pPr>
        <w:pStyle w:val="a5"/>
        <w:rPr>
          <w:rtl/>
        </w:rPr>
      </w:pPr>
      <w:r>
        <w:rPr>
          <w:rStyle w:val="a7"/>
        </w:rPr>
        <w:footnoteRef/>
      </w:r>
      <w:r>
        <w:rPr>
          <w:rtl/>
        </w:rPr>
        <w:t xml:space="preserve"> </w:t>
      </w:r>
      <w:r w:rsidRPr="00F81FD2">
        <w:rPr>
          <w:rFonts w:cs="Arial"/>
          <w:rtl/>
        </w:rPr>
        <w:t>עיין בתשו' אא"ז פנים מאירות ח"ב ר"ס קע"ד שכ' דמדברי הגמ' כתובות דף ק"ד יש ללמוד דמיד אחר שכלה יום אחרון של כ"ה שנה אפי' קודם צה"כ לאחר שקיעת החמה כיון דהוי בין השמשות והוא ספק ליל' מעמידין הממון בחזקת יורשי הבעל. ושם בסוף התשובה מבואר דחודש העיבור בכלל שנה וה"ה בכל השטרות ותקנו' שנזכר שנה חודש העיבור בכלל ע"ש ועמ"ש לעיל סי' נ"ג ס"ק י"א</w:t>
      </w:r>
      <w:r>
        <w:rPr>
          <w:rFonts w:hint="cs"/>
          <w:rtl/>
        </w:rPr>
        <w:t>, פת"ש (סק'"א).</w:t>
      </w:r>
    </w:p>
  </w:footnote>
  <w:footnote w:id="2500">
    <w:p w14:paraId="26BBBD4F" w14:textId="77777777" w:rsidR="00DF1FC7" w:rsidRDefault="00DF1FC7" w:rsidP="002E5BAD">
      <w:pPr>
        <w:pStyle w:val="a5"/>
      </w:pPr>
      <w:r>
        <w:rPr>
          <w:rStyle w:val="a7"/>
        </w:rPr>
        <w:footnoteRef/>
      </w:r>
      <w:r>
        <w:rPr>
          <w:rtl/>
        </w:rPr>
        <w:t xml:space="preserve"> </w:t>
      </w:r>
      <w:r w:rsidRPr="00F81FD2">
        <w:rPr>
          <w:rFonts w:cs="Arial"/>
          <w:rtl/>
        </w:rPr>
        <w:t>עיין בס' ישועות יעקב שכ' יש להסתפק בדבר אם היא אומרת שזכרה והם מכחישים אותה איך הדין נוטה אי נאמנת או לא. והאריך קצת בזה ומסיים ויותר נראה שאינה נאמנת בזה ע"ש</w:t>
      </w:r>
      <w:r>
        <w:rPr>
          <w:rFonts w:cs="Arial" w:hint="cs"/>
          <w:rtl/>
        </w:rPr>
        <w:t>.</w:t>
      </w:r>
      <w:r w:rsidRPr="00F81FD2">
        <w:rPr>
          <w:rFonts w:cs="Arial"/>
          <w:rtl/>
        </w:rPr>
        <w:t xml:space="preserve"> ועיין בספר בית מאיר מזה</w:t>
      </w:r>
      <w:r>
        <w:rPr>
          <w:rFonts w:cs="Arial" w:hint="cs"/>
          <w:rtl/>
        </w:rPr>
        <w:t>, פת"ש (סק"ב).</w:t>
      </w:r>
    </w:p>
  </w:footnote>
  <w:footnote w:id="2501">
    <w:p w14:paraId="0B5A49CF" w14:textId="77777777" w:rsidR="00DF1FC7" w:rsidRDefault="00DF1FC7" w:rsidP="002E5BAD">
      <w:pPr>
        <w:pStyle w:val="a5"/>
      </w:pPr>
      <w:r>
        <w:rPr>
          <w:rStyle w:val="a7"/>
        </w:rPr>
        <w:footnoteRef/>
      </w:r>
      <w:r>
        <w:rPr>
          <w:rtl/>
        </w:rPr>
        <w:t xml:space="preserve"> </w:t>
      </w:r>
      <w:r w:rsidRPr="005104B9">
        <w:rPr>
          <w:rFonts w:cs="Arial"/>
          <w:rtl/>
        </w:rPr>
        <w:t>ומת בלא בנים וירשו רב חייא אחיו</w:t>
      </w:r>
      <w:r>
        <w:rPr>
          <w:rFonts w:cs="Arial" w:hint="cs"/>
          <w:rtl/>
        </w:rPr>
        <w:t>, רש"י.</w:t>
      </w:r>
    </w:p>
  </w:footnote>
  <w:footnote w:id="2502">
    <w:p w14:paraId="21CE2FF7" w14:textId="77777777" w:rsidR="00DF1FC7" w:rsidRDefault="00DF1FC7" w:rsidP="002E5BAD">
      <w:pPr>
        <w:pStyle w:val="a5"/>
      </w:pPr>
      <w:r>
        <w:rPr>
          <w:rStyle w:val="a7"/>
        </w:rPr>
        <w:footnoteRef/>
      </w:r>
      <w:r>
        <w:rPr>
          <w:rtl/>
        </w:rPr>
        <w:t xml:space="preserve"> </w:t>
      </w:r>
      <w:r w:rsidRPr="005104B9">
        <w:rPr>
          <w:rFonts w:cs="Arial"/>
          <w:rtl/>
        </w:rPr>
        <w:t>דאלמנה בבית אביה אינה גובה אלא עד כ"ה שנים כרבנן</w:t>
      </w:r>
      <w:r>
        <w:rPr>
          <w:rFonts w:cs="Arial" w:hint="cs"/>
          <w:rtl/>
        </w:rPr>
        <w:t>, רש"י.</w:t>
      </w:r>
    </w:p>
  </w:footnote>
  <w:footnote w:id="2503">
    <w:p w14:paraId="7E12DF2F" w14:textId="77777777" w:rsidR="00DF1FC7" w:rsidRDefault="00DF1FC7" w:rsidP="002E5BAD">
      <w:pPr>
        <w:pStyle w:val="a5"/>
      </w:pPr>
      <w:r>
        <w:rPr>
          <w:rStyle w:val="a7"/>
        </w:rPr>
        <w:footnoteRef/>
      </w:r>
      <w:r>
        <w:rPr>
          <w:rtl/>
        </w:rPr>
        <w:t xml:space="preserve"> </w:t>
      </w:r>
      <w:r w:rsidRPr="005104B9">
        <w:rPr>
          <w:rFonts w:cs="Arial"/>
          <w:rtl/>
        </w:rPr>
        <w:t>מזונותיה מיום ליום</w:t>
      </w:r>
      <w:r>
        <w:rPr>
          <w:rFonts w:cs="Arial" w:hint="cs"/>
          <w:rtl/>
        </w:rPr>
        <w:t>, רש"י.</w:t>
      </w:r>
    </w:p>
  </w:footnote>
  <w:footnote w:id="2504">
    <w:p w14:paraId="350900B7" w14:textId="77777777" w:rsidR="00DF1FC7" w:rsidRDefault="00DF1FC7" w:rsidP="002E5BAD">
      <w:pPr>
        <w:pStyle w:val="a5"/>
      </w:pPr>
      <w:r>
        <w:rPr>
          <w:rStyle w:val="a7"/>
        </w:rPr>
        <w:footnoteRef/>
      </w:r>
      <w:r>
        <w:rPr>
          <w:rtl/>
        </w:rPr>
        <w:t xml:space="preserve"> </w:t>
      </w:r>
      <w:r w:rsidRPr="005104B9">
        <w:rPr>
          <w:rFonts w:cs="Arial"/>
          <w:rtl/>
        </w:rPr>
        <w:t>מחמת הכבוד הזה שעשית לה</w:t>
      </w:r>
      <w:r>
        <w:rPr>
          <w:rFonts w:cs="Arial" w:hint="cs"/>
          <w:rtl/>
        </w:rPr>
        <w:t>, רש"י.</w:t>
      </w:r>
    </w:p>
  </w:footnote>
  <w:footnote w:id="2505">
    <w:p w14:paraId="356D4306" w14:textId="77777777" w:rsidR="00DF1FC7" w:rsidRDefault="00DF1FC7" w:rsidP="002E5BAD">
      <w:pPr>
        <w:pStyle w:val="a5"/>
      </w:pPr>
      <w:r>
        <w:rPr>
          <w:rStyle w:val="a7"/>
        </w:rPr>
        <w:footnoteRef/>
      </w:r>
      <w:r>
        <w:rPr>
          <w:rtl/>
        </w:rPr>
        <w:t xml:space="preserve"> </w:t>
      </w:r>
      <w:r>
        <w:rPr>
          <w:rFonts w:hint="cs"/>
          <w:rtl/>
        </w:rPr>
        <w:t xml:space="preserve">וז"ל- </w:t>
      </w:r>
      <w:r w:rsidRPr="00B97831">
        <w:rPr>
          <w:rFonts w:cs="Arial"/>
          <w:rtl/>
        </w:rPr>
        <w:t>אם היה היורש עצמו מוליך מזונותיה לבית אביה ומיטפל בה יש לה לתבוע כתובתה אפילו אחר כ"ה שנה מפני שזה ששתקה ולא תבעה מפני שהיא בושה מן היורשים</w:t>
      </w:r>
      <w:r>
        <w:rPr>
          <w:rFonts w:cs="Arial" w:hint="cs"/>
          <w:rtl/>
        </w:rPr>
        <w:t>.</w:t>
      </w:r>
    </w:p>
  </w:footnote>
  <w:footnote w:id="2506">
    <w:p w14:paraId="3BB10F27" w14:textId="77777777" w:rsidR="00DF1FC7" w:rsidRDefault="00DF1FC7" w:rsidP="002E5BAD">
      <w:pPr>
        <w:pStyle w:val="a5"/>
        <w:rPr>
          <w:rtl/>
        </w:rPr>
      </w:pPr>
      <w:r>
        <w:rPr>
          <w:rStyle w:val="a7"/>
        </w:rPr>
        <w:footnoteRef/>
      </w:r>
      <w:r>
        <w:rPr>
          <w:rFonts w:hint="cs"/>
          <w:rtl/>
        </w:rPr>
        <w:t xml:space="preserve"> וכתב הרא"ש על דבריו-</w:t>
      </w:r>
      <w:r>
        <w:rPr>
          <w:rtl/>
        </w:rPr>
        <w:t xml:space="preserve"> </w:t>
      </w:r>
      <w:r w:rsidRPr="005104B9">
        <w:rPr>
          <w:rFonts w:cs="Arial"/>
          <w:rtl/>
        </w:rPr>
        <w:t>ומיהו י"ל דשאני התם דבכתפיה אמטי לה</w:t>
      </w:r>
      <w:r w:rsidRPr="005104B9">
        <w:rPr>
          <w:rFonts w:cs="Arial" w:hint="cs"/>
          <w:rtl/>
        </w:rPr>
        <w:t>,</w:t>
      </w:r>
      <w:r w:rsidRPr="005104B9">
        <w:rPr>
          <w:rFonts w:cs="Arial"/>
          <w:rtl/>
        </w:rPr>
        <w:t xml:space="preserve"> אבל אם נתנו לה דמי מזונות אינה גובה</w:t>
      </w:r>
      <w:r>
        <w:rPr>
          <w:rFonts w:cs="Arial" w:hint="cs"/>
          <w:rtl/>
        </w:rPr>
        <w:t>. עכ"ל</w:t>
      </w:r>
      <w:r w:rsidRPr="005104B9">
        <w:rPr>
          <w:rFonts w:cs="Arial" w:hint="cs"/>
          <w:rtl/>
        </w:rPr>
        <w:t>.</w:t>
      </w:r>
      <w:r w:rsidRPr="005104B9">
        <w:rPr>
          <w:rFonts w:cs="Arial"/>
          <w:rtl/>
        </w:rPr>
        <w:t xml:space="preserve"> </w:t>
      </w:r>
    </w:p>
  </w:footnote>
  <w:footnote w:id="2507">
    <w:p w14:paraId="129F1A12" w14:textId="77777777" w:rsidR="00DF1FC7" w:rsidRDefault="00DF1FC7" w:rsidP="002E5BAD">
      <w:pPr>
        <w:pStyle w:val="a5"/>
      </w:pPr>
      <w:r>
        <w:rPr>
          <w:rStyle w:val="a7"/>
        </w:rPr>
        <w:footnoteRef/>
      </w:r>
      <w:r>
        <w:rPr>
          <w:rtl/>
        </w:rPr>
        <w:t xml:space="preserve"> </w:t>
      </w:r>
      <w:r w:rsidRPr="00B5497E">
        <w:rPr>
          <w:rFonts w:cs="Arial"/>
          <w:rtl/>
        </w:rPr>
        <w:t>משמע דתרתי בעי' שאין נותנין לה דמים רק מזונות מוכנים וגם שמביאים לה בעצמם ולא שולחין לה ע"י שליח</w:t>
      </w:r>
      <w:r>
        <w:rPr>
          <w:rFonts w:cs="Arial" w:hint="cs"/>
          <w:rtl/>
        </w:rPr>
        <w:t>, ח"מ (סק"ח).</w:t>
      </w:r>
    </w:p>
  </w:footnote>
  <w:footnote w:id="2508">
    <w:p w14:paraId="7CB7E247" w14:textId="77777777" w:rsidR="00DF1FC7" w:rsidRDefault="00DF1FC7" w:rsidP="002E5BAD">
      <w:pPr>
        <w:pStyle w:val="a5"/>
        <w:rPr>
          <w:rtl/>
        </w:rPr>
      </w:pPr>
      <w:r>
        <w:rPr>
          <w:rStyle w:val="a7"/>
        </w:rPr>
        <w:footnoteRef/>
      </w:r>
      <w:r>
        <w:rPr>
          <w:rtl/>
        </w:rPr>
        <w:t xml:space="preserve"> </w:t>
      </w:r>
      <w:r w:rsidRPr="00E31458">
        <w:rPr>
          <w:rFonts w:cs="Arial"/>
          <w:rtl/>
        </w:rPr>
        <w:t>דבכ"ה שנים מחלה</w:t>
      </w:r>
      <w:r>
        <w:rPr>
          <w:rFonts w:hint="cs"/>
          <w:rtl/>
        </w:rPr>
        <w:t>, רש"י.</w:t>
      </w:r>
    </w:p>
  </w:footnote>
  <w:footnote w:id="2509">
    <w:p w14:paraId="3570B169" w14:textId="77777777" w:rsidR="00DF1FC7" w:rsidRDefault="00DF1FC7" w:rsidP="002E5BAD">
      <w:pPr>
        <w:pStyle w:val="a5"/>
      </w:pPr>
      <w:r>
        <w:rPr>
          <w:rStyle w:val="a7"/>
        </w:rPr>
        <w:footnoteRef/>
      </w:r>
      <w:r>
        <w:rPr>
          <w:rtl/>
        </w:rPr>
        <w:t xml:space="preserve"> </w:t>
      </w:r>
      <w:r w:rsidRPr="00E31458">
        <w:rPr>
          <w:rFonts w:cs="Arial"/>
          <w:rtl/>
        </w:rPr>
        <w:t>שהם שם כתובה</w:t>
      </w:r>
      <w:r>
        <w:rPr>
          <w:rFonts w:cs="Arial" w:hint="cs"/>
          <w:rtl/>
        </w:rPr>
        <w:t>, רש"י.</w:t>
      </w:r>
    </w:p>
  </w:footnote>
  <w:footnote w:id="2510">
    <w:p w14:paraId="3F52C71C" w14:textId="77777777" w:rsidR="00DF1FC7" w:rsidRDefault="00DF1FC7" w:rsidP="002E5BAD">
      <w:pPr>
        <w:pStyle w:val="a5"/>
      </w:pPr>
      <w:r>
        <w:rPr>
          <w:rStyle w:val="a7"/>
        </w:rPr>
        <w:footnoteRef/>
      </w:r>
      <w:r>
        <w:rPr>
          <w:rtl/>
        </w:rPr>
        <w:t xml:space="preserve"> </w:t>
      </w:r>
      <w:r w:rsidRPr="00E31458">
        <w:rPr>
          <w:rFonts w:cs="Arial"/>
          <w:rtl/>
        </w:rPr>
        <w:t>דמתנה היא ולאו כתובה</w:t>
      </w:r>
      <w:r>
        <w:rPr>
          <w:rFonts w:cs="Arial" w:hint="cs"/>
          <w:rtl/>
        </w:rPr>
        <w:t>, רש"י.</w:t>
      </w:r>
    </w:p>
  </w:footnote>
  <w:footnote w:id="2511">
    <w:p w14:paraId="65AD5F53" w14:textId="77777777" w:rsidR="00DF1FC7" w:rsidRDefault="00DF1FC7" w:rsidP="002E5BAD">
      <w:pPr>
        <w:pStyle w:val="a5"/>
      </w:pPr>
      <w:r>
        <w:rPr>
          <w:rStyle w:val="a7"/>
        </w:rPr>
        <w:footnoteRef/>
      </w:r>
      <w:r>
        <w:rPr>
          <w:rtl/>
        </w:rPr>
        <w:t xml:space="preserve"> </w:t>
      </w:r>
      <w:r>
        <w:rPr>
          <w:rFonts w:hint="cs"/>
          <w:rtl/>
        </w:rPr>
        <w:t>תוספת, רש"י.</w:t>
      </w:r>
    </w:p>
  </w:footnote>
  <w:footnote w:id="2512">
    <w:p w14:paraId="472EF168" w14:textId="77777777" w:rsidR="00DF1FC7" w:rsidRDefault="00DF1FC7" w:rsidP="002E5BAD">
      <w:pPr>
        <w:pStyle w:val="a5"/>
      </w:pPr>
      <w:r>
        <w:rPr>
          <w:rStyle w:val="a7"/>
        </w:rPr>
        <w:footnoteRef/>
      </w:r>
      <w:r>
        <w:rPr>
          <w:rtl/>
        </w:rPr>
        <w:t xml:space="preserve"> </w:t>
      </w:r>
      <w:r w:rsidRPr="00D53987">
        <w:rPr>
          <w:rFonts w:cs="Arial"/>
          <w:rtl/>
        </w:rPr>
        <w:t>האי דמתמהת ואמרת אמר רב הכי משום דלא סבירא לך הוא ולאשתיקן קאמרת או משום דחביבה עלך ולאשקיין קאמרת דאי אמרה רב משקית לי חמרא דשפיר אמר</w:t>
      </w:r>
      <w:r>
        <w:rPr>
          <w:rFonts w:cs="Arial" w:hint="cs"/>
          <w:rtl/>
        </w:rPr>
        <w:t>, רש"י.</w:t>
      </w:r>
    </w:p>
  </w:footnote>
  <w:footnote w:id="2513">
    <w:p w14:paraId="6EEFFF17" w14:textId="77777777" w:rsidR="00DF1FC7" w:rsidRDefault="00DF1FC7" w:rsidP="002E5BAD">
      <w:pPr>
        <w:pStyle w:val="a5"/>
        <w:rPr>
          <w:rtl/>
        </w:rPr>
      </w:pPr>
      <w:r>
        <w:rPr>
          <w:rStyle w:val="a7"/>
        </w:rPr>
        <w:footnoteRef/>
      </w:r>
      <w:r>
        <w:rPr>
          <w:rtl/>
        </w:rPr>
        <w:t xml:space="preserve"> </w:t>
      </w:r>
      <w:r>
        <w:rPr>
          <w:rFonts w:cs="Arial"/>
          <w:rtl/>
        </w:rPr>
        <w:t>שהוא ז"ל גורס אמר רבי יהושע בן לוי משום בר קפרא לא שנו אלא מנה ומאתים אבל תוספת אין לה ורבי אבהו אמר רבי יוחנן אפילו תוספת יש לה דאמר רבי איבו אמר רבי ינאי תנאי כתובה ככתובה דמי וכן הלכתא. וכתב הר"ן (שם) ה"פ ל"ש דגובה לעולם בששטר כתובה יוצא מתחת ידה אלא מנה מאתים דמשעבדי לה בתקנתא דרבנן אבל תוספת מכ"ה שנה ואילך לית לה כיון שלא תבעתו בתוך כ"ה שנה ורבי יוחנן אמר אפילו תוספת יש לה דתנאי כתובה ככתובה דמי וכיון דאית לה מנה ומאתים אית לה נמי תוספת ואין גירסא זו מחוורת דהיכי לימא רבי יהושע בן לוי שיהא דין התוספת גרוע מן העיקר דאדרבה תוספת דמי לחוב שדינו לגבות לעולם ומצינו שייפו כחו מן העיקר דהא אמרינן בפרק אלמנה נזונת (קא.) אין להם מנה מאתים אבל תוספת יש להם לפיכך נראה העיקר כגירסת רש"י (קד:) שגורס ל"ש אלא מנה מאתים אבל תוספת יש לה ורבי אבהו אמר רבי יוחנן אפילו תוספת אין לה והכי איתא בהדיא בירושלמי (כתובות פי"ב ה"ה) עכ"ל</w:t>
      </w:r>
      <w:r>
        <w:rPr>
          <w:rFonts w:hint="cs"/>
          <w:sz w:val="16"/>
          <w:szCs w:val="16"/>
          <w:rtl/>
        </w:rPr>
        <w:t xml:space="preserve"> [הר"ן]</w:t>
      </w:r>
      <w:r>
        <w:rPr>
          <w:rFonts w:hint="cs"/>
          <w:rtl/>
        </w:rPr>
        <w:t>, ב"י.</w:t>
      </w:r>
    </w:p>
  </w:footnote>
  <w:footnote w:id="2514">
    <w:p w14:paraId="081A0D2B" w14:textId="77777777" w:rsidR="00DF1FC7" w:rsidRDefault="00DF1FC7" w:rsidP="002E5BAD">
      <w:pPr>
        <w:pStyle w:val="a5"/>
        <w:rPr>
          <w:rtl/>
        </w:rPr>
      </w:pPr>
      <w:r>
        <w:rPr>
          <w:rStyle w:val="a7"/>
        </w:rPr>
        <w:footnoteRef/>
      </w:r>
      <w:r>
        <w:rPr>
          <w:rtl/>
        </w:rPr>
        <w:t xml:space="preserve"> </w:t>
      </w:r>
      <w:r>
        <w:rPr>
          <w:rFonts w:cs="Arial"/>
          <w:rtl/>
        </w:rPr>
        <w:t>נראה שדקדק כך רבינו מדכתב הרמב"ם בפרק י"ו (הכ"ג) כלשון הזה</w:t>
      </w:r>
      <w:r>
        <w:rPr>
          <w:rFonts w:cs="Arial" w:hint="cs"/>
          <w:rtl/>
        </w:rPr>
        <w:t>-</w:t>
      </w:r>
      <w:r>
        <w:rPr>
          <w:rFonts w:cs="Arial"/>
          <w:rtl/>
        </w:rPr>
        <w:t xml:space="preserve"> ועד כמה תגבה האלמנה העיקר במקום שאין כותבין כתובה אם היתה בבית בעלה גובה לעולם ואם היתה בבית אביה עד כ"ה שנה ואם באה לתבוע אחר כ"ה שנה אין לה כלום שאילו לא מחלה לא שתקה כל זמן זה</w:t>
      </w:r>
      <w:r>
        <w:rPr>
          <w:rFonts w:cs="Arial" w:hint="cs"/>
          <w:sz w:val="16"/>
          <w:szCs w:val="16"/>
          <w:rtl/>
        </w:rPr>
        <w:t xml:space="preserve"> [עכ"ל הרמב"ם]</w:t>
      </w:r>
      <w:r>
        <w:rPr>
          <w:rFonts w:cs="Arial" w:hint="cs"/>
          <w:rtl/>
        </w:rPr>
        <w:t>.</w:t>
      </w:r>
      <w:r>
        <w:rPr>
          <w:rFonts w:cs="Arial"/>
          <w:rtl/>
        </w:rPr>
        <w:t xml:space="preserve"> ומשמע לרבינו דמחילה דאחר כ"ה שנה כשהיא בבית אביה אגביית עיקר שכת' ברישא קאי ולא אתוספת</w:t>
      </w:r>
      <w:r>
        <w:rPr>
          <w:rFonts w:cs="Arial" w:hint="cs"/>
          <w:rtl/>
        </w:rPr>
        <w:t>.</w:t>
      </w:r>
      <w:r>
        <w:rPr>
          <w:rFonts w:cs="Arial"/>
          <w:rtl/>
        </w:rPr>
        <w:t xml:space="preserve"> ולי נראה דאיכא למימר דאין הכי נמי דתוספת נמי הויא שתיקה מחילה</w:t>
      </w:r>
      <w:r>
        <w:rPr>
          <w:rFonts w:cs="Arial" w:hint="cs"/>
          <w:rtl/>
        </w:rPr>
        <w:t>,</w:t>
      </w:r>
      <w:r>
        <w:rPr>
          <w:rFonts w:cs="Arial"/>
          <w:rtl/>
        </w:rPr>
        <w:t xml:space="preserve"> ומה שלא הזכיר אלא העיקר משום דבמקו' שאין כותבין מיירי</w:t>
      </w:r>
      <w:r>
        <w:rPr>
          <w:rFonts w:cs="Arial" w:hint="cs"/>
          <w:rtl/>
        </w:rPr>
        <w:t>,</w:t>
      </w:r>
      <w:r>
        <w:rPr>
          <w:rFonts w:cs="Arial"/>
          <w:rtl/>
        </w:rPr>
        <w:t xml:space="preserve"> וכבר כתב (שם הכ"ב) דתוספת אין לה בכל מקום אלא בראיה ברורה</w:t>
      </w:r>
      <w:r>
        <w:rPr>
          <w:rFonts w:cs="Arial" w:hint="cs"/>
          <w:rtl/>
        </w:rPr>
        <w:t>,</w:t>
      </w:r>
      <w:r>
        <w:rPr>
          <w:rFonts w:cs="Arial"/>
          <w:rtl/>
        </w:rPr>
        <w:t xml:space="preserve"> ואם כן בלא טענת מחילה נמי לית לה תוספת כל שאין לה ראיה ברורה</w:t>
      </w:r>
      <w:r>
        <w:rPr>
          <w:rFonts w:cs="Arial" w:hint="cs"/>
          <w:rtl/>
        </w:rPr>
        <w:t>,</w:t>
      </w:r>
      <w:r>
        <w:rPr>
          <w:rFonts w:cs="Arial"/>
          <w:rtl/>
        </w:rPr>
        <w:t xml:space="preserve"> אבל עיקר לעולם יש לה</w:t>
      </w:r>
      <w:r>
        <w:rPr>
          <w:rFonts w:cs="Arial" w:hint="cs"/>
          <w:rtl/>
        </w:rPr>
        <w:t>,</w:t>
      </w:r>
      <w:r>
        <w:rPr>
          <w:rFonts w:cs="Arial"/>
          <w:rtl/>
        </w:rPr>
        <w:t xml:space="preserve"> אלא היכא ששהתה כ"ה שנה ומשום טענת מחילה</w:t>
      </w:r>
      <w:r>
        <w:rPr>
          <w:rFonts w:cs="Arial" w:hint="cs"/>
          <w:rtl/>
        </w:rPr>
        <w:t>.</w:t>
      </w:r>
      <w:r>
        <w:rPr>
          <w:rFonts w:cs="Arial"/>
          <w:rtl/>
        </w:rPr>
        <w:t xml:space="preserve"> ומטעם זה נקט עיקר</w:t>
      </w:r>
      <w:r>
        <w:rPr>
          <w:rFonts w:cs="Arial" w:hint="cs"/>
          <w:rtl/>
        </w:rPr>
        <w:t>,</w:t>
      </w:r>
      <w:r>
        <w:rPr>
          <w:rFonts w:cs="Arial"/>
          <w:rtl/>
        </w:rPr>
        <w:t xml:space="preserve"> אבל אין הכי נמי דהיכא דאית לה ראיה ברורה על התוספת אם היא בבית אביה ושתקה כ"ה שנה מחלה נמי תוספת</w:t>
      </w:r>
      <w:r>
        <w:rPr>
          <w:rFonts w:cs="Arial" w:hint="cs"/>
          <w:rtl/>
        </w:rPr>
        <w:t>.</w:t>
      </w:r>
      <w:r>
        <w:rPr>
          <w:rFonts w:cs="Arial"/>
          <w:rtl/>
        </w:rPr>
        <w:t xml:space="preserve"> וכן כתב הרב המגיד ז"ל</w:t>
      </w:r>
      <w:r>
        <w:rPr>
          <w:rFonts w:cs="Arial" w:hint="cs"/>
          <w:rtl/>
        </w:rPr>
        <w:t>, ב"י.</w:t>
      </w:r>
    </w:p>
  </w:footnote>
  <w:footnote w:id="2515">
    <w:p w14:paraId="6A77EF2E" w14:textId="77777777" w:rsidR="00DF1FC7" w:rsidRDefault="00DF1FC7" w:rsidP="002E5BAD">
      <w:pPr>
        <w:pStyle w:val="a5"/>
        <w:rPr>
          <w:rtl/>
        </w:rPr>
      </w:pPr>
      <w:r>
        <w:rPr>
          <w:rStyle w:val="a7"/>
        </w:rPr>
        <w:footnoteRef/>
      </w:r>
      <w:r>
        <w:rPr>
          <w:rtl/>
        </w:rPr>
        <w:t xml:space="preserve"> </w:t>
      </w:r>
      <w:r w:rsidRPr="00D654CC">
        <w:rPr>
          <w:rFonts w:cs="Arial"/>
          <w:rtl/>
        </w:rPr>
        <w:t>קשה אי מיירי בשטר כתובה יוצא מתחת ידה אף כתובה אינה מוחלת ואי אין כתובה בידה אינה יכולה לגבות הנדוניא והמ"מ כתב דמיירי שהיורשים מודים שלא פרעוה אף על פי שאבדה כתובתה עיקר ותוספות לא אבדה הנדוניא</w:t>
      </w:r>
      <w:r>
        <w:rPr>
          <w:rFonts w:hint="cs"/>
          <w:rtl/>
        </w:rPr>
        <w:t>, ח"מ (סק"ט).</w:t>
      </w:r>
    </w:p>
  </w:footnote>
  <w:footnote w:id="2516">
    <w:p w14:paraId="161F9945" w14:textId="77777777" w:rsidR="00DF1FC7" w:rsidRDefault="00DF1FC7" w:rsidP="002E5BAD">
      <w:pPr>
        <w:pStyle w:val="a5"/>
      </w:pPr>
      <w:r>
        <w:rPr>
          <w:rStyle w:val="a7"/>
        </w:rPr>
        <w:footnoteRef/>
      </w:r>
      <w:r>
        <w:rPr>
          <w:rtl/>
        </w:rPr>
        <w:t xml:space="preserve"> </w:t>
      </w:r>
      <w:r w:rsidRPr="00B97831">
        <w:rPr>
          <w:rFonts w:cs="Arial"/>
          <w:rtl/>
        </w:rPr>
        <w:t>חוב לגבות לעולם שלא בהזכרה דודאי לא מחלה</w:t>
      </w:r>
      <w:r>
        <w:rPr>
          <w:rFonts w:cs="Arial" w:hint="cs"/>
          <w:rtl/>
        </w:rPr>
        <w:t>, רש"י.</w:t>
      </w:r>
    </w:p>
  </w:footnote>
  <w:footnote w:id="2517">
    <w:p w14:paraId="5547B293" w14:textId="77777777" w:rsidR="00DF1FC7" w:rsidRDefault="00DF1FC7" w:rsidP="002E5BAD">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2518">
    <w:p w14:paraId="3A9A8852" w14:textId="77777777" w:rsidR="00DF1FC7" w:rsidRDefault="00DF1FC7" w:rsidP="002E5BAD">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2519">
    <w:p w14:paraId="556C803D" w14:textId="77777777" w:rsidR="00DF1FC7" w:rsidRDefault="00DF1FC7" w:rsidP="002E5BAD">
      <w:pPr>
        <w:pStyle w:val="a5"/>
      </w:pPr>
      <w:r>
        <w:rPr>
          <w:rStyle w:val="a7"/>
        </w:rPr>
        <w:footnoteRef/>
      </w:r>
      <w:r>
        <w:rPr>
          <w:rtl/>
        </w:rPr>
        <w:t xml:space="preserve"> </w:t>
      </w:r>
      <w:r w:rsidRPr="003A4B45">
        <w:rPr>
          <w:rFonts w:cs="Arial"/>
          <w:rtl/>
        </w:rPr>
        <w:t>מן השלש שדות שגבו ג' נשים ראשונות</w:t>
      </w:r>
      <w:r>
        <w:rPr>
          <w:rFonts w:cs="Arial" w:hint="cs"/>
          <w:rtl/>
        </w:rPr>
        <w:t>, רש"י.</w:t>
      </w:r>
    </w:p>
  </w:footnote>
  <w:footnote w:id="2520">
    <w:p w14:paraId="3E8084D1" w14:textId="77777777" w:rsidR="00DF1FC7" w:rsidRDefault="00DF1FC7" w:rsidP="002E5BAD">
      <w:pPr>
        <w:pStyle w:val="a5"/>
      </w:pPr>
      <w:r>
        <w:rPr>
          <w:rStyle w:val="a7"/>
        </w:rPr>
        <w:footnoteRef/>
      </w:r>
      <w:r>
        <w:rPr>
          <w:rtl/>
        </w:rPr>
        <w:t xml:space="preserve"> </w:t>
      </w:r>
      <w:r w:rsidRPr="003A4B45">
        <w:rPr>
          <w:rFonts w:cs="Arial"/>
          <w:rtl/>
        </w:rPr>
        <w:t>שנודע שגזלה וסוף שיבואו בעלים ויטלוה ממנה וכשבאה רביעית לגבות כתובתה משדה רביעית באה זו ועומדת לאמר למחר יבא הנגזל ויטול שדהו מידי ונמצאתי קרחת רצוני שתשבעי שלא גבית כתובתיך בחיי הבעל</w:t>
      </w:r>
      <w:r>
        <w:rPr>
          <w:rFonts w:cs="Arial" w:hint="cs"/>
          <w:rtl/>
        </w:rPr>
        <w:t>, רש"י.</w:t>
      </w:r>
    </w:p>
  </w:footnote>
  <w:footnote w:id="2521">
    <w:p w14:paraId="63742BE7" w14:textId="77777777" w:rsidR="00DF1FC7" w:rsidRDefault="00DF1FC7" w:rsidP="002E5BAD">
      <w:pPr>
        <w:pStyle w:val="a5"/>
      </w:pPr>
      <w:r>
        <w:rPr>
          <w:rStyle w:val="a7"/>
        </w:rPr>
        <w:footnoteRef/>
      </w:r>
      <w:r>
        <w:rPr>
          <w:rtl/>
        </w:rPr>
        <w:t xml:space="preserve"> </w:t>
      </w:r>
      <w:r w:rsidRPr="003A4B45">
        <w:rPr>
          <w:rFonts w:cs="Arial"/>
          <w:rtl/>
        </w:rPr>
        <w:t>הלכך למה תשבע אם יבא הנגזל ויטרוף מזו תחזור היא על הרביעית ותטול ממנה מה שגבתה דהויא לה רביעית בעל חוב מאוחר</w:t>
      </w:r>
      <w:r>
        <w:rPr>
          <w:rFonts w:cs="Arial" w:hint="cs"/>
          <w:rtl/>
        </w:rPr>
        <w:t>, רש"י.</w:t>
      </w:r>
    </w:p>
  </w:footnote>
  <w:footnote w:id="2522">
    <w:p w14:paraId="7AC51EEC" w14:textId="77777777" w:rsidR="00DF1FC7" w:rsidRDefault="00DF1FC7" w:rsidP="002E5BAD">
      <w:pPr>
        <w:pStyle w:val="a5"/>
      </w:pPr>
      <w:r>
        <w:rPr>
          <w:rStyle w:val="a7"/>
        </w:rPr>
        <w:footnoteRef/>
      </w:r>
      <w:r>
        <w:rPr>
          <w:rtl/>
        </w:rPr>
        <w:t xml:space="preserve"> </w:t>
      </w:r>
      <w:r w:rsidRPr="003A4B45">
        <w:rPr>
          <w:rFonts w:cs="Arial"/>
          <w:rtl/>
        </w:rPr>
        <w:t>ואין השלישית חוזרת עליה לפיכך יכולה להשביעה</w:t>
      </w:r>
      <w:r>
        <w:rPr>
          <w:rFonts w:cs="Arial" w:hint="cs"/>
          <w:rtl/>
        </w:rPr>
        <w:t>, רש"י.</w:t>
      </w:r>
    </w:p>
  </w:footnote>
  <w:footnote w:id="2523">
    <w:p w14:paraId="7740340D" w14:textId="77777777" w:rsidR="00DF1FC7" w:rsidRDefault="00DF1FC7" w:rsidP="002E5BAD">
      <w:pPr>
        <w:pStyle w:val="a5"/>
      </w:pPr>
      <w:r>
        <w:rPr>
          <w:rStyle w:val="a7"/>
        </w:rPr>
        <w:footnoteRef/>
      </w:r>
      <w:r>
        <w:rPr>
          <w:rtl/>
        </w:rPr>
        <w:t xml:space="preserve"> </w:t>
      </w:r>
      <w:r>
        <w:rPr>
          <w:rFonts w:hint="cs"/>
          <w:rtl/>
        </w:rPr>
        <w:t>הטור כתב דמיירי במי שמת כדי לאפוקי מתירוץ ר"ת (בתוס' כתובות פו. ד"ה לאשה לא) שכתב שאם מת הלוה יהבינן (כשזמן השטר והכתובה שוים) לאשה בכתובתה משום חינא, ע"פ ב"ח (כאן, דיבור ראשון). וכתב הב"ש (סק"א)</w:t>
      </w:r>
      <w:r w:rsidRPr="00B520B4">
        <w:rPr>
          <w:rtl/>
        </w:rPr>
        <w:t xml:space="preserve"> </w:t>
      </w:r>
      <w:r>
        <w:rPr>
          <w:rFonts w:hint="cs"/>
          <w:rtl/>
        </w:rPr>
        <w:t>ד</w:t>
      </w:r>
      <w:r w:rsidRPr="00B520B4">
        <w:rPr>
          <w:rFonts w:cs="Arial"/>
          <w:rtl/>
        </w:rPr>
        <w:t>גם י"ל דלא תימ</w:t>
      </w:r>
      <w:r>
        <w:rPr>
          <w:rFonts w:cs="Arial" w:hint="cs"/>
          <w:rtl/>
        </w:rPr>
        <w:t>ה</w:t>
      </w:r>
      <w:r w:rsidRPr="00B520B4">
        <w:rPr>
          <w:rFonts w:cs="Arial"/>
          <w:rtl/>
        </w:rPr>
        <w:t xml:space="preserve"> דדוקא כשהוא חי דאז המטלטלין משועבדים מדינ</w:t>
      </w:r>
      <w:r>
        <w:rPr>
          <w:rFonts w:cs="Arial" w:hint="cs"/>
          <w:rtl/>
        </w:rPr>
        <w:t>א</w:t>
      </w:r>
      <w:r w:rsidRPr="00B520B4">
        <w:rPr>
          <w:rFonts w:cs="Arial"/>
          <w:rtl/>
        </w:rPr>
        <w:t xml:space="preserve"> לב"ח ולה אינם משועבדים אלא מצד התקנה אז מיפים כח ב"ח ולא אחר מותו </w:t>
      </w:r>
      <w:r>
        <w:rPr>
          <w:rFonts w:cs="Arial" w:hint="cs"/>
          <w:rtl/>
        </w:rPr>
        <w:t xml:space="preserve">- </w:t>
      </w:r>
      <w:r w:rsidRPr="00B520B4">
        <w:rPr>
          <w:rFonts w:cs="Arial"/>
          <w:rtl/>
        </w:rPr>
        <w:t>קמ"ל</w:t>
      </w:r>
      <w:r>
        <w:rPr>
          <w:rFonts w:cs="Arial" w:hint="cs"/>
          <w:rtl/>
        </w:rPr>
        <w:t>.</w:t>
      </w:r>
      <w:r w:rsidRPr="00B520B4">
        <w:rPr>
          <w:rFonts w:cs="Arial"/>
          <w:rtl/>
        </w:rPr>
        <w:t xml:space="preserve"> וכעין זה ס"ל לראב"י</w:t>
      </w:r>
      <w:r>
        <w:rPr>
          <w:rFonts w:cs="Arial" w:hint="cs"/>
          <w:rtl/>
        </w:rPr>
        <w:t>.</w:t>
      </w:r>
    </w:p>
  </w:footnote>
  <w:footnote w:id="2524">
    <w:p w14:paraId="7519BB59" w14:textId="77777777" w:rsidR="00DF1FC7" w:rsidRDefault="00DF1FC7" w:rsidP="002E5BAD">
      <w:pPr>
        <w:pStyle w:val="a5"/>
      </w:pPr>
      <w:r>
        <w:rPr>
          <w:rStyle w:val="a7"/>
        </w:rPr>
        <w:footnoteRef/>
      </w:r>
      <w:r>
        <w:rPr>
          <w:rtl/>
        </w:rPr>
        <w:t xml:space="preserve"> </w:t>
      </w:r>
      <w:r w:rsidRPr="00A167C1">
        <w:rPr>
          <w:rFonts w:cs="Arial"/>
          <w:rtl/>
        </w:rPr>
        <w:t>והוא הדין בגרושה</w:t>
      </w:r>
      <w:r>
        <w:rPr>
          <w:rFonts w:cs="Arial" w:hint="cs"/>
          <w:rtl/>
        </w:rPr>
        <w:t>, דרכ"מ (אות א) בשם ה</w:t>
      </w:r>
      <w:r w:rsidRPr="00A167C1">
        <w:rPr>
          <w:rFonts w:cs="Arial"/>
          <w:rtl/>
        </w:rPr>
        <w:t xml:space="preserve">מרדכי </w:t>
      </w:r>
      <w:r>
        <w:rPr>
          <w:rFonts w:cs="Arial" w:hint="cs"/>
          <w:rtl/>
        </w:rPr>
        <w:t>(</w:t>
      </w:r>
      <w:r w:rsidRPr="00A167C1">
        <w:rPr>
          <w:rFonts w:cs="Arial"/>
          <w:rtl/>
        </w:rPr>
        <w:t>פרק הכותב</w:t>
      </w:r>
      <w:r>
        <w:rPr>
          <w:rFonts w:cs="Arial" w:hint="cs"/>
          <w:rtl/>
        </w:rPr>
        <w:t xml:space="preserve"> </w:t>
      </w:r>
      <w:r w:rsidRPr="00A167C1">
        <w:rPr>
          <w:rFonts w:cs="Arial"/>
          <w:rtl/>
        </w:rPr>
        <w:t>סי' רכ)</w:t>
      </w:r>
      <w:r>
        <w:rPr>
          <w:rFonts w:cs="Arial" w:hint="cs"/>
          <w:rtl/>
        </w:rPr>
        <w:t>. וכ"כ הרמב"ם (פי"ז ה"ד-ה).</w:t>
      </w:r>
      <w:r w:rsidRPr="00A167C1">
        <w:rPr>
          <w:rFonts w:cs="Arial"/>
          <w:rtl/>
        </w:rPr>
        <w:t xml:space="preserve"> </w:t>
      </w:r>
      <w:r>
        <w:rPr>
          <w:rFonts w:cs="Arial" w:hint="cs"/>
          <w:rtl/>
        </w:rPr>
        <w:t>וכתב עוד הדרכ"מ (שם) ל</w:t>
      </w:r>
      <w:r w:rsidRPr="00A167C1">
        <w:rPr>
          <w:rFonts w:cs="Arial"/>
          <w:rtl/>
        </w:rPr>
        <w:t xml:space="preserve">עיין בדינים אלו בתשובת </w:t>
      </w:r>
      <w:r>
        <w:rPr>
          <w:rFonts w:cs="Arial" w:hint="cs"/>
          <w:rtl/>
        </w:rPr>
        <w:t>הרשב"א (ב</w:t>
      </w:r>
      <w:r w:rsidRPr="00A167C1">
        <w:rPr>
          <w:rFonts w:cs="Arial"/>
          <w:rtl/>
        </w:rPr>
        <w:t>מיוחסות</w:t>
      </w:r>
      <w:r>
        <w:rPr>
          <w:rFonts w:cs="Arial" w:hint="cs"/>
          <w:rtl/>
        </w:rPr>
        <w:t xml:space="preserve"> סי'</w:t>
      </w:r>
      <w:r w:rsidRPr="00A167C1">
        <w:rPr>
          <w:rFonts w:cs="Arial"/>
          <w:rtl/>
        </w:rPr>
        <w:t xml:space="preserve"> פא</w:t>
      </w:r>
      <w:r>
        <w:rPr>
          <w:rFonts w:cs="Arial" w:hint="cs"/>
          <w:rtl/>
        </w:rPr>
        <w:t>-</w:t>
      </w:r>
      <w:r w:rsidRPr="00A167C1">
        <w:rPr>
          <w:rFonts w:cs="Arial"/>
          <w:rtl/>
        </w:rPr>
        <w:t>פב</w:t>
      </w:r>
      <w:r>
        <w:rPr>
          <w:rFonts w:cs="Arial" w:hint="cs"/>
          <w:rtl/>
        </w:rPr>
        <w:t>).</w:t>
      </w:r>
    </w:p>
  </w:footnote>
  <w:footnote w:id="2525">
    <w:p w14:paraId="7735436F" w14:textId="77777777" w:rsidR="00DF1FC7" w:rsidRDefault="00DF1FC7" w:rsidP="002E5BAD">
      <w:pPr>
        <w:pStyle w:val="a5"/>
        <w:rPr>
          <w:rtl/>
        </w:rPr>
      </w:pPr>
      <w:r>
        <w:rPr>
          <w:rStyle w:val="a7"/>
        </w:rPr>
        <w:footnoteRef/>
      </w:r>
      <w:r>
        <w:rPr>
          <w:rtl/>
        </w:rPr>
        <w:t xml:space="preserve"> </w:t>
      </w:r>
      <w:r w:rsidRPr="00B520B4">
        <w:rPr>
          <w:rFonts w:cs="Arial"/>
          <w:rtl/>
        </w:rPr>
        <w:t>אע"ג דקי"ל הברירה בידה לגבות הכתובה מ"מ במקום שחב לאחרים אי</w:t>
      </w:r>
      <w:r>
        <w:rPr>
          <w:rFonts w:cs="Arial" w:hint="cs"/>
          <w:rtl/>
        </w:rPr>
        <w:t>נה יכולה</w:t>
      </w:r>
      <w:r w:rsidRPr="00B520B4">
        <w:rPr>
          <w:rFonts w:cs="Arial"/>
          <w:rtl/>
        </w:rPr>
        <w:t xml:space="preserve"> לו</w:t>
      </w:r>
      <w:r>
        <w:rPr>
          <w:rFonts w:cs="Arial" w:hint="cs"/>
          <w:rtl/>
        </w:rPr>
        <w:t>מר</w:t>
      </w:r>
      <w:r w:rsidRPr="00B520B4">
        <w:rPr>
          <w:rFonts w:cs="Arial"/>
          <w:rtl/>
        </w:rPr>
        <w:t xml:space="preserve"> לא אגבה</w:t>
      </w:r>
      <w:r>
        <w:rPr>
          <w:rFonts w:hint="cs"/>
          <w:rtl/>
        </w:rPr>
        <w:t>, ב"ש (סק"ב).</w:t>
      </w:r>
    </w:p>
  </w:footnote>
  <w:footnote w:id="2526">
    <w:p w14:paraId="5168EE23" w14:textId="77777777" w:rsidR="00DF1FC7" w:rsidRDefault="00DF1FC7" w:rsidP="002E5BAD">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2527">
    <w:p w14:paraId="41849573" w14:textId="77777777" w:rsidR="00DF1FC7" w:rsidRDefault="00DF1FC7" w:rsidP="002E5BAD">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2528">
    <w:p w14:paraId="1666235D" w14:textId="77777777" w:rsidR="00DF1FC7" w:rsidRDefault="00DF1FC7" w:rsidP="002E5BAD">
      <w:pPr>
        <w:pStyle w:val="a5"/>
        <w:rPr>
          <w:rtl/>
        </w:rPr>
      </w:pPr>
      <w:r>
        <w:rPr>
          <w:rStyle w:val="a7"/>
        </w:rPr>
        <w:footnoteRef/>
      </w:r>
      <w:r>
        <w:rPr>
          <w:rtl/>
        </w:rPr>
        <w:t xml:space="preserve"> </w:t>
      </w:r>
      <w:r>
        <w:rPr>
          <w:rFonts w:cs="Arial"/>
          <w:rtl/>
        </w:rPr>
        <w:t>ולא חילקו בזה בין אלמנה לגרושה</w:t>
      </w:r>
      <w:r>
        <w:rPr>
          <w:rFonts w:cs="Arial" w:hint="cs"/>
          <w:rtl/>
        </w:rPr>
        <w:t>.</w:t>
      </w:r>
      <w:r>
        <w:rPr>
          <w:rFonts w:cs="Arial"/>
          <w:rtl/>
        </w:rPr>
        <w:t xml:space="preserve"> ודלא כמרדכי פרק הכותב (שם) דכתב בשם ראבי"ה (סי' תתקיט) דדוקא בגרושה הוי דינא הכי אבל באלמנה שבאה לגבות מן היתומים חולקין</w:t>
      </w:r>
      <w:r>
        <w:rPr>
          <w:rFonts w:cs="Arial" w:hint="cs"/>
          <w:rtl/>
        </w:rPr>
        <w:t>.</w:t>
      </w:r>
      <w:r>
        <w:rPr>
          <w:rFonts w:cs="Arial"/>
          <w:rtl/>
        </w:rPr>
        <w:t xml:space="preserve"> וע"ש במרדכי שהאריך בזה</w:t>
      </w:r>
      <w:r>
        <w:rPr>
          <w:rFonts w:cs="Arial" w:hint="cs"/>
          <w:rtl/>
        </w:rPr>
        <w:t>.</w:t>
      </w:r>
      <w:r>
        <w:rPr>
          <w:rFonts w:cs="Arial"/>
          <w:rtl/>
        </w:rPr>
        <w:t xml:space="preserve"> וע"ל סימן פ"ה (אות ו) ב"ח ואשה בנכסיה שהכניסה לו איזה מהן קודם</w:t>
      </w:r>
      <w:r>
        <w:rPr>
          <w:rFonts w:cs="Arial" w:hint="cs"/>
          <w:rtl/>
        </w:rPr>
        <w:t>, דרכ"מ (אות ב).</w:t>
      </w:r>
    </w:p>
  </w:footnote>
  <w:footnote w:id="2529">
    <w:p w14:paraId="67675E4E" w14:textId="77777777" w:rsidR="00DF1FC7" w:rsidRDefault="00DF1FC7" w:rsidP="002E5BAD">
      <w:pPr>
        <w:pStyle w:val="a5"/>
      </w:pPr>
      <w:r>
        <w:rPr>
          <w:rStyle w:val="a7"/>
        </w:rPr>
        <w:footnoteRef/>
      </w:r>
      <w:r>
        <w:rPr>
          <w:rtl/>
        </w:rPr>
        <w:t xml:space="preserve"> </w:t>
      </w:r>
      <w:r>
        <w:rPr>
          <w:rFonts w:hint="cs"/>
          <w:rtl/>
        </w:rPr>
        <w:t>הח"מ (סק"ט) כתב שכן דעת הרמב"ם (עיין בפ"כ ממלוה הי"ב, ובפי"ז מאישות ה"ג). אך הב"ש (סק"ז) כתב שאינו מוכרח.</w:t>
      </w:r>
    </w:p>
  </w:footnote>
  <w:footnote w:id="2530">
    <w:p w14:paraId="0399C708" w14:textId="77777777" w:rsidR="00DF1FC7" w:rsidRDefault="00DF1FC7" w:rsidP="002E5BAD">
      <w:pPr>
        <w:pStyle w:val="a5"/>
        <w:rPr>
          <w:rtl/>
        </w:rPr>
      </w:pPr>
      <w:r>
        <w:rPr>
          <w:rStyle w:val="a7"/>
        </w:rPr>
        <w:footnoteRef/>
      </w:r>
      <w:r>
        <w:rPr>
          <w:rtl/>
        </w:rPr>
        <w:t xml:space="preserve"> </w:t>
      </w:r>
      <w:r>
        <w:rPr>
          <w:rFonts w:cs="Arial" w:hint="cs"/>
          <w:rtl/>
        </w:rPr>
        <w:t xml:space="preserve">וכן פסק </w:t>
      </w: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w:t>
      </w:r>
      <w:r w:rsidRPr="00A167C1">
        <w:rPr>
          <w:rFonts w:cs="Arial"/>
          <w:rtl/>
        </w:rPr>
        <w:t xml:space="preserve"> </w:t>
      </w:r>
      <w:r w:rsidRPr="00553E22">
        <w:rPr>
          <w:rFonts w:cs="Arial"/>
          <w:rtl/>
        </w:rPr>
        <w:t xml:space="preserve">וכתב שכן היה דן </w:t>
      </w:r>
      <w:r w:rsidRPr="00553E22">
        <w:rPr>
          <w:rFonts w:cs="Arial" w:hint="cs"/>
          <w:rtl/>
        </w:rPr>
        <w:t>מהרי"ל</w:t>
      </w:r>
      <w:r>
        <w:rPr>
          <w:rFonts w:hint="cs"/>
          <w:rtl/>
        </w:rPr>
        <w:t>, דרכ"מ (אות ג).</w:t>
      </w:r>
      <w:r w:rsidRPr="00F27D80">
        <w:rPr>
          <w:rtl/>
        </w:rPr>
        <w:t xml:space="preserve"> </w:t>
      </w:r>
      <w:r>
        <w:rPr>
          <w:rFonts w:hint="cs"/>
          <w:rtl/>
        </w:rPr>
        <w:t xml:space="preserve">וכתבו הח"מ (סק"ט) והב"ש </w:t>
      </w:r>
      <w:r w:rsidRPr="00F27D80">
        <w:rPr>
          <w:rFonts w:cs="Arial"/>
          <w:rtl/>
        </w:rPr>
        <w:t>דאפי</w:t>
      </w:r>
      <w:r>
        <w:rPr>
          <w:rFonts w:cs="Arial" w:hint="cs"/>
          <w:rtl/>
        </w:rPr>
        <w:t>לו לדעת מהר"ם</w:t>
      </w:r>
      <w:r w:rsidRPr="00F27D80">
        <w:rPr>
          <w:rFonts w:cs="Arial"/>
          <w:rtl/>
        </w:rPr>
        <w:t xml:space="preserve"> והאחרונים שהורו</w:t>
      </w:r>
      <w:r>
        <w:rPr>
          <w:rFonts w:cs="Arial" w:hint="cs"/>
          <w:rtl/>
        </w:rPr>
        <w:t xml:space="preserve"> כמותו</w:t>
      </w:r>
      <w:r w:rsidRPr="00F27D80">
        <w:rPr>
          <w:rFonts w:cs="Arial"/>
          <w:rtl/>
        </w:rPr>
        <w:t xml:space="preserve"> </w:t>
      </w:r>
      <w:r w:rsidRPr="007577F9">
        <w:rPr>
          <w:rFonts w:cs="Arial" w:hint="cs"/>
          <w:sz w:val="16"/>
          <w:szCs w:val="16"/>
          <w:rtl/>
        </w:rPr>
        <w:t>(</w:t>
      </w:r>
      <w:r w:rsidRPr="007577F9">
        <w:rPr>
          <w:rFonts w:cs="Arial"/>
          <w:sz w:val="16"/>
          <w:szCs w:val="16"/>
          <w:rtl/>
        </w:rPr>
        <w:t>בסעיף ב' בהג"ה דבתפס</w:t>
      </w:r>
      <w:r w:rsidRPr="007577F9">
        <w:rPr>
          <w:rFonts w:cs="Arial" w:hint="cs"/>
          <w:sz w:val="16"/>
          <w:szCs w:val="16"/>
          <w:rtl/>
        </w:rPr>
        <w:t>ה</w:t>
      </w:r>
      <w:r w:rsidRPr="007577F9">
        <w:rPr>
          <w:rFonts w:cs="Arial"/>
          <w:sz w:val="16"/>
          <w:szCs w:val="16"/>
          <w:rtl/>
        </w:rPr>
        <w:t xml:space="preserve"> מוציאין מידה</w:t>
      </w:r>
      <w:r w:rsidRPr="007577F9">
        <w:rPr>
          <w:rFonts w:cs="Arial" w:hint="cs"/>
          <w:sz w:val="16"/>
          <w:szCs w:val="16"/>
          <w:rtl/>
        </w:rPr>
        <w:t>)</w:t>
      </w:r>
      <w:r w:rsidRPr="00F27D80">
        <w:rPr>
          <w:rFonts w:cs="Arial"/>
          <w:rtl/>
        </w:rPr>
        <w:t xml:space="preserve"> </w:t>
      </w:r>
      <w:r>
        <w:rPr>
          <w:rFonts w:cs="Arial" w:hint="cs"/>
          <w:rtl/>
        </w:rPr>
        <w:t xml:space="preserve">- </w:t>
      </w:r>
      <w:r w:rsidRPr="00F27D80">
        <w:rPr>
          <w:rFonts w:cs="Arial"/>
          <w:rtl/>
        </w:rPr>
        <w:t>היינו דוקא ב</w:t>
      </w:r>
      <w:r>
        <w:rPr>
          <w:rFonts w:cs="Arial" w:hint="cs"/>
          <w:rtl/>
        </w:rPr>
        <w:t xml:space="preserve">תפסה מעצמה, אבל אי תפשה ע"פ בית דין </w:t>
      </w:r>
      <w:r>
        <w:rPr>
          <w:rFonts w:cs="Arial"/>
          <w:rtl/>
        </w:rPr>
        <w:t>–</w:t>
      </w:r>
      <w:r>
        <w:rPr>
          <w:rFonts w:cs="Arial" w:hint="cs"/>
          <w:rtl/>
        </w:rPr>
        <w:t xml:space="preserve"> אין מוציאין מידה.</w:t>
      </w:r>
      <w:r>
        <w:rPr>
          <w:rFonts w:hint="cs"/>
          <w:rtl/>
        </w:rPr>
        <w:t xml:space="preserve"> </w:t>
      </w:r>
    </w:p>
  </w:footnote>
  <w:footnote w:id="2531">
    <w:p w14:paraId="3D753893" w14:textId="77777777" w:rsidR="00DF1FC7" w:rsidRDefault="00DF1FC7" w:rsidP="002E5BAD">
      <w:pPr>
        <w:pStyle w:val="a5"/>
      </w:pPr>
      <w:r>
        <w:rPr>
          <w:rStyle w:val="a7"/>
        </w:rPr>
        <w:footnoteRef/>
      </w:r>
      <w:r>
        <w:rPr>
          <w:rtl/>
        </w:rPr>
        <w:t xml:space="preserve"> </w:t>
      </w:r>
      <w:r>
        <w:rPr>
          <w:rFonts w:cs="Arial" w:hint="cs"/>
          <w:rtl/>
        </w:rPr>
        <w:t>ו</w:t>
      </w:r>
      <w:r w:rsidRPr="00DA51FB">
        <w:rPr>
          <w:rFonts w:cs="Arial"/>
          <w:rtl/>
        </w:rPr>
        <w:t>לפ"ז אפי' אם היא מוקד</w:t>
      </w:r>
      <w:r>
        <w:rPr>
          <w:rFonts w:cs="Arial" w:hint="cs"/>
          <w:rtl/>
        </w:rPr>
        <w:t>מת</w:t>
      </w:r>
      <w:r w:rsidRPr="00DA51FB">
        <w:rPr>
          <w:rFonts w:cs="Arial"/>
          <w:rtl/>
        </w:rPr>
        <w:t xml:space="preserve"> ויש קרקע </w:t>
      </w:r>
      <w:r>
        <w:rPr>
          <w:rFonts w:cs="Arial" w:hint="cs"/>
          <w:rtl/>
        </w:rPr>
        <w:t xml:space="preserve">- </w:t>
      </w:r>
      <w:r w:rsidRPr="00DA51FB">
        <w:rPr>
          <w:rFonts w:cs="Arial"/>
          <w:rtl/>
        </w:rPr>
        <w:t>חייבת לשלם</w:t>
      </w:r>
      <w:r>
        <w:rPr>
          <w:rFonts w:cs="Arial" w:hint="cs"/>
          <w:rtl/>
        </w:rPr>
        <w:t>,</w:t>
      </w:r>
      <w:r w:rsidRPr="00DA51FB">
        <w:rPr>
          <w:rFonts w:cs="Arial"/>
          <w:rtl/>
        </w:rPr>
        <w:t xml:space="preserve"> א</w:t>
      </w:r>
      <w:r>
        <w:rPr>
          <w:rFonts w:cs="Arial" w:hint="cs"/>
          <w:rtl/>
        </w:rPr>
        <w:t>ע"ג</w:t>
      </w:r>
      <w:r w:rsidRPr="00DA51FB">
        <w:rPr>
          <w:rFonts w:cs="Arial"/>
          <w:rtl/>
        </w:rPr>
        <w:t xml:space="preserve"> </w:t>
      </w:r>
      <w:r>
        <w:rPr>
          <w:rFonts w:cs="Arial" w:hint="cs"/>
          <w:rtl/>
        </w:rPr>
        <w:t>ש</w:t>
      </w:r>
      <w:r w:rsidRPr="00DA51FB">
        <w:rPr>
          <w:rFonts w:cs="Arial"/>
          <w:rtl/>
        </w:rPr>
        <w:t xml:space="preserve">בח"ה סוף סי' צ"ו פסק בנושאת בבית וחייבת לאחר </w:t>
      </w:r>
      <w:r>
        <w:rPr>
          <w:rFonts w:cs="Arial" w:hint="cs"/>
          <w:rtl/>
        </w:rPr>
        <w:t>ד</w:t>
      </w:r>
      <w:r w:rsidRPr="00DA51FB">
        <w:rPr>
          <w:rFonts w:cs="Arial"/>
          <w:rtl/>
        </w:rPr>
        <w:t>א"צ הבעל לשלם בעבורה</w:t>
      </w:r>
      <w:r>
        <w:rPr>
          <w:rFonts w:cs="Arial" w:hint="cs"/>
          <w:rtl/>
        </w:rPr>
        <w:t>,</w:t>
      </w:r>
      <w:r w:rsidRPr="00DA51FB">
        <w:rPr>
          <w:rFonts w:cs="Arial"/>
          <w:rtl/>
        </w:rPr>
        <w:t xml:space="preserve"> דשם לא בא המעות ליד הבעל רק לידה</w:t>
      </w:r>
      <w:r>
        <w:rPr>
          <w:rFonts w:cs="Arial" w:hint="cs"/>
          <w:rtl/>
        </w:rPr>
        <w:t>, ב"ש (סק"ח).</w:t>
      </w:r>
      <w:r w:rsidRPr="00871745">
        <w:rPr>
          <w:rFonts w:cs="Arial"/>
          <w:rtl/>
        </w:rPr>
        <w:t xml:space="preserve"> </w:t>
      </w:r>
      <w:r w:rsidRPr="0042649F">
        <w:rPr>
          <w:rFonts w:cs="Arial"/>
          <w:rtl/>
        </w:rPr>
        <w:t>וע' בס' בית מאיר שתמה ע"ז וכ' דאף שבד"מ כ' ג"כ הכי בשם מהרי"ו (עבה"ט סק"ו) מ"מ יש לתמוה כו'</w:t>
      </w:r>
      <w:r>
        <w:rPr>
          <w:rFonts w:cs="Arial" w:hint="cs"/>
          <w:rtl/>
        </w:rPr>
        <w:t>...</w:t>
      </w:r>
      <w:r w:rsidRPr="0042649F">
        <w:rPr>
          <w:rFonts w:cs="Arial"/>
          <w:rtl/>
        </w:rPr>
        <w:t xml:space="preserve"> ומסיים</w:t>
      </w:r>
      <w:r>
        <w:rPr>
          <w:rFonts w:cs="Arial" w:hint="cs"/>
          <w:rtl/>
        </w:rPr>
        <w:t>-</w:t>
      </w:r>
      <w:r w:rsidRPr="0042649F">
        <w:rPr>
          <w:rFonts w:cs="Arial"/>
          <w:rtl/>
        </w:rPr>
        <w:t xml:space="preserve"> לכן הברור לע"ד דלא כתב מהרי"ו ז"ל זה אלא לסניף ולדינא אין לחלק בין נו"נ לאין נו"נ</w:t>
      </w:r>
      <w:r>
        <w:rPr>
          <w:rFonts w:cs="Arial" w:hint="cs"/>
          <w:rtl/>
        </w:rPr>
        <w:t>,</w:t>
      </w:r>
      <w:r w:rsidRPr="0042649F">
        <w:rPr>
          <w:rFonts w:cs="Arial"/>
          <w:rtl/>
        </w:rPr>
        <w:t xml:space="preserve"> ומכ"ש שתהא ערב ושתתחייב לשלם מדידה חליל</w:t>
      </w:r>
      <w:r>
        <w:rPr>
          <w:rFonts w:cs="Arial" w:hint="cs"/>
          <w:rtl/>
        </w:rPr>
        <w:t>ה</w:t>
      </w:r>
      <w:r w:rsidRPr="0042649F">
        <w:rPr>
          <w:rFonts w:cs="Arial"/>
          <w:rtl/>
        </w:rPr>
        <w:t xml:space="preserve"> להעלות כן בדעת מהרי"ו</w:t>
      </w:r>
      <w:r>
        <w:rPr>
          <w:rFonts w:cs="Arial" w:hint="cs"/>
          <w:rtl/>
        </w:rPr>
        <w:t>,</w:t>
      </w:r>
      <w:r w:rsidRPr="0042649F">
        <w:rPr>
          <w:rFonts w:cs="Arial"/>
          <w:rtl/>
        </w:rPr>
        <w:t xml:space="preserve"> זולת בנידון דידיה שנתערב</w:t>
      </w:r>
      <w:r>
        <w:rPr>
          <w:rFonts w:cs="Arial" w:hint="cs"/>
          <w:rtl/>
        </w:rPr>
        <w:t>ה</w:t>
      </w:r>
      <w:r w:rsidRPr="0042649F">
        <w:rPr>
          <w:rFonts w:cs="Arial"/>
          <w:rtl/>
        </w:rPr>
        <w:t xml:space="preserve"> בפירוש אלא שהי</w:t>
      </w:r>
      <w:r>
        <w:rPr>
          <w:rFonts w:cs="Arial" w:hint="cs"/>
          <w:rtl/>
        </w:rPr>
        <w:t>ה</w:t>
      </w:r>
      <w:r w:rsidRPr="0042649F">
        <w:rPr>
          <w:rFonts w:cs="Arial"/>
          <w:rtl/>
        </w:rPr>
        <w:t xml:space="preserve"> לאחר מתן מעות</w:t>
      </w:r>
      <w:r>
        <w:rPr>
          <w:rFonts w:cs="Arial" w:hint="cs"/>
          <w:rtl/>
        </w:rPr>
        <w:t>,</w:t>
      </w:r>
      <w:r w:rsidRPr="0042649F">
        <w:rPr>
          <w:rFonts w:cs="Arial"/>
          <w:rtl/>
        </w:rPr>
        <w:t xml:space="preserve"> וכמועתק בשמו בח"מ סי' קכ"ט ס"ג בהגה ע"ש בש"ך</w:t>
      </w:r>
      <w:r>
        <w:rPr>
          <w:rFonts w:cs="Arial" w:hint="cs"/>
          <w:rtl/>
        </w:rPr>
        <w:t>, פת"ש (סק"ה).</w:t>
      </w:r>
    </w:p>
  </w:footnote>
  <w:footnote w:id="2532">
    <w:p w14:paraId="550841DB" w14:textId="77777777" w:rsidR="00DF1FC7" w:rsidRDefault="00DF1FC7" w:rsidP="002E5BAD">
      <w:pPr>
        <w:pStyle w:val="a5"/>
        <w:rPr>
          <w:rtl/>
        </w:rPr>
      </w:pPr>
      <w:r>
        <w:rPr>
          <w:rStyle w:val="a7"/>
        </w:rPr>
        <w:footnoteRef/>
      </w:r>
      <w:r>
        <w:rPr>
          <w:rtl/>
        </w:rPr>
        <w:t xml:space="preserve"> </w:t>
      </w:r>
      <w:r w:rsidRPr="00A167C1">
        <w:rPr>
          <w:rFonts w:cs="Arial"/>
          <w:rtl/>
        </w:rPr>
        <w:t xml:space="preserve">מיהו כתב מהרי"ו בתשובה </w:t>
      </w:r>
      <w:r>
        <w:rPr>
          <w:rFonts w:cs="Arial" w:hint="cs"/>
          <w:rtl/>
        </w:rPr>
        <w:t>(סי' ל)</w:t>
      </w:r>
      <w:r w:rsidRPr="00A167C1">
        <w:rPr>
          <w:rFonts w:cs="Arial"/>
          <w:rtl/>
        </w:rPr>
        <w:t xml:space="preserve"> בשם הרא"ש (כלל עט סי' א) והגה</w:t>
      </w:r>
      <w:r>
        <w:rPr>
          <w:rFonts w:cs="Arial" w:hint="cs"/>
          <w:rtl/>
        </w:rPr>
        <w:t>"</w:t>
      </w:r>
      <w:r w:rsidRPr="00A167C1">
        <w:rPr>
          <w:rFonts w:cs="Arial"/>
          <w:rtl/>
        </w:rPr>
        <w:t>מ (שם) והמרדכי (שם) דמלוה ע"פ הידוע הוי דינו כמלוה בשטר וקודם לאשה ועיין בזה בתשובת הרא"ש כלל ל"ו סימן ד' וה'</w:t>
      </w:r>
      <w:r>
        <w:rPr>
          <w:rFonts w:hint="cs"/>
          <w:rtl/>
        </w:rPr>
        <w:t>, דרכ"מ (אות ג).</w:t>
      </w:r>
      <w:r w:rsidRPr="008911E0">
        <w:rPr>
          <w:rFonts w:hint="cs"/>
          <w:color w:val="00B0F0"/>
          <w:rtl/>
        </w:rPr>
        <w:t xml:space="preserve"> (וכ"כ </w:t>
      </w:r>
      <w:r>
        <w:rPr>
          <w:rFonts w:hint="cs"/>
          <w:color w:val="00B0F0"/>
          <w:rtl/>
        </w:rPr>
        <w:t>בהג</w:t>
      </w:r>
      <w:r w:rsidRPr="008911E0">
        <w:rPr>
          <w:rFonts w:hint="cs"/>
          <w:color w:val="00B0F0"/>
          <w:rtl/>
        </w:rPr>
        <w:t>"</w:t>
      </w:r>
      <w:r>
        <w:rPr>
          <w:rFonts w:hint="cs"/>
          <w:color w:val="00B0F0"/>
          <w:rtl/>
        </w:rPr>
        <w:t>ה</w:t>
      </w:r>
      <w:r w:rsidRPr="008911E0">
        <w:rPr>
          <w:rFonts w:hint="cs"/>
          <w:color w:val="00B0F0"/>
          <w:rtl/>
        </w:rPr>
        <w:t>)</w:t>
      </w:r>
    </w:p>
  </w:footnote>
  <w:footnote w:id="2533">
    <w:p w14:paraId="38D36253" w14:textId="77777777" w:rsidR="00DF1FC7" w:rsidRDefault="00DF1FC7" w:rsidP="002E5BAD">
      <w:pPr>
        <w:pStyle w:val="a5"/>
      </w:pPr>
      <w:r>
        <w:rPr>
          <w:rStyle w:val="a7"/>
        </w:rPr>
        <w:footnoteRef/>
      </w:r>
      <w:r>
        <w:rPr>
          <w:rtl/>
        </w:rPr>
        <w:t xml:space="preserve"> </w:t>
      </w:r>
      <w:r w:rsidRPr="00A167C1">
        <w:rPr>
          <w:rFonts w:cs="Arial"/>
          <w:rtl/>
        </w:rPr>
        <w:t>וכן הוא בכתבי מהרא"י סימן ר"ס וכתב דאם היה אומדנות שהוא פקדון כגון שלא היה אמוד או כה"ג צריכה להחזיר</w:t>
      </w:r>
      <w:r>
        <w:rPr>
          <w:rFonts w:cs="Arial" w:hint="cs"/>
          <w:rtl/>
        </w:rPr>
        <w:t>, דרכ"מ (אות ג).</w:t>
      </w:r>
      <w:r w:rsidRPr="00E76BC8">
        <w:rPr>
          <w:rFonts w:hint="cs"/>
          <w:rtl/>
        </w:rPr>
        <w:t xml:space="preserve"> </w:t>
      </w:r>
      <w:r>
        <w:rPr>
          <w:rFonts w:hint="cs"/>
          <w:rtl/>
        </w:rPr>
        <w:t>(וכ"כ ח"מ</w:t>
      </w:r>
      <w:r>
        <w:rPr>
          <w:rFonts w:hint="cs"/>
          <w:sz w:val="16"/>
          <w:szCs w:val="16"/>
          <w:rtl/>
        </w:rPr>
        <w:t xml:space="preserve"> [סק"ו]</w:t>
      </w:r>
      <w:r>
        <w:rPr>
          <w:rFonts w:hint="cs"/>
          <w:rtl/>
        </w:rPr>
        <w:t>)</w:t>
      </w:r>
    </w:p>
  </w:footnote>
  <w:footnote w:id="2534">
    <w:p w14:paraId="206FD5FB" w14:textId="77777777" w:rsidR="00DF1FC7" w:rsidRDefault="00DF1FC7" w:rsidP="002E5BAD">
      <w:pPr>
        <w:pStyle w:val="a5"/>
      </w:pPr>
      <w:r>
        <w:rPr>
          <w:rStyle w:val="a7"/>
        </w:rPr>
        <w:footnoteRef/>
      </w:r>
      <w:r>
        <w:rPr>
          <w:rtl/>
        </w:rPr>
        <w:t xml:space="preserve"> </w:t>
      </w:r>
      <w:r w:rsidRPr="00D8413A">
        <w:rPr>
          <w:rFonts w:cs="Arial"/>
          <w:rtl/>
        </w:rPr>
        <w:t>כלל הוא כל שאין בו דין קדימה כגון מטלטלין</w:t>
      </w:r>
      <w:r>
        <w:rPr>
          <w:rFonts w:cs="Arial" w:hint="cs"/>
          <w:rtl/>
        </w:rPr>
        <w:t>,</w:t>
      </w:r>
      <w:r w:rsidRPr="00D8413A">
        <w:rPr>
          <w:rFonts w:cs="Arial"/>
          <w:rtl/>
        </w:rPr>
        <w:t xml:space="preserve"> או הזמן שניהם ביום א'</w:t>
      </w:r>
      <w:r>
        <w:rPr>
          <w:rFonts w:cs="Arial" w:hint="cs"/>
          <w:rtl/>
        </w:rPr>
        <w:t>,</w:t>
      </w:r>
      <w:r w:rsidRPr="00D8413A">
        <w:rPr>
          <w:rFonts w:cs="Arial"/>
          <w:rtl/>
        </w:rPr>
        <w:t xml:space="preserve"> או שקנה אחר שלוה ונישואין</w:t>
      </w:r>
      <w:r>
        <w:rPr>
          <w:rFonts w:cs="Arial" w:hint="cs"/>
          <w:rtl/>
        </w:rPr>
        <w:t>,</w:t>
      </w:r>
      <w:r w:rsidRPr="00D8413A">
        <w:rPr>
          <w:rFonts w:cs="Arial"/>
          <w:rtl/>
        </w:rPr>
        <w:t xml:space="preserve"> דקי"ל בעלמ</w:t>
      </w:r>
      <w:r>
        <w:rPr>
          <w:rFonts w:cs="Arial" w:hint="cs"/>
          <w:rtl/>
        </w:rPr>
        <w:t>א</w:t>
      </w:r>
      <w:r w:rsidRPr="00D8413A">
        <w:rPr>
          <w:rFonts w:cs="Arial"/>
          <w:rtl/>
        </w:rPr>
        <w:t xml:space="preserve"> מי שתפס אין מוציאין מידו </w:t>
      </w:r>
      <w:r>
        <w:rPr>
          <w:rFonts w:cs="Arial" w:hint="cs"/>
          <w:rtl/>
        </w:rPr>
        <w:t xml:space="preserve">- </w:t>
      </w:r>
      <w:r w:rsidRPr="00D8413A">
        <w:rPr>
          <w:rFonts w:cs="Arial"/>
          <w:rtl/>
        </w:rPr>
        <w:t>אז מיפים כח ב"ח אפי' לא תפיס נותנים לב"ח</w:t>
      </w:r>
      <w:r>
        <w:rPr>
          <w:rFonts w:cs="Arial" w:hint="cs"/>
          <w:rtl/>
        </w:rPr>
        <w:t>.</w:t>
      </w:r>
      <w:r w:rsidRPr="00D8413A">
        <w:rPr>
          <w:rFonts w:cs="Arial"/>
          <w:rtl/>
        </w:rPr>
        <w:t xml:space="preserve"> ול"ח לנעילת דלת כי יותר ממה שהאיש רוצה לישא אשה רוצה להנש</w:t>
      </w:r>
      <w:r>
        <w:rPr>
          <w:rFonts w:cs="Arial" w:hint="cs"/>
          <w:rtl/>
        </w:rPr>
        <w:t>א.</w:t>
      </w:r>
      <w:r w:rsidRPr="00D8413A">
        <w:rPr>
          <w:rFonts w:cs="Arial"/>
          <w:rtl/>
        </w:rPr>
        <w:t xml:space="preserve"> אבל היכא דבעלמ</w:t>
      </w:r>
      <w:r>
        <w:rPr>
          <w:rFonts w:cs="Arial" w:hint="cs"/>
          <w:rtl/>
        </w:rPr>
        <w:t>א</w:t>
      </w:r>
      <w:r w:rsidRPr="00D8413A">
        <w:rPr>
          <w:rFonts w:cs="Arial"/>
          <w:rtl/>
        </w:rPr>
        <w:t xml:space="preserve"> לא מהני התפיסה </w:t>
      </w:r>
      <w:r>
        <w:rPr>
          <w:rFonts w:cs="Arial" w:hint="cs"/>
          <w:rtl/>
        </w:rPr>
        <w:t xml:space="preserve">- </w:t>
      </w:r>
      <w:r w:rsidRPr="00D8413A">
        <w:rPr>
          <w:rFonts w:cs="Arial"/>
          <w:rtl/>
        </w:rPr>
        <w:t>אין מיפים כאן כח ב"ח</w:t>
      </w:r>
      <w:r>
        <w:rPr>
          <w:rFonts w:cs="Arial" w:hint="cs"/>
          <w:rtl/>
        </w:rPr>
        <w:t>.</w:t>
      </w:r>
      <w:r w:rsidRPr="00D8413A">
        <w:rPr>
          <w:rFonts w:cs="Arial"/>
          <w:rtl/>
        </w:rPr>
        <w:t xml:space="preserve"> כ"כ הרא"ש והר"ן</w:t>
      </w:r>
      <w:r>
        <w:rPr>
          <w:rFonts w:cs="Arial" w:hint="cs"/>
          <w:rtl/>
        </w:rPr>
        <w:t>.</w:t>
      </w:r>
      <w:r w:rsidRPr="00D8413A">
        <w:rPr>
          <w:rFonts w:cs="Arial"/>
          <w:rtl/>
        </w:rPr>
        <w:t xml:space="preserve"> וע' סי' קי"ג ס"א</w:t>
      </w:r>
      <w:r>
        <w:rPr>
          <w:rFonts w:cs="Arial" w:hint="cs"/>
          <w:rtl/>
        </w:rPr>
        <w:t>, ב"ש (סק"ג).</w:t>
      </w:r>
      <w:r w:rsidRPr="00EC3EB6">
        <w:rPr>
          <w:rFonts w:cs="Arial"/>
          <w:rtl/>
        </w:rPr>
        <w:t xml:space="preserve"> </w:t>
      </w:r>
      <w:r w:rsidRPr="0042649F">
        <w:rPr>
          <w:rFonts w:cs="Arial"/>
          <w:rtl/>
        </w:rPr>
        <w:t>אבל היכא שיש פוסקים שהאשה קודמת ויש פוסקים שהבע"ח קודם</w:t>
      </w:r>
      <w:r>
        <w:rPr>
          <w:rFonts w:cs="Arial" w:hint="cs"/>
          <w:rtl/>
        </w:rPr>
        <w:t>,</w:t>
      </w:r>
      <w:r w:rsidRPr="0042649F">
        <w:rPr>
          <w:rFonts w:cs="Arial"/>
          <w:rtl/>
        </w:rPr>
        <w:t xml:space="preserve"> וק"ו במקום שלכ"ע האשה קודמת רק אם קדם ותפס יש פוסקים שאין מוציאין מידו בזה </w:t>
      </w:r>
      <w:r>
        <w:rPr>
          <w:rFonts w:cs="Arial" w:hint="cs"/>
          <w:rtl/>
        </w:rPr>
        <w:t xml:space="preserve">- </w:t>
      </w:r>
      <w:r w:rsidRPr="0042649F">
        <w:rPr>
          <w:rFonts w:cs="Arial"/>
          <w:rtl/>
        </w:rPr>
        <w:t>ודאי ליכא שום ה"א שכל זמן שלא תפס ליפות כחו כלל</w:t>
      </w:r>
      <w:r>
        <w:rPr>
          <w:rFonts w:cs="Arial" w:hint="cs"/>
          <w:rtl/>
        </w:rPr>
        <w:t>,</w:t>
      </w:r>
      <w:r w:rsidRPr="0042649F">
        <w:rPr>
          <w:rFonts w:cs="Arial"/>
          <w:rtl/>
        </w:rPr>
        <w:t xml:space="preserve"> ודי אם תפס יכול לומר קים לי אבל אנן איך ניפה כחו לגזול האשה.</w:t>
      </w:r>
      <w:r>
        <w:rPr>
          <w:rFonts w:cs="Arial" w:hint="cs"/>
          <w:rtl/>
        </w:rPr>
        <w:t>..</w:t>
      </w:r>
      <w:r w:rsidRPr="0042649F">
        <w:rPr>
          <w:rFonts w:cs="Arial"/>
          <w:rtl/>
        </w:rPr>
        <w:t xml:space="preserve"> ואף דכל הני כללי דכייל הב"ש ז"ל ליפות כח הבע"ח נגד האשה המה בין בגרוש</w:t>
      </w:r>
      <w:r>
        <w:rPr>
          <w:rFonts w:cs="Arial" w:hint="cs"/>
          <w:rtl/>
        </w:rPr>
        <w:t>ה</w:t>
      </w:r>
      <w:r w:rsidRPr="0042649F">
        <w:rPr>
          <w:rFonts w:cs="Arial"/>
          <w:rtl/>
        </w:rPr>
        <w:t xml:space="preserve"> בין באלמנ</w:t>
      </w:r>
      <w:r>
        <w:rPr>
          <w:rFonts w:cs="Arial" w:hint="cs"/>
          <w:rtl/>
        </w:rPr>
        <w:t>ה</w:t>
      </w:r>
      <w:r w:rsidRPr="0042649F">
        <w:rPr>
          <w:rFonts w:cs="Arial"/>
          <w:rtl/>
        </w:rPr>
        <w:t xml:space="preserve"> וכן הוא באמת הסכמת רוב הפוסקים (זולת המרדכי בפ' הכותב) מ"מ בכתובות נשי דידן שנוהגין לכתוב בהם מטלטלין אג"ק (לאו דוקא הוא וה"ה אפי' לא כתוב אגב רק כתוב סתם מטלטלי ומקרקעי בחיי</w:t>
      </w:r>
      <w:r>
        <w:rPr>
          <w:rFonts w:cs="Arial" w:hint="cs"/>
          <w:rtl/>
        </w:rPr>
        <w:t>ם</w:t>
      </w:r>
      <w:r w:rsidRPr="0042649F">
        <w:rPr>
          <w:rFonts w:cs="Arial"/>
          <w:rtl/>
        </w:rPr>
        <w:t xml:space="preserve"> ובמות</w:t>
      </w:r>
      <w:r>
        <w:rPr>
          <w:rFonts w:cs="Arial" w:hint="cs"/>
          <w:rtl/>
        </w:rPr>
        <w:t>...</w:t>
      </w:r>
      <w:r w:rsidRPr="0042649F">
        <w:rPr>
          <w:rFonts w:cs="Arial"/>
          <w:rtl/>
        </w:rPr>
        <w:t xml:space="preserve">) וכתוב מפורש בחייו ובמותו ונמצאו נשי דידן גובין ממטלטלי דיתמי ע"פ דין הש"ס ואם בשטרו של הבע"ח לא נכתב בו בחייו ובמותו אף שכ' בו מטלטלין אג"ק מ"מ אינו גובה אלא מתקנת הגאונים </w:t>
      </w:r>
      <w:r>
        <w:rPr>
          <w:rFonts w:cs="Arial" w:hint="cs"/>
          <w:rtl/>
        </w:rPr>
        <w:t xml:space="preserve">- </w:t>
      </w:r>
      <w:r w:rsidRPr="0042649F">
        <w:rPr>
          <w:rFonts w:cs="Arial"/>
          <w:rtl/>
        </w:rPr>
        <w:t>יש מקום לפקפק דאין ליפות כח הבע"ח נגד האלמנה</w:t>
      </w:r>
      <w:r>
        <w:rPr>
          <w:rFonts w:cs="Arial" w:hint="cs"/>
          <w:rtl/>
        </w:rPr>
        <w:t>.</w:t>
      </w:r>
      <w:r w:rsidRPr="0042649F">
        <w:rPr>
          <w:rFonts w:cs="Arial"/>
          <w:rtl/>
        </w:rPr>
        <w:t xml:space="preserve"> וצריך להתיישב בזה ע"ש</w:t>
      </w:r>
      <w:r>
        <w:rPr>
          <w:rFonts w:cs="Arial" w:hint="cs"/>
          <w:rtl/>
        </w:rPr>
        <w:t>...,</w:t>
      </w:r>
      <w:r w:rsidRPr="0042649F">
        <w:rPr>
          <w:rFonts w:cs="Arial"/>
          <w:rtl/>
        </w:rPr>
        <w:t xml:space="preserve"> נו"ב </w:t>
      </w:r>
      <w:r>
        <w:rPr>
          <w:rFonts w:cs="Arial" w:hint="cs"/>
          <w:rtl/>
        </w:rPr>
        <w:t>(</w:t>
      </w:r>
      <w:r w:rsidRPr="0042649F">
        <w:rPr>
          <w:rFonts w:cs="Arial"/>
          <w:rtl/>
        </w:rPr>
        <w:t>תניינא ח</w:t>
      </w:r>
      <w:r>
        <w:rPr>
          <w:rFonts w:cs="Arial" w:hint="cs"/>
          <w:rtl/>
        </w:rPr>
        <w:t>ו</w:t>
      </w:r>
      <w:r w:rsidRPr="0042649F">
        <w:rPr>
          <w:rFonts w:cs="Arial"/>
          <w:rtl/>
        </w:rPr>
        <w:t>"מ סי' לא</w:t>
      </w:r>
      <w:r>
        <w:rPr>
          <w:rFonts w:cs="Arial" w:hint="cs"/>
          <w:rtl/>
        </w:rPr>
        <w:t>).</w:t>
      </w:r>
      <w:r w:rsidRPr="0042649F">
        <w:rPr>
          <w:rFonts w:cs="Arial"/>
          <w:rtl/>
        </w:rPr>
        <w:t xml:space="preserve"> ולכאורה מדברי הח"מ סק"ב לא נראה כן אך עמ"ש בס"ק שאח"ז</w:t>
      </w:r>
      <w:r>
        <w:rPr>
          <w:rFonts w:cs="Arial" w:hint="cs"/>
          <w:rtl/>
        </w:rPr>
        <w:t xml:space="preserve"> </w:t>
      </w:r>
      <w:r w:rsidRPr="00FF4EDE">
        <w:rPr>
          <w:rFonts w:cs="Arial" w:hint="cs"/>
          <w:sz w:val="16"/>
          <w:szCs w:val="16"/>
          <w:rtl/>
        </w:rPr>
        <w:t>{בשם רעק"א ובית מאיר}</w:t>
      </w:r>
      <w:r>
        <w:rPr>
          <w:rFonts w:cs="Arial" w:hint="cs"/>
          <w:rtl/>
        </w:rPr>
        <w:t>, פת"ש (סק"ב).</w:t>
      </w:r>
    </w:p>
  </w:footnote>
  <w:footnote w:id="2535">
    <w:p w14:paraId="7D70D120" w14:textId="77777777" w:rsidR="00DF1FC7" w:rsidRDefault="00DF1FC7" w:rsidP="002E5BAD">
      <w:pPr>
        <w:pStyle w:val="a5"/>
        <w:rPr>
          <w:rtl/>
        </w:rPr>
      </w:pPr>
      <w:r>
        <w:rPr>
          <w:rStyle w:val="a7"/>
        </w:rPr>
        <w:footnoteRef/>
      </w:r>
      <w:r>
        <w:rPr>
          <w:rtl/>
        </w:rPr>
        <w:t xml:space="preserve"> </w:t>
      </w:r>
      <w:r w:rsidRPr="009B73EF">
        <w:rPr>
          <w:rFonts w:cs="Arial"/>
          <w:rtl/>
        </w:rPr>
        <w:t>אע</w:t>
      </w:r>
      <w:r>
        <w:rPr>
          <w:rFonts w:cs="Arial" w:hint="cs"/>
          <w:rtl/>
        </w:rPr>
        <w:t>"</w:t>
      </w:r>
      <w:r w:rsidRPr="009B73EF">
        <w:rPr>
          <w:rFonts w:cs="Arial"/>
          <w:rtl/>
        </w:rPr>
        <w:t>ג דקי"ל דאין טורפין מטלטלין אפי' אם כתב אג"ק</w:t>
      </w:r>
      <w:r>
        <w:rPr>
          <w:rFonts w:cs="Arial" w:hint="cs"/>
          <w:rtl/>
        </w:rPr>
        <w:t>,</w:t>
      </w:r>
      <w:r w:rsidRPr="009B73EF">
        <w:rPr>
          <w:rFonts w:cs="Arial"/>
          <w:rtl/>
        </w:rPr>
        <w:t xml:space="preserve"> מ"מ לענין ב"ח נותנים למוקדם כשכ' אג"ק כמ"ש בח"ה סימן קי"ג</w:t>
      </w:r>
      <w:r>
        <w:rPr>
          <w:rFonts w:cs="Arial" w:hint="cs"/>
          <w:rtl/>
        </w:rPr>
        <w:t>.</w:t>
      </w:r>
      <w:r w:rsidRPr="009B73EF">
        <w:rPr>
          <w:rFonts w:cs="Arial"/>
          <w:rtl/>
        </w:rPr>
        <w:t xml:space="preserve"> ומ"ש ותדחה האשה ע' בח"ה בב"י סי' ק"ד</w:t>
      </w:r>
      <w:r>
        <w:rPr>
          <w:rFonts w:hint="cs"/>
          <w:rtl/>
        </w:rPr>
        <w:t>, ב"ש (סק"ד).</w:t>
      </w:r>
    </w:p>
  </w:footnote>
  <w:footnote w:id="2536">
    <w:p w14:paraId="6C13BBBF" w14:textId="77777777" w:rsidR="00DF1FC7" w:rsidRDefault="00DF1FC7" w:rsidP="002E5BAD">
      <w:pPr>
        <w:pStyle w:val="a5"/>
        <w:rPr>
          <w:rtl/>
        </w:rPr>
      </w:pPr>
      <w:r>
        <w:rPr>
          <w:rStyle w:val="a7"/>
        </w:rPr>
        <w:footnoteRef/>
      </w:r>
      <w:r>
        <w:rPr>
          <w:rtl/>
        </w:rPr>
        <w:t xml:space="preserve"> </w:t>
      </w:r>
      <w:r w:rsidRPr="00E76BC8">
        <w:rPr>
          <w:rFonts w:cs="Arial"/>
          <w:rtl/>
        </w:rPr>
        <w:t>ואע</w:t>
      </w:r>
      <w:r>
        <w:rPr>
          <w:rFonts w:cs="Arial" w:hint="cs"/>
          <w:rtl/>
        </w:rPr>
        <w:t>"</w:t>
      </w:r>
      <w:r w:rsidRPr="00E76BC8">
        <w:rPr>
          <w:rFonts w:cs="Arial"/>
          <w:rtl/>
        </w:rPr>
        <w:t xml:space="preserve">ג שכ' לה מטלטלי ומקרקעי דנמצא דגובה מן המטלטלין מדינא מטעם תנאי שבממון ולא מטעם תקנת הגאונים אפ"ה ב"ח עדיף </w:t>
      </w:r>
      <w:r w:rsidRPr="0002305A">
        <w:rPr>
          <w:rFonts w:cs="Arial"/>
          <w:rtl/>
        </w:rPr>
        <w:t>מטעם שכ' הרמב"ם שהב"ח הוציא מעותיו והאשה לא חסרה דבר</w:t>
      </w:r>
      <w:r>
        <w:rPr>
          <w:rFonts w:cs="Arial" w:hint="cs"/>
          <w:rtl/>
        </w:rPr>
        <w:t>.</w:t>
      </w:r>
      <w:r w:rsidRPr="0002305A">
        <w:rPr>
          <w:rFonts w:cs="Arial"/>
          <w:rtl/>
        </w:rPr>
        <w:t xml:space="preserve"> אבל אם כתב מטלטלי אגב מקרקע דין המטלטלי כדין הקרקע ושייך בהו קדימה</w:t>
      </w:r>
      <w:r>
        <w:rPr>
          <w:rFonts w:hint="cs"/>
          <w:rtl/>
        </w:rPr>
        <w:t>, ח"מ (סק"ב).</w:t>
      </w:r>
      <w:r w:rsidRPr="0002305A">
        <w:rPr>
          <w:rFonts w:cs="Arial"/>
          <w:rtl/>
        </w:rPr>
        <w:t xml:space="preserve"> </w:t>
      </w:r>
      <w:r w:rsidRPr="0042649F">
        <w:rPr>
          <w:rFonts w:cs="Arial"/>
          <w:rtl/>
        </w:rPr>
        <w:t xml:space="preserve">וע' בתשובת רבינו עקיבא איגר ז"ל </w:t>
      </w:r>
      <w:r>
        <w:rPr>
          <w:rFonts w:cs="Arial" w:hint="cs"/>
          <w:rtl/>
        </w:rPr>
        <w:t>(</w:t>
      </w:r>
      <w:r w:rsidRPr="0042649F">
        <w:rPr>
          <w:rFonts w:cs="Arial"/>
          <w:rtl/>
        </w:rPr>
        <w:t>סי' קלג</w:t>
      </w:r>
      <w:r>
        <w:rPr>
          <w:rFonts w:cs="Arial" w:hint="cs"/>
          <w:rtl/>
        </w:rPr>
        <w:t>)</w:t>
      </w:r>
      <w:r w:rsidRPr="0042649F">
        <w:rPr>
          <w:rFonts w:cs="Arial"/>
          <w:rtl/>
        </w:rPr>
        <w:t xml:space="preserve"> שכ' דדברי ח"מ אלו </w:t>
      </w:r>
      <w:r>
        <w:rPr>
          <w:rFonts w:cs="Arial" w:hint="cs"/>
          <w:sz w:val="16"/>
          <w:szCs w:val="16"/>
          <w:rtl/>
        </w:rPr>
        <w:t xml:space="preserve">{דאע"ג דכתב לה מטלטלי ומקרקעי </w:t>
      </w:r>
      <w:r>
        <w:rPr>
          <w:rFonts w:cs="Arial"/>
          <w:sz w:val="16"/>
          <w:szCs w:val="16"/>
          <w:rtl/>
        </w:rPr>
        <w:t>–</w:t>
      </w:r>
      <w:r>
        <w:rPr>
          <w:rFonts w:cs="Arial" w:hint="cs"/>
          <w:sz w:val="16"/>
          <w:szCs w:val="16"/>
          <w:rtl/>
        </w:rPr>
        <w:t xml:space="preserve"> בע"ח עדיף} </w:t>
      </w:r>
      <w:r w:rsidRPr="0042649F">
        <w:rPr>
          <w:rFonts w:cs="Arial"/>
          <w:rtl/>
        </w:rPr>
        <w:t>צריכים ראי</w:t>
      </w:r>
      <w:r>
        <w:rPr>
          <w:rFonts w:cs="Arial" w:hint="cs"/>
          <w:rtl/>
        </w:rPr>
        <w:t>ה</w:t>
      </w:r>
      <w:r w:rsidRPr="0042649F">
        <w:rPr>
          <w:rFonts w:cs="Arial"/>
          <w:rtl/>
        </w:rPr>
        <w:t xml:space="preserve"> גדולה</w:t>
      </w:r>
      <w:r>
        <w:rPr>
          <w:rFonts w:cs="Arial" w:hint="cs"/>
          <w:rtl/>
        </w:rPr>
        <w:t>,</w:t>
      </w:r>
      <w:r w:rsidRPr="0042649F">
        <w:rPr>
          <w:rFonts w:cs="Arial"/>
          <w:rtl/>
        </w:rPr>
        <w:t xml:space="preserve"> דדילמא כיון דלה משתעבדא מדינא ולבע"ח רק מתקנה איהי עדיפא</w:t>
      </w:r>
      <w:r>
        <w:rPr>
          <w:rFonts w:cs="Arial" w:hint="cs"/>
          <w:rtl/>
        </w:rPr>
        <w:t>.</w:t>
      </w:r>
      <w:r w:rsidRPr="0042649F">
        <w:rPr>
          <w:rFonts w:cs="Arial"/>
          <w:rtl/>
        </w:rPr>
        <w:t xml:space="preserve"> והאריך להביא ראיות וכ' דגם להח"מ מ"מ מודה דאם קדמה האשה ותפסה מהני</w:t>
      </w:r>
      <w:r>
        <w:rPr>
          <w:rFonts w:cs="Arial" w:hint="cs"/>
          <w:rtl/>
        </w:rPr>
        <w:t>.</w:t>
      </w:r>
      <w:r w:rsidRPr="0042649F">
        <w:rPr>
          <w:rFonts w:cs="Arial"/>
          <w:rtl/>
        </w:rPr>
        <w:t xml:space="preserve"> עש"ב. גם בס' בית מאיר עמד בזה על דברי הח"מ הנ"ל וכ' וז"ל</w:t>
      </w:r>
      <w:r>
        <w:rPr>
          <w:rFonts w:cs="Arial" w:hint="cs"/>
          <w:rtl/>
        </w:rPr>
        <w:t>-</w:t>
      </w:r>
      <w:r w:rsidRPr="0042649F">
        <w:rPr>
          <w:rFonts w:cs="Arial"/>
          <w:rtl/>
        </w:rPr>
        <w:t xml:space="preserve"> ולע"ד זה אינו אלא בגרושה</w:t>
      </w:r>
      <w:r>
        <w:rPr>
          <w:rFonts w:cs="Arial" w:hint="cs"/>
          <w:rtl/>
        </w:rPr>
        <w:t>,</w:t>
      </w:r>
      <w:r w:rsidRPr="0042649F">
        <w:rPr>
          <w:rFonts w:cs="Arial"/>
          <w:rtl/>
        </w:rPr>
        <w:t xml:space="preserve"> דאז שעבוד הבע"ח מיניה</w:t>
      </w:r>
      <w:r>
        <w:rPr>
          <w:rFonts w:cs="Arial" w:hint="cs"/>
          <w:rtl/>
        </w:rPr>
        <w:t>,</w:t>
      </w:r>
      <w:r w:rsidRPr="0042649F">
        <w:rPr>
          <w:rFonts w:cs="Arial"/>
          <w:rtl/>
        </w:rPr>
        <w:t xml:space="preserve"> ולתרווייהו משתעבדי מדינא בלא קדימה</w:t>
      </w:r>
      <w:r>
        <w:rPr>
          <w:rFonts w:cs="Arial" w:hint="cs"/>
          <w:rtl/>
        </w:rPr>
        <w:t>.</w:t>
      </w:r>
      <w:r w:rsidRPr="0042649F">
        <w:rPr>
          <w:rFonts w:cs="Arial"/>
          <w:rtl/>
        </w:rPr>
        <w:t xml:space="preserve"> אבל באלמנה עם ב"ח שאז שעבוד הב"ח לדין הש"ס מטלטלי דיתמי לא משתעבדי ואינם אלא מתקנה</w:t>
      </w:r>
      <w:r>
        <w:rPr>
          <w:rFonts w:cs="Arial" w:hint="cs"/>
          <w:rtl/>
        </w:rPr>
        <w:t>,</w:t>
      </w:r>
      <w:r w:rsidRPr="0042649F">
        <w:rPr>
          <w:rFonts w:cs="Arial"/>
          <w:rtl/>
        </w:rPr>
        <w:t xml:space="preserve"> ולדידה מדינא אם נכתב לה בחייה ובמות</w:t>
      </w:r>
      <w:r>
        <w:rPr>
          <w:rFonts w:cs="Arial" w:hint="cs"/>
          <w:rtl/>
        </w:rPr>
        <w:t xml:space="preserve"> -</w:t>
      </w:r>
      <w:r w:rsidRPr="0042649F">
        <w:rPr>
          <w:rFonts w:cs="Arial"/>
          <w:rtl/>
        </w:rPr>
        <w:t xml:space="preserve"> הרי שעבודה אלים והיא גביא ולא הוא כו' עכ"ל</w:t>
      </w:r>
      <w:r>
        <w:rPr>
          <w:rFonts w:cs="Arial" w:hint="cs"/>
          <w:rtl/>
        </w:rPr>
        <w:t>, פת"ש (סק"ג).</w:t>
      </w:r>
    </w:p>
  </w:footnote>
  <w:footnote w:id="2537">
    <w:p w14:paraId="4C1689CB" w14:textId="77777777" w:rsidR="00DF1FC7" w:rsidRDefault="00DF1FC7" w:rsidP="002E5BAD">
      <w:pPr>
        <w:pStyle w:val="a5"/>
      </w:pPr>
      <w:r>
        <w:rPr>
          <w:rStyle w:val="a7"/>
        </w:rPr>
        <w:footnoteRef/>
      </w:r>
      <w:r>
        <w:rPr>
          <w:rtl/>
        </w:rPr>
        <w:t xml:space="preserve"> </w:t>
      </w:r>
      <w:r w:rsidRPr="00E76BC8">
        <w:rPr>
          <w:rFonts w:cs="Arial"/>
          <w:rtl/>
        </w:rPr>
        <w:t>כלו</w:t>
      </w:r>
      <w:r>
        <w:rPr>
          <w:rFonts w:cs="Arial" w:hint="cs"/>
          <w:rtl/>
        </w:rPr>
        <w:t>מר</w:t>
      </w:r>
      <w:r w:rsidRPr="00E76BC8">
        <w:rPr>
          <w:rFonts w:cs="Arial"/>
          <w:rtl/>
        </w:rPr>
        <w:t xml:space="preserve"> אבל לא נדוניא דהנע</w:t>
      </w:r>
      <w:r>
        <w:rPr>
          <w:rFonts w:cs="Arial" w:hint="cs"/>
          <w:rtl/>
        </w:rPr>
        <w:t>לת</w:t>
      </w:r>
      <w:r w:rsidRPr="00E76BC8">
        <w:rPr>
          <w:rFonts w:cs="Arial"/>
          <w:rtl/>
        </w:rPr>
        <w:t xml:space="preserve"> ליה שבזה דינה כמו ב"ח וכמו שנתבאר בסמוך סעיף ט' והטעם מבואר שהיא נתנה לו נכסיה כמו הב"ח ועמ"ש סי' ק' סעיף ב'</w:t>
      </w:r>
      <w:r>
        <w:rPr>
          <w:rFonts w:cs="Arial" w:hint="cs"/>
          <w:rtl/>
        </w:rPr>
        <w:t>, ח"מ (סק"ג).</w:t>
      </w:r>
      <w:r>
        <w:rPr>
          <w:rFonts w:hint="cs"/>
          <w:rtl/>
        </w:rPr>
        <w:t xml:space="preserve"> וכ"כ הב"ש (סק"ה), והוסיף </w:t>
      </w:r>
      <w:r>
        <w:rPr>
          <w:rFonts w:cs="Arial" w:hint="cs"/>
          <w:rtl/>
        </w:rPr>
        <w:t xml:space="preserve">לכתוב דלגבי </w:t>
      </w:r>
      <w:r w:rsidRPr="00EC3210">
        <w:rPr>
          <w:rFonts w:cs="Arial"/>
          <w:rtl/>
        </w:rPr>
        <w:t>הוספות שליש כתבתי כמה פעמים דדינו כנדוני</w:t>
      </w:r>
      <w:r>
        <w:rPr>
          <w:rFonts w:cs="Arial" w:hint="cs"/>
          <w:rtl/>
        </w:rPr>
        <w:t>א,</w:t>
      </w:r>
      <w:r w:rsidRPr="00EC3210">
        <w:rPr>
          <w:rFonts w:cs="Arial"/>
          <w:rtl/>
        </w:rPr>
        <w:t xml:space="preserve"> וכאן י"ל בתוס' שליש דינו ככתובה</w:t>
      </w:r>
      <w:r>
        <w:rPr>
          <w:rFonts w:cs="Arial" w:hint="cs"/>
          <w:rtl/>
        </w:rPr>
        <w:t>.</w:t>
      </w:r>
      <w:r w:rsidRPr="00EC3210">
        <w:rPr>
          <w:rFonts w:cs="Arial"/>
          <w:rtl/>
        </w:rPr>
        <w:t xml:space="preserve"> דהא כתב הרמב"ם הטעם דמייפה כח הב"ח משום דהוציא את מעותיו</w:t>
      </w:r>
      <w:r>
        <w:rPr>
          <w:rFonts w:cs="Arial" w:hint="cs"/>
          <w:rtl/>
        </w:rPr>
        <w:t>,</w:t>
      </w:r>
      <w:r w:rsidRPr="00EC3210">
        <w:rPr>
          <w:rFonts w:cs="Arial"/>
          <w:rtl/>
        </w:rPr>
        <w:t xml:space="preserve"> ובתוספת שליש לא שייך טעם זה</w:t>
      </w:r>
      <w:r>
        <w:rPr>
          <w:rFonts w:hint="cs"/>
          <w:rtl/>
        </w:rPr>
        <w:t>. עכ"ל הב"ש. ו</w:t>
      </w:r>
      <w:r w:rsidRPr="0042649F">
        <w:rPr>
          <w:rFonts w:cs="Arial"/>
          <w:rtl/>
        </w:rPr>
        <w:t xml:space="preserve">בגליון ש"ע דהגר"ע איגר זצ"ל נ"ב עי' תשובת בעי חיי לבעל כנה"ג </w:t>
      </w:r>
      <w:r>
        <w:rPr>
          <w:rFonts w:cs="Arial" w:hint="cs"/>
          <w:rtl/>
        </w:rPr>
        <w:t>(</w:t>
      </w:r>
      <w:r w:rsidRPr="0042649F">
        <w:rPr>
          <w:rFonts w:cs="Arial"/>
          <w:rtl/>
        </w:rPr>
        <w:t>חח"מ סי' רב</w:t>
      </w:r>
      <w:r>
        <w:rPr>
          <w:rFonts w:cs="Arial" w:hint="cs"/>
          <w:rtl/>
        </w:rPr>
        <w:t>)</w:t>
      </w:r>
      <w:r w:rsidRPr="0042649F">
        <w:rPr>
          <w:rFonts w:cs="Arial"/>
          <w:rtl/>
        </w:rPr>
        <w:t xml:space="preserve"> כ' דגם בזה תליא בפלוגתא דרבוותא אם הוספת שליש הוא בכלל תוספת או בכלל נצ"ב וע' תשו' מהרמ"א סי' נד</w:t>
      </w:r>
      <w:r>
        <w:rPr>
          <w:rFonts w:cs="Arial" w:hint="cs"/>
          <w:rtl/>
        </w:rPr>
        <w:t>, פת"ש (סק"ד).</w:t>
      </w:r>
      <w:r w:rsidRPr="00383948">
        <w:rPr>
          <w:rtl/>
        </w:rPr>
        <w:t xml:space="preserve"> </w:t>
      </w:r>
      <w:r w:rsidRPr="00383948">
        <w:rPr>
          <w:rFonts w:cs="Arial"/>
          <w:rtl/>
        </w:rPr>
        <w:t xml:space="preserve">וז"ל הרדב"ז </w:t>
      </w:r>
      <w:r>
        <w:rPr>
          <w:rFonts w:cs="Arial" w:hint="cs"/>
          <w:rtl/>
        </w:rPr>
        <w:t>(</w:t>
      </w:r>
      <w:r w:rsidRPr="00383948">
        <w:rPr>
          <w:rFonts w:cs="Arial"/>
          <w:rtl/>
        </w:rPr>
        <w:t>ח"א סי' עא</w:t>
      </w:r>
      <w:r>
        <w:rPr>
          <w:rFonts w:cs="Arial" w:hint="cs"/>
          <w:rtl/>
        </w:rPr>
        <w:t>)</w:t>
      </w:r>
      <w:r w:rsidRPr="00383948">
        <w:rPr>
          <w:rFonts w:cs="Arial"/>
          <w:rtl/>
        </w:rPr>
        <w:t xml:space="preserve"> נ"מ שלה נוטלת</w:t>
      </w:r>
      <w:r>
        <w:rPr>
          <w:rFonts w:cs="Arial" w:hint="cs"/>
          <w:rtl/>
        </w:rPr>
        <w:t>,</w:t>
      </w:r>
      <w:r w:rsidRPr="00383948">
        <w:rPr>
          <w:rFonts w:cs="Arial"/>
          <w:rtl/>
        </w:rPr>
        <w:t xml:space="preserve"> וכן נצ"ב דהיינו נכסי נדוניא אם הם בעין</w:t>
      </w:r>
      <w:r>
        <w:rPr>
          <w:rFonts w:cs="Arial" w:hint="cs"/>
          <w:rtl/>
        </w:rPr>
        <w:t>,</w:t>
      </w:r>
      <w:r w:rsidRPr="00383948">
        <w:rPr>
          <w:rFonts w:cs="Arial"/>
          <w:rtl/>
        </w:rPr>
        <w:t xml:space="preserve"> או תמורתם שיש עדים או ראיה שאלו באו מכח אותם הנכסים שהיו מנדונייתה נוטלתן</w:t>
      </w:r>
      <w:r>
        <w:rPr>
          <w:rFonts w:cs="Arial" w:hint="cs"/>
          <w:rtl/>
        </w:rPr>
        <w:t>,</w:t>
      </w:r>
      <w:r w:rsidRPr="00383948">
        <w:rPr>
          <w:rFonts w:cs="Arial"/>
          <w:rtl/>
        </w:rPr>
        <w:t xml:space="preserve"> ואין לבע"ח בהם כלום</w:t>
      </w:r>
      <w:r>
        <w:rPr>
          <w:rFonts w:cs="Arial" w:hint="cs"/>
          <w:rtl/>
        </w:rPr>
        <w:t>.</w:t>
      </w:r>
      <w:r w:rsidRPr="00383948">
        <w:rPr>
          <w:rFonts w:cs="Arial"/>
          <w:rtl/>
        </w:rPr>
        <w:t xml:space="preserve"> ואם אכלן הבעל או שנאבדו</w:t>
      </w:r>
      <w:r>
        <w:rPr>
          <w:rFonts w:cs="Arial" w:hint="cs"/>
          <w:rtl/>
        </w:rPr>
        <w:t>,</w:t>
      </w:r>
      <w:r w:rsidRPr="00383948">
        <w:rPr>
          <w:rFonts w:cs="Arial"/>
          <w:rtl/>
        </w:rPr>
        <w:t xml:space="preserve"> כיון שהוא חייב באחריותן הרי הוא בהם כשאר בע"ח</w:t>
      </w:r>
      <w:r>
        <w:rPr>
          <w:rFonts w:cs="Arial" w:hint="cs"/>
          <w:rtl/>
        </w:rPr>
        <w:t>,</w:t>
      </w:r>
      <w:r w:rsidRPr="00383948">
        <w:rPr>
          <w:rFonts w:cs="Arial"/>
          <w:rtl/>
        </w:rPr>
        <w:t xml:space="preserve"> וחולקין. ומנה ומאתיים ותוספת</w:t>
      </w:r>
      <w:r>
        <w:rPr>
          <w:rFonts w:cs="Arial" w:hint="cs"/>
          <w:rtl/>
        </w:rPr>
        <w:t>,</w:t>
      </w:r>
      <w:r w:rsidRPr="00383948">
        <w:rPr>
          <w:rFonts w:cs="Arial"/>
          <w:rtl/>
        </w:rPr>
        <w:t xml:space="preserve"> בע"ח קודם ע"ש. ועיין בח"מ סי' צ"ז סעיף כ"ו. והרח"ש </w:t>
      </w:r>
      <w:r>
        <w:rPr>
          <w:rFonts w:cs="Arial" w:hint="cs"/>
          <w:rtl/>
        </w:rPr>
        <w:t>(</w:t>
      </w:r>
      <w:r w:rsidRPr="00383948">
        <w:rPr>
          <w:rFonts w:cs="Arial"/>
          <w:rtl/>
        </w:rPr>
        <w:t>בתשו' סי' נד</w:t>
      </w:r>
      <w:r>
        <w:rPr>
          <w:rFonts w:cs="Arial" w:hint="cs"/>
          <w:rtl/>
        </w:rPr>
        <w:t>)</w:t>
      </w:r>
      <w:r w:rsidRPr="00383948">
        <w:rPr>
          <w:rFonts w:cs="Arial"/>
          <w:rtl/>
        </w:rPr>
        <w:t xml:space="preserve"> כתב דתוס</w:t>
      </w:r>
      <w:r>
        <w:rPr>
          <w:rFonts w:cs="Arial" w:hint="cs"/>
          <w:rtl/>
        </w:rPr>
        <w:t>פת</w:t>
      </w:r>
      <w:r w:rsidRPr="00383948">
        <w:rPr>
          <w:rFonts w:cs="Arial"/>
          <w:rtl/>
        </w:rPr>
        <w:t xml:space="preserve"> דידן דינו כנדוניא אפי' כאן. חפץ הקנויה ממעשה ידיה וכן פירות נ"מ שלה שהם בעין </w:t>
      </w:r>
      <w:r>
        <w:rPr>
          <w:rFonts w:cs="Arial" w:hint="cs"/>
          <w:rtl/>
        </w:rPr>
        <w:t xml:space="preserve">- </w:t>
      </w:r>
      <w:r w:rsidRPr="00383948">
        <w:rPr>
          <w:rFonts w:cs="Arial"/>
          <w:rtl/>
        </w:rPr>
        <w:t>נוטלתן האשה וישומו לה לנדוניי</w:t>
      </w:r>
      <w:r>
        <w:rPr>
          <w:rFonts w:cs="Arial" w:hint="cs"/>
          <w:rtl/>
        </w:rPr>
        <w:t>תה</w:t>
      </w:r>
      <w:r w:rsidRPr="00383948">
        <w:rPr>
          <w:rFonts w:cs="Arial"/>
          <w:rtl/>
        </w:rPr>
        <w:t xml:space="preserve"> ולא תועיל קדימה או תפיסה לבע"ח</w:t>
      </w:r>
      <w:r>
        <w:rPr>
          <w:rFonts w:cs="Arial" w:hint="cs"/>
          <w:rtl/>
        </w:rPr>
        <w:t>,</w:t>
      </w:r>
      <w:r w:rsidRPr="00383948">
        <w:rPr>
          <w:rFonts w:cs="Arial"/>
          <w:rtl/>
        </w:rPr>
        <w:t xml:space="preserve"> הר"ם מטראני </w:t>
      </w:r>
      <w:r>
        <w:rPr>
          <w:rFonts w:cs="Arial" w:hint="cs"/>
          <w:rtl/>
        </w:rPr>
        <w:t>(</w:t>
      </w:r>
      <w:r w:rsidRPr="00383948">
        <w:rPr>
          <w:rFonts w:cs="Arial"/>
          <w:rtl/>
        </w:rPr>
        <w:t>ח"ג סי</w:t>
      </w:r>
      <w:r>
        <w:rPr>
          <w:rFonts w:cs="Arial" w:hint="cs"/>
          <w:rtl/>
        </w:rPr>
        <w:t>'</w:t>
      </w:r>
      <w:r w:rsidRPr="00383948">
        <w:rPr>
          <w:rFonts w:cs="Arial"/>
          <w:rtl/>
        </w:rPr>
        <w:t xml:space="preserve"> קפד</w:t>
      </w:r>
      <w:r>
        <w:rPr>
          <w:rFonts w:cs="Arial" w:hint="cs"/>
          <w:rtl/>
        </w:rPr>
        <w:t>)</w:t>
      </w:r>
      <w:r w:rsidRPr="00383948">
        <w:rPr>
          <w:rFonts w:cs="Arial"/>
          <w:rtl/>
        </w:rPr>
        <w:t>. החשבון מהנדוני</w:t>
      </w:r>
      <w:r>
        <w:rPr>
          <w:rFonts w:cs="Arial" w:hint="cs"/>
          <w:rtl/>
        </w:rPr>
        <w:t>א</w:t>
      </w:r>
      <w:r w:rsidRPr="00383948">
        <w:rPr>
          <w:rFonts w:cs="Arial"/>
          <w:rtl/>
        </w:rPr>
        <w:t xml:space="preserve"> שחוזר ליורשי האשה כשמתה בלי זרע של קיימא לפי התקנה או המנהג או התנאי דינו כנדוני'</w:t>
      </w:r>
      <w:r>
        <w:rPr>
          <w:rFonts w:cs="Arial" w:hint="cs"/>
          <w:rtl/>
        </w:rPr>
        <w:t>,</w:t>
      </w:r>
      <w:r w:rsidRPr="00383948">
        <w:rPr>
          <w:rFonts w:cs="Arial"/>
          <w:rtl/>
        </w:rPr>
        <w:t xml:space="preserve"> הרא"ש</w:t>
      </w:r>
      <w:r>
        <w:rPr>
          <w:rFonts w:cs="Arial" w:hint="cs"/>
          <w:rtl/>
        </w:rPr>
        <w:t>, באה"ט (סק"ד).</w:t>
      </w:r>
    </w:p>
  </w:footnote>
  <w:footnote w:id="2538">
    <w:p w14:paraId="17B110E2" w14:textId="77777777" w:rsidR="00DF1FC7" w:rsidRDefault="00DF1FC7" w:rsidP="002E5BAD">
      <w:pPr>
        <w:pStyle w:val="a5"/>
      </w:pPr>
      <w:r>
        <w:rPr>
          <w:rStyle w:val="a7"/>
        </w:rPr>
        <w:footnoteRef/>
      </w:r>
      <w:r>
        <w:rPr>
          <w:rtl/>
        </w:rPr>
        <w:t xml:space="preserve"> </w:t>
      </w:r>
      <w:r w:rsidRPr="004F0837">
        <w:rPr>
          <w:rFonts w:cs="Arial"/>
          <w:rtl/>
        </w:rPr>
        <w:t xml:space="preserve">כלומר שמא פרע לך אבל אם ידוע שלא פרע לו אף על גב די"ל דלמא לא היה חייב לו מ"מ יכול לחייבה דהא יכול ליתן מתנה לכל מי שירצה כמ"ש בסימן ק' </w:t>
      </w:r>
      <w:r>
        <w:rPr>
          <w:rFonts w:cs="Arial" w:hint="cs"/>
          <w:rtl/>
        </w:rPr>
        <w:t xml:space="preserve">(ס"א). </w:t>
      </w:r>
      <w:r w:rsidRPr="004F0837">
        <w:rPr>
          <w:rFonts w:cs="Arial"/>
          <w:rtl/>
        </w:rPr>
        <w:t xml:space="preserve">וראיתי בתשובת רש"ך </w:t>
      </w:r>
      <w:r>
        <w:rPr>
          <w:rFonts w:cs="Arial" w:hint="cs"/>
          <w:rtl/>
        </w:rPr>
        <w:t>(</w:t>
      </w:r>
      <w:r w:rsidRPr="004F0837">
        <w:rPr>
          <w:rFonts w:cs="Arial"/>
          <w:rtl/>
        </w:rPr>
        <w:t>ח"א סי</w:t>
      </w:r>
      <w:r>
        <w:rPr>
          <w:rFonts w:cs="Arial" w:hint="cs"/>
          <w:rtl/>
        </w:rPr>
        <w:t>'</w:t>
      </w:r>
      <w:r w:rsidRPr="004F0837">
        <w:rPr>
          <w:rFonts w:cs="Arial"/>
          <w:rtl/>
        </w:rPr>
        <w:t xml:space="preserve"> לה</w:t>
      </w:r>
      <w:r>
        <w:rPr>
          <w:rFonts w:cs="Arial" w:hint="cs"/>
          <w:rtl/>
        </w:rPr>
        <w:t>)</w:t>
      </w:r>
      <w:r w:rsidRPr="004F0837">
        <w:rPr>
          <w:rFonts w:cs="Arial"/>
          <w:rtl/>
        </w:rPr>
        <w:t xml:space="preserve"> דכתב דאי</w:t>
      </w:r>
      <w:r>
        <w:rPr>
          <w:rFonts w:cs="Arial" w:hint="cs"/>
          <w:rtl/>
        </w:rPr>
        <w:t>נו יכול</w:t>
      </w:r>
      <w:r w:rsidRPr="004F0837">
        <w:rPr>
          <w:rFonts w:cs="Arial"/>
          <w:rtl/>
        </w:rPr>
        <w:t xml:space="preserve"> לחייבה</w:t>
      </w:r>
      <w:r>
        <w:rPr>
          <w:rFonts w:cs="Arial" w:hint="cs"/>
          <w:rtl/>
        </w:rPr>
        <w:t>,</w:t>
      </w:r>
      <w:r w:rsidRPr="004F0837">
        <w:rPr>
          <w:rFonts w:cs="Arial"/>
          <w:rtl/>
        </w:rPr>
        <w:t xml:space="preserve"> ולמד כן מתשובת הרשב"א שהבאתי בסימן ק'</w:t>
      </w:r>
      <w:r>
        <w:rPr>
          <w:rFonts w:cs="Arial" w:hint="cs"/>
          <w:rtl/>
        </w:rPr>
        <w:t>.</w:t>
      </w:r>
      <w:r w:rsidRPr="004F0837">
        <w:rPr>
          <w:rFonts w:cs="Arial"/>
          <w:rtl/>
        </w:rPr>
        <w:t xml:space="preserve"> ולית</w:t>
      </w:r>
      <w:r>
        <w:rPr>
          <w:rFonts w:cs="Arial" w:hint="cs"/>
          <w:rtl/>
        </w:rPr>
        <w:t>א,</w:t>
      </w:r>
      <w:r w:rsidRPr="004F0837">
        <w:rPr>
          <w:rFonts w:cs="Arial"/>
          <w:rtl/>
        </w:rPr>
        <w:t xml:space="preserve"> כמ"ש שם</w:t>
      </w:r>
      <w:r>
        <w:rPr>
          <w:rFonts w:cs="Arial" w:hint="cs"/>
          <w:rtl/>
        </w:rPr>
        <w:t>, ב"ש (סק"ט).</w:t>
      </w:r>
    </w:p>
  </w:footnote>
  <w:footnote w:id="2539">
    <w:p w14:paraId="7EE1634C" w14:textId="77777777" w:rsidR="00DF1FC7" w:rsidRDefault="00DF1FC7" w:rsidP="002E5BAD">
      <w:pPr>
        <w:pStyle w:val="a5"/>
        <w:rPr>
          <w:rtl/>
        </w:rPr>
      </w:pPr>
      <w:r>
        <w:rPr>
          <w:rStyle w:val="a7"/>
        </w:rPr>
        <w:footnoteRef/>
      </w:r>
      <w:r>
        <w:rPr>
          <w:rtl/>
        </w:rPr>
        <w:t xml:space="preserve"> </w:t>
      </w:r>
      <w:r w:rsidRPr="00D8413A">
        <w:rPr>
          <w:rFonts w:cs="Arial"/>
          <w:rtl/>
        </w:rPr>
        <w:t>דין זה פשוט דמהי תיתי שתתפוס פקדון של אחרים ואפי' עיסקא דהוי פלגא מלוה פסק בי"ד סי' קע"ז דאין ב"ח ואשה נוטלים כלום מן הקרן ומחלק ריוח של הנותן</w:t>
      </w:r>
      <w:r>
        <w:rPr>
          <w:rFonts w:hint="cs"/>
          <w:rtl/>
        </w:rPr>
        <w:t>, ח"מ (סק"ו).</w:t>
      </w:r>
    </w:p>
  </w:footnote>
  <w:footnote w:id="2540">
    <w:p w14:paraId="27AB5977" w14:textId="77777777" w:rsidR="00DF1FC7" w:rsidRDefault="00DF1FC7" w:rsidP="002E5BAD">
      <w:pPr>
        <w:pStyle w:val="a5"/>
      </w:pPr>
      <w:r>
        <w:rPr>
          <w:rStyle w:val="a7"/>
        </w:rPr>
        <w:footnoteRef/>
      </w:r>
      <w:r>
        <w:rPr>
          <w:rtl/>
        </w:rPr>
        <w:t xml:space="preserve"> </w:t>
      </w:r>
      <w:r w:rsidRPr="00D8413A">
        <w:rPr>
          <w:rFonts w:cs="Arial"/>
          <w:rtl/>
        </w:rPr>
        <w:t>כדי שלא תטרוף מטלטלי שמכר הבעל או שנתן במתנת בריא</w:t>
      </w:r>
      <w:r>
        <w:rPr>
          <w:rFonts w:cs="Arial" w:hint="cs"/>
          <w:rtl/>
        </w:rPr>
        <w:t>, ח"מ (סק"ז).</w:t>
      </w:r>
    </w:p>
  </w:footnote>
  <w:footnote w:id="2541">
    <w:p w14:paraId="7393F1A2" w14:textId="77777777" w:rsidR="00DF1FC7" w:rsidRDefault="00DF1FC7" w:rsidP="002E5BAD">
      <w:pPr>
        <w:pStyle w:val="a5"/>
      </w:pPr>
      <w:r>
        <w:rPr>
          <w:rStyle w:val="a7"/>
        </w:rPr>
        <w:footnoteRef/>
      </w:r>
      <w:r>
        <w:rPr>
          <w:rtl/>
        </w:rPr>
        <w:t xml:space="preserve"> </w:t>
      </w:r>
      <w:r w:rsidRPr="00D8413A">
        <w:rPr>
          <w:rFonts w:cs="Arial"/>
          <w:rtl/>
        </w:rPr>
        <w:t>כלו' משום תקנת השוק אין נוהגים לגבות מן הלקוחו' שמכר או נתן במתנת בריא ומ"מ אם כתב אגב בכתוב' מועיל לענין ב"ח הבא לגבות ממטלטלי דיש לה קדימה וכמו שנתבאר בח"מ סי' ק"ג דלגבי שני ב"ח הבאים לגבו' ליכא תקנת השוק וע"כ כתב לפני זה כגון דלא אקני לה מטלטלי אגב מקרקעי</w:t>
      </w:r>
      <w:r>
        <w:rPr>
          <w:rFonts w:cs="Arial" w:hint="cs"/>
          <w:rtl/>
        </w:rPr>
        <w:t>, ח"מ (סק"ח).</w:t>
      </w:r>
    </w:p>
  </w:footnote>
  <w:footnote w:id="2542">
    <w:p w14:paraId="0DA9D807" w14:textId="77777777" w:rsidR="00DF1FC7" w:rsidRDefault="00DF1FC7" w:rsidP="002E5BAD">
      <w:pPr>
        <w:pStyle w:val="a5"/>
        <w:rPr>
          <w:rtl/>
        </w:rPr>
      </w:pPr>
      <w:r>
        <w:rPr>
          <w:rStyle w:val="a7"/>
        </w:rPr>
        <w:footnoteRef/>
      </w:r>
      <w:r>
        <w:rPr>
          <w:rtl/>
        </w:rPr>
        <w:t xml:space="preserve"> </w:t>
      </w:r>
      <w:r w:rsidRPr="00103C93">
        <w:rPr>
          <w:rFonts w:cs="Arial"/>
          <w:rtl/>
        </w:rPr>
        <w:t>עיין כנה"ג חח"מ סי' ק"ד. ובש"ך שם</w:t>
      </w:r>
      <w:r>
        <w:rPr>
          <w:rFonts w:hint="cs"/>
          <w:rtl/>
        </w:rPr>
        <w:t>, באה"ט (סק"ג).</w:t>
      </w:r>
    </w:p>
  </w:footnote>
  <w:footnote w:id="2543">
    <w:p w14:paraId="47D147E7" w14:textId="77777777" w:rsidR="00DF1FC7" w:rsidRDefault="00DF1FC7" w:rsidP="002E5BAD">
      <w:pPr>
        <w:pStyle w:val="a5"/>
      </w:pPr>
      <w:r>
        <w:rPr>
          <w:rStyle w:val="a7"/>
        </w:rPr>
        <w:footnoteRef/>
      </w:r>
      <w:r>
        <w:rPr>
          <w:rtl/>
        </w:rPr>
        <w:t xml:space="preserve"> </w:t>
      </w:r>
      <w:r w:rsidRPr="0042649F">
        <w:rPr>
          <w:rFonts w:cs="Arial"/>
          <w:rtl/>
        </w:rPr>
        <w:t xml:space="preserve">וע' בתשו' רבינו עקיבא איגר ז"ל </w:t>
      </w:r>
      <w:r>
        <w:rPr>
          <w:rFonts w:cs="Arial" w:hint="cs"/>
          <w:rtl/>
        </w:rPr>
        <w:t>(</w:t>
      </w:r>
      <w:r w:rsidRPr="0042649F">
        <w:rPr>
          <w:rFonts w:cs="Arial"/>
          <w:rtl/>
        </w:rPr>
        <w:t>סי' קלג</w:t>
      </w:r>
      <w:r>
        <w:rPr>
          <w:rFonts w:cs="Arial" w:hint="cs"/>
          <w:rtl/>
        </w:rPr>
        <w:t>)</w:t>
      </w:r>
      <w:r w:rsidRPr="0042649F">
        <w:rPr>
          <w:rFonts w:cs="Arial"/>
          <w:rtl/>
        </w:rPr>
        <w:t xml:space="preserve"> עובדא כזו ממש ומסתפק שם בדין זה אם מקרי המשכיר קדם ותפס</w:t>
      </w:r>
      <w:r>
        <w:rPr>
          <w:rFonts w:cs="Arial" w:hint="cs"/>
          <w:rtl/>
        </w:rPr>
        <w:t>, פת"ש (סק"ד).</w:t>
      </w:r>
    </w:p>
  </w:footnote>
  <w:footnote w:id="2544">
    <w:p w14:paraId="42C04E12" w14:textId="77777777" w:rsidR="00DF1FC7" w:rsidRDefault="00DF1FC7" w:rsidP="002E5BAD">
      <w:pPr>
        <w:pStyle w:val="a5"/>
        <w:rPr>
          <w:rtl/>
        </w:rPr>
      </w:pPr>
      <w:r>
        <w:rPr>
          <w:rStyle w:val="a7"/>
        </w:rPr>
        <w:footnoteRef/>
      </w:r>
      <w:r>
        <w:rPr>
          <w:rtl/>
        </w:rPr>
        <w:t xml:space="preserve"> </w:t>
      </w:r>
      <w:r w:rsidRPr="001C1C7A">
        <w:rPr>
          <w:rFonts w:cs="Arial"/>
          <w:rtl/>
        </w:rPr>
        <w:t>זה הלוה מעות</w:t>
      </w:r>
      <w:r>
        <w:rPr>
          <w:rFonts w:cs="Arial" w:hint="cs"/>
          <w:rtl/>
        </w:rPr>
        <w:t>,</w:t>
      </w:r>
      <w:r w:rsidRPr="001C1C7A">
        <w:rPr>
          <w:rFonts w:cs="Arial"/>
          <w:rtl/>
        </w:rPr>
        <w:t xml:space="preserve"> וזו סמכה על שיעבוד הקרקע והיא לא נתנה כלום</w:t>
      </w:r>
      <w:r>
        <w:rPr>
          <w:rFonts w:cs="Arial" w:hint="cs"/>
          <w:rtl/>
        </w:rPr>
        <w:t>.</w:t>
      </w:r>
      <w:r w:rsidRPr="001C1C7A">
        <w:rPr>
          <w:rFonts w:cs="Arial"/>
          <w:rtl/>
        </w:rPr>
        <w:t xml:space="preserve"> ואם בשביל נכסי צאן ברזל הנישומין בכתובה</w:t>
      </w:r>
      <w:r>
        <w:rPr>
          <w:rFonts w:cs="Arial" w:hint="cs"/>
          <w:rtl/>
        </w:rPr>
        <w:t>,</w:t>
      </w:r>
      <w:r w:rsidRPr="001C1C7A">
        <w:rPr>
          <w:rFonts w:cs="Arial"/>
          <w:rtl/>
        </w:rPr>
        <w:t xml:space="preserve"> הוא זכה בהן מיד</w:t>
      </w:r>
      <w:r>
        <w:rPr>
          <w:rFonts w:cs="Arial" w:hint="cs"/>
          <w:rtl/>
        </w:rPr>
        <w:t>,</w:t>
      </w:r>
      <w:r w:rsidRPr="001C1C7A">
        <w:rPr>
          <w:rFonts w:cs="Arial"/>
          <w:rtl/>
        </w:rPr>
        <w:t xml:space="preserve"> וזו צירפתן עם הכתובה על שיעבוד הקרקע</w:t>
      </w:r>
      <w:r>
        <w:rPr>
          <w:rFonts w:hint="cs"/>
          <w:rtl/>
        </w:rPr>
        <w:t>, רש"י.</w:t>
      </w:r>
    </w:p>
  </w:footnote>
  <w:footnote w:id="2545">
    <w:p w14:paraId="667FEA9E" w14:textId="77777777" w:rsidR="00DF1FC7" w:rsidRDefault="00DF1FC7" w:rsidP="002E5BAD">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2546">
    <w:p w14:paraId="5458A6AF" w14:textId="77777777" w:rsidR="00DF1FC7" w:rsidRDefault="00DF1FC7" w:rsidP="002E5BAD">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2547">
    <w:p w14:paraId="67FF6801" w14:textId="77777777" w:rsidR="00DF1FC7" w:rsidRDefault="00DF1FC7" w:rsidP="002E5BAD">
      <w:pPr>
        <w:pStyle w:val="a5"/>
      </w:pPr>
      <w:r>
        <w:rPr>
          <w:rStyle w:val="a7"/>
        </w:rPr>
        <w:footnoteRef/>
      </w:r>
      <w:r>
        <w:rPr>
          <w:rtl/>
        </w:rPr>
        <w:t xml:space="preserve"> </w:t>
      </w:r>
      <w:r>
        <w:rPr>
          <w:rFonts w:cs="Arial"/>
          <w:rtl/>
        </w:rPr>
        <w:t>והאי מימרא לאו מימרא מעליא הוא</w:t>
      </w:r>
      <w:r>
        <w:rPr>
          <w:rFonts w:cs="Arial" w:hint="cs"/>
          <w:rtl/>
        </w:rPr>
        <w:t>.</w:t>
      </w:r>
      <w:r>
        <w:rPr>
          <w:rFonts w:cs="Arial"/>
          <w:rtl/>
        </w:rPr>
        <w:t xml:space="preserve"> חדא</w:t>
      </w:r>
      <w:r>
        <w:rPr>
          <w:rFonts w:cs="Arial" w:hint="cs"/>
          <w:rtl/>
        </w:rPr>
        <w:t>,</w:t>
      </w:r>
      <w:r>
        <w:rPr>
          <w:rFonts w:cs="Arial"/>
          <w:rtl/>
        </w:rPr>
        <w:t xml:space="preserve"> דלא אמרינן בגמרא דזמנם ביום אחד</w:t>
      </w:r>
      <w:r>
        <w:rPr>
          <w:rFonts w:cs="Arial" w:hint="cs"/>
          <w:rtl/>
        </w:rPr>
        <w:t>,</w:t>
      </w:r>
      <w:r>
        <w:rPr>
          <w:rFonts w:cs="Arial"/>
          <w:rtl/>
        </w:rPr>
        <w:t xml:space="preserve"> אלא סתמא קאמר האי מאן דאיכא עליה כתובת אשה ובעל חוב למימרא</w:t>
      </w:r>
      <w:r>
        <w:rPr>
          <w:rFonts w:cs="Arial" w:hint="cs"/>
          <w:rtl/>
        </w:rPr>
        <w:t>,</w:t>
      </w:r>
      <w:r>
        <w:rPr>
          <w:rFonts w:cs="Arial"/>
          <w:rtl/>
        </w:rPr>
        <w:t xml:space="preserve"> דכל היכא דכי הדדי נינהו וליכא דינא דקדימה</w:t>
      </w:r>
      <w:r>
        <w:rPr>
          <w:rFonts w:cs="Arial" w:hint="cs"/>
          <w:rtl/>
        </w:rPr>
        <w:t>,</w:t>
      </w:r>
      <w:r>
        <w:rPr>
          <w:rFonts w:cs="Arial"/>
          <w:rtl/>
        </w:rPr>
        <w:t xml:space="preserve"> לבעל חוב יהבינן</w:t>
      </w:r>
      <w:r>
        <w:rPr>
          <w:rFonts w:cs="Arial" w:hint="cs"/>
          <w:rtl/>
        </w:rPr>
        <w:t>,</w:t>
      </w:r>
      <w:r>
        <w:rPr>
          <w:rFonts w:cs="Arial"/>
          <w:rtl/>
        </w:rPr>
        <w:t xml:space="preserve"> לאשה לא יהבינן</w:t>
      </w:r>
      <w:r>
        <w:rPr>
          <w:rFonts w:cs="Arial" w:hint="cs"/>
          <w:rtl/>
        </w:rPr>
        <w:t>.</w:t>
      </w:r>
      <w:r>
        <w:rPr>
          <w:rFonts w:cs="Arial"/>
          <w:rtl/>
        </w:rPr>
        <w:t xml:space="preserve"> ועוד</w:t>
      </w:r>
      <w:r>
        <w:rPr>
          <w:rFonts w:cs="Arial" w:hint="cs"/>
          <w:rtl/>
        </w:rPr>
        <w:t>,</w:t>
      </w:r>
      <w:r>
        <w:rPr>
          <w:rFonts w:cs="Arial"/>
          <w:rtl/>
        </w:rPr>
        <w:t xml:space="preserve"> דהא דאמר שמואל וכו'</w:t>
      </w:r>
      <w:r>
        <w:rPr>
          <w:rFonts w:cs="Arial" w:hint="cs"/>
          <w:rtl/>
        </w:rPr>
        <w:t>...</w:t>
      </w:r>
      <w:r>
        <w:rPr>
          <w:rFonts w:cs="Arial"/>
          <w:rtl/>
        </w:rPr>
        <w:t xml:space="preserve"> הילכך בין שטר חוב וכתובה יוצאים ביום אחד</w:t>
      </w:r>
      <w:r>
        <w:rPr>
          <w:rFonts w:cs="Arial" w:hint="cs"/>
          <w:rtl/>
        </w:rPr>
        <w:t>,</w:t>
      </w:r>
      <w:r>
        <w:rPr>
          <w:rFonts w:cs="Arial"/>
          <w:rtl/>
        </w:rPr>
        <w:t xml:space="preserve"> בין ששניהם כעין לוה ולוה ואח"כ קנה בין מטלטלי בזמן הזה</w:t>
      </w:r>
      <w:r>
        <w:rPr>
          <w:rFonts w:cs="Arial" w:hint="cs"/>
          <w:rtl/>
        </w:rPr>
        <w:t>,</w:t>
      </w:r>
      <w:r>
        <w:rPr>
          <w:rFonts w:cs="Arial"/>
          <w:rtl/>
        </w:rPr>
        <w:t xml:space="preserve"> הואיל ושעבוד תרוייהו בהדי הדדי אתו וליכא דינא דקדימה לחד מינייהו</w:t>
      </w:r>
      <w:r>
        <w:rPr>
          <w:rFonts w:cs="Arial" w:hint="cs"/>
          <w:rtl/>
        </w:rPr>
        <w:t>,</w:t>
      </w:r>
      <w:r>
        <w:rPr>
          <w:rFonts w:cs="Arial"/>
          <w:rtl/>
        </w:rPr>
        <w:t xml:space="preserve"> אי ליכא אלא מאי דשקיל חד מינייהו </w:t>
      </w:r>
      <w:r>
        <w:rPr>
          <w:rFonts w:cs="Arial" w:hint="cs"/>
          <w:rtl/>
        </w:rPr>
        <w:t xml:space="preserve">- </w:t>
      </w:r>
      <w:r>
        <w:rPr>
          <w:rFonts w:cs="Arial"/>
          <w:rtl/>
        </w:rPr>
        <w:t>לבעל חוב יהבינן לאשה לא יהבינן</w:t>
      </w:r>
      <w:r>
        <w:rPr>
          <w:rFonts w:cs="Arial" w:hint="cs"/>
          <w:rtl/>
        </w:rPr>
        <w:t>,</w:t>
      </w:r>
      <w:r>
        <w:rPr>
          <w:rFonts w:cs="Arial"/>
          <w:rtl/>
        </w:rPr>
        <w:t xml:space="preserve"> דיותר משהאיש רוצה לישא האשה רוצה לינשא</w:t>
      </w:r>
      <w:r>
        <w:rPr>
          <w:rFonts w:cs="Arial" w:hint="cs"/>
          <w:rtl/>
        </w:rPr>
        <w:t>, רי"ף (שם).</w:t>
      </w:r>
    </w:p>
  </w:footnote>
  <w:footnote w:id="2548">
    <w:p w14:paraId="4C45E5CC" w14:textId="77777777" w:rsidR="00DF1FC7" w:rsidRDefault="00DF1FC7" w:rsidP="002E5BAD">
      <w:pPr>
        <w:pStyle w:val="a5"/>
      </w:pPr>
      <w:r>
        <w:rPr>
          <w:rStyle w:val="a7"/>
        </w:rPr>
        <w:footnoteRef/>
      </w:r>
      <w:r>
        <w:rPr>
          <w:rtl/>
        </w:rPr>
        <w:t xml:space="preserve"> </w:t>
      </w:r>
      <w:r w:rsidRPr="000E19D1">
        <w:rPr>
          <w:rFonts w:cs="Arial"/>
          <w:rtl/>
        </w:rPr>
        <w:t>ומשמע שאין זה אלא בעיקר כתובה אבל נדוניא דינה כחוב והיכא דשעבודה ושעבוד החוב שוים חולקים ביניהם</w:t>
      </w:r>
      <w:r w:rsidRPr="000E19D1">
        <w:rPr>
          <w:rFonts w:cs="Arial" w:hint="cs"/>
          <w:rtl/>
        </w:rPr>
        <w:t>.</w:t>
      </w:r>
      <w:r w:rsidRPr="000E19D1">
        <w:rPr>
          <w:rFonts w:cs="Arial"/>
          <w:rtl/>
        </w:rPr>
        <w:t xml:space="preserve"> וכן מתבאר מדברי הרמב"ם שכתב רבינו בסמוך וכ"כ בספר התרומות שער מ"ג (ח"ד אות יג) וכתב שכן כתבו חכמי לוניל</w:t>
      </w:r>
      <w:r>
        <w:rPr>
          <w:rFonts w:cs="Arial" w:hint="cs"/>
          <w:rtl/>
        </w:rPr>
        <w:t xml:space="preserve">, ב"י. וכתב הדרכ"מ (אות </w:t>
      </w:r>
      <w:r w:rsidRPr="00A167C1">
        <w:rPr>
          <w:rFonts w:cs="Arial"/>
          <w:rtl/>
        </w:rPr>
        <w:t xml:space="preserve">ד) </w:t>
      </w:r>
      <w:r>
        <w:rPr>
          <w:rFonts w:cs="Arial" w:hint="cs"/>
          <w:rtl/>
        </w:rPr>
        <w:t>ש</w:t>
      </w:r>
      <w:r w:rsidRPr="00A167C1">
        <w:rPr>
          <w:rFonts w:cs="Arial"/>
          <w:rtl/>
        </w:rPr>
        <w:t>בסימן ק' (אות א) כתבתי שכן דעת הרשב"א (שו"ת ח"ד סי' קנב) דדין נכסי צאן ברזל לכל דבר הוי כשאר חוב ועיין למטה בסימן זה</w:t>
      </w:r>
      <w:r>
        <w:rPr>
          <w:rFonts w:cs="Arial" w:hint="cs"/>
          <w:rtl/>
        </w:rPr>
        <w:t>.</w:t>
      </w:r>
    </w:p>
  </w:footnote>
  <w:footnote w:id="2549">
    <w:p w14:paraId="308DB17B" w14:textId="77777777" w:rsidR="00DF1FC7" w:rsidRDefault="00DF1FC7" w:rsidP="002E5BAD">
      <w:pPr>
        <w:pStyle w:val="a5"/>
        <w:rPr>
          <w:rtl/>
        </w:rPr>
      </w:pPr>
      <w:r>
        <w:rPr>
          <w:rStyle w:val="a7"/>
        </w:rPr>
        <w:footnoteRef/>
      </w:r>
      <w:r>
        <w:rPr>
          <w:rtl/>
        </w:rPr>
        <w:t xml:space="preserve"> </w:t>
      </w:r>
      <w:r w:rsidRPr="006E41BB">
        <w:rPr>
          <w:rFonts w:cs="Arial"/>
          <w:rtl/>
        </w:rPr>
        <w:t xml:space="preserve">וכן משמע מתוך דברי רב אלפס </w:t>
      </w:r>
      <w:r w:rsidRPr="006E41BB">
        <w:rPr>
          <w:rFonts w:cs="Arial"/>
          <w:sz w:val="16"/>
          <w:szCs w:val="16"/>
          <w:rtl/>
        </w:rPr>
        <w:t>(מה</w:t>
      </w:r>
      <w:r>
        <w:rPr>
          <w:rFonts w:cs="Arial" w:hint="cs"/>
          <w:sz w:val="16"/>
          <w:szCs w:val="16"/>
          <w:rtl/>
        </w:rPr>
        <w:t>:)</w:t>
      </w:r>
      <w:r>
        <w:rPr>
          <w:rFonts w:cs="Arial" w:hint="cs"/>
          <w:rtl/>
        </w:rPr>
        <w:t>, רא"ש (שם).</w:t>
      </w:r>
    </w:p>
  </w:footnote>
  <w:footnote w:id="2550">
    <w:p w14:paraId="46DE8484" w14:textId="77777777" w:rsidR="00DF1FC7" w:rsidRDefault="00DF1FC7" w:rsidP="002E5BAD">
      <w:pPr>
        <w:pStyle w:val="a5"/>
        <w:rPr>
          <w:rtl/>
        </w:rPr>
      </w:pPr>
      <w:r>
        <w:rPr>
          <w:rStyle w:val="a7"/>
        </w:rPr>
        <w:footnoteRef/>
      </w:r>
      <w:r>
        <w:rPr>
          <w:rtl/>
        </w:rPr>
        <w:t xml:space="preserve"> </w:t>
      </w:r>
      <w:r w:rsidRPr="001C1C7A">
        <w:rPr>
          <w:rFonts w:cs="Arial"/>
          <w:rtl/>
        </w:rPr>
        <w:t>ונראין דבריו במקרקעי</w:t>
      </w:r>
      <w:r>
        <w:rPr>
          <w:rFonts w:cs="Arial" w:hint="cs"/>
          <w:rtl/>
        </w:rPr>
        <w:t>,</w:t>
      </w:r>
      <w:r w:rsidRPr="001C1C7A">
        <w:rPr>
          <w:rFonts w:cs="Arial"/>
          <w:rtl/>
        </w:rPr>
        <w:t xml:space="preserve"> אבל במטלטלי מה שגבה גבה אפילו שלא בבית דין</w:t>
      </w:r>
      <w:r>
        <w:rPr>
          <w:rFonts w:cs="Arial" w:hint="cs"/>
          <w:rtl/>
        </w:rPr>
        <w:t>,</w:t>
      </w:r>
      <w:r w:rsidRPr="001C1C7A">
        <w:rPr>
          <w:rFonts w:cs="Arial"/>
          <w:rtl/>
        </w:rPr>
        <w:t xml:space="preserve"> כדאמרינן לעיל בפירקין (פד.) לרבי טרפון בפירות תלושין דכל הקודם בהן זכה אע</w:t>
      </w:r>
      <w:r>
        <w:rPr>
          <w:rFonts w:cs="Arial" w:hint="cs"/>
          <w:rtl/>
        </w:rPr>
        <w:t>"</w:t>
      </w:r>
      <w:r w:rsidRPr="001C1C7A">
        <w:rPr>
          <w:rFonts w:cs="Arial"/>
          <w:rtl/>
        </w:rPr>
        <w:t>ג דהיכא דלא תפיס חד מינייהו יהבינן לבעל חוב</w:t>
      </w:r>
      <w:r>
        <w:rPr>
          <w:rFonts w:cs="Arial" w:hint="cs"/>
          <w:rtl/>
        </w:rPr>
        <w:t>,</w:t>
      </w:r>
      <w:r w:rsidRPr="001C1C7A">
        <w:rPr>
          <w:rFonts w:cs="Arial"/>
          <w:rtl/>
        </w:rPr>
        <w:t xml:space="preserve"> אפילו הכי אי קדמה האשה ותפסה זכתה</w:t>
      </w:r>
      <w:r>
        <w:rPr>
          <w:rFonts w:cs="Arial" w:hint="cs"/>
          <w:rtl/>
        </w:rPr>
        <w:t xml:space="preserve">..., רא"ש (שם). </w:t>
      </w:r>
      <w:r w:rsidRPr="001C1C7A">
        <w:rPr>
          <w:rFonts w:cs="Arial"/>
          <w:rtl/>
        </w:rPr>
        <w:t>ועיין בחושן המשפט סימן ק"ד (ס"י)</w:t>
      </w:r>
      <w:r>
        <w:rPr>
          <w:rFonts w:hint="cs"/>
          <w:rtl/>
        </w:rPr>
        <w:t>, ב"י (בבדה"ב).</w:t>
      </w:r>
    </w:p>
  </w:footnote>
  <w:footnote w:id="2551">
    <w:p w14:paraId="618E84B5" w14:textId="77777777" w:rsidR="00DF1FC7" w:rsidRDefault="00DF1FC7" w:rsidP="002E5BAD">
      <w:pPr>
        <w:pStyle w:val="a5"/>
        <w:rPr>
          <w:rtl/>
        </w:rPr>
      </w:pPr>
      <w:r>
        <w:rPr>
          <w:rStyle w:val="a7"/>
        </w:rPr>
        <w:footnoteRef/>
      </w:r>
      <w:r>
        <w:rPr>
          <w:rtl/>
        </w:rPr>
        <w:t xml:space="preserve"> </w:t>
      </w:r>
      <w:r>
        <w:rPr>
          <w:rFonts w:cs="Arial" w:hint="cs"/>
          <w:rtl/>
        </w:rPr>
        <w:t xml:space="preserve">וכן פסק </w:t>
      </w: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w:t>
      </w:r>
      <w:r w:rsidRPr="00A167C1">
        <w:rPr>
          <w:rFonts w:cs="Arial"/>
          <w:rtl/>
        </w:rPr>
        <w:t xml:space="preserve"> </w:t>
      </w:r>
      <w:r w:rsidRPr="00553E22">
        <w:rPr>
          <w:rFonts w:cs="Arial"/>
          <w:rtl/>
        </w:rPr>
        <w:t xml:space="preserve">וכתב שכן היה דן </w:t>
      </w:r>
      <w:r w:rsidRPr="00553E22">
        <w:rPr>
          <w:rFonts w:cs="Arial" w:hint="cs"/>
          <w:rtl/>
        </w:rPr>
        <w:t>מהרי"ל</w:t>
      </w:r>
      <w:r>
        <w:rPr>
          <w:rFonts w:hint="cs"/>
          <w:rtl/>
        </w:rPr>
        <w:t>, דרכ"מ (אות ג).</w:t>
      </w:r>
      <w:r w:rsidRPr="00F27D80">
        <w:rPr>
          <w:rtl/>
        </w:rPr>
        <w:t xml:space="preserve"> </w:t>
      </w:r>
      <w:r>
        <w:rPr>
          <w:rFonts w:hint="cs"/>
          <w:rtl/>
        </w:rPr>
        <w:t xml:space="preserve">וכתבו הח"מ (סק"ט) והב"ש </w:t>
      </w:r>
      <w:r w:rsidRPr="00F27D80">
        <w:rPr>
          <w:rFonts w:cs="Arial"/>
          <w:rtl/>
        </w:rPr>
        <w:t>דאפי</w:t>
      </w:r>
      <w:r>
        <w:rPr>
          <w:rFonts w:cs="Arial" w:hint="cs"/>
          <w:rtl/>
        </w:rPr>
        <w:t>לו לדעת מהר"ם</w:t>
      </w:r>
      <w:r w:rsidRPr="00F27D80">
        <w:rPr>
          <w:rFonts w:cs="Arial"/>
          <w:rtl/>
        </w:rPr>
        <w:t xml:space="preserve"> והאחרונים שהורו</w:t>
      </w:r>
      <w:r>
        <w:rPr>
          <w:rFonts w:cs="Arial" w:hint="cs"/>
          <w:rtl/>
        </w:rPr>
        <w:t xml:space="preserve"> כמותו</w:t>
      </w:r>
      <w:r w:rsidRPr="00F27D80">
        <w:rPr>
          <w:rFonts w:cs="Arial"/>
          <w:rtl/>
        </w:rPr>
        <w:t xml:space="preserve"> </w:t>
      </w:r>
      <w:r w:rsidRPr="007577F9">
        <w:rPr>
          <w:rFonts w:cs="Arial" w:hint="cs"/>
          <w:sz w:val="16"/>
          <w:szCs w:val="16"/>
          <w:rtl/>
        </w:rPr>
        <w:t>(</w:t>
      </w:r>
      <w:r w:rsidRPr="007577F9">
        <w:rPr>
          <w:rFonts w:cs="Arial"/>
          <w:sz w:val="16"/>
          <w:szCs w:val="16"/>
          <w:rtl/>
        </w:rPr>
        <w:t>בסעיף ב' בהג"ה דבתפס</w:t>
      </w:r>
      <w:r w:rsidRPr="007577F9">
        <w:rPr>
          <w:rFonts w:cs="Arial" w:hint="cs"/>
          <w:sz w:val="16"/>
          <w:szCs w:val="16"/>
          <w:rtl/>
        </w:rPr>
        <w:t>ה</w:t>
      </w:r>
      <w:r w:rsidRPr="007577F9">
        <w:rPr>
          <w:rFonts w:cs="Arial"/>
          <w:sz w:val="16"/>
          <w:szCs w:val="16"/>
          <w:rtl/>
        </w:rPr>
        <w:t xml:space="preserve"> מוציאין מידה</w:t>
      </w:r>
      <w:r w:rsidRPr="007577F9">
        <w:rPr>
          <w:rFonts w:cs="Arial" w:hint="cs"/>
          <w:sz w:val="16"/>
          <w:szCs w:val="16"/>
          <w:rtl/>
        </w:rPr>
        <w:t>)</w:t>
      </w:r>
      <w:r w:rsidRPr="00F27D80">
        <w:rPr>
          <w:rFonts w:cs="Arial"/>
          <w:rtl/>
        </w:rPr>
        <w:t xml:space="preserve"> </w:t>
      </w:r>
      <w:r>
        <w:rPr>
          <w:rFonts w:cs="Arial" w:hint="cs"/>
          <w:rtl/>
        </w:rPr>
        <w:t xml:space="preserve">- </w:t>
      </w:r>
      <w:r w:rsidRPr="00F27D80">
        <w:rPr>
          <w:rFonts w:cs="Arial"/>
          <w:rtl/>
        </w:rPr>
        <w:t>היינו דוקא ב</w:t>
      </w:r>
      <w:r>
        <w:rPr>
          <w:rFonts w:cs="Arial" w:hint="cs"/>
          <w:rtl/>
        </w:rPr>
        <w:t xml:space="preserve">תפסה מעצמה, אבל אי תפשה ע"פ בית דין </w:t>
      </w:r>
      <w:r>
        <w:rPr>
          <w:rFonts w:cs="Arial"/>
          <w:rtl/>
        </w:rPr>
        <w:t>–</w:t>
      </w:r>
      <w:r>
        <w:rPr>
          <w:rFonts w:cs="Arial" w:hint="cs"/>
          <w:rtl/>
        </w:rPr>
        <w:t xml:space="preserve"> אין מוציאין מידה.</w:t>
      </w:r>
      <w:r>
        <w:rPr>
          <w:rFonts w:hint="cs"/>
          <w:rtl/>
        </w:rPr>
        <w:t xml:space="preserve"> </w:t>
      </w:r>
    </w:p>
  </w:footnote>
  <w:footnote w:id="2552">
    <w:p w14:paraId="3385FBE8" w14:textId="77777777" w:rsidR="00DF1FC7" w:rsidRDefault="00DF1FC7" w:rsidP="002E5BAD">
      <w:pPr>
        <w:pStyle w:val="a5"/>
        <w:rPr>
          <w:rtl/>
        </w:rPr>
      </w:pPr>
      <w:r>
        <w:rPr>
          <w:rStyle w:val="a7"/>
        </w:rPr>
        <w:footnoteRef/>
      </w:r>
      <w:r>
        <w:rPr>
          <w:rtl/>
        </w:rPr>
        <w:t xml:space="preserve"> </w:t>
      </w:r>
      <w:r w:rsidRPr="00A167C1">
        <w:rPr>
          <w:rFonts w:cs="Arial"/>
          <w:rtl/>
        </w:rPr>
        <w:t xml:space="preserve">ומשמע בגמרא </w:t>
      </w:r>
      <w:r w:rsidRPr="00D7404B">
        <w:rPr>
          <w:rFonts w:cs="Arial"/>
          <w:sz w:val="16"/>
          <w:szCs w:val="16"/>
          <w:rtl/>
        </w:rPr>
        <w:t>(פו</w:t>
      </w:r>
      <w:r w:rsidRPr="00D7404B">
        <w:rPr>
          <w:rFonts w:cs="Arial" w:hint="cs"/>
          <w:sz w:val="16"/>
          <w:szCs w:val="16"/>
          <w:rtl/>
        </w:rPr>
        <w:t>.</w:t>
      </w:r>
      <w:r w:rsidRPr="00D7404B">
        <w:rPr>
          <w:rFonts w:cs="Arial"/>
          <w:sz w:val="16"/>
          <w:szCs w:val="16"/>
          <w:rtl/>
        </w:rPr>
        <w:t xml:space="preserve">) </w:t>
      </w:r>
      <w:r w:rsidRPr="00A167C1">
        <w:rPr>
          <w:rFonts w:cs="Arial"/>
          <w:rtl/>
        </w:rPr>
        <w:t>דאין חילוק בין גרושה לאלמנה</w:t>
      </w:r>
      <w:r>
        <w:rPr>
          <w:rFonts w:cs="Arial" w:hint="cs"/>
          <w:rtl/>
        </w:rPr>
        <w:t>.</w:t>
      </w:r>
      <w:r w:rsidRPr="00A167C1">
        <w:rPr>
          <w:rFonts w:cs="Arial"/>
          <w:rtl/>
        </w:rPr>
        <w:t xml:space="preserve"> וכן הוא בהגהות אלפסי פ</w:t>
      </w:r>
      <w:r>
        <w:rPr>
          <w:rFonts w:cs="Arial" w:hint="cs"/>
          <w:rtl/>
        </w:rPr>
        <w:t>'</w:t>
      </w:r>
      <w:r w:rsidRPr="00A167C1">
        <w:rPr>
          <w:rFonts w:cs="Arial"/>
          <w:rtl/>
        </w:rPr>
        <w:t xml:space="preserve"> הכותב </w:t>
      </w:r>
      <w:r w:rsidRPr="00D7404B">
        <w:rPr>
          <w:rFonts w:cs="Arial"/>
          <w:sz w:val="16"/>
          <w:szCs w:val="16"/>
          <w:rtl/>
        </w:rPr>
        <w:t>(מה: אות א ריא"ז)</w:t>
      </w:r>
      <w:r w:rsidRPr="00A167C1">
        <w:rPr>
          <w:rFonts w:cs="Arial"/>
          <w:rtl/>
        </w:rPr>
        <w:t xml:space="preserve"> בהדיא</w:t>
      </w:r>
      <w:r>
        <w:rPr>
          <w:rFonts w:cs="Arial" w:hint="cs"/>
          <w:rtl/>
        </w:rPr>
        <w:t>, דרכ"מ (אות ה).</w:t>
      </w:r>
    </w:p>
  </w:footnote>
  <w:footnote w:id="2553">
    <w:p w14:paraId="361DB931" w14:textId="77777777" w:rsidR="00DF1FC7" w:rsidRDefault="00DF1FC7" w:rsidP="002E5BAD">
      <w:pPr>
        <w:pStyle w:val="a5"/>
        <w:rPr>
          <w:rtl/>
        </w:rPr>
      </w:pPr>
      <w:r>
        <w:rPr>
          <w:rStyle w:val="a7"/>
        </w:rPr>
        <w:footnoteRef/>
      </w:r>
      <w:r>
        <w:rPr>
          <w:rtl/>
        </w:rPr>
        <w:t xml:space="preserve"> </w:t>
      </w:r>
      <w:r>
        <w:rPr>
          <w:rFonts w:cs="Arial"/>
          <w:rtl/>
        </w:rPr>
        <w:t>דבר פשוט הוא דקאי למה שכתב ואם יש שם כדי לפרוע לשניהם בקרקע ומעות אם זמנן שוה נותנין לבעל חוב מעות ולאשה קרקע דהיינו ההיא</w:t>
      </w:r>
      <w:r>
        <w:rPr>
          <w:rFonts w:cs="Arial" w:hint="cs"/>
          <w:rtl/>
        </w:rPr>
        <w:t>...</w:t>
      </w:r>
      <w:r>
        <w:rPr>
          <w:rFonts w:cs="Arial"/>
          <w:rtl/>
        </w:rPr>
        <w:t xml:space="preserve"> האי כדיניה והאי כדיניה</w:t>
      </w:r>
      <w:r>
        <w:rPr>
          <w:rFonts w:cs="Arial" w:hint="cs"/>
          <w:rtl/>
        </w:rPr>
        <w:t>..</w:t>
      </w:r>
      <w:r>
        <w:rPr>
          <w:rFonts w:cs="Arial"/>
          <w:rtl/>
        </w:rPr>
        <w:t>. וקאמר רבינו שלא אמרו חכמים כן אלא מפני תקנת בעל חוב כדי שלא תנעול דלת</w:t>
      </w:r>
      <w:r>
        <w:rPr>
          <w:rFonts w:cs="Arial" w:hint="cs"/>
          <w:rtl/>
        </w:rPr>
        <w:t>.</w:t>
      </w:r>
      <w:r>
        <w:rPr>
          <w:rFonts w:cs="Arial"/>
          <w:rtl/>
        </w:rPr>
        <w:t xml:space="preserve"> ואם כן היכא דבעל חוב חפץ בקרקע יותר מבמעות</w:t>
      </w:r>
      <w:r>
        <w:rPr>
          <w:rFonts w:cs="Arial" w:hint="cs"/>
          <w:rtl/>
        </w:rPr>
        <w:t>,</w:t>
      </w:r>
      <w:r>
        <w:rPr>
          <w:rFonts w:cs="Arial"/>
          <w:rtl/>
        </w:rPr>
        <w:t xml:space="preserve"> והאשה גם כן חפצה בקרקע </w:t>
      </w:r>
      <w:r>
        <w:rPr>
          <w:rFonts w:cs="Arial" w:hint="cs"/>
          <w:rtl/>
        </w:rPr>
        <w:t xml:space="preserve">- </w:t>
      </w:r>
      <w:r>
        <w:rPr>
          <w:rFonts w:cs="Arial"/>
          <w:rtl/>
        </w:rPr>
        <w:t>לבעל חוב שומעין</w:t>
      </w:r>
      <w:r>
        <w:rPr>
          <w:rFonts w:cs="Arial" w:hint="cs"/>
          <w:rtl/>
        </w:rPr>
        <w:t>, ב"י</w:t>
      </w:r>
      <w:r>
        <w:rPr>
          <w:rFonts w:cs="Arial"/>
          <w:rtl/>
        </w:rPr>
        <w:t>.</w:t>
      </w:r>
    </w:p>
  </w:footnote>
  <w:footnote w:id="2554">
    <w:p w14:paraId="2D565256" w14:textId="77777777" w:rsidR="00DF1FC7" w:rsidRDefault="00DF1FC7" w:rsidP="002E5BAD">
      <w:pPr>
        <w:pStyle w:val="a5"/>
      </w:pPr>
      <w:r>
        <w:rPr>
          <w:rStyle w:val="a7"/>
        </w:rPr>
        <w:footnoteRef/>
      </w:r>
      <w:r>
        <w:rPr>
          <w:rtl/>
        </w:rPr>
        <w:t xml:space="preserve"> </w:t>
      </w:r>
      <w:r>
        <w:rPr>
          <w:rFonts w:cs="Arial"/>
          <w:rtl/>
        </w:rPr>
        <w:t>וטעמו משום דמשמע ליה ז"ל דלאו משום נעילת דלת נגעו בה אלא משום דהאי כדיניה והאי כדיניה</w:t>
      </w:r>
      <w:r>
        <w:rPr>
          <w:rFonts w:cs="Arial" w:hint="cs"/>
          <w:rtl/>
        </w:rPr>
        <w:t>.</w:t>
      </w:r>
      <w:r>
        <w:rPr>
          <w:rFonts w:cs="Arial"/>
          <w:rtl/>
        </w:rPr>
        <w:t xml:space="preserve"> הילכך כ"כ יפה כח האשה לענין זה כמו הבעל חוב</w:t>
      </w:r>
      <w:r>
        <w:rPr>
          <w:rFonts w:cs="Arial" w:hint="cs"/>
          <w:rtl/>
        </w:rPr>
        <w:t>, ב"י.</w:t>
      </w:r>
    </w:p>
  </w:footnote>
  <w:footnote w:id="2555">
    <w:p w14:paraId="63A1764C" w14:textId="77777777" w:rsidR="00DF1FC7" w:rsidRDefault="00DF1FC7" w:rsidP="002E5BAD">
      <w:pPr>
        <w:pStyle w:val="a5"/>
      </w:pPr>
      <w:r>
        <w:rPr>
          <w:rStyle w:val="a7"/>
        </w:rPr>
        <w:footnoteRef/>
      </w:r>
      <w:r w:rsidRPr="00A167C1">
        <w:rPr>
          <w:rFonts w:cs="Arial"/>
          <w:rtl/>
        </w:rPr>
        <w:t xml:space="preserve"> </w:t>
      </w:r>
      <w:r>
        <w:rPr>
          <w:rFonts w:cs="Arial"/>
          <w:rtl/>
        </w:rPr>
        <w:t>נראה דלטעמיה אזיל דטעמא דלבעל חוב יהבי</w:t>
      </w:r>
      <w:r>
        <w:rPr>
          <w:rFonts w:cs="Arial" w:hint="cs"/>
          <w:rtl/>
        </w:rPr>
        <w:t>נן</w:t>
      </w:r>
      <w:r>
        <w:rPr>
          <w:rFonts w:cs="Arial"/>
          <w:rtl/>
        </w:rPr>
        <w:t xml:space="preserve"> מעות הוא משום שלא תנעול דלת</w:t>
      </w:r>
      <w:r>
        <w:rPr>
          <w:rFonts w:cs="Arial" w:hint="cs"/>
          <w:rtl/>
        </w:rPr>
        <w:t>,</w:t>
      </w:r>
      <w:r>
        <w:rPr>
          <w:rFonts w:cs="Arial"/>
          <w:rtl/>
        </w:rPr>
        <w:t xml:space="preserve"> והיינו בשזמנן שוה</w:t>
      </w:r>
      <w:r>
        <w:rPr>
          <w:rFonts w:cs="Arial" w:hint="cs"/>
          <w:rtl/>
        </w:rPr>
        <w:t>.</w:t>
      </w:r>
      <w:r>
        <w:rPr>
          <w:rFonts w:cs="Arial"/>
          <w:rtl/>
        </w:rPr>
        <w:t xml:space="preserve"> אבל אם זמן הכתובה מוקדם ליכא תו משום נעילת דלת</w:t>
      </w:r>
      <w:r>
        <w:rPr>
          <w:rFonts w:cs="Arial" w:hint="cs"/>
          <w:rtl/>
        </w:rPr>
        <w:t>,</w:t>
      </w:r>
      <w:r>
        <w:rPr>
          <w:rFonts w:cs="Arial"/>
          <w:rtl/>
        </w:rPr>
        <w:t xml:space="preserve"> דהוא</w:t>
      </w:r>
      <w:r>
        <w:rPr>
          <w:rFonts w:cs="Arial" w:hint="cs"/>
          <w:sz w:val="16"/>
          <w:szCs w:val="16"/>
          <w:rtl/>
        </w:rPr>
        <w:t xml:space="preserve"> {המלוה}</w:t>
      </w:r>
      <w:r>
        <w:rPr>
          <w:rFonts w:cs="Arial"/>
          <w:rtl/>
        </w:rPr>
        <w:t xml:space="preserve"> אפסיד אנפשיה</w:t>
      </w:r>
      <w:r>
        <w:rPr>
          <w:rFonts w:cs="Arial" w:hint="cs"/>
          <w:rtl/>
        </w:rPr>
        <w:t>,</w:t>
      </w:r>
      <w:r>
        <w:rPr>
          <w:rFonts w:cs="Arial"/>
          <w:rtl/>
        </w:rPr>
        <w:t xml:space="preserve"> הילכך המוקדם נוטל מעות</w:t>
      </w:r>
      <w:r>
        <w:rPr>
          <w:rFonts w:cs="Arial" w:hint="cs"/>
          <w:rtl/>
        </w:rPr>
        <w:t>.</w:t>
      </w:r>
      <w:r>
        <w:rPr>
          <w:rFonts w:cs="Arial"/>
          <w:rtl/>
        </w:rPr>
        <w:t xml:space="preserve"> אבל למאי דכתבינן לדעת הרמ"ה</w:t>
      </w:r>
      <w:r>
        <w:rPr>
          <w:rFonts w:cs="Arial" w:hint="cs"/>
          <w:rtl/>
        </w:rPr>
        <w:t>,</w:t>
      </w:r>
      <w:r>
        <w:rPr>
          <w:rFonts w:cs="Arial"/>
          <w:rtl/>
        </w:rPr>
        <w:t xml:space="preserve"> שאינו משום נעילת דלת אלא משום דהאי כדיניה והאי כדיניה</w:t>
      </w:r>
      <w:r>
        <w:rPr>
          <w:rFonts w:cs="Arial" w:hint="cs"/>
          <w:rtl/>
        </w:rPr>
        <w:t>,</w:t>
      </w:r>
      <w:r>
        <w:rPr>
          <w:rFonts w:cs="Arial"/>
          <w:rtl/>
        </w:rPr>
        <w:t xml:space="preserve"> איפשר שאף אם כתובת האשה מוקדמת לא תטול אלא קרקע</w:t>
      </w:r>
      <w:r>
        <w:rPr>
          <w:rFonts w:cs="Arial" w:hint="cs"/>
          <w:rtl/>
        </w:rPr>
        <w:t xml:space="preserve">, ב"י. </w:t>
      </w:r>
      <w:r w:rsidRPr="00A167C1">
        <w:rPr>
          <w:rFonts w:cs="Arial"/>
          <w:rtl/>
        </w:rPr>
        <w:t>ו</w:t>
      </w:r>
      <w:r>
        <w:rPr>
          <w:rFonts w:cs="Arial" w:hint="cs"/>
          <w:rtl/>
        </w:rPr>
        <w:t>כתב הדרכ"מ (אות ו) ד</w:t>
      </w:r>
      <w:r w:rsidRPr="00A167C1">
        <w:rPr>
          <w:rFonts w:cs="Arial"/>
          <w:rtl/>
        </w:rPr>
        <w:t>משמע מפירוש רש"י בגמרא (פו. ד"ה האי</w:t>
      </w:r>
      <w:r>
        <w:rPr>
          <w:rFonts w:cs="Arial" w:hint="cs"/>
          <w:rtl/>
        </w:rPr>
        <w:t xml:space="preserve"> כי דיניה</w:t>
      </w:r>
      <w:r w:rsidRPr="00A167C1">
        <w:rPr>
          <w:rFonts w:cs="Arial"/>
          <w:rtl/>
        </w:rPr>
        <w:t>) דאפילו יש לה נכסי צאן ברזל אפילו הכי האשה נוטלת הקרקע ובעל חוב המעות מאחר שצירפתן עם הכתובה על שיעבוד הקרקע</w:t>
      </w:r>
      <w:r>
        <w:rPr>
          <w:rFonts w:cs="Arial" w:hint="cs"/>
          <w:rtl/>
        </w:rPr>
        <w:t>.</w:t>
      </w:r>
      <w:r>
        <w:rPr>
          <w:rFonts w:hint="cs"/>
          <w:rtl/>
        </w:rPr>
        <w:t xml:space="preserve"> </w:t>
      </w:r>
      <w:r w:rsidRPr="00033E31">
        <w:rPr>
          <w:rFonts w:hint="cs"/>
          <w:color w:val="00B0F0"/>
          <w:rtl/>
        </w:rPr>
        <w:t>(וכ"פ בהג"ה)</w:t>
      </w:r>
    </w:p>
  </w:footnote>
  <w:footnote w:id="2556">
    <w:p w14:paraId="44441F45" w14:textId="77777777" w:rsidR="00DF1FC7" w:rsidRDefault="00DF1FC7" w:rsidP="002E5BAD">
      <w:pPr>
        <w:pStyle w:val="a5"/>
      </w:pPr>
      <w:r>
        <w:rPr>
          <w:rStyle w:val="a7"/>
        </w:rPr>
        <w:footnoteRef/>
      </w:r>
      <w:r>
        <w:rPr>
          <w:rtl/>
        </w:rPr>
        <w:t xml:space="preserve"> </w:t>
      </w:r>
      <w:r>
        <w:rPr>
          <w:rFonts w:hint="cs"/>
          <w:rtl/>
        </w:rPr>
        <w:t xml:space="preserve">וגם הח"מ (סקי"ג) כתב שדברי הטור תמוהים </w:t>
      </w:r>
      <w:r w:rsidRPr="00A62B90">
        <w:rPr>
          <w:rFonts w:hint="cs"/>
          <w:sz w:val="16"/>
          <w:szCs w:val="16"/>
          <w:rtl/>
        </w:rPr>
        <w:t xml:space="preserve">(וכתב עוד </w:t>
      </w:r>
      <w:r w:rsidRPr="00A62B90">
        <w:rPr>
          <w:rFonts w:cs="Arial" w:hint="cs"/>
          <w:sz w:val="16"/>
          <w:szCs w:val="16"/>
          <w:rtl/>
        </w:rPr>
        <w:t>ל</w:t>
      </w:r>
      <w:r w:rsidRPr="00A62B90">
        <w:rPr>
          <w:rFonts w:cs="Arial"/>
          <w:sz w:val="16"/>
          <w:szCs w:val="16"/>
          <w:rtl/>
        </w:rPr>
        <w:t xml:space="preserve">עיין ברמב"ם וברא"ש </w:t>
      </w:r>
      <w:r w:rsidRPr="00A62B90">
        <w:rPr>
          <w:rFonts w:cs="Arial" w:hint="cs"/>
          <w:sz w:val="16"/>
          <w:szCs w:val="16"/>
          <w:rtl/>
        </w:rPr>
        <w:t xml:space="preserve">ולראות שם </w:t>
      </w:r>
      <w:r w:rsidRPr="00A62B90">
        <w:rPr>
          <w:rFonts w:cs="Arial"/>
          <w:sz w:val="16"/>
          <w:szCs w:val="16"/>
          <w:rtl/>
        </w:rPr>
        <w:t>שאין לדברי הטור עיקר</w:t>
      </w:r>
      <w:r>
        <w:rPr>
          <w:rFonts w:cs="Arial" w:hint="cs"/>
          <w:sz w:val="16"/>
          <w:szCs w:val="16"/>
          <w:rtl/>
        </w:rPr>
        <w:t>)</w:t>
      </w:r>
      <w:r>
        <w:rPr>
          <w:rFonts w:cs="Arial" w:hint="cs"/>
          <w:rtl/>
        </w:rPr>
        <w:t>.</w:t>
      </w:r>
      <w:r w:rsidRPr="00A62B90">
        <w:rPr>
          <w:rFonts w:cs="Arial"/>
          <w:rtl/>
        </w:rPr>
        <w:t xml:space="preserve"> </w:t>
      </w:r>
      <w:r>
        <w:rPr>
          <w:rFonts w:hint="cs"/>
          <w:rtl/>
        </w:rPr>
        <w:t>וכתב הב"י שאפשר שדעת הרמ"ה חלוקה גם כן על הטור.</w:t>
      </w:r>
    </w:p>
  </w:footnote>
  <w:footnote w:id="2557">
    <w:p w14:paraId="047075DC" w14:textId="77777777" w:rsidR="00DF1FC7" w:rsidRDefault="00DF1FC7" w:rsidP="002E5BAD">
      <w:pPr>
        <w:pStyle w:val="a5"/>
        <w:rPr>
          <w:rtl/>
        </w:rPr>
      </w:pPr>
      <w:r>
        <w:rPr>
          <w:rStyle w:val="a7"/>
        </w:rPr>
        <w:footnoteRef/>
      </w:r>
      <w:r>
        <w:rPr>
          <w:rtl/>
        </w:rPr>
        <w:t xml:space="preserve"> </w:t>
      </w:r>
      <w:r>
        <w:rPr>
          <w:rFonts w:cs="Arial"/>
          <w:rtl/>
        </w:rPr>
        <w:t>לפי מה שסובר רבינו דטעמא משום נעילת דלת ודאי דכן נראה</w:t>
      </w:r>
      <w:r>
        <w:rPr>
          <w:rFonts w:cs="Arial" w:hint="cs"/>
          <w:rtl/>
        </w:rPr>
        <w:t>.</w:t>
      </w:r>
      <w:r>
        <w:rPr>
          <w:rFonts w:cs="Arial"/>
          <w:rtl/>
        </w:rPr>
        <w:t xml:space="preserve"> אבל כבר כתבתי דלהרמ"ה לא הוי טעמא אלא משום דהאי כדיניה והאי כדיניה</w:t>
      </w:r>
      <w:r>
        <w:rPr>
          <w:rFonts w:hint="cs"/>
          <w:rtl/>
        </w:rPr>
        <w:t>, ב"י.</w:t>
      </w:r>
    </w:p>
  </w:footnote>
  <w:footnote w:id="2558">
    <w:p w14:paraId="69661997" w14:textId="77777777" w:rsidR="00DF1FC7" w:rsidRPr="001F6BC8" w:rsidRDefault="00DF1FC7" w:rsidP="002E5BAD">
      <w:pPr>
        <w:pStyle w:val="a5"/>
      </w:pPr>
      <w:r>
        <w:rPr>
          <w:rStyle w:val="a7"/>
        </w:rPr>
        <w:footnoteRef/>
      </w:r>
      <w:r>
        <w:rPr>
          <w:rtl/>
        </w:rPr>
        <w:t xml:space="preserve"> </w:t>
      </w:r>
      <w:r>
        <w:rPr>
          <w:rFonts w:cs="Arial" w:hint="cs"/>
          <w:rtl/>
        </w:rPr>
        <w:t>וכעין זה עיין ב</w:t>
      </w:r>
      <w:r w:rsidRPr="001F6BC8">
        <w:rPr>
          <w:rFonts w:cs="Arial" w:hint="cs"/>
          <w:rtl/>
        </w:rPr>
        <w:t xml:space="preserve">רשב"א </w:t>
      </w:r>
      <w:r w:rsidRPr="001F6BC8">
        <w:rPr>
          <w:rFonts w:cs="Arial"/>
          <w:sz w:val="16"/>
          <w:szCs w:val="16"/>
          <w:rtl/>
        </w:rPr>
        <w:t>(במיוחסות סי</w:t>
      </w:r>
      <w:r w:rsidRPr="001F6BC8">
        <w:rPr>
          <w:rFonts w:cs="Arial" w:hint="cs"/>
          <w:sz w:val="16"/>
          <w:szCs w:val="16"/>
          <w:rtl/>
        </w:rPr>
        <w:t>'</w:t>
      </w:r>
      <w:r w:rsidRPr="001F6BC8">
        <w:rPr>
          <w:rFonts w:cs="Arial"/>
          <w:sz w:val="16"/>
          <w:szCs w:val="16"/>
          <w:rtl/>
        </w:rPr>
        <w:t xml:space="preserve"> פ</w:t>
      </w:r>
      <w:r>
        <w:rPr>
          <w:rFonts w:cs="Arial" w:hint="cs"/>
          <w:sz w:val="16"/>
          <w:szCs w:val="16"/>
          <w:rtl/>
        </w:rPr>
        <w:t>ב</w:t>
      </w:r>
      <w:r w:rsidRPr="001F6BC8">
        <w:rPr>
          <w:rFonts w:cs="Arial" w:hint="cs"/>
          <w:sz w:val="16"/>
          <w:szCs w:val="16"/>
          <w:rtl/>
        </w:rPr>
        <w:t>)</w:t>
      </w:r>
      <w:r w:rsidRPr="001F6BC8">
        <w:rPr>
          <w:rFonts w:cs="Arial"/>
          <w:rtl/>
        </w:rPr>
        <w:t xml:space="preserve"> </w:t>
      </w:r>
      <w:r>
        <w:rPr>
          <w:rFonts w:cs="Arial" w:hint="cs"/>
          <w:rtl/>
        </w:rPr>
        <w:t>ש</w:t>
      </w:r>
      <w:r w:rsidRPr="001F6BC8">
        <w:rPr>
          <w:rFonts w:cs="Arial"/>
          <w:rtl/>
        </w:rPr>
        <w:t>כתב אם שמעו בו שמת אפילו בעד אחד ימכרו בית דין הקרקע לכתובה משום חשש ב"ח מוקדמים שלא כדעת מקצת הראשונים</w:t>
      </w:r>
      <w:r>
        <w:rPr>
          <w:rFonts w:cs="Arial" w:hint="cs"/>
          <w:rtl/>
        </w:rPr>
        <w:t xml:space="preserve">. ועיין עוד בדבריו </w:t>
      </w:r>
      <w:r>
        <w:rPr>
          <w:rFonts w:cs="Arial" w:hint="cs"/>
          <w:sz w:val="16"/>
          <w:szCs w:val="16"/>
          <w:rtl/>
        </w:rPr>
        <w:t>(סי' פא)</w:t>
      </w:r>
      <w:r>
        <w:rPr>
          <w:rFonts w:cs="Arial" w:hint="cs"/>
          <w:rtl/>
        </w:rPr>
        <w:t xml:space="preserve"> </w:t>
      </w:r>
      <w:r w:rsidRPr="001F6BC8">
        <w:rPr>
          <w:rFonts w:cs="Arial"/>
          <w:rtl/>
        </w:rPr>
        <w:t xml:space="preserve">שנשאל אם האלמנה יש לה ב"ח ובא להפרע מקרקע שמכרו בית דין לכתובתה או למזונותיה אם מוציאין אותו מיד הלוקח והאריך בדבר. </w:t>
      </w:r>
    </w:p>
  </w:footnote>
  <w:footnote w:id="2559">
    <w:p w14:paraId="0CF09731" w14:textId="77777777" w:rsidR="00DF1FC7" w:rsidRDefault="00DF1FC7" w:rsidP="002E5BAD">
      <w:pPr>
        <w:pStyle w:val="a5"/>
        <w:rPr>
          <w:rtl/>
        </w:rPr>
      </w:pPr>
      <w:r>
        <w:rPr>
          <w:rStyle w:val="a7"/>
        </w:rPr>
        <w:footnoteRef/>
      </w:r>
      <w:r>
        <w:rPr>
          <w:rtl/>
        </w:rPr>
        <w:t xml:space="preserve"> </w:t>
      </w:r>
      <w:r w:rsidRPr="001D593E">
        <w:rPr>
          <w:rFonts w:cs="Arial"/>
          <w:rtl/>
        </w:rPr>
        <w:t xml:space="preserve">כבר כתבתי </w:t>
      </w:r>
      <w:r>
        <w:rPr>
          <w:rFonts w:cs="Arial" w:hint="cs"/>
          <w:rtl/>
        </w:rPr>
        <w:t>(סק"ז) ד</w:t>
      </w:r>
      <w:r w:rsidRPr="001D593E">
        <w:rPr>
          <w:rFonts w:cs="Arial"/>
          <w:rtl/>
        </w:rPr>
        <w:t>נראה לכ"ע מה שגבתה בבית דין אין מוציאין מידה</w:t>
      </w:r>
      <w:r>
        <w:rPr>
          <w:rFonts w:hint="cs"/>
          <w:rtl/>
        </w:rPr>
        <w:t>, ב"ש (סקי"ב).</w:t>
      </w:r>
    </w:p>
  </w:footnote>
  <w:footnote w:id="2560">
    <w:p w14:paraId="04E4E468" w14:textId="77777777" w:rsidR="00DF1FC7" w:rsidRDefault="00DF1FC7" w:rsidP="002E5BAD">
      <w:pPr>
        <w:pStyle w:val="a5"/>
      </w:pPr>
      <w:r>
        <w:rPr>
          <w:rStyle w:val="a7"/>
        </w:rPr>
        <w:footnoteRef/>
      </w:r>
      <w:r>
        <w:rPr>
          <w:rtl/>
        </w:rPr>
        <w:t xml:space="preserve"> </w:t>
      </w:r>
      <w:r w:rsidRPr="00C110D1">
        <w:rPr>
          <w:rFonts w:cs="Arial"/>
          <w:rtl/>
        </w:rPr>
        <w:t>אתיא אליב' הפוסקים של דעה קמיית</w:t>
      </w:r>
      <w:r>
        <w:rPr>
          <w:rFonts w:cs="Arial" w:hint="cs"/>
          <w:rtl/>
        </w:rPr>
        <w:t xml:space="preserve">א </w:t>
      </w:r>
      <w:r>
        <w:rPr>
          <w:rFonts w:cs="Arial" w:hint="cs"/>
          <w:sz w:val="16"/>
          <w:szCs w:val="16"/>
          <w:rtl/>
        </w:rPr>
        <w:t>{בסע' ב, היינו הרא"ש וסיעתו}</w:t>
      </w:r>
      <w:r>
        <w:rPr>
          <w:rFonts w:cs="Arial" w:hint="cs"/>
          <w:rtl/>
        </w:rPr>
        <w:t>, ב"ש (סק"ח).</w:t>
      </w:r>
    </w:p>
  </w:footnote>
  <w:footnote w:id="2561">
    <w:p w14:paraId="5C1B26B2" w14:textId="77777777" w:rsidR="00DF1FC7" w:rsidRDefault="00DF1FC7" w:rsidP="002E5BAD">
      <w:pPr>
        <w:pStyle w:val="a5"/>
        <w:rPr>
          <w:rtl/>
        </w:rPr>
      </w:pPr>
      <w:r>
        <w:rPr>
          <w:rStyle w:val="a7"/>
        </w:rPr>
        <w:footnoteRef/>
      </w:r>
      <w:r>
        <w:rPr>
          <w:rtl/>
        </w:rPr>
        <w:t xml:space="preserve"> </w:t>
      </w:r>
      <w:r w:rsidRPr="00A56F7B">
        <w:rPr>
          <w:rFonts w:cs="Arial"/>
          <w:rtl/>
        </w:rPr>
        <w:t>לדין זה כתב הריב"ש הטעם דאין שומעין להם דאם גבתה קרקע הרי הב"ח יטרוף ממנה ואם גבתה מטלטלין מה שגבתה גבתה ואם מכרו נכסים לפריעת כתובתה אין הב"ח חוזר על האלמנה רק על הלוקח הקרקע והוא יחוש לעצמו ואחריות שלו על היתומים והנה לפי מה שפסקו האחרונים דלעיל בסעיף ב' דאם תפסה האלמנה מטלטלין מוציאין מידה אם לא נחלק בין תפסה לגבתה בב"ד א"כ היתה צריכ' ליתן ערבו' וא"כ היה קשה על הרב איך כתב לעיל דהכרעת האחרונים דמוציאין מידה וכאן העתיק תשו' הריב"ש שהוא מטעם דאם גבתה גבתה ע"כ צ"ל דס"ל להרב דהכרע' האחרונים הוא דוקא בתפסה מעצמ' וכבר כתבתי דגם בזה יש לפקפק הואיל והוא נגד הכרעת הרא"ש ואפשר שהאחרונים לא הכריעו אלא בידוע שבא ממון ההלוא' לידה עיין בגוף התשובו'</w:t>
      </w:r>
      <w:r>
        <w:rPr>
          <w:rFonts w:hint="cs"/>
          <w:rtl/>
        </w:rPr>
        <w:t>, ח"מ (סק"י). וכ"כ הב"ש (סקי"ג).</w:t>
      </w:r>
    </w:p>
  </w:footnote>
  <w:footnote w:id="2562">
    <w:p w14:paraId="18A86E5B" w14:textId="77777777" w:rsidR="00DF1FC7" w:rsidRDefault="00DF1FC7" w:rsidP="002E5BAD">
      <w:pPr>
        <w:pStyle w:val="a5"/>
      </w:pPr>
      <w:r>
        <w:rPr>
          <w:rStyle w:val="a7"/>
        </w:rPr>
        <w:footnoteRef/>
      </w:r>
      <w:r>
        <w:rPr>
          <w:rtl/>
        </w:rPr>
        <w:t xml:space="preserve"> </w:t>
      </w:r>
      <w:r w:rsidRPr="00A84FFF">
        <w:rPr>
          <w:rFonts w:cs="Arial"/>
          <w:rtl/>
        </w:rPr>
        <w:t>כ"כ רש"י והר"ן</w:t>
      </w:r>
      <w:r>
        <w:rPr>
          <w:rFonts w:cs="Arial" w:hint="cs"/>
          <w:rtl/>
        </w:rPr>
        <w:t>.</w:t>
      </w:r>
      <w:r w:rsidRPr="00A84FFF">
        <w:rPr>
          <w:rFonts w:cs="Arial"/>
          <w:rtl/>
        </w:rPr>
        <w:t xml:space="preserve"> ולא מצינו שום חולק ע"ז</w:t>
      </w:r>
      <w:r>
        <w:rPr>
          <w:rFonts w:cs="Arial" w:hint="cs"/>
          <w:rtl/>
        </w:rPr>
        <w:t>.</w:t>
      </w:r>
      <w:r w:rsidRPr="00A84FFF">
        <w:rPr>
          <w:rFonts w:cs="Arial"/>
          <w:rtl/>
        </w:rPr>
        <w:t xml:space="preserve"> אף לדעת הפוסקים דס"ל נדוני' היא כחוב</w:t>
      </w:r>
      <w:r>
        <w:rPr>
          <w:rFonts w:cs="Arial" w:hint="cs"/>
          <w:rtl/>
        </w:rPr>
        <w:t>,</w:t>
      </w:r>
      <w:r w:rsidRPr="00A84FFF">
        <w:rPr>
          <w:rFonts w:cs="Arial"/>
          <w:rtl/>
        </w:rPr>
        <w:t xml:space="preserve"> כמ"ש בסעיף ה'</w:t>
      </w:r>
      <w:r>
        <w:rPr>
          <w:rFonts w:cs="Arial" w:hint="cs"/>
          <w:rtl/>
        </w:rPr>
        <w:t>,</w:t>
      </w:r>
      <w:r w:rsidRPr="00A84FFF">
        <w:rPr>
          <w:rFonts w:cs="Arial"/>
          <w:rtl/>
        </w:rPr>
        <w:t xml:space="preserve"> היינו לענין אם אין לשלם לשניהם אז נדוני</w:t>
      </w:r>
      <w:r>
        <w:rPr>
          <w:rFonts w:cs="Arial" w:hint="cs"/>
          <w:rtl/>
        </w:rPr>
        <w:t>א</w:t>
      </w:r>
      <w:r w:rsidRPr="00A84FFF">
        <w:rPr>
          <w:rFonts w:cs="Arial"/>
          <w:rtl/>
        </w:rPr>
        <w:t xml:space="preserve"> וב"ח שוין</w:t>
      </w:r>
      <w:r>
        <w:rPr>
          <w:rFonts w:cs="Arial" w:hint="cs"/>
          <w:rtl/>
        </w:rPr>
        <w:t>.</w:t>
      </w:r>
      <w:r w:rsidRPr="00A84FFF">
        <w:rPr>
          <w:rFonts w:cs="Arial"/>
          <w:rtl/>
        </w:rPr>
        <w:t xml:space="preserve"> משא"כ כאן דיש לשלם שניהם</w:t>
      </w:r>
      <w:r>
        <w:rPr>
          <w:rFonts w:cs="Arial" w:hint="cs"/>
          <w:rtl/>
        </w:rPr>
        <w:t>.</w:t>
      </w:r>
      <w:r w:rsidRPr="00A84FFF">
        <w:rPr>
          <w:rFonts w:cs="Arial"/>
          <w:rtl/>
        </w:rPr>
        <w:t xml:space="preserve"> וכן מחלק הב"י</w:t>
      </w:r>
      <w:r>
        <w:rPr>
          <w:rFonts w:cs="Arial" w:hint="cs"/>
          <w:rtl/>
        </w:rPr>
        <w:t>.</w:t>
      </w:r>
      <w:r w:rsidRPr="00A84FFF">
        <w:rPr>
          <w:rFonts w:cs="Arial"/>
          <w:rtl/>
        </w:rPr>
        <w:t xml:space="preserve"> לפ"ז מ"ש הרמב"ם </w:t>
      </w:r>
      <w:r>
        <w:rPr>
          <w:rFonts w:cs="Arial" w:hint="cs"/>
          <w:rtl/>
        </w:rPr>
        <w:t>(</w:t>
      </w:r>
      <w:r w:rsidRPr="00A84FFF">
        <w:rPr>
          <w:rFonts w:cs="Arial"/>
          <w:rtl/>
        </w:rPr>
        <w:t>פי"ז</w:t>
      </w:r>
      <w:r>
        <w:rPr>
          <w:rFonts w:cs="Arial" w:hint="cs"/>
          <w:rtl/>
        </w:rPr>
        <w:t xml:space="preserve"> ה"ז)</w:t>
      </w:r>
      <w:r w:rsidRPr="00A84FFF">
        <w:rPr>
          <w:rFonts w:cs="Arial"/>
          <w:rtl/>
        </w:rPr>
        <w:t xml:space="preserve"> </w:t>
      </w:r>
      <w:r>
        <w:rPr>
          <w:rFonts w:cs="Arial" w:hint="cs"/>
          <w:rtl/>
        </w:rPr>
        <w:t>'</w:t>
      </w:r>
      <w:r w:rsidRPr="00A84FFF">
        <w:rPr>
          <w:rFonts w:cs="Arial"/>
          <w:rtl/>
        </w:rPr>
        <w:t>נדוני</w:t>
      </w:r>
      <w:r>
        <w:rPr>
          <w:rFonts w:cs="Arial" w:hint="cs"/>
          <w:rtl/>
        </w:rPr>
        <w:t>א</w:t>
      </w:r>
      <w:r w:rsidRPr="00A84FFF">
        <w:rPr>
          <w:rFonts w:cs="Arial"/>
          <w:rtl/>
        </w:rPr>
        <w:t xml:space="preserve"> דינו כחוב</w:t>
      </w:r>
      <w:r>
        <w:rPr>
          <w:rFonts w:cs="Arial" w:hint="cs"/>
          <w:rtl/>
        </w:rPr>
        <w:t>' -</w:t>
      </w:r>
      <w:r w:rsidRPr="00A84FFF">
        <w:rPr>
          <w:rFonts w:cs="Arial"/>
          <w:rtl/>
        </w:rPr>
        <w:t xml:space="preserve"> בעלמ</w:t>
      </w:r>
      <w:r>
        <w:rPr>
          <w:rFonts w:cs="Arial" w:hint="cs"/>
          <w:rtl/>
        </w:rPr>
        <w:t>א</w:t>
      </w:r>
      <w:r w:rsidRPr="00A84FFF">
        <w:rPr>
          <w:rFonts w:cs="Arial"/>
          <w:rtl/>
        </w:rPr>
        <w:t xml:space="preserve"> קאמר</w:t>
      </w:r>
      <w:r>
        <w:rPr>
          <w:rFonts w:cs="Arial" w:hint="cs"/>
          <w:rtl/>
        </w:rPr>
        <w:t>.</w:t>
      </w:r>
      <w:r w:rsidRPr="00A84FFF">
        <w:rPr>
          <w:rFonts w:cs="Arial"/>
          <w:rtl/>
        </w:rPr>
        <w:t xml:space="preserve"> וכאן י"ל דמודה דנוטלת קרקע בעד הנדוניא</w:t>
      </w:r>
      <w:r>
        <w:rPr>
          <w:rFonts w:cs="Arial" w:hint="cs"/>
          <w:rtl/>
        </w:rPr>
        <w:t>.</w:t>
      </w:r>
      <w:r w:rsidRPr="00A84FFF">
        <w:rPr>
          <w:rFonts w:cs="Arial"/>
          <w:rtl/>
        </w:rPr>
        <w:t xml:space="preserve"> אע</w:t>
      </w:r>
      <w:r>
        <w:rPr>
          <w:rFonts w:cs="Arial" w:hint="cs"/>
          <w:rtl/>
        </w:rPr>
        <w:t>"</w:t>
      </w:r>
      <w:r w:rsidRPr="00A84FFF">
        <w:rPr>
          <w:rFonts w:cs="Arial"/>
          <w:rtl/>
        </w:rPr>
        <w:t xml:space="preserve">ג </w:t>
      </w:r>
      <w:r>
        <w:rPr>
          <w:rFonts w:cs="Arial" w:hint="cs"/>
          <w:rtl/>
        </w:rPr>
        <w:t>ד</w:t>
      </w:r>
      <w:r w:rsidRPr="00A84FFF">
        <w:rPr>
          <w:rFonts w:cs="Arial"/>
          <w:rtl/>
        </w:rPr>
        <w:t xml:space="preserve">הטור כתב </w:t>
      </w:r>
      <w:r>
        <w:rPr>
          <w:rFonts w:cs="Arial" w:hint="cs"/>
          <w:rtl/>
        </w:rPr>
        <w:t>ד</w:t>
      </w:r>
      <w:r w:rsidRPr="00A84FFF">
        <w:rPr>
          <w:rFonts w:cs="Arial"/>
          <w:rtl/>
        </w:rPr>
        <w:t>הרמב"ם חולק עם רש"י בזה</w:t>
      </w:r>
      <w:r>
        <w:rPr>
          <w:rFonts w:cs="Arial" w:hint="cs"/>
          <w:rtl/>
        </w:rPr>
        <w:t>,</w:t>
      </w:r>
      <w:r w:rsidRPr="00A84FFF">
        <w:rPr>
          <w:rFonts w:cs="Arial"/>
          <w:rtl/>
        </w:rPr>
        <w:t xml:space="preserve"> אין מוכרח</w:t>
      </w:r>
      <w:r>
        <w:rPr>
          <w:rFonts w:cs="Arial" w:hint="cs"/>
          <w:rtl/>
        </w:rPr>
        <w:t>,</w:t>
      </w:r>
      <w:r w:rsidRPr="00A84FFF">
        <w:rPr>
          <w:rFonts w:cs="Arial"/>
          <w:rtl/>
        </w:rPr>
        <w:t xml:space="preserve"> כי מנ"ל לעשות פלוגת</w:t>
      </w:r>
      <w:r>
        <w:rPr>
          <w:rFonts w:cs="Arial" w:hint="cs"/>
          <w:rtl/>
        </w:rPr>
        <w:t>א</w:t>
      </w:r>
      <w:r w:rsidRPr="00A84FFF">
        <w:rPr>
          <w:rFonts w:cs="Arial"/>
          <w:rtl/>
        </w:rPr>
        <w:t xml:space="preserve"> בין הפוסקים בלי הכרח</w:t>
      </w:r>
      <w:r>
        <w:rPr>
          <w:rFonts w:cs="Arial" w:hint="cs"/>
          <w:rtl/>
        </w:rPr>
        <w:t>.</w:t>
      </w:r>
      <w:r w:rsidRPr="00A84FFF">
        <w:rPr>
          <w:rFonts w:cs="Arial"/>
          <w:rtl/>
        </w:rPr>
        <w:t xml:space="preserve"> לכן הכריע הרב רמ"א כרש"י</w:t>
      </w:r>
      <w:r>
        <w:rPr>
          <w:rFonts w:cs="Arial" w:hint="cs"/>
          <w:rtl/>
        </w:rPr>
        <w:t>.</w:t>
      </w:r>
      <w:r w:rsidRPr="00A84FFF">
        <w:rPr>
          <w:rFonts w:cs="Arial"/>
          <w:rtl/>
        </w:rPr>
        <w:t xml:space="preserve"> ונכון הוא</w:t>
      </w:r>
      <w:r>
        <w:rPr>
          <w:rFonts w:cs="Arial" w:hint="cs"/>
          <w:rtl/>
        </w:rPr>
        <w:t>, ב"ש (סקי"ד).</w:t>
      </w:r>
    </w:p>
  </w:footnote>
  <w:footnote w:id="2563">
    <w:p w14:paraId="109E5DEC" w14:textId="77777777" w:rsidR="00DF1FC7" w:rsidRDefault="00DF1FC7" w:rsidP="002E5BAD">
      <w:pPr>
        <w:pStyle w:val="a5"/>
      </w:pPr>
      <w:r>
        <w:rPr>
          <w:rStyle w:val="a7"/>
        </w:rPr>
        <w:footnoteRef/>
      </w:r>
      <w:r>
        <w:rPr>
          <w:rtl/>
        </w:rPr>
        <w:t xml:space="preserve"> </w:t>
      </w:r>
      <w:r w:rsidRPr="00B27768">
        <w:rPr>
          <w:rFonts w:cs="Arial"/>
          <w:rtl/>
        </w:rPr>
        <w:t>כ"כ הרא"ש אע</w:t>
      </w:r>
      <w:r>
        <w:rPr>
          <w:rFonts w:cs="Arial" w:hint="cs"/>
          <w:rtl/>
        </w:rPr>
        <w:t>"</w:t>
      </w:r>
      <w:r w:rsidRPr="00B27768">
        <w:rPr>
          <w:rFonts w:cs="Arial"/>
          <w:rtl/>
        </w:rPr>
        <w:t xml:space="preserve">ג </w:t>
      </w:r>
      <w:r>
        <w:rPr>
          <w:rFonts w:cs="Arial" w:hint="cs"/>
          <w:rtl/>
        </w:rPr>
        <w:t>ש</w:t>
      </w:r>
      <w:r w:rsidRPr="00B27768">
        <w:rPr>
          <w:rFonts w:cs="Arial"/>
          <w:rtl/>
        </w:rPr>
        <w:t>בדבר שאין בו דין קדימה ס"ל אם תפסה אין מוציאין מידה כמ"ש בסעיף ב' מ"מ בכה"ג דיש לשלם שניהם ס"ל דמוציאין</w:t>
      </w:r>
      <w:r>
        <w:rPr>
          <w:rFonts w:cs="Arial" w:hint="cs"/>
          <w:rtl/>
        </w:rPr>
        <w:t>.</w:t>
      </w:r>
      <w:r w:rsidRPr="00B27768">
        <w:rPr>
          <w:rFonts w:cs="Arial"/>
          <w:rtl/>
        </w:rPr>
        <w:t xml:space="preserve"> ולא הביא הב"י שום פוסק דחולק ע"ז</w:t>
      </w:r>
      <w:r>
        <w:rPr>
          <w:rFonts w:cs="Arial" w:hint="cs"/>
          <w:rtl/>
        </w:rPr>
        <w:t>.</w:t>
      </w:r>
      <w:r w:rsidRPr="00B27768">
        <w:rPr>
          <w:rFonts w:cs="Arial"/>
          <w:rtl/>
        </w:rPr>
        <w:t xml:space="preserve"> ולדעת הרמ"ה גם כן י"ל מוציאין כיון דדינה דוק' בקרקע ולא במעות</w:t>
      </w:r>
      <w:r>
        <w:rPr>
          <w:rFonts w:cs="Arial" w:hint="cs"/>
          <w:rtl/>
        </w:rPr>
        <w:t>.</w:t>
      </w:r>
      <w:r w:rsidRPr="00B27768">
        <w:rPr>
          <w:rFonts w:cs="Arial"/>
          <w:rtl/>
        </w:rPr>
        <w:t xml:space="preserve"> מיהו בש"ג פסק אם תפסה אין מוציאין</w:t>
      </w:r>
      <w:r>
        <w:rPr>
          <w:rFonts w:cs="Arial" w:hint="cs"/>
          <w:rtl/>
        </w:rPr>
        <w:t>, ב"ש (סקט"ו).</w:t>
      </w:r>
    </w:p>
  </w:footnote>
  <w:footnote w:id="2564">
    <w:p w14:paraId="2685D771" w14:textId="77777777" w:rsidR="00DF1FC7" w:rsidRDefault="00DF1FC7" w:rsidP="002E5BAD">
      <w:pPr>
        <w:pStyle w:val="a5"/>
        <w:rPr>
          <w:rtl/>
        </w:rPr>
      </w:pPr>
      <w:r>
        <w:rPr>
          <w:rStyle w:val="a7"/>
        </w:rPr>
        <w:footnoteRef/>
      </w:r>
      <w:r>
        <w:rPr>
          <w:rtl/>
        </w:rPr>
        <w:t xml:space="preserve"> </w:t>
      </w:r>
      <w:r w:rsidRPr="00B27768">
        <w:rPr>
          <w:rFonts w:cs="Arial"/>
          <w:rtl/>
        </w:rPr>
        <w:t>נמשך הרב אחר דברי ב"י שהטור לא ביטל דעתו מפני דעת הרמ"ה</w:t>
      </w:r>
      <w:r>
        <w:rPr>
          <w:rFonts w:cs="Arial" w:hint="cs"/>
          <w:rtl/>
        </w:rPr>
        <w:t>.</w:t>
      </w:r>
      <w:r w:rsidRPr="00B27768">
        <w:rPr>
          <w:rFonts w:cs="Arial"/>
          <w:rtl/>
        </w:rPr>
        <w:t xml:space="preserve"> אבל לשון </w:t>
      </w:r>
      <w:r>
        <w:rPr>
          <w:rFonts w:cs="Arial" w:hint="cs"/>
          <w:rtl/>
        </w:rPr>
        <w:t>'</w:t>
      </w:r>
      <w:r w:rsidRPr="00B27768">
        <w:rPr>
          <w:rFonts w:cs="Arial"/>
          <w:rtl/>
        </w:rPr>
        <w:t>לכאורה</w:t>
      </w:r>
      <w:r>
        <w:rPr>
          <w:rFonts w:cs="Arial" w:hint="cs"/>
          <w:rtl/>
        </w:rPr>
        <w:t>'</w:t>
      </w:r>
      <w:r w:rsidRPr="00B27768">
        <w:rPr>
          <w:rFonts w:cs="Arial"/>
          <w:rtl/>
        </w:rPr>
        <w:t xml:space="preserve"> שכ' הטור משמע שביטל דעתו נגד הרמ"ה</w:t>
      </w:r>
      <w:r>
        <w:rPr>
          <w:rFonts w:cs="Arial" w:hint="cs"/>
          <w:rtl/>
        </w:rPr>
        <w:t>.</w:t>
      </w:r>
      <w:r w:rsidRPr="00B27768">
        <w:rPr>
          <w:rFonts w:cs="Arial"/>
          <w:rtl/>
        </w:rPr>
        <w:t xml:space="preserve"> וכן הוא בב"ח</w:t>
      </w:r>
      <w:r>
        <w:rPr>
          <w:rFonts w:cs="Arial" w:hint="cs"/>
          <w:rtl/>
        </w:rPr>
        <w:t>...</w:t>
      </w:r>
      <w:r>
        <w:rPr>
          <w:rFonts w:hint="cs"/>
          <w:rtl/>
        </w:rPr>
        <w:t>, ח"מ (סקי"ב).</w:t>
      </w:r>
    </w:p>
  </w:footnote>
  <w:footnote w:id="2565">
    <w:p w14:paraId="77A6C012" w14:textId="77777777" w:rsidR="00DF1FC7" w:rsidRDefault="00DF1FC7" w:rsidP="002E5BAD">
      <w:pPr>
        <w:pStyle w:val="a5"/>
      </w:pPr>
      <w:r>
        <w:rPr>
          <w:rStyle w:val="a7"/>
        </w:rPr>
        <w:footnoteRef/>
      </w:r>
      <w:r>
        <w:rPr>
          <w:rtl/>
        </w:rPr>
        <w:t xml:space="preserve"> </w:t>
      </w:r>
      <w:r>
        <w:rPr>
          <w:rFonts w:hint="cs"/>
          <w:rtl/>
        </w:rPr>
        <w:t>כן היא דעת הטור, ועיין במקורות בסעיף הקודם שהב"ש (סקי"ז) והח"מ (סקי"ג) חולקים על זה.</w:t>
      </w:r>
    </w:p>
  </w:footnote>
  <w:footnote w:id="2566">
    <w:p w14:paraId="53237151" w14:textId="77777777" w:rsidR="00DF1FC7" w:rsidRDefault="00DF1FC7" w:rsidP="002E5BAD">
      <w:pPr>
        <w:pStyle w:val="a5"/>
      </w:pPr>
      <w:r>
        <w:rPr>
          <w:rStyle w:val="a7"/>
        </w:rPr>
        <w:footnoteRef/>
      </w:r>
      <w:r>
        <w:rPr>
          <w:rtl/>
        </w:rPr>
        <w:t xml:space="preserve"> </w:t>
      </w:r>
      <w:r w:rsidRPr="00BA671E">
        <w:rPr>
          <w:rFonts w:cs="Arial"/>
          <w:rtl/>
        </w:rPr>
        <w:t>דין זה יותר תמוה שאם הב"ח מאוחר ותפס מעות מוציאין מידו אף שדינו במעות ונותנין ליד האשה המוקדמת שדינה בקרקע ודבר זה אין לו שחר</w:t>
      </w:r>
      <w:r>
        <w:rPr>
          <w:rFonts w:cs="Arial" w:hint="cs"/>
          <w:rtl/>
        </w:rPr>
        <w:t>, ח"מ (סקי"ד).</w:t>
      </w:r>
      <w:r>
        <w:rPr>
          <w:rFonts w:hint="cs"/>
          <w:rtl/>
        </w:rPr>
        <w:t xml:space="preserve"> וגם הגר"א (סקי"ז) תמה על דין זה.</w:t>
      </w:r>
    </w:p>
  </w:footnote>
  <w:footnote w:id="2567">
    <w:p w14:paraId="11BF1728" w14:textId="77777777" w:rsidR="00DF1FC7" w:rsidRDefault="00DF1FC7" w:rsidP="002E5BAD">
      <w:pPr>
        <w:pStyle w:val="a5"/>
      </w:pPr>
      <w:r>
        <w:rPr>
          <w:rStyle w:val="a7"/>
        </w:rPr>
        <w:footnoteRef/>
      </w:r>
      <w:r>
        <w:rPr>
          <w:rtl/>
        </w:rPr>
        <w:t xml:space="preserve"> </w:t>
      </w:r>
      <w:r>
        <w:rPr>
          <w:rFonts w:cs="Arial"/>
          <w:rtl/>
        </w:rPr>
        <w:t>וכתב הרב המגיד זה ברור לדעת רבינו</w:t>
      </w:r>
      <w:r>
        <w:rPr>
          <w:rFonts w:cs="Arial" w:hint="cs"/>
          <w:rtl/>
        </w:rPr>
        <w:t>,</w:t>
      </w:r>
      <w:r>
        <w:rPr>
          <w:rFonts w:cs="Arial"/>
          <w:rtl/>
        </w:rPr>
        <w:t xml:space="preserve"> שלא הורע כח האשה אלא בעיקר הכתובה שהרי לא חסרה בה כלום</w:t>
      </w:r>
      <w:r>
        <w:rPr>
          <w:rFonts w:cs="Arial" w:hint="cs"/>
          <w:rtl/>
        </w:rPr>
        <w:t>,</w:t>
      </w:r>
      <w:r>
        <w:rPr>
          <w:rFonts w:cs="Arial"/>
          <w:rtl/>
        </w:rPr>
        <w:t xml:space="preserve"> אבל נדוניתא הרי הוא כחוב דעלמא עכ"ל</w:t>
      </w:r>
      <w:r>
        <w:rPr>
          <w:rFonts w:cs="Arial" w:hint="cs"/>
          <w:rtl/>
        </w:rPr>
        <w:t>.</w:t>
      </w:r>
      <w:r>
        <w:rPr>
          <w:rFonts w:cs="Arial"/>
          <w:rtl/>
        </w:rPr>
        <w:t xml:space="preserve"> והדבר פשוט הוא דקאי אכל מה שכתב בסימן זה להקל על הכתובה דאין נדוניא בכלל</w:t>
      </w:r>
      <w:r>
        <w:rPr>
          <w:rFonts w:cs="Arial" w:hint="cs"/>
          <w:rtl/>
        </w:rPr>
        <w:t>,</w:t>
      </w:r>
      <w:r>
        <w:rPr>
          <w:rFonts w:cs="Arial"/>
          <w:rtl/>
        </w:rPr>
        <w:t xml:space="preserve"> אלא הרי היא כבעל חוב דעלמא</w:t>
      </w:r>
      <w:r>
        <w:rPr>
          <w:rFonts w:cs="Arial" w:hint="cs"/>
          <w:rtl/>
        </w:rPr>
        <w:t>.</w:t>
      </w:r>
      <w:r>
        <w:rPr>
          <w:rFonts w:cs="Arial"/>
          <w:rtl/>
        </w:rPr>
        <w:t xml:space="preserve"> וכבר נתבאר בסימן ק' </w:t>
      </w:r>
      <w:r w:rsidRPr="00320E25">
        <w:rPr>
          <w:rFonts w:cs="Arial"/>
          <w:sz w:val="16"/>
          <w:szCs w:val="16"/>
          <w:rtl/>
        </w:rPr>
        <w:t xml:space="preserve">(קנ. ד"ה ומ"ש ולא) </w:t>
      </w:r>
      <w:r>
        <w:rPr>
          <w:rFonts w:cs="Arial"/>
          <w:rtl/>
        </w:rPr>
        <w:t>שדעת הרשב"א בזה כדעת הרמב"ם. ודברים נכונים בטעמם הם</w:t>
      </w:r>
      <w:r>
        <w:rPr>
          <w:rFonts w:cs="Arial" w:hint="cs"/>
          <w:rtl/>
        </w:rPr>
        <w:t>, ב"י.</w:t>
      </w:r>
      <w:r>
        <w:rPr>
          <w:rFonts w:hint="cs"/>
          <w:rtl/>
        </w:rPr>
        <w:t xml:space="preserve"> וכתב הדרכ"מ (אות ד ואות ו*) שכן דעת חכמי לוניל.</w:t>
      </w:r>
    </w:p>
  </w:footnote>
  <w:footnote w:id="2568">
    <w:p w14:paraId="6AE80E21" w14:textId="77777777" w:rsidR="00DF1FC7" w:rsidRDefault="00DF1FC7" w:rsidP="002E5BAD">
      <w:pPr>
        <w:pStyle w:val="a5"/>
        <w:rPr>
          <w:rtl/>
        </w:rPr>
      </w:pPr>
      <w:r>
        <w:rPr>
          <w:rStyle w:val="a7"/>
        </w:rPr>
        <w:footnoteRef/>
      </w:r>
      <w:r>
        <w:rPr>
          <w:rtl/>
        </w:rPr>
        <w:t xml:space="preserve"> </w:t>
      </w:r>
      <w:r>
        <w:rPr>
          <w:rFonts w:cs="Arial"/>
          <w:rtl/>
        </w:rPr>
        <w:t>כבר כתבתי לשונו בסמוך גבי ההיא דאמימר ואיפשר דלא השוה רש"י דין נכסי צאן ברזל לדין הכתובה אלא להיכא דאיכא זוזי וארעא דלבעל חוב יהבינן זוזי ולאשה ארעא משום דהאי כדיניה והאי כדיניה אבל היכא דליכא אלא לחד מינייהו דאמרינן דלבעל חוב יהבינן לאשה לא יהבינן איפשר דאף לרש"י היינו דוקא בעיקר כתובה אבל בנדוניא הרי היא כבעלת חוב ואם זמנה שוה לזמן הבעל חוב חולקת עמו</w:t>
      </w:r>
    </w:p>
  </w:footnote>
  <w:footnote w:id="2569">
    <w:p w14:paraId="6372F575" w14:textId="77777777" w:rsidR="00DF1FC7" w:rsidRDefault="00DF1FC7" w:rsidP="002E5BAD">
      <w:pPr>
        <w:pStyle w:val="a5"/>
      </w:pPr>
      <w:r>
        <w:rPr>
          <w:rStyle w:val="a7"/>
        </w:rPr>
        <w:footnoteRef/>
      </w:r>
      <w:r>
        <w:rPr>
          <w:rtl/>
        </w:rPr>
        <w:t xml:space="preserve"> </w:t>
      </w:r>
      <w:r w:rsidRPr="00102E9F">
        <w:rPr>
          <w:rFonts w:cs="Arial"/>
          <w:rtl/>
        </w:rPr>
        <w:t>כבר כתבתי שמלשון זה משמע דלכל דבר היא כב"ח ואם יש כאן מעות וקרקע נוטלת חלק במעות כשאר ב"ח ולא כדעת רש"י וכ"כ הכ"מ ודלא כאשר סתם הרב בהג"ה לעיל כדעת רש"י דדין נדונייתא כדין הכתובה בזה וכבר כתבתי בס"ק י"א שהר"ן העתיק לשון רש"י</w:t>
      </w:r>
      <w:r>
        <w:rPr>
          <w:rFonts w:cs="Arial" w:hint="cs"/>
          <w:rtl/>
        </w:rPr>
        <w:t>, ח"מ (סקט"ו).</w:t>
      </w:r>
    </w:p>
  </w:footnote>
  <w:footnote w:id="2570">
    <w:p w14:paraId="4C3F71E1" w14:textId="77777777" w:rsidR="00DF1FC7" w:rsidRDefault="00DF1FC7" w:rsidP="002E5BAD">
      <w:pPr>
        <w:pStyle w:val="a5"/>
      </w:pPr>
      <w:r>
        <w:rPr>
          <w:rStyle w:val="a7"/>
        </w:rPr>
        <w:footnoteRef/>
      </w:r>
      <w:r>
        <w:rPr>
          <w:rtl/>
        </w:rPr>
        <w:t xml:space="preserve"> </w:t>
      </w:r>
      <w:r>
        <w:rPr>
          <w:rFonts w:cs="Arial"/>
          <w:rtl/>
        </w:rPr>
        <w:t>ופסקו הרי"ף (פא:) והרא"ש (סי' מד) כהאי תירוצא בתרא דאבא לגבי בריה שעבודי משעביד נפשיה</w:t>
      </w:r>
      <w:r>
        <w:rPr>
          <w:rFonts w:cs="Arial" w:hint="cs"/>
          <w:rtl/>
        </w:rPr>
        <w:t>.</w:t>
      </w:r>
      <w:r>
        <w:rPr>
          <w:rFonts w:cs="Arial"/>
          <w:rtl/>
        </w:rPr>
        <w:t xml:space="preserve"> וכן פסק הרמב"ם בפי"ז מהלכות אישות (ה"ט) ובפכ"ה מהלכות מלוה (ה"ו)</w:t>
      </w:r>
      <w:r>
        <w:rPr>
          <w:rFonts w:cs="Arial" w:hint="cs"/>
          <w:rtl/>
        </w:rPr>
        <w:t>, ב"י</w:t>
      </w:r>
    </w:p>
  </w:footnote>
  <w:footnote w:id="2571">
    <w:p w14:paraId="39009F8D" w14:textId="77777777" w:rsidR="00DF1FC7" w:rsidRDefault="00DF1FC7" w:rsidP="002E5BAD">
      <w:pPr>
        <w:pStyle w:val="a5"/>
      </w:pPr>
      <w:r>
        <w:rPr>
          <w:rStyle w:val="a7"/>
        </w:rPr>
        <w:footnoteRef/>
      </w:r>
      <w:r>
        <w:rPr>
          <w:rtl/>
        </w:rPr>
        <w:t xml:space="preserve"> </w:t>
      </w:r>
      <w:r w:rsidRPr="009521FA">
        <w:rPr>
          <w:rFonts w:cs="Arial"/>
          <w:rtl/>
        </w:rPr>
        <w:t>דלא גמר בלבו לשעבד נפשיה ואינו אלא פטומי מילי שירא להפסיד ואיכא למימר אמוראי פליגי בהא מילתא ושמעתייהו לא איתפרשו בגמ'</w:t>
      </w:r>
      <w:r>
        <w:rPr>
          <w:rFonts w:cs="Arial" w:hint="cs"/>
          <w:rtl/>
        </w:rPr>
        <w:t>, רשב"ם.</w:t>
      </w:r>
    </w:p>
  </w:footnote>
  <w:footnote w:id="2572">
    <w:p w14:paraId="67F5C3C1" w14:textId="77777777" w:rsidR="00DF1FC7" w:rsidRDefault="00DF1FC7" w:rsidP="002E5BAD">
      <w:pPr>
        <w:pStyle w:val="a5"/>
      </w:pPr>
      <w:r>
        <w:rPr>
          <w:rStyle w:val="a7"/>
        </w:rPr>
        <w:footnoteRef/>
      </w:r>
      <w:r>
        <w:rPr>
          <w:rtl/>
        </w:rPr>
        <w:t xml:space="preserve"> </w:t>
      </w:r>
      <w:r w:rsidRPr="009521FA">
        <w:rPr>
          <w:rFonts w:cs="Arial"/>
          <w:rtl/>
        </w:rPr>
        <w:t>אף על גב דלית ליה נכסי</w:t>
      </w:r>
      <w:r>
        <w:rPr>
          <w:rFonts w:cs="Arial" w:hint="cs"/>
          <w:rtl/>
        </w:rPr>
        <w:t>, רשב"ם.</w:t>
      </w:r>
    </w:p>
  </w:footnote>
  <w:footnote w:id="2573">
    <w:p w14:paraId="5A63B3A7" w14:textId="77777777" w:rsidR="00DF1FC7" w:rsidRDefault="00DF1FC7" w:rsidP="002E5BAD">
      <w:pPr>
        <w:pStyle w:val="a5"/>
        <w:rPr>
          <w:rtl/>
        </w:rPr>
      </w:pPr>
      <w:r>
        <w:rPr>
          <w:rStyle w:val="a7"/>
        </w:rPr>
        <w:footnoteRef/>
      </w:r>
      <w:r>
        <w:rPr>
          <w:rtl/>
        </w:rPr>
        <w:t xml:space="preserve"> </w:t>
      </w:r>
      <w:r w:rsidRPr="00A16411">
        <w:rPr>
          <w:rFonts w:cs="Arial"/>
          <w:rtl/>
        </w:rPr>
        <w:t>המשדך בזיווגן אין דעתו לפרוע הערבות אבל מתכוין לזווגן שע"י ערבות זו מתרצין ולא מידי חסרה לאשה דהא טב למיתב טן דו ולטובתה נתכוין</w:t>
      </w:r>
      <w:r>
        <w:rPr>
          <w:rFonts w:hint="cs"/>
          <w:rtl/>
        </w:rPr>
        <w:t>, רשב"ם.</w:t>
      </w:r>
    </w:p>
  </w:footnote>
  <w:footnote w:id="2574">
    <w:p w14:paraId="3DF00721" w14:textId="77777777" w:rsidR="00DF1FC7" w:rsidRDefault="00DF1FC7" w:rsidP="002E5BAD">
      <w:pPr>
        <w:pStyle w:val="a5"/>
      </w:pPr>
      <w:r>
        <w:rPr>
          <w:rStyle w:val="a7"/>
        </w:rPr>
        <w:footnoteRef/>
      </w:r>
      <w:r>
        <w:rPr>
          <w:rtl/>
        </w:rPr>
        <w:t xml:space="preserve"> </w:t>
      </w:r>
      <w:r>
        <w:rPr>
          <w:rFonts w:cs="Arial"/>
          <w:rtl/>
        </w:rPr>
        <w:t>הראב"ד השיג על הרמב"ם במה שכתב דערב דכתובה אינו מתחייב אפילו בקנין שהראב"ד ז"ל סבור דכל שיש שם קנין נשתעבד</w:t>
      </w:r>
      <w:r>
        <w:rPr>
          <w:rFonts w:cs="Arial" w:hint="cs"/>
          <w:rtl/>
        </w:rPr>
        <w:t>.</w:t>
      </w:r>
      <w:r>
        <w:rPr>
          <w:rFonts w:cs="Arial"/>
          <w:rtl/>
        </w:rPr>
        <w:t xml:space="preserve"> ואני אומר דלדעת רבינו בפי"א מהל</w:t>
      </w:r>
      <w:r>
        <w:rPr>
          <w:rFonts w:cs="Arial" w:hint="cs"/>
          <w:rtl/>
        </w:rPr>
        <w:t>'</w:t>
      </w:r>
      <w:r>
        <w:rPr>
          <w:rFonts w:cs="Arial"/>
          <w:rtl/>
        </w:rPr>
        <w:t xml:space="preserve"> מכירה (הי"ג) שאסמכתא היא אפילו בקנין</w:t>
      </w:r>
      <w:r>
        <w:rPr>
          <w:rFonts w:cs="Arial" w:hint="cs"/>
          <w:rtl/>
        </w:rPr>
        <w:t>,</w:t>
      </w:r>
      <w:r>
        <w:rPr>
          <w:rFonts w:cs="Arial"/>
          <w:rtl/>
        </w:rPr>
        <w:t xml:space="preserve"> דינו בכאן מחוור</w:t>
      </w:r>
      <w:r>
        <w:rPr>
          <w:rFonts w:cs="Arial" w:hint="cs"/>
          <w:rtl/>
        </w:rPr>
        <w:t>.</w:t>
      </w:r>
      <w:r>
        <w:rPr>
          <w:rFonts w:cs="Arial"/>
          <w:rtl/>
        </w:rPr>
        <w:t xml:space="preserve"> שהרי ערב אסמכתא היא</w:t>
      </w:r>
      <w:r>
        <w:rPr>
          <w:rFonts w:cs="Arial" w:hint="cs"/>
          <w:rtl/>
        </w:rPr>
        <w:t>,</w:t>
      </w:r>
      <w:r>
        <w:rPr>
          <w:rFonts w:cs="Arial"/>
          <w:rtl/>
        </w:rPr>
        <w:t xml:space="preserve"> אלא דמשום דאית ליה הנאה דקא מהימני ליה</w:t>
      </w:r>
      <w:r>
        <w:rPr>
          <w:rFonts w:cs="Arial" w:hint="cs"/>
          <w:rtl/>
        </w:rPr>
        <w:t>,</w:t>
      </w:r>
      <w:r>
        <w:rPr>
          <w:rFonts w:cs="Arial"/>
          <w:rtl/>
        </w:rPr>
        <w:t xml:space="preserve"> גמר ומשעביד נפשיה</w:t>
      </w:r>
      <w:r>
        <w:rPr>
          <w:rFonts w:cs="Arial" w:hint="cs"/>
          <w:rtl/>
        </w:rPr>
        <w:t>,</w:t>
      </w:r>
      <w:r>
        <w:rPr>
          <w:rFonts w:cs="Arial"/>
          <w:rtl/>
        </w:rPr>
        <w:t xml:space="preserve"> כדאיתא בגמרא (ב"ב קעג:)</w:t>
      </w:r>
      <w:r>
        <w:rPr>
          <w:rFonts w:cs="Arial" w:hint="cs"/>
          <w:rtl/>
        </w:rPr>
        <w:t>.</w:t>
      </w:r>
      <w:r>
        <w:rPr>
          <w:rFonts w:cs="Arial"/>
          <w:rtl/>
        </w:rPr>
        <w:t xml:space="preserve"> ומשום הכי בכתובתה דלא מידי מחסר בהימנותיה לא גמר ומשעבד נפשיה</w:t>
      </w:r>
      <w:r>
        <w:rPr>
          <w:rFonts w:cs="Arial" w:hint="cs"/>
          <w:rtl/>
        </w:rPr>
        <w:t>,</w:t>
      </w:r>
      <w:r>
        <w:rPr>
          <w:rFonts w:cs="Arial"/>
          <w:rtl/>
        </w:rPr>
        <w:t xml:space="preserve"> וה"ל אסמכתא והיא אפילו בקנין</w:t>
      </w:r>
      <w:r>
        <w:rPr>
          <w:rFonts w:cs="Arial" w:hint="cs"/>
          <w:rtl/>
        </w:rPr>
        <w:t>.</w:t>
      </w:r>
      <w:r>
        <w:rPr>
          <w:rFonts w:cs="Arial"/>
          <w:rtl/>
        </w:rPr>
        <w:t xml:space="preserve"> וקצת נראה כן ממה שהקשו בכמה מקומות (שם קעד:, גיטין מט:) והא ערב דכתובה לא משתעבד</w:t>
      </w:r>
      <w:r>
        <w:rPr>
          <w:rFonts w:cs="Arial" w:hint="cs"/>
          <w:rtl/>
        </w:rPr>
        <w:t>,</w:t>
      </w:r>
      <w:r>
        <w:rPr>
          <w:rFonts w:cs="Arial"/>
          <w:rtl/>
        </w:rPr>
        <w:t xml:space="preserve"> ותרצו בקבלן</w:t>
      </w:r>
      <w:r>
        <w:rPr>
          <w:rFonts w:cs="Arial" w:hint="cs"/>
          <w:rtl/>
        </w:rPr>
        <w:t>,</w:t>
      </w:r>
      <w:r>
        <w:rPr>
          <w:rFonts w:cs="Arial"/>
          <w:rtl/>
        </w:rPr>
        <w:t xml:space="preserve"> ולא תרצו בשקנו מידו</w:t>
      </w:r>
      <w:r>
        <w:rPr>
          <w:rFonts w:cs="Arial" w:hint="cs"/>
          <w:rtl/>
        </w:rPr>
        <w:t>,</w:t>
      </w:r>
      <w:r>
        <w:rPr>
          <w:rFonts w:cs="Arial"/>
          <w:rtl/>
        </w:rPr>
        <w:t xml:space="preserve"> שמע מינה שאין קנין מועיל</w:t>
      </w:r>
      <w:r>
        <w:rPr>
          <w:rFonts w:cs="Arial" w:hint="cs"/>
          <w:rtl/>
        </w:rPr>
        <w:t>.</w:t>
      </w:r>
      <w:r>
        <w:rPr>
          <w:rFonts w:cs="Arial"/>
          <w:rtl/>
        </w:rPr>
        <w:t xml:space="preserve"> זה נראה לי בדעת רבינו</w:t>
      </w:r>
      <w:r>
        <w:rPr>
          <w:rFonts w:cs="Arial" w:hint="cs"/>
          <w:rtl/>
        </w:rPr>
        <w:t>, הה"מ (שם, ושם).</w:t>
      </w:r>
    </w:p>
  </w:footnote>
  <w:footnote w:id="2575">
    <w:p w14:paraId="3C4E4153" w14:textId="77777777" w:rsidR="00DF1FC7" w:rsidRDefault="00DF1FC7" w:rsidP="002E5BAD">
      <w:pPr>
        <w:pStyle w:val="a5"/>
      </w:pPr>
      <w:r>
        <w:rPr>
          <w:rStyle w:val="a7"/>
        </w:rPr>
        <w:footnoteRef/>
      </w:r>
      <w:r>
        <w:rPr>
          <w:rtl/>
        </w:rPr>
        <w:t xml:space="preserve"> </w:t>
      </w:r>
      <w:r>
        <w:rPr>
          <w:rFonts w:cs="Arial"/>
          <w:rtl/>
        </w:rPr>
        <w:t>דעת הר"א ז"ל לומר דכל שיש קנין מועיל או מפני שאין אסמכתא בקנין או משום דלא גרע מערב דלאחר מתן מעות שאף על פי שלא על אמונתו הלוהו כשקנו מידו חל הערבות. ויש לדחות טעם זה דשאני התם דמכל מקום היתה שם הלואה וחסרון כיס למלוה מעיקרא</w:t>
      </w:r>
      <w:r>
        <w:rPr>
          <w:rFonts w:cs="Arial" w:hint="cs"/>
          <w:rtl/>
        </w:rPr>
        <w:t>.</w:t>
      </w:r>
      <w:r>
        <w:rPr>
          <w:rFonts w:cs="Arial"/>
          <w:rtl/>
        </w:rPr>
        <w:t xml:space="preserve"> ודעת קצת הגאונים כדעת רבינו ודעת בהעי</w:t>
      </w:r>
      <w:r>
        <w:rPr>
          <w:rFonts w:cs="Arial" w:hint="cs"/>
          <w:rtl/>
        </w:rPr>
        <w:t>"</w:t>
      </w:r>
      <w:r>
        <w:rPr>
          <w:rFonts w:cs="Arial"/>
          <w:rtl/>
        </w:rPr>
        <w:t>ט (אות א ערב יב ע"א בח"א) כדברי הר"א ז"ל.</w:t>
      </w:r>
      <w:r>
        <w:rPr>
          <w:rFonts w:cs="Arial" w:hint="cs"/>
          <w:rtl/>
        </w:rPr>
        <w:t>, הה"מ (שם, ושם).</w:t>
      </w:r>
    </w:p>
  </w:footnote>
  <w:footnote w:id="2576">
    <w:p w14:paraId="212CD9CE" w14:textId="77777777" w:rsidR="00DF1FC7" w:rsidRDefault="00DF1FC7" w:rsidP="002E5BAD">
      <w:pPr>
        <w:pStyle w:val="a5"/>
      </w:pPr>
      <w:r>
        <w:rPr>
          <w:rStyle w:val="a7"/>
        </w:rPr>
        <w:footnoteRef/>
      </w:r>
      <w:r>
        <w:rPr>
          <w:rtl/>
        </w:rPr>
        <w:t xml:space="preserve"> </w:t>
      </w:r>
      <w:r>
        <w:rPr>
          <w:rFonts w:hint="cs"/>
          <w:rtl/>
        </w:rPr>
        <w:t xml:space="preserve">וז"ל- </w:t>
      </w:r>
      <w:r w:rsidRPr="001F3F89">
        <w:rPr>
          <w:rFonts w:cs="Arial"/>
          <w:rtl/>
        </w:rPr>
        <w:t>בד"א בערב דעלמא</w:t>
      </w:r>
      <w:r>
        <w:rPr>
          <w:rFonts w:cs="Arial" w:hint="cs"/>
          <w:rtl/>
        </w:rPr>
        <w:t>,</w:t>
      </w:r>
      <w:r w:rsidRPr="001F3F89">
        <w:rPr>
          <w:rFonts w:cs="Arial"/>
          <w:rtl/>
        </w:rPr>
        <w:t xml:space="preserve"> אבל בקבלן שאמר לה הנשאי לזה ואני קבלן או אני אתן לך</w:t>
      </w:r>
      <w:r>
        <w:rPr>
          <w:rFonts w:cs="Arial" w:hint="cs"/>
          <w:rtl/>
        </w:rPr>
        <w:t xml:space="preserve"> -</w:t>
      </w:r>
      <w:r w:rsidRPr="001F3F89">
        <w:rPr>
          <w:rFonts w:cs="Arial"/>
          <w:rtl/>
        </w:rPr>
        <w:t xml:space="preserve"> משתעבד</w:t>
      </w:r>
      <w:r>
        <w:rPr>
          <w:rFonts w:cs="Arial" w:hint="cs"/>
          <w:rtl/>
        </w:rPr>
        <w:t>...</w:t>
      </w:r>
      <w:r w:rsidRPr="001F3F89">
        <w:rPr>
          <w:rFonts w:cs="Arial"/>
          <w:rtl/>
        </w:rPr>
        <w:t xml:space="preserve"> אפילו בלא קנין</w:t>
      </w:r>
      <w:r>
        <w:rPr>
          <w:rFonts w:cs="Arial" w:hint="cs"/>
          <w:rtl/>
        </w:rPr>
        <w:t>.</w:t>
      </w:r>
      <w:r>
        <w:rPr>
          <w:rFonts w:hint="cs"/>
          <w:rtl/>
        </w:rPr>
        <w:t xml:space="preserve"> עכ"ל. וכתב הב"י דדברי הטור הם </w:t>
      </w:r>
      <w:r>
        <w:rPr>
          <w:rFonts w:cs="Arial"/>
          <w:rtl/>
        </w:rPr>
        <w:t>על פי מה שכתב בח</w:t>
      </w:r>
      <w:r>
        <w:rPr>
          <w:rFonts w:cs="Arial" w:hint="cs"/>
          <w:rtl/>
        </w:rPr>
        <w:t>ו</w:t>
      </w:r>
      <w:r>
        <w:rPr>
          <w:rFonts w:cs="Arial"/>
          <w:rtl/>
        </w:rPr>
        <w:t>"מ סימן קכ"ט לדעת הרא"ש</w:t>
      </w:r>
      <w:r>
        <w:rPr>
          <w:rFonts w:cs="Arial" w:hint="cs"/>
          <w:rtl/>
        </w:rPr>
        <w:t>.</w:t>
      </w:r>
      <w:r>
        <w:rPr>
          <w:rFonts w:cs="Arial"/>
          <w:rtl/>
        </w:rPr>
        <w:t xml:space="preserve"> וכבר כתב שם שדעת בעל התרומות שאינו אלא ערב</w:t>
      </w:r>
      <w:r>
        <w:rPr>
          <w:rFonts w:cs="Arial" w:hint="cs"/>
          <w:rtl/>
        </w:rPr>
        <w:t>,</w:t>
      </w:r>
      <w:r>
        <w:rPr>
          <w:rFonts w:cs="Arial"/>
          <w:rtl/>
        </w:rPr>
        <w:t xml:space="preserve"> וכאן סתם דבריו כדעת הרא"ש</w:t>
      </w:r>
      <w:r>
        <w:rPr>
          <w:rFonts w:cs="Arial" w:hint="cs"/>
          <w:rtl/>
        </w:rPr>
        <w:t>.</w:t>
      </w:r>
    </w:p>
  </w:footnote>
  <w:footnote w:id="2577">
    <w:p w14:paraId="50AC86B5" w14:textId="77777777" w:rsidR="00DF1FC7" w:rsidRDefault="00DF1FC7" w:rsidP="002E5BAD">
      <w:pPr>
        <w:pStyle w:val="a5"/>
      </w:pPr>
      <w:r>
        <w:rPr>
          <w:rStyle w:val="a7"/>
        </w:rPr>
        <w:footnoteRef/>
      </w:r>
      <w:r>
        <w:rPr>
          <w:rtl/>
        </w:rPr>
        <w:t xml:space="preserve"> </w:t>
      </w:r>
      <w:r w:rsidRPr="00247D4E">
        <w:rPr>
          <w:rFonts w:cs="Arial"/>
          <w:rtl/>
        </w:rPr>
        <w:t>והכי מסתבר דהוי כמו ערב בשעת מתן מעות דלא בעי קנין</w:t>
      </w:r>
      <w:r>
        <w:rPr>
          <w:rFonts w:cs="Arial" w:hint="cs"/>
          <w:rtl/>
        </w:rPr>
        <w:t>, טור.</w:t>
      </w:r>
    </w:p>
  </w:footnote>
  <w:footnote w:id="2578">
    <w:p w14:paraId="05B8A38D" w14:textId="77777777" w:rsidR="00DF1FC7" w:rsidRDefault="00DF1FC7" w:rsidP="002E5BAD">
      <w:pPr>
        <w:pStyle w:val="a5"/>
      </w:pPr>
      <w:r>
        <w:rPr>
          <w:rStyle w:val="a7"/>
        </w:rPr>
        <w:footnoteRef/>
      </w:r>
      <w:r>
        <w:rPr>
          <w:rtl/>
        </w:rPr>
        <w:t xml:space="preserve"> </w:t>
      </w:r>
      <w:r>
        <w:rPr>
          <w:rFonts w:cs="Arial"/>
          <w:rtl/>
        </w:rPr>
        <w:t>וכתב הה</w:t>
      </w:r>
      <w:r>
        <w:rPr>
          <w:rFonts w:cs="Arial" w:hint="cs"/>
          <w:rtl/>
        </w:rPr>
        <w:t>"</w:t>
      </w:r>
      <w:r>
        <w:rPr>
          <w:rFonts w:cs="Arial"/>
          <w:rtl/>
        </w:rPr>
        <w:t>מ</w:t>
      </w:r>
      <w:r>
        <w:rPr>
          <w:rFonts w:cs="Arial" w:hint="cs"/>
          <w:rtl/>
        </w:rPr>
        <w:t xml:space="preserve"> </w:t>
      </w:r>
      <w:r w:rsidRPr="00D50519">
        <w:rPr>
          <w:rFonts w:cs="Arial" w:hint="cs"/>
          <w:sz w:val="16"/>
          <w:szCs w:val="16"/>
          <w:rtl/>
        </w:rPr>
        <w:t>(פי"ז מאישות ה"ט)</w:t>
      </w:r>
      <w:r>
        <w:rPr>
          <w:rFonts w:cs="Arial" w:hint="cs"/>
          <w:rtl/>
        </w:rPr>
        <w:t>-</w:t>
      </w:r>
      <w:r>
        <w:rPr>
          <w:rFonts w:cs="Arial"/>
          <w:rtl/>
        </w:rPr>
        <w:t xml:space="preserve"> כבר כתבתי </w:t>
      </w:r>
      <w:r>
        <w:rPr>
          <w:rFonts w:cs="Arial" w:hint="cs"/>
          <w:rtl/>
        </w:rPr>
        <w:t xml:space="preserve">שם </w:t>
      </w:r>
      <w:r w:rsidRPr="00D50519">
        <w:rPr>
          <w:rFonts w:cs="Arial" w:hint="cs"/>
          <w:sz w:val="16"/>
          <w:szCs w:val="16"/>
          <w:rtl/>
        </w:rPr>
        <w:t>(</w:t>
      </w:r>
      <w:r w:rsidRPr="00D50519">
        <w:rPr>
          <w:rFonts w:cs="Arial"/>
          <w:sz w:val="16"/>
          <w:szCs w:val="16"/>
          <w:rtl/>
        </w:rPr>
        <w:t xml:space="preserve">פכ"ה ממלוה ה"ו) </w:t>
      </w:r>
      <w:r>
        <w:rPr>
          <w:rFonts w:cs="Arial"/>
          <w:rtl/>
        </w:rPr>
        <w:t xml:space="preserve">שיש מי שאומר דבכתובה דלא שייך בה </w:t>
      </w:r>
      <w:r>
        <w:rPr>
          <w:rFonts w:cs="Arial" w:hint="cs"/>
          <w:rtl/>
        </w:rPr>
        <w:t>'</w:t>
      </w:r>
      <w:r>
        <w:rPr>
          <w:rFonts w:cs="Arial"/>
          <w:rtl/>
        </w:rPr>
        <w:t>תן לו</w:t>
      </w:r>
      <w:r>
        <w:rPr>
          <w:rFonts w:cs="Arial" w:hint="cs"/>
          <w:rtl/>
        </w:rPr>
        <w:t>',</w:t>
      </w:r>
      <w:r>
        <w:rPr>
          <w:rFonts w:cs="Arial"/>
          <w:rtl/>
        </w:rPr>
        <w:t xml:space="preserve"> שהרי אינה נותנת כלום</w:t>
      </w:r>
      <w:r>
        <w:rPr>
          <w:rFonts w:cs="Arial" w:hint="cs"/>
          <w:rtl/>
        </w:rPr>
        <w:t>,</w:t>
      </w:r>
      <w:r>
        <w:rPr>
          <w:rFonts w:cs="Arial"/>
          <w:rtl/>
        </w:rPr>
        <w:t xml:space="preserve"> שצריך שיתן לה הבעל כסף כתובתה ויאמר לה</w:t>
      </w:r>
      <w:r>
        <w:rPr>
          <w:rFonts w:cs="Arial" w:hint="cs"/>
          <w:sz w:val="16"/>
          <w:szCs w:val="16"/>
          <w:rtl/>
        </w:rPr>
        <w:t xml:space="preserve"> {הערב קבלן}</w:t>
      </w:r>
      <w:r>
        <w:rPr>
          <w:rFonts w:cs="Arial" w:hint="cs"/>
          <w:rtl/>
        </w:rPr>
        <w:t xml:space="preserve"> -</w:t>
      </w:r>
      <w:r>
        <w:rPr>
          <w:rFonts w:cs="Arial"/>
          <w:rtl/>
        </w:rPr>
        <w:t xml:space="preserve"> </w:t>
      </w:r>
      <w:r>
        <w:rPr>
          <w:rFonts w:cs="Arial" w:hint="cs"/>
          <w:rtl/>
        </w:rPr>
        <w:t>'</w:t>
      </w:r>
      <w:r>
        <w:rPr>
          <w:rFonts w:cs="Arial"/>
          <w:rtl/>
        </w:rPr>
        <w:t>תני לו</w:t>
      </w:r>
      <w:r>
        <w:rPr>
          <w:rFonts w:cs="Arial" w:hint="cs"/>
          <w:sz w:val="16"/>
          <w:szCs w:val="16"/>
          <w:rtl/>
        </w:rPr>
        <w:t xml:space="preserve"> {את הכסף חזרה}</w:t>
      </w:r>
      <w:r>
        <w:rPr>
          <w:rFonts w:cs="Arial"/>
          <w:rtl/>
        </w:rPr>
        <w:t xml:space="preserve"> ואני קבלן</w:t>
      </w:r>
      <w:r>
        <w:rPr>
          <w:rFonts w:cs="Arial" w:hint="cs"/>
          <w:rtl/>
        </w:rPr>
        <w:t>'.</w:t>
      </w:r>
      <w:r>
        <w:rPr>
          <w:rFonts w:cs="Arial"/>
          <w:rtl/>
        </w:rPr>
        <w:t xml:space="preserve"> ואין כן דעת רבינו</w:t>
      </w:r>
      <w:r>
        <w:rPr>
          <w:rFonts w:cs="Arial" w:hint="cs"/>
          <w:rtl/>
        </w:rPr>
        <w:t>,</w:t>
      </w:r>
      <w:r>
        <w:rPr>
          <w:rFonts w:cs="Arial"/>
          <w:rtl/>
        </w:rPr>
        <w:t xml:space="preserve"> אלא כל שאמר </w:t>
      </w:r>
      <w:r>
        <w:rPr>
          <w:rFonts w:cs="Arial" w:hint="cs"/>
          <w:rtl/>
        </w:rPr>
        <w:t>'</w:t>
      </w:r>
      <w:r>
        <w:rPr>
          <w:rFonts w:cs="Arial"/>
          <w:rtl/>
        </w:rPr>
        <w:t>הנשאי לו ואני נותן</w:t>
      </w:r>
      <w:r>
        <w:rPr>
          <w:rFonts w:cs="Arial" w:hint="cs"/>
          <w:rtl/>
        </w:rPr>
        <w:t>'</w:t>
      </w:r>
      <w:r>
        <w:rPr>
          <w:rFonts w:cs="Arial"/>
          <w:rtl/>
        </w:rPr>
        <w:t xml:space="preserve"> הרי זה כאומר בעלמא </w:t>
      </w:r>
      <w:r>
        <w:rPr>
          <w:rFonts w:cs="Arial" w:hint="cs"/>
          <w:rtl/>
        </w:rPr>
        <w:t>'</w:t>
      </w:r>
      <w:r>
        <w:rPr>
          <w:rFonts w:cs="Arial"/>
          <w:rtl/>
        </w:rPr>
        <w:t>תן לו ואני נותן</w:t>
      </w:r>
      <w:r>
        <w:rPr>
          <w:rFonts w:cs="Arial" w:hint="cs"/>
          <w:rtl/>
        </w:rPr>
        <w:t>'.</w:t>
      </w:r>
      <w:r>
        <w:rPr>
          <w:rFonts w:cs="Arial"/>
          <w:rtl/>
        </w:rPr>
        <w:t xml:space="preserve"> וזה דעת הרמב"ן ז"ל </w:t>
      </w:r>
      <w:r w:rsidRPr="00D50519">
        <w:rPr>
          <w:rFonts w:cs="Arial"/>
          <w:sz w:val="16"/>
          <w:szCs w:val="16"/>
          <w:rtl/>
        </w:rPr>
        <w:t>(גיטין מט: ד"ה אי)</w:t>
      </w:r>
      <w:r>
        <w:rPr>
          <w:rFonts w:cs="Arial" w:hint="cs"/>
          <w:rtl/>
        </w:rPr>
        <w:t>.</w:t>
      </w:r>
      <w:r>
        <w:rPr>
          <w:rFonts w:cs="Arial"/>
          <w:rtl/>
        </w:rPr>
        <w:t xml:space="preserve"> ועיקר</w:t>
      </w:r>
      <w:r>
        <w:rPr>
          <w:rFonts w:cs="Arial" w:hint="cs"/>
          <w:rtl/>
        </w:rPr>
        <w:t>.</w:t>
      </w:r>
      <w:r>
        <w:rPr>
          <w:rFonts w:cs="Arial"/>
          <w:rtl/>
        </w:rPr>
        <w:t xml:space="preserve"> עכ"ל</w:t>
      </w:r>
      <w:r>
        <w:rPr>
          <w:rFonts w:cs="Arial" w:hint="cs"/>
          <w:rtl/>
        </w:rPr>
        <w:t>, ב"י.</w:t>
      </w:r>
    </w:p>
  </w:footnote>
  <w:footnote w:id="2579">
    <w:p w14:paraId="17670AE1" w14:textId="77777777" w:rsidR="00DF1FC7" w:rsidRDefault="00DF1FC7" w:rsidP="002E5BAD">
      <w:pPr>
        <w:pStyle w:val="a5"/>
        <w:rPr>
          <w:rtl/>
        </w:rPr>
      </w:pPr>
      <w:r>
        <w:rPr>
          <w:rStyle w:val="a7"/>
        </w:rPr>
        <w:footnoteRef/>
      </w:r>
      <w:r>
        <w:rPr>
          <w:rtl/>
        </w:rPr>
        <w:t xml:space="preserve"> </w:t>
      </w:r>
      <w:r>
        <w:rPr>
          <w:rFonts w:hint="cs"/>
          <w:rtl/>
        </w:rPr>
        <w:t xml:space="preserve">בעל התרומות </w:t>
      </w:r>
      <w:r w:rsidRPr="007F5A29">
        <w:rPr>
          <w:rFonts w:hint="cs"/>
          <w:sz w:val="16"/>
          <w:szCs w:val="16"/>
          <w:rtl/>
        </w:rPr>
        <w:t xml:space="preserve">(שער לה ח"א ד"ה </w:t>
      </w:r>
      <w:r w:rsidRPr="007F5A29">
        <w:rPr>
          <w:rFonts w:cs="Arial"/>
          <w:sz w:val="16"/>
          <w:szCs w:val="16"/>
          <w:rtl/>
        </w:rPr>
        <w:t>ואיכא</w:t>
      </w:r>
      <w:r w:rsidRPr="007F5A29">
        <w:rPr>
          <w:rFonts w:cs="Arial" w:hint="cs"/>
          <w:sz w:val="16"/>
          <w:szCs w:val="16"/>
          <w:rtl/>
        </w:rPr>
        <w:t>)</w:t>
      </w:r>
      <w:r>
        <w:rPr>
          <w:rFonts w:cs="Arial" w:hint="cs"/>
          <w:rtl/>
        </w:rPr>
        <w:t xml:space="preserve"> רא"ם ורבותיו</w:t>
      </w:r>
      <w:r>
        <w:rPr>
          <w:rFonts w:cs="Arial" w:hint="cs"/>
          <w:sz w:val="16"/>
          <w:szCs w:val="16"/>
          <w:rtl/>
        </w:rPr>
        <w:t xml:space="preserve"> (כ"כ המרדכי [שם] בשמם)</w:t>
      </w:r>
      <w:r>
        <w:rPr>
          <w:rFonts w:cs="Arial" w:hint="cs"/>
          <w:rtl/>
        </w:rPr>
        <w:t xml:space="preserve"> ריטב"א </w:t>
      </w:r>
      <w:r w:rsidRPr="00282A8B">
        <w:rPr>
          <w:rFonts w:cs="Arial"/>
          <w:sz w:val="16"/>
          <w:szCs w:val="16"/>
          <w:rtl/>
        </w:rPr>
        <w:t>(ב"ב קעד: ד"ה מאי)</w:t>
      </w:r>
      <w:r>
        <w:rPr>
          <w:rFonts w:cs="Arial" w:hint="cs"/>
          <w:rtl/>
        </w:rPr>
        <w:t xml:space="preserve"> הה"מ </w:t>
      </w:r>
      <w:r>
        <w:rPr>
          <w:rFonts w:cs="Arial" w:hint="cs"/>
          <w:sz w:val="16"/>
          <w:szCs w:val="16"/>
          <w:rtl/>
        </w:rPr>
        <w:t>(שם, ושם)</w:t>
      </w:r>
      <w:r w:rsidRPr="00ED06B8">
        <w:rPr>
          <w:rFonts w:cs="Arial" w:hint="cs"/>
          <w:rtl/>
        </w:rPr>
        <w:t xml:space="preserve"> </w:t>
      </w:r>
      <w:r>
        <w:rPr>
          <w:rFonts w:cs="Arial" w:hint="cs"/>
          <w:rtl/>
        </w:rPr>
        <w:t xml:space="preserve">רי"ו </w:t>
      </w:r>
      <w:r w:rsidRPr="00282A8B">
        <w:rPr>
          <w:rFonts w:cs="Arial"/>
          <w:sz w:val="16"/>
          <w:szCs w:val="16"/>
          <w:rtl/>
        </w:rPr>
        <w:t>(מישרים נכ"ג ח"ג נו ע"ב)</w:t>
      </w:r>
      <w:r>
        <w:rPr>
          <w:rFonts w:cs="Arial" w:hint="cs"/>
          <w:sz w:val="14"/>
          <w:szCs w:val="14"/>
          <w:rtl/>
        </w:rPr>
        <w:t xml:space="preserve"> </w:t>
      </w:r>
      <w:r>
        <w:rPr>
          <w:rFonts w:cs="Arial" w:hint="cs"/>
          <w:rtl/>
        </w:rPr>
        <w:t xml:space="preserve">ונמוק"י </w:t>
      </w:r>
      <w:r>
        <w:rPr>
          <w:rFonts w:cs="Arial" w:hint="cs"/>
          <w:sz w:val="16"/>
          <w:szCs w:val="16"/>
          <w:rtl/>
        </w:rPr>
        <w:t>(פא: דיבור אחרון [אמר המחבר])</w:t>
      </w:r>
      <w:r>
        <w:rPr>
          <w:rFonts w:hint="cs"/>
          <w:rtl/>
        </w:rPr>
        <w:t>.</w:t>
      </w:r>
    </w:p>
  </w:footnote>
  <w:footnote w:id="2580">
    <w:p w14:paraId="6719051F" w14:textId="77777777" w:rsidR="00DF1FC7" w:rsidRDefault="00DF1FC7" w:rsidP="002E5BAD">
      <w:pPr>
        <w:pStyle w:val="a5"/>
      </w:pPr>
      <w:r>
        <w:rPr>
          <w:rStyle w:val="a7"/>
        </w:rPr>
        <w:footnoteRef/>
      </w:r>
      <w:r>
        <w:rPr>
          <w:rtl/>
        </w:rPr>
        <w:t xml:space="preserve"> </w:t>
      </w:r>
      <w:r>
        <w:rPr>
          <w:rFonts w:hint="cs"/>
          <w:rtl/>
        </w:rPr>
        <w:t xml:space="preserve">וז"ל- </w:t>
      </w:r>
      <w:r w:rsidRPr="007F5A29">
        <w:rPr>
          <w:rFonts w:cs="Arial"/>
          <w:rtl/>
        </w:rPr>
        <w:t xml:space="preserve">ואיכא מרבואתא דאמרי דדוקא כתובה דאיכא תרי טעמי, מצוה ולאו מידי חסרה, אבל אם הוא ערב בקנין גמור מחמיו או מן האשה להכניס לחתן נדונית האשה </w:t>
      </w:r>
      <w:r>
        <w:rPr>
          <w:rFonts w:cs="Arial" w:hint="cs"/>
          <w:rtl/>
        </w:rPr>
        <w:t xml:space="preserve">- </w:t>
      </w:r>
      <w:r w:rsidRPr="007F5A29">
        <w:rPr>
          <w:rFonts w:cs="Arial"/>
          <w:rtl/>
        </w:rPr>
        <w:t>משתעבד, דהא חסרה, שהרי כנגד השום הוא מוסיף חומש, והוא מתחייב לאשתו בכמה דברים שהבעל מתחייב לה. מיהו אם קודם שנשאה חזר ואמר לו אל תתחייב עצמך אצלה בשביל ערבותי, כי חוזרני בי, מיד נפטר הערב</w:t>
      </w:r>
      <w:r>
        <w:rPr>
          <w:rFonts w:cs="Arial" w:hint="cs"/>
          <w:rtl/>
        </w:rPr>
        <w:t>.</w:t>
      </w:r>
    </w:p>
  </w:footnote>
  <w:footnote w:id="2581">
    <w:p w14:paraId="45E6569F" w14:textId="77777777" w:rsidR="00DF1FC7" w:rsidRDefault="00DF1FC7" w:rsidP="002E5BAD">
      <w:pPr>
        <w:pStyle w:val="a5"/>
      </w:pPr>
      <w:r>
        <w:rPr>
          <w:rStyle w:val="a7"/>
        </w:rPr>
        <w:footnoteRef/>
      </w:r>
      <w:r>
        <w:rPr>
          <w:rtl/>
        </w:rPr>
        <w:t xml:space="preserve"> </w:t>
      </w:r>
      <w:r>
        <w:rPr>
          <w:rFonts w:hint="cs"/>
          <w:rtl/>
        </w:rPr>
        <w:t xml:space="preserve">וז"ל המרדכי בשמם- </w:t>
      </w:r>
      <w:r w:rsidRPr="00C86DD5">
        <w:rPr>
          <w:rFonts w:cs="Arial"/>
          <w:rtl/>
        </w:rPr>
        <w:t xml:space="preserve">אם ערב לחתן בנדוניית אשתו </w:t>
      </w:r>
      <w:r>
        <w:rPr>
          <w:rFonts w:cs="Arial"/>
          <w:rtl/>
        </w:rPr>
        <w:t>–</w:t>
      </w:r>
      <w:r>
        <w:rPr>
          <w:rFonts w:cs="Arial" w:hint="cs"/>
          <w:rtl/>
        </w:rPr>
        <w:t xml:space="preserve"> </w:t>
      </w:r>
      <w:r w:rsidRPr="00C86DD5">
        <w:rPr>
          <w:rFonts w:cs="Arial"/>
          <w:rtl/>
        </w:rPr>
        <w:t>משתעבד</w:t>
      </w:r>
      <w:r>
        <w:rPr>
          <w:rFonts w:cs="Arial" w:hint="cs"/>
          <w:rtl/>
        </w:rPr>
        <w:t>.</w:t>
      </w:r>
    </w:p>
  </w:footnote>
  <w:footnote w:id="2582">
    <w:p w14:paraId="3095DBDE" w14:textId="77777777" w:rsidR="00DF1FC7" w:rsidRDefault="00DF1FC7" w:rsidP="002E5BAD">
      <w:pPr>
        <w:pStyle w:val="a5"/>
        <w:rPr>
          <w:rtl/>
        </w:rPr>
      </w:pPr>
      <w:r>
        <w:rPr>
          <w:rStyle w:val="a7"/>
        </w:rPr>
        <w:footnoteRef/>
      </w:r>
      <w:r>
        <w:rPr>
          <w:rtl/>
        </w:rPr>
        <w:t xml:space="preserve"> </w:t>
      </w:r>
      <w:r>
        <w:rPr>
          <w:rFonts w:hint="cs"/>
          <w:rtl/>
        </w:rPr>
        <w:t xml:space="preserve">וז"ל- </w:t>
      </w:r>
      <w:r w:rsidRPr="00DC0E8B">
        <w:rPr>
          <w:rFonts w:cs="Arial"/>
          <w:rtl/>
        </w:rPr>
        <w:t>אמר המחבר מצוה עבד ולא מידי חסריה. פירש מורי ז"ל בשם רבותיו ז"ל וכן בתוספות</w:t>
      </w:r>
      <w:r w:rsidRPr="00DC0E8B">
        <w:rPr>
          <w:rtl/>
        </w:rPr>
        <w:t xml:space="preserve"> </w:t>
      </w:r>
      <w:r w:rsidRPr="00DC0E8B">
        <w:rPr>
          <w:rFonts w:cs="Arial"/>
          <w:rtl/>
        </w:rPr>
        <w:t>דתרוייהו בעי' להו ולאפוקי ערבות דנדוניא שהביא דהא חסריה</w:t>
      </w:r>
      <w:r>
        <w:rPr>
          <w:rFonts w:cs="Arial" w:hint="cs"/>
          <w:rtl/>
        </w:rPr>
        <w:t>,</w:t>
      </w:r>
      <w:r w:rsidRPr="00DC0E8B">
        <w:rPr>
          <w:rFonts w:cs="Arial"/>
          <w:rtl/>
        </w:rPr>
        <w:t xml:space="preserve"> ולאפוקי המתחייב לחבירו ונכנס זה ערב דלא עביד מצוה דמשתעבד אף על גב דלא חסריה. וכולהו אם קנו מידו משתעבד. הריטב"א ז"ל</w:t>
      </w:r>
      <w:r>
        <w:rPr>
          <w:rFonts w:hint="cs"/>
          <w:rtl/>
        </w:rPr>
        <w:t>.</w:t>
      </w:r>
    </w:p>
  </w:footnote>
  <w:footnote w:id="2583">
    <w:p w14:paraId="00209FC8" w14:textId="77777777" w:rsidR="00DF1FC7" w:rsidRDefault="00DF1FC7" w:rsidP="002E5BAD">
      <w:pPr>
        <w:pStyle w:val="a5"/>
      </w:pPr>
      <w:r>
        <w:rPr>
          <w:rStyle w:val="a7"/>
        </w:rPr>
        <w:footnoteRef/>
      </w:r>
      <w:r>
        <w:rPr>
          <w:rtl/>
        </w:rPr>
        <w:t xml:space="preserve"> </w:t>
      </w:r>
      <w:r>
        <w:rPr>
          <w:rFonts w:cs="Arial" w:hint="cs"/>
          <w:rtl/>
        </w:rPr>
        <w:t>ש</w:t>
      </w:r>
      <w:r w:rsidRPr="00C86DD5">
        <w:rPr>
          <w:rFonts w:cs="Arial"/>
          <w:rtl/>
        </w:rPr>
        <w:t>שם</w:t>
      </w:r>
      <w:r>
        <w:rPr>
          <w:rFonts w:cs="Arial" w:hint="cs"/>
          <w:rtl/>
        </w:rPr>
        <w:t xml:space="preserve"> כתב בשם</w:t>
      </w:r>
      <w:r w:rsidRPr="00C86DD5">
        <w:rPr>
          <w:rFonts w:cs="Arial"/>
          <w:rtl/>
        </w:rPr>
        <w:t xml:space="preserve"> ר' יואל וראב"ן שעשו מעשה בזה ופטרו הער</w:t>
      </w:r>
      <w:r>
        <w:rPr>
          <w:rFonts w:cs="Arial" w:hint="cs"/>
          <w:rtl/>
        </w:rPr>
        <w:t>ב, דרכ"מ (אות ח).</w:t>
      </w:r>
    </w:p>
  </w:footnote>
  <w:footnote w:id="2584">
    <w:p w14:paraId="7E9E5DBF" w14:textId="77777777" w:rsidR="00DF1FC7" w:rsidRDefault="00DF1FC7" w:rsidP="002E5BAD">
      <w:pPr>
        <w:pStyle w:val="a5"/>
      </w:pPr>
      <w:r>
        <w:rPr>
          <w:rStyle w:val="a7"/>
        </w:rPr>
        <w:footnoteRef/>
      </w:r>
      <w:r>
        <w:rPr>
          <w:rtl/>
        </w:rPr>
        <w:t xml:space="preserve"> </w:t>
      </w:r>
      <w:r w:rsidRPr="007F5A29">
        <w:rPr>
          <w:rFonts w:cs="Arial"/>
          <w:rtl/>
        </w:rPr>
        <w:t>ולכולי עלמא מיהא לא עדיף מערב דכתובה</w:t>
      </w:r>
      <w:r>
        <w:rPr>
          <w:rFonts w:cs="Arial" w:hint="cs"/>
          <w:rtl/>
        </w:rPr>
        <w:t>,</w:t>
      </w:r>
      <w:r w:rsidRPr="007F5A29">
        <w:rPr>
          <w:rFonts w:cs="Arial"/>
          <w:rtl/>
        </w:rPr>
        <w:t xml:space="preserve"> ובמקום דערב דכתובה משתעבד</w:t>
      </w:r>
      <w:r>
        <w:rPr>
          <w:rFonts w:cs="Arial" w:hint="cs"/>
          <w:rtl/>
        </w:rPr>
        <w:t>,</w:t>
      </w:r>
      <w:r w:rsidRPr="007F5A29">
        <w:rPr>
          <w:rFonts w:cs="Arial"/>
          <w:rtl/>
        </w:rPr>
        <w:t xml:space="preserve"> כגון בקנין או בערב קבלן</w:t>
      </w:r>
      <w:r>
        <w:rPr>
          <w:rFonts w:cs="Arial" w:hint="cs"/>
          <w:rtl/>
        </w:rPr>
        <w:t xml:space="preserve">, </w:t>
      </w:r>
      <w:r w:rsidRPr="007F5A29">
        <w:rPr>
          <w:rFonts w:cs="Arial"/>
          <w:rtl/>
        </w:rPr>
        <w:t>נדוניא נמי משתעבד</w:t>
      </w:r>
      <w:r>
        <w:rPr>
          <w:rFonts w:cs="Arial" w:hint="cs"/>
          <w:rtl/>
        </w:rPr>
        <w:t>.</w:t>
      </w:r>
      <w:r w:rsidRPr="007F5A29">
        <w:rPr>
          <w:rFonts w:cs="Arial"/>
          <w:rtl/>
        </w:rPr>
        <w:t xml:space="preserve"> וזה פשוט</w:t>
      </w:r>
      <w:r>
        <w:rPr>
          <w:rFonts w:cs="Arial" w:hint="cs"/>
          <w:rtl/>
        </w:rPr>
        <w:t>.</w:t>
      </w:r>
      <w:r w:rsidRPr="007F5A29">
        <w:rPr>
          <w:rFonts w:cs="Arial"/>
          <w:rtl/>
        </w:rPr>
        <w:t xml:space="preserve"> ולא כתבתי אלא להוציא מלבן של טועין ותולין עצמן בדברי המרדכי ואומרים שערב דנדוניא בכל ענין פטור</w:t>
      </w:r>
      <w:r>
        <w:rPr>
          <w:rFonts w:cs="Arial" w:hint="cs"/>
          <w:rtl/>
        </w:rPr>
        <w:t>,</w:t>
      </w:r>
      <w:r w:rsidRPr="007F5A29">
        <w:rPr>
          <w:rFonts w:cs="Arial"/>
          <w:rtl/>
        </w:rPr>
        <w:t xml:space="preserve"> ואינו כן</w:t>
      </w:r>
      <w:r>
        <w:rPr>
          <w:rFonts w:cs="Arial" w:hint="cs"/>
          <w:rtl/>
        </w:rPr>
        <w:t>,</w:t>
      </w:r>
      <w:r w:rsidRPr="007F5A29">
        <w:rPr>
          <w:rFonts w:cs="Arial"/>
          <w:rtl/>
        </w:rPr>
        <w:t xml:space="preserve"> וכן הוא משמע בדברי המרדכי עצמו</w:t>
      </w:r>
      <w:r>
        <w:rPr>
          <w:rFonts w:cs="Arial" w:hint="cs"/>
          <w:rtl/>
        </w:rPr>
        <w:t>, דרכ"מ (אות ח).</w:t>
      </w:r>
    </w:p>
  </w:footnote>
  <w:footnote w:id="2585">
    <w:p w14:paraId="1C7F5B08" w14:textId="77777777" w:rsidR="00DF1FC7" w:rsidRDefault="00DF1FC7" w:rsidP="002E5BAD">
      <w:pPr>
        <w:pStyle w:val="a5"/>
      </w:pPr>
      <w:r>
        <w:rPr>
          <w:rStyle w:val="a7"/>
        </w:rPr>
        <w:footnoteRef/>
      </w:r>
      <w:r>
        <w:rPr>
          <w:rtl/>
        </w:rPr>
        <w:t xml:space="preserve"> </w:t>
      </w:r>
      <w:r>
        <w:rPr>
          <w:rFonts w:cs="Arial"/>
          <w:rtl/>
        </w:rPr>
        <w:t>ו</w:t>
      </w:r>
      <w:r>
        <w:rPr>
          <w:rFonts w:cs="Arial" w:hint="cs"/>
          <w:rtl/>
        </w:rPr>
        <w:t xml:space="preserve">כן איתא </w:t>
      </w:r>
      <w:r>
        <w:rPr>
          <w:rFonts w:cs="Arial"/>
          <w:rtl/>
        </w:rPr>
        <w:t>בפרק שום היתומים (ערכין כג.)</w:t>
      </w:r>
      <w:r>
        <w:rPr>
          <w:rFonts w:cs="Arial" w:hint="cs"/>
          <w:rtl/>
        </w:rPr>
        <w:t>, ב"י.</w:t>
      </w:r>
    </w:p>
  </w:footnote>
  <w:footnote w:id="2586">
    <w:p w14:paraId="5CD40052" w14:textId="77777777" w:rsidR="00DF1FC7" w:rsidRDefault="00DF1FC7" w:rsidP="002E5BAD">
      <w:pPr>
        <w:pStyle w:val="a5"/>
      </w:pPr>
      <w:r>
        <w:rPr>
          <w:rStyle w:val="a7"/>
        </w:rPr>
        <w:footnoteRef/>
      </w:r>
      <w:r>
        <w:rPr>
          <w:rtl/>
        </w:rPr>
        <w:t xml:space="preserve"> </w:t>
      </w:r>
      <w:r w:rsidRPr="005B1BE9">
        <w:rPr>
          <w:rFonts w:cs="Arial"/>
          <w:rtl/>
        </w:rPr>
        <w:t>הבעל הנאה על דעת רבים נדר שאין לו הפרה שלא יוכל להחזירה דחיישינן שמא דעתו להחזיר את אשתו ולאכול כתובתה לאחר שנתקבלה כתובתה מן הערב וקנוניא בעלמא הוא דעבדי בעל ואשתו על נכסיו של ערב</w:t>
      </w:r>
      <w:r>
        <w:rPr>
          <w:rFonts w:cs="Arial" w:hint="cs"/>
          <w:rtl/>
        </w:rPr>
        <w:t>, רשב"ם.</w:t>
      </w:r>
    </w:p>
  </w:footnote>
  <w:footnote w:id="2587">
    <w:p w14:paraId="4C1D2F64" w14:textId="77777777" w:rsidR="00DF1FC7" w:rsidRDefault="00DF1FC7" w:rsidP="002E5BAD">
      <w:pPr>
        <w:pStyle w:val="a5"/>
      </w:pPr>
      <w:r>
        <w:rPr>
          <w:rStyle w:val="a7"/>
        </w:rPr>
        <w:footnoteRef/>
      </w:r>
      <w:r>
        <w:rPr>
          <w:rtl/>
        </w:rPr>
        <w:t xml:space="preserve"> </w:t>
      </w:r>
      <w:r>
        <w:rPr>
          <w:rFonts w:cs="Arial"/>
          <w:rtl/>
        </w:rPr>
        <w:t>ופסקו הרי"ף (פא:) והרא"ש (סי' מד) כהאי תירוצא בתרא דאבא לגבי בריה שעבודי משעביד נפשיה</w:t>
      </w:r>
      <w:r>
        <w:rPr>
          <w:rFonts w:cs="Arial" w:hint="cs"/>
          <w:rtl/>
        </w:rPr>
        <w:t>.</w:t>
      </w:r>
      <w:r>
        <w:rPr>
          <w:rFonts w:cs="Arial"/>
          <w:rtl/>
        </w:rPr>
        <w:t xml:space="preserve"> וכן פסק הרמב"ם בפי"ז מהלכות אישות (ה"ט) ובפכ"ה מהלכות מלוה (ה"ו)</w:t>
      </w:r>
      <w:r>
        <w:rPr>
          <w:rFonts w:cs="Arial" w:hint="cs"/>
          <w:rtl/>
        </w:rPr>
        <w:t>, ב"י</w:t>
      </w:r>
    </w:p>
  </w:footnote>
  <w:footnote w:id="2588">
    <w:p w14:paraId="16AFF4DC" w14:textId="77777777" w:rsidR="00DF1FC7" w:rsidRDefault="00DF1FC7" w:rsidP="002E5BAD">
      <w:pPr>
        <w:pStyle w:val="a5"/>
      </w:pPr>
      <w:r>
        <w:rPr>
          <w:rStyle w:val="a7"/>
        </w:rPr>
        <w:footnoteRef/>
      </w:r>
      <w:r>
        <w:rPr>
          <w:rtl/>
        </w:rPr>
        <w:t xml:space="preserve"> </w:t>
      </w:r>
      <w:r w:rsidRPr="009521FA">
        <w:rPr>
          <w:rFonts w:cs="Arial"/>
          <w:rtl/>
        </w:rPr>
        <w:t>דלא גמר בלבו לשעבד נפשיה ואינו אלא פטומי מילי שירא להפסיד ואיכא למימר אמוראי פליגי בהא מילתא ושמעתייהו לא איתפרשו בגמ'</w:t>
      </w:r>
      <w:r>
        <w:rPr>
          <w:rFonts w:cs="Arial" w:hint="cs"/>
          <w:rtl/>
        </w:rPr>
        <w:t>, רשב"ם.</w:t>
      </w:r>
    </w:p>
  </w:footnote>
  <w:footnote w:id="2589">
    <w:p w14:paraId="7751541D" w14:textId="77777777" w:rsidR="00DF1FC7" w:rsidRDefault="00DF1FC7" w:rsidP="002E5BAD">
      <w:pPr>
        <w:pStyle w:val="a5"/>
      </w:pPr>
      <w:r>
        <w:rPr>
          <w:rStyle w:val="a7"/>
        </w:rPr>
        <w:footnoteRef/>
      </w:r>
      <w:r>
        <w:rPr>
          <w:rtl/>
        </w:rPr>
        <w:t xml:space="preserve"> </w:t>
      </w:r>
      <w:r w:rsidRPr="009521FA">
        <w:rPr>
          <w:rFonts w:cs="Arial"/>
          <w:rtl/>
        </w:rPr>
        <w:t>אף על גב דלית ליה נכסי</w:t>
      </w:r>
      <w:r>
        <w:rPr>
          <w:rFonts w:cs="Arial" w:hint="cs"/>
          <w:rtl/>
        </w:rPr>
        <w:t>, רשב"ם.</w:t>
      </w:r>
    </w:p>
  </w:footnote>
  <w:footnote w:id="2590">
    <w:p w14:paraId="0614E595" w14:textId="77777777" w:rsidR="00DF1FC7" w:rsidRDefault="00DF1FC7" w:rsidP="002E5BAD">
      <w:pPr>
        <w:pStyle w:val="a5"/>
        <w:rPr>
          <w:rtl/>
        </w:rPr>
      </w:pPr>
      <w:r>
        <w:rPr>
          <w:rStyle w:val="a7"/>
        </w:rPr>
        <w:footnoteRef/>
      </w:r>
      <w:r>
        <w:rPr>
          <w:rtl/>
        </w:rPr>
        <w:t xml:space="preserve"> </w:t>
      </w:r>
      <w:r w:rsidRPr="00A16411">
        <w:rPr>
          <w:rFonts w:cs="Arial"/>
          <w:rtl/>
        </w:rPr>
        <w:t>המשדך בזיווגן אין דעתו לפרוע הערבות אבל מתכוין לזווגן שע"י ערבות זו מתרצין ולא מידי חסרה לאשה דהא טב למיתב טן דו ולטובתה נתכוין</w:t>
      </w:r>
      <w:r>
        <w:rPr>
          <w:rFonts w:hint="cs"/>
          <w:rtl/>
        </w:rPr>
        <w:t>, רשב"ם.</w:t>
      </w:r>
    </w:p>
  </w:footnote>
  <w:footnote w:id="2591">
    <w:p w14:paraId="6AB84125" w14:textId="77777777" w:rsidR="00DF1FC7" w:rsidRDefault="00DF1FC7" w:rsidP="002E5BAD">
      <w:pPr>
        <w:pStyle w:val="a5"/>
      </w:pPr>
      <w:r>
        <w:rPr>
          <w:rStyle w:val="a7"/>
        </w:rPr>
        <w:footnoteRef/>
      </w:r>
      <w:r>
        <w:rPr>
          <w:rtl/>
        </w:rPr>
        <w:t xml:space="preserve"> </w:t>
      </w:r>
      <w:r w:rsidRPr="007C06B1">
        <w:rPr>
          <w:rFonts w:cs="Arial"/>
          <w:rtl/>
        </w:rPr>
        <w:t>בגליון ש"ע דהגר"ע זצ"ל נ"ב עי' תשו' הרמ"א סי' ל"ג דנראה דס"ל בפשיטות דדוקא לכתחל</w:t>
      </w:r>
      <w:r>
        <w:rPr>
          <w:rFonts w:cs="Arial" w:hint="cs"/>
          <w:rtl/>
        </w:rPr>
        <w:t>ה</w:t>
      </w:r>
      <w:r w:rsidRPr="007C06B1">
        <w:rPr>
          <w:rFonts w:cs="Arial"/>
          <w:rtl/>
        </w:rPr>
        <w:t xml:space="preserve"> שהב"ד שמגרש לפניהם יזהרו בזה אבל אם גירשה ולא הדירה ודאי גובאת כתובת' ע"ש וצ"ע עכ"ל</w:t>
      </w:r>
      <w:r>
        <w:rPr>
          <w:rFonts w:cs="Arial" w:hint="cs"/>
          <w:rtl/>
        </w:rPr>
        <w:t>, פת"ש (סק"ז).</w:t>
      </w:r>
    </w:p>
  </w:footnote>
  <w:footnote w:id="2592">
    <w:p w14:paraId="39A8153D" w14:textId="77777777" w:rsidR="00DF1FC7" w:rsidRDefault="00DF1FC7" w:rsidP="002E5BAD">
      <w:pPr>
        <w:pStyle w:val="a5"/>
        <w:rPr>
          <w:rtl/>
        </w:rPr>
      </w:pPr>
      <w:r>
        <w:rPr>
          <w:rStyle w:val="a7"/>
        </w:rPr>
        <w:footnoteRef/>
      </w:r>
      <w:r>
        <w:rPr>
          <w:rtl/>
        </w:rPr>
        <w:t xml:space="preserve"> </w:t>
      </w:r>
      <w:r w:rsidRPr="00E92556">
        <w:rPr>
          <w:rFonts w:cs="Arial"/>
          <w:rtl/>
        </w:rPr>
        <w:t>כלומר אולי לא ידע האב דין זה שצריך להדיר הנאה ומשמע ודאי אם האב פקח צריך להדיר הנאה ממנה קודם שישלם לה הכתובה</w:t>
      </w:r>
      <w:r>
        <w:rPr>
          <w:rFonts w:hint="cs"/>
          <w:rtl/>
        </w:rPr>
        <w:t>, ח"מ (סקכ"א).</w:t>
      </w:r>
    </w:p>
  </w:footnote>
  <w:footnote w:id="2593">
    <w:p w14:paraId="0043951D" w14:textId="77777777" w:rsidR="00DF1FC7" w:rsidRDefault="00DF1FC7" w:rsidP="002E5BAD">
      <w:pPr>
        <w:pStyle w:val="a5"/>
      </w:pPr>
      <w:r>
        <w:rPr>
          <w:rStyle w:val="a7"/>
        </w:rPr>
        <w:footnoteRef/>
      </w:r>
      <w:r>
        <w:rPr>
          <w:rtl/>
        </w:rPr>
        <w:t xml:space="preserve"> </w:t>
      </w:r>
      <w:r w:rsidRPr="00E92556">
        <w:rPr>
          <w:rFonts w:cs="Arial"/>
          <w:rtl/>
        </w:rPr>
        <w:t>הכוונה היתה שלא יתן לבעל חצי החוב בלי רצונה וגם לא יתן לה חצי החוב בלי רצון בעלה עד שיסכימו שניהם בגביית החוב ואז הרשות בידם לגבות אף בלא עת גביית כתובתה אבל כל שתבא היא לגבות כתובתה הדבר ברור שיכולה לגבות החוב דאם לא כן אין כאן ערבות דבמיתת הבעל אינו שיתבע ובגירושין ודאי לא יסכים עמה וא"כ נפל פתא בבירא וכו' גדולה מזו וכו' בין בחייו בין במותו וכו' ותביעת האשה כתביעת הבעל וכו' עיין בגוף התשובה שהאריך וכתב מילת' בטעמ' בסי' תפ"א</w:t>
      </w:r>
      <w:r>
        <w:rPr>
          <w:rFonts w:cs="Arial" w:hint="cs"/>
          <w:rtl/>
        </w:rPr>
        <w:t>, ח"מ (סקכ"ב).</w:t>
      </w:r>
    </w:p>
  </w:footnote>
  <w:footnote w:id="2594">
    <w:p w14:paraId="3BBC25BE" w14:textId="77777777" w:rsidR="00DF1FC7" w:rsidRDefault="00DF1FC7" w:rsidP="002E5BAD">
      <w:pPr>
        <w:pStyle w:val="a5"/>
      </w:pPr>
      <w:r>
        <w:rPr>
          <w:rStyle w:val="a7"/>
        </w:rPr>
        <w:footnoteRef/>
      </w:r>
      <w:r>
        <w:rPr>
          <w:rtl/>
        </w:rPr>
        <w:t xml:space="preserve"> </w:t>
      </w:r>
      <w:r w:rsidRPr="00E05F1F">
        <w:rPr>
          <w:rFonts w:cs="Arial"/>
          <w:rtl/>
        </w:rPr>
        <w:t>ידור שלא יחזירנה לעולם דשמא משום ערמה מגרש לה שתגבה כתובתה מן ההקדש ויחזירנה</w:t>
      </w:r>
      <w:r>
        <w:rPr>
          <w:rFonts w:cs="Arial" w:hint="cs"/>
          <w:rtl/>
        </w:rPr>
        <w:t>, רש"י</w:t>
      </w:r>
      <w:r w:rsidRPr="00E05F1F">
        <w:rPr>
          <w:rFonts w:cs="Arial"/>
          <w:rtl/>
        </w:rPr>
        <w:t>.</w:t>
      </w:r>
    </w:p>
  </w:footnote>
  <w:footnote w:id="2595">
    <w:p w14:paraId="3C00CA4F" w14:textId="77777777" w:rsidR="00DF1FC7" w:rsidRDefault="00DF1FC7" w:rsidP="002E5BAD">
      <w:pPr>
        <w:pStyle w:val="a5"/>
        <w:rPr>
          <w:rtl/>
        </w:rPr>
      </w:pPr>
      <w:r>
        <w:rPr>
          <w:rStyle w:val="a7"/>
        </w:rPr>
        <w:footnoteRef/>
      </w:r>
      <w:r>
        <w:rPr>
          <w:rtl/>
        </w:rPr>
        <w:t xml:space="preserve"> </w:t>
      </w:r>
      <w:r w:rsidRPr="00D85951">
        <w:rPr>
          <w:rFonts w:cs="Arial"/>
          <w:rtl/>
        </w:rPr>
        <w:t>בניחותא דבשאלה פליגי</w:t>
      </w:r>
      <w:r>
        <w:rPr>
          <w:rFonts w:hint="cs"/>
          <w:rtl/>
        </w:rPr>
        <w:t>, רש"י.</w:t>
      </w:r>
    </w:p>
  </w:footnote>
  <w:footnote w:id="2596">
    <w:p w14:paraId="055E0A3A" w14:textId="77777777" w:rsidR="00DF1FC7" w:rsidRDefault="00DF1FC7" w:rsidP="002E5BAD">
      <w:pPr>
        <w:pStyle w:val="a5"/>
      </w:pPr>
      <w:r>
        <w:rPr>
          <w:rStyle w:val="a7"/>
        </w:rPr>
        <w:footnoteRef/>
      </w:r>
      <w:r>
        <w:rPr>
          <w:rtl/>
        </w:rPr>
        <w:t xml:space="preserve"> </w:t>
      </w:r>
      <w:r w:rsidRPr="00D85951">
        <w:rPr>
          <w:rFonts w:cs="Arial"/>
          <w:rtl/>
        </w:rPr>
        <w:t>מחלוקת ר"א ורבי יהושע היינו נמי מחלוקת ב"ש וב"ה</w:t>
      </w:r>
      <w:r>
        <w:rPr>
          <w:rFonts w:cs="Arial" w:hint="cs"/>
          <w:rtl/>
        </w:rPr>
        <w:t>, רש"י.</w:t>
      </w:r>
    </w:p>
  </w:footnote>
  <w:footnote w:id="2597">
    <w:p w14:paraId="03BAF82A" w14:textId="77777777" w:rsidR="00DF1FC7" w:rsidRDefault="00DF1FC7" w:rsidP="002E5BAD">
      <w:pPr>
        <w:pStyle w:val="a5"/>
      </w:pPr>
      <w:r>
        <w:rPr>
          <w:rStyle w:val="a7"/>
        </w:rPr>
        <w:footnoteRef/>
      </w:r>
      <w:r>
        <w:rPr>
          <w:rtl/>
        </w:rPr>
        <w:t xml:space="preserve"> </w:t>
      </w:r>
      <w:r w:rsidRPr="00D85951">
        <w:rPr>
          <w:rFonts w:cs="Arial"/>
          <w:rtl/>
        </w:rPr>
        <w:t>ואין שאלה להקדש</w:t>
      </w:r>
      <w:r>
        <w:rPr>
          <w:rFonts w:cs="Arial" w:hint="cs"/>
          <w:rtl/>
        </w:rPr>
        <w:t>.</w:t>
      </w:r>
      <w:r w:rsidRPr="00D85951">
        <w:rPr>
          <w:rFonts w:cs="Arial"/>
          <w:rtl/>
        </w:rPr>
        <w:t xml:space="preserve"> הקדש טעות </w:t>
      </w:r>
      <w:r>
        <w:rPr>
          <w:rFonts w:cs="Arial" w:hint="cs"/>
          <w:rtl/>
        </w:rPr>
        <w:t xml:space="preserve">- </w:t>
      </w:r>
      <w:r w:rsidRPr="00D85951">
        <w:rPr>
          <w:rFonts w:cs="Arial"/>
          <w:rtl/>
        </w:rPr>
        <w:t>כגון שור לבן היוצא מביתי הקדש</w:t>
      </w:r>
      <w:r>
        <w:rPr>
          <w:rFonts w:cs="Arial" w:hint="cs"/>
          <w:rtl/>
        </w:rPr>
        <w:t>,</w:t>
      </w:r>
      <w:r w:rsidRPr="00D85951">
        <w:rPr>
          <w:rFonts w:cs="Arial"/>
          <w:rtl/>
        </w:rPr>
        <w:t xml:space="preserve"> ונמצא שחור</w:t>
      </w:r>
      <w:r>
        <w:rPr>
          <w:rFonts w:cs="Arial" w:hint="cs"/>
          <w:rtl/>
        </w:rPr>
        <w:t>, רש"י.</w:t>
      </w:r>
    </w:p>
  </w:footnote>
  <w:footnote w:id="2598">
    <w:p w14:paraId="36CF135D" w14:textId="77777777" w:rsidR="00DF1FC7" w:rsidRDefault="00DF1FC7" w:rsidP="002E5BAD">
      <w:pPr>
        <w:pStyle w:val="a5"/>
      </w:pPr>
      <w:r>
        <w:rPr>
          <w:rStyle w:val="a7"/>
        </w:rPr>
        <w:footnoteRef/>
      </w:r>
      <w:r>
        <w:rPr>
          <w:rtl/>
        </w:rPr>
        <w:t xml:space="preserve"> </w:t>
      </w:r>
      <w:r>
        <w:rPr>
          <w:rFonts w:hint="cs"/>
          <w:rtl/>
        </w:rPr>
        <w:t xml:space="preserve">וז"ל- </w:t>
      </w:r>
      <w:r w:rsidRPr="00F12D69">
        <w:rPr>
          <w:rFonts w:cs="Arial"/>
          <w:rtl/>
        </w:rPr>
        <w:t>יש כאן מקום עיון ולפי המסקנ' בערכין שם פליגי בזה ר"א ור"י במקדיש נכסיו צריך להדירה וקמפלגי בפלוגת' ב"ש וב"ה ר"י ס"ל כב"ה הקדש בטעו' לא הוי הקדש ויכול לשאול ולהתיר לעצמו א"כ אין צריך להדירה ולא חיישינן לקנוני' דהא יש בידו להתיר ולשאול על הקדש ור"א ס"ל כב"ש דאין שאלה בהקדש מ"ה חיישינן לקנוני' וצריך לנדר לפ"ז הלכה כב"ה וכר"י דאין חוששין לקנוני' ואין צריך לנדר והמחבר פסק לא תגבה עד שידירנה וכן כתבו תוס' וקשה למה לא פסק כב"ה ול"ד לברי' דחיישינן לקנוני' כמ"ש בח"ה סי' רנ"ה משום שם אינו עושה שום מעשה משא"כ לגרש אין מגרש בשביל כן כיון בידו לשאול וכן קשה ברמב"ם פי"ז ה"א ופ"ז ה' ערכין ובהרא"ש פרק אלמנה ניזונת וכן תמה עליו הר"ן ועיין בכ"מ שם ובתשובת רבינו בצלאל סי' ט"ו ובתי"ט בערכין ובש"ד סי' רנ"ה</w:t>
      </w:r>
      <w:r>
        <w:rPr>
          <w:rFonts w:cs="Arial" w:hint="cs"/>
          <w:rtl/>
        </w:rPr>
        <w:t>.</w:t>
      </w:r>
    </w:p>
  </w:footnote>
  <w:footnote w:id="2599">
    <w:p w14:paraId="4126A1CA" w14:textId="77777777" w:rsidR="00DF1FC7" w:rsidRDefault="00DF1FC7" w:rsidP="002E5BAD">
      <w:pPr>
        <w:pStyle w:val="a5"/>
      </w:pPr>
      <w:r>
        <w:rPr>
          <w:rStyle w:val="a7"/>
        </w:rPr>
        <w:footnoteRef/>
      </w:r>
      <w:r>
        <w:rPr>
          <w:rtl/>
        </w:rPr>
        <w:t xml:space="preserve"> </w:t>
      </w:r>
      <w:r>
        <w:rPr>
          <w:rFonts w:hint="cs"/>
          <w:rtl/>
        </w:rPr>
        <w:t>וז"ל-</w:t>
      </w:r>
      <w:r>
        <w:rPr>
          <w:rFonts w:cs="Arial" w:hint="cs"/>
          <w:rtl/>
        </w:rPr>
        <w:t xml:space="preserve"> </w:t>
      </w:r>
      <w:r w:rsidRPr="00E959CB">
        <w:rPr>
          <w:rFonts w:cs="Arial"/>
          <w:rtl/>
        </w:rPr>
        <w:t>נ"ל מההוא עובדא דההוא גברא דזביננהו ואמרו שם (כג</w:t>
      </w:r>
      <w:r>
        <w:rPr>
          <w:rFonts w:cs="Arial" w:hint="cs"/>
          <w:rtl/>
        </w:rPr>
        <w:t>:</w:t>
      </w:r>
      <w:r w:rsidRPr="00E959CB">
        <w:rPr>
          <w:rFonts w:cs="Arial"/>
          <w:rtl/>
        </w:rPr>
        <w:t>) ערב תנן הקדש תנן משמע דפסק כמ"ד דידירנה הנאה</w:t>
      </w:r>
      <w:r>
        <w:rPr>
          <w:rFonts w:cs="Arial" w:hint="cs"/>
          <w:rtl/>
        </w:rPr>
        <w:t>.</w:t>
      </w:r>
    </w:p>
  </w:footnote>
  <w:footnote w:id="2600">
    <w:p w14:paraId="02199568" w14:textId="77777777" w:rsidR="00DF1FC7" w:rsidRDefault="00DF1FC7" w:rsidP="002E5BAD">
      <w:pPr>
        <w:pStyle w:val="a5"/>
      </w:pPr>
      <w:r>
        <w:rPr>
          <w:rStyle w:val="a7"/>
        </w:rPr>
        <w:footnoteRef/>
      </w:r>
      <w:r>
        <w:rPr>
          <w:rtl/>
        </w:rPr>
        <w:t xml:space="preserve"> </w:t>
      </w:r>
      <w:r w:rsidRPr="00E959CB">
        <w:rPr>
          <w:rFonts w:cs="Arial"/>
          <w:rtl/>
        </w:rPr>
        <w:t xml:space="preserve">וכתב רבינו </w:t>
      </w:r>
      <w:r>
        <w:rPr>
          <w:rFonts w:cs="Arial" w:hint="cs"/>
          <w:rtl/>
        </w:rPr>
        <w:t>'</w:t>
      </w:r>
      <w:r w:rsidRPr="00E959CB">
        <w:rPr>
          <w:rFonts w:cs="Arial"/>
          <w:rtl/>
        </w:rPr>
        <w:t>ואח"כ תפרע מן הפודה מיד ההקדש</w:t>
      </w:r>
      <w:r>
        <w:rPr>
          <w:rFonts w:cs="Arial" w:hint="cs"/>
          <w:rtl/>
        </w:rPr>
        <w:t>'</w:t>
      </w:r>
      <w:r w:rsidRPr="00E959CB">
        <w:rPr>
          <w:rFonts w:cs="Arial"/>
          <w:rtl/>
        </w:rPr>
        <w:t xml:space="preserve"> לפי שמן ההקדש עצמו אינה נפרעת אלא אחר שיצא לפדיון על הדרך שנתבאר פי"ח מהלכות מלוה ולוה</w:t>
      </w:r>
      <w:r>
        <w:rPr>
          <w:rFonts w:cs="Arial" w:hint="cs"/>
          <w:rtl/>
        </w:rPr>
        <w:t>, הה"מ (שם).</w:t>
      </w:r>
      <w:r>
        <w:rPr>
          <w:rFonts w:hint="cs"/>
          <w:rtl/>
        </w:rPr>
        <w:t xml:space="preserve"> וז"ל הרמב"ם שם (פי"ח ממלוה ה"ז)- </w:t>
      </w:r>
      <w:r w:rsidRPr="00CD7E2D">
        <w:rPr>
          <w:rFonts w:cs="Arial"/>
          <w:rtl/>
        </w:rPr>
        <w:t>המקדיש נכסיו אין בעל חוב יכול לטרוף מן ההקדש שההקדש מפקיע השיעבוד וכשפודין הקרקע מיד ההקדש אומדין כמה אדם רוצה ליתן בשדה זו על מנת שיתן לבעל חוב את חובו ולאשה כתובתה, לפיכך לכשתפדה ותצא לחולין ביד הלוקח יבא בעל חוב ויטרוף אותה או האשה בכתובתה כמו שביארנו בערכין.</w:t>
      </w:r>
    </w:p>
  </w:footnote>
  <w:footnote w:id="2601">
    <w:p w14:paraId="2A857426" w14:textId="77777777" w:rsidR="00DF1FC7" w:rsidRDefault="00DF1FC7" w:rsidP="002E5BAD">
      <w:pPr>
        <w:pStyle w:val="a5"/>
      </w:pPr>
      <w:r>
        <w:rPr>
          <w:rStyle w:val="a7"/>
        </w:rPr>
        <w:footnoteRef/>
      </w:r>
      <w:r>
        <w:rPr>
          <w:rtl/>
        </w:rPr>
        <w:t xml:space="preserve"> </w:t>
      </w:r>
      <w:r w:rsidRPr="00F12D69">
        <w:rPr>
          <w:rFonts w:cs="Arial"/>
          <w:rtl/>
        </w:rPr>
        <w:t>וכשבא לגבות מן ההקדש צריך לפדות תחלה ע"מ לשלם לב"ח וכמבואר בח"מ סי' קיז</w:t>
      </w:r>
      <w:r>
        <w:rPr>
          <w:rFonts w:cs="Arial" w:hint="cs"/>
          <w:rtl/>
        </w:rPr>
        <w:t xml:space="preserve">, ח"מ </w:t>
      </w:r>
      <w:r w:rsidRPr="00540F3E">
        <w:rPr>
          <w:rFonts w:cs="Arial" w:hint="cs"/>
          <w:sz w:val="16"/>
          <w:szCs w:val="16"/>
          <w:rtl/>
        </w:rPr>
        <w:t>(סקכ"ג)</w:t>
      </w:r>
      <w:r>
        <w:rPr>
          <w:rFonts w:cs="Arial" w:hint="cs"/>
          <w:rtl/>
        </w:rPr>
        <w:t>.</w:t>
      </w:r>
      <w:r>
        <w:rPr>
          <w:rFonts w:hint="cs"/>
          <w:rtl/>
        </w:rPr>
        <w:t xml:space="preserve"> </w:t>
      </w:r>
      <w:r>
        <w:rPr>
          <w:rFonts w:cs="Arial" w:hint="cs"/>
          <w:rtl/>
        </w:rPr>
        <w:t>ו</w:t>
      </w:r>
      <w:r w:rsidRPr="00540F3E">
        <w:rPr>
          <w:rFonts w:cs="Arial"/>
          <w:rtl/>
        </w:rPr>
        <w:t xml:space="preserve">עי' בס' ישועות יעקב </w:t>
      </w:r>
      <w:r w:rsidRPr="00540F3E">
        <w:rPr>
          <w:rFonts w:cs="Arial" w:hint="cs"/>
          <w:sz w:val="16"/>
          <w:szCs w:val="16"/>
          <w:rtl/>
        </w:rPr>
        <w:t>(</w:t>
      </w:r>
      <w:r w:rsidRPr="00540F3E">
        <w:rPr>
          <w:rFonts w:cs="Arial"/>
          <w:sz w:val="16"/>
          <w:szCs w:val="16"/>
          <w:rtl/>
        </w:rPr>
        <w:t>סק"ה</w:t>
      </w:r>
      <w:r>
        <w:rPr>
          <w:rFonts w:cs="Arial" w:hint="cs"/>
          <w:sz w:val="16"/>
          <w:szCs w:val="16"/>
          <w:rtl/>
        </w:rPr>
        <w:t>)</w:t>
      </w:r>
      <w:r w:rsidRPr="00540F3E">
        <w:rPr>
          <w:rFonts w:cs="Arial"/>
          <w:sz w:val="16"/>
          <w:szCs w:val="16"/>
          <w:rtl/>
        </w:rPr>
        <w:t xml:space="preserve"> </w:t>
      </w:r>
      <w:r w:rsidRPr="00540F3E">
        <w:rPr>
          <w:rFonts w:cs="Arial"/>
          <w:rtl/>
        </w:rPr>
        <w:t>שכ' טעם נכון למה בסע</w:t>
      </w:r>
      <w:r>
        <w:rPr>
          <w:rFonts w:cs="Arial" w:hint="cs"/>
          <w:rtl/>
        </w:rPr>
        <w:t>'</w:t>
      </w:r>
      <w:r w:rsidRPr="00540F3E">
        <w:rPr>
          <w:rFonts w:cs="Arial"/>
          <w:rtl/>
        </w:rPr>
        <w:t xml:space="preserve"> הקודם כתב בש"ע שידירנה הנאה ע"ד רבים וכאן נקט סתם ידירנה ולא הזכיר ע"ד רבים</w:t>
      </w:r>
      <w:r>
        <w:rPr>
          <w:rFonts w:cs="Arial" w:hint="cs"/>
          <w:rtl/>
        </w:rPr>
        <w:t>, פת"ש</w:t>
      </w:r>
      <w:r w:rsidRPr="00540F3E">
        <w:rPr>
          <w:rFonts w:cs="Arial" w:hint="cs"/>
          <w:sz w:val="16"/>
          <w:szCs w:val="16"/>
          <w:rtl/>
        </w:rPr>
        <w:t xml:space="preserve"> (סק"ח)</w:t>
      </w:r>
      <w:r>
        <w:rPr>
          <w:rFonts w:cs="Arial" w:hint="cs"/>
          <w:rtl/>
        </w:rPr>
        <w:t>.</w:t>
      </w:r>
    </w:p>
  </w:footnote>
  <w:footnote w:id="2602">
    <w:p w14:paraId="5CC5A694" w14:textId="77777777" w:rsidR="00DF1FC7" w:rsidRDefault="00DF1FC7" w:rsidP="002E5BAD">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2603">
    <w:p w14:paraId="25946544" w14:textId="77777777" w:rsidR="00DF1FC7" w:rsidRDefault="00DF1FC7" w:rsidP="002E5BAD">
      <w:pPr>
        <w:pStyle w:val="a5"/>
        <w:rPr>
          <w:rtl/>
        </w:rPr>
      </w:pPr>
      <w:r>
        <w:rPr>
          <w:rStyle w:val="a7"/>
        </w:rPr>
        <w:footnoteRef/>
      </w:r>
      <w:r>
        <w:rPr>
          <w:rtl/>
        </w:rPr>
        <w:t xml:space="preserve"> </w:t>
      </w:r>
      <w:r w:rsidRPr="00936F3C">
        <w:rPr>
          <w:rFonts w:cs="Arial"/>
          <w:rtl/>
        </w:rPr>
        <w:t>שהיא מוכרת למזונות מוכרת שלא בבית דין</w:t>
      </w:r>
      <w:r>
        <w:rPr>
          <w:rFonts w:hint="cs"/>
          <w:rtl/>
        </w:rPr>
        <w:t>, רש"י.</w:t>
      </w:r>
    </w:p>
  </w:footnote>
  <w:footnote w:id="2604">
    <w:p w14:paraId="48FDB1F3" w14:textId="77777777" w:rsidR="00DF1FC7" w:rsidRDefault="00DF1FC7" w:rsidP="002E5BAD">
      <w:pPr>
        <w:pStyle w:val="a5"/>
      </w:pPr>
      <w:r>
        <w:rPr>
          <w:rStyle w:val="a7"/>
        </w:rPr>
        <w:footnoteRef/>
      </w:r>
      <w:r>
        <w:rPr>
          <w:rtl/>
        </w:rPr>
        <w:t xml:space="preserve"> </w:t>
      </w:r>
      <w:r w:rsidRPr="00936F3C">
        <w:rPr>
          <w:rFonts w:cs="Arial"/>
          <w:rtl/>
        </w:rPr>
        <w:t>שהיא מוכרת למזונות</w:t>
      </w:r>
      <w:r>
        <w:rPr>
          <w:rFonts w:cs="Arial" w:hint="cs"/>
          <w:rtl/>
        </w:rPr>
        <w:t>, רש"י.</w:t>
      </w:r>
    </w:p>
  </w:footnote>
  <w:footnote w:id="2605">
    <w:p w14:paraId="47A0A5B9" w14:textId="77777777" w:rsidR="00DF1FC7" w:rsidRDefault="00DF1FC7" w:rsidP="002E5BAD">
      <w:pPr>
        <w:pStyle w:val="a5"/>
      </w:pPr>
      <w:r>
        <w:rPr>
          <w:rStyle w:val="a7"/>
        </w:rPr>
        <w:footnoteRef/>
      </w:r>
      <w:r>
        <w:rPr>
          <w:rtl/>
        </w:rPr>
        <w:t xml:space="preserve"> </w:t>
      </w:r>
      <w:r w:rsidRPr="00936F3C">
        <w:rPr>
          <w:rFonts w:cs="Arial"/>
          <w:rtl/>
        </w:rPr>
        <w:t>שאי אפשר לה להיות יושבת ומתענה עד שיזדקקו לה בית דין אבל מן האירוסין שאין מכירתה אלא לכתובה לא תמכור אלא בבית דין</w:t>
      </w:r>
      <w:r>
        <w:rPr>
          <w:rFonts w:cs="Arial" w:hint="cs"/>
          <w:rtl/>
        </w:rPr>
        <w:t>, רשי.</w:t>
      </w:r>
    </w:p>
  </w:footnote>
  <w:footnote w:id="2606">
    <w:p w14:paraId="79027A01" w14:textId="77777777" w:rsidR="00DF1FC7" w:rsidRDefault="00DF1FC7" w:rsidP="002E5BAD">
      <w:pPr>
        <w:pStyle w:val="a5"/>
      </w:pPr>
      <w:r>
        <w:rPr>
          <w:rStyle w:val="a7"/>
        </w:rPr>
        <w:footnoteRef/>
      </w:r>
      <w:r>
        <w:rPr>
          <w:rtl/>
        </w:rPr>
        <w:t xml:space="preserve"> </w:t>
      </w:r>
      <w:r>
        <w:rPr>
          <w:rFonts w:hint="cs"/>
          <w:rtl/>
        </w:rPr>
        <w:t xml:space="preserve">לפנינו בגמרא איתא </w:t>
      </w:r>
      <w:r>
        <w:rPr>
          <w:rtl/>
        </w:rPr>
        <w:t>–</w:t>
      </w:r>
      <w:r>
        <w:rPr>
          <w:rFonts w:hint="cs"/>
          <w:rtl/>
        </w:rPr>
        <w:t xml:space="preserve"> ר' יוחנן. אך הרי"ף (נו:) הר"ן (שם) והב"י כתבו </w:t>
      </w:r>
      <w:r>
        <w:rPr>
          <w:rtl/>
        </w:rPr>
        <w:t>–</w:t>
      </w:r>
      <w:r>
        <w:rPr>
          <w:rFonts w:hint="cs"/>
          <w:rtl/>
        </w:rPr>
        <w:t xml:space="preserve"> 'רב יהודה'.</w:t>
      </w:r>
    </w:p>
  </w:footnote>
  <w:footnote w:id="2607">
    <w:p w14:paraId="6F0F635C" w14:textId="77777777" w:rsidR="00DF1FC7" w:rsidRDefault="00DF1FC7" w:rsidP="002E5BAD">
      <w:pPr>
        <w:pStyle w:val="a5"/>
      </w:pPr>
      <w:r>
        <w:rPr>
          <w:rStyle w:val="a7"/>
        </w:rPr>
        <w:footnoteRef/>
      </w:r>
      <w:r>
        <w:rPr>
          <w:rtl/>
        </w:rPr>
        <w:t xml:space="preserve"> </w:t>
      </w:r>
      <w:r w:rsidRPr="001D66A0">
        <w:rPr>
          <w:rFonts w:cs="Arial"/>
          <w:rtl/>
        </w:rPr>
        <w:t>שלא גבתה יותר</w:t>
      </w:r>
      <w:r>
        <w:rPr>
          <w:rFonts w:cs="Arial" w:hint="cs"/>
          <w:rtl/>
        </w:rPr>
        <w:t>, רש"י.</w:t>
      </w:r>
    </w:p>
  </w:footnote>
  <w:footnote w:id="2608">
    <w:p w14:paraId="3C63A8F3" w14:textId="77777777" w:rsidR="00DF1FC7" w:rsidRDefault="00DF1FC7" w:rsidP="002E5BAD">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2609">
    <w:p w14:paraId="565534BD" w14:textId="77777777" w:rsidR="00DF1FC7" w:rsidRDefault="00DF1FC7" w:rsidP="002E5BAD">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2610">
    <w:p w14:paraId="1DD514EC" w14:textId="77777777" w:rsidR="00DF1FC7" w:rsidRDefault="00DF1FC7" w:rsidP="002E5BAD">
      <w:pPr>
        <w:pStyle w:val="a5"/>
      </w:pPr>
      <w:r>
        <w:rPr>
          <w:rStyle w:val="a7"/>
        </w:rPr>
        <w:footnoteRef/>
      </w:r>
      <w:r>
        <w:rPr>
          <w:rtl/>
        </w:rPr>
        <w:t xml:space="preserve"> </w:t>
      </w:r>
      <w:r w:rsidRPr="001D66A0">
        <w:rPr>
          <w:rFonts w:cs="Arial"/>
          <w:rtl/>
        </w:rPr>
        <w:t>ממי קבלת מכירה זו לא מבית דין ולא מיתומין לפיכך לא יצא הקרקע מרשות היתומין אבל היכא דשמת לאחריני נפק מרשות היורשין שהרי נתנו לה חכמים רשות למכור</w:t>
      </w:r>
      <w:r>
        <w:rPr>
          <w:rFonts w:cs="Arial" w:hint="cs"/>
          <w:rtl/>
        </w:rPr>
        <w:t>, רש"י.</w:t>
      </w:r>
    </w:p>
  </w:footnote>
  <w:footnote w:id="2611">
    <w:p w14:paraId="1290688B" w14:textId="77777777" w:rsidR="00DF1FC7" w:rsidRDefault="00DF1FC7" w:rsidP="002E5BAD">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2612">
    <w:p w14:paraId="490768EC" w14:textId="77777777" w:rsidR="00DF1FC7" w:rsidRDefault="00DF1FC7" w:rsidP="002E5BAD">
      <w:pPr>
        <w:pStyle w:val="a5"/>
        <w:rPr>
          <w:rtl/>
        </w:rPr>
      </w:pPr>
      <w:r>
        <w:rPr>
          <w:rStyle w:val="a7"/>
        </w:rPr>
        <w:footnoteRef/>
      </w:r>
      <w:r>
        <w:rPr>
          <w:rtl/>
        </w:rPr>
        <w:t xml:space="preserve"> </w:t>
      </w:r>
      <w:r w:rsidRPr="00B95108">
        <w:rPr>
          <w:rFonts w:cs="Arial"/>
          <w:rtl/>
        </w:rPr>
        <w:t>בסחורה, ולא היו מעות, אלא דבר הצריך שומא</w:t>
      </w:r>
      <w:r>
        <w:rPr>
          <w:rFonts w:hint="cs"/>
          <w:rtl/>
        </w:rPr>
        <w:t>, רש"י.</w:t>
      </w:r>
    </w:p>
  </w:footnote>
  <w:footnote w:id="2613">
    <w:p w14:paraId="3C510A10" w14:textId="77777777" w:rsidR="00DF1FC7" w:rsidRDefault="00DF1FC7" w:rsidP="002E5BAD">
      <w:pPr>
        <w:pStyle w:val="a5"/>
        <w:rPr>
          <w:rtl/>
        </w:rPr>
      </w:pPr>
      <w:r>
        <w:rPr>
          <w:rStyle w:val="a7"/>
        </w:rPr>
        <w:footnoteRef/>
      </w:r>
      <w:r>
        <w:rPr>
          <w:rtl/>
        </w:rPr>
        <w:t xml:space="preserve"> </w:t>
      </w:r>
      <w:r>
        <w:rPr>
          <w:rFonts w:hint="cs"/>
          <w:rtl/>
        </w:rPr>
        <w:t>בדף ל ע"ב. וז"ל ה</w:t>
      </w:r>
      <w:r w:rsidRPr="00B95108">
        <w:rPr>
          <w:rFonts w:cs="Arial"/>
          <w:rtl/>
        </w:rPr>
        <w:t>משנה</w:t>
      </w:r>
      <w:r>
        <w:rPr>
          <w:rFonts w:cs="Arial" w:hint="cs"/>
          <w:rtl/>
        </w:rPr>
        <w:t>-</w:t>
      </w:r>
      <w:r w:rsidRPr="00B95108">
        <w:rPr>
          <w:rFonts w:cs="Arial"/>
          <w:rtl/>
        </w:rPr>
        <w:t xml:space="preserve"> אי זו היא אבידה? מצא חמור או פרה רועין בדרך - אין זו אבידה, חמור וכליו הפוכין, פרה רצה בין הכרמים - הרי זו אבידה. החזירה וברחה, החזירה וברחה, אפילו ארבעה וחמישה פעמים - חייב להחזירה, שנאמר השב תשיבם. היה בטל מסלע לא יאמר לו תן לי סלע, אלא נותן לו שכרו כפועל. אם יש שם בית דין - מתנה בפני בית דין, אם אין שם בית דין בפני מי יתנה? שלו קודם.</w:t>
      </w:r>
    </w:p>
  </w:footnote>
  <w:footnote w:id="2614">
    <w:p w14:paraId="0BFBE9F9" w14:textId="77777777" w:rsidR="00DF1FC7" w:rsidRDefault="00DF1FC7" w:rsidP="002E5BAD">
      <w:pPr>
        <w:pStyle w:val="a5"/>
      </w:pPr>
      <w:r>
        <w:rPr>
          <w:rStyle w:val="a7"/>
        </w:rPr>
        <w:footnoteRef/>
      </w:r>
      <w:r>
        <w:rPr>
          <w:rtl/>
        </w:rPr>
        <w:t xml:space="preserve"> </w:t>
      </w:r>
      <w:r w:rsidRPr="00672572">
        <w:rPr>
          <w:rFonts w:cs="Arial"/>
          <w:rtl/>
        </w:rPr>
        <w:t>שידעו שחלקתי בשוה</w:t>
      </w:r>
      <w:r>
        <w:rPr>
          <w:rFonts w:cs="Arial" w:hint="cs"/>
          <w:rtl/>
        </w:rPr>
        <w:t>, רש"י.</w:t>
      </w:r>
    </w:p>
  </w:footnote>
  <w:footnote w:id="2615">
    <w:p w14:paraId="5A4BA6FC" w14:textId="77777777" w:rsidR="00DF1FC7" w:rsidRDefault="00DF1FC7" w:rsidP="002E5BAD">
      <w:pPr>
        <w:pStyle w:val="a5"/>
        <w:rPr>
          <w:rtl/>
        </w:rPr>
      </w:pPr>
      <w:r>
        <w:rPr>
          <w:rStyle w:val="a7"/>
        </w:rPr>
        <w:footnoteRef/>
      </w:r>
      <w:r>
        <w:rPr>
          <w:rtl/>
        </w:rPr>
        <w:t xml:space="preserve"> </w:t>
      </w:r>
      <w:r w:rsidRPr="00672572">
        <w:rPr>
          <w:rFonts w:cs="Arial"/>
          <w:rtl/>
        </w:rPr>
        <w:t>הניזונת מנכסי יתומים מוכרת למזונות</w:t>
      </w:r>
      <w:r>
        <w:rPr>
          <w:rFonts w:hint="cs"/>
          <w:rtl/>
        </w:rPr>
        <w:t>, רש"י.</w:t>
      </w:r>
    </w:p>
  </w:footnote>
  <w:footnote w:id="2616">
    <w:p w14:paraId="2351EDDC" w14:textId="77777777" w:rsidR="00DF1FC7" w:rsidRDefault="00DF1FC7" w:rsidP="002E5BAD">
      <w:pPr>
        <w:pStyle w:val="a5"/>
      </w:pPr>
      <w:r>
        <w:rPr>
          <w:rStyle w:val="a7"/>
        </w:rPr>
        <w:footnoteRef/>
      </w:r>
      <w:r>
        <w:rPr>
          <w:rtl/>
        </w:rPr>
        <w:t xml:space="preserve"> </w:t>
      </w:r>
      <w:r w:rsidRPr="00672572">
        <w:rPr>
          <w:rFonts w:cs="Arial"/>
          <w:rtl/>
        </w:rPr>
        <w:t>ובלבד שיראו שנים שלא תמכור בזול</w:t>
      </w:r>
      <w:r>
        <w:rPr>
          <w:rFonts w:cs="Arial" w:hint="cs"/>
          <w:rtl/>
        </w:rPr>
        <w:t>, רש"י.</w:t>
      </w:r>
    </w:p>
  </w:footnote>
  <w:footnote w:id="2617">
    <w:p w14:paraId="191EE25F" w14:textId="77777777" w:rsidR="00DF1FC7" w:rsidRDefault="00DF1FC7" w:rsidP="002E5BAD">
      <w:pPr>
        <w:pStyle w:val="a5"/>
      </w:pPr>
      <w:r>
        <w:rPr>
          <w:rStyle w:val="a7"/>
        </w:rPr>
        <w:footnoteRef/>
      </w:r>
      <w:r>
        <w:rPr>
          <w:rtl/>
        </w:rPr>
        <w:t xml:space="preserve"> </w:t>
      </w:r>
      <w:r w:rsidRPr="009D3864">
        <w:rPr>
          <w:rFonts w:hint="cs"/>
          <w:color w:val="FF0000"/>
          <w:rtl/>
        </w:rPr>
        <w:t>וצל"ע מדוע כתב הב"י כן. והרי רש"י לא כתב כן אלא על פי סברת רב ספרא שרצה להוכיח משם שלא צריך למכור בפני ב"ד. ועוד שמפשט דברי הגמ' מוכח שצריך ג' הדיוטות, וא"כ איך יעלה על הדעת שרש"י פירש להיפך דברי הגמ'. וצל"ע.</w:t>
      </w:r>
    </w:p>
  </w:footnote>
  <w:footnote w:id="2618">
    <w:p w14:paraId="50DF1AFF" w14:textId="77777777" w:rsidR="00DF1FC7" w:rsidRDefault="00DF1FC7" w:rsidP="002E5BAD">
      <w:pPr>
        <w:pStyle w:val="a5"/>
      </w:pPr>
      <w:r>
        <w:rPr>
          <w:rStyle w:val="a7"/>
        </w:rPr>
        <w:footnoteRef/>
      </w:r>
      <w:r>
        <w:rPr>
          <w:rtl/>
        </w:rPr>
        <w:t xml:space="preserve"> </w:t>
      </w:r>
      <w:r>
        <w:rPr>
          <w:rFonts w:cs="Arial"/>
          <w:rtl/>
        </w:rPr>
        <w:t xml:space="preserve">וכתב המרדכי </w:t>
      </w:r>
      <w:r>
        <w:rPr>
          <w:rFonts w:cs="Arial" w:hint="cs"/>
          <w:rtl/>
        </w:rPr>
        <w:t>(</w:t>
      </w:r>
      <w:r>
        <w:rPr>
          <w:rFonts w:cs="Arial"/>
          <w:rtl/>
        </w:rPr>
        <w:t>פ</w:t>
      </w:r>
      <w:r>
        <w:rPr>
          <w:rFonts w:cs="Arial" w:hint="cs"/>
          <w:rtl/>
        </w:rPr>
        <w:t>'</w:t>
      </w:r>
      <w:r>
        <w:rPr>
          <w:rFonts w:cs="Arial"/>
          <w:rtl/>
        </w:rPr>
        <w:t xml:space="preserve"> הכותב סי' רכד) דדוקא במכרה היא בעצמה שלא בבית דין הוא דאינה צריכה הכרזה הואיל והפסידה לעצמה אם יפחות אבל היכא דבית דין מגבין ובית דין צריכין למכור התם צריך הכרזה משום דאם יטעו בפחות משתות הוי פסידא דיתמי</w:t>
      </w:r>
      <w:r>
        <w:rPr>
          <w:rFonts w:cs="Arial" w:hint="cs"/>
          <w:rtl/>
        </w:rPr>
        <w:t>, ב"י.</w:t>
      </w:r>
      <w:r w:rsidRPr="00031435">
        <w:rPr>
          <w:rFonts w:cs="Arial"/>
          <w:rtl/>
        </w:rPr>
        <w:t xml:space="preserve"> וכמו שכתב הטור לקמן (ריש) סימן ק"ד וכן הוא במשנה פרק שום היתומים (ערכין כא</w:t>
      </w:r>
      <w:r>
        <w:rPr>
          <w:rFonts w:cs="Arial" w:hint="cs"/>
          <w:rtl/>
        </w:rPr>
        <w:t>:</w:t>
      </w:r>
      <w:r w:rsidRPr="00031435">
        <w:rPr>
          <w:rFonts w:cs="Arial"/>
          <w:rtl/>
        </w:rPr>
        <w:t>)</w:t>
      </w:r>
      <w:r>
        <w:rPr>
          <w:rFonts w:cs="Arial" w:hint="cs"/>
          <w:rtl/>
        </w:rPr>
        <w:t>, דרכ"מ (אות א).</w:t>
      </w:r>
    </w:p>
  </w:footnote>
  <w:footnote w:id="2619">
    <w:p w14:paraId="1A1B833A" w14:textId="77777777" w:rsidR="00DF1FC7" w:rsidRDefault="00DF1FC7" w:rsidP="002E5BAD">
      <w:pPr>
        <w:pStyle w:val="a5"/>
        <w:rPr>
          <w:rtl/>
        </w:rPr>
      </w:pPr>
      <w:r>
        <w:rPr>
          <w:rStyle w:val="a7"/>
        </w:rPr>
        <w:footnoteRef/>
      </w:r>
      <w:r>
        <w:rPr>
          <w:rtl/>
        </w:rPr>
        <w:t xml:space="preserve"> </w:t>
      </w:r>
      <w:r>
        <w:rPr>
          <w:rFonts w:hint="cs"/>
          <w:rtl/>
        </w:rPr>
        <w:t xml:space="preserve">וז"ל- </w:t>
      </w:r>
      <w:r w:rsidRPr="009C33F7">
        <w:rPr>
          <w:rFonts w:cs="Arial"/>
          <w:rtl/>
        </w:rPr>
        <w:t>אם מכרה למזונות בינה לבין עצמה שוה בשוה מכרה קיים, וכשיבאו היורשין להשביע אותה נשבעת.</w:t>
      </w:r>
    </w:p>
  </w:footnote>
  <w:footnote w:id="2620">
    <w:p w14:paraId="2C8612B3" w14:textId="77777777" w:rsidR="00DF1FC7" w:rsidRDefault="00DF1FC7" w:rsidP="002E5BAD">
      <w:pPr>
        <w:pStyle w:val="a5"/>
      </w:pPr>
      <w:r>
        <w:rPr>
          <w:rStyle w:val="a7"/>
        </w:rPr>
        <w:footnoteRef/>
      </w:r>
      <w:r>
        <w:rPr>
          <w:rtl/>
        </w:rPr>
        <w:t xml:space="preserve"> </w:t>
      </w:r>
      <w:r>
        <w:rPr>
          <w:rFonts w:hint="cs"/>
          <w:rtl/>
        </w:rPr>
        <w:t>השו"ע הביא דין שבועה זו בסע' ד.</w:t>
      </w:r>
    </w:p>
  </w:footnote>
  <w:footnote w:id="2621">
    <w:p w14:paraId="2E883392" w14:textId="77777777" w:rsidR="00DF1FC7" w:rsidRDefault="00DF1FC7" w:rsidP="002E5BAD">
      <w:pPr>
        <w:pStyle w:val="a5"/>
      </w:pPr>
      <w:r>
        <w:rPr>
          <w:rStyle w:val="a7"/>
        </w:rPr>
        <w:footnoteRef/>
      </w:r>
      <w:r>
        <w:rPr>
          <w:rtl/>
        </w:rPr>
        <w:t xml:space="preserve"> </w:t>
      </w:r>
      <w:r>
        <w:rPr>
          <w:rFonts w:hint="cs"/>
          <w:rtl/>
        </w:rPr>
        <w:t>השו"ע הביא חילוק זה בסע' ה.</w:t>
      </w:r>
    </w:p>
  </w:footnote>
  <w:footnote w:id="2622">
    <w:p w14:paraId="3A2F3A03" w14:textId="77777777" w:rsidR="00DF1FC7" w:rsidRDefault="00DF1FC7" w:rsidP="002E5BAD">
      <w:pPr>
        <w:pStyle w:val="a5"/>
      </w:pPr>
      <w:r>
        <w:rPr>
          <w:rStyle w:val="a7"/>
        </w:rPr>
        <w:footnoteRef/>
      </w:r>
      <w:r>
        <w:rPr>
          <w:rtl/>
        </w:rPr>
        <w:t xml:space="preserve"> </w:t>
      </w:r>
      <w:r>
        <w:rPr>
          <w:rFonts w:hint="cs"/>
          <w:rtl/>
        </w:rPr>
        <w:t xml:space="preserve">וז"ל- </w:t>
      </w:r>
      <w:r w:rsidRPr="00F71E3F">
        <w:rPr>
          <w:rFonts w:cs="Arial"/>
          <w:rtl/>
        </w:rPr>
        <w:t>היתה כתובתה ארבע מאות וכו'. משנה שם</w:t>
      </w:r>
      <w:r>
        <w:rPr>
          <w:rFonts w:cs="Arial" w:hint="cs"/>
          <w:rtl/>
        </w:rPr>
        <w:t>.</w:t>
      </w:r>
      <w:r w:rsidRPr="00F71E3F">
        <w:rPr>
          <w:rFonts w:cs="Arial"/>
          <w:rtl/>
        </w:rPr>
        <w:t xml:space="preserve"> ודין צאן ברזל בדברים אלו נראה שהוא כדין העיקר והתוספת</w:t>
      </w:r>
      <w:r>
        <w:rPr>
          <w:rFonts w:cs="Arial" w:hint="cs"/>
          <w:rtl/>
        </w:rPr>
        <w:t>,</w:t>
      </w:r>
      <w:r w:rsidRPr="00F71E3F">
        <w:rPr>
          <w:rFonts w:cs="Arial"/>
          <w:rtl/>
        </w:rPr>
        <w:t xml:space="preserve"> לפי שיפוי כח הוא לאשה</w:t>
      </w:r>
      <w:r>
        <w:rPr>
          <w:rFonts w:cs="Arial" w:hint="cs"/>
          <w:rtl/>
        </w:rPr>
        <w:t>,</w:t>
      </w:r>
      <w:r w:rsidRPr="00F71E3F">
        <w:rPr>
          <w:rFonts w:cs="Arial"/>
          <w:rtl/>
        </w:rPr>
        <w:t xml:space="preserve"> מפני שאדם רוצה שלא תתבזה אשתו בב"ד</w:t>
      </w:r>
      <w:r>
        <w:rPr>
          <w:rFonts w:cs="Arial" w:hint="cs"/>
          <w:rtl/>
        </w:rPr>
        <w:t>,</w:t>
      </w:r>
      <w:r w:rsidRPr="00F71E3F">
        <w:rPr>
          <w:rFonts w:cs="Arial"/>
          <w:rtl/>
        </w:rPr>
        <w:t xml:space="preserve"> וכמו שנזכר בגמרא וכמ"ש למעלה</w:t>
      </w:r>
      <w:r>
        <w:rPr>
          <w:rFonts w:cs="Arial" w:hint="cs"/>
          <w:rtl/>
        </w:rPr>
        <w:t>.</w:t>
      </w:r>
      <w:r w:rsidRPr="00F71E3F">
        <w:rPr>
          <w:rFonts w:cs="Arial"/>
          <w:rtl/>
        </w:rPr>
        <w:t xml:space="preserve"> ואם במה שלא חסר הוא בו כלום אמרו כן</w:t>
      </w:r>
      <w:r>
        <w:rPr>
          <w:rFonts w:cs="Arial" w:hint="cs"/>
          <w:rtl/>
        </w:rPr>
        <w:t>,</w:t>
      </w:r>
      <w:r w:rsidRPr="00F71E3F">
        <w:rPr>
          <w:rFonts w:cs="Arial"/>
          <w:rtl/>
        </w:rPr>
        <w:t xml:space="preserve"> כ"ש בנכסי צאן ברזל שהביאה משלה</w:t>
      </w:r>
      <w:r>
        <w:rPr>
          <w:rFonts w:cs="Arial" w:hint="cs"/>
          <w:rtl/>
        </w:rPr>
        <w:t>.</w:t>
      </w:r>
      <w:r w:rsidRPr="00F71E3F">
        <w:rPr>
          <w:rFonts w:cs="Arial"/>
          <w:rtl/>
        </w:rPr>
        <w:t xml:space="preserve"> כך נראה לי</w:t>
      </w:r>
      <w:r>
        <w:rPr>
          <w:rFonts w:cs="Arial" w:hint="cs"/>
          <w:rtl/>
        </w:rPr>
        <w:t xml:space="preserve">, </w:t>
      </w:r>
      <w:r w:rsidRPr="00F71E3F">
        <w:rPr>
          <w:rFonts w:cs="Arial"/>
          <w:rtl/>
        </w:rPr>
        <w:t>ואפי' לדעת רבינו שהוא מחלק בשאר דברים בין נכסי צאן ברזל לעיקר ותוספת כמו שנתבאר</w:t>
      </w:r>
      <w:r>
        <w:rPr>
          <w:rFonts w:cs="Arial" w:hint="cs"/>
          <w:rtl/>
        </w:rPr>
        <w:t>.</w:t>
      </w:r>
    </w:p>
  </w:footnote>
  <w:footnote w:id="2623">
    <w:p w14:paraId="40D153FD" w14:textId="77777777" w:rsidR="00DF1FC7" w:rsidRDefault="00DF1FC7" w:rsidP="002E5BAD">
      <w:pPr>
        <w:pStyle w:val="a5"/>
      </w:pPr>
      <w:r>
        <w:rPr>
          <w:rStyle w:val="a7"/>
        </w:rPr>
        <w:footnoteRef/>
      </w:r>
      <w:r>
        <w:rPr>
          <w:rtl/>
        </w:rPr>
        <w:t xml:space="preserve"> </w:t>
      </w:r>
      <w:r w:rsidRPr="000A6955">
        <w:rPr>
          <w:rFonts w:cs="Arial"/>
          <w:rtl/>
        </w:rPr>
        <w:t>דכבר נתבאר לעיל סי' נ"ד סעיף ו' דארוסה אין לה כתובה אם לא כתב לה ושי"א דארוסה יש לה כתובה אבל המנהג כסבר' הראשונה</w:t>
      </w:r>
      <w:r>
        <w:rPr>
          <w:rFonts w:cs="Arial" w:hint="cs"/>
          <w:rtl/>
        </w:rPr>
        <w:t>, ח"מ (סק"א).</w:t>
      </w:r>
    </w:p>
  </w:footnote>
  <w:footnote w:id="2624">
    <w:p w14:paraId="398FF504" w14:textId="77777777" w:rsidR="00DF1FC7" w:rsidRDefault="00DF1FC7" w:rsidP="002E5BAD">
      <w:pPr>
        <w:pStyle w:val="a5"/>
      </w:pPr>
      <w:r>
        <w:rPr>
          <w:rStyle w:val="a7"/>
        </w:rPr>
        <w:footnoteRef/>
      </w:r>
      <w:r>
        <w:rPr>
          <w:rtl/>
        </w:rPr>
        <w:t xml:space="preserve"> </w:t>
      </w:r>
      <w:r w:rsidRPr="002F7161">
        <w:rPr>
          <w:rFonts w:cs="Arial"/>
          <w:rtl/>
        </w:rPr>
        <w:t>הטעם מבואר בש"ס</w:t>
      </w:r>
      <w:r>
        <w:rPr>
          <w:rFonts w:cs="Arial" w:hint="cs"/>
          <w:rtl/>
        </w:rPr>
        <w:t>,</w:t>
      </w:r>
      <w:r w:rsidRPr="002F7161">
        <w:rPr>
          <w:rFonts w:cs="Arial"/>
          <w:rtl/>
        </w:rPr>
        <w:t xml:space="preserve"> טעם א'</w:t>
      </w:r>
      <w:r>
        <w:rPr>
          <w:rFonts w:cs="Arial" w:hint="cs"/>
          <w:rtl/>
        </w:rPr>
        <w:t>-</w:t>
      </w:r>
      <w:r w:rsidRPr="002F7161">
        <w:rPr>
          <w:rFonts w:cs="Arial"/>
          <w:rtl/>
        </w:rPr>
        <w:t xml:space="preserve"> מש</w:t>
      </w:r>
      <w:r>
        <w:rPr>
          <w:rFonts w:cs="Arial" w:hint="cs"/>
          <w:rtl/>
        </w:rPr>
        <w:t>ו</w:t>
      </w:r>
      <w:r w:rsidRPr="002F7161">
        <w:rPr>
          <w:rFonts w:cs="Arial"/>
          <w:rtl/>
        </w:rPr>
        <w:t>ם חינא</w:t>
      </w:r>
      <w:r>
        <w:rPr>
          <w:rFonts w:cs="Arial" w:hint="cs"/>
          <w:rtl/>
        </w:rPr>
        <w:t>,</w:t>
      </w:r>
      <w:r w:rsidRPr="002F7161">
        <w:rPr>
          <w:rFonts w:cs="Arial"/>
          <w:rtl/>
        </w:rPr>
        <w:t xml:space="preserve"> היינו שיהיה לה חן היינו ממון לישא בעל</w:t>
      </w:r>
      <w:r>
        <w:rPr>
          <w:rFonts w:cs="Arial" w:hint="cs"/>
          <w:rtl/>
        </w:rPr>
        <w:t>.</w:t>
      </w:r>
      <w:r w:rsidRPr="002F7161">
        <w:rPr>
          <w:rFonts w:cs="Arial"/>
          <w:rtl/>
        </w:rPr>
        <w:t xml:space="preserve"> ב'</w:t>
      </w:r>
      <w:r>
        <w:rPr>
          <w:rFonts w:cs="Arial" w:hint="cs"/>
          <w:rtl/>
        </w:rPr>
        <w:t>-</w:t>
      </w:r>
      <w:r w:rsidRPr="002F7161">
        <w:rPr>
          <w:rFonts w:cs="Arial"/>
          <w:rtl/>
        </w:rPr>
        <w:t xml:space="preserve"> כדי שלא תתבזה בב"ד</w:t>
      </w:r>
      <w:r>
        <w:rPr>
          <w:rFonts w:cs="Arial" w:hint="cs"/>
          <w:rtl/>
        </w:rPr>
        <w:t>.</w:t>
      </w:r>
      <w:r w:rsidRPr="002F7161">
        <w:rPr>
          <w:rFonts w:cs="Arial"/>
          <w:rtl/>
        </w:rPr>
        <w:t xml:space="preserve"> ונ"מ מטעם א' גרושה דאינו מקפיד על ביזוי שלה אבל משום חן איכ</w:t>
      </w:r>
      <w:r>
        <w:rPr>
          <w:rFonts w:cs="Arial" w:hint="cs"/>
          <w:rtl/>
        </w:rPr>
        <w:t>א.</w:t>
      </w:r>
      <w:r w:rsidRPr="002F7161">
        <w:rPr>
          <w:rFonts w:cs="Arial"/>
          <w:rtl/>
        </w:rPr>
        <w:t xml:space="preserve"> ולדעת הטור אם כבר נשאת לאחד אינו מקפיד על ביזוי שלה וכן לא שייך חן אא"כ דנשאת על סמך מעות זה כמ"ש בש"ג</w:t>
      </w:r>
      <w:r>
        <w:rPr>
          <w:rFonts w:cs="Arial" w:hint="cs"/>
          <w:rtl/>
        </w:rPr>
        <w:t>.</w:t>
      </w:r>
      <w:r w:rsidRPr="002F7161">
        <w:rPr>
          <w:rFonts w:cs="Arial"/>
          <w:rtl/>
        </w:rPr>
        <w:t xml:space="preserve"> ואפשר אם נשתדך לאחר ג"כ אינו מקפיד על ביזוי שלה</w:t>
      </w:r>
      <w:r>
        <w:rPr>
          <w:rFonts w:cs="Arial" w:hint="cs"/>
          <w:rtl/>
        </w:rPr>
        <w:t>.</w:t>
      </w:r>
      <w:r w:rsidRPr="002F7161">
        <w:rPr>
          <w:rFonts w:cs="Arial"/>
          <w:rtl/>
        </w:rPr>
        <w:t xml:space="preserve"> ופסק הרמב"ם והרא"ש משום דאל תתבזה אע"ג </w:t>
      </w:r>
      <w:r>
        <w:rPr>
          <w:rFonts w:cs="Arial" w:hint="cs"/>
          <w:rtl/>
        </w:rPr>
        <w:t>ד</w:t>
      </w:r>
      <w:r w:rsidRPr="002F7161">
        <w:rPr>
          <w:rFonts w:cs="Arial"/>
          <w:rtl/>
        </w:rPr>
        <w:t>לענין אין נזקקים לנכסי יתומים קי"ל משום חינא כמ"ש בסי' צ"ו הכא אין לה שום הפסד פסקו הטעם משום אל תתבזה</w:t>
      </w:r>
      <w:r>
        <w:rPr>
          <w:rFonts w:cs="Arial" w:hint="cs"/>
          <w:rtl/>
        </w:rPr>
        <w:t>.</w:t>
      </w:r>
      <w:r w:rsidRPr="002F7161">
        <w:rPr>
          <w:rFonts w:cs="Arial"/>
          <w:rtl/>
        </w:rPr>
        <w:t xml:space="preserve"> והרשב"א פסק הטעם משום חינא</w:t>
      </w:r>
      <w:r>
        <w:rPr>
          <w:rFonts w:cs="Arial" w:hint="cs"/>
          <w:rtl/>
        </w:rPr>
        <w:t>.</w:t>
      </w:r>
      <w:r w:rsidRPr="002F7161">
        <w:rPr>
          <w:rFonts w:cs="Arial"/>
          <w:rtl/>
        </w:rPr>
        <w:t xml:space="preserve"> ועוד נ"מ מטעמים הללו לטעם שלא תתבזה </w:t>
      </w:r>
      <w:r>
        <w:rPr>
          <w:rFonts w:cs="Arial" w:hint="cs"/>
          <w:rtl/>
        </w:rPr>
        <w:t>ד</w:t>
      </w:r>
      <w:r w:rsidRPr="002F7161">
        <w:rPr>
          <w:rFonts w:cs="Arial"/>
          <w:rtl/>
        </w:rPr>
        <w:t>אז יורשים בין זכרים ובין נקבות מוכרים שלא בב"ד</w:t>
      </w:r>
      <w:r>
        <w:rPr>
          <w:rFonts w:cs="Arial" w:hint="cs"/>
          <w:rtl/>
        </w:rPr>
        <w:t>.</w:t>
      </w:r>
      <w:r w:rsidRPr="002F7161">
        <w:rPr>
          <w:rFonts w:cs="Arial"/>
          <w:rtl/>
        </w:rPr>
        <w:t xml:space="preserve"> אבל לפי הטעם משום חן דוק</w:t>
      </w:r>
      <w:r>
        <w:rPr>
          <w:rFonts w:cs="Arial" w:hint="cs"/>
          <w:rtl/>
        </w:rPr>
        <w:t>א</w:t>
      </w:r>
      <w:r w:rsidRPr="002F7161">
        <w:rPr>
          <w:rFonts w:cs="Arial"/>
          <w:rtl/>
        </w:rPr>
        <w:t xml:space="preserve"> נקבות מוכרים בלא ב"ד כמ"ש בש"ס</w:t>
      </w:r>
      <w:r>
        <w:rPr>
          <w:rFonts w:cs="Arial" w:hint="cs"/>
          <w:rtl/>
        </w:rPr>
        <w:t>.</w:t>
      </w:r>
      <w:r w:rsidRPr="002F7161">
        <w:rPr>
          <w:rFonts w:cs="Arial"/>
          <w:rtl/>
        </w:rPr>
        <w:t xml:space="preserve"> והא דא"צ הכרזה כתב הרא"ש גם כן הטעם שאל תתבזה</w:t>
      </w:r>
      <w:r>
        <w:rPr>
          <w:rFonts w:cs="Arial" w:hint="cs"/>
          <w:rtl/>
        </w:rPr>
        <w:t>.</w:t>
      </w:r>
      <w:r w:rsidRPr="002F7161">
        <w:rPr>
          <w:rFonts w:cs="Arial"/>
          <w:rtl/>
        </w:rPr>
        <w:t xml:space="preserve"> ולהריטב"א איירי כל זה כשאין לה מזונות</w:t>
      </w:r>
      <w:r>
        <w:rPr>
          <w:rFonts w:cs="Arial" w:hint="cs"/>
          <w:rtl/>
        </w:rPr>
        <w:t>,</w:t>
      </w:r>
      <w:r w:rsidRPr="002F7161">
        <w:rPr>
          <w:rFonts w:cs="Arial"/>
          <w:rtl/>
        </w:rPr>
        <w:t xml:space="preserve"> אבל אם יש לה מזונות רשאי למכור בלא ב"ד לגבות הכתובה כדי שאל תהיה לה מזונות אפי' היכ' דלא שייך טעמים אלו ואז צריכה למכור לצורך כל הכתובה כדי שתפסיד המזונות</w:t>
      </w:r>
      <w:r>
        <w:rPr>
          <w:rFonts w:cs="Arial" w:hint="cs"/>
          <w:rtl/>
        </w:rPr>
        <w:t>, ב"ש (סק"א).</w:t>
      </w:r>
    </w:p>
  </w:footnote>
  <w:footnote w:id="2625">
    <w:p w14:paraId="62B767B4" w14:textId="77777777" w:rsidR="00DF1FC7" w:rsidRDefault="00DF1FC7" w:rsidP="002E5BAD">
      <w:pPr>
        <w:pStyle w:val="a5"/>
      </w:pPr>
      <w:r>
        <w:rPr>
          <w:rStyle w:val="a7"/>
        </w:rPr>
        <w:footnoteRef/>
      </w:r>
      <w:r>
        <w:rPr>
          <w:rtl/>
        </w:rPr>
        <w:t xml:space="preserve"> </w:t>
      </w:r>
      <w:r>
        <w:rPr>
          <w:rFonts w:cs="Arial" w:hint="cs"/>
          <w:rtl/>
        </w:rPr>
        <w:t>ו</w:t>
      </w:r>
      <w:r w:rsidRPr="000A6955">
        <w:rPr>
          <w:rFonts w:cs="Arial"/>
          <w:rtl/>
        </w:rPr>
        <w:t>עכ"פ צריכה שבועה קודם שתמכור</w:t>
      </w:r>
      <w:r>
        <w:rPr>
          <w:rFonts w:cs="Arial" w:hint="cs"/>
          <w:rtl/>
        </w:rPr>
        <w:t>,</w:t>
      </w:r>
      <w:r w:rsidRPr="000A6955">
        <w:rPr>
          <w:rFonts w:cs="Arial"/>
          <w:rtl/>
        </w:rPr>
        <w:t xml:space="preserve"> כדמסקינן בגמ' מוכרה שלא בב"ד צריכה שבועה ואינה צריכה הכרזה</w:t>
      </w:r>
      <w:r>
        <w:rPr>
          <w:rFonts w:cs="Arial" w:hint="cs"/>
          <w:rtl/>
        </w:rPr>
        <w:t>,</w:t>
      </w:r>
      <w:r w:rsidRPr="000A6955">
        <w:rPr>
          <w:rFonts w:cs="Arial"/>
          <w:rtl/>
        </w:rPr>
        <w:t xml:space="preserve"> וכבר נתבאר בסימן צ"ו דין השבועה ואם מכרה קודם השבועה</w:t>
      </w:r>
      <w:r>
        <w:rPr>
          <w:rFonts w:cs="Arial" w:hint="cs"/>
          <w:rtl/>
        </w:rPr>
        <w:t>, ח"מ (סק"ב).</w:t>
      </w:r>
    </w:p>
  </w:footnote>
  <w:footnote w:id="2626">
    <w:p w14:paraId="311248A5" w14:textId="77777777" w:rsidR="00DF1FC7" w:rsidRDefault="00DF1FC7" w:rsidP="002E5BAD">
      <w:pPr>
        <w:pStyle w:val="a5"/>
        <w:rPr>
          <w:rtl/>
        </w:rPr>
      </w:pPr>
      <w:r>
        <w:rPr>
          <w:rStyle w:val="a7"/>
        </w:rPr>
        <w:footnoteRef/>
      </w:r>
      <w:r>
        <w:rPr>
          <w:rtl/>
        </w:rPr>
        <w:t xml:space="preserve"> </w:t>
      </w:r>
      <w:r w:rsidRPr="000A6955">
        <w:rPr>
          <w:rFonts w:cs="Arial"/>
          <w:rtl/>
        </w:rPr>
        <w:t>וכתב המ"מ ופי' אע</w:t>
      </w:r>
      <w:r>
        <w:rPr>
          <w:rFonts w:cs="Arial" w:hint="cs"/>
          <w:rtl/>
        </w:rPr>
        <w:t>"</w:t>
      </w:r>
      <w:r w:rsidRPr="000A6955">
        <w:rPr>
          <w:rFonts w:cs="Arial"/>
          <w:rtl/>
        </w:rPr>
        <w:t>ג דליכא בינייהו מאן דגמיר וסביר ואינם ראוים לדון דיני ממונות</w:t>
      </w:r>
      <w:r>
        <w:rPr>
          <w:rFonts w:cs="Arial" w:hint="cs"/>
          <w:rtl/>
        </w:rPr>
        <w:t>,</w:t>
      </w:r>
      <w:r w:rsidRPr="000A6955">
        <w:rPr>
          <w:rFonts w:cs="Arial"/>
          <w:rtl/>
        </w:rPr>
        <w:t xml:space="preserve"> שאל"כ במה יפה כחם יותר משאר דיינין</w:t>
      </w:r>
      <w:r>
        <w:rPr>
          <w:rFonts w:cs="Arial" w:hint="cs"/>
          <w:rtl/>
        </w:rPr>
        <w:t>, ח"מ (סק"ב).</w:t>
      </w:r>
      <w:r>
        <w:rPr>
          <w:rFonts w:hint="cs"/>
          <w:rtl/>
        </w:rPr>
        <w:t xml:space="preserve"> וכ"כ הב"ש (סק"ב) בשם הר"ן, וכתב </w:t>
      </w:r>
      <w:r>
        <w:rPr>
          <w:rFonts w:cs="Arial" w:hint="cs"/>
          <w:rtl/>
        </w:rPr>
        <w:t>ד</w:t>
      </w:r>
      <w:r w:rsidRPr="002F7161">
        <w:rPr>
          <w:rFonts w:cs="Arial"/>
          <w:rtl/>
        </w:rPr>
        <w:t>מה שנקרא בעלמ</w:t>
      </w:r>
      <w:r>
        <w:rPr>
          <w:rFonts w:cs="Arial" w:hint="cs"/>
          <w:rtl/>
        </w:rPr>
        <w:t>א</w:t>
      </w:r>
      <w:r w:rsidRPr="002F7161">
        <w:rPr>
          <w:rFonts w:cs="Arial"/>
          <w:rtl/>
        </w:rPr>
        <w:t xml:space="preserve"> ב"ד הדיוטים נקרא כאן ב"ד מומחין והדיוטים כאן הם הדיוטים ממש דלית בהו גמיר וסביר אלא בקיאין בשומא</w:t>
      </w:r>
      <w:r>
        <w:rPr>
          <w:rFonts w:cs="Arial" w:hint="cs"/>
          <w:rtl/>
        </w:rPr>
        <w:t>.</w:t>
      </w:r>
    </w:p>
  </w:footnote>
  <w:footnote w:id="2627">
    <w:p w14:paraId="2579BD22" w14:textId="77777777" w:rsidR="00DF1FC7" w:rsidRDefault="00DF1FC7" w:rsidP="002E5BAD">
      <w:pPr>
        <w:pStyle w:val="a5"/>
      </w:pPr>
      <w:r>
        <w:rPr>
          <w:rStyle w:val="a7"/>
        </w:rPr>
        <w:footnoteRef/>
      </w:r>
      <w:r>
        <w:rPr>
          <w:rtl/>
        </w:rPr>
        <w:t xml:space="preserve"> </w:t>
      </w:r>
      <w:r w:rsidRPr="000A6955">
        <w:rPr>
          <w:rFonts w:cs="Arial"/>
          <w:rtl/>
        </w:rPr>
        <w:t>נראה דלאו דוק</w:t>
      </w:r>
      <w:r>
        <w:rPr>
          <w:rFonts w:cs="Arial" w:hint="cs"/>
          <w:rtl/>
        </w:rPr>
        <w:t>א</w:t>
      </w:r>
      <w:r w:rsidRPr="000A6955">
        <w:rPr>
          <w:rFonts w:cs="Arial"/>
          <w:rtl/>
        </w:rPr>
        <w:t xml:space="preserve"> קרקע</w:t>
      </w:r>
      <w:r>
        <w:rPr>
          <w:rFonts w:cs="Arial" w:hint="cs"/>
          <w:rtl/>
        </w:rPr>
        <w:t>,</w:t>
      </w:r>
      <w:r w:rsidRPr="000A6955">
        <w:rPr>
          <w:rFonts w:cs="Arial"/>
          <w:rtl/>
        </w:rPr>
        <w:t xml:space="preserve"> דה"ה אם מוכרת מטלטלין לאחר תקנת הגאונים צריכה ג' אנשים בקיאים בשומ</w:t>
      </w:r>
      <w:r>
        <w:rPr>
          <w:rFonts w:cs="Arial" w:hint="cs"/>
          <w:rtl/>
        </w:rPr>
        <w:t>א.</w:t>
      </w:r>
      <w:r w:rsidRPr="000A6955">
        <w:rPr>
          <w:rFonts w:cs="Arial"/>
          <w:rtl/>
        </w:rPr>
        <w:t xml:space="preserve"> וכ"כ הרי"ף והרא"ש כגון גברי מהימנ' ובקיאי בשומ</w:t>
      </w:r>
      <w:r>
        <w:rPr>
          <w:rFonts w:cs="Arial" w:hint="cs"/>
          <w:rtl/>
        </w:rPr>
        <w:t>א..., ח"מ (סק"ב).</w:t>
      </w:r>
    </w:p>
  </w:footnote>
  <w:footnote w:id="2628">
    <w:p w14:paraId="4A597700" w14:textId="77777777" w:rsidR="00DF1FC7" w:rsidRDefault="00DF1FC7" w:rsidP="002E5BAD">
      <w:pPr>
        <w:pStyle w:val="a5"/>
      </w:pPr>
      <w:r>
        <w:rPr>
          <w:rStyle w:val="a7"/>
        </w:rPr>
        <w:footnoteRef/>
      </w:r>
      <w:r>
        <w:rPr>
          <w:rtl/>
        </w:rPr>
        <w:t xml:space="preserve"> </w:t>
      </w:r>
      <w:r w:rsidRPr="000935A8">
        <w:rPr>
          <w:rFonts w:cs="Arial"/>
          <w:rtl/>
        </w:rPr>
        <w:t>הנה הריטב"א ס"ל לעיקר כתובה מוכרת בלא ב"ד אבל לא לצורך תוס' כתובה או לצורך נדוני</w:t>
      </w:r>
      <w:r>
        <w:rPr>
          <w:rFonts w:cs="Arial" w:hint="cs"/>
          <w:rtl/>
        </w:rPr>
        <w:t>א.</w:t>
      </w:r>
      <w:r w:rsidRPr="000935A8">
        <w:rPr>
          <w:rFonts w:cs="Arial"/>
          <w:rtl/>
        </w:rPr>
        <w:t xml:space="preserve"> והמגיד חולק ע"ז וס"ל אם הקילו בדבר שאין לה חסרון מכ"ש בנדוני</w:t>
      </w:r>
      <w:r>
        <w:rPr>
          <w:rFonts w:cs="Arial" w:hint="cs"/>
          <w:rtl/>
        </w:rPr>
        <w:t>א.</w:t>
      </w:r>
      <w:r w:rsidRPr="000935A8">
        <w:rPr>
          <w:rFonts w:cs="Arial"/>
          <w:rtl/>
        </w:rPr>
        <w:t xml:space="preserve"> ורמ"א שפסק כריטב"א ופסק אף תוס' כתובה מוכרת בלא ב"ד</w:t>
      </w:r>
      <w:r>
        <w:rPr>
          <w:rFonts w:cs="Arial" w:hint="cs"/>
          <w:rtl/>
        </w:rPr>
        <w:t>,</w:t>
      </w:r>
      <w:r w:rsidRPr="000935A8">
        <w:rPr>
          <w:rFonts w:cs="Arial"/>
          <w:rtl/>
        </w:rPr>
        <w:t xml:space="preserve"> אפשר משום הריטב"א איירי באשה שאין לה מזונות והרב רמ"א איירי באשה שיש לה מזונות</w:t>
      </w:r>
      <w:r>
        <w:rPr>
          <w:rFonts w:cs="Arial" w:hint="cs"/>
          <w:rtl/>
        </w:rPr>
        <w:t>.</w:t>
      </w:r>
      <w:r w:rsidRPr="000935A8">
        <w:rPr>
          <w:rFonts w:cs="Arial"/>
          <w:rtl/>
        </w:rPr>
        <w:t xml:space="preserve"> גם י"ל הריטב"א לא הכריע סבר</w:t>
      </w:r>
      <w:r>
        <w:rPr>
          <w:rFonts w:cs="Arial" w:hint="cs"/>
          <w:rtl/>
        </w:rPr>
        <w:t>א</w:t>
      </w:r>
      <w:r w:rsidRPr="000935A8">
        <w:rPr>
          <w:rFonts w:cs="Arial"/>
          <w:rtl/>
        </w:rPr>
        <w:t xml:space="preserve"> זו אלא כתב </w:t>
      </w:r>
      <w:r>
        <w:rPr>
          <w:rFonts w:cs="Arial" w:hint="cs"/>
          <w:rtl/>
        </w:rPr>
        <w:t>"</w:t>
      </w:r>
      <w:r w:rsidRPr="000935A8">
        <w:rPr>
          <w:rFonts w:cs="Arial"/>
          <w:rtl/>
        </w:rPr>
        <w:t>אפי' תימא תוס' כתובת ליכ</w:t>
      </w:r>
      <w:r>
        <w:rPr>
          <w:rFonts w:cs="Arial" w:hint="cs"/>
          <w:rtl/>
        </w:rPr>
        <w:t>א</w:t>
      </w:r>
      <w:r w:rsidRPr="000935A8">
        <w:rPr>
          <w:rFonts w:cs="Arial"/>
          <w:rtl/>
        </w:rPr>
        <w:t xml:space="preserve"> משום בזיון וליכא משום חינ</w:t>
      </w:r>
      <w:r>
        <w:rPr>
          <w:rFonts w:cs="Arial" w:hint="cs"/>
          <w:rtl/>
        </w:rPr>
        <w:t>א</w:t>
      </w:r>
      <w:r w:rsidRPr="000935A8">
        <w:rPr>
          <w:rFonts w:cs="Arial"/>
          <w:rtl/>
        </w:rPr>
        <w:t xml:space="preserve"> הא איכ</w:t>
      </w:r>
      <w:r>
        <w:rPr>
          <w:rFonts w:cs="Arial" w:hint="cs"/>
          <w:rtl/>
        </w:rPr>
        <w:t>א</w:t>
      </w:r>
      <w:r w:rsidRPr="000935A8">
        <w:rPr>
          <w:rFonts w:cs="Arial"/>
          <w:rtl/>
        </w:rPr>
        <w:t xml:space="preserve"> משום מזוני</w:t>
      </w:r>
      <w:r>
        <w:rPr>
          <w:rFonts w:cs="Arial" w:hint="cs"/>
          <w:rtl/>
        </w:rPr>
        <w:t>",</w:t>
      </w:r>
      <w:r w:rsidRPr="000935A8">
        <w:rPr>
          <w:rFonts w:cs="Arial"/>
          <w:rtl/>
        </w:rPr>
        <w:t xml:space="preserve"> משום הכי פוסק בזה כשיטת</w:t>
      </w:r>
      <w:r>
        <w:rPr>
          <w:rFonts w:cs="Arial" w:hint="cs"/>
          <w:rtl/>
        </w:rPr>
        <w:t>ו</w:t>
      </w:r>
      <w:r w:rsidRPr="000935A8">
        <w:rPr>
          <w:rFonts w:cs="Arial"/>
          <w:rtl/>
        </w:rPr>
        <w:t xml:space="preserve"> של המגיד</w:t>
      </w:r>
      <w:r>
        <w:rPr>
          <w:rFonts w:cs="Arial" w:hint="cs"/>
          <w:rtl/>
        </w:rPr>
        <w:t>, ב"ש (סק"ג).</w:t>
      </w:r>
    </w:p>
  </w:footnote>
  <w:footnote w:id="2629">
    <w:p w14:paraId="653716EF" w14:textId="77777777" w:rsidR="00DF1FC7" w:rsidRDefault="00DF1FC7" w:rsidP="002E5BAD">
      <w:pPr>
        <w:pStyle w:val="a5"/>
      </w:pPr>
      <w:r>
        <w:rPr>
          <w:rStyle w:val="a7"/>
        </w:rPr>
        <w:footnoteRef/>
      </w:r>
      <w:r>
        <w:rPr>
          <w:rtl/>
        </w:rPr>
        <w:t xml:space="preserve"> </w:t>
      </w:r>
      <w:r w:rsidRPr="00DF144D">
        <w:rPr>
          <w:rFonts w:cs="Arial"/>
          <w:rtl/>
        </w:rPr>
        <w:t>אותם הקרקעות עצמן</w:t>
      </w:r>
      <w:r>
        <w:rPr>
          <w:rFonts w:cs="Arial" w:hint="cs"/>
          <w:rtl/>
        </w:rPr>
        <w:t>, רש"י.</w:t>
      </w:r>
    </w:p>
  </w:footnote>
  <w:footnote w:id="2630">
    <w:p w14:paraId="0D77CA29" w14:textId="77777777" w:rsidR="00DF1FC7" w:rsidRDefault="00DF1FC7" w:rsidP="002E5BAD">
      <w:pPr>
        <w:pStyle w:val="a5"/>
      </w:pPr>
      <w:r>
        <w:rPr>
          <w:rStyle w:val="a7"/>
        </w:rPr>
        <w:footnoteRef/>
      </w:r>
      <w:r>
        <w:rPr>
          <w:rtl/>
        </w:rPr>
        <w:t xml:space="preserve"> </w:t>
      </w:r>
      <w:r w:rsidRPr="00DF144D">
        <w:rPr>
          <w:rFonts w:cs="Arial"/>
          <w:rtl/>
        </w:rPr>
        <w:t>שדה יתומים למזונות או לכתובה וקבלה עליה אחריות</w:t>
      </w:r>
      <w:r>
        <w:rPr>
          <w:rFonts w:cs="Arial" w:hint="cs"/>
          <w:rtl/>
        </w:rPr>
        <w:t>, רש"י.</w:t>
      </w:r>
    </w:p>
  </w:footnote>
  <w:footnote w:id="2631">
    <w:p w14:paraId="4793399F" w14:textId="77777777" w:rsidR="00DF1FC7" w:rsidRDefault="00DF1FC7" w:rsidP="002E5BAD">
      <w:pPr>
        <w:pStyle w:val="a5"/>
        <w:rPr>
          <w:rtl/>
        </w:rPr>
      </w:pPr>
      <w:r>
        <w:rPr>
          <w:rStyle w:val="a7"/>
        </w:rPr>
        <w:footnoteRef/>
      </w:r>
      <w:r>
        <w:rPr>
          <w:rtl/>
        </w:rPr>
        <w:t xml:space="preserve"> </w:t>
      </w:r>
      <w:r w:rsidRPr="00DF144D">
        <w:rPr>
          <w:rFonts w:cs="Arial"/>
          <w:rtl/>
        </w:rPr>
        <w:t>אחריות הלקוחות חוזר על היתומים שהרי עליהן היה החוב</w:t>
      </w:r>
      <w:r>
        <w:rPr>
          <w:rFonts w:hint="cs"/>
          <w:rtl/>
        </w:rPr>
        <w:t>, רש"י.</w:t>
      </w:r>
    </w:p>
  </w:footnote>
  <w:footnote w:id="2632">
    <w:p w14:paraId="76166179" w14:textId="77777777" w:rsidR="00DF1FC7" w:rsidRDefault="00DF1FC7" w:rsidP="002E5BAD">
      <w:pPr>
        <w:pStyle w:val="a5"/>
      </w:pPr>
      <w:r>
        <w:rPr>
          <w:rStyle w:val="a7"/>
        </w:rPr>
        <w:footnoteRef/>
      </w:r>
      <w:r>
        <w:rPr>
          <w:rtl/>
        </w:rPr>
        <w:t xml:space="preserve"> </w:t>
      </w:r>
      <w:r w:rsidRPr="00DF144D">
        <w:rPr>
          <w:rFonts w:cs="Arial"/>
          <w:rtl/>
        </w:rPr>
        <w:t>והם יחזרו על היתומים</w:t>
      </w:r>
      <w:r>
        <w:rPr>
          <w:rFonts w:cs="Arial" w:hint="cs"/>
          <w:rtl/>
        </w:rPr>
        <w:t>, רש"י.</w:t>
      </w:r>
    </w:p>
  </w:footnote>
  <w:footnote w:id="2633">
    <w:p w14:paraId="53A6618E" w14:textId="77777777" w:rsidR="00DF1FC7" w:rsidRDefault="00DF1FC7" w:rsidP="002E5BAD">
      <w:pPr>
        <w:pStyle w:val="a5"/>
      </w:pPr>
      <w:r>
        <w:rPr>
          <w:rStyle w:val="a7"/>
        </w:rPr>
        <w:footnoteRef/>
      </w:r>
      <w:r>
        <w:rPr>
          <w:rtl/>
        </w:rPr>
        <w:t xml:space="preserve"> </w:t>
      </w:r>
      <w:r w:rsidRPr="00DF144D">
        <w:rPr>
          <w:rFonts w:cs="Arial"/>
          <w:rtl/>
        </w:rPr>
        <w:t>למזונות</w:t>
      </w:r>
      <w:r>
        <w:rPr>
          <w:rFonts w:cs="Arial" w:hint="cs"/>
          <w:rtl/>
        </w:rPr>
        <w:t>, רש"י.</w:t>
      </w:r>
    </w:p>
  </w:footnote>
  <w:footnote w:id="2634">
    <w:p w14:paraId="30F97581" w14:textId="77777777" w:rsidR="00DF1FC7" w:rsidRDefault="00DF1FC7" w:rsidP="002E5BAD">
      <w:pPr>
        <w:pStyle w:val="a5"/>
        <w:rPr>
          <w:rtl/>
        </w:rPr>
      </w:pPr>
      <w:r>
        <w:rPr>
          <w:rStyle w:val="a7"/>
        </w:rPr>
        <w:footnoteRef/>
      </w:r>
      <w:r>
        <w:rPr>
          <w:rtl/>
        </w:rPr>
        <w:t xml:space="preserve"> </w:t>
      </w:r>
      <w:r w:rsidRPr="00DF144D">
        <w:rPr>
          <w:rFonts w:cs="Arial"/>
          <w:rtl/>
        </w:rPr>
        <w:t>שלא יותר קרקע ליורשים אלא שיעור כתובתה</w:t>
      </w:r>
      <w:r>
        <w:rPr>
          <w:rFonts w:hint="cs"/>
          <w:rtl/>
        </w:rPr>
        <w:t>, רש"י.</w:t>
      </w:r>
    </w:p>
  </w:footnote>
  <w:footnote w:id="2635">
    <w:p w14:paraId="6D1DA56F" w14:textId="77777777" w:rsidR="00DF1FC7" w:rsidRDefault="00DF1FC7" w:rsidP="002E5BAD">
      <w:pPr>
        <w:pStyle w:val="a5"/>
      </w:pPr>
      <w:r>
        <w:rPr>
          <w:rStyle w:val="a7"/>
        </w:rPr>
        <w:footnoteRef/>
      </w:r>
      <w:r>
        <w:rPr>
          <w:rtl/>
        </w:rPr>
        <w:t xml:space="preserve"> </w:t>
      </w:r>
      <w:r w:rsidRPr="00DF144D">
        <w:rPr>
          <w:rFonts w:cs="Arial"/>
          <w:rtl/>
        </w:rPr>
        <w:t>ואותו השאר יהא סמך לה לגבות משם כתובתה</w:t>
      </w:r>
      <w:r>
        <w:rPr>
          <w:rFonts w:cs="Arial" w:hint="cs"/>
          <w:rtl/>
        </w:rPr>
        <w:t>, רש"י.</w:t>
      </w:r>
    </w:p>
  </w:footnote>
  <w:footnote w:id="2636">
    <w:p w14:paraId="25608FC8" w14:textId="77777777" w:rsidR="00DF1FC7" w:rsidRDefault="00DF1FC7" w:rsidP="002E5BAD">
      <w:pPr>
        <w:pStyle w:val="a5"/>
      </w:pPr>
      <w:r>
        <w:rPr>
          <w:rStyle w:val="a7"/>
        </w:rPr>
        <w:footnoteRef/>
      </w:r>
      <w:r>
        <w:rPr>
          <w:rtl/>
        </w:rPr>
        <w:t xml:space="preserve"> </w:t>
      </w:r>
      <w:r w:rsidRPr="00957BFA">
        <w:rPr>
          <w:rFonts w:cs="Arial"/>
          <w:rtl/>
        </w:rPr>
        <w:t>אבל אם היתומים לא ידעו מן המחיל</w:t>
      </w:r>
      <w:r>
        <w:rPr>
          <w:rFonts w:cs="Arial" w:hint="cs"/>
          <w:rtl/>
        </w:rPr>
        <w:t>ה,</w:t>
      </w:r>
      <w:r w:rsidRPr="00957BFA">
        <w:rPr>
          <w:rFonts w:cs="Arial"/>
          <w:rtl/>
        </w:rPr>
        <w:t xml:space="preserve"> כגון שמחל</w:t>
      </w:r>
      <w:r>
        <w:rPr>
          <w:rFonts w:cs="Arial" w:hint="cs"/>
          <w:rtl/>
        </w:rPr>
        <w:t>ה</w:t>
      </w:r>
      <w:r w:rsidRPr="00957BFA">
        <w:rPr>
          <w:rFonts w:cs="Arial"/>
          <w:rtl/>
        </w:rPr>
        <w:t xml:space="preserve"> לאביהם</w:t>
      </w:r>
      <w:r>
        <w:rPr>
          <w:rFonts w:cs="Arial" w:hint="cs"/>
          <w:rtl/>
        </w:rPr>
        <w:t>.</w:t>
      </w:r>
      <w:r w:rsidRPr="00957BFA">
        <w:rPr>
          <w:rFonts w:cs="Arial"/>
          <w:rtl/>
        </w:rPr>
        <w:t xml:space="preserve"> והם האמינו לה ולא השביעו</w:t>
      </w:r>
      <w:r>
        <w:rPr>
          <w:rFonts w:cs="Arial" w:hint="cs"/>
          <w:rtl/>
        </w:rPr>
        <w:t>ה,</w:t>
      </w:r>
      <w:r w:rsidRPr="00957BFA">
        <w:rPr>
          <w:rFonts w:cs="Arial"/>
          <w:rtl/>
        </w:rPr>
        <w:t xml:space="preserve"> ומכרו קרקע לצורך פרעון הכתוב</w:t>
      </w:r>
      <w:r>
        <w:rPr>
          <w:rFonts w:cs="Arial" w:hint="cs"/>
          <w:rtl/>
        </w:rPr>
        <w:t>ה</w:t>
      </w:r>
      <w:r w:rsidRPr="00957BFA">
        <w:rPr>
          <w:rFonts w:cs="Arial"/>
          <w:rtl/>
        </w:rPr>
        <w:t xml:space="preserve"> ע"פ ב"ד</w:t>
      </w:r>
      <w:r>
        <w:rPr>
          <w:rFonts w:cs="Arial" w:hint="cs"/>
          <w:rtl/>
        </w:rPr>
        <w:t>.</w:t>
      </w:r>
      <w:r w:rsidRPr="00957BFA">
        <w:rPr>
          <w:rFonts w:cs="Arial"/>
          <w:rtl/>
        </w:rPr>
        <w:t xml:space="preserve"> ואח"כ נודע שמחל</w:t>
      </w:r>
      <w:r>
        <w:rPr>
          <w:rFonts w:cs="Arial" w:hint="cs"/>
          <w:rtl/>
        </w:rPr>
        <w:t>ה</w:t>
      </w:r>
      <w:r w:rsidRPr="00957BFA">
        <w:rPr>
          <w:rFonts w:cs="Arial"/>
          <w:rtl/>
        </w:rPr>
        <w:t xml:space="preserve"> הכתובה</w:t>
      </w:r>
      <w:r>
        <w:rPr>
          <w:rFonts w:cs="Arial" w:hint="cs"/>
          <w:rtl/>
        </w:rPr>
        <w:t>,</w:t>
      </w:r>
      <w:r w:rsidRPr="00957BFA">
        <w:rPr>
          <w:rFonts w:cs="Arial"/>
          <w:rtl/>
        </w:rPr>
        <w:t xml:space="preserve"> וא"כ מה שמכרו הב"ד היה בטעות</w:t>
      </w:r>
      <w:r>
        <w:rPr>
          <w:rFonts w:cs="Arial" w:hint="cs"/>
          <w:rtl/>
        </w:rPr>
        <w:t>,</w:t>
      </w:r>
      <w:r w:rsidRPr="00957BFA">
        <w:rPr>
          <w:rFonts w:cs="Arial"/>
          <w:rtl/>
        </w:rPr>
        <w:t xml:space="preserve"> למה לא נאמר הדר זביני ויחזרו ללוקח מעותיו</w:t>
      </w:r>
      <w:r>
        <w:rPr>
          <w:rFonts w:cs="Arial" w:hint="cs"/>
          <w:rtl/>
        </w:rPr>
        <w:t>,</w:t>
      </w:r>
      <w:r w:rsidRPr="00957BFA">
        <w:rPr>
          <w:rFonts w:cs="Arial"/>
          <w:rtl/>
        </w:rPr>
        <w:t xml:space="preserve"> כי כל מכירה בטעו</w:t>
      </w:r>
      <w:r>
        <w:rPr>
          <w:rFonts w:cs="Arial" w:hint="cs"/>
          <w:rtl/>
        </w:rPr>
        <w:t>ת</w:t>
      </w:r>
      <w:r w:rsidRPr="00957BFA">
        <w:rPr>
          <w:rFonts w:cs="Arial"/>
          <w:rtl/>
        </w:rPr>
        <w:t xml:space="preserve"> הדר</w:t>
      </w:r>
      <w:r>
        <w:rPr>
          <w:rFonts w:cs="Arial" w:hint="cs"/>
          <w:rtl/>
        </w:rPr>
        <w:t xml:space="preserve"> </w:t>
      </w:r>
      <w:r>
        <w:rPr>
          <w:rFonts w:cs="Arial" w:hint="cs"/>
          <w:sz w:val="16"/>
          <w:szCs w:val="16"/>
          <w:rtl/>
        </w:rPr>
        <w:t>{</w:t>
      </w:r>
      <w:r w:rsidRPr="001269C3">
        <w:rPr>
          <w:rFonts w:cs="Arial" w:hint="cs"/>
          <w:sz w:val="16"/>
          <w:szCs w:val="16"/>
          <w:rtl/>
        </w:rPr>
        <w:t>וכ"כ הפרישה [בסי' קד] והב"ש [כאן סק"ו]</w:t>
      </w:r>
      <w:r>
        <w:rPr>
          <w:rFonts w:cs="Arial" w:hint="cs"/>
          <w:sz w:val="16"/>
          <w:szCs w:val="16"/>
          <w:rtl/>
        </w:rPr>
        <w:t>}</w:t>
      </w:r>
      <w:r>
        <w:rPr>
          <w:rFonts w:cs="Arial" w:hint="cs"/>
          <w:rtl/>
        </w:rPr>
        <w:t>.</w:t>
      </w:r>
      <w:r w:rsidRPr="00957BFA">
        <w:rPr>
          <w:rFonts w:cs="Arial"/>
          <w:rtl/>
        </w:rPr>
        <w:t xml:space="preserve"> ובב"ח </w:t>
      </w:r>
      <w:r>
        <w:rPr>
          <w:rFonts w:cs="Arial" w:hint="cs"/>
          <w:rtl/>
        </w:rPr>
        <w:t>(</w:t>
      </w:r>
      <w:r w:rsidRPr="00957BFA">
        <w:rPr>
          <w:rFonts w:cs="Arial"/>
          <w:rtl/>
        </w:rPr>
        <w:t>ס"ס קד</w:t>
      </w:r>
      <w:r>
        <w:rPr>
          <w:rFonts w:cs="Arial" w:hint="cs"/>
          <w:rtl/>
        </w:rPr>
        <w:t>)</w:t>
      </w:r>
      <w:r w:rsidRPr="00957BFA">
        <w:rPr>
          <w:rFonts w:cs="Arial"/>
          <w:rtl/>
        </w:rPr>
        <w:t xml:space="preserve"> פי</w:t>
      </w:r>
      <w:r>
        <w:rPr>
          <w:rFonts w:cs="Arial" w:hint="cs"/>
          <w:rtl/>
        </w:rPr>
        <w:t>רש</w:t>
      </w:r>
      <w:r w:rsidRPr="00957BFA">
        <w:rPr>
          <w:rFonts w:cs="Arial"/>
          <w:rtl/>
        </w:rPr>
        <w:t xml:space="preserve"> התשו</w:t>
      </w:r>
      <w:r>
        <w:rPr>
          <w:rFonts w:cs="Arial" w:hint="cs"/>
          <w:rtl/>
        </w:rPr>
        <w:t>בה</w:t>
      </w:r>
      <w:r w:rsidRPr="00957BFA">
        <w:rPr>
          <w:rFonts w:cs="Arial"/>
          <w:rtl/>
        </w:rPr>
        <w:t xml:space="preserve"> של הרא"ש הנ"ל בזה הלשון</w:t>
      </w:r>
      <w:r>
        <w:rPr>
          <w:rFonts w:cs="Arial" w:hint="cs"/>
          <w:rtl/>
        </w:rPr>
        <w:t>-</w:t>
      </w:r>
      <w:r w:rsidRPr="00957BFA">
        <w:rPr>
          <w:rFonts w:cs="Arial"/>
          <w:rtl/>
        </w:rPr>
        <w:t xml:space="preserve"> פירוש מרמה עשו</w:t>
      </w:r>
      <w:r>
        <w:rPr>
          <w:rFonts w:cs="Arial" w:hint="cs"/>
          <w:rtl/>
        </w:rPr>
        <w:t>,</w:t>
      </w:r>
      <w:r w:rsidRPr="00957BFA">
        <w:rPr>
          <w:rFonts w:cs="Arial"/>
          <w:rtl/>
        </w:rPr>
        <w:t xml:space="preserve"> שרימו את האשה ואנסו</w:t>
      </w:r>
      <w:r>
        <w:rPr>
          <w:rFonts w:cs="Arial" w:hint="cs"/>
          <w:rtl/>
        </w:rPr>
        <w:t>ה</w:t>
      </w:r>
      <w:r w:rsidRPr="00957BFA">
        <w:rPr>
          <w:rFonts w:cs="Arial"/>
          <w:rtl/>
        </w:rPr>
        <w:t xml:space="preserve"> עד שמחל</w:t>
      </w:r>
      <w:r>
        <w:rPr>
          <w:rFonts w:cs="Arial" w:hint="cs"/>
          <w:rtl/>
        </w:rPr>
        <w:t>ה</w:t>
      </w:r>
      <w:r w:rsidRPr="00957BFA">
        <w:rPr>
          <w:rFonts w:cs="Arial"/>
          <w:rtl/>
        </w:rPr>
        <w:t xml:space="preserve"> להם הכתוב</w:t>
      </w:r>
      <w:r>
        <w:rPr>
          <w:rFonts w:cs="Arial" w:hint="cs"/>
          <w:rtl/>
        </w:rPr>
        <w:t>ה,</w:t>
      </w:r>
      <w:r w:rsidRPr="00957BFA">
        <w:rPr>
          <w:rFonts w:cs="Arial"/>
          <w:rtl/>
        </w:rPr>
        <w:t xml:space="preserve"> דכיון דכבר הכריזו עליה הב"ד היה להם לפרסם המחיל</w:t>
      </w:r>
      <w:r>
        <w:rPr>
          <w:rFonts w:cs="Arial" w:hint="cs"/>
          <w:rtl/>
        </w:rPr>
        <w:t>ה</w:t>
      </w:r>
      <w:r w:rsidRPr="00957BFA">
        <w:rPr>
          <w:rFonts w:cs="Arial"/>
          <w:rtl/>
        </w:rPr>
        <w:t xml:space="preserve"> מיד</w:t>
      </w:r>
      <w:r>
        <w:rPr>
          <w:rFonts w:cs="Arial" w:hint="cs"/>
          <w:rtl/>
        </w:rPr>
        <w:t>,</w:t>
      </w:r>
      <w:r w:rsidRPr="00957BFA">
        <w:rPr>
          <w:rFonts w:cs="Arial"/>
          <w:rtl/>
        </w:rPr>
        <w:t xml:space="preserve"> וכיון שלא עשו כן אין ספק שהיה שם שחוק או היתול</w:t>
      </w:r>
      <w:r>
        <w:rPr>
          <w:rFonts w:cs="Arial" w:hint="cs"/>
          <w:rtl/>
        </w:rPr>
        <w:t>.</w:t>
      </w:r>
      <w:r w:rsidRPr="00957BFA">
        <w:rPr>
          <w:rFonts w:cs="Arial"/>
          <w:rtl/>
        </w:rPr>
        <w:t xml:space="preserve"> עכ"ל</w:t>
      </w:r>
      <w:r>
        <w:rPr>
          <w:rFonts w:cs="Arial" w:hint="cs"/>
          <w:rtl/>
        </w:rPr>
        <w:t>.</w:t>
      </w:r>
      <w:r w:rsidRPr="00957BFA">
        <w:rPr>
          <w:rFonts w:cs="Arial"/>
          <w:rtl/>
        </w:rPr>
        <w:t xml:space="preserve"> ואם כן לפ"ד המחיל</w:t>
      </w:r>
      <w:r>
        <w:rPr>
          <w:rFonts w:cs="Arial" w:hint="cs"/>
          <w:rtl/>
        </w:rPr>
        <w:t>ה</w:t>
      </w:r>
      <w:r w:rsidRPr="00957BFA">
        <w:rPr>
          <w:rFonts w:cs="Arial"/>
          <w:rtl/>
        </w:rPr>
        <w:t xml:space="preserve"> בטיל</w:t>
      </w:r>
      <w:r>
        <w:rPr>
          <w:rFonts w:cs="Arial" w:hint="cs"/>
          <w:rtl/>
        </w:rPr>
        <w:t>ה,</w:t>
      </w:r>
      <w:r w:rsidRPr="00957BFA">
        <w:rPr>
          <w:rFonts w:cs="Arial"/>
          <w:rtl/>
        </w:rPr>
        <w:t xml:space="preserve"> ואם עדיין לא שלמו לאשה צריכין לשלם לה</w:t>
      </w:r>
      <w:r>
        <w:rPr>
          <w:rFonts w:cs="Arial" w:hint="cs"/>
          <w:rtl/>
        </w:rPr>
        <w:t>.</w:t>
      </w:r>
      <w:r w:rsidRPr="00957BFA">
        <w:rPr>
          <w:rFonts w:cs="Arial"/>
          <w:rtl/>
        </w:rPr>
        <w:t xml:space="preserve"> ולי נראה כמ</w:t>
      </w:r>
      <w:r>
        <w:rPr>
          <w:rFonts w:cs="Arial" w:hint="cs"/>
          <w:rtl/>
        </w:rPr>
        <w:t xml:space="preserve">ו </w:t>
      </w:r>
      <w:r w:rsidRPr="00957BFA">
        <w:rPr>
          <w:rFonts w:cs="Arial"/>
          <w:rtl/>
        </w:rPr>
        <w:t>ש</w:t>
      </w:r>
      <w:r>
        <w:rPr>
          <w:rFonts w:cs="Arial" w:hint="cs"/>
          <w:rtl/>
        </w:rPr>
        <w:t>כתבתי,</w:t>
      </w:r>
      <w:r w:rsidRPr="00957BFA">
        <w:rPr>
          <w:rFonts w:cs="Arial"/>
          <w:rtl/>
        </w:rPr>
        <w:t xml:space="preserve"> כי המחיל</w:t>
      </w:r>
      <w:r>
        <w:rPr>
          <w:rFonts w:cs="Arial" w:hint="cs"/>
          <w:rtl/>
        </w:rPr>
        <w:t>ה</w:t>
      </w:r>
      <w:r w:rsidRPr="00957BFA">
        <w:rPr>
          <w:rFonts w:cs="Arial"/>
          <w:rtl/>
        </w:rPr>
        <w:t xml:space="preserve"> טובה לגבי היתומים</w:t>
      </w:r>
      <w:r>
        <w:rPr>
          <w:rFonts w:cs="Arial" w:hint="cs"/>
          <w:rtl/>
        </w:rPr>
        <w:t>,</w:t>
      </w:r>
      <w:r w:rsidRPr="00957BFA">
        <w:rPr>
          <w:rFonts w:cs="Arial"/>
          <w:rtl/>
        </w:rPr>
        <w:t xml:space="preserve"> אך לגבי לוקח הוי מרמה</w:t>
      </w:r>
      <w:r>
        <w:rPr>
          <w:rFonts w:cs="Arial" w:hint="cs"/>
          <w:rtl/>
        </w:rPr>
        <w:t>,</w:t>
      </w:r>
      <w:r w:rsidRPr="00957BFA">
        <w:rPr>
          <w:rFonts w:cs="Arial"/>
          <w:rtl/>
        </w:rPr>
        <w:t xml:space="preserve"> ע"כ לא מהני</w:t>
      </w:r>
      <w:r>
        <w:rPr>
          <w:rFonts w:cs="Arial" w:hint="cs"/>
          <w:rtl/>
        </w:rPr>
        <w:t>.</w:t>
      </w:r>
      <w:r w:rsidRPr="00957BFA">
        <w:rPr>
          <w:rFonts w:cs="Arial"/>
          <w:rtl/>
        </w:rPr>
        <w:t xml:space="preserve"> אבל האלמנ</w:t>
      </w:r>
      <w:r>
        <w:rPr>
          <w:rFonts w:cs="Arial" w:hint="cs"/>
          <w:rtl/>
        </w:rPr>
        <w:t>ה</w:t>
      </w:r>
      <w:r w:rsidRPr="00957BFA">
        <w:rPr>
          <w:rFonts w:cs="Arial"/>
          <w:rtl/>
        </w:rPr>
        <w:t xml:space="preserve"> אם לקח</w:t>
      </w:r>
      <w:r>
        <w:rPr>
          <w:rFonts w:cs="Arial" w:hint="cs"/>
          <w:rtl/>
        </w:rPr>
        <w:t>ה</w:t>
      </w:r>
      <w:r w:rsidRPr="00957BFA">
        <w:rPr>
          <w:rFonts w:cs="Arial"/>
          <w:rtl/>
        </w:rPr>
        <w:t xml:space="preserve"> מעות אחר המחיל</w:t>
      </w:r>
      <w:r>
        <w:rPr>
          <w:rFonts w:cs="Arial" w:hint="cs"/>
          <w:rtl/>
        </w:rPr>
        <w:t>ה</w:t>
      </w:r>
      <w:r w:rsidRPr="00957BFA">
        <w:rPr>
          <w:rFonts w:cs="Arial"/>
          <w:rtl/>
        </w:rPr>
        <w:t xml:space="preserve"> </w:t>
      </w:r>
      <w:r>
        <w:rPr>
          <w:rFonts w:cs="Arial" w:hint="cs"/>
          <w:rtl/>
        </w:rPr>
        <w:t xml:space="preserve">- </w:t>
      </w:r>
      <w:r w:rsidRPr="00957BFA">
        <w:rPr>
          <w:rFonts w:cs="Arial"/>
          <w:rtl/>
        </w:rPr>
        <w:t>תחזיר</w:t>
      </w:r>
      <w:r>
        <w:rPr>
          <w:rFonts w:cs="Arial" w:hint="cs"/>
          <w:rtl/>
        </w:rPr>
        <w:t>,</w:t>
      </w:r>
      <w:r w:rsidRPr="00957BFA">
        <w:rPr>
          <w:rFonts w:cs="Arial"/>
          <w:rtl/>
        </w:rPr>
        <w:t xml:space="preserve"> ואם לא לקחה </w:t>
      </w:r>
      <w:r>
        <w:rPr>
          <w:rFonts w:cs="Arial" w:hint="cs"/>
          <w:rtl/>
        </w:rPr>
        <w:t xml:space="preserve">- </w:t>
      </w:r>
      <w:r w:rsidRPr="00957BFA">
        <w:rPr>
          <w:rFonts w:cs="Arial"/>
          <w:rtl/>
        </w:rPr>
        <w:t>לא תטול</w:t>
      </w:r>
      <w:r>
        <w:rPr>
          <w:rFonts w:cs="Arial" w:hint="cs"/>
          <w:rtl/>
        </w:rPr>
        <w:t>, ח"מ (סק"ו).</w:t>
      </w:r>
      <w:r>
        <w:rPr>
          <w:rFonts w:hint="cs"/>
          <w:rtl/>
        </w:rPr>
        <w:t xml:space="preserve"> </w:t>
      </w:r>
    </w:p>
  </w:footnote>
  <w:footnote w:id="2637">
    <w:p w14:paraId="0478BA43" w14:textId="77777777" w:rsidR="00DF1FC7" w:rsidRDefault="00DF1FC7" w:rsidP="002E5BAD">
      <w:pPr>
        <w:pStyle w:val="a5"/>
      </w:pPr>
      <w:r>
        <w:rPr>
          <w:rStyle w:val="a7"/>
        </w:rPr>
        <w:footnoteRef/>
      </w:r>
      <w:r>
        <w:rPr>
          <w:rtl/>
        </w:rPr>
        <w:t xml:space="preserve"> </w:t>
      </w:r>
      <w:r w:rsidRPr="001269C3">
        <w:rPr>
          <w:rFonts w:cs="Arial"/>
          <w:rtl/>
        </w:rPr>
        <w:t>היינו ב"ח מוקדם לכתובה יכול לטרוף ולא ב"ח מאוחר כיון שנמכר לצורך פרעון כתובה יש ללוקח הזכות שלה כמ"ש בח"ה סי' ק"ד וע' בטור שכתב עצה טובה שתפרש מה שמכרה לכתובה שלא יאמרו שמכרה הכל למזונות ויקראו אותה רעבתנית ואם אינה חוששת לזה טוב לה שלא תפרש כדי שתוכל לומר שמכרה למזונות ותטרף בכתובה מן הלקוחות שלקחו מן הבעל אבל מה שמכרה היא א"י לטרוף כי אחריות דנפשה קבלה וע' בתוס' בסוגי' זו דאין זו אונאה ושקר משום ע"פ הדין גם מזונות יכולה לטרוף אלא תקנות חז"ל היא שלא תטרוף והכא ה"ל ללקוחות לאסוקי דעתם ולהניח לב"ח כשיעור הכתובה</w:t>
      </w:r>
      <w:r>
        <w:rPr>
          <w:rFonts w:cs="Arial" w:hint="cs"/>
          <w:rtl/>
        </w:rPr>
        <w:t>, ב"ש (סק"ה).</w:t>
      </w:r>
    </w:p>
  </w:footnote>
  <w:footnote w:id="2638">
    <w:p w14:paraId="268E3E36" w14:textId="77777777" w:rsidR="00DF1FC7" w:rsidRDefault="00DF1FC7" w:rsidP="002E5BAD">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2639">
    <w:p w14:paraId="39F554FD" w14:textId="77777777" w:rsidR="00DF1FC7" w:rsidRDefault="00DF1FC7" w:rsidP="002E5BAD">
      <w:pPr>
        <w:pStyle w:val="a5"/>
        <w:rPr>
          <w:rtl/>
        </w:rPr>
      </w:pPr>
      <w:r>
        <w:rPr>
          <w:rStyle w:val="a7"/>
        </w:rPr>
        <w:footnoteRef/>
      </w:r>
      <w:r>
        <w:rPr>
          <w:rtl/>
        </w:rPr>
        <w:t xml:space="preserve"> </w:t>
      </w:r>
      <w:r w:rsidRPr="00936F3C">
        <w:rPr>
          <w:rFonts w:cs="Arial"/>
          <w:rtl/>
        </w:rPr>
        <w:t>שהיא מוכרת למזונות מוכרת שלא בבית דין</w:t>
      </w:r>
      <w:r>
        <w:rPr>
          <w:rFonts w:hint="cs"/>
          <w:rtl/>
        </w:rPr>
        <w:t>, רש"י.</w:t>
      </w:r>
    </w:p>
  </w:footnote>
  <w:footnote w:id="2640">
    <w:p w14:paraId="13CA50AB" w14:textId="77777777" w:rsidR="00DF1FC7" w:rsidRDefault="00DF1FC7" w:rsidP="002E5BAD">
      <w:pPr>
        <w:pStyle w:val="a5"/>
      </w:pPr>
      <w:r>
        <w:rPr>
          <w:rStyle w:val="a7"/>
        </w:rPr>
        <w:footnoteRef/>
      </w:r>
      <w:r>
        <w:rPr>
          <w:rtl/>
        </w:rPr>
        <w:t xml:space="preserve"> </w:t>
      </w:r>
      <w:r w:rsidRPr="00936F3C">
        <w:rPr>
          <w:rFonts w:cs="Arial"/>
          <w:rtl/>
        </w:rPr>
        <w:t>שהיא מוכרת למזונות</w:t>
      </w:r>
      <w:r>
        <w:rPr>
          <w:rFonts w:cs="Arial" w:hint="cs"/>
          <w:rtl/>
        </w:rPr>
        <w:t>, רש"י.</w:t>
      </w:r>
    </w:p>
  </w:footnote>
  <w:footnote w:id="2641">
    <w:p w14:paraId="53857308" w14:textId="77777777" w:rsidR="00DF1FC7" w:rsidRDefault="00DF1FC7" w:rsidP="002E5BAD">
      <w:pPr>
        <w:pStyle w:val="a5"/>
      </w:pPr>
      <w:r>
        <w:rPr>
          <w:rStyle w:val="a7"/>
        </w:rPr>
        <w:footnoteRef/>
      </w:r>
      <w:r>
        <w:rPr>
          <w:rtl/>
        </w:rPr>
        <w:t xml:space="preserve"> </w:t>
      </w:r>
      <w:r w:rsidRPr="00936F3C">
        <w:rPr>
          <w:rFonts w:cs="Arial"/>
          <w:rtl/>
        </w:rPr>
        <w:t>שאי אפשר לה להיות יושבת ומתענה עד שיזדקקו לה בית דין אבל מן האירוסין שאין מכירתה אלא לכתובה לא תמכור אלא בבית דין</w:t>
      </w:r>
      <w:r>
        <w:rPr>
          <w:rFonts w:cs="Arial" w:hint="cs"/>
          <w:rtl/>
        </w:rPr>
        <w:t>, רשי.</w:t>
      </w:r>
    </w:p>
  </w:footnote>
  <w:footnote w:id="2642">
    <w:p w14:paraId="419ADB9D" w14:textId="77777777" w:rsidR="00DF1FC7" w:rsidRDefault="00DF1FC7" w:rsidP="002E5BAD">
      <w:pPr>
        <w:pStyle w:val="a5"/>
        <w:rPr>
          <w:rtl/>
        </w:rPr>
      </w:pPr>
      <w:r>
        <w:rPr>
          <w:rStyle w:val="a7"/>
        </w:rPr>
        <w:footnoteRef/>
      </w:r>
      <w:r>
        <w:rPr>
          <w:rtl/>
        </w:rPr>
        <w:t xml:space="preserve"> </w:t>
      </w:r>
      <w:r w:rsidRPr="004303EE">
        <w:rPr>
          <w:rFonts w:cs="Arial"/>
          <w:rtl/>
        </w:rPr>
        <w:t>פרש"י ז"ל שיהו בעליהן לחן בעיניהם ולא ימנעו הנשים מלינשא לאנשים</w:t>
      </w:r>
      <w:r>
        <w:rPr>
          <w:rFonts w:cs="Arial" w:hint="cs"/>
          <w:rtl/>
        </w:rPr>
        <w:t>.</w:t>
      </w:r>
      <w:r w:rsidRPr="004303EE">
        <w:rPr>
          <w:rFonts w:cs="Arial"/>
          <w:rtl/>
        </w:rPr>
        <w:t xml:space="preserve"> ורבינו חננאל ז"ל פירש כדי שתהא נדוניא לנשים שבשבילה ימצאו חן בעיני האנשים וישאו אותם</w:t>
      </w:r>
      <w:r>
        <w:rPr>
          <w:rFonts w:cs="Arial" w:hint="cs"/>
          <w:rtl/>
        </w:rPr>
        <w:t>.</w:t>
      </w:r>
      <w:r w:rsidRPr="004303EE">
        <w:rPr>
          <w:rFonts w:cs="Arial"/>
          <w:rtl/>
        </w:rPr>
        <w:t xml:space="preserve"> וכן פירש הרי"ף ז"ל לקמן בפרקין</w:t>
      </w:r>
      <w:r>
        <w:rPr>
          <w:rFonts w:cs="Arial" w:hint="cs"/>
          <w:rtl/>
        </w:rPr>
        <w:t>.</w:t>
      </w:r>
      <w:r w:rsidRPr="004303EE">
        <w:rPr>
          <w:rFonts w:cs="Arial"/>
          <w:rtl/>
        </w:rPr>
        <w:t xml:space="preserve"> וכ"כ הרמב"ם ז"ל בפי"ב מהלכות מלוה ולוה ועיקר</w:t>
      </w:r>
      <w:r>
        <w:rPr>
          <w:rFonts w:cs="Arial" w:hint="cs"/>
          <w:rtl/>
        </w:rPr>
        <w:t>, ר"ן (נו: מדפה"ר). וכפירוש ר"ח כן פירש הערוך (מובא בתוס' [כתובות פד. ד"ה לכתובת, השני])</w:t>
      </w:r>
      <w:r>
        <w:rPr>
          <w:rFonts w:hint="cs"/>
          <w:rtl/>
        </w:rPr>
        <w:t xml:space="preserve"> וכן משמע בירושלמי.</w:t>
      </w:r>
    </w:p>
  </w:footnote>
  <w:footnote w:id="2643">
    <w:p w14:paraId="6CE7EA7A" w14:textId="77777777" w:rsidR="00DF1FC7" w:rsidRDefault="00DF1FC7" w:rsidP="002E5BAD">
      <w:pPr>
        <w:pStyle w:val="a5"/>
      </w:pPr>
      <w:r>
        <w:rPr>
          <w:rStyle w:val="a7"/>
        </w:rPr>
        <w:footnoteRef/>
      </w:r>
      <w:r>
        <w:rPr>
          <w:rtl/>
        </w:rPr>
        <w:t xml:space="preserve"> </w:t>
      </w:r>
      <w:r>
        <w:rPr>
          <w:rFonts w:hint="cs"/>
          <w:rtl/>
        </w:rPr>
        <w:t xml:space="preserve">לפנינו בגמרא איתא </w:t>
      </w:r>
      <w:r>
        <w:rPr>
          <w:rtl/>
        </w:rPr>
        <w:t>–</w:t>
      </w:r>
      <w:r>
        <w:rPr>
          <w:rFonts w:hint="cs"/>
          <w:rtl/>
        </w:rPr>
        <w:t xml:space="preserve"> ר' יוחנן. אך הרי"ף (נו:) הר"ן (שם) והב"י כתבו </w:t>
      </w:r>
      <w:r>
        <w:rPr>
          <w:rtl/>
        </w:rPr>
        <w:t>–</w:t>
      </w:r>
      <w:r>
        <w:rPr>
          <w:rFonts w:hint="cs"/>
          <w:rtl/>
        </w:rPr>
        <w:t xml:space="preserve"> 'רב יהודה'.</w:t>
      </w:r>
    </w:p>
  </w:footnote>
  <w:footnote w:id="2644">
    <w:p w14:paraId="181B3F5C" w14:textId="77777777" w:rsidR="00DF1FC7" w:rsidRDefault="00DF1FC7" w:rsidP="002E5BAD">
      <w:pPr>
        <w:pStyle w:val="a5"/>
      </w:pPr>
      <w:r>
        <w:rPr>
          <w:rStyle w:val="a7"/>
        </w:rPr>
        <w:footnoteRef/>
      </w:r>
      <w:r>
        <w:rPr>
          <w:rtl/>
        </w:rPr>
        <w:t xml:space="preserve"> </w:t>
      </w:r>
      <w:r w:rsidRPr="00D376E3">
        <w:rPr>
          <w:rFonts w:cs="Arial"/>
          <w:rtl/>
        </w:rPr>
        <w:t>דלית ליה חינא דגבי אלמנה מן האירוסין נמי משום דלכתובה קא מזבנה אמר לא תמכור אלא בב"ד</w:t>
      </w:r>
      <w:r>
        <w:rPr>
          <w:rFonts w:cs="Arial" w:hint="cs"/>
          <w:rtl/>
        </w:rPr>
        <w:t>, רש"י.</w:t>
      </w:r>
    </w:p>
  </w:footnote>
  <w:footnote w:id="2645">
    <w:p w14:paraId="685A7BC5" w14:textId="77777777" w:rsidR="00DF1FC7" w:rsidRDefault="00DF1FC7" w:rsidP="002E5BAD">
      <w:pPr>
        <w:pStyle w:val="a5"/>
      </w:pPr>
      <w:r>
        <w:rPr>
          <w:rStyle w:val="a7"/>
        </w:rPr>
        <w:footnoteRef/>
      </w:r>
      <w:r>
        <w:rPr>
          <w:rtl/>
        </w:rPr>
        <w:t xml:space="preserve"> </w:t>
      </w:r>
      <w:r>
        <w:rPr>
          <w:rFonts w:cs="Arial" w:hint="cs"/>
          <w:rtl/>
        </w:rPr>
        <w:t>ואע"ג ש</w:t>
      </w:r>
      <w:r w:rsidRPr="00D50507">
        <w:rPr>
          <w:rFonts w:cs="Arial"/>
          <w:rtl/>
        </w:rPr>
        <w:t xml:space="preserve">כתב </w:t>
      </w:r>
      <w:r>
        <w:rPr>
          <w:rFonts w:cs="Arial" w:hint="cs"/>
          <w:rtl/>
        </w:rPr>
        <w:t xml:space="preserve">הרמב"ם </w:t>
      </w:r>
      <w:r w:rsidRPr="00D50507">
        <w:rPr>
          <w:rFonts w:cs="Arial"/>
          <w:rtl/>
        </w:rPr>
        <w:t>בפי"ב מהלכות מלוה (ה"ג) דנזקקין לנכסי יתומים משום חינא</w:t>
      </w:r>
      <w:r>
        <w:rPr>
          <w:rFonts w:cs="Arial" w:hint="cs"/>
          <w:rtl/>
        </w:rPr>
        <w:t>, מכל מקום לא נמנע לכתוב</w:t>
      </w:r>
      <w:r w:rsidRPr="00D50507">
        <w:rPr>
          <w:rFonts w:cs="Arial"/>
          <w:rtl/>
        </w:rPr>
        <w:t xml:space="preserve"> בפי"ז מהלכות אישות (הי"ג)</w:t>
      </w:r>
      <w:r>
        <w:rPr>
          <w:rFonts w:cs="Arial" w:hint="cs"/>
          <w:rtl/>
        </w:rPr>
        <w:t>- '</w:t>
      </w:r>
      <w:r w:rsidRPr="00D50507">
        <w:rPr>
          <w:rFonts w:cs="Arial"/>
          <w:rtl/>
        </w:rPr>
        <w:t>וגרושה לא תמכור אלא בבית דין</w:t>
      </w:r>
      <w:r>
        <w:rPr>
          <w:rFonts w:cs="Arial" w:hint="cs"/>
          <w:rtl/>
        </w:rPr>
        <w:t>'</w:t>
      </w:r>
      <w:r w:rsidRPr="00D50507">
        <w:rPr>
          <w:rFonts w:cs="Arial"/>
          <w:rtl/>
        </w:rPr>
        <w:t>. וכתב הרב המגיד שטעמו משום דע"כ לא קיי"ל טענת חן אלא להזדקק לנכסי יתומים קטנים לפי שתפסיד בהמתנה</w:t>
      </w:r>
      <w:r w:rsidRPr="00D50507">
        <w:rPr>
          <w:rFonts w:cs="Arial" w:hint="cs"/>
          <w:rtl/>
        </w:rPr>
        <w:t>,</w:t>
      </w:r>
      <w:r w:rsidRPr="00D50507">
        <w:rPr>
          <w:rFonts w:cs="Arial"/>
          <w:rtl/>
        </w:rPr>
        <w:t xml:space="preserve"> אבל למכור שלא בבית דין לית לן ההוא טעמא שהרי איפשר לה בבית דין</w:t>
      </w:r>
      <w:r>
        <w:rPr>
          <w:rFonts w:cs="Arial" w:hint="cs"/>
          <w:rtl/>
        </w:rPr>
        <w:t>.</w:t>
      </w:r>
      <w:r w:rsidRPr="00D50507">
        <w:rPr>
          <w:rFonts w:cs="Arial"/>
          <w:rtl/>
        </w:rPr>
        <w:t xml:space="preserve"> אלא לא אמרו מוכרת שלא בבית דין אלא מפני שאדם רוצה שלא תתבזה אשתו בבית דין וכדברי האומר כן</w:t>
      </w:r>
      <w:r>
        <w:rPr>
          <w:rFonts w:cs="Arial" w:hint="cs"/>
          <w:rtl/>
        </w:rPr>
        <w:t>.</w:t>
      </w:r>
      <w:r w:rsidRPr="00D50507">
        <w:rPr>
          <w:rFonts w:cs="Arial"/>
          <w:rtl/>
        </w:rPr>
        <w:t xml:space="preserve"> ואין זה הטעם בגרושה</w:t>
      </w:r>
      <w:r>
        <w:rPr>
          <w:rFonts w:cs="Arial" w:hint="cs"/>
          <w:rtl/>
        </w:rPr>
        <w:t>.</w:t>
      </w:r>
      <w:r w:rsidRPr="00D50507">
        <w:rPr>
          <w:rFonts w:cs="Arial"/>
          <w:rtl/>
        </w:rPr>
        <w:t xml:space="preserve"> לפיכך לא תמכור אלא בבית דין</w:t>
      </w:r>
      <w:r>
        <w:rPr>
          <w:rFonts w:cs="Arial" w:hint="cs"/>
          <w:rtl/>
        </w:rPr>
        <w:t>.</w:t>
      </w:r>
      <w:r w:rsidRPr="00D50507">
        <w:rPr>
          <w:rFonts w:cs="Arial"/>
          <w:rtl/>
        </w:rPr>
        <w:t xml:space="preserve"> זהו דעת רבינו וקצת נראה מן ההלכות (רי"ף נו:) כן ועיקר עכ"ל.</w:t>
      </w:r>
      <w:r>
        <w:rPr>
          <w:rFonts w:cs="Arial" w:hint="cs"/>
          <w:rtl/>
        </w:rPr>
        <w:t xml:space="preserve"> ואמנם </w:t>
      </w:r>
      <w:r w:rsidRPr="00AC5956">
        <w:rPr>
          <w:rFonts w:cs="Arial"/>
          <w:rtl/>
        </w:rPr>
        <w:t xml:space="preserve">הר"ן (שם) כתב על טעם זה </w:t>
      </w:r>
      <w:r>
        <w:rPr>
          <w:rFonts w:cs="Arial" w:hint="cs"/>
          <w:rtl/>
        </w:rPr>
        <w:t>ש</w:t>
      </w:r>
      <w:r w:rsidRPr="00AC5956">
        <w:rPr>
          <w:rFonts w:cs="Arial"/>
          <w:rtl/>
        </w:rPr>
        <w:t>אינו מחוור</w:t>
      </w:r>
      <w:r w:rsidRPr="00AC5956">
        <w:rPr>
          <w:rFonts w:cs="Arial" w:hint="cs"/>
          <w:rtl/>
        </w:rPr>
        <w:t xml:space="preserve"> </w:t>
      </w:r>
      <w:r w:rsidRPr="00AC5956">
        <w:rPr>
          <w:rFonts w:cs="Arial" w:hint="cs"/>
          <w:sz w:val="16"/>
          <w:szCs w:val="16"/>
          <w:rtl/>
        </w:rPr>
        <w:t>(וז"ל- ו</w:t>
      </w:r>
      <w:r w:rsidRPr="00AC5956">
        <w:rPr>
          <w:rFonts w:cs="Arial"/>
          <w:sz w:val="16"/>
          <w:szCs w:val="16"/>
          <w:rtl/>
        </w:rPr>
        <w:t>אינו מחוור לי דבשלמא אי לא אמרה רב יהודה גופיה התם (ערכין כב.) אלא אמוראה אחרינא שפיר אבל כיון דחזינן דרב יהודה אפילו בנזקקין לא חייש לחינא משמע דהכא לטעמיה אזיל דלא חייש לחינא כלל וכיון דהתם לא קיי"ל כוותיה מאן פלג לן דלימא דבהא מיהא נקיטינן כוותיה וצ"ע</w:t>
      </w:r>
      <w:r>
        <w:rPr>
          <w:rFonts w:cs="Arial" w:hint="cs"/>
          <w:sz w:val="16"/>
          <w:szCs w:val="16"/>
          <w:rtl/>
        </w:rPr>
        <w:t>, עכ"ל)</w:t>
      </w:r>
      <w:r>
        <w:rPr>
          <w:rFonts w:cs="Arial" w:hint="cs"/>
          <w:rtl/>
        </w:rPr>
        <w:t>.</w:t>
      </w:r>
      <w:r w:rsidRPr="00AC5956">
        <w:rPr>
          <w:rFonts w:cs="Arial"/>
          <w:rtl/>
        </w:rPr>
        <w:t xml:space="preserve"> </w:t>
      </w:r>
      <w:r>
        <w:rPr>
          <w:rFonts w:cs="Arial" w:hint="cs"/>
          <w:rtl/>
        </w:rPr>
        <w:t xml:space="preserve">אבל לפי גירסתנו בגמרא שטעם זה (שאין רוצה שאשתו תתבזה בבית דין) אמרו ר' יוחנן </w:t>
      </w:r>
      <w:r>
        <w:rPr>
          <w:rFonts w:cs="Arial"/>
          <w:rtl/>
        </w:rPr>
        <w:t>–</w:t>
      </w:r>
      <w:r>
        <w:rPr>
          <w:rFonts w:cs="Arial" w:hint="cs"/>
          <w:rtl/>
        </w:rPr>
        <w:t xml:space="preserve"> שפיר דמי ולא קשיא לן קושיית הר"ן. </w:t>
      </w:r>
      <w:r w:rsidRPr="0094692F">
        <w:rPr>
          <w:rFonts w:cs="Arial" w:hint="cs"/>
          <w:sz w:val="16"/>
          <w:szCs w:val="16"/>
          <w:rtl/>
        </w:rPr>
        <w:t xml:space="preserve">(אך הרשב"א (בתשו' ח"ד סי' מא) כתב </w:t>
      </w:r>
      <w:r w:rsidRPr="0094692F">
        <w:rPr>
          <w:rFonts w:cs="Arial"/>
          <w:sz w:val="16"/>
          <w:szCs w:val="16"/>
          <w:rtl/>
        </w:rPr>
        <w:t xml:space="preserve">לפי מה שכתב הרמב"ם </w:t>
      </w:r>
      <w:r w:rsidRPr="0094692F">
        <w:rPr>
          <w:rFonts w:cs="Arial" w:hint="cs"/>
          <w:sz w:val="16"/>
          <w:szCs w:val="16"/>
          <w:rtl/>
        </w:rPr>
        <w:t>ב</w:t>
      </w:r>
      <w:r w:rsidRPr="0094692F">
        <w:rPr>
          <w:rFonts w:cs="Arial"/>
          <w:sz w:val="16"/>
          <w:szCs w:val="16"/>
          <w:rtl/>
        </w:rPr>
        <w:t>פי"ב מהל</w:t>
      </w:r>
      <w:r w:rsidRPr="0094692F">
        <w:rPr>
          <w:rFonts w:cs="Arial" w:hint="cs"/>
          <w:sz w:val="16"/>
          <w:szCs w:val="16"/>
          <w:rtl/>
        </w:rPr>
        <w:t xml:space="preserve">' </w:t>
      </w:r>
      <w:r w:rsidRPr="0094692F">
        <w:rPr>
          <w:rFonts w:cs="Arial"/>
          <w:sz w:val="16"/>
          <w:szCs w:val="16"/>
          <w:rtl/>
        </w:rPr>
        <w:t>מלוה ולוה נראה שהוא סבור ששתי הלשונות שנאמרו בערכין פרק שום היתומים (כב</w:t>
      </w:r>
      <w:r w:rsidRPr="0094692F">
        <w:rPr>
          <w:rFonts w:cs="Arial" w:hint="cs"/>
          <w:sz w:val="16"/>
          <w:szCs w:val="16"/>
          <w:rtl/>
        </w:rPr>
        <w:t>.</w:t>
      </w:r>
      <w:r w:rsidRPr="0094692F">
        <w:rPr>
          <w:rFonts w:cs="Arial"/>
          <w:sz w:val="16"/>
          <w:szCs w:val="16"/>
          <w:rtl/>
        </w:rPr>
        <w:t>) בכתובת אשה</w:t>
      </w:r>
      <w:r w:rsidRPr="0094692F">
        <w:rPr>
          <w:rFonts w:cs="Arial" w:hint="cs"/>
          <w:sz w:val="16"/>
          <w:szCs w:val="16"/>
          <w:rtl/>
        </w:rPr>
        <w:t>,</w:t>
      </w:r>
      <w:r w:rsidRPr="0094692F">
        <w:rPr>
          <w:rFonts w:cs="Arial"/>
          <w:sz w:val="16"/>
          <w:szCs w:val="16"/>
          <w:rtl/>
        </w:rPr>
        <w:t xml:space="preserve"> משום מזוני</w:t>
      </w:r>
      <w:r w:rsidRPr="0094692F">
        <w:rPr>
          <w:rFonts w:cs="Arial" w:hint="cs"/>
          <w:sz w:val="16"/>
          <w:szCs w:val="16"/>
          <w:rtl/>
        </w:rPr>
        <w:t>,</w:t>
      </w:r>
      <w:r w:rsidRPr="0094692F">
        <w:rPr>
          <w:rFonts w:cs="Arial"/>
          <w:sz w:val="16"/>
          <w:szCs w:val="16"/>
          <w:rtl/>
        </w:rPr>
        <w:t xml:space="preserve"> ומרימר מתני לה משום חינה </w:t>
      </w:r>
      <w:r w:rsidRPr="0094692F">
        <w:rPr>
          <w:rFonts w:cs="Arial" w:hint="cs"/>
          <w:sz w:val="16"/>
          <w:szCs w:val="16"/>
          <w:rtl/>
        </w:rPr>
        <w:t xml:space="preserve">- </w:t>
      </w:r>
      <w:r w:rsidRPr="0094692F">
        <w:rPr>
          <w:rFonts w:cs="Arial"/>
          <w:sz w:val="16"/>
          <w:szCs w:val="16"/>
          <w:rtl/>
        </w:rPr>
        <w:t>ששניהם אמת. ומשו' מזוני איכא ומשו' חינה איכא.</w:t>
      </w:r>
      <w:r w:rsidRPr="0094692F">
        <w:rPr>
          <w:rFonts w:hint="cs"/>
          <w:sz w:val="16"/>
          <w:szCs w:val="16"/>
          <w:rtl/>
        </w:rPr>
        <w:t xml:space="preserve"> אך הכס"מ (בהל' מלוה פי"ב ה"ג) דחה דבריו</w:t>
      </w:r>
      <w:r>
        <w:rPr>
          <w:rFonts w:hint="cs"/>
          <w:sz w:val="16"/>
          <w:szCs w:val="16"/>
          <w:rtl/>
        </w:rPr>
        <w:t>)</w:t>
      </w:r>
      <w:r w:rsidRPr="0094692F">
        <w:rPr>
          <w:rFonts w:hint="cs"/>
          <w:sz w:val="16"/>
          <w:szCs w:val="16"/>
          <w:rtl/>
        </w:rPr>
        <w:t>.</w:t>
      </w:r>
    </w:p>
  </w:footnote>
  <w:footnote w:id="2646">
    <w:p w14:paraId="724B1C1D" w14:textId="77777777" w:rsidR="00DF1FC7" w:rsidRDefault="00DF1FC7" w:rsidP="002E5BAD">
      <w:pPr>
        <w:pStyle w:val="a5"/>
        <w:rPr>
          <w:rtl/>
        </w:rPr>
      </w:pPr>
      <w:r>
        <w:rPr>
          <w:rStyle w:val="a7"/>
        </w:rPr>
        <w:footnoteRef/>
      </w:r>
      <w:r>
        <w:rPr>
          <w:rtl/>
        </w:rPr>
        <w:t xml:space="preserve"> </w:t>
      </w:r>
      <w:r>
        <w:rPr>
          <w:rFonts w:cs="Arial"/>
          <w:rtl/>
        </w:rPr>
        <w:t>וטעם</w:t>
      </w:r>
      <w:r>
        <w:rPr>
          <w:rFonts w:cs="Arial" w:hint="cs"/>
          <w:rtl/>
        </w:rPr>
        <w:t xml:space="preserve"> הדבר כתב הר"ן (נו: מדפה"ר) </w:t>
      </w:r>
      <w:r>
        <w:rPr>
          <w:rFonts w:cs="Arial"/>
          <w:rtl/>
        </w:rPr>
        <w:t xml:space="preserve">דאהא דאמר עולא משום חינא </w:t>
      </w:r>
      <w:r w:rsidRPr="004303EE">
        <w:rPr>
          <w:rFonts w:cs="Arial"/>
          <w:rtl/>
        </w:rPr>
        <w:t>פרש"י ז"ל שיהו בעליהן לחן בעיניהם ולא ימנעו הנשים מלינשא לאנשים</w:t>
      </w:r>
      <w:r>
        <w:rPr>
          <w:rFonts w:cs="Arial" w:hint="cs"/>
          <w:rtl/>
        </w:rPr>
        <w:t>.</w:t>
      </w:r>
      <w:r w:rsidRPr="004303EE">
        <w:rPr>
          <w:rFonts w:cs="Arial"/>
          <w:rtl/>
        </w:rPr>
        <w:t xml:space="preserve"> ורבינו חננאל ז"ל פירש כדי שתהא נדוניא לנשים שבשבילה ימצאו חן בעיני האנשים וישאו אותם</w:t>
      </w:r>
      <w:r>
        <w:rPr>
          <w:rFonts w:cs="Arial" w:hint="cs"/>
          <w:rtl/>
        </w:rPr>
        <w:t>.</w:t>
      </w:r>
      <w:r w:rsidRPr="004303EE">
        <w:rPr>
          <w:rFonts w:cs="Arial"/>
          <w:rtl/>
        </w:rPr>
        <w:t xml:space="preserve"> וכן פירש הרי"ף ז"ל לקמן בפרקין</w:t>
      </w:r>
      <w:r>
        <w:rPr>
          <w:rFonts w:cs="Arial" w:hint="cs"/>
          <w:rtl/>
        </w:rPr>
        <w:t>.</w:t>
      </w:r>
      <w:r w:rsidRPr="004303EE">
        <w:rPr>
          <w:rFonts w:cs="Arial"/>
          <w:rtl/>
        </w:rPr>
        <w:t xml:space="preserve"> וכ"כ הרמב"ם ז"ל בפי"ב מהלכות מלוה ולוה ועיקר</w:t>
      </w:r>
      <w:r>
        <w:rPr>
          <w:rFonts w:cs="Arial" w:hint="cs"/>
          <w:rtl/>
        </w:rPr>
        <w:t>.</w:t>
      </w:r>
      <w:r w:rsidRPr="004303EE">
        <w:rPr>
          <w:rFonts w:cs="Arial"/>
          <w:rtl/>
        </w:rPr>
        <w:t xml:space="preserve"> </w:t>
      </w:r>
      <w:r>
        <w:rPr>
          <w:rFonts w:cs="Arial" w:hint="cs"/>
          <w:rtl/>
        </w:rPr>
        <w:t xml:space="preserve">והוסיף הר"ן </w:t>
      </w:r>
      <w:r w:rsidRPr="00FD2031">
        <w:rPr>
          <w:rFonts w:cs="Arial" w:hint="cs"/>
          <w:rtl/>
        </w:rPr>
        <w:t>ש</w:t>
      </w:r>
      <w:r w:rsidRPr="00FD2031">
        <w:rPr>
          <w:rFonts w:cs="Arial"/>
          <w:rtl/>
        </w:rPr>
        <w:t>נ</w:t>
      </w:r>
      <w:r w:rsidRPr="00FD2031">
        <w:rPr>
          <w:rFonts w:cs="Arial" w:hint="cs"/>
          <w:rtl/>
        </w:rPr>
        <w:t>פ</w:t>
      </w:r>
      <w:r w:rsidRPr="00FD2031">
        <w:rPr>
          <w:rFonts w:cs="Arial"/>
          <w:rtl/>
        </w:rPr>
        <w:t>"מ שאם נשאת אינה מוכרת אלא בב"ד שהרי ביטל חן שלה</w:t>
      </w:r>
      <w:r>
        <w:rPr>
          <w:rFonts w:cs="Arial" w:hint="cs"/>
          <w:sz w:val="16"/>
          <w:szCs w:val="16"/>
          <w:rtl/>
        </w:rPr>
        <w:t xml:space="preserve"> {</w:t>
      </w:r>
      <w:r w:rsidRPr="009A1165">
        <w:rPr>
          <w:rFonts w:cs="Arial"/>
          <w:sz w:val="16"/>
          <w:szCs w:val="16"/>
          <w:rtl/>
        </w:rPr>
        <w:t>אבל רש"י לא ס"ל הכי</w:t>
      </w:r>
      <w:r>
        <w:rPr>
          <w:rFonts w:cs="Arial" w:hint="cs"/>
          <w:sz w:val="16"/>
          <w:szCs w:val="16"/>
          <w:rtl/>
        </w:rPr>
        <w:t>, דרכ"מ [אות ג]}</w:t>
      </w:r>
      <w:r>
        <w:rPr>
          <w:rFonts w:cs="Arial" w:hint="cs"/>
          <w:rtl/>
        </w:rPr>
        <w:t>.</w:t>
      </w:r>
      <w:r w:rsidRPr="00FD2031">
        <w:rPr>
          <w:rFonts w:cs="Arial"/>
          <w:rtl/>
        </w:rPr>
        <w:t xml:space="preserve"> וכן נמי בהא דאמרי' התם [בערכין כב</w:t>
      </w:r>
      <w:r w:rsidRPr="00FD2031">
        <w:rPr>
          <w:rFonts w:cs="Arial" w:hint="cs"/>
          <w:rtl/>
        </w:rPr>
        <w:t>.</w:t>
      </w:r>
      <w:r w:rsidRPr="00FD2031">
        <w:rPr>
          <w:rFonts w:cs="Arial"/>
          <w:rtl/>
        </w:rPr>
        <w:t>] דאין נזקקין לנכסי יתומים קטנים אלא לבע"ח שיש בו רבית ולכתובת אשה משום חינא דוקא בשלא נשאת אבל נשאת לא שהרי ביטל חן שלה וכ"כ הרמב"ם ז"ל בפי"ב מהל' מלוה ולוה</w:t>
      </w:r>
      <w:r>
        <w:rPr>
          <w:rFonts w:cs="Arial" w:hint="cs"/>
          <w:rtl/>
        </w:rPr>
        <w:t>.</w:t>
      </w:r>
      <w:r>
        <w:rPr>
          <w:rFonts w:cs="Arial"/>
          <w:rtl/>
        </w:rPr>
        <w:t xml:space="preserve"> </w:t>
      </w:r>
      <w:r>
        <w:rPr>
          <w:rFonts w:cs="Arial" w:hint="cs"/>
          <w:rtl/>
        </w:rPr>
        <w:t>עכ"ל הר"ן. והעתיק הב"י את דבריו. אך קשה, שהרי הרמב"ם והטור פסקו ד</w:t>
      </w:r>
      <w:r w:rsidRPr="006D1A13">
        <w:rPr>
          <w:rFonts w:cs="Arial"/>
          <w:rtl/>
        </w:rPr>
        <w:t>גרושה לא תמכור אלא בבי"ד</w:t>
      </w:r>
      <w:r>
        <w:rPr>
          <w:rFonts w:cs="Arial" w:hint="cs"/>
          <w:rtl/>
        </w:rPr>
        <w:t>,</w:t>
      </w:r>
      <w:r w:rsidRPr="006D1A13">
        <w:rPr>
          <w:rFonts w:cs="Arial"/>
          <w:rtl/>
        </w:rPr>
        <w:t xml:space="preserve"> ש"מ דאין הטעם משום חינא</w:t>
      </w:r>
      <w:r>
        <w:rPr>
          <w:rFonts w:cs="Arial" w:hint="cs"/>
          <w:rtl/>
        </w:rPr>
        <w:t>.</w:t>
      </w:r>
      <w:r w:rsidRPr="006D1A13">
        <w:rPr>
          <w:rFonts w:cs="Arial"/>
          <w:rtl/>
        </w:rPr>
        <w:t xml:space="preserve"> ו</w:t>
      </w:r>
      <w:r>
        <w:rPr>
          <w:rFonts w:cs="Arial" w:hint="cs"/>
          <w:rtl/>
        </w:rPr>
        <w:t>כתב הבני אהובה (פי"ז מאישות הי"ג) ד</w:t>
      </w:r>
      <w:r w:rsidRPr="006D1A13">
        <w:rPr>
          <w:rFonts w:cs="Arial"/>
          <w:rtl/>
        </w:rPr>
        <w:t>על כרחך צ"ל כמ"ש הבית שמואל בסימן הנ"ל ס</w:t>
      </w:r>
      <w:r>
        <w:rPr>
          <w:rFonts w:cs="Arial" w:hint="cs"/>
          <w:rtl/>
        </w:rPr>
        <w:t>ק"</w:t>
      </w:r>
      <w:r w:rsidRPr="006D1A13">
        <w:rPr>
          <w:rFonts w:cs="Arial"/>
          <w:rtl/>
        </w:rPr>
        <w:t>א דאף למ"ד אין אדם רוצה שתתבזה אשתו בבי"ד בנשאת לאחר אינו מקפיד</w:t>
      </w:r>
      <w:r>
        <w:rPr>
          <w:rFonts w:cs="Arial" w:hint="cs"/>
          <w:rtl/>
        </w:rPr>
        <w:t>.</w:t>
      </w:r>
      <w:r w:rsidRPr="006D1A13">
        <w:rPr>
          <w:rFonts w:cs="Arial"/>
          <w:rtl/>
        </w:rPr>
        <w:t xml:space="preserve"> ואפשר לומר דלא ס"ל לב"י הך סברא וכמ"ש הר"ן רק דהך סברא בנשאת תליא אי הטעם משום חינא</w:t>
      </w:r>
      <w:r>
        <w:rPr>
          <w:rFonts w:cs="Arial" w:hint="cs"/>
          <w:rtl/>
        </w:rPr>
        <w:t>.</w:t>
      </w:r>
      <w:r w:rsidRPr="006D1A13">
        <w:rPr>
          <w:rFonts w:cs="Arial"/>
          <w:rtl/>
        </w:rPr>
        <w:t xml:space="preserve"> וגם ס"ל לב"י דלהטור מספקא ליה כמאן הלכתא אי כמ"ד משום חינא ואי כמאן דאמר שלא תתבזה</w:t>
      </w:r>
      <w:r>
        <w:rPr>
          <w:rFonts w:cs="Arial" w:hint="cs"/>
          <w:rtl/>
        </w:rPr>
        <w:t>,</w:t>
      </w:r>
      <w:r w:rsidRPr="006D1A13">
        <w:rPr>
          <w:rFonts w:cs="Arial"/>
          <w:rtl/>
        </w:rPr>
        <w:t xml:space="preserve"> ולכך בגרושה וגם בנשאת אין לה למכור שלא בבית דין</w:t>
      </w:r>
      <w:r>
        <w:rPr>
          <w:rFonts w:cs="Arial" w:hint="cs"/>
          <w:rtl/>
        </w:rPr>
        <w:t>.</w:t>
      </w:r>
      <w:r>
        <w:rPr>
          <w:rFonts w:hint="cs"/>
          <w:rtl/>
        </w:rPr>
        <w:t xml:space="preserve"> עכ"ל.</w:t>
      </w:r>
    </w:p>
  </w:footnote>
  <w:footnote w:id="2647">
    <w:p w14:paraId="468285C9" w14:textId="77777777" w:rsidR="00DF1FC7" w:rsidRDefault="00DF1FC7" w:rsidP="002E5BAD">
      <w:pPr>
        <w:pStyle w:val="a5"/>
        <w:rPr>
          <w:rtl/>
        </w:rPr>
      </w:pPr>
      <w:r>
        <w:rPr>
          <w:rStyle w:val="a7"/>
        </w:rPr>
        <w:footnoteRef/>
      </w:r>
      <w:r>
        <w:rPr>
          <w:rtl/>
        </w:rPr>
        <w:t xml:space="preserve"> </w:t>
      </w:r>
      <w:r w:rsidRPr="009A1165">
        <w:rPr>
          <w:rFonts w:cs="Arial"/>
          <w:rtl/>
        </w:rPr>
        <w:t>כבר כתבתי הטעם למה נשתנה הדין גרושה, וא"ל למה לי טעמים הללו ת"ל הא קי"ל הנכסים הם כמשכון ביד האלמנה ובח"ה סי' ע"ג מבואר מכירות משכנות מוכרים ע"פ ב"ד הדיוטים ואפשר לומר דוק' מטלטלין יכול למכור ע"פ ב"ד הדיוטים אבל קרקע לא או י"ל אע</w:t>
      </w:r>
      <w:r>
        <w:rPr>
          <w:rFonts w:cs="Arial" w:hint="cs"/>
          <w:rtl/>
        </w:rPr>
        <w:t>"</w:t>
      </w:r>
      <w:r w:rsidRPr="009A1165">
        <w:rPr>
          <w:rFonts w:cs="Arial"/>
          <w:rtl/>
        </w:rPr>
        <w:t>ג דקי"ל הנכסים של יתומים הם כמשכון ביד האלמנה מ"מ לא הוי כמשכון ממש דהא הנכסים אינן בידה</w:t>
      </w:r>
      <w:r>
        <w:rPr>
          <w:rFonts w:hint="cs"/>
          <w:rtl/>
        </w:rPr>
        <w:t>, ב"ש (סק"ז).</w:t>
      </w:r>
    </w:p>
  </w:footnote>
  <w:footnote w:id="2648">
    <w:p w14:paraId="18535699" w14:textId="77777777" w:rsidR="00DF1FC7" w:rsidRDefault="00DF1FC7" w:rsidP="002E5BAD">
      <w:pPr>
        <w:pStyle w:val="a5"/>
        <w:rPr>
          <w:rtl/>
        </w:rPr>
      </w:pPr>
      <w:r>
        <w:rPr>
          <w:rStyle w:val="a7"/>
        </w:rPr>
        <w:footnoteRef/>
      </w:r>
      <w:r>
        <w:rPr>
          <w:rtl/>
        </w:rPr>
        <w:t xml:space="preserve"> </w:t>
      </w:r>
      <w:r w:rsidRPr="009A1165">
        <w:rPr>
          <w:rFonts w:cs="Arial"/>
          <w:rtl/>
        </w:rPr>
        <w:t>כלו' ג' הדיוטו' הראוים לדון דמ"מ איכ' בינייהו חד דגמיר וסביר</w:t>
      </w:r>
      <w:r>
        <w:rPr>
          <w:rFonts w:hint="cs"/>
          <w:rtl/>
        </w:rPr>
        <w:t>, ח"מ (סק"ח).</w:t>
      </w:r>
    </w:p>
  </w:footnote>
  <w:footnote w:id="2649">
    <w:p w14:paraId="502DF89C" w14:textId="77777777" w:rsidR="00DF1FC7" w:rsidRDefault="00DF1FC7" w:rsidP="002E5BAD">
      <w:pPr>
        <w:pStyle w:val="a5"/>
      </w:pPr>
      <w:r>
        <w:rPr>
          <w:rStyle w:val="a7"/>
        </w:rPr>
        <w:footnoteRef/>
      </w:r>
      <w:r>
        <w:rPr>
          <w:rtl/>
        </w:rPr>
        <w:t xml:space="preserve"> </w:t>
      </w:r>
      <w:r>
        <w:rPr>
          <w:rFonts w:cs="Arial" w:hint="cs"/>
          <w:rtl/>
        </w:rPr>
        <w:t>עיין לקמן באיזו שבועה מדובר.</w:t>
      </w:r>
    </w:p>
  </w:footnote>
  <w:footnote w:id="2650">
    <w:p w14:paraId="0EA74806" w14:textId="77777777" w:rsidR="00DF1FC7" w:rsidRDefault="00DF1FC7" w:rsidP="002E5BAD">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2651">
    <w:p w14:paraId="4282CF5E" w14:textId="77777777" w:rsidR="00DF1FC7" w:rsidRDefault="00DF1FC7" w:rsidP="002E5BAD">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2652">
    <w:p w14:paraId="2F5A240A" w14:textId="77777777" w:rsidR="00DF1FC7" w:rsidRDefault="00DF1FC7" w:rsidP="002E5BAD">
      <w:pPr>
        <w:pStyle w:val="a5"/>
      </w:pPr>
      <w:r>
        <w:rPr>
          <w:rStyle w:val="a7"/>
        </w:rPr>
        <w:footnoteRef/>
      </w:r>
      <w:r>
        <w:rPr>
          <w:rtl/>
        </w:rPr>
        <w:t xml:space="preserve"> </w:t>
      </w:r>
      <w:r w:rsidRPr="001D66A0">
        <w:rPr>
          <w:rFonts w:cs="Arial"/>
          <w:rtl/>
        </w:rPr>
        <w:t>ממי קבלת מכירה זו לא מבית דין ולא מיתומין לפיכך לא יצא הקרקע מרשות היתומין אבל היכא דשמת לאחריני נפק מרשות היורשין שהרי נתנו לה חכמים רשות למכור</w:t>
      </w:r>
      <w:r>
        <w:rPr>
          <w:rFonts w:cs="Arial" w:hint="cs"/>
          <w:rtl/>
        </w:rPr>
        <w:t>, רש"י.</w:t>
      </w:r>
    </w:p>
  </w:footnote>
  <w:footnote w:id="2653">
    <w:p w14:paraId="302553C6" w14:textId="77777777" w:rsidR="00DF1FC7" w:rsidRDefault="00DF1FC7" w:rsidP="002E5BAD">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2654">
    <w:p w14:paraId="230B98FD" w14:textId="77777777" w:rsidR="00DF1FC7" w:rsidRDefault="00DF1FC7" w:rsidP="002E5BAD">
      <w:pPr>
        <w:pStyle w:val="a5"/>
      </w:pPr>
      <w:r>
        <w:rPr>
          <w:rStyle w:val="a7"/>
        </w:rPr>
        <w:footnoteRef/>
      </w:r>
      <w:r>
        <w:rPr>
          <w:rtl/>
        </w:rPr>
        <w:t xml:space="preserve"> </w:t>
      </w:r>
      <w:r>
        <w:rPr>
          <w:rFonts w:hint="cs"/>
          <w:rtl/>
        </w:rPr>
        <w:t>וז"ל-</w:t>
      </w:r>
      <w:r w:rsidRPr="000979E1">
        <w:rPr>
          <w:rtl/>
        </w:rPr>
        <w:t xml:space="preserve"> </w:t>
      </w:r>
      <w:r w:rsidRPr="000979E1">
        <w:rPr>
          <w:rFonts w:cs="Arial"/>
          <w:rtl/>
        </w:rPr>
        <w:t>נראה לרבי דבמוכרת לכתובה מיבעיא ליה</w:t>
      </w:r>
      <w:r>
        <w:rPr>
          <w:rFonts w:cs="Arial" w:hint="cs"/>
          <w:rtl/>
        </w:rPr>
        <w:t>,</w:t>
      </w:r>
      <w:r w:rsidRPr="000979E1">
        <w:rPr>
          <w:rFonts w:cs="Arial"/>
          <w:rtl/>
        </w:rPr>
        <w:t xml:space="preserve"> דתחלה קודם גביית כתובתה משביעין אותה שלא עכבה משל בעלה כלום</w:t>
      </w:r>
      <w:r>
        <w:rPr>
          <w:rFonts w:cs="Arial" w:hint="cs"/>
          <w:rtl/>
        </w:rPr>
        <w:t>.</w:t>
      </w:r>
      <w:r w:rsidRPr="000979E1">
        <w:rPr>
          <w:rFonts w:cs="Arial"/>
          <w:rtl/>
        </w:rPr>
        <w:t xml:space="preserve"> ולאחר שמכרה נכסים שלא בבית דין ליגבות מהן כתובתה מיבעיא ליה אם חוזרין ומשביעין אותה שלא גבתה יותר</w:t>
      </w:r>
      <w:r>
        <w:rPr>
          <w:rFonts w:cs="Arial" w:hint="cs"/>
          <w:rtl/>
        </w:rPr>
        <w:t>.</w:t>
      </w:r>
      <w:r w:rsidRPr="000979E1">
        <w:rPr>
          <w:rFonts w:cs="Arial"/>
          <w:rtl/>
        </w:rPr>
        <w:t xml:space="preserve"> ועוד אומר רבי דהך שבועה דמיבעיא ליה</w:t>
      </w:r>
      <w:r>
        <w:rPr>
          <w:rFonts w:cs="Arial" w:hint="cs"/>
          <w:rtl/>
        </w:rPr>
        <w:t>,</w:t>
      </w:r>
      <w:r w:rsidRPr="000979E1">
        <w:rPr>
          <w:rFonts w:cs="Arial"/>
          <w:rtl/>
        </w:rPr>
        <w:t xml:space="preserve"> לא כפ</w:t>
      </w:r>
      <w:r>
        <w:rPr>
          <w:rFonts w:cs="Arial" w:hint="cs"/>
          <w:rtl/>
        </w:rPr>
        <w:t xml:space="preserve">' </w:t>
      </w:r>
      <w:r w:rsidRPr="000979E1">
        <w:rPr>
          <w:rFonts w:cs="Arial"/>
          <w:rtl/>
        </w:rPr>
        <w:t>ה</w:t>
      </w:r>
      <w:r>
        <w:rPr>
          <w:rFonts w:cs="Arial" w:hint="cs"/>
          <w:rtl/>
        </w:rPr>
        <w:t>קונטרס</w:t>
      </w:r>
      <w:r w:rsidRPr="000979E1">
        <w:rPr>
          <w:rFonts w:cs="Arial"/>
          <w:rtl/>
        </w:rPr>
        <w:t xml:space="preserve"> שלא גבתה יותר</w:t>
      </w:r>
      <w:r>
        <w:rPr>
          <w:rFonts w:cs="Arial" w:hint="cs"/>
          <w:rtl/>
        </w:rPr>
        <w:t>,</w:t>
      </w:r>
      <w:r w:rsidRPr="000979E1">
        <w:rPr>
          <w:rFonts w:cs="Arial"/>
          <w:rtl/>
        </w:rPr>
        <w:t xml:space="preserve"> אלא מיבעיא ליה אי משביעין אותה שלא זלזלה בנכסים</w:t>
      </w:r>
      <w:r>
        <w:rPr>
          <w:rFonts w:cs="Arial" w:hint="cs"/>
          <w:rtl/>
        </w:rPr>
        <w:t>.</w:t>
      </w:r>
      <w:r w:rsidRPr="000979E1">
        <w:rPr>
          <w:rFonts w:cs="Arial"/>
          <w:rtl/>
        </w:rPr>
        <w:t xml:space="preserve"> וכן מוכח מדקאמר תיבעי לך הכרזה דהוי נמי שלא תזלזל</w:t>
      </w:r>
      <w:r>
        <w:rPr>
          <w:rFonts w:cs="Arial" w:hint="cs"/>
          <w:rtl/>
        </w:rPr>
        <w:t>.</w:t>
      </w:r>
      <w:r w:rsidRPr="000979E1">
        <w:rPr>
          <w:rFonts w:cs="Arial"/>
          <w:rtl/>
        </w:rPr>
        <w:t xml:space="preserve"> וכן פי' ר"ת</w:t>
      </w:r>
      <w:r>
        <w:rPr>
          <w:rFonts w:cs="Arial" w:hint="cs"/>
          <w:rtl/>
        </w:rPr>
        <w:t>.</w:t>
      </w:r>
      <w:r>
        <w:rPr>
          <w:rFonts w:hint="cs"/>
          <w:rtl/>
        </w:rPr>
        <w:t xml:space="preserve"> </w:t>
      </w:r>
    </w:p>
  </w:footnote>
  <w:footnote w:id="2655">
    <w:p w14:paraId="0EF8F562" w14:textId="77777777" w:rsidR="00DF1FC7" w:rsidRDefault="00DF1FC7" w:rsidP="002E5BAD">
      <w:pPr>
        <w:pStyle w:val="a5"/>
      </w:pPr>
      <w:r>
        <w:rPr>
          <w:rStyle w:val="a7"/>
        </w:rPr>
        <w:footnoteRef/>
      </w:r>
      <w:r>
        <w:rPr>
          <w:rtl/>
        </w:rPr>
        <w:t xml:space="preserve"> </w:t>
      </w:r>
      <w:r w:rsidRPr="003711AB">
        <w:rPr>
          <w:rFonts w:cs="Arial"/>
          <w:rtl/>
        </w:rPr>
        <w:t xml:space="preserve">וכ"כ הר"ן פרק אלמנה (נז. </w:t>
      </w:r>
      <w:r>
        <w:rPr>
          <w:rFonts w:cs="Arial" w:hint="cs"/>
          <w:rtl/>
        </w:rPr>
        <w:t>סו</w:t>
      </w:r>
      <w:r w:rsidRPr="003711AB">
        <w:rPr>
          <w:rFonts w:cs="Arial"/>
          <w:rtl/>
        </w:rPr>
        <w:t xml:space="preserve">ד"ה </w:t>
      </w:r>
      <w:r>
        <w:rPr>
          <w:rFonts w:cs="Arial" w:hint="cs"/>
          <w:rtl/>
        </w:rPr>
        <w:t>מוכרת שלא</w:t>
      </w:r>
      <w:r w:rsidRPr="003711AB">
        <w:rPr>
          <w:rFonts w:cs="Arial"/>
          <w:rtl/>
        </w:rPr>
        <w:t>)</w:t>
      </w:r>
      <w:r>
        <w:rPr>
          <w:rFonts w:cs="Arial" w:hint="cs"/>
          <w:rtl/>
        </w:rPr>
        <w:t>, דרכ"מ (אות ד).</w:t>
      </w:r>
    </w:p>
  </w:footnote>
  <w:footnote w:id="2656">
    <w:p w14:paraId="7FEA7169" w14:textId="77777777" w:rsidR="00DF1FC7" w:rsidRPr="00E822E0" w:rsidRDefault="00DF1FC7" w:rsidP="002E5BAD">
      <w:pPr>
        <w:pStyle w:val="a5"/>
        <w:rPr>
          <w:color w:val="FF0000"/>
        </w:rPr>
      </w:pPr>
      <w:r w:rsidRPr="00E822E0">
        <w:rPr>
          <w:rStyle w:val="a7"/>
          <w:color w:val="FF0000"/>
        </w:rPr>
        <w:footnoteRef/>
      </w:r>
      <w:r w:rsidRPr="00E822E0">
        <w:rPr>
          <w:color w:val="FF0000"/>
          <w:rtl/>
        </w:rPr>
        <w:t xml:space="preserve"> </w:t>
      </w:r>
      <w:r w:rsidRPr="00E822E0">
        <w:rPr>
          <w:rFonts w:hint="cs"/>
          <w:color w:val="FF0000"/>
          <w:rtl/>
        </w:rPr>
        <w:t>צל"ע מדוע הביא הב"י את דברי הרשב"א הנ"ל.</w:t>
      </w:r>
    </w:p>
  </w:footnote>
  <w:footnote w:id="2657">
    <w:p w14:paraId="600DCDEA" w14:textId="77777777" w:rsidR="00DF1FC7" w:rsidRDefault="00DF1FC7" w:rsidP="002E5BAD">
      <w:pPr>
        <w:pStyle w:val="a5"/>
      </w:pPr>
      <w:r>
        <w:rPr>
          <w:rStyle w:val="a7"/>
        </w:rPr>
        <w:footnoteRef/>
      </w:r>
      <w:r>
        <w:rPr>
          <w:rtl/>
        </w:rPr>
        <w:t xml:space="preserve"> </w:t>
      </w:r>
      <w:r w:rsidRPr="00E822E0">
        <w:rPr>
          <w:rFonts w:cs="Arial"/>
          <w:rtl/>
        </w:rPr>
        <w:t>כבר כתבתי בסי' צ"ז צ"ח דינים אלו באריכות אם נשבעת שבועה זו דוקא ע"י גלגול או אף בלא גלגול</w:t>
      </w:r>
      <w:r>
        <w:rPr>
          <w:rFonts w:cs="Arial" w:hint="cs"/>
          <w:rtl/>
        </w:rPr>
        <w:t>, ב"ש (סק"ח).</w:t>
      </w:r>
    </w:p>
  </w:footnote>
  <w:footnote w:id="2658">
    <w:p w14:paraId="0CA1851E" w14:textId="77777777" w:rsidR="00DF1FC7" w:rsidRDefault="00DF1FC7" w:rsidP="002E5BAD">
      <w:pPr>
        <w:pStyle w:val="a5"/>
      </w:pPr>
      <w:r>
        <w:rPr>
          <w:rStyle w:val="a7"/>
        </w:rPr>
        <w:footnoteRef/>
      </w:r>
      <w:r>
        <w:rPr>
          <w:rtl/>
        </w:rPr>
        <w:t xml:space="preserve"> </w:t>
      </w:r>
      <w:r w:rsidRPr="00E822E0">
        <w:rPr>
          <w:rFonts w:cs="Arial"/>
          <w:rtl/>
        </w:rPr>
        <w:t>בהרא"ש ובהר"ן איתא דצריכה לשבע שלא גבתה יותר דהא הריווח שייך ליורשים א"י למה כתב כאן רק שבועה שלא זלזלה ולא כתב השבועה שלא גבת' יותר ולדעת כמה פוסקים שלא גבתה יותר צריכה לשבע ולא על שלא זלזלה</w:t>
      </w:r>
      <w:r>
        <w:rPr>
          <w:rFonts w:cs="Arial" w:hint="cs"/>
          <w:rtl/>
        </w:rPr>
        <w:t>, ב"ש (סק"י).</w:t>
      </w:r>
    </w:p>
  </w:footnote>
  <w:footnote w:id="2659">
    <w:p w14:paraId="2B7C9416" w14:textId="77777777" w:rsidR="00DF1FC7" w:rsidRDefault="00DF1FC7" w:rsidP="002E5BAD">
      <w:pPr>
        <w:pStyle w:val="a5"/>
      </w:pPr>
      <w:r>
        <w:rPr>
          <w:rStyle w:val="a7"/>
        </w:rPr>
        <w:footnoteRef/>
      </w:r>
      <w:r>
        <w:rPr>
          <w:rtl/>
        </w:rPr>
        <w:t xml:space="preserve"> </w:t>
      </w:r>
      <w:r w:rsidRPr="00E822E0">
        <w:rPr>
          <w:rFonts w:cs="Arial"/>
          <w:rtl/>
        </w:rPr>
        <w:t>היינו קרקע</w:t>
      </w:r>
      <w:r>
        <w:rPr>
          <w:rFonts w:cs="Arial" w:hint="cs"/>
          <w:rtl/>
        </w:rPr>
        <w:t>.</w:t>
      </w:r>
      <w:r w:rsidRPr="00E822E0">
        <w:rPr>
          <w:rFonts w:cs="Arial"/>
          <w:rtl/>
        </w:rPr>
        <w:t xml:space="preserve"> וע"כ איירי דלא נשבעה על הכתוב</w:t>
      </w:r>
      <w:r>
        <w:rPr>
          <w:rFonts w:cs="Arial" w:hint="cs"/>
          <w:rtl/>
        </w:rPr>
        <w:t>ה</w:t>
      </w:r>
      <w:r w:rsidRPr="00E822E0">
        <w:rPr>
          <w:rFonts w:cs="Arial"/>
          <w:rtl/>
        </w:rPr>
        <w:t xml:space="preserve"> קודם המכירה</w:t>
      </w:r>
      <w:r>
        <w:rPr>
          <w:rFonts w:cs="Arial" w:hint="cs"/>
          <w:rtl/>
        </w:rPr>
        <w:t>,</w:t>
      </w:r>
      <w:r w:rsidRPr="00E822E0">
        <w:rPr>
          <w:rFonts w:cs="Arial"/>
          <w:rtl/>
        </w:rPr>
        <w:t xml:space="preserve"> ומ"מ המכירה קיימת</w:t>
      </w:r>
      <w:r>
        <w:rPr>
          <w:rFonts w:cs="Arial" w:hint="cs"/>
          <w:rtl/>
        </w:rPr>
        <w:t>.</w:t>
      </w:r>
      <w:r w:rsidRPr="00E822E0">
        <w:rPr>
          <w:rFonts w:cs="Arial"/>
          <w:rtl/>
        </w:rPr>
        <w:t xml:space="preserve"> ובסי' צ"ו פסק בקרקע המכירה בטלה</w:t>
      </w:r>
      <w:r>
        <w:rPr>
          <w:rFonts w:cs="Arial" w:hint="cs"/>
          <w:rtl/>
        </w:rPr>
        <w:t>.</w:t>
      </w:r>
      <w:r w:rsidRPr="00E822E0">
        <w:rPr>
          <w:rFonts w:cs="Arial"/>
          <w:rtl/>
        </w:rPr>
        <w:t xml:space="preserve"> וצ"ל דאיירי כאן דמכר</w:t>
      </w:r>
      <w:r>
        <w:rPr>
          <w:rFonts w:cs="Arial" w:hint="cs"/>
          <w:rtl/>
        </w:rPr>
        <w:t>ה</w:t>
      </w:r>
      <w:r w:rsidRPr="00E822E0">
        <w:rPr>
          <w:rFonts w:cs="Arial"/>
          <w:rtl/>
        </w:rPr>
        <w:t xml:space="preserve"> בלא ב"ד מומחין אלא ע"פ ב"ד הדיוטים</w:t>
      </w:r>
      <w:r>
        <w:rPr>
          <w:rFonts w:cs="Arial" w:hint="cs"/>
          <w:rtl/>
        </w:rPr>
        <w:t>.</w:t>
      </w:r>
      <w:r w:rsidRPr="00E822E0">
        <w:rPr>
          <w:rFonts w:cs="Arial"/>
          <w:rtl/>
        </w:rPr>
        <w:t xml:space="preserve"> ומ"מ צריכה לישבע שלא זלזלה כמ"ש בהראש והר"ן</w:t>
      </w:r>
      <w:r>
        <w:rPr>
          <w:rFonts w:cs="Arial" w:hint="cs"/>
          <w:rtl/>
        </w:rPr>
        <w:t>.</w:t>
      </w:r>
      <w:r w:rsidRPr="00E822E0">
        <w:rPr>
          <w:rFonts w:cs="Arial"/>
          <w:rtl/>
        </w:rPr>
        <w:t xml:space="preserve"> והמחבר פסק שם ג"כ ע"פ בית דין הדיוטים מכירה קיימת אף בקרקע</w:t>
      </w:r>
      <w:r>
        <w:rPr>
          <w:rFonts w:cs="Arial" w:hint="cs"/>
          <w:rtl/>
        </w:rPr>
        <w:t>.</w:t>
      </w:r>
      <w:r w:rsidRPr="00E822E0">
        <w:rPr>
          <w:rFonts w:cs="Arial"/>
          <w:rtl/>
        </w:rPr>
        <w:t xml:space="preserve"> גם נ"ל דאיירי הכא דלא ערערה על מכירה</w:t>
      </w:r>
      <w:r>
        <w:rPr>
          <w:rFonts w:cs="Arial" w:hint="cs"/>
          <w:rtl/>
        </w:rPr>
        <w:t>,</w:t>
      </w:r>
      <w:r w:rsidRPr="00E822E0">
        <w:rPr>
          <w:rFonts w:cs="Arial"/>
          <w:rtl/>
        </w:rPr>
        <w:t xml:space="preserve"> </w:t>
      </w:r>
      <w:r>
        <w:rPr>
          <w:rFonts w:cs="Arial" w:hint="cs"/>
          <w:rtl/>
        </w:rPr>
        <w:t>ד</w:t>
      </w:r>
      <w:r w:rsidRPr="00E822E0">
        <w:rPr>
          <w:rFonts w:cs="Arial"/>
          <w:rtl/>
        </w:rPr>
        <w:t>אז לכ"ע המכירה קיים בלא שבועה כמ"ש שם בהג"ה בשם מהרי"ק</w:t>
      </w:r>
      <w:r>
        <w:rPr>
          <w:rFonts w:cs="Arial" w:hint="cs"/>
          <w:rtl/>
        </w:rPr>
        <w:t>,</w:t>
      </w:r>
      <w:r w:rsidRPr="00E822E0">
        <w:rPr>
          <w:rFonts w:cs="Arial"/>
          <w:rtl/>
        </w:rPr>
        <w:t xml:space="preserve"> אע</w:t>
      </w:r>
      <w:r>
        <w:rPr>
          <w:rFonts w:cs="Arial" w:hint="cs"/>
          <w:rtl/>
        </w:rPr>
        <w:t>"</w:t>
      </w:r>
      <w:r w:rsidRPr="00E822E0">
        <w:rPr>
          <w:rFonts w:cs="Arial"/>
          <w:rtl/>
        </w:rPr>
        <w:t>ג המחבר לא הביא שם דעת מהרי"ק מ"מ ס"ל כן</w:t>
      </w:r>
      <w:r>
        <w:rPr>
          <w:rFonts w:cs="Arial" w:hint="cs"/>
          <w:rtl/>
        </w:rPr>
        <w:t>.</w:t>
      </w:r>
      <w:r w:rsidRPr="00E822E0">
        <w:rPr>
          <w:rFonts w:cs="Arial"/>
          <w:rtl/>
        </w:rPr>
        <w:t xml:space="preserve"> מיהו תוס' בסוגיא זו ובהרא"ש מבואר קודם המכירה משביעין אותה על הכתובה</w:t>
      </w:r>
      <w:r>
        <w:rPr>
          <w:rFonts w:cs="Arial" w:hint="cs"/>
          <w:rtl/>
        </w:rPr>
        <w:t>,</w:t>
      </w:r>
      <w:r w:rsidRPr="00E822E0">
        <w:rPr>
          <w:rFonts w:cs="Arial"/>
          <w:rtl/>
        </w:rPr>
        <w:t xml:space="preserve"> ואחר המכירה צריכה לשבע שלא זלזלה</w:t>
      </w:r>
      <w:r>
        <w:rPr>
          <w:rFonts w:cs="Arial" w:hint="cs"/>
          <w:rtl/>
        </w:rPr>
        <w:t>,</w:t>
      </w:r>
      <w:r w:rsidRPr="00E822E0">
        <w:rPr>
          <w:rFonts w:cs="Arial"/>
          <w:rtl/>
        </w:rPr>
        <w:t xml:space="preserve"> הואיל דמכרה בלא בית דין</w:t>
      </w:r>
      <w:r>
        <w:rPr>
          <w:rFonts w:cs="Arial" w:hint="cs"/>
          <w:rtl/>
        </w:rPr>
        <w:t>.</w:t>
      </w:r>
      <w:r w:rsidRPr="00E822E0">
        <w:rPr>
          <w:rFonts w:cs="Arial"/>
          <w:rtl/>
        </w:rPr>
        <w:t xml:space="preserve"> ומ"ש הרא"ש בסוף דבריו דמשביעים שבועת צררי </w:t>
      </w:r>
      <w:r>
        <w:rPr>
          <w:rFonts w:cs="Arial" w:hint="cs"/>
          <w:rtl/>
        </w:rPr>
        <w:t>ו</w:t>
      </w:r>
      <w:r w:rsidRPr="00E822E0">
        <w:rPr>
          <w:rFonts w:cs="Arial"/>
          <w:rtl/>
        </w:rPr>
        <w:t>גם שלא זלזלה</w:t>
      </w:r>
      <w:r>
        <w:rPr>
          <w:rFonts w:cs="Arial" w:hint="cs"/>
          <w:rtl/>
        </w:rPr>
        <w:t>,</w:t>
      </w:r>
      <w:r w:rsidRPr="00E822E0">
        <w:rPr>
          <w:rFonts w:cs="Arial"/>
          <w:rtl/>
        </w:rPr>
        <w:t xml:space="preserve"> כן כתב לדברי הרי"ף שם</w:t>
      </w:r>
      <w:r>
        <w:rPr>
          <w:rFonts w:cs="Arial" w:hint="cs"/>
          <w:rtl/>
        </w:rPr>
        <w:t>.</w:t>
      </w:r>
      <w:r w:rsidRPr="00E822E0">
        <w:rPr>
          <w:rFonts w:cs="Arial"/>
          <w:rtl/>
        </w:rPr>
        <w:t xml:space="preserve"> ולדעת הרמב"ם ורמב"ן א"צ לשבע כלל</w:t>
      </w:r>
      <w:r>
        <w:rPr>
          <w:rFonts w:cs="Arial" w:hint="cs"/>
          <w:rtl/>
        </w:rPr>
        <w:t>,</w:t>
      </w:r>
      <w:r w:rsidRPr="00E822E0">
        <w:rPr>
          <w:rFonts w:cs="Arial"/>
          <w:rtl/>
        </w:rPr>
        <w:t xml:space="preserve"> לא שלא זלזלה</w:t>
      </w:r>
      <w:r>
        <w:rPr>
          <w:rFonts w:cs="Arial" w:hint="cs"/>
          <w:rtl/>
        </w:rPr>
        <w:t>,</w:t>
      </w:r>
      <w:r w:rsidRPr="00E822E0">
        <w:rPr>
          <w:rFonts w:cs="Arial"/>
          <w:rtl/>
        </w:rPr>
        <w:t xml:space="preserve"> ולא שלא גבתה יותר</w:t>
      </w:r>
      <w:r>
        <w:rPr>
          <w:rFonts w:cs="Arial" w:hint="cs"/>
          <w:rtl/>
        </w:rPr>
        <w:t>.</w:t>
      </w:r>
      <w:r w:rsidRPr="00E822E0">
        <w:rPr>
          <w:rFonts w:cs="Arial"/>
          <w:rtl/>
        </w:rPr>
        <w:t xml:space="preserve"> כי ס"ל הבעיין בש"ס קאי על שבוע</w:t>
      </w:r>
      <w:r>
        <w:rPr>
          <w:rFonts w:cs="Arial" w:hint="cs"/>
          <w:rtl/>
        </w:rPr>
        <w:t>ת</w:t>
      </w:r>
      <w:r w:rsidRPr="00E822E0">
        <w:rPr>
          <w:rFonts w:cs="Arial"/>
          <w:rtl/>
        </w:rPr>
        <w:t xml:space="preserve"> אלמנה אם תשבע קודם המכירה או אח"כ</w:t>
      </w:r>
      <w:r>
        <w:rPr>
          <w:rFonts w:cs="Arial" w:hint="cs"/>
          <w:rtl/>
        </w:rPr>
        <w:t>.</w:t>
      </w:r>
      <w:r w:rsidRPr="00E822E0">
        <w:rPr>
          <w:rFonts w:cs="Arial"/>
          <w:rtl/>
        </w:rPr>
        <w:t xml:space="preserve"> ועלתה המסקנא שתשבע קודם המכירה ועיין בהר"ן</w:t>
      </w:r>
      <w:r>
        <w:rPr>
          <w:rFonts w:cs="Arial" w:hint="cs"/>
          <w:rtl/>
        </w:rPr>
        <w:t>, ב"ש (סק"ט).</w:t>
      </w:r>
    </w:p>
  </w:footnote>
  <w:footnote w:id="2660">
    <w:p w14:paraId="6549CEB5" w14:textId="77777777" w:rsidR="00DF1FC7" w:rsidRDefault="00DF1FC7" w:rsidP="002E5BAD">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2661">
    <w:p w14:paraId="5B8BD0DE" w14:textId="77777777" w:rsidR="00DF1FC7" w:rsidRDefault="00DF1FC7" w:rsidP="002E5BAD">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2662">
    <w:p w14:paraId="1DD8A9B2" w14:textId="77777777" w:rsidR="00DF1FC7" w:rsidRPr="00CA236B" w:rsidRDefault="00DF1FC7" w:rsidP="002E5BAD">
      <w:pPr>
        <w:pStyle w:val="a5"/>
        <w:rPr>
          <w:rFonts w:cs="Arial"/>
        </w:rPr>
      </w:pPr>
      <w:r>
        <w:rPr>
          <w:rStyle w:val="a7"/>
        </w:rPr>
        <w:footnoteRef/>
      </w:r>
      <w:r>
        <w:rPr>
          <w:rtl/>
        </w:rPr>
        <w:t xml:space="preserve"> </w:t>
      </w:r>
      <w:r>
        <w:rPr>
          <w:rFonts w:cs="Arial"/>
          <w:rtl/>
        </w:rPr>
        <w:t>כלומר מי החזיקך באלו הנכסים</w:t>
      </w:r>
      <w:r>
        <w:rPr>
          <w:rFonts w:cs="Arial" w:hint="cs"/>
          <w:rtl/>
        </w:rPr>
        <w:t>.</w:t>
      </w:r>
      <w:r>
        <w:rPr>
          <w:rFonts w:cs="Arial"/>
          <w:rtl/>
        </w:rPr>
        <w:t xml:space="preserve"> שאין אדם יכול לזכות במקח אלא מיד המקנה לו</w:t>
      </w:r>
      <w:r>
        <w:rPr>
          <w:rFonts w:cs="Arial" w:hint="cs"/>
          <w:rtl/>
        </w:rPr>
        <w:t>.</w:t>
      </w:r>
      <w:r>
        <w:rPr>
          <w:rFonts w:cs="Arial"/>
          <w:rtl/>
        </w:rPr>
        <w:t xml:space="preserve"> ואין לפרש דשומא ממש קאמר</w:t>
      </w:r>
      <w:r>
        <w:rPr>
          <w:rFonts w:cs="Arial" w:hint="cs"/>
          <w:rtl/>
        </w:rPr>
        <w:t>,</w:t>
      </w:r>
      <w:r>
        <w:rPr>
          <w:rFonts w:cs="Arial"/>
          <w:rtl/>
        </w:rPr>
        <w:t xml:space="preserve"> דאע"ג דליכא ב"ד מומחין</w:t>
      </w:r>
      <w:r>
        <w:rPr>
          <w:rFonts w:cs="Arial" w:hint="cs"/>
          <w:rtl/>
        </w:rPr>
        <w:t>,</w:t>
      </w:r>
      <w:r>
        <w:rPr>
          <w:rFonts w:cs="Arial"/>
          <w:rtl/>
        </w:rPr>
        <w:t xml:space="preserve"> ב"ד הדיוטות מיהא איכא כדאיתא בפרק אלו מציאות (ב"מ לב.)</w:t>
      </w:r>
      <w:r>
        <w:rPr>
          <w:rFonts w:cs="Arial" w:hint="cs"/>
          <w:rtl/>
        </w:rPr>
        <w:t>.</w:t>
      </w:r>
      <w:r>
        <w:rPr>
          <w:rFonts w:cs="Arial"/>
          <w:rtl/>
        </w:rPr>
        <w:t xml:space="preserve"> ומה שהחזיקוה ב"ד הדיוטות אינה חזקה</w:t>
      </w:r>
      <w:r>
        <w:rPr>
          <w:rFonts w:cs="Arial" w:hint="cs"/>
          <w:rtl/>
        </w:rPr>
        <w:t>,</w:t>
      </w:r>
      <w:r>
        <w:rPr>
          <w:rFonts w:cs="Arial"/>
          <w:rtl/>
        </w:rPr>
        <w:t xml:space="preserve"> דיושבי קרנות הם</w:t>
      </w:r>
      <w:r>
        <w:rPr>
          <w:rFonts w:cs="Arial" w:hint="cs"/>
          <w:rtl/>
        </w:rPr>
        <w:t>,</w:t>
      </w:r>
      <w:r>
        <w:rPr>
          <w:rFonts w:cs="Arial"/>
          <w:rtl/>
        </w:rPr>
        <w:t xml:space="preserve"> ואינו אלא לשומא בעלמא</w:t>
      </w:r>
      <w:r>
        <w:rPr>
          <w:rFonts w:cs="Arial" w:hint="cs"/>
          <w:rtl/>
        </w:rPr>
        <w:t>, ב"י.</w:t>
      </w:r>
    </w:p>
  </w:footnote>
  <w:footnote w:id="2663">
    <w:p w14:paraId="1BF2CB5D" w14:textId="77777777" w:rsidR="00DF1FC7" w:rsidRDefault="00DF1FC7" w:rsidP="002E5BAD">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2664">
    <w:p w14:paraId="4C705D04" w14:textId="77777777" w:rsidR="00DF1FC7" w:rsidRDefault="00DF1FC7" w:rsidP="002E5BAD">
      <w:pPr>
        <w:pStyle w:val="a5"/>
      </w:pPr>
      <w:r>
        <w:rPr>
          <w:rStyle w:val="a7"/>
        </w:rPr>
        <w:footnoteRef/>
      </w:r>
      <w:r>
        <w:rPr>
          <w:rtl/>
        </w:rPr>
        <w:t xml:space="preserve"> </w:t>
      </w:r>
      <w:r w:rsidRPr="00E4440F">
        <w:rPr>
          <w:rFonts w:cs="Arial"/>
          <w:rtl/>
        </w:rPr>
        <w:t>הסתם יפה לה מפני לקוחות שלקחו שדות מבעלה שאם יכלו כל נכסי היתומים תחשוב כל מה שמכרה למזונות ועל הלקוחות שלקחו מבעלה תחזור על כתובתה</w:t>
      </w:r>
      <w:r>
        <w:rPr>
          <w:rFonts w:cs="Arial" w:hint="cs"/>
          <w:rtl/>
        </w:rPr>
        <w:t>.</w:t>
      </w:r>
      <w:r w:rsidRPr="00E4440F">
        <w:rPr>
          <w:rFonts w:cs="Arial"/>
          <w:rtl/>
        </w:rPr>
        <w:t xml:space="preserve"> שאם תפרש לכתובה מכרתי לא תוכל שוב לנתקן למזונות</w:t>
      </w:r>
      <w:r>
        <w:rPr>
          <w:rFonts w:cs="Arial" w:hint="cs"/>
          <w:rtl/>
        </w:rPr>
        <w:t>.</w:t>
      </w:r>
      <w:r w:rsidRPr="00E4440F">
        <w:rPr>
          <w:rFonts w:cs="Arial"/>
          <w:rtl/>
        </w:rPr>
        <w:t xml:space="preserve"> ועל הלקוחות לא תחזור על מזונותיה דתנן (גיטין מח:) אין מוציאין למזון האשה והבנות מנכסים משועבדים</w:t>
      </w:r>
      <w:r>
        <w:rPr>
          <w:rFonts w:cs="Arial" w:hint="cs"/>
          <w:rtl/>
        </w:rPr>
        <w:t>, רש"י.</w:t>
      </w:r>
    </w:p>
  </w:footnote>
  <w:footnote w:id="2665">
    <w:p w14:paraId="0DAD3F11" w14:textId="77777777" w:rsidR="00DF1FC7" w:rsidRDefault="00DF1FC7" w:rsidP="002E5BAD">
      <w:pPr>
        <w:pStyle w:val="a5"/>
      </w:pPr>
      <w:r>
        <w:rPr>
          <w:rStyle w:val="a7"/>
        </w:rPr>
        <w:footnoteRef/>
      </w:r>
      <w:r>
        <w:rPr>
          <w:rtl/>
        </w:rPr>
        <w:t xml:space="preserve"> </w:t>
      </w:r>
      <w:r>
        <w:rPr>
          <w:rFonts w:cs="Arial" w:hint="cs"/>
          <w:rtl/>
        </w:rPr>
        <w:t>ו</w:t>
      </w:r>
      <w:r>
        <w:rPr>
          <w:rFonts w:cs="Arial"/>
          <w:rtl/>
        </w:rPr>
        <w:t>נאמנת לומר למזונות מכרתי דנכסי בחזקת אלמנה קיימי כל זמן שלא נישאת</w:t>
      </w:r>
      <w:r>
        <w:rPr>
          <w:rFonts w:cs="Arial" w:hint="cs"/>
          <w:rtl/>
        </w:rPr>
        <w:t>, ב"י.</w:t>
      </w:r>
    </w:p>
  </w:footnote>
  <w:footnote w:id="2666">
    <w:p w14:paraId="4A593622" w14:textId="77777777" w:rsidR="00DF1FC7" w:rsidRDefault="00DF1FC7" w:rsidP="002E5BAD">
      <w:pPr>
        <w:pStyle w:val="a5"/>
      </w:pPr>
      <w:r>
        <w:rPr>
          <w:rStyle w:val="a7"/>
        </w:rPr>
        <w:footnoteRef/>
      </w:r>
      <w:r>
        <w:rPr>
          <w:rtl/>
        </w:rPr>
        <w:t xml:space="preserve"> </w:t>
      </w:r>
      <w:r>
        <w:rPr>
          <w:rFonts w:cs="Arial" w:hint="cs"/>
          <w:rtl/>
        </w:rPr>
        <w:t xml:space="preserve">וכ"כ הטור (מובא בסמוך). וכתב הב"י- </w:t>
      </w:r>
      <w:r>
        <w:rPr>
          <w:rFonts w:cs="Arial"/>
          <w:rtl/>
        </w:rPr>
        <w:t>ומכל מקום זה שכתב רבינו אינו אלא לדעת ר"ת והרא"ש (ב"מ פ"ד סי' כא) דסברי דיש אונאה לקרקעות בדבר מופלג</w:t>
      </w:r>
      <w:r>
        <w:rPr>
          <w:rFonts w:cs="Arial" w:hint="cs"/>
          <w:rtl/>
        </w:rPr>
        <w:t>,</w:t>
      </w:r>
      <w:r>
        <w:rPr>
          <w:rFonts w:cs="Arial"/>
          <w:rtl/>
        </w:rPr>
        <w:t xml:space="preserve"> וכמו שנתבאר בטור חושן משפט סימן רכ"ז (סע' מ - מא)</w:t>
      </w:r>
      <w:r>
        <w:rPr>
          <w:rFonts w:cs="Arial" w:hint="cs"/>
          <w:rtl/>
        </w:rPr>
        <w:t>.</w:t>
      </w:r>
      <w:r>
        <w:rPr>
          <w:rFonts w:cs="Arial"/>
          <w:rtl/>
        </w:rPr>
        <w:t xml:space="preserve"> אבל להרי"ף (ב"מ לב.) והרמב"ם (פי"ג ממכירה ה"ח) דסברי דאין אונאה לקרקעות כלל מתניתין מיתוקמא כפשטה</w:t>
      </w:r>
      <w:r>
        <w:rPr>
          <w:rFonts w:cs="Arial" w:hint="cs"/>
          <w:rtl/>
        </w:rPr>
        <w:t>,</w:t>
      </w:r>
      <w:r>
        <w:rPr>
          <w:rFonts w:cs="Arial"/>
          <w:rtl/>
        </w:rPr>
        <w:t xml:space="preserve"> ולפי</w:t>
      </w:r>
      <w:r>
        <w:rPr>
          <w:rFonts w:cs="Arial" w:hint="cs"/>
          <w:rtl/>
        </w:rPr>
        <w:t>כך</w:t>
      </w:r>
      <w:r>
        <w:rPr>
          <w:rFonts w:cs="Arial"/>
          <w:rtl/>
        </w:rPr>
        <w:t xml:space="preserve"> הרי"ף (כתובות נז.) הביא משנתינו כצורתה</w:t>
      </w:r>
      <w:r>
        <w:rPr>
          <w:rFonts w:cs="Arial" w:hint="cs"/>
          <w:rtl/>
        </w:rPr>
        <w:t>.</w:t>
      </w:r>
      <w:r>
        <w:rPr>
          <w:rFonts w:cs="Arial"/>
          <w:rtl/>
        </w:rPr>
        <w:t xml:space="preserve"> וכן הרמב"ם בפי"ז מהלכות אישות (הט"ו) העתיק לשון המשנה בלבד וכתב </w:t>
      </w:r>
      <w:r>
        <w:rPr>
          <w:rFonts w:cs="Arial" w:hint="cs"/>
          <w:rtl/>
        </w:rPr>
        <w:t>'</w:t>
      </w:r>
      <w:r>
        <w:rPr>
          <w:rFonts w:cs="Arial"/>
          <w:rtl/>
        </w:rPr>
        <w:t>נתקבלה כתובתה ובלבד שתשבע שבועת אלמנה</w:t>
      </w:r>
      <w:r>
        <w:rPr>
          <w:rFonts w:cs="Arial" w:hint="cs"/>
          <w:rtl/>
        </w:rPr>
        <w:t>'.</w:t>
      </w:r>
    </w:p>
  </w:footnote>
  <w:footnote w:id="2667">
    <w:p w14:paraId="5B7E90B7" w14:textId="77777777" w:rsidR="00DF1FC7" w:rsidRDefault="00DF1FC7" w:rsidP="002E5BAD">
      <w:pPr>
        <w:pStyle w:val="a5"/>
      </w:pPr>
      <w:r>
        <w:rPr>
          <w:rStyle w:val="a7"/>
        </w:rPr>
        <w:footnoteRef/>
      </w:r>
      <w:r>
        <w:rPr>
          <w:rtl/>
        </w:rPr>
        <w:t xml:space="preserve"> </w:t>
      </w:r>
      <w:r>
        <w:rPr>
          <w:rFonts w:cs="Arial"/>
          <w:rtl/>
        </w:rPr>
        <w:t>תימא דכיון דכתב דטעמא דרישא משום דכיון דבשעה שקיבלה הקרקע להכניסו לרשות הלוקח היה שוה ק"ק הוי כאילו כיוונה לקנות הקרקע אם כן מאי איריא רוצה לקיים המקח אפילו אינה רוצה נמי וצ"ע</w:t>
      </w:r>
      <w:r>
        <w:rPr>
          <w:rFonts w:cs="Arial" w:hint="cs"/>
          <w:rtl/>
        </w:rPr>
        <w:t>, ב"י.</w:t>
      </w:r>
      <w:r w:rsidRPr="00792B79">
        <w:rPr>
          <w:rFonts w:cs="Arial"/>
          <w:rtl/>
        </w:rPr>
        <w:t xml:space="preserve"> </w:t>
      </w:r>
      <w:r>
        <w:rPr>
          <w:rFonts w:cs="Arial" w:hint="cs"/>
          <w:rtl/>
        </w:rPr>
        <w:t xml:space="preserve">אך הדרכ"מ </w:t>
      </w:r>
      <w:r w:rsidRPr="003711AB">
        <w:rPr>
          <w:rFonts w:cs="Arial"/>
          <w:rtl/>
        </w:rPr>
        <w:t>(</w:t>
      </w:r>
      <w:r>
        <w:rPr>
          <w:rFonts w:cs="Arial" w:hint="cs"/>
          <w:rtl/>
        </w:rPr>
        <w:t xml:space="preserve">אות </w:t>
      </w:r>
      <w:r w:rsidRPr="003711AB">
        <w:rPr>
          <w:rFonts w:cs="Arial"/>
          <w:rtl/>
        </w:rPr>
        <w:t xml:space="preserve">ו) </w:t>
      </w:r>
      <w:r>
        <w:rPr>
          <w:rFonts w:cs="Arial" w:hint="cs"/>
          <w:rtl/>
        </w:rPr>
        <w:t xml:space="preserve">כתב- </w:t>
      </w:r>
      <w:r w:rsidRPr="003711AB">
        <w:rPr>
          <w:rFonts w:cs="Arial"/>
          <w:rtl/>
        </w:rPr>
        <w:t xml:space="preserve">ולי נראה דבודאי דרוצה דנקט </w:t>
      </w:r>
      <w:r>
        <w:rPr>
          <w:rFonts w:cs="Arial" w:hint="cs"/>
          <w:rtl/>
        </w:rPr>
        <w:t xml:space="preserve">- </w:t>
      </w:r>
      <w:r w:rsidRPr="003711AB">
        <w:rPr>
          <w:rFonts w:cs="Arial"/>
          <w:rtl/>
        </w:rPr>
        <w:t>לרבותא קאמר</w:t>
      </w:r>
      <w:r>
        <w:rPr>
          <w:rFonts w:cs="Arial" w:hint="cs"/>
          <w:rtl/>
        </w:rPr>
        <w:t>,</w:t>
      </w:r>
      <w:r w:rsidRPr="003711AB">
        <w:rPr>
          <w:rFonts w:cs="Arial"/>
          <w:rtl/>
        </w:rPr>
        <w:t xml:space="preserve"> דבאינה רוצה הרי יש לה קרקע ואפשר שתחזור ותעמוד על מאתים</w:t>
      </w:r>
      <w:r>
        <w:rPr>
          <w:rFonts w:cs="Arial" w:hint="cs"/>
          <w:rtl/>
        </w:rPr>
        <w:t>.</w:t>
      </w:r>
      <w:r w:rsidRPr="003711AB">
        <w:rPr>
          <w:rFonts w:cs="Arial"/>
          <w:rtl/>
        </w:rPr>
        <w:t xml:space="preserve"> אבל עכשיו דנתקיים המקח אם כן לעולם לא יהא לה רק מנה</w:t>
      </w:r>
      <w:r>
        <w:rPr>
          <w:rFonts w:cs="Arial" w:hint="cs"/>
          <w:rtl/>
        </w:rPr>
        <w:t>,</w:t>
      </w:r>
      <w:r w:rsidRPr="003711AB">
        <w:rPr>
          <w:rFonts w:cs="Arial"/>
          <w:rtl/>
        </w:rPr>
        <w:t xml:space="preserve"> אפילו הכי נתקבלה כתובתה</w:t>
      </w:r>
      <w:r>
        <w:rPr>
          <w:rFonts w:cs="Arial" w:hint="cs"/>
          <w:rtl/>
        </w:rPr>
        <w:t>.</w:t>
      </w:r>
      <w:r w:rsidRPr="003711AB">
        <w:rPr>
          <w:rFonts w:cs="Arial"/>
          <w:rtl/>
        </w:rPr>
        <w:t xml:space="preserve"> ועיין בטור חושן משפט סימן רכ"ז (סמ"א) אם אינה רוצה לקיים המקח אם הרשות בידה מאחר שאין אונאה לקרקעות</w:t>
      </w:r>
      <w:r>
        <w:rPr>
          <w:rFonts w:hint="cs"/>
          <w:rtl/>
        </w:rPr>
        <w:t>.</w:t>
      </w:r>
    </w:p>
  </w:footnote>
  <w:footnote w:id="2668">
    <w:p w14:paraId="21829892" w14:textId="77777777" w:rsidR="00DF1FC7" w:rsidRDefault="00DF1FC7" w:rsidP="002E5BAD">
      <w:pPr>
        <w:pStyle w:val="a5"/>
      </w:pPr>
      <w:r>
        <w:rPr>
          <w:rStyle w:val="a7"/>
        </w:rPr>
        <w:footnoteRef/>
      </w:r>
      <w:r>
        <w:rPr>
          <w:rtl/>
        </w:rPr>
        <w:t xml:space="preserve"> </w:t>
      </w:r>
      <w:r>
        <w:rPr>
          <w:rFonts w:hint="cs"/>
          <w:rtl/>
        </w:rPr>
        <w:t>וכתב הב"ש (סקי"א) ד</w:t>
      </w:r>
      <w:r w:rsidRPr="000D738B">
        <w:rPr>
          <w:rFonts w:cs="Arial"/>
          <w:rtl/>
        </w:rPr>
        <w:t>באוקיר יכולים היורשים לחזור</w:t>
      </w:r>
      <w:r>
        <w:rPr>
          <w:rFonts w:cs="Arial" w:hint="cs"/>
          <w:rtl/>
        </w:rPr>
        <w:t>,</w:t>
      </w:r>
      <w:r w:rsidRPr="000D738B">
        <w:rPr>
          <w:rFonts w:cs="Arial"/>
          <w:rtl/>
        </w:rPr>
        <w:t xml:space="preserve"> כיון דמכרה בלא בית דין וקיימא ברשות</w:t>
      </w:r>
      <w:r>
        <w:rPr>
          <w:rFonts w:cs="Arial" w:hint="cs"/>
          <w:rtl/>
        </w:rPr>
        <w:t>ם.</w:t>
      </w:r>
      <w:r w:rsidRPr="000D738B">
        <w:rPr>
          <w:rFonts w:cs="Arial"/>
          <w:rtl/>
        </w:rPr>
        <w:t xml:space="preserve"> מ"מ בדאוזיל קיימא ברשות</w:t>
      </w:r>
      <w:r>
        <w:rPr>
          <w:rFonts w:cs="Arial" w:hint="cs"/>
          <w:rtl/>
        </w:rPr>
        <w:t>ה.</w:t>
      </w:r>
      <w:r w:rsidRPr="000D738B">
        <w:rPr>
          <w:rFonts w:cs="Arial"/>
          <w:rtl/>
        </w:rPr>
        <w:t xml:space="preserve"> ונשמע מזה אפילו אם מכרה בלא ב"ד מ"מ בדאוזיל קיימא ברשות</w:t>
      </w:r>
      <w:r>
        <w:rPr>
          <w:rFonts w:cs="Arial" w:hint="cs"/>
          <w:rtl/>
        </w:rPr>
        <w:t>ה</w:t>
      </w:r>
      <w:r w:rsidRPr="000D738B">
        <w:rPr>
          <w:rFonts w:cs="Arial"/>
          <w:rtl/>
        </w:rPr>
        <w:t xml:space="preserve"> אף לדע</w:t>
      </w:r>
      <w:r>
        <w:rPr>
          <w:rFonts w:cs="Arial" w:hint="cs"/>
          <w:rtl/>
        </w:rPr>
        <w:t>ת</w:t>
      </w:r>
      <w:r w:rsidRPr="000D738B">
        <w:rPr>
          <w:rFonts w:cs="Arial"/>
          <w:rtl/>
        </w:rPr>
        <w:t xml:space="preserve"> הפוסקים דס"ל אם מכרה בלא ב"ד המכר בטל היינו היורשים יכולים לבטל אבל בדאוזיל קיימא ברשותה</w:t>
      </w:r>
      <w:r>
        <w:rPr>
          <w:rFonts w:hint="cs"/>
          <w:rtl/>
        </w:rPr>
        <w:t>.</w:t>
      </w:r>
    </w:p>
  </w:footnote>
  <w:footnote w:id="2669">
    <w:p w14:paraId="2A23D595" w14:textId="77777777" w:rsidR="00DF1FC7" w:rsidRDefault="00DF1FC7" w:rsidP="002E5BAD">
      <w:pPr>
        <w:pStyle w:val="a5"/>
      </w:pPr>
      <w:r>
        <w:rPr>
          <w:rStyle w:val="a7"/>
        </w:rPr>
        <w:footnoteRef/>
      </w:r>
      <w:r>
        <w:rPr>
          <w:rtl/>
        </w:rPr>
        <w:t xml:space="preserve"> </w:t>
      </w:r>
      <w:r>
        <w:rPr>
          <w:rFonts w:cs="Arial"/>
          <w:rtl/>
        </w:rPr>
        <w:t>לאו דוקא דינר הוא הדין בפחות</w:t>
      </w:r>
      <w:r>
        <w:rPr>
          <w:rFonts w:cs="Arial" w:hint="cs"/>
          <w:rtl/>
        </w:rPr>
        <w:t>.</w:t>
      </w:r>
      <w:r>
        <w:rPr>
          <w:rFonts w:cs="Arial"/>
          <w:rtl/>
        </w:rPr>
        <w:t xml:space="preserve"> ויש מפרשים דינר דוקא </w:t>
      </w:r>
      <w:r>
        <w:rPr>
          <w:rFonts w:cs="Arial" w:hint="cs"/>
          <w:rtl/>
        </w:rPr>
        <w:t xml:space="preserve">- </w:t>
      </w:r>
      <w:r>
        <w:rPr>
          <w:rFonts w:cs="Arial"/>
          <w:rtl/>
        </w:rPr>
        <w:t>ולא נהירא</w:t>
      </w:r>
      <w:r>
        <w:rPr>
          <w:rFonts w:cs="Arial" w:hint="cs"/>
          <w:rtl/>
        </w:rPr>
        <w:t>,</w:t>
      </w:r>
      <w:r>
        <w:rPr>
          <w:rFonts w:cs="Arial"/>
          <w:rtl/>
        </w:rPr>
        <w:t xml:space="preserve"> כיון דאפילו פחות מכדי אונאה בטל</w:t>
      </w:r>
      <w:r>
        <w:rPr>
          <w:rFonts w:cs="Arial" w:hint="cs"/>
          <w:rtl/>
        </w:rPr>
        <w:t>,</w:t>
      </w:r>
      <w:r>
        <w:rPr>
          <w:rFonts w:cs="Arial"/>
          <w:rtl/>
        </w:rPr>
        <w:t xml:space="preserve"> אין חילוק בין דינר לפחות</w:t>
      </w:r>
      <w:r>
        <w:rPr>
          <w:rFonts w:cs="Arial" w:hint="cs"/>
          <w:rtl/>
        </w:rPr>
        <w:t>,</w:t>
      </w:r>
      <w:r>
        <w:rPr>
          <w:rFonts w:cs="Arial"/>
          <w:rtl/>
        </w:rPr>
        <w:t xml:space="preserve"> רא"ש (</w:t>
      </w:r>
      <w:r>
        <w:rPr>
          <w:rFonts w:cs="Arial" w:hint="cs"/>
          <w:rtl/>
        </w:rPr>
        <w:t xml:space="preserve">פי"א </w:t>
      </w:r>
      <w:r>
        <w:rPr>
          <w:rFonts w:cs="Arial"/>
          <w:rtl/>
        </w:rPr>
        <w:t>סי' יז)</w:t>
      </w:r>
      <w:r>
        <w:rPr>
          <w:rFonts w:cs="Arial" w:hint="cs"/>
          <w:rtl/>
        </w:rPr>
        <w:t>.</w:t>
      </w:r>
      <w:r>
        <w:rPr>
          <w:rFonts w:hint="cs"/>
          <w:rtl/>
        </w:rPr>
        <w:t xml:space="preserve"> וכ"כ הטור.</w:t>
      </w:r>
    </w:p>
  </w:footnote>
  <w:footnote w:id="2670">
    <w:p w14:paraId="3BC585FA" w14:textId="77777777" w:rsidR="00DF1FC7" w:rsidRDefault="00DF1FC7" w:rsidP="002E5BAD">
      <w:pPr>
        <w:pStyle w:val="a5"/>
      </w:pPr>
      <w:r>
        <w:rPr>
          <w:rStyle w:val="a7"/>
        </w:rPr>
        <w:footnoteRef/>
      </w:r>
      <w:r>
        <w:rPr>
          <w:rtl/>
        </w:rPr>
        <w:t xml:space="preserve"> </w:t>
      </w:r>
      <w:r w:rsidRPr="0082504A">
        <w:rPr>
          <w:rFonts w:cs="Arial"/>
          <w:rtl/>
        </w:rPr>
        <w:t>שאותו דינר אין לה רשות למכור נמצא שכל המכר טעות שהרי בבת אחת היה</w:t>
      </w:r>
      <w:r>
        <w:rPr>
          <w:rFonts w:cs="Arial" w:hint="cs"/>
          <w:rtl/>
        </w:rPr>
        <w:t>, רש"י.</w:t>
      </w:r>
    </w:p>
  </w:footnote>
  <w:footnote w:id="2671">
    <w:p w14:paraId="23B1A149" w14:textId="77777777" w:rsidR="00DF1FC7" w:rsidRDefault="00DF1FC7" w:rsidP="002E5BAD">
      <w:pPr>
        <w:pStyle w:val="a5"/>
      </w:pPr>
      <w:r>
        <w:rPr>
          <w:rStyle w:val="a7"/>
        </w:rPr>
        <w:footnoteRef/>
      </w:r>
      <w:r>
        <w:rPr>
          <w:rtl/>
        </w:rPr>
        <w:t xml:space="preserve"> </w:t>
      </w:r>
      <w:r>
        <w:rPr>
          <w:rFonts w:cs="Arial"/>
          <w:rtl/>
        </w:rPr>
        <w:t>. דברים אלו כסותרים לדברים שקדמו שהרי כתב בסמוך שאם מכרה שוה ק"ק במנה נתקבלה כתובתה אלמא דכשמכרה בפחות משוויו המקח קיים וההפסד שלה</w:t>
      </w:r>
      <w:r>
        <w:rPr>
          <w:rFonts w:cs="Arial" w:hint="cs"/>
          <w:rtl/>
        </w:rPr>
        <w:t>.</w:t>
      </w:r>
      <w:r>
        <w:rPr>
          <w:rFonts w:cs="Arial"/>
          <w:rtl/>
        </w:rPr>
        <w:t xml:space="preserve"> וצ"ל דהב"ע בשאין כתובתה אלא מנה וכך היא שנויה בהדיא</w:t>
      </w:r>
      <w:r>
        <w:rPr>
          <w:rFonts w:cs="Arial" w:hint="cs"/>
          <w:rtl/>
        </w:rPr>
        <w:t xml:space="preserve"> </w:t>
      </w:r>
      <w:r>
        <w:rPr>
          <w:rFonts w:cs="Arial" w:hint="cs"/>
          <w:sz w:val="16"/>
          <w:szCs w:val="16"/>
          <w:rtl/>
        </w:rPr>
        <w:t>{במשנה דלעיל}</w:t>
      </w:r>
      <w:r>
        <w:rPr>
          <w:rFonts w:cs="Arial" w:hint="cs"/>
          <w:rtl/>
        </w:rPr>
        <w:t>..., ב"י.</w:t>
      </w:r>
    </w:p>
  </w:footnote>
  <w:footnote w:id="2672">
    <w:p w14:paraId="708542B6" w14:textId="77777777" w:rsidR="00DF1FC7" w:rsidRDefault="00DF1FC7" w:rsidP="002E5BAD">
      <w:pPr>
        <w:pStyle w:val="a5"/>
      </w:pPr>
      <w:r>
        <w:rPr>
          <w:rStyle w:val="a7"/>
        </w:rPr>
        <w:footnoteRef/>
      </w:r>
      <w:r>
        <w:rPr>
          <w:rtl/>
        </w:rPr>
        <w:t xml:space="preserve"> </w:t>
      </w:r>
      <w:r w:rsidRPr="004F61C5">
        <w:rPr>
          <w:rFonts w:cs="Arial"/>
          <w:rtl/>
        </w:rPr>
        <w:t>אבל אם מכרה בשוויה</w:t>
      </w:r>
      <w:r>
        <w:rPr>
          <w:rFonts w:cs="Arial" w:hint="cs"/>
          <w:rtl/>
        </w:rPr>
        <w:t>,</w:t>
      </w:r>
      <w:r w:rsidRPr="004F61C5">
        <w:rPr>
          <w:rFonts w:cs="Arial"/>
          <w:rtl/>
        </w:rPr>
        <w:t xml:space="preserve"> אע</w:t>
      </w:r>
      <w:r>
        <w:rPr>
          <w:rFonts w:cs="Arial" w:hint="cs"/>
          <w:rtl/>
        </w:rPr>
        <w:t>"</w:t>
      </w:r>
      <w:r w:rsidRPr="004F61C5">
        <w:rPr>
          <w:rFonts w:cs="Arial"/>
          <w:rtl/>
        </w:rPr>
        <w:t>ג דאין לה אלא מנה ומכר</w:t>
      </w:r>
      <w:r>
        <w:rPr>
          <w:rFonts w:cs="Arial" w:hint="cs"/>
          <w:rtl/>
        </w:rPr>
        <w:t>ה</w:t>
      </w:r>
      <w:r w:rsidRPr="004F61C5">
        <w:rPr>
          <w:rFonts w:cs="Arial"/>
          <w:rtl/>
        </w:rPr>
        <w:t xml:space="preserve"> ביותר </w:t>
      </w:r>
      <w:r>
        <w:rPr>
          <w:rFonts w:cs="Arial" w:hint="cs"/>
          <w:rtl/>
        </w:rPr>
        <w:t xml:space="preserve">- </w:t>
      </w:r>
      <w:r w:rsidRPr="004F61C5">
        <w:rPr>
          <w:rFonts w:cs="Arial"/>
          <w:rtl/>
        </w:rPr>
        <w:t>מכר</w:t>
      </w:r>
      <w:r>
        <w:rPr>
          <w:rFonts w:cs="Arial" w:hint="cs"/>
          <w:rtl/>
        </w:rPr>
        <w:t>ה</w:t>
      </w:r>
      <w:r w:rsidRPr="004F61C5">
        <w:rPr>
          <w:rFonts w:cs="Arial"/>
          <w:rtl/>
        </w:rPr>
        <w:t xml:space="preserve"> קיים</w:t>
      </w:r>
      <w:r>
        <w:rPr>
          <w:rFonts w:cs="Arial" w:hint="cs"/>
          <w:rtl/>
        </w:rPr>
        <w:t>,</w:t>
      </w:r>
      <w:r w:rsidRPr="004F61C5">
        <w:rPr>
          <w:rFonts w:cs="Arial"/>
          <w:rtl/>
        </w:rPr>
        <w:t xml:space="preserve"> כמ"ש בח"ה סי' קפ"ב</w:t>
      </w:r>
      <w:r>
        <w:rPr>
          <w:rFonts w:cs="Arial" w:hint="cs"/>
          <w:rtl/>
        </w:rPr>
        <w:t>, ב"ש (סקי"ב).</w:t>
      </w:r>
    </w:p>
  </w:footnote>
  <w:footnote w:id="2673">
    <w:p w14:paraId="435D2E1D" w14:textId="77777777" w:rsidR="00DF1FC7" w:rsidRDefault="00DF1FC7" w:rsidP="002E5BAD">
      <w:pPr>
        <w:pStyle w:val="a5"/>
      </w:pPr>
      <w:r>
        <w:rPr>
          <w:rStyle w:val="a7"/>
        </w:rPr>
        <w:footnoteRef/>
      </w:r>
      <w:r>
        <w:rPr>
          <w:rtl/>
        </w:rPr>
        <w:t xml:space="preserve"> </w:t>
      </w:r>
      <w:r>
        <w:rPr>
          <w:rFonts w:hint="cs"/>
          <w:rtl/>
        </w:rPr>
        <w:t>חצי כור.</w:t>
      </w:r>
    </w:p>
  </w:footnote>
  <w:footnote w:id="2674">
    <w:p w14:paraId="68BEDAE3" w14:textId="77777777" w:rsidR="00DF1FC7" w:rsidRDefault="00DF1FC7" w:rsidP="002E5BAD">
      <w:pPr>
        <w:pStyle w:val="a5"/>
      </w:pPr>
      <w:r>
        <w:rPr>
          <w:rStyle w:val="a7"/>
        </w:rPr>
        <w:footnoteRef/>
      </w:r>
      <w:r>
        <w:rPr>
          <w:rtl/>
        </w:rPr>
        <w:t xml:space="preserve"> </w:t>
      </w:r>
      <w:r w:rsidRPr="00044BB5">
        <w:rPr>
          <w:rFonts w:cs="Arial"/>
          <w:rtl/>
        </w:rPr>
        <w:t>ותתחרט במכירתך לא היית יכול לחזור אם מכרתיה</w:t>
      </w:r>
      <w:r>
        <w:rPr>
          <w:rFonts w:cs="Arial" w:hint="cs"/>
          <w:rtl/>
        </w:rPr>
        <w:t>, רש"י.</w:t>
      </w:r>
    </w:p>
  </w:footnote>
  <w:footnote w:id="2675">
    <w:p w14:paraId="7CE013D2" w14:textId="77777777" w:rsidR="00DF1FC7" w:rsidRDefault="00DF1FC7" w:rsidP="002E5BAD">
      <w:pPr>
        <w:pStyle w:val="a5"/>
      </w:pPr>
      <w:r>
        <w:rPr>
          <w:rStyle w:val="a7"/>
        </w:rPr>
        <w:footnoteRef/>
      </w:r>
      <w:r>
        <w:rPr>
          <w:rtl/>
        </w:rPr>
        <w:t xml:space="preserve"> </w:t>
      </w:r>
      <w:r w:rsidRPr="009139F8">
        <w:rPr>
          <w:rFonts w:cs="Arial"/>
          <w:rtl/>
        </w:rPr>
        <w:t>והא הכא דלזבוני בארבע מאה שדרוה ומכרה לראשון במנה דהיינו זבין לי כורא וזבין ליה ליתכא</w:t>
      </w:r>
      <w:r>
        <w:rPr>
          <w:rFonts w:cs="Arial" w:hint="cs"/>
          <w:rtl/>
        </w:rPr>
        <w:t>, רש"י.</w:t>
      </w:r>
    </w:p>
  </w:footnote>
  <w:footnote w:id="2676">
    <w:p w14:paraId="3B656BEE" w14:textId="77777777" w:rsidR="00DF1FC7" w:rsidRDefault="00DF1FC7" w:rsidP="002E5BAD">
      <w:pPr>
        <w:pStyle w:val="a5"/>
      </w:pPr>
      <w:r>
        <w:rPr>
          <w:rStyle w:val="a7"/>
        </w:rPr>
        <w:footnoteRef/>
      </w:r>
      <w:r>
        <w:rPr>
          <w:rtl/>
        </w:rPr>
        <w:t xml:space="preserve"> </w:t>
      </w:r>
      <w:r w:rsidRPr="009139F8">
        <w:rPr>
          <w:rFonts w:cs="Arial"/>
          <w:rtl/>
        </w:rPr>
        <w:t>לא היו שדות הללו יחד ואין ראוין לאדם אחד דמעיקרא אדעתא דהכי נעשית שליח</w:t>
      </w:r>
      <w:r>
        <w:rPr>
          <w:rFonts w:cs="Arial" w:hint="cs"/>
          <w:rtl/>
        </w:rPr>
        <w:t>, רש"י.</w:t>
      </w:r>
    </w:p>
  </w:footnote>
  <w:footnote w:id="2677">
    <w:p w14:paraId="3CEA610D" w14:textId="77777777" w:rsidR="00DF1FC7" w:rsidRDefault="00DF1FC7" w:rsidP="002E5BAD">
      <w:pPr>
        <w:pStyle w:val="a5"/>
        <w:rPr>
          <w:rtl/>
        </w:rPr>
      </w:pPr>
      <w:r>
        <w:rPr>
          <w:rStyle w:val="a7"/>
        </w:rPr>
        <w:footnoteRef/>
      </w:r>
      <w:r>
        <w:rPr>
          <w:rtl/>
        </w:rPr>
        <w:t xml:space="preserve"> </w:t>
      </w:r>
      <w:r>
        <w:rPr>
          <w:rFonts w:cs="Arial"/>
          <w:rtl/>
        </w:rPr>
        <w:t>וסובר רבינו דכיון דפסק רב אלפס במכור לי כורא וזבין ליה ליתכא דמעביר על דבריו הוי</w:t>
      </w:r>
      <w:r>
        <w:rPr>
          <w:rFonts w:cs="Arial" w:hint="cs"/>
          <w:rtl/>
        </w:rPr>
        <w:t>,</w:t>
      </w:r>
      <w:r>
        <w:rPr>
          <w:rFonts w:cs="Arial"/>
          <w:rtl/>
        </w:rPr>
        <w:t xml:space="preserve"> ממילא איצטרכינן לאוקומי מתניתין בקטיני או במכרה לכולם בשטר אחד</w:t>
      </w:r>
      <w:r>
        <w:rPr>
          <w:rFonts w:cs="Arial" w:hint="cs"/>
          <w:rtl/>
        </w:rPr>
        <w:t>,</w:t>
      </w:r>
      <w:r>
        <w:rPr>
          <w:rFonts w:cs="Arial"/>
          <w:rtl/>
        </w:rPr>
        <w:t xml:space="preserve"> דליכא חששא דליפשו שטרי עילויה</w:t>
      </w:r>
      <w:r>
        <w:rPr>
          <w:rFonts w:cs="Arial" w:hint="cs"/>
          <w:rtl/>
        </w:rPr>
        <w:t>.</w:t>
      </w:r>
      <w:r>
        <w:rPr>
          <w:rFonts w:cs="Arial"/>
          <w:rtl/>
        </w:rPr>
        <w:t xml:space="preserve"> ולר</w:t>
      </w:r>
      <w:r>
        <w:rPr>
          <w:rFonts w:cs="Arial" w:hint="cs"/>
          <w:rtl/>
        </w:rPr>
        <w:t>ב האי</w:t>
      </w:r>
      <w:r>
        <w:rPr>
          <w:rFonts w:cs="Arial"/>
          <w:rtl/>
        </w:rPr>
        <w:t xml:space="preserve"> שפסק במכור לי כורא וזבין ליתכא שהמכר קיים מתניתין מיתוקמא בכל גוונא אפילו בשדה אחת ובד' שטרות</w:t>
      </w:r>
      <w:r>
        <w:rPr>
          <w:rFonts w:cs="Arial" w:hint="cs"/>
          <w:rtl/>
        </w:rPr>
        <w:t>, ב"י.</w:t>
      </w:r>
    </w:p>
  </w:footnote>
  <w:footnote w:id="2678">
    <w:p w14:paraId="069A1687" w14:textId="77777777" w:rsidR="00DF1FC7" w:rsidRDefault="00DF1FC7" w:rsidP="002E5BAD">
      <w:pPr>
        <w:pStyle w:val="a5"/>
      </w:pPr>
      <w:r>
        <w:rPr>
          <w:rStyle w:val="a7"/>
        </w:rPr>
        <w:footnoteRef/>
      </w:r>
      <w:r>
        <w:rPr>
          <w:rtl/>
        </w:rPr>
        <w:t xml:space="preserve"> </w:t>
      </w:r>
      <w:r>
        <w:rPr>
          <w:rFonts w:cs="Arial"/>
          <w:rtl/>
        </w:rPr>
        <w:t>איני יודע היכן מצא כן והוא עצמו כתב בטור חושן משפט סימן קפ"ב (שם) על דברי רב אלפס ודברי רבינו האיי ואדוני אבי ז"ל הביא דברי שניהם ולא הכריע ואיפשר שטעמו כאן מפני שהביא הרא"ש דברי רבינו האיי לבסוף שכך דרך רבינו בהרבה מקומות לכתוב שהסכמת הרא"ש כאותה סברא שמביא לבסוף</w:t>
      </w:r>
      <w:r>
        <w:rPr>
          <w:rFonts w:cs="Arial" w:hint="cs"/>
          <w:rtl/>
        </w:rPr>
        <w:t>, ב"י.</w:t>
      </w:r>
      <w:r w:rsidRPr="003711AB">
        <w:rPr>
          <w:rFonts w:cs="Arial"/>
          <w:rtl/>
        </w:rPr>
        <w:t xml:space="preserve"> </w:t>
      </w:r>
      <w:r>
        <w:rPr>
          <w:rFonts w:cs="Arial" w:hint="cs"/>
          <w:rtl/>
        </w:rPr>
        <w:t xml:space="preserve">אך הדרכ"מ </w:t>
      </w:r>
      <w:r w:rsidRPr="003711AB">
        <w:rPr>
          <w:rFonts w:cs="Arial"/>
          <w:rtl/>
        </w:rPr>
        <w:t>(</w:t>
      </w:r>
      <w:r>
        <w:rPr>
          <w:rFonts w:cs="Arial" w:hint="cs"/>
          <w:rtl/>
        </w:rPr>
        <w:t xml:space="preserve">אות </w:t>
      </w:r>
      <w:r w:rsidRPr="003711AB">
        <w:rPr>
          <w:rFonts w:cs="Arial"/>
          <w:rtl/>
        </w:rPr>
        <w:t xml:space="preserve">ח) </w:t>
      </w:r>
      <w:r>
        <w:rPr>
          <w:rFonts w:cs="Arial" w:hint="cs"/>
          <w:rtl/>
        </w:rPr>
        <w:t>כתב ד</w:t>
      </w:r>
      <w:r w:rsidRPr="003711AB">
        <w:rPr>
          <w:rFonts w:cs="Arial"/>
          <w:rtl/>
        </w:rPr>
        <w:t>נראה דיש לחלק בין אלמנה המוכרת שהנכסים בחזקתה קיימים למכור</w:t>
      </w:r>
      <w:r>
        <w:rPr>
          <w:rFonts w:cs="Arial" w:hint="cs"/>
          <w:rtl/>
        </w:rPr>
        <w:t>,</w:t>
      </w:r>
      <w:r w:rsidRPr="003711AB">
        <w:rPr>
          <w:rFonts w:cs="Arial"/>
          <w:rtl/>
        </w:rPr>
        <w:t xml:space="preserve"> לשאר שליח המוכר</w:t>
      </w:r>
      <w:r>
        <w:rPr>
          <w:rFonts w:cs="Arial" w:hint="cs"/>
          <w:rtl/>
        </w:rPr>
        <w:t>.</w:t>
      </w:r>
      <w:r w:rsidRPr="003711AB">
        <w:rPr>
          <w:rFonts w:cs="Arial"/>
          <w:rtl/>
        </w:rPr>
        <w:t xml:space="preserve"> וכ"כ ב"י שדעת הרמב"ם ג"כ שאלמנה המוכרת לד' אפילו בד' שטרות מכרה קיים</w:t>
      </w:r>
      <w:r>
        <w:rPr>
          <w:rFonts w:cs="Arial" w:hint="cs"/>
          <w:rtl/>
        </w:rPr>
        <w:t>,</w:t>
      </w:r>
      <w:r w:rsidRPr="003711AB">
        <w:rPr>
          <w:rFonts w:cs="Arial"/>
          <w:rtl/>
        </w:rPr>
        <w:t xml:space="preserve"> וגבי שליח פסק פ"א מהלכות שלוחין כדברי רב אלפס</w:t>
      </w:r>
      <w:r>
        <w:rPr>
          <w:rFonts w:cs="Arial" w:hint="cs"/>
          <w:rtl/>
        </w:rPr>
        <w:t>.</w:t>
      </w:r>
      <w:r w:rsidRPr="003711AB">
        <w:rPr>
          <w:rFonts w:cs="Arial"/>
          <w:rtl/>
        </w:rPr>
        <w:t xml:space="preserve"> ותמיהני על ב"י שדחק עצמו בתירוץ קושיא זו וכתב דאע"ג דהרא"ש לא הכריע מכל מקום כתב רבינו כאן דמסקנתו כדברי רב האי מאחר שהביא סברתו באחרונה וכך דרך רבינו בהרבה מקומות לכתוב שהסכמת הרא"ש כאותה סברא שהביא באחרונה עכ"ל, ומכל מקום הקושיא במקומה עומדת למה כתב כאן דהרא"ש הסכים לסברא אחת ובחושן המשפט כתב דלא הכריע, ולכן נראה מה שכתבתי ותימה על ב"י שלא עלה זה על לבו וגם בדברי הרא"ש שהביא ב"י משמע כמו שכתבתי</w:t>
      </w:r>
      <w:r>
        <w:rPr>
          <w:rFonts w:cs="Arial" w:hint="cs"/>
          <w:rtl/>
        </w:rPr>
        <w:t>.</w:t>
      </w:r>
    </w:p>
  </w:footnote>
  <w:footnote w:id="2679">
    <w:p w14:paraId="605EF49C" w14:textId="77777777" w:rsidR="00DF1FC7" w:rsidRDefault="00DF1FC7" w:rsidP="002E5BAD">
      <w:pPr>
        <w:pStyle w:val="a5"/>
      </w:pPr>
      <w:r>
        <w:rPr>
          <w:rStyle w:val="a7"/>
        </w:rPr>
        <w:footnoteRef/>
      </w:r>
      <w:r>
        <w:rPr>
          <w:rtl/>
        </w:rPr>
        <w:t xml:space="preserve"> </w:t>
      </w:r>
      <w:r w:rsidRPr="00031435">
        <w:rPr>
          <w:rFonts w:cs="Arial"/>
          <w:rtl/>
        </w:rPr>
        <w:t>(ז) וכן הוא בהר"ן (דף תקכ"ח ע"ב) פרק אלמנה נזונת (נז: ד"ה איבעיא):</w:t>
      </w:r>
    </w:p>
  </w:footnote>
  <w:footnote w:id="2680">
    <w:p w14:paraId="35DAEE06" w14:textId="77777777" w:rsidR="00DF1FC7" w:rsidRDefault="00DF1FC7" w:rsidP="002E5BAD">
      <w:pPr>
        <w:pStyle w:val="a5"/>
      </w:pPr>
      <w:r>
        <w:rPr>
          <w:rStyle w:val="a7"/>
        </w:rPr>
        <w:footnoteRef/>
      </w:r>
      <w:r>
        <w:rPr>
          <w:rtl/>
        </w:rPr>
        <w:t xml:space="preserve"> </w:t>
      </w:r>
      <w:r>
        <w:rPr>
          <w:rFonts w:cs="Arial" w:hint="cs"/>
          <w:rtl/>
        </w:rPr>
        <w:t xml:space="preserve">וז"ל- </w:t>
      </w:r>
      <w:r w:rsidRPr="000E61EB">
        <w:rPr>
          <w:rFonts w:cs="Arial"/>
          <w:rtl/>
        </w:rPr>
        <w:t>והרמב"ם אף על פי שבפ"א מהלכות שלוחין (ה"ד) פסק כרב אלפס דמעביר על דבריו הוי</w:t>
      </w:r>
      <w:r w:rsidRPr="000E61EB">
        <w:rPr>
          <w:rFonts w:cs="Arial" w:hint="cs"/>
          <w:rtl/>
        </w:rPr>
        <w:t>,</w:t>
      </w:r>
      <w:r w:rsidRPr="000E61EB">
        <w:rPr>
          <w:rFonts w:cs="Arial"/>
          <w:rtl/>
        </w:rPr>
        <w:t xml:space="preserve"> כתב בפרק י"ז מהלכות אישות (הט"ז) משנתינו כצורתה ולא חילק בין שדה אחת לד' שדות</w:t>
      </w:r>
      <w:r w:rsidRPr="000E61EB">
        <w:rPr>
          <w:rFonts w:cs="Arial" w:hint="cs"/>
          <w:rtl/>
        </w:rPr>
        <w:t>,</w:t>
      </w:r>
      <w:r w:rsidRPr="000E61EB">
        <w:rPr>
          <w:rFonts w:cs="Arial"/>
          <w:rtl/>
        </w:rPr>
        <w:t xml:space="preserve"> ובין מוכר בשטר אחד למוכר בד' שטרות</w:t>
      </w:r>
      <w:r w:rsidRPr="000E61EB">
        <w:rPr>
          <w:rFonts w:cs="Arial" w:hint="cs"/>
          <w:rtl/>
        </w:rPr>
        <w:t>.</w:t>
      </w:r>
      <w:r w:rsidRPr="000E61EB">
        <w:rPr>
          <w:rFonts w:cs="Arial"/>
          <w:rtl/>
        </w:rPr>
        <w:t xml:space="preserve"> ונ"ל דטעמא משום דאיכא למימר דלא דמיא מתניתין לשליח</w:t>
      </w:r>
      <w:r w:rsidRPr="000E61EB">
        <w:rPr>
          <w:rFonts w:cs="Arial" w:hint="cs"/>
          <w:rtl/>
        </w:rPr>
        <w:t>,</w:t>
      </w:r>
      <w:r w:rsidRPr="000E61EB">
        <w:rPr>
          <w:rFonts w:cs="Arial"/>
          <w:rtl/>
        </w:rPr>
        <w:t xml:space="preserve"> דאלמנה לאו שליחותא דיתמי קא עבדה דהא נכסי בחזקת אלמנה קיימי כדאמרינן בפרק אלמנה נזונת (צו:)</w:t>
      </w:r>
      <w:r w:rsidRPr="000E61EB">
        <w:rPr>
          <w:rFonts w:cs="Arial" w:hint="cs"/>
          <w:rtl/>
        </w:rPr>
        <w:t>.</w:t>
      </w:r>
      <w:r w:rsidRPr="000E61EB">
        <w:rPr>
          <w:rFonts w:cs="Arial"/>
          <w:rtl/>
        </w:rPr>
        <w:t xml:space="preserve"> ובלאו הכי לא דמיא אלמנה לשליח</w:t>
      </w:r>
      <w:r w:rsidRPr="000E61EB">
        <w:rPr>
          <w:rFonts w:cs="Arial" w:hint="cs"/>
          <w:rtl/>
        </w:rPr>
        <w:t>,</w:t>
      </w:r>
      <w:r w:rsidRPr="000E61EB">
        <w:rPr>
          <w:rFonts w:cs="Arial"/>
          <w:rtl/>
        </w:rPr>
        <w:t xml:space="preserve"> שהרי אם רצתה למכור לחצי כתובתה או לשליש ולרביע הרשות בידה</w:t>
      </w:r>
      <w:r w:rsidRPr="000E61EB">
        <w:rPr>
          <w:rFonts w:cs="Arial" w:hint="cs"/>
          <w:rtl/>
        </w:rPr>
        <w:t>,</w:t>
      </w:r>
      <w:r w:rsidRPr="000E61EB">
        <w:rPr>
          <w:rFonts w:cs="Arial"/>
          <w:rtl/>
        </w:rPr>
        <w:t xml:space="preserve"> וכדתנן (צז:) בהדיא מוכרת היא אפילו ד' וה' פעמים</w:t>
      </w:r>
      <w:r w:rsidRPr="000E61EB">
        <w:rPr>
          <w:rFonts w:cs="Arial" w:hint="cs"/>
          <w:rtl/>
        </w:rPr>
        <w:t>.</w:t>
      </w:r>
      <w:r w:rsidRPr="000E61EB">
        <w:rPr>
          <w:rFonts w:cs="Arial"/>
          <w:rtl/>
        </w:rPr>
        <w:t xml:space="preserve"> ועוד שהרי ר"ת (תוס' צט: ד"ה אמר) פירש דאפושי שטרי דלעיל לאו משום זילותא דנכסי הוא</w:t>
      </w:r>
      <w:r w:rsidRPr="000E61EB">
        <w:rPr>
          <w:rFonts w:cs="Arial" w:hint="cs"/>
          <w:rtl/>
        </w:rPr>
        <w:t>,</w:t>
      </w:r>
      <w:r w:rsidRPr="000E61EB">
        <w:rPr>
          <w:rFonts w:cs="Arial"/>
          <w:rtl/>
        </w:rPr>
        <w:t xml:space="preserve"> אלא משום שיצטרך לחזר בכל שטר ושטר אחר חתימת עדים וקנין</w:t>
      </w:r>
      <w:r w:rsidRPr="000E61EB">
        <w:rPr>
          <w:rFonts w:cs="Arial" w:hint="cs"/>
          <w:rtl/>
        </w:rPr>
        <w:t>.</w:t>
      </w:r>
      <w:r w:rsidRPr="000E61EB">
        <w:rPr>
          <w:rFonts w:cs="Arial"/>
          <w:rtl/>
        </w:rPr>
        <w:t xml:space="preserve"> וכתב הרא"ש (סי' טו) שרב אלפס (שם) צריך לחלק כמו שפירש ר"ת</w:t>
      </w:r>
      <w:r w:rsidRPr="000E61EB">
        <w:rPr>
          <w:rFonts w:cs="Arial" w:hint="cs"/>
          <w:rtl/>
        </w:rPr>
        <w:t>,</w:t>
      </w:r>
      <w:r w:rsidRPr="000E61EB">
        <w:rPr>
          <w:rFonts w:cs="Arial"/>
          <w:rtl/>
        </w:rPr>
        <w:t xml:space="preserve"> ולפי זה גבי אלמנה שמכרה ליכא למיחש לאפושי שטרי</w:t>
      </w:r>
      <w:r w:rsidRPr="000E61EB">
        <w:rPr>
          <w:rFonts w:cs="Arial" w:hint="cs"/>
          <w:rtl/>
        </w:rPr>
        <w:t>,</w:t>
      </w:r>
      <w:r w:rsidRPr="000E61EB">
        <w:rPr>
          <w:rFonts w:cs="Arial"/>
          <w:rtl/>
        </w:rPr>
        <w:t xml:space="preserve"> שהאלמנה היא המחתמת השטרות ואין ליתומים עסק בהם</w:t>
      </w:r>
      <w:r w:rsidRPr="000E61EB">
        <w:rPr>
          <w:rFonts w:cs="Arial" w:hint="cs"/>
          <w:rtl/>
        </w:rPr>
        <w:t>.</w:t>
      </w:r>
      <w:r w:rsidRPr="000E61EB">
        <w:rPr>
          <w:rFonts w:cs="Arial"/>
          <w:rtl/>
        </w:rPr>
        <w:t xml:space="preserve"> וכיון דליכא ליתמי חשש דאפושי שטרי אפילו מכרה שדה אחת לד' בני אדם בד' שטרות מכרה קיים ותלמודא הוה מצי לשנויי חד מהני שינויי אלא שרצה להשיב לו לפי דרכו</w:t>
      </w:r>
      <w:r w:rsidRPr="000E61EB">
        <w:rPr>
          <w:rFonts w:cs="Arial" w:hint="cs"/>
          <w:rtl/>
        </w:rPr>
        <w:t>.</w:t>
      </w:r>
      <w:r>
        <w:rPr>
          <w:rFonts w:hint="cs"/>
          <w:rtl/>
        </w:rPr>
        <w:t xml:space="preserve"> עכ"ל הב"י. והב"ש (סקי"ג) חלק על הבנת הב"י בדברי הרמב"ם וכתב- </w:t>
      </w:r>
      <w:r w:rsidRPr="00BB2C57">
        <w:rPr>
          <w:rFonts w:cs="Arial"/>
          <w:rtl/>
        </w:rPr>
        <w:t>ואנ"ל לדחות הסוגיא ויותר מסתברא דרמב"ם סומך את עצמו על מ"ש בה' שלוחין</w:t>
      </w:r>
      <w:r>
        <w:rPr>
          <w:rFonts w:cs="Arial" w:hint="cs"/>
          <w:rtl/>
        </w:rPr>
        <w:t>.</w:t>
      </w:r>
    </w:p>
  </w:footnote>
  <w:footnote w:id="2681">
    <w:p w14:paraId="2AEA1E7E" w14:textId="77777777" w:rsidR="00DF1FC7" w:rsidRDefault="00DF1FC7" w:rsidP="002E5BAD">
      <w:pPr>
        <w:pStyle w:val="a5"/>
      </w:pPr>
      <w:r>
        <w:rPr>
          <w:rStyle w:val="a7"/>
        </w:rPr>
        <w:footnoteRef/>
      </w:r>
      <w:r>
        <w:rPr>
          <w:rtl/>
        </w:rPr>
        <w:t xml:space="preserve"> </w:t>
      </w:r>
      <w:r>
        <w:rPr>
          <w:rFonts w:cs="Arial"/>
          <w:rtl/>
        </w:rPr>
        <w:t xml:space="preserve">ומשמע לרבינו </w:t>
      </w:r>
      <w:r>
        <w:rPr>
          <w:rFonts w:cs="Arial" w:hint="cs"/>
          <w:sz w:val="16"/>
          <w:szCs w:val="16"/>
          <w:rtl/>
        </w:rPr>
        <w:t xml:space="preserve">{הטור} </w:t>
      </w:r>
      <w:r>
        <w:rPr>
          <w:rFonts w:cs="Arial"/>
          <w:rtl/>
        </w:rPr>
        <w:t>בשעת הכנסת פועלים היינו בבקר</w:t>
      </w:r>
      <w:r>
        <w:rPr>
          <w:rFonts w:cs="Arial" w:hint="cs"/>
          <w:rtl/>
        </w:rPr>
        <w:t>,</w:t>
      </w:r>
      <w:r>
        <w:rPr>
          <w:rFonts w:cs="Arial"/>
          <w:rtl/>
        </w:rPr>
        <w:t xml:space="preserve"> וקרי ליה הכי מפני שבאותה שעה הם נכנסים למלאכה</w:t>
      </w:r>
      <w:r>
        <w:rPr>
          <w:rFonts w:cs="Arial" w:hint="cs"/>
          <w:rtl/>
        </w:rPr>
        <w:t>.</w:t>
      </w:r>
      <w:r>
        <w:rPr>
          <w:rFonts w:cs="Arial"/>
          <w:rtl/>
        </w:rPr>
        <w:t xml:space="preserve"> ושעת הוצאת פועלים היינו בערב</w:t>
      </w:r>
      <w:r>
        <w:rPr>
          <w:rFonts w:cs="Arial" w:hint="cs"/>
          <w:rtl/>
        </w:rPr>
        <w:t>,</w:t>
      </w:r>
      <w:r>
        <w:rPr>
          <w:rFonts w:cs="Arial"/>
          <w:rtl/>
        </w:rPr>
        <w:t xml:space="preserve"> שהם יוצאים ונפטרים ממלאכתם</w:t>
      </w:r>
      <w:r>
        <w:rPr>
          <w:rFonts w:cs="Arial" w:hint="cs"/>
          <w:rtl/>
        </w:rPr>
        <w:t>.</w:t>
      </w:r>
      <w:r>
        <w:rPr>
          <w:rFonts w:cs="Arial"/>
          <w:rtl/>
        </w:rPr>
        <w:t xml:space="preserve"> וכן פי' הר"ן (כתובות נח: ד"ה בשעת)</w:t>
      </w:r>
      <w:r>
        <w:rPr>
          <w:rFonts w:cs="Arial" w:hint="cs"/>
          <w:rtl/>
        </w:rPr>
        <w:t>.</w:t>
      </w:r>
      <w:r>
        <w:rPr>
          <w:rFonts w:cs="Arial"/>
          <w:rtl/>
        </w:rPr>
        <w:t xml:space="preserve"> ומוכרח הוא מדקאמר בשעת הוצאת פועלים אי איכא דניחא ליה למיזבן אמר זילו סיירו לה ניהלי</w:t>
      </w:r>
      <w:r>
        <w:rPr>
          <w:rFonts w:cs="Arial" w:hint="cs"/>
          <w:rtl/>
        </w:rPr>
        <w:t>,</w:t>
      </w:r>
      <w:r>
        <w:rPr>
          <w:rFonts w:cs="Arial"/>
          <w:rtl/>
        </w:rPr>
        <w:t xml:space="preserve"> דהיינו לומר דכשישמע ההכרזה יזכור שיאמר לפועליו כשנפטרים ממנו שילכו לבקר הקרקע הנמכר ובבקר בשעת הכנסת פועלים כשישמע ההכרזה יזכור לשאול אותם ענין הקרקע</w:t>
      </w:r>
      <w:r>
        <w:rPr>
          <w:rFonts w:cs="Arial" w:hint="cs"/>
          <w:rtl/>
        </w:rPr>
        <w:t>, ב"י</w:t>
      </w:r>
      <w:r>
        <w:rPr>
          <w:rFonts w:cs="Arial"/>
          <w:rtl/>
        </w:rPr>
        <w:t>.</w:t>
      </w:r>
    </w:p>
  </w:footnote>
  <w:footnote w:id="2682">
    <w:p w14:paraId="72A09818" w14:textId="77777777" w:rsidR="00DF1FC7" w:rsidRDefault="00DF1FC7" w:rsidP="002E5BAD">
      <w:pPr>
        <w:pStyle w:val="a5"/>
      </w:pPr>
      <w:r>
        <w:rPr>
          <w:rStyle w:val="a7"/>
        </w:rPr>
        <w:footnoteRef/>
      </w:r>
      <w:r>
        <w:rPr>
          <w:rtl/>
        </w:rPr>
        <w:t xml:space="preserve"> </w:t>
      </w:r>
      <w:r w:rsidRPr="003F71F1">
        <w:rPr>
          <w:rFonts w:cs="Arial"/>
          <w:rtl/>
        </w:rPr>
        <w:t>כך וכך היא עושה תבואה</w:t>
      </w:r>
      <w:r>
        <w:rPr>
          <w:rFonts w:cs="Arial" w:hint="cs"/>
          <w:rtl/>
        </w:rPr>
        <w:t>, רש"י.</w:t>
      </w:r>
      <w:r w:rsidRPr="003F71F1">
        <w:rPr>
          <w:rFonts w:cs="Arial"/>
          <w:rtl/>
        </w:rPr>
        <w:t xml:space="preserve"> </w:t>
      </w:r>
      <w:r>
        <w:rPr>
          <w:rFonts w:cs="Arial"/>
          <w:rtl/>
        </w:rPr>
        <w:t>והה</w:t>
      </w:r>
      <w:r>
        <w:rPr>
          <w:rFonts w:cs="Arial" w:hint="cs"/>
          <w:rtl/>
        </w:rPr>
        <w:t>"</w:t>
      </w:r>
      <w:r>
        <w:rPr>
          <w:rFonts w:cs="Arial"/>
          <w:rtl/>
        </w:rPr>
        <w:t xml:space="preserve">מ פי' </w:t>
      </w:r>
      <w:r>
        <w:rPr>
          <w:rFonts w:cs="Arial" w:hint="cs"/>
          <w:rtl/>
        </w:rPr>
        <w:t>(</w:t>
      </w:r>
      <w:r>
        <w:rPr>
          <w:rFonts w:cs="Arial"/>
          <w:rtl/>
        </w:rPr>
        <w:t>פי"ב מהל</w:t>
      </w:r>
      <w:r>
        <w:rPr>
          <w:rFonts w:cs="Arial" w:hint="cs"/>
          <w:rtl/>
        </w:rPr>
        <w:t>'</w:t>
      </w:r>
      <w:r>
        <w:rPr>
          <w:rFonts w:cs="Arial"/>
          <w:rtl/>
        </w:rPr>
        <w:t xml:space="preserve"> מלוה ה"ח) דכך וכך היא יפה</w:t>
      </w:r>
      <w:r>
        <w:rPr>
          <w:rFonts w:cs="Arial" w:hint="cs"/>
          <w:rtl/>
        </w:rPr>
        <w:t>,</w:t>
      </w:r>
      <w:r>
        <w:rPr>
          <w:rFonts w:cs="Arial"/>
          <w:rtl/>
        </w:rPr>
        <w:t xml:space="preserve"> היינו </w:t>
      </w:r>
      <w:r>
        <w:rPr>
          <w:rFonts w:cs="Arial" w:hint="cs"/>
          <w:rtl/>
        </w:rPr>
        <w:t xml:space="preserve">- </w:t>
      </w:r>
      <w:r>
        <w:rPr>
          <w:rFonts w:cs="Arial"/>
          <w:rtl/>
        </w:rPr>
        <w:t>כמה מוצאין בה</w:t>
      </w:r>
      <w:r>
        <w:rPr>
          <w:rFonts w:cs="Arial" w:hint="cs"/>
          <w:rtl/>
        </w:rPr>
        <w:t xml:space="preserve">. והביא הב"י כאן את שני הפירושים, וצל"ע מה ההבדל בניהם. ובשו"ע (חו"מ סי' קט ס"א) כתב כפירוש הה"מ. וכ"כ כאן הח"מ (אהע"ז סי' קד סק"ד). ופירש הסמ"ע (חו"מ סי' קט סק"ג) </w:t>
      </w:r>
      <w:r w:rsidRPr="005B7292">
        <w:rPr>
          <w:rFonts w:cs="Arial"/>
          <w:rtl/>
        </w:rPr>
        <w:t>נראה דפירש כמה מוצאין, הוא כמה תבואה מוצאין בכל שנה ושנה באותה שדה אחר שנזרעה כדרך השדות, דבזה ניכר יופיה וטובה של השדה</w:t>
      </w:r>
      <w:r>
        <w:rPr>
          <w:rFonts w:cs="Arial" w:hint="cs"/>
          <w:rtl/>
        </w:rPr>
        <w:t>.</w:t>
      </w:r>
    </w:p>
  </w:footnote>
  <w:footnote w:id="2683">
    <w:p w14:paraId="15F7C622" w14:textId="77777777" w:rsidR="00DF1FC7" w:rsidRDefault="00DF1FC7" w:rsidP="002E5BAD">
      <w:pPr>
        <w:pStyle w:val="a5"/>
      </w:pPr>
      <w:r>
        <w:rPr>
          <w:rStyle w:val="a7"/>
        </w:rPr>
        <w:footnoteRef/>
      </w:r>
      <w:r>
        <w:rPr>
          <w:rtl/>
        </w:rPr>
        <w:t xml:space="preserve"> </w:t>
      </w:r>
      <w:r w:rsidRPr="003F71F1">
        <w:rPr>
          <w:rFonts w:cs="Arial"/>
          <w:rtl/>
        </w:rPr>
        <w:t>בכך וכך שמאוה ב"ד</w:t>
      </w:r>
      <w:r>
        <w:rPr>
          <w:rFonts w:cs="Arial" w:hint="cs"/>
          <w:rtl/>
        </w:rPr>
        <w:t>, רש"י.</w:t>
      </w:r>
    </w:p>
  </w:footnote>
  <w:footnote w:id="2684">
    <w:p w14:paraId="5D78D21A" w14:textId="77777777" w:rsidR="00DF1FC7" w:rsidRDefault="00DF1FC7" w:rsidP="002E5BAD">
      <w:pPr>
        <w:pStyle w:val="a5"/>
      </w:pPr>
      <w:r>
        <w:rPr>
          <w:rStyle w:val="a7"/>
        </w:rPr>
        <w:footnoteRef/>
      </w:r>
      <w:r>
        <w:rPr>
          <w:rtl/>
        </w:rPr>
        <w:t xml:space="preserve"> </w:t>
      </w:r>
      <w:r w:rsidRPr="003F71F1">
        <w:rPr>
          <w:rFonts w:cs="Arial"/>
          <w:rtl/>
        </w:rPr>
        <w:t>פורתא פורתא ואיכא לוקח דניחא ליה לפרוע לבעל חוב דמיקל בזוזי שנוטל זוזים שבורים וחסרים שאין דרך סוחרים מקפידין בכך</w:t>
      </w:r>
      <w:r>
        <w:rPr>
          <w:rFonts w:cs="Arial" w:hint="cs"/>
          <w:rtl/>
        </w:rPr>
        <w:t>, רש"י.</w:t>
      </w:r>
    </w:p>
  </w:footnote>
  <w:footnote w:id="2685">
    <w:p w14:paraId="7F2121C8" w14:textId="77777777" w:rsidR="00DF1FC7" w:rsidRDefault="00DF1FC7" w:rsidP="002E5BAD">
      <w:pPr>
        <w:pStyle w:val="a5"/>
      </w:pPr>
      <w:r>
        <w:rPr>
          <w:rStyle w:val="a7"/>
        </w:rPr>
        <w:footnoteRef/>
      </w:r>
      <w:r>
        <w:rPr>
          <w:rtl/>
        </w:rPr>
        <w:t xml:space="preserve"> </w:t>
      </w:r>
      <w:r w:rsidRPr="005B7292">
        <w:rPr>
          <w:rFonts w:cs="Arial"/>
          <w:rtl/>
        </w:rPr>
        <w:t>אין חילוק בין אם באה לגבו</w:t>
      </w:r>
      <w:r>
        <w:rPr>
          <w:rFonts w:cs="Arial" w:hint="cs"/>
          <w:rtl/>
        </w:rPr>
        <w:t>ת</w:t>
      </w:r>
      <w:r w:rsidRPr="005B7292">
        <w:rPr>
          <w:rFonts w:cs="Arial"/>
          <w:rtl/>
        </w:rPr>
        <w:t xml:space="preserve"> מיתומים קטנים או גדולים</w:t>
      </w:r>
      <w:r>
        <w:rPr>
          <w:rFonts w:cs="Arial" w:hint="cs"/>
          <w:rtl/>
        </w:rPr>
        <w:t>,</w:t>
      </w:r>
      <w:r w:rsidRPr="005B7292">
        <w:rPr>
          <w:rFonts w:cs="Arial"/>
          <w:rtl/>
        </w:rPr>
        <w:t xml:space="preserve"> כל זמן שגוב</w:t>
      </w:r>
      <w:r>
        <w:rPr>
          <w:rFonts w:cs="Arial" w:hint="cs"/>
          <w:rtl/>
        </w:rPr>
        <w:t>ה</w:t>
      </w:r>
      <w:r w:rsidRPr="005B7292">
        <w:rPr>
          <w:rFonts w:cs="Arial"/>
          <w:rtl/>
        </w:rPr>
        <w:t xml:space="preserve"> כתובת</w:t>
      </w:r>
      <w:r>
        <w:rPr>
          <w:rFonts w:cs="Arial" w:hint="cs"/>
          <w:rtl/>
        </w:rPr>
        <w:t>ה</w:t>
      </w:r>
      <w:r w:rsidRPr="005B7292">
        <w:rPr>
          <w:rFonts w:cs="Arial"/>
          <w:rtl/>
        </w:rPr>
        <w:t xml:space="preserve"> ע"פ ב"ד</w:t>
      </w:r>
      <w:r>
        <w:rPr>
          <w:rFonts w:cs="Arial" w:hint="cs"/>
          <w:rtl/>
        </w:rPr>
        <w:t>,</w:t>
      </w:r>
      <w:r w:rsidRPr="005B7292">
        <w:rPr>
          <w:rFonts w:cs="Arial"/>
          <w:rtl/>
        </w:rPr>
        <w:t xml:space="preserve"> וה"ה לגרושה הבאה לגבות כתוב</w:t>
      </w:r>
      <w:r>
        <w:rPr>
          <w:rFonts w:cs="Arial" w:hint="cs"/>
          <w:rtl/>
        </w:rPr>
        <w:t>ה</w:t>
      </w:r>
      <w:r w:rsidRPr="005B7292">
        <w:rPr>
          <w:rFonts w:cs="Arial"/>
          <w:rtl/>
        </w:rPr>
        <w:t xml:space="preserve"> ע"פ ב"ד</w:t>
      </w:r>
      <w:r>
        <w:rPr>
          <w:rFonts w:cs="Arial" w:hint="cs"/>
          <w:rtl/>
        </w:rPr>
        <w:t>.</w:t>
      </w:r>
      <w:r w:rsidRPr="005B7292">
        <w:rPr>
          <w:rFonts w:cs="Arial"/>
          <w:rtl/>
        </w:rPr>
        <w:t xml:space="preserve"> רק שדעת הרמב"ם שכל שאין גובין מן היתומים או מן הלקוחו</w:t>
      </w:r>
      <w:r>
        <w:rPr>
          <w:rFonts w:cs="Arial" w:hint="cs"/>
          <w:rtl/>
        </w:rPr>
        <w:t>ת,</w:t>
      </w:r>
      <w:r w:rsidRPr="005B7292">
        <w:rPr>
          <w:rFonts w:cs="Arial"/>
          <w:rtl/>
        </w:rPr>
        <w:t xml:space="preserve"> אף שצריך הכרז</w:t>
      </w:r>
      <w:r>
        <w:rPr>
          <w:rFonts w:cs="Arial" w:hint="cs"/>
          <w:rtl/>
        </w:rPr>
        <w:t>ה -</w:t>
      </w:r>
      <w:r w:rsidRPr="005B7292">
        <w:rPr>
          <w:rFonts w:cs="Arial"/>
          <w:rtl/>
        </w:rPr>
        <w:t xml:space="preserve"> א"צ שלשים יום</w:t>
      </w:r>
      <w:r>
        <w:rPr>
          <w:rFonts w:cs="Arial" w:hint="cs"/>
          <w:rtl/>
        </w:rPr>
        <w:t>,</w:t>
      </w:r>
      <w:r w:rsidRPr="005B7292">
        <w:rPr>
          <w:rFonts w:cs="Arial"/>
          <w:rtl/>
        </w:rPr>
        <w:t xml:space="preserve"> רק מכריזין כפי מה שיראו עד שיפסקו המוסיפין</w:t>
      </w:r>
      <w:r>
        <w:rPr>
          <w:rFonts w:cs="Arial" w:hint="cs"/>
          <w:rtl/>
        </w:rPr>
        <w:t>.</w:t>
      </w:r>
      <w:r w:rsidRPr="005B7292">
        <w:rPr>
          <w:rFonts w:cs="Arial"/>
          <w:rtl/>
        </w:rPr>
        <w:t xml:space="preserve"> ודעת הטור דכל שב"ד גובין אין חילוק בין נפרעין מן הלוה בעצמו או מיתומים ומלקוחו</w:t>
      </w:r>
      <w:r>
        <w:rPr>
          <w:rFonts w:cs="Arial" w:hint="cs"/>
          <w:rtl/>
        </w:rPr>
        <w:t>ת -</w:t>
      </w:r>
      <w:r w:rsidRPr="005B7292">
        <w:rPr>
          <w:rFonts w:cs="Arial"/>
          <w:rtl/>
        </w:rPr>
        <w:t xml:space="preserve"> לעולם צריך שומא והכרזת שלשים</w:t>
      </w:r>
      <w:r>
        <w:rPr>
          <w:rFonts w:cs="Arial" w:hint="cs"/>
          <w:rtl/>
        </w:rPr>
        <w:t>,</w:t>
      </w:r>
      <w:r w:rsidRPr="005B7292">
        <w:rPr>
          <w:rFonts w:cs="Arial"/>
          <w:rtl/>
        </w:rPr>
        <w:t xml:space="preserve"> עיין בח"מ סי' ק"ג</w:t>
      </w:r>
      <w:r>
        <w:rPr>
          <w:rFonts w:cs="Arial" w:hint="cs"/>
          <w:rtl/>
        </w:rPr>
        <w:t>, ח"מ (סק"א).</w:t>
      </w:r>
    </w:p>
  </w:footnote>
  <w:footnote w:id="2686">
    <w:p w14:paraId="3519FCE7" w14:textId="77777777" w:rsidR="00DF1FC7" w:rsidRDefault="00DF1FC7" w:rsidP="002E5BAD">
      <w:pPr>
        <w:pStyle w:val="a5"/>
      </w:pPr>
      <w:r>
        <w:rPr>
          <w:rStyle w:val="a7"/>
        </w:rPr>
        <w:footnoteRef/>
      </w:r>
      <w:r>
        <w:rPr>
          <w:rtl/>
        </w:rPr>
        <w:t xml:space="preserve"> </w:t>
      </w:r>
      <w:r>
        <w:rPr>
          <w:rFonts w:cs="Arial"/>
          <w:rtl/>
        </w:rPr>
        <w:t xml:space="preserve">ופירש רש"י אגרת ביקורת </w:t>
      </w:r>
      <w:r>
        <w:rPr>
          <w:rFonts w:cs="Arial" w:hint="cs"/>
          <w:rtl/>
        </w:rPr>
        <w:t xml:space="preserve">- </w:t>
      </w:r>
      <w:r>
        <w:rPr>
          <w:rFonts w:cs="Arial"/>
          <w:rtl/>
        </w:rPr>
        <w:t xml:space="preserve">הכרזה ולשון ביקורת שמבקרין אותה בני אדם ע"י הכרזה. והרמב"ם כתב </w:t>
      </w:r>
      <w:r>
        <w:rPr>
          <w:rFonts w:cs="Arial" w:hint="cs"/>
          <w:rtl/>
        </w:rPr>
        <w:t>(</w:t>
      </w:r>
      <w:r>
        <w:rPr>
          <w:rFonts w:cs="Arial"/>
          <w:rtl/>
        </w:rPr>
        <w:t>פי"ב מהל</w:t>
      </w:r>
      <w:r>
        <w:rPr>
          <w:rFonts w:cs="Arial" w:hint="cs"/>
          <w:rtl/>
        </w:rPr>
        <w:t>'</w:t>
      </w:r>
      <w:r>
        <w:rPr>
          <w:rFonts w:cs="Arial"/>
          <w:rtl/>
        </w:rPr>
        <w:t xml:space="preserve"> מלוה הי"א) דאגרת ביקורת היינו כתיבת דקדוק השומא וההכרזה</w:t>
      </w:r>
      <w:r>
        <w:rPr>
          <w:rFonts w:cs="Arial" w:hint="cs"/>
          <w:rtl/>
        </w:rPr>
        <w:t>, ב"י.</w:t>
      </w:r>
    </w:p>
  </w:footnote>
  <w:footnote w:id="2687">
    <w:p w14:paraId="4107FE83" w14:textId="77777777" w:rsidR="00DF1FC7" w:rsidRDefault="00DF1FC7" w:rsidP="002E5BAD">
      <w:pPr>
        <w:pStyle w:val="a5"/>
      </w:pPr>
      <w:r>
        <w:rPr>
          <w:rStyle w:val="a7"/>
        </w:rPr>
        <w:footnoteRef/>
      </w:r>
      <w:r>
        <w:rPr>
          <w:rtl/>
        </w:rPr>
        <w:t xml:space="preserve"> </w:t>
      </w:r>
      <w:r w:rsidRPr="00744AD3">
        <w:rPr>
          <w:rFonts w:cs="Arial"/>
          <w:rtl/>
        </w:rPr>
        <w:t>טוב לי ליטול חלקי במזרח שיש לי אצלה שדה שנפלה לי מבית אבי אמי</w:t>
      </w:r>
      <w:r>
        <w:rPr>
          <w:rFonts w:cs="Arial" w:hint="cs"/>
          <w:rtl/>
        </w:rPr>
        <w:t>, רש"י.</w:t>
      </w:r>
    </w:p>
  </w:footnote>
  <w:footnote w:id="2688">
    <w:p w14:paraId="6ABBC433" w14:textId="77777777" w:rsidR="00DF1FC7" w:rsidRPr="001D0BF2" w:rsidRDefault="00DF1FC7" w:rsidP="002E5BAD">
      <w:pPr>
        <w:pStyle w:val="a5"/>
      </w:pPr>
      <w:r>
        <w:rPr>
          <w:rStyle w:val="a7"/>
        </w:rPr>
        <w:footnoteRef/>
      </w:r>
      <w:r>
        <w:rPr>
          <w:rtl/>
        </w:rPr>
        <w:t xml:space="preserve"> </w:t>
      </w:r>
      <w:r w:rsidRPr="001D0BF2">
        <w:rPr>
          <w:rFonts w:hint="cs"/>
          <w:rtl/>
        </w:rPr>
        <w:t>וכתבו הרי"ף (נח.) והרא"ש (פי"א סי' יח) דהלכתא כרב נחמן</w:t>
      </w:r>
      <w:r>
        <w:rPr>
          <w:rFonts w:hint="cs"/>
          <w:rtl/>
        </w:rPr>
        <w:t>.</w:t>
      </w:r>
    </w:p>
  </w:footnote>
  <w:footnote w:id="2689">
    <w:p w14:paraId="4062C5D9" w14:textId="77777777" w:rsidR="00DF1FC7" w:rsidRPr="00FD09D2" w:rsidRDefault="00DF1FC7" w:rsidP="002E5BAD">
      <w:pPr>
        <w:pStyle w:val="a5"/>
        <w:rPr>
          <w:rFonts w:cs="Arial"/>
          <w:u w:val="single"/>
          <w:rtl/>
        </w:rPr>
      </w:pPr>
      <w:r>
        <w:rPr>
          <w:rStyle w:val="a7"/>
        </w:rPr>
        <w:footnoteRef/>
      </w:r>
      <w:r>
        <w:rPr>
          <w:rtl/>
        </w:rPr>
        <w:t xml:space="preserve"> </w:t>
      </w:r>
      <w:r w:rsidRPr="00FD09D2">
        <w:rPr>
          <w:rFonts w:cs="Arial" w:hint="cs"/>
          <w:u w:val="single"/>
          <w:rtl/>
        </w:rPr>
        <w:t xml:space="preserve">בתירוץ </w:t>
      </w:r>
      <w:r>
        <w:rPr>
          <w:rFonts w:cs="Arial" w:hint="cs"/>
          <w:u w:val="single"/>
          <w:rtl/>
        </w:rPr>
        <w:t>זה של</w:t>
      </w:r>
      <w:r w:rsidRPr="00FD09D2">
        <w:rPr>
          <w:rFonts w:cs="Arial" w:hint="cs"/>
          <w:u w:val="single"/>
          <w:rtl/>
        </w:rPr>
        <w:t xml:space="preserve"> הגמרא ('לעולם בדלא אכרוז</w:t>
      </w:r>
      <w:r>
        <w:rPr>
          <w:rFonts w:cs="Arial" w:hint="cs"/>
          <w:u w:val="single"/>
          <w:rtl/>
        </w:rPr>
        <w:t>...</w:t>
      </w:r>
      <w:r w:rsidRPr="00FD09D2">
        <w:rPr>
          <w:rFonts w:cs="Arial" w:hint="cs"/>
          <w:u w:val="single"/>
          <w:rtl/>
        </w:rPr>
        <w:t xml:space="preserve">') </w:t>
      </w:r>
      <w:r>
        <w:rPr>
          <w:rFonts w:cs="Arial" w:hint="cs"/>
          <w:u w:val="single"/>
          <w:rtl/>
        </w:rPr>
        <w:t xml:space="preserve">יש </w:t>
      </w:r>
      <w:r w:rsidRPr="00FD09D2">
        <w:rPr>
          <w:rFonts w:cs="Arial" w:hint="cs"/>
          <w:u w:val="single"/>
          <w:rtl/>
        </w:rPr>
        <w:t>ג' פירושים:</w:t>
      </w:r>
    </w:p>
    <w:p w14:paraId="284CF033" w14:textId="77777777" w:rsidR="00DF1FC7" w:rsidRDefault="00DF1FC7" w:rsidP="00B75458">
      <w:pPr>
        <w:pStyle w:val="a5"/>
        <w:numPr>
          <w:ilvl w:val="0"/>
          <w:numId w:val="197"/>
        </w:numPr>
      </w:pPr>
      <w:r>
        <w:rPr>
          <w:rFonts w:cs="Arial" w:hint="cs"/>
          <w:rtl/>
        </w:rPr>
        <w:t xml:space="preserve">רי"ף </w:t>
      </w:r>
      <w:r w:rsidRPr="00FD09D2">
        <w:rPr>
          <w:rFonts w:cs="Arial" w:hint="cs"/>
          <w:sz w:val="16"/>
          <w:szCs w:val="16"/>
          <w:rtl/>
        </w:rPr>
        <w:t>(נח.)</w:t>
      </w:r>
      <w:r>
        <w:rPr>
          <w:rFonts w:cs="Arial" w:hint="cs"/>
          <w:rtl/>
        </w:rPr>
        <w:t xml:space="preserve"> ורמב"ם </w:t>
      </w:r>
      <w:r w:rsidRPr="00FD09D2">
        <w:rPr>
          <w:rFonts w:cs="Arial" w:hint="cs"/>
          <w:sz w:val="16"/>
          <w:szCs w:val="16"/>
          <w:rtl/>
        </w:rPr>
        <w:t>(פי"ב ממלוה הי"א)</w:t>
      </w:r>
      <w:r>
        <w:rPr>
          <w:rFonts w:cs="Arial" w:hint="cs"/>
          <w:rtl/>
        </w:rPr>
        <w:t xml:space="preserve">- </w:t>
      </w:r>
      <w:r>
        <w:rPr>
          <w:rFonts w:cs="Arial"/>
          <w:rtl/>
        </w:rPr>
        <w:t>רישא דקתני פיחתו שתות או הותירו שתות מכרן בטל ואע</w:t>
      </w:r>
      <w:r>
        <w:rPr>
          <w:rFonts w:cs="Arial" w:hint="cs"/>
          <w:rtl/>
        </w:rPr>
        <w:t>"</w:t>
      </w:r>
      <w:r>
        <w:rPr>
          <w:rFonts w:cs="Arial"/>
          <w:rtl/>
        </w:rPr>
        <w:t xml:space="preserve">ג דאכרוז </w:t>
      </w:r>
      <w:r>
        <w:rPr>
          <w:rFonts w:cs="Arial" w:hint="cs"/>
          <w:rtl/>
        </w:rPr>
        <w:t xml:space="preserve">- </w:t>
      </w:r>
      <w:r>
        <w:rPr>
          <w:rFonts w:cs="Arial"/>
          <w:rtl/>
        </w:rPr>
        <w:t>בדברים שאין מכריזין</w:t>
      </w:r>
      <w:r>
        <w:rPr>
          <w:rFonts w:cs="Arial" w:hint="cs"/>
          <w:rtl/>
        </w:rPr>
        <w:t>,</w:t>
      </w:r>
      <w:r>
        <w:rPr>
          <w:rFonts w:cs="Arial"/>
          <w:rtl/>
        </w:rPr>
        <w:t xml:space="preserve"> דכיון דלא בעו הכרזה בין אכרוז בין לא אכרוז חד דינא הוא</w:t>
      </w:r>
      <w:r>
        <w:rPr>
          <w:rFonts w:cs="Arial" w:hint="cs"/>
          <w:rtl/>
        </w:rPr>
        <w:t>,</w:t>
      </w:r>
      <w:r>
        <w:rPr>
          <w:rFonts w:cs="Arial"/>
          <w:rtl/>
        </w:rPr>
        <w:t xml:space="preserve"> ואם פיחת שתות או הותיר שתות מכרן בטל</w:t>
      </w:r>
      <w:r>
        <w:rPr>
          <w:rFonts w:cs="Arial" w:hint="cs"/>
          <w:rtl/>
        </w:rPr>
        <w:t>,</w:t>
      </w:r>
      <w:r>
        <w:rPr>
          <w:rFonts w:cs="Arial"/>
          <w:rtl/>
        </w:rPr>
        <w:t xml:space="preserve"> שוה בשוה מכרן קיים</w:t>
      </w:r>
      <w:r>
        <w:rPr>
          <w:rFonts w:cs="Arial" w:hint="cs"/>
          <w:rtl/>
        </w:rPr>
        <w:t>.</w:t>
      </w:r>
      <w:r>
        <w:rPr>
          <w:rFonts w:cs="Arial"/>
          <w:rtl/>
        </w:rPr>
        <w:t xml:space="preserve"> וסיפא דקתני אם עשו אגרת ביקורת אפילו מכרו שוה מנה בק"ק או שוה ק"ק במנה מכרן קיים </w:t>
      </w:r>
      <w:r>
        <w:rPr>
          <w:rFonts w:cs="Arial" w:hint="cs"/>
          <w:rtl/>
        </w:rPr>
        <w:t xml:space="preserve">- </w:t>
      </w:r>
      <w:r>
        <w:rPr>
          <w:rFonts w:cs="Arial"/>
          <w:rtl/>
        </w:rPr>
        <w:t>בדברים שמכריזין עליהם ובשעה שמכריזין ובמקום שמכריזין</w:t>
      </w:r>
      <w:r>
        <w:rPr>
          <w:rFonts w:cs="Arial" w:hint="cs"/>
          <w:rtl/>
        </w:rPr>
        <w:t>,</w:t>
      </w:r>
      <w:r>
        <w:rPr>
          <w:rFonts w:cs="Arial"/>
          <w:rtl/>
        </w:rPr>
        <w:t xml:space="preserve"> דכיון דאכרוז עלייהו כדחזי בין פחתו בין הותירו מכרן קיים</w:t>
      </w:r>
      <w:r>
        <w:rPr>
          <w:rFonts w:cs="Arial" w:hint="cs"/>
          <w:sz w:val="16"/>
          <w:szCs w:val="16"/>
          <w:rtl/>
        </w:rPr>
        <w:t xml:space="preserve"> (ל' הרי"ף)</w:t>
      </w:r>
      <w:r>
        <w:rPr>
          <w:rFonts w:cs="Arial"/>
          <w:rtl/>
        </w:rPr>
        <w:t>.</w:t>
      </w:r>
      <w:r w:rsidRPr="008B3407">
        <w:rPr>
          <w:rFonts w:cs="Arial" w:hint="cs"/>
          <w:sz w:val="16"/>
          <w:szCs w:val="16"/>
          <w:rtl/>
        </w:rPr>
        <w:t xml:space="preserve"> </w:t>
      </w:r>
      <w:r w:rsidRPr="00FD09D2">
        <w:rPr>
          <w:rFonts w:cs="Arial" w:hint="cs"/>
          <w:sz w:val="16"/>
          <w:szCs w:val="16"/>
          <w:rtl/>
        </w:rPr>
        <w:t>(</w:t>
      </w:r>
      <w:r>
        <w:rPr>
          <w:rFonts w:cs="Arial" w:hint="cs"/>
          <w:sz w:val="16"/>
          <w:szCs w:val="16"/>
          <w:rtl/>
        </w:rPr>
        <w:t xml:space="preserve">וכתב </w:t>
      </w:r>
      <w:r w:rsidRPr="00FD09D2">
        <w:rPr>
          <w:rFonts w:cs="Arial" w:hint="cs"/>
          <w:sz w:val="16"/>
          <w:szCs w:val="16"/>
          <w:rtl/>
        </w:rPr>
        <w:t>הרא"ש</w:t>
      </w:r>
      <w:r>
        <w:rPr>
          <w:rFonts w:cs="Arial" w:hint="cs"/>
          <w:sz w:val="16"/>
          <w:szCs w:val="16"/>
          <w:rtl/>
        </w:rPr>
        <w:t xml:space="preserve"> [</w:t>
      </w:r>
      <w:r w:rsidRPr="00FD09D2">
        <w:rPr>
          <w:rFonts w:cs="Arial"/>
          <w:sz w:val="16"/>
          <w:szCs w:val="16"/>
          <w:rtl/>
        </w:rPr>
        <w:t>פי"א ס"כ</w:t>
      </w:r>
      <w:r>
        <w:rPr>
          <w:rFonts w:cs="Arial" w:hint="cs"/>
          <w:sz w:val="16"/>
          <w:szCs w:val="16"/>
          <w:rtl/>
        </w:rPr>
        <w:t>]</w:t>
      </w:r>
      <w:r w:rsidRPr="00FD09D2">
        <w:rPr>
          <w:rFonts w:cs="Arial" w:hint="cs"/>
          <w:sz w:val="16"/>
          <w:szCs w:val="16"/>
          <w:rtl/>
        </w:rPr>
        <w:t xml:space="preserve"> על </w:t>
      </w:r>
      <w:r w:rsidRPr="00FD09D2">
        <w:rPr>
          <w:rFonts w:cs="Arial"/>
          <w:sz w:val="16"/>
          <w:szCs w:val="16"/>
          <w:rtl/>
        </w:rPr>
        <w:t xml:space="preserve">דברי הרי"ף </w:t>
      </w:r>
      <w:r>
        <w:rPr>
          <w:rFonts w:cs="Arial" w:hint="cs"/>
          <w:sz w:val="16"/>
          <w:szCs w:val="16"/>
          <w:rtl/>
        </w:rPr>
        <w:t>ד</w:t>
      </w:r>
      <w:r w:rsidRPr="00FD09D2">
        <w:rPr>
          <w:rFonts w:cs="Arial"/>
          <w:sz w:val="16"/>
          <w:szCs w:val="16"/>
          <w:rtl/>
        </w:rPr>
        <w:t>אין טעם הגון לחלק בין אם היתה ההכרזה מדרך החיוב ובין לא היתה מדרך החיוב, דטעמא דהכרזה היא כיון שדקדקו בית דין כל כך במתון ובפרסום בשומא זו אין לתלות בה שום טעות</w:t>
      </w:r>
      <w:r>
        <w:rPr>
          <w:rFonts w:cs="Arial" w:hint="cs"/>
          <w:sz w:val="22"/>
          <w:szCs w:val="22"/>
          <w:rtl/>
        </w:rPr>
        <w:t>,</w:t>
      </w:r>
      <w:r w:rsidRPr="008B3407">
        <w:rPr>
          <w:rFonts w:cs="Arial" w:hint="cs"/>
          <w:sz w:val="22"/>
          <w:szCs w:val="22"/>
          <w:rtl/>
        </w:rPr>
        <w:t xml:space="preserve"> </w:t>
      </w:r>
      <w:r w:rsidRPr="008B3407">
        <w:rPr>
          <w:rFonts w:cs="Arial" w:hint="cs"/>
          <w:sz w:val="16"/>
          <w:szCs w:val="16"/>
          <w:rtl/>
        </w:rPr>
        <w:t xml:space="preserve">הילכך </w:t>
      </w:r>
      <w:r w:rsidRPr="008B3407">
        <w:rPr>
          <w:rFonts w:cs="Arial"/>
          <w:sz w:val="16"/>
          <w:szCs w:val="16"/>
          <w:rtl/>
        </w:rPr>
        <w:t>אפילו אם עשו הכרזה בדברים שאין מכריזין עליהם האי טעמא מיהא איתא ביה אם הוסיפו לעשות</w:t>
      </w:r>
      <w:r>
        <w:rPr>
          <w:rFonts w:cs="Arial" w:hint="cs"/>
          <w:sz w:val="16"/>
          <w:szCs w:val="16"/>
          <w:rtl/>
        </w:rPr>
        <w:t>,</w:t>
      </w:r>
      <w:r w:rsidRPr="008B3407">
        <w:rPr>
          <w:rFonts w:cs="Arial"/>
          <w:sz w:val="16"/>
          <w:szCs w:val="16"/>
          <w:rtl/>
        </w:rPr>
        <w:t xml:space="preserve"> וכי בשביל זה גרע טפי</w:t>
      </w:r>
      <w:r>
        <w:rPr>
          <w:rFonts w:cs="Arial" w:hint="cs"/>
          <w:sz w:val="16"/>
          <w:szCs w:val="16"/>
          <w:rtl/>
        </w:rPr>
        <w:t>)</w:t>
      </w:r>
    </w:p>
    <w:p w14:paraId="2AA78A41" w14:textId="77777777" w:rsidR="00DF1FC7" w:rsidRDefault="00DF1FC7" w:rsidP="00B75458">
      <w:pPr>
        <w:pStyle w:val="a5"/>
        <w:numPr>
          <w:ilvl w:val="0"/>
          <w:numId w:val="197"/>
        </w:numPr>
        <w:rPr>
          <w:rtl/>
        </w:rPr>
      </w:pPr>
      <w:r>
        <w:rPr>
          <w:rFonts w:cs="Arial"/>
          <w:rtl/>
        </w:rPr>
        <w:t>רב האי</w:t>
      </w:r>
      <w:r w:rsidRPr="00FD09D2">
        <w:rPr>
          <w:rFonts w:cs="Arial"/>
          <w:sz w:val="16"/>
          <w:szCs w:val="16"/>
          <w:rtl/>
        </w:rPr>
        <w:t xml:space="preserve"> (ס' המקח והממכר שער ו</w:t>
      </w:r>
      <w:r w:rsidRPr="00FD09D2">
        <w:rPr>
          <w:rFonts w:cs="Arial" w:hint="cs"/>
          <w:sz w:val="16"/>
          <w:szCs w:val="16"/>
          <w:rtl/>
        </w:rPr>
        <w:t>, הביאן הר"ן [נח.] לאחר דברי הרי"ף)</w:t>
      </w:r>
      <w:r>
        <w:rPr>
          <w:rFonts w:cs="Arial" w:hint="cs"/>
          <w:rtl/>
        </w:rPr>
        <w:t>-</w:t>
      </w:r>
      <w:r>
        <w:rPr>
          <w:rFonts w:cs="Arial"/>
          <w:rtl/>
        </w:rPr>
        <w:t xml:space="preserve"> רישא בדברים שמכריזין עליהם והכריזו, ובהנך הוא דאמרינן דבשתות מכרן בטל. וסיפא בדברים שאין מכריזין עליהם והכריזו, דכיון שדקדקו כל כך שהכריזו בדברים שאין צריך להכריז עליהם אמרו דעד פלגא מכרן קיים</w:t>
      </w:r>
      <w:r>
        <w:rPr>
          <w:rFonts w:cs="Arial" w:hint="cs"/>
          <w:sz w:val="14"/>
          <w:szCs w:val="14"/>
          <w:rtl/>
        </w:rPr>
        <w:t xml:space="preserve"> (ל' הר"ן בשמו)</w:t>
      </w:r>
      <w:r>
        <w:rPr>
          <w:rFonts w:cs="Arial"/>
          <w:rtl/>
        </w:rPr>
        <w:t xml:space="preserve">. </w:t>
      </w:r>
    </w:p>
    <w:p w14:paraId="786F9C27" w14:textId="77777777" w:rsidR="00DF1FC7" w:rsidRDefault="00DF1FC7" w:rsidP="00B75458">
      <w:pPr>
        <w:pStyle w:val="a5"/>
        <w:numPr>
          <w:ilvl w:val="0"/>
          <w:numId w:val="197"/>
        </w:numPr>
        <w:rPr>
          <w:rtl/>
        </w:rPr>
      </w:pPr>
      <w:r>
        <w:rPr>
          <w:rFonts w:cs="Arial"/>
          <w:rtl/>
        </w:rPr>
        <w:t xml:space="preserve">רא"ש </w:t>
      </w:r>
      <w:r w:rsidRPr="00FD09D2">
        <w:rPr>
          <w:rFonts w:cs="Arial"/>
          <w:sz w:val="16"/>
          <w:szCs w:val="16"/>
          <w:rtl/>
        </w:rPr>
        <w:t>(פי"א ס"כ)</w:t>
      </w:r>
      <w:r>
        <w:rPr>
          <w:rFonts w:cs="Arial" w:hint="cs"/>
          <w:rtl/>
        </w:rPr>
        <w:t>-</w:t>
      </w:r>
      <w:r>
        <w:rPr>
          <w:rFonts w:cs="Arial"/>
          <w:rtl/>
        </w:rPr>
        <w:t xml:space="preserve"> </w:t>
      </w:r>
      <w:r>
        <w:rPr>
          <w:rFonts w:cs="Arial" w:hint="cs"/>
          <w:rtl/>
        </w:rPr>
        <w:t xml:space="preserve">על כן </w:t>
      </w:r>
      <w:r>
        <w:rPr>
          <w:rFonts w:cs="Arial" w:hint="cs"/>
          <w:sz w:val="16"/>
          <w:szCs w:val="16"/>
          <w:rtl/>
        </w:rPr>
        <w:t xml:space="preserve">{היינו לאחר מה שהקשה על דברי הרי"ף} </w:t>
      </w:r>
      <w:r>
        <w:rPr>
          <w:rFonts w:cs="Arial"/>
          <w:rtl/>
        </w:rPr>
        <w:t>נראה לפרש רישא וסיפא בדאכרוז, כלומר רישא וסיפא מודו דבעי הכרזה, ואם לא הכריזו אפילו שוה בשוה מכרן בטל. והא דאמרינן ברישא שוה בשוה מכרן קיים - בדברים שאין מכריזין עליהם ולא הכריזו.</w:t>
      </w:r>
    </w:p>
  </w:footnote>
  <w:footnote w:id="2690">
    <w:p w14:paraId="6CC67B60" w14:textId="77777777" w:rsidR="00DF1FC7" w:rsidRDefault="00DF1FC7" w:rsidP="002E5BAD">
      <w:pPr>
        <w:pStyle w:val="a5"/>
      </w:pPr>
      <w:r>
        <w:rPr>
          <w:rStyle w:val="a7"/>
        </w:rPr>
        <w:footnoteRef/>
      </w:r>
      <w:r>
        <w:rPr>
          <w:rtl/>
        </w:rPr>
        <w:t xml:space="preserve"> </w:t>
      </w:r>
      <w:r>
        <w:rPr>
          <w:rFonts w:cs="Arial"/>
          <w:rtl/>
        </w:rPr>
        <w:t>פירוש קבורת האב והאם וכל מי שמוטל עליהם לקברו</w:t>
      </w:r>
      <w:r>
        <w:rPr>
          <w:rFonts w:cs="Arial" w:hint="cs"/>
          <w:rtl/>
        </w:rPr>
        <w:t>.</w:t>
      </w:r>
      <w:r>
        <w:rPr>
          <w:rFonts w:cs="Arial"/>
          <w:rtl/>
        </w:rPr>
        <w:t xml:space="preserve"> והקשו המפרשים פשיטא וכי יהא מוטל שלשים יום</w:t>
      </w:r>
      <w:r>
        <w:rPr>
          <w:rFonts w:cs="Arial" w:hint="cs"/>
          <w:rtl/>
        </w:rPr>
        <w:t>,</w:t>
      </w:r>
      <w:r>
        <w:rPr>
          <w:rFonts w:cs="Arial"/>
          <w:rtl/>
        </w:rPr>
        <w:t xml:space="preserve"> ותירצו דאפילו הכרזת שעה אין עושין</w:t>
      </w:r>
      <w:r>
        <w:rPr>
          <w:rFonts w:cs="Arial" w:hint="cs"/>
          <w:rtl/>
        </w:rPr>
        <w:t>.</w:t>
      </w:r>
      <w:r>
        <w:rPr>
          <w:rFonts w:cs="Arial"/>
          <w:rtl/>
        </w:rPr>
        <w:t xml:space="preserve"> והתוספות (כתובות פז. ד"ה ולקבורה) פירשו דאפילו לוו לצורך דברים אלו כשרוצים לפרוע אותו חוב אין משהין אותו עד דמכריזין שלשים יום</w:t>
      </w:r>
      <w:r>
        <w:rPr>
          <w:rFonts w:cs="Arial" w:hint="cs"/>
          <w:rtl/>
        </w:rPr>
        <w:t>,</w:t>
      </w:r>
      <w:r>
        <w:rPr>
          <w:rFonts w:cs="Arial"/>
          <w:rtl/>
        </w:rPr>
        <w:t xml:space="preserve"> כדי שלא תנעול דלת בפני גומלי חסדים המלוים לכך</w:t>
      </w:r>
      <w:r>
        <w:rPr>
          <w:rFonts w:cs="Arial" w:hint="cs"/>
          <w:rtl/>
        </w:rPr>
        <w:t>, הה"מ (פי"ב ממלוה ולוה הי"א, הביאו הב"י)</w:t>
      </w:r>
      <w:r>
        <w:rPr>
          <w:rFonts w:cs="Arial"/>
          <w:rtl/>
        </w:rPr>
        <w:t>.</w:t>
      </w:r>
      <w:r>
        <w:rPr>
          <w:rFonts w:cs="Arial" w:hint="cs"/>
          <w:rtl/>
        </w:rPr>
        <w:t xml:space="preserve"> וכתב הטור כדברי התוס'.</w:t>
      </w:r>
      <w:r w:rsidRPr="00CE0309">
        <w:rPr>
          <w:rFonts w:hint="cs"/>
          <w:color w:val="E36C0A" w:themeColor="accent6" w:themeShade="BF"/>
          <w:rtl/>
        </w:rPr>
        <w:t xml:space="preserve"> (וכ"פ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footnote>
  <w:footnote w:id="2691">
    <w:p w14:paraId="157811C8" w14:textId="77777777" w:rsidR="00DF1FC7" w:rsidRDefault="00DF1FC7" w:rsidP="002E5BAD">
      <w:pPr>
        <w:pStyle w:val="a5"/>
      </w:pPr>
      <w:r>
        <w:rPr>
          <w:rStyle w:val="a7"/>
        </w:rPr>
        <w:footnoteRef/>
      </w:r>
      <w:r>
        <w:rPr>
          <w:rtl/>
        </w:rPr>
        <w:t xml:space="preserve"> </w:t>
      </w:r>
      <w:r w:rsidRPr="00C038A9">
        <w:rPr>
          <w:rFonts w:cs="Arial"/>
          <w:rtl/>
        </w:rPr>
        <w:t>גנאי וחרפה היא להם כשקונים נכסים שבית דין מוכרין לפי שמחמת דוחק שהנושה לוחץ את היתומים או את הלוה לוקחים הלקוחות בזול ומבזין אותן וקורין להן אוכלי שדות הכרזה</w:t>
      </w:r>
      <w:r>
        <w:rPr>
          <w:rFonts w:cs="Arial" w:hint="cs"/>
          <w:rtl/>
        </w:rPr>
        <w:t>, רש"י.</w:t>
      </w:r>
    </w:p>
  </w:footnote>
  <w:footnote w:id="2692">
    <w:p w14:paraId="3A4EDB88" w14:textId="77777777" w:rsidR="00DF1FC7" w:rsidRDefault="00DF1FC7" w:rsidP="002E5BAD">
      <w:pPr>
        <w:pStyle w:val="a5"/>
      </w:pPr>
      <w:r>
        <w:rPr>
          <w:rStyle w:val="a7"/>
        </w:rPr>
        <w:footnoteRef/>
      </w:r>
      <w:r>
        <w:rPr>
          <w:rtl/>
        </w:rPr>
        <w:t xml:space="preserve"> </w:t>
      </w:r>
      <w:r w:rsidRPr="006A1671">
        <w:rPr>
          <w:rFonts w:cs="Arial"/>
          <w:rtl/>
        </w:rPr>
        <w:t>סמוך למיתת אביהן שלא ירקבו</w:t>
      </w:r>
      <w:r>
        <w:rPr>
          <w:rFonts w:cs="Arial" w:hint="cs"/>
          <w:rtl/>
        </w:rPr>
        <w:t>, רש"י.</w:t>
      </w:r>
    </w:p>
  </w:footnote>
  <w:footnote w:id="2693">
    <w:p w14:paraId="7E48BAE2" w14:textId="77777777" w:rsidR="00DF1FC7" w:rsidRDefault="00DF1FC7" w:rsidP="002E5BAD">
      <w:pPr>
        <w:pStyle w:val="a5"/>
      </w:pPr>
      <w:r>
        <w:rPr>
          <w:rStyle w:val="a7"/>
        </w:rPr>
        <w:footnoteRef/>
      </w:r>
      <w:r>
        <w:rPr>
          <w:rtl/>
        </w:rPr>
        <w:t xml:space="preserve"> </w:t>
      </w:r>
      <w:r>
        <w:rPr>
          <w:rFonts w:hint="cs"/>
          <w:rtl/>
        </w:rPr>
        <w:t xml:space="preserve">הרמב"ם לא הזכיר מה הדין של מקום שלא נוהגים להכריז בו, וצל"ע למה. ומ"מ הרמ"א (בסע' ד) פסק את דברי הטור הללו (שבמקום שלא נוהגים להכריז </w:t>
      </w:r>
      <w:r>
        <w:rPr>
          <w:rtl/>
        </w:rPr>
        <w:t>–</w:t>
      </w:r>
      <w:r>
        <w:rPr>
          <w:rFonts w:hint="cs"/>
          <w:rtl/>
        </w:rPr>
        <w:t xml:space="preserve"> הרי הם כדברים שאין מכריזים עליהם).</w:t>
      </w:r>
    </w:p>
  </w:footnote>
  <w:footnote w:id="2694">
    <w:p w14:paraId="47365F12" w14:textId="77777777" w:rsidR="00DF1FC7" w:rsidRDefault="00DF1FC7" w:rsidP="002E5BAD">
      <w:pPr>
        <w:pStyle w:val="a5"/>
        <w:rPr>
          <w:rtl/>
        </w:rPr>
      </w:pPr>
      <w:r>
        <w:rPr>
          <w:rStyle w:val="a7"/>
        </w:rPr>
        <w:footnoteRef/>
      </w:r>
      <w:r>
        <w:rPr>
          <w:rtl/>
        </w:rPr>
        <w:t xml:space="preserve"> </w:t>
      </w:r>
      <w:r>
        <w:rPr>
          <w:rFonts w:cs="Arial"/>
          <w:rtl/>
        </w:rPr>
        <w:t>מ"ש רבינו אם טעו אפילו בכפל המקח קיים. נראה שהוא כדברי הרמב"ן שכתב בסמוך</w:t>
      </w:r>
      <w:r>
        <w:rPr>
          <w:rFonts w:hint="cs"/>
          <w:rtl/>
        </w:rPr>
        <w:t>, ב"י.</w:t>
      </w:r>
    </w:p>
  </w:footnote>
  <w:footnote w:id="2695">
    <w:p w14:paraId="0BEA0FD5" w14:textId="77777777" w:rsidR="00DF1FC7" w:rsidRDefault="00DF1FC7" w:rsidP="002E5BAD">
      <w:pPr>
        <w:pStyle w:val="a5"/>
      </w:pPr>
      <w:r>
        <w:rPr>
          <w:rStyle w:val="a7"/>
        </w:rPr>
        <w:footnoteRef/>
      </w:r>
      <w:r>
        <w:rPr>
          <w:rtl/>
        </w:rPr>
        <w:t xml:space="preserve"> </w:t>
      </w:r>
      <w:r>
        <w:rPr>
          <w:rFonts w:hint="cs"/>
          <w:rtl/>
        </w:rPr>
        <w:t>ז"ל הרא"ש בשם ר"י-</w:t>
      </w:r>
      <w:r>
        <w:rPr>
          <w:rFonts w:cs="Arial" w:hint="cs"/>
          <w:rtl/>
        </w:rPr>
        <w:t xml:space="preserve"> </w:t>
      </w:r>
      <w:r w:rsidRPr="00D65942">
        <w:rPr>
          <w:rFonts w:cs="Arial"/>
          <w:rtl/>
        </w:rPr>
        <w:t>הא דאמר רב נחמן שליח כדיינין היינו לענין זה דהמקח קיים אבל האונאה מיהא צריך להחזיר וכן הדיינין דאין כח בדיינין כלל טפי משליח דעלמא</w:t>
      </w:r>
      <w:r>
        <w:rPr>
          <w:rFonts w:cs="Arial" w:hint="cs"/>
          <w:rtl/>
        </w:rPr>
        <w:t>.</w:t>
      </w:r>
    </w:p>
  </w:footnote>
  <w:footnote w:id="2696">
    <w:p w14:paraId="2D6E0D23" w14:textId="77777777" w:rsidR="00DF1FC7" w:rsidRDefault="00DF1FC7" w:rsidP="002E5BAD">
      <w:pPr>
        <w:pStyle w:val="a5"/>
        <w:rPr>
          <w:rtl/>
        </w:rPr>
      </w:pPr>
      <w:r>
        <w:rPr>
          <w:rStyle w:val="a7"/>
        </w:rPr>
        <w:footnoteRef/>
      </w:r>
      <w:r>
        <w:rPr>
          <w:rFonts w:cs="Arial" w:hint="cs"/>
          <w:rtl/>
        </w:rPr>
        <w:t xml:space="preserve"> הב"י הביא חלק מתשובה זו (סי' נא), ואח"כ כתב ש</w:t>
      </w:r>
      <w:r w:rsidRPr="00CD733A">
        <w:rPr>
          <w:rFonts w:cs="Arial"/>
          <w:rtl/>
        </w:rPr>
        <w:t xml:space="preserve">בסימן נ"ד כתב </w:t>
      </w:r>
      <w:r>
        <w:rPr>
          <w:rFonts w:cs="Arial" w:hint="cs"/>
          <w:rtl/>
        </w:rPr>
        <w:t xml:space="preserve">הרשב"א </w:t>
      </w:r>
      <w:r w:rsidRPr="00CD733A">
        <w:rPr>
          <w:rFonts w:cs="Arial"/>
          <w:rtl/>
        </w:rPr>
        <w:t>בהפך</w:t>
      </w:r>
      <w:r>
        <w:rPr>
          <w:rFonts w:cs="Arial" w:hint="cs"/>
          <w:rtl/>
        </w:rPr>
        <w:t>, ולא יישב הב"י את הסתירה. וכתב</w:t>
      </w:r>
      <w:r w:rsidRPr="004862B7">
        <w:rPr>
          <w:rFonts w:cs="Arial"/>
          <w:rtl/>
        </w:rPr>
        <w:t xml:space="preserve"> </w:t>
      </w:r>
      <w:r>
        <w:rPr>
          <w:rFonts w:hint="cs"/>
          <w:rtl/>
        </w:rPr>
        <w:t xml:space="preserve">כנה"ג </w:t>
      </w:r>
      <w:r w:rsidRPr="004862B7">
        <w:rPr>
          <w:rFonts w:hint="cs"/>
          <w:sz w:val="16"/>
          <w:szCs w:val="16"/>
          <w:rtl/>
        </w:rPr>
        <w:t>(הגב"י חו"מ סי' רא אות יט)</w:t>
      </w:r>
      <w:r>
        <w:rPr>
          <w:rFonts w:cs="Arial" w:hint="cs"/>
          <w:rtl/>
        </w:rPr>
        <w:t xml:space="preserve">- </w:t>
      </w:r>
      <w:r w:rsidRPr="004862B7">
        <w:rPr>
          <w:rFonts w:cs="Arial"/>
          <w:rtl/>
        </w:rPr>
        <w:t>ונ"ל דלא קשיין אהדדי דבסימן נ"א איירי כשלא נודע הטעם שנמנעו מלהכריז</w:t>
      </w:r>
      <w:r>
        <w:rPr>
          <w:rFonts w:cs="Arial" w:hint="cs"/>
          <w:rtl/>
        </w:rPr>
        <w:t>.</w:t>
      </w:r>
      <w:r w:rsidRPr="004862B7">
        <w:rPr>
          <w:rFonts w:cs="Arial"/>
          <w:rtl/>
        </w:rPr>
        <w:t xml:space="preserve"> ולפיכך בסתמא תלינן דלא בטעות נהגו</w:t>
      </w:r>
      <w:r>
        <w:rPr>
          <w:rFonts w:cs="Arial" w:hint="cs"/>
          <w:rtl/>
        </w:rPr>
        <w:t>.</w:t>
      </w:r>
      <w:r w:rsidRPr="004862B7">
        <w:rPr>
          <w:rFonts w:cs="Arial"/>
          <w:rtl/>
        </w:rPr>
        <w:t xml:space="preserve"> אבל בסימן נ"ד הודע בבירור שלא היה טעם במנהגם</w:t>
      </w:r>
      <w:r>
        <w:rPr>
          <w:rFonts w:cs="Arial" w:hint="cs"/>
          <w:rtl/>
        </w:rPr>
        <w:t>,</w:t>
      </w:r>
      <w:r w:rsidRPr="004862B7">
        <w:rPr>
          <w:rFonts w:cs="Arial"/>
          <w:rtl/>
        </w:rPr>
        <w:t xml:space="preserve"> אלא שנהגו כן בלא טעם</w:t>
      </w:r>
      <w:r>
        <w:rPr>
          <w:rFonts w:cs="Arial" w:hint="cs"/>
          <w:rtl/>
        </w:rPr>
        <w:t>,</w:t>
      </w:r>
      <w:r w:rsidRPr="004862B7">
        <w:rPr>
          <w:rFonts w:cs="Arial"/>
          <w:rtl/>
        </w:rPr>
        <w:t xml:space="preserve"> ולפיכך כתב שהם טועין </w:t>
      </w:r>
      <w:r w:rsidRPr="004862B7">
        <w:rPr>
          <w:rFonts w:cs="Arial" w:hint="cs"/>
          <w:sz w:val="16"/>
          <w:szCs w:val="16"/>
          <w:rtl/>
        </w:rPr>
        <w:t>(</w:t>
      </w:r>
      <w:r w:rsidRPr="004862B7">
        <w:rPr>
          <w:rFonts w:cs="Arial"/>
          <w:sz w:val="16"/>
          <w:szCs w:val="16"/>
          <w:rtl/>
        </w:rPr>
        <w:t xml:space="preserve">וזהו שכתב שם </w:t>
      </w:r>
      <w:r>
        <w:rPr>
          <w:rFonts w:cs="Arial" w:hint="cs"/>
          <w:sz w:val="16"/>
          <w:szCs w:val="16"/>
          <w:rtl/>
        </w:rPr>
        <w:t>'</w:t>
      </w:r>
      <w:r w:rsidRPr="004862B7">
        <w:rPr>
          <w:rFonts w:cs="Arial"/>
          <w:sz w:val="16"/>
          <w:szCs w:val="16"/>
          <w:rtl/>
        </w:rPr>
        <w:t>אבל בארץ ההיא שנמנעין להכריז כשמגבין לאלמנה בלא טעם</w:t>
      </w:r>
      <w:r>
        <w:rPr>
          <w:rFonts w:cs="Arial" w:hint="cs"/>
          <w:sz w:val="16"/>
          <w:szCs w:val="16"/>
          <w:rtl/>
        </w:rPr>
        <w:t>...',</w:t>
      </w:r>
      <w:r w:rsidRPr="004862B7">
        <w:rPr>
          <w:rFonts w:cs="Arial"/>
          <w:sz w:val="16"/>
          <w:szCs w:val="16"/>
          <w:rtl/>
        </w:rPr>
        <w:t xml:space="preserve"> שנראה שהיה ברור לו שבלא טעם נהגו כן</w:t>
      </w:r>
      <w:r>
        <w:rPr>
          <w:rFonts w:cs="Arial" w:hint="cs"/>
          <w:sz w:val="16"/>
          <w:szCs w:val="16"/>
          <w:rtl/>
        </w:rPr>
        <w:t>)</w:t>
      </w:r>
      <w:r w:rsidRPr="004862B7">
        <w:rPr>
          <w:rFonts w:cs="Arial"/>
          <w:rtl/>
        </w:rPr>
        <w:t>. א"נ בסי</w:t>
      </w:r>
      <w:r>
        <w:rPr>
          <w:rFonts w:cs="Arial" w:hint="cs"/>
          <w:rtl/>
        </w:rPr>
        <w:t>'</w:t>
      </w:r>
      <w:r w:rsidRPr="004862B7">
        <w:rPr>
          <w:rFonts w:cs="Arial"/>
          <w:rtl/>
        </w:rPr>
        <w:t xml:space="preserve"> נ"א איירי שהמנהג היה קדום מהראשו</w:t>
      </w:r>
      <w:r>
        <w:rPr>
          <w:rFonts w:cs="Arial" w:hint="cs"/>
          <w:rtl/>
        </w:rPr>
        <w:t>נים,</w:t>
      </w:r>
      <w:r w:rsidRPr="004862B7">
        <w:rPr>
          <w:rFonts w:cs="Arial"/>
          <w:rtl/>
        </w:rPr>
        <w:t xml:space="preserve"> אלא שלא נודע טעם הדבר</w:t>
      </w:r>
      <w:r>
        <w:rPr>
          <w:rFonts w:cs="Arial" w:hint="cs"/>
          <w:rtl/>
        </w:rPr>
        <w:t>.</w:t>
      </w:r>
      <w:r w:rsidRPr="004862B7">
        <w:rPr>
          <w:rFonts w:cs="Arial"/>
          <w:rtl/>
        </w:rPr>
        <w:t xml:space="preserve"> ובסימן נ"ד איירי כשהמנהג לא היה קדום</w:t>
      </w:r>
      <w:r>
        <w:rPr>
          <w:rFonts w:cs="Arial" w:hint="cs"/>
          <w:rtl/>
        </w:rPr>
        <w:t>,</w:t>
      </w:r>
      <w:r w:rsidRPr="004862B7">
        <w:rPr>
          <w:rFonts w:cs="Arial"/>
          <w:rtl/>
        </w:rPr>
        <w:t xml:space="preserve"> אלא שבאותו הדור נהגו כן</w:t>
      </w:r>
      <w:r>
        <w:rPr>
          <w:rFonts w:cs="Arial" w:hint="cs"/>
          <w:rtl/>
        </w:rPr>
        <w:t>,</w:t>
      </w:r>
      <w:r w:rsidRPr="004862B7">
        <w:rPr>
          <w:rFonts w:cs="Arial"/>
          <w:rtl/>
        </w:rPr>
        <w:t xml:space="preserve"> ולפיכך כתב דטועים הם</w:t>
      </w:r>
      <w:r>
        <w:rPr>
          <w:rFonts w:hint="cs"/>
          <w:rtl/>
        </w:rPr>
        <w:t>.</w:t>
      </w:r>
    </w:p>
  </w:footnote>
  <w:footnote w:id="2697">
    <w:p w14:paraId="71FAB860" w14:textId="77777777" w:rsidR="00DF1FC7" w:rsidRDefault="00DF1FC7" w:rsidP="002E5BAD">
      <w:pPr>
        <w:pStyle w:val="a5"/>
      </w:pPr>
      <w:r>
        <w:rPr>
          <w:rStyle w:val="a7"/>
        </w:rPr>
        <w:footnoteRef/>
      </w:r>
      <w:r>
        <w:rPr>
          <w:rtl/>
        </w:rPr>
        <w:t xml:space="preserve"> </w:t>
      </w:r>
      <w:r w:rsidRPr="007E3F62">
        <w:rPr>
          <w:rFonts w:cs="Arial"/>
          <w:rtl/>
        </w:rPr>
        <w:t>כלומר</w:t>
      </w:r>
      <w:r>
        <w:rPr>
          <w:rFonts w:cs="Arial" w:hint="cs"/>
          <w:rtl/>
        </w:rPr>
        <w:t>,</w:t>
      </w:r>
      <w:r w:rsidRPr="007E3F62">
        <w:rPr>
          <w:rFonts w:cs="Arial"/>
          <w:rtl/>
        </w:rPr>
        <w:t xml:space="preserve"> אלו לא הכריזו כלל</w:t>
      </w:r>
      <w:r>
        <w:rPr>
          <w:rFonts w:cs="Arial" w:hint="cs"/>
          <w:rtl/>
        </w:rPr>
        <w:t xml:space="preserve"> -</w:t>
      </w:r>
      <w:r w:rsidRPr="007E3F62">
        <w:rPr>
          <w:rFonts w:cs="Arial"/>
          <w:rtl/>
        </w:rPr>
        <w:t xml:space="preserve"> נתבאר לפני זה אפילו לא טעו המכירה בטיל</w:t>
      </w:r>
      <w:r>
        <w:rPr>
          <w:rFonts w:cs="Arial" w:hint="cs"/>
          <w:rtl/>
        </w:rPr>
        <w:t>ה.</w:t>
      </w:r>
      <w:r w:rsidRPr="007E3F62">
        <w:rPr>
          <w:rFonts w:cs="Arial"/>
          <w:rtl/>
        </w:rPr>
        <w:t xml:space="preserve"> ואם מיירי במקום שאין מכריזין </w:t>
      </w:r>
      <w:r>
        <w:rPr>
          <w:rFonts w:cs="Arial" w:hint="cs"/>
          <w:rtl/>
        </w:rPr>
        <w:t xml:space="preserve">- </w:t>
      </w:r>
      <w:r w:rsidRPr="007E3F62">
        <w:rPr>
          <w:rFonts w:cs="Arial"/>
          <w:rtl/>
        </w:rPr>
        <w:t>הא כתב אח"כ וכן אם מכרו קרקע בעת שאינם צריכין וכו'</w:t>
      </w:r>
      <w:r>
        <w:rPr>
          <w:rFonts w:cs="Arial" w:hint="cs"/>
          <w:rtl/>
        </w:rPr>
        <w:t>.</w:t>
      </w:r>
      <w:r w:rsidRPr="007E3F62">
        <w:rPr>
          <w:rFonts w:cs="Arial"/>
          <w:rtl/>
        </w:rPr>
        <w:t xml:space="preserve"> אלא כאן מיירי אף שהכריזו אם לא כתבו איגרת ביקורת שהוא דקדוק השומ</w:t>
      </w:r>
      <w:r>
        <w:rPr>
          <w:rFonts w:cs="Arial" w:hint="cs"/>
          <w:rtl/>
        </w:rPr>
        <w:t>א</w:t>
      </w:r>
      <w:r w:rsidRPr="007E3F62">
        <w:rPr>
          <w:rFonts w:cs="Arial"/>
          <w:rtl/>
        </w:rPr>
        <w:t xml:space="preserve"> וההכרז</w:t>
      </w:r>
      <w:r>
        <w:rPr>
          <w:rFonts w:cs="Arial" w:hint="cs"/>
          <w:rtl/>
        </w:rPr>
        <w:t>ה</w:t>
      </w:r>
      <w:r w:rsidRPr="007E3F62">
        <w:rPr>
          <w:rFonts w:cs="Arial"/>
          <w:rtl/>
        </w:rPr>
        <w:t xml:space="preserve"> אז גם כן המכר בטל אם טעו בשתו</w:t>
      </w:r>
      <w:r>
        <w:rPr>
          <w:rFonts w:cs="Arial" w:hint="cs"/>
          <w:rtl/>
        </w:rPr>
        <w:t>ת,</w:t>
      </w:r>
      <w:r w:rsidRPr="007E3F62">
        <w:rPr>
          <w:rFonts w:cs="Arial"/>
          <w:rtl/>
        </w:rPr>
        <w:t xml:space="preserve"> וכן פי' הכ</w:t>
      </w:r>
      <w:r>
        <w:rPr>
          <w:rFonts w:cs="Arial" w:hint="cs"/>
          <w:rtl/>
        </w:rPr>
        <w:t>ס</w:t>
      </w:r>
      <w:r w:rsidRPr="007E3F62">
        <w:rPr>
          <w:rFonts w:cs="Arial"/>
          <w:rtl/>
        </w:rPr>
        <w:t>"מ</w:t>
      </w:r>
      <w:r>
        <w:rPr>
          <w:rFonts w:cs="Arial" w:hint="cs"/>
          <w:rtl/>
        </w:rPr>
        <w:t>,</w:t>
      </w:r>
      <w:r w:rsidRPr="007E3F62">
        <w:rPr>
          <w:rFonts w:cs="Arial"/>
          <w:rtl/>
        </w:rPr>
        <w:t xml:space="preserve"> דלא כהמ"מ</w:t>
      </w:r>
      <w:r>
        <w:rPr>
          <w:rFonts w:cs="Arial" w:hint="cs"/>
          <w:rtl/>
        </w:rPr>
        <w:t>, ח"מ (סק"ו). וכ"כ הב"ש (סק"ד).</w:t>
      </w:r>
    </w:p>
  </w:footnote>
  <w:footnote w:id="2698">
    <w:p w14:paraId="3A8031B6" w14:textId="77777777" w:rsidR="00DF1FC7" w:rsidRDefault="00DF1FC7" w:rsidP="002E5BAD">
      <w:pPr>
        <w:pStyle w:val="a5"/>
      </w:pPr>
      <w:r>
        <w:rPr>
          <w:rStyle w:val="a7"/>
        </w:rPr>
        <w:footnoteRef/>
      </w:r>
      <w:r>
        <w:rPr>
          <w:rtl/>
        </w:rPr>
        <w:t xml:space="preserve"> </w:t>
      </w:r>
      <w:r w:rsidRPr="00F1725F">
        <w:rPr>
          <w:rFonts w:cs="Arial"/>
          <w:rtl/>
        </w:rPr>
        <w:t>עיין בח"מ סי' ק"ט סעיף ה' שדעת הרמב"ן והרמב"ם דוק' ב"ד שהורידו לב"ח בשומת ב"ד וטעו בשומתן מכרן בטל אבל ב"ד שמכרו נכסי יתומי' לאינש דעלמ' לא יהיה כח הדיוט חמור מכח היתומי' דהא אין לקרקע אונא' וע"כ אם נתאנ' הלוקח אפי' הרבה אין יכול לחזור אבל אם נתאנו היתומי' שתות בטל המקח ואם ירצו לקיים המקח ולהחזיר אונא' הרשות בידם וא"כ לפ"ז גם כאן יהיה הדין כן דוקא שהורידו לאלמנה בשומא אבל אם מכרו ללוקח יהיה דינו כדין הדיוט ואין הלשון מורה כן ומן התימא שלא כתב חילוק זה כאן ומיהו הר"ר יונה והראב"ד והרא"ש חלוקים בזה ע"ש</w:t>
      </w:r>
      <w:r>
        <w:rPr>
          <w:rFonts w:cs="Arial" w:hint="cs"/>
          <w:rtl/>
        </w:rPr>
        <w:t>, ח"מ (סק"ז).</w:t>
      </w:r>
    </w:p>
  </w:footnote>
  <w:footnote w:id="2699">
    <w:p w14:paraId="62FFF040" w14:textId="77777777" w:rsidR="00DF1FC7" w:rsidRDefault="00DF1FC7" w:rsidP="002E5BAD">
      <w:pPr>
        <w:pStyle w:val="a5"/>
      </w:pPr>
      <w:r>
        <w:rPr>
          <w:rStyle w:val="a7"/>
        </w:rPr>
        <w:footnoteRef/>
      </w:r>
      <w:r>
        <w:rPr>
          <w:rtl/>
        </w:rPr>
        <w:t xml:space="preserve"> </w:t>
      </w:r>
      <w:r w:rsidRPr="00F1725F">
        <w:rPr>
          <w:rFonts w:cs="Arial"/>
          <w:rtl/>
        </w:rPr>
        <w:t>כראוי ועשו אגרת ביקורת אפ"ה מאחר שאין מצד החיוב להכריז עליהם הוא כאלו לא הכריזו</w:t>
      </w:r>
      <w:r>
        <w:rPr>
          <w:rFonts w:cs="Arial" w:hint="cs"/>
          <w:rtl/>
        </w:rPr>
        <w:t>, ח"מ (סק"ח).</w:t>
      </w:r>
    </w:p>
  </w:footnote>
  <w:footnote w:id="2700">
    <w:p w14:paraId="0FB0BEFD" w14:textId="77777777" w:rsidR="00DF1FC7" w:rsidRDefault="00DF1FC7" w:rsidP="002E5BAD">
      <w:pPr>
        <w:pStyle w:val="a5"/>
      </w:pPr>
      <w:r>
        <w:rPr>
          <w:rStyle w:val="a7"/>
        </w:rPr>
        <w:footnoteRef/>
      </w:r>
      <w:r>
        <w:rPr>
          <w:rtl/>
        </w:rPr>
        <w:t xml:space="preserve"> </w:t>
      </w:r>
      <w:r>
        <w:rPr>
          <w:rFonts w:cs="Arial" w:hint="cs"/>
          <w:rtl/>
        </w:rPr>
        <w:t xml:space="preserve">וז"ל- </w:t>
      </w:r>
      <w:r w:rsidRPr="00980853">
        <w:rPr>
          <w:rFonts w:cs="Arial"/>
          <w:rtl/>
        </w:rPr>
        <w:t>והרב ר' יונה ז"ל כתב</w:t>
      </w:r>
      <w:r>
        <w:rPr>
          <w:rFonts w:cs="Arial" w:hint="cs"/>
          <w:rtl/>
        </w:rPr>
        <w:t>...</w:t>
      </w:r>
      <w:r w:rsidRPr="00980853">
        <w:rPr>
          <w:rFonts w:cs="Arial"/>
          <w:rtl/>
        </w:rPr>
        <w:t xml:space="preserve"> שומת בית דין כמו שהיתומים סומכי</w:t>
      </w:r>
      <w:r>
        <w:rPr>
          <w:rFonts w:cs="Arial" w:hint="cs"/>
          <w:rtl/>
        </w:rPr>
        <w:t>ן</w:t>
      </w:r>
      <w:r w:rsidRPr="00980853">
        <w:rPr>
          <w:rFonts w:cs="Arial"/>
          <w:rtl/>
        </w:rPr>
        <w:t xml:space="preserve"> עליהם כך הלוקח סומך שלא יעשו עול ולא ירחמו והוו בית דין שלוחין של אלו ושל אלו הילכך בין פיחתו שתות ובין הותירו שתות מכרן בטל אבל בפחות משתות מכרן קיים וכן מסתבר וכן היה נראה היכא דנתאנו יתומים דהמקח בטל אין בית דין יכולין לקיים המקח אם ירצו ולהכריח הלוקח להחזיר האונאה דכיון שרצו בית דין לבטל המקח הרשות בידם ברשות הלוקח נמי לבטלו ומסתבר הני טפי דאי מייפים כח היתומים טפי מלוקח הא ריעא ליתמי ולא זבני מנייהו</w:t>
      </w:r>
      <w:r>
        <w:rPr>
          <w:rFonts w:cs="Arial" w:hint="cs"/>
          <w:rtl/>
        </w:rPr>
        <w:t>.</w:t>
      </w:r>
    </w:p>
  </w:footnote>
  <w:footnote w:id="2701">
    <w:p w14:paraId="0A9BAD6E" w14:textId="77777777" w:rsidR="00DF1FC7" w:rsidRDefault="00DF1FC7" w:rsidP="002E5BAD">
      <w:pPr>
        <w:pStyle w:val="a5"/>
        <w:rPr>
          <w:rtl/>
        </w:rPr>
      </w:pPr>
      <w:r>
        <w:rPr>
          <w:rStyle w:val="a7"/>
        </w:rPr>
        <w:footnoteRef/>
      </w:r>
      <w:r>
        <w:rPr>
          <w:rtl/>
        </w:rPr>
        <w:t xml:space="preserve"> </w:t>
      </w:r>
      <w:r w:rsidRPr="00363EFC">
        <w:rPr>
          <w:rFonts w:cs="Arial"/>
          <w:rtl/>
        </w:rPr>
        <w:t>שליח דטעה כמאן דיינינן ליה כאלמנה דיינינן ליה שבטעות כל דהו בטל כדתנן שוה מנה ודינר במנה מכרה בטל או כדיינין הוא ועד דטעה בשתות</w:t>
      </w:r>
      <w:r>
        <w:rPr>
          <w:rFonts w:hint="cs"/>
          <w:rtl/>
        </w:rPr>
        <w:t>, רש"י.</w:t>
      </w:r>
    </w:p>
  </w:footnote>
  <w:footnote w:id="2702">
    <w:p w14:paraId="11590D4F" w14:textId="77777777" w:rsidR="00DF1FC7" w:rsidRDefault="00DF1FC7" w:rsidP="002E5BAD">
      <w:pPr>
        <w:pStyle w:val="a5"/>
      </w:pPr>
      <w:r>
        <w:rPr>
          <w:rStyle w:val="a7"/>
        </w:rPr>
        <w:footnoteRef/>
      </w:r>
      <w:r>
        <w:rPr>
          <w:rtl/>
        </w:rPr>
        <w:t xml:space="preserve"> </w:t>
      </w:r>
      <w:r>
        <w:rPr>
          <w:rFonts w:cs="Arial"/>
          <w:rtl/>
        </w:rPr>
        <w:t>וכן הוא בר"ן פרק האיש מקדש (יז. ד"ה ורב נחמן) דאם מכרו ב"ד ונתאנה הלוקח המקח קיים</w:t>
      </w:r>
      <w:r>
        <w:rPr>
          <w:rFonts w:cs="Arial" w:hint="cs"/>
          <w:rtl/>
        </w:rPr>
        <w:t>,</w:t>
      </w:r>
      <w:r>
        <w:rPr>
          <w:rFonts w:cs="Arial"/>
          <w:rtl/>
        </w:rPr>
        <w:t xml:space="preserve"> אבל אם שמו הקרקע לב"ח או לכתובה וטעו בשומא המכר בטל</w:t>
      </w:r>
      <w:r>
        <w:rPr>
          <w:rFonts w:cs="Arial" w:hint="cs"/>
          <w:rtl/>
        </w:rPr>
        <w:t>, דרכ"מ (אות ב).</w:t>
      </w:r>
    </w:p>
  </w:footnote>
  <w:footnote w:id="2703">
    <w:p w14:paraId="206059F5" w14:textId="77777777" w:rsidR="00DF1FC7" w:rsidRDefault="00DF1FC7" w:rsidP="002E5BAD">
      <w:pPr>
        <w:pStyle w:val="a5"/>
      </w:pPr>
      <w:r>
        <w:rPr>
          <w:rStyle w:val="a7"/>
        </w:rPr>
        <w:footnoteRef/>
      </w:r>
      <w:r>
        <w:rPr>
          <w:rtl/>
        </w:rPr>
        <w:t xml:space="preserve"> </w:t>
      </w:r>
      <w:r w:rsidRPr="00ED54A6">
        <w:rPr>
          <w:rFonts w:cs="Arial"/>
          <w:rtl/>
        </w:rPr>
        <w:t>היינו במטלטלין</w:t>
      </w:r>
      <w:r>
        <w:rPr>
          <w:rFonts w:cs="Arial" w:hint="cs"/>
          <w:rtl/>
        </w:rPr>
        <w:t>,</w:t>
      </w:r>
      <w:r w:rsidRPr="00ED54A6">
        <w:rPr>
          <w:rFonts w:cs="Arial"/>
          <w:rtl/>
        </w:rPr>
        <w:t xml:space="preserve"> אבל בקרקע אפי' מכר עד שוה מנה במאתים אין אונאה לקרקעות וזכה המשלח ביתרון</w:t>
      </w:r>
      <w:r>
        <w:rPr>
          <w:rFonts w:cs="Arial" w:hint="cs"/>
          <w:rtl/>
        </w:rPr>
        <w:t>.</w:t>
      </w:r>
      <w:r w:rsidRPr="00ED54A6">
        <w:rPr>
          <w:rFonts w:cs="Arial"/>
          <w:rtl/>
        </w:rPr>
        <w:t xml:space="preserve"> וגם אלמנה</w:t>
      </w:r>
      <w:r>
        <w:rPr>
          <w:rFonts w:cs="Arial" w:hint="cs"/>
          <w:rtl/>
        </w:rPr>
        <w:t>,</w:t>
      </w:r>
      <w:r w:rsidRPr="00ED54A6">
        <w:rPr>
          <w:rFonts w:cs="Arial"/>
          <w:rtl/>
        </w:rPr>
        <w:t xml:space="preserve"> אפילו מכרה שוה מנה במאתים ולא הוקר המקח למאי דקי"ל אין אונאה לקרקעות </w:t>
      </w:r>
      <w:r>
        <w:rPr>
          <w:rFonts w:cs="Arial" w:hint="cs"/>
          <w:rtl/>
        </w:rPr>
        <w:t xml:space="preserve">- </w:t>
      </w:r>
      <w:r w:rsidRPr="00ED54A6">
        <w:rPr>
          <w:rFonts w:cs="Arial"/>
          <w:rtl/>
        </w:rPr>
        <w:t>אין הלוקח יכול לחזור וזכו היתומים ביתרון</w:t>
      </w:r>
      <w:r>
        <w:rPr>
          <w:rFonts w:cs="Arial" w:hint="cs"/>
          <w:rtl/>
        </w:rPr>
        <w:t>, ח"מ (סקי"ב).</w:t>
      </w:r>
    </w:p>
  </w:footnote>
  <w:footnote w:id="2704">
    <w:p w14:paraId="2B67BFB5" w14:textId="77777777" w:rsidR="00DF1FC7" w:rsidRDefault="00DF1FC7" w:rsidP="002E5BAD">
      <w:pPr>
        <w:pStyle w:val="a5"/>
      </w:pPr>
      <w:r>
        <w:rPr>
          <w:rStyle w:val="a7"/>
        </w:rPr>
        <w:footnoteRef/>
      </w:r>
      <w:r>
        <w:rPr>
          <w:rtl/>
        </w:rPr>
        <w:t xml:space="preserve"> </w:t>
      </w:r>
      <w:r w:rsidRPr="00E1629C">
        <w:rPr>
          <w:rFonts w:cs="Arial"/>
          <w:rtl/>
        </w:rPr>
        <w:t>כלומר דע"כ לא אסיקנ</w:t>
      </w:r>
      <w:r>
        <w:rPr>
          <w:rFonts w:cs="Arial" w:hint="cs"/>
          <w:rtl/>
        </w:rPr>
        <w:t>א</w:t>
      </w:r>
      <w:r w:rsidRPr="00E1629C">
        <w:rPr>
          <w:rFonts w:cs="Arial"/>
          <w:rtl/>
        </w:rPr>
        <w:t xml:space="preserve"> בגמ' דשליח הרי הוא כאלמנה אלא בשליח ב"ד של שלשה</w:t>
      </w:r>
      <w:r>
        <w:rPr>
          <w:rFonts w:cs="Arial" w:hint="cs"/>
          <w:rtl/>
        </w:rPr>
        <w:t>,</w:t>
      </w:r>
      <w:r w:rsidRPr="00E1629C">
        <w:rPr>
          <w:rFonts w:cs="Arial"/>
          <w:rtl/>
        </w:rPr>
        <w:t xml:space="preserve"> דאין לו כח יותר מן משלחיו</w:t>
      </w:r>
      <w:r>
        <w:rPr>
          <w:rFonts w:cs="Arial" w:hint="cs"/>
          <w:rtl/>
        </w:rPr>
        <w:t>.</w:t>
      </w:r>
      <w:r w:rsidRPr="00E1629C">
        <w:rPr>
          <w:rFonts w:cs="Arial"/>
          <w:rtl/>
        </w:rPr>
        <w:t xml:space="preserve"> ואלו ב"ד שאינו של ג' אין להם שום כח כך</w:t>
      </w:r>
      <w:r>
        <w:rPr>
          <w:rFonts w:cs="Arial" w:hint="cs"/>
          <w:rtl/>
        </w:rPr>
        <w:t>,</w:t>
      </w:r>
      <w:r w:rsidRPr="00E1629C">
        <w:rPr>
          <w:rFonts w:cs="Arial"/>
          <w:rtl/>
        </w:rPr>
        <w:t xml:space="preserve"> אין לשליח שלהם כח כשהוא יחידי</w:t>
      </w:r>
      <w:r>
        <w:rPr>
          <w:rFonts w:cs="Arial" w:hint="cs"/>
          <w:rtl/>
        </w:rPr>
        <w:t>,</w:t>
      </w:r>
      <w:r w:rsidRPr="00E1629C">
        <w:rPr>
          <w:rFonts w:cs="Arial"/>
          <w:rtl/>
        </w:rPr>
        <w:t xml:space="preserve"> ואינו רק כאלמנה שאם טעתה בכל שהו מכרה בטל</w:t>
      </w:r>
      <w:r>
        <w:rPr>
          <w:rFonts w:cs="Arial" w:hint="cs"/>
          <w:rtl/>
        </w:rPr>
        <w:t>,</w:t>
      </w:r>
      <w:r w:rsidRPr="00E1629C">
        <w:rPr>
          <w:rFonts w:cs="Arial"/>
          <w:rtl/>
        </w:rPr>
        <w:t xml:space="preserve"> ה"ה בשליח</w:t>
      </w:r>
      <w:r>
        <w:rPr>
          <w:rFonts w:cs="Arial" w:hint="cs"/>
          <w:rtl/>
        </w:rPr>
        <w:t>.</w:t>
      </w:r>
      <w:r w:rsidRPr="00E1629C">
        <w:rPr>
          <w:rFonts w:cs="Arial"/>
          <w:rtl/>
        </w:rPr>
        <w:t xml:space="preserve"> אבל דיין הממונה ע"פ המלך לדון ביחידי ולמכור קרקעות וכל מה שהוא עושה יהיה עשוי אפילו אם טעה</w:t>
      </w:r>
      <w:r>
        <w:rPr>
          <w:rFonts w:cs="Arial" w:hint="cs"/>
          <w:rtl/>
        </w:rPr>
        <w:t>,</w:t>
      </w:r>
      <w:r w:rsidRPr="00E1629C">
        <w:rPr>
          <w:rFonts w:cs="Arial"/>
          <w:rtl/>
        </w:rPr>
        <w:t xml:space="preserve"> אם השופט ממנה שלוחו תחתיו למכור וטעה השליח דינו כדין השופט</w:t>
      </w:r>
      <w:r>
        <w:rPr>
          <w:rFonts w:cs="Arial" w:hint="cs"/>
          <w:rtl/>
        </w:rPr>
        <w:t>,</w:t>
      </w:r>
      <w:r w:rsidRPr="00E1629C">
        <w:rPr>
          <w:rFonts w:cs="Arial"/>
          <w:rtl/>
        </w:rPr>
        <w:t xml:space="preserve"> ואף אם הוא יחיד</w:t>
      </w:r>
      <w:r>
        <w:rPr>
          <w:rFonts w:cs="Arial" w:hint="cs"/>
          <w:rtl/>
        </w:rPr>
        <w:t>,</w:t>
      </w:r>
      <w:r w:rsidRPr="00E1629C">
        <w:rPr>
          <w:rFonts w:cs="Arial"/>
          <w:rtl/>
        </w:rPr>
        <w:t xml:space="preserve"> הא גם השופט משלח שלו הוא יחיד</w:t>
      </w:r>
      <w:r>
        <w:rPr>
          <w:rFonts w:cs="Arial" w:hint="cs"/>
          <w:rtl/>
        </w:rPr>
        <w:t>.</w:t>
      </w:r>
      <w:r w:rsidRPr="00E1629C">
        <w:rPr>
          <w:rFonts w:cs="Arial"/>
          <w:rtl/>
        </w:rPr>
        <w:t xml:space="preserve"> ובאמת אם השופט רצה לבטל המכירה שעשה שלוחו יכול לבטל</w:t>
      </w:r>
      <w:r>
        <w:rPr>
          <w:rFonts w:cs="Arial" w:hint="cs"/>
          <w:rtl/>
        </w:rPr>
        <w:t>,</w:t>
      </w:r>
      <w:r w:rsidRPr="00E1629C">
        <w:rPr>
          <w:rFonts w:cs="Arial"/>
          <w:rtl/>
        </w:rPr>
        <w:t xml:space="preserve"> דיאמר לו לתקוני שדרתיך</w:t>
      </w:r>
      <w:r>
        <w:rPr>
          <w:rFonts w:cs="Arial" w:hint="cs"/>
          <w:rtl/>
        </w:rPr>
        <w:t>.</w:t>
      </w:r>
      <w:r w:rsidRPr="00E1629C">
        <w:rPr>
          <w:rFonts w:cs="Arial"/>
          <w:rtl/>
        </w:rPr>
        <w:t xml:space="preserve"> ואם מצד הורמנ</w:t>
      </w:r>
      <w:r>
        <w:rPr>
          <w:rFonts w:cs="Arial" w:hint="cs"/>
          <w:rtl/>
        </w:rPr>
        <w:t>א</w:t>
      </w:r>
      <w:r w:rsidRPr="00E1629C">
        <w:rPr>
          <w:rFonts w:cs="Arial"/>
          <w:rtl/>
        </w:rPr>
        <w:t xml:space="preserve"> דמלכא דין שליח השופט כדין השופט מעשיו קיימים</w:t>
      </w:r>
      <w:r>
        <w:rPr>
          <w:rFonts w:cs="Arial" w:hint="cs"/>
          <w:rtl/>
        </w:rPr>
        <w:t>.</w:t>
      </w:r>
      <w:r w:rsidRPr="00E1629C">
        <w:rPr>
          <w:rFonts w:cs="Arial"/>
          <w:rtl/>
        </w:rPr>
        <w:t xml:space="preserve"> וכ"ש אם מכר השופט בעצמו שלא ע"י שליח שמעשיו קיימין ע"פ הורמנ</w:t>
      </w:r>
      <w:r>
        <w:rPr>
          <w:rFonts w:cs="Arial" w:hint="cs"/>
          <w:rtl/>
        </w:rPr>
        <w:t>א</w:t>
      </w:r>
      <w:r w:rsidRPr="00E1629C">
        <w:rPr>
          <w:rFonts w:cs="Arial"/>
          <w:rtl/>
        </w:rPr>
        <w:t xml:space="preserve"> דמלכא</w:t>
      </w:r>
      <w:r>
        <w:rPr>
          <w:rFonts w:cs="Arial" w:hint="cs"/>
          <w:rtl/>
        </w:rPr>
        <w:t>.</w:t>
      </w:r>
      <w:r w:rsidRPr="00E1629C">
        <w:rPr>
          <w:rFonts w:cs="Arial"/>
          <w:rtl/>
        </w:rPr>
        <w:t xml:space="preserve"> זה הוא כוונת הרב בדין זה</w:t>
      </w:r>
      <w:r>
        <w:rPr>
          <w:rFonts w:cs="Arial" w:hint="cs"/>
          <w:rtl/>
        </w:rPr>
        <w:t xml:space="preserve">, </w:t>
      </w:r>
      <w:r w:rsidRPr="00E1629C">
        <w:rPr>
          <w:rFonts w:cs="Arial"/>
          <w:rtl/>
        </w:rPr>
        <w:t>והוא מועתק מתשובת הריב"ש סי' קע"ט</w:t>
      </w:r>
      <w:r>
        <w:rPr>
          <w:rFonts w:cs="Arial" w:hint="cs"/>
          <w:rtl/>
        </w:rPr>
        <w:t>.</w:t>
      </w:r>
      <w:r w:rsidRPr="00E1629C">
        <w:rPr>
          <w:rFonts w:cs="Arial"/>
          <w:rtl/>
        </w:rPr>
        <w:t xml:space="preserve"> ולא ידעתי למה העתיק דין זה</w:t>
      </w:r>
      <w:r>
        <w:rPr>
          <w:rFonts w:cs="Arial" w:hint="cs"/>
          <w:rtl/>
        </w:rPr>
        <w:t>,</w:t>
      </w:r>
      <w:r w:rsidRPr="00E1629C">
        <w:rPr>
          <w:rFonts w:cs="Arial"/>
          <w:rtl/>
        </w:rPr>
        <w:t xml:space="preserve"> ומי לא ידע דדינא דמלכות</w:t>
      </w:r>
      <w:r>
        <w:rPr>
          <w:rFonts w:cs="Arial" w:hint="cs"/>
          <w:rtl/>
        </w:rPr>
        <w:t>א</w:t>
      </w:r>
      <w:r w:rsidRPr="00E1629C">
        <w:rPr>
          <w:rFonts w:cs="Arial"/>
          <w:rtl/>
        </w:rPr>
        <w:t xml:space="preserve"> דינא מה שהוא חוק ומשפט המלוכה</w:t>
      </w:r>
      <w:r>
        <w:rPr>
          <w:rFonts w:cs="Arial" w:hint="cs"/>
          <w:rtl/>
        </w:rPr>
        <w:t>,</w:t>
      </w:r>
      <w:r w:rsidRPr="00E1629C">
        <w:rPr>
          <w:rFonts w:cs="Arial"/>
          <w:rtl/>
        </w:rPr>
        <w:t xml:space="preserve"> וכמ"ש בח"מ סי' ס"ח וסי' שס"ט</w:t>
      </w:r>
      <w:r>
        <w:rPr>
          <w:rFonts w:cs="Arial" w:hint="cs"/>
          <w:rtl/>
        </w:rPr>
        <w:t>.</w:t>
      </w:r>
      <w:r w:rsidRPr="00E1629C">
        <w:rPr>
          <w:rFonts w:cs="Arial"/>
          <w:rtl/>
        </w:rPr>
        <w:t xml:space="preserve"> ואם נאמר שאף שהורמנא דמלכ</w:t>
      </w:r>
      <w:r>
        <w:rPr>
          <w:rFonts w:cs="Arial" w:hint="cs"/>
          <w:rtl/>
        </w:rPr>
        <w:t>א</w:t>
      </w:r>
      <w:r w:rsidRPr="00E1629C">
        <w:rPr>
          <w:rFonts w:cs="Arial"/>
          <w:rtl/>
        </w:rPr>
        <w:t xml:space="preserve"> הוא רק על השופט לבדו</w:t>
      </w:r>
      <w:r>
        <w:rPr>
          <w:rFonts w:cs="Arial" w:hint="cs"/>
          <w:rtl/>
        </w:rPr>
        <w:t>,</w:t>
      </w:r>
      <w:r w:rsidRPr="00E1629C">
        <w:rPr>
          <w:rFonts w:cs="Arial"/>
          <w:rtl/>
        </w:rPr>
        <w:t xml:space="preserve"> מ"מ מסבר</w:t>
      </w:r>
      <w:r>
        <w:rPr>
          <w:rFonts w:cs="Arial" w:hint="cs"/>
          <w:rtl/>
        </w:rPr>
        <w:t>א</w:t>
      </w:r>
      <w:r w:rsidRPr="00E1629C">
        <w:rPr>
          <w:rFonts w:cs="Arial"/>
          <w:rtl/>
        </w:rPr>
        <w:t xml:space="preserve"> אמרי</w:t>
      </w:r>
      <w:r>
        <w:rPr>
          <w:rFonts w:cs="Arial" w:hint="cs"/>
          <w:rtl/>
        </w:rPr>
        <w:t>נן</w:t>
      </w:r>
      <w:r w:rsidRPr="00E1629C">
        <w:rPr>
          <w:rFonts w:cs="Arial"/>
          <w:rtl/>
        </w:rPr>
        <w:t xml:space="preserve"> ששלוחו כמותו</w:t>
      </w:r>
      <w:r>
        <w:rPr>
          <w:rFonts w:cs="Arial" w:hint="cs"/>
          <w:rtl/>
        </w:rPr>
        <w:t xml:space="preserve"> -</w:t>
      </w:r>
      <w:r w:rsidRPr="00E1629C">
        <w:rPr>
          <w:rFonts w:cs="Arial"/>
          <w:rtl/>
        </w:rPr>
        <w:t xml:space="preserve"> זה תימה</w:t>
      </w:r>
      <w:r>
        <w:rPr>
          <w:rFonts w:cs="Arial" w:hint="cs"/>
          <w:rtl/>
        </w:rPr>
        <w:t>,</w:t>
      </w:r>
      <w:r w:rsidRPr="00E1629C">
        <w:rPr>
          <w:rFonts w:cs="Arial"/>
          <w:rtl/>
        </w:rPr>
        <w:t xml:space="preserve"> דא"כ נאמר יחיד מומחה שדן ביחידי שלוחו שלו כמותו</w:t>
      </w:r>
      <w:r>
        <w:rPr>
          <w:rFonts w:cs="Arial" w:hint="cs"/>
          <w:rtl/>
        </w:rPr>
        <w:t>,</w:t>
      </w:r>
      <w:r w:rsidRPr="00E1629C">
        <w:rPr>
          <w:rFonts w:cs="Arial"/>
          <w:rtl/>
        </w:rPr>
        <w:t xml:space="preserve"> ודוקא שליח ב"ד של ג' הוא כאלמנה</w:t>
      </w:r>
      <w:r>
        <w:rPr>
          <w:rFonts w:cs="Arial" w:hint="cs"/>
          <w:rtl/>
        </w:rPr>
        <w:t xml:space="preserve"> -</w:t>
      </w:r>
      <w:r w:rsidRPr="00E1629C">
        <w:rPr>
          <w:rFonts w:cs="Arial"/>
          <w:rtl/>
        </w:rPr>
        <w:t xml:space="preserve"> וזה רחוק</w:t>
      </w:r>
      <w:r>
        <w:rPr>
          <w:rFonts w:cs="Arial" w:hint="cs"/>
          <w:rtl/>
        </w:rPr>
        <w:t>,</w:t>
      </w:r>
      <w:r w:rsidRPr="00E1629C">
        <w:rPr>
          <w:rFonts w:cs="Arial"/>
          <w:rtl/>
        </w:rPr>
        <w:t xml:space="preserve"> דאף אנו נאמר מה אלמנה אינה מומחה אף שליח אינה מומחה משא"כ הדיין דמומחה הוא</w:t>
      </w:r>
      <w:r>
        <w:rPr>
          <w:rFonts w:cs="Arial" w:hint="cs"/>
          <w:rtl/>
        </w:rPr>
        <w:t>.</w:t>
      </w:r>
      <w:r w:rsidRPr="00E1629C">
        <w:rPr>
          <w:rFonts w:cs="Arial"/>
          <w:rtl/>
        </w:rPr>
        <w:t xml:space="preserve"> ועוד לדבריו נאמר אם שלחו הב"ד ג' שלוחים דיהא דינם כדין הב"ד</w:t>
      </w:r>
      <w:r>
        <w:rPr>
          <w:rFonts w:cs="Arial" w:hint="cs"/>
          <w:rtl/>
        </w:rPr>
        <w:t xml:space="preserve"> -</w:t>
      </w:r>
      <w:r w:rsidRPr="00E1629C">
        <w:rPr>
          <w:rFonts w:cs="Arial"/>
          <w:rtl/>
        </w:rPr>
        <w:t xml:space="preserve"> וזה ודאי אינו</w:t>
      </w:r>
      <w:r>
        <w:rPr>
          <w:rFonts w:cs="Arial" w:hint="cs"/>
          <w:rtl/>
        </w:rPr>
        <w:t>,</w:t>
      </w:r>
      <w:r w:rsidRPr="00E1629C">
        <w:rPr>
          <w:rFonts w:cs="Arial"/>
          <w:rtl/>
        </w:rPr>
        <w:t xml:space="preserve"> דהא גם אלמנה יש לה בית דין הדיוטות ומכל מקום כחד חשיב להו וכמ"ש התוספות בכתובות </w:t>
      </w:r>
      <w:r>
        <w:rPr>
          <w:rFonts w:cs="Arial" w:hint="cs"/>
          <w:rtl/>
        </w:rPr>
        <w:t xml:space="preserve">בדף </w:t>
      </w:r>
      <w:r w:rsidRPr="00E1629C">
        <w:rPr>
          <w:rFonts w:cs="Arial"/>
          <w:rtl/>
        </w:rPr>
        <w:t>ק בד"ה מה אלמנה יחידאה וכו'</w:t>
      </w:r>
      <w:r>
        <w:rPr>
          <w:rFonts w:cs="Arial" w:hint="cs"/>
          <w:rtl/>
        </w:rPr>
        <w:t>, ח"מ (סקי"ג).</w:t>
      </w:r>
    </w:p>
  </w:footnote>
  <w:footnote w:id="2705">
    <w:p w14:paraId="463242F8" w14:textId="77777777" w:rsidR="00DF1FC7" w:rsidRDefault="00DF1FC7" w:rsidP="002E5BAD">
      <w:pPr>
        <w:pStyle w:val="a5"/>
      </w:pPr>
      <w:r>
        <w:rPr>
          <w:rStyle w:val="a7"/>
        </w:rPr>
        <w:footnoteRef/>
      </w:r>
      <w:r>
        <w:rPr>
          <w:rtl/>
        </w:rPr>
        <w:t xml:space="preserve"> </w:t>
      </w:r>
      <w:r w:rsidRPr="00AB6908">
        <w:rPr>
          <w:rFonts w:cs="Arial"/>
          <w:rtl/>
        </w:rPr>
        <w:t>(א) ומהרי"ו כתב בתשובה סימן י"ט דנדונייתה לא הפסידה אלא אם כן אמרה כל מה שכתוב בשטר אני מוחל לך, אבל בריב"ש סימן קמ"ט כתב בשם הרמב"ן (נד: ד"ה והא) והרשב"א (נד: ד"ה א"ר) דאף נדונייתה בכלל אלא אם כן היתה נדונייתה בעין דאז לא הפסידה אותה וע"ש שהאריך וכתב דאף דעת הרמב"ם (פכ"ב מהלכות אישות הט"ו) כן ועיין לקמן סוף סימן קי"ח מדין תנאי כתובה:</w:t>
      </w:r>
    </w:p>
  </w:footnote>
  <w:footnote w:id="2706">
    <w:p w14:paraId="113FF120" w14:textId="77777777" w:rsidR="00DF1FC7" w:rsidRDefault="00DF1FC7" w:rsidP="002E5BAD">
      <w:pPr>
        <w:pStyle w:val="a5"/>
        <w:rPr>
          <w:rtl/>
        </w:rPr>
      </w:pPr>
      <w:r>
        <w:rPr>
          <w:rStyle w:val="a7"/>
        </w:rPr>
        <w:footnoteRef/>
      </w:r>
      <w:r>
        <w:rPr>
          <w:rtl/>
        </w:rPr>
        <w:t xml:space="preserve"> </w:t>
      </w:r>
      <w:r w:rsidRPr="00AB6908">
        <w:rPr>
          <w:rFonts w:cs="Arial"/>
          <w:rtl/>
        </w:rPr>
        <w:t>(ב) וכתב שם (נז א) דאם כתב בכתובה לך ולכל הבאים מכחך אינה יכולה למחול אח"כ אבל בלאו הכי יכולה למחול בין כתובה בין נדוניא בין תוספת ועיין שם:</w:t>
      </w:r>
    </w:p>
  </w:footnote>
  <w:footnote w:id="2707">
    <w:p w14:paraId="5D12019C" w14:textId="77777777" w:rsidR="00DF1FC7" w:rsidRDefault="00DF1FC7" w:rsidP="002E5BAD">
      <w:pPr>
        <w:pStyle w:val="a5"/>
      </w:pPr>
      <w:r>
        <w:rPr>
          <w:rStyle w:val="a7"/>
        </w:rPr>
        <w:footnoteRef/>
      </w:r>
      <w:r>
        <w:rPr>
          <w:rtl/>
        </w:rPr>
        <w:t xml:space="preserve"> </w:t>
      </w:r>
      <w:r w:rsidRPr="0076432A">
        <w:rPr>
          <w:rFonts w:cs="Arial"/>
          <w:rtl/>
        </w:rPr>
        <w:t>(א) וכן הוא במרדכי ריש יש נוחלין (ע"ד) (סי' תקפח) וכ"כ הרי"ף שם (ע ב) ומשמע שם בנמוקי יוסף (דף רכ"ט ע"א) (ע סוף ע"א) דהוא הדין אם כתב לה מטלטלין בזמן הזה אבדה כתובתה וכן משמע כאן מדברי ב"י ולא נראה מדברי הרמב"ם פ"ו מהלכות זכייה ולא מדברי שאר הפוסקים וטעם הדבר דדוקא שיור הוי מטלטלין מאחר דיכולה לגבות עדיין אבל לא אמרינן דמחלה משום דכתב לה מטלטלין דאינן חשובין שנאמר שמחלה בעבורן כן נראה לי:</w:t>
      </w:r>
    </w:p>
  </w:footnote>
  <w:footnote w:id="2708">
    <w:p w14:paraId="16D4A53A" w14:textId="77777777" w:rsidR="00DF1FC7" w:rsidRDefault="00DF1FC7" w:rsidP="002E5BAD">
      <w:pPr>
        <w:pStyle w:val="a5"/>
        <w:rPr>
          <w:rtl/>
        </w:rPr>
      </w:pPr>
      <w:r>
        <w:rPr>
          <w:rStyle w:val="a7"/>
        </w:rPr>
        <w:footnoteRef/>
      </w:r>
      <w:r>
        <w:rPr>
          <w:rtl/>
        </w:rPr>
        <w:t xml:space="preserve"> </w:t>
      </w:r>
      <w:r w:rsidRPr="0076432A">
        <w:rPr>
          <w:rFonts w:cs="Arial"/>
          <w:rtl/>
        </w:rPr>
        <w:t>(ב) כתב המרדכי פרק יש נוחלין (ע"ד) (סי' תקפז) השיב הר"ם (ד"פ סי' רמו) על ראובן שטען על אמו שאביו צוה לתת לו כך וכך, ופסק דאע"פ שבפניה צוה והיא שתקה אין צריך לקיים מאחר שלא חלק כל נכסיו, אמנם בתשובת ראב"ן ריש אלמנה נזונת במרדכי (סי' רמח) ופרק מי שמת (ד' רנ"ז ע"ב) (סי' תרלא) משמע דאם צוה לפניה ושתקה הוי מחילה ואפילו אם אח"כ רוצה למחות אינה יכולה וכן פסק מהרי"ו בתשובה סימן י"ט וכתב שם דאינה יכולה לומר נחת רוח עשיתי לבעלי שלא תטרף דעתו עליו בחליו וכן משמע בתשובת המרדכי פרק זה בורר (דף רפ"ה ע"ד) (סי' תשה) וכתב מהרא"י בפסקיו סימן פ"ו דאם צוה בעלה בפניה הרבה דברים ואמרה לדבר אחד אין ולשאר דברים שתקה כולי עלמא מודי דלא הוי שתיקה מחילה וע"ש. כב"י בחושן המשפט סימן (ק"ו) [רנ"ב] (מחודשים [ג] עמ' עג טור א) כתב הרשב"ץ (ח"ב סי' קנח) על ראובן שמת וצוה ליתן מקצת נכסיו להקדשות ופרעה האלמנה מקצתן ומתה והיורשין אינן רוצין לפרוע השאר באמרם שאין לאמן הכתובה מאחר שהתחילה לפרוע ובדעתה היה להשלים ולקיים צוואת בעלה הוי כאילו הודית בשעת מיתה שנשארו מנכסי בעלה יתר על כתובתה לקיים צוואתו וחייבים היורשים לקיים צוואתו אפילו ממטלטלין וכ"כ הרשב"א ואינו נכון דאף אם התחילה לפרוע שמא מחלה אותו מקצת שפרעה ולא נתחייבו יורשיה לפרוע המותר כי אפשר שלא היה בדעתה לפרוע עכ"ל:</w:t>
      </w:r>
    </w:p>
  </w:footnote>
  <w:footnote w:id="2709">
    <w:p w14:paraId="76D35698"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נותן לבתו. וכן </w:t>
      </w:r>
      <w:r>
        <w:rPr>
          <w:rtl/>
        </w:rPr>
        <w:t>–</w:t>
      </w:r>
      <w:r>
        <w:rPr>
          <w:rFonts w:hint="cs"/>
          <w:rtl/>
        </w:rPr>
        <w:t xml:space="preserve"> נותנת לבניה.</w:t>
      </w:r>
    </w:p>
  </w:footnote>
  <w:footnote w:id="2710">
    <w:p w14:paraId="24ADEBB9" w14:textId="77777777" w:rsidR="00DF1FC7" w:rsidRDefault="00DF1FC7" w:rsidP="002E5BAD">
      <w:pPr>
        <w:pStyle w:val="a5"/>
      </w:pPr>
      <w:r>
        <w:rPr>
          <w:rStyle w:val="a7"/>
        </w:rPr>
        <w:footnoteRef/>
      </w:r>
      <w:r>
        <w:rPr>
          <w:rtl/>
        </w:rPr>
        <w:t xml:space="preserve"> </w:t>
      </w:r>
      <w:r w:rsidRPr="00AF1FC9">
        <w:rPr>
          <w:rFonts w:cs="Arial"/>
          <w:rtl/>
        </w:rPr>
        <w:t>בני אשה אחרת אם תמותי בחיי ואירשך יטלו בניך כתובתיך ונפקא מינה שמא מרובה היא או שמא יהו בני אשה האחרת מרובים ובניך מועטים וטוב להן שיטלו כתובת אמן והמרובים כתובת אמן ואפי' הכתובות שוות</w:t>
      </w:r>
      <w:r>
        <w:rPr>
          <w:rFonts w:cs="Arial" w:hint="cs"/>
          <w:rtl/>
        </w:rPr>
        <w:t>, רש"י.</w:t>
      </w:r>
    </w:p>
  </w:footnote>
  <w:footnote w:id="2711">
    <w:p w14:paraId="3F38DE44" w14:textId="77777777" w:rsidR="00DF1FC7" w:rsidRDefault="00DF1FC7" w:rsidP="002E5BAD">
      <w:pPr>
        <w:pStyle w:val="a5"/>
      </w:pPr>
      <w:r>
        <w:rPr>
          <w:rStyle w:val="a7"/>
        </w:rPr>
        <w:footnoteRef/>
      </w:r>
      <w:r>
        <w:rPr>
          <w:rtl/>
        </w:rPr>
        <w:t xml:space="preserve"> </w:t>
      </w:r>
      <w:r w:rsidRPr="00AF1FC9">
        <w:rPr>
          <w:rFonts w:cs="Arial"/>
          <w:rtl/>
        </w:rPr>
        <w:t>מאחר שהבעל יורש את אשתו למה תקנו שיוריש לבניה מה שירש ממנה דהיינו נדוניא שלה</w:t>
      </w:r>
      <w:r>
        <w:rPr>
          <w:rFonts w:cs="Arial" w:hint="cs"/>
          <w:rtl/>
        </w:rPr>
        <w:t>, רש"י.</w:t>
      </w:r>
    </w:p>
  </w:footnote>
  <w:footnote w:id="2712">
    <w:p w14:paraId="03B3AA2D" w14:textId="77777777" w:rsidR="00DF1FC7" w:rsidRDefault="00DF1FC7" w:rsidP="002E5BAD">
      <w:pPr>
        <w:pStyle w:val="a5"/>
        <w:rPr>
          <w:rtl/>
        </w:rPr>
      </w:pPr>
      <w:r>
        <w:rPr>
          <w:rStyle w:val="a7"/>
        </w:rPr>
        <w:footnoteRef/>
      </w:r>
      <w:r>
        <w:rPr>
          <w:rtl/>
        </w:rPr>
        <w:t xml:space="preserve"> </w:t>
      </w:r>
      <w:r w:rsidRPr="00AF1FC9">
        <w:rPr>
          <w:rFonts w:cs="Arial"/>
          <w:rtl/>
        </w:rPr>
        <w:t>נדוניא יפה דאילו מתה יירשו בניה</w:t>
      </w:r>
      <w:r>
        <w:rPr>
          <w:rFonts w:hint="cs"/>
          <w:rtl/>
        </w:rPr>
        <w:t>, רש"י.</w:t>
      </w:r>
    </w:p>
  </w:footnote>
  <w:footnote w:id="2713">
    <w:p w14:paraId="1E94412A" w14:textId="77777777" w:rsidR="00DF1FC7" w:rsidRDefault="00DF1FC7" w:rsidP="002E5BAD">
      <w:pPr>
        <w:pStyle w:val="a5"/>
        <w:rPr>
          <w:rtl/>
        </w:rPr>
      </w:pPr>
      <w:r>
        <w:rPr>
          <w:rStyle w:val="a7"/>
        </w:rPr>
        <w:footnoteRef/>
      </w:r>
      <w:r>
        <w:rPr>
          <w:rtl/>
        </w:rPr>
        <w:t xml:space="preserve"> </w:t>
      </w:r>
      <w:r w:rsidRPr="00B85A75">
        <w:rPr>
          <w:rFonts w:cs="Arial"/>
          <w:rtl/>
        </w:rPr>
        <w:t>דכתיב (במדבר כז) איש כי ימות ובן אין לו וגו' הא יש לו בנו יורשו ולא בתו</w:t>
      </w:r>
      <w:r>
        <w:rPr>
          <w:rFonts w:hint="cs"/>
          <w:rtl/>
        </w:rPr>
        <w:t>, רש"י.</w:t>
      </w:r>
    </w:p>
  </w:footnote>
  <w:footnote w:id="2714">
    <w:p w14:paraId="3894A04E" w14:textId="77777777" w:rsidR="00DF1FC7" w:rsidRDefault="00DF1FC7" w:rsidP="002E5BAD">
      <w:pPr>
        <w:pStyle w:val="a5"/>
      </w:pPr>
      <w:r>
        <w:rPr>
          <w:rStyle w:val="a7"/>
        </w:rPr>
        <w:footnoteRef/>
      </w:r>
      <w:r>
        <w:rPr>
          <w:rtl/>
        </w:rPr>
        <w:t xml:space="preserve"> </w:t>
      </w:r>
      <w:r w:rsidRPr="00B85A75">
        <w:rPr>
          <w:rFonts w:cs="Arial"/>
          <w:rtl/>
        </w:rPr>
        <w:t>שיתן לה האב ממונו שהיו בניו ראויין לירש</w:t>
      </w:r>
      <w:r>
        <w:rPr>
          <w:rFonts w:cs="Arial" w:hint="cs"/>
          <w:rtl/>
        </w:rPr>
        <w:t>, רש"י.</w:t>
      </w:r>
    </w:p>
  </w:footnote>
  <w:footnote w:id="2715">
    <w:p w14:paraId="38D6A515" w14:textId="77777777" w:rsidR="00DF1FC7" w:rsidRDefault="00DF1FC7" w:rsidP="002E5BAD">
      <w:pPr>
        <w:pStyle w:val="a5"/>
      </w:pPr>
      <w:r>
        <w:rPr>
          <w:rStyle w:val="a7"/>
        </w:rPr>
        <w:footnoteRef/>
      </w:r>
      <w:r>
        <w:rPr>
          <w:rtl/>
        </w:rPr>
        <w:t xml:space="preserve"> </w:t>
      </w:r>
      <w:r w:rsidRPr="00A811EA">
        <w:rPr>
          <w:rFonts w:cs="Arial"/>
          <w:rtl/>
        </w:rPr>
        <w:t>לבקש לו אשה שדרכו של איש לחזר על אשה</w:t>
      </w:r>
      <w:r>
        <w:rPr>
          <w:rFonts w:cs="Arial" w:hint="cs"/>
          <w:rtl/>
        </w:rPr>
        <w:t>, רש"י.</w:t>
      </w:r>
    </w:p>
  </w:footnote>
  <w:footnote w:id="2716">
    <w:p w14:paraId="1D87DAD1" w14:textId="77777777" w:rsidR="00DF1FC7" w:rsidRDefault="00DF1FC7" w:rsidP="002E5BAD">
      <w:pPr>
        <w:pStyle w:val="a5"/>
      </w:pPr>
      <w:r>
        <w:rPr>
          <w:rStyle w:val="a7"/>
        </w:rPr>
        <w:footnoteRef/>
      </w:r>
      <w:r>
        <w:rPr>
          <w:rtl/>
        </w:rPr>
        <w:t xml:space="preserve"> </w:t>
      </w:r>
      <w:r w:rsidRPr="00A811EA">
        <w:rPr>
          <w:rFonts w:cs="Arial"/>
          <w:rtl/>
        </w:rPr>
        <w:t>וכי דרך אשה לחזר על איש</w:t>
      </w:r>
      <w:r>
        <w:rPr>
          <w:rFonts w:cs="Arial" w:hint="cs"/>
          <w:rtl/>
        </w:rPr>
        <w:t>, רש"י.</w:t>
      </w:r>
    </w:p>
  </w:footnote>
  <w:footnote w:id="2717">
    <w:p w14:paraId="7FE242A3" w14:textId="77777777" w:rsidR="00DF1FC7" w:rsidRDefault="00DF1FC7" w:rsidP="002E5BAD">
      <w:pPr>
        <w:pStyle w:val="a5"/>
        <w:rPr>
          <w:rtl/>
        </w:rPr>
      </w:pPr>
      <w:r>
        <w:rPr>
          <w:rStyle w:val="a7"/>
        </w:rPr>
        <w:footnoteRef/>
      </w:r>
      <w:r>
        <w:rPr>
          <w:rtl/>
        </w:rPr>
        <w:t xml:space="preserve"> </w:t>
      </w:r>
      <w:r w:rsidRPr="00A811EA">
        <w:rPr>
          <w:rFonts w:cs="Arial"/>
          <w:rtl/>
        </w:rPr>
        <w:t>כיון דטעמא כדי שיקפוץ ליתן לבתו הוא דתקון</w:t>
      </w:r>
      <w:r>
        <w:rPr>
          <w:rFonts w:cs="Arial" w:hint="cs"/>
          <w:rtl/>
        </w:rPr>
        <w:t>,</w:t>
      </w:r>
      <w:r w:rsidRPr="00A811EA">
        <w:rPr>
          <w:rFonts w:cs="Arial"/>
          <w:rtl/>
        </w:rPr>
        <w:t xml:space="preserve"> נדוניא דיהב אב לבתו</w:t>
      </w:r>
      <w:r>
        <w:rPr>
          <w:rFonts w:cs="Arial" w:hint="cs"/>
          <w:rtl/>
        </w:rPr>
        <w:t xml:space="preserve"> -</w:t>
      </w:r>
      <w:r w:rsidRPr="00A811EA">
        <w:rPr>
          <w:rFonts w:cs="Arial"/>
          <w:rtl/>
        </w:rPr>
        <w:t xml:space="preserve"> לירתון בנים דילה</w:t>
      </w:r>
      <w:r>
        <w:rPr>
          <w:rFonts w:cs="Arial" w:hint="cs"/>
          <w:rtl/>
        </w:rPr>
        <w:t>,</w:t>
      </w:r>
      <w:r w:rsidRPr="00A811EA">
        <w:rPr>
          <w:rFonts w:cs="Arial"/>
          <w:rtl/>
        </w:rPr>
        <w:t xml:space="preserve"> אבל שאר כתובות נכסי הבעל כגון מנה מאתים ותוספת דבעל </w:t>
      </w:r>
      <w:r>
        <w:rPr>
          <w:rFonts w:cs="Arial" w:hint="cs"/>
          <w:rtl/>
        </w:rPr>
        <w:t xml:space="preserve">- </w:t>
      </w:r>
      <w:r w:rsidRPr="00A811EA">
        <w:rPr>
          <w:rFonts w:cs="Arial"/>
          <w:rtl/>
        </w:rPr>
        <w:t>לא לירתון</w:t>
      </w:r>
      <w:r>
        <w:rPr>
          <w:rFonts w:hint="cs"/>
          <w:rtl/>
        </w:rPr>
        <w:t>, רש"י.</w:t>
      </w:r>
    </w:p>
  </w:footnote>
  <w:footnote w:id="2718">
    <w:p w14:paraId="262368B1" w14:textId="77777777" w:rsidR="00DF1FC7" w:rsidRDefault="00DF1FC7" w:rsidP="002E5BAD">
      <w:pPr>
        <w:pStyle w:val="a5"/>
      </w:pPr>
      <w:r>
        <w:rPr>
          <w:rStyle w:val="a7"/>
        </w:rPr>
        <w:footnoteRef/>
      </w:r>
      <w:r>
        <w:rPr>
          <w:rtl/>
        </w:rPr>
        <w:t xml:space="preserve"> </w:t>
      </w:r>
      <w:r w:rsidRPr="00A811EA">
        <w:rPr>
          <w:rFonts w:cs="Arial"/>
          <w:rtl/>
        </w:rPr>
        <w:t>דלא ירתי לשאר הכתובה</w:t>
      </w:r>
      <w:r>
        <w:rPr>
          <w:rFonts w:cs="Arial" w:hint="cs"/>
          <w:rtl/>
        </w:rPr>
        <w:t>, רש"י.</w:t>
      </w:r>
    </w:p>
  </w:footnote>
  <w:footnote w:id="2719">
    <w:p w14:paraId="37742358" w14:textId="77777777" w:rsidR="00DF1FC7" w:rsidRDefault="00DF1FC7" w:rsidP="002E5BAD">
      <w:pPr>
        <w:pStyle w:val="a5"/>
        <w:rPr>
          <w:rtl/>
        </w:rPr>
      </w:pPr>
      <w:r>
        <w:rPr>
          <w:rStyle w:val="a7"/>
        </w:rPr>
        <w:footnoteRef/>
      </w:r>
      <w:r>
        <w:rPr>
          <w:rtl/>
        </w:rPr>
        <w:t xml:space="preserve"> </w:t>
      </w:r>
      <w:r w:rsidRPr="00A811EA">
        <w:rPr>
          <w:rFonts w:cs="Arial"/>
          <w:rtl/>
        </w:rPr>
        <w:t>לבתו אחרי שזה מקפיד על שלו מלהוריש לבני בתי אף אני אמשוך ידי מלהרבות לו נדוניא</w:t>
      </w:r>
      <w:r>
        <w:rPr>
          <w:rFonts w:hint="cs"/>
          <w:rtl/>
        </w:rPr>
        <w:t>, רש"י.</w:t>
      </w:r>
    </w:p>
  </w:footnote>
  <w:footnote w:id="2720">
    <w:p w14:paraId="7D7CC706" w14:textId="77777777" w:rsidR="00DF1FC7" w:rsidRDefault="00DF1FC7" w:rsidP="002E5BAD">
      <w:pPr>
        <w:pStyle w:val="a5"/>
      </w:pPr>
      <w:r>
        <w:rPr>
          <w:rStyle w:val="a7"/>
        </w:rPr>
        <w:footnoteRef/>
      </w:r>
      <w:r>
        <w:rPr>
          <w:rtl/>
        </w:rPr>
        <w:t xml:space="preserve"> </w:t>
      </w:r>
      <w:r w:rsidRPr="002F672F">
        <w:rPr>
          <w:rFonts w:cs="Arial"/>
          <w:rtl/>
        </w:rPr>
        <w:t>כיון דטעמא משום שיקפוץ אב לתת נדוניא לבתו היא היכא דכתב אב נדוניא לבתו נכתוב בעל תנאי כתובת בנין דכרין והיכא דלא כתב אב נדוניא לבתו לא נכתוב בעל תנאי כתובת בנין דכרין</w:t>
      </w:r>
      <w:r>
        <w:rPr>
          <w:rFonts w:cs="Arial" w:hint="cs"/>
          <w:rtl/>
        </w:rPr>
        <w:t>, רש"י.</w:t>
      </w:r>
    </w:p>
  </w:footnote>
  <w:footnote w:id="2721">
    <w:p w14:paraId="36EC2C23" w14:textId="77777777" w:rsidR="00DF1FC7" w:rsidRDefault="00DF1FC7" w:rsidP="002E5BAD">
      <w:pPr>
        <w:pStyle w:val="a5"/>
      </w:pPr>
      <w:r>
        <w:rPr>
          <w:rStyle w:val="a7"/>
        </w:rPr>
        <w:footnoteRef/>
      </w:r>
      <w:r>
        <w:rPr>
          <w:rtl/>
        </w:rPr>
        <w:t xml:space="preserve"> </w:t>
      </w:r>
      <w:r w:rsidRPr="002F672F">
        <w:rPr>
          <w:rFonts w:cs="Arial"/>
          <w:rtl/>
        </w:rPr>
        <w:t>לא חלקו בין כתובה לכתובה אחרי שרוב כתובות יש בהן נדוניא לא חלקו</w:t>
      </w:r>
      <w:r>
        <w:rPr>
          <w:rFonts w:cs="Arial" w:hint="cs"/>
          <w:rtl/>
        </w:rPr>
        <w:t>, רש"י.</w:t>
      </w:r>
    </w:p>
  </w:footnote>
  <w:footnote w:id="2722">
    <w:p w14:paraId="1D661767" w14:textId="77777777" w:rsidR="00DF1FC7" w:rsidRDefault="00DF1FC7" w:rsidP="002E5BAD">
      <w:pPr>
        <w:pStyle w:val="a5"/>
        <w:rPr>
          <w:rtl/>
        </w:rPr>
      </w:pPr>
      <w:r>
        <w:rPr>
          <w:rStyle w:val="a7"/>
        </w:rPr>
        <w:footnoteRef/>
      </w:r>
      <w:r>
        <w:rPr>
          <w:rtl/>
        </w:rPr>
        <w:t xml:space="preserve"> </w:t>
      </w:r>
      <w:r w:rsidRPr="00C26260">
        <w:rPr>
          <w:rFonts w:cs="Arial"/>
          <w:rtl/>
        </w:rPr>
        <w:t>יש לו בת מן אשה אחת ובנים מן האחרת</w:t>
      </w:r>
      <w:r>
        <w:rPr>
          <w:rFonts w:cs="Arial" w:hint="cs"/>
          <w:rtl/>
        </w:rPr>
        <w:t>,</w:t>
      </w:r>
      <w:r w:rsidRPr="00C26260">
        <w:rPr>
          <w:rFonts w:cs="Arial"/>
          <w:rtl/>
        </w:rPr>
        <w:t xml:space="preserve"> תטול בת היחידה כתובת אמה לירש נדוניא שנתן אבי אמה</w:t>
      </w:r>
      <w:r>
        <w:rPr>
          <w:rFonts w:cs="Arial" w:hint="cs"/>
          <w:rtl/>
        </w:rPr>
        <w:t>.</w:t>
      </w:r>
      <w:r w:rsidRPr="00C26260">
        <w:rPr>
          <w:rFonts w:cs="Arial"/>
          <w:rtl/>
        </w:rPr>
        <w:t xml:space="preserve"> מאי שנא דתקון בנין דכרין</w:t>
      </w:r>
      <w:r>
        <w:rPr>
          <w:rFonts w:hint="cs"/>
          <w:rtl/>
        </w:rPr>
        <w:t>, רש"י.</w:t>
      </w:r>
    </w:p>
  </w:footnote>
  <w:footnote w:id="2723">
    <w:p w14:paraId="709C9857" w14:textId="77777777" w:rsidR="00DF1FC7" w:rsidRDefault="00DF1FC7" w:rsidP="002E5BAD">
      <w:pPr>
        <w:pStyle w:val="a5"/>
      </w:pPr>
      <w:r>
        <w:rPr>
          <w:rStyle w:val="a7"/>
        </w:rPr>
        <w:footnoteRef/>
      </w:r>
      <w:r>
        <w:rPr>
          <w:rtl/>
        </w:rPr>
        <w:t xml:space="preserve"> </w:t>
      </w:r>
      <w:r w:rsidRPr="00702323">
        <w:rPr>
          <w:rFonts w:cs="Arial"/>
          <w:rtl/>
        </w:rPr>
        <w:t>דירתון תנן ואין בת יורשת בין הבנים</w:t>
      </w:r>
      <w:r>
        <w:rPr>
          <w:rFonts w:cs="Arial" w:hint="cs"/>
          <w:rtl/>
        </w:rPr>
        <w:t>, רש"י.</w:t>
      </w:r>
    </w:p>
  </w:footnote>
  <w:footnote w:id="2724">
    <w:p w14:paraId="428D3E36" w14:textId="77777777" w:rsidR="00DF1FC7" w:rsidRDefault="00DF1FC7" w:rsidP="002E5BAD">
      <w:pPr>
        <w:pStyle w:val="a5"/>
      </w:pPr>
      <w:r>
        <w:rPr>
          <w:rStyle w:val="a7"/>
        </w:rPr>
        <w:footnoteRef/>
      </w:r>
      <w:r>
        <w:rPr>
          <w:rtl/>
        </w:rPr>
        <w:t xml:space="preserve"> </w:t>
      </w:r>
      <w:r w:rsidRPr="00702323">
        <w:rPr>
          <w:rFonts w:cs="Arial"/>
          <w:rtl/>
        </w:rPr>
        <w:t>יש לו בת מן אשה אחת ובנות מן האחרת תטול בת היחידה כתובת אמה לירש נדוניית אבי אמה דהא א</w:t>
      </w:r>
      <w:r>
        <w:rPr>
          <w:rFonts w:cs="Arial" w:hint="cs"/>
          <w:rtl/>
        </w:rPr>
        <w:t xml:space="preserve">י </w:t>
      </w:r>
      <w:r w:rsidRPr="00702323">
        <w:rPr>
          <w:rFonts w:cs="Arial"/>
          <w:rtl/>
        </w:rPr>
        <w:t>נ</w:t>
      </w:r>
      <w:r>
        <w:rPr>
          <w:rFonts w:cs="Arial" w:hint="cs"/>
          <w:rtl/>
        </w:rPr>
        <w:t>מי</w:t>
      </w:r>
      <w:r w:rsidRPr="00702323">
        <w:rPr>
          <w:rFonts w:cs="Arial"/>
          <w:rtl/>
        </w:rPr>
        <w:t xml:space="preserve"> שויוה כנחלה יש משפט נחלה לבת בין הבנות</w:t>
      </w:r>
      <w:r>
        <w:rPr>
          <w:rFonts w:cs="Arial" w:hint="cs"/>
          <w:rtl/>
        </w:rPr>
        <w:t>, רש"י.</w:t>
      </w:r>
    </w:p>
  </w:footnote>
  <w:footnote w:id="2725">
    <w:p w14:paraId="3F987A27" w14:textId="77777777" w:rsidR="00DF1FC7" w:rsidRDefault="00DF1FC7" w:rsidP="002E5BAD">
      <w:pPr>
        <w:pStyle w:val="a5"/>
        <w:rPr>
          <w:rtl/>
        </w:rPr>
      </w:pPr>
      <w:r>
        <w:rPr>
          <w:rStyle w:val="a7"/>
        </w:rPr>
        <w:footnoteRef/>
      </w:r>
      <w:r>
        <w:rPr>
          <w:rtl/>
        </w:rPr>
        <w:t xml:space="preserve"> </w:t>
      </w:r>
      <w:r w:rsidRPr="00702323">
        <w:rPr>
          <w:rFonts w:cs="Arial"/>
          <w:rtl/>
        </w:rPr>
        <w:t>במשפט כתובת בנין דכרין דבת בין הבנים לא תשקול ובת בין הבנות תשקול</w:t>
      </w:r>
      <w:r>
        <w:rPr>
          <w:rFonts w:hint="cs"/>
          <w:rtl/>
        </w:rPr>
        <w:t>, רש"י.</w:t>
      </w:r>
    </w:p>
  </w:footnote>
  <w:footnote w:id="2726">
    <w:p w14:paraId="57931085" w14:textId="77777777" w:rsidR="00DF1FC7" w:rsidRDefault="00DF1FC7" w:rsidP="002E5BAD">
      <w:pPr>
        <w:pStyle w:val="a5"/>
        <w:rPr>
          <w:rtl/>
        </w:rPr>
      </w:pPr>
      <w:r>
        <w:rPr>
          <w:rStyle w:val="a7"/>
        </w:rPr>
        <w:footnoteRef/>
      </w:r>
      <w:r>
        <w:rPr>
          <w:rtl/>
        </w:rPr>
        <w:t xml:space="preserve"> </w:t>
      </w:r>
      <w:r w:rsidRPr="00702323">
        <w:rPr>
          <w:rFonts w:cs="Arial"/>
          <w:rtl/>
        </w:rPr>
        <w:t>כיון דטעמא משום נדוניית אבי האם הוא אלמה אמרינן לעיל (נ:) כשם שאין הבנים יורשין אלא מקרקע ואוקימנא בכתובת בנין דכרין</w:t>
      </w:r>
      <w:r>
        <w:rPr>
          <w:rFonts w:hint="cs"/>
          <w:rtl/>
        </w:rPr>
        <w:t>, רש"י.</w:t>
      </w:r>
    </w:p>
  </w:footnote>
  <w:footnote w:id="2727">
    <w:p w14:paraId="3FED9CCD" w14:textId="77777777" w:rsidR="00DF1FC7" w:rsidRDefault="00DF1FC7" w:rsidP="002E5BAD">
      <w:pPr>
        <w:pStyle w:val="a5"/>
      </w:pPr>
      <w:r>
        <w:rPr>
          <w:rStyle w:val="a7"/>
        </w:rPr>
        <w:footnoteRef/>
      </w:r>
      <w:r>
        <w:rPr>
          <w:rtl/>
        </w:rPr>
        <w:t xml:space="preserve"> </w:t>
      </w:r>
      <w:r w:rsidRPr="00702323">
        <w:rPr>
          <w:rFonts w:cs="Arial"/>
          <w:rtl/>
        </w:rPr>
        <w:t>ומטלטלי דיתמי לא משתעבדי לשטרא</w:t>
      </w:r>
      <w:r>
        <w:rPr>
          <w:rFonts w:cs="Arial" w:hint="cs"/>
          <w:rtl/>
        </w:rPr>
        <w:t>, רש"י.</w:t>
      </w:r>
    </w:p>
  </w:footnote>
  <w:footnote w:id="2728">
    <w:p w14:paraId="19A54030" w14:textId="77777777" w:rsidR="00DF1FC7" w:rsidRDefault="00DF1FC7" w:rsidP="002E5BAD">
      <w:pPr>
        <w:pStyle w:val="a5"/>
        <w:rPr>
          <w:rtl/>
        </w:rPr>
      </w:pPr>
      <w:r>
        <w:rPr>
          <w:rStyle w:val="a7"/>
        </w:rPr>
        <w:footnoteRef/>
      </w:r>
      <w:r>
        <w:rPr>
          <w:rtl/>
        </w:rPr>
        <w:t xml:space="preserve"> </w:t>
      </w:r>
      <w:r w:rsidRPr="00702323">
        <w:rPr>
          <w:rFonts w:cs="Arial"/>
          <w:rtl/>
        </w:rPr>
        <w:t>אי ככתובה שויוה ולקמן פליגי בה בריש פרק אף על פי</w:t>
      </w:r>
      <w:r>
        <w:rPr>
          <w:rFonts w:hint="cs"/>
          <w:rtl/>
        </w:rPr>
        <w:t>, רש"י.</w:t>
      </w:r>
    </w:p>
  </w:footnote>
  <w:footnote w:id="2729">
    <w:p w14:paraId="739C3180" w14:textId="77777777" w:rsidR="00DF1FC7" w:rsidRDefault="00DF1FC7" w:rsidP="002E5BAD">
      <w:pPr>
        <w:pStyle w:val="a5"/>
      </w:pPr>
      <w:r>
        <w:rPr>
          <w:rStyle w:val="a7"/>
        </w:rPr>
        <w:footnoteRef/>
      </w:r>
      <w:r>
        <w:rPr>
          <w:rtl/>
        </w:rPr>
        <w:t xml:space="preserve"> </w:t>
      </w:r>
      <w:r w:rsidRPr="00702323">
        <w:rPr>
          <w:rFonts w:cs="Arial"/>
          <w:rtl/>
        </w:rPr>
        <w:t>ואין ירושה במשועבדין</w:t>
      </w:r>
      <w:r>
        <w:rPr>
          <w:rFonts w:cs="Arial" w:hint="cs"/>
          <w:rtl/>
        </w:rPr>
        <w:t>, רש"י.</w:t>
      </w:r>
    </w:p>
  </w:footnote>
  <w:footnote w:id="2730">
    <w:p w14:paraId="4A23E0F4" w14:textId="77777777" w:rsidR="00DF1FC7" w:rsidRDefault="00DF1FC7" w:rsidP="002E5BAD">
      <w:pPr>
        <w:pStyle w:val="a5"/>
        <w:rPr>
          <w:rtl/>
        </w:rPr>
      </w:pPr>
      <w:r>
        <w:rPr>
          <w:rStyle w:val="a7"/>
        </w:rPr>
        <w:footnoteRef/>
      </w:r>
      <w:r>
        <w:rPr>
          <w:rtl/>
        </w:rPr>
        <w:t xml:space="preserve"> </w:t>
      </w:r>
      <w:r w:rsidRPr="00702323">
        <w:rPr>
          <w:rFonts w:cs="Arial"/>
          <w:rtl/>
        </w:rPr>
        <w:t>יתר על שתי הכתובות יטלו כתובת אמם כדין כתובת בנין דכרין</w:t>
      </w:r>
      <w:r>
        <w:rPr>
          <w:rFonts w:cs="Arial" w:hint="cs"/>
          <w:rtl/>
        </w:rPr>
        <w:t>,</w:t>
      </w:r>
      <w:r w:rsidRPr="00702323">
        <w:rPr>
          <w:rFonts w:cs="Arial"/>
          <w:rtl/>
        </w:rPr>
        <w:t xml:space="preserve"> אלמה תנן בפרק מי שהיה נשוי (צא</w:t>
      </w:r>
      <w:r>
        <w:rPr>
          <w:rFonts w:cs="Arial" w:hint="cs"/>
          <w:rtl/>
        </w:rPr>
        <w:t>.</w:t>
      </w:r>
      <w:r w:rsidRPr="00702323">
        <w:rPr>
          <w:rFonts w:cs="Arial"/>
          <w:rtl/>
        </w:rPr>
        <w:t>) אין שם אלא שתי כתובות חולקין בשוה</w:t>
      </w:r>
      <w:r>
        <w:rPr>
          <w:rFonts w:hint="cs"/>
          <w:rtl/>
        </w:rPr>
        <w:t>, רש"י.</w:t>
      </w:r>
    </w:p>
  </w:footnote>
  <w:footnote w:id="2731">
    <w:p w14:paraId="5D79C861" w14:textId="77777777" w:rsidR="00DF1FC7" w:rsidRDefault="00DF1FC7" w:rsidP="002E5BAD">
      <w:pPr>
        <w:pStyle w:val="a5"/>
        <w:rPr>
          <w:rtl/>
        </w:rPr>
      </w:pPr>
      <w:r>
        <w:rPr>
          <w:rStyle w:val="a7"/>
        </w:rPr>
        <w:footnoteRef/>
      </w:r>
      <w:r>
        <w:rPr>
          <w:rtl/>
        </w:rPr>
        <w:t xml:space="preserve"> </w:t>
      </w:r>
      <w:r w:rsidRPr="00702323">
        <w:rPr>
          <w:rFonts w:cs="Arial"/>
          <w:rtl/>
        </w:rPr>
        <w:t>משום נחלה דרבנן</w:t>
      </w:r>
      <w:r>
        <w:rPr>
          <w:rFonts w:hint="cs"/>
          <w:rtl/>
        </w:rPr>
        <w:t>, רש"י.</w:t>
      </w:r>
    </w:p>
  </w:footnote>
  <w:footnote w:id="2732">
    <w:p w14:paraId="240925FB" w14:textId="77777777" w:rsidR="00DF1FC7" w:rsidRDefault="00DF1FC7" w:rsidP="002E5BAD">
      <w:pPr>
        <w:pStyle w:val="a5"/>
      </w:pPr>
      <w:r>
        <w:rPr>
          <w:rStyle w:val="a7"/>
        </w:rPr>
        <w:footnoteRef/>
      </w:r>
      <w:r>
        <w:rPr>
          <w:rtl/>
        </w:rPr>
        <w:t xml:space="preserve"> </w:t>
      </w:r>
      <w:r w:rsidRPr="00702323">
        <w:rPr>
          <w:rFonts w:cs="Arial"/>
          <w:rtl/>
        </w:rPr>
        <w:t>נחלה דידהו לעקור נחלת חלוקה שוה לגמרי שהיא מן התורה הלכך כי איכא מותר דינר שיחלקוהו בשוה בנחלה דאורייתא יטלו אלו כתובת אמן ואלו כתובת אמן משום נחלה דרבנן ואי לא לא</w:t>
      </w:r>
      <w:r>
        <w:rPr>
          <w:rFonts w:cs="Arial" w:hint="cs"/>
          <w:rtl/>
        </w:rPr>
        <w:t>, רש"י.</w:t>
      </w:r>
    </w:p>
  </w:footnote>
  <w:footnote w:id="2733">
    <w:p w14:paraId="0E02C183" w14:textId="77777777" w:rsidR="00DF1FC7" w:rsidRDefault="00DF1FC7" w:rsidP="002E5BAD">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2734">
    <w:p w14:paraId="1AC68254" w14:textId="77777777" w:rsidR="00DF1FC7" w:rsidRDefault="00DF1FC7" w:rsidP="002E5BAD">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735">
    <w:p w14:paraId="4C828BC9" w14:textId="77777777" w:rsidR="00DF1FC7" w:rsidRDefault="00DF1FC7" w:rsidP="002E5BAD">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736">
    <w:p w14:paraId="47396B7F" w14:textId="77777777" w:rsidR="00DF1FC7" w:rsidRDefault="00DF1FC7" w:rsidP="002E5BAD">
      <w:pPr>
        <w:pStyle w:val="a5"/>
      </w:pPr>
      <w:r>
        <w:rPr>
          <w:rStyle w:val="a7"/>
        </w:rPr>
        <w:footnoteRef/>
      </w:r>
      <w:r>
        <w:rPr>
          <w:rtl/>
        </w:rPr>
        <w:t xml:space="preserve"> </w:t>
      </w:r>
      <w:r w:rsidRPr="009876A0">
        <w:rPr>
          <w:rFonts w:cs="Arial"/>
          <w:rtl/>
        </w:rPr>
        <w:t>לא ידעתי למה כת' זה בשם י"א הא גמרא ערוכה היא ר"פ אף על פי חשיב כמה דברים שתו</w:t>
      </w:r>
      <w:r>
        <w:rPr>
          <w:rFonts w:cs="Arial" w:hint="cs"/>
          <w:rtl/>
        </w:rPr>
        <w:t>ספת</w:t>
      </w:r>
      <w:r w:rsidRPr="009876A0">
        <w:rPr>
          <w:rFonts w:cs="Arial"/>
          <w:rtl/>
        </w:rPr>
        <w:t xml:space="preserve"> כתובה ככתובה וחד מינייהו כתובו</w:t>
      </w:r>
      <w:r>
        <w:rPr>
          <w:rFonts w:cs="Arial" w:hint="cs"/>
          <w:rtl/>
        </w:rPr>
        <w:t>ת</w:t>
      </w:r>
      <w:r w:rsidRPr="009876A0">
        <w:rPr>
          <w:rFonts w:cs="Arial"/>
          <w:rtl/>
        </w:rPr>
        <w:t xml:space="preserve"> בנין דכרין</w:t>
      </w:r>
      <w:r>
        <w:rPr>
          <w:rFonts w:cs="Arial" w:hint="cs"/>
          <w:rtl/>
        </w:rPr>
        <w:t>, ח"מ (סק"א). וכן תמהו הב"ש (סק"א) והגר"א (סק"ג) על דברי השו"ע.</w:t>
      </w:r>
    </w:p>
  </w:footnote>
  <w:footnote w:id="2737">
    <w:p w14:paraId="00DDB9F0" w14:textId="77777777" w:rsidR="00DF1FC7" w:rsidRDefault="00DF1FC7" w:rsidP="002E5BAD">
      <w:pPr>
        <w:pStyle w:val="a5"/>
      </w:pPr>
      <w:r>
        <w:rPr>
          <w:rStyle w:val="a7"/>
        </w:rPr>
        <w:footnoteRef/>
      </w:r>
      <w:r>
        <w:rPr>
          <w:rtl/>
        </w:rPr>
        <w:t xml:space="preserve"> </w:t>
      </w:r>
      <w:r w:rsidRPr="002F3B36">
        <w:rPr>
          <w:rFonts w:cs="Arial"/>
          <w:rtl/>
        </w:rPr>
        <w:t>לאו דוקא שנשא האשה האחרת אחר מיתה הראשונ' ה"ה נשא אותה בחיי הראשונ' או נשא אותה בבת אחת וכמ"ש בסמוך סעיף ד'</w:t>
      </w:r>
      <w:r>
        <w:rPr>
          <w:rFonts w:cs="Arial" w:hint="cs"/>
          <w:rtl/>
        </w:rPr>
        <w:t>, ח"מ (סק"ג).</w:t>
      </w:r>
    </w:p>
  </w:footnote>
  <w:footnote w:id="2738">
    <w:p w14:paraId="5532D4A6" w14:textId="77777777" w:rsidR="00DF1FC7" w:rsidRDefault="00DF1FC7" w:rsidP="002E5BAD">
      <w:pPr>
        <w:pStyle w:val="a5"/>
        <w:rPr>
          <w:rtl/>
        </w:rPr>
      </w:pPr>
      <w:r>
        <w:rPr>
          <w:rStyle w:val="a7"/>
        </w:rPr>
        <w:footnoteRef/>
      </w:r>
      <w:r>
        <w:rPr>
          <w:rtl/>
        </w:rPr>
        <w:t xml:space="preserve"> </w:t>
      </w:r>
      <w:r w:rsidRPr="009876A0">
        <w:rPr>
          <w:rFonts w:cs="Arial"/>
          <w:rtl/>
        </w:rPr>
        <w:t>לאו דוקא ה"ה אם סך הכתוב</w:t>
      </w:r>
      <w:r>
        <w:rPr>
          <w:rFonts w:cs="Arial" w:hint="cs"/>
          <w:rtl/>
        </w:rPr>
        <w:t>ה</w:t>
      </w:r>
      <w:r w:rsidRPr="009876A0">
        <w:rPr>
          <w:rFonts w:cs="Arial"/>
          <w:rtl/>
        </w:rPr>
        <w:t xml:space="preserve"> שוה יש תועלת בכתוב</w:t>
      </w:r>
      <w:r>
        <w:rPr>
          <w:rFonts w:cs="Arial" w:hint="cs"/>
          <w:rtl/>
        </w:rPr>
        <w:t>ת</w:t>
      </w:r>
      <w:r w:rsidRPr="009876A0">
        <w:rPr>
          <w:rFonts w:cs="Arial"/>
          <w:rtl/>
        </w:rPr>
        <w:t xml:space="preserve"> בנין דכרין אם יש לאחת יותר בנים מלחברתה</w:t>
      </w:r>
      <w:r>
        <w:rPr>
          <w:rFonts w:hint="cs"/>
          <w:rtl/>
        </w:rPr>
        <w:t>, ח"מ (סק"ב).</w:t>
      </w:r>
    </w:p>
  </w:footnote>
  <w:footnote w:id="2739">
    <w:p w14:paraId="1A14C172" w14:textId="77777777" w:rsidR="00DF1FC7" w:rsidRDefault="00DF1FC7" w:rsidP="002E5BAD">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2740">
    <w:p w14:paraId="294DE8E3" w14:textId="77777777" w:rsidR="00DF1FC7" w:rsidRDefault="00DF1FC7" w:rsidP="002E5BAD">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741">
    <w:p w14:paraId="2CEC2854" w14:textId="77777777" w:rsidR="00DF1FC7" w:rsidRDefault="00DF1FC7" w:rsidP="002E5BAD">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742">
    <w:p w14:paraId="7AD3EC83" w14:textId="77777777" w:rsidR="00DF1FC7" w:rsidRDefault="00DF1FC7" w:rsidP="002E5BAD">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2743">
    <w:p w14:paraId="2F25612A" w14:textId="77777777" w:rsidR="00DF1FC7" w:rsidRDefault="00DF1FC7" w:rsidP="002E5BAD">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2744">
    <w:p w14:paraId="480D6099" w14:textId="77777777" w:rsidR="00DF1FC7" w:rsidRDefault="00DF1FC7" w:rsidP="002E5BAD">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745">
    <w:p w14:paraId="443FAD57" w14:textId="77777777" w:rsidR="00DF1FC7" w:rsidRDefault="00DF1FC7" w:rsidP="002E5BAD">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746">
    <w:p w14:paraId="59E9C1B0" w14:textId="77777777" w:rsidR="00DF1FC7" w:rsidRDefault="00DF1FC7" w:rsidP="002E5BAD">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2747">
    <w:p w14:paraId="77B86A08" w14:textId="77777777" w:rsidR="00DF1FC7" w:rsidRDefault="00DF1FC7" w:rsidP="002E5BAD">
      <w:pPr>
        <w:pStyle w:val="a5"/>
      </w:pPr>
      <w:r>
        <w:rPr>
          <w:rStyle w:val="a7"/>
        </w:rPr>
        <w:footnoteRef/>
      </w:r>
      <w:r>
        <w:rPr>
          <w:rtl/>
        </w:rPr>
        <w:t xml:space="preserve"> </w:t>
      </w:r>
      <w:r w:rsidRPr="00D878AF">
        <w:rPr>
          <w:rFonts w:cs="Arial"/>
          <w:rtl/>
        </w:rPr>
        <w:t>שראויה ליפול להם ירושה מאבי אביהם אחר מות אביהם ולכשתפול יהיה שם מותר דינר בשתי הירושות</w:t>
      </w:r>
      <w:r>
        <w:rPr>
          <w:rFonts w:cs="Arial" w:hint="cs"/>
          <w:rtl/>
        </w:rPr>
        <w:t>, רש"י.</w:t>
      </w:r>
    </w:p>
  </w:footnote>
  <w:footnote w:id="2748">
    <w:p w14:paraId="78C8A0BA" w14:textId="77777777" w:rsidR="00DF1FC7" w:rsidRDefault="00DF1FC7" w:rsidP="002E5BAD">
      <w:pPr>
        <w:pStyle w:val="a5"/>
      </w:pPr>
      <w:r>
        <w:rPr>
          <w:rStyle w:val="a7"/>
        </w:rPr>
        <w:footnoteRef/>
      </w:r>
      <w:r>
        <w:rPr>
          <w:rtl/>
        </w:rPr>
        <w:t xml:space="preserve"> </w:t>
      </w:r>
      <w:r w:rsidRPr="00D878AF">
        <w:rPr>
          <w:rFonts w:cs="Arial"/>
          <w:rtl/>
        </w:rPr>
        <w:t>אינן נחשבין עכשיו להיות כאילו הן מוחזקין בהן כבר ויש כאן מותר דינר</w:t>
      </w:r>
      <w:r>
        <w:rPr>
          <w:rFonts w:cs="Arial" w:hint="cs"/>
          <w:rtl/>
        </w:rPr>
        <w:t>, רש"י.</w:t>
      </w:r>
    </w:p>
  </w:footnote>
  <w:footnote w:id="2749">
    <w:p w14:paraId="43CAE818" w14:textId="77777777" w:rsidR="00DF1FC7" w:rsidRDefault="00DF1FC7" w:rsidP="002E5BAD">
      <w:pPr>
        <w:pStyle w:val="a5"/>
      </w:pPr>
      <w:r>
        <w:rPr>
          <w:rStyle w:val="a7"/>
        </w:rPr>
        <w:footnoteRef/>
      </w:r>
      <w:r>
        <w:rPr>
          <w:rtl/>
        </w:rPr>
        <w:t xml:space="preserve"> </w:t>
      </w:r>
      <w:r>
        <w:rPr>
          <w:rFonts w:cs="Arial"/>
          <w:rtl/>
        </w:rPr>
        <w:t>זה על עיקר הדין דכתובת בנין דכרין ליתא אלא במקרקעי</w:t>
      </w:r>
      <w:r>
        <w:rPr>
          <w:rFonts w:cs="Arial" w:hint="cs"/>
          <w:rtl/>
        </w:rPr>
        <w:t>,</w:t>
      </w:r>
      <w:r>
        <w:rPr>
          <w:rFonts w:cs="Arial"/>
          <w:rtl/>
        </w:rPr>
        <w:t xml:space="preserve"> כמו שנתבאר</w:t>
      </w:r>
      <w:r>
        <w:rPr>
          <w:rFonts w:cs="Arial" w:hint="cs"/>
          <w:rtl/>
        </w:rPr>
        <w:t xml:space="preserve"> (בסע' יד), ב"י.</w:t>
      </w:r>
    </w:p>
  </w:footnote>
  <w:footnote w:id="2750">
    <w:p w14:paraId="5A36C98B" w14:textId="77777777" w:rsidR="00DF1FC7" w:rsidRPr="00A16126" w:rsidRDefault="00DF1FC7" w:rsidP="002E5BAD">
      <w:pPr>
        <w:pStyle w:val="a5"/>
      </w:pPr>
      <w:r w:rsidRPr="00A16126">
        <w:rPr>
          <w:rStyle w:val="a7"/>
        </w:rPr>
        <w:footnoteRef/>
      </w:r>
      <w:r w:rsidRPr="00A16126">
        <w:rPr>
          <w:rtl/>
        </w:rPr>
        <w:t xml:space="preserve"> </w:t>
      </w:r>
      <w:r w:rsidRPr="00A16126">
        <w:rPr>
          <w:rFonts w:cs="Arial" w:hint="cs"/>
          <w:rtl/>
        </w:rPr>
        <w:t>מבואר בסעיף ט.</w:t>
      </w:r>
    </w:p>
  </w:footnote>
  <w:footnote w:id="2751">
    <w:p w14:paraId="02DEB7C3" w14:textId="77777777" w:rsidR="00DF1FC7" w:rsidRDefault="00DF1FC7" w:rsidP="002E5BAD">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2752">
    <w:p w14:paraId="353C5449" w14:textId="77777777" w:rsidR="00DF1FC7" w:rsidRDefault="00DF1FC7" w:rsidP="002E5BAD">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w:t>
      </w:r>
      <w:r>
        <w:rPr>
          <w:rFonts w:cs="Arial" w:hint="cs"/>
          <w:rtl/>
        </w:rPr>
        <w:t>,</w:t>
      </w:r>
      <w:r w:rsidRPr="00D878AF">
        <w:rPr>
          <w:rFonts w:cs="Arial"/>
          <w:rtl/>
        </w:rPr>
        <w:t xml:space="preserve"> וכן אתם</w:t>
      </w:r>
      <w:r>
        <w:rPr>
          <w:rFonts w:cs="Arial" w:hint="cs"/>
          <w:rtl/>
        </w:rPr>
        <w:t>,</w:t>
      </w:r>
      <w:r w:rsidRPr="00D878AF">
        <w:rPr>
          <w:rFonts w:cs="Arial"/>
          <w:rtl/>
        </w:rPr>
        <w:t xml:space="preserve"> והשאר נחלוק</w:t>
      </w:r>
      <w:r>
        <w:rPr>
          <w:rFonts w:cs="Arial" w:hint="cs"/>
          <w:rtl/>
        </w:rPr>
        <w:t>, רש"י.</w:t>
      </w:r>
    </w:p>
  </w:footnote>
  <w:footnote w:id="2753">
    <w:p w14:paraId="667A40F2" w14:textId="77777777" w:rsidR="00DF1FC7" w:rsidRDefault="00DF1FC7" w:rsidP="002E5BAD">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754">
    <w:p w14:paraId="7B1A7F3E" w14:textId="77777777" w:rsidR="00DF1FC7" w:rsidRDefault="00DF1FC7" w:rsidP="002E5BAD">
      <w:pPr>
        <w:pStyle w:val="a5"/>
      </w:pPr>
      <w:r>
        <w:rPr>
          <w:rStyle w:val="a7"/>
        </w:rPr>
        <w:footnoteRef/>
      </w:r>
      <w:r>
        <w:rPr>
          <w:rtl/>
        </w:rPr>
        <w:t xml:space="preserve"> </w:t>
      </w:r>
      <w:r>
        <w:rPr>
          <w:rFonts w:cs="Arial"/>
          <w:rtl/>
        </w:rPr>
        <w:t>ומשמע בגמרא דמותר דינר דוקא בעינן</w:t>
      </w:r>
      <w:r>
        <w:rPr>
          <w:rFonts w:cs="Arial" w:hint="cs"/>
          <w:rtl/>
        </w:rPr>
        <w:t>,</w:t>
      </w:r>
      <w:r>
        <w:rPr>
          <w:rFonts w:cs="Arial"/>
          <w:rtl/>
        </w:rPr>
        <w:t xml:space="preserve"> אבל פחות מדינר לא הוי מותר</w:t>
      </w:r>
      <w:r>
        <w:rPr>
          <w:rFonts w:cs="Arial" w:hint="cs"/>
          <w:rtl/>
        </w:rPr>
        <w:t>, ב"י.</w:t>
      </w:r>
    </w:p>
  </w:footnote>
  <w:footnote w:id="2755">
    <w:p w14:paraId="42906CFA" w14:textId="77777777" w:rsidR="00DF1FC7" w:rsidRDefault="00DF1FC7" w:rsidP="002E5BAD">
      <w:pPr>
        <w:pStyle w:val="a5"/>
      </w:pPr>
      <w:r>
        <w:rPr>
          <w:rStyle w:val="a7"/>
        </w:rPr>
        <w:footnoteRef/>
      </w:r>
      <w:r>
        <w:rPr>
          <w:rtl/>
        </w:rPr>
        <w:t xml:space="preserve"> </w:t>
      </w:r>
      <w:r w:rsidRPr="00D878AF">
        <w:rPr>
          <w:rFonts w:cs="Arial"/>
          <w:rtl/>
        </w:rPr>
        <w:t>בני הכתובה הגדולה</w:t>
      </w:r>
      <w:r>
        <w:rPr>
          <w:rFonts w:cs="Arial" w:hint="cs"/>
          <w:rtl/>
        </w:rPr>
        <w:t>, רש"י.</w:t>
      </w:r>
    </w:p>
  </w:footnote>
  <w:footnote w:id="2756">
    <w:p w14:paraId="39B18B9C" w14:textId="77777777" w:rsidR="00DF1FC7" w:rsidRDefault="00DF1FC7" w:rsidP="002E5BAD">
      <w:pPr>
        <w:pStyle w:val="a5"/>
      </w:pPr>
      <w:r>
        <w:rPr>
          <w:rStyle w:val="a7"/>
        </w:rPr>
        <w:footnoteRef/>
      </w:r>
      <w:r>
        <w:rPr>
          <w:rtl/>
        </w:rPr>
        <w:t xml:space="preserve"> </w:t>
      </w:r>
      <w:r w:rsidRPr="00D878AF">
        <w:rPr>
          <w:rFonts w:cs="Arial"/>
          <w:rtl/>
        </w:rPr>
        <w:t>מעלין דמיהן לקבלם עלינו ביוקר כדי דינר יתר על שוויין כדי שיהיה שם מותר דינר ויטלו כתובת אמם</w:t>
      </w:r>
      <w:r>
        <w:rPr>
          <w:rFonts w:cs="Arial" w:hint="cs"/>
          <w:rtl/>
        </w:rPr>
        <w:t>, רש"י.</w:t>
      </w:r>
    </w:p>
  </w:footnote>
  <w:footnote w:id="2757">
    <w:p w14:paraId="6B45C2E0" w14:textId="77777777" w:rsidR="00DF1FC7" w:rsidRDefault="00DF1FC7" w:rsidP="002E5BAD">
      <w:pPr>
        <w:pStyle w:val="a5"/>
      </w:pPr>
      <w:r>
        <w:rPr>
          <w:rStyle w:val="a7"/>
        </w:rPr>
        <w:footnoteRef/>
      </w:r>
      <w:r>
        <w:rPr>
          <w:rtl/>
        </w:rPr>
        <w:t xml:space="preserve"> </w:t>
      </w:r>
      <w:r>
        <w:rPr>
          <w:rFonts w:cs="Arial"/>
          <w:rtl/>
        </w:rPr>
        <w:t>וכתב הר"ן (שם) דהא דמרובין ונתמעטו כבר זכו בהם יורשים דוקא כגון דאתזול או אשתדוף נכסי אבל נמצאת שדה שאינה שלו לא דהא איגלאי מילתא למפרע דבשעת מיתה לא הוה בהו מותר דינר</w:t>
      </w:r>
      <w:r>
        <w:rPr>
          <w:rFonts w:cs="Arial" w:hint="cs"/>
          <w:rtl/>
        </w:rPr>
        <w:t>, ב"י.</w:t>
      </w:r>
      <w:r w:rsidRPr="008A1F1E">
        <w:rPr>
          <w:rFonts w:cs="Arial"/>
          <w:rtl/>
        </w:rPr>
        <w:t xml:space="preserve"> וכן כתב המ</w:t>
      </w:r>
      <w:r>
        <w:rPr>
          <w:rFonts w:cs="Arial" w:hint="cs"/>
          <w:rtl/>
        </w:rPr>
        <w:t>"</w:t>
      </w:r>
      <w:r w:rsidRPr="008A1F1E">
        <w:rPr>
          <w:rFonts w:cs="Arial"/>
          <w:rtl/>
        </w:rPr>
        <w:t>מ פי"ט דאישות (ה"ה)</w:t>
      </w:r>
      <w:r>
        <w:rPr>
          <w:rFonts w:cs="Arial" w:hint="cs"/>
          <w:rtl/>
        </w:rPr>
        <w:t>, דרכ"מ (אות ב).</w:t>
      </w:r>
      <w:r>
        <w:rPr>
          <w:rFonts w:hint="cs"/>
          <w:rtl/>
        </w:rPr>
        <w:t xml:space="preserve"> </w:t>
      </w:r>
      <w:r w:rsidRPr="003F358F">
        <w:rPr>
          <w:rFonts w:hint="cs"/>
          <w:color w:val="00B0F0"/>
          <w:rtl/>
        </w:rPr>
        <w:t>(וכ"פ בהג"ה)</w:t>
      </w:r>
    </w:p>
  </w:footnote>
  <w:footnote w:id="2758">
    <w:p w14:paraId="6E51F818" w14:textId="77777777" w:rsidR="00DF1FC7" w:rsidRDefault="00DF1FC7" w:rsidP="002E5BAD">
      <w:pPr>
        <w:pStyle w:val="a5"/>
        <w:rPr>
          <w:rtl/>
        </w:rPr>
      </w:pPr>
      <w:r>
        <w:rPr>
          <w:rStyle w:val="a7"/>
        </w:rPr>
        <w:footnoteRef/>
      </w:r>
      <w:r>
        <w:rPr>
          <w:rtl/>
        </w:rPr>
        <w:t xml:space="preserve"> </w:t>
      </w:r>
      <w:r>
        <w:rPr>
          <w:rFonts w:cs="Arial"/>
          <w:rtl/>
        </w:rPr>
        <w:t>פשוט הוא</w:t>
      </w:r>
      <w:r>
        <w:rPr>
          <w:rFonts w:hint="cs"/>
          <w:rtl/>
        </w:rPr>
        <w:t xml:space="preserve">, ב"י. והיינו </w:t>
      </w:r>
      <w:r w:rsidRPr="00FE297E">
        <w:rPr>
          <w:rFonts w:cs="Arial"/>
          <w:rtl/>
        </w:rPr>
        <w:t xml:space="preserve">לפי מה שנתבאר בסעי' א' </w:t>
      </w:r>
      <w:r>
        <w:rPr>
          <w:rFonts w:cs="Arial" w:hint="cs"/>
          <w:rtl/>
        </w:rPr>
        <w:t xml:space="preserve">כגון </w:t>
      </w:r>
      <w:r w:rsidRPr="00FE297E">
        <w:rPr>
          <w:rFonts w:cs="Arial"/>
          <w:rtl/>
        </w:rPr>
        <w:t>שלזה מגיע אלף ות' ולזה ת"ר</w:t>
      </w:r>
      <w:r>
        <w:rPr>
          <w:rFonts w:cs="Arial" w:hint="cs"/>
          <w:rtl/>
        </w:rPr>
        <w:t>,</w:t>
      </w:r>
      <w:r w:rsidRPr="00FE297E">
        <w:rPr>
          <w:rFonts w:cs="Arial"/>
          <w:rtl/>
        </w:rPr>
        <w:t xml:space="preserve"> נמצא אם רק עמדו הנכסים על אלף</w:t>
      </w:r>
      <w:r>
        <w:rPr>
          <w:rFonts w:cs="Arial" w:hint="cs"/>
          <w:rtl/>
        </w:rPr>
        <w:t>,</w:t>
      </w:r>
      <w:r w:rsidRPr="00FE297E">
        <w:rPr>
          <w:rFonts w:cs="Arial"/>
          <w:rtl/>
        </w:rPr>
        <w:t xml:space="preserve"> חולקין הנכסים על ך' חלקי</w:t>
      </w:r>
      <w:r>
        <w:rPr>
          <w:rFonts w:cs="Arial" w:hint="cs"/>
          <w:rtl/>
        </w:rPr>
        <w:t>ם,</w:t>
      </w:r>
      <w:r w:rsidRPr="00FE297E">
        <w:rPr>
          <w:rFonts w:cs="Arial"/>
          <w:rtl/>
        </w:rPr>
        <w:t xml:space="preserve"> ולוקח זה י"ד חלקים וזה ו' חלקים</w:t>
      </w:r>
      <w:r>
        <w:rPr>
          <w:rFonts w:cs="Arial" w:hint="cs"/>
          <w:rtl/>
        </w:rPr>
        <w:t>,</w:t>
      </w:r>
      <w:r w:rsidRPr="00FE297E">
        <w:rPr>
          <w:rFonts w:cs="Arial"/>
          <w:rtl/>
        </w:rPr>
        <w:t xml:space="preserve"> נמצא זה לוקח ת"ש</w:t>
      </w:r>
      <w:r>
        <w:rPr>
          <w:rFonts w:cs="Arial" w:hint="cs"/>
          <w:rtl/>
        </w:rPr>
        <w:t>,</w:t>
      </w:r>
      <w:r w:rsidRPr="00FE297E">
        <w:rPr>
          <w:rFonts w:cs="Arial"/>
          <w:rtl/>
        </w:rPr>
        <w:t xml:space="preserve"> וזה ש'</w:t>
      </w:r>
      <w:r>
        <w:rPr>
          <w:rFonts w:hint="cs"/>
          <w:rtl/>
        </w:rPr>
        <w:t xml:space="preserve"> </w:t>
      </w:r>
      <w:r w:rsidRPr="00FE297E">
        <w:rPr>
          <w:rFonts w:hint="cs"/>
          <w:sz w:val="16"/>
          <w:szCs w:val="16"/>
          <w:rtl/>
        </w:rPr>
        <w:t>(ע"פ הח"מ סק"ה)</w:t>
      </w:r>
      <w:r>
        <w:rPr>
          <w:rFonts w:hint="cs"/>
          <w:rtl/>
        </w:rPr>
        <w:t xml:space="preserve">. </w:t>
      </w:r>
    </w:p>
  </w:footnote>
  <w:footnote w:id="2759">
    <w:p w14:paraId="59A7A023" w14:textId="77777777" w:rsidR="00DF1FC7" w:rsidRDefault="00DF1FC7" w:rsidP="002E5BAD">
      <w:pPr>
        <w:pStyle w:val="a5"/>
      </w:pPr>
      <w:r>
        <w:rPr>
          <w:rStyle w:val="a7"/>
        </w:rPr>
        <w:footnoteRef/>
      </w:r>
      <w:r>
        <w:rPr>
          <w:rtl/>
        </w:rPr>
        <w:t xml:space="preserve"> </w:t>
      </w:r>
      <w:r>
        <w:rPr>
          <w:rFonts w:cs="Arial" w:hint="cs"/>
          <w:rtl/>
        </w:rPr>
        <w:t xml:space="preserve">וז"ל (וכן העתיק הרא"ש)- </w:t>
      </w:r>
      <w:r>
        <w:rPr>
          <w:rFonts w:cs="Arial"/>
          <w:rtl/>
        </w:rPr>
        <w:t>והיכא דאיכא בעל חוב ואיכא מותר על שתי כתובות מאי דשקל בעל חוב כולי עלמא לא פליגי דהוי מותר והני שקלי כתובת אמן והני שקלי כתובת אמן</w:t>
      </w:r>
      <w:r>
        <w:rPr>
          <w:rFonts w:cs="Arial" w:hint="cs"/>
          <w:rtl/>
        </w:rPr>
        <w:t>.</w:t>
      </w:r>
    </w:p>
  </w:footnote>
  <w:footnote w:id="2760">
    <w:p w14:paraId="0EB73C74" w14:textId="77777777" w:rsidR="00DF1FC7" w:rsidRDefault="00DF1FC7" w:rsidP="002E5BAD">
      <w:pPr>
        <w:pStyle w:val="a5"/>
      </w:pPr>
      <w:r>
        <w:rPr>
          <w:rStyle w:val="a7"/>
        </w:rPr>
        <w:footnoteRef/>
      </w:r>
      <w:r>
        <w:rPr>
          <w:rtl/>
        </w:rPr>
        <w:t xml:space="preserve"> </w:t>
      </w:r>
      <w:r>
        <w:rPr>
          <w:rFonts w:cs="Arial" w:hint="cs"/>
          <w:rtl/>
        </w:rPr>
        <w:t>ה</w:t>
      </w:r>
      <w:r>
        <w:rPr>
          <w:rFonts w:cs="Arial"/>
          <w:rtl/>
        </w:rPr>
        <w:t xml:space="preserve">רי"ף </w:t>
      </w:r>
      <w:r w:rsidRPr="00C95125">
        <w:rPr>
          <w:rFonts w:cs="Arial" w:hint="cs"/>
          <w:sz w:val="16"/>
          <w:szCs w:val="16"/>
          <w:rtl/>
        </w:rPr>
        <w:t xml:space="preserve">(מט:) </w:t>
      </w:r>
      <w:r>
        <w:rPr>
          <w:rFonts w:cs="Arial" w:hint="cs"/>
          <w:rtl/>
        </w:rPr>
        <w:t>וה</w:t>
      </w:r>
      <w:r>
        <w:rPr>
          <w:rFonts w:cs="Arial"/>
          <w:rtl/>
        </w:rPr>
        <w:t xml:space="preserve">רא"ש </w:t>
      </w:r>
      <w:r w:rsidRPr="00C95125">
        <w:rPr>
          <w:rFonts w:cs="Arial" w:hint="cs"/>
          <w:sz w:val="16"/>
          <w:szCs w:val="16"/>
          <w:rtl/>
        </w:rPr>
        <w:t xml:space="preserve">(סי' ב) </w:t>
      </w:r>
      <w:r>
        <w:rPr>
          <w:rFonts w:cs="Arial" w:hint="cs"/>
          <w:rtl/>
        </w:rPr>
        <w:t xml:space="preserve">כתבו שדין זה הוא לכולי עלמא, </w:t>
      </w:r>
      <w:r>
        <w:rPr>
          <w:rFonts w:cs="Arial"/>
          <w:rtl/>
        </w:rPr>
        <w:t>וכתב הר"ן (מט: ד"ה והיכא) על זה</w:t>
      </w:r>
      <w:r>
        <w:rPr>
          <w:rFonts w:cs="Arial" w:hint="cs"/>
          <w:rtl/>
        </w:rPr>
        <w:t>, וז"ל-</w:t>
      </w:r>
      <w:r>
        <w:rPr>
          <w:rFonts w:cs="Arial"/>
          <w:rtl/>
        </w:rPr>
        <w:t xml:space="preserve"> בגמרא (צ:) איכא מ"ד דכתובה אינה כשאר חוב ולא הויא מותר לפי שיכולין בני השנייה לומר לא יצא שטר עלינו</w:t>
      </w:r>
      <w:r>
        <w:rPr>
          <w:rFonts w:cs="Arial" w:hint="cs"/>
          <w:rtl/>
        </w:rPr>
        <w:t>,</w:t>
      </w:r>
      <w:r>
        <w:rPr>
          <w:rFonts w:cs="Arial"/>
          <w:rtl/>
        </w:rPr>
        <w:t xml:space="preserve"> אנו הם המוציאים שטר חוב ומקבלין ולא פורעין</w:t>
      </w:r>
      <w:r>
        <w:rPr>
          <w:rFonts w:cs="Arial" w:hint="cs"/>
          <w:rtl/>
        </w:rPr>
        <w:t>,</w:t>
      </w:r>
      <w:r>
        <w:rPr>
          <w:rFonts w:cs="Arial"/>
          <w:rtl/>
        </w:rPr>
        <w:t xml:space="preserve"> ונמצא שאין כאן נחלה דאורייתא</w:t>
      </w:r>
      <w:r>
        <w:rPr>
          <w:rFonts w:cs="Arial" w:hint="cs"/>
          <w:rtl/>
        </w:rPr>
        <w:t>,</w:t>
      </w:r>
      <w:r>
        <w:rPr>
          <w:rFonts w:cs="Arial"/>
          <w:rtl/>
        </w:rPr>
        <w:t xml:space="preserve"> ולא אתקון ירושת בנין דכרין למיעקר נחלה דאורייתא</w:t>
      </w:r>
      <w:r>
        <w:rPr>
          <w:rFonts w:cs="Arial" w:hint="cs"/>
          <w:rtl/>
        </w:rPr>
        <w:t>.</w:t>
      </w:r>
      <w:r>
        <w:rPr>
          <w:rFonts w:cs="Arial"/>
          <w:rtl/>
        </w:rPr>
        <w:t xml:space="preserve"> אבל בבעל חוב כולי עלמא לא פליגי דהוי מותר הואיל והשטר יוצא על כולם נמצאו כולם פורעין והיא נחלה שלהם שעשו בה מצות פריעת חוב אביהן ע"כ</w:t>
      </w:r>
      <w:r>
        <w:rPr>
          <w:rFonts w:cs="Arial" w:hint="cs"/>
          <w:rtl/>
        </w:rPr>
        <w:t>.</w:t>
      </w:r>
    </w:p>
  </w:footnote>
  <w:footnote w:id="2761">
    <w:p w14:paraId="2696EA89" w14:textId="77777777" w:rsidR="00DF1FC7" w:rsidRDefault="00DF1FC7" w:rsidP="002E5BAD">
      <w:pPr>
        <w:pStyle w:val="a5"/>
      </w:pPr>
      <w:r>
        <w:rPr>
          <w:rStyle w:val="a7"/>
        </w:rPr>
        <w:footnoteRef/>
      </w:r>
      <w:r>
        <w:rPr>
          <w:rtl/>
        </w:rPr>
        <w:t xml:space="preserve"> </w:t>
      </w:r>
      <w:r>
        <w:rPr>
          <w:rFonts w:hint="cs"/>
          <w:rtl/>
        </w:rPr>
        <w:t xml:space="preserve">וז"ל- </w:t>
      </w:r>
      <w:r w:rsidRPr="00D74E59">
        <w:rPr>
          <w:rFonts w:cs="Arial"/>
          <w:rtl/>
        </w:rPr>
        <w:t>ראיתי מן הגדולים שכתבו דלא תקינו כתובת בנין דיכרין אלא היכא דמצי למשקל כל כתובת אמן ולא מיסתבר כלל כיון דבשעת מיתת אביהן היה בנכסים כדי לקיים נחלה דאורייתא לא הפסידו זכותן ומה שישאר אחר הפריעה יטלו הן רב הן מעט וכן בשתי כתובות וב"ח ויש יתר על שתי כתובות דינר אף על פי שהחוב גדול יחלוקו המותר ביניהם לפי הכתובות אף על פי שאינן גובין בו כתובת אמן וה"ה נמי בכתובה נעשית מותר לחברתה.</w:t>
      </w:r>
    </w:p>
  </w:footnote>
  <w:footnote w:id="2762">
    <w:p w14:paraId="06B04CAF" w14:textId="77777777" w:rsidR="00DF1FC7" w:rsidRPr="00A16126" w:rsidRDefault="00DF1FC7" w:rsidP="002E5BAD">
      <w:pPr>
        <w:pStyle w:val="a5"/>
      </w:pPr>
      <w:r w:rsidRPr="00A16126">
        <w:rPr>
          <w:rStyle w:val="a7"/>
        </w:rPr>
        <w:footnoteRef/>
      </w:r>
      <w:r w:rsidRPr="00A16126">
        <w:rPr>
          <w:rtl/>
        </w:rPr>
        <w:t xml:space="preserve"> </w:t>
      </w:r>
      <w:r w:rsidRPr="00A16126">
        <w:rPr>
          <w:rFonts w:cs="Arial" w:hint="cs"/>
          <w:rtl/>
        </w:rPr>
        <w:t>מבואר בסעיף ט.</w:t>
      </w:r>
    </w:p>
  </w:footnote>
  <w:footnote w:id="2763">
    <w:p w14:paraId="347A90EB" w14:textId="77777777" w:rsidR="00DF1FC7" w:rsidRDefault="00DF1FC7" w:rsidP="002E5BAD">
      <w:pPr>
        <w:pStyle w:val="a5"/>
      </w:pPr>
      <w:r>
        <w:rPr>
          <w:rStyle w:val="a7"/>
        </w:rPr>
        <w:footnoteRef/>
      </w:r>
      <w:r>
        <w:rPr>
          <w:rtl/>
        </w:rPr>
        <w:t xml:space="preserve"> </w:t>
      </w:r>
      <w:r w:rsidRPr="00B9416F">
        <w:rPr>
          <w:rFonts w:cs="Arial"/>
          <w:rtl/>
        </w:rPr>
        <w:t>נראה הא דנקט נגד היותר לאו דוקא</w:t>
      </w:r>
      <w:r>
        <w:rPr>
          <w:rFonts w:cs="Arial" w:hint="cs"/>
          <w:rtl/>
        </w:rPr>
        <w:t>,</w:t>
      </w:r>
      <w:r w:rsidRPr="00B9416F">
        <w:rPr>
          <w:rFonts w:cs="Arial"/>
          <w:rtl/>
        </w:rPr>
        <w:t xml:space="preserve"> ה"ה אם החוב יותר מהמותר</w:t>
      </w:r>
      <w:r>
        <w:rPr>
          <w:rFonts w:cs="Arial" w:hint="cs"/>
          <w:rtl/>
        </w:rPr>
        <w:t>,</w:t>
      </w:r>
      <w:r w:rsidRPr="00B9416F">
        <w:rPr>
          <w:rFonts w:cs="Arial"/>
          <w:rtl/>
        </w:rPr>
        <w:t xml:space="preserve"> דאין סברא לחלק ביניה</w:t>
      </w:r>
      <w:r>
        <w:rPr>
          <w:rFonts w:cs="Arial" w:hint="cs"/>
          <w:rtl/>
        </w:rPr>
        <w:t>ם</w:t>
      </w:r>
      <w:r w:rsidRPr="00B9416F">
        <w:rPr>
          <w:rFonts w:cs="Arial"/>
          <w:rtl/>
        </w:rPr>
        <w:t xml:space="preserve"> מאחר דק"ל ב"ח מכאן ולהבא הוא גובה</w:t>
      </w:r>
      <w:r>
        <w:rPr>
          <w:rFonts w:cs="Arial" w:hint="cs"/>
          <w:rtl/>
        </w:rPr>
        <w:t>,</w:t>
      </w:r>
      <w:r w:rsidRPr="00B9416F">
        <w:rPr>
          <w:rFonts w:cs="Arial"/>
          <w:rtl/>
        </w:rPr>
        <w:t xml:space="preserve"> ואינו מגרע כח המותר</w:t>
      </w:r>
      <w:r>
        <w:rPr>
          <w:rFonts w:cs="Arial" w:hint="cs"/>
          <w:rtl/>
        </w:rPr>
        <w:t>,</w:t>
      </w:r>
      <w:r w:rsidRPr="00B9416F">
        <w:rPr>
          <w:rFonts w:cs="Arial"/>
          <w:rtl/>
        </w:rPr>
        <w:t xml:space="preserve"> וזכו מיד בני הגדולים</w:t>
      </w:r>
      <w:r>
        <w:rPr>
          <w:rFonts w:cs="Arial" w:hint="cs"/>
          <w:rtl/>
        </w:rPr>
        <w:t>,</w:t>
      </w:r>
      <w:r w:rsidRPr="00B9416F">
        <w:rPr>
          <w:rFonts w:cs="Arial"/>
          <w:rtl/>
        </w:rPr>
        <w:t xml:space="preserve"> מה לי ב"ח קטן נגד המותר או ב"ח גדול הרבה</w:t>
      </w:r>
      <w:r>
        <w:rPr>
          <w:rFonts w:cs="Arial" w:hint="cs"/>
          <w:rtl/>
        </w:rPr>
        <w:t>,</w:t>
      </w:r>
      <w:r w:rsidRPr="00B9416F">
        <w:rPr>
          <w:rFonts w:cs="Arial"/>
          <w:rtl/>
        </w:rPr>
        <w:t xml:space="preserve"> וסוף סוף זכו מיד בני הגדולים ופורעין החוב</w:t>
      </w:r>
      <w:r>
        <w:rPr>
          <w:rFonts w:cs="Arial" w:hint="cs"/>
          <w:rtl/>
        </w:rPr>
        <w:t>,</w:t>
      </w:r>
      <w:r w:rsidRPr="00B9416F">
        <w:rPr>
          <w:rFonts w:cs="Arial"/>
          <w:rtl/>
        </w:rPr>
        <w:t xml:space="preserve"> והמותר יחלקו כפי ערך הכתובו</w:t>
      </w:r>
      <w:r>
        <w:rPr>
          <w:rFonts w:cs="Arial" w:hint="cs"/>
          <w:rtl/>
        </w:rPr>
        <w:t>ת.</w:t>
      </w:r>
      <w:r w:rsidRPr="00B9416F">
        <w:rPr>
          <w:rFonts w:cs="Arial"/>
          <w:rtl/>
        </w:rPr>
        <w:t xml:space="preserve"> ולא ידעתי למה כתב דין זה בשם י"א בסעי' שאח"ז</w:t>
      </w:r>
      <w:r>
        <w:rPr>
          <w:rFonts w:cs="Arial" w:hint="cs"/>
          <w:rtl/>
        </w:rPr>
        <w:t>,</w:t>
      </w:r>
      <w:r w:rsidRPr="00B9416F">
        <w:rPr>
          <w:rFonts w:cs="Arial"/>
          <w:rtl/>
        </w:rPr>
        <w:t xml:space="preserve"> דגם הרמב"ם הכי ס"ל</w:t>
      </w:r>
      <w:r>
        <w:rPr>
          <w:rFonts w:cs="Arial" w:hint="cs"/>
          <w:rtl/>
        </w:rPr>
        <w:t>,</w:t>
      </w:r>
      <w:r w:rsidRPr="00B9416F">
        <w:rPr>
          <w:rFonts w:cs="Arial"/>
          <w:rtl/>
        </w:rPr>
        <w:t xml:space="preserve"> אע</w:t>
      </w:r>
      <w:r>
        <w:rPr>
          <w:rFonts w:cs="Arial" w:hint="cs"/>
          <w:rtl/>
        </w:rPr>
        <w:t>"</w:t>
      </w:r>
      <w:r w:rsidRPr="00B9416F">
        <w:rPr>
          <w:rFonts w:cs="Arial"/>
          <w:rtl/>
        </w:rPr>
        <w:t>פ שכתב כנגדה מותר</w:t>
      </w:r>
      <w:r>
        <w:rPr>
          <w:rFonts w:cs="Arial" w:hint="cs"/>
          <w:rtl/>
        </w:rPr>
        <w:t>.</w:t>
      </w:r>
      <w:r w:rsidRPr="00B9416F">
        <w:rPr>
          <w:rFonts w:cs="Arial"/>
          <w:rtl/>
        </w:rPr>
        <w:t xml:space="preserve"> וכן מוכח מדברי המ"מ בהא דכתובה נעשית מותר לחברתה כתב יש מי שכתב שאם אינו מספיק לב' הכתובו' וכו' ע"ש</w:t>
      </w:r>
      <w:r>
        <w:rPr>
          <w:rFonts w:cs="Arial" w:hint="cs"/>
          <w:rtl/>
        </w:rPr>
        <w:t>.</w:t>
      </w:r>
      <w:r w:rsidRPr="00B9416F">
        <w:rPr>
          <w:rFonts w:cs="Arial"/>
          <w:rtl/>
        </w:rPr>
        <w:t xml:space="preserve"> וכן פסק וסתם בסעי' ט'</w:t>
      </w:r>
      <w:r>
        <w:rPr>
          <w:rFonts w:cs="Arial" w:hint="cs"/>
          <w:rtl/>
        </w:rPr>
        <w:t>.</w:t>
      </w:r>
      <w:r w:rsidRPr="00B9416F">
        <w:rPr>
          <w:rFonts w:cs="Arial"/>
          <w:rtl/>
        </w:rPr>
        <w:t xml:space="preserve"> ועיין מ"ש שם</w:t>
      </w:r>
      <w:r>
        <w:rPr>
          <w:rFonts w:cs="Arial" w:hint="cs"/>
          <w:rtl/>
        </w:rPr>
        <w:t>, ח"מ (סק"ז).</w:t>
      </w:r>
      <w:r>
        <w:rPr>
          <w:rFonts w:hint="cs"/>
          <w:rtl/>
        </w:rPr>
        <w:t xml:space="preserve"> וכן תמה הב"ש (סק"ה) על השו"ע מדוע כתב בלשון ויש אומרים.</w:t>
      </w:r>
    </w:p>
  </w:footnote>
  <w:footnote w:id="2764">
    <w:p w14:paraId="5D165BD0" w14:textId="77777777" w:rsidR="00DF1FC7" w:rsidRDefault="00DF1FC7" w:rsidP="002E5BAD">
      <w:pPr>
        <w:pStyle w:val="a5"/>
      </w:pPr>
      <w:r>
        <w:rPr>
          <w:rStyle w:val="a7"/>
        </w:rPr>
        <w:footnoteRef/>
      </w:r>
      <w:r>
        <w:rPr>
          <w:rtl/>
        </w:rPr>
        <w:t xml:space="preserve"> </w:t>
      </w:r>
      <w:r w:rsidRPr="00B9416F">
        <w:rPr>
          <w:rFonts w:cs="Arial"/>
          <w:rtl/>
        </w:rPr>
        <w:t>הטעם דבפריעת החוב ג"כ מקיימי</w:t>
      </w:r>
      <w:r>
        <w:rPr>
          <w:rFonts w:cs="Arial" w:hint="cs"/>
          <w:rtl/>
        </w:rPr>
        <w:t>ם</w:t>
      </w:r>
      <w:r w:rsidRPr="00B9416F">
        <w:rPr>
          <w:rFonts w:cs="Arial"/>
          <w:rtl/>
        </w:rPr>
        <w:t xml:space="preserve"> נחל</w:t>
      </w:r>
      <w:r>
        <w:rPr>
          <w:rFonts w:cs="Arial" w:hint="cs"/>
          <w:rtl/>
        </w:rPr>
        <w:t>ה</w:t>
      </w:r>
      <w:r w:rsidRPr="00B9416F">
        <w:rPr>
          <w:rFonts w:cs="Arial"/>
          <w:rtl/>
        </w:rPr>
        <w:t xml:space="preserve"> דאוריית</w:t>
      </w:r>
      <w:r>
        <w:rPr>
          <w:rFonts w:cs="Arial" w:hint="cs"/>
          <w:rtl/>
        </w:rPr>
        <w:t>א</w:t>
      </w:r>
      <w:r w:rsidRPr="00B9416F">
        <w:rPr>
          <w:rFonts w:cs="Arial"/>
          <w:rtl/>
        </w:rPr>
        <w:t xml:space="preserve"> כאלו הוו חולקים הדינר ביניהם</w:t>
      </w:r>
      <w:r>
        <w:rPr>
          <w:rFonts w:cs="Arial" w:hint="cs"/>
          <w:rtl/>
        </w:rPr>
        <w:t>.</w:t>
      </w:r>
      <w:r w:rsidRPr="00B9416F">
        <w:rPr>
          <w:rFonts w:cs="Arial"/>
          <w:rtl/>
        </w:rPr>
        <w:t xml:space="preserve"> ומ"מ אם אין כאן מותר דינר</w:t>
      </w:r>
      <w:r>
        <w:rPr>
          <w:rFonts w:cs="Arial" w:hint="cs"/>
          <w:rtl/>
        </w:rPr>
        <w:t>,</w:t>
      </w:r>
      <w:r w:rsidRPr="00B9416F">
        <w:rPr>
          <w:rFonts w:cs="Arial"/>
          <w:rtl/>
        </w:rPr>
        <w:t xml:space="preserve"> ויש כאן ב"ח א</w:t>
      </w:r>
      <w:r>
        <w:rPr>
          <w:rFonts w:cs="Arial" w:hint="cs"/>
          <w:rtl/>
        </w:rPr>
        <w:t xml:space="preserve">ין </w:t>
      </w:r>
      <w:r w:rsidRPr="00B9416F">
        <w:rPr>
          <w:rFonts w:cs="Arial"/>
          <w:rtl/>
        </w:rPr>
        <w:t>א</w:t>
      </w:r>
      <w:r>
        <w:rPr>
          <w:rFonts w:cs="Arial" w:hint="cs"/>
          <w:rtl/>
        </w:rPr>
        <w:t>ומרים</w:t>
      </w:r>
      <w:r w:rsidRPr="00B9416F">
        <w:rPr>
          <w:rFonts w:cs="Arial"/>
          <w:rtl/>
        </w:rPr>
        <w:t xml:space="preserve"> דבפריעות החוב מקוים נחלה דאורייתא והשטר יחלקו ביניהם לפי ערך הכתובו</w:t>
      </w:r>
      <w:r>
        <w:rPr>
          <w:rFonts w:cs="Arial" w:hint="cs"/>
          <w:rtl/>
        </w:rPr>
        <w:t>ת,</w:t>
      </w:r>
      <w:r w:rsidRPr="00B9416F">
        <w:rPr>
          <w:rFonts w:cs="Arial"/>
          <w:rtl/>
        </w:rPr>
        <w:t xml:space="preserve"> דק"ל ב"ח מכאן ולהבא הוא גובה ומיד בשעת מית</w:t>
      </w:r>
      <w:r>
        <w:rPr>
          <w:rFonts w:cs="Arial" w:hint="cs"/>
          <w:rtl/>
        </w:rPr>
        <w:t>ה</w:t>
      </w:r>
      <w:r w:rsidRPr="00B9416F">
        <w:rPr>
          <w:rFonts w:cs="Arial"/>
          <w:rtl/>
        </w:rPr>
        <w:t xml:space="preserve"> כשאין שם מותר דינר זכו בני הקטנים לחלוק בשוה</w:t>
      </w:r>
      <w:r>
        <w:rPr>
          <w:rFonts w:cs="Arial" w:hint="cs"/>
          <w:rtl/>
        </w:rPr>
        <w:t>, ח"מ (סק"ז).</w:t>
      </w:r>
    </w:p>
  </w:footnote>
  <w:footnote w:id="2765">
    <w:p w14:paraId="3DCD2F9A" w14:textId="77777777" w:rsidR="00DF1FC7" w:rsidRDefault="00DF1FC7" w:rsidP="002E5BAD">
      <w:pPr>
        <w:pStyle w:val="a5"/>
      </w:pPr>
      <w:r>
        <w:rPr>
          <w:rStyle w:val="a7"/>
        </w:rPr>
        <w:footnoteRef/>
      </w:r>
      <w:r>
        <w:rPr>
          <w:rtl/>
        </w:rPr>
        <w:t xml:space="preserve"> </w:t>
      </w:r>
      <w:r w:rsidRPr="003500E9">
        <w:rPr>
          <w:rFonts w:cs="Arial"/>
          <w:rtl/>
        </w:rPr>
        <w:t>בחייו נשא שניה ומת הוא ויורשי הראשונה באין ותובעין כתובת בנין דכרין כמו ששנינו (נב:) בנין דכרין דיהויין ליכי מינאי כו' או רוצים לחלוק ירושת אביהם</w:t>
      </w:r>
      <w:r>
        <w:rPr>
          <w:rFonts w:cs="Arial" w:hint="cs"/>
          <w:rtl/>
        </w:rPr>
        <w:t>, רש"י.</w:t>
      </w:r>
    </w:p>
  </w:footnote>
  <w:footnote w:id="2766">
    <w:p w14:paraId="03A7F626" w14:textId="77777777" w:rsidR="00DF1FC7" w:rsidRDefault="00DF1FC7" w:rsidP="002E5BAD">
      <w:pPr>
        <w:pStyle w:val="a5"/>
        <w:rPr>
          <w:rtl/>
        </w:rPr>
      </w:pPr>
      <w:r>
        <w:rPr>
          <w:rStyle w:val="a7"/>
        </w:rPr>
        <w:footnoteRef/>
      </w:r>
      <w:r>
        <w:rPr>
          <w:rtl/>
        </w:rPr>
        <w:t xml:space="preserve"> </w:t>
      </w:r>
      <w:r w:rsidRPr="003500E9">
        <w:rPr>
          <w:rFonts w:cs="Arial"/>
          <w:rtl/>
        </w:rPr>
        <w:t>שהיא בעלת חוב אבל ראשונים באין לירש את אביהן דהא אינון ירתון תנן לפיכך פורעין את החוב תחילה והשאר ירושה</w:t>
      </w:r>
      <w:r>
        <w:rPr>
          <w:rFonts w:hint="cs"/>
          <w:rtl/>
        </w:rPr>
        <w:t>, רש"י.</w:t>
      </w:r>
    </w:p>
  </w:footnote>
  <w:footnote w:id="2767">
    <w:p w14:paraId="5D9AC30E" w14:textId="77777777" w:rsidR="00DF1FC7" w:rsidRDefault="00DF1FC7" w:rsidP="002E5BAD">
      <w:pPr>
        <w:pStyle w:val="a5"/>
      </w:pPr>
      <w:r>
        <w:rPr>
          <w:rStyle w:val="a7"/>
        </w:rPr>
        <w:footnoteRef/>
      </w:r>
      <w:r>
        <w:rPr>
          <w:rtl/>
        </w:rPr>
        <w:t xml:space="preserve"> </w:t>
      </w:r>
      <w:r w:rsidRPr="003500E9">
        <w:rPr>
          <w:rFonts w:cs="Arial"/>
          <w:rtl/>
        </w:rPr>
        <w:t>לראשונים כתובת בנין דכרין ולא אמרינן כי תקון בנין דכרין היכא דמתו שתיהן בחייו וכתובת האחת מרובה משל חברתה אלו נוטלין כתובת אמן ואלו נוטלין כתובת אמן והשאר חולקין בשוה דהשתא אתו תרוייהו בתורת בנין דכרין שהוא ירושת האב ולא אתי לאינצויי אבל אחת בחייו ואחת במותו דיורשי שניה באין על כתובת אמן בתורת ירושת חוב אמן ולא מאביהם באה להם ובני ראשונה באין ליטול חלק יתר מכח ירושת האב דהא ירתון תנן לא שקלי דלמא אתו לאינצויי ולומר לא תטלו בירושת אבינו יותר ממנו הא לא אמרינן</w:t>
      </w:r>
      <w:r>
        <w:rPr>
          <w:rFonts w:cs="Arial" w:hint="cs"/>
          <w:rtl/>
        </w:rPr>
        <w:t>, רש"י.</w:t>
      </w:r>
    </w:p>
  </w:footnote>
  <w:footnote w:id="2768">
    <w:p w14:paraId="1539D338" w14:textId="77777777" w:rsidR="00DF1FC7" w:rsidRDefault="00DF1FC7" w:rsidP="002E5BAD">
      <w:pPr>
        <w:pStyle w:val="a5"/>
      </w:pPr>
      <w:r>
        <w:rPr>
          <w:rStyle w:val="a7"/>
        </w:rPr>
        <w:footnoteRef/>
      </w:r>
      <w:r>
        <w:rPr>
          <w:rtl/>
        </w:rPr>
        <w:t xml:space="preserve"> </w:t>
      </w:r>
      <w:r w:rsidRPr="003500E9">
        <w:rPr>
          <w:rFonts w:cs="Arial"/>
          <w:rtl/>
        </w:rPr>
        <w:t>דאע"ג דלא תקון כתובת בנין דכרין אא"כ יש מותר על שתי הכתובות דינר דלא מיעקרא נחלה דאורייתא כדתנן בפרקין ופרשינן טעמא בפרק נערה שנתפתתה (נב:) הני מילי כי מתו שתיהן בחייו דתרוייהו אתו בתורת בנין דכרין אבל אחת בחייו ואחת במותו שהשניה נגבית בתורת חוב אין לך ירושה גדולה מזו ולא מיעקרא נחלה דאורייתא שכשמת נפלו נכסים לפני יורשין וכשיצא שטר חוב על אביהן אלו ואלו עושין מצוה לפרוע חובת אביהן והיא היא ירושתן לפיכך כתובה זו נעשית כמותר לירושה וגובין בני הראשונה כתובת בנין דכרין</w:t>
      </w:r>
      <w:r>
        <w:rPr>
          <w:rFonts w:cs="Arial" w:hint="cs"/>
          <w:rtl/>
        </w:rPr>
        <w:t>, רש"י.</w:t>
      </w:r>
    </w:p>
  </w:footnote>
  <w:footnote w:id="2769">
    <w:p w14:paraId="6668CABB" w14:textId="77777777" w:rsidR="00DF1FC7" w:rsidRDefault="00DF1FC7" w:rsidP="002E5BAD">
      <w:pPr>
        <w:pStyle w:val="a5"/>
      </w:pPr>
      <w:r>
        <w:rPr>
          <w:rStyle w:val="a7"/>
        </w:rPr>
        <w:footnoteRef/>
      </w:r>
      <w:r>
        <w:rPr>
          <w:rtl/>
        </w:rPr>
        <w:t xml:space="preserve"> </w:t>
      </w:r>
      <w:r>
        <w:rPr>
          <w:rFonts w:cs="Arial"/>
          <w:rtl/>
        </w:rPr>
        <w:t>פשוט הוא</w:t>
      </w:r>
      <w:r>
        <w:rPr>
          <w:rFonts w:cs="Arial" w:hint="cs"/>
          <w:rtl/>
        </w:rPr>
        <w:t>, ב"י.</w:t>
      </w:r>
    </w:p>
  </w:footnote>
  <w:footnote w:id="2770">
    <w:p w14:paraId="5D365B66" w14:textId="77777777" w:rsidR="00DF1FC7" w:rsidRDefault="00DF1FC7" w:rsidP="002E5BAD">
      <w:pPr>
        <w:pStyle w:val="a5"/>
        <w:rPr>
          <w:rtl/>
        </w:rPr>
      </w:pPr>
      <w:r>
        <w:rPr>
          <w:rStyle w:val="a7"/>
        </w:rPr>
        <w:footnoteRef/>
      </w:r>
      <w:r>
        <w:rPr>
          <w:rtl/>
        </w:rPr>
        <w:t xml:space="preserve"> </w:t>
      </w:r>
      <w:r>
        <w:rPr>
          <w:rFonts w:hint="cs"/>
          <w:rtl/>
        </w:rPr>
        <w:t xml:space="preserve">הטור כבר כתב כן לעיל (וז"ל- </w:t>
      </w:r>
      <w:r w:rsidRPr="008A1F1E">
        <w:rPr>
          <w:rFonts w:cs="Arial"/>
          <w:rtl/>
        </w:rPr>
        <w:t>שאם לא כן אין בניה יורשים כתובתה</w:t>
      </w:r>
      <w:r>
        <w:rPr>
          <w:rFonts w:hint="cs"/>
          <w:rtl/>
        </w:rPr>
        <w:t>), אבל כאן מתבאר הדבר יותר.</w:t>
      </w:r>
    </w:p>
  </w:footnote>
  <w:footnote w:id="2771">
    <w:p w14:paraId="095D2E60" w14:textId="77777777" w:rsidR="00DF1FC7" w:rsidRDefault="00DF1FC7" w:rsidP="002E5BAD">
      <w:pPr>
        <w:pStyle w:val="a5"/>
      </w:pPr>
      <w:r>
        <w:rPr>
          <w:rStyle w:val="a7"/>
        </w:rPr>
        <w:footnoteRef/>
      </w:r>
      <w:r>
        <w:rPr>
          <w:rtl/>
        </w:rPr>
        <w:t xml:space="preserve"> </w:t>
      </w:r>
      <w:r>
        <w:rPr>
          <w:rFonts w:cs="Arial"/>
          <w:rtl/>
        </w:rPr>
        <w:t>וכתבו הגהות מיימוניות (שם אות ה) שכ"כ סה"ג בשם הגאונים</w:t>
      </w:r>
      <w:r>
        <w:rPr>
          <w:rFonts w:cs="Arial" w:hint="cs"/>
          <w:rtl/>
        </w:rPr>
        <w:t>, ב"י.</w:t>
      </w:r>
    </w:p>
  </w:footnote>
  <w:footnote w:id="2772">
    <w:p w14:paraId="56C8D5F1" w14:textId="77777777" w:rsidR="00DF1FC7" w:rsidRDefault="00DF1FC7" w:rsidP="002E5BAD">
      <w:pPr>
        <w:pStyle w:val="a5"/>
      </w:pPr>
      <w:r>
        <w:rPr>
          <w:rStyle w:val="a7"/>
        </w:rPr>
        <w:footnoteRef/>
      </w:r>
      <w:r>
        <w:rPr>
          <w:rtl/>
        </w:rPr>
        <w:t xml:space="preserve"> </w:t>
      </w:r>
      <w:r>
        <w:rPr>
          <w:rFonts w:cs="Arial"/>
          <w:rtl/>
        </w:rPr>
        <w:t>פשוט הוא</w:t>
      </w:r>
      <w:r>
        <w:rPr>
          <w:rFonts w:cs="Arial" w:hint="cs"/>
          <w:rtl/>
        </w:rPr>
        <w:t>, ב"י.</w:t>
      </w:r>
    </w:p>
  </w:footnote>
  <w:footnote w:id="2773">
    <w:p w14:paraId="71C459D0" w14:textId="77777777" w:rsidR="00DF1FC7" w:rsidRDefault="00DF1FC7" w:rsidP="002E5BAD">
      <w:pPr>
        <w:pStyle w:val="a5"/>
        <w:rPr>
          <w:rtl/>
        </w:rPr>
      </w:pPr>
      <w:r>
        <w:rPr>
          <w:rStyle w:val="a7"/>
        </w:rPr>
        <w:footnoteRef/>
      </w:r>
      <w:r>
        <w:rPr>
          <w:rtl/>
        </w:rPr>
        <w:t xml:space="preserve"> </w:t>
      </w:r>
      <w:r>
        <w:rPr>
          <w:rFonts w:cs="Arial"/>
          <w:rtl/>
        </w:rPr>
        <w:t>ולא פרע לה כתובתה</w:t>
      </w:r>
      <w:r>
        <w:rPr>
          <w:rFonts w:hint="cs"/>
          <w:rtl/>
        </w:rPr>
        <w:t>, ב"י.</w:t>
      </w:r>
    </w:p>
  </w:footnote>
  <w:footnote w:id="2774">
    <w:p w14:paraId="14B6638C" w14:textId="77777777" w:rsidR="00DF1FC7" w:rsidRDefault="00DF1FC7" w:rsidP="002E5BAD">
      <w:pPr>
        <w:pStyle w:val="a5"/>
      </w:pPr>
      <w:r>
        <w:rPr>
          <w:rStyle w:val="a7"/>
        </w:rPr>
        <w:footnoteRef/>
      </w:r>
      <w:r>
        <w:rPr>
          <w:rtl/>
        </w:rPr>
        <w:t xml:space="preserve"> </w:t>
      </w:r>
      <w:r>
        <w:rPr>
          <w:rFonts w:cs="Arial"/>
          <w:rtl/>
        </w:rPr>
        <w:t>ג"ז פשוט</w:t>
      </w:r>
      <w:r>
        <w:rPr>
          <w:rFonts w:cs="Arial" w:hint="cs"/>
          <w:rtl/>
        </w:rPr>
        <w:t>, ב"י.</w:t>
      </w:r>
    </w:p>
  </w:footnote>
  <w:footnote w:id="2775">
    <w:p w14:paraId="3415A363" w14:textId="77777777" w:rsidR="00DF1FC7" w:rsidRDefault="00DF1FC7" w:rsidP="002E5BAD">
      <w:pPr>
        <w:pStyle w:val="a5"/>
        <w:rPr>
          <w:rtl/>
        </w:rPr>
      </w:pPr>
      <w:r>
        <w:rPr>
          <w:rStyle w:val="a7"/>
        </w:rPr>
        <w:footnoteRef/>
      </w:r>
      <w:r>
        <w:rPr>
          <w:rtl/>
        </w:rPr>
        <w:t xml:space="preserve"> </w:t>
      </w:r>
      <w:r w:rsidRPr="00B33D95">
        <w:rPr>
          <w:rFonts w:cs="Arial"/>
          <w:rtl/>
        </w:rPr>
        <w:t>ה"ה אם לא הניח כדי שתי הכתובו' רק מותר דינר על כתובת בנין דכרין ואף על פי כשיקחו בני האחת כתובתה בתורת חוב לא ישאר כב"ד במלואו אפ"ה שייך כב"ד דגם לחצאין תקנו כב"ד וכ"כ המ"מ וכמו שהעתקתי מקצת לשונו לפני זה וכ"כ בסמוך סעיף ט'</w:t>
      </w:r>
      <w:r>
        <w:rPr>
          <w:rFonts w:hint="cs"/>
          <w:rtl/>
        </w:rPr>
        <w:t>, ח"מ (סק"ח).</w:t>
      </w:r>
    </w:p>
  </w:footnote>
  <w:footnote w:id="2776">
    <w:p w14:paraId="3D29E947" w14:textId="77777777" w:rsidR="00DF1FC7" w:rsidRDefault="00DF1FC7" w:rsidP="002E5BAD">
      <w:pPr>
        <w:pStyle w:val="a5"/>
      </w:pPr>
      <w:r>
        <w:rPr>
          <w:rStyle w:val="a7"/>
        </w:rPr>
        <w:footnoteRef/>
      </w:r>
      <w:r>
        <w:rPr>
          <w:rtl/>
        </w:rPr>
        <w:t xml:space="preserve"> </w:t>
      </w:r>
      <w:r w:rsidRPr="00D15679">
        <w:rPr>
          <w:rFonts w:cs="Arial"/>
          <w:rtl/>
        </w:rPr>
        <w:t>אפשר אפילו אם ליכא כאן אלא כדי כתובה של הראשונה מכל מקום כשלא נשבעה השניה אז אמרינן שנטלה כתובתה והניח כדי שני כתובות מיהו יש לומר כיון כב"ד אינו אלא מצד התקנה וכאן איכא ספק שמא לא לקחה ולא הניח אלא כדי כתובה של הראשונה חולקים</w:t>
      </w:r>
      <w:r>
        <w:rPr>
          <w:rFonts w:cs="Arial" w:hint="cs"/>
          <w:rtl/>
        </w:rPr>
        <w:t>, ח"מ (סק"ט).</w:t>
      </w:r>
    </w:p>
  </w:footnote>
  <w:footnote w:id="2777">
    <w:p w14:paraId="0BE71A3E" w14:textId="77777777" w:rsidR="00DF1FC7" w:rsidRDefault="00DF1FC7" w:rsidP="002E5BAD">
      <w:pPr>
        <w:pStyle w:val="a5"/>
      </w:pPr>
      <w:r>
        <w:rPr>
          <w:rStyle w:val="a7"/>
        </w:rPr>
        <w:footnoteRef/>
      </w:r>
      <w:r>
        <w:rPr>
          <w:rtl/>
        </w:rPr>
        <w:t xml:space="preserve"> </w:t>
      </w:r>
      <w:r w:rsidRPr="00B33D95">
        <w:rPr>
          <w:rFonts w:cs="Arial"/>
          <w:rtl/>
        </w:rPr>
        <w:t>וכלו' ונשבעו קודם שמתו דאל"כ חולקין הבנים בשוה כמו שיתבאר בסמוך סעיף י"א</w:t>
      </w:r>
      <w:r>
        <w:rPr>
          <w:rFonts w:cs="Arial" w:hint="cs"/>
          <w:rtl/>
        </w:rPr>
        <w:t>, ח"מ (סקי"א).</w:t>
      </w:r>
    </w:p>
  </w:footnote>
  <w:footnote w:id="2778">
    <w:p w14:paraId="3BE68102" w14:textId="77777777" w:rsidR="00DF1FC7" w:rsidRDefault="00DF1FC7" w:rsidP="002E5BAD">
      <w:pPr>
        <w:pStyle w:val="a5"/>
      </w:pPr>
      <w:r>
        <w:rPr>
          <w:rStyle w:val="a7"/>
        </w:rPr>
        <w:footnoteRef/>
      </w:r>
      <w:r>
        <w:rPr>
          <w:rtl/>
        </w:rPr>
        <w:t xml:space="preserve"> </w:t>
      </w:r>
      <w:r w:rsidRPr="00B33D95">
        <w:rPr>
          <w:rFonts w:cs="Arial"/>
          <w:rtl/>
        </w:rPr>
        <w:t>היינו אם נשבעה הגרושה קודם מותה או שמתה הגרושה קודם שמת הוא דה"ל מת מלוה בחיי לוה</w:t>
      </w:r>
      <w:r>
        <w:rPr>
          <w:rFonts w:cs="Arial" w:hint="cs"/>
          <w:rtl/>
        </w:rPr>
        <w:t>, ח"מ (סקי"ב).</w:t>
      </w:r>
    </w:p>
  </w:footnote>
  <w:footnote w:id="2779">
    <w:p w14:paraId="14F00451" w14:textId="77777777" w:rsidR="00DF1FC7" w:rsidRDefault="00DF1FC7" w:rsidP="002E5BAD">
      <w:pPr>
        <w:pStyle w:val="a5"/>
      </w:pPr>
      <w:r>
        <w:rPr>
          <w:rStyle w:val="a7"/>
        </w:rPr>
        <w:footnoteRef/>
      </w:r>
      <w:r>
        <w:rPr>
          <w:rtl/>
        </w:rPr>
        <w:t xml:space="preserve"> </w:t>
      </w:r>
      <w:r>
        <w:rPr>
          <w:rFonts w:cs="Arial" w:hint="cs"/>
          <w:rtl/>
        </w:rPr>
        <w:t>וז"ל</w:t>
      </w:r>
      <w:r w:rsidRPr="008A1F1E">
        <w:rPr>
          <w:rFonts w:cs="Arial"/>
          <w:rtl/>
        </w:rPr>
        <w:t xml:space="preserve"> </w:t>
      </w:r>
      <w:r w:rsidRPr="00A16126">
        <w:rPr>
          <w:rFonts w:cs="Arial" w:hint="cs"/>
          <w:sz w:val="16"/>
          <w:szCs w:val="16"/>
          <w:rtl/>
        </w:rPr>
        <w:t>(</w:t>
      </w:r>
      <w:r>
        <w:rPr>
          <w:rFonts w:cs="Arial" w:hint="cs"/>
          <w:sz w:val="16"/>
          <w:szCs w:val="16"/>
          <w:rtl/>
        </w:rPr>
        <w:t>א</w:t>
      </w:r>
      <w:r w:rsidRPr="00A16126">
        <w:rPr>
          <w:rFonts w:cs="Arial"/>
          <w:sz w:val="16"/>
          <w:szCs w:val="16"/>
          <w:rtl/>
        </w:rPr>
        <w:t>הא דקאמר שמע מינה כתובה נעשית מותר לחבירתה</w:t>
      </w:r>
      <w:r w:rsidRPr="00A16126">
        <w:rPr>
          <w:rFonts w:cs="Arial" w:hint="cs"/>
          <w:sz w:val="16"/>
          <w:szCs w:val="16"/>
          <w:rtl/>
        </w:rPr>
        <w:t>)</w:t>
      </w:r>
      <w:r>
        <w:rPr>
          <w:rFonts w:cs="Arial" w:hint="cs"/>
          <w:rtl/>
        </w:rPr>
        <w:t>-</w:t>
      </w:r>
      <w:r w:rsidRPr="008A1F1E">
        <w:rPr>
          <w:rFonts w:cs="Arial"/>
          <w:rtl/>
        </w:rPr>
        <w:t xml:space="preserve"> ואם לא היו שם נכסים אלא כשיעור כתובה הראשונה ופרעו מהם כתובת השנייה לא יטלו בני הראשונה המותר כיון דאי הוו שקלי כתובת אמן מעקרא נחלה דאורייתא כי לא היה שם מותר דינר</w:t>
      </w:r>
      <w:r>
        <w:rPr>
          <w:rFonts w:cs="Arial" w:hint="cs"/>
          <w:rtl/>
        </w:rPr>
        <w:t>,</w:t>
      </w:r>
      <w:r w:rsidRPr="008A1F1E">
        <w:rPr>
          <w:rFonts w:cs="Arial"/>
          <w:rtl/>
        </w:rPr>
        <w:t xml:space="preserve"> אף על פי שפרעו כתובת השנייה לית כאן כלל דין כתובת בנין דכרין כיון שלא היה שם מותר דינר יתר על כתובת אמן</w:t>
      </w:r>
      <w:r>
        <w:rPr>
          <w:rFonts w:cs="Arial" w:hint="cs"/>
          <w:rtl/>
        </w:rPr>
        <w:t>.</w:t>
      </w:r>
      <w:r w:rsidRPr="008A1F1E">
        <w:rPr>
          <w:rFonts w:cs="Arial"/>
          <w:rtl/>
        </w:rPr>
        <w:t xml:space="preserve"> וכן פירש רש"י בבעל חוב שיש שיעור ב' כתובות ומותר דינר</w:t>
      </w:r>
      <w:r>
        <w:rPr>
          <w:rFonts w:cs="Arial" w:hint="cs"/>
          <w:rtl/>
        </w:rPr>
        <w:t>,</w:t>
      </w:r>
      <w:r w:rsidRPr="008A1F1E">
        <w:rPr>
          <w:rFonts w:cs="Arial"/>
          <w:rtl/>
        </w:rPr>
        <w:t xml:space="preserve"> והוא משועבד לבעל חוב</w:t>
      </w:r>
      <w:r>
        <w:rPr>
          <w:rFonts w:cs="Arial" w:hint="cs"/>
          <w:rtl/>
        </w:rPr>
        <w:t>.</w:t>
      </w:r>
      <w:r w:rsidRPr="008A1F1E">
        <w:rPr>
          <w:rFonts w:cs="Arial"/>
          <w:rtl/>
        </w:rPr>
        <w:t xml:space="preserve"> אבל אם אין שם מותר דינר על ב' כתובות אף על פי שהם צריכים לפרוע חוב אביהם </w:t>
      </w:r>
      <w:r>
        <w:rPr>
          <w:rFonts w:cs="Arial" w:hint="cs"/>
          <w:rtl/>
        </w:rPr>
        <w:t xml:space="preserve">- </w:t>
      </w:r>
      <w:r w:rsidRPr="008A1F1E">
        <w:rPr>
          <w:rFonts w:cs="Arial"/>
          <w:rtl/>
        </w:rPr>
        <w:t>לא אמרינן הרי קיימו נחלה דאורייתא והמותר יחלקו ביניהם כל אחד כפי חלק המגיעו</w:t>
      </w:r>
      <w:r>
        <w:rPr>
          <w:rFonts w:cs="Arial" w:hint="cs"/>
          <w:rtl/>
        </w:rPr>
        <w:t>.</w:t>
      </w:r>
      <w:r w:rsidRPr="008A1F1E">
        <w:rPr>
          <w:rFonts w:cs="Arial"/>
          <w:rtl/>
        </w:rPr>
        <w:t xml:space="preserve"> והיינו טעמא כיון דבשעת מיתה לא היה שם מותר זכו מיד בני כתובה הקטנה לחלוק בשוה</w:t>
      </w:r>
      <w:r>
        <w:rPr>
          <w:rFonts w:cs="Arial" w:hint="cs"/>
          <w:rtl/>
        </w:rPr>
        <w:t>.</w:t>
      </w:r>
      <w:r w:rsidRPr="008A1F1E">
        <w:rPr>
          <w:rFonts w:cs="Arial"/>
          <w:rtl/>
        </w:rPr>
        <w:t xml:space="preserve"> וכשבא אח"כ בעל חוב לגבות חובו ה"ל כדבר שנתחדש אחר כך ביניהם</w:t>
      </w:r>
      <w:r>
        <w:rPr>
          <w:rFonts w:cs="Arial" w:hint="cs"/>
          <w:rtl/>
        </w:rPr>
        <w:t>,</w:t>
      </w:r>
      <w:r w:rsidRPr="008A1F1E">
        <w:rPr>
          <w:rFonts w:cs="Arial"/>
          <w:rtl/>
        </w:rPr>
        <w:t xml:space="preserve"> דהא קיי"ל בעל חוב מכאן ולהבא הוא גובה ואינו מבטל הזכות שזכו בני הקטנה מידי דהוה אמועטין ונתרבו</w:t>
      </w:r>
      <w:r>
        <w:rPr>
          <w:rFonts w:cs="Arial" w:hint="cs"/>
          <w:rtl/>
        </w:rPr>
        <w:t>.</w:t>
      </w:r>
    </w:p>
  </w:footnote>
  <w:footnote w:id="2780">
    <w:p w14:paraId="56E2620E" w14:textId="77777777" w:rsidR="00DF1FC7" w:rsidRDefault="00DF1FC7" w:rsidP="002E5BAD">
      <w:pPr>
        <w:pStyle w:val="a5"/>
      </w:pPr>
      <w:r>
        <w:rPr>
          <w:rStyle w:val="a7"/>
        </w:rPr>
        <w:footnoteRef/>
      </w:r>
      <w:r>
        <w:rPr>
          <w:rtl/>
        </w:rPr>
        <w:t xml:space="preserve"> </w:t>
      </w:r>
      <w:r>
        <w:rPr>
          <w:rFonts w:hint="cs"/>
          <w:rtl/>
        </w:rPr>
        <w:t xml:space="preserve">לא אמרינן הכי </w:t>
      </w:r>
      <w:r w:rsidRPr="008A1F1E">
        <w:rPr>
          <w:rFonts w:cs="Arial"/>
          <w:rtl/>
        </w:rPr>
        <w:t>כיון דאי הוו שקלי כתובת אמן מעקרא נחלה דאורייתא כי לא היה שם מותר דינר</w:t>
      </w:r>
      <w:r>
        <w:rPr>
          <w:rFonts w:cs="Arial" w:hint="cs"/>
          <w:rtl/>
        </w:rPr>
        <w:t>,</w:t>
      </w:r>
      <w:r w:rsidRPr="008A1F1E">
        <w:rPr>
          <w:rFonts w:cs="Arial"/>
          <w:rtl/>
        </w:rPr>
        <w:t xml:space="preserve"> אף על פי שפרעו כתובת השנייה לית כאן כלל דין כתובת בנין דכרין כיון שלא היה שם מותר דינר יתר על כתובת אמן</w:t>
      </w:r>
      <w:r>
        <w:rPr>
          <w:rFonts w:cs="Arial" w:hint="cs"/>
          <w:rtl/>
        </w:rPr>
        <w:t>, רא"ש (שם).</w:t>
      </w:r>
    </w:p>
  </w:footnote>
  <w:footnote w:id="2781">
    <w:p w14:paraId="45D889A1" w14:textId="77777777" w:rsidR="00DF1FC7" w:rsidRDefault="00DF1FC7" w:rsidP="002E5BAD">
      <w:pPr>
        <w:pStyle w:val="a5"/>
        <w:rPr>
          <w:rtl/>
        </w:rPr>
      </w:pPr>
      <w:r>
        <w:rPr>
          <w:rStyle w:val="a7"/>
        </w:rPr>
        <w:footnoteRef/>
      </w:r>
      <w:r>
        <w:rPr>
          <w:rtl/>
        </w:rPr>
        <w:t xml:space="preserve"> </w:t>
      </w:r>
      <w:r>
        <w:rPr>
          <w:rFonts w:hint="cs"/>
          <w:rtl/>
        </w:rPr>
        <w:t>כן הוא בדפוס ראשון, ובחלק מהמהדורות נשמטו חלק מהתיבות ('</w:t>
      </w:r>
      <w:r w:rsidRPr="002A3B3F">
        <w:rPr>
          <w:rFonts w:cs="Arial"/>
          <w:rtl/>
        </w:rPr>
        <w:t>כתובת בנין דכרין</w:t>
      </w:r>
      <w:r>
        <w:rPr>
          <w:rFonts w:cs="Arial" w:hint="cs"/>
          <w:rtl/>
        </w:rPr>
        <w:t>,</w:t>
      </w:r>
      <w:r w:rsidRPr="002A3B3F">
        <w:rPr>
          <w:rFonts w:cs="Arial"/>
          <w:rtl/>
        </w:rPr>
        <w:t xml:space="preserve"> אבל אם יש </w:t>
      </w:r>
      <w:r>
        <w:rPr>
          <w:rFonts w:cs="Arial" w:hint="cs"/>
          <w:rtl/>
        </w:rPr>
        <w:t xml:space="preserve">שם </w:t>
      </w:r>
      <w:r w:rsidRPr="002A3B3F">
        <w:rPr>
          <w:rFonts w:cs="Arial"/>
          <w:rtl/>
        </w:rPr>
        <w:t>מותר על</w:t>
      </w:r>
      <w:r>
        <w:rPr>
          <w:rFonts w:cs="Arial" w:hint="cs"/>
          <w:rtl/>
        </w:rPr>
        <w:t>')</w:t>
      </w:r>
      <w:r>
        <w:rPr>
          <w:rFonts w:hint="cs"/>
          <w:rtl/>
        </w:rPr>
        <w:t xml:space="preserve"> והשלימן הרמ"א (חוץ מתיבת 'שם').</w:t>
      </w:r>
    </w:p>
  </w:footnote>
  <w:footnote w:id="2782">
    <w:p w14:paraId="1F24B776" w14:textId="77777777" w:rsidR="00DF1FC7" w:rsidRDefault="00DF1FC7" w:rsidP="002E5BAD">
      <w:pPr>
        <w:pStyle w:val="a5"/>
      </w:pPr>
      <w:r>
        <w:rPr>
          <w:rStyle w:val="a7"/>
        </w:rPr>
        <w:footnoteRef/>
      </w:r>
      <w:r>
        <w:rPr>
          <w:rtl/>
        </w:rPr>
        <w:t xml:space="preserve"> </w:t>
      </w:r>
      <w:r w:rsidRPr="00B03A65">
        <w:rPr>
          <w:rFonts w:cs="Arial"/>
          <w:rtl/>
        </w:rPr>
        <w:t>וזה כדעת הי"א בסעיף ז' וכבר כתבתי דבחנם כתב בלשון י"א דגם הרמב"ם הכי ס"ל וכמו שכתב המ"מ וכן משמע מדברי הרמב"ם שכתב בדין ז' בניה קודמין לירושת כתובתה מדקאמר קודמין משמע אף שלא ישאר לבני אחרת כתובת בנין דכרין במלואו</w:t>
      </w:r>
      <w:r>
        <w:rPr>
          <w:rFonts w:cs="Arial" w:hint="cs"/>
          <w:rtl/>
        </w:rPr>
        <w:t>, ח"מ (סקי"ד).</w:t>
      </w:r>
    </w:p>
  </w:footnote>
  <w:footnote w:id="2783">
    <w:p w14:paraId="5E9EF8C4" w14:textId="77777777" w:rsidR="00DF1FC7" w:rsidRDefault="00DF1FC7" w:rsidP="002E5BAD">
      <w:pPr>
        <w:pStyle w:val="a5"/>
      </w:pPr>
      <w:r>
        <w:rPr>
          <w:rStyle w:val="a7"/>
        </w:rPr>
        <w:footnoteRef/>
      </w:r>
      <w:r>
        <w:rPr>
          <w:rtl/>
        </w:rPr>
        <w:t xml:space="preserve"> </w:t>
      </w:r>
      <w:r w:rsidRPr="008A1F1E">
        <w:rPr>
          <w:rFonts w:cs="Arial"/>
          <w:rtl/>
        </w:rPr>
        <w:t>וז"ל</w:t>
      </w:r>
      <w:r>
        <w:rPr>
          <w:rFonts w:cs="Arial" w:hint="cs"/>
          <w:rtl/>
        </w:rPr>
        <w:t>-</w:t>
      </w:r>
      <w:r w:rsidRPr="008A1F1E">
        <w:rPr>
          <w:rFonts w:cs="Arial"/>
          <w:rtl/>
        </w:rPr>
        <w:t xml:space="preserve"> כתב ר"ח ז"ל מסוגיא דהא שמעתא שמעינן דאם מתה גם זו שנשארה אחריו יש להם כתובת בנין דכרין לבני הראשונה אבל כד איתא בחיים לא אשכחן</w:t>
      </w:r>
      <w:r>
        <w:rPr>
          <w:rFonts w:cs="Arial" w:hint="cs"/>
          <w:rtl/>
        </w:rPr>
        <w:t>.</w:t>
      </w:r>
      <w:r w:rsidRPr="008A1F1E">
        <w:rPr>
          <w:rFonts w:cs="Arial"/>
          <w:rtl/>
        </w:rPr>
        <w:t xml:space="preserve"> ויש מן הגאונים שאמרו כן בתשובותיהם</w:t>
      </w:r>
      <w:r>
        <w:rPr>
          <w:rFonts w:cs="Arial" w:hint="cs"/>
          <w:rtl/>
        </w:rPr>
        <w:t>,</w:t>
      </w:r>
      <w:r w:rsidRPr="008A1F1E">
        <w:rPr>
          <w:rFonts w:cs="Arial"/>
          <w:rtl/>
        </w:rPr>
        <w:t xml:space="preserve"> וטעמא דמילתא משום דאינצוי כי האי ודאי חיישינן</w:t>
      </w:r>
      <w:r>
        <w:rPr>
          <w:rFonts w:cs="Arial" w:hint="cs"/>
          <w:rtl/>
        </w:rPr>
        <w:t>,</w:t>
      </w:r>
      <w:r w:rsidRPr="008A1F1E">
        <w:rPr>
          <w:rFonts w:cs="Arial"/>
          <w:rtl/>
        </w:rPr>
        <w:t xml:space="preserve"> לפי שאין בני השנייה נוטלין כלום אלא אמן</w:t>
      </w:r>
      <w:r>
        <w:rPr>
          <w:rFonts w:cs="Arial" w:hint="cs"/>
          <w:rtl/>
        </w:rPr>
        <w:t>,</w:t>
      </w:r>
      <w:r w:rsidRPr="008A1F1E">
        <w:rPr>
          <w:rFonts w:cs="Arial"/>
          <w:rtl/>
        </w:rPr>
        <w:t xml:space="preserve"> ובני הראשונה נוטלין כל הנכסים</w:t>
      </w:r>
      <w:r>
        <w:rPr>
          <w:rFonts w:cs="Arial" w:hint="cs"/>
          <w:rtl/>
        </w:rPr>
        <w:t>,</w:t>
      </w:r>
      <w:r w:rsidRPr="008A1F1E">
        <w:rPr>
          <w:rFonts w:cs="Arial"/>
          <w:rtl/>
        </w:rPr>
        <w:t xml:space="preserve"> והם יוצאים נקיים מהם לגמרי</w:t>
      </w:r>
      <w:r>
        <w:rPr>
          <w:rFonts w:cs="Arial" w:hint="cs"/>
          <w:rtl/>
        </w:rPr>
        <w:t>.</w:t>
      </w:r>
      <w:r w:rsidRPr="008A1F1E">
        <w:rPr>
          <w:rFonts w:cs="Arial"/>
          <w:rtl/>
        </w:rPr>
        <w:t xml:space="preserve"> ויש מהגאונים שאמרו שאף בחיי השנייה נוטלין</w:t>
      </w:r>
      <w:r>
        <w:rPr>
          <w:rFonts w:cs="Arial" w:hint="cs"/>
          <w:rtl/>
        </w:rPr>
        <w:t>,</w:t>
      </w:r>
      <w:r w:rsidRPr="008A1F1E">
        <w:rPr>
          <w:rFonts w:cs="Arial"/>
          <w:rtl/>
        </w:rPr>
        <w:t xml:space="preserve"> ודייקי מדקתני מתניתין (צ.) שנייה ויורשיה קודמין</w:t>
      </w:r>
      <w:r>
        <w:rPr>
          <w:rFonts w:cs="Arial" w:hint="cs"/>
          <w:rtl/>
        </w:rPr>
        <w:t>.</w:t>
      </w:r>
      <w:r w:rsidRPr="008A1F1E">
        <w:rPr>
          <w:rFonts w:cs="Arial"/>
          <w:rtl/>
        </w:rPr>
        <w:t xml:space="preserve"> וכי היכי דדייקינן (שם:) על יורשיה מקדם הוא דקדמי הא איכא שקלי הכי נמי דייקינן בשניה מקדם הוא דקדמה הא איכא שקלי</w:t>
      </w:r>
      <w:r>
        <w:rPr>
          <w:rFonts w:cs="Arial" w:hint="cs"/>
          <w:rtl/>
        </w:rPr>
        <w:t>.</w:t>
      </w:r>
      <w:r w:rsidRPr="008A1F1E">
        <w:rPr>
          <w:rFonts w:cs="Arial"/>
          <w:rtl/>
        </w:rPr>
        <w:t xml:space="preserve"> וכן מסתבר</w:t>
      </w:r>
      <w:r>
        <w:rPr>
          <w:rFonts w:cs="Arial" w:hint="cs"/>
          <w:rtl/>
        </w:rPr>
        <w:t>,</w:t>
      </w:r>
      <w:r w:rsidRPr="008A1F1E">
        <w:rPr>
          <w:rFonts w:cs="Arial"/>
          <w:rtl/>
        </w:rPr>
        <w:t xml:space="preserve"> דאם איתא דבחייה לית להו לבני הראשונה גם אחרי מותה נמי לית להו דכבר זכו בהם בני השנייה בנכסים כי היכי דאמרינן במועטים ונתרבו</w:t>
      </w:r>
      <w:r>
        <w:rPr>
          <w:rFonts w:cs="Arial" w:hint="cs"/>
          <w:rtl/>
        </w:rPr>
        <w:t>.</w:t>
      </w:r>
    </w:p>
  </w:footnote>
  <w:footnote w:id="2784">
    <w:p w14:paraId="13BA5B4F" w14:textId="77777777" w:rsidR="00DF1FC7" w:rsidRDefault="00DF1FC7" w:rsidP="002E5BAD">
      <w:pPr>
        <w:pStyle w:val="a5"/>
      </w:pPr>
      <w:r>
        <w:rPr>
          <w:rStyle w:val="a7"/>
        </w:rPr>
        <w:footnoteRef/>
      </w:r>
      <w:r>
        <w:rPr>
          <w:rtl/>
        </w:rPr>
        <w:t xml:space="preserve"> </w:t>
      </w:r>
      <w:r w:rsidRPr="008A1F1E">
        <w:rPr>
          <w:rFonts w:cs="Arial"/>
          <w:rtl/>
        </w:rPr>
        <w:t>וכדבריו כתב הר"ן ז"ל (מט: דיבור ראשון)</w:t>
      </w:r>
      <w:r>
        <w:rPr>
          <w:rFonts w:cs="Arial" w:hint="cs"/>
          <w:rtl/>
        </w:rPr>
        <w:t>.</w:t>
      </w:r>
      <w:r w:rsidRPr="008A1F1E">
        <w:rPr>
          <w:rFonts w:cs="Arial"/>
          <w:rtl/>
        </w:rPr>
        <w:t xml:space="preserve"> וכתב הרב המגיד בפי"ט מהלכות אישות (ה"ז) שכן עיקר</w:t>
      </w:r>
      <w:r>
        <w:rPr>
          <w:rFonts w:cs="Arial" w:hint="cs"/>
          <w:rtl/>
        </w:rPr>
        <w:t>,</w:t>
      </w:r>
      <w:r w:rsidRPr="008A1F1E">
        <w:rPr>
          <w:rFonts w:cs="Arial"/>
          <w:rtl/>
        </w:rPr>
        <w:t xml:space="preserve"> ושכן העלו הרמב"ן (צ: ד"ה והא) ורשב"א ז"ל</w:t>
      </w:r>
      <w:r>
        <w:rPr>
          <w:rFonts w:cs="Arial" w:hint="cs"/>
          <w:rtl/>
        </w:rPr>
        <w:t>.</w:t>
      </w:r>
      <w:r w:rsidRPr="008A1F1E">
        <w:rPr>
          <w:rFonts w:cs="Arial"/>
          <w:rtl/>
        </w:rPr>
        <w:t xml:space="preserve"> ושלא כדברי המרדכי שכתב בפרק מי שהיה נשוי (סי' רלה) בשם הר"ם דכיון דאיכא פלוגתא דרבוותא לא עבדינן בה עובדא. </w:t>
      </w:r>
      <w:r>
        <w:rPr>
          <w:rFonts w:cs="Arial" w:hint="cs"/>
          <w:rtl/>
        </w:rPr>
        <w:t xml:space="preserve">ועוד </w:t>
      </w:r>
      <w:r w:rsidRPr="008A1F1E">
        <w:rPr>
          <w:rFonts w:cs="Arial"/>
          <w:rtl/>
        </w:rPr>
        <w:t>כתבו הר"ן (שם ד"ה כתובה) והרב המגיד (שם) שיש מי שאומר דנהי דכתובה נעשית מותר לחבירתה אין בני הראשונה נוטלין כלום אלא כשהנכסים מספיקים לשתי הכתובות ושהכריע הרשב"א שאין זה כלום</w:t>
      </w:r>
      <w:r>
        <w:rPr>
          <w:rFonts w:cs="Arial" w:hint="cs"/>
          <w:rtl/>
        </w:rPr>
        <w:t>, ב"י.</w:t>
      </w:r>
    </w:p>
  </w:footnote>
  <w:footnote w:id="2785">
    <w:p w14:paraId="6F4DB2F3" w14:textId="77777777" w:rsidR="00DF1FC7" w:rsidRDefault="00DF1FC7" w:rsidP="002E5BAD">
      <w:pPr>
        <w:pStyle w:val="a5"/>
        <w:rPr>
          <w:rtl/>
        </w:rPr>
      </w:pPr>
      <w:r>
        <w:rPr>
          <w:rStyle w:val="a7"/>
        </w:rPr>
        <w:footnoteRef/>
      </w:r>
      <w:r>
        <w:rPr>
          <w:rtl/>
        </w:rPr>
        <w:t xml:space="preserve"> </w:t>
      </w:r>
      <w:r w:rsidRPr="009F2A14">
        <w:rPr>
          <w:rtl/>
        </w:rPr>
        <w:t>ודברים ברורים הם</w:t>
      </w:r>
      <w:r>
        <w:rPr>
          <w:rFonts w:hint="cs"/>
          <w:rtl/>
        </w:rPr>
        <w:t>, ב"י.</w:t>
      </w:r>
      <w:r w:rsidRPr="009F2A14">
        <w:rPr>
          <w:rtl/>
        </w:rPr>
        <w:t xml:space="preserve"> </w:t>
      </w:r>
    </w:p>
  </w:footnote>
  <w:footnote w:id="2786">
    <w:p w14:paraId="12D6F889" w14:textId="77777777" w:rsidR="00DF1FC7" w:rsidRDefault="00DF1FC7" w:rsidP="002E5BAD">
      <w:pPr>
        <w:pStyle w:val="a5"/>
        <w:rPr>
          <w:rtl/>
        </w:rPr>
      </w:pPr>
      <w:r>
        <w:rPr>
          <w:rStyle w:val="a7"/>
        </w:rPr>
        <w:footnoteRef/>
      </w:r>
      <w:r>
        <w:rPr>
          <w:rtl/>
        </w:rPr>
        <w:t xml:space="preserve"> </w:t>
      </w:r>
      <w:r w:rsidRPr="00A26819">
        <w:rPr>
          <w:rFonts w:cs="Arial"/>
          <w:rtl/>
        </w:rPr>
        <w:t>דלא תקנו כב"ד רק כשהבעל יורש אשתו ולא כשמת הוא בחייה אף שלא נשבעה על כתובתה וגם היא נחשדת שלקחה צררי</w:t>
      </w:r>
      <w:r>
        <w:rPr>
          <w:rFonts w:hint="cs"/>
          <w:rtl/>
        </w:rPr>
        <w:t>, ח"מ (סקט"ז).</w:t>
      </w:r>
    </w:p>
  </w:footnote>
  <w:footnote w:id="2787">
    <w:p w14:paraId="5C0954BE" w14:textId="77777777" w:rsidR="00DF1FC7" w:rsidRDefault="00DF1FC7" w:rsidP="002E5BAD">
      <w:pPr>
        <w:pStyle w:val="a5"/>
      </w:pPr>
      <w:r>
        <w:rPr>
          <w:rStyle w:val="a7"/>
        </w:rPr>
        <w:footnoteRef/>
      </w:r>
      <w:r>
        <w:rPr>
          <w:rtl/>
        </w:rPr>
        <w:t xml:space="preserve"> </w:t>
      </w:r>
      <w:r w:rsidRPr="003500E9">
        <w:rPr>
          <w:rFonts w:cs="Arial"/>
          <w:rtl/>
        </w:rPr>
        <w:t>בחייו נשא שניה ומת הוא ויורשי הראשונה באין ותובעין כתובת בנין דכרין כמו ששנינו (נב:) בנין דכרין דיהויין ליכי מינאי כו' או רוצים לחלוק ירושת אביהם</w:t>
      </w:r>
      <w:r>
        <w:rPr>
          <w:rFonts w:cs="Arial" w:hint="cs"/>
          <w:rtl/>
        </w:rPr>
        <w:t>, רש"י.</w:t>
      </w:r>
    </w:p>
  </w:footnote>
  <w:footnote w:id="2788">
    <w:p w14:paraId="6D04E6F8" w14:textId="77777777" w:rsidR="00DF1FC7" w:rsidRDefault="00DF1FC7" w:rsidP="002E5BAD">
      <w:pPr>
        <w:pStyle w:val="a5"/>
        <w:rPr>
          <w:rtl/>
        </w:rPr>
      </w:pPr>
      <w:r>
        <w:rPr>
          <w:rStyle w:val="a7"/>
        </w:rPr>
        <w:footnoteRef/>
      </w:r>
      <w:r>
        <w:rPr>
          <w:rtl/>
        </w:rPr>
        <w:t xml:space="preserve"> </w:t>
      </w:r>
      <w:r w:rsidRPr="003500E9">
        <w:rPr>
          <w:rFonts w:cs="Arial"/>
          <w:rtl/>
        </w:rPr>
        <w:t>שהיא בעלת חוב אבל ראשונים באין לירש את אביהן דהא אינון ירתון תנן לפיכך פורעין את החוב תחילה והשאר ירושה</w:t>
      </w:r>
      <w:r>
        <w:rPr>
          <w:rFonts w:hint="cs"/>
          <w:rtl/>
        </w:rPr>
        <w:t>, רש"י.</w:t>
      </w:r>
    </w:p>
  </w:footnote>
  <w:footnote w:id="2789">
    <w:p w14:paraId="701DB226" w14:textId="77777777" w:rsidR="00DF1FC7" w:rsidRDefault="00DF1FC7" w:rsidP="002E5BAD">
      <w:pPr>
        <w:pStyle w:val="a5"/>
        <w:rPr>
          <w:rtl/>
        </w:rPr>
      </w:pPr>
      <w:r>
        <w:rPr>
          <w:rStyle w:val="a7"/>
        </w:rPr>
        <w:footnoteRef/>
      </w:r>
      <w:r>
        <w:rPr>
          <w:rtl/>
        </w:rPr>
        <w:t xml:space="preserve"> </w:t>
      </w:r>
      <w:r w:rsidRPr="00A030DB">
        <w:rPr>
          <w:rFonts w:cs="Arial"/>
          <w:rtl/>
        </w:rPr>
        <w:t xml:space="preserve">דלא תימא </w:t>
      </w:r>
      <w:r>
        <w:rPr>
          <w:rFonts w:cs="Arial" w:hint="cs"/>
          <w:rtl/>
        </w:rPr>
        <w:t>'</w:t>
      </w:r>
      <w:r w:rsidRPr="00A030DB">
        <w:rPr>
          <w:rFonts w:cs="Arial"/>
          <w:rtl/>
        </w:rPr>
        <w:t>יתבון</w:t>
      </w:r>
      <w:r>
        <w:rPr>
          <w:rFonts w:cs="Arial" w:hint="cs"/>
          <w:rtl/>
        </w:rPr>
        <w:t>'</w:t>
      </w:r>
      <w:r w:rsidRPr="00A030DB">
        <w:rPr>
          <w:rFonts w:cs="Arial"/>
          <w:rtl/>
        </w:rPr>
        <w:t xml:space="preserve"> תנן</w:t>
      </w:r>
      <w:r>
        <w:rPr>
          <w:rFonts w:cs="Arial" w:hint="cs"/>
          <w:rtl/>
        </w:rPr>
        <w:t>,</w:t>
      </w:r>
      <w:r w:rsidRPr="00A030DB">
        <w:rPr>
          <w:rFonts w:cs="Arial"/>
          <w:rtl/>
        </w:rPr>
        <w:t xml:space="preserve"> ובעל חוב הוו</w:t>
      </w:r>
      <w:r>
        <w:rPr>
          <w:rFonts w:cs="Arial" w:hint="cs"/>
          <w:rtl/>
        </w:rPr>
        <w:t>,</w:t>
      </w:r>
      <w:r w:rsidRPr="00A030DB">
        <w:rPr>
          <w:rFonts w:cs="Arial"/>
          <w:rtl/>
        </w:rPr>
        <w:t xml:space="preserve"> ושעבודם קודם</w:t>
      </w:r>
      <w:r>
        <w:rPr>
          <w:rFonts w:cs="Arial" w:hint="cs"/>
          <w:rtl/>
        </w:rPr>
        <w:t>,</w:t>
      </w:r>
      <w:r w:rsidRPr="00A030DB">
        <w:rPr>
          <w:rFonts w:cs="Arial"/>
          <w:rtl/>
        </w:rPr>
        <w:t xml:space="preserve"> ויטרפו מבני השניה שהן בעלי חובות מאוחרין</w:t>
      </w:r>
      <w:r>
        <w:rPr>
          <w:rFonts w:cs="Arial" w:hint="cs"/>
          <w:rtl/>
        </w:rPr>
        <w:t>.</w:t>
      </w:r>
      <w:r w:rsidRPr="00A030DB">
        <w:rPr>
          <w:rFonts w:cs="Arial"/>
          <w:rtl/>
        </w:rPr>
        <w:t xml:space="preserve"> אלא יורשין הן</w:t>
      </w:r>
      <w:r>
        <w:rPr>
          <w:rFonts w:cs="Arial" w:hint="cs"/>
          <w:rtl/>
        </w:rPr>
        <w:t>,</w:t>
      </w:r>
      <w:r w:rsidRPr="00A030DB">
        <w:rPr>
          <w:rFonts w:cs="Arial"/>
          <w:rtl/>
        </w:rPr>
        <w:t xml:space="preserve"> </w:t>
      </w:r>
      <w:r>
        <w:rPr>
          <w:rFonts w:cs="Arial" w:hint="cs"/>
          <w:rtl/>
        </w:rPr>
        <w:t>'</w:t>
      </w:r>
      <w:r w:rsidRPr="00A030DB">
        <w:rPr>
          <w:rFonts w:cs="Arial"/>
          <w:rtl/>
        </w:rPr>
        <w:t>וירתון</w:t>
      </w:r>
      <w:r>
        <w:rPr>
          <w:rFonts w:cs="Arial" w:hint="cs"/>
          <w:rtl/>
        </w:rPr>
        <w:t>'</w:t>
      </w:r>
      <w:r w:rsidRPr="00A030DB">
        <w:rPr>
          <w:rFonts w:cs="Arial"/>
          <w:rtl/>
        </w:rPr>
        <w:t xml:space="preserve"> תנן</w:t>
      </w:r>
      <w:r>
        <w:rPr>
          <w:rFonts w:cs="Arial" w:hint="cs"/>
          <w:rtl/>
        </w:rPr>
        <w:t>,</w:t>
      </w:r>
      <w:r w:rsidRPr="00A030DB">
        <w:rPr>
          <w:rFonts w:cs="Arial"/>
          <w:rtl/>
        </w:rPr>
        <w:t xml:space="preserve"> ולא גבו ממשעבדי</w:t>
      </w:r>
      <w:r>
        <w:rPr>
          <w:rFonts w:hint="cs"/>
          <w:rtl/>
        </w:rPr>
        <w:t>, רש"י.</w:t>
      </w:r>
    </w:p>
  </w:footnote>
  <w:footnote w:id="2790">
    <w:p w14:paraId="3E4857F6" w14:textId="77777777" w:rsidR="00DF1FC7" w:rsidRDefault="00DF1FC7" w:rsidP="002E5BAD">
      <w:pPr>
        <w:pStyle w:val="a5"/>
      </w:pPr>
      <w:r>
        <w:rPr>
          <w:rStyle w:val="a7"/>
        </w:rPr>
        <w:footnoteRef/>
      </w:r>
      <w:r>
        <w:rPr>
          <w:rtl/>
        </w:rPr>
        <w:t xml:space="preserve"> </w:t>
      </w:r>
      <w:r w:rsidRPr="008A1F1E">
        <w:rPr>
          <w:rFonts w:cs="Arial"/>
          <w:rtl/>
        </w:rPr>
        <w:t>ומשמע מדברי המרדכי דממתנת שכיב מרע נגבית כתובת בנין דכרין וכן הוא ברמב"ם פי"ט דאישות (הי"ג) וכ"כ ב"י (סוף הסי') בשם הרשב"ץ והריב"ש דכתובת בנין דכרין קודמת למתנת שכיב מרע וגביא מהן</w:t>
      </w:r>
      <w:r>
        <w:rPr>
          <w:rFonts w:hint="cs"/>
          <w:rtl/>
        </w:rPr>
        <w:t>, דרכ"מ (אות א).</w:t>
      </w:r>
    </w:p>
  </w:footnote>
  <w:footnote w:id="2791">
    <w:p w14:paraId="78635174" w14:textId="77777777" w:rsidR="00DF1FC7" w:rsidRDefault="00DF1FC7" w:rsidP="002E5BAD">
      <w:pPr>
        <w:pStyle w:val="a5"/>
        <w:rPr>
          <w:rtl/>
        </w:rPr>
      </w:pPr>
      <w:r>
        <w:rPr>
          <w:rStyle w:val="a7"/>
        </w:rPr>
        <w:footnoteRef/>
      </w:r>
      <w:r>
        <w:rPr>
          <w:rtl/>
        </w:rPr>
        <w:t xml:space="preserve"> </w:t>
      </w:r>
      <w:r w:rsidRPr="008A1F1E">
        <w:rPr>
          <w:rFonts w:cs="Arial"/>
          <w:rtl/>
        </w:rPr>
        <w:t>וע"ל סימן ק' (אות יא) תשובת מוהר"ם שכתב להפך</w:t>
      </w:r>
      <w:r>
        <w:rPr>
          <w:rFonts w:cs="Arial" w:hint="cs"/>
          <w:rtl/>
        </w:rPr>
        <w:t>, דרכ"מ (אות א). וז"ל שם בשם מ</w:t>
      </w:r>
      <w:r w:rsidRPr="00F02E86">
        <w:rPr>
          <w:rFonts w:cs="Arial"/>
          <w:rtl/>
        </w:rPr>
        <w:t xml:space="preserve">הר"ם </w:t>
      </w:r>
      <w:r w:rsidRPr="00707E37">
        <w:rPr>
          <w:rFonts w:cs="Arial"/>
          <w:sz w:val="16"/>
          <w:szCs w:val="16"/>
          <w:rtl/>
        </w:rPr>
        <w:t>(עי' שו"ת ד"ק סי' קצב, ד"ב סי' מ</w:t>
      </w:r>
      <w:r w:rsidRPr="00707E37">
        <w:rPr>
          <w:rFonts w:cs="Arial" w:hint="cs"/>
          <w:sz w:val="16"/>
          <w:szCs w:val="16"/>
          <w:rtl/>
        </w:rPr>
        <w:t>, כ"כ בשמו המרדכי [</w:t>
      </w:r>
      <w:r>
        <w:rPr>
          <w:rFonts w:cs="Arial" w:hint="cs"/>
          <w:sz w:val="16"/>
          <w:szCs w:val="16"/>
          <w:rtl/>
        </w:rPr>
        <w:t xml:space="preserve">פ' נערה </w:t>
      </w:r>
      <w:r w:rsidRPr="00707E37">
        <w:rPr>
          <w:rFonts w:cs="Arial" w:hint="cs"/>
          <w:sz w:val="16"/>
          <w:szCs w:val="16"/>
          <w:rtl/>
        </w:rPr>
        <w:t>סי' קסא]</w:t>
      </w:r>
      <w:r w:rsidRPr="00707E37">
        <w:rPr>
          <w:rFonts w:cs="Arial"/>
          <w:sz w:val="16"/>
          <w:szCs w:val="16"/>
          <w:rtl/>
        </w:rPr>
        <w:t>)</w:t>
      </w:r>
      <w:r>
        <w:rPr>
          <w:rFonts w:cs="Arial" w:hint="cs"/>
          <w:rtl/>
        </w:rPr>
        <w:t>-</w:t>
      </w:r>
      <w:r w:rsidRPr="00F02E86">
        <w:rPr>
          <w:rFonts w:cs="Arial"/>
          <w:rtl/>
        </w:rPr>
        <w:t xml:space="preserve"> הנותן מתנה לבנו הראוי ליורשו במתנת בריא לא הוי מתנה להפקיע מידי כתובה דכל מתנה שאדם נותן ליורשיו הוי כמו ירושה בעלמא</w:t>
      </w:r>
      <w:r>
        <w:rPr>
          <w:rFonts w:cs="Arial" w:hint="cs"/>
          <w:rtl/>
        </w:rPr>
        <w:t>. עכ"ל.</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r>
        <w:rPr>
          <w:rFonts w:hint="cs"/>
          <w:color w:val="00B0F0"/>
          <w:sz w:val="16"/>
          <w:szCs w:val="16"/>
          <w:rtl/>
        </w:rPr>
        <w:t xml:space="preserve"> </w:t>
      </w:r>
      <w:r w:rsidRPr="00D60E4D">
        <w:rPr>
          <w:rFonts w:hint="cs"/>
          <w:sz w:val="16"/>
          <w:szCs w:val="16"/>
          <w:rtl/>
        </w:rPr>
        <w:t>[סי' ק ס"א]</w:t>
      </w:r>
      <w:r w:rsidRPr="0020731C">
        <w:rPr>
          <w:rFonts w:hint="cs"/>
          <w:color w:val="00B0F0"/>
          <w:rtl/>
        </w:rPr>
        <w:t>)</w:t>
      </w:r>
      <w:r>
        <w:rPr>
          <w:rFonts w:cs="Arial" w:hint="cs"/>
          <w:color w:val="000000" w:themeColor="text1"/>
          <w:rtl/>
        </w:rPr>
        <w:t xml:space="preserve">. </w:t>
      </w:r>
      <w:r w:rsidRPr="001C61B6">
        <w:rPr>
          <w:rFonts w:cs="Arial" w:hint="cs"/>
          <w:color w:val="FF0000"/>
          <w:rtl/>
        </w:rPr>
        <w:t xml:space="preserve">וצל"ע מדוע כתב הדרכ"מ שתשובה זו בהפך למה שכתב </w:t>
      </w:r>
      <w:r>
        <w:rPr>
          <w:rFonts w:cs="Arial" w:hint="cs"/>
          <w:color w:val="FF0000"/>
          <w:rtl/>
        </w:rPr>
        <w:t xml:space="preserve">המרדכי </w:t>
      </w:r>
      <w:r w:rsidRPr="001C61B6">
        <w:rPr>
          <w:rFonts w:cs="Arial" w:hint="cs"/>
          <w:color w:val="FF0000"/>
          <w:rtl/>
        </w:rPr>
        <w:t xml:space="preserve">כאן, והרי אפשר לחלק ששם מדובר בנתן </w:t>
      </w:r>
      <w:r>
        <w:rPr>
          <w:rFonts w:cs="Arial" w:hint="cs"/>
          <w:color w:val="FF0000"/>
          <w:rtl/>
        </w:rPr>
        <w:t>'</w:t>
      </w:r>
      <w:r w:rsidRPr="001C61B6">
        <w:rPr>
          <w:rFonts w:cs="Arial" w:hint="cs"/>
          <w:color w:val="FF0000"/>
          <w:rtl/>
        </w:rPr>
        <w:t>לבנו</w:t>
      </w:r>
      <w:r>
        <w:rPr>
          <w:rFonts w:cs="Arial" w:hint="cs"/>
          <w:color w:val="FF0000"/>
          <w:rtl/>
        </w:rPr>
        <w:t xml:space="preserve"> הראוי ליורשו'</w:t>
      </w:r>
      <w:r w:rsidRPr="001C61B6">
        <w:rPr>
          <w:rFonts w:cs="Arial" w:hint="cs"/>
          <w:color w:val="FF0000"/>
          <w:rtl/>
        </w:rPr>
        <w:t>, וכאן ל</w:t>
      </w:r>
      <w:r>
        <w:rPr>
          <w:rFonts w:cs="Arial" w:hint="cs"/>
          <w:color w:val="FF0000"/>
          <w:rtl/>
        </w:rPr>
        <w:t>חתנו (ואינו ראוי ליורשו)</w:t>
      </w:r>
      <w:r w:rsidRPr="001C61B6">
        <w:rPr>
          <w:rFonts w:cs="Arial" w:hint="cs"/>
          <w:color w:val="FF0000"/>
          <w:rtl/>
        </w:rPr>
        <w:t xml:space="preserve">, </w:t>
      </w:r>
      <w:r>
        <w:rPr>
          <w:rFonts w:cs="Arial" w:hint="cs"/>
          <w:color w:val="FF0000"/>
          <w:rtl/>
        </w:rPr>
        <w:t>ולכן</w:t>
      </w:r>
      <w:r w:rsidRPr="001C61B6">
        <w:rPr>
          <w:rFonts w:cs="Arial" w:hint="cs"/>
          <w:color w:val="FF0000"/>
          <w:rtl/>
        </w:rPr>
        <w:t xml:space="preserve"> אין זה כירושה, וצל"ע</w:t>
      </w:r>
      <w:r>
        <w:rPr>
          <w:rFonts w:cs="Arial" w:hint="cs"/>
          <w:color w:val="FF0000"/>
          <w:rtl/>
        </w:rPr>
        <w:t>.</w:t>
      </w:r>
      <w:r w:rsidRPr="001C61B6">
        <w:rPr>
          <w:rFonts w:cs="Arial" w:hint="cs"/>
          <w:color w:val="FF0000"/>
          <w:rtl/>
        </w:rPr>
        <w:t xml:space="preserve"> ועוד שהרי הדרכ"מ כתב </w:t>
      </w:r>
      <w:r>
        <w:rPr>
          <w:rFonts w:cs="Arial" w:hint="cs"/>
          <w:color w:val="FF0000"/>
          <w:rtl/>
        </w:rPr>
        <w:t xml:space="preserve">שם </w:t>
      </w:r>
      <w:r w:rsidRPr="001C61B6">
        <w:rPr>
          <w:rFonts w:cs="Arial" w:hint="cs"/>
          <w:color w:val="FF0000"/>
          <w:rtl/>
        </w:rPr>
        <w:t>כ</w:t>
      </w:r>
      <w:r>
        <w:rPr>
          <w:rFonts w:cs="Arial" w:hint="cs"/>
          <w:color w:val="FF0000"/>
          <w:rtl/>
        </w:rPr>
        <w:t xml:space="preserve">עין זה </w:t>
      </w:r>
      <w:r w:rsidRPr="001C61B6">
        <w:rPr>
          <w:rFonts w:cs="Arial" w:hint="cs"/>
          <w:color w:val="FF0000"/>
          <w:rtl/>
        </w:rPr>
        <w:t>בפירוש, וז"ל (שם)-</w:t>
      </w:r>
      <w:r w:rsidRPr="001C61B6">
        <w:rPr>
          <w:rFonts w:cs="Arial"/>
          <w:color w:val="FF0000"/>
          <w:rtl/>
        </w:rPr>
        <w:t xml:space="preserve"> וכן הוא בהגה</w:t>
      </w:r>
      <w:r w:rsidRPr="001C61B6">
        <w:rPr>
          <w:rFonts w:cs="Arial" w:hint="cs"/>
          <w:color w:val="FF0000"/>
          <w:rtl/>
        </w:rPr>
        <w:t>"</w:t>
      </w:r>
      <w:r w:rsidRPr="001C61B6">
        <w:rPr>
          <w:rFonts w:cs="Arial"/>
          <w:color w:val="FF0000"/>
          <w:rtl/>
        </w:rPr>
        <w:t>מ פי"ו דאישות (אות ד) דאין מתנת בריא מפקיע מידי כתובה אלא בנתן לאחר אבל לא ליורשיו</w:t>
      </w:r>
      <w:r w:rsidRPr="001C61B6">
        <w:rPr>
          <w:rFonts w:cs="Arial" w:hint="cs"/>
          <w:color w:val="FF0000"/>
          <w:rtl/>
        </w:rPr>
        <w:t>.</w:t>
      </w:r>
      <w:r w:rsidRPr="001C61B6">
        <w:rPr>
          <w:rFonts w:cs="Arial"/>
          <w:color w:val="FF0000"/>
          <w:rtl/>
        </w:rPr>
        <w:t xml:space="preserve"> וכ"כ מהרא"י </w:t>
      </w:r>
      <w:r w:rsidRPr="001C61B6">
        <w:rPr>
          <w:rFonts w:cs="Arial" w:hint="cs"/>
          <w:color w:val="FF0000"/>
          <w:rtl/>
        </w:rPr>
        <w:t>(</w:t>
      </w:r>
      <w:r w:rsidRPr="001C61B6">
        <w:rPr>
          <w:rFonts w:cs="Arial"/>
          <w:color w:val="FF0000"/>
          <w:rtl/>
        </w:rPr>
        <w:t>סי' פו</w:t>
      </w:r>
      <w:r w:rsidRPr="001C61B6">
        <w:rPr>
          <w:rFonts w:cs="Arial" w:hint="cs"/>
          <w:color w:val="FF0000"/>
          <w:rtl/>
        </w:rPr>
        <w:t>).</w:t>
      </w:r>
      <w:r w:rsidRPr="001C61B6">
        <w:rPr>
          <w:rFonts w:cs="Arial"/>
          <w:color w:val="FF0000"/>
          <w:rtl/>
        </w:rPr>
        <w:t xml:space="preserve"> וכ"כ מהרי"ו </w:t>
      </w:r>
      <w:r w:rsidRPr="001C61B6">
        <w:rPr>
          <w:rFonts w:cs="Arial" w:hint="cs"/>
          <w:color w:val="FF0000"/>
          <w:rtl/>
        </w:rPr>
        <w:t>(</w:t>
      </w:r>
      <w:r w:rsidRPr="001C61B6">
        <w:rPr>
          <w:rFonts w:cs="Arial"/>
          <w:color w:val="FF0000"/>
          <w:rtl/>
        </w:rPr>
        <w:t>בתשובה סי</w:t>
      </w:r>
      <w:r w:rsidRPr="001C61B6">
        <w:rPr>
          <w:rFonts w:cs="Arial" w:hint="cs"/>
          <w:color w:val="FF0000"/>
          <w:rtl/>
        </w:rPr>
        <w:t xml:space="preserve">' </w:t>
      </w:r>
      <w:r w:rsidRPr="001C61B6">
        <w:rPr>
          <w:rFonts w:cs="Arial"/>
          <w:color w:val="FF0000"/>
          <w:rtl/>
        </w:rPr>
        <w:t>קנו</w:t>
      </w:r>
      <w:r w:rsidRPr="001C61B6">
        <w:rPr>
          <w:rFonts w:cs="Arial" w:hint="cs"/>
          <w:color w:val="FF0000"/>
          <w:rtl/>
        </w:rPr>
        <w:t>)</w:t>
      </w:r>
      <w:r w:rsidRPr="001C61B6">
        <w:rPr>
          <w:rFonts w:hint="cs"/>
          <w:color w:val="FF0000"/>
          <w:rtl/>
        </w:rPr>
        <w:t>.</w:t>
      </w:r>
      <w:r>
        <w:rPr>
          <w:rFonts w:hint="cs"/>
          <w:color w:val="FF0000"/>
          <w:rtl/>
        </w:rPr>
        <w:t xml:space="preserve"> עכ"ל הדרכ"מ שם.</w:t>
      </w:r>
      <w:r>
        <w:rPr>
          <w:rFonts w:hint="cs"/>
          <w:rtl/>
        </w:rPr>
        <w:t xml:space="preserve"> ועיין בדברי הב"י (בבדה"ב) שמובאים בסוף הסימן (סע' יז).</w:t>
      </w:r>
    </w:p>
  </w:footnote>
  <w:footnote w:id="2792">
    <w:p w14:paraId="1538CE39" w14:textId="77777777" w:rsidR="00DF1FC7" w:rsidRDefault="00DF1FC7" w:rsidP="002E5BAD">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2793">
    <w:p w14:paraId="3F4C1695" w14:textId="77777777" w:rsidR="00DF1FC7" w:rsidRDefault="00DF1FC7" w:rsidP="002E5BAD">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2794">
    <w:p w14:paraId="650B1C9B" w14:textId="77777777" w:rsidR="00DF1FC7" w:rsidRDefault="00DF1FC7" w:rsidP="002E5BAD">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2795">
    <w:p w14:paraId="76555546" w14:textId="77777777" w:rsidR="00DF1FC7" w:rsidRDefault="00DF1FC7" w:rsidP="002E5BAD">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2796">
    <w:p w14:paraId="42B55F02" w14:textId="77777777" w:rsidR="00DF1FC7" w:rsidRDefault="00DF1FC7" w:rsidP="002E5BAD">
      <w:pPr>
        <w:pStyle w:val="a5"/>
      </w:pPr>
      <w:r>
        <w:rPr>
          <w:rStyle w:val="a7"/>
        </w:rPr>
        <w:footnoteRef/>
      </w:r>
      <w:r>
        <w:rPr>
          <w:rtl/>
        </w:rPr>
        <w:t xml:space="preserve"> </w:t>
      </w:r>
      <w:r w:rsidRPr="00D878AF">
        <w:rPr>
          <w:rFonts w:cs="Arial"/>
          <w:rtl/>
        </w:rPr>
        <w:t>בני הכתובה הגדולה</w:t>
      </w:r>
      <w:r>
        <w:rPr>
          <w:rFonts w:cs="Arial" w:hint="cs"/>
          <w:rtl/>
        </w:rPr>
        <w:t>, רש"י.</w:t>
      </w:r>
    </w:p>
  </w:footnote>
  <w:footnote w:id="2797">
    <w:p w14:paraId="430A9DE0" w14:textId="77777777" w:rsidR="00DF1FC7" w:rsidRDefault="00DF1FC7" w:rsidP="002E5BAD">
      <w:pPr>
        <w:pStyle w:val="a5"/>
      </w:pPr>
      <w:r>
        <w:rPr>
          <w:rStyle w:val="a7"/>
        </w:rPr>
        <w:footnoteRef/>
      </w:r>
      <w:r>
        <w:rPr>
          <w:rtl/>
        </w:rPr>
        <w:t xml:space="preserve"> </w:t>
      </w:r>
      <w:r w:rsidRPr="00D878AF">
        <w:rPr>
          <w:rFonts w:cs="Arial"/>
          <w:rtl/>
        </w:rPr>
        <w:t>מעלין דמיהן לקבלם עלינו ביוקר כדי דינר יתר על שוויין כדי שיהיה שם מותר דינר ויטלו כתובת אמם</w:t>
      </w:r>
      <w:r>
        <w:rPr>
          <w:rFonts w:cs="Arial" w:hint="cs"/>
          <w:rtl/>
        </w:rPr>
        <w:t>, רש"י.</w:t>
      </w:r>
    </w:p>
  </w:footnote>
  <w:footnote w:id="2798">
    <w:p w14:paraId="09578587" w14:textId="77777777" w:rsidR="00DF1FC7" w:rsidRDefault="00DF1FC7" w:rsidP="002E5BAD">
      <w:pPr>
        <w:pStyle w:val="a5"/>
      </w:pPr>
      <w:r>
        <w:rPr>
          <w:rStyle w:val="a7"/>
        </w:rPr>
        <w:footnoteRef/>
      </w:r>
      <w:r>
        <w:rPr>
          <w:rtl/>
        </w:rPr>
        <w:t xml:space="preserve"> </w:t>
      </w:r>
      <w:r w:rsidRPr="00D878AF">
        <w:rPr>
          <w:rFonts w:cs="Arial"/>
          <w:rtl/>
        </w:rPr>
        <w:t>שראויה ליפול להם ירושה מאבי אביהם אחר מות אביהם ולכשתפול יהיה שם מותר דינר בשתי הירושות</w:t>
      </w:r>
      <w:r>
        <w:rPr>
          <w:rFonts w:cs="Arial" w:hint="cs"/>
          <w:rtl/>
        </w:rPr>
        <w:t>, רש"י.</w:t>
      </w:r>
    </w:p>
  </w:footnote>
  <w:footnote w:id="2799">
    <w:p w14:paraId="7DAA35C6" w14:textId="77777777" w:rsidR="00DF1FC7" w:rsidRDefault="00DF1FC7" w:rsidP="002E5BAD">
      <w:pPr>
        <w:pStyle w:val="a5"/>
      </w:pPr>
      <w:r>
        <w:rPr>
          <w:rStyle w:val="a7"/>
        </w:rPr>
        <w:footnoteRef/>
      </w:r>
      <w:r>
        <w:rPr>
          <w:rtl/>
        </w:rPr>
        <w:t xml:space="preserve"> </w:t>
      </w:r>
      <w:r w:rsidRPr="00D878AF">
        <w:rPr>
          <w:rFonts w:cs="Arial"/>
          <w:rtl/>
        </w:rPr>
        <w:t>אינן נחשבין עכשיו להיות כאילו הן מוחזקין בהן כבר ויש כאן מותר דינר</w:t>
      </w:r>
      <w:r>
        <w:rPr>
          <w:rFonts w:cs="Arial" w:hint="cs"/>
          <w:rtl/>
        </w:rPr>
        <w:t>, רש"י.</w:t>
      </w:r>
    </w:p>
  </w:footnote>
  <w:footnote w:id="2800">
    <w:p w14:paraId="05DDF3CE" w14:textId="77777777" w:rsidR="00DF1FC7" w:rsidRDefault="00DF1FC7" w:rsidP="002E5BAD">
      <w:pPr>
        <w:pStyle w:val="a5"/>
      </w:pPr>
      <w:r>
        <w:rPr>
          <w:rStyle w:val="a7"/>
        </w:rPr>
        <w:footnoteRef/>
      </w:r>
      <w:r>
        <w:rPr>
          <w:rtl/>
        </w:rPr>
        <w:t xml:space="preserve"> </w:t>
      </w:r>
      <w:r>
        <w:rPr>
          <w:rFonts w:cs="Arial"/>
          <w:rtl/>
        </w:rPr>
        <w:t>כתב הרא"ש (סי' ב) על הא דרבי שמעון</w:t>
      </w:r>
      <w:r>
        <w:rPr>
          <w:rFonts w:cs="Arial" w:hint="cs"/>
          <w:rtl/>
        </w:rPr>
        <w:t>-</w:t>
      </w:r>
      <w:r>
        <w:rPr>
          <w:rFonts w:cs="Arial"/>
          <w:rtl/>
        </w:rPr>
        <w:t xml:space="preserve"> ולרבנן אפילו מטלטלי הוי מותר דמיקיים בהו נחלה דאורייתא</w:t>
      </w:r>
      <w:r>
        <w:rPr>
          <w:rFonts w:cs="Arial" w:hint="cs"/>
          <w:rtl/>
        </w:rPr>
        <w:t>.</w:t>
      </w:r>
      <w:r>
        <w:rPr>
          <w:rFonts w:cs="Arial"/>
          <w:rtl/>
        </w:rPr>
        <w:t xml:space="preserve"> אבל בהא מודו רבנן לרבי שמעון דבעינן מקרקעי שיעור שתי כתובות דתנאי כתובה ככתובה ודוקא מדקתני ממקרקעי גביא כתובת בנין דכרין ואף על גב דתקינו רבנן</w:t>
      </w:r>
      <w:r>
        <w:rPr>
          <w:rFonts w:cs="Arial" w:hint="cs"/>
          <w:rtl/>
        </w:rPr>
        <w:t xml:space="preserve"> </w:t>
      </w:r>
      <w:r>
        <w:rPr>
          <w:rFonts w:cs="Arial"/>
          <w:rtl/>
        </w:rPr>
        <w:t>בתראי למיגבי כתובה ממטלטלי לכתובת בנין דכרין לא תקון</w:t>
      </w:r>
      <w:r>
        <w:rPr>
          <w:rFonts w:cs="Arial" w:hint="cs"/>
          <w:rtl/>
        </w:rPr>
        <w:t>.</w:t>
      </w:r>
      <w:r>
        <w:rPr>
          <w:rFonts w:cs="Arial"/>
          <w:rtl/>
        </w:rPr>
        <w:t xml:space="preserve"> עכ"ל.</w:t>
      </w:r>
    </w:p>
  </w:footnote>
  <w:footnote w:id="2801">
    <w:p w14:paraId="2EDED784" w14:textId="77777777" w:rsidR="00DF1FC7" w:rsidRDefault="00DF1FC7" w:rsidP="002E5BAD">
      <w:pPr>
        <w:pStyle w:val="a5"/>
      </w:pPr>
      <w:r>
        <w:rPr>
          <w:rStyle w:val="a7"/>
        </w:rPr>
        <w:footnoteRef/>
      </w:r>
      <w:r>
        <w:rPr>
          <w:rtl/>
        </w:rPr>
        <w:t xml:space="preserve"> </w:t>
      </w:r>
      <w:r>
        <w:rPr>
          <w:rFonts w:cs="Arial" w:hint="cs"/>
          <w:rtl/>
        </w:rPr>
        <w:t xml:space="preserve">כתב הב"י וז"ל- </w:t>
      </w:r>
      <w:r>
        <w:rPr>
          <w:rFonts w:cs="Arial"/>
          <w:rtl/>
        </w:rPr>
        <w:t xml:space="preserve">אבל הרי"ף לא כתב כן </w:t>
      </w:r>
      <w:r>
        <w:rPr>
          <w:rFonts w:cs="Arial" w:hint="cs"/>
          <w:sz w:val="16"/>
          <w:szCs w:val="16"/>
          <w:rtl/>
        </w:rPr>
        <w:t xml:space="preserve">{היינו לא כתב שרבנן חולקים על ר"ש בדבר אחד ומסכימים איתו לדבר אחד, אלא כתב שר"ש חולק, ו-} </w:t>
      </w:r>
      <w:r>
        <w:rPr>
          <w:rFonts w:cs="Arial"/>
          <w:rtl/>
        </w:rPr>
        <w:t>משמע דס"ל דרבנן פליגי אר"ש ואמרי ד</w:t>
      </w:r>
      <w:r>
        <w:rPr>
          <w:rFonts w:cs="Arial" w:hint="cs"/>
          <w:rtl/>
        </w:rPr>
        <w:t>-...</w:t>
      </w:r>
    </w:p>
  </w:footnote>
  <w:footnote w:id="2802">
    <w:p w14:paraId="35FEA6D7" w14:textId="77777777" w:rsidR="00DF1FC7" w:rsidRDefault="00DF1FC7" w:rsidP="002E5BAD">
      <w:pPr>
        <w:pStyle w:val="a5"/>
      </w:pPr>
      <w:r>
        <w:rPr>
          <w:rStyle w:val="a7"/>
        </w:rPr>
        <w:footnoteRef/>
      </w:r>
      <w:r>
        <w:rPr>
          <w:rtl/>
        </w:rPr>
        <w:t xml:space="preserve"> </w:t>
      </w:r>
      <w:r>
        <w:rPr>
          <w:rFonts w:hint="cs"/>
          <w:rtl/>
        </w:rPr>
        <w:t xml:space="preserve">כתב הב"י שהרמב"ם </w:t>
      </w:r>
      <w:r w:rsidRPr="00631525">
        <w:rPr>
          <w:rFonts w:cs="Arial"/>
          <w:rtl/>
        </w:rPr>
        <w:t>ב</w:t>
      </w:r>
      <w:r>
        <w:rPr>
          <w:rFonts w:cs="Arial" w:hint="cs"/>
          <w:rtl/>
        </w:rPr>
        <w:t>פ</w:t>
      </w:r>
      <w:r w:rsidRPr="00631525">
        <w:rPr>
          <w:rFonts w:cs="Arial"/>
          <w:rtl/>
        </w:rPr>
        <w:t>י"ט (מאישות ה"ג) לא חילק בכתובת בנין דכרין בין קרקע למטלטלי</w:t>
      </w:r>
      <w:r>
        <w:rPr>
          <w:rFonts w:cs="Arial" w:hint="cs"/>
          <w:rtl/>
        </w:rPr>
        <w:t>,</w:t>
      </w:r>
      <w:r w:rsidRPr="00631525">
        <w:rPr>
          <w:rFonts w:cs="Arial"/>
          <w:rtl/>
        </w:rPr>
        <w:t xml:space="preserve"> אבל בפרק י"ו (ה"ז) כתב וז"ל</w:t>
      </w:r>
      <w:r>
        <w:rPr>
          <w:rFonts w:cs="Arial" w:hint="cs"/>
          <w:rtl/>
        </w:rPr>
        <w:t>-...</w:t>
      </w:r>
    </w:p>
  </w:footnote>
  <w:footnote w:id="2803">
    <w:p w14:paraId="05534F50" w14:textId="77777777" w:rsidR="00DF1FC7" w:rsidRDefault="00DF1FC7" w:rsidP="002E5BAD">
      <w:pPr>
        <w:pStyle w:val="a5"/>
      </w:pPr>
      <w:r>
        <w:rPr>
          <w:rStyle w:val="a7"/>
        </w:rPr>
        <w:footnoteRef/>
      </w:r>
      <w:r>
        <w:rPr>
          <w:rtl/>
        </w:rPr>
        <w:t xml:space="preserve"> </w:t>
      </w:r>
      <w:r>
        <w:rPr>
          <w:rFonts w:hint="cs"/>
          <w:rtl/>
        </w:rPr>
        <w:t>וכתב המרדכי (סי' קסב) דכן כתבו הסמ"ג ורבנו ברוך.</w:t>
      </w:r>
    </w:p>
  </w:footnote>
  <w:footnote w:id="2804">
    <w:p w14:paraId="6816754B" w14:textId="77777777" w:rsidR="00DF1FC7" w:rsidRDefault="00DF1FC7" w:rsidP="002E5BAD">
      <w:pPr>
        <w:pStyle w:val="a5"/>
      </w:pPr>
      <w:r>
        <w:rPr>
          <w:rStyle w:val="a7"/>
        </w:rPr>
        <w:footnoteRef/>
      </w:r>
      <w:r>
        <w:rPr>
          <w:rtl/>
        </w:rPr>
        <w:t xml:space="preserve"> </w:t>
      </w:r>
      <w:r>
        <w:rPr>
          <w:rFonts w:cs="Arial" w:hint="cs"/>
          <w:rtl/>
        </w:rPr>
        <w:t xml:space="preserve">וכתב הב"י וז"ל- </w:t>
      </w:r>
      <w:r>
        <w:rPr>
          <w:rFonts w:cs="Arial"/>
          <w:rtl/>
        </w:rPr>
        <w:t>ואע</w:t>
      </w:r>
      <w:r>
        <w:rPr>
          <w:rFonts w:cs="Arial" w:hint="cs"/>
          <w:rtl/>
        </w:rPr>
        <w:t>"</w:t>
      </w:r>
      <w:r>
        <w:rPr>
          <w:rFonts w:cs="Arial"/>
          <w:rtl/>
        </w:rPr>
        <w:t>פ שאיפשר לומר דהשתא דנהיגי למיכתב בכתובה דמשעבד לה מטלטלי אגב מקרקעי כל תנאי כתובה בכלל ואפילו כתובת בנין דכרין נמי נגבית מן המטלטלין</w:t>
      </w:r>
      <w:r>
        <w:rPr>
          <w:rFonts w:cs="Arial" w:hint="cs"/>
          <w:rtl/>
        </w:rPr>
        <w:t>.</w:t>
      </w:r>
      <w:r>
        <w:rPr>
          <w:rFonts w:cs="Arial"/>
          <w:rtl/>
        </w:rPr>
        <w:t xml:space="preserve"> מכל מקום מדתלה הטעם בשאין מנהג ירושת כתובת בנין דכרין פשוט בכל הישיבות</w:t>
      </w:r>
      <w:r>
        <w:rPr>
          <w:rFonts w:cs="Arial" w:hint="cs"/>
          <w:rtl/>
        </w:rPr>
        <w:t>,</w:t>
      </w:r>
      <w:r>
        <w:rPr>
          <w:rFonts w:cs="Arial"/>
          <w:rtl/>
        </w:rPr>
        <w:t xml:space="preserve"> שרבים מהגאונים אומרים שאינו נוהג עתה כלל וכמו שכתב רבינו בסוף סימן זה</w:t>
      </w:r>
      <w:r>
        <w:rPr>
          <w:rFonts w:cs="Arial" w:hint="cs"/>
          <w:rtl/>
        </w:rPr>
        <w:t>,</w:t>
      </w:r>
      <w:r>
        <w:rPr>
          <w:rFonts w:cs="Arial"/>
          <w:rtl/>
        </w:rPr>
        <w:t xml:space="preserve"> ולפיכך העמידה על דין התלמוד</w:t>
      </w:r>
      <w:r>
        <w:rPr>
          <w:rFonts w:cs="Arial" w:hint="cs"/>
          <w:rtl/>
        </w:rPr>
        <w:t>,</w:t>
      </w:r>
      <w:r>
        <w:rPr>
          <w:rFonts w:cs="Arial"/>
          <w:rtl/>
        </w:rPr>
        <w:t xml:space="preserve"> משמע דאפילו שיעבד בכתובה מטלטלי אגב מקרקעי מעמידין אותה על דין התלמוד</w:t>
      </w:r>
      <w:r>
        <w:rPr>
          <w:rFonts w:cs="Arial" w:hint="cs"/>
          <w:rtl/>
        </w:rPr>
        <w:t>.</w:t>
      </w:r>
      <w:r>
        <w:rPr>
          <w:rFonts w:cs="Arial"/>
          <w:rtl/>
        </w:rPr>
        <w:t xml:space="preserve"> וכן נראה מדברי הרא"ש שבפסקים (שם)</w:t>
      </w:r>
      <w:r>
        <w:rPr>
          <w:rFonts w:cs="Arial" w:hint="cs"/>
          <w:rtl/>
        </w:rPr>
        <w:t>,</w:t>
      </w:r>
      <w:r>
        <w:rPr>
          <w:rFonts w:cs="Arial"/>
          <w:rtl/>
        </w:rPr>
        <w:t xml:space="preserve"> ובתשובות (כלל לו ס"ז) כתב שאינה נוהגת אלא במקרקעי ולא חילק בין שיעבד בכתובה מטלטלי אגב מקרקעי ללא שיעבד</w:t>
      </w:r>
      <w:r>
        <w:rPr>
          <w:rFonts w:cs="Arial" w:hint="cs"/>
          <w:rtl/>
        </w:rPr>
        <w:t>.</w:t>
      </w:r>
      <w:r>
        <w:rPr>
          <w:rFonts w:cs="Arial"/>
          <w:rtl/>
        </w:rPr>
        <w:t xml:space="preserve"> כך היה נ"ל</w:t>
      </w:r>
      <w:r>
        <w:rPr>
          <w:rFonts w:cs="Arial" w:hint="cs"/>
          <w:rtl/>
        </w:rPr>
        <w:t>.</w:t>
      </w:r>
      <w:r>
        <w:rPr>
          <w:rFonts w:cs="Arial"/>
          <w:rtl/>
        </w:rPr>
        <w:t xml:space="preserve"> אלא שהריב"ש בתשובה </w:t>
      </w:r>
      <w:r>
        <w:rPr>
          <w:rFonts w:cs="Arial" w:hint="cs"/>
          <w:rtl/>
        </w:rPr>
        <w:t>(</w:t>
      </w:r>
      <w:r>
        <w:rPr>
          <w:rFonts w:cs="Arial"/>
          <w:rtl/>
        </w:rPr>
        <w:t>סי</w:t>
      </w:r>
      <w:r>
        <w:rPr>
          <w:rFonts w:cs="Arial" w:hint="cs"/>
          <w:rtl/>
        </w:rPr>
        <w:t>'</w:t>
      </w:r>
      <w:r>
        <w:rPr>
          <w:rFonts w:cs="Arial"/>
          <w:rtl/>
        </w:rPr>
        <w:t xml:space="preserve"> קו</w:t>
      </w:r>
      <w:r>
        <w:rPr>
          <w:rFonts w:cs="Arial" w:hint="cs"/>
          <w:rtl/>
        </w:rPr>
        <w:t>)</w:t>
      </w:r>
      <w:r>
        <w:rPr>
          <w:rFonts w:cs="Arial"/>
          <w:rtl/>
        </w:rPr>
        <w:t xml:space="preserve"> אחר שהביא דברי הפוסקים כתב הסכמת הרא"ש ושכן דעת הרמב"ם ז"ל ואח"כ כתב אבל</w:t>
      </w:r>
      <w:r>
        <w:rPr>
          <w:rFonts w:cs="Arial" w:hint="cs"/>
          <w:rtl/>
        </w:rPr>
        <w:t>-...</w:t>
      </w:r>
    </w:p>
  </w:footnote>
  <w:footnote w:id="2805">
    <w:p w14:paraId="409EB828" w14:textId="77777777" w:rsidR="00DF1FC7" w:rsidRPr="00707460" w:rsidRDefault="00DF1FC7" w:rsidP="002E5BAD">
      <w:pPr>
        <w:pStyle w:val="a5"/>
      </w:pPr>
      <w:r w:rsidRPr="00707460">
        <w:rPr>
          <w:rStyle w:val="a7"/>
        </w:rPr>
        <w:footnoteRef/>
      </w:r>
      <w:r w:rsidRPr="00707460">
        <w:rPr>
          <w:rFonts w:hint="cs"/>
          <w:rtl/>
        </w:rPr>
        <w:t xml:space="preserve"> בסעיף ג' כתב הטור </w:t>
      </w:r>
      <w:r w:rsidRPr="00707460">
        <w:rPr>
          <w:rFonts w:cs="Arial" w:hint="cs"/>
          <w:rtl/>
        </w:rPr>
        <w:t>'</w:t>
      </w:r>
      <w:r w:rsidRPr="00707460">
        <w:rPr>
          <w:rFonts w:cs="Arial"/>
          <w:rtl/>
        </w:rPr>
        <w:t xml:space="preserve">לא היה שם </w:t>
      </w:r>
      <w:r w:rsidRPr="00707460">
        <w:rPr>
          <w:rFonts w:cs="Arial"/>
          <w:u w:val="single"/>
          <w:rtl/>
        </w:rPr>
        <w:t>קרקע</w:t>
      </w:r>
      <w:r w:rsidRPr="00707460">
        <w:rPr>
          <w:rFonts w:cs="Arial"/>
          <w:rtl/>
        </w:rPr>
        <w:t xml:space="preserve"> כדי שתי כתובות</w:t>
      </w:r>
      <w:r w:rsidRPr="00707460">
        <w:rPr>
          <w:rFonts w:cs="Arial" w:hint="cs"/>
          <w:rtl/>
        </w:rPr>
        <w:t xml:space="preserve"> וכו'...', וכתב הב"י</w:t>
      </w:r>
      <w:r w:rsidRPr="00707460">
        <w:rPr>
          <w:rFonts w:cs="Arial"/>
          <w:rtl/>
        </w:rPr>
        <w:t xml:space="preserve"> </w:t>
      </w:r>
      <w:r w:rsidRPr="00707460">
        <w:rPr>
          <w:rFonts w:cs="Arial" w:hint="cs"/>
          <w:rtl/>
        </w:rPr>
        <w:t xml:space="preserve">וז"ל- </w:t>
      </w:r>
      <w:r w:rsidRPr="00707460">
        <w:rPr>
          <w:rFonts w:cs="Arial"/>
          <w:rtl/>
        </w:rPr>
        <w:t>זה על עיקר הדין דכתובת בנין דכרין ליתא אלא במקרקעי כמו שנתבאר</w:t>
      </w:r>
      <w:r w:rsidRPr="00707460">
        <w:rPr>
          <w:rFonts w:cs="Arial" w:hint="cs"/>
          <w:rtl/>
        </w:rPr>
        <w:t>.</w:t>
      </w:r>
      <w:r>
        <w:rPr>
          <w:rFonts w:cs="Arial" w:hint="cs"/>
          <w:rtl/>
        </w:rPr>
        <w:t xml:space="preserve"> עכ"ל הב"י. וכוונתו שלאחר שנהגו לכתוב מטלטלי אגב מקרקעי לא צריך דוקא קרקע.</w:t>
      </w:r>
      <w:r w:rsidRPr="00707460">
        <w:rPr>
          <w:rFonts w:cs="Arial" w:hint="cs"/>
          <w:rtl/>
        </w:rPr>
        <w:t xml:space="preserve"> וכן פסק שם בשו"ע. </w:t>
      </w:r>
    </w:p>
  </w:footnote>
  <w:footnote w:id="2806">
    <w:p w14:paraId="240B9E51" w14:textId="77777777" w:rsidR="00DF1FC7" w:rsidRDefault="00DF1FC7" w:rsidP="002E5BAD">
      <w:pPr>
        <w:pStyle w:val="a5"/>
      </w:pPr>
      <w:r>
        <w:rPr>
          <w:rStyle w:val="a7"/>
        </w:rPr>
        <w:footnoteRef/>
      </w:r>
      <w:r>
        <w:rPr>
          <w:rtl/>
        </w:rPr>
        <w:t xml:space="preserve"> </w:t>
      </w:r>
      <w:r w:rsidRPr="00CB1EB0">
        <w:rPr>
          <w:rFonts w:cs="Arial"/>
          <w:rtl/>
        </w:rPr>
        <w:t>בטובת הנאה שאם נתארמלה או נתגרשה יטלוה לקוחות ואם מתה ירשנה בעלה ומתה וירשה בעלה</w:t>
      </w:r>
      <w:r>
        <w:rPr>
          <w:rFonts w:cs="Arial" w:hint="cs"/>
          <w:rtl/>
        </w:rPr>
        <w:t>, רש"י.</w:t>
      </w:r>
    </w:p>
  </w:footnote>
  <w:footnote w:id="2807">
    <w:p w14:paraId="6CC53D59" w14:textId="77777777" w:rsidR="00DF1FC7" w:rsidRDefault="00DF1FC7" w:rsidP="002E5BAD">
      <w:pPr>
        <w:pStyle w:val="a5"/>
      </w:pPr>
      <w:r>
        <w:rPr>
          <w:rStyle w:val="a7"/>
        </w:rPr>
        <w:footnoteRef/>
      </w:r>
      <w:r>
        <w:rPr>
          <w:rtl/>
        </w:rPr>
        <w:t xml:space="preserve"> </w:t>
      </w:r>
      <w:r w:rsidRPr="004A0B46">
        <w:rPr>
          <w:rFonts w:cs="Arial"/>
          <w:rtl/>
        </w:rPr>
        <w:t>דהא כי לא זבינתה נמי ירית לה בעל ותקון לה רבנן השתא נמי לגבי בעל במוכרת לא פקעה זכותה ואי משום דהוקל בעיניה למוכרה ולהפסיד את בניה אם נתארמלה או נתגרשה זוזי אנסוה שהוצרכה להם</w:t>
      </w:r>
      <w:r>
        <w:rPr>
          <w:rFonts w:cs="Arial" w:hint="cs"/>
          <w:rtl/>
        </w:rPr>
        <w:t>, רש"י.</w:t>
      </w:r>
    </w:p>
  </w:footnote>
  <w:footnote w:id="2808">
    <w:p w14:paraId="65CF7AD0" w14:textId="77777777" w:rsidR="00DF1FC7" w:rsidRDefault="00DF1FC7" w:rsidP="002E5BAD">
      <w:pPr>
        <w:pStyle w:val="a5"/>
        <w:rPr>
          <w:rtl/>
        </w:rPr>
      </w:pPr>
      <w:r>
        <w:rPr>
          <w:rStyle w:val="a7"/>
        </w:rPr>
        <w:footnoteRef/>
      </w:r>
      <w:r>
        <w:rPr>
          <w:rtl/>
        </w:rPr>
        <w:t xml:space="preserve"> </w:t>
      </w:r>
      <w:r w:rsidRPr="004A0B46">
        <w:rPr>
          <w:rFonts w:cs="Arial"/>
          <w:rtl/>
        </w:rPr>
        <w:t>ונקל בעיניה להפסיד בניה מכתובתה חנם</w:t>
      </w:r>
      <w:r>
        <w:rPr>
          <w:rFonts w:hint="cs"/>
          <w:rtl/>
        </w:rPr>
        <w:t>, רש"י.</w:t>
      </w:r>
    </w:p>
  </w:footnote>
  <w:footnote w:id="2809">
    <w:p w14:paraId="63A76496" w14:textId="77777777" w:rsidR="00DF1FC7" w:rsidRDefault="00DF1FC7" w:rsidP="002E5BAD">
      <w:pPr>
        <w:pStyle w:val="a5"/>
        <w:rPr>
          <w:rtl/>
        </w:rPr>
      </w:pPr>
      <w:r>
        <w:rPr>
          <w:rStyle w:val="a7"/>
        </w:rPr>
        <w:footnoteRef/>
      </w:r>
      <w:r>
        <w:rPr>
          <w:rtl/>
        </w:rPr>
        <w:t xml:space="preserve"> </w:t>
      </w:r>
      <w:r w:rsidRPr="00CB1EB0">
        <w:rPr>
          <w:rFonts w:cs="Arial"/>
          <w:rtl/>
        </w:rPr>
        <w:t>נמי טובת הנאה בעלמא דבר מועט שהרי אם מתה יורשה ואינו לוקח ממנה אלא שאם מת הוא לא תגבה והרי לא מת ובא לידי ירושה הלכך כמוכרת לאחרים דמי</w:t>
      </w:r>
      <w:r>
        <w:rPr>
          <w:rFonts w:hint="cs"/>
          <w:rtl/>
        </w:rPr>
        <w:t>, רש"י.</w:t>
      </w:r>
    </w:p>
  </w:footnote>
  <w:footnote w:id="2810">
    <w:p w14:paraId="27CAC555" w14:textId="77777777" w:rsidR="00DF1FC7" w:rsidRDefault="00DF1FC7" w:rsidP="002E5BAD">
      <w:pPr>
        <w:pStyle w:val="a5"/>
        <w:rPr>
          <w:rtl/>
        </w:rPr>
      </w:pPr>
      <w:r>
        <w:rPr>
          <w:rStyle w:val="a7"/>
        </w:rPr>
        <w:footnoteRef/>
      </w:r>
      <w:r>
        <w:rPr>
          <w:rtl/>
        </w:rPr>
        <w:t xml:space="preserve"> </w:t>
      </w:r>
      <w:r w:rsidRPr="00CB1EB0">
        <w:rPr>
          <w:rFonts w:cs="Arial"/>
          <w:rtl/>
        </w:rPr>
        <w:t>הואיל ובידו הכתובה והוקל בעיניה להחליטה</w:t>
      </w:r>
      <w:r>
        <w:rPr>
          <w:rFonts w:cs="Arial" w:hint="cs"/>
          <w:rtl/>
        </w:rPr>
        <w:t>, רש"י</w:t>
      </w:r>
      <w:r w:rsidRPr="00CB1EB0">
        <w:rPr>
          <w:rFonts w:cs="Arial"/>
          <w:rtl/>
        </w:rPr>
        <w:t>.</w:t>
      </w:r>
    </w:p>
  </w:footnote>
  <w:footnote w:id="2811">
    <w:p w14:paraId="29010481" w14:textId="77777777" w:rsidR="00DF1FC7" w:rsidRDefault="00DF1FC7" w:rsidP="002E5BAD">
      <w:pPr>
        <w:pStyle w:val="a5"/>
      </w:pPr>
      <w:r>
        <w:rPr>
          <w:rStyle w:val="a7"/>
        </w:rPr>
        <w:footnoteRef/>
      </w:r>
      <w:r>
        <w:rPr>
          <w:rtl/>
        </w:rPr>
        <w:t xml:space="preserve"> </w:t>
      </w:r>
      <w:r w:rsidRPr="00621C37">
        <w:rPr>
          <w:rFonts w:cs="Arial"/>
          <w:rtl/>
        </w:rPr>
        <w:t>כבר כתבתי בסי' ק"ה דנראה אף אם לא מחלה כתובתה רק מחלה לו תנאי כתובה כולו או מקצתו הרשות בידה ולא דמי למחייב לזון בת אשתו דאין פטור האם מועיל ובסי' שאח"ז מביא הרב בהג"ה שהראב"ד חולק במזון הבנות וגם המ"מ הניח הדבר בצ"ע ועיין בר"ן</w:t>
      </w:r>
      <w:r>
        <w:rPr>
          <w:rFonts w:cs="Arial" w:hint="cs"/>
          <w:rtl/>
        </w:rPr>
        <w:t>, ח"מ (סקי"ז).</w:t>
      </w:r>
    </w:p>
  </w:footnote>
  <w:footnote w:id="2812">
    <w:p w14:paraId="27168C4D" w14:textId="77777777" w:rsidR="00DF1FC7" w:rsidRDefault="00DF1FC7" w:rsidP="002E5BAD">
      <w:pPr>
        <w:pStyle w:val="a5"/>
      </w:pPr>
      <w:r>
        <w:rPr>
          <w:rStyle w:val="a7"/>
        </w:rPr>
        <w:footnoteRef/>
      </w:r>
      <w:r>
        <w:rPr>
          <w:rtl/>
        </w:rPr>
        <w:t xml:space="preserve"> </w:t>
      </w:r>
      <w:r w:rsidRPr="00CB1EB0">
        <w:rPr>
          <w:rFonts w:cs="Arial"/>
          <w:rtl/>
        </w:rPr>
        <w:t>כ"כ הרמב"ם פי"ט וכן ס"ל באלמנה דאין לה מזונות כשאין הכתובה בידה שמא מחלה</w:t>
      </w:r>
      <w:r>
        <w:rPr>
          <w:rFonts w:cs="Arial" w:hint="cs"/>
          <w:rtl/>
        </w:rPr>
        <w:t>.</w:t>
      </w:r>
      <w:r w:rsidRPr="00CB1EB0">
        <w:rPr>
          <w:rFonts w:cs="Arial"/>
          <w:rtl/>
        </w:rPr>
        <w:t xml:space="preserve"> ובסי' צ"ג כתבתי </w:t>
      </w:r>
      <w:r>
        <w:rPr>
          <w:rFonts w:cs="Arial" w:hint="cs"/>
          <w:rtl/>
        </w:rPr>
        <w:t>ד</w:t>
      </w:r>
      <w:r w:rsidRPr="00CB1EB0">
        <w:rPr>
          <w:rFonts w:cs="Arial"/>
          <w:rtl/>
        </w:rPr>
        <w:t>רוב פוסקים חולקים עליו ולכאורה נראה להני פוסקים גם כאן לא חיישי' שמא מחלה</w:t>
      </w:r>
      <w:r>
        <w:rPr>
          <w:rFonts w:cs="Arial" w:hint="cs"/>
          <w:rtl/>
        </w:rPr>
        <w:t>.</w:t>
      </w:r>
      <w:r w:rsidRPr="00CB1EB0">
        <w:rPr>
          <w:rFonts w:cs="Arial"/>
          <w:rtl/>
        </w:rPr>
        <w:t xml:space="preserve"> מיהו י"ל </w:t>
      </w:r>
      <w:r>
        <w:rPr>
          <w:rFonts w:cs="Arial" w:hint="cs"/>
          <w:rtl/>
        </w:rPr>
        <w:t>ד</w:t>
      </w:r>
      <w:r w:rsidRPr="00CB1EB0">
        <w:rPr>
          <w:rFonts w:cs="Arial"/>
          <w:rtl/>
        </w:rPr>
        <w:t>שם טוענת ברי אבל כאן היורשים אין להם טענ</w:t>
      </w:r>
      <w:r>
        <w:rPr>
          <w:rFonts w:cs="Arial" w:hint="cs"/>
          <w:rtl/>
        </w:rPr>
        <w:t>ת</w:t>
      </w:r>
      <w:r w:rsidRPr="00CB1EB0">
        <w:rPr>
          <w:rFonts w:cs="Arial"/>
          <w:rtl/>
        </w:rPr>
        <w:t xml:space="preserve"> ברי</w:t>
      </w:r>
      <w:r>
        <w:rPr>
          <w:rFonts w:cs="Arial" w:hint="cs"/>
          <w:rtl/>
        </w:rPr>
        <w:t>.</w:t>
      </w:r>
      <w:r w:rsidRPr="00CB1EB0">
        <w:rPr>
          <w:rFonts w:cs="Arial"/>
          <w:rtl/>
        </w:rPr>
        <w:t xml:space="preserve"> גם לענין מזונות נכסים בחזקת</w:t>
      </w:r>
      <w:r>
        <w:rPr>
          <w:rFonts w:cs="Arial" w:hint="cs"/>
          <w:rtl/>
        </w:rPr>
        <w:t>ה</w:t>
      </w:r>
      <w:r w:rsidRPr="00CB1EB0">
        <w:rPr>
          <w:rFonts w:cs="Arial"/>
          <w:rtl/>
        </w:rPr>
        <w:t xml:space="preserve"> דהא בל</w:t>
      </w:r>
      <w:r>
        <w:rPr>
          <w:rFonts w:cs="Arial" w:hint="cs"/>
          <w:rtl/>
        </w:rPr>
        <w:t xml:space="preserve">א </w:t>
      </w:r>
      <w:r w:rsidRPr="00CB1EB0">
        <w:rPr>
          <w:rFonts w:cs="Arial"/>
          <w:rtl/>
        </w:rPr>
        <w:t>ז</w:t>
      </w:r>
      <w:r>
        <w:rPr>
          <w:rFonts w:cs="Arial" w:hint="cs"/>
          <w:rtl/>
        </w:rPr>
        <w:t>ה</w:t>
      </w:r>
      <w:r w:rsidRPr="00CB1EB0">
        <w:rPr>
          <w:rFonts w:cs="Arial"/>
          <w:rtl/>
        </w:rPr>
        <w:t xml:space="preserve"> צ"ל כן לשיטות הני פוסקים</w:t>
      </w:r>
      <w:r>
        <w:rPr>
          <w:rFonts w:cs="Arial" w:hint="cs"/>
          <w:rtl/>
        </w:rPr>
        <w:t>,</w:t>
      </w:r>
      <w:r w:rsidRPr="00CB1EB0">
        <w:rPr>
          <w:rFonts w:cs="Arial"/>
          <w:rtl/>
        </w:rPr>
        <w:t xml:space="preserve"> דהא ס"ל </w:t>
      </w:r>
      <w:r>
        <w:rPr>
          <w:rFonts w:cs="Arial" w:hint="cs"/>
          <w:rtl/>
        </w:rPr>
        <w:t>ד</w:t>
      </w:r>
      <w:r w:rsidRPr="00CB1EB0">
        <w:rPr>
          <w:rFonts w:cs="Arial"/>
          <w:rtl/>
        </w:rPr>
        <w:t>אם אין השטר כתובה בידה אינם גובה הכתובה כמ"ש בסי' ק'</w:t>
      </w:r>
      <w:r>
        <w:rPr>
          <w:rFonts w:cs="Arial" w:hint="cs"/>
          <w:rtl/>
        </w:rPr>
        <w:t>.</w:t>
      </w:r>
      <w:r w:rsidRPr="00CB1EB0">
        <w:rPr>
          <w:rFonts w:cs="Arial"/>
          <w:rtl/>
        </w:rPr>
        <w:t xml:space="preserve"> ע"כ צ"ל משום </w:t>
      </w:r>
      <w:r>
        <w:rPr>
          <w:rFonts w:cs="Arial" w:hint="cs"/>
          <w:rtl/>
        </w:rPr>
        <w:t>ד</w:t>
      </w:r>
      <w:r w:rsidRPr="00CB1EB0">
        <w:rPr>
          <w:rFonts w:cs="Arial"/>
          <w:rtl/>
        </w:rPr>
        <w:t>לענין מזונות אמרינן הנכסים קיימא בחזקת</w:t>
      </w:r>
      <w:r>
        <w:rPr>
          <w:rFonts w:cs="Arial" w:hint="cs"/>
          <w:rtl/>
        </w:rPr>
        <w:t>ה</w:t>
      </w:r>
      <w:r w:rsidRPr="00CB1EB0">
        <w:rPr>
          <w:rFonts w:cs="Arial"/>
          <w:rtl/>
        </w:rPr>
        <w:t xml:space="preserve"> וכן בהרא"ש פ' שני דייני</w:t>
      </w:r>
      <w:r>
        <w:rPr>
          <w:rFonts w:cs="Arial" w:hint="cs"/>
          <w:rtl/>
        </w:rPr>
        <w:t>.</w:t>
      </w:r>
      <w:r w:rsidRPr="00CB1EB0">
        <w:rPr>
          <w:rFonts w:cs="Arial"/>
          <w:rtl/>
        </w:rPr>
        <w:t xml:space="preserve"> </w:t>
      </w:r>
      <w:r>
        <w:rPr>
          <w:rFonts w:cs="Arial" w:hint="cs"/>
          <w:rtl/>
        </w:rPr>
        <w:t>ו</w:t>
      </w:r>
      <w:r w:rsidRPr="00CB1EB0">
        <w:rPr>
          <w:rFonts w:cs="Arial"/>
          <w:rtl/>
        </w:rPr>
        <w:t>אפילו לשיטות הפוסקים דס"ל דגובה הכתובה אפילו אין שטר הכתובה ביד</w:t>
      </w:r>
      <w:r>
        <w:rPr>
          <w:rFonts w:cs="Arial" w:hint="cs"/>
          <w:rtl/>
        </w:rPr>
        <w:t>ה</w:t>
      </w:r>
      <w:r w:rsidRPr="00CB1EB0">
        <w:rPr>
          <w:rFonts w:cs="Arial"/>
          <w:rtl/>
        </w:rPr>
        <w:t xml:space="preserve"> הואיל מעשה ב"ד הוא י"ל יורשים שאני כמ"ש</w:t>
      </w:r>
      <w:r>
        <w:rPr>
          <w:rFonts w:cs="Arial" w:hint="cs"/>
          <w:rtl/>
        </w:rPr>
        <w:t>, ב"ש (סקי"ב).</w:t>
      </w:r>
    </w:p>
  </w:footnote>
  <w:footnote w:id="2813">
    <w:p w14:paraId="27112BBC" w14:textId="77777777" w:rsidR="00DF1FC7" w:rsidRDefault="00DF1FC7" w:rsidP="002E5BAD">
      <w:pPr>
        <w:pStyle w:val="a5"/>
      </w:pPr>
      <w:r w:rsidRPr="00262536">
        <w:rPr>
          <w:rStyle w:val="a7"/>
        </w:rPr>
        <w:footnoteRef/>
      </w:r>
      <w:r w:rsidRPr="00262536">
        <w:rPr>
          <w:rtl/>
        </w:rPr>
        <w:t xml:space="preserve"> </w:t>
      </w:r>
      <w:r>
        <w:rPr>
          <w:rFonts w:cs="Arial" w:hint="cs"/>
          <w:rtl/>
        </w:rPr>
        <w:t>כתב כן ב</w:t>
      </w:r>
      <w:r w:rsidRPr="00262536">
        <w:rPr>
          <w:rFonts w:cs="Arial"/>
          <w:rtl/>
        </w:rPr>
        <w:t>אות כ</w:t>
      </w:r>
      <w:r>
        <w:rPr>
          <w:rFonts w:cs="Arial" w:hint="cs"/>
          <w:rtl/>
        </w:rPr>
        <w:t>'</w:t>
      </w:r>
      <w:r w:rsidRPr="00262536">
        <w:rPr>
          <w:rFonts w:cs="Arial"/>
          <w:rtl/>
        </w:rPr>
        <w:t xml:space="preserve"> </w:t>
      </w:r>
      <w:r>
        <w:rPr>
          <w:rFonts w:cs="Arial" w:hint="cs"/>
          <w:rtl/>
        </w:rPr>
        <w:t>(</w:t>
      </w:r>
      <w:r w:rsidRPr="00262536">
        <w:rPr>
          <w:rFonts w:cs="Arial"/>
          <w:rtl/>
        </w:rPr>
        <w:t>כתובות דף לב טור ד</w:t>
      </w:r>
      <w:r>
        <w:rPr>
          <w:rFonts w:cs="Arial" w:hint="cs"/>
          <w:rtl/>
        </w:rPr>
        <w:t>)</w:t>
      </w:r>
      <w:r w:rsidRPr="00262536">
        <w:rPr>
          <w:rFonts w:cs="Arial" w:hint="cs"/>
          <w:rtl/>
        </w:rPr>
        <w:t>, הביאו</w:t>
      </w:r>
      <w:r>
        <w:rPr>
          <w:rFonts w:cs="Arial" w:hint="cs"/>
          <w:rtl/>
        </w:rPr>
        <w:t>הו</w:t>
      </w:r>
      <w:r w:rsidRPr="00262536">
        <w:rPr>
          <w:rFonts w:cs="Arial" w:hint="cs"/>
          <w:rtl/>
        </w:rPr>
        <w:t xml:space="preserve"> המרדכי </w:t>
      </w:r>
      <w:r>
        <w:rPr>
          <w:rFonts w:cs="Arial" w:hint="cs"/>
          <w:rtl/>
        </w:rPr>
        <w:t>(</w:t>
      </w:r>
      <w:r w:rsidRPr="00262536">
        <w:rPr>
          <w:rFonts w:cs="Arial" w:hint="cs"/>
          <w:rtl/>
        </w:rPr>
        <w:t>סי' קסב</w:t>
      </w:r>
      <w:r>
        <w:rPr>
          <w:rFonts w:cs="Arial" w:hint="cs"/>
          <w:rtl/>
        </w:rPr>
        <w:t>) והרא"ש (כתובות פ"ד סי' כד)</w:t>
      </w:r>
      <w:r>
        <w:rPr>
          <w:rFonts w:hint="cs"/>
          <w:rtl/>
        </w:rPr>
        <w:t xml:space="preserve">. </w:t>
      </w:r>
      <w:r w:rsidRPr="00262536">
        <w:rPr>
          <w:rFonts w:hint="cs"/>
          <w:rtl/>
        </w:rPr>
        <w:t>וז"ל</w:t>
      </w:r>
      <w:r>
        <w:rPr>
          <w:rFonts w:hint="cs"/>
          <w:rtl/>
        </w:rPr>
        <w:t xml:space="preserve"> בהעי"ט</w:t>
      </w:r>
      <w:r w:rsidRPr="00262536">
        <w:rPr>
          <w:rFonts w:hint="cs"/>
          <w:rtl/>
        </w:rPr>
        <w:t xml:space="preserve">- </w:t>
      </w:r>
      <w:r w:rsidRPr="00262536">
        <w:rPr>
          <w:rFonts w:cs="Arial"/>
          <w:rtl/>
        </w:rPr>
        <w:t>תשובה לחנניה בן יהודה נ"ע היום כמה שנים בטלה כתובת בנין דיכרין מי</w:t>
      </w:r>
      <w:r w:rsidRPr="002C27E2">
        <w:rPr>
          <w:rFonts w:cs="Arial"/>
          <w:rtl/>
        </w:rPr>
        <w:t xml:space="preserve"> שינתנו ולמה בטלה לפי שצריך דיקדוק בנשים שיש להן אחריות ובראוי ובמוחזק ובמותר דינר ואם אמרו יתומין הרי אנו מעלין על נכסי אבינו יתר דינר אין שומעין להן וצריך חקירת ב"ד ושומת זקנים שלא להוסיף על הדמים. ועוד עיקר התקנה שיקפוץ אדם ויתן לבתו כבנו והיום ולואי שיתן לבנו כבתו וכמה פעמים הוצרך הדבר לנדות כל מי שירבה למתנת בתו וכיון שהוא כך בטלו כתובת בנין דיכרין ומר רב דוסא אמר לא חזינא רבוותא דהוו מקמן דדייני להו כתובת דיכרין ומשני נפישתא לא דייני להו בתרתי מתיבתא וכיון דעבדי להו כמה שני לכתחילה אנן לא דיינינן לכון בה כן אלא דמר רב האיי אמר היכי כי מבטלי רבנן כתובת בנין דיכרין. ומר רב שמואל אמר הרבה חכמים הודו שכבר בטלה כתובת בנין דיכרין כזמן הזה ומסתברא טעמא דמר רב חנניא זצ"ל ואפילו למ"ד לא בטלה דוקא במקרקעי ולא במטלטלי שלא מצאנו בה תקנה ולא מנהג</w:t>
      </w:r>
      <w:r>
        <w:rPr>
          <w:rFonts w:cs="Arial" w:hint="cs"/>
          <w:rtl/>
        </w:rPr>
        <w:t>.</w:t>
      </w:r>
    </w:p>
  </w:footnote>
  <w:footnote w:id="2814">
    <w:p w14:paraId="58C782E4" w14:textId="77777777" w:rsidR="00DF1FC7" w:rsidRDefault="00DF1FC7" w:rsidP="002E5BAD">
      <w:pPr>
        <w:pStyle w:val="a5"/>
      </w:pPr>
      <w:r>
        <w:rPr>
          <w:rStyle w:val="a7"/>
        </w:rPr>
        <w:footnoteRef/>
      </w:r>
      <w:r>
        <w:rPr>
          <w:rtl/>
        </w:rPr>
        <w:t xml:space="preserve"> </w:t>
      </w:r>
      <w:r>
        <w:rPr>
          <w:rFonts w:cs="Arial" w:hint="cs"/>
          <w:rtl/>
        </w:rPr>
        <w:t xml:space="preserve">שלגבי השאלה האם נוהגת במטלטלי מעיקר הדין - </w:t>
      </w:r>
      <w:r>
        <w:rPr>
          <w:rFonts w:cs="Arial"/>
          <w:rtl/>
        </w:rPr>
        <w:t xml:space="preserve">כבר נתבאר </w:t>
      </w:r>
      <w:r>
        <w:rPr>
          <w:rFonts w:cs="Arial" w:hint="cs"/>
          <w:rtl/>
        </w:rPr>
        <w:t>בסעיף יד.</w:t>
      </w:r>
    </w:p>
  </w:footnote>
  <w:footnote w:id="2815">
    <w:p w14:paraId="78F55C7C" w14:textId="77777777" w:rsidR="00DF1FC7" w:rsidRDefault="00DF1FC7" w:rsidP="002E5BAD">
      <w:pPr>
        <w:pStyle w:val="a5"/>
      </w:pPr>
      <w:r>
        <w:rPr>
          <w:rStyle w:val="a7"/>
        </w:rPr>
        <w:footnoteRef/>
      </w:r>
      <w:r>
        <w:rPr>
          <w:rtl/>
        </w:rPr>
        <w:t xml:space="preserve"> </w:t>
      </w:r>
      <w:r>
        <w:rPr>
          <w:rFonts w:cs="Arial" w:hint="cs"/>
          <w:rtl/>
        </w:rPr>
        <w:t xml:space="preserve">וז"ל- </w:t>
      </w:r>
      <w:r>
        <w:rPr>
          <w:rFonts w:cs="Arial"/>
          <w:rtl/>
        </w:rPr>
        <w:t>ולענין כתובת בנין דכרין</w:t>
      </w:r>
      <w:r>
        <w:rPr>
          <w:rFonts w:cs="Arial" w:hint="cs"/>
          <w:rtl/>
        </w:rPr>
        <w:t>,</w:t>
      </w:r>
      <w:r>
        <w:rPr>
          <w:rFonts w:cs="Arial"/>
          <w:rtl/>
        </w:rPr>
        <w:t xml:space="preserve"> כבר ידעתם שנחלקו בה הגאונים</w:t>
      </w:r>
      <w:r>
        <w:rPr>
          <w:rFonts w:cs="Arial" w:hint="cs"/>
          <w:rtl/>
        </w:rPr>
        <w:t>.</w:t>
      </w:r>
      <w:r>
        <w:rPr>
          <w:rFonts w:cs="Arial"/>
          <w:rtl/>
        </w:rPr>
        <w:t xml:space="preserve"> דיש מהם מי שאומר שאינה נוהגת</w:t>
      </w:r>
      <w:r>
        <w:rPr>
          <w:rFonts w:cs="Arial" w:hint="cs"/>
          <w:rtl/>
        </w:rPr>
        <w:t>.</w:t>
      </w:r>
      <w:r>
        <w:rPr>
          <w:rFonts w:cs="Arial"/>
          <w:rtl/>
        </w:rPr>
        <w:t xml:space="preserve"> אלא שרבינו האיי אומר שהיא נוהגת</w:t>
      </w:r>
      <w:r>
        <w:rPr>
          <w:rFonts w:cs="Arial" w:hint="cs"/>
          <w:rtl/>
        </w:rPr>
        <w:t>.</w:t>
      </w:r>
      <w:r>
        <w:rPr>
          <w:rFonts w:cs="Arial"/>
          <w:rtl/>
        </w:rPr>
        <w:t xml:space="preserve"> וגם הרי"ף והרמב"ם כתבוה בהלכותיהם</w:t>
      </w:r>
      <w:r>
        <w:rPr>
          <w:rFonts w:cs="Arial" w:hint="cs"/>
          <w:rtl/>
        </w:rPr>
        <w:t>.</w:t>
      </w:r>
      <w:r>
        <w:rPr>
          <w:rFonts w:cs="Arial"/>
          <w:rtl/>
        </w:rPr>
        <w:t xml:space="preserve"> ור"ח כתב שאפילו עיקר התקנה לא היתה אלא כשמתו שתיהן אפילו אחת בחייו ואחת לאחר מותו</w:t>
      </w:r>
      <w:r>
        <w:rPr>
          <w:rFonts w:cs="Arial" w:hint="cs"/>
          <w:rtl/>
        </w:rPr>
        <w:t>,</w:t>
      </w:r>
      <w:r>
        <w:rPr>
          <w:rFonts w:cs="Arial"/>
          <w:rtl/>
        </w:rPr>
        <w:t xml:space="preserve"> אבל כשאחת עודה קיימת לא אשכחן ובהא איכא משום אינצויי כיון דהני שקלי והאי לא שקיל מידי</w:t>
      </w:r>
      <w:r>
        <w:rPr>
          <w:rFonts w:cs="Arial" w:hint="cs"/>
          <w:rtl/>
        </w:rPr>
        <w:t>.</w:t>
      </w:r>
      <w:r>
        <w:rPr>
          <w:rFonts w:cs="Arial"/>
          <w:rtl/>
        </w:rPr>
        <w:t xml:space="preserve"> וגאונים אחרים לא הסכימו על דעתו</w:t>
      </w:r>
      <w:r>
        <w:rPr>
          <w:rFonts w:cs="Arial" w:hint="cs"/>
          <w:rtl/>
        </w:rPr>
        <w:t>.</w:t>
      </w:r>
      <w:r>
        <w:rPr>
          <w:rFonts w:cs="Arial"/>
          <w:rtl/>
        </w:rPr>
        <w:t xml:space="preserve"> גם לע"ד אין נ"ל מסוגיית הגמרא כדבריו</w:t>
      </w:r>
      <w:r>
        <w:rPr>
          <w:rFonts w:cs="Arial" w:hint="cs"/>
          <w:rtl/>
        </w:rPr>
        <w:t>.</w:t>
      </w:r>
      <w:r>
        <w:rPr>
          <w:rFonts w:cs="Arial"/>
          <w:rtl/>
        </w:rPr>
        <w:t xml:space="preserve"> ומכל מקום מסתברא שאין דין כתובת בנין דכרין אפילו עכשיו אלא במקרקעי</w:t>
      </w:r>
      <w:r>
        <w:rPr>
          <w:rFonts w:cs="Arial" w:hint="cs"/>
          <w:rtl/>
        </w:rPr>
        <w:t>,</w:t>
      </w:r>
      <w:r>
        <w:rPr>
          <w:rFonts w:cs="Arial"/>
          <w:rtl/>
        </w:rPr>
        <w:t xml:space="preserve"> כדינא דגמרא</w:t>
      </w:r>
      <w:r>
        <w:rPr>
          <w:rFonts w:cs="Arial" w:hint="cs"/>
          <w:rtl/>
        </w:rPr>
        <w:t>,</w:t>
      </w:r>
      <w:r>
        <w:rPr>
          <w:rFonts w:cs="Arial"/>
          <w:rtl/>
        </w:rPr>
        <w:t xml:space="preserve"> דלא אשכחן לגאונים ז"ל שעשו מטלטלין כקרקע לכתובת בנין דכרין</w:t>
      </w:r>
      <w:r>
        <w:rPr>
          <w:rFonts w:cs="Arial" w:hint="cs"/>
          <w:rtl/>
        </w:rPr>
        <w:t>,</w:t>
      </w:r>
      <w:r>
        <w:rPr>
          <w:rFonts w:cs="Arial"/>
          <w:rtl/>
        </w:rPr>
        <w:t xml:space="preserve"> ודיה לתקנתה דתוקמא אדינא</w:t>
      </w:r>
      <w:r>
        <w:rPr>
          <w:rFonts w:cs="Arial" w:hint="cs"/>
          <w:rtl/>
        </w:rPr>
        <w:t>,</w:t>
      </w:r>
      <w:r>
        <w:rPr>
          <w:rFonts w:cs="Arial"/>
          <w:rtl/>
        </w:rPr>
        <w:t xml:space="preserve"> והבו דלא נוסיף עלה</w:t>
      </w:r>
      <w:r>
        <w:rPr>
          <w:rFonts w:cs="Arial" w:hint="cs"/>
          <w:rtl/>
        </w:rPr>
        <w:t>.</w:t>
      </w:r>
      <w:r>
        <w:rPr>
          <w:rFonts w:cs="Arial"/>
          <w:rtl/>
        </w:rPr>
        <w:t xml:space="preserve"> ועוד דאשכחן לגאוני קמאי דפרישו הכי בהדיא</w:t>
      </w:r>
      <w:r>
        <w:rPr>
          <w:rFonts w:cs="Arial" w:hint="cs"/>
          <w:rtl/>
        </w:rPr>
        <w:t>,</w:t>
      </w:r>
      <w:r>
        <w:rPr>
          <w:rFonts w:cs="Arial"/>
          <w:rtl/>
        </w:rPr>
        <w:t xml:space="preserve"> שכך השיב הגאון חנניה ב"ר יהודה וגם מגדולי פוסקי הלכות כתבו כן בפירוש דאפילו למ"ד דלא בטלה דוקא במקרקעי אבל במטלטלי לא מצינו תקנה לגאונים ז"ל</w:t>
      </w:r>
      <w:r>
        <w:rPr>
          <w:rFonts w:cs="Arial" w:hint="cs"/>
          <w:rtl/>
        </w:rPr>
        <w:t>.</w:t>
      </w:r>
      <w:r>
        <w:rPr>
          <w:rFonts w:cs="Arial"/>
          <w:rtl/>
        </w:rPr>
        <w:t xml:space="preserve"> וכ"כ הרמב"ם ז"ל (פט"ז ה"ז) ובעל העיטור (שם לג ע"א)</w:t>
      </w:r>
      <w:r>
        <w:rPr>
          <w:rFonts w:cs="Arial" w:hint="cs"/>
          <w:rtl/>
        </w:rPr>
        <w:t>.</w:t>
      </w:r>
      <w:r>
        <w:rPr>
          <w:rFonts w:cs="Arial"/>
          <w:rtl/>
        </w:rPr>
        <w:t xml:space="preserve"> ומכל מקום אני רואה שפשט המנהג ביניכם לפי מה שכתב רבינו הגדול הר"מ לגבות אותה גם עכשיו ואפילו מהמטלטלין</w:t>
      </w:r>
      <w:r>
        <w:rPr>
          <w:rFonts w:cs="Arial" w:hint="cs"/>
          <w:rtl/>
        </w:rPr>
        <w:t>.</w:t>
      </w:r>
      <w:r>
        <w:rPr>
          <w:rFonts w:cs="Arial"/>
          <w:rtl/>
        </w:rPr>
        <w:t xml:space="preserve"> וכל כיוצא בדברים אלו הכל הולך אחר המנהג שזה כדרישת לשון הדיוט שאמרו בפרק המקבל (ב"מ קד.)</w:t>
      </w:r>
      <w:r>
        <w:rPr>
          <w:rFonts w:cs="Arial" w:hint="cs"/>
          <w:rtl/>
        </w:rPr>
        <w:t>.</w:t>
      </w:r>
    </w:p>
  </w:footnote>
  <w:footnote w:id="2816">
    <w:p w14:paraId="77EA0451" w14:textId="77777777" w:rsidR="00DF1FC7" w:rsidRDefault="00DF1FC7" w:rsidP="002E5BAD">
      <w:pPr>
        <w:pStyle w:val="a5"/>
        <w:rPr>
          <w:rtl/>
        </w:rPr>
      </w:pPr>
      <w:r>
        <w:rPr>
          <w:rStyle w:val="a7"/>
        </w:rPr>
        <w:footnoteRef/>
      </w:r>
      <w:r>
        <w:rPr>
          <w:rtl/>
        </w:rPr>
        <w:t xml:space="preserve"> </w:t>
      </w:r>
      <w:r w:rsidRPr="008A1F1E">
        <w:rPr>
          <w:rFonts w:cs="Arial"/>
          <w:rtl/>
        </w:rPr>
        <w:t xml:space="preserve">ר"י </w:t>
      </w:r>
      <w:r>
        <w:rPr>
          <w:rFonts w:cs="Arial" w:hint="cs"/>
          <w:sz w:val="16"/>
          <w:szCs w:val="16"/>
          <w:rtl/>
        </w:rPr>
        <w:t xml:space="preserve">(כ"כ הטור בשמו) </w:t>
      </w:r>
      <w:r>
        <w:rPr>
          <w:rFonts w:cs="Arial" w:hint="cs"/>
          <w:rtl/>
        </w:rPr>
        <w:t>רמב"ם</w:t>
      </w:r>
      <w:r>
        <w:rPr>
          <w:rFonts w:cs="Arial" w:hint="cs"/>
          <w:sz w:val="16"/>
          <w:szCs w:val="16"/>
          <w:rtl/>
        </w:rPr>
        <w:t xml:space="preserve"> </w:t>
      </w:r>
      <w:r w:rsidRPr="00631525">
        <w:rPr>
          <w:rFonts w:cs="Arial" w:hint="cs"/>
          <w:sz w:val="16"/>
          <w:szCs w:val="16"/>
          <w:rtl/>
        </w:rPr>
        <w:t>(</w:t>
      </w:r>
      <w:r>
        <w:rPr>
          <w:rFonts w:cs="Arial" w:hint="cs"/>
          <w:sz w:val="16"/>
          <w:szCs w:val="16"/>
          <w:rtl/>
        </w:rPr>
        <w:t>שם</w:t>
      </w:r>
      <w:r w:rsidRPr="00631525">
        <w:rPr>
          <w:rFonts w:cs="Arial" w:hint="cs"/>
          <w:sz w:val="16"/>
          <w:szCs w:val="16"/>
          <w:rtl/>
        </w:rPr>
        <w:t>)</w:t>
      </w:r>
      <w:r>
        <w:rPr>
          <w:rFonts w:cs="Arial" w:hint="cs"/>
          <w:rtl/>
        </w:rPr>
        <w:t xml:space="preserve"> </w:t>
      </w:r>
      <w:r w:rsidRPr="008A1F1E">
        <w:rPr>
          <w:rFonts w:cs="Arial"/>
          <w:rtl/>
        </w:rPr>
        <w:t>רמ"ה</w:t>
      </w:r>
      <w:r>
        <w:rPr>
          <w:rFonts w:cs="Arial" w:hint="cs"/>
          <w:rtl/>
        </w:rPr>
        <w:t xml:space="preserve"> </w:t>
      </w:r>
      <w:r>
        <w:rPr>
          <w:rFonts w:cs="Arial" w:hint="cs"/>
          <w:sz w:val="16"/>
          <w:szCs w:val="16"/>
          <w:rtl/>
        </w:rPr>
        <w:t>(</w:t>
      </w:r>
      <w:r w:rsidRPr="00B01446">
        <w:rPr>
          <w:rFonts w:cs="Arial"/>
          <w:sz w:val="16"/>
          <w:szCs w:val="16"/>
          <w:rtl/>
        </w:rPr>
        <w:t xml:space="preserve">כ"כ </w:t>
      </w:r>
      <w:r w:rsidRPr="00B01446">
        <w:rPr>
          <w:rFonts w:cs="Arial" w:hint="cs"/>
          <w:sz w:val="16"/>
          <w:szCs w:val="16"/>
          <w:rtl/>
        </w:rPr>
        <w:t>בשמו טור ורי"ו [</w:t>
      </w:r>
      <w:r w:rsidRPr="00B01446">
        <w:rPr>
          <w:rFonts w:cs="Arial"/>
          <w:sz w:val="16"/>
          <w:szCs w:val="16"/>
          <w:rtl/>
        </w:rPr>
        <w:t>מישרים נכ"ג ח"י סד ע"ג</w:t>
      </w:r>
      <w:r w:rsidRPr="00B01446">
        <w:rPr>
          <w:rFonts w:cs="Arial" w:hint="cs"/>
          <w:sz w:val="16"/>
          <w:szCs w:val="16"/>
          <w:rtl/>
        </w:rPr>
        <w:t>]</w:t>
      </w:r>
      <w:r w:rsidRPr="00B01446">
        <w:rPr>
          <w:rFonts w:cs="Arial"/>
          <w:sz w:val="16"/>
          <w:szCs w:val="16"/>
          <w:rtl/>
        </w:rPr>
        <w:t>)</w:t>
      </w:r>
      <w:r>
        <w:rPr>
          <w:rFonts w:cs="Arial" w:hint="cs"/>
          <w:sz w:val="16"/>
          <w:szCs w:val="16"/>
          <w:rtl/>
        </w:rPr>
        <w:t xml:space="preserve"> </w:t>
      </w:r>
      <w:r>
        <w:rPr>
          <w:rFonts w:cs="Arial" w:hint="cs"/>
          <w:rtl/>
        </w:rPr>
        <w:t xml:space="preserve">רשב"א </w:t>
      </w:r>
      <w:r w:rsidRPr="00B01446">
        <w:rPr>
          <w:rFonts w:cs="Arial"/>
          <w:sz w:val="16"/>
          <w:szCs w:val="16"/>
          <w:rtl/>
        </w:rPr>
        <w:t>(ח"ד סי' קנב כג ע"ג ד"ה ולענין כתובת)</w:t>
      </w:r>
      <w:r>
        <w:rPr>
          <w:rFonts w:cs="Arial" w:hint="cs"/>
          <w:sz w:val="16"/>
          <w:szCs w:val="16"/>
          <w:rtl/>
        </w:rPr>
        <w:t xml:space="preserve"> </w:t>
      </w:r>
      <w:r>
        <w:rPr>
          <w:rFonts w:cs="Arial" w:hint="cs"/>
          <w:rtl/>
        </w:rPr>
        <w:t xml:space="preserve">ורא"ש </w:t>
      </w:r>
      <w:r>
        <w:rPr>
          <w:rFonts w:cs="Arial" w:hint="cs"/>
          <w:sz w:val="16"/>
          <w:szCs w:val="16"/>
          <w:rtl/>
        </w:rPr>
        <w:t>(כ"כ הטור בשמם)</w:t>
      </w:r>
      <w:r>
        <w:rPr>
          <w:rFonts w:hint="cs"/>
          <w:rtl/>
        </w:rPr>
        <w:t>.</w:t>
      </w:r>
    </w:p>
  </w:footnote>
  <w:footnote w:id="2817">
    <w:p w14:paraId="67B4A09E" w14:textId="77777777" w:rsidR="00DF1FC7" w:rsidRDefault="00DF1FC7" w:rsidP="002E5BAD">
      <w:pPr>
        <w:pStyle w:val="a5"/>
      </w:pPr>
      <w:r>
        <w:rPr>
          <w:rStyle w:val="a7"/>
        </w:rPr>
        <w:footnoteRef/>
      </w:r>
      <w:r>
        <w:rPr>
          <w:rtl/>
        </w:rPr>
        <w:t xml:space="preserve"> </w:t>
      </w:r>
      <w:r>
        <w:rPr>
          <w:rFonts w:hint="cs"/>
          <w:rtl/>
        </w:rPr>
        <w:t>וכתב המרדכי (סי' קסב) דכן כתבו הסמ"ג ורבנו ברוך.</w:t>
      </w:r>
    </w:p>
  </w:footnote>
  <w:footnote w:id="2818">
    <w:p w14:paraId="1782BDB8" w14:textId="77777777" w:rsidR="00DF1FC7" w:rsidRDefault="00DF1FC7" w:rsidP="002E5BAD">
      <w:pPr>
        <w:pStyle w:val="a5"/>
        <w:rPr>
          <w:rtl/>
        </w:rPr>
      </w:pPr>
      <w:r>
        <w:rPr>
          <w:rStyle w:val="a7"/>
        </w:rPr>
        <w:footnoteRef/>
      </w:r>
      <w:r>
        <w:rPr>
          <w:rtl/>
        </w:rPr>
        <w:t xml:space="preserve"> </w:t>
      </w:r>
      <w:r w:rsidRPr="008A1F1E">
        <w:rPr>
          <w:rFonts w:cs="Arial"/>
          <w:rtl/>
        </w:rPr>
        <w:t>וכן הוא בריב"ש סימן ק"ו ועיין שם</w:t>
      </w:r>
      <w:r>
        <w:rPr>
          <w:rFonts w:cs="Arial" w:hint="cs"/>
          <w:rtl/>
        </w:rPr>
        <w:t>.</w:t>
      </w:r>
      <w:r w:rsidRPr="008A1F1E">
        <w:rPr>
          <w:rFonts w:cs="Arial"/>
          <w:rtl/>
        </w:rPr>
        <w:t xml:space="preserve"> ומימי לא ראיתי ולא שמעתי בזמנים אלו להגבותה</w:t>
      </w:r>
      <w:r>
        <w:rPr>
          <w:rFonts w:hint="cs"/>
          <w:rtl/>
        </w:rPr>
        <w:t>, דרכ"מ (אות ה).</w:t>
      </w:r>
    </w:p>
  </w:footnote>
  <w:footnote w:id="2819">
    <w:p w14:paraId="0DB4FA0A" w14:textId="77777777" w:rsidR="00DF1FC7" w:rsidRDefault="00DF1FC7" w:rsidP="002E5BAD">
      <w:pPr>
        <w:pStyle w:val="a5"/>
      </w:pPr>
      <w:r>
        <w:rPr>
          <w:rStyle w:val="a7"/>
        </w:rPr>
        <w:footnoteRef/>
      </w:r>
      <w:r>
        <w:rPr>
          <w:rtl/>
        </w:rPr>
        <w:t xml:space="preserve"> </w:t>
      </w:r>
      <w:r w:rsidRPr="00D96223">
        <w:rPr>
          <w:rFonts w:cs="Arial"/>
          <w:rtl/>
        </w:rPr>
        <w:t>(ה*) כמו שנתבאר לעיל (אות א):</w:t>
      </w:r>
    </w:p>
  </w:footnote>
  <w:footnote w:id="2820">
    <w:p w14:paraId="72E8FBF7" w14:textId="77777777" w:rsidR="00DF1FC7" w:rsidRDefault="00DF1FC7" w:rsidP="002E5BAD">
      <w:pPr>
        <w:pStyle w:val="a5"/>
        <w:rPr>
          <w:rtl/>
        </w:rPr>
      </w:pPr>
      <w:r>
        <w:rPr>
          <w:rStyle w:val="a7"/>
        </w:rPr>
        <w:footnoteRef/>
      </w:r>
      <w:r>
        <w:rPr>
          <w:rtl/>
        </w:rPr>
        <w:t xml:space="preserve"> </w:t>
      </w:r>
      <w:r w:rsidRPr="00D93E62">
        <w:rPr>
          <w:rFonts w:cs="Arial"/>
          <w:rtl/>
        </w:rPr>
        <w:t>בתמיה והלא בגרות מוציאה מרשות אב ולמה תיזון מביתו ובין לרבי בין לר' אלעזר בר' שמעון שנחלקו בדבר בפרק מציאת האשה (לקמן /כתובות/ סח:) בעישור נכסים מודים במזונות דבין נשאו בין בגרו אבדו מזונות</w:t>
      </w:r>
      <w:r>
        <w:rPr>
          <w:rFonts w:hint="cs"/>
          <w:rtl/>
        </w:rPr>
        <w:t>, רש"י.</w:t>
      </w:r>
    </w:p>
  </w:footnote>
  <w:footnote w:id="2821">
    <w:p w14:paraId="6F17249E" w14:textId="77777777" w:rsidR="00DF1FC7" w:rsidRDefault="00DF1FC7" w:rsidP="002E5BAD">
      <w:pPr>
        <w:pStyle w:val="a5"/>
        <w:rPr>
          <w:rtl/>
        </w:rPr>
      </w:pPr>
      <w:r>
        <w:rPr>
          <w:rStyle w:val="a7"/>
        </w:rPr>
        <w:footnoteRef/>
      </w:r>
      <w:r>
        <w:rPr>
          <w:rtl/>
        </w:rPr>
        <w:t xml:space="preserve"> </w:t>
      </w:r>
      <w:r w:rsidRPr="00D93E62">
        <w:rPr>
          <w:rFonts w:cs="Arial"/>
          <w:rtl/>
        </w:rPr>
        <w:t>רב אמר עד דתלקחן קיחה דאירוסין ואפילו לא בגר וללוי או תבגרן או ינשאו ויצאו מרשות אב לגמרי כי בגרות</w:t>
      </w:r>
      <w:r>
        <w:rPr>
          <w:rFonts w:hint="cs"/>
          <w:rtl/>
        </w:rPr>
        <w:t>, רש"י.</w:t>
      </w:r>
    </w:p>
  </w:footnote>
  <w:footnote w:id="2822">
    <w:p w14:paraId="65E4C532" w14:textId="77777777" w:rsidR="00DF1FC7" w:rsidRDefault="00DF1FC7" w:rsidP="002E5BAD">
      <w:pPr>
        <w:pStyle w:val="a5"/>
      </w:pPr>
      <w:r>
        <w:rPr>
          <w:rStyle w:val="a7"/>
        </w:rPr>
        <w:footnoteRef/>
      </w:r>
      <w:r>
        <w:rPr>
          <w:rtl/>
        </w:rPr>
        <w:t xml:space="preserve"> </w:t>
      </w:r>
      <w:r w:rsidRPr="00D93E62">
        <w:rPr>
          <w:rFonts w:cs="Arial"/>
          <w:rtl/>
        </w:rPr>
        <w:t>דלוי סידר ברייתא ששה סדרים כר' חייא וכרבי אושעיא</w:t>
      </w:r>
      <w:r>
        <w:rPr>
          <w:rFonts w:cs="Arial" w:hint="cs"/>
          <w:rtl/>
        </w:rPr>
        <w:t>, רש"י.</w:t>
      </w:r>
    </w:p>
  </w:footnote>
  <w:footnote w:id="2823">
    <w:p w14:paraId="146DFC7D" w14:textId="77777777" w:rsidR="00DF1FC7" w:rsidRDefault="00DF1FC7" w:rsidP="002E5BAD">
      <w:pPr>
        <w:pStyle w:val="a5"/>
        <w:rPr>
          <w:rtl/>
        </w:rPr>
      </w:pPr>
      <w:r>
        <w:rPr>
          <w:rStyle w:val="a7"/>
        </w:rPr>
        <w:footnoteRef/>
      </w:r>
      <w:r>
        <w:rPr>
          <w:rtl/>
        </w:rPr>
        <w:t xml:space="preserve"> </w:t>
      </w:r>
      <w:r>
        <w:rPr>
          <w:rFonts w:cs="Arial"/>
          <w:rtl/>
        </w:rPr>
        <w:t>כלומר אבל בחייו אינו חייב במזונותן מבואר שם במשנה (מט.) ומיהו דוקא כשהן יותר על שש אבל פחות משש חייב לזונן בתקנת אושא כדאיתא בגמרא (מט:) וכבר כתב כן רבינו לקמן בסימן זה</w:t>
      </w:r>
      <w:r>
        <w:rPr>
          <w:rFonts w:hint="cs"/>
          <w:rtl/>
        </w:rPr>
        <w:t>, ב"י.</w:t>
      </w:r>
    </w:p>
  </w:footnote>
  <w:footnote w:id="2824">
    <w:p w14:paraId="5A7BFB69" w14:textId="77777777" w:rsidR="00DF1FC7" w:rsidRDefault="00DF1FC7" w:rsidP="002E5BAD">
      <w:pPr>
        <w:pStyle w:val="a5"/>
      </w:pPr>
      <w:r>
        <w:rPr>
          <w:rStyle w:val="a7"/>
        </w:rPr>
        <w:footnoteRef/>
      </w:r>
      <w:r>
        <w:rPr>
          <w:rtl/>
        </w:rPr>
        <w:t xml:space="preserve"> </w:t>
      </w:r>
      <w:r w:rsidRPr="00B345A5">
        <w:rPr>
          <w:rFonts w:cs="Arial"/>
          <w:rtl/>
        </w:rPr>
        <w:t>ותנאי כתובה בכלל ואע</w:t>
      </w:r>
      <w:r>
        <w:rPr>
          <w:rFonts w:cs="Arial" w:hint="cs"/>
          <w:rtl/>
        </w:rPr>
        <w:t>"</w:t>
      </w:r>
      <w:r w:rsidRPr="00B345A5">
        <w:rPr>
          <w:rFonts w:cs="Arial"/>
          <w:rtl/>
        </w:rPr>
        <w:t>ג דנתבאר לעיל סימן צ"ג (עמ' תט) וסי' ק"ה דמוחלת אית לה מזונות בחיי בעלה מכל מקום לאחר מותו אין לה מזונות אף לבנות וצ"ע בר"ן פרק נערה (יט: ד"ה מוחלת) דמשמע שם דאין חילוק</w:t>
      </w:r>
      <w:r>
        <w:rPr>
          <w:rFonts w:cs="Arial" w:hint="cs"/>
          <w:rtl/>
        </w:rPr>
        <w:t>...</w:t>
      </w:r>
      <w:r w:rsidRPr="00B345A5">
        <w:rPr>
          <w:rFonts w:cs="Arial"/>
          <w:rtl/>
        </w:rPr>
        <w:t xml:space="preserve"> וע"ל סימן פ"ב בת הנזונת אם היא אצל אמה או אצל האחין</w:t>
      </w:r>
      <w:r>
        <w:rPr>
          <w:rFonts w:cs="Arial" w:hint="cs"/>
          <w:rtl/>
        </w:rPr>
        <w:t>, דרכ"מ (אות א).</w:t>
      </w:r>
    </w:p>
  </w:footnote>
  <w:footnote w:id="2825">
    <w:p w14:paraId="6168C73B" w14:textId="77777777" w:rsidR="00DF1FC7" w:rsidRDefault="00DF1FC7" w:rsidP="002E5BAD">
      <w:pPr>
        <w:pStyle w:val="a5"/>
      </w:pPr>
      <w:r>
        <w:rPr>
          <w:rStyle w:val="a7"/>
        </w:rPr>
        <w:footnoteRef/>
      </w:r>
      <w:r>
        <w:rPr>
          <w:rtl/>
        </w:rPr>
        <w:t xml:space="preserve"> </w:t>
      </w:r>
      <w:r w:rsidRPr="00F06DB8">
        <w:rPr>
          <w:rFonts w:cs="Arial"/>
          <w:rtl/>
        </w:rPr>
        <w:t>כלו' שכתב שאר תנאי כתובה ולא כתב תנאי זה בנן נוקבן וכו' אמרי' דט"ס הוא אם לא שנכתב בפי' שהתנה עמה בפי' שאל יזונו בנותיו מנכסיו דמהני וכמו שיתבאר בסמוך סעי' י' דכל תנאי שבממון קיים</w:t>
      </w:r>
      <w:r>
        <w:rPr>
          <w:rFonts w:cs="Arial" w:hint="cs"/>
          <w:rtl/>
        </w:rPr>
        <w:t>, ח"מ (סק"א).</w:t>
      </w:r>
    </w:p>
  </w:footnote>
  <w:footnote w:id="2826">
    <w:p w14:paraId="0BB00558" w14:textId="77777777" w:rsidR="00DF1FC7" w:rsidRDefault="00DF1FC7" w:rsidP="002E5BAD">
      <w:pPr>
        <w:pStyle w:val="a5"/>
      </w:pPr>
      <w:r>
        <w:rPr>
          <w:rStyle w:val="a7"/>
        </w:rPr>
        <w:footnoteRef/>
      </w:r>
      <w:r>
        <w:rPr>
          <w:rtl/>
        </w:rPr>
        <w:t xml:space="preserve"> </w:t>
      </w:r>
      <w:r w:rsidRPr="002B2468">
        <w:rPr>
          <w:rFonts w:cs="Arial"/>
          <w:rtl/>
        </w:rPr>
        <w:t>דכשם שנתחייב בגוף הכתובה בתנאי ב"ד כך נתחייב בכל תנאי כתובה אבל במקום שכותבין כתובה ונאבדה ממנו הכתובה דעת הרמב"ם שטוענין ליתמי שמא מחלה הכתובה ואבדה כל תנאי כתובה וכמו שנתבאר בסימן צ"ג סעיף י"ח</w:t>
      </w:r>
      <w:r>
        <w:rPr>
          <w:rFonts w:cs="Arial" w:hint="cs"/>
          <w:rtl/>
        </w:rPr>
        <w:t>, ח"מ (סק"ב).</w:t>
      </w:r>
      <w:r>
        <w:rPr>
          <w:rFonts w:hint="cs"/>
          <w:rtl/>
        </w:rPr>
        <w:t xml:space="preserve"> וכתב הב"ש (סק"ב)</w:t>
      </w:r>
      <w:r w:rsidRPr="00430571">
        <w:rPr>
          <w:rtl/>
        </w:rPr>
        <w:t xml:space="preserve"> </w:t>
      </w:r>
      <w:r>
        <w:rPr>
          <w:rFonts w:cs="Arial" w:hint="cs"/>
          <w:rtl/>
        </w:rPr>
        <w:t>ד</w:t>
      </w:r>
      <w:r w:rsidRPr="00430571">
        <w:rPr>
          <w:rFonts w:cs="Arial"/>
          <w:rtl/>
        </w:rPr>
        <w:t>הטור</w:t>
      </w:r>
      <w:r>
        <w:rPr>
          <w:rFonts w:cs="Arial" w:hint="cs"/>
          <w:rtl/>
        </w:rPr>
        <w:t xml:space="preserve"> כתב כהרמב"ם,</w:t>
      </w:r>
      <w:r w:rsidRPr="00430571">
        <w:rPr>
          <w:rFonts w:cs="Arial"/>
          <w:rtl/>
        </w:rPr>
        <w:t xml:space="preserve"> אלא הרמב"ם לטעמיה אזיל דכן ס"ל במזונות שלה כשאין הכתובה בידה אין לה ת"כ</w:t>
      </w:r>
      <w:r>
        <w:rPr>
          <w:rFonts w:cs="Arial" w:hint="cs"/>
          <w:rtl/>
        </w:rPr>
        <w:t>.</w:t>
      </w:r>
      <w:r w:rsidRPr="00430571">
        <w:rPr>
          <w:rFonts w:cs="Arial"/>
          <w:rtl/>
        </w:rPr>
        <w:t xml:space="preserve"> אבל לדעת הטור אית לה מזונות אע</w:t>
      </w:r>
      <w:r>
        <w:rPr>
          <w:rFonts w:cs="Arial" w:hint="cs"/>
          <w:rtl/>
        </w:rPr>
        <w:t>"</w:t>
      </w:r>
      <w:r w:rsidRPr="00430571">
        <w:rPr>
          <w:rFonts w:cs="Arial"/>
          <w:rtl/>
        </w:rPr>
        <w:t>פ שאין הכתובה בידה כמ"ש בסי' צ"ג</w:t>
      </w:r>
      <w:r>
        <w:rPr>
          <w:rFonts w:cs="Arial" w:hint="cs"/>
          <w:rtl/>
        </w:rPr>
        <w:t>.</w:t>
      </w:r>
      <w:r w:rsidRPr="00430571">
        <w:rPr>
          <w:rFonts w:cs="Arial"/>
          <w:rtl/>
        </w:rPr>
        <w:t xml:space="preserve"> </w:t>
      </w:r>
      <w:r>
        <w:rPr>
          <w:rFonts w:cs="Arial" w:hint="cs"/>
          <w:rtl/>
        </w:rPr>
        <w:t>ו</w:t>
      </w:r>
      <w:r w:rsidRPr="00430571">
        <w:rPr>
          <w:rFonts w:cs="Arial"/>
          <w:rtl/>
        </w:rPr>
        <w:t>צ"ל כמ"ש בסי' הקודם שאני מזונות שלה דנכסים בחזקתה</w:t>
      </w:r>
      <w:r>
        <w:rPr>
          <w:rFonts w:cs="Arial" w:hint="cs"/>
          <w:rtl/>
        </w:rPr>
        <w:t>.</w:t>
      </w:r>
      <w:r w:rsidRPr="00430571">
        <w:rPr>
          <w:rFonts w:cs="Arial"/>
          <w:rtl/>
        </w:rPr>
        <w:t xml:space="preserve"> אלא לכאורה קשה לדעת רמ"א שהביא בסי' ק' דעת הפוסקים דס"ל אפי' אין הכתובה בידה אית לה כתובה כיון שהוא תנאי ב"ד</w:t>
      </w:r>
      <w:r>
        <w:rPr>
          <w:rFonts w:cs="Arial" w:hint="cs"/>
          <w:rtl/>
        </w:rPr>
        <w:t>,</w:t>
      </w:r>
      <w:r w:rsidRPr="00430571">
        <w:rPr>
          <w:rFonts w:cs="Arial"/>
          <w:rtl/>
        </w:rPr>
        <w:t xml:space="preserve"> ושם פסק כן</w:t>
      </w:r>
      <w:r>
        <w:rPr>
          <w:rFonts w:cs="Arial" w:hint="cs"/>
          <w:rtl/>
        </w:rPr>
        <w:t>.</w:t>
      </w:r>
      <w:r w:rsidRPr="00430571">
        <w:rPr>
          <w:rFonts w:cs="Arial"/>
          <w:rtl/>
        </w:rPr>
        <w:t xml:space="preserve"> ומ"ש שם </w:t>
      </w:r>
      <w:r>
        <w:rPr>
          <w:rFonts w:cs="Arial" w:hint="cs"/>
          <w:rtl/>
        </w:rPr>
        <w:t>'</w:t>
      </w:r>
      <w:r w:rsidRPr="00430571">
        <w:rPr>
          <w:rFonts w:cs="Arial"/>
          <w:rtl/>
        </w:rPr>
        <w:t>ולא נהגו כן</w:t>
      </w:r>
      <w:r>
        <w:rPr>
          <w:rFonts w:cs="Arial" w:hint="cs"/>
          <w:rtl/>
        </w:rPr>
        <w:t>',</w:t>
      </w:r>
      <w:r w:rsidRPr="00430571">
        <w:rPr>
          <w:rFonts w:cs="Arial"/>
          <w:rtl/>
        </w:rPr>
        <w:t xml:space="preserve"> קאי על תוספות כתובה</w:t>
      </w:r>
      <w:r>
        <w:rPr>
          <w:rFonts w:cs="Arial" w:hint="cs"/>
          <w:rtl/>
        </w:rPr>
        <w:t>.</w:t>
      </w:r>
      <w:r w:rsidRPr="00430571">
        <w:rPr>
          <w:rFonts w:cs="Arial"/>
          <w:rtl/>
        </w:rPr>
        <w:t xml:space="preserve"> א"כ כאן לענין מזונות הבנות קשה למה לא הביא הפוסקים הללו דס"ל דאית לה כתוב</w:t>
      </w:r>
      <w:r>
        <w:rPr>
          <w:rFonts w:cs="Arial" w:hint="cs"/>
          <w:rtl/>
        </w:rPr>
        <w:t>ה</w:t>
      </w:r>
      <w:r w:rsidRPr="00430571">
        <w:rPr>
          <w:rFonts w:cs="Arial"/>
          <w:rtl/>
        </w:rPr>
        <w:t xml:space="preserve"> </w:t>
      </w:r>
      <w:r>
        <w:rPr>
          <w:rFonts w:cs="Arial" w:hint="cs"/>
          <w:rtl/>
        </w:rPr>
        <w:t>ד</w:t>
      </w:r>
      <w:r w:rsidRPr="00430571">
        <w:rPr>
          <w:rFonts w:cs="Arial"/>
          <w:rtl/>
        </w:rPr>
        <w:t>כן אית לה מזונות</w:t>
      </w:r>
      <w:r>
        <w:rPr>
          <w:rFonts w:cs="Arial" w:hint="cs"/>
          <w:rtl/>
        </w:rPr>
        <w:t>.</w:t>
      </w:r>
      <w:r w:rsidRPr="00430571">
        <w:rPr>
          <w:rFonts w:cs="Arial"/>
          <w:rtl/>
        </w:rPr>
        <w:t xml:space="preserve"> ובד"מ לא הביא שום פוסק דס"ל דאית להו מזונות אלא כ' בשם הראב"ד דאית להו מזונות</w:t>
      </w:r>
      <w:r>
        <w:rPr>
          <w:rFonts w:cs="Arial" w:hint="cs"/>
          <w:rtl/>
        </w:rPr>
        <w:t>.</w:t>
      </w:r>
      <w:r w:rsidRPr="00430571">
        <w:rPr>
          <w:rFonts w:cs="Arial"/>
          <w:rtl/>
        </w:rPr>
        <w:t xml:space="preserve"> ובאמת כל הני פוסקים דסבירא להו דאית לה כתובה כן יש להן מזונות</w:t>
      </w:r>
      <w:r>
        <w:rPr>
          <w:rFonts w:cs="Arial" w:hint="cs"/>
          <w:rtl/>
        </w:rPr>
        <w:t>.</w:t>
      </w:r>
      <w:r w:rsidRPr="00430571">
        <w:rPr>
          <w:rFonts w:cs="Arial"/>
          <w:rtl/>
        </w:rPr>
        <w:t xml:space="preserve"> וא"ל שאני מזונות בנות דמהני שיהא פטור ויש לחוש שמא היה תנאי שיהיה פטור</w:t>
      </w:r>
      <w:r>
        <w:rPr>
          <w:rFonts w:cs="Arial" w:hint="cs"/>
          <w:rtl/>
        </w:rPr>
        <w:t>,</w:t>
      </w:r>
      <w:r w:rsidRPr="00430571">
        <w:rPr>
          <w:rFonts w:cs="Arial"/>
          <w:rtl/>
        </w:rPr>
        <w:t xml:space="preserve"> דהא תנאי ב"ד הוא אין לחוש שמא הי' תנאי כשם דלא חיישינן לפרעון</w:t>
      </w:r>
      <w:r>
        <w:rPr>
          <w:rFonts w:cs="Arial" w:hint="cs"/>
          <w:rtl/>
        </w:rPr>
        <w:t>.</w:t>
      </w:r>
      <w:r w:rsidRPr="00430571">
        <w:rPr>
          <w:rFonts w:cs="Arial"/>
          <w:rtl/>
        </w:rPr>
        <w:t xml:space="preserve"> וע"כ הטעם הוא כיון שהוא תנאי ב"ד לא אמרינן שמא פרע אלא בעינן בירור גמור</w:t>
      </w:r>
      <w:r>
        <w:rPr>
          <w:rFonts w:cs="Arial" w:hint="cs"/>
          <w:rtl/>
        </w:rPr>
        <w:t>,</w:t>
      </w:r>
      <w:r w:rsidRPr="00430571">
        <w:rPr>
          <w:rFonts w:cs="Arial"/>
          <w:rtl/>
        </w:rPr>
        <w:t xml:space="preserve"> כן ה"נ לא חיישינן שמא היה תנאי ביניהם</w:t>
      </w:r>
      <w:r>
        <w:rPr>
          <w:rFonts w:cs="Arial" w:hint="cs"/>
          <w:rtl/>
        </w:rPr>
        <w:t>.</w:t>
      </w:r>
      <w:r w:rsidRPr="00430571">
        <w:rPr>
          <w:rFonts w:cs="Arial"/>
          <w:rtl/>
        </w:rPr>
        <w:t xml:space="preserve"> גם מבואר כאן כשהכתובה בידה ולא נכתב חיוב מזונות לא אמרינן שהיה תנאי כך ביניהם אלא תלינן בט"ס כיון שהוא תנאי ב"ד</w:t>
      </w:r>
      <w:r>
        <w:rPr>
          <w:rFonts w:cs="Arial" w:hint="cs"/>
          <w:rtl/>
        </w:rPr>
        <w:t>.</w:t>
      </w:r>
      <w:r w:rsidRPr="00430571">
        <w:rPr>
          <w:rFonts w:cs="Arial"/>
          <w:rtl/>
        </w:rPr>
        <w:t xml:space="preserve"> ואפשר לומר הסברא כמ"ש בסי' הקודם הבנות אין להן טענות בריא אפילו אם אמם טוענת ברי ל</w:t>
      </w:r>
      <w:r>
        <w:rPr>
          <w:rFonts w:cs="Arial" w:hint="cs"/>
          <w:rtl/>
        </w:rPr>
        <w:t xml:space="preserve">א </w:t>
      </w:r>
      <w:r w:rsidRPr="00430571">
        <w:rPr>
          <w:rFonts w:cs="Arial"/>
          <w:rtl/>
        </w:rPr>
        <w:t>מ</w:t>
      </w:r>
      <w:r>
        <w:rPr>
          <w:rFonts w:cs="Arial" w:hint="cs"/>
          <w:rtl/>
        </w:rPr>
        <w:t>ועיל</w:t>
      </w:r>
      <w:r w:rsidRPr="00430571">
        <w:rPr>
          <w:rFonts w:cs="Arial"/>
          <w:rtl/>
        </w:rPr>
        <w:t xml:space="preserve"> ברי דידה כיון המעות שייך להבנות כמ"ש בסי' קי"ז וכמ"ש בתוספות פרק המדיר דף ע"ז ד"ה רישא</w:t>
      </w:r>
      <w:r>
        <w:rPr>
          <w:rFonts w:hint="cs"/>
          <w:rtl/>
        </w:rPr>
        <w:t>.</w:t>
      </w:r>
    </w:p>
  </w:footnote>
  <w:footnote w:id="2827">
    <w:p w14:paraId="7AC9AB73" w14:textId="77777777" w:rsidR="00DF1FC7" w:rsidRDefault="00DF1FC7" w:rsidP="002E5BAD">
      <w:pPr>
        <w:pStyle w:val="a5"/>
      </w:pPr>
      <w:r>
        <w:rPr>
          <w:rStyle w:val="a7"/>
        </w:rPr>
        <w:footnoteRef/>
      </w:r>
      <w:r>
        <w:rPr>
          <w:rtl/>
        </w:rPr>
        <w:t xml:space="preserve"> </w:t>
      </w:r>
      <w:r w:rsidRPr="002B2468">
        <w:rPr>
          <w:rFonts w:cs="Arial"/>
          <w:rtl/>
        </w:rPr>
        <w:t>לעיל סימן ק"ה סעיף ד' סתם כדעת הרמב"ם וכאן לענין מזונות הבנו' הביא דעת הראב"ד החולק על הרמב"ם באשר גם המ"מ הניח הדבר בצ"ע לענין מזון הבנות ועיין בסי' צ"ג סעיף ט' ועיין בר"ן</w:t>
      </w:r>
      <w:r>
        <w:rPr>
          <w:rFonts w:cs="Arial" w:hint="cs"/>
          <w:rtl/>
        </w:rPr>
        <w:t>, ח"מ (סק"ג).</w:t>
      </w:r>
    </w:p>
  </w:footnote>
  <w:footnote w:id="2828">
    <w:p w14:paraId="25C35A9B" w14:textId="77777777" w:rsidR="00DF1FC7" w:rsidRDefault="00DF1FC7" w:rsidP="002E5BAD">
      <w:pPr>
        <w:pStyle w:val="a5"/>
      </w:pPr>
      <w:r>
        <w:rPr>
          <w:rStyle w:val="a7"/>
        </w:rPr>
        <w:footnoteRef/>
      </w:r>
      <w:r>
        <w:rPr>
          <w:rtl/>
        </w:rPr>
        <w:t xml:space="preserve"> </w:t>
      </w:r>
      <w:r w:rsidRPr="005D16A7">
        <w:rPr>
          <w:rFonts w:cs="Arial"/>
          <w:rtl/>
        </w:rPr>
        <w:t>אי</w:t>
      </w:r>
      <w:r>
        <w:rPr>
          <w:rFonts w:cs="Arial" w:hint="cs"/>
          <w:rtl/>
        </w:rPr>
        <w:t>ני יודע</w:t>
      </w:r>
      <w:r w:rsidRPr="005D16A7">
        <w:rPr>
          <w:rFonts w:cs="Arial"/>
          <w:rtl/>
        </w:rPr>
        <w:t xml:space="preserve"> מנ"ל זאת</w:t>
      </w:r>
      <w:r>
        <w:rPr>
          <w:rFonts w:cs="Arial" w:hint="cs"/>
          <w:rtl/>
        </w:rPr>
        <w:t>,</w:t>
      </w:r>
      <w:r w:rsidRPr="005D16A7">
        <w:rPr>
          <w:rFonts w:cs="Arial"/>
          <w:rtl/>
        </w:rPr>
        <w:t xml:space="preserve"> כי לא נשמע זאת מהשגות הראב"ד הנ"ל </w:t>
      </w:r>
      <w:r w:rsidRPr="005D16A7">
        <w:rPr>
          <w:rFonts w:cs="Arial" w:hint="cs"/>
          <w:sz w:val="16"/>
          <w:szCs w:val="16"/>
          <w:rtl/>
        </w:rPr>
        <w:t>(</w:t>
      </w:r>
      <w:r w:rsidRPr="005D16A7">
        <w:rPr>
          <w:rFonts w:cs="Arial"/>
          <w:sz w:val="16"/>
          <w:szCs w:val="16"/>
          <w:rtl/>
        </w:rPr>
        <w:t>ודוחק לומר מ"ש בשם הראב"ד לא כתב בשמו אלא אם מחלה הכתוב</w:t>
      </w:r>
      <w:r>
        <w:rPr>
          <w:rFonts w:cs="Arial" w:hint="cs"/>
          <w:sz w:val="16"/>
          <w:szCs w:val="16"/>
          <w:rtl/>
        </w:rPr>
        <w:t>ה</w:t>
      </w:r>
      <w:r w:rsidRPr="005D16A7">
        <w:rPr>
          <w:rFonts w:cs="Arial"/>
          <w:sz w:val="16"/>
          <w:szCs w:val="16"/>
          <w:rtl/>
        </w:rPr>
        <w:t xml:space="preserve"> לא נמחל המזונות</w:t>
      </w:r>
      <w:r>
        <w:rPr>
          <w:rFonts w:cs="Arial" w:hint="cs"/>
          <w:sz w:val="16"/>
          <w:szCs w:val="16"/>
          <w:rtl/>
        </w:rPr>
        <w:t>,</w:t>
      </w:r>
      <w:r w:rsidRPr="005D16A7">
        <w:rPr>
          <w:rFonts w:cs="Arial"/>
          <w:sz w:val="16"/>
          <w:szCs w:val="16"/>
          <w:rtl/>
        </w:rPr>
        <w:t xml:space="preserve"> ומ"ש אפי' אין שטר הכתובה בידה זאת לא כתב בשם הראב"ד אלא כן הוא דעת ר"י שהביא בסי' ק' </w:t>
      </w:r>
      <w:r>
        <w:rPr>
          <w:rFonts w:cs="Arial" w:hint="cs"/>
          <w:sz w:val="16"/>
          <w:szCs w:val="16"/>
          <w:rtl/>
        </w:rPr>
        <w:t xml:space="preserve">- </w:t>
      </w:r>
      <w:r w:rsidRPr="005D16A7">
        <w:rPr>
          <w:rFonts w:cs="Arial"/>
          <w:sz w:val="16"/>
          <w:szCs w:val="16"/>
          <w:rtl/>
        </w:rPr>
        <w:t>דהא בד"מ לא הביא דעת ר"י בסי' זה רק הביא דעת הראב"ד</w:t>
      </w:r>
      <w:r w:rsidRPr="005D16A7">
        <w:rPr>
          <w:rFonts w:cs="Arial" w:hint="cs"/>
          <w:sz w:val="16"/>
          <w:szCs w:val="16"/>
          <w:rtl/>
        </w:rPr>
        <w:t>)</w:t>
      </w:r>
      <w:r>
        <w:rPr>
          <w:rFonts w:cs="Arial" w:hint="cs"/>
          <w:rtl/>
        </w:rPr>
        <w:t>.</w:t>
      </w:r>
      <w:r w:rsidRPr="005D16A7">
        <w:rPr>
          <w:rFonts w:cs="Arial"/>
          <w:rtl/>
        </w:rPr>
        <w:t xml:space="preserve"> ואפשר דס"ל כיון דאין מזונות הבנות תלי' בכתובה א"כ לענין מזונות הוי כאלו אין ריעותא לפנינו אע</w:t>
      </w:r>
      <w:r>
        <w:rPr>
          <w:rFonts w:cs="Arial" w:hint="cs"/>
          <w:rtl/>
        </w:rPr>
        <w:t>"</w:t>
      </w:r>
      <w:r w:rsidRPr="005D16A7">
        <w:rPr>
          <w:rFonts w:cs="Arial"/>
          <w:rtl/>
        </w:rPr>
        <w:t>פ שאין הכתובה בידה מ"מ לענין מזונות ליכא ריעותא דלא תליא מזונות בכתובה</w:t>
      </w:r>
      <w:r>
        <w:rPr>
          <w:rFonts w:cs="Arial" w:hint="cs"/>
          <w:rtl/>
        </w:rPr>
        <w:t>.</w:t>
      </w:r>
      <w:r w:rsidRPr="005D16A7">
        <w:rPr>
          <w:rFonts w:cs="Arial"/>
          <w:rtl/>
        </w:rPr>
        <w:t xml:space="preserve"> גם יש לו</w:t>
      </w:r>
      <w:r>
        <w:rPr>
          <w:rFonts w:cs="Arial" w:hint="cs"/>
          <w:rtl/>
        </w:rPr>
        <w:t>מר</w:t>
      </w:r>
      <w:r w:rsidRPr="005D16A7">
        <w:rPr>
          <w:rFonts w:cs="Arial"/>
          <w:rtl/>
        </w:rPr>
        <w:t xml:space="preserve"> דס"ל לראב"ד כיון דאין מזונות תלי' בכתובה אי</w:t>
      </w:r>
      <w:r>
        <w:rPr>
          <w:rFonts w:cs="Arial" w:hint="cs"/>
          <w:rtl/>
        </w:rPr>
        <w:t>נה יכולה</w:t>
      </w:r>
      <w:r w:rsidRPr="005D16A7">
        <w:rPr>
          <w:rFonts w:cs="Arial"/>
          <w:rtl/>
        </w:rPr>
        <w:t xml:space="preserve"> למחול זכות הבנות</w:t>
      </w:r>
      <w:r>
        <w:rPr>
          <w:rFonts w:cs="Arial" w:hint="cs"/>
          <w:rtl/>
        </w:rPr>
        <w:t>.</w:t>
      </w:r>
      <w:r w:rsidRPr="005D16A7">
        <w:rPr>
          <w:rFonts w:cs="Arial"/>
          <w:rtl/>
        </w:rPr>
        <w:t xml:space="preserve"> כי בשלמא כשהכל נגרר אחר הכתובה אז כיון שהיא מחלה זכותה ממילא נמחל הכל אבל למאן דס"ל דמזונות לא נגרר אחר הכתובה א"י למחול</w:t>
      </w:r>
      <w:r>
        <w:rPr>
          <w:rFonts w:cs="Arial" w:hint="cs"/>
          <w:rtl/>
        </w:rPr>
        <w:t>.</w:t>
      </w:r>
      <w:r w:rsidRPr="005D16A7">
        <w:rPr>
          <w:rFonts w:cs="Arial"/>
          <w:rtl/>
        </w:rPr>
        <w:t xml:space="preserve"> והטור ס"ל כהרמב"ם כמ"ש בסי' ק"ה והא דפסק בסי' קי"ד דאי</w:t>
      </w:r>
      <w:r>
        <w:rPr>
          <w:rFonts w:cs="Arial" w:hint="cs"/>
          <w:rtl/>
        </w:rPr>
        <w:t>נה יכולה</w:t>
      </w:r>
      <w:r w:rsidRPr="005D16A7">
        <w:rPr>
          <w:rFonts w:cs="Arial"/>
          <w:rtl/>
        </w:rPr>
        <w:t xml:space="preserve"> למחול מזון בנותי</w:t>
      </w:r>
      <w:r>
        <w:rPr>
          <w:rFonts w:cs="Arial" w:hint="cs"/>
          <w:rtl/>
        </w:rPr>
        <w:t>ה</w:t>
      </w:r>
      <w:r w:rsidRPr="005D16A7">
        <w:rPr>
          <w:rFonts w:cs="Arial"/>
          <w:rtl/>
        </w:rPr>
        <w:t xml:space="preserve"> תירץ בח"מ מזון בנותי' כבר זכו הבנות שהיו בעולם לכן א"י למחול אבל בנותיו דעדיין לא היו בעולם ולא זכו יכולה למחול</w:t>
      </w:r>
      <w:r>
        <w:rPr>
          <w:rFonts w:cs="Arial" w:hint="cs"/>
          <w:rtl/>
        </w:rPr>
        <w:t>.</w:t>
      </w:r>
      <w:r w:rsidRPr="005D16A7">
        <w:rPr>
          <w:rFonts w:cs="Arial"/>
          <w:rtl/>
        </w:rPr>
        <w:t xml:space="preserve"> ולמ"ש א"צ לזה</w:t>
      </w:r>
      <w:r>
        <w:rPr>
          <w:rFonts w:cs="Arial" w:hint="cs"/>
          <w:rtl/>
        </w:rPr>
        <w:t>,</w:t>
      </w:r>
      <w:r w:rsidRPr="005D16A7">
        <w:rPr>
          <w:rFonts w:cs="Arial"/>
          <w:rtl/>
        </w:rPr>
        <w:t xml:space="preserve"> אלא מזון בנותיו שאני שהוא תנאי כתובה ונגרר אחר הכתובה לכן יכולה למחול כמו דיכולה למחול הכתובה</w:t>
      </w:r>
      <w:r>
        <w:rPr>
          <w:rFonts w:cs="Arial" w:hint="cs"/>
          <w:rtl/>
        </w:rPr>
        <w:t>,</w:t>
      </w:r>
      <w:r w:rsidRPr="005D16A7">
        <w:rPr>
          <w:rFonts w:cs="Arial"/>
          <w:rtl/>
        </w:rPr>
        <w:t xml:space="preserve"> אבל שאר זכות הבנות א"י למחול</w:t>
      </w:r>
      <w:r>
        <w:rPr>
          <w:rFonts w:cs="Arial" w:hint="cs"/>
          <w:rtl/>
        </w:rPr>
        <w:t>.</w:t>
      </w:r>
      <w:r w:rsidRPr="005D16A7">
        <w:rPr>
          <w:rFonts w:cs="Arial"/>
          <w:rtl/>
        </w:rPr>
        <w:t xml:space="preserve"> ובסי' ק"ה </w:t>
      </w:r>
      <w:r>
        <w:rPr>
          <w:rFonts w:cs="Arial" w:hint="cs"/>
          <w:rtl/>
        </w:rPr>
        <w:t>ד</w:t>
      </w:r>
      <w:r w:rsidRPr="005D16A7">
        <w:rPr>
          <w:rFonts w:cs="Arial"/>
          <w:rtl/>
        </w:rPr>
        <w:t>לא הביא הרב רמ"א דעת הראב"ד על מ"ש המחבר שם במוחל' אבדה כל ת"כ</w:t>
      </w:r>
      <w:r>
        <w:rPr>
          <w:rFonts w:cs="Arial" w:hint="cs"/>
          <w:rtl/>
        </w:rPr>
        <w:t>,</w:t>
      </w:r>
      <w:r w:rsidRPr="005D16A7">
        <w:rPr>
          <w:rFonts w:cs="Arial"/>
          <w:rtl/>
        </w:rPr>
        <w:t xml:space="preserve"> י"ל דשם איירי כל תנאי שלה וזכות שלה קאמר והר"ן פנ"ש והמגיד פ' י"ט ס"ל כדעת הראב"ד בזה</w:t>
      </w:r>
      <w:r>
        <w:rPr>
          <w:rFonts w:cs="Arial" w:hint="cs"/>
          <w:rtl/>
        </w:rPr>
        <w:t>, ב"ש (סק"ג).</w:t>
      </w:r>
    </w:p>
  </w:footnote>
  <w:footnote w:id="2829">
    <w:p w14:paraId="5277C1A7" w14:textId="77777777" w:rsidR="00DF1FC7" w:rsidRDefault="00DF1FC7" w:rsidP="002E5BAD">
      <w:pPr>
        <w:pStyle w:val="a5"/>
        <w:rPr>
          <w:rtl/>
        </w:rPr>
      </w:pPr>
      <w:r>
        <w:rPr>
          <w:rStyle w:val="a7"/>
        </w:rPr>
        <w:footnoteRef/>
      </w:r>
      <w:r>
        <w:rPr>
          <w:rtl/>
        </w:rPr>
        <w:t xml:space="preserve"> </w:t>
      </w:r>
      <w:r w:rsidRPr="002B2468">
        <w:rPr>
          <w:rFonts w:cs="Arial"/>
          <w:rtl/>
        </w:rPr>
        <w:t>לא נתבאר אם מחלה אמם תנאי זה של מזונות הבנות בפי</w:t>
      </w:r>
      <w:r>
        <w:rPr>
          <w:rFonts w:cs="Arial" w:hint="cs"/>
          <w:rtl/>
        </w:rPr>
        <w:t>רוש</w:t>
      </w:r>
      <w:r w:rsidRPr="002B2468">
        <w:rPr>
          <w:rFonts w:cs="Arial"/>
          <w:rtl/>
        </w:rPr>
        <w:t xml:space="preserve"> אם מהני מחילה לדעת הראב"ד</w:t>
      </w:r>
      <w:r>
        <w:rPr>
          <w:rFonts w:hint="cs"/>
          <w:rtl/>
        </w:rPr>
        <w:t>, ח"מ (סק"ד).</w:t>
      </w:r>
    </w:p>
  </w:footnote>
  <w:footnote w:id="2830">
    <w:p w14:paraId="574CF93C" w14:textId="77777777" w:rsidR="00DF1FC7" w:rsidRDefault="00DF1FC7" w:rsidP="002E5BAD">
      <w:pPr>
        <w:pStyle w:val="a5"/>
      </w:pPr>
      <w:r>
        <w:rPr>
          <w:rStyle w:val="a7"/>
        </w:rPr>
        <w:footnoteRef/>
      </w:r>
      <w:r>
        <w:rPr>
          <w:rtl/>
        </w:rPr>
        <w:t xml:space="preserve"> </w:t>
      </w:r>
      <w:r w:rsidRPr="002B2468">
        <w:rPr>
          <w:rFonts w:cs="Arial"/>
          <w:rtl/>
        </w:rPr>
        <w:t>כלומר אע</w:t>
      </w:r>
      <w:r>
        <w:rPr>
          <w:rFonts w:cs="Arial" w:hint="cs"/>
          <w:rtl/>
        </w:rPr>
        <w:t>"</w:t>
      </w:r>
      <w:r w:rsidRPr="002B2468">
        <w:rPr>
          <w:rFonts w:cs="Arial"/>
          <w:rtl/>
        </w:rPr>
        <w:t xml:space="preserve">פ שאין לה מזונות יש לבנות מזונות אחר מיתת אביהם </w:t>
      </w:r>
      <w:r w:rsidRPr="002C01F1">
        <w:rPr>
          <w:rFonts w:cs="Arial" w:hint="cs"/>
          <w:sz w:val="16"/>
          <w:szCs w:val="16"/>
          <w:rtl/>
        </w:rPr>
        <w:t>(</w:t>
      </w:r>
      <w:r w:rsidRPr="002C01F1">
        <w:rPr>
          <w:rFonts w:cs="Arial"/>
          <w:sz w:val="16"/>
          <w:szCs w:val="16"/>
          <w:rtl/>
        </w:rPr>
        <w:t>ולא תימא לא עדיפי הבנות ממנה דאתו מחמתה</w:t>
      </w:r>
      <w:r w:rsidRPr="002C01F1">
        <w:rPr>
          <w:rFonts w:cs="Arial" w:hint="cs"/>
          <w:sz w:val="16"/>
          <w:szCs w:val="16"/>
          <w:rtl/>
        </w:rPr>
        <w:t xml:space="preserve"> -</w:t>
      </w:r>
      <w:r w:rsidRPr="002C01F1">
        <w:rPr>
          <w:rFonts w:cs="Arial"/>
          <w:sz w:val="16"/>
          <w:szCs w:val="16"/>
          <w:rtl/>
        </w:rPr>
        <w:t xml:space="preserve"> דהא אפילו מתה בחיי בעלה לא הפסידו הבנות תנאי שלהם</w:t>
      </w:r>
      <w:r w:rsidRPr="002C01F1">
        <w:rPr>
          <w:rFonts w:cs="Arial" w:hint="cs"/>
          <w:sz w:val="16"/>
          <w:szCs w:val="16"/>
          <w:rtl/>
        </w:rPr>
        <w:t>,</w:t>
      </w:r>
      <w:r w:rsidRPr="002C01F1">
        <w:rPr>
          <w:rFonts w:cs="Arial"/>
          <w:sz w:val="16"/>
          <w:szCs w:val="16"/>
          <w:rtl/>
        </w:rPr>
        <w:t xml:space="preserve"> וכ"כ בטור</w:t>
      </w:r>
      <w:r w:rsidRPr="002C01F1">
        <w:rPr>
          <w:rFonts w:cs="Arial" w:hint="cs"/>
          <w:sz w:val="16"/>
          <w:szCs w:val="16"/>
          <w:rtl/>
        </w:rPr>
        <w:t>)</w:t>
      </w:r>
      <w:r w:rsidRPr="002B2468">
        <w:rPr>
          <w:rFonts w:cs="Arial"/>
          <w:rtl/>
        </w:rPr>
        <w:t xml:space="preserve"> אבל מבני חרי ניזונית אע</w:t>
      </w:r>
      <w:r>
        <w:rPr>
          <w:rFonts w:cs="Arial" w:hint="cs"/>
          <w:rtl/>
        </w:rPr>
        <w:t>"</w:t>
      </w:r>
      <w:r w:rsidRPr="002B2468">
        <w:rPr>
          <w:rFonts w:cs="Arial"/>
          <w:rtl/>
        </w:rPr>
        <w:t>פ שגירשה ולא אמרינן כבר נתבטל תנאי ב"ד</w:t>
      </w:r>
      <w:r>
        <w:rPr>
          <w:rFonts w:cs="Arial" w:hint="cs"/>
          <w:rtl/>
        </w:rPr>
        <w:t>, ח"מ (סק"ה).</w:t>
      </w:r>
    </w:p>
  </w:footnote>
  <w:footnote w:id="2831">
    <w:p w14:paraId="3F025D45" w14:textId="77777777" w:rsidR="00DF1FC7" w:rsidRDefault="00DF1FC7" w:rsidP="002E5BAD">
      <w:pPr>
        <w:pStyle w:val="a5"/>
      </w:pPr>
      <w:r>
        <w:rPr>
          <w:rStyle w:val="a7"/>
        </w:rPr>
        <w:footnoteRef/>
      </w:r>
      <w:r>
        <w:rPr>
          <w:rtl/>
        </w:rPr>
        <w:t xml:space="preserve"> </w:t>
      </w:r>
      <w:r w:rsidRPr="002C01F1">
        <w:rPr>
          <w:rFonts w:cs="Arial"/>
          <w:rtl/>
        </w:rPr>
        <w:t>היינו לכ</w:t>
      </w:r>
      <w:r>
        <w:rPr>
          <w:rFonts w:cs="Arial" w:hint="cs"/>
          <w:rtl/>
        </w:rPr>
        <w:t>ו</w:t>
      </w:r>
      <w:r w:rsidRPr="002C01F1">
        <w:rPr>
          <w:rFonts w:cs="Arial"/>
          <w:rtl/>
        </w:rPr>
        <w:t>"ע הדין כן אפי' אם נתגרשה חייב במזונות הבנות שנולדו לה קודם הגט</w:t>
      </w:r>
      <w:r>
        <w:rPr>
          <w:rFonts w:cs="Arial" w:hint="cs"/>
          <w:rtl/>
        </w:rPr>
        <w:t>,</w:t>
      </w:r>
      <w:r w:rsidRPr="002C01F1">
        <w:rPr>
          <w:rFonts w:cs="Arial"/>
          <w:rtl/>
        </w:rPr>
        <w:t xml:space="preserve"> כ"כ הטור</w:t>
      </w:r>
      <w:r>
        <w:rPr>
          <w:rFonts w:cs="Arial" w:hint="cs"/>
          <w:rtl/>
        </w:rPr>
        <w:t>.</w:t>
      </w:r>
      <w:r w:rsidRPr="002C01F1">
        <w:rPr>
          <w:rFonts w:cs="Arial"/>
          <w:rtl/>
        </w:rPr>
        <w:t xml:space="preserve"> ונראה אפי' אם נתעברה וילדה אחר הגט נמי בכלל החיוב</w:t>
      </w:r>
      <w:r>
        <w:rPr>
          <w:rFonts w:cs="Arial" w:hint="cs"/>
          <w:rtl/>
        </w:rPr>
        <w:t>, ב"ש (סק"ד).</w:t>
      </w:r>
    </w:p>
  </w:footnote>
  <w:footnote w:id="2832">
    <w:p w14:paraId="58C0FE2D" w14:textId="77777777" w:rsidR="00DF1FC7" w:rsidRDefault="00DF1FC7" w:rsidP="002E5BAD">
      <w:pPr>
        <w:pStyle w:val="a5"/>
        <w:rPr>
          <w:rtl/>
        </w:rPr>
      </w:pPr>
      <w:r>
        <w:rPr>
          <w:rStyle w:val="a7"/>
        </w:rPr>
        <w:footnoteRef/>
      </w:r>
      <w:r>
        <w:rPr>
          <w:rtl/>
        </w:rPr>
        <w:t xml:space="preserve"> </w:t>
      </w:r>
      <w:r w:rsidRPr="00F05CBF">
        <w:rPr>
          <w:rFonts w:cs="Arial"/>
          <w:rtl/>
        </w:rPr>
        <w:t>הוא רבי זירא הוא רב זירא אלא בבבל מקמי דסליק לארעא דישראל לקמיה דרבי יוחנן ואין סמיכה בבבל הוו קרו ליה רב זירא ובהא שמעתא איכא למ"ד מקמי דסמכוהו אמרה ואיכא למ"ד בתר דסמכוהו אמרה</w:t>
      </w:r>
      <w:r>
        <w:rPr>
          <w:rFonts w:hint="cs"/>
          <w:rtl/>
        </w:rPr>
        <w:t>, רש"י.</w:t>
      </w:r>
    </w:p>
  </w:footnote>
  <w:footnote w:id="2833">
    <w:p w14:paraId="7EE3E394" w14:textId="77777777" w:rsidR="00DF1FC7" w:rsidRDefault="00DF1FC7" w:rsidP="002E5BAD">
      <w:pPr>
        <w:pStyle w:val="a5"/>
        <w:rPr>
          <w:rtl/>
        </w:rPr>
      </w:pPr>
      <w:r>
        <w:rPr>
          <w:rStyle w:val="a7"/>
        </w:rPr>
        <w:footnoteRef/>
      </w:r>
      <w:r>
        <w:rPr>
          <w:rtl/>
        </w:rPr>
        <w:t xml:space="preserve"> </w:t>
      </w:r>
      <w:r>
        <w:rPr>
          <w:rFonts w:hint="cs"/>
          <w:rtl/>
        </w:rPr>
        <w:t>בעבדים כנעניים.</w:t>
      </w:r>
    </w:p>
  </w:footnote>
  <w:footnote w:id="2834">
    <w:p w14:paraId="079E9FCD" w14:textId="77777777" w:rsidR="00DF1FC7" w:rsidRDefault="00DF1FC7" w:rsidP="002E5BAD">
      <w:pPr>
        <w:pStyle w:val="a5"/>
      </w:pPr>
      <w:r>
        <w:rPr>
          <w:rStyle w:val="a7"/>
        </w:rPr>
        <w:footnoteRef/>
      </w:r>
      <w:r>
        <w:rPr>
          <w:rtl/>
        </w:rPr>
        <w:t xml:space="preserve"> </w:t>
      </w:r>
      <w:r w:rsidRPr="007D3C69">
        <w:rPr>
          <w:rFonts w:cs="Arial"/>
          <w:rtl/>
        </w:rPr>
        <w:t>משא"כ גבי אלמנה הניזונית מן היורשים נתבאר לעיל סימן צ"ה דמעשה ידיה של יורשים ומציאתה לעצמה אבל בתו ניחא ליה בהרוחה דידה וגם מעשה ידיה של עצמה</w:t>
      </w:r>
      <w:r>
        <w:rPr>
          <w:rFonts w:cs="Arial" w:hint="cs"/>
          <w:rtl/>
        </w:rPr>
        <w:t>, ח"מ (סק"ו).</w:t>
      </w:r>
    </w:p>
  </w:footnote>
  <w:footnote w:id="2835">
    <w:p w14:paraId="6B6538D6" w14:textId="77777777" w:rsidR="00DF1FC7" w:rsidRDefault="00DF1FC7" w:rsidP="002E5BAD">
      <w:pPr>
        <w:pStyle w:val="a5"/>
        <w:rPr>
          <w:rtl/>
        </w:rPr>
      </w:pPr>
      <w:r>
        <w:rPr>
          <w:rStyle w:val="a7"/>
        </w:rPr>
        <w:footnoteRef/>
      </w:r>
      <w:r>
        <w:rPr>
          <w:rtl/>
        </w:rPr>
        <w:t xml:space="preserve"> </w:t>
      </w:r>
      <w:r w:rsidRPr="001B0B78">
        <w:rPr>
          <w:rFonts w:cs="Arial"/>
          <w:rtl/>
        </w:rPr>
        <w:t xml:space="preserve">ר"ח </w:t>
      </w:r>
      <w:r>
        <w:rPr>
          <w:rFonts w:cs="Arial" w:hint="cs"/>
          <w:sz w:val="16"/>
          <w:szCs w:val="16"/>
          <w:rtl/>
        </w:rPr>
        <w:t>(כ"כ בשמו הה"מ [פי"ט ה"י] והר"ן [יט: ד"ה גרסי'])</w:t>
      </w:r>
      <w:r w:rsidRPr="00EC48C9">
        <w:rPr>
          <w:rFonts w:cs="Arial"/>
          <w:rtl/>
        </w:rPr>
        <w:t xml:space="preserve"> </w:t>
      </w:r>
      <w:r w:rsidRPr="001B0B78">
        <w:rPr>
          <w:rFonts w:cs="Arial"/>
          <w:rtl/>
        </w:rPr>
        <w:t>בהעי</w:t>
      </w:r>
      <w:r>
        <w:rPr>
          <w:rFonts w:cs="Arial" w:hint="cs"/>
          <w:rtl/>
        </w:rPr>
        <w:t>"</w:t>
      </w:r>
      <w:r w:rsidRPr="001B0B78">
        <w:rPr>
          <w:rFonts w:cs="Arial"/>
          <w:rtl/>
        </w:rPr>
        <w:t xml:space="preserve">ט </w:t>
      </w:r>
      <w:r w:rsidRPr="00EC48C9">
        <w:rPr>
          <w:rFonts w:cs="Arial"/>
          <w:sz w:val="16"/>
          <w:szCs w:val="16"/>
          <w:rtl/>
        </w:rPr>
        <w:t>(אות כ' כתובות לג ע"א</w:t>
      </w:r>
      <w:r>
        <w:rPr>
          <w:rFonts w:cs="Arial" w:hint="cs"/>
          <w:sz w:val="16"/>
          <w:szCs w:val="16"/>
          <w:rtl/>
        </w:rPr>
        <w:t>, כ"כ בשמו הה"מ [שם] והר"ן [שם]</w:t>
      </w:r>
      <w:r w:rsidRPr="00EC48C9">
        <w:rPr>
          <w:rFonts w:cs="Arial"/>
          <w:sz w:val="16"/>
          <w:szCs w:val="16"/>
          <w:rtl/>
        </w:rPr>
        <w:t>)</w:t>
      </w:r>
      <w:r w:rsidRPr="001B0B78">
        <w:rPr>
          <w:rFonts w:cs="Arial"/>
          <w:rtl/>
        </w:rPr>
        <w:t xml:space="preserve"> ורשב"א </w:t>
      </w:r>
      <w:r w:rsidRPr="00EC48C9">
        <w:rPr>
          <w:rFonts w:cs="Arial"/>
          <w:sz w:val="16"/>
          <w:szCs w:val="16"/>
          <w:rtl/>
        </w:rPr>
        <w:t>(נג: ד"ה כי)</w:t>
      </w:r>
      <w:r>
        <w:rPr>
          <w:rFonts w:hint="cs"/>
          <w:rtl/>
        </w:rPr>
        <w:t>.</w:t>
      </w:r>
    </w:p>
  </w:footnote>
  <w:footnote w:id="2836">
    <w:p w14:paraId="254260E1" w14:textId="77777777" w:rsidR="00DF1FC7" w:rsidRDefault="00DF1FC7" w:rsidP="002E5BAD">
      <w:pPr>
        <w:pStyle w:val="a5"/>
      </w:pPr>
      <w:r>
        <w:rPr>
          <w:rStyle w:val="a7"/>
        </w:rPr>
        <w:footnoteRef/>
      </w:r>
      <w:r>
        <w:rPr>
          <w:rtl/>
        </w:rPr>
        <w:t xml:space="preserve"> </w:t>
      </w:r>
      <w:r w:rsidRPr="001B0B78">
        <w:rPr>
          <w:rFonts w:cs="Arial"/>
          <w:rtl/>
        </w:rPr>
        <w:t>דלאו כל כמינייהו לארסה כשהיא קטנה להפקיע מזונותיה</w:t>
      </w:r>
      <w:r>
        <w:rPr>
          <w:rFonts w:cs="Arial" w:hint="cs"/>
          <w:rtl/>
        </w:rPr>
        <w:t xml:space="preserve">, </w:t>
      </w:r>
      <w:r w:rsidRPr="001B0B78">
        <w:rPr>
          <w:rFonts w:cs="Arial"/>
          <w:rtl/>
        </w:rPr>
        <w:t>ר"ן (יט: ד"ה גרסי')</w:t>
      </w:r>
      <w:r>
        <w:rPr>
          <w:rFonts w:cs="Arial" w:hint="cs"/>
          <w:rtl/>
        </w:rPr>
        <w:t xml:space="preserve"> בשם ר"ח ובהעי"ט. וכתב עוד הר"ן</w:t>
      </w:r>
      <w:r w:rsidRPr="001B0B78">
        <w:rPr>
          <w:rFonts w:cs="Arial"/>
          <w:rtl/>
        </w:rPr>
        <w:t xml:space="preserve"> </w:t>
      </w:r>
      <w:r>
        <w:rPr>
          <w:rFonts w:cs="Arial" w:hint="cs"/>
          <w:rtl/>
        </w:rPr>
        <w:t>(שם) ד</w:t>
      </w:r>
      <w:r w:rsidRPr="001B0B78">
        <w:rPr>
          <w:rFonts w:cs="Arial"/>
          <w:rtl/>
        </w:rPr>
        <w:t>הרשב"א (שם) הוסיף דמסתברא דאפילו אירסוה לדעתה לא הפסידה מזונותיה משום דאין מעשה קטנה כלום וכדתנן בפרק מציאת האשה (כתובות סח.) יתומה שהשיאתה אמה או אחיה לדעתה וכתבו לה במאה או בחמשים זוז וכו' ולפי טעמו ז"ל אפילו מחילה בפירוש לא מהני וצ"ע בדין זה וכו' ומכל מקום בתר תקנתא דתקון בתראי ז"ל שיהו הבנות נזונות מן המטלטלין מחלה בפירוש פשיטא דמהני עכ"ל</w:t>
      </w:r>
      <w:r>
        <w:rPr>
          <w:rFonts w:cs="Arial" w:hint="cs"/>
          <w:rtl/>
        </w:rPr>
        <w:t>.</w:t>
      </w:r>
    </w:p>
  </w:footnote>
  <w:footnote w:id="2837">
    <w:p w14:paraId="7E8B6A61" w14:textId="77777777" w:rsidR="00DF1FC7" w:rsidRDefault="00DF1FC7" w:rsidP="002E5BAD">
      <w:pPr>
        <w:pStyle w:val="a5"/>
      </w:pPr>
      <w:r>
        <w:rPr>
          <w:rStyle w:val="a7"/>
        </w:rPr>
        <w:footnoteRef/>
      </w:r>
      <w:r>
        <w:rPr>
          <w:rtl/>
        </w:rPr>
        <w:t xml:space="preserve"> </w:t>
      </w:r>
      <w:r w:rsidRPr="00765A28">
        <w:rPr>
          <w:rFonts w:cs="Arial"/>
          <w:rtl/>
        </w:rPr>
        <w:t>ארוסה יתומה יש לה מזונות מן האחין או לא</w:t>
      </w:r>
      <w:r>
        <w:rPr>
          <w:rFonts w:cs="Arial" w:hint="cs"/>
          <w:rtl/>
        </w:rPr>
        <w:t>, רש"י.</w:t>
      </w:r>
      <w:r>
        <w:rPr>
          <w:rFonts w:hint="cs"/>
          <w:rtl/>
        </w:rPr>
        <w:t xml:space="preserve"> ולפי זה יש לשאול מדוע הגמרא שואל כן, והרי הגמרא לפני כן בסמוך הביאה את המחלוקת של רב ולוי. וכתבו התוס' (שם ד"ה ארוסה יש לה)</w:t>
      </w:r>
      <w:r w:rsidRPr="003622F0">
        <w:rPr>
          <w:rtl/>
        </w:rPr>
        <w:t xml:space="preserve"> </w:t>
      </w:r>
      <w:r>
        <w:rPr>
          <w:rFonts w:hint="cs"/>
          <w:rtl/>
        </w:rPr>
        <w:t>ד</w:t>
      </w:r>
      <w:r w:rsidRPr="003622F0">
        <w:rPr>
          <w:rFonts w:cs="Arial"/>
          <w:rtl/>
        </w:rPr>
        <w:t>לא שמיע ליה פלוגתא דתנאי דלעיל אי נמי שמיע ליה ומבעיא ליה היכי הלכתא</w:t>
      </w:r>
      <w:r>
        <w:rPr>
          <w:rFonts w:hint="cs"/>
          <w:rtl/>
        </w:rPr>
        <w:t>.</w:t>
      </w:r>
    </w:p>
  </w:footnote>
  <w:footnote w:id="2838">
    <w:p w14:paraId="457D18DA" w14:textId="77777777" w:rsidR="00DF1FC7" w:rsidRDefault="00DF1FC7" w:rsidP="002E5BAD">
      <w:pPr>
        <w:pStyle w:val="a5"/>
      </w:pPr>
      <w:r>
        <w:rPr>
          <w:rStyle w:val="a7"/>
        </w:rPr>
        <w:footnoteRef/>
      </w:r>
      <w:r>
        <w:rPr>
          <w:rtl/>
        </w:rPr>
        <w:t xml:space="preserve"> </w:t>
      </w:r>
      <w:r w:rsidRPr="00765A28">
        <w:rPr>
          <w:rFonts w:cs="Arial"/>
          <w:rtl/>
        </w:rPr>
        <w:t>מסברא אני אומר שאין לה מזונות מן האחין דמאי טעמא תקון רבנן מזונות לבת מנכסי האב כי היכי דלא תיתזיל על הפתחים הכא ליכא למיחש להכי דכי חזי ארוס דמתזלא זיין לה איהו מדידיה ואף על פי שאינו מחויב לזונה דכיון דאירסה לא ניחא ליה דתיתזיל</w:t>
      </w:r>
      <w:r>
        <w:rPr>
          <w:rFonts w:cs="Arial" w:hint="cs"/>
          <w:rtl/>
        </w:rPr>
        <w:t>, רש"י.</w:t>
      </w:r>
    </w:p>
  </w:footnote>
  <w:footnote w:id="2839">
    <w:p w14:paraId="6B2F48B9" w14:textId="77777777" w:rsidR="00DF1FC7" w:rsidRDefault="00DF1FC7" w:rsidP="002E5BAD">
      <w:pPr>
        <w:pStyle w:val="a5"/>
      </w:pPr>
      <w:r>
        <w:rPr>
          <w:rStyle w:val="a7"/>
        </w:rPr>
        <w:footnoteRef/>
      </w:r>
      <w:r>
        <w:rPr>
          <w:rFonts w:cs="Arial" w:hint="cs"/>
          <w:rtl/>
        </w:rPr>
        <w:t xml:space="preserve"> בהדיא, רש"י.</w:t>
      </w:r>
    </w:p>
  </w:footnote>
  <w:footnote w:id="2840">
    <w:p w14:paraId="1005BFC5" w14:textId="77777777" w:rsidR="00DF1FC7" w:rsidRDefault="00DF1FC7" w:rsidP="002E5BAD">
      <w:pPr>
        <w:pStyle w:val="a5"/>
      </w:pPr>
      <w:r>
        <w:rPr>
          <w:rStyle w:val="a7"/>
        </w:rPr>
        <w:footnoteRef/>
      </w:r>
      <w:r>
        <w:rPr>
          <w:rtl/>
        </w:rPr>
        <w:t xml:space="preserve"> </w:t>
      </w:r>
      <w:r w:rsidRPr="00F24714">
        <w:rPr>
          <w:rFonts w:cs="Arial"/>
          <w:rtl/>
        </w:rPr>
        <w:t>יש לך לומר שנזונת מן האחים דארוס לא זיין לה</w:t>
      </w:r>
      <w:r>
        <w:rPr>
          <w:rFonts w:cs="Arial" w:hint="cs"/>
          <w:rtl/>
        </w:rPr>
        <w:t>, רש"י.</w:t>
      </w:r>
    </w:p>
  </w:footnote>
  <w:footnote w:id="2841">
    <w:p w14:paraId="479AA509" w14:textId="77777777" w:rsidR="00DF1FC7" w:rsidRDefault="00DF1FC7" w:rsidP="002E5BAD">
      <w:pPr>
        <w:pStyle w:val="a5"/>
      </w:pPr>
      <w:r>
        <w:rPr>
          <w:rStyle w:val="a7"/>
        </w:rPr>
        <w:footnoteRef/>
      </w:r>
      <w:r>
        <w:rPr>
          <w:rtl/>
        </w:rPr>
        <w:t xml:space="preserve"> </w:t>
      </w:r>
      <w:r w:rsidRPr="00F24714">
        <w:rPr>
          <w:rFonts w:cs="Arial"/>
          <w:rtl/>
        </w:rPr>
        <w:t>אם תינשא לו שמא ימצא בה מום לא שדי זוזי בכדי</w:t>
      </w:r>
      <w:r>
        <w:rPr>
          <w:rFonts w:cs="Arial" w:hint="cs"/>
          <w:rtl/>
        </w:rPr>
        <w:t>, רש"י.</w:t>
      </w:r>
    </w:p>
  </w:footnote>
  <w:footnote w:id="2842">
    <w:p w14:paraId="12BA1427" w14:textId="77777777" w:rsidR="00DF1FC7" w:rsidRDefault="00DF1FC7" w:rsidP="002E5BAD">
      <w:pPr>
        <w:pStyle w:val="a5"/>
        <w:rPr>
          <w:rtl/>
        </w:rPr>
      </w:pPr>
      <w:r>
        <w:rPr>
          <w:rStyle w:val="a7"/>
        </w:rPr>
        <w:footnoteRef/>
      </w:r>
      <w:r>
        <w:rPr>
          <w:rtl/>
        </w:rPr>
        <w:t xml:space="preserve"> </w:t>
      </w:r>
      <w:r>
        <w:rPr>
          <w:rFonts w:hint="cs"/>
          <w:rtl/>
        </w:rPr>
        <w:t xml:space="preserve">היינו שיש לשון אחרת </w:t>
      </w:r>
      <w:r w:rsidRPr="00E17A96">
        <w:rPr>
          <w:rFonts w:hint="cs"/>
          <w:sz w:val="16"/>
          <w:szCs w:val="16"/>
          <w:rtl/>
        </w:rPr>
        <w:t>(שהוחלפו השיטות, רב חסדא אומר את דברי רב יוסף</w:t>
      </w:r>
      <w:r>
        <w:rPr>
          <w:rFonts w:hint="cs"/>
          <w:sz w:val="16"/>
          <w:szCs w:val="16"/>
          <w:rtl/>
        </w:rPr>
        <w:t>,</w:t>
      </w:r>
      <w:r w:rsidRPr="00E17A96">
        <w:rPr>
          <w:rFonts w:hint="cs"/>
          <w:sz w:val="16"/>
          <w:szCs w:val="16"/>
          <w:rtl/>
        </w:rPr>
        <w:t xml:space="preserve"> ורב יוסף אומר את דברי רב חסדא</w:t>
      </w:r>
      <w:r>
        <w:rPr>
          <w:rFonts w:hint="cs"/>
          <w:sz w:val="16"/>
          <w:szCs w:val="16"/>
          <w:rtl/>
        </w:rPr>
        <w:t>)</w:t>
      </w:r>
      <w:r>
        <w:rPr>
          <w:rFonts w:hint="cs"/>
          <w:rtl/>
        </w:rPr>
        <w:t xml:space="preserve"> אבל המסקנא אותה מסקנא. </w:t>
      </w:r>
    </w:p>
  </w:footnote>
  <w:footnote w:id="2843">
    <w:p w14:paraId="07A3D365" w14:textId="77777777" w:rsidR="00DF1FC7" w:rsidRDefault="00DF1FC7" w:rsidP="002E5BAD">
      <w:pPr>
        <w:pStyle w:val="a5"/>
        <w:rPr>
          <w:rtl/>
        </w:rPr>
      </w:pPr>
      <w:r>
        <w:rPr>
          <w:rStyle w:val="a7"/>
        </w:rPr>
        <w:footnoteRef/>
      </w:r>
      <w:r>
        <w:rPr>
          <w:rtl/>
        </w:rPr>
        <w:t xml:space="preserve"> </w:t>
      </w:r>
      <w:r>
        <w:rPr>
          <w:rFonts w:hint="cs"/>
          <w:rtl/>
        </w:rPr>
        <w:t xml:space="preserve">כן יוצא מדבריו שם, שהרי הביא את דעת הרי"ף (לפי גירסת הרא"ש בדברי הרי"ף) שאומר שיש לה מזונות מהארוס. וכתב שהעיקר כגירסת רש"י (שסובר שלא מדובר בכלל על הארוס אלא האם </w:t>
      </w:r>
      <w:r w:rsidRPr="00B94D84">
        <w:rPr>
          <w:rFonts w:cs="Arial"/>
          <w:rtl/>
        </w:rPr>
        <w:t>יתומה ארוסה ניזונת מן האחין</w:t>
      </w:r>
      <w:r>
        <w:rPr>
          <w:rFonts w:hint="cs"/>
          <w:rtl/>
        </w:rPr>
        <w:t>).</w:t>
      </w:r>
      <w:r w:rsidRPr="00B94D84">
        <w:rPr>
          <w:rFonts w:cs="Arial" w:hint="cs"/>
          <w:rtl/>
        </w:rPr>
        <w:t xml:space="preserve"> </w:t>
      </w:r>
      <w:r>
        <w:rPr>
          <w:rFonts w:cs="Arial" w:hint="cs"/>
          <w:rtl/>
        </w:rPr>
        <w:t xml:space="preserve">וצל"ע, שהרי הב"י כתב וז"ל- </w:t>
      </w:r>
      <w:r w:rsidRPr="00B345A5">
        <w:rPr>
          <w:rFonts w:cs="Arial"/>
          <w:rtl/>
        </w:rPr>
        <w:t>ורש"י (נג: ד"ה ארוסה) מפרש לה ביתומה ארוסה שנזונת מן האחין וגורס בלישנא בתרא לית לה וכרב ואינו ענין לדינו של הרמב"ם ולא לדינו של הרי"ף. וכתב הרא"ש (סי' כו) שפירש"י עיקר ולפי' השמיט רבינו דינים הללו</w:t>
      </w:r>
      <w:r>
        <w:rPr>
          <w:rFonts w:cs="Arial" w:hint="cs"/>
          <w:rtl/>
        </w:rPr>
        <w:t>. עכ"ל. יוצא אם כן שלדעת הב"י אין להבין כן את דברי הרא"ש.</w:t>
      </w:r>
      <w:r>
        <w:rPr>
          <w:rFonts w:hint="cs"/>
          <w:rtl/>
        </w:rPr>
        <w:t xml:space="preserve"> וצל"ע, שהרי הרמ"א (בסי' נה סע' ד) הבין שהרא"ש כן חולק. וכ"כ הב"ש (סק"ו) ד</w:t>
      </w:r>
      <w:r w:rsidRPr="00F61901">
        <w:rPr>
          <w:rFonts w:cs="Arial"/>
          <w:rtl/>
        </w:rPr>
        <w:t>לשיטת רש"י ותוס' והרא"ש דמפרשי' בעיא זו בענין אחר אין לה מזונות מארוס</w:t>
      </w:r>
      <w:r>
        <w:rPr>
          <w:rFonts w:hint="cs"/>
          <w:rtl/>
        </w:rPr>
        <w:t>. וצל"ע.</w:t>
      </w:r>
    </w:p>
  </w:footnote>
  <w:footnote w:id="2844">
    <w:p w14:paraId="32F17826" w14:textId="77777777" w:rsidR="00DF1FC7" w:rsidRDefault="00DF1FC7" w:rsidP="002E5BAD">
      <w:pPr>
        <w:pStyle w:val="a5"/>
        <w:rPr>
          <w:rtl/>
        </w:rPr>
      </w:pPr>
      <w:r>
        <w:rPr>
          <w:rStyle w:val="a7"/>
        </w:rPr>
        <w:footnoteRef/>
      </w:r>
      <w:r>
        <w:rPr>
          <w:rtl/>
        </w:rPr>
        <w:t xml:space="preserve"> </w:t>
      </w:r>
      <w:r>
        <w:rPr>
          <w:rFonts w:hint="cs"/>
          <w:rtl/>
        </w:rPr>
        <w:t>כנראה ר' שמואל הנגיד.</w:t>
      </w:r>
    </w:p>
  </w:footnote>
  <w:footnote w:id="2845">
    <w:p w14:paraId="749B14F4" w14:textId="77777777" w:rsidR="00DF1FC7" w:rsidRPr="00F61901" w:rsidRDefault="00DF1FC7" w:rsidP="002E5BAD">
      <w:pPr>
        <w:pStyle w:val="a5"/>
      </w:pPr>
      <w:r w:rsidRPr="00F61901">
        <w:rPr>
          <w:rStyle w:val="a7"/>
        </w:rPr>
        <w:footnoteRef/>
      </w:r>
      <w:r w:rsidRPr="00F61901">
        <w:rPr>
          <w:rtl/>
        </w:rPr>
        <w:t xml:space="preserve"> </w:t>
      </w:r>
      <w:r w:rsidRPr="00F61901">
        <w:rPr>
          <w:rFonts w:cs="Arial"/>
          <w:rtl/>
        </w:rPr>
        <w:t>ולפי זה אפשר דלית לה מזונות אלא עד שעת בגרות דלא מפסדא טפי אמטולתיה</w:t>
      </w:r>
      <w:r w:rsidRPr="00F61901">
        <w:rPr>
          <w:rFonts w:cs="Arial" w:hint="cs"/>
          <w:rtl/>
        </w:rPr>
        <w:t>, ר"ן (כ.)</w:t>
      </w:r>
      <w:r>
        <w:rPr>
          <w:rFonts w:hint="cs"/>
          <w:rtl/>
        </w:rPr>
        <w:t>. וכ"כ ח"מ (סק"ח) וב"ש (סק"ו).</w:t>
      </w:r>
    </w:p>
  </w:footnote>
  <w:footnote w:id="2846">
    <w:p w14:paraId="7C7FDBF5" w14:textId="77777777" w:rsidR="00DF1FC7" w:rsidRDefault="00DF1FC7" w:rsidP="002E5BAD">
      <w:pPr>
        <w:pStyle w:val="a5"/>
      </w:pPr>
      <w:r>
        <w:rPr>
          <w:rStyle w:val="a7"/>
        </w:rPr>
        <w:footnoteRef/>
      </w:r>
      <w:r>
        <w:rPr>
          <w:rtl/>
        </w:rPr>
        <w:t xml:space="preserve"> </w:t>
      </w:r>
      <w:r w:rsidRPr="003A219F">
        <w:rPr>
          <w:rFonts w:cs="Arial"/>
          <w:rtl/>
        </w:rPr>
        <w:t>אע</w:t>
      </w:r>
      <w:r>
        <w:rPr>
          <w:rFonts w:cs="Arial" w:hint="cs"/>
          <w:rtl/>
        </w:rPr>
        <w:t>"</w:t>
      </w:r>
      <w:r w:rsidRPr="003A219F">
        <w:rPr>
          <w:rFonts w:cs="Arial"/>
          <w:rtl/>
        </w:rPr>
        <w:t>פ שאין מעשה קטנה כלום אפשר דמיירי שעשתה מדעת אמה או שהגיעה לעונת הפעוטו' ועיין בסי' קנ"ה</w:t>
      </w:r>
      <w:r>
        <w:rPr>
          <w:rFonts w:cs="Arial" w:hint="cs"/>
          <w:rtl/>
        </w:rPr>
        <w:t>, ח"מ (סק"ט).</w:t>
      </w:r>
    </w:p>
  </w:footnote>
  <w:footnote w:id="2847">
    <w:p w14:paraId="50264801" w14:textId="77777777" w:rsidR="00DF1FC7" w:rsidRDefault="00DF1FC7" w:rsidP="002E5BAD">
      <w:pPr>
        <w:pStyle w:val="a5"/>
      </w:pPr>
      <w:r>
        <w:rPr>
          <w:rStyle w:val="a7"/>
        </w:rPr>
        <w:footnoteRef/>
      </w:r>
      <w:r>
        <w:rPr>
          <w:rtl/>
        </w:rPr>
        <w:t xml:space="preserve"> </w:t>
      </w:r>
      <w:r w:rsidRPr="00405406">
        <w:rPr>
          <w:rFonts w:cs="Arial"/>
          <w:rtl/>
        </w:rPr>
        <w:t>קטנה יתומה שהשיאוה אחיה ומיאנה בבעלה וחזרה אצלם</w:t>
      </w:r>
      <w:r>
        <w:rPr>
          <w:rFonts w:cs="Arial" w:hint="cs"/>
          <w:rtl/>
        </w:rPr>
        <w:t>, רש"י.</w:t>
      </w:r>
    </w:p>
  </w:footnote>
  <w:footnote w:id="2848">
    <w:p w14:paraId="67A52DE5" w14:textId="77777777" w:rsidR="00DF1FC7" w:rsidRDefault="00DF1FC7" w:rsidP="002E5BAD">
      <w:pPr>
        <w:pStyle w:val="a5"/>
      </w:pPr>
      <w:r>
        <w:rPr>
          <w:rStyle w:val="a7"/>
        </w:rPr>
        <w:footnoteRef/>
      </w:r>
      <w:r>
        <w:rPr>
          <w:rtl/>
        </w:rPr>
        <w:t xml:space="preserve"> </w:t>
      </w:r>
      <w:r w:rsidRPr="00405406">
        <w:rPr>
          <w:rFonts w:cs="Arial"/>
          <w:rtl/>
        </w:rPr>
        <w:t>עד שתבגר או לא מי אמרינן עקרתינהו לנישואי מעיקרן והויא לה כמי שלא ניסת או דלמא הא ניסת ויצאה מרשות אב</w:t>
      </w:r>
      <w:r>
        <w:rPr>
          <w:rFonts w:cs="Arial" w:hint="cs"/>
          <w:rtl/>
        </w:rPr>
        <w:t>, רש"י.</w:t>
      </w:r>
    </w:p>
  </w:footnote>
  <w:footnote w:id="2849">
    <w:p w14:paraId="46DE9ABC" w14:textId="77777777" w:rsidR="00DF1FC7" w:rsidRDefault="00DF1FC7" w:rsidP="002E5BAD">
      <w:pPr>
        <w:pStyle w:val="a5"/>
      </w:pPr>
      <w:r>
        <w:rPr>
          <w:rStyle w:val="a7"/>
        </w:rPr>
        <w:footnoteRef/>
      </w:r>
      <w:r>
        <w:rPr>
          <w:rtl/>
        </w:rPr>
        <w:t xml:space="preserve"> </w:t>
      </w:r>
      <w:r w:rsidRPr="00C01212">
        <w:rPr>
          <w:rFonts w:cs="Arial"/>
          <w:rtl/>
        </w:rPr>
        <w:t>כלומר מן האירוסין</w:t>
      </w:r>
      <w:r>
        <w:rPr>
          <w:rFonts w:cs="Arial" w:hint="cs"/>
          <w:rtl/>
        </w:rPr>
        <w:t>..., רש"י. וכ"כ תוס'</w:t>
      </w:r>
      <w:r>
        <w:rPr>
          <w:rFonts w:cs="Arial" w:hint="cs"/>
          <w:sz w:val="16"/>
          <w:szCs w:val="16"/>
          <w:rtl/>
        </w:rPr>
        <w:t xml:space="preserve"> </w:t>
      </w:r>
      <w:r w:rsidRPr="003A219F">
        <w:rPr>
          <w:rFonts w:cs="Arial" w:hint="cs"/>
          <w:sz w:val="16"/>
          <w:szCs w:val="16"/>
          <w:rtl/>
        </w:rPr>
        <w:t>(</w:t>
      </w:r>
      <w:r>
        <w:rPr>
          <w:rFonts w:cs="Arial" w:hint="cs"/>
          <w:sz w:val="16"/>
          <w:szCs w:val="16"/>
          <w:rtl/>
        </w:rPr>
        <w:t>עי'</w:t>
      </w:r>
      <w:r w:rsidRPr="003A219F">
        <w:rPr>
          <w:rFonts w:cs="Arial" w:hint="cs"/>
          <w:sz w:val="16"/>
          <w:szCs w:val="16"/>
          <w:rtl/>
        </w:rPr>
        <w:t xml:space="preserve"> ח"מ [סק"י])</w:t>
      </w:r>
      <w:r>
        <w:rPr>
          <w:rFonts w:cs="Arial" w:hint="cs"/>
          <w:rtl/>
        </w:rPr>
        <w:t xml:space="preserve"> טור ור"ן</w:t>
      </w:r>
      <w:r>
        <w:rPr>
          <w:rFonts w:cs="Arial" w:hint="cs"/>
          <w:sz w:val="16"/>
          <w:szCs w:val="16"/>
          <w:rtl/>
        </w:rPr>
        <w:t xml:space="preserve"> (שם ד"ה אלמנה)</w:t>
      </w:r>
      <w:r>
        <w:rPr>
          <w:rFonts w:cs="Arial" w:hint="cs"/>
          <w:rtl/>
        </w:rPr>
        <w:t xml:space="preserve">. אך הרמב"ם </w:t>
      </w:r>
      <w:r w:rsidRPr="003A219F">
        <w:rPr>
          <w:rFonts w:cs="Arial" w:hint="cs"/>
          <w:sz w:val="16"/>
          <w:szCs w:val="16"/>
          <w:rtl/>
        </w:rPr>
        <w:t xml:space="preserve">(פי"ט הט"ז) </w:t>
      </w:r>
      <w:r>
        <w:rPr>
          <w:rFonts w:cs="Arial" w:hint="cs"/>
          <w:rtl/>
        </w:rPr>
        <w:t>כתב דמיירי אפילו נישאה.</w:t>
      </w:r>
    </w:p>
  </w:footnote>
  <w:footnote w:id="2850">
    <w:p w14:paraId="64E2F164" w14:textId="77777777" w:rsidR="00DF1FC7" w:rsidRDefault="00DF1FC7" w:rsidP="002E5BAD">
      <w:pPr>
        <w:pStyle w:val="a5"/>
      </w:pPr>
      <w:r>
        <w:rPr>
          <w:rStyle w:val="a7"/>
        </w:rPr>
        <w:footnoteRef/>
      </w:r>
      <w:r>
        <w:rPr>
          <w:rtl/>
        </w:rPr>
        <w:t xml:space="preserve"> </w:t>
      </w:r>
      <w:r w:rsidRPr="00C01212">
        <w:rPr>
          <w:rFonts w:cs="Arial"/>
          <w:rtl/>
        </w:rPr>
        <w:t>וה"ק אלמנה בבית אביה כו' וה"ה לממאנת דאין כאן נשואין דהא עקרתינהו ואתא רבי יהודה למימר עודה בבית אביה בתחלתה שלא יצתה משם בנשואין יש לה מזונות אבל משיצאה בנישואין אין לה</w:t>
      </w:r>
      <w:r>
        <w:rPr>
          <w:rFonts w:cs="Arial" w:hint="cs"/>
          <w:rtl/>
        </w:rPr>
        <w:t>, רש"י.</w:t>
      </w:r>
    </w:p>
  </w:footnote>
  <w:footnote w:id="2851">
    <w:p w14:paraId="71537406" w14:textId="77777777" w:rsidR="00DF1FC7" w:rsidRDefault="00DF1FC7" w:rsidP="002E5BAD">
      <w:pPr>
        <w:pStyle w:val="a5"/>
      </w:pPr>
      <w:r>
        <w:rPr>
          <w:rStyle w:val="a7"/>
        </w:rPr>
        <w:footnoteRef/>
      </w:r>
      <w:r>
        <w:rPr>
          <w:rtl/>
        </w:rPr>
        <w:t xml:space="preserve"> </w:t>
      </w:r>
      <w:r w:rsidRPr="00432D8C">
        <w:rPr>
          <w:rFonts w:cs="Arial"/>
          <w:rtl/>
        </w:rPr>
        <w:t>הרמב"ם סתם דבריו כלשון הברייתא</w:t>
      </w:r>
      <w:r>
        <w:rPr>
          <w:rFonts w:cs="Arial" w:hint="cs"/>
          <w:rtl/>
        </w:rPr>
        <w:t>...</w:t>
      </w:r>
      <w:r w:rsidRPr="00432D8C">
        <w:rPr>
          <w:rFonts w:cs="Arial"/>
          <w:rtl/>
        </w:rPr>
        <w:t xml:space="preserve"> </w:t>
      </w:r>
      <w:r w:rsidRPr="00C44D14">
        <w:rPr>
          <w:rFonts w:cs="Arial"/>
          <w:rtl/>
        </w:rPr>
        <w:t>ומכל מקום בירר דבריו שאפילו בנשאת היא שנויה ברייתא זו</w:t>
      </w:r>
      <w:r>
        <w:rPr>
          <w:rFonts w:cs="Arial" w:hint="cs"/>
          <w:rtl/>
        </w:rPr>
        <w:t>.</w:t>
      </w:r>
      <w:r w:rsidRPr="00C44D14">
        <w:rPr>
          <w:rFonts w:cs="Arial"/>
          <w:rtl/>
        </w:rPr>
        <w:t xml:space="preserve"> ולהרא"ש </w:t>
      </w:r>
      <w:r w:rsidRPr="00432D8C">
        <w:rPr>
          <w:rFonts w:cs="Arial" w:hint="cs"/>
          <w:color w:val="FF0000"/>
          <w:rtl/>
        </w:rPr>
        <w:t>(היכן</w:t>
      </w:r>
      <w:r>
        <w:rPr>
          <w:rFonts w:cs="Arial" w:hint="cs"/>
          <w:color w:val="FF0000"/>
          <w:rtl/>
        </w:rPr>
        <w:t xml:space="preserve"> כתב כן</w:t>
      </w:r>
      <w:r w:rsidRPr="00432D8C">
        <w:rPr>
          <w:rFonts w:cs="Arial" w:hint="cs"/>
          <w:color w:val="FF0000"/>
          <w:rtl/>
        </w:rPr>
        <w:t xml:space="preserve">???) </w:t>
      </w:r>
      <w:r w:rsidRPr="00C44D14">
        <w:rPr>
          <w:rFonts w:cs="Arial"/>
          <w:rtl/>
        </w:rPr>
        <w:t>דוקא בנתארסה הוא אבל לא בנשאת</w:t>
      </w:r>
      <w:r>
        <w:rPr>
          <w:rFonts w:cs="Arial" w:hint="cs"/>
          <w:rtl/>
        </w:rPr>
        <w:t>,</w:t>
      </w:r>
      <w:r w:rsidRPr="00C44D14">
        <w:rPr>
          <w:rFonts w:cs="Arial"/>
          <w:rtl/>
        </w:rPr>
        <w:t xml:space="preserve"> שמשנשאת שוב אין לה עסק עם אביה</w:t>
      </w:r>
      <w:r>
        <w:rPr>
          <w:rFonts w:cs="Arial" w:hint="cs"/>
          <w:rtl/>
        </w:rPr>
        <w:t>,</w:t>
      </w:r>
      <w:r w:rsidRPr="00C44D14">
        <w:rPr>
          <w:rFonts w:cs="Arial"/>
          <w:rtl/>
        </w:rPr>
        <w:t xml:space="preserve"> ולישנא דברייתא הכי דייקא דקתני לה בבית אביה</w:t>
      </w:r>
      <w:r>
        <w:rPr>
          <w:rFonts w:cs="Arial" w:hint="cs"/>
          <w:rtl/>
        </w:rPr>
        <w:t>.</w:t>
      </w:r>
      <w:r w:rsidRPr="00C44D14">
        <w:rPr>
          <w:rFonts w:cs="Arial"/>
          <w:rtl/>
        </w:rPr>
        <w:t xml:space="preserve"> והרמב"ם מפרש דהיינו לומר שחזרה לבית אביה כלומר שעדיין לא בגרה</w:t>
      </w:r>
      <w:r>
        <w:rPr>
          <w:rFonts w:cs="Arial" w:hint="cs"/>
          <w:rtl/>
        </w:rPr>
        <w:t>, ב"י (בבדה"ב).</w:t>
      </w:r>
    </w:p>
  </w:footnote>
  <w:footnote w:id="2852">
    <w:p w14:paraId="2996FD32" w14:textId="77777777" w:rsidR="00DF1FC7" w:rsidRDefault="00DF1FC7" w:rsidP="002E5BAD">
      <w:pPr>
        <w:pStyle w:val="a5"/>
      </w:pPr>
      <w:r>
        <w:rPr>
          <w:rStyle w:val="a7"/>
        </w:rPr>
        <w:footnoteRef/>
      </w:r>
      <w:r>
        <w:rPr>
          <w:rtl/>
        </w:rPr>
        <w:t xml:space="preserve"> </w:t>
      </w:r>
      <w:r w:rsidRPr="00E03BA4">
        <w:rPr>
          <w:rFonts w:cs="Arial"/>
          <w:rtl/>
        </w:rPr>
        <w:t>ופי' המגיד פ"ב ה"א היינו שמאנה בעת שהיתה מעוברת וקודם שתלד יכולה למאן ואח"כ ילדה</w:t>
      </w:r>
      <w:r>
        <w:rPr>
          <w:rFonts w:cs="Arial" w:hint="cs"/>
          <w:rtl/>
        </w:rPr>
        <w:t>.</w:t>
      </w:r>
      <w:r w:rsidRPr="00E03BA4">
        <w:rPr>
          <w:rFonts w:cs="Arial"/>
          <w:rtl/>
        </w:rPr>
        <w:t xml:space="preserve"> וע' בסי' קנ"ה מ"ש בזה</w:t>
      </w:r>
      <w:r>
        <w:rPr>
          <w:rFonts w:cs="Arial" w:hint="cs"/>
          <w:rtl/>
        </w:rPr>
        <w:t>.</w:t>
      </w:r>
      <w:r w:rsidRPr="00E03BA4">
        <w:rPr>
          <w:rFonts w:cs="Arial"/>
          <w:rtl/>
        </w:rPr>
        <w:t xml:space="preserve"> ומהר"מ מטיקטי"ן וב"ח פירשו דאיירי בקדושי טעות</w:t>
      </w:r>
      <w:r>
        <w:rPr>
          <w:rFonts w:cs="Arial" w:hint="cs"/>
          <w:rtl/>
        </w:rPr>
        <w:t>.</w:t>
      </w:r>
      <w:r w:rsidRPr="00E03BA4">
        <w:rPr>
          <w:rFonts w:cs="Arial"/>
          <w:rtl/>
        </w:rPr>
        <w:t xml:space="preserve"> ולמ"ש בסמוך לית'</w:t>
      </w:r>
      <w:r>
        <w:rPr>
          <w:rFonts w:cs="Arial" w:hint="cs"/>
          <w:rtl/>
        </w:rPr>
        <w:t>.</w:t>
      </w:r>
      <w:r w:rsidRPr="00E03BA4">
        <w:rPr>
          <w:rFonts w:cs="Arial"/>
          <w:rtl/>
        </w:rPr>
        <w:t xml:space="preserve"> והנה הר"ן והמגיד הניחו בצ"ע מנ"ל לרמב"ם דין זה כיון דממאנת אין לה כתובה מנ"ל דבתה יש לה מזונות</w:t>
      </w:r>
      <w:r>
        <w:rPr>
          <w:rFonts w:cs="Arial" w:hint="cs"/>
          <w:rtl/>
        </w:rPr>
        <w:t>.</w:t>
      </w:r>
      <w:r w:rsidRPr="00E03BA4">
        <w:rPr>
          <w:rFonts w:cs="Arial"/>
          <w:rtl/>
        </w:rPr>
        <w:t xml:space="preserve"> ונראה דס"ל כל הסוגי' איירי דוק' שאין לה בעת הנשואין כתובה</w:t>
      </w:r>
      <w:r>
        <w:rPr>
          <w:rFonts w:cs="Arial" w:hint="cs"/>
          <w:rtl/>
        </w:rPr>
        <w:t>,</w:t>
      </w:r>
      <w:r w:rsidRPr="00E03BA4">
        <w:rPr>
          <w:rFonts w:cs="Arial"/>
          <w:rtl/>
        </w:rPr>
        <w:t xml:space="preserve"> בזה מבעי' אם יש לה ת"כ</w:t>
      </w:r>
      <w:r>
        <w:rPr>
          <w:rFonts w:cs="Arial" w:hint="cs"/>
          <w:rtl/>
        </w:rPr>
        <w:t>,</w:t>
      </w:r>
      <w:r w:rsidRPr="00E03BA4">
        <w:rPr>
          <w:rFonts w:cs="Arial"/>
          <w:rtl/>
        </w:rPr>
        <w:t xml:space="preserve"> אבל אם יש לה כתובה מצד הנישואין אלא אח"כ גרמה לעצמה הפסד אז לא הפסידה בתה זכות שלה אטו אם זנתה היא והפסידה הכתובה תפסיד בתה זכות שלה</w:t>
      </w:r>
      <w:r>
        <w:rPr>
          <w:rFonts w:cs="Arial" w:hint="cs"/>
          <w:rtl/>
        </w:rPr>
        <w:t>.</w:t>
      </w:r>
      <w:r w:rsidRPr="00E03BA4">
        <w:rPr>
          <w:rFonts w:cs="Arial"/>
          <w:rtl/>
        </w:rPr>
        <w:t xml:space="preserve"> ומזה מוכח דלא כמהר"ם הנ"ל וב"ח</w:t>
      </w:r>
      <w:r>
        <w:rPr>
          <w:rFonts w:cs="Arial" w:hint="cs"/>
          <w:rtl/>
        </w:rPr>
        <w:t>,</w:t>
      </w:r>
      <w:r w:rsidRPr="00E03BA4">
        <w:rPr>
          <w:rFonts w:cs="Arial"/>
          <w:rtl/>
        </w:rPr>
        <w:t xml:space="preserve"> דהא אם איירי בקדושי טעות אז למפרע לא הוי נישואין כלל ואין לה כתובה מיד בעת הנישואין</w:t>
      </w:r>
      <w:r>
        <w:rPr>
          <w:rFonts w:cs="Arial" w:hint="cs"/>
          <w:rtl/>
        </w:rPr>
        <w:t>, ב"ש (סקי"א).</w:t>
      </w:r>
    </w:p>
  </w:footnote>
  <w:footnote w:id="2853">
    <w:p w14:paraId="207C3A1D" w14:textId="77777777" w:rsidR="00DF1FC7" w:rsidRDefault="00DF1FC7" w:rsidP="002E5BAD">
      <w:pPr>
        <w:pStyle w:val="a5"/>
        <w:rPr>
          <w:rtl/>
        </w:rPr>
      </w:pPr>
      <w:r>
        <w:rPr>
          <w:rStyle w:val="a7"/>
        </w:rPr>
        <w:footnoteRef/>
      </w:r>
      <w:r>
        <w:rPr>
          <w:rtl/>
        </w:rPr>
        <w:t xml:space="preserve"> </w:t>
      </w:r>
      <w:r>
        <w:rPr>
          <w:rFonts w:cs="Arial"/>
          <w:rtl/>
        </w:rPr>
        <w:t>דכל זמן שהיא יכולה למאן אי איפשר לה שתלד כדמוכח פ"ק דיבמות (יב:)</w:t>
      </w:r>
      <w:r>
        <w:rPr>
          <w:rFonts w:cs="Arial" w:hint="cs"/>
          <w:rtl/>
        </w:rPr>
        <w:t>, ר"ן (שם).</w:t>
      </w:r>
      <w:r>
        <w:rPr>
          <w:rFonts w:cs="Arial"/>
          <w:rtl/>
        </w:rPr>
        <w:t xml:space="preserve"> והרב המגיד כתב ליישב זה</w:t>
      </w:r>
      <w:r>
        <w:rPr>
          <w:rFonts w:cs="Arial" w:hint="cs"/>
          <w:rtl/>
        </w:rPr>
        <w:t>,</w:t>
      </w:r>
      <w:r>
        <w:rPr>
          <w:rFonts w:cs="Arial"/>
          <w:rtl/>
        </w:rPr>
        <w:t xml:space="preserve"> אבל תמה עליו שמאחר שהממאנת אין לה עיקר כתובה מנין לו לרב ז"ל שיהיו לבתה מזונות שהם מתנאי כתובה</w:t>
      </w:r>
      <w:r>
        <w:rPr>
          <w:rFonts w:cs="Arial" w:hint="cs"/>
          <w:rtl/>
        </w:rPr>
        <w:t>.</w:t>
      </w:r>
      <w:r>
        <w:rPr>
          <w:rFonts w:cs="Arial"/>
          <w:rtl/>
        </w:rPr>
        <w:t xml:space="preserve"> וגם הר"ן (שם) תמה עליו מנין לו דין זה. ועוד יש לתמוה עליו שכתב דאלמנה וגרושה מן הנשואין נמי נזונת מנכסי אביה ואם כן היכי שייך למימר ממאנת איכא בינייהו דהשתא נשואה גמורה שנתאלמנה או נתגרשה נזונת מנכסי אביה לדברי הכל ממאנת דעקרתינהו לנשואי מעיקרן מיבעיא וי"ל דאלמנות וגירושין דעל כרחה באין משום הכי לדברי הכל נזונת מנכסי אביה אבל ממאנת דמדעתה הוא סבר רבי יהודה דאינה נזונת מנכסי אביה ופליגי רבנן עליה</w:t>
      </w:r>
      <w:r>
        <w:rPr>
          <w:rFonts w:hint="cs"/>
          <w:rtl/>
        </w:rPr>
        <w:t>, ב"י.</w:t>
      </w:r>
    </w:p>
  </w:footnote>
  <w:footnote w:id="2854">
    <w:p w14:paraId="58CE20EF" w14:textId="77777777" w:rsidR="00DF1FC7" w:rsidRDefault="00DF1FC7" w:rsidP="002E5BAD">
      <w:pPr>
        <w:pStyle w:val="a5"/>
      </w:pPr>
      <w:r>
        <w:rPr>
          <w:rStyle w:val="a7"/>
        </w:rPr>
        <w:footnoteRef/>
      </w:r>
      <w:r>
        <w:rPr>
          <w:rtl/>
        </w:rPr>
        <w:t xml:space="preserve"> </w:t>
      </w:r>
      <w:r w:rsidRPr="0094552B">
        <w:rPr>
          <w:rFonts w:cs="Arial"/>
          <w:rtl/>
        </w:rPr>
        <w:t>ואפי' בחיי אביה דוקא נתאלמנה או נתגרשה מן האירוסין אבל מן הנשואין כבר נעשית יתומה בחיי האב</w:t>
      </w:r>
      <w:r>
        <w:rPr>
          <w:rFonts w:cs="Arial" w:hint="cs"/>
          <w:rtl/>
        </w:rPr>
        <w:t>.</w:t>
      </w:r>
      <w:r w:rsidRPr="0094552B">
        <w:rPr>
          <w:rFonts w:cs="Arial"/>
          <w:rtl/>
        </w:rPr>
        <w:t xml:space="preserve"> אבל התוספו' כתבו בשם ר"ת אף מן הנשואין חוזר</w:t>
      </w:r>
      <w:r>
        <w:rPr>
          <w:rFonts w:cs="Arial" w:hint="cs"/>
          <w:rtl/>
        </w:rPr>
        <w:t>ת</w:t>
      </w:r>
      <w:r w:rsidRPr="0094552B">
        <w:rPr>
          <w:rFonts w:cs="Arial"/>
          <w:rtl/>
        </w:rPr>
        <w:t xml:space="preserve"> לבית אביה כל שאביה חי ועיין בכתובו</w:t>
      </w:r>
      <w:r>
        <w:rPr>
          <w:rFonts w:cs="Arial" w:hint="cs"/>
          <w:rtl/>
        </w:rPr>
        <w:t>ת</w:t>
      </w:r>
      <w:r w:rsidRPr="0094552B">
        <w:rPr>
          <w:rFonts w:cs="Arial"/>
          <w:rtl/>
        </w:rPr>
        <w:t xml:space="preserve"> </w:t>
      </w:r>
      <w:r>
        <w:rPr>
          <w:rFonts w:cs="Arial" w:hint="cs"/>
          <w:rtl/>
        </w:rPr>
        <w:t>(</w:t>
      </w:r>
      <w:r w:rsidRPr="0094552B">
        <w:rPr>
          <w:rFonts w:cs="Arial"/>
          <w:rtl/>
        </w:rPr>
        <w:t>נג</w:t>
      </w:r>
      <w:r>
        <w:rPr>
          <w:rFonts w:cs="Arial" w:hint="cs"/>
          <w:rtl/>
        </w:rPr>
        <w:t>. תוס'</w:t>
      </w:r>
      <w:r w:rsidRPr="0094552B">
        <w:rPr>
          <w:rFonts w:cs="Arial"/>
          <w:rtl/>
        </w:rPr>
        <w:t xml:space="preserve"> ד"ה אלמנה בבית אביה וכו'</w:t>
      </w:r>
      <w:r>
        <w:rPr>
          <w:rFonts w:cs="Arial" w:hint="cs"/>
          <w:rtl/>
        </w:rPr>
        <w:t>), ח"מ (סקי"א).</w:t>
      </w:r>
    </w:p>
  </w:footnote>
  <w:footnote w:id="2855">
    <w:p w14:paraId="76D245B7" w14:textId="77777777" w:rsidR="00DF1FC7" w:rsidRDefault="00DF1FC7" w:rsidP="002E5BAD">
      <w:pPr>
        <w:pStyle w:val="a5"/>
      </w:pPr>
      <w:r>
        <w:rPr>
          <w:rStyle w:val="a7"/>
        </w:rPr>
        <w:footnoteRef/>
      </w:r>
      <w:r>
        <w:rPr>
          <w:rtl/>
        </w:rPr>
        <w:t xml:space="preserve"> </w:t>
      </w:r>
      <w:r w:rsidRPr="0094552B">
        <w:rPr>
          <w:rFonts w:cs="Arial"/>
          <w:rtl/>
        </w:rPr>
        <w:t>וא</w:t>
      </w:r>
      <w:r>
        <w:rPr>
          <w:rFonts w:cs="Arial" w:hint="cs"/>
          <w:rtl/>
        </w:rPr>
        <w:t>יני יודע</w:t>
      </w:r>
      <w:r w:rsidRPr="0094552B">
        <w:rPr>
          <w:rFonts w:cs="Arial"/>
          <w:rtl/>
        </w:rPr>
        <w:t xml:space="preserve"> מנ"ל זאת</w:t>
      </w:r>
      <w:r>
        <w:rPr>
          <w:rFonts w:cs="Arial" w:hint="cs"/>
          <w:rtl/>
        </w:rPr>
        <w:t>,</w:t>
      </w:r>
      <w:r w:rsidRPr="0094552B">
        <w:rPr>
          <w:rFonts w:cs="Arial"/>
          <w:rtl/>
        </w:rPr>
        <w:t xml:space="preserve"> דהא הטור והר"ן כתבו דוק' כשנתאלמנה בחיי אביה ולא מצינו שום פוסק דס"ל בארוס</w:t>
      </w:r>
      <w:r>
        <w:rPr>
          <w:rFonts w:cs="Arial" w:hint="cs"/>
          <w:rtl/>
        </w:rPr>
        <w:t>ה</w:t>
      </w:r>
      <w:r w:rsidRPr="0094552B">
        <w:rPr>
          <w:rFonts w:cs="Arial"/>
          <w:rtl/>
        </w:rPr>
        <w:t xml:space="preserve"> אפי' אחר מות אביה</w:t>
      </w:r>
      <w:r>
        <w:rPr>
          <w:rFonts w:cs="Arial" w:hint="cs"/>
          <w:rtl/>
        </w:rPr>
        <w:t>.</w:t>
      </w:r>
      <w:r w:rsidRPr="0094552B">
        <w:rPr>
          <w:rFonts w:cs="Arial"/>
          <w:rtl/>
        </w:rPr>
        <w:t xml:space="preserve"> ומה שמציין </w:t>
      </w:r>
      <w:r>
        <w:rPr>
          <w:rFonts w:cs="Arial" w:hint="cs"/>
          <w:rtl/>
        </w:rPr>
        <w:t>'</w:t>
      </w:r>
      <w:r w:rsidRPr="0094552B">
        <w:rPr>
          <w:rFonts w:cs="Arial"/>
          <w:rtl/>
        </w:rPr>
        <w:t>טור</w:t>
      </w:r>
      <w:r>
        <w:rPr>
          <w:rFonts w:cs="Arial" w:hint="cs"/>
          <w:rtl/>
        </w:rPr>
        <w:t>' -</w:t>
      </w:r>
      <w:r w:rsidRPr="0094552B">
        <w:rPr>
          <w:rFonts w:cs="Arial"/>
          <w:rtl/>
        </w:rPr>
        <w:t xml:space="preserve"> לא ראיתי בטור משמעות לזה</w:t>
      </w:r>
      <w:r>
        <w:rPr>
          <w:rFonts w:cs="Arial" w:hint="cs"/>
          <w:rtl/>
        </w:rPr>
        <w:t>,</w:t>
      </w:r>
      <w:r w:rsidRPr="0094552B">
        <w:rPr>
          <w:rFonts w:cs="Arial"/>
          <w:rtl/>
        </w:rPr>
        <w:t xml:space="preserve"> ואפשר דנתכוון לדעת רש"י שפי' הסוגי' מן הארוסין ולא פי' דאיירי דנתאלמנה בחיי אביה</w:t>
      </w:r>
      <w:r>
        <w:rPr>
          <w:rFonts w:cs="Arial" w:hint="cs"/>
          <w:rtl/>
        </w:rPr>
        <w:t>.</w:t>
      </w:r>
      <w:r w:rsidRPr="0094552B">
        <w:rPr>
          <w:rFonts w:cs="Arial"/>
          <w:rtl/>
        </w:rPr>
        <w:t xml:space="preserve"> אלא לכאורה נראה מפרש"י למה דקי"ל ארוסה אין לה מזונות אף בנתאלמנה אין לה מזונות ובריית' זו ס"ל ארוסה אית לה מזונות ולא קי"ל כן אלא כרב דאמר בארוסה אין לה מזונות</w:t>
      </w:r>
      <w:r>
        <w:rPr>
          <w:rFonts w:cs="Arial" w:hint="cs"/>
          <w:rtl/>
        </w:rPr>
        <w:t>.</w:t>
      </w:r>
      <w:r w:rsidRPr="0094552B">
        <w:rPr>
          <w:rFonts w:cs="Arial"/>
          <w:rtl/>
        </w:rPr>
        <w:t xml:space="preserve"> ואית</w:t>
      </w:r>
      <w:r>
        <w:rPr>
          <w:rFonts w:cs="Arial" w:hint="cs"/>
          <w:rtl/>
        </w:rPr>
        <w:t>א</w:t>
      </w:r>
      <w:r w:rsidRPr="0094552B">
        <w:rPr>
          <w:rFonts w:cs="Arial"/>
          <w:rtl/>
        </w:rPr>
        <w:t xml:space="preserve"> בזה ד' שיטות</w:t>
      </w:r>
      <w:r>
        <w:rPr>
          <w:rFonts w:cs="Arial" w:hint="cs"/>
          <w:rtl/>
        </w:rPr>
        <w:t>:</w:t>
      </w:r>
      <w:r w:rsidRPr="0094552B">
        <w:rPr>
          <w:rFonts w:cs="Arial"/>
          <w:rtl/>
        </w:rPr>
        <w:t xml:space="preserve"> לרש"י</w:t>
      </w:r>
      <w:r>
        <w:rPr>
          <w:rFonts w:cs="Arial" w:hint="cs"/>
          <w:rtl/>
        </w:rPr>
        <w:t>,</w:t>
      </w:r>
      <w:r w:rsidRPr="0094552B">
        <w:rPr>
          <w:rFonts w:cs="Arial"/>
          <w:rtl/>
        </w:rPr>
        <w:t xml:space="preserve"> אפילו בנתאלמנה מן ארוסין אין לה מזונות ומשמע אפילו בחיי אביה</w:t>
      </w:r>
      <w:r>
        <w:rPr>
          <w:rFonts w:cs="Arial" w:hint="cs"/>
          <w:rtl/>
        </w:rPr>
        <w:t>.</w:t>
      </w:r>
      <w:r w:rsidRPr="0094552B">
        <w:rPr>
          <w:rFonts w:cs="Arial"/>
          <w:rtl/>
        </w:rPr>
        <w:t xml:space="preserve"> ולרא"ש והר"ן</w:t>
      </w:r>
      <w:r>
        <w:rPr>
          <w:rFonts w:cs="Arial" w:hint="cs"/>
          <w:rtl/>
        </w:rPr>
        <w:t>,</w:t>
      </w:r>
      <w:r w:rsidRPr="0094552B">
        <w:rPr>
          <w:rFonts w:cs="Arial"/>
          <w:rtl/>
        </w:rPr>
        <w:t xml:space="preserve"> בארוס</w:t>
      </w:r>
      <w:r>
        <w:rPr>
          <w:rFonts w:cs="Arial" w:hint="cs"/>
          <w:rtl/>
        </w:rPr>
        <w:t>ה</w:t>
      </w:r>
      <w:r w:rsidRPr="0094552B">
        <w:rPr>
          <w:rFonts w:cs="Arial"/>
          <w:rtl/>
        </w:rPr>
        <w:t xml:space="preserve"> אית לה כשנתאלמנה בחיי אביה</w:t>
      </w:r>
      <w:r>
        <w:rPr>
          <w:rFonts w:cs="Arial" w:hint="cs"/>
          <w:rtl/>
        </w:rPr>
        <w:t>.</w:t>
      </w:r>
      <w:r w:rsidRPr="0094552B">
        <w:rPr>
          <w:rFonts w:cs="Arial"/>
          <w:rtl/>
        </w:rPr>
        <w:t xml:space="preserve"> ולר"ת</w:t>
      </w:r>
      <w:r>
        <w:rPr>
          <w:rFonts w:cs="Arial" w:hint="cs"/>
          <w:rtl/>
        </w:rPr>
        <w:t>,</w:t>
      </w:r>
      <w:r w:rsidRPr="0094552B">
        <w:rPr>
          <w:rFonts w:cs="Arial"/>
          <w:rtl/>
        </w:rPr>
        <w:t xml:space="preserve"> אפילו מן הנישואין אית לה מזונות כשנתאלמנה בחיי אביה</w:t>
      </w:r>
      <w:r>
        <w:rPr>
          <w:rFonts w:cs="Arial" w:hint="cs"/>
          <w:rtl/>
        </w:rPr>
        <w:t>.</w:t>
      </w:r>
      <w:r w:rsidRPr="0094552B">
        <w:rPr>
          <w:rFonts w:cs="Arial"/>
          <w:rtl/>
        </w:rPr>
        <w:t xml:space="preserve"> ולרמב"ם</w:t>
      </w:r>
      <w:r>
        <w:rPr>
          <w:rFonts w:cs="Arial" w:hint="cs"/>
          <w:rtl/>
        </w:rPr>
        <w:t>,</w:t>
      </w:r>
      <w:r w:rsidRPr="0094552B">
        <w:rPr>
          <w:rFonts w:cs="Arial"/>
          <w:rtl/>
        </w:rPr>
        <w:t xml:space="preserve"> אפי' אם נשאת ונתאלמנה אחר מות אביה אית לה מזונות</w:t>
      </w:r>
      <w:r>
        <w:rPr>
          <w:rFonts w:cs="Arial" w:hint="cs"/>
          <w:rtl/>
        </w:rPr>
        <w:t>.</w:t>
      </w:r>
      <w:r w:rsidRPr="0094552B">
        <w:rPr>
          <w:rFonts w:cs="Arial"/>
          <w:rtl/>
        </w:rPr>
        <w:t xml:space="preserve"> וא"ל א"כ מהיכי תיתי בממאנת דאין לה מזונות מן הנישואין וי"ל שאני ממאנת הואיל היא גרמה ה"א דאין לה מזונות ב"י וכ"מ</w:t>
      </w:r>
      <w:r>
        <w:rPr>
          <w:rFonts w:cs="Arial" w:hint="cs"/>
          <w:rtl/>
        </w:rPr>
        <w:t>, ב"ש (סק"ט).</w:t>
      </w:r>
    </w:p>
  </w:footnote>
  <w:footnote w:id="2856">
    <w:p w14:paraId="7BC975F6" w14:textId="77777777" w:rsidR="00DF1FC7" w:rsidRDefault="00DF1FC7" w:rsidP="002E5BAD">
      <w:pPr>
        <w:pStyle w:val="a5"/>
      </w:pPr>
      <w:r>
        <w:rPr>
          <w:rStyle w:val="a7"/>
        </w:rPr>
        <w:footnoteRef/>
      </w:r>
      <w:r>
        <w:rPr>
          <w:rtl/>
        </w:rPr>
        <w:t xml:space="preserve"> </w:t>
      </w:r>
      <w:r w:rsidRPr="00757174">
        <w:rPr>
          <w:rFonts w:cs="Arial"/>
          <w:rtl/>
        </w:rPr>
        <w:t>הכונס את יבמתו וילדה לו בת</w:t>
      </w:r>
      <w:r>
        <w:rPr>
          <w:rFonts w:cs="Arial" w:hint="cs"/>
          <w:rtl/>
        </w:rPr>
        <w:t>,</w:t>
      </w:r>
      <w:r w:rsidRPr="00757174">
        <w:rPr>
          <w:rFonts w:cs="Arial"/>
          <w:rtl/>
        </w:rPr>
        <w:t xml:space="preserve"> יש לה מזונות לאחר מיתת האב מן האחין מנכסי אביה או לא</w:t>
      </w:r>
      <w:r>
        <w:rPr>
          <w:rFonts w:cs="Arial" w:hint="cs"/>
          <w:rtl/>
        </w:rPr>
        <w:t>, רש"י.</w:t>
      </w:r>
    </w:p>
  </w:footnote>
  <w:footnote w:id="2857">
    <w:p w14:paraId="7ABF6190" w14:textId="77777777" w:rsidR="00DF1FC7" w:rsidRDefault="00DF1FC7" w:rsidP="002E5BAD">
      <w:pPr>
        <w:pStyle w:val="a5"/>
        <w:rPr>
          <w:rtl/>
        </w:rPr>
      </w:pPr>
      <w:r>
        <w:rPr>
          <w:rStyle w:val="a7"/>
        </w:rPr>
        <w:footnoteRef/>
      </w:r>
      <w:r>
        <w:rPr>
          <w:rtl/>
        </w:rPr>
        <w:t xml:space="preserve"> </w:t>
      </w:r>
      <w:r w:rsidRPr="00757174">
        <w:rPr>
          <w:rFonts w:cs="Arial"/>
          <w:rtl/>
        </w:rPr>
        <w:t>כתובתה אינה על נכסי יבם</w:t>
      </w:r>
      <w:r>
        <w:rPr>
          <w:rFonts w:cs="Arial" w:hint="cs"/>
          <w:rtl/>
        </w:rPr>
        <w:t>,</w:t>
      </w:r>
      <w:r w:rsidRPr="00757174">
        <w:rPr>
          <w:rFonts w:cs="Arial"/>
          <w:rtl/>
        </w:rPr>
        <w:t xml:space="preserve"> תנאי כתובה ד</w:t>
      </w:r>
      <w:r>
        <w:rPr>
          <w:rFonts w:cs="Arial" w:hint="cs"/>
          <w:rtl/>
        </w:rPr>
        <w:t>י</w:t>
      </w:r>
      <w:r w:rsidRPr="00757174">
        <w:rPr>
          <w:rFonts w:cs="Arial"/>
          <w:rtl/>
        </w:rPr>
        <w:t>לה נמי לאו על נכסיו הוא</w:t>
      </w:r>
      <w:r>
        <w:rPr>
          <w:rFonts w:hint="cs"/>
          <w:rtl/>
        </w:rPr>
        <w:t>, רש"י.</w:t>
      </w:r>
    </w:p>
  </w:footnote>
  <w:footnote w:id="2858">
    <w:p w14:paraId="1B0ED39E" w14:textId="77777777" w:rsidR="00DF1FC7" w:rsidRDefault="00DF1FC7" w:rsidP="002E5BAD">
      <w:pPr>
        <w:pStyle w:val="a5"/>
        <w:rPr>
          <w:rtl/>
        </w:rPr>
      </w:pPr>
      <w:r>
        <w:rPr>
          <w:rStyle w:val="a7"/>
        </w:rPr>
        <w:footnoteRef/>
      </w:r>
      <w:r>
        <w:rPr>
          <w:rtl/>
        </w:rPr>
        <w:t xml:space="preserve"> </w:t>
      </w:r>
      <w:r w:rsidRPr="00757174">
        <w:rPr>
          <w:rFonts w:cs="Arial"/>
          <w:rtl/>
        </w:rPr>
        <w:t>כיון דאמרינן התם אי לית ליה נכסים לראשון תקינו לה רבנן משני כדי שלא תהא קלה בעיניו להוציאה</w:t>
      </w:r>
      <w:r>
        <w:rPr>
          <w:rFonts w:hint="cs"/>
          <w:rtl/>
        </w:rPr>
        <w:t>, רש"י.</w:t>
      </w:r>
    </w:p>
  </w:footnote>
  <w:footnote w:id="2859">
    <w:p w14:paraId="22D90315" w14:textId="77777777" w:rsidR="00DF1FC7" w:rsidRDefault="00DF1FC7" w:rsidP="002E5BAD">
      <w:pPr>
        <w:pStyle w:val="a5"/>
        <w:rPr>
          <w:rtl/>
        </w:rPr>
      </w:pPr>
      <w:r>
        <w:rPr>
          <w:rStyle w:val="a7"/>
        </w:rPr>
        <w:footnoteRef/>
      </w:r>
      <w:r>
        <w:rPr>
          <w:rtl/>
        </w:rPr>
        <w:t xml:space="preserve"> </w:t>
      </w:r>
      <w:r w:rsidRPr="00757174">
        <w:rPr>
          <w:rFonts w:cs="Arial"/>
          <w:rtl/>
        </w:rPr>
        <w:t>נמי תנאי כתובה להיות בתו נזונת</w:t>
      </w:r>
      <w:r>
        <w:rPr>
          <w:rFonts w:hint="cs"/>
          <w:rtl/>
        </w:rPr>
        <w:t>, רש"י.</w:t>
      </w:r>
      <w:r w:rsidRPr="00B53A8E">
        <w:rPr>
          <w:rtl/>
        </w:rPr>
        <w:t xml:space="preserve"> </w:t>
      </w:r>
      <w:r w:rsidRPr="00B53A8E">
        <w:rPr>
          <w:rFonts w:cs="Arial"/>
          <w:rtl/>
        </w:rPr>
        <w:t>ולא איפשיטא הלכך לית לה</w:t>
      </w:r>
      <w:r>
        <w:rPr>
          <w:rFonts w:cs="Arial" w:hint="cs"/>
          <w:rtl/>
        </w:rPr>
        <w:t>.</w:t>
      </w:r>
      <w:r w:rsidRPr="00B53A8E">
        <w:rPr>
          <w:rFonts w:cs="Arial"/>
          <w:rtl/>
        </w:rPr>
        <w:t xml:space="preserve"> ודוקא בדאיכא נכסים מראשון הוא דקא מיבעיא לן</w:t>
      </w:r>
      <w:r>
        <w:rPr>
          <w:rFonts w:cs="Arial" w:hint="cs"/>
          <w:rtl/>
        </w:rPr>
        <w:t>,</w:t>
      </w:r>
      <w:r w:rsidRPr="00B53A8E">
        <w:rPr>
          <w:rFonts w:cs="Arial"/>
          <w:rtl/>
        </w:rPr>
        <w:t xml:space="preserve"> דאי ליכא הא תקינו לה רבנן כתובה משני ופשיטא דתנאי כתובה נמי אית לה</w:t>
      </w:r>
      <w:r>
        <w:rPr>
          <w:rFonts w:cs="Arial" w:hint="cs"/>
          <w:rtl/>
        </w:rPr>
        <w:t xml:space="preserve">..., ר"ן </w:t>
      </w:r>
      <w:r w:rsidRPr="00B53A8E">
        <w:rPr>
          <w:rFonts w:cs="Arial" w:hint="cs"/>
          <w:sz w:val="16"/>
          <w:szCs w:val="16"/>
          <w:rtl/>
        </w:rPr>
        <w:t>(כ.)</w:t>
      </w:r>
      <w:r>
        <w:rPr>
          <w:rFonts w:cs="Arial" w:hint="cs"/>
          <w:rtl/>
        </w:rPr>
        <w:t xml:space="preserve">. וכ"כ הרא"ש </w:t>
      </w:r>
      <w:r w:rsidRPr="00B53A8E">
        <w:rPr>
          <w:rFonts w:cs="Arial" w:hint="cs"/>
          <w:sz w:val="16"/>
          <w:szCs w:val="16"/>
          <w:rtl/>
        </w:rPr>
        <w:t>(סי' כח)</w:t>
      </w:r>
      <w:r>
        <w:rPr>
          <w:rFonts w:cs="Arial" w:hint="cs"/>
          <w:rtl/>
        </w:rPr>
        <w:t xml:space="preserve"> והטור.</w:t>
      </w:r>
      <w:r w:rsidRPr="009748FD">
        <w:rPr>
          <w:rtl/>
        </w:rPr>
        <w:t xml:space="preserve"> </w:t>
      </w:r>
      <w:r w:rsidRPr="009748FD">
        <w:rPr>
          <w:rFonts w:cs="Arial"/>
          <w:rtl/>
        </w:rPr>
        <w:t>מיהו לפי' תוס'</w:t>
      </w:r>
      <w:r>
        <w:rPr>
          <w:rFonts w:cs="Arial" w:hint="cs"/>
          <w:sz w:val="16"/>
          <w:szCs w:val="16"/>
          <w:rtl/>
        </w:rPr>
        <w:t xml:space="preserve"> (הביאו הב"ש [סק"י])</w:t>
      </w:r>
      <w:r w:rsidRPr="009748FD">
        <w:rPr>
          <w:rFonts w:cs="Arial"/>
          <w:rtl/>
        </w:rPr>
        <w:t xml:space="preserve"> אפי' אם לא הניח נכסים מ"מ מבעי' בש"ס אי אמרי' בבתה ת"כ ככתובה</w:t>
      </w:r>
      <w:r>
        <w:rPr>
          <w:rFonts w:hint="cs"/>
          <w:rtl/>
        </w:rPr>
        <w:t>.</w:t>
      </w:r>
    </w:p>
  </w:footnote>
  <w:footnote w:id="2860">
    <w:p w14:paraId="7A57F652" w14:textId="77777777" w:rsidR="00DF1FC7" w:rsidRDefault="00DF1FC7" w:rsidP="002E5BAD">
      <w:pPr>
        <w:pStyle w:val="a5"/>
      </w:pPr>
      <w:r>
        <w:rPr>
          <w:rStyle w:val="a7"/>
        </w:rPr>
        <w:footnoteRef/>
      </w:r>
      <w:r>
        <w:rPr>
          <w:rtl/>
        </w:rPr>
        <w:t xml:space="preserve"> </w:t>
      </w:r>
      <w:r w:rsidRPr="00B53A8E">
        <w:rPr>
          <w:rFonts w:cs="Arial"/>
          <w:rtl/>
        </w:rPr>
        <w:t>דוקא בת הוא דקא מיבעיא ליה</w:t>
      </w:r>
      <w:r>
        <w:rPr>
          <w:rFonts w:cs="Arial" w:hint="cs"/>
          <w:rtl/>
        </w:rPr>
        <w:t>,</w:t>
      </w:r>
      <w:r w:rsidRPr="00B53A8E">
        <w:rPr>
          <w:rFonts w:cs="Arial"/>
          <w:rtl/>
        </w:rPr>
        <w:t xml:space="preserve"> אבל יבמה עצמה ודאי יש לה מזונות</w:t>
      </w:r>
      <w:r>
        <w:rPr>
          <w:rFonts w:cs="Arial" w:hint="cs"/>
          <w:rtl/>
        </w:rPr>
        <w:t>.</w:t>
      </w:r>
      <w:r w:rsidRPr="00B53A8E">
        <w:rPr>
          <w:rFonts w:cs="Arial"/>
          <w:rtl/>
        </w:rPr>
        <w:t xml:space="preserve"> דאפילו תימא דכתובתה על נכסי בעלה הראשון</w:t>
      </w:r>
      <w:r>
        <w:rPr>
          <w:rFonts w:cs="Arial" w:hint="cs"/>
          <w:rtl/>
        </w:rPr>
        <w:t>,</w:t>
      </w:r>
      <w:r w:rsidRPr="00B53A8E">
        <w:rPr>
          <w:rFonts w:cs="Arial"/>
          <w:rtl/>
        </w:rPr>
        <w:t xml:space="preserve"> שפיר קרינא ביה כל יומי מיגר אלמנותיך בביתי</w:t>
      </w:r>
      <w:r>
        <w:rPr>
          <w:rFonts w:cs="Arial" w:hint="cs"/>
          <w:rtl/>
        </w:rPr>
        <w:t>,</w:t>
      </w:r>
      <w:r w:rsidRPr="00B53A8E">
        <w:rPr>
          <w:rFonts w:cs="Arial"/>
          <w:rtl/>
        </w:rPr>
        <w:t xml:space="preserve"> שהרי מחמתו היא אלמנה עכשיו</w:t>
      </w:r>
      <w:r>
        <w:rPr>
          <w:rFonts w:cs="Arial" w:hint="cs"/>
          <w:rtl/>
        </w:rPr>
        <w:t>.</w:t>
      </w:r>
      <w:r w:rsidRPr="00B53A8E">
        <w:rPr>
          <w:rFonts w:cs="Arial"/>
          <w:rtl/>
        </w:rPr>
        <w:t xml:space="preserve"> ואי לית ליה נכסי לראשון כ"ש שיש לה מזונות דהא אית לה כתובה משני</w:t>
      </w:r>
      <w:r>
        <w:rPr>
          <w:rFonts w:cs="Arial" w:hint="cs"/>
          <w:rtl/>
        </w:rPr>
        <w:t xml:space="preserve">, ר"ן </w:t>
      </w:r>
      <w:r w:rsidRPr="00B53A8E">
        <w:rPr>
          <w:rFonts w:cs="Arial" w:hint="cs"/>
          <w:sz w:val="16"/>
          <w:szCs w:val="16"/>
          <w:rtl/>
        </w:rPr>
        <w:t>(כ.)</w:t>
      </w:r>
      <w:r>
        <w:rPr>
          <w:rFonts w:cs="Arial" w:hint="cs"/>
          <w:rtl/>
        </w:rPr>
        <w:t xml:space="preserve">. וכ"כ הרא"ש </w:t>
      </w:r>
      <w:r w:rsidRPr="00B53A8E">
        <w:rPr>
          <w:rFonts w:cs="Arial" w:hint="cs"/>
          <w:sz w:val="16"/>
          <w:szCs w:val="16"/>
          <w:rtl/>
        </w:rPr>
        <w:t>(סי' כח)</w:t>
      </w:r>
      <w:r w:rsidRPr="009748FD">
        <w:rPr>
          <w:rFonts w:cs="Arial" w:hint="cs"/>
          <w:rtl/>
        </w:rPr>
        <w:t>.</w:t>
      </w:r>
      <w:r>
        <w:rPr>
          <w:rFonts w:cs="Arial" w:hint="cs"/>
          <w:rtl/>
        </w:rPr>
        <w:t xml:space="preserve"> הביאם הב"י.</w:t>
      </w:r>
    </w:p>
  </w:footnote>
  <w:footnote w:id="2861">
    <w:p w14:paraId="1B91A2C0" w14:textId="77777777" w:rsidR="00DF1FC7" w:rsidRDefault="00DF1FC7" w:rsidP="002E5BAD">
      <w:pPr>
        <w:pStyle w:val="a5"/>
      </w:pPr>
      <w:r>
        <w:rPr>
          <w:rStyle w:val="a7"/>
        </w:rPr>
        <w:footnoteRef/>
      </w:r>
      <w:r>
        <w:rPr>
          <w:rtl/>
        </w:rPr>
        <w:t xml:space="preserve"> </w:t>
      </w:r>
      <w:r w:rsidRPr="00F501C4">
        <w:rPr>
          <w:rFonts w:cs="Arial"/>
          <w:rtl/>
        </w:rPr>
        <w:t xml:space="preserve">מי שנשא שניה מדברי סופרים דאמרי רבנן לקמן בפרק אלמנה </w:t>
      </w:r>
      <w:r>
        <w:rPr>
          <w:rFonts w:cs="Arial" w:hint="cs"/>
          <w:rtl/>
        </w:rPr>
        <w:t>(</w:t>
      </w:r>
      <w:r w:rsidRPr="00F501C4">
        <w:rPr>
          <w:rFonts w:cs="Arial"/>
          <w:rtl/>
        </w:rPr>
        <w:t>ק:) השניה אין לה כתובה ולא מזונות</w:t>
      </w:r>
      <w:r>
        <w:rPr>
          <w:rFonts w:cs="Arial" w:hint="cs"/>
          <w:rtl/>
        </w:rPr>
        <w:t>.</w:t>
      </w:r>
      <w:r w:rsidRPr="00F501C4">
        <w:rPr>
          <w:rFonts w:cs="Arial"/>
          <w:rtl/>
        </w:rPr>
        <w:t xml:space="preserve"> בתה שילדה לו</w:t>
      </w:r>
      <w:r>
        <w:rPr>
          <w:rFonts w:cs="Arial" w:hint="cs"/>
          <w:rtl/>
        </w:rPr>
        <w:t>,</w:t>
      </w:r>
      <w:r w:rsidRPr="00F501C4">
        <w:rPr>
          <w:rFonts w:cs="Arial"/>
          <w:rtl/>
        </w:rPr>
        <w:t xml:space="preserve"> ומת</w:t>
      </w:r>
      <w:r>
        <w:rPr>
          <w:rFonts w:cs="Arial" w:hint="cs"/>
          <w:rtl/>
        </w:rPr>
        <w:t>,</w:t>
      </w:r>
      <w:r w:rsidRPr="00F501C4">
        <w:rPr>
          <w:rtl/>
        </w:rPr>
        <w:t xml:space="preserve"> </w:t>
      </w:r>
      <w:r w:rsidRPr="00F501C4">
        <w:rPr>
          <w:rFonts w:cs="Arial"/>
          <w:rtl/>
        </w:rPr>
        <w:t>יש לה מזונות מנכסיו או לא</w:t>
      </w:r>
      <w:r>
        <w:rPr>
          <w:rFonts w:cs="Arial" w:hint="cs"/>
          <w:rtl/>
        </w:rPr>
        <w:t>, רש"י.</w:t>
      </w:r>
    </w:p>
  </w:footnote>
  <w:footnote w:id="2862">
    <w:p w14:paraId="3D1D5613" w14:textId="77777777" w:rsidR="00DF1FC7" w:rsidRDefault="00DF1FC7" w:rsidP="002E5BAD">
      <w:pPr>
        <w:pStyle w:val="a5"/>
      </w:pPr>
      <w:r>
        <w:rPr>
          <w:rStyle w:val="a7"/>
        </w:rPr>
        <w:footnoteRef/>
      </w:r>
      <w:r>
        <w:rPr>
          <w:rtl/>
        </w:rPr>
        <w:t xml:space="preserve"> </w:t>
      </w:r>
      <w:r w:rsidRPr="009F5D5A">
        <w:rPr>
          <w:rFonts w:cs="Arial"/>
          <w:rtl/>
        </w:rPr>
        <w:t>לאם לית לה מזוני דבת דהא תנאי כתובה הוא</w:t>
      </w:r>
      <w:r>
        <w:rPr>
          <w:rFonts w:cs="Arial" w:hint="cs"/>
          <w:rtl/>
        </w:rPr>
        <w:t>, רש"י.</w:t>
      </w:r>
    </w:p>
  </w:footnote>
  <w:footnote w:id="2863">
    <w:p w14:paraId="297BE4D4" w14:textId="77777777" w:rsidR="00DF1FC7" w:rsidRDefault="00DF1FC7" w:rsidP="002E5BAD">
      <w:pPr>
        <w:pStyle w:val="a5"/>
        <w:rPr>
          <w:rtl/>
        </w:rPr>
      </w:pPr>
      <w:r>
        <w:rPr>
          <w:rStyle w:val="a7"/>
        </w:rPr>
        <w:footnoteRef/>
      </w:r>
      <w:r>
        <w:rPr>
          <w:rtl/>
        </w:rPr>
        <w:t xml:space="preserve"> </w:t>
      </w:r>
      <w:r w:rsidRPr="009F5D5A">
        <w:rPr>
          <w:rFonts w:cs="Arial"/>
          <w:rtl/>
        </w:rPr>
        <w:t>הבא על ארוסתו וילדה לו ומת ולו בנים יש לה מזונות מנכסיו או לא</w:t>
      </w:r>
      <w:r>
        <w:rPr>
          <w:rFonts w:hint="cs"/>
          <w:rtl/>
        </w:rPr>
        <w:t>, רש"י.</w:t>
      </w:r>
    </w:p>
  </w:footnote>
  <w:footnote w:id="2864">
    <w:p w14:paraId="11066F43" w14:textId="77777777" w:rsidR="00DF1FC7" w:rsidRDefault="00DF1FC7" w:rsidP="002E5BAD">
      <w:pPr>
        <w:pStyle w:val="a5"/>
      </w:pPr>
      <w:r>
        <w:rPr>
          <w:rStyle w:val="a7"/>
        </w:rPr>
        <w:footnoteRef/>
      </w:r>
      <w:r>
        <w:rPr>
          <w:rtl/>
        </w:rPr>
        <w:t xml:space="preserve"> </w:t>
      </w:r>
      <w:r w:rsidRPr="009F5D5A">
        <w:rPr>
          <w:rFonts w:cs="Arial"/>
          <w:rtl/>
        </w:rPr>
        <w:t>כגון שכתב לה מן האירוסין אי נמי רבנן תקון נמי לארוסה</w:t>
      </w:r>
      <w:r>
        <w:rPr>
          <w:rFonts w:cs="Arial" w:hint="cs"/>
          <w:rtl/>
        </w:rPr>
        <w:t>, רש"י.</w:t>
      </w:r>
    </w:p>
  </w:footnote>
  <w:footnote w:id="2865">
    <w:p w14:paraId="3EE71370" w14:textId="77777777" w:rsidR="00DF1FC7" w:rsidRDefault="00DF1FC7" w:rsidP="002E5BAD">
      <w:pPr>
        <w:pStyle w:val="a5"/>
      </w:pPr>
      <w:r>
        <w:rPr>
          <w:rStyle w:val="a7"/>
        </w:rPr>
        <w:footnoteRef/>
      </w:r>
      <w:r>
        <w:rPr>
          <w:rtl/>
        </w:rPr>
        <w:t xml:space="preserve"> </w:t>
      </w:r>
      <w:r w:rsidRPr="009F5D5A">
        <w:rPr>
          <w:rFonts w:cs="Arial"/>
          <w:rtl/>
        </w:rPr>
        <w:t>למכתב עד שעת נשואין</w:t>
      </w:r>
      <w:r>
        <w:rPr>
          <w:rFonts w:cs="Arial" w:hint="cs"/>
          <w:rtl/>
        </w:rPr>
        <w:t>,</w:t>
      </w:r>
      <w:r w:rsidRPr="009F5D5A">
        <w:rPr>
          <w:rFonts w:cs="Arial"/>
          <w:rtl/>
        </w:rPr>
        <w:t xml:space="preserve"> תנאי כתובה נמי מקמי הכי לא חייל</w:t>
      </w:r>
      <w:r>
        <w:rPr>
          <w:rFonts w:cs="Arial" w:hint="cs"/>
          <w:rtl/>
        </w:rPr>
        <w:t>, רש"י.</w:t>
      </w:r>
    </w:p>
  </w:footnote>
  <w:footnote w:id="2866">
    <w:p w14:paraId="41E18F12" w14:textId="77777777" w:rsidR="00DF1FC7" w:rsidRDefault="00DF1FC7" w:rsidP="002E5BAD">
      <w:pPr>
        <w:pStyle w:val="a5"/>
      </w:pPr>
      <w:r>
        <w:rPr>
          <w:rStyle w:val="a7"/>
        </w:rPr>
        <w:footnoteRef/>
      </w:r>
      <w:r>
        <w:rPr>
          <w:rtl/>
        </w:rPr>
        <w:t xml:space="preserve"> </w:t>
      </w:r>
      <w:r w:rsidRPr="009F5D5A">
        <w:rPr>
          <w:rFonts w:cs="Arial"/>
          <w:rtl/>
        </w:rPr>
        <w:t>אנס את הנערה ונשאה אחרי כן כדכתיב ולו תהיה לאשה וילדה לו בת ומת יש לה מזונות מן האחין או לא</w:t>
      </w:r>
      <w:r>
        <w:rPr>
          <w:rFonts w:cs="Arial" w:hint="cs"/>
          <w:rtl/>
        </w:rPr>
        <w:t>, רש"י.</w:t>
      </w:r>
    </w:p>
  </w:footnote>
  <w:footnote w:id="2867">
    <w:p w14:paraId="053A8826" w14:textId="77777777" w:rsidR="00DF1FC7" w:rsidRDefault="00DF1FC7" w:rsidP="002E5BAD">
      <w:pPr>
        <w:pStyle w:val="a5"/>
      </w:pPr>
      <w:r>
        <w:rPr>
          <w:rStyle w:val="a7"/>
        </w:rPr>
        <w:footnoteRef/>
      </w:r>
      <w:r>
        <w:rPr>
          <w:rtl/>
        </w:rPr>
        <w:t xml:space="preserve"> </w:t>
      </w:r>
      <w:r w:rsidRPr="009F5D5A">
        <w:rPr>
          <w:rFonts w:cs="Arial"/>
          <w:rtl/>
        </w:rPr>
        <w:t>מנכסיו</w:t>
      </w:r>
      <w:r>
        <w:rPr>
          <w:rFonts w:cs="Arial" w:hint="cs"/>
          <w:rtl/>
        </w:rPr>
        <w:t>, רש"י.</w:t>
      </w:r>
    </w:p>
  </w:footnote>
  <w:footnote w:id="2868">
    <w:p w14:paraId="3185CEC8" w14:textId="77777777" w:rsidR="00DF1FC7" w:rsidRDefault="00DF1FC7" w:rsidP="002E5BAD">
      <w:pPr>
        <w:pStyle w:val="a5"/>
      </w:pPr>
      <w:r>
        <w:rPr>
          <w:rStyle w:val="a7"/>
        </w:rPr>
        <w:footnoteRef/>
      </w:r>
      <w:r>
        <w:rPr>
          <w:rtl/>
        </w:rPr>
        <w:t xml:space="preserve"> </w:t>
      </w:r>
      <w:r w:rsidRPr="009F5D5A">
        <w:rPr>
          <w:rFonts w:cs="Arial"/>
          <w:rtl/>
        </w:rPr>
        <w:t>אם מת ואף על גב שכבר נתן כסף קנסה לאביה</w:t>
      </w:r>
      <w:r>
        <w:rPr>
          <w:rFonts w:cs="Arial" w:hint="cs"/>
          <w:rtl/>
        </w:rPr>
        <w:t>, רש"י.</w:t>
      </w:r>
    </w:p>
  </w:footnote>
  <w:footnote w:id="2869">
    <w:p w14:paraId="755A923D" w14:textId="77777777" w:rsidR="00DF1FC7" w:rsidRDefault="00DF1FC7" w:rsidP="002E5BAD">
      <w:pPr>
        <w:pStyle w:val="a5"/>
      </w:pPr>
      <w:r>
        <w:rPr>
          <w:rStyle w:val="a7"/>
        </w:rPr>
        <w:footnoteRef/>
      </w:r>
      <w:r>
        <w:rPr>
          <w:rtl/>
        </w:rPr>
        <w:t xml:space="preserve"> </w:t>
      </w:r>
      <w:r w:rsidRPr="009F5D5A">
        <w:rPr>
          <w:rFonts w:cs="Arial"/>
          <w:rtl/>
        </w:rPr>
        <w:t>ואין לה כתובה</w:t>
      </w:r>
      <w:r>
        <w:rPr>
          <w:rFonts w:cs="Arial" w:hint="cs"/>
          <w:rtl/>
        </w:rPr>
        <w:t>, רש"י.</w:t>
      </w:r>
    </w:p>
  </w:footnote>
  <w:footnote w:id="2870">
    <w:p w14:paraId="2EA92838" w14:textId="77777777" w:rsidR="00DF1FC7" w:rsidRDefault="00DF1FC7" w:rsidP="002E5BAD">
      <w:pPr>
        <w:pStyle w:val="a5"/>
        <w:rPr>
          <w:rtl/>
        </w:rPr>
      </w:pPr>
      <w:r>
        <w:rPr>
          <w:rStyle w:val="a7"/>
        </w:rPr>
        <w:footnoteRef/>
      </w:r>
      <w:r>
        <w:rPr>
          <w:rtl/>
        </w:rPr>
        <w:t xml:space="preserve"> </w:t>
      </w:r>
      <w:r w:rsidRPr="009F5D5A">
        <w:rPr>
          <w:rFonts w:cs="Arial"/>
          <w:rtl/>
        </w:rPr>
        <w:t>מזונות הבת שהן תנאי כתובה פקעי בהכי או לא מי אמרינן כיון דלית לה כו'</w:t>
      </w:r>
      <w:r>
        <w:rPr>
          <w:rFonts w:hint="cs"/>
          <w:rtl/>
        </w:rPr>
        <w:t>, רש"י.</w:t>
      </w:r>
    </w:p>
  </w:footnote>
  <w:footnote w:id="2871">
    <w:p w14:paraId="2A78C223" w14:textId="77777777" w:rsidR="00DF1FC7" w:rsidRDefault="00DF1FC7" w:rsidP="002E5BAD">
      <w:pPr>
        <w:pStyle w:val="a5"/>
      </w:pPr>
      <w:r>
        <w:rPr>
          <w:rStyle w:val="a7"/>
        </w:rPr>
        <w:footnoteRef/>
      </w:r>
      <w:r>
        <w:rPr>
          <w:rtl/>
        </w:rPr>
        <w:t xml:space="preserve"> </w:t>
      </w:r>
      <w:r w:rsidRPr="00821488">
        <w:rPr>
          <w:rFonts w:cs="Arial"/>
          <w:rtl/>
        </w:rPr>
        <w:t>כדכתיב לא יוכל לשלחה כתובה דמשום אפוקי הוא דלא תקון דליכא למיחש לית לה אבל שאר תנאי כתובה דלאו משום שלא תהא קלה איתקון אית לה</w:t>
      </w:r>
      <w:r>
        <w:rPr>
          <w:rFonts w:cs="Arial" w:hint="cs"/>
          <w:rtl/>
        </w:rPr>
        <w:t>, רש"י.</w:t>
      </w:r>
      <w:r w:rsidRPr="00E003C9">
        <w:rPr>
          <w:rFonts w:cs="Arial"/>
          <w:rtl/>
        </w:rPr>
        <w:t xml:space="preserve"> </w:t>
      </w:r>
      <w:r>
        <w:rPr>
          <w:rFonts w:cs="Arial"/>
          <w:rtl/>
        </w:rPr>
        <w:t>ואם כן אפילו בבת שנולדה לו מאנוסתו לאחר שנשאה איבעיא</w:t>
      </w:r>
      <w:r>
        <w:rPr>
          <w:rFonts w:cs="Arial" w:hint="cs"/>
          <w:rtl/>
        </w:rPr>
        <w:t>,</w:t>
      </w:r>
      <w:r>
        <w:rPr>
          <w:rFonts w:cs="Arial"/>
          <w:rtl/>
        </w:rPr>
        <w:t xml:space="preserve"> לן וכך הם דברי רבינו והרב המגיד (שם הי"ד) וכן פירש רש"י (ד"ה בת אנוסה)</w:t>
      </w:r>
      <w:r>
        <w:rPr>
          <w:rFonts w:cs="Arial" w:hint="cs"/>
          <w:rtl/>
        </w:rPr>
        <w:t>.</w:t>
      </w:r>
      <w:r>
        <w:rPr>
          <w:rFonts w:cs="Arial"/>
          <w:rtl/>
        </w:rPr>
        <w:t xml:space="preserve"> אבל בבת ארוסה הא ודאי לא איבעיא לן אלא כשנולדה לו בעודה ארוסה</w:t>
      </w:r>
      <w:r>
        <w:rPr>
          <w:rFonts w:cs="Arial" w:hint="cs"/>
          <w:rtl/>
        </w:rPr>
        <w:t>,</w:t>
      </w:r>
      <w:r>
        <w:rPr>
          <w:rFonts w:cs="Arial"/>
          <w:rtl/>
        </w:rPr>
        <w:t xml:space="preserve"> דאילו בנולדה לו אחר שנשאת פשיטא דאית לה</w:t>
      </w:r>
      <w:r>
        <w:rPr>
          <w:rFonts w:hint="cs"/>
          <w:rtl/>
        </w:rPr>
        <w:t>, ב"י.</w:t>
      </w:r>
      <w:r w:rsidRPr="00A50850">
        <w:rPr>
          <w:rFonts w:hint="cs"/>
          <w:color w:val="E36C0A" w:themeColor="accent6" w:themeShade="BF"/>
          <w:rtl/>
        </w:rPr>
        <w:t xml:space="preserve"> (וכ"פ בשו"ע)</w:t>
      </w:r>
    </w:p>
  </w:footnote>
  <w:footnote w:id="2872">
    <w:p w14:paraId="75BC91BA" w14:textId="77777777" w:rsidR="00DF1FC7" w:rsidRDefault="00DF1FC7" w:rsidP="002E5BAD">
      <w:pPr>
        <w:pStyle w:val="a5"/>
      </w:pPr>
      <w:r>
        <w:rPr>
          <w:rStyle w:val="a7"/>
        </w:rPr>
        <w:footnoteRef/>
      </w:r>
      <w:r>
        <w:rPr>
          <w:rtl/>
        </w:rPr>
        <w:t xml:space="preserve"> </w:t>
      </w:r>
      <w:r>
        <w:rPr>
          <w:rFonts w:cs="Arial"/>
          <w:rtl/>
        </w:rPr>
        <w:t>כ"כ הפוסקים ופשוט הוא ותקנה זו איתא בסוף פרק הנזכר</w:t>
      </w:r>
      <w:r>
        <w:rPr>
          <w:rFonts w:cs="Arial" w:hint="cs"/>
          <w:rtl/>
        </w:rPr>
        <w:t xml:space="preserve"> (פ' נערה, כתובות מט:), ב"י.</w:t>
      </w:r>
    </w:p>
  </w:footnote>
  <w:footnote w:id="2873">
    <w:p w14:paraId="5E2F84AE" w14:textId="77777777" w:rsidR="00DF1FC7" w:rsidRDefault="00DF1FC7" w:rsidP="002E5BAD">
      <w:pPr>
        <w:pStyle w:val="a5"/>
      </w:pPr>
      <w:r>
        <w:rPr>
          <w:rStyle w:val="a7"/>
        </w:rPr>
        <w:footnoteRef/>
      </w:r>
      <w:r>
        <w:rPr>
          <w:rtl/>
        </w:rPr>
        <w:t xml:space="preserve"> </w:t>
      </w:r>
      <w:r w:rsidRPr="00B53A8E">
        <w:rPr>
          <w:rFonts w:cs="Arial"/>
          <w:rtl/>
        </w:rPr>
        <w:t>דאז כתובתה על נכסי בעלה הראשון</w:t>
      </w:r>
      <w:r>
        <w:rPr>
          <w:rFonts w:cs="Arial" w:hint="cs"/>
          <w:rtl/>
        </w:rPr>
        <w:t>,</w:t>
      </w:r>
      <w:r w:rsidRPr="00B53A8E">
        <w:rPr>
          <w:rFonts w:cs="Arial"/>
          <w:rtl/>
        </w:rPr>
        <w:t xml:space="preserve"> ות</w:t>
      </w:r>
      <w:r>
        <w:rPr>
          <w:rFonts w:cs="Arial" w:hint="cs"/>
          <w:rtl/>
        </w:rPr>
        <w:t xml:space="preserve">וספת </w:t>
      </w:r>
      <w:r w:rsidRPr="00B53A8E">
        <w:rPr>
          <w:rFonts w:cs="Arial"/>
          <w:rtl/>
        </w:rPr>
        <w:t>כ</w:t>
      </w:r>
      <w:r>
        <w:rPr>
          <w:rFonts w:cs="Arial" w:hint="cs"/>
          <w:rtl/>
        </w:rPr>
        <w:t>תובה</w:t>
      </w:r>
      <w:r w:rsidRPr="00B53A8E">
        <w:rPr>
          <w:rFonts w:cs="Arial"/>
          <w:rtl/>
        </w:rPr>
        <w:t xml:space="preserve"> פשיט</w:t>
      </w:r>
      <w:r>
        <w:rPr>
          <w:rFonts w:cs="Arial" w:hint="cs"/>
          <w:rtl/>
        </w:rPr>
        <w:t>א</w:t>
      </w:r>
      <w:r w:rsidRPr="00B53A8E">
        <w:rPr>
          <w:rFonts w:cs="Arial"/>
          <w:rtl/>
        </w:rPr>
        <w:t xml:space="preserve"> דלית לה מראשון</w:t>
      </w:r>
      <w:r>
        <w:rPr>
          <w:rFonts w:cs="Arial" w:hint="cs"/>
          <w:rtl/>
        </w:rPr>
        <w:t>,</w:t>
      </w:r>
      <w:r w:rsidRPr="00B53A8E">
        <w:rPr>
          <w:rFonts w:cs="Arial"/>
          <w:rtl/>
        </w:rPr>
        <w:t xml:space="preserve"> דהא הראשון לא כתב לה רק בנן נוקבן דיהוי ליכי מינאי</w:t>
      </w:r>
      <w:r>
        <w:rPr>
          <w:rFonts w:cs="Arial" w:hint="cs"/>
          <w:rtl/>
        </w:rPr>
        <w:t>,</w:t>
      </w:r>
      <w:r w:rsidRPr="00B53A8E">
        <w:rPr>
          <w:rFonts w:cs="Arial"/>
          <w:rtl/>
        </w:rPr>
        <w:t xml:space="preserve"> והיא לא ילדה לו</w:t>
      </w:r>
      <w:r>
        <w:rPr>
          <w:rFonts w:cs="Arial" w:hint="cs"/>
          <w:rtl/>
        </w:rPr>
        <w:t>.</w:t>
      </w:r>
      <w:r w:rsidRPr="00B53A8E">
        <w:rPr>
          <w:rFonts w:cs="Arial"/>
          <w:rtl/>
        </w:rPr>
        <w:t xml:space="preserve"> אבל מן השני מבעיא אף דאין לה כתובה עליו כל שיש נכסים מן הראשון</w:t>
      </w:r>
      <w:r>
        <w:rPr>
          <w:rFonts w:cs="Arial" w:hint="cs"/>
          <w:rtl/>
        </w:rPr>
        <w:t>.</w:t>
      </w:r>
      <w:r w:rsidRPr="00B53A8E">
        <w:rPr>
          <w:rFonts w:cs="Arial"/>
          <w:rtl/>
        </w:rPr>
        <w:t xml:space="preserve"> אבל תנאי כתובה יש לה על השני דכיון דאינה ניזונ</w:t>
      </w:r>
      <w:r>
        <w:rPr>
          <w:rFonts w:cs="Arial" w:hint="cs"/>
          <w:rtl/>
        </w:rPr>
        <w:t>ת</w:t>
      </w:r>
      <w:r w:rsidRPr="00B53A8E">
        <w:rPr>
          <w:rFonts w:cs="Arial"/>
          <w:rtl/>
        </w:rPr>
        <w:t xml:space="preserve"> מנכסי ראשון כמאן דלית ליה לראשון דמי</w:t>
      </w:r>
      <w:r>
        <w:rPr>
          <w:rFonts w:cs="Arial" w:hint="cs"/>
          <w:rtl/>
        </w:rPr>
        <w:t>, ח"מ (סקי"ב).</w:t>
      </w:r>
    </w:p>
  </w:footnote>
  <w:footnote w:id="2874">
    <w:p w14:paraId="6001E7A4" w14:textId="77777777" w:rsidR="00DF1FC7" w:rsidRDefault="00DF1FC7" w:rsidP="002E5BAD">
      <w:pPr>
        <w:pStyle w:val="a5"/>
      </w:pPr>
      <w:r>
        <w:rPr>
          <w:rStyle w:val="a7"/>
        </w:rPr>
        <w:footnoteRef/>
      </w:r>
      <w:r>
        <w:rPr>
          <w:rtl/>
        </w:rPr>
        <w:t xml:space="preserve"> </w:t>
      </w:r>
      <w:r w:rsidRPr="004C2CD4">
        <w:rPr>
          <w:rFonts w:cs="Arial"/>
          <w:rtl/>
        </w:rPr>
        <w:t>וכתב הרא"ש דה"ה באנוסה גופה מצי למבעי אם יש מזונו' לאחר מיתת בעלה (וסיים הרא"ש וכיון דעלו בתיקו לית לה דכל תיקו דממונא חומר' לתובע וקולא לנתבע)</w:t>
      </w:r>
      <w:r>
        <w:rPr>
          <w:rFonts w:cs="Arial" w:hint="cs"/>
          <w:rtl/>
        </w:rPr>
        <w:t>, ח"מ (סקי"ג).</w:t>
      </w:r>
    </w:p>
  </w:footnote>
  <w:footnote w:id="2875">
    <w:p w14:paraId="44207604" w14:textId="77777777" w:rsidR="00DF1FC7" w:rsidRDefault="00DF1FC7" w:rsidP="002E5BAD">
      <w:pPr>
        <w:pStyle w:val="a5"/>
      </w:pPr>
      <w:r>
        <w:rPr>
          <w:rStyle w:val="a7"/>
        </w:rPr>
        <w:footnoteRef/>
      </w:r>
      <w:r>
        <w:rPr>
          <w:rtl/>
        </w:rPr>
        <w:t xml:space="preserve"> </w:t>
      </w:r>
      <w:r w:rsidRPr="004C2CD4">
        <w:rPr>
          <w:rFonts w:cs="Arial"/>
          <w:rtl/>
        </w:rPr>
        <w:t>אבל נתעברה קודם שנשאה וילדה אחר שנשאה קרינן בנן נוקבן דיהוי ליכי וכו'</w:t>
      </w:r>
      <w:r>
        <w:rPr>
          <w:rFonts w:cs="Arial" w:hint="cs"/>
          <w:rtl/>
        </w:rPr>
        <w:t>, ח"מ (סקי"ד).</w:t>
      </w:r>
    </w:p>
  </w:footnote>
  <w:footnote w:id="2876">
    <w:p w14:paraId="2C5C3F76" w14:textId="77777777" w:rsidR="00DF1FC7" w:rsidRDefault="00DF1FC7" w:rsidP="002E5BAD">
      <w:pPr>
        <w:pStyle w:val="a5"/>
      </w:pPr>
      <w:r>
        <w:rPr>
          <w:rStyle w:val="a7"/>
        </w:rPr>
        <w:footnoteRef/>
      </w:r>
      <w:r>
        <w:rPr>
          <w:rtl/>
        </w:rPr>
        <w:t xml:space="preserve"> </w:t>
      </w:r>
      <w:r w:rsidRPr="004C2CD4">
        <w:rPr>
          <w:rFonts w:cs="Arial"/>
          <w:rtl/>
        </w:rPr>
        <w:t>אבל מת קודם שנשאה כיון דהיא עצמה לית לה אף בתה לית לה</w:t>
      </w:r>
      <w:r>
        <w:rPr>
          <w:rFonts w:cs="Arial" w:hint="cs"/>
          <w:rtl/>
        </w:rPr>
        <w:t>,</w:t>
      </w:r>
      <w:r w:rsidRPr="004C2CD4">
        <w:rPr>
          <w:rFonts w:cs="Arial"/>
          <w:rtl/>
        </w:rPr>
        <w:t xml:space="preserve"> כ"כ הרא"ש בשם הראב"ד</w:t>
      </w:r>
      <w:r>
        <w:rPr>
          <w:rFonts w:cs="Arial" w:hint="cs"/>
          <w:rtl/>
        </w:rPr>
        <w:t>.</w:t>
      </w:r>
      <w:r w:rsidRPr="004C2CD4">
        <w:rPr>
          <w:rFonts w:cs="Arial"/>
          <w:rtl/>
        </w:rPr>
        <w:t xml:space="preserve"> והר"ן</w:t>
      </w:r>
      <w:r>
        <w:rPr>
          <w:rFonts w:cs="Arial" w:hint="cs"/>
          <w:sz w:val="16"/>
          <w:szCs w:val="16"/>
          <w:rtl/>
        </w:rPr>
        <w:t xml:space="preserve"> {וכן פירש רש"י לחד פירושא}</w:t>
      </w:r>
      <w:r>
        <w:rPr>
          <w:rFonts w:cs="Arial" w:hint="cs"/>
          <w:rtl/>
        </w:rPr>
        <w:t xml:space="preserve"> </w:t>
      </w:r>
      <w:r w:rsidRPr="004C2CD4">
        <w:rPr>
          <w:rFonts w:cs="Arial"/>
          <w:rtl/>
        </w:rPr>
        <w:t>פי' דמיירי שמת קודם שנשאה וכתב לה כתובה מן הארוסין</w:t>
      </w:r>
      <w:r>
        <w:rPr>
          <w:rFonts w:cs="Arial" w:hint="cs"/>
          <w:rtl/>
        </w:rPr>
        <w:t>,</w:t>
      </w:r>
      <w:r w:rsidRPr="004C2CD4">
        <w:rPr>
          <w:rFonts w:cs="Arial"/>
          <w:rtl/>
        </w:rPr>
        <w:t xml:space="preserve"> ומבעי' ליה בתנאי כתובה</w:t>
      </w:r>
      <w:r>
        <w:rPr>
          <w:rFonts w:cs="Arial" w:hint="cs"/>
          <w:rtl/>
        </w:rPr>
        <w:t>, ח"מ (סקט"ו).</w:t>
      </w:r>
    </w:p>
  </w:footnote>
  <w:footnote w:id="2877">
    <w:p w14:paraId="69FB5AB2" w14:textId="77777777" w:rsidR="00DF1FC7" w:rsidRDefault="00DF1FC7" w:rsidP="002E5BAD">
      <w:pPr>
        <w:pStyle w:val="a5"/>
      </w:pPr>
      <w:r>
        <w:rPr>
          <w:rStyle w:val="a7"/>
        </w:rPr>
        <w:footnoteRef/>
      </w:r>
      <w:r>
        <w:rPr>
          <w:rtl/>
        </w:rPr>
        <w:t xml:space="preserve"> </w:t>
      </w:r>
      <w:r w:rsidRPr="0060577A">
        <w:rPr>
          <w:rFonts w:cs="Arial"/>
          <w:rtl/>
        </w:rPr>
        <w:t>וכתב רי"ו אם תפסה אין מוציאים ממנה</w:t>
      </w:r>
      <w:r>
        <w:rPr>
          <w:rFonts w:cs="Arial" w:hint="cs"/>
          <w:rtl/>
        </w:rPr>
        <w:t>.</w:t>
      </w:r>
      <w:r w:rsidRPr="0060577A">
        <w:rPr>
          <w:rFonts w:cs="Arial"/>
          <w:rtl/>
        </w:rPr>
        <w:t xml:space="preserve"> ובש"ג כתב בנכסים מועטים אין מוציאין ממנה אבל בנכסים מרובים אין להן זכות אלא מזונות דבר יום ביומו לכן מוציאין ממנה</w:t>
      </w:r>
      <w:r>
        <w:rPr>
          <w:rFonts w:cs="Arial" w:hint="cs"/>
          <w:rtl/>
        </w:rPr>
        <w:t>,</w:t>
      </w:r>
      <w:r w:rsidRPr="0060577A">
        <w:rPr>
          <w:rFonts w:cs="Arial"/>
          <w:rtl/>
        </w:rPr>
        <w:t xml:space="preserve"> ואחר שמוציאין אפשר דאין להן כלל</w:t>
      </w:r>
      <w:r>
        <w:rPr>
          <w:rFonts w:cs="Arial" w:hint="cs"/>
          <w:rtl/>
        </w:rPr>
        <w:t>.</w:t>
      </w:r>
      <w:r w:rsidRPr="0060577A">
        <w:rPr>
          <w:rFonts w:cs="Arial"/>
          <w:rtl/>
        </w:rPr>
        <w:t xml:space="preserve"> ובב"י ובד"מ הביאו דברי רי"ו בסתם</w:t>
      </w:r>
      <w:r>
        <w:rPr>
          <w:rFonts w:cs="Arial" w:hint="cs"/>
          <w:rtl/>
        </w:rPr>
        <w:t>.</w:t>
      </w:r>
      <w:r w:rsidRPr="0060577A">
        <w:rPr>
          <w:rFonts w:cs="Arial"/>
          <w:rtl/>
        </w:rPr>
        <w:t xml:space="preserve"> מיהו בתיקו אית' פלוגת' אם מהני תפיסה כמ"ש בח"ה בכמה מקומות</w:t>
      </w:r>
      <w:r>
        <w:rPr>
          <w:rFonts w:cs="Arial" w:hint="cs"/>
          <w:rtl/>
        </w:rPr>
        <w:t>..., ב"ש (סקי"א).</w:t>
      </w:r>
    </w:p>
  </w:footnote>
  <w:footnote w:id="2878">
    <w:p w14:paraId="6AD34DC8" w14:textId="77777777" w:rsidR="00DF1FC7" w:rsidRDefault="00DF1FC7" w:rsidP="002E5BAD">
      <w:pPr>
        <w:pStyle w:val="a5"/>
        <w:rPr>
          <w:rtl/>
        </w:rPr>
      </w:pPr>
      <w:r>
        <w:rPr>
          <w:rStyle w:val="a7"/>
        </w:rPr>
        <w:footnoteRef/>
      </w:r>
      <w:r>
        <w:rPr>
          <w:rtl/>
        </w:rPr>
        <w:t xml:space="preserve"> </w:t>
      </w:r>
      <w:r w:rsidRPr="00A80CC5">
        <w:rPr>
          <w:rFonts w:cs="Arial"/>
          <w:rtl/>
        </w:rPr>
        <w:t>הנה בחייו חייב לזון את בנו עד ששה שנים כמ"ש בסי' ע"א ואחר מותו אין מפרישין מזון בניו כמ"ש שם ולבנות בחייו אינו חייב אלא עד שש ולאחר מותו יש להן מזונות עד שיבגרו או עד ארוסין ולאלו אין להן אחר מותו</w:t>
      </w:r>
      <w:r>
        <w:rPr>
          <w:rFonts w:hint="cs"/>
          <w:rtl/>
        </w:rPr>
        <w:t>, ב"ש (סקי"ג).</w:t>
      </w:r>
    </w:p>
  </w:footnote>
  <w:footnote w:id="2879">
    <w:p w14:paraId="475BD9CE" w14:textId="77777777" w:rsidR="00DF1FC7" w:rsidRDefault="00DF1FC7" w:rsidP="002E5BAD">
      <w:pPr>
        <w:pStyle w:val="a5"/>
      </w:pPr>
      <w:r>
        <w:rPr>
          <w:rStyle w:val="a7"/>
        </w:rPr>
        <w:footnoteRef/>
      </w:r>
      <w:r>
        <w:rPr>
          <w:rtl/>
        </w:rPr>
        <w:t xml:space="preserve"> </w:t>
      </w:r>
      <w:r w:rsidRPr="004C0F3E">
        <w:rPr>
          <w:rFonts w:cs="Arial"/>
          <w:rtl/>
        </w:rPr>
        <w:t>שלא אתבזה על הבריות מכבודי הראשון לא בפניך ולא בפני חביריך</w:t>
      </w:r>
      <w:r>
        <w:rPr>
          <w:rFonts w:cs="Arial" w:hint="cs"/>
          <w:rtl/>
        </w:rPr>
        <w:t>, רש"י.</w:t>
      </w:r>
    </w:p>
  </w:footnote>
  <w:footnote w:id="2880">
    <w:p w14:paraId="29BFA042" w14:textId="77777777" w:rsidR="00DF1FC7" w:rsidRDefault="00DF1FC7" w:rsidP="002E5BAD">
      <w:pPr>
        <w:pStyle w:val="a5"/>
      </w:pPr>
      <w:r>
        <w:rPr>
          <w:rStyle w:val="a7"/>
        </w:rPr>
        <w:footnoteRef/>
      </w:r>
      <w:r>
        <w:rPr>
          <w:rtl/>
        </w:rPr>
        <w:t xml:space="preserve"> </w:t>
      </w:r>
      <w:r>
        <w:rPr>
          <w:rFonts w:hint="cs"/>
          <w:rtl/>
        </w:rPr>
        <w:t>וכן איתא בדף פז ע"א.</w:t>
      </w:r>
    </w:p>
  </w:footnote>
  <w:footnote w:id="2881">
    <w:p w14:paraId="3773D773" w14:textId="77777777" w:rsidR="00DF1FC7" w:rsidRDefault="00DF1FC7" w:rsidP="002E5BAD">
      <w:pPr>
        <w:pStyle w:val="a5"/>
      </w:pPr>
      <w:r>
        <w:rPr>
          <w:rStyle w:val="a7"/>
        </w:rPr>
        <w:footnoteRef/>
      </w:r>
      <w:r>
        <w:rPr>
          <w:rtl/>
        </w:rPr>
        <w:t xml:space="preserve"> </w:t>
      </w:r>
      <w:r w:rsidRPr="008805E4">
        <w:rPr>
          <w:rFonts w:cs="Arial"/>
          <w:rtl/>
        </w:rPr>
        <w:t>כ"כ הרמב"ם פי"ט</w:t>
      </w:r>
      <w:r>
        <w:rPr>
          <w:rFonts w:cs="Arial" w:hint="cs"/>
          <w:rtl/>
        </w:rPr>
        <w:t>.</w:t>
      </w:r>
      <w:r w:rsidRPr="008805E4">
        <w:rPr>
          <w:rFonts w:cs="Arial"/>
          <w:rtl/>
        </w:rPr>
        <w:t xml:space="preserve"> ובש</w:t>
      </w:r>
      <w:r>
        <w:rPr>
          <w:rFonts w:cs="Arial" w:hint="cs"/>
          <w:rtl/>
        </w:rPr>
        <w:t>לט</w:t>
      </w:r>
      <w:r w:rsidRPr="008805E4">
        <w:rPr>
          <w:rFonts w:cs="Arial"/>
          <w:rtl/>
        </w:rPr>
        <w:t xml:space="preserve">"ג פסק </w:t>
      </w:r>
      <w:r>
        <w:rPr>
          <w:rFonts w:cs="Arial" w:hint="cs"/>
          <w:rtl/>
        </w:rPr>
        <w:t>ד</w:t>
      </w:r>
      <w:r w:rsidRPr="008805E4">
        <w:rPr>
          <w:rFonts w:cs="Arial"/>
          <w:rtl/>
        </w:rPr>
        <w:t>גם לבנותיו פוסקים לפי כבוד אביהן</w:t>
      </w:r>
      <w:r>
        <w:rPr>
          <w:rFonts w:cs="Arial" w:hint="cs"/>
          <w:rtl/>
        </w:rPr>
        <w:t>,</w:t>
      </w:r>
      <w:r w:rsidRPr="008805E4">
        <w:rPr>
          <w:rFonts w:cs="Arial"/>
          <w:rtl/>
        </w:rPr>
        <w:t xml:space="preserve"> ע"ש פ' נ</w:t>
      </w:r>
      <w:r>
        <w:rPr>
          <w:rFonts w:cs="Arial" w:hint="cs"/>
          <w:rtl/>
        </w:rPr>
        <w:t>ערה שנתפתתה.</w:t>
      </w:r>
      <w:r w:rsidRPr="008805E4">
        <w:rPr>
          <w:rFonts w:cs="Arial"/>
          <w:rtl/>
        </w:rPr>
        <w:t xml:space="preserve"> וע' בש"ס דשמין הנכסים ונותנים לה מזונות וכסות</w:t>
      </w:r>
      <w:r>
        <w:rPr>
          <w:rFonts w:cs="Arial" w:hint="cs"/>
          <w:rtl/>
        </w:rPr>
        <w:t>, ב"ש (סקי"ד).</w:t>
      </w:r>
    </w:p>
  </w:footnote>
  <w:footnote w:id="2882">
    <w:p w14:paraId="721D1796" w14:textId="77777777" w:rsidR="00DF1FC7" w:rsidRDefault="00DF1FC7" w:rsidP="002E5BAD">
      <w:pPr>
        <w:pStyle w:val="a5"/>
      </w:pPr>
      <w:r>
        <w:rPr>
          <w:rStyle w:val="a7"/>
        </w:rPr>
        <w:footnoteRef/>
      </w:r>
      <w:r>
        <w:rPr>
          <w:rtl/>
        </w:rPr>
        <w:t xml:space="preserve"> </w:t>
      </w:r>
      <w:r w:rsidRPr="00910145">
        <w:rPr>
          <w:rFonts w:cs="Arial"/>
          <w:rtl/>
        </w:rPr>
        <w:t>אע</w:t>
      </w:r>
      <w:r>
        <w:rPr>
          <w:rFonts w:cs="Arial" w:hint="cs"/>
          <w:rtl/>
        </w:rPr>
        <w:t>"</w:t>
      </w:r>
      <w:r w:rsidRPr="00910145">
        <w:rPr>
          <w:rFonts w:cs="Arial"/>
          <w:rtl/>
        </w:rPr>
        <w:t xml:space="preserve">ג </w:t>
      </w:r>
      <w:r>
        <w:rPr>
          <w:rFonts w:cs="Arial" w:hint="cs"/>
          <w:rtl/>
        </w:rPr>
        <w:t>ד</w:t>
      </w:r>
      <w:r w:rsidRPr="00910145">
        <w:rPr>
          <w:rFonts w:cs="Arial"/>
          <w:rtl/>
        </w:rPr>
        <w:t>לפי פסק הלכה בסי' צ"ג גם האלמנה אינה נשבעת על מזונות</w:t>
      </w:r>
      <w:r>
        <w:rPr>
          <w:rFonts w:cs="Arial" w:hint="cs"/>
          <w:rtl/>
        </w:rPr>
        <w:t>,</w:t>
      </w:r>
      <w:r w:rsidRPr="00910145">
        <w:rPr>
          <w:rFonts w:cs="Arial"/>
          <w:rtl/>
        </w:rPr>
        <w:t xml:space="preserve"> מ"מ ה</w:t>
      </w:r>
      <w:r>
        <w:rPr>
          <w:rFonts w:cs="Arial" w:hint="cs"/>
          <w:rtl/>
        </w:rPr>
        <w:t xml:space="preserve">וה </w:t>
      </w:r>
      <w:r w:rsidRPr="00910145">
        <w:rPr>
          <w:rFonts w:cs="Arial"/>
          <w:rtl/>
        </w:rPr>
        <w:t>א</w:t>
      </w:r>
      <w:r>
        <w:rPr>
          <w:rFonts w:cs="Arial" w:hint="cs"/>
          <w:rtl/>
        </w:rPr>
        <w:t>מינא</w:t>
      </w:r>
      <w:r w:rsidRPr="00910145">
        <w:rPr>
          <w:rFonts w:cs="Arial"/>
          <w:rtl/>
        </w:rPr>
        <w:t xml:space="preserve"> </w:t>
      </w:r>
      <w:r>
        <w:rPr>
          <w:rFonts w:cs="Arial" w:hint="cs"/>
          <w:rtl/>
        </w:rPr>
        <w:t>ש</w:t>
      </w:r>
      <w:r w:rsidRPr="00910145">
        <w:rPr>
          <w:rFonts w:cs="Arial"/>
          <w:rtl/>
        </w:rPr>
        <w:t>הבנ</w:t>
      </w:r>
      <w:r>
        <w:rPr>
          <w:rFonts w:cs="Arial" w:hint="cs"/>
          <w:rtl/>
        </w:rPr>
        <w:t>ות</w:t>
      </w:r>
      <w:r w:rsidRPr="00910145">
        <w:rPr>
          <w:rFonts w:cs="Arial"/>
          <w:rtl/>
        </w:rPr>
        <w:t xml:space="preserve"> צריכ</w:t>
      </w:r>
      <w:r>
        <w:rPr>
          <w:rFonts w:cs="Arial" w:hint="cs"/>
          <w:rtl/>
        </w:rPr>
        <w:t>ות</w:t>
      </w:r>
      <w:r w:rsidRPr="00910145">
        <w:rPr>
          <w:rFonts w:cs="Arial"/>
          <w:rtl/>
        </w:rPr>
        <w:t xml:space="preserve"> לישבע</w:t>
      </w:r>
      <w:r>
        <w:rPr>
          <w:rFonts w:cs="Arial" w:hint="cs"/>
          <w:rtl/>
        </w:rPr>
        <w:t>,</w:t>
      </w:r>
      <w:r w:rsidRPr="00910145">
        <w:rPr>
          <w:rFonts w:cs="Arial"/>
          <w:rtl/>
        </w:rPr>
        <w:t xml:space="preserve"> כי אלמנה נשבעת לסוף על הכתובה</w:t>
      </w:r>
      <w:r>
        <w:rPr>
          <w:rFonts w:cs="Arial" w:hint="cs"/>
          <w:rtl/>
        </w:rPr>
        <w:t>.</w:t>
      </w:r>
      <w:r w:rsidRPr="00910145">
        <w:rPr>
          <w:rFonts w:cs="Arial"/>
          <w:rtl/>
        </w:rPr>
        <w:t xml:space="preserve"> קמ"ל דא"צ לישבע</w:t>
      </w:r>
      <w:r>
        <w:rPr>
          <w:rFonts w:cs="Arial" w:hint="cs"/>
          <w:rtl/>
        </w:rPr>
        <w:t>,</w:t>
      </w:r>
      <w:r w:rsidRPr="00910145">
        <w:rPr>
          <w:rFonts w:cs="Arial"/>
          <w:rtl/>
        </w:rPr>
        <w:t xml:space="preserve"> כי לא חיישי' לצררי</w:t>
      </w:r>
      <w:r>
        <w:rPr>
          <w:rFonts w:cs="Arial" w:hint="cs"/>
          <w:rtl/>
        </w:rPr>
        <w:t>,</w:t>
      </w:r>
      <w:r w:rsidRPr="00910145">
        <w:rPr>
          <w:rFonts w:cs="Arial"/>
          <w:rtl/>
        </w:rPr>
        <w:t xml:space="preserve"> דלקטנות לא מתפיס צררי</w:t>
      </w:r>
      <w:r>
        <w:rPr>
          <w:rFonts w:cs="Arial" w:hint="cs"/>
          <w:rtl/>
        </w:rPr>
        <w:t>,</w:t>
      </w:r>
      <w:r w:rsidRPr="00910145">
        <w:rPr>
          <w:rFonts w:cs="Arial"/>
          <w:rtl/>
        </w:rPr>
        <w:t xml:space="preserve"> כמ"ש ר"פ שניי דייני</w:t>
      </w:r>
      <w:r>
        <w:rPr>
          <w:rFonts w:cs="Arial" w:hint="cs"/>
          <w:rtl/>
        </w:rPr>
        <w:t>,</w:t>
      </w:r>
      <w:r w:rsidRPr="00910145">
        <w:rPr>
          <w:rFonts w:cs="Arial"/>
          <w:rtl/>
        </w:rPr>
        <w:t xml:space="preserve"> כ"כ תוס' פ' השולח </w:t>
      </w:r>
      <w:r>
        <w:rPr>
          <w:rFonts w:cs="Arial" w:hint="cs"/>
          <w:rtl/>
        </w:rPr>
        <w:t>(</w:t>
      </w:r>
      <w:r w:rsidRPr="00910145">
        <w:rPr>
          <w:rFonts w:cs="Arial"/>
          <w:rtl/>
        </w:rPr>
        <w:t>נא</w:t>
      </w:r>
      <w:r>
        <w:rPr>
          <w:rFonts w:cs="Arial" w:hint="cs"/>
          <w:rtl/>
        </w:rPr>
        <w:t>.).</w:t>
      </w:r>
      <w:r w:rsidRPr="00910145">
        <w:rPr>
          <w:rFonts w:cs="Arial"/>
          <w:rtl/>
        </w:rPr>
        <w:t xml:space="preserve"> לפ"ז משמע </w:t>
      </w:r>
      <w:r>
        <w:rPr>
          <w:rFonts w:cs="Arial" w:hint="cs"/>
          <w:rtl/>
        </w:rPr>
        <w:t>ד</w:t>
      </w:r>
      <w:r w:rsidRPr="00910145">
        <w:rPr>
          <w:rFonts w:cs="Arial"/>
          <w:rtl/>
        </w:rPr>
        <w:t>נערה צריכה לישבע</w:t>
      </w:r>
      <w:r>
        <w:rPr>
          <w:rFonts w:cs="Arial" w:hint="cs"/>
          <w:rtl/>
        </w:rPr>
        <w:t>,</w:t>
      </w:r>
      <w:r w:rsidRPr="00910145">
        <w:rPr>
          <w:rFonts w:cs="Arial"/>
          <w:rtl/>
        </w:rPr>
        <w:t xml:space="preserve"> כי דוק</w:t>
      </w:r>
      <w:r>
        <w:rPr>
          <w:rFonts w:cs="Arial" w:hint="cs"/>
          <w:rtl/>
        </w:rPr>
        <w:t>א</w:t>
      </w:r>
      <w:r w:rsidRPr="00910145">
        <w:rPr>
          <w:rFonts w:cs="Arial"/>
          <w:rtl/>
        </w:rPr>
        <w:t xml:space="preserve"> לקטנה לא מתפיס צררי</w:t>
      </w:r>
      <w:r>
        <w:rPr>
          <w:rFonts w:cs="Arial" w:hint="cs"/>
          <w:rtl/>
        </w:rPr>
        <w:t>.</w:t>
      </w:r>
      <w:r w:rsidRPr="00910145">
        <w:rPr>
          <w:rFonts w:cs="Arial"/>
          <w:rtl/>
        </w:rPr>
        <w:t xml:space="preserve"> וכן משמע בתוס' שם</w:t>
      </w:r>
      <w:r>
        <w:rPr>
          <w:rFonts w:cs="Arial" w:hint="cs"/>
          <w:rtl/>
        </w:rPr>
        <w:t>.</w:t>
      </w:r>
      <w:r w:rsidRPr="00910145">
        <w:rPr>
          <w:rFonts w:cs="Arial"/>
          <w:rtl/>
        </w:rPr>
        <w:t xml:space="preserve"> מיהו לרמב"ם אפי' נערה א"צ שבועה</w:t>
      </w:r>
      <w:r>
        <w:rPr>
          <w:rFonts w:cs="Arial" w:hint="cs"/>
          <w:rtl/>
        </w:rPr>
        <w:t>.</w:t>
      </w:r>
      <w:r w:rsidRPr="00910145">
        <w:rPr>
          <w:rFonts w:cs="Arial"/>
          <w:rtl/>
        </w:rPr>
        <w:t xml:space="preserve"> ובתוס' פ' הנושא אית</w:t>
      </w:r>
      <w:r>
        <w:rPr>
          <w:rFonts w:cs="Arial" w:hint="cs"/>
          <w:rtl/>
        </w:rPr>
        <w:t>א</w:t>
      </w:r>
      <w:r w:rsidRPr="00910145">
        <w:rPr>
          <w:rFonts w:cs="Arial"/>
          <w:rtl/>
        </w:rPr>
        <w:t xml:space="preserve"> </w:t>
      </w:r>
      <w:r>
        <w:rPr>
          <w:rFonts w:cs="Arial" w:hint="cs"/>
          <w:rtl/>
        </w:rPr>
        <w:t>ד</w:t>
      </w:r>
      <w:r w:rsidRPr="00910145">
        <w:rPr>
          <w:rFonts w:cs="Arial"/>
          <w:rtl/>
        </w:rPr>
        <w:t>אפילו בקטנות חיישי</w:t>
      </w:r>
      <w:r>
        <w:rPr>
          <w:rFonts w:cs="Arial" w:hint="cs"/>
          <w:rtl/>
        </w:rPr>
        <w:t>נן</w:t>
      </w:r>
      <w:r w:rsidRPr="00910145">
        <w:rPr>
          <w:rFonts w:cs="Arial"/>
          <w:rtl/>
        </w:rPr>
        <w:t xml:space="preserve"> לצררי</w:t>
      </w:r>
      <w:r>
        <w:rPr>
          <w:rFonts w:cs="Arial" w:hint="cs"/>
          <w:rtl/>
        </w:rPr>
        <w:t>,</w:t>
      </w:r>
      <w:r w:rsidRPr="00910145">
        <w:rPr>
          <w:rFonts w:cs="Arial"/>
          <w:rtl/>
        </w:rPr>
        <w:t xml:space="preserve"> דמתפיס בעת המיתה גם לבנותיו </w:t>
      </w:r>
      <w:r>
        <w:rPr>
          <w:rFonts w:cs="Arial" w:hint="cs"/>
          <w:rtl/>
        </w:rPr>
        <w:t>ד</w:t>
      </w:r>
      <w:r w:rsidRPr="00910145">
        <w:rPr>
          <w:rFonts w:cs="Arial"/>
          <w:rtl/>
        </w:rPr>
        <w:t>ניח</w:t>
      </w:r>
      <w:r>
        <w:rPr>
          <w:rFonts w:cs="Arial" w:hint="cs"/>
          <w:rtl/>
        </w:rPr>
        <w:t>'</w:t>
      </w:r>
      <w:r w:rsidRPr="00910145">
        <w:rPr>
          <w:rFonts w:cs="Arial"/>
          <w:rtl/>
        </w:rPr>
        <w:t xml:space="preserve"> ליה בהרווחה</w:t>
      </w:r>
      <w:r>
        <w:rPr>
          <w:rFonts w:cs="Arial" w:hint="cs"/>
          <w:rtl/>
        </w:rPr>
        <w:t>.</w:t>
      </w:r>
      <w:r w:rsidRPr="00910145">
        <w:rPr>
          <w:rFonts w:cs="Arial"/>
          <w:rtl/>
        </w:rPr>
        <w:t xml:space="preserve"> וכן הוא בר"ן שם</w:t>
      </w:r>
      <w:r>
        <w:rPr>
          <w:rFonts w:cs="Arial" w:hint="cs"/>
          <w:rtl/>
        </w:rPr>
        <w:t>.</w:t>
      </w:r>
      <w:r w:rsidRPr="00910145">
        <w:rPr>
          <w:rFonts w:cs="Arial"/>
          <w:rtl/>
        </w:rPr>
        <w:t xml:space="preserve"> לפ"ז אפילו מת כשהן קטנות צריכין לישבע אחר שיגדלו</w:t>
      </w:r>
      <w:r>
        <w:rPr>
          <w:rFonts w:cs="Arial" w:hint="cs"/>
          <w:rtl/>
        </w:rPr>
        <w:t>.</w:t>
      </w:r>
      <w:r w:rsidRPr="00910145">
        <w:rPr>
          <w:rFonts w:cs="Arial"/>
          <w:rtl/>
        </w:rPr>
        <w:t xml:space="preserve"> אע</w:t>
      </w:r>
      <w:r>
        <w:rPr>
          <w:rFonts w:cs="Arial" w:hint="cs"/>
          <w:rtl/>
        </w:rPr>
        <w:t>"</w:t>
      </w:r>
      <w:r w:rsidRPr="00910145">
        <w:rPr>
          <w:rFonts w:cs="Arial"/>
          <w:rtl/>
        </w:rPr>
        <w:t>ג שכתבתי בסמוך בודאי מתפיס צררי היינו לענין אם באתה לגבות מן משועבדים</w:t>
      </w:r>
      <w:r>
        <w:rPr>
          <w:rFonts w:cs="Arial" w:hint="cs"/>
          <w:rtl/>
        </w:rPr>
        <w:t>,</w:t>
      </w:r>
      <w:r w:rsidRPr="00910145">
        <w:rPr>
          <w:rFonts w:cs="Arial"/>
          <w:rtl/>
        </w:rPr>
        <w:t xml:space="preserve"> אבל מב</w:t>
      </w:r>
      <w:r>
        <w:rPr>
          <w:rFonts w:cs="Arial" w:hint="cs"/>
          <w:rtl/>
        </w:rPr>
        <w:t>ני חורין</w:t>
      </w:r>
      <w:r w:rsidRPr="00910145">
        <w:rPr>
          <w:rFonts w:cs="Arial"/>
          <w:rtl/>
        </w:rPr>
        <w:t xml:space="preserve"> ניזונית</w:t>
      </w:r>
      <w:r>
        <w:rPr>
          <w:rFonts w:cs="Arial" w:hint="cs"/>
          <w:rtl/>
        </w:rPr>
        <w:t>.</w:t>
      </w:r>
      <w:r w:rsidRPr="00910145">
        <w:rPr>
          <w:rFonts w:cs="Arial"/>
          <w:rtl/>
        </w:rPr>
        <w:t xml:space="preserve"> מ"מ לענין שבועה לפי תירוצים אלו </w:t>
      </w:r>
      <w:r>
        <w:rPr>
          <w:rFonts w:cs="Arial" w:hint="cs"/>
          <w:rtl/>
        </w:rPr>
        <w:t>ד</w:t>
      </w:r>
      <w:r w:rsidRPr="00910145">
        <w:rPr>
          <w:rFonts w:cs="Arial"/>
          <w:rtl/>
        </w:rPr>
        <w:t>חיישי' לצררי אפי' לענין בני חורין צריכה שבועה</w:t>
      </w:r>
      <w:r>
        <w:rPr>
          <w:rFonts w:cs="Arial" w:hint="cs"/>
          <w:rtl/>
        </w:rPr>
        <w:t>.</w:t>
      </w:r>
      <w:r w:rsidRPr="00910145">
        <w:rPr>
          <w:rFonts w:cs="Arial"/>
          <w:rtl/>
        </w:rPr>
        <w:t xml:space="preserve"> מיהו בתו' אלו י"ל לענין ב"ח לא חיישינן לצררי</w:t>
      </w:r>
      <w:r>
        <w:rPr>
          <w:rFonts w:cs="Arial" w:hint="cs"/>
          <w:rtl/>
        </w:rPr>
        <w:t>,</w:t>
      </w:r>
      <w:r w:rsidRPr="00910145">
        <w:rPr>
          <w:rFonts w:cs="Arial"/>
          <w:rtl/>
        </w:rPr>
        <w:t xml:space="preserve"> וכל דבריהם שם איירי לענין משועבדי'</w:t>
      </w:r>
      <w:r>
        <w:rPr>
          <w:rFonts w:cs="Arial" w:hint="cs"/>
          <w:rtl/>
        </w:rPr>
        <w:t>.</w:t>
      </w:r>
      <w:r w:rsidRPr="00910145">
        <w:rPr>
          <w:rFonts w:cs="Arial"/>
          <w:rtl/>
        </w:rPr>
        <w:t xml:space="preserve"> אבל בתוס' פ' הניזקין משמע כמ"ש </w:t>
      </w:r>
      <w:r>
        <w:rPr>
          <w:rFonts w:cs="Arial" w:hint="cs"/>
          <w:rtl/>
        </w:rPr>
        <w:t>ד</w:t>
      </w:r>
      <w:r w:rsidRPr="00910145">
        <w:rPr>
          <w:rFonts w:cs="Arial"/>
          <w:rtl/>
        </w:rPr>
        <w:t>אפי' לענין ב"ח חיישינן לצררי וצריכה שבועה</w:t>
      </w:r>
      <w:r>
        <w:rPr>
          <w:rFonts w:cs="Arial" w:hint="cs"/>
          <w:rtl/>
        </w:rPr>
        <w:t>, ב"ש (סקט"ו).</w:t>
      </w:r>
    </w:p>
  </w:footnote>
  <w:footnote w:id="2883">
    <w:p w14:paraId="611EDA43" w14:textId="77777777" w:rsidR="00DF1FC7" w:rsidRDefault="00DF1FC7" w:rsidP="002E5BAD">
      <w:pPr>
        <w:pStyle w:val="a5"/>
      </w:pPr>
      <w:r>
        <w:rPr>
          <w:rStyle w:val="a7"/>
        </w:rPr>
        <w:footnoteRef/>
      </w:r>
      <w:r>
        <w:rPr>
          <w:rtl/>
        </w:rPr>
        <w:t xml:space="preserve"> </w:t>
      </w:r>
      <w:r w:rsidRPr="00B5620B">
        <w:rPr>
          <w:rFonts w:cs="Arial"/>
          <w:rtl/>
        </w:rPr>
        <w:t>והוא לא פי' דבנים יורשין דקאמר כתובת בנין דיכרין היא וסבורים שסתם ירושה קאמר שאין הבנים יורשין מטלטלין</w:t>
      </w:r>
      <w:r>
        <w:rPr>
          <w:rFonts w:cs="Arial" w:hint="cs"/>
          <w:rtl/>
        </w:rPr>
        <w:t>, רש"י.</w:t>
      </w:r>
    </w:p>
  </w:footnote>
  <w:footnote w:id="2884">
    <w:p w14:paraId="77A83772" w14:textId="77777777" w:rsidR="00DF1FC7" w:rsidRDefault="00DF1FC7" w:rsidP="002E5BAD">
      <w:pPr>
        <w:pStyle w:val="a5"/>
      </w:pPr>
      <w:r>
        <w:rPr>
          <w:rStyle w:val="a7"/>
        </w:rPr>
        <w:footnoteRef/>
      </w:r>
      <w:r>
        <w:rPr>
          <w:rtl/>
        </w:rPr>
        <w:t xml:space="preserve"> </w:t>
      </w:r>
      <w:r w:rsidRPr="00B5620B">
        <w:rPr>
          <w:rFonts w:cs="Arial"/>
          <w:rtl/>
        </w:rPr>
        <w:t>לפי ששתי תקנות הללו שתקנו חכמים בתנאי כתובה לומדות זו מזו ובכתובת בנין דכרין תנן בפרק מי שהיה נשוי (לקמן צא</w:t>
      </w:r>
      <w:r>
        <w:rPr>
          <w:rFonts w:cs="Arial" w:hint="cs"/>
          <w:rtl/>
        </w:rPr>
        <w:t>.</w:t>
      </w:r>
      <w:r w:rsidRPr="00B5620B">
        <w:rPr>
          <w:rFonts w:cs="Arial"/>
          <w:rtl/>
        </w:rPr>
        <w:t>) דאין נגבית מן המטלטלין</w:t>
      </w:r>
      <w:r>
        <w:rPr>
          <w:rFonts w:cs="Arial" w:hint="cs"/>
          <w:rtl/>
        </w:rPr>
        <w:t>..., רש"י.</w:t>
      </w:r>
    </w:p>
  </w:footnote>
  <w:footnote w:id="2885">
    <w:p w14:paraId="0B63FAF7" w14:textId="77777777" w:rsidR="00DF1FC7" w:rsidRDefault="00DF1FC7" w:rsidP="002E5BAD">
      <w:pPr>
        <w:pStyle w:val="a5"/>
      </w:pPr>
      <w:r>
        <w:rPr>
          <w:rStyle w:val="a7"/>
        </w:rPr>
        <w:footnoteRef/>
      </w:r>
      <w:r>
        <w:rPr>
          <w:rtl/>
        </w:rPr>
        <w:t xml:space="preserve"> </w:t>
      </w:r>
      <w:r w:rsidRPr="00B5620B">
        <w:rPr>
          <w:rFonts w:cs="Arial"/>
          <w:rtl/>
        </w:rPr>
        <w:t>שאין ללמוד מזון בנות מירושת בנים אלא מירושת כתובת בנין דכרין שבאה מכח תנאי כתובה כמותה</w:t>
      </w:r>
      <w:r>
        <w:rPr>
          <w:rFonts w:cs="Arial" w:hint="cs"/>
          <w:rtl/>
        </w:rPr>
        <w:t>, רש"י.</w:t>
      </w:r>
    </w:p>
  </w:footnote>
  <w:footnote w:id="2886">
    <w:p w14:paraId="159F9499" w14:textId="77777777" w:rsidR="00DF1FC7" w:rsidRDefault="00DF1FC7" w:rsidP="002E5BAD">
      <w:pPr>
        <w:pStyle w:val="a5"/>
        <w:rPr>
          <w:rtl/>
        </w:rPr>
      </w:pPr>
      <w:r>
        <w:rPr>
          <w:rStyle w:val="a7"/>
        </w:rPr>
        <w:footnoteRef/>
      </w:r>
      <w:r>
        <w:rPr>
          <w:rtl/>
        </w:rPr>
        <w:t xml:space="preserve"> </w:t>
      </w:r>
      <w:r w:rsidRPr="00B5620B">
        <w:rPr>
          <w:rFonts w:cs="Arial"/>
          <w:rtl/>
        </w:rPr>
        <w:t>לזון מן המטלטלין</w:t>
      </w:r>
      <w:r>
        <w:rPr>
          <w:rFonts w:hint="cs"/>
          <w:rtl/>
        </w:rPr>
        <w:t>, רש"י.</w:t>
      </w:r>
    </w:p>
  </w:footnote>
  <w:footnote w:id="2887">
    <w:p w14:paraId="26147445" w14:textId="77777777" w:rsidR="00DF1FC7" w:rsidRDefault="00DF1FC7" w:rsidP="002E5BAD">
      <w:pPr>
        <w:pStyle w:val="a5"/>
        <w:rPr>
          <w:rtl/>
        </w:rPr>
      </w:pPr>
      <w:r>
        <w:rPr>
          <w:rStyle w:val="a7"/>
        </w:rPr>
        <w:footnoteRef/>
      </w:r>
      <w:r>
        <w:rPr>
          <w:rtl/>
        </w:rPr>
        <w:t xml:space="preserve"> </w:t>
      </w:r>
      <w:r>
        <w:rPr>
          <w:rFonts w:cs="Arial"/>
          <w:rtl/>
        </w:rPr>
        <w:t>ו</w:t>
      </w:r>
      <w:r>
        <w:rPr>
          <w:rFonts w:cs="Arial" w:hint="cs"/>
          <w:rtl/>
        </w:rPr>
        <w:t>כתב הב"י דכן איתא ב</w:t>
      </w:r>
      <w:r>
        <w:rPr>
          <w:rFonts w:cs="Arial"/>
          <w:rtl/>
        </w:rPr>
        <w:t>פרק הניזקין (גיטין מח:)</w:t>
      </w:r>
      <w:r>
        <w:rPr>
          <w:rFonts w:hint="cs"/>
          <w:rtl/>
        </w:rPr>
        <w:t>. לא מצאתי היכן.</w:t>
      </w:r>
    </w:p>
  </w:footnote>
  <w:footnote w:id="2888">
    <w:p w14:paraId="79BD47DD" w14:textId="77777777" w:rsidR="00DF1FC7" w:rsidRDefault="00DF1FC7" w:rsidP="002E5BAD">
      <w:pPr>
        <w:pStyle w:val="a5"/>
        <w:rPr>
          <w:rtl/>
        </w:rPr>
      </w:pPr>
      <w:r>
        <w:rPr>
          <w:rStyle w:val="a7"/>
        </w:rPr>
        <w:footnoteRef/>
      </w:r>
      <w:r>
        <w:rPr>
          <w:rtl/>
        </w:rPr>
        <w:t xml:space="preserve"> </w:t>
      </w:r>
      <w:r w:rsidRPr="004206BB">
        <w:rPr>
          <w:rFonts w:cs="Arial"/>
          <w:rtl/>
        </w:rPr>
        <w:t>שלח לו אגרת שלומים ותלה שאלה זו בין השיטים</w:t>
      </w:r>
      <w:r>
        <w:rPr>
          <w:rFonts w:hint="cs"/>
          <w:rtl/>
        </w:rPr>
        <w:t>, רש"י.</w:t>
      </w:r>
    </w:p>
  </w:footnote>
  <w:footnote w:id="2889">
    <w:p w14:paraId="6D7AF074" w14:textId="77777777" w:rsidR="00DF1FC7" w:rsidRDefault="00DF1FC7" w:rsidP="002E5BAD">
      <w:pPr>
        <w:pStyle w:val="a5"/>
      </w:pPr>
      <w:r>
        <w:rPr>
          <w:rStyle w:val="a7"/>
        </w:rPr>
        <w:footnoteRef/>
      </w:r>
      <w:r>
        <w:rPr>
          <w:rtl/>
        </w:rPr>
        <w:t xml:space="preserve"> </w:t>
      </w:r>
      <w:r w:rsidRPr="004206BB">
        <w:rPr>
          <w:rFonts w:cs="Arial"/>
          <w:rtl/>
        </w:rPr>
        <w:t>דרבי כשבאת שאלה זו לפניו</w:t>
      </w:r>
      <w:r>
        <w:rPr>
          <w:rFonts w:cs="Arial" w:hint="cs"/>
          <w:rtl/>
        </w:rPr>
        <w:t>, רש"י.</w:t>
      </w:r>
    </w:p>
  </w:footnote>
  <w:footnote w:id="2890">
    <w:p w14:paraId="2067860F" w14:textId="77777777" w:rsidR="00DF1FC7" w:rsidRDefault="00DF1FC7" w:rsidP="002E5BAD">
      <w:pPr>
        <w:pStyle w:val="a5"/>
      </w:pPr>
      <w:r>
        <w:rPr>
          <w:rStyle w:val="a7"/>
        </w:rPr>
        <w:footnoteRef/>
      </w:r>
      <w:r>
        <w:rPr>
          <w:rtl/>
        </w:rPr>
        <w:t xml:space="preserve"> </w:t>
      </w:r>
      <w:r>
        <w:rPr>
          <w:rFonts w:hint="cs"/>
          <w:rtl/>
        </w:rPr>
        <w:t xml:space="preserve">וז"ל- </w:t>
      </w:r>
      <w:r w:rsidRPr="00BF12BC">
        <w:rPr>
          <w:rFonts w:cs="Arial"/>
          <w:rtl/>
        </w:rPr>
        <w:t>מי שצוה בשעת מיתתו</w:t>
      </w:r>
      <w:r>
        <w:rPr>
          <w:rFonts w:cs="Arial" w:hint="cs"/>
          <w:rtl/>
        </w:rPr>
        <w:t>...</w:t>
      </w:r>
      <w:r w:rsidRPr="00BF12BC">
        <w:rPr>
          <w:rFonts w:cs="Arial"/>
          <w:rtl/>
        </w:rPr>
        <w:t xml:space="preserve"> נתן כל נכסיו במתנה לאחרים</w:t>
      </w:r>
      <w:r>
        <w:rPr>
          <w:rFonts w:cs="Arial" w:hint="cs"/>
          <w:rtl/>
        </w:rPr>
        <w:t>,</w:t>
      </w:r>
      <w:r w:rsidRPr="00BF12BC">
        <w:rPr>
          <w:rFonts w:cs="Arial"/>
          <w:rtl/>
        </w:rPr>
        <w:t xml:space="preserve"> הואיל ומתנת שכיב מרע אינה קונה אלא לאחר מיתה כמו שיתבאר </w:t>
      </w:r>
      <w:r>
        <w:rPr>
          <w:rFonts w:cs="Arial" w:hint="cs"/>
          <w:rtl/>
        </w:rPr>
        <w:t xml:space="preserve">- </w:t>
      </w:r>
      <w:r w:rsidRPr="00BF12BC">
        <w:rPr>
          <w:rFonts w:cs="Arial"/>
          <w:rtl/>
        </w:rPr>
        <w:t>הרי המתנה וחיוב הנכסים בתנאין אלו באין כאחד</w:t>
      </w:r>
      <w:r>
        <w:rPr>
          <w:rFonts w:cs="Arial" w:hint="cs"/>
          <w:rtl/>
        </w:rPr>
        <w:t>,</w:t>
      </w:r>
      <w:r w:rsidRPr="00BF12BC">
        <w:rPr>
          <w:rFonts w:cs="Arial"/>
          <w:rtl/>
        </w:rPr>
        <w:t xml:space="preserve"> ולפיכך אלמנתו ובנותיו ניזונות מנכסיו ובניו יורשים כתובת אמן שמתה בחיי בעלה. </w:t>
      </w:r>
    </w:p>
  </w:footnote>
  <w:footnote w:id="2891">
    <w:p w14:paraId="3E8EA0ED" w14:textId="77777777" w:rsidR="00DF1FC7" w:rsidRDefault="00DF1FC7" w:rsidP="002E5BAD">
      <w:pPr>
        <w:pStyle w:val="a5"/>
      </w:pPr>
      <w:r>
        <w:rPr>
          <w:rStyle w:val="a7"/>
        </w:rPr>
        <w:footnoteRef/>
      </w:r>
      <w:r>
        <w:rPr>
          <w:rtl/>
        </w:rPr>
        <w:t xml:space="preserve"> </w:t>
      </w:r>
      <w:r>
        <w:rPr>
          <w:rFonts w:cs="Arial"/>
          <w:rtl/>
        </w:rPr>
        <w:t>וכתב הרב המגיד</w:t>
      </w:r>
      <w:r>
        <w:rPr>
          <w:rFonts w:cs="Arial" w:hint="cs"/>
          <w:rtl/>
        </w:rPr>
        <w:t xml:space="preserve"> (שם)-</w:t>
      </w:r>
      <w:r>
        <w:rPr>
          <w:rFonts w:cs="Arial"/>
          <w:rtl/>
        </w:rPr>
        <w:t xml:space="preserve"> </w:t>
      </w:r>
      <w:r>
        <w:rPr>
          <w:rFonts w:cs="Arial" w:hint="cs"/>
          <w:rtl/>
        </w:rPr>
        <w:t xml:space="preserve">זה מבואר </w:t>
      </w:r>
      <w:r>
        <w:rPr>
          <w:rFonts w:cs="Arial"/>
          <w:rtl/>
        </w:rPr>
        <w:t>בהלכות בפרק יש נוחלין (רי"ף ב"ב ס:) בארוכה גבי מה שאמרו השתא מיגרע גרעא בירושה דאורייתא אלמנתו נזונת מנכסיו</w:t>
      </w:r>
      <w:r>
        <w:rPr>
          <w:rFonts w:cs="Arial" w:hint="cs"/>
          <w:rtl/>
        </w:rPr>
        <w:t>,</w:t>
      </w:r>
      <w:r>
        <w:rPr>
          <w:rFonts w:cs="Arial"/>
          <w:rtl/>
        </w:rPr>
        <w:t xml:space="preserve"> במתנה דרבנן לא כל שכן</w:t>
      </w:r>
      <w:r>
        <w:rPr>
          <w:rFonts w:cs="Arial" w:hint="cs"/>
          <w:rtl/>
        </w:rPr>
        <w:t>.</w:t>
      </w:r>
      <w:r>
        <w:rPr>
          <w:rFonts w:cs="Arial"/>
          <w:rtl/>
        </w:rPr>
        <w:t xml:space="preserve"> וכבר הסכימו </w:t>
      </w:r>
      <w:r>
        <w:rPr>
          <w:rFonts w:cs="Arial" w:hint="cs"/>
          <w:rtl/>
        </w:rPr>
        <w:t xml:space="preserve">רוב </w:t>
      </w:r>
      <w:r>
        <w:rPr>
          <w:rFonts w:cs="Arial"/>
          <w:rtl/>
        </w:rPr>
        <w:t>האחרונים ז"ל לדברי ההלכות</w:t>
      </w:r>
      <w:r>
        <w:rPr>
          <w:rFonts w:cs="Arial" w:hint="cs"/>
          <w:rtl/>
        </w:rPr>
        <w:t>,</w:t>
      </w:r>
      <w:r>
        <w:rPr>
          <w:rFonts w:cs="Arial"/>
          <w:rtl/>
        </w:rPr>
        <w:t xml:space="preserve"> והם כדברי רבינו</w:t>
      </w:r>
      <w:r>
        <w:rPr>
          <w:rFonts w:cs="Arial" w:hint="cs"/>
          <w:rtl/>
        </w:rPr>
        <w:t>.</w:t>
      </w:r>
      <w:r>
        <w:rPr>
          <w:rFonts w:cs="Arial"/>
          <w:rtl/>
        </w:rPr>
        <w:t xml:space="preserve"> וכן הסכימו הרמב"ן (ב"ב קלג. ד"ה השתא) והרשב"א (שם ד"ה אמר ליה) ז"ל</w:t>
      </w:r>
      <w:r>
        <w:rPr>
          <w:rFonts w:cs="Arial" w:hint="cs"/>
          <w:rtl/>
        </w:rPr>
        <w:t>.</w:t>
      </w:r>
      <w:r>
        <w:rPr>
          <w:rFonts w:cs="Arial"/>
          <w:rtl/>
        </w:rPr>
        <w:t xml:space="preserve"> ושלא כדברי הראב"ד (בהשגות שם)</w:t>
      </w:r>
      <w:r>
        <w:rPr>
          <w:rFonts w:cs="Arial" w:hint="cs"/>
          <w:rtl/>
        </w:rPr>
        <w:t>, ב"י.</w:t>
      </w:r>
    </w:p>
  </w:footnote>
  <w:footnote w:id="2892">
    <w:p w14:paraId="00C075C6" w14:textId="77777777" w:rsidR="00DF1FC7" w:rsidRDefault="00DF1FC7" w:rsidP="002E5BAD">
      <w:pPr>
        <w:pStyle w:val="a5"/>
      </w:pPr>
      <w:r>
        <w:rPr>
          <w:rStyle w:val="a7"/>
        </w:rPr>
        <w:footnoteRef/>
      </w:r>
      <w:r>
        <w:rPr>
          <w:rtl/>
        </w:rPr>
        <w:t xml:space="preserve"> </w:t>
      </w:r>
      <w:r>
        <w:rPr>
          <w:rFonts w:hint="cs"/>
          <w:rtl/>
        </w:rPr>
        <w:t xml:space="preserve">וז"ל- </w:t>
      </w:r>
      <w:r w:rsidRPr="00BF12BC">
        <w:rPr>
          <w:rFonts w:cs="Arial"/>
          <w:rtl/>
        </w:rPr>
        <w:t>א"א רואה אני דעת המחבר הזה דמתנת שכיב מרע אינה כמשועבדין כלל</w:t>
      </w:r>
      <w:r>
        <w:rPr>
          <w:rFonts w:cs="Arial" w:hint="cs"/>
          <w:rtl/>
        </w:rPr>
        <w:t>.</w:t>
      </w:r>
      <w:r w:rsidRPr="00BF12BC">
        <w:rPr>
          <w:rFonts w:cs="Arial"/>
          <w:rtl/>
        </w:rPr>
        <w:t xml:space="preserve"> ואינו כן מכמה ראיות המפורשות בגמרא שאין פנאי לכתבן</w:t>
      </w:r>
      <w:r>
        <w:rPr>
          <w:rFonts w:cs="Arial" w:hint="cs"/>
          <w:rtl/>
        </w:rPr>
        <w:t>.</w:t>
      </w:r>
      <w:r w:rsidRPr="00BF12BC">
        <w:rPr>
          <w:rFonts w:cs="Arial"/>
          <w:rtl/>
        </w:rPr>
        <w:t xml:space="preserve"> אבל למזונות אלמנתו כיון דמחיים תפיסא לה לא פקע שיעבודה</w:t>
      </w:r>
      <w:r>
        <w:rPr>
          <w:rFonts w:cs="Arial" w:hint="cs"/>
          <w:rtl/>
        </w:rPr>
        <w:t>.</w:t>
      </w:r>
      <w:r w:rsidRPr="00BF12BC">
        <w:rPr>
          <w:rFonts w:cs="Arial"/>
          <w:rtl/>
        </w:rPr>
        <w:t xml:space="preserve"> אבל לגבי מזון הבנות וכל שכן לכתובת בנין דכרין כמשועבדין נינהו ופקע שיעבודייהו</w:t>
      </w:r>
      <w:r>
        <w:rPr>
          <w:rFonts w:cs="Arial" w:hint="cs"/>
          <w:rtl/>
        </w:rPr>
        <w:t>.</w:t>
      </w:r>
    </w:p>
  </w:footnote>
  <w:footnote w:id="2893">
    <w:p w14:paraId="7272DFF4" w14:textId="77777777" w:rsidR="00DF1FC7" w:rsidRDefault="00DF1FC7" w:rsidP="002E5BAD">
      <w:pPr>
        <w:pStyle w:val="a5"/>
      </w:pPr>
      <w:r>
        <w:rPr>
          <w:rStyle w:val="a7"/>
        </w:rPr>
        <w:footnoteRef/>
      </w:r>
      <w:r>
        <w:rPr>
          <w:rtl/>
        </w:rPr>
        <w:t xml:space="preserve"> </w:t>
      </w:r>
      <w:r w:rsidRPr="004206BB">
        <w:rPr>
          <w:rFonts w:cs="Arial"/>
          <w:rtl/>
        </w:rPr>
        <w:t>עיין דינים אלו בסי' צ"ג</w:t>
      </w:r>
      <w:r>
        <w:rPr>
          <w:rFonts w:cs="Arial" w:hint="cs"/>
          <w:rtl/>
        </w:rPr>
        <w:t>.</w:t>
      </w:r>
      <w:r w:rsidRPr="004206BB">
        <w:rPr>
          <w:rFonts w:cs="Arial"/>
          <w:rtl/>
        </w:rPr>
        <w:t xml:space="preserve"> וכתובת האשה קודמת למזון בנות</w:t>
      </w:r>
      <w:r>
        <w:rPr>
          <w:rFonts w:cs="Arial" w:hint="cs"/>
          <w:rtl/>
        </w:rPr>
        <w:t>,</w:t>
      </w:r>
      <w:r w:rsidRPr="004206BB">
        <w:rPr>
          <w:rFonts w:cs="Arial"/>
          <w:rtl/>
        </w:rPr>
        <w:t xml:space="preserve"> תשו' רמב"ן</w:t>
      </w:r>
      <w:r>
        <w:rPr>
          <w:rFonts w:cs="Arial" w:hint="cs"/>
          <w:rtl/>
        </w:rPr>
        <w:t>,</w:t>
      </w:r>
      <w:r w:rsidRPr="004206BB">
        <w:rPr>
          <w:rFonts w:cs="Arial"/>
          <w:rtl/>
        </w:rPr>
        <w:t xml:space="preserve"> ואפי' אם ליכא אלא מטלטלין דל"ש קדימ</w:t>
      </w:r>
      <w:r>
        <w:rPr>
          <w:rFonts w:cs="Arial" w:hint="cs"/>
          <w:rtl/>
        </w:rPr>
        <w:t>ה,</w:t>
      </w:r>
      <w:r w:rsidRPr="004206BB">
        <w:rPr>
          <w:rFonts w:cs="Arial"/>
          <w:rtl/>
        </w:rPr>
        <w:t xml:space="preserve"> מ"מ כתובה קודמת דתקנות הגאונים כעין דאוריי' תקנו</w:t>
      </w:r>
      <w:r>
        <w:rPr>
          <w:rFonts w:cs="Arial" w:hint="cs"/>
          <w:rtl/>
        </w:rPr>
        <w:t>,</w:t>
      </w:r>
      <w:r w:rsidRPr="004206BB">
        <w:rPr>
          <w:rFonts w:cs="Arial"/>
          <w:rtl/>
        </w:rPr>
        <w:t xml:space="preserve"> ר"ן ס"פ מציא' האשה</w:t>
      </w:r>
      <w:r>
        <w:rPr>
          <w:rFonts w:cs="Arial" w:hint="cs"/>
          <w:rtl/>
        </w:rPr>
        <w:t>, ב"ש (סקט"ז).</w:t>
      </w:r>
    </w:p>
  </w:footnote>
  <w:footnote w:id="2894">
    <w:p w14:paraId="3C06883B" w14:textId="77777777" w:rsidR="00DF1FC7" w:rsidRDefault="00DF1FC7" w:rsidP="002E5BAD">
      <w:pPr>
        <w:pStyle w:val="a5"/>
        <w:rPr>
          <w:rtl/>
        </w:rPr>
      </w:pPr>
      <w:r>
        <w:rPr>
          <w:rStyle w:val="a7"/>
        </w:rPr>
        <w:footnoteRef/>
      </w:r>
      <w:r>
        <w:rPr>
          <w:rtl/>
        </w:rPr>
        <w:t xml:space="preserve"> </w:t>
      </w:r>
      <w:r w:rsidRPr="004206BB">
        <w:rPr>
          <w:rFonts w:cs="Arial"/>
          <w:rtl/>
        </w:rPr>
        <w:t>אבל אם נתן במתנ</w:t>
      </w:r>
      <w:r>
        <w:rPr>
          <w:rFonts w:cs="Arial" w:hint="cs"/>
          <w:rtl/>
        </w:rPr>
        <w:t>ת</w:t>
      </w:r>
      <w:r w:rsidRPr="004206BB">
        <w:rPr>
          <w:rFonts w:cs="Arial"/>
          <w:rtl/>
        </w:rPr>
        <w:t xml:space="preserve"> ש</w:t>
      </w:r>
      <w:r>
        <w:rPr>
          <w:rFonts w:cs="Arial" w:hint="cs"/>
          <w:rtl/>
        </w:rPr>
        <w:t>כ</w:t>
      </w:r>
      <w:r w:rsidRPr="004206BB">
        <w:rPr>
          <w:rFonts w:cs="Arial"/>
          <w:rtl/>
        </w:rPr>
        <w:t>"מ כבר נתבאר לעיל סי</w:t>
      </w:r>
      <w:r>
        <w:rPr>
          <w:rFonts w:cs="Arial" w:hint="cs"/>
          <w:rtl/>
        </w:rPr>
        <w:t>'</w:t>
      </w:r>
      <w:r w:rsidRPr="004206BB">
        <w:rPr>
          <w:rFonts w:cs="Arial"/>
          <w:rtl/>
        </w:rPr>
        <w:t xml:space="preserve"> צג </w:t>
      </w:r>
      <w:r>
        <w:rPr>
          <w:rFonts w:cs="Arial" w:hint="cs"/>
          <w:rtl/>
        </w:rPr>
        <w:t>(</w:t>
      </w:r>
      <w:r w:rsidRPr="004206BB">
        <w:rPr>
          <w:rFonts w:cs="Arial"/>
          <w:rtl/>
        </w:rPr>
        <w:t>ס</w:t>
      </w:r>
      <w:r>
        <w:rPr>
          <w:rFonts w:cs="Arial" w:hint="cs"/>
          <w:rtl/>
        </w:rPr>
        <w:t>"</w:t>
      </w:r>
      <w:r w:rsidRPr="004206BB">
        <w:rPr>
          <w:rFonts w:cs="Arial"/>
          <w:rtl/>
        </w:rPr>
        <w:t>כ</w:t>
      </w:r>
      <w:r>
        <w:rPr>
          <w:rFonts w:cs="Arial" w:hint="cs"/>
          <w:rtl/>
        </w:rPr>
        <w:t>)</w:t>
      </w:r>
      <w:r w:rsidRPr="004206BB">
        <w:rPr>
          <w:rFonts w:cs="Arial"/>
          <w:rtl/>
        </w:rPr>
        <w:t xml:space="preserve"> ובטור בסי' זה שהאשה והבנו</w:t>
      </w:r>
      <w:r>
        <w:rPr>
          <w:rFonts w:cs="Arial" w:hint="cs"/>
          <w:rtl/>
        </w:rPr>
        <w:t>ת</w:t>
      </w:r>
      <w:r w:rsidRPr="004206BB">
        <w:rPr>
          <w:rFonts w:cs="Arial"/>
          <w:rtl/>
        </w:rPr>
        <w:t xml:space="preserve"> ניזונ</w:t>
      </w:r>
      <w:r>
        <w:rPr>
          <w:rFonts w:cs="Arial" w:hint="cs"/>
          <w:rtl/>
        </w:rPr>
        <w:t>ות</w:t>
      </w:r>
      <w:r w:rsidRPr="004206BB">
        <w:rPr>
          <w:rFonts w:cs="Arial"/>
          <w:rtl/>
        </w:rPr>
        <w:t xml:space="preserve"> מהם אם אין כאן בני חורין</w:t>
      </w:r>
      <w:r>
        <w:rPr>
          <w:rFonts w:cs="Arial" w:hint="cs"/>
          <w:rtl/>
        </w:rPr>
        <w:t>.</w:t>
      </w:r>
      <w:r w:rsidRPr="004206BB">
        <w:rPr>
          <w:rFonts w:cs="Arial"/>
          <w:rtl/>
        </w:rPr>
        <w:t xml:space="preserve"> וי"א דאם נתן מטלטלין במתנת ש</w:t>
      </w:r>
      <w:r>
        <w:rPr>
          <w:rFonts w:cs="Arial" w:hint="cs"/>
          <w:rtl/>
        </w:rPr>
        <w:t>כ</w:t>
      </w:r>
      <w:r w:rsidRPr="004206BB">
        <w:rPr>
          <w:rFonts w:cs="Arial"/>
          <w:rtl/>
        </w:rPr>
        <w:t>"מ לאחרים אין האשה ניזונ</w:t>
      </w:r>
      <w:r>
        <w:rPr>
          <w:rFonts w:cs="Arial" w:hint="cs"/>
          <w:rtl/>
        </w:rPr>
        <w:t>ת</w:t>
      </w:r>
      <w:r w:rsidRPr="004206BB">
        <w:rPr>
          <w:rFonts w:cs="Arial"/>
          <w:rtl/>
        </w:rPr>
        <w:t xml:space="preserve"> מהן</w:t>
      </w:r>
      <w:r>
        <w:rPr>
          <w:rFonts w:cs="Arial" w:hint="cs"/>
          <w:rtl/>
        </w:rPr>
        <w:t>.</w:t>
      </w:r>
      <w:r w:rsidRPr="004206BB">
        <w:rPr>
          <w:rFonts w:cs="Arial"/>
          <w:rtl/>
        </w:rPr>
        <w:t xml:space="preserve"> ולבניו י"א אפילו במתנ</w:t>
      </w:r>
      <w:r>
        <w:rPr>
          <w:rFonts w:cs="Arial" w:hint="cs"/>
          <w:rtl/>
        </w:rPr>
        <w:t>ת</w:t>
      </w:r>
      <w:r w:rsidRPr="004206BB">
        <w:rPr>
          <w:rFonts w:cs="Arial"/>
          <w:rtl/>
        </w:rPr>
        <w:t xml:space="preserve"> בריא הוי כירושה</w:t>
      </w:r>
      <w:r>
        <w:rPr>
          <w:rFonts w:cs="Arial" w:hint="cs"/>
          <w:rtl/>
        </w:rPr>
        <w:t>,</w:t>
      </w:r>
      <w:r w:rsidRPr="004206BB">
        <w:rPr>
          <w:rFonts w:cs="Arial"/>
          <w:rtl/>
        </w:rPr>
        <w:t xml:space="preserve"> עיין מ"ש שם</w:t>
      </w:r>
      <w:r>
        <w:rPr>
          <w:rFonts w:cs="Arial" w:hint="cs"/>
          <w:rtl/>
        </w:rPr>
        <w:t>,</w:t>
      </w:r>
      <w:r w:rsidRPr="004206BB">
        <w:rPr>
          <w:rFonts w:cs="Arial"/>
          <w:rtl/>
        </w:rPr>
        <w:t xml:space="preserve"> ועיין בסי' קי"א סעיף י"ד</w:t>
      </w:r>
      <w:r>
        <w:rPr>
          <w:rFonts w:hint="cs"/>
          <w:rtl/>
        </w:rPr>
        <w:t>, ח"מ (סקי"ז).</w:t>
      </w:r>
    </w:p>
  </w:footnote>
  <w:footnote w:id="2895">
    <w:p w14:paraId="61A516B9" w14:textId="77777777" w:rsidR="00DF1FC7" w:rsidRDefault="00DF1FC7" w:rsidP="002E5BAD">
      <w:pPr>
        <w:pStyle w:val="a5"/>
        <w:rPr>
          <w:rtl/>
        </w:rPr>
      </w:pPr>
      <w:r>
        <w:rPr>
          <w:rStyle w:val="a7"/>
        </w:rPr>
        <w:footnoteRef/>
      </w:r>
      <w:r>
        <w:rPr>
          <w:rtl/>
        </w:rPr>
        <w:t xml:space="preserve"> </w:t>
      </w:r>
      <w:r w:rsidRPr="004206BB">
        <w:rPr>
          <w:rFonts w:cs="Arial"/>
          <w:rtl/>
        </w:rPr>
        <w:t>ואם יש לה מזונו' מן הדמים שקבלו בעד הקרקע נתבאר לעיל סי' צ"ג סעיף כ"א לקמן סעיף י"ד</w:t>
      </w:r>
      <w:r>
        <w:rPr>
          <w:rFonts w:hint="cs"/>
          <w:rtl/>
        </w:rPr>
        <w:t>, ח"מ (סקי"ח).</w:t>
      </w:r>
    </w:p>
  </w:footnote>
  <w:footnote w:id="2896">
    <w:p w14:paraId="1565A880" w14:textId="77777777" w:rsidR="00DF1FC7" w:rsidRDefault="00DF1FC7" w:rsidP="002E5BAD">
      <w:pPr>
        <w:pStyle w:val="a5"/>
      </w:pPr>
      <w:r>
        <w:rPr>
          <w:rStyle w:val="a7"/>
        </w:rPr>
        <w:footnoteRef/>
      </w:r>
      <w:r>
        <w:rPr>
          <w:rtl/>
        </w:rPr>
        <w:t xml:space="preserve"> </w:t>
      </w:r>
      <w:r w:rsidRPr="004206BB">
        <w:rPr>
          <w:rFonts w:cs="Arial"/>
          <w:rtl/>
        </w:rPr>
        <w:t>עיין בס' ישועות יעקב סק"ה שכ' בשם הרב בעל פ"י דדוקא משכנו להדיא ולא בסתם הלואה ע"ש</w:t>
      </w:r>
      <w:r>
        <w:rPr>
          <w:rFonts w:cs="Arial" w:hint="cs"/>
          <w:rtl/>
        </w:rPr>
        <w:t>, פת"ש (סק"ג).</w:t>
      </w:r>
    </w:p>
  </w:footnote>
  <w:footnote w:id="2897">
    <w:p w14:paraId="77FE028D" w14:textId="77777777" w:rsidR="00DF1FC7" w:rsidRDefault="00DF1FC7" w:rsidP="002E5BAD">
      <w:pPr>
        <w:pStyle w:val="a5"/>
        <w:rPr>
          <w:rtl/>
        </w:rPr>
      </w:pPr>
      <w:r>
        <w:rPr>
          <w:rStyle w:val="a7"/>
        </w:rPr>
        <w:footnoteRef/>
      </w:r>
      <w:r>
        <w:rPr>
          <w:rtl/>
        </w:rPr>
        <w:t xml:space="preserve"> </w:t>
      </w:r>
      <w:r w:rsidRPr="00A9731F">
        <w:rPr>
          <w:rFonts w:cs="Arial"/>
          <w:rtl/>
        </w:rPr>
        <w:t>האם לאחר שגירשה הראשון</w:t>
      </w:r>
      <w:r>
        <w:rPr>
          <w:rFonts w:hint="cs"/>
          <w:rtl/>
        </w:rPr>
        <w:t>, רש"י.</w:t>
      </w:r>
    </w:p>
  </w:footnote>
  <w:footnote w:id="2898">
    <w:p w14:paraId="66B4C312" w14:textId="77777777" w:rsidR="00DF1FC7" w:rsidRDefault="00DF1FC7" w:rsidP="002E5BAD">
      <w:pPr>
        <w:pStyle w:val="a5"/>
        <w:rPr>
          <w:rtl/>
        </w:rPr>
      </w:pPr>
      <w:r>
        <w:rPr>
          <w:rStyle w:val="a7"/>
        </w:rPr>
        <w:footnoteRef/>
      </w:r>
      <w:r>
        <w:rPr>
          <w:rtl/>
        </w:rPr>
        <w:t xml:space="preserve"> </w:t>
      </w:r>
      <w:r w:rsidRPr="006740EA">
        <w:rPr>
          <w:rFonts w:cs="Arial"/>
          <w:rtl/>
        </w:rPr>
        <w:t>ולא ממשועבדים דתנן (גיטין מח:) אין מוציאין לאכילת פירות ולשבח קרקעות ולמזון האשה והבנות מנכסים משועבדים</w:t>
      </w:r>
      <w:r>
        <w:rPr>
          <w:rFonts w:hint="cs"/>
          <w:rtl/>
        </w:rPr>
        <w:t>, רש"י.</w:t>
      </w:r>
    </w:p>
  </w:footnote>
  <w:footnote w:id="2899">
    <w:p w14:paraId="3FAC8073" w14:textId="77777777" w:rsidR="00DF1FC7" w:rsidRDefault="00DF1FC7" w:rsidP="002E5BAD">
      <w:pPr>
        <w:pStyle w:val="a5"/>
      </w:pPr>
      <w:r>
        <w:rPr>
          <w:rStyle w:val="a7"/>
        </w:rPr>
        <w:footnoteRef/>
      </w:r>
      <w:r>
        <w:rPr>
          <w:rtl/>
        </w:rPr>
        <w:t xml:space="preserve"> </w:t>
      </w:r>
      <w:r w:rsidRPr="00A9731F">
        <w:rPr>
          <w:rFonts w:cs="Arial"/>
          <w:rtl/>
        </w:rPr>
        <w:t>אותה הבת</w:t>
      </w:r>
      <w:r>
        <w:rPr>
          <w:rFonts w:cs="Arial" w:hint="cs"/>
          <w:sz w:val="16"/>
          <w:szCs w:val="16"/>
          <w:rtl/>
        </w:rPr>
        <w:t xml:space="preserve"> {שפסקו לה מזונות חמש שנים}</w:t>
      </w:r>
      <w:r>
        <w:rPr>
          <w:rFonts w:cs="Arial" w:hint="cs"/>
          <w:rtl/>
        </w:rPr>
        <w:t xml:space="preserve">, רש"י. </w:t>
      </w:r>
    </w:p>
  </w:footnote>
  <w:footnote w:id="2900">
    <w:p w14:paraId="57C89FBB" w14:textId="77777777" w:rsidR="00DF1FC7" w:rsidRDefault="00DF1FC7" w:rsidP="002E5BAD">
      <w:pPr>
        <w:pStyle w:val="a5"/>
        <w:rPr>
          <w:rtl/>
        </w:rPr>
      </w:pPr>
      <w:r>
        <w:rPr>
          <w:rStyle w:val="a7"/>
        </w:rPr>
        <w:footnoteRef/>
      </w:r>
      <w:r>
        <w:rPr>
          <w:rtl/>
        </w:rPr>
        <w:t xml:space="preserve"> </w:t>
      </w:r>
      <w:r w:rsidRPr="006339E4">
        <w:rPr>
          <w:rFonts w:cs="Arial"/>
          <w:rtl/>
        </w:rPr>
        <w:t>נתנו חכמים כתיבה לדבר אם באו להחתים עדים בדברים הללו שהן בלא קנין</w:t>
      </w:r>
      <w:r>
        <w:rPr>
          <w:rFonts w:hint="cs"/>
          <w:rtl/>
        </w:rPr>
        <w:t>, רש"י.</w:t>
      </w:r>
    </w:p>
  </w:footnote>
  <w:footnote w:id="2901">
    <w:p w14:paraId="46A4AE9C" w14:textId="77777777" w:rsidR="00DF1FC7" w:rsidRDefault="00DF1FC7" w:rsidP="002E5BAD">
      <w:pPr>
        <w:pStyle w:val="a5"/>
      </w:pPr>
      <w:r>
        <w:rPr>
          <w:rStyle w:val="a7"/>
        </w:rPr>
        <w:footnoteRef/>
      </w:r>
      <w:r>
        <w:rPr>
          <w:rtl/>
        </w:rPr>
        <w:t xml:space="preserve"> </w:t>
      </w:r>
      <w:r w:rsidRPr="006339E4">
        <w:rPr>
          <w:rFonts w:cs="Arial"/>
          <w:rtl/>
        </w:rPr>
        <w:t>דלא ליטרוף ממשעבדי וכיון דליכא קנין לא משתעבדי נכסי</w:t>
      </w:r>
      <w:r>
        <w:rPr>
          <w:rFonts w:cs="Arial" w:hint="cs"/>
          <w:rtl/>
        </w:rPr>
        <w:t>, רש"י.</w:t>
      </w:r>
    </w:p>
  </w:footnote>
  <w:footnote w:id="2902">
    <w:p w14:paraId="36CB832B" w14:textId="77777777" w:rsidR="00DF1FC7" w:rsidRDefault="00DF1FC7" w:rsidP="002E5BAD">
      <w:pPr>
        <w:pStyle w:val="a5"/>
      </w:pPr>
      <w:r>
        <w:rPr>
          <w:rStyle w:val="a7"/>
        </w:rPr>
        <w:footnoteRef/>
      </w:r>
      <w:r>
        <w:rPr>
          <w:rtl/>
        </w:rPr>
        <w:t xml:space="preserve"> </w:t>
      </w:r>
      <w:r w:rsidRPr="006339E4">
        <w:rPr>
          <w:rFonts w:cs="Arial"/>
          <w:rtl/>
        </w:rPr>
        <w:t>ואי לא דנקיטא שטר מי טרפא ממשעבדי</w:t>
      </w:r>
      <w:r>
        <w:rPr>
          <w:rFonts w:cs="Arial" w:hint="cs"/>
          <w:rtl/>
        </w:rPr>
        <w:t>, רש"י.</w:t>
      </w:r>
      <w:r w:rsidRPr="006339E4">
        <w:rPr>
          <w:rtl/>
        </w:rPr>
        <w:t xml:space="preserve"> </w:t>
      </w:r>
      <w:r w:rsidRPr="006339E4">
        <w:rPr>
          <w:rFonts w:cs="Arial"/>
          <w:rtl/>
        </w:rPr>
        <w:t>משמע שפסיקת הבעל לאשה ניתנת להכתב בשטר</w:t>
      </w:r>
      <w:r>
        <w:rPr>
          <w:rFonts w:cs="Arial" w:hint="cs"/>
          <w:rtl/>
        </w:rPr>
        <w:t>.</w:t>
      </w:r>
    </w:p>
  </w:footnote>
  <w:footnote w:id="2903">
    <w:p w14:paraId="3873E30F" w14:textId="77777777" w:rsidR="00DF1FC7" w:rsidRDefault="00DF1FC7" w:rsidP="002E5BAD">
      <w:pPr>
        <w:pStyle w:val="a5"/>
      </w:pPr>
      <w:r>
        <w:rPr>
          <w:rStyle w:val="a7"/>
        </w:rPr>
        <w:footnoteRef/>
      </w:r>
      <w:r>
        <w:rPr>
          <w:rtl/>
        </w:rPr>
        <w:t xml:space="preserve"> </w:t>
      </w:r>
      <w:r w:rsidRPr="006339E4">
        <w:rPr>
          <w:rFonts w:cs="Arial"/>
          <w:rtl/>
        </w:rPr>
        <w:t>של כל בעל ובעל, נמי תהיינה זכאיות לגבות את מזונותיהם מנכסים משועבדים</w:t>
      </w:r>
      <w:r>
        <w:rPr>
          <w:rFonts w:cs="Arial" w:hint="cs"/>
          <w:rtl/>
        </w:rPr>
        <w:t xml:space="preserve"> </w:t>
      </w:r>
      <w:r w:rsidRPr="006339E4">
        <w:rPr>
          <w:rFonts w:cs="Arial" w:hint="cs"/>
          <w:sz w:val="16"/>
          <w:szCs w:val="16"/>
          <w:rtl/>
        </w:rPr>
        <w:t>(חברותא)</w:t>
      </w:r>
      <w:r>
        <w:rPr>
          <w:rFonts w:cs="Arial" w:hint="cs"/>
          <w:rtl/>
        </w:rPr>
        <w:t>.</w:t>
      </w:r>
    </w:p>
  </w:footnote>
  <w:footnote w:id="2904">
    <w:p w14:paraId="50DA9981" w14:textId="77777777" w:rsidR="00DF1FC7" w:rsidRDefault="00DF1FC7" w:rsidP="002E5BAD">
      <w:pPr>
        <w:pStyle w:val="a5"/>
        <w:rPr>
          <w:rtl/>
        </w:rPr>
      </w:pPr>
      <w:r>
        <w:rPr>
          <w:rStyle w:val="a7"/>
        </w:rPr>
        <w:footnoteRef/>
      </w:r>
      <w:r>
        <w:rPr>
          <w:rtl/>
        </w:rPr>
        <w:t xml:space="preserve"> </w:t>
      </w:r>
      <w:r w:rsidRPr="006339E4">
        <w:rPr>
          <w:rFonts w:cs="Arial"/>
          <w:rtl/>
        </w:rPr>
        <w:t>בתמיה וכי דבר פסוק הוא לחכמים שקונין לבת האשה ולא לבנות ששנו סתם במשנה בנותיהן ניזונות מבני חורין והיא ניזונת ממשועבדים</w:t>
      </w:r>
      <w:r>
        <w:rPr>
          <w:rFonts w:hint="cs"/>
          <w:rtl/>
        </w:rPr>
        <w:t>, רש"י.</w:t>
      </w:r>
    </w:p>
  </w:footnote>
  <w:footnote w:id="2905">
    <w:p w14:paraId="6D3FC8A5" w14:textId="77777777" w:rsidR="00DF1FC7" w:rsidRDefault="00DF1FC7" w:rsidP="002E5BAD">
      <w:pPr>
        <w:pStyle w:val="a5"/>
      </w:pPr>
      <w:r>
        <w:rPr>
          <w:rStyle w:val="a7"/>
        </w:rPr>
        <w:footnoteRef/>
      </w:r>
      <w:r>
        <w:rPr>
          <w:rtl/>
        </w:rPr>
        <w:t xml:space="preserve"> </w:t>
      </w:r>
      <w:r w:rsidRPr="004A6EAF">
        <w:rPr>
          <w:rFonts w:cs="Arial"/>
          <w:rtl/>
        </w:rPr>
        <w:t>וכי אי אפשר שיהו אף הבנות בשעת קנין כגון דגרשה ואהדרה וכתב לה התנאים הללו ואפילו הכי תנן סתמא בנותיהן ניזונות מבני חורין ולא ממשועבדים</w:t>
      </w:r>
      <w:r>
        <w:rPr>
          <w:rFonts w:cs="Arial" w:hint="cs"/>
          <w:rtl/>
        </w:rPr>
        <w:t>, רש"י.</w:t>
      </w:r>
    </w:p>
  </w:footnote>
  <w:footnote w:id="2906">
    <w:p w14:paraId="43015987" w14:textId="77777777" w:rsidR="00DF1FC7" w:rsidRDefault="00DF1FC7" w:rsidP="002E5BAD">
      <w:pPr>
        <w:pStyle w:val="a5"/>
        <w:rPr>
          <w:rtl/>
        </w:rPr>
      </w:pPr>
      <w:r>
        <w:rPr>
          <w:rStyle w:val="a7"/>
        </w:rPr>
        <w:footnoteRef/>
      </w:r>
      <w:r>
        <w:rPr>
          <w:rtl/>
        </w:rPr>
        <w:t xml:space="preserve"> </w:t>
      </w:r>
      <w:r>
        <w:rPr>
          <w:rFonts w:hint="cs"/>
          <w:rtl/>
        </w:rPr>
        <w:t>בת אשתו.</w:t>
      </w:r>
    </w:p>
  </w:footnote>
  <w:footnote w:id="2907">
    <w:p w14:paraId="25D465FD" w14:textId="77777777" w:rsidR="00DF1FC7" w:rsidRDefault="00DF1FC7" w:rsidP="002E5BAD">
      <w:pPr>
        <w:pStyle w:val="a5"/>
      </w:pPr>
      <w:r>
        <w:rPr>
          <w:rStyle w:val="a7"/>
        </w:rPr>
        <w:footnoteRef/>
      </w:r>
      <w:r>
        <w:rPr>
          <w:rtl/>
        </w:rPr>
        <w:t xml:space="preserve"> </w:t>
      </w:r>
      <w:r w:rsidRPr="004A6EAF">
        <w:rPr>
          <w:rFonts w:cs="Arial"/>
          <w:rtl/>
        </w:rPr>
        <w:t>בנן נוקבן דיהויין ליכי מינאי כו'</w:t>
      </w:r>
      <w:r>
        <w:rPr>
          <w:rFonts w:cs="Arial" w:hint="cs"/>
          <w:rtl/>
        </w:rPr>
        <w:t>, רש"י.</w:t>
      </w:r>
    </w:p>
  </w:footnote>
  <w:footnote w:id="2908">
    <w:p w14:paraId="60595B7F" w14:textId="77777777" w:rsidR="00DF1FC7" w:rsidRDefault="00DF1FC7" w:rsidP="002E5BAD">
      <w:pPr>
        <w:pStyle w:val="a5"/>
      </w:pPr>
      <w:r>
        <w:rPr>
          <w:rStyle w:val="a7"/>
        </w:rPr>
        <w:footnoteRef/>
      </w:r>
      <w:r>
        <w:rPr>
          <w:rtl/>
        </w:rPr>
        <w:t xml:space="preserve"> </w:t>
      </w:r>
      <w:r>
        <w:rPr>
          <w:rFonts w:hint="cs"/>
          <w:rtl/>
        </w:rPr>
        <w:t>שלו מאשה זו.</w:t>
      </w:r>
    </w:p>
  </w:footnote>
  <w:footnote w:id="2909">
    <w:p w14:paraId="5F180701" w14:textId="77777777" w:rsidR="00DF1FC7" w:rsidRDefault="00DF1FC7" w:rsidP="002E5BAD">
      <w:pPr>
        <w:pStyle w:val="a5"/>
      </w:pPr>
      <w:r>
        <w:rPr>
          <w:rStyle w:val="a7"/>
        </w:rPr>
        <w:footnoteRef/>
      </w:r>
      <w:r>
        <w:rPr>
          <w:rtl/>
        </w:rPr>
        <w:t xml:space="preserve"> </w:t>
      </w:r>
      <w:r w:rsidRPr="004A6EAF">
        <w:rPr>
          <w:rFonts w:cs="Arial"/>
          <w:rtl/>
        </w:rPr>
        <w:t>לפני מותו מסר להם צרורות כספים למזונותיהן</w:t>
      </w:r>
      <w:r>
        <w:rPr>
          <w:rFonts w:cs="Arial" w:hint="cs"/>
          <w:rtl/>
        </w:rPr>
        <w:t>, רש"י</w:t>
      </w:r>
      <w:r>
        <w:rPr>
          <w:rFonts w:hint="cs"/>
          <w:rtl/>
        </w:rPr>
        <w:t>.</w:t>
      </w:r>
    </w:p>
  </w:footnote>
  <w:footnote w:id="2910">
    <w:p w14:paraId="37D19279" w14:textId="77777777" w:rsidR="00DF1FC7" w:rsidRDefault="00DF1FC7" w:rsidP="002E5BAD">
      <w:pPr>
        <w:pStyle w:val="a5"/>
      </w:pPr>
      <w:r>
        <w:rPr>
          <w:rStyle w:val="a7"/>
        </w:rPr>
        <w:footnoteRef/>
      </w:r>
      <w:r>
        <w:rPr>
          <w:rtl/>
        </w:rPr>
        <w:t xml:space="preserve"> </w:t>
      </w:r>
      <w:r>
        <w:rPr>
          <w:rFonts w:hint="cs"/>
          <w:rtl/>
        </w:rPr>
        <w:t xml:space="preserve">עד כאן העתיק הרא"ש בתוספותיו (קב: ד"ה בנות כיון), ואת התירוץ האחרון השמיט. וגם הטור תפס עיקר כתירוץ האחרון שהביא הרא"ש, משמע שלא סבר כתירוץ האחרון של התוס'. </w:t>
      </w:r>
      <w:r w:rsidRPr="00DD27A0">
        <w:rPr>
          <w:rFonts w:hint="cs"/>
          <w:color w:val="FF0000"/>
          <w:rtl/>
        </w:rPr>
        <w:t xml:space="preserve">וצל"ע מדוע, והרי כתבו התוס' שתירוץ זה מיישב כל הקושיות. </w:t>
      </w:r>
    </w:p>
  </w:footnote>
  <w:footnote w:id="2911">
    <w:p w14:paraId="7DECEF04" w14:textId="77777777" w:rsidR="00DF1FC7" w:rsidRDefault="00DF1FC7" w:rsidP="002E5BAD">
      <w:pPr>
        <w:pStyle w:val="a5"/>
        <w:rPr>
          <w:rtl/>
        </w:rPr>
      </w:pPr>
      <w:r>
        <w:rPr>
          <w:rStyle w:val="a7"/>
        </w:rPr>
        <w:footnoteRef/>
      </w:r>
      <w:r>
        <w:rPr>
          <w:rtl/>
        </w:rPr>
        <w:t xml:space="preserve"> </w:t>
      </w:r>
      <w:r w:rsidRPr="008172A3">
        <w:rPr>
          <w:rFonts w:cs="Arial"/>
          <w:rtl/>
        </w:rPr>
        <w:t>דתנאי בית דין הוא ומשניסת לו קול יוצא שהוא משועבד לה דתנן לא כתב לה בנן נוקבין דיהוו ליכי מינאי כו' ואת תהא יתבא בביתי כו' חייב שהוא תנאי ב"ד בכתובות בפרק נערה (נב:)</w:t>
      </w:r>
      <w:r>
        <w:rPr>
          <w:rFonts w:hint="cs"/>
          <w:rtl/>
        </w:rPr>
        <w:t>, רש"י.</w:t>
      </w:r>
    </w:p>
  </w:footnote>
  <w:footnote w:id="2912">
    <w:p w14:paraId="059A5C1A" w14:textId="77777777" w:rsidR="00DF1FC7" w:rsidRDefault="00DF1FC7" w:rsidP="002E5BAD">
      <w:pPr>
        <w:pStyle w:val="a5"/>
      </w:pPr>
      <w:r>
        <w:rPr>
          <w:rStyle w:val="a7"/>
        </w:rPr>
        <w:footnoteRef/>
      </w:r>
      <w:r>
        <w:rPr>
          <w:rtl/>
        </w:rPr>
        <w:t xml:space="preserve"> </w:t>
      </w:r>
      <w:r w:rsidRPr="008172A3">
        <w:rPr>
          <w:rFonts w:cs="Arial"/>
          <w:rtl/>
        </w:rPr>
        <w:t>תנאי ב"ד כך היה שיהו כתובים אצל בני חורין ולא יהו חשובים ככתובים אצל משועבדים לפי שאין לך אדם רוצה ליקח שדה מחבירו אם מזון אשתו ובניו חוזרים עליו עולמית</w:t>
      </w:r>
      <w:r>
        <w:rPr>
          <w:rFonts w:cs="Arial" w:hint="cs"/>
          <w:rtl/>
        </w:rPr>
        <w:t>, רש"י.</w:t>
      </w:r>
    </w:p>
  </w:footnote>
  <w:footnote w:id="2913">
    <w:p w14:paraId="0DCBF770" w14:textId="77777777" w:rsidR="00DF1FC7" w:rsidRDefault="00DF1FC7" w:rsidP="002E5BAD">
      <w:pPr>
        <w:pStyle w:val="a5"/>
        <w:rPr>
          <w:rtl/>
        </w:rPr>
      </w:pPr>
      <w:r>
        <w:rPr>
          <w:rStyle w:val="a7"/>
        </w:rPr>
        <w:footnoteRef/>
      </w:r>
      <w:r>
        <w:rPr>
          <w:rtl/>
        </w:rPr>
        <w:t xml:space="preserve"> </w:t>
      </w:r>
      <w:r w:rsidRPr="006A0A35">
        <w:rPr>
          <w:rFonts w:cs="Arial"/>
          <w:rtl/>
        </w:rPr>
        <w:t>אלמא כיון דקייצי חמש שנים אף על גב דלא כתיבא גביא ממשעבדי כר' חנינא</w:t>
      </w:r>
      <w:r>
        <w:rPr>
          <w:rFonts w:cs="Arial" w:hint="cs"/>
          <w:rtl/>
        </w:rPr>
        <w:t>,</w:t>
      </w:r>
      <w:r w:rsidRPr="006A0A35">
        <w:rPr>
          <w:rFonts w:cs="Arial"/>
          <w:rtl/>
        </w:rPr>
        <w:t xml:space="preserve"> וקשיא לעולא</w:t>
      </w:r>
      <w:r>
        <w:rPr>
          <w:rFonts w:hint="cs"/>
          <w:rtl/>
        </w:rPr>
        <w:t>, רש"י.</w:t>
      </w:r>
    </w:p>
  </w:footnote>
  <w:footnote w:id="2914">
    <w:p w14:paraId="64E03AAF" w14:textId="77777777" w:rsidR="00DF1FC7" w:rsidRPr="00DE298F" w:rsidRDefault="00DF1FC7" w:rsidP="002E5BAD">
      <w:pPr>
        <w:pStyle w:val="a5"/>
        <w:rPr>
          <w:color w:val="FF0000"/>
        </w:rPr>
      </w:pPr>
      <w:r>
        <w:rPr>
          <w:rStyle w:val="a7"/>
        </w:rPr>
        <w:footnoteRef/>
      </w:r>
      <w:r>
        <w:rPr>
          <w:rtl/>
        </w:rPr>
        <w:t xml:space="preserve"> </w:t>
      </w:r>
      <w:r w:rsidRPr="00B345A5">
        <w:rPr>
          <w:rFonts w:cs="Arial"/>
          <w:rtl/>
        </w:rPr>
        <w:t xml:space="preserve">וכתב הר"ן </w:t>
      </w:r>
      <w:r w:rsidRPr="009941F9">
        <w:rPr>
          <w:rFonts w:cs="Arial" w:hint="cs"/>
          <w:sz w:val="16"/>
          <w:szCs w:val="16"/>
          <w:rtl/>
        </w:rPr>
        <w:t>(</w:t>
      </w:r>
      <w:r w:rsidRPr="009941F9">
        <w:rPr>
          <w:rFonts w:cs="Arial"/>
          <w:sz w:val="16"/>
          <w:szCs w:val="16"/>
          <w:rtl/>
        </w:rPr>
        <w:t>פ</w:t>
      </w:r>
      <w:r w:rsidRPr="009941F9">
        <w:rPr>
          <w:rFonts w:cs="Arial" w:hint="cs"/>
          <w:sz w:val="16"/>
          <w:szCs w:val="16"/>
          <w:rtl/>
        </w:rPr>
        <w:t>'</w:t>
      </w:r>
      <w:r w:rsidRPr="009941F9">
        <w:rPr>
          <w:rFonts w:cs="Arial"/>
          <w:sz w:val="16"/>
          <w:szCs w:val="16"/>
          <w:rtl/>
        </w:rPr>
        <w:t xml:space="preserve"> הנושא</w:t>
      </w:r>
      <w:r w:rsidRPr="009941F9">
        <w:rPr>
          <w:rFonts w:cs="Arial" w:hint="cs"/>
          <w:sz w:val="16"/>
          <w:szCs w:val="16"/>
          <w:rtl/>
        </w:rPr>
        <w:t xml:space="preserve"> </w:t>
      </w:r>
      <w:r w:rsidRPr="009941F9">
        <w:rPr>
          <w:rFonts w:cs="Arial"/>
          <w:sz w:val="16"/>
          <w:szCs w:val="16"/>
          <w:rtl/>
        </w:rPr>
        <w:t xml:space="preserve">סא. ד"ה דברים) </w:t>
      </w:r>
      <w:r w:rsidRPr="00B345A5">
        <w:rPr>
          <w:rFonts w:cs="Arial"/>
          <w:rtl/>
        </w:rPr>
        <w:t>דאין חילוק בין גדולות לקטנות בכולן חיישינן לצררי וכן משמע מדברי הפוסקים דלא חילק</w:t>
      </w:r>
      <w:r>
        <w:rPr>
          <w:rFonts w:cs="Arial" w:hint="cs"/>
          <w:rtl/>
        </w:rPr>
        <w:t>ו, דרכ"מ (אות ב).</w:t>
      </w:r>
      <w:r w:rsidRPr="00DE298F">
        <w:rPr>
          <w:rtl/>
        </w:rPr>
        <w:t xml:space="preserve"> </w:t>
      </w:r>
    </w:p>
  </w:footnote>
  <w:footnote w:id="2915">
    <w:p w14:paraId="093831DB" w14:textId="77777777" w:rsidR="00DF1FC7" w:rsidRDefault="00DF1FC7" w:rsidP="002E5BAD">
      <w:pPr>
        <w:pStyle w:val="a5"/>
        <w:rPr>
          <w:rtl/>
        </w:rPr>
      </w:pPr>
      <w:r>
        <w:rPr>
          <w:rStyle w:val="a7"/>
        </w:rPr>
        <w:footnoteRef/>
      </w:r>
      <w:r>
        <w:rPr>
          <w:rtl/>
        </w:rPr>
        <w:t xml:space="preserve"> </w:t>
      </w:r>
      <w:r>
        <w:rPr>
          <w:rFonts w:cs="Arial"/>
          <w:rtl/>
        </w:rPr>
        <w:t>מ"ש דהאידנ</w:t>
      </w:r>
      <w:r>
        <w:rPr>
          <w:rFonts w:cs="Arial" w:hint="cs"/>
          <w:rtl/>
        </w:rPr>
        <w:t>א</w:t>
      </w:r>
      <w:r>
        <w:rPr>
          <w:rFonts w:cs="Arial"/>
          <w:rtl/>
        </w:rPr>
        <w:t xml:space="preserve"> דקנו מיניה גמר ומשעבד נפשיה ואם איתא דאתפסה צררי איבעי ליה למינקט שטר מיניה או למיכתב תברא עליה</w:t>
      </w:r>
      <w:r>
        <w:rPr>
          <w:rFonts w:cs="Arial" w:hint="cs"/>
          <w:rtl/>
        </w:rPr>
        <w:t xml:space="preserve"> -</w:t>
      </w:r>
      <w:r>
        <w:rPr>
          <w:rFonts w:cs="Arial"/>
          <w:rtl/>
        </w:rPr>
        <w:t xml:space="preserve"> יש לתמוה עליו דאם כן אמאי חיישינן באלמנה דילמא אתפסה צררי</w:t>
      </w:r>
      <w:r>
        <w:rPr>
          <w:rFonts w:cs="Arial" w:hint="cs"/>
          <w:rtl/>
        </w:rPr>
        <w:t>,</w:t>
      </w:r>
      <w:r>
        <w:rPr>
          <w:rFonts w:cs="Arial"/>
          <w:rtl/>
        </w:rPr>
        <w:t xml:space="preserve"> הוה ליה למימר אם איתא דאתפסה צררי הוה ליה למיכתב עלה תברא</w:t>
      </w:r>
      <w:r>
        <w:rPr>
          <w:rFonts w:hint="cs"/>
          <w:rtl/>
        </w:rPr>
        <w:t>, ב"י (בבדה"ב).</w:t>
      </w:r>
    </w:p>
  </w:footnote>
  <w:footnote w:id="2916">
    <w:p w14:paraId="4BDD4FB6" w14:textId="77777777" w:rsidR="00DF1FC7" w:rsidRDefault="00DF1FC7" w:rsidP="002E5BAD">
      <w:pPr>
        <w:pStyle w:val="a5"/>
        <w:rPr>
          <w:rtl/>
        </w:rPr>
      </w:pPr>
      <w:r>
        <w:rPr>
          <w:rStyle w:val="a7"/>
        </w:rPr>
        <w:footnoteRef/>
      </w:r>
      <w:r>
        <w:rPr>
          <w:rtl/>
        </w:rPr>
        <w:t xml:space="preserve"> </w:t>
      </w:r>
      <w:r w:rsidRPr="00AD63E0">
        <w:rPr>
          <w:rFonts w:cs="Arial"/>
          <w:rtl/>
        </w:rPr>
        <w:t>כ"כ הטור בשם הרמ"ה אי כתב לה שטר באפי נפשה</w:t>
      </w:r>
      <w:r>
        <w:rPr>
          <w:rFonts w:cs="Arial" w:hint="cs"/>
          <w:rtl/>
        </w:rPr>
        <w:t>,</w:t>
      </w:r>
      <w:r w:rsidRPr="00AD63E0">
        <w:rPr>
          <w:rFonts w:cs="Arial"/>
          <w:rtl/>
        </w:rPr>
        <w:t xml:space="preserve"> א"נ קנו ממנו אחר הנישואין סתם קנין לכתיבה עומד</w:t>
      </w:r>
      <w:r>
        <w:rPr>
          <w:rFonts w:cs="Arial" w:hint="cs"/>
          <w:rtl/>
        </w:rPr>
        <w:t>.</w:t>
      </w:r>
      <w:r w:rsidRPr="00AD63E0">
        <w:rPr>
          <w:rFonts w:cs="Arial"/>
          <w:rtl/>
        </w:rPr>
        <w:t xml:space="preserve"> דאם התפיס צררי אי בעי ליה למנקט שטרא א"נ למיכתב תבראי</w:t>
      </w:r>
      <w:r>
        <w:rPr>
          <w:rFonts w:cs="Arial" w:hint="cs"/>
          <w:rtl/>
        </w:rPr>
        <w:t>.</w:t>
      </w:r>
      <w:r w:rsidRPr="00AD63E0">
        <w:rPr>
          <w:rFonts w:cs="Arial"/>
          <w:rtl/>
        </w:rPr>
        <w:t xml:space="preserve"> ולכאורה נראה דס"ל כתירוץ א' של תוס' היכא דהודה האב לא חיישי' לצררי</w:t>
      </w:r>
      <w:r>
        <w:rPr>
          <w:rFonts w:cs="Arial" w:hint="cs"/>
          <w:rtl/>
        </w:rPr>
        <w:t>.</w:t>
      </w:r>
      <w:r w:rsidRPr="00AD63E0">
        <w:rPr>
          <w:rFonts w:cs="Arial"/>
          <w:rtl/>
        </w:rPr>
        <w:t xml:space="preserve"> דהא כאן ליכא הוכחה אלא מאב מ</w:t>
      </w:r>
      <w:r>
        <w:rPr>
          <w:rFonts w:cs="Arial" w:hint="cs"/>
          <w:rtl/>
        </w:rPr>
        <w:t xml:space="preserve">שום </w:t>
      </w:r>
      <w:r w:rsidRPr="00AD63E0">
        <w:rPr>
          <w:rFonts w:cs="Arial"/>
          <w:rtl/>
        </w:rPr>
        <w:t>ה</w:t>
      </w:r>
      <w:r>
        <w:rPr>
          <w:rFonts w:cs="Arial" w:hint="cs"/>
          <w:rtl/>
        </w:rPr>
        <w:t>כי</w:t>
      </w:r>
      <w:r w:rsidRPr="00AD63E0">
        <w:rPr>
          <w:rFonts w:cs="Arial"/>
          <w:rtl/>
        </w:rPr>
        <w:t xml:space="preserve"> ס"ל דמהני ג</w:t>
      </w:r>
      <w:r>
        <w:rPr>
          <w:rFonts w:cs="Arial" w:hint="cs"/>
          <w:rtl/>
        </w:rPr>
        <w:t xml:space="preserve">ם </w:t>
      </w:r>
      <w:r w:rsidRPr="00AD63E0">
        <w:rPr>
          <w:rFonts w:cs="Arial"/>
          <w:rtl/>
        </w:rPr>
        <w:t>כ</w:t>
      </w:r>
      <w:r>
        <w:rPr>
          <w:rFonts w:cs="Arial" w:hint="cs"/>
          <w:rtl/>
        </w:rPr>
        <w:t>אן</w:t>
      </w:r>
      <w:r w:rsidRPr="00AD63E0">
        <w:rPr>
          <w:rFonts w:cs="Arial"/>
          <w:rtl/>
        </w:rPr>
        <w:t xml:space="preserve"> הסברא אם איתא וכו'</w:t>
      </w:r>
      <w:r>
        <w:rPr>
          <w:rFonts w:cs="Arial" w:hint="cs"/>
          <w:rtl/>
        </w:rPr>
        <w:t>,</w:t>
      </w:r>
      <w:r w:rsidRPr="00AD63E0">
        <w:rPr>
          <w:rFonts w:cs="Arial"/>
          <w:rtl/>
        </w:rPr>
        <w:t xml:space="preserve"> ואז הוי כאלו הודה האב</w:t>
      </w:r>
      <w:r>
        <w:rPr>
          <w:rFonts w:cs="Arial" w:hint="cs"/>
          <w:rtl/>
        </w:rPr>
        <w:t>.</w:t>
      </w:r>
      <w:r w:rsidRPr="00AD63E0">
        <w:rPr>
          <w:rFonts w:cs="Arial"/>
          <w:rtl/>
        </w:rPr>
        <w:t xml:space="preserve"> ולכאורה קשה </w:t>
      </w:r>
      <w:r>
        <w:rPr>
          <w:rFonts w:cs="Arial" w:hint="cs"/>
          <w:rtl/>
        </w:rPr>
        <w:t>ד</w:t>
      </w:r>
      <w:r w:rsidRPr="00AD63E0">
        <w:rPr>
          <w:rFonts w:cs="Arial"/>
          <w:rtl/>
        </w:rPr>
        <w:t>אע</w:t>
      </w:r>
      <w:r>
        <w:rPr>
          <w:rFonts w:cs="Arial" w:hint="cs"/>
          <w:rtl/>
        </w:rPr>
        <w:t>"</w:t>
      </w:r>
      <w:r w:rsidRPr="00AD63E0">
        <w:rPr>
          <w:rFonts w:cs="Arial"/>
          <w:rtl/>
        </w:rPr>
        <w:t>ג דליכא חשש משום צררי מ"מ למה מהני שטר</w:t>
      </w:r>
      <w:r>
        <w:rPr>
          <w:rFonts w:cs="Arial" w:hint="cs"/>
          <w:rtl/>
        </w:rPr>
        <w:t>,</w:t>
      </w:r>
      <w:r w:rsidRPr="00AD63E0">
        <w:rPr>
          <w:rFonts w:cs="Arial"/>
          <w:rtl/>
        </w:rPr>
        <w:t xml:space="preserve"> הא תקנו חז"ל אפי' כתב דלהוי כאלו לא כתב</w:t>
      </w:r>
      <w:r>
        <w:rPr>
          <w:rFonts w:cs="Arial" w:hint="cs"/>
          <w:rtl/>
        </w:rPr>
        <w:t>,</w:t>
      </w:r>
      <w:r w:rsidRPr="00AD63E0">
        <w:rPr>
          <w:rFonts w:cs="Arial"/>
          <w:rtl/>
        </w:rPr>
        <w:t xml:space="preserve"> כמ"ש בסמוך</w:t>
      </w:r>
      <w:r>
        <w:rPr>
          <w:rFonts w:cs="Arial" w:hint="cs"/>
          <w:rtl/>
        </w:rPr>
        <w:t>.</w:t>
      </w:r>
      <w:r w:rsidRPr="00AD63E0">
        <w:rPr>
          <w:rFonts w:cs="Arial"/>
          <w:rtl/>
        </w:rPr>
        <w:t xml:space="preserve"> וצ"ל דס"ל כל הסוגיא איירי כשלא כ' שטר באפי נפשי</w:t>
      </w:r>
      <w:r>
        <w:rPr>
          <w:rFonts w:cs="Arial" w:hint="cs"/>
          <w:rtl/>
        </w:rPr>
        <w:t>ה,</w:t>
      </w:r>
      <w:r w:rsidRPr="00AD63E0">
        <w:rPr>
          <w:rFonts w:cs="Arial"/>
          <w:rtl/>
        </w:rPr>
        <w:t xml:space="preserve"> אבל שטר באפי נפשי</w:t>
      </w:r>
      <w:r>
        <w:rPr>
          <w:rFonts w:cs="Arial" w:hint="cs"/>
          <w:rtl/>
        </w:rPr>
        <w:t>ה</w:t>
      </w:r>
      <w:r w:rsidRPr="00AD63E0">
        <w:rPr>
          <w:rFonts w:cs="Arial"/>
          <w:rtl/>
        </w:rPr>
        <w:t xml:space="preserve"> מהני</w:t>
      </w:r>
      <w:r>
        <w:rPr>
          <w:rFonts w:cs="Arial" w:hint="cs"/>
          <w:rtl/>
        </w:rPr>
        <w:t>,</w:t>
      </w:r>
      <w:r w:rsidRPr="00AD63E0">
        <w:rPr>
          <w:rFonts w:cs="Arial"/>
          <w:rtl/>
        </w:rPr>
        <w:t xml:space="preserve"> והיינו בשבועה כמו בכתובה</w:t>
      </w:r>
      <w:r>
        <w:rPr>
          <w:rFonts w:cs="Arial" w:hint="cs"/>
          <w:rtl/>
        </w:rPr>
        <w:t>.</w:t>
      </w:r>
      <w:r w:rsidRPr="00AD63E0">
        <w:rPr>
          <w:rFonts w:cs="Arial"/>
          <w:rtl/>
        </w:rPr>
        <w:t xml:space="preserve"> ובבדק הבית הקשה למה חיישי</w:t>
      </w:r>
      <w:r>
        <w:rPr>
          <w:rFonts w:cs="Arial" w:hint="cs"/>
          <w:rtl/>
        </w:rPr>
        <w:t>נן</w:t>
      </w:r>
      <w:r w:rsidRPr="00AD63E0">
        <w:rPr>
          <w:rFonts w:cs="Arial"/>
          <w:rtl/>
        </w:rPr>
        <w:t xml:space="preserve"> בכתובה להתפסת צררי הא אי התפיס צררי ה"ל למכתב תברא כמ"ש הרמ"ה</w:t>
      </w:r>
      <w:r>
        <w:rPr>
          <w:rFonts w:cs="Arial" w:hint="cs"/>
          <w:rtl/>
        </w:rPr>
        <w:t>.</w:t>
      </w:r>
      <w:r w:rsidRPr="00AD63E0">
        <w:rPr>
          <w:rFonts w:cs="Arial"/>
          <w:rtl/>
        </w:rPr>
        <w:t xml:space="preserve"> ולמ</w:t>
      </w:r>
      <w:r>
        <w:rPr>
          <w:rFonts w:cs="Arial" w:hint="cs"/>
          <w:rtl/>
        </w:rPr>
        <w:t xml:space="preserve">ה </w:t>
      </w:r>
      <w:r w:rsidRPr="00AD63E0">
        <w:rPr>
          <w:rFonts w:cs="Arial"/>
          <w:rtl/>
        </w:rPr>
        <w:t>ש</w:t>
      </w:r>
      <w:r>
        <w:rPr>
          <w:rFonts w:cs="Arial" w:hint="cs"/>
          <w:rtl/>
        </w:rPr>
        <w:t>כתבתי</w:t>
      </w:r>
      <w:r w:rsidRPr="00AD63E0">
        <w:rPr>
          <w:rFonts w:cs="Arial"/>
          <w:rtl/>
        </w:rPr>
        <w:t xml:space="preserve"> ניחא דאף כאן לדעת הרמ"ה צריכים לישבע כמו אשה בכתובתה</w:t>
      </w:r>
      <w:r>
        <w:rPr>
          <w:rFonts w:cs="Arial" w:hint="cs"/>
          <w:rtl/>
        </w:rPr>
        <w:t>.</w:t>
      </w:r>
      <w:r w:rsidRPr="00AD63E0">
        <w:rPr>
          <w:rFonts w:cs="Arial"/>
          <w:rtl/>
        </w:rPr>
        <w:t xml:space="preserve"> אבל לדעה קמייתא ל"מ שבועה מיהו לתירוץ בתרא ולמ"ש הר"ן ל"מ הודאת אביהן כי בודאי מתפיס צררי</w:t>
      </w:r>
      <w:r>
        <w:rPr>
          <w:rFonts w:hint="cs"/>
          <w:rtl/>
        </w:rPr>
        <w:t>, ב"ש (סקי"ח).</w:t>
      </w:r>
    </w:p>
  </w:footnote>
  <w:footnote w:id="2917">
    <w:p w14:paraId="0447D8F4" w14:textId="77777777" w:rsidR="00DF1FC7" w:rsidRPr="00DE298F" w:rsidRDefault="00DF1FC7" w:rsidP="002E5BAD">
      <w:pPr>
        <w:pStyle w:val="a5"/>
        <w:rPr>
          <w:color w:val="FF0000"/>
        </w:rPr>
      </w:pPr>
      <w:r>
        <w:rPr>
          <w:rStyle w:val="a7"/>
        </w:rPr>
        <w:footnoteRef/>
      </w:r>
      <w:r>
        <w:rPr>
          <w:rtl/>
        </w:rPr>
        <w:t xml:space="preserve"> </w:t>
      </w:r>
      <w:r>
        <w:rPr>
          <w:rFonts w:hint="cs"/>
          <w:rtl/>
        </w:rPr>
        <w:t>וז"ל-</w:t>
      </w:r>
      <w:r>
        <w:t xml:space="preserve"> </w:t>
      </w:r>
      <w:r>
        <w:rPr>
          <w:rFonts w:cs="Arial"/>
          <w:rtl/>
        </w:rPr>
        <w:t>ויש לדקדק</w:t>
      </w:r>
      <w:r>
        <w:rPr>
          <w:rFonts w:cs="Arial" w:hint="cs"/>
          <w:rtl/>
        </w:rPr>
        <w:t>,</w:t>
      </w:r>
      <w:r>
        <w:rPr>
          <w:rFonts w:cs="Arial"/>
          <w:rtl/>
        </w:rPr>
        <w:t xml:space="preserve"> דכיון דטעמא משום התפסת צררי הוה ליה לרבינו לכתוב שישבעו הבנות ויזונו ממשעבדי. ויש לומר דאין הכי נמי</w:t>
      </w:r>
      <w:r>
        <w:rPr>
          <w:rFonts w:cs="Arial" w:hint="cs"/>
          <w:rtl/>
        </w:rPr>
        <w:t>,</w:t>
      </w:r>
      <w:r>
        <w:rPr>
          <w:rFonts w:cs="Arial"/>
          <w:rtl/>
        </w:rPr>
        <w:t xml:space="preserve"> וממילא משמע שאם הן נערות שישבעו</w:t>
      </w:r>
      <w:r>
        <w:rPr>
          <w:rFonts w:cs="Arial" w:hint="cs"/>
          <w:rtl/>
        </w:rPr>
        <w:t>.</w:t>
      </w:r>
      <w:r>
        <w:rPr>
          <w:rFonts w:cs="Arial"/>
          <w:rtl/>
        </w:rPr>
        <w:t xml:space="preserve"> ומשום דקטנות לאו בנות שבועה הן</w:t>
      </w:r>
      <w:r>
        <w:rPr>
          <w:rFonts w:cs="Arial" w:hint="cs"/>
          <w:rtl/>
        </w:rPr>
        <w:t>,</w:t>
      </w:r>
      <w:r>
        <w:rPr>
          <w:rFonts w:cs="Arial"/>
          <w:rtl/>
        </w:rPr>
        <w:t xml:space="preserve"> לא חש רבינו להזכיר כן</w:t>
      </w:r>
      <w:r>
        <w:rPr>
          <w:rFonts w:cs="Arial" w:hint="cs"/>
          <w:rtl/>
        </w:rPr>
        <w:t>.</w:t>
      </w:r>
      <w:r w:rsidRPr="00B345A5">
        <w:rPr>
          <w:rFonts w:cs="Arial"/>
          <w:rtl/>
        </w:rPr>
        <w:t xml:space="preserve"> </w:t>
      </w:r>
    </w:p>
  </w:footnote>
  <w:footnote w:id="2918">
    <w:p w14:paraId="535AC854" w14:textId="77777777" w:rsidR="00DF1FC7" w:rsidRDefault="00DF1FC7" w:rsidP="002E5BAD">
      <w:pPr>
        <w:pStyle w:val="a5"/>
        <w:rPr>
          <w:rtl/>
        </w:rPr>
      </w:pPr>
      <w:r>
        <w:rPr>
          <w:rStyle w:val="a7"/>
        </w:rPr>
        <w:footnoteRef/>
      </w:r>
      <w:r>
        <w:rPr>
          <w:rtl/>
        </w:rPr>
        <w:t xml:space="preserve"> </w:t>
      </w:r>
      <w:r w:rsidRPr="00913A11">
        <w:rPr>
          <w:rFonts w:cs="Arial"/>
          <w:rtl/>
        </w:rPr>
        <w:t xml:space="preserve">וליתא כמ"ש בשם תוס' </w:t>
      </w:r>
      <w:r>
        <w:rPr>
          <w:rFonts w:cs="Arial" w:hint="cs"/>
          <w:rtl/>
        </w:rPr>
        <w:t xml:space="preserve">(נא. ד"ה אימר) </w:t>
      </w:r>
      <w:r w:rsidRPr="00913A11">
        <w:rPr>
          <w:rFonts w:cs="Arial"/>
          <w:rtl/>
        </w:rPr>
        <w:t>דאשה טורפ</w:t>
      </w:r>
      <w:r>
        <w:rPr>
          <w:rFonts w:cs="Arial" w:hint="cs"/>
          <w:rtl/>
        </w:rPr>
        <w:t>ת</w:t>
      </w:r>
      <w:r w:rsidRPr="00913A11">
        <w:rPr>
          <w:rFonts w:cs="Arial"/>
          <w:rtl/>
        </w:rPr>
        <w:t xml:space="preserve"> בשבועה</w:t>
      </w:r>
      <w:r>
        <w:rPr>
          <w:rFonts w:cs="Arial" w:hint="cs"/>
          <w:rtl/>
        </w:rPr>
        <w:t>,</w:t>
      </w:r>
      <w:r w:rsidRPr="00913A11">
        <w:rPr>
          <w:rFonts w:cs="Arial"/>
          <w:rtl/>
        </w:rPr>
        <w:t xml:space="preserve"> נשמע הבנות אין טורפין אפי</w:t>
      </w:r>
      <w:r>
        <w:rPr>
          <w:rFonts w:cs="Arial" w:hint="cs"/>
          <w:rtl/>
        </w:rPr>
        <w:t>לו</w:t>
      </w:r>
      <w:r w:rsidRPr="00913A11">
        <w:rPr>
          <w:rFonts w:cs="Arial"/>
          <w:rtl/>
        </w:rPr>
        <w:t xml:space="preserve"> בשבועה</w:t>
      </w:r>
      <w:r>
        <w:rPr>
          <w:rFonts w:cs="Arial" w:hint="cs"/>
          <w:rtl/>
        </w:rPr>
        <w:t>.</w:t>
      </w:r>
      <w:r w:rsidRPr="00913A11">
        <w:rPr>
          <w:rFonts w:cs="Arial"/>
          <w:rtl/>
        </w:rPr>
        <w:t xml:space="preserve"> גם כתב הר"ן </w:t>
      </w:r>
      <w:r>
        <w:rPr>
          <w:rFonts w:cs="Arial" w:hint="cs"/>
          <w:rtl/>
        </w:rPr>
        <w:t xml:space="preserve">(כתובות סא. מדפה"ר) </w:t>
      </w:r>
      <w:r w:rsidRPr="00913A11">
        <w:rPr>
          <w:rFonts w:cs="Arial"/>
          <w:rtl/>
        </w:rPr>
        <w:t xml:space="preserve">דאין </w:t>
      </w:r>
      <w:r>
        <w:rPr>
          <w:rFonts w:cs="Arial" w:hint="cs"/>
          <w:rtl/>
        </w:rPr>
        <w:t>ה</w:t>
      </w:r>
      <w:r w:rsidRPr="00913A11">
        <w:rPr>
          <w:rFonts w:cs="Arial"/>
          <w:rtl/>
        </w:rPr>
        <w:t>חשש הוא שמא התפיס צררי</w:t>
      </w:r>
      <w:r>
        <w:rPr>
          <w:rFonts w:cs="Arial" w:hint="cs"/>
          <w:rtl/>
        </w:rPr>
        <w:t>,</w:t>
      </w:r>
      <w:r w:rsidRPr="00913A11">
        <w:rPr>
          <w:rFonts w:cs="Arial"/>
          <w:rtl/>
        </w:rPr>
        <w:t xml:space="preserve"> אלא ב</w:t>
      </w:r>
      <w:r>
        <w:rPr>
          <w:rFonts w:cs="Arial" w:hint="cs"/>
          <w:rtl/>
        </w:rPr>
        <w:t>ו</w:t>
      </w:r>
      <w:r w:rsidRPr="00913A11">
        <w:rPr>
          <w:rFonts w:cs="Arial"/>
          <w:rtl/>
        </w:rPr>
        <w:t>ודאי התפיס צררי ול</w:t>
      </w:r>
      <w:r>
        <w:rPr>
          <w:rFonts w:cs="Arial" w:hint="cs"/>
          <w:rtl/>
        </w:rPr>
        <w:t>א מהני</w:t>
      </w:r>
      <w:r w:rsidRPr="00913A11">
        <w:rPr>
          <w:rFonts w:cs="Arial"/>
          <w:rtl/>
        </w:rPr>
        <w:t xml:space="preserve"> שבועה</w:t>
      </w:r>
      <w:r>
        <w:rPr>
          <w:rFonts w:hint="cs"/>
          <w:rtl/>
        </w:rPr>
        <w:t>, ב"ש (סקי"ז).</w:t>
      </w:r>
    </w:p>
  </w:footnote>
  <w:footnote w:id="2919">
    <w:p w14:paraId="5CC4277D" w14:textId="77777777" w:rsidR="00DF1FC7" w:rsidRDefault="00DF1FC7" w:rsidP="002E5BAD">
      <w:pPr>
        <w:pStyle w:val="a5"/>
        <w:rPr>
          <w:rtl/>
        </w:rPr>
      </w:pPr>
      <w:r>
        <w:rPr>
          <w:rStyle w:val="a7"/>
        </w:rPr>
        <w:footnoteRef/>
      </w:r>
      <w:r>
        <w:rPr>
          <w:rtl/>
        </w:rPr>
        <w:t xml:space="preserve"> </w:t>
      </w:r>
      <w:r>
        <w:rPr>
          <w:rFonts w:cs="Arial" w:hint="cs"/>
          <w:rtl/>
        </w:rPr>
        <w:t>הב"ש (סקי"ז) כתב דבאמת משמע מתירוץ הראשון של התוס' דגובות בשבועה אם האב הודה שלא התפיס וגם היו בשעת קנין. אך כתב-</w:t>
      </w:r>
      <w:r w:rsidRPr="00913A11">
        <w:rPr>
          <w:rFonts w:cs="Arial"/>
          <w:rtl/>
        </w:rPr>
        <w:t xml:space="preserve"> מיהו לתירוץ בתרא שם ל</w:t>
      </w:r>
      <w:r>
        <w:rPr>
          <w:rFonts w:cs="Arial" w:hint="cs"/>
          <w:rtl/>
        </w:rPr>
        <w:t xml:space="preserve">א </w:t>
      </w:r>
      <w:r w:rsidRPr="00913A11">
        <w:rPr>
          <w:rFonts w:cs="Arial"/>
          <w:rtl/>
        </w:rPr>
        <w:t>מ</w:t>
      </w:r>
      <w:r>
        <w:rPr>
          <w:rFonts w:cs="Arial" w:hint="cs"/>
          <w:rtl/>
        </w:rPr>
        <w:t>הני</w:t>
      </w:r>
      <w:r w:rsidRPr="00913A11">
        <w:rPr>
          <w:rFonts w:cs="Arial"/>
          <w:rtl/>
        </w:rPr>
        <w:t xml:space="preserve"> הודה </w:t>
      </w:r>
      <w:r>
        <w:rPr>
          <w:rFonts w:cs="Arial" w:hint="cs"/>
          <w:rtl/>
        </w:rPr>
        <w:t>ד</w:t>
      </w:r>
      <w:r w:rsidRPr="00913A11">
        <w:rPr>
          <w:rFonts w:cs="Arial"/>
          <w:rtl/>
        </w:rPr>
        <w:t xml:space="preserve">תרצו </w:t>
      </w:r>
      <w:r>
        <w:rPr>
          <w:rFonts w:cs="Arial" w:hint="cs"/>
          <w:rtl/>
        </w:rPr>
        <w:t>ד</w:t>
      </w:r>
      <w:r w:rsidRPr="00913A11">
        <w:rPr>
          <w:rFonts w:cs="Arial"/>
          <w:rtl/>
        </w:rPr>
        <w:t>אם לא קנו קנין אז לא חיישי</w:t>
      </w:r>
      <w:r>
        <w:rPr>
          <w:rFonts w:cs="Arial" w:hint="cs"/>
          <w:rtl/>
        </w:rPr>
        <w:t>נן</w:t>
      </w:r>
      <w:r w:rsidRPr="00913A11">
        <w:rPr>
          <w:rFonts w:cs="Arial"/>
          <w:rtl/>
        </w:rPr>
        <w:t xml:space="preserve"> לצררי</w:t>
      </w:r>
      <w:r>
        <w:rPr>
          <w:rFonts w:cs="Arial" w:hint="cs"/>
          <w:rtl/>
        </w:rPr>
        <w:t>,</w:t>
      </w:r>
      <w:r w:rsidRPr="00913A11">
        <w:rPr>
          <w:rFonts w:cs="Arial"/>
          <w:rtl/>
        </w:rPr>
        <w:t xml:space="preserve"> ואין טורפין מפני שאין כתובים</w:t>
      </w:r>
      <w:r>
        <w:rPr>
          <w:rFonts w:cs="Arial" w:hint="cs"/>
          <w:rtl/>
        </w:rPr>
        <w:t>.</w:t>
      </w:r>
      <w:r w:rsidRPr="00913A11">
        <w:rPr>
          <w:rFonts w:cs="Arial"/>
          <w:rtl/>
        </w:rPr>
        <w:t xml:space="preserve"> ואם קנו קנין אז חיישי</w:t>
      </w:r>
      <w:r>
        <w:rPr>
          <w:rFonts w:cs="Arial" w:hint="cs"/>
          <w:rtl/>
        </w:rPr>
        <w:t>נן</w:t>
      </w:r>
      <w:r w:rsidRPr="00913A11">
        <w:rPr>
          <w:rFonts w:cs="Arial"/>
          <w:rtl/>
        </w:rPr>
        <w:t xml:space="preserve"> לצררי מדיפה כחה ועשה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לפ"ז תו א</w:t>
      </w:r>
      <w:r>
        <w:rPr>
          <w:rFonts w:cs="Arial" w:hint="cs"/>
          <w:rtl/>
        </w:rPr>
        <w:t xml:space="preserve">ין </w:t>
      </w:r>
      <w:r w:rsidRPr="00913A11">
        <w:rPr>
          <w:rFonts w:cs="Arial"/>
          <w:rtl/>
        </w:rPr>
        <w:t>צ</w:t>
      </w:r>
      <w:r>
        <w:rPr>
          <w:rFonts w:cs="Arial" w:hint="cs"/>
          <w:rtl/>
        </w:rPr>
        <w:t>ריך</w:t>
      </w:r>
      <w:r w:rsidRPr="00913A11">
        <w:rPr>
          <w:rFonts w:cs="Arial"/>
          <w:rtl/>
        </w:rPr>
        <w:t xml:space="preserve"> לומר דהודאה של אביהן מהני</w:t>
      </w:r>
      <w:r>
        <w:rPr>
          <w:rFonts w:cs="Arial" w:hint="cs"/>
          <w:rtl/>
        </w:rPr>
        <w:t>,</w:t>
      </w:r>
      <w:r w:rsidRPr="00913A11">
        <w:rPr>
          <w:rFonts w:cs="Arial"/>
          <w:rtl/>
        </w:rPr>
        <w:t xml:space="preserve"> דהא סברא זו ילפי</w:t>
      </w:r>
      <w:r>
        <w:rPr>
          <w:rFonts w:cs="Arial" w:hint="cs"/>
          <w:rtl/>
        </w:rPr>
        <w:t>נן</w:t>
      </w:r>
      <w:r w:rsidRPr="00913A11">
        <w:rPr>
          <w:rFonts w:cs="Arial"/>
          <w:rtl/>
        </w:rPr>
        <w:t xml:space="preserve"> מחמת הקושי</w:t>
      </w:r>
      <w:r>
        <w:rPr>
          <w:rFonts w:cs="Arial" w:hint="cs"/>
          <w:rtl/>
        </w:rPr>
        <w:t>ה</w:t>
      </w:r>
      <w:r w:rsidRPr="00913A11">
        <w:rPr>
          <w:rFonts w:cs="Arial"/>
          <w:rtl/>
        </w:rPr>
        <w:t xml:space="preserve"> ל</w:t>
      </w:r>
      <w:r>
        <w:rPr>
          <w:rFonts w:cs="Arial" w:hint="cs"/>
          <w:rtl/>
        </w:rPr>
        <w:t>מה לי</w:t>
      </w:r>
      <w:r w:rsidRPr="00913A11">
        <w:rPr>
          <w:rFonts w:cs="Arial"/>
          <w:rtl/>
        </w:rPr>
        <w:t xml:space="preserve"> הטעם מפני שאין כתובי</w:t>
      </w:r>
      <w:r>
        <w:rPr>
          <w:rFonts w:cs="Arial" w:hint="cs"/>
          <w:rtl/>
        </w:rPr>
        <w:t>ם.</w:t>
      </w:r>
      <w:r w:rsidRPr="00913A11">
        <w:rPr>
          <w:rFonts w:cs="Arial"/>
          <w:rtl/>
        </w:rPr>
        <w:t xml:space="preserve"> והשתא יש לתרץ קושי</w:t>
      </w:r>
      <w:r>
        <w:rPr>
          <w:rFonts w:cs="Arial" w:hint="cs"/>
          <w:rtl/>
        </w:rPr>
        <w:t>ה</w:t>
      </w:r>
      <w:r w:rsidRPr="00913A11">
        <w:rPr>
          <w:rFonts w:cs="Arial"/>
          <w:rtl/>
        </w:rPr>
        <w:t xml:space="preserve"> זו דנצרך תרי טעמים הללו</w:t>
      </w:r>
      <w:r>
        <w:rPr>
          <w:rFonts w:cs="Arial" w:hint="cs"/>
          <w:rtl/>
        </w:rPr>
        <w:t>.</w:t>
      </w:r>
      <w:r w:rsidRPr="00913A11">
        <w:rPr>
          <w:rFonts w:cs="Arial"/>
          <w:rtl/>
        </w:rPr>
        <w:t xml:space="preserve"> דהיינו</w:t>
      </w:r>
      <w:r>
        <w:rPr>
          <w:rFonts w:cs="Arial" w:hint="cs"/>
          <w:rtl/>
        </w:rPr>
        <w:t>,</w:t>
      </w:r>
      <w:r w:rsidRPr="00913A11">
        <w:rPr>
          <w:rFonts w:cs="Arial"/>
          <w:rtl/>
        </w:rPr>
        <w:t xml:space="preserve"> אם לא עשה קנין אז ליכא חשש משום צררי </w:t>
      </w:r>
      <w:r>
        <w:rPr>
          <w:rFonts w:cs="Arial" w:hint="cs"/>
          <w:rtl/>
        </w:rPr>
        <w:t xml:space="preserve">- </w:t>
      </w:r>
      <w:r w:rsidRPr="00913A11">
        <w:rPr>
          <w:rFonts w:cs="Arial"/>
          <w:rtl/>
        </w:rPr>
        <w:t>בעינן הטעם מפני שאין כתובים</w:t>
      </w:r>
      <w:r>
        <w:rPr>
          <w:rFonts w:cs="Arial" w:hint="cs"/>
          <w:rtl/>
        </w:rPr>
        <w:t>.</w:t>
      </w:r>
      <w:r w:rsidRPr="00913A11">
        <w:rPr>
          <w:rFonts w:cs="Arial"/>
          <w:rtl/>
        </w:rPr>
        <w:t xml:space="preserve"> ואם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דעדיף מכת</w:t>
      </w:r>
      <w:r>
        <w:rPr>
          <w:rFonts w:cs="Arial" w:hint="cs"/>
          <w:rtl/>
        </w:rPr>
        <w:t>י</w:t>
      </w:r>
      <w:r w:rsidRPr="00913A11">
        <w:rPr>
          <w:rFonts w:cs="Arial"/>
          <w:rtl/>
        </w:rPr>
        <w:t xml:space="preserve">בה </w:t>
      </w:r>
      <w:r>
        <w:rPr>
          <w:rFonts w:cs="Arial" w:hint="cs"/>
          <w:rtl/>
        </w:rPr>
        <w:t xml:space="preserve">- </w:t>
      </w:r>
      <w:r w:rsidRPr="00913A11">
        <w:rPr>
          <w:rFonts w:cs="Arial"/>
          <w:rtl/>
        </w:rPr>
        <w:t>נצרך הטעם דחיישי</w:t>
      </w:r>
      <w:r>
        <w:rPr>
          <w:rFonts w:cs="Arial" w:hint="cs"/>
          <w:rtl/>
        </w:rPr>
        <w:t>נן</w:t>
      </w:r>
      <w:r w:rsidRPr="00913A11">
        <w:rPr>
          <w:rFonts w:cs="Arial"/>
          <w:rtl/>
        </w:rPr>
        <w:t xml:space="preserve"> לצררי כיון דיפה כחה ועשה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ובפ' הנזקין </w:t>
      </w:r>
      <w:r>
        <w:rPr>
          <w:rFonts w:cs="Arial" w:hint="cs"/>
          <w:rtl/>
        </w:rPr>
        <w:t xml:space="preserve">(נ: ד"ה כתובין) </w:t>
      </w:r>
      <w:r w:rsidRPr="00913A11">
        <w:rPr>
          <w:rFonts w:cs="Arial"/>
          <w:rtl/>
        </w:rPr>
        <w:t>כתבו תירוץ זה</w:t>
      </w:r>
      <w:r>
        <w:rPr>
          <w:rFonts w:cs="Arial" w:hint="cs"/>
          <w:rtl/>
        </w:rPr>
        <w:t>.</w:t>
      </w:r>
      <w:r w:rsidRPr="00913A11">
        <w:rPr>
          <w:rFonts w:cs="Arial"/>
          <w:rtl/>
        </w:rPr>
        <w:t xml:space="preserve"> וכ"כ באגודה</w:t>
      </w:r>
      <w:r>
        <w:rPr>
          <w:rFonts w:cs="Arial" w:hint="cs"/>
          <w:rtl/>
        </w:rPr>
        <w:t>.</w:t>
      </w:r>
      <w:r w:rsidRPr="00913A11">
        <w:rPr>
          <w:rFonts w:cs="Arial"/>
          <w:rtl/>
        </w:rPr>
        <w:t xml:space="preserve"> גם נ</w:t>
      </w:r>
      <w:r>
        <w:rPr>
          <w:rFonts w:cs="Arial" w:hint="cs"/>
          <w:rtl/>
        </w:rPr>
        <w:t>פקא מינה</w:t>
      </w:r>
      <w:r w:rsidRPr="00913A11">
        <w:rPr>
          <w:rFonts w:cs="Arial"/>
          <w:rtl/>
        </w:rPr>
        <w:t xml:space="preserve"> מתירוץ זה </w:t>
      </w:r>
      <w:r>
        <w:rPr>
          <w:rFonts w:cs="Arial" w:hint="cs"/>
          <w:rtl/>
        </w:rPr>
        <w:t>ד</w:t>
      </w:r>
      <w:r w:rsidRPr="00913A11">
        <w:rPr>
          <w:rFonts w:cs="Arial"/>
          <w:rtl/>
        </w:rPr>
        <w:t>אפי</w:t>
      </w:r>
      <w:r>
        <w:rPr>
          <w:rFonts w:cs="Arial" w:hint="cs"/>
          <w:rtl/>
        </w:rPr>
        <w:t>לו</w:t>
      </w:r>
      <w:r w:rsidRPr="00913A11">
        <w:rPr>
          <w:rFonts w:cs="Arial"/>
          <w:rtl/>
        </w:rPr>
        <w:t xml:space="preserve"> מי דלא ניחא ליה הרווחה דידיה מ"מ אם יש לו מזונות מתנאי ב"ד ועשה ק</w:t>
      </w:r>
      <w:r>
        <w:rPr>
          <w:rFonts w:cs="Arial" w:hint="cs"/>
          <w:rtl/>
        </w:rPr>
        <w:t>נין סודר</w:t>
      </w:r>
      <w:r w:rsidRPr="00913A11">
        <w:rPr>
          <w:rFonts w:cs="Arial"/>
          <w:rtl/>
        </w:rPr>
        <w:t xml:space="preserve"> </w:t>
      </w:r>
      <w:r>
        <w:rPr>
          <w:rFonts w:cs="Arial" w:hint="cs"/>
          <w:rtl/>
        </w:rPr>
        <w:t xml:space="preserve">- </w:t>
      </w:r>
      <w:r w:rsidRPr="00913A11">
        <w:rPr>
          <w:rFonts w:cs="Arial"/>
          <w:rtl/>
        </w:rPr>
        <w:t>חיישי</w:t>
      </w:r>
      <w:r>
        <w:rPr>
          <w:rFonts w:cs="Arial" w:hint="cs"/>
          <w:rtl/>
        </w:rPr>
        <w:t>נן</w:t>
      </w:r>
      <w:r w:rsidRPr="00913A11">
        <w:rPr>
          <w:rFonts w:cs="Arial"/>
          <w:rtl/>
        </w:rPr>
        <w:t xml:space="preserve"> לצררי מדיפה כחו</w:t>
      </w:r>
      <w:r>
        <w:rPr>
          <w:rFonts w:cs="Arial" w:hint="cs"/>
          <w:rtl/>
        </w:rPr>
        <w:t>.</w:t>
      </w:r>
      <w:r w:rsidRPr="00913A11">
        <w:rPr>
          <w:rFonts w:cs="Arial"/>
          <w:rtl/>
        </w:rPr>
        <w:t xml:space="preserve"> לפ</w:t>
      </w:r>
      <w:r>
        <w:rPr>
          <w:rFonts w:cs="Arial" w:hint="cs"/>
          <w:rtl/>
        </w:rPr>
        <w:t xml:space="preserve">י </w:t>
      </w:r>
      <w:r w:rsidRPr="00913A11">
        <w:rPr>
          <w:rFonts w:cs="Arial"/>
          <w:rtl/>
        </w:rPr>
        <w:t>ז</w:t>
      </w:r>
      <w:r>
        <w:rPr>
          <w:rFonts w:cs="Arial" w:hint="cs"/>
          <w:rtl/>
        </w:rPr>
        <w:t>ה</w:t>
      </w:r>
      <w:r w:rsidRPr="00913A11">
        <w:rPr>
          <w:rFonts w:cs="Arial"/>
          <w:rtl/>
        </w:rPr>
        <w:t xml:space="preserve"> 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לזון את אשתו חיישי</w:t>
      </w:r>
      <w:r>
        <w:rPr>
          <w:rFonts w:cs="Arial" w:hint="cs"/>
          <w:rtl/>
        </w:rPr>
        <w:t>נן</w:t>
      </w:r>
      <w:r w:rsidRPr="00913A11">
        <w:rPr>
          <w:rFonts w:cs="Arial"/>
          <w:rtl/>
        </w:rPr>
        <w:t xml:space="preserve"> לצררי</w:t>
      </w:r>
      <w:r>
        <w:rPr>
          <w:rFonts w:cs="Arial" w:hint="cs"/>
          <w:rtl/>
        </w:rPr>
        <w:t>.</w:t>
      </w:r>
      <w:r w:rsidRPr="00913A11">
        <w:rPr>
          <w:rFonts w:cs="Arial"/>
          <w:rtl/>
        </w:rPr>
        <w:t xml:space="preserve"> והרשב"א </w:t>
      </w:r>
      <w:r>
        <w:rPr>
          <w:rFonts w:cs="Arial" w:hint="cs"/>
          <w:rtl/>
        </w:rPr>
        <w:t xml:space="preserve">(גיטין נא. ד"ה וקי"ל, ובשו"ת מכ"י סי' שעא, הובא בב"י בסי' צג) </w:t>
      </w:r>
      <w:r w:rsidRPr="00913A11">
        <w:rPr>
          <w:rFonts w:cs="Arial"/>
          <w:rtl/>
        </w:rPr>
        <w:t>והמגיד דכתבו 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לזון את אשתו טורפי</w:t>
      </w:r>
      <w:r>
        <w:rPr>
          <w:rFonts w:cs="Arial" w:hint="cs"/>
          <w:rtl/>
        </w:rPr>
        <w:t>ם</w:t>
      </w:r>
      <w:r w:rsidRPr="00913A11">
        <w:rPr>
          <w:rFonts w:cs="Arial"/>
          <w:rtl/>
        </w:rPr>
        <w:t xml:space="preserve"> מן משועבדים ע</w:t>
      </w:r>
      <w:r>
        <w:rPr>
          <w:rFonts w:cs="Arial" w:hint="cs"/>
          <w:rtl/>
        </w:rPr>
        <w:t xml:space="preserve">ל </w:t>
      </w:r>
      <w:r w:rsidRPr="00913A11">
        <w:rPr>
          <w:rFonts w:cs="Arial"/>
          <w:rtl/>
        </w:rPr>
        <w:t>כ</w:t>
      </w:r>
      <w:r>
        <w:rPr>
          <w:rFonts w:cs="Arial" w:hint="cs"/>
          <w:rtl/>
        </w:rPr>
        <w:t>רחך</w:t>
      </w:r>
      <w:r w:rsidRPr="00913A11">
        <w:rPr>
          <w:rFonts w:cs="Arial"/>
          <w:rtl/>
        </w:rPr>
        <w:t xml:space="preserve"> ס</w:t>
      </w:r>
      <w:r>
        <w:rPr>
          <w:rFonts w:cs="Arial" w:hint="cs"/>
          <w:rtl/>
        </w:rPr>
        <w:t xml:space="preserve">בירא </w:t>
      </w:r>
      <w:r w:rsidRPr="00913A11">
        <w:rPr>
          <w:rFonts w:cs="Arial"/>
          <w:rtl/>
        </w:rPr>
        <w:t>ל</w:t>
      </w:r>
      <w:r>
        <w:rPr>
          <w:rFonts w:cs="Arial" w:hint="cs"/>
          <w:rtl/>
        </w:rPr>
        <w:t>יה</w:t>
      </w:r>
      <w:r w:rsidRPr="00913A11">
        <w:rPr>
          <w:rFonts w:cs="Arial"/>
          <w:rtl/>
        </w:rPr>
        <w:t xml:space="preserve"> כתירוץ קמא של תוס' דלא חיישי' לצררי אלא היכא דניחא ליה בהרווחה ואית לה מתקנת חז"ל</w:t>
      </w:r>
      <w:r>
        <w:rPr>
          <w:rFonts w:cs="Arial" w:hint="cs"/>
          <w:rtl/>
        </w:rPr>
        <w:t>.</w:t>
      </w:r>
    </w:p>
  </w:footnote>
  <w:footnote w:id="2920">
    <w:p w14:paraId="6C2BD29B" w14:textId="77777777" w:rsidR="00DF1FC7" w:rsidRDefault="00DF1FC7" w:rsidP="002E5BAD">
      <w:pPr>
        <w:pStyle w:val="a5"/>
      </w:pPr>
      <w:r>
        <w:rPr>
          <w:rStyle w:val="a7"/>
        </w:rPr>
        <w:footnoteRef/>
      </w:r>
      <w:r>
        <w:rPr>
          <w:rtl/>
        </w:rPr>
        <w:t xml:space="preserve"> </w:t>
      </w:r>
      <w:r w:rsidRPr="00336465">
        <w:rPr>
          <w:rFonts w:cs="Arial"/>
          <w:rtl/>
        </w:rPr>
        <w:t>כלומר</w:t>
      </w:r>
      <w:r>
        <w:rPr>
          <w:rFonts w:cs="Arial" w:hint="cs"/>
          <w:rtl/>
        </w:rPr>
        <w:t>,</w:t>
      </w:r>
      <w:r w:rsidRPr="00336465">
        <w:rPr>
          <w:rFonts w:cs="Arial"/>
          <w:rtl/>
        </w:rPr>
        <w:t xml:space="preserve"> אם קנו ממנו אחר שנולדו הבנות</w:t>
      </w:r>
      <w:r>
        <w:rPr>
          <w:rFonts w:cs="Arial" w:hint="cs"/>
          <w:rtl/>
        </w:rPr>
        <w:t>,</w:t>
      </w:r>
      <w:r w:rsidRPr="00336465">
        <w:rPr>
          <w:rFonts w:cs="Arial"/>
          <w:rtl/>
        </w:rPr>
        <w:t xml:space="preserve"> או שחייב עצמו בשטר באופן המועיל שלא מתנאי כתובה</w:t>
      </w:r>
      <w:r>
        <w:rPr>
          <w:rFonts w:cs="Arial" w:hint="cs"/>
          <w:rtl/>
        </w:rPr>
        <w:t>,</w:t>
      </w:r>
      <w:r w:rsidRPr="00336465">
        <w:rPr>
          <w:rFonts w:cs="Arial"/>
          <w:rtl/>
        </w:rPr>
        <w:t xml:space="preserve"> רק חייב עצמו </w:t>
      </w:r>
      <w:r>
        <w:rPr>
          <w:rFonts w:cs="Arial" w:hint="cs"/>
          <w:rtl/>
        </w:rPr>
        <w:t>ל</w:t>
      </w:r>
      <w:r w:rsidRPr="00336465">
        <w:rPr>
          <w:rFonts w:cs="Arial"/>
          <w:rtl/>
        </w:rPr>
        <w:t>זון בנותיו מחיים קודם מותו</w:t>
      </w:r>
      <w:r>
        <w:rPr>
          <w:rFonts w:cs="Arial" w:hint="cs"/>
          <w:rtl/>
        </w:rPr>
        <w:t>,</w:t>
      </w:r>
      <w:r w:rsidRPr="00336465">
        <w:rPr>
          <w:rFonts w:cs="Arial"/>
          <w:rtl/>
        </w:rPr>
        <w:t xml:space="preserve"> או לאחר מותו אחר שנתארסו</w:t>
      </w:r>
      <w:r>
        <w:rPr>
          <w:rFonts w:cs="Arial" w:hint="cs"/>
          <w:rtl/>
        </w:rPr>
        <w:t>,</w:t>
      </w:r>
      <w:r w:rsidRPr="00336465">
        <w:rPr>
          <w:rFonts w:cs="Arial"/>
          <w:rtl/>
        </w:rPr>
        <w:t xml:space="preserve"> או יבגרו</w:t>
      </w:r>
      <w:r>
        <w:rPr>
          <w:rFonts w:cs="Arial" w:hint="cs"/>
          <w:rtl/>
        </w:rPr>
        <w:t>.</w:t>
      </w:r>
      <w:r w:rsidRPr="00336465">
        <w:rPr>
          <w:rFonts w:cs="Arial"/>
          <w:rtl/>
        </w:rPr>
        <w:t xml:space="preserve"> דכל חיוב שאינו מתנאי כתובה דמי למחייב לזון בת אשתו</w:t>
      </w:r>
      <w:r>
        <w:rPr>
          <w:rFonts w:cs="Arial" w:hint="cs"/>
          <w:rtl/>
        </w:rPr>
        <w:t>,</w:t>
      </w:r>
      <w:r w:rsidRPr="00336465">
        <w:rPr>
          <w:rFonts w:cs="Arial"/>
          <w:rtl/>
        </w:rPr>
        <w:t xml:space="preserve"> והוי כב</w:t>
      </w:r>
      <w:r>
        <w:rPr>
          <w:rFonts w:cs="Arial" w:hint="cs"/>
          <w:rtl/>
        </w:rPr>
        <w:t>ע"</w:t>
      </w:r>
      <w:r w:rsidRPr="00336465">
        <w:rPr>
          <w:rFonts w:cs="Arial"/>
          <w:rtl/>
        </w:rPr>
        <w:t>ח</w:t>
      </w:r>
      <w:r>
        <w:rPr>
          <w:rFonts w:cs="Arial" w:hint="cs"/>
          <w:rtl/>
        </w:rPr>
        <w:t>,</w:t>
      </w:r>
      <w:r w:rsidRPr="00336465">
        <w:rPr>
          <w:rFonts w:cs="Arial"/>
          <w:rtl/>
        </w:rPr>
        <w:t xml:space="preserve"> וטרפי ממשעבדי</w:t>
      </w:r>
      <w:r>
        <w:rPr>
          <w:rFonts w:cs="Arial" w:hint="cs"/>
          <w:rtl/>
        </w:rPr>
        <w:t>.</w:t>
      </w:r>
      <w:r w:rsidRPr="00336465">
        <w:rPr>
          <w:rFonts w:cs="Arial"/>
          <w:rtl/>
        </w:rPr>
        <w:t xml:space="preserve"> וכן הוא בתוספו' כמ"ש לעיל בסקי"ט דלא אמרינן צררי אתפסה אלא בדאיכ</w:t>
      </w:r>
      <w:r>
        <w:rPr>
          <w:rFonts w:cs="Arial" w:hint="cs"/>
          <w:rtl/>
        </w:rPr>
        <w:t>א</w:t>
      </w:r>
      <w:r w:rsidRPr="00336465">
        <w:rPr>
          <w:rFonts w:cs="Arial"/>
          <w:rtl/>
        </w:rPr>
        <w:t xml:space="preserve"> תרתי לטיבותא דאכלה בתנאי ב"ד וגם בתו דניחא ליה בהרוחה</w:t>
      </w:r>
      <w:r>
        <w:rPr>
          <w:rFonts w:cs="Arial" w:hint="cs"/>
          <w:rtl/>
        </w:rPr>
        <w:t>.</w:t>
      </w:r>
      <w:r w:rsidRPr="00336465">
        <w:rPr>
          <w:rFonts w:cs="Arial"/>
          <w:rtl/>
        </w:rPr>
        <w:t xml:space="preserve"> אבל בת אשתו ואשתו דלא ניחא ליה בהרוחה דידהו</w:t>
      </w:r>
      <w:r>
        <w:rPr>
          <w:rFonts w:cs="Arial" w:hint="cs"/>
          <w:rtl/>
        </w:rPr>
        <w:t>,</w:t>
      </w:r>
      <w:r w:rsidRPr="00336465">
        <w:rPr>
          <w:rFonts w:cs="Arial"/>
          <w:rtl/>
        </w:rPr>
        <w:t xml:space="preserve"> או בתו דקנו ממנו דבר שאינו בתנאי ב"ד </w:t>
      </w:r>
      <w:r>
        <w:rPr>
          <w:rFonts w:cs="Arial" w:hint="cs"/>
          <w:rtl/>
        </w:rPr>
        <w:t xml:space="preserve">- </w:t>
      </w:r>
      <w:r w:rsidRPr="00336465">
        <w:rPr>
          <w:rFonts w:cs="Arial"/>
          <w:rtl/>
        </w:rPr>
        <w:t>לא חיישינן לצררי וגובה ממשעבדי בשבועה כשאר ב</w:t>
      </w:r>
      <w:r>
        <w:rPr>
          <w:rFonts w:cs="Arial" w:hint="cs"/>
          <w:rtl/>
        </w:rPr>
        <w:t>ע</w:t>
      </w:r>
      <w:r w:rsidRPr="00336465">
        <w:rPr>
          <w:rFonts w:cs="Arial"/>
          <w:rtl/>
        </w:rPr>
        <w:t>"ח</w:t>
      </w:r>
      <w:r>
        <w:rPr>
          <w:rFonts w:cs="Arial" w:hint="cs"/>
          <w:rtl/>
        </w:rPr>
        <w:t>.</w:t>
      </w:r>
      <w:r w:rsidRPr="00336465">
        <w:rPr>
          <w:rFonts w:cs="Arial"/>
          <w:rtl/>
        </w:rPr>
        <w:t xml:space="preserve"> והא דנקט כאן אף אחר שיבגרו</w:t>
      </w:r>
      <w:r>
        <w:rPr>
          <w:rFonts w:cs="Arial" w:hint="cs"/>
          <w:rtl/>
        </w:rPr>
        <w:t xml:space="preserve">, </w:t>
      </w:r>
      <w:r w:rsidRPr="00336465">
        <w:rPr>
          <w:rFonts w:cs="Arial"/>
          <w:rtl/>
        </w:rPr>
        <w:t>לאו דוקא</w:t>
      </w:r>
      <w:r>
        <w:rPr>
          <w:rFonts w:cs="Arial" w:hint="cs"/>
          <w:rtl/>
        </w:rPr>
        <w:t>,</w:t>
      </w:r>
      <w:r w:rsidRPr="00336465">
        <w:rPr>
          <w:rFonts w:cs="Arial"/>
          <w:rtl/>
        </w:rPr>
        <w:t xml:space="preserve"> וחדא מינייהו נקט וה"ה כל דבר שאינו תנאי כתובה</w:t>
      </w:r>
      <w:r>
        <w:rPr>
          <w:rFonts w:cs="Arial" w:hint="cs"/>
          <w:rtl/>
        </w:rPr>
        <w:t>,</w:t>
      </w:r>
      <w:r w:rsidRPr="00336465">
        <w:rPr>
          <w:rFonts w:cs="Arial"/>
          <w:rtl/>
        </w:rPr>
        <w:t xml:space="preserve"> כגון אחר שיתארסו או לזון אותם בחייו אחר שש</w:t>
      </w:r>
      <w:r>
        <w:rPr>
          <w:rFonts w:cs="Arial" w:hint="cs"/>
          <w:rtl/>
        </w:rPr>
        <w:t>, ח"מ (סקכ"א).</w:t>
      </w:r>
    </w:p>
  </w:footnote>
  <w:footnote w:id="2921">
    <w:p w14:paraId="683B693C" w14:textId="77777777" w:rsidR="00DF1FC7" w:rsidRDefault="00DF1FC7" w:rsidP="002E5BAD">
      <w:pPr>
        <w:pStyle w:val="a5"/>
      </w:pPr>
      <w:r>
        <w:rPr>
          <w:rStyle w:val="a7"/>
        </w:rPr>
        <w:footnoteRef/>
      </w:r>
      <w:r>
        <w:rPr>
          <w:rtl/>
        </w:rPr>
        <w:t xml:space="preserve"> </w:t>
      </w:r>
      <w:r w:rsidRPr="000471FE">
        <w:rPr>
          <w:rFonts w:cs="Arial"/>
          <w:rtl/>
        </w:rPr>
        <w:t>מפני שמכוער הדבר שיהיו הבנות מחזרות על הפתחים, משום כל כבודה בת מלך פנימה</w:t>
      </w:r>
      <w:r w:rsidRPr="00580257">
        <w:rPr>
          <w:rFonts w:hint="cs"/>
          <w:rtl/>
        </w:rPr>
        <w:t>, ר' יצחק קרקושא. וכתוב ב</w:t>
      </w:r>
      <w:r w:rsidRPr="00580257">
        <w:rPr>
          <w:rtl/>
        </w:rPr>
        <w:t xml:space="preserve">תנא דבי אליהו </w:t>
      </w:r>
      <w:r>
        <w:rPr>
          <w:rFonts w:hint="cs"/>
          <w:rtl/>
        </w:rPr>
        <w:t>(</w:t>
      </w:r>
      <w:r w:rsidRPr="00580257">
        <w:rPr>
          <w:rtl/>
        </w:rPr>
        <w:t>אליהו רבה (איש שלום) פרשה כא</w:t>
      </w:r>
      <w:r>
        <w:rPr>
          <w:rFonts w:hint="cs"/>
          <w:rtl/>
        </w:rPr>
        <w:t>)-</w:t>
      </w:r>
      <w:r w:rsidRPr="00580257">
        <w:rPr>
          <w:rtl/>
        </w:rPr>
        <w:t xml:space="preserve"> פעם אחת הייתי בבית המדרש בירושלים לפני חכמים והיינו עוסקים בעיסקי נשים, אמרתי להן, רבותיי, אילו היתה לי שפחה כנענית</w:t>
      </w:r>
      <w:r w:rsidRPr="00580257">
        <w:rPr>
          <w:rFonts w:hint="cs"/>
          <w:rtl/>
        </w:rPr>
        <w:t xml:space="preserve"> -</w:t>
      </w:r>
      <w:r w:rsidRPr="00580257">
        <w:rPr>
          <w:rtl/>
        </w:rPr>
        <w:t xml:space="preserve"> לא אמרתי לה </w:t>
      </w:r>
      <w:r w:rsidRPr="00580257">
        <w:rPr>
          <w:rFonts w:hint="cs"/>
          <w:rtl/>
        </w:rPr>
        <w:t>'</w:t>
      </w:r>
      <w:r w:rsidRPr="00580257">
        <w:rPr>
          <w:rtl/>
        </w:rPr>
        <w:t>הא ליכי דמים והביא לי ירק מן השוק</w:t>
      </w:r>
      <w:r w:rsidRPr="00580257">
        <w:rPr>
          <w:rFonts w:hint="cs"/>
          <w:rtl/>
        </w:rPr>
        <w:t>'!</w:t>
      </w:r>
      <w:r w:rsidRPr="00580257">
        <w:rPr>
          <w:rtl/>
        </w:rPr>
        <w:t xml:space="preserve"> אמרו לי, מפני מה</w:t>
      </w:r>
      <w:r w:rsidRPr="00580257">
        <w:rPr>
          <w:rFonts w:hint="cs"/>
          <w:rtl/>
        </w:rPr>
        <w:t>?</w:t>
      </w:r>
      <w:r w:rsidRPr="00580257">
        <w:rPr>
          <w:rtl/>
        </w:rPr>
        <w:t xml:space="preserve"> אמרתי להן</w:t>
      </w:r>
      <w:r w:rsidRPr="00580257">
        <w:rPr>
          <w:rFonts w:hint="cs"/>
          <w:rtl/>
        </w:rPr>
        <w:t>:</w:t>
      </w:r>
      <w:r w:rsidRPr="00580257">
        <w:rPr>
          <w:rtl/>
        </w:rPr>
        <w:t xml:space="preserve"> רבותיי, מפני שהאשה משלמת נפשה על סעודת שעה, ועוברת עבירה ואומרת, אין בכך כלום, שנאמר עורנו כתנור נכמרו, ואומר נשים בציון עינו (איכה ה' י' וי"א), וכי מה עינין זה לזה, אלא ללמדך, שכל זמן שהרעב בעולם, אשה משלמת עצמה ועוברת עבירה ואומרת, אין בכך כלום, לכך נאמר עורנו כתנור נכמרו [וגו'] נשים בציון [וגו']</w:t>
      </w:r>
      <w:r w:rsidRPr="00580257">
        <w:rPr>
          <w:rFonts w:hint="cs"/>
          <w:rtl/>
        </w:rPr>
        <w:t xml:space="preserve">. </w:t>
      </w:r>
      <w:r w:rsidRPr="00580257">
        <w:rPr>
          <w:b/>
          <w:bCs/>
          <w:rtl/>
        </w:rPr>
        <w:t>מאותה שעה תקנו חכמים אותה הלכה, מי שמת והניח בנים ובנות, בזמן שהנכסים מרובים הבנים יירשו והבנות יזונו, נכסים מועטין הבנות יזונו הבנים ישאלו על הפתחים</w:t>
      </w:r>
      <w:r w:rsidRPr="00580257">
        <w:rPr>
          <w:rFonts w:hint="cs"/>
          <w:b/>
          <w:bCs/>
          <w:rtl/>
        </w:rPr>
        <w:t>.</w:t>
      </w:r>
    </w:p>
  </w:footnote>
  <w:footnote w:id="2922">
    <w:p w14:paraId="4A411669" w14:textId="77777777" w:rsidR="00DF1FC7" w:rsidRDefault="00DF1FC7" w:rsidP="002E5BAD">
      <w:pPr>
        <w:pStyle w:val="a5"/>
        <w:rPr>
          <w:rtl/>
        </w:rPr>
      </w:pPr>
      <w:r>
        <w:rPr>
          <w:rStyle w:val="a7"/>
        </w:rPr>
        <w:footnoteRef/>
      </w:r>
      <w:r>
        <w:rPr>
          <w:rtl/>
        </w:rPr>
        <w:t xml:space="preserve"> </w:t>
      </w:r>
      <w:r w:rsidRPr="009731D8">
        <w:rPr>
          <w:rFonts w:cs="Arial"/>
          <w:rtl/>
        </w:rPr>
        <w:t>שכך התנה להן אביהן עד דתבגרן או תנסבן כדאמר בכתובות ואינך מועטין ויזונו הבנות עד שיבגרו והמותר לבנים כדמפרש ואזיל</w:t>
      </w:r>
      <w:r>
        <w:rPr>
          <w:rFonts w:cs="Arial" w:hint="cs"/>
          <w:rtl/>
        </w:rPr>
        <w:t>, רשב"ם</w:t>
      </w:r>
      <w:r w:rsidRPr="009731D8">
        <w:rPr>
          <w:rFonts w:cs="Arial"/>
          <w:rtl/>
        </w:rPr>
        <w:t>.</w:t>
      </w:r>
    </w:p>
  </w:footnote>
  <w:footnote w:id="2923">
    <w:p w14:paraId="3E059E66" w14:textId="77777777" w:rsidR="00DF1FC7" w:rsidRDefault="00DF1FC7" w:rsidP="002E5BAD">
      <w:pPr>
        <w:pStyle w:val="a5"/>
        <w:rPr>
          <w:rtl/>
        </w:rPr>
      </w:pPr>
      <w:r>
        <w:rPr>
          <w:rStyle w:val="a7"/>
        </w:rPr>
        <w:footnoteRef/>
      </w:r>
      <w:r>
        <w:rPr>
          <w:rtl/>
        </w:rPr>
        <w:t xml:space="preserve"> </w:t>
      </w:r>
      <w:r>
        <w:rPr>
          <w:rFonts w:hint="cs"/>
          <w:rtl/>
        </w:rPr>
        <w:t xml:space="preserve">הב"י הביא את מה שכתב הנמוק"י בשם הריטב"א עד כאן, אבל מה שכתבו הנמוק"י והריטב"א לגבי פרנסת נישואין </w:t>
      </w:r>
      <w:r>
        <w:rPr>
          <w:rtl/>
        </w:rPr>
        <w:t>–</w:t>
      </w:r>
      <w:r>
        <w:rPr>
          <w:rFonts w:hint="cs"/>
          <w:rtl/>
        </w:rPr>
        <w:t xml:space="preserve"> הב"י לא הביא. </w:t>
      </w:r>
      <w:r w:rsidRPr="00DC755E">
        <w:rPr>
          <w:rFonts w:hint="cs"/>
          <w:color w:val="FF0000"/>
          <w:rtl/>
        </w:rPr>
        <w:t xml:space="preserve">וצל"ע מדוע. </w:t>
      </w:r>
      <w:r>
        <w:rPr>
          <w:rFonts w:hint="cs"/>
          <w:rtl/>
        </w:rPr>
        <w:t>ומ"מ הדרכ"מ (אות ג) הביא פרט זה</w:t>
      </w:r>
      <w:r>
        <w:rPr>
          <w:rFonts w:cs="Arial" w:hint="cs"/>
          <w:rtl/>
        </w:rPr>
        <w:t>.</w:t>
      </w:r>
    </w:p>
  </w:footnote>
  <w:footnote w:id="2924">
    <w:p w14:paraId="789A8A3D" w14:textId="77777777" w:rsidR="00DF1FC7" w:rsidRDefault="00DF1FC7" w:rsidP="002E5BAD">
      <w:pPr>
        <w:pStyle w:val="a5"/>
      </w:pPr>
      <w:r>
        <w:rPr>
          <w:rStyle w:val="a7"/>
        </w:rPr>
        <w:footnoteRef/>
      </w:r>
      <w:r>
        <w:rPr>
          <w:rtl/>
        </w:rPr>
        <w:t xml:space="preserve"> </w:t>
      </w:r>
      <w:r w:rsidRPr="00F16681">
        <w:rPr>
          <w:rFonts w:cs="Arial"/>
          <w:rtl/>
        </w:rPr>
        <w:t>וכן הוא לקמן בסמוך דעישור נכסי פרנסת הבת אינו ממעט בנכסי</w:t>
      </w:r>
      <w:r>
        <w:rPr>
          <w:rFonts w:cs="Arial" w:hint="cs"/>
          <w:rtl/>
        </w:rPr>
        <w:t>ם, דרכ"מ (אות ג).</w:t>
      </w:r>
      <w:r>
        <w:rPr>
          <w:rFonts w:hint="cs"/>
          <w:rtl/>
        </w:rPr>
        <w:t xml:space="preserve"> </w:t>
      </w:r>
      <w:r w:rsidRPr="00DE45D1">
        <w:rPr>
          <w:rFonts w:cs="Arial"/>
          <w:rtl/>
        </w:rPr>
        <w:t xml:space="preserve">וכן לדעת תוספות </w:t>
      </w:r>
      <w:r>
        <w:rPr>
          <w:rFonts w:cs="Arial" w:hint="cs"/>
          <w:rtl/>
        </w:rPr>
        <w:t xml:space="preserve">(קלט: ד"ה מי שמת) </w:t>
      </w:r>
      <w:r w:rsidRPr="00DE45D1">
        <w:rPr>
          <w:rFonts w:cs="Arial"/>
          <w:rtl/>
        </w:rPr>
        <w:t>הנדוניא אינו בכלל</w:t>
      </w:r>
      <w:r>
        <w:rPr>
          <w:rFonts w:cs="Arial" w:hint="cs"/>
          <w:rtl/>
        </w:rPr>
        <w:t>.</w:t>
      </w:r>
      <w:r w:rsidRPr="00DE45D1">
        <w:rPr>
          <w:rFonts w:cs="Arial"/>
          <w:rtl/>
        </w:rPr>
        <w:t xml:space="preserve"> מיהו בתו</w:t>
      </w:r>
      <w:r>
        <w:rPr>
          <w:rFonts w:cs="Arial" w:hint="cs"/>
          <w:rtl/>
        </w:rPr>
        <w:t>ס</w:t>
      </w:r>
      <w:r w:rsidRPr="00DE45D1">
        <w:rPr>
          <w:rFonts w:cs="Arial"/>
          <w:rtl/>
        </w:rPr>
        <w:t>' יש לדייק גם מלבושים אינן בכלל</w:t>
      </w:r>
      <w:r>
        <w:rPr>
          <w:rFonts w:cs="Arial" w:hint="cs"/>
          <w:rtl/>
        </w:rPr>
        <w:t>, ב"ש (סק"כ). וסיים הב"ש (שם) שכדברי הריטב"א עיקר.</w:t>
      </w:r>
    </w:p>
  </w:footnote>
  <w:footnote w:id="2925">
    <w:p w14:paraId="5BB64889" w14:textId="77777777" w:rsidR="00DF1FC7" w:rsidRDefault="00DF1FC7" w:rsidP="002E5BAD">
      <w:pPr>
        <w:pStyle w:val="a5"/>
        <w:rPr>
          <w:rtl/>
        </w:rPr>
      </w:pPr>
      <w:r>
        <w:rPr>
          <w:rStyle w:val="a7"/>
        </w:rPr>
        <w:footnoteRef/>
      </w:r>
      <w:r>
        <w:rPr>
          <w:rtl/>
        </w:rPr>
        <w:t xml:space="preserve"> </w:t>
      </w:r>
      <w:r>
        <w:rPr>
          <w:rFonts w:hint="cs"/>
          <w:rtl/>
        </w:rPr>
        <w:t xml:space="preserve">רשב"ם, וז"ל- </w:t>
      </w:r>
      <w:r w:rsidRPr="000259A9">
        <w:rPr>
          <w:rFonts w:cs="Arial"/>
          <w:rtl/>
        </w:rPr>
        <w:t xml:space="preserve">מזונות ופרנסת נשואין עד דתבגרן או עד דתנסבן לגוברין כדתנן בכתובות </w:t>
      </w:r>
      <w:r w:rsidRPr="008B4495">
        <w:rPr>
          <w:rFonts w:cs="Arial"/>
          <w:sz w:val="16"/>
          <w:szCs w:val="16"/>
          <w:rtl/>
        </w:rPr>
        <w:t>(נב:</w:t>
      </w:r>
      <w:r w:rsidRPr="008B4495">
        <w:rPr>
          <w:rFonts w:cs="Arial" w:hint="cs"/>
          <w:sz w:val="16"/>
          <w:szCs w:val="16"/>
          <w:rtl/>
        </w:rPr>
        <w:t>-</w:t>
      </w:r>
      <w:r w:rsidRPr="008B4495">
        <w:rPr>
          <w:rFonts w:cs="Arial"/>
          <w:sz w:val="16"/>
          <w:szCs w:val="16"/>
          <w:rtl/>
        </w:rPr>
        <w:t>נג</w:t>
      </w:r>
      <w:r w:rsidRPr="008B4495">
        <w:rPr>
          <w:rFonts w:cs="Arial" w:hint="cs"/>
          <w:sz w:val="16"/>
          <w:szCs w:val="16"/>
          <w:rtl/>
        </w:rPr>
        <w:t>.</w:t>
      </w:r>
      <w:r w:rsidRPr="008B4495">
        <w:rPr>
          <w:rFonts w:cs="Arial"/>
          <w:sz w:val="16"/>
          <w:szCs w:val="16"/>
          <w:rtl/>
        </w:rPr>
        <w:t>)</w:t>
      </w:r>
      <w:r w:rsidRPr="000259A9">
        <w:rPr>
          <w:rFonts w:cs="Arial"/>
          <w:rtl/>
        </w:rPr>
        <w:t>.</w:t>
      </w:r>
    </w:p>
  </w:footnote>
  <w:footnote w:id="2926">
    <w:p w14:paraId="7B098BB4" w14:textId="77777777" w:rsidR="00DF1FC7" w:rsidRDefault="00DF1FC7" w:rsidP="002E5BAD">
      <w:pPr>
        <w:pStyle w:val="a5"/>
      </w:pPr>
      <w:r>
        <w:rPr>
          <w:rStyle w:val="a7"/>
        </w:rPr>
        <w:footnoteRef/>
      </w:r>
      <w:r>
        <w:rPr>
          <w:rtl/>
        </w:rPr>
        <w:t xml:space="preserve"> </w:t>
      </w:r>
      <w:r w:rsidRPr="00647216">
        <w:rPr>
          <w:rFonts w:cs="Arial"/>
          <w:rtl/>
        </w:rPr>
        <w:t>ולכאורה נראה אף להנ</w:t>
      </w:r>
      <w:r>
        <w:rPr>
          <w:rFonts w:cs="Arial" w:hint="cs"/>
          <w:rtl/>
        </w:rPr>
        <w:t>מוק</w:t>
      </w:r>
      <w:r w:rsidRPr="00647216">
        <w:rPr>
          <w:rFonts w:cs="Arial"/>
          <w:rtl/>
        </w:rPr>
        <w:t>"י אסור להם למכור</w:t>
      </w:r>
      <w:r>
        <w:rPr>
          <w:rFonts w:cs="Arial" w:hint="cs"/>
          <w:rtl/>
        </w:rPr>
        <w:t>,</w:t>
      </w:r>
      <w:r w:rsidRPr="00647216">
        <w:rPr>
          <w:rFonts w:cs="Arial"/>
          <w:rtl/>
        </w:rPr>
        <w:t xml:space="preserve"> אלא ס"ל דאי</w:t>
      </w:r>
      <w:r>
        <w:rPr>
          <w:rFonts w:cs="Arial" w:hint="cs"/>
          <w:rtl/>
        </w:rPr>
        <w:t>ן יכולות</w:t>
      </w:r>
      <w:r w:rsidRPr="00647216">
        <w:rPr>
          <w:rFonts w:cs="Arial"/>
          <w:rtl/>
        </w:rPr>
        <w:t xml:space="preserve"> הבנות להכריח את היורשים שישלשו כדי שאל ימכרו</w:t>
      </w:r>
      <w:r>
        <w:rPr>
          <w:rFonts w:cs="Arial" w:hint="cs"/>
          <w:rtl/>
        </w:rPr>
        <w:t>,</w:t>
      </w:r>
      <w:r w:rsidRPr="00647216">
        <w:rPr>
          <w:rFonts w:cs="Arial"/>
          <w:rtl/>
        </w:rPr>
        <w:t xml:space="preserve"> אלא אם מכרו המכר קיים ואין מחויבים להשליש על זה</w:t>
      </w:r>
      <w:r>
        <w:rPr>
          <w:rFonts w:cs="Arial" w:hint="cs"/>
          <w:rtl/>
        </w:rPr>
        <w:t>, ב"ש (סקכ"ג).</w:t>
      </w:r>
    </w:p>
  </w:footnote>
  <w:footnote w:id="2927">
    <w:p w14:paraId="384173B9" w14:textId="77777777" w:rsidR="00DF1FC7" w:rsidRDefault="00DF1FC7" w:rsidP="002E5BAD">
      <w:pPr>
        <w:pStyle w:val="a5"/>
      </w:pPr>
      <w:r>
        <w:rPr>
          <w:rStyle w:val="a7"/>
        </w:rPr>
        <w:footnoteRef/>
      </w:r>
      <w:r>
        <w:rPr>
          <w:rtl/>
        </w:rPr>
        <w:t xml:space="preserve"> </w:t>
      </w:r>
      <w:r>
        <w:rPr>
          <w:rFonts w:hint="cs"/>
          <w:rtl/>
        </w:rPr>
        <w:t xml:space="preserve">וז"ל- </w:t>
      </w:r>
      <w:r w:rsidRPr="00647216">
        <w:rPr>
          <w:rFonts w:cs="Arial"/>
          <w:rtl/>
        </w:rPr>
        <w:t>וי"ל דיש חילוק דבנכסים מרובין יכולין למכור לצורך גדול אבל בנכסים מועטין אין יכולין למכור כלל לכתחלה</w:t>
      </w:r>
      <w:r>
        <w:rPr>
          <w:rFonts w:cs="Arial" w:hint="cs"/>
          <w:rtl/>
        </w:rPr>
        <w:t>.</w:t>
      </w:r>
    </w:p>
  </w:footnote>
  <w:footnote w:id="2928">
    <w:p w14:paraId="42015972" w14:textId="77777777" w:rsidR="00DF1FC7" w:rsidRDefault="00DF1FC7" w:rsidP="002E5BAD">
      <w:pPr>
        <w:pStyle w:val="a5"/>
      </w:pPr>
      <w:r>
        <w:rPr>
          <w:rStyle w:val="a7"/>
        </w:rPr>
        <w:footnoteRef/>
      </w:r>
      <w:r>
        <w:rPr>
          <w:rtl/>
        </w:rPr>
        <w:t xml:space="preserve"> </w:t>
      </w:r>
      <w:r>
        <w:rPr>
          <w:rFonts w:hint="cs"/>
          <w:rtl/>
        </w:rPr>
        <w:t xml:space="preserve">וז"ל- </w:t>
      </w:r>
      <w:r w:rsidRPr="00E2429C">
        <w:rPr>
          <w:rFonts w:cs="Arial"/>
          <w:rtl/>
        </w:rPr>
        <w:t>משמע כיון דלא תפשו מחיים ואפילו תפשו לאחר מיתה לא היה מועיל כלום אלא מה שמכרו מכרו וא"ת א"כ מה חילוק יש בין נכסים מרובים לנכסים מועטים כיון שיכולין למכור אפילו תפשו או הגבו ב"ד דהא גם הנכסים מרובים סברא הוא שלא יוכלו למכור הכל [*פי' לכתחלה] וי"ל דבנכסים מרובים יכולים למכור לכתחלה לצורך דבר מצוה כגון לפדיון שבוים וכיוצא בהם אבל בנכסים מועטין כלל אין מותר למכור לו לכתחלה.</w:t>
      </w:r>
    </w:p>
  </w:footnote>
  <w:footnote w:id="2929">
    <w:p w14:paraId="48D15111" w14:textId="77777777" w:rsidR="00DF1FC7" w:rsidRDefault="00DF1FC7" w:rsidP="002E5BAD">
      <w:pPr>
        <w:pStyle w:val="a5"/>
      </w:pPr>
      <w:r>
        <w:rPr>
          <w:rStyle w:val="a7"/>
        </w:rPr>
        <w:footnoteRef/>
      </w:r>
      <w:r>
        <w:rPr>
          <w:rtl/>
        </w:rPr>
        <w:t xml:space="preserve"> </w:t>
      </w:r>
      <w:r w:rsidRPr="00164290">
        <w:rPr>
          <w:rFonts w:cs="Arial"/>
          <w:rtl/>
        </w:rPr>
        <w:t>עיין בס' בית מאיר שנסתפק כי לפ"ד נראה דשיעור זה לא שייך אלא היכא דהבנים נמי קטנים וצריכים ליזון משל אביהם אבל אם הם כבר גדולים וסמוכים על שולחן עצמם אין לשער בצורכי הבנים מידי וכן מסתבר דבשלמא אם נמי צריכים יש טעם לשיעור זה כו' והניח בצ"ע. ומ"ש הבה"ט בשם הרשד"ם שיעור זה משערין בנכסים עצמם מונחים בקופסא ולא עם מה שאפשר להרויח עמהם כו'</w:t>
      </w:r>
      <w:r>
        <w:rPr>
          <w:rFonts w:cs="Arial" w:hint="cs"/>
          <w:rtl/>
        </w:rPr>
        <w:t>.</w:t>
      </w:r>
      <w:r w:rsidRPr="00164290">
        <w:rPr>
          <w:rFonts w:cs="Arial"/>
          <w:rtl/>
        </w:rPr>
        <w:t xml:space="preserve"> ע' בס' ב"מ מ"ש בזה. ומ"ש עוד היה הבן במקום א' כו' עיין בזה במל"מ פי"ט מה"א דין י"ז שכתב בשם הרש"ך ח"א סי' קע"ז דאף אם הבנים הם במקום אחר מחייבים אותם להפריש חלק הבנות יעו"ש. וכפי הנראה חסר תיבת אין וצ"ל אין מחייבים</w:t>
      </w:r>
      <w:r>
        <w:rPr>
          <w:rFonts w:cs="Arial" w:hint="cs"/>
          <w:rtl/>
        </w:rPr>
        <w:t>, פת"ש (סק"ד).</w:t>
      </w:r>
    </w:p>
  </w:footnote>
  <w:footnote w:id="2930">
    <w:p w14:paraId="211FCD2C" w14:textId="77777777" w:rsidR="00DF1FC7" w:rsidRDefault="00DF1FC7" w:rsidP="002E5BAD">
      <w:pPr>
        <w:pStyle w:val="a5"/>
      </w:pPr>
      <w:r>
        <w:rPr>
          <w:rStyle w:val="a7"/>
        </w:rPr>
        <w:footnoteRef/>
      </w:r>
      <w:r>
        <w:rPr>
          <w:rtl/>
        </w:rPr>
        <w:t xml:space="preserve"> </w:t>
      </w:r>
      <w:r w:rsidRPr="00315A42">
        <w:rPr>
          <w:rFonts w:cs="Arial"/>
          <w:rtl/>
        </w:rPr>
        <w:t>ונותני</w:t>
      </w:r>
      <w:r>
        <w:rPr>
          <w:rFonts w:cs="Arial" w:hint="cs"/>
          <w:rtl/>
        </w:rPr>
        <w:t xml:space="preserve">ם </w:t>
      </w:r>
      <w:r w:rsidRPr="00315A42">
        <w:rPr>
          <w:rFonts w:cs="Arial"/>
          <w:rtl/>
        </w:rPr>
        <w:t>ביד הב"ד או ליד אפטרופוס שלה</w:t>
      </w:r>
      <w:r>
        <w:rPr>
          <w:rFonts w:cs="Arial" w:hint="cs"/>
          <w:rtl/>
        </w:rPr>
        <w:t>ם,</w:t>
      </w:r>
      <w:r w:rsidRPr="00315A42">
        <w:rPr>
          <w:rFonts w:cs="Arial"/>
          <w:rtl/>
        </w:rPr>
        <w:t xml:space="preserve"> וכן כתב המגיד</w:t>
      </w:r>
      <w:r>
        <w:rPr>
          <w:rFonts w:cs="Arial" w:hint="cs"/>
          <w:rtl/>
        </w:rPr>
        <w:t xml:space="preserve"> (פי"ט הי"ז)</w:t>
      </w:r>
      <w:r w:rsidRPr="00315A42">
        <w:rPr>
          <w:rFonts w:cs="Arial"/>
          <w:rtl/>
        </w:rPr>
        <w:t xml:space="preserve"> ונ</w:t>
      </w:r>
      <w:r>
        <w:rPr>
          <w:rFonts w:cs="Arial" w:hint="cs"/>
          <w:rtl/>
        </w:rPr>
        <w:t>מוק</w:t>
      </w:r>
      <w:r w:rsidRPr="00315A42">
        <w:rPr>
          <w:rFonts w:cs="Arial"/>
          <w:rtl/>
        </w:rPr>
        <w:t>"י</w:t>
      </w:r>
      <w:r>
        <w:rPr>
          <w:rFonts w:cs="Arial" w:hint="cs"/>
          <w:rtl/>
        </w:rPr>
        <w:t xml:space="preserve"> (שם), ב"ש (סקכ"א).</w:t>
      </w:r>
    </w:p>
  </w:footnote>
  <w:footnote w:id="2931">
    <w:p w14:paraId="5C0EDC36" w14:textId="77777777" w:rsidR="00DF1FC7" w:rsidRDefault="00DF1FC7" w:rsidP="002E5BAD">
      <w:pPr>
        <w:pStyle w:val="a5"/>
      </w:pPr>
      <w:r>
        <w:rPr>
          <w:rStyle w:val="a7"/>
        </w:rPr>
        <w:footnoteRef/>
      </w:r>
      <w:r>
        <w:rPr>
          <w:rtl/>
        </w:rPr>
        <w:t xml:space="preserve"> </w:t>
      </w:r>
      <w:r w:rsidRPr="00164290">
        <w:rPr>
          <w:rFonts w:cs="Arial"/>
          <w:rtl/>
        </w:rPr>
        <w:t>ואפילו בבנים קטנים הניזונים משל אב בחיי האב הר"ם מטראני ח"א סי' רע"ז</w:t>
      </w:r>
      <w:r>
        <w:rPr>
          <w:rFonts w:cs="Arial" w:hint="cs"/>
          <w:rtl/>
        </w:rPr>
        <w:t>, באה"ט (סקט"ו).</w:t>
      </w:r>
    </w:p>
  </w:footnote>
  <w:footnote w:id="2932">
    <w:p w14:paraId="4122EB8B" w14:textId="77777777" w:rsidR="00DF1FC7" w:rsidRDefault="00DF1FC7" w:rsidP="002E5BAD">
      <w:pPr>
        <w:pStyle w:val="a5"/>
      </w:pPr>
      <w:r>
        <w:rPr>
          <w:rStyle w:val="a7"/>
        </w:rPr>
        <w:footnoteRef/>
      </w:r>
      <w:r>
        <w:rPr>
          <w:rtl/>
        </w:rPr>
        <w:t xml:space="preserve"> </w:t>
      </w:r>
      <w:r w:rsidRPr="00E2429C">
        <w:rPr>
          <w:rFonts w:cs="Arial"/>
          <w:rtl/>
        </w:rPr>
        <w:t xml:space="preserve">כ"כ תוס' </w:t>
      </w:r>
      <w:r>
        <w:rPr>
          <w:rFonts w:cs="Arial" w:hint="cs"/>
          <w:rtl/>
        </w:rPr>
        <w:t xml:space="preserve">(ב"ב קמ. ד"ה יתומים) </w:t>
      </w:r>
      <w:r w:rsidRPr="00E2429C">
        <w:rPr>
          <w:rFonts w:cs="Arial"/>
          <w:rtl/>
        </w:rPr>
        <w:t>והמ</w:t>
      </w:r>
      <w:r>
        <w:rPr>
          <w:rFonts w:cs="Arial" w:hint="cs"/>
          <w:rtl/>
        </w:rPr>
        <w:t>רדכי (ב"ב סי' תרא),</w:t>
      </w:r>
      <w:r w:rsidRPr="00E2429C">
        <w:rPr>
          <w:rFonts w:cs="Arial"/>
          <w:rtl/>
        </w:rPr>
        <w:t xml:space="preserve"> </w:t>
      </w:r>
      <w:r>
        <w:rPr>
          <w:rFonts w:cs="Arial" w:hint="cs"/>
          <w:rtl/>
        </w:rPr>
        <w:t>ו</w:t>
      </w:r>
      <w:r w:rsidRPr="00E2429C">
        <w:rPr>
          <w:rFonts w:cs="Arial"/>
          <w:rtl/>
        </w:rPr>
        <w:t>היינו לדעת הפוסקים דס"ל אם קדמו ומכרו בנכסים מועטים אפי' אחר שעמדו בדין מכרן קיים</w:t>
      </w:r>
      <w:r>
        <w:rPr>
          <w:rFonts w:cs="Arial" w:hint="cs"/>
          <w:rtl/>
        </w:rPr>
        <w:t>,</w:t>
      </w:r>
      <w:r w:rsidRPr="00E2429C">
        <w:rPr>
          <w:rFonts w:cs="Arial"/>
          <w:rtl/>
        </w:rPr>
        <w:t xml:space="preserve"> </w:t>
      </w:r>
      <w:r>
        <w:rPr>
          <w:rFonts w:cs="Arial" w:hint="cs"/>
          <w:rtl/>
        </w:rPr>
        <w:t>ה</w:t>
      </w:r>
      <w:r w:rsidRPr="00E2429C">
        <w:rPr>
          <w:rFonts w:cs="Arial"/>
          <w:rtl/>
        </w:rPr>
        <w:t>קשו א"כ מה איכ</w:t>
      </w:r>
      <w:r>
        <w:rPr>
          <w:rFonts w:cs="Arial" w:hint="cs"/>
          <w:rtl/>
        </w:rPr>
        <w:t>א</w:t>
      </w:r>
      <w:r w:rsidRPr="00E2429C">
        <w:rPr>
          <w:rFonts w:cs="Arial"/>
          <w:rtl/>
        </w:rPr>
        <w:t xml:space="preserve"> בין נכסים מרובים לנכסים מועטים</w:t>
      </w:r>
      <w:r>
        <w:rPr>
          <w:rFonts w:cs="Arial" w:hint="cs"/>
          <w:rtl/>
        </w:rPr>
        <w:t>,</w:t>
      </w:r>
      <w:r w:rsidRPr="00E2429C">
        <w:rPr>
          <w:rFonts w:cs="Arial"/>
          <w:rtl/>
        </w:rPr>
        <w:t xml:space="preserve"> כי בודאי אפילו בנכסים מרובים אין להן למכור להפקיע מזונות</w:t>
      </w:r>
      <w:r>
        <w:rPr>
          <w:rFonts w:cs="Arial" w:hint="cs"/>
          <w:rtl/>
        </w:rPr>
        <w:t>.</w:t>
      </w:r>
      <w:r w:rsidRPr="00E2429C">
        <w:rPr>
          <w:rFonts w:cs="Arial"/>
          <w:rtl/>
        </w:rPr>
        <w:t xml:space="preserve"> ותרצו דנ"מ בנכסים מרובים יכולים למכור לצורך גדול כגון פדיון שבוים</w:t>
      </w:r>
      <w:r>
        <w:rPr>
          <w:rFonts w:cs="Arial" w:hint="cs"/>
          <w:rtl/>
        </w:rPr>
        <w:t>,</w:t>
      </w:r>
      <w:r w:rsidRPr="00E2429C">
        <w:rPr>
          <w:rFonts w:cs="Arial"/>
          <w:rtl/>
        </w:rPr>
        <w:t xml:space="preserve"> ובנכסים מועטים אין מוכרים לכתחלה</w:t>
      </w:r>
      <w:r>
        <w:rPr>
          <w:rFonts w:cs="Arial" w:hint="cs"/>
          <w:rtl/>
        </w:rPr>
        <w:t>.</w:t>
      </w:r>
      <w:r w:rsidRPr="00E2429C">
        <w:rPr>
          <w:rFonts w:cs="Arial"/>
          <w:rtl/>
        </w:rPr>
        <w:t xml:space="preserve"> נשמע בנכסים מרובים יכולים למכור לצורך פ</w:t>
      </w:r>
      <w:r>
        <w:rPr>
          <w:rFonts w:cs="Arial" w:hint="cs"/>
          <w:rtl/>
        </w:rPr>
        <w:t xml:space="preserve">דיון </w:t>
      </w:r>
      <w:r w:rsidRPr="00E2429C">
        <w:rPr>
          <w:rFonts w:cs="Arial"/>
          <w:rtl/>
        </w:rPr>
        <w:t>ש</w:t>
      </w:r>
      <w:r>
        <w:rPr>
          <w:rFonts w:cs="Arial" w:hint="cs"/>
          <w:rtl/>
        </w:rPr>
        <w:t>בוים</w:t>
      </w:r>
      <w:r w:rsidRPr="00E2429C">
        <w:rPr>
          <w:rFonts w:cs="Arial"/>
          <w:rtl/>
        </w:rPr>
        <w:t xml:space="preserve"> אפילו שמפקיעים מזונות</w:t>
      </w:r>
      <w:r>
        <w:rPr>
          <w:rFonts w:cs="Arial" w:hint="cs"/>
          <w:rtl/>
        </w:rPr>
        <w:t>.</w:t>
      </w:r>
      <w:r w:rsidRPr="00E2429C">
        <w:rPr>
          <w:rFonts w:cs="Arial"/>
          <w:rtl/>
        </w:rPr>
        <w:t xml:space="preserve"> מיהו י"ל דוק</w:t>
      </w:r>
      <w:r>
        <w:rPr>
          <w:rFonts w:cs="Arial" w:hint="cs"/>
          <w:rtl/>
        </w:rPr>
        <w:t>א</w:t>
      </w:r>
      <w:r w:rsidRPr="00E2429C">
        <w:rPr>
          <w:rFonts w:cs="Arial"/>
          <w:rtl/>
        </w:rPr>
        <w:t xml:space="preserve"> להני פוסקים צ"ל כן</w:t>
      </w:r>
      <w:r>
        <w:rPr>
          <w:rFonts w:cs="Arial" w:hint="cs"/>
          <w:rtl/>
        </w:rPr>
        <w:t>,</w:t>
      </w:r>
      <w:r w:rsidRPr="00E2429C">
        <w:rPr>
          <w:rFonts w:cs="Arial"/>
          <w:rtl/>
        </w:rPr>
        <w:t xml:space="preserve"> אבל לדעת הפוסקים דס"ל דמכר בטל אם מכרו אחר שעמדו בדין יש חילוק אחר בין נכסים מרובים לנכסים מועטים</w:t>
      </w:r>
      <w:r>
        <w:rPr>
          <w:rFonts w:cs="Arial" w:hint="cs"/>
          <w:rtl/>
        </w:rPr>
        <w:t>,</w:t>
      </w:r>
      <w:r w:rsidRPr="00E2429C">
        <w:rPr>
          <w:rFonts w:cs="Arial"/>
          <w:rtl/>
        </w:rPr>
        <w:t xml:space="preserve"> וי</w:t>
      </w:r>
      <w:r>
        <w:rPr>
          <w:rFonts w:cs="Arial" w:hint="cs"/>
          <w:rtl/>
        </w:rPr>
        <w:t>ש לומר</w:t>
      </w:r>
      <w:r w:rsidRPr="00E2429C">
        <w:rPr>
          <w:rFonts w:cs="Arial"/>
          <w:rtl/>
        </w:rPr>
        <w:t xml:space="preserve"> אפי' לצורך פ</w:t>
      </w:r>
      <w:r>
        <w:rPr>
          <w:rFonts w:cs="Arial" w:hint="cs"/>
          <w:rtl/>
        </w:rPr>
        <w:t xml:space="preserve">דיון </w:t>
      </w:r>
      <w:r w:rsidRPr="00E2429C">
        <w:rPr>
          <w:rFonts w:cs="Arial"/>
          <w:rtl/>
        </w:rPr>
        <w:t>ש</w:t>
      </w:r>
      <w:r>
        <w:rPr>
          <w:rFonts w:cs="Arial" w:hint="cs"/>
          <w:rtl/>
        </w:rPr>
        <w:t>בוים</w:t>
      </w:r>
      <w:r w:rsidRPr="00E2429C">
        <w:rPr>
          <w:rFonts w:cs="Arial"/>
          <w:rtl/>
        </w:rPr>
        <w:t xml:space="preserve"> אי</w:t>
      </w:r>
      <w:r>
        <w:rPr>
          <w:rFonts w:cs="Arial" w:hint="cs"/>
          <w:rtl/>
        </w:rPr>
        <w:t>נם יכולים</w:t>
      </w:r>
      <w:r w:rsidRPr="00E2429C">
        <w:rPr>
          <w:rFonts w:cs="Arial"/>
          <w:rtl/>
        </w:rPr>
        <w:t xml:space="preserve"> למכור לכתחלה להפקיע מזונות</w:t>
      </w:r>
      <w:r>
        <w:rPr>
          <w:rFonts w:cs="Arial" w:hint="cs"/>
          <w:rtl/>
        </w:rPr>
        <w:t>, ב"ש (סקכ"ב).</w:t>
      </w:r>
    </w:p>
  </w:footnote>
  <w:footnote w:id="2933">
    <w:p w14:paraId="73B30ADC" w14:textId="77777777" w:rsidR="00DF1FC7" w:rsidRDefault="00DF1FC7" w:rsidP="002E5BAD">
      <w:pPr>
        <w:pStyle w:val="a5"/>
      </w:pPr>
      <w:r>
        <w:rPr>
          <w:rStyle w:val="a7"/>
        </w:rPr>
        <w:footnoteRef/>
      </w:r>
      <w:r>
        <w:rPr>
          <w:rtl/>
        </w:rPr>
        <w:t xml:space="preserve"> </w:t>
      </w:r>
      <w:r w:rsidRPr="00214C92">
        <w:rPr>
          <w:rFonts w:cs="Arial"/>
          <w:rtl/>
        </w:rPr>
        <w:t>נראה היינו כל הנכסי' או רובן שלא ישאר לבנו' מזונו' עד שיבגרו אבל אם ישאר לבנו</w:t>
      </w:r>
      <w:r>
        <w:rPr>
          <w:rFonts w:cs="Arial" w:hint="cs"/>
          <w:rtl/>
        </w:rPr>
        <w:t>ת</w:t>
      </w:r>
      <w:r w:rsidRPr="00214C92">
        <w:rPr>
          <w:rFonts w:cs="Arial"/>
          <w:rtl/>
        </w:rPr>
        <w:t xml:space="preserve"> כדי שעבודן למה לא ימכרו לכתחלה הא כבר פסק דאין מחוייבים הבנים לצמצם במזונו' ולדבר מצוה אפילו כל הנכסים מותר למכור מאחר דהנכסים ברשותן אעפ"י שלא יהיה לבנות ממה ליזון לא עדיפי מהבנים בנכסים מרובים</w:t>
      </w:r>
      <w:r>
        <w:rPr>
          <w:rFonts w:cs="Arial" w:hint="cs"/>
          <w:rtl/>
        </w:rPr>
        <w:t>, ח"מ (סקכ"ג).</w:t>
      </w:r>
    </w:p>
  </w:footnote>
  <w:footnote w:id="2934">
    <w:p w14:paraId="36B4922F" w14:textId="77777777" w:rsidR="00DF1FC7" w:rsidRDefault="00DF1FC7" w:rsidP="002E5BAD">
      <w:pPr>
        <w:pStyle w:val="a5"/>
        <w:rPr>
          <w:rtl/>
        </w:rPr>
      </w:pPr>
      <w:r>
        <w:rPr>
          <w:rStyle w:val="a7"/>
        </w:rPr>
        <w:footnoteRef/>
      </w:r>
      <w:r>
        <w:rPr>
          <w:rtl/>
        </w:rPr>
        <w:t xml:space="preserve"> </w:t>
      </w:r>
      <w:r w:rsidRPr="009B5382">
        <w:rPr>
          <w:rFonts w:cs="Arial"/>
          <w:rtl/>
        </w:rPr>
        <w:t>וכיוצא בזה כתבתי בסימן שקודם זה (קסא. ד"ה ומ"ש ודוקא) לענין כתובת בנין דכרין בשם הריב"ש (סי' קו)</w:t>
      </w:r>
      <w:r>
        <w:rPr>
          <w:rFonts w:cs="Arial" w:hint="cs"/>
          <w:rtl/>
        </w:rPr>
        <w:t xml:space="preserve">, ב"י (בבדה"ב). </w:t>
      </w:r>
      <w:r w:rsidRPr="00F16681">
        <w:rPr>
          <w:rFonts w:cs="Arial"/>
          <w:rtl/>
        </w:rPr>
        <w:t>ועיין לעיל סי' קי"א לענין כתובת בנין דכרין אי מהני אגב</w:t>
      </w:r>
      <w:r>
        <w:rPr>
          <w:rFonts w:cs="Arial" w:hint="cs"/>
          <w:rtl/>
        </w:rPr>
        <w:t>, דרכ"מ (אות ג*).</w:t>
      </w:r>
    </w:p>
  </w:footnote>
  <w:footnote w:id="2935">
    <w:p w14:paraId="4858DD15" w14:textId="77777777" w:rsidR="00DF1FC7" w:rsidRDefault="00DF1FC7" w:rsidP="002E5BAD">
      <w:pPr>
        <w:pStyle w:val="a5"/>
      </w:pPr>
      <w:r>
        <w:rPr>
          <w:rStyle w:val="a7"/>
        </w:rPr>
        <w:footnoteRef/>
      </w:r>
      <w:r>
        <w:rPr>
          <w:rtl/>
        </w:rPr>
        <w:t xml:space="preserve"> </w:t>
      </w:r>
      <w:r w:rsidRPr="00F338F4">
        <w:rPr>
          <w:rFonts w:cs="Arial"/>
          <w:rtl/>
        </w:rPr>
        <w:t>כלומר והנכסים בחזקת שניהם ולא כמרובין ולא כמועטין</w:t>
      </w:r>
      <w:r>
        <w:rPr>
          <w:rFonts w:cs="Arial" w:hint="cs"/>
          <w:rtl/>
        </w:rPr>
        <w:t>, ח"מ (סקכ"ד).</w:t>
      </w:r>
    </w:p>
  </w:footnote>
  <w:footnote w:id="2936">
    <w:p w14:paraId="14263776" w14:textId="77777777" w:rsidR="00DF1FC7" w:rsidRDefault="00DF1FC7" w:rsidP="002E5BAD">
      <w:pPr>
        <w:pStyle w:val="a5"/>
      </w:pPr>
      <w:r>
        <w:rPr>
          <w:rStyle w:val="a7"/>
        </w:rPr>
        <w:footnoteRef/>
      </w:r>
      <w:r>
        <w:rPr>
          <w:rtl/>
        </w:rPr>
        <w:t xml:space="preserve"> </w:t>
      </w:r>
      <w:r w:rsidRPr="0001487A">
        <w:rPr>
          <w:rFonts w:cs="Arial"/>
          <w:rtl/>
        </w:rPr>
        <w:t>בשעת מיתה היו מרובין</w:t>
      </w:r>
      <w:r>
        <w:rPr>
          <w:rFonts w:cs="Arial" w:hint="cs"/>
          <w:rtl/>
        </w:rPr>
        <w:t>,</w:t>
      </w:r>
      <w:r w:rsidRPr="0001487A">
        <w:rPr>
          <w:rFonts w:cs="Arial"/>
          <w:rtl/>
        </w:rPr>
        <w:t xml:space="preserve"> ועכשיו הוקירו מזונות או נתקלקלו הנכסים ואין בהם כדי מזונות אלו ואלו עד שיבגורו</w:t>
      </w:r>
      <w:r>
        <w:rPr>
          <w:rFonts w:cs="Arial" w:hint="cs"/>
          <w:rtl/>
        </w:rPr>
        <w:t>, רשב"ם.</w:t>
      </w:r>
    </w:p>
  </w:footnote>
  <w:footnote w:id="2937">
    <w:p w14:paraId="192A72A0" w14:textId="77777777" w:rsidR="00DF1FC7" w:rsidRDefault="00DF1FC7" w:rsidP="002E5BAD">
      <w:pPr>
        <w:pStyle w:val="a5"/>
        <w:rPr>
          <w:rtl/>
        </w:rPr>
      </w:pPr>
      <w:r>
        <w:rPr>
          <w:rStyle w:val="a7"/>
        </w:rPr>
        <w:footnoteRef/>
      </w:r>
      <w:r>
        <w:rPr>
          <w:rtl/>
        </w:rPr>
        <w:t xml:space="preserve"> </w:t>
      </w:r>
      <w:r w:rsidRPr="0001487A">
        <w:rPr>
          <w:rFonts w:cs="Arial"/>
          <w:rtl/>
        </w:rPr>
        <w:t>בשעת מיתת אביהם</w:t>
      </w:r>
      <w:r>
        <w:rPr>
          <w:rFonts w:cs="Arial" w:hint="cs"/>
          <w:rtl/>
        </w:rPr>
        <w:t>,</w:t>
      </w:r>
      <w:r w:rsidRPr="0001487A">
        <w:rPr>
          <w:rFonts w:cs="Arial"/>
          <w:rtl/>
        </w:rPr>
        <w:t xml:space="preserve"> וקרינן בהו נכסים מרובין</w:t>
      </w:r>
      <w:r>
        <w:rPr>
          <w:rFonts w:cs="Arial" w:hint="cs"/>
          <w:rtl/>
        </w:rPr>
        <w:t>,</w:t>
      </w:r>
      <w:r w:rsidRPr="0001487A">
        <w:rPr>
          <w:rFonts w:cs="Arial"/>
          <w:rtl/>
        </w:rPr>
        <w:t xml:space="preserve"> ויקחו הבנות חלקן המגיען כפי שומא של שעת מיתת אביהם</w:t>
      </w:r>
      <w:r>
        <w:rPr>
          <w:rFonts w:cs="Arial" w:hint="cs"/>
          <w:rtl/>
        </w:rPr>
        <w:t>,</w:t>
      </w:r>
      <w:r w:rsidRPr="0001487A">
        <w:rPr>
          <w:rFonts w:cs="Arial"/>
          <w:rtl/>
        </w:rPr>
        <w:t xml:space="preserve"> והבנים יקחו חלקם שהיה מגיען באותה שעה</w:t>
      </w:r>
      <w:r>
        <w:rPr>
          <w:rFonts w:cs="Arial" w:hint="cs"/>
          <w:rtl/>
        </w:rPr>
        <w:t>.</w:t>
      </w:r>
      <w:r w:rsidRPr="0001487A">
        <w:rPr>
          <w:rFonts w:cs="Arial"/>
          <w:rtl/>
        </w:rPr>
        <w:t xml:space="preserve"> וכל מה שחסרו הנכסים</w:t>
      </w:r>
      <w:r>
        <w:rPr>
          <w:rFonts w:cs="Arial" w:hint="cs"/>
          <w:rtl/>
        </w:rPr>
        <w:t>,</w:t>
      </w:r>
      <w:r w:rsidRPr="0001487A">
        <w:rPr>
          <w:rFonts w:cs="Arial"/>
          <w:rtl/>
        </w:rPr>
        <w:t xml:space="preserve"> חסרו לבנות ולבנים לכל אחד לפי חלקו הראוי לו. אבל הרא"ש </w:t>
      </w:r>
      <w:r w:rsidRPr="007038B3">
        <w:rPr>
          <w:rFonts w:cs="Arial"/>
          <w:sz w:val="16"/>
          <w:szCs w:val="16"/>
          <w:rtl/>
        </w:rPr>
        <w:t>(סי' ב)</w:t>
      </w:r>
      <w:r w:rsidRPr="0001487A">
        <w:rPr>
          <w:rFonts w:cs="Arial"/>
          <w:rtl/>
        </w:rPr>
        <w:t xml:space="preserve"> כתב פשיטא מרובים ונתמעטו זכו בהם יורשים ויזונו יחדיו עד שיכלו הנכסים</w:t>
      </w:r>
      <w:r>
        <w:rPr>
          <w:rFonts w:hint="cs"/>
          <w:rtl/>
        </w:rPr>
        <w:t>, ב"י.</w:t>
      </w:r>
    </w:p>
  </w:footnote>
  <w:footnote w:id="2938">
    <w:p w14:paraId="0C7C25EA" w14:textId="77777777" w:rsidR="00DF1FC7" w:rsidRDefault="00DF1FC7" w:rsidP="002E5BAD">
      <w:pPr>
        <w:pStyle w:val="a5"/>
      </w:pPr>
      <w:r>
        <w:rPr>
          <w:rStyle w:val="a7"/>
        </w:rPr>
        <w:footnoteRef/>
      </w:r>
      <w:r>
        <w:rPr>
          <w:rtl/>
        </w:rPr>
        <w:t xml:space="preserve"> </w:t>
      </w:r>
      <w:r>
        <w:rPr>
          <w:rFonts w:hint="cs"/>
          <w:rtl/>
        </w:rPr>
        <w:t>היינו שהנכסים ביד הבנים והם נותנים לבנות קצת קצת על מזונותיהן.</w:t>
      </w:r>
    </w:p>
  </w:footnote>
  <w:footnote w:id="2939">
    <w:p w14:paraId="11C747EB" w14:textId="77777777" w:rsidR="00DF1FC7" w:rsidRDefault="00DF1FC7" w:rsidP="002E5BAD">
      <w:pPr>
        <w:pStyle w:val="a5"/>
      </w:pPr>
      <w:r>
        <w:rPr>
          <w:rStyle w:val="a7"/>
        </w:rPr>
        <w:footnoteRef/>
      </w:r>
      <w:r>
        <w:rPr>
          <w:rFonts w:hint="cs"/>
          <w:rtl/>
        </w:rPr>
        <w:t xml:space="preserve"> כי הנכסים מועטים (מועטים </w:t>
      </w:r>
      <w:r>
        <w:rPr>
          <w:rtl/>
        </w:rPr>
        <w:t xml:space="preserve">– </w:t>
      </w:r>
      <w:r>
        <w:rPr>
          <w:rFonts w:hint="cs"/>
          <w:rtl/>
        </w:rPr>
        <w:t>לא מספיקים עד שיבגרו/יתארסו הבנות), וגם הבנים וגם הבנות אוכלים מהם, וממילא הנכסים יכלו קודם שיבגרו/יתארסו הבנות. ונקטו הרא"ש והטור תוספת לשון זו '</w:t>
      </w:r>
      <w:r w:rsidRPr="00B345A5">
        <w:rPr>
          <w:rFonts w:cs="Arial"/>
          <w:rtl/>
        </w:rPr>
        <w:t>ויזונו יחד עד שיכלו הנכסים</w:t>
      </w:r>
      <w:r>
        <w:rPr>
          <w:rFonts w:hint="cs"/>
          <w:rtl/>
        </w:rPr>
        <w:t>' רק לגלות את המציאות.</w:t>
      </w:r>
    </w:p>
  </w:footnote>
  <w:footnote w:id="2940">
    <w:p w14:paraId="251EC7E8" w14:textId="77777777" w:rsidR="00DF1FC7" w:rsidRDefault="00DF1FC7" w:rsidP="002E5BAD">
      <w:pPr>
        <w:pStyle w:val="a5"/>
      </w:pPr>
      <w:r>
        <w:rPr>
          <w:rStyle w:val="a7"/>
        </w:rPr>
        <w:footnoteRef/>
      </w:r>
      <w:r>
        <w:rPr>
          <w:rtl/>
        </w:rPr>
        <w:t xml:space="preserve"> </w:t>
      </w:r>
      <w:r w:rsidRPr="00D535F4">
        <w:rPr>
          <w:rFonts w:cs="Arial"/>
          <w:rtl/>
        </w:rPr>
        <w:t>שהוזלו מזונות</w:t>
      </w:r>
      <w:r>
        <w:rPr>
          <w:rFonts w:cs="Arial" w:hint="cs"/>
          <w:rtl/>
        </w:rPr>
        <w:t>, רשב"ם.</w:t>
      </w:r>
    </w:p>
  </w:footnote>
  <w:footnote w:id="2941">
    <w:p w14:paraId="28E7D857" w14:textId="77777777" w:rsidR="00DF1FC7" w:rsidRDefault="00DF1FC7" w:rsidP="002E5BAD">
      <w:pPr>
        <w:pStyle w:val="a5"/>
        <w:rPr>
          <w:rtl/>
        </w:rPr>
      </w:pPr>
      <w:r>
        <w:rPr>
          <w:rStyle w:val="a7"/>
        </w:rPr>
        <w:footnoteRef/>
      </w:r>
      <w:r>
        <w:rPr>
          <w:rtl/>
        </w:rPr>
        <w:t xml:space="preserve"> </w:t>
      </w:r>
      <w:r>
        <w:rPr>
          <w:rFonts w:cs="Arial" w:hint="cs"/>
          <w:rtl/>
        </w:rPr>
        <w:t>לקמן</w:t>
      </w:r>
      <w:r w:rsidRPr="00FF003E">
        <w:rPr>
          <w:rFonts w:cs="Arial"/>
          <w:rtl/>
        </w:rPr>
        <w:t xml:space="preserve"> כתב רבינו מחלוקת זה גבי יתומים שקדמו ומכרו בנכסים מועטים ויש לתמוה עליו דכיון דהרא"ש הסכים לדעת רש"י וכמו שכתב הוא ז"ל שם למה סתם דבריו כאן הפך דעת הרא"ש</w:t>
      </w:r>
      <w:r>
        <w:rPr>
          <w:rFonts w:hint="cs"/>
          <w:rtl/>
        </w:rPr>
        <w:t>, ב"י. והח"מ (סקל"א) כתב שבאמת דעת הרא"ש כאן מסכימה לדעת ר"י, אבל לגבי אחים שמכרו במועטים דעתו כרש"י. וכתב הב"ש (סקכ"ט) הטעם</w:t>
      </w:r>
      <w:r w:rsidRPr="005E4949">
        <w:rPr>
          <w:rFonts w:cs="Arial"/>
          <w:rtl/>
        </w:rPr>
        <w:t xml:space="preserve"> </w:t>
      </w:r>
      <w:r>
        <w:rPr>
          <w:rFonts w:cs="Arial" w:hint="cs"/>
          <w:rtl/>
        </w:rPr>
        <w:t>ד</w:t>
      </w:r>
      <w:r w:rsidRPr="005E4949">
        <w:rPr>
          <w:rFonts w:cs="Arial"/>
          <w:rtl/>
        </w:rPr>
        <w:t>לענין מכירה לא אמרי כן</w:t>
      </w:r>
      <w:r>
        <w:rPr>
          <w:rFonts w:cs="Arial" w:hint="cs"/>
          <w:rtl/>
        </w:rPr>
        <w:t>,</w:t>
      </w:r>
      <w:r w:rsidRPr="005E4949">
        <w:rPr>
          <w:rFonts w:cs="Arial"/>
          <w:rtl/>
        </w:rPr>
        <w:t xml:space="preserve"> </w:t>
      </w:r>
      <w:r>
        <w:rPr>
          <w:rFonts w:cs="Arial" w:hint="cs"/>
          <w:rtl/>
        </w:rPr>
        <w:t>ד</w:t>
      </w:r>
      <w:r w:rsidRPr="005E4949">
        <w:rPr>
          <w:rFonts w:cs="Arial"/>
          <w:rtl/>
        </w:rPr>
        <w:t>שאני מכירה שמפסיד אותם לגמרי</w:t>
      </w:r>
      <w:r>
        <w:rPr>
          <w:rFonts w:cs="Arial" w:hint="cs"/>
          <w:rtl/>
        </w:rPr>
        <w:t>.</w:t>
      </w:r>
      <w:r w:rsidRPr="005E4949">
        <w:rPr>
          <w:rFonts w:cs="Arial"/>
          <w:rtl/>
        </w:rPr>
        <w:t xml:space="preserve"> וכן הוא מפורש בהרא"ש</w:t>
      </w:r>
      <w:r>
        <w:rPr>
          <w:rFonts w:cs="Arial" w:hint="cs"/>
          <w:rtl/>
        </w:rPr>
        <w:t xml:space="preserve"> (ב"ב פ"ט סי' ב),</w:t>
      </w:r>
      <w:r w:rsidRPr="005E4949">
        <w:rPr>
          <w:rFonts w:cs="Arial"/>
          <w:rtl/>
        </w:rPr>
        <w:t xml:space="preserve"> והב"י לא ע' בהרא"ש</w:t>
      </w:r>
      <w:r>
        <w:rPr>
          <w:rFonts w:cs="Arial" w:hint="cs"/>
          <w:rtl/>
        </w:rPr>
        <w:t>.</w:t>
      </w:r>
      <w:r>
        <w:rPr>
          <w:rFonts w:hint="cs"/>
          <w:rtl/>
        </w:rPr>
        <w:t xml:space="preserve"> עכ"ל הב"ש. וצל"ע שלא הבנתי מאיפה הכריח שדעת הרא"ש כן (כך משמע קצת ממה שהוסיף שם הקו"נ, אבל עדיין לא הבנתי למה זה מוכרח. צל"ע).</w:t>
      </w:r>
    </w:p>
  </w:footnote>
  <w:footnote w:id="2942">
    <w:p w14:paraId="616338E7" w14:textId="77777777" w:rsidR="00DF1FC7" w:rsidRDefault="00DF1FC7" w:rsidP="002E5BAD">
      <w:pPr>
        <w:pStyle w:val="a5"/>
        <w:rPr>
          <w:rtl/>
        </w:rPr>
      </w:pPr>
      <w:r>
        <w:rPr>
          <w:rStyle w:val="a7"/>
        </w:rPr>
        <w:footnoteRef/>
      </w:r>
      <w:r>
        <w:rPr>
          <w:rtl/>
        </w:rPr>
        <w:t xml:space="preserve"> </w:t>
      </w:r>
      <w:r>
        <w:rPr>
          <w:rFonts w:hint="cs"/>
          <w:rtl/>
        </w:rPr>
        <w:t xml:space="preserve">וז"ל- </w:t>
      </w:r>
      <w:r w:rsidRPr="00A56D15">
        <w:rPr>
          <w:rFonts w:cs="Arial"/>
          <w:rtl/>
        </w:rPr>
        <w:t xml:space="preserve">יורש שמכר כל נכסי אביו, ואין בעל חוב יכול לטרוף מהלקוחות, כגון שמכרם </w:t>
      </w:r>
      <w:r>
        <w:rPr>
          <w:rFonts w:cs="Arial" w:hint="cs"/>
          <w:rtl/>
        </w:rPr>
        <w:t>לגוים</w:t>
      </w:r>
      <w:r w:rsidRPr="00A56D15">
        <w:rPr>
          <w:rFonts w:cs="Arial"/>
          <w:rtl/>
        </w:rPr>
        <w:t xml:space="preserve"> וכיוצא בזה, יש מי שאומר שגובה מהדמים שביד היתומים, וי"א שאינו גובה.</w:t>
      </w:r>
      <w:r>
        <w:rPr>
          <w:rFonts w:hint="cs"/>
          <w:rtl/>
        </w:rPr>
        <w:t xml:space="preserve"> עכ"ל. וקיי"ל די"א וי"א - הלכה כי"א בתרא.</w:t>
      </w:r>
    </w:p>
  </w:footnote>
  <w:footnote w:id="2943">
    <w:p w14:paraId="368AD1B5" w14:textId="77777777" w:rsidR="00DF1FC7" w:rsidRDefault="00DF1FC7" w:rsidP="002E5BAD">
      <w:pPr>
        <w:pStyle w:val="a5"/>
      </w:pPr>
      <w:r>
        <w:rPr>
          <w:rStyle w:val="a7"/>
        </w:rPr>
        <w:footnoteRef/>
      </w:r>
      <w:r>
        <w:rPr>
          <w:rtl/>
        </w:rPr>
        <w:t xml:space="preserve"> </w:t>
      </w:r>
      <w:r w:rsidRPr="00777FF1">
        <w:rPr>
          <w:rFonts w:cs="Arial"/>
          <w:rtl/>
        </w:rPr>
        <w:t xml:space="preserve">אע"ג דלעיל בסימן קי"א גבי כתובת בנין דכרין סעיף ה' לא פסק כן עיין בתוספות שהקשו קושיא זו </w:t>
      </w:r>
      <w:r>
        <w:rPr>
          <w:rFonts w:cs="Arial" w:hint="cs"/>
          <w:sz w:val="16"/>
          <w:szCs w:val="16"/>
          <w:rtl/>
        </w:rPr>
        <w:t>{ותירצו ד</w:t>
      </w:r>
      <w:r w:rsidRPr="00777FF1">
        <w:rPr>
          <w:rFonts w:cs="Arial"/>
          <w:sz w:val="16"/>
          <w:szCs w:val="16"/>
          <w:rtl/>
        </w:rPr>
        <w:t>כאן למעקר ירושה דאוריית</w:t>
      </w:r>
      <w:r w:rsidRPr="00777FF1">
        <w:rPr>
          <w:rFonts w:cs="Arial" w:hint="cs"/>
          <w:sz w:val="16"/>
          <w:szCs w:val="16"/>
          <w:rtl/>
        </w:rPr>
        <w:t>א</w:t>
      </w:r>
      <w:r w:rsidRPr="00777FF1">
        <w:rPr>
          <w:rFonts w:cs="Arial"/>
          <w:sz w:val="16"/>
          <w:szCs w:val="16"/>
          <w:rtl/>
        </w:rPr>
        <w:t xml:space="preserve"> שאני</w:t>
      </w:r>
      <w:r>
        <w:rPr>
          <w:rFonts w:cs="Arial" w:hint="cs"/>
          <w:sz w:val="16"/>
          <w:szCs w:val="16"/>
          <w:rtl/>
        </w:rPr>
        <w:t xml:space="preserve">} </w:t>
      </w:r>
      <w:r w:rsidRPr="00777FF1">
        <w:rPr>
          <w:rFonts w:cs="Arial"/>
          <w:rtl/>
        </w:rPr>
        <w:t>ועיין בב"ח</w:t>
      </w:r>
      <w:r>
        <w:rPr>
          <w:rFonts w:cs="Arial" w:hint="cs"/>
          <w:rtl/>
        </w:rPr>
        <w:t>, ח"מ (סקכ"ז).</w:t>
      </w:r>
      <w:r w:rsidRPr="00777FF1">
        <w:rPr>
          <w:rFonts w:cs="Arial"/>
          <w:rtl/>
        </w:rPr>
        <w:t xml:space="preserve"> </w:t>
      </w:r>
    </w:p>
  </w:footnote>
  <w:footnote w:id="2944">
    <w:p w14:paraId="069BD3CA" w14:textId="77777777" w:rsidR="00DF1FC7" w:rsidRDefault="00DF1FC7" w:rsidP="002E5BAD">
      <w:pPr>
        <w:pStyle w:val="a5"/>
      </w:pPr>
      <w:r>
        <w:rPr>
          <w:rStyle w:val="a7"/>
        </w:rPr>
        <w:footnoteRef/>
      </w:r>
      <w:r>
        <w:rPr>
          <w:rtl/>
        </w:rPr>
        <w:t xml:space="preserve"> </w:t>
      </w:r>
      <w:r w:rsidRPr="005E4949">
        <w:rPr>
          <w:rFonts w:cs="Arial"/>
          <w:rtl/>
        </w:rPr>
        <w:t>אפי' באו הנכסים ליד ב"ד והעמידו אפוטרופוס</w:t>
      </w:r>
      <w:r>
        <w:rPr>
          <w:rFonts w:cs="Arial" w:hint="cs"/>
          <w:rtl/>
        </w:rPr>
        <w:t>,</w:t>
      </w:r>
      <w:r w:rsidRPr="005E4949">
        <w:rPr>
          <w:rFonts w:cs="Arial"/>
          <w:rtl/>
        </w:rPr>
        <w:t xml:space="preserve"> מ"מ אם נתרבו חזרו לדין מרובים</w:t>
      </w:r>
      <w:r>
        <w:rPr>
          <w:rFonts w:cs="Arial" w:hint="cs"/>
          <w:rtl/>
        </w:rPr>
        <w:t>.</w:t>
      </w:r>
      <w:r w:rsidRPr="005E4949">
        <w:rPr>
          <w:rFonts w:cs="Arial"/>
          <w:rtl/>
        </w:rPr>
        <w:t xml:space="preserve"> א</w:t>
      </w:r>
      <w:r>
        <w:rPr>
          <w:rFonts w:cs="Arial" w:hint="cs"/>
          <w:rtl/>
        </w:rPr>
        <w:t>ע"ג</w:t>
      </w:r>
      <w:r w:rsidRPr="005E4949">
        <w:rPr>
          <w:rFonts w:cs="Arial"/>
          <w:rtl/>
        </w:rPr>
        <w:t xml:space="preserve"> </w:t>
      </w:r>
      <w:r>
        <w:rPr>
          <w:rFonts w:cs="Arial" w:hint="cs"/>
          <w:rtl/>
        </w:rPr>
        <w:t>ד</w:t>
      </w:r>
      <w:r w:rsidRPr="005E4949">
        <w:rPr>
          <w:rFonts w:cs="Arial"/>
          <w:rtl/>
        </w:rPr>
        <w:t>לענין מכירה לא אמרי כן</w:t>
      </w:r>
      <w:r>
        <w:rPr>
          <w:rFonts w:cs="Arial" w:hint="cs"/>
          <w:rtl/>
        </w:rPr>
        <w:t>,</w:t>
      </w:r>
      <w:r w:rsidRPr="005E4949">
        <w:rPr>
          <w:rFonts w:cs="Arial"/>
          <w:rtl/>
        </w:rPr>
        <w:t xml:space="preserve"> כמ"ש </w:t>
      </w:r>
      <w:r>
        <w:rPr>
          <w:rFonts w:cs="Arial" w:hint="cs"/>
          <w:sz w:val="16"/>
          <w:szCs w:val="16"/>
          <w:rtl/>
        </w:rPr>
        <w:t xml:space="preserve">{הרמ"א} </w:t>
      </w:r>
      <w:r w:rsidRPr="005E4949">
        <w:rPr>
          <w:rFonts w:cs="Arial"/>
          <w:rtl/>
        </w:rPr>
        <w:t>בסמוך</w:t>
      </w:r>
      <w:r>
        <w:rPr>
          <w:rFonts w:cs="Arial" w:hint="cs"/>
          <w:rtl/>
        </w:rPr>
        <w:t>,</w:t>
      </w:r>
      <w:r w:rsidRPr="005E4949">
        <w:rPr>
          <w:rFonts w:cs="Arial"/>
          <w:rtl/>
        </w:rPr>
        <w:t xml:space="preserve"> שאני מכירה שמפסיד אותם לגמרי</w:t>
      </w:r>
      <w:r>
        <w:rPr>
          <w:rFonts w:cs="Arial" w:hint="cs"/>
          <w:rtl/>
        </w:rPr>
        <w:t>.</w:t>
      </w:r>
      <w:r w:rsidRPr="005E4949">
        <w:rPr>
          <w:rFonts w:cs="Arial"/>
          <w:rtl/>
        </w:rPr>
        <w:t xml:space="preserve"> וכן הוא מפורש בהרא"ש</w:t>
      </w:r>
      <w:r>
        <w:rPr>
          <w:rFonts w:cs="Arial" w:hint="cs"/>
          <w:rtl/>
        </w:rPr>
        <w:t xml:space="preserve"> (ב"ב פ"ט סי' ב),</w:t>
      </w:r>
      <w:r w:rsidRPr="005E4949">
        <w:rPr>
          <w:rFonts w:cs="Arial"/>
          <w:rtl/>
        </w:rPr>
        <w:t xml:space="preserve"> והב"י לא ע' בהרא"ש</w:t>
      </w:r>
      <w:r>
        <w:rPr>
          <w:rFonts w:cs="Arial" w:hint="cs"/>
          <w:rtl/>
        </w:rPr>
        <w:t>.</w:t>
      </w:r>
      <w:r w:rsidRPr="005E4949">
        <w:rPr>
          <w:rFonts w:cs="Arial"/>
          <w:rtl/>
        </w:rPr>
        <w:t xml:space="preserve"> והתוס' ור</w:t>
      </w:r>
      <w:r>
        <w:rPr>
          <w:rFonts w:cs="Arial" w:hint="cs"/>
          <w:rtl/>
        </w:rPr>
        <w:t>שב"א</w:t>
      </w:r>
      <w:r w:rsidRPr="005E4949">
        <w:rPr>
          <w:rFonts w:cs="Arial"/>
          <w:rtl/>
        </w:rPr>
        <w:t xml:space="preserve"> והמגיד ס"ל אלו שני דינים שוים</w:t>
      </w:r>
      <w:r>
        <w:rPr>
          <w:rFonts w:cs="Arial" w:hint="cs"/>
          <w:rtl/>
        </w:rPr>
        <w:t>.</w:t>
      </w:r>
      <w:r w:rsidRPr="005E4949">
        <w:rPr>
          <w:rFonts w:cs="Arial"/>
          <w:rtl/>
        </w:rPr>
        <w:t xml:space="preserve"> אבל לכל הפוסקים אין חילוק בין עמדו לדין לבין אם תפסו הנכסים</w:t>
      </w:r>
      <w:r>
        <w:rPr>
          <w:rFonts w:cs="Arial" w:hint="cs"/>
          <w:rtl/>
        </w:rPr>
        <w:t>, ב"ש (סקכ"ט).</w:t>
      </w:r>
      <w:r>
        <w:rPr>
          <w:rFonts w:hint="cs"/>
          <w:rtl/>
        </w:rPr>
        <w:t xml:space="preserve"> </w:t>
      </w:r>
    </w:p>
  </w:footnote>
  <w:footnote w:id="2945">
    <w:p w14:paraId="2318A75A" w14:textId="77777777" w:rsidR="00DF1FC7" w:rsidRDefault="00DF1FC7" w:rsidP="002E5BAD">
      <w:pPr>
        <w:pStyle w:val="a5"/>
      </w:pPr>
      <w:r>
        <w:rPr>
          <w:rStyle w:val="a7"/>
        </w:rPr>
        <w:footnoteRef/>
      </w:r>
      <w:r>
        <w:rPr>
          <w:rtl/>
        </w:rPr>
        <w:t xml:space="preserve"> </w:t>
      </w:r>
      <w:r w:rsidRPr="00384F6D">
        <w:rPr>
          <w:rFonts w:cs="Arial"/>
          <w:rtl/>
        </w:rPr>
        <w:t>כן הוא ל' הטור ולא ידעתי למה לא סתם וכתב יש להם דין מרובים לענין מכירה לצורך מצוה ושהבנו</w:t>
      </w:r>
      <w:r>
        <w:rPr>
          <w:rFonts w:cs="Arial" w:hint="cs"/>
          <w:rtl/>
        </w:rPr>
        <w:t>ת</w:t>
      </w:r>
      <w:r w:rsidRPr="00384F6D">
        <w:rPr>
          <w:rFonts w:cs="Arial"/>
          <w:rtl/>
        </w:rPr>
        <w:t xml:space="preserve"> ניזונות מתחת ידם</w:t>
      </w:r>
      <w:r>
        <w:rPr>
          <w:rFonts w:cs="Arial" w:hint="cs"/>
          <w:rtl/>
        </w:rPr>
        <w:t>, ח"מ (סקכ"ט).</w:t>
      </w:r>
    </w:p>
  </w:footnote>
  <w:footnote w:id="2946">
    <w:p w14:paraId="03D8FFAA" w14:textId="77777777" w:rsidR="00DF1FC7" w:rsidRDefault="00DF1FC7" w:rsidP="002E5BAD">
      <w:pPr>
        <w:pStyle w:val="a5"/>
      </w:pPr>
      <w:r>
        <w:rPr>
          <w:rStyle w:val="a7"/>
        </w:rPr>
        <w:footnoteRef/>
      </w:r>
      <w:r>
        <w:rPr>
          <w:rtl/>
        </w:rPr>
        <w:t xml:space="preserve"> </w:t>
      </w:r>
      <w:r w:rsidRPr="00504C32">
        <w:rPr>
          <w:rFonts w:cs="Arial"/>
          <w:rtl/>
        </w:rPr>
        <w:t>אפי' ממעות דלאו הני זוזי שבק אביהם</w:t>
      </w:r>
      <w:r>
        <w:rPr>
          <w:rFonts w:cs="Arial" w:hint="cs"/>
          <w:rtl/>
        </w:rPr>
        <w:t>.</w:t>
      </w:r>
      <w:r w:rsidRPr="00504C32">
        <w:rPr>
          <w:rFonts w:cs="Arial"/>
          <w:rtl/>
        </w:rPr>
        <w:t xml:space="preserve"> והרא"ש ור</w:t>
      </w:r>
      <w:r>
        <w:rPr>
          <w:rFonts w:cs="Arial" w:hint="cs"/>
          <w:rtl/>
        </w:rPr>
        <w:t>ב האי</w:t>
      </w:r>
      <w:r w:rsidRPr="00504C32">
        <w:rPr>
          <w:rFonts w:cs="Arial"/>
          <w:rtl/>
        </w:rPr>
        <w:t xml:space="preserve"> חולקים בזה</w:t>
      </w:r>
      <w:r>
        <w:rPr>
          <w:rFonts w:cs="Arial" w:hint="cs"/>
          <w:rtl/>
        </w:rPr>
        <w:t>.</w:t>
      </w:r>
      <w:r w:rsidRPr="00504C32">
        <w:rPr>
          <w:rFonts w:cs="Arial"/>
          <w:rtl/>
        </w:rPr>
        <w:t xml:space="preserve"> ובח</w:t>
      </w:r>
      <w:r>
        <w:rPr>
          <w:rFonts w:cs="Arial" w:hint="cs"/>
          <w:rtl/>
        </w:rPr>
        <w:t>ו"מ</w:t>
      </w:r>
      <w:r w:rsidRPr="00504C32">
        <w:rPr>
          <w:rFonts w:cs="Arial"/>
          <w:rtl/>
        </w:rPr>
        <w:t xml:space="preserve"> סי' ק"ז הביא</w:t>
      </w:r>
      <w:r>
        <w:rPr>
          <w:rFonts w:cs="Arial" w:hint="cs"/>
          <w:sz w:val="16"/>
          <w:szCs w:val="16"/>
          <w:rtl/>
        </w:rPr>
        <w:t xml:space="preserve"> {השו"ע}</w:t>
      </w:r>
      <w:r w:rsidRPr="00504C32">
        <w:rPr>
          <w:rFonts w:cs="Arial"/>
          <w:rtl/>
        </w:rPr>
        <w:t xml:space="preserve"> שני דעות אלו ולא הכריע</w:t>
      </w:r>
      <w:r>
        <w:rPr>
          <w:rFonts w:cs="Arial" w:hint="cs"/>
          <w:rtl/>
        </w:rPr>
        <w:t>.</w:t>
      </w:r>
      <w:r w:rsidRPr="00504C32">
        <w:rPr>
          <w:rFonts w:cs="Arial"/>
          <w:rtl/>
        </w:rPr>
        <w:t xml:space="preserve"> וכאן הואיל היורשים מוחזקים מ</w:t>
      </w:r>
      <w:r>
        <w:rPr>
          <w:rFonts w:cs="Arial" w:hint="cs"/>
          <w:rtl/>
        </w:rPr>
        <w:t>שום הכי</w:t>
      </w:r>
      <w:r w:rsidRPr="00504C32">
        <w:rPr>
          <w:rFonts w:cs="Arial"/>
          <w:rtl/>
        </w:rPr>
        <w:t xml:space="preserve"> כתב </w:t>
      </w:r>
      <w:r>
        <w:rPr>
          <w:rFonts w:cs="Arial" w:hint="cs"/>
          <w:sz w:val="16"/>
          <w:szCs w:val="16"/>
          <w:rtl/>
        </w:rPr>
        <w:t>{הרמ"א}</w:t>
      </w:r>
      <w:r>
        <w:rPr>
          <w:rFonts w:cs="Arial" w:hint="cs"/>
          <w:rtl/>
        </w:rPr>
        <w:t xml:space="preserve"> </w:t>
      </w:r>
      <w:r w:rsidRPr="00504C32">
        <w:rPr>
          <w:rFonts w:cs="Arial"/>
          <w:rtl/>
        </w:rPr>
        <w:t>דנדחו הבנות</w:t>
      </w:r>
      <w:r>
        <w:rPr>
          <w:rFonts w:cs="Arial" w:hint="cs"/>
          <w:rtl/>
        </w:rPr>
        <w:t>.</w:t>
      </w:r>
      <w:r w:rsidRPr="00504C32">
        <w:rPr>
          <w:rFonts w:cs="Arial"/>
          <w:rtl/>
        </w:rPr>
        <w:t xml:space="preserve"> אבל שם בח</w:t>
      </w:r>
      <w:r>
        <w:rPr>
          <w:rFonts w:cs="Arial" w:hint="cs"/>
          <w:rtl/>
        </w:rPr>
        <w:t>ו"מ</w:t>
      </w:r>
      <w:r w:rsidRPr="00504C32">
        <w:rPr>
          <w:rFonts w:cs="Arial"/>
          <w:rtl/>
        </w:rPr>
        <w:t xml:space="preserve"> שניהם שוים</w:t>
      </w:r>
      <w:r>
        <w:rPr>
          <w:rFonts w:cs="Arial" w:hint="cs"/>
          <w:rtl/>
        </w:rPr>
        <w:t>,</w:t>
      </w:r>
      <w:r w:rsidRPr="00504C32">
        <w:rPr>
          <w:rFonts w:cs="Arial"/>
          <w:rtl/>
        </w:rPr>
        <w:t xml:space="preserve"> היורשים וב"ח דשיעבודו דאוריית</w:t>
      </w:r>
      <w:r>
        <w:rPr>
          <w:rFonts w:cs="Arial" w:hint="cs"/>
          <w:rtl/>
        </w:rPr>
        <w:t>א</w:t>
      </w:r>
      <w:r w:rsidRPr="00504C32">
        <w:rPr>
          <w:rFonts w:cs="Arial"/>
          <w:rtl/>
        </w:rPr>
        <w:t xml:space="preserve"> הוא</w:t>
      </w:r>
      <w:r>
        <w:rPr>
          <w:rFonts w:cs="Arial" w:hint="cs"/>
          <w:rtl/>
        </w:rPr>
        <w:t>.</w:t>
      </w:r>
      <w:r w:rsidRPr="00504C32">
        <w:rPr>
          <w:rFonts w:cs="Arial"/>
          <w:rtl/>
        </w:rPr>
        <w:t xml:space="preserve"> וע' סי' צ"ג</w:t>
      </w:r>
      <w:r>
        <w:rPr>
          <w:rFonts w:cs="Arial" w:hint="cs"/>
          <w:rtl/>
        </w:rPr>
        <w:t>.</w:t>
      </w:r>
      <w:r w:rsidRPr="00504C32">
        <w:rPr>
          <w:rFonts w:cs="Arial"/>
          <w:rtl/>
        </w:rPr>
        <w:t xml:space="preserve"> מיהו צריך ישוב למה לא הגיה הרב רמ"א כלום בסי' צ"ג</w:t>
      </w:r>
      <w:r>
        <w:rPr>
          <w:rFonts w:cs="Arial" w:hint="cs"/>
          <w:rtl/>
        </w:rPr>
        <w:t>, ב"ש (סק"ל).</w:t>
      </w:r>
    </w:p>
  </w:footnote>
  <w:footnote w:id="2947">
    <w:p w14:paraId="36D4D9AD" w14:textId="77777777" w:rsidR="00DF1FC7" w:rsidRDefault="00DF1FC7" w:rsidP="002E5BAD">
      <w:pPr>
        <w:pStyle w:val="a5"/>
      </w:pPr>
      <w:r>
        <w:rPr>
          <w:rStyle w:val="a7"/>
        </w:rPr>
        <w:footnoteRef/>
      </w:r>
      <w:r>
        <w:rPr>
          <w:rtl/>
        </w:rPr>
        <w:t xml:space="preserve"> </w:t>
      </w:r>
      <w:r w:rsidRPr="00504C32">
        <w:rPr>
          <w:rFonts w:cs="Arial"/>
          <w:rtl/>
        </w:rPr>
        <w:t>אף על פי דלגבי מועטים ונתרבו ס"ל להרא"ש כדעת המפרשים אפילו לאחר שהחזיקו ב"ד הנכסים ביד הבנו' אבל כאן גבי מכירה דעת הרא"ש כאותן מפרשים דס"ל דוקא קודם שהחזיקו הב"ד ועיין בב"ח</w:t>
      </w:r>
      <w:r>
        <w:rPr>
          <w:rFonts w:cs="Arial" w:hint="cs"/>
          <w:rtl/>
        </w:rPr>
        <w:t>, ח"מ (סקל"א).</w:t>
      </w:r>
    </w:p>
  </w:footnote>
  <w:footnote w:id="2948">
    <w:p w14:paraId="1EAF8F2D" w14:textId="77777777" w:rsidR="00DF1FC7" w:rsidRDefault="00DF1FC7" w:rsidP="002E5BAD">
      <w:pPr>
        <w:pStyle w:val="a5"/>
      </w:pPr>
      <w:r>
        <w:rPr>
          <w:rStyle w:val="a7"/>
        </w:rPr>
        <w:footnoteRef/>
      </w:r>
      <w:r>
        <w:rPr>
          <w:rtl/>
        </w:rPr>
        <w:t xml:space="preserve"> </w:t>
      </w:r>
      <w:r w:rsidRPr="00C208C3">
        <w:rPr>
          <w:rFonts w:cs="Arial"/>
          <w:rtl/>
        </w:rPr>
        <w:t>והנה מה דפסק דהני זוזי חליפי הבית לא משתעבדי לענין מזונות הבת הוא פשוט וברור אך מה דפסק כן בפשיטות גם לענין פרנסה צ"ע טובא כי שני גדולי הדור בס' ישועות יעקב ובס' בית מאיר סי' קי"ג ס"ה לא כתבו כן אלא דלענין פרנסה כ"ע מודים דאם מכרו למקום שא"א לטרוף מחוייבים היורשים לסלק מהמעות כו'. (ויובא דבריהם בסי' קי"ג שם סקי"א)</w:t>
      </w:r>
      <w:r>
        <w:rPr>
          <w:rFonts w:cs="Arial" w:hint="cs"/>
          <w:rtl/>
        </w:rPr>
        <w:t>, פת"ש (סק"ה).</w:t>
      </w:r>
    </w:p>
  </w:footnote>
  <w:footnote w:id="2949">
    <w:p w14:paraId="50147635" w14:textId="77777777" w:rsidR="00DF1FC7" w:rsidRDefault="00DF1FC7" w:rsidP="002E5BAD">
      <w:pPr>
        <w:pStyle w:val="a5"/>
      </w:pPr>
      <w:r>
        <w:rPr>
          <w:rStyle w:val="a7"/>
        </w:rPr>
        <w:footnoteRef/>
      </w:r>
      <w:r>
        <w:rPr>
          <w:rtl/>
        </w:rPr>
        <w:t xml:space="preserve"> </w:t>
      </w:r>
      <w:r>
        <w:rPr>
          <w:rFonts w:hint="cs"/>
          <w:rtl/>
        </w:rPr>
        <w:t>וכן הוא בירושלמי מסכות כתובות פי"ג ה"ג.</w:t>
      </w:r>
    </w:p>
  </w:footnote>
  <w:footnote w:id="2950">
    <w:p w14:paraId="3C07A652" w14:textId="77777777" w:rsidR="00DF1FC7" w:rsidRDefault="00DF1FC7" w:rsidP="002E5BAD">
      <w:pPr>
        <w:pStyle w:val="a5"/>
      </w:pPr>
      <w:r>
        <w:rPr>
          <w:rStyle w:val="a7"/>
        </w:rPr>
        <w:footnoteRef/>
      </w:r>
      <w:r>
        <w:rPr>
          <w:rtl/>
        </w:rPr>
        <w:t xml:space="preserve"> </w:t>
      </w:r>
      <w:r>
        <w:rPr>
          <w:rFonts w:hint="cs"/>
          <w:rtl/>
        </w:rPr>
        <w:t xml:space="preserve">וז"ל- </w:t>
      </w:r>
      <w:r w:rsidRPr="006D4511">
        <w:rPr>
          <w:rFonts w:cs="Arial"/>
          <w:rtl/>
        </w:rPr>
        <w:t>היו הנכסים מרובין ויש עליו חוב</w:t>
      </w:r>
      <w:r>
        <w:rPr>
          <w:rFonts w:cs="Arial" w:hint="cs"/>
          <w:rtl/>
        </w:rPr>
        <w:t>,</w:t>
      </w:r>
      <w:r w:rsidRPr="006D4511">
        <w:rPr>
          <w:rFonts w:cs="Arial"/>
          <w:rtl/>
        </w:rPr>
        <w:t xml:space="preserve"> או שהתנה עם אשתו שיזון את בתה</w:t>
      </w:r>
      <w:r>
        <w:rPr>
          <w:rFonts w:cs="Arial" w:hint="cs"/>
          <w:rtl/>
        </w:rPr>
        <w:t xml:space="preserve"> -</w:t>
      </w:r>
      <w:r w:rsidRPr="006D4511">
        <w:rPr>
          <w:rFonts w:cs="Arial"/>
          <w:rtl/>
        </w:rPr>
        <w:t xml:space="preserve"> אין החוב ולא מזונות בת אשתו ממעטין בנכסים</w:t>
      </w:r>
      <w:r>
        <w:rPr>
          <w:rFonts w:cs="Arial" w:hint="cs"/>
          <w:rtl/>
        </w:rPr>
        <w:t>,</w:t>
      </w:r>
      <w:r w:rsidRPr="006D4511">
        <w:rPr>
          <w:rFonts w:cs="Arial"/>
          <w:rtl/>
        </w:rPr>
        <w:t xml:space="preserve"> אלא יירשו הבנים הכל ויתנו לבעל חוב חובו</w:t>
      </w:r>
      <w:r>
        <w:rPr>
          <w:rFonts w:cs="Arial" w:hint="cs"/>
          <w:rtl/>
        </w:rPr>
        <w:t>,</w:t>
      </w:r>
      <w:r w:rsidRPr="006D4511">
        <w:rPr>
          <w:rFonts w:cs="Arial"/>
          <w:rtl/>
        </w:rPr>
        <w:t xml:space="preserve"> ויזונו בת אשת אביהן עד זמן שפסק</w:t>
      </w:r>
      <w:r>
        <w:rPr>
          <w:rFonts w:cs="Arial" w:hint="cs"/>
          <w:rtl/>
        </w:rPr>
        <w:t>.</w:t>
      </w:r>
    </w:p>
  </w:footnote>
  <w:footnote w:id="2951">
    <w:p w14:paraId="0C84742E" w14:textId="77777777" w:rsidR="00DF1FC7" w:rsidRDefault="00DF1FC7" w:rsidP="002E5BAD">
      <w:pPr>
        <w:pStyle w:val="a5"/>
        <w:rPr>
          <w:rtl/>
        </w:rPr>
      </w:pPr>
      <w:r>
        <w:rPr>
          <w:rStyle w:val="a7"/>
        </w:rPr>
        <w:footnoteRef/>
      </w:r>
      <w:r>
        <w:rPr>
          <w:rtl/>
        </w:rPr>
        <w:t xml:space="preserve"> </w:t>
      </w:r>
      <w:r w:rsidRPr="00B345A5">
        <w:rPr>
          <w:rFonts w:cs="Arial"/>
          <w:rtl/>
        </w:rPr>
        <w:t>בנמוק</w:t>
      </w:r>
      <w:r>
        <w:rPr>
          <w:rFonts w:cs="Arial" w:hint="cs"/>
          <w:rtl/>
        </w:rPr>
        <w:t>"</w:t>
      </w:r>
      <w:r w:rsidRPr="00B345A5">
        <w:rPr>
          <w:rFonts w:cs="Arial"/>
          <w:rtl/>
        </w:rPr>
        <w:t xml:space="preserve">י </w:t>
      </w:r>
      <w:r w:rsidRPr="00AC7EAB">
        <w:rPr>
          <w:rFonts w:cs="Arial" w:hint="cs"/>
          <w:sz w:val="16"/>
          <w:szCs w:val="16"/>
          <w:rtl/>
        </w:rPr>
        <w:t>(</w:t>
      </w:r>
      <w:r w:rsidRPr="00AC7EAB">
        <w:rPr>
          <w:rFonts w:cs="Arial"/>
          <w:sz w:val="16"/>
          <w:szCs w:val="16"/>
          <w:rtl/>
        </w:rPr>
        <w:t>פ</w:t>
      </w:r>
      <w:r w:rsidRPr="00AC7EAB">
        <w:rPr>
          <w:rFonts w:cs="Arial" w:hint="cs"/>
          <w:sz w:val="16"/>
          <w:szCs w:val="16"/>
          <w:rtl/>
        </w:rPr>
        <w:t>'</w:t>
      </w:r>
      <w:r w:rsidRPr="00AC7EAB">
        <w:rPr>
          <w:rFonts w:cs="Arial"/>
          <w:sz w:val="16"/>
          <w:szCs w:val="16"/>
          <w:rtl/>
        </w:rPr>
        <w:t xml:space="preserve"> מי שמת סה: ד"ה אמר המחבר) </w:t>
      </w:r>
      <w:r w:rsidRPr="00B345A5">
        <w:rPr>
          <w:rFonts w:cs="Arial"/>
          <w:rtl/>
        </w:rPr>
        <w:t>משמע דוקא חוב על פה אינו ממעט אבל חוב שיש עליו שטר ממעט</w:t>
      </w:r>
      <w:r>
        <w:rPr>
          <w:rFonts w:cs="Arial" w:hint="cs"/>
          <w:rtl/>
        </w:rPr>
        <w:t>, דרכ"מ (אות ד).</w:t>
      </w:r>
      <w:r>
        <w:rPr>
          <w:rFonts w:hint="cs"/>
          <w:rtl/>
        </w:rPr>
        <w:t xml:space="preserve"> וחלקו הח"מ (סקל"ב) והב"ש (סקל"א) על הנמוק"י.</w:t>
      </w:r>
    </w:p>
  </w:footnote>
  <w:footnote w:id="2952">
    <w:p w14:paraId="5069BAC3" w14:textId="77777777" w:rsidR="00DF1FC7" w:rsidRDefault="00DF1FC7" w:rsidP="002E5BAD">
      <w:pPr>
        <w:pStyle w:val="a5"/>
      </w:pPr>
      <w:r>
        <w:rPr>
          <w:rStyle w:val="a7"/>
        </w:rPr>
        <w:footnoteRef/>
      </w:r>
      <w:r>
        <w:rPr>
          <w:rtl/>
        </w:rPr>
        <w:t xml:space="preserve"> </w:t>
      </w:r>
      <w:r>
        <w:rPr>
          <w:rFonts w:hint="cs"/>
          <w:rtl/>
        </w:rPr>
        <w:t>ועיין בהערה שמובאת בסוף דברי השו"ע בסעיף זה.</w:t>
      </w:r>
    </w:p>
  </w:footnote>
  <w:footnote w:id="2953">
    <w:p w14:paraId="032EB192" w14:textId="77777777" w:rsidR="00DF1FC7" w:rsidRDefault="00DF1FC7" w:rsidP="002E5BAD">
      <w:pPr>
        <w:pStyle w:val="a5"/>
      </w:pPr>
      <w:r>
        <w:rPr>
          <w:rStyle w:val="a7"/>
        </w:rPr>
        <w:footnoteRef/>
      </w:r>
      <w:r>
        <w:rPr>
          <w:rtl/>
        </w:rPr>
        <w:t xml:space="preserve"> </w:t>
      </w:r>
      <w:r w:rsidRPr="00337BD6">
        <w:rPr>
          <w:rFonts w:cs="Arial"/>
          <w:rtl/>
        </w:rPr>
        <w:t xml:space="preserve">אין חילוק בין חוב בשטר לחוב בע"פ לא כנ"י דדוקא כתובה ממעט מטעם שכתב הרא"ש (הביאו הב"י סי' זה סקי"ט) אבל לא </w:t>
      </w:r>
      <w:r>
        <w:rPr>
          <w:rFonts w:cs="Arial" w:hint="cs"/>
          <w:rtl/>
        </w:rPr>
        <w:t>שטר חוב, ח"מ (סקל"ב).</w:t>
      </w:r>
    </w:p>
  </w:footnote>
  <w:footnote w:id="2954">
    <w:p w14:paraId="315EE2A4" w14:textId="77777777" w:rsidR="00DF1FC7" w:rsidRDefault="00DF1FC7" w:rsidP="002E5BAD">
      <w:pPr>
        <w:pStyle w:val="a5"/>
      </w:pPr>
      <w:r>
        <w:rPr>
          <w:rStyle w:val="a7"/>
        </w:rPr>
        <w:footnoteRef/>
      </w:r>
      <w:r>
        <w:rPr>
          <w:rtl/>
        </w:rPr>
        <w:t xml:space="preserve"> </w:t>
      </w:r>
      <w:r w:rsidRPr="00351DDE">
        <w:rPr>
          <w:rFonts w:cs="Arial"/>
          <w:rtl/>
        </w:rPr>
        <w:t>בש"ס מבעי' חוב או מזונות בת אשתו אם ממעט ועלתה בתיקו וקי"ל הנכסים קיימ' בחזקת הבנים לכן זכו הבנים אבל עישור נכסים לית' בש"ס אלא הרא"ש כתב כיון דלא מטי הזמן אינו ממעט לפ"ז ל"ד להני תרי מזון בת אשתו וחוב דשם עלתה בתיקו ונ"מ לענין תפיסה כמ"ש לעיל ואפשר עישור נכסים דכתב איירי דמטי הזמן ומדמה הטור לחוב מ"ה כתב הני ג' דינים בחד בבא ובשלשתן מהני תפיסה כי עלו בתיקו</w:t>
      </w:r>
      <w:r>
        <w:rPr>
          <w:rFonts w:cs="Arial" w:hint="cs"/>
          <w:rtl/>
        </w:rPr>
        <w:t>, ב:ש (סקל"ב).</w:t>
      </w:r>
    </w:p>
  </w:footnote>
  <w:footnote w:id="2955">
    <w:p w14:paraId="202974B1" w14:textId="77777777" w:rsidR="00DF1FC7" w:rsidRDefault="00DF1FC7" w:rsidP="002E5BAD">
      <w:pPr>
        <w:pStyle w:val="a5"/>
        <w:rPr>
          <w:rtl/>
        </w:rPr>
      </w:pPr>
      <w:r>
        <w:rPr>
          <w:rStyle w:val="a7"/>
        </w:rPr>
        <w:footnoteRef/>
      </w:r>
      <w:r>
        <w:rPr>
          <w:rtl/>
        </w:rPr>
        <w:t xml:space="preserve"> </w:t>
      </w:r>
      <w:r>
        <w:rPr>
          <w:rFonts w:hint="cs"/>
          <w:rtl/>
        </w:rPr>
        <w:t>זוהי דעת ה</w:t>
      </w:r>
      <w:r w:rsidRPr="008D2C72">
        <w:rPr>
          <w:rFonts w:cs="Arial"/>
          <w:rtl/>
        </w:rPr>
        <w:t>תוס</w:t>
      </w:r>
      <w:r>
        <w:rPr>
          <w:rFonts w:cs="Arial" w:hint="cs"/>
          <w:rtl/>
        </w:rPr>
        <w:t>'</w:t>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Pr>
          <w:rFonts w:cs="Arial" w:hint="cs"/>
          <w:rtl/>
        </w:rPr>
        <w:t>ה</w:t>
      </w:r>
      <w:r w:rsidRPr="006872FF">
        <w:rPr>
          <w:rFonts w:cs="Arial"/>
          <w:rtl/>
        </w:rPr>
        <w:t xml:space="preserve">רא"ש </w:t>
      </w:r>
      <w:r w:rsidRPr="006872FF">
        <w:rPr>
          <w:rFonts w:cs="Arial" w:hint="cs"/>
          <w:sz w:val="16"/>
          <w:szCs w:val="16"/>
          <w:rtl/>
        </w:rPr>
        <w:t>(פ"ט</w:t>
      </w:r>
      <w:r w:rsidRPr="006872FF">
        <w:rPr>
          <w:rFonts w:cs="Arial"/>
          <w:sz w:val="16"/>
          <w:szCs w:val="16"/>
          <w:rtl/>
        </w:rPr>
        <w:t xml:space="preserve"> סי' ג)</w:t>
      </w:r>
      <w:r>
        <w:rPr>
          <w:rFonts w:cs="Arial" w:hint="cs"/>
          <w:rtl/>
        </w:rPr>
        <w:t xml:space="preserve"> והטור</w:t>
      </w:r>
      <w:r>
        <w:rPr>
          <w:rFonts w:hint="cs"/>
          <w:rtl/>
        </w:rPr>
        <w:t xml:space="preserve">. וביש אומרים הראשון כתב את דעת הרי"ף </w:t>
      </w:r>
      <w:r w:rsidRPr="00F0077E">
        <w:rPr>
          <w:rFonts w:cs="Arial"/>
          <w:sz w:val="16"/>
          <w:szCs w:val="16"/>
          <w:rtl/>
        </w:rPr>
        <w:t>(סה:</w:t>
      </w:r>
      <w:r>
        <w:rPr>
          <w:rFonts w:cs="Arial" w:hint="cs"/>
          <w:sz w:val="16"/>
          <w:szCs w:val="16"/>
          <w:rtl/>
        </w:rPr>
        <w:t>, שכך משמע מדלא גרס בגמ' מזונות אלמנה</w:t>
      </w:r>
      <w:r w:rsidRPr="00F0077E">
        <w:rPr>
          <w:rFonts w:cs="Arial"/>
          <w:sz w:val="16"/>
          <w:szCs w:val="16"/>
          <w:rtl/>
        </w:rPr>
        <w:t xml:space="preserve">) </w:t>
      </w:r>
      <w:r>
        <w:rPr>
          <w:rFonts w:hint="cs"/>
          <w:rtl/>
        </w:rPr>
        <w:t xml:space="preserve">והרמב"ם </w:t>
      </w:r>
      <w:r>
        <w:rPr>
          <w:rFonts w:cs="Arial" w:hint="cs"/>
          <w:sz w:val="16"/>
          <w:szCs w:val="16"/>
          <w:rtl/>
        </w:rPr>
        <w:t xml:space="preserve">(פי"ט הכ"א). </w:t>
      </w:r>
      <w:r>
        <w:rPr>
          <w:rFonts w:hint="cs"/>
          <w:rtl/>
        </w:rPr>
        <w:t>ולכאורה נראה מכאן שהשו"ע פסק כדעת התוס' והרא"ש, שהרי י"א וי"א הלכה כי"א בתרא. אבל קשה לומר כן, שהרי בסי' צג ס"ד ששם היא סוגיא בדוכתא סתם השו"ע כדעת הרמב"ם, וביש אומרים ביא את דעת התוס'. וגם בסעיף הבא (סט"ז) סתם כדעת הרמב"ם, ואת דעת התוס' כתב ביש חולקים (וכתב לעיין בסי' צג). ועוד שהרי הב"י פוסק כשני עמודי הוראה, ויש כאן את הרי"ף והרמב"ם מול הרא"ש. ועוד שנראה שהגר"א (סקכ"ה וסקכ"ו) גרס הפוך בדברי השו"ע, שכתב שהי"א הראשון הוא דעת התוס', והי"א השני הוא דעת הרמב"ם, וא"כ ודאי הוא שגרס "</w:t>
      </w:r>
      <w:r w:rsidRPr="00523CDE">
        <w:rPr>
          <w:rFonts w:cs="Arial"/>
          <w:rtl/>
        </w:rPr>
        <w:t>י</w:t>
      </w:r>
      <w:r>
        <w:rPr>
          <w:rFonts w:cs="Arial" w:hint="cs"/>
          <w:rtl/>
        </w:rPr>
        <w:t>ש אומרים</w:t>
      </w:r>
      <w:r w:rsidRPr="00523CDE">
        <w:rPr>
          <w:rFonts w:cs="Arial"/>
          <w:rtl/>
        </w:rPr>
        <w:t xml:space="preserve"> ש</w:t>
      </w:r>
      <w:r>
        <w:rPr>
          <w:rFonts w:cs="Arial" w:hint="cs"/>
          <w:rtl/>
        </w:rPr>
        <w:t xml:space="preserve">אין </w:t>
      </w:r>
      <w:r w:rsidRPr="00523CDE">
        <w:rPr>
          <w:rFonts w:cs="Arial"/>
          <w:rtl/>
        </w:rPr>
        <w:t>ממעטים</w:t>
      </w:r>
      <w:r>
        <w:rPr>
          <w:rFonts w:cs="Arial" w:hint="cs"/>
          <w:rtl/>
        </w:rPr>
        <w:t>,</w:t>
      </w:r>
      <w:r w:rsidRPr="00523CDE">
        <w:rPr>
          <w:rFonts w:cs="Arial"/>
          <w:rtl/>
        </w:rPr>
        <w:t xml:space="preserve"> וי</w:t>
      </w:r>
      <w:r>
        <w:rPr>
          <w:rFonts w:cs="Arial" w:hint="cs"/>
          <w:rtl/>
        </w:rPr>
        <w:t xml:space="preserve">ש </w:t>
      </w:r>
      <w:r w:rsidRPr="00523CDE">
        <w:rPr>
          <w:rFonts w:cs="Arial"/>
          <w:rtl/>
        </w:rPr>
        <w:t>א</w:t>
      </w:r>
      <w:r>
        <w:rPr>
          <w:rFonts w:cs="Arial" w:hint="cs"/>
          <w:rtl/>
        </w:rPr>
        <w:t>ומרים</w:t>
      </w:r>
      <w:r w:rsidRPr="00523CDE">
        <w:rPr>
          <w:rFonts w:cs="Arial"/>
          <w:rtl/>
        </w:rPr>
        <w:t xml:space="preserve"> </w:t>
      </w:r>
      <w:r>
        <w:rPr>
          <w:rFonts w:cs="Arial" w:hint="cs"/>
          <w:rtl/>
        </w:rPr>
        <w:t>ש</w:t>
      </w:r>
      <w:r w:rsidRPr="00523CDE">
        <w:rPr>
          <w:rFonts w:cs="Arial"/>
          <w:rtl/>
        </w:rPr>
        <w:t>ממעטים</w:t>
      </w:r>
      <w:r>
        <w:rPr>
          <w:rFonts w:hint="cs"/>
          <w:rtl/>
        </w:rPr>
        <w:t>" (ואע"פ שהברכת אליהו הפך גרסתו, נ"ל דהגר"א גרס כן בכוונה תחילה, והברכת אליהו הפך את הגר"א לפני מה שהיה לפניו בשו"ע, ולא היה לו להפוך לחינם).</w:t>
      </w:r>
    </w:p>
  </w:footnote>
  <w:footnote w:id="2956">
    <w:p w14:paraId="716E5CE0" w14:textId="77777777" w:rsidR="00DF1FC7" w:rsidRDefault="00DF1FC7" w:rsidP="002E5BAD">
      <w:pPr>
        <w:pStyle w:val="a5"/>
      </w:pPr>
      <w:r>
        <w:rPr>
          <w:rStyle w:val="a7"/>
        </w:rPr>
        <w:footnoteRef/>
      </w:r>
      <w:r>
        <w:rPr>
          <w:rtl/>
        </w:rPr>
        <w:t xml:space="preserve"> </w:t>
      </w:r>
      <w:r>
        <w:rPr>
          <w:rFonts w:hint="cs"/>
          <w:rtl/>
        </w:rPr>
        <w:t xml:space="preserve">סימן - ק"ש </w:t>
      </w:r>
      <w:r>
        <w:rPr>
          <w:rFonts w:hint="cs"/>
          <w:sz w:val="16"/>
          <w:szCs w:val="16"/>
          <w:rtl/>
        </w:rPr>
        <w:t xml:space="preserve">{מזומן} </w:t>
      </w:r>
      <w:r>
        <w:rPr>
          <w:rFonts w:hint="cs"/>
          <w:rtl/>
        </w:rPr>
        <w:t>מועט. (הסימן לדף קמ. ששם עיקר הסוגיא).</w:t>
      </w:r>
    </w:p>
  </w:footnote>
  <w:footnote w:id="2957">
    <w:p w14:paraId="31EDEE85" w14:textId="77777777" w:rsidR="00DF1FC7" w:rsidRDefault="00DF1FC7" w:rsidP="002E5BAD">
      <w:pPr>
        <w:pStyle w:val="a5"/>
      </w:pPr>
      <w:r>
        <w:rPr>
          <w:rStyle w:val="a7"/>
        </w:rPr>
        <w:footnoteRef/>
      </w:r>
      <w:r>
        <w:rPr>
          <w:rtl/>
        </w:rPr>
        <w:t xml:space="preserve"> </w:t>
      </w:r>
      <w:r>
        <w:rPr>
          <w:rFonts w:hint="cs"/>
          <w:rtl/>
        </w:rPr>
        <w:t>עיין לקמן שבפירוש איבעיא זו נחלקו המפרשים.</w:t>
      </w:r>
    </w:p>
  </w:footnote>
  <w:footnote w:id="2958">
    <w:p w14:paraId="0FE42296" w14:textId="77777777" w:rsidR="00DF1FC7" w:rsidRDefault="00DF1FC7" w:rsidP="002E5BAD">
      <w:pPr>
        <w:pStyle w:val="a5"/>
      </w:pPr>
      <w:r>
        <w:rPr>
          <w:rStyle w:val="a7"/>
        </w:rPr>
        <w:footnoteRef/>
      </w:r>
      <w:r>
        <w:rPr>
          <w:rtl/>
        </w:rPr>
        <w:t xml:space="preserve"> </w:t>
      </w:r>
      <w:r>
        <w:rPr>
          <w:rFonts w:hint="cs"/>
          <w:rtl/>
        </w:rPr>
        <w:t>וכן הוא בירושלמי מסכות כתובות פי"ג ה"ג.</w:t>
      </w:r>
    </w:p>
  </w:footnote>
  <w:footnote w:id="2959">
    <w:p w14:paraId="3E0F85CC" w14:textId="77777777" w:rsidR="00DF1FC7" w:rsidRDefault="00DF1FC7" w:rsidP="002E5BAD">
      <w:pPr>
        <w:pStyle w:val="a5"/>
        <w:rPr>
          <w:rtl/>
        </w:rPr>
      </w:pPr>
      <w:r>
        <w:rPr>
          <w:rStyle w:val="a7"/>
        </w:rPr>
        <w:footnoteRef/>
      </w:r>
      <w:r>
        <w:rPr>
          <w:rtl/>
        </w:rPr>
        <w:t xml:space="preserve"> </w:t>
      </w:r>
      <w:r>
        <w:rPr>
          <w:rFonts w:hint="cs"/>
          <w:rtl/>
        </w:rPr>
        <w:t xml:space="preserve">וז"ל- </w:t>
      </w:r>
      <w:r w:rsidRPr="00847732">
        <w:rPr>
          <w:rFonts w:cs="Arial"/>
          <w:rtl/>
        </w:rPr>
        <w:t>נראה לפרש דודאי אם אין כאן אלא אלמנה אצל הבנים שניהם שוין בנכסים</w:t>
      </w:r>
      <w:r>
        <w:rPr>
          <w:rFonts w:cs="Arial" w:hint="cs"/>
          <w:rtl/>
        </w:rPr>
        <w:t>.</w:t>
      </w:r>
      <w:r w:rsidRPr="00847732">
        <w:rPr>
          <w:rFonts w:cs="Arial"/>
          <w:rtl/>
        </w:rPr>
        <w:t xml:space="preserve"> וכן אם אין כאן אלא אלמנה ובנות </w:t>
      </w:r>
      <w:r w:rsidRPr="00847732">
        <w:rPr>
          <w:rFonts w:cs="Arial" w:hint="cs"/>
          <w:sz w:val="16"/>
          <w:szCs w:val="16"/>
          <w:rtl/>
        </w:rPr>
        <w:t>(</w:t>
      </w:r>
      <w:r w:rsidRPr="00847732">
        <w:rPr>
          <w:rFonts w:cs="Arial"/>
          <w:sz w:val="16"/>
          <w:szCs w:val="16"/>
          <w:rtl/>
        </w:rPr>
        <w:t>דלא תקנו נכסים מועטים אלא לבנות שהן יוצאי יריכו והם בנות ירושה במקום שאין בנים ואע</w:t>
      </w:r>
      <w:r w:rsidRPr="00847732">
        <w:rPr>
          <w:rFonts w:cs="Arial" w:hint="cs"/>
          <w:sz w:val="16"/>
          <w:szCs w:val="16"/>
          <w:rtl/>
        </w:rPr>
        <w:t>"</w:t>
      </w:r>
      <w:r w:rsidRPr="00847732">
        <w:rPr>
          <w:rFonts w:cs="Arial"/>
          <w:sz w:val="16"/>
          <w:szCs w:val="16"/>
          <w:rtl/>
        </w:rPr>
        <w:t>ג</w:t>
      </w:r>
      <w:r w:rsidRPr="00847732">
        <w:rPr>
          <w:rFonts w:cs="Arial" w:hint="cs"/>
          <w:sz w:val="16"/>
          <w:szCs w:val="16"/>
          <w:rtl/>
        </w:rPr>
        <w:t xml:space="preserve"> </w:t>
      </w:r>
      <w:r w:rsidRPr="00847732">
        <w:rPr>
          <w:rFonts w:cs="Arial"/>
          <w:sz w:val="16"/>
          <w:szCs w:val="16"/>
          <w:rtl/>
        </w:rPr>
        <w:t>דמיחסרא גוביינא ואי מינסבא לית לה אבל לאלמנה אצל הבנים או אצל בנות לא רצו חכמים לתקן דין נכסים מועטים אצל האלמנה שלא רצו לעקר דין ירושה מן הבנים אצל האלמנה</w:t>
      </w:r>
      <w:r>
        <w:rPr>
          <w:rFonts w:cs="Arial" w:hint="cs"/>
          <w:sz w:val="16"/>
          <w:szCs w:val="16"/>
          <w:rtl/>
        </w:rPr>
        <w:t>)</w:t>
      </w:r>
      <w:r w:rsidRPr="00847732">
        <w:rPr>
          <w:rFonts w:cs="Arial"/>
          <w:rtl/>
        </w:rPr>
        <w:t xml:space="preserve"> והשתא מיבעי ליה כשיש בנים ובנות שיש כבר דין נכסים מועטין בשביל בנות</w:t>
      </w:r>
      <w:r>
        <w:rPr>
          <w:rFonts w:cs="Arial" w:hint="cs"/>
          <w:rtl/>
        </w:rPr>
        <w:t>,</w:t>
      </w:r>
      <w:r w:rsidRPr="00847732">
        <w:rPr>
          <w:rFonts w:cs="Arial"/>
          <w:rtl/>
        </w:rPr>
        <w:t xml:space="preserve"> אם ממעטא נמי אלמנה</w:t>
      </w:r>
      <w:r>
        <w:rPr>
          <w:rFonts w:cs="Arial" w:hint="cs"/>
          <w:rtl/>
        </w:rPr>
        <w:t>.</w:t>
      </w:r>
      <w:r w:rsidRPr="008C687A">
        <w:rPr>
          <w:rtl/>
        </w:rPr>
        <w:t xml:space="preserve"> </w:t>
      </w:r>
      <w:r w:rsidRPr="008C687A">
        <w:rPr>
          <w:rFonts w:cs="Arial"/>
          <w:rtl/>
        </w:rPr>
        <w:t>(הג"ה, וכן כתוב בתוס'</w:t>
      </w:r>
      <w:r>
        <w:rPr>
          <w:rFonts w:cs="Arial" w:hint="cs"/>
          <w:rtl/>
        </w:rPr>
        <w:t xml:space="preserve"> -</w:t>
      </w:r>
      <w:r w:rsidRPr="008C687A">
        <w:rPr>
          <w:rFonts w:cs="Arial"/>
          <w:rtl/>
        </w:rPr>
        <w:t xml:space="preserve"> ותיזון האלמנה עם הבנות</w:t>
      </w:r>
      <w:r>
        <w:rPr>
          <w:rFonts w:cs="Arial" w:hint="cs"/>
          <w:rtl/>
        </w:rPr>
        <w:t>,</w:t>
      </w:r>
      <w:r w:rsidRPr="008C687A">
        <w:rPr>
          <w:rFonts w:cs="Arial"/>
          <w:rtl/>
        </w:rPr>
        <w:t xml:space="preserve"> או דלמא כיון דאי מינסבא לית לה מזוני השתא נמי לית לה אלא הכל יהיה לבנות</w:t>
      </w:r>
      <w:r>
        <w:rPr>
          <w:rFonts w:cs="Arial" w:hint="cs"/>
          <w:rtl/>
        </w:rPr>
        <w:t>.</w:t>
      </w:r>
      <w:r w:rsidRPr="008C687A">
        <w:rPr>
          <w:rFonts w:cs="Arial"/>
          <w:rtl/>
        </w:rPr>
        <w:t xml:space="preserve"> ואי ממעטא מ"מ לא תיזון האלמנה עמהן אלא עד שיבגרו הבנות, ע"כ הג"ה)</w:t>
      </w:r>
      <w:r>
        <w:rPr>
          <w:rFonts w:cs="Arial" w:hint="cs"/>
          <w:rtl/>
        </w:rPr>
        <w:t>.</w:t>
      </w:r>
      <w:r w:rsidRPr="00847732">
        <w:rPr>
          <w:rFonts w:cs="Arial"/>
          <w:rtl/>
        </w:rPr>
        <w:t xml:space="preserve"> והא דקאמר בסמוך דאלמנה אצל הבת אלמנה ניזונת והבת תשאל על הפתחים היינו שיש שם בנים עם הבנות שיש כאן דין נכסים מועטים אצל בנות אבל אי ליתנהו לבנים לא תטול האלמנה כלום יותר מהבת</w:t>
      </w:r>
      <w:r>
        <w:rPr>
          <w:rFonts w:cs="Arial" w:hint="cs"/>
          <w:rtl/>
        </w:rPr>
        <w:t>...</w:t>
      </w:r>
      <w:r w:rsidRPr="00847732">
        <w:rPr>
          <w:rFonts w:cs="Arial"/>
          <w:rtl/>
        </w:rPr>
        <w:t xml:space="preserve"> ואור"י שכן משמע בירושל</w:t>
      </w:r>
      <w:r>
        <w:rPr>
          <w:rFonts w:cs="Arial" w:hint="cs"/>
          <w:rtl/>
        </w:rPr>
        <w:t>מי (ב"ב פ"ט ה"א, כתובות פי"ג ה"ג)...</w:t>
      </w:r>
    </w:p>
  </w:footnote>
  <w:footnote w:id="2960">
    <w:p w14:paraId="748CAA83" w14:textId="77777777" w:rsidR="00DF1FC7" w:rsidRDefault="00DF1FC7" w:rsidP="002E5BAD">
      <w:pPr>
        <w:pStyle w:val="a5"/>
        <w:rPr>
          <w:rtl/>
        </w:rPr>
      </w:pPr>
      <w:r>
        <w:rPr>
          <w:rStyle w:val="a7"/>
        </w:rPr>
        <w:footnoteRef/>
      </w:r>
      <w:r>
        <w:rPr>
          <w:rtl/>
        </w:rPr>
        <w:t xml:space="preserve"> </w:t>
      </w:r>
      <w:r w:rsidRPr="006872FF">
        <w:rPr>
          <w:rFonts w:cs="Arial"/>
          <w:rtl/>
        </w:rPr>
        <w:t>וז"ל</w:t>
      </w:r>
      <w:r>
        <w:rPr>
          <w:rFonts w:cs="Arial" w:hint="cs"/>
          <w:rtl/>
        </w:rPr>
        <w:t>-</w:t>
      </w:r>
      <w:r w:rsidRPr="006872FF">
        <w:rPr>
          <w:rFonts w:cs="Arial"/>
          <w:rtl/>
        </w:rPr>
        <w:t xml:space="preserve"> פירש הר</w:t>
      </w:r>
      <w:r>
        <w:rPr>
          <w:rFonts w:cs="Arial" w:hint="cs"/>
          <w:rtl/>
        </w:rPr>
        <w:t>יב"ם</w:t>
      </w:r>
      <w:r w:rsidRPr="006872FF">
        <w:rPr>
          <w:rFonts w:cs="Arial"/>
          <w:rtl/>
        </w:rPr>
        <w:t xml:space="preserve"> </w:t>
      </w:r>
      <w:r>
        <w:rPr>
          <w:rFonts w:cs="Arial" w:hint="cs"/>
          <w:sz w:val="16"/>
          <w:szCs w:val="16"/>
          <w:rtl/>
        </w:rPr>
        <w:t>{</w:t>
      </w:r>
      <w:r w:rsidRPr="00D4069D">
        <w:rPr>
          <w:rFonts w:cs="Arial" w:hint="cs"/>
          <w:sz w:val="16"/>
          <w:szCs w:val="16"/>
          <w:rtl/>
        </w:rPr>
        <w:t>שהוא מבעלי התוס'</w:t>
      </w:r>
      <w:r>
        <w:rPr>
          <w:rFonts w:cs="Arial" w:hint="cs"/>
          <w:sz w:val="16"/>
          <w:szCs w:val="16"/>
          <w:rtl/>
        </w:rPr>
        <w:t>,</w:t>
      </w:r>
      <w:r w:rsidRPr="005A37BD">
        <w:rPr>
          <w:rFonts w:cs="Arial" w:hint="cs"/>
          <w:sz w:val="16"/>
          <w:szCs w:val="16"/>
          <w:rtl/>
        </w:rPr>
        <w:t xml:space="preserve"> </w:t>
      </w:r>
      <w:r>
        <w:rPr>
          <w:rFonts w:cs="Arial" w:hint="cs"/>
          <w:sz w:val="16"/>
          <w:szCs w:val="16"/>
          <w:rtl/>
        </w:rPr>
        <w:t>וכן גרס הפלפולא חריפתא [שם אות כ], אך הב"י גרס הרמב"ן. ונראה שזו ט"ס בב"י,</w:t>
      </w:r>
      <w:r w:rsidRPr="00D4069D">
        <w:rPr>
          <w:rFonts w:cs="Arial" w:hint="cs"/>
          <w:sz w:val="16"/>
          <w:szCs w:val="16"/>
          <w:rtl/>
        </w:rPr>
        <w:t xml:space="preserve"> שהרי הרמב"ן בסוף דבריו כתב שדעתו נוטה לדברי הרמב"ם, </w:t>
      </w:r>
      <w:r>
        <w:rPr>
          <w:rFonts w:cs="Arial" w:hint="cs"/>
          <w:sz w:val="16"/>
          <w:szCs w:val="16"/>
          <w:rtl/>
        </w:rPr>
        <w:t xml:space="preserve">והב"י עצמו הביאו, </w:t>
      </w:r>
      <w:r w:rsidRPr="00D4069D">
        <w:rPr>
          <w:rFonts w:cs="Arial" w:hint="cs"/>
          <w:sz w:val="16"/>
          <w:szCs w:val="16"/>
          <w:rtl/>
        </w:rPr>
        <w:t>וא"כ איך יביא הרא"ש את הדברים בשמו בצורה חלקית</w:t>
      </w:r>
      <w:r>
        <w:rPr>
          <w:rFonts w:cs="Arial" w:hint="cs"/>
          <w:sz w:val="16"/>
          <w:szCs w:val="16"/>
          <w:rtl/>
        </w:rPr>
        <w:t>. ועוד שאין הלשון דומה ללשון הרמב"ן אלא ללשון התוס'}</w:t>
      </w:r>
      <w:r w:rsidRPr="006872FF">
        <w:rPr>
          <w:rFonts w:cs="Arial"/>
          <w:rtl/>
        </w:rPr>
        <w:t xml:space="preserve"> דפשיטא ליה שאם הניח אלמנה ובנים בלא בנות</w:t>
      </w:r>
      <w:r>
        <w:rPr>
          <w:rFonts w:cs="Arial" w:hint="cs"/>
          <w:rtl/>
        </w:rPr>
        <w:t xml:space="preserve"> -</w:t>
      </w:r>
      <w:r w:rsidRPr="006872FF">
        <w:rPr>
          <w:rFonts w:cs="Arial"/>
          <w:rtl/>
        </w:rPr>
        <w:t xml:space="preserve"> דאין שייך לומר באלמנה נכסים מועטים לומר האלמנה תיזון והבנים ישאלו על הפתחים</w:t>
      </w:r>
      <w:r>
        <w:rPr>
          <w:rFonts w:cs="Arial" w:hint="cs"/>
          <w:rtl/>
        </w:rPr>
        <w:t>.</w:t>
      </w:r>
      <w:r w:rsidRPr="006872FF">
        <w:rPr>
          <w:rFonts w:cs="Arial"/>
          <w:rtl/>
        </w:rPr>
        <w:t xml:space="preserve"> וכן נמי אם לא הניח אלא אלמנה ובת </w:t>
      </w:r>
      <w:r>
        <w:rPr>
          <w:rFonts w:cs="Arial" w:hint="cs"/>
          <w:rtl/>
        </w:rPr>
        <w:t xml:space="preserve">- </w:t>
      </w:r>
      <w:r w:rsidRPr="006872FF">
        <w:rPr>
          <w:rFonts w:cs="Arial"/>
          <w:rtl/>
        </w:rPr>
        <w:t>לא אמרינן האלמנה תיזון והבת תשאל על הפתחים</w:t>
      </w:r>
      <w:r>
        <w:rPr>
          <w:rFonts w:cs="Arial" w:hint="cs"/>
          <w:rtl/>
        </w:rPr>
        <w:t>.</w:t>
      </w:r>
      <w:r w:rsidRPr="006872FF">
        <w:rPr>
          <w:rFonts w:cs="Arial"/>
          <w:rtl/>
        </w:rPr>
        <w:t xml:space="preserve"> והיינו טעמא לפי שאין שיעור קצוב לאלמנה לפי שפעמים נישאת ברחוק זמן ופעמים בקרוב ואין לדבר קצבה עד אימת הוו מרובים ואימת הוו מועטין</w:t>
      </w:r>
      <w:r>
        <w:rPr>
          <w:rFonts w:cs="Arial" w:hint="cs"/>
          <w:rtl/>
        </w:rPr>
        <w:t>,</w:t>
      </w:r>
      <w:r w:rsidRPr="006872FF">
        <w:rPr>
          <w:rFonts w:cs="Arial"/>
          <w:rtl/>
        </w:rPr>
        <w:t xml:space="preserve"> הילכך לא תיקנו לעקור מן התורה דבר בשביל מזונות האלמנה</w:t>
      </w:r>
      <w:r>
        <w:rPr>
          <w:rFonts w:cs="Arial" w:hint="cs"/>
          <w:rtl/>
        </w:rPr>
        <w:t>.</w:t>
      </w:r>
      <w:r w:rsidRPr="006872FF">
        <w:rPr>
          <w:rFonts w:cs="Arial"/>
          <w:rtl/>
        </w:rPr>
        <w:t xml:space="preserve"> אבל בנות יש להן קצבה עד שיבגרו</w:t>
      </w:r>
      <w:r>
        <w:rPr>
          <w:rFonts w:cs="Arial" w:hint="cs"/>
          <w:rtl/>
        </w:rPr>
        <w:t>.</w:t>
      </w:r>
      <w:r w:rsidRPr="006872FF">
        <w:rPr>
          <w:rFonts w:cs="Arial"/>
          <w:rtl/>
        </w:rPr>
        <w:t xml:space="preserve"> והך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hint="cs"/>
          <w:rtl/>
        </w:rPr>
        <w:t>.</w:t>
      </w:r>
    </w:p>
  </w:footnote>
  <w:footnote w:id="2961">
    <w:p w14:paraId="537667C3" w14:textId="77777777" w:rsidR="00DF1FC7" w:rsidRDefault="00DF1FC7" w:rsidP="002E5BAD">
      <w:pPr>
        <w:pStyle w:val="a5"/>
        <w:rPr>
          <w:rtl/>
        </w:rPr>
      </w:pPr>
      <w:r>
        <w:rPr>
          <w:rStyle w:val="a7"/>
        </w:rPr>
        <w:footnoteRef/>
      </w:r>
      <w:r>
        <w:rPr>
          <w:rtl/>
        </w:rPr>
        <w:t xml:space="preserve"> </w:t>
      </w:r>
      <w:r w:rsidRPr="003632FA">
        <w:rPr>
          <w:rFonts w:cs="Arial"/>
          <w:rtl/>
        </w:rPr>
        <w:t>דהא אלמנה לא ממעטא להו וקרינן בהו הבנים יירשו והבנות יזונו ומחלק הבנות לא תזון האלמנה עמהם והיינו דאיכא בין ממעטא ללא ממעטא דאי ממעטא הבנים ישאלו והאלמנה תזון ואי לא ממעטא יזונו יחד האלמנה והבנים אבל הבנות אין להן להפסיד במזונותיהם כלל בין ממעטא בין לא ממעטא דהא בין בנכסים מרובין בין בנכסים מועטין תנן הבנות יזונו אי נמי היכא דלא ממעטא מיקרו נכסים מרובין ואף על פי שנתעכבה היום או למחר מלינשא הרי הוא כמרובין ונתמעטו דאמרינן כבר זכו בהן יורשין ויזונו שלשתן יחד בנים ובנות ואלמנה</w:t>
      </w:r>
      <w:r>
        <w:rPr>
          <w:rFonts w:hint="cs"/>
          <w:rtl/>
        </w:rPr>
        <w:t>, רשב"ם (שם).</w:t>
      </w:r>
    </w:p>
  </w:footnote>
  <w:footnote w:id="2962">
    <w:p w14:paraId="00778D91" w14:textId="77777777" w:rsidR="00DF1FC7" w:rsidRDefault="00DF1FC7" w:rsidP="002E5BAD">
      <w:pPr>
        <w:pStyle w:val="a5"/>
      </w:pPr>
      <w:r>
        <w:rPr>
          <w:rStyle w:val="a7"/>
        </w:rPr>
        <w:footnoteRef/>
      </w:r>
      <w:r>
        <w:rPr>
          <w:rtl/>
        </w:rPr>
        <w:t xml:space="preserve"> </w:t>
      </w:r>
      <w:r w:rsidRPr="00217F3F">
        <w:rPr>
          <w:rFonts w:cs="Arial"/>
          <w:rtl/>
        </w:rPr>
        <w:t>ומיהו ה"ה תמיהא מילתא שאם כן לא שבקת חיי ליורש במקום אלמנה</w:t>
      </w:r>
      <w:r w:rsidRPr="00217F3F">
        <w:rPr>
          <w:rFonts w:cs="Arial" w:hint="cs"/>
          <w:rtl/>
        </w:rPr>
        <w:t>,</w:t>
      </w:r>
      <w:r w:rsidRPr="00217F3F">
        <w:rPr>
          <w:rFonts w:cs="Arial"/>
          <w:rtl/>
        </w:rPr>
        <w:t xml:space="preserve"> דהא כתיבנא לעיל דכל היכא דקודמת מוציאין לה מעכשיו דמי פרנסתה כל ימי חייה</w:t>
      </w:r>
      <w:r w:rsidRPr="00217F3F">
        <w:rPr>
          <w:rFonts w:cs="Arial" w:hint="cs"/>
          <w:rtl/>
        </w:rPr>
        <w:t>,</w:t>
      </w:r>
      <w:r w:rsidRPr="00217F3F">
        <w:rPr>
          <w:rFonts w:cs="Arial"/>
          <w:rtl/>
        </w:rPr>
        <w:t xml:space="preserve"> ונמצאו רובן של יורשים הולכים בפחי נפש</w:t>
      </w:r>
      <w:r w:rsidRPr="00217F3F">
        <w:rPr>
          <w:rFonts w:cs="Arial" w:hint="cs"/>
          <w:rtl/>
        </w:rPr>
        <w:t>.</w:t>
      </w:r>
      <w:r w:rsidRPr="00217F3F">
        <w:rPr>
          <w:rFonts w:cs="Arial"/>
          <w:rtl/>
        </w:rPr>
        <w:t xml:space="preserve"> אבל בירושלמי משמע שאין אלמנה קודמת אלא עם בת במקום בן</w:t>
      </w:r>
      <w:r w:rsidRPr="00217F3F">
        <w:rPr>
          <w:rFonts w:cs="Arial" w:hint="cs"/>
          <w:rtl/>
        </w:rPr>
        <w:t>.</w:t>
      </w:r>
      <w:r w:rsidRPr="00217F3F">
        <w:rPr>
          <w:rFonts w:cs="Arial"/>
          <w:rtl/>
        </w:rPr>
        <w:t xml:space="preserve"> אבל אלמנה עם הבן בלבד או עם הבת בלבד אינה קודמת אלא שניהם נזונים ביחד</w:t>
      </w:r>
      <w:r w:rsidRPr="00217F3F">
        <w:rPr>
          <w:rFonts w:cs="Arial" w:hint="cs"/>
          <w:rtl/>
        </w:rPr>
        <w:t>.</w:t>
      </w:r>
      <w:r w:rsidRPr="00217F3F">
        <w:rPr>
          <w:rFonts w:cs="Arial"/>
          <w:rtl/>
        </w:rPr>
        <w:t xml:space="preserve"> וסמכו עליו רוב המפרשים ז"ל</w:t>
      </w:r>
      <w:r w:rsidRPr="00217F3F">
        <w:rPr>
          <w:rFonts w:cs="Arial" w:hint="cs"/>
          <w:rtl/>
        </w:rPr>
        <w:t>.</w:t>
      </w:r>
      <w:r w:rsidRPr="00217F3F">
        <w:rPr>
          <w:rFonts w:cs="Arial"/>
          <w:rtl/>
        </w:rPr>
        <w:t xml:space="preserve"> אבל הרמב"ם ז"ל נראה שלא סמך עליו ואף דעת הרמב"ן נוטה לו עכ"ל</w:t>
      </w:r>
      <w:r>
        <w:rPr>
          <w:rFonts w:cs="Arial" w:hint="cs"/>
          <w:sz w:val="16"/>
          <w:szCs w:val="16"/>
          <w:rtl/>
        </w:rPr>
        <w:t xml:space="preserve"> [הר"ן]</w:t>
      </w:r>
      <w:r>
        <w:rPr>
          <w:rFonts w:cs="Arial" w:hint="cs"/>
          <w:rtl/>
        </w:rPr>
        <w:t>, ב"י (בסי' צג).</w:t>
      </w:r>
    </w:p>
  </w:footnote>
  <w:footnote w:id="2963">
    <w:p w14:paraId="057EB278" w14:textId="77777777" w:rsidR="00DF1FC7" w:rsidRDefault="00DF1FC7" w:rsidP="002E5BAD">
      <w:pPr>
        <w:pStyle w:val="a5"/>
      </w:pPr>
      <w:r>
        <w:rPr>
          <w:rStyle w:val="a7"/>
        </w:rPr>
        <w:footnoteRef/>
      </w:r>
      <w:r>
        <w:rPr>
          <w:rtl/>
        </w:rPr>
        <w:t xml:space="preserve"> </w:t>
      </w:r>
      <w:r w:rsidRPr="00556503">
        <w:rPr>
          <w:rFonts w:cs="Arial"/>
          <w:rtl/>
        </w:rPr>
        <w:t>והכניסה הנכסים לבעלה אלמנתו נזונת מנכסיו</w:t>
      </w:r>
      <w:r>
        <w:rPr>
          <w:rFonts w:cs="Arial" w:hint="cs"/>
          <w:rtl/>
        </w:rPr>
        <w:t>, רשב"ם.</w:t>
      </w:r>
    </w:p>
  </w:footnote>
  <w:footnote w:id="2964">
    <w:p w14:paraId="68916150" w14:textId="77777777" w:rsidR="00DF1FC7" w:rsidRDefault="00DF1FC7" w:rsidP="002E5BAD">
      <w:pPr>
        <w:pStyle w:val="a5"/>
      </w:pPr>
      <w:r>
        <w:rPr>
          <w:rStyle w:val="a7"/>
        </w:rPr>
        <w:footnoteRef/>
      </w:r>
      <w:r>
        <w:rPr>
          <w:rtl/>
        </w:rPr>
        <w:t xml:space="preserve"> </w:t>
      </w:r>
      <w:r w:rsidRPr="00556503">
        <w:rPr>
          <w:rFonts w:cs="Arial"/>
          <w:rtl/>
        </w:rPr>
        <w:t>בעל בנכסי אשתו אפילו בחייה יורש הוי משום הכי קתני נישאת הבת אלמנתו נזונת מנכסיו דאע"ג דמזון האשה והבנות לא טרפא ממשעבדי דהיינו לקוחות מיורשין מיהא גביא</w:t>
      </w:r>
      <w:r>
        <w:rPr>
          <w:rFonts w:cs="Arial" w:hint="cs"/>
          <w:rtl/>
        </w:rPr>
        <w:t>, רשב"ם.</w:t>
      </w:r>
    </w:p>
  </w:footnote>
  <w:footnote w:id="2965">
    <w:p w14:paraId="2C4F167C" w14:textId="77777777" w:rsidR="00DF1FC7" w:rsidRDefault="00DF1FC7" w:rsidP="002E5BAD">
      <w:pPr>
        <w:pStyle w:val="a5"/>
        <w:rPr>
          <w:rtl/>
        </w:rPr>
      </w:pPr>
      <w:r>
        <w:rPr>
          <w:rStyle w:val="a7"/>
        </w:rPr>
        <w:footnoteRef/>
      </w:r>
      <w:r>
        <w:rPr>
          <w:rtl/>
        </w:rPr>
        <w:t xml:space="preserve"> </w:t>
      </w:r>
      <w:r w:rsidRPr="00F44795">
        <w:rPr>
          <w:rFonts w:cs="Arial"/>
          <w:rtl/>
        </w:rPr>
        <w:t>הבת יתומה שבאת לינשא נותנים לה נדוניא כפי אומד שאנו בקיאין באביה וותרן או קמצן</w:t>
      </w:r>
      <w:r>
        <w:rPr>
          <w:rFonts w:hint="cs"/>
          <w:rtl/>
        </w:rPr>
        <w:t>, רש"י.</w:t>
      </w:r>
    </w:p>
  </w:footnote>
  <w:footnote w:id="2966">
    <w:p w14:paraId="711E5428" w14:textId="77777777" w:rsidR="00DF1FC7" w:rsidRDefault="00DF1FC7" w:rsidP="002E5BAD">
      <w:pPr>
        <w:pStyle w:val="a5"/>
      </w:pPr>
      <w:r>
        <w:rPr>
          <w:rStyle w:val="a7"/>
        </w:rPr>
        <w:footnoteRef/>
      </w:r>
      <w:r>
        <w:rPr>
          <w:rtl/>
        </w:rPr>
        <w:t xml:space="preserve"> </w:t>
      </w:r>
      <w:r w:rsidRPr="00F44795">
        <w:rPr>
          <w:rFonts w:cs="Arial"/>
          <w:rtl/>
        </w:rPr>
        <w:t>אין בדעתו ליתן לה נדוניית עשיר אלא נדוניית עני</w:t>
      </w:r>
      <w:r>
        <w:rPr>
          <w:rFonts w:cs="Arial" w:hint="cs"/>
          <w:rtl/>
        </w:rPr>
        <w:t>, רש"י.</w:t>
      </w:r>
    </w:p>
  </w:footnote>
  <w:footnote w:id="2967">
    <w:p w14:paraId="338F7CD1" w14:textId="77777777" w:rsidR="00DF1FC7" w:rsidRDefault="00DF1FC7" w:rsidP="002E5BAD">
      <w:pPr>
        <w:pStyle w:val="a5"/>
      </w:pPr>
      <w:r>
        <w:rPr>
          <w:rStyle w:val="a7"/>
        </w:rPr>
        <w:footnoteRef/>
      </w:r>
      <w:r>
        <w:rPr>
          <w:rtl/>
        </w:rPr>
        <w:t xml:space="preserve"> </w:t>
      </w:r>
      <w:r w:rsidRPr="00F44795">
        <w:rPr>
          <w:rFonts w:cs="Arial"/>
          <w:rtl/>
        </w:rPr>
        <w:t>ולא שמין באב</w:t>
      </w:r>
      <w:r>
        <w:rPr>
          <w:rFonts w:cs="Arial" w:hint="cs"/>
          <w:rtl/>
        </w:rPr>
        <w:t>, רש"י.</w:t>
      </w:r>
    </w:p>
  </w:footnote>
  <w:footnote w:id="2968">
    <w:p w14:paraId="22B42230" w14:textId="77777777" w:rsidR="00DF1FC7" w:rsidRDefault="00DF1FC7" w:rsidP="002E5BAD">
      <w:pPr>
        <w:pStyle w:val="a5"/>
      </w:pPr>
      <w:r>
        <w:rPr>
          <w:rStyle w:val="a7"/>
        </w:rPr>
        <w:footnoteRef/>
      </w:r>
      <w:r>
        <w:rPr>
          <w:rtl/>
        </w:rPr>
        <w:t xml:space="preserve"> </w:t>
      </w:r>
      <w:r w:rsidRPr="00F44795">
        <w:rPr>
          <w:rFonts w:cs="Arial"/>
          <w:rtl/>
        </w:rPr>
        <w:t>הא דאמר רבי עישור נכסים בדלא אמידניה לאב שלא גר בינינו ולא עמדנו על סוף דעתו אם וותרן אם קמצן</w:t>
      </w:r>
      <w:r>
        <w:rPr>
          <w:rFonts w:cs="Arial" w:hint="cs"/>
          <w:rtl/>
        </w:rPr>
        <w:t>, רש"י.</w:t>
      </w:r>
    </w:p>
  </w:footnote>
  <w:footnote w:id="2969">
    <w:p w14:paraId="7390511E" w14:textId="77777777" w:rsidR="00DF1FC7" w:rsidRDefault="00DF1FC7" w:rsidP="002E5BAD">
      <w:pPr>
        <w:pStyle w:val="a5"/>
      </w:pPr>
      <w:r>
        <w:rPr>
          <w:rStyle w:val="a7"/>
        </w:rPr>
        <w:footnoteRef/>
      </w:r>
      <w:r>
        <w:rPr>
          <w:rtl/>
        </w:rPr>
        <w:t xml:space="preserve"> </w:t>
      </w:r>
      <w:r w:rsidRPr="00F44795">
        <w:rPr>
          <w:rFonts w:cs="Arial"/>
          <w:rtl/>
        </w:rPr>
        <w:t>דהיכא דאמידניה מודה רבי דשמין באב</w:t>
      </w:r>
      <w:r>
        <w:rPr>
          <w:rFonts w:cs="Arial" w:hint="cs"/>
          <w:rtl/>
        </w:rPr>
        <w:t>, רש"י.</w:t>
      </w:r>
    </w:p>
  </w:footnote>
  <w:footnote w:id="2970">
    <w:p w14:paraId="0284E942" w14:textId="77777777" w:rsidR="00DF1FC7" w:rsidRPr="005129D3" w:rsidRDefault="00DF1FC7" w:rsidP="002E5BAD">
      <w:pPr>
        <w:pStyle w:val="a5"/>
        <w:rPr>
          <w:rFonts w:cs="Arial"/>
        </w:rPr>
      </w:pPr>
      <w:r>
        <w:rPr>
          <w:rStyle w:val="a7"/>
        </w:rPr>
        <w:footnoteRef/>
      </w:r>
      <w:r>
        <w:rPr>
          <w:rtl/>
        </w:rPr>
        <w:t xml:space="preserve"> </w:t>
      </w:r>
      <w:r w:rsidRPr="00C30717">
        <w:rPr>
          <w:rFonts w:cs="Arial"/>
          <w:rtl/>
        </w:rPr>
        <w:t>דברי הראב"ד ז"ל תמוהים כפי סוגיית הגמ'. גם הרב מהרי"ק ז"ל בשרש ע"ח כתב הפך זה בשמו</w:t>
      </w:r>
      <w:r>
        <w:rPr>
          <w:rFonts w:cs="Arial" w:hint="cs"/>
          <w:rtl/>
        </w:rPr>
        <w:t>.</w:t>
      </w:r>
      <w:r w:rsidRPr="00C30717">
        <w:rPr>
          <w:rFonts w:cs="Arial"/>
          <w:rtl/>
        </w:rPr>
        <w:t xml:space="preserve"> </w:t>
      </w:r>
      <w:r>
        <w:rPr>
          <w:rFonts w:cs="Arial" w:hint="cs"/>
          <w:rtl/>
        </w:rPr>
        <w:t>ו</w:t>
      </w:r>
      <w:r w:rsidRPr="00C30717">
        <w:rPr>
          <w:rFonts w:cs="Arial"/>
          <w:rtl/>
        </w:rPr>
        <w:t>כבר עמד ע</w:t>
      </w:r>
      <w:r>
        <w:rPr>
          <w:rFonts w:cs="Arial" w:hint="cs"/>
          <w:rtl/>
        </w:rPr>
        <w:t xml:space="preserve">ל </w:t>
      </w:r>
      <w:r w:rsidRPr="00C30717">
        <w:rPr>
          <w:rFonts w:cs="Arial"/>
          <w:rtl/>
        </w:rPr>
        <w:t>ז</w:t>
      </w:r>
      <w:r>
        <w:rPr>
          <w:rFonts w:cs="Arial" w:hint="cs"/>
          <w:rtl/>
        </w:rPr>
        <w:t>ה</w:t>
      </w:r>
      <w:r w:rsidRPr="00C30717">
        <w:rPr>
          <w:rFonts w:cs="Arial"/>
          <w:rtl/>
        </w:rPr>
        <w:t xml:space="preserve"> מהר"א ד</w:t>
      </w:r>
      <w:r>
        <w:rPr>
          <w:rFonts w:cs="Arial" w:hint="cs"/>
          <w:rtl/>
        </w:rPr>
        <w:t xml:space="preserve">י </w:t>
      </w:r>
      <w:r w:rsidRPr="00C30717">
        <w:rPr>
          <w:rFonts w:cs="Arial"/>
          <w:rtl/>
        </w:rPr>
        <w:t>ב</w:t>
      </w:r>
      <w:r>
        <w:rPr>
          <w:rFonts w:cs="Arial" w:hint="cs"/>
          <w:rtl/>
        </w:rPr>
        <w:t>וטון</w:t>
      </w:r>
      <w:r w:rsidRPr="00C30717">
        <w:rPr>
          <w:rFonts w:cs="Arial"/>
          <w:rtl/>
        </w:rPr>
        <w:t xml:space="preserve"> ז"ל בתשובה </w:t>
      </w:r>
      <w:r>
        <w:rPr>
          <w:rFonts w:cs="Arial" w:hint="cs"/>
          <w:rtl/>
        </w:rPr>
        <w:t xml:space="preserve">(לחם רב </w:t>
      </w:r>
      <w:r w:rsidRPr="00C30717">
        <w:rPr>
          <w:rFonts w:cs="Arial"/>
          <w:rtl/>
        </w:rPr>
        <w:t>סי</w:t>
      </w:r>
      <w:r>
        <w:rPr>
          <w:rFonts w:cs="Arial" w:hint="cs"/>
          <w:rtl/>
        </w:rPr>
        <w:t>'</w:t>
      </w:r>
      <w:r w:rsidRPr="00C30717">
        <w:rPr>
          <w:rFonts w:cs="Arial"/>
          <w:rtl/>
        </w:rPr>
        <w:t xml:space="preserve"> מ</w:t>
      </w:r>
      <w:r>
        <w:rPr>
          <w:rFonts w:cs="Arial" w:hint="cs"/>
          <w:rtl/>
        </w:rPr>
        <w:t>ה), כנה"ג (הגה"ט אות ט)</w:t>
      </w:r>
    </w:p>
  </w:footnote>
  <w:footnote w:id="2971">
    <w:p w14:paraId="3FF5381B" w14:textId="77777777" w:rsidR="00DF1FC7" w:rsidRPr="00DB6A77" w:rsidRDefault="00DF1FC7" w:rsidP="002E5BAD">
      <w:pPr>
        <w:pStyle w:val="a5"/>
        <w:rPr>
          <w:rtl/>
        </w:rPr>
      </w:pPr>
      <w:r w:rsidRPr="00DB6A77">
        <w:rPr>
          <w:rStyle w:val="a7"/>
        </w:rPr>
        <w:footnoteRef/>
      </w:r>
      <w:r w:rsidRPr="00DB6A77">
        <w:rPr>
          <w:rtl/>
        </w:rPr>
        <w:t xml:space="preserve"> </w:t>
      </w:r>
      <w:r w:rsidRPr="00DB6A77">
        <w:rPr>
          <w:rFonts w:cs="Arial" w:hint="cs"/>
          <w:rtl/>
        </w:rPr>
        <w:t>ו</w:t>
      </w:r>
      <w:r>
        <w:rPr>
          <w:rFonts w:cs="Arial" w:hint="cs"/>
          <w:rtl/>
        </w:rPr>
        <w:t xml:space="preserve">כ"כ </w:t>
      </w:r>
      <w:r w:rsidRPr="00DB6A77">
        <w:rPr>
          <w:rFonts w:cs="Arial"/>
          <w:rtl/>
        </w:rPr>
        <w:t xml:space="preserve">מהרי"ל </w:t>
      </w:r>
      <w:r w:rsidRPr="00DB6A77">
        <w:rPr>
          <w:rFonts w:cs="Arial" w:hint="cs"/>
          <w:rtl/>
        </w:rPr>
        <w:t>(</w:t>
      </w:r>
      <w:r w:rsidRPr="00DB6A77">
        <w:rPr>
          <w:rFonts w:cs="Arial"/>
          <w:rtl/>
        </w:rPr>
        <w:t>סי</w:t>
      </w:r>
      <w:r w:rsidRPr="00DB6A77">
        <w:rPr>
          <w:rFonts w:cs="Arial" w:hint="cs"/>
          <w:rtl/>
        </w:rPr>
        <w:t>'</w:t>
      </w:r>
      <w:r w:rsidRPr="00DB6A77">
        <w:rPr>
          <w:rFonts w:cs="Arial"/>
          <w:rtl/>
        </w:rPr>
        <w:t xml:space="preserve"> עה</w:t>
      </w:r>
      <w:r>
        <w:rPr>
          <w:rFonts w:cs="Arial" w:hint="cs"/>
          <w:rtl/>
        </w:rPr>
        <w:t>, הביאו הדרכ"מ אות א</w:t>
      </w:r>
      <w:r w:rsidRPr="00DB6A77">
        <w:rPr>
          <w:rFonts w:cs="Arial" w:hint="cs"/>
          <w:rtl/>
        </w:rPr>
        <w:t>)</w:t>
      </w:r>
      <w:r>
        <w:rPr>
          <w:rFonts w:cs="Arial" w:hint="cs"/>
          <w:rtl/>
        </w:rPr>
        <w:t>.</w:t>
      </w:r>
      <w:r>
        <w:rPr>
          <w:rFonts w:hint="cs"/>
          <w:rtl/>
        </w:rPr>
        <w:t xml:space="preserve"> (ולגבי מה שכתבתי שזו דעת הרא"ה, הריטב"א לא כתב כן בפירוש אלא כתב 'אומר מורי נר"ו'. וכשהריטב"א כותב 'מורי' או 'מורי הרב' בסתם כוונתו לרבו המובהק </w:t>
      </w:r>
      <w:r>
        <w:rPr>
          <w:rtl/>
        </w:rPr>
        <w:t>–</w:t>
      </w:r>
      <w:r>
        <w:rPr>
          <w:rFonts w:hint="cs"/>
          <w:rtl/>
        </w:rPr>
        <w:t xml:space="preserve"> הרא"ה. וכשרצה לומר בשם רבו הרשב"א הוא כתב את שמו בפירוש. וכשכתב 'רבינו הגדול' כוונתו לרמב"ן).</w:t>
      </w:r>
    </w:p>
  </w:footnote>
  <w:footnote w:id="2972">
    <w:p w14:paraId="3D764751" w14:textId="77777777" w:rsidR="00DF1FC7" w:rsidRPr="002B5716" w:rsidRDefault="00DF1FC7" w:rsidP="002E5BAD">
      <w:pPr>
        <w:pStyle w:val="a5"/>
      </w:pPr>
      <w:r>
        <w:rPr>
          <w:rStyle w:val="a7"/>
        </w:rPr>
        <w:footnoteRef/>
      </w:r>
      <w:r>
        <w:rPr>
          <w:rtl/>
        </w:rPr>
        <w:t xml:space="preserve"> </w:t>
      </w:r>
      <w:r>
        <w:rPr>
          <w:rFonts w:hint="cs"/>
          <w:rtl/>
        </w:rPr>
        <w:t>והביא ה</w:t>
      </w:r>
      <w:r w:rsidRPr="00F4222F">
        <w:rPr>
          <w:rFonts w:cs="Arial"/>
          <w:rtl/>
        </w:rPr>
        <w:t>נמוק</w:t>
      </w:r>
      <w:r>
        <w:rPr>
          <w:rFonts w:cs="Arial" w:hint="cs"/>
          <w:rtl/>
        </w:rPr>
        <w:t>"</w:t>
      </w:r>
      <w:r w:rsidRPr="00F4222F">
        <w:rPr>
          <w:rFonts w:cs="Arial"/>
          <w:rtl/>
        </w:rPr>
        <w:t xml:space="preserve">י </w:t>
      </w:r>
      <w:r w:rsidRPr="00F4222F">
        <w:rPr>
          <w:rFonts w:cs="Arial" w:hint="cs"/>
          <w:sz w:val="16"/>
          <w:szCs w:val="16"/>
          <w:rtl/>
        </w:rPr>
        <w:t>(</w:t>
      </w:r>
      <w:r w:rsidRPr="00F4222F">
        <w:rPr>
          <w:rFonts w:cs="Arial"/>
          <w:sz w:val="16"/>
          <w:szCs w:val="16"/>
          <w:rtl/>
        </w:rPr>
        <w:t>פ</w:t>
      </w:r>
      <w:r w:rsidRPr="00F4222F">
        <w:rPr>
          <w:rFonts w:cs="Arial" w:hint="cs"/>
          <w:sz w:val="16"/>
          <w:szCs w:val="16"/>
          <w:rtl/>
        </w:rPr>
        <w:t xml:space="preserve">' </w:t>
      </w:r>
      <w:r w:rsidRPr="00F4222F">
        <w:rPr>
          <w:rFonts w:cs="Arial"/>
          <w:sz w:val="16"/>
          <w:szCs w:val="16"/>
          <w:rtl/>
        </w:rPr>
        <w:t>יש נוחלין נג: ד"ה מתני' בנכסי)</w:t>
      </w:r>
      <w:r>
        <w:rPr>
          <w:rFonts w:cs="Arial" w:hint="cs"/>
          <w:rtl/>
        </w:rPr>
        <w:t xml:space="preserve"> את דברי הריטב"א בשם הרמ"ה ואח"כ כתב "</w:t>
      </w:r>
      <w:r w:rsidRPr="002B5716">
        <w:rPr>
          <w:rFonts w:cs="Arial"/>
          <w:rtl/>
        </w:rPr>
        <w:t>ולא כתבתי זה בפנים</w:t>
      </w:r>
      <w:r>
        <w:rPr>
          <w:rFonts w:cs="Arial" w:hint="cs"/>
          <w:rtl/>
        </w:rPr>
        <w:t>", וצל"ע מה כוונתו.</w:t>
      </w:r>
    </w:p>
  </w:footnote>
  <w:footnote w:id="2973">
    <w:p w14:paraId="7D9AC14B" w14:textId="77777777" w:rsidR="00DF1FC7" w:rsidRDefault="00DF1FC7" w:rsidP="002E5BAD">
      <w:pPr>
        <w:pStyle w:val="a5"/>
      </w:pPr>
      <w:r>
        <w:rPr>
          <w:rStyle w:val="a7"/>
        </w:rPr>
        <w:footnoteRef/>
      </w:r>
      <w:r>
        <w:rPr>
          <w:rtl/>
        </w:rPr>
        <w:t xml:space="preserve"> </w:t>
      </w:r>
      <w:r w:rsidRPr="004A7964">
        <w:rPr>
          <w:rFonts w:cs="Arial"/>
          <w:rtl/>
        </w:rPr>
        <w:t>והכא איעבורי אחסנתא הוא שזה כותב לבתו מה שהיה ראוי להוריש לבניו</w:t>
      </w:r>
      <w:r>
        <w:rPr>
          <w:rFonts w:cs="Arial" w:hint="cs"/>
          <w:rtl/>
        </w:rPr>
        <w:t>, רש"י.</w:t>
      </w:r>
    </w:p>
  </w:footnote>
  <w:footnote w:id="2974">
    <w:p w14:paraId="34F65667" w14:textId="77777777" w:rsidR="00DF1FC7" w:rsidRDefault="00DF1FC7" w:rsidP="002E5BAD">
      <w:pPr>
        <w:pStyle w:val="a5"/>
      </w:pPr>
      <w:r>
        <w:rPr>
          <w:rStyle w:val="a7"/>
        </w:rPr>
        <w:footnoteRef/>
      </w:r>
      <w:r>
        <w:rPr>
          <w:rtl/>
        </w:rPr>
        <w:t xml:space="preserve"> </w:t>
      </w:r>
      <w:r w:rsidRPr="004A7964">
        <w:rPr>
          <w:rFonts w:cs="Arial"/>
          <w:rtl/>
        </w:rPr>
        <w:t>לעיל שיקפוץ אדם ויתן לבתו ויליף לה מקרא</w:t>
      </w:r>
      <w:r>
        <w:rPr>
          <w:rFonts w:cs="Arial" w:hint="cs"/>
          <w:rtl/>
        </w:rPr>
        <w:t>, רש"י.</w:t>
      </w:r>
    </w:p>
  </w:footnote>
  <w:footnote w:id="2975">
    <w:p w14:paraId="695D8681" w14:textId="77777777" w:rsidR="00DF1FC7" w:rsidRDefault="00DF1FC7" w:rsidP="002E5BAD">
      <w:pPr>
        <w:pStyle w:val="a5"/>
      </w:pPr>
      <w:r>
        <w:rPr>
          <w:rStyle w:val="a7"/>
        </w:rPr>
        <w:footnoteRef/>
      </w:r>
      <w:r>
        <w:rPr>
          <w:rtl/>
        </w:rPr>
        <w:t xml:space="preserve"> </w:t>
      </w:r>
      <w:r w:rsidRPr="004A7964">
        <w:rPr>
          <w:rFonts w:cs="Arial"/>
          <w:rtl/>
        </w:rPr>
        <w:t>אם נטלת ממני עצה</w:t>
      </w:r>
      <w:r>
        <w:rPr>
          <w:rFonts w:cs="Arial" w:hint="cs"/>
          <w:rtl/>
        </w:rPr>
        <w:t>, רש"י.</w:t>
      </w:r>
    </w:p>
  </w:footnote>
  <w:footnote w:id="2976">
    <w:p w14:paraId="43FE01F1" w14:textId="77777777" w:rsidR="00DF1FC7" w:rsidRDefault="00DF1FC7" w:rsidP="002E5BAD">
      <w:pPr>
        <w:pStyle w:val="a5"/>
        <w:rPr>
          <w:rtl/>
        </w:rPr>
      </w:pPr>
      <w:r>
        <w:rPr>
          <w:rStyle w:val="a7"/>
        </w:rPr>
        <w:footnoteRef/>
      </w:r>
      <w:r>
        <w:rPr>
          <w:rtl/>
        </w:rPr>
        <w:t xml:space="preserve"> </w:t>
      </w:r>
      <w:r>
        <w:rPr>
          <w:rFonts w:hint="cs"/>
          <w:rtl/>
        </w:rPr>
        <w:t>הביאו דבריו</w:t>
      </w:r>
      <w:r>
        <w:rPr>
          <w:rFonts w:cs="Arial" w:hint="cs"/>
          <w:rtl/>
        </w:rPr>
        <w:t xml:space="preserve"> </w:t>
      </w:r>
      <w:r w:rsidRPr="008D5BDF">
        <w:rPr>
          <w:rFonts w:cs="Arial" w:hint="cs"/>
          <w:rtl/>
        </w:rPr>
        <w:t xml:space="preserve">המרדכי </w:t>
      </w:r>
      <w:r>
        <w:rPr>
          <w:rFonts w:cs="Arial" w:hint="cs"/>
          <w:rtl/>
        </w:rPr>
        <w:t>(</w:t>
      </w:r>
      <w:r w:rsidRPr="008D5BDF">
        <w:rPr>
          <w:rFonts w:cs="Arial" w:hint="cs"/>
          <w:rtl/>
        </w:rPr>
        <w:t>כתובות סי' קסב</w:t>
      </w:r>
      <w:r>
        <w:rPr>
          <w:rFonts w:cs="Arial" w:hint="cs"/>
          <w:rtl/>
        </w:rPr>
        <w:t>) והרא"ש (כתובות פ"ד סי' כד) לגבי הדיון בכתוב</w:t>
      </w:r>
      <w:r>
        <w:rPr>
          <w:rFonts w:hint="cs"/>
          <w:rtl/>
        </w:rPr>
        <w:t xml:space="preserve">ת בנין דכרין. והדרכ"מ (אות ג) הביא את הדברים הללו בשם המרדכי בסתם, וז"ל הדרכ"מ- </w:t>
      </w:r>
      <w:r w:rsidRPr="00A9227A">
        <w:rPr>
          <w:rFonts w:cs="Arial"/>
          <w:rtl/>
        </w:rPr>
        <w:t xml:space="preserve">כתב המרדכי פרק נערה (סי' קסב) </w:t>
      </w:r>
      <w:r>
        <w:rPr>
          <w:rFonts w:cs="Arial" w:hint="cs"/>
          <w:rtl/>
        </w:rPr>
        <w:t>ד</w:t>
      </w:r>
      <w:r w:rsidRPr="00E04543">
        <w:rPr>
          <w:rFonts w:cs="Arial"/>
          <w:rtl/>
        </w:rPr>
        <w:t>היו נוהגים לנדות על כל מי שמוסיף הרבה יותר מדאי לנדן בתו כי אין ראוי לעשות כן</w:t>
      </w:r>
      <w:r>
        <w:rPr>
          <w:rFonts w:cs="Arial" w:hint="cs"/>
          <w:rtl/>
        </w:rPr>
        <w:t>.</w:t>
      </w:r>
      <w:r>
        <w:rPr>
          <w:rFonts w:hint="cs"/>
          <w:rtl/>
        </w:rPr>
        <w:t xml:space="preserve"> עכ"ל. וקצת קשה לי מאיפה למד הדרכ"מ שנוהגים כן, הרי בבעל העיטור לא נכתב כן. אמנם לשון הרא"ש היא </w:t>
      </w:r>
      <w:r>
        <w:rPr>
          <w:rFonts w:cs="Arial" w:hint="cs"/>
          <w:rtl/>
        </w:rPr>
        <w:t>"</w:t>
      </w:r>
      <w:r w:rsidRPr="008D5BDF">
        <w:rPr>
          <w:rFonts w:cs="Arial"/>
          <w:rtl/>
        </w:rPr>
        <w:t>וכמה הוצרך הדבר לנדות כל מי שירבה במתנת בתו</w:t>
      </w:r>
      <w:r>
        <w:rPr>
          <w:rFonts w:cs="Arial" w:hint="cs"/>
          <w:rtl/>
        </w:rPr>
        <w:t>" (וכעין זה לשון המרדכי), ופירש הקו"נ (אות ש)</w:t>
      </w:r>
      <w:r w:rsidRPr="008D5BDF">
        <w:rPr>
          <w:rtl/>
        </w:rPr>
        <w:t xml:space="preserve"> </w:t>
      </w:r>
      <w:r>
        <w:rPr>
          <w:rFonts w:cs="Arial" w:hint="cs"/>
          <w:rtl/>
        </w:rPr>
        <w:t xml:space="preserve">וז"ל- </w:t>
      </w:r>
      <w:r w:rsidRPr="008D5BDF">
        <w:rPr>
          <w:rFonts w:cs="Arial"/>
          <w:rtl/>
        </w:rPr>
        <w:t>כלומר וראוי היה אז לחכמי הדור לעשות תקנה על זה בחרם ונידוי שלא להרבות לבתו מוהר הרבה להעביר נחלה וכי בשביל שהוא זכר יפסיד</w:t>
      </w:r>
      <w:r>
        <w:rPr>
          <w:rFonts w:cs="Arial" w:hint="cs"/>
          <w:rtl/>
        </w:rPr>
        <w:t>.</w:t>
      </w:r>
      <w:r>
        <w:rPr>
          <w:rFonts w:hint="cs"/>
          <w:rtl/>
        </w:rPr>
        <w:t xml:space="preserve"> עכ"ל. אם כן נראה שכך גרס הדרכ"מ במרדכי. אך במרדכי ישן איתא כבהעי"ט.</w:t>
      </w:r>
    </w:p>
  </w:footnote>
  <w:footnote w:id="2977">
    <w:p w14:paraId="029D56CB" w14:textId="77777777" w:rsidR="00DF1FC7" w:rsidRDefault="00DF1FC7" w:rsidP="002E5BAD">
      <w:pPr>
        <w:pStyle w:val="a5"/>
      </w:pPr>
      <w:r>
        <w:rPr>
          <w:rStyle w:val="a7"/>
        </w:rPr>
        <w:footnoteRef/>
      </w:r>
      <w:r>
        <w:rPr>
          <w:rtl/>
        </w:rPr>
        <w:t xml:space="preserve"> </w:t>
      </w:r>
      <w:r w:rsidRPr="00C55B53">
        <w:rPr>
          <w:rFonts w:cs="Arial"/>
          <w:rtl/>
        </w:rPr>
        <w:t>אין הפי' שנותנין לה מיד</w:t>
      </w:r>
      <w:r>
        <w:rPr>
          <w:rFonts w:cs="Arial" w:hint="cs"/>
          <w:rtl/>
        </w:rPr>
        <w:t>,</w:t>
      </w:r>
      <w:r w:rsidRPr="00C55B53">
        <w:rPr>
          <w:rFonts w:cs="Arial"/>
          <w:rtl/>
        </w:rPr>
        <w:t xml:space="preserve"> וכמו שיתבאר לקמן סעי' ד'</w:t>
      </w:r>
      <w:r>
        <w:rPr>
          <w:rFonts w:cs="Arial" w:hint="cs"/>
          <w:rtl/>
        </w:rPr>
        <w:t>,</w:t>
      </w:r>
      <w:r w:rsidRPr="00C55B53">
        <w:rPr>
          <w:rFonts w:cs="Arial"/>
          <w:rtl/>
        </w:rPr>
        <w:t xml:space="preserve"> רק שב"ד אומדין דעתו לפי הנכסים שנשארו ממנו ופוסקין לה ב"ד מה שראויה ליטול</w:t>
      </w:r>
      <w:r>
        <w:rPr>
          <w:rFonts w:cs="Arial" w:hint="cs"/>
          <w:rtl/>
        </w:rPr>
        <w:t>,</w:t>
      </w:r>
      <w:r w:rsidRPr="00C55B53">
        <w:rPr>
          <w:rFonts w:cs="Arial"/>
          <w:rtl/>
        </w:rPr>
        <w:t xml:space="preserve"> ונוטלתו בשעת נשואין</w:t>
      </w:r>
      <w:r>
        <w:rPr>
          <w:rFonts w:cs="Arial" w:hint="cs"/>
          <w:rtl/>
        </w:rPr>
        <w:t>,</w:t>
      </w:r>
      <w:r w:rsidRPr="00C55B53">
        <w:rPr>
          <w:rFonts w:cs="Arial"/>
          <w:rtl/>
        </w:rPr>
        <w:t xml:space="preserve"> והנכסים משועבדין לה מיד בשעת מיתה וכל מי שקנה קרקע מהאחין טורפת מן הלוקח כמו שיתבאר בסעי' ה'</w:t>
      </w:r>
      <w:r>
        <w:rPr>
          <w:rFonts w:cs="Arial" w:hint="cs"/>
          <w:rtl/>
        </w:rPr>
        <w:t>, ח"מ (סק"א).</w:t>
      </w:r>
    </w:p>
  </w:footnote>
  <w:footnote w:id="2978">
    <w:p w14:paraId="69174DDC" w14:textId="77777777" w:rsidR="00DF1FC7" w:rsidRDefault="00DF1FC7" w:rsidP="002E5BAD">
      <w:pPr>
        <w:pStyle w:val="a5"/>
      </w:pPr>
      <w:r>
        <w:rPr>
          <w:rStyle w:val="a7"/>
        </w:rPr>
        <w:footnoteRef/>
      </w:r>
      <w:r>
        <w:rPr>
          <w:rtl/>
        </w:rPr>
        <w:t xml:space="preserve"> </w:t>
      </w:r>
      <w:r w:rsidRPr="00C55B53">
        <w:rPr>
          <w:rFonts w:cs="Arial"/>
          <w:rtl/>
        </w:rPr>
        <w:t>משמע אפי' להוסיף על עישור נכסים וזה הוא דעת הרמב"ם כמ"ש המ"מ</w:t>
      </w:r>
      <w:r>
        <w:rPr>
          <w:rFonts w:cs="Arial" w:hint="cs"/>
          <w:rtl/>
        </w:rPr>
        <w:t>,</w:t>
      </w:r>
      <w:r w:rsidRPr="00C55B53">
        <w:rPr>
          <w:rFonts w:cs="Arial"/>
          <w:rtl/>
        </w:rPr>
        <w:t xml:space="preserve"> ובסמוך סעיף ב' בהג"ה כתב פלוגתא בזה</w:t>
      </w:r>
      <w:r>
        <w:rPr>
          <w:rFonts w:cs="Arial" w:hint="cs"/>
          <w:rtl/>
        </w:rPr>
        <w:t>, ח"מ (סק"ב).</w:t>
      </w:r>
      <w:r w:rsidRPr="00AE427E">
        <w:rPr>
          <w:rtl/>
        </w:rPr>
        <w:t xml:space="preserve"> </w:t>
      </w:r>
      <w:r>
        <w:rPr>
          <w:rFonts w:cs="Arial" w:hint="cs"/>
          <w:rtl/>
        </w:rPr>
        <w:t>ו</w:t>
      </w:r>
      <w:r w:rsidRPr="00AE427E">
        <w:rPr>
          <w:rFonts w:cs="Arial"/>
          <w:rtl/>
        </w:rPr>
        <w:t xml:space="preserve">לכאורה משמע מטור </w:t>
      </w:r>
      <w:r>
        <w:rPr>
          <w:rFonts w:cs="Arial" w:hint="cs"/>
          <w:rtl/>
        </w:rPr>
        <w:t>ד</w:t>
      </w:r>
      <w:r w:rsidRPr="00AE427E">
        <w:rPr>
          <w:rFonts w:cs="Arial"/>
          <w:rtl/>
        </w:rPr>
        <w:t>אם השיא בת אז אפי' לדעת הפוסקים דאין אומדים ליתן לה יותר מעישור מ"מ אם כבר נתן יותר מעישור נותנים גם לזו יותר מעישור</w:t>
      </w:r>
      <w:r>
        <w:rPr>
          <w:rFonts w:cs="Arial" w:hint="cs"/>
          <w:rtl/>
        </w:rPr>
        <w:t>,</w:t>
      </w:r>
      <w:r w:rsidRPr="00AE427E">
        <w:rPr>
          <w:rFonts w:cs="Arial"/>
          <w:rtl/>
        </w:rPr>
        <w:t xml:space="preserve"> וכ"כ מהרש"ל</w:t>
      </w:r>
      <w:r>
        <w:rPr>
          <w:rFonts w:cs="Arial" w:hint="cs"/>
          <w:rtl/>
        </w:rPr>
        <w:t>.</w:t>
      </w:r>
      <w:r w:rsidRPr="00AE427E">
        <w:rPr>
          <w:rFonts w:cs="Arial"/>
          <w:rtl/>
        </w:rPr>
        <w:t xml:space="preserve"> מיהו בהרא"ש מבואר דאין חילוק בדבר אפי' השיא בת א' אין נותנים לו יותר מעישור</w:t>
      </w:r>
      <w:r>
        <w:rPr>
          <w:rFonts w:cs="Arial" w:hint="cs"/>
          <w:rtl/>
        </w:rPr>
        <w:t>,</w:t>
      </w:r>
      <w:r w:rsidRPr="00AE427E">
        <w:rPr>
          <w:rFonts w:cs="Arial"/>
          <w:rtl/>
        </w:rPr>
        <w:t xml:space="preserve"> וכן משמע בהג"ה סס"ב ועיין בדרישה ובית חדש</w:t>
      </w:r>
      <w:r>
        <w:rPr>
          <w:rFonts w:cs="Arial" w:hint="cs"/>
          <w:rtl/>
        </w:rPr>
        <w:t>, ב"ש (סק"ב).</w:t>
      </w:r>
    </w:p>
  </w:footnote>
  <w:footnote w:id="2979">
    <w:p w14:paraId="3E12DFE5" w14:textId="77777777" w:rsidR="00DF1FC7" w:rsidRDefault="00DF1FC7" w:rsidP="002E5BAD">
      <w:pPr>
        <w:pStyle w:val="a5"/>
      </w:pPr>
      <w:r>
        <w:rPr>
          <w:rStyle w:val="a7"/>
        </w:rPr>
        <w:footnoteRef/>
      </w:r>
      <w:r>
        <w:rPr>
          <w:rtl/>
        </w:rPr>
        <w:t xml:space="preserve"> </w:t>
      </w:r>
      <w:r w:rsidRPr="004A76EA">
        <w:rPr>
          <w:rFonts w:cs="Arial"/>
          <w:rtl/>
        </w:rPr>
        <w:t>היינו בידוע שנשתנה דעתו אבל אם אין ידוע אמרי' דלא נשתנה דעתו והיינו פלוגתא רבנן ור"י והלכה כר"י</w:t>
      </w:r>
      <w:r>
        <w:rPr>
          <w:rFonts w:cs="Arial" w:hint="cs"/>
          <w:rtl/>
        </w:rPr>
        <w:t>, ב"ש (סק"ג).</w:t>
      </w:r>
    </w:p>
  </w:footnote>
  <w:footnote w:id="2980">
    <w:p w14:paraId="75241F0B" w14:textId="77777777" w:rsidR="00DF1FC7" w:rsidRDefault="00DF1FC7" w:rsidP="002E5BAD">
      <w:pPr>
        <w:pStyle w:val="a5"/>
      </w:pPr>
      <w:r>
        <w:rPr>
          <w:rStyle w:val="a7"/>
        </w:rPr>
        <w:footnoteRef/>
      </w:r>
      <w:r>
        <w:rPr>
          <w:rtl/>
        </w:rPr>
        <w:t xml:space="preserve"> </w:t>
      </w:r>
      <w:r w:rsidRPr="00A45093">
        <w:rPr>
          <w:rFonts w:cs="Arial"/>
          <w:rtl/>
        </w:rPr>
        <w:t>וכן דעת מהריב"ל ורשד"ם דאינה נוהגת בנכסי האם</w:t>
      </w:r>
      <w:r>
        <w:rPr>
          <w:rFonts w:cs="Arial" w:hint="cs"/>
          <w:rtl/>
        </w:rPr>
        <w:t>, באה"ט (סק"ה).</w:t>
      </w:r>
      <w:r w:rsidRPr="00A45093">
        <w:rPr>
          <w:rFonts w:cs="Arial"/>
          <w:rtl/>
        </w:rPr>
        <w:t xml:space="preserve"> וכן דעת שאילת יעב"ץ </w:t>
      </w:r>
      <w:r>
        <w:rPr>
          <w:rFonts w:cs="Arial" w:hint="cs"/>
          <w:rtl/>
        </w:rPr>
        <w:t>(</w:t>
      </w:r>
      <w:r w:rsidRPr="00A45093">
        <w:rPr>
          <w:rFonts w:cs="Arial"/>
          <w:rtl/>
        </w:rPr>
        <w:t>ח"א סי' פד</w:t>
      </w:r>
      <w:r>
        <w:rPr>
          <w:rFonts w:cs="Arial" w:hint="cs"/>
          <w:rtl/>
        </w:rPr>
        <w:t>)</w:t>
      </w:r>
      <w:r w:rsidRPr="00A45093">
        <w:rPr>
          <w:rFonts w:cs="Arial"/>
          <w:rtl/>
        </w:rPr>
        <w:t>. וכן דעת ס' בית מאיר וכ' דאפי' תפיס' לא מהני מטעם ספק תקנה ומסיים אלא דזה צ"ע בלשון מהרי"ל סי' ע"ט דמשמע מדבריו דוקא אם נשבעת הא אם לא נשבעת הנכסים בחזקת האב וחייבים בעישור וקשה למה לא יוכלו היורשים לומר אנו מוחלים השבוע' עב"ש בסי' צ"ו סק"ד ובסי' ק"ה סס"ק ח'</w:t>
      </w:r>
      <w:r>
        <w:rPr>
          <w:rFonts w:cs="Arial" w:hint="cs"/>
          <w:rtl/>
        </w:rPr>
        <w:t>, פת"ש (סק"ב).</w:t>
      </w:r>
      <w:r w:rsidRPr="00A45093">
        <w:rPr>
          <w:rFonts w:cs="Arial"/>
          <w:rtl/>
        </w:rPr>
        <w:t xml:space="preserve"> </w:t>
      </w:r>
      <w:r w:rsidRPr="004A76EA">
        <w:rPr>
          <w:rFonts w:cs="Arial"/>
          <w:rtl/>
        </w:rPr>
        <w:t xml:space="preserve">מיהו </w:t>
      </w:r>
      <w:r>
        <w:rPr>
          <w:rFonts w:cs="Arial" w:hint="cs"/>
          <w:rtl/>
        </w:rPr>
        <w:t xml:space="preserve">כתב הב"ש (סק"ד)- </w:t>
      </w:r>
      <w:r w:rsidRPr="004A76EA">
        <w:rPr>
          <w:rFonts w:cs="Arial"/>
          <w:rtl/>
        </w:rPr>
        <w:t>מדלא הבי</w:t>
      </w:r>
      <w:r>
        <w:rPr>
          <w:rFonts w:cs="Arial" w:hint="cs"/>
          <w:rtl/>
        </w:rPr>
        <w:t>א מהרי"ל</w:t>
      </w:r>
      <w:r w:rsidRPr="004A76EA">
        <w:rPr>
          <w:rFonts w:cs="Arial"/>
          <w:rtl/>
        </w:rPr>
        <w:t xml:space="preserve"> דברי הנ</w:t>
      </w:r>
      <w:r>
        <w:rPr>
          <w:rFonts w:cs="Arial" w:hint="cs"/>
          <w:rtl/>
        </w:rPr>
        <w:t>מוק</w:t>
      </w:r>
      <w:r w:rsidRPr="004A76EA">
        <w:rPr>
          <w:rFonts w:cs="Arial"/>
          <w:rtl/>
        </w:rPr>
        <w:t>"י בשם הריטב"א י</w:t>
      </w:r>
      <w:r>
        <w:rPr>
          <w:rFonts w:cs="Arial" w:hint="cs"/>
          <w:rtl/>
        </w:rPr>
        <w:t xml:space="preserve">ש </w:t>
      </w:r>
      <w:r w:rsidRPr="004A76EA">
        <w:rPr>
          <w:rFonts w:cs="Arial"/>
          <w:rtl/>
        </w:rPr>
        <w:t>ל</w:t>
      </w:r>
      <w:r>
        <w:rPr>
          <w:rFonts w:cs="Arial" w:hint="cs"/>
          <w:rtl/>
        </w:rPr>
        <w:t>ומר</w:t>
      </w:r>
      <w:r w:rsidRPr="004A76EA">
        <w:rPr>
          <w:rFonts w:cs="Arial"/>
          <w:rtl/>
        </w:rPr>
        <w:t xml:space="preserve"> דלא ראה דבריהם</w:t>
      </w:r>
      <w:r>
        <w:rPr>
          <w:rFonts w:cs="Arial" w:hint="cs"/>
          <w:rtl/>
        </w:rPr>
        <w:t>.</w:t>
      </w:r>
      <w:r w:rsidRPr="004A76EA">
        <w:rPr>
          <w:rFonts w:cs="Arial"/>
          <w:rtl/>
        </w:rPr>
        <w:t xml:space="preserve"> וראיה שלו</w:t>
      </w:r>
      <w:r>
        <w:rPr>
          <w:rFonts w:cs="Arial" w:hint="cs"/>
          <w:rtl/>
        </w:rPr>
        <w:t>,</w:t>
      </w:r>
      <w:r w:rsidRPr="004A76EA">
        <w:rPr>
          <w:rFonts w:cs="Arial"/>
          <w:rtl/>
        </w:rPr>
        <w:t xml:space="preserve"> דבפ' מציאת האשה דחוק לפ</w:t>
      </w:r>
      <w:r>
        <w:rPr>
          <w:rFonts w:cs="Arial" w:hint="cs"/>
          <w:rtl/>
        </w:rPr>
        <w:t>רש</w:t>
      </w:r>
      <w:r w:rsidRPr="004A76EA">
        <w:rPr>
          <w:rFonts w:cs="Arial"/>
          <w:rtl/>
        </w:rPr>
        <w:t xml:space="preserve"> על מה שאמר שם ר' הונא פרנסה היינו נדוניא אינה כתנאי כתובה</w:t>
      </w:r>
      <w:r>
        <w:rPr>
          <w:rFonts w:cs="Arial" w:hint="cs"/>
          <w:rtl/>
        </w:rPr>
        <w:t>,</w:t>
      </w:r>
      <w:r w:rsidRPr="004A76EA">
        <w:rPr>
          <w:rFonts w:cs="Arial"/>
          <w:rtl/>
        </w:rPr>
        <w:t xml:space="preserve"> ואם אית</w:t>
      </w:r>
      <w:r>
        <w:rPr>
          <w:rFonts w:cs="Arial" w:hint="cs"/>
          <w:rtl/>
        </w:rPr>
        <w:t>א</w:t>
      </w:r>
      <w:r w:rsidRPr="004A76EA">
        <w:rPr>
          <w:rFonts w:cs="Arial"/>
          <w:rtl/>
        </w:rPr>
        <w:t xml:space="preserve"> לישני להך מילתא דנגבי</w:t>
      </w:r>
      <w:r>
        <w:rPr>
          <w:rFonts w:cs="Arial" w:hint="cs"/>
          <w:rtl/>
        </w:rPr>
        <w:t>'</w:t>
      </w:r>
      <w:r w:rsidRPr="004A76EA">
        <w:rPr>
          <w:rFonts w:cs="Arial"/>
          <w:rtl/>
        </w:rPr>
        <w:t xml:space="preserve"> מנכסי האם משא"כ במזונות</w:t>
      </w:r>
      <w:r>
        <w:rPr>
          <w:rFonts w:cs="Arial" w:hint="cs"/>
          <w:rtl/>
        </w:rPr>
        <w:t xml:space="preserve"> -</w:t>
      </w:r>
      <w:r w:rsidRPr="004A76EA">
        <w:rPr>
          <w:rFonts w:cs="Arial"/>
          <w:rtl/>
        </w:rPr>
        <w:t xml:space="preserve"> באמת יש לדחות</w:t>
      </w:r>
      <w:r>
        <w:rPr>
          <w:rFonts w:cs="Arial" w:hint="cs"/>
          <w:rtl/>
        </w:rPr>
        <w:t>,</w:t>
      </w:r>
      <w:r w:rsidRPr="004A76EA">
        <w:rPr>
          <w:rFonts w:cs="Arial"/>
          <w:rtl/>
        </w:rPr>
        <w:t xml:space="preserve"> דנשמע ממתני' מדלא תני אלא מזונות</w:t>
      </w:r>
      <w:r>
        <w:rPr>
          <w:rFonts w:cs="Arial" w:hint="cs"/>
          <w:rtl/>
        </w:rPr>
        <w:t>. עכ"ל הב"ש.</w:t>
      </w:r>
      <w:r w:rsidRPr="00A45093">
        <w:rPr>
          <w:rtl/>
        </w:rPr>
        <w:t xml:space="preserve"> </w:t>
      </w:r>
      <w:r>
        <w:rPr>
          <w:rFonts w:cs="Arial" w:hint="cs"/>
          <w:rtl/>
        </w:rPr>
        <w:t>אך</w:t>
      </w:r>
      <w:r w:rsidRPr="00A45093">
        <w:rPr>
          <w:rFonts w:cs="Arial"/>
          <w:rtl/>
        </w:rPr>
        <w:t xml:space="preserve"> בתשו' ח</w:t>
      </w:r>
      <w:r>
        <w:rPr>
          <w:rFonts w:cs="Arial" w:hint="cs"/>
          <w:rtl/>
        </w:rPr>
        <w:t>ת</w:t>
      </w:r>
      <w:r w:rsidRPr="00A45093">
        <w:rPr>
          <w:rFonts w:cs="Arial"/>
          <w:rtl/>
        </w:rPr>
        <w:t xml:space="preserve">"ס </w:t>
      </w:r>
      <w:r>
        <w:rPr>
          <w:rFonts w:cs="Arial" w:hint="cs"/>
          <w:rtl/>
        </w:rPr>
        <w:t>(</w:t>
      </w:r>
      <w:r w:rsidRPr="00A45093">
        <w:rPr>
          <w:rFonts w:cs="Arial"/>
          <w:rtl/>
        </w:rPr>
        <w:t>סי' קמ</w:t>
      </w:r>
      <w:r>
        <w:rPr>
          <w:rFonts w:cs="Arial" w:hint="cs"/>
          <w:rtl/>
        </w:rPr>
        <w:t>ה)</w:t>
      </w:r>
      <w:r w:rsidRPr="00A45093">
        <w:rPr>
          <w:rFonts w:cs="Arial"/>
          <w:rtl/>
        </w:rPr>
        <w:t xml:space="preserve"> כתב ליישב דברי מהרי"ל מקושיית הב"ש</w:t>
      </w:r>
      <w:r>
        <w:rPr>
          <w:rFonts w:cs="Arial" w:hint="cs"/>
          <w:rtl/>
        </w:rPr>
        <w:t>,</w:t>
      </w:r>
      <w:r w:rsidRPr="00A45093">
        <w:rPr>
          <w:rFonts w:cs="Arial"/>
          <w:rtl/>
        </w:rPr>
        <w:t xml:space="preserve"> ומסיים</w:t>
      </w:r>
      <w:r>
        <w:rPr>
          <w:rFonts w:cs="Arial" w:hint="cs"/>
          <w:rtl/>
        </w:rPr>
        <w:t>-</w:t>
      </w:r>
      <w:r w:rsidRPr="00A45093">
        <w:rPr>
          <w:rFonts w:cs="Arial"/>
          <w:rtl/>
        </w:rPr>
        <w:t xml:space="preserve"> לכן אין להוציא ממון מנכסי האם לפרנסת הבנות.</w:t>
      </w:r>
    </w:p>
  </w:footnote>
  <w:footnote w:id="2981">
    <w:p w14:paraId="05C7D472" w14:textId="77777777" w:rsidR="00DF1FC7" w:rsidRDefault="00DF1FC7" w:rsidP="002E5BAD">
      <w:pPr>
        <w:pStyle w:val="a5"/>
      </w:pPr>
      <w:r>
        <w:rPr>
          <w:rStyle w:val="a7"/>
        </w:rPr>
        <w:footnoteRef/>
      </w:r>
      <w:r>
        <w:rPr>
          <w:rtl/>
        </w:rPr>
        <w:t xml:space="preserve"> </w:t>
      </w:r>
      <w:r w:rsidRPr="00157687">
        <w:rPr>
          <w:rFonts w:cs="Arial"/>
          <w:rtl/>
        </w:rPr>
        <w:t>עישור נכסים שתקנו לה בתורת ירושה תקינו לה</w:t>
      </w:r>
      <w:r>
        <w:rPr>
          <w:rFonts w:cs="Arial" w:hint="cs"/>
          <w:rtl/>
        </w:rPr>
        <w:t>, רש"י.</w:t>
      </w:r>
    </w:p>
  </w:footnote>
  <w:footnote w:id="2982">
    <w:p w14:paraId="5E2DDF2C" w14:textId="77777777" w:rsidR="00DF1FC7" w:rsidRDefault="00DF1FC7" w:rsidP="002E5BAD">
      <w:pPr>
        <w:pStyle w:val="a5"/>
        <w:rPr>
          <w:rtl/>
        </w:rPr>
      </w:pPr>
      <w:r>
        <w:rPr>
          <w:rStyle w:val="a7"/>
        </w:rPr>
        <w:footnoteRef/>
      </w:r>
      <w:r>
        <w:rPr>
          <w:rtl/>
        </w:rPr>
        <w:t xml:space="preserve"> </w:t>
      </w:r>
      <w:r w:rsidRPr="00157687">
        <w:rPr>
          <w:rFonts w:cs="Arial"/>
          <w:rtl/>
        </w:rPr>
        <w:t>באמת לא מצו לסלוקה בזוזי ולא בחדא ארעא שאם רוצה נוטלת חלקה מכל קרקע וקרקע ואין יכולין להקנות לה חלקה במקום אחד</w:t>
      </w:r>
      <w:r>
        <w:rPr>
          <w:rFonts w:hint="cs"/>
          <w:rtl/>
        </w:rPr>
        <w:t>, רש"י.</w:t>
      </w:r>
    </w:p>
  </w:footnote>
  <w:footnote w:id="2983">
    <w:p w14:paraId="20D778F2" w14:textId="77777777" w:rsidR="00DF1FC7" w:rsidRDefault="00DF1FC7" w:rsidP="002E5BAD">
      <w:pPr>
        <w:pStyle w:val="a5"/>
      </w:pPr>
      <w:r>
        <w:rPr>
          <w:rStyle w:val="a7"/>
        </w:rPr>
        <w:footnoteRef/>
      </w:r>
      <w:r>
        <w:rPr>
          <w:rtl/>
        </w:rPr>
        <w:t xml:space="preserve"> </w:t>
      </w:r>
      <w:r w:rsidRPr="004D4855">
        <w:rPr>
          <w:rFonts w:cs="Arial"/>
          <w:rtl/>
        </w:rPr>
        <w:t>אשה אחת באת לפני ר' נחמיה</w:t>
      </w:r>
      <w:r>
        <w:rPr>
          <w:rFonts w:cs="Arial" w:hint="cs"/>
          <w:rtl/>
        </w:rPr>
        <w:t>,</w:t>
      </w:r>
      <w:r w:rsidRPr="004D4855">
        <w:rPr>
          <w:rFonts w:cs="Arial"/>
          <w:rtl/>
        </w:rPr>
        <w:t xml:space="preserve"> שהיה לה ליטול עישור נכסים במקומו של רבה בר רב הונא</w:t>
      </w:r>
      <w:r>
        <w:rPr>
          <w:rFonts w:cs="Arial" w:hint="cs"/>
          <w:rtl/>
        </w:rPr>
        <w:t>,</w:t>
      </w:r>
      <w:r w:rsidRPr="004D4855">
        <w:rPr>
          <w:rFonts w:cs="Arial"/>
          <w:rtl/>
        </w:rPr>
        <w:t xml:space="preserve"> ובקשה ממנו לשלוח לו דבר מאתו שישתדל בדינה</w:t>
      </w:r>
      <w:r>
        <w:rPr>
          <w:rFonts w:cs="Arial" w:hint="cs"/>
          <w:rtl/>
        </w:rPr>
        <w:t>, רש"י.</w:t>
      </w:r>
    </w:p>
  </w:footnote>
  <w:footnote w:id="2984">
    <w:p w14:paraId="0547AD37" w14:textId="77777777" w:rsidR="00DF1FC7" w:rsidRDefault="00DF1FC7" w:rsidP="002E5BAD">
      <w:pPr>
        <w:pStyle w:val="a5"/>
      </w:pPr>
      <w:r>
        <w:rPr>
          <w:rStyle w:val="a7"/>
        </w:rPr>
        <w:footnoteRef/>
      </w:r>
      <w:r>
        <w:rPr>
          <w:rtl/>
        </w:rPr>
        <w:t xml:space="preserve"> </w:t>
      </w:r>
      <w:r w:rsidRPr="004D4855">
        <w:rPr>
          <w:rFonts w:cs="Arial"/>
          <w:rtl/>
        </w:rPr>
        <w:t>מושב אמת הרחים כמות שהן ומקרקעי חשיב להו</w:t>
      </w:r>
      <w:r>
        <w:rPr>
          <w:rFonts w:cs="Arial" w:hint="cs"/>
          <w:rtl/>
        </w:rPr>
        <w:t xml:space="preserve">, רש"י. דאע"פ שאינו קרקע </w:t>
      </w:r>
      <w:r>
        <w:rPr>
          <w:rFonts w:cs="Arial"/>
          <w:rtl/>
        </w:rPr>
        <w:t>–</w:t>
      </w:r>
      <w:r>
        <w:rPr>
          <w:rFonts w:cs="Arial" w:hint="cs"/>
          <w:rtl/>
        </w:rPr>
        <w:t xml:space="preserve"> הרי הוא מחובר לקרקע.</w:t>
      </w:r>
    </w:p>
  </w:footnote>
  <w:footnote w:id="2985">
    <w:p w14:paraId="29CCCD88" w14:textId="77777777" w:rsidR="00DF1FC7" w:rsidRDefault="00DF1FC7" w:rsidP="002E5BAD">
      <w:pPr>
        <w:pStyle w:val="a5"/>
        <w:rPr>
          <w:rtl/>
        </w:rPr>
      </w:pPr>
      <w:r>
        <w:rPr>
          <w:rStyle w:val="a7"/>
        </w:rPr>
        <w:footnoteRef/>
      </w:r>
      <w:r>
        <w:rPr>
          <w:rtl/>
        </w:rPr>
        <w:t xml:space="preserve"> </w:t>
      </w:r>
      <w:r w:rsidRPr="004D4855">
        <w:rPr>
          <w:rFonts w:cs="Arial"/>
          <w:rtl/>
        </w:rPr>
        <w:t>שכירות הבתים ממקרקעי קא אתי</w:t>
      </w:r>
      <w:r>
        <w:rPr>
          <w:rFonts w:hint="cs"/>
          <w:rtl/>
        </w:rPr>
        <w:t>, רש"י.</w:t>
      </w:r>
    </w:p>
  </w:footnote>
  <w:footnote w:id="2986">
    <w:p w14:paraId="30F596E0" w14:textId="77777777" w:rsidR="00DF1FC7" w:rsidRDefault="00DF1FC7" w:rsidP="002E5BAD">
      <w:pPr>
        <w:pStyle w:val="a5"/>
      </w:pPr>
      <w:r>
        <w:rPr>
          <w:rStyle w:val="a7"/>
        </w:rPr>
        <w:footnoteRef/>
      </w:r>
      <w:r>
        <w:rPr>
          <w:rtl/>
        </w:rPr>
        <w:t xml:space="preserve"> </w:t>
      </w:r>
      <w:r>
        <w:rPr>
          <w:rFonts w:hint="cs"/>
          <w:rtl/>
        </w:rPr>
        <w:t xml:space="preserve">וז"ל- </w:t>
      </w:r>
      <w:r w:rsidRPr="00060907">
        <w:rPr>
          <w:rFonts w:cs="Arial"/>
          <w:rtl/>
        </w:rPr>
        <w:t>ודע שדעת הרמב"ן והרשב"א זכרונם לברכה הוא שבזמן שנותנין פרנסה לבנות לפי אומדנותו של אב אין אומדין לפי הקרקעות שיש לו בלבד אלא לפי מה שיש לו בין קרקע בין מטלטלין והכל שוה וזהו שאמרו בגמרא פרק נערה (דף נ:) רב זן מחטי דעליה ופירשו בגמרא דפרנסה הואי ומאי עליה מעילויא דאב וכדשמואל דאמר לפרנסה שמין באב. ואף דעת רבינו נראה כן ממה שלא הביא רבינו חילוק הקרקעות אלא בדין העישור בלבד ולמטה גם כן כתב או באומדן דעת האב או בעישור הקרקעות</w:t>
      </w:r>
      <w:r>
        <w:rPr>
          <w:rFonts w:cs="Arial" w:hint="cs"/>
          <w:rtl/>
        </w:rPr>
        <w:t>. עכ"ל. ועי' בדברי הרשב"א (סח.) שהדברים מפורשים יותר.</w:t>
      </w:r>
    </w:p>
  </w:footnote>
  <w:footnote w:id="2987">
    <w:p w14:paraId="58A9D941" w14:textId="77777777" w:rsidR="00DF1FC7" w:rsidRDefault="00DF1FC7" w:rsidP="002E5BAD">
      <w:pPr>
        <w:pStyle w:val="a5"/>
      </w:pPr>
      <w:r>
        <w:rPr>
          <w:rStyle w:val="a7"/>
        </w:rPr>
        <w:footnoteRef/>
      </w:r>
      <w:r>
        <w:rPr>
          <w:rtl/>
        </w:rPr>
        <w:t xml:space="preserve"> </w:t>
      </w:r>
      <w:r>
        <w:rPr>
          <w:rFonts w:hint="cs"/>
          <w:rtl/>
        </w:rPr>
        <w:t xml:space="preserve">וז"ל- </w:t>
      </w:r>
      <w:r w:rsidRPr="007B229D">
        <w:rPr>
          <w:rFonts w:cs="Arial"/>
          <w:rtl/>
        </w:rPr>
        <w:t>והאידנא תקינו רבנן דמתיבתא למיגבי כתובה ממטלטלי הלכך מזוני נמי אפילו ממטלטלי דקי"ל (כתובות נד:) דתנאי כתובה ככתובה דמיא אבל פרנסה דליתא מתנאי כתובתה</w:t>
      </w:r>
      <w:r>
        <w:rPr>
          <w:rFonts w:cs="Arial" w:hint="cs"/>
          <w:rtl/>
        </w:rPr>
        <w:t xml:space="preserve"> (סח:)</w:t>
      </w:r>
      <w:r w:rsidRPr="007B229D">
        <w:rPr>
          <w:rFonts w:cs="Arial"/>
          <w:rtl/>
        </w:rPr>
        <w:t xml:space="preserve"> כדקיימא קיימא</w:t>
      </w:r>
      <w:r>
        <w:rPr>
          <w:rFonts w:cs="Arial" w:hint="cs"/>
          <w:rtl/>
        </w:rPr>
        <w:t>.</w:t>
      </w:r>
      <w:r w:rsidRPr="007B229D">
        <w:rPr>
          <w:rFonts w:cs="Arial"/>
          <w:rtl/>
        </w:rPr>
        <w:t xml:space="preserve"> אע"ג דלעיל בשמעתין אמרי' דלרבי כיון דמזוני גביא ממטלטלי כל שכן פרנסה</w:t>
      </w:r>
      <w:r>
        <w:rPr>
          <w:rFonts w:cs="Arial" w:hint="cs"/>
          <w:rtl/>
        </w:rPr>
        <w:t xml:space="preserve"> -</w:t>
      </w:r>
      <w:r w:rsidRPr="007B229D">
        <w:rPr>
          <w:rFonts w:cs="Arial"/>
          <w:rtl/>
        </w:rPr>
        <w:t xml:space="preserve"> התם לענין דינא קאמר</w:t>
      </w:r>
      <w:r>
        <w:rPr>
          <w:rFonts w:cs="Arial" w:hint="cs"/>
          <w:rtl/>
        </w:rPr>
        <w:t>,</w:t>
      </w:r>
      <w:r w:rsidRPr="007B229D">
        <w:rPr>
          <w:rFonts w:cs="Arial"/>
          <w:rtl/>
        </w:rPr>
        <w:t xml:space="preserve"> אבל האידנא דלא גביא ממטלטלי אלא בתקנת הגאונים</w:t>
      </w:r>
      <w:r>
        <w:rPr>
          <w:rFonts w:cs="Arial" w:hint="cs"/>
          <w:rtl/>
        </w:rPr>
        <w:t>,</w:t>
      </w:r>
      <w:r w:rsidRPr="007B229D">
        <w:rPr>
          <w:rFonts w:cs="Arial"/>
          <w:rtl/>
        </w:rPr>
        <w:t xml:space="preserve"> במאי דתקון תקון ובמאי דלא תקון לא תקון</w:t>
      </w:r>
      <w:r>
        <w:rPr>
          <w:rFonts w:cs="Arial" w:hint="cs"/>
          <w:rtl/>
        </w:rPr>
        <w:t>.</w:t>
      </w:r>
    </w:p>
  </w:footnote>
  <w:footnote w:id="2988">
    <w:p w14:paraId="07007034" w14:textId="77777777" w:rsidR="00DF1FC7" w:rsidRDefault="00DF1FC7" w:rsidP="002E5BAD">
      <w:pPr>
        <w:pStyle w:val="a5"/>
        <w:rPr>
          <w:rtl/>
        </w:rPr>
      </w:pPr>
      <w:r>
        <w:rPr>
          <w:rStyle w:val="a7"/>
        </w:rPr>
        <w:footnoteRef/>
      </w:r>
      <w:r>
        <w:rPr>
          <w:rtl/>
        </w:rPr>
        <w:t xml:space="preserve"> </w:t>
      </w:r>
      <w:r>
        <w:rPr>
          <w:rFonts w:cs="Arial"/>
          <w:rtl/>
        </w:rPr>
        <w:t xml:space="preserve">ונ"ל שאיפשר שגם </w:t>
      </w:r>
      <w:r>
        <w:rPr>
          <w:rFonts w:cs="Arial" w:hint="cs"/>
          <w:rtl/>
        </w:rPr>
        <w:t xml:space="preserve">הם </w:t>
      </w:r>
      <w:r w:rsidRPr="00F764F9">
        <w:rPr>
          <w:rFonts w:cs="Arial" w:hint="cs"/>
          <w:sz w:val="16"/>
          <w:szCs w:val="16"/>
          <w:rtl/>
        </w:rPr>
        <w:t>{הרי"ף הרמב"ם והרא"ש</w:t>
      </w:r>
      <w:r>
        <w:rPr>
          <w:rFonts w:cs="Arial" w:hint="cs"/>
          <w:sz w:val="16"/>
          <w:szCs w:val="16"/>
          <w:rtl/>
        </w:rPr>
        <w:t>}</w:t>
      </w:r>
      <w:r>
        <w:rPr>
          <w:rFonts w:cs="Arial"/>
          <w:rtl/>
        </w:rPr>
        <w:t xml:space="preserve"> לא יחלקו על דברי התוספות שכתבתי בסמוך</w:t>
      </w:r>
      <w:r>
        <w:rPr>
          <w:rFonts w:cs="Arial" w:hint="cs"/>
          <w:rtl/>
        </w:rPr>
        <w:t>,</w:t>
      </w:r>
      <w:r>
        <w:rPr>
          <w:rFonts w:cs="Arial"/>
          <w:rtl/>
        </w:rPr>
        <w:t xml:space="preserve"> אלא שהם ז"ל כתבו דין התלמוד סתם</w:t>
      </w:r>
      <w:r>
        <w:rPr>
          <w:rFonts w:cs="Arial" w:hint="cs"/>
          <w:rtl/>
        </w:rPr>
        <w:t>, ב"י.</w:t>
      </w:r>
      <w:r w:rsidRPr="00863D97">
        <w:rPr>
          <w:rFonts w:cs="Arial"/>
          <w:rtl/>
        </w:rPr>
        <w:t xml:space="preserve"> </w:t>
      </w:r>
      <w:r>
        <w:rPr>
          <w:rFonts w:cs="Arial" w:hint="cs"/>
          <w:rtl/>
        </w:rPr>
        <w:t xml:space="preserve">ונחלקו המפרשים בכוונת הב"י. הדרכ"מ </w:t>
      </w:r>
      <w:r w:rsidRPr="00A51A92">
        <w:rPr>
          <w:rFonts w:cs="Arial"/>
          <w:sz w:val="16"/>
          <w:szCs w:val="16"/>
          <w:rtl/>
        </w:rPr>
        <w:t>(</w:t>
      </w:r>
      <w:r w:rsidRPr="00A51A92">
        <w:rPr>
          <w:rFonts w:cs="Arial" w:hint="cs"/>
          <w:sz w:val="16"/>
          <w:szCs w:val="16"/>
          <w:rtl/>
        </w:rPr>
        <w:t xml:space="preserve">אות </w:t>
      </w:r>
      <w:r w:rsidRPr="00A51A92">
        <w:rPr>
          <w:rFonts w:cs="Arial"/>
          <w:sz w:val="16"/>
          <w:szCs w:val="16"/>
          <w:rtl/>
        </w:rPr>
        <w:t>ו</w:t>
      </w:r>
      <w:r w:rsidRPr="00A51A92">
        <w:rPr>
          <w:rFonts w:cs="Arial" w:hint="cs"/>
          <w:sz w:val="16"/>
          <w:szCs w:val="16"/>
          <w:rtl/>
        </w:rPr>
        <w:t>, ועיין בדרכ"מ ארוך ובהערה עליו שם</w:t>
      </w:r>
      <w:r w:rsidRPr="00A51A92">
        <w:rPr>
          <w:rFonts w:cs="Arial"/>
          <w:sz w:val="16"/>
          <w:szCs w:val="16"/>
          <w:rtl/>
        </w:rPr>
        <w:t xml:space="preserve">) </w:t>
      </w:r>
      <w:r>
        <w:rPr>
          <w:rFonts w:cs="Arial" w:hint="cs"/>
          <w:rtl/>
        </w:rPr>
        <w:t>פירש שכוונתו לומר ד</w:t>
      </w:r>
      <w:r w:rsidRPr="00863D97">
        <w:rPr>
          <w:rFonts w:cs="Arial"/>
          <w:rtl/>
        </w:rPr>
        <w:t xml:space="preserve">לאחר תקנת הגאונים מודים לדברי התוס' </w:t>
      </w:r>
      <w:r w:rsidRPr="00A51A92">
        <w:rPr>
          <w:rFonts w:cs="Arial" w:hint="cs"/>
          <w:sz w:val="16"/>
          <w:szCs w:val="16"/>
          <w:rtl/>
        </w:rPr>
        <w:t>(</w:t>
      </w:r>
      <w:r w:rsidRPr="00A51A92">
        <w:rPr>
          <w:rFonts w:cs="Arial"/>
          <w:sz w:val="16"/>
          <w:szCs w:val="16"/>
          <w:rtl/>
        </w:rPr>
        <w:t>ו</w:t>
      </w:r>
      <w:r w:rsidRPr="00A51A92">
        <w:rPr>
          <w:rFonts w:cs="Arial" w:hint="cs"/>
          <w:sz w:val="16"/>
          <w:szCs w:val="16"/>
          <w:rtl/>
        </w:rPr>
        <w:t>לכן כתב</w:t>
      </w:r>
      <w:r>
        <w:rPr>
          <w:rFonts w:cs="Arial" w:hint="cs"/>
          <w:sz w:val="16"/>
          <w:szCs w:val="16"/>
          <w:rtl/>
        </w:rPr>
        <w:t xml:space="preserve"> הדרכ"מ-</w:t>
      </w:r>
      <w:r w:rsidRPr="00A51A92">
        <w:rPr>
          <w:rFonts w:cs="Arial" w:hint="cs"/>
          <w:sz w:val="16"/>
          <w:szCs w:val="16"/>
          <w:rtl/>
        </w:rPr>
        <w:t xml:space="preserve"> </w:t>
      </w:r>
      <w:r>
        <w:rPr>
          <w:rFonts w:cs="Arial" w:hint="cs"/>
          <w:sz w:val="16"/>
          <w:szCs w:val="16"/>
          <w:rtl/>
        </w:rPr>
        <w:t>ו</w:t>
      </w:r>
      <w:r w:rsidRPr="00A51A92">
        <w:rPr>
          <w:rFonts w:cs="Arial"/>
          <w:sz w:val="16"/>
          <w:szCs w:val="16"/>
          <w:rtl/>
        </w:rPr>
        <w:t>אין דבריו נראין בזה אלא מדלא חילקו בזה כמו שחילקו לענין שאר דיני תנאי כתובה שמעינן דסבירא ליה דלא גביא ממטלטלין אפילו בזמן הזה וכמו שכתב הטור בשם הרא"ש</w:t>
      </w:r>
      <w:r w:rsidRPr="00A51A92">
        <w:rPr>
          <w:rFonts w:cs="Arial" w:hint="cs"/>
          <w:sz w:val="16"/>
          <w:szCs w:val="16"/>
          <w:rtl/>
        </w:rPr>
        <w:t xml:space="preserve"> [עכ"ל הדרכ"מ])</w:t>
      </w:r>
      <w:r>
        <w:rPr>
          <w:rFonts w:cs="Arial" w:hint="cs"/>
          <w:rtl/>
        </w:rPr>
        <w:t xml:space="preserve">. אך יש שפירשו </w:t>
      </w:r>
      <w:r w:rsidRPr="00A51A92">
        <w:rPr>
          <w:rFonts w:cs="Arial" w:hint="cs"/>
          <w:sz w:val="16"/>
          <w:szCs w:val="16"/>
          <w:rtl/>
        </w:rPr>
        <w:t xml:space="preserve">(בית מאיר [ריש סע' ב ד"ה אלא הקרק']) </w:t>
      </w:r>
      <w:r>
        <w:rPr>
          <w:rFonts w:cs="Arial" w:hint="cs"/>
          <w:rtl/>
        </w:rPr>
        <w:t>שכוונתו שהאידנא בגלל המנהג שכל בני האדם רגילים להשיא בנותיהם ממטלטלי חשיב כמו באמידניה.</w:t>
      </w:r>
      <w:r>
        <w:rPr>
          <w:rFonts w:hint="cs"/>
          <w:rtl/>
        </w:rPr>
        <w:t xml:space="preserve"> וכן נראה לי.</w:t>
      </w:r>
    </w:p>
  </w:footnote>
  <w:footnote w:id="2989">
    <w:p w14:paraId="36DD2959" w14:textId="77777777" w:rsidR="00DF1FC7" w:rsidRDefault="00DF1FC7" w:rsidP="002E5BAD">
      <w:pPr>
        <w:pStyle w:val="a5"/>
        <w:rPr>
          <w:rtl/>
        </w:rPr>
      </w:pPr>
      <w:r>
        <w:rPr>
          <w:rStyle w:val="a7"/>
        </w:rPr>
        <w:footnoteRef/>
      </w:r>
      <w:r>
        <w:rPr>
          <w:rtl/>
        </w:rPr>
        <w:t xml:space="preserve"> </w:t>
      </w:r>
      <w:r w:rsidRPr="00E04543">
        <w:rPr>
          <w:rFonts w:cs="Arial"/>
          <w:rtl/>
        </w:rPr>
        <w:t>יש</w:t>
      </w:r>
      <w:r>
        <w:rPr>
          <w:rFonts w:cs="Arial" w:hint="cs"/>
          <w:rtl/>
        </w:rPr>
        <w:t xml:space="preserve"> מה</w:t>
      </w:r>
      <w:r w:rsidRPr="00E04543">
        <w:rPr>
          <w:rFonts w:cs="Arial"/>
          <w:rtl/>
        </w:rPr>
        <w:t>גאונים</w:t>
      </w:r>
      <w:r>
        <w:rPr>
          <w:rFonts w:cs="Arial" w:hint="cs"/>
          <w:sz w:val="16"/>
          <w:szCs w:val="16"/>
          <w:rtl/>
        </w:rPr>
        <w:t xml:space="preserve"> (כ"כ בשמם הטור)</w:t>
      </w:r>
      <w:r w:rsidRPr="00676BC0">
        <w:rPr>
          <w:rFonts w:cs="Arial"/>
          <w:rtl/>
        </w:rPr>
        <w:t xml:space="preserve"> </w:t>
      </w:r>
      <w:r w:rsidRPr="00A37DE1">
        <w:rPr>
          <w:rFonts w:cs="Arial"/>
          <w:rtl/>
        </w:rPr>
        <w:t xml:space="preserve">רש"י </w:t>
      </w:r>
      <w:r w:rsidRPr="00676BC0">
        <w:rPr>
          <w:rFonts w:cs="Arial"/>
          <w:sz w:val="16"/>
          <w:szCs w:val="16"/>
          <w:rtl/>
        </w:rPr>
        <w:t xml:space="preserve">(סח. ד"ה ינתן) </w:t>
      </w:r>
      <w:r w:rsidRPr="00A37DE1">
        <w:rPr>
          <w:rFonts w:cs="Arial"/>
          <w:rtl/>
        </w:rPr>
        <w:t xml:space="preserve">ראב"ד </w:t>
      </w:r>
      <w:r>
        <w:rPr>
          <w:rFonts w:cs="Arial" w:hint="cs"/>
          <w:sz w:val="16"/>
          <w:szCs w:val="16"/>
          <w:rtl/>
        </w:rPr>
        <w:t>(כ"כ הר"ן [ל:] בשמו)</w:t>
      </w:r>
      <w:r>
        <w:rPr>
          <w:rFonts w:cs="Arial" w:hint="cs"/>
          <w:rtl/>
        </w:rPr>
        <w:t xml:space="preserve"> </w:t>
      </w:r>
      <w:r w:rsidRPr="00A37DE1">
        <w:rPr>
          <w:rFonts w:cs="Arial"/>
          <w:rtl/>
        </w:rPr>
        <w:t>רמב"ם</w:t>
      </w:r>
      <w:r>
        <w:rPr>
          <w:rFonts w:cs="Arial" w:hint="cs"/>
          <w:sz w:val="16"/>
          <w:szCs w:val="16"/>
          <w:rtl/>
        </w:rPr>
        <w:t xml:space="preserve"> (כ"כ בשמו הה"מ)</w:t>
      </w:r>
      <w:r>
        <w:rPr>
          <w:rFonts w:cs="Arial" w:hint="cs"/>
          <w:rtl/>
        </w:rPr>
        <w:t xml:space="preserve"> והה"מ </w:t>
      </w:r>
      <w:r>
        <w:rPr>
          <w:rFonts w:cs="Arial" w:hint="cs"/>
          <w:sz w:val="16"/>
          <w:szCs w:val="16"/>
          <w:rtl/>
        </w:rPr>
        <w:t>(פ"כ ה"ג)</w:t>
      </w:r>
      <w:r>
        <w:rPr>
          <w:rFonts w:hint="cs"/>
          <w:rtl/>
        </w:rPr>
        <w:t>.</w:t>
      </w:r>
    </w:p>
  </w:footnote>
  <w:footnote w:id="2990">
    <w:p w14:paraId="5D88067C" w14:textId="77777777" w:rsidR="00DF1FC7" w:rsidRDefault="00DF1FC7" w:rsidP="002E5BAD">
      <w:pPr>
        <w:pStyle w:val="a5"/>
        <w:rPr>
          <w:rtl/>
        </w:rPr>
      </w:pPr>
      <w:r>
        <w:rPr>
          <w:rStyle w:val="a7"/>
        </w:rPr>
        <w:footnoteRef/>
      </w:r>
      <w:r>
        <w:rPr>
          <w:rtl/>
        </w:rPr>
        <w:t xml:space="preserve"> </w:t>
      </w:r>
      <w:r w:rsidRPr="00863D97">
        <w:rPr>
          <w:rFonts w:cs="Arial"/>
          <w:rtl/>
        </w:rPr>
        <w:t xml:space="preserve">מיהו כתב </w:t>
      </w:r>
      <w:r>
        <w:rPr>
          <w:rFonts w:cs="Arial" w:hint="cs"/>
          <w:rtl/>
        </w:rPr>
        <w:t xml:space="preserve">מהרי"ק </w:t>
      </w:r>
      <w:r w:rsidRPr="00863D97">
        <w:rPr>
          <w:rFonts w:cs="Arial"/>
          <w:rtl/>
        </w:rPr>
        <w:t>דמשום ועשית הישר והטוב לכן ראוי לילך אחר אומדנא אפילו להוסיף, אך לא יוסיף על עישור נכסים כי אם מחלק המגיע לו אחרי אשר יפרע שטרי הבנות הנוהגות בגלילות אלו מאחר שרוב הפוסקים פסקו שלא להוסיף על עישור נכסים, וכתב עוד וראוי לאמדו לפי הממון שהניח בעת מותו אף אם השיא בנות בחייו</w:t>
      </w:r>
      <w:r>
        <w:rPr>
          <w:rFonts w:cs="Arial" w:hint="cs"/>
          <w:sz w:val="16"/>
          <w:szCs w:val="16"/>
          <w:rtl/>
        </w:rPr>
        <w:t xml:space="preserve"> </w:t>
      </w:r>
      <w:r w:rsidRPr="005B4EBA">
        <w:rPr>
          <w:rFonts w:cs="Arial" w:hint="cs"/>
          <w:color w:val="00B0F0"/>
          <w:sz w:val="16"/>
          <w:szCs w:val="16"/>
          <w:rtl/>
        </w:rPr>
        <w:t>(וכ"פ הרמ"א)</w:t>
      </w:r>
      <w:r w:rsidRPr="00863D97">
        <w:rPr>
          <w:rFonts w:cs="Arial"/>
          <w:rtl/>
        </w:rPr>
        <w:t>, ואם השיא ג' בנות בחייו הולכין אחר דעתו הממוצע</w:t>
      </w:r>
      <w:r>
        <w:rPr>
          <w:rFonts w:cs="Arial" w:hint="cs"/>
          <w:rtl/>
        </w:rPr>
        <w:t>, דרכ"מ (אות ח).</w:t>
      </w:r>
    </w:p>
  </w:footnote>
  <w:footnote w:id="2991">
    <w:p w14:paraId="466DA401" w14:textId="77777777" w:rsidR="00DF1FC7" w:rsidRDefault="00DF1FC7" w:rsidP="002E5BAD">
      <w:pPr>
        <w:pStyle w:val="a5"/>
      </w:pPr>
      <w:r>
        <w:rPr>
          <w:rStyle w:val="a7"/>
        </w:rPr>
        <w:footnoteRef/>
      </w:r>
      <w:r>
        <w:rPr>
          <w:rtl/>
        </w:rPr>
        <w:t xml:space="preserve"> </w:t>
      </w:r>
      <w:r w:rsidRPr="00A37DE1">
        <w:rPr>
          <w:rFonts w:cs="Arial"/>
          <w:rtl/>
        </w:rPr>
        <w:t>שתי סברות אלו כתב הרי"ף בפרק מציאת האשה (כט סוע"ב) ולא הכריע</w:t>
      </w:r>
      <w:r>
        <w:rPr>
          <w:rFonts w:cs="Arial" w:hint="cs"/>
          <w:rtl/>
        </w:rPr>
        <w:t>.</w:t>
      </w:r>
      <w:r w:rsidRPr="00A37DE1">
        <w:rPr>
          <w:rFonts w:cs="Arial"/>
          <w:rtl/>
        </w:rPr>
        <w:t xml:space="preserve"> והרא"ש (סי' יב) כתב טענות שתי הסברות</w:t>
      </w:r>
      <w:r>
        <w:rPr>
          <w:rFonts w:cs="Arial" w:hint="cs"/>
          <w:rtl/>
        </w:rPr>
        <w:t>,</w:t>
      </w:r>
      <w:r w:rsidRPr="00A37DE1">
        <w:rPr>
          <w:rFonts w:cs="Arial"/>
          <w:rtl/>
        </w:rPr>
        <w:t xml:space="preserve"> וכתב שדעת התוספות (נ: ד"ה ומאי) נוטה לסברת האומרים שאין הולכין אחר אומד אלא לגרוע וכו'</w:t>
      </w:r>
      <w:r>
        <w:rPr>
          <w:rFonts w:cs="Arial" w:hint="cs"/>
          <w:rtl/>
        </w:rPr>
        <w:t>,</w:t>
      </w:r>
      <w:r w:rsidRPr="00A37DE1">
        <w:rPr>
          <w:rFonts w:cs="Arial"/>
          <w:rtl/>
        </w:rPr>
        <w:t xml:space="preserve"> ובסוף דבריו כתב וכיון דאיכא פלוגתא דרבוותא לא מפקינן מיתמי טפי מעישור נכסי</w:t>
      </w:r>
      <w:r>
        <w:rPr>
          <w:rFonts w:cs="Arial" w:hint="cs"/>
          <w:rtl/>
        </w:rPr>
        <w:t>, ב"י.</w:t>
      </w:r>
      <w:r>
        <w:rPr>
          <w:rFonts w:hint="cs"/>
          <w:rtl/>
        </w:rPr>
        <w:t xml:space="preserve"> </w:t>
      </w:r>
    </w:p>
  </w:footnote>
  <w:footnote w:id="2992">
    <w:p w14:paraId="773995D9" w14:textId="77777777" w:rsidR="00DF1FC7" w:rsidRDefault="00DF1FC7" w:rsidP="002E5BAD">
      <w:pPr>
        <w:pStyle w:val="a5"/>
        <w:rPr>
          <w:rtl/>
        </w:rPr>
      </w:pPr>
      <w:r>
        <w:rPr>
          <w:rStyle w:val="a7"/>
        </w:rPr>
        <w:footnoteRef/>
      </w:r>
      <w:r>
        <w:rPr>
          <w:rtl/>
        </w:rPr>
        <w:t xml:space="preserve"> </w:t>
      </w:r>
      <w:r>
        <w:rPr>
          <w:rFonts w:hint="cs"/>
          <w:rtl/>
        </w:rPr>
        <w:t>אולי צ"ל 'השוכר', וכן הוא בלבוש.</w:t>
      </w:r>
    </w:p>
  </w:footnote>
  <w:footnote w:id="2993">
    <w:p w14:paraId="77369DB7" w14:textId="77777777" w:rsidR="00DF1FC7" w:rsidRDefault="00DF1FC7" w:rsidP="002E5BAD">
      <w:pPr>
        <w:pStyle w:val="a5"/>
      </w:pPr>
      <w:r>
        <w:rPr>
          <w:rStyle w:val="a7"/>
        </w:rPr>
        <w:footnoteRef/>
      </w:r>
      <w:r>
        <w:rPr>
          <w:rtl/>
        </w:rPr>
        <w:t xml:space="preserve"> </w:t>
      </w:r>
      <w:r w:rsidRPr="00E04543">
        <w:rPr>
          <w:rFonts w:cs="Arial"/>
          <w:rtl/>
        </w:rPr>
        <w:t>וכתב נמוק</w:t>
      </w:r>
      <w:r>
        <w:rPr>
          <w:rFonts w:cs="Arial" w:hint="cs"/>
          <w:rtl/>
        </w:rPr>
        <w:t>"</w:t>
      </w:r>
      <w:r w:rsidRPr="00E04543">
        <w:rPr>
          <w:rFonts w:cs="Arial"/>
          <w:rtl/>
        </w:rPr>
        <w:t>י פרק המוכר בית (ב"ב לה: ד"ה גמ' צנור) דאם הגיע זמנו לגבות דמי כאילו גבו היתומים ודוקא שהשכירו האב אבל השכירו היתומים אין לגבות בו כלום דלית להו בראוי ובשבח עכ"ל</w:t>
      </w:r>
      <w:r>
        <w:rPr>
          <w:rFonts w:cs="Arial" w:hint="cs"/>
          <w:rtl/>
        </w:rPr>
        <w:t>.</w:t>
      </w:r>
      <w:r w:rsidRPr="00E04543">
        <w:rPr>
          <w:rFonts w:cs="Arial"/>
          <w:rtl/>
        </w:rPr>
        <w:t xml:space="preserve"> מיהו הטור פסק לקמן (עמ' סט) דאית להו בראוי וכן הוא במרדכי פרק מציאת האשה (סי' קצא)</w:t>
      </w:r>
      <w:r>
        <w:rPr>
          <w:rFonts w:cs="Arial" w:hint="cs"/>
          <w:rtl/>
        </w:rPr>
        <w:t>, דרכ"מ (אות ד).</w:t>
      </w:r>
    </w:p>
  </w:footnote>
  <w:footnote w:id="2994">
    <w:p w14:paraId="054D674D" w14:textId="77777777" w:rsidR="00DF1FC7" w:rsidRDefault="00DF1FC7" w:rsidP="002E5BAD">
      <w:pPr>
        <w:pStyle w:val="a5"/>
      </w:pPr>
      <w:r>
        <w:rPr>
          <w:rStyle w:val="a7"/>
        </w:rPr>
        <w:footnoteRef/>
      </w:r>
      <w:r>
        <w:rPr>
          <w:rtl/>
        </w:rPr>
        <w:t xml:space="preserve"> </w:t>
      </w:r>
      <w:r>
        <w:rPr>
          <w:rFonts w:hint="cs"/>
          <w:rtl/>
        </w:rPr>
        <w:t xml:space="preserve">ואין זה סותר את דברי רבא שכתב 'הלכתא ממקרקעי ולא ממטלטלי', שלפרנסת הבת יש דין מיוחד דשוויוה כבעל חוב </w:t>
      </w:r>
      <w:r w:rsidRPr="00214F69">
        <w:rPr>
          <w:rFonts w:hint="cs"/>
          <w:b/>
          <w:bCs/>
          <w:rtl/>
        </w:rPr>
        <w:t>לעניין זה</w:t>
      </w:r>
      <w:r>
        <w:rPr>
          <w:rFonts w:hint="cs"/>
          <w:rtl/>
        </w:rPr>
        <w:t xml:space="preserve"> שיכול לסלק אותה במעות אם הוא רוצה (אבל אם הוא לא רוצה - אינה יכולה לדרוש ממנו מעות, ובזה שונה דינה מבעל חוב, ודין פריעת בע"ח נתבאר בחו"מ סי' קא). </w:t>
      </w:r>
    </w:p>
  </w:footnote>
  <w:footnote w:id="2995">
    <w:p w14:paraId="0580A528" w14:textId="77777777" w:rsidR="00DF1FC7" w:rsidRDefault="00DF1FC7" w:rsidP="002E5BAD">
      <w:pPr>
        <w:pStyle w:val="a5"/>
        <w:rPr>
          <w:rtl/>
        </w:rPr>
      </w:pPr>
      <w:r>
        <w:rPr>
          <w:rStyle w:val="a7"/>
        </w:rPr>
        <w:footnoteRef/>
      </w:r>
      <w:r w:rsidRPr="00863D97">
        <w:rPr>
          <w:rFonts w:cs="Arial"/>
          <w:rtl/>
        </w:rPr>
        <w:t xml:space="preserve"> ונראה דיש ללמוד מכאן לענין שטר חצי זכר שנוהגין בו האידנא ליתן לבנות לבד ממקרקעי וספרים</w:t>
      </w:r>
      <w:r>
        <w:rPr>
          <w:rFonts w:cs="Arial" w:hint="cs"/>
          <w:rtl/>
        </w:rPr>
        <w:t>,</w:t>
      </w:r>
      <w:r w:rsidRPr="00863D97">
        <w:rPr>
          <w:rFonts w:cs="Arial"/>
          <w:rtl/>
        </w:rPr>
        <w:t xml:space="preserve"> דיש רשות לבנים לסלק כל חובות או כתובת אשה עם מטלטלין כדי להשאיר הקרקעות לפניהם ולהפקיע מהן זכות הבנות</w:t>
      </w:r>
      <w:r>
        <w:rPr>
          <w:rFonts w:cs="Arial" w:hint="cs"/>
          <w:rtl/>
        </w:rPr>
        <w:t>.</w:t>
      </w:r>
      <w:r w:rsidRPr="00863D97">
        <w:rPr>
          <w:rFonts w:cs="Arial"/>
          <w:rtl/>
        </w:rPr>
        <w:t xml:space="preserve"> ואין לחלק דסתם שעבוד כתובה ובעל חוב על הקרקעות ולכן מצי לסלקו בקרקעות לענין עישור נכסים</w:t>
      </w:r>
      <w:r>
        <w:rPr>
          <w:rFonts w:cs="Arial" w:hint="cs"/>
          <w:rtl/>
        </w:rPr>
        <w:t>,</w:t>
      </w:r>
      <w:r w:rsidRPr="00863D97">
        <w:rPr>
          <w:rFonts w:cs="Arial"/>
          <w:rtl/>
        </w:rPr>
        <w:t xml:space="preserve"> וכדמשמע קצת לשון מוהר"ם דאסמכתייהו על הקרקעות, אבל במטלטלי לא מצי לסלקינהו, זה אינו</w:t>
      </w:r>
      <w:r>
        <w:rPr>
          <w:rFonts w:cs="Arial" w:hint="cs"/>
          <w:rtl/>
        </w:rPr>
        <w:t>,</w:t>
      </w:r>
      <w:r w:rsidRPr="00863D97">
        <w:rPr>
          <w:rFonts w:cs="Arial"/>
          <w:rtl/>
        </w:rPr>
        <w:t xml:space="preserve"> דאסמכתייהו על הקרקע דקאמר מוהר"ם </w:t>
      </w:r>
      <w:r>
        <w:rPr>
          <w:rFonts w:cs="Arial" w:hint="cs"/>
          <w:rtl/>
        </w:rPr>
        <w:t xml:space="preserve">- </w:t>
      </w:r>
      <w:r w:rsidRPr="00863D97">
        <w:rPr>
          <w:rFonts w:cs="Arial"/>
          <w:rtl/>
        </w:rPr>
        <w:t>אף על הקרקע קאמר</w:t>
      </w:r>
      <w:r>
        <w:rPr>
          <w:rFonts w:cs="Arial" w:hint="cs"/>
          <w:rtl/>
        </w:rPr>
        <w:t>,</w:t>
      </w:r>
      <w:r w:rsidRPr="00863D97">
        <w:rPr>
          <w:rFonts w:cs="Arial"/>
          <w:rtl/>
        </w:rPr>
        <w:t xml:space="preserve"> אבל הרשות ביד היתומים לסלק אותן במטלטלין כמו שאביהן היה מצי לסלק אותן בזוזי (עי' טור חו"מ סי' קא ס"ד), ולכן נראה דהנכסים בחזקת הבנים קיימי ויד בעל השטר על התחתונה</w:t>
      </w:r>
      <w:r>
        <w:rPr>
          <w:rFonts w:cs="Arial" w:hint="cs"/>
          <w:rtl/>
        </w:rPr>
        <w:t>,</w:t>
      </w:r>
      <w:r w:rsidRPr="00863D97">
        <w:rPr>
          <w:rFonts w:cs="Arial"/>
          <w:rtl/>
        </w:rPr>
        <w:t xml:space="preserve"> כן נראה לי</w:t>
      </w:r>
      <w:r>
        <w:rPr>
          <w:rFonts w:cs="Arial" w:hint="cs"/>
          <w:rtl/>
        </w:rPr>
        <w:t>, דרכ"מ (אות ה).</w:t>
      </w:r>
      <w:r>
        <w:rPr>
          <w:rFonts w:hint="cs"/>
          <w:rtl/>
        </w:rPr>
        <w:t xml:space="preserve"> </w:t>
      </w:r>
      <w:r w:rsidRPr="005B4EBA">
        <w:rPr>
          <w:rFonts w:hint="cs"/>
          <w:color w:val="00B0F0"/>
          <w:rtl/>
        </w:rPr>
        <w:t>(וכ"פ בהג"ה)</w:t>
      </w:r>
    </w:p>
  </w:footnote>
  <w:footnote w:id="2996">
    <w:p w14:paraId="334C9B24" w14:textId="77777777" w:rsidR="00DF1FC7" w:rsidRDefault="00DF1FC7" w:rsidP="002E5BAD">
      <w:pPr>
        <w:pStyle w:val="a5"/>
      </w:pPr>
      <w:r>
        <w:rPr>
          <w:rStyle w:val="a7"/>
        </w:rPr>
        <w:footnoteRef/>
      </w:r>
      <w:r>
        <w:rPr>
          <w:rtl/>
        </w:rPr>
        <w:t xml:space="preserve"> </w:t>
      </w:r>
      <w:r w:rsidRPr="00A3098F">
        <w:rPr>
          <w:rFonts w:cs="Arial"/>
          <w:rtl/>
        </w:rPr>
        <w:t>ע"כ אשה המוחלת כתובתה לבעלה</w:t>
      </w:r>
      <w:r>
        <w:rPr>
          <w:rFonts w:cs="Arial" w:hint="cs"/>
          <w:rtl/>
        </w:rPr>
        <w:t>,</w:t>
      </w:r>
      <w:r w:rsidRPr="00A3098F">
        <w:rPr>
          <w:rFonts w:cs="Arial"/>
          <w:rtl/>
        </w:rPr>
        <w:t xml:space="preserve"> אפילו לדעת הרמב"ם דס"ל דאין לבנות מזונות </w:t>
      </w:r>
      <w:r>
        <w:rPr>
          <w:rFonts w:cs="Arial" w:hint="cs"/>
          <w:rtl/>
        </w:rPr>
        <w:t xml:space="preserve">- </w:t>
      </w:r>
      <w:r w:rsidRPr="00A3098F">
        <w:rPr>
          <w:rFonts w:cs="Arial"/>
          <w:rtl/>
        </w:rPr>
        <w:t>אבל פרנסה לא אבדו הבנות</w:t>
      </w:r>
      <w:r>
        <w:rPr>
          <w:rFonts w:cs="Arial" w:hint="cs"/>
          <w:rtl/>
        </w:rPr>
        <w:t>.</w:t>
      </w:r>
      <w:r w:rsidRPr="00A3098F">
        <w:rPr>
          <w:rFonts w:cs="Arial"/>
          <w:rtl/>
        </w:rPr>
        <w:t xml:space="preserve"> גם הרשות בידו לצוות שלא ליתן פרנסה להם</w:t>
      </w:r>
      <w:r>
        <w:rPr>
          <w:rFonts w:cs="Arial" w:hint="cs"/>
          <w:rtl/>
        </w:rPr>
        <w:t xml:space="preserve"> </w:t>
      </w:r>
      <w:r>
        <w:rPr>
          <w:rFonts w:cs="Arial" w:hint="cs"/>
          <w:sz w:val="16"/>
          <w:szCs w:val="16"/>
          <w:rtl/>
        </w:rPr>
        <w:t>{</w:t>
      </w:r>
      <w:r w:rsidRPr="00C304C7">
        <w:rPr>
          <w:rFonts w:cs="Arial" w:hint="cs"/>
          <w:sz w:val="16"/>
          <w:szCs w:val="16"/>
          <w:rtl/>
        </w:rPr>
        <w:t>כמבואר לקמן בסוף הסימן}</w:t>
      </w:r>
      <w:r>
        <w:rPr>
          <w:rFonts w:cs="Arial" w:hint="cs"/>
          <w:rtl/>
        </w:rPr>
        <w:t>,</w:t>
      </w:r>
      <w:r w:rsidRPr="00A3098F">
        <w:rPr>
          <w:rFonts w:cs="Arial"/>
          <w:rtl/>
        </w:rPr>
        <w:t xml:space="preserve"> כי אין זה חיוב על האב רק חיוב על הבנים כל זמן ששתק האב</w:t>
      </w:r>
      <w:r>
        <w:rPr>
          <w:rFonts w:cs="Arial" w:hint="cs"/>
          <w:rtl/>
        </w:rPr>
        <w:t>, ח"מ (סק"ו).</w:t>
      </w:r>
    </w:p>
  </w:footnote>
  <w:footnote w:id="2997">
    <w:p w14:paraId="1CE882FB" w14:textId="77777777" w:rsidR="00DF1FC7" w:rsidRDefault="00DF1FC7" w:rsidP="002E5BAD">
      <w:pPr>
        <w:pStyle w:val="a5"/>
        <w:rPr>
          <w:rtl/>
        </w:rPr>
      </w:pPr>
      <w:r>
        <w:rPr>
          <w:rStyle w:val="a7"/>
        </w:rPr>
        <w:footnoteRef/>
      </w:r>
      <w:r>
        <w:rPr>
          <w:rtl/>
        </w:rPr>
        <w:t xml:space="preserve"> </w:t>
      </w:r>
      <w:r w:rsidRPr="00A3098F">
        <w:rPr>
          <w:rFonts w:cs="Arial"/>
          <w:rtl/>
        </w:rPr>
        <w:t>כלו</w:t>
      </w:r>
      <w:r>
        <w:rPr>
          <w:rFonts w:cs="Arial" w:hint="cs"/>
          <w:rtl/>
        </w:rPr>
        <w:t>מר</w:t>
      </w:r>
      <w:r w:rsidRPr="00A3098F">
        <w:rPr>
          <w:rFonts w:cs="Arial"/>
          <w:rtl/>
        </w:rPr>
        <w:t xml:space="preserve"> שתקנו שכתובה ותנאים נגבין אף מן המטלטלין אבל על פרנסה לא תקנו ומטלטלי דיתמי לא משתעבדו להו ודיין לבנות שיקחו פרנסה מן הקרקע אף על גב שהיא ב"ח דאחין</w:t>
      </w:r>
      <w:r>
        <w:rPr>
          <w:rFonts w:hint="cs"/>
          <w:rtl/>
        </w:rPr>
        <w:t>, ח"מ (סק"ז).</w:t>
      </w:r>
    </w:p>
  </w:footnote>
  <w:footnote w:id="2998">
    <w:p w14:paraId="1EF594ED" w14:textId="77777777" w:rsidR="00DF1FC7" w:rsidRDefault="00DF1FC7" w:rsidP="002E5BAD">
      <w:pPr>
        <w:pStyle w:val="a5"/>
      </w:pPr>
      <w:r>
        <w:rPr>
          <w:rStyle w:val="a7"/>
        </w:rPr>
        <w:footnoteRef/>
      </w:r>
      <w:r>
        <w:rPr>
          <w:rtl/>
        </w:rPr>
        <w:t xml:space="preserve"> </w:t>
      </w:r>
      <w:r w:rsidRPr="00C92F8D">
        <w:rPr>
          <w:rFonts w:cs="Arial"/>
          <w:rtl/>
        </w:rPr>
        <w:t>פשיטא השכירות שיוצא מן הקרקע אחר מיתת האב ודאי גובה מהן</w:t>
      </w:r>
      <w:r>
        <w:rPr>
          <w:rFonts w:cs="Arial" w:hint="cs"/>
          <w:rtl/>
        </w:rPr>
        <w:t>,</w:t>
      </w:r>
      <w:r w:rsidRPr="00C92F8D">
        <w:rPr>
          <w:rFonts w:cs="Arial"/>
          <w:rtl/>
        </w:rPr>
        <w:t xml:space="preserve"> דהא מיד במיתת האב נשתעבדו כל הקרקעות להן</w:t>
      </w:r>
      <w:r>
        <w:rPr>
          <w:rFonts w:cs="Arial" w:hint="cs"/>
          <w:rtl/>
        </w:rPr>
        <w:t>.</w:t>
      </w:r>
      <w:r w:rsidRPr="00C92F8D">
        <w:rPr>
          <w:rFonts w:cs="Arial"/>
          <w:rtl/>
        </w:rPr>
        <w:t xml:space="preserve"> אלא אפילו מה שעלה בחיי האב כל זמן שלא הגיע זמן השכירות בחיי האב </w:t>
      </w:r>
      <w:r>
        <w:rPr>
          <w:rFonts w:cs="Arial" w:hint="cs"/>
          <w:rtl/>
        </w:rPr>
        <w:t xml:space="preserve">- </w:t>
      </w:r>
      <w:r w:rsidRPr="00C92F8D">
        <w:rPr>
          <w:rFonts w:cs="Arial"/>
          <w:rtl/>
        </w:rPr>
        <w:t>הוי השכירו</w:t>
      </w:r>
      <w:r>
        <w:rPr>
          <w:rFonts w:cs="Arial" w:hint="cs"/>
          <w:rtl/>
        </w:rPr>
        <w:t>ת</w:t>
      </w:r>
      <w:r w:rsidRPr="00C92F8D">
        <w:rPr>
          <w:rFonts w:cs="Arial"/>
          <w:rtl/>
        </w:rPr>
        <w:t xml:space="preserve"> כפירות המחוברין לקרקע וצריכין לקרקע שדינן כקרקע</w:t>
      </w:r>
      <w:r>
        <w:rPr>
          <w:rFonts w:cs="Arial" w:hint="cs"/>
          <w:rtl/>
        </w:rPr>
        <w:t>.</w:t>
      </w:r>
      <w:r w:rsidRPr="00C92F8D">
        <w:rPr>
          <w:rFonts w:cs="Arial"/>
          <w:rtl/>
        </w:rPr>
        <w:t xml:space="preserve"> אבל ודאי אם עבר הזמן בחיי האב </w:t>
      </w:r>
      <w:r>
        <w:rPr>
          <w:rFonts w:cs="Arial" w:hint="cs"/>
          <w:rtl/>
        </w:rPr>
        <w:t xml:space="preserve">- </w:t>
      </w:r>
      <w:r w:rsidRPr="00C92F8D">
        <w:rPr>
          <w:rFonts w:cs="Arial"/>
          <w:rtl/>
        </w:rPr>
        <w:t>אין השכירות כקרקע</w:t>
      </w:r>
      <w:r>
        <w:rPr>
          <w:rFonts w:cs="Arial" w:hint="cs"/>
          <w:rtl/>
        </w:rPr>
        <w:t>.</w:t>
      </w:r>
      <w:r w:rsidRPr="00C92F8D">
        <w:rPr>
          <w:rFonts w:cs="Arial"/>
          <w:rtl/>
        </w:rPr>
        <w:t xml:space="preserve"> והא דכתב </w:t>
      </w:r>
      <w:r>
        <w:rPr>
          <w:rFonts w:cs="Arial" w:hint="cs"/>
          <w:rtl/>
        </w:rPr>
        <w:t>'</w:t>
      </w:r>
      <w:r w:rsidRPr="00C92F8D">
        <w:rPr>
          <w:rFonts w:cs="Arial"/>
          <w:rtl/>
        </w:rPr>
        <w:t>אם לא גבו היתומים</w:t>
      </w:r>
      <w:r>
        <w:rPr>
          <w:rFonts w:cs="Arial" w:hint="cs"/>
          <w:rtl/>
        </w:rPr>
        <w:t>'</w:t>
      </w:r>
      <w:r w:rsidRPr="00C92F8D">
        <w:rPr>
          <w:rFonts w:cs="Arial"/>
          <w:rtl/>
        </w:rPr>
        <w:t xml:space="preserve"> לאו דוקא גבו</w:t>
      </w:r>
      <w:r>
        <w:rPr>
          <w:rFonts w:cs="Arial" w:hint="cs"/>
          <w:rtl/>
        </w:rPr>
        <w:t>,</w:t>
      </w:r>
      <w:r w:rsidRPr="00C92F8D">
        <w:rPr>
          <w:rFonts w:cs="Arial"/>
          <w:rtl/>
        </w:rPr>
        <w:t xml:space="preserve"> אלא אפילו לגבות</w:t>
      </w:r>
      <w:r>
        <w:rPr>
          <w:rFonts w:cs="Arial" w:hint="cs"/>
          <w:rtl/>
        </w:rPr>
        <w:t>,</w:t>
      </w:r>
      <w:r w:rsidRPr="00C92F8D">
        <w:rPr>
          <w:rFonts w:cs="Arial"/>
          <w:rtl/>
        </w:rPr>
        <w:t xml:space="preserve"> ונקט גבו </w:t>
      </w:r>
      <w:r>
        <w:rPr>
          <w:rFonts w:cs="Arial" w:hint="cs"/>
          <w:rtl/>
        </w:rPr>
        <w:t>ד</w:t>
      </w:r>
      <w:r w:rsidRPr="00C92F8D">
        <w:rPr>
          <w:rFonts w:cs="Arial"/>
          <w:rtl/>
        </w:rPr>
        <w:t>אפי</w:t>
      </w:r>
      <w:r>
        <w:rPr>
          <w:rFonts w:cs="Arial" w:hint="cs"/>
          <w:rtl/>
        </w:rPr>
        <w:t>לו</w:t>
      </w:r>
      <w:r w:rsidRPr="00C92F8D">
        <w:rPr>
          <w:rFonts w:cs="Arial"/>
          <w:rtl/>
        </w:rPr>
        <w:t xml:space="preserve"> אינו ראוי לגבות</w:t>
      </w:r>
      <w:r>
        <w:rPr>
          <w:rFonts w:cs="Arial" w:hint="cs"/>
          <w:rtl/>
        </w:rPr>
        <w:t>,</w:t>
      </w:r>
      <w:r w:rsidRPr="00C92F8D">
        <w:rPr>
          <w:rFonts w:cs="Arial"/>
          <w:rtl/>
        </w:rPr>
        <w:t xml:space="preserve"> כגון שעדיין לא הגיע הזמן</w:t>
      </w:r>
      <w:r>
        <w:rPr>
          <w:rFonts w:cs="Arial" w:hint="cs"/>
          <w:rtl/>
        </w:rPr>
        <w:t>,</w:t>
      </w:r>
      <w:r w:rsidRPr="00C92F8D">
        <w:rPr>
          <w:rFonts w:cs="Arial"/>
          <w:rtl/>
        </w:rPr>
        <w:t xml:space="preserve"> ועיין במ"מ ובר"ן ובתוספות ובנ"י</w:t>
      </w:r>
      <w:r>
        <w:rPr>
          <w:rFonts w:cs="Arial" w:hint="cs"/>
          <w:rtl/>
        </w:rPr>
        <w:t>, ח"מ (סק"ח).</w:t>
      </w:r>
    </w:p>
  </w:footnote>
  <w:footnote w:id="2999">
    <w:p w14:paraId="4E5F1559" w14:textId="77777777" w:rsidR="00DF1FC7" w:rsidRDefault="00DF1FC7" w:rsidP="002E5BAD">
      <w:pPr>
        <w:pStyle w:val="a5"/>
        <w:rPr>
          <w:rtl/>
        </w:rPr>
      </w:pPr>
      <w:r>
        <w:rPr>
          <w:rStyle w:val="a7"/>
        </w:rPr>
        <w:footnoteRef/>
      </w:r>
      <w:r>
        <w:rPr>
          <w:rtl/>
        </w:rPr>
        <w:t xml:space="preserve"> </w:t>
      </w:r>
      <w:r>
        <w:rPr>
          <w:rFonts w:cs="Arial" w:hint="cs"/>
          <w:rtl/>
        </w:rPr>
        <w:t xml:space="preserve">עיין במקורות בסעיף הבא (סע' ג) דשם נתבאר. וכתב הח"מ (סק"ט)- </w:t>
      </w:r>
      <w:r w:rsidRPr="00C92F8D">
        <w:rPr>
          <w:rFonts w:cs="Arial"/>
          <w:rtl/>
        </w:rPr>
        <w:t>הטעם שאין לה חוב על אביה שנ</w:t>
      </w:r>
      <w:r>
        <w:rPr>
          <w:rFonts w:cs="Arial" w:hint="cs"/>
          <w:rtl/>
        </w:rPr>
        <w:t>אמר</w:t>
      </w:r>
      <w:r w:rsidRPr="00C92F8D">
        <w:rPr>
          <w:rFonts w:cs="Arial"/>
          <w:rtl/>
        </w:rPr>
        <w:t xml:space="preserve"> שמאחר שמת אביה בחיי זקינה ואח"כ מת זקינה הוי נכסי הזקן לגבי אביה ראוי</w:t>
      </w:r>
      <w:r>
        <w:rPr>
          <w:rFonts w:cs="Arial" w:hint="cs"/>
          <w:rtl/>
        </w:rPr>
        <w:t>,</w:t>
      </w:r>
      <w:r w:rsidRPr="00C92F8D">
        <w:rPr>
          <w:rFonts w:cs="Arial"/>
          <w:rtl/>
        </w:rPr>
        <w:t xml:space="preserve"> שהרי היא ב"ח של האחין</w:t>
      </w:r>
      <w:r>
        <w:rPr>
          <w:rFonts w:cs="Arial" w:hint="cs"/>
          <w:rtl/>
        </w:rPr>
        <w:t>,</w:t>
      </w:r>
      <w:r w:rsidRPr="00C92F8D">
        <w:rPr>
          <w:rFonts w:cs="Arial"/>
          <w:rtl/>
        </w:rPr>
        <w:t xml:space="preserve"> ע"כ כשיורשו האחין את הזקן גובה מהן</w:t>
      </w:r>
      <w:r>
        <w:rPr>
          <w:rFonts w:cs="Arial" w:hint="cs"/>
          <w:rtl/>
        </w:rPr>
        <w:t>.</w:t>
      </w:r>
      <w:r w:rsidRPr="00C92F8D">
        <w:rPr>
          <w:rFonts w:cs="Arial"/>
          <w:rtl/>
        </w:rPr>
        <w:t xml:space="preserve"> ומ"מ אינו גובה רק עישור נכסי האב</w:t>
      </w:r>
      <w:r>
        <w:rPr>
          <w:rFonts w:hint="cs"/>
          <w:rtl/>
        </w:rPr>
        <w:t>.</w:t>
      </w:r>
    </w:p>
  </w:footnote>
  <w:footnote w:id="3000">
    <w:p w14:paraId="30C2DB96" w14:textId="77777777" w:rsidR="00DF1FC7" w:rsidRDefault="00DF1FC7" w:rsidP="002E5BAD">
      <w:pPr>
        <w:pStyle w:val="a5"/>
      </w:pPr>
      <w:r>
        <w:rPr>
          <w:rStyle w:val="a7"/>
        </w:rPr>
        <w:footnoteRef/>
      </w:r>
      <w:r>
        <w:rPr>
          <w:rtl/>
        </w:rPr>
        <w:t xml:space="preserve"> </w:t>
      </w:r>
      <w:r w:rsidRPr="00C276E6">
        <w:rPr>
          <w:rFonts w:cs="Arial"/>
          <w:rtl/>
        </w:rPr>
        <w:t>היינו ב"ח של אביהן שהן מוקדמים לפרנסה של הבנות שהן ב"ח של האחים</w:t>
      </w:r>
      <w:r>
        <w:rPr>
          <w:rFonts w:hint="cs"/>
          <w:rtl/>
        </w:rPr>
        <w:t>,</w:t>
      </w:r>
      <w:r w:rsidRPr="00C276E6">
        <w:rPr>
          <w:rtl/>
        </w:rPr>
        <w:t xml:space="preserve"> </w:t>
      </w:r>
      <w:r w:rsidRPr="00C276E6">
        <w:rPr>
          <w:rFonts w:cs="Arial"/>
          <w:rtl/>
        </w:rPr>
        <w:t>ועישור נכסים קודם שח"ז וע' בח"ה סי' רפ"א משמע שם אפי' בזה"ז שכותבי' בלשון חיוב שהוא חייב להזוג סך כך וכך מ"מ עישור נכסים קודם</w:t>
      </w:r>
      <w:r>
        <w:rPr>
          <w:rFonts w:cs="Arial" w:hint="cs"/>
          <w:rtl/>
        </w:rPr>
        <w:t>.</w:t>
      </w:r>
      <w:r w:rsidRPr="00C276E6">
        <w:rPr>
          <w:rFonts w:cs="Arial"/>
          <w:rtl/>
        </w:rPr>
        <w:t xml:space="preserve"> אך מה שמוסיף על העישור נכסים </w:t>
      </w:r>
      <w:r>
        <w:rPr>
          <w:rFonts w:cs="Arial" w:hint="cs"/>
          <w:rtl/>
        </w:rPr>
        <w:t xml:space="preserve">- </w:t>
      </w:r>
      <w:r w:rsidRPr="00C276E6">
        <w:rPr>
          <w:rFonts w:cs="Arial"/>
          <w:rtl/>
        </w:rPr>
        <w:t>אז פרעון</w:t>
      </w:r>
      <w:r>
        <w:rPr>
          <w:rFonts w:cs="Arial" w:hint="cs"/>
          <w:rtl/>
        </w:rPr>
        <w:t xml:space="preserve"> </w:t>
      </w:r>
      <w:r w:rsidRPr="00C276E6">
        <w:rPr>
          <w:rFonts w:cs="Arial"/>
          <w:rtl/>
        </w:rPr>
        <w:t>שח"ז קודם</w:t>
      </w:r>
      <w:r>
        <w:rPr>
          <w:rFonts w:cs="Arial" w:hint="cs"/>
          <w:sz w:val="16"/>
          <w:szCs w:val="16"/>
          <w:rtl/>
        </w:rPr>
        <w:t xml:space="preserve"> {</w:t>
      </w:r>
      <w:r w:rsidRPr="00200F0A">
        <w:rPr>
          <w:rFonts w:cs="Arial"/>
          <w:sz w:val="16"/>
          <w:szCs w:val="16"/>
          <w:rtl/>
        </w:rPr>
        <w:t>וע' בספר דג</w:t>
      </w:r>
      <w:r>
        <w:rPr>
          <w:rFonts w:cs="Arial" w:hint="cs"/>
          <w:sz w:val="16"/>
          <w:szCs w:val="16"/>
          <w:rtl/>
        </w:rPr>
        <w:t>מ"ר</w:t>
      </w:r>
      <w:r w:rsidRPr="00200F0A">
        <w:rPr>
          <w:rFonts w:cs="Arial"/>
          <w:sz w:val="16"/>
          <w:szCs w:val="16"/>
          <w:rtl/>
        </w:rPr>
        <w:t xml:space="preserve"> שכתב היינו שהבן רוצה להוסיף אינו יכול לגרוע כח השטח"ז</w:t>
      </w:r>
      <w:r>
        <w:rPr>
          <w:rFonts w:cs="Arial" w:hint="cs"/>
          <w:sz w:val="16"/>
          <w:szCs w:val="16"/>
          <w:rtl/>
        </w:rPr>
        <w:t>, פת"ש [סק"ד]}</w:t>
      </w:r>
      <w:r>
        <w:rPr>
          <w:rFonts w:cs="Arial" w:hint="cs"/>
          <w:rtl/>
        </w:rPr>
        <w:t>.</w:t>
      </w:r>
      <w:r w:rsidRPr="00C276E6">
        <w:rPr>
          <w:rFonts w:cs="Arial"/>
          <w:rtl/>
        </w:rPr>
        <w:t xml:space="preserve"> וע' במהרי"ק שורש ע"ח, ועישור קודם כב"ד וכן מזונות אלמנה ע' מהר"ן וע' בסמוך</w:t>
      </w:r>
      <w:r>
        <w:rPr>
          <w:rFonts w:cs="Arial" w:hint="cs"/>
          <w:rtl/>
        </w:rPr>
        <w:t>, ב"ש (סק"י).</w:t>
      </w:r>
    </w:p>
  </w:footnote>
  <w:footnote w:id="3001">
    <w:p w14:paraId="3E6EE4AE" w14:textId="77777777" w:rsidR="00DF1FC7" w:rsidRDefault="00DF1FC7" w:rsidP="002E5BAD">
      <w:pPr>
        <w:pStyle w:val="a5"/>
      </w:pPr>
      <w:r>
        <w:rPr>
          <w:rStyle w:val="a7"/>
        </w:rPr>
        <w:footnoteRef/>
      </w:r>
      <w:r>
        <w:rPr>
          <w:rtl/>
        </w:rPr>
        <w:t xml:space="preserve"> </w:t>
      </w:r>
      <w:r w:rsidRPr="006449AC">
        <w:rPr>
          <w:rFonts w:cs="Arial"/>
          <w:rtl/>
        </w:rPr>
        <w:t>אע</w:t>
      </w:r>
      <w:r>
        <w:rPr>
          <w:rFonts w:cs="Arial" w:hint="cs"/>
          <w:rtl/>
        </w:rPr>
        <w:t>"</w:t>
      </w:r>
      <w:r w:rsidRPr="006449AC">
        <w:rPr>
          <w:rFonts w:cs="Arial"/>
          <w:rtl/>
        </w:rPr>
        <w:t>ג דמטלטלין קודמין לקרקעות</w:t>
      </w:r>
      <w:r>
        <w:rPr>
          <w:rFonts w:cs="Arial" w:hint="cs"/>
          <w:rtl/>
        </w:rPr>
        <w:t>,</w:t>
      </w:r>
      <w:r w:rsidRPr="006449AC">
        <w:rPr>
          <w:rFonts w:cs="Arial"/>
          <w:rtl/>
        </w:rPr>
        <w:t xml:space="preserve"> היינו מן הלוה</w:t>
      </w:r>
      <w:r>
        <w:rPr>
          <w:rFonts w:cs="Arial" w:hint="cs"/>
          <w:rtl/>
        </w:rPr>
        <w:t>,</w:t>
      </w:r>
      <w:r w:rsidRPr="006449AC">
        <w:rPr>
          <w:rFonts w:cs="Arial"/>
          <w:rtl/>
        </w:rPr>
        <w:t xml:space="preserve"> אבל מן היורשים קרקע קודמת כל זמן שלא כתב בשטר שיגבה מטלטלי בין בחייו בין במותו</w:t>
      </w:r>
      <w:r>
        <w:rPr>
          <w:rFonts w:cs="Arial" w:hint="cs"/>
          <w:rtl/>
        </w:rPr>
        <w:t>,</w:t>
      </w:r>
      <w:r w:rsidRPr="006449AC">
        <w:rPr>
          <w:rFonts w:cs="Arial"/>
          <w:rtl/>
        </w:rPr>
        <w:t xml:space="preserve"> כמו שנתבאר בח"מ סי' ק"ז</w:t>
      </w:r>
      <w:r>
        <w:rPr>
          <w:rFonts w:cs="Arial" w:hint="cs"/>
          <w:rtl/>
        </w:rPr>
        <w:t>.</w:t>
      </w:r>
      <w:r w:rsidRPr="006449AC">
        <w:rPr>
          <w:rFonts w:cs="Arial"/>
          <w:rtl/>
        </w:rPr>
        <w:t xml:space="preserve"> א"נ מיירי שהב"ח אינו מקפיד</w:t>
      </w:r>
      <w:r>
        <w:rPr>
          <w:rFonts w:cs="Arial" w:hint="cs"/>
          <w:rtl/>
        </w:rPr>
        <w:t>, ח"מ (סקי"ב).</w:t>
      </w:r>
    </w:p>
  </w:footnote>
  <w:footnote w:id="3002">
    <w:p w14:paraId="3F47C339" w14:textId="77777777" w:rsidR="00DF1FC7" w:rsidRDefault="00DF1FC7" w:rsidP="002E5BAD">
      <w:pPr>
        <w:pStyle w:val="a5"/>
      </w:pPr>
      <w:r>
        <w:rPr>
          <w:rStyle w:val="a7"/>
        </w:rPr>
        <w:footnoteRef/>
      </w:r>
      <w:r>
        <w:rPr>
          <w:rtl/>
        </w:rPr>
        <w:t xml:space="preserve"> </w:t>
      </w:r>
      <w:r w:rsidRPr="006005B7">
        <w:rPr>
          <w:rFonts w:cs="Arial"/>
          <w:rtl/>
        </w:rPr>
        <w:t xml:space="preserve">ועיין בתשו' רבינו עקיבא איגר ז"ל </w:t>
      </w:r>
      <w:r>
        <w:rPr>
          <w:rFonts w:cs="Arial" w:hint="cs"/>
          <w:rtl/>
        </w:rPr>
        <w:t>(</w:t>
      </w:r>
      <w:r w:rsidRPr="006005B7">
        <w:rPr>
          <w:rFonts w:cs="Arial"/>
          <w:rtl/>
        </w:rPr>
        <w:t>ס"ס קל</w:t>
      </w:r>
      <w:r>
        <w:rPr>
          <w:rFonts w:cs="Arial" w:hint="cs"/>
          <w:rtl/>
        </w:rPr>
        <w:t>)</w:t>
      </w:r>
      <w:r w:rsidRPr="006005B7">
        <w:rPr>
          <w:rFonts w:cs="Arial"/>
          <w:rtl/>
        </w:rPr>
        <w:t xml:space="preserve"> דבתים הוא בכלל קרקעות ולית בזה ספיקא כלל</w:t>
      </w:r>
      <w:r>
        <w:rPr>
          <w:rFonts w:cs="Arial" w:hint="cs"/>
          <w:rtl/>
        </w:rPr>
        <w:t>,</w:t>
      </w:r>
      <w:r w:rsidRPr="006005B7">
        <w:rPr>
          <w:rFonts w:cs="Arial"/>
          <w:rtl/>
        </w:rPr>
        <w:t xml:space="preserve"> ודלא כרב אחד</w:t>
      </w:r>
      <w:r>
        <w:rPr>
          <w:rFonts w:cs="Arial" w:hint="cs"/>
          <w:rtl/>
        </w:rPr>
        <w:t>.</w:t>
      </w:r>
      <w:r w:rsidRPr="006005B7">
        <w:rPr>
          <w:rFonts w:cs="Arial"/>
          <w:rtl/>
        </w:rPr>
        <w:t xml:space="preserve"> וגם מ"ש הרב ההוא דדוקא מקרקע שהיה לו בעת כתיבת שטח"ז אבל לא מה שקנה אחר כך</w:t>
      </w:r>
      <w:r>
        <w:rPr>
          <w:rFonts w:cs="Arial" w:hint="cs"/>
          <w:rtl/>
        </w:rPr>
        <w:t>,</w:t>
      </w:r>
      <w:r w:rsidRPr="006005B7">
        <w:rPr>
          <w:rFonts w:cs="Arial"/>
          <w:rtl/>
        </w:rPr>
        <w:t xml:space="preserve"> זה אינו</w:t>
      </w:r>
      <w:r>
        <w:rPr>
          <w:rFonts w:cs="Arial" w:hint="cs"/>
          <w:rtl/>
        </w:rPr>
        <w:t>,</w:t>
      </w:r>
      <w:r w:rsidRPr="006005B7">
        <w:rPr>
          <w:rFonts w:cs="Arial"/>
          <w:rtl/>
        </w:rPr>
        <w:t xml:space="preserve"> וגם קרקעות שקנה אחר כך בכלל. זולת בבתים שמחזיק להרויח להשכירם ולא לדירה בזה כתבו הגאונים בתשו' חינוך ב"י דזוכים הבנות. אף דלבי מגמגם בזה מאד דסברתו מספיק לסוחר בבתים לקנות ולמכור אבל במחזיק להושיב בהם דיורים אין לנו ראיה אך כבר הורו הזקנים ובודאי ראוי לפשר כדהעלה השבו"י ע"ש. וע' מדין זה בתשו' כנ"י סימן צ"ג</w:t>
      </w:r>
      <w:r>
        <w:rPr>
          <w:rFonts w:cs="Arial" w:hint="cs"/>
          <w:rtl/>
        </w:rPr>
        <w:t>.</w:t>
      </w:r>
      <w:r w:rsidRPr="006005B7">
        <w:rPr>
          <w:rFonts w:cs="Arial"/>
          <w:rtl/>
        </w:rPr>
        <w:t xml:space="preserve"> ושם מבואר טעם נכון למה כותבין בשטר חח"ז חוץ מספרים וקרקעות (גם בתשובת ח"ס סי' קמ"ז כתב טעם הגון בזה ע"ש). וע"ש עוד בענין מקום שניתן הפקודה שיהודי הקונה בתים אינו רשאי לכתוב בפנקס ערכאות על שמו רק על שם עירון א"י אם יש לבתים אלו דין קרקעות של הקונה לענין עישור נכסים או שטח"ז ע"ש באורך. (וע' בתשו' חתם סופר אה"ע ח"ב סי' קס"ח). ועמש"ל ס"ס ק"ח</w:t>
      </w:r>
      <w:r>
        <w:rPr>
          <w:rFonts w:cs="Arial" w:hint="cs"/>
          <w:rtl/>
        </w:rPr>
        <w:t>, פת"ש (סק"ו).</w:t>
      </w:r>
    </w:p>
  </w:footnote>
  <w:footnote w:id="3003">
    <w:p w14:paraId="3F193DA5" w14:textId="77777777" w:rsidR="00DF1FC7" w:rsidRDefault="00DF1FC7" w:rsidP="002E5BAD">
      <w:pPr>
        <w:pStyle w:val="a5"/>
      </w:pPr>
      <w:r>
        <w:rPr>
          <w:rStyle w:val="a7"/>
        </w:rPr>
        <w:footnoteRef/>
      </w:r>
      <w:r>
        <w:rPr>
          <w:rtl/>
        </w:rPr>
        <w:t xml:space="preserve"> </w:t>
      </w:r>
      <w:r w:rsidRPr="00C276E6">
        <w:rPr>
          <w:rFonts w:cs="Arial"/>
          <w:rtl/>
        </w:rPr>
        <w:t>ובש"ג פסק ג"כ דנותנים הכל לשניה</w:t>
      </w:r>
      <w:r>
        <w:rPr>
          <w:rFonts w:cs="Arial" w:hint="cs"/>
          <w:rtl/>
        </w:rPr>
        <w:t>.</w:t>
      </w:r>
      <w:r w:rsidRPr="00C276E6">
        <w:rPr>
          <w:rFonts w:cs="Arial"/>
          <w:rtl/>
        </w:rPr>
        <w:t xml:space="preserve"> ובתשו' ש"י סי' ו' כתב טוב לעשות פשרה </w:t>
      </w:r>
      <w:r>
        <w:rPr>
          <w:rFonts w:cs="Arial" w:hint="cs"/>
          <w:rtl/>
        </w:rPr>
        <w:t>.</w:t>
      </w:r>
      <w:r w:rsidRPr="00C276E6">
        <w:rPr>
          <w:rFonts w:cs="Arial"/>
          <w:rtl/>
        </w:rPr>
        <w:t>ובט"ז פסק אם השיא בת א' יש לסמוך על דיעה בתרייתא אפילו להוסיף על עישור אבל אם לא השיא בת רק שאומדים דעתו יש לפסוק כדיעה קמייתא</w:t>
      </w:r>
      <w:r>
        <w:rPr>
          <w:rFonts w:cs="Arial" w:hint="cs"/>
          <w:rtl/>
        </w:rPr>
        <w:t>, ב"ש (סקי"ב).</w:t>
      </w:r>
    </w:p>
  </w:footnote>
  <w:footnote w:id="3004">
    <w:p w14:paraId="465EB7E9" w14:textId="77777777" w:rsidR="00DF1FC7" w:rsidRDefault="00DF1FC7" w:rsidP="002E5BAD">
      <w:pPr>
        <w:pStyle w:val="a5"/>
      </w:pPr>
      <w:r>
        <w:rPr>
          <w:rStyle w:val="a7"/>
        </w:rPr>
        <w:footnoteRef/>
      </w:r>
      <w:r>
        <w:rPr>
          <w:rtl/>
        </w:rPr>
        <w:t xml:space="preserve"> </w:t>
      </w:r>
      <w:r w:rsidRPr="00352BC7">
        <w:rPr>
          <w:rFonts w:cs="Arial"/>
          <w:rtl/>
        </w:rPr>
        <w:t>זה לשון הרב מהרי"ק היה ראוי לאמוד כפי הממון אשר היה לו בעת שהשיא האחרת ולפי הממון אשר הניח אחריו ולאמוד בערך הממוצע כגון אם השיא אחת בה' ואחת בדק' ואחת בג' והיה לו בחייו אלפים זוז ובעת מותו לא היה לו כי אם אלף זוז ראוי להנתן לה שתי' דהיינו החצי מערך האמצע עיין עוד שכתב שם שאין בידינו לכופו על יתר מעישור רק לבן ראוי להתנהג כנ"ל וגם בתחלה יפרע שח"ז ושלא לגרוע חלקם ע"ש</w:t>
      </w:r>
      <w:r>
        <w:rPr>
          <w:rFonts w:cs="Arial" w:hint="cs"/>
          <w:rtl/>
        </w:rPr>
        <w:t>, ח"מ (סקט"ו).</w:t>
      </w:r>
    </w:p>
  </w:footnote>
  <w:footnote w:id="3005">
    <w:p w14:paraId="3AC23EBC" w14:textId="77777777" w:rsidR="00DF1FC7" w:rsidRDefault="00DF1FC7" w:rsidP="002E5BAD">
      <w:pPr>
        <w:pStyle w:val="a5"/>
      </w:pPr>
      <w:r>
        <w:rPr>
          <w:rStyle w:val="a7"/>
        </w:rPr>
        <w:footnoteRef/>
      </w:r>
      <w:r>
        <w:rPr>
          <w:rtl/>
        </w:rPr>
        <w:t xml:space="preserve"> </w:t>
      </w:r>
      <w:r w:rsidRPr="00157687">
        <w:rPr>
          <w:rFonts w:cs="Arial"/>
          <w:rtl/>
        </w:rPr>
        <w:t>עישור נכסים שתקנו לה בתורת ירושה תקינו לה</w:t>
      </w:r>
      <w:r>
        <w:rPr>
          <w:rFonts w:cs="Arial" w:hint="cs"/>
          <w:rtl/>
        </w:rPr>
        <w:t>, רש"י.</w:t>
      </w:r>
    </w:p>
  </w:footnote>
  <w:footnote w:id="3006">
    <w:p w14:paraId="48ED8B03" w14:textId="77777777" w:rsidR="00DF1FC7" w:rsidRDefault="00DF1FC7" w:rsidP="002E5BAD">
      <w:pPr>
        <w:pStyle w:val="a5"/>
        <w:rPr>
          <w:rtl/>
        </w:rPr>
      </w:pPr>
      <w:r>
        <w:rPr>
          <w:rStyle w:val="a7"/>
        </w:rPr>
        <w:footnoteRef/>
      </w:r>
      <w:r>
        <w:rPr>
          <w:rtl/>
        </w:rPr>
        <w:t xml:space="preserve"> </w:t>
      </w:r>
      <w:r w:rsidRPr="00157687">
        <w:rPr>
          <w:rFonts w:cs="Arial"/>
          <w:rtl/>
        </w:rPr>
        <w:t>באמת לא מצו לסלוקה בזוזי ולא בחדא ארעא שאם רוצה נוטלת חלקה מכל קרקע וקרקע ואין יכולין להקנות לה חלקה במקום אחד</w:t>
      </w:r>
      <w:r>
        <w:rPr>
          <w:rFonts w:hint="cs"/>
          <w:rtl/>
        </w:rPr>
        <w:t>, רש"י.</w:t>
      </w:r>
    </w:p>
  </w:footnote>
  <w:footnote w:id="3007">
    <w:p w14:paraId="5BFACE53" w14:textId="77777777" w:rsidR="00DF1FC7" w:rsidRDefault="00DF1FC7" w:rsidP="002E5BAD">
      <w:pPr>
        <w:pStyle w:val="a5"/>
      </w:pPr>
      <w:r>
        <w:rPr>
          <w:rStyle w:val="a7"/>
        </w:rPr>
        <w:footnoteRef/>
      </w:r>
      <w:r>
        <w:rPr>
          <w:rtl/>
        </w:rPr>
        <w:t xml:space="preserve"> </w:t>
      </w:r>
      <w:r w:rsidRPr="00157687">
        <w:rPr>
          <w:rFonts w:cs="Arial"/>
          <w:rtl/>
        </w:rPr>
        <w:t>ומצי לסלוקה בזוזי או בחדא ארעא</w:t>
      </w:r>
      <w:r>
        <w:rPr>
          <w:rFonts w:cs="Arial" w:hint="cs"/>
          <w:rtl/>
        </w:rPr>
        <w:t>, רש"י.</w:t>
      </w:r>
    </w:p>
  </w:footnote>
  <w:footnote w:id="3008">
    <w:p w14:paraId="3FCA36FF" w14:textId="77777777" w:rsidR="00DF1FC7" w:rsidRDefault="00DF1FC7" w:rsidP="002E5BAD">
      <w:pPr>
        <w:pStyle w:val="a5"/>
        <w:rPr>
          <w:rtl/>
        </w:rPr>
      </w:pPr>
      <w:r>
        <w:rPr>
          <w:rStyle w:val="a7"/>
        </w:rPr>
        <w:footnoteRef/>
      </w:r>
      <w:r>
        <w:rPr>
          <w:rtl/>
        </w:rPr>
        <w:t xml:space="preserve"> </w:t>
      </w:r>
      <w:r w:rsidRPr="00C83327">
        <w:rPr>
          <w:rFonts w:cs="Arial"/>
          <w:rtl/>
        </w:rPr>
        <w:t>אי בעלת חוב דאבא הויא אינה גובה אלא מן הזיבורית ואינה נפרעת אלא בשבועה שלא נטלה מנכסים הללו כלום דקיי"ל (גיטין מח:) אין נפרעין מנכסי יתומים אלא מן הזבורית ואין נפרעים מהן אלא בשבועה ואי בעלת חוב שלהן אין כאן בא ליפרע מנכסי יתומין</w:t>
      </w:r>
      <w:r>
        <w:rPr>
          <w:rFonts w:hint="cs"/>
          <w:rtl/>
        </w:rPr>
        <w:t>, רש"י.</w:t>
      </w:r>
      <w:r w:rsidRPr="00C83327">
        <w:rPr>
          <w:rFonts w:cs="Arial"/>
          <w:rtl/>
        </w:rPr>
        <w:t xml:space="preserve"> </w:t>
      </w:r>
      <w:r w:rsidRPr="00863D97">
        <w:rPr>
          <w:rFonts w:cs="Arial"/>
          <w:rtl/>
        </w:rPr>
        <w:t>וכתב הרא"ש (סי' יח)</w:t>
      </w:r>
      <w:r>
        <w:rPr>
          <w:rFonts w:cs="Arial" w:hint="cs"/>
          <w:rtl/>
        </w:rPr>
        <w:t>-</w:t>
      </w:r>
      <w:r w:rsidRPr="00863D97">
        <w:rPr>
          <w:rFonts w:cs="Arial"/>
          <w:rtl/>
        </w:rPr>
        <w:t xml:space="preserve"> והוא הדין דנ"מ לגבות מן הראוי</w:t>
      </w:r>
      <w:r>
        <w:rPr>
          <w:rFonts w:cs="Arial" w:hint="cs"/>
          <w:rtl/>
        </w:rPr>
        <w:t>.</w:t>
      </w:r>
      <w:r>
        <w:rPr>
          <w:rFonts w:hint="cs"/>
          <w:rtl/>
        </w:rPr>
        <w:t>..</w:t>
      </w:r>
      <w:r w:rsidRPr="00C83327">
        <w:rPr>
          <w:rFonts w:cs="Arial"/>
          <w:rtl/>
        </w:rPr>
        <w:t xml:space="preserve"> </w:t>
      </w:r>
      <w:r w:rsidRPr="00863D97">
        <w:rPr>
          <w:rFonts w:cs="Arial"/>
          <w:rtl/>
        </w:rPr>
        <w:t>וכ"כ המרדכי שגובה מן הראוי</w:t>
      </w:r>
      <w:r>
        <w:rPr>
          <w:rFonts w:cs="Arial" w:hint="cs"/>
          <w:rtl/>
        </w:rPr>
        <w:t>, ב"י.</w:t>
      </w:r>
    </w:p>
  </w:footnote>
  <w:footnote w:id="3009">
    <w:p w14:paraId="4BAC9D3E" w14:textId="77777777" w:rsidR="00DF1FC7" w:rsidRDefault="00DF1FC7" w:rsidP="002E5BAD">
      <w:pPr>
        <w:pStyle w:val="a5"/>
        <w:rPr>
          <w:rtl/>
        </w:rPr>
      </w:pPr>
      <w:r>
        <w:rPr>
          <w:rStyle w:val="a7"/>
        </w:rPr>
        <w:footnoteRef/>
      </w:r>
      <w:r>
        <w:rPr>
          <w:rtl/>
        </w:rPr>
        <w:t xml:space="preserve"> </w:t>
      </w:r>
      <w:r w:rsidRPr="00C83327">
        <w:rPr>
          <w:rFonts w:cs="Arial"/>
          <w:rtl/>
        </w:rPr>
        <w:t>מת</w:t>
      </w:r>
      <w:r>
        <w:rPr>
          <w:rFonts w:cs="Arial" w:hint="cs"/>
          <w:rtl/>
        </w:rPr>
        <w:t>,</w:t>
      </w:r>
      <w:r w:rsidRPr="00C83327">
        <w:rPr>
          <w:rFonts w:cs="Arial"/>
          <w:rtl/>
        </w:rPr>
        <w:t xml:space="preserve"> ומת רב סמא בנו בחייו</w:t>
      </w:r>
      <w:r>
        <w:rPr>
          <w:rFonts w:cs="Arial" w:hint="cs"/>
          <w:rtl/>
        </w:rPr>
        <w:t>,</w:t>
      </w:r>
      <w:r w:rsidRPr="00C83327">
        <w:rPr>
          <w:rFonts w:cs="Arial"/>
          <w:rtl/>
        </w:rPr>
        <w:t xml:space="preserve"> וכשבאת בתו ליפרע נטלה מחלקו של מר בר רב אשי שהיה קיים בינונית שלא בשבועה</w:t>
      </w:r>
      <w:r>
        <w:rPr>
          <w:rFonts w:cs="Arial" w:hint="cs"/>
          <w:rtl/>
        </w:rPr>
        <w:t>.</w:t>
      </w:r>
      <w:r w:rsidRPr="00C83327">
        <w:rPr>
          <w:rFonts w:cs="Arial"/>
          <w:rtl/>
        </w:rPr>
        <w:t xml:space="preserve"> אלמא בעלת חוב דאחי הויא</w:t>
      </w:r>
      <w:r>
        <w:rPr>
          <w:rFonts w:hint="cs"/>
          <w:rtl/>
        </w:rPr>
        <w:t>, רש"י.</w:t>
      </w:r>
    </w:p>
  </w:footnote>
  <w:footnote w:id="3010">
    <w:p w14:paraId="38192DBD" w14:textId="77777777" w:rsidR="00DF1FC7" w:rsidRDefault="00DF1FC7" w:rsidP="002E5BAD">
      <w:pPr>
        <w:pStyle w:val="a5"/>
      </w:pPr>
      <w:r>
        <w:rPr>
          <w:rStyle w:val="a7"/>
        </w:rPr>
        <w:footnoteRef/>
      </w:r>
      <w:r>
        <w:rPr>
          <w:rtl/>
        </w:rPr>
        <w:t xml:space="preserve"> </w:t>
      </w:r>
      <w:r w:rsidRPr="00C83327">
        <w:rPr>
          <w:rFonts w:cs="Arial"/>
          <w:rtl/>
        </w:rPr>
        <w:t>לפי שבעלת חוב של אביו היתה שהיה אחיה</w:t>
      </w:r>
      <w:r>
        <w:rPr>
          <w:rFonts w:cs="Arial" w:hint="cs"/>
          <w:rtl/>
        </w:rPr>
        <w:t>, רש"י.</w:t>
      </w:r>
    </w:p>
  </w:footnote>
  <w:footnote w:id="3011">
    <w:p w14:paraId="38FC79D0" w14:textId="77777777" w:rsidR="00DF1FC7" w:rsidRDefault="00DF1FC7" w:rsidP="002E5BAD">
      <w:pPr>
        <w:pStyle w:val="a5"/>
      </w:pPr>
      <w:r>
        <w:rPr>
          <w:rStyle w:val="a7"/>
        </w:rPr>
        <w:footnoteRef/>
      </w:r>
      <w:r>
        <w:rPr>
          <w:rtl/>
        </w:rPr>
        <w:t xml:space="preserve"> </w:t>
      </w:r>
      <w:r w:rsidRPr="00E04543">
        <w:rPr>
          <w:rFonts w:cs="Arial"/>
          <w:rtl/>
        </w:rPr>
        <w:t xml:space="preserve">מיהו אם יטענו היורשים אותה בפירוש לומר השבעי לנו שלא התפיסך אבינו צררי </w:t>
      </w:r>
      <w:r>
        <w:rPr>
          <w:rFonts w:cs="Arial" w:hint="cs"/>
          <w:rtl/>
        </w:rPr>
        <w:t xml:space="preserve">- </w:t>
      </w:r>
      <w:r w:rsidRPr="00E04543">
        <w:rPr>
          <w:rFonts w:cs="Arial"/>
          <w:rtl/>
        </w:rPr>
        <w:t>אז נשבעת</w:t>
      </w:r>
      <w:r>
        <w:rPr>
          <w:rFonts w:cs="Arial" w:hint="cs"/>
          <w:rtl/>
        </w:rPr>
        <w:t>,</w:t>
      </w:r>
      <w:r w:rsidRPr="00DD61F7">
        <w:rPr>
          <w:rFonts w:cs="Arial"/>
          <w:rtl/>
        </w:rPr>
        <w:t xml:space="preserve"> </w:t>
      </w:r>
      <w:r w:rsidRPr="00E04543">
        <w:rPr>
          <w:rFonts w:cs="Arial"/>
          <w:rtl/>
        </w:rPr>
        <w:t>ראבי"ה (סי' תתקז עיין שם בהערות</w:t>
      </w:r>
      <w:r>
        <w:rPr>
          <w:rFonts w:cs="Arial" w:hint="cs"/>
          <w:rtl/>
        </w:rPr>
        <w:t>, כ"כ בשמו הגה"מ [פ"כ מאישות אות ד], הביאם הדרכ"מ [אות י]</w:t>
      </w:r>
      <w:r w:rsidRPr="00E04543">
        <w:rPr>
          <w:rFonts w:cs="Arial"/>
          <w:rtl/>
        </w:rPr>
        <w:t>)</w:t>
      </w:r>
      <w:r>
        <w:rPr>
          <w:rFonts w:hint="cs"/>
          <w:rtl/>
        </w:rPr>
        <w:t>.</w:t>
      </w:r>
    </w:p>
  </w:footnote>
  <w:footnote w:id="3012">
    <w:p w14:paraId="48D9E559" w14:textId="77777777" w:rsidR="00DF1FC7" w:rsidRDefault="00DF1FC7" w:rsidP="002E5BAD">
      <w:pPr>
        <w:pStyle w:val="a5"/>
      </w:pPr>
      <w:r>
        <w:rPr>
          <w:rStyle w:val="a7"/>
        </w:rPr>
        <w:footnoteRef/>
      </w:r>
      <w:r>
        <w:rPr>
          <w:rtl/>
        </w:rPr>
        <w:t xml:space="preserve"> </w:t>
      </w:r>
      <w:r w:rsidRPr="00222535">
        <w:rPr>
          <w:rFonts w:cs="Arial"/>
          <w:rtl/>
        </w:rPr>
        <w:t>אא"כ טוענין השבע שלא התפיסך אבינו צררי כ"כ הגמיי'</w:t>
      </w:r>
      <w:r>
        <w:rPr>
          <w:rFonts w:cs="Arial" w:hint="cs"/>
          <w:rtl/>
        </w:rPr>
        <w:t>, ב"ש (סקי"ד).</w:t>
      </w:r>
      <w:r w:rsidRPr="00222535">
        <w:rPr>
          <w:rtl/>
        </w:rPr>
        <w:t xml:space="preserve"> </w:t>
      </w:r>
      <w:r>
        <w:rPr>
          <w:rFonts w:cs="Arial" w:hint="cs"/>
          <w:rtl/>
        </w:rPr>
        <w:t>אך הפת"ש (סק"ח) כתב ש</w:t>
      </w:r>
      <w:r w:rsidRPr="00222535">
        <w:rPr>
          <w:rFonts w:cs="Arial"/>
          <w:rtl/>
        </w:rPr>
        <w:t xml:space="preserve">בס' ישועות יעקב </w:t>
      </w:r>
      <w:r>
        <w:rPr>
          <w:rFonts w:cs="Arial" w:hint="cs"/>
          <w:rtl/>
        </w:rPr>
        <w:t>(</w:t>
      </w:r>
      <w:r w:rsidRPr="00222535">
        <w:rPr>
          <w:rFonts w:cs="Arial"/>
          <w:rtl/>
        </w:rPr>
        <w:t>סק"ד</w:t>
      </w:r>
      <w:r>
        <w:rPr>
          <w:rFonts w:cs="Arial" w:hint="cs"/>
          <w:rtl/>
        </w:rPr>
        <w:t>)</w:t>
      </w:r>
      <w:r w:rsidRPr="00222535">
        <w:rPr>
          <w:rFonts w:cs="Arial"/>
          <w:rtl/>
        </w:rPr>
        <w:t xml:space="preserve"> כתב שדבר זה אינו מוסכם ע"ש. גם בס' ב"מ פקפק ע"ד הב"ש בזה</w:t>
      </w:r>
      <w:r>
        <w:rPr>
          <w:rFonts w:cs="Arial" w:hint="cs"/>
          <w:rtl/>
        </w:rPr>
        <w:t>.</w:t>
      </w:r>
      <w:r w:rsidRPr="00222535">
        <w:rPr>
          <w:rFonts w:cs="Arial"/>
          <w:rtl/>
        </w:rPr>
        <w:t xml:space="preserve"> וכתב דהגמ"י שם מהראיה שהביא אינו מוכח אלא בטענת ברי אם טוענין ברי ידענו שאבינו התפיס ולא בשמא ע"ש</w:t>
      </w:r>
      <w:r>
        <w:rPr>
          <w:rFonts w:hint="cs"/>
          <w:rtl/>
        </w:rPr>
        <w:t>.</w:t>
      </w:r>
    </w:p>
  </w:footnote>
  <w:footnote w:id="3013">
    <w:p w14:paraId="6A40576E" w14:textId="77777777" w:rsidR="00DF1FC7" w:rsidRPr="00F40D50" w:rsidRDefault="00DF1FC7" w:rsidP="002E5BAD">
      <w:pPr>
        <w:pStyle w:val="a5"/>
        <w:rPr>
          <w:rFonts w:cs="Arial"/>
        </w:rPr>
      </w:pPr>
      <w:r>
        <w:rPr>
          <w:rStyle w:val="a7"/>
        </w:rPr>
        <w:footnoteRef/>
      </w:r>
      <w:r>
        <w:rPr>
          <w:rtl/>
        </w:rPr>
        <w:t xml:space="preserve"> </w:t>
      </w:r>
      <w:r w:rsidRPr="00222535">
        <w:rPr>
          <w:rFonts w:cs="Arial"/>
          <w:rtl/>
        </w:rPr>
        <w:t>כתב בספר ישועות יעקב לכאורה צ"ע כיון דאינם מחוייבים ליתן עישור נכסים רק בשעת נישואין כמבואר בהגה לקמן א"כ נימא בזה חזקה אין אדם פורע תוך זמנו ואפי' מיתמי א"צ שבועה (כמבואר בח"מ סי</w:t>
      </w:r>
      <w:r>
        <w:rPr>
          <w:rFonts w:cs="Arial" w:hint="cs"/>
          <w:rtl/>
        </w:rPr>
        <w:t>'</w:t>
      </w:r>
      <w:r w:rsidRPr="00222535">
        <w:rPr>
          <w:rFonts w:cs="Arial"/>
          <w:rtl/>
        </w:rPr>
        <w:t xml:space="preserve"> קח ס"א) ולמה תשבע כאן בבאה ליפרע מנכסי יתמי האחין</w:t>
      </w:r>
      <w:r>
        <w:rPr>
          <w:rFonts w:cs="Arial" w:hint="cs"/>
          <w:rtl/>
        </w:rPr>
        <w:t>.</w:t>
      </w:r>
      <w:r w:rsidRPr="00222535">
        <w:rPr>
          <w:rFonts w:cs="Arial"/>
          <w:rtl/>
        </w:rPr>
        <w:t xml:space="preserve"> וצ"ל דטעם הענין בזה דשמא היה דעתה להנשא לאיש בעת ההיא קודם מיתת האחים</w:t>
      </w:r>
      <w:r>
        <w:rPr>
          <w:rFonts w:cs="Arial" w:hint="cs"/>
          <w:rtl/>
        </w:rPr>
        <w:t>,</w:t>
      </w:r>
      <w:r w:rsidRPr="00222535">
        <w:rPr>
          <w:rFonts w:cs="Arial"/>
          <w:rtl/>
        </w:rPr>
        <w:t xml:space="preserve"> ולכך אתפיסו לה צררי באותו עת לפי שכבר הגיע הזמן</w:t>
      </w:r>
      <w:r>
        <w:rPr>
          <w:rFonts w:cs="Arial" w:hint="cs"/>
          <w:rtl/>
        </w:rPr>
        <w:t>.</w:t>
      </w:r>
      <w:r w:rsidRPr="00222535">
        <w:rPr>
          <w:rFonts w:cs="Arial"/>
          <w:rtl/>
        </w:rPr>
        <w:t xml:space="preserve"> ומעתה נראה באם א"א לומר בשום אופן שהגיע הזמן קודם מיתת האחים כגון שהיתה קטנה שאינה ראויה להנשא לאיש </w:t>
      </w:r>
      <w:r>
        <w:rPr>
          <w:rFonts w:cs="Arial" w:hint="cs"/>
          <w:rtl/>
        </w:rPr>
        <w:t xml:space="preserve">- </w:t>
      </w:r>
      <w:r w:rsidRPr="00222535">
        <w:rPr>
          <w:rFonts w:cs="Arial"/>
          <w:rtl/>
        </w:rPr>
        <w:t>אפשר דא"צ שבועה</w:t>
      </w:r>
      <w:r>
        <w:rPr>
          <w:rFonts w:cs="Arial" w:hint="cs"/>
          <w:rtl/>
        </w:rPr>
        <w:t>.</w:t>
      </w:r>
      <w:r w:rsidRPr="00222535">
        <w:rPr>
          <w:rFonts w:cs="Arial"/>
          <w:rtl/>
        </w:rPr>
        <w:t xml:space="preserve"> וגם אפשר לצרף לזה הא דקיי"ל דצררי לקטנה לא מתפיס</w:t>
      </w:r>
      <w:r>
        <w:rPr>
          <w:rFonts w:cs="Arial" w:hint="cs"/>
          <w:rtl/>
        </w:rPr>
        <w:t>.</w:t>
      </w:r>
      <w:r w:rsidRPr="00222535">
        <w:rPr>
          <w:rFonts w:cs="Arial"/>
          <w:rtl/>
        </w:rPr>
        <w:t xml:space="preserve"> והארכתי בזה בתשובה עכ"ד. ועיין בנ"צ כתבתי קצת סמך ראיה לזה</w:t>
      </w:r>
      <w:r>
        <w:rPr>
          <w:rFonts w:cs="Arial" w:hint="cs"/>
          <w:rtl/>
        </w:rPr>
        <w:t>...</w:t>
      </w:r>
      <w:r w:rsidRPr="00222535">
        <w:rPr>
          <w:rFonts w:cs="Arial"/>
          <w:rtl/>
        </w:rPr>
        <w:t xml:space="preserve"> שוב ראיתי בס' בית מאיר שהעיר ג"כ בספק הנ"ל ודעתו נוטה דאף בהיתה קטנה צריכה שבועה כיון דדעתו של אדם קרובה אצל בתו יש לחוש לצררי אף בקטנה דלאו בת התפסה היא ואף דלא הגיע זמנה ואף לגבי האב דלאו בעל חובה הוא כלל וכ' דלפ"ז במת האח בעודה קטנה אינה צריכה רק שבועה זו שלא התפיס לה אביה צררי אבל א"צ שבועה שלא פרע לה האח דהא זה ודאי תוך זמן הוא רק אפשר ע"י גלגול כו' ונ"מ עוד באם מת האב בעוד שהיתה קטנה מוטל בעריסה דודאי לא שייך חשש שהתפיס לה (ואפשר ה"ה אם לא היתה הבת אצלו במותו וכמ"ש לעיל סי' צ"ו סק"א בשם תשו' נו"ב ע"ש) א"צ שבועה וצ"ע. וע"ש עוד שהביא דברי הפ"י בכתובות שם שהגי' בפירש"י הנ"ל דצ"ל ומת רב סמא בנו אחריו. וכ' עליו דהגהה זו היא ברורה לע"ד עד שנסתפקתי מה דפסקינן דאם מתו האחים נוטלת מבניהם מזיבורית ובשבועה אם לא דוקא באופן זה אבל אם מתו האחים בחיי האב נוטלת מבניהם בינונית בלא שבועה וכן מסתבר ע"ש</w:t>
      </w:r>
      <w:r>
        <w:rPr>
          <w:rFonts w:cs="Arial" w:hint="cs"/>
          <w:rtl/>
        </w:rPr>
        <w:t>, פת"ש (סק"ט).</w:t>
      </w:r>
    </w:p>
  </w:footnote>
  <w:footnote w:id="3014">
    <w:p w14:paraId="4166F778" w14:textId="77777777" w:rsidR="00DF1FC7" w:rsidRDefault="00DF1FC7" w:rsidP="002E5BAD">
      <w:pPr>
        <w:pStyle w:val="a5"/>
      </w:pPr>
      <w:r>
        <w:rPr>
          <w:rStyle w:val="a7"/>
        </w:rPr>
        <w:footnoteRef/>
      </w:r>
      <w:r>
        <w:rPr>
          <w:rtl/>
        </w:rPr>
        <w:t xml:space="preserve"> </w:t>
      </w:r>
      <w:r w:rsidRPr="00352BC7">
        <w:rPr>
          <w:rFonts w:cs="Arial"/>
          <w:rtl/>
        </w:rPr>
        <w:t>לא ידעתי שייכות לדין זה כאן ובסעי' ב' היה לו לכתוב דין זה ועיין בב"ח שכתב שמדברי הרא"ש משמע שאף בזמן הזה פרנסה מקרקעי</w:t>
      </w:r>
      <w:r>
        <w:rPr>
          <w:rFonts w:cs="Arial" w:hint="cs"/>
          <w:rtl/>
        </w:rPr>
        <w:t>, ח"מ (סקט"ז).</w:t>
      </w:r>
    </w:p>
  </w:footnote>
  <w:footnote w:id="3015">
    <w:p w14:paraId="26308EA3" w14:textId="77777777" w:rsidR="00DF1FC7" w:rsidRDefault="00DF1FC7" w:rsidP="002E5BAD">
      <w:pPr>
        <w:pStyle w:val="a5"/>
        <w:rPr>
          <w:rtl/>
        </w:rPr>
      </w:pPr>
      <w:r>
        <w:rPr>
          <w:rStyle w:val="a7"/>
        </w:rPr>
        <w:footnoteRef/>
      </w:r>
      <w:r>
        <w:rPr>
          <w:rtl/>
        </w:rPr>
        <w:t xml:space="preserve"> </w:t>
      </w:r>
      <w:r w:rsidRPr="00863D97">
        <w:rPr>
          <w:rFonts w:cs="Arial"/>
          <w:rtl/>
        </w:rPr>
        <w:t>וחכמים תיקנו להם נדוניית נישואיה עישור נכסים והנישאת ראשון ראשון זכתה בעישור שבפניה ולמה יחזרו ויחלקו עישורים בשוה</w:t>
      </w:r>
      <w:r>
        <w:rPr>
          <w:rFonts w:hint="cs"/>
          <w:rtl/>
        </w:rPr>
        <w:t>, רש"י.</w:t>
      </w:r>
    </w:p>
  </w:footnote>
  <w:footnote w:id="3016">
    <w:p w14:paraId="2FDCC71A" w14:textId="77777777" w:rsidR="00DF1FC7" w:rsidRDefault="00DF1FC7" w:rsidP="002E5BAD">
      <w:pPr>
        <w:pStyle w:val="a5"/>
      </w:pPr>
      <w:r>
        <w:rPr>
          <w:rStyle w:val="a7"/>
        </w:rPr>
        <w:footnoteRef/>
      </w:r>
      <w:r>
        <w:rPr>
          <w:rtl/>
        </w:rPr>
        <w:t xml:space="preserve"> </w:t>
      </w:r>
      <w:r w:rsidRPr="006155CA">
        <w:rPr>
          <w:rFonts w:cs="Arial"/>
          <w:rtl/>
        </w:rPr>
        <w:t>חוזרות וחולקות עישוריהן בשוה - שאין כאן קודמת לזכות</w:t>
      </w:r>
      <w:r>
        <w:rPr>
          <w:rFonts w:cs="Arial" w:hint="cs"/>
          <w:rtl/>
        </w:rPr>
        <w:t>,</w:t>
      </w:r>
      <w:r w:rsidRPr="006155CA">
        <w:rPr>
          <w:rFonts w:cs="Arial"/>
          <w:rtl/>
        </w:rPr>
        <w:t xml:space="preserve"> הלכך בשביל הראוי לישאר לפני הבן נוטלת האחת עישור והשניה עישור במה ששיירה</w:t>
      </w:r>
      <w:r>
        <w:rPr>
          <w:rFonts w:cs="Arial" w:hint="cs"/>
          <w:rtl/>
        </w:rPr>
        <w:t>,</w:t>
      </w:r>
      <w:r w:rsidRPr="006155CA">
        <w:rPr>
          <w:rFonts w:cs="Arial"/>
          <w:rtl/>
        </w:rPr>
        <w:t xml:space="preserve"> וכן כולם</w:t>
      </w:r>
      <w:r>
        <w:rPr>
          <w:rFonts w:cs="Arial" w:hint="cs"/>
          <w:rtl/>
        </w:rPr>
        <w:t>,</w:t>
      </w:r>
      <w:r w:rsidRPr="006155CA">
        <w:rPr>
          <w:rFonts w:cs="Arial"/>
          <w:rtl/>
        </w:rPr>
        <w:t xml:space="preserve"> והמותר לבן</w:t>
      </w:r>
      <w:r>
        <w:rPr>
          <w:rFonts w:cs="Arial" w:hint="cs"/>
          <w:rtl/>
        </w:rPr>
        <w:t>.</w:t>
      </w:r>
      <w:r w:rsidRPr="006155CA">
        <w:rPr>
          <w:rFonts w:cs="Arial"/>
          <w:rtl/>
        </w:rPr>
        <w:t xml:space="preserve"> אם היו מאה מנה האחת נוטלת עשר מנים</w:t>
      </w:r>
      <w:r>
        <w:rPr>
          <w:rFonts w:cs="Arial" w:hint="cs"/>
          <w:rtl/>
        </w:rPr>
        <w:t>,</w:t>
      </w:r>
      <w:r w:rsidRPr="006155CA">
        <w:rPr>
          <w:rFonts w:cs="Arial"/>
          <w:rtl/>
        </w:rPr>
        <w:t xml:space="preserve"> והשניה תשע</w:t>
      </w:r>
      <w:r>
        <w:rPr>
          <w:rFonts w:cs="Arial" w:hint="cs"/>
          <w:rtl/>
        </w:rPr>
        <w:t>,</w:t>
      </w:r>
      <w:r w:rsidRPr="006155CA">
        <w:rPr>
          <w:rFonts w:cs="Arial"/>
          <w:rtl/>
        </w:rPr>
        <w:t xml:space="preserve"> והשלישית שמונה מנה ועישור של מנה</w:t>
      </w:r>
      <w:r>
        <w:rPr>
          <w:rFonts w:cs="Arial" w:hint="cs"/>
          <w:rtl/>
        </w:rPr>
        <w:t>,</w:t>
      </w:r>
      <w:r w:rsidRPr="006155CA">
        <w:rPr>
          <w:rFonts w:cs="Arial"/>
          <w:rtl/>
        </w:rPr>
        <w:t xml:space="preserve"> וכן כולם כדי לברר ירושת הבן</w:t>
      </w:r>
      <w:r>
        <w:rPr>
          <w:rFonts w:cs="Arial" w:hint="cs"/>
          <w:rtl/>
        </w:rPr>
        <w:t>,</w:t>
      </w:r>
      <w:r w:rsidRPr="006155CA">
        <w:rPr>
          <w:rFonts w:cs="Arial"/>
          <w:rtl/>
        </w:rPr>
        <w:t xml:space="preserve"> והן חוזרות וחולקות עישוריהן בשוה</w:t>
      </w:r>
      <w:r>
        <w:rPr>
          <w:rFonts w:cs="Arial" w:hint="cs"/>
          <w:rtl/>
        </w:rPr>
        <w:t>, רש"י.</w:t>
      </w:r>
    </w:p>
  </w:footnote>
  <w:footnote w:id="3017">
    <w:p w14:paraId="43CEF9A6" w14:textId="77777777" w:rsidR="00DF1FC7" w:rsidRDefault="00DF1FC7" w:rsidP="002E5BAD">
      <w:pPr>
        <w:pStyle w:val="a5"/>
        <w:rPr>
          <w:rtl/>
        </w:rPr>
      </w:pPr>
      <w:r>
        <w:rPr>
          <w:rStyle w:val="a7"/>
        </w:rPr>
        <w:footnoteRef/>
      </w:r>
      <w:r>
        <w:rPr>
          <w:rtl/>
        </w:rPr>
        <w:t xml:space="preserve"> </w:t>
      </w:r>
      <w:r>
        <w:rPr>
          <w:rFonts w:hint="cs"/>
          <w:rtl/>
        </w:rPr>
        <w:t>הב"י לא הביא את סוף דברי הר"ן הללו. וכנראה משום דלא ס"ל כוותיה בעניין עישור.</w:t>
      </w:r>
    </w:p>
  </w:footnote>
  <w:footnote w:id="3018">
    <w:p w14:paraId="764C40E6" w14:textId="77777777" w:rsidR="00DF1FC7" w:rsidRDefault="00DF1FC7" w:rsidP="002E5BAD">
      <w:pPr>
        <w:pStyle w:val="a5"/>
        <w:rPr>
          <w:rtl/>
        </w:rPr>
      </w:pPr>
      <w:r>
        <w:rPr>
          <w:rStyle w:val="a7"/>
        </w:rPr>
        <w:footnoteRef/>
      </w:r>
      <w:r>
        <w:rPr>
          <w:rtl/>
        </w:rPr>
        <w:t xml:space="preserve"> </w:t>
      </w:r>
      <w:r>
        <w:rPr>
          <w:rFonts w:cs="Arial" w:hint="cs"/>
          <w:rtl/>
        </w:rPr>
        <w:t>אך ה</w:t>
      </w:r>
      <w:r w:rsidRPr="0012512E">
        <w:rPr>
          <w:rFonts w:cs="Arial"/>
          <w:rtl/>
        </w:rPr>
        <w:t xml:space="preserve">ישועות יעקב </w:t>
      </w:r>
      <w:r>
        <w:rPr>
          <w:rFonts w:cs="Arial" w:hint="cs"/>
          <w:rtl/>
        </w:rPr>
        <w:t>(</w:t>
      </w:r>
      <w:r w:rsidRPr="0012512E">
        <w:rPr>
          <w:rFonts w:cs="Arial"/>
          <w:rtl/>
        </w:rPr>
        <w:t>סק"ה</w:t>
      </w:r>
      <w:r>
        <w:rPr>
          <w:rFonts w:cs="Arial" w:hint="cs"/>
          <w:rtl/>
        </w:rPr>
        <w:t>) כתב ש</w:t>
      </w:r>
      <w:r w:rsidRPr="0012512E">
        <w:rPr>
          <w:rFonts w:cs="Arial"/>
          <w:rtl/>
        </w:rPr>
        <w:t>סוף דבריו (מ</w:t>
      </w:r>
      <w:r>
        <w:rPr>
          <w:rFonts w:cs="Arial" w:hint="cs"/>
          <w:rtl/>
        </w:rPr>
        <w:t xml:space="preserve">ה </w:t>
      </w:r>
      <w:r w:rsidRPr="0012512E">
        <w:rPr>
          <w:rFonts w:cs="Arial"/>
          <w:rtl/>
        </w:rPr>
        <w:t>ש</w:t>
      </w:r>
      <w:r>
        <w:rPr>
          <w:rFonts w:cs="Arial" w:hint="cs"/>
          <w:rtl/>
        </w:rPr>
        <w:t>כתב</w:t>
      </w:r>
      <w:r w:rsidRPr="0012512E">
        <w:rPr>
          <w:rFonts w:cs="Arial"/>
          <w:rtl/>
        </w:rPr>
        <w:t xml:space="preserve"> אמנם טוב הוה שיחלקו הריוח כו') אינם נראים</w:t>
      </w:r>
      <w:r>
        <w:rPr>
          <w:rFonts w:cs="Arial" w:hint="cs"/>
          <w:rtl/>
        </w:rPr>
        <w:t>,</w:t>
      </w:r>
      <w:r w:rsidRPr="0012512E">
        <w:rPr>
          <w:rFonts w:cs="Arial"/>
          <w:rtl/>
        </w:rPr>
        <w:t xml:space="preserve"> דמועטים ונתרבו בודאי לא זכו הבנות</w:t>
      </w:r>
      <w:r>
        <w:rPr>
          <w:rFonts w:cs="Arial" w:hint="cs"/>
          <w:rtl/>
        </w:rPr>
        <w:t>,</w:t>
      </w:r>
      <w:r w:rsidRPr="0012512E">
        <w:rPr>
          <w:rFonts w:cs="Arial"/>
          <w:rtl/>
        </w:rPr>
        <w:t xml:space="preserve"> כמו בשאר דברים כתובת בנין דכרין ות</w:t>
      </w:r>
      <w:r>
        <w:rPr>
          <w:rFonts w:cs="Arial" w:hint="cs"/>
          <w:rtl/>
        </w:rPr>
        <w:t xml:space="preserve">וספת </w:t>
      </w:r>
      <w:r w:rsidRPr="0012512E">
        <w:rPr>
          <w:rFonts w:cs="Arial"/>
          <w:rtl/>
        </w:rPr>
        <w:t>כ</w:t>
      </w:r>
      <w:r>
        <w:rPr>
          <w:rFonts w:cs="Arial" w:hint="cs"/>
          <w:rtl/>
        </w:rPr>
        <w:t>תובה</w:t>
      </w:r>
      <w:r w:rsidRPr="0012512E">
        <w:rPr>
          <w:rFonts w:cs="Arial"/>
          <w:rtl/>
        </w:rPr>
        <w:t xml:space="preserve"> דלא זכו במה שנתרבה אח"כ.</w:t>
      </w:r>
    </w:p>
  </w:footnote>
  <w:footnote w:id="3019">
    <w:p w14:paraId="6662B176" w14:textId="77777777" w:rsidR="00DF1FC7" w:rsidRDefault="00DF1FC7" w:rsidP="002E5BAD">
      <w:pPr>
        <w:pStyle w:val="a5"/>
        <w:rPr>
          <w:rtl/>
        </w:rPr>
      </w:pPr>
      <w:r>
        <w:rPr>
          <w:rStyle w:val="a7"/>
        </w:rPr>
        <w:footnoteRef/>
      </w:r>
      <w:r>
        <w:rPr>
          <w:rtl/>
        </w:rPr>
        <w:t xml:space="preserve"> </w:t>
      </w:r>
      <w:r w:rsidRPr="00CD6DC5">
        <w:rPr>
          <w:rFonts w:cs="Arial"/>
          <w:rtl/>
        </w:rPr>
        <w:t>וצ"ע דין זה</w:t>
      </w:r>
      <w:r>
        <w:rPr>
          <w:rFonts w:cs="Arial" w:hint="cs"/>
          <w:rtl/>
        </w:rPr>
        <w:t>,</w:t>
      </w:r>
      <w:r w:rsidRPr="00CD6DC5">
        <w:rPr>
          <w:rFonts w:cs="Arial"/>
          <w:rtl/>
        </w:rPr>
        <w:t xml:space="preserve"> וע"ל סי' קי"ב סעיף י"א בהגה</w:t>
      </w:r>
      <w:r>
        <w:rPr>
          <w:rFonts w:hint="cs"/>
          <w:rtl/>
        </w:rPr>
        <w:t>, באה"ט (סקט"ו).</w:t>
      </w:r>
    </w:p>
  </w:footnote>
  <w:footnote w:id="3020">
    <w:p w14:paraId="733EEA15" w14:textId="77777777" w:rsidR="00DF1FC7" w:rsidRDefault="00DF1FC7" w:rsidP="002E5BAD">
      <w:pPr>
        <w:pStyle w:val="a5"/>
        <w:rPr>
          <w:rtl/>
        </w:rPr>
      </w:pPr>
      <w:r>
        <w:rPr>
          <w:rStyle w:val="a7"/>
        </w:rPr>
        <w:footnoteRef/>
      </w:r>
      <w:r>
        <w:rPr>
          <w:rtl/>
        </w:rPr>
        <w:t xml:space="preserve"> </w:t>
      </w:r>
      <w:r w:rsidRPr="00CD6DC5">
        <w:rPr>
          <w:rFonts w:cs="Arial"/>
          <w:rtl/>
        </w:rPr>
        <w:t>וע' בהרש"ך ח"ג סי' צ"ו. וע' כנה"ג דף קנ"א ע"א</w:t>
      </w:r>
      <w:r>
        <w:rPr>
          <w:rFonts w:hint="cs"/>
          <w:rtl/>
        </w:rPr>
        <w:t>, באה"ט (סקט"ו).</w:t>
      </w:r>
    </w:p>
  </w:footnote>
  <w:footnote w:id="3021">
    <w:p w14:paraId="4FA72F40" w14:textId="77777777" w:rsidR="00DF1FC7" w:rsidRDefault="00DF1FC7" w:rsidP="002E5BAD">
      <w:pPr>
        <w:pStyle w:val="a5"/>
        <w:rPr>
          <w:rtl/>
        </w:rPr>
      </w:pPr>
      <w:r>
        <w:rPr>
          <w:rStyle w:val="a7"/>
        </w:rPr>
        <w:footnoteRef/>
      </w:r>
      <w:r>
        <w:rPr>
          <w:rtl/>
        </w:rPr>
        <w:t xml:space="preserve"> </w:t>
      </w:r>
      <w:r w:rsidRPr="004206BB">
        <w:rPr>
          <w:rFonts w:cs="Arial"/>
          <w:rtl/>
        </w:rPr>
        <w:t>שלח לו אגרת שלומים ותלה שאלה זו בין השיטים</w:t>
      </w:r>
      <w:r>
        <w:rPr>
          <w:rFonts w:hint="cs"/>
          <w:rtl/>
        </w:rPr>
        <w:t>, רש"י.</w:t>
      </w:r>
    </w:p>
  </w:footnote>
  <w:footnote w:id="3022">
    <w:p w14:paraId="5BCC7B65" w14:textId="77777777" w:rsidR="00DF1FC7" w:rsidRDefault="00DF1FC7" w:rsidP="002E5BAD">
      <w:pPr>
        <w:pStyle w:val="a5"/>
      </w:pPr>
      <w:r>
        <w:rPr>
          <w:rStyle w:val="a7"/>
        </w:rPr>
        <w:footnoteRef/>
      </w:r>
      <w:r>
        <w:rPr>
          <w:rtl/>
        </w:rPr>
        <w:t xml:space="preserve"> </w:t>
      </w:r>
      <w:r w:rsidRPr="004206BB">
        <w:rPr>
          <w:rFonts w:cs="Arial"/>
          <w:rtl/>
        </w:rPr>
        <w:t>דרבי כשבאת שאלה זו לפניו</w:t>
      </w:r>
      <w:r>
        <w:rPr>
          <w:rFonts w:cs="Arial" w:hint="cs"/>
          <w:rtl/>
        </w:rPr>
        <w:t>, רש"י.</w:t>
      </w:r>
    </w:p>
  </w:footnote>
  <w:footnote w:id="3023">
    <w:p w14:paraId="4EA6C707" w14:textId="77777777" w:rsidR="00DF1FC7" w:rsidRDefault="00DF1FC7" w:rsidP="002E5BAD">
      <w:pPr>
        <w:pStyle w:val="a5"/>
        <w:rPr>
          <w:rtl/>
        </w:rPr>
      </w:pPr>
      <w:r>
        <w:rPr>
          <w:rStyle w:val="a7"/>
        </w:rPr>
        <w:footnoteRef/>
      </w:r>
      <w:r>
        <w:rPr>
          <w:rtl/>
        </w:rPr>
        <w:t xml:space="preserve"> </w:t>
      </w:r>
      <w:r w:rsidRPr="00B710BB">
        <w:rPr>
          <w:rFonts w:cs="Arial"/>
          <w:rtl/>
        </w:rPr>
        <w:t>אבל אם מכר האב או השכין</w:t>
      </w:r>
      <w:r>
        <w:rPr>
          <w:rFonts w:cs="Arial" w:hint="cs"/>
          <w:rtl/>
        </w:rPr>
        <w:t xml:space="preserve"> -</w:t>
      </w:r>
      <w:r w:rsidRPr="00B710BB">
        <w:rPr>
          <w:rFonts w:cs="Arial"/>
          <w:rtl/>
        </w:rPr>
        <w:t xml:space="preserve"> אין טורפים</w:t>
      </w:r>
      <w:r>
        <w:rPr>
          <w:rFonts w:cs="Arial" w:hint="cs"/>
          <w:rtl/>
        </w:rPr>
        <w:t>,</w:t>
      </w:r>
      <w:r w:rsidRPr="00B710BB">
        <w:rPr>
          <w:rFonts w:cs="Arial"/>
          <w:rtl/>
        </w:rPr>
        <w:t xml:space="preserve"> דהא רשות בידו לומר שאל תפרנסו אותן כמ"ש בס</w:t>
      </w:r>
      <w:r>
        <w:rPr>
          <w:rFonts w:cs="Arial" w:hint="cs"/>
          <w:rtl/>
        </w:rPr>
        <w:t>וף ה</w:t>
      </w:r>
      <w:r w:rsidRPr="00B710BB">
        <w:rPr>
          <w:rFonts w:cs="Arial"/>
          <w:rtl/>
        </w:rPr>
        <w:t>ס</w:t>
      </w:r>
      <w:r>
        <w:rPr>
          <w:rFonts w:cs="Arial" w:hint="cs"/>
          <w:rtl/>
        </w:rPr>
        <w:t>ימן.</w:t>
      </w:r>
      <w:r w:rsidRPr="00B710BB">
        <w:rPr>
          <w:rFonts w:cs="Arial"/>
          <w:rtl/>
        </w:rPr>
        <w:t xml:space="preserve"> ומטלטלין שמכרו אחיהן </w:t>
      </w:r>
      <w:r>
        <w:rPr>
          <w:rFonts w:cs="Arial" w:hint="cs"/>
          <w:rtl/>
        </w:rPr>
        <w:t xml:space="preserve">- </w:t>
      </w:r>
      <w:r w:rsidRPr="00B710BB">
        <w:rPr>
          <w:rFonts w:cs="Arial"/>
          <w:rtl/>
        </w:rPr>
        <w:t>אין טורפין</w:t>
      </w:r>
      <w:r>
        <w:rPr>
          <w:rFonts w:cs="Arial" w:hint="cs"/>
          <w:rtl/>
        </w:rPr>
        <w:t>,</w:t>
      </w:r>
      <w:r w:rsidRPr="00B710BB">
        <w:rPr>
          <w:rFonts w:cs="Arial"/>
          <w:rtl/>
        </w:rPr>
        <w:t xml:space="preserve"> כ"כ הג"א</w:t>
      </w:r>
      <w:r>
        <w:rPr>
          <w:rFonts w:cs="Arial" w:hint="cs"/>
          <w:rtl/>
        </w:rPr>
        <w:t>,</w:t>
      </w:r>
      <w:r w:rsidRPr="00B710BB">
        <w:rPr>
          <w:rFonts w:cs="Arial"/>
          <w:rtl/>
        </w:rPr>
        <w:t xml:space="preserve"> ודינם במטלטלין כמ"ש בסי' ק' לענין כתובה</w:t>
      </w:r>
      <w:r>
        <w:rPr>
          <w:rFonts w:cs="Arial" w:hint="cs"/>
          <w:rtl/>
        </w:rPr>
        <w:t>.</w:t>
      </w:r>
      <w:r w:rsidRPr="00B710BB">
        <w:rPr>
          <w:rFonts w:cs="Arial"/>
          <w:rtl/>
        </w:rPr>
        <w:t xml:space="preserve"> והג"א שכתב בפשיטו' דאין טורפים מטלטלין י"ל גם שם אין טורפים מטלטלין</w:t>
      </w:r>
      <w:r>
        <w:rPr>
          <w:rFonts w:cs="Arial" w:hint="cs"/>
          <w:rtl/>
        </w:rPr>
        <w:t xml:space="preserve">, </w:t>
      </w:r>
      <w:r w:rsidRPr="00B710BB">
        <w:rPr>
          <w:rFonts w:cs="Arial"/>
          <w:rtl/>
        </w:rPr>
        <w:t>וע"ש וכן לענין מ</w:t>
      </w:r>
      <w:r>
        <w:rPr>
          <w:rFonts w:cs="Arial" w:hint="cs"/>
          <w:rtl/>
        </w:rPr>
        <w:t xml:space="preserve">תנת </w:t>
      </w:r>
      <w:r w:rsidRPr="00B710BB">
        <w:rPr>
          <w:rFonts w:cs="Arial"/>
          <w:rtl/>
        </w:rPr>
        <w:t>שכ"מ</w:t>
      </w:r>
      <w:r>
        <w:rPr>
          <w:rFonts w:hint="cs"/>
          <w:rtl/>
        </w:rPr>
        <w:t>, ב"ש (סקט"ו).</w:t>
      </w:r>
    </w:p>
  </w:footnote>
  <w:footnote w:id="3024">
    <w:p w14:paraId="6F2E429D" w14:textId="77777777" w:rsidR="00DF1FC7" w:rsidRDefault="00DF1FC7" w:rsidP="002E5BAD">
      <w:pPr>
        <w:pStyle w:val="a5"/>
      </w:pPr>
      <w:r>
        <w:rPr>
          <w:rStyle w:val="a7"/>
        </w:rPr>
        <w:footnoteRef/>
      </w:r>
      <w:r>
        <w:rPr>
          <w:rtl/>
        </w:rPr>
        <w:t xml:space="preserve"> </w:t>
      </w:r>
      <w:r w:rsidRPr="00282295">
        <w:rPr>
          <w:rFonts w:cs="Arial"/>
          <w:rtl/>
        </w:rPr>
        <w:t>ועיין בס' בית מאיר שנסתפק בזה</w:t>
      </w:r>
      <w:r>
        <w:rPr>
          <w:rFonts w:cs="Arial" w:hint="cs"/>
          <w:rtl/>
        </w:rPr>
        <w:t>,</w:t>
      </w:r>
      <w:r w:rsidRPr="00282295">
        <w:rPr>
          <w:rFonts w:cs="Arial"/>
          <w:rtl/>
        </w:rPr>
        <w:t xml:space="preserve"> ואח"כ כ' דמסתבר דכאן כ</w:t>
      </w:r>
      <w:r>
        <w:rPr>
          <w:rFonts w:cs="Arial" w:hint="cs"/>
          <w:rtl/>
        </w:rPr>
        <w:t>ו</w:t>
      </w:r>
      <w:r w:rsidRPr="00282295">
        <w:rPr>
          <w:rFonts w:cs="Arial"/>
          <w:rtl/>
        </w:rPr>
        <w:t>"ע מודו דכל זמן שהם יורשי אבוהון בקרקע לדין גמרא</w:t>
      </w:r>
      <w:r>
        <w:rPr>
          <w:rFonts w:cs="Arial" w:hint="cs"/>
          <w:rtl/>
        </w:rPr>
        <w:t>,</w:t>
      </w:r>
      <w:r w:rsidRPr="00282295">
        <w:rPr>
          <w:rFonts w:cs="Arial"/>
          <w:rtl/>
        </w:rPr>
        <w:t xml:space="preserve"> ולדידן ע"פ המנהג אף במטלטלי</w:t>
      </w:r>
      <w:r>
        <w:rPr>
          <w:rFonts w:cs="Arial" w:hint="cs"/>
          <w:rtl/>
        </w:rPr>
        <w:t>,</w:t>
      </w:r>
      <w:r w:rsidRPr="00282295">
        <w:rPr>
          <w:rFonts w:cs="Arial"/>
          <w:rtl/>
        </w:rPr>
        <w:t xml:space="preserve"> ונעשו הב"ח</w:t>
      </w:r>
      <w:r>
        <w:rPr>
          <w:rFonts w:cs="Arial" w:hint="cs"/>
          <w:rtl/>
        </w:rPr>
        <w:t>,</w:t>
      </w:r>
      <w:r w:rsidRPr="00282295">
        <w:rPr>
          <w:rFonts w:cs="Arial"/>
          <w:rtl/>
        </w:rPr>
        <w:t xml:space="preserve"> אף אם מכרו מה שירשו למקום שא"א לטרוף וקבלו הדמים או אפי' נתנו במתנה</w:t>
      </w:r>
      <w:r>
        <w:rPr>
          <w:rFonts w:cs="Arial" w:hint="cs"/>
          <w:rtl/>
        </w:rPr>
        <w:t>,</w:t>
      </w:r>
      <w:r w:rsidRPr="00282295">
        <w:rPr>
          <w:rFonts w:cs="Arial"/>
          <w:rtl/>
        </w:rPr>
        <w:t xml:space="preserve"> מ"מ מאחר שירשו </w:t>
      </w:r>
      <w:r>
        <w:rPr>
          <w:rFonts w:cs="Arial" w:hint="cs"/>
          <w:rtl/>
        </w:rPr>
        <w:t xml:space="preserve">- </w:t>
      </w:r>
      <w:r w:rsidRPr="00282295">
        <w:rPr>
          <w:rFonts w:cs="Arial"/>
          <w:rtl/>
        </w:rPr>
        <w:t>נכסיהם משועבד</w:t>
      </w:r>
      <w:r>
        <w:rPr>
          <w:rFonts w:cs="Arial" w:hint="cs"/>
          <w:rtl/>
        </w:rPr>
        <w:t>ין</w:t>
      </w:r>
      <w:r w:rsidRPr="00282295">
        <w:rPr>
          <w:rFonts w:cs="Arial"/>
          <w:rtl/>
        </w:rPr>
        <w:t xml:space="preserve"> כדין ב"ח עצמו וטורפת משעה זו שמכרו או נתנו אפי' מלקוחות שקנו קרקע דידהו כו' ע"ש. (ע</w:t>
      </w:r>
      <w:r>
        <w:rPr>
          <w:rFonts w:cs="Arial" w:hint="cs"/>
          <w:rtl/>
        </w:rPr>
        <w:t xml:space="preserve">י' </w:t>
      </w:r>
      <w:r w:rsidRPr="00282295">
        <w:rPr>
          <w:rFonts w:cs="Arial"/>
          <w:rtl/>
        </w:rPr>
        <w:t>מ</w:t>
      </w:r>
      <w:r>
        <w:rPr>
          <w:rFonts w:cs="Arial" w:hint="cs"/>
          <w:rtl/>
        </w:rPr>
        <w:t xml:space="preserve">ה </w:t>
      </w:r>
      <w:r w:rsidRPr="00282295">
        <w:rPr>
          <w:rFonts w:cs="Arial"/>
          <w:rtl/>
        </w:rPr>
        <w:t>ש</w:t>
      </w:r>
      <w:r>
        <w:rPr>
          <w:rFonts w:cs="Arial" w:hint="cs"/>
          <w:rtl/>
        </w:rPr>
        <w:t>כתבתי</w:t>
      </w:r>
      <w:r w:rsidRPr="00282295">
        <w:rPr>
          <w:rFonts w:cs="Arial"/>
          <w:rtl/>
        </w:rPr>
        <w:t xml:space="preserve"> לעיל סי' קיב סק"ה בשם תשו' ח</w:t>
      </w:r>
      <w:r>
        <w:rPr>
          <w:rFonts w:cs="Arial" w:hint="cs"/>
          <w:rtl/>
        </w:rPr>
        <w:t>ת</w:t>
      </w:r>
      <w:r w:rsidRPr="00282295">
        <w:rPr>
          <w:rFonts w:cs="Arial"/>
          <w:rtl/>
        </w:rPr>
        <w:t>"ס סי' קכ"ז שלא פסק כן ע"ש.) וכתב עוד דאם נשתדפו נכסים שירשו</w:t>
      </w:r>
      <w:r>
        <w:rPr>
          <w:rFonts w:cs="Arial" w:hint="cs"/>
          <w:rtl/>
        </w:rPr>
        <w:t>,</w:t>
      </w:r>
      <w:r w:rsidRPr="00282295">
        <w:rPr>
          <w:rFonts w:cs="Arial"/>
          <w:rtl/>
        </w:rPr>
        <w:t xml:space="preserve"> פשיטא דפטורים</w:t>
      </w:r>
      <w:r>
        <w:rPr>
          <w:rFonts w:cs="Arial" w:hint="cs"/>
          <w:rtl/>
        </w:rPr>
        <w:t>,</w:t>
      </w:r>
      <w:r w:rsidRPr="00282295">
        <w:rPr>
          <w:rFonts w:cs="Arial"/>
          <w:rtl/>
        </w:rPr>
        <w:t xml:space="preserve"> אף דמסקינן ב"ח דאחי</w:t>
      </w:r>
      <w:r>
        <w:rPr>
          <w:rFonts w:cs="Arial" w:hint="cs"/>
          <w:rtl/>
        </w:rPr>
        <w:t>,</w:t>
      </w:r>
      <w:r w:rsidRPr="00282295">
        <w:rPr>
          <w:rFonts w:cs="Arial"/>
          <w:rtl/>
        </w:rPr>
        <w:t xml:space="preserve"> היינו במה שירשו שמשועבדים הם עצמן או שיתנו דמיהן</w:t>
      </w:r>
      <w:r>
        <w:rPr>
          <w:rFonts w:cs="Arial" w:hint="cs"/>
          <w:rtl/>
        </w:rPr>
        <w:t>,</w:t>
      </w:r>
      <w:r w:rsidRPr="00282295">
        <w:rPr>
          <w:rFonts w:cs="Arial"/>
          <w:rtl/>
        </w:rPr>
        <w:t xml:space="preserve"> אבל נשתדפו הוי כמו שלא ירשו ולהכי דייק בסעיף ג' הבת בעישור זה כב"ח</w:t>
      </w:r>
      <w:r>
        <w:rPr>
          <w:rFonts w:cs="Arial" w:hint="cs"/>
          <w:rtl/>
        </w:rPr>
        <w:t>,</w:t>
      </w:r>
      <w:r w:rsidRPr="00282295">
        <w:rPr>
          <w:rFonts w:cs="Arial"/>
          <w:rtl/>
        </w:rPr>
        <w:t xml:space="preserve"> בכף הדמיון ולא ב"ח ממש ע"ש</w:t>
      </w:r>
      <w:r>
        <w:rPr>
          <w:rFonts w:cs="Arial" w:hint="cs"/>
          <w:rtl/>
        </w:rPr>
        <w:t>, פת"ש (סקי"א).</w:t>
      </w:r>
    </w:p>
  </w:footnote>
  <w:footnote w:id="3025">
    <w:p w14:paraId="5CBE7087" w14:textId="77777777" w:rsidR="00DF1FC7" w:rsidRDefault="00DF1FC7" w:rsidP="002E5BAD">
      <w:pPr>
        <w:pStyle w:val="a5"/>
      </w:pPr>
      <w:r>
        <w:rPr>
          <w:rStyle w:val="a7"/>
        </w:rPr>
        <w:footnoteRef/>
      </w:r>
      <w:r>
        <w:rPr>
          <w:rtl/>
        </w:rPr>
        <w:t xml:space="preserve"> </w:t>
      </w:r>
      <w:r w:rsidRPr="00BC0CB7">
        <w:rPr>
          <w:rFonts w:cs="Arial"/>
          <w:rtl/>
        </w:rPr>
        <w:t xml:space="preserve">רבי יצחק ב"ר אברהם מנרבונה שבפרובנס </w:t>
      </w:r>
      <w:r w:rsidRPr="00BC0CB7">
        <w:rPr>
          <w:rFonts w:cs="Arial"/>
          <w:sz w:val="16"/>
          <w:szCs w:val="16"/>
          <w:rtl/>
        </w:rPr>
        <w:t xml:space="preserve">(לעיתים נקרא ר"י קרקושא או קרקשונא, ע"ש העיר קרקסון שבפרובנס) </w:t>
      </w:r>
      <w:r w:rsidRPr="00BC0CB7">
        <w:rPr>
          <w:rFonts w:cs="Arial"/>
          <w:rtl/>
        </w:rPr>
        <w:t>עבר בשלב מסויים לברצלונה שבספרד, ושם היה לתלמיד חבר של הרמב"ן, ומרבותיו של הרשב"א. חיבר פירושים על הרי"ף</w:t>
      </w:r>
      <w:r>
        <w:rPr>
          <w:rFonts w:cs="Arial" w:hint="cs"/>
          <w:sz w:val="16"/>
          <w:szCs w:val="16"/>
          <w:rtl/>
        </w:rPr>
        <w:t xml:space="preserve"> (ביוגרפיה פרוה"ש)</w:t>
      </w:r>
      <w:r w:rsidRPr="00BC0CB7">
        <w:rPr>
          <w:rFonts w:cs="Arial"/>
          <w:rtl/>
        </w:rPr>
        <w:t>.</w:t>
      </w:r>
    </w:p>
  </w:footnote>
  <w:footnote w:id="3026">
    <w:p w14:paraId="10EFCFAD" w14:textId="77777777" w:rsidR="00DF1FC7" w:rsidRDefault="00DF1FC7" w:rsidP="002E5BAD">
      <w:pPr>
        <w:pStyle w:val="a5"/>
        <w:rPr>
          <w:rtl/>
        </w:rPr>
      </w:pPr>
      <w:r>
        <w:rPr>
          <w:rStyle w:val="a7"/>
        </w:rPr>
        <w:footnoteRef/>
      </w:r>
      <w:r>
        <w:rPr>
          <w:rtl/>
        </w:rPr>
        <w:t xml:space="preserve"> </w:t>
      </w:r>
      <w:r w:rsidRPr="00863D97">
        <w:rPr>
          <w:rFonts w:cs="Arial"/>
          <w:rtl/>
        </w:rPr>
        <w:t>והא דגרסינן בירושלמי פרק מי שהיה נשוי (ה"א) פרנסה וכתובה פרנסה קודמת ההיא בכתובת בנין דכרין מיירי משום דשויוה רבנן כירושה וכשם שנוטלת במקום בנים כך נוטלת במקום כתובת בנין דכרין</w:t>
      </w:r>
      <w:r>
        <w:rPr>
          <w:rFonts w:cs="Arial" w:hint="cs"/>
          <w:rtl/>
        </w:rPr>
        <w:t>,</w:t>
      </w:r>
      <w:r w:rsidRPr="00FF41BE">
        <w:rPr>
          <w:rFonts w:cs="Arial"/>
          <w:rtl/>
        </w:rPr>
        <w:t xml:space="preserve"> </w:t>
      </w:r>
      <w:r w:rsidRPr="00863D97">
        <w:rPr>
          <w:rFonts w:cs="Arial"/>
          <w:rtl/>
        </w:rPr>
        <w:t>ר"ן</w:t>
      </w:r>
      <w:r>
        <w:rPr>
          <w:rFonts w:cs="Arial" w:hint="cs"/>
          <w:rtl/>
        </w:rPr>
        <w:t xml:space="preserve"> </w:t>
      </w:r>
      <w:r w:rsidRPr="00FF41BE">
        <w:rPr>
          <w:rFonts w:cs="Arial"/>
          <w:sz w:val="16"/>
          <w:szCs w:val="16"/>
          <w:rtl/>
        </w:rPr>
        <w:t>(לא. דיבור ראשון)</w:t>
      </w:r>
      <w:r w:rsidRPr="00863D97">
        <w:rPr>
          <w:rFonts w:cs="Arial"/>
          <w:rtl/>
        </w:rPr>
        <w:t>.</w:t>
      </w:r>
      <w:r w:rsidRPr="005B7A50">
        <w:rPr>
          <w:rFonts w:hint="cs"/>
          <w:color w:val="00B0F0"/>
          <w:rtl/>
        </w:rPr>
        <w:t xml:space="preserve"> </w:t>
      </w:r>
      <w:r w:rsidRPr="00AF6AA8">
        <w:rPr>
          <w:rFonts w:hint="cs"/>
          <w:color w:val="00B0F0"/>
          <w:rtl/>
        </w:rPr>
        <w:t>(וכ"פ הרמ"א)</w:t>
      </w:r>
    </w:p>
  </w:footnote>
  <w:footnote w:id="3027">
    <w:p w14:paraId="5AFED126" w14:textId="77777777" w:rsidR="00DF1FC7" w:rsidRDefault="00DF1FC7" w:rsidP="002E5BAD">
      <w:pPr>
        <w:pStyle w:val="a5"/>
      </w:pPr>
      <w:r>
        <w:rPr>
          <w:rStyle w:val="a7"/>
        </w:rPr>
        <w:footnoteRef/>
      </w:r>
      <w:r>
        <w:rPr>
          <w:rtl/>
        </w:rPr>
        <w:t xml:space="preserve"> </w:t>
      </w:r>
      <w:r w:rsidRPr="00863D97">
        <w:rPr>
          <w:rFonts w:cs="Arial"/>
          <w:rtl/>
        </w:rPr>
        <w:t>וכתב הרב המגיד מי שמת והניח וכו' פרק יש נוחלין (ב"ב קלט.) מי שמת והניח אלמנה ובת וכו' ואמרו שם (ע"ב) דשויוה רבנן כאן לבעל בנכסי אשתו כיורש ולא כלוקח</w:t>
      </w:r>
      <w:r>
        <w:rPr>
          <w:rFonts w:cs="Arial" w:hint="cs"/>
          <w:rtl/>
        </w:rPr>
        <w:t>,</w:t>
      </w:r>
      <w:r w:rsidRPr="00863D97">
        <w:rPr>
          <w:rFonts w:cs="Arial"/>
          <w:rtl/>
        </w:rPr>
        <w:t xml:space="preserve"> מפני שלא תפסיד האלמנה</w:t>
      </w:r>
      <w:r>
        <w:rPr>
          <w:rFonts w:cs="Arial" w:hint="cs"/>
          <w:rtl/>
        </w:rPr>
        <w:t>.</w:t>
      </w:r>
      <w:r w:rsidRPr="00863D97">
        <w:rPr>
          <w:rFonts w:cs="Arial"/>
          <w:rtl/>
        </w:rPr>
        <w:t xml:space="preserve"> שאם היה כלוקח</w:t>
      </w:r>
      <w:r>
        <w:rPr>
          <w:rFonts w:cs="Arial" w:hint="cs"/>
          <w:rtl/>
        </w:rPr>
        <w:t>,</w:t>
      </w:r>
      <w:r w:rsidRPr="00863D97">
        <w:rPr>
          <w:rFonts w:cs="Arial"/>
          <w:rtl/>
        </w:rPr>
        <w:t xml:space="preserve"> הא קיימא לן (גיטין מח:) אין מוציאין למזון האשה מנכסים משועבדים</w:t>
      </w:r>
      <w:r>
        <w:rPr>
          <w:rFonts w:cs="Arial" w:hint="cs"/>
          <w:rtl/>
        </w:rPr>
        <w:t>.</w:t>
      </w:r>
      <w:r w:rsidRPr="00863D97">
        <w:rPr>
          <w:rFonts w:cs="Arial"/>
          <w:rtl/>
        </w:rPr>
        <w:t xml:space="preserve"> ודע שכל שכן אם האלמנה תובעת כתובתה שהיא דוחה מזון הבת ופרנסתה</w:t>
      </w:r>
      <w:r>
        <w:rPr>
          <w:rFonts w:cs="Arial" w:hint="cs"/>
          <w:rtl/>
        </w:rPr>
        <w:t>,</w:t>
      </w:r>
      <w:r w:rsidRPr="00863D97">
        <w:rPr>
          <w:rFonts w:cs="Arial"/>
          <w:rtl/>
        </w:rPr>
        <w:t xml:space="preserve"> בין מקרקע כדין התלמוד</w:t>
      </w:r>
      <w:r>
        <w:rPr>
          <w:rFonts w:cs="Arial" w:hint="cs"/>
          <w:rtl/>
        </w:rPr>
        <w:t>,</w:t>
      </w:r>
      <w:r w:rsidRPr="00863D97">
        <w:rPr>
          <w:rFonts w:cs="Arial"/>
          <w:rtl/>
        </w:rPr>
        <w:t xml:space="preserve"> בין ממטלטלין מתקנת הגאונים ז"ל</w:t>
      </w:r>
      <w:r>
        <w:rPr>
          <w:rFonts w:cs="Arial" w:hint="cs"/>
          <w:rtl/>
        </w:rPr>
        <w:t>,</w:t>
      </w:r>
      <w:r w:rsidRPr="00863D97">
        <w:rPr>
          <w:rFonts w:cs="Arial"/>
          <w:rtl/>
        </w:rPr>
        <w:t xml:space="preserve"> שהרי כתובה טורפת מן המשועבדים ואפילו שעבדם האב</w:t>
      </w:r>
      <w:r>
        <w:rPr>
          <w:rFonts w:cs="Arial" w:hint="cs"/>
          <w:rtl/>
        </w:rPr>
        <w:t>,</w:t>
      </w:r>
      <w:r w:rsidRPr="00863D97">
        <w:rPr>
          <w:rFonts w:cs="Arial"/>
          <w:rtl/>
        </w:rPr>
        <w:t xml:space="preserve"> וכן כתב ז"ל ופשוט הוא עכ"ל</w:t>
      </w:r>
      <w:r>
        <w:rPr>
          <w:rFonts w:cs="Arial" w:hint="cs"/>
          <w:rtl/>
        </w:rPr>
        <w:t>, ב"י.</w:t>
      </w:r>
    </w:p>
  </w:footnote>
  <w:footnote w:id="3028">
    <w:p w14:paraId="7CAA8C92" w14:textId="77777777" w:rsidR="00DF1FC7" w:rsidRDefault="00DF1FC7" w:rsidP="002E5BAD">
      <w:pPr>
        <w:pStyle w:val="a5"/>
      </w:pPr>
      <w:r>
        <w:rPr>
          <w:rStyle w:val="a7"/>
        </w:rPr>
        <w:footnoteRef/>
      </w:r>
      <w:r>
        <w:rPr>
          <w:rtl/>
        </w:rPr>
        <w:t xml:space="preserve"> </w:t>
      </w:r>
      <w:r w:rsidRPr="005B7A50">
        <w:rPr>
          <w:rFonts w:cs="Arial"/>
          <w:rtl/>
        </w:rPr>
        <w:t>כלומר אין נוטל</w:t>
      </w:r>
      <w:r>
        <w:rPr>
          <w:rFonts w:cs="Arial" w:hint="cs"/>
          <w:rtl/>
        </w:rPr>
        <w:t>ת</w:t>
      </w:r>
      <w:r w:rsidRPr="005B7A50">
        <w:rPr>
          <w:rFonts w:cs="Arial"/>
          <w:rtl/>
        </w:rPr>
        <w:t xml:space="preserve"> לעצמה שלא תזון האלמנה מאותן נכסים</w:t>
      </w:r>
      <w:r>
        <w:rPr>
          <w:rFonts w:cs="Arial" w:hint="cs"/>
          <w:rtl/>
        </w:rPr>
        <w:t>,</w:t>
      </w:r>
      <w:r w:rsidRPr="005B7A50">
        <w:rPr>
          <w:rFonts w:cs="Arial"/>
          <w:rtl/>
        </w:rPr>
        <w:t xml:space="preserve"> אלא אפילו הכניסה הרבה נכסים לבעלה</w:t>
      </w:r>
      <w:r>
        <w:rPr>
          <w:rFonts w:cs="Arial" w:hint="cs"/>
          <w:rtl/>
        </w:rPr>
        <w:t>,</w:t>
      </w:r>
      <w:r w:rsidRPr="005B7A50">
        <w:rPr>
          <w:rFonts w:cs="Arial"/>
          <w:rtl/>
        </w:rPr>
        <w:t xml:space="preserve"> אין הבעל כלוקח שנאמר אין מוציאין למזון האשה מנכסים משועבדים</w:t>
      </w:r>
      <w:r>
        <w:rPr>
          <w:rFonts w:cs="Arial" w:hint="cs"/>
          <w:rtl/>
        </w:rPr>
        <w:t>,</w:t>
      </w:r>
      <w:r w:rsidRPr="005B7A50">
        <w:rPr>
          <w:rFonts w:cs="Arial"/>
          <w:rtl/>
        </w:rPr>
        <w:t xml:space="preserve"> אלא כיורש שוויהו משום פסידא דאלמנה</w:t>
      </w:r>
      <w:r>
        <w:rPr>
          <w:rFonts w:cs="Arial" w:hint="cs"/>
          <w:rtl/>
        </w:rPr>
        <w:t>.</w:t>
      </w:r>
      <w:r w:rsidRPr="005B7A50">
        <w:rPr>
          <w:rFonts w:cs="Arial"/>
          <w:rtl/>
        </w:rPr>
        <w:t xml:space="preserve"> אבל לאחר שסילקו האלמנה ואין לה עוד מזונות</w:t>
      </w:r>
      <w:r>
        <w:rPr>
          <w:rFonts w:cs="Arial" w:hint="cs"/>
          <w:rtl/>
        </w:rPr>
        <w:t>,</w:t>
      </w:r>
      <w:r w:rsidRPr="005B7A50">
        <w:rPr>
          <w:rFonts w:cs="Arial"/>
          <w:rtl/>
        </w:rPr>
        <w:t xml:space="preserve"> אזי יורש הבעל את אשתו כל הנכסים שהכניס</w:t>
      </w:r>
      <w:r>
        <w:rPr>
          <w:rFonts w:cs="Arial" w:hint="cs"/>
          <w:rtl/>
        </w:rPr>
        <w:t>ה</w:t>
      </w:r>
      <w:r w:rsidRPr="005B7A50">
        <w:rPr>
          <w:rFonts w:cs="Arial"/>
          <w:rtl/>
        </w:rPr>
        <w:t xml:space="preserve"> לו</w:t>
      </w:r>
      <w:r>
        <w:rPr>
          <w:rFonts w:cs="Arial" w:hint="cs"/>
          <w:rtl/>
        </w:rPr>
        <w:t>.</w:t>
      </w:r>
      <w:r w:rsidRPr="005B7A50">
        <w:rPr>
          <w:rFonts w:cs="Arial"/>
          <w:rtl/>
        </w:rPr>
        <w:t xml:space="preserve"> ולאו דוקא שאין הבת נוטלת עישור נכסים והיינו במקום שיש בן</w:t>
      </w:r>
      <w:r>
        <w:rPr>
          <w:rFonts w:cs="Arial" w:hint="cs"/>
          <w:rtl/>
        </w:rPr>
        <w:t>,</w:t>
      </w:r>
      <w:r w:rsidRPr="005B7A50">
        <w:rPr>
          <w:rFonts w:cs="Arial"/>
          <w:rtl/>
        </w:rPr>
        <w:t xml:space="preserve"> אלא אפילו לא הניח בן שהבת יורש</w:t>
      </w:r>
      <w:r>
        <w:rPr>
          <w:rFonts w:cs="Arial" w:hint="cs"/>
          <w:rtl/>
        </w:rPr>
        <w:t>ת</w:t>
      </w:r>
      <w:r w:rsidRPr="005B7A50">
        <w:rPr>
          <w:rFonts w:cs="Arial"/>
          <w:rtl/>
        </w:rPr>
        <w:t xml:space="preserve"> הכל</w:t>
      </w:r>
      <w:r>
        <w:rPr>
          <w:rFonts w:cs="Arial" w:hint="cs"/>
          <w:rtl/>
        </w:rPr>
        <w:t>,</w:t>
      </w:r>
      <w:r w:rsidRPr="005B7A50">
        <w:rPr>
          <w:rFonts w:cs="Arial"/>
          <w:rtl/>
        </w:rPr>
        <w:t xml:space="preserve"> אפ"ה האלמנה קודמ</w:t>
      </w:r>
      <w:r>
        <w:rPr>
          <w:rFonts w:cs="Arial" w:hint="cs"/>
          <w:rtl/>
        </w:rPr>
        <w:t>ת</w:t>
      </w:r>
      <w:r w:rsidRPr="005B7A50">
        <w:rPr>
          <w:rFonts w:cs="Arial"/>
          <w:rtl/>
        </w:rPr>
        <w:t xml:space="preserve"> במזונותיה</w:t>
      </w:r>
      <w:r>
        <w:rPr>
          <w:rFonts w:cs="Arial" w:hint="cs"/>
          <w:rtl/>
        </w:rPr>
        <w:t>.</w:t>
      </w:r>
      <w:r w:rsidRPr="005B7A50">
        <w:rPr>
          <w:rFonts w:cs="Arial"/>
          <w:rtl/>
        </w:rPr>
        <w:t xml:space="preserve"> ואפילו לדעת הרא"ש שנתבאר סימן צ"ג סעיף ד' שכל שלא הניח בן אזי האלמנ' ובת שוים למזונו</w:t>
      </w:r>
      <w:r>
        <w:rPr>
          <w:rFonts w:cs="Arial" w:hint="cs"/>
          <w:rtl/>
        </w:rPr>
        <w:t>ת,</w:t>
      </w:r>
      <w:r w:rsidRPr="005B7A50">
        <w:rPr>
          <w:rFonts w:cs="Arial"/>
          <w:rtl/>
        </w:rPr>
        <w:t xml:space="preserve"> אבל מ"מ משנשאה הבת</w:t>
      </w:r>
      <w:r>
        <w:rPr>
          <w:rFonts w:cs="Arial" w:hint="cs"/>
          <w:rtl/>
        </w:rPr>
        <w:t>,</w:t>
      </w:r>
      <w:r w:rsidRPr="005B7A50">
        <w:rPr>
          <w:rFonts w:cs="Arial"/>
          <w:rtl/>
        </w:rPr>
        <w:t xml:space="preserve"> שאבדה מזונותיה</w:t>
      </w:r>
      <w:r>
        <w:rPr>
          <w:rFonts w:cs="Arial" w:hint="cs"/>
          <w:rtl/>
        </w:rPr>
        <w:t>,</w:t>
      </w:r>
      <w:r w:rsidRPr="005B7A50">
        <w:rPr>
          <w:rFonts w:cs="Arial"/>
          <w:rtl/>
        </w:rPr>
        <w:t xml:space="preserve"> האלמנה מתפרנסת מן הנדן שהכניסה לבעלה</w:t>
      </w:r>
      <w:r>
        <w:rPr>
          <w:rFonts w:cs="Arial" w:hint="cs"/>
          <w:rtl/>
        </w:rPr>
        <w:t>,</w:t>
      </w:r>
      <w:r w:rsidRPr="005B7A50">
        <w:rPr>
          <w:rFonts w:cs="Arial"/>
          <w:rtl/>
        </w:rPr>
        <w:t xml:space="preserve"> שאע"פ שהיא כב"ח אפ"ה מזונו</w:t>
      </w:r>
      <w:r>
        <w:rPr>
          <w:rFonts w:cs="Arial" w:hint="cs"/>
          <w:rtl/>
        </w:rPr>
        <w:t>ת</w:t>
      </w:r>
      <w:r w:rsidRPr="005B7A50">
        <w:rPr>
          <w:rFonts w:cs="Arial"/>
          <w:rtl/>
        </w:rPr>
        <w:t xml:space="preserve"> האלמנה שהיא תנאי כתובה ומוטל תנאי זה על האב ואין בידו לבטלו היא עדיף מפרנס</w:t>
      </w:r>
      <w:r>
        <w:rPr>
          <w:rFonts w:cs="Arial" w:hint="cs"/>
          <w:rtl/>
        </w:rPr>
        <w:t>ת</w:t>
      </w:r>
      <w:r w:rsidRPr="005B7A50">
        <w:rPr>
          <w:rFonts w:cs="Arial"/>
          <w:rtl/>
        </w:rPr>
        <w:t xml:space="preserve"> הבנו</w:t>
      </w:r>
      <w:r>
        <w:rPr>
          <w:rFonts w:cs="Arial" w:hint="cs"/>
          <w:rtl/>
        </w:rPr>
        <w:t>ת</w:t>
      </w:r>
      <w:r w:rsidRPr="005B7A50">
        <w:rPr>
          <w:rFonts w:cs="Arial"/>
          <w:rtl/>
        </w:rPr>
        <w:t xml:space="preserve"> שהוא רק חוב על האחים</w:t>
      </w:r>
      <w:r>
        <w:rPr>
          <w:rFonts w:cs="Arial" w:hint="cs"/>
          <w:rtl/>
        </w:rPr>
        <w:t>.</w:t>
      </w:r>
      <w:r w:rsidRPr="005B7A50">
        <w:rPr>
          <w:rFonts w:cs="Arial"/>
          <w:rtl/>
        </w:rPr>
        <w:t xml:space="preserve"> ומטעם זה נראה שאם הניח בן ובנות</w:t>
      </w:r>
      <w:r>
        <w:rPr>
          <w:rFonts w:cs="Arial" w:hint="cs"/>
          <w:rtl/>
        </w:rPr>
        <w:t>,</w:t>
      </w:r>
      <w:r w:rsidRPr="005B7A50">
        <w:rPr>
          <w:rFonts w:cs="Arial"/>
          <w:rtl/>
        </w:rPr>
        <w:t xml:space="preserve"> והגדול</w:t>
      </w:r>
      <w:r>
        <w:rPr>
          <w:rFonts w:cs="Arial" w:hint="cs"/>
          <w:rtl/>
        </w:rPr>
        <w:t>ה</w:t>
      </w:r>
      <w:r w:rsidRPr="005B7A50">
        <w:rPr>
          <w:rFonts w:cs="Arial"/>
          <w:rtl/>
        </w:rPr>
        <w:t xml:space="preserve"> רוצה להנשא וליקח עישור</w:t>
      </w:r>
      <w:r>
        <w:rPr>
          <w:rFonts w:cs="Arial" w:hint="cs"/>
          <w:rtl/>
        </w:rPr>
        <w:t>,</w:t>
      </w:r>
      <w:r w:rsidRPr="005B7A50">
        <w:rPr>
          <w:rFonts w:cs="Arial"/>
          <w:rtl/>
        </w:rPr>
        <w:t xml:space="preserve"> הקטנ</w:t>
      </w:r>
      <w:r>
        <w:rPr>
          <w:rFonts w:cs="Arial" w:hint="cs"/>
          <w:rtl/>
        </w:rPr>
        <w:t>ה</w:t>
      </w:r>
      <w:r w:rsidRPr="005B7A50">
        <w:rPr>
          <w:rFonts w:cs="Arial"/>
          <w:rtl/>
        </w:rPr>
        <w:t xml:space="preserve"> מעכבת שלא תקח פרנסה עד שיהיה לה מזונו</w:t>
      </w:r>
      <w:r>
        <w:rPr>
          <w:rFonts w:cs="Arial" w:hint="cs"/>
          <w:rtl/>
        </w:rPr>
        <w:t>ת</w:t>
      </w:r>
      <w:r w:rsidRPr="005B7A50">
        <w:rPr>
          <w:rFonts w:cs="Arial"/>
          <w:rtl/>
        </w:rPr>
        <w:t xml:space="preserve"> עד שתבגר או עד שתתאר</w:t>
      </w:r>
      <w:r>
        <w:rPr>
          <w:rFonts w:cs="Arial" w:hint="cs"/>
          <w:rtl/>
        </w:rPr>
        <w:t>ס.</w:t>
      </w:r>
      <w:r w:rsidRPr="005B7A50">
        <w:rPr>
          <w:rFonts w:cs="Arial"/>
          <w:rtl/>
        </w:rPr>
        <w:t xml:space="preserve"> כי מזונו</w:t>
      </w:r>
      <w:r>
        <w:rPr>
          <w:rFonts w:cs="Arial" w:hint="cs"/>
          <w:rtl/>
        </w:rPr>
        <w:t>ת</w:t>
      </w:r>
      <w:r w:rsidRPr="005B7A50">
        <w:rPr>
          <w:rFonts w:cs="Arial"/>
          <w:rtl/>
        </w:rPr>
        <w:t xml:space="preserve"> הבת קודם לפרנס</w:t>
      </w:r>
      <w:r>
        <w:rPr>
          <w:rFonts w:cs="Arial" w:hint="cs"/>
          <w:rtl/>
        </w:rPr>
        <w:t>ת</w:t>
      </w:r>
      <w:r w:rsidRPr="005B7A50">
        <w:rPr>
          <w:rFonts w:cs="Arial"/>
          <w:rtl/>
        </w:rPr>
        <w:t xml:space="preserve"> הבת מטעם שכתבתי</w:t>
      </w:r>
      <w:r>
        <w:rPr>
          <w:rFonts w:cs="Arial" w:hint="cs"/>
          <w:rtl/>
        </w:rPr>
        <w:t xml:space="preserve">. </w:t>
      </w:r>
      <w:r w:rsidRPr="005B7A50">
        <w:rPr>
          <w:rFonts w:cs="Arial"/>
          <w:rtl/>
        </w:rPr>
        <w:t>ויש להסתפק אם מכר הבן הנכסים</w:t>
      </w:r>
      <w:r>
        <w:rPr>
          <w:rFonts w:cs="Arial" w:hint="cs"/>
          <w:rtl/>
        </w:rPr>
        <w:t>,</w:t>
      </w:r>
      <w:r w:rsidRPr="005B7A50">
        <w:rPr>
          <w:rFonts w:cs="Arial"/>
          <w:rtl/>
        </w:rPr>
        <w:t xml:space="preserve"> שאז האלמנה אינה מוציאה למזון שלה מן המשועבדים</w:t>
      </w:r>
      <w:r>
        <w:rPr>
          <w:rFonts w:cs="Arial" w:hint="cs"/>
          <w:rtl/>
        </w:rPr>
        <w:t>,</w:t>
      </w:r>
      <w:r w:rsidRPr="005B7A50">
        <w:rPr>
          <w:rFonts w:cs="Arial"/>
          <w:rtl/>
        </w:rPr>
        <w:t xml:space="preserve"> אם נאמר שהבת מוציאה לפרנסה מן הלוקח והאלמנה מן הבת והלוקח מן האלמנה וחוזרים חלילה</w:t>
      </w:r>
      <w:r>
        <w:rPr>
          <w:rFonts w:cs="Arial" w:hint="cs"/>
          <w:rtl/>
        </w:rPr>
        <w:t>, ח"מ (סקי"ז).</w:t>
      </w:r>
      <w:r>
        <w:rPr>
          <w:rFonts w:hint="cs"/>
          <w:rtl/>
        </w:rPr>
        <w:t xml:space="preserve"> </w:t>
      </w:r>
      <w:r w:rsidRPr="00CC3CA9">
        <w:rPr>
          <w:rFonts w:hint="cs"/>
          <w:color w:val="FF0000"/>
          <w:sz w:val="16"/>
          <w:szCs w:val="16"/>
          <w:rtl/>
        </w:rPr>
        <w:t>צל"ע שוב בב"ש (סקט"ז) ובפת"ש (סקי"ב).</w:t>
      </w:r>
    </w:p>
  </w:footnote>
  <w:footnote w:id="3029">
    <w:p w14:paraId="35DFC137" w14:textId="77777777" w:rsidR="00DF1FC7" w:rsidRDefault="00DF1FC7" w:rsidP="002E5BAD">
      <w:pPr>
        <w:pStyle w:val="a5"/>
      </w:pPr>
      <w:r>
        <w:rPr>
          <w:rStyle w:val="a7"/>
        </w:rPr>
        <w:footnoteRef/>
      </w:r>
      <w:r>
        <w:rPr>
          <w:rtl/>
        </w:rPr>
        <w:t xml:space="preserve"> </w:t>
      </w:r>
      <w:r w:rsidRPr="005B7A50">
        <w:rPr>
          <w:rFonts w:cs="Arial"/>
          <w:rtl/>
        </w:rPr>
        <w:t>אע</w:t>
      </w:r>
      <w:r>
        <w:rPr>
          <w:rFonts w:cs="Arial" w:hint="cs"/>
          <w:rtl/>
        </w:rPr>
        <w:t>"</w:t>
      </w:r>
      <w:r w:rsidRPr="005B7A50">
        <w:rPr>
          <w:rFonts w:cs="Arial"/>
          <w:rtl/>
        </w:rPr>
        <w:t>ג דכב"ד הוא תנאי כתובה וחוב על האב אפ"ה פרנסת בנות קודמת שאם הבנים מחוייבים ליתן פרנסה מירושה דאוריית' שלהן מכ"ש מכב"ד שהוא מדרבנן</w:t>
      </w:r>
      <w:r>
        <w:rPr>
          <w:rFonts w:cs="Arial" w:hint="cs"/>
          <w:rtl/>
        </w:rPr>
        <w:t>, ח"מ (סקי"ח).</w:t>
      </w:r>
    </w:p>
  </w:footnote>
  <w:footnote w:id="3030">
    <w:p w14:paraId="64041E57" w14:textId="77777777" w:rsidR="00DF1FC7" w:rsidRDefault="00DF1FC7" w:rsidP="002E5BAD">
      <w:pPr>
        <w:pStyle w:val="a5"/>
      </w:pPr>
      <w:r>
        <w:rPr>
          <w:rStyle w:val="a7"/>
        </w:rPr>
        <w:footnoteRef/>
      </w:r>
      <w:r>
        <w:rPr>
          <w:rtl/>
        </w:rPr>
        <w:t xml:space="preserve"> </w:t>
      </w:r>
      <w:r w:rsidRPr="00AB7135">
        <w:rPr>
          <w:rFonts w:cs="Arial"/>
          <w:rtl/>
        </w:rPr>
        <w:t>רבותא קמ"ל דאע"פ שנתרצית אין מחילתה מחילה</w:t>
      </w:r>
      <w:r>
        <w:rPr>
          <w:rFonts w:cs="Arial" w:hint="cs"/>
          <w:rtl/>
        </w:rPr>
        <w:t>, רש"י.</w:t>
      </w:r>
    </w:p>
  </w:footnote>
  <w:footnote w:id="3031">
    <w:p w14:paraId="0D0CD4C3" w14:textId="77777777" w:rsidR="00DF1FC7" w:rsidRDefault="00DF1FC7" w:rsidP="002E5BAD">
      <w:pPr>
        <w:pStyle w:val="a5"/>
      </w:pPr>
      <w:r>
        <w:rPr>
          <w:rStyle w:val="a7"/>
        </w:rPr>
        <w:footnoteRef/>
      </w:r>
      <w:r>
        <w:rPr>
          <w:rtl/>
        </w:rPr>
        <w:t xml:space="preserve"> </w:t>
      </w:r>
      <w:r w:rsidRPr="00AB7135">
        <w:rPr>
          <w:rFonts w:cs="Arial"/>
          <w:rtl/>
        </w:rPr>
        <w:t>עישור נכסים</w:t>
      </w:r>
      <w:r>
        <w:rPr>
          <w:rFonts w:cs="Arial" w:hint="cs"/>
          <w:rtl/>
        </w:rPr>
        <w:t>, רש"י.</w:t>
      </w:r>
      <w:r w:rsidRPr="00B5245E">
        <w:rPr>
          <w:rFonts w:cs="Arial"/>
          <w:rtl/>
        </w:rPr>
        <w:t xml:space="preserve"> </w:t>
      </w:r>
      <w:r>
        <w:rPr>
          <w:rFonts w:cs="Arial" w:hint="cs"/>
          <w:rtl/>
        </w:rPr>
        <w:t>ו</w:t>
      </w:r>
      <w:r>
        <w:rPr>
          <w:rFonts w:cs="Arial"/>
          <w:rtl/>
        </w:rPr>
        <w:t>בכל גוונא היא</w:t>
      </w:r>
      <w:r>
        <w:rPr>
          <w:rFonts w:cs="Arial" w:hint="cs"/>
          <w:sz w:val="16"/>
          <w:szCs w:val="16"/>
          <w:rtl/>
        </w:rPr>
        <w:t xml:space="preserve"> {יכולה להוציא}</w:t>
      </w:r>
      <w:r>
        <w:rPr>
          <w:rFonts w:cs="Arial" w:hint="cs"/>
          <w:rtl/>
        </w:rPr>
        <w:t>,</w:t>
      </w:r>
      <w:r>
        <w:rPr>
          <w:rFonts w:cs="Arial"/>
          <w:rtl/>
        </w:rPr>
        <w:t xml:space="preserve"> ואפילו לא מחאי</w:t>
      </w:r>
      <w:r>
        <w:rPr>
          <w:rFonts w:cs="Arial" w:hint="cs"/>
          <w:rtl/>
        </w:rPr>
        <w:t>,</w:t>
      </w:r>
      <w:r>
        <w:rPr>
          <w:rFonts w:cs="Arial"/>
          <w:rtl/>
        </w:rPr>
        <w:t xml:space="preserve"> משום דקטנה לאו בת מחאה היא</w:t>
      </w:r>
      <w:r>
        <w:rPr>
          <w:rFonts w:cs="Arial" w:hint="cs"/>
          <w:rtl/>
        </w:rPr>
        <w:t>,</w:t>
      </w:r>
      <w:r w:rsidRPr="00B5245E">
        <w:rPr>
          <w:rFonts w:cs="Arial"/>
          <w:rtl/>
        </w:rPr>
        <w:t xml:space="preserve"> </w:t>
      </w:r>
      <w:r>
        <w:rPr>
          <w:rFonts w:cs="Arial"/>
          <w:rtl/>
        </w:rPr>
        <w:t>וכמ"ש הרמב"ם בפ"</w:t>
      </w:r>
      <w:r>
        <w:rPr>
          <w:rFonts w:cs="Arial" w:hint="cs"/>
          <w:rtl/>
        </w:rPr>
        <w:t>כ, ב"י.</w:t>
      </w:r>
    </w:p>
  </w:footnote>
  <w:footnote w:id="3032">
    <w:p w14:paraId="404AF88F" w14:textId="77777777" w:rsidR="00DF1FC7" w:rsidRDefault="00DF1FC7" w:rsidP="002E5BAD">
      <w:pPr>
        <w:pStyle w:val="a5"/>
      </w:pPr>
      <w:r>
        <w:rPr>
          <w:rStyle w:val="a7"/>
        </w:rPr>
        <w:footnoteRef/>
      </w:r>
      <w:r>
        <w:rPr>
          <w:rtl/>
        </w:rPr>
        <w:t xml:space="preserve"> </w:t>
      </w:r>
      <w:r w:rsidRPr="00AB7135">
        <w:rPr>
          <w:rFonts w:cs="Arial"/>
          <w:rtl/>
        </w:rPr>
        <w:t>שכך כתב להן או עד דתבגרן או עד דתלקחון לגוברין</w:t>
      </w:r>
      <w:r>
        <w:rPr>
          <w:rFonts w:cs="Arial" w:hint="cs"/>
          <w:rtl/>
        </w:rPr>
        <w:t>, רש"י.</w:t>
      </w:r>
    </w:p>
  </w:footnote>
  <w:footnote w:id="3033">
    <w:p w14:paraId="172E56E0" w14:textId="77777777" w:rsidR="00DF1FC7" w:rsidRDefault="00DF1FC7" w:rsidP="002E5BAD">
      <w:pPr>
        <w:pStyle w:val="a5"/>
      </w:pPr>
      <w:r>
        <w:rPr>
          <w:rStyle w:val="a7"/>
        </w:rPr>
        <w:footnoteRef/>
      </w:r>
      <w:r>
        <w:rPr>
          <w:rtl/>
        </w:rPr>
        <w:t xml:space="preserve"> </w:t>
      </w:r>
      <w:r w:rsidRPr="00AB7135">
        <w:rPr>
          <w:rFonts w:cs="Arial"/>
          <w:rtl/>
        </w:rPr>
        <w:t>עישור נכסים דקסבר לא תקון לה נדוניא אלא היכא דמינסבא בקטנות או בנערות אבל בגרה איסתלקא לה מההיא ביתא לגמרי וכן נשאת בנערות הואיל וגדולה היא ונתרצית איבדה פרנסתה אלא מה שפסקו אבל בניסת בקטנות לא פליג</w:t>
      </w:r>
      <w:r>
        <w:rPr>
          <w:rFonts w:cs="Arial" w:hint="cs"/>
          <w:rtl/>
        </w:rPr>
        <w:t>, רש"י.</w:t>
      </w:r>
    </w:p>
  </w:footnote>
  <w:footnote w:id="3034">
    <w:p w14:paraId="67C78971" w14:textId="77777777" w:rsidR="00DF1FC7" w:rsidRDefault="00DF1FC7" w:rsidP="002E5BAD">
      <w:pPr>
        <w:pStyle w:val="a5"/>
      </w:pPr>
      <w:r>
        <w:rPr>
          <w:rStyle w:val="a7"/>
        </w:rPr>
        <w:footnoteRef/>
      </w:r>
      <w:r>
        <w:rPr>
          <w:rtl/>
        </w:rPr>
        <w:t xml:space="preserve"> </w:t>
      </w:r>
      <w:r w:rsidRPr="00AB7135">
        <w:rPr>
          <w:rFonts w:cs="Arial"/>
          <w:rtl/>
        </w:rPr>
        <w:t>שישאו אותן עד שלא יבגרו ומוציאים להם פרנסתם</w:t>
      </w:r>
      <w:r>
        <w:rPr>
          <w:rFonts w:cs="Arial" w:hint="cs"/>
          <w:rtl/>
        </w:rPr>
        <w:t>, רש"י.</w:t>
      </w:r>
    </w:p>
  </w:footnote>
  <w:footnote w:id="3035">
    <w:p w14:paraId="6CF0AB7C" w14:textId="77777777" w:rsidR="00DF1FC7" w:rsidRDefault="00DF1FC7" w:rsidP="002E5BAD">
      <w:pPr>
        <w:pStyle w:val="a5"/>
      </w:pPr>
      <w:r>
        <w:rPr>
          <w:rStyle w:val="a7"/>
        </w:rPr>
        <w:footnoteRef/>
      </w:r>
      <w:r>
        <w:rPr>
          <w:rtl/>
        </w:rPr>
        <w:t xml:space="preserve"> </w:t>
      </w:r>
      <w:r w:rsidRPr="004326CA">
        <w:rPr>
          <w:rFonts w:cs="Arial"/>
          <w:rtl/>
        </w:rPr>
        <w:t>כגון נערה</w:t>
      </w:r>
      <w:r>
        <w:rPr>
          <w:rFonts w:cs="Arial" w:hint="cs"/>
          <w:rtl/>
        </w:rPr>
        <w:t>, רש"י.</w:t>
      </w:r>
    </w:p>
  </w:footnote>
  <w:footnote w:id="3036">
    <w:p w14:paraId="67EFA26A" w14:textId="77777777" w:rsidR="00DF1FC7" w:rsidRDefault="00DF1FC7" w:rsidP="002E5BAD">
      <w:pPr>
        <w:pStyle w:val="a5"/>
        <w:rPr>
          <w:rtl/>
        </w:rPr>
      </w:pPr>
      <w:r>
        <w:rPr>
          <w:rStyle w:val="a7"/>
        </w:rPr>
        <w:footnoteRef/>
      </w:r>
      <w:r>
        <w:rPr>
          <w:rtl/>
        </w:rPr>
        <w:t xml:space="preserve"> </w:t>
      </w:r>
      <w:r w:rsidRPr="004326CA">
        <w:rPr>
          <w:rFonts w:cs="Arial"/>
          <w:rtl/>
        </w:rPr>
        <w:t>הא דאמר רבי לא איבדו וא"ר הונא הלכתא כוותיה בשמיחתה על מותר עישור נכסיה והא דקתני מתניתין גדולה ויתרה בשלא מיחתה</w:t>
      </w:r>
      <w:r>
        <w:rPr>
          <w:rFonts w:hint="cs"/>
          <w:rtl/>
        </w:rPr>
        <w:t>, רש"י.</w:t>
      </w:r>
    </w:p>
  </w:footnote>
  <w:footnote w:id="3037">
    <w:p w14:paraId="6F36ABC6" w14:textId="77777777" w:rsidR="00DF1FC7" w:rsidRDefault="00DF1FC7" w:rsidP="002E5BAD">
      <w:pPr>
        <w:pStyle w:val="a5"/>
      </w:pPr>
      <w:r>
        <w:rPr>
          <w:rStyle w:val="a7"/>
        </w:rPr>
        <w:footnoteRef/>
      </w:r>
      <w:r>
        <w:rPr>
          <w:rtl/>
        </w:rPr>
        <w:t xml:space="preserve"> </w:t>
      </w:r>
      <w:r w:rsidRPr="004326CA">
        <w:rPr>
          <w:rFonts w:cs="Arial"/>
          <w:rtl/>
        </w:rPr>
        <w:t>אם באה לינשא בעודה ניזונית דהיינו בקטנות או בנערות</w:t>
      </w:r>
      <w:r>
        <w:rPr>
          <w:rFonts w:cs="Arial" w:hint="cs"/>
          <w:rtl/>
        </w:rPr>
        <w:t>, רש"י.</w:t>
      </w:r>
    </w:p>
  </w:footnote>
  <w:footnote w:id="3038">
    <w:p w14:paraId="1F68C105" w14:textId="77777777" w:rsidR="00DF1FC7" w:rsidRDefault="00DF1FC7" w:rsidP="002E5BAD">
      <w:pPr>
        <w:pStyle w:val="a5"/>
      </w:pPr>
      <w:r>
        <w:rPr>
          <w:rStyle w:val="a7"/>
        </w:rPr>
        <w:footnoteRef/>
      </w:r>
      <w:r>
        <w:rPr>
          <w:rtl/>
        </w:rPr>
        <w:t xml:space="preserve"> </w:t>
      </w:r>
      <w:r w:rsidRPr="004326CA">
        <w:rPr>
          <w:rFonts w:cs="Arial"/>
          <w:rtl/>
        </w:rPr>
        <w:t>שאפילו לא מיחתה לא איבדה עישור נכסיה</w:t>
      </w:r>
      <w:r>
        <w:rPr>
          <w:rFonts w:cs="Arial" w:hint="cs"/>
          <w:rtl/>
        </w:rPr>
        <w:t>, רש"י.</w:t>
      </w:r>
    </w:p>
  </w:footnote>
  <w:footnote w:id="3039">
    <w:p w14:paraId="10C19A7C" w14:textId="77777777" w:rsidR="00DF1FC7" w:rsidRDefault="00DF1FC7" w:rsidP="002E5BAD">
      <w:pPr>
        <w:pStyle w:val="a5"/>
      </w:pPr>
      <w:r>
        <w:rPr>
          <w:rStyle w:val="a7"/>
        </w:rPr>
        <w:footnoteRef/>
      </w:r>
      <w:r>
        <w:rPr>
          <w:rtl/>
        </w:rPr>
        <w:t xml:space="preserve"> </w:t>
      </w:r>
      <w:r w:rsidRPr="00AF24B4">
        <w:rPr>
          <w:rFonts w:cs="Arial"/>
          <w:rtl/>
        </w:rPr>
        <w:t>דהא דתני גדולה ויתרה בדלא מחאי אלמא ניסת בנערות ולא מיחתה אף על פי שאינה בוגרת ויתרה ואת אמרת ניסת אינה צריכה למחות ואפי' נערה</w:t>
      </w:r>
      <w:r>
        <w:rPr>
          <w:rFonts w:cs="Arial" w:hint="cs"/>
          <w:rtl/>
        </w:rPr>
        <w:t>, רש"י.</w:t>
      </w:r>
    </w:p>
  </w:footnote>
  <w:footnote w:id="3040">
    <w:p w14:paraId="6E504D54" w14:textId="77777777" w:rsidR="00DF1FC7" w:rsidRDefault="00DF1FC7" w:rsidP="002E5BAD">
      <w:pPr>
        <w:pStyle w:val="a5"/>
      </w:pPr>
      <w:r>
        <w:rPr>
          <w:rStyle w:val="a7"/>
        </w:rPr>
        <w:footnoteRef/>
      </w:r>
      <w:r>
        <w:rPr>
          <w:rtl/>
        </w:rPr>
        <w:t xml:space="preserve"> </w:t>
      </w:r>
      <w:r w:rsidRPr="004326CA">
        <w:rPr>
          <w:rFonts w:cs="Arial"/>
          <w:rtl/>
        </w:rPr>
        <w:t>דאמר רבא ניסת בנערות אינה צריכה למחות כגון דקא מיתזנא מינייהו לאחר שניסת דמשום דקא מיתזנא מינייהו הוא דקא שתקה ולא מחלה על פרנסתה והא דקתני הא גדולה ויתרה דלא קא מתזנא</w:t>
      </w:r>
      <w:r>
        <w:rPr>
          <w:rFonts w:cs="Arial" w:hint="cs"/>
          <w:rtl/>
        </w:rPr>
        <w:t>, רש"י.</w:t>
      </w:r>
    </w:p>
  </w:footnote>
  <w:footnote w:id="3041">
    <w:p w14:paraId="19B377E5" w14:textId="77777777" w:rsidR="00DF1FC7" w:rsidRDefault="00DF1FC7" w:rsidP="002E5BAD">
      <w:pPr>
        <w:pStyle w:val="a5"/>
      </w:pPr>
      <w:r>
        <w:rPr>
          <w:rStyle w:val="a7"/>
        </w:rPr>
        <w:footnoteRef/>
      </w:r>
      <w:r>
        <w:rPr>
          <w:rtl/>
        </w:rPr>
        <w:t xml:space="preserve"> </w:t>
      </w:r>
      <w:r w:rsidRPr="0037651E">
        <w:rPr>
          <w:rFonts w:cs="Arial" w:hint="cs"/>
          <w:rtl/>
        </w:rPr>
        <w:t xml:space="preserve">זו לשון </w:t>
      </w:r>
      <w:r w:rsidRPr="0037651E">
        <w:rPr>
          <w:rFonts w:cs="Arial"/>
          <w:rtl/>
        </w:rPr>
        <w:t>הרי"ף (ל:) והרא"ש (סי' יג)</w:t>
      </w:r>
      <w:r w:rsidRPr="0037651E">
        <w:rPr>
          <w:rFonts w:cs="Arial" w:hint="cs"/>
          <w:rtl/>
        </w:rPr>
        <w:t>-</w:t>
      </w:r>
      <w:r w:rsidRPr="0037651E">
        <w:rPr>
          <w:rFonts w:cs="Arial"/>
          <w:rtl/>
        </w:rPr>
        <w:t xml:space="preserve"> שמעינן השתא מכל הני שמעתתא דהיכא דבגרו או אינסיבן</w:t>
      </w:r>
      <w:r w:rsidRPr="0037651E">
        <w:rPr>
          <w:rFonts w:cs="Arial" w:hint="cs"/>
          <w:rtl/>
        </w:rPr>
        <w:t>,</w:t>
      </w:r>
      <w:r w:rsidRPr="0037651E">
        <w:rPr>
          <w:rFonts w:cs="Arial"/>
          <w:rtl/>
        </w:rPr>
        <w:t xml:space="preserve"> אי מיתזנן מינייהו </w:t>
      </w:r>
      <w:r w:rsidRPr="0037651E">
        <w:rPr>
          <w:rFonts w:cs="Arial" w:hint="cs"/>
          <w:rtl/>
        </w:rPr>
        <w:t xml:space="preserve">- </w:t>
      </w:r>
      <w:r w:rsidRPr="0037651E">
        <w:rPr>
          <w:rFonts w:cs="Arial"/>
          <w:rtl/>
        </w:rPr>
        <w:t>אית להו פרנסה אע</w:t>
      </w:r>
      <w:r w:rsidRPr="0037651E">
        <w:rPr>
          <w:rFonts w:cs="Arial" w:hint="cs"/>
          <w:rtl/>
        </w:rPr>
        <w:t>"</w:t>
      </w:r>
      <w:r w:rsidRPr="0037651E">
        <w:rPr>
          <w:rFonts w:cs="Arial"/>
          <w:rtl/>
        </w:rPr>
        <w:t>ג דלא מחאי</w:t>
      </w:r>
      <w:r w:rsidRPr="0037651E">
        <w:rPr>
          <w:rFonts w:cs="Arial" w:hint="cs"/>
          <w:rtl/>
        </w:rPr>
        <w:t>.</w:t>
      </w:r>
      <w:r w:rsidRPr="0037651E">
        <w:rPr>
          <w:rFonts w:cs="Arial"/>
          <w:rtl/>
        </w:rPr>
        <w:t xml:space="preserve"> ואי לא מיתזנן מינייהו </w:t>
      </w:r>
      <w:r w:rsidRPr="0037651E">
        <w:rPr>
          <w:rFonts w:cs="Arial" w:hint="cs"/>
          <w:rtl/>
        </w:rPr>
        <w:t xml:space="preserve">- </w:t>
      </w:r>
      <w:r w:rsidRPr="0037651E">
        <w:rPr>
          <w:rFonts w:cs="Arial"/>
          <w:rtl/>
        </w:rPr>
        <w:t>צריכי למחויי</w:t>
      </w:r>
      <w:r w:rsidRPr="0037651E">
        <w:rPr>
          <w:rFonts w:cs="Arial" w:hint="cs"/>
          <w:rtl/>
        </w:rPr>
        <w:t>,</w:t>
      </w:r>
      <w:r w:rsidRPr="0037651E">
        <w:rPr>
          <w:rFonts w:cs="Arial"/>
          <w:rtl/>
        </w:rPr>
        <w:t xml:space="preserve"> ואי לא מחו לית להו פרנסה</w:t>
      </w:r>
      <w:r w:rsidRPr="0037651E">
        <w:rPr>
          <w:rFonts w:cs="Arial" w:hint="cs"/>
          <w:rtl/>
        </w:rPr>
        <w:t>.</w:t>
      </w:r>
      <w:r w:rsidRPr="0037651E">
        <w:rPr>
          <w:rFonts w:cs="Arial"/>
          <w:rtl/>
        </w:rPr>
        <w:t xml:space="preserve"> ואי לא בגרן ולא אינסיבן </w:t>
      </w:r>
      <w:r w:rsidRPr="0037651E">
        <w:rPr>
          <w:rFonts w:cs="Arial" w:hint="cs"/>
          <w:rtl/>
        </w:rPr>
        <w:t xml:space="preserve">- </w:t>
      </w:r>
      <w:r w:rsidRPr="0037651E">
        <w:rPr>
          <w:rFonts w:cs="Arial"/>
          <w:rtl/>
        </w:rPr>
        <w:t>א</w:t>
      </w:r>
      <w:r w:rsidRPr="0037651E">
        <w:rPr>
          <w:rFonts w:cs="Arial" w:hint="cs"/>
          <w:rtl/>
        </w:rPr>
        <w:t>ע"</w:t>
      </w:r>
      <w:r w:rsidRPr="0037651E">
        <w:rPr>
          <w:rFonts w:cs="Arial"/>
          <w:rtl/>
        </w:rPr>
        <w:t>ג דלא מיתזנן מינייהו אית להו פרנסה ולא צריכי למחויי</w:t>
      </w:r>
      <w:r w:rsidRPr="0037651E">
        <w:rPr>
          <w:rFonts w:cs="Arial" w:hint="cs"/>
          <w:rtl/>
        </w:rPr>
        <w:t>.</w:t>
      </w:r>
      <w:r w:rsidRPr="0037651E">
        <w:rPr>
          <w:rFonts w:cs="Arial"/>
          <w:rtl/>
        </w:rPr>
        <w:t xml:space="preserve"> ואי בגרן ואינסיבן אע</w:t>
      </w:r>
      <w:r w:rsidRPr="0037651E">
        <w:rPr>
          <w:rFonts w:cs="Arial" w:hint="cs"/>
          <w:rtl/>
        </w:rPr>
        <w:t>"</w:t>
      </w:r>
      <w:r w:rsidRPr="0037651E">
        <w:rPr>
          <w:rFonts w:cs="Arial"/>
          <w:rtl/>
        </w:rPr>
        <w:t xml:space="preserve">ג דמיתזנן מינייהו </w:t>
      </w:r>
      <w:r w:rsidRPr="0037651E">
        <w:rPr>
          <w:rFonts w:cs="Arial" w:hint="cs"/>
          <w:rtl/>
        </w:rPr>
        <w:t xml:space="preserve">- </w:t>
      </w:r>
      <w:r w:rsidRPr="0037651E">
        <w:rPr>
          <w:rFonts w:cs="Arial"/>
          <w:rtl/>
        </w:rPr>
        <w:t>צריכי למחויי</w:t>
      </w:r>
      <w:r w:rsidRPr="0037651E">
        <w:rPr>
          <w:rFonts w:cs="Arial" w:hint="cs"/>
          <w:rtl/>
        </w:rPr>
        <w:t>,</w:t>
      </w:r>
      <w:r w:rsidRPr="0037651E">
        <w:rPr>
          <w:rFonts w:cs="Arial"/>
          <w:rtl/>
        </w:rPr>
        <w:t xml:space="preserve"> ואי לא מחאן לית להו פרנסה</w:t>
      </w:r>
      <w:r>
        <w:rPr>
          <w:rFonts w:cs="Arial" w:hint="cs"/>
          <w:rtl/>
        </w:rPr>
        <w:t>.</w:t>
      </w:r>
      <w:r>
        <w:rPr>
          <w:rFonts w:hint="cs"/>
          <w:rtl/>
        </w:rPr>
        <w:t xml:space="preserve"> עכ"ל. כשכתבו הרי"ף והרא"ש 'לא בגרה' </w:t>
      </w:r>
      <w:r>
        <w:rPr>
          <w:rtl/>
        </w:rPr>
        <w:t>–</w:t>
      </w:r>
      <w:r>
        <w:rPr>
          <w:rFonts w:hint="cs"/>
          <w:rtl/>
        </w:rPr>
        <w:t xml:space="preserve"> כוונתם לנערה. ודין קטנה שהשיאוה (שמוציאה מהאחים בכל גוונא) - לא הזכירו, משום שהיא משנה מפורשת.</w:t>
      </w:r>
    </w:p>
  </w:footnote>
  <w:footnote w:id="3042">
    <w:p w14:paraId="150B40B8" w14:textId="77777777" w:rsidR="00DF1FC7" w:rsidRDefault="00DF1FC7" w:rsidP="002E5BAD">
      <w:pPr>
        <w:pStyle w:val="a5"/>
      </w:pPr>
      <w:r>
        <w:rPr>
          <w:rStyle w:val="a7"/>
        </w:rPr>
        <w:footnoteRef/>
      </w:r>
      <w:r>
        <w:rPr>
          <w:rtl/>
        </w:rPr>
        <w:t xml:space="preserve"> </w:t>
      </w:r>
      <w:r>
        <w:rPr>
          <w:rFonts w:hint="cs"/>
          <w:rtl/>
        </w:rPr>
        <w:t xml:space="preserve">וז"ל- </w:t>
      </w:r>
      <w:r>
        <w:rPr>
          <w:rFonts w:cs="Arial"/>
          <w:rtl/>
        </w:rPr>
        <w:t>נישאת הבת אחר שגדלה</w:t>
      </w:r>
      <w:r>
        <w:rPr>
          <w:rFonts w:cs="Arial" w:hint="cs"/>
          <w:rtl/>
        </w:rPr>
        <w:t>,</w:t>
      </w:r>
      <w:r>
        <w:rPr>
          <w:rFonts w:cs="Arial"/>
          <w:rtl/>
        </w:rPr>
        <w:t xml:space="preserve"> בין נערה בין בוגרת</w:t>
      </w:r>
      <w:r>
        <w:rPr>
          <w:rFonts w:cs="Arial" w:hint="cs"/>
          <w:rtl/>
        </w:rPr>
        <w:t>,</w:t>
      </w:r>
      <w:r>
        <w:rPr>
          <w:rFonts w:cs="Arial"/>
          <w:rtl/>
        </w:rPr>
        <w:t xml:space="preserve"> ולא תבעה פרנסתה</w:t>
      </w:r>
      <w:r>
        <w:rPr>
          <w:rFonts w:cs="Arial" w:hint="cs"/>
          <w:rtl/>
        </w:rPr>
        <w:t xml:space="preserve"> -</w:t>
      </w:r>
      <w:r>
        <w:rPr>
          <w:rFonts w:cs="Arial"/>
          <w:rtl/>
        </w:rPr>
        <w:t xml:space="preserve"> איבדה פרנסתה</w:t>
      </w:r>
      <w:r>
        <w:rPr>
          <w:rFonts w:cs="Arial" w:hint="cs"/>
          <w:rtl/>
        </w:rPr>
        <w:t>.</w:t>
      </w:r>
      <w:r>
        <w:rPr>
          <w:rFonts w:cs="Arial"/>
          <w:rtl/>
        </w:rPr>
        <w:t xml:space="preserve"> ואם מיחת בעת נישואיה </w:t>
      </w:r>
      <w:r>
        <w:rPr>
          <w:rFonts w:cs="Arial" w:hint="cs"/>
          <w:rtl/>
        </w:rPr>
        <w:t xml:space="preserve">- </w:t>
      </w:r>
      <w:r>
        <w:rPr>
          <w:rFonts w:cs="Arial"/>
          <w:rtl/>
        </w:rPr>
        <w:t>הרי זו מוציאה את הראוי לה כל זמן שתרצה</w:t>
      </w:r>
      <w:r>
        <w:rPr>
          <w:rFonts w:cs="Arial" w:hint="cs"/>
          <w:rtl/>
        </w:rPr>
        <w:t>.</w:t>
      </w:r>
      <w:r>
        <w:rPr>
          <w:rFonts w:cs="Arial"/>
          <w:rtl/>
        </w:rPr>
        <w:t xml:space="preserve"> בגרה ועודה בבית אביה בין שבגרה אחרי מותו בין שהניחה בוגרת</w:t>
      </w:r>
      <w:r>
        <w:rPr>
          <w:rFonts w:cs="Arial" w:hint="cs"/>
          <w:rtl/>
        </w:rPr>
        <w:t>,</w:t>
      </w:r>
      <w:r>
        <w:rPr>
          <w:rFonts w:cs="Arial"/>
          <w:rtl/>
        </w:rPr>
        <w:t xml:space="preserve"> אם פסקו האחין מלתת מזונותיה</w:t>
      </w:r>
      <w:r>
        <w:rPr>
          <w:rFonts w:cs="Arial" w:hint="cs"/>
          <w:rtl/>
        </w:rPr>
        <w:t>,</w:t>
      </w:r>
      <w:r>
        <w:rPr>
          <w:rFonts w:cs="Arial"/>
          <w:rtl/>
        </w:rPr>
        <w:t xml:space="preserve"> שהרי אין לה מזונות כמו שביארנו</w:t>
      </w:r>
      <w:r>
        <w:rPr>
          <w:rFonts w:cs="Arial" w:hint="cs"/>
          <w:rtl/>
        </w:rPr>
        <w:t>,</w:t>
      </w:r>
      <w:r>
        <w:rPr>
          <w:rFonts w:cs="Arial"/>
          <w:rtl/>
        </w:rPr>
        <w:t xml:space="preserve"> ושתקה ולא תבעה </w:t>
      </w:r>
      <w:r>
        <w:rPr>
          <w:rFonts w:cs="Arial" w:hint="cs"/>
          <w:rtl/>
        </w:rPr>
        <w:t xml:space="preserve">- </w:t>
      </w:r>
      <w:r>
        <w:rPr>
          <w:rFonts w:cs="Arial"/>
          <w:rtl/>
        </w:rPr>
        <w:t>איבדה פרנסתה</w:t>
      </w:r>
      <w:r>
        <w:rPr>
          <w:rFonts w:cs="Arial" w:hint="cs"/>
          <w:rtl/>
        </w:rPr>
        <w:t>.</w:t>
      </w:r>
      <w:r>
        <w:rPr>
          <w:rFonts w:cs="Arial"/>
          <w:rtl/>
        </w:rPr>
        <w:t xml:space="preserve"> לא פסקו האחים מזונותיה וזנו אותה בבגר </w:t>
      </w:r>
      <w:r>
        <w:rPr>
          <w:rFonts w:cs="Arial" w:hint="cs"/>
          <w:rtl/>
        </w:rPr>
        <w:t xml:space="preserve">- </w:t>
      </w:r>
      <w:r>
        <w:rPr>
          <w:rFonts w:cs="Arial"/>
          <w:rtl/>
        </w:rPr>
        <w:t>אע</w:t>
      </w:r>
      <w:r>
        <w:rPr>
          <w:rFonts w:cs="Arial" w:hint="cs"/>
          <w:rtl/>
        </w:rPr>
        <w:t>"</w:t>
      </w:r>
      <w:r>
        <w:rPr>
          <w:rFonts w:cs="Arial"/>
          <w:rtl/>
        </w:rPr>
        <w:t>פ שלא מחתה לא איבדה פרנסתה כל זמן שהם זנין אותה</w:t>
      </w:r>
      <w:r>
        <w:rPr>
          <w:rFonts w:cs="Arial" w:hint="cs"/>
          <w:rtl/>
        </w:rPr>
        <w:t>,</w:t>
      </w:r>
      <w:r>
        <w:rPr>
          <w:rFonts w:cs="Arial"/>
          <w:rtl/>
        </w:rPr>
        <w:t xml:space="preserve"> שיש לה לטעון מפני שהם זנין אותה אע</w:t>
      </w:r>
      <w:r>
        <w:rPr>
          <w:rFonts w:cs="Arial" w:hint="cs"/>
          <w:rtl/>
        </w:rPr>
        <w:t>"</w:t>
      </w:r>
      <w:r>
        <w:rPr>
          <w:rFonts w:cs="Arial"/>
          <w:rtl/>
        </w:rPr>
        <w:t>פ שאינם חייבים והיא עדיין לא נישאת מפני זה לא תבעה פרנסתה</w:t>
      </w:r>
      <w:r>
        <w:rPr>
          <w:rFonts w:cs="Arial" w:hint="cs"/>
          <w:rtl/>
        </w:rPr>
        <w:t xml:space="preserve">. </w:t>
      </w:r>
    </w:p>
  </w:footnote>
  <w:footnote w:id="3043">
    <w:p w14:paraId="6BBE92FB" w14:textId="77777777" w:rsidR="00DF1FC7" w:rsidRDefault="00DF1FC7" w:rsidP="002E5BAD">
      <w:pPr>
        <w:pStyle w:val="a5"/>
        <w:rPr>
          <w:rtl/>
        </w:rPr>
      </w:pPr>
      <w:r>
        <w:rPr>
          <w:rStyle w:val="a7"/>
        </w:rPr>
        <w:footnoteRef/>
      </w:r>
      <w:r>
        <w:rPr>
          <w:rtl/>
        </w:rPr>
        <w:t xml:space="preserve"> </w:t>
      </w:r>
      <w:r>
        <w:rPr>
          <w:rFonts w:cs="Arial" w:hint="cs"/>
          <w:rtl/>
        </w:rPr>
        <w:t>ו</w:t>
      </w:r>
      <w:r>
        <w:rPr>
          <w:rFonts w:cs="Arial"/>
          <w:rtl/>
        </w:rPr>
        <w:t>אע"פ שגדלה משנישאת ולא תבעה אחר גדלות מיד</w:t>
      </w:r>
      <w:r>
        <w:rPr>
          <w:rFonts w:cs="Arial" w:hint="cs"/>
          <w:rtl/>
        </w:rPr>
        <w:t xml:space="preserve"> -</w:t>
      </w:r>
      <w:r>
        <w:rPr>
          <w:rFonts w:cs="Arial"/>
          <w:rtl/>
        </w:rPr>
        <w:t xml:space="preserve"> לא איבד</w:t>
      </w:r>
      <w:r>
        <w:rPr>
          <w:rFonts w:cs="Arial" w:hint="cs"/>
          <w:rtl/>
        </w:rPr>
        <w:t>ה</w:t>
      </w:r>
      <w:r>
        <w:rPr>
          <w:rFonts w:cs="Arial"/>
          <w:rtl/>
        </w:rPr>
        <w:t xml:space="preserve"> לעולם</w:t>
      </w:r>
      <w:r>
        <w:rPr>
          <w:rFonts w:cs="Arial" w:hint="cs"/>
          <w:rtl/>
        </w:rPr>
        <w:t>,</w:t>
      </w:r>
      <w:r>
        <w:rPr>
          <w:rFonts w:cs="Arial"/>
          <w:rtl/>
        </w:rPr>
        <w:t xml:space="preserve"> לפי שלא איבדה אות</w:t>
      </w:r>
      <w:r>
        <w:rPr>
          <w:rFonts w:cs="Arial" w:hint="cs"/>
          <w:rtl/>
        </w:rPr>
        <w:t>ה</w:t>
      </w:r>
      <w:r>
        <w:rPr>
          <w:rFonts w:cs="Arial"/>
          <w:rtl/>
        </w:rPr>
        <w:t xml:space="preserve"> בשע</w:t>
      </w:r>
      <w:r>
        <w:rPr>
          <w:rFonts w:cs="Arial" w:hint="cs"/>
          <w:rtl/>
        </w:rPr>
        <w:t>ת</w:t>
      </w:r>
      <w:r>
        <w:rPr>
          <w:rFonts w:cs="Arial"/>
          <w:rtl/>
        </w:rPr>
        <w:t xml:space="preserve"> נישואין ושוב אינה צריכה למחות</w:t>
      </w:r>
      <w:r>
        <w:rPr>
          <w:rFonts w:cs="Arial" w:hint="cs"/>
          <w:rtl/>
        </w:rPr>
        <w:t>.</w:t>
      </w:r>
      <w:r>
        <w:rPr>
          <w:rFonts w:cs="Arial"/>
          <w:rtl/>
        </w:rPr>
        <w:t xml:space="preserve"> וברור הוא וכן נראה מדעת רבינו</w:t>
      </w:r>
      <w:r>
        <w:rPr>
          <w:rFonts w:cs="Arial" w:hint="cs"/>
          <w:rtl/>
        </w:rPr>
        <w:t>,</w:t>
      </w:r>
      <w:r w:rsidRPr="00FD36C2">
        <w:rPr>
          <w:rFonts w:cs="Arial"/>
          <w:rtl/>
        </w:rPr>
        <w:t xml:space="preserve"> </w:t>
      </w:r>
      <w:r>
        <w:rPr>
          <w:rFonts w:cs="Arial"/>
          <w:rtl/>
        </w:rPr>
        <w:t>הה</w:t>
      </w:r>
      <w:r>
        <w:rPr>
          <w:rFonts w:cs="Arial" w:hint="cs"/>
          <w:rtl/>
        </w:rPr>
        <w:t>"</w:t>
      </w:r>
      <w:r>
        <w:rPr>
          <w:rFonts w:cs="Arial"/>
          <w:rtl/>
        </w:rPr>
        <w:t>מ</w:t>
      </w:r>
      <w:r>
        <w:rPr>
          <w:rFonts w:cs="Arial" w:hint="cs"/>
          <w:rtl/>
        </w:rPr>
        <w:t xml:space="preserve"> (פ"כ, הביאו הב"י)</w:t>
      </w:r>
      <w:r>
        <w:rPr>
          <w:rFonts w:cs="Arial"/>
          <w:rtl/>
        </w:rPr>
        <w:t xml:space="preserve"> בשם הרשב"א (סח: ד"ה בגרה)</w:t>
      </w:r>
      <w:r>
        <w:rPr>
          <w:rFonts w:hint="cs"/>
          <w:rtl/>
        </w:rPr>
        <w:t>.</w:t>
      </w:r>
      <w:r>
        <w:rPr>
          <w:rFonts w:cs="Arial" w:hint="cs"/>
          <w:rtl/>
        </w:rPr>
        <w:t>..</w:t>
      </w:r>
      <w:r w:rsidRPr="0017283A">
        <w:rPr>
          <w:rFonts w:cs="Arial"/>
          <w:rtl/>
        </w:rPr>
        <w:t xml:space="preserve"> </w:t>
      </w:r>
      <w:r>
        <w:rPr>
          <w:rFonts w:cs="Arial"/>
          <w:rtl/>
        </w:rPr>
        <w:t>ו</w:t>
      </w:r>
      <w:r>
        <w:rPr>
          <w:rFonts w:cs="Arial" w:hint="cs"/>
          <w:rtl/>
        </w:rPr>
        <w:t xml:space="preserve">כ"כ </w:t>
      </w:r>
      <w:r>
        <w:rPr>
          <w:rFonts w:cs="Arial"/>
          <w:rtl/>
        </w:rPr>
        <w:t>הר"ן (</w:t>
      </w:r>
      <w:r>
        <w:rPr>
          <w:rFonts w:cs="Arial" w:hint="cs"/>
          <w:rtl/>
        </w:rPr>
        <w:t>ל:)</w:t>
      </w:r>
      <w:r w:rsidRPr="00C26953">
        <w:rPr>
          <w:rtl/>
        </w:rPr>
        <w:t xml:space="preserve"> </w:t>
      </w:r>
      <w:r w:rsidRPr="00C26953">
        <w:rPr>
          <w:rFonts w:cs="Arial"/>
          <w:rtl/>
        </w:rPr>
        <w:t>דכי אמרינן דבגרה ונישאת צריכה למחות אפילו במיתזנא מינייהו דוקא בגרה ונישאת אבל נישאת ואח"כ בגרה לא</w:t>
      </w:r>
      <w:r>
        <w:rPr>
          <w:rFonts w:cs="Arial" w:hint="cs"/>
          <w:rtl/>
        </w:rPr>
        <w:t>,</w:t>
      </w:r>
      <w:r w:rsidRPr="00C26953">
        <w:rPr>
          <w:rFonts w:cs="Arial"/>
          <w:rtl/>
        </w:rPr>
        <w:t xml:space="preserve"> דבגר דבתר נישואין לאו כלום הוא עכ"ל</w:t>
      </w:r>
      <w:r>
        <w:rPr>
          <w:rFonts w:cs="Arial" w:hint="cs"/>
          <w:rtl/>
        </w:rPr>
        <w:t>.</w:t>
      </w:r>
      <w:r w:rsidRPr="00C26953">
        <w:rPr>
          <w:rFonts w:cs="Arial"/>
          <w:rtl/>
        </w:rPr>
        <w:t xml:space="preserve"> והכי דייק לשון רבינו שכתב ואם בגרה ואח"כ נישאת</w:t>
      </w:r>
      <w:r>
        <w:rPr>
          <w:rFonts w:cs="Arial" w:hint="cs"/>
          <w:rtl/>
        </w:rPr>
        <w:t>, ב"י.</w:t>
      </w:r>
      <w:r>
        <w:rPr>
          <w:rFonts w:hint="cs"/>
          <w:rtl/>
        </w:rPr>
        <w:t xml:space="preserve"> </w:t>
      </w:r>
      <w:r w:rsidRPr="008C5D9B">
        <w:rPr>
          <w:rFonts w:hint="cs"/>
          <w:color w:val="00B0F0"/>
          <w:rtl/>
        </w:rPr>
        <w:t>(וכ"</w:t>
      </w:r>
      <w:r>
        <w:rPr>
          <w:rFonts w:hint="cs"/>
          <w:color w:val="00B0F0"/>
          <w:rtl/>
        </w:rPr>
        <w:t>פ</w:t>
      </w:r>
      <w:r w:rsidRPr="008C5D9B">
        <w:rPr>
          <w:rFonts w:hint="cs"/>
          <w:color w:val="00B0F0"/>
          <w:rtl/>
        </w:rPr>
        <w:t xml:space="preserve"> הרמ"א)</w:t>
      </w:r>
    </w:p>
  </w:footnote>
  <w:footnote w:id="3044">
    <w:p w14:paraId="0919939C" w14:textId="77777777" w:rsidR="00DF1FC7" w:rsidRDefault="00DF1FC7" w:rsidP="002E5BAD">
      <w:pPr>
        <w:pStyle w:val="a5"/>
      </w:pPr>
      <w:r>
        <w:rPr>
          <w:rStyle w:val="a7"/>
        </w:rPr>
        <w:footnoteRef/>
      </w:r>
      <w:r>
        <w:rPr>
          <w:rtl/>
        </w:rPr>
        <w:t xml:space="preserve"> </w:t>
      </w:r>
      <w:r>
        <w:rPr>
          <w:rFonts w:hint="cs"/>
          <w:rtl/>
        </w:rPr>
        <w:t xml:space="preserve">וז"ל- </w:t>
      </w:r>
      <w:r>
        <w:rPr>
          <w:rFonts w:cs="Arial"/>
          <w:rtl/>
        </w:rPr>
        <w:t>נישאת הבת אחר שגדלה</w:t>
      </w:r>
      <w:r>
        <w:rPr>
          <w:rFonts w:cs="Arial" w:hint="cs"/>
          <w:rtl/>
        </w:rPr>
        <w:t>,</w:t>
      </w:r>
      <w:r>
        <w:rPr>
          <w:rFonts w:cs="Arial"/>
          <w:rtl/>
        </w:rPr>
        <w:t xml:space="preserve"> בין נערה בין בוגרת</w:t>
      </w:r>
      <w:r>
        <w:rPr>
          <w:rFonts w:cs="Arial" w:hint="cs"/>
          <w:rtl/>
        </w:rPr>
        <w:t>,</w:t>
      </w:r>
      <w:r>
        <w:rPr>
          <w:rFonts w:cs="Arial"/>
          <w:rtl/>
        </w:rPr>
        <w:t xml:space="preserve"> ולא תבעה פרנסתה</w:t>
      </w:r>
      <w:r>
        <w:rPr>
          <w:rFonts w:cs="Arial" w:hint="cs"/>
          <w:rtl/>
        </w:rPr>
        <w:t xml:space="preserve"> -</w:t>
      </w:r>
      <w:r>
        <w:rPr>
          <w:rFonts w:cs="Arial"/>
          <w:rtl/>
        </w:rPr>
        <w:t xml:space="preserve"> איבדה פרנסתה</w:t>
      </w:r>
      <w:r>
        <w:rPr>
          <w:rFonts w:cs="Arial" w:hint="cs"/>
          <w:rtl/>
        </w:rPr>
        <w:t>.</w:t>
      </w:r>
      <w:r>
        <w:rPr>
          <w:rFonts w:cs="Arial"/>
          <w:rtl/>
        </w:rPr>
        <w:t xml:space="preserve"> ואם מיחת בעת נישואיה </w:t>
      </w:r>
      <w:r>
        <w:rPr>
          <w:rFonts w:cs="Arial" w:hint="cs"/>
          <w:rtl/>
        </w:rPr>
        <w:t xml:space="preserve">- </w:t>
      </w:r>
      <w:r>
        <w:rPr>
          <w:rFonts w:cs="Arial"/>
          <w:rtl/>
        </w:rPr>
        <w:t>הרי זו מוציאה את הראוי לה כל זמן שתרצה</w:t>
      </w:r>
      <w:r>
        <w:rPr>
          <w:rFonts w:cs="Arial" w:hint="cs"/>
          <w:rtl/>
        </w:rPr>
        <w:t>.</w:t>
      </w:r>
      <w:r>
        <w:rPr>
          <w:rFonts w:cs="Arial"/>
          <w:rtl/>
        </w:rPr>
        <w:t xml:space="preserve"> בגרה ועודה בבית אביה בין שבגרה אחרי מותו בין שהניחה בוגרת</w:t>
      </w:r>
      <w:r>
        <w:rPr>
          <w:rFonts w:cs="Arial" w:hint="cs"/>
          <w:rtl/>
        </w:rPr>
        <w:t>,</w:t>
      </w:r>
      <w:r>
        <w:rPr>
          <w:rFonts w:cs="Arial"/>
          <w:rtl/>
        </w:rPr>
        <w:t xml:space="preserve"> אם פסקו האחין מלתת מזונותיה</w:t>
      </w:r>
      <w:r>
        <w:rPr>
          <w:rFonts w:cs="Arial" w:hint="cs"/>
          <w:rtl/>
        </w:rPr>
        <w:t>,</w:t>
      </w:r>
      <w:r>
        <w:rPr>
          <w:rFonts w:cs="Arial"/>
          <w:rtl/>
        </w:rPr>
        <w:t xml:space="preserve"> שהרי אין לה מזונות כמו שביארנו</w:t>
      </w:r>
      <w:r>
        <w:rPr>
          <w:rFonts w:cs="Arial" w:hint="cs"/>
          <w:rtl/>
        </w:rPr>
        <w:t>,</w:t>
      </w:r>
      <w:r>
        <w:rPr>
          <w:rFonts w:cs="Arial"/>
          <w:rtl/>
        </w:rPr>
        <w:t xml:space="preserve"> ושתקה ולא תבעה </w:t>
      </w:r>
      <w:r>
        <w:rPr>
          <w:rFonts w:cs="Arial" w:hint="cs"/>
          <w:rtl/>
        </w:rPr>
        <w:t xml:space="preserve">- </w:t>
      </w:r>
      <w:r>
        <w:rPr>
          <w:rFonts w:cs="Arial"/>
          <w:rtl/>
        </w:rPr>
        <w:t>איבדה פרנסתה</w:t>
      </w:r>
      <w:r>
        <w:rPr>
          <w:rFonts w:cs="Arial" w:hint="cs"/>
          <w:rtl/>
        </w:rPr>
        <w:t>.</w:t>
      </w:r>
      <w:r>
        <w:rPr>
          <w:rFonts w:cs="Arial"/>
          <w:rtl/>
        </w:rPr>
        <w:t xml:space="preserve"> לא פסקו האחים מזונותיה וזנו אותה בבגר </w:t>
      </w:r>
      <w:r>
        <w:rPr>
          <w:rFonts w:cs="Arial" w:hint="cs"/>
          <w:rtl/>
        </w:rPr>
        <w:t xml:space="preserve">- </w:t>
      </w:r>
      <w:r>
        <w:rPr>
          <w:rFonts w:cs="Arial"/>
          <w:rtl/>
        </w:rPr>
        <w:t>אע</w:t>
      </w:r>
      <w:r>
        <w:rPr>
          <w:rFonts w:cs="Arial" w:hint="cs"/>
          <w:rtl/>
        </w:rPr>
        <w:t>"</w:t>
      </w:r>
      <w:r>
        <w:rPr>
          <w:rFonts w:cs="Arial"/>
          <w:rtl/>
        </w:rPr>
        <w:t>פ שלא מחתה לא איבדה פרנסתה כל זמן שהם זנין אותה</w:t>
      </w:r>
      <w:r>
        <w:rPr>
          <w:rFonts w:cs="Arial" w:hint="cs"/>
          <w:rtl/>
        </w:rPr>
        <w:t>,</w:t>
      </w:r>
      <w:r>
        <w:rPr>
          <w:rFonts w:cs="Arial"/>
          <w:rtl/>
        </w:rPr>
        <w:t xml:space="preserve"> שיש לה לטעון מפני שהם זנין אותה אע</w:t>
      </w:r>
      <w:r>
        <w:rPr>
          <w:rFonts w:cs="Arial" w:hint="cs"/>
          <w:rtl/>
        </w:rPr>
        <w:t>"</w:t>
      </w:r>
      <w:r>
        <w:rPr>
          <w:rFonts w:cs="Arial"/>
          <w:rtl/>
        </w:rPr>
        <w:t>פ שאינם חייבים והיא עדיין לא נישאת מפני זה לא תבעה פרנסתה</w:t>
      </w:r>
      <w:r>
        <w:rPr>
          <w:rFonts w:cs="Arial" w:hint="cs"/>
          <w:rtl/>
        </w:rPr>
        <w:t xml:space="preserve">. </w:t>
      </w:r>
      <w:r w:rsidRPr="002B699E">
        <w:rPr>
          <w:rFonts w:cs="Arial" w:hint="cs"/>
          <w:sz w:val="16"/>
          <w:szCs w:val="16"/>
          <w:rtl/>
        </w:rPr>
        <w:t>(</w:t>
      </w:r>
      <w:r>
        <w:rPr>
          <w:rFonts w:cs="Arial" w:hint="cs"/>
          <w:sz w:val="16"/>
          <w:szCs w:val="16"/>
          <w:rtl/>
        </w:rPr>
        <w:t xml:space="preserve">עכ"ל. </w:t>
      </w:r>
      <w:r w:rsidRPr="002B699E">
        <w:rPr>
          <w:rFonts w:cs="Arial"/>
          <w:sz w:val="16"/>
          <w:szCs w:val="16"/>
          <w:rtl/>
        </w:rPr>
        <w:t>והר"ן (שם) כתב</w:t>
      </w:r>
      <w:r w:rsidRPr="002B699E">
        <w:rPr>
          <w:rFonts w:cs="Arial" w:hint="cs"/>
          <w:sz w:val="16"/>
          <w:szCs w:val="16"/>
          <w:rtl/>
        </w:rPr>
        <w:t>-</w:t>
      </w:r>
      <w:r w:rsidRPr="002B699E">
        <w:rPr>
          <w:rFonts w:cs="Arial"/>
          <w:sz w:val="16"/>
          <w:szCs w:val="16"/>
          <w:rtl/>
        </w:rPr>
        <w:t xml:space="preserve"> יש לתמוה על הרמב"ם שכתב בפ"כ נישאת הבת ולא מיחתה איבדה פרנסתה</w:t>
      </w:r>
      <w:r w:rsidRPr="002B699E">
        <w:rPr>
          <w:rFonts w:cs="Arial" w:hint="cs"/>
          <w:sz w:val="16"/>
          <w:szCs w:val="16"/>
          <w:rtl/>
        </w:rPr>
        <w:t>,</w:t>
      </w:r>
      <w:r w:rsidRPr="002B699E">
        <w:rPr>
          <w:rFonts w:cs="Arial"/>
          <w:sz w:val="16"/>
          <w:szCs w:val="16"/>
          <w:rtl/>
        </w:rPr>
        <w:t xml:space="preserve"> ולא חילק בין מיתזנא ללא מיתזנא עכ"ל</w:t>
      </w:r>
      <w:r w:rsidRPr="002B699E">
        <w:rPr>
          <w:rFonts w:cs="Arial" w:hint="cs"/>
          <w:sz w:val="16"/>
          <w:szCs w:val="16"/>
          <w:rtl/>
        </w:rPr>
        <w:t>.</w:t>
      </w:r>
      <w:r w:rsidRPr="002B699E">
        <w:rPr>
          <w:rFonts w:cs="Arial"/>
          <w:sz w:val="16"/>
          <w:szCs w:val="16"/>
          <w:rtl/>
        </w:rPr>
        <w:t xml:space="preserve"> ול"נ שהרמב"ם סמך על מה שכתב גבי בגרה שאם האחים זנין אותה בבגר אף על פי שלא מחתה לא איבדה פרנסתה כל זמן שזנין אותה</w:t>
      </w:r>
      <w:r w:rsidRPr="002B699E">
        <w:rPr>
          <w:rFonts w:cs="Arial" w:hint="cs"/>
          <w:sz w:val="16"/>
          <w:szCs w:val="16"/>
          <w:rtl/>
        </w:rPr>
        <w:t>,</w:t>
      </w:r>
      <w:r w:rsidRPr="002B699E">
        <w:rPr>
          <w:rFonts w:cs="Arial"/>
          <w:sz w:val="16"/>
          <w:szCs w:val="16"/>
          <w:rtl/>
        </w:rPr>
        <w:t xml:space="preserve"> וממילא משמע דהוא הדין לנישאת קודם שבגרה שאם זנין אותה אחר נישואיה לא איבדה</w:t>
      </w:r>
      <w:r w:rsidRPr="002B699E">
        <w:rPr>
          <w:rFonts w:cs="Arial" w:hint="cs"/>
          <w:sz w:val="16"/>
          <w:szCs w:val="16"/>
          <w:rtl/>
        </w:rPr>
        <w:t>, ב"י</w:t>
      </w:r>
      <w:r>
        <w:rPr>
          <w:rFonts w:cs="Arial" w:hint="cs"/>
          <w:sz w:val="16"/>
          <w:szCs w:val="16"/>
          <w:rtl/>
        </w:rPr>
        <w:t>).</w:t>
      </w:r>
    </w:p>
  </w:footnote>
  <w:footnote w:id="3045">
    <w:p w14:paraId="354074DB" w14:textId="77777777" w:rsidR="00DF1FC7" w:rsidRDefault="00DF1FC7" w:rsidP="002E5BAD">
      <w:pPr>
        <w:pStyle w:val="a5"/>
      </w:pPr>
      <w:r>
        <w:rPr>
          <w:rStyle w:val="a7"/>
        </w:rPr>
        <w:footnoteRef/>
      </w:r>
      <w:r>
        <w:rPr>
          <w:rtl/>
        </w:rPr>
        <w:t xml:space="preserve"> </w:t>
      </w:r>
      <w:r>
        <w:rPr>
          <w:rFonts w:hint="cs"/>
          <w:rtl/>
        </w:rPr>
        <w:t>הה"מ</w:t>
      </w:r>
      <w:r w:rsidRPr="00890FC4">
        <w:rPr>
          <w:rFonts w:hint="cs"/>
          <w:sz w:val="16"/>
          <w:szCs w:val="16"/>
          <w:rtl/>
        </w:rPr>
        <w:t xml:space="preserve"> (שם) </w:t>
      </w:r>
      <w:r>
        <w:rPr>
          <w:rFonts w:hint="cs"/>
          <w:rtl/>
        </w:rPr>
        <w:t xml:space="preserve">כתב שבדין נערה שהשיאוה לא נתבאר בדברי הרמב"ם האם פסיקת מזונות מועיל כמו שמיחתה </w:t>
      </w:r>
      <w:r w:rsidRPr="00890FC4">
        <w:rPr>
          <w:rFonts w:hint="cs"/>
          <w:sz w:val="16"/>
          <w:szCs w:val="16"/>
          <w:rtl/>
        </w:rPr>
        <w:t xml:space="preserve">(וז"ל- </w:t>
      </w:r>
      <w:r w:rsidRPr="00890FC4">
        <w:rPr>
          <w:rFonts w:cs="Arial"/>
          <w:sz w:val="16"/>
          <w:szCs w:val="16"/>
          <w:rtl/>
        </w:rPr>
        <w:t>נישאת בנערות ולא בגרה אינה צריכה למחות כיון שנזונת מהם ופירש רש"י שנזונת אחר נישואיה מן האחים וחילוק זה לא נתבאר בדברי רבינו ואולי יש לו בזה דעת אחרת</w:t>
      </w:r>
      <w:r w:rsidRPr="00890FC4">
        <w:rPr>
          <w:rFonts w:cs="Arial" w:hint="cs"/>
          <w:sz w:val="16"/>
          <w:szCs w:val="16"/>
          <w:rtl/>
        </w:rPr>
        <w:t>)</w:t>
      </w:r>
      <w:r w:rsidRPr="002B699E">
        <w:rPr>
          <w:rFonts w:cs="Arial"/>
          <w:rtl/>
        </w:rPr>
        <w:t>.</w:t>
      </w:r>
      <w:r w:rsidRPr="00AC0BA4">
        <w:rPr>
          <w:rtl/>
        </w:rPr>
        <w:t xml:space="preserve"> </w:t>
      </w:r>
      <w:r w:rsidRPr="00AC0BA4">
        <w:rPr>
          <w:rFonts w:cs="Arial"/>
          <w:rtl/>
        </w:rPr>
        <w:t xml:space="preserve">והר"ן (שם) </w:t>
      </w:r>
      <w:r>
        <w:rPr>
          <w:rFonts w:cs="Arial" w:hint="cs"/>
          <w:rtl/>
        </w:rPr>
        <w:t>אכן תמה על זה ו</w:t>
      </w:r>
      <w:r w:rsidRPr="00AC0BA4">
        <w:rPr>
          <w:rFonts w:cs="Arial"/>
          <w:rtl/>
        </w:rPr>
        <w:t>כתב</w:t>
      </w:r>
      <w:r>
        <w:rPr>
          <w:rFonts w:cs="Arial" w:hint="cs"/>
          <w:rtl/>
        </w:rPr>
        <w:t>-</w:t>
      </w:r>
      <w:r w:rsidRPr="00AC0BA4">
        <w:rPr>
          <w:rFonts w:cs="Arial"/>
          <w:rtl/>
        </w:rPr>
        <w:t xml:space="preserve"> יש לתמוה על הרמב"ם שכתב בפ"כ נישאת הבת ולא מיחתה איבדה פרנסתה ולא חילק בין מיתזנא ללא מיתזנא עכ"ל</w:t>
      </w:r>
      <w:r>
        <w:rPr>
          <w:rFonts w:cs="Arial" w:hint="cs"/>
          <w:rtl/>
        </w:rPr>
        <w:t>. אך הב"י כתב-</w:t>
      </w:r>
      <w:r w:rsidRPr="00AC0BA4">
        <w:rPr>
          <w:rFonts w:cs="Arial"/>
          <w:rtl/>
        </w:rPr>
        <w:t xml:space="preserve"> ול"נ שהרמב"ם סמך על מה שכתב גבי בגרה שאם האחים זנין אותה בבגר אף על פי שלא מחתה לא איבדה פרנסתה כל זמן שזנין אותה וממילא משמע דהוא הדין לנישאת קודם שבגרה שאם זנין אותה אחר נישואיה לא איבדה</w:t>
      </w:r>
      <w:r>
        <w:rPr>
          <w:rFonts w:hint="cs"/>
          <w:rtl/>
        </w:rPr>
        <w:t>.</w:t>
      </w:r>
    </w:p>
  </w:footnote>
  <w:footnote w:id="3046">
    <w:p w14:paraId="04CFBD58" w14:textId="77777777" w:rsidR="00DF1FC7" w:rsidRDefault="00DF1FC7" w:rsidP="002E5BAD">
      <w:pPr>
        <w:pStyle w:val="a5"/>
      </w:pPr>
      <w:r>
        <w:rPr>
          <w:rStyle w:val="a7"/>
        </w:rPr>
        <w:footnoteRef/>
      </w:r>
      <w:r>
        <w:rPr>
          <w:rtl/>
        </w:rPr>
        <w:t xml:space="preserve"> </w:t>
      </w:r>
      <w:r>
        <w:rPr>
          <w:rFonts w:cs="Arial" w:hint="cs"/>
          <w:rtl/>
        </w:rPr>
        <w:t>ואע"ג ש</w:t>
      </w:r>
      <w:r>
        <w:rPr>
          <w:rFonts w:cs="Arial"/>
          <w:rtl/>
        </w:rPr>
        <w:t>מיחתה בבגרות צריכה למחות בנישואין</w:t>
      </w:r>
      <w:r>
        <w:rPr>
          <w:rFonts w:cs="Arial" w:hint="cs"/>
          <w:rtl/>
        </w:rPr>
        <w:t>,</w:t>
      </w:r>
      <w:r>
        <w:rPr>
          <w:rFonts w:cs="Arial"/>
          <w:rtl/>
        </w:rPr>
        <w:t xml:space="preserve"> ואם לא מיחת הפסידה</w:t>
      </w:r>
      <w:r>
        <w:rPr>
          <w:rFonts w:cs="Arial" w:hint="cs"/>
          <w:rtl/>
        </w:rPr>
        <w:t>,</w:t>
      </w:r>
      <w:r w:rsidRPr="0017283A">
        <w:rPr>
          <w:rFonts w:cs="Arial"/>
          <w:rtl/>
        </w:rPr>
        <w:t xml:space="preserve"> </w:t>
      </w:r>
      <w:r>
        <w:rPr>
          <w:rFonts w:cs="Arial"/>
          <w:rtl/>
        </w:rPr>
        <w:t>ר"ן (ל ריש ע"ב) בשם הרא"ה (סח: ד"ה טעמא)</w:t>
      </w:r>
      <w:r>
        <w:rPr>
          <w:rFonts w:cs="Arial" w:hint="cs"/>
          <w:rtl/>
        </w:rPr>
        <w:t>.</w:t>
      </w:r>
      <w:r w:rsidRPr="00843F20">
        <w:rPr>
          <w:rFonts w:cs="Arial" w:hint="cs"/>
          <w:rtl/>
        </w:rPr>
        <w:t xml:space="preserve"> </w:t>
      </w:r>
      <w:r w:rsidRPr="00843F20">
        <w:rPr>
          <w:rFonts w:cs="Arial"/>
          <w:rtl/>
        </w:rPr>
        <w:t>וכן נראה מדברי המ"מ פ"כ (הי"ג) שזה דעת הרמב"ם</w:t>
      </w:r>
      <w:r w:rsidRPr="00843F20">
        <w:rPr>
          <w:rFonts w:cs="Arial" w:hint="cs"/>
          <w:rtl/>
        </w:rPr>
        <w:t>, דרכ"מ (אות יא).</w:t>
      </w:r>
    </w:p>
  </w:footnote>
  <w:footnote w:id="3047">
    <w:p w14:paraId="309F8CE5" w14:textId="77777777" w:rsidR="00DF1FC7" w:rsidRDefault="00DF1FC7" w:rsidP="002E5BAD">
      <w:pPr>
        <w:pStyle w:val="a5"/>
      </w:pPr>
      <w:r>
        <w:rPr>
          <w:rStyle w:val="a7"/>
        </w:rPr>
        <w:footnoteRef/>
      </w:r>
      <w:r>
        <w:rPr>
          <w:rtl/>
        </w:rPr>
        <w:t xml:space="preserve"> </w:t>
      </w:r>
      <w:r w:rsidRPr="005E4268">
        <w:rPr>
          <w:rFonts w:cs="Arial"/>
          <w:rtl/>
        </w:rPr>
        <w:t>נראה דטעמו משום דלשם תניא רבי אומר בת הניזונית מן האחין נוטלת עישור נכסים ואמרינן התם ניזונית אין שאינה ניזונית לא</w:t>
      </w:r>
      <w:r>
        <w:rPr>
          <w:rFonts w:cs="Arial" w:hint="cs"/>
          <w:rtl/>
        </w:rPr>
        <w:t>.</w:t>
      </w:r>
      <w:r w:rsidRPr="005E4268">
        <w:rPr>
          <w:rFonts w:cs="Arial"/>
          <w:rtl/>
        </w:rPr>
        <w:t xml:space="preserve"> וכיון דקיי"ל כרב בפרק נערה (נג</w:t>
      </w:r>
      <w:r>
        <w:rPr>
          <w:rFonts w:cs="Arial" w:hint="cs"/>
          <w:rtl/>
        </w:rPr>
        <w:t>:</w:t>
      </w:r>
      <w:r w:rsidRPr="005E4268">
        <w:rPr>
          <w:rFonts w:cs="Arial"/>
          <w:rtl/>
        </w:rPr>
        <w:t>) דיתומה נערה ארוסה אין לה מזונות מן האחין</w:t>
      </w:r>
      <w:r>
        <w:rPr>
          <w:rFonts w:cs="Arial" w:hint="cs"/>
          <w:rtl/>
        </w:rPr>
        <w:t>,</w:t>
      </w:r>
      <w:r w:rsidRPr="005E4268">
        <w:rPr>
          <w:rFonts w:cs="Arial"/>
          <w:rtl/>
        </w:rPr>
        <w:t xml:space="preserve"> וכדלעיל סימן קי"ב</w:t>
      </w:r>
      <w:r>
        <w:rPr>
          <w:rFonts w:cs="Arial" w:hint="cs"/>
          <w:rtl/>
        </w:rPr>
        <w:t>,</w:t>
      </w:r>
      <w:r w:rsidRPr="005E4268">
        <w:rPr>
          <w:rFonts w:cs="Arial"/>
          <w:rtl/>
        </w:rPr>
        <w:t xml:space="preserve"> אם כן אין לארוסה נערה פרנסה מן האחין דהיינו עישור נכסים</w:t>
      </w:r>
      <w:r>
        <w:rPr>
          <w:rFonts w:cs="Arial" w:hint="cs"/>
          <w:rtl/>
        </w:rPr>
        <w:t>,</w:t>
      </w:r>
      <w:r w:rsidRPr="005E4268">
        <w:rPr>
          <w:rFonts w:cs="Arial"/>
          <w:rtl/>
        </w:rPr>
        <w:t xml:space="preserve"> כדדייקינן ניזונית אין שאינה ניזונית לא</w:t>
      </w:r>
      <w:r>
        <w:rPr>
          <w:rFonts w:cs="Arial" w:hint="cs"/>
          <w:rtl/>
        </w:rPr>
        <w:t>,</w:t>
      </w:r>
      <w:r w:rsidRPr="005E4268">
        <w:rPr>
          <w:rFonts w:cs="Arial"/>
          <w:rtl/>
        </w:rPr>
        <w:t xml:space="preserve"> ובפרק מציאת האשה מוקי נמי להך ברייתא דרבי בדלא מחאי</w:t>
      </w:r>
      <w:r>
        <w:rPr>
          <w:rFonts w:cs="Arial" w:hint="cs"/>
          <w:rtl/>
        </w:rPr>
        <w:t>,</w:t>
      </w:r>
      <w:r w:rsidRPr="005E4268">
        <w:rPr>
          <w:rFonts w:cs="Arial"/>
          <w:rtl/>
        </w:rPr>
        <w:t xml:space="preserve"> וכיון דלית לה נמי מזוני איבדה פרנסתה השתא לפ"ז דינו של הרמ"ה נמצא לו שורש בסוגיא דתלמודא</w:t>
      </w:r>
      <w:r>
        <w:rPr>
          <w:rFonts w:cs="Arial" w:hint="cs"/>
          <w:rtl/>
        </w:rPr>
        <w:t>, ב"ח.</w:t>
      </w:r>
    </w:p>
  </w:footnote>
  <w:footnote w:id="3048">
    <w:p w14:paraId="73ED024F" w14:textId="77777777" w:rsidR="00DF1FC7" w:rsidRDefault="00DF1FC7" w:rsidP="002E5BAD">
      <w:pPr>
        <w:pStyle w:val="a5"/>
      </w:pPr>
      <w:r>
        <w:rPr>
          <w:rStyle w:val="a7"/>
        </w:rPr>
        <w:footnoteRef/>
      </w:r>
      <w:r>
        <w:rPr>
          <w:rtl/>
        </w:rPr>
        <w:t xml:space="preserve"> </w:t>
      </w:r>
      <w:r w:rsidRPr="005973FB">
        <w:rPr>
          <w:rFonts w:cs="Arial"/>
          <w:rtl/>
        </w:rPr>
        <w:t>והשתא לפי דעת התוספות ולמאי דאיפסקא בגמרא דהלכה כרבי נערה ארוסה כיון דמדינא יש לה מזונות מן האחים ואף על פי דאין נותנים לה מזונות ואף לא מיחתה לא איבדה פרנסתה דלא כהרמ"ה</w:t>
      </w:r>
      <w:r>
        <w:rPr>
          <w:rFonts w:cs="Arial" w:hint="cs"/>
          <w:rtl/>
        </w:rPr>
        <w:t>, ב"ח.</w:t>
      </w:r>
      <w:r>
        <w:rPr>
          <w:rFonts w:hint="cs"/>
          <w:rtl/>
        </w:rPr>
        <w:t xml:space="preserve"> ועיין בב"ש (סקי"ח) במש"כ ואם אירסה בעת הנערות וכו'.</w:t>
      </w:r>
    </w:p>
  </w:footnote>
  <w:footnote w:id="3049">
    <w:p w14:paraId="667E77B9" w14:textId="77777777" w:rsidR="00DF1FC7" w:rsidRDefault="00DF1FC7" w:rsidP="002E5BAD">
      <w:pPr>
        <w:pStyle w:val="a5"/>
      </w:pPr>
      <w:r>
        <w:rPr>
          <w:rStyle w:val="a7"/>
        </w:rPr>
        <w:footnoteRef/>
      </w:r>
      <w:r>
        <w:rPr>
          <w:rtl/>
        </w:rPr>
        <w:t xml:space="preserve"> </w:t>
      </w:r>
      <w:r w:rsidRPr="008016E2">
        <w:rPr>
          <w:rFonts w:cs="Arial"/>
          <w:rtl/>
        </w:rPr>
        <w:t xml:space="preserve">אפילו מתה הבת </w:t>
      </w:r>
      <w:r>
        <w:rPr>
          <w:rFonts w:cs="Arial" w:hint="cs"/>
          <w:rtl/>
        </w:rPr>
        <w:t xml:space="preserve">- </w:t>
      </w:r>
      <w:r w:rsidRPr="008016E2">
        <w:rPr>
          <w:rFonts w:cs="Arial"/>
          <w:rtl/>
        </w:rPr>
        <w:t>יורשים נוטלין עישור נכסים מן האחים</w:t>
      </w:r>
      <w:r>
        <w:rPr>
          <w:rFonts w:cs="Arial" w:hint="cs"/>
          <w:rtl/>
        </w:rPr>
        <w:t>.</w:t>
      </w:r>
      <w:r w:rsidRPr="008016E2">
        <w:rPr>
          <w:rFonts w:cs="Arial"/>
          <w:rtl/>
        </w:rPr>
        <w:t xml:space="preserve"> הר"ם מטראני ח"ב סי' קפ"ח</w:t>
      </w:r>
      <w:r>
        <w:rPr>
          <w:rFonts w:cs="Arial" w:hint="cs"/>
          <w:rtl/>
        </w:rPr>
        <w:t>, באה"ט (סקי"ז).</w:t>
      </w:r>
    </w:p>
  </w:footnote>
  <w:footnote w:id="3050">
    <w:p w14:paraId="1CC3EB1F" w14:textId="77777777" w:rsidR="00DF1FC7" w:rsidRDefault="00DF1FC7" w:rsidP="002E5BAD">
      <w:pPr>
        <w:pStyle w:val="a5"/>
        <w:rPr>
          <w:rtl/>
        </w:rPr>
      </w:pPr>
      <w:r>
        <w:rPr>
          <w:rStyle w:val="a7"/>
        </w:rPr>
        <w:footnoteRef/>
      </w:r>
      <w:r>
        <w:rPr>
          <w:rtl/>
        </w:rPr>
        <w:t xml:space="preserve"> </w:t>
      </w:r>
      <w:r w:rsidRPr="00AD6567">
        <w:rPr>
          <w:rFonts w:cs="Arial"/>
          <w:rtl/>
        </w:rPr>
        <w:t>והיינו דוקא שלא מחלה בהדיא אלא נתרצית ולקחה מה שנתנו לה ושתקה אבל הגיעו לעונת פעוטו' ומחלה בהדיא מחילתה מחילה במטלטלי עיין במרדכי</w:t>
      </w:r>
      <w:r>
        <w:rPr>
          <w:rFonts w:cs="Arial" w:hint="cs"/>
          <w:rtl/>
        </w:rPr>
        <w:t xml:space="preserve"> (סי' קצ)</w:t>
      </w:r>
      <w:r>
        <w:rPr>
          <w:rFonts w:hint="cs"/>
          <w:rtl/>
        </w:rPr>
        <w:t>, ח"מ (סקי"ט).</w:t>
      </w:r>
      <w:r w:rsidRPr="002309D5">
        <w:rPr>
          <w:rtl/>
        </w:rPr>
        <w:t xml:space="preserve"> </w:t>
      </w:r>
      <w:r w:rsidRPr="002309D5">
        <w:rPr>
          <w:rFonts w:cs="Arial"/>
          <w:rtl/>
        </w:rPr>
        <w:t xml:space="preserve">מיהו לדעת הרשב"א </w:t>
      </w:r>
      <w:r>
        <w:rPr>
          <w:rFonts w:cs="Arial" w:hint="cs"/>
          <w:rtl/>
        </w:rPr>
        <w:t xml:space="preserve">(כתובות נג: ד"ה כי פליגי) </w:t>
      </w:r>
      <w:r w:rsidRPr="002309D5">
        <w:rPr>
          <w:rFonts w:cs="Arial"/>
          <w:rtl/>
        </w:rPr>
        <w:t xml:space="preserve">אפילו מחילה בפי' לא מהני כמ"ש בהר"ן </w:t>
      </w:r>
      <w:r>
        <w:rPr>
          <w:rFonts w:cs="Arial" w:hint="cs"/>
          <w:rtl/>
        </w:rPr>
        <w:t>(יט: - כ. מדפה"ר)</w:t>
      </w:r>
      <w:r>
        <w:rPr>
          <w:rFonts w:hint="cs"/>
          <w:rtl/>
        </w:rPr>
        <w:t>, ב"ש (סקי"ז).</w:t>
      </w:r>
    </w:p>
  </w:footnote>
  <w:footnote w:id="3051">
    <w:p w14:paraId="231FC1DB" w14:textId="77777777" w:rsidR="00DF1FC7" w:rsidRDefault="00DF1FC7" w:rsidP="002E5BAD">
      <w:pPr>
        <w:pStyle w:val="a5"/>
        <w:rPr>
          <w:rtl/>
        </w:rPr>
      </w:pPr>
      <w:r>
        <w:rPr>
          <w:rStyle w:val="a7"/>
        </w:rPr>
        <w:footnoteRef/>
      </w:r>
      <w:r>
        <w:rPr>
          <w:rtl/>
        </w:rPr>
        <w:t xml:space="preserve"> </w:t>
      </w:r>
      <w:r>
        <w:rPr>
          <w:rFonts w:hint="cs"/>
          <w:rtl/>
        </w:rPr>
        <w:t xml:space="preserve">זה חוזר רק על מי שהייתה נערה ונשאת. אבל אם הייתה בוגרת ונשאת </w:t>
      </w:r>
      <w:r>
        <w:rPr>
          <w:rtl/>
        </w:rPr>
        <w:t>–</w:t>
      </w:r>
      <w:r>
        <w:rPr>
          <w:rFonts w:hint="cs"/>
          <w:rtl/>
        </w:rPr>
        <w:t xml:space="preserve"> לא מועיל מה שאחיה זנים אותה. וכמו שכתב הב"י בדעת הרמב"ם לאחר תמיהת הר"ן. וכ"כ ח"מ (סק"כ) וב"ש (סקי"ח).</w:t>
      </w:r>
    </w:p>
  </w:footnote>
  <w:footnote w:id="3052">
    <w:p w14:paraId="145CADE0" w14:textId="77777777" w:rsidR="00DF1FC7" w:rsidRDefault="00DF1FC7" w:rsidP="002E5BAD">
      <w:pPr>
        <w:pStyle w:val="a5"/>
      </w:pPr>
      <w:r>
        <w:rPr>
          <w:rStyle w:val="a7"/>
        </w:rPr>
        <w:footnoteRef/>
      </w:r>
      <w:r>
        <w:rPr>
          <w:rtl/>
        </w:rPr>
        <w:t xml:space="preserve"> </w:t>
      </w:r>
      <w:r w:rsidRPr="002309D5">
        <w:rPr>
          <w:rFonts w:cs="Arial"/>
          <w:rtl/>
        </w:rPr>
        <w:t xml:space="preserve">כתב בט"ז </w:t>
      </w:r>
      <w:r>
        <w:rPr>
          <w:rFonts w:cs="Arial" w:hint="cs"/>
          <w:rtl/>
        </w:rPr>
        <w:t xml:space="preserve">(סק"ח) </w:t>
      </w:r>
      <w:r w:rsidRPr="002309D5">
        <w:rPr>
          <w:rFonts w:cs="Arial"/>
          <w:rtl/>
        </w:rPr>
        <w:t xml:space="preserve">בזה"ז </w:t>
      </w:r>
      <w:r>
        <w:rPr>
          <w:rFonts w:cs="Arial" w:hint="cs"/>
          <w:rtl/>
        </w:rPr>
        <w:t>ש</w:t>
      </w:r>
      <w:r w:rsidRPr="002309D5">
        <w:rPr>
          <w:rFonts w:cs="Arial"/>
          <w:rtl/>
        </w:rPr>
        <w:t>אנחנו במתי מעט הכל מודים דלא אבדה פרנסתה</w:t>
      </w:r>
      <w:r>
        <w:rPr>
          <w:rFonts w:cs="Arial" w:hint="cs"/>
          <w:rtl/>
        </w:rPr>
        <w:t>,</w:t>
      </w:r>
      <w:r w:rsidRPr="002309D5">
        <w:rPr>
          <w:rFonts w:cs="Arial"/>
          <w:rtl/>
        </w:rPr>
        <w:t xml:space="preserve"> דאין ראיה במה שלא השיאה די"ל דלא אזדמן ליה זיווג הגון</w:t>
      </w:r>
      <w:r>
        <w:rPr>
          <w:rFonts w:cs="Arial" w:hint="cs"/>
          <w:rtl/>
        </w:rPr>
        <w:t>, ב"ש (סקי"ט).</w:t>
      </w:r>
      <w:r w:rsidRPr="008016E2">
        <w:rPr>
          <w:rtl/>
        </w:rPr>
        <w:t xml:space="preserve"> </w:t>
      </w:r>
      <w:r w:rsidRPr="008016E2">
        <w:rPr>
          <w:rFonts w:cs="Arial"/>
          <w:rtl/>
        </w:rPr>
        <w:t>וכ"כ בה"י בסי' נ"ז ע"ש. ואין האחים יכולין לומר קים לנו כהר"י והרא"ש מאחר שבזמן הזה לא משיאין הבנות קודם שיבגרו אפילו שהאבות הם עשירים עבודת הגרשוני סי' ט' ע"ש</w:t>
      </w:r>
      <w:r>
        <w:rPr>
          <w:rFonts w:hint="cs"/>
          <w:rtl/>
        </w:rPr>
        <w:t>, באה"ט (סק"כ).</w:t>
      </w:r>
      <w:r w:rsidRPr="008016E2">
        <w:rPr>
          <w:rFonts w:cs="Arial"/>
          <w:rtl/>
        </w:rPr>
        <w:t xml:space="preserve"> </w:t>
      </w:r>
      <w:r w:rsidRPr="00CC3CA9">
        <w:rPr>
          <w:rFonts w:cs="Arial"/>
          <w:rtl/>
        </w:rPr>
        <w:t xml:space="preserve">ועיין מזה בתשו' חות יאיר </w:t>
      </w:r>
      <w:r>
        <w:rPr>
          <w:rFonts w:cs="Arial" w:hint="cs"/>
          <w:rtl/>
        </w:rPr>
        <w:t>(</w:t>
      </w:r>
      <w:r w:rsidRPr="00CC3CA9">
        <w:rPr>
          <w:rFonts w:cs="Arial"/>
          <w:rtl/>
        </w:rPr>
        <w:t xml:space="preserve">סי' פ"ה ופ"ו) ועיין בתשו' נו"ב </w:t>
      </w:r>
      <w:r>
        <w:rPr>
          <w:rFonts w:cs="Arial" w:hint="cs"/>
          <w:rtl/>
        </w:rPr>
        <w:t>(</w:t>
      </w:r>
      <w:r w:rsidRPr="00CC3CA9">
        <w:rPr>
          <w:rFonts w:cs="Arial"/>
          <w:rtl/>
        </w:rPr>
        <w:t>ח</w:t>
      </w:r>
      <w:r>
        <w:rPr>
          <w:rFonts w:cs="Arial" w:hint="cs"/>
          <w:rtl/>
        </w:rPr>
        <w:t>ו</w:t>
      </w:r>
      <w:r w:rsidRPr="00CC3CA9">
        <w:rPr>
          <w:rFonts w:cs="Arial"/>
          <w:rtl/>
        </w:rPr>
        <w:t>"מ סי' לג</w:t>
      </w:r>
      <w:r>
        <w:rPr>
          <w:rFonts w:cs="Arial" w:hint="cs"/>
          <w:rtl/>
        </w:rPr>
        <w:t>)</w:t>
      </w:r>
      <w:r w:rsidRPr="00CC3CA9">
        <w:rPr>
          <w:rFonts w:cs="Arial"/>
          <w:rtl/>
        </w:rPr>
        <w:t xml:space="preserve"> שכ' דבעיניו דברים הללו אינם נכונים דאטו אמר הר"ר יונה שבוגרת איבדה פרנסתה דא"כ שפיר הי' הט"ז ממציא שבזמנינו לא איבדה אבל הר"ר יונה אמר שלא תיקנו לבוגרת וא"כ אף בזמנינו במה תזכה ומי תיקן מה שלא תיקנו חכמי המשנה וגם ראיית העה"ג בסי' ט' מדברי התוס' בכתובות </w:t>
      </w:r>
      <w:r>
        <w:rPr>
          <w:rFonts w:cs="Arial" w:hint="cs"/>
          <w:rtl/>
        </w:rPr>
        <w:t>(</w:t>
      </w:r>
      <w:r w:rsidRPr="00CC3CA9">
        <w:rPr>
          <w:rFonts w:cs="Arial"/>
          <w:rtl/>
        </w:rPr>
        <w:t>נא</w:t>
      </w:r>
      <w:r>
        <w:rPr>
          <w:rFonts w:cs="Arial" w:hint="cs"/>
          <w:rtl/>
        </w:rPr>
        <w:t>.</w:t>
      </w:r>
      <w:r w:rsidRPr="00CC3CA9">
        <w:rPr>
          <w:rFonts w:cs="Arial"/>
          <w:rtl/>
        </w:rPr>
        <w:t xml:space="preserve"> בד"ה קרקעי הובא בש"ע לעיל סעי' ג') אינה ראיה ולכן עלה על דעתי שלדעת הרר"י והרא"ש קשה מאד להוציא מהיורשים פרנסה לבוגרת בסברות חלושות</w:t>
      </w:r>
      <w:r>
        <w:rPr>
          <w:rFonts w:cs="Arial" w:hint="cs"/>
          <w:rtl/>
        </w:rPr>
        <w:t>.</w:t>
      </w:r>
      <w:r w:rsidRPr="00CC3CA9">
        <w:rPr>
          <w:rFonts w:cs="Arial"/>
          <w:rtl/>
        </w:rPr>
        <w:t xml:space="preserve"> אבל מה אעשה והרמב"ם פסק להדיא שבגרה בחיי האב יש לה פרנסה ומרן המחבר ג"כ סתם כמותו רק רמ"א הביא דעת החולקים ועל דברי רמ"א הביא הב"ש דברי הט"ז הנ"ל וכבר פשט המנהג כדברי הט"ז וקשה לפסוק נגד המנהג עכ"ד ע"ש. ועמ"ש לעיל סי' נ סקט"ו</w:t>
      </w:r>
      <w:r>
        <w:rPr>
          <w:rFonts w:cs="Arial" w:hint="cs"/>
          <w:rtl/>
        </w:rPr>
        <w:t>, פת"ש (סקי"ג).</w:t>
      </w:r>
    </w:p>
  </w:footnote>
  <w:footnote w:id="3053">
    <w:p w14:paraId="42873082" w14:textId="77777777" w:rsidR="00DF1FC7" w:rsidRDefault="00DF1FC7" w:rsidP="002E5BAD">
      <w:pPr>
        <w:pStyle w:val="a5"/>
      </w:pPr>
      <w:r>
        <w:rPr>
          <w:rStyle w:val="a7"/>
        </w:rPr>
        <w:footnoteRef/>
      </w:r>
      <w:r>
        <w:rPr>
          <w:rtl/>
        </w:rPr>
        <w:t xml:space="preserve"> </w:t>
      </w:r>
      <w:r w:rsidRPr="008016E2">
        <w:rPr>
          <w:rFonts w:cs="Arial"/>
          <w:rtl/>
        </w:rPr>
        <w:t>וכל אלו היכ' שהפסידה אין חילוק בין אם ידעה הדין לבין אם לא ידעה ע' מהריב"ל סי' נ</w:t>
      </w:r>
      <w:r>
        <w:rPr>
          <w:rFonts w:cs="Arial" w:hint="cs"/>
          <w:rtl/>
        </w:rPr>
        <w:t>', באה"ט (סקי"ט).</w:t>
      </w:r>
    </w:p>
  </w:footnote>
  <w:footnote w:id="3054">
    <w:p w14:paraId="575CC5AA" w14:textId="77777777" w:rsidR="00DF1FC7" w:rsidRDefault="00DF1FC7" w:rsidP="002E5BAD">
      <w:pPr>
        <w:pStyle w:val="a5"/>
        <w:rPr>
          <w:rtl/>
        </w:rPr>
      </w:pPr>
      <w:r>
        <w:rPr>
          <w:rStyle w:val="a7"/>
        </w:rPr>
        <w:footnoteRef/>
      </w:r>
      <w:r>
        <w:rPr>
          <w:rtl/>
        </w:rPr>
        <w:t xml:space="preserve"> </w:t>
      </w:r>
      <w:r w:rsidRPr="00C9116C">
        <w:rPr>
          <w:rFonts w:cs="Arial"/>
          <w:rtl/>
        </w:rPr>
        <w:t>היינו מטעם דלא אמרו חז"ל שויתר</w:t>
      </w:r>
      <w:r>
        <w:rPr>
          <w:rFonts w:cs="Arial" w:hint="cs"/>
          <w:rtl/>
        </w:rPr>
        <w:t>ה</w:t>
      </w:r>
      <w:r w:rsidRPr="00C9116C">
        <w:rPr>
          <w:rFonts w:cs="Arial"/>
          <w:rtl/>
        </w:rPr>
        <w:t xml:space="preserve"> אלא בכה"ג שהוא תקנות חז"ל אבל שאר זכות לא הפסידה אפילו אם שתקה</w:t>
      </w:r>
      <w:r>
        <w:rPr>
          <w:rFonts w:cs="Arial" w:hint="cs"/>
          <w:rtl/>
        </w:rPr>
        <w:t>.</w:t>
      </w:r>
      <w:r>
        <w:rPr>
          <w:rFonts w:hint="cs"/>
          <w:rtl/>
        </w:rPr>
        <w:t xml:space="preserve"> </w:t>
      </w:r>
      <w:r w:rsidRPr="00C9116C">
        <w:rPr>
          <w:rFonts w:cs="Arial"/>
          <w:rtl/>
        </w:rPr>
        <w:t xml:space="preserve">ועיין בגוף התשובה </w:t>
      </w:r>
      <w:r>
        <w:rPr>
          <w:rFonts w:cs="Arial" w:hint="cs"/>
          <w:rtl/>
        </w:rPr>
        <w:t>ד</w:t>
      </w:r>
      <w:r w:rsidRPr="00C9116C">
        <w:rPr>
          <w:rFonts w:cs="Arial"/>
          <w:rtl/>
        </w:rPr>
        <w:t>יש שם ט"</w:t>
      </w:r>
      <w:r>
        <w:rPr>
          <w:rFonts w:cs="Arial" w:hint="cs"/>
          <w:rtl/>
        </w:rPr>
        <w:t>ס</w:t>
      </w:r>
      <w:r w:rsidRPr="00C9116C">
        <w:rPr>
          <w:rFonts w:cs="Arial"/>
          <w:rtl/>
        </w:rPr>
        <w:t xml:space="preserve"> בסוף התשובה מ"ש </w:t>
      </w:r>
      <w:r>
        <w:rPr>
          <w:rFonts w:cs="Arial" w:hint="cs"/>
          <w:rtl/>
        </w:rPr>
        <w:t>'</w:t>
      </w:r>
      <w:r w:rsidRPr="00C9116C">
        <w:rPr>
          <w:rFonts w:cs="Arial"/>
          <w:rtl/>
        </w:rPr>
        <w:t>יותר משליש</w:t>
      </w:r>
      <w:r>
        <w:rPr>
          <w:rFonts w:cs="Arial" w:hint="cs"/>
          <w:rtl/>
        </w:rPr>
        <w:t>'</w:t>
      </w:r>
      <w:r w:rsidRPr="00C9116C">
        <w:rPr>
          <w:rFonts w:cs="Arial"/>
          <w:rtl/>
        </w:rPr>
        <w:t xml:space="preserve"> וצ"ל </w:t>
      </w:r>
      <w:r>
        <w:rPr>
          <w:rFonts w:cs="Arial" w:hint="cs"/>
          <w:rtl/>
        </w:rPr>
        <w:t>'</w:t>
      </w:r>
      <w:r w:rsidRPr="00C9116C">
        <w:rPr>
          <w:rFonts w:cs="Arial"/>
          <w:rtl/>
        </w:rPr>
        <w:t>פחות משליש</w:t>
      </w:r>
      <w:r>
        <w:rPr>
          <w:rFonts w:cs="Arial" w:hint="cs"/>
          <w:rtl/>
        </w:rPr>
        <w:t>', ב"ש (סק"כ).</w:t>
      </w:r>
      <w:r>
        <w:rPr>
          <w:rFonts w:hint="cs"/>
          <w:rtl/>
        </w:rPr>
        <w:t xml:space="preserve"> אך הח"מ (סקכ"א) והט"ז (סק"ט) חולקים על הבנת הרמ"א, ע"ש כל אחד לטעמו. וכתב הפת"ח (ח"ט פי"ב אות קלה) </w:t>
      </w:r>
      <w:r>
        <w:rPr>
          <w:rFonts w:cs="Arial"/>
          <w:rtl/>
        </w:rPr>
        <w:t xml:space="preserve">והנלע"ד בכונת הרשב"א במה שהוסיף תנאי שבזמן שישיאו אותה וכו' תטול נדוניא ותסתלק, שבא לומר שאם היא פסקה להכניס לבעלה פחות משליש הנכסים בנדוניא, מסתלקת מהשאר, אבל אם רוצה האח לפסוק לה שתכניס פחות משליש לאו כל כמיניה, ויכולה לתבוע עד שליש הנכסים, אא"כ היא עצמה לא הכניסה יותר, ועי' ברמ"א חו"מ </w:t>
      </w:r>
      <w:r w:rsidRPr="00EC664B">
        <w:rPr>
          <w:rFonts w:cs="Arial"/>
          <w:sz w:val="16"/>
          <w:szCs w:val="16"/>
          <w:rtl/>
        </w:rPr>
        <w:t>(סי</w:t>
      </w:r>
      <w:r w:rsidRPr="00EC664B">
        <w:rPr>
          <w:rFonts w:cs="Arial" w:hint="cs"/>
          <w:sz w:val="16"/>
          <w:szCs w:val="16"/>
          <w:rtl/>
        </w:rPr>
        <w:t>'</w:t>
      </w:r>
      <w:r w:rsidRPr="00EC664B">
        <w:rPr>
          <w:rFonts w:cs="Arial"/>
          <w:sz w:val="16"/>
          <w:szCs w:val="16"/>
          <w:rtl/>
        </w:rPr>
        <w:t xml:space="preserve"> רנג סע</w:t>
      </w:r>
      <w:r w:rsidRPr="00EC664B">
        <w:rPr>
          <w:rFonts w:cs="Arial" w:hint="cs"/>
          <w:sz w:val="16"/>
          <w:szCs w:val="16"/>
          <w:rtl/>
        </w:rPr>
        <w:t>'</w:t>
      </w:r>
      <w:r w:rsidRPr="00EC664B">
        <w:rPr>
          <w:rFonts w:cs="Arial"/>
          <w:sz w:val="16"/>
          <w:szCs w:val="16"/>
          <w:rtl/>
        </w:rPr>
        <w:t xml:space="preserve"> כד) </w:t>
      </w:r>
      <w:r>
        <w:rPr>
          <w:rFonts w:cs="Arial"/>
          <w:rtl/>
        </w:rPr>
        <w:t>שהעתיק דברי הרשב"א כלשונם</w:t>
      </w:r>
      <w:r>
        <w:rPr>
          <w:rFonts w:hint="cs"/>
          <w:rtl/>
        </w:rPr>
        <w:t xml:space="preserve"> </w:t>
      </w:r>
      <w:r w:rsidRPr="00162883">
        <w:rPr>
          <w:rFonts w:hint="cs"/>
          <w:sz w:val="16"/>
          <w:szCs w:val="16"/>
          <w:rtl/>
        </w:rPr>
        <w:t>(</w:t>
      </w:r>
      <w:r w:rsidRPr="00162883">
        <w:rPr>
          <w:rFonts w:cs="Arial"/>
          <w:sz w:val="16"/>
          <w:szCs w:val="16"/>
          <w:rtl/>
        </w:rPr>
        <w:t>ובהפלא"ה (בקו"א) הקשה למה לא תיטול השליש בנוסף על העישור נכסי, כמ"ש הרמ"א בחו"מ (סימן רנג סעיף ח), מי שאמר תטול בתי בנכסי כך וכך ולא הזכיר לנישואיה, נוטלת המתנה מלבד עישור נכסי שלה, ותירץ בערך ש"י באהע"ז דשאני בנדון הרשב"א שהזכיר בפירוש שאם תנשא בעצמה או ע"י אחיה תסתלק מהמתנה, הרי שגילה דעתו שאין בכונתו שתזכה גם במתנה וגם בהוצאות נישואיה</w:t>
      </w:r>
      <w:r>
        <w:rPr>
          <w:rFonts w:cs="Arial" w:hint="cs"/>
          <w:sz w:val="16"/>
          <w:szCs w:val="16"/>
          <w:rtl/>
        </w:rPr>
        <w:t>)</w:t>
      </w:r>
      <w:r>
        <w:rPr>
          <w:rFonts w:cs="Arial"/>
          <w:rtl/>
        </w:rPr>
        <w:t>.</w:t>
      </w:r>
      <w:r>
        <w:rPr>
          <w:rFonts w:hint="cs"/>
          <w:rtl/>
        </w:rPr>
        <w:t xml:space="preserve"> </w:t>
      </w:r>
      <w:r>
        <w:rPr>
          <w:rFonts w:cs="Arial"/>
          <w:rtl/>
        </w:rPr>
        <w:t>ומ"מ כיון שהרמ"א כתב לשון זה, אע</w:t>
      </w:r>
      <w:r>
        <w:rPr>
          <w:rFonts w:cs="Arial" w:hint="cs"/>
          <w:rtl/>
        </w:rPr>
        <w:t>"</w:t>
      </w:r>
      <w:r>
        <w:rPr>
          <w:rFonts w:cs="Arial"/>
          <w:rtl/>
        </w:rPr>
        <w:t xml:space="preserve">פ שאינו מפורש ברשב"א, הלכה היא, שלא אמרו שאם נשאת ושתקה מחלה אלא בנדוניא מחמת תקנה, אבל מה שמגיע לה עפ"י צוואת האב, חוב גמור הוא, ואין שתיקתה כמחילה. </w:t>
      </w:r>
    </w:p>
  </w:footnote>
  <w:footnote w:id="3055">
    <w:p w14:paraId="1D17EDD1" w14:textId="77777777" w:rsidR="00DF1FC7" w:rsidRDefault="00DF1FC7" w:rsidP="002E5BAD">
      <w:pPr>
        <w:pStyle w:val="a5"/>
      </w:pPr>
      <w:r>
        <w:rPr>
          <w:rStyle w:val="a7"/>
        </w:rPr>
        <w:footnoteRef/>
      </w:r>
      <w:r>
        <w:rPr>
          <w:rtl/>
        </w:rPr>
        <w:t xml:space="preserve"> </w:t>
      </w:r>
      <w:r w:rsidRPr="00F939CB">
        <w:rPr>
          <w:rFonts w:cs="Arial"/>
          <w:rtl/>
        </w:rPr>
        <w:t>ונפלה הירושה לפני הבנות</w:t>
      </w:r>
      <w:r>
        <w:rPr>
          <w:rFonts w:cs="Arial" w:hint="cs"/>
          <w:rtl/>
        </w:rPr>
        <w:t>, רש"י.</w:t>
      </w:r>
    </w:p>
  </w:footnote>
  <w:footnote w:id="3056">
    <w:p w14:paraId="3A0B2359" w14:textId="77777777" w:rsidR="00DF1FC7" w:rsidRDefault="00DF1FC7" w:rsidP="002E5BAD">
      <w:pPr>
        <w:pStyle w:val="a5"/>
      </w:pPr>
      <w:r>
        <w:rPr>
          <w:rStyle w:val="a7"/>
        </w:rPr>
        <w:footnoteRef/>
      </w:r>
      <w:r>
        <w:rPr>
          <w:rtl/>
        </w:rPr>
        <w:t xml:space="preserve"> </w:t>
      </w:r>
      <w:r w:rsidRPr="00F939CB">
        <w:rPr>
          <w:rFonts w:cs="Arial"/>
          <w:rtl/>
        </w:rPr>
        <w:t>עישור נכסים ולא אמרי' תיטול עישור נכסים תחלה כמו שנטלה זו ואח"כ יחלוקו אלא זו שקדמה ונשאת זכתה ובת על הבת אין לה עישור נכסים שהרי שתיהן שוות בירושה</w:t>
      </w:r>
      <w:r>
        <w:rPr>
          <w:rFonts w:cs="Arial" w:hint="cs"/>
          <w:rtl/>
        </w:rPr>
        <w:t>, רש"י.</w:t>
      </w:r>
    </w:p>
  </w:footnote>
  <w:footnote w:id="3057">
    <w:p w14:paraId="5857DE8E" w14:textId="77777777" w:rsidR="00DF1FC7" w:rsidRDefault="00DF1FC7" w:rsidP="002E5BAD">
      <w:pPr>
        <w:pStyle w:val="a5"/>
        <w:rPr>
          <w:rtl/>
        </w:rPr>
      </w:pPr>
      <w:r>
        <w:rPr>
          <w:rStyle w:val="a7"/>
        </w:rPr>
        <w:footnoteRef/>
      </w:r>
      <w:r>
        <w:rPr>
          <w:rtl/>
        </w:rPr>
        <w:t xml:space="preserve"> </w:t>
      </w:r>
      <w:r w:rsidRPr="00F939CB">
        <w:rPr>
          <w:rFonts w:cs="Arial"/>
          <w:rtl/>
        </w:rPr>
        <w:t>שאפילו שיעבדו אחין את הנכסים יפה כח פרנסה לטרוף לקוחות וזו שהנכסים בעין אמרת ויתרה</w:t>
      </w:r>
      <w:r>
        <w:rPr>
          <w:rFonts w:hint="cs"/>
          <w:rtl/>
        </w:rPr>
        <w:t xml:space="preserve">, רש"י. </w:t>
      </w:r>
      <w:r>
        <w:rPr>
          <w:rFonts w:cs="Arial" w:hint="cs"/>
          <w:rtl/>
        </w:rPr>
        <w:t xml:space="preserve">אלא </w:t>
      </w:r>
      <w:r w:rsidRPr="00F939CB">
        <w:rPr>
          <w:rFonts w:cs="Arial"/>
          <w:rtl/>
        </w:rPr>
        <w:t>גם היא נוטלת עישור שלה ואחר כך יחלוקו</w:t>
      </w:r>
      <w:r>
        <w:rPr>
          <w:rFonts w:cs="Arial" w:hint="cs"/>
          <w:rtl/>
        </w:rPr>
        <w:t>, ב"י</w:t>
      </w:r>
      <w:r w:rsidRPr="00F939CB">
        <w:rPr>
          <w:rFonts w:cs="Arial"/>
          <w:rtl/>
        </w:rPr>
        <w:t>.</w:t>
      </w:r>
    </w:p>
  </w:footnote>
  <w:footnote w:id="3058">
    <w:p w14:paraId="3E01C387" w14:textId="77777777" w:rsidR="00DF1FC7" w:rsidRDefault="00DF1FC7" w:rsidP="002E5BAD">
      <w:pPr>
        <w:pStyle w:val="a5"/>
        <w:rPr>
          <w:rtl/>
        </w:rPr>
      </w:pPr>
      <w:r>
        <w:rPr>
          <w:rStyle w:val="a7"/>
        </w:rPr>
        <w:footnoteRef/>
      </w:r>
      <w:r>
        <w:rPr>
          <w:rtl/>
        </w:rPr>
        <w:t xml:space="preserve"> </w:t>
      </w:r>
      <w:r w:rsidRPr="00516AC0">
        <w:rPr>
          <w:rFonts w:cs="Arial"/>
          <w:rtl/>
        </w:rPr>
        <w:t>אלא לאו שמיע ליה ולא קבלה ומשום הכי לא הדר נמי מהא דשתי בנות וכו'</w:t>
      </w:r>
      <w:r>
        <w:rPr>
          <w:rFonts w:hint="cs"/>
          <w:rtl/>
        </w:rPr>
        <w:t>, רש"י.</w:t>
      </w:r>
    </w:p>
  </w:footnote>
  <w:footnote w:id="3059">
    <w:p w14:paraId="64B6F8FE" w14:textId="77777777" w:rsidR="00DF1FC7" w:rsidRDefault="00DF1FC7" w:rsidP="002E5BAD">
      <w:pPr>
        <w:pStyle w:val="a5"/>
      </w:pPr>
      <w:r>
        <w:rPr>
          <w:rStyle w:val="a7"/>
        </w:rPr>
        <w:footnoteRef/>
      </w:r>
      <w:r>
        <w:rPr>
          <w:rtl/>
        </w:rPr>
        <w:t xml:space="preserve"> </w:t>
      </w:r>
      <w:r w:rsidRPr="00516AC0">
        <w:rPr>
          <w:rFonts w:cs="Arial"/>
          <w:rtl/>
        </w:rPr>
        <w:t>מעיקרא</w:t>
      </w:r>
      <w:r>
        <w:rPr>
          <w:rFonts w:cs="Arial" w:hint="cs"/>
          <w:rtl/>
        </w:rPr>
        <w:t>,</w:t>
      </w:r>
      <w:r w:rsidRPr="00516AC0">
        <w:rPr>
          <w:rFonts w:cs="Arial"/>
          <w:rtl/>
        </w:rPr>
        <w:t xml:space="preserve"> וכי שמעה קיבלה</w:t>
      </w:r>
      <w:r>
        <w:rPr>
          <w:rFonts w:cs="Arial" w:hint="cs"/>
          <w:rtl/>
        </w:rPr>
        <w:t>.</w:t>
      </w:r>
      <w:r w:rsidRPr="00516AC0">
        <w:rPr>
          <w:rFonts w:cs="Arial"/>
          <w:rtl/>
        </w:rPr>
        <w:t xml:space="preserve"> וכי אותביה ר' חנינא כבר הוה שמיע ליה</w:t>
      </w:r>
      <w:r>
        <w:rPr>
          <w:rFonts w:cs="Arial" w:hint="cs"/>
          <w:rtl/>
        </w:rPr>
        <w:t>,</w:t>
      </w:r>
      <w:r w:rsidRPr="00516AC0">
        <w:rPr>
          <w:rFonts w:cs="Arial"/>
          <w:rtl/>
        </w:rPr>
        <w:t xml:space="preserve"> וקיבלה</w:t>
      </w:r>
      <w:r>
        <w:rPr>
          <w:rFonts w:cs="Arial" w:hint="cs"/>
          <w:rtl/>
        </w:rPr>
        <w:t xml:space="preserve">, </w:t>
      </w:r>
      <w:r w:rsidRPr="00516AC0">
        <w:rPr>
          <w:rFonts w:cs="Arial"/>
          <w:rtl/>
        </w:rPr>
        <w:t>ומש"ה לא א"ל מאן אמרה</w:t>
      </w:r>
      <w:r>
        <w:rPr>
          <w:rFonts w:cs="Arial" w:hint="cs"/>
          <w:rtl/>
        </w:rPr>
        <w:t>, רש"י.</w:t>
      </w:r>
    </w:p>
  </w:footnote>
  <w:footnote w:id="3060">
    <w:p w14:paraId="5A7B1824" w14:textId="77777777" w:rsidR="00DF1FC7" w:rsidRDefault="00DF1FC7" w:rsidP="002E5BAD">
      <w:pPr>
        <w:pStyle w:val="a5"/>
      </w:pPr>
      <w:r>
        <w:rPr>
          <w:rStyle w:val="a7"/>
        </w:rPr>
        <w:footnoteRef/>
      </w:r>
      <w:r>
        <w:rPr>
          <w:rtl/>
        </w:rPr>
        <w:t xml:space="preserve"> </w:t>
      </w:r>
      <w:r w:rsidRPr="00516AC0">
        <w:rPr>
          <w:rFonts w:cs="Arial"/>
          <w:rtl/>
        </w:rPr>
        <w:t>הא דלא הדר ביה ממאי דאמר שניה ויתרה</w:t>
      </w:r>
      <w:r>
        <w:rPr>
          <w:rFonts w:cs="Arial" w:hint="cs"/>
          <w:rtl/>
        </w:rPr>
        <w:t>, רש"י.</w:t>
      </w:r>
    </w:p>
  </w:footnote>
  <w:footnote w:id="3061">
    <w:p w14:paraId="3F59FE30" w14:textId="77777777" w:rsidR="00DF1FC7" w:rsidRDefault="00DF1FC7" w:rsidP="002E5BAD">
      <w:pPr>
        <w:pStyle w:val="a5"/>
      </w:pPr>
      <w:r>
        <w:rPr>
          <w:rStyle w:val="a7"/>
        </w:rPr>
        <w:footnoteRef/>
      </w:r>
      <w:r>
        <w:rPr>
          <w:rtl/>
        </w:rPr>
        <w:t xml:space="preserve"> </w:t>
      </w:r>
      <w:r w:rsidRPr="004B5D9E">
        <w:rPr>
          <w:rFonts w:cs="Arial"/>
          <w:rtl/>
        </w:rPr>
        <w:t>שהרי נשתכרה הרבה שנוטלת חצי הירושה</w:t>
      </w:r>
      <w:r>
        <w:rPr>
          <w:rFonts w:cs="Arial" w:hint="cs"/>
          <w:rtl/>
        </w:rPr>
        <w:t>, רש"י.</w:t>
      </w:r>
    </w:p>
  </w:footnote>
  <w:footnote w:id="3062">
    <w:p w14:paraId="7A793A7F" w14:textId="77777777" w:rsidR="00DF1FC7" w:rsidRDefault="00DF1FC7" w:rsidP="002E5BAD">
      <w:pPr>
        <w:pStyle w:val="a5"/>
        <w:rPr>
          <w:rtl/>
        </w:rPr>
      </w:pPr>
      <w:r>
        <w:rPr>
          <w:rStyle w:val="a7"/>
        </w:rPr>
        <w:footnoteRef/>
      </w:r>
      <w:r>
        <w:rPr>
          <w:rtl/>
        </w:rPr>
        <w:t xml:space="preserve"> </w:t>
      </w:r>
      <w:r>
        <w:rPr>
          <w:rFonts w:hint="cs"/>
          <w:rtl/>
        </w:rPr>
        <w:t>המושעבדים כאילו הם חריבים ואין מוציאים מהם לפרנסה.</w:t>
      </w:r>
    </w:p>
  </w:footnote>
  <w:footnote w:id="3063">
    <w:p w14:paraId="17C609C8" w14:textId="77777777" w:rsidR="00DF1FC7" w:rsidRDefault="00DF1FC7" w:rsidP="002E5BAD">
      <w:pPr>
        <w:pStyle w:val="a5"/>
        <w:rPr>
          <w:rtl/>
        </w:rPr>
      </w:pPr>
      <w:r>
        <w:rPr>
          <w:rStyle w:val="a7"/>
        </w:rPr>
        <w:footnoteRef/>
      </w:r>
      <w:r>
        <w:rPr>
          <w:rtl/>
        </w:rPr>
        <w:t xml:space="preserve"> </w:t>
      </w:r>
      <w:r w:rsidRPr="00A3392E">
        <w:rPr>
          <w:rFonts w:cs="Arial"/>
          <w:rtl/>
        </w:rPr>
        <w:t>דהכא ליכא ריוח ביתא שאפילו בתורת ירושה לא תטול אחת יותר מעישור</w:t>
      </w:r>
      <w:r>
        <w:rPr>
          <w:rFonts w:cs="Arial" w:hint="cs"/>
          <w:rtl/>
        </w:rPr>
        <w:t>.</w:t>
      </w:r>
      <w:r w:rsidRPr="00A3392E">
        <w:rPr>
          <w:rFonts w:cs="Arial"/>
          <w:rtl/>
        </w:rPr>
        <w:t xml:space="preserve"> מכל מקום משמע דהיכא דשעבד</w:t>
      </w:r>
      <w:r>
        <w:rPr>
          <w:rFonts w:cs="Arial" w:hint="cs"/>
          <w:sz w:val="16"/>
          <w:szCs w:val="16"/>
          <w:rtl/>
        </w:rPr>
        <w:t xml:space="preserve"> </w:t>
      </w:r>
      <w:r w:rsidRPr="00A3392E">
        <w:rPr>
          <w:rFonts w:cs="Arial"/>
          <w:rtl/>
        </w:rPr>
        <w:t xml:space="preserve">הבן </w:t>
      </w:r>
      <w:r>
        <w:rPr>
          <w:rFonts w:cs="Arial" w:hint="cs"/>
          <w:sz w:val="16"/>
          <w:szCs w:val="16"/>
          <w:rtl/>
        </w:rPr>
        <w:t>{את הנכסים לבע"ח וכדו'}</w:t>
      </w:r>
      <w:r w:rsidRPr="00A3392E">
        <w:rPr>
          <w:rFonts w:cs="Arial"/>
          <w:rtl/>
        </w:rPr>
        <w:t xml:space="preserve"> </w:t>
      </w:r>
      <w:r>
        <w:rPr>
          <w:rFonts w:cs="Arial" w:hint="cs"/>
          <w:rtl/>
        </w:rPr>
        <w:t xml:space="preserve">- </w:t>
      </w:r>
      <w:r w:rsidRPr="00A3392E">
        <w:rPr>
          <w:rFonts w:cs="Arial"/>
          <w:rtl/>
        </w:rPr>
        <w:t>נוטלת עישור</w:t>
      </w:r>
      <w:r>
        <w:rPr>
          <w:rFonts w:cs="Arial" w:hint="cs"/>
          <w:rtl/>
        </w:rPr>
        <w:t>.</w:t>
      </w:r>
      <w:r w:rsidRPr="00A3392E">
        <w:rPr>
          <w:rFonts w:cs="Arial"/>
          <w:rtl/>
        </w:rPr>
        <w:t xml:space="preserve"> שאילו נדון אותה יורשת</w:t>
      </w:r>
      <w:r>
        <w:rPr>
          <w:rFonts w:cs="Arial" w:hint="cs"/>
          <w:rtl/>
        </w:rPr>
        <w:t>,</w:t>
      </w:r>
      <w:r w:rsidRPr="00A3392E">
        <w:rPr>
          <w:rFonts w:cs="Arial"/>
          <w:rtl/>
        </w:rPr>
        <w:t xml:space="preserve"> לא תטול כלום</w:t>
      </w:r>
      <w:r>
        <w:rPr>
          <w:rFonts w:cs="Arial" w:hint="cs"/>
          <w:rtl/>
        </w:rPr>
        <w:t>.</w:t>
      </w:r>
      <w:r w:rsidRPr="00A3392E">
        <w:rPr>
          <w:rFonts w:cs="Arial"/>
          <w:rtl/>
        </w:rPr>
        <w:t xml:space="preserve"> ומדין עישור מוציאין לפרנסה</w:t>
      </w:r>
      <w:r>
        <w:rPr>
          <w:rFonts w:cs="Arial" w:hint="cs"/>
          <w:rtl/>
        </w:rPr>
        <w:t>.</w:t>
      </w:r>
      <w:r w:rsidRPr="00A3392E">
        <w:rPr>
          <w:rFonts w:cs="Arial"/>
          <w:rtl/>
        </w:rPr>
        <w:t xml:space="preserve"> ונמצא שאין בירושה ריוח אלא הפסד</w:t>
      </w:r>
      <w:r>
        <w:rPr>
          <w:rFonts w:cs="Arial" w:hint="cs"/>
          <w:rtl/>
        </w:rPr>
        <w:t>, ר"ן (ל: ד"ה תלא)</w:t>
      </w:r>
      <w:r w:rsidRPr="00A3392E">
        <w:rPr>
          <w:rFonts w:cs="Arial" w:hint="cs"/>
          <w:rtl/>
        </w:rPr>
        <w:t>.</w:t>
      </w:r>
      <w:r>
        <w:rPr>
          <w:rFonts w:hint="cs"/>
          <w:rtl/>
        </w:rPr>
        <w:t xml:space="preserve"> וכ"פ ח"מ (סקכ"ג) וב"ש (סקכ"א).</w:t>
      </w:r>
    </w:p>
  </w:footnote>
  <w:footnote w:id="3064">
    <w:p w14:paraId="23720A03" w14:textId="77777777" w:rsidR="00DF1FC7" w:rsidRDefault="00DF1FC7" w:rsidP="002E5BAD">
      <w:pPr>
        <w:pStyle w:val="a5"/>
        <w:rPr>
          <w:rtl/>
        </w:rPr>
      </w:pPr>
      <w:r>
        <w:rPr>
          <w:rStyle w:val="a7"/>
        </w:rPr>
        <w:footnoteRef/>
      </w:r>
      <w:r>
        <w:rPr>
          <w:rtl/>
        </w:rPr>
        <w:t xml:space="preserve"> </w:t>
      </w:r>
      <w:r w:rsidRPr="0054586D">
        <w:rPr>
          <w:rFonts w:cs="Arial"/>
          <w:rtl/>
        </w:rPr>
        <w:t>ובב"ח כתב דאין זה רק לגי' רב האי אבל לגי' רש"י שומעין לו</w:t>
      </w:r>
      <w:r>
        <w:rPr>
          <w:rFonts w:cs="Arial" w:hint="cs"/>
          <w:rtl/>
        </w:rPr>
        <w:t>,</w:t>
      </w:r>
      <w:r w:rsidRPr="0054586D">
        <w:rPr>
          <w:rFonts w:cs="Arial"/>
          <w:rtl/>
        </w:rPr>
        <w:t xml:space="preserve"> ובב"י לא כ"כ עיין בתחלת הסי'</w:t>
      </w:r>
      <w:r>
        <w:rPr>
          <w:rFonts w:hint="cs"/>
          <w:rtl/>
        </w:rPr>
        <w:t>, ח"מ (סקכ"ד).</w:t>
      </w:r>
    </w:p>
  </w:footnote>
  <w:footnote w:id="3065">
    <w:p w14:paraId="68F6CC16"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3066">
    <w:p w14:paraId="5F004E45" w14:textId="77777777" w:rsidR="00DF1FC7" w:rsidRDefault="00DF1FC7" w:rsidP="002E5BAD">
      <w:pPr>
        <w:pStyle w:val="a5"/>
      </w:pPr>
      <w:r>
        <w:rPr>
          <w:rStyle w:val="a7"/>
        </w:rPr>
        <w:footnoteRef/>
      </w:r>
      <w:r>
        <w:rPr>
          <w:rtl/>
        </w:rPr>
        <w:t xml:space="preserve"> </w:t>
      </w:r>
      <w:r>
        <w:rPr>
          <w:rFonts w:cs="Arial"/>
          <w:rtl/>
        </w:rPr>
        <w:t>ולא ידעתי למה הוצרך רבינו להאריך בזה דמהיכא תיסק אדעתין שיתחייב לבת אשתו שום דבר</w:t>
      </w:r>
      <w:r>
        <w:rPr>
          <w:rFonts w:cs="Arial" w:hint="cs"/>
          <w:rtl/>
        </w:rPr>
        <w:t>, ב"י.</w:t>
      </w:r>
    </w:p>
  </w:footnote>
  <w:footnote w:id="3067">
    <w:p w14:paraId="29C78496" w14:textId="77777777" w:rsidR="00DF1FC7" w:rsidRDefault="00DF1FC7" w:rsidP="002E5BAD">
      <w:pPr>
        <w:pStyle w:val="a5"/>
        <w:rPr>
          <w:rFonts w:cs="Arial"/>
          <w:rtl/>
        </w:rPr>
      </w:pPr>
      <w:r>
        <w:rPr>
          <w:rStyle w:val="a7"/>
        </w:rPr>
        <w:footnoteRef/>
      </w:r>
      <w:r>
        <w:rPr>
          <w:rtl/>
        </w:rPr>
        <w:t xml:space="preserve"> </w:t>
      </w:r>
      <w:r>
        <w:rPr>
          <w:rFonts w:cs="Arial"/>
          <w:rtl/>
        </w:rPr>
        <w:t>משמע בהדיא דכל שקנו מידו אפילו שלא בשעת קידושין חייב</w:t>
      </w:r>
      <w:r>
        <w:rPr>
          <w:rFonts w:cs="Arial" w:hint="cs"/>
          <w:rtl/>
        </w:rPr>
        <w:t>.</w:t>
      </w:r>
      <w:r>
        <w:rPr>
          <w:rFonts w:cs="Arial"/>
          <w:rtl/>
        </w:rPr>
        <w:t xml:space="preserve"> ו</w:t>
      </w:r>
      <w:r>
        <w:rPr>
          <w:rFonts w:cs="Arial" w:hint="cs"/>
          <w:rtl/>
        </w:rPr>
        <w:t>קשה, ד</w:t>
      </w:r>
      <w:r>
        <w:rPr>
          <w:rFonts w:cs="Arial"/>
          <w:rtl/>
        </w:rPr>
        <w:t>בפי"א מהל</w:t>
      </w:r>
      <w:r>
        <w:rPr>
          <w:rFonts w:cs="Arial" w:hint="cs"/>
          <w:rtl/>
        </w:rPr>
        <w:t xml:space="preserve">' </w:t>
      </w:r>
      <w:r>
        <w:rPr>
          <w:rFonts w:cs="Arial"/>
          <w:rtl/>
        </w:rPr>
        <w:t xml:space="preserve">מכירה </w:t>
      </w:r>
      <w:r w:rsidRPr="006E7145">
        <w:rPr>
          <w:rFonts w:cs="Arial" w:hint="cs"/>
          <w:sz w:val="16"/>
          <w:szCs w:val="16"/>
          <w:rtl/>
        </w:rPr>
        <w:t xml:space="preserve">(הט"ז-יז, וז"ל- </w:t>
      </w:r>
      <w:r w:rsidRPr="006E7145">
        <w:rPr>
          <w:rFonts w:cs="Arial"/>
          <w:sz w:val="16"/>
          <w:szCs w:val="16"/>
          <w:rtl/>
        </w:rPr>
        <w:t>חייב עצמו בדבר שאינו קצוב, כגון שאמר הריני חייב לזון אותך או לכסות חמש שנים, אע</w:t>
      </w:r>
      <w:r>
        <w:rPr>
          <w:rFonts w:cs="Arial" w:hint="cs"/>
          <w:sz w:val="16"/>
          <w:szCs w:val="16"/>
          <w:rtl/>
        </w:rPr>
        <w:t>"</w:t>
      </w:r>
      <w:r w:rsidRPr="006E7145">
        <w:rPr>
          <w:rFonts w:cs="Arial"/>
          <w:sz w:val="16"/>
          <w:szCs w:val="16"/>
          <w:rtl/>
        </w:rPr>
        <w:t>פ שקנו מידו לא נשתעבד, שזו כמו מתנה היא ואין כאן דבר ידוע ומצוי שנתנו במתנה, וכן הורו רבותי. ומפני מה הפוסק עם אשתו שיהיה זן את בתה חייב לזונה, מפני שפסק בשעת נשואין והדבר דומה לדברים הנקנין באמירה</w:t>
      </w:r>
      <w:r>
        <w:rPr>
          <w:rFonts w:cs="Arial" w:hint="cs"/>
          <w:sz w:val="16"/>
          <w:szCs w:val="16"/>
          <w:rtl/>
        </w:rPr>
        <w:t>. עכ"ל. ועיין שם ובחו"מ [סי' ס] מה שהקשו על דבריו</w:t>
      </w:r>
      <w:r w:rsidRPr="006E7145">
        <w:rPr>
          <w:rFonts w:cs="Arial" w:hint="cs"/>
          <w:sz w:val="16"/>
          <w:szCs w:val="16"/>
          <w:rtl/>
        </w:rPr>
        <w:t xml:space="preserve">) </w:t>
      </w:r>
      <w:r>
        <w:rPr>
          <w:rFonts w:cs="Arial" w:hint="cs"/>
          <w:rtl/>
        </w:rPr>
        <w:t xml:space="preserve">משמע </w:t>
      </w:r>
      <w:r>
        <w:rPr>
          <w:rFonts w:cs="Arial"/>
          <w:rtl/>
        </w:rPr>
        <w:t>שהמחייב את עצמו לזון כך וכך שנים אע</w:t>
      </w:r>
      <w:r>
        <w:rPr>
          <w:rFonts w:cs="Arial" w:hint="cs"/>
          <w:rtl/>
        </w:rPr>
        <w:t>"</w:t>
      </w:r>
      <w:r>
        <w:rPr>
          <w:rFonts w:cs="Arial"/>
          <w:rtl/>
        </w:rPr>
        <w:t xml:space="preserve">פ שקנו מידו אינו משועבד אם לא שפסק בשעת נישואין. </w:t>
      </w:r>
      <w:r w:rsidRPr="0053062D">
        <w:rPr>
          <w:rFonts w:cs="Arial" w:hint="cs"/>
          <w:u w:val="single"/>
          <w:rtl/>
        </w:rPr>
        <w:t>וכתב הב"י בזה מספר תירוצים</w:t>
      </w:r>
      <w:r>
        <w:rPr>
          <w:rFonts w:cs="Arial" w:hint="cs"/>
          <w:rtl/>
        </w:rPr>
        <w:t>:</w:t>
      </w:r>
    </w:p>
    <w:p w14:paraId="663627F6" w14:textId="77777777" w:rsidR="00DF1FC7" w:rsidRDefault="00DF1FC7" w:rsidP="00B75458">
      <w:pPr>
        <w:pStyle w:val="a5"/>
        <w:numPr>
          <w:ilvl w:val="0"/>
          <w:numId w:val="205"/>
        </w:numPr>
        <w:rPr>
          <w:rFonts w:cs="Arial"/>
        </w:rPr>
      </w:pPr>
      <w:r>
        <w:rPr>
          <w:rFonts w:cs="Arial"/>
          <w:rtl/>
        </w:rPr>
        <w:t>י"ל דכשהוא בשעת קידושין באמירה בעלמא סגי</w:t>
      </w:r>
      <w:r>
        <w:rPr>
          <w:rFonts w:cs="Arial" w:hint="cs"/>
          <w:rtl/>
        </w:rPr>
        <w:t>,</w:t>
      </w:r>
      <w:r>
        <w:rPr>
          <w:rFonts w:cs="Arial"/>
          <w:rtl/>
        </w:rPr>
        <w:t xml:space="preserve"> וכדרב גדל (קב.)</w:t>
      </w:r>
      <w:r>
        <w:rPr>
          <w:rFonts w:cs="Arial" w:hint="cs"/>
          <w:rtl/>
        </w:rPr>
        <w:t>.</w:t>
      </w:r>
      <w:r>
        <w:rPr>
          <w:rFonts w:cs="Arial"/>
          <w:rtl/>
        </w:rPr>
        <w:t xml:space="preserve"> וכשהוא שלא בשעת קידושין</w:t>
      </w:r>
      <w:r>
        <w:rPr>
          <w:rFonts w:cs="Arial" w:hint="cs"/>
          <w:rtl/>
        </w:rPr>
        <w:t>,</w:t>
      </w:r>
      <w:r>
        <w:rPr>
          <w:rFonts w:cs="Arial"/>
          <w:rtl/>
        </w:rPr>
        <w:t xml:space="preserve"> כלו</w:t>
      </w:r>
      <w:r>
        <w:rPr>
          <w:rFonts w:cs="Arial" w:hint="cs"/>
          <w:rtl/>
        </w:rPr>
        <w:t>מר</w:t>
      </w:r>
      <w:r>
        <w:rPr>
          <w:rFonts w:cs="Arial"/>
          <w:rtl/>
        </w:rPr>
        <w:t xml:space="preserve"> שכבר עברו הקידושין אבל לא נשאו עדיין</w:t>
      </w:r>
      <w:r>
        <w:rPr>
          <w:rFonts w:cs="Arial" w:hint="cs"/>
          <w:rtl/>
        </w:rPr>
        <w:t>,</w:t>
      </w:r>
      <w:r>
        <w:rPr>
          <w:rFonts w:cs="Arial"/>
          <w:rtl/>
        </w:rPr>
        <w:t xml:space="preserve"> מתוך שהוא על עסקי הנישואין מהני התנאי דכיון שעדיין לא נשא שייך קצת לומר מגו דמחתני אהדדי גמרי ומקני</w:t>
      </w:r>
      <w:r>
        <w:rPr>
          <w:rFonts w:cs="Arial" w:hint="cs"/>
          <w:rtl/>
        </w:rPr>
        <w:t>.</w:t>
      </w:r>
      <w:r>
        <w:rPr>
          <w:rFonts w:cs="Arial"/>
          <w:rtl/>
        </w:rPr>
        <w:t xml:space="preserve"> ומתוך שכבר קידש לא דמי לענין נישואין ולכך צריך קנין או כתיבה</w:t>
      </w:r>
      <w:r>
        <w:rPr>
          <w:rFonts w:cs="Arial" w:hint="cs"/>
          <w:rtl/>
        </w:rPr>
        <w:t>.</w:t>
      </w:r>
      <w:r>
        <w:rPr>
          <w:rFonts w:cs="Arial"/>
          <w:rtl/>
        </w:rPr>
        <w:t xml:space="preserve"> וזהו שכתב בהלכות מכירה ומפני מה הפוסק דבר עם אשתו וכו'</w:t>
      </w:r>
      <w:r>
        <w:rPr>
          <w:rFonts w:cs="Arial" w:hint="cs"/>
          <w:rtl/>
        </w:rPr>
        <w:t>,</w:t>
      </w:r>
      <w:r>
        <w:rPr>
          <w:rFonts w:cs="Arial"/>
          <w:rtl/>
        </w:rPr>
        <w:t xml:space="preserve"> כלומר פוסק לזון את בת אשתו אפילו בקנין</w:t>
      </w:r>
      <w:r>
        <w:rPr>
          <w:rFonts w:cs="Arial" w:hint="cs"/>
          <w:rtl/>
        </w:rPr>
        <w:t>,</w:t>
      </w:r>
      <w:r>
        <w:rPr>
          <w:rFonts w:cs="Arial"/>
          <w:rtl/>
        </w:rPr>
        <w:t xml:space="preserve"> מפני מה הוא חייב לזונה </w:t>
      </w:r>
      <w:r>
        <w:rPr>
          <w:rFonts w:cs="Arial" w:hint="cs"/>
          <w:rtl/>
        </w:rPr>
        <w:t>- '</w:t>
      </w:r>
      <w:r>
        <w:rPr>
          <w:rFonts w:cs="Arial"/>
          <w:rtl/>
        </w:rPr>
        <w:t>מפני שפסק בשעת נישואין והדבר דומה לדברים הנקנים באמירה</w:t>
      </w:r>
      <w:r>
        <w:rPr>
          <w:rFonts w:cs="Arial" w:hint="cs"/>
          <w:rtl/>
        </w:rPr>
        <w:t>'.</w:t>
      </w:r>
      <w:r>
        <w:rPr>
          <w:rFonts w:cs="Arial"/>
          <w:rtl/>
        </w:rPr>
        <w:t xml:space="preserve"> כלומר אע</w:t>
      </w:r>
      <w:r>
        <w:rPr>
          <w:rFonts w:cs="Arial" w:hint="cs"/>
          <w:rtl/>
        </w:rPr>
        <w:t>"</w:t>
      </w:r>
      <w:r>
        <w:rPr>
          <w:rFonts w:cs="Arial"/>
          <w:rtl/>
        </w:rPr>
        <w:t xml:space="preserve">פ שאינם נקנין באמירה אבל הם דומים להם מתוך שעדיין לא נשאה. </w:t>
      </w:r>
    </w:p>
    <w:p w14:paraId="46A7EE6B" w14:textId="77777777" w:rsidR="00DF1FC7" w:rsidRDefault="00DF1FC7" w:rsidP="00B75458">
      <w:pPr>
        <w:pStyle w:val="a5"/>
        <w:numPr>
          <w:ilvl w:val="0"/>
          <w:numId w:val="205"/>
        </w:numPr>
        <w:rPr>
          <w:rFonts w:cs="Arial"/>
        </w:rPr>
      </w:pPr>
      <w:r w:rsidRPr="0053062D">
        <w:rPr>
          <w:rFonts w:cs="Arial"/>
          <w:rtl/>
        </w:rPr>
        <w:t>ע</w:t>
      </w:r>
      <w:r w:rsidRPr="0053062D">
        <w:rPr>
          <w:rFonts w:cs="Arial" w:hint="cs"/>
          <w:rtl/>
        </w:rPr>
        <w:t xml:space="preserve">וד </w:t>
      </w:r>
      <w:r w:rsidRPr="0053062D">
        <w:rPr>
          <w:rFonts w:cs="Arial"/>
          <w:rtl/>
        </w:rPr>
        <w:t>י"ל דג' חילוקים בדבר</w:t>
      </w:r>
      <w:r w:rsidRPr="0053062D">
        <w:rPr>
          <w:rFonts w:cs="Arial" w:hint="cs"/>
          <w:rtl/>
        </w:rPr>
        <w:t>:</w:t>
      </w:r>
      <w:r w:rsidRPr="0053062D">
        <w:rPr>
          <w:rFonts w:cs="Arial"/>
          <w:rtl/>
        </w:rPr>
        <w:t xml:space="preserve"> לחבירו</w:t>
      </w:r>
      <w:r w:rsidRPr="0053062D">
        <w:rPr>
          <w:rFonts w:cs="Arial" w:hint="cs"/>
          <w:rtl/>
        </w:rPr>
        <w:t xml:space="preserve"> -</w:t>
      </w:r>
      <w:r w:rsidRPr="0053062D">
        <w:rPr>
          <w:rFonts w:cs="Arial"/>
          <w:rtl/>
        </w:rPr>
        <w:t xml:space="preserve"> אפילו בקנין לא מהני</w:t>
      </w:r>
      <w:r w:rsidRPr="0053062D">
        <w:rPr>
          <w:rFonts w:cs="Arial" w:hint="cs"/>
          <w:rtl/>
        </w:rPr>
        <w:t>.</w:t>
      </w:r>
      <w:r w:rsidRPr="0053062D">
        <w:rPr>
          <w:rFonts w:cs="Arial"/>
          <w:rtl/>
        </w:rPr>
        <w:t xml:space="preserve"> אבל לבת אשתו</w:t>
      </w:r>
      <w:r w:rsidRPr="0053062D">
        <w:rPr>
          <w:rFonts w:cs="Arial" w:hint="cs"/>
          <w:rtl/>
        </w:rPr>
        <w:t>,</w:t>
      </w:r>
      <w:r w:rsidRPr="0053062D">
        <w:rPr>
          <w:rFonts w:cs="Arial"/>
          <w:rtl/>
        </w:rPr>
        <w:t xml:space="preserve"> אם קיבל עליו לזונה בשעת קידושין או נישואין </w:t>
      </w:r>
      <w:r w:rsidRPr="0053062D">
        <w:rPr>
          <w:rFonts w:cs="Arial" w:hint="cs"/>
          <w:rtl/>
        </w:rPr>
        <w:t xml:space="preserve">- </w:t>
      </w:r>
      <w:r w:rsidRPr="0053062D">
        <w:rPr>
          <w:rFonts w:cs="Arial"/>
          <w:rtl/>
        </w:rPr>
        <w:t>סגי באמירה בעלמא</w:t>
      </w:r>
      <w:r w:rsidRPr="0053062D">
        <w:rPr>
          <w:rFonts w:cs="Arial" w:hint="cs"/>
          <w:rtl/>
        </w:rPr>
        <w:t>.</w:t>
      </w:r>
      <w:r w:rsidRPr="0053062D">
        <w:rPr>
          <w:rFonts w:cs="Arial"/>
          <w:rtl/>
        </w:rPr>
        <w:t xml:space="preserve"> ושלא בשעת קידושין ונישואין </w:t>
      </w:r>
      <w:r w:rsidRPr="0053062D">
        <w:rPr>
          <w:rFonts w:cs="Arial" w:hint="cs"/>
          <w:rtl/>
        </w:rPr>
        <w:t xml:space="preserve">- </w:t>
      </w:r>
      <w:r w:rsidRPr="0053062D">
        <w:rPr>
          <w:rFonts w:cs="Arial"/>
          <w:rtl/>
        </w:rPr>
        <w:t xml:space="preserve">בקנין מהני. </w:t>
      </w:r>
    </w:p>
    <w:p w14:paraId="337267D9" w14:textId="77777777" w:rsidR="00DF1FC7" w:rsidRPr="0053062D" w:rsidRDefault="00DF1FC7" w:rsidP="00B75458">
      <w:pPr>
        <w:pStyle w:val="a5"/>
        <w:numPr>
          <w:ilvl w:val="0"/>
          <w:numId w:val="205"/>
        </w:numPr>
        <w:rPr>
          <w:rFonts w:cs="Arial"/>
        </w:rPr>
      </w:pPr>
      <w:r w:rsidRPr="0053062D">
        <w:rPr>
          <w:rFonts w:cs="Arial"/>
          <w:rtl/>
        </w:rPr>
        <w:t>ע</w:t>
      </w:r>
      <w:r w:rsidRPr="0053062D">
        <w:rPr>
          <w:rFonts w:cs="Arial" w:hint="cs"/>
          <w:rtl/>
        </w:rPr>
        <w:t xml:space="preserve">וד </w:t>
      </w:r>
      <w:r w:rsidRPr="0053062D">
        <w:rPr>
          <w:rFonts w:cs="Arial"/>
          <w:rtl/>
        </w:rPr>
        <w:t xml:space="preserve">י"ל דכי אמרינן שהדברים הללו נקנין באמירה </w:t>
      </w:r>
      <w:r w:rsidRPr="0053062D">
        <w:rPr>
          <w:rFonts w:cs="Arial" w:hint="cs"/>
          <w:rtl/>
        </w:rPr>
        <w:t xml:space="preserve">- </w:t>
      </w:r>
      <w:r w:rsidRPr="0053062D">
        <w:rPr>
          <w:rFonts w:cs="Arial"/>
          <w:rtl/>
        </w:rPr>
        <w:t>היינו דוקא בשעמדו וקידשו מתוך הדברים</w:t>
      </w:r>
      <w:r w:rsidRPr="0053062D">
        <w:rPr>
          <w:rFonts w:cs="Arial" w:hint="cs"/>
          <w:rtl/>
        </w:rPr>
        <w:t>.</w:t>
      </w:r>
      <w:r w:rsidRPr="0053062D">
        <w:rPr>
          <w:rFonts w:cs="Arial"/>
          <w:rtl/>
        </w:rPr>
        <w:t xml:space="preserve"> אבל כשלא עמדו וקידשו מתוך הדברים</w:t>
      </w:r>
      <w:r w:rsidRPr="0053062D">
        <w:rPr>
          <w:rFonts w:cs="Arial" w:hint="cs"/>
          <w:rtl/>
        </w:rPr>
        <w:t>,</w:t>
      </w:r>
      <w:r w:rsidRPr="0053062D">
        <w:rPr>
          <w:rFonts w:cs="Arial"/>
          <w:rtl/>
        </w:rPr>
        <w:t xml:space="preserve"> מתוך שעסוקין בענין נישואין ועדיין לא נשאה </w:t>
      </w:r>
      <w:r w:rsidRPr="0053062D">
        <w:rPr>
          <w:rFonts w:cs="Arial" w:hint="cs"/>
          <w:rtl/>
        </w:rPr>
        <w:t xml:space="preserve">- </w:t>
      </w:r>
      <w:r w:rsidRPr="0053062D">
        <w:rPr>
          <w:rFonts w:cs="Arial"/>
          <w:rtl/>
        </w:rPr>
        <w:t>מהני קנין</w:t>
      </w:r>
      <w:r w:rsidRPr="0053062D">
        <w:rPr>
          <w:rFonts w:cs="Arial" w:hint="cs"/>
          <w:rtl/>
        </w:rPr>
        <w:t>.</w:t>
      </w:r>
    </w:p>
  </w:footnote>
  <w:footnote w:id="3068">
    <w:p w14:paraId="4706B5AA" w14:textId="77777777" w:rsidR="00DF1FC7" w:rsidRDefault="00DF1FC7" w:rsidP="002E5BAD">
      <w:pPr>
        <w:pStyle w:val="a5"/>
        <w:rPr>
          <w:rtl/>
        </w:rPr>
      </w:pPr>
      <w:r>
        <w:rPr>
          <w:rStyle w:val="a7"/>
        </w:rPr>
        <w:footnoteRef/>
      </w:r>
      <w:r>
        <w:rPr>
          <w:rtl/>
        </w:rPr>
        <w:t xml:space="preserve"> </w:t>
      </w:r>
      <w:r>
        <w:rPr>
          <w:rFonts w:cs="Arial"/>
          <w:rtl/>
        </w:rPr>
        <w:t>וטעמו משום דס"ל ז"ל שאין אדם מחייב עצמו בדבר שאינו קצוב</w:t>
      </w:r>
      <w:r>
        <w:rPr>
          <w:rFonts w:hint="cs"/>
          <w:rtl/>
        </w:rPr>
        <w:t xml:space="preserve">, ב"י. ועיין בחו"מ סי' ס סע' ב במחלוקת מתי אדם יכול להתחייב בדבר שאינו קצוב. </w:t>
      </w:r>
    </w:p>
  </w:footnote>
  <w:footnote w:id="3069">
    <w:p w14:paraId="67741FAF" w14:textId="77777777" w:rsidR="00DF1FC7" w:rsidRDefault="00DF1FC7" w:rsidP="002E5BAD">
      <w:pPr>
        <w:pStyle w:val="a5"/>
      </w:pPr>
      <w:r>
        <w:rPr>
          <w:rStyle w:val="a7"/>
        </w:rPr>
        <w:footnoteRef/>
      </w:r>
      <w:r>
        <w:rPr>
          <w:rtl/>
        </w:rPr>
        <w:t xml:space="preserve"> </w:t>
      </w:r>
      <w:r w:rsidRPr="004D225A">
        <w:rPr>
          <w:rFonts w:cs="Arial"/>
          <w:rtl/>
        </w:rPr>
        <w:t>אבל לא בכסות וכמו שיתבאר בסמוך סעי' י"ב וגם אינו חייב ברפואתה וכמ"ש בסמוך סעי' ו'</w:t>
      </w:r>
      <w:r>
        <w:rPr>
          <w:rFonts w:cs="Arial" w:hint="cs"/>
          <w:rtl/>
        </w:rPr>
        <w:t>.</w:t>
      </w:r>
      <w:r w:rsidRPr="004D225A">
        <w:rPr>
          <w:rFonts w:cs="Arial"/>
          <w:rtl/>
        </w:rPr>
        <w:t xml:space="preserve"> ועי' בח</w:t>
      </w:r>
      <w:r>
        <w:rPr>
          <w:rFonts w:cs="Arial" w:hint="cs"/>
          <w:rtl/>
        </w:rPr>
        <w:t>ו</w:t>
      </w:r>
      <w:r w:rsidRPr="004D225A">
        <w:rPr>
          <w:rFonts w:cs="Arial"/>
          <w:rtl/>
        </w:rPr>
        <w:t>"מ סי' ס' פסק שם שהמחייב לזון חבירו צריך ליתן לו דמים אם לא שהתנה בפי' לזונו על שלחנו ונרא' דכאן סתמא כאלו התנה דלא עדיפ' מאמה</w:t>
      </w:r>
      <w:r>
        <w:rPr>
          <w:rFonts w:cs="Arial" w:hint="cs"/>
          <w:rtl/>
        </w:rPr>
        <w:t>, ח"מ (סק"א).</w:t>
      </w:r>
      <w:r w:rsidRPr="00E931A9">
        <w:rPr>
          <w:rtl/>
        </w:rPr>
        <w:t xml:space="preserve"> </w:t>
      </w:r>
      <w:r>
        <w:rPr>
          <w:rFonts w:cs="Arial" w:hint="cs"/>
          <w:rtl/>
        </w:rPr>
        <w:t>ולאו דוקא משום דלא עדיפא מאמה אלא</w:t>
      </w:r>
      <w:r w:rsidRPr="00E931A9">
        <w:rPr>
          <w:rFonts w:cs="Arial"/>
          <w:rtl/>
        </w:rPr>
        <w:t xml:space="preserve"> אפי' בעלמא א"צ לשלם הדמים כשאין לו מזונו' ממקום אחר</w:t>
      </w:r>
      <w:r>
        <w:rPr>
          <w:rFonts w:cs="Arial" w:hint="cs"/>
          <w:rtl/>
        </w:rPr>
        <w:t>, ב"ש (סק"ב).</w:t>
      </w:r>
    </w:p>
  </w:footnote>
  <w:footnote w:id="3070">
    <w:p w14:paraId="6CF0701C" w14:textId="77777777" w:rsidR="00DF1FC7" w:rsidRDefault="00DF1FC7" w:rsidP="002E5BAD">
      <w:pPr>
        <w:pStyle w:val="a5"/>
      </w:pPr>
      <w:r>
        <w:rPr>
          <w:rStyle w:val="a7"/>
        </w:rPr>
        <w:footnoteRef/>
      </w:r>
      <w:r>
        <w:rPr>
          <w:rtl/>
        </w:rPr>
        <w:t xml:space="preserve"> </w:t>
      </w:r>
      <w:r w:rsidRPr="004D225A">
        <w:rPr>
          <w:rFonts w:cs="Arial"/>
          <w:rtl/>
        </w:rPr>
        <w:t>דכיון דלא פירשו חזקה דדעתה על הראשונו'</w:t>
      </w:r>
      <w:r>
        <w:rPr>
          <w:rFonts w:cs="Arial" w:hint="cs"/>
          <w:rtl/>
        </w:rPr>
        <w:t>.</w:t>
      </w:r>
      <w:r w:rsidRPr="004D225A">
        <w:rPr>
          <w:rFonts w:cs="Arial"/>
          <w:rtl/>
        </w:rPr>
        <w:t xml:space="preserve"> ובב"ח כתב שאם לא פסקה מנין השנים די בשנה אחת</w:t>
      </w:r>
      <w:r>
        <w:rPr>
          <w:rFonts w:cs="Arial" w:hint="cs"/>
          <w:rtl/>
        </w:rPr>
        <w:t>.</w:t>
      </w:r>
      <w:r w:rsidRPr="004D225A">
        <w:rPr>
          <w:rFonts w:cs="Arial"/>
          <w:rtl/>
        </w:rPr>
        <w:t xml:space="preserve"> ואין דבריו ברורים</w:t>
      </w:r>
      <w:r>
        <w:rPr>
          <w:rFonts w:cs="Arial" w:hint="cs"/>
          <w:rtl/>
        </w:rPr>
        <w:t>,</w:t>
      </w:r>
      <w:r w:rsidRPr="004D225A">
        <w:rPr>
          <w:rFonts w:cs="Arial"/>
          <w:rtl/>
        </w:rPr>
        <w:t xml:space="preserve"> עיין בסמ"ע בסי' ס' </w:t>
      </w:r>
      <w:r>
        <w:rPr>
          <w:rFonts w:cs="Arial" w:hint="cs"/>
          <w:rtl/>
        </w:rPr>
        <w:t xml:space="preserve">(סקט"ז) </w:t>
      </w:r>
      <w:r w:rsidRPr="004D225A">
        <w:rPr>
          <w:rFonts w:cs="Arial"/>
          <w:rtl/>
        </w:rPr>
        <w:t>כי דבריו ברורים שם</w:t>
      </w:r>
      <w:r>
        <w:rPr>
          <w:rFonts w:cs="Arial" w:hint="cs"/>
          <w:rtl/>
        </w:rPr>
        <w:t>, ח"מ (סק"ב).</w:t>
      </w:r>
    </w:p>
  </w:footnote>
  <w:footnote w:id="3071">
    <w:p w14:paraId="5F09E5D2" w14:textId="77777777" w:rsidR="00DF1FC7" w:rsidRDefault="00DF1FC7" w:rsidP="002E5BAD">
      <w:pPr>
        <w:pStyle w:val="a5"/>
      </w:pPr>
      <w:r>
        <w:rPr>
          <w:rStyle w:val="a7"/>
        </w:rPr>
        <w:footnoteRef/>
      </w:r>
      <w:r>
        <w:rPr>
          <w:rtl/>
        </w:rPr>
        <w:t xml:space="preserve"> </w:t>
      </w:r>
      <w:r w:rsidRPr="003754EB">
        <w:rPr>
          <w:rFonts w:cs="Arial"/>
          <w:rtl/>
        </w:rPr>
        <w:t>הרא"ש מדמה דינים אלו לגזלן דצריך לשלם כשעת הגזילה לכן אפילו אם רוצה לזון אותה עכשיו חייב לשלם לה, וכתב בט"ז דוקא דשכיח אבל יוקר דאינו שכיח הוי כאונס דלא שכיח ולא קיבל עליו</w:t>
      </w:r>
      <w:r>
        <w:rPr>
          <w:rFonts w:cs="Arial" w:hint="cs"/>
          <w:rtl/>
        </w:rPr>
        <w:t>, ב"ש (סק"ג).</w:t>
      </w:r>
    </w:p>
  </w:footnote>
  <w:footnote w:id="3072">
    <w:p w14:paraId="19C288AD" w14:textId="77777777" w:rsidR="00DF1FC7" w:rsidRDefault="00DF1FC7" w:rsidP="002E5BAD">
      <w:pPr>
        <w:pStyle w:val="a5"/>
      </w:pPr>
      <w:r>
        <w:rPr>
          <w:rStyle w:val="a7"/>
        </w:rPr>
        <w:footnoteRef/>
      </w:r>
      <w:r>
        <w:rPr>
          <w:rtl/>
        </w:rPr>
        <w:t xml:space="preserve"> </w:t>
      </w:r>
      <w:r w:rsidRPr="003754EB">
        <w:rPr>
          <w:rFonts w:cs="Arial"/>
          <w:rtl/>
        </w:rPr>
        <w:t>נראה היינו אם אין רוצה לזונה על שלחנו משלם לה דמים כשער של עכשיו אבל אם רוצה יכול לומר לה אני מוכן עדיין ליתן לך מזונו' על שלחני שכבר כתבתי לפני זה בס"ק א' דלא עדיפא מאמה וא"צ ליתן לה דמים</w:t>
      </w:r>
      <w:r>
        <w:rPr>
          <w:rFonts w:cs="Arial" w:hint="cs"/>
          <w:rtl/>
        </w:rPr>
        <w:t>, ח"מ (סק"ג).</w:t>
      </w:r>
    </w:p>
  </w:footnote>
  <w:footnote w:id="3073">
    <w:p w14:paraId="57021117" w14:textId="77777777" w:rsidR="00DF1FC7" w:rsidRDefault="00DF1FC7" w:rsidP="002E5BAD">
      <w:pPr>
        <w:pStyle w:val="a5"/>
      </w:pPr>
      <w:r>
        <w:rPr>
          <w:rStyle w:val="a7"/>
        </w:rPr>
        <w:footnoteRef/>
      </w:r>
      <w:r>
        <w:rPr>
          <w:rtl/>
        </w:rPr>
        <w:t xml:space="preserve"> </w:t>
      </w:r>
      <w:r w:rsidRPr="00C81756">
        <w:rPr>
          <w:rFonts w:cs="Arial"/>
          <w:rtl/>
        </w:rPr>
        <w:t>בת אשתו שקיבל על עצמו לזונה</w:t>
      </w:r>
      <w:r>
        <w:rPr>
          <w:rFonts w:cs="Arial" w:hint="cs"/>
          <w:rtl/>
        </w:rPr>
        <w:t xml:space="preserve">, קרבן העדה. </w:t>
      </w:r>
    </w:p>
  </w:footnote>
  <w:footnote w:id="3074">
    <w:p w14:paraId="05567AB2" w14:textId="77777777" w:rsidR="00DF1FC7" w:rsidRDefault="00DF1FC7" w:rsidP="002E5BAD">
      <w:pPr>
        <w:pStyle w:val="a5"/>
        <w:rPr>
          <w:rtl/>
        </w:rPr>
      </w:pPr>
      <w:r>
        <w:rPr>
          <w:rStyle w:val="a7"/>
        </w:rPr>
        <w:footnoteRef/>
      </w:r>
      <w:r>
        <w:rPr>
          <w:rtl/>
        </w:rPr>
        <w:t xml:space="preserve"> </w:t>
      </w:r>
      <w:r w:rsidRPr="00472F3D">
        <w:rPr>
          <w:rFonts w:cs="Arial"/>
          <w:rtl/>
        </w:rPr>
        <w:t>זאת אומרת שהוא חייב במזונותיה ומעשה ידיה של בעלה דהא כיון שהבעל חייב במזונותיה וודאי מעשה ידיה שלו דהא תקנו מזונות תחת מעשה ידיה ה"נ כשהיא פנויה מעשה ידיה שלה</w:t>
      </w:r>
      <w:r>
        <w:rPr>
          <w:rFonts w:hint="cs"/>
          <w:rtl/>
        </w:rPr>
        <w:t xml:space="preserve">, קרבן העדה. </w:t>
      </w:r>
    </w:p>
  </w:footnote>
  <w:footnote w:id="3075">
    <w:p w14:paraId="61ADC23F" w14:textId="77777777" w:rsidR="00DF1FC7" w:rsidRDefault="00DF1FC7" w:rsidP="002E5BAD">
      <w:pPr>
        <w:pStyle w:val="a5"/>
      </w:pPr>
      <w:r>
        <w:rPr>
          <w:rStyle w:val="a7"/>
        </w:rPr>
        <w:footnoteRef/>
      </w:r>
      <w:r>
        <w:rPr>
          <w:rtl/>
        </w:rPr>
        <w:t xml:space="preserve"> </w:t>
      </w:r>
      <w:r w:rsidRPr="00472F3D">
        <w:rPr>
          <w:rFonts w:cs="Arial"/>
          <w:rtl/>
        </w:rPr>
        <w:t>דוקא באשתו ובניו תקנו חז"ל מ"י שלו הוא אבל המתחייב את עצמו לזון לאחר לא זכה במ"י</w:t>
      </w:r>
      <w:r>
        <w:rPr>
          <w:rFonts w:cs="Arial" w:hint="cs"/>
          <w:rtl/>
        </w:rPr>
        <w:t>, ב"ש (סק"ה).</w:t>
      </w:r>
    </w:p>
  </w:footnote>
  <w:footnote w:id="3076">
    <w:p w14:paraId="6201E4F1" w14:textId="77777777" w:rsidR="00DF1FC7" w:rsidRDefault="00DF1FC7" w:rsidP="002E5BAD">
      <w:pPr>
        <w:pStyle w:val="a5"/>
        <w:rPr>
          <w:rtl/>
        </w:rPr>
      </w:pPr>
      <w:r>
        <w:rPr>
          <w:rStyle w:val="a7"/>
        </w:rPr>
        <w:footnoteRef/>
      </w:r>
      <w:r>
        <w:rPr>
          <w:rtl/>
        </w:rPr>
        <w:t xml:space="preserve"> </w:t>
      </w:r>
      <w:r w:rsidRPr="00CF5559">
        <w:rPr>
          <w:rFonts w:cs="Arial"/>
          <w:rtl/>
        </w:rPr>
        <w:t>דאי</w:t>
      </w:r>
      <w:r>
        <w:rPr>
          <w:rFonts w:cs="Arial" w:hint="cs"/>
          <w:rtl/>
        </w:rPr>
        <w:t>נה יכולה</w:t>
      </w:r>
      <w:r w:rsidRPr="00CF5559">
        <w:rPr>
          <w:rFonts w:cs="Arial"/>
          <w:rtl/>
        </w:rPr>
        <w:t xml:space="preserve"> לחוב אותה. מכאן יש ללמוד אם האב עשה חיתון עם בתו ואח"כ נתרצו האב והחתן לבטל החיתון דאין להאב רשות לבטל החיתון בלי רצון בתו. ואם בתו ברשותו כגון שהיא קטנה או נערה יוכל לבטל החיתון בלא רצונה ט"ז ב"ש</w:t>
      </w:r>
      <w:r>
        <w:rPr>
          <w:rFonts w:cs="Arial" w:hint="cs"/>
          <w:rtl/>
        </w:rPr>
        <w:t xml:space="preserve"> (סק"ו)</w:t>
      </w:r>
      <w:r w:rsidRPr="00CF5559">
        <w:rPr>
          <w:rFonts w:cs="Arial"/>
          <w:rtl/>
        </w:rPr>
        <w:t>. ועיין בתשובת הרשב"א סי' תתע"ג והבי' בהג"ה בח"מ ס"ס של"ג לענין מלמד אצל בה"ב ע"ש</w:t>
      </w:r>
      <w:r>
        <w:rPr>
          <w:rFonts w:hint="cs"/>
          <w:rtl/>
        </w:rPr>
        <w:t>, באה"ט (סק"ה).</w:t>
      </w:r>
    </w:p>
  </w:footnote>
  <w:footnote w:id="3077">
    <w:p w14:paraId="7DB8EDA1"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3078">
    <w:p w14:paraId="3A8131E6" w14:textId="77777777" w:rsidR="00DF1FC7" w:rsidRDefault="00DF1FC7" w:rsidP="002E5BAD">
      <w:pPr>
        <w:pStyle w:val="a5"/>
      </w:pPr>
      <w:r>
        <w:rPr>
          <w:rStyle w:val="a7"/>
        </w:rPr>
        <w:footnoteRef/>
      </w:r>
      <w:r>
        <w:rPr>
          <w:rtl/>
        </w:rPr>
        <w:t xml:space="preserve"> </w:t>
      </w:r>
      <w:r w:rsidRPr="00581D8B">
        <w:rPr>
          <w:rFonts w:cs="Arial"/>
          <w:rtl/>
        </w:rPr>
        <w:t>נתנו חכמים כתיבה לדבר אם באו להחתים עדים בדברים הללו שהן בלא קנין</w:t>
      </w:r>
      <w:r>
        <w:rPr>
          <w:rFonts w:cs="Arial" w:hint="cs"/>
          <w:rtl/>
        </w:rPr>
        <w:t>, רש"י.</w:t>
      </w:r>
    </w:p>
  </w:footnote>
  <w:footnote w:id="3079">
    <w:p w14:paraId="09641A80" w14:textId="77777777" w:rsidR="00DF1FC7" w:rsidRDefault="00DF1FC7" w:rsidP="002E5BAD">
      <w:pPr>
        <w:pStyle w:val="a5"/>
      </w:pPr>
      <w:r>
        <w:rPr>
          <w:rStyle w:val="a7"/>
        </w:rPr>
        <w:footnoteRef/>
      </w:r>
      <w:r>
        <w:rPr>
          <w:rtl/>
        </w:rPr>
        <w:t xml:space="preserve"> </w:t>
      </w:r>
      <w:r w:rsidRPr="00581D8B">
        <w:rPr>
          <w:rFonts w:cs="Arial"/>
          <w:rtl/>
        </w:rPr>
        <w:t>דלא ליטרוף ממשעבדי וכיון דליכא קנין לא משתעבדי נכסי</w:t>
      </w:r>
      <w:r>
        <w:rPr>
          <w:rFonts w:cs="Arial" w:hint="cs"/>
          <w:rtl/>
        </w:rPr>
        <w:t>, רש"י.</w:t>
      </w:r>
    </w:p>
  </w:footnote>
  <w:footnote w:id="3080">
    <w:p w14:paraId="60596116" w14:textId="77777777" w:rsidR="00DF1FC7" w:rsidRDefault="00DF1FC7" w:rsidP="002E5BAD">
      <w:pPr>
        <w:pStyle w:val="a5"/>
      </w:pPr>
      <w:r>
        <w:rPr>
          <w:rStyle w:val="a7"/>
        </w:rPr>
        <w:footnoteRef/>
      </w:r>
      <w:r>
        <w:rPr>
          <w:rtl/>
        </w:rPr>
        <w:t xml:space="preserve"> </w:t>
      </w:r>
      <w:r>
        <w:rPr>
          <w:rFonts w:cs="Arial"/>
          <w:rtl/>
        </w:rPr>
        <w:t xml:space="preserve">כ"כ הרמב"ם </w:t>
      </w:r>
      <w:r>
        <w:rPr>
          <w:rFonts w:cs="Arial" w:hint="cs"/>
          <w:rtl/>
        </w:rPr>
        <w:t>(</w:t>
      </w:r>
      <w:r>
        <w:rPr>
          <w:rFonts w:cs="Arial"/>
          <w:rtl/>
        </w:rPr>
        <w:t>פכ"ג מאישות הי"ח) וטעמו מדגרסינן בפרק הנושא (קב:) א"ל רבינא לרב אשי דברים הללו ניתנו ליכתב או לא ניתנו ליכתב א"ל לא ניתנו ליכתב ואותביה עליה מדתנן שאם מת היא נזונת מנכסים משועבדים מפני שהיא כב"ח ושני הכא במאי עסקינן בשקנו מידו והוא ז"ל מפרש כדכתב הר"ן (סא. ד"ה דברים) דמשמע מדברי הרי"ף (קידושין ה:) דהכי בעא מיניה דברים הללו ניתנו ליכתב שאם נכתבו תורת שטר עליהם לגבו' ממשעבדי או לא א"ל לא ניתנו ליכתב שאפילו נכתבו אין כתיבתו עושה שטר לגבות ממשעבדי שלא עלה על דעתם להשתעבד משום הנאת איחתוני אלא אצל בני חרי ולא אצל משעבדי</w:t>
      </w:r>
      <w:r>
        <w:rPr>
          <w:rFonts w:cs="Arial" w:hint="cs"/>
          <w:rtl/>
        </w:rPr>
        <w:t>, ב"י.</w:t>
      </w:r>
    </w:p>
  </w:footnote>
  <w:footnote w:id="3081">
    <w:p w14:paraId="5FEE78DC" w14:textId="77777777" w:rsidR="00DF1FC7" w:rsidRDefault="00DF1FC7" w:rsidP="002E5BAD">
      <w:pPr>
        <w:pStyle w:val="a5"/>
        <w:rPr>
          <w:rtl/>
        </w:rPr>
      </w:pPr>
      <w:r>
        <w:rPr>
          <w:rStyle w:val="a7"/>
        </w:rPr>
        <w:footnoteRef/>
      </w:r>
      <w:r>
        <w:rPr>
          <w:rtl/>
        </w:rPr>
        <w:t xml:space="preserve"> </w:t>
      </w:r>
      <w:r w:rsidRPr="00A55D7A">
        <w:rPr>
          <w:rFonts w:cs="Arial"/>
          <w:rtl/>
        </w:rPr>
        <w:t>לאו דוקא מת אפילו בחייו הרי היא כב"ח ולא נקט מת משום דבמשנה מחלק בין בנותיו שניזונו' מנכסים ב"ח והיא ניזונית מנכסים משועבדים וע"כ נקט מת משום בנותיו דאין להם מזונו' בתנאי ב"ד אלא לאחר מותו</w:t>
      </w:r>
      <w:r>
        <w:rPr>
          <w:rFonts w:hint="cs"/>
          <w:rtl/>
        </w:rPr>
        <w:t>, ח"מ (סק"ה).</w:t>
      </w:r>
    </w:p>
  </w:footnote>
  <w:footnote w:id="3082">
    <w:p w14:paraId="5A9F7107" w14:textId="77777777" w:rsidR="00DF1FC7" w:rsidRDefault="00DF1FC7" w:rsidP="002E5BAD">
      <w:pPr>
        <w:pStyle w:val="a5"/>
      </w:pPr>
      <w:r>
        <w:rPr>
          <w:rStyle w:val="a7"/>
        </w:rPr>
        <w:footnoteRef/>
      </w:r>
      <w:r>
        <w:rPr>
          <w:rtl/>
        </w:rPr>
        <w:t xml:space="preserve"> </w:t>
      </w:r>
      <w:r>
        <w:rPr>
          <w:rFonts w:cs="Arial" w:hint="cs"/>
          <w:rtl/>
        </w:rPr>
        <w:t xml:space="preserve">אבל </w:t>
      </w:r>
      <w:r w:rsidRPr="00A55D7A">
        <w:rPr>
          <w:rFonts w:cs="Arial"/>
          <w:rtl/>
        </w:rPr>
        <w:t xml:space="preserve">אם יש כאן בני חורין </w:t>
      </w:r>
      <w:r>
        <w:rPr>
          <w:rFonts w:cs="Arial" w:hint="cs"/>
          <w:rtl/>
        </w:rPr>
        <w:t xml:space="preserve">- </w:t>
      </w:r>
      <w:r w:rsidRPr="00A55D7A">
        <w:rPr>
          <w:rFonts w:cs="Arial"/>
          <w:rtl/>
        </w:rPr>
        <w:t>גובין מן היורשים אפי' בלא קנין</w:t>
      </w:r>
      <w:r>
        <w:rPr>
          <w:rFonts w:cs="Arial" w:hint="cs"/>
          <w:rtl/>
        </w:rPr>
        <w:t>,</w:t>
      </w:r>
      <w:r w:rsidRPr="00A55D7A">
        <w:rPr>
          <w:rFonts w:cs="Arial"/>
          <w:rtl/>
        </w:rPr>
        <w:t xml:space="preserve"> דהא מלוה ע"פ כשהוא תוך זמן גובין מן היורשים וכאן תוך זמן הוא דהא מת תוך ה' שנים</w:t>
      </w:r>
      <w:r>
        <w:rPr>
          <w:rFonts w:cs="Arial" w:hint="cs"/>
          <w:rtl/>
        </w:rPr>
        <w:t>.</w:t>
      </w:r>
      <w:r w:rsidRPr="00A55D7A">
        <w:rPr>
          <w:rFonts w:cs="Arial"/>
          <w:rtl/>
        </w:rPr>
        <w:t xml:space="preserve"> הה</w:t>
      </w:r>
      <w:r>
        <w:rPr>
          <w:rFonts w:cs="Arial" w:hint="cs"/>
          <w:rtl/>
        </w:rPr>
        <w:t>"מ</w:t>
      </w:r>
      <w:r w:rsidRPr="00A55D7A">
        <w:rPr>
          <w:rFonts w:cs="Arial"/>
          <w:rtl/>
        </w:rPr>
        <w:t xml:space="preserve"> </w:t>
      </w:r>
      <w:r>
        <w:rPr>
          <w:rFonts w:cs="Arial" w:hint="cs"/>
          <w:rtl/>
        </w:rPr>
        <w:t>(</w:t>
      </w:r>
      <w:r w:rsidRPr="00A55D7A">
        <w:rPr>
          <w:rFonts w:cs="Arial"/>
          <w:rtl/>
        </w:rPr>
        <w:t>פכ"ג מה"א</w:t>
      </w:r>
      <w:r>
        <w:rPr>
          <w:rFonts w:cs="Arial" w:hint="cs"/>
          <w:rtl/>
        </w:rPr>
        <w:t>, הביאו הב"ש סק"ז), באה"ט (סק"ז).</w:t>
      </w:r>
    </w:p>
  </w:footnote>
  <w:footnote w:id="3083">
    <w:p w14:paraId="31C002F8" w14:textId="77777777" w:rsidR="00DF1FC7" w:rsidRDefault="00DF1FC7" w:rsidP="002E5BAD">
      <w:pPr>
        <w:pStyle w:val="a5"/>
      </w:pPr>
      <w:r>
        <w:rPr>
          <w:rStyle w:val="a7"/>
        </w:rPr>
        <w:footnoteRef/>
      </w:r>
      <w:r>
        <w:rPr>
          <w:rtl/>
        </w:rPr>
        <w:t xml:space="preserve"> </w:t>
      </w:r>
      <w:r w:rsidRPr="008D4CEB">
        <w:rPr>
          <w:rFonts w:cs="Arial"/>
          <w:rtl/>
        </w:rPr>
        <w:t>וצריך ליתן לה מזונותיה כבימי בריאותה</w:t>
      </w:r>
      <w:r>
        <w:rPr>
          <w:rFonts w:cs="Arial" w:hint="cs"/>
          <w:rtl/>
        </w:rPr>
        <w:t>.</w:t>
      </w:r>
      <w:r w:rsidRPr="008D4CEB">
        <w:rPr>
          <w:rFonts w:cs="Arial"/>
          <w:rtl/>
        </w:rPr>
        <w:t xml:space="preserve"> ל"א</w:t>
      </w:r>
      <w:r>
        <w:rPr>
          <w:rFonts w:cs="Arial" w:hint="cs"/>
          <w:rtl/>
        </w:rPr>
        <w:t>-</w:t>
      </w:r>
      <w:r w:rsidRPr="008D4CEB">
        <w:rPr>
          <w:rFonts w:cs="Arial"/>
          <w:rtl/>
        </w:rPr>
        <w:t xml:space="preserve"> צריך ליתן לה מזונותיה במקום שהיא שם</w:t>
      </w:r>
      <w:r>
        <w:rPr>
          <w:rFonts w:cs="Arial" w:hint="cs"/>
          <w:rtl/>
        </w:rPr>
        <w:t xml:space="preserve">, קרבן העדה. </w:t>
      </w:r>
    </w:p>
  </w:footnote>
  <w:footnote w:id="3084">
    <w:p w14:paraId="2E3EAD60" w14:textId="77777777" w:rsidR="00DF1FC7" w:rsidRDefault="00DF1FC7" w:rsidP="002E5BAD">
      <w:pPr>
        <w:pStyle w:val="a5"/>
      </w:pPr>
      <w:r>
        <w:rPr>
          <w:rStyle w:val="a7"/>
        </w:rPr>
        <w:footnoteRef/>
      </w:r>
      <w:r>
        <w:rPr>
          <w:rtl/>
        </w:rPr>
        <w:t xml:space="preserve"> </w:t>
      </w:r>
      <w:r w:rsidRPr="008D4CEB">
        <w:rPr>
          <w:rFonts w:cs="Arial"/>
          <w:rtl/>
        </w:rPr>
        <w:t>וצריך ליתן דמי מזונותיה ליורשיה</w:t>
      </w:r>
      <w:r>
        <w:rPr>
          <w:rFonts w:cs="Arial" w:hint="cs"/>
          <w:rtl/>
        </w:rPr>
        <w:t xml:space="preserve">, קרבן העדה. </w:t>
      </w:r>
    </w:p>
  </w:footnote>
  <w:footnote w:id="3085">
    <w:p w14:paraId="358E0814" w14:textId="77777777" w:rsidR="00DF1FC7" w:rsidRDefault="00DF1FC7" w:rsidP="002E5BAD">
      <w:pPr>
        <w:pStyle w:val="a5"/>
      </w:pPr>
      <w:r>
        <w:rPr>
          <w:rStyle w:val="a7"/>
        </w:rPr>
        <w:footnoteRef/>
      </w:r>
      <w:r>
        <w:rPr>
          <w:rtl/>
        </w:rPr>
        <w:t xml:space="preserve"> </w:t>
      </w:r>
      <w:r w:rsidRPr="008D4CEB">
        <w:rPr>
          <w:rFonts w:cs="Arial"/>
          <w:rtl/>
        </w:rPr>
        <w:t>ולמה ישלם דמי מזונות שמתחלה מסתמא לא קיבל אלא שלא תצטרך להוציאה דמי מזונות וכבר אינה צריכה להן עכשיו</w:t>
      </w:r>
      <w:r>
        <w:rPr>
          <w:rFonts w:cs="Arial" w:hint="cs"/>
          <w:rtl/>
        </w:rPr>
        <w:t xml:space="preserve">, קרבן העדה. </w:t>
      </w:r>
    </w:p>
  </w:footnote>
  <w:footnote w:id="3086">
    <w:p w14:paraId="24D8B6B1" w14:textId="77777777" w:rsidR="00DF1FC7" w:rsidRDefault="00DF1FC7" w:rsidP="002E5BAD">
      <w:pPr>
        <w:pStyle w:val="a5"/>
      </w:pPr>
      <w:r>
        <w:rPr>
          <w:rStyle w:val="a7"/>
        </w:rPr>
        <w:footnoteRef/>
      </w:r>
      <w:r>
        <w:rPr>
          <w:rtl/>
        </w:rPr>
        <w:t xml:space="preserve"> </w:t>
      </w:r>
      <w:r w:rsidRPr="00EF4840">
        <w:rPr>
          <w:rFonts w:cs="Arial"/>
          <w:rtl/>
        </w:rPr>
        <w:t>דסתמא דמילתא לא היתה הכוונה רק שיהיו לה מזונו</w:t>
      </w:r>
      <w:r>
        <w:rPr>
          <w:rFonts w:cs="Arial" w:hint="cs"/>
          <w:rtl/>
        </w:rPr>
        <w:t>ת</w:t>
      </w:r>
      <w:r w:rsidRPr="00EF4840">
        <w:rPr>
          <w:rFonts w:cs="Arial"/>
          <w:rtl/>
        </w:rPr>
        <w:t xml:space="preserve"> ולא להוריש ליורשיה</w:t>
      </w:r>
      <w:r>
        <w:rPr>
          <w:rFonts w:cs="Arial" w:hint="cs"/>
          <w:rtl/>
        </w:rPr>
        <w:t>, ח"מ (סק"ו).</w:t>
      </w:r>
      <w:r w:rsidRPr="0047740F">
        <w:rPr>
          <w:rtl/>
        </w:rPr>
        <w:t xml:space="preserve"> </w:t>
      </w:r>
      <w:r w:rsidRPr="0047740F">
        <w:rPr>
          <w:rFonts w:cs="Arial"/>
          <w:rtl/>
        </w:rPr>
        <w:t xml:space="preserve">כתב בט"ז </w:t>
      </w:r>
      <w:r>
        <w:rPr>
          <w:rFonts w:cs="Arial" w:hint="cs"/>
          <w:rtl/>
        </w:rPr>
        <w:t xml:space="preserve">(סק"ז) </w:t>
      </w:r>
      <w:r w:rsidRPr="0047740F">
        <w:rPr>
          <w:rFonts w:cs="Arial"/>
          <w:rtl/>
        </w:rPr>
        <w:t xml:space="preserve">יש ללמוד מכאן </w:t>
      </w:r>
      <w:r>
        <w:rPr>
          <w:rFonts w:cs="Arial" w:hint="cs"/>
          <w:rtl/>
        </w:rPr>
        <w:t>ל</w:t>
      </w:r>
      <w:r w:rsidRPr="0047740F">
        <w:rPr>
          <w:rFonts w:cs="Arial"/>
          <w:rtl/>
        </w:rPr>
        <w:t>מי שהבטיח לחבירו ליתן לו מתנה ונתן לו ת</w:t>
      </w:r>
      <w:r>
        <w:rPr>
          <w:rFonts w:cs="Arial" w:hint="cs"/>
          <w:rtl/>
        </w:rPr>
        <w:t xml:space="preserve">קיעת </w:t>
      </w:r>
      <w:r w:rsidRPr="0047740F">
        <w:rPr>
          <w:rFonts w:cs="Arial"/>
          <w:rtl/>
        </w:rPr>
        <w:t>כ</w:t>
      </w:r>
      <w:r>
        <w:rPr>
          <w:rFonts w:cs="Arial" w:hint="cs"/>
          <w:rtl/>
        </w:rPr>
        <w:t>ף,</w:t>
      </w:r>
      <w:r w:rsidRPr="0047740F">
        <w:rPr>
          <w:rFonts w:cs="Arial"/>
          <w:rtl/>
        </w:rPr>
        <w:t xml:space="preserve"> ומת</w:t>
      </w:r>
      <w:r>
        <w:rPr>
          <w:rFonts w:cs="Arial" w:hint="cs"/>
          <w:rtl/>
        </w:rPr>
        <w:t xml:space="preserve"> </w:t>
      </w:r>
      <w:r>
        <w:rPr>
          <w:rFonts w:cs="Arial" w:hint="cs"/>
          <w:sz w:val="16"/>
          <w:szCs w:val="16"/>
          <w:rtl/>
        </w:rPr>
        <w:t xml:space="preserve">{המקבל} </w:t>
      </w:r>
      <w:r>
        <w:rPr>
          <w:rFonts w:cs="Arial" w:hint="cs"/>
          <w:rtl/>
        </w:rPr>
        <w:t>-</w:t>
      </w:r>
      <w:r w:rsidRPr="0047740F">
        <w:rPr>
          <w:rFonts w:cs="Arial"/>
          <w:rtl/>
        </w:rPr>
        <w:t xml:space="preserve"> א"צ ליתן ליורשיו</w:t>
      </w:r>
      <w:r>
        <w:rPr>
          <w:rFonts w:cs="Arial" w:hint="cs"/>
          <w:rtl/>
        </w:rPr>
        <w:t>.</w:t>
      </w:r>
      <w:r w:rsidRPr="0047740F">
        <w:rPr>
          <w:rFonts w:cs="Arial"/>
          <w:rtl/>
        </w:rPr>
        <w:t xml:space="preserve"> ולכאורה נראה דל</w:t>
      </w:r>
      <w:r>
        <w:rPr>
          <w:rFonts w:cs="Arial" w:hint="cs"/>
          <w:rtl/>
        </w:rPr>
        <w:t xml:space="preserve">א </w:t>
      </w:r>
      <w:r w:rsidRPr="0047740F">
        <w:rPr>
          <w:rFonts w:cs="Arial"/>
          <w:rtl/>
        </w:rPr>
        <w:t>ד</w:t>
      </w:r>
      <w:r>
        <w:rPr>
          <w:rFonts w:cs="Arial" w:hint="cs"/>
          <w:rtl/>
        </w:rPr>
        <w:t>מי</w:t>
      </w:r>
      <w:r w:rsidRPr="0047740F">
        <w:rPr>
          <w:rFonts w:cs="Arial"/>
          <w:rtl/>
        </w:rPr>
        <w:t xml:space="preserve"> לכאן</w:t>
      </w:r>
      <w:r>
        <w:rPr>
          <w:rFonts w:cs="Arial" w:hint="cs"/>
          <w:rtl/>
        </w:rPr>
        <w:t>,</w:t>
      </w:r>
      <w:r w:rsidRPr="0047740F">
        <w:rPr>
          <w:rFonts w:cs="Arial"/>
          <w:rtl/>
        </w:rPr>
        <w:t xml:space="preserve"> דכאן איירי </w:t>
      </w:r>
      <w:r>
        <w:rPr>
          <w:rFonts w:cs="Arial" w:hint="cs"/>
          <w:rtl/>
        </w:rPr>
        <w:t>ב</w:t>
      </w:r>
      <w:r w:rsidRPr="0047740F">
        <w:rPr>
          <w:rFonts w:cs="Arial"/>
          <w:rtl/>
        </w:rPr>
        <w:t xml:space="preserve">מזונות להבא </w:t>
      </w:r>
      <w:r>
        <w:rPr>
          <w:rFonts w:cs="Arial" w:hint="cs"/>
          <w:rtl/>
        </w:rPr>
        <w:t>ד</w:t>
      </w:r>
      <w:r w:rsidRPr="0047740F">
        <w:rPr>
          <w:rFonts w:cs="Arial"/>
          <w:rtl/>
        </w:rPr>
        <w:t>אינו מחויב ליתן ליורשיו</w:t>
      </w:r>
      <w:r>
        <w:rPr>
          <w:rFonts w:cs="Arial" w:hint="cs"/>
          <w:rtl/>
        </w:rPr>
        <w:t>,</w:t>
      </w:r>
      <w:r w:rsidRPr="0047740F">
        <w:rPr>
          <w:rFonts w:cs="Arial"/>
          <w:rtl/>
        </w:rPr>
        <w:t xml:space="preserve"> אבל מה שעבר כבר </w:t>
      </w:r>
      <w:r>
        <w:rPr>
          <w:rFonts w:cs="Arial" w:hint="cs"/>
          <w:rtl/>
        </w:rPr>
        <w:t xml:space="preserve">- </w:t>
      </w:r>
      <w:r w:rsidRPr="0047740F">
        <w:rPr>
          <w:rFonts w:cs="Arial"/>
          <w:rtl/>
        </w:rPr>
        <w:t>חייב ליתן</w:t>
      </w:r>
      <w:r>
        <w:rPr>
          <w:rFonts w:cs="Arial" w:hint="cs"/>
          <w:rtl/>
        </w:rPr>
        <w:t>,</w:t>
      </w:r>
      <w:r w:rsidRPr="0047740F">
        <w:rPr>
          <w:rFonts w:cs="Arial"/>
          <w:rtl/>
        </w:rPr>
        <w:t xml:space="preserve"> כמ"ש ס</w:t>
      </w:r>
      <w:r>
        <w:rPr>
          <w:rFonts w:cs="Arial" w:hint="cs"/>
          <w:rtl/>
        </w:rPr>
        <w:t xml:space="preserve">וף </w:t>
      </w:r>
      <w:r w:rsidRPr="0047740F">
        <w:rPr>
          <w:rFonts w:cs="Arial"/>
          <w:rtl/>
        </w:rPr>
        <w:t>ס</w:t>
      </w:r>
      <w:r>
        <w:rPr>
          <w:rFonts w:cs="Arial" w:hint="cs"/>
          <w:rtl/>
        </w:rPr>
        <w:t xml:space="preserve">ימן </w:t>
      </w:r>
      <w:r w:rsidRPr="0047740F">
        <w:rPr>
          <w:rFonts w:cs="Arial"/>
          <w:rtl/>
        </w:rPr>
        <w:t>ז</w:t>
      </w:r>
      <w:r>
        <w:rPr>
          <w:rFonts w:cs="Arial" w:hint="cs"/>
          <w:rtl/>
        </w:rPr>
        <w:t>ה (סע' יב)</w:t>
      </w:r>
      <w:r w:rsidRPr="0047740F">
        <w:rPr>
          <w:rFonts w:cs="Arial"/>
          <w:rtl/>
        </w:rPr>
        <w:t xml:space="preserve"> דאי לאו דבעל אינו יורש מה שראוי הוא היה חייב ליתן לו חלק אשתו</w:t>
      </w:r>
      <w:r>
        <w:rPr>
          <w:rFonts w:cs="Arial" w:hint="cs"/>
          <w:rtl/>
        </w:rPr>
        <w:t>.</w:t>
      </w:r>
      <w:r w:rsidRPr="0047740F">
        <w:rPr>
          <w:rFonts w:cs="Arial"/>
          <w:rtl/>
        </w:rPr>
        <w:t xml:space="preserve"> ואפשר </w:t>
      </w:r>
      <w:r>
        <w:rPr>
          <w:rFonts w:cs="Arial" w:hint="cs"/>
          <w:rtl/>
        </w:rPr>
        <w:t>ד</w:t>
      </w:r>
      <w:r w:rsidRPr="0047740F">
        <w:rPr>
          <w:rFonts w:cs="Arial"/>
          <w:rtl/>
        </w:rPr>
        <w:t>הט"ז נמי איירי שמת קודם שהגיע הזמן ליתן המתנה</w:t>
      </w:r>
      <w:r>
        <w:rPr>
          <w:rFonts w:hint="cs"/>
          <w:rtl/>
        </w:rPr>
        <w:t xml:space="preserve">, ב"ש (סק"ט). והבאה"ט (סק"ז) השאיר את דברי הט"ז בצ"ע. וכתב (שם) עוד </w:t>
      </w:r>
      <w:r>
        <w:rPr>
          <w:rFonts w:cs="Arial" w:hint="cs"/>
          <w:rtl/>
        </w:rPr>
        <w:t xml:space="preserve">דהא דכאן אין יורשיה יורשים מזונותיה </w:t>
      </w:r>
      <w:r>
        <w:rPr>
          <w:rFonts w:cs="Arial"/>
          <w:rtl/>
        </w:rPr>
        <w:t>–</w:t>
      </w:r>
      <w:r>
        <w:rPr>
          <w:rFonts w:cs="Arial" w:hint="cs"/>
          <w:rtl/>
        </w:rPr>
        <w:t xml:space="preserve"> </w:t>
      </w:r>
      <w:r w:rsidRPr="00E13231">
        <w:rPr>
          <w:rFonts w:cs="Arial"/>
          <w:rtl/>
        </w:rPr>
        <w:t>ה</w:t>
      </w:r>
      <w:r>
        <w:rPr>
          <w:rFonts w:cs="Arial" w:hint="cs"/>
          <w:rtl/>
        </w:rPr>
        <w:t>ני מילי</w:t>
      </w:r>
      <w:r w:rsidRPr="00E13231">
        <w:rPr>
          <w:rFonts w:cs="Arial"/>
          <w:rtl/>
        </w:rPr>
        <w:t xml:space="preserve"> במתחייב לזונה ה' שנים</w:t>
      </w:r>
      <w:r>
        <w:rPr>
          <w:rFonts w:cs="Arial" w:hint="cs"/>
          <w:rtl/>
        </w:rPr>
        <w:t>,</w:t>
      </w:r>
      <w:r w:rsidRPr="00E13231">
        <w:rPr>
          <w:rFonts w:cs="Arial"/>
          <w:rtl/>
        </w:rPr>
        <w:t xml:space="preserve"> אבל אם קבל על עצמו סך מעות לצורך מזונותיה </w:t>
      </w:r>
      <w:r>
        <w:rPr>
          <w:rFonts w:cs="Arial" w:hint="cs"/>
          <w:rtl/>
        </w:rPr>
        <w:t xml:space="preserve">- </w:t>
      </w:r>
      <w:r w:rsidRPr="00E13231">
        <w:rPr>
          <w:rFonts w:cs="Arial"/>
          <w:rtl/>
        </w:rPr>
        <w:t>יורשיה יורשין אותה</w:t>
      </w:r>
      <w:r>
        <w:rPr>
          <w:rFonts w:cs="Arial" w:hint="cs"/>
          <w:rtl/>
        </w:rPr>
        <w:t>,</w:t>
      </w:r>
      <w:r w:rsidRPr="00E13231">
        <w:rPr>
          <w:rFonts w:cs="Arial"/>
          <w:rtl/>
        </w:rPr>
        <w:t xml:space="preserve"> הרשב"א סימן תתק"ע</w:t>
      </w:r>
      <w:r>
        <w:rPr>
          <w:rFonts w:cs="Arial" w:hint="cs"/>
          <w:rtl/>
        </w:rPr>
        <w:t>,</w:t>
      </w:r>
      <w:r w:rsidRPr="00E13231">
        <w:rPr>
          <w:rFonts w:cs="Arial"/>
          <w:rtl/>
        </w:rPr>
        <w:t xml:space="preserve"> והובא בח"מ סי' ס' סעיף ד' בהג"ה</w:t>
      </w:r>
      <w:r>
        <w:rPr>
          <w:rFonts w:cs="Arial" w:hint="cs"/>
          <w:rtl/>
        </w:rPr>
        <w:t>,</w:t>
      </w:r>
      <w:r w:rsidRPr="00E13231">
        <w:rPr>
          <w:rFonts w:cs="Arial"/>
          <w:rtl/>
        </w:rPr>
        <w:t xml:space="preserve"> ועיין שם בש"ך סקי"ז שהעלה ג"כ בקצב לה סך חייב לשלם ליורשיה אלא שפטור מבעלה ע"ש.</w:t>
      </w:r>
    </w:p>
  </w:footnote>
  <w:footnote w:id="3087">
    <w:p w14:paraId="28E56C75" w14:textId="77777777" w:rsidR="00DF1FC7" w:rsidRDefault="00DF1FC7" w:rsidP="002E5BAD">
      <w:pPr>
        <w:pStyle w:val="a5"/>
      </w:pPr>
      <w:r>
        <w:rPr>
          <w:rStyle w:val="a7"/>
        </w:rPr>
        <w:footnoteRef/>
      </w:r>
      <w:r>
        <w:rPr>
          <w:rtl/>
        </w:rPr>
        <w:t xml:space="preserve"> </w:t>
      </w:r>
      <w:r w:rsidRPr="00E13231">
        <w:rPr>
          <w:rFonts w:cs="Arial"/>
          <w:rtl/>
        </w:rPr>
        <w:t>כלו</w:t>
      </w:r>
      <w:r>
        <w:rPr>
          <w:rFonts w:cs="Arial" w:hint="cs"/>
          <w:rtl/>
        </w:rPr>
        <w:t>מר</w:t>
      </w:r>
      <w:r w:rsidRPr="00E13231">
        <w:rPr>
          <w:rFonts w:cs="Arial"/>
          <w:rtl/>
        </w:rPr>
        <w:t xml:space="preserve"> דלא תימ</w:t>
      </w:r>
      <w:r>
        <w:rPr>
          <w:rFonts w:cs="Arial" w:hint="cs"/>
          <w:rtl/>
        </w:rPr>
        <w:t>ה</w:t>
      </w:r>
      <w:r w:rsidRPr="00E13231">
        <w:rPr>
          <w:rFonts w:cs="Arial"/>
          <w:rtl/>
        </w:rPr>
        <w:t xml:space="preserve"> כיון דאי</w:t>
      </w:r>
      <w:r>
        <w:rPr>
          <w:rFonts w:cs="Arial" w:hint="cs"/>
          <w:rtl/>
        </w:rPr>
        <w:t>נה יכולה</w:t>
      </w:r>
      <w:r w:rsidRPr="00E13231">
        <w:rPr>
          <w:rFonts w:cs="Arial"/>
          <w:rtl/>
        </w:rPr>
        <w:t xml:space="preserve"> לאכול הוא פטור</w:t>
      </w:r>
      <w:r>
        <w:rPr>
          <w:rFonts w:cs="Arial" w:hint="cs"/>
          <w:rtl/>
        </w:rPr>
        <w:t>,</w:t>
      </w:r>
      <w:r w:rsidRPr="00E13231">
        <w:rPr>
          <w:rFonts w:cs="Arial"/>
          <w:rtl/>
        </w:rPr>
        <w:t xml:space="preserve"> קמ"ל </w:t>
      </w:r>
      <w:r>
        <w:rPr>
          <w:rFonts w:cs="Arial" w:hint="cs"/>
          <w:rtl/>
        </w:rPr>
        <w:t>ד</w:t>
      </w:r>
      <w:r w:rsidRPr="00E13231">
        <w:rPr>
          <w:rFonts w:cs="Arial"/>
          <w:rtl/>
        </w:rPr>
        <w:t>ה</w:t>
      </w:r>
      <w:r>
        <w:rPr>
          <w:rFonts w:cs="Arial" w:hint="cs"/>
          <w:rtl/>
        </w:rPr>
        <w:t xml:space="preserve">רי </w:t>
      </w:r>
      <w:r w:rsidRPr="00E13231">
        <w:rPr>
          <w:rFonts w:cs="Arial"/>
          <w:rtl/>
        </w:rPr>
        <w:t>ה</w:t>
      </w:r>
      <w:r>
        <w:rPr>
          <w:rFonts w:cs="Arial" w:hint="cs"/>
          <w:rtl/>
        </w:rPr>
        <w:t>יא</w:t>
      </w:r>
      <w:r w:rsidRPr="00E13231">
        <w:rPr>
          <w:rFonts w:cs="Arial"/>
          <w:rtl/>
        </w:rPr>
        <w:t xml:space="preserve"> כנשאת דיש לה מזונות ממקום אחר דחייב לשלם</w:t>
      </w:r>
      <w:r>
        <w:rPr>
          <w:rFonts w:cs="Arial" w:hint="cs"/>
          <w:rtl/>
        </w:rPr>
        <w:t>,</w:t>
      </w:r>
      <w:r w:rsidRPr="00E13231">
        <w:rPr>
          <w:rFonts w:cs="Arial"/>
          <w:rtl/>
        </w:rPr>
        <w:t xml:space="preserve"> כן ה</w:t>
      </w:r>
      <w:r>
        <w:rPr>
          <w:rFonts w:cs="Arial" w:hint="cs"/>
          <w:rtl/>
        </w:rPr>
        <w:t xml:space="preserve">כא </w:t>
      </w:r>
      <w:r w:rsidRPr="00E13231">
        <w:rPr>
          <w:rFonts w:cs="Arial"/>
          <w:rtl/>
        </w:rPr>
        <w:t>נ</w:t>
      </w:r>
      <w:r>
        <w:rPr>
          <w:rFonts w:cs="Arial" w:hint="cs"/>
          <w:rtl/>
        </w:rPr>
        <w:t>מי</w:t>
      </w:r>
      <w:r w:rsidRPr="00E13231">
        <w:rPr>
          <w:rFonts w:cs="Arial"/>
          <w:rtl/>
        </w:rPr>
        <w:t xml:space="preserve"> ח</w:t>
      </w:r>
      <w:r>
        <w:rPr>
          <w:rFonts w:cs="Arial" w:hint="cs"/>
          <w:rtl/>
        </w:rPr>
        <w:t xml:space="preserve">ייב </w:t>
      </w:r>
      <w:r w:rsidRPr="00E13231">
        <w:rPr>
          <w:rFonts w:cs="Arial"/>
          <w:rtl/>
        </w:rPr>
        <w:t>ל</w:t>
      </w:r>
      <w:r>
        <w:rPr>
          <w:rFonts w:cs="Arial" w:hint="cs"/>
          <w:rtl/>
        </w:rPr>
        <w:t>שלם..., ב"ש (סק"ח).</w:t>
      </w:r>
    </w:p>
  </w:footnote>
  <w:footnote w:id="3088">
    <w:p w14:paraId="047E9B46" w14:textId="77777777" w:rsidR="00DF1FC7" w:rsidRDefault="00DF1FC7" w:rsidP="002E5BAD">
      <w:pPr>
        <w:pStyle w:val="a5"/>
        <w:rPr>
          <w:rtl/>
        </w:rPr>
      </w:pPr>
      <w:r>
        <w:rPr>
          <w:rStyle w:val="a7"/>
        </w:rPr>
        <w:footnoteRef/>
      </w:r>
      <w:r>
        <w:rPr>
          <w:rtl/>
        </w:rPr>
        <w:t xml:space="preserve"> </w:t>
      </w:r>
      <w:r w:rsidRPr="00E931A9">
        <w:rPr>
          <w:rFonts w:cs="Arial"/>
          <w:rtl/>
        </w:rPr>
        <w:t>גם בס</w:t>
      </w:r>
      <w:r>
        <w:rPr>
          <w:rFonts w:cs="Arial" w:hint="cs"/>
          <w:rtl/>
        </w:rPr>
        <w:t>פר</w:t>
      </w:r>
      <w:r w:rsidRPr="00E931A9">
        <w:rPr>
          <w:rFonts w:cs="Arial"/>
          <w:rtl/>
        </w:rPr>
        <w:t xml:space="preserve"> ב"מ חולק על הט"ז בזה ע"ש. ועיין בתומים סי' ס' דמאריך בזה ומסיק לעשות פשר וכ</w:t>
      </w:r>
      <w:r>
        <w:rPr>
          <w:rFonts w:cs="Arial" w:hint="cs"/>
          <w:rtl/>
        </w:rPr>
        <w:t>תב-</w:t>
      </w:r>
      <w:r w:rsidRPr="00E931A9">
        <w:rPr>
          <w:rFonts w:cs="Arial"/>
          <w:rtl/>
        </w:rPr>
        <w:t xml:space="preserve"> </w:t>
      </w:r>
      <w:r>
        <w:rPr>
          <w:rFonts w:cs="Arial" w:hint="cs"/>
          <w:rtl/>
        </w:rPr>
        <w:t>אך</w:t>
      </w:r>
      <w:r w:rsidRPr="00E931A9">
        <w:rPr>
          <w:rFonts w:cs="Arial"/>
          <w:rtl/>
        </w:rPr>
        <w:t xml:space="preserve"> כל זה לאחר שני חזרה</w:t>
      </w:r>
      <w:r>
        <w:rPr>
          <w:rFonts w:cs="Arial" w:hint="cs"/>
          <w:rtl/>
        </w:rPr>
        <w:t>,</w:t>
      </w:r>
      <w:r w:rsidRPr="00E931A9">
        <w:rPr>
          <w:rFonts w:cs="Arial"/>
          <w:rtl/>
        </w:rPr>
        <w:t xml:space="preserve"> אבל תוך שני חזרה</w:t>
      </w:r>
      <w:r>
        <w:rPr>
          <w:rFonts w:cs="Arial" w:hint="cs"/>
          <w:rtl/>
        </w:rPr>
        <w:t>,</w:t>
      </w:r>
      <w:r w:rsidRPr="00E931A9">
        <w:rPr>
          <w:rFonts w:cs="Arial"/>
          <w:rtl/>
        </w:rPr>
        <w:t xml:space="preserve"> </w:t>
      </w:r>
      <w:r>
        <w:rPr>
          <w:rFonts w:cs="Arial" w:hint="cs"/>
          <w:rtl/>
        </w:rPr>
        <w:t>ד</w:t>
      </w:r>
      <w:r w:rsidRPr="00E931A9">
        <w:rPr>
          <w:rFonts w:cs="Arial"/>
          <w:rtl/>
        </w:rPr>
        <w:t>תקנת שו"ם לכ</w:t>
      </w:r>
      <w:r>
        <w:rPr>
          <w:rFonts w:cs="Arial" w:hint="cs"/>
          <w:rtl/>
        </w:rPr>
        <w:t>ו</w:t>
      </w:r>
      <w:r w:rsidRPr="00E931A9">
        <w:rPr>
          <w:rFonts w:cs="Arial"/>
          <w:rtl/>
        </w:rPr>
        <w:t>"ע אין לחייבו במזונות</w:t>
      </w:r>
      <w:r>
        <w:rPr>
          <w:rFonts w:cs="Arial" w:hint="cs"/>
          <w:rtl/>
        </w:rPr>
        <w:t>,</w:t>
      </w:r>
      <w:r w:rsidRPr="00E931A9">
        <w:rPr>
          <w:rFonts w:cs="Arial"/>
          <w:rtl/>
        </w:rPr>
        <w:t xml:space="preserve"> דהי</w:t>
      </w:r>
      <w:r>
        <w:rPr>
          <w:rFonts w:cs="Arial" w:hint="cs"/>
          <w:rtl/>
        </w:rPr>
        <w:t>תה</w:t>
      </w:r>
      <w:r w:rsidRPr="00E931A9">
        <w:rPr>
          <w:rFonts w:cs="Arial"/>
          <w:rtl/>
        </w:rPr>
        <w:t xml:space="preserve"> התקנה מפני עגמת נפש</w:t>
      </w:r>
      <w:r>
        <w:rPr>
          <w:rFonts w:cs="Arial" w:hint="cs"/>
          <w:rtl/>
        </w:rPr>
        <w:t>,</w:t>
      </w:r>
      <w:r w:rsidRPr="00E931A9">
        <w:rPr>
          <w:rFonts w:cs="Arial"/>
          <w:rtl/>
        </w:rPr>
        <w:t xml:space="preserve"> והיש ע</w:t>
      </w:r>
      <w:r>
        <w:rPr>
          <w:rFonts w:cs="Arial" w:hint="cs"/>
          <w:rtl/>
        </w:rPr>
        <w:t>ו</w:t>
      </w:r>
      <w:r w:rsidRPr="00E931A9">
        <w:rPr>
          <w:rFonts w:cs="Arial"/>
          <w:rtl/>
        </w:rPr>
        <w:t>ג"נ גדול מזה ובלי ספק דהוא בכלל התקנה עכ"ד ע"ש. גם בס' ישועות יעקב סק"ה האריך בזה ומסיים</w:t>
      </w:r>
      <w:r>
        <w:rPr>
          <w:rFonts w:cs="Arial" w:hint="cs"/>
          <w:rtl/>
        </w:rPr>
        <w:t>-</w:t>
      </w:r>
      <w:r w:rsidRPr="00E931A9">
        <w:rPr>
          <w:rFonts w:cs="Arial"/>
          <w:rtl/>
        </w:rPr>
        <w:t xml:space="preserve"> גלל כן דברי הט"ז לא נראה בעיני</w:t>
      </w:r>
      <w:r>
        <w:rPr>
          <w:rFonts w:cs="Arial" w:hint="cs"/>
          <w:rtl/>
        </w:rPr>
        <w:t>,</w:t>
      </w:r>
      <w:r w:rsidRPr="00E931A9">
        <w:rPr>
          <w:rFonts w:cs="Arial"/>
          <w:rtl/>
        </w:rPr>
        <w:t xml:space="preserve"> ובפרט להוציא</w:t>
      </w:r>
      <w:r>
        <w:rPr>
          <w:rFonts w:cs="Arial" w:hint="cs"/>
          <w:rtl/>
        </w:rPr>
        <w:t>,</w:t>
      </w:r>
      <w:r w:rsidRPr="00E931A9">
        <w:rPr>
          <w:rFonts w:cs="Arial"/>
          <w:rtl/>
        </w:rPr>
        <w:t xml:space="preserve"> ומ"מ כבר בא מעשה לידי ועשיתי פשר דבר אף שלא מרצון הצדדים כיון שכבר הורה זקן עכ"ל. ועיין בתשו' אא"ז פנים מאירות ח"ב ס"ס קמ"ד שכ' דהדבר ברור שאף לדעת הט"ז דוקא במתחייב לבנו לזונו עם כלתו ומת הבן</w:t>
      </w:r>
      <w:r>
        <w:rPr>
          <w:rFonts w:cs="Arial" w:hint="cs"/>
          <w:rtl/>
        </w:rPr>
        <w:t>,</w:t>
      </w:r>
      <w:r w:rsidRPr="00E931A9">
        <w:rPr>
          <w:rFonts w:cs="Arial"/>
          <w:rtl/>
        </w:rPr>
        <w:t xml:space="preserve"> אבל איפכא היכא שהאב מתחיי' ליתן מזונות לבתו ולחתנו ומתה הבת </w:t>
      </w:r>
      <w:r>
        <w:rPr>
          <w:rFonts w:cs="Arial" w:hint="cs"/>
          <w:rtl/>
        </w:rPr>
        <w:t xml:space="preserve">- </w:t>
      </w:r>
      <w:r w:rsidRPr="00E931A9">
        <w:rPr>
          <w:rFonts w:cs="Arial"/>
          <w:rtl/>
        </w:rPr>
        <w:t>בודאי גם הט"ז מודה שפטור מליתן מזונות לחתנו ע"ש</w:t>
      </w:r>
      <w:r>
        <w:rPr>
          <w:rFonts w:hint="cs"/>
          <w:rtl/>
        </w:rPr>
        <w:t>, פת"ש (סק"ב).</w:t>
      </w:r>
    </w:p>
  </w:footnote>
  <w:footnote w:id="3089">
    <w:p w14:paraId="08178CF2"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3090">
    <w:p w14:paraId="0A86E274" w14:textId="77777777" w:rsidR="00DF1FC7" w:rsidRPr="007702CA" w:rsidRDefault="00DF1FC7" w:rsidP="002E5BAD">
      <w:pPr>
        <w:pStyle w:val="a5"/>
        <w:rPr>
          <w:rFonts w:cs="Arial"/>
        </w:rPr>
      </w:pPr>
      <w:r>
        <w:rPr>
          <w:rStyle w:val="a7"/>
        </w:rPr>
        <w:footnoteRef/>
      </w:r>
      <w:r w:rsidRPr="00716457">
        <w:rPr>
          <w:rFonts w:cs="Arial"/>
          <w:rtl/>
        </w:rPr>
        <w:t xml:space="preserve"> </w:t>
      </w:r>
      <w:r>
        <w:rPr>
          <w:rFonts w:cs="Arial"/>
          <w:rtl/>
        </w:rPr>
        <w:t>ומ"ש נותן לה מזונות משלם ולא לפי ברכת הבית. כ"כ שם הרא"ש וכ"כ הר"ן (ס: ד"ה נשאת) בשם הרשב"א. וכ"כ המרדכי (סי' רסה) בשם רבינו ברוך ונתן טעם לדבר ודחה דברי האומר דאינו נותן אלא לפי ברכת הבית</w:t>
      </w:r>
      <w:r>
        <w:rPr>
          <w:rFonts w:cs="Arial" w:hint="cs"/>
          <w:rtl/>
        </w:rPr>
        <w:t xml:space="preserve">, ב"י. </w:t>
      </w:r>
      <w:r w:rsidRPr="00716457">
        <w:rPr>
          <w:rFonts w:cs="Arial"/>
          <w:rtl/>
        </w:rPr>
        <w:t>וכתב הר"ן (שם) וטעמא דדוקא באלמנה נותן לה לפי ברכת הבית</w:t>
      </w:r>
      <w:r>
        <w:rPr>
          <w:rFonts w:cs="Arial" w:hint="cs"/>
          <w:rtl/>
        </w:rPr>
        <w:t>,</w:t>
      </w:r>
      <w:r w:rsidRPr="00716457">
        <w:rPr>
          <w:rFonts w:cs="Arial"/>
          <w:rtl/>
        </w:rPr>
        <w:t xml:space="preserve"> לפי שכתב לה את תהא יתבא בביתי ומיתזנא מנכסי</w:t>
      </w:r>
      <w:r>
        <w:rPr>
          <w:rFonts w:cs="Arial" w:hint="cs"/>
          <w:rtl/>
        </w:rPr>
        <w:t>,</w:t>
      </w:r>
      <w:r w:rsidRPr="00716457">
        <w:rPr>
          <w:rFonts w:cs="Arial"/>
          <w:rtl/>
        </w:rPr>
        <w:t xml:space="preserve"> אבל הכא לא עכ"ל</w:t>
      </w:r>
      <w:r>
        <w:rPr>
          <w:rFonts w:cs="Arial" w:hint="cs"/>
          <w:rtl/>
        </w:rPr>
        <w:t>.</w:t>
      </w:r>
      <w:r w:rsidRPr="00716457">
        <w:rPr>
          <w:rFonts w:cs="Arial"/>
          <w:rtl/>
        </w:rPr>
        <w:t xml:space="preserve"> ואם כן אם כתב לבת ג"כ בלשון שכותבין לאלמנה נראה גם כן דאינו נותן לה רק לפי ברכת הבית</w:t>
      </w:r>
      <w:r>
        <w:rPr>
          <w:rFonts w:cs="Arial" w:hint="cs"/>
          <w:rtl/>
        </w:rPr>
        <w:t>.</w:t>
      </w:r>
      <w:r w:rsidRPr="00716457">
        <w:rPr>
          <w:rFonts w:cs="Arial"/>
          <w:rtl/>
        </w:rPr>
        <w:t xml:space="preserve"> וע"ל סימן צ"ד ברכת הבית כיצד</w:t>
      </w:r>
      <w:r>
        <w:rPr>
          <w:rFonts w:cs="Arial" w:hint="cs"/>
          <w:rtl/>
        </w:rPr>
        <w:t>, דרכ"מ (אות ד). וכ"פ הב"ש (סקי"ב).</w:t>
      </w:r>
    </w:p>
  </w:footnote>
  <w:footnote w:id="3091">
    <w:p w14:paraId="73AA3B01" w14:textId="77777777" w:rsidR="00DF1FC7" w:rsidRDefault="00DF1FC7" w:rsidP="002E5BAD">
      <w:pPr>
        <w:pStyle w:val="a5"/>
        <w:rPr>
          <w:rtl/>
        </w:rPr>
      </w:pPr>
      <w:r>
        <w:rPr>
          <w:rStyle w:val="a7"/>
        </w:rPr>
        <w:footnoteRef/>
      </w:r>
      <w:r>
        <w:rPr>
          <w:rtl/>
        </w:rPr>
        <w:t xml:space="preserve"> </w:t>
      </w:r>
      <w:r>
        <w:rPr>
          <w:rFonts w:cs="Arial" w:hint="cs"/>
          <w:rtl/>
        </w:rPr>
        <w:t xml:space="preserve">הרא"ש הביא את דברי הרמ"ה דלעיל וכתב- </w:t>
      </w:r>
      <w:r w:rsidRPr="00716457">
        <w:rPr>
          <w:rFonts w:cs="Arial"/>
          <w:rtl/>
        </w:rPr>
        <w:t>ולא נהירא לי</w:t>
      </w:r>
      <w:r>
        <w:rPr>
          <w:rFonts w:cs="Arial" w:hint="cs"/>
          <w:rtl/>
        </w:rPr>
        <w:t>,</w:t>
      </w:r>
      <w:r w:rsidRPr="00716457">
        <w:rPr>
          <w:rFonts w:cs="Arial"/>
          <w:rtl/>
        </w:rPr>
        <w:t xml:space="preserve"> דמי שנותן מעות לבעל הבית כדי לפרנסו או עשה לו טובה כדי לפרנסו בסתמא דעתו שיתפרנס כאחד מבני ביתו</w:t>
      </w:r>
      <w:r>
        <w:rPr>
          <w:rFonts w:cs="Arial" w:hint="cs"/>
          <w:rtl/>
        </w:rPr>
        <w:t>,</w:t>
      </w:r>
      <w:r w:rsidRPr="00716457">
        <w:rPr>
          <w:rFonts w:cs="Arial"/>
          <w:rtl/>
        </w:rPr>
        <w:t xml:space="preserve"> ולא שישנהו לרע מכל בני הבית שיאכלו הם בשר וישתו יין והוא יאכל זרעונין וישתה מים</w:t>
      </w:r>
      <w:r>
        <w:rPr>
          <w:rFonts w:cs="Arial" w:hint="cs"/>
          <w:rtl/>
        </w:rPr>
        <w:t>.</w:t>
      </w:r>
      <w:r w:rsidRPr="00716457">
        <w:rPr>
          <w:rFonts w:cs="Arial"/>
          <w:rtl/>
        </w:rPr>
        <w:t xml:space="preserve"> ולא נתנו חכמי</w:t>
      </w:r>
      <w:r>
        <w:rPr>
          <w:rFonts w:cs="Arial" w:hint="cs"/>
          <w:rtl/>
        </w:rPr>
        <w:t>ם</w:t>
      </w:r>
      <w:r w:rsidRPr="00716457">
        <w:rPr>
          <w:rFonts w:cs="Arial"/>
          <w:rtl/>
        </w:rPr>
        <w:t xml:space="preserve"> קצבה במזונות אלא במשרה אשתו ע"י שליש</w:t>
      </w:r>
      <w:r>
        <w:rPr>
          <w:rFonts w:cs="Arial" w:hint="cs"/>
          <w:rtl/>
        </w:rPr>
        <w:t>,</w:t>
      </w:r>
      <w:r w:rsidRPr="00716457">
        <w:rPr>
          <w:rFonts w:cs="Arial"/>
          <w:rtl/>
        </w:rPr>
        <w:t xml:space="preserve"> אבל כשהיא אצלו מתגלגלת עמו במה שהוא סועד הן רב הן מעט</w:t>
      </w:r>
      <w:r>
        <w:rPr>
          <w:rFonts w:cs="Arial" w:hint="cs"/>
          <w:rtl/>
        </w:rPr>
        <w:t>.</w:t>
      </w:r>
      <w:r w:rsidRPr="00716457">
        <w:rPr>
          <w:rFonts w:cs="Arial"/>
          <w:rtl/>
        </w:rPr>
        <w:t xml:space="preserve"> לפיכך</w:t>
      </w:r>
      <w:r>
        <w:rPr>
          <w:rFonts w:hint="cs"/>
          <w:rtl/>
        </w:rPr>
        <w:t>-...</w:t>
      </w:r>
    </w:p>
  </w:footnote>
  <w:footnote w:id="3092">
    <w:p w14:paraId="64A67E69" w14:textId="77777777" w:rsidR="00DF1FC7" w:rsidRDefault="00DF1FC7" w:rsidP="002E5BAD">
      <w:pPr>
        <w:pStyle w:val="a5"/>
        <w:rPr>
          <w:rtl/>
        </w:rPr>
      </w:pPr>
      <w:r>
        <w:rPr>
          <w:rStyle w:val="a7"/>
        </w:rPr>
        <w:footnoteRef/>
      </w:r>
      <w:r>
        <w:rPr>
          <w:rtl/>
        </w:rPr>
        <w:t xml:space="preserve"> </w:t>
      </w:r>
      <w:r w:rsidRPr="00716457">
        <w:rPr>
          <w:rFonts w:cs="Arial"/>
          <w:rtl/>
        </w:rPr>
        <w:t xml:space="preserve">ואיני יודע למה כתב הרא"ש על דברי הרמ"ה </w:t>
      </w:r>
      <w:r>
        <w:rPr>
          <w:rFonts w:cs="Arial" w:hint="cs"/>
          <w:rtl/>
        </w:rPr>
        <w:t>'</w:t>
      </w:r>
      <w:r w:rsidRPr="00716457">
        <w:rPr>
          <w:rFonts w:cs="Arial"/>
          <w:rtl/>
        </w:rPr>
        <w:t>ולא נהירא</w:t>
      </w:r>
      <w:r>
        <w:rPr>
          <w:rFonts w:cs="Arial" w:hint="cs"/>
          <w:rtl/>
        </w:rPr>
        <w:t>',</w:t>
      </w:r>
      <w:r w:rsidRPr="00716457">
        <w:rPr>
          <w:rFonts w:cs="Arial"/>
          <w:rtl/>
        </w:rPr>
        <w:t xml:space="preserve"> דהרמ"ה לא איירי במאכילה על שלחנו אלא במספיק לה מזונות</w:t>
      </w:r>
      <w:r>
        <w:rPr>
          <w:rFonts w:cs="Arial" w:hint="cs"/>
          <w:rtl/>
        </w:rPr>
        <w:t>,</w:t>
      </w:r>
      <w:r w:rsidRPr="00716457">
        <w:rPr>
          <w:rFonts w:cs="Arial"/>
          <w:rtl/>
        </w:rPr>
        <w:t xml:space="preserve"> ודברים נכונים הם</w:t>
      </w:r>
      <w:r>
        <w:rPr>
          <w:rFonts w:cs="Arial" w:hint="cs"/>
          <w:rtl/>
        </w:rPr>
        <w:t>.</w:t>
      </w:r>
      <w:r w:rsidRPr="00716457">
        <w:rPr>
          <w:rFonts w:cs="Arial"/>
          <w:rtl/>
        </w:rPr>
        <w:t xml:space="preserve"> וכבר נתבאר בסימן קי"ב (קסג.) לגבי מזונות בתו שאין פוסקין לה אלא דבר המספיק לה בלבד</w:t>
      </w:r>
      <w:r>
        <w:rPr>
          <w:rFonts w:cs="Arial" w:hint="cs"/>
          <w:rtl/>
        </w:rPr>
        <w:t>,</w:t>
      </w:r>
      <w:r w:rsidRPr="00716457">
        <w:rPr>
          <w:rFonts w:cs="Arial"/>
          <w:rtl/>
        </w:rPr>
        <w:t xml:space="preserve"> ולא לפי כבודה</w:t>
      </w:r>
      <w:r>
        <w:rPr>
          <w:rFonts w:cs="Arial" w:hint="cs"/>
          <w:rtl/>
        </w:rPr>
        <w:t>,</w:t>
      </w:r>
      <w:r w:rsidRPr="00716457">
        <w:rPr>
          <w:rFonts w:cs="Arial"/>
          <w:rtl/>
        </w:rPr>
        <w:t xml:space="preserve"> שלא אמרו כן אלא באשתו בלבד ולא בבתו</w:t>
      </w:r>
      <w:r>
        <w:rPr>
          <w:rFonts w:cs="Arial" w:hint="cs"/>
          <w:rtl/>
        </w:rPr>
        <w:t>.</w:t>
      </w:r>
      <w:r w:rsidRPr="00716457">
        <w:rPr>
          <w:rFonts w:cs="Arial"/>
          <w:rtl/>
        </w:rPr>
        <w:t xml:space="preserve"> ומי</w:t>
      </w:r>
      <w:r>
        <w:rPr>
          <w:rFonts w:cs="Arial" w:hint="cs"/>
          <w:rtl/>
        </w:rPr>
        <w:t>הו</w:t>
      </w:r>
      <w:r w:rsidRPr="00716457">
        <w:rPr>
          <w:rFonts w:cs="Arial"/>
          <w:rtl/>
        </w:rPr>
        <w:t xml:space="preserve"> באוכלת על שלחנו דברי הרא"ש דברי טעם הם</w:t>
      </w:r>
      <w:r>
        <w:rPr>
          <w:rFonts w:cs="Arial" w:hint="cs"/>
          <w:rtl/>
        </w:rPr>
        <w:t>, ב"י.</w:t>
      </w:r>
      <w:r w:rsidRPr="0028661A">
        <w:rPr>
          <w:rFonts w:hint="cs"/>
          <w:color w:val="E36C0A" w:themeColor="accent6" w:themeShade="BF"/>
          <w:rtl/>
        </w:rPr>
        <w:t xml:space="preserve"> </w:t>
      </w:r>
      <w:r w:rsidRPr="004663D7">
        <w:rPr>
          <w:rFonts w:hint="cs"/>
          <w:color w:val="E36C0A" w:themeColor="accent6" w:themeShade="BF"/>
          <w:rtl/>
        </w:rPr>
        <w:t>(וכ"פ בשו"ע)</w:t>
      </w:r>
      <w:r>
        <w:rPr>
          <w:rFonts w:cs="Arial" w:hint="cs"/>
          <w:rtl/>
        </w:rPr>
        <w:t>.</w:t>
      </w:r>
      <w:r w:rsidRPr="00716457">
        <w:rPr>
          <w:rFonts w:cs="Arial"/>
          <w:rtl/>
        </w:rPr>
        <w:t xml:space="preserve"> </w:t>
      </w:r>
      <w:r>
        <w:rPr>
          <w:rFonts w:cs="Arial" w:hint="cs"/>
          <w:rtl/>
        </w:rPr>
        <w:t xml:space="preserve">אך הדרכ"מ </w:t>
      </w:r>
      <w:r w:rsidRPr="00716457">
        <w:rPr>
          <w:rFonts w:cs="Arial"/>
          <w:rtl/>
        </w:rPr>
        <w:t>(</w:t>
      </w:r>
      <w:r>
        <w:rPr>
          <w:rFonts w:cs="Arial" w:hint="cs"/>
          <w:rtl/>
        </w:rPr>
        <w:t xml:space="preserve">אות </w:t>
      </w:r>
      <w:r w:rsidRPr="00716457">
        <w:rPr>
          <w:rFonts w:cs="Arial"/>
          <w:rtl/>
        </w:rPr>
        <w:t>ה)</w:t>
      </w:r>
      <w:r>
        <w:rPr>
          <w:rFonts w:cs="Arial" w:hint="cs"/>
          <w:rtl/>
        </w:rPr>
        <w:t xml:space="preserve"> כתב-</w:t>
      </w:r>
      <w:r w:rsidRPr="00716457">
        <w:rPr>
          <w:rFonts w:cs="Arial"/>
          <w:rtl/>
        </w:rPr>
        <w:t xml:space="preserve"> ולי נראה דאין הנדון דומה לראיה שהביא</w:t>
      </w:r>
      <w:r>
        <w:rPr>
          <w:rFonts w:cs="Arial" w:hint="cs"/>
          <w:rtl/>
        </w:rPr>
        <w:t>,</w:t>
      </w:r>
      <w:r w:rsidRPr="00716457">
        <w:rPr>
          <w:rFonts w:cs="Arial"/>
          <w:rtl/>
        </w:rPr>
        <w:t xml:space="preserve"> דשאני בתו דאוכלת בתנאי בית דין ולא תקנו לה בית דין אלא דבר המספיק לה</w:t>
      </w:r>
      <w:r>
        <w:rPr>
          <w:rFonts w:cs="Arial" w:hint="cs"/>
          <w:rtl/>
        </w:rPr>
        <w:t>,</w:t>
      </w:r>
      <w:r w:rsidRPr="00716457">
        <w:rPr>
          <w:rFonts w:cs="Arial"/>
          <w:rtl/>
        </w:rPr>
        <w:t xml:space="preserve"> אבל הפוסק לזון בת אשתו דאי לאו דעבדה ליה נייח נפשיה לא כתב לה הכי</w:t>
      </w:r>
      <w:r>
        <w:rPr>
          <w:rFonts w:cs="Arial" w:hint="cs"/>
          <w:rtl/>
        </w:rPr>
        <w:t>,</w:t>
      </w:r>
      <w:r w:rsidRPr="00716457">
        <w:rPr>
          <w:rFonts w:cs="Arial"/>
          <w:rtl/>
        </w:rPr>
        <w:t xml:space="preserve"> והויא כמי שנתנה לו דמי מזונות וסתמא דעתו שיפרנסה כאחד מבני ביתו</w:t>
      </w:r>
      <w:r>
        <w:rPr>
          <w:rFonts w:cs="Arial" w:hint="cs"/>
          <w:rtl/>
        </w:rPr>
        <w:t>,</w:t>
      </w:r>
      <w:r w:rsidRPr="00716457">
        <w:rPr>
          <w:rFonts w:cs="Arial"/>
          <w:rtl/>
        </w:rPr>
        <w:t xml:space="preserve"> וכמו שכתב הרא"ש</w:t>
      </w:r>
      <w:r>
        <w:rPr>
          <w:rFonts w:cs="Arial" w:hint="cs"/>
          <w:rtl/>
        </w:rPr>
        <w:t>,</w:t>
      </w:r>
      <w:r w:rsidRPr="00716457">
        <w:rPr>
          <w:rFonts w:cs="Arial"/>
          <w:rtl/>
        </w:rPr>
        <w:t xml:space="preserve"> ודברי טעם הם וכן נראה לי</w:t>
      </w:r>
      <w:r>
        <w:rPr>
          <w:rFonts w:cs="Arial" w:hint="cs"/>
          <w:rtl/>
        </w:rPr>
        <w:t>. עכ"ל הדרכ"מ.</w:t>
      </w:r>
      <w:r>
        <w:rPr>
          <w:rFonts w:hint="cs"/>
          <w:rtl/>
        </w:rPr>
        <w:t xml:space="preserve"> </w:t>
      </w:r>
      <w:r w:rsidRPr="0028661A">
        <w:rPr>
          <w:rFonts w:hint="cs"/>
          <w:color w:val="00B0F0"/>
          <w:rtl/>
        </w:rPr>
        <w:t>(וכ"פ בהג"ה)</w:t>
      </w:r>
      <w:r>
        <w:rPr>
          <w:rFonts w:hint="cs"/>
          <w:rtl/>
        </w:rPr>
        <w:t xml:space="preserve">. </w:t>
      </w:r>
    </w:p>
  </w:footnote>
  <w:footnote w:id="3093">
    <w:p w14:paraId="624C7575" w14:textId="77777777" w:rsidR="00DF1FC7" w:rsidRDefault="00DF1FC7" w:rsidP="002E5BAD">
      <w:pPr>
        <w:pStyle w:val="a5"/>
        <w:rPr>
          <w:rtl/>
        </w:rPr>
      </w:pPr>
      <w:r>
        <w:rPr>
          <w:rStyle w:val="a7"/>
        </w:rPr>
        <w:footnoteRef/>
      </w:r>
      <w:r>
        <w:rPr>
          <w:rtl/>
        </w:rPr>
        <w:t xml:space="preserve"> </w:t>
      </w:r>
      <w:r w:rsidRPr="00716457">
        <w:rPr>
          <w:rFonts w:cs="Arial"/>
          <w:rtl/>
        </w:rPr>
        <w:t>(ב) וכ"כ הר"ן פרק מי שאחזו (דף תקצ"ב ע"א) (גיטין לז: דיבור ראשון) דהמקבל עליו לזון אחד כל ימי חייו משמע והדבר צריך תלמוד עכ"ל וע"ש. כתב הר"ן ריש הנושא (שם) הפוסק לזון את חבירו הרשות בידו לומר תן לי מעות דמי מזונות ועיין חילוקים רבים בזה בחושן המשפט סימן ס' (ס"ט) וסוף סימן ר"ז (סכ"ט):</w:t>
      </w:r>
    </w:p>
  </w:footnote>
  <w:footnote w:id="3094">
    <w:p w14:paraId="2A42F840" w14:textId="77777777" w:rsidR="00DF1FC7" w:rsidRDefault="00DF1FC7" w:rsidP="002E5BAD">
      <w:pPr>
        <w:pStyle w:val="a5"/>
      </w:pPr>
      <w:r>
        <w:rPr>
          <w:rStyle w:val="a7"/>
        </w:rPr>
        <w:footnoteRef/>
      </w:r>
      <w:r>
        <w:rPr>
          <w:rtl/>
        </w:rPr>
        <w:t xml:space="preserve"> </w:t>
      </w:r>
      <w:r w:rsidRPr="002367E5">
        <w:rPr>
          <w:rFonts w:cs="Arial"/>
          <w:rtl/>
        </w:rPr>
        <w:t>על כל הדינים המבוארים בסי' זה קאי</w:t>
      </w:r>
      <w:r>
        <w:rPr>
          <w:rFonts w:cs="Arial" w:hint="cs"/>
          <w:rtl/>
        </w:rPr>
        <w:t>, ח"מ (סק"ט).</w:t>
      </w:r>
    </w:p>
  </w:footnote>
  <w:footnote w:id="3095">
    <w:p w14:paraId="663A748F"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3096">
    <w:p w14:paraId="6B966C76" w14:textId="77777777" w:rsidR="00DF1FC7" w:rsidRDefault="00DF1FC7" w:rsidP="002E5BAD">
      <w:pPr>
        <w:pStyle w:val="a5"/>
      </w:pPr>
      <w:r>
        <w:rPr>
          <w:rStyle w:val="a7"/>
        </w:rPr>
        <w:footnoteRef/>
      </w:r>
      <w:r>
        <w:rPr>
          <w:rtl/>
        </w:rPr>
        <w:t xml:space="preserve"> </w:t>
      </w:r>
      <w:r w:rsidRPr="00E8419F">
        <w:rPr>
          <w:rFonts w:cs="Arial"/>
          <w:rtl/>
        </w:rPr>
        <w:t>לכאור' הי' נראה דהבעל השני זנה כי לא נתחייב בדמים כל זמן שאמה אצלו וכמ"ש בס"ק א' ואף על גב שגם הראשון לא נתחייב בדמים וכמו שאכתוב בסמוך מ"מ הדבר תלוי בה ומסתמא תבחר שתזון אצל אמה ומ"מ נראה שאם תאמר להשני אתה ידעת כי יש לי מזונות מן הראשן ותן לי דמים הרשות בידה</w:t>
      </w:r>
      <w:r>
        <w:rPr>
          <w:rFonts w:cs="Arial" w:hint="cs"/>
          <w:rtl/>
        </w:rPr>
        <w:t>, ח"מ (סק"י).</w:t>
      </w:r>
      <w:r w:rsidRPr="00E8419F">
        <w:rPr>
          <w:rtl/>
        </w:rPr>
        <w:t xml:space="preserve"> </w:t>
      </w:r>
      <w:r w:rsidRPr="00E8419F">
        <w:rPr>
          <w:rFonts w:cs="Arial"/>
          <w:rtl/>
        </w:rPr>
        <w:t>ואם תאמר ששניהם יתנו לה דמים אין הרשות בידה</w:t>
      </w:r>
      <w:r>
        <w:rPr>
          <w:rFonts w:cs="Arial" w:hint="cs"/>
          <w:rtl/>
        </w:rPr>
        <w:t>, ב"ש (סקי"ד).</w:t>
      </w:r>
    </w:p>
  </w:footnote>
  <w:footnote w:id="3097">
    <w:p w14:paraId="04CBD4E5" w14:textId="77777777" w:rsidR="00DF1FC7" w:rsidRDefault="00DF1FC7" w:rsidP="002E5BAD">
      <w:pPr>
        <w:pStyle w:val="a5"/>
      </w:pPr>
      <w:r>
        <w:rPr>
          <w:rStyle w:val="a7"/>
        </w:rPr>
        <w:footnoteRef/>
      </w:r>
      <w:r>
        <w:rPr>
          <w:rtl/>
        </w:rPr>
        <w:t xml:space="preserve"> </w:t>
      </w:r>
      <w:r w:rsidRPr="00BA62EC">
        <w:rPr>
          <w:rFonts w:cs="Arial"/>
          <w:rtl/>
        </w:rPr>
        <w:t xml:space="preserve">בפסקים </w:t>
      </w:r>
      <w:r>
        <w:rPr>
          <w:rFonts w:cs="Arial" w:hint="cs"/>
          <w:rtl/>
        </w:rPr>
        <w:t xml:space="preserve">(פסקי הרא"ש כתובות פי"א סי' א) </w:t>
      </w:r>
      <w:r w:rsidRPr="00BA62EC">
        <w:rPr>
          <w:rFonts w:cs="Arial"/>
          <w:rtl/>
        </w:rPr>
        <w:t>שבידינו חסר הא דאם היא חרשת וכו'</w:t>
      </w:r>
      <w:r>
        <w:rPr>
          <w:rFonts w:cs="Arial" w:hint="cs"/>
          <w:rtl/>
        </w:rPr>
        <w:t>, ב"י.</w:t>
      </w:r>
    </w:p>
  </w:footnote>
  <w:footnote w:id="3098">
    <w:p w14:paraId="1AB30992" w14:textId="77777777" w:rsidR="00DF1FC7" w:rsidRDefault="00DF1FC7" w:rsidP="002E5BAD">
      <w:pPr>
        <w:pStyle w:val="a5"/>
      </w:pPr>
      <w:r>
        <w:rPr>
          <w:rStyle w:val="a7"/>
        </w:rPr>
        <w:footnoteRef/>
      </w:r>
      <w:r>
        <w:rPr>
          <w:rtl/>
        </w:rPr>
        <w:t xml:space="preserve"> </w:t>
      </w:r>
      <w:r w:rsidRPr="00E8419F">
        <w:rPr>
          <w:rFonts w:cs="Arial"/>
          <w:rtl/>
        </w:rPr>
        <w:t>משמע אם רוצה ששניהם יתנו לה דמים אין הרשות בידה וכן משמע בסע</w:t>
      </w:r>
      <w:r>
        <w:rPr>
          <w:rFonts w:cs="Arial" w:hint="cs"/>
          <w:rtl/>
        </w:rPr>
        <w:t>'</w:t>
      </w:r>
      <w:r w:rsidRPr="00E8419F">
        <w:rPr>
          <w:rFonts w:cs="Arial"/>
          <w:rtl/>
        </w:rPr>
        <w:t xml:space="preserve"> ו' שנותן לה מזונות משלם אע</w:t>
      </w:r>
      <w:r>
        <w:rPr>
          <w:rFonts w:cs="Arial" w:hint="cs"/>
          <w:rtl/>
        </w:rPr>
        <w:t>"</w:t>
      </w:r>
      <w:r w:rsidRPr="00E8419F">
        <w:rPr>
          <w:rFonts w:cs="Arial"/>
          <w:rtl/>
        </w:rPr>
        <w:t>פ שנתגרשה האם משום דהחיוב בתחלה לא היה רק על מזונות ולא על דמים ע"כ לא יתחייבו ליתן דמים כל זמן שהיא צריכה למזונות</w:t>
      </w:r>
      <w:r>
        <w:rPr>
          <w:rFonts w:cs="Arial" w:hint="cs"/>
          <w:rtl/>
        </w:rPr>
        <w:t>, ח"מ (סקי"א).</w:t>
      </w:r>
    </w:p>
  </w:footnote>
  <w:footnote w:id="3099">
    <w:p w14:paraId="6182D83D"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3100">
    <w:p w14:paraId="73AE90D2" w14:textId="77777777" w:rsidR="00DF1FC7" w:rsidRDefault="00DF1FC7" w:rsidP="002E5BAD">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3101">
    <w:p w14:paraId="0AF6C160" w14:textId="77777777" w:rsidR="00DF1FC7" w:rsidRDefault="00DF1FC7" w:rsidP="002E5BAD">
      <w:pPr>
        <w:pStyle w:val="a5"/>
      </w:pPr>
      <w:r>
        <w:rPr>
          <w:rStyle w:val="a7"/>
        </w:rPr>
        <w:footnoteRef/>
      </w:r>
      <w:r>
        <w:rPr>
          <w:rtl/>
        </w:rPr>
        <w:t xml:space="preserve"> </w:t>
      </w:r>
      <w:r w:rsidRPr="00864336">
        <w:rPr>
          <w:rFonts w:cs="Arial"/>
          <w:rtl/>
        </w:rPr>
        <w:t xml:space="preserve">והביא הרשב"א </w:t>
      </w:r>
      <w:r>
        <w:rPr>
          <w:rFonts w:cs="Arial" w:hint="cs"/>
          <w:rtl/>
        </w:rPr>
        <w:t xml:space="preserve">(כ"כ בשמו הר"ן כתובות ס:) </w:t>
      </w:r>
      <w:r w:rsidRPr="00864336">
        <w:rPr>
          <w:rFonts w:cs="Arial"/>
          <w:rtl/>
        </w:rPr>
        <w:t>ראיה לדין זה מבן לוי שמכר שדה לישראל והתנה עמו שמעשר ראשון שלו כל זמן ששדה זו בידך מכרה לאחר וחזר ולקחה ממנו אין לו עליו כלום</w:t>
      </w:r>
      <w:r>
        <w:rPr>
          <w:rFonts w:cs="Arial" w:hint="cs"/>
          <w:rtl/>
        </w:rPr>
        <w:t xml:space="preserve"> (ב"ב סג.)</w:t>
      </w:r>
      <w:r w:rsidRPr="00864336">
        <w:rPr>
          <w:rFonts w:cs="Arial"/>
          <w:rtl/>
        </w:rPr>
        <w:t xml:space="preserve"> דכל זמן שבידך מקנין ראשון קאמר</w:t>
      </w:r>
      <w:r>
        <w:rPr>
          <w:rFonts w:cs="Arial" w:hint="cs"/>
          <w:rtl/>
        </w:rPr>
        <w:t>, ח"מ (סקי"ב).</w:t>
      </w:r>
      <w:r w:rsidRPr="00CA2C5E">
        <w:rPr>
          <w:rtl/>
        </w:rPr>
        <w:t xml:space="preserve"> </w:t>
      </w:r>
      <w:r w:rsidRPr="00CA2C5E">
        <w:rPr>
          <w:rFonts w:cs="Arial"/>
          <w:rtl/>
        </w:rPr>
        <w:t>ואפי' עשו קנוניא האם עם הבעל להתגרש כדי להפקיע זכות הבת נפטר ממזונות הרדב"ז ח"א סי' רנ"ד ע"ש שכתב ע"ש דאין חילוק בין שאמר כל זמן שאת עמי לכשאומר כל זמן שאני נשוי עמה ע"ש ועיין ב"ש</w:t>
      </w:r>
      <w:r>
        <w:rPr>
          <w:rFonts w:hint="cs"/>
          <w:rtl/>
        </w:rPr>
        <w:t xml:space="preserve"> (סקט"ו), באה"ט (סקי"א).</w:t>
      </w:r>
    </w:p>
  </w:footnote>
  <w:footnote w:id="3102">
    <w:p w14:paraId="376547BB" w14:textId="77777777" w:rsidR="00DF1FC7" w:rsidRDefault="00DF1FC7" w:rsidP="002E5BAD">
      <w:pPr>
        <w:pStyle w:val="a5"/>
      </w:pPr>
      <w:r>
        <w:rPr>
          <w:rStyle w:val="a7"/>
        </w:rPr>
        <w:footnoteRef/>
      </w:r>
      <w:r>
        <w:rPr>
          <w:rtl/>
        </w:rPr>
        <w:t xml:space="preserve"> </w:t>
      </w:r>
      <w:r w:rsidRPr="00BA3153">
        <w:rPr>
          <w:rFonts w:cs="Arial"/>
          <w:rtl/>
        </w:rPr>
        <w:t>פי' היינו להוציאם בהוצאה</w:t>
      </w:r>
      <w:r>
        <w:rPr>
          <w:rFonts w:cs="Arial" w:hint="cs"/>
          <w:rtl/>
        </w:rPr>
        <w:t>,</w:t>
      </w:r>
      <w:r w:rsidRPr="00BA3153">
        <w:rPr>
          <w:rFonts w:cs="Arial"/>
          <w:rtl/>
        </w:rPr>
        <w:t xml:space="preserve"> לא להוציא מן המתחייב</w:t>
      </w:r>
      <w:r>
        <w:rPr>
          <w:rFonts w:cs="Arial" w:hint="cs"/>
          <w:rtl/>
        </w:rPr>
        <w:t>,</w:t>
      </w:r>
      <w:r w:rsidRPr="00BA3153">
        <w:rPr>
          <w:rFonts w:cs="Arial"/>
          <w:rtl/>
        </w:rPr>
        <w:t xml:space="preserve"> שהרי לא הגיע הזמן</w:t>
      </w:r>
      <w:r>
        <w:rPr>
          <w:rFonts w:cs="Arial" w:hint="cs"/>
          <w:rtl/>
        </w:rPr>
        <w:t>, ח"מ (סקי"ג).</w:t>
      </w:r>
    </w:p>
  </w:footnote>
  <w:footnote w:id="3103">
    <w:p w14:paraId="437DB231" w14:textId="77777777" w:rsidR="00DF1FC7" w:rsidRDefault="00DF1FC7" w:rsidP="002E5BAD">
      <w:pPr>
        <w:pStyle w:val="a5"/>
        <w:rPr>
          <w:rtl/>
        </w:rPr>
      </w:pPr>
      <w:r>
        <w:rPr>
          <w:rStyle w:val="a7"/>
        </w:rPr>
        <w:footnoteRef/>
      </w:r>
      <w:r>
        <w:rPr>
          <w:rtl/>
        </w:rPr>
        <w:t xml:space="preserve"> </w:t>
      </w:r>
      <w:r w:rsidRPr="00716457">
        <w:rPr>
          <w:rFonts w:cs="Arial"/>
          <w:rtl/>
        </w:rPr>
        <w:t>ועיין בחושן המשפט סימן ר"ז (סכ"ט עמ' שב) מדין הפוסק לחבירו לזון מהו בכלל</w:t>
      </w:r>
      <w:r>
        <w:rPr>
          <w:rFonts w:cs="Arial" w:hint="cs"/>
          <w:rtl/>
        </w:rPr>
        <w:t>, דרכ"מ (אות ו).</w:t>
      </w:r>
    </w:p>
  </w:footnote>
  <w:footnote w:id="3104">
    <w:p w14:paraId="4829D2CC" w14:textId="77777777" w:rsidR="00DF1FC7" w:rsidRDefault="00DF1FC7" w:rsidP="002E5BAD">
      <w:pPr>
        <w:pStyle w:val="a5"/>
      </w:pPr>
      <w:r>
        <w:rPr>
          <w:rStyle w:val="a7"/>
        </w:rPr>
        <w:footnoteRef/>
      </w:r>
      <w:r>
        <w:rPr>
          <w:rtl/>
        </w:rPr>
        <w:t xml:space="preserve"> </w:t>
      </w:r>
      <w:r w:rsidRPr="00E137B9">
        <w:rPr>
          <w:rFonts w:cs="Arial"/>
          <w:rtl/>
        </w:rPr>
        <w:t>מלשון זה משמע שנתן לו סך קצוב בעד המזונות ועבר הז"פ ואח"כ מתה אשתו אבל המעיין בגוף התשוב' יראה דהשאלה היתה שקבע לו זמנים לפרעון ומתה האשה תוך אותן זמנים ואפ"ה פסק הרשב"א דצריך לשלם משום דלא קצב לו זמן למזונות</w:t>
      </w:r>
      <w:r>
        <w:rPr>
          <w:rFonts w:cs="Arial" w:hint="cs"/>
          <w:rtl/>
        </w:rPr>
        <w:t>...</w:t>
      </w:r>
      <w:r w:rsidRPr="00E137B9">
        <w:rPr>
          <w:rFonts w:cs="Arial"/>
          <w:rtl/>
        </w:rPr>
        <w:t xml:space="preserve"> ומ"ש הרשב"א בלשונו ואלו היו רוצים להוציא אותו סך וכו' פי' היינו להוציאם בהוצאה לא להוציא מן המתחייב שהרי לא הגיע הזמן</w:t>
      </w:r>
      <w:r>
        <w:rPr>
          <w:rFonts w:cs="Arial" w:hint="cs"/>
          <w:rtl/>
        </w:rPr>
        <w:t xml:space="preserve">, ח"מ (סקי"ג). </w:t>
      </w:r>
      <w:r w:rsidRPr="00E137B9">
        <w:rPr>
          <w:rFonts w:cs="Arial"/>
          <w:rtl/>
        </w:rPr>
        <w:t xml:space="preserve"> </w:t>
      </w:r>
      <w:r>
        <w:rPr>
          <w:rFonts w:cs="Arial" w:hint="cs"/>
          <w:rtl/>
        </w:rPr>
        <w:t xml:space="preserve">וכן תמה הב"ש (סקי"ח) על לשון הרמ"א </w:t>
      </w:r>
      <w:r w:rsidRPr="00E137B9">
        <w:rPr>
          <w:rFonts w:cs="Arial"/>
          <w:rtl/>
        </w:rPr>
        <w:t>ו</w:t>
      </w:r>
      <w:r>
        <w:rPr>
          <w:rFonts w:cs="Arial" w:hint="cs"/>
          <w:rtl/>
        </w:rPr>
        <w:t>כתב ד</w:t>
      </w:r>
      <w:r w:rsidRPr="00E137B9">
        <w:rPr>
          <w:rFonts w:cs="Arial"/>
          <w:rtl/>
        </w:rPr>
        <w:t>אפשר לומר דכוונתו אלו לא היה קבע זמנים לשלם היה הדין שצריך ליתן לו אותו הסך מיד לכן אפילו אם קבע זמנים מ"מ כבר חל החיוב</w:t>
      </w:r>
      <w:r>
        <w:rPr>
          <w:rFonts w:cs="Arial" w:hint="cs"/>
          <w:rtl/>
        </w:rPr>
        <w:t>.</w:t>
      </w:r>
      <w:r>
        <w:rPr>
          <w:rFonts w:hint="cs"/>
          <w:rtl/>
        </w:rPr>
        <w:t xml:space="preserve"> עכ"ל. </w:t>
      </w:r>
      <w:r w:rsidRPr="00090238">
        <w:rPr>
          <w:rFonts w:cs="Arial"/>
          <w:rtl/>
        </w:rPr>
        <w:t>ו</w:t>
      </w:r>
      <w:r>
        <w:rPr>
          <w:rFonts w:cs="Arial" w:hint="cs"/>
          <w:rtl/>
        </w:rPr>
        <w:t xml:space="preserve">עי' </w:t>
      </w:r>
      <w:r w:rsidRPr="00090238">
        <w:rPr>
          <w:rFonts w:cs="Arial"/>
          <w:rtl/>
        </w:rPr>
        <w:t>בש"ך ח</w:t>
      </w:r>
      <w:r>
        <w:rPr>
          <w:rFonts w:cs="Arial" w:hint="cs"/>
          <w:rtl/>
        </w:rPr>
        <w:t>ו</w:t>
      </w:r>
      <w:r w:rsidRPr="00090238">
        <w:rPr>
          <w:rFonts w:cs="Arial"/>
          <w:rtl/>
        </w:rPr>
        <w:t>"מ סימן ס' ס</w:t>
      </w:r>
      <w:r>
        <w:rPr>
          <w:rFonts w:cs="Arial" w:hint="cs"/>
          <w:rtl/>
        </w:rPr>
        <w:t>ק</w:t>
      </w:r>
      <w:r w:rsidRPr="00090238">
        <w:rPr>
          <w:rFonts w:cs="Arial"/>
          <w:rtl/>
        </w:rPr>
        <w:t>י"ז</w:t>
      </w:r>
      <w:r>
        <w:rPr>
          <w:rFonts w:cs="Arial" w:hint="cs"/>
          <w:rtl/>
        </w:rPr>
        <w:t>.</w:t>
      </w:r>
    </w:p>
  </w:footnote>
  <w:footnote w:id="3105">
    <w:p w14:paraId="0788C384" w14:textId="77777777" w:rsidR="00DF1FC7" w:rsidRDefault="00DF1FC7" w:rsidP="002E5BAD">
      <w:pPr>
        <w:pStyle w:val="a5"/>
      </w:pPr>
      <w:r>
        <w:rPr>
          <w:rStyle w:val="a7"/>
        </w:rPr>
        <w:footnoteRef/>
      </w:r>
      <w:r>
        <w:rPr>
          <w:rtl/>
        </w:rPr>
        <w:t xml:space="preserve"> </w:t>
      </w:r>
      <w:r w:rsidRPr="00E12E0D">
        <w:rPr>
          <w:rFonts w:cs="Arial"/>
          <w:rtl/>
        </w:rPr>
        <w:t>וחלק אשתו אע</w:t>
      </w:r>
      <w:r>
        <w:rPr>
          <w:rFonts w:cs="Arial" w:hint="cs"/>
          <w:rtl/>
        </w:rPr>
        <w:t>"</w:t>
      </w:r>
      <w:r w:rsidRPr="00E12E0D">
        <w:rPr>
          <w:rFonts w:cs="Arial"/>
          <w:rtl/>
        </w:rPr>
        <w:t xml:space="preserve">ג </w:t>
      </w:r>
      <w:r>
        <w:rPr>
          <w:rFonts w:cs="Arial" w:hint="cs"/>
          <w:rtl/>
        </w:rPr>
        <w:t>ש</w:t>
      </w:r>
      <w:r w:rsidRPr="00E12E0D">
        <w:rPr>
          <w:rFonts w:cs="Arial"/>
          <w:rtl/>
        </w:rPr>
        <w:t>כבר חייב לה</w:t>
      </w:r>
      <w:r>
        <w:rPr>
          <w:rFonts w:cs="Arial" w:hint="cs"/>
          <w:rtl/>
        </w:rPr>
        <w:t>,</w:t>
      </w:r>
      <w:r w:rsidRPr="00E12E0D">
        <w:rPr>
          <w:rFonts w:cs="Arial"/>
          <w:rtl/>
        </w:rPr>
        <w:t xml:space="preserve"> כמ"ש דלא קצב זמן על מזונו</w:t>
      </w:r>
      <w:r>
        <w:rPr>
          <w:rFonts w:cs="Arial" w:hint="cs"/>
          <w:rtl/>
        </w:rPr>
        <w:t>ת,</w:t>
      </w:r>
      <w:r w:rsidRPr="00E12E0D">
        <w:rPr>
          <w:rFonts w:cs="Arial"/>
          <w:rtl/>
        </w:rPr>
        <w:t xml:space="preserve"> מ"מ כיון שלא הספיקה לגבות אותו חוב שלה </w:t>
      </w:r>
      <w:r>
        <w:rPr>
          <w:rFonts w:cs="Arial" w:hint="cs"/>
          <w:rtl/>
        </w:rPr>
        <w:t xml:space="preserve">- </w:t>
      </w:r>
      <w:r w:rsidRPr="00E12E0D">
        <w:rPr>
          <w:rFonts w:cs="Arial"/>
          <w:rtl/>
        </w:rPr>
        <w:t>הרי חלקה כמלוה וה"ל ראוי ואין הבעל נוטל בראוי ועיין סי' צ'</w:t>
      </w:r>
      <w:r>
        <w:rPr>
          <w:rFonts w:cs="Arial" w:hint="cs"/>
          <w:rtl/>
        </w:rPr>
        <w:t>, ב"ש (סקי"ז).</w:t>
      </w:r>
    </w:p>
  </w:footnote>
  <w:footnote w:id="3106">
    <w:p w14:paraId="24C1458B" w14:textId="77777777" w:rsidR="00DF1FC7" w:rsidRDefault="00DF1FC7" w:rsidP="002E5BAD">
      <w:pPr>
        <w:pStyle w:val="a5"/>
      </w:pPr>
      <w:r>
        <w:rPr>
          <w:rStyle w:val="a7"/>
        </w:rPr>
        <w:footnoteRef/>
      </w:r>
      <w:r>
        <w:rPr>
          <w:rtl/>
        </w:rPr>
        <w:t xml:space="preserve"> </w:t>
      </w:r>
      <w:r w:rsidRPr="000070F1">
        <w:rPr>
          <w:rFonts w:cs="Arial"/>
          <w:rtl/>
        </w:rPr>
        <w:t>דת יהודית - שנהגו בנות ישראל ואף על גב דלא כתיבא</w:t>
      </w:r>
      <w:r>
        <w:rPr>
          <w:rFonts w:cs="Arial" w:hint="cs"/>
          <w:rtl/>
        </w:rPr>
        <w:t>, רש"י.</w:t>
      </w:r>
    </w:p>
  </w:footnote>
  <w:footnote w:id="3107">
    <w:p w14:paraId="2595ADE1" w14:textId="77777777" w:rsidR="00DF1FC7" w:rsidRDefault="00DF1FC7" w:rsidP="002E5BAD">
      <w:pPr>
        <w:pStyle w:val="a5"/>
      </w:pPr>
      <w:r>
        <w:rPr>
          <w:rStyle w:val="a7"/>
        </w:rPr>
        <w:footnoteRef/>
      </w:r>
      <w:r>
        <w:rPr>
          <w:rtl/>
        </w:rPr>
        <w:t xml:space="preserve"> </w:t>
      </w:r>
      <w:r>
        <w:rPr>
          <w:rFonts w:hint="cs"/>
          <w:rtl/>
        </w:rPr>
        <w:t xml:space="preserve">וז"ל- </w:t>
      </w:r>
      <w:r w:rsidRPr="00E61D43">
        <w:rPr>
          <w:rFonts w:cs="Arial"/>
          <w:rtl/>
        </w:rPr>
        <w:t>והיאך יודע דבר זה כגון שאמרה לו פירות אלו פלוני כהן תקנם לי ועיסה זו פלוני הפריש לי חלתה ופלוני החכם טיהר לי את הכתם</w:t>
      </w:r>
      <w:r>
        <w:rPr>
          <w:rFonts w:cs="Arial" w:hint="cs"/>
          <w:rtl/>
        </w:rPr>
        <w:t>,</w:t>
      </w:r>
      <w:r w:rsidRPr="00E61D43">
        <w:rPr>
          <w:rFonts w:cs="Arial"/>
          <w:rtl/>
        </w:rPr>
        <w:t xml:space="preserve"> ואחר שאכל או בא עליה שאל אותו פלוני</w:t>
      </w:r>
      <w:r>
        <w:rPr>
          <w:rFonts w:cs="Arial" w:hint="cs"/>
          <w:rtl/>
        </w:rPr>
        <w:t>,</w:t>
      </w:r>
      <w:r w:rsidRPr="00E61D43">
        <w:rPr>
          <w:rFonts w:cs="Arial"/>
          <w:rtl/>
        </w:rPr>
        <w:t xml:space="preserve"> ואמר לא היו דברים מעולם</w:t>
      </w:r>
      <w:r>
        <w:rPr>
          <w:rFonts w:cs="Arial" w:hint="cs"/>
          <w:rtl/>
        </w:rPr>
        <w:t>.</w:t>
      </w:r>
      <w:r>
        <w:rPr>
          <w:rFonts w:hint="cs"/>
          <w:rtl/>
        </w:rPr>
        <w:t xml:space="preserve"> עכ"ל. וכך היא לשון הסמ"ג.</w:t>
      </w:r>
    </w:p>
  </w:footnote>
  <w:footnote w:id="3108">
    <w:p w14:paraId="7A3C560B" w14:textId="77777777" w:rsidR="00DF1FC7" w:rsidRDefault="00DF1FC7" w:rsidP="002E5BAD">
      <w:pPr>
        <w:pStyle w:val="a5"/>
      </w:pPr>
      <w:r>
        <w:rPr>
          <w:rStyle w:val="a7"/>
        </w:rPr>
        <w:footnoteRef/>
      </w:r>
      <w:r>
        <w:rPr>
          <w:rtl/>
        </w:rPr>
        <w:t xml:space="preserve"> </w:t>
      </w:r>
      <w:r w:rsidRPr="00E21A0A">
        <w:rPr>
          <w:rFonts w:cs="Arial"/>
          <w:rtl/>
        </w:rPr>
        <w:t>כן פירש הרא"ש ז"ל שם אהא דאמרינן אי דידע נפרוש וא"ת אין ידע ודאי ופירש אבל היא היתה רוצה להאכילו שלא היתה סבורה שהוא יודע הילכך יוצאה שלא בכתובה כי תאכילנו פעם אחרת כשלא ידע וי"ל דרצתה להאכילו ולא האכילתו אינה יוצאה שלא בכתובה דמציא אמרה משחקת הייתי בך וכשהייתה בא לאכול הייתי מונעך עכ"ל</w:t>
      </w:r>
      <w:r>
        <w:rPr>
          <w:rFonts w:cs="Arial" w:hint="cs"/>
          <w:rtl/>
        </w:rPr>
        <w:t>, ב"י.</w:t>
      </w:r>
    </w:p>
  </w:footnote>
  <w:footnote w:id="3109">
    <w:p w14:paraId="77BDE4DF" w14:textId="77777777" w:rsidR="00DF1FC7" w:rsidRDefault="00DF1FC7" w:rsidP="002E5BAD">
      <w:pPr>
        <w:pStyle w:val="a5"/>
        <w:rPr>
          <w:rtl/>
        </w:rPr>
      </w:pPr>
      <w:r>
        <w:rPr>
          <w:rStyle w:val="a7"/>
        </w:rPr>
        <w:footnoteRef/>
      </w:r>
      <w:r>
        <w:rPr>
          <w:rtl/>
        </w:rPr>
        <w:t xml:space="preserve"> </w:t>
      </w:r>
      <w:r>
        <w:rPr>
          <w:rFonts w:cs="Arial"/>
          <w:rtl/>
        </w:rPr>
        <w:t>וז"ל</w:t>
      </w:r>
      <w:r>
        <w:rPr>
          <w:rFonts w:cs="Arial" w:hint="cs"/>
          <w:rtl/>
        </w:rPr>
        <w:t>-</w:t>
      </w:r>
      <w:r>
        <w:rPr>
          <w:rFonts w:cs="Arial"/>
          <w:rtl/>
        </w:rPr>
        <w:t xml:space="preserve"> האי דעוברת על דת משה ויהודית אין לה כתובה היינו בדבר שהיא מכשילתו כגון כי הנך דמתניתין וכיוצא בהם</w:t>
      </w:r>
      <w:r>
        <w:rPr>
          <w:rFonts w:cs="Arial" w:hint="cs"/>
          <w:rtl/>
        </w:rPr>
        <w:t>.</w:t>
      </w:r>
      <w:r>
        <w:rPr>
          <w:rFonts w:cs="Arial"/>
          <w:rtl/>
        </w:rPr>
        <w:t xml:space="preserve"> כגון שהאכילתו חלב או דם וכן נודרת ואינה מקיימת בשביל אונס בניו</w:t>
      </w:r>
      <w:r>
        <w:rPr>
          <w:rFonts w:cs="Arial" w:hint="cs"/>
          <w:rtl/>
        </w:rPr>
        <w:t>.</w:t>
      </w:r>
      <w:r>
        <w:rPr>
          <w:rFonts w:cs="Arial"/>
          <w:rtl/>
        </w:rPr>
        <w:t xml:space="preserve"> אבל אם היתה עוברת בשאר עבירות</w:t>
      </w:r>
      <w:r>
        <w:rPr>
          <w:rFonts w:cs="Arial" w:hint="cs"/>
          <w:rtl/>
        </w:rPr>
        <w:t>,</w:t>
      </w:r>
      <w:r>
        <w:rPr>
          <w:rFonts w:cs="Arial"/>
          <w:rtl/>
        </w:rPr>
        <w:t xml:space="preserve"> כגון שהיא עצמה אכלה דבר איסור לא הפסידה כתובה</w:t>
      </w:r>
      <w:r>
        <w:rPr>
          <w:rFonts w:cs="Arial" w:hint="cs"/>
          <w:rtl/>
        </w:rPr>
        <w:t>.</w:t>
      </w:r>
      <w:r>
        <w:rPr>
          <w:rFonts w:cs="Arial"/>
          <w:rtl/>
        </w:rPr>
        <w:t xml:space="preserve"> ודת יהודית </w:t>
      </w:r>
      <w:r>
        <w:rPr>
          <w:rFonts w:cs="Arial" w:hint="cs"/>
          <w:rtl/>
        </w:rPr>
        <w:t xml:space="preserve">- </w:t>
      </w:r>
      <w:r>
        <w:rPr>
          <w:rFonts w:cs="Arial"/>
          <w:rtl/>
        </w:rPr>
        <w:t>משום חציפותא ומשום חשד זנות הוא דמפסדא</w:t>
      </w:r>
      <w:r>
        <w:rPr>
          <w:rFonts w:hint="cs"/>
          <w:rtl/>
        </w:rPr>
        <w:t>.</w:t>
      </w:r>
    </w:p>
  </w:footnote>
  <w:footnote w:id="3110">
    <w:p w14:paraId="4B022909" w14:textId="77777777" w:rsidR="00DF1FC7" w:rsidRDefault="00DF1FC7" w:rsidP="002E5BAD">
      <w:pPr>
        <w:pStyle w:val="a5"/>
      </w:pPr>
      <w:r>
        <w:rPr>
          <w:rStyle w:val="a7"/>
        </w:rPr>
        <w:footnoteRef/>
      </w:r>
      <w:r>
        <w:rPr>
          <w:rtl/>
        </w:rPr>
        <w:t xml:space="preserve"> </w:t>
      </w:r>
      <w:r w:rsidRPr="000753C6">
        <w:rPr>
          <w:rFonts w:cs="Arial"/>
          <w:rtl/>
        </w:rPr>
        <w:t xml:space="preserve">כתב המ"מ </w:t>
      </w:r>
      <w:r>
        <w:rPr>
          <w:rFonts w:cs="Arial" w:hint="cs"/>
          <w:rtl/>
        </w:rPr>
        <w:t xml:space="preserve">(פכ"ד הי"א)- </w:t>
      </w:r>
      <w:r w:rsidRPr="007C6879">
        <w:rPr>
          <w:rFonts w:cs="Arial"/>
          <w:rtl/>
        </w:rPr>
        <w:t>וביאר רבינו שכשאמרו מאכילתו שאינו מעושר כל שכן שאר דברים האסורין שהרי המעשר בזמן הזה אינו אלא מדבריהם כנזכר פרק ראשון מהלכות תרומות</w:t>
      </w:r>
      <w:r>
        <w:rPr>
          <w:rFonts w:cs="Arial" w:hint="cs"/>
          <w:rtl/>
        </w:rPr>
        <w:t>.</w:t>
      </w:r>
      <w:r w:rsidRPr="007C6879">
        <w:rPr>
          <w:rFonts w:cs="Arial"/>
          <w:rtl/>
        </w:rPr>
        <w:t xml:space="preserve"> ומ"מ אפילו יהיה מן התורה ק"ו הוא לשאר דברים האסורים</w:t>
      </w:r>
      <w:r>
        <w:rPr>
          <w:rFonts w:cs="Arial" w:hint="cs"/>
          <w:rtl/>
        </w:rPr>
        <w:t>.</w:t>
      </w:r>
      <w:r w:rsidRPr="007C6879">
        <w:rPr>
          <w:rFonts w:cs="Arial"/>
          <w:rtl/>
        </w:rPr>
        <w:t xml:space="preserve"> שהרי המעשר אפשר לו לבעל להפריש ולא יסמוך עליה</w:t>
      </w:r>
      <w:r>
        <w:rPr>
          <w:rFonts w:cs="Arial" w:hint="cs"/>
          <w:rtl/>
        </w:rPr>
        <w:t>,</w:t>
      </w:r>
      <w:r w:rsidRPr="007C6879">
        <w:rPr>
          <w:rFonts w:cs="Arial"/>
          <w:rtl/>
        </w:rPr>
        <w:t xml:space="preserve"> ואעפ"כ יוצאה בלא כתובה מחמת כן</w:t>
      </w:r>
      <w:r>
        <w:rPr>
          <w:rFonts w:cs="Arial" w:hint="cs"/>
          <w:rtl/>
        </w:rPr>
        <w:t>.</w:t>
      </w:r>
      <w:r w:rsidRPr="007C6879">
        <w:rPr>
          <w:rFonts w:cs="Arial"/>
          <w:rtl/>
        </w:rPr>
        <w:t xml:space="preserve"> כ"ש אם מאכילתו דברים האסורים והוא לא ידע ואשם</w:t>
      </w:r>
      <w:r>
        <w:rPr>
          <w:rFonts w:cs="Arial" w:hint="cs"/>
          <w:rtl/>
        </w:rPr>
        <w:t>. עכ"ל. וכתב הח"מ (סק"ב) ד</w:t>
      </w:r>
      <w:r w:rsidRPr="000753C6">
        <w:rPr>
          <w:rFonts w:cs="Arial"/>
          <w:rtl/>
        </w:rPr>
        <w:t>לא נתבאר אם מכשלת אותו בשאר איסורים כגון שצוה עליה להניח עירוב והוא סומך עליה ומטלטל בשבת ואח"כ נודע שלא הניחה עירוב או צוה עליה לשרוף החמץ והיא לא עשתה ונשאר החמץ בביתו וכיוצא בזה אם ג"כ יוצאת בלא כתובה</w:t>
      </w:r>
      <w:r>
        <w:rPr>
          <w:rFonts w:cs="Arial" w:hint="cs"/>
          <w:rtl/>
        </w:rPr>
        <w:t xml:space="preserve">. עכ"ל. </w:t>
      </w:r>
      <w:r>
        <w:rPr>
          <w:rFonts w:hint="cs"/>
          <w:rtl/>
        </w:rPr>
        <w:t xml:space="preserve">אך הב"ש (סק"ב) כתב על דברי הה"מ הנ"ל </w:t>
      </w:r>
      <w:r>
        <w:rPr>
          <w:rFonts w:cs="Arial" w:hint="cs"/>
          <w:rtl/>
        </w:rPr>
        <w:t>ד</w:t>
      </w:r>
      <w:r w:rsidRPr="0046402A">
        <w:rPr>
          <w:rFonts w:cs="Arial"/>
          <w:rtl/>
        </w:rPr>
        <w:t xml:space="preserve">יש לומר </w:t>
      </w:r>
      <w:r>
        <w:rPr>
          <w:rFonts w:cs="Arial" w:hint="cs"/>
          <w:rtl/>
        </w:rPr>
        <w:t>ד</w:t>
      </w:r>
      <w:r w:rsidRPr="0046402A">
        <w:rPr>
          <w:rFonts w:cs="Arial"/>
          <w:rtl/>
        </w:rPr>
        <w:t>דוקא כשמאכילתו דבר איסור</w:t>
      </w:r>
      <w:r>
        <w:rPr>
          <w:rFonts w:cs="Arial" w:hint="cs"/>
          <w:rtl/>
        </w:rPr>
        <w:t>,</w:t>
      </w:r>
      <w:r w:rsidRPr="0046402A">
        <w:rPr>
          <w:rFonts w:cs="Arial"/>
          <w:rtl/>
        </w:rPr>
        <w:t xml:space="preserve"> אבל שאר איסור שאינו דבר אכילה כגון נגיעה בעת נדתה לא</w:t>
      </w:r>
      <w:r>
        <w:rPr>
          <w:rFonts w:cs="Arial" w:hint="cs"/>
          <w:rtl/>
        </w:rPr>
        <w:t>,</w:t>
      </w:r>
      <w:r w:rsidRPr="0046402A">
        <w:rPr>
          <w:rFonts w:cs="Arial"/>
          <w:rtl/>
        </w:rPr>
        <w:t xml:space="preserve"> כמ"ש חילוק כעין זה בתוס' ריש חולין</w:t>
      </w:r>
      <w:r>
        <w:rPr>
          <w:rFonts w:cs="Arial" w:hint="cs"/>
          <w:rtl/>
        </w:rPr>
        <w:t xml:space="preserve"> (ה: ד"ה צדיקים). עכ"ל </w:t>
      </w:r>
      <w:r w:rsidRPr="00343082">
        <w:rPr>
          <w:rFonts w:cs="Arial" w:hint="cs"/>
          <w:sz w:val="16"/>
          <w:szCs w:val="16"/>
          <w:rtl/>
        </w:rPr>
        <w:t>(ונראה להסביר את דבריו - דבכל דבר אחר היא יכולה לטעון 'יכלת ליפול בזה בלי לדעת גם בלעדי', אבל באוכל שאין הקב"ה מביא תקלה למדקדקים בזה - היא לא יכולה לטעון 'יכלת ליפול בזה בלי לדעת גם בלעדי'. וה"ה בנדה שלא יכולה לטעון כן, שאין זו עבירה שתלויה בו לבד אלא תלויה בה ולא היה עובר עליה בלי לדעת אילולי היא</w:t>
      </w:r>
      <w:r>
        <w:rPr>
          <w:rFonts w:cs="Arial" w:hint="cs"/>
          <w:sz w:val="16"/>
          <w:szCs w:val="16"/>
          <w:rtl/>
        </w:rPr>
        <w:t>)</w:t>
      </w:r>
      <w:r>
        <w:rPr>
          <w:rFonts w:cs="Arial" w:hint="cs"/>
          <w:rtl/>
        </w:rPr>
        <w:t>.</w:t>
      </w:r>
      <w:r>
        <w:rPr>
          <w:rFonts w:hint="cs"/>
          <w:rtl/>
        </w:rPr>
        <w:t xml:space="preserve"> וכן נראה לי ברור מסוף דברי הה"מ (כ"ש אם מאכילתו דברים האסורים וכו').</w:t>
      </w:r>
    </w:p>
  </w:footnote>
  <w:footnote w:id="3111">
    <w:p w14:paraId="2CED1902" w14:textId="77777777" w:rsidR="00DF1FC7" w:rsidRDefault="00DF1FC7" w:rsidP="002E5BAD">
      <w:pPr>
        <w:pStyle w:val="a5"/>
      </w:pPr>
      <w:r>
        <w:rPr>
          <w:rStyle w:val="a7"/>
        </w:rPr>
        <w:footnoteRef/>
      </w:r>
      <w:r>
        <w:rPr>
          <w:rtl/>
        </w:rPr>
        <w:t xml:space="preserve"> </w:t>
      </w:r>
      <w:r w:rsidRPr="00E12584">
        <w:rPr>
          <w:rFonts w:cs="Arial"/>
          <w:rtl/>
        </w:rPr>
        <w:t>וה"ה אם היא מודה שהכשילו אף על גב דאין אדם משים עצמו רשע מ"מ להפסיד ממון אדם נאמן רשב"א ור"ן והמגיד ב"ש</w:t>
      </w:r>
      <w:r>
        <w:rPr>
          <w:rFonts w:cs="Arial" w:hint="cs"/>
          <w:rtl/>
        </w:rPr>
        <w:t>, באה"ט (סק"ה)</w:t>
      </w:r>
      <w:r>
        <w:rPr>
          <w:rFonts w:hint="cs"/>
          <w:rtl/>
        </w:rPr>
        <w:t xml:space="preserve">. </w:t>
      </w:r>
      <w:r>
        <w:rPr>
          <w:rFonts w:cs="Arial" w:hint="cs"/>
          <w:rtl/>
        </w:rPr>
        <w:t>ולאחר</w:t>
      </w:r>
      <w:r>
        <w:rPr>
          <w:rFonts w:cs="Arial"/>
          <w:rtl/>
        </w:rPr>
        <w:t xml:space="preserve"> שהודית שעבר</w:t>
      </w:r>
      <w:r>
        <w:rPr>
          <w:rFonts w:cs="Arial" w:hint="cs"/>
          <w:rtl/>
        </w:rPr>
        <w:t>ה</w:t>
      </w:r>
      <w:r>
        <w:rPr>
          <w:rFonts w:cs="Arial"/>
          <w:rtl/>
        </w:rPr>
        <w:t xml:space="preserve"> על דת לא מצית אח"כ לומר משטה אני בך בהודאתי</w:t>
      </w:r>
      <w:r>
        <w:rPr>
          <w:rFonts w:cs="Arial" w:hint="cs"/>
          <w:rtl/>
        </w:rPr>
        <w:t>,</w:t>
      </w:r>
      <w:r>
        <w:rPr>
          <w:rFonts w:cs="Arial"/>
          <w:rtl/>
        </w:rPr>
        <w:t xml:space="preserve"> משום דלענין פטור לא בעי אתם עדי ולא מצי לטעון חששה</w:t>
      </w:r>
      <w:r>
        <w:rPr>
          <w:rFonts w:cs="Arial" w:hint="cs"/>
          <w:rtl/>
        </w:rPr>
        <w:t>,</w:t>
      </w:r>
      <w:r>
        <w:rPr>
          <w:rFonts w:cs="Arial"/>
          <w:rtl/>
        </w:rPr>
        <w:t xml:space="preserve"> ברית אברהם </w:t>
      </w:r>
      <w:r>
        <w:rPr>
          <w:rFonts w:cs="Arial" w:hint="cs"/>
          <w:rtl/>
        </w:rPr>
        <w:t>(</w:t>
      </w:r>
      <w:r>
        <w:rPr>
          <w:rFonts w:cs="Arial"/>
          <w:rtl/>
        </w:rPr>
        <w:t>סי</w:t>
      </w:r>
      <w:r>
        <w:rPr>
          <w:rFonts w:cs="Arial" w:hint="cs"/>
          <w:rtl/>
        </w:rPr>
        <w:t>'</w:t>
      </w:r>
      <w:r>
        <w:rPr>
          <w:rFonts w:cs="Arial"/>
          <w:rtl/>
        </w:rPr>
        <w:t xml:space="preserve"> צב אות יד</w:t>
      </w:r>
      <w:r>
        <w:rPr>
          <w:rFonts w:cs="Arial" w:hint="cs"/>
          <w:rtl/>
        </w:rPr>
        <w:t>)</w:t>
      </w:r>
      <w:r>
        <w:rPr>
          <w:rFonts w:cs="Arial"/>
          <w:rtl/>
        </w:rPr>
        <w:t xml:space="preserve"> בשם מהר"י הלוי</w:t>
      </w:r>
      <w:r>
        <w:rPr>
          <w:rFonts w:cs="Arial" w:hint="cs"/>
          <w:rtl/>
        </w:rPr>
        <w:t xml:space="preserve"> (</w:t>
      </w:r>
      <w:r>
        <w:rPr>
          <w:rFonts w:cs="Arial"/>
          <w:rtl/>
        </w:rPr>
        <w:t>סי</w:t>
      </w:r>
      <w:r>
        <w:rPr>
          <w:rFonts w:cs="Arial" w:hint="cs"/>
          <w:rtl/>
        </w:rPr>
        <w:t>'</w:t>
      </w:r>
      <w:r>
        <w:rPr>
          <w:rFonts w:cs="Arial"/>
          <w:rtl/>
        </w:rPr>
        <w:t xml:space="preserve"> לט ובת</w:t>
      </w:r>
      <w:r>
        <w:rPr>
          <w:rFonts w:cs="Arial" w:hint="cs"/>
          <w:rtl/>
        </w:rPr>
        <w:t>שו</w:t>
      </w:r>
      <w:r>
        <w:rPr>
          <w:rFonts w:cs="Arial"/>
          <w:rtl/>
        </w:rPr>
        <w:t>' ג"ב סי</w:t>
      </w:r>
      <w:r>
        <w:rPr>
          <w:rFonts w:cs="Arial" w:hint="cs"/>
          <w:rtl/>
        </w:rPr>
        <w:t>'</w:t>
      </w:r>
      <w:r>
        <w:rPr>
          <w:rFonts w:cs="Arial"/>
          <w:rtl/>
        </w:rPr>
        <w:t xml:space="preserve"> כו)</w:t>
      </w:r>
      <w:r>
        <w:rPr>
          <w:rFonts w:cs="Arial" w:hint="cs"/>
          <w:rtl/>
        </w:rPr>
        <w:t>, הביאם הפת"ש</w:t>
      </w:r>
      <w:r>
        <w:rPr>
          <w:rFonts w:cs="Arial"/>
          <w:rtl/>
        </w:rPr>
        <w:t xml:space="preserve"> (</w:t>
      </w:r>
      <w:r>
        <w:rPr>
          <w:rFonts w:cs="Arial" w:hint="cs"/>
          <w:rtl/>
        </w:rPr>
        <w:t>סק"</w:t>
      </w:r>
      <w:r>
        <w:rPr>
          <w:rFonts w:cs="Arial"/>
          <w:rtl/>
        </w:rPr>
        <w:t>ד)</w:t>
      </w:r>
      <w:r>
        <w:rPr>
          <w:rFonts w:cs="Arial" w:hint="cs"/>
          <w:rtl/>
        </w:rPr>
        <w:t>.</w:t>
      </w:r>
      <w:r>
        <w:rPr>
          <w:rFonts w:cs="Arial"/>
          <w:rtl/>
        </w:rPr>
        <w:t xml:space="preserve"> </w:t>
      </w:r>
    </w:p>
  </w:footnote>
  <w:footnote w:id="3112">
    <w:p w14:paraId="1EE53A4B" w14:textId="77777777" w:rsidR="00DF1FC7" w:rsidRDefault="00DF1FC7" w:rsidP="002E5BAD">
      <w:pPr>
        <w:pStyle w:val="a5"/>
      </w:pPr>
      <w:r>
        <w:rPr>
          <w:rStyle w:val="a7"/>
        </w:rPr>
        <w:footnoteRef/>
      </w:r>
      <w:r>
        <w:rPr>
          <w:rtl/>
        </w:rPr>
        <w:t xml:space="preserve"> </w:t>
      </w:r>
      <w:r>
        <w:rPr>
          <w:rFonts w:cs="Arial"/>
          <w:rtl/>
        </w:rPr>
        <w:t xml:space="preserve">עיין בתשובת ברית אברהם </w:t>
      </w:r>
      <w:r>
        <w:rPr>
          <w:rFonts w:cs="Arial" w:hint="cs"/>
          <w:rtl/>
        </w:rPr>
        <w:t>(</w:t>
      </w:r>
      <w:r>
        <w:rPr>
          <w:rFonts w:cs="Arial"/>
          <w:rtl/>
        </w:rPr>
        <w:t>סי' יג אות ו</w:t>
      </w:r>
      <w:r>
        <w:rPr>
          <w:rFonts w:cs="Arial" w:hint="cs"/>
          <w:rtl/>
        </w:rPr>
        <w:t>)</w:t>
      </w:r>
      <w:r>
        <w:rPr>
          <w:rFonts w:cs="Arial"/>
          <w:rtl/>
        </w:rPr>
        <w:t xml:space="preserve"> שהעיר על דברי הטור והש"ע ששינו מלשון הרמב"ם דנקט טיהר לי הכתם והם נקטו טיהר לי הדם דאולי י"ל דס"ל דבדרבנן לא תצא שלא בכתובה ובתרומות ומעשרות ס"ל להטור דהוי דאורייתא גם בזה"ז כדאיתא ביו"ד סימן של"א ס"ב בהגה כו' ע"ש ועמ"ש לקמן ס"ק י"ד בשם רבינו עקיבא ז"ל</w:t>
      </w:r>
      <w:r>
        <w:rPr>
          <w:rFonts w:cs="Arial" w:hint="cs"/>
          <w:rtl/>
        </w:rPr>
        <w:t>, פת"ש (סק"ה).</w:t>
      </w:r>
    </w:p>
  </w:footnote>
  <w:footnote w:id="3113">
    <w:p w14:paraId="5AFA1D8B" w14:textId="77777777" w:rsidR="00DF1FC7" w:rsidRPr="00E5312A" w:rsidRDefault="00DF1FC7" w:rsidP="002E5BAD">
      <w:pPr>
        <w:pStyle w:val="a5"/>
        <w:rPr>
          <w:rFonts w:cs="Arial"/>
        </w:rPr>
      </w:pPr>
      <w:r>
        <w:rPr>
          <w:rStyle w:val="a7"/>
        </w:rPr>
        <w:footnoteRef/>
      </w:r>
      <w:r>
        <w:rPr>
          <w:rtl/>
        </w:rPr>
        <w:t xml:space="preserve"> </w:t>
      </w:r>
      <w:r w:rsidRPr="00E5312A">
        <w:rPr>
          <w:rFonts w:cs="Arial"/>
          <w:rtl/>
        </w:rPr>
        <w:t xml:space="preserve">כ"כ הרא"ש </w:t>
      </w:r>
      <w:r>
        <w:rPr>
          <w:rFonts w:cs="Arial" w:hint="cs"/>
          <w:rtl/>
        </w:rPr>
        <w:t xml:space="preserve">(כתובות פ"ז סי' ט) </w:t>
      </w:r>
      <w:r w:rsidRPr="00E5312A">
        <w:rPr>
          <w:rFonts w:cs="Arial"/>
          <w:rtl/>
        </w:rPr>
        <w:t>בסוגי' זו בשם הירושלמי</w:t>
      </w:r>
      <w:r>
        <w:rPr>
          <w:rFonts w:cs="Arial" w:hint="cs"/>
          <w:rtl/>
        </w:rPr>
        <w:t>,</w:t>
      </w:r>
      <w:r w:rsidRPr="00E5312A">
        <w:rPr>
          <w:rFonts w:cs="Arial"/>
          <w:rtl/>
        </w:rPr>
        <w:t xml:space="preserve"> וכ"כ הרשב"א</w:t>
      </w:r>
      <w:r>
        <w:rPr>
          <w:rFonts w:cs="Arial" w:hint="cs"/>
          <w:rtl/>
        </w:rPr>
        <w:t>.</w:t>
      </w:r>
      <w:r w:rsidRPr="00E5312A">
        <w:rPr>
          <w:rFonts w:cs="Arial"/>
          <w:rtl/>
        </w:rPr>
        <w:t xml:space="preserve"> אלא הרמב"ן ס"ל כיון שהיא אמרה בשם פלוני אותו פלוני נאמן וכן הוא בכל עד מפי עד העד הראשון נאמן טפי</w:t>
      </w:r>
      <w:r>
        <w:rPr>
          <w:rFonts w:cs="Arial" w:hint="cs"/>
          <w:rtl/>
        </w:rPr>
        <w:t>,</w:t>
      </w:r>
      <w:r w:rsidRPr="00E5312A">
        <w:rPr>
          <w:rFonts w:cs="Arial"/>
          <w:rtl/>
        </w:rPr>
        <w:t xml:space="preserve"> כמ"ש בסי' י"ז</w:t>
      </w:r>
      <w:r>
        <w:rPr>
          <w:rFonts w:cs="Arial" w:hint="cs"/>
          <w:rtl/>
        </w:rPr>
        <w:t xml:space="preserve"> (סע' ח).</w:t>
      </w:r>
      <w:r w:rsidRPr="00E5312A">
        <w:rPr>
          <w:rFonts w:cs="Arial"/>
          <w:rtl/>
        </w:rPr>
        <w:t xml:space="preserve"> והרא"ש </w:t>
      </w:r>
      <w:r>
        <w:rPr>
          <w:rFonts w:cs="Arial" w:hint="cs"/>
          <w:rtl/>
        </w:rPr>
        <w:t>ב</w:t>
      </w:r>
      <w:r w:rsidRPr="00E5312A">
        <w:rPr>
          <w:rFonts w:cs="Arial"/>
          <w:rtl/>
        </w:rPr>
        <w:t>פ</w:t>
      </w:r>
      <w:r>
        <w:rPr>
          <w:rFonts w:cs="Arial" w:hint="cs"/>
          <w:rtl/>
        </w:rPr>
        <w:t>רק</w:t>
      </w:r>
      <w:r w:rsidRPr="00E5312A">
        <w:rPr>
          <w:rFonts w:cs="Arial"/>
          <w:rtl/>
        </w:rPr>
        <w:t xml:space="preserve"> שבוע</w:t>
      </w:r>
      <w:r>
        <w:rPr>
          <w:rFonts w:cs="Arial" w:hint="cs"/>
          <w:rtl/>
        </w:rPr>
        <w:t>ת</w:t>
      </w:r>
      <w:r w:rsidRPr="00E5312A">
        <w:rPr>
          <w:rFonts w:cs="Arial"/>
          <w:rtl/>
        </w:rPr>
        <w:t xml:space="preserve"> העדו</w:t>
      </w:r>
      <w:r>
        <w:rPr>
          <w:rFonts w:cs="Arial" w:hint="cs"/>
          <w:rtl/>
        </w:rPr>
        <w:t>ת (סי' יז)</w:t>
      </w:r>
      <w:r w:rsidRPr="00E5312A">
        <w:rPr>
          <w:rFonts w:cs="Arial"/>
          <w:rtl/>
        </w:rPr>
        <w:t xml:space="preserve"> הביא דברי הרמב"ן שקבל כן מרבותיו</w:t>
      </w:r>
      <w:r>
        <w:rPr>
          <w:rFonts w:cs="Arial" w:hint="cs"/>
          <w:rtl/>
        </w:rPr>
        <w:t>,</w:t>
      </w:r>
      <w:r w:rsidRPr="00E5312A">
        <w:rPr>
          <w:rFonts w:cs="Arial"/>
          <w:rtl/>
        </w:rPr>
        <w:t xml:space="preserve"> וכתב וכן מסתבר</w:t>
      </w:r>
      <w:r>
        <w:rPr>
          <w:rFonts w:cs="Arial" w:hint="cs"/>
          <w:rtl/>
        </w:rPr>
        <w:t>.</w:t>
      </w:r>
      <w:r w:rsidRPr="00E5312A">
        <w:rPr>
          <w:rFonts w:cs="Arial"/>
          <w:rtl/>
        </w:rPr>
        <w:t xml:space="preserve"> ובפ' המדיר </w:t>
      </w:r>
      <w:r>
        <w:rPr>
          <w:rFonts w:cs="Arial" w:hint="cs"/>
          <w:rtl/>
        </w:rPr>
        <w:t xml:space="preserve">(כתובות פ"ז סי' ט) </w:t>
      </w:r>
      <w:r w:rsidRPr="00E5312A">
        <w:rPr>
          <w:rFonts w:cs="Arial"/>
          <w:rtl/>
        </w:rPr>
        <w:t>כתב בשם הירושלמי דאיירי הסוגי' דהוכחשה בעדים</w:t>
      </w:r>
      <w:r>
        <w:rPr>
          <w:rFonts w:cs="Arial" w:hint="cs"/>
          <w:rtl/>
        </w:rPr>
        <w:t>,</w:t>
      </w:r>
      <w:r w:rsidRPr="00E5312A">
        <w:rPr>
          <w:rFonts w:cs="Arial"/>
          <w:rtl/>
        </w:rPr>
        <w:t xml:space="preserve"> דאל"כ איך יפקיע ממונ</w:t>
      </w:r>
      <w:r>
        <w:rPr>
          <w:rFonts w:cs="Arial" w:hint="cs"/>
          <w:rtl/>
        </w:rPr>
        <w:t>א</w:t>
      </w:r>
      <w:r w:rsidRPr="00E5312A">
        <w:rPr>
          <w:rFonts w:cs="Arial"/>
          <w:rtl/>
        </w:rPr>
        <w:t xml:space="preserve"> ע"פ עד א'</w:t>
      </w:r>
      <w:r>
        <w:rPr>
          <w:rFonts w:cs="Arial" w:hint="cs"/>
          <w:rtl/>
        </w:rPr>
        <w:t>.</w:t>
      </w:r>
      <w:r w:rsidRPr="00E5312A">
        <w:rPr>
          <w:rFonts w:cs="Arial"/>
          <w:rtl/>
        </w:rPr>
        <w:t xml:space="preserve"> ובח"מ </w:t>
      </w:r>
      <w:r>
        <w:rPr>
          <w:rFonts w:cs="Arial" w:hint="cs"/>
          <w:rtl/>
        </w:rPr>
        <w:t xml:space="preserve">(סק"ד) </w:t>
      </w:r>
      <w:r w:rsidRPr="00E5312A">
        <w:rPr>
          <w:rFonts w:cs="Arial"/>
          <w:rtl/>
        </w:rPr>
        <w:t xml:space="preserve">הקשה </w:t>
      </w:r>
      <w:r>
        <w:rPr>
          <w:rFonts w:cs="Arial" w:hint="cs"/>
          <w:rtl/>
        </w:rPr>
        <w:t>ש</w:t>
      </w:r>
      <w:r w:rsidRPr="00E5312A">
        <w:rPr>
          <w:rFonts w:cs="Arial"/>
          <w:rtl/>
        </w:rPr>
        <w:t>דברי הרא"ש סותרים זא"ז</w:t>
      </w:r>
      <w:r>
        <w:rPr>
          <w:rFonts w:cs="Arial" w:hint="cs"/>
          <w:rtl/>
        </w:rPr>
        <w:t>.</w:t>
      </w:r>
      <w:r w:rsidRPr="00E5312A">
        <w:rPr>
          <w:rFonts w:cs="Arial"/>
          <w:rtl/>
        </w:rPr>
        <w:t xml:space="preserve"> ואישתמט</w:t>
      </w:r>
      <w:r>
        <w:rPr>
          <w:rFonts w:cs="Arial" w:hint="cs"/>
          <w:rtl/>
        </w:rPr>
        <w:t>ו</w:t>
      </w:r>
      <w:r w:rsidRPr="00E5312A">
        <w:rPr>
          <w:rFonts w:cs="Arial"/>
          <w:rtl/>
        </w:rPr>
        <w:t xml:space="preserve"> מיניה דברי </w:t>
      </w:r>
      <w:r>
        <w:rPr>
          <w:rFonts w:cs="Arial" w:hint="cs"/>
          <w:rtl/>
        </w:rPr>
        <w:t>הב"י</w:t>
      </w:r>
      <w:r w:rsidRPr="00E5312A">
        <w:rPr>
          <w:rFonts w:cs="Arial"/>
          <w:rtl/>
        </w:rPr>
        <w:t xml:space="preserve"> ביו"ד סי' קפ"ה</w:t>
      </w:r>
      <w:r>
        <w:rPr>
          <w:rFonts w:cs="Arial" w:hint="cs"/>
          <w:rtl/>
        </w:rPr>
        <w:t>,</w:t>
      </w:r>
      <w:r w:rsidRPr="00E5312A">
        <w:rPr>
          <w:rFonts w:cs="Arial"/>
          <w:rtl/>
        </w:rPr>
        <w:t xml:space="preserve"> ושם מתרץ הב"י דברי הרא"ש ומחלק </w:t>
      </w:r>
      <w:r>
        <w:rPr>
          <w:rFonts w:cs="Arial" w:hint="cs"/>
          <w:rtl/>
        </w:rPr>
        <w:t>ד</w:t>
      </w:r>
      <w:r w:rsidRPr="00E5312A">
        <w:rPr>
          <w:rFonts w:cs="Arial"/>
          <w:rtl/>
        </w:rPr>
        <w:t>לענין הפסד ממון כתב הרא"ש דאין העד הראשון נאמן להפקיע הממון</w:t>
      </w:r>
      <w:r>
        <w:rPr>
          <w:rFonts w:cs="Arial" w:hint="cs"/>
          <w:rtl/>
        </w:rPr>
        <w:t>,</w:t>
      </w:r>
      <w:r w:rsidRPr="00E5312A">
        <w:rPr>
          <w:rFonts w:cs="Arial"/>
          <w:rtl/>
        </w:rPr>
        <w:t xml:space="preserve"> אבל לענין איסור נאמן הראשון</w:t>
      </w:r>
      <w:r w:rsidRPr="00EF2015">
        <w:rPr>
          <w:rFonts w:cs="Arial"/>
          <w:sz w:val="16"/>
          <w:szCs w:val="16"/>
          <w:rtl/>
        </w:rPr>
        <w:t xml:space="preserve"> </w:t>
      </w:r>
      <w:r w:rsidRPr="00EF2015">
        <w:rPr>
          <w:rFonts w:cs="Arial" w:hint="cs"/>
          <w:sz w:val="16"/>
          <w:szCs w:val="16"/>
          <w:rtl/>
        </w:rPr>
        <w:t>(</w:t>
      </w:r>
      <w:r w:rsidRPr="00EF2015">
        <w:rPr>
          <w:rFonts w:cs="Arial"/>
          <w:sz w:val="16"/>
          <w:szCs w:val="16"/>
          <w:rtl/>
        </w:rPr>
        <w:t>אע</w:t>
      </w:r>
      <w:r w:rsidRPr="00EF2015">
        <w:rPr>
          <w:rFonts w:cs="Arial" w:hint="cs"/>
          <w:sz w:val="16"/>
          <w:szCs w:val="16"/>
          <w:rtl/>
        </w:rPr>
        <w:t>"</w:t>
      </w:r>
      <w:r w:rsidRPr="00EF2015">
        <w:rPr>
          <w:rFonts w:cs="Arial"/>
          <w:sz w:val="16"/>
          <w:szCs w:val="16"/>
          <w:rtl/>
        </w:rPr>
        <w:t xml:space="preserve">ג </w:t>
      </w:r>
      <w:r w:rsidRPr="00EF2015">
        <w:rPr>
          <w:rFonts w:cs="Arial" w:hint="cs"/>
          <w:sz w:val="16"/>
          <w:szCs w:val="16"/>
          <w:rtl/>
        </w:rPr>
        <w:t>ד</w:t>
      </w:r>
      <w:r w:rsidRPr="00EF2015">
        <w:rPr>
          <w:rFonts w:cs="Arial"/>
          <w:sz w:val="16"/>
          <w:szCs w:val="16"/>
          <w:rtl/>
        </w:rPr>
        <w:t>למ"ש הרא"ש בפ' המדיר</w:t>
      </w:r>
      <w:r w:rsidRPr="00EF2015">
        <w:rPr>
          <w:rFonts w:cs="Arial" w:hint="cs"/>
          <w:sz w:val="16"/>
          <w:szCs w:val="16"/>
          <w:rtl/>
        </w:rPr>
        <w:t>,</w:t>
      </w:r>
      <w:r w:rsidRPr="00EF2015">
        <w:rPr>
          <w:rFonts w:cs="Arial"/>
          <w:sz w:val="16"/>
          <w:szCs w:val="16"/>
          <w:rtl/>
        </w:rPr>
        <w:t xml:space="preserve"> דאיירי בהוכחשה ע"פ עדים</w:t>
      </w:r>
      <w:r w:rsidRPr="00EF2015">
        <w:rPr>
          <w:rFonts w:cs="Arial" w:hint="cs"/>
          <w:sz w:val="16"/>
          <w:szCs w:val="16"/>
          <w:rtl/>
        </w:rPr>
        <w:t>,</w:t>
      </w:r>
      <w:r w:rsidRPr="00EF2015">
        <w:rPr>
          <w:rFonts w:cs="Arial"/>
          <w:sz w:val="16"/>
          <w:szCs w:val="16"/>
          <w:rtl/>
        </w:rPr>
        <w:t xml:space="preserve"> נסתר</w:t>
      </w:r>
      <w:r w:rsidRPr="00EF2015">
        <w:rPr>
          <w:rFonts w:cs="Arial" w:hint="cs"/>
          <w:sz w:val="16"/>
          <w:szCs w:val="16"/>
          <w:rtl/>
        </w:rPr>
        <w:t>ה</w:t>
      </w:r>
      <w:r w:rsidRPr="00EF2015">
        <w:rPr>
          <w:rFonts w:cs="Arial"/>
          <w:sz w:val="16"/>
          <w:szCs w:val="16"/>
          <w:rtl/>
        </w:rPr>
        <w:t xml:space="preserve"> </w:t>
      </w:r>
      <w:r w:rsidRPr="00EF2015">
        <w:rPr>
          <w:rFonts w:cs="Arial" w:hint="cs"/>
          <w:sz w:val="16"/>
          <w:szCs w:val="16"/>
          <w:rtl/>
        </w:rPr>
        <w:t>ה</w:t>
      </w:r>
      <w:r w:rsidRPr="00EF2015">
        <w:rPr>
          <w:rFonts w:cs="Arial"/>
          <w:sz w:val="16"/>
          <w:szCs w:val="16"/>
          <w:rtl/>
        </w:rPr>
        <w:t>ראיה של הרמב"ן שכתב הרא"ש בשמו בשבוע'</w:t>
      </w:r>
      <w:r w:rsidRPr="00EF2015">
        <w:rPr>
          <w:rFonts w:cs="Arial" w:hint="cs"/>
          <w:sz w:val="16"/>
          <w:szCs w:val="16"/>
          <w:rtl/>
        </w:rPr>
        <w:t>,</w:t>
      </w:r>
      <w:r w:rsidRPr="00EF2015">
        <w:rPr>
          <w:rFonts w:cs="Arial"/>
          <w:sz w:val="16"/>
          <w:szCs w:val="16"/>
          <w:rtl/>
        </w:rPr>
        <w:t xml:space="preserve"> א"כ י"ל לענין איסור ג"כ אינו נאמן העד הראשון</w:t>
      </w:r>
      <w:r w:rsidRPr="00EF2015">
        <w:rPr>
          <w:rFonts w:cs="Arial" w:hint="cs"/>
          <w:sz w:val="16"/>
          <w:szCs w:val="16"/>
          <w:rtl/>
        </w:rPr>
        <w:t>,</w:t>
      </w:r>
      <w:r w:rsidRPr="00EF2015">
        <w:rPr>
          <w:rFonts w:cs="Arial"/>
          <w:sz w:val="16"/>
          <w:szCs w:val="16"/>
          <w:rtl/>
        </w:rPr>
        <w:t xml:space="preserve"> מ"מ כיון שקיבל כן מרבותיו הסכים עמו לענין איסור</w:t>
      </w:r>
      <w:r w:rsidRPr="00EF2015">
        <w:rPr>
          <w:rFonts w:cs="Arial" w:hint="cs"/>
          <w:sz w:val="16"/>
          <w:szCs w:val="16"/>
          <w:rtl/>
        </w:rPr>
        <w:t>)</w:t>
      </w:r>
      <w:r>
        <w:rPr>
          <w:rFonts w:cs="Arial" w:hint="cs"/>
          <w:rtl/>
        </w:rPr>
        <w:t xml:space="preserve">. </w:t>
      </w:r>
      <w:r w:rsidRPr="00E5312A">
        <w:rPr>
          <w:rFonts w:cs="Arial"/>
          <w:rtl/>
        </w:rPr>
        <w:t>גם בט"ז שם כתב חילוק זה</w:t>
      </w:r>
      <w:r>
        <w:rPr>
          <w:rFonts w:cs="Arial" w:hint="cs"/>
          <w:rtl/>
        </w:rPr>
        <w:t>.</w:t>
      </w:r>
      <w:r w:rsidRPr="00E5312A">
        <w:rPr>
          <w:rFonts w:cs="Arial"/>
          <w:rtl/>
        </w:rPr>
        <w:t xml:space="preserve"> מיהו מהרמב"ם והסמ"ג משמע דס"ל כרמב"ן אפילו לענין ממון נאמן אותו פלוני</w:t>
      </w:r>
      <w:r>
        <w:rPr>
          <w:rFonts w:cs="Arial" w:hint="cs"/>
          <w:rtl/>
        </w:rPr>
        <w:t xml:space="preserve">..., ב"ש (סק"ד). </w:t>
      </w:r>
      <w:r>
        <w:rPr>
          <w:rFonts w:cs="Arial"/>
          <w:rtl/>
        </w:rPr>
        <w:t>ועיין בספר דרישת ארי בקונטרס להלכות נדה סי' קפ"ה סק"ב טעם נכון לחילוק זה</w:t>
      </w:r>
      <w:r>
        <w:rPr>
          <w:rFonts w:cs="Arial" w:hint="cs"/>
          <w:rtl/>
        </w:rPr>
        <w:t xml:space="preserve"> של הב"ש, פת"ש (סק"ו).</w:t>
      </w:r>
    </w:p>
  </w:footnote>
  <w:footnote w:id="3114">
    <w:p w14:paraId="484C5694" w14:textId="77777777" w:rsidR="00DF1FC7" w:rsidRDefault="00DF1FC7" w:rsidP="002E5BAD">
      <w:pPr>
        <w:pStyle w:val="a5"/>
      </w:pPr>
      <w:r>
        <w:rPr>
          <w:rStyle w:val="a7"/>
        </w:rPr>
        <w:footnoteRef/>
      </w:r>
      <w:r>
        <w:rPr>
          <w:rtl/>
        </w:rPr>
        <w:t xml:space="preserve"> </w:t>
      </w:r>
      <w:r w:rsidRPr="000753C6">
        <w:rPr>
          <w:rFonts w:cs="Arial"/>
          <w:rtl/>
        </w:rPr>
        <w:t>משמע אף שהוחזקה כפרנית במה שאמרה שפלוני תיקן לה ונודע בעדים שפלוני לא היה בעיר מ"מ יכולה לומר לא האכלתי אותו כי מיד שרצה לאכול הגדתי לו שאינו מתוקן אע</w:t>
      </w:r>
      <w:r>
        <w:rPr>
          <w:rFonts w:cs="Arial" w:hint="cs"/>
          <w:rtl/>
        </w:rPr>
        <w:t>"</w:t>
      </w:r>
      <w:r w:rsidRPr="000753C6">
        <w:rPr>
          <w:rFonts w:cs="Arial"/>
          <w:rtl/>
        </w:rPr>
        <w:t>פ שהוא מכחיש אותה והיא הוחזקה כפרנית בדבר אחד לא הוחזקה בשביל זה כפרנית בכל דבריה</w:t>
      </w:r>
      <w:r>
        <w:rPr>
          <w:rFonts w:cs="Arial" w:hint="cs"/>
          <w:rtl/>
        </w:rPr>
        <w:t>, ח"מ (סק"ג).</w:t>
      </w:r>
    </w:p>
  </w:footnote>
  <w:footnote w:id="3115">
    <w:p w14:paraId="33A259FC" w14:textId="77777777" w:rsidR="00DF1FC7" w:rsidRDefault="00DF1FC7" w:rsidP="002E5BAD">
      <w:pPr>
        <w:pStyle w:val="a5"/>
      </w:pPr>
      <w:r>
        <w:rPr>
          <w:rStyle w:val="a7"/>
        </w:rPr>
        <w:footnoteRef/>
      </w:r>
      <w:r>
        <w:rPr>
          <w:rtl/>
        </w:rPr>
        <w:t xml:space="preserve"> </w:t>
      </w:r>
      <w:r w:rsidRPr="004274B7">
        <w:rPr>
          <w:rFonts w:cs="Arial"/>
          <w:rtl/>
        </w:rPr>
        <w:t>ולפ"ז במשמשתו נדה צ"ל שהיא מודה ונאמנת על עצמה להפסיד ממון כמ"ש הרשב"א דא"ל שיש כאן עידי יחוד והן עידי ביאה דרחוק להפסיד ממון ע"פ עידי יחוד דלמה לא תהי' נאמנת לטעון אף שנתיחדית עמו כשבא לשמש עמי הגדתי לו שטמאה אני אלא צריך לומר במודה או שמצאוה עדים משמשת עמו</w:t>
      </w:r>
      <w:r>
        <w:rPr>
          <w:rFonts w:cs="Arial" w:hint="cs"/>
          <w:rtl/>
        </w:rPr>
        <w:t>..., ח"מ (סק"ד).</w:t>
      </w:r>
      <w:r>
        <w:rPr>
          <w:rFonts w:hint="cs"/>
          <w:rtl/>
        </w:rPr>
        <w:t xml:space="preserve"> </w:t>
      </w:r>
      <w:r w:rsidRPr="001A3E02">
        <w:rPr>
          <w:rFonts w:hint="cs"/>
          <w:color w:val="FF0000"/>
          <w:rtl/>
        </w:rPr>
        <w:t>צל"ע שוב בפת"ש (סק"ז).</w:t>
      </w:r>
    </w:p>
  </w:footnote>
  <w:footnote w:id="3116">
    <w:p w14:paraId="7662F9CD" w14:textId="77777777" w:rsidR="00DF1FC7" w:rsidRDefault="00DF1FC7" w:rsidP="002E5BAD">
      <w:pPr>
        <w:pStyle w:val="a5"/>
        <w:rPr>
          <w:rtl/>
        </w:rPr>
      </w:pPr>
      <w:r>
        <w:rPr>
          <w:rStyle w:val="a7"/>
        </w:rPr>
        <w:footnoteRef/>
      </w:r>
      <w:r>
        <w:rPr>
          <w:rtl/>
        </w:rPr>
        <w:t xml:space="preserve"> </w:t>
      </w:r>
      <w:r>
        <w:rPr>
          <w:rFonts w:cs="Arial"/>
          <w:rtl/>
        </w:rPr>
        <w:t>מיהו י"ל דלא פליגי אהדדי</w:t>
      </w:r>
      <w:r>
        <w:rPr>
          <w:rFonts w:cs="Arial" w:hint="cs"/>
          <w:rtl/>
        </w:rPr>
        <w:t xml:space="preserve"> </w:t>
      </w:r>
      <w:r>
        <w:rPr>
          <w:rFonts w:cs="Arial" w:hint="cs"/>
          <w:sz w:val="16"/>
          <w:szCs w:val="16"/>
          <w:rtl/>
        </w:rPr>
        <w:t>{הפנמ"א ומהר"י הלוי}</w:t>
      </w:r>
      <w:r>
        <w:rPr>
          <w:rFonts w:cs="Arial" w:hint="cs"/>
          <w:rtl/>
        </w:rPr>
        <w:t>,</w:t>
      </w:r>
      <w:r>
        <w:rPr>
          <w:rFonts w:cs="Arial"/>
          <w:rtl/>
        </w:rPr>
        <w:t xml:space="preserve"> דמהר"י הלוי מיירי היכא שיש עדים שעברה כמבואר מדבריו שם להדיא</w:t>
      </w:r>
      <w:r>
        <w:rPr>
          <w:rFonts w:cs="Arial" w:hint="cs"/>
          <w:rtl/>
        </w:rPr>
        <w:t>,</w:t>
      </w:r>
      <w:r>
        <w:rPr>
          <w:rFonts w:cs="Arial"/>
          <w:rtl/>
        </w:rPr>
        <w:t xml:space="preserve"> בזו ס"ל דא"י לטעון שגם הוא עובר אא"כ מביאה גם כן עדים</w:t>
      </w:r>
      <w:r>
        <w:rPr>
          <w:rFonts w:cs="Arial" w:hint="cs"/>
          <w:rtl/>
        </w:rPr>
        <w:t>.</w:t>
      </w:r>
      <w:r>
        <w:rPr>
          <w:rFonts w:cs="Arial"/>
          <w:rtl/>
        </w:rPr>
        <w:t xml:space="preserve"> אבל בת' פמ"א שם דמיירי שלא היו עדים ע"ז ששימשתו נדה רק שהיא הודית בזה אפשר גם מהר"י הלוי מודה שיכולה לטעון תיכף שגם הבעל ידע במגו דלא שמשתי נדה ותוכל להשביעו ע"ז</w:t>
      </w:r>
      <w:r>
        <w:rPr>
          <w:rFonts w:cs="Arial" w:hint="cs"/>
          <w:rtl/>
        </w:rPr>
        <w:t>...</w:t>
      </w:r>
      <w:r>
        <w:rPr>
          <w:rFonts w:cs="Arial"/>
          <w:rtl/>
        </w:rPr>
        <w:t xml:space="preserve"> וצ"ע</w:t>
      </w:r>
      <w:r>
        <w:rPr>
          <w:rFonts w:cs="Arial" w:hint="cs"/>
          <w:rtl/>
        </w:rPr>
        <w:t>.</w:t>
      </w:r>
      <w:r w:rsidRPr="00653ED5">
        <w:rPr>
          <w:rFonts w:cs="Arial"/>
          <w:rtl/>
        </w:rPr>
        <w:t xml:space="preserve"> </w:t>
      </w:r>
      <w:r>
        <w:rPr>
          <w:rFonts w:cs="Arial"/>
          <w:rtl/>
        </w:rPr>
        <w:t xml:space="preserve">שוב ראיתי בתשו' נו"ב </w:t>
      </w:r>
      <w:r>
        <w:rPr>
          <w:rFonts w:cs="Arial" w:hint="cs"/>
          <w:rtl/>
        </w:rPr>
        <w:t>(</w:t>
      </w:r>
      <w:r>
        <w:rPr>
          <w:rFonts w:cs="Arial"/>
          <w:rtl/>
        </w:rPr>
        <w:t>תניינא סי' כו</w:t>
      </w:r>
      <w:r>
        <w:rPr>
          <w:rFonts w:cs="Arial" w:hint="cs"/>
          <w:rtl/>
        </w:rPr>
        <w:t>, מובאת לקמן בסמוך)</w:t>
      </w:r>
      <w:r>
        <w:rPr>
          <w:rFonts w:cs="Arial"/>
          <w:rtl/>
        </w:rPr>
        <w:t xml:space="preserve"> במעשה כעין זה מבואר שם ג"כ חילוק זה</w:t>
      </w:r>
      <w:r>
        <w:rPr>
          <w:rFonts w:hint="cs"/>
          <w:rtl/>
        </w:rPr>
        <w:t>, פת"ש (סק"ג).</w:t>
      </w:r>
    </w:p>
  </w:footnote>
  <w:footnote w:id="3117">
    <w:p w14:paraId="4E1624D5" w14:textId="77777777" w:rsidR="00DF1FC7" w:rsidRDefault="00DF1FC7" w:rsidP="002E5BAD">
      <w:pPr>
        <w:pStyle w:val="a5"/>
      </w:pPr>
      <w:r>
        <w:rPr>
          <w:rStyle w:val="a7"/>
        </w:rPr>
        <w:footnoteRef/>
      </w:r>
      <w:r>
        <w:rPr>
          <w:rtl/>
        </w:rPr>
        <w:t xml:space="preserve"> </w:t>
      </w:r>
      <w:r>
        <w:rPr>
          <w:rFonts w:cs="Arial" w:hint="cs"/>
          <w:rtl/>
        </w:rPr>
        <w:t xml:space="preserve">וז"ל- </w:t>
      </w:r>
      <w:r w:rsidRPr="008522EA">
        <w:rPr>
          <w:rFonts w:cs="Arial"/>
          <w:rtl/>
        </w:rPr>
        <w:t>ע"ד האשה אשר שימשה נדה יותר מחצי שנה ולפי דברי הבעל אמרה לפניו שהיא מעוברת ולפי דברי השכינות שהמה הרגישו כי טומאתה בשוליה אמרה להם שהיא שומרת ימי נדתה וטובלת וכאשר חקרה האשה הממונה על המקוה אם האשה הזאת מעוברת כי זה ששה חדשים שלא ירדה לטהרה נתפרסם הדבר ועמדה האשה בפני הב"ד והודית כי היא החייבת בדבר ובעלה מנוקה מעון כי כיחשה בפניו לומר שהיא מעוברת ויצא משפטה שהבעל יגרשה בלי כתובה ואחר איזה ימים באתה עוד לפני הב"ד וחזרה בה ואמרה כי גם בעלה בזדון עשה וידע כי לא טהור' היא ומה שאמרה בראשונה שהבעל נקי הוא מחמת שהבטיחה שאם תאמר בפני ב"ד להצדיקו לא יגרשנה. אם היא נאמנת בזה. והשיב כי טענת האשה שבעלה ידע מזה היא טענה חלושה וגרוע מאד שאף אי נימא שיצרו תקפו לעבור על איסור כרת אבל לא נחשד גם היותר רשע כל שאינו להכעיס להיות שביק היתירא</w:t>
      </w:r>
      <w:r w:rsidRPr="008522EA">
        <w:rPr>
          <w:rFonts w:cs="Arial" w:hint="cs"/>
          <w:rtl/>
        </w:rPr>
        <w:t>,</w:t>
      </w:r>
      <w:r w:rsidRPr="008522EA">
        <w:rPr>
          <w:rFonts w:cs="Arial"/>
          <w:rtl/>
        </w:rPr>
        <w:t xml:space="preserve"> כי תינח בימי נדתה אבל זו שעשתה כן ששה חדשים למה לא טבלה בימי טהרתה ואטו בשביל מעט פריטי דשכר טבילה עשה איסור חמור כזה. ולומר כי אחרי ששימשו תמיד לא הי' אפשר לה לספור ז"נ דממ"נ אם המה הדיוטו' כו'</w:t>
      </w:r>
      <w:r>
        <w:rPr>
          <w:rFonts w:cs="Arial" w:hint="cs"/>
          <w:rtl/>
        </w:rPr>
        <w:t>.</w:t>
      </w:r>
      <w:r w:rsidRPr="008522EA">
        <w:rPr>
          <w:rFonts w:cs="Arial"/>
          <w:rtl/>
        </w:rPr>
        <w:t xml:space="preserve"> ועוד אמינא (אפי' אם לא הי' נמשך הדבר זמן רב) הא זה פשוט שאם יש עדים על אשה ששימשה בנדתה והיא טוענת תיכף שגם הבעל ידע ודאי דאינה נאמנת דמהיכי תיתי להאמינה</w:t>
      </w:r>
      <w:r>
        <w:rPr>
          <w:rFonts w:cs="Arial" w:hint="cs"/>
          <w:rtl/>
        </w:rPr>
        <w:t>,</w:t>
      </w:r>
      <w:r w:rsidRPr="008522EA">
        <w:rPr>
          <w:rFonts w:cs="Arial"/>
          <w:rtl/>
        </w:rPr>
        <w:t xml:space="preserve"> רק אם אין עדים אלא שהיא מודית ואמרה שהי' בידיעת ורצון בעלה היא נאמנת במגו דלא שמשתי נדה. וזו כיון שכבר הודית ששימשה נדה</w:t>
      </w:r>
      <w:r>
        <w:rPr>
          <w:rFonts w:cs="Arial" w:hint="cs"/>
          <w:rtl/>
        </w:rPr>
        <w:t>,</w:t>
      </w:r>
      <w:r w:rsidRPr="008522EA">
        <w:rPr>
          <w:rFonts w:cs="Arial"/>
          <w:rtl/>
        </w:rPr>
        <w:t xml:space="preserve"> אפי' לא היתה מודה שהבעל לא ידע</w:t>
      </w:r>
      <w:r>
        <w:rPr>
          <w:rFonts w:cs="Arial" w:hint="cs"/>
          <w:rtl/>
        </w:rPr>
        <w:t>,</w:t>
      </w:r>
      <w:r w:rsidRPr="008522EA">
        <w:rPr>
          <w:rFonts w:cs="Arial"/>
          <w:rtl/>
        </w:rPr>
        <w:t xml:space="preserve"> רק שלא היתה אומרת שהבעל ידע</w:t>
      </w:r>
      <w:r>
        <w:rPr>
          <w:rFonts w:cs="Arial" w:hint="cs"/>
          <w:rtl/>
        </w:rPr>
        <w:t>,</w:t>
      </w:r>
      <w:r w:rsidRPr="008522EA">
        <w:rPr>
          <w:rFonts w:cs="Arial"/>
          <w:rtl/>
        </w:rPr>
        <w:t xml:space="preserve"> ודאי ששוב אח"כ לא היתה נאמנת לו</w:t>
      </w:r>
      <w:r>
        <w:rPr>
          <w:rFonts w:cs="Arial" w:hint="cs"/>
          <w:rtl/>
        </w:rPr>
        <w:t>מר</w:t>
      </w:r>
      <w:r w:rsidRPr="008522EA">
        <w:rPr>
          <w:rFonts w:cs="Arial"/>
          <w:rtl/>
        </w:rPr>
        <w:t xml:space="preserve"> שהבעל ידע כיון שכבר פסק המגו שלה</w:t>
      </w:r>
      <w:r>
        <w:rPr>
          <w:rFonts w:cs="Arial" w:hint="cs"/>
          <w:rtl/>
        </w:rPr>
        <w:t>,</w:t>
      </w:r>
      <w:r w:rsidRPr="008522EA">
        <w:rPr>
          <w:rFonts w:cs="Arial"/>
          <w:rtl/>
        </w:rPr>
        <w:t xml:space="preserve"> שכבר הודית</w:t>
      </w:r>
      <w:r>
        <w:rPr>
          <w:rFonts w:cs="Arial" w:hint="cs"/>
          <w:rtl/>
        </w:rPr>
        <w:t>,</w:t>
      </w:r>
      <w:r w:rsidRPr="008522EA">
        <w:rPr>
          <w:rFonts w:cs="Arial"/>
          <w:rtl/>
        </w:rPr>
        <w:t xml:space="preserve"> ומיגו למפרע לא אמרינן (כמ"ש בש"ך ס"ס נ"ו)</w:t>
      </w:r>
      <w:r>
        <w:rPr>
          <w:rFonts w:cs="Arial" w:hint="cs"/>
          <w:rtl/>
        </w:rPr>
        <w:t>,</w:t>
      </w:r>
      <w:r w:rsidRPr="008522EA">
        <w:rPr>
          <w:rFonts w:cs="Arial"/>
          <w:rtl/>
        </w:rPr>
        <w:t xml:space="preserve"> וא"כ מה מועיל אמתלא והלא אין כח באמתל</w:t>
      </w:r>
      <w:r>
        <w:rPr>
          <w:rFonts w:cs="Arial" w:hint="cs"/>
          <w:rtl/>
        </w:rPr>
        <w:t>א</w:t>
      </w:r>
      <w:r w:rsidRPr="008522EA">
        <w:rPr>
          <w:rFonts w:cs="Arial"/>
          <w:rtl/>
        </w:rPr>
        <w:t xml:space="preserve"> אלא לעקור דבריה הראשונים שאמרה שהבעל נקי</w:t>
      </w:r>
      <w:r>
        <w:rPr>
          <w:rFonts w:cs="Arial" w:hint="cs"/>
          <w:rtl/>
        </w:rPr>
        <w:t>.</w:t>
      </w:r>
      <w:r w:rsidRPr="008522EA">
        <w:rPr>
          <w:rFonts w:cs="Arial"/>
          <w:rtl/>
        </w:rPr>
        <w:t xml:space="preserve"> והרי אף אם לא אמרה כלל שהבעל לא ידע ג"כ היתה מפסדת הכתובה</w:t>
      </w:r>
      <w:r>
        <w:rPr>
          <w:rFonts w:cs="Arial" w:hint="cs"/>
          <w:rtl/>
        </w:rPr>
        <w:t>,</w:t>
      </w:r>
      <w:r w:rsidRPr="008522EA">
        <w:rPr>
          <w:rFonts w:cs="Arial"/>
          <w:rtl/>
        </w:rPr>
        <w:t xml:space="preserve"> שהרי לא עקרה באמתלא גוף ההודאה ששימשה נדה</w:t>
      </w:r>
      <w:r>
        <w:rPr>
          <w:rFonts w:cs="Arial" w:hint="cs"/>
          <w:rtl/>
        </w:rPr>
        <w:t>,</w:t>
      </w:r>
      <w:r w:rsidRPr="008522EA">
        <w:rPr>
          <w:rFonts w:cs="Arial"/>
          <w:rtl/>
        </w:rPr>
        <w:t xml:space="preserve"> שגם עתה היא מודית ששימש' נדה. ועוד שהאמתלא גרוע מאד שהרי אם היתה טוענת תיכף שהי' בידיעתו ג"כ לא הי</w:t>
      </w:r>
      <w:r>
        <w:rPr>
          <w:rFonts w:cs="Arial" w:hint="cs"/>
          <w:rtl/>
        </w:rPr>
        <w:t>ה</w:t>
      </w:r>
      <w:r w:rsidRPr="008522EA">
        <w:rPr>
          <w:rFonts w:cs="Arial"/>
          <w:rtl/>
        </w:rPr>
        <w:t xml:space="preserve"> יכול לגרשה בע"כ. ועוד דהלא כ' הח"מ סקכ"ב דאחר שיצאה מב"ד לא מהני אמתלא לכן נראה שאין בדברי הרשע' הזאת ממש</w:t>
      </w:r>
      <w:r>
        <w:rPr>
          <w:rFonts w:cs="Arial" w:hint="cs"/>
          <w:rtl/>
        </w:rPr>
        <w:t>.</w:t>
      </w:r>
    </w:p>
  </w:footnote>
  <w:footnote w:id="3118">
    <w:p w14:paraId="428FE6DB" w14:textId="77777777" w:rsidR="00DF1FC7" w:rsidRDefault="00DF1FC7" w:rsidP="002E5BAD">
      <w:pPr>
        <w:pStyle w:val="a5"/>
      </w:pPr>
      <w:r>
        <w:rPr>
          <w:rStyle w:val="a7"/>
        </w:rPr>
        <w:footnoteRef/>
      </w:r>
      <w:r>
        <w:rPr>
          <w:rtl/>
        </w:rPr>
        <w:t xml:space="preserve"> </w:t>
      </w:r>
      <w:r w:rsidRPr="000070F1">
        <w:rPr>
          <w:rFonts w:cs="Arial"/>
          <w:rtl/>
        </w:rPr>
        <w:t>שראוה לובשת בגדי נדות ולבעלה אמרה טהורה אני ושמשה</w:t>
      </w:r>
      <w:r>
        <w:rPr>
          <w:rFonts w:cs="Arial" w:hint="cs"/>
          <w:rtl/>
        </w:rPr>
        <w:t>, רש"י.</w:t>
      </w:r>
    </w:p>
  </w:footnote>
  <w:footnote w:id="3119">
    <w:p w14:paraId="2598337B" w14:textId="77777777" w:rsidR="00DF1FC7" w:rsidRDefault="00DF1FC7" w:rsidP="002E5BAD">
      <w:pPr>
        <w:pStyle w:val="a5"/>
      </w:pPr>
      <w:r>
        <w:rPr>
          <w:rStyle w:val="a7"/>
        </w:rPr>
        <w:footnoteRef/>
      </w:r>
      <w:r>
        <w:rPr>
          <w:rtl/>
        </w:rPr>
        <w:t xml:space="preserve"> </w:t>
      </w:r>
      <w:r w:rsidRPr="000070F1">
        <w:rPr>
          <w:rFonts w:cs="Arial"/>
          <w:rtl/>
        </w:rPr>
        <w:t>אם התרו בו וכי האי גוונא משכחת לה למתני' דלאחר תשמיש הודיעוהו שכינותיו שהוחזקה נדה</w:t>
      </w:r>
      <w:r>
        <w:rPr>
          <w:rFonts w:cs="Arial" w:hint="cs"/>
          <w:rtl/>
        </w:rPr>
        <w:t>, רש"י.</w:t>
      </w:r>
    </w:p>
  </w:footnote>
  <w:footnote w:id="3120">
    <w:p w14:paraId="5AFBB9F1" w14:textId="77777777" w:rsidR="00DF1FC7" w:rsidRDefault="00DF1FC7" w:rsidP="002E5BAD">
      <w:pPr>
        <w:pStyle w:val="a5"/>
      </w:pPr>
      <w:r>
        <w:rPr>
          <w:rStyle w:val="a7"/>
        </w:rPr>
        <w:footnoteRef/>
      </w:r>
      <w:r>
        <w:rPr>
          <w:rtl/>
        </w:rPr>
        <w:t xml:space="preserve"> </w:t>
      </w:r>
      <w:r w:rsidRPr="00960CA5">
        <w:rPr>
          <w:rFonts w:cs="Arial"/>
          <w:rtl/>
        </w:rPr>
        <w:t>כבר כתבתי דמיירי מסתמא שהיא מודה שבא עליה אף על פי שטוענת עדיין טהורה אני אינה נאמנת במיגו דאי בעי אמרה לא בא עלי נאמינה ג"כ במה שאומרת טהורה אני דהוי כמגו במקום עדים מאחר שהשכינו' מעידות שלבשה בגדי נדותה</w:t>
      </w:r>
      <w:r>
        <w:rPr>
          <w:rFonts w:cs="Arial" w:hint="cs"/>
          <w:rtl/>
        </w:rPr>
        <w:t>, ח"מ (סק"ה).</w:t>
      </w:r>
    </w:p>
  </w:footnote>
  <w:footnote w:id="3121">
    <w:p w14:paraId="06193E9A" w14:textId="77777777" w:rsidR="00DF1FC7" w:rsidRDefault="00DF1FC7" w:rsidP="002E5BAD">
      <w:pPr>
        <w:pStyle w:val="a5"/>
        <w:rPr>
          <w:rtl/>
        </w:rPr>
      </w:pPr>
      <w:r>
        <w:rPr>
          <w:rStyle w:val="a7"/>
        </w:rPr>
        <w:footnoteRef/>
      </w:r>
      <w:r>
        <w:rPr>
          <w:rtl/>
        </w:rPr>
        <w:t xml:space="preserve"> </w:t>
      </w:r>
      <w:r w:rsidRPr="00330812">
        <w:rPr>
          <w:rFonts w:hint="cs"/>
          <w:b/>
          <w:bCs/>
          <w:rtl/>
        </w:rPr>
        <w:t xml:space="preserve">קהלת פרק פסוק </w:t>
      </w:r>
      <w:r w:rsidRPr="00330812">
        <w:rPr>
          <w:rFonts w:cs="Arial"/>
          <w:b/>
          <w:bCs/>
          <w:rtl/>
        </w:rPr>
        <w:t>ה</w:t>
      </w:r>
      <w:r w:rsidRPr="00330812">
        <w:rPr>
          <w:rFonts w:cs="Arial" w:hint="cs"/>
          <w:b/>
          <w:bCs/>
          <w:rtl/>
        </w:rPr>
        <w:t>:</w:t>
      </w:r>
      <w:r w:rsidRPr="00330812">
        <w:rPr>
          <w:rFonts w:cs="Arial"/>
          <w:rtl/>
        </w:rPr>
        <w:t xml:space="preserve"> אַל־תִּתֵּ֤ן אֶת־פִּ֙יךָ֙ לַחֲטִ֣יא אֶת־בְּשָׂרֶ֔ךָ וְאַל־תֹּאמַר֙ לִפְנֵ֣י הַמַּלְאָ֔ךְ כִּ֥י שְׁגָגָ֖ה הִ֑יא לָ֣מָּה יִקְצֹ֤ף הָֽאֱלֹהִים֙ עַל־קוֹלֶ֔ךָ וְחִבֵּ֖ל אֶת־מַעֲשֵׂ֥ה יָדֶֽיךָ:</w:t>
      </w:r>
    </w:p>
  </w:footnote>
  <w:footnote w:id="3122">
    <w:p w14:paraId="11834A94" w14:textId="77777777" w:rsidR="00DF1FC7" w:rsidRPr="00150DB4" w:rsidRDefault="00DF1FC7" w:rsidP="002E5BAD">
      <w:pPr>
        <w:pStyle w:val="a5"/>
      </w:pPr>
      <w:r w:rsidRPr="00150DB4">
        <w:rPr>
          <w:rStyle w:val="a7"/>
        </w:rPr>
        <w:footnoteRef/>
      </w:r>
      <w:r w:rsidRPr="00150DB4">
        <w:rPr>
          <w:rtl/>
        </w:rPr>
        <w:t xml:space="preserve"> </w:t>
      </w:r>
      <w:r w:rsidRPr="00150DB4">
        <w:rPr>
          <w:rFonts w:cs="Arial" w:hint="cs"/>
          <w:rtl/>
        </w:rPr>
        <w:t>המרדכי כתב כן מיד לאחר דברי מהר"ם הנ"ל</w:t>
      </w:r>
      <w:r>
        <w:rPr>
          <w:rFonts w:cs="Arial" w:hint="cs"/>
          <w:rtl/>
        </w:rPr>
        <w:t>.</w:t>
      </w:r>
      <w:r w:rsidRPr="00150DB4">
        <w:rPr>
          <w:rFonts w:cs="Arial" w:hint="cs"/>
          <w:rtl/>
        </w:rPr>
        <w:t xml:space="preserve"> והב"י שלח לעיין בדברי המרדכי, ואולי התכוון ל</w:t>
      </w:r>
      <w:r>
        <w:rPr>
          <w:rFonts w:cs="Arial" w:hint="cs"/>
          <w:rtl/>
        </w:rPr>
        <w:t>דבריו אלו</w:t>
      </w:r>
      <w:r w:rsidRPr="00150DB4">
        <w:rPr>
          <w:rFonts w:cs="Arial" w:hint="cs"/>
          <w:rtl/>
        </w:rPr>
        <w:t>.</w:t>
      </w:r>
    </w:p>
  </w:footnote>
  <w:footnote w:id="3123">
    <w:p w14:paraId="74D0BED1" w14:textId="77777777" w:rsidR="00DF1FC7" w:rsidRDefault="00DF1FC7" w:rsidP="002E5BAD">
      <w:pPr>
        <w:pStyle w:val="a5"/>
      </w:pPr>
      <w:r>
        <w:rPr>
          <w:rStyle w:val="a7"/>
        </w:rPr>
        <w:footnoteRef/>
      </w:r>
      <w:r>
        <w:rPr>
          <w:rtl/>
        </w:rPr>
        <w:t xml:space="preserve"> </w:t>
      </w:r>
      <w:r>
        <w:rPr>
          <w:rFonts w:cs="Arial"/>
          <w:rtl/>
        </w:rPr>
        <w:t xml:space="preserve">וצ"ל דהב"ש העתיק זה </w:t>
      </w:r>
      <w:r>
        <w:rPr>
          <w:rFonts w:cs="Arial" w:hint="cs"/>
          <w:sz w:val="16"/>
          <w:szCs w:val="16"/>
          <w:rtl/>
        </w:rPr>
        <w:t xml:space="preserve">{הא דאמר תרוה"ד דבזה"ז צריך דקדוק כיון שפרוצים בזה} </w:t>
      </w:r>
      <w:r>
        <w:rPr>
          <w:rFonts w:cs="Arial"/>
          <w:rtl/>
        </w:rPr>
        <w:t>דנ"מ היכא דידוע דאכשור דרי (ועיין בתשו' חתם סופר אה"ע ח"ב סי' קע"א)</w:t>
      </w:r>
      <w:r>
        <w:rPr>
          <w:rFonts w:cs="Arial" w:hint="cs"/>
          <w:rtl/>
        </w:rPr>
        <w:t>, פת"ש (סק"ב).</w:t>
      </w:r>
    </w:p>
  </w:footnote>
  <w:footnote w:id="3124">
    <w:p w14:paraId="07355AD4" w14:textId="77777777" w:rsidR="00DF1FC7" w:rsidRDefault="00DF1FC7" w:rsidP="002E5BAD">
      <w:pPr>
        <w:pStyle w:val="a5"/>
      </w:pPr>
      <w:r>
        <w:rPr>
          <w:rStyle w:val="a7"/>
        </w:rPr>
        <w:footnoteRef/>
      </w:r>
      <w:r>
        <w:rPr>
          <w:rtl/>
        </w:rPr>
        <w:t xml:space="preserve"> </w:t>
      </w:r>
      <w:r w:rsidRPr="00CB6CFD">
        <w:rPr>
          <w:rFonts w:cs="Arial"/>
          <w:rtl/>
        </w:rPr>
        <w:t>ותשובה זו כתבוה הגהות מיימון (ד' קושטא) בפי"ח מהלכות איסורי ביאה (ה"ב)</w:t>
      </w:r>
      <w:r>
        <w:rPr>
          <w:rFonts w:cs="Arial" w:hint="cs"/>
          <w:rtl/>
        </w:rPr>
        <w:t xml:space="preserve">, ב"י. </w:t>
      </w:r>
      <w:r w:rsidRPr="00CE169D">
        <w:rPr>
          <w:rFonts w:cs="Arial" w:hint="cs"/>
          <w:color w:val="FF0000"/>
          <w:rtl/>
        </w:rPr>
        <w:t>צל"ע דלא מצאתיה שם</w:t>
      </w:r>
      <w:r>
        <w:rPr>
          <w:rFonts w:cs="Arial" w:hint="cs"/>
          <w:rtl/>
        </w:rPr>
        <w:t>.</w:t>
      </w:r>
    </w:p>
  </w:footnote>
  <w:footnote w:id="3125">
    <w:p w14:paraId="24EA3715" w14:textId="77777777" w:rsidR="00DF1FC7" w:rsidRDefault="00DF1FC7" w:rsidP="002E5BAD">
      <w:pPr>
        <w:pStyle w:val="a5"/>
      </w:pPr>
      <w:r>
        <w:rPr>
          <w:rStyle w:val="a7"/>
        </w:rPr>
        <w:footnoteRef/>
      </w:r>
      <w:r>
        <w:rPr>
          <w:rtl/>
        </w:rPr>
        <w:t xml:space="preserve"> </w:t>
      </w:r>
      <w:r w:rsidRPr="00DF736F">
        <w:rPr>
          <w:rFonts w:cs="Arial"/>
          <w:rtl/>
        </w:rPr>
        <w:t>דהא ההוא גברא לא בעי בנים</w:t>
      </w:r>
      <w:r>
        <w:rPr>
          <w:rFonts w:cs="Arial" w:hint="cs"/>
          <w:rtl/>
        </w:rPr>
        <w:t>.</w:t>
      </w:r>
      <w:r w:rsidRPr="00DF736F">
        <w:rPr>
          <w:rFonts w:cs="Arial"/>
          <w:rtl/>
        </w:rPr>
        <w:t xml:space="preserve"> ואפשר דה"ה אם הוא עובר שאר עבירות שהעונש עליהם שבנים מתים כדאיתא בגמרא גם כן אין יכול להוציאה מטעם הנ"ל דהא הוא אינו מקפיד בעונש מיתת הבנים</w:t>
      </w:r>
      <w:r>
        <w:rPr>
          <w:rFonts w:cs="Arial" w:hint="cs"/>
          <w:rtl/>
        </w:rPr>
        <w:t>, ח"מ (סק"ז). והעתיק הב"ש (סק"ז) דבריו.</w:t>
      </w:r>
    </w:p>
  </w:footnote>
  <w:footnote w:id="3126">
    <w:p w14:paraId="484FDFB8" w14:textId="77777777" w:rsidR="00DF1FC7" w:rsidRPr="00CA7843" w:rsidRDefault="00DF1FC7" w:rsidP="002E5BAD">
      <w:pPr>
        <w:pStyle w:val="a5"/>
        <w:rPr>
          <w:rFonts w:cs="Arial"/>
        </w:rPr>
      </w:pPr>
      <w:r>
        <w:rPr>
          <w:rStyle w:val="a7"/>
        </w:rPr>
        <w:footnoteRef/>
      </w:r>
      <w:r>
        <w:rPr>
          <w:rtl/>
        </w:rPr>
        <w:t xml:space="preserve"> </w:t>
      </w:r>
      <w:r w:rsidRPr="00861032">
        <w:rPr>
          <w:rFonts w:cs="Arial"/>
          <w:rtl/>
        </w:rPr>
        <w:t>בתשובת הרא"ש מבואר שהמירה באונס</w:t>
      </w:r>
      <w:r>
        <w:rPr>
          <w:rFonts w:cs="Arial" w:hint="cs"/>
          <w:rtl/>
        </w:rPr>
        <w:t>...</w:t>
      </w:r>
      <w:r w:rsidRPr="00861032">
        <w:rPr>
          <w:rFonts w:cs="Arial"/>
          <w:rtl/>
        </w:rPr>
        <w:t xml:space="preserve"> </w:t>
      </w:r>
      <w:r w:rsidRPr="00CA7843">
        <w:rPr>
          <w:rFonts w:cs="Arial"/>
          <w:rtl/>
        </w:rPr>
        <w:t>אבל אם המירה ברצון תליא בפלוגת</w:t>
      </w:r>
      <w:r>
        <w:rPr>
          <w:rFonts w:cs="Arial" w:hint="cs"/>
          <w:rtl/>
        </w:rPr>
        <w:t>א</w:t>
      </w:r>
      <w:r w:rsidRPr="00CA7843">
        <w:rPr>
          <w:rFonts w:cs="Arial"/>
          <w:rtl/>
        </w:rPr>
        <w:t xml:space="preserve"> שהבי</w:t>
      </w:r>
      <w:r>
        <w:rPr>
          <w:rFonts w:cs="Arial" w:hint="cs"/>
          <w:rtl/>
        </w:rPr>
        <w:t>א</w:t>
      </w:r>
      <w:r w:rsidRPr="00CA7843">
        <w:rPr>
          <w:rFonts w:cs="Arial"/>
          <w:rtl/>
        </w:rPr>
        <w:t xml:space="preserve"> בסי' ז</w:t>
      </w:r>
      <w:r>
        <w:rPr>
          <w:rFonts w:cs="Arial" w:hint="cs"/>
          <w:rtl/>
        </w:rPr>
        <w:t>.</w:t>
      </w:r>
      <w:r w:rsidRPr="00CA7843">
        <w:rPr>
          <w:rFonts w:cs="Arial"/>
          <w:rtl/>
        </w:rPr>
        <w:t xml:space="preserve"> ולהני פוסקים דס"ל דאסורה על בעלה משום </w:t>
      </w:r>
      <w:r>
        <w:rPr>
          <w:rFonts w:cs="Arial" w:hint="cs"/>
          <w:rtl/>
        </w:rPr>
        <w:t>ש</w:t>
      </w:r>
      <w:r w:rsidRPr="00CA7843">
        <w:rPr>
          <w:rFonts w:cs="Arial"/>
          <w:rtl/>
        </w:rPr>
        <w:t xml:space="preserve">דינה כזינתה </w:t>
      </w:r>
      <w:r>
        <w:rPr>
          <w:rFonts w:cs="Arial" w:hint="cs"/>
          <w:rtl/>
        </w:rPr>
        <w:t xml:space="preserve">- </w:t>
      </w:r>
      <w:r w:rsidRPr="00CA7843">
        <w:rPr>
          <w:rFonts w:cs="Arial"/>
          <w:rtl/>
        </w:rPr>
        <w:t>אז א"צ התראה</w:t>
      </w:r>
      <w:r>
        <w:rPr>
          <w:rFonts w:cs="Arial" w:hint="cs"/>
          <w:rtl/>
        </w:rPr>
        <w:t>,</w:t>
      </w:r>
      <w:r w:rsidRPr="00CA7843">
        <w:rPr>
          <w:rFonts w:cs="Arial"/>
          <w:rtl/>
        </w:rPr>
        <w:t xml:space="preserve"> כמ"ש ברמב"ם </w:t>
      </w:r>
      <w:r>
        <w:rPr>
          <w:rFonts w:cs="Arial" w:hint="cs"/>
          <w:rtl/>
        </w:rPr>
        <w:t>ד</w:t>
      </w:r>
      <w:r w:rsidRPr="00CA7843">
        <w:rPr>
          <w:rFonts w:cs="Arial"/>
          <w:rtl/>
        </w:rPr>
        <w:t>אפילו בעידי כיעור א"צ התראה</w:t>
      </w:r>
      <w:r>
        <w:rPr>
          <w:rFonts w:cs="Arial" w:hint="cs"/>
          <w:rtl/>
        </w:rPr>
        <w:t>.</w:t>
      </w:r>
      <w:r w:rsidRPr="00CA7843">
        <w:rPr>
          <w:rFonts w:cs="Arial"/>
          <w:rtl/>
        </w:rPr>
        <w:t xml:space="preserve"> והרב רמ"א לטעמיה אזיל שהבי' שם סי' ז' דעת המקילין </w:t>
      </w:r>
      <w:r>
        <w:rPr>
          <w:rFonts w:cs="Arial" w:hint="cs"/>
          <w:rtl/>
        </w:rPr>
        <w:t>ד</w:t>
      </w:r>
      <w:r w:rsidRPr="00CA7843">
        <w:rPr>
          <w:rFonts w:cs="Arial"/>
          <w:rtl/>
        </w:rPr>
        <w:t>אפי</w:t>
      </w:r>
      <w:r>
        <w:rPr>
          <w:rFonts w:cs="Arial" w:hint="cs"/>
          <w:rtl/>
        </w:rPr>
        <w:t>לו</w:t>
      </w:r>
      <w:r w:rsidRPr="00CA7843">
        <w:rPr>
          <w:rFonts w:cs="Arial"/>
          <w:rtl/>
        </w:rPr>
        <w:t xml:space="preserve"> אם המיר</w:t>
      </w:r>
      <w:r>
        <w:rPr>
          <w:rFonts w:cs="Arial" w:hint="cs"/>
          <w:rtl/>
        </w:rPr>
        <w:t>ה</w:t>
      </w:r>
      <w:r w:rsidRPr="00CA7843">
        <w:rPr>
          <w:rFonts w:cs="Arial"/>
          <w:rtl/>
        </w:rPr>
        <w:t xml:space="preserve"> מרצון לא אמרי</w:t>
      </w:r>
      <w:r>
        <w:rPr>
          <w:rFonts w:cs="Arial" w:hint="cs"/>
          <w:rtl/>
        </w:rPr>
        <w:t>נן</w:t>
      </w:r>
      <w:r w:rsidRPr="00CA7843">
        <w:rPr>
          <w:rFonts w:cs="Arial"/>
          <w:rtl/>
        </w:rPr>
        <w:t xml:space="preserve"> שזנתה</w:t>
      </w:r>
      <w:r>
        <w:rPr>
          <w:rFonts w:cs="Arial" w:hint="cs"/>
          <w:rtl/>
        </w:rPr>
        <w:t>,</w:t>
      </w:r>
      <w:r w:rsidRPr="00CA7843">
        <w:rPr>
          <w:rFonts w:cs="Arial"/>
          <w:rtl/>
        </w:rPr>
        <w:t xml:space="preserve"> א"כ אפי' לענין עוברת ע</w:t>
      </w:r>
      <w:r>
        <w:rPr>
          <w:rFonts w:cs="Arial" w:hint="cs"/>
          <w:rtl/>
        </w:rPr>
        <w:t>ל דת משה</w:t>
      </w:r>
      <w:r w:rsidRPr="00CA7843">
        <w:rPr>
          <w:rFonts w:cs="Arial"/>
          <w:rtl/>
        </w:rPr>
        <w:t xml:space="preserve"> שוה המירה ברצון להמיר</w:t>
      </w:r>
      <w:r>
        <w:rPr>
          <w:rFonts w:cs="Arial" w:hint="cs"/>
          <w:rtl/>
        </w:rPr>
        <w:t>ה</w:t>
      </w:r>
      <w:r w:rsidRPr="00CA7843">
        <w:rPr>
          <w:rFonts w:cs="Arial"/>
          <w:rtl/>
        </w:rPr>
        <w:t xml:space="preserve"> באונס כל שאינ' חשש זנות</w:t>
      </w:r>
      <w:r>
        <w:rPr>
          <w:rFonts w:cs="Arial" w:hint="cs"/>
          <w:rtl/>
        </w:rPr>
        <w:t>.</w:t>
      </w:r>
      <w:r w:rsidRPr="00CA7843">
        <w:rPr>
          <w:rFonts w:cs="Arial"/>
          <w:rtl/>
        </w:rPr>
        <w:t xml:space="preserve"> מיהו נראה עיקר אם המירה ברצון אסור</w:t>
      </w:r>
      <w:r>
        <w:rPr>
          <w:rFonts w:cs="Arial" w:hint="cs"/>
          <w:rtl/>
        </w:rPr>
        <w:t>ה</w:t>
      </w:r>
      <w:r w:rsidRPr="00CA7843">
        <w:rPr>
          <w:rFonts w:cs="Arial"/>
          <w:rtl/>
        </w:rPr>
        <w:t xml:space="preserve"> לבעל</w:t>
      </w:r>
      <w:r>
        <w:rPr>
          <w:rFonts w:cs="Arial" w:hint="cs"/>
          <w:rtl/>
        </w:rPr>
        <w:t>ה</w:t>
      </w:r>
      <w:r w:rsidRPr="00CA7843">
        <w:rPr>
          <w:rFonts w:cs="Arial"/>
          <w:rtl/>
        </w:rPr>
        <w:t xml:space="preserve"> </w:t>
      </w:r>
      <w:r w:rsidRPr="00CA7843">
        <w:rPr>
          <w:rFonts w:cs="Arial" w:hint="cs"/>
          <w:sz w:val="16"/>
          <w:szCs w:val="16"/>
          <w:rtl/>
        </w:rPr>
        <w:t>(</w:t>
      </w:r>
      <w:r w:rsidRPr="00CA7843">
        <w:rPr>
          <w:rFonts w:cs="Arial"/>
          <w:sz w:val="16"/>
          <w:szCs w:val="16"/>
          <w:rtl/>
        </w:rPr>
        <w:t>דהא הרא"ש משאנ"ץ ס"ל כן כמ"ש בתשו' מהרי"ק סוף שורש ק"ס והג"מ ות"ה סי' רמ"א וכן משמע בתשו' הרא"ש</w:t>
      </w:r>
      <w:r>
        <w:rPr>
          <w:rFonts w:cs="Arial" w:hint="cs"/>
          <w:sz w:val="16"/>
          <w:szCs w:val="16"/>
          <w:rtl/>
        </w:rPr>
        <w:t>...)</w:t>
      </w:r>
      <w:r>
        <w:rPr>
          <w:rFonts w:cs="Arial" w:hint="cs"/>
          <w:rtl/>
        </w:rPr>
        <w:t>, ב"ש (סק"ח). וכן הסכים הח"מ (סק"ח) דכל</w:t>
      </w:r>
      <w:r w:rsidRPr="00861032">
        <w:rPr>
          <w:rFonts w:cs="Arial"/>
          <w:rtl/>
        </w:rPr>
        <w:t xml:space="preserve"> שהמירה ברצון נאסרה על בעלה והוי כזינתה ודאי ומפסדת כתובתה ואין צריכה התראה</w:t>
      </w:r>
      <w:r>
        <w:rPr>
          <w:rFonts w:cs="Arial" w:hint="cs"/>
          <w:rtl/>
        </w:rPr>
        <w:t>,</w:t>
      </w:r>
      <w:r w:rsidRPr="00861032">
        <w:rPr>
          <w:rFonts w:cs="Arial"/>
          <w:rtl/>
        </w:rPr>
        <w:t xml:space="preserve"> ועיין בת"ה סי' רמ"ב ועיין מ"ש לעיל סי' ז'</w:t>
      </w:r>
      <w:r>
        <w:rPr>
          <w:rFonts w:cs="Arial" w:hint="cs"/>
          <w:rtl/>
        </w:rPr>
        <w:t>.</w:t>
      </w:r>
      <w:r w:rsidRPr="00861032">
        <w:rPr>
          <w:rFonts w:cs="Arial"/>
          <w:rtl/>
        </w:rPr>
        <w:t xml:space="preserve"> </w:t>
      </w:r>
    </w:p>
  </w:footnote>
  <w:footnote w:id="3127">
    <w:p w14:paraId="3B466D6F" w14:textId="77777777" w:rsidR="00DF1FC7" w:rsidRDefault="00DF1FC7" w:rsidP="002E5BAD">
      <w:pPr>
        <w:pStyle w:val="a5"/>
      </w:pPr>
      <w:r>
        <w:rPr>
          <w:rStyle w:val="a7"/>
        </w:rPr>
        <w:footnoteRef/>
      </w:r>
      <w:r>
        <w:rPr>
          <w:rtl/>
        </w:rPr>
        <w:t xml:space="preserve"> </w:t>
      </w:r>
      <w:r w:rsidRPr="000070F1">
        <w:rPr>
          <w:rFonts w:cs="Arial"/>
          <w:rtl/>
        </w:rPr>
        <w:t>דת יהודית - שנהגו בנות ישראל ואף על גב דלא כתיבא</w:t>
      </w:r>
      <w:r>
        <w:rPr>
          <w:rFonts w:cs="Arial" w:hint="cs"/>
          <w:rtl/>
        </w:rPr>
        <w:t>, רש"י.</w:t>
      </w:r>
    </w:p>
  </w:footnote>
  <w:footnote w:id="3128">
    <w:p w14:paraId="17E12221" w14:textId="77777777" w:rsidR="00DF1FC7" w:rsidRDefault="00DF1FC7" w:rsidP="002E5BAD">
      <w:pPr>
        <w:pStyle w:val="a5"/>
        <w:rPr>
          <w:rtl/>
        </w:rPr>
      </w:pPr>
      <w:r>
        <w:rPr>
          <w:rStyle w:val="a7"/>
        </w:rPr>
        <w:footnoteRef/>
      </w:r>
      <w:r>
        <w:rPr>
          <w:rtl/>
        </w:rPr>
        <w:t xml:space="preserve"> </w:t>
      </w:r>
      <w:r w:rsidRPr="00E55557">
        <w:rPr>
          <w:rFonts w:cs="Arial"/>
          <w:rtl/>
        </w:rPr>
        <w:t>סל שיש לו מלמטה בית קבול להולמו בראשו ובית קיבול מלמעלה לתת בו פלך ופשתן</w:t>
      </w:r>
      <w:r>
        <w:rPr>
          <w:rFonts w:hint="cs"/>
          <w:rtl/>
        </w:rPr>
        <w:t>, רש"י. היינו שחלק מראשה מכוסה וחלק פרוע. וכ"כ הטור</w:t>
      </w:r>
      <w:r w:rsidRPr="00C2283D">
        <w:rPr>
          <w:rFonts w:cs="Arial"/>
          <w:rtl/>
        </w:rPr>
        <w:t xml:space="preserve"> </w:t>
      </w:r>
      <w:r w:rsidRPr="00C2283D">
        <w:rPr>
          <w:rFonts w:cs="Arial" w:hint="cs"/>
          <w:sz w:val="16"/>
          <w:szCs w:val="16"/>
          <w:rtl/>
        </w:rPr>
        <w:t xml:space="preserve">(וז"ל- </w:t>
      </w:r>
      <w:r w:rsidRPr="00C2283D">
        <w:rPr>
          <w:rFonts w:cs="Arial"/>
          <w:sz w:val="16"/>
          <w:szCs w:val="16"/>
          <w:rtl/>
        </w:rPr>
        <w:t>אפי</w:t>
      </w:r>
      <w:r w:rsidRPr="00C2283D">
        <w:rPr>
          <w:rFonts w:cs="Arial" w:hint="cs"/>
          <w:sz w:val="16"/>
          <w:szCs w:val="16"/>
          <w:rtl/>
        </w:rPr>
        <w:t>לו</w:t>
      </w:r>
      <w:r w:rsidRPr="00C2283D">
        <w:rPr>
          <w:rFonts w:cs="Arial"/>
          <w:sz w:val="16"/>
          <w:szCs w:val="16"/>
          <w:rtl/>
        </w:rPr>
        <w:t xml:space="preserve"> אין פרוע לגמרי אלא קלתה בראשה</w:t>
      </w:r>
      <w:r w:rsidRPr="00C2283D">
        <w:rPr>
          <w:rFonts w:cs="Arial" w:hint="cs"/>
          <w:sz w:val="16"/>
          <w:szCs w:val="16"/>
          <w:rtl/>
        </w:rPr>
        <w:t>,</w:t>
      </w:r>
      <w:r w:rsidRPr="00C2283D">
        <w:rPr>
          <w:rFonts w:cs="Arial"/>
          <w:sz w:val="16"/>
          <w:szCs w:val="16"/>
          <w:rtl/>
        </w:rPr>
        <w:t xml:space="preserve"> כיון שאינה מכוסה בצעיף</w:t>
      </w:r>
      <w:r w:rsidRPr="00C2283D">
        <w:rPr>
          <w:rFonts w:cs="Arial" w:hint="cs"/>
          <w:sz w:val="16"/>
          <w:szCs w:val="16"/>
          <w:rtl/>
        </w:rPr>
        <w:t xml:space="preserve"> </w:t>
      </w:r>
      <w:r w:rsidRPr="00C2283D">
        <w:rPr>
          <w:rFonts w:cs="Arial"/>
          <w:sz w:val="16"/>
          <w:szCs w:val="16"/>
          <w:rtl/>
        </w:rPr>
        <w:t>– תצא</w:t>
      </w:r>
      <w:r w:rsidRPr="00C2283D">
        <w:rPr>
          <w:rFonts w:cs="Arial" w:hint="cs"/>
          <w:sz w:val="16"/>
          <w:szCs w:val="16"/>
          <w:rtl/>
        </w:rPr>
        <w:t>)</w:t>
      </w:r>
      <w:r>
        <w:rPr>
          <w:rFonts w:hint="cs"/>
          <w:rtl/>
        </w:rPr>
        <w:t xml:space="preserve">. אך הרמב"ם </w:t>
      </w:r>
      <w:r w:rsidRPr="00C2283D">
        <w:rPr>
          <w:rFonts w:hint="cs"/>
          <w:sz w:val="16"/>
          <w:szCs w:val="16"/>
          <w:rtl/>
        </w:rPr>
        <w:t>(פכ"ד מאישות הי"ב, הביאו הטור)</w:t>
      </w:r>
      <w:r>
        <w:rPr>
          <w:rFonts w:hint="cs"/>
          <w:rtl/>
        </w:rPr>
        <w:t xml:space="preserve"> פירש דהיינו </w:t>
      </w:r>
      <w:r w:rsidRPr="00465DF1">
        <w:rPr>
          <w:rFonts w:cs="Arial"/>
          <w:rtl/>
        </w:rPr>
        <w:t>ששערה מכוסה במטפחת</w:t>
      </w:r>
      <w:r>
        <w:rPr>
          <w:rFonts w:cs="Arial" w:hint="cs"/>
          <w:rtl/>
        </w:rPr>
        <w:t xml:space="preserve"> אבל לא הוסיפה על המטפחת רדיד.</w:t>
      </w:r>
      <w:r w:rsidRPr="00C847DB">
        <w:rPr>
          <w:rFonts w:cs="Arial" w:hint="cs"/>
          <w:color w:val="E36C0A" w:themeColor="accent6" w:themeShade="BF"/>
          <w:rtl/>
        </w:rPr>
        <w:t xml:space="preserve"> וכ"פ בשו"ע</w:t>
      </w:r>
      <w:r>
        <w:rPr>
          <w:rFonts w:cs="Arial" w:hint="cs"/>
          <w:rtl/>
        </w:rPr>
        <w:t>.</w:t>
      </w:r>
      <w:r>
        <w:rPr>
          <w:rFonts w:hint="cs"/>
          <w:rtl/>
        </w:rPr>
        <w:t xml:space="preserve"> ולפירוש הרמב"ם, יש לומר דמטפחת - היינו כיסוי בסיסי שהיו מכסות בו את ראשון גם בבית </w:t>
      </w:r>
      <w:r w:rsidRPr="00C2283D">
        <w:rPr>
          <w:rFonts w:hint="cs"/>
          <w:sz w:val="16"/>
          <w:szCs w:val="16"/>
          <w:rtl/>
        </w:rPr>
        <w:t>(נקרא גם קופח)</w:t>
      </w:r>
      <w:r>
        <w:rPr>
          <w:rFonts w:hint="cs"/>
          <w:rtl/>
        </w:rPr>
        <w:t xml:space="preserve">. ורדיד </w:t>
      </w:r>
      <w:r>
        <w:rPr>
          <w:rtl/>
        </w:rPr>
        <w:t>–</w:t>
      </w:r>
      <w:r>
        <w:rPr>
          <w:rFonts w:hint="cs"/>
          <w:rtl/>
        </w:rPr>
        <w:t xml:space="preserve"> היינו כיסוי ראש נוסף שהיו נוהגות לצאת איתו לחוץ. ויש מקומות שהרדיד כיסה גם את חמוקי גופה של האשה שלא יבלטו</w:t>
      </w:r>
      <w:r>
        <w:rPr>
          <w:rFonts w:hint="cs"/>
          <w:sz w:val="16"/>
          <w:szCs w:val="16"/>
          <w:rtl/>
        </w:rPr>
        <w:t xml:space="preserve"> (ע"פ פירוש מקבילי לרמב"ם שם)</w:t>
      </w:r>
      <w:r>
        <w:rPr>
          <w:rFonts w:hint="cs"/>
          <w:rtl/>
        </w:rPr>
        <w:t>.</w:t>
      </w:r>
    </w:p>
  </w:footnote>
  <w:footnote w:id="3129">
    <w:p w14:paraId="32E7078F" w14:textId="77777777" w:rsidR="00DF1FC7" w:rsidRDefault="00DF1FC7" w:rsidP="002E5BAD">
      <w:pPr>
        <w:pStyle w:val="a5"/>
        <w:rPr>
          <w:rtl/>
        </w:rPr>
      </w:pPr>
      <w:r>
        <w:rPr>
          <w:rStyle w:val="a7"/>
        </w:rPr>
        <w:footnoteRef/>
      </w:r>
      <w:r>
        <w:rPr>
          <w:rtl/>
        </w:rPr>
        <w:t xml:space="preserve"> </w:t>
      </w:r>
      <w:r w:rsidRPr="00C847DB">
        <w:rPr>
          <w:rFonts w:cs="Arial"/>
          <w:rtl/>
        </w:rPr>
        <w:t>דבחצר יש בה משום פריעה</w:t>
      </w:r>
      <w:r>
        <w:rPr>
          <w:rFonts w:hint="cs"/>
          <w:rtl/>
        </w:rPr>
        <w:t>, רש"י.</w:t>
      </w:r>
    </w:p>
  </w:footnote>
  <w:footnote w:id="3130">
    <w:p w14:paraId="6419BBEF" w14:textId="77777777" w:rsidR="00DF1FC7" w:rsidRDefault="00DF1FC7" w:rsidP="002E5BAD">
      <w:pPr>
        <w:pStyle w:val="a5"/>
      </w:pPr>
      <w:r>
        <w:rPr>
          <w:rStyle w:val="a7"/>
        </w:rPr>
        <w:footnoteRef/>
      </w:r>
      <w:r>
        <w:rPr>
          <w:rtl/>
        </w:rPr>
        <w:t xml:space="preserve"> </w:t>
      </w:r>
      <w:r w:rsidRPr="00C847DB">
        <w:rPr>
          <w:rFonts w:cs="Arial"/>
          <w:rtl/>
        </w:rPr>
        <w:t>דלא שכיחי רבים</w:t>
      </w:r>
      <w:r>
        <w:rPr>
          <w:rFonts w:cs="Arial" w:hint="cs"/>
          <w:rtl/>
        </w:rPr>
        <w:t>, רש"י.</w:t>
      </w:r>
    </w:p>
  </w:footnote>
  <w:footnote w:id="3131">
    <w:p w14:paraId="4A4BA880" w14:textId="77777777" w:rsidR="00DF1FC7" w:rsidRDefault="00DF1FC7" w:rsidP="002E5BAD">
      <w:pPr>
        <w:pStyle w:val="a5"/>
      </w:pPr>
      <w:r>
        <w:rPr>
          <w:rStyle w:val="a7"/>
        </w:rPr>
        <w:footnoteRef/>
      </w:r>
      <w:r>
        <w:rPr>
          <w:rtl/>
        </w:rPr>
        <w:t xml:space="preserve"> </w:t>
      </w:r>
      <w:r w:rsidRPr="003F7E14">
        <w:rPr>
          <w:rFonts w:cs="Arial"/>
          <w:rtl/>
        </w:rPr>
        <w:t>טווה בכפה על ירכה וחוט מתרדד כנגד פניה של מטה</w:t>
      </w:r>
      <w:r>
        <w:rPr>
          <w:rFonts w:cs="Arial" w:hint="cs"/>
          <w:rtl/>
        </w:rPr>
        <w:t>,</w:t>
      </w:r>
      <w:r w:rsidRPr="003F7E14">
        <w:rPr>
          <w:rFonts w:cs="Arial"/>
          <w:rtl/>
        </w:rPr>
        <w:t xml:space="preserve"> </w:t>
      </w:r>
      <w:r w:rsidRPr="009F080D">
        <w:rPr>
          <w:rFonts w:cs="Arial"/>
          <w:rtl/>
        </w:rPr>
        <w:t>רש"י</w:t>
      </w:r>
      <w:r>
        <w:rPr>
          <w:rFonts w:cs="Arial" w:hint="cs"/>
          <w:rtl/>
        </w:rPr>
        <w:t xml:space="preserve"> </w:t>
      </w:r>
      <w:r w:rsidRPr="000066EF">
        <w:rPr>
          <w:rFonts w:cs="Arial" w:hint="cs"/>
          <w:sz w:val="16"/>
          <w:szCs w:val="16"/>
          <w:rtl/>
        </w:rPr>
        <w:t xml:space="preserve">(רד </w:t>
      </w:r>
      <w:r w:rsidRPr="000066EF">
        <w:rPr>
          <w:rFonts w:cs="Arial"/>
          <w:sz w:val="16"/>
          <w:szCs w:val="16"/>
          <w:rtl/>
        </w:rPr>
        <w:t>–</w:t>
      </w:r>
      <w:r w:rsidRPr="000066EF">
        <w:rPr>
          <w:rFonts w:cs="Arial" w:hint="cs"/>
          <w:sz w:val="16"/>
          <w:szCs w:val="16"/>
          <w:rtl/>
        </w:rPr>
        <w:t xml:space="preserve"> פירושו יורד. ויש שגרסו בגמ' 'ויורד', ומתאים לפרש"י)</w:t>
      </w:r>
      <w:r>
        <w:rPr>
          <w:rFonts w:cs="Arial" w:hint="cs"/>
          <w:rtl/>
        </w:rPr>
        <w:t xml:space="preserve">. אך </w:t>
      </w:r>
      <w:r w:rsidRPr="009F080D">
        <w:rPr>
          <w:rFonts w:cs="Arial"/>
          <w:rtl/>
        </w:rPr>
        <w:t>הרמב"ם</w:t>
      </w:r>
      <w:r>
        <w:rPr>
          <w:rFonts w:cs="Arial" w:hint="cs"/>
          <w:rtl/>
        </w:rPr>
        <w:t xml:space="preserve"> (שם) פירש </w:t>
      </w:r>
      <w:r w:rsidRPr="003F7E14">
        <w:rPr>
          <w:rFonts w:cs="Arial"/>
          <w:rtl/>
        </w:rPr>
        <w:t>שהיתה טווה בשוק וורד וכיוצא בו כנגד פניה על פדחתה או על לחיה כדרך שעושות הגויות הפרוצות</w:t>
      </w:r>
      <w:r>
        <w:rPr>
          <w:rFonts w:cs="Arial" w:hint="cs"/>
          <w:rtl/>
        </w:rPr>
        <w:t>.</w:t>
      </w:r>
      <w:r w:rsidRPr="003F7E14">
        <w:rPr>
          <w:rFonts w:cs="Arial"/>
          <w:rtl/>
        </w:rPr>
        <w:t xml:space="preserve"> </w:t>
      </w:r>
      <w:r w:rsidRPr="000066EF">
        <w:rPr>
          <w:rFonts w:cs="Arial" w:hint="cs"/>
          <w:sz w:val="16"/>
          <w:szCs w:val="16"/>
          <w:rtl/>
        </w:rPr>
        <w:t>(וכנראה גרס בגמרא 'וורד')</w:t>
      </w:r>
      <w:r>
        <w:rPr>
          <w:rFonts w:cs="Arial" w:hint="cs"/>
          <w:rtl/>
        </w:rPr>
        <w:t>.</w:t>
      </w:r>
      <w:r>
        <w:rPr>
          <w:rFonts w:hint="cs"/>
          <w:rtl/>
        </w:rPr>
        <w:t xml:space="preserve"> ו</w:t>
      </w:r>
      <w:r w:rsidRPr="009D739A">
        <w:rPr>
          <w:rFonts w:cs="Arial"/>
          <w:rtl/>
        </w:rPr>
        <w:t>ר"ח פי</w:t>
      </w:r>
      <w:r>
        <w:rPr>
          <w:rFonts w:cs="Arial" w:hint="cs"/>
          <w:rtl/>
        </w:rPr>
        <w:t>רש</w:t>
      </w:r>
      <w:r w:rsidRPr="009D739A">
        <w:rPr>
          <w:rFonts w:cs="Arial"/>
          <w:rtl/>
        </w:rPr>
        <w:t xml:space="preserve"> </w:t>
      </w:r>
      <w:r w:rsidRPr="009D739A">
        <w:rPr>
          <w:rFonts w:cs="Arial" w:hint="cs"/>
          <w:sz w:val="16"/>
          <w:szCs w:val="16"/>
          <w:rtl/>
        </w:rPr>
        <w:t xml:space="preserve">(בתוס' שם ד"ה בטווה) </w:t>
      </w:r>
      <w:r>
        <w:rPr>
          <w:rFonts w:cs="Arial" w:hint="cs"/>
          <w:rtl/>
        </w:rPr>
        <w:t>'</w:t>
      </w:r>
      <w:r w:rsidRPr="009D739A">
        <w:rPr>
          <w:rFonts w:cs="Arial"/>
          <w:rtl/>
        </w:rPr>
        <w:t>טווה ורד</w:t>
      </w:r>
      <w:r>
        <w:rPr>
          <w:rFonts w:cs="Arial" w:hint="cs"/>
          <w:rtl/>
        </w:rPr>
        <w:t>'</w:t>
      </w:r>
      <w:r w:rsidRPr="009D739A">
        <w:rPr>
          <w:rFonts w:cs="Arial"/>
          <w:rtl/>
        </w:rPr>
        <w:t xml:space="preserve"> </w:t>
      </w:r>
      <w:r>
        <w:rPr>
          <w:rFonts w:cs="Arial" w:hint="cs"/>
          <w:rtl/>
        </w:rPr>
        <w:t xml:space="preserve">- </w:t>
      </w:r>
      <w:r w:rsidRPr="009D739A">
        <w:rPr>
          <w:rFonts w:cs="Arial"/>
          <w:rtl/>
        </w:rPr>
        <w:t>צמר אדום היא טווה</w:t>
      </w:r>
      <w:r>
        <w:rPr>
          <w:rFonts w:cs="Arial" w:hint="cs"/>
          <w:rtl/>
        </w:rPr>
        <w:t>,</w:t>
      </w:r>
      <w:r w:rsidRPr="009D739A">
        <w:rPr>
          <w:rFonts w:cs="Arial"/>
          <w:rtl/>
        </w:rPr>
        <w:t xml:space="preserve"> שיפול על פניה מזהרוריתו וזהו עזות מצח ופריצות.</w:t>
      </w:r>
      <w:r>
        <w:rPr>
          <w:rFonts w:hint="cs"/>
          <w:rtl/>
        </w:rPr>
        <w:t xml:space="preserve"> עכ"ל. וכתב הח"מ (סק"י) </w:t>
      </w:r>
      <w:r>
        <w:rPr>
          <w:rFonts w:cs="Arial" w:hint="cs"/>
          <w:rtl/>
        </w:rPr>
        <w:t>ש</w:t>
      </w:r>
      <w:r w:rsidRPr="005853A7">
        <w:rPr>
          <w:rFonts w:cs="Arial"/>
          <w:rtl/>
        </w:rPr>
        <w:t>כולן עולין להלכה שכל שהוא עזות היא עובר' על דת יהודית</w:t>
      </w:r>
      <w:r>
        <w:rPr>
          <w:rFonts w:cs="Arial" w:hint="cs"/>
          <w:rtl/>
        </w:rPr>
        <w:t>.</w:t>
      </w:r>
    </w:p>
  </w:footnote>
  <w:footnote w:id="3132">
    <w:p w14:paraId="538C06D2" w14:textId="77777777" w:rsidR="00DF1FC7" w:rsidRDefault="00DF1FC7" w:rsidP="002E5BAD">
      <w:pPr>
        <w:pStyle w:val="a5"/>
      </w:pPr>
      <w:r>
        <w:rPr>
          <w:rStyle w:val="a7"/>
        </w:rPr>
        <w:footnoteRef/>
      </w:r>
      <w:r>
        <w:rPr>
          <w:rtl/>
        </w:rPr>
        <w:t xml:space="preserve"> </w:t>
      </w:r>
      <w:r>
        <w:rPr>
          <w:rFonts w:cs="Arial"/>
          <w:rtl/>
        </w:rPr>
        <w:t xml:space="preserve">ופירש רש"י </w:t>
      </w:r>
      <w:r w:rsidRPr="00FD5C15">
        <w:rPr>
          <w:rFonts w:cs="Arial" w:hint="cs"/>
          <w:sz w:val="16"/>
          <w:szCs w:val="16"/>
          <w:rtl/>
        </w:rPr>
        <w:t xml:space="preserve">(ד"ה וסימניך, וד"ה אפרים) </w:t>
      </w:r>
      <w:r>
        <w:rPr>
          <w:rFonts w:cs="Arial"/>
          <w:rtl/>
        </w:rPr>
        <w:t xml:space="preserve">כלומר </w:t>
      </w:r>
      <w:r>
        <w:rPr>
          <w:rFonts w:cs="Arial" w:hint="cs"/>
          <w:rtl/>
        </w:rPr>
        <w:t>'</w:t>
      </w:r>
      <w:r>
        <w:rPr>
          <w:rFonts w:cs="Arial"/>
          <w:rtl/>
        </w:rPr>
        <w:t>בפניו</w:t>
      </w:r>
      <w:r>
        <w:rPr>
          <w:rFonts w:cs="Arial" w:hint="cs"/>
          <w:rtl/>
        </w:rPr>
        <w:t>'</w:t>
      </w:r>
      <w:r>
        <w:rPr>
          <w:rFonts w:cs="Arial"/>
          <w:rtl/>
        </w:rPr>
        <w:t xml:space="preserve"> דמתניתין</w:t>
      </w:r>
      <w:r>
        <w:rPr>
          <w:rFonts w:cs="Arial" w:hint="cs"/>
          <w:rtl/>
        </w:rPr>
        <w:t>,</w:t>
      </w:r>
      <w:r>
        <w:rPr>
          <w:rFonts w:cs="Arial"/>
          <w:rtl/>
        </w:rPr>
        <w:t xml:space="preserve"> לא תימא לפניו ממש</w:t>
      </w:r>
      <w:r>
        <w:rPr>
          <w:rFonts w:cs="Arial" w:hint="cs"/>
          <w:rtl/>
        </w:rPr>
        <w:t>,</w:t>
      </w:r>
      <w:r>
        <w:rPr>
          <w:rFonts w:cs="Arial"/>
          <w:rtl/>
        </w:rPr>
        <w:t xml:space="preserve"> אלא אפילו מקללת אביו בפני בנו של בעל</w:t>
      </w:r>
      <w:r>
        <w:rPr>
          <w:rFonts w:cs="Arial" w:hint="cs"/>
          <w:sz w:val="16"/>
          <w:szCs w:val="16"/>
          <w:rtl/>
        </w:rPr>
        <w:t xml:space="preserve"> {וכ"כ התוס' [שם ד"ה יולידיו] והטור. ולפי פירוש זה הוא הדין במקללת חמיה בפני חמיה עצמו, כ"כ הב"ש [סקט"ו] והגר"א [סקי"ד]}</w:t>
      </w:r>
      <w:r>
        <w:rPr>
          <w:rFonts w:cs="Arial" w:hint="cs"/>
          <w:rtl/>
        </w:rPr>
        <w:t xml:space="preserve">. </w:t>
      </w:r>
      <w:r w:rsidRPr="00E43F63">
        <w:rPr>
          <w:rFonts w:hint="cs"/>
          <w:color w:val="00B0F0"/>
          <w:rtl/>
        </w:rPr>
        <w:t>(וכ"פ הרמ"א)</w:t>
      </w:r>
      <w:r w:rsidRPr="0020236E">
        <w:rPr>
          <w:rFonts w:cs="Arial" w:hint="cs"/>
          <w:sz w:val="16"/>
          <w:szCs w:val="16"/>
          <w:rtl/>
        </w:rPr>
        <w:t xml:space="preserve"> </w:t>
      </w:r>
      <w:r>
        <w:rPr>
          <w:rFonts w:cs="Arial" w:hint="cs"/>
          <w:sz w:val="16"/>
          <w:szCs w:val="16"/>
          <w:rtl/>
        </w:rPr>
        <w:t>{אך הח"מ [סקט"ו] חולק על הבנתם בדברי רש"י והתוס'}</w:t>
      </w:r>
      <w:r>
        <w:rPr>
          <w:rFonts w:cs="Arial" w:hint="cs"/>
          <w:rtl/>
        </w:rPr>
        <w:t>.</w:t>
      </w:r>
      <w:r>
        <w:rPr>
          <w:rFonts w:cs="Arial"/>
          <w:rtl/>
        </w:rPr>
        <w:t xml:space="preserve"> והרמב"ם </w:t>
      </w:r>
      <w:r>
        <w:rPr>
          <w:rFonts w:cs="Arial" w:hint="cs"/>
          <w:rtl/>
        </w:rPr>
        <w:t>ב</w:t>
      </w:r>
      <w:r>
        <w:rPr>
          <w:rFonts w:cs="Arial"/>
          <w:rtl/>
        </w:rPr>
        <w:t xml:space="preserve">פכ"ד </w:t>
      </w:r>
      <w:r>
        <w:rPr>
          <w:rFonts w:cs="Arial" w:hint="cs"/>
          <w:rtl/>
        </w:rPr>
        <w:t>(</w:t>
      </w:r>
      <w:r>
        <w:rPr>
          <w:rFonts w:cs="Arial"/>
          <w:rtl/>
        </w:rPr>
        <w:t>שם) לא כתב אלא מקללת אבי בעלה בפני בעלה</w:t>
      </w:r>
      <w:r>
        <w:rPr>
          <w:rFonts w:cs="Arial" w:hint="cs"/>
          <w:rtl/>
        </w:rPr>
        <w:t>.</w:t>
      </w:r>
      <w:r>
        <w:rPr>
          <w:rFonts w:cs="Arial"/>
          <w:rtl/>
        </w:rPr>
        <w:t xml:space="preserve"> ולפי דבריו אתא שמואל לאשמועינן דלא תימא דבפניו דמתניתין היינו בפני יולדיו עצמן</w:t>
      </w:r>
      <w:r>
        <w:rPr>
          <w:rFonts w:cs="Arial" w:hint="cs"/>
          <w:rtl/>
        </w:rPr>
        <w:t>,</w:t>
      </w:r>
      <w:r>
        <w:rPr>
          <w:rFonts w:cs="Arial"/>
          <w:rtl/>
        </w:rPr>
        <w:t xml:space="preserve"> כלומר שמקללת חמיה בפניו ממש</w:t>
      </w:r>
      <w:r>
        <w:rPr>
          <w:rFonts w:cs="Arial" w:hint="cs"/>
          <w:rtl/>
        </w:rPr>
        <w:t>,</w:t>
      </w:r>
      <w:r>
        <w:rPr>
          <w:rFonts w:cs="Arial"/>
          <w:rtl/>
        </w:rPr>
        <w:t xml:space="preserve"> אלא בפניו דבעל קאמר</w:t>
      </w:r>
      <w:r>
        <w:rPr>
          <w:rFonts w:cs="Arial" w:hint="cs"/>
          <w:rtl/>
        </w:rPr>
        <w:t>,</w:t>
      </w:r>
      <w:r>
        <w:rPr>
          <w:rFonts w:cs="Arial"/>
          <w:rtl/>
        </w:rPr>
        <w:t xml:space="preserve"> ומשום הכי תצא</w:t>
      </w:r>
      <w:r>
        <w:rPr>
          <w:rFonts w:cs="Arial" w:hint="cs"/>
          <w:rtl/>
        </w:rPr>
        <w:t>.</w:t>
      </w:r>
      <w:r>
        <w:rPr>
          <w:rFonts w:cs="Arial"/>
          <w:rtl/>
        </w:rPr>
        <w:t xml:space="preserve"> אבל שלא בפני הבעל</w:t>
      </w:r>
      <w:r>
        <w:rPr>
          <w:rFonts w:cs="Arial" w:hint="cs"/>
          <w:rtl/>
        </w:rPr>
        <w:t>,</w:t>
      </w:r>
      <w:r>
        <w:rPr>
          <w:rFonts w:cs="Arial"/>
          <w:rtl/>
        </w:rPr>
        <w:t xml:space="preserve"> אע</w:t>
      </w:r>
      <w:r>
        <w:rPr>
          <w:rFonts w:cs="Arial" w:hint="cs"/>
          <w:rtl/>
        </w:rPr>
        <w:t>"</w:t>
      </w:r>
      <w:r>
        <w:rPr>
          <w:rFonts w:cs="Arial"/>
          <w:rtl/>
        </w:rPr>
        <w:t>פ שהוא בפני חמיה עצמו לא</w:t>
      </w:r>
      <w:r>
        <w:rPr>
          <w:rFonts w:cs="Arial" w:hint="cs"/>
          <w:rtl/>
        </w:rPr>
        <w:t>, ב"י.</w:t>
      </w:r>
      <w:r>
        <w:rPr>
          <w:rFonts w:hint="cs"/>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footnote>
  <w:footnote w:id="3133">
    <w:p w14:paraId="3DEE9BB4" w14:textId="77777777" w:rsidR="00DF1FC7" w:rsidRDefault="00DF1FC7" w:rsidP="002E5BAD">
      <w:pPr>
        <w:pStyle w:val="a5"/>
      </w:pPr>
      <w:r>
        <w:rPr>
          <w:rStyle w:val="a7"/>
        </w:rPr>
        <w:footnoteRef/>
      </w:r>
      <w:r>
        <w:rPr>
          <w:rtl/>
        </w:rPr>
        <w:t xml:space="preserve"> </w:t>
      </w:r>
      <w:r>
        <w:rPr>
          <w:rFonts w:cs="Arial"/>
          <w:rtl/>
        </w:rPr>
        <w:t>ופירשו הרי"ף (לג.) והרא"ש (סי' ט) כגון דתבעה ליה בפה בקול רם</w:t>
      </w:r>
      <w:r>
        <w:rPr>
          <w:rFonts w:cs="Arial" w:hint="cs"/>
          <w:rtl/>
        </w:rPr>
        <w:t>.</w:t>
      </w:r>
      <w:r>
        <w:rPr>
          <w:rFonts w:cs="Arial"/>
          <w:rtl/>
        </w:rPr>
        <w:t xml:space="preserve"> וכ"כ הרמב"ם בפכ"ד (הי"ב)</w:t>
      </w:r>
      <w:r>
        <w:rPr>
          <w:rFonts w:cs="Arial" w:hint="cs"/>
          <w:rtl/>
        </w:rPr>
        <w:t>.</w:t>
      </w:r>
      <w:r w:rsidRPr="002C71B8">
        <w:rPr>
          <w:rFonts w:cs="Arial" w:hint="cs"/>
          <w:color w:val="E36C0A" w:themeColor="accent6" w:themeShade="BF"/>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r>
        <w:rPr>
          <w:rFonts w:cs="Arial" w:hint="cs"/>
          <w:rtl/>
        </w:rPr>
        <w:t>.</w:t>
      </w:r>
      <w:r>
        <w:rPr>
          <w:rFonts w:cs="Arial"/>
          <w:rtl/>
        </w:rPr>
        <w:t xml:space="preserve"> ורש"י (ד"ה על) פירש כשמדבר עמה על עסקי עונה מריבה עמו ומשמעת לשכניו והוא בוש בדבר. ורבינו כתב כדברי שניהם סתם</w:t>
      </w:r>
      <w:r>
        <w:rPr>
          <w:rFonts w:cs="Arial" w:hint="cs"/>
          <w:rtl/>
        </w:rPr>
        <w:t>,</w:t>
      </w:r>
      <w:r>
        <w:rPr>
          <w:rFonts w:cs="Arial"/>
          <w:rtl/>
        </w:rPr>
        <w:t xml:space="preserve"> משום דמשמע ליה דלענין דינא בכל חד מהני גווני</w:t>
      </w:r>
      <w:r>
        <w:rPr>
          <w:rFonts w:cs="Arial" w:hint="cs"/>
          <w:rtl/>
        </w:rPr>
        <w:t>,</w:t>
      </w:r>
      <w:r>
        <w:rPr>
          <w:rFonts w:cs="Arial"/>
          <w:rtl/>
        </w:rPr>
        <w:t xml:space="preserve"> הויא עוברת על דת יהודית לדברי הכל</w:t>
      </w:r>
      <w:r>
        <w:rPr>
          <w:rFonts w:cs="Arial" w:hint="cs"/>
          <w:rtl/>
        </w:rPr>
        <w:t>.</w:t>
      </w:r>
      <w:r>
        <w:rPr>
          <w:rFonts w:cs="Arial"/>
          <w:rtl/>
        </w:rPr>
        <w:t xml:space="preserve"> ומר אמר חדא ומר אמר חדא ולא פליגי</w:t>
      </w:r>
      <w:r>
        <w:rPr>
          <w:rFonts w:cs="Arial" w:hint="cs"/>
          <w:rtl/>
        </w:rPr>
        <w:t>, ב"י.</w:t>
      </w:r>
      <w:r>
        <w:rPr>
          <w:rFonts w:hint="cs"/>
          <w:rtl/>
        </w:rPr>
        <w:t xml:space="preserve"> ופסק הח"מ (סקי"ג) </w:t>
      </w:r>
      <w:r>
        <w:rPr>
          <w:rFonts w:cs="Arial" w:hint="cs"/>
          <w:rtl/>
        </w:rPr>
        <w:t>ש</w:t>
      </w:r>
      <w:r w:rsidRPr="0020236E">
        <w:rPr>
          <w:rFonts w:cs="Arial"/>
          <w:rtl/>
        </w:rPr>
        <w:t>שני הפירושים עולים להלכה דהכל בכלל קולני</w:t>
      </w:r>
      <w:r>
        <w:rPr>
          <w:rFonts w:cs="Arial" w:hint="cs"/>
          <w:rtl/>
        </w:rPr>
        <w:t>ת</w:t>
      </w:r>
      <w:r w:rsidRPr="0020236E">
        <w:rPr>
          <w:rFonts w:cs="Arial"/>
          <w:rtl/>
        </w:rPr>
        <w:t xml:space="preserve"> שאמרו שם בגמר</w:t>
      </w:r>
      <w:r>
        <w:rPr>
          <w:rFonts w:cs="Arial" w:hint="cs"/>
          <w:rtl/>
        </w:rPr>
        <w:t>א</w:t>
      </w:r>
      <w:r w:rsidRPr="0020236E">
        <w:rPr>
          <w:rFonts w:cs="Arial"/>
          <w:rtl/>
        </w:rPr>
        <w:t xml:space="preserve"> ואין זה דת יהודי</w:t>
      </w:r>
      <w:r>
        <w:rPr>
          <w:rFonts w:cs="Arial" w:hint="cs"/>
          <w:rtl/>
        </w:rPr>
        <w:t>ת.</w:t>
      </w:r>
    </w:p>
  </w:footnote>
  <w:footnote w:id="3134">
    <w:p w14:paraId="05D81412" w14:textId="77777777" w:rsidR="00DF1FC7" w:rsidRPr="00BC622F" w:rsidRDefault="00DF1FC7" w:rsidP="002E5BAD">
      <w:pPr>
        <w:pStyle w:val="a5"/>
        <w:rPr>
          <w:color w:val="000000" w:themeColor="text1"/>
        </w:rPr>
      </w:pPr>
      <w:r>
        <w:rPr>
          <w:rStyle w:val="a7"/>
        </w:rPr>
        <w:footnoteRef/>
      </w:r>
      <w:r>
        <w:rPr>
          <w:rtl/>
        </w:rPr>
        <w:t xml:space="preserve"> </w:t>
      </w:r>
      <w:r>
        <w:rPr>
          <w:rFonts w:cs="Arial"/>
          <w:rtl/>
        </w:rPr>
        <w:t>ופי' הר"ן (לב: ד"ה דאורייתא) אהא דאמרינן אם כן לא הנחת בת לאברהם אבינו כלומר אם כן דאמר רבי יוחנן דקלתה אין בו משום פריעת הראש</w:t>
      </w:r>
      <w:r>
        <w:rPr>
          <w:rFonts w:cs="Arial" w:hint="cs"/>
          <w:rtl/>
        </w:rPr>
        <w:t>,</w:t>
      </w:r>
      <w:r>
        <w:rPr>
          <w:rFonts w:cs="Arial"/>
          <w:rtl/>
        </w:rPr>
        <w:t xml:space="preserve"> משמע דבלא קלתה מיהא יש בה משום פריעת הראש</w:t>
      </w:r>
      <w:r>
        <w:rPr>
          <w:rFonts w:cs="Arial" w:hint="cs"/>
          <w:rtl/>
        </w:rPr>
        <w:t>,</w:t>
      </w:r>
      <w:r>
        <w:rPr>
          <w:rFonts w:cs="Arial"/>
          <w:rtl/>
        </w:rPr>
        <w:t xml:space="preserve"> ואם כן </w:t>
      </w:r>
      <w:r>
        <w:rPr>
          <w:rFonts w:cs="Arial" w:hint="cs"/>
          <w:rtl/>
        </w:rPr>
        <w:t xml:space="preserve">- </w:t>
      </w:r>
      <w:r>
        <w:rPr>
          <w:rFonts w:cs="Arial"/>
          <w:rtl/>
        </w:rPr>
        <w:t>כולהי נפקן</w:t>
      </w:r>
      <w:r>
        <w:rPr>
          <w:rFonts w:cs="Arial" w:hint="cs"/>
          <w:rtl/>
        </w:rPr>
        <w:t>,</w:t>
      </w:r>
      <w:r>
        <w:rPr>
          <w:rFonts w:cs="Arial"/>
          <w:rtl/>
        </w:rPr>
        <w:t xml:space="preserve"> שאין אשה נזהרת בחצרה</w:t>
      </w:r>
      <w:r>
        <w:rPr>
          <w:rFonts w:cs="Arial" w:hint="cs"/>
          <w:rtl/>
        </w:rPr>
        <w:t>.</w:t>
      </w:r>
      <w:r>
        <w:rPr>
          <w:rFonts w:cs="Arial"/>
          <w:rtl/>
        </w:rPr>
        <w:t xml:space="preserve"> ומשנינן מחצר לחצר ודרך מבוי דלא שכיחי בה רבים עכ"ל</w:t>
      </w:r>
      <w:r>
        <w:rPr>
          <w:rFonts w:cs="Arial" w:hint="cs"/>
          <w:rtl/>
        </w:rPr>
        <w:t>.</w:t>
      </w:r>
      <w:r>
        <w:rPr>
          <w:rFonts w:cs="Arial"/>
          <w:rtl/>
        </w:rPr>
        <w:t xml:space="preserve"> נראה מדבריו בהדיא שיוצאה לחצר פרועת הראש ממש לית לן בה</w:t>
      </w:r>
      <w:r>
        <w:rPr>
          <w:rFonts w:cs="Arial" w:hint="cs"/>
          <w:rtl/>
        </w:rPr>
        <w:t>.</w:t>
      </w:r>
      <w:r>
        <w:rPr>
          <w:rFonts w:cs="Arial"/>
          <w:rtl/>
        </w:rPr>
        <w:t xml:space="preserve"> וכן נראה מדברי רש"י </w:t>
      </w:r>
      <w:r w:rsidRPr="00F84984">
        <w:rPr>
          <w:rFonts w:cs="Arial"/>
          <w:sz w:val="16"/>
          <w:szCs w:val="16"/>
          <w:rtl/>
        </w:rPr>
        <w:t>(עב: ד"ה א"כ</w:t>
      </w:r>
      <w:r>
        <w:rPr>
          <w:rFonts w:cs="Arial" w:hint="cs"/>
          <w:sz w:val="16"/>
          <w:szCs w:val="16"/>
          <w:rtl/>
        </w:rPr>
        <w:t>, וכן פירש הריטב"א [עב:] את דברי רש"י</w:t>
      </w:r>
      <w:r w:rsidRPr="00F84984">
        <w:rPr>
          <w:rFonts w:cs="Arial"/>
          <w:sz w:val="16"/>
          <w:szCs w:val="16"/>
          <w:rtl/>
        </w:rPr>
        <w:t>)</w:t>
      </w:r>
      <w:r>
        <w:rPr>
          <w:rFonts w:cs="Arial" w:hint="cs"/>
          <w:rtl/>
        </w:rPr>
        <w:t>.</w:t>
      </w:r>
      <w:r>
        <w:rPr>
          <w:rFonts w:cs="Arial"/>
          <w:rtl/>
        </w:rPr>
        <w:t xml:space="preserve"> ויש לתמוה על רבינו שכתב </w:t>
      </w:r>
      <w:r>
        <w:rPr>
          <w:rFonts w:cs="Arial" w:hint="cs"/>
          <w:rtl/>
        </w:rPr>
        <w:t>'</w:t>
      </w:r>
      <w:r>
        <w:rPr>
          <w:rFonts w:cs="Arial"/>
          <w:rtl/>
        </w:rPr>
        <w:t>אבל במבוי שאינו מפולש וחצר שאין הרבים בוקעין בו לא תצא</w:t>
      </w:r>
      <w:r>
        <w:rPr>
          <w:rFonts w:cs="Arial" w:hint="cs"/>
          <w:rtl/>
        </w:rPr>
        <w:t>'</w:t>
      </w:r>
      <w:r>
        <w:rPr>
          <w:rFonts w:cs="Arial"/>
          <w:rtl/>
        </w:rPr>
        <w:t xml:space="preserve"> דמשמע לא תצא מבעלה ע"י כך אע"פ שהוא דבר שאינו הגון</w:t>
      </w:r>
      <w:r>
        <w:rPr>
          <w:rFonts w:cs="Arial" w:hint="cs"/>
          <w:rtl/>
        </w:rPr>
        <w:t xml:space="preserve"> -</w:t>
      </w:r>
      <w:r>
        <w:rPr>
          <w:rFonts w:cs="Arial"/>
          <w:rtl/>
        </w:rPr>
        <w:t xml:space="preserve"> והא בחצר אפילו פרועת הראש ממש לית לן בה</w:t>
      </w:r>
      <w:r>
        <w:rPr>
          <w:rFonts w:cs="Arial" w:hint="cs"/>
          <w:rtl/>
        </w:rPr>
        <w:t>!</w:t>
      </w:r>
      <w:r>
        <w:rPr>
          <w:rFonts w:cs="Arial"/>
          <w:rtl/>
        </w:rPr>
        <w:t xml:space="preserve"> ובמבוי שאינו מפולש נמי בקלתה מיהא לית לן בה</w:t>
      </w:r>
      <w:r>
        <w:rPr>
          <w:rFonts w:cs="Arial" w:hint="cs"/>
          <w:rtl/>
        </w:rPr>
        <w:t>, ב"י.</w:t>
      </w:r>
      <w:r w:rsidRPr="00026E9E">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sz w:val="16"/>
          <w:szCs w:val="16"/>
          <w:rtl/>
        </w:rPr>
        <w:t xml:space="preserve"> </w:t>
      </w:r>
      <w:r w:rsidRPr="000E0B7F">
        <w:rPr>
          <w:rFonts w:cs="Arial" w:hint="cs"/>
          <w:color w:val="000000" w:themeColor="text1"/>
          <w:sz w:val="16"/>
          <w:szCs w:val="16"/>
          <w:rtl/>
        </w:rPr>
        <w:t>[כאן ובסי' כא ס"ב]</w:t>
      </w:r>
      <w:r>
        <w:rPr>
          <w:rFonts w:cs="Arial" w:hint="cs"/>
          <w:color w:val="E36C0A" w:themeColor="accent6" w:themeShade="BF"/>
          <w:rtl/>
        </w:rPr>
        <w:t>)</w:t>
      </w:r>
      <w:r>
        <w:rPr>
          <w:rFonts w:cs="Arial" w:hint="cs"/>
          <w:rtl/>
        </w:rPr>
        <w:t xml:space="preserve"> וכ"כ התוס' </w:t>
      </w:r>
      <w:r w:rsidRPr="000A7218">
        <w:rPr>
          <w:rFonts w:cs="Arial" w:hint="cs"/>
          <w:sz w:val="16"/>
          <w:szCs w:val="16"/>
          <w:rtl/>
        </w:rPr>
        <w:t>(עב: ד"ה ואלא בחצר, וצל"ע מדוע הב"י לא הביאו)</w:t>
      </w:r>
      <w:r>
        <w:rPr>
          <w:rFonts w:cs="Arial" w:hint="cs"/>
          <w:rtl/>
        </w:rPr>
        <w:t xml:space="preserve"> דבחצר אפילו בלא קלתה נמי אין בה משום פריעת ראש. וכתב הדרכ"מ </w:t>
      </w:r>
      <w:r w:rsidRPr="00F84984">
        <w:rPr>
          <w:rFonts w:cs="Arial"/>
          <w:sz w:val="16"/>
          <w:szCs w:val="16"/>
          <w:rtl/>
        </w:rPr>
        <w:t>(</w:t>
      </w:r>
      <w:r w:rsidRPr="00F84984">
        <w:rPr>
          <w:rFonts w:cs="Arial" w:hint="cs"/>
          <w:sz w:val="16"/>
          <w:szCs w:val="16"/>
          <w:rtl/>
        </w:rPr>
        <w:t xml:space="preserve">אות </w:t>
      </w:r>
      <w:r w:rsidRPr="00F84984">
        <w:rPr>
          <w:rFonts w:cs="Arial"/>
          <w:sz w:val="16"/>
          <w:szCs w:val="16"/>
          <w:rtl/>
        </w:rPr>
        <w:t>ד)</w:t>
      </w:r>
      <w:r>
        <w:rPr>
          <w:rFonts w:cs="Arial" w:hint="cs"/>
          <w:rtl/>
        </w:rPr>
        <w:t xml:space="preserve">- </w:t>
      </w:r>
      <w:r w:rsidRPr="00026E9E">
        <w:rPr>
          <w:rFonts w:cs="Arial"/>
          <w:rtl/>
        </w:rPr>
        <w:t>ולי נראה דודאי אף רבינו בעל הטור מודה לדבר זה, וכ"כ לעיל סימן כ"א דאין איסור ללכת בפריעת ראש אלא דוקא בשוק</w:t>
      </w:r>
      <w:r>
        <w:rPr>
          <w:rFonts w:cs="Arial" w:hint="cs"/>
          <w:rtl/>
        </w:rPr>
        <w:t>.</w:t>
      </w:r>
      <w:r w:rsidRPr="00026E9E">
        <w:rPr>
          <w:rFonts w:cs="Arial"/>
          <w:rtl/>
        </w:rPr>
        <w:t xml:space="preserve"> ולא נקט כאן </w:t>
      </w:r>
      <w:r>
        <w:rPr>
          <w:rFonts w:cs="Arial" w:hint="cs"/>
          <w:rtl/>
        </w:rPr>
        <w:t>'</w:t>
      </w:r>
      <w:r w:rsidRPr="00026E9E">
        <w:rPr>
          <w:rFonts w:cs="Arial"/>
          <w:rtl/>
        </w:rPr>
        <w:t>לא תצא</w:t>
      </w:r>
      <w:r>
        <w:rPr>
          <w:rFonts w:cs="Arial" w:hint="cs"/>
          <w:rtl/>
        </w:rPr>
        <w:t>'</w:t>
      </w:r>
      <w:r w:rsidRPr="00026E9E">
        <w:rPr>
          <w:rFonts w:cs="Arial"/>
          <w:rtl/>
        </w:rPr>
        <w:t xml:space="preserve"> אלא למידק מינה דצניעות מיהא הוי ששום אשה לא תראה שערה כלל אפילו בבית</w:t>
      </w:r>
      <w:r>
        <w:rPr>
          <w:rFonts w:cs="Arial" w:hint="cs"/>
          <w:rtl/>
        </w:rPr>
        <w:t>.</w:t>
      </w:r>
      <w:r w:rsidRPr="00026E9E">
        <w:rPr>
          <w:rFonts w:cs="Arial"/>
          <w:rtl/>
        </w:rPr>
        <w:t xml:space="preserve"> וכמו שמצינו במעשה דקמחית </w:t>
      </w:r>
      <w:r w:rsidRPr="00F84984">
        <w:rPr>
          <w:rFonts w:cs="Arial"/>
          <w:sz w:val="16"/>
          <w:szCs w:val="16"/>
          <w:rtl/>
        </w:rPr>
        <w:t>(יומא מז</w:t>
      </w:r>
      <w:r w:rsidRPr="00F84984">
        <w:rPr>
          <w:rFonts w:cs="Arial" w:hint="cs"/>
          <w:sz w:val="16"/>
          <w:szCs w:val="16"/>
          <w:rtl/>
        </w:rPr>
        <w:t>.</w:t>
      </w:r>
      <w:r w:rsidRPr="00F84984">
        <w:rPr>
          <w:rFonts w:cs="Arial"/>
          <w:sz w:val="16"/>
          <w:szCs w:val="16"/>
          <w:rtl/>
        </w:rPr>
        <w:t xml:space="preserve">) </w:t>
      </w:r>
      <w:r w:rsidRPr="00026E9E">
        <w:rPr>
          <w:rFonts w:cs="Arial"/>
          <w:rtl/>
        </w:rPr>
        <w:t>שזכתה משום זה שיצאו ממנה כהנים גדולים</w:t>
      </w:r>
      <w:r>
        <w:rPr>
          <w:rFonts w:cs="Arial" w:hint="cs"/>
          <w:rtl/>
        </w:rPr>
        <w:t>.</w:t>
      </w:r>
      <w:r>
        <w:rPr>
          <w:rFonts w:hint="cs"/>
          <w:rtl/>
        </w:rPr>
        <w:t xml:space="preserve"> עכ"ל הדרכ"מ. ואפ"ל שהטור כתב כן כי מדובר כאן על לצאת בלא כתובה. אבל לעניין איסור או היתר יעיין אדם בסי' כא. </w:t>
      </w:r>
      <w:r w:rsidRPr="004F2529">
        <w:rPr>
          <w:rFonts w:hint="cs"/>
          <w:color w:val="000000" w:themeColor="text1"/>
          <w:rtl/>
        </w:rPr>
        <w:t>אמנם הסמ</w:t>
      </w:r>
      <w:r>
        <w:rPr>
          <w:rFonts w:hint="cs"/>
          <w:color w:val="000000" w:themeColor="text1"/>
          <w:rtl/>
        </w:rPr>
        <w:t>"</w:t>
      </w:r>
      <w:r w:rsidRPr="004F2529">
        <w:rPr>
          <w:rFonts w:hint="cs"/>
          <w:color w:val="000000" w:themeColor="text1"/>
          <w:rtl/>
        </w:rPr>
        <w:t xml:space="preserve">ג </w:t>
      </w:r>
      <w:r>
        <w:rPr>
          <w:rFonts w:hint="cs"/>
          <w:color w:val="000000" w:themeColor="text1"/>
          <w:sz w:val="16"/>
          <w:szCs w:val="16"/>
          <w:rtl/>
        </w:rPr>
        <w:t xml:space="preserve">(עשין מח קכח ע"א) </w:t>
      </w:r>
      <w:r w:rsidRPr="004F2529">
        <w:rPr>
          <w:rFonts w:hint="cs"/>
          <w:color w:val="000000" w:themeColor="text1"/>
          <w:rtl/>
        </w:rPr>
        <w:t xml:space="preserve">והשלט"ג </w:t>
      </w:r>
      <w:r>
        <w:rPr>
          <w:rFonts w:hint="cs"/>
          <w:color w:val="000000" w:themeColor="text1"/>
          <w:sz w:val="16"/>
          <w:szCs w:val="16"/>
          <w:rtl/>
        </w:rPr>
        <w:t xml:space="preserve">(לב: מדפה"ר אות ב) </w:t>
      </w:r>
      <w:r w:rsidRPr="004F2529">
        <w:rPr>
          <w:rFonts w:hint="cs"/>
          <w:color w:val="000000" w:themeColor="text1"/>
          <w:rtl/>
        </w:rPr>
        <w:t xml:space="preserve">פסקו כדמשמע מהירושלמי שלחצרה אסור בלי קלתה. ועיין בב"ש (סק"ט) המובא בסמוך על דברי </w:t>
      </w:r>
      <w:r w:rsidRPr="00BC622F">
        <w:rPr>
          <w:rFonts w:hint="cs"/>
          <w:color w:val="000000" w:themeColor="text1"/>
          <w:rtl/>
        </w:rPr>
        <w:t>השו"ע.</w:t>
      </w:r>
      <w:r w:rsidRPr="00BC622F">
        <w:rPr>
          <w:rFonts w:hint="cs"/>
          <w:color w:val="000000" w:themeColor="text1"/>
          <w:sz w:val="16"/>
          <w:szCs w:val="16"/>
          <w:rtl/>
        </w:rPr>
        <w:t xml:space="preserve"> (ונראה שכל הדיון הזה הוא כשאין רואים את האשה כשהיא בחצרה/בביתה בלי כיסוי, אבל אם אנשים רואים את האשה ללא קלתה </w:t>
      </w:r>
      <w:r w:rsidRPr="00BC622F">
        <w:rPr>
          <w:color w:val="000000" w:themeColor="text1"/>
          <w:sz w:val="16"/>
          <w:szCs w:val="16"/>
          <w:rtl/>
        </w:rPr>
        <w:t>–</w:t>
      </w:r>
      <w:r w:rsidRPr="00BC622F">
        <w:rPr>
          <w:rFonts w:hint="cs"/>
          <w:color w:val="000000" w:themeColor="text1"/>
          <w:sz w:val="16"/>
          <w:szCs w:val="16"/>
          <w:rtl/>
        </w:rPr>
        <w:t xml:space="preserve"> אסור. וכ"כ הריטב"א (עב:) וז"ל- </w:t>
      </w:r>
      <w:r w:rsidRPr="00BC622F">
        <w:rPr>
          <w:rFonts w:cs="Arial"/>
          <w:color w:val="000000" w:themeColor="text1"/>
          <w:sz w:val="16"/>
          <w:szCs w:val="16"/>
          <w:rtl/>
        </w:rPr>
        <w:t>הולכות בחצרן בפרוע ראש כיון שאין שם רואין</w:t>
      </w:r>
      <w:r w:rsidRPr="00BC622F">
        <w:rPr>
          <w:rFonts w:cs="Arial" w:hint="cs"/>
          <w:color w:val="000000" w:themeColor="text1"/>
          <w:sz w:val="16"/>
          <w:szCs w:val="16"/>
          <w:rtl/>
        </w:rPr>
        <w:t>. וכ"כ הבא"ט (סק"ט) בשם כנה"ג בשם מ"ץ)</w:t>
      </w:r>
    </w:p>
  </w:footnote>
  <w:footnote w:id="3135">
    <w:p w14:paraId="4D86BB8C" w14:textId="77777777" w:rsidR="00DF1FC7" w:rsidRDefault="00DF1FC7" w:rsidP="002E5BAD">
      <w:pPr>
        <w:pStyle w:val="a5"/>
        <w:rPr>
          <w:rtl/>
        </w:rPr>
      </w:pPr>
      <w:r>
        <w:rPr>
          <w:rStyle w:val="a7"/>
        </w:rPr>
        <w:footnoteRef/>
      </w:r>
      <w:r>
        <w:rPr>
          <w:rtl/>
        </w:rPr>
        <w:t xml:space="preserve"> </w:t>
      </w:r>
      <w:r>
        <w:rPr>
          <w:rFonts w:cs="Arial"/>
          <w:rtl/>
        </w:rPr>
        <w:t xml:space="preserve">וכן המדברת והמשחקת עם הבחורים. שם (עב.) במשנה גבי דת יהודית קתני </w:t>
      </w:r>
      <w:r>
        <w:rPr>
          <w:rFonts w:cs="Arial" w:hint="cs"/>
          <w:rtl/>
        </w:rPr>
        <w:t>'</w:t>
      </w:r>
      <w:r>
        <w:rPr>
          <w:rFonts w:cs="Arial"/>
          <w:rtl/>
        </w:rPr>
        <w:t>מדברת עם כל אדם</w:t>
      </w:r>
      <w:r>
        <w:rPr>
          <w:rFonts w:cs="Arial" w:hint="cs"/>
          <w:rtl/>
        </w:rPr>
        <w:t>'.</w:t>
      </w:r>
      <w:r>
        <w:rPr>
          <w:rFonts w:cs="Arial"/>
          <w:rtl/>
        </w:rPr>
        <w:t xml:space="preserve"> ובגמרא (עב:) </w:t>
      </w:r>
      <w:r>
        <w:rPr>
          <w:rFonts w:cs="Arial" w:hint="cs"/>
          <w:rtl/>
        </w:rPr>
        <w:t>'</w:t>
      </w:r>
      <w:r>
        <w:rPr>
          <w:rFonts w:cs="Arial"/>
          <w:rtl/>
        </w:rPr>
        <w:t>אמר רב יהודה אמר שמואל במשחקת עם הבחורים</w:t>
      </w:r>
      <w:r>
        <w:rPr>
          <w:rFonts w:cs="Arial" w:hint="cs"/>
          <w:rtl/>
        </w:rPr>
        <w:t>'.</w:t>
      </w:r>
      <w:r>
        <w:rPr>
          <w:rFonts w:cs="Arial"/>
          <w:rtl/>
        </w:rPr>
        <w:t xml:space="preserve"> וכיון שכן לא ה"ל לרבינו לכתוב </w:t>
      </w:r>
      <w:r>
        <w:rPr>
          <w:rFonts w:cs="Arial" w:hint="cs"/>
          <w:rtl/>
        </w:rPr>
        <w:t>'</w:t>
      </w:r>
      <w:r>
        <w:rPr>
          <w:rFonts w:cs="Arial"/>
          <w:rtl/>
        </w:rPr>
        <w:t>מדברת</w:t>
      </w:r>
      <w:r>
        <w:rPr>
          <w:rFonts w:cs="Arial" w:hint="cs"/>
          <w:rtl/>
        </w:rPr>
        <w:t>'.</w:t>
      </w:r>
      <w:r>
        <w:rPr>
          <w:rFonts w:cs="Arial"/>
          <w:rtl/>
        </w:rPr>
        <w:t xml:space="preserve"> וכן הרמב"ם בפכ"ד (שם) לא הזכירו</w:t>
      </w:r>
      <w:r>
        <w:rPr>
          <w:rFonts w:cs="Arial" w:hint="cs"/>
          <w:rtl/>
        </w:rPr>
        <w:t>.</w:t>
      </w:r>
      <w:r>
        <w:rPr>
          <w:rFonts w:cs="Arial"/>
          <w:rtl/>
        </w:rPr>
        <w:t xml:space="preserve"> ואיפשר שרצה רבינו לתפוס לשון המשנה</w:t>
      </w:r>
      <w:r>
        <w:rPr>
          <w:rFonts w:cs="Arial" w:hint="cs"/>
          <w:rtl/>
        </w:rPr>
        <w:t>.</w:t>
      </w:r>
      <w:r>
        <w:rPr>
          <w:rFonts w:cs="Arial"/>
          <w:rtl/>
        </w:rPr>
        <w:t xml:space="preserve"> ומכל מקום מה שכתב </w:t>
      </w:r>
      <w:r>
        <w:rPr>
          <w:rFonts w:cs="Arial" w:hint="cs"/>
          <w:rtl/>
        </w:rPr>
        <w:t>'</w:t>
      </w:r>
      <w:r>
        <w:rPr>
          <w:rFonts w:cs="Arial"/>
          <w:rtl/>
        </w:rPr>
        <w:t>והמשחקת</w:t>
      </w:r>
      <w:r>
        <w:rPr>
          <w:rFonts w:cs="Arial" w:hint="cs"/>
          <w:rtl/>
        </w:rPr>
        <w:t>'</w:t>
      </w:r>
      <w:r>
        <w:rPr>
          <w:rFonts w:cs="Arial"/>
          <w:rtl/>
        </w:rPr>
        <w:t xml:space="preserve"> טעות סופר הוא</w:t>
      </w:r>
      <w:r>
        <w:rPr>
          <w:rFonts w:cs="Arial" w:hint="cs"/>
          <w:rtl/>
        </w:rPr>
        <w:t>,</w:t>
      </w:r>
      <w:r>
        <w:rPr>
          <w:rFonts w:cs="Arial"/>
          <w:rtl/>
        </w:rPr>
        <w:t xml:space="preserve"> דמשמע דתרתי מילי נינהו</w:t>
      </w:r>
      <w:r>
        <w:rPr>
          <w:rFonts w:cs="Arial" w:hint="cs"/>
          <w:rtl/>
        </w:rPr>
        <w:t>,</w:t>
      </w:r>
      <w:r>
        <w:rPr>
          <w:rFonts w:cs="Arial"/>
          <w:rtl/>
        </w:rPr>
        <w:t xml:space="preserve"> וליתא</w:t>
      </w:r>
      <w:r>
        <w:rPr>
          <w:rFonts w:cs="Arial" w:hint="cs"/>
          <w:rtl/>
        </w:rPr>
        <w:t>.</w:t>
      </w:r>
      <w:r>
        <w:rPr>
          <w:rFonts w:cs="Arial"/>
          <w:rtl/>
        </w:rPr>
        <w:t xml:space="preserve"> הילכך יש להגיה </w:t>
      </w:r>
      <w:r>
        <w:rPr>
          <w:rFonts w:cs="Arial" w:hint="cs"/>
          <w:rtl/>
        </w:rPr>
        <w:t>'</w:t>
      </w:r>
      <w:r>
        <w:rPr>
          <w:rFonts w:cs="Arial"/>
          <w:rtl/>
        </w:rPr>
        <w:t>ומשחקת</w:t>
      </w:r>
      <w:r>
        <w:rPr>
          <w:rFonts w:cs="Arial" w:hint="cs"/>
          <w:rtl/>
        </w:rPr>
        <w:t>'</w:t>
      </w:r>
      <w:r>
        <w:rPr>
          <w:rFonts w:hint="cs"/>
          <w:rtl/>
        </w:rPr>
        <w:t>, ב"י.</w:t>
      </w:r>
    </w:p>
  </w:footnote>
  <w:footnote w:id="3136">
    <w:p w14:paraId="44D5CEDD" w14:textId="77777777" w:rsidR="00DF1FC7" w:rsidRDefault="00DF1FC7" w:rsidP="002E5BAD">
      <w:pPr>
        <w:pStyle w:val="a5"/>
        <w:rPr>
          <w:rtl/>
        </w:rPr>
      </w:pPr>
      <w:r>
        <w:rPr>
          <w:rStyle w:val="a7"/>
        </w:rPr>
        <w:footnoteRef/>
      </w:r>
      <w:r>
        <w:rPr>
          <w:rtl/>
        </w:rPr>
        <w:t xml:space="preserve"> </w:t>
      </w:r>
      <w:r w:rsidRPr="00853310">
        <w:rPr>
          <w:rFonts w:cs="Arial"/>
          <w:rtl/>
        </w:rPr>
        <w:t>מכלל דאי לא אתרו בה לא מפסדא</w:t>
      </w:r>
      <w:r>
        <w:rPr>
          <w:rFonts w:hint="cs"/>
          <w:rtl/>
        </w:rPr>
        <w:t>, רש"י.</w:t>
      </w:r>
    </w:p>
  </w:footnote>
  <w:footnote w:id="3137">
    <w:p w14:paraId="596DC86E" w14:textId="77777777" w:rsidR="00DF1FC7" w:rsidRDefault="00DF1FC7" w:rsidP="002E5BAD">
      <w:pPr>
        <w:pStyle w:val="a5"/>
      </w:pPr>
      <w:r>
        <w:rPr>
          <w:rStyle w:val="a7"/>
        </w:rPr>
        <w:footnoteRef/>
      </w:r>
      <w:r>
        <w:rPr>
          <w:rtl/>
        </w:rPr>
        <w:t xml:space="preserve"> </w:t>
      </w:r>
      <w:r w:rsidRPr="00133020">
        <w:rPr>
          <w:rFonts w:cs="Arial"/>
          <w:rtl/>
        </w:rPr>
        <w:t xml:space="preserve">משמע מכל הפוסקים </w:t>
      </w:r>
      <w:r>
        <w:rPr>
          <w:rFonts w:cs="Arial" w:hint="cs"/>
          <w:rtl/>
        </w:rPr>
        <w:t>ד</w:t>
      </w:r>
      <w:r w:rsidRPr="00133020">
        <w:rPr>
          <w:rFonts w:cs="Arial"/>
          <w:rtl/>
        </w:rPr>
        <w:t>עוברת על דת</w:t>
      </w:r>
      <w:r>
        <w:rPr>
          <w:rFonts w:cs="Arial" w:hint="cs"/>
          <w:rtl/>
        </w:rPr>
        <w:t>,</w:t>
      </w:r>
      <w:r w:rsidRPr="00133020">
        <w:rPr>
          <w:rFonts w:cs="Arial"/>
          <w:rtl/>
        </w:rPr>
        <w:t xml:space="preserve"> הן ד</w:t>
      </w:r>
      <w:r>
        <w:rPr>
          <w:rFonts w:cs="Arial" w:hint="cs"/>
          <w:rtl/>
        </w:rPr>
        <w:t xml:space="preserve">ת </w:t>
      </w:r>
      <w:r w:rsidRPr="00133020">
        <w:rPr>
          <w:rFonts w:cs="Arial"/>
          <w:rtl/>
        </w:rPr>
        <w:t>מ</w:t>
      </w:r>
      <w:r>
        <w:rPr>
          <w:rFonts w:cs="Arial" w:hint="cs"/>
          <w:rtl/>
        </w:rPr>
        <w:t>שה,</w:t>
      </w:r>
      <w:r w:rsidRPr="00133020">
        <w:rPr>
          <w:rFonts w:cs="Arial"/>
          <w:rtl/>
        </w:rPr>
        <w:t xml:space="preserve"> הן ד</w:t>
      </w:r>
      <w:r>
        <w:rPr>
          <w:rFonts w:cs="Arial" w:hint="cs"/>
          <w:rtl/>
        </w:rPr>
        <w:t>ת יהודית -</w:t>
      </w:r>
      <w:r w:rsidRPr="00133020">
        <w:rPr>
          <w:rFonts w:cs="Arial"/>
          <w:rtl/>
        </w:rPr>
        <w:t xml:space="preserve"> צריכה התראה</w:t>
      </w:r>
      <w:r>
        <w:rPr>
          <w:rFonts w:cs="Arial" w:hint="cs"/>
          <w:rtl/>
        </w:rPr>
        <w:t>.</w:t>
      </w:r>
      <w:r w:rsidRPr="00133020">
        <w:rPr>
          <w:rFonts w:cs="Arial"/>
          <w:rtl/>
        </w:rPr>
        <w:t xml:space="preserve"> אלא רש"י בסוטה </w:t>
      </w:r>
      <w:r>
        <w:rPr>
          <w:rFonts w:cs="Arial" w:hint="cs"/>
          <w:rtl/>
        </w:rPr>
        <w:t>(</w:t>
      </w:r>
      <w:r w:rsidRPr="00133020">
        <w:rPr>
          <w:rFonts w:cs="Arial"/>
          <w:rtl/>
        </w:rPr>
        <w:t>כה</w:t>
      </w:r>
      <w:r>
        <w:rPr>
          <w:rFonts w:cs="Arial" w:hint="cs"/>
          <w:rtl/>
        </w:rPr>
        <w:t>.)</w:t>
      </w:r>
      <w:r w:rsidRPr="00133020">
        <w:rPr>
          <w:rFonts w:cs="Arial"/>
          <w:rtl/>
        </w:rPr>
        <w:t xml:space="preserve"> פי' בבעי</w:t>
      </w:r>
      <w:r>
        <w:rPr>
          <w:rFonts w:cs="Arial" w:hint="cs"/>
          <w:rtl/>
        </w:rPr>
        <w:t>ה</w:t>
      </w:r>
      <w:r w:rsidRPr="00133020">
        <w:rPr>
          <w:rFonts w:cs="Arial"/>
          <w:rtl/>
        </w:rPr>
        <w:t xml:space="preserve"> זו אם צריכה התראה להפסיד הכתובה דאיירי דעוברת על ד</w:t>
      </w:r>
      <w:r>
        <w:rPr>
          <w:rFonts w:cs="Arial" w:hint="cs"/>
          <w:rtl/>
        </w:rPr>
        <w:t>ת יהודית.</w:t>
      </w:r>
      <w:r w:rsidRPr="00133020">
        <w:rPr>
          <w:rFonts w:cs="Arial"/>
          <w:rtl/>
        </w:rPr>
        <w:t xml:space="preserve"> משמע דס"ל אם היא עוברת על ד</w:t>
      </w:r>
      <w:r>
        <w:rPr>
          <w:rFonts w:cs="Arial" w:hint="cs"/>
          <w:rtl/>
        </w:rPr>
        <w:t>ת משה</w:t>
      </w:r>
      <w:r w:rsidRPr="00133020">
        <w:rPr>
          <w:rFonts w:cs="Arial"/>
          <w:rtl/>
        </w:rPr>
        <w:t xml:space="preserve"> </w:t>
      </w:r>
      <w:r>
        <w:rPr>
          <w:rFonts w:cs="Arial" w:hint="cs"/>
          <w:rtl/>
        </w:rPr>
        <w:t xml:space="preserve">- </w:t>
      </w:r>
      <w:r w:rsidRPr="00133020">
        <w:rPr>
          <w:rFonts w:cs="Arial"/>
          <w:rtl/>
        </w:rPr>
        <w:t>א"צ התראה כיון דכבר הכשילו וא"צ התראה בשעת מעשה</w:t>
      </w:r>
      <w:r>
        <w:rPr>
          <w:rFonts w:cs="Arial" w:hint="cs"/>
          <w:rtl/>
        </w:rPr>
        <w:t>.</w:t>
      </w:r>
      <w:r w:rsidRPr="00133020">
        <w:rPr>
          <w:rFonts w:cs="Arial"/>
          <w:rtl/>
        </w:rPr>
        <w:t xml:space="preserve"> וע' במ' ובהג"א</w:t>
      </w:r>
      <w:r>
        <w:rPr>
          <w:rFonts w:hint="cs"/>
          <w:rtl/>
        </w:rPr>
        <w:t>, ב"ש (סקי"ז).</w:t>
      </w:r>
      <w:r w:rsidRPr="00D63AD7">
        <w:rPr>
          <w:rFonts w:cs="Arial"/>
          <w:rtl/>
        </w:rPr>
        <w:t xml:space="preserve"> </w:t>
      </w:r>
      <w:r>
        <w:rPr>
          <w:rFonts w:cs="Arial"/>
          <w:rtl/>
        </w:rPr>
        <w:t xml:space="preserve">ועיין בתשו' נו"ב תניינא </w:t>
      </w:r>
      <w:r>
        <w:rPr>
          <w:rFonts w:cs="Arial" w:hint="cs"/>
          <w:rtl/>
        </w:rPr>
        <w:t>(</w:t>
      </w:r>
      <w:r>
        <w:rPr>
          <w:rFonts w:cs="Arial"/>
          <w:rtl/>
        </w:rPr>
        <w:t>סי' כו</w:t>
      </w:r>
      <w:r>
        <w:rPr>
          <w:rFonts w:cs="Arial" w:hint="cs"/>
          <w:rtl/>
        </w:rPr>
        <w:t>)</w:t>
      </w:r>
      <w:r>
        <w:rPr>
          <w:rFonts w:cs="Arial"/>
          <w:rtl/>
        </w:rPr>
        <w:t xml:space="preserve"> שכ' ובנדון עוברת על דת שצריכה התראה קשה לסמוך על דעת רש"י לחוד כו' (כמו שהובא לעיל </w:t>
      </w:r>
      <w:r>
        <w:rPr>
          <w:rFonts w:cs="Arial" w:hint="cs"/>
          <w:rtl/>
        </w:rPr>
        <w:t xml:space="preserve">בפת"ש </w:t>
      </w:r>
      <w:r>
        <w:rPr>
          <w:rFonts w:cs="Arial"/>
          <w:rtl/>
        </w:rPr>
        <w:t xml:space="preserve">סק"ג ועמ"ש שם). ועיין בתשו' שבו"י </w:t>
      </w:r>
      <w:r>
        <w:rPr>
          <w:rFonts w:cs="Arial" w:hint="cs"/>
          <w:rtl/>
        </w:rPr>
        <w:t>(</w:t>
      </w:r>
      <w:r>
        <w:rPr>
          <w:rFonts w:cs="Arial"/>
          <w:rtl/>
        </w:rPr>
        <w:t>ח"ג ס"ס קכז</w:t>
      </w:r>
      <w:r>
        <w:rPr>
          <w:rFonts w:cs="Arial" w:hint="cs"/>
          <w:rtl/>
        </w:rPr>
        <w:t>)</w:t>
      </w:r>
      <w:r>
        <w:rPr>
          <w:rFonts w:cs="Arial"/>
          <w:rtl/>
        </w:rPr>
        <w:t xml:space="preserve"> שכתב נלע"ד דאפילו נימא דכל עוברת על ד"מ צריכה התראה מ"מ משמשתו נדה שהוא דבר הידוע לכל הנשים אפילו שהיא עם הארץ גמורה מ"מ בשעת נישואין לומדים עמה קרובים ושכנים כיצד תזהר בנדת' </w:t>
      </w:r>
      <w:r>
        <w:rPr>
          <w:rFonts w:cs="Arial" w:hint="cs"/>
          <w:rtl/>
        </w:rPr>
        <w:t xml:space="preserve">- </w:t>
      </w:r>
      <w:r>
        <w:rPr>
          <w:rFonts w:cs="Arial"/>
          <w:rtl/>
        </w:rPr>
        <w:t>שוב א"צ התראה אחרת בשעת מעשה כו'</w:t>
      </w:r>
      <w:r>
        <w:rPr>
          <w:rFonts w:cs="Arial" w:hint="cs"/>
          <w:rtl/>
        </w:rPr>
        <w:t>.</w:t>
      </w:r>
      <w:r>
        <w:rPr>
          <w:rFonts w:cs="Arial"/>
          <w:rtl/>
        </w:rPr>
        <w:t xml:space="preserve"> אף על גב דבתשו' הרשב"א סי' תק"ס משמע דגם במשמשת נדה בעי התרא' היינו לפי שאזיל לשיטתו שם שפסק דבעי התרא' לומר לה שתפסיד כתובת' וכל שלא אמר לה כן הוי כלא התרה בה אבל לפי הסכמת אחרונים כדעת הריא"ז בש"ג וכן משמע בב"ש וכ"כ בתשו' מהרח"ש סימן נ"ז דא"צ לומר לה כן הרי דהתרא' בזו רק הודעה שתזהר בנדת' וזו הכל יודעים וא"צ התראה עוד יותר עכ"ד ע"ש. וזה שלא כדברי הנו"ב דלעיל: ובתשו' מעיל צדקה </w:t>
      </w:r>
      <w:r>
        <w:rPr>
          <w:rFonts w:cs="Arial" w:hint="cs"/>
          <w:rtl/>
        </w:rPr>
        <w:t>(</w:t>
      </w:r>
      <w:r>
        <w:rPr>
          <w:rFonts w:cs="Arial"/>
          <w:rtl/>
        </w:rPr>
        <w:t>סי</w:t>
      </w:r>
      <w:r>
        <w:rPr>
          <w:rFonts w:cs="Arial" w:hint="cs"/>
          <w:rtl/>
        </w:rPr>
        <w:t>'</w:t>
      </w:r>
      <w:r>
        <w:rPr>
          <w:rFonts w:cs="Arial"/>
          <w:rtl/>
        </w:rPr>
        <w:t xml:space="preserve"> סא</w:t>
      </w:r>
      <w:r>
        <w:rPr>
          <w:rFonts w:cs="Arial" w:hint="cs"/>
          <w:rtl/>
        </w:rPr>
        <w:t>)</w:t>
      </w:r>
      <w:r>
        <w:rPr>
          <w:rFonts w:cs="Arial"/>
          <w:rtl/>
        </w:rPr>
        <w:t xml:space="preserve"> אודות אשה ששמשה נדה בימי עיבורה ומתרצת עצמה שלא ידעה שיש טומא' בימי עיבור ובעלה רוצה לגרש' בע"כ והעל' שאין בידו לגרש' בע"כ דאומר מותר הוא ואפי' שוגג לא מקרי לדעת רש"י ר"פ כלל ואף כי גוף איסור דנדה אינה יכולה לתרץ בכך דאין לך אחת שנתגדלה בישראל שא"י מאיסור נדה מ"מ זו שהיא מעוברת אפשר להאמינה בכך כי כמה נשים טועות בכך כו' ומכ"ש במקום מגו שהיתה יכולה להכחישו ולכן לית דין צריך בושש שאין בידו להוציא' בע"כ ואחרי שהיא מקבלת תשוב' על נפשה כדין שוגג הרי היא כאחת מבנות ישראל הכשירות ותעלה בעלייתו של בעל עכ"ל ע"ש עוד</w:t>
      </w:r>
      <w:r>
        <w:rPr>
          <w:rFonts w:cs="Arial" w:hint="cs"/>
          <w:rtl/>
        </w:rPr>
        <w:t>, פת"ש (סקי"א).</w:t>
      </w:r>
    </w:p>
  </w:footnote>
  <w:footnote w:id="3138">
    <w:p w14:paraId="63AEFD20" w14:textId="77777777" w:rsidR="00DF1FC7" w:rsidRDefault="00DF1FC7" w:rsidP="002E5BAD">
      <w:pPr>
        <w:pStyle w:val="a5"/>
        <w:rPr>
          <w:rtl/>
        </w:rPr>
      </w:pPr>
      <w:r>
        <w:rPr>
          <w:rStyle w:val="a7"/>
        </w:rPr>
        <w:footnoteRef/>
      </w:r>
      <w:r>
        <w:rPr>
          <w:rtl/>
        </w:rPr>
        <w:t xml:space="preserve"> </w:t>
      </w:r>
      <w:r>
        <w:rPr>
          <w:rFonts w:cs="Arial"/>
          <w:rtl/>
        </w:rPr>
        <w:t>זה פשוט שהוא כדין מוציא שטר חוב על חבירו והלה טוען פרוע הוא</w:t>
      </w:r>
      <w:r>
        <w:rPr>
          <w:rFonts w:cs="Arial" w:hint="cs"/>
          <w:rtl/>
        </w:rPr>
        <w:t>,</w:t>
      </w:r>
      <w:r>
        <w:rPr>
          <w:rFonts w:cs="Arial"/>
          <w:rtl/>
        </w:rPr>
        <w:t xml:space="preserve"> שבעל השטר צריך לישבע קודם שיגבה</w:t>
      </w:r>
      <w:r>
        <w:rPr>
          <w:rFonts w:cs="Arial" w:hint="cs"/>
          <w:rtl/>
        </w:rPr>
        <w:t>, ב"י.</w:t>
      </w:r>
      <w:r w:rsidRPr="00BC450C">
        <w:rPr>
          <w:rFonts w:cs="Arial"/>
          <w:rtl/>
        </w:rPr>
        <w:t xml:space="preserve"> ובמגיד משנה פכ"ד דאישות (הי"ד) דוקא בכה"ג שהיא מודה שעברה על דת אלא שלא התרו בה צריכה שבועה, אבל אם אמרה שלא עברה כלל </w:t>
      </w:r>
      <w:r>
        <w:rPr>
          <w:rFonts w:cs="Arial" w:hint="cs"/>
          <w:rtl/>
        </w:rPr>
        <w:t xml:space="preserve">- </w:t>
      </w:r>
      <w:r w:rsidRPr="00BC450C">
        <w:rPr>
          <w:rFonts w:cs="Arial"/>
          <w:rtl/>
        </w:rPr>
        <w:t>אין יכול להשביעה כיון ששטר כתובתה בידה ולא מחזיקינן אינשי ברשיעי וכו'</w:t>
      </w:r>
      <w:r>
        <w:rPr>
          <w:rFonts w:cs="Arial" w:hint="cs"/>
          <w:rtl/>
        </w:rPr>
        <w:t>.</w:t>
      </w:r>
      <w:r w:rsidRPr="00BC450C">
        <w:rPr>
          <w:rFonts w:cs="Arial"/>
          <w:rtl/>
        </w:rPr>
        <w:t xml:space="preserve"> ולא משמע כן בדברי הרמב"ם שבסמוך</w:t>
      </w:r>
      <w:r>
        <w:rPr>
          <w:rFonts w:cs="Arial" w:hint="cs"/>
          <w:rtl/>
        </w:rPr>
        <w:t>, דרכ"מ (אות ט).</w:t>
      </w:r>
      <w:r w:rsidRPr="00FD70DA">
        <w:rPr>
          <w:rtl/>
        </w:rPr>
        <w:t xml:space="preserve"> </w:t>
      </w:r>
      <w:r w:rsidRPr="00FD70DA">
        <w:rPr>
          <w:rFonts w:hint="cs"/>
          <w:sz w:val="16"/>
          <w:szCs w:val="16"/>
          <w:rtl/>
        </w:rPr>
        <w:t>(</w:t>
      </w:r>
      <w:r w:rsidRPr="00FD70DA">
        <w:rPr>
          <w:rFonts w:cs="Arial"/>
          <w:sz w:val="16"/>
          <w:szCs w:val="16"/>
          <w:rtl/>
        </w:rPr>
        <w:t>וב"ח הקשה לפי דברי המגיד דאיירי כשידוע שהיא עוברת א"כ איך מוסרים לה שבועה ובח"מ תירץ דוק' אם ידוע ששמשה בנדותה ונעשית רשעה אז אין מוסרים לה שבועה אבל אם עוברת על שאר דברים כשירה לשבועה דקי"ל מומר לד"א אינו מומר לכל התורה</w:t>
      </w:r>
      <w:r>
        <w:rPr>
          <w:rFonts w:cs="Arial" w:hint="cs"/>
          <w:sz w:val="16"/>
          <w:szCs w:val="16"/>
          <w:rtl/>
        </w:rPr>
        <w:t>, ב"ש [סקי"ח]).</w:t>
      </w:r>
    </w:p>
  </w:footnote>
  <w:footnote w:id="3139">
    <w:p w14:paraId="4B31944F" w14:textId="77777777" w:rsidR="00DF1FC7" w:rsidRPr="00FD70DA" w:rsidRDefault="00DF1FC7" w:rsidP="002E5BAD">
      <w:pPr>
        <w:pStyle w:val="a5"/>
        <w:rPr>
          <w:rFonts w:cs="Arial"/>
        </w:rPr>
      </w:pPr>
      <w:r>
        <w:rPr>
          <w:rStyle w:val="a7"/>
        </w:rPr>
        <w:footnoteRef/>
      </w:r>
      <w:r>
        <w:rPr>
          <w:rtl/>
        </w:rPr>
        <w:t xml:space="preserve"> </w:t>
      </w:r>
      <w:r>
        <w:rPr>
          <w:rFonts w:cs="Arial" w:hint="cs"/>
          <w:rtl/>
        </w:rPr>
        <w:t xml:space="preserve">וכתב הדרכ"מ </w:t>
      </w:r>
      <w:r w:rsidRPr="00BC450C">
        <w:rPr>
          <w:rFonts w:cs="Arial"/>
          <w:rtl/>
        </w:rPr>
        <w:t>(</w:t>
      </w:r>
      <w:r>
        <w:rPr>
          <w:rFonts w:cs="Arial" w:hint="cs"/>
          <w:rtl/>
        </w:rPr>
        <w:t xml:space="preserve">אות </w:t>
      </w:r>
      <w:r w:rsidRPr="00BC450C">
        <w:rPr>
          <w:rFonts w:cs="Arial"/>
          <w:rtl/>
        </w:rPr>
        <w:t xml:space="preserve">י) </w:t>
      </w:r>
      <w:r>
        <w:rPr>
          <w:rFonts w:cs="Arial" w:hint="cs"/>
          <w:rtl/>
        </w:rPr>
        <w:t xml:space="preserve">דכן </w:t>
      </w:r>
      <w:r w:rsidRPr="00BC450C">
        <w:rPr>
          <w:rFonts w:cs="Arial"/>
          <w:rtl/>
        </w:rPr>
        <w:t>נראה מתשובת מוהר"ם (שם)</w:t>
      </w:r>
      <w:r>
        <w:rPr>
          <w:rFonts w:cs="Arial" w:hint="cs"/>
          <w:rtl/>
        </w:rPr>
        <w:t>...</w:t>
      </w:r>
      <w:r w:rsidRPr="00BC450C">
        <w:rPr>
          <w:rFonts w:cs="Arial"/>
          <w:rtl/>
        </w:rPr>
        <w:t xml:space="preserve"> וכן משמע מתשובת הרא"ש כלל ל"ב סימן ח' ודלא כהגהות אלפסי </w:t>
      </w:r>
      <w:r w:rsidRPr="00133020">
        <w:rPr>
          <w:rFonts w:cs="Arial"/>
          <w:sz w:val="16"/>
          <w:szCs w:val="16"/>
          <w:rtl/>
        </w:rPr>
        <w:t xml:space="preserve">(לג. אות א) </w:t>
      </w:r>
      <w:r w:rsidRPr="00BC450C">
        <w:rPr>
          <w:rFonts w:cs="Arial"/>
          <w:rtl/>
        </w:rPr>
        <w:t>שכתב דאין צריך להתרות רק שלא תעשה עוד</w:t>
      </w:r>
      <w:r>
        <w:rPr>
          <w:rFonts w:cs="Arial" w:hint="cs"/>
          <w:rtl/>
        </w:rPr>
        <w:t>.</w:t>
      </w:r>
      <w:r w:rsidRPr="00133020">
        <w:rPr>
          <w:rtl/>
        </w:rPr>
        <w:t xml:space="preserve"> </w:t>
      </w:r>
    </w:p>
  </w:footnote>
  <w:footnote w:id="3140">
    <w:p w14:paraId="481372D1" w14:textId="77777777" w:rsidR="00DF1FC7" w:rsidRDefault="00DF1FC7" w:rsidP="002E5BAD">
      <w:pPr>
        <w:pStyle w:val="a5"/>
      </w:pPr>
      <w:r>
        <w:rPr>
          <w:rStyle w:val="a7"/>
        </w:rPr>
        <w:footnoteRef/>
      </w:r>
      <w:r>
        <w:rPr>
          <w:rtl/>
        </w:rPr>
        <w:t xml:space="preserve"> </w:t>
      </w:r>
      <w:r w:rsidRPr="00133020">
        <w:rPr>
          <w:rFonts w:cs="Arial"/>
          <w:rtl/>
        </w:rPr>
        <w:t>וכ</w:t>
      </w:r>
      <w:r>
        <w:rPr>
          <w:rFonts w:cs="Arial" w:hint="cs"/>
          <w:rtl/>
        </w:rPr>
        <w:t xml:space="preserve">ן </w:t>
      </w:r>
      <w:r w:rsidRPr="00133020">
        <w:rPr>
          <w:rFonts w:cs="Arial"/>
          <w:rtl/>
        </w:rPr>
        <w:t>נ</w:t>
      </w:r>
      <w:r>
        <w:rPr>
          <w:rFonts w:cs="Arial" w:hint="cs"/>
          <w:rtl/>
        </w:rPr>
        <w:t>ראה</w:t>
      </w:r>
      <w:r w:rsidRPr="00133020">
        <w:rPr>
          <w:rFonts w:cs="Arial"/>
          <w:rtl/>
        </w:rPr>
        <w:t xml:space="preserve"> לכאורה דהא התראה זו נלמד מקינוי ושם תנן במתני' שמתר</w:t>
      </w:r>
      <w:r>
        <w:rPr>
          <w:rFonts w:cs="Arial" w:hint="cs"/>
          <w:rtl/>
        </w:rPr>
        <w:t>ה</w:t>
      </w:r>
      <w:r w:rsidRPr="00133020">
        <w:rPr>
          <w:rFonts w:cs="Arial"/>
          <w:rtl/>
        </w:rPr>
        <w:t xml:space="preserve"> בה אל תסתרי עם פלו</w:t>
      </w:r>
      <w:r>
        <w:rPr>
          <w:rFonts w:cs="Arial" w:hint="cs"/>
          <w:rtl/>
        </w:rPr>
        <w:t>ני,</w:t>
      </w:r>
      <w:r w:rsidRPr="00133020">
        <w:rPr>
          <w:rFonts w:cs="Arial"/>
          <w:rtl/>
        </w:rPr>
        <w:t xml:space="preserve"> ולא תנא בשום מקום שמתרה בה שמפסיד הכתובה</w:t>
      </w:r>
      <w:r>
        <w:rPr>
          <w:rFonts w:cs="Arial" w:hint="cs"/>
          <w:rtl/>
        </w:rPr>
        <w:t>.</w:t>
      </w:r>
      <w:r w:rsidRPr="00133020">
        <w:rPr>
          <w:rFonts w:cs="Arial"/>
          <w:rtl/>
        </w:rPr>
        <w:t xml:space="preserve"> אלא בד"מ כתב דנ"ל מתשובת מהר"מ שהבי' בתשובת רשב"א סי' תת"ס ובתשובת הרא"ש כלל ל"ב דצריך להתרות אותה שתפסדה הכתובה</w:t>
      </w:r>
      <w:r>
        <w:rPr>
          <w:rFonts w:cs="Arial" w:hint="cs"/>
          <w:rtl/>
        </w:rPr>
        <w:t>.</w:t>
      </w:r>
      <w:r w:rsidRPr="00133020">
        <w:rPr>
          <w:rFonts w:cs="Arial"/>
          <w:rtl/>
        </w:rPr>
        <w:t xml:space="preserve"> וע"ש דיש לדחות</w:t>
      </w:r>
      <w:r>
        <w:rPr>
          <w:rFonts w:cs="Arial" w:hint="cs"/>
          <w:rtl/>
        </w:rPr>
        <w:t>, ב"ש (סקי"ז).</w:t>
      </w:r>
      <w:r>
        <w:rPr>
          <w:rFonts w:hint="cs"/>
          <w:rtl/>
        </w:rPr>
        <w:t xml:space="preserve"> </w:t>
      </w:r>
    </w:p>
  </w:footnote>
  <w:footnote w:id="3141">
    <w:p w14:paraId="2D2886C8" w14:textId="77777777" w:rsidR="00DF1FC7" w:rsidRDefault="00DF1FC7" w:rsidP="002E5BAD">
      <w:pPr>
        <w:pStyle w:val="a5"/>
        <w:rPr>
          <w:rtl/>
        </w:rPr>
      </w:pPr>
      <w:r>
        <w:rPr>
          <w:rStyle w:val="a7"/>
        </w:rPr>
        <w:footnoteRef/>
      </w:r>
      <w:r>
        <w:rPr>
          <w:rtl/>
        </w:rPr>
        <w:t xml:space="preserve"> </w:t>
      </w:r>
      <w:r w:rsidRPr="004B6EBE">
        <w:rPr>
          <w:rFonts w:cs="Arial"/>
          <w:rtl/>
        </w:rPr>
        <w:t>ולא איפשיטא</w:t>
      </w:r>
      <w:r w:rsidRPr="004B6EBE">
        <w:rPr>
          <w:rFonts w:cs="Arial" w:hint="cs"/>
          <w:rtl/>
        </w:rPr>
        <w:t>, ב"י</w:t>
      </w:r>
    </w:p>
  </w:footnote>
  <w:footnote w:id="3142">
    <w:p w14:paraId="06C76BBE" w14:textId="77777777" w:rsidR="00DF1FC7" w:rsidRDefault="00DF1FC7" w:rsidP="002E5BAD">
      <w:pPr>
        <w:pStyle w:val="a5"/>
        <w:rPr>
          <w:rtl/>
        </w:rPr>
      </w:pPr>
      <w:r>
        <w:rPr>
          <w:rStyle w:val="a7"/>
        </w:rPr>
        <w:footnoteRef/>
      </w:r>
      <w:r>
        <w:rPr>
          <w:rtl/>
        </w:rPr>
        <w:t xml:space="preserve"> </w:t>
      </w:r>
      <w:r>
        <w:rPr>
          <w:rFonts w:cs="Arial" w:hint="cs"/>
          <w:rtl/>
        </w:rPr>
        <w:t xml:space="preserve">וז"ל- </w:t>
      </w:r>
      <w:r w:rsidRPr="00E003E0">
        <w:rPr>
          <w:rFonts w:cs="Arial"/>
          <w:rtl/>
        </w:rPr>
        <w:t>שמע מינה בעל שמחל על קינויו קינויו מחול - ותפשוט נמי עוברת על דת אם רצה בעלה לקיימה מקיימה אפילו התרה בה.</w:t>
      </w:r>
    </w:p>
  </w:footnote>
  <w:footnote w:id="3143">
    <w:p w14:paraId="2B7D1DA2" w14:textId="77777777" w:rsidR="00DF1FC7" w:rsidRDefault="00DF1FC7" w:rsidP="002E5BAD">
      <w:pPr>
        <w:pStyle w:val="a5"/>
      </w:pPr>
      <w:r>
        <w:rPr>
          <w:rStyle w:val="a7"/>
        </w:rPr>
        <w:footnoteRef/>
      </w:r>
      <w:r>
        <w:rPr>
          <w:rtl/>
        </w:rPr>
        <w:t xml:space="preserve"> </w:t>
      </w:r>
      <w:r>
        <w:rPr>
          <w:rFonts w:cs="Arial" w:hint="cs"/>
          <w:rtl/>
        </w:rPr>
        <w:t xml:space="preserve">וז"ל- </w:t>
      </w:r>
      <w:r w:rsidRPr="004B6EBE">
        <w:rPr>
          <w:rFonts w:cs="Arial"/>
          <w:rtl/>
        </w:rPr>
        <w:t>מסתברא דאיפשטא דאם רצה לקיימה מקיימה, דהא בעל שמחל על קנויו קנויו מחול כדאסיקנא התם מדאמר ר' יאשיה ג' דברים סח לי זעירא מאנשי ירושלים בעל שמחל על קנויו קנויו מחול, והשתא בתר קינוי מחיל ומקיים, קודם קינוי לא</w:t>
      </w:r>
      <w:r>
        <w:rPr>
          <w:rFonts w:cs="Arial" w:hint="cs"/>
          <w:rtl/>
        </w:rPr>
        <w:t xml:space="preserve"> כל שכן.</w:t>
      </w:r>
    </w:p>
  </w:footnote>
  <w:footnote w:id="3144">
    <w:p w14:paraId="79E69FDF" w14:textId="77777777" w:rsidR="00DF1FC7" w:rsidRDefault="00DF1FC7" w:rsidP="002E5BAD">
      <w:pPr>
        <w:pStyle w:val="a5"/>
      </w:pPr>
      <w:r>
        <w:rPr>
          <w:rStyle w:val="a7"/>
        </w:rPr>
        <w:footnoteRef/>
      </w:r>
      <w:r>
        <w:rPr>
          <w:rtl/>
        </w:rPr>
        <w:t xml:space="preserve"> </w:t>
      </w:r>
      <w:r w:rsidRPr="00076609">
        <w:rPr>
          <w:rFonts w:cs="Arial"/>
          <w:rtl/>
        </w:rPr>
        <w:t>משמע שהרשב"א ס"ל דאין זה מצוה רק רשות כמו שאין מצוה שלא למחול על קינויו</w:t>
      </w:r>
      <w:r>
        <w:rPr>
          <w:rFonts w:cs="Arial" w:hint="cs"/>
          <w:rtl/>
        </w:rPr>
        <w:t>,</w:t>
      </w:r>
      <w:r w:rsidRPr="00076609">
        <w:rPr>
          <w:rFonts w:cs="Arial"/>
          <w:rtl/>
        </w:rPr>
        <w:t xml:space="preserve"> וכן משמע מלשון הרמב"ם </w:t>
      </w:r>
      <w:r>
        <w:rPr>
          <w:rFonts w:cs="Arial" w:hint="cs"/>
          <w:rtl/>
        </w:rPr>
        <w:t>(שם)...</w:t>
      </w:r>
      <w:r w:rsidRPr="00076609">
        <w:rPr>
          <w:rFonts w:cs="Arial"/>
          <w:rtl/>
        </w:rPr>
        <w:t xml:space="preserve"> והא דאמרינן בסוף המגרש דמצוה לגרשה אפשר דמיירי התם דפרוצ' ביותר דפרומ' משני צדדיה ורוחצת וכו' כדאיתא התם מיהו בפ"י מה"ג כתב הרמב"ם ושאינה צנועה כבנות ישראל הכשרו</w:t>
      </w:r>
      <w:r>
        <w:rPr>
          <w:rFonts w:cs="Arial" w:hint="cs"/>
          <w:rtl/>
        </w:rPr>
        <w:t>ת</w:t>
      </w:r>
      <w:r w:rsidRPr="00076609">
        <w:rPr>
          <w:rFonts w:cs="Arial"/>
          <w:rtl/>
        </w:rPr>
        <w:t xml:space="preserve"> מצוה לגרשה</w:t>
      </w:r>
      <w:r>
        <w:rPr>
          <w:rFonts w:cs="Arial" w:hint="cs"/>
          <w:rtl/>
        </w:rPr>
        <w:t>..., ח"מ (סקי"ח).</w:t>
      </w:r>
      <w:r>
        <w:rPr>
          <w:rFonts w:hint="cs"/>
          <w:rtl/>
        </w:rPr>
        <w:t xml:space="preserve"> אך הב"ש (סקי"ט) כתב </w:t>
      </w:r>
      <w:r>
        <w:rPr>
          <w:rFonts w:cs="Arial" w:hint="cs"/>
          <w:rtl/>
        </w:rPr>
        <w:t xml:space="preserve">דגם </w:t>
      </w:r>
      <w:r w:rsidRPr="00E003E0">
        <w:rPr>
          <w:rFonts w:cs="Arial"/>
          <w:rtl/>
        </w:rPr>
        <w:t xml:space="preserve">לשיטות תוס' והרשב"א </w:t>
      </w:r>
      <w:r>
        <w:rPr>
          <w:rFonts w:cs="Arial" w:hint="cs"/>
          <w:rtl/>
        </w:rPr>
        <w:t>ד</w:t>
      </w:r>
      <w:r w:rsidRPr="00E003E0">
        <w:rPr>
          <w:rFonts w:cs="Arial"/>
          <w:rtl/>
        </w:rPr>
        <w:t>נפשט הבעי</w:t>
      </w:r>
      <w:r>
        <w:rPr>
          <w:rFonts w:cs="Arial" w:hint="cs"/>
          <w:rtl/>
        </w:rPr>
        <w:t>א</w:t>
      </w:r>
      <w:r w:rsidRPr="00E003E0">
        <w:rPr>
          <w:rFonts w:cs="Arial"/>
          <w:rtl/>
        </w:rPr>
        <w:t xml:space="preserve"> דיכול לקיימה </w:t>
      </w:r>
      <w:r>
        <w:rPr>
          <w:rFonts w:cs="Arial" w:hint="cs"/>
          <w:rtl/>
        </w:rPr>
        <w:t xml:space="preserve">- </w:t>
      </w:r>
      <w:r w:rsidRPr="00E003E0">
        <w:rPr>
          <w:rFonts w:cs="Arial"/>
          <w:rtl/>
        </w:rPr>
        <w:t>מ"מ ס"ל מצוה לגרש אותה</w:t>
      </w:r>
      <w:r>
        <w:rPr>
          <w:rFonts w:cs="Arial" w:hint="cs"/>
          <w:rtl/>
        </w:rPr>
        <w:t>,</w:t>
      </w:r>
      <w:r w:rsidRPr="00E003E0">
        <w:rPr>
          <w:rFonts w:cs="Arial"/>
          <w:rtl/>
        </w:rPr>
        <w:t xml:space="preserve"> כמ"ש במ</w:t>
      </w:r>
      <w:r>
        <w:rPr>
          <w:rFonts w:cs="Arial" w:hint="cs"/>
          <w:rtl/>
        </w:rPr>
        <w:t>רדכי</w:t>
      </w:r>
      <w:r w:rsidRPr="00E003E0">
        <w:rPr>
          <w:rFonts w:cs="Arial"/>
          <w:rtl/>
        </w:rPr>
        <w:t xml:space="preserve"> </w:t>
      </w:r>
      <w:r>
        <w:rPr>
          <w:rFonts w:cs="Arial" w:hint="cs"/>
          <w:rtl/>
        </w:rPr>
        <w:t>ד</w:t>
      </w:r>
      <w:r w:rsidRPr="00E003E0">
        <w:rPr>
          <w:rFonts w:cs="Arial"/>
          <w:rtl/>
        </w:rPr>
        <w:t>אפילו לפי הבעי</w:t>
      </w:r>
      <w:r>
        <w:rPr>
          <w:rFonts w:cs="Arial" w:hint="cs"/>
          <w:rtl/>
        </w:rPr>
        <w:t>א</w:t>
      </w:r>
      <w:r w:rsidRPr="00E003E0">
        <w:rPr>
          <w:rFonts w:cs="Arial"/>
          <w:rtl/>
        </w:rPr>
        <w:t xml:space="preserve"> דיכול לקיימה מ"מ מצוה לגרשה</w:t>
      </w:r>
      <w:r>
        <w:rPr>
          <w:rFonts w:cs="Arial" w:hint="cs"/>
          <w:rtl/>
        </w:rPr>
        <w:t>.</w:t>
      </w:r>
      <w:r w:rsidRPr="00E003E0">
        <w:rPr>
          <w:rFonts w:cs="Arial"/>
          <w:rtl/>
        </w:rPr>
        <w:t xml:space="preserve"> מ"ה שפיר מה שפסקו דחר"ג לא שייך בזה</w:t>
      </w:r>
      <w:r>
        <w:rPr>
          <w:rFonts w:hint="cs"/>
          <w:rtl/>
        </w:rPr>
        <w:t>.</w:t>
      </w:r>
    </w:p>
  </w:footnote>
  <w:footnote w:id="3145">
    <w:p w14:paraId="1F902DEB" w14:textId="77777777" w:rsidR="00DF1FC7" w:rsidRDefault="00DF1FC7" w:rsidP="002E5BAD">
      <w:pPr>
        <w:pStyle w:val="a5"/>
      </w:pPr>
      <w:r>
        <w:rPr>
          <w:rStyle w:val="a7"/>
        </w:rPr>
        <w:footnoteRef/>
      </w:r>
      <w:r>
        <w:rPr>
          <w:rtl/>
        </w:rPr>
        <w:t xml:space="preserve"> </w:t>
      </w:r>
      <w:r w:rsidRPr="00076609">
        <w:rPr>
          <w:rFonts w:cs="Arial"/>
          <w:rtl/>
        </w:rPr>
        <w:t>ונראה אם אין מוציא אותה והיא מתנהג</w:t>
      </w:r>
      <w:r>
        <w:rPr>
          <w:rFonts w:cs="Arial" w:hint="cs"/>
          <w:rtl/>
        </w:rPr>
        <w:t>ת</w:t>
      </w:r>
      <w:r w:rsidRPr="00076609">
        <w:rPr>
          <w:rFonts w:cs="Arial"/>
          <w:rtl/>
        </w:rPr>
        <w:t xml:space="preserve"> מכאן ואילך בדרכי הצנועו</w:t>
      </w:r>
      <w:r>
        <w:rPr>
          <w:rFonts w:cs="Arial" w:hint="cs"/>
          <w:rtl/>
        </w:rPr>
        <w:t>ת</w:t>
      </w:r>
      <w:r w:rsidRPr="00076609">
        <w:rPr>
          <w:rFonts w:cs="Arial"/>
          <w:rtl/>
        </w:rPr>
        <w:t xml:space="preserve"> וחזרה ממעשיה הראשונים </w:t>
      </w:r>
      <w:r>
        <w:rPr>
          <w:rFonts w:cs="Arial" w:hint="cs"/>
          <w:rtl/>
        </w:rPr>
        <w:t xml:space="preserve">- </w:t>
      </w:r>
      <w:r w:rsidRPr="00076609">
        <w:rPr>
          <w:rFonts w:cs="Arial"/>
          <w:rtl/>
        </w:rPr>
        <w:t>אסור לדור עמה בלא כתוב</w:t>
      </w:r>
      <w:r>
        <w:rPr>
          <w:rFonts w:cs="Arial" w:hint="cs"/>
          <w:rtl/>
        </w:rPr>
        <w:t>ה</w:t>
      </w:r>
      <w:r w:rsidRPr="00076609">
        <w:rPr>
          <w:rFonts w:cs="Arial"/>
          <w:rtl/>
        </w:rPr>
        <w:t xml:space="preserve"> וצריך לכתוב לה כתובה אחרת דכתוב</w:t>
      </w:r>
      <w:r>
        <w:rPr>
          <w:rFonts w:cs="Arial" w:hint="cs"/>
          <w:rtl/>
        </w:rPr>
        <w:t>ה</w:t>
      </w:r>
      <w:r w:rsidRPr="00076609">
        <w:rPr>
          <w:rFonts w:cs="Arial"/>
          <w:rtl/>
        </w:rPr>
        <w:t xml:space="preserve"> הראשונ</w:t>
      </w:r>
      <w:r>
        <w:rPr>
          <w:rFonts w:cs="Arial" w:hint="cs"/>
          <w:rtl/>
        </w:rPr>
        <w:t>ה</w:t>
      </w:r>
      <w:r w:rsidRPr="00076609">
        <w:rPr>
          <w:rFonts w:cs="Arial"/>
          <w:rtl/>
        </w:rPr>
        <w:t xml:space="preserve"> נמחל שעבודה בשעה שעברה על התראתו</w:t>
      </w:r>
      <w:r>
        <w:rPr>
          <w:rFonts w:cs="Arial" w:hint="cs"/>
          <w:rtl/>
        </w:rPr>
        <w:t>, ח"מ (סקי"ח).</w:t>
      </w:r>
      <w:r>
        <w:rPr>
          <w:rFonts w:hint="cs"/>
          <w:rtl/>
        </w:rPr>
        <w:t xml:space="preserve"> והביאו הב"ש (סקי"ט).</w:t>
      </w:r>
    </w:p>
  </w:footnote>
  <w:footnote w:id="3146">
    <w:p w14:paraId="793E463E" w14:textId="77777777" w:rsidR="00DF1FC7" w:rsidRDefault="00DF1FC7" w:rsidP="002E5BAD">
      <w:pPr>
        <w:pStyle w:val="a5"/>
      </w:pPr>
      <w:r>
        <w:rPr>
          <w:rStyle w:val="a7"/>
        </w:rPr>
        <w:footnoteRef/>
      </w:r>
      <w:r>
        <w:rPr>
          <w:rtl/>
        </w:rPr>
        <w:t xml:space="preserve"> </w:t>
      </w:r>
      <w:r>
        <w:rPr>
          <w:rFonts w:hint="cs"/>
          <w:rtl/>
        </w:rPr>
        <w:t xml:space="preserve">וז"ל- </w:t>
      </w:r>
      <w:r w:rsidRPr="00E863A5">
        <w:rPr>
          <w:rFonts w:cs="Arial"/>
          <w:rtl/>
        </w:rPr>
        <w:t>על ראובן שראה באשתו דברים מראים שזינתה אם תיקן בזה רבינו גרשון שלא יגרשנה והשיב כל כה"ג חס ושלום שלא יתקן הרב שלא יגרשנה אדרבא הרב מצריך לגרשה כדי שלא תהא רשעה בתוך ביתו דלא גרע מרוכל יוצא ואשה חוגרת בסינר וכו' (יבמות כד:) ואפילו אם תמצא לומר שהוא מדת חסידות מכל מקום היאך יתקן הרב שלא יתנהג במדת חסידות</w:t>
      </w:r>
      <w:r>
        <w:rPr>
          <w:rFonts w:cs="Arial" w:hint="cs"/>
          <w:rtl/>
        </w:rPr>
        <w:t>.</w:t>
      </w:r>
    </w:p>
  </w:footnote>
  <w:footnote w:id="3147">
    <w:p w14:paraId="6519A95D" w14:textId="77777777" w:rsidR="00DF1FC7" w:rsidRDefault="00DF1FC7" w:rsidP="002E5BAD">
      <w:pPr>
        <w:pStyle w:val="a5"/>
      </w:pPr>
      <w:r>
        <w:rPr>
          <w:rStyle w:val="a7"/>
        </w:rPr>
        <w:footnoteRef/>
      </w:r>
      <w:r>
        <w:rPr>
          <w:rtl/>
        </w:rPr>
        <w:t xml:space="preserve"> </w:t>
      </w:r>
      <w:r w:rsidRPr="0039471B">
        <w:rPr>
          <w:rFonts w:cs="Arial"/>
          <w:rtl/>
        </w:rPr>
        <w:t xml:space="preserve">וכן הוא בתשובת מהרי"ק </w:t>
      </w:r>
      <w:r>
        <w:rPr>
          <w:rFonts w:cs="Arial" w:hint="cs"/>
          <w:rtl/>
        </w:rPr>
        <w:t>(</w:t>
      </w:r>
      <w:r w:rsidRPr="0039471B">
        <w:rPr>
          <w:rFonts w:cs="Arial"/>
          <w:rtl/>
        </w:rPr>
        <w:t>שורש קו</w:t>
      </w:r>
      <w:r>
        <w:rPr>
          <w:rFonts w:cs="Arial" w:hint="cs"/>
          <w:rtl/>
        </w:rPr>
        <w:t>)</w:t>
      </w:r>
      <w:r w:rsidRPr="0039471B">
        <w:rPr>
          <w:rFonts w:cs="Arial"/>
          <w:rtl/>
        </w:rPr>
        <w:t xml:space="preserve"> דעוברת על דת מותר לגרשה בעל כרחה וכן הוא בתשובת מוהר"ם פאדו"ה </w:t>
      </w:r>
      <w:r>
        <w:rPr>
          <w:rFonts w:cs="Arial" w:hint="cs"/>
          <w:rtl/>
        </w:rPr>
        <w:t>(</w:t>
      </w:r>
      <w:r w:rsidRPr="0039471B">
        <w:rPr>
          <w:rFonts w:cs="Arial"/>
          <w:rtl/>
        </w:rPr>
        <w:t>סימן י"ג וי"ט</w:t>
      </w:r>
      <w:r>
        <w:rPr>
          <w:rFonts w:cs="Arial" w:hint="cs"/>
          <w:rtl/>
        </w:rPr>
        <w:t>).</w:t>
      </w:r>
      <w:r w:rsidRPr="0039471B">
        <w:rPr>
          <w:rFonts w:cs="Arial"/>
          <w:rtl/>
        </w:rPr>
        <w:t xml:space="preserve"> ובסימן ח' שם כתב דאף חרשת מותר לגרש דלא גרע ממגרש בעל כרחה</w:t>
      </w:r>
      <w:r>
        <w:rPr>
          <w:rFonts w:cs="Arial" w:hint="cs"/>
          <w:rtl/>
        </w:rPr>
        <w:t>, דרכ"מ (</w:t>
      </w:r>
      <w:r>
        <w:rPr>
          <w:rFonts w:hint="cs"/>
          <w:rtl/>
        </w:rPr>
        <w:t>סימן קיט אות ב).</w:t>
      </w:r>
    </w:p>
  </w:footnote>
  <w:footnote w:id="3148">
    <w:p w14:paraId="248343E8" w14:textId="77777777" w:rsidR="00DF1FC7" w:rsidRDefault="00DF1FC7" w:rsidP="002E5BAD">
      <w:pPr>
        <w:pStyle w:val="a5"/>
      </w:pPr>
      <w:r>
        <w:rPr>
          <w:rStyle w:val="a7"/>
        </w:rPr>
        <w:footnoteRef/>
      </w:r>
      <w:r>
        <w:rPr>
          <w:rtl/>
        </w:rPr>
        <w:t xml:space="preserve"> </w:t>
      </w:r>
      <w:r w:rsidRPr="00054A1B">
        <w:rPr>
          <w:rFonts w:cs="Arial"/>
          <w:rtl/>
        </w:rPr>
        <w:t xml:space="preserve">ובסמ"ק </w:t>
      </w:r>
      <w:r>
        <w:rPr>
          <w:rFonts w:cs="Arial" w:hint="cs"/>
          <w:rtl/>
        </w:rPr>
        <w:t>(</w:t>
      </w:r>
      <w:r w:rsidRPr="00054A1B">
        <w:rPr>
          <w:rFonts w:cs="Arial"/>
          <w:rtl/>
        </w:rPr>
        <w:t>ריש סימן קפד</w:t>
      </w:r>
      <w:r>
        <w:rPr>
          <w:rFonts w:cs="Arial" w:hint="cs"/>
          <w:rtl/>
        </w:rPr>
        <w:t>)</w:t>
      </w:r>
      <w:r w:rsidRPr="00054A1B">
        <w:rPr>
          <w:rFonts w:cs="Arial"/>
          <w:rtl/>
        </w:rPr>
        <w:t xml:space="preserve"> משמע דאפילו אם רוצה ליתן לה כתובתה איכא תקנת רבינו גרשום שלא לגרשה אא</w:t>
      </w:r>
      <w:r>
        <w:rPr>
          <w:rFonts w:cs="Arial" w:hint="cs"/>
          <w:rtl/>
        </w:rPr>
        <w:t>"</w:t>
      </w:r>
      <w:r w:rsidRPr="00054A1B">
        <w:rPr>
          <w:rFonts w:cs="Arial"/>
          <w:rtl/>
        </w:rPr>
        <w:t>כ יש עדים שעברה על דת</w:t>
      </w:r>
      <w:r>
        <w:rPr>
          <w:rFonts w:cs="Arial" w:hint="cs"/>
          <w:rtl/>
        </w:rPr>
        <w:t>.</w:t>
      </w:r>
      <w:r w:rsidRPr="00054A1B">
        <w:rPr>
          <w:rFonts w:cs="Arial"/>
          <w:rtl/>
        </w:rPr>
        <w:t xml:space="preserve"> וכן נראה משם סוף סימן קפ"ט</w:t>
      </w:r>
      <w:r>
        <w:rPr>
          <w:rFonts w:cs="Arial" w:hint="cs"/>
          <w:rtl/>
        </w:rPr>
        <w:t>.</w:t>
      </w:r>
      <w:r w:rsidRPr="00054A1B">
        <w:rPr>
          <w:rFonts w:cs="Arial"/>
          <w:rtl/>
        </w:rPr>
        <w:t xml:space="preserve"> וכן משמע בהדיא בתשובת הרא"ש </w:t>
      </w:r>
      <w:r>
        <w:rPr>
          <w:rFonts w:cs="Arial" w:hint="cs"/>
          <w:rtl/>
        </w:rPr>
        <w:t>(</w:t>
      </w:r>
      <w:r w:rsidRPr="00054A1B">
        <w:rPr>
          <w:rFonts w:cs="Arial"/>
          <w:rtl/>
        </w:rPr>
        <w:t>כלל מב סימן א</w:t>
      </w:r>
      <w:r>
        <w:rPr>
          <w:rFonts w:cs="Arial" w:hint="cs"/>
          <w:rtl/>
        </w:rPr>
        <w:t>),</w:t>
      </w:r>
      <w:r w:rsidRPr="00054A1B">
        <w:rPr>
          <w:rFonts w:cs="Arial"/>
          <w:rtl/>
        </w:rPr>
        <w:t xml:space="preserve"> ועיי"ש כי האריך בזה. אמנם מלשון המרדכי סוף פרק הבא על יבמתו (סי' נה) לא משמע כן</w:t>
      </w:r>
      <w:r>
        <w:rPr>
          <w:rFonts w:cs="Arial" w:hint="cs"/>
          <w:rtl/>
        </w:rPr>
        <w:t>.</w:t>
      </w:r>
      <w:r w:rsidRPr="00054A1B">
        <w:rPr>
          <w:rFonts w:cs="Arial"/>
          <w:rtl/>
        </w:rPr>
        <w:t xml:space="preserve"> ועיין לעיל סימן א' (אות יב) כתבתי דברי המרדכי ההוא. ועיין בתשובת מהר"ם פאדו"ה סימן י"ג מדינים אלו</w:t>
      </w:r>
      <w:r>
        <w:rPr>
          <w:rFonts w:cs="Arial" w:hint="cs"/>
          <w:rtl/>
        </w:rPr>
        <w:t>, דרכ"מ (סימן קיט אות א).</w:t>
      </w:r>
    </w:p>
  </w:footnote>
  <w:footnote w:id="3149">
    <w:p w14:paraId="5AD0DD11" w14:textId="77777777" w:rsidR="00DF1FC7" w:rsidRDefault="00DF1FC7" w:rsidP="002E5BAD">
      <w:pPr>
        <w:pStyle w:val="a5"/>
      </w:pPr>
      <w:r>
        <w:rPr>
          <w:rStyle w:val="a7"/>
        </w:rPr>
        <w:footnoteRef/>
      </w:r>
      <w:r>
        <w:rPr>
          <w:rtl/>
        </w:rPr>
        <w:t xml:space="preserve"> </w:t>
      </w:r>
      <w:r>
        <w:rPr>
          <w:rFonts w:hint="cs"/>
          <w:rtl/>
        </w:rPr>
        <w:t xml:space="preserve">וז"ל- </w:t>
      </w:r>
      <w:r w:rsidRPr="00AD2796">
        <w:rPr>
          <w:rFonts w:cs="Arial"/>
          <w:rtl/>
        </w:rPr>
        <w:t xml:space="preserve">שאלה: אשה אחת אשת ישראל רגילה להתייחד בבתי נכרים לפעמים בלילה כמו ביום ע"י סרסרות ומשא ומתן שיש לה עם נכרים, ודרכה ללכת לכפרים ולשהות הרבה פעמים יחידה בין הנכרים כמו ח' ימים ויותר, ורגילה להקיף מן הנכרים מה שאין לה לפרוע ועי"כ באתה הרבה פעמים לידי תפיסה שנחבשה יחידית בין הנכרים ימים ושבועים, שריא לבעלה או אסורה או נקראת לכל הפחות עוברת על דת או לאו? </w:t>
      </w:r>
      <w:r>
        <w:rPr>
          <w:rFonts w:cs="Arial" w:hint="cs"/>
          <w:rtl/>
        </w:rPr>
        <w:t xml:space="preserve">     </w:t>
      </w:r>
      <w:r w:rsidRPr="00AD2796">
        <w:rPr>
          <w:rFonts w:cs="Arial"/>
          <w:rtl/>
        </w:rPr>
        <w:t>תשובה:</w:t>
      </w:r>
      <w:r>
        <w:rPr>
          <w:rFonts w:cs="Arial" w:hint="cs"/>
          <w:rtl/>
        </w:rPr>
        <w:t>...</w:t>
      </w:r>
      <w:r w:rsidRPr="00AD2796">
        <w:rPr>
          <w:rFonts w:cs="Arial"/>
          <w:rtl/>
        </w:rPr>
        <w:t xml:space="preserve"> אפס נראה דהך איתתא דנ"ד נהי נמי דאינה נאסרת על בעל כדברירנא לעיל, מ"מ עוברת על דת מיקרי הואיל ונתיחדה מרצונה כמה פעמים בין הנכרים </w:t>
      </w:r>
      <w:r>
        <w:rPr>
          <w:rFonts w:cs="Arial" w:hint="cs"/>
          <w:sz w:val="16"/>
          <w:szCs w:val="16"/>
          <w:rtl/>
        </w:rPr>
        <w:t>(</w:t>
      </w:r>
      <w:r w:rsidRPr="00AD2796">
        <w:rPr>
          <w:rFonts w:cs="Arial"/>
          <w:sz w:val="16"/>
          <w:szCs w:val="16"/>
          <w:rtl/>
        </w:rPr>
        <w:t xml:space="preserve">דהא פריך תלמודא פ' המדיר </w:t>
      </w:r>
      <w:r w:rsidRPr="00AD2796">
        <w:rPr>
          <w:rFonts w:cs="Arial" w:hint="cs"/>
          <w:sz w:val="16"/>
          <w:szCs w:val="16"/>
          <w:rtl/>
        </w:rPr>
        <w:t>(</w:t>
      </w:r>
      <w:r w:rsidRPr="00AD2796">
        <w:rPr>
          <w:rFonts w:cs="Arial"/>
          <w:sz w:val="16"/>
          <w:szCs w:val="16"/>
          <w:rtl/>
        </w:rPr>
        <w:t>כתובות</w:t>
      </w:r>
      <w:r w:rsidRPr="00AD2796">
        <w:rPr>
          <w:rFonts w:cs="Arial" w:hint="cs"/>
          <w:sz w:val="16"/>
          <w:szCs w:val="16"/>
          <w:rtl/>
        </w:rPr>
        <w:t xml:space="preserve"> עב.)</w:t>
      </w:r>
      <w:r w:rsidRPr="00AD2796">
        <w:rPr>
          <w:rFonts w:cs="Arial"/>
          <w:sz w:val="16"/>
          <w:szCs w:val="16"/>
          <w:rtl/>
        </w:rPr>
        <w:t xml:space="preserve"> הלכה בשוק וראשה פרוע דאורייתא היא דכתיב ופרע את ראש האשה כו', פרש"י אמאי קרית ליה דת יהודית דת משה היא</w:t>
      </w:r>
      <w:r w:rsidRPr="00AD2796">
        <w:rPr>
          <w:rFonts w:cs="Arial" w:hint="cs"/>
          <w:sz w:val="16"/>
          <w:szCs w:val="16"/>
          <w:rtl/>
        </w:rPr>
        <w:t>.</w:t>
      </w:r>
      <w:r w:rsidRPr="00AD2796">
        <w:rPr>
          <w:rFonts w:cs="Arial"/>
          <w:sz w:val="16"/>
          <w:szCs w:val="16"/>
          <w:rtl/>
        </w:rPr>
        <w:t xml:space="preserve"> ויחוד אשת איש נמי דאורייתא כדאיתא פ' אין מעמידין. ואף על גב דרמב"ם כתב דאינו אלא מדברי קבלה הא איהו נמי כתב דפריעת ראש באשה אינו אלא זהירות מדרבנן כדמוכח מלשונו,</w:t>
      </w:r>
      <w:r w:rsidRPr="00AD2796">
        <w:rPr>
          <w:rFonts w:cs="Arial" w:hint="cs"/>
          <w:sz w:val="16"/>
          <w:szCs w:val="16"/>
          <w:rtl/>
        </w:rPr>
        <w:t xml:space="preserve"> </w:t>
      </w:r>
      <w:r w:rsidRPr="00AD2796">
        <w:rPr>
          <w:rFonts w:cs="Arial"/>
          <w:sz w:val="16"/>
          <w:szCs w:val="16"/>
          <w:rtl/>
        </w:rPr>
        <w:t>ומסתמא ס"ל הא דפריך תלמודא דאורייתא ר"ל רמז דאורייתא יש לה, וא"כ ה"ה יחוד נמי. וכן משמע פרש"י נמי פ' ארוסה במס' סוטה דפריך תלמודא מישתא הוא דלא שתיא הא קנוייה מקניא לה מאי לאו להפסיד כתובתה, אמר אביי לא לאוסרה עליו, ופרש"י מאי לאו להפסיד כתובתה דזו היא העוברת על דת שנסתרה עם אנשים כלומר אף על פי שאינו אלא להפסיד כתובתה בעי קנוי והתראה, ודחה אביי לא לאסרה כלומר דווקא לאוסרה בעי קנוי והתראה אבל להפסיד כתובתה לא</w:t>
      </w:r>
      <w:r w:rsidRPr="00AD2796">
        <w:rPr>
          <w:rFonts w:cs="Arial" w:hint="cs"/>
          <w:sz w:val="16"/>
          <w:szCs w:val="16"/>
          <w:rtl/>
        </w:rPr>
        <w:t>)</w:t>
      </w:r>
      <w:r w:rsidRPr="00AD2796">
        <w:rPr>
          <w:rFonts w:cs="Arial"/>
          <w:rtl/>
        </w:rPr>
        <w:t xml:space="preserve"> הא קמן דמתייחדה מרצונה מקרי עוברת על דת כ"ש הנסתרת עם הנכרים דשטופי זמה הם, ואין זה צריך פנים דא"צ כ"כ ראייה אפי' אי לא הוי נסתרה ומתייחדת מרצונה, אלא שגרמה כמה פעמים ע"י הקפותה ובלבוליה שנחבשת בין הנכרים בלתי שומר, ומעיד להחשיבה כמזיד להתייחד </w:t>
      </w:r>
      <w:r w:rsidRPr="00AD2796">
        <w:rPr>
          <w:rFonts w:cs="Arial" w:hint="cs"/>
          <w:sz w:val="16"/>
          <w:szCs w:val="16"/>
          <w:rtl/>
        </w:rPr>
        <w:t>(</w:t>
      </w:r>
      <w:r w:rsidRPr="00AD2796">
        <w:rPr>
          <w:rFonts w:cs="Arial"/>
          <w:sz w:val="16"/>
          <w:szCs w:val="16"/>
          <w:rtl/>
        </w:rPr>
        <w:t xml:space="preserve">כדאמרינן פ' השולח </w:t>
      </w:r>
      <w:r w:rsidRPr="00AD2796">
        <w:rPr>
          <w:rFonts w:cs="Arial" w:hint="cs"/>
          <w:sz w:val="16"/>
          <w:szCs w:val="16"/>
          <w:rtl/>
        </w:rPr>
        <w:t>(</w:t>
      </w:r>
      <w:r w:rsidRPr="00AD2796">
        <w:rPr>
          <w:rFonts w:cs="Arial"/>
          <w:sz w:val="16"/>
          <w:szCs w:val="16"/>
          <w:rtl/>
        </w:rPr>
        <w:t>גיטין מו</w:t>
      </w:r>
      <w:r w:rsidRPr="00AD2796">
        <w:rPr>
          <w:rFonts w:cs="Arial" w:hint="cs"/>
          <w:sz w:val="16"/>
          <w:szCs w:val="16"/>
          <w:rtl/>
        </w:rPr>
        <w:t>:)</w:t>
      </w:r>
      <w:r w:rsidRPr="00AD2796">
        <w:rPr>
          <w:rFonts w:cs="Arial"/>
          <w:sz w:val="16"/>
          <w:szCs w:val="16"/>
          <w:rtl/>
        </w:rPr>
        <w:t xml:space="preserve"> גבי הנהו דבני מכסי דהוי יזפי מנכרים ואתי וגרבי להו, ומסיק כיון דרגילי בהכי כמו שמסרו את עצמם מרצונם ושנו ושלשו</w:t>
      </w:r>
      <w:r>
        <w:rPr>
          <w:rFonts w:cs="Arial" w:hint="cs"/>
          <w:sz w:val="16"/>
          <w:szCs w:val="16"/>
          <w:rtl/>
        </w:rPr>
        <w:t>)</w:t>
      </w:r>
      <w:r w:rsidRPr="00AD2796">
        <w:rPr>
          <w:rFonts w:cs="Arial"/>
          <w:rtl/>
        </w:rPr>
        <w:t>. וא"כ הואיל וחשיב עוברת על דת מצוה לגרשה, ואם אינו מוציאה נקרא רשע</w:t>
      </w:r>
      <w:r>
        <w:rPr>
          <w:rFonts w:cs="Arial" w:hint="cs"/>
          <w:rtl/>
        </w:rPr>
        <w:t>..</w:t>
      </w:r>
      <w:r w:rsidRPr="00AD2796">
        <w:rPr>
          <w:rFonts w:cs="Arial"/>
          <w:rtl/>
        </w:rPr>
        <w:t xml:space="preserve">. אלא דלענין להפסיד כתובתה בעינן התראה כדמסיק במס' סוטה </w:t>
      </w:r>
      <w:r>
        <w:rPr>
          <w:rFonts w:cs="Arial" w:hint="cs"/>
          <w:rtl/>
        </w:rPr>
        <w:t>(</w:t>
      </w:r>
      <w:r w:rsidRPr="00AD2796">
        <w:rPr>
          <w:rFonts w:cs="Arial"/>
          <w:rtl/>
        </w:rPr>
        <w:t>פ' ארוסה כה</w:t>
      </w:r>
      <w:r>
        <w:rPr>
          <w:rFonts w:cs="Arial" w:hint="cs"/>
          <w:rtl/>
        </w:rPr>
        <w:t>.)</w:t>
      </w:r>
      <w:r w:rsidRPr="00AD2796">
        <w:rPr>
          <w:rFonts w:cs="Arial"/>
          <w:rtl/>
        </w:rPr>
        <w:t xml:space="preserve"> דעוברת על דת צריכה התראה להפסיד כתובתה. אמנם היה נראה קצת דאיתתא דכה"ג דרגילה להתייחד בין הנכרים שטופי זמה בכמה גווני קעבדית כמה מיני חוצפות יתירא לא בעי התראה להפסיד כתובתה. ונראה ראייה לזה מפ' ארוסה דלעיל דקפשיט התם במסקנא מאשת מי שנתחרש או חבוש בבית האסורים דב"ד מקנין אותו לאשתו ולא להשקותה אלא לפוסלה מכתובתה, אלמא בעי התראה ש"מ. וקאמר תלמודא וכולהו מ"ט לא פשטא מהא דשאני התם דלית לה אימתא דבעל כלל, ופרש"י דמש"ה לא חשיב פריצותא אא"כ התרה בה, אבל איתתא דאית לה אימתא דבעל איכא למימר דבלא התראה איכא פריצותא מדלא אשגחה אבעלה. הא קמן דטעם דהתראה משום פריצותא וחציפותא הוא, נהי נמי דמסיק תלמודא ופשט מאשת מי שנתחרש ולא מפליג בין היכא דאיכא אימתא דבעלה ובין היכא דליכא אימתא, נוכל לומר דהיינו משום דסבר דלא חשיב פריצותא כ"כ הא דלא אשגחה אבעלה, אבל מ"מ סברו אמוראי קמאי דלא מדחינן לגמרי דבפריצותא חוצפה תליא מילתא, ואימא כל היכא דאיכא פריצותא יתירתא נשארת הסברא דלא בעי התראה בכה"ג, ומפני שאנו מדמין לא נעשה מעשה</w:t>
      </w:r>
      <w:r>
        <w:rPr>
          <w:rFonts w:cs="Arial" w:hint="cs"/>
          <w:rtl/>
        </w:rPr>
        <w:t>.</w:t>
      </w:r>
    </w:p>
  </w:footnote>
  <w:footnote w:id="3150">
    <w:p w14:paraId="19BDC173" w14:textId="77777777" w:rsidR="00DF1FC7" w:rsidRDefault="00DF1FC7" w:rsidP="002E5BAD">
      <w:pPr>
        <w:pStyle w:val="a5"/>
      </w:pPr>
      <w:r>
        <w:rPr>
          <w:rStyle w:val="a7"/>
        </w:rPr>
        <w:footnoteRef/>
      </w:r>
      <w:r>
        <w:rPr>
          <w:rtl/>
        </w:rPr>
        <w:t xml:space="preserve"> </w:t>
      </w:r>
      <w:r>
        <w:rPr>
          <w:rFonts w:cs="Arial"/>
          <w:rtl/>
        </w:rPr>
        <w:t>ואיני יודע זו מנין לו</w:t>
      </w:r>
      <w:r>
        <w:rPr>
          <w:rFonts w:cs="Arial" w:hint="cs"/>
          <w:rtl/>
        </w:rPr>
        <w:t>.</w:t>
      </w:r>
      <w:r>
        <w:rPr>
          <w:rFonts w:cs="Arial"/>
          <w:rtl/>
        </w:rPr>
        <w:t xml:space="preserve"> ואיפשר שהוא לומד כן בקל וחומר ממקללת יולדיו בפניו</w:t>
      </w:r>
      <w:r>
        <w:rPr>
          <w:rFonts w:cs="Arial" w:hint="cs"/>
          <w:rtl/>
        </w:rPr>
        <w:t xml:space="preserve"> -</w:t>
      </w:r>
      <w:r>
        <w:rPr>
          <w:rFonts w:cs="Arial"/>
          <w:rtl/>
        </w:rPr>
        <w:t xml:space="preserve"> וקל וחומר פריכא הוא</w:t>
      </w:r>
      <w:r>
        <w:rPr>
          <w:rFonts w:cs="Arial" w:hint="cs"/>
          <w:rtl/>
        </w:rPr>
        <w:t>.</w:t>
      </w:r>
      <w:r>
        <w:rPr>
          <w:rFonts w:cs="Arial"/>
          <w:rtl/>
        </w:rPr>
        <w:t xml:space="preserve"> דאיכא למימר שאני מקללת יולדיו בפניו דחמור כיבוד האב</w:t>
      </w:r>
      <w:r>
        <w:rPr>
          <w:rFonts w:cs="Arial" w:hint="cs"/>
          <w:rtl/>
        </w:rPr>
        <w:t>.</w:t>
      </w:r>
      <w:r>
        <w:rPr>
          <w:rFonts w:cs="Arial"/>
          <w:rtl/>
        </w:rPr>
        <w:t xml:space="preserve"> ועוד ד</w:t>
      </w:r>
      <w:r>
        <w:rPr>
          <w:rFonts w:cs="Arial" w:hint="cs"/>
          <w:rtl/>
        </w:rPr>
        <w:t>א"</w:t>
      </w:r>
      <w:r>
        <w:rPr>
          <w:rFonts w:cs="Arial"/>
          <w:rtl/>
        </w:rPr>
        <w:t>כ לא הוה משתמיט חד מהפוסקים לומר כן</w:t>
      </w:r>
      <w:r>
        <w:rPr>
          <w:rFonts w:cs="Arial" w:hint="cs"/>
          <w:rtl/>
        </w:rPr>
        <w:t xml:space="preserve">, ב"י. </w:t>
      </w:r>
      <w:r w:rsidRPr="00133020">
        <w:rPr>
          <w:rFonts w:cs="Arial"/>
          <w:rtl/>
        </w:rPr>
        <w:t>ול</w:t>
      </w:r>
      <w:r>
        <w:rPr>
          <w:rFonts w:cs="Arial" w:hint="cs"/>
          <w:rtl/>
        </w:rPr>
        <w:t xml:space="preserve">י </w:t>
      </w:r>
      <w:r w:rsidRPr="00133020">
        <w:rPr>
          <w:rFonts w:cs="Arial"/>
          <w:rtl/>
        </w:rPr>
        <w:t>נ</w:t>
      </w:r>
      <w:r>
        <w:rPr>
          <w:rFonts w:cs="Arial" w:hint="cs"/>
          <w:rtl/>
        </w:rPr>
        <w:t>ראה</w:t>
      </w:r>
      <w:r w:rsidRPr="00133020">
        <w:rPr>
          <w:rFonts w:cs="Arial"/>
          <w:rtl/>
        </w:rPr>
        <w:t xml:space="preserve"> דס"ל כהג"מ דמקללות זקנו של בעל בפני הבעל ואין הבעל חייב בכבודו מ"מ דינה כמקללות מכ"ש המקלל' בעלה בפניו</w:t>
      </w:r>
      <w:r>
        <w:rPr>
          <w:rFonts w:cs="Arial" w:hint="cs"/>
          <w:rtl/>
        </w:rPr>
        <w:t>, ב"ש (סקט"ז).</w:t>
      </w:r>
      <w:r w:rsidRPr="00133020">
        <w:rPr>
          <w:rFonts w:cs="Arial"/>
          <w:rtl/>
        </w:rPr>
        <w:t xml:space="preserve"> </w:t>
      </w:r>
      <w:r w:rsidRPr="00026E9E">
        <w:rPr>
          <w:rFonts w:cs="Arial"/>
          <w:rtl/>
        </w:rPr>
        <w:t xml:space="preserve">ועיין לקמן סי' קנד </w:t>
      </w:r>
      <w:r>
        <w:rPr>
          <w:rFonts w:cs="Arial" w:hint="cs"/>
          <w:rtl/>
        </w:rPr>
        <w:t xml:space="preserve">סע' ג בדברי הרמ"א, ובדרכ"מ שם (אות כא), ששם מביא כמה דינים לגבי מי שאשתו מקללתו או מזלזלת בהוריו/בהוריה. </w:t>
      </w:r>
    </w:p>
  </w:footnote>
  <w:footnote w:id="3151">
    <w:p w14:paraId="1FB31E50" w14:textId="77777777" w:rsidR="00DF1FC7" w:rsidRDefault="00DF1FC7" w:rsidP="002E5BAD">
      <w:pPr>
        <w:pStyle w:val="a5"/>
      </w:pPr>
      <w:r>
        <w:rPr>
          <w:rStyle w:val="a7"/>
        </w:rPr>
        <w:footnoteRef/>
      </w:r>
      <w:r>
        <w:rPr>
          <w:rtl/>
        </w:rPr>
        <w:t xml:space="preserve"> </w:t>
      </w:r>
      <w:r w:rsidRPr="00A3390B">
        <w:rPr>
          <w:rFonts w:cs="Arial"/>
          <w:rtl/>
        </w:rPr>
        <w:t>ואיני יודע למה לא טען עליהם מטעם דעוברת על דת צריכה התראה כדלקמן</w:t>
      </w:r>
      <w:r>
        <w:rPr>
          <w:rFonts w:cs="Arial" w:hint="cs"/>
          <w:rtl/>
        </w:rPr>
        <w:t>, ב"י.</w:t>
      </w:r>
      <w:r w:rsidRPr="00026E9E">
        <w:rPr>
          <w:rFonts w:cs="Arial"/>
          <w:rtl/>
        </w:rPr>
        <w:t xml:space="preserve"> ונראה דמיירי בהתרו בה דאי לאו הכי אפילו הוי עוברת לא הפסידה כתובתה כדלקמן</w:t>
      </w:r>
      <w:r>
        <w:rPr>
          <w:rFonts w:cs="Arial" w:hint="cs"/>
          <w:rtl/>
        </w:rPr>
        <w:t>, דרכ"מ (אות ה).</w:t>
      </w:r>
      <w:r>
        <w:rPr>
          <w:rFonts w:hint="cs"/>
          <w:rtl/>
        </w:rPr>
        <w:t xml:space="preserve"> ועיין בב"ש (סקי"א) המובא בסמוך על דברי השו"ע, שיישב שהרשב"א כתב כך משום שעשתה כך מתוך כעס ולא מכוונת פריצות, אבל גם הוא מודה שאם עשתה כן מכוונת פריצות אפי' פעם אחת סגי.</w:t>
      </w:r>
    </w:p>
  </w:footnote>
  <w:footnote w:id="3152">
    <w:p w14:paraId="359EAC1E" w14:textId="77777777" w:rsidR="00DF1FC7" w:rsidRDefault="00DF1FC7" w:rsidP="002E5BAD">
      <w:pPr>
        <w:pStyle w:val="a5"/>
      </w:pPr>
      <w:r>
        <w:rPr>
          <w:rStyle w:val="a7"/>
        </w:rPr>
        <w:footnoteRef/>
      </w:r>
      <w:r>
        <w:rPr>
          <w:rtl/>
        </w:rPr>
        <w:t xml:space="preserve"> </w:t>
      </w:r>
      <w:r w:rsidRPr="00026E9E">
        <w:rPr>
          <w:rFonts w:cs="Arial"/>
          <w:rtl/>
        </w:rPr>
        <w:t>וצ"ע דהא אין הבעל חייב בכבוד זקנו כבכבוד אביו ואין ראיה מזה לזה</w:t>
      </w:r>
      <w:r>
        <w:rPr>
          <w:rFonts w:cs="Arial" w:hint="cs"/>
          <w:rtl/>
        </w:rPr>
        <w:t>, דרכ"מ (אות ו).</w:t>
      </w:r>
      <w:r>
        <w:rPr>
          <w:rFonts w:hint="cs"/>
          <w:rtl/>
        </w:rPr>
        <w:t xml:space="preserve"> ועוד שהתוס' (עב: ד"ה יולידיו) הביאו פירוש זה ודחו אותו.</w:t>
      </w:r>
    </w:p>
  </w:footnote>
  <w:footnote w:id="3153">
    <w:p w14:paraId="233DD890" w14:textId="77777777" w:rsidR="00DF1FC7" w:rsidRDefault="00DF1FC7" w:rsidP="002E5BAD">
      <w:pPr>
        <w:pStyle w:val="a5"/>
      </w:pPr>
      <w:r>
        <w:rPr>
          <w:rStyle w:val="a7"/>
        </w:rPr>
        <w:footnoteRef/>
      </w:r>
      <w:r>
        <w:rPr>
          <w:rtl/>
        </w:rPr>
        <w:t xml:space="preserve"> </w:t>
      </w:r>
      <w:r w:rsidRPr="00D37E8C">
        <w:rPr>
          <w:rFonts w:cs="Arial"/>
          <w:rtl/>
        </w:rPr>
        <w:t xml:space="preserve">מיהו כיון דלא התרה בה בעדים אינה יוצאה בלא כתובה, דהא מסקינן בפרק ארוסה </w:t>
      </w:r>
      <w:r>
        <w:rPr>
          <w:rFonts w:cs="Arial" w:hint="cs"/>
          <w:rtl/>
        </w:rPr>
        <w:t>(</w:t>
      </w:r>
      <w:r w:rsidRPr="00D37E8C">
        <w:rPr>
          <w:rFonts w:cs="Arial"/>
          <w:rtl/>
        </w:rPr>
        <w:t>סוטה כה</w:t>
      </w:r>
      <w:r>
        <w:rPr>
          <w:rFonts w:cs="Arial" w:hint="cs"/>
          <w:rtl/>
        </w:rPr>
        <w:t>.)</w:t>
      </w:r>
      <w:r w:rsidRPr="00D37E8C">
        <w:rPr>
          <w:rFonts w:cs="Arial"/>
          <w:rtl/>
        </w:rPr>
        <w:t xml:space="preserve"> דעוברת על דת צריכה התראה לעניין להפסידה כתובתה. ואם יש עדים שעברה על דת, ואין עדים שהתרה בה וגם היא אומרת שלא התרה בה, יכול לגרשה בעל כרחה, מיהו לאחר שיגרשנה יצטרך ליתן לה כתובה כיון דאמרה דלא התרה בה ועידי התראה נמי ליכא</w:t>
      </w:r>
      <w:r>
        <w:rPr>
          <w:rFonts w:cs="Arial" w:hint="cs"/>
          <w:rtl/>
        </w:rPr>
        <w:t>, מהר"ם (שם).</w:t>
      </w:r>
    </w:p>
  </w:footnote>
  <w:footnote w:id="3154">
    <w:p w14:paraId="16A9C1BD" w14:textId="77777777" w:rsidR="00DF1FC7" w:rsidRDefault="00DF1FC7" w:rsidP="002E5BAD">
      <w:pPr>
        <w:pStyle w:val="a5"/>
        <w:rPr>
          <w:rtl/>
        </w:rPr>
      </w:pPr>
      <w:r>
        <w:rPr>
          <w:rStyle w:val="a7"/>
        </w:rPr>
        <w:footnoteRef/>
      </w:r>
      <w:r>
        <w:rPr>
          <w:rtl/>
        </w:rPr>
        <w:t xml:space="preserve"> </w:t>
      </w:r>
      <w:r w:rsidRPr="00BC622F">
        <w:rPr>
          <w:rFonts w:cs="Arial"/>
          <w:rtl/>
        </w:rPr>
        <w:t>ול</w:t>
      </w:r>
      <w:r>
        <w:rPr>
          <w:rFonts w:cs="Arial" w:hint="cs"/>
          <w:rtl/>
        </w:rPr>
        <w:t xml:space="preserve">או </w:t>
      </w:r>
      <w:r w:rsidRPr="00BC622F">
        <w:rPr>
          <w:rFonts w:cs="Arial"/>
          <w:rtl/>
        </w:rPr>
        <w:t>ד</w:t>
      </w:r>
      <w:r>
        <w:rPr>
          <w:rFonts w:cs="Arial" w:hint="cs"/>
          <w:rtl/>
        </w:rPr>
        <w:t>וקא</w:t>
      </w:r>
      <w:r w:rsidRPr="00BC622F">
        <w:rPr>
          <w:rFonts w:cs="Arial"/>
          <w:rtl/>
        </w:rPr>
        <w:t xml:space="preserve"> בשוק או בחצר אלא כל שרואין אותה עוברי דרך. עוברת על דת מיקרי כנה"ג בשם מ"ץ</w:t>
      </w:r>
      <w:r>
        <w:rPr>
          <w:rFonts w:hint="cs"/>
          <w:rtl/>
        </w:rPr>
        <w:t>, באה"ט (סק"ט).</w:t>
      </w:r>
    </w:p>
  </w:footnote>
  <w:footnote w:id="3155">
    <w:p w14:paraId="097A36B2" w14:textId="77777777" w:rsidR="00DF1FC7" w:rsidRDefault="00DF1FC7" w:rsidP="002E5BAD">
      <w:pPr>
        <w:pStyle w:val="a5"/>
      </w:pPr>
      <w:r>
        <w:rPr>
          <w:rStyle w:val="a7"/>
        </w:rPr>
        <w:footnoteRef/>
      </w:r>
      <w:r>
        <w:rPr>
          <w:rtl/>
        </w:rPr>
        <w:t xml:space="preserve"> </w:t>
      </w:r>
      <w:r w:rsidRPr="004F2529">
        <w:rPr>
          <w:rFonts w:cs="Arial"/>
          <w:rtl/>
        </w:rPr>
        <w:t>הכלל הוא</w:t>
      </w:r>
      <w:r>
        <w:rPr>
          <w:rFonts w:cs="Arial" w:hint="cs"/>
          <w:rtl/>
        </w:rPr>
        <w:t>,</w:t>
      </w:r>
      <w:r w:rsidRPr="004F2529">
        <w:rPr>
          <w:rFonts w:cs="Arial"/>
          <w:rtl/>
        </w:rPr>
        <w:t xml:space="preserve"> בר</w:t>
      </w:r>
      <w:r>
        <w:rPr>
          <w:rFonts w:cs="Arial" w:hint="cs"/>
          <w:rtl/>
        </w:rPr>
        <w:t xml:space="preserve">שות </w:t>
      </w:r>
      <w:r w:rsidRPr="004F2529">
        <w:rPr>
          <w:rFonts w:cs="Arial"/>
          <w:rtl/>
        </w:rPr>
        <w:t>ה</w:t>
      </w:r>
      <w:r>
        <w:rPr>
          <w:rFonts w:cs="Arial" w:hint="cs"/>
          <w:rtl/>
        </w:rPr>
        <w:t>רבים</w:t>
      </w:r>
      <w:r w:rsidRPr="004F2529">
        <w:rPr>
          <w:rFonts w:cs="Arial"/>
          <w:rtl/>
        </w:rPr>
        <w:t xml:space="preserve"> וראשה פרוע לגמרי </w:t>
      </w:r>
      <w:r>
        <w:rPr>
          <w:rFonts w:cs="Arial" w:hint="cs"/>
          <w:rtl/>
        </w:rPr>
        <w:t xml:space="preserve">- </w:t>
      </w:r>
      <w:r w:rsidRPr="004F2529">
        <w:rPr>
          <w:rFonts w:cs="Arial"/>
          <w:rtl/>
        </w:rPr>
        <w:t>הוי ד</w:t>
      </w:r>
      <w:r>
        <w:rPr>
          <w:rFonts w:cs="Arial" w:hint="cs"/>
          <w:rtl/>
        </w:rPr>
        <w:t>ת משה.</w:t>
      </w:r>
      <w:r w:rsidRPr="004F2529">
        <w:rPr>
          <w:rFonts w:cs="Arial"/>
          <w:rtl/>
        </w:rPr>
        <w:t xml:space="preserve"> ואם ראשה מכוסה בקלתה או בשאר דבר אלא דאינה מכוסה כדרך הנשים </w:t>
      </w:r>
      <w:r>
        <w:rPr>
          <w:rFonts w:cs="Arial" w:hint="cs"/>
          <w:rtl/>
        </w:rPr>
        <w:t xml:space="preserve">- </w:t>
      </w:r>
      <w:r w:rsidRPr="004F2529">
        <w:rPr>
          <w:rFonts w:cs="Arial"/>
          <w:rtl/>
        </w:rPr>
        <w:t>אז הוי ד</w:t>
      </w:r>
      <w:r>
        <w:rPr>
          <w:rFonts w:cs="Arial" w:hint="cs"/>
          <w:rtl/>
        </w:rPr>
        <w:t>ת יהודית.</w:t>
      </w:r>
      <w:r w:rsidRPr="004F2529">
        <w:rPr>
          <w:rFonts w:cs="Arial"/>
          <w:rtl/>
        </w:rPr>
        <w:t xml:space="preserve"> ובחצר שאין רבים בוקעים </w:t>
      </w:r>
      <w:r>
        <w:rPr>
          <w:rFonts w:cs="Arial" w:hint="cs"/>
          <w:rtl/>
        </w:rPr>
        <w:t xml:space="preserve">- </w:t>
      </w:r>
      <w:r w:rsidRPr="004F2529">
        <w:rPr>
          <w:rFonts w:cs="Arial"/>
          <w:rtl/>
        </w:rPr>
        <w:t>לפרש"י ותו' ליכ</w:t>
      </w:r>
      <w:r>
        <w:rPr>
          <w:rFonts w:cs="Arial" w:hint="cs"/>
          <w:rtl/>
        </w:rPr>
        <w:t>א</w:t>
      </w:r>
      <w:r w:rsidRPr="004F2529">
        <w:rPr>
          <w:rFonts w:cs="Arial"/>
          <w:rtl/>
        </w:rPr>
        <w:t xml:space="preserve"> איסור אפילו פרוע לגמרי</w:t>
      </w:r>
      <w:r>
        <w:rPr>
          <w:rFonts w:cs="Arial" w:hint="cs"/>
          <w:rtl/>
        </w:rPr>
        <w:t>.</w:t>
      </w:r>
      <w:r w:rsidRPr="004F2529">
        <w:rPr>
          <w:rFonts w:cs="Arial"/>
          <w:rtl/>
        </w:rPr>
        <w:t xml:space="preserve"> ומחצר לחצר דרך מבוי ופרוע לגמרי </w:t>
      </w:r>
      <w:r>
        <w:rPr>
          <w:rFonts w:cs="Arial" w:hint="cs"/>
          <w:rtl/>
        </w:rPr>
        <w:t xml:space="preserve">- </w:t>
      </w:r>
      <w:r w:rsidRPr="004F2529">
        <w:rPr>
          <w:rFonts w:cs="Arial"/>
          <w:rtl/>
        </w:rPr>
        <w:t>הוי ד</w:t>
      </w:r>
      <w:r>
        <w:rPr>
          <w:rFonts w:cs="Arial" w:hint="cs"/>
          <w:rtl/>
        </w:rPr>
        <w:t>ת יהודית,</w:t>
      </w:r>
      <w:r w:rsidRPr="004F2529">
        <w:rPr>
          <w:rFonts w:cs="Arial"/>
          <w:rtl/>
        </w:rPr>
        <w:t xml:space="preserve"> וקלתה מותר</w:t>
      </w:r>
      <w:r>
        <w:rPr>
          <w:rFonts w:cs="Arial" w:hint="cs"/>
          <w:rtl/>
        </w:rPr>
        <w:t>.</w:t>
      </w:r>
      <w:r w:rsidRPr="004F2529">
        <w:rPr>
          <w:rFonts w:cs="Arial"/>
          <w:rtl/>
        </w:rPr>
        <w:t xml:space="preserve"> אבל בסמ"ג הביא </w:t>
      </w:r>
      <w:r>
        <w:rPr>
          <w:rFonts w:cs="Arial" w:hint="cs"/>
          <w:rtl/>
        </w:rPr>
        <w:t>את ה</w:t>
      </w:r>
      <w:r w:rsidRPr="004F2529">
        <w:rPr>
          <w:rFonts w:cs="Arial"/>
          <w:rtl/>
        </w:rPr>
        <w:t xml:space="preserve">ירושלמי </w:t>
      </w:r>
      <w:r>
        <w:rPr>
          <w:rFonts w:cs="Arial" w:hint="cs"/>
          <w:rtl/>
        </w:rPr>
        <w:t>ד</w:t>
      </w:r>
      <w:r w:rsidRPr="004F2529">
        <w:rPr>
          <w:rFonts w:cs="Arial"/>
          <w:rtl/>
        </w:rPr>
        <w:t>אפי' בחצר יש איסור אם ראשה פרוע לגמרי</w:t>
      </w:r>
      <w:r>
        <w:rPr>
          <w:rFonts w:cs="Arial" w:hint="cs"/>
          <w:rtl/>
        </w:rPr>
        <w:t>,</w:t>
      </w:r>
      <w:r w:rsidRPr="004F2529">
        <w:rPr>
          <w:rFonts w:cs="Arial"/>
          <w:rtl/>
        </w:rPr>
        <w:t xml:space="preserve"> וכ"כ בש"ג</w:t>
      </w:r>
      <w:r>
        <w:rPr>
          <w:rFonts w:cs="Arial" w:hint="cs"/>
          <w:rtl/>
        </w:rPr>
        <w:t>.</w:t>
      </w:r>
      <w:r w:rsidRPr="004F2529">
        <w:rPr>
          <w:rFonts w:cs="Arial"/>
          <w:rtl/>
        </w:rPr>
        <w:t xml:space="preserve"> ולכאורה משמע דיש ד</w:t>
      </w:r>
      <w:r>
        <w:rPr>
          <w:rFonts w:cs="Arial" w:hint="cs"/>
          <w:rtl/>
        </w:rPr>
        <w:t>ת יהודית</w:t>
      </w:r>
      <w:r w:rsidRPr="004F2529">
        <w:rPr>
          <w:rFonts w:cs="Arial"/>
          <w:rtl/>
        </w:rPr>
        <w:t xml:space="preserve"> ויוצאה בלא כתובה</w:t>
      </w:r>
      <w:r>
        <w:rPr>
          <w:rFonts w:cs="Arial" w:hint="cs"/>
          <w:rtl/>
        </w:rPr>
        <w:t>.</w:t>
      </w:r>
      <w:r w:rsidRPr="004F2529">
        <w:rPr>
          <w:rFonts w:cs="Arial"/>
          <w:rtl/>
        </w:rPr>
        <w:t xml:space="preserve"> דהא תני' </w:t>
      </w:r>
      <w:r>
        <w:rPr>
          <w:rFonts w:cs="Arial" w:hint="cs"/>
          <w:rtl/>
        </w:rPr>
        <w:t>(בירושלמי שם)</w:t>
      </w:r>
      <w:r>
        <w:rPr>
          <w:rFonts w:cs="Arial" w:hint="cs"/>
        </w:rPr>
        <w:t xml:space="preserve"> </w:t>
      </w:r>
      <w:r w:rsidRPr="004F2529">
        <w:rPr>
          <w:rFonts w:cs="Arial"/>
          <w:rtl/>
        </w:rPr>
        <w:t>היוצאת בקפלוטות</w:t>
      </w:r>
      <w:r>
        <w:rPr>
          <w:rFonts w:cs="Arial" w:hint="cs"/>
          <w:rtl/>
        </w:rPr>
        <w:t>,</w:t>
      </w:r>
      <w:r w:rsidRPr="004F2529">
        <w:rPr>
          <w:rFonts w:cs="Arial"/>
          <w:rtl/>
        </w:rPr>
        <w:t xml:space="preserve"> היינו רדיד</w:t>
      </w:r>
      <w:r>
        <w:rPr>
          <w:rFonts w:cs="Arial" w:hint="cs"/>
          <w:rtl/>
        </w:rPr>
        <w:t>,</w:t>
      </w:r>
      <w:r w:rsidRPr="004F2529">
        <w:rPr>
          <w:rFonts w:cs="Arial"/>
          <w:rtl/>
        </w:rPr>
        <w:t xml:space="preserve"> אין בו משום פריעת הראש בחצר</w:t>
      </w:r>
      <w:r>
        <w:rPr>
          <w:rFonts w:cs="Arial" w:hint="cs"/>
          <w:rtl/>
        </w:rPr>
        <w:t>.</w:t>
      </w:r>
      <w:r w:rsidRPr="004F2529">
        <w:rPr>
          <w:rFonts w:cs="Arial"/>
          <w:rtl/>
        </w:rPr>
        <w:t xml:space="preserve"> אבל במבוי יש בו משום פ</w:t>
      </w:r>
      <w:r>
        <w:rPr>
          <w:rFonts w:cs="Arial" w:hint="cs"/>
          <w:rtl/>
        </w:rPr>
        <w:t>ריעת הראש</w:t>
      </w:r>
      <w:r w:rsidRPr="004F2529">
        <w:rPr>
          <w:rFonts w:cs="Arial"/>
          <w:rtl/>
        </w:rPr>
        <w:t xml:space="preserve"> היינו ד</w:t>
      </w:r>
      <w:r>
        <w:rPr>
          <w:rFonts w:cs="Arial" w:hint="cs"/>
          <w:rtl/>
        </w:rPr>
        <w:t>ת יהודית.</w:t>
      </w:r>
      <w:r w:rsidRPr="004F2529">
        <w:rPr>
          <w:rFonts w:cs="Arial"/>
          <w:rtl/>
        </w:rPr>
        <w:t xml:space="preserve"> א"כ בחצר אי לאו משום כסוי יש בו ג"כ משום פ</w:t>
      </w:r>
      <w:r>
        <w:rPr>
          <w:rFonts w:cs="Arial" w:hint="cs"/>
          <w:rtl/>
        </w:rPr>
        <w:t>ריעת הראש</w:t>
      </w:r>
      <w:r w:rsidRPr="004F2529">
        <w:rPr>
          <w:rFonts w:cs="Arial"/>
          <w:rtl/>
        </w:rPr>
        <w:t xml:space="preserve"> והוי ד</w:t>
      </w:r>
      <w:r>
        <w:rPr>
          <w:rFonts w:cs="Arial" w:hint="cs"/>
          <w:rtl/>
        </w:rPr>
        <w:t>ת יהודית.</w:t>
      </w:r>
      <w:r w:rsidRPr="004F2529">
        <w:rPr>
          <w:rFonts w:cs="Arial"/>
          <w:rtl/>
        </w:rPr>
        <w:t xml:space="preserve"> ואפשר </w:t>
      </w:r>
      <w:r>
        <w:rPr>
          <w:rFonts w:cs="Arial" w:hint="cs"/>
          <w:rtl/>
        </w:rPr>
        <w:t>ד</w:t>
      </w:r>
      <w:r w:rsidRPr="004F2529">
        <w:rPr>
          <w:rFonts w:cs="Arial"/>
          <w:rtl/>
        </w:rPr>
        <w:t>לענין כתובה קי"ל כסוגי' שלנו</w:t>
      </w:r>
      <w:r>
        <w:rPr>
          <w:rFonts w:cs="Arial" w:hint="cs"/>
          <w:rtl/>
        </w:rPr>
        <w:t>.</w:t>
      </w:r>
      <w:r w:rsidRPr="004F2529">
        <w:rPr>
          <w:rFonts w:cs="Arial"/>
          <w:rtl/>
        </w:rPr>
        <w:t xml:space="preserve"> מיהו לענין איסור י"ל </w:t>
      </w:r>
      <w:r>
        <w:rPr>
          <w:rFonts w:cs="Arial" w:hint="cs"/>
          <w:rtl/>
        </w:rPr>
        <w:t>ד</w:t>
      </w:r>
      <w:r w:rsidRPr="004F2529">
        <w:rPr>
          <w:rFonts w:cs="Arial"/>
          <w:rtl/>
        </w:rPr>
        <w:t>אף סוגי' שלנו ס"ל דאסור</w:t>
      </w:r>
      <w:r>
        <w:rPr>
          <w:rFonts w:cs="Arial" w:hint="cs"/>
          <w:rtl/>
        </w:rPr>
        <w:t>,</w:t>
      </w:r>
      <w:r w:rsidRPr="004F2529">
        <w:rPr>
          <w:rFonts w:cs="Arial"/>
          <w:rtl/>
        </w:rPr>
        <w:t xml:space="preserve"> וקושית המקשן לא הנחת בת לאברהם אבינו וכו' י"ל כמ"ש בב"ח</w:t>
      </w:r>
      <w:r>
        <w:rPr>
          <w:rFonts w:cs="Arial" w:hint="cs"/>
          <w:rtl/>
        </w:rPr>
        <w:t>.</w:t>
      </w:r>
      <w:r w:rsidRPr="004F2529">
        <w:rPr>
          <w:rFonts w:cs="Arial"/>
          <w:rtl/>
        </w:rPr>
        <w:t xml:space="preserve"> וכן הוא דעת הטור</w:t>
      </w:r>
      <w:r>
        <w:rPr>
          <w:rFonts w:cs="Arial" w:hint="cs"/>
          <w:rtl/>
        </w:rPr>
        <w:t>,</w:t>
      </w:r>
      <w:r w:rsidRPr="004F2529">
        <w:rPr>
          <w:rFonts w:cs="Arial"/>
          <w:rtl/>
        </w:rPr>
        <w:t xml:space="preserve"> ועיין בד"מ</w:t>
      </w:r>
      <w:r>
        <w:rPr>
          <w:rFonts w:cs="Arial" w:hint="cs"/>
          <w:rtl/>
        </w:rPr>
        <w:t>,</w:t>
      </w:r>
      <w:r w:rsidRPr="004F2529">
        <w:rPr>
          <w:rFonts w:cs="Arial"/>
          <w:rtl/>
        </w:rPr>
        <w:t xml:space="preserve"> ועיין לקמן</w:t>
      </w:r>
      <w:r>
        <w:rPr>
          <w:rFonts w:cs="Arial" w:hint="cs"/>
          <w:rtl/>
        </w:rPr>
        <w:t>, ב"ש (סק"ט).</w:t>
      </w:r>
    </w:p>
  </w:footnote>
  <w:footnote w:id="3156">
    <w:p w14:paraId="309105A2" w14:textId="77777777" w:rsidR="00DF1FC7" w:rsidRDefault="00DF1FC7" w:rsidP="002E5BAD">
      <w:pPr>
        <w:pStyle w:val="a5"/>
        <w:rPr>
          <w:rtl/>
        </w:rPr>
      </w:pPr>
      <w:r>
        <w:rPr>
          <w:rStyle w:val="a7"/>
        </w:rPr>
        <w:footnoteRef/>
      </w:r>
      <w:r>
        <w:rPr>
          <w:rtl/>
        </w:rPr>
        <w:t xml:space="preserve"> </w:t>
      </w:r>
      <w:r w:rsidRPr="00E0344F">
        <w:rPr>
          <w:rFonts w:cs="Arial"/>
          <w:rtl/>
        </w:rPr>
        <w:t>הנשים היוצאות בכיסוי שערות שלהם ובמקום קליעת שער נושאות שערות חוברות שקורין קרינאל"ו בלע"ז אין בזה משום יוצאת וראשה פרוע ל"ש שערות דידה ול"ש שערות דחברתה אעפ"י שקשור הוא לה כדי שתראה בעלת שער אין בכך כלום ש"ג פרק במה אשה</w:t>
      </w:r>
      <w:r>
        <w:rPr>
          <w:rFonts w:hint="cs"/>
          <w:rtl/>
        </w:rPr>
        <w:t>, באה"ט (סק"י).</w:t>
      </w:r>
    </w:p>
  </w:footnote>
  <w:footnote w:id="3157">
    <w:p w14:paraId="4691EFD1" w14:textId="77777777" w:rsidR="00DF1FC7" w:rsidRDefault="00DF1FC7" w:rsidP="002E5BAD">
      <w:pPr>
        <w:pStyle w:val="a5"/>
      </w:pPr>
      <w:r>
        <w:rPr>
          <w:rStyle w:val="a7"/>
        </w:rPr>
        <w:footnoteRef/>
      </w:r>
      <w:r>
        <w:rPr>
          <w:rtl/>
        </w:rPr>
        <w:t xml:space="preserve"> </w:t>
      </w:r>
      <w:r w:rsidRPr="009D739A">
        <w:rPr>
          <w:rFonts w:cs="Arial"/>
          <w:rtl/>
        </w:rPr>
        <w:t>ואם אין שערה מכוסה כלל מחצר לחצר דרך מבוי שאינו מפולש יש בו משום פריעת ראש ובתוך חצירה אין בו משום פריעת ראש שתקרא מחמת זה עוברת על דת יהודית ואם הוא אסור לכתחלה עיין בב"ח ובד"מ ולעיל סימן כ"א סתם שאין איסור בפריעת ראש רק בשוק ולא בחצר</w:t>
      </w:r>
      <w:r>
        <w:rPr>
          <w:rFonts w:cs="Arial" w:hint="cs"/>
          <w:rtl/>
        </w:rPr>
        <w:t>, ח"מ (סק"ט).</w:t>
      </w:r>
    </w:p>
  </w:footnote>
  <w:footnote w:id="3158">
    <w:p w14:paraId="67AA0834" w14:textId="77777777" w:rsidR="00DF1FC7" w:rsidRDefault="00DF1FC7" w:rsidP="002E5BAD">
      <w:pPr>
        <w:pStyle w:val="a5"/>
      </w:pPr>
      <w:r>
        <w:rPr>
          <w:rStyle w:val="a7"/>
        </w:rPr>
        <w:footnoteRef/>
      </w:r>
      <w:r>
        <w:rPr>
          <w:rtl/>
        </w:rPr>
        <w:t xml:space="preserve"> </w:t>
      </w:r>
      <w:r w:rsidRPr="0040797A">
        <w:rPr>
          <w:rFonts w:cs="Arial"/>
          <w:rtl/>
        </w:rPr>
        <w:t>לא ידעתי למה העתיק זה דאי בלא התרו בה אפילו ברגילה אינה מפסד' כתובתה ואם התרו בה ועבר' על ההתרא' אפי' בפעם אחת מפסדת כתובתה דלא נתנו חכמים שיעור לדבר והרשב"א בתשובה לרוחא דמילתא נקט דאפילו לקראה בשם עובר' על דת אין ראוי בשביל פעם א' ויש שם ט"ס בתשובה ע"ש</w:t>
      </w:r>
      <w:r>
        <w:rPr>
          <w:rFonts w:cs="Arial" w:hint="cs"/>
          <w:rtl/>
        </w:rPr>
        <w:t>, ח"מ (סקי"א).</w:t>
      </w:r>
      <w:r w:rsidRPr="004F2529">
        <w:rPr>
          <w:rtl/>
        </w:rPr>
        <w:t xml:space="preserve"> </w:t>
      </w:r>
      <w:r w:rsidRPr="004F2529">
        <w:rPr>
          <w:rFonts w:cs="Arial"/>
          <w:rtl/>
        </w:rPr>
        <w:t xml:space="preserve">עיין בתשוב' רשב"א </w:t>
      </w:r>
      <w:r>
        <w:rPr>
          <w:rFonts w:cs="Arial" w:hint="cs"/>
          <w:rtl/>
        </w:rPr>
        <w:t>ד</w:t>
      </w:r>
      <w:r w:rsidRPr="004F2529">
        <w:rPr>
          <w:rFonts w:cs="Arial"/>
          <w:rtl/>
        </w:rPr>
        <w:t>עובד</w:t>
      </w:r>
      <w:r>
        <w:rPr>
          <w:rFonts w:cs="Arial" w:hint="cs"/>
          <w:rtl/>
        </w:rPr>
        <w:t>א</w:t>
      </w:r>
      <w:r w:rsidRPr="004F2529">
        <w:rPr>
          <w:rFonts w:cs="Arial"/>
          <w:rtl/>
        </w:rPr>
        <w:t xml:space="preserve"> היה שהיתה מתקוטט</w:t>
      </w:r>
      <w:r>
        <w:rPr>
          <w:rFonts w:cs="Arial" w:hint="cs"/>
          <w:rtl/>
        </w:rPr>
        <w:t>ת</w:t>
      </w:r>
      <w:r w:rsidRPr="004F2529">
        <w:rPr>
          <w:rFonts w:cs="Arial"/>
          <w:rtl/>
        </w:rPr>
        <w:t xml:space="preserve"> ומחמת כעס גלתה זרועותיה</w:t>
      </w:r>
      <w:r>
        <w:rPr>
          <w:rFonts w:cs="Arial" w:hint="cs"/>
          <w:rtl/>
        </w:rPr>
        <w:t>,</w:t>
      </w:r>
      <w:r w:rsidRPr="004F2529">
        <w:rPr>
          <w:rFonts w:cs="Arial"/>
          <w:rtl/>
        </w:rPr>
        <w:t xml:space="preserve"> וכתב דלא הוי עובר</w:t>
      </w:r>
      <w:r>
        <w:rPr>
          <w:rFonts w:cs="Arial" w:hint="cs"/>
          <w:rtl/>
        </w:rPr>
        <w:t>ת</w:t>
      </w:r>
      <w:r w:rsidRPr="004F2529">
        <w:rPr>
          <w:rFonts w:cs="Arial"/>
          <w:rtl/>
        </w:rPr>
        <w:t xml:space="preserve"> עד"מ דאינה רגילה בכך</w:t>
      </w:r>
      <w:r>
        <w:rPr>
          <w:rFonts w:cs="Arial" w:hint="cs"/>
          <w:rtl/>
        </w:rPr>
        <w:t>.</w:t>
      </w:r>
      <w:r w:rsidRPr="004F2529">
        <w:rPr>
          <w:rFonts w:cs="Arial"/>
          <w:rtl/>
        </w:rPr>
        <w:t xml:space="preserve"> ופי' בד"מ דאיירי בהתרה בה דאל"כ מהיכ' תיתי לומר דהיא עוברת על ד"מ</w:t>
      </w:r>
      <w:r>
        <w:rPr>
          <w:rFonts w:cs="Arial" w:hint="cs"/>
          <w:rtl/>
        </w:rPr>
        <w:t>.</w:t>
      </w:r>
      <w:r w:rsidRPr="004F2529">
        <w:rPr>
          <w:rFonts w:cs="Arial"/>
          <w:rtl/>
        </w:rPr>
        <w:t xml:space="preserve"> ונראה דוקא בכה"ג דגלתה מחמת כעס או בכיוצא בזה </w:t>
      </w:r>
      <w:r>
        <w:rPr>
          <w:rFonts w:cs="Arial" w:hint="cs"/>
          <w:rtl/>
        </w:rPr>
        <w:t xml:space="preserve">- </w:t>
      </w:r>
      <w:r w:rsidRPr="004F2529">
        <w:rPr>
          <w:rFonts w:cs="Arial"/>
          <w:rtl/>
        </w:rPr>
        <w:t>אז אמרינן דלא עשתה מחמת פריצו</w:t>
      </w:r>
      <w:r>
        <w:rPr>
          <w:rFonts w:cs="Arial" w:hint="cs"/>
          <w:rtl/>
        </w:rPr>
        <w:t>ת,</w:t>
      </w:r>
      <w:r w:rsidRPr="004F2529">
        <w:rPr>
          <w:rFonts w:cs="Arial"/>
          <w:rtl/>
        </w:rPr>
        <w:t xml:space="preserve"> אלא דוקא כשרגילה לעשו</w:t>
      </w:r>
      <w:r>
        <w:rPr>
          <w:rFonts w:cs="Arial" w:hint="cs"/>
          <w:rtl/>
        </w:rPr>
        <w:t xml:space="preserve">ת </w:t>
      </w:r>
      <w:r w:rsidRPr="004F2529">
        <w:rPr>
          <w:rFonts w:cs="Arial"/>
          <w:rtl/>
        </w:rPr>
        <w:t xml:space="preserve">כן </w:t>
      </w:r>
      <w:r>
        <w:rPr>
          <w:rFonts w:cs="Arial" w:hint="cs"/>
          <w:rtl/>
        </w:rPr>
        <w:t xml:space="preserve">- </w:t>
      </w:r>
      <w:r w:rsidRPr="004F2529">
        <w:rPr>
          <w:rFonts w:cs="Arial"/>
          <w:rtl/>
        </w:rPr>
        <w:t>אז לא תלינן בשום סיבה כמ"ש בסעיף ד' בשם הת"ה סי' רמ"ב</w:t>
      </w:r>
      <w:r>
        <w:rPr>
          <w:rFonts w:cs="Arial" w:hint="cs"/>
          <w:rtl/>
        </w:rPr>
        <w:t>.</w:t>
      </w:r>
      <w:r w:rsidRPr="004F2529">
        <w:rPr>
          <w:rFonts w:cs="Arial"/>
          <w:rtl/>
        </w:rPr>
        <w:t xml:space="preserve"> אבל אם מגלה את זרועותיה בלא סיבה</w:t>
      </w:r>
      <w:r>
        <w:rPr>
          <w:rFonts w:cs="Arial" w:hint="cs"/>
          <w:rtl/>
        </w:rPr>
        <w:t xml:space="preserve"> - </w:t>
      </w:r>
      <w:r w:rsidRPr="004F2529">
        <w:rPr>
          <w:rFonts w:cs="Arial"/>
          <w:rtl/>
        </w:rPr>
        <w:t>אז אפי' לא רגילה לעשות כן הרי היא עוברת על ד"י</w:t>
      </w:r>
      <w:r>
        <w:rPr>
          <w:rFonts w:cs="Arial" w:hint="cs"/>
          <w:rtl/>
        </w:rPr>
        <w:t>.</w:t>
      </w:r>
      <w:r w:rsidRPr="004F2529">
        <w:rPr>
          <w:rFonts w:cs="Arial"/>
          <w:rtl/>
        </w:rPr>
        <w:t xml:space="preserve"> והרב רמ"א שכתב ורגילה בכך</w:t>
      </w:r>
      <w:r>
        <w:rPr>
          <w:rFonts w:cs="Arial" w:hint="cs"/>
          <w:rtl/>
        </w:rPr>
        <w:t>,</w:t>
      </w:r>
      <w:r w:rsidRPr="004F2529">
        <w:rPr>
          <w:rFonts w:cs="Arial"/>
          <w:rtl/>
        </w:rPr>
        <w:t xml:space="preserve"> משמע אפילו אם מגלה את עצמה בלא סיבה </w:t>
      </w:r>
      <w:r>
        <w:rPr>
          <w:rFonts w:cs="Arial"/>
          <w:rtl/>
        </w:rPr>
        <w:t>–</w:t>
      </w:r>
      <w:r>
        <w:rPr>
          <w:rFonts w:cs="Arial" w:hint="cs"/>
          <w:rtl/>
        </w:rPr>
        <w:t xml:space="preserve"> </w:t>
      </w:r>
      <w:r w:rsidRPr="004F2529">
        <w:rPr>
          <w:rFonts w:cs="Arial"/>
          <w:rtl/>
        </w:rPr>
        <w:t>א</w:t>
      </w:r>
      <w:r>
        <w:rPr>
          <w:rFonts w:cs="Arial" w:hint="cs"/>
          <w:rtl/>
        </w:rPr>
        <w:t xml:space="preserve">יני יודע </w:t>
      </w:r>
      <w:r w:rsidRPr="004F2529">
        <w:rPr>
          <w:rFonts w:cs="Arial"/>
          <w:rtl/>
        </w:rPr>
        <w:t>מנ"ל</w:t>
      </w:r>
      <w:r>
        <w:rPr>
          <w:rFonts w:cs="Arial" w:hint="cs"/>
          <w:rtl/>
        </w:rPr>
        <w:t>.</w:t>
      </w:r>
      <w:r w:rsidRPr="004F2529">
        <w:rPr>
          <w:rFonts w:cs="Arial"/>
          <w:rtl/>
        </w:rPr>
        <w:t xml:space="preserve"> וכן תמה עליו בח"מ</w:t>
      </w:r>
      <w:r>
        <w:rPr>
          <w:rFonts w:cs="Arial" w:hint="cs"/>
          <w:rtl/>
        </w:rPr>
        <w:t>, ב"ש (סקי"א).</w:t>
      </w:r>
      <w:r w:rsidRPr="007B6C02">
        <w:rPr>
          <w:rFonts w:cs="Arial"/>
          <w:rtl/>
        </w:rPr>
        <w:t xml:space="preserve"> </w:t>
      </w:r>
      <w:r>
        <w:rPr>
          <w:rFonts w:cs="Arial"/>
          <w:rtl/>
        </w:rPr>
        <w:t>וע' בס' בית מאיר שכ' שדברי הרשב"א אפשר ליישב בפשוט ע"פ דברי התה"ד סי' רמ"ב (הובא בב"י) שמסופק דאפשר רגילה לא בעי התראה כו' (ע' ביאור הגר"א ז"ל סקי"ב וגם בתשו' ג"ב סי' כ"ו) וליישב דברי הרמ"א י"ל דגם הרמ"א מודה לדינ' דלענין כתובה אין נ"מ ברגילה</w:t>
      </w:r>
      <w:r>
        <w:rPr>
          <w:rFonts w:cs="Arial" w:hint="cs"/>
          <w:rtl/>
        </w:rPr>
        <w:t>,</w:t>
      </w:r>
      <w:r>
        <w:rPr>
          <w:rFonts w:cs="Arial"/>
          <w:rtl/>
        </w:rPr>
        <w:t xml:space="preserve"> אלא בהתראה תליא</w:t>
      </w:r>
      <w:r>
        <w:rPr>
          <w:rFonts w:cs="Arial" w:hint="cs"/>
          <w:rtl/>
        </w:rPr>
        <w:t>.</w:t>
      </w:r>
      <w:r>
        <w:rPr>
          <w:rFonts w:cs="Arial"/>
          <w:rtl/>
        </w:rPr>
        <w:t xml:space="preserve"> אך מפני שהגיה לקמן דעוברת ע"ד יוכל לגרש בע"כ וזה אפי' בלא התראה כמבואר בתה"ד שם (וכמ"ש לקמן ס"ק י"ד) לזה הוציא מהרשב"א דלא מקריא עוברת בלא התראה אלא ברגילה</w:t>
      </w:r>
      <w:r>
        <w:rPr>
          <w:rFonts w:cs="Arial" w:hint="cs"/>
          <w:rtl/>
        </w:rPr>
        <w:t>.</w:t>
      </w:r>
      <w:r>
        <w:rPr>
          <w:rFonts w:cs="Arial"/>
          <w:rtl/>
        </w:rPr>
        <w:t xml:space="preserve"> ולזה נוטה נמי משמעו' התה"ד שם כו'</w:t>
      </w:r>
      <w:r>
        <w:rPr>
          <w:rFonts w:cs="Arial" w:hint="cs"/>
          <w:rtl/>
        </w:rPr>
        <w:t>.</w:t>
      </w:r>
      <w:r>
        <w:rPr>
          <w:rFonts w:cs="Arial"/>
          <w:rtl/>
        </w:rPr>
        <w:t xml:space="preserve"> אבל ודאי כ"ע מודים שבתר התראה אין לחלק ברגילה</w:t>
      </w:r>
      <w:r>
        <w:rPr>
          <w:rFonts w:cs="Arial" w:hint="cs"/>
          <w:rtl/>
        </w:rPr>
        <w:t>.</w:t>
      </w:r>
      <w:r>
        <w:rPr>
          <w:rFonts w:cs="Arial"/>
          <w:rtl/>
        </w:rPr>
        <w:t xml:space="preserve"> ולהכי נמי כ' הרמ"א ז"ל לקמן בהגה ב' אשה הרגילה להתייחד אך דוקא לענין הגירושין בע"כ</w:t>
      </w:r>
      <w:r>
        <w:rPr>
          <w:rFonts w:cs="Arial" w:hint="cs"/>
          <w:rtl/>
        </w:rPr>
        <w:t>.</w:t>
      </w:r>
      <w:r>
        <w:rPr>
          <w:rFonts w:cs="Arial"/>
          <w:rtl/>
        </w:rPr>
        <w:t xml:space="preserve"> כי כל בלא התראה לא נקראת עוברת עד דרגילה</w:t>
      </w:r>
      <w:r>
        <w:rPr>
          <w:rFonts w:cs="Arial" w:hint="cs"/>
          <w:rtl/>
        </w:rPr>
        <w:t>.</w:t>
      </w:r>
      <w:r>
        <w:rPr>
          <w:rFonts w:cs="Arial"/>
          <w:rtl/>
        </w:rPr>
        <w:t xml:space="preserve"> וזה לע"ד נכון מאוד לדינא עכ"ל ע"ש. וע' בתשו' רבינו עקיבא איגר סי' ק"א שכ' דמדברי רוב הראשונים לכאורה סייעתא גדולה להרמ"א דבאינה רגילה ליכא מצוה ואינו יכול לגרשה בע"כ כו' ע"ש</w:t>
      </w:r>
      <w:r>
        <w:rPr>
          <w:rFonts w:cs="Arial" w:hint="cs"/>
          <w:rtl/>
        </w:rPr>
        <w:t>.</w:t>
      </w:r>
      <w:r>
        <w:rPr>
          <w:rFonts w:cs="Arial"/>
          <w:rtl/>
        </w:rPr>
        <w:t xml:space="preserve"> ובסי' ק' שם בתשו' הגאון ב"מ כ' דבב' פעמים מקרי רגילה לענין זה ע"ש</w:t>
      </w:r>
      <w:r>
        <w:rPr>
          <w:rFonts w:cs="Arial" w:hint="cs"/>
          <w:rtl/>
        </w:rPr>
        <w:t>.</w:t>
      </w:r>
      <w:r w:rsidRPr="00BC7558">
        <w:rPr>
          <w:rFonts w:cs="Arial"/>
          <w:rtl/>
        </w:rPr>
        <w:t xml:space="preserve"> </w:t>
      </w:r>
      <w:r>
        <w:rPr>
          <w:rFonts w:cs="Arial"/>
          <w:rtl/>
        </w:rPr>
        <w:t>ועי' עוד בס' ב"מ שהשיג על מהר"י הלוי אחי הט"ז סי' ל"ט שהעלה דאם רגילה להיות עובר' על דת ע"פ עדים הב"ד כופין להוציא</w:t>
      </w:r>
      <w:r>
        <w:rPr>
          <w:rFonts w:cs="Arial" w:hint="cs"/>
          <w:rtl/>
        </w:rPr>
        <w:t>..., פת"ש (סק"י).</w:t>
      </w:r>
    </w:p>
  </w:footnote>
  <w:footnote w:id="3159">
    <w:p w14:paraId="0109A696" w14:textId="77777777" w:rsidR="00DF1FC7" w:rsidRDefault="00DF1FC7" w:rsidP="002E5BAD">
      <w:pPr>
        <w:pStyle w:val="a5"/>
      </w:pPr>
      <w:r>
        <w:rPr>
          <w:rStyle w:val="a7"/>
        </w:rPr>
        <w:footnoteRef/>
      </w:r>
      <w:r>
        <w:rPr>
          <w:rtl/>
        </w:rPr>
        <w:t xml:space="preserve"> </w:t>
      </w:r>
      <w:r w:rsidRPr="0040797A">
        <w:rPr>
          <w:rFonts w:cs="Arial"/>
          <w:rtl/>
        </w:rPr>
        <w:t xml:space="preserve">לאו דוקא משחקת ובכתובות אמרו </w:t>
      </w:r>
      <w:r>
        <w:rPr>
          <w:rFonts w:cs="Arial" w:hint="cs"/>
          <w:rtl/>
        </w:rPr>
        <w:t>(</w:t>
      </w:r>
      <w:r w:rsidRPr="0040797A">
        <w:rPr>
          <w:rFonts w:cs="Arial"/>
          <w:rtl/>
        </w:rPr>
        <w:t>עב</w:t>
      </w:r>
      <w:r>
        <w:rPr>
          <w:rFonts w:cs="Arial" w:hint="cs"/>
          <w:rtl/>
        </w:rPr>
        <w:t>:)</w:t>
      </w:r>
      <w:r w:rsidRPr="0040797A">
        <w:rPr>
          <w:rFonts w:cs="Arial"/>
          <w:rtl/>
        </w:rPr>
        <w:t xml:space="preserve"> פסקה לפלכה ושדית' ואמר' עלם הב לי פלך היינו מדברת עם כל אדם ששנו במשנה</w:t>
      </w:r>
      <w:r>
        <w:rPr>
          <w:rFonts w:cs="Arial" w:hint="cs"/>
          <w:rtl/>
        </w:rPr>
        <w:t>.</w:t>
      </w:r>
      <w:r w:rsidRPr="0040797A">
        <w:rPr>
          <w:rFonts w:cs="Arial"/>
          <w:rtl/>
        </w:rPr>
        <w:t xml:space="preserve"> ששיחה יתירה באשה מדברי בטלה ומתכוונת לכך </w:t>
      </w:r>
      <w:r>
        <w:rPr>
          <w:rFonts w:cs="Arial" w:hint="cs"/>
          <w:rtl/>
        </w:rPr>
        <w:t xml:space="preserve">- </w:t>
      </w:r>
      <w:r w:rsidRPr="0040797A">
        <w:rPr>
          <w:rFonts w:cs="Arial"/>
          <w:rtl/>
        </w:rPr>
        <w:t xml:space="preserve">מביאה לידי שחוק </w:t>
      </w:r>
      <w:r>
        <w:rPr>
          <w:rFonts w:cs="Arial" w:hint="cs"/>
          <w:rtl/>
        </w:rPr>
        <w:t>,</w:t>
      </w:r>
      <w:r w:rsidRPr="0040797A">
        <w:rPr>
          <w:rFonts w:cs="Arial"/>
          <w:rtl/>
        </w:rPr>
        <w:t>ובפרט עם רווק שאין לו אשה</w:t>
      </w:r>
      <w:r>
        <w:rPr>
          <w:rFonts w:cs="Arial" w:hint="cs"/>
          <w:rtl/>
        </w:rPr>
        <w:t>,</w:t>
      </w:r>
      <w:r w:rsidRPr="0040797A">
        <w:rPr>
          <w:rFonts w:cs="Arial"/>
          <w:rtl/>
        </w:rPr>
        <w:t xml:space="preserve"> ואורחא דמלתא נקט עם הבחורי'</w:t>
      </w:r>
      <w:r>
        <w:rPr>
          <w:rFonts w:cs="Arial" w:hint="cs"/>
          <w:rtl/>
        </w:rPr>
        <w:t>, ח"מ (סקי"ב).</w:t>
      </w:r>
      <w:r w:rsidRPr="006A50E1">
        <w:rPr>
          <w:rtl/>
        </w:rPr>
        <w:t xml:space="preserve"> </w:t>
      </w:r>
      <w:r>
        <w:rPr>
          <w:rFonts w:hint="cs"/>
          <w:rtl/>
        </w:rPr>
        <w:t xml:space="preserve">ומדברי הב"ש (סקי"ב) משמע יותר חומרא שכתב בשם הב"ח, וז"ל- </w:t>
      </w:r>
      <w:r w:rsidRPr="006A50E1">
        <w:rPr>
          <w:rFonts w:cs="Arial"/>
          <w:rtl/>
        </w:rPr>
        <w:t>בש"ס משמע אפילו אם היא מדבר</w:t>
      </w:r>
      <w:r>
        <w:rPr>
          <w:rFonts w:cs="Arial" w:hint="cs"/>
          <w:rtl/>
        </w:rPr>
        <w:t>ת</w:t>
      </w:r>
      <w:r w:rsidRPr="006A50E1">
        <w:rPr>
          <w:rFonts w:cs="Arial"/>
          <w:rtl/>
        </w:rPr>
        <w:t xml:space="preserve"> שיחה יתירה בלי שחוק הוי משחקת כי שיחה יתירה מביא לידי שחוק</w:t>
      </w:r>
      <w:r>
        <w:rPr>
          <w:rFonts w:hint="cs"/>
          <w:rtl/>
        </w:rPr>
        <w:t>.</w:t>
      </w:r>
    </w:p>
  </w:footnote>
  <w:footnote w:id="3160">
    <w:p w14:paraId="6A4866FC" w14:textId="77777777" w:rsidR="00DF1FC7" w:rsidRDefault="00DF1FC7" w:rsidP="002E5BAD">
      <w:pPr>
        <w:pStyle w:val="a5"/>
      </w:pPr>
      <w:r>
        <w:rPr>
          <w:rStyle w:val="a7"/>
        </w:rPr>
        <w:footnoteRef/>
      </w:r>
      <w:r>
        <w:rPr>
          <w:rtl/>
        </w:rPr>
        <w:t xml:space="preserve"> </w:t>
      </w:r>
      <w:r>
        <w:rPr>
          <w:rFonts w:cs="Arial"/>
          <w:rtl/>
        </w:rPr>
        <w:t>שמעתי בשם הגאון החסיד מהרח"ל זצ"ל מבריסק שאמר דדוקא מקללת בשם או בכינוי כמו במקלל עצמו וחבירו במס' שבועות דל"ה ע"א ובח"מ סי' כ"ז ומקלל אביו ואמו ביו"ד סי' רמ"א ס"א ע"ש. ואני שאלתי על זה ממה דאיתא בש"ס במקומו בכתובו' דף ע"ב ע"ב דאמרה ליה ניכלי' אריה לסבא באפי' בריה והשיב לי חכם אחד דאריה הנאמר כאן הוא משל להקב"ה כדאי' בחולין נ"ט ע"ב וגם בספרי המקובלים אריה הוא שם וכוונת הגמרא לכנות ע"ד דאיתא בסנהדרין דף נ"ו ע"ש וצ"ע</w:t>
      </w:r>
      <w:r>
        <w:rPr>
          <w:rFonts w:cs="Arial" w:hint="cs"/>
          <w:rtl/>
        </w:rPr>
        <w:t xml:space="preserve">, פת"ש </w:t>
      </w:r>
      <w:r>
        <w:rPr>
          <w:rFonts w:cs="Arial"/>
          <w:rtl/>
        </w:rPr>
        <w:t>(</w:t>
      </w:r>
      <w:r>
        <w:rPr>
          <w:rFonts w:cs="Arial" w:hint="cs"/>
          <w:rtl/>
        </w:rPr>
        <w:t xml:space="preserve">אות </w:t>
      </w:r>
      <w:r>
        <w:rPr>
          <w:rFonts w:cs="Arial"/>
          <w:rtl/>
        </w:rPr>
        <w:t>י*)</w:t>
      </w:r>
      <w:r>
        <w:rPr>
          <w:rFonts w:cs="Arial" w:hint="cs"/>
          <w:rtl/>
        </w:rPr>
        <w:t>.</w:t>
      </w:r>
      <w:r>
        <w:rPr>
          <w:rFonts w:hint="cs"/>
          <w:rtl/>
        </w:rPr>
        <w:t xml:space="preserve"> </w:t>
      </w:r>
      <w:r w:rsidRPr="00FA3C21">
        <w:rPr>
          <w:rFonts w:hint="cs"/>
          <w:color w:val="000000" w:themeColor="text1"/>
          <w:rtl/>
        </w:rPr>
        <w:t xml:space="preserve">ובסימן קנד סע' ג </w:t>
      </w:r>
      <w:r>
        <w:rPr>
          <w:rFonts w:hint="cs"/>
          <w:color w:val="000000" w:themeColor="text1"/>
          <w:rtl/>
        </w:rPr>
        <w:t xml:space="preserve">בהגה </w:t>
      </w:r>
      <w:r w:rsidRPr="00FA3C21">
        <w:rPr>
          <w:rFonts w:hint="cs"/>
          <w:color w:val="000000" w:themeColor="text1"/>
          <w:rtl/>
        </w:rPr>
        <w:t>משמע דקללה לאו דוקא בשם אלא כל זלזול שהוא, ואפילו אם קללה כך את בעלה</w:t>
      </w:r>
      <w:r>
        <w:rPr>
          <w:rFonts w:hint="cs"/>
          <w:color w:val="000000" w:themeColor="text1"/>
          <w:rtl/>
        </w:rPr>
        <w:t>.</w:t>
      </w:r>
    </w:p>
  </w:footnote>
  <w:footnote w:id="3161">
    <w:p w14:paraId="76A3CEFA" w14:textId="77777777" w:rsidR="00DF1FC7" w:rsidRDefault="00DF1FC7" w:rsidP="002E5BAD">
      <w:pPr>
        <w:pStyle w:val="a5"/>
        <w:rPr>
          <w:rtl/>
        </w:rPr>
      </w:pPr>
      <w:r>
        <w:rPr>
          <w:rStyle w:val="a7"/>
        </w:rPr>
        <w:footnoteRef/>
      </w:r>
      <w:r>
        <w:rPr>
          <w:rtl/>
        </w:rPr>
        <w:t xml:space="preserve"> </w:t>
      </w:r>
      <w:r w:rsidRPr="00E0344F">
        <w:rPr>
          <w:rFonts w:cs="Arial"/>
          <w:rtl/>
        </w:rPr>
        <w:t>אפי' אין עדים בדבר אלא כיון שהוא יודע שהיא עוברת על דת מצוה להוציאה הר"ם מטראני ח"ג סי' קכ"ו</w:t>
      </w:r>
      <w:r>
        <w:rPr>
          <w:rFonts w:cs="Arial" w:hint="cs"/>
          <w:rtl/>
        </w:rPr>
        <w:t>, באה"ט (סקי"ז).</w:t>
      </w:r>
      <w:r w:rsidRPr="00A36836">
        <w:rPr>
          <w:rFonts w:cs="Arial" w:hint="cs"/>
          <w:rtl/>
        </w:rPr>
        <w:t xml:space="preserve"> </w:t>
      </w:r>
      <w:r>
        <w:rPr>
          <w:rFonts w:cs="Arial" w:hint="cs"/>
          <w:rtl/>
        </w:rPr>
        <w:t>וכתב ה</w:t>
      </w:r>
      <w:r w:rsidRPr="008522EA">
        <w:rPr>
          <w:rFonts w:cs="Arial"/>
          <w:rtl/>
        </w:rPr>
        <w:t>נו"ב</w:t>
      </w:r>
      <w:r w:rsidRPr="00653ED5">
        <w:rPr>
          <w:rFonts w:cs="Arial"/>
          <w:sz w:val="16"/>
          <w:szCs w:val="16"/>
          <w:rtl/>
        </w:rPr>
        <w:t xml:space="preserve"> </w:t>
      </w:r>
      <w:r w:rsidRPr="00653ED5">
        <w:rPr>
          <w:rFonts w:cs="Arial" w:hint="cs"/>
          <w:sz w:val="16"/>
          <w:szCs w:val="16"/>
          <w:rtl/>
        </w:rPr>
        <w:t>(</w:t>
      </w:r>
      <w:r w:rsidRPr="00653ED5">
        <w:rPr>
          <w:rFonts w:cs="Arial"/>
          <w:sz w:val="16"/>
          <w:szCs w:val="16"/>
          <w:rtl/>
        </w:rPr>
        <w:t>תניינא סי' כו</w:t>
      </w:r>
      <w:r w:rsidRPr="00653ED5">
        <w:rPr>
          <w:rFonts w:cs="Arial" w:hint="cs"/>
          <w:sz w:val="16"/>
          <w:szCs w:val="16"/>
          <w:rtl/>
        </w:rPr>
        <w:t>)</w:t>
      </w:r>
      <w:r w:rsidRPr="008522EA">
        <w:rPr>
          <w:rFonts w:cs="Arial"/>
          <w:rtl/>
        </w:rPr>
        <w:t xml:space="preserve"> </w:t>
      </w:r>
      <w:r>
        <w:rPr>
          <w:rFonts w:cs="Arial" w:hint="cs"/>
          <w:rtl/>
        </w:rPr>
        <w:t>ד</w:t>
      </w:r>
      <w:r>
        <w:rPr>
          <w:rFonts w:cs="Arial"/>
          <w:rtl/>
        </w:rPr>
        <w:t>לענין שיהא מצוה לגרשה כבר כתבתי בתשו' אחרת שא"צ התראה היכא שכבר הכשילתו מצוה לגרשה אף שלא התרה בה כלל במה דליכא למיתלי בשגגה (עמ"ש לקמן סקי"ד מזה) ולכן יכול הבעל לגרשה בע"כ (עמ"ש לקמן ס</w:t>
      </w:r>
      <w:r>
        <w:rPr>
          <w:rFonts w:cs="Arial" w:hint="cs"/>
          <w:rtl/>
        </w:rPr>
        <w:t>ק"</w:t>
      </w:r>
      <w:r>
        <w:rPr>
          <w:rFonts w:cs="Arial"/>
          <w:rtl/>
        </w:rPr>
        <w:t>י)</w:t>
      </w:r>
      <w:r>
        <w:rPr>
          <w:rFonts w:hint="cs"/>
          <w:rtl/>
        </w:rPr>
        <w:t>..., פת"ש (סק"ג). ועיין שם בפת"ש מה שכתב על דברי הנו"ב.</w:t>
      </w:r>
    </w:p>
  </w:footnote>
  <w:footnote w:id="3162">
    <w:p w14:paraId="054834AD" w14:textId="77777777" w:rsidR="00DF1FC7" w:rsidRDefault="00DF1FC7" w:rsidP="002E5BAD">
      <w:pPr>
        <w:pStyle w:val="a5"/>
      </w:pPr>
      <w:r>
        <w:rPr>
          <w:rStyle w:val="a7"/>
        </w:rPr>
        <w:footnoteRef/>
      </w:r>
      <w:r>
        <w:rPr>
          <w:rtl/>
        </w:rPr>
        <w:t xml:space="preserve"> </w:t>
      </w:r>
      <w:r w:rsidRPr="008930CA">
        <w:rPr>
          <w:rFonts w:cs="Arial"/>
          <w:rtl/>
        </w:rPr>
        <w:t>והוספת שליש מה שמוסיפים על הנדוני</w:t>
      </w:r>
      <w:r>
        <w:rPr>
          <w:rFonts w:cs="Arial" w:hint="cs"/>
          <w:rtl/>
        </w:rPr>
        <w:t>א,</w:t>
      </w:r>
      <w:r w:rsidRPr="008930CA">
        <w:rPr>
          <w:rFonts w:cs="Arial"/>
          <w:rtl/>
        </w:rPr>
        <w:t xml:space="preserve"> מחמת שיכול להשתכר במעות הנדוני' </w:t>
      </w:r>
      <w:r>
        <w:rPr>
          <w:rFonts w:cs="Arial" w:hint="cs"/>
          <w:rtl/>
        </w:rPr>
        <w:t xml:space="preserve">- </w:t>
      </w:r>
      <w:r w:rsidRPr="008930CA">
        <w:rPr>
          <w:rFonts w:cs="Arial"/>
          <w:rtl/>
        </w:rPr>
        <w:t>הוי כנדוני</w:t>
      </w:r>
      <w:r>
        <w:rPr>
          <w:rFonts w:cs="Arial" w:hint="cs"/>
          <w:rtl/>
        </w:rPr>
        <w:t>א,</w:t>
      </w:r>
      <w:r w:rsidRPr="008930CA">
        <w:rPr>
          <w:rFonts w:cs="Arial"/>
          <w:rtl/>
        </w:rPr>
        <w:t xml:space="preserve"> מהרי"ק </w:t>
      </w:r>
      <w:r>
        <w:rPr>
          <w:rFonts w:cs="Arial" w:hint="cs"/>
          <w:rtl/>
        </w:rPr>
        <w:t>(</w:t>
      </w:r>
      <w:r w:rsidRPr="008930CA">
        <w:rPr>
          <w:rFonts w:cs="Arial"/>
          <w:rtl/>
        </w:rPr>
        <w:t>שורש פא</w:t>
      </w:r>
      <w:r>
        <w:rPr>
          <w:rFonts w:cs="Arial" w:hint="cs"/>
          <w:rtl/>
        </w:rPr>
        <w:t>).</w:t>
      </w:r>
      <w:r w:rsidRPr="008930CA">
        <w:rPr>
          <w:rFonts w:cs="Arial"/>
          <w:rtl/>
        </w:rPr>
        <w:t xml:space="preserve"> ובד"מ בסי' זה הביא דברי מהרי"ק משמע אף כאן הדין כן</w:t>
      </w:r>
      <w:r>
        <w:rPr>
          <w:rFonts w:cs="Arial" w:hint="cs"/>
          <w:rtl/>
        </w:rPr>
        <w:t>,</w:t>
      </w:r>
      <w:r w:rsidRPr="008930CA">
        <w:rPr>
          <w:rFonts w:cs="Arial"/>
          <w:rtl/>
        </w:rPr>
        <w:t xml:space="preserve"> אע</w:t>
      </w:r>
      <w:r>
        <w:rPr>
          <w:rFonts w:cs="Arial" w:hint="cs"/>
          <w:rtl/>
        </w:rPr>
        <w:t>"</w:t>
      </w:r>
      <w:r w:rsidRPr="008930CA">
        <w:rPr>
          <w:rFonts w:cs="Arial"/>
          <w:rtl/>
        </w:rPr>
        <w:t>ג דאין לה כאן אלא מה שהוא בעין</w:t>
      </w:r>
      <w:r>
        <w:rPr>
          <w:rFonts w:cs="Arial" w:hint="cs"/>
          <w:rtl/>
        </w:rPr>
        <w:t>,</w:t>
      </w:r>
      <w:r w:rsidRPr="008930CA">
        <w:rPr>
          <w:rFonts w:cs="Arial"/>
          <w:rtl/>
        </w:rPr>
        <w:t xml:space="preserve"> צ"ל דבר הבא מהנדוני</w:t>
      </w:r>
      <w:r>
        <w:rPr>
          <w:rFonts w:cs="Arial" w:hint="cs"/>
          <w:rtl/>
        </w:rPr>
        <w:t>א</w:t>
      </w:r>
      <w:r w:rsidRPr="008930CA">
        <w:rPr>
          <w:rFonts w:cs="Arial"/>
          <w:rtl/>
        </w:rPr>
        <w:t xml:space="preserve"> הוי כאלו בעין מנדוני'</w:t>
      </w:r>
      <w:r>
        <w:rPr>
          <w:rFonts w:cs="Arial" w:hint="cs"/>
          <w:rtl/>
        </w:rPr>
        <w:t>,</w:t>
      </w:r>
      <w:r w:rsidRPr="008930CA">
        <w:rPr>
          <w:rFonts w:cs="Arial"/>
          <w:rtl/>
        </w:rPr>
        <w:t xml:space="preserve"> וע' מ"ש בסי' צ"ו ובסי' ק'</w:t>
      </w:r>
      <w:r>
        <w:rPr>
          <w:rFonts w:cs="Arial" w:hint="cs"/>
          <w:rtl/>
        </w:rPr>
        <w:t>.</w:t>
      </w:r>
      <w:r w:rsidRPr="008930CA">
        <w:rPr>
          <w:rFonts w:cs="Arial"/>
          <w:rtl/>
        </w:rPr>
        <w:t xml:space="preserve"> ומזה נשמע אפילו כשהיא גרמה הגט חייב ליתן לה הוספה שמוסיפים השליש</w:t>
      </w:r>
      <w:r>
        <w:rPr>
          <w:rFonts w:cs="Arial" w:hint="cs"/>
          <w:rtl/>
        </w:rPr>
        <w:t>,</w:t>
      </w:r>
      <w:r w:rsidRPr="008930CA">
        <w:rPr>
          <w:rFonts w:cs="Arial"/>
          <w:rtl/>
        </w:rPr>
        <w:t xml:space="preserve"> ולא כדרישה בסי' קי"ח סקכ"ב</w:t>
      </w:r>
      <w:r>
        <w:rPr>
          <w:rFonts w:cs="Arial" w:hint="cs"/>
          <w:rtl/>
        </w:rPr>
        <w:t>..., ב"ש (סקכ"א).</w:t>
      </w:r>
      <w:r>
        <w:rPr>
          <w:rFonts w:hint="cs"/>
          <w:rtl/>
        </w:rPr>
        <w:t xml:space="preserve"> </w:t>
      </w:r>
      <w:r w:rsidRPr="00A25A4B">
        <w:rPr>
          <w:rFonts w:cs="Arial"/>
          <w:rtl/>
        </w:rPr>
        <w:t>ועי' בתשו' ברית אברהם סי' ע"ה שתמה מאד על הב"ש</w:t>
      </w:r>
      <w:r>
        <w:rPr>
          <w:rFonts w:cs="Arial" w:hint="cs"/>
          <w:rtl/>
        </w:rPr>
        <w:t xml:space="preserve"> (סקכ"א)...</w:t>
      </w:r>
      <w:r w:rsidRPr="00A25A4B">
        <w:rPr>
          <w:rFonts w:cs="Arial"/>
          <w:rtl/>
        </w:rPr>
        <w:t xml:space="preserve"> ובאמת המעיין בתשו' מהרי"ק שורש פ"א יראה דכל הפלפול שלו הוא בקטנה דלא קנסו כו' (שפוסק שם דאינה מפסדת מה שהכניס' אפי' אינם בעין ולכן שפיר דן דאף השליש אינה מפסדת כו') ולכן מסיק לדינא דלא כהב"ש אלא דאינה נוטלת התוספת שליש גם באיתי' בעין ממה שהרויח (גם בתשו' שבו"י ח"ג סימן קכ"ז חולק על הב"ש בזה והביא שם ג"כ מדברי מהרי"ט ח"ב סימן ב' ובתשו' מהר"ש הלוי סי' ט' ותשו' פרח מטה אהרן ח"א סי' צ' שפסקו ג"כ דאין להוציא מיד בעל התוספת כלל ע"ש באורך) וגם בגוף הנדוניא דהסכמת האחרונים דאם הוא בעין לא הפסיד' כ' שם לפלפל בזה והרא' פנים דראוי לו' דבמעות כיון דלהוצא' ניתנה גם אם הם בעין הוי כאילו הוציאם ואינה נוטלת וכ"מ להדיא בתשו' לחם רב סי' נ"ב ושוב כ' ליישב הסכמת האחרונים בזה ומסיק כן לדינא דמה שהוא בעין ממעות נדוניא לא הפסיד' וכדברי תשו' גאוני בתראי סי' כ"ו וכהסכמת הב"ש וכדברי תשו' מהר"י הלוי ס"ס ל"ט יעו"ש (וע' בת' ח"צ סי' קמ"ה וקמ"ו ובתשו' שבו"י שם. וגם בס' בית מאיר מזה). עוד כ' שם לפלפל בענין אם גוף מעות הנדוניא אינו בעין אך מה דאתי מחמתי' ומסיק דגם מה דאתי מחמתי' הוי כגוף הנדוניא ונוטלת אותם אך באופן שיבורר ע"פ עדים שאותן מעות נדוני' הוציא על סחור' זו דאיתא בעיניה כי אולי הוציא המעות נדוני' לצרכי אכילה וממעות אחרים לקח הסחורה ע"ש היטב. וע' בת' כנ"י ס"ס ע"ח</w:t>
      </w:r>
      <w:r>
        <w:rPr>
          <w:rFonts w:cs="Arial" w:hint="cs"/>
          <w:rtl/>
        </w:rPr>
        <w:t>,</w:t>
      </w:r>
      <w:r w:rsidRPr="00A25A4B">
        <w:rPr>
          <w:rFonts w:cs="Arial" w:hint="cs"/>
          <w:rtl/>
        </w:rPr>
        <w:t xml:space="preserve"> </w:t>
      </w:r>
      <w:r>
        <w:rPr>
          <w:rFonts w:cs="Arial" w:hint="cs"/>
          <w:rtl/>
        </w:rPr>
        <w:t xml:space="preserve">פת"ש </w:t>
      </w:r>
      <w:r w:rsidRPr="00A25A4B">
        <w:rPr>
          <w:rFonts w:cs="Arial"/>
          <w:rtl/>
        </w:rPr>
        <w:t>(</w:t>
      </w:r>
      <w:r>
        <w:rPr>
          <w:rFonts w:cs="Arial" w:hint="cs"/>
          <w:rtl/>
        </w:rPr>
        <w:t>סק</w:t>
      </w:r>
      <w:r w:rsidRPr="00A25A4B">
        <w:rPr>
          <w:rFonts w:cs="Arial"/>
          <w:rtl/>
        </w:rPr>
        <w:t>י</w:t>
      </w:r>
      <w:r>
        <w:rPr>
          <w:rFonts w:cs="Arial" w:hint="cs"/>
          <w:rtl/>
        </w:rPr>
        <w:t>"</w:t>
      </w:r>
      <w:r w:rsidRPr="00A25A4B">
        <w:rPr>
          <w:rFonts w:cs="Arial"/>
          <w:rtl/>
        </w:rPr>
        <w:t>ט)</w:t>
      </w:r>
      <w:r>
        <w:rPr>
          <w:rFonts w:hint="cs"/>
          <w:rtl/>
        </w:rPr>
        <w:t>.</w:t>
      </w:r>
    </w:p>
  </w:footnote>
  <w:footnote w:id="3163">
    <w:p w14:paraId="3E197B08" w14:textId="77777777" w:rsidR="00DF1FC7" w:rsidRDefault="00DF1FC7" w:rsidP="002E5BAD">
      <w:pPr>
        <w:pStyle w:val="a5"/>
        <w:rPr>
          <w:rtl/>
        </w:rPr>
      </w:pPr>
      <w:r>
        <w:rPr>
          <w:rStyle w:val="a7"/>
        </w:rPr>
        <w:footnoteRef/>
      </w:r>
      <w:r>
        <w:rPr>
          <w:rtl/>
        </w:rPr>
        <w:t xml:space="preserve"> </w:t>
      </w:r>
      <w:r>
        <w:rPr>
          <w:rFonts w:cs="Arial" w:hint="cs"/>
          <w:rtl/>
        </w:rPr>
        <w:t>ואפילו</w:t>
      </w:r>
      <w:r w:rsidRPr="00A25A4B">
        <w:rPr>
          <w:rFonts w:cs="Arial"/>
          <w:rtl/>
        </w:rPr>
        <w:t xml:space="preserve"> הנדוני</w:t>
      </w:r>
      <w:r>
        <w:rPr>
          <w:rFonts w:cs="Arial" w:hint="cs"/>
          <w:rtl/>
        </w:rPr>
        <w:t>א,</w:t>
      </w:r>
      <w:r w:rsidRPr="00A25A4B">
        <w:rPr>
          <w:rFonts w:cs="Arial"/>
          <w:rtl/>
        </w:rPr>
        <w:t xml:space="preserve"> </w:t>
      </w:r>
      <w:r>
        <w:rPr>
          <w:rFonts w:cs="Arial" w:hint="cs"/>
          <w:rtl/>
        </w:rPr>
        <w:t xml:space="preserve">אם </w:t>
      </w:r>
      <w:r w:rsidRPr="00A25A4B">
        <w:rPr>
          <w:rFonts w:cs="Arial"/>
          <w:rtl/>
        </w:rPr>
        <w:t xml:space="preserve">אינה בעין </w:t>
      </w:r>
      <w:r>
        <w:rPr>
          <w:rFonts w:cs="Arial" w:hint="cs"/>
          <w:rtl/>
        </w:rPr>
        <w:t xml:space="preserve">- </w:t>
      </w:r>
      <w:r w:rsidRPr="00A25A4B">
        <w:rPr>
          <w:rFonts w:cs="Arial"/>
          <w:rtl/>
        </w:rPr>
        <w:t>אבדה</w:t>
      </w:r>
      <w:r>
        <w:rPr>
          <w:rFonts w:cs="Arial" w:hint="cs"/>
          <w:rtl/>
        </w:rPr>
        <w:t>,</w:t>
      </w:r>
      <w:r w:rsidRPr="00A25A4B">
        <w:rPr>
          <w:rFonts w:cs="Arial"/>
          <w:rtl/>
        </w:rPr>
        <w:t xml:space="preserve"> מהרח"ש סי</w:t>
      </w:r>
      <w:r>
        <w:rPr>
          <w:rFonts w:cs="Arial" w:hint="cs"/>
          <w:rtl/>
        </w:rPr>
        <w:t>'</w:t>
      </w:r>
      <w:r w:rsidRPr="00A25A4B">
        <w:rPr>
          <w:rFonts w:cs="Arial"/>
          <w:rtl/>
        </w:rPr>
        <w:t xml:space="preserve"> לז. וכ"כ כנה"ג בשם רוב פוסקים עיין דף קכ"ט ע"א סי"ד</w:t>
      </w:r>
      <w:r>
        <w:rPr>
          <w:rFonts w:hint="cs"/>
          <w:rtl/>
        </w:rPr>
        <w:t>, באה"ט (סקי"ט).</w:t>
      </w:r>
    </w:p>
    <w:p w14:paraId="7291C5DC" w14:textId="77777777" w:rsidR="00DF1FC7" w:rsidRDefault="00DF1FC7" w:rsidP="002E5BAD">
      <w:pPr>
        <w:pStyle w:val="a5"/>
      </w:pPr>
      <w:r w:rsidRPr="00A25A4B">
        <w:rPr>
          <w:rFonts w:cs="Arial"/>
          <w:rtl/>
        </w:rPr>
        <w:t>ועי' בתשו' ברית אברהם סי' ע"ה שתמה מאד על הב"ש</w:t>
      </w:r>
      <w:r>
        <w:rPr>
          <w:rFonts w:cs="Arial" w:hint="cs"/>
          <w:rtl/>
        </w:rPr>
        <w:t xml:space="preserve"> (סקכ"א)...</w:t>
      </w:r>
      <w:r w:rsidRPr="00A25A4B">
        <w:rPr>
          <w:rFonts w:cs="Arial"/>
          <w:rtl/>
        </w:rPr>
        <w:t xml:space="preserve"> ובאמת המעיין בתשו' מהרי"ק שורש פ"א יראה דכל הפלפול שלו הוא בקטנה דלא קנסו כו' (שפוסק שם דאינה מפסדת מה שהכניס' אפי' אינם בעין ולכן שפיר דן דאף השליש אינה מפסדת כו') ולכן מסיק לדינא דלא כהב"ש אלא דאינה נוטלת התוספת שליש גם באיתי' בעין ממה שהרויח (גם בתשו' שבו"י ח"ג סימן קכ"ז חולק על הב"ש בזה והביא שם ג"כ מדברי מהרי"ט ח"ב סימן ב' ובתשו' מהר"ש הלוי סי' ט' ותשו' פרח מטה אהרן ח"א סי' צ' שפסקו ג"כ דאין להוציא מיד בעל התוספת כלל ע"ש באורך) וגם בגוף הנדוניא דהסכמת האחרונים דאם הוא בעין לא הפסיד' כ' שם לפלפל בזה והרא' פנים דראוי לו' דבמעות כיון דלהוצא' ניתנה גם אם הם בעין הוי כאילו הוציאם ואינה נוטלת וכ"מ להדיא בתשו' לחם רב סי' נ"ב ושוב כ' ליישב הסכמת האחרונים בזה ומסיק כן לדינא דמה שהוא בעין ממעות נדוניא לא הפסיד' וכדברי תשו' גאוני בתראי סי' כ"ו וכהסכמת הב"ש וכדברי תשו' מהר"י הלוי ס"ס ל"ט יעו"ש (וע' בת' ח"צ סי' קמ"ה וקמ"ו ובתשו' שבו"י שם. וגם בס' בית מאיר מזה). עוד כ' שם לפלפל בענין אם גוף מעות הנדוניא אינו בעין אך מה דאתי מחמתי' ומסיק דגם מה דאתי מחמתי' הוי כגוף הנדוניא ונוטלת אותם אך באופן שיבורר ע"פ עדים שאותן מעות נדוני' הוציא על סחור' זו דאיתא בעיניה כי אולי הוציא המעות נדוני' לצרכי אכילה וממעות אחרים לקח הסחורה ע"ש היטב. וע' בת' כנ"י ס"ס ע"ח:</w:t>
      </w:r>
      <w:r w:rsidRPr="00A25A4B">
        <w:rPr>
          <w:rFonts w:cs="Arial" w:hint="cs"/>
          <w:rtl/>
        </w:rPr>
        <w:t xml:space="preserve"> </w:t>
      </w:r>
      <w:r>
        <w:rPr>
          <w:rFonts w:cs="Arial" w:hint="cs"/>
          <w:rtl/>
        </w:rPr>
        <w:t xml:space="preserve">פת"ש </w:t>
      </w:r>
      <w:r w:rsidRPr="00A25A4B">
        <w:rPr>
          <w:rFonts w:cs="Arial"/>
          <w:rtl/>
        </w:rPr>
        <w:t>(</w:t>
      </w:r>
      <w:r>
        <w:rPr>
          <w:rFonts w:cs="Arial" w:hint="cs"/>
          <w:rtl/>
        </w:rPr>
        <w:t>סק</w:t>
      </w:r>
      <w:r w:rsidRPr="00A25A4B">
        <w:rPr>
          <w:rFonts w:cs="Arial"/>
          <w:rtl/>
        </w:rPr>
        <w:t>י</w:t>
      </w:r>
      <w:r>
        <w:rPr>
          <w:rFonts w:cs="Arial" w:hint="cs"/>
          <w:rtl/>
        </w:rPr>
        <w:t>"</w:t>
      </w:r>
      <w:r w:rsidRPr="00A25A4B">
        <w:rPr>
          <w:rFonts w:cs="Arial"/>
          <w:rtl/>
        </w:rPr>
        <w:t>ט)</w:t>
      </w:r>
    </w:p>
  </w:footnote>
  <w:footnote w:id="3164">
    <w:p w14:paraId="5D606E99" w14:textId="77777777" w:rsidR="00DF1FC7" w:rsidRDefault="00DF1FC7" w:rsidP="002E5BAD">
      <w:pPr>
        <w:pStyle w:val="a5"/>
      </w:pPr>
      <w:r>
        <w:rPr>
          <w:rStyle w:val="a7"/>
        </w:rPr>
        <w:footnoteRef/>
      </w:r>
      <w:r>
        <w:rPr>
          <w:rtl/>
        </w:rPr>
        <w:t xml:space="preserve"> </w:t>
      </w:r>
      <w:r w:rsidRPr="00C544BF">
        <w:rPr>
          <w:rFonts w:cs="Arial"/>
          <w:rtl/>
        </w:rPr>
        <w:t>אפילו נאבד בפשיעת הבעל</w:t>
      </w:r>
      <w:r>
        <w:rPr>
          <w:rFonts w:cs="Arial" w:hint="cs"/>
          <w:rtl/>
        </w:rPr>
        <w:t>,</w:t>
      </w:r>
      <w:r w:rsidRPr="00C544BF">
        <w:rPr>
          <w:rFonts w:cs="Arial"/>
          <w:rtl/>
        </w:rPr>
        <w:t xml:space="preserve"> דפשיעה בבעלים הוא דהיא עמו במלאכתו</w:t>
      </w:r>
      <w:r>
        <w:rPr>
          <w:rFonts w:cs="Arial" w:hint="cs"/>
          <w:rtl/>
        </w:rPr>
        <w:t>,</w:t>
      </w:r>
      <w:r w:rsidRPr="00C544BF">
        <w:rPr>
          <w:rFonts w:cs="Arial"/>
          <w:rtl/>
        </w:rPr>
        <w:t xml:space="preserve"> וכמו שנתבא' לעיל סי' פ"ה ס"ב</w:t>
      </w:r>
      <w:r>
        <w:rPr>
          <w:rFonts w:cs="Arial" w:hint="cs"/>
          <w:rtl/>
        </w:rPr>
        <w:t>.</w:t>
      </w:r>
      <w:r w:rsidRPr="00C544BF">
        <w:rPr>
          <w:rFonts w:cs="Arial"/>
          <w:rtl/>
        </w:rPr>
        <w:t xml:space="preserve"> ובב"ח כתב דחייב בפשיע</w:t>
      </w:r>
      <w:r>
        <w:rPr>
          <w:rFonts w:cs="Arial" w:hint="cs"/>
          <w:rtl/>
        </w:rPr>
        <w:t>ה,</w:t>
      </w:r>
      <w:r w:rsidRPr="00C544BF">
        <w:rPr>
          <w:rFonts w:cs="Arial"/>
          <w:rtl/>
        </w:rPr>
        <w:t xml:space="preserve"> ולא ידעתי כוונתו</w:t>
      </w:r>
      <w:r>
        <w:rPr>
          <w:rFonts w:cs="Arial" w:hint="cs"/>
          <w:sz w:val="16"/>
          <w:szCs w:val="16"/>
          <w:rtl/>
        </w:rPr>
        <w:t xml:space="preserve"> {וגם ה</w:t>
      </w:r>
      <w:r w:rsidRPr="003B4793">
        <w:rPr>
          <w:rFonts w:cs="Arial"/>
          <w:sz w:val="16"/>
          <w:szCs w:val="16"/>
          <w:rtl/>
        </w:rPr>
        <w:t xml:space="preserve">ב"ש </w:t>
      </w:r>
      <w:r>
        <w:rPr>
          <w:rFonts w:cs="Arial" w:hint="cs"/>
          <w:sz w:val="16"/>
          <w:szCs w:val="16"/>
          <w:rtl/>
        </w:rPr>
        <w:t>(סקכ"ב) חלק על הב"ח.</w:t>
      </w:r>
      <w:r w:rsidRPr="003B4793">
        <w:rPr>
          <w:rFonts w:cs="Arial"/>
          <w:sz w:val="16"/>
          <w:szCs w:val="16"/>
          <w:rtl/>
        </w:rPr>
        <w:t xml:space="preserve"> </w:t>
      </w:r>
      <w:r>
        <w:rPr>
          <w:rFonts w:cs="Arial" w:hint="cs"/>
          <w:sz w:val="16"/>
          <w:szCs w:val="16"/>
          <w:rtl/>
        </w:rPr>
        <w:t xml:space="preserve">אך </w:t>
      </w:r>
      <w:r w:rsidRPr="003B4793">
        <w:rPr>
          <w:rFonts w:cs="Arial"/>
          <w:sz w:val="16"/>
          <w:szCs w:val="16"/>
          <w:rtl/>
        </w:rPr>
        <w:t xml:space="preserve">בתשו' שבו"י </w:t>
      </w:r>
      <w:r>
        <w:rPr>
          <w:rFonts w:cs="Arial" w:hint="cs"/>
          <w:sz w:val="16"/>
          <w:szCs w:val="16"/>
          <w:rtl/>
        </w:rPr>
        <w:t>(</w:t>
      </w:r>
      <w:r w:rsidRPr="003B4793">
        <w:rPr>
          <w:rFonts w:cs="Arial"/>
          <w:sz w:val="16"/>
          <w:szCs w:val="16"/>
          <w:rtl/>
        </w:rPr>
        <w:t>ח"ג סי' קכז</w:t>
      </w:r>
      <w:r>
        <w:rPr>
          <w:rFonts w:cs="Arial" w:hint="cs"/>
          <w:sz w:val="16"/>
          <w:szCs w:val="16"/>
          <w:rtl/>
        </w:rPr>
        <w:t>)</w:t>
      </w:r>
      <w:r w:rsidRPr="003B4793">
        <w:rPr>
          <w:rFonts w:cs="Arial"/>
          <w:sz w:val="16"/>
          <w:szCs w:val="16"/>
          <w:rtl/>
        </w:rPr>
        <w:t xml:space="preserve"> </w:t>
      </w:r>
      <w:r>
        <w:rPr>
          <w:rFonts w:cs="Arial" w:hint="cs"/>
          <w:sz w:val="16"/>
          <w:szCs w:val="16"/>
          <w:rtl/>
        </w:rPr>
        <w:t>כ</w:t>
      </w:r>
      <w:r w:rsidRPr="003B4793">
        <w:rPr>
          <w:rFonts w:cs="Arial"/>
          <w:sz w:val="16"/>
          <w:szCs w:val="16"/>
          <w:rtl/>
        </w:rPr>
        <w:t>' דהעיקר כדעת הב"ח ולא כח"מ וב"ש ע"ש</w:t>
      </w:r>
      <w:r>
        <w:rPr>
          <w:rFonts w:cs="Arial" w:hint="cs"/>
          <w:sz w:val="16"/>
          <w:szCs w:val="16"/>
          <w:rtl/>
        </w:rPr>
        <w:t>, פת"ש (סק"כ)}</w:t>
      </w:r>
      <w:r>
        <w:rPr>
          <w:rFonts w:cs="Arial" w:hint="cs"/>
          <w:rtl/>
        </w:rPr>
        <w:t>.</w:t>
      </w:r>
      <w:r w:rsidRPr="00C544BF">
        <w:rPr>
          <w:rFonts w:cs="Arial"/>
          <w:rtl/>
        </w:rPr>
        <w:t xml:space="preserve"> אבל אם מכר נ"מ שלה ואכל הדמים </w:t>
      </w:r>
      <w:r>
        <w:rPr>
          <w:rFonts w:cs="Arial" w:hint="cs"/>
          <w:rtl/>
        </w:rPr>
        <w:t xml:space="preserve">- </w:t>
      </w:r>
      <w:r w:rsidRPr="00C544BF">
        <w:rPr>
          <w:rFonts w:cs="Arial"/>
          <w:rtl/>
        </w:rPr>
        <w:t>חייב לשלם</w:t>
      </w:r>
      <w:r>
        <w:rPr>
          <w:rFonts w:cs="Arial" w:hint="cs"/>
          <w:rtl/>
        </w:rPr>
        <w:t xml:space="preserve">, </w:t>
      </w:r>
      <w:r w:rsidRPr="00C544BF">
        <w:rPr>
          <w:rFonts w:cs="Arial"/>
          <w:rtl/>
        </w:rPr>
        <w:t>דאין לו שייכו</w:t>
      </w:r>
      <w:r>
        <w:rPr>
          <w:rFonts w:cs="Arial" w:hint="cs"/>
          <w:rtl/>
        </w:rPr>
        <w:t>ת</w:t>
      </w:r>
      <w:r w:rsidRPr="00C544BF">
        <w:rPr>
          <w:rFonts w:cs="Arial"/>
          <w:rtl/>
        </w:rPr>
        <w:t xml:space="preserve"> בקרן של נ"מ והוי כגזלן ואינש דעלמ</w:t>
      </w:r>
      <w:r>
        <w:rPr>
          <w:rFonts w:cs="Arial" w:hint="cs"/>
          <w:rtl/>
        </w:rPr>
        <w:t>א.</w:t>
      </w:r>
      <w:r w:rsidRPr="00C544BF">
        <w:rPr>
          <w:rFonts w:cs="Arial"/>
          <w:rtl/>
        </w:rPr>
        <w:t xml:space="preserve"> ועיין לקמן סוף סי' קט"ז כתבתי דעת רש"י והרא"ש דאפי' קרן של נ"מ א"צ לשלם גבי ממאנת</w:t>
      </w:r>
      <w:r>
        <w:rPr>
          <w:rFonts w:cs="Arial" w:hint="cs"/>
          <w:rtl/>
        </w:rPr>
        <w:t>,</w:t>
      </w:r>
      <w:r w:rsidRPr="00C544BF">
        <w:rPr>
          <w:rFonts w:cs="Arial"/>
          <w:rtl/>
        </w:rPr>
        <w:t xml:space="preserve"> ואפשר דה"ה הכא ויש לחלק</w:t>
      </w:r>
      <w:r>
        <w:rPr>
          <w:rFonts w:cs="Arial" w:hint="cs"/>
          <w:rtl/>
        </w:rPr>
        <w:t>, ח"מ (סק"כ).</w:t>
      </w:r>
    </w:p>
  </w:footnote>
  <w:footnote w:id="3165">
    <w:p w14:paraId="577FD027" w14:textId="77777777" w:rsidR="00DF1FC7" w:rsidRDefault="00DF1FC7" w:rsidP="002E5BAD">
      <w:pPr>
        <w:pStyle w:val="a5"/>
        <w:rPr>
          <w:rtl/>
        </w:rPr>
      </w:pPr>
      <w:r>
        <w:rPr>
          <w:rStyle w:val="a7"/>
        </w:rPr>
        <w:footnoteRef/>
      </w:r>
      <w:r>
        <w:rPr>
          <w:rtl/>
        </w:rPr>
        <w:t xml:space="preserve"> </w:t>
      </w:r>
      <w:r w:rsidRPr="00A25A4B">
        <w:rPr>
          <w:rFonts w:cs="Arial"/>
          <w:rtl/>
        </w:rPr>
        <w:t>אפי' זינתה בעודה פנויה ונודע לבעל אח"כ. מהרי"ט חא"ה סימן ט"ו</w:t>
      </w:r>
      <w:r>
        <w:rPr>
          <w:rFonts w:cs="Arial" w:hint="cs"/>
          <w:rtl/>
        </w:rPr>
        <w:t>, באה"ט (סק"כ).</w:t>
      </w:r>
      <w:r w:rsidRPr="00A25A4B">
        <w:rPr>
          <w:rFonts w:cs="Arial"/>
          <w:rtl/>
        </w:rPr>
        <w:t xml:space="preserve"> </w:t>
      </w:r>
      <w:r w:rsidRPr="008930CA">
        <w:rPr>
          <w:rFonts w:cs="Arial"/>
          <w:rtl/>
        </w:rPr>
        <w:t>וקטנה שזנתה ס"ל לרוב הפוסקים אפילו אם זנתה ברצון הוי כאונס כי פיתוי דקטנה אונס הוא ומותרת לבעלה ולא הפסידה הכתובה ורמב"ם ס"ל דאסורה לבעלה ומפסדת הכתובה, מיהו נ"מ ונצ"ב אפי' לית' בעין לא הפסידה כי גדולה מפסדת משום קנס שקנסו אותה חז"ל ובקטנה לא שייך קנס לכן לא הפסידה אפילו לשיטות הרמב"ם וע' במהרי"ק שם</w:t>
      </w:r>
      <w:r>
        <w:rPr>
          <w:rFonts w:cs="Arial" w:hint="cs"/>
          <w:rtl/>
        </w:rPr>
        <w:t>.</w:t>
      </w:r>
      <w:r w:rsidRPr="008930CA">
        <w:rPr>
          <w:rFonts w:cs="Arial"/>
          <w:rtl/>
        </w:rPr>
        <w:t xml:space="preserve"> ואם זנתה בטעות שהיתה סבירא דאין איסור בדבר עסי' קע"ח</w:t>
      </w:r>
      <w:r>
        <w:rPr>
          <w:rFonts w:cs="Arial" w:hint="cs"/>
          <w:rtl/>
        </w:rPr>
        <w:t>, ב"ש (סקכ"א).</w:t>
      </w:r>
      <w:r w:rsidRPr="00547575">
        <w:rPr>
          <w:rtl/>
        </w:rPr>
        <w:t xml:space="preserve"> </w:t>
      </w:r>
      <w:r w:rsidRPr="00547575">
        <w:rPr>
          <w:rFonts w:cs="Arial"/>
          <w:rtl/>
        </w:rPr>
        <w:t>ועיין בתשו' חת</w:t>
      </w:r>
      <w:r>
        <w:rPr>
          <w:rFonts w:cs="Arial" w:hint="cs"/>
          <w:rtl/>
        </w:rPr>
        <w:t>"</w:t>
      </w:r>
      <w:r w:rsidRPr="00547575">
        <w:rPr>
          <w:rFonts w:cs="Arial"/>
          <w:rtl/>
        </w:rPr>
        <w:t xml:space="preserve">ס </w:t>
      </w:r>
      <w:r>
        <w:rPr>
          <w:rFonts w:cs="Arial" w:hint="cs"/>
          <w:rtl/>
        </w:rPr>
        <w:t>(</w:t>
      </w:r>
      <w:r w:rsidRPr="00547575">
        <w:rPr>
          <w:rFonts w:cs="Arial"/>
          <w:rtl/>
        </w:rPr>
        <w:t>סי' קמח</w:t>
      </w:r>
      <w:r>
        <w:rPr>
          <w:rFonts w:cs="Arial" w:hint="cs"/>
          <w:rtl/>
        </w:rPr>
        <w:t>)</w:t>
      </w:r>
      <w:r w:rsidRPr="00547575">
        <w:rPr>
          <w:rFonts w:cs="Arial"/>
          <w:rtl/>
        </w:rPr>
        <w:t xml:space="preserve"> שהשיב ע"ד מי שנשא אלמנה וכמו חדש ימים אחר הנישואין נ</w:t>
      </w:r>
      <w:r>
        <w:rPr>
          <w:rFonts w:cs="Arial" w:hint="cs"/>
          <w:rtl/>
        </w:rPr>
        <w:t xml:space="preserve">שאו ונתנו </w:t>
      </w:r>
      <w:r w:rsidRPr="00547575">
        <w:rPr>
          <w:rFonts w:cs="Arial"/>
          <w:rtl/>
        </w:rPr>
        <w:t>בה מוזרות בלבנה שהרתה לזנונים</w:t>
      </w:r>
      <w:r>
        <w:rPr>
          <w:rFonts w:cs="Arial" w:hint="cs"/>
          <w:rtl/>
        </w:rPr>
        <w:t>.</w:t>
      </w:r>
      <w:r w:rsidRPr="00547575">
        <w:rPr>
          <w:rFonts w:cs="Arial"/>
          <w:rtl/>
        </w:rPr>
        <w:t xml:space="preserve"> ונקרא</w:t>
      </w:r>
      <w:r>
        <w:rPr>
          <w:rFonts w:cs="Arial" w:hint="cs"/>
          <w:rtl/>
        </w:rPr>
        <w:t>ה</w:t>
      </w:r>
      <w:r w:rsidRPr="00547575">
        <w:rPr>
          <w:rFonts w:cs="Arial"/>
          <w:rtl/>
        </w:rPr>
        <w:t xml:space="preserve"> לפני הרב והכחישה הדבר</w:t>
      </w:r>
      <w:r>
        <w:rPr>
          <w:rFonts w:cs="Arial" w:hint="cs"/>
          <w:rtl/>
        </w:rPr>
        <w:t>.</w:t>
      </w:r>
      <w:r w:rsidRPr="00547575">
        <w:rPr>
          <w:rFonts w:cs="Arial"/>
          <w:rtl/>
        </w:rPr>
        <w:t xml:space="preserve"> וכמו ד' חדשים ילדה</w:t>
      </w:r>
      <w:r>
        <w:rPr>
          <w:rFonts w:cs="Arial" w:hint="cs"/>
          <w:rtl/>
        </w:rPr>
        <w:t>...</w:t>
      </w:r>
      <w:r w:rsidRPr="00547575">
        <w:rPr>
          <w:rFonts w:cs="Arial"/>
          <w:rtl/>
        </w:rPr>
        <w:t xml:space="preserve"> לא מקרי עו</w:t>
      </w:r>
      <w:r>
        <w:rPr>
          <w:rFonts w:cs="Arial" w:hint="cs"/>
          <w:rtl/>
        </w:rPr>
        <w:t xml:space="preserve">ברת </w:t>
      </w:r>
      <w:r w:rsidRPr="00547575">
        <w:rPr>
          <w:rFonts w:cs="Arial"/>
          <w:rtl/>
        </w:rPr>
        <w:t>ע</w:t>
      </w:r>
      <w:r>
        <w:rPr>
          <w:rFonts w:cs="Arial" w:hint="cs"/>
          <w:rtl/>
        </w:rPr>
        <w:t>ל דת</w:t>
      </w:r>
      <w:r w:rsidRPr="00547575">
        <w:rPr>
          <w:rFonts w:cs="Arial"/>
          <w:rtl/>
        </w:rPr>
        <w:t xml:space="preserve"> אלא מה דאיכא חשש מכשול לעתיד אבל לא מה שעברה כבר כו' וא"כ הכא ליכא למיחש שתכשילהו עוד באיסור מעוברת חבירו לעולם כו' ומכ"ש דהכא לא כיונה להכשיל כ"א מחמת כיסופא לא הודית וגם מאימת גירושין מבעלה רצתה להסתיר כל זמן שאפשר ולא נחשדה כלל להכשילו ע"כ נ"ל פשוט שאינה בכלל עוע"ד. ולכן בנ"ד נהי דגם אם יורה המורה דמותר לקיימ' מ"מ אם הבעל אינו רוצה יכול לגרשה בע"כ ואין בזה משום חרגמ"ה מ"מ לא הפסידה תוספת ומכ"ש מה שהכניס' לו</w:t>
      </w:r>
      <w:r>
        <w:rPr>
          <w:rFonts w:cs="Arial" w:hint="cs"/>
          <w:rtl/>
        </w:rPr>
        <w:t>, פת"ש (סק"כ*)</w:t>
      </w:r>
      <w:r>
        <w:rPr>
          <w:rFonts w:hint="cs"/>
          <w:rtl/>
        </w:rPr>
        <w:t>.</w:t>
      </w:r>
    </w:p>
  </w:footnote>
  <w:footnote w:id="3166">
    <w:p w14:paraId="5D614993" w14:textId="77777777" w:rsidR="00DF1FC7" w:rsidRDefault="00DF1FC7" w:rsidP="002E5BAD">
      <w:pPr>
        <w:pStyle w:val="a5"/>
      </w:pPr>
      <w:r>
        <w:rPr>
          <w:rStyle w:val="a7"/>
        </w:rPr>
        <w:footnoteRef/>
      </w:r>
      <w:r>
        <w:rPr>
          <w:rtl/>
        </w:rPr>
        <w:t xml:space="preserve"> </w:t>
      </w:r>
      <w:r w:rsidRPr="00E069A0">
        <w:rPr>
          <w:rFonts w:cs="Arial"/>
          <w:rtl/>
        </w:rPr>
        <w:t xml:space="preserve">כתב מהרי"ק </w:t>
      </w:r>
      <w:r>
        <w:rPr>
          <w:rFonts w:cs="Arial" w:hint="cs"/>
          <w:rtl/>
        </w:rPr>
        <w:t>(</w:t>
      </w:r>
      <w:r w:rsidRPr="00E069A0">
        <w:rPr>
          <w:rFonts w:cs="Arial"/>
          <w:rtl/>
        </w:rPr>
        <w:t>שורש פא ענף א) במקום שיש מנהג שכל אחד מוסיף שליש על הנדוניא מפני שיכול להשתכר בנדוניא</w:t>
      </w:r>
      <w:r>
        <w:rPr>
          <w:rFonts w:cs="Arial" w:hint="cs"/>
          <w:rtl/>
        </w:rPr>
        <w:t>,</w:t>
      </w:r>
      <w:r w:rsidRPr="00E069A0">
        <w:rPr>
          <w:rFonts w:cs="Arial"/>
          <w:rtl/>
        </w:rPr>
        <w:t xml:space="preserve"> אותה הוספה מיקרי נדוניא</w:t>
      </w:r>
      <w:r>
        <w:rPr>
          <w:rFonts w:cs="Arial" w:hint="cs"/>
          <w:rtl/>
        </w:rPr>
        <w:t>,</w:t>
      </w:r>
      <w:r w:rsidRPr="00E069A0">
        <w:rPr>
          <w:rFonts w:cs="Arial"/>
          <w:rtl/>
        </w:rPr>
        <w:t xml:space="preserve"> אבל במקום שכל אחד מוסיף מה שירצה </w:t>
      </w:r>
      <w:r>
        <w:rPr>
          <w:rFonts w:cs="Arial" w:hint="cs"/>
          <w:rtl/>
        </w:rPr>
        <w:t xml:space="preserve">- </w:t>
      </w:r>
      <w:r w:rsidRPr="00E069A0">
        <w:rPr>
          <w:rFonts w:cs="Arial"/>
          <w:rtl/>
        </w:rPr>
        <w:t>מקרי תוספת ולא נדוניא וע"ש</w:t>
      </w:r>
      <w:r>
        <w:rPr>
          <w:rFonts w:cs="Arial" w:hint="cs"/>
          <w:rtl/>
        </w:rPr>
        <w:t>, דרכ"מ (אות יב).</w:t>
      </w:r>
    </w:p>
  </w:footnote>
  <w:footnote w:id="3167">
    <w:p w14:paraId="78506B55" w14:textId="77777777" w:rsidR="00DF1FC7" w:rsidRDefault="00DF1FC7" w:rsidP="002E5BAD">
      <w:pPr>
        <w:pStyle w:val="a5"/>
        <w:rPr>
          <w:rtl/>
        </w:rPr>
      </w:pPr>
      <w:r>
        <w:rPr>
          <w:rStyle w:val="a7"/>
        </w:rPr>
        <w:footnoteRef/>
      </w:r>
      <w:r>
        <w:rPr>
          <w:rtl/>
        </w:rPr>
        <w:t xml:space="preserve"> </w:t>
      </w:r>
      <w:r>
        <w:rPr>
          <w:rFonts w:cs="Arial"/>
          <w:rtl/>
        </w:rPr>
        <w:t>כ"כ הרמב"ם ז"ל בפכ"ד (הי"ח) ופשוט הוא דהודאת בעל דין כמאה עדים דמי</w:t>
      </w:r>
      <w:r>
        <w:rPr>
          <w:rFonts w:cs="Arial" w:hint="cs"/>
          <w:rtl/>
        </w:rPr>
        <w:t>, ב"י.</w:t>
      </w:r>
    </w:p>
  </w:footnote>
  <w:footnote w:id="3168">
    <w:p w14:paraId="4032A167" w14:textId="77777777" w:rsidR="00DF1FC7" w:rsidRDefault="00DF1FC7" w:rsidP="002E5BAD">
      <w:pPr>
        <w:pStyle w:val="a5"/>
      </w:pPr>
      <w:r>
        <w:rPr>
          <w:rStyle w:val="a7"/>
        </w:rPr>
        <w:footnoteRef/>
      </w:r>
      <w:r>
        <w:rPr>
          <w:rtl/>
        </w:rPr>
        <w:t xml:space="preserve"> </w:t>
      </w:r>
      <w:r>
        <w:rPr>
          <w:rFonts w:cs="Arial" w:hint="cs"/>
          <w:rtl/>
        </w:rPr>
        <w:t xml:space="preserve">וז"ל- </w:t>
      </w:r>
      <w:r w:rsidRPr="00026E9E">
        <w:rPr>
          <w:rFonts w:cs="Arial"/>
          <w:rtl/>
        </w:rPr>
        <w:t xml:space="preserve">ירושלמי </w:t>
      </w:r>
      <w:r w:rsidRPr="00BD6E5D">
        <w:rPr>
          <w:rFonts w:cs="Arial"/>
          <w:rtl/>
        </w:rPr>
        <w:t>האומרת טמאה אני לך אם נתנה אמתלא נאמנת ואם לא נתנה אמתלא אינה נאמנת</w:t>
      </w:r>
      <w:r>
        <w:rPr>
          <w:rFonts w:cs="Arial" w:hint="cs"/>
          <w:rtl/>
        </w:rPr>
        <w:t>.</w:t>
      </w:r>
      <w:r w:rsidRPr="00BD6E5D">
        <w:rPr>
          <w:rFonts w:cs="Arial"/>
          <w:rtl/>
        </w:rPr>
        <w:t xml:space="preserve"> א"ר אילא אם היה חבר יוציא</w:t>
      </w:r>
      <w:r>
        <w:rPr>
          <w:rFonts w:cs="Arial" w:hint="cs"/>
          <w:rtl/>
        </w:rPr>
        <w:t>.</w:t>
      </w:r>
      <w:r w:rsidRPr="00BD6E5D">
        <w:rPr>
          <w:rFonts w:cs="Arial"/>
          <w:rtl/>
        </w:rPr>
        <w:t xml:space="preserve"> ואם הוא מאמינה חייב להוציא</w:t>
      </w:r>
      <w:r>
        <w:rPr>
          <w:rFonts w:hint="cs"/>
          <w:rtl/>
        </w:rPr>
        <w:t>.</w:t>
      </w:r>
    </w:p>
  </w:footnote>
  <w:footnote w:id="3169">
    <w:p w14:paraId="7166BA44" w14:textId="77777777" w:rsidR="00DF1FC7" w:rsidRDefault="00DF1FC7" w:rsidP="002E5BAD">
      <w:pPr>
        <w:pStyle w:val="a5"/>
      </w:pPr>
      <w:r>
        <w:rPr>
          <w:rStyle w:val="a7"/>
        </w:rPr>
        <w:footnoteRef/>
      </w:r>
      <w:r>
        <w:rPr>
          <w:rtl/>
        </w:rPr>
        <w:t xml:space="preserve"> </w:t>
      </w:r>
      <w:r>
        <w:rPr>
          <w:rFonts w:hint="cs"/>
          <w:rtl/>
        </w:rPr>
        <w:t xml:space="preserve">וז"ל- </w:t>
      </w:r>
      <w:r w:rsidRPr="008E63E3">
        <w:rPr>
          <w:rFonts w:cs="Arial"/>
          <w:rtl/>
        </w:rPr>
        <w:t>מי שראה אשתו שזינת או שאמר לו אחד מקרוביו או מקרובותיה שהוא מאמינם וסומכת דעתו עליהם שזינת אשתו בין שהיה האומר איש בין שהיתה אשה הואיל וסמכה דעתו לדבר זה שהוא אמת הרי זה חייב להוציא ואסור לו לבוא עליה ויתן כתובתה, ואם הודת לו שזינת תצא בלא כתובה</w:t>
      </w:r>
      <w:r>
        <w:rPr>
          <w:rFonts w:cs="Arial" w:hint="cs"/>
          <w:rtl/>
        </w:rPr>
        <w:t>..</w:t>
      </w:r>
      <w:r w:rsidRPr="008E63E3">
        <w:rPr>
          <w:rFonts w:cs="Arial"/>
          <w:rtl/>
        </w:rPr>
        <w:t>.</w:t>
      </w:r>
    </w:p>
  </w:footnote>
  <w:footnote w:id="3170">
    <w:p w14:paraId="0D04B858" w14:textId="77777777" w:rsidR="00DF1FC7" w:rsidRPr="008C4524" w:rsidRDefault="00DF1FC7" w:rsidP="002E5BAD">
      <w:pPr>
        <w:pStyle w:val="a5"/>
        <w:rPr>
          <w:rFonts w:cs="Arial"/>
        </w:rPr>
      </w:pPr>
      <w:r>
        <w:rPr>
          <w:rStyle w:val="a7"/>
        </w:rPr>
        <w:footnoteRef/>
      </w:r>
      <w:r>
        <w:rPr>
          <w:rtl/>
        </w:rPr>
        <w:t xml:space="preserve"> </w:t>
      </w:r>
      <w:r>
        <w:rPr>
          <w:rFonts w:cs="Arial" w:hint="cs"/>
          <w:rtl/>
        </w:rPr>
        <w:t>ו</w:t>
      </w:r>
      <w:r w:rsidRPr="00671DE4">
        <w:rPr>
          <w:rFonts w:cs="Arial"/>
          <w:rtl/>
        </w:rPr>
        <w:t>הרבה קרובים אינן נחשבים אלא לעד אחד</w:t>
      </w:r>
      <w:r>
        <w:rPr>
          <w:rFonts w:cs="Arial" w:hint="cs"/>
          <w:rtl/>
        </w:rPr>
        <w:t xml:space="preserve">, </w:t>
      </w:r>
      <w:r w:rsidRPr="00671DE4">
        <w:rPr>
          <w:rFonts w:cs="Arial"/>
          <w:rtl/>
        </w:rPr>
        <w:t xml:space="preserve">מהר"ם </w:t>
      </w:r>
      <w:r w:rsidRPr="0087631A">
        <w:rPr>
          <w:rFonts w:cs="Arial" w:hint="cs"/>
          <w:sz w:val="16"/>
          <w:szCs w:val="16"/>
          <w:rtl/>
        </w:rPr>
        <w:t>(</w:t>
      </w:r>
      <w:r w:rsidRPr="0087631A">
        <w:rPr>
          <w:rFonts w:cs="Arial"/>
          <w:sz w:val="16"/>
          <w:szCs w:val="16"/>
          <w:rtl/>
        </w:rPr>
        <w:t>ספר סיני וליקוטים סי</w:t>
      </w:r>
      <w:r w:rsidRPr="0087631A">
        <w:rPr>
          <w:rFonts w:cs="Arial" w:hint="cs"/>
          <w:sz w:val="16"/>
          <w:szCs w:val="16"/>
          <w:rtl/>
        </w:rPr>
        <w:t>'</w:t>
      </w:r>
      <w:r w:rsidRPr="0087631A">
        <w:rPr>
          <w:rFonts w:cs="Arial"/>
          <w:sz w:val="16"/>
          <w:szCs w:val="16"/>
          <w:rtl/>
        </w:rPr>
        <w:t xml:space="preserve"> שסה</w:t>
      </w:r>
      <w:r w:rsidRPr="0087631A">
        <w:rPr>
          <w:rFonts w:cs="Arial" w:hint="cs"/>
          <w:sz w:val="16"/>
          <w:szCs w:val="16"/>
          <w:rtl/>
        </w:rPr>
        <w:t xml:space="preserve">, והביאוהו תשו' </w:t>
      </w:r>
      <w:r w:rsidRPr="0087631A">
        <w:rPr>
          <w:rFonts w:cs="Arial"/>
          <w:sz w:val="16"/>
          <w:szCs w:val="16"/>
          <w:rtl/>
        </w:rPr>
        <w:t>מיימוני</w:t>
      </w:r>
      <w:r w:rsidRPr="0087631A">
        <w:rPr>
          <w:rFonts w:cs="Arial" w:hint="cs"/>
          <w:sz w:val="16"/>
          <w:szCs w:val="16"/>
          <w:rtl/>
        </w:rPr>
        <w:t>ות</w:t>
      </w:r>
      <w:r w:rsidRPr="0087631A">
        <w:rPr>
          <w:rFonts w:cs="Arial"/>
          <w:sz w:val="16"/>
          <w:szCs w:val="16"/>
          <w:rtl/>
        </w:rPr>
        <w:t xml:space="preserve"> </w:t>
      </w:r>
      <w:r w:rsidRPr="0087631A">
        <w:rPr>
          <w:rFonts w:cs="Arial" w:hint="cs"/>
          <w:sz w:val="16"/>
          <w:szCs w:val="16"/>
          <w:rtl/>
        </w:rPr>
        <w:t>[</w:t>
      </w:r>
      <w:r w:rsidRPr="0087631A">
        <w:rPr>
          <w:rFonts w:cs="Arial"/>
          <w:sz w:val="16"/>
          <w:szCs w:val="16"/>
          <w:rtl/>
        </w:rPr>
        <w:t>סוף הלכות נשים סי' כה</w:t>
      </w:r>
      <w:r w:rsidRPr="0087631A">
        <w:rPr>
          <w:rFonts w:cs="Arial" w:hint="cs"/>
          <w:sz w:val="16"/>
          <w:szCs w:val="16"/>
          <w:rtl/>
        </w:rPr>
        <w:t>]</w:t>
      </w:r>
      <w:r w:rsidRPr="0087631A">
        <w:rPr>
          <w:rFonts w:cs="Arial"/>
          <w:sz w:val="16"/>
          <w:szCs w:val="16"/>
          <w:rtl/>
        </w:rPr>
        <w:t xml:space="preserve"> והג</w:t>
      </w:r>
      <w:r w:rsidRPr="0087631A">
        <w:rPr>
          <w:rFonts w:cs="Arial" w:hint="cs"/>
          <w:sz w:val="16"/>
          <w:szCs w:val="16"/>
          <w:rtl/>
        </w:rPr>
        <w:t>מ"ר [</w:t>
      </w:r>
      <w:r w:rsidRPr="0087631A">
        <w:rPr>
          <w:rFonts w:cs="Arial"/>
          <w:sz w:val="16"/>
          <w:szCs w:val="16"/>
          <w:rtl/>
        </w:rPr>
        <w:t>יבמות סי' קכא - קכב</w:t>
      </w:r>
      <w:r w:rsidRPr="0087631A">
        <w:rPr>
          <w:rFonts w:cs="Arial" w:hint="cs"/>
          <w:sz w:val="16"/>
          <w:szCs w:val="16"/>
          <w:rtl/>
        </w:rPr>
        <w:t>]</w:t>
      </w:r>
      <w:r w:rsidRPr="0087631A">
        <w:rPr>
          <w:rFonts w:cs="Arial"/>
          <w:sz w:val="16"/>
          <w:szCs w:val="16"/>
          <w:rtl/>
        </w:rPr>
        <w:t>)</w:t>
      </w:r>
      <w:r>
        <w:rPr>
          <w:rFonts w:cs="Arial" w:hint="cs"/>
          <w:rtl/>
        </w:rPr>
        <w:t>.</w:t>
      </w:r>
      <w:r w:rsidRPr="00671DE4">
        <w:rPr>
          <w:rFonts w:cs="Arial"/>
          <w:rtl/>
        </w:rPr>
        <w:t xml:space="preserve"> </w:t>
      </w:r>
      <w:r w:rsidRPr="00AE454B">
        <w:rPr>
          <w:rFonts w:hint="cs"/>
          <w:color w:val="00B0F0"/>
          <w:rtl/>
        </w:rPr>
        <w:t>(וכ"פ הרמ"א</w:t>
      </w:r>
      <w:r>
        <w:rPr>
          <w:rFonts w:hint="cs"/>
          <w:color w:val="00B0F0"/>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AE454B">
        <w:rPr>
          <w:rFonts w:hint="cs"/>
          <w:color w:val="00B0F0"/>
          <w:rtl/>
        </w:rPr>
        <w:t>)</w:t>
      </w:r>
    </w:p>
  </w:footnote>
  <w:footnote w:id="3171">
    <w:p w14:paraId="0920C257" w14:textId="77777777" w:rsidR="00DF1FC7" w:rsidRDefault="00DF1FC7" w:rsidP="002E5BAD">
      <w:pPr>
        <w:pStyle w:val="a5"/>
        <w:rPr>
          <w:rtl/>
        </w:rPr>
      </w:pPr>
      <w:r>
        <w:rPr>
          <w:rStyle w:val="a7"/>
        </w:rPr>
        <w:footnoteRef/>
      </w:r>
      <w:r>
        <w:rPr>
          <w:rtl/>
        </w:rPr>
        <w:t xml:space="preserve"> </w:t>
      </w:r>
      <w:r w:rsidRPr="002A30B2">
        <w:rPr>
          <w:rFonts w:cs="Arial"/>
          <w:rtl/>
        </w:rPr>
        <w:t>ומשמע שבדין הוא חייב להוציאה בבא לצאת ידי שמים</w:t>
      </w:r>
      <w:r>
        <w:rPr>
          <w:rFonts w:cs="Arial" w:hint="cs"/>
          <w:rtl/>
        </w:rPr>
        <w:t>...</w:t>
      </w:r>
      <w:r w:rsidRPr="002A30B2">
        <w:rPr>
          <w:rFonts w:cs="Arial"/>
          <w:rtl/>
        </w:rPr>
        <w:t xml:space="preserve"> </w:t>
      </w:r>
      <w:r w:rsidRPr="008E63E3">
        <w:rPr>
          <w:rFonts w:cs="Arial"/>
          <w:rtl/>
        </w:rPr>
        <w:t>ולפיכך יש לתמוה על רבינו שכתב דמשום לזות שפתים הוא</w:t>
      </w:r>
      <w:r w:rsidRPr="008E63E3">
        <w:rPr>
          <w:rFonts w:cs="Arial" w:hint="cs"/>
          <w:rtl/>
        </w:rPr>
        <w:t>.</w:t>
      </w:r>
      <w:r w:rsidRPr="008E63E3">
        <w:rPr>
          <w:rFonts w:cs="Arial"/>
          <w:rtl/>
        </w:rPr>
        <w:t xml:space="preserve"> ובסימן קע"ח (קיז.) סתם וכתב שאם דעתו סומכת עליו כשנים יוציא ויתן כתובה</w:t>
      </w:r>
      <w:r>
        <w:rPr>
          <w:rFonts w:cs="Arial" w:hint="cs"/>
          <w:rtl/>
        </w:rPr>
        <w:t>.</w:t>
      </w:r>
      <w:r w:rsidRPr="008E63E3">
        <w:rPr>
          <w:rFonts w:cs="Arial"/>
          <w:rtl/>
        </w:rPr>
        <w:t xml:space="preserve"> ולא כתב דמשום לזות שפתים בלחוד הוא</w:t>
      </w:r>
      <w:r>
        <w:rPr>
          <w:rFonts w:cs="Arial" w:hint="cs"/>
          <w:rtl/>
        </w:rPr>
        <w:t>,</w:t>
      </w:r>
      <w:r w:rsidRPr="008E63E3">
        <w:rPr>
          <w:rFonts w:cs="Arial"/>
          <w:rtl/>
        </w:rPr>
        <w:t xml:space="preserve"> כמו שכתב כאן</w:t>
      </w:r>
      <w:r>
        <w:rPr>
          <w:rFonts w:cs="Arial" w:hint="cs"/>
          <w:rtl/>
        </w:rPr>
        <w:t>.</w:t>
      </w:r>
      <w:r w:rsidRPr="008E63E3">
        <w:rPr>
          <w:rFonts w:cs="Arial"/>
          <w:rtl/>
        </w:rPr>
        <w:t xml:space="preserve"> ומיהו שם כתב שהיא שותקת</w:t>
      </w:r>
      <w:r>
        <w:rPr>
          <w:rFonts w:cs="Arial" w:hint="cs"/>
          <w:rtl/>
        </w:rPr>
        <w:t>,</w:t>
      </w:r>
      <w:r w:rsidRPr="008E63E3">
        <w:rPr>
          <w:rFonts w:cs="Arial"/>
          <w:rtl/>
        </w:rPr>
        <w:t xml:space="preserve"> וכאן לא כתב כן</w:t>
      </w:r>
      <w:r>
        <w:rPr>
          <w:rFonts w:cs="Arial" w:hint="cs"/>
          <w:rtl/>
        </w:rPr>
        <w:t>,</w:t>
      </w:r>
      <w:r w:rsidRPr="008E63E3">
        <w:rPr>
          <w:rFonts w:cs="Arial"/>
          <w:rtl/>
        </w:rPr>
        <w:t xml:space="preserve"> ואיפשר שמפני כך כתב כאן דאינו אלא משום לזות שפתים</w:t>
      </w:r>
      <w:r>
        <w:rPr>
          <w:rFonts w:cs="Arial" w:hint="cs"/>
          <w:rtl/>
        </w:rPr>
        <w:t>,</w:t>
      </w:r>
      <w:r w:rsidRPr="008E63E3">
        <w:rPr>
          <w:rFonts w:cs="Arial"/>
          <w:rtl/>
        </w:rPr>
        <w:t xml:space="preserve"> ושם כתב יוציא ויתן כתובה וצ"ע. ומהרי"ק האריך בדינים אלו בשורש פ"א ופ"ב.</w:t>
      </w:r>
      <w:r>
        <w:rPr>
          <w:rFonts w:hint="cs"/>
          <w:rtl/>
        </w:rPr>
        <w:t>..</w:t>
      </w:r>
      <w:r w:rsidRPr="008E63E3">
        <w:rPr>
          <w:rFonts w:cs="Arial"/>
          <w:rtl/>
        </w:rPr>
        <w:t xml:space="preserve"> ועיין בדברי רבינו בסימן י"א ובסימן קע"ח. ובכתבי מה"ר איסרלן סימן רכ"ב. אם א"ל עד אחד אשתך זינתה בפניך ושתק אם היא אסורה עליו עיין בר</w:t>
      </w:r>
      <w:r>
        <w:rPr>
          <w:rFonts w:cs="Arial" w:hint="cs"/>
          <w:rtl/>
        </w:rPr>
        <w:t>י"</w:t>
      </w:r>
      <w:r w:rsidRPr="008E63E3">
        <w:rPr>
          <w:rFonts w:cs="Arial"/>
          <w:rtl/>
        </w:rPr>
        <w:t>ו (תא"ו) נכ"ג ח"ב (קצד ע"א)</w:t>
      </w:r>
      <w:r>
        <w:rPr>
          <w:rFonts w:cs="Arial" w:hint="cs"/>
          <w:rtl/>
        </w:rPr>
        <w:t>, ב"י.</w:t>
      </w:r>
    </w:p>
  </w:footnote>
  <w:footnote w:id="3172">
    <w:p w14:paraId="48CC4A30" w14:textId="77777777" w:rsidR="00DF1FC7" w:rsidRDefault="00DF1FC7" w:rsidP="002E5BAD">
      <w:pPr>
        <w:pStyle w:val="a5"/>
        <w:rPr>
          <w:rtl/>
        </w:rPr>
      </w:pPr>
      <w:r>
        <w:rPr>
          <w:rStyle w:val="a7"/>
        </w:rPr>
        <w:footnoteRef/>
      </w:r>
      <w:r>
        <w:rPr>
          <w:rtl/>
        </w:rPr>
        <w:t xml:space="preserve"> </w:t>
      </w:r>
      <w:r>
        <w:rPr>
          <w:rFonts w:hint="cs"/>
          <w:rtl/>
        </w:rPr>
        <w:t>מכאן והלאה הם דברי ה</w:t>
      </w:r>
      <w:r w:rsidRPr="00E34FAE">
        <w:rPr>
          <w:rFonts w:cs="Arial"/>
          <w:rtl/>
        </w:rPr>
        <w:t>רשב"א</w:t>
      </w:r>
      <w:r>
        <w:rPr>
          <w:rFonts w:cs="Arial" w:hint="cs"/>
          <w:rtl/>
        </w:rPr>
        <w:t xml:space="preserve"> בתשובה אחרת</w:t>
      </w:r>
      <w:r w:rsidRPr="00E34FAE">
        <w:rPr>
          <w:rFonts w:cs="Arial" w:hint="cs"/>
          <w:rtl/>
        </w:rPr>
        <w:t xml:space="preserve"> </w:t>
      </w:r>
      <w:r w:rsidRPr="00E34FAE">
        <w:rPr>
          <w:rFonts w:cs="Arial"/>
          <w:sz w:val="16"/>
          <w:szCs w:val="16"/>
          <w:rtl/>
        </w:rPr>
        <w:t>(ח"א סי</w:t>
      </w:r>
      <w:r w:rsidRPr="00E34FAE">
        <w:rPr>
          <w:rFonts w:cs="Arial" w:hint="cs"/>
          <w:sz w:val="16"/>
          <w:szCs w:val="16"/>
          <w:rtl/>
        </w:rPr>
        <w:t>'</w:t>
      </w:r>
      <w:r w:rsidRPr="00E34FAE">
        <w:rPr>
          <w:rFonts w:cs="Arial"/>
          <w:sz w:val="16"/>
          <w:szCs w:val="16"/>
          <w:rtl/>
        </w:rPr>
        <w:t xml:space="preserve"> אלף רלז</w:t>
      </w:r>
      <w:r w:rsidRPr="00E34FAE">
        <w:rPr>
          <w:rFonts w:cs="Arial" w:hint="cs"/>
          <w:sz w:val="16"/>
          <w:szCs w:val="16"/>
          <w:rtl/>
        </w:rPr>
        <w:t>, ובמיוחסות</w:t>
      </w:r>
      <w:r w:rsidRPr="00E34FAE">
        <w:rPr>
          <w:rFonts w:cs="Arial"/>
          <w:sz w:val="16"/>
          <w:szCs w:val="16"/>
          <w:rtl/>
        </w:rPr>
        <w:t xml:space="preserve"> סי</w:t>
      </w:r>
      <w:r w:rsidRPr="00E34FAE">
        <w:rPr>
          <w:rFonts w:cs="Arial" w:hint="cs"/>
          <w:sz w:val="16"/>
          <w:szCs w:val="16"/>
          <w:rtl/>
        </w:rPr>
        <w:t>'</w:t>
      </w:r>
      <w:r w:rsidRPr="00E34FAE">
        <w:rPr>
          <w:rFonts w:cs="Arial"/>
          <w:sz w:val="16"/>
          <w:szCs w:val="16"/>
          <w:rtl/>
        </w:rPr>
        <w:t xml:space="preserve"> קלג</w:t>
      </w:r>
      <w:r w:rsidRPr="00E34FAE">
        <w:rPr>
          <w:rFonts w:cs="Arial" w:hint="cs"/>
          <w:sz w:val="16"/>
          <w:szCs w:val="16"/>
          <w:rtl/>
        </w:rPr>
        <w:t>)</w:t>
      </w:r>
      <w:r>
        <w:rPr>
          <w:rFonts w:hint="cs"/>
          <w:rtl/>
        </w:rPr>
        <w:t>.</w:t>
      </w:r>
    </w:p>
  </w:footnote>
  <w:footnote w:id="3173">
    <w:p w14:paraId="6046F152" w14:textId="77777777" w:rsidR="00DF1FC7" w:rsidRDefault="00DF1FC7" w:rsidP="002E5BAD">
      <w:pPr>
        <w:pStyle w:val="a5"/>
        <w:rPr>
          <w:rtl/>
        </w:rPr>
      </w:pPr>
      <w:r>
        <w:rPr>
          <w:rStyle w:val="a7"/>
        </w:rPr>
        <w:footnoteRef/>
      </w:r>
      <w:r>
        <w:rPr>
          <w:rtl/>
        </w:rPr>
        <w:t xml:space="preserve"> </w:t>
      </w:r>
      <w:r>
        <w:rPr>
          <w:rFonts w:hint="cs"/>
          <w:rtl/>
        </w:rPr>
        <w:t xml:space="preserve">כן הוא ברמב"ם (במהדורת הר"י קאפח ומקבילי) וכ"כ בכס"מ ובשו"ע. אך הטור כתב 'מדברי אחר'. וכ"כ אחריו הב"י. וכנראה מבין הב"י שאין הפרש בין הגירסאות. אבל בחלק מגירסאות הרמב"ם איתא 'בדבר אחר'. וכן נראה שגרס המ"מ. וכתב הח"מ (סק"ל) שבגלל השנוי בגירסא תמה הה"מ על הרמב"ם. </w:t>
      </w:r>
    </w:p>
  </w:footnote>
  <w:footnote w:id="3174">
    <w:p w14:paraId="1CA4C77C" w14:textId="77777777" w:rsidR="00DF1FC7" w:rsidRPr="009F38AA" w:rsidRDefault="00DF1FC7" w:rsidP="002E5BAD">
      <w:pPr>
        <w:pStyle w:val="a5"/>
        <w:rPr>
          <w:rFonts w:cs="Arial"/>
        </w:rPr>
      </w:pPr>
      <w:r>
        <w:rPr>
          <w:rStyle w:val="a7"/>
        </w:rPr>
        <w:footnoteRef/>
      </w:r>
      <w:r>
        <w:rPr>
          <w:rtl/>
        </w:rPr>
        <w:t xml:space="preserve"> </w:t>
      </w:r>
      <w:r>
        <w:rPr>
          <w:rFonts w:cs="Arial" w:hint="cs"/>
          <w:rtl/>
        </w:rPr>
        <w:t>הביא הטור חלק מדברי הרמב"ם הנ"ל. וכתב הב"י ש</w:t>
      </w:r>
      <w:r>
        <w:rPr>
          <w:rFonts w:cs="Arial"/>
          <w:rtl/>
        </w:rPr>
        <w:t>תחלת דברי הרמב"ם כבר נתבארו בדברי רבינו בסמוך</w:t>
      </w:r>
      <w:r>
        <w:rPr>
          <w:rFonts w:cs="Arial" w:hint="cs"/>
          <w:rtl/>
        </w:rPr>
        <w:t>,</w:t>
      </w:r>
      <w:r>
        <w:rPr>
          <w:rFonts w:cs="Arial"/>
          <w:rtl/>
        </w:rPr>
        <w:t xml:space="preserve"> ולא כתבם </w:t>
      </w:r>
      <w:r>
        <w:rPr>
          <w:rFonts w:cs="Arial" w:hint="cs"/>
          <w:sz w:val="16"/>
          <w:szCs w:val="16"/>
          <w:rtl/>
        </w:rPr>
        <w:t xml:space="preserve">{הטור} </w:t>
      </w:r>
      <w:r>
        <w:rPr>
          <w:rFonts w:cs="Arial"/>
          <w:rtl/>
        </w:rPr>
        <w:t>אלא מפני דין השבועה שנתחדש בענין זה בדברי הרמב"ם והסופרים השמיטוהו. וטעם הרמב"ם בשבועה זו משום דבראה אותה בעצמו ה"ל כטוען פרעתיך</w:t>
      </w:r>
      <w:r>
        <w:rPr>
          <w:rFonts w:cs="Arial" w:hint="cs"/>
          <w:rtl/>
        </w:rPr>
        <w:t>,</w:t>
      </w:r>
      <w:r>
        <w:rPr>
          <w:rFonts w:cs="Arial"/>
          <w:rtl/>
        </w:rPr>
        <w:t xml:space="preserve"> והמוציא שטר חוב על חבירו והלה טוען פרעתיך </w:t>
      </w:r>
      <w:r>
        <w:rPr>
          <w:rFonts w:cs="Arial" w:hint="cs"/>
          <w:rtl/>
        </w:rPr>
        <w:t xml:space="preserve">- </w:t>
      </w:r>
      <w:r>
        <w:rPr>
          <w:rFonts w:cs="Arial"/>
          <w:rtl/>
        </w:rPr>
        <w:t>בעל השטר צריך לישבע</w:t>
      </w:r>
      <w:r>
        <w:rPr>
          <w:rFonts w:cs="Arial" w:hint="cs"/>
          <w:rtl/>
        </w:rPr>
        <w:t>.</w:t>
      </w:r>
      <w:r>
        <w:rPr>
          <w:rFonts w:cs="Arial"/>
          <w:rtl/>
        </w:rPr>
        <w:t xml:space="preserve"> אבל כשהוא לא ראה שזינתה אלא אחר אמר לו ה"ל כטוען שמא פרעתיך דלאו כלום הוא</w:t>
      </w:r>
      <w:r>
        <w:rPr>
          <w:rFonts w:cs="Arial" w:hint="cs"/>
          <w:rtl/>
        </w:rPr>
        <w:t>. עכ"ל הב"י.</w:t>
      </w:r>
      <w:r w:rsidRPr="00E069A0">
        <w:rPr>
          <w:rFonts w:cs="Arial"/>
          <w:rtl/>
        </w:rPr>
        <w:t xml:space="preserve"> וכן הוא בהג</w:t>
      </w:r>
      <w:r>
        <w:rPr>
          <w:rFonts w:cs="Arial" w:hint="cs"/>
          <w:rtl/>
        </w:rPr>
        <w:t>מ"ר</w:t>
      </w:r>
      <w:r w:rsidRPr="00E069A0">
        <w:rPr>
          <w:rFonts w:cs="Arial"/>
          <w:rtl/>
        </w:rPr>
        <w:t xml:space="preserve"> דיבמות (סי' קא</w:t>
      </w:r>
      <w:r>
        <w:rPr>
          <w:rFonts w:cs="Arial" w:hint="cs"/>
          <w:rtl/>
        </w:rPr>
        <w:t>, כ"כ הדרכ"מ [אות יח] בשמו</w:t>
      </w:r>
      <w:r w:rsidRPr="00E069A0">
        <w:rPr>
          <w:rFonts w:cs="Arial"/>
          <w:rtl/>
        </w:rPr>
        <w:t>) כדברי הרמב"ם</w:t>
      </w:r>
      <w:r>
        <w:rPr>
          <w:rFonts w:cs="Arial" w:hint="cs"/>
          <w:rtl/>
        </w:rPr>
        <w:t>.</w:t>
      </w:r>
      <w:r w:rsidRPr="00E069A0">
        <w:rPr>
          <w:rFonts w:cs="Arial"/>
          <w:rtl/>
        </w:rPr>
        <w:t xml:space="preserve"> </w:t>
      </w:r>
      <w:r>
        <w:rPr>
          <w:rFonts w:cs="Arial" w:hint="cs"/>
          <w:rtl/>
        </w:rPr>
        <w:t xml:space="preserve">אך הה"מ (שם, צל"ע מדוע הב"י לא הביאו) כתב וז"ל- </w:t>
      </w:r>
      <w:r w:rsidRPr="00F124FE">
        <w:rPr>
          <w:rFonts w:cs="Arial"/>
          <w:rtl/>
        </w:rPr>
        <w:t>מ"ש לפיכך משביעה בנקיטת חפץ וכו' לא נתברר לי טעמו ומצאתי בעיטור כתוב כן בשם הרב אבן מיגא"ש ז"ל ובודאי אם יש שם עד אחד מן הדין הוא שתשבע להכחיש העד אבל אם אין שם עד כשר אף על פי שהבעל אומר שראה הדבר למה תשבע כיון שאין רגלים לדבר והם ז"ל דנין אותן כדין הנשבעין ונוטלין ולא ידעתי מאין זה וג"כ לא נתברר לי מאין הוכיח רבינו לחלק בין טענה זו לטענות אחרות ואולי מפני שמצינו שבזמן הבית היה יכול להשקותה ולהשביעה על חשש זנות וע"י קנוי וסתירה וכבר השיג עליו בכל זה הרמ"ך ז"ל ודברי רבינו צריכים תלמוד</w:t>
      </w:r>
      <w:r>
        <w:rPr>
          <w:rFonts w:cs="Arial" w:hint="cs"/>
          <w:rtl/>
        </w:rPr>
        <w:t>. עכ"ל. ועיין בכס"מ (שם) שהשיב על דבריו.</w:t>
      </w:r>
    </w:p>
  </w:footnote>
  <w:footnote w:id="3175">
    <w:p w14:paraId="78859AB6" w14:textId="77777777" w:rsidR="00DF1FC7" w:rsidRDefault="00DF1FC7" w:rsidP="002E5BAD">
      <w:pPr>
        <w:pStyle w:val="a5"/>
      </w:pPr>
      <w:r>
        <w:rPr>
          <w:rStyle w:val="a7"/>
        </w:rPr>
        <w:footnoteRef/>
      </w:r>
      <w:r>
        <w:rPr>
          <w:rtl/>
        </w:rPr>
        <w:t xml:space="preserve"> </w:t>
      </w:r>
      <w:r>
        <w:rPr>
          <w:rFonts w:hint="cs"/>
          <w:rtl/>
        </w:rPr>
        <w:t xml:space="preserve">וז"ל- </w:t>
      </w:r>
      <w:r w:rsidRPr="00A52ECE">
        <w:rPr>
          <w:rFonts w:cs="Arial"/>
          <w:rtl/>
        </w:rPr>
        <w:t>ועוד נלע"ד דאפילו להיאסר על בעלה לא מהימן אא</w:t>
      </w:r>
      <w:r>
        <w:rPr>
          <w:rFonts w:cs="Arial" w:hint="cs"/>
          <w:rtl/>
        </w:rPr>
        <w:t>"</w:t>
      </w:r>
      <w:r w:rsidRPr="00A52ECE">
        <w:rPr>
          <w:rFonts w:cs="Arial"/>
          <w:rtl/>
        </w:rPr>
        <w:t>כ קים ליה בגויה דלא משקר כגון אדם שהוא מצוי אצלו תדיר וגס ביה טובא</w:t>
      </w:r>
      <w:r>
        <w:rPr>
          <w:rFonts w:cs="Arial" w:hint="cs"/>
          <w:rtl/>
        </w:rPr>
        <w:t>.</w:t>
      </w:r>
      <w:r w:rsidRPr="00A52ECE">
        <w:rPr>
          <w:rFonts w:cs="Arial"/>
          <w:rtl/>
        </w:rPr>
        <w:t xml:space="preserve"> כההיא דרבא דהימנ' לבת רב חסדא שהיתה אשתו והוי קים ליה בגוה טובא</w:t>
      </w:r>
      <w:r>
        <w:rPr>
          <w:rFonts w:cs="Arial" w:hint="cs"/>
          <w:rtl/>
        </w:rPr>
        <w:t>.</w:t>
      </w:r>
      <w:r w:rsidRPr="00A52ECE">
        <w:rPr>
          <w:rFonts w:cs="Arial"/>
          <w:rtl/>
        </w:rPr>
        <w:t xml:space="preserve"> אבל אדם אחר דלא קים ליה בגויה</w:t>
      </w:r>
      <w:r>
        <w:rPr>
          <w:rFonts w:cs="Arial" w:hint="cs"/>
          <w:rtl/>
        </w:rPr>
        <w:t>,</w:t>
      </w:r>
      <w:r w:rsidRPr="00A52ECE">
        <w:rPr>
          <w:rFonts w:cs="Arial"/>
          <w:rtl/>
        </w:rPr>
        <w:t xml:space="preserve"> לא</w:t>
      </w:r>
      <w:r>
        <w:rPr>
          <w:rFonts w:cs="Arial" w:hint="cs"/>
          <w:rtl/>
        </w:rPr>
        <w:t>.</w:t>
      </w:r>
      <w:r w:rsidRPr="00A52ECE">
        <w:rPr>
          <w:rFonts w:cs="Arial"/>
          <w:rtl/>
        </w:rPr>
        <w:t xml:space="preserve"> ואע</w:t>
      </w:r>
      <w:r>
        <w:rPr>
          <w:rFonts w:cs="Arial" w:hint="cs"/>
          <w:rtl/>
        </w:rPr>
        <w:t>"</w:t>
      </w:r>
      <w:r w:rsidRPr="00A52ECE">
        <w:rPr>
          <w:rFonts w:cs="Arial"/>
          <w:rtl/>
        </w:rPr>
        <w:t>ג שהוא מוחזק הרבה לאדם כשר והגון. וראיה מפרק הכותב (פה</w:t>
      </w:r>
      <w:r>
        <w:rPr>
          <w:rFonts w:cs="Arial" w:hint="cs"/>
          <w:rtl/>
        </w:rPr>
        <w:t>.</w:t>
      </w:r>
      <w:r w:rsidRPr="00A52ECE">
        <w:rPr>
          <w:rFonts w:cs="Arial"/>
          <w:rtl/>
        </w:rPr>
        <w:t>) מדלא הימנא רבא לרב פפא לאורעיה לההוא שטרא ואף על גב דהימנא לבת רב חסדא ועל הברור שרב פפא היה כשר והגון מאד בעיני רבא וגם היה תדיר אצלו הרבה כדמוכח בכולא תלמודא ואפילו הכי לא הימניה ליה ולא סמך עליה כאבי תרי ואמר ליה מר לא קים ליה בגויה כדאיתא התם</w:t>
      </w:r>
      <w:r>
        <w:rPr>
          <w:rFonts w:cs="Arial" w:hint="cs"/>
          <w:rtl/>
        </w:rPr>
        <w:t>..</w:t>
      </w:r>
      <w:r w:rsidRPr="00A52ECE">
        <w:rPr>
          <w:rFonts w:cs="Arial"/>
          <w:rtl/>
        </w:rPr>
        <w:t>.</w:t>
      </w:r>
    </w:p>
  </w:footnote>
  <w:footnote w:id="3176">
    <w:p w14:paraId="388D40F0" w14:textId="77777777" w:rsidR="00DF1FC7" w:rsidRDefault="00DF1FC7" w:rsidP="002E5BAD">
      <w:pPr>
        <w:pStyle w:val="a5"/>
      </w:pPr>
      <w:r>
        <w:rPr>
          <w:rStyle w:val="a7"/>
        </w:rPr>
        <w:footnoteRef/>
      </w:r>
      <w:r>
        <w:rPr>
          <w:rFonts w:cs="Arial" w:hint="cs"/>
          <w:rtl/>
        </w:rPr>
        <w:t xml:space="preserve"> </w:t>
      </w:r>
      <w:r>
        <w:rPr>
          <w:rFonts w:cs="Arial"/>
          <w:rtl/>
        </w:rPr>
        <w:t>ונראה דאינו נותן לה כתובה</w:t>
      </w:r>
      <w:r>
        <w:rPr>
          <w:rFonts w:cs="Arial" w:hint="cs"/>
          <w:rtl/>
        </w:rPr>
        <w:t>,</w:t>
      </w:r>
      <w:r>
        <w:rPr>
          <w:rFonts w:cs="Arial"/>
          <w:rtl/>
        </w:rPr>
        <w:t xml:space="preserve"> דהודאתה כמאה עדים דמי</w:t>
      </w:r>
      <w:r>
        <w:rPr>
          <w:rFonts w:cs="Arial" w:hint="cs"/>
          <w:rtl/>
        </w:rPr>
        <w:t>.</w:t>
      </w:r>
      <w:r>
        <w:rPr>
          <w:rFonts w:cs="Arial"/>
          <w:rtl/>
        </w:rPr>
        <w:t xml:space="preserve"> וכך מבואר בדברי הרמב"ם שכתב רבינו בסמוך ומשנה שלימה היא בפרק קמא דסוטה (ז.) אם אמרה טמאה אני שוברת כתובתה ויוצאה</w:t>
      </w:r>
      <w:r>
        <w:rPr>
          <w:rFonts w:hint="cs"/>
          <w:rtl/>
        </w:rPr>
        <w:t>, ב"י.</w:t>
      </w:r>
    </w:p>
  </w:footnote>
  <w:footnote w:id="3177">
    <w:p w14:paraId="1E0104BE" w14:textId="77777777" w:rsidR="00DF1FC7" w:rsidRPr="0011385D" w:rsidRDefault="00DF1FC7" w:rsidP="002E5BAD">
      <w:pPr>
        <w:pStyle w:val="a5"/>
      </w:pPr>
      <w:r w:rsidRPr="0011385D">
        <w:rPr>
          <w:rStyle w:val="a7"/>
        </w:rPr>
        <w:footnoteRef/>
      </w:r>
      <w:r w:rsidRPr="0011385D">
        <w:rPr>
          <w:rtl/>
        </w:rPr>
        <w:t xml:space="preserve"> </w:t>
      </w:r>
      <w:r w:rsidRPr="0011385D">
        <w:rPr>
          <w:rFonts w:cs="Arial" w:hint="cs"/>
          <w:rtl/>
        </w:rPr>
        <w:t xml:space="preserve">וכ"כ מהרי"ק </w:t>
      </w:r>
      <w:r>
        <w:rPr>
          <w:rFonts w:cs="Arial" w:hint="cs"/>
          <w:rtl/>
        </w:rPr>
        <w:t xml:space="preserve">(שורש קי ענף ב) </w:t>
      </w:r>
      <w:r w:rsidRPr="0011385D">
        <w:rPr>
          <w:rFonts w:cs="Arial"/>
          <w:rtl/>
        </w:rPr>
        <w:t>שאם אמר שהוא מאמינה דאסורה לו שיש אומרים שמנדין אותו על שגרם לבטל תקנת ר"ג שלא לגרש אשה בעל כרחה</w:t>
      </w:r>
      <w:r>
        <w:rPr>
          <w:rFonts w:hint="cs"/>
          <w:rtl/>
        </w:rPr>
        <w:t>.</w:t>
      </w:r>
    </w:p>
  </w:footnote>
  <w:footnote w:id="3178">
    <w:p w14:paraId="281FA06D" w14:textId="77777777" w:rsidR="00DF1FC7" w:rsidRDefault="00DF1FC7" w:rsidP="002E5BAD">
      <w:pPr>
        <w:pStyle w:val="a5"/>
        <w:rPr>
          <w:rtl/>
        </w:rPr>
      </w:pPr>
      <w:r>
        <w:rPr>
          <w:rStyle w:val="a7"/>
        </w:rPr>
        <w:footnoteRef/>
      </w:r>
      <w:r>
        <w:rPr>
          <w:rFonts w:hint="cs"/>
          <w:rtl/>
        </w:rPr>
        <w:t xml:space="preserve"> הביאם הדרכ"מ</w:t>
      </w:r>
      <w:r>
        <w:rPr>
          <w:rtl/>
        </w:rPr>
        <w:t xml:space="preserve"> </w:t>
      </w:r>
      <w:r w:rsidRPr="00E069A0">
        <w:rPr>
          <w:rFonts w:cs="Arial"/>
          <w:rtl/>
        </w:rPr>
        <w:t>(</w:t>
      </w:r>
      <w:r>
        <w:rPr>
          <w:rFonts w:cs="Arial" w:hint="cs"/>
          <w:rtl/>
        </w:rPr>
        <w:t xml:space="preserve">אות </w:t>
      </w:r>
      <w:r w:rsidRPr="00E069A0">
        <w:rPr>
          <w:rFonts w:cs="Arial"/>
          <w:rtl/>
        </w:rPr>
        <w:t>יד)</w:t>
      </w:r>
      <w:r>
        <w:rPr>
          <w:rFonts w:cs="Arial" w:hint="cs"/>
          <w:rtl/>
        </w:rPr>
        <w:t>, וכתב (שם ובאות יז) ד</w:t>
      </w:r>
      <w:r w:rsidRPr="00E069A0">
        <w:rPr>
          <w:rFonts w:cs="Arial"/>
          <w:rtl/>
        </w:rPr>
        <w:t xml:space="preserve">בתשובת מהר"ם </w:t>
      </w:r>
      <w:r w:rsidRPr="0087631A">
        <w:rPr>
          <w:rFonts w:cs="Arial" w:hint="cs"/>
          <w:sz w:val="16"/>
          <w:szCs w:val="16"/>
          <w:rtl/>
        </w:rPr>
        <w:t>(</w:t>
      </w:r>
      <w:r w:rsidRPr="0087631A">
        <w:rPr>
          <w:rFonts w:cs="Arial"/>
          <w:sz w:val="16"/>
          <w:szCs w:val="16"/>
          <w:rtl/>
        </w:rPr>
        <w:t>ספר סיני וליקוטים סי</w:t>
      </w:r>
      <w:r w:rsidRPr="0087631A">
        <w:rPr>
          <w:rFonts w:cs="Arial" w:hint="cs"/>
          <w:sz w:val="16"/>
          <w:szCs w:val="16"/>
          <w:rtl/>
        </w:rPr>
        <w:t>'</w:t>
      </w:r>
      <w:r w:rsidRPr="0087631A">
        <w:rPr>
          <w:rFonts w:cs="Arial"/>
          <w:sz w:val="16"/>
          <w:szCs w:val="16"/>
          <w:rtl/>
        </w:rPr>
        <w:t xml:space="preserve"> שסה</w:t>
      </w:r>
      <w:r w:rsidRPr="0087631A">
        <w:rPr>
          <w:rFonts w:cs="Arial" w:hint="cs"/>
          <w:sz w:val="16"/>
          <w:szCs w:val="16"/>
          <w:rtl/>
        </w:rPr>
        <w:t xml:space="preserve">, והביאוהו תשו' </w:t>
      </w:r>
      <w:r w:rsidRPr="0087631A">
        <w:rPr>
          <w:rFonts w:cs="Arial"/>
          <w:sz w:val="16"/>
          <w:szCs w:val="16"/>
          <w:rtl/>
        </w:rPr>
        <w:t>מיימוני</w:t>
      </w:r>
      <w:r w:rsidRPr="0087631A">
        <w:rPr>
          <w:rFonts w:cs="Arial" w:hint="cs"/>
          <w:sz w:val="16"/>
          <w:szCs w:val="16"/>
          <w:rtl/>
        </w:rPr>
        <w:t>ות</w:t>
      </w:r>
      <w:r w:rsidRPr="0087631A">
        <w:rPr>
          <w:rFonts w:cs="Arial"/>
          <w:sz w:val="16"/>
          <w:szCs w:val="16"/>
          <w:rtl/>
        </w:rPr>
        <w:t xml:space="preserve"> </w:t>
      </w:r>
      <w:r w:rsidRPr="0087631A">
        <w:rPr>
          <w:rFonts w:cs="Arial" w:hint="cs"/>
          <w:sz w:val="16"/>
          <w:szCs w:val="16"/>
          <w:rtl/>
        </w:rPr>
        <w:t>[</w:t>
      </w:r>
      <w:r w:rsidRPr="0087631A">
        <w:rPr>
          <w:rFonts w:cs="Arial"/>
          <w:sz w:val="16"/>
          <w:szCs w:val="16"/>
          <w:rtl/>
        </w:rPr>
        <w:t>סוף הלכות נשים סי' כה</w:t>
      </w:r>
      <w:r w:rsidRPr="0087631A">
        <w:rPr>
          <w:rFonts w:cs="Arial" w:hint="cs"/>
          <w:sz w:val="16"/>
          <w:szCs w:val="16"/>
          <w:rtl/>
        </w:rPr>
        <w:t>]</w:t>
      </w:r>
      <w:r w:rsidRPr="0087631A">
        <w:rPr>
          <w:rFonts w:cs="Arial"/>
          <w:sz w:val="16"/>
          <w:szCs w:val="16"/>
          <w:rtl/>
        </w:rPr>
        <w:t xml:space="preserve"> והג</w:t>
      </w:r>
      <w:r w:rsidRPr="0087631A">
        <w:rPr>
          <w:rFonts w:cs="Arial" w:hint="cs"/>
          <w:sz w:val="16"/>
          <w:szCs w:val="16"/>
          <w:rtl/>
        </w:rPr>
        <w:t>מ"ר [</w:t>
      </w:r>
      <w:r w:rsidRPr="0087631A">
        <w:rPr>
          <w:rFonts w:cs="Arial"/>
          <w:sz w:val="16"/>
          <w:szCs w:val="16"/>
          <w:rtl/>
        </w:rPr>
        <w:t>יבמות סי' קכא - קכב</w:t>
      </w:r>
      <w:r w:rsidRPr="0087631A">
        <w:rPr>
          <w:rFonts w:cs="Arial" w:hint="cs"/>
          <w:sz w:val="16"/>
          <w:szCs w:val="16"/>
          <w:rtl/>
        </w:rPr>
        <w:t>]</w:t>
      </w:r>
      <w:r>
        <w:rPr>
          <w:rFonts w:cs="Arial" w:hint="cs"/>
          <w:sz w:val="16"/>
          <w:szCs w:val="16"/>
          <w:rtl/>
        </w:rPr>
        <w:t>, הביאו הדרכ"מ [אות יז]</w:t>
      </w:r>
      <w:r w:rsidRPr="0087631A">
        <w:rPr>
          <w:rFonts w:cs="Arial"/>
          <w:sz w:val="16"/>
          <w:szCs w:val="16"/>
          <w:rtl/>
        </w:rPr>
        <w:t>)</w:t>
      </w:r>
      <w:r w:rsidRPr="00671DE4">
        <w:rPr>
          <w:rFonts w:cs="Arial"/>
          <w:rtl/>
        </w:rPr>
        <w:t xml:space="preserve"> </w:t>
      </w:r>
      <w:r w:rsidRPr="00E069A0">
        <w:rPr>
          <w:rFonts w:cs="Arial"/>
          <w:rtl/>
        </w:rPr>
        <w:t>לא משמע כן</w:t>
      </w:r>
      <w:r>
        <w:rPr>
          <w:rFonts w:cs="Arial" w:hint="cs"/>
          <w:rtl/>
        </w:rPr>
        <w:t>. שכתב מהר"ם ד</w:t>
      </w:r>
      <w:r w:rsidRPr="00671DE4">
        <w:rPr>
          <w:rFonts w:cs="Arial"/>
          <w:rtl/>
        </w:rPr>
        <w:t>אי מהימן ליה כבי תרי ולא העיד רק אדבר מכוער</w:t>
      </w:r>
      <w:r>
        <w:rPr>
          <w:rFonts w:cs="Arial" w:hint="cs"/>
          <w:rtl/>
        </w:rPr>
        <w:t>,</w:t>
      </w:r>
      <w:r w:rsidRPr="00671DE4">
        <w:rPr>
          <w:rFonts w:cs="Arial"/>
          <w:rtl/>
        </w:rPr>
        <w:t xml:space="preserve"> אז לא יוכל לגרשה בעל כרחה וצריך למיתב לה כתובה</w:t>
      </w:r>
      <w:r>
        <w:rPr>
          <w:rFonts w:cs="Arial" w:hint="cs"/>
          <w:rtl/>
        </w:rPr>
        <w:t>.</w:t>
      </w:r>
      <w:r w:rsidRPr="00671DE4">
        <w:rPr>
          <w:rFonts w:cs="Arial"/>
          <w:rtl/>
        </w:rPr>
        <w:t xml:space="preserve"> אבל אי העיד על טומאה</w:t>
      </w:r>
      <w:r>
        <w:rPr>
          <w:rFonts w:cs="Arial" w:hint="cs"/>
          <w:rtl/>
        </w:rPr>
        <w:t>,</w:t>
      </w:r>
      <w:r w:rsidRPr="00671DE4">
        <w:rPr>
          <w:rFonts w:cs="Arial"/>
          <w:rtl/>
        </w:rPr>
        <w:t xml:space="preserve"> יוכל לגרשה בעל כרחה, והוא הדין אי איכא עדי דבר מכוער</w:t>
      </w:r>
      <w:r>
        <w:rPr>
          <w:rFonts w:cs="Arial" w:hint="cs"/>
          <w:rtl/>
        </w:rPr>
        <w:t>.</w:t>
      </w:r>
      <w:r w:rsidRPr="00671DE4">
        <w:rPr>
          <w:rFonts w:cs="Arial"/>
          <w:rtl/>
        </w:rPr>
        <w:t xml:space="preserve"> כללא דמילתא אי מהימן ליה כבי תרי יזרוק לה גט בעל כרחה</w:t>
      </w:r>
      <w:r>
        <w:rPr>
          <w:rFonts w:cs="Arial" w:hint="cs"/>
          <w:rtl/>
        </w:rPr>
        <w:t>.</w:t>
      </w:r>
      <w:r w:rsidRPr="00671DE4">
        <w:rPr>
          <w:rFonts w:cs="Arial"/>
          <w:rtl/>
        </w:rPr>
        <w:t xml:space="preserve"> ואם אינו יכול לזרוק לה גט ישא אחרת</w:t>
      </w:r>
      <w:r>
        <w:rPr>
          <w:rFonts w:cs="Arial" w:hint="cs"/>
          <w:rtl/>
        </w:rPr>
        <w:t>.</w:t>
      </w:r>
      <w:r w:rsidRPr="00671DE4">
        <w:rPr>
          <w:rFonts w:cs="Arial"/>
          <w:rtl/>
        </w:rPr>
        <w:t xml:space="preserve"> ויש לשאול פיה אם לא תשיב תשובה נכונה ומיושרת על כל דבר תפסיד אף הכתובה עכ"ל</w:t>
      </w:r>
      <w:r>
        <w:rPr>
          <w:rFonts w:cs="Arial" w:hint="cs"/>
          <w:rtl/>
        </w:rPr>
        <w:t>.</w:t>
      </w:r>
      <w:r w:rsidRPr="00671DE4">
        <w:rPr>
          <w:rFonts w:cs="Arial"/>
          <w:rtl/>
        </w:rPr>
        <w:t xml:space="preserve"> ונראה לי שתשובה זו חולקת על מה שכתבתי </w:t>
      </w:r>
      <w:r>
        <w:rPr>
          <w:rFonts w:cs="Arial" w:hint="cs"/>
          <w:rtl/>
        </w:rPr>
        <w:t>(</w:t>
      </w:r>
      <w:r w:rsidRPr="00671DE4">
        <w:rPr>
          <w:rFonts w:cs="Arial"/>
          <w:rtl/>
        </w:rPr>
        <w:t>אות יד) דהשתא בזמן הזה אינו נאמן לומר דמאמין לעד</w:t>
      </w:r>
      <w:r>
        <w:rPr>
          <w:rFonts w:cs="Arial" w:hint="cs"/>
          <w:sz w:val="16"/>
          <w:szCs w:val="16"/>
          <w:rtl/>
        </w:rPr>
        <w:t xml:space="preserve"> [עכ"ל הדרכ"מ באות יז]</w:t>
      </w:r>
      <w:r>
        <w:rPr>
          <w:rFonts w:cs="Arial" w:hint="cs"/>
          <w:rtl/>
        </w:rPr>
        <w:t>.</w:t>
      </w:r>
    </w:p>
  </w:footnote>
  <w:footnote w:id="3179">
    <w:p w14:paraId="605A404D" w14:textId="77777777" w:rsidR="00DF1FC7" w:rsidRDefault="00DF1FC7" w:rsidP="002E5BAD">
      <w:pPr>
        <w:pStyle w:val="a5"/>
      </w:pPr>
      <w:r>
        <w:rPr>
          <w:rStyle w:val="a7"/>
        </w:rPr>
        <w:footnoteRef/>
      </w:r>
      <w:r>
        <w:rPr>
          <w:rtl/>
        </w:rPr>
        <w:t xml:space="preserve"> </w:t>
      </w:r>
      <w:r w:rsidRPr="00E069A0">
        <w:rPr>
          <w:rFonts w:cs="Arial"/>
          <w:rtl/>
        </w:rPr>
        <w:t>וכן משמע בתשובת הרשב"א (ח"א) סימן אלף קפ"ט</w:t>
      </w:r>
      <w:r>
        <w:rPr>
          <w:rFonts w:cs="Arial" w:hint="cs"/>
          <w:rtl/>
        </w:rPr>
        <w:t>, דרכ"מ (אות טו).</w:t>
      </w:r>
    </w:p>
  </w:footnote>
  <w:footnote w:id="3180">
    <w:p w14:paraId="0161A77D" w14:textId="77777777" w:rsidR="00DF1FC7" w:rsidRDefault="00DF1FC7" w:rsidP="002E5BAD">
      <w:pPr>
        <w:pStyle w:val="a5"/>
      </w:pPr>
      <w:r>
        <w:rPr>
          <w:rStyle w:val="a7"/>
        </w:rPr>
        <w:footnoteRef/>
      </w:r>
      <w:r>
        <w:rPr>
          <w:rtl/>
        </w:rPr>
        <w:t xml:space="preserve"> </w:t>
      </w:r>
      <w:r w:rsidRPr="00FF1FB8">
        <w:rPr>
          <w:rFonts w:cs="Arial"/>
          <w:rtl/>
        </w:rPr>
        <w:t>ו</w:t>
      </w:r>
      <w:r>
        <w:rPr>
          <w:rFonts w:cs="Arial" w:hint="cs"/>
          <w:rtl/>
        </w:rPr>
        <w:t xml:space="preserve">גם </w:t>
      </w:r>
      <w:r w:rsidRPr="00FF1FB8">
        <w:rPr>
          <w:rFonts w:cs="Arial"/>
          <w:rtl/>
        </w:rPr>
        <w:t>הרשב"א כתב (ח"א סי</w:t>
      </w:r>
      <w:r>
        <w:rPr>
          <w:rFonts w:cs="Arial" w:hint="cs"/>
          <w:rtl/>
        </w:rPr>
        <w:t>'</w:t>
      </w:r>
      <w:r w:rsidRPr="00FF1FB8">
        <w:rPr>
          <w:rFonts w:cs="Arial"/>
          <w:rtl/>
        </w:rPr>
        <w:t xml:space="preserve"> תקנב</w:t>
      </w:r>
      <w:r>
        <w:rPr>
          <w:rFonts w:cs="Arial" w:hint="cs"/>
          <w:rtl/>
        </w:rPr>
        <w:t>)</w:t>
      </w:r>
      <w:r w:rsidRPr="00FF1FB8">
        <w:rPr>
          <w:rFonts w:cs="Arial"/>
          <w:rtl/>
        </w:rPr>
        <w:t xml:space="preserve"> דהנחשד נאמן עליה כשאר עד אחד דפלגינן דיבוריה ע"ש,</w:t>
      </w:r>
      <w:r>
        <w:rPr>
          <w:rFonts w:cs="Arial" w:hint="cs"/>
          <w:rtl/>
        </w:rPr>
        <w:t xml:space="preserve"> דרכ"מ (אות יח).</w:t>
      </w:r>
      <w:r w:rsidRPr="00AE454B">
        <w:rPr>
          <w:rFonts w:hint="cs"/>
          <w:color w:val="00B0F0"/>
          <w:rtl/>
        </w:rPr>
        <w:t xml:space="preserve"> (וכ"פ הרמ"א)</w:t>
      </w:r>
    </w:p>
  </w:footnote>
  <w:footnote w:id="3181">
    <w:p w14:paraId="1A630DE6" w14:textId="77777777" w:rsidR="00DF1FC7" w:rsidRDefault="00DF1FC7" w:rsidP="002E5BAD">
      <w:pPr>
        <w:pStyle w:val="a5"/>
        <w:rPr>
          <w:rtl/>
        </w:rPr>
      </w:pPr>
      <w:r>
        <w:rPr>
          <w:rStyle w:val="a7"/>
        </w:rPr>
        <w:footnoteRef/>
      </w:r>
      <w:r>
        <w:rPr>
          <w:rtl/>
        </w:rPr>
        <w:t xml:space="preserve"> </w:t>
      </w:r>
      <w:r w:rsidRPr="00FF1FB8">
        <w:rPr>
          <w:rFonts w:cs="Arial"/>
          <w:rtl/>
        </w:rPr>
        <w:t>וע"ש שהאריך בזה</w:t>
      </w:r>
      <w:r>
        <w:rPr>
          <w:rFonts w:cs="Arial" w:hint="cs"/>
          <w:rtl/>
        </w:rPr>
        <w:t>.</w:t>
      </w:r>
      <w:r w:rsidRPr="00FF1FB8">
        <w:rPr>
          <w:rFonts w:cs="Arial"/>
          <w:rtl/>
        </w:rPr>
        <w:t xml:space="preserve"> וכן הוא במהרי"ק שורש פ"ב</w:t>
      </w:r>
      <w:r>
        <w:rPr>
          <w:rFonts w:hint="cs"/>
          <w:rtl/>
        </w:rPr>
        <w:t>, דרכ"מ (אות יח)</w:t>
      </w:r>
    </w:p>
  </w:footnote>
  <w:footnote w:id="3182">
    <w:p w14:paraId="6518FFD4" w14:textId="77777777" w:rsidR="00DF1FC7" w:rsidRDefault="00DF1FC7" w:rsidP="002E5BAD">
      <w:pPr>
        <w:pStyle w:val="a5"/>
      </w:pPr>
      <w:r>
        <w:rPr>
          <w:rStyle w:val="a7"/>
        </w:rPr>
        <w:footnoteRef/>
      </w:r>
      <w:r>
        <w:rPr>
          <w:rtl/>
        </w:rPr>
        <w:t xml:space="preserve"> </w:t>
      </w:r>
      <w:r w:rsidRPr="006E7025">
        <w:rPr>
          <w:rFonts w:cs="Arial"/>
          <w:rtl/>
        </w:rPr>
        <w:t>יש לדקדק אם מועיל אמתלא אף לאחר זמן ולא נחוש שמא למדוה לטעון אמתלא זו וכו' שאין יכול לחזור ולטעון לענין ממון מחיוב לפטור כשיצא חוץ לב"ד אף על פי שנתן אמתלא לדבריו וכמו שמבואר בח"מ סי' פ' ואף על פי שאשה שאמר' א"א אני ואח"כ אמרה פנויה לאחר זמן נאמנת בנותנ' אמתלא שאני איסורא מממון והודאת ב"ד לענין ממון כעדים דמי ומה תועיל האמתלא להוציא ממון מבעלה ואין לך אמתלא גדולה מזה שאמרו במשנה אחרונ' בנדרים דף צ' ע"ב שמא עיניה נתנה באחר ואעפ"כ לענין ממון ק"ל כמשנה ראשונה שם וכן משמע מדברי המ"מ פכ"ד מה"א ע"ש</w:t>
      </w:r>
      <w:r>
        <w:rPr>
          <w:rFonts w:cs="Arial" w:hint="cs"/>
          <w:rtl/>
        </w:rPr>
        <w:t>, ח"מ (סקכ"ב).</w:t>
      </w:r>
    </w:p>
  </w:footnote>
  <w:footnote w:id="3183">
    <w:p w14:paraId="0B1B541A" w14:textId="77777777" w:rsidR="00DF1FC7" w:rsidRDefault="00DF1FC7" w:rsidP="002E5BAD">
      <w:pPr>
        <w:pStyle w:val="a5"/>
      </w:pPr>
      <w:r>
        <w:rPr>
          <w:rStyle w:val="a7"/>
        </w:rPr>
        <w:footnoteRef/>
      </w:r>
      <w:r>
        <w:rPr>
          <w:rtl/>
        </w:rPr>
        <w:t xml:space="preserve"> </w:t>
      </w:r>
      <w:r w:rsidRPr="002C4D7C">
        <w:rPr>
          <w:rFonts w:cs="Arial"/>
          <w:rtl/>
        </w:rPr>
        <w:t>דפלגינן דיבורי</w:t>
      </w:r>
      <w:r>
        <w:rPr>
          <w:rFonts w:cs="Arial" w:hint="cs"/>
          <w:rtl/>
        </w:rPr>
        <w:t>ה.</w:t>
      </w:r>
      <w:r w:rsidRPr="002C4D7C">
        <w:rPr>
          <w:rFonts w:cs="Arial"/>
          <w:rtl/>
        </w:rPr>
        <w:t xml:space="preserve"> לענין שנחשוב אותו כע"א לא הי</w:t>
      </w:r>
      <w:r>
        <w:rPr>
          <w:rFonts w:cs="Arial" w:hint="cs"/>
          <w:rtl/>
        </w:rPr>
        <w:t>ה</w:t>
      </w:r>
      <w:r w:rsidRPr="002C4D7C">
        <w:rPr>
          <w:rFonts w:cs="Arial"/>
          <w:rtl/>
        </w:rPr>
        <w:t xml:space="preserve"> צריך לפלגינן דבורי</w:t>
      </w:r>
      <w:r>
        <w:rPr>
          <w:rFonts w:cs="Arial" w:hint="cs"/>
          <w:rtl/>
        </w:rPr>
        <w:t>ה</w:t>
      </w:r>
      <w:r w:rsidRPr="002C4D7C">
        <w:rPr>
          <w:rFonts w:cs="Arial"/>
          <w:rtl/>
        </w:rPr>
        <w:t xml:space="preserve"> </w:t>
      </w:r>
      <w:r w:rsidRPr="002C4D7C">
        <w:rPr>
          <w:rFonts w:cs="Arial" w:hint="cs"/>
          <w:sz w:val="16"/>
          <w:szCs w:val="16"/>
          <w:rtl/>
        </w:rPr>
        <w:t>(</w:t>
      </w:r>
      <w:r w:rsidRPr="002C4D7C">
        <w:rPr>
          <w:rFonts w:cs="Arial"/>
          <w:sz w:val="16"/>
          <w:szCs w:val="16"/>
          <w:rtl/>
        </w:rPr>
        <w:t>שעדו</w:t>
      </w:r>
      <w:r w:rsidRPr="002C4D7C">
        <w:rPr>
          <w:rFonts w:cs="Arial" w:hint="cs"/>
          <w:sz w:val="16"/>
          <w:szCs w:val="16"/>
          <w:rtl/>
        </w:rPr>
        <w:t>ת</w:t>
      </w:r>
      <w:r w:rsidRPr="002C4D7C">
        <w:rPr>
          <w:rFonts w:cs="Arial"/>
          <w:sz w:val="16"/>
          <w:szCs w:val="16"/>
          <w:rtl/>
        </w:rPr>
        <w:t xml:space="preserve"> ע</w:t>
      </w:r>
      <w:r w:rsidRPr="002C4D7C">
        <w:rPr>
          <w:rFonts w:cs="Arial" w:hint="cs"/>
          <w:sz w:val="16"/>
          <w:szCs w:val="16"/>
          <w:rtl/>
        </w:rPr>
        <w:t xml:space="preserve">ד </w:t>
      </w:r>
      <w:r w:rsidRPr="002C4D7C">
        <w:rPr>
          <w:rFonts w:cs="Arial"/>
          <w:sz w:val="16"/>
          <w:szCs w:val="16"/>
          <w:rtl/>
        </w:rPr>
        <w:t>א</w:t>
      </w:r>
      <w:r w:rsidRPr="002C4D7C">
        <w:rPr>
          <w:rFonts w:cs="Arial" w:hint="cs"/>
          <w:sz w:val="16"/>
          <w:szCs w:val="16"/>
          <w:rtl/>
        </w:rPr>
        <w:t>חד</w:t>
      </w:r>
      <w:r w:rsidRPr="002C4D7C">
        <w:rPr>
          <w:rFonts w:cs="Arial"/>
          <w:sz w:val="16"/>
          <w:szCs w:val="16"/>
          <w:rtl/>
        </w:rPr>
        <w:t xml:space="preserve"> אינו כלום בערוה אלא אם דעתו סומכ' עליו חייב להוציא' וא"כ אפילו לא פלגינן דבורי' אם דעתו סומכ' עליו שאומר אמת אף שרשע הוא לא גרע מקרוב או אשה אף שפסול לעדות מ"מ דעתו סומכ' עליו</w:t>
      </w:r>
      <w:r>
        <w:rPr>
          <w:rFonts w:cs="Arial" w:hint="cs"/>
          <w:sz w:val="16"/>
          <w:szCs w:val="16"/>
          <w:rtl/>
        </w:rPr>
        <w:t>)</w:t>
      </w:r>
      <w:r w:rsidRPr="002C4D7C">
        <w:rPr>
          <w:rFonts w:cs="Arial"/>
          <w:rtl/>
        </w:rPr>
        <w:t xml:space="preserve"> אלא להצטרף עם אחר ולאוסר</w:t>
      </w:r>
      <w:r>
        <w:rPr>
          <w:rFonts w:cs="Arial" w:hint="cs"/>
          <w:rtl/>
        </w:rPr>
        <w:t>ה</w:t>
      </w:r>
      <w:r w:rsidRPr="002C4D7C">
        <w:rPr>
          <w:rFonts w:cs="Arial"/>
          <w:rtl/>
        </w:rPr>
        <w:t xml:space="preserve"> על בעלה קאמר דפלגינן דבוריה</w:t>
      </w:r>
      <w:r>
        <w:rPr>
          <w:rFonts w:cs="Arial" w:hint="cs"/>
          <w:rtl/>
        </w:rPr>
        <w:t>.</w:t>
      </w:r>
      <w:r w:rsidRPr="002C4D7C">
        <w:rPr>
          <w:rFonts w:cs="Arial"/>
          <w:rtl/>
        </w:rPr>
        <w:t xml:space="preserve"> ונרא</w:t>
      </w:r>
      <w:r>
        <w:rPr>
          <w:rFonts w:cs="Arial" w:hint="cs"/>
          <w:rtl/>
        </w:rPr>
        <w:t>ה</w:t>
      </w:r>
      <w:r w:rsidRPr="002C4D7C">
        <w:rPr>
          <w:rFonts w:cs="Arial"/>
          <w:rtl/>
        </w:rPr>
        <w:t xml:space="preserve"> אם בא עוד עד כשר ואמר ג"כ שזינתה עם זה העד</w:t>
      </w:r>
      <w:r>
        <w:rPr>
          <w:rFonts w:cs="Arial" w:hint="cs"/>
          <w:rtl/>
        </w:rPr>
        <w:t>,</w:t>
      </w:r>
      <w:r w:rsidRPr="002C4D7C">
        <w:rPr>
          <w:rFonts w:cs="Arial"/>
          <w:rtl/>
        </w:rPr>
        <w:t xml:space="preserve"> וא"כ לפי דברי העד השני העד הראשון פסול</w:t>
      </w:r>
      <w:r>
        <w:rPr>
          <w:rFonts w:cs="Arial" w:hint="cs"/>
          <w:rtl/>
        </w:rPr>
        <w:t xml:space="preserve"> -</w:t>
      </w:r>
      <w:r w:rsidRPr="002C4D7C">
        <w:rPr>
          <w:rFonts w:cs="Arial"/>
          <w:rtl/>
        </w:rPr>
        <w:t xml:space="preserve"> אפ"ה נאמן על האשה</w:t>
      </w:r>
      <w:r>
        <w:rPr>
          <w:rFonts w:cs="Arial" w:hint="cs"/>
          <w:rtl/>
        </w:rPr>
        <w:t>,</w:t>
      </w:r>
      <w:r w:rsidRPr="002C4D7C">
        <w:rPr>
          <w:rFonts w:cs="Arial"/>
          <w:rtl/>
        </w:rPr>
        <w:t xml:space="preserve"> דאיכא שני עדים ואינו נאמן על העד הראשון דלא יקום ע"א באיש לפוסלו</w:t>
      </w:r>
      <w:r>
        <w:rPr>
          <w:rFonts w:cs="Arial" w:hint="cs"/>
          <w:rtl/>
        </w:rPr>
        <w:t>, ח"מ (סקכ"ה).</w:t>
      </w:r>
    </w:p>
  </w:footnote>
  <w:footnote w:id="3184">
    <w:p w14:paraId="327630C7" w14:textId="77777777" w:rsidR="00DF1FC7" w:rsidRDefault="00DF1FC7" w:rsidP="002E5BAD">
      <w:pPr>
        <w:pStyle w:val="a5"/>
      </w:pPr>
      <w:r>
        <w:rPr>
          <w:rStyle w:val="a7"/>
        </w:rPr>
        <w:footnoteRef/>
      </w:r>
      <w:r>
        <w:rPr>
          <w:rtl/>
        </w:rPr>
        <w:t xml:space="preserve"> </w:t>
      </w:r>
      <w:r w:rsidRPr="002C4D7C">
        <w:rPr>
          <w:rFonts w:cs="Arial"/>
          <w:rtl/>
        </w:rPr>
        <w:t>היינו בדאיכא רגלים לדבר שאז לא חיישינן שמא עיניה נתנה באחר רק שהיא מכחשת העד וע"כ מצטרף גם הנחשד</w:t>
      </w:r>
      <w:r>
        <w:rPr>
          <w:rFonts w:cs="Arial" w:hint="cs"/>
          <w:rtl/>
        </w:rPr>
        <w:t>,</w:t>
      </w:r>
      <w:r w:rsidRPr="002C4D7C">
        <w:rPr>
          <w:rFonts w:cs="Arial"/>
          <w:rtl/>
        </w:rPr>
        <w:t xml:space="preserve"> ופלגינן דבוריה והוי כשני עדים כשרים שמעידין</w:t>
      </w:r>
      <w:r>
        <w:rPr>
          <w:rFonts w:cs="Arial" w:hint="cs"/>
          <w:rtl/>
        </w:rPr>
        <w:t>,</w:t>
      </w:r>
      <w:r w:rsidRPr="002C4D7C">
        <w:rPr>
          <w:rFonts w:cs="Arial"/>
          <w:rtl/>
        </w:rPr>
        <w:t xml:space="preserve"> א' ראה שזינת' וא' שמע שהודי'</w:t>
      </w:r>
      <w:r>
        <w:rPr>
          <w:rFonts w:cs="Arial" w:hint="cs"/>
          <w:rtl/>
        </w:rPr>
        <w:t>.</w:t>
      </w:r>
      <w:r w:rsidRPr="002C4D7C">
        <w:rPr>
          <w:rFonts w:cs="Arial"/>
          <w:rtl/>
        </w:rPr>
        <w:t xml:space="preserve"> ובמקום דאיכא רגלים לדבר </w:t>
      </w:r>
      <w:r>
        <w:rPr>
          <w:rFonts w:cs="Arial" w:hint="cs"/>
          <w:rtl/>
        </w:rPr>
        <w:t xml:space="preserve">- </w:t>
      </w:r>
      <w:r w:rsidRPr="002C4D7C">
        <w:rPr>
          <w:rFonts w:cs="Arial"/>
          <w:rtl/>
        </w:rPr>
        <w:t>הודאת' בפני ע"א כאלו ראה שזינתה</w:t>
      </w:r>
      <w:r>
        <w:rPr>
          <w:rFonts w:cs="Arial" w:hint="cs"/>
          <w:rtl/>
        </w:rPr>
        <w:t>.</w:t>
      </w:r>
      <w:r w:rsidRPr="002C4D7C">
        <w:rPr>
          <w:rFonts w:cs="Arial"/>
          <w:rtl/>
        </w:rPr>
        <w:t xml:space="preserve"> והודאה אחר הלואה מצטרפין</w:t>
      </w:r>
      <w:r>
        <w:rPr>
          <w:rFonts w:cs="Arial" w:hint="cs"/>
          <w:rtl/>
        </w:rPr>
        <w:t>.</w:t>
      </w:r>
      <w:r w:rsidRPr="002C4D7C">
        <w:rPr>
          <w:rFonts w:cs="Arial"/>
          <w:rtl/>
        </w:rPr>
        <w:t xml:space="preserve"> ואעפ"י שלדברי האשה הנחשד פסול </w:t>
      </w:r>
      <w:r>
        <w:rPr>
          <w:rFonts w:cs="Arial" w:hint="cs"/>
          <w:rtl/>
        </w:rPr>
        <w:t xml:space="preserve">- </w:t>
      </w:r>
      <w:r w:rsidRPr="002C4D7C">
        <w:rPr>
          <w:rFonts w:cs="Arial"/>
          <w:rtl/>
        </w:rPr>
        <w:t>מאמינין אותה לגבי עצמה ולא לגבי הנחשד לפוסלו</w:t>
      </w:r>
      <w:r>
        <w:rPr>
          <w:rFonts w:cs="Arial" w:hint="cs"/>
          <w:rtl/>
        </w:rPr>
        <w:t>.</w:t>
      </w:r>
      <w:r w:rsidRPr="002C4D7C">
        <w:rPr>
          <w:rFonts w:cs="Arial"/>
          <w:rtl/>
        </w:rPr>
        <w:t xml:space="preserve"> ומיהו אם הי' חשוד בלאו הכי </w:t>
      </w:r>
      <w:r>
        <w:rPr>
          <w:rFonts w:cs="Arial" w:hint="cs"/>
          <w:rtl/>
        </w:rPr>
        <w:t xml:space="preserve">- </w:t>
      </w:r>
      <w:r w:rsidRPr="002C4D7C">
        <w:rPr>
          <w:rFonts w:cs="Arial"/>
          <w:rtl/>
        </w:rPr>
        <w:t>פסול לעדו</w:t>
      </w:r>
      <w:r>
        <w:rPr>
          <w:rFonts w:cs="Arial" w:hint="cs"/>
          <w:rtl/>
        </w:rPr>
        <w:t>ת</w:t>
      </w:r>
      <w:r w:rsidRPr="002C4D7C">
        <w:rPr>
          <w:rFonts w:cs="Arial"/>
          <w:rtl/>
        </w:rPr>
        <w:t xml:space="preserve"> אשה בין לאפוקי בין לעיולא ועיין בתשובת הרשב"א אלף רל"ז</w:t>
      </w:r>
      <w:r>
        <w:rPr>
          <w:rFonts w:cs="Arial" w:hint="cs"/>
          <w:rtl/>
        </w:rPr>
        <w:t>, ח"מ (סקכ"ו).</w:t>
      </w:r>
      <w:r>
        <w:rPr>
          <w:rFonts w:hint="cs"/>
          <w:rtl/>
        </w:rPr>
        <w:t xml:space="preserve"> וכ"כ הב"ש (סקכ"ט).</w:t>
      </w:r>
      <w:r>
        <w:rPr>
          <w:rFonts w:cs="Arial"/>
          <w:rtl/>
        </w:rPr>
        <w:t xml:space="preserve"> וע' בתשו' ר</w:t>
      </w:r>
      <w:r>
        <w:rPr>
          <w:rFonts w:cs="Arial" w:hint="cs"/>
          <w:rtl/>
        </w:rPr>
        <w:t xml:space="preserve">עק"א </w:t>
      </w:r>
      <w:r w:rsidRPr="005822B1">
        <w:rPr>
          <w:rFonts w:cs="Arial" w:hint="cs"/>
          <w:sz w:val="16"/>
          <w:szCs w:val="16"/>
          <w:rtl/>
        </w:rPr>
        <w:t>(</w:t>
      </w:r>
      <w:r w:rsidRPr="005822B1">
        <w:rPr>
          <w:rFonts w:cs="Arial"/>
          <w:sz w:val="16"/>
          <w:szCs w:val="16"/>
          <w:rtl/>
        </w:rPr>
        <w:t>סי' פח בד"ה וזהו נראה</w:t>
      </w:r>
      <w:r w:rsidRPr="005822B1">
        <w:rPr>
          <w:rFonts w:cs="Arial" w:hint="cs"/>
          <w:sz w:val="16"/>
          <w:szCs w:val="16"/>
          <w:rtl/>
        </w:rPr>
        <w:t>,</w:t>
      </w:r>
      <w:r w:rsidRPr="005822B1">
        <w:rPr>
          <w:rFonts w:cs="Arial"/>
          <w:sz w:val="16"/>
          <w:szCs w:val="16"/>
          <w:rtl/>
        </w:rPr>
        <w:t xml:space="preserve"> ובסי' צט בד"ה ואף בשו"ת רשב"א</w:t>
      </w:r>
      <w:r w:rsidRPr="005822B1">
        <w:rPr>
          <w:rFonts w:cs="Arial" w:hint="cs"/>
          <w:sz w:val="16"/>
          <w:szCs w:val="16"/>
          <w:rtl/>
        </w:rPr>
        <w:t>)</w:t>
      </w:r>
      <w:r w:rsidRPr="005822B1">
        <w:rPr>
          <w:rFonts w:cs="Arial"/>
          <w:sz w:val="16"/>
          <w:szCs w:val="16"/>
          <w:rtl/>
        </w:rPr>
        <w:t xml:space="preserve"> </w:t>
      </w:r>
      <w:r>
        <w:rPr>
          <w:rFonts w:cs="Arial"/>
          <w:rtl/>
        </w:rPr>
        <w:t>שכ' דא"א לפרש כן</w:t>
      </w:r>
      <w:r>
        <w:rPr>
          <w:rFonts w:cs="Arial" w:hint="cs"/>
          <w:rtl/>
        </w:rPr>
        <w:t>...</w:t>
      </w:r>
      <w:r>
        <w:rPr>
          <w:rFonts w:cs="Arial"/>
          <w:rtl/>
        </w:rPr>
        <w:t xml:space="preserve"> א</w:t>
      </w:r>
      <w:r>
        <w:rPr>
          <w:rFonts w:cs="Arial" w:hint="cs"/>
          <w:rtl/>
        </w:rPr>
        <w:t xml:space="preserve">לא </w:t>
      </w:r>
      <w:r>
        <w:rPr>
          <w:rFonts w:cs="Arial"/>
          <w:rtl/>
        </w:rPr>
        <w:t>ו</w:t>
      </w:r>
      <w:r>
        <w:rPr>
          <w:rFonts w:cs="Arial" w:hint="cs"/>
          <w:rtl/>
        </w:rPr>
        <w:t>דאי</w:t>
      </w:r>
      <w:r>
        <w:rPr>
          <w:rFonts w:cs="Arial"/>
          <w:rtl/>
        </w:rPr>
        <w:t xml:space="preserve"> דבא לחדש דאף בלא סברא דרגלים לדבר י"ל דבכה"ג במקום עד א' לא תלינן בעיני</w:t>
      </w:r>
      <w:r>
        <w:rPr>
          <w:rFonts w:cs="Arial" w:hint="cs"/>
          <w:rtl/>
        </w:rPr>
        <w:t>ה</w:t>
      </w:r>
      <w:r>
        <w:rPr>
          <w:rFonts w:cs="Arial"/>
          <w:rtl/>
        </w:rPr>
        <w:t xml:space="preserve"> נ"ב דבכה"ג לא תיקנו</w:t>
      </w:r>
      <w:r>
        <w:rPr>
          <w:rFonts w:cs="Arial" w:hint="cs"/>
          <w:rtl/>
        </w:rPr>
        <w:t>,</w:t>
      </w:r>
      <w:r>
        <w:rPr>
          <w:rFonts w:cs="Arial"/>
          <w:rtl/>
        </w:rPr>
        <w:t xml:space="preserve"> דלאו בכל פעם יזדמן כן שיהי' עד א' ע"ש</w:t>
      </w:r>
      <w:r>
        <w:rPr>
          <w:rFonts w:cs="Arial" w:hint="cs"/>
          <w:rtl/>
        </w:rPr>
        <w:t>...</w:t>
      </w:r>
      <w:r>
        <w:rPr>
          <w:rFonts w:cs="Arial"/>
          <w:rtl/>
        </w:rPr>
        <w:t xml:space="preserve"> ובסי' ק"א שם בתשו' הגאון בית מאיר הסכים עמו וכ' דיפה פי' כוונת התה"ד וסברא גדולה היא זו דאפשר במקום ע"א לא תיקנו חז"ל</w:t>
      </w:r>
      <w:r>
        <w:rPr>
          <w:rFonts w:cs="Arial" w:hint="cs"/>
          <w:rtl/>
        </w:rPr>
        <w:t>,</w:t>
      </w:r>
      <w:r>
        <w:rPr>
          <w:rFonts w:cs="Arial"/>
          <w:rtl/>
        </w:rPr>
        <w:t xml:space="preserve"> משום דעד א' זה חשיב כרגלים לדבר</w:t>
      </w:r>
      <w:r>
        <w:rPr>
          <w:rFonts w:cs="Arial" w:hint="cs"/>
          <w:rtl/>
        </w:rPr>
        <w:t>.</w:t>
      </w:r>
      <w:r>
        <w:rPr>
          <w:rFonts w:cs="Arial"/>
          <w:rtl/>
        </w:rPr>
        <w:t xml:space="preserve"> אולם יש להליץ בעד הח"מ וב"ש שהוקשה להם דמשמע מהרמ"א שזה חשוב כב' עדים ממש דאפי' ב"ד מפקיעין וע"ז יש לפקפק הרי עד ההודאה לחוד לאו מידי הוא משום די"ל ענ"ב רק ע"י העד דזינת' נתחזק אף עדותו</w:t>
      </w:r>
      <w:r>
        <w:rPr>
          <w:rFonts w:cs="Arial" w:hint="cs"/>
          <w:rtl/>
        </w:rPr>
        <w:t>.</w:t>
      </w:r>
      <w:r>
        <w:rPr>
          <w:rFonts w:cs="Arial"/>
          <w:rtl/>
        </w:rPr>
        <w:t xml:space="preserve"> וי"ל דלא חשיב עדים של תורה דהוי דומיא דנפיק ג' ריבעי דממונא אפומא דחד לכן פירשו דאיכא רגלים לדבר וא"כ שפיר חשיב עד הודאה בלא עד זה עכ"ד ע"ש. וע' בשו"ת הגאון החסיד מהר"ש זלמן זצ"ל מלאדי שגם הוא ז"ל חולק על הח"מ וב"ש בזה (אך בסגנון אחר) וכ' דודאי מסתימת לשון רמ"א לא משמע כלל כפי' הח"מ וב"ש דכל כה"ג ודאי ה"ל לרמ"א לפרש ולא להיות עיקר חסר מן הספר</w:t>
      </w:r>
      <w:r>
        <w:rPr>
          <w:rFonts w:cs="Arial" w:hint="cs"/>
          <w:rtl/>
        </w:rPr>
        <w:t>.</w:t>
      </w:r>
      <w:r>
        <w:rPr>
          <w:rFonts w:cs="Arial"/>
          <w:rtl/>
        </w:rPr>
        <w:t xml:space="preserve"> ומכ"ש מאחר דבסיפא הודית לפני א' מיירי רמ"א בדליכא רגל"ד כמבואר מח"מ וב"ש שם</w:t>
      </w:r>
      <w:r>
        <w:rPr>
          <w:rFonts w:cs="Arial" w:hint="cs"/>
          <w:rtl/>
        </w:rPr>
        <w:t>..., פת"ש (סקל"ד).</w:t>
      </w:r>
    </w:p>
  </w:footnote>
  <w:footnote w:id="3185">
    <w:p w14:paraId="7B3A1922" w14:textId="77777777" w:rsidR="00DF1FC7" w:rsidRDefault="00DF1FC7" w:rsidP="002E5BAD">
      <w:pPr>
        <w:pStyle w:val="a5"/>
      </w:pPr>
      <w:r>
        <w:rPr>
          <w:rStyle w:val="a7"/>
        </w:rPr>
        <w:footnoteRef/>
      </w:r>
      <w:r>
        <w:rPr>
          <w:rtl/>
        </w:rPr>
        <w:t xml:space="preserve"> </w:t>
      </w:r>
      <w:r w:rsidRPr="00B54F8E">
        <w:rPr>
          <w:rFonts w:cs="Arial"/>
          <w:rtl/>
        </w:rPr>
        <w:t>לאו דוקא לפני א' אפילו לפני שנים דהא הטעם שמא עיניה נתנה באחר שייך אף בשנים וכמשנה אחרונה דנדרים</w:t>
      </w:r>
      <w:r>
        <w:rPr>
          <w:rFonts w:cs="Arial" w:hint="cs"/>
          <w:rtl/>
        </w:rPr>
        <w:t xml:space="preserve"> (</w:t>
      </w:r>
      <w:r w:rsidRPr="00B54F8E">
        <w:rPr>
          <w:rFonts w:cs="Arial"/>
          <w:rtl/>
        </w:rPr>
        <w:t>צ</w:t>
      </w:r>
      <w:r>
        <w:rPr>
          <w:rFonts w:cs="Arial" w:hint="cs"/>
          <w:rtl/>
        </w:rPr>
        <w:t>:)</w:t>
      </w:r>
      <w:r w:rsidRPr="00B54F8E">
        <w:rPr>
          <w:rFonts w:cs="Arial"/>
          <w:rtl/>
        </w:rPr>
        <w:t xml:space="preserve"> רק לענין הפסד כתובה יש חילוק בין ע"א לשנים דבע"א לא הפסידה כתובתה כל שמכחשת אותו אבל בשני עדים אף שאין אסורה לו למשנה אחרונה מ"מ כתובתה הפסידה</w:t>
      </w:r>
      <w:r>
        <w:rPr>
          <w:rFonts w:cs="Arial" w:hint="cs"/>
          <w:rtl/>
        </w:rPr>
        <w:t>, ח"מ (סקכ"ז).</w:t>
      </w:r>
    </w:p>
  </w:footnote>
  <w:footnote w:id="3186">
    <w:p w14:paraId="7EE31B31" w14:textId="77777777" w:rsidR="00DF1FC7" w:rsidRDefault="00DF1FC7" w:rsidP="002E5BAD">
      <w:pPr>
        <w:pStyle w:val="a5"/>
      </w:pPr>
      <w:r>
        <w:rPr>
          <w:rStyle w:val="a7"/>
        </w:rPr>
        <w:footnoteRef/>
      </w:r>
      <w:r>
        <w:rPr>
          <w:rtl/>
        </w:rPr>
        <w:t xml:space="preserve"> </w:t>
      </w:r>
      <w:r w:rsidRPr="00B54F8E">
        <w:rPr>
          <w:rFonts w:cs="Arial"/>
          <w:rtl/>
        </w:rPr>
        <w:t>היינו בעומדת בדבריה לאחר שגירשה שאז לא שייך לומר עיניה נתנה באחר דהא גירשה ומותר' לכל אדם אלא ודאי קושטא אמרה ושויתה נפשה חתיכה דאסורה לו אבל אם חזרה מדבריה הראשונים ואומר' טהורה הייתי ונתנה אמתלא לדבריה הראשונים למה אמרה טמאה אני אז מותר להחזירה</w:t>
      </w:r>
      <w:r>
        <w:rPr>
          <w:rFonts w:cs="Arial" w:hint="cs"/>
          <w:rtl/>
        </w:rPr>
        <w:t>, ח"מ (סקכ"ח).</w:t>
      </w:r>
      <w:r>
        <w:rPr>
          <w:rFonts w:hint="cs"/>
          <w:rtl/>
        </w:rPr>
        <w:t xml:space="preserve"> וכ"כ הב"ש (סקל"א).</w:t>
      </w:r>
      <w:r w:rsidRPr="00795543">
        <w:rPr>
          <w:rFonts w:cs="Arial"/>
          <w:rtl/>
        </w:rPr>
        <w:t xml:space="preserve"> </w:t>
      </w:r>
      <w:r>
        <w:rPr>
          <w:rFonts w:cs="Arial" w:hint="cs"/>
          <w:rtl/>
        </w:rPr>
        <w:t>אך</w:t>
      </w:r>
      <w:r>
        <w:rPr>
          <w:rFonts w:cs="Arial"/>
          <w:rtl/>
        </w:rPr>
        <w:t xml:space="preserve"> בתשו' שיבת ציון </w:t>
      </w:r>
      <w:r>
        <w:rPr>
          <w:rFonts w:cs="Arial" w:hint="cs"/>
          <w:rtl/>
        </w:rPr>
        <w:t>(</w:t>
      </w:r>
      <w:r>
        <w:rPr>
          <w:rFonts w:cs="Arial"/>
          <w:rtl/>
        </w:rPr>
        <w:t>סי' עד</w:t>
      </w:r>
      <w:r>
        <w:rPr>
          <w:rFonts w:cs="Arial" w:hint="cs"/>
          <w:rtl/>
        </w:rPr>
        <w:t>)</w:t>
      </w:r>
      <w:r>
        <w:rPr>
          <w:rFonts w:cs="Arial"/>
          <w:rtl/>
        </w:rPr>
        <w:t xml:space="preserve"> </w:t>
      </w:r>
      <w:r>
        <w:rPr>
          <w:rFonts w:cs="Arial" w:hint="cs"/>
          <w:rtl/>
        </w:rPr>
        <w:t xml:space="preserve">כתב </w:t>
      </w:r>
      <w:r>
        <w:rPr>
          <w:rFonts w:cs="Arial"/>
          <w:rtl/>
        </w:rPr>
        <w:t>דאשה שאמרה לבעלה שזינתה אע</w:t>
      </w:r>
      <w:r>
        <w:rPr>
          <w:rFonts w:cs="Arial" w:hint="cs"/>
          <w:rtl/>
        </w:rPr>
        <w:t>"</w:t>
      </w:r>
      <w:r>
        <w:rPr>
          <w:rFonts w:cs="Arial"/>
          <w:rtl/>
        </w:rPr>
        <w:t>פ שאינה נאמנת אם עמד הבעל מעצמו וגירשה אסור להחזירה ולא מהני שום אמתלא לגבי הבעל לבטל המעשה שעשה שגירשה ע"פ דבריה והאמין לה שזינתה</w:t>
      </w:r>
      <w:r>
        <w:rPr>
          <w:rFonts w:cs="Arial" w:hint="cs"/>
          <w:rtl/>
        </w:rPr>
        <w:t>.</w:t>
      </w:r>
      <w:r>
        <w:rPr>
          <w:rFonts w:cs="Arial"/>
          <w:rtl/>
        </w:rPr>
        <w:t xml:space="preserve"> ואם עבר והחזירה יש ספק אם מותר לקיימה ודבר זה תליא בשני תירוצי התוס' ור"ן בשלהי נדרים</w:t>
      </w:r>
      <w:r>
        <w:rPr>
          <w:rFonts w:cs="Arial" w:hint="cs"/>
          <w:rtl/>
        </w:rPr>
        <w:t>...</w:t>
      </w:r>
      <w:r>
        <w:rPr>
          <w:rFonts w:cs="Arial"/>
          <w:rtl/>
        </w:rPr>
        <w:t xml:space="preserve"> ע"ש</w:t>
      </w:r>
      <w:r>
        <w:rPr>
          <w:rFonts w:cs="Arial" w:hint="cs"/>
          <w:rtl/>
        </w:rPr>
        <w:t>, פת"ש (סקל"ו)</w:t>
      </w:r>
      <w:r>
        <w:rPr>
          <w:rFonts w:cs="Arial"/>
          <w:rtl/>
        </w:rPr>
        <w:t>.</w:t>
      </w:r>
      <w:r>
        <w:rPr>
          <w:rFonts w:hint="cs"/>
          <w:rtl/>
        </w:rPr>
        <w:t xml:space="preserve"> ועיין </w:t>
      </w:r>
      <w:r>
        <w:rPr>
          <w:rFonts w:cs="Arial" w:hint="cs"/>
          <w:rtl/>
        </w:rPr>
        <w:t>ב</w:t>
      </w:r>
      <w:r>
        <w:rPr>
          <w:rFonts w:cs="Arial"/>
          <w:rtl/>
        </w:rPr>
        <w:t xml:space="preserve">נו"ב </w:t>
      </w:r>
      <w:r>
        <w:rPr>
          <w:rFonts w:cs="Arial" w:hint="cs"/>
          <w:rtl/>
        </w:rPr>
        <w:t>(</w:t>
      </w:r>
      <w:r>
        <w:rPr>
          <w:rFonts w:cs="Arial"/>
          <w:rtl/>
        </w:rPr>
        <w:t>סי' יא</w:t>
      </w:r>
      <w:r>
        <w:rPr>
          <w:rFonts w:cs="Arial" w:hint="cs"/>
          <w:rtl/>
        </w:rPr>
        <w:t>) ובחמדת שלמה (סי' נז) שהאריכו בזה.</w:t>
      </w:r>
    </w:p>
  </w:footnote>
  <w:footnote w:id="3187">
    <w:p w14:paraId="69973217" w14:textId="77777777" w:rsidR="00DF1FC7" w:rsidRDefault="00DF1FC7" w:rsidP="002E5BAD">
      <w:pPr>
        <w:pStyle w:val="a5"/>
        <w:rPr>
          <w:rtl/>
        </w:rPr>
      </w:pPr>
      <w:r w:rsidRPr="003429C8">
        <w:rPr>
          <w:rStyle w:val="a7"/>
        </w:rPr>
        <w:footnoteRef/>
      </w:r>
      <w:r w:rsidRPr="003429C8">
        <w:rPr>
          <w:rtl/>
        </w:rPr>
        <w:t xml:space="preserve"> </w:t>
      </w:r>
      <w:r w:rsidRPr="003429C8">
        <w:rPr>
          <w:rFonts w:cs="Arial" w:hint="cs"/>
          <w:rtl/>
        </w:rPr>
        <w:t>כ"כ בשמו הברית אברהם (סי' עד),</w:t>
      </w:r>
      <w:r w:rsidRPr="003429C8">
        <w:rPr>
          <w:rFonts w:cs="Arial"/>
          <w:rtl/>
        </w:rPr>
        <w:t xml:space="preserve"> </w:t>
      </w:r>
      <w:r w:rsidRPr="003429C8">
        <w:rPr>
          <w:rFonts w:cs="Arial" w:hint="cs"/>
          <w:rtl/>
        </w:rPr>
        <w:t>ו</w:t>
      </w:r>
      <w:r w:rsidRPr="003429C8">
        <w:rPr>
          <w:rFonts w:cs="Arial"/>
          <w:rtl/>
        </w:rPr>
        <w:t xml:space="preserve">פלפל </w:t>
      </w:r>
      <w:r w:rsidRPr="003429C8">
        <w:rPr>
          <w:rFonts w:cs="Arial" w:hint="cs"/>
          <w:rtl/>
        </w:rPr>
        <w:t xml:space="preserve">הברית אברהם </w:t>
      </w:r>
      <w:r w:rsidRPr="003429C8">
        <w:rPr>
          <w:rFonts w:cs="Arial"/>
          <w:rtl/>
        </w:rPr>
        <w:t>הרבה בזה ומסיק לדינא דאף בהודאה דרך תשובה לא מהימנא</w:t>
      </w:r>
      <w:r w:rsidRPr="00BB1C78">
        <w:rPr>
          <w:rFonts w:cs="Arial"/>
          <w:rtl/>
        </w:rPr>
        <w:t xml:space="preserve"> דאמרינן דהיא מערמא בכל זה ודלא כתשו' ב"ח הנ"ל</w:t>
      </w:r>
      <w:r>
        <w:rPr>
          <w:rFonts w:hint="cs"/>
          <w:rtl/>
        </w:rPr>
        <w:t>, פת"ש (סקכ"ה).</w:t>
      </w:r>
    </w:p>
  </w:footnote>
  <w:footnote w:id="3188">
    <w:p w14:paraId="68698FF8" w14:textId="77777777" w:rsidR="00DF1FC7" w:rsidRPr="00807CDB" w:rsidRDefault="00DF1FC7" w:rsidP="002E5BAD">
      <w:pPr>
        <w:pStyle w:val="a5"/>
        <w:rPr>
          <w:rFonts w:cs="Arial"/>
        </w:rPr>
      </w:pPr>
      <w:r>
        <w:rPr>
          <w:rStyle w:val="a7"/>
        </w:rPr>
        <w:footnoteRef/>
      </w:r>
      <w:r>
        <w:rPr>
          <w:rtl/>
        </w:rPr>
        <w:t xml:space="preserve"> </w:t>
      </w:r>
      <w:r>
        <w:rPr>
          <w:rFonts w:cs="Arial"/>
          <w:rtl/>
        </w:rPr>
        <w:t xml:space="preserve">הנה ברמב"ם פכ"ד מה' אישות מבואר כמעט להדיא דגם בדין זה גם באומר שראה אשתו שזינתה אין ב"ד כופין אותו להוציאה אלא דחייב לצאת י"ש וכמו בסעי' הקודם. דשם כתב דין זה בהלכה י"ז ואח"כ בהלכה י"ח סידר הדין שבש"ע סעי' הקודם ומסיים ואין ב"ד כופין את האיש לגרש אשתו בדבר מדברים אלו עד שיבואו ב' עדים. ומשמעותו הפשוט שסובב נמי על הלכה י"ז וכך הבינו מדבריו הרבה תשובות האחרונים. ועיין בתשו' מהר"י הלוי אחי הט"ז </w:t>
      </w:r>
      <w:r>
        <w:rPr>
          <w:rFonts w:cs="Arial" w:hint="cs"/>
          <w:rtl/>
        </w:rPr>
        <w:t>(</w:t>
      </w:r>
      <w:r>
        <w:rPr>
          <w:rFonts w:cs="Arial"/>
          <w:rtl/>
        </w:rPr>
        <w:t>והיא נדפסת בת' ג"ב סי' כו</w:t>
      </w:r>
      <w:r>
        <w:rPr>
          <w:rFonts w:cs="Arial" w:hint="cs"/>
          <w:rtl/>
        </w:rPr>
        <w:t>)</w:t>
      </w:r>
      <w:r>
        <w:rPr>
          <w:rFonts w:cs="Arial"/>
          <w:rtl/>
        </w:rPr>
        <w:t xml:space="preserve"> כתב ג"כ בפשיטות דאין כופין אותו בב"ד להוציא.</w:t>
      </w:r>
      <w:r>
        <w:rPr>
          <w:rFonts w:cs="Arial" w:hint="cs"/>
          <w:rtl/>
        </w:rPr>
        <w:t>..., פת"ש (סקל"ז). ועיין בפת"ש דהביא שקלא וטריא בזה.</w:t>
      </w:r>
    </w:p>
  </w:footnote>
  <w:footnote w:id="3189">
    <w:p w14:paraId="34C50159" w14:textId="77777777" w:rsidR="00DF1FC7" w:rsidRDefault="00DF1FC7" w:rsidP="002E5BAD">
      <w:pPr>
        <w:pStyle w:val="a5"/>
      </w:pPr>
      <w:r>
        <w:rPr>
          <w:rStyle w:val="a7"/>
        </w:rPr>
        <w:footnoteRef/>
      </w:r>
      <w:r>
        <w:rPr>
          <w:rtl/>
        </w:rPr>
        <w:t xml:space="preserve"> </w:t>
      </w:r>
      <w:r>
        <w:rPr>
          <w:rFonts w:cs="Arial"/>
          <w:rtl/>
        </w:rPr>
        <w:t>עיין בס' בית מאיר שכ' צ"ע אם לא במחלוקת שנוי כי בטור ח"מ סי' ל"ד איתא הבא על הערוה פסול לעדות ובסימן צ"ב איתא כו' והאריך בזה ע"ש</w:t>
      </w:r>
      <w:r>
        <w:rPr>
          <w:rFonts w:cs="Arial" w:hint="cs"/>
          <w:rtl/>
        </w:rPr>
        <w:t>, פת"ש (סק"מ).</w:t>
      </w:r>
    </w:p>
  </w:footnote>
  <w:footnote w:id="3190">
    <w:p w14:paraId="04D18E86" w14:textId="77777777" w:rsidR="00DF1FC7" w:rsidRDefault="00DF1FC7" w:rsidP="002E5BAD">
      <w:pPr>
        <w:pStyle w:val="a5"/>
        <w:rPr>
          <w:rtl/>
        </w:rPr>
      </w:pPr>
      <w:r>
        <w:rPr>
          <w:rStyle w:val="a7"/>
        </w:rPr>
        <w:footnoteRef/>
      </w:r>
      <w:r>
        <w:rPr>
          <w:rtl/>
        </w:rPr>
        <w:t xml:space="preserve"> </w:t>
      </w:r>
      <w:r>
        <w:rPr>
          <w:rFonts w:cs="Arial"/>
          <w:rtl/>
        </w:rPr>
        <w:t>עיין בתשו' ר</w:t>
      </w:r>
      <w:r>
        <w:rPr>
          <w:rFonts w:cs="Arial" w:hint="cs"/>
          <w:rtl/>
        </w:rPr>
        <w:t>עק"א</w:t>
      </w:r>
      <w:r>
        <w:rPr>
          <w:rFonts w:cs="Arial"/>
          <w:rtl/>
        </w:rPr>
        <w:t xml:space="preserve"> </w:t>
      </w:r>
      <w:r>
        <w:rPr>
          <w:rFonts w:cs="Arial" w:hint="cs"/>
          <w:rtl/>
        </w:rPr>
        <w:t>(</w:t>
      </w:r>
      <w:r>
        <w:rPr>
          <w:rFonts w:cs="Arial"/>
          <w:rtl/>
        </w:rPr>
        <w:t>סי</w:t>
      </w:r>
      <w:r>
        <w:rPr>
          <w:rFonts w:cs="Arial" w:hint="cs"/>
          <w:rtl/>
        </w:rPr>
        <w:t>'</w:t>
      </w:r>
      <w:r>
        <w:rPr>
          <w:rFonts w:cs="Arial"/>
          <w:rtl/>
        </w:rPr>
        <w:t xml:space="preserve"> ק</w:t>
      </w:r>
      <w:r>
        <w:rPr>
          <w:rFonts w:cs="Arial" w:hint="cs"/>
          <w:rtl/>
        </w:rPr>
        <w:t>)</w:t>
      </w:r>
      <w:r>
        <w:rPr>
          <w:rFonts w:cs="Arial"/>
          <w:rtl/>
        </w:rPr>
        <w:t xml:space="preserve"> בתשובת הגאון בית מאיר שכ' וז"ל</w:t>
      </w:r>
      <w:r>
        <w:rPr>
          <w:rFonts w:cs="Arial" w:hint="cs"/>
          <w:rtl/>
        </w:rPr>
        <w:t>-</w:t>
      </w:r>
      <w:r>
        <w:rPr>
          <w:rFonts w:cs="Arial"/>
          <w:rtl/>
        </w:rPr>
        <w:t xml:space="preserve"> ומה שתפס מר פסק הגהת ש"ע סימן קט"ו בשם מהרי"ק להלכה ברורה דהאמנת עד א' ל"ש רק בנאמן בעיניו כבי תרי</w:t>
      </w:r>
      <w:r>
        <w:rPr>
          <w:rFonts w:cs="Arial" w:hint="cs"/>
          <w:rtl/>
        </w:rPr>
        <w:t>,</w:t>
      </w:r>
      <w:r>
        <w:rPr>
          <w:rFonts w:cs="Arial"/>
          <w:rtl/>
        </w:rPr>
        <w:t xml:space="preserve"> לענ"ד בהרשב"א סימן אלף רל"ז לא משמע כן כו'</w:t>
      </w:r>
      <w:r>
        <w:rPr>
          <w:rFonts w:cs="Arial" w:hint="cs"/>
          <w:rtl/>
        </w:rPr>
        <w:t>,</w:t>
      </w:r>
      <w:r>
        <w:rPr>
          <w:rFonts w:cs="Arial"/>
          <w:rtl/>
        </w:rPr>
        <w:t xml:space="preserve"> וכן האמת לענ"ד אילו באנו לדון ענין האמנה זו מענין קים לי בגווה דבת ר"ח לא הי' שייך כלל בזה"ז לדון בו כו'</w:t>
      </w:r>
      <w:r>
        <w:rPr>
          <w:rFonts w:cs="Arial" w:hint="cs"/>
          <w:rtl/>
        </w:rPr>
        <w:t>...</w:t>
      </w:r>
      <w:r>
        <w:rPr>
          <w:rFonts w:cs="Arial"/>
          <w:rtl/>
        </w:rPr>
        <w:t xml:space="preserve"> ובסימן ק"א שם השיב לו הגאון רעק</w:t>
      </w:r>
      <w:r>
        <w:rPr>
          <w:rFonts w:cs="Arial" w:hint="cs"/>
          <w:rtl/>
        </w:rPr>
        <w:t>"א</w:t>
      </w:r>
      <w:r>
        <w:rPr>
          <w:rFonts w:cs="Arial"/>
          <w:rtl/>
        </w:rPr>
        <w:t xml:space="preserve"> ז"ל דמדברי הרשב"א הנ"ל אין ראיה ואדרבה במיוחסות סימן קל"ג כ' כן דבעי מהימן לכל מילי אולם לדינא גם לדעתי ראוי להחמיר אף במאמינו רק בדבר הזה כי המעיין ברשב"א שם יראה דלא סמך כ"כ על ההיתר זה ולא כ' כן רק לסניף ע"ש. וכבר כתב כן גם בסימן פ"ח ע"ש היטב וע"ל סקל"ח</w:t>
      </w:r>
      <w:r>
        <w:rPr>
          <w:rFonts w:hint="cs"/>
          <w:rtl/>
        </w:rPr>
        <w:t>, פת"ש (סקמ"ב).</w:t>
      </w:r>
    </w:p>
  </w:footnote>
  <w:footnote w:id="3191">
    <w:p w14:paraId="76556053" w14:textId="77777777" w:rsidR="00DF1FC7" w:rsidRDefault="00DF1FC7" w:rsidP="002E5BAD">
      <w:pPr>
        <w:pStyle w:val="a5"/>
      </w:pPr>
      <w:r>
        <w:rPr>
          <w:rStyle w:val="a7"/>
        </w:rPr>
        <w:footnoteRef/>
      </w:r>
      <w:r>
        <w:rPr>
          <w:rtl/>
        </w:rPr>
        <w:t xml:space="preserve"> </w:t>
      </w:r>
      <w:r>
        <w:rPr>
          <w:rFonts w:cs="Arial"/>
          <w:rtl/>
        </w:rPr>
        <w:t>כלומר אבל נדוניא לא הפסידה דהוי כמו חוב בעלמא</w:t>
      </w:r>
      <w:r>
        <w:rPr>
          <w:rFonts w:cs="Arial" w:hint="cs"/>
          <w:rtl/>
        </w:rPr>
        <w:t>,</w:t>
      </w:r>
      <w:r>
        <w:rPr>
          <w:rFonts w:cs="Arial"/>
          <w:rtl/>
        </w:rPr>
        <w:t xml:space="preserve"> וכ"כ הרא"ש כלל ל"ב סימן י"א</w:t>
      </w:r>
      <w:r>
        <w:rPr>
          <w:rFonts w:cs="Arial" w:hint="cs"/>
          <w:rtl/>
        </w:rPr>
        <w:t>, ב"י.</w:t>
      </w:r>
    </w:p>
  </w:footnote>
  <w:footnote w:id="3192">
    <w:p w14:paraId="445D5274" w14:textId="77777777" w:rsidR="00DF1FC7" w:rsidRDefault="00DF1FC7" w:rsidP="002E5BAD">
      <w:pPr>
        <w:pStyle w:val="a5"/>
        <w:rPr>
          <w:rtl/>
        </w:rPr>
      </w:pPr>
      <w:r>
        <w:rPr>
          <w:rStyle w:val="a7"/>
        </w:rPr>
        <w:footnoteRef/>
      </w:r>
      <w:r w:rsidRPr="00F32213">
        <w:rPr>
          <w:rFonts w:cs="Arial"/>
          <w:rtl/>
        </w:rPr>
        <w:t xml:space="preserve"> </w:t>
      </w:r>
      <w:r w:rsidRPr="0040788E">
        <w:rPr>
          <w:rFonts w:cs="Arial"/>
          <w:rtl/>
        </w:rPr>
        <w:t>ודווקא שאמר לה בלשון זה: אל תסתרי עם פלוני הגוי, אז הוי קינוי לאוסרה בסתירה, אבל אי לא אמר לה בלשון הזה, אלא אמר לה: אל תדברי עם פלוני, או: לא יהא לך עסק עם פלוני, לא הוי קינוי, כדאיתא במתני' פ"ק דסוטה, דאל תדברי עם פלוני לא הוי קינוי</w:t>
      </w:r>
      <w:r>
        <w:rPr>
          <w:rFonts w:cs="Arial" w:hint="cs"/>
          <w:rtl/>
        </w:rPr>
        <w:t>,</w:t>
      </w:r>
      <w:r w:rsidRPr="0040788E">
        <w:rPr>
          <w:rFonts w:cs="Arial"/>
          <w:rtl/>
        </w:rPr>
        <w:t xml:space="preserve"> </w:t>
      </w:r>
      <w:r w:rsidRPr="00F32213">
        <w:rPr>
          <w:rFonts w:cs="Arial"/>
          <w:rtl/>
        </w:rPr>
        <w:t xml:space="preserve">מהרי"ו </w:t>
      </w:r>
      <w:r>
        <w:rPr>
          <w:rFonts w:cs="Arial" w:hint="cs"/>
          <w:rtl/>
        </w:rPr>
        <w:t>(</w:t>
      </w:r>
      <w:r w:rsidRPr="00F32213">
        <w:rPr>
          <w:rFonts w:cs="Arial"/>
          <w:rtl/>
        </w:rPr>
        <w:t>סי</w:t>
      </w:r>
      <w:r>
        <w:rPr>
          <w:rFonts w:cs="Arial" w:hint="cs"/>
          <w:rtl/>
        </w:rPr>
        <w:t>'</w:t>
      </w:r>
      <w:r w:rsidRPr="00F32213">
        <w:rPr>
          <w:rFonts w:cs="Arial"/>
          <w:rtl/>
        </w:rPr>
        <w:t xml:space="preserve"> ח</w:t>
      </w:r>
      <w:r>
        <w:rPr>
          <w:rFonts w:cs="Arial" w:hint="cs"/>
          <w:rtl/>
        </w:rPr>
        <w:t>).</w:t>
      </w:r>
      <w:r w:rsidRPr="00F32213">
        <w:rPr>
          <w:rFonts w:cs="Arial"/>
          <w:rtl/>
        </w:rPr>
        <w:t xml:space="preserve"> וע"ל סימן קע"ח (עמ' תלט) איזה לשון הוי קינוי</w:t>
      </w:r>
      <w:r>
        <w:rPr>
          <w:rFonts w:cs="Arial" w:hint="cs"/>
          <w:rtl/>
        </w:rPr>
        <w:t xml:space="preserve">, דרכ"מ (אות יט). </w:t>
      </w:r>
      <w:r w:rsidRPr="007D286B">
        <w:rPr>
          <w:rFonts w:cs="Arial" w:hint="cs"/>
          <w:color w:val="00B0F0"/>
          <w:rtl/>
        </w:rPr>
        <w:t>(וכ"פ בהג"ה)</w:t>
      </w:r>
    </w:p>
  </w:footnote>
  <w:footnote w:id="3193">
    <w:p w14:paraId="4B31012F" w14:textId="77777777" w:rsidR="00DF1FC7" w:rsidRPr="00550EF5" w:rsidRDefault="00DF1FC7" w:rsidP="002E5BAD">
      <w:pPr>
        <w:pStyle w:val="a5"/>
        <w:rPr>
          <w:rtl/>
        </w:rPr>
      </w:pPr>
      <w:r>
        <w:rPr>
          <w:rStyle w:val="a7"/>
        </w:rPr>
        <w:footnoteRef/>
      </w:r>
      <w:r>
        <w:rPr>
          <w:rtl/>
        </w:rPr>
        <w:t xml:space="preserve"> </w:t>
      </w:r>
      <w:r>
        <w:rPr>
          <w:rFonts w:cs="Arial"/>
          <w:rtl/>
        </w:rPr>
        <w:t>חולצת ולא מתייבמת</w:t>
      </w:r>
      <w:r>
        <w:rPr>
          <w:rFonts w:hint="cs"/>
          <w:rtl/>
        </w:rPr>
        <w:t xml:space="preserve">, ב"י </w:t>
      </w:r>
      <w:r w:rsidRPr="00550EF5">
        <w:rPr>
          <w:rFonts w:hint="cs"/>
          <w:sz w:val="16"/>
          <w:szCs w:val="16"/>
          <w:rtl/>
        </w:rPr>
        <w:t>(</w:t>
      </w:r>
      <w:r>
        <w:rPr>
          <w:rFonts w:hint="cs"/>
          <w:sz w:val="16"/>
          <w:szCs w:val="16"/>
          <w:rtl/>
        </w:rPr>
        <w:t>ב</w:t>
      </w:r>
      <w:r w:rsidRPr="00550EF5">
        <w:rPr>
          <w:rFonts w:hint="cs"/>
          <w:sz w:val="16"/>
          <w:szCs w:val="16"/>
          <w:rtl/>
        </w:rPr>
        <w:t>ב"י כת</w:t>
      </w:r>
      <w:r>
        <w:rPr>
          <w:rFonts w:hint="cs"/>
          <w:sz w:val="16"/>
          <w:szCs w:val="16"/>
          <w:rtl/>
        </w:rPr>
        <w:t>ו</w:t>
      </w:r>
      <w:r w:rsidRPr="00550EF5">
        <w:rPr>
          <w:rFonts w:hint="cs"/>
          <w:sz w:val="16"/>
          <w:szCs w:val="16"/>
          <w:rtl/>
        </w:rPr>
        <w:t>ב כן כ</w:t>
      </w:r>
      <w:r>
        <w:rPr>
          <w:rFonts w:hint="cs"/>
          <w:sz w:val="16"/>
          <w:szCs w:val="16"/>
          <w:rtl/>
        </w:rPr>
        <w:t xml:space="preserve">חלק מד"ה מלשון </w:t>
      </w:r>
      <w:r w:rsidRPr="00550EF5">
        <w:rPr>
          <w:rFonts w:hint="cs"/>
          <w:sz w:val="16"/>
          <w:szCs w:val="16"/>
          <w:rtl/>
        </w:rPr>
        <w:t>הטור</w:t>
      </w:r>
      <w:r>
        <w:rPr>
          <w:rFonts w:hint="cs"/>
          <w:sz w:val="16"/>
          <w:szCs w:val="16"/>
          <w:rtl/>
        </w:rPr>
        <w:t>.</w:t>
      </w:r>
      <w:r w:rsidRPr="00550EF5">
        <w:rPr>
          <w:rFonts w:hint="cs"/>
          <w:sz w:val="16"/>
          <w:szCs w:val="16"/>
          <w:rtl/>
        </w:rPr>
        <w:t xml:space="preserve"> ולא נ"ל שהיתה כן הגירסא בטור שלפני</w:t>
      </w:r>
      <w:r>
        <w:rPr>
          <w:rFonts w:hint="cs"/>
          <w:sz w:val="16"/>
          <w:szCs w:val="16"/>
          <w:rtl/>
        </w:rPr>
        <w:t xml:space="preserve"> הב"י</w:t>
      </w:r>
      <w:r w:rsidRPr="00550EF5">
        <w:rPr>
          <w:rFonts w:hint="cs"/>
          <w:sz w:val="16"/>
          <w:szCs w:val="16"/>
          <w:rtl/>
        </w:rPr>
        <w:t>, ש</w:t>
      </w:r>
      <w:r>
        <w:rPr>
          <w:rFonts w:hint="cs"/>
          <w:sz w:val="16"/>
          <w:szCs w:val="16"/>
          <w:rtl/>
        </w:rPr>
        <w:t xml:space="preserve">א"כ יוצא שיש כפילות לא מוסברת בלשון הטור, שכתוב כך- </w:t>
      </w:r>
      <w:r w:rsidRPr="00550EF5">
        <w:rPr>
          <w:rFonts w:hint="cs"/>
          <w:sz w:val="16"/>
          <w:szCs w:val="16"/>
          <w:rtl/>
        </w:rPr>
        <w:t xml:space="preserve">'ואם מת </w:t>
      </w:r>
      <w:r w:rsidRPr="00550EF5">
        <w:rPr>
          <w:rFonts w:cs="Arial"/>
          <w:sz w:val="16"/>
          <w:szCs w:val="16"/>
          <w:rtl/>
        </w:rPr>
        <w:t>חולצת ולא מתייבמת</w:t>
      </w:r>
      <w:r w:rsidRPr="00550EF5">
        <w:rPr>
          <w:rFonts w:cs="Arial" w:hint="cs"/>
          <w:sz w:val="16"/>
          <w:szCs w:val="16"/>
          <w:rtl/>
        </w:rPr>
        <w:t>', ופעם שניה 'ואם מת קודם שישקנה'</w:t>
      </w:r>
      <w:r>
        <w:rPr>
          <w:rFonts w:cs="Arial" w:hint="cs"/>
          <w:sz w:val="16"/>
          <w:szCs w:val="16"/>
          <w:rtl/>
        </w:rPr>
        <w:t>. אלא צריך לומר שזו תוספת של הב"י על דברי הטור ע"פ המשנה, ובטעות נכנסה ההוספה באותיות המודגשות של ד"ה של טור</w:t>
      </w:r>
      <w:r w:rsidRPr="00550EF5">
        <w:rPr>
          <w:rFonts w:cs="Arial" w:hint="cs"/>
          <w:sz w:val="16"/>
          <w:szCs w:val="16"/>
          <w:rtl/>
        </w:rPr>
        <w:t>)</w:t>
      </w:r>
      <w:r>
        <w:rPr>
          <w:rFonts w:hint="cs"/>
          <w:rtl/>
        </w:rPr>
        <w:t>.</w:t>
      </w:r>
    </w:p>
  </w:footnote>
  <w:footnote w:id="3194">
    <w:p w14:paraId="32074822" w14:textId="77777777" w:rsidR="00DF1FC7" w:rsidRDefault="00DF1FC7" w:rsidP="002E5BAD">
      <w:pPr>
        <w:pStyle w:val="a5"/>
        <w:rPr>
          <w:rtl/>
        </w:rPr>
      </w:pPr>
      <w:r>
        <w:rPr>
          <w:rStyle w:val="a7"/>
        </w:rPr>
        <w:footnoteRef/>
      </w:r>
      <w:r>
        <w:rPr>
          <w:rtl/>
        </w:rPr>
        <w:t xml:space="preserve"> </w:t>
      </w:r>
      <w:r>
        <w:rPr>
          <w:rFonts w:cs="Arial"/>
          <w:rtl/>
        </w:rPr>
        <w:t>היינו משום דלא תימא כיון שהוא גרם לה שקינא לה לא היה להפסיד כתובה</w:t>
      </w:r>
      <w:r>
        <w:rPr>
          <w:rFonts w:cs="Arial" w:hint="cs"/>
          <w:rtl/>
        </w:rPr>
        <w:t>,</w:t>
      </w:r>
      <w:r>
        <w:rPr>
          <w:rFonts w:cs="Arial"/>
          <w:rtl/>
        </w:rPr>
        <w:t xml:space="preserve"> לכך אמר לא כי אלא מעשיה הרעים גרמו לה שנסתרה</w:t>
      </w:r>
      <w:r>
        <w:rPr>
          <w:rFonts w:hint="cs"/>
          <w:rtl/>
        </w:rPr>
        <w:t>, ב"י.</w:t>
      </w:r>
    </w:p>
  </w:footnote>
  <w:footnote w:id="3195">
    <w:p w14:paraId="5C6714F2" w14:textId="77777777" w:rsidR="00DF1FC7" w:rsidRDefault="00DF1FC7" w:rsidP="002E5BAD">
      <w:pPr>
        <w:pStyle w:val="a5"/>
      </w:pPr>
      <w:r>
        <w:rPr>
          <w:rStyle w:val="a7"/>
        </w:rPr>
        <w:footnoteRef/>
      </w:r>
      <w:r>
        <w:rPr>
          <w:rtl/>
        </w:rPr>
        <w:t xml:space="preserve"> </w:t>
      </w:r>
      <w:r w:rsidRPr="00E71CDE">
        <w:rPr>
          <w:rFonts w:cs="Arial"/>
          <w:rtl/>
        </w:rPr>
        <w:t>כיון דהיא גרמה לאסור עליו ומשמע אפילו הנדוניא ונ"מ הפסידה כל דבר שאינו בעין כמ"ש בסעיף ה'. גם כתבתי לעיל דהיא עוברת ע"ד כשנתיחדה עם א' דיחוד מן התורה אסור א"כ אפילו אם לא זנתה מ"מ היא עוברת ע"ד</w:t>
      </w:r>
      <w:r>
        <w:rPr>
          <w:rFonts w:cs="Arial" w:hint="cs"/>
          <w:rtl/>
        </w:rPr>
        <w:t>.</w:t>
      </w:r>
      <w:r w:rsidRPr="00E71CDE">
        <w:rPr>
          <w:rFonts w:cs="Arial"/>
          <w:rtl/>
        </w:rPr>
        <w:t xml:space="preserve"> ועיין ב"י שכתב אבל נדוניא לא הפסידה דהוי כמו חוב בעלמא</w:t>
      </w:r>
      <w:r>
        <w:rPr>
          <w:rFonts w:cs="Arial" w:hint="cs"/>
          <w:rtl/>
        </w:rPr>
        <w:t>.</w:t>
      </w:r>
      <w:r w:rsidRPr="00E71CDE">
        <w:rPr>
          <w:rFonts w:cs="Arial"/>
          <w:rtl/>
        </w:rPr>
        <w:t xml:space="preserve"> משמע אפי' אינו בעין קאמר דלא הפסיד'</w:t>
      </w:r>
      <w:r>
        <w:rPr>
          <w:rFonts w:cs="Arial" w:hint="cs"/>
          <w:rtl/>
        </w:rPr>
        <w:t>,</w:t>
      </w:r>
      <w:r w:rsidRPr="00E71CDE">
        <w:rPr>
          <w:rFonts w:cs="Arial"/>
          <w:rtl/>
        </w:rPr>
        <w:t xml:space="preserve"> וליתא כי כל דבר שאינו בעין הפסידה</w:t>
      </w:r>
      <w:r>
        <w:rPr>
          <w:rFonts w:cs="Arial" w:hint="cs"/>
          <w:rtl/>
        </w:rPr>
        <w:t xml:space="preserve">, ב"ש </w:t>
      </w:r>
      <w:r w:rsidRPr="00E71CDE">
        <w:rPr>
          <w:rFonts w:cs="Arial" w:hint="cs"/>
          <w:sz w:val="16"/>
          <w:szCs w:val="16"/>
          <w:rtl/>
        </w:rPr>
        <w:t>(סקל"ד)</w:t>
      </w:r>
      <w:r>
        <w:rPr>
          <w:rFonts w:cs="Arial" w:hint="cs"/>
          <w:rtl/>
        </w:rPr>
        <w:t>.</w:t>
      </w:r>
    </w:p>
  </w:footnote>
  <w:footnote w:id="3196">
    <w:p w14:paraId="799B6486" w14:textId="77777777" w:rsidR="00DF1FC7" w:rsidRDefault="00DF1FC7" w:rsidP="002E5BAD">
      <w:pPr>
        <w:pStyle w:val="a5"/>
        <w:rPr>
          <w:rtl/>
        </w:rPr>
      </w:pPr>
      <w:r>
        <w:rPr>
          <w:rStyle w:val="a7"/>
        </w:rPr>
        <w:footnoteRef/>
      </w:r>
      <w:r>
        <w:rPr>
          <w:rtl/>
        </w:rPr>
        <w:t xml:space="preserve"> </w:t>
      </w:r>
      <w:r w:rsidRPr="00E069A0">
        <w:rPr>
          <w:rFonts w:cs="Arial"/>
          <w:rtl/>
        </w:rPr>
        <w:t>הכל פשוט על פי מה שנתבאר דכל שראה אותה שזנתה יוציא</w:t>
      </w:r>
      <w:r>
        <w:rPr>
          <w:rFonts w:cs="Arial" w:hint="cs"/>
          <w:rtl/>
        </w:rPr>
        <w:t>,</w:t>
      </w:r>
      <w:r w:rsidRPr="00E069A0">
        <w:rPr>
          <w:rFonts w:cs="Arial"/>
          <w:rtl/>
        </w:rPr>
        <w:t xml:space="preserve"> ויתן כתובה אחר שישביעוה</w:t>
      </w:r>
      <w:r>
        <w:rPr>
          <w:rFonts w:cs="Arial" w:hint="cs"/>
          <w:rtl/>
        </w:rPr>
        <w:t>.</w:t>
      </w:r>
      <w:r w:rsidRPr="00E069A0">
        <w:rPr>
          <w:rFonts w:cs="Arial"/>
          <w:rtl/>
        </w:rPr>
        <w:t xml:space="preserve"> ואם הודית תצא בלא כתובה</w:t>
      </w:r>
      <w:r>
        <w:rPr>
          <w:rFonts w:cs="Arial" w:hint="cs"/>
          <w:rtl/>
        </w:rPr>
        <w:t>.</w:t>
      </w:r>
      <w:r w:rsidRPr="00E069A0">
        <w:rPr>
          <w:rFonts w:cs="Arial"/>
          <w:rtl/>
        </w:rPr>
        <w:t xml:space="preserve"> וכל שנסתרה אחר קינוי ושהתה כדי טומאה </w:t>
      </w:r>
      <w:r>
        <w:rPr>
          <w:rFonts w:cs="Arial" w:hint="cs"/>
          <w:rtl/>
        </w:rPr>
        <w:t xml:space="preserve">- </w:t>
      </w:r>
      <w:r w:rsidRPr="00E069A0">
        <w:rPr>
          <w:rFonts w:cs="Arial"/>
          <w:rtl/>
        </w:rPr>
        <w:t>חשיב כזינתה</w:t>
      </w:r>
      <w:r>
        <w:rPr>
          <w:rFonts w:cs="Arial" w:hint="cs"/>
          <w:rtl/>
        </w:rPr>
        <w:t xml:space="preserve">, ב"י. </w:t>
      </w:r>
      <w:r w:rsidRPr="00E069A0">
        <w:rPr>
          <w:rFonts w:cs="Arial"/>
          <w:rtl/>
        </w:rPr>
        <w:t xml:space="preserve">וכ"כ מהרי"ו </w:t>
      </w:r>
      <w:r>
        <w:rPr>
          <w:rFonts w:cs="Arial" w:hint="cs"/>
          <w:rtl/>
        </w:rPr>
        <w:t>(</w:t>
      </w:r>
      <w:r w:rsidRPr="00E069A0">
        <w:rPr>
          <w:rFonts w:cs="Arial"/>
          <w:rtl/>
        </w:rPr>
        <w:t>סי</w:t>
      </w:r>
      <w:r>
        <w:rPr>
          <w:rFonts w:cs="Arial" w:hint="cs"/>
          <w:rtl/>
        </w:rPr>
        <w:t>'</w:t>
      </w:r>
      <w:r w:rsidRPr="00E069A0">
        <w:rPr>
          <w:rFonts w:cs="Arial"/>
          <w:rtl/>
        </w:rPr>
        <w:t xml:space="preserve"> ח</w:t>
      </w:r>
      <w:r>
        <w:rPr>
          <w:rFonts w:cs="Arial" w:hint="cs"/>
          <w:rtl/>
        </w:rPr>
        <w:t>).</w:t>
      </w:r>
      <w:r w:rsidRPr="00E069A0">
        <w:rPr>
          <w:rFonts w:cs="Arial"/>
          <w:rtl/>
        </w:rPr>
        <w:t xml:space="preserve"> וכתב </w:t>
      </w:r>
      <w:r>
        <w:rPr>
          <w:rFonts w:cs="Arial" w:hint="cs"/>
          <w:rtl/>
        </w:rPr>
        <w:t xml:space="preserve">עוד </w:t>
      </w:r>
      <w:r w:rsidRPr="00E069A0">
        <w:rPr>
          <w:rFonts w:cs="Arial"/>
          <w:rtl/>
        </w:rPr>
        <w:t>דאם אחד מעיד על הסתירה הוי דינו כאילו מעיד על הזנות וכן משמע מדברי הרמב"ם פ"א מהלכות סוטה (ה"ט) ויתבאר לקמן סימן קע"ח,</w:t>
      </w:r>
      <w:r>
        <w:rPr>
          <w:rFonts w:cs="Arial" w:hint="cs"/>
          <w:rtl/>
        </w:rPr>
        <w:t xml:space="preserve"> דרכ"מ (אות כ).</w:t>
      </w:r>
    </w:p>
  </w:footnote>
  <w:footnote w:id="3197">
    <w:p w14:paraId="596C5600" w14:textId="77777777" w:rsidR="00DF1FC7" w:rsidRDefault="00DF1FC7" w:rsidP="002E5BAD">
      <w:pPr>
        <w:pStyle w:val="a5"/>
      </w:pPr>
      <w:r>
        <w:rPr>
          <w:rStyle w:val="a7"/>
        </w:rPr>
        <w:footnoteRef/>
      </w:r>
      <w:r>
        <w:rPr>
          <w:rtl/>
        </w:rPr>
        <w:t xml:space="preserve"> </w:t>
      </w:r>
      <w:r w:rsidRPr="0040788E">
        <w:rPr>
          <w:rFonts w:cs="Arial"/>
          <w:rtl/>
        </w:rPr>
        <w:t>הרמב"ם כ' אסורה עליו בזמן הזה שאין שם מי סוטה כלו' דאלו בזמן הבית אף שאין משקין אא"כ קינא בפני שנים ונסתרה בפני שנים מ"מ בזמן הבית הי' אפשר לה לעשות תקנה שיקנה לה שנית בפני שנים והיא תסתיר עצמה בפני עדי' ויגלגל עליה גם סתירה ראשונה ותשתרי מי המרים ותהי' טהורה לבעלה אבל בזמן הזה אין לה תקנה אף שאין עדים בסתירה ראיה שלו כמא' עדים דמי לענין לאוסרה עליו וכן אם היא תודה בסתירה הודאתה כמאה עדים לענין הפסד כתובתה</w:t>
      </w:r>
      <w:r>
        <w:rPr>
          <w:rFonts w:cs="Arial" w:hint="cs"/>
          <w:rtl/>
        </w:rPr>
        <w:t>, ח"מ (סקל"ד).</w:t>
      </w:r>
    </w:p>
  </w:footnote>
  <w:footnote w:id="3198">
    <w:p w14:paraId="2C2C1871" w14:textId="77777777" w:rsidR="00DF1FC7" w:rsidRDefault="00DF1FC7" w:rsidP="002E5BAD">
      <w:pPr>
        <w:pStyle w:val="a5"/>
      </w:pPr>
      <w:r>
        <w:rPr>
          <w:rStyle w:val="a7"/>
        </w:rPr>
        <w:footnoteRef/>
      </w:r>
      <w:r>
        <w:rPr>
          <w:rtl/>
        </w:rPr>
        <w:t xml:space="preserve"> </w:t>
      </w:r>
      <w:r w:rsidRPr="00CD59F2">
        <w:rPr>
          <w:rFonts w:cs="Arial"/>
          <w:rtl/>
        </w:rPr>
        <w:t xml:space="preserve">מ"מ אין ב"ד כופין על זה </w:t>
      </w:r>
      <w:r w:rsidRPr="00CD59F2">
        <w:rPr>
          <w:rFonts w:cs="Arial" w:hint="cs"/>
          <w:sz w:val="16"/>
          <w:szCs w:val="16"/>
          <w:rtl/>
        </w:rPr>
        <w:t>(</w:t>
      </w:r>
      <w:r w:rsidRPr="00CD59F2">
        <w:rPr>
          <w:rFonts w:cs="Arial"/>
          <w:sz w:val="16"/>
          <w:szCs w:val="16"/>
          <w:rtl/>
        </w:rPr>
        <w:t>אפי' לדברי הב"ש ר"ס י"א שחולק על רי"ו וסובר דבקנוי וסתירה כופין לגרשה מ"מ היינו בקינוי עפ"י שנים אבל ע"פ עצמו אין כופין</w:t>
      </w:r>
      <w:r>
        <w:rPr>
          <w:rFonts w:cs="Arial" w:hint="cs"/>
          <w:sz w:val="16"/>
          <w:szCs w:val="16"/>
          <w:rtl/>
        </w:rPr>
        <w:t>)</w:t>
      </w:r>
      <w:r>
        <w:rPr>
          <w:rFonts w:cs="Arial" w:hint="cs"/>
          <w:rtl/>
        </w:rPr>
        <w:t>..., פת"ש (סי' קעח סקט"ו).</w:t>
      </w:r>
    </w:p>
  </w:footnote>
  <w:footnote w:id="3199">
    <w:p w14:paraId="32B263BE" w14:textId="77777777" w:rsidR="00DF1FC7" w:rsidRDefault="00DF1FC7" w:rsidP="002E5BAD">
      <w:pPr>
        <w:pStyle w:val="a5"/>
        <w:rPr>
          <w:rtl/>
        </w:rPr>
      </w:pPr>
      <w:r>
        <w:rPr>
          <w:rStyle w:val="a7"/>
        </w:rPr>
        <w:footnoteRef/>
      </w:r>
      <w:r>
        <w:rPr>
          <w:rtl/>
        </w:rPr>
        <w:t xml:space="preserve"> </w:t>
      </w:r>
      <w:r w:rsidRPr="00566854">
        <w:rPr>
          <w:rFonts w:cs="Arial"/>
          <w:rtl/>
        </w:rPr>
        <w:t>כבר כתבתי בס"ק ל' שהמ"מ מגמג' בשבועות אלו ואין זה דומה לטענת פרעון שיכול להשביע' קודם שתטול</w:t>
      </w:r>
      <w:r>
        <w:rPr>
          <w:rFonts w:hint="cs"/>
          <w:rtl/>
        </w:rPr>
        <w:t>, ח"מ (סקל"ה).</w:t>
      </w:r>
    </w:p>
  </w:footnote>
  <w:footnote w:id="3200">
    <w:p w14:paraId="00A94ED0" w14:textId="77777777" w:rsidR="00DF1FC7" w:rsidRDefault="00DF1FC7" w:rsidP="002E5BAD">
      <w:pPr>
        <w:pStyle w:val="a5"/>
      </w:pPr>
      <w:r>
        <w:rPr>
          <w:rStyle w:val="a7"/>
        </w:rPr>
        <w:footnoteRef/>
      </w:r>
      <w:r>
        <w:rPr>
          <w:rtl/>
        </w:rPr>
        <w:t xml:space="preserve"> </w:t>
      </w:r>
      <w:r>
        <w:rPr>
          <w:rFonts w:cs="Arial"/>
          <w:rtl/>
        </w:rPr>
        <w:t>וטעמא משום דפלוגתא דרבי אליעזר ורבי יהושע היא בפ"ק דסוטה (ב.) והלכה כרבי יהושע דאמר מקנא לה ע"פ שנים ומשקה לה ע"פ שנים</w:t>
      </w:r>
      <w:r>
        <w:rPr>
          <w:rFonts w:cs="Arial" w:hint="cs"/>
          <w:rtl/>
        </w:rPr>
        <w:t>, ב"י.</w:t>
      </w:r>
    </w:p>
  </w:footnote>
  <w:footnote w:id="3201">
    <w:p w14:paraId="7A412C6B" w14:textId="77777777" w:rsidR="00DF1FC7" w:rsidRDefault="00DF1FC7" w:rsidP="002E5BAD">
      <w:pPr>
        <w:pStyle w:val="a5"/>
        <w:rPr>
          <w:rtl/>
        </w:rPr>
      </w:pPr>
      <w:r>
        <w:rPr>
          <w:rStyle w:val="a7"/>
        </w:rPr>
        <w:footnoteRef/>
      </w:r>
      <w:r>
        <w:rPr>
          <w:rtl/>
        </w:rPr>
        <w:t xml:space="preserve"> </w:t>
      </w:r>
      <w:r>
        <w:rPr>
          <w:rFonts w:cs="Arial"/>
          <w:rtl/>
        </w:rPr>
        <w:t>הוא ממה שנתבאר לעיל בסימן זה דעוברת על דת צריכה התראה להפסיד כתובתה</w:t>
      </w:r>
      <w:r>
        <w:rPr>
          <w:rFonts w:hint="cs"/>
          <w:rtl/>
        </w:rPr>
        <w:t>, ב"י.</w:t>
      </w:r>
    </w:p>
  </w:footnote>
  <w:footnote w:id="3202">
    <w:p w14:paraId="3152012E" w14:textId="77777777" w:rsidR="00DF1FC7" w:rsidRDefault="00DF1FC7" w:rsidP="002E5BAD">
      <w:pPr>
        <w:pStyle w:val="a5"/>
      </w:pPr>
      <w:r>
        <w:rPr>
          <w:rStyle w:val="a7"/>
        </w:rPr>
        <w:footnoteRef/>
      </w:r>
      <w:r>
        <w:rPr>
          <w:rtl/>
        </w:rPr>
        <w:t xml:space="preserve"> </w:t>
      </w:r>
      <w:r w:rsidRPr="00F9568D">
        <w:rPr>
          <w:rFonts w:cs="Arial"/>
          <w:rtl/>
        </w:rPr>
        <w:t>כלומר אע</w:t>
      </w:r>
      <w:r>
        <w:rPr>
          <w:rFonts w:cs="Arial" w:hint="cs"/>
          <w:rtl/>
        </w:rPr>
        <w:t>"</w:t>
      </w:r>
      <w:r w:rsidRPr="00F9568D">
        <w:rPr>
          <w:rFonts w:cs="Arial"/>
          <w:rtl/>
        </w:rPr>
        <w:t>ג דאין קינוי רק על סתירה אבל אם קינא לה שלא תדברי עם פלוני ודברה או אפי' נסתרה אין זה קינוי מ"מ הכא שהשביעה על הדבור עברה על שבועתה דלא גרעה מנודרת ואינה מקיימת כ"כ הרא"ש בתשו</w:t>
      </w:r>
      <w:r>
        <w:rPr>
          <w:rFonts w:cs="Arial" w:hint="cs"/>
          <w:rtl/>
        </w:rPr>
        <w:t>', ח"מ (סקל"ו).</w:t>
      </w:r>
      <w:r w:rsidRPr="00F9568D">
        <w:rPr>
          <w:rFonts w:cs="Arial"/>
          <w:rtl/>
        </w:rPr>
        <w:t xml:space="preserve"> </w:t>
      </w:r>
      <w:r>
        <w:rPr>
          <w:rFonts w:cs="Arial" w:hint="cs"/>
          <w:rtl/>
        </w:rPr>
        <w:t>ועוד כתב שם הח"מ ד</w:t>
      </w:r>
      <w:r w:rsidRPr="00F9568D">
        <w:rPr>
          <w:rFonts w:cs="Arial"/>
          <w:rtl/>
        </w:rPr>
        <w:t>נראה אף אם גם הוא נודר ואינו מקיים</w:t>
      </w:r>
      <w:r>
        <w:rPr>
          <w:rFonts w:cs="Arial" w:hint="cs"/>
          <w:rtl/>
        </w:rPr>
        <w:t>,</w:t>
      </w:r>
      <w:r w:rsidRPr="00F9568D">
        <w:rPr>
          <w:rFonts w:cs="Arial"/>
          <w:rtl/>
        </w:rPr>
        <w:t xml:space="preserve"> דמטעם נדר ושבועה לא הפסידה כתובתה</w:t>
      </w:r>
      <w:r>
        <w:rPr>
          <w:rFonts w:cs="Arial" w:hint="cs"/>
          <w:rtl/>
        </w:rPr>
        <w:t xml:space="preserve"> -</w:t>
      </w:r>
      <w:r w:rsidRPr="00F9568D">
        <w:rPr>
          <w:rFonts w:cs="Arial"/>
          <w:rtl/>
        </w:rPr>
        <w:t xml:space="preserve"> אבל מ"מ היא בכלל מדברת עם כל אדם</w:t>
      </w:r>
      <w:r>
        <w:rPr>
          <w:rFonts w:cs="Arial" w:hint="cs"/>
          <w:rtl/>
        </w:rPr>
        <w:t>,</w:t>
      </w:r>
      <w:r w:rsidRPr="00F9568D">
        <w:rPr>
          <w:rFonts w:cs="Arial"/>
          <w:rtl/>
        </w:rPr>
        <w:t xml:space="preserve"> מאחר שבעלה מקפיד על כך והשביעה</w:t>
      </w:r>
      <w:r>
        <w:rPr>
          <w:rFonts w:cs="Arial" w:hint="cs"/>
          <w:rtl/>
        </w:rPr>
        <w:t>,</w:t>
      </w:r>
      <w:r w:rsidRPr="00F9568D">
        <w:rPr>
          <w:rFonts w:cs="Arial"/>
          <w:rtl/>
        </w:rPr>
        <w:t xml:space="preserve"> דלא עדיפא מההיא דאמרה עלם הב לי פלך (הובא לעיל סקי"ב)</w:t>
      </w:r>
      <w:r>
        <w:rPr>
          <w:rFonts w:cs="Arial" w:hint="cs"/>
          <w:rtl/>
        </w:rPr>
        <w:t>. עכ"ל. וכתב הב"ש (סקל"ז) ש</w:t>
      </w:r>
      <w:r w:rsidRPr="00F9568D">
        <w:rPr>
          <w:rFonts w:cs="Arial"/>
          <w:rtl/>
        </w:rPr>
        <w:t>אין דבריו מוכרחים</w:t>
      </w:r>
      <w:r>
        <w:rPr>
          <w:rFonts w:cs="Arial" w:hint="cs"/>
          <w:rtl/>
        </w:rPr>
        <w:t>.</w:t>
      </w:r>
    </w:p>
  </w:footnote>
  <w:footnote w:id="3203">
    <w:p w14:paraId="32040DEA" w14:textId="77777777" w:rsidR="00DF1FC7" w:rsidRDefault="00DF1FC7" w:rsidP="002E5BAD">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3204">
    <w:p w14:paraId="6096996E" w14:textId="77777777" w:rsidR="00DF1FC7" w:rsidRDefault="00DF1FC7" w:rsidP="002E5BAD">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3205">
    <w:p w14:paraId="0C88FF7C" w14:textId="77777777" w:rsidR="00DF1FC7" w:rsidRDefault="00DF1FC7" w:rsidP="002E5BAD">
      <w:pPr>
        <w:pStyle w:val="a5"/>
        <w:rPr>
          <w:rtl/>
        </w:rPr>
      </w:pPr>
      <w:r>
        <w:rPr>
          <w:rStyle w:val="a7"/>
        </w:rPr>
        <w:footnoteRef/>
      </w:r>
      <w:r>
        <w:rPr>
          <w:rtl/>
        </w:rPr>
        <w:t xml:space="preserve"> </w:t>
      </w:r>
      <w:r w:rsidRPr="005F6F5A">
        <w:rPr>
          <w:rFonts w:cs="Arial"/>
          <w:rtl/>
        </w:rPr>
        <w:t>יש לה כתובה מפני שהיא פסולה וולדה פסול על ידי נשואין לפיכך אינה מרגילתו אלא הוא מרגילה ומשדלה לינשא לו לפיכך קנסו אותו ליתן כתובה</w:t>
      </w:r>
      <w:r>
        <w:rPr>
          <w:rFonts w:hint="cs"/>
          <w:rtl/>
        </w:rPr>
        <w:t>, רש"י.</w:t>
      </w:r>
    </w:p>
  </w:footnote>
  <w:footnote w:id="3206">
    <w:p w14:paraId="7EBDE872" w14:textId="77777777" w:rsidR="00DF1FC7" w:rsidRDefault="00DF1FC7" w:rsidP="002E5BAD">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p>
  </w:footnote>
  <w:footnote w:id="3207">
    <w:p w14:paraId="568B6AA7" w14:textId="77777777" w:rsidR="00DF1FC7" w:rsidRDefault="00DF1FC7" w:rsidP="002E5BAD">
      <w:pPr>
        <w:pStyle w:val="a5"/>
      </w:pPr>
      <w:r>
        <w:rPr>
          <w:rStyle w:val="a7"/>
        </w:rPr>
        <w:footnoteRef/>
      </w:r>
      <w:r>
        <w:rPr>
          <w:rtl/>
        </w:rPr>
        <w:t xml:space="preserve"> </w:t>
      </w:r>
      <w:r w:rsidRPr="00CC0F51">
        <w:rPr>
          <w:rFonts w:cs="Arial"/>
          <w:rtl/>
        </w:rPr>
        <w:t>פעמים היא כאשתו פעמים אינה כאשתו</w:t>
      </w:r>
      <w:r>
        <w:rPr>
          <w:rFonts w:cs="Arial" w:hint="cs"/>
          <w:rtl/>
        </w:rPr>
        <w:t>, רש"י.</w:t>
      </w:r>
    </w:p>
  </w:footnote>
  <w:footnote w:id="3208">
    <w:p w14:paraId="3D8771A5" w14:textId="77777777" w:rsidR="00DF1FC7" w:rsidRDefault="00DF1FC7" w:rsidP="002E5BAD">
      <w:pPr>
        <w:pStyle w:val="a5"/>
      </w:pPr>
      <w:r>
        <w:rPr>
          <w:rStyle w:val="a7"/>
        </w:rPr>
        <w:footnoteRef/>
      </w:r>
      <w:r>
        <w:rPr>
          <w:rtl/>
        </w:rPr>
        <w:t xml:space="preserve"> </w:t>
      </w:r>
      <w:r w:rsidRPr="00FD4332">
        <w:rPr>
          <w:rFonts w:cs="Arial"/>
          <w:rtl/>
        </w:rPr>
        <w:t>לכ"ג</w:t>
      </w:r>
      <w:r>
        <w:rPr>
          <w:rFonts w:cs="Arial" w:hint="cs"/>
          <w:rtl/>
        </w:rPr>
        <w:t>, רש"י.</w:t>
      </w:r>
    </w:p>
  </w:footnote>
  <w:footnote w:id="3209">
    <w:p w14:paraId="101F8CC7" w14:textId="77777777" w:rsidR="00DF1FC7" w:rsidRDefault="00DF1FC7" w:rsidP="002E5BAD">
      <w:pPr>
        <w:pStyle w:val="a5"/>
      </w:pPr>
      <w:r>
        <w:rPr>
          <w:rStyle w:val="a7"/>
        </w:rPr>
        <w:footnoteRef/>
      </w:r>
      <w:r>
        <w:rPr>
          <w:rtl/>
        </w:rPr>
        <w:t xml:space="preserve"> </w:t>
      </w:r>
      <w:r w:rsidRPr="00CC0F51">
        <w:rPr>
          <w:rFonts w:cs="Arial"/>
          <w:rtl/>
        </w:rPr>
        <w:t>שהודיעתו שהיא אלמנה</w:t>
      </w:r>
      <w:r>
        <w:rPr>
          <w:rFonts w:cs="Arial" w:hint="cs"/>
          <w:rtl/>
        </w:rPr>
        <w:t>, רש"י.</w:t>
      </w:r>
    </w:p>
  </w:footnote>
  <w:footnote w:id="3210">
    <w:p w14:paraId="25686CDC" w14:textId="77777777" w:rsidR="00DF1FC7" w:rsidRDefault="00DF1FC7" w:rsidP="002E5BAD">
      <w:pPr>
        <w:pStyle w:val="a5"/>
      </w:pPr>
      <w:r>
        <w:rPr>
          <w:rStyle w:val="a7"/>
        </w:rPr>
        <w:footnoteRef/>
      </w:r>
      <w:r>
        <w:rPr>
          <w:rtl/>
        </w:rPr>
        <w:t xml:space="preserve"> </w:t>
      </w:r>
      <w:r w:rsidRPr="00CC0F51">
        <w:rPr>
          <w:rFonts w:cs="Arial"/>
          <w:rtl/>
        </w:rPr>
        <w:t>הוה ליה לא הכיר בה</w:t>
      </w:r>
      <w:r>
        <w:rPr>
          <w:rFonts w:cs="Arial" w:hint="cs"/>
          <w:rtl/>
        </w:rPr>
        <w:t>, רש"י.</w:t>
      </w:r>
    </w:p>
  </w:footnote>
  <w:footnote w:id="3211">
    <w:p w14:paraId="32250119" w14:textId="77777777" w:rsidR="00DF1FC7" w:rsidRDefault="00DF1FC7" w:rsidP="002E5BAD">
      <w:pPr>
        <w:pStyle w:val="a5"/>
      </w:pPr>
      <w:r>
        <w:rPr>
          <w:rStyle w:val="a7"/>
        </w:rPr>
        <w:footnoteRef/>
      </w:r>
      <w:r>
        <w:rPr>
          <w:rtl/>
        </w:rPr>
        <w:t xml:space="preserve"> </w:t>
      </w:r>
      <w:r w:rsidRPr="00CC0F51">
        <w:rPr>
          <w:rFonts w:cs="Arial"/>
          <w:rtl/>
        </w:rPr>
        <w:t>תיובתא דרב הונא</w:t>
      </w:r>
      <w:r>
        <w:rPr>
          <w:rFonts w:cs="Arial" w:hint="cs"/>
          <w:rtl/>
        </w:rPr>
        <w:t>, רש"י.</w:t>
      </w:r>
    </w:p>
  </w:footnote>
  <w:footnote w:id="3212">
    <w:p w14:paraId="50A7F95E" w14:textId="77777777" w:rsidR="00DF1FC7" w:rsidRDefault="00DF1FC7" w:rsidP="002E5BAD">
      <w:pPr>
        <w:pStyle w:val="a5"/>
      </w:pPr>
      <w:r>
        <w:rPr>
          <w:rStyle w:val="a7"/>
        </w:rPr>
        <w:footnoteRef/>
      </w:r>
      <w:r>
        <w:rPr>
          <w:rtl/>
        </w:rPr>
        <w:t xml:space="preserve"> </w:t>
      </w:r>
      <w:r w:rsidRPr="00CC0F51">
        <w:rPr>
          <w:rFonts w:cs="Arial"/>
          <w:rtl/>
        </w:rPr>
        <w:t>שהטעתו ואמרה לו לא נתקדשתי לאדם מעולם</w:t>
      </w:r>
      <w:r>
        <w:rPr>
          <w:rFonts w:cs="Arial" w:hint="cs"/>
          <w:rtl/>
        </w:rPr>
        <w:t>, רש"י.</w:t>
      </w:r>
    </w:p>
  </w:footnote>
  <w:footnote w:id="3213">
    <w:p w14:paraId="57166A75" w14:textId="77777777" w:rsidR="00DF1FC7" w:rsidRDefault="00DF1FC7" w:rsidP="002E5BAD">
      <w:pPr>
        <w:pStyle w:val="a5"/>
      </w:pPr>
      <w:r>
        <w:rPr>
          <w:rStyle w:val="a7"/>
        </w:rPr>
        <w:footnoteRef/>
      </w:r>
      <w:r>
        <w:rPr>
          <w:rtl/>
        </w:rPr>
        <w:t xml:space="preserve"> </w:t>
      </w:r>
      <w:r w:rsidRPr="00CC0F51">
        <w:rPr>
          <w:rFonts w:cs="Arial"/>
          <w:rtl/>
        </w:rPr>
        <w:t>שלא התנה עמה ומיהו לא הכיר בה יש לה</w:t>
      </w:r>
      <w:r>
        <w:rPr>
          <w:rFonts w:cs="Arial" w:hint="cs"/>
          <w:rtl/>
        </w:rPr>
        <w:t>, רש"י.</w:t>
      </w:r>
    </w:p>
  </w:footnote>
  <w:footnote w:id="3214">
    <w:p w14:paraId="11FEE625" w14:textId="77777777" w:rsidR="00DF1FC7" w:rsidRDefault="00DF1FC7" w:rsidP="002E5BAD">
      <w:pPr>
        <w:pStyle w:val="a5"/>
      </w:pPr>
      <w:r>
        <w:rPr>
          <w:rStyle w:val="a7"/>
        </w:rPr>
        <w:footnoteRef/>
      </w:r>
      <w:r>
        <w:rPr>
          <w:rtl/>
        </w:rPr>
        <w:t xml:space="preserve"> </w:t>
      </w:r>
      <w:r w:rsidRPr="00CC0F51">
        <w:rPr>
          <w:rFonts w:cs="Arial"/>
          <w:rtl/>
        </w:rPr>
        <w:t>שהיא אלמנה</w:t>
      </w:r>
      <w:r>
        <w:rPr>
          <w:rFonts w:cs="Arial" w:hint="cs"/>
          <w:rtl/>
        </w:rPr>
        <w:t>, רש"י.</w:t>
      </w:r>
    </w:p>
  </w:footnote>
  <w:footnote w:id="3215">
    <w:p w14:paraId="7ACFD289" w14:textId="77777777" w:rsidR="00DF1FC7" w:rsidRDefault="00DF1FC7" w:rsidP="002E5BAD">
      <w:pPr>
        <w:pStyle w:val="a5"/>
      </w:pPr>
      <w:r>
        <w:rPr>
          <w:rStyle w:val="a7"/>
        </w:rPr>
        <w:footnoteRef/>
      </w:r>
      <w:r>
        <w:rPr>
          <w:rtl/>
        </w:rPr>
        <w:t xml:space="preserve"> </w:t>
      </w:r>
      <w:r w:rsidRPr="00CC0F51">
        <w:rPr>
          <w:rFonts w:cs="Arial"/>
          <w:rtl/>
        </w:rPr>
        <w:t>דאם מתחלה נשאה לשם איילונית יש לה</w:t>
      </w:r>
      <w:r>
        <w:rPr>
          <w:rFonts w:cs="Arial" w:hint="cs"/>
          <w:rtl/>
        </w:rPr>
        <w:t>, רש"י.</w:t>
      </w:r>
    </w:p>
  </w:footnote>
  <w:footnote w:id="3216">
    <w:p w14:paraId="11CCBB59" w14:textId="77777777" w:rsidR="00DF1FC7" w:rsidRDefault="00DF1FC7" w:rsidP="002E5BAD">
      <w:pPr>
        <w:pStyle w:val="a5"/>
      </w:pPr>
      <w:r>
        <w:rPr>
          <w:rStyle w:val="a7"/>
        </w:rPr>
        <w:footnoteRef/>
      </w:r>
      <w:r>
        <w:rPr>
          <w:rtl/>
        </w:rPr>
        <w:t xml:space="preserve"> </w:t>
      </w:r>
      <w:r w:rsidRPr="00CC0F51">
        <w:rPr>
          <w:rFonts w:cs="Arial"/>
          <w:rtl/>
        </w:rPr>
        <w:t>וקאמר יש לה כתובה</w:t>
      </w:r>
      <w:r>
        <w:rPr>
          <w:rFonts w:cs="Arial" w:hint="cs"/>
          <w:rtl/>
        </w:rPr>
        <w:t>, רש"י.</w:t>
      </w:r>
    </w:p>
  </w:footnote>
  <w:footnote w:id="3217">
    <w:p w14:paraId="763BF642" w14:textId="77777777" w:rsidR="00DF1FC7" w:rsidRDefault="00DF1FC7" w:rsidP="002E5BAD">
      <w:pPr>
        <w:pStyle w:val="a5"/>
      </w:pPr>
      <w:r>
        <w:rPr>
          <w:rStyle w:val="a7"/>
        </w:rPr>
        <w:footnoteRef/>
      </w:r>
      <w:r>
        <w:rPr>
          <w:rtl/>
        </w:rPr>
        <w:t xml:space="preserve"> </w:t>
      </w:r>
      <w:r w:rsidRPr="00CC0F51">
        <w:rPr>
          <w:rFonts w:cs="Arial"/>
          <w:rtl/>
        </w:rPr>
        <w:t>לאחר שחילק באיילונית ופירש הכיר בה יש לה כתובה שנאה לאלמנה אצלה וקאמר אף אלמנה נמי שהכיר בה ונשאה לשם אלמנה יש לה כתובה</w:t>
      </w:r>
      <w:r>
        <w:rPr>
          <w:rFonts w:cs="Arial" w:hint="cs"/>
          <w:rtl/>
        </w:rPr>
        <w:t>, רש"י.</w:t>
      </w:r>
    </w:p>
  </w:footnote>
  <w:footnote w:id="3218">
    <w:p w14:paraId="75633344" w14:textId="77777777" w:rsidR="00DF1FC7" w:rsidRDefault="00DF1FC7" w:rsidP="002E5BAD">
      <w:pPr>
        <w:pStyle w:val="a5"/>
      </w:pPr>
      <w:r>
        <w:rPr>
          <w:rStyle w:val="a7"/>
        </w:rPr>
        <w:footnoteRef/>
      </w:r>
      <w:r>
        <w:rPr>
          <w:rtl/>
        </w:rPr>
        <w:t xml:space="preserve"> </w:t>
      </w:r>
      <w:r>
        <w:rPr>
          <w:rFonts w:cs="Arial" w:hint="cs"/>
          <w:rtl/>
        </w:rPr>
        <w:t xml:space="preserve">וז"ל </w:t>
      </w:r>
      <w:r w:rsidRPr="007F7FDE">
        <w:rPr>
          <w:rFonts w:cs="Arial" w:hint="cs"/>
          <w:sz w:val="16"/>
          <w:szCs w:val="16"/>
          <w:rtl/>
        </w:rPr>
        <w:t xml:space="preserve">(הרי"ף </w:t>
      </w:r>
      <w:r>
        <w:rPr>
          <w:rFonts w:cs="Arial" w:hint="cs"/>
          <w:sz w:val="16"/>
          <w:szCs w:val="16"/>
          <w:rtl/>
        </w:rPr>
        <w:t xml:space="preserve">[כתובות ס.] </w:t>
      </w:r>
      <w:r w:rsidRPr="007F7FDE">
        <w:rPr>
          <w:rFonts w:cs="Arial" w:hint="cs"/>
          <w:sz w:val="16"/>
          <w:szCs w:val="16"/>
          <w:rtl/>
        </w:rPr>
        <w:t>והרא"ש</w:t>
      </w:r>
      <w:r>
        <w:rPr>
          <w:rFonts w:cs="Arial" w:hint="cs"/>
          <w:sz w:val="16"/>
          <w:szCs w:val="16"/>
          <w:rtl/>
        </w:rPr>
        <w:t xml:space="preserve"> [כתובות פי"א סי' כה-כח]</w:t>
      </w:r>
      <w:r w:rsidRPr="007F7FDE">
        <w:rPr>
          <w:rFonts w:cs="Arial" w:hint="cs"/>
          <w:sz w:val="16"/>
          <w:szCs w:val="16"/>
          <w:rtl/>
        </w:rPr>
        <w:t>)</w:t>
      </w:r>
      <w:r>
        <w:rPr>
          <w:rFonts w:cs="Arial" w:hint="cs"/>
          <w:rtl/>
        </w:rPr>
        <w:t xml:space="preserve">- </w:t>
      </w:r>
      <w:r>
        <w:rPr>
          <w:rFonts w:cs="Arial"/>
          <w:rtl/>
        </w:rPr>
        <w:t>הילכך</w:t>
      </w:r>
      <w:r>
        <w:rPr>
          <w:rFonts w:cs="Arial" w:hint="cs"/>
          <w:rtl/>
        </w:rPr>
        <w:t>,</w:t>
      </w:r>
      <w:r>
        <w:rPr>
          <w:rFonts w:cs="Arial"/>
          <w:rtl/>
        </w:rPr>
        <w:t xml:space="preserve"> הכיר בהן </w:t>
      </w:r>
      <w:r>
        <w:rPr>
          <w:rFonts w:cs="Arial" w:hint="cs"/>
          <w:rtl/>
        </w:rPr>
        <w:t xml:space="preserve">- </w:t>
      </w:r>
      <w:r>
        <w:rPr>
          <w:rFonts w:cs="Arial"/>
          <w:rtl/>
        </w:rPr>
        <w:t>יש להם כתובה בין מנה בין מאתים בין תוספת</w:t>
      </w:r>
      <w:r>
        <w:rPr>
          <w:rFonts w:cs="Arial" w:hint="cs"/>
          <w:rtl/>
        </w:rPr>
        <w:t>.</w:t>
      </w:r>
      <w:r>
        <w:rPr>
          <w:rFonts w:cs="Arial"/>
          <w:rtl/>
        </w:rPr>
        <w:t xml:space="preserve"> ויש להם פירות ומזונות ובלאות</w:t>
      </w:r>
      <w:r>
        <w:rPr>
          <w:rFonts w:cs="Arial" w:hint="cs"/>
          <w:rtl/>
        </w:rPr>
        <w:t>.</w:t>
      </w:r>
      <w:r>
        <w:rPr>
          <w:rFonts w:cs="Arial"/>
          <w:rtl/>
        </w:rPr>
        <w:t xml:space="preserve"> דכיון דאית להו כתובה אית להו נמי תנאי כתובה</w:t>
      </w:r>
      <w:r>
        <w:rPr>
          <w:rFonts w:cs="Arial" w:hint="cs"/>
          <w:rtl/>
        </w:rPr>
        <w:t>.</w:t>
      </w:r>
      <w:r>
        <w:rPr>
          <w:rFonts w:cs="Arial"/>
          <w:rtl/>
        </w:rPr>
        <w:t xml:space="preserve"> ומזונות דאית להו</w:t>
      </w:r>
      <w:r>
        <w:rPr>
          <w:rFonts w:cs="Arial" w:hint="cs"/>
          <w:rtl/>
        </w:rPr>
        <w:t>,</w:t>
      </w:r>
      <w:r>
        <w:rPr>
          <w:rFonts w:cs="Arial"/>
          <w:rtl/>
        </w:rPr>
        <w:t xml:space="preserve"> הני מילי לאחר מיתה דלא הספיק להוציאה עד שמת</w:t>
      </w:r>
      <w:r>
        <w:rPr>
          <w:rFonts w:cs="Arial" w:hint="cs"/>
          <w:rtl/>
        </w:rPr>
        <w:t>,</w:t>
      </w:r>
      <w:r>
        <w:rPr>
          <w:rFonts w:cs="Arial"/>
          <w:rtl/>
        </w:rPr>
        <w:t xml:space="preserve"> אבל בחיי הבעל כיון דבעמוד והוצא קאי לית להו מזונות</w:t>
      </w:r>
      <w:r>
        <w:rPr>
          <w:rFonts w:cs="Arial" w:hint="cs"/>
          <w:rtl/>
        </w:rPr>
        <w:t>,</w:t>
      </w:r>
      <w:r>
        <w:rPr>
          <w:rFonts w:cs="Arial"/>
          <w:rtl/>
        </w:rPr>
        <w:t xml:space="preserve"> דכי אמרת אית להו אתיין לאיעכובי גבייהו</w:t>
      </w:r>
      <w:r>
        <w:rPr>
          <w:rFonts w:cs="Arial" w:hint="cs"/>
          <w:rtl/>
        </w:rPr>
        <w:t>,</w:t>
      </w:r>
      <w:r>
        <w:rPr>
          <w:rFonts w:cs="Arial"/>
          <w:rtl/>
        </w:rPr>
        <w:t xml:space="preserve"> דהכי אסיקנא בפרק יש מותרות (יבמות פה.)</w:t>
      </w:r>
      <w:r>
        <w:rPr>
          <w:rFonts w:cs="Arial" w:hint="cs"/>
          <w:rtl/>
        </w:rPr>
        <w:t>.</w:t>
      </w:r>
      <w:r>
        <w:rPr>
          <w:rFonts w:cs="Arial"/>
          <w:rtl/>
        </w:rPr>
        <w:t xml:space="preserve"> לא הכיר בהן אין להן כתובה מנה מאתים ולא פירות ולא מזונות ולא בלאות</w:t>
      </w:r>
      <w:r>
        <w:rPr>
          <w:rFonts w:cs="Arial" w:hint="cs"/>
          <w:rtl/>
        </w:rPr>
        <w:t>,</w:t>
      </w:r>
      <w:r>
        <w:rPr>
          <w:rFonts w:cs="Arial"/>
          <w:rtl/>
        </w:rPr>
        <w:t xml:space="preserve"> אבל תוספת יש להן כשמואל (קא.)</w:t>
      </w:r>
      <w:r>
        <w:rPr>
          <w:rFonts w:cs="Arial" w:hint="cs"/>
          <w:rtl/>
        </w:rPr>
        <w:t>.</w:t>
      </w:r>
      <w:r>
        <w:rPr>
          <w:rFonts w:cs="Arial"/>
          <w:rtl/>
        </w:rPr>
        <w:t xml:space="preserve"> ובלאות דאמרן דלית להו</w:t>
      </w:r>
      <w:r>
        <w:rPr>
          <w:rFonts w:cs="Arial" w:hint="cs"/>
          <w:rtl/>
        </w:rPr>
        <w:t>,</w:t>
      </w:r>
      <w:r>
        <w:rPr>
          <w:rFonts w:cs="Arial"/>
          <w:rtl/>
        </w:rPr>
        <w:t xml:space="preserve"> מסתברא לן דכיון דדינא דידהו כדין האילונית</w:t>
      </w:r>
      <w:r>
        <w:rPr>
          <w:rFonts w:cs="Arial" w:hint="cs"/>
          <w:rtl/>
        </w:rPr>
        <w:t>,</w:t>
      </w:r>
      <w:r>
        <w:rPr>
          <w:rFonts w:cs="Arial"/>
          <w:rtl/>
        </w:rPr>
        <w:t xml:space="preserve"> ודינא דאילונית דלא הכיר בה</w:t>
      </w:r>
      <w:r>
        <w:rPr>
          <w:rFonts w:cs="Arial" w:hint="cs"/>
          <w:rtl/>
        </w:rPr>
        <w:t>,</w:t>
      </w:r>
      <w:r>
        <w:rPr>
          <w:rFonts w:cs="Arial"/>
          <w:rtl/>
        </w:rPr>
        <w:t xml:space="preserve"> אי איתנהו לבלאות </w:t>
      </w:r>
      <w:r>
        <w:rPr>
          <w:rFonts w:cs="Arial" w:hint="cs"/>
          <w:rtl/>
        </w:rPr>
        <w:t xml:space="preserve">- </w:t>
      </w:r>
      <w:r>
        <w:rPr>
          <w:rFonts w:cs="Arial"/>
          <w:rtl/>
        </w:rPr>
        <w:t>אידי ואידי אית להו</w:t>
      </w:r>
      <w:r>
        <w:rPr>
          <w:rFonts w:cs="Arial" w:hint="cs"/>
          <w:rtl/>
        </w:rPr>
        <w:t>,</w:t>
      </w:r>
      <w:r>
        <w:rPr>
          <w:rFonts w:cs="Arial"/>
          <w:rtl/>
        </w:rPr>
        <w:t xml:space="preserve"> בין נכסי מלוג בין נכסי צאן ברזל</w:t>
      </w:r>
      <w:r>
        <w:rPr>
          <w:rFonts w:cs="Arial" w:hint="cs"/>
          <w:rtl/>
        </w:rPr>
        <w:t>.</w:t>
      </w:r>
      <w:r>
        <w:rPr>
          <w:rFonts w:cs="Arial"/>
          <w:rtl/>
        </w:rPr>
        <w:t xml:space="preserve"> ואי ליתנהו</w:t>
      </w:r>
      <w:r>
        <w:rPr>
          <w:rFonts w:cs="Arial" w:hint="cs"/>
          <w:rtl/>
        </w:rPr>
        <w:t xml:space="preserve">, </w:t>
      </w:r>
      <w:r>
        <w:rPr>
          <w:rFonts w:cs="Arial"/>
          <w:rtl/>
        </w:rPr>
        <w:t>נכסי מלוג דברשותה קיימי</w:t>
      </w:r>
      <w:r>
        <w:rPr>
          <w:rFonts w:cs="Arial" w:hint="cs"/>
          <w:rtl/>
        </w:rPr>
        <w:t xml:space="preserve"> -</w:t>
      </w:r>
      <w:r>
        <w:rPr>
          <w:rFonts w:cs="Arial"/>
          <w:rtl/>
        </w:rPr>
        <w:t xml:space="preserve"> אית לה</w:t>
      </w:r>
      <w:r>
        <w:rPr>
          <w:rFonts w:cs="Arial" w:hint="cs"/>
          <w:rtl/>
        </w:rPr>
        <w:t>.</w:t>
      </w:r>
      <w:r>
        <w:rPr>
          <w:rFonts w:cs="Arial"/>
          <w:rtl/>
        </w:rPr>
        <w:t xml:space="preserve"> נכסי צאן ברזל דלאו ברשותה קיימי</w:t>
      </w:r>
      <w:r>
        <w:rPr>
          <w:rFonts w:cs="Arial" w:hint="cs"/>
          <w:rtl/>
        </w:rPr>
        <w:t xml:space="preserve"> - </w:t>
      </w:r>
      <w:r>
        <w:rPr>
          <w:rFonts w:cs="Arial"/>
          <w:rtl/>
        </w:rPr>
        <w:t>לית לה</w:t>
      </w:r>
      <w:r>
        <w:rPr>
          <w:rFonts w:cs="Arial" w:hint="cs"/>
          <w:rtl/>
        </w:rPr>
        <w:t>.</w:t>
      </w:r>
      <w:r>
        <w:rPr>
          <w:rFonts w:cs="Arial"/>
          <w:rtl/>
        </w:rPr>
        <w:t xml:space="preserve"> הני נמי כיוצא בה</w:t>
      </w:r>
      <w:r>
        <w:rPr>
          <w:rFonts w:cs="Arial" w:hint="cs"/>
          <w:rtl/>
        </w:rPr>
        <w:t>.</w:t>
      </w:r>
    </w:p>
  </w:footnote>
  <w:footnote w:id="3219">
    <w:p w14:paraId="79B2AA1E" w14:textId="77777777" w:rsidR="00DF1FC7" w:rsidRDefault="00DF1FC7" w:rsidP="002E5BAD">
      <w:pPr>
        <w:pStyle w:val="a5"/>
      </w:pPr>
      <w:r>
        <w:rPr>
          <w:rStyle w:val="a7"/>
        </w:rPr>
        <w:footnoteRef/>
      </w:r>
      <w:r>
        <w:rPr>
          <w:rtl/>
        </w:rPr>
        <w:t xml:space="preserve"> </w:t>
      </w:r>
      <w:r w:rsidRPr="00BD0A12">
        <w:rPr>
          <w:rFonts w:cs="Arial"/>
          <w:rtl/>
        </w:rPr>
        <w:t>ואפשר לומר שאם זן אותה בשתיקה זוכה במעשה ידיה שעשתה כל אותו זמן ולא אמרינן מחל לה לגמרי אלא הרי הוא גובה ממנה ממעשה ידיה או תתן לו מזונותיה. הריטב"א ז"ל וכן הלכתא</w:t>
      </w:r>
      <w:r>
        <w:rPr>
          <w:rFonts w:cs="Arial" w:hint="cs"/>
          <w:rtl/>
        </w:rPr>
        <w:t>,</w:t>
      </w:r>
      <w:r w:rsidRPr="00BD0A12">
        <w:rPr>
          <w:rFonts w:cs="Arial"/>
          <w:rtl/>
        </w:rPr>
        <w:t xml:space="preserve"> </w:t>
      </w:r>
      <w:r w:rsidRPr="003C7FB6">
        <w:rPr>
          <w:rFonts w:cs="Arial"/>
          <w:rtl/>
        </w:rPr>
        <w:t>נ</w:t>
      </w:r>
      <w:r>
        <w:rPr>
          <w:rFonts w:cs="Arial" w:hint="cs"/>
          <w:rtl/>
        </w:rPr>
        <w:t>מוק</w:t>
      </w:r>
      <w:r w:rsidRPr="003C7FB6">
        <w:rPr>
          <w:rFonts w:cs="Arial"/>
          <w:rtl/>
        </w:rPr>
        <w:t xml:space="preserve">"י </w:t>
      </w:r>
      <w:r w:rsidRPr="00235F25">
        <w:rPr>
          <w:rFonts w:cs="Arial" w:hint="cs"/>
          <w:sz w:val="16"/>
          <w:szCs w:val="16"/>
          <w:rtl/>
        </w:rPr>
        <w:t>(</w:t>
      </w:r>
      <w:r w:rsidRPr="00235F25">
        <w:rPr>
          <w:rFonts w:cs="Arial"/>
          <w:sz w:val="16"/>
          <w:szCs w:val="16"/>
          <w:rtl/>
        </w:rPr>
        <w:t>פ</w:t>
      </w:r>
      <w:r w:rsidRPr="00235F25">
        <w:rPr>
          <w:rFonts w:cs="Arial" w:hint="cs"/>
          <w:sz w:val="16"/>
          <w:szCs w:val="16"/>
          <w:rtl/>
        </w:rPr>
        <w:t>'</w:t>
      </w:r>
      <w:r w:rsidRPr="00235F25">
        <w:rPr>
          <w:rFonts w:cs="Arial"/>
          <w:sz w:val="16"/>
          <w:szCs w:val="16"/>
          <w:rtl/>
        </w:rPr>
        <w:t xml:space="preserve"> יש מותרות כז. ד"ה בעא</w:t>
      </w:r>
      <w:r>
        <w:rPr>
          <w:rFonts w:cs="Arial" w:hint="cs"/>
          <w:sz w:val="16"/>
          <w:szCs w:val="16"/>
          <w:rtl/>
        </w:rPr>
        <w:t>, הביאו הדרכ"מ [אות א]</w:t>
      </w:r>
      <w:r w:rsidRPr="00235F25">
        <w:rPr>
          <w:rFonts w:cs="Arial"/>
          <w:sz w:val="16"/>
          <w:szCs w:val="16"/>
          <w:rtl/>
        </w:rPr>
        <w:t>)</w:t>
      </w:r>
      <w:r>
        <w:rPr>
          <w:rFonts w:cs="Arial" w:hint="cs"/>
          <w:rtl/>
        </w:rPr>
        <w:t>.</w:t>
      </w:r>
      <w:r>
        <w:rPr>
          <w:rFonts w:hint="cs"/>
          <w:rtl/>
        </w:rPr>
        <w:t xml:space="preserve"> </w:t>
      </w:r>
      <w:r w:rsidRPr="00F554B8">
        <w:rPr>
          <w:rFonts w:hint="cs"/>
          <w:color w:val="00B0F0"/>
          <w:rtl/>
        </w:rPr>
        <w:t>(וכ"פ בהג"ה)</w:t>
      </w:r>
      <w:r>
        <w:rPr>
          <w:rFonts w:hint="cs"/>
          <w:rtl/>
        </w:rPr>
        <w:t>.</w:t>
      </w:r>
    </w:p>
  </w:footnote>
  <w:footnote w:id="3220">
    <w:p w14:paraId="563528D3" w14:textId="77777777" w:rsidR="00DF1FC7" w:rsidRDefault="00DF1FC7" w:rsidP="002E5BAD">
      <w:pPr>
        <w:pStyle w:val="a5"/>
        <w:rPr>
          <w:rtl/>
        </w:rPr>
      </w:pPr>
      <w:r>
        <w:rPr>
          <w:rStyle w:val="a7"/>
        </w:rPr>
        <w:footnoteRef/>
      </w:r>
      <w:r>
        <w:rPr>
          <w:rtl/>
        </w:rPr>
        <w:t xml:space="preserve"> </w:t>
      </w:r>
      <w:r w:rsidRPr="003C7FB6">
        <w:rPr>
          <w:rFonts w:cs="Arial"/>
          <w:rtl/>
        </w:rPr>
        <w:t xml:space="preserve">והרמב"ם </w:t>
      </w:r>
      <w:r>
        <w:rPr>
          <w:rFonts w:cs="Arial" w:hint="cs"/>
          <w:sz w:val="16"/>
          <w:szCs w:val="16"/>
          <w:rtl/>
        </w:rPr>
        <w:t xml:space="preserve">(פכ"ד מאישות ה"ד) </w:t>
      </w:r>
      <w:r w:rsidRPr="003C7FB6">
        <w:rPr>
          <w:rFonts w:cs="Arial"/>
          <w:rtl/>
        </w:rPr>
        <w:t>כתב שאם לותה ואכלה חייב לשלם</w:t>
      </w:r>
      <w:r>
        <w:rPr>
          <w:rFonts w:cs="Arial" w:hint="cs"/>
          <w:rtl/>
        </w:rPr>
        <w:t>.</w:t>
      </w:r>
      <w:r w:rsidRPr="003C7FB6">
        <w:rPr>
          <w:rFonts w:cs="Arial"/>
          <w:rtl/>
        </w:rPr>
        <w:t xml:space="preserve"> </w:t>
      </w:r>
      <w:r w:rsidRPr="00C017BF">
        <w:rPr>
          <w:rFonts w:cs="Arial"/>
          <w:rtl/>
        </w:rPr>
        <w:t>ואני תמיה על דבריו דבהדיא מסיק בגמרא שהוא פטור בלותה ואכלה</w:t>
      </w:r>
      <w:r>
        <w:rPr>
          <w:rFonts w:cs="Arial" w:hint="cs"/>
          <w:rtl/>
        </w:rPr>
        <w:t>, טור</w:t>
      </w:r>
      <w:r w:rsidRPr="00C017BF">
        <w:rPr>
          <w:rFonts w:cs="Arial" w:hint="cs"/>
          <w:rtl/>
        </w:rPr>
        <w:t>.</w:t>
      </w:r>
      <w:r w:rsidRPr="00C017BF">
        <w:rPr>
          <w:rFonts w:cs="Arial"/>
          <w:rtl/>
        </w:rPr>
        <w:t xml:space="preserve"> </w:t>
      </w:r>
      <w:r>
        <w:rPr>
          <w:rFonts w:cs="Arial" w:hint="cs"/>
          <w:rtl/>
        </w:rPr>
        <w:t>וכתב הב"י ד</w:t>
      </w:r>
      <w:r>
        <w:rPr>
          <w:rFonts w:cs="Arial"/>
          <w:rtl/>
        </w:rPr>
        <w:t>מה שתמה על דבריו דבר פשוט הוא שיש לתמוה עליו</w:t>
      </w:r>
      <w:r>
        <w:rPr>
          <w:rFonts w:cs="Arial" w:hint="cs"/>
          <w:rtl/>
        </w:rPr>
        <w:t>,</w:t>
      </w:r>
      <w:r>
        <w:rPr>
          <w:rFonts w:cs="Arial"/>
          <w:rtl/>
        </w:rPr>
        <w:t xml:space="preserve"> וגם הר"ן כתב בפרק אלמנה נזונת (ס. ד"ה ומזונות) שלא נראו בעיניו דברי הרמב"ם בזה. ויש לתמוה על הראב"ד שלא השיגו בזה. והרב המגיד כתב ליישב דעת הרמב"ם ומכל מקום כתב לענין הדין שכדברי הרי"ף נראה עיק</w:t>
      </w:r>
      <w:r>
        <w:rPr>
          <w:rFonts w:hint="cs"/>
          <w:rtl/>
        </w:rPr>
        <w:t>ר.</w:t>
      </w:r>
    </w:p>
  </w:footnote>
  <w:footnote w:id="3221">
    <w:p w14:paraId="506BFE18" w14:textId="77777777" w:rsidR="00DF1FC7" w:rsidRDefault="00DF1FC7" w:rsidP="002E5BAD">
      <w:pPr>
        <w:pStyle w:val="a5"/>
        <w:rPr>
          <w:rtl/>
        </w:rPr>
      </w:pPr>
      <w:r>
        <w:rPr>
          <w:rStyle w:val="a7"/>
        </w:rPr>
        <w:footnoteRef/>
      </w:r>
      <w:r>
        <w:rPr>
          <w:rtl/>
        </w:rPr>
        <w:t xml:space="preserve"> </w:t>
      </w:r>
      <w:r w:rsidRPr="001E347F">
        <w:rPr>
          <w:rFonts w:cs="Arial"/>
          <w:rtl/>
        </w:rPr>
        <w:t>כן כתב הרא"ש בסוף פרק אלמנה נזונת (שם) אהא דתנן (ק:) גבי ממאנת ואילונית אין לה פירות</w:t>
      </w:r>
      <w:r>
        <w:rPr>
          <w:rFonts w:cs="Arial" w:hint="cs"/>
          <w:rtl/>
        </w:rPr>
        <w:t>,</w:t>
      </w:r>
      <w:r w:rsidRPr="001E347F">
        <w:rPr>
          <w:rFonts w:cs="Arial"/>
          <w:rtl/>
        </w:rPr>
        <w:t xml:space="preserve"> ונתבאר בגמרא שדין אלמנה לכהן גדול ודין אילונית שוים</w:t>
      </w:r>
      <w:r>
        <w:rPr>
          <w:rFonts w:cs="Arial" w:hint="cs"/>
          <w:rtl/>
        </w:rPr>
        <w:t>.</w:t>
      </w:r>
      <w:r w:rsidRPr="001E347F">
        <w:rPr>
          <w:rFonts w:cs="Arial"/>
          <w:rtl/>
        </w:rPr>
        <w:t xml:space="preserve"> זה נ"ל שהיה דעת רבינו שכתב כן</w:t>
      </w:r>
      <w:r>
        <w:rPr>
          <w:rFonts w:cs="Arial" w:hint="cs"/>
          <w:rtl/>
        </w:rPr>
        <w:t>.</w:t>
      </w:r>
      <w:r w:rsidRPr="001E347F">
        <w:rPr>
          <w:rFonts w:cs="Arial"/>
          <w:rtl/>
        </w:rPr>
        <w:t xml:space="preserve"> אבל יש לתמוה עליו</w:t>
      </w:r>
      <w:r>
        <w:rPr>
          <w:rFonts w:cs="Arial" w:hint="cs"/>
          <w:rtl/>
        </w:rPr>
        <w:t>,</w:t>
      </w:r>
      <w:r w:rsidRPr="001E347F">
        <w:rPr>
          <w:rFonts w:cs="Arial"/>
          <w:rtl/>
        </w:rPr>
        <w:t xml:space="preserve"> שלא כתב כן הרא"ש אלא בממאנת מפני מה שהוקשה לו בה</w:t>
      </w:r>
      <w:r>
        <w:rPr>
          <w:rFonts w:cs="Arial" w:hint="cs"/>
          <w:rtl/>
        </w:rPr>
        <w:t>,</w:t>
      </w:r>
      <w:r w:rsidRPr="001E347F">
        <w:rPr>
          <w:rFonts w:cs="Arial"/>
          <w:rtl/>
        </w:rPr>
        <w:t xml:space="preserve"> אבל באילונית ובאלמנה לכ"ג מנין לנו שיהיה הדין כן. והרמב"ם כתב בפרק כ"ד (ה"ב) כשכופין אותו ומפרישים ביניהם אין מוציאין מן הבעל פירות שאכל. וגם הרי"ף (נט:) כתב אמתניתין דקתני ולא פירות</w:t>
      </w:r>
      <w:r>
        <w:rPr>
          <w:rFonts w:cs="Arial" w:hint="cs"/>
          <w:rtl/>
        </w:rPr>
        <w:t>,</w:t>
      </w:r>
      <w:r w:rsidRPr="001E347F">
        <w:rPr>
          <w:rFonts w:cs="Arial"/>
          <w:rtl/>
        </w:rPr>
        <w:t xml:space="preserve"> ירושלמי (פי"א ה"ז) ולא פירות</w:t>
      </w:r>
      <w:r>
        <w:rPr>
          <w:rFonts w:cs="Arial" w:hint="cs"/>
          <w:rtl/>
        </w:rPr>
        <w:t xml:space="preserve"> -</w:t>
      </w:r>
      <w:r w:rsidRPr="001E347F">
        <w:rPr>
          <w:rFonts w:cs="Arial"/>
          <w:rtl/>
        </w:rPr>
        <w:t xml:space="preserve"> שאינה יכולה להוציא ממנו פירות שאכל</w:t>
      </w:r>
      <w:r>
        <w:rPr>
          <w:rFonts w:cs="Arial" w:hint="cs"/>
          <w:rtl/>
        </w:rPr>
        <w:t>, ב"י.</w:t>
      </w:r>
      <w:r w:rsidRPr="00B07582">
        <w:rPr>
          <w:rtl/>
        </w:rPr>
        <w:t xml:space="preserve"> </w:t>
      </w:r>
      <w:r w:rsidRPr="00B07582">
        <w:rPr>
          <w:rFonts w:cs="Arial"/>
          <w:rtl/>
        </w:rPr>
        <w:t xml:space="preserve">ומשמע אבל אם מונחים עדיין </w:t>
      </w:r>
      <w:r>
        <w:rPr>
          <w:rFonts w:cs="Arial" w:hint="cs"/>
          <w:rtl/>
        </w:rPr>
        <w:t xml:space="preserve">- </w:t>
      </w:r>
      <w:r w:rsidRPr="00B07582">
        <w:rPr>
          <w:rFonts w:cs="Arial"/>
          <w:rtl/>
        </w:rPr>
        <w:t>היא נוטלתן</w:t>
      </w:r>
      <w:r>
        <w:rPr>
          <w:rFonts w:cs="Arial" w:hint="cs"/>
          <w:rtl/>
        </w:rPr>
        <w:t xml:space="preserve">, דרכ"מ </w:t>
      </w:r>
      <w:r w:rsidRPr="00B07582">
        <w:rPr>
          <w:rFonts w:cs="Arial"/>
          <w:rtl/>
        </w:rPr>
        <w:t>(</w:t>
      </w:r>
      <w:r>
        <w:rPr>
          <w:rFonts w:cs="Arial" w:hint="cs"/>
          <w:rtl/>
        </w:rPr>
        <w:t xml:space="preserve">אות </w:t>
      </w:r>
      <w:r w:rsidRPr="00B07582">
        <w:rPr>
          <w:rFonts w:cs="Arial"/>
          <w:rtl/>
        </w:rPr>
        <w:t>א*)</w:t>
      </w:r>
      <w:r>
        <w:rPr>
          <w:rFonts w:cs="Arial" w:hint="cs"/>
          <w:rtl/>
        </w:rPr>
        <w:t>.</w:t>
      </w:r>
    </w:p>
  </w:footnote>
  <w:footnote w:id="3222">
    <w:p w14:paraId="59FFB795" w14:textId="77777777" w:rsidR="00DF1FC7" w:rsidRDefault="00DF1FC7" w:rsidP="002E5BAD">
      <w:pPr>
        <w:pStyle w:val="a5"/>
        <w:rPr>
          <w:rtl/>
        </w:rPr>
      </w:pPr>
      <w:r>
        <w:rPr>
          <w:rStyle w:val="a7"/>
        </w:rPr>
        <w:footnoteRef/>
      </w:r>
      <w:r>
        <w:rPr>
          <w:rtl/>
        </w:rPr>
        <w:t xml:space="preserve"> </w:t>
      </w:r>
      <w:r>
        <w:rPr>
          <w:rFonts w:cs="Arial" w:hint="cs"/>
          <w:rtl/>
        </w:rPr>
        <w:t xml:space="preserve">וכתב הדרכ"מ </w:t>
      </w:r>
      <w:r w:rsidRPr="00B07582">
        <w:rPr>
          <w:rFonts w:cs="Arial"/>
          <w:rtl/>
        </w:rPr>
        <w:t>(</w:t>
      </w:r>
      <w:r>
        <w:rPr>
          <w:rFonts w:cs="Arial" w:hint="cs"/>
          <w:rtl/>
        </w:rPr>
        <w:t xml:space="preserve">אות </w:t>
      </w:r>
      <w:r w:rsidRPr="00B07582">
        <w:rPr>
          <w:rFonts w:cs="Arial"/>
          <w:rtl/>
        </w:rPr>
        <w:t>א*)</w:t>
      </w:r>
      <w:r>
        <w:rPr>
          <w:rFonts w:cs="Arial" w:hint="cs"/>
          <w:rtl/>
        </w:rPr>
        <w:t xml:space="preserve"> על דברי הרי"ף והרמב"ם ד</w:t>
      </w:r>
      <w:r w:rsidRPr="00B07582">
        <w:rPr>
          <w:rFonts w:cs="Arial"/>
          <w:rtl/>
        </w:rPr>
        <w:t xml:space="preserve">משמע אבל אם מונחים עדיין </w:t>
      </w:r>
      <w:r>
        <w:rPr>
          <w:rFonts w:cs="Arial" w:hint="cs"/>
          <w:rtl/>
        </w:rPr>
        <w:t xml:space="preserve">- </w:t>
      </w:r>
      <w:r w:rsidRPr="00B07582">
        <w:rPr>
          <w:rFonts w:cs="Arial"/>
          <w:rtl/>
        </w:rPr>
        <w:t>היא נוטלתן</w:t>
      </w:r>
      <w:r>
        <w:rPr>
          <w:rFonts w:cs="Arial" w:hint="cs"/>
          <w:rtl/>
        </w:rPr>
        <w:t>. עכ"ל.</w:t>
      </w:r>
      <w:r>
        <w:rPr>
          <w:rFonts w:hint="cs"/>
          <w:rtl/>
        </w:rPr>
        <w:t xml:space="preserve"> כך שלדעתו יש מחלוקת בין הטור לרמב"ם. וכן משמע בב"ש (סק"ד). אך אפשר לומר שהב"י רק תמה על הטור שפסק שלא כהרא"ש אבל לדעתו אין מחלוקת בין הטור לרמב"ם, וגם הרמב"ם מודה </w:t>
      </w:r>
      <w:r w:rsidRPr="00466E83">
        <w:rPr>
          <w:rFonts w:cs="Arial"/>
          <w:rtl/>
        </w:rPr>
        <w:t>דמיד שלקטן זכה בהן וכאלו אכלן דמי</w:t>
      </w:r>
      <w:r>
        <w:rPr>
          <w:rFonts w:hint="cs"/>
          <w:rtl/>
        </w:rPr>
        <w:t>. וכן משמע בח"מ (סק"ו).</w:t>
      </w:r>
    </w:p>
  </w:footnote>
  <w:footnote w:id="3223">
    <w:p w14:paraId="4232B94D" w14:textId="77777777" w:rsidR="00DF1FC7" w:rsidRDefault="00DF1FC7" w:rsidP="002E5BAD">
      <w:pPr>
        <w:pStyle w:val="a5"/>
      </w:pPr>
      <w:r>
        <w:rPr>
          <w:rStyle w:val="a7"/>
        </w:rPr>
        <w:footnoteRef/>
      </w:r>
      <w:r>
        <w:rPr>
          <w:rtl/>
        </w:rPr>
        <w:t xml:space="preserve"> </w:t>
      </w:r>
      <w:r>
        <w:rPr>
          <w:rFonts w:cs="Arial"/>
          <w:rtl/>
        </w:rPr>
        <w:t>היינו לומר דבכה"ג הוא דחייב לשלם בנכסי מלוג</w:t>
      </w:r>
      <w:r>
        <w:rPr>
          <w:rFonts w:cs="Arial" w:hint="cs"/>
          <w:rtl/>
        </w:rPr>
        <w:t>,</w:t>
      </w:r>
      <w:r>
        <w:rPr>
          <w:rFonts w:cs="Arial"/>
          <w:rtl/>
        </w:rPr>
        <w:t xml:space="preserve"> אבל אם נגנבו או אבדו אינו משלם כלל בנכסי מלוג</w:t>
      </w:r>
      <w:r>
        <w:rPr>
          <w:rFonts w:cs="Arial" w:hint="cs"/>
          <w:rtl/>
        </w:rPr>
        <w:t>.</w:t>
      </w:r>
      <w:r>
        <w:rPr>
          <w:rFonts w:cs="Arial"/>
          <w:rtl/>
        </w:rPr>
        <w:t xml:space="preserve"> ולגבי נכסי צאן ברזל הוי רבותא דאפילו בכה"ג אינו חייב לשלם וכל שכן כשנגנבו או אבדו</w:t>
      </w:r>
      <w:r>
        <w:rPr>
          <w:rFonts w:cs="Arial" w:hint="cs"/>
          <w:rtl/>
        </w:rPr>
        <w:t>.</w:t>
      </w:r>
      <w:r>
        <w:rPr>
          <w:rFonts w:cs="Arial"/>
          <w:rtl/>
        </w:rPr>
        <w:t xml:space="preserve"> אבל אין כן דעת הרמב"ם </w:t>
      </w:r>
      <w:r>
        <w:rPr>
          <w:rFonts w:cs="Arial" w:hint="cs"/>
          <w:rtl/>
        </w:rPr>
        <w:t>(</w:t>
      </w:r>
      <w:r>
        <w:rPr>
          <w:rFonts w:cs="Arial"/>
          <w:rtl/>
        </w:rPr>
        <w:t>פכ"ד ה"ח)</w:t>
      </w:r>
      <w:r>
        <w:rPr>
          <w:rFonts w:cs="Arial" w:hint="cs"/>
          <w:rtl/>
        </w:rPr>
        <w:t>..., ב"י.</w:t>
      </w:r>
    </w:p>
  </w:footnote>
  <w:footnote w:id="3224">
    <w:p w14:paraId="2EFBA793" w14:textId="77777777" w:rsidR="00DF1FC7" w:rsidRDefault="00DF1FC7" w:rsidP="002E5BAD">
      <w:pPr>
        <w:pStyle w:val="a5"/>
        <w:rPr>
          <w:rtl/>
        </w:rPr>
      </w:pPr>
      <w:r>
        <w:rPr>
          <w:rStyle w:val="a7"/>
        </w:rPr>
        <w:footnoteRef/>
      </w:r>
      <w:r>
        <w:rPr>
          <w:rtl/>
        </w:rPr>
        <w:t xml:space="preserve"> </w:t>
      </w:r>
      <w:r>
        <w:rPr>
          <w:rFonts w:hint="cs"/>
          <w:rtl/>
        </w:rPr>
        <w:t xml:space="preserve">הר"ן (כתובות ס.) הסביר את הטעם בצורה יותר מפורטת, וז"ל- </w:t>
      </w:r>
      <w:r w:rsidRPr="006C3414">
        <w:rPr>
          <w:rFonts w:cs="Arial"/>
          <w:rtl/>
        </w:rPr>
        <w:t>ונמצא דין אילונית הפך משאר הנשים היוצאות בגט שגובות נכסי צאן ברזל ואינן גובות בלאות מלוג שאינן קיימין כיון דס"ל פירא הוי וטעמא דמילתא שכיון שנשואי אילונית טעות נכסי מלוג שלא הקנתה אותן לבעל כלל משלם לה אבל נכסי צאן ברזל כיון שהקנתה אותן לבעל והוא אינו חייב להחזירם אלא אם יגרשנה בגט לית לה</w:t>
      </w:r>
      <w:r>
        <w:rPr>
          <w:rFonts w:cs="Arial" w:hint="cs"/>
          <w:rtl/>
        </w:rPr>
        <w:t>.</w:t>
      </w:r>
    </w:p>
  </w:footnote>
  <w:footnote w:id="3225">
    <w:p w14:paraId="07587BC3" w14:textId="77777777" w:rsidR="00DF1FC7" w:rsidRDefault="00DF1FC7" w:rsidP="002E5BAD">
      <w:pPr>
        <w:pStyle w:val="a5"/>
      </w:pPr>
      <w:r>
        <w:rPr>
          <w:rStyle w:val="a7"/>
        </w:rPr>
        <w:footnoteRef/>
      </w:r>
      <w:r>
        <w:rPr>
          <w:rtl/>
        </w:rPr>
        <w:t xml:space="preserve"> </w:t>
      </w:r>
      <w:r>
        <w:rPr>
          <w:rFonts w:cs="Arial" w:hint="cs"/>
          <w:rtl/>
        </w:rPr>
        <w:t xml:space="preserve">וכן נראה לי מדברי הרי"ף </w:t>
      </w:r>
      <w:r>
        <w:rPr>
          <w:rFonts w:cs="Arial" w:hint="cs"/>
          <w:sz w:val="16"/>
          <w:szCs w:val="16"/>
          <w:rtl/>
        </w:rPr>
        <w:t>(כתובות שם)</w:t>
      </w:r>
      <w:r>
        <w:rPr>
          <w:rFonts w:cs="Arial" w:hint="cs"/>
          <w:rtl/>
        </w:rPr>
        <w:t xml:space="preserve"> והרא"ש </w:t>
      </w:r>
      <w:r>
        <w:rPr>
          <w:rFonts w:cs="Arial" w:hint="cs"/>
          <w:sz w:val="16"/>
          <w:szCs w:val="16"/>
          <w:rtl/>
        </w:rPr>
        <w:t>(כתובות שם)</w:t>
      </w:r>
      <w:r>
        <w:rPr>
          <w:rFonts w:cs="Arial" w:hint="cs"/>
          <w:rtl/>
        </w:rPr>
        <w:t xml:space="preserve">, שכתב הרי"ף (והעתיקו הרא"ש) וז"ל- </w:t>
      </w:r>
      <w:r w:rsidRPr="006C3414">
        <w:rPr>
          <w:rFonts w:cs="Arial"/>
          <w:rtl/>
        </w:rPr>
        <w:t>אי דאיתנהו</w:t>
      </w:r>
      <w:r>
        <w:rPr>
          <w:rFonts w:cs="Arial" w:hint="cs"/>
          <w:rtl/>
        </w:rPr>
        <w:t>,</w:t>
      </w:r>
      <w:r w:rsidRPr="006C3414">
        <w:rPr>
          <w:rFonts w:cs="Arial"/>
          <w:rtl/>
        </w:rPr>
        <w:t xml:space="preserve"> אידי ואידי אית לה</w:t>
      </w:r>
      <w:r>
        <w:rPr>
          <w:rFonts w:cs="Arial" w:hint="cs"/>
          <w:rtl/>
        </w:rPr>
        <w:t>.</w:t>
      </w:r>
      <w:r w:rsidRPr="006C3414">
        <w:rPr>
          <w:rFonts w:cs="Arial"/>
          <w:rtl/>
        </w:rPr>
        <w:t xml:space="preserve"> ואי דליתנהו</w:t>
      </w:r>
      <w:r>
        <w:rPr>
          <w:rFonts w:cs="Arial" w:hint="cs"/>
          <w:rtl/>
        </w:rPr>
        <w:t>,</w:t>
      </w:r>
      <w:r w:rsidRPr="006C3414">
        <w:rPr>
          <w:rFonts w:cs="Arial"/>
          <w:rtl/>
        </w:rPr>
        <w:t xml:space="preserve"> נכסי מלוג דברשותה קיימי </w:t>
      </w:r>
      <w:r>
        <w:rPr>
          <w:rFonts w:cs="Arial" w:hint="cs"/>
          <w:rtl/>
        </w:rPr>
        <w:t xml:space="preserve">- </w:t>
      </w:r>
      <w:r w:rsidRPr="006C3414">
        <w:rPr>
          <w:rFonts w:cs="Arial"/>
          <w:rtl/>
        </w:rPr>
        <w:t>אית לה</w:t>
      </w:r>
      <w:r>
        <w:rPr>
          <w:rFonts w:cs="Arial" w:hint="cs"/>
          <w:rtl/>
        </w:rPr>
        <w:t>.</w:t>
      </w:r>
      <w:r w:rsidRPr="006C3414">
        <w:rPr>
          <w:rFonts w:cs="Arial"/>
          <w:rtl/>
        </w:rPr>
        <w:t xml:space="preserve"> נכסי צאן ברזל דלאו ברשותה קיימי</w:t>
      </w:r>
      <w:r>
        <w:rPr>
          <w:rFonts w:cs="Arial" w:hint="cs"/>
          <w:rtl/>
        </w:rPr>
        <w:t xml:space="preserve"> -</w:t>
      </w:r>
      <w:r w:rsidRPr="006C3414">
        <w:rPr>
          <w:rFonts w:cs="Arial"/>
          <w:rtl/>
        </w:rPr>
        <w:t xml:space="preserve"> לית לה</w:t>
      </w:r>
      <w:r>
        <w:rPr>
          <w:rFonts w:cs="Arial" w:hint="cs"/>
          <w:rtl/>
        </w:rPr>
        <w:t xml:space="preserve">. עכ"ל. משמע בכל גוונא נכסי מלוג דליתנהו - חייב לשלם, בין אכל ובין נגנב. וצא"ב בכל גוונא </w:t>
      </w:r>
      <w:r>
        <w:rPr>
          <w:rFonts w:cs="Arial"/>
          <w:rtl/>
        </w:rPr>
        <w:t>–</w:t>
      </w:r>
      <w:r>
        <w:rPr>
          <w:rFonts w:cs="Arial" w:hint="cs"/>
          <w:rtl/>
        </w:rPr>
        <w:t xml:space="preserve"> אינו חייב לשלם. </w:t>
      </w:r>
      <w:r w:rsidRPr="0083627A">
        <w:rPr>
          <w:rFonts w:cs="Arial" w:hint="cs"/>
          <w:color w:val="FF0000"/>
          <w:rtl/>
        </w:rPr>
        <w:t xml:space="preserve">וצל"ע מדוע הב"י לא כתב כן בשמם. </w:t>
      </w:r>
    </w:p>
  </w:footnote>
  <w:footnote w:id="3226">
    <w:p w14:paraId="689094A5" w14:textId="77777777" w:rsidR="00DF1FC7" w:rsidRDefault="00DF1FC7" w:rsidP="002E5BAD">
      <w:pPr>
        <w:pStyle w:val="a5"/>
      </w:pPr>
      <w:r>
        <w:rPr>
          <w:rStyle w:val="a7"/>
        </w:rPr>
        <w:footnoteRef/>
      </w:r>
      <w:r>
        <w:rPr>
          <w:rtl/>
        </w:rPr>
        <w:t xml:space="preserve"> </w:t>
      </w:r>
      <w:r w:rsidRPr="00BD0A12">
        <w:rPr>
          <w:rFonts w:cs="Arial"/>
          <w:rtl/>
        </w:rPr>
        <w:t>כוונתו שאין זוכה בכל מעשה ידיה אף אם נותן לה מעה כסף רק כפי מה שזן אות' צריכ' לשלם לו ולא אמרי' דמחלה לו</w:t>
      </w:r>
      <w:r>
        <w:rPr>
          <w:rFonts w:cs="Arial" w:hint="cs"/>
          <w:rtl/>
        </w:rPr>
        <w:t>.</w:t>
      </w:r>
      <w:r w:rsidRPr="00BD0A12">
        <w:rPr>
          <w:rFonts w:cs="Arial"/>
          <w:rtl/>
        </w:rPr>
        <w:t xml:space="preserve"> ואי לאו הריטב"א הייתי מפרש דאף שאין לה מזונות מעשה ידיה שלו כדי שלא תתעכב אצלו</w:t>
      </w:r>
      <w:r>
        <w:rPr>
          <w:rFonts w:cs="Arial" w:hint="cs"/>
          <w:rtl/>
        </w:rPr>
        <w:t>,</w:t>
      </w:r>
      <w:r w:rsidRPr="0070722E">
        <w:rPr>
          <w:rFonts w:hint="cs"/>
          <w:rtl/>
        </w:rPr>
        <w:t xml:space="preserve"> </w:t>
      </w:r>
      <w:r>
        <w:rPr>
          <w:rFonts w:hint="cs"/>
          <w:rtl/>
        </w:rPr>
        <w:t>ח"מ (סק"ג)</w:t>
      </w:r>
      <w:r>
        <w:rPr>
          <w:rFonts w:cs="Arial" w:hint="cs"/>
          <w:rtl/>
        </w:rPr>
        <w:t>.</w:t>
      </w:r>
    </w:p>
  </w:footnote>
  <w:footnote w:id="3227">
    <w:p w14:paraId="0DA36F9C" w14:textId="77777777" w:rsidR="00DF1FC7" w:rsidRDefault="00DF1FC7" w:rsidP="002E5BAD">
      <w:pPr>
        <w:pStyle w:val="a5"/>
      </w:pPr>
      <w:r>
        <w:rPr>
          <w:rStyle w:val="a7"/>
        </w:rPr>
        <w:footnoteRef/>
      </w:r>
      <w:r>
        <w:rPr>
          <w:rtl/>
        </w:rPr>
        <w:t xml:space="preserve"> </w:t>
      </w:r>
      <w:r w:rsidRPr="00A32360">
        <w:rPr>
          <w:rFonts w:cs="Arial"/>
          <w:rtl/>
        </w:rPr>
        <w:t>משמע דברישא בהכיר בה שיש לה כל תנאי כתובה חייב בפרקונה אף על גב דנתבאר לעיל סי' ע"ח סעיף ז' דהאשה האסור' על בעלה מחייבי לאוין אינו חייב לפדותה היינו שאינו חייב לפדותה משלו אבל הפירות שאכל חייב להחזיר כשנשבית אבל אם לא נשבית א"צ להחזיר הפירות אבל רש"י כתב אף בלא נשבית יש לה פירות וצריך הבעל להחזיר כל הפירות וכ"כ הרמב"ם והמ"מ ובלא הכיר בה כתב הרמב"ם שאין מוציאין מן הבעל פירות שאכל ולפ"ז לדעת הרמב"ם אף שיש לחייבי לאוין כתובה בהכיר בה אין לה תנאי כתובה דפרקונה הואיל ולא זכה הבעל בפירות דהא מכיסו פשיטא דא"צ לפדות ומה שאכל אף בלא נשבית צריך להחזיר</w:t>
      </w:r>
      <w:r>
        <w:rPr>
          <w:rFonts w:cs="Arial" w:hint="cs"/>
          <w:rtl/>
        </w:rPr>
        <w:t>, ח"מ (סק"ד).</w:t>
      </w:r>
    </w:p>
  </w:footnote>
  <w:footnote w:id="3228">
    <w:p w14:paraId="51FD7C34" w14:textId="77777777" w:rsidR="00DF1FC7" w:rsidRDefault="00DF1FC7" w:rsidP="002E5BAD">
      <w:pPr>
        <w:pStyle w:val="a5"/>
      </w:pPr>
      <w:r>
        <w:rPr>
          <w:rStyle w:val="a7"/>
        </w:rPr>
        <w:footnoteRef/>
      </w:r>
      <w:r>
        <w:rPr>
          <w:rtl/>
        </w:rPr>
        <w:t xml:space="preserve"> </w:t>
      </w:r>
      <w:r w:rsidRPr="00466E83">
        <w:rPr>
          <w:rFonts w:cs="Arial"/>
          <w:rtl/>
        </w:rPr>
        <w:t>דין זה מוסכם בשלא הכיר בה שזכה בפירות ואין חייב בפרקונה אבל בהכיר בה לדעת רש"י והרמב"ם מוציאין הפירות אף בלא נשבית ולדעת התוספות דוקא בנשבית</w:t>
      </w:r>
      <w:r>
        <w:rPr>
          <w:rFonts w:cs="Arial" w:hint="cs"/>
          <w:rtl/>
        </w:rPr>
        <w:t>, ח"מ (סק"ה).</w:t>
      </w:r>
    </w:p>
  </w:footnote>
  <w:footnote w:id="3229">
    <w:p w14:paraId="0492AA24" w14:textId="77777777" w:rsidR="00DF1FC7" w:rsidRDefault="00DF1FC7" w:rsidP="002E5BAD">
      <w:pPr>
        <w:pStyle w:val="a5"/>
      </w:pPr>
      <w:r>
        <w:rPr>
          <w:rStyle w:val="a7"/>
        </w:rPr>
        <w:footnoteRef/>
      </w:r>
      <w:r>
        <w:rPr>
          <w:rtl/>
        </w:rPr>
        <w:t xml:space="preserve"> </w:t>
      </w:r>
      <w:r w:rsidRPr="00C148D2">
        <w:rPr>
          <w:rFonts w:cs="Arial"/>
          <w:rtl/>
        </w:rPr>
        <w:t>לשון הגמרא נצ"ב דלאו ברשות' קיימ' כלומר שהוא קיבל עליו אחריות וברשות הוציאן לית לה אבל נ"מ אין לו רשות לכלות הקרן הילכך סברא דקרן של צ"ב א"צ לשלם וקרן של נ"מ צריך לשלם ואית לה ואי עיילא ליה גלימא ונשתמש בה ובלה היינו פירי וכבר נתבאר דפירי שאכל הם שלו אבל בגניבה ואבידה דנ"מ חייב אף על גב דבשאר נשים אם אבדו בפשיעתו הוי פשיעה בבעלים ופטור כמו שנתבאר לעיל סי' פ"ה הכא כיון דלאו אשתו גמורה היא חייב אפילו בגניבה ואבידה כל שנשתמש בהן ונכנסו לרשותו דלאו עמו במלאכתו היא ומשמע דאפי' עדיין לא נשתמש בהם מאחר שהפירו' הם שלו נעשה עליהם ש"ש ועיין בב"ח מ"ש בזה ואין דבריו מוכרחים וסתם אבד או נגנב ממילא משמע</w:t>
      </w:r>
      <w:r>
        <w:rPr>
          <w:rFonts w:cs="Arial" w:hint="cs"/>
          <w:rtl/>
        </w:rPr>
        <w:t>, ח"מ (סק"ז).</w:t>
      </w:r>
    </w:p>
  </w:footnote>
  <w:footnote w:id="3230">
    <w:p w14:paraId="0995D2FD" w14:textId="77777777" w:rsidR="00DF1FC7" w:rsidRDefault="00DF1FC7" w:rsidP="002E5BAD">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3231">
    <w:p w14:paraId="53CBF852" w14:textId="77777777" w:rsidR="00DF1FC7" w:rsidRDefault="00DF1FC7" w:rsidP="002E5BAD">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3232">
    <w:p w14:paraId="53023568" w14:textId="77777777" w:rsidR="00DF1FC7" w:rsidRDefault="00DF1FC7" w:rsidP="002E5BAD">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r w:rsidRPr="00C90FBA">
        <w:rPr>
          <w:rFonts w:cs="Arial" w:hint="cs"/>
          <w:rtl/>
        </w:rPr>
        <w:t xml:space="preserve"> </w:t>
      </w:r>
      <w:r>
        <w:rPr>
          <w:rFonts w:cs="Arial" w:hint="cs"/>
          <w:rtl/>
        </w:rPr>
        <w:t xml:space="preserve">והר"ן (נט: מדפה"ר) כתב וז"ל- </w:t>
      </w:r>
      <w:r w:rsidRPr="00C90FBA">
        <w:rPr>
          <w:rFonts w:cs="Arial"/>
          <w:rtl/>
        </w:rPr>
        <w:t>אית לה תוספת שכיון שהוסיף לה מדעתו ולא חשש לשמא תמצא אילונית רצה ליזוק בנכסיו</w:t>
      </w:r>
      <w:r>
        <w:rPr>
          <w:rFonts w:cs="Arial" w:hint="cs"/>
          <w:rtl/>
        </w:rPr>
        <w:t>.</w:t>
      </w:r>
    </w:p>
  </w:footnote>
  <w:footnote w:id="3233">
    <w:p w14:paraId="16C7CBE6" w14:textId="77777777" w:rsidR="00DF1FC7" w:rsidRDefault="00DF1FC7" w:rsidP="002E5BAD">
      <w:pPr>
        <w:pStyle w:val="a5"/>
        <w:rPr>
          <w:rtl/>
        </w:rPr>
      </w:pPr>
      <w:r>
        <w:rPr>
          <w:rStyle w:val="a7"/>
        </w:rPr>
        <w:footnoteRef/>
      </w:r>
      <w:r>
        <w:rPr>
          <w:rtl/>
        </w:rPr>
        <w:t xml:space="preserve"> </w:t>
      </w:r>
      <w:r w:rsidRPr="003C7FB6">
        <w:rPr>
          <w:rFonts w:cs="Arial"/>
          <w:rtl/>
        </w:rPr>
        <w:t>כתב הר"ן פרק אלמנה נזונת (נט. ד"ה מתני') דאם לותה ואכלה ואח"כ נמצאת אילונית חייב לשלם וע"ש, עוד כתב (שם: ד"ה גמ') הא דאילונית יש לה תוספת היינו שהוא מוציאה אבל אם היא רוצה לצאת אין לה תוספת דכי אקני לה אדעתא למיקם קמיה עכ"ל</w:t>
      </w:r>
      <w:r>
        <w:rPr>
          <w:rFonts w:cs="Arial" w:hint="cs"/>
          <w:rtl/>
        </w:rPr>
        <w:t>, דרכ"מ (אות ג).</w:t>
      </w:r>
    </w:p>
  </w:footnote>
  <w:footnote w:id="3234">
    <w:p w14:paraId="09E5E65D" w14:textId="77777777" w:rsidR="00DF1FC7" w:rsidRDefault="00DF1FC7" w:rsidP="002E5BAD">
      <w:pPr>
        <w:pStyle w:val="a5"/>
      </w:pPr>
      <w:r>
        <w:rPr>
          <w:rStyle w:val="a7"/>
        </w:rPr>
        <w:footnoteRef/>
      </w:r>
      <w:r>
        <w:rPr>
          <w:rtl/>
        </w:rPr>
        <w:t xml:space="preserve"> </w:t>
      </w:r>
      <w:r>
        <w:rPr>
          <w:rFonts w:hint="cs"/>
          <w:rtl/>
        </w:rPr>
        <w:t>וכ"כ הר"ן בפרק אלמנה ניזונת (נט. ד"ה מתני')..., חידושי הגהות (על הטור, אות ב).</w:t>
      </w:r>
    </w:p>
  </w:footnote>
  <w:footnote w:id="3235">
    <w:p w14:paraId="53C32CEA" w14:textId="77777777" w:rsidR="00DF1FC7" w:rsidRDefault="00DF1FC7" w:rsidP="002E5BAD">
      <w:pPr>
        <w:pStyle w:val="a5"/>
      </w:pPr>
      <w:r>
        <w:rPr>
          <w:rStyle w:val="a7"/>
        </w:rPr>
        <w:footnoteRef/>
      </w:r>
      <w:r>
        <w:rPr>
          <w:rtl/>
        </w:rPr>
        <w:t xml:space="preserve"> </w:t>
      </w:r>
      <w:r>
        <w:rPr>
          <w:rFonts w:hint="cs"/>
          <w:rtl/>
        </w:rPr>
        <w:t>וכ"כ הנמוק"י (יבמות כ:) גבי הא דת"ר (סה.) נישאת לראשון ולא היו לו בנים..., חידושי הגהות (על הטור, אות ב).</w:t>
      </w:r>
    </w:p>
  </w:footnote>
  <w:footnote w:id="3236">
    <w:p w14:paraId="019EF084" w14:textId="77777777" w:rsidR="00DF1FC7" w:rsidRDefault="00DF1FC7" w:rsidP="002E5BAD">
      <w:pPr>
        <w:pStyle w:val="a5"/>
      </w:pPr>
      <w:r>
        <w:rPr>
          <w:rStyle w:val="a7"/>
        </w:rPr>
        <w:footnoteRef/>
      </w:r>
      <w:r>
        <w:rPr>
          <w:rtl/>
        </w:rPr>
        <w:t xml:space="preserve"> </w:t>
      </w:r>
      <w:r w:rsidRPr="00F23B62">
        <w:rPr>
          <w:rFonts w:cs="Arial"/>
          <w:rtl/>
        </w:rPr>
        <w:t>כלומר ועדיפא מחייבי לאוין וחייבי עשה וחייב בפרקונ' וחייב במזונותיה וממילא זוכה במציאתה</w:t>
      </w:r>
      <w:r>
        <w:rPr>
          <w:rFonts w:cs="Arial" w:hint="cs"/>
          <w:rtl/>
        </w:rPr>
        <w:t>, ח"מ (סק"ח).</w:t>
      </w:r>
    </w:p>
  </w:footnote>
  <w:footnote w:id="3237">
    <w:p w14:paraId="497DB3D2" w14:textId="77777777" w:rsidR="00DF1FC7" w:rsidRDefault="00DF1FC7" w:rsidP="002E5BAD">
      <w:pPr>
        <w:pStyle w:val="a5"/>
      </w:pPr>
      <w:r>
        <w:rPr>
          <w:rStyle w:val="a7"/>
        </w:rPr>
        <w:footnoteRef/>
      </w:r>
      <w:r>
        <w:rPr>
          <w:rtl/>
        </w:rPr>
        <w:t xml:space="preserve"> </w:t>
      </w:r>
      <w:r w:rsidRPr="00F23B62">
        <w:rPr>
          <w:rFonts w:cs="Arial"/>
          <w:rtl/>
        </w:rPr>
        <w:t>לפ"ז משמע בענין מזונות ע</w:t>
      </w:r>
      <w:r>
        <w:rPr>
          <w:rFonts w:cs="Arial" w:hint="cs"/>
          <w:rtl/>
        </w:rPr>
        <w:t>ל כרחך</w:t>
      </w:r>
      <w:r w:rsidRPr="00F23B62">
        <w:rPr>
          <w:rFonts w:cs="Arial"/>
          <w:rtl/>
        </w:rPr>
        <w:t xml:space="preserve"> כל זמן שא</w:t>
      </w:r>
      <w:r>
        <w:rPr>
          <w:rFonts w:cs="Arial" w:hint="cs"/>
          <w:rtl/>
        </w:rPr>
        <w:t>ינו יודע</w:t>
      </w:r>
      <w:r w:rsidRPr="00F23B62">
        <w:rPr>
          <w:rFonts w:cs="Arial"/>
          <w:rtl/>
        </w:rPr>
        <w:t xml:space="preserve"> בודאי זן אותה</w:t>
      </w:r>
      <w:r>
        <w:rPr>
          <w:rFonts w:cs="Arial" w:hint="cs"/>
          <w:rtl/>
        </w:rPr>
        <w:t>,</w:t>
      </w:r>
      <w:r w:rsidRPr="00F23B62">
        <w:rPr>
          <w:rFonts w:cs="Arial"/>
          <w:rtl/>
        </w:rPr>
        <w:t xml:space="preserve"> אלא אם הכיר בה אח"כ אין לה מזונות כמו ח</w:t>
      </w:r>
      <w:r>
        <w:rPr>
          <w:rFonts w:cs="Arial" w:hint="cs"/>
          <w:rtl/>
        </w:rPr>
        <w:t xml:space="preserve">ייבי </w:t>
      </w:r>
      <w:r w:rsidRPr="00F23B62">
        <w:rPr>
          <w:rFonts w:cs="Arial"/>
          <w:rtl/>
        </w:rPr>
        <w:t>ל</w:t>
      </w:r>
      <w:r>
        <w:rPr>
          <w:rFonts w:cs="Arial" w:hint="cs"/>
          <w:rtl/>
        </w:rPr>
        <w:t>אוין,</w:t>
      </w:r>
      <w:r w:rsidRPr="00F23B62">
        <w:rPr>
          <w:rFonts w:cs="Arial"/>
          <w:rtl/>
        </w:rPr>
        <w:t xml:space="preserve"> והר"ן </w:t>
      </w:r>
      <w:r>
        <w:rPr>
          <w:rFonts w:cs="Arial" w:hint="cs"/>
          <w:rtl/>
        </w:rPr>
        <w:t xml:space="preserve">(נט.) </w:t>
      </w:r>
      <w:r w:rsidRPr="00F23B62">
        <w:rPr>
          <w:rFonts w:cs="Arial"/>
          <w:rtl/>
        </w:rPr>
        <w:t>כתב אם הכיר אח"כ ודר עמה הוי כאלו שנשאת מתחלה לשם איילנות וע"ש</w:t>
      </w:r>
      <w:r>
        <w:rPr>
          <w:rFonts w:cs="Arial" w:hint="cs"/>
          <w:rtl/>
        </w:rPr>
        <w:t>, ב"ש (סק"ז).</w:t>
      </w:r>
    </w:p>
  </w:footnote>
  <w:footnote w:id="3238">
    <w:p w14:paraId="76685E25" w14:textId="77777777" w:rsidR="00DF1FC7" w:rsidRDefault="00DF1FC7" w:rsidP="002E5BAD">
      <w:pPr>
        <w:pStyle w:val="a5"/>
      </w:pPr>
      <w:r>
        <w:rPr>
          <w:rStyle w:val="a7"/>
        </w:rPr>
        <w:footnoteRef/>
      </w:r>
      <w:r>
        <w:rPr>
          <w:rtl/>
        </w:rPr>
        <w:t xml:space="preserve"> </w:t>
      </w:r>
      <w:r>
        <w:rPr>
          <w:rFonts w:cs="Arial" w:hint="cs"/>
          <w:rtl/>
        </w:rPr>
        <w:t xml:space="preserve">וז"ל- </w:t>
      </w:r>
      <w:r>
        <w:rPr>
          <w:rFonts w:cs="Arial"/>
          <w:rtl/>
        </w:rPr>
        <w:t xml:space="preserve">שניה לא שנא הכיר בה ולא שנא לא הכיר בה </w:t>
      </w:r>
      <w:r>
        <w:rPr>
          <w:rFonts w:cs="Arial" w:hint="cs"/>
          <w:rtl/>
        </w:rPr>
        <w:t xml:space="preserve">- </w:t>
      </w:r>
      <w:r>
        <w:rPr>
          <w:rFonts w:cs="Arial"/>
          <w:rtl/>
        </w:rPr>
        <w:t>אין לה כתובה מנה מאתים</w:t>
      </w:r>
      <w:r>
        <w:rPr>
          <w:rFonts w:cs="Arial" w:hint="cs"/>
          <w:rtl/>
        </w:rPr>
        <w:t>,</w:t>
      </w:r>
      <w:r>
        <w:rPr>
          <w:rFonts w:cs="Arial"/>
          <w:rtl/>
        </w:rPr>
        <w:t xml:space="preserve"> אבל תוספת יש לה</w:t>
      </w:r>
      <w:r>
        <w:rPr>
          <w:rFonts w:cs="Arial" w:hint="cs"/>
          <w:rtl/>
        </w:rPr>
        <w:t>.</w:t>
      </w:r>
      <w:r>
        <w:rPr>
          <w:rFonts w:cs="Arial"/>
          <w:rtl/>
        </w:rPr>
        <w:t xml:space="preserve"> ולא בלאות של נכסי מלוג בדליתנהו</w:t>
      </w:r>
      <w:r>
        <w:rPr>
          <w:rFonts w:cs="Arial" w:hint="cs"/>
          <w:rtl/>
        </w:rPr>
        <w:t>,</w:t>
      </w:r>
      <w:r>
        <w:rPr>
          <w:rFonts w:cs="Arial"/>
          <w:rtl/>
        </w:rPr>
        <w:t xml:space="preserve"> אבל איתנהו אית לה</w:t>
      </w:r>
      <w:r>
        <w:rPr>
          <w:rFonts w:cs="Arial" w:hint="cs"/>
          <w:rtl/>
        </w:rPr>
        <w:t>.</w:t>
      </w:r>
      <w:r>
        <w:rPr>
          <w:rFonts w:cs="Arial"/>
          <w:rtl/>
        </w:rPr>
        <w:t xml:space="preserve"> ונכסי צאן ברזל</w:t>
      </w:r>
      <w:r>
        <w:rPr>
          <w:rFonts w:cs="Arial" w:hint="cs"/>
          <w:rtl/>
        </w:rPr>
        <w:t>,</w:t>
      </w:r>
      <w:r>
        <w:rPr>
          <w:rFonts w:cs="Arial"/>
          <w:rtl/>
        </w:rPr>
        <w:t xml:space="preserve"> בין איתנהו בין ליתנהו אית לה</w:t>
      </w:r>
      <w:r>
        <w:rPr>
          <w:rFonts w:cs="Arial" w:hint="cs"/>
          <w:rtl/>
        </w:rPr>
        <w:t>,</w:t>
      </w:r>
      <w:r>
        <w:rPr>
          <w:rFonts w:cs="Arial"/>
          <w:rtl/>
        </w:rPr>
        <w:t xml:space="preserve"> כדרב כהנא דאמר קנסו רבנן לדידה בדידה ולדידיה בדידיה</w:t>
      </w:r>
      <w:r>
        <w:rPr>
          <w:rFonts w:cs="Arial" w:hint="cs"/>
          <w:rtl/>
        </w:rPr>
        <w:t>.</w:t>
      </w:r>
      <w:r>
        <w:rPr>
          <w:rFonts w:cs="Arial"/>
          <w:rtl/>
        </w:rPr>
        <w:t xml:space="preserve"> ומנ"ל דשניה בין הכיר בה בין לא הכיר בה חד דינא הוא דאית לה</w:t>
      </w:r>
      <w:r>
        <w:rPr>
          <w:rFonts w:cs="Arial" w:hint="cs"/>
          <w:rtl/>
        </w:rPr>
        <w:t>?</w:t>
      </w:r>
      <w:r>
        <w:rPr>
          <w:rFonts w:cs="Arial"/>
          <w:rtl/>
        </w:rPr>
        <w:t xml:space="preserve"> חדא מדפליג תנא באילונית ולא מפליג בשניה מכלל דשניה לא שנא הכי ולא שנא הכי אין לה כתובה</w:t>
      </w:r>
      <w:r>
        <w:rPr>
          <w:rFonts w:cs="Arial" w:hint="cs"/>
          <w:rtl/>
        </w:rPr>
        <w:t>.</w:t>
      </w:r>
      <w:r>
        <w:rPr>
          <w:rFonts w:cs="Arial"/>
          <w:rtl/>
        </w:rPr>
        <w:t xml:space="preserve"> ועוד דגרסינן פרק יש מותרות (פה.) ת"ר אלמנה לכ"ג גרושה וחלוצה לכהן הדיוט יש להן כתובה פירות מזונות בלאות</w:t>
      </w:r>
      <w:r>
        <w:rPr>
          <w:rFonts w:cs="Arial" w:hint="cs"/>
          <w:rtl/>
        </w:rPr>
        <w:t>,</w:t>
      </w:r>
      <w:r>
        <w:rPr>
          <w:rFonts w:cs="Arial"/>
          <w:rtl/>
        </w:rPr>
        <w:t xml:space="preserve"> שניות מדברי סופרים אין להן כתובה ולא פירות ולא מזונות ולא בלאות</w:t>
      </w:r>
      <w:r>
        <w:rPr>
          <w:rFonts w:cs="Arial" w:hint="cs"/>
          <w:rtl/>
        </w:rPr>
        <w:t>.</w:t>
      </w:r>
      <w:r>
        <w:rPr>
          <w:rFonts w:cs="Arial"/>
          <w:rtl/>
        </w:rPr>
        <w:t xml:space="preserve"> וכבר קיי"ל דהא דקתני אלמנה לכ"ג יש לה כתובה</w:t>
      </w:r>
      <w:r>
        <w:rPr>
          <w:rFonts w:cs="Arial" w:hint="cs"/>
          <w:rtl/>
        </w:rPr>
        <w:t xml:space="preserve">, </w:t>
      </w:r>
      <w:r>
        <w:rPr>
          <w:rFonts w:cs="Arial"/>
          <w:rtl/>
        </w:rPr>
        <w:t>בשהכיר בה</w:t>
      </w:r>
      <w:r>
        <w:rPr>
          <w:rFonts w:cs="Arial" w:hint="cs"/>
          <w:rtl/>
        </w:rPr>
        <w:t xml:space="preserve">, </w:t>
      </w:r>
      <w:r>
        <w:rPr>
          <w:rFonts w:cs="Arial"/>
          <w:rtl/>
        </w:rPr>
        <w:t>אבל לא הכיר בה אין לה כתובה אבל תוספת יש לה</w:t>
      </w:r>
      <w:r>
        <w:rPr>
          <w:rFonts w:cs="Arial" w:hint="cs"/>
          <w:rtl/>
        </w:rPr>
        <w:t>.</w:t>
      </w:r>
      <w:r>
        <w:rPr>
          <w:rFonts w:cs="Arial"/>
          <w:rtl/>
        </w:rPr>
        <w:t xml:space="preserve"> ומדאלמנה הוא דיש לה כתובה בשהכיר בה</w:t>
      </w:r>
      <w:r>
        <w:rPr>
          <w:rFonts w:cs="Arial" w:hint="cs"/>
          <w:rtl/>
        </w:rPr>
        <w:t>,</w:t>
      </w:r>
      <w:r>
        <w:rPr>
          <w:rFonts w:cs="Arial"/>
          <w:rtl/>
        </w:rPr>
        <w:t xml:space="preserve"> שניה נמי דפליג בדידה בשהכיר בה וקתני אין לה כתובה ואי הכיר בה אין לה כתובה</w:t>
      </w:r>
      <w:r>
        <w:rPr>
          <w:rFonts w:cs="Arial" w:hint="cs"/>
          <w:rtl/>
        </w:rPr>
        <w:t xml:space="preserve"> -</w:t>
      </w:r>
      <w:r>
        <w:rPr>
          <w:rFonts w:cs="Arial"/>
          <w:rtl/>
        </w:rPr>
        <w:t xml:space="preserve"> כל שכן לא הכיר בה</w:t>
      </w:r>
      <w:r>
        <w:rPr>
          <w:rFonts w:cs="Arial" w:hint="cs"/>
          <w:rtl/>
        </w:rPr>
        <w:t>.</w:t>
      </w:r>
    </w:p>
  </w:footnote>
  <w:footnote w:id="3239">
    <w:p w14:paraId="1CF0BB76" w14:textId="77777777" w:rsidR="00DF1FC7" w:rsidRDefault="00DF1FC7" w:rsidP="002E5BAD">
      <w:pPr>
        <w:pStyle w:val="a5"/>
      </w:pPr>
      <w:r>
        <w:rPr>
          <w:rStyle w:val="a7"/>
        </w:rPr>
        <w:footnoteRef/>
      </w:r>
      <w:r>
        <w:rPr>
          <w:rtl/>
        </w:rPr>
        <w:t xml:space="preserve"> </w:t>
      </w:r>
      <w:r>
        <w:rPr>
          <w:rFonts w:cs="Arial"/>
          <w:rtl/>
        </w:rPr>
        <w:t>וכתב הרמב"ם בפכ"ד (ה"ד) ולמה לא חלקו בשניה בין הכיר בה ללא הכיר אלא אמרו אין לה עיקר כתובה בכל מקום מפני שהיא מדברי סופרים עשו בה חיזוק</w:t>
      </w:r>
      <w:r>
        <w:rPr>
          <w:rFonts w:cs="Arial" w:hint="cs"/>
          <w:rtl/>
        </w:rPr>
        <w:t>.</w:t>
      </w:r>
      <w:r>
        <w:rPr>
          <w:rFonts w:cs="Arial"/>
          <w:rtl/>
        </w:rPr>
        <w:t xml:space="preserve"> אבל אם נשא אחת מחייבי לאוין והכיר בה או אחת מחייבי עשה בין הכיר בה ובין לא הכיר יש לה כתובה שחייבי לאוין שהכיר בה רצה ליזוק בנכסיו וחייבי עשה איסורן קל עכ"ל. ומה שנתן טעם לשניה מפני שהם מדברי סופרים ודברי סופרים צריכים חיזוק היינו כרבי דאמר הכי בפרק יש מותרות (פה:) ואף על גב דרבי שמעון בן אלעזר פליג עליה התם ואמר טעמא אחרינא הא קיי"ל (כתובות כא.) הלכה כרבי מחבירו. ודע דהתם בברייתא מסיים</w:t>
      </w:r>
      <w:r>
        <w:rPr>
          <w:rFonts w:cs="Arial" w:hint="cs"/>
          <w:rtl/>
        </w:rPr>
        <w:t>:</w:t>
      </w:r>
      <w:r>
        <w:rPr>
          <w:rFonts w:cs="Arial"/>
          <w:rtl/>
        </w:rPr>
        <w:t xml:space="preserve"> דבר אחר זו הוא מרגילה וזו היא מרגילתו</w:t>
      </w:r>
      <w:r>
        <w:rPr>
          <w:rFonts w:cs="Arial" w:hint="cs"/>
          <w:rtl/>
        </w:rPr>
        <w:t>.</w:t>
      </w:r>
      <w:r>
        <w:rPr>
          <w:rFonts w:cs="Arial"/>
          <w:rtl/>
        </w:rPr>
        <w:t xml:space="preserve"> ופירש רש"י זה הוא מרגילה אלמנה לכהן גדול וכו' הוא מרגילה ומסיתה להנשא לו</w:t>
      </w:r>
      <w:r>
        <w:rPr>
          <w:rFonts w:cs="Arial" w:hint="cs"/>
          <w:rtl/>
        </w:rPr>
        <w:t>.</w:t>
      </w:r>
      <w:r>
        <w:rPr>
          <w:rFonts w:cs="Arial"/>
          <w:rtl/>
        </w:rPr>
        <w:t xml:space="preserve"> וזו שניה כיון דלאו איהי מיפסלא ולא זרעה מיפסיל ולא מפסדא מידי בביאתו היא מרגילתו</w:t>
      </w:r>
      <w:r>
        <w:rPr>
          <w:rFonts w:cs="Arial" w:hint="cs"/>
          <w:rtl/>
        </w:rPr>
        <w:t>,</w:t>
      </w:r>
      <w:r>
        <w:rPr>
          <w:rFonts w:cs="Arial"/>
          <w:rtl/>
        </w:rPr>
        <w:t xml:space="preserve"> דאשה רוצה להנשא יותר מן האיש</w:t>
      </w:r>
      <w:r>
        <w:rPr>
          <w:rFonts w:cs="Arial" w:hint="cs"/>
          <w:rtl/>
        </w:rPr>
        <w:t>.</w:t>
      </w:r>
      <w:r>
        <w:rPr>
          <w:rFonts w:cs="Arial"/>
          <w:rtl/>
        </w:rPr>
        <w:t xml:space="preserve"> ואיכא בגמרא תרי לישני איכא דאמרי רבי שמעון בן אלעזר קאמר לה ואיכא דאמרי רבי קאמר לה</w:t>
      </w:r>
      <w:r>
        <w:rPr>
          <w:rFonts w:cs="Arial" w:hint="cs"/>
          <w:rtl/>
        </w:rPr>
        <w:t>.</w:t>
      </w:r>
      <w:r>
        <w:rPr>
          <w:rFonts w:cs="Arial"/>
          <w:rtl/>
        </w:rPr>
        <w:t xml:space="preserve"> וחלוצה קשיא ליה</w:t>
      </w:r>
      <w:r>
        <w:rPr>
          <w:rFonts w:cs="Arial" w:hint="cs"/>
          <w:rtl/>
        </w:rPr>
        <w:t>.</w:t>
      </w:r>
      <w:r>
        <w:rPr>
          <w:rFonts w:cs="Arial"/>
          <w:rtl/>
        </w:rPr>
        <w:t xml:space="preserve"> והא חלוצה דרבנן ואית לה כתובה</w:t>
      </w:r>
      <w:r>
        <w:rPr>
          <w:rFonts w:cs="Arial" w:hint="cs"/>
          <w:rtl/>
        </w:rPr>
        <w:t>,</w:t>
      </w:r>
      <w:r>
        <w:rPr>
          <w:rFonts w:cs="Arial"/>
          <w:rtl/>
        </w:rPr>
        <w:t xml:space="preserve"> הדר אמר כיון דפסיל לה מדרבנן זה הוא מרגילה וזו היא מרגילתו</w:t>
      </w:r>
      <w:r>
        <w:rPr>
          <w:rFonts w:cs="Arial" w:hint="cs"/>
          <w:rtl/>
        </w:rPr>
        <w:t>.</w:t>
      </w:r>
      <w:r>
        <w:rPr>
          <w:rFonts w:cs="Arial"/>
          <w:rtl/>
        </w:rPr>
        <w:t xml:space="preserve"> ורבינו שכתב בתחלת הסימן חלוצה בהדי גרושה וקאמר דיש להם כתובה כלישנא דמתניתין נראה שסובר דקיי"ל כלישנא בתרא</w:t>
      </w:r>
      <w:r>
        <w:rPr>
          <w:rFonts w:cs="Arial" w:hint="cs"/>
          <w:rtl/>
        </w:rPr>
        <w:t>.</w:t>
      </w:r>
      <w:r>
        <w:rPr>
          <w:rFonts w:cs="Arial"/>
          <w:rtl/>
        </w:rPr>
        <w:t xml:space="preserve"> אבל הרמב"ם בפרק כ"ד לא כתב טעם דזה הוא מרגילה וכו' וכתב סתם דין חייבי לאוין ולא הזכיר דין חלוצה כלל</w:t>
      </w:r>
      <w:r>
        <w:rPr>
          <w:rFonts w:cs="Arial" w:hint="cs"/>
          <w:rtl/>
        </w:rPr>
        <w:t>.</w:t>
      </w:r>
      <w:r>
        <w:rPr>
          <w:rFonts w:cs="Arial"/>
          <w:rtl/>
        </w:rPr>
        <w:t xml:space="preserve"> נראה שהוא ז"ל סבור דחלוצה הואיל והיא מדברי סופרים דינה כדין השניה והא דקתני לה במתניתין בהדי גרושה וקתני דיש להן כתובה י"ל דאשגרת לישן הוא שכן דרך בכל מקום לשנות חלוצה בהדי גרושה ולא משום דדינם שוה לענין זה</w:t>
      </w:r>
      <w:r>
        <w:rPr>
          <w:rFonts w:cs="Arial" w:hint="cs"/>
          <w:rtl/>
        </w:rPr>
        <w:t>.</w:t>
      </w:r>
      <w:r>
        <w:rPr>
          <w:rFonts w:cs="Arial"/>
          <w:rtl/>
        </w:rPr>
        <w:t xml:space="preserve"> [בדק הבית] אי נמי מתניתין דיהבא טעמא דזו היא מרגילתו לא קיימא לן כוותה [עד כאן]</w:t>
      </w:r>
      <w:r>
        <w:rPr>
          <w:rFonts w:cs="Arial" w:hint="cs"/>
          <w:rtl/>
        </w:rPr>
        <w:t>.</w:t>
      </w:r>
      <w:r>
        <w:rPr>
          <w:rFonts w:cs="Arial"/>
          <w:rtl/>
        </w:rPr>
        <w:t xml:space="preserve"> וטעמו משום דללישנא דרשב"א קאמ' לה</w:t>
      </w:r>
      <w:r>
        <w:rPr>
          <w:rFonts w:cs="Arial" w:hint="cs"/>
          <w:rtl/>
        </w:rPr>
        <w:t>,</w:t>
      </w:r>
      <w:r>
        <w:rPr>
          <w:rFonts w:cs="Arial"/>
          <w:rtl/>
        </w:rPr>
        <w:t xml:space="preserve"> ורבי לא קאמר אלא טעמא דדברי סופרים צריכין חיזוק בלבד</w:t>
      </w:r>
      <w:r>
        <w:rPr>
          <w:rFonts w:cs="Arial" w:hint="cs"/>
          <w:rtl/>
        </w:rPr>
        <w:t>,</w:t>
      </w:r>
      <w:r>
        <w:rPr>
          <w:rFonts w:cs="Arial"/>
          <w:rtl/>
        </w:rPr>
        <w:t xml:space="preserve"> ואם כן חלוצה שהיא מדברי סופרים ע"כ דינה כדין השניה</w:t>
      </w:r>
      <w:r>
        <w:rPr>
          <w:rFonts w:cs="Arial" w:hint="cs"/>
          <w:rtl/>
        </w:rPr>
        <w:t>.</w:t>
      </w:r>
      <w:r>
        <w:rPr>
          <w:rFonts w:cs="Arial"/>
          <w:rtl/>
        </w:rPr>
        <w:t xml:space="preserve"> וכיון דספיקא דלישני היא מספיקא לא מפקינן ממונא</w:t>
      </w:r>
      <w:r>
        <w:rPr>
          <w:rFonts w:cs="Arial" w:hint="cs"/>
          <w:rtl/>
        </w:rPr>
        <w:t>, ב"י.</w:t>
      </w:r>
    </w:p>
  </w:footnote>
  <w:footnote w:id="3240">
    <w:p w14:paraId="5A5467D2" w14:textId="77777777" w:rsidR="00DF1FC7" w:rsidRDefault="00DF1FC7" w:rsidP="002E5BAD">
      <w:pPr>
        <w:pStyle w:val="a5"/>
        <w:rPr>
          <w:rtl/>
        </w:rPr>
      </w:pPr>
      <w:r>
        <w:rPr>
          <w:rStyle w:val="a7"/>
        </w:rPr>
        <w:footnoteRef/>
      </w:r>
      <w:r>
        <w:rPr>
          <w:rtl/>
        </w:rPr>
        <w:t xml:space="preserve"> </w:t>
      </w:r>
      <w:r>
        <w:rPr>
          <w:rFonts w:cs="Arial"/>
          <w:rtl/>
        </w:rPr>
        <w:t>נלמד מברייתא דבסמוך דגבי מאי דקתני אלמנה לכהן גדול יש לה מזונות קתני דשניה אין לה מזונות</w:t>
      </w:r>
      <w:r>
        <w:rPr>
          <w:rFonts w:cs="Arial" w:hint="cs"/>
          <w:rtl/>
        </w:rPr>
        <w:t>,</w:t>
      </w:r>
      <w:r>
        <w:rPr>
          <w:rFonts w:cs="Arial"/>
          <w:rtl/>
        </w:rPr>
        <w:t xml:space="preserve"> וכבר נתבאר דאלמנה לכהן גדול לית לה מזונות אלא לאחר מותו</w:t>
      </w:r>
      <w:r>
        <w:rPr>
          <w:rFonts w:cs="Arial" w:hint="cs"/>
          <w:rtl/>
        </w:rPr>
        <w:t>,</w:t>
      </w:r>
      <w:r>
        <w:rPr>
          <w:rFonts w:cs="Arial"/>
          <w:rtl/>
        </w:rPr>
        <w:t xml:space="preserve"> אבל לא בחייו</w:t>
      </w:r>
      <w:r>
        <w:rPr>
          <w:rFonts w:cs="Arial" w:hint="cs"/>
          <w:rtl/>
        </w:rPr>
        <w:t>.</w:t>
      </w:r>
      <w:r>
        <w:rPr>
          <w:rFonts w:cs="Arial"/>
          <w:rtl/>
        </w:rPr>
        <w:t xml:space="preserve"> ואם כן בההוא גוונא דקתני גבי אלמנה לכ"ג דיש לה מזונות</w:t>
      </w:r>
      <w:r>
        <w:rPr>
          <w:rFonts w:cs="Arial" w:hint="cs"/>
          <w:rtl/>
        </w:rPr>
        <w:t>,</w:t>
      </w:r>
      <w:r>
        <w:rPr>
          <w:rFonts w:cs="Arial"/>
          <w:rtl/>
        </w:rPr>
        <w:t xml:space="preserve"> דהיינו לאחר מותו</w:t>
      </w:r>
      <w:r>
        <w:rPr>
          <w:rFonts w:cs="Arial" w:hint="cs"/>
          <w:rtl/>
        </w:rPr>
        <w:t>,</w:t>
      </w:r>
      <w:r>
        <w:rPr>
          <w:rFonts w:cs="Arial"/>
          <w:rtl/>
        </w:rPr>
        <w:t xml:space="preserve"> קתני בשניה דאין לה מזונות</w:t>
      </w:r>
      <w:r>
        <w:rPr>
          <w:rFonts w:cs="Arial" w:hint="cs"/>
          <w:rtl/>
        </w:rPr>
        <w:t>.</w:t>
      </w:r>
      <w:r>
        <w:rPr>
          <w:rFonts w:cs="Arial"/>
          <w:rtl/>
        </w:rPr>
        <w:t xml:space="preserve"> וכיון דלאחר מותו אין לה מזונות</w:t>
      </w:r>
      <w:r>
        <w:rPr>
          <w:rFonts w:cs="Arial" w:hint="cs"/>
          <w:rtl/>
        </w:rPr>
        <w:t>,</w:t>
      </w:r>
      <w:r>
        <w:rPr>
          <w:rFonts w:cs="Arial"/>
          <w:rtl/>
        </w:rPr>
        <w:t xml:space="preserve"> כל שכן בחייו דהא בעמוד והוציא קאי</w:t>
      </w:r>
      <w:r>
        <w:rPr>
          <w:rFonts w:cs="Arial" w:hint="cs"/>
          <w:rtl/>
        </w:rPr>
        <w:t>.</w:t>
      </w:r>
      <w:r>
        <w:rPr>
          <w:rFonts w:cs="Arial"/>
          <w:rtl/>
        </w:rPr>
        <w:t xml:space="preserve"> וכ"כ הרא"ש בס"פ אלמנה נזונת (שם)</w:t>
      </w:r>
      <w:r>
        <w:rPr>
          <w:rFonts w:hint="cs"/>
          <w:rtl/>
        </w:rPr>
        <w:t>, ב"י.</w:t>
      </w:r>
    </w:p>
  </w:footnote>
  <w:footnote w:id="3241">
    <w:p w14:paraId="731FC7D7" w14:textId="77777777" w:rsidR="00DF1FC7" w:rsidRDefault="00DF1FC7" w:rsidP="002E5BAD">
      <w:pPr>
        <w:pStyle w:val="a5"/>
      </w:pPr>
      <w:r>
        <w:rPr>
          <w:rStyle w:val="a7"/>
        </w:rPr>
        <w:footnoteRef/>
      </w:r>
      <w:r>
        <w:rPr>
          <w:rtl/>
        </w:rPr>
        <w:t xml:space="preserve"> </w:t>
      </w:r>
      <w:r w:rsidRPr="000F521D">
        <w:rPr>
          <w:rFonts w:cs="Arial"/>
          <w:rtl/>
        </w:rPr>
        <w:t xml:space="preserve">אבל הרא"ש כתב כגון שבילן הבעל בבת אחת </w:t>
      </w:r>
      <w:r>
        <w:rPr>
          <w:rFonts w:cs="Arial" w:hint="cs"/>
          <w:rtl/>
        </w:rPr>
        <w:t xml:space="preserve">או </w:t>
      </w:r>
      <w:r w:rsidRPr="000F521D">
        <w:rPr>
          <w:rFonts w:cs="Arial"/>
          <w:rtl/>
        </w:rPr>
        <w:t>שמכרן</w:t>
      </w:r>
      <w:r>
        <w:rPr>
          <w:rFonts w:cs="Arial" w:hint="cs"/>
          <w:rtl/>
        </w:rPr>
        <w:t>,</w:t>
      </w:r>
      <w:r w:rsidRPr="000F521D">
        <w:rPr>
          <w:rFonts w:cs="Arial"/>
          <w:rtl/>
        </w:rPr>
        <w:t xml:space="preserve"> והיינו דאיכא בין שניה לאשה כשירה</w:t>
      </w:r>
      <w:r>
        <w:rPr>
          <w:rFonts w:cs="Arial" w:hint="cs"/>
          <w:rtl/>
        </w:rPr>
        <w:t>,</w:t>
      </w:r>
      <w:r w:rsidRPr="000F521D">
        <w:rPr>
          <w:rFonts w:cs="Arial"/>
          <w:rtl/>
        </w:rPr>
        <w:t xml:space="preserve"> בשניה לית לה אפי' אם מכר נ</w:t>
      </w:r>
      <w:r>
        <w:rPr>
          <w:rFonts w:cs="Arial" w:hint="cs"/>
          <w:rtl/>
        </w:rPr>
        <w:t xml:space="preserve">כסי </w:t>
      </w:r>
      <w:r w:rsidRPr="000F521D">
        <w:rPr>
          <w:rFonts w:cs="Arial"/>
          <w:rtl/>
        </w:rPr>
        <w:t>מ</w:t>
      </w:r>
      <w:r>
        <w:rPr>
          <w:rFonts w:cs="Arial" w:hint="cs"/>
          <w:rtl/>
        </w:rPr>
        <w:t>לוג</w:t>
      </w:r>
      <w:r w:rsidRPr="000F521D">
        <w:rPr>
          <w:rFonts w:cs="Arial"/>
          <w:rtl/>
        </w:rPr>
        <w:t xml:space="preserve"> שלה</w:t>
      </w:r>
      <w:r>
        <w:rPr>
          <w:rFonts w:cs="Arial" w:hint="cs"/>
          <w:rtl/>
        </w:rPr>
        <w:t>,</w:t>
      </w:r>
      <w:r w:rsidRPr="000F521D">
        <w:rPr>
          <w:rFonts w:cs="Arial"/>
          <w:rtl/>
        </w:rPr>
        <w:t xml:space="preserve"> ואשה כשירה אם אכל הקרן של נ"מ צריך לשלם</w:t>
      </w:r>
      <w:r>
        <w:rPr>
          <w:rFonts w:cs="Arial" w:hint="cs"/>
          <w:rtl/>
        </w:rPr>
        <w:t>, ח"מ (סק"ט).</w:t>
      </w:r>
      <w:r w:rsidRPr="00CE3152">
        <w:rPr>
          <w:rFonts w:hint="cs"/>
          <w:color w:val="FF0000"/>
          <w:rtl/>
        </w:rPr>
        <w:t xml:space="preserve"> צל"ע שוב בב"ש סק"ה וסק"ח</w:t>
      </w:r>
    </w:p>
  </w:footnote>
  <w:footnote w:id="3242">
    <w:p w14:paraId="25427A2B" w14:textId="77777777" w:rsidR="00DF1FC7" w:rsidRDefault="00DF1FC7" w:rsidP="002E5BAD">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3243">
    <w:p w14:paraId="02558F3A" w14:textId="77777777" w:rsidR="00DF1FC7" w:rsidRDefault="00DF1FC7" w:rsidP="002E5BAD">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3244">
    <w:p w14:paraId="2764621D" w14:textId="77777777" w:rsidR="00DF1FC7" w:rsidRDefault="00DF1FC7" w:rsidP="002E5BAD">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p>
  </w:footnote>
  <w:footnote w:id="3245">
    <w:p w14:paraId="5114B54C" w14:textId="77777777" w:rsidR="00DF1FC7" w:rsidRDefault="00DF1FC7" w:rsidP="002E5BAD">
      <w:pPr>
        <w:pStyle w:val="a5"/>
      </w:pPr>
      <w:r>
        <w:rPr>
          <w:rStyle w:val="a7"/>
        </w:rPr>
        <w:footnoteRef/>
      </w:r>
      <w:r>
        <w:rPr>
          <w:rtl/>
        </w:rPr>
        <w:t xml:space="preserve"> </w:t>
      </w:r>
      <w:r w:rsidRPr="00BE01BB">
        <w:rPr>
          <w:rFonts w:cs="Arial"/>
          <w:rtl/>
        </w:rPr>
        <w:t>כתב רבינו בסימן קנ"ה (עז:) בממאנת</w:t>
      </w:r>
      <w:r>
        <w:rPr>
          <w:rFonts w:cs="Arial" w:hint="cs"/>
          <w:rtl/>
        </w:rPr>
        <w:t>,</w:t>
      </w:r>
      <w:r w:rsidRPr="00BE01BB">
        <w:rPr>
          <w:rFonts w:cs="Arial"/>
          <w:rtl/>
        </w:rPr>
        <w:t xml:space="preserve"> נכסיה שהכניסה לו</w:t>
      </w:r>
      <w:r>
        <w:rPr>
          <w:rFonts w:cs="Arial" w:hint="cs"/>
          <w:rtl/>
        </w:rPr>
        <w:t>,</w:t>
      </w:r>
      <w:r w:rsidRPr="00BE01BB">
        <w:rPr>
          <w:rFonts w:cs="Arial"/>
          <w:rtl/>
        </w:rPr>
        <w:t xml:space="preserve"> אם הם בעין</w:t>
      </w:r>
      <w:r>
        <w:rPr>
          <w:rFonts w:cs="Arial" w:hint="cs"/>
          <w:rtl/>
        </w:rPr>
        <w:t>,</w:t>
      </w:r>
      <w:r w:rsidRPr="00BE01BB">
        <w:rPr>
          <w:rFonts w:cs="Arial"/>
          <w:rtl/>
        </w:rPr>
        <w:t xml:space="preserve"> בין של מלוג בין של צאן ברזל</w:t>
      </w:r>
      <w:r>
        <w:rPr>
          <w:rFonts w:cs="Arial" w:hint="cs"/>
          <w:rtl/>
        </w:rPr>
        <w:t xml:space="preserve"> -</w:t>
      </w:r>
      <w:r w:rsidRPr="00BE01BB">
        <w:rPr>
          <w:rFonts w:cs="Arial"/>
          <w:rtl/>
        </w:rPr>
        <w:t xml:space="preserve"> נוטלתן</w:t>
      </w:r>
      <w:r>
        <w:rPr>
          <w:rFonts w:cs="Arial" w:hint="cs"/>
          <w:rtl/>
        </w:rPr>
        <w:t>.</w:t>
      </w:r>
      <w:r w:rsidRPr="00BE01BB">
        <w:rPr>
          <w:rFonts w:cs="Arial"/>
          <w:rtl/>
        </w:rPr>
        <w:t xml:space="preserve"> ואם אינם בעין </w:t>
      </w:r>
      <w:r>
        <w:rPr>
          <w:rFonts w:cs="Arial" w:hint="cs"/>
          <w:rtl/>
        </w:rPr>
        <w:t xml:space="preserve">- </w:t>
      </w:r>
      <w:r w:rsidRPr="00BE01BB">
        <w:rPr>
          <w:rFonts w:cs="Arial"/>
          <w:rtl/>
        </w:rPr>
        <w:t>צריך לשלם</w:t>
      </w:r>
      <w:r>
        <w:rPr>
          <w:rFonts w:cs="Arial" w:hint="cs"/>
          <w:rtl/>
        </w:rPr>
        <w:t>, ב"י.</w:t>
      </w:r>
    </w:p>
  </w:footnote>
  <w:footnote w:id="3246">
    <w:p w14:paraId="227C0F62" w14:textId="77777777" w:rsidR="00DF1FC7" w:rsidRDefault="00DF1FC7" w:rsidP="002E5BAD">
      <w:pPr>
        <w:pStyle w:val="a5"/>
      </w:pPr>
      <w:r>
        <w:rPr>
          <w:rStyle w:val="a7"/>
        </w:rPr>
        <w:footnoteRef/>
      </w:r>
      <w:r>
        <w:rPr>
          <w:rtl/>
        </w:rPr>
        <w:t xml:space="preserve"> </w:t>
      </w:r>
      <w:r w:rsidRPr="00EE4C94">
        <w:rPr>
          <w:rFonts w:cs="Arial"/>
          <w:rtl/>
        </w:rPr>
        <w:t>אעפ"י שהיא ממאנת ויוצאה לרצונה וראוי היה לומר דכי אקני לה תוספות אדעתא למיקם קמיה וכמ"ש הרמב"ם כל זמן שתרצה ותעמוד לפניו וכמו שיתבאר לקמן סי' קנ"ד סעיף ו' בטוענת על בעלה שאינו יורה כחץ שאין לה תוספות מ"מ קטנה וממאנת שאני דסביר וקיבל דסתם קטנה תמאן ועל חיבת ביאת לילה הראשונה כתב לה ומיאון בקטנה כיוצאת שלא לרצונה</w:t>
      </w:r>
      <w:r>
        <w:rPr>
          <w:rFonts w:cs="Arial" w:hint="cs"/>
          <w:rtl/>
        </w:rPr>
        <w:t>, ח"מ (סק"י).</w:t>
      </w:r>
    </w:p>
  </w:footnote>
  <w:footnote w:id="3247">
    <w:p w14:paraId="0C66F63A" w14:textId="77777777" w:rsidR="00DF1FC7" w:rsidRDefault="00DF1FC7" w:rsidP="002E5BAD">
      <w:pPr>
        <w:pStyle w:val="a5"/>
        <w:rPr>
          <w:rtl/>
        </w:rPr>
      </w:pPr>
      <w:r>
        <w:rPr>
          <w:rStyle w:val="a7"/>
        </w:rPr>
        <w:footnoteRef/>
      </w:r>
      <w:r>
        <w:rPr>
          <w:rtl/>
        </w:rPr>
        <w:t xml:space="preserve"> </w:t>
      </w:r>
      <w:r w:rsidRPr="00BD425E">
        <w:rPr>
          <w:rFonts w:cs="Arial"/>
          <w:rtl/>
        </w:rPr>
        <w:t>הילכך אומרים לו הוי יודע שהמגרש את אשתו משום וסת לא יחזיר ואפילו היא חוזרת וקובעת ותו לא מצי למימר אילו הייתי יודע שכך כו' שהרי התרו בו וגמר בדעתו וגרשה</w:t>
      </w:r>
      <w:r>
        <w:rPr>
          <w:rFonts w:hint="cs"/>
          <w:rtl/>
        </w:rPr>
        <w:t>..., רש"י.</w:t>
      </w:r>
    </w:p>
  </w:footnote>
  <w:footnote w:id="3248">
    <w:p w14:paraId="6500B774" w14:textId="77777777" w:rsidR="00DF1FC7" w:rsidRDefault="00DF1FC7" w:rsidP="002E5BAD">
      <w:pPr>
        <w:pStyle w:val="a5"/>
        <w:rPr>
          <w:rtl/>
        </w:rPr>
      </w:pPr>
      <w:r>
        <w:rPr>
          <w:rStyle w:val="a7"/>
        </w:rPr>
        <w:footnoteRef/>
      </w:r>
      <w:r>
        <w:rPr>
          <w:rtl/>
        </w:rPr>
        <w:t xml:space="preserve"> </w:t>
      </w:r>
      <w:r w:rsidRPr="004A26E4">
        <w:rPr>
          <w:rFonts w:cs="Arial" w:hint="cs"/>
          <w:rtl/>
        </w:rPr>
        <w:t>ועיין ביו"ד סי' קפו</w:t>
      </w:r>
      <w:r>
        <w:rPr>
          <w:rFonts w:cs="Arial" w:hint="cs"/>
          <w:rtl/>
        </w:rPr>
        <w:t xml:space="preserve"> סעיף ב'</w:t>
      </w:r>
      <w:r w:rsidRPr="004A26E4">
        <w:rPr>
          <w:rFonts w:cs="Arial" w:hint="cs"/>
          <w:rtl/>
        </w:rPr>
        <w:t xml:space="preserve"> במחלוקת הראשונים האם חיוב בדיקה לפני/ואחרי תשמיש לאשה שאין לה וסת קבוע הוא גם לבעלה או רק לטהרות</w:t>
      </w:r>
      <w:r>
        <w:rPr>
          <w:rFonts w:hint="cs"/>
          <w:rtl/>
        </w:rPr>
        <w:t>.</w:t>
      </w:r>
    </w:p>
  </w:footnote>
  <w:footnote w:id="3249">
    <w:p w14:paraId="678AD9AB" w14:textId="77777777" w:rsidR="00DF1FC7" w:rsidRDefault="00DF1FC7" w:rsidP="002E5BAD">
      <w:pPr>
        <w:pStyle w:val="a5"/>
      </w:pPr>
      <w:r>
        <w:rPr>
          <w:rStyle w:val="a7"/>
        </w:rPr>
        <w:footnoteRef/>
      </w:r>
      <w:r>
        <w:rPr>
          <w:rtl/>
        </w:rPr>
        <w:t xml:space="preserve"> </w:t>
      </w:r>
      <w:r>
        <w:rPr>
          <w:rFonts w:cs="Arial" w:hint="cs"/>
          <w:rtl/>
        </w:rPr>
        <w:t xml:space="preserve">לא עיקר ולא תוספת, רמב"ם (שם). </w:t>
      </w:r>
      <w:r w:rsidRPr="00A801C8">
        <w:rPr>
          <w:rFonts w:cs="Arial"/>
          <w:rtl/>
        </w:rPr>
        <w:t>והטעם</w:t>
      </w:r>
      <w:r>
        <w:rPr>
          <w:rFonts w:cs="Arial" w:hint="cs"/>
          <w:rtl/>
        </w:rPr>
        <w:t>,</w:t>
      </w:r>
      <w:r w:rsidRPr="00A801C8">
        <w:rPr>
          <w:rFonts w:cs="Arial"/>
          <w:rtl/>
        </w:rPr>
        <w:t xml:space="preserve"> שאין לך מום גדול מזה שהרי אינה ראויה לעמוד תחתיו וחייב הוא לגרשה ועל דעת כן לא כתב לה ולא יהא מום זה פחות מאחד מן המומין הנזכרים פ"ז זהו דעתו ז"ל</w:t>
      </w:r>
      <w:r>
        <w:rPr>
          <w:rFonts w:cs="Arial" w:hint="cs"/>
          <w:rtl/>
        </w:rPr>
        <w:t>.</w:t>
      </w:r>
      <w:r w:rsidRPr="00A801C8">
        <w:rPr>
          <w:rFonts w:cs="Arial"/>
          <w:rtl/>
        </w:rPr>
        <w:t xml:space="preserve"> אבל הרמב"ן ובעל העיטור ז"ל כתבו שיש לה תוספת</w:t>
      </w:r>
      <w:r>
        <w:rPr>
          <w:rFonts w:cs="Arial" w:hint="cs"/>
          <w:rtl/>
        </w:rPr>
        <w:t>.</w:t>
      </w:r>
      <w:r w:rsidRPr="00A801C8">
        <w:rPr>
          <w:rFonts w:cs="Arial"/>
          <w:rtl/>
        </w:rPr>
        <w:t xml:space="preserve"> והטעם לפי ששאר מומין היא היתה יודעת אותם והיה לה לגלות ולהודיע</w:t>
      </w:r>
      <w:r>
        <w:rPr>
          <w:rFonts w:cs="Arial" w:hint="cs"/>
          <w:rtl/>
        </w:rPr>
        <w:t>,</w:t>
      </w:r>
      <w:r w:rsidRPr="00A801C8">
        <w:rPr>
          <w:rFonts w:cs="Arial"/>
          <w:rtl/>
        </w:rPr>
        <w:t xml:space="preserve"> אבל זו לא היתה יודעת במום זה הא למה זו דומה לאילונית שלא הכיר בה שנתבאר פרק כ"ד שיש לה תוספת. ולדברי רבינו נ"ל לחלק בין זו לאילונית לפי שהאילונית יכול היה לבדקה קודם לכן בסימנין וג"כ יכולה היא לישב תחתיו ותשמשנו וישא אחרת אם לא קיים פ"ו כנזכר פט"ו אבל זו שאסורה לשמשו ולא היה יכול לבודקה קודם לכן אבדה כתובה ותוספת והרי היא בכלל הנשים שאמרו חכמים יוצאות שלא בכתובה שאין לה תוספת וכ"ש מנה מאתים כנזכר פרק אלמנה ניזונת (קא</w:t>
      </w:r>
      <w:r>
        <w:rPr>
          <w:rFonts w:cs="Arial" w:hint="cs"/>
          <w:rtl/>
        </w:rPr>
        <w:t>.</w:t>
      </w:r>
      <w:r w:rsidRPr="00A801C8">
        <w:rPr>
          <w:rFonts w:cs="Arial"/>
          <w:rtl/>
        </w:rPr>
        <w:t>) כך נראה לדעת רבינו ועיקר</w:t>
      </w:r>
      <w:r>
        <w:rPr>
          <w:rFonts w:cs="Arial" w:hint="cs"/>
          <w:rtl/>
        </w:rPr>
        <w:t>, הה"מ (שם).</w:t>
      </w:r>
      <w:r w:rsidRPr="00A801C8">
        <w:rPr>
          <w:rFonts w:hint="cs"/>
          <w:color w:val="E36C0A" w:themeColor="accent6" w:themeShade="BF"/>
          <w:rtl/>
        </w:rPr>
        <w:t xml:space="preserve"> </w:t>
      </w:r>
      <w:r w:rsidRPr="00544E63">
        <w:rPr>
          <w:rFonts w:hint="cs"/>
          <w:color w:val="E36C0A" w:themeColor="accent6" w:themeShade="BF"/>
          <w:rtl/>
        </w:rPr>
        <w:t>(וכ"פ בשו"ע)</w:t>
      </w:r>
    </w:p>
  </w:footnote>
  <w:footnote w:id="3250">
    <w:p w14:paraId="54CD70FA" w14:textId="77777777" w:rsidR="00DF1FC7" w:rsidRDefault="00DF1FC7" w:rsidP="002E5BAD">
      <w:pPr>
        <w:pStyle w:val="a5"/>
        <w:rPr>
          <w:rtl/>
        </w:rPr>
      </w:pPr>
      <w:r>
        <w:rPr>
          <w:rStyle w:val="a7"/>
        </w:rPr>
        <w:footnoteRef/>
      </w:r>
      <w:r>
        <w:rPr>
          <w:rtl/>
        </w:rPr>
        <w:t xml:space="preserve"> </w:t>
      </w:r>
      <w:r w:rsidRPr="00352B5A">
        <w:rPr>
          <w:rFonts w:cs="Arial"/>
          <w:rtl/>
        </w:rPr>
        <w:t>בסימן קפ"ז (</w:t>
      </w:r>
      <w:r>
        <w:rPr>
          <w:rFonts w:cs="Arial" w:hint="cs"/>
          <w:rtl/>
        </w:rPr>
        <w:t>סע' א</w:t>
      </w:r>
      <w:r w:rsidRPr="00352B5A">
        <w:rPr>
          <w:rFonts w:cs="Arial"/>
          <w:rtl/>
        </w:rPr>
        <w:t>) כתב כן גבי רואה דם מחמת תשמיש ומשם יש ללמוד לאשה שהוציאה בעלה משום דאין לה וסת שהיא מותרת לינשא לאחר</w:t>
      </w:r>
      <w:r>
        <w:rPr>
          <w:rFonts w:hint="cs"/>
          <w:rtl/>
        </w:rPr>
        <w:t>, ב"י.</w:t>
      </w:r>
    </w:p>
  </w:footnote>
  <w:footnote w:id="3251">
    <w:p w14:paraId="68740A53" w14:textId="77777777" w:rsidR="00DF1FC7" w:rsidRDefault="00DF1FC7" w:rsidP="002E5BAD">
      <w:pPr>
        <w:pStyle w:val="a5"/>
      </w:pPr>
      <w:r>
        <w:rPr>
          <w:rStyle w:val="a7"/>
        </w:rPr>
        <w:footnoteRef/>
      </w:r>
      <w:r w:rsidRPr="009E695B">
        <w:rPr>
          <w:rFonts w:cs="Arial"/>
          <w:rtl/>
        </w:rPr>
        <w:t xml:space="preserve"> וע"ל סימן י'</w:t>
      </w:r>
      <w:r>
        <w:rPr>
          <w:rFonts w:cs="Arial" w:hint="cs"/>
          <w:rtl/>
        </w:rPr>
        <w:t>, דרכ"מ (אות ב).</w:t>
      </w:r>
    </w:p>
  </w:footnote>
  <w:footnote w:id="3252">
    <w:p w14:paraId="46BCF462" w14:textId="77777777" w:rsidR="00DF1FC7" w:rsidRDefault="00DF1FC7" w:rsidP="002E5BAD">
      <w:pPr>
        <w:pStyle w:val="a5"/>
      </w:pPr>
      <w:r>
        <w:rPr>
          <w:rStyle w:val="a7"/>
        </w:rPr>
        <w:footnoteRef/>
      </w:r>
      <w:r>
        <w:rPr>
          <w:rtl/>
        </w:rPr>
        <w:t xml:space="preserve"> </w:t>
      </w:r>
      <w:r w:rsidRPr="003E7607">
        <w:rPr>
          <w:rFonts w:cs="Arial"/>
          <w:rtl/>
        </w:rPr>
        <w:t>משמע אפילו בביתו יכולה לשמשו הואיל וזינתה תחתיו שונא אותה ומאוסה בעיניו</w:t>
      </w:r>
      <w:r>
        <w:rPr>
          <w:rFonts w:cs="Arial" w:hint="cs"/>
          <w:rtl/>
        </w:rPr>
        <w:t>, ח"מ (סק"ח).</w:t>
      </w:r>
      <w:r w:rsidRPr="003E7607">
        <w:rPr>
          <w:rtl/>
        </w:rPr>
        <w:t xml:space="preserve"> </w:t>
      </w:r>
      <w:r w:rsidRPr="003E7607">
        <w:rPr>
          <w:rFonts w:cs="Arial"/>
          <w:rtl/>
        </w:rPr>
        <w:t xml:space="preserve">ובב"ש </w:t>
      </w:r>
      <w:r>
        <w:rPr>
          <w:rFonts w:cs="Arial" w:hint="cs"/>
          <w:rtl/>
        </w:rPr>
        <w:t xml:space="preserve">(סק"ח) </w:t>
      </w:r>
      <w:r w:rsidRPr="003E7607">
        <w:rPr>
          <w:rFonts w:cs="Arial"/>
          <w:rtl/>
        </w:rPr>
        <w:t>כתב בזה דלא קשה ממה דמבואר בש"ס אחר קינוי וסתירה מוסרים לו שני ת"ח שמא יבא עלי' בדרך דאפשר שם אכתי ספק הוא אם זנתה ואינה מאוסה לו כל כך. ועיין בס' ב"מ שכ' עליו האמת שכן ההכרח לדחוק לשיטת ר"י שבתשו' הרשב"א והוא בתוס' זבחים דף ב' ד"ה סתמא אמנם לע"ד ל"מ הכי דעת הרמב"ם פכ"ד מה"א הי"ח כו' וכן מורה פשטות סוגיא דיבמות כ"ד ע"ב כו' ע"ש. ועיין בתשו' הרדב"ז ח"ב סימן תשמ"ו שאוסר ג"כ וכתב שם על דברי התוס' דריש זבחים דאין לסמוך על הוראה זו ואפילו ע"י עדים הוא חוכך להחמיר רק דיוציא בגט ע"ש. ומ"ש בשם שבו"י א' שגירש אשתו מצורעת כו' עיין בהגהת מל"מ פכ"א מהא"ב דין כ"ז שהביא דברי הרב שבו"י אלו דהעלה להחמיר דכל שנתגרשה לא פלוג רבנן והביא ראי' מדתניא באבל רבתי בש"א המגרש אשתו לא תדור במבוי כו' והוא ז"ל כתב עליו וראי' זו איני מכיר כו' ע"ש</w:t>
      </w:r>
      <w:r>
        <w:rPr>
          <w:rFonts w:hint="cs"/>
          <w:rtl/>
        </w:rPr>
        <w:t>, פת"ש (סק"ב).</w:t>
      </w:r>
    </w:p>
  </w:footnote>
  <w:footnote w:id="3253">
    <w:p w14:paraId="59F83276" w14:textId="77777777" w:rsidR="00DF1FC7" w:rsidRDefault="00DF1FC7" w:rsidP="002E5BAD">
      <w:pPr>
        <w:pStyle w:val="a5"/>
      </w:pPr>
      <w:r>
        <w:rPr>
          <w:rStyle w:val="a7"/>
        </w:rPr>
        <w:footnoteRef/>
      </w:r>
      <w:r>
        <w:rPr>
          <w:rtl/>
        </w:rPr>
        <w:t xml:space="preserve"> </w:t>
      </w:r>
      <w:r w:rsidRPr="00A801C8">
        <w:rPr>
          <w:rFonts w:cs="Arial"/>
          <w:rtl/>
        </w:rPr>
        <w:t>לא נתבאר דין מה שבלה ונשחת מן הקרן של נצ"ב ונ"מ דביוצאה מכח מעשיה שגרמו כגון עוברת על דת ומכ"ש היוצאת משום שם רע דין הוא דאין לה אלא בלאותיה קיימין אבל אשה זאת שאין עליה אשם במום זה ואפילו תוספות יש לה לדעת הרמב"ן למה לא ישלם הבעל הקרן ממה שאבד ונגנב מנצ"ב ואין זה דומה ללא הכיר בה בחייבי לאוין דהתם היא הטעה אותו ואין כאן אישות כלל ולא זכה בנ"מ וא"צ לשלם נצ"ב שהרי היא נתנה לו רשות להיות אצלו והוא לא קבל עליו לשלם רק כשתצא ברצונו והיא ידעה שתוכרח ליצא אבל כאן הסברא נותנת שישלם לה כל נצ"ב כאלו לוה ממנה ומכ"ש נ"מ מה שבילה הקרן שלא ברשות וכן מצאתי בתשובת מהר"ם שנדפסו בתשובת הרשב"א סי' תת"מ בנתקלקלה תחתיו דיש לה כתובה וכ"ש נדוניא דהנעלת ליה דכיון דאנוסה היא לא מקנסה מזה ונראה דאף אם היתה כן בתחלת נשואיה דאין לה כתובה מ"מ נדוניא דהנעלת ליה ולא הפסידה דהא ג"כ אנוסה היא</w:t>
      </w:r>
      <w:r>
        <w:rPr>
          <w:rFonts w:cs="Arial" w:hint="cs"/>
          <w:rtl/>
        </w:rPr>
        <w:t>, ח"מ (סק"ב).</w:t>
      </w:r>
    </w:p>
  </w:footnote>
  <w:footnote w:id="3254">
    <w:p w14:paraId="21B4B10F" w14:textId="77777777" w:rsidR="00DF1FC7" w:rsidRDefault="00DF1FC7" w:rsidP="002E5BAD">
      <w:pPr>
        <w:pStyle w:val="a5"/>
      </w:pPr>
      <w:r>
        <w:rPr>
          <w:rStyle w:val="a7"/>
        </w:rPr>
        <w:footnoteRef/>
      </w:r>
      <w:r>
        <w:rPr>
          <w:rtl/>
        </w:rPr>
        <w:t xml:space="preserve"> </w:t>
      </w:r>
      <w:r w:rsidRPr="007A40B0">
        <w:rPr>
          <w:rFonts w:cs="Arial"/>
          <w:rtl/>
        </w:rPr>
        <w:t>היינו באלמנה אבל בבתולה דתלינן הדם שרואה בדם בתולים ואם אחר כך ראתה ג' פעמים רצופין בלא צער שאין ראוי לתלות בדם בתולים וספק אם נסתחפה שדיהו אחר דם בתולין או שמא גם בביאה ראשונה בתוך דם בתולים היה דם נידה וא"כ לא נסתחפה שדיהו, ובתשובת מהר"ם פדוו"א סי' ט' י' כתבו דגם בבתולה מיירי הרמב"ם ולעולם לא אמרי' נסתחפה שדיהו אלא בבעל פעם א' ולא מצא דם</w:t>
      </w:r>
      <w:r>
        <w:rPr>
          <w:rFonts w:cs="Arial" w:hint="cs"/>
          <w:rtl/>
        </w:rPr>
        <w:t>, ח"מ (סק"ד).</w:t>
      </w:r>
    </w:p>
  </w:footnote>
  <w:footnote w:id="3255">
    <w:p w14:paraId="2BF95E46" w14:textId="77777777" w:rsidR="00DF1FC7" w:rsidRDefault="00DF1FC7" w:rsidP="002E5BAD">
      <w:pPr>
        <w:pStyle w:val="a5"/>
      </w:pPr>
      <w:r>
        <w:rPr>
          <w:rStyle w:val="a7"/>
        </w:rPr>
        <w:footnoteRef/>
      </w:r>
      <w:r>
        <w:rPr>
          <w:rtl/>
        </w:rPr>
        <w:t xml:space="preserve"> </w:t>
      </w:r>
      <w:r w:rsidRPr="00500A03">
        <w:rPr>
          <w:rFonts w:cs="Arial"/>
          <w:rtl/>
        </w:rPr>
        <w:t>כך הגי' בתשובת הרשב"א ולא ידעתי מה קאמר ומ"ש בשנה אחת ובי"ד סי' קע"ז סעי' י"ב לא גרסינן לה ולע"ד ט"ס הוא וצ"ל בשכונה אחת כלו' דאמרי' המגרש אשה לא תנשא בשכונתו אבל זאת מותר להשרותה ע"י שליש בשכונה אחת אבל לא בחצר אחת דדוק' בשבוי' הקילו בחצר אחת כמעשה דר' זכריה שיחד לה בית בחצירו כדאיתא בכתובו' דף כ"ד ע"ב ועיין בתשובת מהרמ"פ סי' י'</w:t>
      </w:r>
      <w:r>
        <w:rPr>
          <w:rFonts w:cs="Arial" w:hint="cs"/>
          <w:rtl/>
        </w:rPr>
        <w:t>, ח"מ (סק"ו).</w:t>
      </w:r>
      <w:r>
        <w:rPr>
          <w:rFonts w:hint="cs"/>
          <w:rtl/>
        </w:rPr>
        <w:t xml:space="preserve"> וכ"כ ב"ש (סק"ו).</w:t>
      </w:r>
    </w:p>
  </w:footnote>
  <w:footnote w:id="3256">
    <w:p w14:paraId="18A26465" w14:textId="77777777" w:rsidR="00DF1FC7" w:rsidRDefault="00DF1FC7" w:rsidP="002E5BAD">
      <w:pPr>
        <w:pStyle w:val="a5"/>
      </w:pPr>
      <w:r>
        <w:rPr>
          <w:rStyle w:val="a7"/>
        </w:rPr>
        <w:footnoteRef/>
      </w:r>
      <w:r>
        <w:rPr>
          <w:rtl/>
        </w:rPr>
        <w:t xml:space="preserve"> </w:t>
      </w:r>
      <w:r w:rsidRPr="00500A03">
        <w:rPr>
          <w:rFonts w:cs="Arial"/>
          <w:rtl/>
        </w:rPr>
        <w:t>לכאורה היינו בקיום פ"ו ומ"מ קשה דאסור לו לעמוד בלא אשה (כדלעיל סי' א' סעיף ח') ועוד דלקמן סימן קנ"ד פסק בסעי' י' אם אמר הריני שוכן בעדים אין שומעין לו ומכ"ש הכא דלאו בת תשמיש היא כלל וי"ל דהיא הנותנת דלקמן הואיל והיא בת תשמיש יש לחוש שמא לא ישא אחרת ע"כ צריך לגרשה או ישא מיד אחרת דחיישינן כל זמן דאגידא ביה לא ישא אחרת אבל זאת שאינה בת תשמיש ודאי לא ישב בלא אשה ועד שתזדמן לו אשה כרצונו א"צ לגרשה ושרי להשרותה ע"י שליש ומשמע אם נשא אחרת פשיטא דא"צ לגרש זאת וכמו שפסק לקמן סי' קל"ד או ישא אשה הראוי' לילד אבל בתשובת מהר"מ פסק אם רוצה לישא אחרת צריך לגרש זאת כדי שלא יאמרו זו אשתו וזו זונתו ולא ידעתי מניין לו דהא בנשא אשה ושהה עשר שנים מתירין לו אשה אחרת ולא חיישינן שמא יאמרו זו זונתו אעפ"י דהיא בת תשמיש מכ"ש הכא איך יאמרו זו זונתו הא לאו בת תשמיש היא ובגמרא פ' אעפ"י באגדה אמרו לשון זה זו זונתו בכלתו של רבי שנעשית עקרה שהיא בת תשמיש ולאו לדינא נאמר התם</w:t>
      </w:r>
      <w:r>
        <w:rPr>
          <w:rFonts w:cs="Arial" w:hint="cs"/>
          <w:rtl/>
        </w:rPr>
        <w:t>, ח"מ (סק"ז).</w:t>
      </w:r>
    </w:p>
  </w:footnote>
  <w:footnote w:id="3257">
    <w:p w14:paraId="28F23CAD" w14:textId="77777777" w:rsidR="00DF1FC7" w:rsidRDefault="00DF1FC7" w:rsidP="002E5BAD">
      <w:pPr>
        <w:pStyle w:val="a5"/>
      </w:pPr>
      <w:r>
        <w:rPr>
          <w:rStyle w:val="a7"/>
        </w:rPr>
        <w:footnoteRef/>
      </w:r>
      <w:r>
        <w:rPr>
          <w:rtl/>
        </w:rPr>
        <w:t xml:space="preserve"> </w:t>
      </w:r>
      <w:r w:rsidRPr="007F65E3">
        <w:rPr>
          <w:rFonts w:cs="Arial"/>
          <w:rtl/>
        </w:rPr>
        <w:t>כלו' שהיא אטומה וסגורה ואינה ראויה להבעל</w:t>
      </w:r>
      <w:r>
        <w:rPr>
          <w:rFonts w:cs="Arial" w:hint="cs"/>
          <w:rtl/>
        </w:rPr>
        <w:t>, ח"מ (סק"ט).</w:t>
      </w:r>
      <w:r w:rsidRPr="007F65E3">
        <w:rPr>
          <w:rtl/>
        </w:rPr>
        <w:t xml:space="preserve"> </w:t>
      </w:r>
      <w:r>
        <w:rPr>
          <w:rFonts w:cs="Arial" w:hint="cs"/>
          <w:rtl/>
        </w:rPr>
        <w:t>ו</w:t>
      </w:r>
      <w:r w:rsidRPr="007F65E3">
        <w:rPr>
          <w:rFonts w:cs="Arial"/>
          <w:rtl/>
        </w:rPr>
        <w:t xml:space="preserve">ע' תשו' רש"ך </w:t>
      </w:r>
      <w:r>
        <w:rPr>
          <w:rFonts w:cs="Arial" w:hint="cs"/>
          <w:rtl/>
        </w:rPr>
        <w:t>(</w:t>
      </w:r>
      <w:r w:rsidRPr="007F65E3">
        <w:rPr>
          <w:rFonts w:cs="Arial"/>
          <w:rtl/>
        </w:rPr>
        <w:t>שם ובס' ב' סי' צ"ו</w:t>
      </w:r>
      <w:r>
        <w:rPr>
          <w:rFonts w:cs="Arial" w:hint="cs"/>
          <w:rtl/>
        </w:rPr>
        <w:t>)</w:t>
      </w:r>
      <w:r w:rsidRPr="007F65E3">
        <w:rPr>
          <w:rFonts w:cs="Arial"/>
          <w:rtl/>
        </w:rPr>
        <w:t xml:space="preserve"> דאי</w:t>
      </w:r>
      <w:r>
        <w:rPr>
          <w:rFonts w:cs="Arial" w:hint="cs"/>
          <w:rtl/>
        </w:rPr>
        <w:t>כא</w:t>
      </w:r>
      <w:r w:rsidRPr="007F65E3">
        <w:rPr>
          <w:rFonts w:cs="Arial"/>
          <w:rtl/>
        </w:rPr>
        <w:t xml:space="preserve"> תרי גווני אינה ראוי</w:t>
      </w:r>
      <w:r>
        <w:rPr>
          <w:rFonts w:cs="Arial" w:hint="cs"/>
          <w:rtl/>
        </w:rPr>
        <w:t>ה,</w:t>
      </w:r>
      <w:r w:rsidRPr="007F65E3">
        <w:rPr>
          <w:rFonts w:cs="Arial"/>
          <w:rtl/>
        </w:rPr>
        <w:t xml:space="preserve"> אם מחמת כאב </w:t>
      </w:r>
      <w:r>
        <w:rPr>
          <w:rFonts w:cs="Arial" w:hint="cs"/>
          <w:rtl/>
        </w:rPr>
        <w:t xml:space="preserve">- </w:t>
      </w:r>
      <w:r w:rsidRPr="007F65E3">
        <w:rPr>
          <w:rFonts w:cs="Arial"/>
          <w:rtl/>
        </w:rPr>
        <w:t>הוי כאיילנות</w:t>
      </w:r>
      <w:r>
        <w:rPr>
          <w:rFonts w:cs="Arial" w:hint="cs"/>
          <w:rtl/>
        </w:rPr>
        <w:t>,</w:t>
      </w:r>
      <w:r w:rsidRPr="007F65E3">
        <w:rPr>
          <w:rFonts w:cs="Arial"/>
          <w:rtl/>
        </w:rPr>
        <w:t xml:space="preserve"> דמתקשות בעת התשמיש</w:t>
      </w:r>
      <w:r>
        <w:rPr>
          <w:rFonts w:cs="Arial" w:hint="cs"/>
          <w:rtl/>
        </w:rPr>
        <w:t>,</w:t>
      </w:r>
      <w:r w:rsidRPr="007F65E3">
        <w:rPr>
          <w:rFonts w:cs="Arial"/>
          <w:rtl/>
        </w:rPr>
        <w:t xml:space="preserve"> ויש לה תוס'</w:t>
      </w:r>
      <w:r>
        <w:rPr>
          <w:rFonts w:cs="Arial" w:hint="cs"/>
          <w:rtl/>
        </w:rPr>
        <w:t>.</w:t>
      </w:r>
      <w:r w:rsidRPr="007F65E3">
        <w:rPr>
          <w:rFonts w:cs="Arial"/>
          <w:rtl/>
        </w:rPr>
        <w:t xml:space="preserve"> ואם רחמה צר דאינה ראוי</w:t>
      </w:r>
      <w:r>
        <w:rPr>
          <w:rFonts w:cs="Arial" w:hint="cs"/>
          <w:rtl/>
        </w:rPr>
        <w:t>ה</w:t>
      </w:r>
      <w:r w:rsidRPr="007F65E3">
        <w:rPr>
          <w:rFonts w:cs="Arial"/>
          <w:rtl/>
        </w:rPr>
        <w:t xml:space="preserve"> לתשמיש </w:t>
      </w:r>
      <w:r>
        <w:rPr>
          <w:rFonts w:cs="Arial" w:hint="cs"/>
          <w:rtl/>
        </w:rPr>
        <w:t xml:space="preserve">- </w:t>
      </w:r>
      <w:r w:rsidRPr="007F65E3">
        <w:rPr>
          <w:rFonts w:cs="Arial"/>
          <w:rtl/>
        </w:rPr>
        <w:t>אין לה תוס</w:t>
      </w:r>
      <w:r>
        <w:rPr>
          <w:rFonts w:cs="Arial" w:hint="cs"/>
          <w:rtl/>
        </w:rPr>
        <w:t>פת.</w:t>
      </w:r>
      <w:r w:rsidRPr="007F65E3">
        <w:rPr>
          <w:rFonts w:cs="Arial"/>
          <w:rtl/>
        </w:rPr>
        <w:t xml:space="preserve"> ובזו ליכא פלוגתא כיון דאינה ראויה לביאה אינו נותן לה מתנה</w:t>
      </w:r>
      <w:r>
        <w:rPr>
          <w:rFonts w:hint="cs"/>
          <w:rtl/>
        </w:rPr>
        <w:t>, ב"ש (סק"ט).</w:t>
      </w:r>
    </w:p>
  </w:footnote>
  <w:footnote w:id="3258">
    <w:p w14:paraId="700E8559" w14:textId="77777777" w:rsidR="00DF1FC7" w:rsidRDefault="00DF1FC7" w:rsidP="002E5BAD">
      <w:pPr>
        <w:pStyle w:val="a5"/>
      </w:pPr>
      <w:r>
        <w:rPr>
          <w:rStyle w:val="a7"/>
        </w:rPr>
        <w:footnoteRef/>
      </w:r>
      <w:r>
        <w:rPr>
          <w:rtl/>
        </w:rPr>
        <w:t xml:space="preserve"> </w:t>
      </w:r>
      <w:r>
        <w:rPr>
          <w:rFonts w:cs="Arial"/>
          <w:rtl/>
        </w:rPr>
        <w:t>ומ"ש אפילו נשאת סתם. כן מבואר שם בגמרא</w:t>
      </w:r>
      <w:r>
        <w:rPr>
          <w:rFonts w:cs="Arial" w:hint="cs"/>
          <w:rtl/>
        </w:rPr>
        <w:t xml:space="preserve">, ב"י. </w:t>
      </w:r>
      <w:r w:rsidRPr="00E1583F">
        <w:rPr>
          <w:rFonts w:cs="Arial" w:hint="cs"/>
          <w:color w:val="FF0000"/>
          <w:rtl/>
        </w:rPr>
        <w:t>וצל"ע מה כוונתו, דלכאורה זה כבר מבואר במשנה. ובגמרא לא מצאתי.</w:t>
      </w:r>
    </w:p>
  </w:footnote>
  <w:footnote w:id="3259">
    <w:p w14:paraId="781E92A0" w14:textId="77777777" w:rsidR="00DF1FC7" w:rsidRDefault="00DF1FC7" w:rsidP="002E5BAD">
      <w:pPr>
        <w:pStyle w:val="a5"/>
        <w:rPr>
          <w:rtl/>
        </w:rPr>
      </w:pPr>
      <w:r>
        <w:rPr>
          <w:rStyle w:val="a7"/>
        </w:rPr>
        <w:footnoteRef/>
      </w:r>
      <w:r>
        <w:rPr>
          <w:rtl/>
        </w:rPr>
        <w:t xml:space="preserve"> </w:t>
      </w:r>
      <w:r>
        <w:rPr>
          <w:rFonts w:cs="Arial"/>
          <w:rtl/>
        </w:rPr>
        <w:t>בסימן ל"ט וכל פרטי מומין שבה נתבארו שם</w:t>
      </w:r>
      <w:r>
        <w:rPr>
          <w:rFonts w:hint="cs"/>
          <w:rtl/>
        </w:rPr>
        <w:t>, ב"י.</w:t>
      </w:r>
    </w:p>
  </w:footnote>
  <w:footnote w:id="3260">
    <w:p w14:paraId="47EC0886" w14:textId="77777777" w:rsidR="00DF1FC7" w:rsidRDefault="00DF1FC7" w:rsidP="002E5BAD">
      <w:pPr>
        <w:pStyle w:val="a5"/>
      </w:pPr>
      <w:r>
        <w:rPr>
          <w:rStyle w:val="a7"/>
        </w:rPr>
        <w:footnoteRef/>
      </w:r>
      <w:r>
        <w:rPr>
          <w:rtl/>
        </w:rPr>
        <w:t xml:space="preserve"> </w:t>
      </w:r>
      <w:r w:rsidRPr="008E3200">
        <w:rPr>
          <w:rFonts w:cs="Arial"/>
          <w:rtl/>
        </w:rPr>
        <w:t>ודין הכתובה בנשא אשה ושהתה עמה י' שנים ולא ילדה</w:t>
      </w:r>
      <w:r>
        <w:rPr>
          <w:rFonts w:cs="Arial" w:hint="cs"/>
          <w:rtl/>
        </w:rPr>
        <w:t>,</w:t>
      </w:r>
      <w:r w:rsidRPr="008E3200">
        <w:rPr>
          <w:rFonts w:cs="Arial"/>
          <w:rtl/>
        </w:rPr>
        <w:t xml:space="preserve"> וכן דינה בענין הכתובה אם אח"כ ניסת לשני לשלישי ולרביעי</w:t>
      </w:r>
      <w:r>
        <w:rPr>
          <w:rFonts w:cs="Arial" w:hint="cs"/>
          <w:rtl/>
        </w:rPr>
        <w:t>,</w:t>
      </w:r>
      <w:r w:rsidRPr="008E3200">
        <w:rPr>
          <w:rFonts w:cs="Arial"/>
          <w:rtl/>
        </w:rPr>
        <w:t xml:space="preserve"> יתבאר לקמן בע"ה בסוף הלכות גירושין בסי' קנ"ד</w:t>
      </w:r>
      <w:r>
        <w:rPr>
          <w:rFonts w:cs="Arial" w:hint="cs"/>
          <w:rtl/>
        </w:rPr>
        <w:t>, טור.</w:t>
      </w:r>
    </w:p>
  </w:footnote>
  <w:footnote w:id="3261">
    <w:p w14:paraId="450FD505" w14:textId="77777777" w:rsidR="00DF1FC7" w:rsidRDefault="00DF1FC7" w:rsidP="002E5BAD">
      <w:pPr>
        <w:pStyle w:val="a5"/>
      </w:pPr>
      <w:r>
        <w:rPr>
          <w:rStyle w:val="a7"/>
        </w:rPr>
        <w:footnoteRef/>
      </w:r>
      <w:r>
        <w:rPr>
          <w:rtl/>
        </w:rPr>
        <w:t xml:space="preserve"> </w:t>
      </w:r>
      <w:r>
        <w:rPr>
          <w:rFonts w:hint="cs"/>
          <w:rtl/>
        </w:rPr>
        <w:t xml:space="preserve">וז"ל- </w:t>
      </w:r>
      <w:r>
        <w:rPr>
          <w:rFonts w:cs="Arial"/>
          <w:rtl/>
        </w:rPr>
        <w:t>שאלה. ראובן ושמעון נתחתנו בהדי הדדי ראובן קידש אחותו של שמעון ושמעון קידש אחותו של ראובן והיו הקדושין בשעה אחת אלא שקדם ראובן שהיה /גדול/ בשנים ולאלתר קידש שמעון ולאחר זמן ביקש שמעון לגרש אחותו של ראובן וליתן לה קנס הידוע הנוהג באותו מקום אמר ראובן אף על פי שאתה נותן הקנס אני מגרש אחותך שלא בקנס שעל מנת כן קדשתי אותה והקדושין בשעה אחת נגמרו על דעת זו ושמעון טוען ואומר לא היה בינינו תנאי מעולם אלא שנזדמן שהיו הקדושין בשעה אחת הנה כל מי שהיה שם לא שמע בינינו בשעת הקדושין שום תנאי בעולם היש לראובן זה מן הדין שיגרש אחות שמעון בלא קנס ואם אמר אין אצלי מה שאתן בקנס היש מן הדין לכוף אותו שישאנה או לא</w:t>
      </w:r>
      <w:r>
        <w:rPr>
          <w:rFonts w:cs="Arial" w:hint="cs"/>
          <w:rtl/>
        </w:rPr>
        <w:t xml:space="preserve">.   </w:t>
      </w:r>
      <w:r>
        <w:rPr>
          <w:rFonts w:cs="Arial"/>
          <w:rtl/>
        </w:rPr>
        <w:t xml:space="preserve"> תשובה</w:t>
      </w:r>
      <w:r>
        <w:rPr>
          <w:rFonts w:cs="Arial" w:hint="cs"/>
          <w:rtl/>
        </w:rPr>
        <w:t>-</w:t>
      </w:r>
      <w:r>
        <w:rPr>
          <w:rFonts w:cs="Arial"/>
          <w:rtl/>
        </w:rPr>
        <w:t xml:space="preserve"> אם אין לראובן עדים שיעידו בתנאי זה שהוא טוען אין לו לגרש אחות שמעון עד שיתן קנס עד פרוטה אחרונה לפי מנהג המקום אף על פי ששני הקדושין היו בשעה אחת אלא אם טוען ראובן שהתנה עמו על זה שמעון בתנאי זה קודם ביאת העדים יש להשביע ואחר כך יתן לו הקנס</w:t>
      </w:r>
      <w:r>
        <w:rPr>
          <w:rFonts w:cs="Arial" w:hint="cs"/>
          <w:rtl/>
        </w:rPr>
        <w:t>.</w:t>
      </w:r>
      <w:r>
        <w:rPr>
          <w:rFonts w:cs="Arial"/>
          <w:rtl/>
        </w:rPr>
        <w:t xml:space="preserve"> ואם אין אצל ראובן כופין אותו לישא אותה ואין לו רשות לגרשה אחר הנשואין בלא כתובה משום שאמר המשנה לקתה חייב לרפאתה אמר הרי גיטה וכתובתה תרפא את עצמה רשאי נמצא שאינו רשאי לגרשה אלא אם אמר הרי גיטה וכתובתה אבל שלא בכתובה לא ואם לא קבל עליו את הדין מנדין אותו וכן הדין. יצחק ב"י אלפאס.</w:t>
      </w:r>
    </w:p>
  </w:footnote>
  <w:footnote w:id="3262">
    <w:p w14:paraId="0B6C0094" w14:textId="77777777" w:rsidR="00DF1FC7" w:rsidRDefault="00DF1FC7" w:rsidP="002E5BAD">
      <w:pPr>
        <w:pStyle w:val="a5"/>
      </w:pPr>
      <w:r>
        <w:rPr>
          <w:rStyle w:val="a7"/>
        </w:rPr>
        <w:footnoteRef/>
      </w:r>
      <w:r>
        <w:rPr>
          <w:rtl/>
        </w:rPr>
        <w:t xml:space="preserve"> </w:t>
      </w:r>
      <w:r>
        <w:rPr>
          <w:rFonts w:hint="cs"/>
          <w:rtl/>
        </w:rPr>
        <w:t>הביאם הב"י</w:t>
      </w:r>
      <w:r>
        <w:rPr>
          <w:rFonts w:cs="Arial" w:hint="cs"/>
          <w:rtl/>
        </w:rPr>
        <w:t xml:space="preserve"> בבדה"ב בסימן קיט, וכתב עליהם- </w:t>
      </w:r>
      <w:r w:rsidRPr="0022210A">
        <w:rPr>
          <w:rFonts w:cs="Arial"/>
          <w:rtl/>
        </w:rPr>
        <w:t xml:space="preserve">ואינם נראים דברי סמכא דלא לישתמיט חד מהפוסקים המפורסמים לכתוב כן אפילו ברמז והראיה שהביא מידחיא בגילא דחיטתאה כמבואר למבין וכמה תשובות כתובות בשם הגדולים ואינה שלהם וכדאמרינן בפרק ב' ביבמות (כב.) לאו מר בריה דרבינא חתים עלייהו וכיוצא בזה כתב הרשב"א ז"ל בתשובה אחרת </w:t>
      </w:r>
      <w:r w:rsidRPr="009B7B65">
        <w:rPr>
          <w:rFonts w:cs="Arial"/>
          <w:sz w:val="16"/>
          <w:szCs w:val="16"/>
          <w:rtl/>
        </w:rPr>
        <w:t>(ח"א סי' אלף קסו</w:t>
      </w:r>
      <w:r w:rsidRPr="009B7B65">
        <w:rPr>
          <w:rFonts w:cs="Arial" w:hint="cs"/>
          <w:sz w:val="16"/>
          <w:szCs w:val="16"/>
          <w:rtl/>
        </w:rPr>
        <w:t xml:space="preserve">, וז"ל- </w:t>
      </w:r>
      <w:r w:rsidRPr="009B7B65">
        <w:rPr>
          <w:rFonts w:cs="Arial"/>
          <w:sz w:val="16"/>
          <w:szCs w:val="16"/>
          <w:rtl/>
        </w:rPr>
        <w:t xml:space="preserve">ומה שאמרת שיש בידכם תשובה מהגאון רב חננאל ז"ל שאין חוששין לעדות פסולי רבנן בגירושין כלל. אותה תשובה לא ראינוה ולא שמענוה ולא הגיע' לידינו מעולם ואין אנו יודעין אם הרב ז"ל חתום עליה ובדברים כאלו אין סומכין עליהם בלא ראיה ברורה. והרבה תשובות נכתבו ויצא עליה' שם אחד מן הגדולים אשר בארץ ואולי לא אמרום מעולם. ואל תתמה שאפילו בתלמוד יארע ככה כמו שאמרו ביבמות פ' כיצד (דף כ"ב) ואי כתיבא להיתר' מי הוה סמכא עלייהו אטו מר בריה דרבינא חתי' עלייהו) </w:t>
      </w:r>
      <w:r w:rsidRPr="0022210A">
        <w:rPr>
          <w:rFonts w:cs="Arial"/>
          <w:rtl/>
        </w:rPr>
        <w:t>ועיין בתשובת הריב"ש (סי' צא) שכתבתי בסוף סימן א' (ג:)</w:t>
      </w:r>
      <w:r>
        <w:rPr>
          <w:rFonts w:cs="Arial" w:hint="cs"/>
          <w:rtl/>
        </w:rPr>
        <w:t>. עכ"ל הב"י.</w:t>
      </w:r>
    </w:p>
  </w:footnote>
  <w:footnote w:id="3263">
    <w:p w14:paraId="495EE67C" w14:textId="77777777" w:rsidR="00DF1FC7" w:rsidRDefault="00DF1FC7" w:rsidP="002E5BAD">
      <w:pPr>
        <w:pStyle w:val="a5"/>
        <w:rPr>
          <w:rtl/>
        </w:rPr>
      </w:pPr>
      <w:r>
        <w:rPr>
          <w:rStyle w:val="a7"/>
        </w:rPr>
        <w:footnoteRef/>
      </w:r>
      <w:r>
        <w:rPr>
          <w:rtl/>
        </w:rPr>
        <w:t xml:space="preserve"> </w:t>
      </w:r>
      <w:r w:rsidRPr="0039471B">
        <w:rPr>
          <w:rFonts w:cs="Arial"/>
          <w:rtl/>
        </w:rPr>
        <w:t>ועיי"ש בחילוקים, וכן בתשובת מוהר"ם פאדו"ה סימן י"ג האריך בזה</w:t>
      </w:r>
      <w:r>
        <w:rPr>
          <w:rFonts w:cs="Arial" w:hint="cs"/>
          <w:rtl/>
        </w:rPr>
        <w:t>, דרכ"מ (סימן קיט אות ב)</w:t>
      </w:r>
      <w:r w:rsidRPr="0039471B">
        <w:rPr>
          <w:rFonts w:cs="Arial"/>
          <w:rtl/>
        </w:rPr>
        <w:t>.</w:t>
      </w:r>
    </w:p>
  </w:footnote>
  <w:footnote w:id="3264">
    <w:p w14:paraId="58BD1024" w14:textId="77777777" w:rsidR="00DF1FC7" w:rsidRDefault="00DF1FC7" w:rsidP="002E5BAD">
      <w:pPr>
        <w:pStyle w:val="a5"/>
      </w:pPr>
      <w:r>
        <w:rPr>
          <w:rStyle w:val="a7"/>
        </w:rPr>
        <w:footnoteRef/>
      </w:r>
      <w:r>
        <w:rPr>
          <w:rtl/>
        </w:rPr>
        <w:t xml:space="preserve"> </w:t>
      </w:r>
      <w:r w:rsidRPr="00046742">
        <w:rPr>
          <w:rFonts w:cs="Arial"/>
          <w:rtl/>
        </w:rPr>
        <w:t>כלו' ואינו יכול לברר שקודם שנתארסה היתה נכפית וא"כ אין יכול להוציאה בלא כתובה כי נסתחפה שדהו וגם היא אינה יכולה לברר שידע ומחיל דאל"כ אין יכולת בידו להוציאה בע"כ מאחר דסבר וקבל וכמו שיתבאר לקמן סי' קנ"ד ובתשובת הרא"ש כלל מ"ב משמע דנכפית סכנה הוא וגרע ממוכה שחין דלא מהני תנאה</w:t>
      </w:r>
      <w:r>
        <w:rPr>
          <w:rFonts w:cs="Arial" w:hint="cs"/>
          <w:rtl/>
        </w:rPr>
        <w:t>, ח"מ (סקי"ט).</w:t>
      </w:r>
    </w:p>
  </w:footnote>
  <w:footnote w:id="3265">
    <w:p w14:paraId="682120E6" w14:textId="77777777" w:rsidR="00DF1FC7" w:rsidRDefault="00DF1FC7" w:rsidP="002E5BAD">
      <w:pPr>
        <w:pStyle w:val="a5"/>
        <w:rPr>
          <w:rtl/>
        </w:rPr>
      </w:pPr>
      <w:r>
        <w:rPr>
          <w:rStyle w:val="a7"/>
        </w:rPr>
        <w:footnoteRef/>
      </w:r>
      <w:r>
        <w:rPr>
          <w:rtl/>
        </w:rPr>
        <w:t xml:space="preserve"> </w:t>
      </w:r>
      <w:r>
        <w:rPr>
          <w:rFonts w:cs="Arial" w:hint="cs"/>
          <w:rtl/>
        </w:rPr>
        <w:t>ו</w:t>
      </w:r>
      <w:r w:rsidRPr="00046742">
        <w:rPr>
          <w:rFonts w:cs="Arial"/>
          <w:rtl/>
        </w:rPr>
        <w:t xml:space="preserve">עיין בתשו' נו"ב </w:t>
      </w:r>
      <w:r>
        <w:rPr>
          <w:rFonts w:cs="Arial" w:hint="cs"/>
          <w:rtl/>
        </w:rPr>
        <w:t>(</w:t>
      </w:r>
      <w:r w:rsidRPr="00046742">
        <w:rPr>
          <w:rFonts w:cs="Arial"/>
          <w:rtl/>
        </w:rPr>
        <w:t>תניינא</w:t>
      </w:r>
      <w:r>
        <w:rPr>
          <w:rFonts w:cs="Arial" w:hint="cs"/>
          <w:rtl/>
        </w:rPr>
        <w:t xml:space="preserve"> סי' קד)</w:t>
      </w:r>
      <w:r w:rsidRPr="00046742">
        <w:rPr>
          <w:rFonts w:cs="Arial"/>
          <w:rtl/>
        </w:rPr>
        <w:t xml:space="preserve"> שכ' דמתשו' הרא"ש </w:t>
      </w:r>
      <w:r>
        <w:rPr>
          <w:rFonts w:cs="Arial" w:hint="cs"/>
          <w:rtl/>
        </w:rPr>
        <w:t>(</w:t>
      </w:r>
      <w:r w:rsidRPr="00046742">
        <w:rPr>
          <w:rFonts w:cs="Arial"/>
          <w:rtl/>
        </w:rPr>
        <w:t>כלל מב</w:t>
      </w:r>
      <w:r>
        <w:rPr>
          <w:rFonts w:cs="Arial" w:hint="cs"/>
          <w:rtl/>
        </w:rPr>
        <w:t>)</w:t>
      </w:r>
      <w:r w:rsidRPr="00046742">
        <w:rPr>
          <w:rFonts w:cs="Arial"/>
          <w:rtl/>
        </w:rPr>
        <w:t xml:space="preserve"> בסוף הפסק בשם גאון א</w:t>
      </w:r>
      <w:r>
        <w:rPr>
          <w:rFonts w:cs="Arial" w:hint="cs"/>
          <w:rtl/>
        </w:rPr>
        <w:t>חד</w:t>
      </w:r>
      <w:r w:rsidRPr="00046742">
        <w:rPr>
          <w:rFonts w:cs="Arial"/>
          <w:rtl/>
        </w:rPr>
        <w:t xml:space="preserve"> למדנו מדבריו שאם אין בידו די כתובתה והוא נשאר חייב לה המותר </w:t>
      </w:r>
      <w:r>
        <w:rPr>
          <w:rFonts w:cs="Arial" w:hint="cs"/>
          <w:rtl/>
        </w:rPr>
        <w:t xml:space="preserve">- </w:t>
      </w:r>
      <w:r w:rsidRPr="00046742">
        <w:rPr>
          <w:rFonts w:cs="Arial"/>
          <w:rtl/>
        </w:rPr>
        <w:t>מחוייב לישבע שתיכף אשר תשיג ידו שיתן לה ומחוייב לכלול בשבועתו שכל מה שתשיג ידו וכל מה שירויח שלא יאכיל ממנו לאשתו אשר יקח ולא לבניו ולא ילבש אותם ולא יטפל בהם רק יפרע הכל לאשתו הגרושה חוץ מזון שלשים יום לעצמו וכסות י"ב חודש לעצמו ככל חומר שבועה המבואר בח"מ סימן נ"ט ס"א ואח"כ יכול לגרשה ע"י כפיה שתקבל הגט</w:t>
      </w:r>
      <w:r>
        <w:rPr>
          <w:rFonts w:cs="Arial" w:hint="cs"/>
          <w:rtl/>
        </w:rPr>
        <w:t>, פת"ש (סק"ד).</w:t>
      </w:r>
    </w:p>
  </w:footnote>
  <w:footnote w:id="3266">
    <w:p w14:paraId="59F80001" w14:textId="77777777" w:rsidR="00DF1FC7" w:rsidRDefault="00DF1FC7" w:rsidP="002E5BAD">
      <w:pPr>
        <w:pStyle w:val="a5"/>
      </w:pPr>
      <w:r>
        <w:rPr>
          <w:rStyle w:val="a7"/>
        </w:rPr>
        <w:footnoteRef/>
      </w:r>
      <w:r>
        <w:rPr>
          <w:rtl/>
        </w:rPr>
        <w:t xml:space="preserve"> </w:t>
      </w:r>
      <w:r w:rsidRPr="00046742">
        <w:rPr>
          <w:rFonts w:cs="Arial"/>
          <w:rtl/>
        </w:rPr>
        <w:t xml:space="preserve">עח"מ </w:t>
      </w:r>
      <w:r>
        <w:rPr>
          <w:rFonts w:cs="Arial" w:hint="cs"/>
          <w:rtl/>
        </w:rPr>
        <w:t>(</w:t>
      </w:r>
      <w:r w:rsidRPr="00046742">
        <w:rPr>
          <w:rFonts w:cs="Arial"/>
          <w:rtl/>
        </w:rPr>
        <w:t>סק"כ ו</w:t>
      </w:r>
      <w:r>
        <w:rPr>
          <w:rFonts w:cs="Arial" w:hint="cs"/>
          <w:rtl/>
        </w:rPr>
        <w:t>סק</w:t>
      </w:r>
      <w:r w:rsidRPr="00046742">
        <w:rPr>
          <w:rFonts w:cs="Arial"/>
          <w:rtl/>
        </w:rPr>
        <w:t>כ"א</w:t>
      </w:r>
      <w:r>
        <w:rPr>
          <w:rFonts w:cs="Arial" w:hint="cs"/>
          <w:rtl/>
        </w:rPr>
        <w:t>)</w:t>
      </w:r>
      <w:r w:rsidRPr="00046742">
        <w:rPr>
          <w:rFonts w:cs="Arial"/>
          <w:rtl/>
        </w:rPr>
        <w:t xml:space="preserve"> וב"ש </w:t>
      </w:r>
      <w:r>
        <w:rPr>
          <w:rFonts w:cs="Arial" w:hint="cs"/>
          <w:rtl/>
        </w:rPr>
        <w:t>(</w:t>
      </w:r>
      <w:r w:rsidRPr="00046742">
        <w:rPr>
          <w:rFonts w:cs="Arial"/>
          <w:rtl/>
        </w:rPr>
        <w:t>סקכ"ב</w:t>
      </w:r>
      <w:r>
        <w:rPr>
          <w:rFonts w:cs="Arial" w:hint="cs"/>
          <w:rtl/>
        </w:rPr>
        <w:t>)</w:t>
      </w:r>
      <w:r w:rsidRPr="00046742">
        <w:rPr>
          <w:rFonts w:cs="Arial"/>
          <w:rtl/>
        </w:rPr>
        <w:t xml:space="preserve"> והעולה מדבריהם שהמה מחולקים מהיפך אל ההיפך</w:t>
      </w:r>
      <w:r>
        <w:rPr>
          <w:rFonts w:cs="Arial" w:hint="cs"/>
          <w:rtl/>
        </w:rPr>
        <w:t>.</w:t>
      </w:r>
      <w:r w:rsidRPr="00046742">
        <w:rPr>
          <w:rFonts w:cs="Arial"/>
          <w:rtl/>
        </w:rPr>
        <w:t xml:space="preserve"> דלדעת הח"מ לא ברירא לי' להרא"ש בסוף דבריו שיכופו אותה בשום כפי</w:t>
      </w:r>
      <w:r>
        <w:rPr>
          <w:rFonts w:cs="Arial" w:hint="cs"/>
          <w:rtl/>
        </w:rPr>
        <w:t>ה</w:t>
      </w:r>
      <w:r w:rsidRPr="00046742">
        <w:rPr>
          <w:rFonts w:cs="Arial"/>
          <w:rtl/>
        </w:rPr>
        <w:t xml:space="preserve"> רק למנוע ממנה שכ"ו. ודעת הב"ש הוא שכופין אותה בכל מיני כפיה אפילו בשוטין וגם החליט שיכול לזרוק לה גט בעל כרחה</w:t>
      </w:r>
      <w:r>
        <w:rPr>
          <w:rFonts w:cs="Arial" w:hint="cs"/>
          <w:rtl/>
        </w:rPr>
        <w:t>..</w:t>
      </w:r>
      <w:r w:rsidRPr="00046742">
        <w:rPr>
          <w:rFonts w:cs="Arial"/>
          <w:rtl/>
        </w:rPr>
        <w:t>. ועיין ב</w:t>
      </w:r>
      <w:r>
        <w:rPr>
          <w:rFonts w:cs="Arial" w:hint="cs"/>
          <w:rtl/>
        </w:rPr>
        <w:t>נ</w:t>
      </w:r>
      <w:r w:rsidRPr="00046742">
        <w:rPr>
          <w:rFonts w:cs="Arial"/>
          <w:rtl/>
        </w:rPr>
        <w:t xml:space="preserve">ו"ב </w:t>
      </w:r>
      <w:r w:rsidRPr="002577B3">
        <w:rPr>
          <w:rFonts w:cs="Arial" w:hint="cs"/>
          <w:sz w:val="16"/>
          <w:szCs w:val="16"/>
          <w:rtl/>
        </w:rPr>
        <w:t>(</w:t>
      </w:r>
      <w:r w:rsidRPr="002577B3">
        <w:rPr>
          <w:rFonts w:cs="Arial"/>
          <w:sz w:val="16"/>
          <w:szCs w:val="16"/>
          <w:rtl/>
        </w:rPr>
        <w:t>תניינ</w:t>
      </w:r>
      <w:r w:rsidRPr="002577B3">
        <w:rPr>
          <w:rFonts w:cs="Arial" w:hint="cs"/>
          <w:sz w:val="16"/>
          <w:szCs w:val="16"/>
          <w:rtl/>
        </w:rPr>
        <w:t>א סי' קד)</w:t>
      </w:r>
      <w:r w:rsidRPr="002577B3">
        <w:rPr>
          <w:rFonts w:cs="Arial"/>
          <w:sz w:val="16"/>
          <w:szCs w:val="16"/>
          <w:rtl/>
        </w:rPr>
        <w:t xml:space="preserve"> </w:t>
      </w:r>
      <w:r w:rsidRPr="00046742">
        <w:rPr>
          <w:rFonts w:cs="Arial"/>
          <w:rtl/>
        </w:rPr>
        <w:t xml:space="preserve">שכ' דהח"מ והב"ש וגם בתשו' מהר"ם לובלין </w:t>
      </w:r>
      <w:r w:rsidRPr="002577B3">
        <w:rPr>
          <w:rFonts w:cs="Arial" w:hint="cs"/>
          <w:sz w:val="16"/>
          <w:szCs w:val="16"/>
          <w:rtl/>
        </w:rPr>
        <w:t>(</w:t>
      </w:r>
      <w:r w:rsidRPr="002577B3">
        <w:rPr>
          <w:rFonts w:cs="Arial"/>
          <w:sz w:val="16"/>
          <w:szCs w:val="16"/>
          <w:rtl/>
        </w:rPr>
        <w:t>סי' א</w:t>
      </w:r>
      <w:r w:rsidRPr="002577B3">
        <w:rPr>
          <w:rFonts w:cs="Arial" w:hint="cs"/>
          <w:sz w:val="16"/>
          <w:szCs w:val="16"/>
          <w:rtl/>
        </w:rPr>
        <w:t>)</w:t>
      </w:r>
      <w:r w:rsidRPr="002577B3">
        <w:rPr>
          <w:rFonts w:cs="Arial"/>
          <w:sz w:val="16"/>
          <w:szCs w:val="16"/>
          <w:rtl/>
        </w:rPr>
        <w:t xml:space="preserve"> </w:t>
      </w:r>
      <w:r w:rsidRPr="00046742">
        <w:rPr>
          <w:rFonts w:cs="Arial"/>
          <w:rtl/>
        </w:rPr>
        <w:t>במח"כ שגו בפירוש דברי הרא"ש</w:t>
      </w:r>
      <w:r>
        <w:rPr>
          <w:rFonts w:cs="Arial" w:hint="cs"/>
          <w:rtl/>
        </w:rPr>
        <w:t>...</w:t>
      </w:r>
      <w:r w:rsidRPr="00046742">
        <w:rPr>
          <w:rFonts w:cs="Arial"/>
          <w:rtl/>
        </w:rPr>
        <w:t xml:space="preserve"> </w:t>
      </w:r>
      <w:r>
        <w:rPr>
          <w:rFonts w:cs="Arial" w:hint="cs"/>
          <w:rtl/>
        </w:rPr>
        <w:t>ו</w:t>
      </w:r>
      <w:r w:rsidRPr="00046742">
        <w:rPr>
          <w:rFonts w:cs="Arial"/>
          <w:rtl/>
        </w:rPr>
        <w:t xml:space="preserve">באמת אין כאן סתירה </w:t>
      </w:r>
      <w:r>
        <w:rPr>
          <w:rFonts w:cs="Arial" w:hint="cs"/>
          <w:sz w:val="16"/>
          <w:szCs w:val="16"/>
          <w:rtl/>
        </w:rPr>
        <w:t>{בדברי הרא"ש}</w:t>
      </w:r>
      <w:r>
        <w:rPr>
          <w:rFonts w:cs="Arial" w:hint="cs"/>
          <w:rtl/>
        </w:rPr>
        <w:t xml:space="preserve"> </w:t>
      </w:r>
      <w:r w:rsidRPr="00046742">
        <w:rPr>
          <w:rFonts w:cs="Arial"/>
          <w:rtl/>
        </w:rPr>
        <w:t>והמה אמורים על הסדר דהנה ענין בעל כרחה של האשה נכלל בו ב' ענינים. הא'</w:t>
      </w:r>
      <w:r>
        <w:rPr>
          <w:rFonts w:cs="Arial" w:hint="cs"/>
          <w:rtl/>
        </w:rPr>
        <w:t>-</w:t>
      </w:r>
      <w:r w:rsidRPr="00046742">
        <w:rPr>
          <w:rFonts w:cs="Arial"/>
          <w:rtl/>
        </w:rPr>
        <w:t xml:space="preserve"> כמו על כרחו של האיש במקום שכופין אותו דהוא עד שיאמר רוצה אני</w:t>
      </w:r>
      <w:r>
        <w:rPr>
          <w:rFonts w:cs="Arial" w:hint="cs"/>
          <w:rtl/>
        </w:rPr>
        <w:t>.</w:t>
      </w:r>
      <w:r w:rsidRPr="00046742">
        <w:rPr>
          <w:rFonts w:cs="Arial"/>
          <w:rtl/>
        </w:rPr>
        <w:t xml:space="preserve"> והב'</w:t>
      </w:r>
      <w:r>
        <w:rPr>
          <w:rFonts w:cs="Arial" w:hint="cs"/>
          <w:rtl/>
        </w:rPr>
        <w:t>-</w:t>
      </w:r>
      <w:r w:rsidRPr="00046742">
        <w:rPr>
          <w:rFonts w:cs="Arial"/>
          <w:rtl/>
        </w:rPr>
        <w:t xml:space="preserve"> ע"כ ממש בלי רצונה כלל כמו שהי' בזמן התלמוד. ופלפל הרא"ש מתחילה דבכה"ג לא תיקן ר"ג כלום וממילא נשאר בה דין הש"ס וזורק לה גט בע"כ ממש בלי רצונה כלל. ואח"כ אמר ואף את"ל שהשוה מדותיו ששום אדם לא יגרש בע"כ דהיינו בע"כ לגמרי אבל עכ"פ במקום שכופין אותו להוציא כופין אותה לקבל גט דהיינו שכופין אותה שתאמר רוצה אני לקבל הגט. ולפי שיש הפרש בין הגירושין בעל כרחה ובין הכפי' לקבל הגט שלגרש בעל כרחה לא משכחת צד מונע שהרי יכול לזרוק וכיו</w:t>
      </w:r>
      <w:r>
        <w:rPr>
          <w:rFonts w:cs="Arial" w:hint="cs"/>
          <w:rtl/>
        </w:rPr>
        <w:t>"</w:t>
      </w:r>
      <w:r w:rsidRPr="00046742">
        <w:rPr>
          <w:rFonts w:cs="Arial"/>
          <w:rtl/>
        </w:rPr>
        <w:t>ב ולא שייך בזה אם תמאן אבל בצד השני שכ' הרא"ש. שאת"ל שהגאון השוה מדותיו ואף שכופין אותה אם במילי ואם בשוטין מ"מ משכחת לפעמים באשה סרבנית ועקשנית ותסבול כל הכפיות ולא תאמר רוצה אני ומשכחת בזה שתמאן ועל זה סיים הרא"ש ואם תמאן לקבל שלא יועיל כל הכפיות ימנע ממנה שכ"ו. זהו הפי' הנכון בדברי הרא"ש. ומעתה הדין היוצא מדבריו לזרוק לה גט לא החליט הרא"ש אבל לכופה כשם שכופין את האיש במה שמבואר במשנה שכופין האיש כופין גם האשה אם בשוטין אם בשאר כפי' לכל מר כדאית לי' דהיינו שכופין אותה שתקבל הגט מרצונה.</w:t>
      </w:r>
      <w:r>
        <w:rPr>
          <w:rFonts w:cs="Arial" w:hint="cs"/>
          <w:rtl/>
        </w:rPr>
        <w:t>..</w:t>
      </w:r>
      <w:r w:rsidRPr="00046742">
        <w:rPr>
          <w:rFonts w:cs="Arial"/>
          <w:rtl/>
        </w:rPr>
        <w:t xml:space="preserve"> ובזה פי' גם דברי הב"י בהעתקתו דברי הרא"ש ע"ש עכת"ד והמה נכונים מאד.</w:t>
      </w:r>
      <w:r>
        <w:rPr>
          <w:rFonts w:cs="Arial" w:hint="cs"/>
          <w:rtl/>
        </w:rPr>
        <w:t>.., פת"ש (סק"ה).</w:t>
      </w:r>
    </w:p>
  </w:footnote>
  <w:footnote w:id="3267">
    <w:p w14:paraId="1A250826" w14:textId="77777777" w:rsidR="00DF1FC7" w:rsidRDefault="00DF1FC7" w:rsidP="002E5BAD">
      <w:pPr>
        <w:pStyle w:val="a5"/>
      </w:pPr>
      <w:r>
        <w:rPr>
          <w:rStyle w:val="a7"/>
        </w:rPr>
        <w:footnoteRef/>
      </w:r>
      <w:r>
        <w:rPr>
          <w:rtl/>
        </w:rPr>
        <w:t xml:space="preserve"> </w:t>
      </w:r>
      <w:r w:rsidRPr="00F17859">
        <w:rPr>
          <w:rFonts w:cs="Arial"/>
          <w:rtl/>
        </w:rPr>
        <w:t>עיין ר"ס ע"ז מ"ש בשם תשובת מהר"מ מזרחי וב"ח כל אשה שרוצה בעלה לגרשה וליתן לה הכתובה ואינה רוצה לקבל הגט יכול למנוע ממנה שכ"ו לפ"ז צ"ל מ"ש כאן ימנע ממנה שכ"ו היינו אפי' אין ידו משגת ליתן לה הכתובה</w:t>
      </w:r>
      <w:r>
        <w:rPr>
          <w:rFonts w:cs="Arial" w:hint="cs"/>
          <w:rtl/>
        </w:rPr>
        <w:t>, ב"ש (סקכ"ג).</w:t>
      </w:r>
    </w:p>
  </w:footnote>
  <w:footnote w:id="3268">
    <w:p w14:paraId="19B64EDB" w14:textId="77777777" w:rsidR="00DF1FC7" w:rsidRDefault="00DF1FC7" w:rsidP="002E5BAD">
      <w:pPr>
        <w:pStyle w:val="a5"/>
      </w:pPr>
      <w:r>
        <w:rPr>
          <w:rStyle w:val="a7"/>
        </w:rPr>
        <w:footnoteRef/>
      </w:r>
      <w:r>
        <w:rPr>
          <w:rtl/>
        </w:rPr>
        <w:t xml:space="preserve"> </w:t>
      </w:r>
      <w:r w:rsidRPr="00F17859">
        <w:rPr>
          <w:rFonts w:cs="Arial"/>
          <w:rtl/>
        </w:rPr>
        <w:t>וצריך לקיים לה שאר כסות כשאר נשים רק עונה פטור שהוא צערה דגופה ואין כופין אותו להוליד בני שנואה ובפרט כשנותן אמתלא לדבריו ומ"מ אין יכולת בידה להוציא ממנו הנדוניא כל זמן שהיא מעכבת הגט דאין לה לתפוס החבל בתרי ראשין או תתקבל גט או לא תתבע הכתובה והנדוניא והוא מחוייב לעשות לה כמשפט הבנות לבד עונה א"צ לקיים</w:t>
      </w:r>
      <w:r>
        <w:rPr>
          <w:rFonts w:cs="Arial" w:hint="cs"/>
          <w:rtl/>
        </w:rPr>
        <w:t>, ח"מ (סקכ"ב).</w:t>
      </w:r>
    </w:p>
  </w:footnote>
  <w:footnote w:id="3269">
    <w:p w14:paraId="01FBF21E" w14:textId="77777777" w:rsidR="00DF1FC7" w:rsidRDefault="00DF1FC7" w:rsidP="002E5BAD">
      <w:pPr>
        <w:pStyle w:val="a5"/>
      </w:pPr>
      <w:r>
        <w:rPr>
          <w:rStyle w:val="a7"/>
        </w:rPr>
        <w:footnoteRef/>
      </w:r>
      <w:r>
        <w:rPr>
          <w:rtl/>
        </w:rPr>
        <w:t xml:space="preserve"> </w:t>
      </w:r>
      <w:r w:rsidRPr="00F17859">
        <w:rPr>
          <w:rFonts w:cs="Arial"/>
          <w:rtl/>
        </w:rPr>
        <w:t>אבל אם אין ידו משגת ליתן כתובת' אפשר דנקרא מורד ומוסיפין על כתובתה וכן משמע מלשון תשובת הרא"ש שכתב כיון שמן הדין היא חייבת לקבל גט כאשר הוכחתי נמצ' פריעת כתובה הוי כשאר חוב משמע הא כל שאין הדין נותן לגרשה אין יכול לגרשה כשאין לו הכתובה וכ"כ הרשב"א בתשובה סי' אלף רנ"ד וכבר כתבתי מזה סי' ק' ס"ק כ"ז ועיין בתשובת הריב"ש סי' צ"א משמע קצת דמי שרוצה לגרש אשתו יכול לגרש ואחר הגירושין תתבע כתובה</w:t>
      </w:r>
      <w:r>
        <w:rPr>
          <w:rFonts w:cs="Arial" w:hint="cs"/>
          <w:rtl/>
        </w:rPr>
        <w:t>, ח"מ (סקכ"ג).</w:t>
      </w:r>
    </w:p>
  </w:footnote>
  <w:footnote w:id="3270">
    <w:p w14:paraId="3984121C" w14:textId="77777777" w:rsidR="00DF1FC7" w:rsidRDefault="00DF1FC7" w:rsidP="002E5BAD">
      <w:pPr>
        <w:pStyle w:val="a5"/>
        <w:rPr>
          <w:rtl/>
        </w:rPr>
      </w:pPr>
      <w:r>
        <w:rPr>
          <w:rStyle w:val="a7"/>
        </w:rPr>
        <w:footnoteRef/>
      </w:r>
      <w:r>
        <w:rPr>
          <w:rtl/>
        </w:rPr>
        <w:t xml:space="preserve"> </w:t>
      </w:r>
      <w:r w:rsidRPr="00236A20">
        <w:rPr>
          <w:rFonts w:cs="Arial"/>
          <w:rtl/>
        </w:rPr>
        <w:t>כלומר ואין רוצים ליתן לה אלא חצי הנכסים כמו שהיא התקנה שיחלקו הנכסים בין האלמנה ויורשי המת</w:t>
      </w:r>
      <w:r>
        <w:rPr>
          <w:rFonts w:hint="cs"/>
          <w:rtl/>
        </w:rPr>
        <w:t>, ב"י.</w:t>
      </w:r>
    </w:p>
  </w:footnote>
  <w:footnote w:id="3271">
    <w:p w14:paraId="1AB79245" w14:textId="77777777" w:rsidR="00DF1FC7" w:rsidRDefault="00DF1FC7" w:rsidP="002E5BAD">
      <w:pPr>
        <w:pStyle w:val="a5"/>
      </w:pPr>
      <w:r>
        <w:rPr>
          <w:rStyle w:val="a7"/>
        </w:rPr>
        <w:footnoteRef/>
      </w:r>
      <w:r>
        <w:rPr>
          <w:rtl/>
        </w:rPr>
        <w:t xml:space="preserve"> </w:t>
      </w:r>
      <w:r w:rsidRPr="005D0708">
        <w:rPr>
          <w:rFonts w:cs="Arial"/>
          <w:rtl/>
        </w:rPr>
        <w:t>ושם כתוב מחלוקת הרא"ש על ה"ר ישר' בענין פי' תקנת טוליטולה לענין זה. ומבואר שם בתחלת הכלל הנזכר שלא כתב כן אלא לפי לשון תקנת טוליטולה וכמו שדקדק שם מדברי התקנה הנזכר. ואם כן אין ללמוד מזה לתקנה אחרת שאינה כתובה באותו סגנון. וכ"כ ה"ר שלמה בן הר"ש בר צמח (שו"ת רשב"ש סי' עח) מקומות שיש להן תקנה שאם תמות האשה בחיי בעלה יחזיר מקצת הכתובה ליורשיה אם אותו מקצת רצתה האשה למוחלו לבעלה והוציא הבעל שטר מחילה מזה היא קיימת דכל טצדקי שאנו יכולין לעשות להעמיד הנחלה במקומה אנו עושים עכ"ל מיהו היכא שכתוב בתנאי שעל מנת כן נתן לה הנותן הנדוניא אין בידה לשנות התנאי.</w:t>
      </w:r>
      <w:r>
        <w:rPr>
          <w:rFonts w:cs="Arial" w:hint="cs"/>
          <w:rtl/>
        </w:rPr>
        <w:t>.., ב"י.</w:t>
      </w:r>
    </w:p>
  </w:footnote>
  <w:footnote w:id="3272">
    <w:p w14:paraId="0F73203C" w14:textId="77777777" w:rsidR="00DF1FC7" w:rsidRDefault="00DF1FC7" w:rsidP="002E5BAD">
      <w:pPr>
        <w:pStyle w:val="a5"/>
      </w:pPr>
      <w:r>
        <w:rPr>
          <w:rStyle w:val="a7"/>
        </w:rPr>
        <w:footnoteRef/>
      </w:r>
      <w:r>
        <w:rPr>
          <w:rtl/>
        </w:rPr>
        <w:t xml:space="preserve"> </w:t>
      </w:r>
      <w:r w:rsidRPr="005D0708">
        <w:rPr>
          <w:rFonts w:cs="Arial"/>
          <w:rtl/>
        </w:rPr>
        <w:t>ג"ז בכלל הנזכר בסופו (סי' י ד"ה תשובה דקדקתי) ובסימן ג' ג"כ כתב איני זכור שכתבתי בענין התקנה אלא בענין זה שאם היתה האשה יכולה להפקיע התקנה וליתן לבעלה כל הנכסים לאחר מותה איפשר שזה היה כנגד התקנה אבל מה שמוחלת מעכשיו ולבעלה אין דבר זה נוגע בתקנה כלום ומחילתה מחילה ע"כ: [בדק הבית] וכתב הרמ"ה בתשובה שאם התנה בכתובה שאפילו תמות היא בלא זרע יחלוק הוא עם יורשיה ואח"כ כתבה לו כל נכסיה מהיום ולאחר מיתה ומתה תנאי האחרון מבטל את הראשון. וכתב עוד שהוא הדין אם נתנה במתנה לאיש אחר מה שהתנה הבעל להפסיד מהחילוק הראוי ליירש בדין שמתנת קיימת [עד כאן]: וכתב בכלל מ' סימן ב' שנשאל על לאה שנתנה בצוואת שכיב מרע חצרה לרחל בתה ולא ערער ראובן בעלה בדבר ובעל חוב של ראובן בא לגבות חובו מאותו חצר לפי שראובן יורש את אשתו ואין כח במתנתה לבטל ירושתו והבת טוענת שכיון ששמע ראובן צוואתה ושתק המתנה קיימת והשיב שהדין עם הבעל חוב</w:t>
      </w:r>
      <w:r>
        <w:rPr>
          <w:rFonts w:cs="Arial" w:hint="cs"/>
          <w:rtl/>
        </w:rPr>
        <w:t>, ב"י.</w:t>
      </w:r>
    </w:p>
  </w:footnote>
  <w:footnote w:id="3273">
    <w:p w14:paraId="4EA855FE" w14:textId="77777777" w:rsidR="00DF1FC7" w:rsidRDefault="00DF1FC7" w:rsidP="002E5BAD">
      <w:pPr>
        <w:pStyle w:val="a5"/>
        <w:rPr>
          <w:rtl/>
        </w:rPr>
      </w:pPr>
      <w:r>
        <w:rPr>
          <w:rStyle w:val="a7"/>
        </w:rPr>
        <w:footnoteRef/>
      </w:r>
      <w:r>
        <w:rPr>
          <w:rtl/>
        </w:rPr>
        <w:t xml:space="preserve"> </w:t>
      </w:r>
      <w:r>
        <w:rPr>
          <w:rFonts w:cs="Arial"/>
          <w:rtl/>
        </w:rPr>
        <w:t>כ"כ בכלל ל"ו סימן ז' ונתן טעם משום דכי היכי דמשועבד לה הכי נמי משועבד לב"ח מדרבי נתן</w:t>
      </w:r>
      <w:r>
        <w:rPr>
          <w:rFonts w:hint="cs"/>
          <w:rtl/>
        </w:rPr>
        <w:t>, ב"י.</w:t>
      </w:r>
    </w:p>
  </w:footnote>
  <w:footnote w:id="3274">
    <w:p w14:paraId="2AF7D3F5" w14:textId="77777777" w:rsidR="00DF1FC7" w:rsidRDefault="00DF1FC7" w:rsidP="002E5BAD">
      <w:pPr>
        <w:pStyle w:val="a5"/>
        <w:rPr>
          <w:rtl/>
        </w:rPr>
      </w:pPr>
      <w:r>
        <w:rPr>
          <w:rStyle w:val="a7"/>
        </w:rPr>
        <w:footnoteRef/>
      </w:r>
      <w:r>
        <w:rPr>
          <w:rtl/>
        </w:rPr>
        <w:t xml:space="preserve"> </w:t>
      </w:r>
      <w:r>
        <w:rPr>
          <w:rFonts w:cs="Arial"/>
          <w:rtl/>
        </w:rPr>
        <w:t>בכלל ל"ט סימן ג' כתב כן ונתן טעם משום דכיון דאחר שתגבה אותם יש להם דין נכסי מלוג דיש לבעל בהם זכות ואי אפשר למכרם אלא בטובת הנאה אם תתאלמן או תתגרש וכל לגבי בעלה ודאי מחלה ואטרוחי בי דינא בכדי לא מטרחינן</w:t>
      </w:r>
      <w:r>
        <w:rPr>
          <w:rFonts w:hint="cs"/>
          <w:rtl/>
        </w:rPr>
        <w:t>, ב"י.</w:t>
      </w:r>
    </w:p>
  </w:footnote>
  <w:footnote w:id="3275">
    <w:p w14:paraId="008B19F3" w14:textId="77777777" w:rsidR="00DF1FC7" w:rsidRDefault="00DF1FC7" w:rsidP="002E5BAD">
      <w:pPr>
        <w:pStyle w:val="a5"/>
        <w:rPr>
          <w:rtl/>
        </w:rPr>
      </w:pPr>
      <w:r>
        <w:rPr>
          <w:rStyle w:val="a7"/>
        </w:rPr>
        <w:footnoteRef/>
      </w:r>
      <w:r>
        <w:rPr>
          <w:rtl/>
        </w:rPr>
        <w:t xml:space="preserve"> </w:t>
      </w:r>
      <w:r w:rsidRPr="009132B5">
        <w:rPr>
          <w:rFonts w:cs="Arial"/>
          <w:rtl/>
        </w:rPr>
        <w:t>הטעם מבואר דכיון דאין לבעל זכות באותם נכסים אפילו לפירות הרי היא חייבת לפרוע חובה מהם אפילו לותה אחר שנשאת וכן מתבאר מדברי רבינו שכתב בסמוך בשם הרא"ש</w:t>
      </w:r>
      <w:r>
        <w:rPr>
          <w:rFonts w:hint="cs"/>
          <w:rtl/>
        </w:rPr>
        <w:t>, ב"י.</w:t>
      </w:r>
    </w:p>
  </w:footnote>
  <w:footnote w:id="3276">
    <w:p w14:paraId="736F3EBD" w14:textId="77777777" w:rsidR="00DF1FC7" w:rsidRDefault="00DF1FC7" w:rsidP="002E5BAD">
      <w:pPr>
        <w:pStyle w:val="a5"/>
        <w:rPr>
          <w:rtl/>
        </w:rPr>
      </w:pPr>
      <w:r>
        <w:rPr>
          <w:rStyle w:val="a7"/>
        </w:rPr>
        <w:footnoteRef/>
      </w:r>
      <w:r>
        <w:rPr>
          <w:rtl/>
        </w:rPr>
        <w:t xml:space="preserve"> </w:t>
      </w:r>
      <w:r w:rsidRPr="009132B5">
        <w:rPr>
          <w:rFonts w:cs="Arial"/>
          <w:rtl/>
        </w:rPr>
        <w:t>וכבר נתבאר זה בדברי רבינו סימן צ"ה</w:t>
      </w:r>
      <w:r>
        <w:rPr>
          <w:rFonts w:cs="Arial" w:hint="cs"/>
          <w:rtl/>
        </w:rPr>
        <w:t xml:space="preserve"> </w:t>
      </w:r>
      <w:r w:rsidRPr="009132B5">
        <w:rPr>
          <w:rFonts w:cs="Arial"/>
          <w:rtl/>
        </w:rPr>
        <w:t>(קלה.). ובתשובה אחרת בסימן הנזכר (סי' ד) כתב כל מה שימצאו מנכסיה קרקע מטלטל ושטרות יתנו לבעל חוב בשטר חובו</w:t>
      </w:r>
      <w:r>
        <w:rPr>
          <w:rFonts w:cs="Arial" w:hint="cs"/>
          <w:rtl/>
        </w:rPr>
        <w:t>, ב"י.</w:t>
      </w:r>
    </w:p>
  </w:footnote>
  <w:footnote w:id="3277">
    <w:p w14:paraId="0DC6D319" w14:textId="77777777" w:rsidR="00DF1FC7" w:rsidRDefault="00DF1FC7" w:rsidP="002E5BAD">
      <w:pPr>
        <w:pStyle w:val="a5"/>
        <w:rPr>
          <w:rtl/>
        </w:rPr>
      </w:pPr>
      <w:r>
        <w:rPr>
          <w:rStyle w:val="a7"/>
        </w:rPr>
        <w:footnoteRef/>
      </w:r>
      <w:r>
        <w:rPr>
          <w:rtl/>
        </w:rPr>
        <w:t xml:space="preserve"> </w:t>
      </w:r>
      <w:r>
        <w:rPr>
          <w:rFonts w:cs="Arial"/>
          <w:rtl/>
        </w:rPr>
        <w:t>ונר</w:t>
      </w:r>
      <w:r>
        <w:rPr>
          <w:rFonts w:cs="Arial" w:hint="cs"/>
          <w:rtl/>
        </w:rPr>
        <w:t>אה</w:t>
      </w:r>
      <w:r>
        <w:rPr>
          <w:rFonts w:cs="Arial"/>
          <w:rtl/>
        </w:rPr>
        <w:t xml:space="preserve"> ששטר נדוניא זה היה כתוב תנאי שתוכל לגבותו בכל עת שתרצה ואפילו בחיי הבעל וכמו שכתב לעיל שהיה מנהגם לכתוב כן</w:t>
      </w:r>
      <w:r>
        <w:rPr>
          <w:rFonts w:hint="cs"/>
          <w:rtl/>
        </w:rPr>
        <w:t>, ב"י.</w:t>
      </w:r>
    </w:p>
  </w:footnote>
  <w:footnote w:id="3278">
    <w:p w14:paraId="1F9D1D75" w14:textId="77777777" w:rsidR="00DF1FC7" w:rsidRDefault="00DF1FC7" w:rsidP="002E5BAD">
      <w:pPr>
        <w:pStyle w:val="a5"/>
        <w:rPr>
          <w:rtl/>
        </w:rPr>
      </w:pPr>
      <w:r>
        <w:rPr>
          <w:rStyle w:val="a7"/>
        </w:rPr>
        <w:footnoteRef/>
      </w:r>
      <w:r>
        <w:rPr>
          <w:rtl/>
        </w:rPr>
        <w:t xml:space="preserve"> </w:t>
      </w:r>
      <w:r>
        <w:rPr>
          <w:rFonts w:cs="Arial"/>
          <w:rtl/>
        </w:rPr>
        <w:t>ויש לתמוה כיון שהניח ראובן הרבה נכסים מעות וקרקעות על מה חולקים בניו עם שמעון שהרי מחוייבים הם לפרוע חוב אביהם כיון שירשו יותר מחוב שמעון ונדוניית אמם ואין לומר שהיו רוצים לפרעו במטלטלין והוא לא היה רוצה לגבות אלא קרקע דהא ודאי הדין עם היורשים דהא אי בעו לסלוקי בזוזי מצו מסלק ליה. ולכן צ"ל שכשבא ב"ח לגבות חובו כבר הוציאו היורשים המטלטלין וכן מבואר בדברי השאלה הנזכרת בתשובות הרא"ש שכתוב בה כלשון הזה מת ראובן והניח הרבה שטרות והרבה מעות וקרקעות ונשאו ונתנו באותו ממון בני ראובן וגבו שטרות ופרעו הרבה מסים והשיאו לאחיותיהם הכל מממון אביהם ע"כ</w:t>
      </w:r>
      <w:r>
        <w:rPr>
          <w:rFonts w:hint="cs"/>
          <w:rtl/>
        </w:rPr>
        <w:t>, ב"י.</w:t>
      </w:r>
    </w:p>
  </w:footnote>
  <w:footnote w:id="3279">
    <w:p w14:paraId="697FCDE5" w14:textId="77777777" w:rsidR="00DF1FC7" w:rsidRDefault="00DF1FC7" w:rsidP="002E5BAD">
      <w:pPr>
        <w:pStyle w:val="a5"/>
        <w:rPr>
          <w:rtl/>
        </w:rPr>
      </w:pPr>
      <w:r>
        <w:rPr>
          <w:rStyle w:val="a7"/>
        </w:rPr>
        <w:footnoteRef/>
      </w:r>
      <w:r>
        <w:rPr>
          <w:rtl/>
        </w:rPr>
        <w:t xml:space="preserve"> </w:t>
      </w:r>
      <w:r>
        <w:rPr>
          <w:rFonts w:cs="Arial"/>
          <w:rtl/>
        </w:rPr>
        <w:t>ושתי תשובות אלו אין מקומם כאן אלא בסימן י"ז ושם נתבארו ולא כתבם רבינו כאן אלא אגב תשובות אחרות שהביא כאן</w:t>
      </w:r>
      <w:r>
        <w:rPr>
          <w:rFonts w:hint="cs"/>
          <w:rtl/>
        </w:rPr>
        <w:t>, ב"י.</w:t>
      </w:r>
    </w:p>
  </w:footnote>
  <w:footnote w:id="3280">
    <w:p w14:paraId="670AB377" w14:textId="77777777" w:rsidR="00DF1FC7" w:rsidRDefault="00DF1FC7" w:rsidP="002E5BAD">
      <w:pPr>
        <w:pStyle w:val="a5"/>
      </w:pPr>
      <w:r>
        <w:rPr>
          <w:rStyle w:val="a7"/>
        </w:rPr>
        <w:footnoteRef/>
      </w:r>
      <w:r>
        <w:rPr>
          <w:rtl/>
        </w:rPr>
        <w:t xml:space="preserve"> </w:t>
      </w:r>
      <w:r>
        <w:rPr>
          <w:rFonts w:cs="Arial"/>
          <w:rtl/>
        </w:rPr>
        <w:t>כלומר יבמתו שהיתה זקוקה לו</w:t>
      </w:r>
      <w:r>
        <w:rPr>
          <w:rFonts w:cs="Arial" w:hint="cs"/>
          <w:rtl/>
        </w:rPr>
        <w:t>, ב"י.</w:t>
      </w:r>
    </w:p>
  </w:footnote>
  <w:footnote w:id="3281">
    <w:p w14:paraId="2093BDF0" w14:textId="77777777" w:rsidR="00DF1FC7" w:rsidRDefault="00DF1FC7" w:rsidP="002E5BAD">
      <w:pPr>
        <w:pStyle w:val="a5"/>
      </w:pPr>
      <w:r>
        <w:rPr>
          <w:rStyle w:val="a7"/>
        </w:rPr>
        <w:footnoteRef/>
      </w:r>
      <w:r>
        <w:rPr>
          <w:rtl/>
        </w:rPr>
        <w:t xml:space="preserve"> </w:t>
      </w:r>
      <w:r w:rsidRPr="009132B5">
        <w:rPr>
          <w:rFonts w:cs="Arial"/>
          <w:rtl/>
        </w:rPr>
        <w:t>וכן כתב עוד בכלל נ' (סי' א)</w:t>
      </w:r>
      <w:r>
        <w:rPr>
          <w:rFonts w:cs="Arial" w:hint="cs"/>
          <w:rtl/>
        </w:rPr>
        <w:t>,</w:t>
      </w:r>
      <w:r w:rsidRPr="009132B5">
        <w:rPr>
          <w:rFonts w:cs="Arial"/>
          <w:rtl/>
        </w:rPr>
        <w:t xml:space="preserve"> וכתבה רבינו בטור ח</w:t>
      </w:r>
      <w:r>
        <w:rPr>
          <w:rFonts w:cs="Arial" w:hint="cs"/>
          <w:rtl/>
        </w:rPr>
        <w:t>ו"מ</w:t>
      </w:r>
      <w:r w:rsidRPr="009132B5">
        <w:rPr>
          <w:rFonts w:cs="Arial"/>
          <w:rtl/>
        </w:rPr>
        <w:t xml:space="preserve"> סימן </w:t>
      </w:r>
      <w:r>
        <w:rPr>
          <w:rFonts w:cs="Arial" w:hint="cs"/>
          <w:rtl/>
        </w:rPr>
        <w:t>ק</w:t>
      </w:r>
      <w:r w:rsidRPr="009132B5">
        <w:rPr>
          <w:rFonts w:cs="Arial"/>
          <w:rtl/>
        </w:rPr>
        <w:t>קע"ה (</w:t>
      </w:r>
      <w:r>
        <w:rPr>
          <w:rFonts w:cs="Arial" w:hint="cs"/>
          <w:rtl/>
        </w:rPr>
        <w:t xml:space="preserve">סי' ערה </w:t>
      </w:r>
      <w:r w:rsidRPr="009132B5">
        <w:rPr>
          <w:rFonts w:cs="Arial"/>
          <w:rtl/>
        </w:rPr>
        <w:t>סע' ד - ה)</w:t>
      </w:r>
      <w:r>
        <w:rPr>
          <w:rFonts w:cs="Arial" w:hint="cs"/>
          <w:rtl/>
        </w:rPr>
        <w:t>.</w:t>
      </w:r>
      <w:r w:rsidRPr="009132B5">
        <w:rPr>
          <w:rFonts w:cs="Arial"/>
          <w:rtl/>
        </w:rPr>
        <w:t xml:space="preserve"> וכ"כ הגה</w:t>
      </w:r>
      <w:r>
        <w:rPr>
          <w:rFonts w:cs="Arial" w:hint="cs"/>
          <w:rtl/>
        </w:rPr>
        <w:t>"</w:t>
      </w:r>
      <w:r w:rsidRPr="009132B5">
        <w:rPr>
          <w:rFonts w:cs="Arial"/>
          <w:rtl/>
        </w:rPr>
        <w:t>מ פי"ז מ</w:t>
      </w:r>
      <w:r>
        <w:rPr>
          <w:rFonts w:cs="Arial" w:hint="cs"/>
          <w:rtl/>
        </w:rPr>
        <w:t xml:space="preserve">הל' </w:t>
      </w:r>
      <w:r w:rsidRPr="009132B5">
        <w:rPr>
          <w:rFonts w:cs="Arial"/>
          <w:rtl/>
        </w:rPr>
        <w:t>אישות (אות ד)</w:t>
      </w:r>
      <w:r>
        <w:rPr>
          <w:rFonts w:cs="Arial" w:hint="cs"/>
          <w:rtl/>
        </w:rPr>
        <w:t>,</w:t>
      </w:r>
      <w:r w:rsidRPr="009132B5">
        <w:rPr>
          <w:rFonts w:cs="Arial"/>
          <w:rtl/>
        </w:rPr>
        <w:t xml:space="preserve"> ובמרדכי פרק נערה (כתובות סי' קנז - קנח)</w:t>
      </w:r>
      <w:r>
        <w:rPr>
          <w:rFonts w:cs="Arial" w:hint="cs"/>
          <w:rtl/>
        </w:rPr>
        <w:t>,</w:t>
      </w:r>
      <w:r w:rsidRPr="009132B5">
        <w:rPr>
          <w:rFonts w:cs="Arial"/>
          <w:rtl/>
        </w:rPr>
        <w:t xml:space="preserve"> ובתשובות להרמב"ן (במיוחסות) סימן ס"ד. כתב הרא"ש בתשובה כלל ל"ו סימן ד' שמעון שתובע מראובן ק' זהובים מכח חמותו שהיה חייב לחמיו</w:t>
      </w:r>
      <w:r>
        <w:rPr>
          <w:rFonts w:cs="Arial" w:hint="cs"/>
          <w:rtl/>
        </w:rPr>
        <w:t>, ב"י.</w:t>
      </w:r>
    </w:p>
  </w:footnote>
  <w:footnote w:id="3282">
    <w:p w14:paraId="5EEA74A1" w14:textId="77777777" w:rsidR="00DF1FC7" w:rsidRDefault="00DF1FC7" w:rsidP="002E5BAD">
      <w:pPr>
        <w:pStyle w:val="a5"/>
      </w:pPr>
      <w:r>
        <w:rPr>
          <w:rStyle w:val="a7"/>
        </w:rPr>
        <w:footnoteRef/>
      </w:r>
      <w:r>
        <w:rPr>
          <w:rtl/>
        </w:rPr>
        <w:t xml:space="preserve"> </w:t>
      </w:r>
      <w:r w:rsidRPr="004638AD">
        <w:rPr>
          <w:rFonts w:cs="Arial"/>
          <w:rtl/>
        </w:rPr>
        <w:t>ובסוף כלל ק"ו (סי' ד) כתב על ראובן שטען על כלתו שלקחה ספריו והיא טוענת שלקחתם בשביל נדונייתה שנתן חמיה ליד בעלה והוא חסר דעת ואינו בר משא ומתן</w:t>
      </w:r>
      <w:r>
        <w:rPr>
          <w:rFonts w:cs="Arial" w:hint="cs"/>
          <w:rtl/>
        </w:rPr>
        <w:t>, ב"י.</w:t>
      </w:r>
    </w:p>
  </w:footnote>
  <w:footnote w:id="3283">
    <w:p w14:paraId="63893986" w14:textId="77777777" w:rsidR="00DF1FC7" w:rsidRDefault="00DF1FC7" w:rsidP="002E5BAD">
      <w:pPr>
        <w:pStyle w:val="a5"/>
      </w:pPr>
      <w:r>
        <w:rPr>
          <w:rStyle w:val="a7"/>
        </w:rPr>
        <w:footnoteRef/>
      </w:r>
      <w:r>
        <w:rPr>
          <w:rtl/>
        </w:rPr>
        <w:t xml:space="preserve"> </w:t>
      </w:r>
      <w:r>
        <w:rPr>
          <w:rFonts w:hint="cs"/>
          <w:rtl/>
        </w:rPr>
        <w:t xml:space="preserve">שאלה זו שאל ה"ר יוסף בן נחמיש (תלמיד הרא"ש בטוליטולא) אל ה"ר יוסף ב"ר אברהם הכהן (מגדולי תלמידי הרא"ש). ונתפרסמה </w:t>
      </w:r>
      <w:r>
        <w:rPr>
          <w:rFonts w:cs="Arial" w:hint="cs"/>
          <w:rtl/>
        </w:rPr>
        <w:t>ב</w:t>
      </w:r>
      <w:r>
        <w:rPr>
          <w:rFonts w:cs="Arial"/>
          <w:rtl/>
        </w:rPr>
        <w:t xml:space="preserve">כתב עת מוריה </w:t>
      </w:r>
      <w:r>
        <w:rPr>
          <w:rFonts w:cs="Arial" w:hint="cs"/>
          <w:rtl/>
        </w:rPr>
        <w:t>(</w:t>
      </w:r>
      <w:r>
        <w:rPr>
          <w:rFonts w:cs="Arial"/>
          <w:rtl/>
        </w:rPr>
        <w:t>רפג - רפה, תשס"ב, ט – יב</w:t>
      </w:r>
      <w:r>
        <w:rPr>
          <w:rFonts w:cs="Arial" w:hint="cs"/>
          <w:rtl/>
        </w:rPr>
        <w:t>)</w:t>
      </w:r>
      <w:r>
        <w:rPr>
          <w:rFonts w:cs="Arial"/>
          <w:rtl/>
        </w:rPr>
        <w:t xml:space="preserve"> </w:t>
      </w:r>
      <w:r>
        <w:rPr>
          <w:rFonts w:cs="Arial" w:hint="cs"/>
          <w:rtl/>
        </w:rPr>
        <w:t xml:space="preserve">ע"י </w:t>
      </w:r>
      <w:r>
        <w:rPr>
          <w:rFonts w:cs="Arial"/>
          <w:rtl/>
        </w:rPr>
        <w:t>הרב אברהם יוסף חבצלת</w:t>
      </w:r>
      <w:r>
        <w:rPr>
          <w:rFonts w:cs="Arial" w:hint="cs"/>
          <w:rtl/>
        </w:rPr>
        <w:t xml:space="preserve">, תחת השם - </w:t>
      </w:r>
      <w:r>
        <w:rPr>
          <w:rFonts w:cs="Arial"/>
          <w:rtl/>
        </w:rPr>
        <w:t>שו"ת מתלמידי הרא"ש על שבועת אלמנה</w:t>
      </w:r>
      <w:r>
        <w:rPr>
          <w:rFonts w:hint="cs"/>
          <w:rtl/>
        </w:rPr>
        <w:t>.</w:t>
      </w:r>
    </w:p>
  </w:footnote>
  <w:footnote w:id="3284">
    <w:p w14:paraId="483B090C" w14:textId="77777777" w:rsidR="00DF1FC7" w:rsidRDefault="00DF1FC7" w:rsidP="007D6167">
      <w:pPr>
        <w:pStyle w:val="a5"/>
      </w:pPr>
      <w:r>
        <w:rPr>
          <w:rStyle w:val="a7"/>
        </w:rPr>
        <w:footnoteRef/>
      </w:r>
      <w:r>
        <w:rPr>
          <w:rtl/>
        </w:rPr>
        <w:t xml:space="preserve"> </w:t>
      </w:r>
      <w:r>
        <w:rPr>
          <w:rFonts w:cs="Arial"/>
          <w:rtl/>
        </w:rPr>
        <w:t>ומיהו אם הודיעה מתחלה שאינו נושא אותה אלא לימים ידועים מותר והכי מייתי התם עובדי מכמה רבנן דהוו עבדי הכי</w:t>
      </w:r>
      <w:r>
        <w:rPr>
          <w:rFonts w:cs="Arial" w:hint="cs"/>
          <w:rtl/>
        </w:rPr>
        <w:t>, ב"י.</w:t>
      </w:r>
    </w:p>
  </w:footnote>
  <w:footnote w:id="3285">
    <w:p w14:paraId="1BD6E056" w14:textId="77777777" w:rsidR="00DF1FC7" w:rsidRDefault="00DF1FC7" w:rsidP="007D6167">
      <w:pPr>
        <w:pStyle w:val="a5"/>
        <w:rPr>
          <w:rtl/>
        </w:rPr>
      </w:pPr>
      <w:r>
        <w:rPr>
          <w:rStyle w:val="a7"/>
        </w:rPr>
        <w:footnoteRef/>
      </w:r>
      <w:r>
        <w:rPr>
          <w:rtl/>
        </w:rPr>
        <w:t xml:space="preserve"> </w:t>
      </w:r>
      <w:r w:rsidRPr="00A9220D">
        <w:rPr>
          <w:rFonts w:cs="Arial"/>
          <w:rtl/>
        </w:rPr>
        <w:t>אפשר שאם הודיע' שדעתו לגרשה לאחר זמן אין בזה איסור כמו שנתבאר בסעיף א' ולא קרינן בה והוא יושב לבטח אתך דהא הודיעה</w:t>
      </w:r>
      <w:r>
        <w:rPr>
          <w:rFonts w:cs="Arial" w:hint="cs"/>
          <w:rtl/>
        </w:rPr>
        <w:t>.</w:t>
      </w:r>
      <w:r w:rsidRPr="00A9220D">
        <w:rPr>
          <w:rFonts w:cs="Arial"/>
          <w:rtl/>
        </w:rPr>
        <w:t xml:space="preserve"> ומיהו יש לחלק דשאני אם בתחלה נתרצית להיות אצלו לזמן מוגבל סברה וקבלה אבל כשהודיעה אח"כ שדעתו לגרשה מה לה לעשות ולבה מצטערת בקרב</w:t>
      </w:r>
      <w:r>
        <w:rPr>
          <w:rFonts w:cs="Arial" w:hint="cs"/>
          <w:rtl/>
        </w:rPr>
        <w:t>ה</w:t>
      </w:r>
      <w:r w:rsidRPr="00A9220D">
        <w:rPr>
          <w:rFonts w:cs="Arial"/>
          <w:rtl/>
        </w:rPr>
        <w:t xml:space="preserve"> וקרינן ביה אל תחרוש על רעיך רעה</w:t>
      </w:r>
      <w:r>
        <w:rPr>
          <w:rFonts w:cs="Arial" w:hint="cs"/>
          <w:rtl/>
        </w:rPr>
        <w:t>.</w:t>
      </w:r>
      <w:r w:rsidRPr="00A9220D">
        <w:rPr>
          <w:rFonts w:cs="Arial"/>
          <w:rtl/>
        </w:rPr>
        <w:t xml:space="preserve"> ומלשון יושבת תחתיו ומשמשתו משמע דהיינו שבא עלי' הוא דאיכא איסורא דאל תחרוש אבל אם אינו בא עליה ליכא איסורא אם בדעתו לגרשה אף על פי שהיא יושבת לבטח אתו</w:t>
      </w:r>
      <w:r>
        <w:rPr>
          <w:rFonts w:cs="Arial" w:hint="cs"/>
          <w:rtl/>
        </w:rPr>
        <w:t>,</w:t>
      </w:r>
      <w:r w:rsidRPr="00A9220D">
        <w:rPr>
          <w:rFonts w:cs="Arial"/>
          <w:rtl/>
        </w:rPr>
        <w:t xml:space="preserve"> ומיהו יש לדחות</w:t>
      </w:r>
      <w:r>
        <w:rPr>
          <w:rFonts w:hint="cs"/>
          <w:rtl/>
        </w:rPr>
        <w:t xml:space="preserve">, ח"מ (סק"א). והב"ש (סק"א) </w:t>
      </w:r>
      <w:r>
        <w:rPr>
          <w:rFonts w:cs="Arial" w:hint="cs"/>
          <w:rtl/>
        </w:rPr>
        <w:t>גם כן כתב ד</w:t>
      </w:r>
      <w:r w:rsidRPr="00FE6A9F">
        <w:rPr>
          <w:rFonts w:cs="Arial"/>
          <w:rtl/>
        </w:rPr>
        <w:t>כשלא בא עליה י"ל דליכא איסור</w:t>
      </w:r>
      <w:r>
        <w:rPr>
          <w:rFonts w:cs="Arial" w:hint="cs"/>
          <w:rtl/>
        </w:rPr>
        <w:t>.</w:t>
      </w:r>
    </w:p>
  </w:footnote>
  <w:footnote w:id="3286">
    <w:p w14:paraId="1D6907F4" w14:textId="77777777" w:rsidR="00DF1FC7" w:rsidRDefault="00DF1FC7" w:rsidP="007D6167">
      <w:pPr>
        <w:pStyle w:val="a5"/>
      </w:pPr>
      <w:r>
        <w:rPr>
          <w:rStyle w:val="a7"/>
        </w:rPr>
        <w:footnoteRef/>
      </w:r>
      <w:r>
        <w:rPr>
          <w:rtl/>
        </w:rPr>
        <w:t xml:space="preserve"> </w:t>
      </w:r>
      <w:r w:rsidRPr="001E1257">
        <w:rPr>
          <w:rFonts w:cs="Arial"/>
          <w:rtl/>
        </w:rPr>
        <w:t>לב"ה משמע להו או ערוה או שאר דבר סרחון</w:t>
      </w:r>
      <w:r>
        <w:rPr>
          <w:rFonts w:cs="Arial" w:hint="cs"/>
          <w:rtl/>
        </w:rPr>
        <w:t>, רש"י.</w:t>
      </w:r>
    </w:p>
  </w:footnote>
  <w:footnote w:id="3287">
    <w:p w14:paraId="6162E4C5" w14:textId="77777777" w:rsidR="00DF1FC7" w:rsidRDefault="00DF1FC7" w:rsidP="007D6167">
      <w:pPr>
        <w:pStyle w:val="a5"/>
      </w:pPr>
      <w:r>
        <w:rPr>
          <w:rStyle w:val="a7"/>
        </w:rPr>
        <w:footnoteRef/>
      </w:r>
      <w:r>
        <w:rPr>
          <w:rtl/>
        </w:rPr>
        <w:t xml:space="preserve"> </w:t>
      </w:r>
      <w:r w:rsidRPr="001E1257">
        <w:rPr>
          <w:rFonts w:cs="Arial"/>
          <w:rtl/>
        </w:rPr>
        <w:t>אפי' לא מצא בה לא ערוה ולא דבר</w:t>
      </w:r>
      <w:r>
        <w:rPr>
          <w:rFonts w:cs="Arial" w:hint="cs"/>
          <w:rtl/>
        </w:rPr>
        <w:t>, רש"י.</w:t>
      </w:r>
    </w:p>
  </w:footnote>
  <w:footnote w:id="3288">
    <w:p w14:paraId="29EF3E32" w14:textId="77777777" w:rsidR="00DF1FC7" w:rsidRDefault="00DF1FC7" w:rsidP="007D6167">
      <w:pPr>
        <w:pStyle w:val="a5"/>
      </w:pPr>
      <w:r>
        <w:rPr>
          <w:rStyle w:val="a7"/>
        </w:rPr>
        <w:footnoteRef/>
      </w:r>
      <w:r>
        <w:rPr>
          <w:rtl/>
        </w:rPr>
        <w:t xml:space="preserve"> </w:t>
      </w:r>
      <w:r w:rsidRPr="00017E97">
        <w:rPr>
          <w:rFonts w:cs="Arial"/>
          <w:rtl/>
        </w:rPr>
        <w:t>היוצאת מבעלה מפני דבר ולא מפני ערוה הוא דקאמר רחמנא מותרת לינשא לאחר כדכתיב והיתה לאיש אחר אבל היוצאת משום ערוה תהא אסורה לכל</w:t>
      </w:r>
      <w:r>
        <w:rPr>
          <w:rFonts w:cs="Arial" w:hint="cs"/>
          <w:rtl/>
        </w:rPr>
        <w:t>, רש"י.</w:t>
      </w:r>
    </w:p>
  </w:footnote>
  <w:footnote w:id="3289">
    <w:p w14:paraId="5A31DBD4" w14:textId="77777777" w:rsidR="00DF1FC7" w:rsidRDefault="00DF1FC7" w:rsidP="007D6167">
      <w:pPr>
        <w:pStyle w:val="a5"/>
      </w:pPr>
      <w:r>
        <w:rPr>
          <w:rStyle w:val="a7"/>
        </w:rPr>
        <w:footnoteRef/>
      </w:r>
      <w:r>
        <w:rPr>
          <w:rtl/>
        </w:rPr>
        <w:t xml:space="preserve"> </w:t>
      </w:r>
      <w:r w:rsidRPr="00017E97">
        <w:rPr>
          <w:rFonts w:cs="Arial"/>
          <w:rtl/>
        </w:rPr>
        <w:t>ברורים</w:t>
      </w:r>
      <w:r>
        <w:rPr>
          <w:rFonts w:cs="Arial" w:hint="cs"/>
          <w:rtl/>
        </w:rPr>
        <w:t>,</w:t>
      </w:r>
      <w:r w:rsidRPr="00017E97">
        <w:rPr>
          <w:rFonts w:cs="Arial"/>
          <w:rtl/>
        </w:rPr>
        <w:t xml:space="preserve"> אינה נאסרת עליו משום ערוה אלא בעדות ברורה</w:t>
      </w:r>
      <w:r>
        <w:rPr>
          <w:rFonts w:cs="Arial" w:hint="cs"/>
          <w:rtl/>
        </w:rPr>
        <w:t>, רש"י.</w:t>
      </w:r>
    </w:p>
  </w:footnote>
  <w:footnote w:id="3290">
    <w:p w14:paraId="45CB41C9" w14:textId="77777777" w:rsidR="00DF1FC7" w:rsidRDefault="00DF1FC7" w:rsidP="007D6167">
      <w:pPr>
        <w:pStyle w:val="a5"/>
        <w:rPr>
          <w:rtl/>
        </w:rPr>
      </w:pPr>
      <w:r>
        <w:rPr>
          <w:rStyle w:val="a7"/>
        </w:rPr>
        <w:footnoteRef/>
      </w:r>
      <w:r>
        <w:rPr>
          <w:rtl/>
        </w:rPr>
        <w:t xml:space="preserve"> </w:t>
      </w:r>
      <w:r w:rsidRPr="00017E97">
        <w:rPr>
          <w:rFonts w:cs="Arial"/>
          <w:rtl/>
        </w:rPr>
        <w:t>דהא על כרחינו האי דבר מפקיתו ליה לעדות כדמפרש ליה ואזיל</w:t>
      </w:r>
      <w:r>
        <w:rPr>
          <w:rFonts w:hint="cs"/>
          <w:rtl/>
        </w:rPr>
        <w:t>, רש"י.</w:t>
      </w:r>
    </w:p>
  </w:footnote>
  <w:footnote w:id="3291">
    <w:p w14:paraId="21A799D5" w14:textId="77777777" w:rsidR="00DF1FC7" w:rsidRDefault="00DF1FC7" w:rsidP="007D6167">
      <w:pPr>
        <w:pStyle w:val="a5"/>
      </w:pPr>
      <w:r>
        <w:rPr>
          <w:rStyle w:val="a7"/>
        </w:rPr>
        <w:footnoteRef/>
      </w:r>
      <w:r>
        <w:rPr>
          <w:rtl/>
        </w:rPr>
        <w:t xml:space="preserve"> </w:t>
      </w:r>
      <w:r w:rsidRPr="00017E97">
        <w:rPr>
          <w:rFonts w:cs="Arial"/>
          <w:rtl/>
        </w:rPr>
        <w:t>דמשמע דמצא בה ערוה בעדים ברורים</w:t>
      </w:r>
      <w:r>
        <w:rPr>
          <w:rFonts w:cs="Arial" w:hint="cs"/>
          <w:rtl/>
        </w:rPr>
        <w:t>, רש"י.</w:t>
      </w:r>
    </w:p>
  </w:footnote>
  <w:footnote w:id="3292">
    <w:p w14:paraId="35C543BE" w14:textId="77777777" w:rsidR="00DF1FC7" w:rsidRDefault="00DF1FC7" w:rsidP="007D6167">
      <w:pPr>
        <w:pStyle w:val="a5"/>
        <w:rPr>
          <w:rtl/>
        </w:rPr>
      </w:pPr>
      <w:r>
        <w:rPr>
          <w:rStyle w:val="a7"/>
        </w:rPr>
        <w:footnoteRef/>
      </w:r>
      <w:r>
        <w:rPr>
          <w:rtl/>
        </w:rPr>
        <w:t xml:space="preserve"> </w:t>
      </w:r>
      <w:r w:rsidRPr="00017E97">
        <w:rPr>
          <w:rFonts w:cs="Arial"/>
          <w:rtl/>
        </w:rPr>
        <w:t>נמי ודאי מיבעי להו להכי לענין לכופו להוציא דלא כייפינן ליה להוציא אלא בעדות ברורה מיהו להכי כתיב ערות דבר ולא כתיב ערוה בדבר ולא כתיב נמי או ערות או דבר כי היכי דלידרשיה בתרוייהו דמשתמע ערוה או דבר ומשמע נמי ערוה בדבר</w:t>
      </w:r>
      <w:r>
        <w:rPr>
          <w:rFonts w:hint="cs"/>
          <w:rtl/>
        </w:rPr>
        <w:t>, רש"י.</w:t>
      </w:r>
    </w:p>
  </w:footnote>
  <w:footnote w:id="3293">
    <w:p w14:paraId="6BC48ED0" w14:textId="77777777" w:rsidR="00DF1FC7" w:rsidRDefault="00DF1FC7" w:rsidP="007D6167">
      <w:pPr>
        <w:pStyle w:val="a5"/>
      </w:pPr>
      <w:r>
        <w:rPr>
          <w:rStyle w:val="a7"/>
        </w:rPr>
        <w:footnoteRef/>
      </w:r>
      <w:r>
        <w:rPr>
          <w:rtl/>
        </w:rPr>
        <w:t xml:space="preserve"> </w:t>
      </w:r>
      <w:r w:rsidRPr="00256129">
        <w:rPr>
          <w:rFonts w:cs="Arial"/>
          <w:rtl/>
        </w:rPr>
        <w:t>לב"ה וגירשה</w:t>
      </w:r>
      <w:r>
        <w:rPr>
          <w:rFonts w:cs="Arial" w:hint="cs"/>
          <w:rtl/>
        </w:rPr>
        <w:t>, רש"י.</w:t>
      </w:r>
    </w:p>
  </w:footnote>
  <w:footnote w:id="3294">
    <w:p w14:paraId="6EA7A3A4" w14:textId="77777777" w:rsidR="00DF1FC7" w:rsidRDefault="00DF1FC7" w:rsidP="007D6167">
      <w:pPr>
        <w:pStyle w:val="a5"/>
        <w:rPr>
          <w:rtl/>
        </w:rPr>
      </w:pPr>
      <w:r>
        <w:rPr>
          <w:rStyle w:val="a7"/>
        </w:rPr>
        <w:footnoteRef/>
      </w:r>
      <w:r>
        <w:rPr>
          <w:rtl/>
        </w:rPr>
        <w:t xml:space="preserve"> </w:t>
      </w:r>
      <w:r w:rsidRPr="00256129">
        <w:rPr>
          <w:rFonts w:cs="Arial"/>
          <w:rtl/>
        </w:rPr>
        <w:t>מי כייפינן ליה לאהדורה או לא</w:t>
      </w:r>
      <w:r>
        <w:rPr>
          <w:rFonts w:hint="cs"/>
          <w:rtl/>
        </w:rPr>
        <w:t>, רש"י.</w:t>
      </w:r>
    </w:p>
  </w:footnote>
  <w:footnote w:id="3295">
    <w:p w14:paraId="303DC1F1" w14:textId="77777777" w:rsidR="00DF1FC7" w:rsidRDefault="00DF1FC7" w:rsidP="007D6167">
      <w:pPr>
        <w:pStyle w:val="a5"/>
      </w:pPr>
      <w:r>
        <w:rPr>
          <w:rStyle w:val="a7"/>
        </w:rPr>
        <w:footnoteRef/>
      </w:r>
      <w:r>
        <w:rPr>
          <w:rtl/>
        </w:rPr>
        <w:t xml:space="preserve"> </w:t>
      </w:r>
      <w:r>
        <w:rPr>
          <w:rFonts w:cs="Arial" w:hint="cs"/>
          <w:rtl/>
        </w:rPr>
        <w:t>והטור לא גרס בדברי הרמב"ם את התיה 'שניה', ולכן חלק על הרמב"ם. ו</w:t>
      </w:r>
      <w:r>
        <w:rPr>
          <w:rFonts w:hint="cs"/>
          <w:rtl/>
        </w:rPr>
        <w:t xml:space="preserve">כתב הב"י דנוסחא משובשת </w:t>
      </w:r>
      <w:r>
        <w:rPr>
          <w:rFonts w:cs="Arial"/>
          <w:rtl/>
        </w:rPr>
        <w:t>נזדמנה לו בספרי הרמב"ם</w:t>
      </w:r>
      <w:r>
        <w:rPr>
          <w:rFonts w:cs="Arial" w:hint="cs"/>
          <w:rtl/>
        </w:rPr>
        <w:t>.</w:t>
      </w:r>
    </w:p>
  </w:footnote>
  <w:footnote w:id="3296">
    <w:p w14:paraId="4C45FBAA" w14:textId="77777777" w:rsidR="00DF1FC7" w:rsidRDefault="00DF1FC7" w:rsidP="007D6167">
      <w:pPr>
        <w:pStyle w:val="a5"/>
      </w:pPr>
      <w:r>
        <w:rPr>
          <w:rStyle w:val="a7"/>
        </w:rPr>
        <w:footnoteRef/>
      </w:r>
      <w:r>
        <w:rPr>
          <w:rtl/>
        </w:rPr>
        <w:t xml:space="preserve"> </w:t>
      </w:r>
      <w:r>
        <w:rPr>
          <w:rFonts w:cs="Arial"/>
          <w:rtl/>
        </w:rPr>
        <w:t xml:space="preserve">נראה מדבריו דהלכה כבית הלל מדכתב שניה </w:t>
      </w:r>
      <w:r>
        <w:rPr>
          <w:rFonts w:cs="Arial" w:hint="cs"/>
          <w:rtl/>
        </w:rPr>
        <w:t>'</w:t>
      </w:r>
      <w:r>
        <w:rPr>
          <w:rFonts w:cs="Arial"/>
          <w:rtl/>
        </w:rPr>
        <w:t>אם שנאה ישלחנה</w:t>
      </w:r>
      <w:r>
        <w:rPr>
          <w:rFonts w:cs="Arial" w:hint="cs"/>
          <w:rtl/>
        </w:rPr>
        <w:t>'</w:t>
      </w:r>
      <w:r>
        <w:rPr>
          <w:rFonts w:cs="Arial"/>
          <w:rtl/>
        </w:rPr>
        <w:t xml:space="preserve"> אלמא דלא בעינן דבר ערוה כבית שמאי</w:t>
      </w:r>
      <w:r>
        <w:rPr>
          <w:rFonts w:cs="Arial" w:hint="cs"/>
          <w:rtl/>
        </w:rPr>
        <w:t>.</w:t>
      </w:r>
      <w:r>
        <w:rPr>
          <w:rFonts w:cs="Arial"/>
          <w:rtl/>
        </w:rPr>
        <w:t xml:space="preserve"> וגם </w:t>
      </w:r>
      <w:r>
        <w:rPr>
          <w:rFonts w:cs="Arial" w:hint="cs"/>
          <w:rtl/>
        </w:rPr>
        <w:t>'</w:t>
      </w:r>
      <w:r>
        <w:rPr>
          <w:rFonts w:cs="Arial"/>
          <w:rtl/>
        </w:rPr>
        <w:t>שנאה</w:t>
      </w:r>
      <w:r>
        <w:rPr>
          <w:rFonts w:cs="Arial" w:hint="cs"/>
          <w:rtl/>
        </w:rPr>
        <w:t>'</w:t>
      </w:r>
      <w:r>
        <w:rPr>
          <w:rFonts w:cs="Arial"/>
          <w:rtl/>
        </w:rPr>
        <w:t xml:space="preserve"> משמע על ידי שום דבר שעשתה</w:t>
      </w:r>
      <w:r>
        <w:rPr>
          <w:rFonts w:cs="Arial" w:hint="cs"/>
          <w:rtl/>
        </w:rPr>
        <w:t>.</w:t>
      </w:r>
      <w:r>
        <w:rPr>
          <w:rFonts w:cs="Arial"/>
          <w:rtl/>
        </w:rPr>
        <w:t xml:space="preserve"> דעל ידי שמצא אחרת נאה הימנה אין לשנאותה</w:t>
      </w:r>
      <w:r>
        <w:rPr>
          <w:rFonts w:cs="Arial" w:hint="cs"/>
          <w:rtl/>
        </w:rPr>
        <w:t>, ב"י.</w:t>
      </w:r>
    </w:p>
  </w:footnote>
  <w:footnote w:id="3297">
    <w:p w14:paraId="33D47CAE" w14:textId="77777777" w:rsidR="00DF1FC7" w:rsidRDefault="00DF1FC7" w:rsidP="007D6167">
      <w:pPr>
        <w:pStyle w:val="a5"/>
        <w:rPr>
          <w:rtl/>
        </w:rPr>
      </w:pPr>
      <w:r>
        <w:rPr>
          <w:rStyle w:val="a7"/>
        </w:rPr>
        <w:footnoteRef/>
      </w:r>
      <w:r>
        <w:rPr>
          <w:rtl/>
        </w:rPr>
        <w:t xml:space="preserve"> </w:t>
      </w:r>
      <w:r>
        <w:rPr>
          <w:rFonts w:hint="cs"/>
          <w:rtl/>
        </w:rPr>
        <w:t xml:space="preserve">הביאוהו הב"י (בבדה"ב) </w:t>
      </w:r>
      <w:r>
        <w:rPr>
          <w:rFonts w:cs="Arial" w:hint="cs"/>
          <w:rtl/>
        </w:rPr>
        <w:t xml:space="preserve">והדרכ"מ </w:t>
      </w:r>
      <w:r w:rsidRPr="00EC459D">
        <w:rPr>
          <w:rFonts w:cs="Arial"/>
          <w:rtl/>
        </w:rPr>
        <w:t>(</w:t>
      </w:r>
      <w:r>
        <w:rPr>
          <w:rFonts w:cs="Arial" w:hint="cs"/>
          <w:rtl/>
        </w:rPr>
        <w:t xml:space="preserve">אות </w:t>
      </w:r>
      <w:r w:rsidRPr="00EC459D">
        <w:rPr>
          <w:rFonts w:cs="Arial"/>
          <w:rtl/>
        </w:rPr>
        <w:t>א*</w:t>
      </w:r>
      <w:r>
        <w:rPr>
          <w:rFonts w:cs="Arial" w:hint="cs"/>
          <w:rtl/>
        </w:rPr>
        <w:t>, ו</w:t>
      </w:r>
      <w:r w:rsidRPr="00EC459D">
        <w:rPr>
          <w:rFonts w:cs="Arial"/>
          <w:rtl/>
        </w:rPr>
        <w:t>ביו</w:t>
      </w:r>
      <w:r>
        <w:rPr>
          <w:rFonts w:cs="Arial" w:hint="cs"/>
          <w:rtl/>
        </w:rPr>
        <w:t>"ד</w:t>
      </w:r>
      <w:r w:rsidRPr="00EC459D">
        <w:rPr>
          <w:rFonts w:cs="Arial"/>
          <w:rtl/>
        </w:rPr>
        <w:t xml:space="preserve"> סי</w:t>
      </w:r>
      <w:r>
        <w:rPr>
          <w:rFonts w:cs="Arial" w:hint="cs"/>
          <w:rtl/>
        </w:rPr>
        <w:t>'</w:t>
      </w:r>
      <w:r w:rsidRPr="00EC459D">
        <w:rPr>
          <w:rFonts w:cs="Arial"/>
          <w:rtl/>
        </w:rPr>
        <w:t xml:space="preserve"> רכח בד</w:t>
      </w:r>
      <w:r>
        <w:rPr>
          <w:rFonts w:cs="Arial" w:hint="cs"/>
          <w:rtl/>
        </w:rPr>
        <w:t>רכמ"א</w:t>
      </w:r>
      <w:r w:rsidRPr="00EC459D">
        <w:rPr>
          <w:rFonts w:cs="Arial"/>
          <w:rtl/>
        </w:rPr>
        <w:t xml:space="preserve"> סע</w:t>
      </w:r>
      <w:r>
        <w:rPr>
          <w:rFonts w:cs="Arial" w:hint="cs"/>
          <w:rtl/>
        </w:rPr>
        <w:t>'</w:t>
      </w:r>
      <w:r w:rsidRPr="00EC459D">
        <w:rPr>
          <w:rFonts w:cs="Arial"/>
          <w:rtl/>
        </w:rPr>
        <w:t xml:space="preserve"> כח)</w:t>
      </w:r>
      <w:r>
        <w:rPr>
          <w:rFonts w:cs="Arial" w:hint="cs"/>
          <w:rtl/>
        </w:rPr>
        <w:t>.</w:t>
      </w:r>
    </w:p>
  </w:footnote>
  <w:footnote w:id="3298">
    <w:p w14:paraId="79BFE378" w14:textId="77777777" w:rsidR="00DF1FC7" w:rsidRDefault="00DF1FC7" w:rsidP="007D6167">
      <w:pPr>
        <w:pStyle w:val="a5"/>
      </w:pPr>
      <w:r>
        <w:rPr>
          <w:rStyle w:val="a7"/>
        </w:rPr>
        <w:footnoteRef/>
      </w:r>
      <w:r>
        <w:rPr>
          <w:rtl/>
        </w:rPr>
        <w:t xml:space="preserve"> </w:t>
      </w:r>
      <w:r w:rsidRPr="00005321">
        <w:rPr>
          <w:rFonts w:cs="Arial"/>
          <w:rtl/>
        </w:rPr>
        <w:t xml:space="preserve">ואם לא מצא בה לא ערוה ולא דבר </w:t>
      </w:r>
      <w:r>
        <w:rPr>
          <w:rFonts w:cs="Arial" w:hint="cs"/>
          <w:rtl/>
        </w:rPr>
        <w:t xml:space="preserve">- </w:t>
      </w:r>
      <w:r w:rsidRPr="00005321">
        <w:rPr>
          <w:rFonts w:cs="Arial"/>
          <w:rtl/>
        </w:rPr>
        <w:t>כפינן ליה שאל יגרש</w:t>
      </w:r>
      <w:r>
        <w:rPr>
          <w:rFonts w:cs="Arial" w:hint="cs"/>
          <w:rtl/>
        </w:rPr>
        <w:t>,</w:t>
      </w:r>
      <w:r w:rsidRPr="00005321">
        <w:rPr>
          <w:rFonts w:cs="Arial"/>
          <w:rtl/>
        </w:rPr>
        <w:t xml:space="preserve"> וכ"כ ב"ח</w:t>
      </w:r>
      <w:r>
        <w:rPr>
          <w:rFonts w:cs="Arial" w:hint="cs"/>
          <w:rtl/>
        </w:rPr>
        <w:t>.</w:t>
      </w:r>
      <w:r w:rsidRPr="00005321">
        <w:rPr>
          <w:rFonts w:cs="Arial"/>
          <w:rtl/>
        </w:rPr>
        <w:t xml:space="preserve"> לכן מסתבר דמוטל עליהם להזהיר אותו שאל יעבור על התורה דכתיב כי מצא בה ערות דבר</w:t>
      </w:r>
      <w:r>
        <w:rPr>
          <w:rFonts w:hint="cs"/>
          <w:rtl/>
        </w:rPr>
        <w:t xml:space="preserve">... </w:t>
      </w:r>
      <w:r w:rsidRPr="00005321">
        <w:rPr>
          <w:rFonts w:cs="Arial"/>
          <w:rtl/>
        </w:rPr>
        <w:t>ואם עבר וגירש אפי' בלא דבר</w:t>
      </w:r>
      <w:r>
        <w:rPr>
          <w:rFonts w:cs="Arial" w:hint="cs"/>
          <w:rtl/>
        </w:rPr>
        <w:t xml:space="preserve"> -</w:t>
      </w:r>
      <w:r w:rsidRPr="00005321">
        <w:rPr>
          <w:rFonts w:cs="Arial"/>
          <w:rtl/>
        </w:rPr>
        <w:t xml:space="preserve"> לא כפינן ליה להחזירה</w:t>
      </w:r>
      <w:r>
        <w:rPr>
          <w:rFonts w:cs="Arial" w:hint="cs"/>
          <w:rtl/>
        </w:rPr>
        <w:t>, ב"ש (סק"ב).</w:t>
      </w:r>
    </w:p>
  </w:footnote>
  <w:footnote w:id="3299">
    <w:p w14:paraId="51865EA4" w14:textId="77777777" w:rsidR="00DF1FC7" w:rsidRDefault="00DF1FC7" w:rsidP="007D6167">
      <w:pPr>
        <w:pStyle w:val="a5"/>
      </w:pPr>
      <w:r>
        <w:rPr>
          <w:rStyle w:val="a7"/>
        </w:rPr>
        <w:footnoteRef/>
      </w:r>
      <w:r>
        <w:rPr>
          <w:rtl/>
        </w:rPr>
        <w:t xml:space="preserve"> </w:t>
      </w:r>
      <w:r w:rsidRPr="00EF759F">
        <w:rPr>
          <w:rFonts w:cs="Arial"/>
          <w:rtl/>
        </w:rPr>
        <w:t>כך הוא ברמב"ם והלשון מגומגם דבתחלה משמע דאיסו</w:t>
      </w:r>
      <w:r>
        <w:rPr>
          <w:rFonts w:cs="Arial" w:hint="cs"/>
          <w:rtl/>
        </w:rPr>
        <w:t>ר</w:t>
      </w:r>
      <w:r w:rsidRPr="00EF759F">
        <w:rPr>
          <w:rFonts w:cs="Arial"/>
          <w:rtl/>
        </w:rPr>
        <w:t xml:space="preserve"> יש בדבר המגרש אשתו ראשונה כשלא מצא בה ערות דבר דהא הנביא מתאונן על זה וזאת שנית תעשו כסות דמעה וגו' אשת נעוריך אשר בגדת בה [מלאכי ב']</w:t>
      </w:r>
      <w:r>
        <w:rPr>
          <w:rFonts w:cs="Arial" w:hint="cs"/>
          <w:rtl/>
        </w:rPr>
        <w:t>.</w:t>
      </w:r>
      <w:r w:rsidRPr="00EF759F">
        <w:rPr>
          <w:rFonts w:cs="Arial"/>
          <w:rtl/>
        </w:rPr>
        <w:t xml:space="preserve"> ואיך קאמר ואין ראוי למהר לשלח דמשמע דאין איסור בדבר רק שאין ראוי מצד דרך ארץ</w:t>
      </w:r>
      <w:r>
        <w:rPr>
          <w:rFonts w:cs="Arial" w:hint="cs"/>
          <w:rtl/>
        </w:rPr>
        <w:t>.</w:t>
      </w:r>
      <w:r w:rsidRPr="00EF759F">
        <w:rPr>
          <w:rFonts w:cs="Arial"/>
          <w:rtl/>
        </w:rPr>
        <w:t xml:space="preserve"> ואפשר שאף ברצון האשה שאז אין איסור בדבר מ"מ אין ראוי לעשות כן</w:t>
      </w:r>
      <w:r>
        <w:rPr>
          <w:rFonts w:cs="Arial" w:hint="cs"/>
          <w:rtl/>
        </w:rPr>
        <w:t xml:space="preserve"> </w:t>
      </w:r>
      <w:r w:rsidRPr="00F72BC7">
        <w:rPr>
          <w:rFonts w:cs="Arial" w:hint="cs"/>
          <w:sz w:val="16"/>
          <w:szCs w:val="16"/>
          <w:rtl/>
        </w:rPr>
        <w:t>{</w:t>
      </w:r>
      <w:r w:rsidRPr="00F72BC7">
        <w:rPr>
          <w:rFonts w:cs="Arial"/>
          <w:sz w:val="16"/>
          <w:szCs w:val="16"/>
          <w:rtl/>
        </w:rPr>
        <w:t xml:space="preserve">וכ' בס' ב"מ </w:t>
      </w:r>
      <w:r>
        <w:rPr>
          <w:rFonts w:cs="Arial" w:hint="cs"/>
          <w:sz w:val="16"/>
          <w:szCs w:val="16"/>
          <w:rtl/>
        </w:rPr>
        <w:t xml:space="preserve">על דברי הח"מ הללו- </w:t>
      </w:r>
      <w:r w:rsidRPr="00F72BC7">
        <w:rPr>
          <w:rFonts w:cs="Arial"/>
          <w:sz w:val="16"/>
          <w:szCs w:val="16"/>
          <w:rtl/>
        </w:rPr>
        <w:t>ויראה לע"ד דהיינו דוקא כשהוא תובע הגירושין בזה י"ל אף שהיא מתרצה ג"כ מ"מ לבה דוה אלא שאינה יכולה לסרב אבל כשהיא תובעת פשיטא שהיתר גמור הוא</w:t>
      </w:r>
      <w:r>
        <w:rPr>
          <w:rFonts w:cs="Arial" w:hint="cs"/>
          <w:sz w:val="16"/>
          <w:szCs w:val="16"/>
          <w:rtl/>
        </w:rPr>
        <w:t>, פת"ש [סק"ג]}</w:t>
      </w:r>
      <w:r>
        <w:rPr>
          <w:rFonts w:cs="Arial" w:hint="cs"/>
          <w:rtl/>
        </w:rPr>
        <w:t>.</w:t>
      </w:r>
      <w:r w:rsidRPr="00EF759F">
        <w:rPr>
          <w:rFonts w:cs="Arial"/>
          <w:rtl/>
        </w:rPr>
        <w:t xml:space="preserve"> או י"ל שאף אם מצא בה ערות דבר כגון שהעיד לה אחד שמצוה לגרשה לא יאמר אני מאמין לו ויגרשה מיד אלא יהיה מתון בדבר ואל ימהר לשלוח ויעשה חקירה יפה באולי לא יצטרך לגרשה</w:t>
      </w:r>
      <w:r>
        <w:rPr>
          <w:rFonts w:cs="Arial" w:hint="cs"/>
          <w:rtl/>
        </w:rPr>
        <w:t>, ח"מ (סק"ב).</w:t>
      </w:r>
      <w:r w:rsidRPr="00D74C30">
        <w:rPr>
          <w:rtl/>
        </w:rPr>
        <w:t xml:space="preserve"> </w:t>
      </w:r>
    </w:p>
  </w:footnote>
  <w:footnote w:id="3300">
    <w:p w14:paraId="2AE990B9" w14:textId="77777777" w:rsidR="00DF1FC7" w:rsidRDefault="00DF1FC7" w:rsidP="007D6167">
      <w:pPr>
        <w:pStyle w:val="a5"/>
      </w:pPr>
      <w:r>
        <w:rPr>
          <w:rStyle w:val="a7"/>
        </w:rPr>
        <w:footnoteRef/>
      </w:r>
      <w:r>
        <w:rPr>
          <w:rtl/>
        </w:rPr>
        <w:t xml:space="preserve"> </w:t>
      </w:r>
      <w:r w:rsidRPr="00EF759F">
        <w:rPr>
          <w:rFonts w:cs="Arial"/>
          <w:rtl/>
        </w:rPr>
        <w:t>אע</w:t>
      </w:r>
      <w:r>
        <w:rPr>
          <w:rFonts w:cs="Arial" w:hint="cs"/>
          <w:rtl/>
        </w:rPr>
        <w:t>"</w:t>
      </w:r>
      <w:r w:rsidRPr="00EF759F">
        <w:rPr>
          <w:rFonts w:cs="Arial"/>
          <w:rtl/>
        </w:rPr>
        <w:t>ג דקי"ל כב"ה אם פשעה נגדו כגון אם הקדיחה תבשילו ישלחנה</w:t>
      </w:r>
      <w:r>
        <w:rPr>
          <w:rFonts w:cs="Arial" w:hint="cs"/>
          <w:rtl/>
        </w:rPr>
        <w:t>,</w:t>
      </w:r>
      <w:r w:rsidRPr="00EF759F">
        <w:rPr>
          <w:rFonts w:cs="Arial"/>
          <w:rtl/>
        </w:rPr>
        <w:t xml:space="preserve"> מ"מ אין זה דרך מוסר רק אם שנאה בשביל זה</w:t>
      </w:r>
      <w:r>
        <w:rPr>
          <w:rFonts w:cs="Arial" w:hint="cs"/>
          <w:rtl/>
        </w:rPr>
        <w:t>,</w:t>
      </w:r>
      <w:r w:rsidRPr="00EF759F">
        <w:rPr>
          <w:rFonts w:cs="Arial"/>
          <w:rtl/>
        </w:rPr>
        <w:t xml:space="preserve"> אבל אם יכול להעביר על מדותיו הוא משובח</w:t>
      </w:r>
      <w:r>
        <w:rPr>
          <w:rFonts w:cs="Arial" w:hint="cs"/>
          <w:rtl/>
        </w:rPr>
        <w:t>.</w:t>
      </w:r>
      <w:r w:rsidRPr="00EF759F">
        <w:rPr>
          <w:rFonts w:cs="Arial"/>
          <w:rtl/>
        </w:rPr>
        <w:t xml:space="preserve"> וגם אפשר אתא לאורויי אף לא פשעה נגדו והוא שונא אותה מחמת שנמאסת בעיניו ומכ"ש אם יש לה איזה מום ע"ז ג"כ נאמר כי שנא שלח [מלאכי ב']</w:t>
      </w:r>
      <w:r>
        <w:rPr>
          <w:rFonts w:cs="Arial" w:hint="cs"/>
          <w:rtl/>
        </w:rPr>
        <w:t>,</w:t>
      </w:r>
      <w:r w:rsidRPr="00EF759F">
        <w:rPr>
          <w:rFonts w:cs="Arial"/>
          <w:rtl/>
        </w:rPr>
        <w:t xml:space="preserve"> רק שב"ה אורחא דמילתא נקטי שאין דרך להטיל שנאה על אשתו רק בפשעה אבל העיקר תלוי בשנאה כפשטא דקרא כי שנא שלח</w:t>
      </w:r>
      <w:r>
        <w:rPr>
          <w:rFonts w:cs="Arial" w:hint="cs"/>
          <w:rtl/>
        </w:rPr>
        <w:t>, ח"מ (סק"ג).</w:t>
      </w:r>
      <w:r w:rsidRPr="0022210A">
        <w:rPr>
          <w:rtl/>
        </w:rPr>
        <w:t xml:space="preserve"> </w:t>
      </w:r>
      <w:r>
        <w:rPr>
          <w:rFonts w:cs="Arial" w:hint="cs"/>
          <w:rtl/>
        </w:rPr>
        <w:t>ועוד</w:t>
      </w:r>
      <w:r w:rsidRPr="0022210A">
        <w:rPr>
          <w:rFonts w:cs="Arial"/>
          <w:rtl/>
        </w:rPr>
        <w:t xml:space="preserve"> י"ל </w:t>
      </w:r>
      <w:r>
        <w:rPr>
          <w:rFonts w:cs="Arial" w:hint="cs"/>
          <w:rtl/>
        </w:rPr>
        <w:t>ד</w:t>
      </w:r>
      <w:r w:rsidRPr="0022210A">
        <w:rPr>
          <w:rFonts w:cs="Arial"/>
          <w:rtl/>
        </w:rPr>
        <w:t>בזיווג א' אל יגרש אם לא עשתה דבר והוא שונא אותה</w:t>
      </w:r>
      <w:r>
        <w:rPr>
          <w:rFonts w:cs="Arial" w:hint="cs"/>
          <w:rtl/>
        </w:rPr>
        <w:t>,</w:t>
      </w:r>
      <w:r w:rsidRPr="0022210A">
        <w:rPr>
          <w:rFonts w:cs="Arial"/>
          <w:rtl/>
        </w:rPr>
        <w:t xml:space="preserve"> וזיווג שני אז אפילו בלא דבר רק שונא אות</w:t>
      </w:r>
      <w:r>
        <w:rPr>
          <w:rFonts w:cs="Arial" w:hint="cs"/>
          <w:rtl/>
        </w:rPr>
        <w:t xml:space="preserve">ה </w:t>
      </w:r>
      <w:r w:rsidRPr="0022210A">
        <w:rPr>
          <w:rFonts w:cs="Arial"/>
          <w:rtl/>
        </w:rPr>
        <w:t>ישלחנה</w:t>
      </w:r>
      <w:r>
        <w:rPr>
          <w:rFonts w:hint="cs"/>
          <w:rtl/>
        </w:rPr>
        <w:t>, ב"ש (סק"ד).</w:t>
      </w:r>
    </w:p>
  </w:footnote>
  <w:footnote w:id="3301">
    <w:p w14:paraId="5D61C632" w14:textId="77777777" w:rsidR="00DF1FC7" w:rsidRDefault="00DF1FC7" w:rsidP="007D6167">
      <w:pPr>
        <w:pStyle w:val="a5"/>
        <w:rPr>
          <w:rtl/>
        </w:rPr>
      </w:pPr>
      <w:r>
        <w:rPr>
          <w:rStyle w:val="a7"/>
        </w:rPr>
        <w:footnoteRef/>
      </w:r>
      <w:r>
        <w:rPr>
          <w:rtl/>
        </w:rPr>
        <w:t xml:space="preserve"> </w:t>
      </w:r>
      <w:r w:rsidRPr="00054A1B">
        <w:rPr>
          <w:rFonts w:cs="Arial"/>
          <w:rtl/>
        </w:rPr>
        <w:t>שם (צ.) ויש לך שזבוב נופל לתוך תמחוי מוצצו וכו' שרואה את אשתו יוצאה וראשה פרוע וכו' זו מצוה מן התורה לגרשה שנאמר (דברים כד א) כי מצא בה ערות דבר</w:t>
      </w:r>
      <w:r>
        <w:rPr>
          <w:rFonts w:cs="Arial" w:hint="cs"/>
          <w:rtl/>
        </w:rPr>
        <w:t>.</w:t>
      </w:r>
      <w:r w:rsidRPr="00054A1B">
        <w:rPr>
          <w:rFonts w:cs="Arial"/>
          <w:rtl/>
        </w:rPr>
        <w:t xml:space="preserve"> ורבינו דלא נקט האי קרא ונקט במקומו גרש לץ ויצא מדון (משלי כב י)</w:t>
      </w:r>
      <w:r>
        <w:rPr>
          <w:rFonts w:cs="Arial" w:hint="cs"/>
          <w:rtl/>
        </w:rPr>
        <w:t>,</w:t>
      </w:r>
      <w:r w:rsidRPr="00054A1B">
        <w:rPr>
          <w:rFonts w:cs="Arial"/>
          <w:rtl/>
        </w:rPr>
        <w:t xml:space="preserve"> נראה דלא דק</w:t>
      </w:r>
      <w:r>
        <w:rPr>
          <w:rFonts w:cs="Arial" w:hint="cs"/>
          <w:rtl/>
        </w:rPr>
        <w:t>,</w:t>
      </w:r>
      <w:r w:rsidRPr="00054A1B">
        <w:rPr>
          <w:rFonts w:cs="Arial"/>
          <w:rtl/>
        </w:rPr>
        <w:t xml:space="preserve"> דההוא קרא אאשה רעה הוא דאתמר בפרק הבא על יבמתו (יבמות סג:) דמצוה לגרשה שנאמר גרש לץ ויצא מדון</w:t>
      </w:r>
      <w:r>
        <w:rPr>
          <w:rFonts w:cs="Arial" w:hint="cs"/>
          <w:rtl/>
        </w:rPr>
        <w:t>.</w:t>
      </w:r>
      <w:r w:rsidRPr="00054A1B">
        <w:rPr>
          <w:rFonts w:cs="Arial"/>
          <w:rtl/>
        </w:rPr>
        <w:t xml:space="preserve"> וההיא אשה רעה היינו שהיא רעה בדעותיה כדמשמע התם</w:t>
      </w:r>
      <w:r>
        <w:rPr>
          <w:rFonts w:cs="Arial" w:hint="cs"/>
          <w:rtl/>
        </w:rPr>
        <w:t>,</w:t>
      </w:r>
      <w:r w:rsidRPr="00054A1B">
        <w:rPr>
          <w:rFonts w:cs="Arial"/>
          <w:rtl/>
        </w:rPr>
        <w:t xml:space="preserve"> וגם קרא משמע דבהכי משתעי דכתיב ויצא מדון</w:t>
      </w:r>
      <w:r>
        <w:rPr>
          <w:rFonts w:cs="Arial" w:hint="cs"/>
          <w:rtl/>
        </w:rPr>
        <w:t>.</w:t>
      </w:r>
      <w:r w:rsidRPr="00230CA4">
        <w:rPr>
          <w:rFonts w:cs="Arial"/>
          <w:rtl/>
        </w:rPr>
        <w:t xml:space="preserve"> </w:t>
      </w:r>
      <w:r w:rsidRPr="00054A1B">
        <w:rPr>
          <w:rFonts w:cs="Arial"/>
          <w:rtl/>
        </w:rPr>
        <w:t>אבל מצאתי להרמב"ם שכתב בפרק י' מהלכות גירושין (הכ"ב) אשה רעה בדעותיה ושאינה צנועה מצוה לגרשה שנאמר גרש לץ ויצא מדון</w:t>
      </w:r>
      <w:r>
        <w:rPr>
          <w:rFonts w:cs="Arial" w:hint="cs"/>
          <w:rtl/>
        </w:rPr>
        <w:t>.</w:t>
      </w:r>
      <w:r w:rsidRPr="00054A1B">
        <w:rPr>
          <w:rFonts w:cs="Arial"/>
          <w:rtl/>
        </w:rPr>
        <w:t xml:space="preserve"> נראה דתרווייהו משמע ליה מהאי קרא</w:t>
      </w:r>
      <w:r>
        <w:rPr>
          <w:rFonts w:cs="Arial" w:hint="cs"/>
          <w:rtl/>
        </w:rPr>
        <w:t>.</w:t>
      </w:r>
      <w:r w:rsidRPr="00054A1B">
        <w:rPr>
          <w:rFonts w:cs="Arial"/>
          <w:rtl/>
        </w:rPr>
        <w:t xml:space="preserve"> ואפשר דשאינה צנועה נפקא ליה מגרש לץ וסבירא לן דתרווייהו בכלל אשה רעה כמו שהזכירו בהבא על יבמתו</w:t>
      </w:r>
      <w:r>
        <w:rPr>
          <w:rFonts w:hint="cs"/>
          <w:rtl/>
        </w:rPr>
        <w:t>, ב"י.</w:t>
      </w:r>
    </w:p>
  </w:footnote>
  <w:footnote w:id="3302">
    <w:p w14:paraId="0AFD66D3" w14:textId="77777777" w:rsidR="00DF1FC7" w:rsidRDefault="00DF1FC7" w:rsidP="007D6167">
      <w:pPr>
        <w:pStyle w:val="a5"/>
      </w:pPr>
      <w:r>
        <w:rPr>
          <w:rStyle w:val="a7"/>
        </w:rPr>
        <w:footnoteRef/>
      </w:r>
      <w:r>
        <w:rPr>
          <w:rtl/>
        </w:rPr>
        <w:t xml:space="preserve"> </w:t>
      </w:r>
      <w:r w:rsidRPr="00EF759F">
        <w:rPr>
          <w:rFonts w:cs="Arial"/>
          <w:rtl/>
        </w:rPr>
        <w:t>היינו דוקא דמקשטא ליה תכא ומהדרא ליה גבה שהיא בעלת מריבה ושאינה צנועה היינו עוברת על דת יהודי' מצוה לגרשה אפי' אשתו ראשונה ועיין מ"ש בסי' קט"ו סעיף ד'</w:t>
      </w:r>
      <w:r>
        <w:rPr>
          <w:rFonts w:cs="Arial" w:hint="cs"/>
          <w:rtl/>
        </w:rPr>
        <w:t>, ח"מ (סק"ד).</w:t>
      </w:r>
    </w:p>
  </w:footnote>
  <w:footnote w:id="3303">
    <w:p w14:paraId="365E6D64" w14:textId="77777777" w:rsidR="00DF1FC7" w:rsidRDefault="00DF1FC7" w:rsidP="007D6167">
      <w:pPr>
        <w:pStyle w:val="a5"/>
        <w:rPr>
          <w:rtl/>
        </w:rPr>
      </w:pPr>
      <w:r>
        <w:rPr>
          <w:rStyle w:val="a7"/>
        </w:rPr>
        <w:footnoteRef/>
      </w:r>
      <w:r>
        <w:rPr>
          <w:rtl/>
        </w:rPr>
        <w:t xml:space="preserve"> </w:t>
      </w:r>
      <w:r w:rsidRPr="0026383B">
        <w:rPr>
          <w:rFonts w:cs="Arial"/>
          <w:rtl/>
        </w:rPr>
        <w:t>מה טעם קאמר כלומר כקידושין כך גירושין וכן פקח בחרשת ברמיזה כנס שרמז באצבע עד שנתרצית לו וברמיזה אם רצה להוציא יוציא</w:t>
      </w:r>
      <w:r>
        <w:rPr>
          <w:rFonts w:hint="cs"/>
          <w:rtl/>
        </w:rPr>
        <w:t>, רש"י.</w:t>
      </w:r>
    </w:p>
  </w:footnote>
  <w:footnote w:id="3304">
    <w:p w14:paraId="5F976CC5" w14:textId="77777777" w:rsidR="00DF1FC7" w:rsidRDefault="00DF1FC7" w:rsidP="007D6167">
      <w:pPr>
        <w:pStyle w:val="a5"/>
      </w:pPr>
      <w:r>
        <w:rPr>
          <w:rStyle w:val="a7"/>
        </w:rPr>
        <w:footnoteRef/>
      </w:r>
      <w:r>
        <w:rPr>
          <w:rtl/>
        </w:rPr>
        <w:t xml:space="preserve"> </w:t>
      </w:r>
      <w:r w:rsidRPr="0026383B">
        <w:rPr>
          <w:rFonts w:cs="Arial"/>
          <w:rtl/>
        </w:rPr>
        <w:t>אע</w:t>
      </w:r>
      <w:r>
        <w:rPr>
          <w:rFonts w:cs="Arial" w:hint="cs"/>
          <w:rtl/>
        </w:rPr>
        <w:t>"</w:t>
      </w:r>
      <w:r w:rsidRPr="0026383B">
        <w:rPr>
          <w:rFonts w:cs="Arial"/>
          <w:rtl/>
        </w:rPr>
        <w:t>פ שקידושיה גמורים אם רצה יוציא דבגט לא בעינן דעת האשה כדמפרש לקמן במתניתין</w:t>
      </w:r>
      <w:r>
        <w:rPr>
          <w:rFonts w:cs="Arial" w:hint="cs"/>
          <w:rtl/>
        </w:rPr>
        <w:t>, רש"י.</w:t>
      </w:r>
    </w:p>
  </w:footnote>
  <w:footnote w:id="3305">
    <w:p w14:paraId="4F349A6E" w14:textId="77777777" w:rsidR="00DF1FC7" w:rsidRDefault="00DF1FC7" w:rsidP="007D6167">
      <w:pPr>
        <w:pStyle w:val="a5"/>
        <w:rPr>
          <w:rtl/>
        </w:rPr>
      </w:pPr>
      <w:r>
        <w:rPr>
          <w:rStyle w:val="a7"/>
        </w:rPr>
        <w:footnoteRef/>
      </w:r>
      <w:r>
        <w:rPr>
          <w:rtl/>
        </w:rPr>
        <w:t xml:space="preserve"> </w:t>
      </w:r>
      <w:r w:rsidRPr="0026383B">
        <w:rPr>
          <w:rFonts w:cs="Arial"/>
          <w:rtl/>
        </w:rPr>
        <w:t>בגמרא מפרש שלא ינהגו בה מנהג הפקר ותקנתא דרבנן היא</w:t>
      </w:r>
      <w:r>
        <w:rPr>
          <w:rFonts w:hint="cs"/>
          <w:rtl/>
        </w:rPr>
        <w:t>, רש"י.</w:t>
      </w:r>
    </w:p>
  </w:footnote>
  <w:footnote w:id="3306">
    <w:p w14:paraId="30155823" w14:textId="77777777" w:rsidR="00DF1FC7" w:rsidRDefault="00DF1FC7" w:rsidP="007D6167">
      <w:pPr>
        <w:pStyle w:val="a5"/>
      </w:pPr>
      <w:r>
        <w:rPr>
          <w:rStyle w:val="a7"/>
        </w:rPr>
        <w:footnoteRef/>
      </w:r>
      <w:r>
        <w:rPr>
          <w:rtl/>
        </w:rPr>
        <w:t xml:space="preserve"> </w:t>
      </w:r>
      <w:r w:rsidRPr="0026383B">
        <w:rPr>
          <w:rFonts w:cs="Arial"/>
          <w:rtl/>
        </w:rPr>
        <w:t>לאחר קידושין הואיל וקידושיה גמורים היו לא יוציא עולמית</w:t>
      </w:r>
      <w:r>
        <w:rPr>
          <w:rFonts w:cs="Arial" w:hint="cs"/>
          <w:rtl/>
        </w:rPr>
        <w:t>, רש"י.</w:t>
      </w:r>
    </w:p>
  </w:footnote>
  <w:footnote w:id="3307">
    <w:p w14:paraId="3DE2F8F4" w14:textId="77777777" w:rsidR="00DF1FC7" w:rsidRDefault="00DF1FC7" w:rsidP="007D6167">
      <w:pPr>
        <w:pStyle w:val="a5"/>
      </w:pPr>
      <w:r>
        <w:rPr>
          <w:rStyle w:val="a7"/>
        </w:rPr>
        <w:footnoteRef/>
      </w:r>
      <w:r>
        <w:rPr>
          <w:rtl/>
        </w:rPr>
        <w:t xml:space="preserve"> </w:t>
      </w:r>
      <w:r w:rsidRPr="0026383B">
        <w:rPr>
          <w:rFonts w:cs="Arial"/>
          <w:rtl/>
        </w:rPr>
        <w:t>בקטנותה וקיבל קידושיה והוו קידושין גמורים שיוצאה בגט ואפי' משגדלה ופקע כח אב מקבלת היא את גיטה</w:t>
      </w:r>
      <w:r>
        <w:rPr>
          <w:rFonts w:cs="Arial" w:hint="cs"/>
          <w:rtl/>
        </w:rPr>
        <w:t>, רש"י.</w:t>
      </w:r>
    </w:p>
  </w:footnote>
  <w:footnote w:id="3308">
    <w:p w14:paraId="477571FF" w14:textId="77777777" w:rsidR="00DF1FC7" w:rsidRDefault="00DF1FC7" w:rsidP="007D6167">
      <w:pPr>
        <w:pStyle w:val="a5"/>
      </w:pPr>
      <w:r>
        <w:rPr>
          <w:rStyle w:val="a7"/>
        </w:rPr>
        <w:footnoteRef/>
      </w:r>
      <w:r>
        <w:rPr>
          <w:rtl/>
        </w:rPr>
        <w:t xml:space="preserve"> </w:t>
      </w:r>
      <w:r w:rsidRPr="0026383B">
        <w:rPr>
          <w:rFonts w:cs="Arial"/>
          <w:rtl/>
        </w:rPr>
        <w:t>פקחת שנתחרשה כיוצא בה</w:t>
      </w:r>
      <w:r>
        <w:rPr>
          <w:rFonts w:cs="Arial" w:hint="cs"/>
          <w:rtl/>
        </w:rPr>
        <w:t>, רש"י.</w:t>
      </w:r>
    </w:p>
  </w:footnote>
  <w:footnote w:id="3309">
    <w:p w14:paraId="7FA316CE" w14:textId="77777777" w:rsidR="00DF1FC7" w:rsidRDefault="00DF1FC7" w:rsidP="007D6167">
      <w:pPr>
        <w:pStyle w:val="a5"/>
      </w:pPr>
      <w:r>
        <w:rPr>
          <w:rStyle w:val="a7"/>
        </w:rPr>
        <w:footnoteRef/>
      </w:r>
      <w:r>
        <w:rPr>
          <w:rtl/>
        </w:rPr>
        <w:t xml:space="preserve"> </w:t>
      </w:r>
      <w:r>
        <w:rPr>
          <w:rFonts w:cs="Arial" w:hint="cs"/>
          <w:rtl/>
        </w:rPr>
        <w:t xml:space="preserve">'מפני גדירה' - </w:t>
      </w:r>
      <w:r w:rsidRPr="000364FA">
        <w:rPr>
          <w:rFonts w:cs="Arial"/>
          <w:rtl/>
        </w:rPr>
        <w:t>שעושין לה גדר שלא ינהגו בה מנהג הפקר</w:t>
      </w:r>
      <w:r>
        <w:rPr>
          <w:rFonts w:cs="Arial" w:hint="cs"/>
          <w:rtl/>
        </w:rPr>
        <w:t>.</w:t>
      </w:r>
      <w:r w:rsidRPr="000364FA">
        <w:rPr>
          <w:rFonts w:cs="Arial"/>
          <w:rtl/>
        </w:rPr>
        <w:t xml:space="preserve"> ויש גורסין </w:t>
      </w:r>
      <w:r>
        <w:rPr>
          <w:rFonts w:cs="Arial" w:hint="cs"/>
          <w:rtl/>
        </w:rPr>
        <w:t>'</w:t>
      </w:r>
      <w:r w:rsidRPr="000364FA">
        <w:rPr>
          <w:rFonts w:cs="Arial"/>
          <w:rtl/>
        </w:rPr>
        <w:t>גרירה</w:t>
      </w:r>
      <w:r>
        <w:rPr>
          <w:rFonts w:cs="Arial" w:hint="cs"/>
          <w:rtl/>
        </w:rPr>
        <w:t>' -</w:t>
      </w:r>
      <w:r w:rsidRPr="000364FA">
        <w:rPr>
          <w:rFonts w:cs="Arial"/>
          <w:rtl/>
        </w:rPr>
        <w:t xml:space="preserve"> פי' נגררת אחר כל אדם לזנות</w:t>
      </w:r>
      <w:r>
        <w:rPr>
          <w:rFonts w:cs="Arial" w:hint="cs"/>
          <w:rtl/>
        </w:rPr>
        <w:t>, קרבן העדה.</w:t>
      </w:r>
    </w:p>
  </w:footnote>
  <w:footnote w:id="3310">
    <w:p w14:paraId="2EAECE81" w14:textId="77777777" w:rsidR="00DF1FC7" w:rsidRDefault="00DF1FC7" w:rsidP="007D6167">
      <w:pPr>
        <w:pStyle w:val="a5"/>
      </w:pPr>
      <w:r>
        <w:rPr>
          <w:rStyle w:val="a7"/>
        </w:rPr>
        <w:footnoteRef/>
      </w:r>
      <w:r>
        <w:rPr>
          <w:rtl/>
        </w:rPr>
        <w:t xml:space="preserve"> </w:t>
      </w:r>
      <w:r w:rsidRPr="00312261">
        <w:rPr>
          <w:rFonts w:cs="Arial"/>
          <w:rtl/>
        </w:rPr>
        <w:t>תלת מילין איכא נפקא מיניה בין הנך תרי טעמי</w:t>
      </w:r>
      <w:r>
        <w:rPr>
          <w:rFonts w:cs="Arial" w:hint="cs"/>
          <w:rtl/>
        </w:rPr>
        <w:t>, קרבן העדה.</w:t>
      </w:r>
    </w:p>
  </w:footnote>
  <w:footnote w:id="3311">
    <w:p w14:paraId="0334F379" w14:textId="77777777" w:rsidR="00DF1FC7" w:rsidRDefault="00DF1FC7" w:rsidP="007D6167">
      <w:pPr>
        <w:pStyle w:val="a5"/>
        <w:rPr>
          <w:rtl/>
        </w:rPr>
      </w:pPr>
      <w:r>
        <w:rPr>
          <w:rStyle w:val="a7"/>
        </w:rPr>
        <w:footnoteRef/>
      </w:r>
      <w:r>
        <w:rPr>
          <w:rtl/>
        </w:rPr>
        <w:t xml:space="preserve"> </w:t>
      </w:r>
      <w:r w:rsidRPr="00312261">
        <w:rPr>
          <w:rFonts w:cs="Arial"/>
          <w:rtl/>
        </w:rPr>
        <w:t>הוי גט דהא אינו אלא איסורא דרבנן שלא להתגרש שלא ינהגו בה מנהג הפקר ובדרבנן ודאי אי עביד מהני</w:t>
      </w:r>
      <w:r>
        <w:rPr>
          <w:rFonts w:hint="cs"/>
          <w:rtl/>
        </w:rPr>
        <w:t>, קרבן העדה.</w:t>
      </w:r>
    </w:p>
  </w:footnote>
  <w:footnote w:id="3312">
    <w:p w14:paraId="216D1CCF" w14:textId="77777777" w:rsidR="00DF1FC7" w:rsidRDefault="00DF1FC7" w:rsidP="007D6167">
      <w:pPr>
        <w:pStyle w:val="a5"/>
      </w:pPr>
      <w:r>
        <w:rPr>
          <w:rStyle w:val="a7"/>
        </w:rPr>
        <w:footnoteRef/>
      </w:r>
      <w:r>
        <w:rPr>
          <w:rtl/>
        </w:rPr>
        <w:t xml:space="preserve"> </w:t>
      </w:r>
      <w:r w:rsidRPr="003F46E1">
        <w:rPr>
          <w:rFonts w:cs="Arial"/>
          <w:rtl/>
        </w:rPr>
        <w:t>פי' מדאורייתא אין הגט גט</w:t>
      </w:r>
      <w:r>
        <w:rPr>
          <w:rFonts w:cs="Arial" w:hint="cs"/>
          <w:rtl/>
        </w:rPr>
        <w:t>, תוס' (יבמות קיג: ד"ה יצתה).</w:t>
      </w:r>
    </w:p>
  </w:footnote>
  <w:footnote w:id="3313">
    <w:p w14:paraId="71F6FF59" w14:textId="77777777" w:rsidR="00DF1FC7" w:rsidRDefault="00DF1FC7" w:rsidP="007D6167">
      <w:pPr>
        <w:pStyle w:val="a5"/>
      </w:pPr>
      <w:r>
        <w:rPr>
          <w:rStyle w:val="a7"/>
        </w:rPr>
        <w:footnoteRef/>
      </w:r>
      <w:r>
        <w:rPr>
          <w:rtl/>
        </w:rPr>
        <w:t xml:space="preserve"> </w:t>
      </w:r>
      <w:r w:rsidRPr="00266778">
        <w:rPr>
          <w:rFonts w:cs="Arial"/>
          <w:rtl/>
        </w:rPr>
        <w:t>שעדיין היא נגררת להפקר שאין אביה יכול לשמרה</w:t>
      </w:r>
      <w:r>
        <w:rPr>
          <w:rFonts w:cs="Arial" w:hint="cs"/>
          <w:rtl/>
        </w:rPr>
        <w:t xml:space="preserve">, קרבן העדה. </w:t>
      </w:r>
    </w:p>
  </w:footnote>
  <w:footnote w:id="3314">
    <w:p w14:paraId="2BAEFB7C" w14:textId="77777777" w:rsidR="00DF1FC7" w:rsidRDefault="00DF1FC7" w:rsidP="007D6167">
      <w:pPr>
        <w:pStyle w:val="a5"/>
        <w:rPr>
          <w:rtl/>
        </w:rPr>
      </w:pPr>
      <w:r>
        <w:rPr>
          <w:rStyle w:val="a7"/>
        </w:rPr>
        <w:footnoteRef/>
      </w:r>
      <w:r>
        <w:rPr>
          <w:rtl/>
        </w:rPr>
        <w:t xml:space="preserve"> </w:t>
      </w:r>
      <w:r w:rsidRPr="0039471B">
        <w:rPr>
          <w:rFonts w:cs="Arial"/>
          <w:rtl/>
        </w:rPr>
        <w:t>ואנן לא נהגינן כן עכשיו משום תקנת רבינו גרשום שגזר על כך</w:t>
      </w:r>
      <w:r>
        <w:rPr>
          <w:rFonts w:cs="Arial" w:hint="cs"/>
          <w:rtl/>
        </w:rPr>
        <w:t>, דרכ"מ (אות ב)</w:t>
      </w:r>
      <w:r w:rsidRPr="0039471B">
        <w:rPr>
          <w:rFonts w:cs="Arial"/>
          <w:rtl/>
        </w:rPr>
        <w:t>.</w:t>
      </w:r>
    </w:p>
  </w:footnote>
  <w:footnote w:id="3315">
    <w:p w14:paraId="72F28B27" w14:textId="77777777" w:rsidR="00DF1FC7" w:rsidRDefault="00DF1FC7" w:rsidP="007D6167">
      <w:pPr>
        <w:pStyle w:val="a5"/>
      </w:pPr>
      <w:r>
        <w:rPr>
          <w:rStyle w:val="a7"/>
        </w:rPr>
        <w:footnoteRef/>
      </w:r>
      <w:r>
        <w:rPr>
          <w:rtl/>
        </w:rPr>
        <w:t xml:space="preserve"> </w:t>
      </w:r>
      <w:r>
        <w:rPr>
          <w:rFonts w:cs="Arial"/>
          <w:rtl/>
        </w:rPr>
        <w:t>גמורה אבל מכל מקום צריך שתהא מבחנת בין גיטה לדבר אחר כדאיתא בפרק התקבל (גיטין סד:) ויתבאר בראש סימן קמ"א (מו:) בסייעתא דשמיא</w:t>
      </w:r>
      <w:r>
        <w:rPr>
          <w:rFonts w:cs="Arial" w:hint="cs"/>
          <w:rtl/>
        </w:rPr>
        <w:t>, ב"י.</w:t>
      </w:r>
    </w:p>
  </w:footnote>
  <w:footnote w:id="3316">
    <w:p w14:paraId="5DD13F77" w14:textId="77777777" w:rsidR="00DF1FC7" w:rsidRDefault="00DF1FC7" w:rsidP="007D6167">
      <w:pPr>
        <w:pStyle w:val="a5"/>
      </w:pPr>
      <w:r>
        <w:rPr>
          <w:rStyle w:val="a7"/>
        </w:rPr>
        <w:footnoteRef/>
      </w:r>
      <w:r>
        <w:rPr>
          <w:rtl/>
        </w:rPr>
        <w:t xml:space="preserve"> </w:t>
      </w:r>
      <w:r>
        <w:rPr>
          <w:rFonts w:hint="cs"/>
          <w:rtl/>
        </w:rPr>
        <w:t xml:space="preserve">וז"ל- </w:t>
      </w:r>
      <w:r w:rsidRPr="003826BD">
        <w:rPr>
          <w:rFonts w:cs="Arial"/>
          <w:rtl/>
        </w:rPr>
        <w:t xml:space="preserve">מי שנתחרשה אשתו הרי זה מגרשה בגט ותהיה גרושה, אבל </w:t>
      </w:r>
      <w:bookmarkStart w:id="13" w:name="_Hlk74822911"/>
      <w:r w:rsidRPr="003826BD">
        <w:rPr>
          <w:rFonts w:cs="Arial"/>
          <w:rtl/>
        </w:rPr>
        <w:t>אם נשתטית אינו מוציאה עד שתבריא</w:t>
      </w:r>
      <w:bookmarkEnd w:id="13"/>
      <w:r w:rsidRPr="003826BD">
        <w:rPr>
          <w:rFonts w:cs="Arial"/>
          <w:rtl/>
        </w:rPr>
        <w:t>, ודבר זה תקנת חכמים הוא כדי שלא תהא הפקר לפרוצין שהרי אינה יכולה לשמור את עצמה</w:t>
      </w:r>
      <w:r>
        <w:rPr>
          <w:rFonts w:cs="Arial" w:hint="cs"/>
          <w:rtl/>
        </w:rPr>
        <w:t>...</w:t>
      </w:r>
    </w:p>
  </w:footnote>
  <w:footnote w:id="3317">
    <w:p w14:paraId="3F7CB270" w14:textId="77777777" w:rsidR="00DF1FC7" w:rsidRDefault="00DF1FC7" w:rsidP="007D6167">
      <w:pPr>
        <w:pStyle w:val="a5"/>
      </w:pPr>
      <w:r>
        <w:rPr>
          <w:rStyle w:val="a7"/>
        </w:rPr>
        <w:footnoteRef/>
      </w:r>
      <w:r>
        <w:rPr>
          <w:rtl/>
        </w:rPr>
        <w:t xml:space="preserve"> </w:t>
      </w:r>
      <w:r>
        <w:rPr>
          <w:rFonts w:hint="cs"/>
          <w:rtl/>
        </w:rPr>
        <w:t>ו</w:t>
      </w:r>
      <w:r>
        <w:rPr>
          <w:rFonts w:cs="Arial"/>
          <w:rtl/>
        </w:rPr>
        <w:t>כתבו התוס' פרק חרש (יבמות קיג: ד"ה יצתה) בשם ירושלמי (יבמות פי"ד ה"א) משום גרירא אין שוטה מתגרשת אפילו ביש לה אב</w:t>
      </w:r>
      <w:r>
        <w:rPr>
          <w:rFonts w:cs="Arial" w:hint="cs"/>
          <w:rtl/>
        </w:rPr>
        <w:t>, ב"י (בבדה"ב).</w:t>
      </w:r>
    </w:p>
  </w:footnote>
  <w:footnote w:id="3318">
    <w:p w14:paraId="2DD65658" w14:textId="77777777" w:rsidR="00DF1FC7" w:rsidRDefault="00DF1FC7" w:rsidP="007D6167">
      <w:pPr>
        <w:pStyle w:val="a5"/>
      </w:pPr>
      <w:r>
        <w:rPr>
          <w:rStyle w:val="a7"/>
        </w:rPr>
        <w:footnoteRef/>
      </w:r>
      <w:r>
        <w:rPr>
          <w:rtl/>
        </w:rPr>
        <w:t xml:space="preserve"> </w:t>
      </w:r>
      <w:r w:rsidRPr="00295B4D">
        <w:rPr>
          <w:rFonts w:cs="Arial"/>
          <w:rtl/>
        </w:rPr>
        <w:t>ונראה טעם לדברי רבינו לפי שכבר נתבאר פרק י"ד מהלכות אישות האשה שחלתה ואמר לה הריני מגרשיך ונותן כתובה והולך שומעין לו, וכאן ודאי היה זה רוצה לגרש אלא שחכמים מנעוהו לגרש אבל בחיוב ממון לא חייבוהו שהרי לא עשו כן אלא כדי שלא ינהגו בה מנהג הפקר לכן לחמה תאכל ושמלתה תלבש ויקרא שמו עליה לאסוף חרפתה. וזהו שכתב רבינו מאכילה ומשקה משלה שהוא סבור שלא חייבוהו בדבר שבממון. זהו דעתו ז"ל ולא מצאתי בזה ראיה</w:t>
      </w:r>
      <w:r>
        <w:rPr>
          <w:rFonts w:cs="Arial" w:hint="cs"/>
          <w:rtl/>
        </w:rPr>
        <w:t>, הה"מ (שם).</w:t>
      </w:r>
    </w:p>
  </w:footnote>
  <w:footnote w:id="3319">
    <w:p w14:paraId="12BB37C7" w14:textId="77777777" w:rsidR="00DF1FC7" w:rsidRDefault="00DF1FC7" w:rsidP="007D6167">
      <w:pPr>
        <w:pStyle w:val="a5"/>
      </w:pPr>
      <w:r>
        <w:rPr>
          <w:rStyle w:val="a7"/>
        </w:rPr>
        <w:footnoteRef/>
      </w:r>
      <w:r>
        <w:rPr>
          <w:rtl/>
        </w:rPr>
        <w:t xml:space="preserve"> </w:t>
      </w:r>
      <w:r w:rsidRPr="00CD610B">
        <w:rPr>
          <w:rFonts w:cs="Arial"/>
          <w:rtl/>
        </w:rPr>
        <w:t>והוא שיודעת לשמור גיטה</w:t>
      </w:r>
      <w:r>
        <w:rPr>
          <w:rFonts w:cs="Arial" w:hint="cs"/>
          <w:rtl/>
        </w:rPr>
        <w:t>, ראב"ד (שם בהשגות).</w:t>
      </w:r>
      <w:r w:rsidRPr="00295B4D">
        <w:rPr>
          <w:rtl/>
        </w:rPr>
        <w:t xml:space="preserve"> </w:t>
      </w:r>
      <w:r w:rsidRPr="00295B4D">
        <w:rPr>
          <w:rFonts w:cs="Arial"/>
          <w:rtl/>
        </w:rPr>
        <w:t>וכדומה לי שרבינו שלא באר כאן</w:t>
      </w:r>
      <w:r>
        <w:rPr>
          <w:rFonts w:cs="Arial" w:hint="cs"/>
          <w:rtl/>
        </w:rPr>
        <w:t>,</w:t>
      </w:r>
      <w:r w:rsidRPr="00295B4D">
        <w:rPr>
          <w:rFonts w:cs="Arial"/>
          <w:rtl/>
        </w:rPr>
        <w:t xml:space="preserve"> סמך לו על מ"ש פ"ב בדין הקטנה שכל שאינה מבחנת בין גיטה לדבר אחר אינה מתגרשת</w:t>
      </w:r>
      <w:r>
        <w:rPr>
          <w:rFonts w:cs="Arial" w:hint="cs"/>
          <w:rtl/>
        </w:rPr>
        <w:t>,</w:t>
      </w:r>
      <w:r w:rsidRPr="00295B4D">
        <w:rPr>
          <w:rFonts w:cs="Arial"/>
          <w:rtl/>
        </w:rPr>
        <w:t xml:space="preserve"> והוא פירוש למה שאמרו אינה יודעת לשמור עצמה כמו שכתבתי שם</w:t>
      </w:r>
      <w:r>
        <w:rPr>
          <w:rFonts w:cs="Arial" w:hint="cs"/>
          <w:rtl/>
        </w:rPr>
        <w:t>.</w:t>
      </w:r>
      <w:r w:rsidRPr="00295B4D">
        <w:rPr>
          <w:rFonts w:cs="Arial"/>
          <w:rtl/>
        </w:rPr>
        <w:t xml:space="preserve"> ומפני שידוע היקש השוטה לקטן בכמה מקומות לא באר רבינו בכאן זה</w:t>
      </w:r>
      <w:r>
        <w:rPr>
          <w:rFonts w:cs="Arial" w:hint="cs"/>
          <w:rtl/>
        </w:rPr>
        <w:t>.</w:t>
      </w:r>
      <w:r w:rsidRPr="00295B4D">
        <w:rPr>
          <w:rFonts w:cs="Arial"/>
          <w:rtl/>
        </w:rPr>
        <w:t xml:space="preserve"> ולא מצאתי לו טעם אחר בזה</w:t>
      </w:r>
      <w:r>
        <w:rPr>
          <w:rFonts w:cs="Arial" w:hint="cs"/>
          <w:rtl/>
        </w:rPr>
        <w:t>, הה"מ (שם)</w:t>
      </w:r>
      <w:r w:rsidRPr="00295B4D">
        <w:rPr>
          <w:rFonts w:cs="Arial"/>
          <w:rtl/>
        </w:rPr>
        <w:t>.</w:t>
      </w:r>
    </w:p>
  </w:footnote>
  <w:footnote w:id="3320">
    <w:p w14:paraId="33577D8C" w14:textId="77777777" w:rsidR="00DF1FC7" w:rsidRDefault="00DF1FC7" w:rsidP="007D6167">
      <w:pPr>
        <w:pStyle w:val="a5"/>
      </w:pPr>
      <w:r>
        <w:rPr>
          <w:rStyle w:val="a7"/>
        </w:rPr>
        <w:footnoteRef/>
      </w:r>
      <w:r>
        <w:rPr>
          <w:rtl/>
        </w:rPr>
        <w:t xml:space="preserve"> </w:t>
      </w:r>
      <w:r>
        <w:rPr>
          <w:rFonts w:cs="Arial"/>
          <w:rtl/>
        </w:rPr>
        <w:t>כבר הליץ הרב המגיד (שם) בעד הרמב"ם עיין עליו: [בדק הבית] ודעת הרשב"א (ח"ב סי' שפב) שכתבתי בסימן (י"ו) [ע'] (קה:) כדעת הרמ"ה והראב"ד [עד כאן]</w:t>
      </w:r>
      <w:r>
        <w:rPr>
          <w:rFonts w:cs="Arial" w:hint="cs"/>
          <w:rtl/>
        </w:rPr>
        <w:t>, ב"י.</w:t>
      </w:r>
    </w:p>
  </w:footnote>
  <w:footnote w:id="3321">
    <w:p w14:paraId="3E783CCD" w14:textId="77777777" w:rsidR="00DF1FC7" w:rsidRDefault="00DF1FC7" w:rsidP="007D6167">
      <w:pPr>
        <w:pStyle w:val="a5"/>
      </w:pPr>
      <w:r>
        <w:rPr>
          <w:rStyle w:val="a7"/>
        </w:rPr>
        <w:footnoteRef/>
      </w:r>
      <w:r>
        <w:rPr>
          <w:rtl/>
        </w:rPr>
        <w:t xml:space="preserve"> </w:t>
      </w:r>
      <w:r>
        <w:rPr>
          <w:rFonts w:cs="Arial" w:hint="cs"/>
          <w:rtl/>
        </w:rPr>
        <w:t>הטור כתב שכן יראה מדבריו. וכתב הב"י ד</w:t>
      </w:r>
      <w:r>
        <w:rPr>
          <w:rFonts w:cs="Arial"/>
          <w:rtl/>
        </w:rPr>
        <w:t>אע</w:t>
      </w:r>
      <w:r>
        <w:rPr>
          <w:rFonts w:cs="Arial" w:hint="cs"/>
          <w:rtl/>
        </w:rPr>
        <w:t>"</w:t>
      </w:r>
      <w:r>
        <w:rPr>
          <w:rFonts w:cs="Arial"/>
          <w:rtl/>
        </w:rPr>
        <w:t>ג דאתיא במכל שכן כתב שיראה מדברי הרמ"ה משום דלא כתב בהדיא שחייב במזונותיה קודם שיגרשנה ואפשר למידחי דכי גרשה קאמר דחייב במזונותיה משום דקנסוהו רבנן</w:t>
      </w:r>
      <w:r>
        <w:rPr>
          <w:rFonts w:cs="Arial" w:hint="cs"/>
          <w:rtl/>
        </w:rPr>
        <w:t>.</w:t>
      </w:r>
    </w:p>
  </w:footnote>
  <w:footnote w:id="3322">
    <w:p w14:paraId="25C14F41" w14:textId="77777777" w:rsidR="00DF1FC7" w:rsidRDefault="00DF1FC7" w:rsidP="007D6167">
      <w:pPr>
        <w:pStyle w:val="a5"/>
        <w:rPr>
          <w:rtl/>
        </w:rPr>
      </w:pPr>
      <w:r>
        <w:rPr>
          <w:rStyle w:val="a7"/>
        </w:rPr>
        <w:footnoteRef/>
      </w:r>
      <w:r>
        <w:rPr>
          <w:rtl/>
        </w:rPr>
        <w:t xml:space="preserve"> </w:t>
      </w:r>
      <w:r w:rsidRPr="00FE714F">
        <w:rPr>
          <w:rFonts w:cs="Arial"/>
          <w:rtl/>
        </w:rPr>
        <w:t>וא"כ כ"ש כל זמן שלא גירשה שחייב בכל וגם על מה שפטרו מלרפאותה</w:t>
      </w:r>
      <w:r>
        <w:rPr>
          <w:rFonts w:hint="cs"/>
          <w:rtl/>
        </w:rPr>
        <w:t>, טור.</w:t>
      </w:r>
      <w:r w:rsidRPr="0098534E">
        <w:rPr>
          <w:rFonts w:cs="Arial"/>
          <w:rtl/>
        </w:rPr>
        <w:t xml:space="preserve"> </w:t>
      </w:r>
    </w:p>
  </w:footnote>
  <w:footnote w:id="3323">
    <w:p w14:paraId="040A2EBC" w14:textId="77777777" w:rsidR="00DF1FC7" w:rsidRDefault="00DF1FC7" w:rsidP="007D6167">
      <w:pPr>
        <w:pStyle w:val="a5"/>
        <w:rPr>
          <w:rtl/>
        </w:rPr>
      </w:pPr>
      <w:r>
        <w:rPr>
          <w:rStyle w:val="a7"/>
        </w:rPr>
        <w:footnoteRef/>
      </w:r>
      <w:r>
        <w:rPr>
          <w:rtl/>
        </w:rPr>
        <w:t xml:space="preserve"> </w:t>
      </w:r>
      <w:r w:rsidRPr="008121F7">
        <w:rPr>
          <w:rFonts w:cs="Arial"/>
          <w:rtl/>
        </w:rPr>
        <w:t>ועיין בהגהות יד אפרים שכ' ע"ז דמלשון תשובת הרשב"א שהביא בד"מ מבואר דאף באומר הרי גיטה וכתובת</w:t>
      </w:r>
      <w:r>
        <w:rPr>
          <w:rFonts w:cs="Arial" w:hint="cs"/>
          <w:rtl/>
        </w:rPr>
        <w:t>ה</w:t>
      </w:r>
      <w:r w:rsidRPr="008121F7">
        <w:rPr>
          <w:rFonts w:cs="Arial"/>
          <w:rtl/>
        </w:rPr>
        <w:t xml:space="preserve"> לא מהני כיון שאינו יכול לגרשה ע"ש. ועיין בתשו' חוט השני סי' ל"ב שכ' על נדון דידי' וז"ל ואין לפטור אותו מטעם שנשטית שכ' הרמב"ם פ"י מה"א שאין חייב לה בשכ"ו כבר נפסקה ההלכה מפי גדול האחרונים כהראב"ד שהשיג עליו וכן דעת הרשב"א בתשו' שחייב לה בכל. ועוד אפשר שבזה גם הר"מ מודה כי שגעון כזה הבא מחמת חולי ועודנה בחליה מוחזקים הם להתרפאות ואין אחד מני אלף אשר לא יכול להרפא והר"מ לא פליג אלא היכא שהיא בריאה ומשתגעת שהשגעון ההוא ברוב פעמים הוא נצחי ואינו מוחזק להתרפאות עכ"ל</w:t>
      </w:r>
      <w:r>
        <w:rPr>
          <w:rFonts w:hint="cs"/>
          <w:rtl/>
        </w:rPr>
        <w:t>, פת"ש (סק"ז).</w:t>
      </w:r>
    </w:p>
  </w:footnote>
  <w:footnote w:id="3324">
    <w:p w14:paraId="15AF85AA" w14:textId="77777777" w:rsidR="00DF1FC7" w:rsidRDefault="00DF1FC7" w:rsidP="007D6167">
      <w:pPr>
        <w:pStyle w:val="a5"/>
      </w:pPr>
      <w:r>
        <w:rPr>
          <w:rStyle w:val="a7"/>
        </w:rPr>
        <w:footnoteRef/>
      </w:r>
      <w:r>
        <w:rPr>
          <w:rtl/>
        </w:rPr>
        <w:t xml:space="preserve"> </w:t>
      </w:r>
      <w:r w:rsidRPr="00EC459D">
        <w:rPr>
          <w:rFonts w:cs="Arial"/>
          <w:rtl/>
        </w:rPr>
        <w:t>(ד) ובתוספות (שם) ובאשיר"י ריש פרק חרש (סי' ג) משמע שלא כדברי תשובה זו אלא משמע דבעתים חלומה ובעתים שוטה יכול לגרשה ועיי"ש, וכן משמע במרדכי פרק התקבל (ע"ד) (גיטין סי' תיב) ובתוספות (שם) [פרק האיש מקדש] (קידושין מג: ד"ה וכל). ובתשובת מהר"י ווייל סימן נ"ב משמע דיש להחמיר כדברי הרשב"א וכל שכן בשוטה גמורה דאינה מגורשת אפילו בדיעבד ודלא כהרמב"ם (פ"י מגירושין הכ"ג) דמתיר בדיעבד ועיי"ש, וכתב עוד שם דאפילו במקום דליכא למיחש שינהגו בה מנהג הפקר אפילו הכי אין לחלק דלא פלוג רבנן בתקנתן, ועיין לקמן סימן קמ"א (עמ' רכט ובד"מ אות א). וכתב מהרא"י בפסקיו סימן רט"ו על עתים שוטה ועתים חלומה וכבר עשה החכם ונתן הגט מפני שהיה נראה לו שתשאר בחלימותה ויצא הדבר להיתר לא מהדרינן עובדא:</w:t>
      </w:r>
    </w:p>
  </w:footnote>
  <w:footnote w:id="3325">
    <w:p w14:paraId="09A79A69" w14:textId="77777777" w:rsidR="00DF1FC7" w:rsidRDefault="00DF1FC7" w:rsidP="007D6167">
      <w:pPr>
        <w:pStyle w:val="a5"/>
      </w:pPr>
      <w:r>
        <w:rPr>
          <w:rStyle w:val="a7"/>
        </w:rPr>
        <w:footnoteRef/>
      </w:r>
      <w:r>
        <w:rPr>
          <w:rtl/>
        </w:rPr>
        <w:t xml:space="preserve"> </w:t>
      </w:r>
      <w:r>
        <w:rPr>
          <w:rFonts w:hint="cs"/>
          <w:rtl/>
        </w:rPr>
        <w:t xml:space="preserve">סימן </w:t>
      </w:r>
      <w:r>
        <w:rPr>
          <w:rtl/>
        </w:rPr>
        <w:t>–</w:t>
      </w:r>
      <w:r>
        <w:rPr>
          <w:rFonts w:hint="cs"/>
          <w:rtl/>
        </w:rPr>
        <w:t xml:space="preserve"> גרון</w:t>
      </w:r>
      <w:r>
        <w:rPr>
          <w:rFonts w:hint="cs"/>
          <w:sz w:val="14"/>
          <w:szCs w:val="14"/>
          <w:rtl/>
        </w:rPr>
        <w:t xml:space="preserve"> </w:t>
      </w:r>
      <w:r w:rsidRPr="00434982">
        <w:rPr>
          <w:rFonts w:hint="cs"/>
          <w:sz w:val="16"/>
          <w:szCs w:val="16"/>
          <w:rtl/>
        </w:rPr>
        <w:t>(היינו עדות)</w:t>
      </w:r>
      <w:r>
        <w:rPr>
          <w:rFonts w:hint="cs"/>
          <w:rtl/>
        </w:rPr>
        <w:t xml:space="preserve"> גזוּר.</w:t>
      </w:r>
    </w:p>
  </w:footnote>
  <w:footnote w:id="3326">
    <w:p w14:paraId="7DDB64D7" w14:textId="77777777" w:rsidR="00DF1FC7" w:rsidRDefault="00DF1FC7" w:rsidP="007D6167">
      <w:pPr>
        <w:pStyle w:val="a5"/>
        <w:rPr>
          <w:rtl/>
        </w:rPr>
      </w:pPr>
      <w:r>
        <w:rPr>
          <w:rStyle w:val="a7"/>
        </w:rPr>
        <w:footnoteRef/>
      </w:r>
      <w:r>
        <w:rPr>
          <w:rtl/>
        </w:rPr>
        <w:t xml:space="preserve"> </w:t>
      </w:r>
      <w:r>
        <w:rPr>
          <w:rFonts w:hint="cs"/>
          <w:rtl/>
        </w:rPr>
        <w:t>איך מתפרשים דבריו של רב הונא.</w:t>
      </w:r>
    </w:p>
  </w:footnote>
  <w:footnote w:id="3327">
    <w:p w14:paraId="64B87CDF" w14:textId="77777777" w:rsidR="00DF1FC7" w:rsidRDefault="00DF1FC7" w:rsidP="007D6167">
      <w:pPr>
        <w:pStyle w:val="a5"/>
      </w:pPr>
      <w:r>
        <w:rPr>
          <w:rStyle w:val="a7"/>
        </w:rPr>
        <w:footnoteRef/>
      </w:r>
      <w:r>
        <w:rPr>
          <w:rtl/>
        </w:rPr>
        <w:t xml:space="preserve"> </w:t>
      </w:r>
      <w:r w:rsidRPr="00C4747B">
        <w:rPr>
          <w:rFonts w:cs="Arial"/>
          <w:rtl/>
        </w:rPr>
        <w:t xml:space="preserve">מדכתב </w:t>
      </w:r>
      <w:r>
        <w:rPr>
          <w:rFonts w:cs="Arial" w:hint="cs"/>
          <w:rtl/>
        </w:rPr>
        <w:t>'</w:t>
      </w:r>
      <w:r w:rsidRPr="00C4747B">
        <w:rPr>
          <w:rFonts w:cs="Arial"/>
          <w:rtl/>
        </w:rPr>
        <w:t>בדבר מן הדברים</w:t>
      </w:r>
      <w:r>
        <w:rPr>
          <w:rFonts w:cs="Arial" w:hint="cs"/>
          <w:rtl/>
        </w:rPr>
        <w:t>'</w:t>
      </w:r>
      <w:r w:rsidRPr="00C4747B">
        <w:rPr>
          <w:rFonts w:cs="Arial"/>
          <w:rtl/>
        </w:rPr>
        <w:t xml:space="preserve"> משמע בהדיא דכרבי יוחנן דאמר אפילו באחת מהן סבירא ליה</w:t>
      </w:r>
      <w:r>
        <w:rPr>
          <w:rFonts w:cs="Arial" w:hint="cs"/>
          <w:rtl/>
        </w:rPr>
        <w:t>, ב"י.</w:t>
      </w:r>
    </w:p>
  </w:footnote>
  <w:footnote w:id="3328">
    <w:p w14:paraId="149B5F17" w14:textId="77777777" w:rsidR="00DF1FC7" w:rsidRDefault="00DF1FC7" w:rsidP="007D6167">
      <w:pPr>
        <w:pStyle w:val="a5"/>
        <w:rPr>
          <w:rtl/>
        </w:rPr>
      </w:pPr>
      <w:r>
        <w:rPr>
          <w:rStyle w:val="a7"/>
        </w:rPr>
        <w:footnoteRef/>
      </w:r>
      <w:r>
        <w:rPr>
          <w:rtl/>
        </w:rPr>
        <w:t xml:space="preserve"> </w:t>
      </w:r>
      <w:r>
        <w:rPr>
          <w:rFonts w:cs="Arial"/>
          <w:rtl/>
        </w:rPr>
        <w:t>זה פשוט דכיון דלאו בר דעת הוא לא סמכינן אסהדותיה</w:t>
      </w:r>
      <w:r>
        <w:rPr>
          <w:rFonts w:hint="cs"/>
          <w:rtl/>
        </w:rPr>
        <w:t>, ב"י.</w:t>
      </w:r>
    </w:p>
  </w:footnote>
  <w:footnote w:id="3329">
    <w:p w14:paraId="279BB44C" w14:textId="77777777" w:rsidR="00DF1FC7" w:rsidRDefault="00DF1FC7" w:rsidP="007D6167">
      <w:pPr>
        <w:pStyle w:val="a5"/>
        <w:rPr>
          <w:rtl/>
        </w:rPr>
      </w:pPr>
      <w:r>
        <w:rPr>
          <w:rStyle w:val="a7"/>
        </w:rPr>
        <w:footnoteRef/>
      </w:r>
      <w:r>
        <w:rPr>
          <w:rtl/>
        </w:rPr>
        <w:t xml:space="preserve"> </w:t>
      </w:r>
      <w:r>
        <w:rPr>
          <w:rFonts w:cs="Arial" w:hint="cs"/>
          <w:rtl/>
        </w:rPr>
        <w:t xml:space="preserve">וז"ל- </w:t>
      </w:r>
      <w:r w:rsidRPr="007D16A8">
        <w:rPr>
          <w:rFonts w:cs="Arial"/>
          <w:rtl/>
        </w:rPr>
        <w:t>השוטה פסול לעדות מן התורה לפי שאינו בן מצות</w:t>
      </w:r>
      <w:r>
        <w:rPr>
          <w:rFonts w:hint="cs"/>
          <w:rtl/>
        </w:rPr>
        <w:t>-...</w:t>
      </w:r>
    </w:p>
  </w:footnote>
  <w:footnote w:id="3330">
    <w:p w14:paraId="1B609144" w14:textId="77777777" w:rsidR="00DF1FC7" w:rsidRDefault="00DF1FC7" w:rsidP="007D6167">
      <w:pPr>
        <w:pStyle w:val="a5"/>
        <w:rPr>
          <w:rtl/>
        </w:rPr>
      </w:pPr>
      <w:r>
        <w:rPr>
          <w:rStyle w:val="a7"/>
        </w:rPr>
        <w:footnoteRef/>
      </w:r>
      <w:r>
        <w:rPr>
          <w:rtl/>
        </w:rPr>
        <w:t xml:space="preserve"> </w:t>
      </w:r>
      <w:r w:rsidRPr="00F921C1">
        <w:rPr>
          <w:rFonts w:cs="Arial"/>
          <w:rtl/>
        </w:rPr>
        <w:t>אם מדבר ואינו יודע מה מדבר כדרך החולים הרי זה כשוטה גמור</w:t>
      </w:r>
      <w:r>
        <w:rPr>
          <w:rFonts w:cs="Arial" w:hint="cs"/>
          <w:rtl/>
        </w:rPr>
        <w:t>,</w:t>
      </w:r>
      <w:r w:rsidRPr="006341A4">
        <w:rPr>
          <w:rFonts w:cs="Arial" w:hint="cs"/>
          <w:rtl/>
        </w:rPr>
        <w:t xml:space="preserve"> </w:t>
      </w:r>
      <w:r w:rsidRPr="00F921C1">
        <w:rPr>
          <w:rFonts w:cs="Arial" w:hint="cs"/>
          <w:rtl/>
        </w:rPr>
        <w:t xml:space="preserve">דרכ"מ </w:t>
      </w:r>
      <w:r w:rsidRPr="006341A4">
        <w:rPr>
          <w:rFonts w:cs="Arial"/>
          <w:sz w:val="16"/>
          <w:szCs w:val="16"/>
          <w:rtl/>
        </w:rPr>
        <w:t>(</w:t>
      </w:r>
      <w:r w:rsidRPr="006341A4">
        <w:rPr>
          <w:rFonts w:cs="Arial" w:hint="cs"/>
          <w:sz w:val="16"/>
          <w:szCs w:val="16"/>
          <w:rtl/>
        </w:rPr>
        <w:t xml:space="preserve">סי' קכא אות </w:t>
      </w:r>
      <w:r w:rsidRPr="006341A4">
        <w:rPr>
          <w:rFonts w:cs="Arial"/>
          <w:sz w:val="16"/>
          <w:szCs w:val="16"/>
          <w:rtl/>
        </w:rPr>
        <w:t>ו</w:t>
      </w:r>
      <w:r w:rsidRPr="006341A4">
        <w:rPr>
          <w:rFonts w:cs="Arial" w:hint="cs"/>
          <w:sz w:val="16"/>
          <w:szCs w:val="16"/>
          <w:rtl/>
        </w:rPr>
        <w:t>, ו</w:t>
      </w:r>
      <w:r w:rsidRPr="006341A4">
        <w:rPr>
          <w:rFonts w:cs="Arial"/>
          <w:sz w:val="16"/>
          <w:szCs w:val="16"/>
          <w:rtl/>
        </w:rPr>
        <w:t>בד</w:t>
      </w:r>
      <w:r w:rsidRPr="006341A4">
        <w:rPr>
          <w:rFonts w:cs="Arial" w:hint="cs"/>
          <w:sz w:val="16"/>
          <w:szCs w:val="16"/>
          <w:rtl/>
        </w:rPr>
        <w:t>רכ</w:t>
      </w:r>
      <w:r w:rsidRPr="006341A4">
        <w:rPr>
          <w:rFonts w:cs="Arial"/>
          <w:sz w:val="16"/>
          <w:szCs w:val="16"/>
          <w:rtl/>
        </w:rPr>
        <w:t>"מ הארוך ס"ד ד"ה צריך לדקדק וכו')</w:t>
      </w:r>
      <w:r w:rsidRPr="00F921C1">
        <w:rPr>
          <w:rFonts w:cs="Arial"/>
          <w:rtl/>
        </w:rPr>
        <w:t>.</w:t>
      </w:r>
    </w:p>
  </w:footnote>
  <w:footnote w:id="3331">
    <w:p w14:paraId="62B1A662" w14:textId="77777777" w:rsidR="00DF1FC7" w:rsidRDefault="00DF1FC7" w:rsidP="007D6167">
      <w:pPr>
        <w:pStyle w:val="a5"/>
        <w:rPr>
          <w:rtl/>
        </w:rPr>
      </w:pPr>
      <w:r>
        <w:rPr>
          <w:rStyle w:val="a7"/>
        </w:rPr>
        <w:footnoteRef/>
      </w:r>
      <w:r>
        <w:rPr>
          <w:rtl/>
        </w:rPr>
        <w:t xml:space="preserve"> </w:t>
      </w:r>
      <w:r>
        <w:rPr>
          <w:rFonts w:hint="cs"/>
          <w:rtl/>
        </w:rPr>
        <w:t>וז"ל-</w:t>
      </w:r>
      <w:r>
        <w:rPr>
          <w:rFonts w:cs="Arial" w:hint="cs"/>
          <w:rtl/>
        </w:rPr>
        <w:t xml:space="preserve"> </w:t>
      </w:r>
      <w:r w:rsidRPr="00F921C1">
        <w:rPr>
          <w:rFonts w:cs="Arial"/>
          <w:rtl/>
        </w:rPr>
        <w:t>מי שהוא שוטה בשאר דברים אע</w:t>
      </w:r>
      <w:r>
        <w:rPr>
          <w:rFonts w:cs="Arial" w:hint="cs"/>
          <w:rtl/>
        </w:rPr>
        <w:t>"</w:t>
      </w:r>
      <w:r w:rsidRPr="00F921C1">
        <w:rPr>
          <w:rFonts w:cs="Arial"/>
          <w:rtl/>
        </w:rPr>
        <w:t>פ שאינו לן בבית הקברות או קורע כסותו אפילו הכי מיקרי שוטה</w:t>
      </w:r>
      <w:r>
        <w:rPr>
          <w:rFonts w:cs="Arial" w:hint="cs"/>
          <w:rtl/>
        </w:rPr>
        <w:t>.</w:t>
      </w:r>
    </w:p>
  </w:footnote>
  <w:footnote w:id="3332">
    <w:p w14:paraId="5448DEC8" w14:textId="77777777" w:rsidR="00DF1FC7" w:rsidRDefault="00DF1FC7" w:rsidP="007D6167">
      <w:pPr>
        <w:pStyle w:val="a5"/>
      </w:pPr>
      <w:r>
        <w:rPr>
          <w:rStyle w:val="a7"/>
        </w:rPr>
        <w:footnoteRef/>
      </w:r>
      <w:r>
        <w:rPr>
          <w:rtl/>
        </w:rPr>
        <w:t xml:space="preserve"> </w:t>
      </w:r>
      <w:r>
        <w:rPr>
          <w:rFonts w:cs="Arial" w:hint="cs"/>
          <w:rtl/>
        </w:rPr>
        <w:t xml:space="preserve">כתב הב"י וז"ל- </w:t>
      </w:r>
      <w:r w:rsidRPr="00F921C1">
        <w:rPr>
          <w:rFonts w:cs="Arial"/>
          <w:rtl/>
        </w:rPr>
        <w:t>לכאורה היה נראה דחד מהני ארבע דתניא בגמרא בעינן ליחשב שוטה אבל אי עביד שאר דברים אחרים דרך שטות אכתי בחזקת שפוי הוא כיון שאינו עושה דבר מד' דברים הללו אלא דמדברי הרמב"ם שלא הזכיר דברים הללו אלא סתם וכתב שנטרפה דעתו וכו' בדבר מן הדברים משמע ד</w:t>
      </w:r>
      <w:r>
        <w:rPr>
          <w:rFonts w:cs="Arial" w:hint="cs"/>
          <w:rtl/>
        </w:rPr>
        <w:t>-...</w:t>
      </w:r>
    </w:p>
  </w:footnote>
  <w:footnote w:id="3333">
    <w:p w14:paraId="0A978F0D" w14:textId="77777777" w:rsidR="00DF1FC7" w:rsidRDefault="00DF1FC7" w:rsidP="007D6167">
      <w:pPr>
        <w:pStyle w:val="a5"/>
      </w:pPr>
      <w:r>
        <w:rPr>
          <w:rStyle w:val="a7"/>
        </w:rPr>
        <w:footnoteRef/>
      </w:r>
      <w:r>
        <w:rPr>
          <w:rtl/>
        </w:rPr>
        <w:t xml:space="preserve"> </w:t>
      </w:r>
      <w:r w:rsidRPr="00F921C1">
        <w:rPr>
          <w:rFonts w:cs="Arial"/>
          <w:rtl/>
        </w:rPr>
        <w:t>ונראה שהכריחו לפרש כן מדחזינן דבברייתא קמייתא קתני תלת ולא קתני מאבד מה שנותנין לו ובאידך ברייתא קתני מאבד מה שנותנין לו ולא קתני אינך תלתא ואם איתא דהני ד' דוקא קשיא על ברייתא קמייתא אמאי לא קתני מאבד מה שנותנין לו ובאידך ברייתא לא קתני הנך תלתא אלא ודאי הני לאו דוקא אלא לדוגמא נקטינהו והך ברייתא נקטה הנך לדוגמא ואידך ברייתא נקטה הך וזה שלא כדברי רבינו שמחה שכתבתי בסימן קי"ט (ב:)</w:t>
      </w:r>
      <w:r>
        <w:rPr>
          <w:rFonts w:cs="Arial" w:hint="cs"/>
          <w:rtl/>
        </w:rPr>
        <w:t>, ב"י.</w:t>
      </w:r>
    </w:p>
  </w:footnote>
  <w:footnote w:id="3334">
    <w:p w14:paraId="7357AAE1" w14:textId="77777777" w:rsidR="00DF1FC7" w:rsidRDefault="00DF1FC7" w:rsidP="007D6167">
      <w:pPr>
        <w:pStyle w:val="a5"/>
      </w:pPr>
      <w:r>
        <w:rPr>
          <w:rStyle w:val="a7"/>
        </w:rPr>
        <w:footnoteRef/>
      </w:r>
      <w:r>
        <w:rPr>
          <w:rtl/>
        </w:rPr>
        <w:t xml:space="preserve"> </w:t>
      </w:r>
      <w:r>
        <w:rPr>
          <w:rFonts w:cs="Arial" w:hint="cs"/>
          <w:rtl/>
        </w:rPr>
        <w:t xml:space="preserve">וז"ל מהרי"ק- </w:t>
      </w:r>
      <w:r w:rsidRPr="00F921C1">
        <w:rPr>
          <w:rFonts w:cs="Arial"/>
          <w:rtl/>
        </w:rPr>
        <w:t>הלא ידע מר מה שהשיב רבינו אביגדור כהן לרבינו מאיר על אודות הגט שניתן בווירצבורק וז</w:t>
      </w:r>
      <w:r>
        <w:rPr>
          <w:rFonts w:cs="Arial" w:hint="cs"/>
          <w:rtl/>
        </w:rPr>
        <w:t>"</w:t>
      </w:r>
      <w:r w:rsidRPr="00F921C1">
        <w:rPr>
          <w:rFonts w:cs="Arial"/>
          <w:rtl/>
        </w:rPr>
        <w:t>ל</w:t>
      </w:r>
      <w:r>
        <w:rPr>
          <w:rFonts w:cs="Arial" w:hint="cs"/>
          <w:rtl/>
        </w:rPr>
        <w:t>-</w:t>
      </w:r>
      <w:r w:rsidRPr="00F921C1">
        <w:rPr>
          <w:rFonts w:cs="Arial"/>
          <w:rtl/>
        </w:rPr>
        <w:t xml:space="preserve"> אם לא הוחזק שוטה בדברים האמורים בפ</w:t>
      </w:r>
      <w:r>
        <w:rPr>
          <w:rFonts w:cs="Arial" w:hint="cs"/>
          <w:rtl/>
        </w:rPr>
        <w:t>"</w:t>
      </w:r>
      <w:r w:rsidRPr="00F921C1">
        <w:rPr>
          <w:rFonts w:cs="Arial"/>
          <w:rtl/>
        </w:rPr>
        <w:t xml:space="preserve">ק דחגיגה הרי הוא כפקח לכל דבריו </w:t>
      </w:r>
      <w:r>
        <w:rPr>
          <w:rFonts w:cs="Arial" w:hint="cs"/>
          <w:rtl/>
        </w:rPr>
        <w:t>ע</w:t>
      </w:r>
      <w:r w:rsidRPr="00F921C1">
        <w:rPr>
          <w:rFonts w:cs="Arial"/>
          <w:rtl/>
        </w:rPr>
        <w:t>כ</w:t>
      </w:r>
      <w:r>
        <w:rPr>
          <w:rFonts w:cs="Arial" w:hint="cs"/>
          <w:rtl/>
        </w:rPr>
        <w:t>"</w:t>
      </w:r>
      <w:r w:rsidRPr="00F921C1">
        <w:rPr>
          <w:rFonts w:cs="Arial"/>
          <w:rtl/>
        </w:rPr>
        <w:t>ל</w:t>
      </w:r>
      <w:r>
        <w:rPr>
          <w:rFonts w:cs="Arial" w:hint="cs"/>
          <w:rtl/>
        </w:rPr>
        <w:t>.</w:t>
      </w:r>
      <w:r w:rsidRPr="00F921C1">
        <w:rPr>
          <w:rFonts w:cs="Arial"/>
          <w:rtl/>
        </w:rPr>
        <w:t xml:space="preserve"> ואם יראה בעיני כבוד תורתו דלאו דוקא הני דפ</w:t>
      </w:r>
      <w:r>
        <w:rPr>
          <w:rFonts w:cs="Arial" w:hint="cs"/>
          <w:rtl/>
        </w:rPr>
        <w:t>"ק</w:t>
      </w:r>
      <w:r w:rsidRPr="00F921C1">
        <w:rPr>
          <w:rFonts w:cs="Arial"/>
          <w:rtl/>
        </w:rPr>
        <w:t xml:space="preserve"> דחגיגה אלא שדיברו חכמים בהווה אע</w:t>
      </w:r>
      <w:r>
        <w:rPr>
          <w:rFonts w:cs="Arial" w:hint="cs"/>
          <w:rtl/>
        </w:rPr>
        <w:t>"</w:t>
      </w:r>
      <w:r w:rsidRPr="00F921C1">
        <w:rPr>
          <w:rFonts w:cs="Arial"/>
          <w:rtl/>
        </w:rPr>
        <w:t>ג דמתוך לשון רבינו אביגדור לא משמע כן ויראה בעיני כבוד תורתו שהגיע זה לשטות גדול כמו הני דפ</w:t>
      </w:r>
      <w:r>
        <w:rPr>
          <w:rFonts w:cs="Arial" w:hint="cs"/>
          <w:rtl/>
        </w:rPr>
        <w:t>"ק</w:t>
      </w:r>
      <w:r w:rsidRPr="00F921C1">
        <w:rPr>
          <w:rFonts w:cs="Arial"/>
          <w:rtl/>
        </w:rPr>
        <w:t xml:space="preserve"> דחגיגה אז ודאי יש להשבי</w:t>
      </w:r>
      <w:r>
        <w:rPr>
          <w:rFonts w:cs="Arial" w:hint="cs"/>
          <w:rtl/>
        </w:rPr>
        <w:t>עה סתם וכו'</w:t>
      </w:r>
      <w:r w:rsidRPr="00F921C1">
        <w:rPr>
          <w:rFonts w:cs="Arial"/>
          <w:rtl/>
        </w:rPr>
        <w:t>.</w:t>
      </w:r>
    </w:p>
  </w:footnote>
  <w:footnote w:id="3335">
    <w:p w14:paraId="05436CAF" w14:textId="77777777" w:rsidR="00DF1FC7" w:rsidRDefault="00DF1FC7" w:rsidP="007D6167">
      <w:pPr>
        <w:pStyle w:val="a5"/>
      </w:pPr>
      <w:r>
        <w:rPr>
          <w:rStyle w:val="a7"/>
        </w:rPr>
        <w:footnoteRef/>
      </w:r>
      <w:r>
        <w:rPr>
          <w:rtl/>
        </w:rPr>
        <w:t xml:space="preserve"> </w:t>
      </w:r>
      <w:r w:rsidRPr="00681348">
        <w:rPr>
          <w:rFonts w:cs="Arial"/>
          <w:rtl/>
        </w:rPr>
        <w:t>כתב "תמיד", לאפוקי באקראי בעלמא</w:t>
      </w:r>
      <w:r>
        <w:rPr>
          <w:rFonts w:cs="Arial" w:hint="cs"/>
          <w:rtl/>
        </w:rPr>
        <w:t>, סמ"ע (סק"כ).</w:t>
      </w:r>
    </w:p>
  </w:footnote>
  <w:footnote w:id="3336">
    <w:p w14:paraId="06AD1B44" w14:textId="77777777" w:rsidR="00DF1FC7" w:rsidRDefault="00DF1FC7" w:rsidP="007D6167">
      <w:pPr>
        <w:pStyle w:val="a5"/>
        <w:rPr>
          <w:rtl/>
        </w:rPr>
      </w:pPr>
      <w:r>
        <w:rPr>
          <w:rStyle w:val="a7"/>
        </w:rPr>
        <w:footnoteRef/>
      </w:r>
      <w:r>
        <w:rPr>
          <w:rtl/>
        </w:rPr>
        <w:t xml:space="preserve"> </w:t>
      </w:r>
      <w:r>
        <w:rPr>
          <w:rFonts w:cs="Arial"/>
          <w:rtl/>
        </w:rPr>
        <w:t>ועיין בפסקי הרא"ש (</w:t>
      </w:r>
      <w:r>
        <w:rPr>
          <w:rFonts w:cs="Arial" w:hint="cs"/>
          <w:rtl/>
        </w:rPr>
        <w:t xml:space="preserve">פרק חרש </w:t>
      </w:r>
      <w:r>
        <w:rPr>
          <w:rFonts w:cs="Arial"/>
          <w:rtl/>
        </w:rPr>
        <w:t>סי' ג) ושם תמצא דין עתים שוטה עתים חלומה</w:t>
      </w:r>
      <w:r>
        <w:rPr>
          <w:rFonts w:cs="Arial" w:hint="cs"/>
          <w:rtl/>
        </w:rPr>
        <w:t>...</w:t>
      </w:r>
      <w:r w:rsidRPr="00705D4B">
        <w:rPr>
          <w:rFonts w:cs="Arial"/>
          <w:rtl/>
        </w:rPr>
        <w:t xml:space="preserve"> ועיין במה שכתבתי בסימן קכ"א (ט.) בדין סימני שוטה</w:t>
      </w:r>
      <w:r>
        <w:rPr>
          <w:rFonts w:cs="Arial" w:hint="cs"/>
          <w:rtl/>
        </w:rPr>
        <w:t>, ב"י (בב"י ובבדה"ב).</w:t>
      </w:r>
      <w:r w:rsidRPr="00EC459D">
        <w:rPr>
          <w:rFonts w:cs="Arial"/>
          <w:rtl/>
        </w:rPr>
        <w:t xml:space="preserve"> </w:t>
      </w:r>
    </w:p>
  </w:footnote>
  <w:footnote w:id="3337">
    <w:p w14:paraId="39FBC131" w14:textId="77777777" w:rsidR="00DF1FC7" w:rsidRDefault="00DF1FC7" w:rsidP="007D6167">
      <w:pPr>
        <w:pStyle w:val="a5"/>
      </w:pPr>
      <w:r>
        <w:rPr>
          <w:rStyle w:val="a7"/>
        </w:rPr>
        <w:footnoteRef/>
      </w:r>
      <w:r>
        <w:rPr>
          <w:rtl/>
        </w:rPr>
        <w:t xml:space="preserve"> </w:t>
      </w:r>
      <w:r>
        <w:rPr>
          <w:rFonts w:hint="cs"/>
          <w:rtl/>
        </w:rPr>
        <w:t xml:space="preserve">וז"ל- </w:t>
      </w:r>
      <w:r>
        <w:rPr>
          <w:rFonts w:cs="Arial"/>
          <w:rtl/>
        </w:rPr>
        <w:t>שאלה. ראובן ושמעון נתחתנו בהדי הדדי ראובן קידש אחותו של שמעון ושמעון קידש אחותו של ראובן והיו הקדושין בשעה אחת אלא שקדם ראובן שהיה /גדול/ בשנים ולאלתר קידש שמעון ולאחר זמן ביקש שמעון לגרש אחותו של ראובן וליתן לה קנס הידוע הנוהג באותו מקום אמר ראובן אף על פי שאתה נותן הקנס אני מגרש אחותך שלא בקנס שעל מנת כן קדשתי אותה והקדושין בשעה אחת נגמרו על דעת זו ושמעון טוען ואומר לא היה בינינו תנאי מעולם אלא שנזדמן שהיו הקדושין בשעה אחת הנה כל מי שהיה שם לא שמע בינינו בשעת הקדושין שום תנאי בעולם היש לראובן זה מן הדין שיגרש אחות שמעון בלא קנס ואם אמר אין אצלי מה שאתן בקנס היש מן הדין לכוף אותו שישאנה או לא</w:t>
      </w:r>
      <w:r>
        <w:rPr>
          <w:rFonts w:cs="Arial" w:hint="cs"/>
          <w:rtl/>
        </w:rPr>
        <w:t xml:space="preserve">.   </w:t>
      </w:r>
      <w:r>
        <w:rPr>
          <w:rFonts w:cs="Arial"/>
          <w:rtl/>
        </w:rPr>
        <w:t xml:space="preserve"> תשובה</w:t>
      </w:r>
      <w:r>
        <w:rPr>
          <w:rFonts w:cs="Arial" w:hint="cs"/>
          <w:rtl/>
        </w:rPr>
        <w:t>-</w:t>
      </w:r>
      <w:r>
        <w:rPr>
          <w:rFonts w:cs="Arial"/>
          <w:rtl/>
        </w:rPr>
        <w:t xml:space="preserve"> אם אין לראובן עדים שיעידו בתנאי זה שהוא טוען אין לו לגרש אחות שמעון עד שיתן קנס עד פרוטה אחרונה לפי מנהג המקום אף על פי ששני הקדושין היו בשעה אחת אלא אם טוען ראובן שהתנה עמו על זה שמעון בתנאי זה קודם ביאת העדים יש להשביע ואחר כך יתן לו הקנס</w:t>
      </w:r>
      <w:r>
        <w:rPr>
          <w:rFonts w:cs="Arial" w:hint="cs"/>
          <w:rtl/>
        </w:rPr>
        <w:t>.</w:t>
      </w:r>
      <w:r>
        <w:rPr>
          <w:rFonts w:cs="Arial"/>
          <w:rtl/>
        </w:rPr>
        <w:t xml:space="preserve"> ואם אין אצל ראובן כופין אותו לישא אותה ואין לו רשות לגרשה אחר הנשואין בלא כתובה משום שאמר המשנה לקתה חייב לרפאתה אמר הרי גיטה וכתובתה תרפא את עצמה רשאי נמצא שאינו רשאי לגרשה אלא אם אמר הרי גיטה וכתובתה אבל שלא בכתובה לא ואם לא קבל עליו את הדין מנדין אותו וכן הדין. יצחק ב"י אלפאס.</w:t>
      </w:r>
    </w:p>
  </w:footnote>
  <w:footnote w:id="3338">
    <w:p w14:paraId="0A2F4534" w14:textId="77777777" w:rsidR="00DF1FC7" w:rsidRDefault="00DF1FC7" w:rsidP="007D6167">
      <w:pPr>
        <w:pStyle w:val="a5"/>
      </w:pPr>
      <w:r>
        <w:rPr>
          <w:rStyle w:val="a7"/>
        </w:rPr>
        <w:footnoteRef/>
      </w:r>
      <w:r>
        <w:rPr>
          <w:rtl/>
        </w:rPr>
        <w:t xml:space="preserve"> </w:t>
      </w:r>
      <w:r w:rsidRPr="0022210A">
        <w:rPr>
          <w:rFonts w:cs="Arial"/>
          <w:rtl/>
        </w:rPr>
        <w:t xml:space="preserve">ואינם נראים דברי סמכא דלא לישתמיט חד מהפוסקים המפורסמים לכתוב כן אפילו ברמז והראיה שהביא מידחיא בגילא דחיטתאה כמבואר למבין וכמה תשובות כתובות בשם הגדולים ואינה שלהם וכדאמרינן בפרק ב' ביבמות (כב.) לאו מר בריה דרבינא חתים עלייהו וכיוצא בזה כתב הרשב"א ז"ל בתשובה אחרת </w:t>
      </w:r>
      <w:r w:rsidRPr="009B7B65">
        <w:rPr>
          <w:rFonts w:cs="Arial"/>
          <w:sz w:val="16"/>
          <w:szCs w:val="16"/>
          <w:rtl/>
        </w:rPr>
        <w:t>(ח"א סי' אלף קסו</w:t>
      </w:r>
      <w:r w:rsidRPr="009B7B65">
        <w:rPr>
          <w:rFonts w:cs="Arial" w:hint="cs"/>
          <w:sz w:val="16"/>
          <w:szCs w:val="16"/>
          <w:rtl/>
        </w:rPr>
        <w:t xml:space="preserve">, וז"ל- </w:t>
      </w:r>
      <w:r w:rsidRPr="009B7B65">
        <w:rPr>
          <w:rFonts w:cs="Arial"/>
          <w:sz w:val="16"/>
          <w:szCs w:val="16"/>
          <w:rtl/>
        </w:rPr>
        <w:t xml:space="preserve">ומה שאמרת שיש בידכם תשובה מהגאון רב חננאל ז"ל שאין חוששין לעדות פסולי רבנן בגירושין כלל. אותה תשובה לא ראינוה ולא שמענוה ולא הגיע' לידינו מעולם ואין אנו יודעין אם הרב ז"ל חתום עליה ובדברים כאלו אין סומכין עליהם בלא ראיה ברורה. והרבה תשובות נכתבו ויצא עליה' שם אחד מן הגדולים אשר בארץ ואולי לא אמרום מעולם. ואל תתמה שאפילו בתלמוד יארע ככה כמו שאמרו ביבמות פ' כיצד (דף כ"ב) ואי כתיבא להיתר' מי הוה סמכא עלייהו אטו מר בריה דרבינא חתי' עלייהו) </w:t>
      </w:r>
      <w:r w:rsidRPr="0022210A">
        <w:rPr>
          <w:rFonts w:cs="Arial"/>
          <w:rtl/>
        </w:rPr>
        <w:t>ועיין בתשובת הריב"ש (סי' צא) שכתבתי בסוף סימן א' (ג:)</w:t>
      </w:r>
      <w:r>
        <w:rPr>
          <w:rFonts w:cs="Arial" w:hint="cs"/>
          <w:rtl/>
        </w:rPr>
        <w:t>, ב"י (בבדה"ב).</w:t>
      </w:r>
    </w:p>
  </w:footnote>
  <w:footnote w:id="3339">
    <w:p w14:paraId="527E8B8B" w14:textId="77777777" w:rsidR="00DF1FC7" w:rsidRDefault="00DF1FC7" w:rsidP="007D6167">
      <w:pPr>
        <w:pStyle w:val="a5"/>
      </w:pPr>
      <w:r>
        <w:rPr>
          <w:rStyle w:val="a7"/>
        </w:rPr>
        <w:footnoteRef/>
      </w:r>
      <w:r>
        <w:rPr>
          <w:rtl/>
        </w:rPr>
        <w:t xml:space="preserve"> </w:t>
      </w:r>
      <w:r w:rsidRPr="00EC459D">
        <w:rPr>
          <w:rFonts w:cs="Arial"/>
          <w:rtl/>
        </w:rPr>
        <w:t>(ז) ועיין לעיל סימן ו' (עמ' מא) דכתב הטור דמכין אותו מכת מרדות:</w:t>
      </w:r>
    </w:p>
  </w:footnote>
  <w:footnote w:id="3340">
    <w:p w14:paraId="5BBC416A" w14:textId="77777777" w:rsidR="00DF1FC7" w:rsidRDefault="00DF1FC7" w:rsidP="007D6167">
      <w:pPr>
        <w:pStyle w:val="a5"/>
        <w:rPr>
          <w:rtl/>
        </w:rPr>
      </w:pPr>
      <w:r>
        <w:rPr>
          <w:rStyle w:val="a7"/>
        </w:rPr>
        <w:footnoteRef/>
      </w:r>
      <w:r>
        <w:rPr>
          <w:rtl/>
        </w:rPr>
        <w:t xml:space="preserve"> </w:t>
      </w:r>
      <w:r w:rsidRPr="00EC459D">
        <w:rPr>
          <w:rFonts w:cs="Arial"/>
          <w:rtl/>
        </w:rPr>
        <w:t>(ח) ובתשובת מוהר"ם פאדו"ה סימן י"ז מתיר כל זמן שלא חלץ אבל לאחר שחלץ אסור אם גס בה כמו בארוס שגירש ארוסתו:</w:t>
      </w:r>
    </w:p>
  </w:footnote>
  <w:footnote w:id="3341">
    <w:p w14:paraId="60266B41"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וישראל עשאוהו אלא שכתבוהו לשון פרסי, רש"י. </w:t>
      </w:r>
    </w:p>
  </w:footnote>
  <w:footnote w:id="3342">
    <w:p w14:paraId="3CED7E18"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או"ז </w:t>
      </w:r>
      <w:r w:rsidRPr="00351B7D">
        <w:rPr>
          <w:rFonts w:asciiTheme="minorBidi" w:hAnsiTheme="minorBidi"/>
          <w:sz w:val="16"/>
          <w:szCs w:val="16"/>
          <w:rtl/>
        </w:rPr>
        <w:t>(סי' תשטו)</w:t>
      </w:r>
      <w:r w:rsidRPr="00351B7D">
        <w:rPr>
          <w:rFonts w:asciiTheme="minorBidi" w:hAnsiTheme="minorBidi"/>
          <w:rtl/>
        </w:rPr>
        <w:t xml:space="preserve"> תרוה"ד </w:t>
      </w:r>
      <w:r w:rsidRPr="00351B7D">
        <w:rPr>
          <w:rFonts w:asciiTheme="minorBidi" w:hAnsiTheme="minorBidi"/>
          <w:sz w:val="16"/>
          <w:szCs w:val="16"/>
          <w:rtl/>
        </w:rPr>
        <w:t>(סי' ר"ל)</w:t>
      </w:r>
      <w:r w:rsidRPr="00351B7D">
        <w:rPr>
          <w:rFonts w:asciiTheme="minorBidi" w:hAnsiTheme="minorBidi"/>
          <w:rtl/>
        </w:rPr>
        <w:t xml:space="preserve"> וכל בו</w:t>
      </w:r>
      <w:r w:rsidRPr="00351B7D">
        <w:rPr>
          <w:rFonts w:asciiTheme="minorBidi" w:hAnsiTheme="minorBidi"/>
          <w:sz w:val="16"/>
          <w:szCs w:val="16"/>
          <w:rtl/>
        </w:rPr>
        <w:t xml:space="preserve"> (סי' עו מז ע"ד)</w:t>
      </w:r>
    </w:p>
  </w:footnote>
  <w:footnote w:id="3343">
    <w:p w14:paraId="7E0B449E"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הדרכ"מ (אות ב) וז"ל- משמע שם דכל הכתיבה צריך להיות בכתב אשורי וכתיבה תמה כמו בספר תורה, וכן הוא בסדר גיטין שלנו (סי' טו סע' א) שצריך ליזהר שיגע כל דבר הצריך ליגע או שלא ליגע כל דבר שאינו ראוי ליגע כספר תורה תפילין ומזוזות. וכ"מ במרדכי בהגהות גיטין (סי' תסז), ועוד האריך בזה מהרא"י בתרוה"ד (סי' רל"ו) ובפסקיו סי' מ"ה, וכ"כ הכלבו. </w:t>
      </w:r>
    </w:p>
  </w:footnote>
  <w:footnote w:id="3344">
    <w:p w14:paraId="115462CE"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ודע דאיכא למירמי תשובה זו דהרא"ש שפוסל בשאינו כתוב בכתיבה אשורית אתשובה אחרת שכתב בכלל הנזכר (סי' יט) שאם כתב וישראל אל"ף למ"ד ביחד דכשר כיון דתינוק קורהו באל"ף למ"ד וההוא ודאי לאו כתב אשורי הוא. וצריך לחלק בין כשכל הגט כתוב בכתב שאינו אשורי להיכא דכולו כתוב אשורי זולת תיבה אחת או אות אחת לבד, אי נמי שאני התם שכתב שאינו אשורי היה בטופס בתיבה שאפילו חסרה כולה לית לן בה, ואע"פ דהרא"ש לא הזכיר טעם זה מכל מקום טעם פשוט הוא אבל אם היה בתורף שמא היה מצריך אחר לכתחלה היכא דאפשר וצ"ע, ב"י.</w:t>
      </w:r>
    </w:p>
  </w:footnote>
  <w:footnote w:id="3345">
    <w:p w14:paraId="6D5F209F"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ובהדיא תנינן גט שכתבו עברית ועדיו יונית יונית ועדיו עברית כשר, ויונית לאו דוקא דהוא הדין לשאר הלשונות, וכדאיתא בפרק המביא תניין האי שטרא פרסאה דחתימי עליה ישראל מגבינן ביה וכו' אי הכי מאי קמ"ל בכל לשון כשר תנינא גט שכתבו עברית ועדיו יונית וכו' מהו דתימא הני מילי לגבי גיטין אבל בעלמא לא קמ"ל אלמא אפילו פרסי [ושאר לשונות] כשר, ובהדיא תניא בתוספתא </w:t>
      </w:r>
      <w:r w:rsidRPr="00351B7D">
        <w:rPr>
          <w:rFonts w:asciiTheme="minorBidi" w:hAnsiTheme="minorBidi"/>
          <w:sz w:val="14"/>
          <w:szCs w:val="14"/>
          <w:rtl/>
        </w:rPr>
        <w:t xml:space="preserve">(גיטין פ"ז ה"י) </w:t>
      </w:r>
      <w:r w:rsidRPr="00351B7D">
        <w:rPr>
          <w:rFonts w:asciiTheme="minorBidi" w:hAnsiTheme="minorBidi"/>
          <w:rtl/>
        </w:rPr>
        <w:t xml:space="preserve">גט שכתבו בחמשה לשונות וחתמו עליו חמשה עדים בחמשה לשונות כשר, ואע"פ שהרמב"ם </w:t>
      </w:r>
      <w:r w:rsidRPr="00351B7D">
        <w:rPr>
          <w:rFonts w:asciiTheme="minorBidi" w:hAnsiTheme="minorBidi"/>
          <w:sz w:val="14"/>
          <w:szCs w:val="14"/>
          <w:rtl/>
        </w:rPr>
        <w:t xml:space="preserve">(הל' גירושין פ"ד ה"ח) </w:t>
      </w:r>
      <w:r w:rsidRPr="00351B7D">
        <w:rPr>
          <w:rFonts w:asciiTheme="minorBidi" w:hAnsiTheme="minorBidi"/>
          <w:rtl/>
        </w:rPr>
        <w:t>והראב"ד גורסים פסול מ"מ לא פסלוהו אלא בכתוב בחמשה לשונות ועדיו בה' לשונות הא באחד מהלשונות כשר, רשב"א.</w:t>
      </w:r>
    </w:p>
  </w:footnote>
  <w:footnote w:id="3346">
    <w:p w14:paraId="75735EE8"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מיגא"ש</w:t>
      </w:r>
      <w:r w:rsidRPr="00351B7D">
        <w:rPr>
          <w:rFonts w:asciiTheme="minorBidi" w:hAnsiTheme="minorBidi"/>
          <w:sz w:val="16"/>
          <w:szCs w:val="16"/>
          <w:rtl/>
        </w:rPr>
        <w:t xml:space="preserve"> (הביאו הרמב"ם)</w:t>
      </w:r>
      <w:r w:rsidRPr="00351B7D">
        <w:rPr>
          <w:rFonts w:asciiTheme="minorBidi" w:hAnsiTheme="minorBidi"/>
          <w:rtl/>
        </w:rPr>
        <w:t xml:space="preserve"> ורמב"ם</w:t>
      </w:r>
      <w:r w:rsidRPr="00351B7D">
        <w:rPr>
          <w:rFonts w:asciiTheme="minorBidi" w:hAnsiTheme="minorBidi"/>
          <w:sz w:val="16"/>
          <w:szCs w:val="16"/>
          <w:rtl/>
        </w:rPr>
        <w:t xml:space="preserve"> (פאר הדור סי' ז, הביאו רי"ו [נ"ב ח"א])</w:t>
      </w:r>
      <w:r w:rsidRPr="00351B7D">
        <w:rPr>
          <w:rFonts w:asciiTheme="minorBidi" w:hAnsiTheme="minorBidi"/>
          <w:rtl/>
        </w:rPr>
        <w:t xml:space="preserve">. </w:t>
      </w:r>
    </w:p>
  </w:footnote>
  <w:footnote w:id="3347">
    <w:p w14:paraId="660CE0E4"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והביא הב"י את דברי מהר"י בן שושא"ן שכ' וז"ל- שמעתי דברי המגמגמים האלה ומ"מ </w:t>
      </w:r>
      <w:r w:rsidRPr="00351B7D">
        <w:rPr>
          <w:rFonts w:asciiTheme="minorBidi" w:hAnsiTheme="minorBidi"/>
          <w:u w:val="single"/>
          <w:rtl/>
        </w:rPr>
        <w:t>לכתחלה</w:t>
      </w:r>
      <w:r w:rsidRPr="00351B7D">
        <w:rPr>
          <w:rFonts w:asciiTheme="minorBidi" w:hAnsiTheme="minorBidi"/>
          <w:rtl/>
        </w:rPr>
        <w:t xml:space="preserve"> כותבין גט בכתב פרובינצא"ל וכן עשה מעשה. וכ' הב"י- ונראה לי שהפריז על מדותיו לכתוב כן לכתחלה דמיחש מיהא בעי לדברי הרא"ש ואור זרוע והכל בו שלא לכתוב גט לכתחלה אלא בכתיבה אשורית מרובעת.</w:t>
      </w:r>
      <w:r w:rsidRPr="00351B7D">
        <w:rPr>
          <w:rFonts w:asciiTheme="minorBidi" w:hAnsiTheme="minorBidi"/>
          <w:color w:val="FF0000"/>
          <w:sz w:val="16"/>
          <w:szCs w:val="16"/>
          <w:rtl/>
        </w:rPr>
        <w:t xml:space="preserve"> (וצל"ע שהרי בשו"ע כ' כדבריו- דלכתח' אפשר לכתוב כתב זה, רק שנהגו לכ' באשורי)</w:t>
      </w:r>
    </w:p>
  </w:footnote>
  <w:footnote w:id="3348">
    <w:p w14:paraId="171C795A"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וצ"ע על נוסח גיטין שלנו שכולו בלשון תרגום וקצת מלות בו בלשון הקודש. ואפשר לחלק בין ב' לשונות אלו ששניהם ניתנו בסיני וקרובים בלשון וכלשון אחת דמיא ועיין לקמן סימן ק"ל בזה, דרכ"מ (אות א).</w:t>
      </w:r>
    </w:p>
  </w:footnote>
  <w:footnote w:id="3349">
    <w:p w14:paraId="3A68221A"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וז"ל הראב"ד- דבר זה מצאו בתוספתא (פ"ז ה"י) ולא כמו שכתב אלא כך אמרו גט שכתבו בחמשה לשונות וחתמו עליו חמשה עדים בחמשה לשונות פסול אבל אם חתמו עליו באחד מן הלשונות לא שמענו ואפשר שהחתימה מצרפן.</w:t>
      </w:r>
    </w:p>
  </w:footnote>
  <w:footnote w:id="3350">
    <w:p w14:paraId="47F0FFF5"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והוא כדעת ב"ש </w:t>
      </w:r>
      <w:r w:rsidRPr="00351B7D">
        <w:rPr>
          <w:rFonts w:asciiTheme="minorBidi" w:hAnsiTheme="minorBidi"/>
          <w:sz w:val="14"/>
          <w:szCs w:val="14"/>
          <w:rtl/>
        </w:rPr>
        <w:t xml:space="preserve">(סי' קכה סקכ"ח) </w:t>
      </w:r>
      <w:r w:rsidRPr="00351B7D">
        <w:rPr>
          <w:rFonts w:asciiTheme="minorBidi" w:hAnsiTheme="minorBidi"/>
          <w:rtl/>
        </w:rPr>
        <w:t xml:space="preserve">ומג"א </w:t>
      </w:r>
      <w:r w:rsidRPr="00351B7D">
        <w:rPr>
          <w:rFonts w:asciiTheme="minorBidi" w:hAnsiTheme="minorBidi"/>
          <w:sz w:val="14"/>
          <w:szCs w:val="14"/>
          <w:rtl/>
        </w:rPr>
        <w:t>(הביאו הב"ש שם)</w:t>
      </w:r>
      <w:r w:rsidRPr="00351B7D">
        <w:rPr>
          <w:rFonts w:asciiTheme="minorBidi" w:hAnsiTheme="minorBidi"/>
          <w:sz w:val="16"/>
          <w:szCs w:val="16"/>
          <w:rtl/>
        </w:rPr>
        <w:t xml:space="preserve"> </w:t>
      </w:r>
      <w:r w:rsidRPr="00351B7D">
        <w:rPr>
          <w:rFonts w:asciiTheme="minorBidi" w:hAnsiTheme="minorBidi"/>
          <w:rtl/>
        </w:rPr>
        <w:t>שרק הכפיפה שבצד שמאל של היו"ד נוגעת אבל היו"ד גופיה אינו נוגע</w:t>
      </w:r>
      <w:r w:rsidRPr="00351B7D">
        <w:rPr>
          <w:rFonts w:asciiTheme="minorBidi" w:hAnsiTheme="minorBidi"/>
          <w:sz w:val="16"/>
          <w:szCs w:val="16"/>
          <w:rtl/>
        </w:rPr>
        <w:t xml:space="preserve"> </w:t>
      </w:r>
      <w:r w:rsidRPr="00351B7D">
        <w:rPr>
          <w:rFonts w:asciiTheme="minorBidi" w:hAnsiTheme="minorBidi"/>
          <w:sz w:val="14"/>
          <w:szCs w:val="14"/>
          <w:rtl/>
        </w:rPr>
        <w:t>(הגוה"ע)</w:t>
      </w:r>
      <w:r w:rsidRPr="00351B7D">
        <w:rPr>
          <w:rFonts w:asciiTheme="minorBidi" w:hAnsiTheme="minorBidi"/>
          <w:rtl/>
        </w:rPr>
        <w:t>.</w:t>
      </w:r>
    </w:p>
  </w:footnote>
  <w:footnote w:id="3351">
    <w:p w14:paraId="039842E8"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הדרכ"מ בשם מהר"י ברי"ן מעשה שנתפשטו האותיות שקורין צו פלאסי"ן עד שהיו נראין כדבוקות מ"מ היה ניכר שלא היה אלא מלחות הדיו שהיה לבן יותר מגוף האות ונתן הגט לכתח'. וכ' עוד בשמו דאין להקפיד אם האריך מ"ם סתומה בסוף השיטה.</w:t>
      </w:r>
    </w:p>
  </w:footnote>
  <w:footnote w:id="3352">
    <w:p w14:paraId="034B7D26"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בית אחיזה לדבר לאחוז בו ולומר הוכיח שעל ידי ספר זה גירשה אפ"ה הוי בית יד ואמרינן מדכתב גט ויהיב גלי דעתיה דבהאי גיטא גירשה, רש"י.</w:t>
      </w:r>
    </w:p>
  </w:footnote>
  <w:footnote w:id="3353">
    <w:p w14:paraId="020CDD7F"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לה בשעת מסירה הרי את מותרת לכל אדם, רש"י. </w:t>
      </w:r>
    </w:p>
  </w:footnote>
  <w:footnote w:id="3354">
    <w:p w14:paraId="4299F794"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להיות בידה לעדות בכל אשר תלך להראות שהיא פנויה, רש"י.</w:t>
      </w:r>
    </w:p>
  </w:footnote>
  <w:footnote w:id="3355">
    <w:p w14:paraId="27BBBA36"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הלכה כר"י או כרבנן, רש"י.</w:t>
      </w:r>
    </w:p>
  </w:footnote>
  <w:footnote w:id="3356">
    <w:p w14:paraId="67E36675"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 שאר דברים הנכתבים בגט כגון די תיהויין וכו' מי הזכירם רבא בתקנה זו, רש"י.</w:t>
      </w:r>
    </w:p>
  </w:footnote>
  <w:footnote w:id="3357">
    <w:p w14:paraId="19DE833A"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גב דלא אזכרינהו רבא בעינן דלכתבינהו, רש"י.</w:t>
      </w:r>
    </w:p>
  </w:footnote>
  <w:footnote w:id="3358">
    <w:p w14:paraId="085D110E"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ודן, בעינן, ומיהו רבא לא הוצרך לתקן אלא אלו כדמפרש ואזיל, רש"י.</w:t>
      </w:r>
    </w:p>
  </w:footnote>
  <w:footnote w:id="3359">
    <w:p w14:paraId="7563F669"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הרי"ף והרא"ש כתבו בעיא זו ומאי שנאמר עליה אלמא דסבירא להו דבעינן ודין דכיון דבעיין לא איפשיטא אם כן מספקא לן אי הלכה כרבי יהודה ומספיקא בעינן למיכתב ודין, ב"י.</w:t>
      </w:r>
    </w:p>
  </w:footnote>
  <w:footnote w:id="3360">
    <w:p w14:paraId="16F1206B"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w:t>
      </w:r>
      <w:r w:rsidRPr="00351B7D">
        <w:rPr>
          <w:rFonts w:asciiTheme="minorBidi" w:hAnsiTheme="minorBidi"/>
          <w:sz w:val="16"/>
          <w:szCs w:val="16"/>
          <w:rtl/>
        </w:rPr>
        <w:t xml:space="preserve">(גיטין מה: סוף דיבור ראשון) </w:t>
      </w:r>
      <w:r w:rsidRPr="00351B7D">
        <w:rPr>
          <w:rFonts w:asciiTheme="minorBidi" w:hAnsiTheme="minorBidi"/>
          <w:rtl/>
        </w:rPr>
        <w:t>ומסתברא דצריך לכתוב ודין בראש הגט או בסופו כדי שיהא מוכיח דאכולה מילתא קאי.</w:t>
      </w:r>
    </w:p>
  </w:footnote>
  <w:footnote w:id="3361">
    <w:p w14:paraId="3B756F87"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הרמב"ם</w:t>
      </w:r>
      <w:r w:rsidRPr="00351B7D">
        <w:rPr>
          <w:rFonts w:asciiTheme="minorBidi" w:hAnsiTheme="minorBidi"/>
          <w:sz w:val="14"/>
          <w:szCs w:val="14"/>
          <w:rtl/>
        </w:rPr>
        <w:t xml:space="preserve"> (פ"א ה"ד)</w:t>
      </w:r>
      <w:r w:rsidRPr="00351B7D">
        <w:rPr>
          <w:rFonts w:asciiTheme="minorBidi" w:hAnsiTheme="minorBidi"/>
          <w:rtl/>
        </w:rPr>
        <w:t xml:space="preserve"> כתב- גופו של גט הרי את מותרת לכל אדם. וכ' הר"ן וז"ל- נראה שהוא פוסק כרבנן לגמרי, ואע"פ שכתב ודין בטופס הגט שכתב בפ"ד (הי"ב) אין הוכחה משם דבעי ליה לעיכובא, ואין זה מחוור.</w:t>
      </w:r>
    </w:p>
  </w:footnote>
  <w:footnote w:id="3362">
    <w:p w14:paraId="234472E6"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דנהי דקיימא לן בודין כרבי יהודה במינאי לא קיימא לן כוותיה כדמשמע בריש נדרים (ה:).</w:t>
      </w:r>
    </w:p>
  </w:footnote>
  <w:footnote w:id="3363">
    <w:p w14:paraId="13F8A7C4"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שלא פירש אלא כתב הבעיא ומה שנאמר עליה סתם משמע דאי קיימא לן כרבי יהודה בכל מה שאמר בהאי מתניתין קיימא לן כוותיה וכי היכי דבעינן ודין מספיקא הכי נמי בעינן מינאי, ב"י.</w:t>
      </w:r>
    </w:p>
  </w:footnote>
  <w:footnote w:id="3364">
    <w:p w14:paraId="4548C53F"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הראב"ד לא הכשיר למעשה רק שכתב דרך אפשר לומר שאם חתמו העדים בא' מן הלשונות שהחתימה מצרפן וכבר הליצו המ"מ והר"ן בעד הרמב"ם וע"כ אין ראוי לכתוב יש מכשירין במקום שבעל הדעת הזאת לא החליט הדבר ואף שנמצא בנוסחאות שלנו כשר נאמנים הם הרמב"ם וראב"ד שהגירסא בתוספתא הוא פסול, ח"מ (סק"ב)</w:t>
      </w:r>
    </w:p>
  </w:footnote>
  <w:footnote w:id="3365">
    <w:p w14:paraId="13C3E0D3"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הרי את מותרת אינו תורף רק הוספה היא, וכ"כ בתשובת רמ"א (סי' קכ"ח וק"ל), ושם (קכ"ז וקכ"ט) כ' דגדול אחד היה חולק עליו, אבל בש"ס משמע הרי את מותרת תורף הוא, ועיין סוף הסימן, ב"ש (סק"ג).</w:t>
      </w:r>
    </w:p>
  </w:footnote>
  <w:footnote w:id="3366">
    <w:p w14:paraId="5C94B772"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ומכ"ש דאין להכשיר בלשון אחר כי מי יכול לסדר נוסח אחד בגט בלשון אחר, ח"מ (סק"ה).</w:t>
      </w:r>
    </w:p>
  </w:footnote>
  <w:footnote w:id="3367">
    <w:p w14:paraId="504E847A"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ודוקא לכתחל' אבל בדיעבד אין לפסול אם כתב החסר מלא או להיפך דהא אין הענין משתנה וכן הוא בסמוך סע' ד' אם כתב שלשה או שמונה מלא כשר, ח"מ (סק"ו) וב"ש (סק"ו).</w:t>
      </w:r>
    </w:p>
  </w:footnote>
  <w:footnote w:id="3368">
    <w:p w14:paraId="6F3D2405"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סמ"ק (סי' קפד עמ' קנ) מרדכי (בהל' הגט סי' תנד) הגה"מ (פ"ד הי"ב) רא"ש (בסדר כתיבת הגט) ורי"ו (ח"ב דנכ"ד רו ע"ד).</w:t>
      </w:r>
    </w:p>
  </w:footnote>
  <w:footnote w:id="3369">
    <w:p w14:paraId="179BBCA5"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יכתוב לשבת כי אז יש למטעי, כגון אם כותב ביום ג', יאמרו יום ב' הוא ועם שבת הוא יום ג', אע"ג דביום א' ליכא טעות מ"מ בשאר ימים איכא טעות ולכן אין כותבין לשבת אפילו ביום א', אבל לירח ליכא טעות </w:t>
      </w:r>
      <w:r w:rsidRPr="00351B7D">
        <w:rPr>
          <w:rFonts w:asciiTheme="minorBidi" w:hAnsiTheme="minorBidi"/>
          <w:sz w:val="16"/>
          <w:szCs w:val="16"/>
          <w:rtl/>
        </w:rPr>
        <w:t>(דרכ"מ אות ו)</w:t>
      </w:r>
      <w:r w:rsidRPr="00351B7D">
        <w:rPr>
          <w:rFonts w:asciiTheme="minorBidi" w:hAnsiTheme="minorBidi"/>
          <w:rtl/>
        </w:rPr>
        <w:t>, ב"ש (סק"ז).</w:t>
      </w:r>
    </w:p>
  </w:footnote>
  <w:footnote w:id="3370">
    <w:p w14:paraId="4CA0BDEA"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בסי' זה, וז"ל השו"ע שם- אם כתב 'ברביעי עשרים יום לירח שבט' ודילג ולא כתב: בשבת, וגם יום רביעי היה כ"א לשבט והוא כתב 'עשרים' הגט כשר.</w:t>
      </w:r>
      <w:r w:rsidRPr="00351B7D">
        <w:rPr>
          <w:rFonts w:asciiTheme="minorBidi" w:hAnsiTheme="minorBidi"/>
          <w:sz w:val="16"/>
          <w:szCs w:val="16"/>
          <w:rtl/>
        </w:rPr>
        <w:t xml:space="preserve"> הגה: ויש חולקין ופוסלין בכה"ג (ריב"ש סי' קי"ז)</w:t>
      </w:r>
      <w:r w:rsidRPr="00351B7D">
        <w:rPr>
          <w:rFonts w:asciiTheme="minorBidi" w:hAnsiTheme="minorBidi"/>
          <w:rtl/>
        </w:rPr>
        <w:t>.</w:t>
      </w:r>
    </w:p>
  </w:footnote>
  <w:footnote w:id="3371">
    <w:p w14:paraId="4DA287C8"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 פרץ</w:t>
      </w:r>
      <w:r w:rsidRPr="00351B7D">
        <w:rPr>
          <w:rFonts w:asciiTheme="minorBidi" w:hAnsiTheme="minorBidi"/>
          <w:sz w:val="16"/>
          <w:szCs w:val="16"/>
          <w:rtl/>
        </w:rPr>
        <w:t xml:space="preserve"> (הביאו הטור)</w:t>
      </w:r>
      <w:r w:rsidRPr="00351B7D">
        <w:rPr>
          <w:rFonts w:asciiTheme="minorBidi" w:hAnsiTheme="minorBidi"/>
          <w:rtl/>
        </w:rPr>
        <w:t xml:space="preserve"> וסדר גיטין</w:t>
      </w:r>
      <w:r w:rsidRPr="00351B7D">
        <w:rPr>
          <w:rFonts w:asciiTheme="minorBidi" w:hAnsiTheme="minorBidi"/>
          <w:sz w:val="16"/>
          <w:szCs w:val="16"/>
          <w:rtl/>
        </w:rPr>
        <w:t xml:space="preserve"> (למהר"י מרגליות סי' י"ט סע' א)</w:t>
      </w:r>
      <w:r w:rsidRPr="00351B7D">
        <w:rPr>
          <w:rFonts w:asciiTheme="minorBidi" w:hAnsiTheme="minorBidi"/>
          <w:rtl/>
        </w:rPr>
        <w:t>.</w:t>
      </w:r>
    </w:p>
  </w:footnote>
  <w:footnote w:id="3372">
    <w:p w14:paraId="6F3FF253"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סדר גיטין</w:t>
      </w:r>
      <w:r w:rsidRPr="00351B7D">
        <w:rPr>
          <w:rFonts w:asciiTheme="minorBidi" w:hAnsiTheme="minorBidi"/>
          <w:sz w:val="16"/>
          <w:szCs w:val="16"/>
          <w:rtl/>
        </w:rPr>
        <w:t xml:space="preserve"> (סי' יז סע' ג)</w:t>
      </w:r>
      <w:r w:rsidRPr="00351B7D">
        <w:rPr>
          <w:rFonts w:asciiTheme="minorBidi" w:hAnsiTheme="minorBidi"/>
          <w:rtl/>
        </w:rPr>
        <w:t xml:space="preserve"> וב"ז </w:t>
      </w:r>
      <w:r w:rsidRPr="00351B7D">
        <w:rPr>
          <w:rFonts w:asciiTheme="minorBidi" w:hAnsiTheme="minorBidi"/>
          <w:sz w:val="16"/>
          <w:szCs w:val="16"/>
          <w:rtl/>
        </w:rPr>
        <w:t>(סי' צ').</w:t>
      </w:r>
    </w:p>
  </w:footnote>
  <w:footnote w:id="3373">
    <w:p w14:paraId="03403EDC"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מהרי"ו </w:t>
      </w:r>
      <w:r w:rsidRPr="00351B7D">
        <w:rPr>
          <w:rFonts w:asciiTheme="minorBidi" w:hAnsiTheme="minorBidi"/>
          <w:sz w:val="16"/>
          <w:szCs w:val="16"/>
          <w:rtl/>
        </w:rPr>
        <w:t>(סי' כ"ז)</w:t>
      </w:r>
      <w:r w:rsidRPr="00351B7D">
        <w:rPr>
          <w:rFonts w:asciiTheme="minorBidi" w:hAnsiTheme="minorBidi"/>
          <w:rtl/>
        </w:rPr>
        <w:t xml:space="preserve"> הגה' מרדכי</w:t>
      </w:r>
      <w:r w:rsidRPr="00351B7D">
        <w:rPr>
          <w:rFonts w:asciiTheme="minorBidi" w:hAnsiTheme="minorBidi"/>
          <w:sz w:val="16"/>
          <w:szCs w:val="16"/>
          <w:rtl/>
        </w:rPr>
        <w:t xml:space="preserve"> (סי' תנד, הביאו הב"י)</w:t>
      </w:r>
      <w:r w:rsidRPr="00351B7D">
        <w:rPr>
          <w:rFonts w:asciiTheme="minorBidi" w:hAnsiTheme="minorBidi"/>
          <w:rtl/>
        </w:rPr>
        <w:t xml:space="preserve"> כל בו </w:t>
      </w:r>
      <w:r w:rsidRPr="00351B7D">
        <w:rPr>
          <w:rFonts w:asciiTheme="minorBidi" w:hAnsiTheme="minorBidi"/>
          <w:sz w:val="16"/>
          <w:szCs w:val="16"/>
          <w:rtl/>
        </w:rPr>
        <w:t xml:space="preserve">(הל' גיטין מח.) </w:t>
      </w:r>
      <w:r w:rsidRPr="00351B7D">
        <w:rPr>
          <w:rFonts w:asciiTheme="minorBidi" w:hAnsiTheme="minorBidi"/>
          <w:rtl/>
        </w:rPr>
        <w:t xml:space="preserve">וסדר גיטין </w:t>
      </w:r>
      <w:r w:rsidRPr="00351B7D">
        <w:rPr>
          <w:rFonts w:asciiTheme="minorBidi" w:hAnsiTheme="minorBidi"/>
          <w:sz w:val="16"/>
          <w:szCs w:val="16"/>
          <w:rtl/>
        </w:rPr>
        <w:t>(סי' טז סע' ג)</w:t>
      </w:r>
      <w:r w:rsidRPr="00351B7D">
        <w:rPr>
          <w:rFonts w:asciiTheme="minorBidi" w:hAnsiTheme="minorBidi"/>
          <w:rtl/>
        </w:rPr>
        <w:t>.</w:t>
      </w:r>
    </w:p>
  </w:footnote>
  <w:footnote w:id="3374">
    <w:p w14:paraId="52B83631"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מהר"י מינץ בסדר גיטין שלו (סי' מח) אם כתב שלושה ושמונה מלא אין הגט נפסל משום זה.</w:t>
      </w:r>
    </w:p>
  </w:footnote>
  <w:footnote w:id="3375">
    <w:p w14:paraId="0003DF75"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משום דבתחלת ספר חגי (א' א') כתיב- ביום אחד לחדש היה דבר ד' ביד חגי וגו'.</w:t>
      </w:r>
    </w:p>
  </w:footnote>
  <w:footnote w:id="3376">
    <w:p w14:paraId="2FA033F7"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משום דבתחלת ספר במדבר סיני (א' א') כתיב- באהל מועד באחד לחדש השני.</w:t>
      </w:r>
    </w:p>
  </w:footnote>
  <w:footnote w:id="3377">
    <w:p w14:paraId="2FF667DE"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הט"ז (סק"ג) וז"ל- והוא תמוה דהא לשני הדרכים כל אחד יש לו סמיכה מקרא ומאן דעביד כחד מינייהו שפיר ולמה יש למנוע לתת גט בר"ח, ונראה דאפילו ביש צורך קצת נותנים גט בר"ח, וכמו שהעיד מו"ח ז"ל. (וכך מסקנת הח"מ [סק"י])</w:t>
      </w:r>
    </w:p>
  </w:footnote>
  <w:footnote w:id="3378">
    <w:p w14:paraId="1AFB8ED9"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וסימנך ימים ימימה, פי' במקום ימים כותבים בה"א, לבוש וט"ז. ובשמנה אין חילוק בכתיבה אלא בקריאה לזכר הנו"ן בקמ"ץ ולנקבה בסג"ל כ"כ בלבוש ובח"מ, ועיין בתוי"ט בטהרות פ"ה כתב לנקבה בקמ"ץ כמו רועה היא, ועיין בד"מ ס"ס קכ"ט מכונה לזכר בסגו"ל ולנקבה בקמ"ץ, ב"ש (סק"ט). אך הפת"ש (סק"ה) הביא את הס' נשמת אדם סוף הל' פסח (אות ל"ז) שכ' בשם מדקדק אחד שדחה ראייתו דזה דוקא בשאר דברים אבל במספר כו' ודברי הלבוש נכונים.</w:t>
      </w:r>
    </w:p>
  </w:footnote>
  <w:footnote w:id="3379">
    <w:p w14:paraId="3FA3D8D6"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כ' "יום" לא מיפסל בדיעבד, ח"מ (סקי"ב) ובאה"ט. ועי' בשו"ת שבס' גבורת אנשים (סי' ז'-ח') בענין אם חסר לגמרי מלת "ימים" רק כתוב בג' לירח פלוני, ודעת הגאון מהר"ר יושע ז"ל דפשיטא דכשר דברוב המקומות כתיב בא' לחדש בעשור לחודש בעשרים לחדש וכיוצא בזה, אך מדברי אא"ז הגאון מהר"ם כ"ץ ז"ל בתשובתו שם נראה שחוכך בזה, דכיון שכתוב בגט ברביעי בשבת בשלשה לירח פלוני איכא למטעי שלשה שבתות לירח ע"ש, ומשמע דמחמשה ואילך גם הוא ז"ל מודה.</w:t>
      </w:r>
    </w:p>
  </w:footnote>
  <w:footnote w:id="3380">
    <w:p w14:paraId="0BC25C34" w14:textId="77777777" w:rsidR="00DF1FC7" w:rsidRPr="00351B7D" w:rsidRDefault="00DF1FC7" w:rsidP="007D6167">
      <w:pPr>
        <w:pStyle w:val="a5"/>
        <w:rPr>
          <w:rFonts w:asciiTheme="minorBidi" w:hAnsiTheme="minorBidi"/>
          <w:color w:val="FF0000"/>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FF0000"/>
          <w:rtl/>
        </w:rPr>
        <w:t>צל"ע על ציון זה שהרי מהרי"ו הוא המכשיר בשעה"ד, אך הב"י מקל יותר מזה.</w:t>
      </w:r>
    </w:p>
  </w:footnote>
  <w:footnote w:id="3381">
    <w:p w14:paraId="3A57F994"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דלפעמים הם כתובין כן ע"פ המסורה, ועוד דהא אין הענין משתנה, ועיין בסדר ר"י מינץ סי' מ"ח, ונראה דה"ה אם כתב שיני ושישי מלא, ואף שלא נמצא במסורה מלא מ"מ אין הענין משתנה במלא וחסר, ח"מ (סקי"ג).</w:t>
      </w:r>
    </w:p>
  </w:footnote>
  <w:footnote w:id="3382">
    <w:p w14:paraId="5C0E6F91"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ובגט פשוט </w:t>
      </w:r>
      <w:r w:rsidRPr="00351B7D">
        <w:rPr>
          <w:rFonts w:asciiTheme="minorBidi" w:hAnsiTheme="minorBidi"/>
          <w:sz w:val="16"/>
          <w:szCs w:val="16"/>
          <w:rtl/>
        </w:rPr>
        <w:t xml:space="preserve">(ס"ק כ"א, הביאו הפת"ש סק"ז) </w:t>
      </w:r>
      <w:r w:rsidRPr="00351B7D">
        <w:rPr>
          <w:rFonts w:asciiTheme="minorBidi" w:hAnsiTheme="minorBidi"/>
          <w:rtl/>
        </w:rPr>
        <w:t>כ'- ויראה דהיינו דכתב נקודות על אותיות י"ב כו' ע"ש. וכ' עוד (סקע"ג) ויש להסתפק אם דוקא כה"ג י"ב לחודש וכיוצא דרגילי אינשי לכתוב או לומר כה"ג אבל אם כתב הגט בי"ז לחדש וכתב ביום טו"ב לחדש לא, ודעתי נוטה דגם בזה יש להכשיר דלפעמים רגילין לכתוב כה"ג בשטרות ואגרות שלומים. גם במספר השנים רגילים לכתוב פסוקים הרומזים למספר השנה כגון שנה זאת תל"ז כותבין שנת תז"ל כטל ועושין ב' נקודות על תיבת תזל וכיוצא בו כותבין בכל שנה ושנה אם אירע שנכתב בגט כיוצא בזה דעתי נוטה דכשר עכ"ד.</w:t>
      </w:r>
    </w:p>
  </w:footnote>
  <w:footnote w:id="3383">
    <w:p w14:paraId="30DAEE7C"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אפי' אינו שעה"ד ולא ניתן הגט, ובלבוש כ'... 'אינו כשר אלא בשעה"ד או אם כבר ניתן הגט'</w:t>
      </w:r>
      <w:r w:rsidRPr="00351B7D">
        <w:rPr>
          <w:rFonts w:asciiTheme="minorBidi" w:hAnsiTheme="minorBidi"/>
          <w:sz w:val="14"/>
          <w:szCs w:val="14"/>
          <w:rtl/>
        </w:rPr>
        <w:t xml:space="preserve"> {גם גבי שמנה מלא}</w:t>
      </w:r>
      <w:r w:rsidRPr="00351B7D">
        <w:rPr>
          <w:rFonts w:asciiTheme="minorBidi" w:hAnsiTheme="minorBidi"/>
          <w:rtl/>
        </w:rPr>
        <w:t>, ב"ש</w:t>
      </w:r>
      <w:r w:rsidRPr="00351B7D">
        <w:rPr>
          <w:rFonts w:asciiTheme="minorBidi" w:hAnsiTheme="minorBidi"/>
          <w:sz w:val="16"/>
          <w:szCs w:val="16"/>
          <w:rtl/>
        </w:rPr>
        <w:t xml:space="preserve"> (סקי"ג)</w:t>
      </w:r>
      <w:r w:rsidRPr="00351B7D">
        <w:rPr>
          <w:rFonts w:asciiTheme="minorBidi" w:hAnsiTheme="minorBidi"/>
          <w:rtl/>
        </w:rPr>
        <w:t xml:space="preserve">. </w:t>
      </w:r>
    </w:p>
    <w:p w14:paraId="59FBD899" w14:textId="77777777" w:rsidR="00DF1FC7" w:rsidRPr="00351B7D" w:rsidRDefault="00DF1FC7" w:rsidP="007D6167">
      <w:pPr>
        <w:pStyle w:val="a5"/>
        <w:rPr>
          <w:rFonts w:asciiTheme="minorBidi" w:hAnsiTheme="minorBidi"/>
          <w:rtl/>
        </w:rPr>
      </w:pPr>
      <w:r w:rsidRPr="00351B7D">
        <w:rPr>
          <w:rFonts w:asciiTheme="minorBidi" w:hAnsiTheme="minorBidi"/>
          <w:rtl/>
        </w:rPr>
        <w:t>ובגט פשוט (סקע"ג) כ' ג"כ דמסתברא מהיות טוב אין מכשירין לתתו לכתחילה וצריך לכתוב אחר כיון דלא נהגו לכתוב בגיטין ר"ת וגמטריאות, אך אם יש קצת דוחק דאין יכולים לכתוב גט אחר נותנים אותו לכתחילה. וכ' עוד שם ויראה דכי היכא דלענין כתיבת הזמן מכשירין אם כתב י"ב במקום שנים עשר ה"ה לענין התנאי בעת מסירה אם אמר לה ה"ז גיטך אם לא באתי מכאן עד י"ב חדש דהוי תנאה שפיר מה שאמר י"ב במקום שנים עשר דלא כנראה מתשו' הר"ש הלוי א"ח סי' ה' שדבריו תמוהים.</w:t>
      </w:r>
    </w:p>
  </w:footnote>
  <w:footnote w:id="3384">
    <w:p w14:paraId="2DB13F59"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אתריה דר' מאיר מונין מנין כלל תחילה ואחר כך פרט, כגון עשרים ואחת עשרים ושתים, ובאתריה דר' יהודה פרט תחילה, שתים ועשרים, שלש ועשרים, רש"י.</w:t>
      </w:r>
    </w:p>
  </w:footnote>
  <w:footnote w:id="3385">
    <w:p w14:paraId="03D8040A"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הביאו הטור.</w:t>
      </w:r>
    </w:p>
  </w:footnote>
  <w:footnote w:id="3386">
    <w:p w14:paraId="111FAAC9"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וכ"כ ההגה' מרדכי </w:t>
      </w:r>
      <w:r w:rsidRPr="00351B7D">
        <w:rPr>
          <w:rFonts w:asciiTheme="minorBidi" w:hAnsiTheme="minorBidi"/>
          <w:sz w:val="16"/>
          <w:szCs w:val="16"/>
          <w:rtl/>
        </w:rPr>
        <w:t xml:space="preserve">(סי' תנד) </w:t>
      </w:r>
      <w:r w:rsidRPr="00351B7D">
        <w:rPr>
          <w:rFonts w:asciiTheme="minorBidi" w:hAnsiTheme="minorBidi"/>
          <w:rtl/>
        </w:rPr>
        <w:t>במניין הימים.</w:t>
      </w:r>
    </w:p>
  </w:footnote>
  <w:footnote w:id="3387">
    <w:p w14:paraId="06E78883"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סדר גיטין</w:t>
      </w:r>
      <w:r w:rsidRPr="00351B7D">
        <w:rPr>
          <w:rFonts w:asciiTheme="minorBidi" w:hAnsiTheme="minorBidi"/>
          <w:sz w:val="16"/>
          <w:szCs w:val="16"/>
          <w:rtl/>
        </w:rPr>
        <w:t xml:space="preserve"> (סי' טז סע' ג וסי' יח) </w:t>
      </w:r>
      <w:r w:rsidRPr="00351B7D">
        <w:rPr>
          <w:rFonts w:asciiTheme="minorBidi" w:hAnsiTheme="minorBidi"/>
          <w:rtl/>
        </w:rPr>
        <w:t xml:space="preserve">מהר"י מינץ </w:t>
      </w:r>
      <w:r w:rsidRPr="00351B7D">
        <w:rPr>
          <w:rFonts w:asciiTheme="minorBidi" w:hAnsiTheme="minorBidi"/>
          <w:sz w:val="16"/>
          <w:szCs w:val="16"/>
          <w:rtl/>
        </w:rPr>
        <w:t>(סי' נג)</w:t>
      </w:r>
      <w:r w:rsidRPr="00351B7D">
        <w:rPr>
          <w:rFonts w:asciiTheme="minorBidi" w:hAnsiTheme="minorBidi"/>
          <w:rtl/>
        </w:rPr>
        <w:t xml:space="preserve"> ומהרי"ו </w:t>
      </w:r>
      <w:r w:rsidRPr="00351B7D">
        <w:rPr>
          <w:rFonts w:asciiTheme="minorBidi" w:hAnsiTheme="minorBidi"/>
          <w:sz w:val="16"/>
          <w:szCs w:val="16"/>
          <w:rtl/>
        </w:rPr>
        <w:t>(סי' עב)</w:t>
      </w:r>
    </w:p>
  </w:footnote>
  <w:footnote w:id="3388">
    <w:p w14:paraId="7B6CB27F"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ומשמע עוד מדברי מהרי"ו (סי' עב) דמעשרים ואילך כותבין ג"כ יום ולא ימים, דרכ"מ (אות יא).</w:t>
      </w:r>
    </w:p>
  </w:footnote>
  <w:footnote w:id="3389">
    <w:p w14:paraId="1408B916"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 פרץ</w:t>
      </w:r>
      <w:r w:rsidRPr="00351B7D">
        <w:rPr>
          <w:rFonts w:asciiTheme="minorBidi" w:hAnsiTheme="minorBidi"/>
          <w:sz w:val="16"/>
          <w:szCs w:val="16"/>
          <w:rtl/>
        </w:rPr>
        <w:t xml:space="preserve"> (הביאו הטור)</w:t>
      </w:r>
      <w:r w:rsidRPr="00351B7D">
        <w:rPr>
          <w:rFonts w:asciiTheme="minorBidi" w:hAnsiTheme="minorBidi"/>
          <w:rtl/>
        </w:rPr>
        <w:t xml:space="preserve"> סדר גיטין </w:t>
      </w:r>
      <w:r w:rsidRPr="00351B7D">
        <w:rPr>
          <w:rFonts w:asciiTheme="minorBidi" w:hAnsiTheme="minorBidi"/>
          <w:sz w:val="16"/>
          <w:szCs w:val="16"/>
          <w:rtl/>
        </w:rPr>
        <w:t>(סי' יח)</w:t>
      </w:r>
      <w:r w:rsidRPr="00351B7D">
        <w:rPr>
          <w:rFonts w:asciiTheme="minorBidi" w:hAnsiTheme="minorBidi"/>
          <w:rtl/>
        </w:rPr>
        <w:t xml:space="preserve"> הגה' מרדכי </w:t>
      </w:r>
      <w:r w:rsidRPr="00351B7D">
        <w:rPr>
          <w:rFonts w:asciiTheme="minorBidi" w:hAnsiTheme="minorBidi"/>
          <w:sz w:val="16"/>
          <w:szCs w:val="16"/>
          <w:rtl/>
        </w:rPr>
        <w:t>(סי' תנד)</w:t>
      </w:r>
      <w:r w:rsidRPr="00351B7D">
        <w:rPr>
          <w:rFonts w:asciiTheme="minorBidi" w:hAnsiTheme="minorBidi"/>
          <w:rtl/>
        </w:rPr>
        <w:t xml:space="preserve"> וטור.</w:t>
      </w:r>
    </w:p>
  </w:footnote>
  <w:footnote w:id="3390">
    <w:p w14:paraId="2DB139B7"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בשנים להיפוך מימים דכותב מנין המועט בל' נקיבה ומנין מרובה בל' זכר, ב"ש (סקי"ד).</w:t>
      </w:r>
    </w:p>
  </w:footnote>
  <w:footnote w:id="3391">
    <w:p w14:paraId="02FFE838" w14:textId="77777777" w:rsidR="00DF1FC7" w:rsidRPr="00351B7D" w:rsidRDefault="00DF1FC7" w:rsidP="007D6167">
      <w:pPr>
        <w:pStyle w:val="a5"/>
        <w:rPr>
          <w:rFonts w:asciiTheme="minorBidi" w:hAnsiTheme="minorBidi"/>
          <w:rtl/>
        </w:rPr>
      </w:pPr>
      <w:r w:rsidRPr="00351B7D">
        <w:rPr>
          <w:rStyle w:val="a7"/>
          <w:rFonts w:asciiTheme="minorBidi" w:hAnsiTheme="minorBidi"/>
          <w:color w:val="FF0000"/>
        </w:rPr>
        <w:footnoteRef/>
      </w:r>
      <w:r w:rsidRPr="00351B7D">
        <w:rPr>
          <w:rFonts w:asciiTheme="minorBidi" w:hAnsiTheme="minorBidi"/>
          <w:color w:val="FF0000"/>
          <w:rtl/>
        </w:rPr>
        <w:t xml:space="preserve"> בציונים נכתב כאן- "כ"מ בטור וכן היא בסדרים", וצ"ע שהרי בטור העתיק את לשון ה"ר פרץ, והוא סובר שבמניין השנים עד עשרים כותב מניין המועט קודם ולאחר עשרים כותב מניין הגדול קודם.</w:t>
      </w:r>
    </w:p>
  </w:footnote>
  <w:footnote w:id="3392">
    <w:p w14:paraId="2E7C4B71"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אפי' לא ניתן ואינו שעת הדחק, ב"ש (סקט"ז). </w:t>
      </w:r>
    </w:p>
  </w:footnote>
  <w:footnote w:id="3393">
    <w:p w14:paraId="7166F023"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הביאו בהגהות בסדר גיטין</w:t>
      </w:r>
      <w:r w:rsidRPr="00351B7D">
        <w:rPr>
          <w:rFonts w:asciiTheme="minorBidi" w:hAnsiTheme="minorBidi"/>
          <w:sz w:val="16"/>
          <w:szCs w:val="16"/>
          <w:rtl/>
        </w:rPr>
        <w:t xml:space="preserve"> (סי' ט"ז הגהה ג)</w:t>
      </w:r>
      <w:r w:rsidRPr="00351B7D">
        <w:rPr>
          <w:rFonts w:asciiTheme="minorBidi" w:hAnsiTheme="minorBidi"/>
          <w:rtl/>
        </w:rPr>
        <w:t>, הביאם הדרכ"מ (אות י).</w:t>
      </w:r>
    </w:p>
  </w:footnote>
  <w:footnote w:id="3394">
    <w:p w14:paraId="15176781"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ופשוט דאם כתב שמונים מלא כשר וכמו בשמנה ועי' סע' ד בהגה, וכ"כ בס' ישועות יעקב ס"ס קנ"ד, פת"ש (סק"ט).</w:t>
      </w:r>
    </w:p>
  </w:footnote>
  <w:footnote w:id="3395">
    <w:p w14:paraId="3DEA6BD9"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הביאו הטור. וכ' הב"י דכן דעת כל הספרים הנזכרים</w:t>
      </w:r>
      <w:r w:rsidRPr="00351B7D">
        <w:rPr>
          <w:rFonts w:asciiTheme="minorBidi" w:hAnsiTheme="minorBidi"/>
          <w:sz w:val="16"/>
          <w:szCs w:val="16"/>
          <w:rtl/>
        </w:rPr>
        <w:t xml:space="preserve"> (היינו סמ"ק מרדכי רא"ש הגה"מ ורי"ו)</w:t>
      </w:r>
      <w:r w:rsidRPr="00351B7D">
        <w:rPr>
          <w:rFonts w:asciiTheme="minorBidi" w:hAnsiTheme="minorBidi"/>
          <w:rtl/>
        </w:rPr>
        <w:t>.</w:t>
      </w:r>
    </w:p>
  </w:footnote>
  <w:footnote w:id="3396">
    <w:p w14:paraId="65382F35"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הרא"ש </w:t>
      </w:r>
      <w:r w:rsidRPr="00351B7D">
        <w:rPr>
          <w:rFonts w:asciiTheme="minorBidi" w:hAnsiTheme="minorBidi"/>
          <w:sz w:val="16"/>
          <w:szCs w:val="16"/>
          <w:rtl/>
        </w:rPr>
        <w:t xml:space="preserve">(כלל מ"ה סי' כב) </w:t>
      </w:r>
      <w:r w:rsidRPr="00351B7D">
        <w:rPr>
          <w:rFonts w:asciiTheme="minorBidi" w:hAnsiTheme="minorBidi"/>
          <w:rtl/>
        </w:rPr>
        <w:t>שנהגו בארצו לכתוב הפוך, דהיינו- 'ביום ראשון לחודש אייר שהוא יום שלשים לחדש ניסן', וכ' עוד דנראה שאין קפידא אם הזכיר תחלה חודש שעבר או חודש הבא.</w:t>
      </w:r>
    </w:p>
  </w:footnote>
  <w:footnote w:id="3397">
    <w:p w14:paraId="3777FA1E"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ר"ת </w:t>
      </w:r>
      <w:r w:rsidRPr="00351B7D">
        <w:rPr>
          <w:rFonts w:asciiTheme="minorBidi" w:hAnsiTheme="minorBidi"/>
          <w:sz w:val="16"/>
          <w:szCs w:val="16"/>
          <w:rtl/>
        </w:rPr>
        <w:t>(תוס' נדרים ס: ד"ה פסק)</w:t>
      </w:r>
      <w:r w:rsidRPr="00351B7D">
        <w:rPr>
          <w:rFonts w:asciiTheme="minorBidi" w:hAnsiTheme="minorBidi"/>
          <w:rtl/>
        </w:rPr>
        <w:t xml:space="preserve"> רשב"א </w:t>
      </w:r>
      <w:r w:rsidRPr="00351B7D">
        <w:rPr>
          <w:rFonts w:asciiTheme="minorBidi" w:hAnsiTheme="minorBidi"/>
          <w:sz w:val="16"/>
          <w:szCs w:val="16"/>
          <w:rtl/>
        </w:rPr>
        <w:t>(נדרים סג: סוד"ה אלא, ובתשו' ח"ו סי' קנא, וכן ב- ח"ג סי' ו)</w:t>
      </w:r>
      <w:r w:rsidRPr="00351B7D">
        <w:rPr>
          <w:rFonts w:asciiTheme="minorBidi" w:hAnsiTheme="minorBidi"/>
          <w:rtl/>
        </w:rPr>
        <w:t xml:space="preserve"> ור"ן </w:t>
      </w:r>
      <w:r w:rsidRPr="00351B7D">
        <w:rPr>
          <w:rFonts w:asciiTheme="minorBidi" w:hAnsiTheme="minorBidi"/>
          <w:sz w:val="16"/>
          <w:szCs w:val="16"/>
          <w:rtl/>
        </w:rPr>
        <w:t>(נדרים ס: ד"ה ומהא)</w:t>
      </w:r>
      <w:r w:rsidRPr="00351B7D">
        <w:rPr>
          <w:rFonts w:asciiTheme="minorBidi" w:hAnsiTheme="minorBidi"/>
          <w:rtl/>
        </w:rPr>
        <w:t>.</w:t>
      </w:r>
    </w:p>
  </w:footnote>
  <w:footnote w:id="3398">
    <w:p w14:paraId="10C32007" w14:textId="77777777" w:rsidR="00DF1FC7" w:rsidRPr="00351B7D" w:rsidRDefault="00DF1FC7" w:rsidP="007D6167">
      <w:pPr>
        <w:spacing w:after="0" w:line="240" w:lineRule="auto"/>
        <w:rPr>
          <w:rFonts w:asciiTheme="minorBidi" w:hAnsiTheme="minorBidi"/>
          <w:sz w:val="20"/>
          <w:szCs w:val="20"/>
          <w:rtl/>
        </w:rPr>
      </w:pPr>
      <w:r w:rsidRPr="00351B7D">
        <w:rPr>
          <w:rStyle w:val="a7"/>
          <w:rFonts w:asciiTheme="minorBidi" w:hAnsiTheme="minorBidi"/>
        </w:rPr>
        <w:footnoteRef/>
      </w:r>
      <w:r w:rsidRPr="00351B7D">
        <w:rPr>
          <w:rFonts w:asciiTheme="minorBidi" w:hAnsiTheme="minorBidi"/>
          <w:sz w:val="20"/>
          <w:szCs w:val="20"/>
          <w:rtl/>
        </w:rPr>
        <w:t xml:space="preserve"> ואם עשה כן השטר מוקדם ופסול, ר"ן. וזאת משום שהשטר נעשה בחודש השני ויאמרו שקודם לכן נעשה, שאין יום ראשון של חודש שני נקרא על שם החודש שעבר בלשון בני אדם </w:t>
      </w:r>
      <w:r w:rsidRPr="00351B7D">
        <w:rPr>
          <w:rFonts w:asciiTheme="minorBidi" w:hAnsiTheme="minorBidi"/>
          <w:sz w:val="16"/>
          <w:szCs w:val="16"/>
          <w:rtl/>
        </w:rPr>
        <w:t>(וכיון דבנדרים הולכין אחר לשון בני אדם ובני אדם ריש ירחא קרו ליה ושטרות דעלמא כנדרים דמו- לשון בני אדם תכריע, ועוד דאפילו תמצא לומר דמיום שני מנינן הוי ליה מאוחר והמאוחרים כשרים)</w:t>
      </w:r>
      <w:r w:rsidRPr="00351B7D">
        <w:rPr>
          <w:rFonts w:asciiTheme="minorBidi" w:hAnsiTheme="minorBidi"/>
          <w:sz w:val="20"/>
          <w:szCs w:val="20"/>
          <w:rtl/>
        </w:rPr>
        <w:t xml:space="preserve">, וביום החודש השני כותב ביום שני לחודש פלוני ומחרתו יום שלישי ואם יכתוב יום שני יפסול משום מוקדם, רשב"א </w:t>
      </w:r>
      <w:r w:rsidRPr="00351B7D">
        <w:rPr>
          <w:rFonts w:asciiTheme="minorBidi" w:hAnsiTheme="minorBidi"/>
          <w:sz w:val="16"/>
          <w:szCs w:val="16"/>
          <w:rtl/>
        </w:rPr>
        <w:t>(ח"ו סי' קנא)</w:t>
      </w:r>
      <w:r w:rsidRPr="00351B7D">
        <w:rPr>
          <w:rFonts w:asciiTheme="minorBidi" w:hAnsiTheme="minorBidi"/>
          <w:sz w:val="20"/>
          <w:szCs w:val="20"/>
          <w:rtl/>
        </w:rPr>
        <w:t xml:space="preserve">. </w:t>
      </w:r>
    </w:p>
  </w:footnote>
  <w:footnote w:id="3399">
    <w:p w14:paraId="28B058D4"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"שאני מסתפק מתוך ההלכה  </w:t>
      </w:r>
      <w:r w:rsidRPr="00351B7D">
        <w:rPr>
          <w:rFonts w:asciiTheme="minorBidi" w:hAnsiTheme="minorBidi"/>
          <w:sz w:val="16"/>
          <w:szCs w:val="16"/>
          <w:rtl/>
        </w:rPr>
        <w:t>{גבי גיטין}</w:t>
      </w:r>
      <w:r w:rsidRPr="00351B7D">
        <w:rPr>
          <w:rFonts w:asciiTheme="minorBidi" w:hAnsiTheme="minorBidi"/>
          <w:rtl/>
        </w:rPr>
        <w:t xml:space="preserve"> שהמאוחרים פסולין כמו המוקדמים", רשב"א </w:t>
      </w:r>
      <w:r w:rsidRPr="00351B7D">
        <w:rPr>
          <w:rFonts w:asciiTheme="minorBidi" w:hAnsiTheme="minorBidi"/>
          <w:sz w:val="16"/>
          <w:szCs w:val="16"/>
          <w:rtl/>
        </w:rPr>
        <w:t>(ח"ו סי' קנא)</w:t>
      </w:r>
      <w:r w:rsidRPr="00351B7D">
        <w:rPr>
          <w:rFonts w:asciiTheme="minorBidi" w:hAnsiTheme="minorBidi"/>
          <w:rtl/>
        </w:rPr>
        <w:t>.</w:t>
      </w:r>
      <w:r w:rsidRPr="00351B7D">
        <w:rPr>
          <w:rFonts w:asciiTheme="minorBidi" w:hAnsiTheme="minorBidi"/>
          <w:sz w:val="16"/>
          <w:szCs w:val="16"/>
          <w:rtl/>
        </w:rPr>
        <w:t xml:space="preserve"> (וגם הרמב"ם פוסל גט מאוחר)</w:t>
      </w:r>
      <w:r w:rsidRPr="00351B7D">
        <w:rPr>
          <w:rFonts w:asciiTheme="minorBidi" w:hAnsiTheme="minorBidi"/>
          <w:rtl/>
        </w:rPr>
        <w:t xml:space="preserve"> </w:t>
      </w:r>
    </w:p>
  </w:footnote>
  <w:footnote w:id="3400">
    <w:p w14:paraId="104C7DE8"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ויש לשים לב שמסקנת ר"ת רשב"א ור"ן היא כד' רבנו פרץ וסיעתו, ז"א שכו"ע מסכימים בצורת הכתיבה של ר"ח ב' ימים בגיטין </w:t>
      </w:r>
      <w:r w:rsidRPr="00351B7D">
        <w:rPr>
          <w:rFonts w:asciiTheme="minorBidi" w:hAnsiTheme="minorBidi"/>
          <w:sz w:val="16"/>
          <w:szCs w:val="16"/>
          <w:rtl/>
        </w:rPr>
        <w:t>(ונ"ל שמסכימין גם בכתיבת שאר הימים באותו חודש, דהיינו שמונים מהיום השני בגיטין, להפך מש"כ הר"ן גבי שטרות שמונים מהיום הראשון)</w:t>
      </w:r>
      <w:r w:rsidRPr="00351B7D">
        <w:rPr>
          <w:rFonts w:asciiTheme="minorBidi" w:hAnsiTheme="minorBidi"/>
          <w:rtl/>
        </w:rPr>
        <w:t xml:space="preserve">. </w:t>
      </w:r>
    </w:p>
  </w:footnote>
  <w:footnote w:id="3401">
    <w:p w14:paraId="6186EC4B"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 </w:t>
      </w:r>
      <w:r w:rsidRPr="00351B7D">
        <w:rPr>
          <w:rFonts w:asciiTheme="minorBidi" w:hAnsiTheme="minorBidi"/>
          <w:sz w:val="16"/>
          <w:szCs w:val="16"/>
          <w:rtl/>
        </w:rPr>
        <w:t xml:space="preserve">[נדרים ס: ד"ה חדש] </w:t>
      </w:r>
      <w:r w:rsidRPr="00351B7D">
        <w:rPr>
          <w:rFonts w:asciiTheme="minorBidi" w:hAnsiTheme="minorBidi"/>
          <w:rtl/>
        </w:rPr>
        <w:t xml:space="preserve">ורא"ש </w:t>
      </w:r>
      <w:r w:rsidRPr="00351B7D">
        <w:rPr>
          <w:rFonts w:asciiTheme="minorBidi" w:hAnsiTheme="minorBidi"/>
          <w:sz w:val="16"/>
          <w:szCs w:val="16"/>
          <w:rtl/>
        </w:rPr>
        <w:t>[נדרים פ"ו ס"א] להב' הב"י</w:t>
      </w:r>
      <w:r w:rsidRPr="00351B7D">
        <w:rPr>
          <w:rFonts w:asciiTheme="minorBidi" w:hAnsiTheme="minorBidi"/>
          <w:rtl/>
        </w:rPr>
        <w:t>).</w:t>
      </w:r>
    </w:p>
  </w:footnote>
  <w:footnote w:id="3402">
    <w:p w14:paraId="1023F03C"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שכתבו שבכתובות ובשטרות כותבין ביום ראש חודש ואין צריך לכתוב ביום שלשים לחודש שעבר שהוא ר"ח פלוני ויש מחמירין לכתוב בגיטין יום שלשים לחודש פלוני שהוא ר"ח פלוני, וכיון שאינו אלא חומרא בעלמא נראה דלא מיפסל אי לא כתביה, ב"י. (ואולי אפ"ל שכן היא דעת הרשב"א</w:t>
      </w:r>
      <w:r w:rsidRPr="00351B7D">
        <w:rPr>
          <w:rFonts w:asciiTheme="minorBidi" w:hAnsiTheme="minorBidi"/>
          <w:sz w:val="16"/>
          <w:szCs w:val="16"/>
          <w:rtl/>
        </w:rPr>
        <w:t xml:space="preserve"> (ח"ג סי' ו, הביאו הב"י)</w:t>
      </w:r>
      <w:r w:rsidRPr="00351B7D">
        <w:rPr>
          <w:rFonts w:asciiTheme="minorBidi" w:hAnsiTheme="minorBidi"/>
          <w:rtl/>
        </w:rPr>
        <w:t xml:space="preserve"> שכ' וז"ל- "ולפיכך לענין גיטין שאני מסתפק מתוך ההלכה שהמאוחרים פסולים כמו המוקדמים הנהגתי לכתוב כך וכך ליום החודש הראשון של חודש פלוני". משמע דנוהג זה לשופרא דמילתא הוא)</w:t>
      </w:r>
    </w:p>
  </w:footnote>
  <w:footnote w:id="3403">
    <w:p w14:paraId="4DC3F25B"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ויראה דיכתוב 'לירח ניסן' וכדלעיל ס"ד, גט פשוט </w:t>
      </w:r>
      <w:r w:rsidRPr="00351B7D">
        <w:rPr>
          <w:rFonts w:asciiTheme="minorBidi" w:hAnsiTheme="minorBidi"/>
          <w:sz w:val="16"/>
          <w:szCs w:val="16"/>
          <w:rtl/>
        </w:rPr>
        <w:t>(סקכ"ט)</w:t>
      </w:r>
      <w:r w:rsidRPr="00351B7D">
        <w:rPr>
          <w:rFonts w:asciiTheme="minorBidi" w:hAnsiTheme="minorBidi"/>
          <w:rtl/>
        </w:rPr>
        <w:t xml:space="preserve">. וכ"כ הח"מ </w:t>
      </w:r>
      <w:r w:rsidRPr="00351B7D">
        <w:rPr>
          <w:rFonts w:asciiTheme="minorBidi" w:hAnsiTheme="minorBidi"/>
          <w:sz w:val="16"/>
          <w:szCs w:val="16"/>
          <w:rtl/>
        </w:rPr>
        <w:t>(סקי"ז)</w:t>
      </w:r>
    </w:p>
  </w:footnote>
  <w:footnote w:id="3404">
    <w:p w14:paraId="71356E9D"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גם כאן, לאו דוקא 'ראש חדש אייר', אלא 'ראש ירח אייר', וכמ"ש בסע' ד', ח"מ </w:t>
      </w:r>
      <w:r w:rsidRPr="00351B7D">
        <w:rPr>
          <w:rFonts w:asciiTheme="minorBidi" w:hAnsiTheme="minorBidi"/>
          <w:sz w:val="16"/>
          <w:szCs w:val="16"/>
          <w:rtl/>
        </w:rPr>
        <w:t>(סקי"ז)</w:t>
      </w:r>
      <w:r w:rsidRPr="00351B7D">
        <w:rPr>
          <w:rFonts w:asciiTheme="minorBidi" w:hAnsiTheme="minorBidi"/>
          <w:rtl/>
        </w:rPr>
        <w:t xml:space="preserve">. אך הפת"ש </w:t>
      </w:r>
      <w:r w:rsidRPr="00351B7D">
        <w:rPr>
          <w:rFonts w:asciiTheme="minorBidi" w:hAnsiTheme="minorBidi"/>
          <w:sz w:val="16"/>
          <w:szCs w:val="16"/>
          <w:rtl/>
        </w:rPr>
        <w:t xml:space="preserve">(סקי"א) </w:t>
      </w:r>
      <w:r w:rsidRPr="00351B7D">
        <w:rPr>
          <w:rFonts w:asciiTheme="minorBidi" w:hAnsiTheme="minorBidi"/>
          <w:rtl/>
        </w:rPr>
        <w:t>כ' דמשמע קצת דלא ישנה לכתוב 'ראש ירח' כיון שנקרא 'ראש חדש' בלשון העולם.</w:t>
      </w:r>
    </w:p>
  </w:footnote>
  <w:footnote w:id="3405">
    <w:p w14:paraId="29E169E8"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דבסעי' ד' פסק דכותבים 'ביום אחד' לירח, כ' ב"ח אם ר"ח רק יום א' אז כותבים 'ביום אחד' שהוא מבורר טפי, וכשר"ח שני ימים לא יכתוב 'ביום אחד' דהוה משמע יום הראשון של ר"ח אלא יכתוב 'באחד' לחודש שלא בא להזכיר אלא מנין הימים שבחדש, </w:t>
      </w:r>
      <w:r w:rsidRPr="00351B7D">
        <w:rPr>
          <w:rFonts w:asciiTheme="minorBidi" w:hAnsiTheme="minorBidi"/>
          <w:color w:val="FF0000"/>
          <w:rtl/>
        </w:rPr>
        <w:t>והרמ"א ע"כ לא ס"ל חילוק זה דאל"כ למה לא כותבין ביום השני דהא ליכא ספק כלל ולכ"ע לא כותבים יום</w:t>
      </w:r>
      <w:r w:rsidRPr="00351B7D">
        <w:rPr>
          <w:rFonts w:asciiTheme="minorBidi" w:hAnsiTheme="minorBidi"/>
          <w:rtl/>
        </w:rPr>
        <w:t>, ב"ש</w:t>
      </w:r>
      <w:r w:rsidRPr="00351B7D">
        <w:rPr>
          <w:rFonts w:asciiTheme="minorBidi" w:hAnsiTheme="minorBidi"/>
          <w:sz w:val="16"/>
          <w:szCs w:val="16"/>
          <w:rtl/>
        </w:rPr>
        <w:t xml:space="preserve"> (סקי"ח)</w:t>
      </w:r>
      <w:r w:rsidRPr="00351B7D">
        <w:rPr>
          <w:rFonts w:asciiTheme="minorBidi" w:hAnsiTheme="minorBidi"/>
          <w:rtl/>
        </w:rPr>
        <w:t>.</w:t>
      </w:r>
    </w:p>
  </w:footnote>
  <w:footnote w:id="3406">
    <w:p w14:paraId="47A8C046"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ונחלקו האחרונים בטעם מנהג זה:</w:t>
      </w:r>
    </w:p>
    <w:p w14:paraId="2FE512D9" w14:textId="77777777" w:rsidR="00DF1FC7" w:rsidRPr="00351B7D" w:rsidRDefault="00DF1FC7" w:rsidP="00B75458">
      <w:pPr>
        <w:pStyle w:val="a5"/>
        <w:numPr>
          <w:ilvl w:val="0"/>
          <w:numId w:val="220"/>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(סק"כ)</w:t>
      </w:r>
      <w:r w:rsidRPr="00351B7D">
        <w:rPr>
          <w:rFonts w:asciiTheme="minorBidi" w:hAnsiTheme="minorBidi"/>
          <w:rtl/>
        </w:rPr>
        <w:t xml:space="preserve">- דיש פלוגתא בין הפוסקים כמו שהעתיק הב"י דעת הרשב"א והר"ן והרא"ש. </w:t>
      </w:r>
      <w:r w:rsidRPr="00351B7D">
        <w:rPr>
          <w:rFonts w:asciiTheme="minorBidi" w:hAnsiTheme="minorBidi"/>
          <w:color w:val="FF0000"/>
          <w:rtl/>
        </w:rPr>
        <w:t>(וצל"ע, שהרי אין פלוגתא בניהם כשכותב כמו שצריך (ביום שלשים לחדש ניסן שהוא ראש חדש אייר), וגם הב"ש הקשה עליו)</w:t>
      </w:r>
    </w:p>
    <w:p w14:paraId="0210EB5F" w14:textId="77777777" w:rsidR="00DF1FC7" w:rsidRPr="00351B7D" w:rsidRDefault="00DF1FC7" w:rsidP="00B75458">
      <w:pPr>
        <w:pStyle w:val="a5"/>
        <w:numPr>
          <w:ilvl w:val="0"/>
          <w:numId w:val="220"/>
        </w:numPr>
        <w:rPr>
          <w:rFonts w:asciiTheme="minorBidi" w:hAnsiTheme="minorBidi"/>
        </w:rPr>
      </w:pPr>
      <w:r w:rsidRPr="00351B7D">
        <w:rPr>
          <w:rFonts w:asciiTheme="minorBidi" w:hAnsiTheme="minorBidi"/>
          <w:rtl/>
        </w:rPr>
        <w:t>ב"ש</w:t>
      </w:r>
      <w:r w:rsidRPr="00351B7D">
        <w:rPr>
          <w:rFonts w:asciiTheme="minorBidi" w:hAnsiTheme="minorBidi"/>
          <w:sz w:val="16"/>
          <w:szCs w:val="16"/>
          <w:rtl/>
        </w:rPr>
        <w:t xml:space="preserve"> (סקי"ח)</w:t>
      </w:r>
      <w:r w:rsidRPr="00351B7D">
        <w:rPr>
          <w:rFonts w:asciiTheme="minorBidi" w:hAnsiTheme="minorBidi"/>
          <w:rtl/>
        </w:rPr>
        <w:t xml:space="preserve">- משום דצריך לכתוב שהוא יום ל' לחדש העבר ושמא יאמרו מוקדם הוא.  </w:t>
      </w:r>
    </w:p>
    <w:p w14:paraId="5E225B80" w14:textId="77777777" w:rsidR="00DF1FC7" w:rsidRPr="00351B7D" w:rsidRDefault="00DF1FC7" w:rsidP="00B75458">
      <w:pPr>
        <w:pStyle w:val="a5"/>
        <w:numPr>
          <w:ilvl w:val="0"/>
          <w:numId w:val="220"/>
        </w:numPr>
        <w:rPr>
          <w:rFonts w:asciiTheme="minorBidi" w:hAnsiTheme="minorBidi"/>
        </w:rPr>
      </w:pPr>
      <w:r w:rsidRPr="00351B7D">
        <w:rPr>
          <w:rFonts w:asciiTheme="minorBidi" w:hAnsiTheme="minorBidi"/>
          <w:rtl/>
        </w:rPr>
        <w:t>ט"ז</w:t>
      </w:r>
      <w:r w:rsidRPr="00351B7D">
        <w:rPr>
          <w:rFonts w:asciiTheme="minorBidi" w:hAnsiTheme="minorBidi"/>
          <w:sz w:val="16"/>
          <w:szCs w:val="16"/>
          <w:rtl/>
        </w:rPr>
        <w:t xml:space="preserve"> (סק"ח)</w:t>
      </w:r>
      <w:r w:rsidRPr="00351B7D">
        <w:rPr>
          <w:rFonts w:asciiTheme="minorBidi" w:hAnsiTheme="minorBidi"/>
          <w:rtl/>
        </w:rPr>
        <w:t xml:space="preserve">- חששא בעלמא כמו בסע' ד, לכן אם יש צורך קצת כותבים ונותנים </w:t>
      </w:r>
      <w:r w:rsidRPr="00351B7D">
        <w:rPr>
          <w:rFonts w:asciiTheme="minorBidi" w:hAnsiTheme="minorBidi"/>
          <w:sz w:val="16"/>
          <w:szCs w:val="16"/>
          <w:rtl/>
        </w:rPr>
        <w:t>(הט"ז כ' על דברי הרמ"א כאן- "איני יודע למה חזר לכתוב דבר זה אחר שכתבו בסע' ד", משמע שדעתו כמו שכתבתי)</w:t>
      </w:r>
      <w:r w:rsidRPr="00351B7D">
        <w:rPr>
          <w:rFonts w:asciiTheme="minorBidi" w:hAnsiTheme="minorBidi"/>
          <w:rtl/>
        </w:rPr>
        <w:t xml:space="preserve">. </w:t>
      </w:r>
    </w:p>
  </w:footnote>
  <w:footnote w:id="3407">
    <w:p w14:paraId="671D1BFC"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רא"ש </w:t>
      </w:r>
      <w:r w:rsidRPr="00351B7D">
        <w:rPr>
          <w:rFonts w:asciiTheme="minorBidi" w:hAnsiTheme="minorBidi"/>
          <w:sz w:val="16"/>
          <w:szCs w:val="16"/>
          <w:rtl/>
        </w:rPr>
        <w:t xml:space="preserve">(פ"ו ס"ב) </w:t>
      </w:r>
      <w:r w:rsidRPr="00351B7D">
        <w:rPr>
          <w:rFonts w:asciiTheme="minorBidi" w:hAnsiTheme="minorBidi"/>
          <w:rtl/>
        </w:rPr>
        <w:t xml:space="preserve">ור"ן </w:t>
      </w:r>
      <w:r w:rsidRPr="00351B7D">
        <w:rPr>
          <w:rFonts w:asciiTheme="minorBidi" w:hAnsiTheme="minorBidi"/>
          <w:sz w:val="16"/>
          <w:szCs w:val="16"/>
          <w:rtl/>
        </w:rPr>
        <w:t>(שם סג: ד"ה ולענין).</w:t>
      </w:r>
    </w:p>
  </w:footnote>
  <w:footnote w:id="3408">
    <w:p w14:paraId="62C78543"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הילכך מי שכתב</w:t>
      </w:r>
      <w:r w:rsidRPr="00351B7D">
        <w:rPr>
          <w:rFonts w:asciiTheme="minorBidi" w:hAnsiTheme="minorBidi"/>
          <w:sz w:val="16"/>
          <w:szCs w:val="16"/>
          <w:rtl/>
        </w:rPr>
        <w:t xml:space="preserve"> {באדר שני}</w:t>
      </w:r>
      <w:r w:rsidRPr="00351B7D">
        <w:rPr>
          <w:rFonts w:asciiTheme="minorBidi" w:hAnsiTheme="minorBidi"/>
          <w:rtl/>
        </w:rPr>
        <w:t xml:space="preserve"> אדר סתם השטר מוקדם ופסול דסתם אדר ראשון משמע, ר"ן.</w:t>
      </w:r>
    </w:p>
  </w:footnote>
  <w:footnote w:id="3409">
    <w:p w14:paraId="1B5038B4"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הדרכ"מ </w:t>
      </w:r>
      <w:r w:rsidRPr="00351B7D">
        <w:rPr>
          <w:rFonts w:asciiTheme="minorBidi" w:hAnsiTheme="minorBidi"/>
          <w:sz w:val="16"/>
          <w:szCs w:val="16"/>
          <w:rtl/>
        </w:rPr>
        <w:t xml:space="preserve">(אות יב) </w:t>
      </w:r>
      <w:r w:rsidRPr="00351B7D">
        <w:rPr>
          <w:rFonts w:asciiTheme="minorBidi" w:hAnsiTheme="minorBidi"/>
          <w:rtl/>
        </w:rPr>
        <w:t xml:space="preserve">דכן נראה מדברי השו"ע בחו"מ סי' מג </w:t>
      </w:r>
      <w:r w:rsidRPr="00351B7D">
        <w:rPr>
          <w:rFonts w:asciiTheme="minorBidi" w:hAnsiTheme="minorBidi"/>
          <w:sz w:val="16"/>
          <w:szCs w:val="16"/>
          <w:rtl/>
        </w:rPr>
        <w:t xml:space="preserve">(סכ"ח) </w:t>
      </w:r>
      <w:r w:rsidRPr="00351B7D">
        <w:rPr>
          <w:rFonts w:asciiTheme="minorBidi" w:hAnsiTheme="minorBidi"/>
          <w:rtl/>
        </w:rPr>
        <w:t>לענין שטרות דסתם אדר הוא הראשון, וכ"כ באו"ח סי' תכח בהדיא.</w:t>
      </w:r>
    </w:p>
  </w:footnote>
  <w:footnote w:id="3410">
    <w:p w14:paraId="6F9C114D"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דברים אלו לא כ' הרמב"ם בפירוש, אלא משמע מדבריו שפסק כר' מאיר, ואם פסק כר' מאיר אז כך צריך לכתוב.</w:t>
      </w:r>
    </w:p>
  </w:footnote>
  <w:footnote w:id="3411">
    <w:p w14:paraId="5150B4DA"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 פרץ</w:t>
      </w:r>
      <w:r w:rsidRPr="00351B7D">
        <w:rPr>
          <w:rFonts w:asciiTheme="minorBidi" w:hAnsiTheme="minorBidi"/>
          <w:sz w:val="16"/>
          <w:szCs w:val="16"/>
          <w:rtl/>
        </w:rPr>
        <w:t xml:space="preserve"> (הביאו הטור)</w:t>
      </w:r>
      <w:r w:rsidRPr="00351B7D">
        <w:rPr>
          <w:rFonts w:asciiTheme="minorBidi" w:hAnsiTheme="minorBidi"/>
          <w:rtl/>
        </w:rPr>
        <w:t xml:space="preserve"> מרדכי </w:t>
      </w:r>
      <w:r w:rsidRPr="00351B7D">
        <w:rPr>
          <w:rFonts w:asciiTheme="minorBidi" w:hAnsiTheme="minorBidi"/>
          <w:sz w:val="16"/>
          <w:szCs w:val="16"/>
          <w:rtl/>
        </w:rPr>
        <w:t xml:space="preserve">(גיטין סי' תנד) </w:t>
      </w:r>
      <w:r w:rsidRPr="00351B7D">
        <w:rPr>
          <w:rFonts w:asciiTheme="minorBidi" w:hAnsiTheme="minorBidi"/>
          <w:rtl/>
        </w:rPr>
        <w:t xml:space="preserve">סדר גיטין </w:t>
      </w:r>
      <w:r w:rsidRPr="00351B7D">
        <w:rPr>
          <w:rFonts w:asciiTheme="minorBidi" w:hAnsiTheme="minorBidi"/>
          <w:sz w:val="16"/>
          <w:szCs w:val="16"/>
          <w:rtl/>
        </w:rPr>
        <w:t>(סי' יז סע' א)</w:t>
      </w:r>
      <w:r w:rsidRPr="00351B7D">
        <w:rPr>
          <w:rFonts w:asciiTheme="minorBidi" w:hAnsiTheme="minorBidi"/>
          <w:rtl/>
        </w:rPr>
        <w:t xml:space="preserve"> וטור.</w:t>
      </w:r>
    </w:p>
  </w:footnote>
  <w:footnote w:id="3412">
    <w:p w14:paraId="2036EF08"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אע"ג דרוב הגט בלשון תרגום הוא, מ"מ זמן כותבים בל' עברי שני ימים ולא תרי יומין, ול' עברי היא ל' קרא, ע"פ ב"ש (סקכ"א).</w:t>
      </w:r>
    </w:p>
  </w:footnote>
  <w:footnote w:id="3413">
    <w:p w14:paraId="767CC598"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ונ"ל שאין זה סותר למה שכתב מהרי"ק בשורש קס"ב 'שימחא' באל"ף כלשון התרגום, שכל אחד נדרש לפי מקומו 'שימחא' כתוב אצל לשון תרגום- ואינש לא ימחא בידיכי, אבל כסלו כתוב אצל לשון עברי בשני ימים לירח כסלו, ב"י.</w:t>
      </w:r>
    </w:p>
  </w:footnote>
  <w:footnote w:id="3414">
    <w:p w14:paraId="2BB54132"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בהערה לסדר הגט </w:t>
      </w:r>
      <w:r w:rsidRPr="00351B7D">
        <w:rPr>
          <w:rFonts w:asciiTheme="minorBidi" w:hAnsiTheme="minorBidi"/>
          <w:sz w:val="16"/>
          <w:szCs w:val="16"/>
          <w:rtl/>
        </w:rPr>
        <w:t xml:space="preserve">(סי' י"ז) </w:t>
      </w:r>
      <w:r w:rsidRPr="00351B7D">
        <w:rPr>
          <w:rFonts w:asciiTheme="minorBidi" w:hAnsiTheme="minorBidi"/>
          <w:rtl/>
        </w:rPr>
        <w:t>הקשה דזה סותר למש"כ המהרי"ל גופיה בשו"ת סי' קפ"ט דמסקנת רבותינו שבאושטרייך דאייר בשני יודי"ן ושכן נכתב בגיטין דידיה ע"פ מורו</w:t>
      </w:r>
      <w:r w:rsidRPr="00351B7D">
        <w:rPr>
          <w:rFonts w:asciiTheme="minorBidi" w:hAnsiTheme="minorBidi"/>
          <w:sz w:val="16"/>
          <w:szCs w:val="16"/>
          <w:rtl/>
        </w:rPr>
        <w:t xml:space="preserve"> (הגוה"ע אות נט)</w:t>
      </w:r>
      <w:r w:rsidRPr="00351B7D">
        <w:rPr>
          <w:rFonts w:asciiTheme="minorBidi" w:hAnsiTheme="minorBidi"/>
          <w:rtl/>
        </w:rPr>
        <w:t>. וכ' הב"ש (סקכ"א) דהשו"ע השמיט דעתו בזה משום דס"ל דאין ליתן ב' גיטין אלא מחמת הדחק, ואז כשר לכתוב בשני יודין ועדיף טפי, דהא אין כותבים שני גיטין אלא בדוחק.</w:t>
      </w:r>
    </w:p>
  </w:footnote>
  <w:footnote w:id="3415">
    <w:p w14:paraId="6392E112"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בשו"ת מהרי"ל</w:t>
      </w:r>
      <w:r w:rsidRPr="00351B7D">
        <w:rPr>
          <w:rFonts w:asciiTheme="minorBidi" w:hAnsiTheme="minorBidi"/>
          <w:sz w:val="16"/>
          <w:szCs w:val="16"/>
          <w:rtl/>
        </w:rPr>
        <w:t xml:space="preserve"> (סי' קפ"ט) </w:t>
      </w:r>
      <w:r w:rsidRPr="00351B7D">
        <w:rPr>
          <w:rFonts w:asciiTheme="minorBidi" w:hAnsiTheme="minorBidi"/>
          <w:rtl/>
        </w:rPr>
        <w:t>איתא שמה"ר הלל היה נמנע מלתת גט באייר, ונראה שהוא המכונה 'יש נמנעין'</w:t>
      </w:r>
      <w:r w:rsidRPr="00351B7D">
        <w:rPr>
          <w:rFonts w:asciiTheme="minorBidi" w:hAnsiTheme="minorBidi"/>
          <w:sz w:val="16"/>
          <w:szCs w:val="16"/>
          <w:rtl/>
        </w:rPr>
        <w:t xml:space="preserve"> (הגוה"ע שם)</w:t>
      </w:r>
      <w:r w:rsidRPr="00351B7D">
        <w:rPr>
          <w:rFonts w:asciiTheme="minorBidi" w:hAnsiTheme="minorBidi"/>
          <w:rtl/>
        </w:rPr>
        <w:t>.</w:t>
      </w:r>
    </w:p>
  </w:footnote>
  <w:footnote w:id="3416">
    <w:p w14:paraId="14D15B70"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בסדר הגט של ר"י מינץ בסי' נ"א כ' 'אדר הראשון' בה"א הידיעה, כמו 'אדר השני', וכן הוא בהגהת מנהגים, ח"מ (סקכ"א). וכן הוא בטור בשם רבנו פרץ ובמרדכי.</w:t>
      </w:r>
    </w:p>
  </w:footnote>
  <w:footnote w:id="3417">
    <w:p w14:paraId="3EADA0BE"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ס"ל לרוב הפוסקים</w:t>
      </w:r>
      <w:r w:rsidRPr="00351B7D">
        <w:rPr>
          <w:rFonts w:asciiTheme="minorBidi" w:hAnsiTheme="minorBidi"/>
          <w:sz w:val="16"/>
          <w:szCs w:val="16"/>
          <w:rtl/>
        </w:rPr>
        <w:t xml:space="preserve"> (סה"ת ראב"ד אגודה בשם ר"י מרדכי רא"ש ר"ן רי"ו, ואף בדברי הרמב"ם יש לומר כן לפי חילוף הגירסאות, ח"מ [סקכ"ב])</w:t>
      </w:r>
      <w:r w:rsidRPr="00351B7D">
        <w:rPr>
          <w:rFonts w:asciiTheme="minorBidi" w:hAnsiTheme="minorBidi"/>
          <w:rtl/>
        </w:rPr>
        <w:t xml:space="preserve"> וכ"כ באו"ח סי' תכז בהג"ה, ובחו"מ סי' מג סע' כ"ח, ואין חילוק בין אם ידע שהוא מעובר ובין אם לא ידע, וביו"ד סי' ר"כ סע' ח' הביא המחבר ד' הרמב"ם דמחלק בין אם ידע</w:t>
      </w:r>
      <w:r w:rsidRPr="00351B7D">
        <w:rPr>
          <w:rFonts w:asciiTheme="minorBidi" w:hAnsiTheme="minorBidi"/>
          <w:sz w:val="16"/>
          <w:szCs w:val="16"/>
          <w:rtl/>
        </w:rPr>
        <w:t xml:space="preserve"> {כשנדר}</w:t>
      </w:r>
      <w:r w:rsidRPr="00351B7D">
        <w:rPr>
          <w:rFonts w:asciiTheme="minorBidi" w:hAnsiTheme="minorBidi"/>
          <w:rtl/>
        </w:rPr>
        <w:t xml:space="preserve"> ובין אם לא ידע, ועיין בש"ך שם </w:t>
      </w:r>
      <w:r w:rsidRPr="00351B7D">
        <w:rPr>
          <w:rFonts w:asciiTheme="minorBidi" w:hAnsiTheme="minorBidi"/>
          <w:sz w:val="16"/>
          <w:szCs w:val="16"/>
          <w:rtl/>
        </w:rPr>
        <w:t>(סקי"ז)</w:t>
      </w:r>
      <w:r w:rsidRPr="00351B7D">
        <w:rPr>
          <w:rFonts w:asciiTheme="minorBidi" w:hAnsiTheme="minorBidi"/>
          <w:rtl/>
        </w:rPr>
        <w:t xml:space="preserve"> דהקשה למה לא חשש כן לד' הרמב"ם, וב"ח פסק ג"כ אם ידע שהוא מעובר ספק גט הוא ואין להקל</w:t>
      </w:r>
      <w:r w:rsidRPr="00351B7D">
        <w:rPr>
          <w:rFonts w:asciiTheme="minorBidi" w:hAnsiTheme="minorBidi"/>
          <w:sz w:val="16"/>
          <w:szCs w:val="16"/>
          <w:rtl/>
        </w:rPr>
        <w:t xml:space="preserve"> {ופסול אפי' בשעה"ד}</w:t>
      </w:r>
      <w:r w:rsidRPr="00351B7D">
        <w:rPr>
          <w:rFonts w:asciiTheme="minorBidi" w:hAnsiTheme="minorBidi"/>
          <w:rtl/>
        </w:rPr>
        <w:t xml:space="preserve">, ולולי דבריהם </w:t>
      </w:r>
      <w:r w:rsidRPr="00351B7D">
        <w:rPr>
          <w:rFonts w:asciiTheme="minorBidi" w:hAnsiTheme="minorBidi"/>
          <w:sz w:val="16"/>
          <w:szCs w:val="16"/>
          <w:rtl/>
        </w:rPr>
        <w:t>{של ב"ח וש"ך}</w:t>
      </w:r>
      <w:r w:rsidRPr="00351B7D">
        <w:rPr>
          <w:rFonts w:asciiTheme="minorBidi" w:hAnsiTheme="minorBidi"/>
          <w:rtl/>
        </w:rPr>
        <w:t xml:space="preserve"> היה נראה לומר דקיי"ל כרוב הפוסקים </w:t>
      </w:r>
      <w:r w:rsidRPr="00351B7D">
        <w:rPr>
          <w:rFonts w:asciiTheme="minorBidi" w:hAnsiTheme="minorBidi"/>
          <w:sz w:val="16"/>
          <w:szCs w:val="16"/>
          <w:rtl/>
        </w:rPr>
        <w:t>(דס"ל סתם אדר הוא אדר ראשון ואין חילוק בין אם ידע ובין אם לא ידע, אלא בנדרים שהוא איסור דאו' חשש לדעת הרמב"ם, אבל כאן ליכא איסור דאו' דהא אף להרמב"ם אינו אלא מאוחר, וגם גט מאוחר כשר לרוב הפוסקים לכן לא חשש כאן להביא ד' הרמב"ם)</w:t>
      </w:r>
      <w:r w:rsidRPr="00351B7D">
        <w:rPr>
          <w:rFonts w:asciiTheme="minorBidi" w:hAnsiTheme="minorBidi"/>
          <w:rtl/>
        </w:rPr>
        <w:t xml:space="preserve">, וכ"כ בט"ז </w:t>
      </w:r>
      <w:r w:rsidRPr="00351B7D">
        <w:rPr>
          <w:rFonts w:asciiTheme="minorBidi" w:hAnsiTheme="minorBidi"/>
          <w:sz w:val="14"/>
          <w:szCs w:val="14"/>
          <w:rtl/>
        </w:rPr>
        <w:t>(סק"ט)</w:t>
      </w:r>
      <w:r w:rsidRPr="00351B7D">
        <w:rPr>
          <w:rFonts w:asciiTheme="minorBidi" w:hAnsiTheme="minorBidi"/>
          <w:rtl/>
        </w:rPr>
        <w:t xml:space="preserve">, ב"ש </w:t>
      </w:r>
      <w:r w:rsidRPr="00351B7D">
        <w:rPr>
          <w:rFonts w:asciiTheme="minorBidi" w:hAnsiTheme="minorBidi"/>
          <w:sz w:val="14"/>
          <w:szCs w:val="14"/>
          <w:rtl/>
        </w:rPr>
        <w:t>(סקי"ט)</w:t>
      </w:r>
      <w:r w:rsidRPr="00351B7D">
        <w:rPr>
          <w:rFonts w:asciiTheme="minorBidi" w:hAnsiTheme="minorBidi"/>
          <w:rtl/>
        </w:rPr>
        <w:t>.</w:t>
      </w:r>
    </w:p>
  </w:footnote>
  <w:footnote w:id="3418">
    <w:p w14:paraId="25FC76B0"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דכן רוב הפעמים בתורה, דרכ"מ (אות יב) מצא כן בתיקון ישן.</w:t>
      </w:r>
    </w:p>
  </w:footnote>
  <w:footnote w:id="3419">
    <w:p w14:paraId="6161F35C"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 תורת גיטין </w:t>
      </w:r>
      <w:r w:rsidRPr="00351B7D">
        <w:rPr>
          <w:rFonts w:asciiTheme="minorBidi" w:hAnsiTheme="minorBidi"/>
          <w:sz w:val="16"/>
          <w:szCs w:val="16"/>
          <w:rtl/>
        </w:rPr>
        <w:t xml:space="preserve">(ביאורים סק"ד, הביאו הפת"ש סקי"ג) </w:t>
      </w:r>
      <w:r w:rsidRPr="00351B7D">
        <w:rPr>
          <w:rFonts w:asciiTheme="minorBidi" w:hAnsiTheme="minorBidi"/>
          <w:rtl/>
        </w:rPr>
        <w:t>כ'- קשה לי דמאי שנא מהא דמבואר בב"ש סק"ל דאם נחסר שי"ן של ששי או רי"ש של רביעי דכשר, וה"נ ודאי דלא אפשר לבא לידי טעות, ואפשר שפסלוהו כדי שלא ילמדו מגט זה לכתוב תמיד שלא כדין וכן משמע בתרוה"ד (סי' רל"ג).</w:t>
      </w:r>
    </w:p>
  </w:footnote>
  <w:footnote w:id="3420">
    <w:p w14:paraId="05C1FDD2" w14:textId="77777777" w:rsidR="00DF1FC7" w:rsidRPr="00351B7D" w:rsidRDefault="00DF1FC7" w:rsidP="007D616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וחד תיבה, ב"ש </w:t>
      </w:r>
      <w:r w:rsidRPr="00351B7D">
        <w:rPr>
          <w:rFonts w:asciiTheme="minorBidi" w:hAnsiTheme="minorBidi"/>
          <w:sz w:val="16"/>
          <w:szCs w:val="16"/>
          <w:rtl/>
        </w:rPr>
        <w:t>(סקכ"א)</w:t>
      </w:r>
      <w:r w:rsidRPr="00351B7D">
        <w:rPr>
          <w:rFonts w:asciiTheme="minorBidi" w:hAnsiTheme="minorBidi"/>
          <w:rtl/>
        </w:rPr>
        <w:t xml:space="preserve">. ואם במקום מרחשון כ' חשון כשר בדיעבד, ואם פסק שם מרחשון מר תיבה אחת וחשון תיבה אחרת צ"ע אם יש להכשיר, ואת"ל כשר, אם כתבו בשני שיטין יש להסתפק אם יהיה כשר, גט פשוט </w:t>
      </w:r>
      <w:r w:rsidRPr="00351B7D">
        <w:rPr>
          <w:rFonts w:asciiTheme="minorBidi" w:hAnsiTheme="minorBidi"/>
          <w:sz w:val="16"/>
          <w:szCs w:val="16"/>
          <w:rtl/>
        </w:rPr>
        <w:t>(סקל"ה, הביאו הפת"ש סקי"ב)</w:t>
      </w:r>
      <w:r w:rsidRPr="00351B7D">
        <w:rPr>
          <w:rFonts w:asciiTheme="minorBidi" w:hAnsiTheme="minorBidi"/>
          <w:rtl/>
        </w:rPr>
        <w:t>.</w:t>
      </w:r>
    </w:p>
  </w:footnote>
  <w:footnote w:id="3421">
    <w:p w14:paraId="7E331C41" w14:textId="77777777" w:rsidR="00DF1FC7" w:rsidRPr="00351B7D" w:rsidRDefault="00DF1FC7" w:rsidP="007D616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בתרוה"ד כ' דע"פ התרגום מלא הוא, רק דלית לן למיזל בתר התרגום דנוסח הזמן בגט אנו כותבין בלשון עברי. ומשמע דבדיעבד כשר אם כתב מלא דהא מקצתו בלשון תרגום כשר כמבואר בתחילה הסי', וגם כבר פסק לעיל אם כ' שלשה או שמנה מלא כשר, ח"מ (סקכ"ה). וכ' הב"ש (סקכ"א) דה"ה דיש להכשיר כולם </w:t>
      </w:r>
      <w:r w:rsidRPr="00351B7D">
        <w:rPr>
          <w:rFonts w:asciiTheme="minorBidi" w:hAnsiTheme="minorBidi"/>
          <w:sz w:val="16"/>
          <w:szCs w:val="16"/>
          <w:rtl/>
        </w:rPr>
        <w:t>(אם חיסר את מלא או כתב מלא במקום שהיה צ"ל חסר)</w:t>
      </w:r>
      <w:r w:rsidRPr="00351B7D">
        <w:rPr>
          <w:rFonts w:asciiTheme="minorBidi" w:hAnsiTheme="minorBidi"/>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FF6" w14:textId="77777777" w:rsidR="00DF1FC7" w:rsidRDefault="00DF1FC7" w:rsidP="00A347B3">
    <w:pPr>
      <w:pStyle w:val="af"/>
      <w:rPr>
        <w:color w:val="7F7F7F" w:themeColor="text1" w:themeTint="80"/>
        <w:rtl/>
      </w:rPr>
    </w:pPr>
  </w:p>
  <w:p w14:paraId="117B3160" w14:textId="0D6F0E80"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כו</w:t>
    </w:r>
    <w:r w:rsidRPr="00692E38">
      <w:rPr>
        <w:rFonts w:hint="cs"/>
        <w:color w:val="7F7F7F" w:themeColor="text1" w:themeTint="80"/>
        <w:rtl/>
      </w:rPr>
      <w:t xml:space="preserve"> -</w:t>
    </w:r>
  </w:p>
  <w:p w14:paraId="6A27A1C5" w14:textId="77777777" w:rsidR="00DF1FC7" w:rsidRDefault="00DF1FC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6894" w14:textId="77777777" w:rsidR="00DF1FC7" w:rsidRDefault="00DF1FC7" w:rsidP="00A347B3">
    <w:pPr>
      <w:pStyle w:val="af"/>
      <w:rPr>
        <w:color w:val="7F7F7F" w:themeColor="text1" w:themeTint="80"/>
        <w:rtl/>
      </w:rPr>
    </w:pPr>
  </w:p>
  <w:p w14:paraId="5C67B90D" w14:textId="5B20AAA4"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סה</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2530" w14:textId="77777777" w:rsidR="00DF1FC7" w:rsidRDefault="00DF1FC7" w:rsidP="00A347B3">
    <w:pPr>
      <w:pStyle w:val="af"/>
      <w:rPr>
        <w:color w:val="7F7F7F" w:themeColor="text1" w:themeTint="80"/>
        <w:rtl/>
      </w:rPr>
    </w:pPr>
  </w:p>
  <w:p w14:paraId="52F58079" w14:textId="70B3B57F"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סו</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50A9" w14:textId="77777777" w:rsidR="00DF1FC7" w:rsidRDefault="00DF1FC7" w:rsidP="00A347B3">
    <w:pPr>
      <w:pStyle w:val="af"/>
      <w:rPr>
        <w:color w:val="7F7F7F" w:themeColor="text1" w:themeTint="80"/>
        <w:rtl/>
      </w:rPr>
    </w:pPr>
  </w:p>
  <w:p w14:paraId="32C54FE4"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סז</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EBC1" w14:textId="77777777" w:rsidR="00DF1FC7" w:rsidRDefault="00DF1FC7" w:rsidP="00A347B3">
    <w:pPr>
      <w:pStyle w:val="af"/>
      <w:rPr>
        <w:color w:val="7F7F7F" w:themeColor="text1" w:themeTint="80"/>
        <w:rtl/>
      </w:rPr>
    </w:pPr>
  </w:p>
  <w:p w14:paraId="698C5042"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סח</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A91F" w14:textId="77777777" w:rsidR="00DF1FC7" w:rsidRDefault="00DF1FC7" w:rsidP="00A347B3">
    <w:pPr>
      <w:pStyle w:val="af"/>
      <w:rPr>
        <w:color w:val="7F7F7F" w:themeColor="text1" w:themeTint="80"/>
        <w:rtl/>
      </w:rPr>
    </w:pPr>
  </w:p>
  <w:p w14:paraId="28781375"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סט</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2210" w14:textId="77777777" w:rsidR="00DF1FC7" w:rsidRDefault="00DF1FC7" w:rsidP="00A347B3">
    <w:pPr>
      <w:pStyle w:val="af"/>
      <w:rPr>
        <w:color w:val="7F7F7F" w:themeColor="text1" w:themeTint="80"/>
        <w:rtl/>
      </w:rPr>
    </w:pPr>
  </w:p>
  <w:p w14:paraId="16D36A26"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3D50" w14:textId="77777777" w:rsidR="00DF1FC7" w:rsidRDefault="00DF1FC7" w:rsidP="00A347B3">
    <w:pPr>
      <w:pStyle w:val="af"/>
      <w:rPr>
        <w:color w:val="7F7F7F" w:themeColor="text1" w:themeTint="80"/>
        <w:rtl/>
      </w:rPr>
    </w:pPr>
  </w:p>
  <w:p w14:paraId="6600134E"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עא</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25ED" w14:textId="77777777" w:rsidR="00DF1FC7" w:rsidRDefault="00DF1FC7" w:rsidP="00A347B3">
    <w:pPr>
      <w:pStyle w:val="af"/>
      <w:rPr>
        <w:color w:val="7F7F7F" w:themeColor="text1" w:themeTint="80"/>
        <w:rtl/>
      </w:rPr>
    </w:pPr>
  </w:p>
  <w:p w14:paraId="69B3D7A0"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עב</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1280" w14:textId="77777777" w:rsidR="00DF1FC7" w:rsidRDefault="00DF1FC7" w:rsidP="00A347B3">
    <w:pPr>
      <w:pStyle w:val="af"/>
      <w:rPr>
        <w:color w:val="7F7F7F" w:themeColor="text1" w:themeTint="80"/>
        <w:rtl/>
      </w:rPr>
    </w:pPr>
  </w:p>
  <w:p w14:paraId="1D0687B4"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עג</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F1B6" w14:textId="77777777" w:rsidR="00DF1FC7" w:rsidRDefault="00DF1FC7" w:rsidP="00A347B3">
    <w:pPr>
      <w:pStyle w:val="af"/>
      <w:rPr>
        <w:color w:val="7F7F7F" w:themeColor="text1" w:themeTint="80"/>
        <w:rtl/>
      </w:rPr>
    </w:pPr>
  </w:p>
  <w:p w14:paraId="67029281"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עד</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2D4E" w14:textId="77777777" w:rsidR="00DF1FC7" w:rsidRDefault="00DF1FC7" w:rsidP="00A347B3">
    <w:pPr>
      <w:pStyle w:val="af"/>
      <w:rPr>
        <w:color w:val="7F7F7F" w:themeColor="text1" w:themeTint="80"/>
        <w:rtl/>
      </w:rPr>
    </w:pPr>
  </w:p>
  <w:p w14:paraId="259E00C6" w14:textId="75BC8704"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כז</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36D5" w14:textId="77777777" w:rsidR="00DF1FC7" w:rsidRDefault="00DF1FC7" w:rsidP="00A347B3">
    <w:pPr>
      <w:pStyle w:val="af"/>
      <w:rPr>
        <w:color w:val="7F7F7F" w:themeColor="text1" w:themeTint="80"/>
        <w:rtl/>
      </w:rPr>
    </w:pPr>
  </w:p>
  <w:p w14:paraId="6E0E6CCE"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עה</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9DCC" w14:textId="77777777" w:rsidR="00DF1FC7" w:rsidRDefault="00DF1FC7" w:rsidP="00A347B3">
    <w:pPr>
      <w:pStyle w:val="af"/>
      <w:rPr>
        <w:color w:val="7F7F7F" w:themeColor="text1" w:themeTint="80"/>
        <w:rtl/>
      </w:rPr>
    </w:pPr>
  </w:p>
  <w:p w14:paraId="35924F69"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עו</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8B72" w14:textId="77777777" w:rsidR="00DF1FC7" w:rsidRDefault="00DF1FC7" w:rsidP="00A347B3">
    <w:pPr>
      <w:pStyle w:val="af"/>
      <w:rPr>
        <w:color w:val="7F7F7F" w:themeColor="text1" w:themeTint="80"/>
        <w:rtl/>
      </w:rPr>
    </w:pPr>
  </w:p>
  <w:p w14:paraId="215766C3"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עז</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BDD9" w14:textId="77777777" w:rsidR="00DF1FC7" w:rsidRDefault="00DF1FC7" w:rsidP="00A347B3">
    <w:pPr>
      <w:pStyle w:val="af"/>
      <w:rPr>
        <w:color w:val="7F7F7F" w:themeColor="text1" w:themeTint="80"/>
        <w:rtl/>
      </w:rPr>
    </w:pPr>
  </w:p>
  <w:p w14:paraId="6CC8D697"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עח</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A09D" w14:textId="77777777" w:rsidR="00DF1FC7" w:rsidRDefault="00DF1FC7" w:rsidP="00A347B3">
    <w:pPr>
      <w:pStyle w:val="af"/>
      <w:rPr>
        <w:color w:val="7F7F7F" w:themeColor="text1" w:themeTint="80"/>
        <w:rtl/>
      </w:rPr>
    </w:pPr>
  </w:p>
  <w:p w14:paraId="769E6D17"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עט</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E9C3" w14:textId="77777777" w:rsidR="00DF1FC7" w:rsidRDefault="00DF1FC7" w:rsidP="00A347B3">
    <w:pPr>
      <w:pStyle w:val="af"/>
      <w:rPr>
        <w:color w:val="7F7F7F" w:themeColor="text1" w:themeTint="80"/>
        <w:rtl/>
      </w:rPr>
    </w:pPr>
  </w:p>
  <w:p w14:paraId="4DE7CA30"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657C" w14:textId="77777777" w:rsidR="00DF1FC7" w:rsidRDefault="00DF1FC7" w:rsidP="00A347B3">
    <w:pPr>
      <w:pStyle w:val="af"/>
      <w:rPr>
        <w:color w:val="7F7F7F" w:themeColor="text1" w:themeTint="80"/>
        <w:rtl/>
      </w:rPr>
    </w:pPr>
  </w:p>
  <w:p w14:paraId="1E3F2416"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פא</w:t>
    </w:r>
    <w:r w:rsidRPr="00692E38">
      <w:rPr>
        <w:rFonts w:hint="cs"/>
        <w:color w:val="7F7F7F" w:themeColor="text1" w:themeTint="80"/>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56FC" w14:textId="77777777" w:rsidR="00DF1FC7" w:rsidRDefault="00DF1FC7" w:rsidP="00A347B3">
    <w:pPr>
      <w:pStyle w:val="af"/>
      <w:rPr>
        <w:color w:val="7F7F7F" w:themeColor="text1" w:themeTint="80"/>
        <w:rtl/>
      </w:rPr>
    </w:pPr>
  </w:p>
  <w:p w14:paraId="631CBE76"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פב</w:t>
    </w:r>
    <w:r w:rsidRPr="00692E38">
      <w:rPr>
        <w:rFonts w:hint="cs"/>
        <w:color w:val="7F7F7F" w:themeColor="text1" w:themeTint="80"/>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3ACF" w14:textId="77777777" w:rsidR="00DF1FC7" w:rsidRDefault="00DF1FC7" w:rsidP="00A347B3">
    <w:pPr>
      <w:pStyle w:val="af"/>
      <w:rPr>
        <w:color w:val="7F7F7F" w:themeColor="text1" w:themeTint="80"/>
        <w:rtl/>
      </w:rPr>
    </w:pPr>
  </w:p>
  <w:p w14:paraId="4EAAEE44"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פג</w:t>
    </w:r>
    <w:r w:rsidRPr="00692E38">
      <w:rPr>
        <w:rFonts w:hint="cs"/>
        <w:color w:val="7F7F7F" w:themeColor="text1" w:themeTint="8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E1C5" w14:textId="77777777" w:rsidR="00DF1FC7" w:rsidRDefault="00DF1FC7" w:rsidP="00A347B3">
    <w:pPr>
      <w:pStyle w:val="af"/>
      <w:rPr>
        <w:color w:val="7F7F7F" w:themeColor="text1" w:themeTint="80"/>
        <w:rtl/>
      </w:rPr>
    </w:pPr>
  </w:p>
  <w:p w14:paraId="150A294C"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פד</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AE8A" w14:textId="77777777" w:rsidR="00DF1FC7" w:rsidRDefault="00DF1FC7" w:rsidP="00A347B3">
    <w:pPr>
      <w:pStyle w:val="af"/>
      <w:rPr>
        <w:color w:val="7F7F7F" w:themeColor="text1" w:themeTint="80"/>
        <w:rtl/>
      </w:rPr>
    </w:pPr>
  </w:p>
  <w:p w14:paraId="48FAD3ED" w14:textId="1152BC58"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כט</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C7BA" w14:textId="77777777" w:rsidR="00DF1FC7" w:rsidRDefault="00DF1FC7" w:rsidP="00A347B3">
    <w:pPr>
      <w:pStyle w:val="af"/>
      <w:rPr>
        <w:color w:val="7F7F7F" w:themeColor="text1" w:themeTint="80"/>
        <w:rtl/>
      </w:rPr>
    </w:pPr>
  </w:p>
  <w:p w14:paraId="268EEC82"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פה</w:t>
    </w:r>
    <w:r w:rsidRPr="00692E38">
      <w:rPr>
        <w:rFonts w:hint="cs"/>
        <w:color w:val="7F7F7F" w:themeColor="text1" w:themeTint="80"/>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9532" w14:textId="77777777" w:rsidR="00DF1FC7" w:rsidRDefault="00DF1FC7" w:rsidP="00A347B3">
    <w:pPr>
      <w:pStyle w:val="af"/>
      <w:rPr>
        <w:color w:val="7F7F7F" w:themeColor="text1" w:themeTint="80"/>
        <w:rtl/>
      </w:rPr>
    </w:pPr>
  </w:p>
  <w:p w14:paraId="44DD68F8"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פו</w:t>
    </w:r>
    <w:r w:rsidRPr="00692E38">
      <w:rPr>
        <w:rFonts w:hint="cs"/>
        <w:color w:val="7F7F7F" w:themeColor="text1" w:themeTint="80"/>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C710" w14:textId="77777777" w:rsidR="00DF1FC7" w:rsidRDefault="00DF1FC7" w:rsidP="00A347B3">
    <w:pPr>
      <w:pStyle w:val="af"/>
      <w:rPr>
        <w:color w:val="7F7F7F" w:themeColor="text1" w:themeTint="80"/>
        <w:rtl/>
      </w:rPr>
    </w:pPr>
  </w:p>
  <w:p w14:paraId="3B11554E"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פז</w:t>
    </w:r>
    <w:r w:rsidRPr="00692E38">
      <w:rPr>
        <w:rFonts w:hint="cs"/>
        <w:color w:val="7F7F7F" w:themeColor="text1" w:themeTint="8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32D8" w14:textId="77777777" w:rsidR="00DF1FC7" w:rsidRDefault="00DF1FC7" w:rsidP="00A347B3">
    <w:pPr>
      <w:pStyle w:val="af"/>
      <w:rPr>
        <w:color w:val="7F7F7F" w:themeColor="text1" w:themeTint="80"/>
        <w:rtl/>
      </w:rPr>
    </w:pPr>
  </w:p>
  <w:p w14:paraId="213D587F"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פח</w:t>
    </w:r>
    <w:r w:rsidRPr="00692E38">
      <w:rPr>
        <w:rFonts w:hint="cs"/>
        <w:color w:val="7F7F7F" w:themeColor="text1" w:themeTint="80"/>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E03A" w14:textId="77777777" w:rsidR="00DF1FC7" w:rsidRDefault="00DF1FC7" w:rsidP="00A347B3">
    <w:pPr>
      <w:pStyle w:val="af"/>
      <w:rPr>
        <w:color w:val="7F7F7F" w:themeColor="text1" w:themeTint="80"/>
        <w:rtl/>
      </w:rPr>
    </w:pPr>
  </w:p>
  <w:p w14:paraId="7C3DD494"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פט</w:t>
    </w:r>
    <w:r w:rsidRPr="00692E38">
      <w:rPr>
        <w:rFonts w:hint="cs"/>
        <w:color w:val="7F7F7F" w:themeColor="text1" w:themeTint="80"/>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BF67" w14:textId="77777777" w:rsidR="00DF1FC7" w:rsidRDefault="00DF1FC7" w:rsidP="00A347B3">
    <w:pPr>
      <w:pStyle w:val="af"/>
      <w:rPr>
        <w:color w:val="7F7F7F" w:themeColor="text1" w:themeTint="80"/>
        <w:rtl/>
      </w:rPr>
    </w:pPr>
  </w:p>
  <w:p w14:paraId="561E7DCD"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w:t>
    </w:r>
    <w:r w:rsidRPr="00692E38">
      <w:rPr>
        <w:rFonts w:hint="cs"/>
        <w:color w:val="7F7F7F" w:themeColor="text1" w:themeTint="80"/>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C127B" w14:textId="77777777" w:rsidR="00DF1FC7" w:rsidRDefault="00DF1FC7" w:rsidP="00A347B3">
    <w:pPr>
      <w:pStyle w:val="af"/>
      <w:rPr>
        <w:color w:val="7F7F7F" w:themeColor="text1" w:themeTint="80"/>
        <w:rtl/>
      </w:rPr>
    </w:pPr>
  </w:p>
  <w:p w14:paraId="10EDEB41"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צא</w:t>
    </w:r>
    <w:r w:rsidRPr="00692E38">
      <w:rPr>
        <w:rFonts w:hint="cs"/>
        <w:color w:val="7F7F7F" w:themeColor="text1" w:themeTint="80"/>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7120" w14:textId="77777777" w:rsidR="00DF1FC7" w:rsidRDefault="00DF1FC7" w:rsidP="00A347B3">
    <w:pPr>
      <w:pStyle w:val="af"/>
      <w:rPr>
        <w:color w:val="7F7F7F" w:themeColor="text1" w:themeTint="80"/>
        <w:rtl/>
      </w:rPr>
    </w:pPr>
  </w:p>
  <w:p w14:paraId="190AD9BB" w14:textId="108DB23C"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צב</w:t>
    </w:r>
    <w:r w:rsidRPr="00692E38">
      <w:rPr>
        <w:rFonts w:hint="cs"/>
        <w:color w:val="7F7F7F" w:themeColor="text1" w:themeTint="80"/>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BF3F" w14:textId="77777777" w:rsidR="00DF1FC7" w:rsidRDefault="00DF1FC7" w:rsidP="00A347B3">
    <w:pPr>
      <w:pStyle w:val="af"/>
      <w:rPr>
        <w:color w:val="7F7F7F" w:themeColor="text1" w:themeTint="80"/>
        <w:rtl/>
      </w:rPr>
    </w:pPr>
  </w:p>
  <w:p w14:paraId="5A658723"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צג</w:t>
    </w:r>
    <w:r w:rsidRPr="00692E38">
      <w:rPr>
        <w:rFonts w:hint="cs"/>
        <w:color w:val="7F7F7F" w:themeColor="text1" w:themeTint="80"/>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C962" w14:textId="77777777" w:rsidR="00DF1FC7" w:rsidRDefault="00DF1FC7" w:rsidP="00A347B3">
    <w:pPr>
      <w:pStyle w:val="af"/>
      <w:rPr>
        <w:color w:val="7F7F7F" w:themeColor="text1" w:themeTint="80"/>
        <w:rtl/>
      </w:rPr>
    </w:pPr>
  </w:p>
  <w:p w14:paraId="7BCB8FDC"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צד</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D2D2" w14:textId="77777777" w:rsidR="00DF1FC7" w:rsidRDefault="00DF1FC7" w:rsidP="00A347B3">
    <w:pPr>
      <w:pStyle w:val="af"/>
      <w:rPr>
        <w:color w:val="7F7F7F" w:themeColor="text1" w:themeTint="80"/>
        <w:rtl/>
      </w:rPr>
    </w:pPr>
  </w:p>
  <w:p w14:paraId="7D92844C" w14:textId="12AE652C"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לד</w:t>
    </w:r>
    <w:r w:rsidRPr="00692E38">
      <w:rPr>
        <w:rFonts w:hint="cs"/>
        <w:color w:val="7F7F7F" w:themeColor="text1" w:themeTint="80"/>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AC97" w14:textId="77777777" w:rsidR="00DF1FC7" w:rsidRDefault="00DF1FC7" w:rsidP="00A347B3">
    <w:pPr>
      <w:pStyle w:val="af"/>
      <w:rPr>
        <w:color w:val="7F7F7F" w:themeColor="text1" w:themeTint="80"/>
        <w:rtl/>
      </w:rPr>
    </w:pPr>
  </w:p>
  <w:p w14:paraId="3A3F1F88"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צה</w:t>
    </w:r>
    <w:r w:rsidRPr="00692E38">
      <w:rPr>
        <w:rFonts w:hint="cs"/>
        <w:color w:val="7F7F7F" w:themeColor="text1" w:themeTint="80"/>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170B" w14:textId="77777777" w:rsidR="00DF1FC7" w:rsidRDefault="00DF1FC7" w:rsidP="00A347B3">
    <w:pPr>
      <w:pStyle w:val="af"/>
      <w:rPr>
        <w:color w:val="7F7F7F" w:themeColor="text1" w:themeTint="80"/>
        <w:rtl/>
      </w:rPr>
    </w:pPr>
  </w:p>
  <w:p w14:paraId="5C4FDB95"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צו</w:t>
    </w:r>
    <w:r w:rsidRPr="00692E38">
      <w:rPr>
        <w:rFonts w:hint="cs"/>
        <w:color w:val="7F7F7F" w:themeColor="text1" w:themeTint="80"/>
        <w:rt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7FCF" w14:textId="77777777" w:rsidR="00DF1FC7" w:rsidRDefault="00DF1FC7" w:rsidP="00A347B3">
    <w:pPr>
      <w:pStyle w:val="af"/>
      <w:rPr>
        <w:color w:val="7F7F7F" w:themeColor="text1" w:themeTint="80"/>
        <w:rtl/>
      </w:rPr>
    </w:pPr>
  </w:p>
  <w:p w14:paraId="0E10D3E3"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צז</w:t>
    </w:r>
    <w:r w:rsidRPr="00692E38">
      <w:rPr>
        <w:rFonts w:hint="cs"/>
        <w:color w:val="7F7F7F" w:themeColor="text1" w:themeTint="80"/>
        <w:rt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BC14" w14:textId="77777777" w:rsidR="00DF1FC7" w:rsidRDefault="00DF1FC7" w:rsidP="00A347B3">
    <w:pPr>
      <w:pStyle w:val="af"/>
      <w:rPr>
        <w:color w:val="7F7F7F" w:themeColor="text1" w:themeTint="80"/>
        <w:rtl/>
      </w:rPr>
    </w:pPr>
  </w:p>
  <w:p w14:paraId="1CB718E5"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צח</w:t>
    </w:r>
    <w:r w:rsidRPr="00692E38">
      <w:rPr>
        <w:rFonts w:hint="cs"/>
        <w:color w:val="7F7F7F" w:themeColor="text1" w:themeTint="80"/>
        <w:rt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31E6" w14:textId="77777777" w:rsidR="00DF1FC7" w:rsidRDefault="00DF1FC7" w:rsidP="00A347B3">
    <w:pPr>
      <w:pStyle w:val="af"/>
      <w:rPr>
        <w:color w:val="7F7F7F" w:themeColor="text1" w:themeTint="80"/>
        <w:rtl/>
      </w:rPr>
    </w:pPr>
  </w:p>
  <w:p w14:paraId="3A67FC14"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צט</w:t>
    </w:r>
    <w:r w:rsidRPr="00692E38">
      <w:rPr>
        <w:rFonts w:hint="cs"/>
        <w:color w:val="7F7F7F" w:themeColor="text1" w:themeTint="80"/>
        <w:rt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8940" w14:textId="77777777" w:rsidR="00DF1FC7" w:rsidRDefault="00DF1FC7" w:rsidP="00A347B3">
    <w:pPr>
      <w:pStyle w:val="af"/>
      <w:rPr>
        <w:color w:val="7F7F7F" w:themeColor="text1" w:themeTint="80"/>
        <w:rtl/>
      </w:rPr>
    </w:pPr>
  </w:p>
  <w:p w14:paraId="34AC3EB5"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w:t>
    </w:r>
    <w:r w:rsidRPr="00692E38">
      <w:rPr>
        <w:rFonts w:hint="cs"/>
        <w:color w:val="7F7F7F" w:themeColor="text1" w:themeTint="80"/>
        <w:rt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511A" w14:textId="77777777" w:rsidR="00DF1FC7" w:rsidRDefault="00DF1FC7" w:rsidP="00A347B3">
    <w:pPr>
      <w:pStyle w:val="af"/>
      <w:rPr>
        <w:color w:val="7F7F7F" w:themeColor="text1" w:themeTint="80"/>
        <w:rtl/>
      </w:rPr>
    </w:pPr>
  </w:p>
  <w:p w14:paraId="68961D26"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קא</w:t>
    </w:r>
    <w:r w:rsidRPr="00692E38">
      <w:rPr>
        <w:rFonts w:hint="cs"/>
        <w:color w:val="7F7F7F" w:themeColor="text1" w:themeTint="80"/>
        <w:rtl/>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A947" w14:textId="77777777" w:rsidR="00DF1FC7" w:rsidRDefault="00DF1FC7" w:rsidP="00A347B3">
    <w:pPr>
      <w:pStyle w:val="af"/>
      <w:rPr>
        <w:color w:val="7F7F7F" w:themeColor="text1" w:themeTint="80"/>
        <w:rtl/>
      </w:rPr>
    </w:pPr>
  </w:p>
  <w:p w14:paraId="05A8D812"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קב</w:t>
    </w:r>
    <w:r w:rsidRPr="00692E38">
      <w:rPr>
        <w:rFonts w:hint="cs"/>
        <w:color w:val="7F7F7F" w:themeColor="text1" w:themeTint="80"/>
        <w:rt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C57B" w14:textId="77777777" w:rsidR="00DF1FC7" w:rsidRDefault="00DF1FC7" w:rsidP="00A347B3">
    <w:pPr>
      <w:pStyle w:val="af"/>
      <w:rPr>
        <w:color w:val="7F7F7F" w:themeColor="text1" w:themeTint="80"/>
        <w:rtl/>
      </w:rPr>
    </w:pPr>
  </w:p>
  <w:p w14:paraId="76060C2C"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קג</w:t>
    </w:r>
    <w:r w:rsidRPr="00692E38">
      <w:rPr>
        <w:rFonts w:hint="cs"/>
        <w:color w:val="7F7F7F" w:themeColor="text1" w:themeTint="80"/>
        <w:rtl/>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C31E" w14:textId="77777777" w:rsidR="00DF1FC7" w:rsidRDefault="00DF1FC7" w:rsidP="00A347B3">
    <w:pPr>
      <w:pStyle w:val="af"/>
      <w:rPr>
        <w:color w:val="7F7F7F" w:themeColor="text1" w:themeTint="80"/>
        <w:rtl/>
      </w:rPr>
    </w:pPr>
  </w:p>
  <w:p w14:paraId="6B7A3E0C"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קד</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3CC7" w14:textId="77777777" w:rsidR="00DF1FC7" w:rsidRDefault="00DF1FC7" w:rsidP="00A347B3">
    <w:pPr>
      <w:pStyle w:val="af"/>
      <w:rPr>
        <w:color w:val="7F7F7F" w:themeColor="text1" w:themeTint="80"/>
        <w:rtl/>
      </w:rPr>
    </w:pPr>
  </w:p>
  <w:p w14:paraId="2FE19881" w14:textId="66BA8FCE"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מב</w:t>
    </w:r>
    <w:r w:rsidRPr="00692E38">
      <w:rPr>
        <w:rFonts w:hint="cs"/>
        <w:color w:val="7F7F7F" w:themeColor="text1" w:themeTint="80"/>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5235" w14:textId="77777777" w:rsidR="00DF1FC7" w:rsidRDefault="00DF1FC7" w:rsidP="00A347B3">
    <w:pPr>
      <w:pStyle w:val="af"/>
      <w:rPr>
        <w:color w:val="7F7F7F" w:themeColor="text1" w:themeTint="80"/>
        <w:rtl/>
      </w:rPr>
    </w:pPr>
  </w:p>
  <w:p w14:paraId="6C225CAB"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קה</w:t>
    </w:r>
    <w:r w:rsidRPr="00692E38">
      <w:rPr>
        <w:rFonts w:hint="cs"/>
        <w:color w:val="7F7F7F" w:themeColor="text1" w:themeTint="80"/>
        <w:rtl/>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DD20" w14:textId="77777777" w:rsidR="00DF1FC7" w:rsidRDefault="00DF1FC7" w:rsidP="00A347B3">
    <w:pPr>
      <w:pStyle w:val="af"/>
      <w:rPr>
        <w:color w:val="7F7F7F" w:themeColor="text1" w:themeTint="80"/>
        <w:rtl/>
      </w:rPr>
    </w:pPr>
  </w:p>
  <w:p w14:paraId="46A7DC55"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קו</w:t>
    </w:r>
    <w:r w:rsidRPr="00692E38">
      <w:rPr>
        <w:rFonts w:hint="cs"/>
        <w:color w:val="7F7F7F" w:themeColor="text1" w:themeTint="80"/>
        <w:rtl/>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89C4" w14:textId="77777777" w:rsidR="00DF1FC7" w:rsidRDefault="00DF1FC7" w:rsidP="00A347B3">
    <w:pPr>
      <w:pStyle w:val="af"/>
      <w:rPr>
        <w:color w:val="7F7F7F" w:themeColor="text1" w:themeTint="80"/>
        <w:rtl/>
      </w:rPr>
    </w:pPr>
  </w:p>
  <w:p w14:paraId="6BB30ADA"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קז</w:t>
    </w:r>
    <w:r w:rsidRPr="00692E38">
      <w:rPr>
        <w:rFonts w:hint="cs"/>
        <w:color w:val="7F7F7F" w:themeColor="text1" w:themeTint="80"/>
        <w:rt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DDE3" w14:textId="77777777" w:rsidR="00DF1FC7" w:rsidRDefault="00DF1FC7" w:rsidP="00A347B3">
    <w:pPr>
      <w:pStyle w:val="af"/>
      <w:rPr>
        <w:color w:val="7F7F7F" w:themeColor="text1" w:themeTint="80"/>
        <w:rtl/>
      </w:rPr>
    </w:pPr>
  </w:p>
  <w:p w14:paraId="62323C5B"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קח</w:t>
    </w:r>
    <w:r w:rsidRPr="00692E38">
      <w:rPr>
        <w:rFonts w:hint="cs"/>
        <w:color w:val="7F7F7F" w:themeColor="text1" w:themeTint="80"/>
        <w:rtl/>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63A64" w14:textId="77777777" w:rsidR="00DF1FC7" w:rsidRDefault="00DF1FC7" w:rsidP="00A347B3">
    <w:pPr>
      <w:pStyle w:val="af"/>
      <w:rPr>
        <w:color w:val="7F7F7F" w:themeColor="text1" w:themeTint="80"/>
        <w:rtl/>
      </w:rPr>
    </w:pPr>
  </w:p>
  <w:p w14:paraId="1BEAF91A"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קט</w:t>
    </w:r>
    <w:r w:rsidRPr="00692E38">
      <w:rPr>
        <w:rFonts w:hint="cs"/>
        <w:color w:val="7F7F7F" w:themeColor="text1" w:themeTint="80"/>
        <w:rtl/>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E" w14:textId="77777777" w:rsidR="00DF1FC7" w:rsidRDefault="00DF1FC7" w:rsidP="00A347B3">
    <w:pPr>
      <w:pStyle w:val="af"/>
      <w:rPr>
        <w:color w:val="7F7F7F" w:themeColor="text1" w:themeTint="80"/>
        <w:rtl/>
      </w:rPr>
    </w:pPr>
  </w:p>
  <w:p w14:paraId="2FF52A44"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w:t>
    </w:r>
    <w:r w:rsidRPr="00692E38">
      <w:rPr>
        <w:rFonts w:hint="cs"/>
        <w:color w:val="7F7F7F" w:themeColor="text1" w:themeTint="80"/>
        <w:rtl/>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89AB" w14:textId="77777777" w:rsidR="00DF1FC7" w:rsidRDefault="00DF1FC7" w:rsidP="00A347B3">
    <w:pPr>
      <w:pStyle w:val="af"/>
      <w:rPr>
        <w:color w:val="7F7F7F" w:themeColor="text1" w:themeTint="80"/>
        <w:rtl/>
      </w:rPr>
    </w:pPr>
  </w:p>
  <w:p w14:paraId="4D0F475A"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קיא</w:t>
    </w:r>
    <w:r w:rsidRPr="00692E38">
      <w:rPr>
        <w:rFonts w:hint="cs"/>
        <w:color w:val="7F7F7F" w:themeColor="text1" w:themeTint="80"/>
        <w:rtl/>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EDC7" w14:textId="77777777" w:rsidR="00DF1FC7" w:rsidRDefault="00DF1FC7" w:rsidP="00A347B3">
    <w:pPr>
      <w:pStyle w:val="af"/>
      <w:rPr>
        <w:color w:val="7F7F7F" w:themeColor="text1" w:themeTint="80"/>
        <w:rtl/>
      </w:rPr>
    </w:pPr>
  </w:p>
  <w:p w14:paraId="1ECEBD1E"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קיב</w:t>
    </w:r>
    <w:r w:rsidRPr="00692E38">
      <w:rPr>
        <w:rFonts w:hint="cs"/>
        <w:color w:val="7F7F7F" w:themeColor="text1" w:themeTint="80"/>
        <w:rtl/>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2C44" w14:textId="77777777" w:rsidR="00DF1FC7" w:rsidRDefault="00DF1FC7" w:rsidP="00A347B3">
    <w:pPr>
      <w:pStyle w:val="af"/>
      <w:rPr>
        <w:color w:val="7F7F7F" w:themeColor="text1" w:themeTint="80"/>
        <w:rtl/>
      </w:rPr>
    </w:pPr>
  </w:p>
  <w:p w14:paraId="2C5A1FB8"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קיג</w:t>
    </w:r>
    <w:r w:rsidRPr="00692E38">
      <w:rPr>
        <w:rFonts w:hint="cs"/>
        <w:color w:val="7F7F7F" w:themeColor="text1" w:themeTint="80"/>
        <w:rtl/>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4A45" w14:textId="77777777" w:rsidR="00DF1FC7" w:rsidRDefault="00DF1FC7" w:rsidP="00A347B3">
    <w:pPr>
      <w:pStyle w:val="af"/>
      <w:rPr>
        <w:color w:val="7F7F7F" w:themeColor="text1" w:themeTint="80"/>
        <w:rtl/>
      </w:rPr>
    </w:pPr>
  </w:p>
  <w:p w14:paraId="45C63872"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קיד</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FD35" w14:textId="77777777" w:rsidR="00DF1FC7" w:rsidRDefault="00DF1FC7" w:rsidP="00A347B3">
    <w:pPr>
      <w:pStyle w:val="af"/>
      <w:rPr>
        <w:color w:val="7F7F7F" w:themeColor="text1" w:themeTint="80"/>
        <w:rtl/>
      </w:rPr>
    </w:pPr>
  </w:p>
  <w:p w14:paraId="54EFA0C3" w14:textId="0A62F118"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סא</w:t>
    </w:r>
    <w:r w:rsidRPr="00692E38">
      <w:rPr>
        <w:rFonts w:hint="cs"/>
        <w:color w:val="7F7F7F" w:themeColor="text1" w:themeTint="80"/>
        <w:rtl/>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E840" w14:textId="77777777" w:rsidR="00DF1FC7" w:rsidRDefault="00DF1FC7" w:rsidP="00A347B3">
    <w:pPr>
      <w:pStyle w:val="af"/>
      <w:rPr>
        <w:color w:val="7F7F7F" w:themeColor="text1" w:themeTint="80"/>
        <w:rtl/>
      </w:rPr>
    </w:pPr>
  </w:p>
  <w:p w14:paraId="5B61CFB7"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קטו</w:t>
    </w:r>
    <w:r w:rsidRPr="00692E38">
      <w:rPr>
        <w:rFonts w:hint="cs"/>
        <w:color w:val="7F7F7F" w:themeColor="text1" w:themeTint="80"/>
        <w:rtl/>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C5E9" w14:textId="77777777" w:rsidR="00DF1FC7" w:rsidRDefault="00DF1FC7" w:rsidP="00A347B3">
    <w:pPr>
      <w:pStyle w:val="af"/>
      <w:rPr>
        <w:color w:val="7F7F7F" w:themeColor="text1" w:themeTint="80"/>
        <w:rtl/>
      </w:rPr>
    </w:pPr>
  </w:p>
  <w:p w14:paraId="7DAB6E48"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קטז</w:t>
    </w:r>
    <w:r w:rsidRPr="00692E38">
      <w:rPr>
        <w:rFonts w:hint="cs"/>
        <w:color w:val="7F7F7F" w:themeColor="text1" w:themeTint="80"/>
        <w:rtl/>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211E" w14:textId="77777777" w:rsidR="00DF1FC7" w:rsidRDefault="00DF1FC7" w:rsidP="00A347B3">
    <w:pPr>
      <w:pStyle w:val="af"/>
      <w:rPr>
        <w:color w:val="7F7F7F" w:themeColor="text1" w:themeTint="80"/>
        <w:rtl/>
      </w:rPr>
    </w:pPr>
  </w:p>
  <w:p w14:paraId="2E315A03"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קיז</w:t>
    </w:r>
    <w:r w:rsidRPr="00692E38">
      <w:rPr>
        <w:rFonts w:hint="cs"/>
        <w:color w:val="7F7F7F" w:themeColor="text1" w:themeTint="80"/>
        <w:rt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8957" w14:textId="77777777" w:rsidR="00DF1FC7" w:rsidRDefault="00DF1FC7" w:rsidP="00A347B3">
    <w:pPr>
      <w:pStyle w:val="af"/>
      <w:rPr>
        <w:color w:val="7F7F7F" w:themeColor="text1" w:themeTint="80"/>
        <w:rtl/>
      </w:rPr>
    </w:pPr>
  </w:p>
  <w:p w14:paraId="746FAD16" w14:textId="4CF79D9A"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קיח</w:t>
    </w:r>
    <w:r w:rsidRPr="00692E38">
      <w:rPr>
        <w:rFonts w:hint="cs"/>
        <w:color w:val="7F7F7F" w:themeColor="text1" w:themeTint="80"/>
        <w:rtl/>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D772" w14:textId="77777777" w:rsidR="00DF1FC7" w:rsidRDefault="00DF1FC7" w:rsidP="00A347B3">
    <w:pPr>
      <w:pStyle w:val="af"/>
      <w:rPr>
        <w:color w:val="7F7F7F" w:themeColor="text1" w:themeTint="80"/>
        <w:rtl/>
      </w:rPr>
    </w:pPr>
  </w:p>
  <w:p w14:paraId="03441366" w14:textId="77777777"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קיט</w:t>
    </w:r>
    <w:r w:rsidRPr="00692E38">
      <w:rPr>
        <w:rFonts w:hint="cs"/>
        <w:color w:val="7F7F7F" w:themeColor="text1" w:themeTint="80"/>
        <w:rtl/>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E9E7" w14:textId="77777777" w:rsidR="00DF1FC7" w:rsidRDefault="00DF1FC7" w:rsidP="00A347B3">
    <w:pPr>
      <w:pStyle w:val="af"/>
      <w:rPr>
        <w:color w:val="7F7F7F" w:themeColor="text1" w:themeTint="80"/>
        <w:rtl/>
      </w:rPr>
    </w:pPr>
  </w:p>
  <w:p w14:paraId="1B5A3FE7" w14:textId="046826E3"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קכו</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2DDC" w14:textId="77777777" w:rsidR="00DF1FC7" w:rsidRDefault="00DF1FC7" w:rsidP="00A347B3">
    <w:pPr>
      <w:pStyle w:val="af"/>
      <w:rPr>
        <w:color w:val="7F7F7F" w:themeColor="text1" w:themeTint="80"/>
        <w:rtl/>
      </w:rPr>
    </w:pPr>
  </w:p>
  <w:p w14:paraId="37DC18EE" w14:textId="289F733A"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סב</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3BEB" w14:textId="77777777" w:rsidR="00DF1FC7" w:rsidRDefault="00DF1FC7" w:rsidP="00A347B3">
    <w:pPr>
      <w:pStyle w:val="af"/>
      <w:rPr>
        <w:color w:val="7F7F7F" w:themeColor="text1" w:themeTint="80"/>
        <w:rtl/>
      </w:rPr>
    </w:pPr>
  </w:p>
  <w:p w14:paraId="3C186A8E" w14:textId="54858ADF"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סג</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80E2" w14:textId="77777777" w:rsidR="00DF1FC7" w:rsidRDefault="00DF1FC7" w:rsidP="00A347B3">
    <w:pPr>
      <w:pStyle w:val="af"/>
      <w:rPr>
        <w:color w:val="7F7F7F" w:themeColor="text1" w:themeTint="80"/>
        <w:rtl/>
      </w:rPr>
    </w:pPr>
  </w:p>
  <w:p w14:paraId="5BD1250F" w14:textId="47E529A6" w:rsidR="00DF1FC7" w:rsidRDefault="00DF1FC7" w:rsidP="00EA3E10">
    <w:pPr>
      <w:pStyle w:val="af"/>
      <w:jc w:val="center"/>
    </w:pPr>
    <w:r w:rsidRPr="00692E38">
      <w:rPr>
        <w:rFonts w:hint="cs"/>
        <w:color w:val="7F7F7F" w:themeColor="text1" w:themeTint="80"/>
        <w:rtl/>
      </w:rPr>
      <w:t xml:space="preserve">- סימן </w:t>
    </w:r>
    <w:r>
      <w:rPr>
        <w:rFonts w:hint="cs"/>
        <w:color w:val="7F7F7F" w:themeColor="text1" w:themeTint="80"/>
        <w:rtl/>
      </w:rPr>
      <w:t>סד</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25pt;height:11.25pt" o:bullet="t">
        <v:imagedata r:id="rId1" o:title="msoD65E"/>
      </v:shape>
    </w:pict>
  </w:numPicBullet>
  <w:abstractNum w:abstractNumId="0" w15:restartNumberingAfterBreak="0">
    <w:nsid w:val="000A3461"/>
    <w:multiLevelType w:val="hybridMultilevel"/>
    <w:tmpl w:val="388A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36169"/>
    <w:multiLevelType w:val="hybridMultilevel"/>
    <w:tmpl w:val="9374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75D36"/>
    <w:multiLevelType w:val="hybridMultilevel"/>
    <w:tmpl w:val="3C72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47907"/>
    <w:multiLevelType w:val="hybridMultilevel"/>
    <w:tmpl w:val="CA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A3180"/>
    <w:multiLevelType w:val="hybridMultilevel"/>
    <w:tmpl w:val="6F32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86C71"/>
    <w:multiLevelType w:val="hybridMultilevel"/>
    <w:tmpl w:val="0D909C1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E0FDC"/>
    <w:multiLevelType w:val="hybridMultilevel"/>
    <w:tmpl w:val="9FAA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C655C"/>
    <w:multiLevelType w:val="hybridMultilevel"/>
    <w:tmpl w:val="A042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E504F"/>
    <w:multiLevelType w:val="hybridMultilevel"/>
    <w:tmpl w:val="024ED028"/>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1D1BE4"/>
    <w:multiLevelType w:val="hybridMultilevel"/>
    <w:tmpl w:val="5E92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426C0"/>
    <w:multiLevelType w:val="hybridMultilevel"/>
    <w:tmpl w:val="C0B8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00F40"/>
    <w:multiLevelType w:val="hybridMultilevel"/>
    <w:tmpl w:val="99C6B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E2D15"/>
    <w:multiLevelType w:val="hybridMultilevel"/>
    <w:tmpl w:val="52AE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6E9A"/>
    <w:multiLevelType w:val="hybridMultilevel"/>
    <w:tmpl w:val="B34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B05016"/>
    <w:multiLevelType w:val="hybridMultilevel"/>
    <w:tmpl w:val="2848B670"/>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CE5DAC"/>
    <w:multiLevelType w:val="hybridMultilevel"/>
    <w:tmpl w:val="A95A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35A41"/>
    <w:multiLevelType w:val="hybridMultilevel"/>
    <w:tmpl w:val="4BCE6AE2"/>
    <w:lvl w:ilvl="0" w:tplc="F61893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0E5A26"/>
    <w:multiLevelType w:val="hybridMultilevel"/>
    <w:tmpl w:val="5904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284190"/>
    <w:multiLevelType w:val="hybridMultilevel"/>
    <w:tmpl w:val="FAAADAE8"/>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AC0DF9"/>
    <w:multiLevelType w:val="hybridMultilevel"/>
    <w:tmpl w:val="8312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BB2745"/>
    <w:multiLevelType w:val="hybridMultilevel"/>
    <w:tmpl w:val="58E8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A01047"/>
    <w:multiLevelType w:val="hybridMultilevel"/>
    <w:tmpl w:val="A056973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EB3CE4"/>
    <w:multiLevelType w:val="hybridMultilevel"/>
    <w:tmpl w:val="757E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8D071D"/>
    <w:multiLevelType w:val="hybridMultilevel"/>
    <w:tmpl w:val="47B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D4340C"/>
    <w:multiLevelType w:val="hybridMultilevel"/>
    <w:tmpl w:val="EEFC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F63834"/>
    <w:multiLevelType w:val="hybridMultilevel"/>
    <w:tmpl w:val="BCD6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562526"/>
    <w:multiLevelType w:val="hybridMultilevel"/>
    <w:tmpl w:val="F308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30492F"/>
    <w:multiLevelType w:val="hybridMultilevel"/>
    <w:tmpl w:val="24A4E99A"/>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4F599A"/>
    <w:multiLevelType w:val="hybridMultilevel"/>
    <w:tmpl w:val="65CA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7579B8"/>
    <w:multiLevelType w:val="hybridMultilevel"/>
    <w:tmpl w:val="B12E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E6696B"/>
    <w:multiLevelType w:val="hybridMultilevel"/>
    <w:tmpl w:val="F7C2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4A4CF4"/>
    <w:multiLevelType w:val="hybridMultilevel"/>
    <w:tmpl w:val="0B2C0F7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4A53F2"/>
    <w:multiLevelType w:val="hybridMultilevel"/>
    <w:tmpl w:val="524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B676AC"/>
    <w:multiLevelType w:val="hybridMultilevel"/>
    <w:tmpl w:val="DC7E86AC"/>
    <w:lvl w:ilvl="0" w:tplc="F61893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722DBA"/>
    <w:multiLevelType w:val="hybridMultilevel"/>
    <w:tmpl w:val="923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D50BF5"/>
    <w:multiLevelType w:val="hybridMultilevel"/>
    <w:tmpl w:val="E68C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4E1F15"/>
    <w:multiLevelType w:val="hybridMultilevel"/>
    <w:tmpl w:val="D57EEF7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7F103A"/>
    <w:multiLevelType w:val="hybridMultilevel"/>
    <w:tmpl w:val="AFE6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B14AE0"/>
    <w:multiLevelType w:val="hybridMultilevel"/>
    <w:tmpl w:val="ABEC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D77CB9"/>
    <w:multiLevelType w:val="hybridMultilevel"/>
    <w:tmpl w:val="1C706F16"/>
    <w:lvl w:ilvl="0" w:tplc="758E36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DE0ADD"/>
    <w:multiLevelType w:val="hybridMultilevel"/>
    <w:tmpl w:val="08AC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1121CF"/>
    <w:multiLevelType w:val="hybridMultilevel"/>
    <w:tmpl w:val="0FB8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665718"/>
    <w:multiLevelType w:val="hybridMultilevel"/>
    <w:tmpl w:val="F9CE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D86608"/>
    <w:multiLevelType w:val="hybridMultilevel"/>
    <w:tmpl w:val="1AE2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E6526"/>
    <w:multiLevelType w:val="hybridMultilevel"/>
    <w:tmpl w:val="4B881D8E"/>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9A598B"/>
    <w:multiLevelType w:val="hybridMultilevel"/>
    <w:tmpl w:val="6CF0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ED5A4E"/>
    <w:multiLevelType w:val="hybridMultilevel"/>
    <w:tmpl w:val="7342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FB4F3E"/>
    <w:multiLevelType w:val="hybridMultilevel"/>
    <w:tmpl w:val="B72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4C4938"/>
    <w:multiLevelType w:val="hybridMultilevel"/>
    <w:tmpl w:val="583E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510FAE"/>
    <w:multiLevelType w:val="hybridMultilevel"/>
    <w:tmpl w:val="75BE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CC71AE"/>
    <w:multiLevelType w:val="hybridMultilevel"/>
    <w:tmpl w:val="6058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F64B9D"/>
    <w:multiLevelType w:val="hybridMultilevel"/>
    <w:tmpl w:val="025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1A21A3"/>
    <w:multiLevelType w:val="hybridMultilevel"/>
    <w:tmpl w:val="A96C0F12"/>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AF0B3B"/>
    <w:multiLevelType w:val="hybridMultilevel"/>
    <w:tmpl w:val="7B06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5F54C7"/>
    <w:multiLevelType w:val="hybridMultilevel"/>
    <w:tmpl w:val="F98ACD4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1B03A9"/>
    <w:multiLevelType w:val="hybridMultilevel"/>
    <w:tmpl w:val="F17E0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F7F79A9"/>
    <w:multiLevelType w:val="hybridMultilevel"/>
    <w:tmpl w:val="3D0E946A"/>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D908FF"/>
    <w:multiLevelType w:val="hybridMultilevel"/>
    <w:tmpl w:val="D158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161A8E"/>
    <w:multiLevelType w:val="hybridMultilevel"/>
    <w:tmpl w:val="DBB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656F4F"/>
    <w:multiLevelType w:val="hybridMultilevel"/>
    <w:tmpl w:val="E5F2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031388"/>
    <w:multiLevelType w:val="hybridMultilevel"/>
    <w:tmpl w:val="EBDE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CC2440"/>
    <w:multiLevelType w:val="hybridMultilevel"/>
    <w:tmpl w:val="C45A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F8322F"/>
    <w:multiLevelType w:val="hybridMultilevel"/>
    <w:tmpl w:val="FA2CF39C"/>
    <w:lvl w:ilvl="0" w:tplc="51A6C49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B039F2"/>
    <w:multiLevelType w:val="hybridMultilevel"/>
    <w:tmpl w:val="7952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C85511"/>
    <w:multiLevelType w:val="hybridMultilevel"/>
    <w:tmpl w:val="EDFA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3814EB"/>
    <w:multiLevelType w:val="hybridMultilevel"/>
    <w:tmpl w:val="7FEA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3D430C"/>
    <w:multiLevelType w:val="hybridMultilevel"/>
    <w:tmpl w:val="D350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4F058A"/>
    <w:multiLevelType w:val="hybridMultilevel"/>
    <w:tmpl w:val="5980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7B7C25"/>
    <w:multiLevelType w:val="hybridMultilevel"/>
    <w:tmpl w:val="D9EE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8871BE"/>
    <w:multiLevelType w:val="hybridMultilevel"/>
    <w:tmpl w:val="8834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BC3E5A"/>
    <w:multiLevelType w:val="hybridMultilevel"/>
    <w:tmpl w:val="087A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E309DE"/>
    <w:multiLevelType w:val="hybridMultilevel"/>
    <w:tmpl w:val="0B5E8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E5673F"/>
    <w:multiLevelType w:val="hybridMultilevel"/>
    <w:tmpl w:val="12ACC2F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C84FFB"/>
    <w:multiLevelType w:val="hybridMultilevel"/>
    <w:tmpl w:val="38A4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FA4F0F"/>
    <w:multiLevelType w:val="hybridMultilevel"/>
    <w:tmpl w:val="82686CB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8830B8"/>
    <w:multiLevelType w:val="hybridMultilevel"/>
    <w:tmpl w:val="CEAC44C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8BF6F4D"/>
    <w:multiLevelType w:val="hybridMultilevel"/>
    <w:tmpl w:val="C2F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94B60AD"/>
    <w:multiLevelType w:val="hybridMultilevel"/>
    <w:tmpl w:val="3F2C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472D9C"/>
    <w:multiLevelType w:val="hybridMultilevel"/>
    <w:tmpl w:val="0BFA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733E86"/>
    <w:multiLevelType w:val="hybridMultilevel"/>
    <w:tmpl w:val="C6EC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A7E610E"/>
    <w:multiLevelType w:val="hybridMultilevel"/>
    <w:tmpl w:val="425C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8C00E5"/>
    <w:multiLevelType w:val="hybridMultilevel"/>
    <w:tmpl w:val="556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9A06B2"/>
    <w:multiLevelType w:val="hybridMultilevel"/>
    <w:tmpl w:val="0378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E71FB2"/>
    <w:multiLevelType w:val="hybridMultilevel"/>
    <w:tmpl w:val="5C5217CE"/>
    <w:lvl w:ilvl="0" w:tplc="51A6C49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4C2F3F"/>
    <w:multiLevelType w:val="hybridMultilevel"/>
    <w:tmpl w:val="72AA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BBB5692"/>
    <w:multiLevelType w:val="hybridMultilevel"/>
    <w:tmpl w:val="1F4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5B544E"/>
    <w:multiLevelType w:val="hybridMultilevel"/>
    <w:tmpl w:val="D882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693EC3"/>
    <w:multiLevelType w:val="hybridMultilevel"/>
    <w:tmpl w:val="64B87B60"/>
    <w:lvl w:ilvl="0" w:tplc="A72CB1E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C0646F"/>
    <w:multiLevelType w:val="hybridMultilevel"/>
    <w:tmpl w:val="9BC4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D43BD7"/>
    <w:multiLevelType w:val="hybridMultilevel"/>
    <w:tmpl w:val="C09C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3D76AE"/>
    <w:multiLevelType w:val="hybridMultilevel"/>
    <w:tmpl w:val="ECDC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F411651"/>
    <w:multiLevelType w:val="hybridMultilevel"/>
    <w:tmpl w:val="555C40EA"/>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FF3385F"/>
    <w:multiLevelType w:val="hybridMultilevel"/>
    <w:tmpl w:val="3DB84156"/>
    <w:lvl w:ilvl="0" w:tplc="E8BAB7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822A4A"/>
    <w:multiLevelType w:val="hybridMultilevel"/>
    <w:tmpl w:val="3B7E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13F066A"/>
    <w:multiLevelType w:val="hybridMultilevel"/>
    <w:tmpl w:val="7218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1D73135"/>
    <w:multiLevelType w:val="hybridMultilevel"/>
    <w:tmpl w:val="8D78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DF751C"/>
    <w:multiLevelType w:val="hybridMultilevel"/>
    <w:tmpl w:val="2204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7D351A"/>
    <w:multiLevelType w:val="hybridMultilevel"/>
    <w:tmpl w:val="BF72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7F6F42"/>
    <w:multiLevelType w:val="hybridMultilevel"/>
    <w:tmpl w:val="1D7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05107D"/>
    <w:multiLevelType w:val="hybridMultilevel"/>
    <w:tmpl w:val="7158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190E0A"/>
    <w:multiLevelType w:val="hybridMultilevel"/>
    <w:tmpl w:val="B05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1E3061"/>
    <w:multiLevelType w:val="hybridMultilevel"/>
    <w:tmpl w:val="833C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3FD3425"/>
    <w:multiLevelType w:val="hybridMultilevel"/>
    <w:tmpl w:val="424C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4525E9D"/>
    <w:multiLevelType w:val="hybridMultilevel"/>
    <w:tmpl w:val="9870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57D2DC1"/>
    <w:multiLevelType w:val="hybridMultilevel"/>
    <w:tmpl w:val="E026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5CE7037"/>
    <w:multiLevelType w:val="hybridMultilevel"/>
    <w:tmpl w:val="82A6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66467AD"/>
    <w:multiLevelType w:val="hybridMultilevel"/>
    <w:tmpl w:val="6AD6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038FC"/>
    <w:multiLevelType w:val="hybridMultilevel"/>
    <w:tmpl w:val="B818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4B04BD"/>
    <w:multiLevelType w:val="hybridMultilevel"/>
    <w:tmpl w:val="F3C8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09000A"/>
    <w:multiLevelType w:val="hybridMultilevel"/>
    <w:tmpl w:val="D1FC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87A702E"/>
    <w:multiLevelType w:val="hybridMultilevel"/>
    <w:tmpl w:val="ADBE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88C0569"/>
    <w:multiLevelType w:val="hybridMultilevel"/>
    <w:tmpl w:val="D556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89147EA"/>
    <w:multiLevelType w:val="hybridMultilevel"/>
    <w:tmpl w:val="4778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A75E9B"/>
    <w:multiLevelType w:val="hybridMultilevel"/>
    <w:tmpl w:val="559A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AAE54CD"/>
    <w:multiLevelType w:val="hybridMultilevel"/>
    <w:tmpl w:val="1C24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AE816FB"/>
    <w:multiLevelType w:val="hybridMultilevel"/>
    <w:tmpl w:val="9A04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A73C11"/>
    <w:multiLevelType w:val="hybridMultilevel"/>
    <w:tmpl w:val="37E4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C0E199D"/>
    <w:multiLevelType w:val="hybridMultilevel"/>
    <w:tmpl w:val="FA0A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4965B6"/>
    <w:multiLevelType w:val="hybridMultilevel"/>
    <w:tmpl w:val="9D1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D743D77"/>
    <w:multiLevelType w:val="hybridMultilevel"/>
    <w:tmpl w:val="A2CA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D8020D2"/>
    <w:multiLevelType w:val="hybridMultilevel"/>
    <w:tmpl w:val="0CF8C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DCA2D9F"/>
    <w:multiLevelType w:val="hybridMultilevel"/>
    <w:tmpl w:val="E01A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DCC7EAF"/>
    <w:multiLevelType w:val="hybridMultilevel"/>
    <w:tmpl w:val="B748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EBC7837"/>
    <w:multiLevelType w:val="hybridMultilevel"/>
    <w:tmpl w:val="38DC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3F1521"/>
    <w:multiLevelType w:val="hybridMultilevel"/>
    <w:tmpl w:val="85C6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D20B31"/>
    <w:multiLevelType w:val="hybridMultilevel"/>
    <w:tmpl w:val="F318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2D3B6E"/>
    <w:multiLevelType w:val="hybridMultilevel"/>
    <w:tmpl w:val="8D4C04FC"/>
    <w:lvl w:ilvl="0" w:tplc="8BF266B0">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0357242"/>
    <w:multiLevelType w:val="hybridMultilevel"/>
    <w:tmpl w:val="2DF0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0E67476"/>
    <w:multiLevelType w:val="hybridMultilevel"/>
    <w:tmpl w:val="2B76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1523BA6"/>
    <w:multiLevelType w:val="hybridMultilevel"/>
    <w:tmpl w:val="25E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18C4CE6"/>
    <w:multiLevelType w:val="hybridMultilevel"/>
    <w:tmpl w:val="4448D38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907CBB"/>
    <w:multiLevelType w:val="hybridMultilevel"/>
    <w:tmpl w:val="B626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27C3FEE"/>
    <w:multiLevelType w:val="hybridMultilevel"/>
    <w:tmpl w:val="ABBA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3AA213B"/>
    <w:multiLevelType w:val="hybridMultilevel"/>
    <w:tmpl w:val="29E4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3DE520E"/>
    <w:multiLevelType w:val="hybridMultilevel"/>
    <w:tmpl w:val="80F8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3F423E2"/>
    <w:multiLevelType w:val="hybridMultilevel"/>
    <w:tmpl w:val="2B388318"/>
    <w:lvl w:ilvl="0" w:tplc="433E22B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9C3A17"/>
    <w:multiLevelType w:val="hybridMultilevel"/>
    <w:tmpl w:val="A25C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5D77AEA"/>
    <w:multiLevelType w:val="hybridMultilevel"/>
    <w:tmpl w:val="715A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69B7E51"/>
    <w:multiLevelType w:val="hybridMultilevel"/>
    <w:tmpl w:val="5C1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7B64733"/>
    <w:multiLevelType w:val="hybridMultilevel"/>
    <w:tmpl w:val="8582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99355A0"/>
    <w:multiLevelType w:val="hybridMultilevel"/>
    <w:tmpl w:val="42C2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9B612AA"/>
    <w:multiLevelType w:val="hybridMultilevel"/>
    <w:tmpl w:val="4DA6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9F91A43"/>
    <w:multiLevelType w:val="hybridMultilevel"/>
    <w:tmpl w:val="1338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A7810C2"/>
    <w:multiLevelType w:val="hybridMultilevel"/>
    <w:tmpl w:val="4CA0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B583B8E"/>
    <w:multiLevelType w:val="hybridMultilevel"/>
    <w:tmpl w:val="F498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BDC782C"/>
    <w:multiLevelType w:val="hybridMultilevel"/>
    <w:tmpl w:val="25E0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C7742E5"/>
    <w:multiLevelType w:val="hybridMultilevel"/>
    <w:tmpl w:val="30CC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F17BD7"/>
    <w:multiLevelType w:val="hybridMultilevel"/>
    <w:tmpl w:val="3EAE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B72CB7"/>
    <w:multiLevelType w:val="hybridMultilevel"/>
    <w:tmpl w:val="6674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ED1101"/>
    <w:multiLevelType w:val="hybridMultilevel"/>
    <w:tmpl w:val="2D70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F26337F"/>
    <w:multiLevelType w:val="hybridMultilevel"/>
    <w:tmpl w:val="A6E2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F3E40C6"/>
    <w:multiLevelType w:val="hybridMultilevel"/>
    <w:tmpl w:val="CD024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09F248A"/>
    <w:multiLevelType w:val="hybridMultilevel"/>
    <w:tmpl w:val="EB769804"/>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0BF0239"/>
    <w:multiLevelType w:val="hybridMultilevel"/>
    <w:tmpl w:val="CF9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0DE2214"/>
    <w:multiLevelType w:val="hybridMultilevel"/>
    <w:tmpl w:val="03F0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0E641CA"/>
    <w:multiLevelType w:val="hybridMultilevel"/>
    <w:tmpl w:val="29B0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13B7D72"/>
    <w:multiLevelType w:val="hybridMultilevel"/>
    <w:tmpl w:val="96E0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20128AF"/>
    <w:multiLevelType w:val="hybridMultilevel"/>
    <w:tmpl w:val="1BBA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9D23B8"/>
    <w:multiLevelType w:val="hybridMultilevel"/>
    <w:tmpl w:val="F2FA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A72661"/>
    <w:multiLevelType w:val="hybridMultilevel"/>
    <w:tmpl w:val="5372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30C3D2E"/>
    <w:multiLevelType w:val="hybridMultilevel"/>
    <w:tmpl w:val="BC1CF390"/>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825A08"/>
    <w:multiLevelType w:val="hybridMultilevel"/>
    <w:tmpl w:val="817E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4AD3363"/>
    <w:multiLevelType w:val="hybridMultilevel"/>
    <w:tmpl w:val="1102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DB244A"/>
    <w:multiLevelType w:val="hybridMultilevel"/>
    <w:tmpl w:val="C608A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053F70"/>
    <w:multiLevelType w:val="hybridMultilevel"/>
    <w:tmpl w:val="2FB4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6181773"/>
    <w:multiLevelType w:val="hybridMultilevel"/>
    <w:tmpl w:val="B4D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71509BB"/>
    <w:multiLevelType w:val="hybridMultilevel"/>
    <w:tmpl w:val="DDB4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7EE08B9"/>
    <w:multiLevelType w:val="hybridMultilevel"/>
    <w:tmpl w:val="9146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8D65C79"/>
    <w:multiLevelType w:val="hybridMultilevel"/>
    <w:tmpl w:val="AF74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7476F1"/>
    <w:multiLevelType w:val="hybridMultilevel"/>
    <w:tmpl w:val="45F0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9ED2374"/>
    <w:multiLevelType w:val="hybridMultilevel"/>
    <w:tmpl w:val="A424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A01338F"/>
    <w:multiLevelType w:val="hybridMultilevel"/>
    <w:tmpl w:val="4296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A5A06D0"/>
    <w:multiLevelType w:val="hybridMultilevel"/>
    <w:tmpl w:val="34C6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0A6A4D"/>
    <w:multiLevelType w:val="hybridMultilevel"/>
    <w:tmpl w:val="ACD8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8B3E9F"/>
    <w:multiLevelType w:val="hybridMultilevel"/>
    <w:tmpl w:val="58E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8D577A"/>
    <w:multiLevelType w:val="hybridMultilevel"/>
    <w:tmpl w:val="31A850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5EE71AA1"/>
    <w:multiLevelType w:val="hybridMultilevel"/>
    <w:tmpl w:val="9204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5F5F05"/>
    <w:multiLevelType w:val="hybridMultilevel"/>
    <w:tmpl w:val="78EC9A40"/>
    <w:lvl w:ilvl="0" w:tplc="2FF2BA2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07124B8"/>
    <w:multiLevelType w:val="hybridMultilevel"/>
    <w:tmpl w:val="DD2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13872E8"/>
    <w:multiLevelType w:val="hybridMultilevel"/>
    <w:tmpl w:val="058C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4F703E"/>
    <w:multiLevelType w:val="hybridMultilevel"/>
    <w:tmpl w:val="7FF8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FE1A9E"/>
    <w:multiLevelType w:val="hybridMultilevel"/>
    <w:tmpl w:val="9C82B616"/>
    <w:lvl w:ilvl="0" w:tplc="F61893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21D31C4"/>
    <w:multiLevelType w:val="hybridMultilevel"/>
    <w:tmpl w:val="9386090E"/>
    <w:lvl w:ilvl="0" w:tplc="50FC2A7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2DB44F1"/>
    <w:multiLevelType w:val="hybridMultilevel"/>
    <w:tmpl w:val="A25E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2EB1879"/>
    <w:multiLevelType w:val="hybridMultilevel"/>
    <w:tmpl w:val="FD60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2F22DE6"/>
    <w:multiLevelType w:val="hybridMultilevel"/>
    <w:tmpl w:val="1458C8C2"/>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3835A8A"/>
    <w:multiLevelType w:val="hybridMultilevel"/>
    <w:tmpl w:val="6B82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3A87543"/>
    <w:multiLevelType w:val="hybridMultilevel"/>
    <w:tmpl w:val="D83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4F14177"/>
    <w:multiLevelType w:val="hybridMultilevel"/>
    <w:tmpl w:val="7F4C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5CC15A0"/>
    <w:multiLevelType w:val="hybridMultilevel"/>
    <w:tmpl w:val="A07AD0E0"/>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6035212"/>
    <w:multiLevelType w:val="hybridMultilevel"/>
    <w:tmpl w:val="8F9C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040331"/>
    <w:multiLevelType w:val="hybridMultilevel"/>
    <w:tmpl w:val="E062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36753E"/>
    <w:multiLevelType w:val="hybridMultilevel"/>
    <w:tmpl w:val="5AAE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7284660"/>
    <w:multiLevelType w:val="hybridMultilevel"/>
    <w:tmpl w:val="3168C1DA"/>
    <w:lvl w:ilvl="0" w:tplc="758E36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72C4D93"/>
    <w:multiLevelType w:val="hybridMultilevel"/>
    <w:tmpl w:val="A6B2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760180C"/>
    <w:multiLevelType w:val="hybridMultilevel"/>
    <w:tmpl w:val="52F4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7614909"/>
    <w:multiLevelType w:val="hybridMultilevel"/>
    <w:tmpl w:val="604A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A9F274D"/>
    <w:multiLevelType w:val="hybridMultilevel"/>
    <w:tmpl w:val="DBF60A8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AD1299C"/>
    <w:multiLevelType w:val="hybridMultilevel"/>
    <w:tmpl w:val="1DD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B364B3A"/>
    <w:multiLevelType w:val="hybridMultilevel"/>
    <w:tmpl w:val="460A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C50A02"/>
    <w:multiLevelType w:val="hybridMultilevel"/>
    <w:tmpl w:val="34E4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7D2261"/>
    <w:multiLevelType w:val="hybridMultilevel"/>
    <w:tmpl w:val="A09CF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847A68"/>
    <w:multiLevelType w:val="hybridMultilevel"/>
    <w:tmpl w:val="9AE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F7362CF"/>
    <w:multiLevelType w:val="hybridMultilevel"/>
    <w:tmpl w:val="BC0CB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FEB51C6"/>
    <w:multiLevelType w:val="hybridMultilevel"/>
    <w:tmpl w:val="B02E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10809D1"/>
    <w:multiLevelType w:val="hybridMultilevel"/>
    <w:tmpl w:val="3FFC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2D3659D"/>
    <w:multiLevelType w:val="hybridMultilevel"/>
    <w:tmpl w:val="0096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589621D"/>
    <w:multiLevelType w:val="hybridMultilevel"/>
    <w:tmpl w:val="C34A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592440A"/>
    <w:multiLevelType w:val="hybridMultilevel"/>
    <w:tmpl w:val="DCF2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5AA5EF4"/>
    <w:multiLevelType w:val="hybridMultilevel"/>
    <w:tmpl w:val="319E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6B96413"/>
    <w:multiLevelType w:val="hybridMultilevel"/>
    <w:tmpl w:val="F91E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7216C1A"/>
    <w:multiLevelType w:val="hybridMultilevel"/>
    <w:tmpl w:val="E8DE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7BC32DF"/>
    <w:multiLevelType w:val="hybridMultilevel"/>
    <w:tmpl w:val="C2A4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8867338"/>
    <w:multiLevelType w:val="hybridMultilevel"/>
    <w:tmpl w:val="BBBC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8DB49AC"/>
    <w:multiLevelType w:val="hybridMultilevel"/>
    <w:tmpl w:val="D68660E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9452F04"/>
    <w:multiLevelType w:val="hybridMultilevel"/>
    <w:tmpl w:val="F4CA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0366D5"/>
    <w:multiLevelType w:val="hybridMultilevel"/>
    <w:tmpl w:val="A25A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B1474A2"/>
    <w:multiLevelType w:val="hybridMultilevel"/>
    <w:tmpl w:val="631E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B6651C9"/>
    <w:multiLevelType w:val="hybridMultilevel"/>
    <w:tmpl w:val="8A2C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B92695D"/>
    <w:multiLevelType w:val="hybridMultilevel"/>
    <w:tmpl w:val="DF7C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BA81F81"/>
    <w:multiLevelType w:val="hybridMultilevel"/>
    <w:tmpl w:val="8F92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BD9111E"/>
    <w:multiLevelType w:val="hybridMultilevel"/>
    <w:tmpl w:val="D95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BFD75F6"/>
    <w:multiLevelType w:val="hybridMultilevel"/>
    <w:tmpl w:val="CE16C714"/>
    <w:lvl w:ilvl="0" w:tplc="A76C51A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CDB2A62"/>
    <w:multiLevelType w:val="hybridMultilevel"/>
    <w:tmpl w:val="59F6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FD24A7"/>
    <w:multiLevelType w:val="hybridMultilevel"/>
    <w:tmpl w:val="A0C4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E635DF7"/>
    <w:multiLevelType w:val="hybridMultilevel"/>
    <w:tmpl w:val="5478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5"/>
  </w:num>
  <w:num w:numId="2">
    <w:abstractNumId w:val="136"/>
  </w:num>
  <w:num w:numId="3">
    <w:abstractNumId w:val="154"/>
  </w:num>
  <w:num w:numId="4">
    <w:abstractNumId w:val="17"/>
  </w:num>
  <w:num w:numId="5">
    <w:abstractNumId w:val="143"/>
  </w:num>
  <w:num w:numId="6">
    <w:abstractNumId w:val="135"/>
  </w:num>
  <w:num w:numId="7">
    <w:abstractNumId w:val="208"/>
  </w:num>
  <w:num w:numId="8">
    <w:abstractNumId w:val="151"/>
  </w:num>
  <w:num w:numId="9">
    <w:abstractNumId w:val="120"/>
  </w:num>
  <w:num w:numId="10">
    <w:abstractNumId w:val="132"/>
  </w:num>
  <w:num w:numId="11">
    <w:abstractNumId w:val="80"/>
  </w:num>
  <w:num w:numId="12">
    <w:abstractNumId w:val="60"/>
  </w:num>
  <w:num w:numId="13">
    <w:abstractNumId w:val="184"/>
  </w:num>
  <w:num w:numId="14">
    <w:abstractNumId w:val="122"/>
  </w:num>
  <w:num w:numId="15">
    <w:abstractNumId w:val="70"/>
  </w:num>
  <w:num w:numId="16">
    <w:abstractNumId w:val="113"/>
  </w:num>
  <w:num w:numId="17">
    <w:abstractNumId w:val="139"/>
  </w:num>
  <w:num w:numId="18">
    <w:abstractNumId w:val="6"/>
  </w:num>
  <w:num w:numId="19">
    <w:abstractNumId w:val="35"/>
  </w:num>
  <w:num w:numId="20">
    <w:abstractNumId w:val="106"/>
  </w:num>
  <w:num w:numId="21">
    <w:abstractNumId w:val="175"/>
  </w:num>
  <w:num w:numId="22">
    <w:abstractNumId w:val="38"/>
  </w:num>
  <w:num w:numId="23">
    <w:abstractNumId w:val="59"/>
  </w:num>
  <w:num w:numId="24">
    <w:abstractNumId w:val="69"/>
  </w:num>
  <w:num w:numId="25">
    <w:abstractNumId w:val="188"/>
  </w:num>
  <w:num w:numId="26">
    <w:abstractNumId w:val="96"/>
  </w:num>
  <w:num w:numId="27">
    <w:abstractNumId w:val="164"/>
  </w:num>
  <w:num w:numId="28">
    <w:abstractNumId w:val="204"/>
  </w:num>
  <w:num w:numId="29">
    <w:abstractNumId w:val="112"/>
  </w:num>
  <w:num w:numId="30">
    <w:abstractNumId w:val="75"/>
  </w:num>
  <w:num w:numId="31">
    <w:abstractNumId w:val="54"/>
  </w:num>
  <w:num w:numId="32">
    <w:abstractNumId w:val="202"/>
  </w:num>
  <w:num w:numId="33">
    <w:abstractNumId w:val="31"/>
  </w:num>
  <w:num w:numId="34">
    <w:abstractNumId w:val="218"/>
  </w:num>
  <w:num w:numId="35">
    <w:abstractNumId w:val="10"/>
  </w:num>
  <w:num w:numId="36">
    <w:abstractNumId w:val="41"/>
  </w:num>
  <w:num w:numId="37">
    <w:abstractNumId w:val="24"/>
  </w:num>
  <w:num w:numId="38">
    <w:abstractNumId w:val="209"/>
  </w:num>
  <w:num w:numId="39">
    <w:abstractNumId w:val="210"/>
  </w:num>
  <w:num w:numId="40">
    <w:abstractNumId w:val="180"/>
  </w:num>
  <w:num w:numId="41">
    <w:abstractNumId w:val="142"/>
  </w:num>
  <w:num w:numId="42">
    <w:abstractNumId w:val="213"/>
  </w:num>
  <w:num w:numId="43">
    <w:abstractNumId w:val="131"/>
  </w:num>
  <w:num w:numId="44">
    <w:abstractNumId w:val="63"/>
  </w:num>
  <w:num w:numId="45">
    <w:abstractNumId w:val="12"/>
  </w:num>
  <w:num w:numId="46">
    <w:abstractNumId w:val="150"/>
  </w:num>
  <w:num w:numId="47">
    <w:abstractNumId w:val="88"/>
  </w:num>
  <w:num w:numId="48">
    <w:abstractNumId w:val="43"/>
  </w:num>
  <w:num w:numId="49">
    <w:abstractNumId w:val="167"/>
  </w:num>
  <w:num w:numId="50">
    <w:abstractNumId w:val="130"/>
  </w:num>
  <w:num w:numId="51">
    <w:abstractNumId w:val="117"/>
  </w:num>
  <w:num w:numId="52">
    <w:abstractNumId w:val="133"/>
  </w:num>
  <w:num w:numId="53">
    <w:abstractNumId w:val="34"/>
  </w:num>
  <w:num w:numId="54">
    <w:abstractNumId w:val="206"/>
  </w:num>
  <w:num w:numId="55">
    <w:abstractNumId w:val="52"/>
  </w:num>
  <w:num w:numId="56">
    <w:abstractNumId w:val="18"/>
  </w:num>
  <w:num w:numId="57">
    <w:abstractNumId w:val="91"/>
  </w:num>
  <w:num w:numId="58">
    <w:abstractNumId w:val="222"/>
  </w:num>
  <w:num w:numId="59">
    <w:abstractNumId w:val="189"/>
  </w:num>
  <w:num w:numId="60">
    <w:abstractNumId w:val="160"/>
  </w:num>
  <w:num w:numId="61">
    <w:abstractNumId w:val="182"/>
  </w:num>
  <w:num w:numId="62">
    <w:abstractNumId w:val="8"/>
  </w:num>
  <w:num w:numId="63">
    <w:abstractNumId w:val="214"/>
  </w:num>
  <w:num w:numId="64">
    <w:abstractNumId w:val="152"/>
  </w:num>
  <w:num w:numId="65">
    <w:abstractNumId w:val="56"/>
  </w:num>
  <w:num w:numId="66">
    <w:abstractNumId w:val="44"/>
  </w:num>
  <w:num w:numId="67">
    <w:abstractNumId w:val="14"/>
  </w:num>
  <w:num w:numId="68">
    <w:abstractNumId w:val="159"/>
  </w:num>
  <w:num w:numId="69">
    <w:abstractNumId w:val="111"/>
  </w:num>
  <w:num w:numId="70">
    <w:abstractNumId w:val="67"/>
  </w:num>
  <w:num w:numId="71">
    <w:abstractNumId w:val="72"/>
  </w:num>
  <w:num w:numId="72">
    <w:abstractNumId w:val="198"/>
  </w:num>
  <w:num w:numId="73">
    <w:abstractNumId w:val="147"/>
  </w:num>
  <w:num w:numId="74">
    <w:abstractNumId w:val="220"/>
  </w:num>
  <w:num w:numId="75">
    <w:abstractNumId w:val="36"/>
  </w:num>
  <w:num w:numId="76">
    <w:abstractNumId w:val="53"/>
  </w:num>
  <w:num w:numId="77">
    <w:abstractNumId w:val="170"/>
  </w:num>
  <w:num w:numId="78">
    <w:abstractNumId w:val="149"/>
  </w:num>
  <w:num w:numId="79">
    <w:abstractNumId w:val="16"/>
  </w:num>
  <w:num w:numId="80">
    <w:abstractNumId w:val="33"/>
  </w:num>
  <w:num w:numId="81">
    <w:abstractNumId w:val="181"/>
  </w:num>
  <w:num w:numId="82">
    <w:abstractNumId w:val="178"/>
  </w:num>
  <w:num w:numId="83">
    <w:abstractNumId w:val="99"/>
  </w:num>
  <w:num w:numId="84">
    <w:abstractNumId w:val="165"/>
  </w:num>
  <w:num w:numId="85">
    <w:abstractNumId w:val="158"/>
  </w:num>
  <w:num w:numId="86">
    <w:abstractNumId w:val="5"/>
  </w:num>
  <w:num w:numId="87">
    <w:abstractNumId w:val="179"/>
  </w:num>
  <w:num w:numId="88">
    <w:abstractNumId w:val="119"/>
  </w:num>
  <w:num w:numId="89">
    <w:abstractNumId w:val="225"/>
  </w:num>
  <w:num w:numId="90">
    <w:abstractNumId w:val="48"/>
  </w:num>
  <w:num w:numId="91">
    <w:abstractNumId w:val="172"/>
  </w:num>
  <w:num w:numId="92">
    <w:abstractNumId w:val="176"/>
  </w:num>
  <w:num w:numId="93">
    <w:abstractNumId w:val="166"/>
  </w:num>
  <w:num w:numId="94">
    <w:abstractNumId w:val="79"/>
  </w:num>
  <w:num w:numId="95">
    <w:abstractNumId w:val="211"/>
  </w:num>
  <w:num w:numId="96">
    <w:abstractNumId w:val="173"/>
  </w:num>
  <w:num w:numId="97">
    <w:abstractNumId w:val="137"/>
  </w:num>
  <w:num w:numId="98">
    <w:abstractNumId w:val="157"/>
  </w:num>
  <w:num w:numId="99">
    <w:abstractNumId w:val="123"/>
  </w:num>
  <w:num w:numId="100">
    <w:abstractNumId w:val="221"/>
  </w:num>
  <w:num w:numId="101">
    <w:abstractNumId w:val="90"/>
  </w:num>
  <w:num w:numId="102">
    <w:abstractNumId w:val="114"/>
  </w:num>
  <w:num w:numId="103">
    <w:abstractNumId w:val="125"/>
  </w:num>
  <w:num w:numId="104">
    <w:abstractNumId w:val="21"/>
  </w:num>
  <w:num w:numId="105">
    <w:abstractNumId w:val="93"/>
  </w:num>
  <w:num w:numId="106">
    <w:abstractNumId w:val="74"/>
  </w:num>
  <w:num w:numId="107">
    <w:abstractNumId w:val="86"/>
  </w:num>
  <w:num w:numId="108">
    <w:abstractNumId w:val="156"/>
  </w:num>
  <w:num w:numId="109">
    <w:abstractNumId w:val="108"/>
  </w:num>
  <w:num w:numId="110">
    <w:abstractNumId w:val="0"/>
  </w:num>
  <w:num w:numId="111">
    <w:abstractNumId w:val="2"/>
  </w:num>
  <w:num w:numId="112">
    <w:abstractNumId w:val="212"/>
  </w:num>
  <w:num w:numId="113">
    <w:abstractNumId w:val="95"/>
  </w:num>
  <w:num w:numId="114">
    <w:abstractNumId w:val="127"/>
  </w:num>
  <w:num w:numId="115">
    <w:abstractNumId w:val="82"/>
  </w:num>
  <w:num w:numId="116">
    <w:abstractNumId w:val="11"/>
  </w:num>
  <w:num w:numId="117">
    <w:abstractNumId w:val="145"/>
  </w:num>
  <w:num w:numId="118">
    <w:abstractNumId w:val="216"/>
  </w:num>
  <w:num w:numId="119">
    <w:abstractNumId w:val="185"/>
  </w:num>
  <w:num w:numId="120">
    <w:abstractNumId w:val="27"/>
  </w:num>
  <w:num w:numId="121">
    <w:abstractNumId w:val="89"/>
  </w:num>
  <w:num w:numId="122">
    <w:abstractNumId w:val="29"/>
  </w:num>
  <w:num w:numId="123">
    <w:abstractNumId w:val="66"/>
  </w:num>
  <w:num w:numId="124">
    <w:abstractNumId w:val="190"/>
  </w:num>
  <w:num w:numId="125">
    <w:abstractNumId w:val="104"/>
  </w:num>
  <w:num w:numId="126">
    <w:abstractNumId w:val="100"/>
  </w:num>
  <w:num w:numId="127">
    <w:abstractNumId w:val="50"/>
  </w:num>
  <w:num w:numId="128">
    <w:abstractNumId w:val="105"/>
  </w:num>
  <w:num w:numId="129">
    <w:abstractNumId w:val="65"/>
  </w:num>
  <w:num w:numId="130">
    <w:abstractNumId w:val="20"/>
  </w:num>
  <w:num w:numId="131">
    <w:abstractNumId w:val="128"/>
  </w:num>
  <w:num w:numId="132">
    <w:abstractNumId w:val="25"/>
  </w:num>
  <w:num w:numId="133">
    <w:abstractNumId w:val="118"/>
  </w:num>
  <w:num w:numId="134">
    <w:abstractNumId w:val="144"/>
  </w:num>
  <w:num w:numId="135">
    <w:abstractNumId w:val="37"/>
  </w:num>
  <w:num w:numId="136">
    <w:abstractNumId w:val="126"/>
  </w:num>
  <w:num w:numId="137">
    <w:abstractNumId w:val="28"/>
  </w:num>
  <w:num w:numId="138">
    <w:abstractNumId w:val="183"/>
  </w:num>
  <w:num w:numId="139">
    <w:abstractNumId w:val="85"/>
  </w:num>
  <w:num w:numId="140">
    <w:abstractNumId w:val="138"/>
  </w:num>
  <w:num w:numId="141">
    <w:abstractNumId w:val="194"/>
  </w:num>
  <w:num w:numId="142">
    <w:abstractNumId w:val="4"/>
  </w:num>
  <w:num w:numId="143">
    <w:abstractNumId w:val="121"/>
  </w:num>
  <w:num w:numId="144">
    <w:abstractNumId w:val="115"/>
  </w:num>
  <w:num w:numId="145">
    <w:abstractNumId w:val="97"/>
  </w:num>
  <w:num w:numId="146">
    <w:abstractNumId w:val="191"/>
  </w:num>
  <w:num w:numId="147">
    <w:abstractNumId w:val="32"/>
  </w:num>
  <w:num w:numId="148">
    <w:abstractNumId w:val="81"/>
  </w:num>
  <w:num w:numId="149">
    <w:abstractNumId w:val="84"/>
  </w:num>
  <w:num w:numId="150">
    <w:abstractNumId w:val="13"/>
  </w:num>
  <w:num w:numId="151">
    <w:abstractNumId w:val="199"/>
  </w:num>
  <w:num w:numId="152">
    <w:abstractNumId w:val="15"/>
  </w:num>
  <w:num w:numId="153">
    <w:abstractNumId w:val="55"/>
  </w:num>
  <w:num w:numId="154">
    <w:abstractNumId w:val="148"/>
  </w:num>
  <w:num w:numId="155">
    <w:abstractNumId w:val="193"/>
  </w:num>
  <w:num w:numId="156">
    <w:abstractNumId w:val="39"/>
  </w:num>
  <w:num w:numId="157">
    <w:abstractNumId w:val="177"/>
  </w:num>
  <w:num w:numId="158">
    <w:abstractNumId w:val="163"/>
  </w:num>
  <w:num w:numId="159">
    <w:abstractNumId w:val="110"/>
  </w:num>
  <w:num w:numId="160">
    <w:abstractNumId w:val="215"/>
  </w:num>
  <w:num w:numId="161">
    <w:abstractNumId w:val="61"/>
  </w:num>
  <w:num w:numId="162">
    <w:abstractNumId w:val="224"/>
  </w:num>
  <w:num w:numId="163">
    <w:abstractNumId w:val="9"/>
  </w:num>
  <w:num w:numId="164">
    <w:abstractNumId w:val="42"/>
  </w:num>
  <w:num w:numId="165">
    <w:abstractNumId w:val="46"/>
  </w:num>
  <w:num w:numId="166">
    <w:abstractNumId w:val="134"/>
  </w:num>
  <w:num w:numId="167">
    <w:abstractNumId w:val="77"/>
  </w:num>
  <w:num w:numId="168">
    <w:abstractNumId w:val="219"/>
  </w:num>
  <w:num w:numId="169">
    <w:abstractNumId w:val="22"/>
  </w:num>
  <w:num w:numId="170">
    <w:abstractNumId w:val="76"/>
  </w:num>
  <w:num w:numId="171">
    <w:abstractNumId w:val="3"/>
  </w:num>
  <w:num w:numId="172">
    <w:abstractNumId w:val="49"/>
  </w:num>
  <w:num w:numId="173">
    <w:abstractNumId w:val="153"/>
  </w:num>
  <w:num w:numId="174">
    <w:abstractNumId w:val="124"/>
  </w:num>
  <w:num w:numId="175">
    <w:abstractNumId w:val="19"/>
  </w:num>
  <w:num w:numId="176">
    <w:abstractNumId w:val="192"/>
  </w:num>
  <w:num w:numId="177">
    <w:abstractNumId w:val="87"/>
  </w:num>
  <w:num w:numId="178">
    <w:abstractNumId w:val="201"/>
  </w:num>
  <w:num w:numId="179">
    <w:abstractNumId w:val="162"/>
  </w:num>
  <w:num w:numId="180">
    <w:abstractNumId w:val="140"/>
  </w:num>
  <w:num w:numId="181">
    <w:abstractNumId w:val="169"/>
  </w:num>
  <w:num w:numId="182">
    <w:abstractNumId w:val="205"/>
  </w:num>
  <w:num w:numId="183">
    <w:abstractNumId w:val="129"/>
  </w:num>
  <w:num w:numId="184">
    <w:abstractNumId w:val="200"/>
  </w:num>
  <w:num w:numId="185">
    <w:abstractNumId w:val="26"/>
  </w:num>
  <w:num w:numId="186">
    <w:abstractNumId w:val="57"/>
  </w:num>
  <w:num w:numId="187">
    <w:abstractNumId w:val="186"/>
  </w:num>
  <w:num w:numId="188">
    <w:abstractNumId w:val="23"/>
  </w:num>
  <w:num w:numId="189">
    <w:abstractNumId w:val="107"/>
  </w:num>
  <w:num w:numId="190">
    <w:abstractNumId w:val="40"/>
  </w:num>
  <w:num w:numId="191">
    <w:abstractNumId w:val="174"/>
  </w:num>
  <w:num w:numId="192">
    <w:abstractNumId w:val="30"/>
  </w:num>
  <w:num w:numId="193">
    <w:abstractNumId w:val="45"/>
  </w:num>
  <w:num w:numId="194">
    <w:abstractNumId w:val="109"/>
  </w:num>
  <w:num w:numId="195">
    <w:abstractNumId w:val="83"/>
  </w:num>
  <w:num w:numId="196">
    <w:abstractNumId w:val="73"/>
  </w:num>
  <w:num w:numId="197">
    <w:abstractNumId w:val="98"/>
  </w:num>
  <w:num w:numId="198">
    <w:abstractNumId w:val="101"/>
  </w:num>
  <w:num w:numId="199">
    <w:abstractNumId w:val="92"/>
  </w:num>
  <w:num w:numId="200">
    <w:abstractNumId w:val="116"/>
  </w:num>
  <w:num w:numId="201">
    <w:abstractNumId w:val="141"/>
  </w:num>
  <w:num w:numId="202">
    <w:abstractNumId w:val="7"/>
  </w:num>
  <w:num w:numId="203">
    <w:abstractNumId w:val="203"/>
  </w:num>
  <w:num w:numId="204">
    <w:abstractNumId w:val="71"/>
  </w:num>
  <w:num w:numId="205">
    <w:abstractNumId w:val="197"/>
  </w:num>
  <w:num w:numId="206">
    <w:abstractNumId w:val="62"/>
  </w:num>
  <w:num w:numId="207">
    <w:abstractNumId w:val="78"/>
  </w:num>
  <w:num w:numId="208">
    <w:abstractNumId w:val="195"/>
  </w:num>
  <w:num w:numId="209">
    <w:abstractNumId w:val="196"/>
  </w:num>
  <w:num w:numId="210">
    <w:abstractNumId w:val="171"/>
  </w:num>
  <w:num w:numId="211">
    <w:abstractNumId w:val="1"/>
  </w:num>
  <w:num w:numId="212">
    <w:abstractNumId w:val="102"/>
  </w:num>
  <w:num w:numId="213">
    <w:abstractNumId w:val="68"/>
  </w:num>
  <w:num w:numId="214">
    <w:abstractNumId w:val="58"/>
  </w:num>
  <w:num w:numId="215">
    <w:abstractNumId w:val="64"/>
  </w:num>
  <w:num w:numId="216">
    <w:abstractNumId w:val="103"/>
  </w:num>
  <w:num w:numId="217">
    <w:abstractNumId w:val="47"/>
  </w:num>
  <w:num w:numId="218">
    <w:abstractNumId w:val="161"/>
  </w:num>
  <w:num w:numId="219">
    <w:abstractNumId w:val="207"/>
  </w:num>
  <w:num w:numId="220">
    <w:abstractNumId w:val="217"/>
  </w:num>
  <w:num w:numId="221">
    <w:abstractNumId w:val="223"/>
  </w:num>
  <w:num w:numId="222">
    <w:abstractNumId w:val="168"/>
  </w:num>
  <w:num w:numId="223">
    <w:abstractNumId w:val="51"/>
  </w:num>
  <w:num w:numId="224">
    <w:abstractNumId w:val="94"/>
  </w:num>
  <w:num w:numId="225">
    <w:abstractNumId w:val="146"/>
  </w:num>
  <w:num w:numId="226">
    <w:abstractNumId w:val="187"/>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5D5"/>
    <w:rsid w:val="000004B6"/>
    <w:rsid w:val="00001D38"/>
    <w:rsid w:val="000042CA"/>
    <w:rsid w:val="00004B09"/>
    <w:rsid w:val="00004E12"/>
    <w:rsid w:val="00006FA8"/>
    <w:rsid w:val="00007218"/>
    <w:rsid w:val="00010060"/>
    <w:rsid w:val="0001007B"/>
    <w:rsid w:val="00010D53"/>
    <w:rsid w:val="00010E0A"/>
    <w:rsid w:val="0001174D"/>
    <w:rsid w:val="00012505"/>
    <w:rsid w:val="00013B0A"/>
    <w:rsid w:val="00013CB7"/>
    <w:rsid w:val="00013FF6"/>
    <w:rsid w:val="00014C95"/>
    <w:rsid w:val="00014D7C"/>
    <w:rsid w:val="00015F9C"/>
    <w:rsid w:val="00017B2C"/>
    <w:rsid w:val="00022043"/>
    <w:rsid w:val="000229B4"/>
    <w:rsid w:val="00022CE4"/>
    <w:rsid w:val="0002329E"/>
    <w:rsid w:val="00030FD8"/>
    <w:rsid w:val="000310D5"/>
    <w:rsid w:val="00031158"/>
    <w:rsid w:val="00031277"/>
    <w:rsid w:val="00031EFE"/>
    <w:rsid w:val="00032744"/>
    <w:rsid w:val="00033ABC"/>
    <w:rsid w:val="00033DDB"/>
    <w:rsid w:val="0003454A"/>
    <w:rsid w:val="00034D0F"/>
    <w:rsid w:val="0003578F"/>
    <w:rsid w:val="000373D2"/>
    <w:rsid w:val="00037D03"/>
    <w:rsid w:val="0004048F"/>
    <w:rsid w:val="000406FE"/>
    <w:rsid w:val="0004082E"/>
    <w:rsid w:val="00041531"/>
    <w:rsid w:val="0004310D"/>
    <w:rsid w:val="00043C97"/>
    <w:rsid w:val="00043CE0"/>
    <w:rsid w:val="00044129"/>
    <w:rsid w:val="0004451E"/>
    <w:rsid w:val="00044AAB"/>
    <w:rsid w:val="000454B0"/>
    <w:rsid w:val="0004578B"/>
    <w:rsid w:val="00046075"/>
    <w:rsid w:val="000469D8"/>
    <w:rsid w:val="00047294"/>
    <w:rsid w:val="000500E1"/>
    <w:rsid w:val="000500E4"/>
    <w:rsid w:val="000535CC"/>
    <w:rsid w:val="000539BD"/>
    <w:rsid w:val="00053F50"/>
    <w:rsid w:val="0005473B"/>
    <w:rsid w:val="00054BAB"/>
    <w:rsid w:val="00055593"/>
    <w:rsid w:val="0005568C"/>
    <w:rsid w:val="000559E4"/>
    <w:rsid w:val="00055AD9"/>
    <w:rsid w:val="00055E7C"/>
    <w:rsid w:val="00056692"/>
    <w:rsid w:val="00056A2A"/>
    <w:rsid w:val="00056A62"/>
    <w:rsid w:val="00057190"/>
    <w:rsid w:val="00057FE0"/>
    <w:rsid w:val="000608BE"/>
    <w:rsid w:val="000628D2"/>
    <w:rsid w:val="00063110"/>
    <w:rsid w:val="0006361A"/>
    <w:rsid w:val="0006506E"/>
    <w:rsid w:val="00065E2A"/>
    <w:rsid w:val="0006630D"/>
    <w:rsid w:val="00066436"/>
    <w:rsid w:val="00070940"/>
    <w:rsid w:val="0007153A"/>
    <w:rsid w:val="00072A5F"/>
    <w:rsid w:val="00072F37"/>
    <w:rsid w:val="00073BBD"/>
    <w:rsid w:val="00074BDB"/>
    <w:rsid w:val="00074E17"/>
    <w:rsid w:val="00077D3F"/>
    <w:rsid w:val="00082B39"/>
    <w:rsid w:val="000838AF"/>
    <w:rsid w:val="00083B27"/>
    <w:rsid w:val="000848BC"/>
    <w:rsid w:val="0008563F"/>
    <w:rsid w:val="000860C6"/>
    <w:rsid w:val="00086E19"/>
    <w:rsid w:val="00087682"/>
    <w:rsid w:val="00090CC7"/>
    <w:rsid w:val="00091554"/>
    <w:rsid w:val="00091662"/>
    <w:rsid w:val="000920A7"/>
    <w:rsid w:val="00092A73"/>
    <w:rsid w:val="0009450A"/>
    <w:rsid w:val="0009510B"/>
    <w:rsid w:val="00095C14"/>
    <w:rsid w:val="00096FBC"/>
    <w:rsid w:val="00097930"/>
    <w:rsid w:val="000A1792"/>
    <w:rsid w:val="000A1B8A"/>
    <w:rsid w:val="000A1DC0"/>
    <w:rsid w:val="000A2469"/>
    <w:rsid w:val="000A37CF"/>
    <w:rsid w:val="000A53F2"/>
    <w:rsid w:val="000A5437"/>
    <w:rsid w:val="000A6302"/>
    <w:rsid w:val="000A67F3"/>
    <w:rsid w:val="000A77B3"/>
    <w:rsid w:val="000B0112"/>
    <w:rsid w:val="000B04CF"/>
    <w:rsid w:val="000B0A59"/>
    <w:rsid w:val="000B0E90"/>
    <w:rsid w:val="000B1B8A"/>
    <w:rsid w:val="000B2017"/>
    <w:rsid w:val="000B26EA"/>
    <w:rsid w:val="000B329E"/>
    <w:rsid w:val="000B7B6C"/>
    <w:rsid w:val="000B7D1E"/>
    <w:rsid w:val="000C0D3A"/>
    <w:rsid w:val="000C10EE"/>
    <w:rsid w:val="000C226F"/>
    <w:rsid w:val="000C2582"/>
    <w:rsid w:val="000C3DD4"/>
    <w:rsid w:val="000C4774"/>
    <w:rsid w:val="000C545D"/>
    <w:rsid w:val="000C58D0"/>
    <w:rsid w:val="000C5C09"/>
    <w:rsid w:val="000C5D2F"/>
    <w:rsid w:val="000D00A0"/>
    <w:rsid w:val="000D01C7"/>
    <w:rsid w:val="000D0D81"/>
    <w:rsid w:val="000D170A"/>
    <w:rsid w:val="000D2575"/>
    <w:rsid w:val="000D2D78"/>
    <w:rsid w:val="000D43E8"/>
    <w:rsid w:val="000E076B"/>
    <w:rsid w:val="000E170A"/>
    <w:rsid w:val="000E1817"/>
    <w:rsid w:val="000E2307"/>
    <w:rsid w:val="000E2611"/>
    <w:rsid w:val="000E2E1A"/>
    <w:rsid w:val="000E429C"/>
    <w:rsid w:val="000E4C54"/>
    <w:rsid w:val="000E5353"/>
    <w:rsid w:val="000E5C4F"/>
    <w:rsid w:val="000E6693"/>
    <w:rsid w:val="000E74A1"/>
    <w:rsid w:val="000F0E44"/>
    <w:rsid w:val="000F1495"/>
    <w:rsid w:val="000F30C0"/>
    <w:rsid w:val="000F3134"/>
    <w:rsid w:val="000F39F6"/>
    <w:rsid w:val="000F3B0C"/>
    <w:rsid w:val="000F70FF"/>
    <w:rsid w:val="000F7B73"/>
    <w:rsid w:val="0010049B"/>
    <w:rsid w:val="00100EA0"/>
    <w:rsid w:val="00102AF8"/>
    <w:rsid w:val="00102B21"/>
    <w:rsid w:val="00102D80"/>
    <w:rsid w:val="00102E0C"/>
    <w:rsid w:val="00103EE3"/>
    <w:rsid w:val="00103FF7"/>
    <w:rsid w:val="00105091"/>
    <w:rsid w:val="001061F9"/>
    <w:rsid w:val="00110123"/>
    <w:rsid w:val="001102A5"/>
    <w:rsid w:val="00110A63"/>
    <w:rsid w:val="00112042"/>
    <w:rsid w:val="00112C35"/>
    <w:rsid w:val="001136F3"/>
    <w:rsid w:val="001145F9"/>
    <w:rsid w:val="00114E31"/>
    <w:rsid w:val="00116DD6"/>
    <w:rsid w:val="00120D5B"/>
    <w:rsid w:val="001219B1"/>
    <w:rsid w:val="001227DF"/>
    <w:rsid w:val="0012299F"/>
    <w:rsid w:val="00123A38"/>
    <w:rsid w:val="00125CB8"/>
    <w:rsid w:val="00126527"/>
    <w:rsid w:val="00127759"/>
    <w:rsid w:val="00127E11"/>
    <w:rsid w:val="001302BF"/>
    <w:rsid w:val="00130425"/>
    <w:rsid w:val="00130BA7"/>
    <w:rsid w:val="00130DB9"/>
    <w:rsid w:val="00131B50"/>
    <w:rsid w:val="0013213C"/>
    <w:rsid w:val="001332FC"/>
    <w:rsid w:val="001334F8"/>
    <w:rsid w:val="001342B9"/>
    <w:rsid w:val="00137E29"/>
    <w:rsid w:val="0014280F"/>
    <w:rsid w:val="00142F36"/>
    <w:rsid w:val="00143D84"/>
    <w:rsid w:val="00143E93"/>
    <w:rsid w:val="00144DBD"/>
    <w:rsid w:val="00145518"/>
    <w:rsid w:val="0014590C"/>
    <w:rsid w:val="00145A96"/>
    <w:rsid w:val="001460EF"/>
    <w:rsid w:val="00146183"/>
    <w:rsid w:val="001500B2"/>
    <w:rsid w:val="00151792"/>
    <w:rsid w:val="0015252F"/>
    <w:rsid w:val="0015281F"/>
    <w:rsid w:val="00154AF3"/>
    <w:rsid w:val="00156805"/>
    <w:rsid w:val="00157DBB"/>
    <w:rsid w:val="00157DCD"/>
    <w:rsid w:val="00161E37"/>
    <w:rsid w:val="00161E94"/>
    <w:rsid w:val="001624E9"/>
    <w:rsid w:val="00162734"/>
    <w:rsid w:val="00162F8B"/>
    <w:rsid w:val="001638AE"/>
    <w:rsid w:val="00164F6C"/>
    <w:rsid w:val="00165394"/>
    <w:rsid w:val="00166450"/>
    <w:rsid w:val="00166D88"/>
    <w:rsid w:val="001701E0"/>
    <w:rsid w:val="00171AC8"/>
    <w:rsid w:val="00172628"/>
    <w:rsid w:val="001726E1"/>
    <w:rsid w:val="00172B41"/>
    <w:rsid w:val="0017350E"/>
    <w:rsid w:val="0017512A"/>
    <w:rsid w:val="00175410"/>
    <w:rsid w:val="00175AE7"/>
    <w:rsid w:val="001768FE"/>
    <w:rsid w:val="001806E2"/>
    <w:rsid w:val="00180D77"/>
    <w:rsid w:val="001826B4"/>
    <w:rsid w:val="001848D1"/>
    <w:rsid w:val="00186BDE"/>
    <w:rsid w:val="00187115"/>
    <w:rsid w:val="00191A85"/>
    <w:rsid w:val="001942F7"/>
    <w:rsid w:val="001958E3"/>
    <w:rsid w:val="00196669"/>
    <w:rsid w:val="00197118"/>
    <w:rsid w:val="001978C5"/>
    <w:rsid w:val="001A0AFF"/>
    <w:rsid w:val="001A1045"/>
    <w:rsid w:val="001A164F"/>
    <w:rsid w:val="001A31C3"/>
    <w:rsid w:val="001A3BB8"/>
    <w:rsid w:val="001A43B7"/>
    <w:rsid w:val="001A4BE4"/>
    <w:rsid w:val="001A5025"/>
    <w:rsid w:val="001A5028"/>
    <w:rsid w:val="001A57BD"/>
    <w:rsid w:val="001A5B51"/>
    <w:rsid w:val="001A6938"/>
    <w:rsid w:val="001A6C5F"/>
    <w:rsid w:val="001A6C70"/>
    <w:rsid w:val="001A6D29"/>
    <w:rsid w:val="001B1A90"/>
    <w:rsid w:val="001B2198"/>
    <w:rsid w:val="001B2F54"/>
    <w:rsid w:val="001B3A0D"/>
    <w:rsid w:val="001B41FF"/>
    <w:rsid w:val="001B43CC"/>
    <w:rsid w:val="001B449A"/>
    <w:rsid w:val="001B4D3C"/>
    <w:rsid w:val="001B5653"/>
    <w:rsid w:val="001B6D72"/>
    <w:rsid w:val="001B7CDF"/>
    <w:rsid w:val="001B7FF0"/>
    <w:rsid w:val="001C039D"/>
    <w:rsid w:val="001C0ECF"/>
    <w:rsid w:val="001C161E"/>
    <w:rsid w:val="001C2014"/>
    <w:rsid w:val="001C2ACE"/>
    <w:rsid w:val="001C2E95"/>
    <w:rsid w:val="001C4253"/>
    <w:rsid w:val="001C497D"/>
    <w:rsid w:val="001C51B8"/>
    <w:rsid w:val="001C681C"/>
    <w:rsid w:val="001C70C6"/>
    <w:rsid w:val="001C7630"/>
    <w:rsid w:val="001D042E"/>
    <w:rsid w:val="001D064A"/>
    <w:rsid w:val="001D25B2"/>
    <w:rsid w:val="001D3787"/>
    <w:rsid w:val="001D3882"/>
    <w:rsid w:val="001D4585"/>
    <w:rsid w:val="001D5049"/>
    <w:rsid w:val="001D68AD"/>
    <w:rsid w:val="001E0409"/>
    <w:rsid w:val="001E0418"/>
    <w:rsid w:val="001E1004"/>
    <w:rsid w:val="001E11D5"/>
    <w:rsid w:val="001E13F0"/>
    <w:rsid w:val="001E2801"/>
    <w:rsid w:val="001E3B68"/>
    <w:rsid w:val="001E6A24"/>
    <w:rsid w:val="001E7131"/>
    <w:rsid w:val="001E7611"/>
    <w:rsid w:val="001F0373"/>
    <w:rsid w:val="001F0443"/>
    <w:rsid w:val="001F09E0"/>
    <w:rsid w:val="001F0F04"/>
    <w:rsid w:val="001F286F"/>
    <w:rsid w:val="001F3F6F"/>
    <w:rsid w:val="001F42A8"/>
    <w:rsid w:val="001F5B82"/>
    <w:rsid w:val="001F77CC"/>
    <w:rsid w:val="002010D5"/>
    <w:rsid w:val="00201ADC"/>
    <w:rsid w:val="00202D2D"/>
    <w:rsid w:val="00210265"/>
    <w:rsid w:val="00211D2F"/>
    <w:rsid w:val="00213415"/>
    <w:rsid w:val="002167EE"/>
    <w:rsid w:val="00216FCB"/>
    <w:rsid w:val="002179C4"/>
    <w:rsid w:val="002200ED"/>
    <w:rsid w:val="00220F9C"/>
    <w:rsid w:val="00223339"/>
    <w:rsid w:val="002240C1"/>
    <w:rsid w:val="00224C9C"/>
    <w:rsid w:val="00225335"/>
    <w:rsid w:val="00226ACC"/>
    <w:rsid w:val="002302AD"/>
    <w:rsid w:val="00232BCA"/>
    <w:rsid w:val="00234BC3"/>
    <w:rsid w:val="00234E33"/>
    <w:rsid w:val="00234F1B"/>
    <w:rsid w:val="002353D6"/>
    <w:rsid w:val="0023686F"/>
    <w:rsid w:val="00236CDD"/>
    <w:rsid w:val="00236E45"/>
    <w:rsid w:val="00240FCF"/>
    <w:rsid w:val="002418B7"/>
    <w:rsid w:val="002427E9"/>
    <w:rsid w:val="00243727"/>
    <w:rsid w:val="00243D3A"/>
    <w:rsid w:val="002472FA"/>
    <w:rsid w:val="002513B8"/>
    <w:rsid w:val="00251681"/>
    <w:rsid w:val="00251F69"/>
    <w:rsid w:val="00252000"/>
    <w:rsid w:val="00252992"/>
    <w:rsid w:val="002531A0"/>
    <w:rsid w:val="002540EF"/>
    <w:rsid w:val="0025535C"/>
    <w:rsid w:val="002553BB"/>
    <w:rsid w:val="002554B6"/>
    <w:rsid w:val="0025557F"/>
    <w:rsid w:val="00255764"/>
    <w:rsid w:val="00257455"/>
    <w:rsid w:val="00257D50"/>
    <w:rsid w:val="00257E70"/>
    <w:rsid w:val="0026291F"/>
    <w:rsid w:val="00262F2B"/>
    <w:rsid w:val="002638B9"/>
    <w:rsid w:val="00263D0B"/>
    <w:rsid w:val="00265DA9"/>
    <w:rsid w:val="00265E04"/>
    <w:rsid w:val="00265FDA"/>
    <w:rsid w:val="002676EE"/>
    <w:rsid w:val="002703F1"/>
    <w:rsid w:val="0027045B"/>
    <w:rsid w:val="00273CCA"/>
    <w:rsid w:val="00274492"/>
    <w:rsid w:val="0027466F"/>
    <w:rsid w:val="0027480D"/>
    <w:rsid w:val="00280028"/>
    <w:rsid w:val="00281B44"/>
    <w:rsid w:val="00283432"/>
    <w:rsid w:val="00283DA7"/>
    <w:rsid w:val="002841B8"/>
    <w:rsid w:val="00284457"/>
    <w:rsid w:val="00285145"/>
    <w:rsid w:val="00285E37"/>
    <w:rsid w:val="0028632B"/>
    <w:rsid w:val="00290778"/>
    <w:rsid w:val="00291025"/>
    <w:rsid w:val="00292024"/>
    <w:rsid w:val="00292DA3"/>
    <w:rsid w:val="0029390A"/>
    <w:rsid w:val="0029411D"/>
    <w:rsid w:val="0029486E"/>
    <w:rsid w:val="00294BA0"/>
    <w:rsid w:val="0029642F"/>
    <w:rsid w:val="00297667"/>
    <w:rsid w:val="0029799A"/>
    <w:rsid w:val="002A224B"/>
    <w:rsid w:val="002A2E6A"/>
    <w:rsid w:val="002A3419"/>
    <w:rsid w:val="002A4D4C"/>
    <w:rsid w:val="002A540A"/>
    <w:rsid w:val="002A620A"/>
    <w:rsid w:val="002A73BD"/>
    <w:rsid w:val="002A7728"/>
    <w:rsid w:val="002A7DC2"/>
    <w:rsid w:val="002B31E5"/>
    <w:rsid w:val="002B36F0"/>
    <w:rsid w:val="002B4B44"/>
    <w:rsid w:val="002B4D79"/>
    <w:rsid w:val="002B598F"/>
    <w:rsid w:val="002B5D93"/>
    <w:rsid w:val="002B5F00"/>
    <w:rsid w:val="002B67E3"/>
    <w:rsid w:val="002B6EFD"/>
    <w:rsid w:val="002B7015"/>
    <w:rsid w:val="002C1EDC"/>
    <w:rsid w:val="002C20A8"/>
    <w:rsid w:val="002C20FB"/>
    <w:rsid w:val="002C340C"/>
    <w:rsid w:val="002C68AB"/>
    <w:rsid w:val="002D0C3F"/>
    <w:rsid w:val="002D3718"/>
    <w:rsid w:val="002D54AA"/>
    <w:rsid w:val="002D5AD0"/>
    <w:rsid w:val="002D6183"/>
    <w:rsid w:val="002D6617"/>
    <w:rsid w:val="002D6993"/>
    <w:rsid w:val="002D6BA1"/>
    <w:rsid w:val="002D72E7"/>
    <w:rsid w:val="002D7919"/>
    <w:rsid w:val="002D799A"/>
    <w:rsid w:val="002E0A6E"/>
    <w:rsid w:val="002E0F69"/>
    <w:rsid w:val="002E15C4"/>
    <w:rsid w:val="002E1E9C"/>
    <w:rsid w:val="002E1F78"/>
    <w:rsid w:val="002E271D"/>
    <w:rsid w:val="002E3326"/>
    <w:rsid w:val="002E342F"/>
    <w:rsid w:val="002E354C"/>
    <w:rsid w:val="002E3609"/>
    <w:rsid w:val="002E3D79"/>
    <w:rsid w:val="002E4B65"/>
    <w:rsid w:val="002E5BAD"/>
    <w:rsid w:val="002E5E24"/>
    <w:rsid w:val="002E5E6A"/>
    <w:rsid w:val="002E7C1A"/>
    <w:rsid w:val="002F0C62"/>
    <w:rsid w:val="002F14AC"/>
    <w:rsid w:val="002F2052"/>
    <w:rsid w:val="002F4961"/>
    <w:rsid w:val="002F4DA0"/>
    <w:rsid w:val="002F5859"/>
    <w:rsid w:val="002F60D9"/>
    <w:rsid w:val="002F72A5"/>
    <w:rsid w:val="002F7701"/>
    <w:rsid w:val="0030086E"/>
    <w:rsid w:val="00301506"/>
    <w:rsid w:val="003018D3"/>
    <w:rsid w:val="0030339E"/>
    <w:rsid w:val="00304518"/>
    <w:rsid w:val="00304E21"/>
    <w:rsid w:val="00305D15"/>
    <w:rsid w:val="00306A7E"/>
    <w:rsid w:val="00307651"/>
    <w:rsid w:val="00307B94"/>
    <w:rsid w:val="00307EA1"/>
    <w:rsid w:val="003118F4"/>
    <w:rsid w:val="0031233A"/>
    <w:rsid w:val="00314E51"/>
    <w:rsid w:val="0032022F"/>
    <w:rsid w:val="00320FB7"/>
    <w:rsid w:val="00321DC7"/>
    <w:rsid w:val="00324A6C"/>
    <w:rsid w:val="00327E35"/>
    <w:rsid w:val="00327FED"/>
    <w:rsid w:val="00330043"/>
    <w:rsid w:val="00330E19"/>
    <w:rsid w:val="003314BF"/>
    <w:rsid w:val="00331834"/>
    <w:rsid w:val="003323DA"/>
    <w:rsid w:val="0033443C"/>
    <w:rsid w:val="003346B6"/>
    <w:rsid w:val="0033523C"/>
    <w:rsid w:val="00335242"/>
    <w:rsid w:val="00335768"/>
    <w:rsid w:val="00335B30"/>
    <w:rsid w:val="00340316"/>
    <w:rsid w:val="003418AA"/>
    <w:rsid w:val="00341A0A"/>
    <w:rsid w:val="003436CC"/>
    <w:rsid w:val="00344E8B"/>
    <w:rsid w:val="0034662B"/>
    <w:rsid w:val="0034720E"/>
    <w:rsid w:val="00347CED"/>
    <w:rsid w:val="0035086B"/>
    <w:rsid w:val="003508B4"/>
    <w:rsid w:val="00351CD8"/>
    <w:rsid w:val="003522F6"/>
    <w:rsid w:val="00352BA0"/>
    <w:rsid w:val="003536F3"/>
    <w:rsid w:val="00354476"/>
    <w:rsid w:val="00355A7C"/>
    <w:rsid w:val="00356108"/>
    <w:rsid w:val="00356F88"/>
    <w:rsid w:val="003577DD"/>
    <w:rsid w:val="00360990"/>
    <w:rsid w:val="003611A9"/>
    <w:rsid w:val="003662BD"/>
    <w:rsid w:val="00366BB0"/>
    <w:rsid w:val="00370311"/>
    <w:rsid w:val="00370564"/>
    <w:rsid w:val="003717A5"/>
    <w:rsid w:val="00371E8D"/>
    <w:rsid w:val="0037457B"/>
    <w:rsid w:val="00374648"/>
    <w:rsid w:val="0037503E"/>
    <w:rsid w:val="0037617C"/>
    <w:rsid w:val="00376386"/>
    <w:rsid w:val="003774F6"/>
    <w:rsid w:val="003777D6"/>
    <w:rsid w:val="00377A28"/>
    <w:rsid w:val="00380135"/>
    <w:rsid w:val="003806C1"/>
    <w:rsid w:val="003807EA"/>
    <w:rsid w:val="00380E51"/>
    <w:rsid w:val="003818E5"/>
    <w:rsid w:val="003819F3"/>
    <w:rsid w:val="003825A0"/>
    <w:rsid w:val="003837A1"/>
    <w:rsid w:val="00383A79"/>
    <w:rsid w:val="00383EA6"/>
    <w:rsid w:val="003866CA"/>
    <w:rsid w:val="003870F6"/>
    <w:rsid w:val="0039176F"/>
    <w:rsid w:val="00391E25"/>
    <w:rsid w:val="0039337D"/>
    <w:rsid w:val="00393A4A"/>
    <w:rsid w:val="00393F52"/>
    <w:rsid w:val="003943E8"/>
    <w:rsid w:val="0039650C"/>
    <w:rsid w:val="0039750A"/>
    <w:rsid w:val="0039766E"/>
    <w:rsid w:val="003A0135"/>
    <w:rsid w:val="003A1726"/>
    <w:rsid w:val="003A198D"/>
    <w:rsid w:val="003A1A52"/>
    <w:rsid w:val="003A1CD2"/>
    <w:rsid w:val="003A2777"/>
    <w:rsid w:val="003A2B68"/>
    <w:rsid w:val="003A37E4"/>
    <w:rsid w:val="003A4B9A"/>
    <w:rsid w:val="003A4BBA"/>
    <w:rsid w:val="003A52D2"/>
    <w:rsid w:val="003A6BB7"/>
    <w:rsid w:val="003A6BBE"/>
    <w:rsid w:val="003A71D2"/>
    <w:rsid w:val="003A757B"/>
    <w:rsid w:val="003B261C"/>
    <w:rsid w:val="003B34D6"/>
    <w:rsid w:val="003B4184"/>
    <w:rsid w:val="003B48D1"/>
    <w:rsid w:val="003B5CA3"/>
    <w:rsid w:val="003B5D62"/>
    <w:rsid w:val="003B6C37"/>
    <w:rsid w:val="003B797F"/>
    <w:rsid w:val="003C047B"/>
    <w:rsid w:val="003C07B6"/>
    <w:rsid w:val="003C09DE"/>
    <w:rsid w:val="003C122E"/>
    <w:rsid w:val="003C1DCA"/>
    <w:rsid w:val="003C33E6"/>
    <w:rsid w:val="003C43D2"/>
    <w:rsid w:val="003C4CCC"/>
    <w:rsid w:val="003C5324"/>
    <w:rsid w:val="003C5AF1"/>
    <w:rsid w:val="003C72EF"/>
    <w:rsid w:val="003C7760"/>
    <w:rsid w:val="003C781E"/>
    <w:rsid w:val="003C7960"/>
    <w:rsid w:val="003C7CFB"/>
    <w:rsid w:val="003D08C1"/>
    <w:rsid w:val="003D0F8B"/>
    <w:rsid w:val="003D22A4"/>
    <w:rsid w:val="003D3412"/>
    <w:rsid w:val="003D4497"/>
    <w:rsid w:val="003D6BF4"/>
    <w:rsid w:val="003D704E"/>
    <w:rsid w:val="003E030D"/>
    <w:rsid w:val="003E034B"/>
    <w:rsid w:val="003E0968"/>
    <w:rsid w:val="003E14CF"/>
    <w:rsid w:val="003E1F7C"/>
    <w:rsid w:val="003E28C7"/>
    <w:rsid w:val="003E334D"/>
    <w:rsid w:val="003E5771"/>
    <w:rsid w:val="003E6BFC"/>
    <w:rsid w:val="003E6D6E"/>
    <w:rsid w:val="003F079F"/>
    <w:rsid w:val="003F19DB"/>
    <w:rsid w:val="003F345D"/>
    <w:rsid w:val="003F3891"/>
    <w:rsid w:val="003F3BAA"/>
    <w:rsid w:val="003F4D25"/>
    <w:rsid w:val="003F4FF3"/>
    <w:rsid w:val="003F65FD"/>
    <w:rsid w:val="003F7BE2"/>
    <w:rsid w:val="00401CCD"/>
    <w:rsid w:val="004022B7"/>
    <w:rsid w:val="004025A9"/>
    <w:rsid w:val="00403279"/>
    <w:rsid w:val="004060B4"/>
    <w:rsid w:val="00406EE3"/>
    <w:rsid w:val="00407912"/>
    <w:rsid w:val="0041046F"/>
    <w:rsid w:val="004104E2"/>
    <w:rsid w:val="004113EC"/>
    <w:rsid w:val="00411551"/>
    <w:rsid w:val="00412155"/>
    <w:rsid w:val="004124C0"/>
    <w:rsid w:val="004135D5"/>
    <w:rsid w:val="0041426F"/>
    <w:rsid w:val="004146FA"/>
    <w:rsid w:val="004164A6"/>
    <w:rsid w:val="004165A6"/>
    <w:rsid w:val="00416FDF"/>
    <w:rsid w:val="00420C6A"/>
    <w:rsid w:val="00421BC4"/>
    <w:rsid w:val="004222A9"/>
    <w:rsid w:val="0042252A"/>
    <w:rsid w:val="00422834"/>
    <w:rsid w:val="00422A16"/>
    <w:rsid w:val="00422E9D"/>
    <w:rsid w:val="00424248"/>
    <w:rsid w:val="00424403"/>
    <w:rsid w:val="00424673"/>
    <w:rsid w:val="00425F96"/>
    <w:rsid w:val="00426F99"/>
    <w:rsid w:val="00427360"/>
    <w:rsid w:val="004277CB"/>
    <w:rsid w:val="00427D19"/>
    <w:rsid w:val="00427D3E"/>
    <w:rsid w:val="00431217"/>
    <w:rsid w:val="00431616"/>
    <w:rsid w:val="0043331C"/>
    <w:rsid w:val="00435881"/>
    <w:rsid w:val="00435E31"/>
    <w:rsid w:val="004360E0"/>
    <w:rsid w:val="00436AF1"/>
    <w:rsid w:val="004372DB"/>
    <w:rsid w:val="00437D68"/>
    <w:rsid w:val="004410FB"/>
    <w:rsid w:val="00442ACE"/>
    <w:rsid w:val="00444569"/>
    <w:rsid w:val="004448B7"/>
    <w:rsid w:val="00444EA2"/>
    <w:rsid w:val="00445FD1"/>
    <w:rsid w:val="00450219"/>
    <w:rsid w:val="00450F4B"/>
    <w:rsid w:val="00451367"/>
    <w:rsid w:val="00451730"/>
    <w:rsid w:val="00451BE0"/>
    <w:rsid w:val="0045213E"/>
    <w:rsid w:val="00452C1F"/>
    <w:rsid w:val="00453FFF"/>
    <w:rsid w:val="0045444C"/>
    <w:rsid w:val="00454789"/>
    <w:rsid w:val="004549AE"/>
    <w:rsid w:val="00454BDC"/>
    <w:rsid w:val="0045512B"/>
    <w:rsid w:val="004553CC"/>
    <w:rsid w:val="00455F55"/>
    <w:rsid w:val="00460E5F"/>
    <w:rsid w:val="00461C9E"/>
    <w:rsid w:val="00461DCD"/>
    <w:rsid w:val="00463AF2"/>
    <w:rsid w:val="0046473E"/>
    <w:rsid w:val="00464A0F"/>
    <w:rsid w:val="00464EE0"/>
    <w:rsid w:val="0046680D"/>
    <w:rsid w:val="00467440"/>
    <w:rsid w:val="00467587"/>
    <w:rsid w:val="004703E6"/>
    <w:rsid w:val="0047053D"/>
    <w:rsid w:val="004708DB"/>
    <w:rsid w:val="00472169"/>
    <w:rsid w:val="00472662"/>
    <w:rsid w:val="00472B60"/>
    <w:rsid w:val="00472E86"/>
    <w:rsid w:val="0047320E"/>
    <w:rsid w:val="00474607"/>
    <w:rsid w:val="00474A79"/>
    <w:rsid w:val="00477664"/>
    <w:rsid w:val="004777E0"/>
    <w:rsid w:val="00477D15"/>
    <w:rsid w:val="004840B6"/>
    <w:rsid w:val="00484665"/>
    <w:rsid w:val="00485102"/>
    <w:rsid w:val="00485F87"/>
    <w:rsid w:val="00486919"/>
    <w:rsid w:val="00490AA7"/>
    <w:rsid w:val="00490B7A"/>
    <w:rsid w:val="00490DB1"/>
    <w:rsid w:val="00490F86"/>
    <w:rsid w:val="004912F9"/>
    <w:rsid w:val="00491650"/>
    <w:rsid w:val="00491B28"/>
    <w:rsid w:val="00491BC8"/>
    <w:rsid w:val="00491F13"/>
    <w:rsid w:val="00492443"/>
    <w:rsid w:val="00493B71"/>
    <w:rsid w:val="00493CBE"/>
    <w:rsid w:val="00494C26"/>
    <w:rsid w:val="00494D2C"/>
    <w:rsid w:val="00494EB1"/>
    <w:rsid w:val="004951E6"/>
    <w:rsid w:val="004952D1"/>
    <w:rsid w:val="004952DA"/>
    <w:rsid w:val="004954B7"/>
    <w:rsid w:val="00495A39"/>
    <w:rsid w:val="0049658B"/>
    <w:rsid w:val="00496E22"/>
    <w:rsid w:val="00497FE6"/>
    <w:rsid w:val="004A0048"/>
    <w:rsid w:val="004A076B"/>
    <w:rsid w:val="004A0C7E"/>
    <w:rsid w:val="004A42F7"/>
    <w:rsid w:val="004A47DC"/>
    <w:rsid w:val="004A6165"/>
    <w:rsid w:val="004A637D"/>
    <w:rsid w:val="004B0980"/>
    <w:rsid w:val="004B12B8"/>
    <w:rsid w:val="004B1524"/>
    <w:rsid w:val="004B32E9"/>
    <w:rsid w:val="004B370E"/>
    <w:rsid w:val="004B45CC"/>
    <w:rsid w:val="004B4EDC"/>
    <w:rsid w:val="004B51A6"/>
    <w:rsid w:val="004B6949"/>
    <w:rsid w:val="004B69E1"/>
    <w:rsid w:val="004B6CE3"/>
    <w:rsid w:val="004B712C"/>
    <w:rsid w:val="004B754B"/>
    <w:rsid w:val="004B7A84"/>
    <w:rsid w:val="004C03B0"/>
    <w:rsid w:val="004C1046"/>
    <w:rsid w:val="004C14DD"/>
    <w:rsid w:val="004C1D11"/>
    <w:rsid w:val="004C1E9F"/>
    <w:rsid w:val="004C1EA4"/>
    <w:rsid w:val="004C388F"/>
    <w:rsid w:val="004C3D5D"/>
    <w:rsid w:val="004C54BF"/>
    <w:rsid w:val="004C67F9"/>
    <w:rsid w:val="004D00F5"/>
    <w:rsid w:val="004D0A17"/>
    <w:rsid w:val="004D3025"/>
    <w:rsid w:val="004D310B"/>
    <w:rsid w:val="004D35C6"/>
    <w:rsid w:val="004D585B"/>
    <w:rsid w:val="004D5B86"/>
    <w:rsid w:val="004D637A"/>
    <w:rsid w:val="004D6B95"/>
    <w:rsid w:val="004D7410"/>
    <w:rsid w:val="004D7A5B"/>
    <w:rsid w:val="004D7BA5"/>
    <w:rsid w:val="004E0797"/>
    <w:rsid w:val="004E08A5"/>
    <w:rsid w:val="004E3E1A"/>
    <w:rsid w:val="004E4B50"/>
    <w:rsid w:val="004E5B9F"/>
    <w:rsid w:val="004E70A1"/>
    <w:rsid w:val="004E7780"/>
    <w:rsid w:val="004E7E14"/>
    <w:rsid w:val="004F21A8"/>
    <w:rsid w:val="004F294F"/>
    <w:rsid w:val="004F3029"/>
    <w:rsid w:val="004F3D5E"/>
    <w:rsid w:val="004F4108"/>
    <w:rsid w:val="004F4850"/>
    <w:rsid w:val="004F5913"/>
    <w:rsid w:val="004F6CEE"/>
    <w:rsid w:val="004F7541"/>
    <w:rsid w:val="004F7898"/>
    <w:rsid w:val="005000C3"/>
    <w:rsid w:val="005002CA"/>
    <w:rsid w:val="005004D4"/>
    <w:rsid w:val="00500842"/>
    <w:rsid w:val="00501B6C"/>
    <w:rsid w:val="00501B74"/>
    <w:rsid w:val="00502B86"/>
    <w:rsid w:val="00502DDC"/>
    <w:rsid w:val="0050327F"/>
    <w:rsid w:val="00505011"/>
    <w:rsid w:val="00505153"/>
    <w:rsid w:val="00505B32"/>
    <w:rsid w:val="005064F6"/>
    <w:rsid w:val="005065A6"/>
    <w:rsid w:val="00507529"/>
    <w:rsid w:val="005076ED"/>
    <w:rsid w:val="00510D64"/>
    <w:rsid w:val="00511429"/>
    <w:rsid w:val="00512096"/>
    <w:rsid w:val="00513594"/>
    <w:rsid w:val="0051403A"/>
    <w:rsid w:val="00515E1B"/>
    <w:rsid w:val="00517A03"/>
    <w:rsid w:val="005214AC"/>
    <w:rsid w:val="00521910"/>
    <w:rsid w:val="00522F25"/>
    <w:rsid w:val="00522FBA"/>
    <w:rsid w:val="0052318C"/>
    <w:rsid w:val="00523A63"/>
    <w:rsid w:val="00524180"/>
    <w:rsid w:val="00524B83"/>
    <w:rsid w:val="00524CF4"/>
    <w:rsid w:val="00524EDD"/>
    <w:rsid w:val="00525480"/>
    <w:rsid w:val="0052610C"/>
    <w:rsid w:val="005261CC"/>
    <w:rsid w:val="0052729E"/>
    <w:rsid w:val="00527583"/>
    <w:rsid w:val="0052784A"/>
    <w:rsid w:val="00530417"/>
    <w:rsid w:val="00530E90"/>
    <w:rsid w:val="00531570"/>
    <w:rsid w:val="005316BC"/>
    <w:rsid w:val="0053290C"/>
    <w:rsid w:val="00532DDE"/>
    <w:rsid w:val="005334F5"/>
    <w:rsid w:val="0053365D"/>
    <w:rsid w:val="00534196"/>
    <w:rsid w:val="00535524"/>
    <w:rsid w:val="00541210"/>
    <w:rsid w:val="00542842"/>
    <w:rsid w:val="00543119"/>
    <w:rsid w:val="005432F7"/>
    <w:rsid w:val="0054457B"/>
    <w:rsid w:val="005455FD"/>
    <w:rsid w:val="005457DD"/>
    <w:rsid w:val="00547E9B"/>
    <w:rsid w:val="00550520"/>
    <w:rsid w:val="00550847"/>
    <w:rsid w:val="00552003"/>
    <w:rsid w:val="005520DA"/>
    <w:rsid w:val="005528AC"/>
    <w:rsid w:val="00553C90"/>
    <w:rsid w:val="00554453"/>
    <w:rsid w:val="005549EA"/>
    <w:rsid w:val="005551D8"/>
    <w:rsid w:val="00557E2E"/>
    <w:rsid w:val="0056001C"/>
    <w:rsid w:val="00560CDA"/>
    <w:rsid w:val="00561E32"/>
    <w:rsid w:val="005623F7"/>
    <w:rsid w:val="00562795"/>
    <w:rsid w:val="0056291D"/>
    <w:rsid w:val="00562E03"/>
    <w:rsid w:val="00563C1A"/>
    <w:rsid w:val="00564B5B"/>
    <w:rsid w:val="0056541D"/>
    <w:rsid w:val="00565C47"/>
    <w:rsid w:val="00565DB1"/>
    <w:rsid w:val="00565E2D"/>
    <w:rsid w:val="00567E4F"/>
    <w:rsid w:val="00570693"/>
    <w:rsid w:val="00570AC1"/>
    <w:rsid w:val="005718D1"/>
    <w:rsid w:val="005732E0"/>
    <w:rsid w:val="005739B9"/>
    <w:rsid w:val="00573DF1"/>
    <w:rsid w:val="00573E5D"/>
    <w:rsid w:val="00574D6D"/>
    <w:rsid w:val="005754F3"/>
    <w:rsid w:val="0057602B"/>
    <w:rsid w:val="00576224"/>
    <w:rsid w:val="005762A7"/>
    <w:rsid w:val="005772A0"/>
    <w:rsid w:val="00580830"/>
    <w:rsid w:val="00581B1A"/>
    <w:rsid w:val="005847E7"/>
    <w:rsid w:val="005853AE"/>
    <w:rsid w:val="00586771"/>
    <w:rsid w:val="00587E31"/>
    <w:rsid w:val="005901AC"/>
    <w:rsid w:val="00591134"/>
    <w:rsid w:val="0059168C"/>
    <w:rsid w:val="0059254A"/>
    <w:rsid w:val="00594709"/>
    <w:rsid w:val="00595644"/>
    <w:rsid w:val="00596E51"/>
    <w:rsid w:val="00597CF2"/>
    <w:rsid w:val="005A148C"/>
    <w:rsid w:val="005A1D9C"/>
    <w:rsid w:val="005A2BFD"/>
    <w:rsid w:val="005A59DE"/>
    <w:rsid w:val="005A5F78"/>
    <w:rsid w:val="005A679E"/>
    <w:rsid w:val="005A6D34"/>
    <w:rsid w:val="005B097B"/>
    <w:rsid w:val="005B18B2"/>
    <w:rsid w:val="005B20CF"/>
    <w:rsid w:val="005B4A76"/>
    <w:rsid w:val="005B5677"/>
    <w:rsid w:val="005B73C2"/>
    <w:rsid w:val="005C029F"/>
    <w:rsid w:val="005C02E0"/>
    <w:rsid w:val="005C1D5C"/>
    <w:rsid w:val="005C298D"/>
    <w:rsid w:val="005C2B05"/>
    <w:rsid w:val="005C2DAA"/>
    <w:rsid w:val="005C4076"/>
    <w:rsid w:val="005C4C37"/>
    <w:rsid w:val="005C5A4B"/>
    <w:rsid w:val="005D0564"/>
    <w:rsid w:val="005D0BD9"/>
    <w:rsid w:val="005D182E"/>
    <w:rsid w:val="005D35CB"/>
    <w:rsid w:val="005D37A3"/>
    <w:rsid w:val="005D50EF"/>
    <w:rsid w:val="005D6E30"/>
    <w:rsid w:val="005D7973"/>
    <w:rsid w:val="005D7DFE"/>
    <w:rsid w:val="005E05D4"/>
    <w:rsid w:val="005E151C"/>
    <w:rsid w:val="005E377A"/>
    <w:rsid w:val="005E3925"/>
    <w:rsid w:val="005E4698"/>
    <w:rsid w:val="005E4720"/>
    <w:rsid w:val="005E5046"/>
    <w:rsid w:val="005E6E27"/>
    <w:rsid w:val="005F00A5"/>
    <w:rsid w:val="005F0BD5"/>
    <w:rsid w:val="005F15D8"/>
    <w:rsid w:val="005F17C9"/>
    <w:rsid w:val="005F2257"/>
    <w:rsid w:val="005F2344"/>
    <w:rsid w:val="005F2FF8"/>
    <w:rsid w:val="005F3487"/>
    <w:rsid w:val="005F3732"/>
    <w:rsid w:val="005F5B8F"/>
    <w:rsid w:val="005F64F0"/>
    <w:rsid w:val="005F6FF2"/>
    <w:rsid w:val="005F73FB"/>
    <w:rsid w:val="006001B0"/>
    <w:rsid w:val="006006F6"/>
    <w:rsid w:val="00600C9D"/>
    <w:rsid w:val="00601824"/>
    <w:rsid w:val="00601B46"/>
    <w:rsid w:val="00601CB8"/>
    <w:rsid w:val="00602FE0"/>
    <w:rsid w:val="00603B45"/>
    <w:rsid w:val="00603EF3"/>
    <w:rsid w:val="00604306"/>
    <w:rsid w:val="00604812"/>
    <w:rsid w:val="0060487F"/>
    <w:rsid w:val="00604EBF"/>
    <w:rsid w:val="006063EF"/>
    <w:rsid w:val="00607311"/>
    <w:rsid w:val="00607348"/>
    <w:rsid w:val="0060749B"/>
    <w:rsid w:val="00610532"/>
    <w:rsid w:val="0061127B"/>
    <w:rsid w:val="00612A72"/>
    <w:rsid w:val="00614430"/>
    <w:rsid w:val="00614B84"/>
    <w:rsid w:val="00615135"/>
    <w:rsid w:val="0061528E"/>
    <w:rsid w:val="0061721D"/>
    <w:rsid w:val="0062029C"/>
    <w:rsid w:val="006209BD"/>
    <w:rsid w:val="006228E4"/>
    <w:rsid w:val="00623058"/>
    <w:rsid w:val="006234AF"/>
    <w:rsid w:val="00625C65"/>
    <w:rsid w:val="00626990"/>
    <w:rsid w:val="006269D4"/>
    <w:rsid w:val="00626CB9"/>
    <w:rsid w:val="00626DC0"/>
    <w:rsid w:val="0062733F"/>
    <w:rsid w:val="006275C8"/>
    <w:rsid w:val="00627D16"/>
    <w:rsid w:val="00630111"/>
    <w:rsid w:val="006314D2"/>
    <w:rsid w:val="0063203F"/>
    <w:rsid w:val="00633F20"/>
    <w:rsid w:val="00633FB5"/>
    <w:rsid w:val="00634644"/>
    <w:rsid w:val="00635215"/>
    <w:rsid w:val="006356B3"/>
    <w:rsid w:val="006373ED"/>
    <w:rsid w:val="00637801"/>
    <w:rsid w:val="006443B2"/>
    <w:rsid w:val="00644460"/>
    <w:rsid w:val="00645255"/>
    <w:rsid w:val="0064689F"/>
    <w:rsid w:val="00647C49"/>
    <w:rsid w:val="0065043D"/>
    <w:rsid w:val="00650DF6"/>
    <w:rsid w:val="00650E04"/>
    <w:rsid w:val="00650EAC"/>
    <w:rsid w:val="00651EF0"/>
    <w:rsid w:val="00652A40"/>
    <w:rsid w:val="00652DD4"/>
    <w:rsid w:val="00653F83"/>
    <w:rsid w:val="00657E5A"/>
    <w:rsid w:val="0066098C"/>
    <w:rsid w:val="0066132D"/>
    <w:rsid w:val="00662898"/>
    <w:rsid w:val="00662FD8"/>
    <w:rsid w:val="00663079"/>
    <w:rsid w:val="00663318"/>
    <w:rsid w:val="00663894"/>
    <w:rsid w:val="00664109"/>
    <w:rsid w:val="00664573"/>
    <w:rsid w:val="0066590B"/>
    <w:rsid w:val="00665C19"/>
    <w:rsid w:val="00667933"/>
    <w:rsid w:val="006701A6"/>
    <w:rsid w:val="006710A7"/>
    <w:rsid w:val="00671848"/>
    <w:rsid w:val="00671E47"/>
    <w:rsid w:val="00672473"/>
    <w:rsid w:val="00672E5D"/>
    <w:rsid w:val="00673C73"/>
    <w:rsid w:val="006809A2"/>
    <w:rsid w:val="006816CE"/>
    <w:rsid w:val="006825A0"/>
    <w:rsid w:val="00690438"/>
    <w:rsid w:val="00690536"/>
    <w:rsid w:val="006912DB"/>
    <w:rsid w:val="0069302E"/>
    <w:rsid w:val="00694C21"/>
    <w:rsid w:val="00694E58"/>
    <w:rsid w:val="00694F96"/>
    <w:rsid w:val="00695F54"/>
    <w:rsid w:val="00696128"/>
    <w:rsid w:val="00696E16"/>
    <w:rsid w:val="006979CF"/>
    <w:rsid w:val="006A0097"/>
    <w:rsid w:val="006A14DF"/>
    <w:rsid w:val="006A1CE7"/>
    <w:rsid w:val="006A3F27"/>
    <w:rsid w:val="006A4ACF"/>
    <w:rsid w:val="006A4C5A"/>
    <w:rsid w:val="006A5AAA"/>
    <w:rsid w:val="006A6510"/>
    <w:rsid w:val="006B1722"/>
    <w:rsid w:val="006B25C4"/>
    <w:rsid w:val="006B3430"/>
    <w:rsid w:val="006B3A22"/>
    <w:rsid w:val="006B42C2"/>
    <w:rsid w:val="006B44B1"/>
    <w:rsid w:val="006B472B"/>
    <w:rsid w:val="006B476F"/>
    <w:rsid w:val="006B589A"/>
    <w:rsid w:val="006B67BD"/>
    <w:rsid w:val="006C36D2"/>
    <w:rsid w:val="006C3DD7"/>
    <w:rsid w:val="006C4266"/>
    <w:rsid w:val="006C4FFE"/>
    <w:rsid w:val="006C53FA"/>
    <w:rsid w:val="006C5F1D"/>
    <w:rsid w:val="006C64C9"/>
    <w:rsid w:val="006C7B31"/>
    <w:rsid w:val="006D13F3"/>
    <w:rsid w:val="006D1FC4"/>
    <w:rsid w:val="006D2145"/>
    <w:rsid w:val="006D49CD"/>
    <w:rsid w:val="006D4BF3"/>
    <w:rsid w:val="006D4F0D"/>
    <w:rsid w:val="006D58B0"/>
    <w:rsid w:val="006D6A92"/>
    <w:rsid w:val="006D6AED"/>
    <w:rsid w:val="006D7A6A"/>
    <w:rsid w:val="006E0A0A"/>
    <w:rsid w:val="006E0C1C"/>
    <w:rsid w:val="006E1502"/>
    <w:rsid w:val="006E200B"/>
    <w:rsid w:val="006E2325"/>
    <w:rsid w:val="006E3AEC"/>
    <w:rsid w:val="006E41C3"/>
    <w:rsid w:val="006E44C8"/>
    <w:rsid w:val="006E4C33"/>
    <w:rsid w:val="006E5930"/>
    <w:rsid w:val="006E5A9B"/>
    <w:rsid w:val="006E6B27"/>
    <w:rsid w:val="006E7041"/>
    <w:rsid w:val="006E7CC9"/>
    <w:rsid w:val="006F02E7"/>
    <w:rsid w:val="006F080E"/>
    <w:rsid w:val="006F0A35"/>
    <w:rsid w:val="006F2494"/>
    <w:rsid w:val="006F2538"/>
    <w:rsid w:val="006F3C2E"/>
    <w:rsid w:val="006F4FF5"/>
    <w:rsid w:val="006F5354"/>
    <w:rsid w:val="006F5F88"/>
    <w:rsid w:val="006F69CF"/>
    <w:rsid w:val="0070016B"/>
    <w:rsid w:val="007005E9"/>
    <w:rsid w:val="00700A1F"/>
    <w:rsid w:val="00701A15"/>
    <w:rsid w:val="00702679"/>
    <w:rsid w:val="00702DD1"/>
    <w:rsid w:val="00703AD5"/>
    <w:rsid w:val="007044F5"/>
    <w:rsid w:val="0070558E"/>
    <w:rsid w:val="00706B5A"/>
    <w:rsid w:val="00707A22"/>
    <w:rsid w:val="00710939"/>
    <w:rsid w:val="007121A4"/>
    <w:rsid w:val="00713045"/>
    <w:rsid w:val="007131DC"/>
    <w:rsid w:val="00713560"/>
    <w:rsid w:val="00714512"/>
    <w:rsid w:val="0071518A"/>
    <w:rsid w:val="00717155"/>
    <w:rsid w:val="00717228"/>
    <w:rsid w:val="0071798D"/>
    <w:rsid w:val="00717AD5"/>
    <w:rsid w:val="00720CAC"/>
    <w:rsid w:val="00721BC1"/>
    <w:rsid w:val="00722AED"/>
    <w:rsid w:val="00725EDE"/>
    <w:rsid w:val="00727FFA"/>
    <w:rsid w:val="00730BB9"/>
    <w:rsid w:val="00732662"/>
    <w:rsid w:val="00733360"/>
    <w:rsid w:val="00734EAE"/>
    <w:rsid w:val="00735235"/>
    <w:rsid w:val="00735C13"/>
    <w:rsid w:val="00736109"/>
    <w:rsid w:val="00737621"/>
    <w:rsid w:val="00737BA8"/>
    <w:rsid w:val="00741BB4"/>
    <w:rsid w:val="0074226A"/>
    <w:rsid w:val="00742BB4"/>
    <w:rsid w:val="00743BFD"/>
    <w:rsid w:val="0074403E"/>
    <w:rsid w:val="0074654E"/>
    <w:rsid w:val="00747AEA"/>
    <w:rsid w:val="007513B3"/>
    <w:rsid w:val="007516B6"/>
    <w:rsid w:val="007518FC"/>
    <w:rsid w:val="00752303"/>
    <w:rsid w:val="00752494"/>
    <w:rsid w:val="00753084"/>
    <w:rsid w:val="00753C58"/>
    <w:rsid w:val="00753C79"/>
    <w:rsid w:val="00754B24"/>
    <w:rsid w:val="007551A4"/>
    <w:rsid w:val="0075545A"/>
    <w:rsid w:val="00757CA1"/>
    <w:rsid w:val="00760449"/>
    <w:rsid w:val="007605F1"/>
    <w:rsid w:val="0076173E"/>
    <w:rsid w:val="007619FD"/>
    <w:rsid w:val="00761ACD"/>
    <w:rsid w:val="0076287C"/>
    <w:rsid w:val="0076410E"/>
    <w:rsid w:val="00764655"/>
    <w:rsid w:val="0076496A"/>
    <w:rsid w:val="00764A70"/>
    <w:rsid w:val="0076549E"/>
    <w:rsid w:val="00765980"/>
    <w:rsid w:val="00765C77"/>
    <w:rsid w:val="00766C8C"/>
    <w:rsid w:val="00766DC6"/>
    <w:rsid w:val="0076784A"/>
    <w:rsid w:val="007701FA"/>
    <w:rsid w:val="00770BC5"/>
    <w:rsid w:val="0077356E"/>
    <w:rsid w:val="007752F2"/>
    <w:rsid w:val="0077551F"/>
    <w:rsid w:val="00775774"/>
    <w:rsid w:val="00775F2D"/>
    <w:rsid w:val="00776881"/>
    <w:rsid w:val="00777353"/>
    <w:rsid w:val="0078059F"/>
    <w:rsid w:val="00780B29"/>
    <w:rsid w:val="00781C14"/>
    <w:rsid w:val="00782259"/>
    <w:rsid w:val="007841BF"/>
    <w:rsid w:val="00784D1A"/>
    <w:rsid w:val="0078529C"/>
    <w:rsid w:val="00785743"/>
    <w:rsid w:val="00785AB1"/>
    <w:rsid w:val="00786288"/>
    <w:rsid w:val="00790544"/>
    <w:rsid w:val="007924E3"/>
    <w:rsid w:val="0079440E"/>
    <w:rsid w:val="007944E1"/>
    <w:rsid w:val="00795E13"/>
    <w:rsid w:val="00796F4E"/>
    <w:rsid w:val="007A2270"/>
    <w:rsid w:val="007A3375"/>
    <w:rsid w:val="007A38D0"/>
    <w:rsid w:val="007A50CE"/>
    <w:rsid w:val="007A5C2F"/>
    <w:rsid w:val="007A6B9D"/>
    <w:rsid w:val="007A7670"/>
    <w:rsid w:val="007B0B81"/>
    <w:rsid w:val="007B0EF1"/>
    <w:rsid w:val="007B4231"/>
    <w:rsid w:val="007B4C1D"/>
    <w:rsid w:val="007B5A1E"/>
    <w:rsid w:val="007B622B"/>
    <w:rsid w:val="007C1DBE"/>
    <w:rsid w:val="007C231C"/>
    <w:rsid w:val="007C378C"/>
    <w:rsid w:val="007C3D1B"/>
    <w:rsid w:val="007C425C"/>
    <w:rsid w:val="007C5417"/>
    <w:rsid w:val="007C58EC"/>
    <w:rsid w:val="007C5AA0"/>
    <w:rsid w:val="007C5B2A"/>
    <w:rsid w:val="007D6167"/>
    <w:rsid w:val="007D7590"/>
    <w:rsid w:val="007D7A63"/>
    <w:rsid w:val="007E0005"/>
    <w:rsid w:val="007E0965"/>
    <w:rsid w:val="007E1645"/>
    <w:rsid w:val="007E37AD"/>
    <w:rsid w:val="007E37F3"/>
    <w:rsid w:val="007E3A58"/>
    <w:rsid w:val="007E474D"/>
    <w:rsid w:val="007E4B76"/>
    <w:rsid w:val="007E4D37"/>
    <w:rsid w:val="007E5995"/>
    <w:rsid w:val="007E72E1"/>
    <w:rsid w:val="007F0E11"/>
    <w:rsid w:val="007F0F5F"/>
    <w:rsid w:val="007F26C9"/>
    <w:rsid w:val="007F27E6"/>
    <w:rsid w:val="007F2C53"/>
    <w:rsid w:val="007F3074"/>
    <w:rsid w:val="007F3E47"/>
    <w:rsid w:val="007F4CBF"/>
    <w:rsid w:val="007F7789"/>
    <w:rsid w:val="007F7819"/>
    <w:rsid w:val="008005D1"/>
    <w:rsid w:val="008009E5"/>
    <w:rsid w:val="00800DBF"/>
    <w:rsid w:val="00800E79"/>
    <w:rsid w:val="0080276F"/>
    <w:rsid w:val="008030A3"/>
    <w:rsid w:val="00803C22"/>
    <w:rsid w:val="00804118"/>
    <w:rsid w:val="008044BF"/>
    <w:rsid w:val="008066A9"/>
    <w:rsid w:val="00806B9D"/>
    <w:rsid w:val="00806C5D"/>
    <w:rsid w:val="00810753"/>
    <w:rsid w:val="00810E49"/>
    <w:rsid w:val="008137C2"/>
    <w:rsid w:val="00813FCC"/>
    <w:rsid w:val="00814AF7"/>
    <w:rsid w:val="00814D7D"/>
    <w:rsid w:val="00815433"/>
    <w:rsid w:val="00815A8A"/>
    <w:rsid w:val="00815B80"/>
    <w:rsid w:val="008164D1"/>
    <w:rsid w:val="008164E1"/>
    <w:rsid w:val="0081663B"/>
    <w:rsid w:val="00816975"/>
    <w:rsid w:val="00816BB5"/>
    <w:rsid w:val="00820A27"/>
    <w:rsid w:val="00820DA4"/>
    <w:rsid w:val="00820DF4"/>
    <w:rsid w:val="00821979"/>
    <w:rsid w:val="00824892"/>
    <w:rsid w:val="00830CF3"/>
    <w:rsid w:val="00830F29"/>
    <w:rsid w:val="00831CB2"/>
    <w:rsid w:val="00832651"/>
    <w:rsid w:val="0083356E"/>
    <w:rsid w:val="00836538"/>
    <w:rsid w:val="00836EBB"/>
    <w:rsid w:val="00836EEA"/>
    <w:rsid w:val="0084098F"/>
    <w:rsid w:val="008409C3"/>
    <w:rsid w:val="0084263B"/>
    <w:rsid w:val="00842E75"/>
    <w:rsid w:val="00844733"/>
    <w:rsid w:val="00845B3C"/>
    <w:rsid w:val="008466D6"/>
    <w:rsid w:val="00847B81"/>
    <w:rsid w:val="00850953"/>
    <w:rsid w:val="0085140C"/>
    <w:rsid w:val="00851B98"/>
    <w:rsid w:val="00851C82"/>
    <w:rsid w:val="00851F68"/>
    <w:rsid w:val="00852F47"/>
    <w:rsid w:val="008531B5"/>
    <w:rsid w:val="00853A82"/>
    <w:rsid w:val="00855504"/>
    <w:rsid w:val="00856B9B"/>
    <w:rsid w:val="00857A0D"/>
    <w:rsid w:val="008614C6"/>
    <w:rsid w:val="00861BAD"/>
    <w:rsid w:val="00862200"/>
    <w:rsid w:val="00863F18"/>
    <w:rsid w:val="00864038"/>
    <w:rsid w:val="0086471B"/>
    <w:rsid w:val="00864DB5"/>
    <w:rsid w:val="0086682B"/>
    <w:rsid w:val="00867616"/>
    <w:rsid w:val="00871459"/>
    <w:rsid w:val="008714E2"/>
    <w:rsid w:val="0087192A"/>
    <w:rsid w:val="00871EE9"/>
    <w:rsid w:val="008727CD"/>
    <w:rsid w:val="00874667"/>
    <w:rsid w:val="008818F2"/>
    <w:rsid w:val="00882479"/>
    <w:rsid w:val="00884558"/>
    <w:rsid w:val="00884695"/>
    <w:rsid w:val="00884756"/>
    <w:rsid w:val="008850B2"/>
    <w:rsid w:val="00885CF0"/>
    <w:rsid w:val="00887DB9"/>
    <w:rsid w:val="008903E8"/>
    <w:rsid w:val="00890F86"/>
    <w:rsid w:val="00891BA6"/>
    <w:rsid w:val="00891EB1"/>
    <w:rsid w:val="00892BF4"/>
    <w:rsid w:val="0089688B"/>
    <w:rsid w:val="00896B8D"/>
    <w:rsid w:val="00897B39"/>
    <w:rsid w:val="008A00AC"/>
    <w:rsid w:val="008A01C4"/>
    <w:rsid w:val="008A0D72"/>
    <w:rsid w:val="008A428B"/>
    <w:rsid w:val="008A5862"/>
    <w:rsid w:val="008A5C05"/>
    <w:rsid w:val="008A768C"/>
    <w:rsid w:val="008A79D3"/>
    <w:rsid w:val="008B0A92"/>
    <w:rsid w:val="008B0EB5"/>
    <w:rsid w:val="008B124B"/>
    <w:rsid w:val="008B1433"/>
    <w:rsid w:val="008B2A73"/>
    <w:rsid w:val="008B2D84"/>
    <w:rsid w:val="008B4722"/>
    <w:rsid w:val="008B586B"/>
    <w:rsid w:val="008B5FC4"/>
    <w:rsid w:val="008C35B9"/>
    <w:rsid w:val="008C38EE"/>
    <w:rsid w:val="008C3BFC"/>
    <w:rsid w:val="008C4FFC"/>
    <w:rsid w:val="008C5151"/>
    <w:rsid w:val="008C6D9D"/>
    <w:rsid w:val="008C7E89"/>
    <w:rsid w:val="008D09EE"/>
    <w:rsid w:val="008D0ED3"/>
    <w:rsid w:val="008D3520"/>
    <w:rsid w:val="008D374F"/>
    <w:rsid w:val="008D3B5E"/>
    <w:rsid w:val="008D403B"/>
    <w:rsid w:val="008D4C70"/>
    <w:rsid w:val="008D5676"/>
    <w:rsid w:val="008D56B0"/>
    <w:rsid w:val="008E037F"/>
    <w:rsid w:val="008E06E7"/>
    <w:rsid w:val="008E0DBD"/>
    <w:rsid w:val="008E10F8"/>
    <w:rsid w:val="008E16D0"/>
    <w:rsid w:val="008E2C77"/>
    <w:rsid w:val="008E44AB"/>
    <w:rsid w:val="008E4535"/>
    <w:rsid w:val="008E4D41"/>
    <w:rsid w:val="008E51C6"/>
    <w:rsid w:val="008E6716"/>
    <w:rsid w:val="008E67F9"/>
    <w:rsid w:val="008E6834"/>
    <w:rsid w:val="008E6E5D"/>
    <w:rsid w:val="008E7D3B"/>
    <w:rsid w:val="008F0CCC"/>
    <w:rsid w:val="008F124D"/>
    <w:rsid w:val="008F161B"/>
    <w:rsid w:val="008F1797"/>
    <w:rsid w:val="008F26BF"/>
    <w:rsid w:val="008F3710"/>
    <w:rsid w:val="008F427F"/>
    <w:rsid w:val="008F5312"/>
    <w:rsid w:val="008F5C08"/>
    <w:rsid w:val="008F6971"/>
    <w:rsid w:val="008F6C5E"/>
    <w:rsid w:val="008F7769"/>
    <w:rsid w:val="008F7860"/>
    <w:rsid w:val="008F7DA6"/>
    <w:rsid w:val="0090059F"/>
    <w:rsid w:val="00901370"/>
    <w:rsid w:val="009013AF"/>
    <w:rsid w:val="0090144F"/>
    <w:rsid w:val="00902F7B"/>
    <w:rsid w:val="00907AFD"/>
    <w:rsid w:val="009103DA"/>
    <w:rsid w:val="00910591"/>
    <w:rsid w:val="00910AA2"/>
    <w:rsid w:val="00910EB2"/>
    <w:rsid w:val="009124DF"/>
    <w:rsid w:val="009125B3"/>
    <w:rsid w:val="00914C71"/>
    <w:rsid w:val="00914F24"/>
    <w:rsid w:val="0091503C"/>
    <w:rsid w:val="00916556"/>
    <w:rsid w:val="00917BEB"/>
    <w:rsid w:val="00917C41"/>
    <w:rsid w:val="00920968"/>
    <w:rsid w:val="00921239"/>
    <w:rsid w:val="00921333"/>
    <w:rsid w:val="00922B5D"/>
    <w:rsid w:val="009230F3"/>
    <w:rsid w:val="009232D8"/>
    <w:rsid w:val="00923708"/>
    <w:rsid w:val="00924C21"/>
    <w:rsid w:val="00924C26"/>
    <w:rsid w:val="009253ED"/>
    <w:rsid w:val="0093013C"/>
    <w:rsid w:val="00930F83"/>
    <w:rsid w:val="009316BD"/>
    <w:rsid w:val="00931D4C"/>
    <w:rsid w:val="00931F3A"/>
    <w:rsid w:val="0093376F"/>
    <w:rsid w:val="00934026"/>
    <w:rsid w:val="009341E8"/>
    <w:rsid w:val="00934A5A"/>
    <w:rsid w:val="009406B0"/>
    <w:rsid w:val="00941111"/>
    <w:rsid w:val="00941FE1"/>
    <w:rsid w:val="00942159"/>
    <w:rsid w:val="00942544"/>
    <w:rsid w:val="0094276F"/>
    <w:rsid w:val="00942887"/>
    <w:rsid w:val="00943CFB"/>
    <w:rsid w:val="00944C31"/>
    <w:rsid w:val="009451AF"/>
    <w:rsid w:val="0094672D"/>
    <w:rsid w:val="00950E25"/>
    <w:rsid w:val="009511C7"/>
    <w:rsid w:val="00951421"/>
    <w:rsid w:val="009514D9"/>
    <w:rsid w:val="00951FFE"/>
    <w:rsid w:val="00954891"/>
    <w:rsid w:val="00954EE4"/>
    <w:rsid w:val="009560EE"/>
    <w:rsid w:val="00957B9E"/>
    <w:rsid w:val="00957BF3"/>
    <w:rsid w:val="00957D4D"/>
    <w:rsid w:val="0096027D"/>
    <w:rsid w:val="009605D0"/>
    <w:rsid w:val="00960E6C"/>
    <w:rsid w:val="009621CE"/>
    <w:rsid w:val="009625EC"/>
    <w:rsid w:val="00962737"/>
    <w:rsid w:val="00962C9C"/>
    <w:rsid w:val="009636BC"/>
    <w:rsid w:val="009659B8"/>
    <w:rsid w:val="009663D3"/>
    <w:rsid w:val="0096757B"/>
    <w:rsid w:val="00967A86"/>
    <w:rsid w:val="009705DC"/>
    <w:rsid w:val="00970C70"/>
    <w:rsid w:val="00972A5B"/>
    <w:rsid w:val="009733B3"/>
    <w:rsid w:val="00974256"/>
    <w:rsid w:val="00974AEE"/>
    <w:rsid w:val="00974C81"/>
    <w:rsid w:val="009753FD"/>
    <w:rsid w:val="00976197"/>
    <w:rsid w:val="00976B6B"/>
    <w:rsid w:val="009804BD"/>
    <w:rsid w:val="0098167A"/>
    <w:rsid w:val="009828C1"/>
    <w:rsid w:val="00982FB4"/>
    <w:rsid w:val="00983E1A"/>
    <w:rsid w:val="00986BC0"/>
    <w:rsid w:val="00987466"/>
    <w:rsid w:val="009875D4"/>
    <w:rsid w:val="00987ABC"/>
    <w:rsid w:val="00991BEC"/>
    <w:rsid w:val="009921A9"/>
    <w:rsid w:val="009939FC"/>
    <w:rsid w:val="00993E58"/>
    <w:rsid w:val="009946A8"/>
    <w:rsid w:val="009957AF"/>
    <w:rsid w:val="00995CFD"/>
    <w:rsid w:val="00997EF9"/>
    <w:rsid w:val="009A0761"/>
    <w:rsid w:val="009A0D68"/>
    <w:rsid w:val="009A166A"/>
    <w:rsid w:val="009A3AB2"/>
    <w:rsid w:val="009A5DFD"/>
    <w:rsid w:val="009A5E82"/>
    <w:rsid w:val="009A681C"/>
    <w:rsid w:val="009A6CA7"/>
    <w:rsid w:val="009A6E39"/>
    <w:rsid w:val="009B183A"/>
    <w:rsid w:val="009B1BF1"/>
    <w:rsid w:val="009B2D2D"/>
    <w:rsid w:val="009B3198"/>
    <w:rsid w:val="009B63EA"/>
    <w:rsid w:val="009B6670"/>
    <w:rsid w:val="009B6F67"/>
    <w:rsid w:val="009C0B8C"/>
    <w:rsid w:val="009C1658"/>
    <w:rsid w:val="009C1B31"/>
    <w:rsid w:val="009C2550"/>
    <w:rsid w:val="009C57E2"/>
    <w:rsid w:val="009C59D8"/>
    <w:rsid w:val="009C5BA2"/>
    <w:rsid w:val="009C5DA2"/>
    <w:rsid w:val="009D1389"/>
    <w:rsid w:val="009D167B"/>
    <w:rsid w:val="009D1F92"/>
    <w:rsid w:val="009D22C3"/>
    <w:rsid w:val="009D2459"/>
    <w:rsid w:val="009D24D3"/>
    <w:rsid w:val="009D4F09"/>
    <w:rsid w:val="009D6095"/>
    <w:rsid w:val="009D75B9"/>
    <w:rsid w:val="009D7B62"/>
    <w:rsid w:val="009E193E"/>
    <w:rsid w:val="009E284F"/>
    <w:rsid w:val="009E32A3"/>
    <w:rsid w:val="009E4403"/>
    <w:rsid w:val="009E5447"/>
    <w:rsid w:val="009E6174"/>
    <w:rsid w:val="009E6178"/>
    <w:rsid w:val="009E662A"/>
    <w:rsid w:val="009E67D0"/>
    <w:rsid w:val="009E70A6"/>
    <w:rsid w:val="009F0968"/>
    <w:rsid w:val="009F0C86"/>
    <w:rsid w:val="009F0E26"/>
    <w:rsid w:val="009F1427"/>
    <w:rsid w:val="009F1456"/>
    <w:rsid w:val="009F1DB4"/>
    <w:rsid w:val="009F22EA"/>
    <w:rsid w:val="009F30F1"/>
    <w:rsid w:val="009F3397"/>
    <w:rsid w:val="009F41C5"/>
    <w:rsid w:val="009F5290"/>
    <w:rsid w:val="009F529E"/>
    <w:rsid w:val="009F5B33"/>
    <w:rsid w:val="009F6D66"/>
    <w:rsid w:val="009F6F92"/>
    <w:rsid w:val="00A0098C"/>
    <w:rsid w:val="00A01355"/>
    <w:rsid w:val="00A03722"/>
    <w:rsid w:val="00A03FB7"/>
    <w:rsid w:val="00A0411C"/>
    <w:rsid w:val="00A05505"/>
    <w:rsid w:val="00A05F12"/>
    <w:rsid w:val="00A06D9B"/>
    <w:rsid w:val="00A07021"/>
    <w:rsid w:val="00A07521"/>
    <w:rsid w:val="00A0798A"/>
    <w:rsid w:val="00A07BB7"/>
    <w:rsid w:val="00A105C7"/>
    <w:rsid w:val="00A1267B"/>
    <w:rsid w:val="00A12E53"/>
    <w:rsid w:val="00A130C8"/>
    <w:rsid w:val="00A13347"/>
    <w:rsid w:val="00A144C2"/>
    <w:rsid w:val="00A15124"/>
    <w:rsid w:val="00A1535E"/>
    <w:rsid w:val="00A15E92"/>
    <w:rsid w:val="00A17338"/>
    <w:rsid w:val="00A17F3A"/>
    <w:rsid w:val="00A21375"/>
    <w:rsid w:val="00A2168B"/>
    <w:rsid w:val="00A2262F"/>
    <w:rsid w:val="00A233F7"/>
    <w:rsid w:val="00A24CBE"/>
    <w:rsid w:val="00A271CC"/>
    <w:rsid w:val="00A30162"/>
    <w:rsid w:val="00A3158F"/>
    <w:rsid w:val="00A31978"/>
    <w:rsid w:val="00A31F68"/>
    <w:rsid w:val="00A32098"/>
    <w:rsid w:val="00A32E06"/>
    <w:rsid w:val="00A33201"/>
    <w:rsid w:val="00A347B3"/>
    <w:rsid w:val="00A3575F"/>
    <w:rsid w:val="00A35E8B"/>
    <w:rsid w:val="00A40099"/>
    <w:rsid w:val="00A43AA5"/>
    <w:rsid w:val="00A4405E"/>
    <w:rsid w:val="00A44EC9"/>
    <w:rsid w:val="00A45B81"/>
    <w:rsid w:val="00A46BAD"/>
    <w:rsid w:val="00A4715E"/>
    <w:rsid w:val="00A51661"/>
    <w:rsid w:val="00A54310"/>
    <w:rsid w:val="00A54EE8"/>
    <w:rsid w:val="00A55483"/>
    <w:rsid w:val="00A56D03"/>
    <w:rsid w:val="00A6071E"/>
    <w:rsid w:val="00A61217"/>
    <w:rsid w:val="00A6194A"/>
    <w:rsid w:val="00A624A5"/>
    <w:rsid w:val="00A6307A"/>
    <w:rsid w:val="00A65E7E"/>
    <w:rsid w:val="00A674D0"/>
    <w:rsid w:val="00A675B3"/>
    <w:rsid w:val="00A679FB"/>
    <w:rsid w:val="00A70424"/>
    <w:rsid w:val="00A70741"/>
    <w:rsid w:val="00A71174"/>
    <w:rsid w:val="00A71CC1"/>
    <w:rsid w:val="00A7242A"/>
    <w:rsid w:val="00A72830"/>
    <w:rsid w:val="00A72D03"/>
    <w:rsid w:val="00A73B6E"/>
    <w:rsid w:val="00A746D4"/>
    <w:rsid w:val="00A74D31"/>
    <w:rsid w:val="00A75428"/>
    <w:rsid w:val="00A75A2A"/>
    <w:rsid w:val="00A75CD8"/>
    <w:rsid w:val="00A770F0"/>
    <w:rsid w:val="00A771B1"/>
    <w:rsid w:val="00A8200C"/>
    <w:rsid w:val="00A840A4"/>
    <w:rsid w:val="00A8697F"/>
    <w:rsid w:val="00A86A3D"/>
    <w:rsid w:val="00A86C26"/>
    <w:rsid w:val="00A87E20"/>
    <w:rsid w:val="00A90DC3"/>
    <w:rsid w:val="00A9115A"/>
    <w:rsid w:val="00A917D6"/>
    <w:rsid w:val="00A924F3"/>
    <w:rsid w:val="00A92847"/>
    <w:rsid w:val="00A93AE2"/>
    <w:rsid w:val="00A94A04"/>
    <w:rsid w:val="00A95E30"/>
    <w:rsid w:val="00A95FD3"/>
    <w:rsid w:val="00A964CA"/>
    <w:rsid w:val="00A96711"/>
    <w:rsid w:val="00A97451"/>
    <w:rsid w:val="00AA00AC"/>
    <w:rsid w:val="00AA220F"/>
    <w:rsid w:val="00AA2F3F"/>
    <w:rsid w:val="00AA382E"/>
    <w:rsid w:val="00AA3A5D"/>
    <w:rsid w:val="00AA45BB"/>
    <w:rsid w:val="00AA4903"/>
    <w:rsid w:val="00AA568F"/>
    <w:rsid w:val="00AA5AB5"/>
    <w:rsid w:val="00AA5D7E"/>
    <w:rsid w:val="00AA7676"/>
    <w:rsid w:val="00AB08A2"/>
    <w:rsid w:val="00AB0AEC"/>
    <w:rsid w:val="00AB1A9A"/>
    <w:rsid w:val="00AB2010"/>
    <w:rsid w:val="00AB2EAD"/>
    <w:rsid w:val="00AB427A"/>
    <w:rsid w:val="00AC0E33"/>
    <w:rsid w:val="00AC104B"/>
    <w:rsid w:val="00AC111C"/>
    <w:rsid w:val="00AC2072"/>
    <w:rsid w:val="00AC53BF"/>
    <w:rsid w:val="00AC57C0"/>
    <w:rsid w:val="00AC602B"/>
    <w:rsid w:val="00AC7622"/>
    <w:rsid w:val="00AC773B"/>
    <w:rsid w:val="00AD01DA"/>
    <w:rsid w:val="00AD0322"/>
    <w:rsid w:val="00AD0436"/>
    <w:rsid w:val="00AD1590"/>
    <w:rsid w:val="00AD2278"/>
    <w:rsid w:val="00AD2683"/>
    <w:rsid w:val="00AD26E6"/>
    <w:rsid w:val="00AD2D0F"/>
    <w:rsid w:val="00AD3119"/>
    <w:rsid w:val="00AD3522"/>
    <w:rsid w:val="00AD3857"/>
    <w:rsid w:val="00AD3BE4"/>
    <w:rsid w:val="00AD437B"/>
    <w:rsid w:val="00AD4B61"/>
    <w:rsid w:val="00AD5FCA"/>
    <w:rsid w:val="00AD6618"/>
    <w:rsid w:val="00AD7448"/>
    <w:rsid w:val="00AD7912"/>
    <w:rsid w:val="00AD7F45"/>
    <w:rsid w:val="00AE0227"/>
    <w:rsid w:val="00AE27ED"/>
    <w:rsid w:val="00AE4AFD"/>
    <w:rsid w:val="00AE4CAC"/>
    <w:rsid w:val="00AE5402"/>
    <w:rsid w:val="00AE58AC"/>
    <w:rsid w:val="00AE6A7E"/>
    <w:rsid w:val="00AE6AB5"/>
    <w:rsid w:val="00AE7342"/>
    <w:rsid w:val="00AE7F51"/>
    <w:rsid w:val="00AF0176"/>
    <w:rsid w:val="00AF0544"/>
    <w:rsid w:val="00AF16AE"/>
    <w:rsid w:val="00AF37E8"/>
    <w:rsid w:val="00AF42C3"/>
    <w:rsid w:val="00AF43B0"/>
    <w:rsid w:val="00AF5035"/>
    <w:rsid w:val="00AF60C2"/>
    <w:rsid w:val="00AF6EB7"/>
    <w:rsid w:val="00AF7724"/>
    <w:rsid w:val="00AF7D12"/>
    <w:rsid w:val="00B00232"/>
    <w:rsid w:val="00B01E8A"/>
    <w:rsid w:val="00B03C98"/>
    <w:rsid w:val="00B0616E"/>
    <w:rsid w:val="00B06304"/>
    <w:rsid w:val="00B1100F"/>
    <w:rsid w:val="00B1108F"/>
    <w:rsid w:val="00B114FF"/>
    <w:rsid w:val="00B12B82"/>
    <w:rsid w:val="00B13869"/>
    <w:rsid w:val="00B13EA8"/>
    <w:rsid w:val="00B14DB7"/>
    <w:rsid w:val="00B1520B"/>
    <w:rsid w:val="00B15E2E"/>
    <w:rsid w:val="00B15FD6"/>
    <w:rsid w:val="00B16B03"/>
    <w:rsid w:val="00B171DF"/>
    <w:rsid w:val="00B17BE9"/>
    <w:rsid w:val="00B21054"/>
    <w:rsid w:val="00B21221"/>
    <w:rsid w:val="00B21A67"/>
    <w:rsid w:val="00B21C72"/>
    <w:rsid w:val="00B2280A"/>
    <w:rsid w:val="00B2371F"/>
    <w:rsid w:val="00B23EF3"/>
    <w:rsid w:val="00B244A6"/>
    <w:rsid w:val="00B2476B"/>
    <w:rsid w:val="00B247F5"/>
    <w:rsid w:val="00B24AA6"/>
    <w:rsid w:val="00B24AF4"/>
    <w:rsid w:val="00B25E42"/>
    <w:rsid w:val="00B2786D"/>
    <w:rsid w:val="00B3096F"/>
    <w:rsid w:val="00B309CF"/>
    <w:rsid w:val="00B30FF4"/>
    <w:rsid w:val="00B31AB3"/>
    <w:rsid w:val="00B320EB"/>
    <w:rsid w:val="00B32D18"/>
    <w:rsid w:val="00B3335D"/>
    <w:rsid w:val="00B33CDB"/>
    <w:rsid w:val="00B33F31"/>
    <w:rsid w:val="00B34736"/>
    <w:rsid w:val="00B34A1E"/>
    <w:rsid w:val="00B3506D"/>
    <w:rsid w:val="00B35182"/>
    <w:rsid w:val="00B363A8"/>
    <w:rsid w:val="00B40414"/>
    <w:rsid w:val="00B41F23"/>
    <w:rsid w:val="00B443F9"/>
    <w:rsid w:val="00B45B9B"/>
    <w:rsid w:val="00B46B93"/>
    <w:rsid w:val="00B46F43"/>
    <w:rsid w:val="00B475D6"/>
    <w:rsid w:val="00B476EF"/>
    <w:rsid w:val="00B5087E"/>
    <w:rsid w:val="00B51781"/>
    <w:rsid w:val="00B517FF"/>
    <w:rsid w:val="00B51A6D"/>
    <w:rsid w:val="00B51B13"/>
    <w:rsid w:val="00B52B57"/>
    <w:rsid w:val="00B53E6E"/>
    <w:rsid w:val="00B54055"/>
    <w:rsid w:val="00B552CF"/>
    <w:rsid w:val="00B55BAD"/>
    <w:rsid w:val="00B55FC3"/>
    <w:rsid w:val="00B5664F"/>
    <w:rsid w:val="00B57B87"/>
    <w:rsid w:val="00B608C8"/>
    <w:rsid w:val="00B60ADC"/>
    <w:rsid w:val="00B611B8"/>
    <w:rsid w:val="00B61501"/>
    <w:rsid w:val="00B61E65"/>
    <w:rsid w:val="00B6218F"/>
    <w:rsid w:val="00B62EED"/>
    <w:rsid w:val="00B67303"/>
    <w:rsid w:val="00B700F3"/>
    <w:rsid w:val="00B7143F"/>
    <w:rsid w:val="00B71EC3"/>
    <w:rsid w:val="00B7275E"/>
    <w:rsid w:val="00B72CE5"/>
    <w:rsid w:val="00B73BF9"/>
    <w:rsid w:val="00B741E3"/>
    <w:rsid w:val="00B75458"/>
    <w:rsid w:val="00B7584F"/>
    <w:rsid w:val="00B7633E"/>
    <w:rsid w:val="00B76497"/>
    <w:rsid w:val="00B7739A"/>
    <w:rsid w:val="00B77650"/>
    <w:rsid w:val="00B77B8D"/>
    <w:rsid w:val="00B81588"/>
    <w:rsid w:val="00B81A11"/>
    <w:rsid w:val="00B81A26"/>
    <w:rsid w:val="00B835A7"/>
    <w:rsid w:val="00B84615"/>
    <w:rsid w:val="00B848B4"/>
    <w:rsid w:val="00B84AF7"/>
    <w:rsid w:val="00B85561"/>
    <w:rsid w:val="00B866C4"/>
    <w:rsid w:val="00B8773B"/>
    <w:rsid w:val="00B916C6"/>
    <w:rsid w:val="00B92E57"/>
    <w:rsid w:val="00B9437F"/>
    <w:rsid w:val="00B94806"/>
    <w:rsid w:val="00BA08E8"/>
    <w:rsid w:val="00BA0C04"/>
    <w:rsid w:val="00BA0D8D"/>
    <w:rsid w:val="00BA2973"/>
    <w:rsid w:val="00BA4095"/>
    <w:rsid w:val="00BA5727"/>
    <w:rsid w:val="00BA5ED4"/>
    <w:rsid w:val="00BA6810"/>
    <w:rsid w:val="00BA79E3"/>
    <w:rsid w:val="00BB0411"/>
    <w:rsid w:val="00BB05F0"/>
    <w:rsid w:val="00BB1A7F"/>
    <w:rsid w:val="00BB2A3E"/>
    <w:rsid w:val="00BB44EC"/>
    <w:rsid w:val="00BB4D1A"/>
    <w:rsid w:val="00BB5AD9"/>
    <w:rsid w:val="00BB5E20"/>
    <w:rsid w:val="00BB6028"/>
    <w:rsid w:val="00BB70B5"/>
    <w:rsid w:val="00BB7896"/>
    <w:rsid w:val="00BC0D30"/>
    <w:rsid w:val="00BC0F58"/>
    <w:rsid w:val="00BC10F8"/>
    <w:rsid w:val="00BC323A"/>
    <w:rsid w:val="00BC4988"/>
    <w:rsid w:val="00BC5680"/>
    <w:rsid w:val="00BC5A27"/>
    <w:rsid w:val="00BC5A5F"/>
    <w:rsid w:val="00BC669F"/>
    <w:rsid w:val="00BC70AC"/>
    <w:rsid w:val="00BC763B"/>
    <w:rsid w:val="00BD0337"/>
    <w:rsid w:val="00BD1128"/>
    <w:rsid w:val="00BD1F1C"/>
    <w:rsid w:val="00BD20A9"/>
    <w:rsid w:val="00BD25FC"/>
    <w:rsid w:val="00BD3CA7"/>
    <w:rsid w:val="00BD446F"/>
    <w:rsid w:val="00BD4C8D"/>
    <w:rsid w:val="00BD52B2"/>
    <w:rsid w:val="00BD6440"/>
    <w:rsid w:val="00BD65AE"/>
    <w:rsid w:val="00BD690A"/>
    <w:rsid w:val="00BD6D14"/>
    <w:rsid w:val="00BE162F"/>
    <w:rsid w:val="00BE2960"/>
    <w:rsid w:val="00BE2B5A"/>
    <w:rsid w:val="00BE380F"/>
    <w:rsid w:val="00BE3B71"/>
    <w:rsid w:val="00BE40F5"/>
    <w:rsid w:val="00BE425B"/>
    <w:rsid w:val="00BE47EA"/>
    <w:rsid w:val="00BE6CC2"/>
    <w:rsid w:val="00BE7271"/>
    <w:rsid w:val="00BE793D"/>
    <w:rsid w:val="00BF00D6"/>
    <w:rsid w:val="00BF026A"/>
    <w:rsid w:val="00BF0401"/>
    <w:rsid w:val="00BF1722"/>
    <w:rsid w:val="00BF1ED8"/>
    <w:rsid w:val="00BF273E"/>
    <w:rsid w:val="00BF2B26"/>
    <w:rsid w:val="00BF5225"/>
    <w:rsid w:val="00BF524F"/>
    <w:rsid w:val="00BF599D"/>
    <w:rsid w:val="00BF6876"/>
    <w:rsid w:val="00BF6F79"/>
    <w:rsid w:val="00BF7805"/>
    <w:rsid w:val="00C00DFC"/>
    <w:rsid w:val="00C00FB4"/>
    <w:rsid w:val="00C013A9"/>
    <w:rsid w:val="00C02920"/>
    <w:rsid w:val="00C044D4"/>
    <w:rsid w:val="00C04BF2"/>
    <w:rsid w:val="00C04F76"/>
    <w:rsid w:val="00C059CB"/>
    <w:rsid w:val="00C06269"/>
    <w:rsid w:val="00C06A69"/>
    <w:rsid w:val="00C074A4"/>
    <w:rsid w:val="00C12B74"/>
    <w:rsid w:val="00C13610"/>
    <w:rsid w:val="00C143D1"/>
    <w:rsid w:val="00C144A4"/>
    <w:rsid w:val="00C14835"/>
    <w:rsid w:val="00C14F86"/>
    <w:rsid w:val="00C167B9"/>
    <w:rsid w:val="00C16F61"/>
    <w:rsid w:val="00C17137"/>
    <w:rsid w:val="00C172E0"/>
    <w:rsid w:val="00C205D7"/>
    <w:rsid w:val="00C21B40"/>
    <w:rsid w:val="00C2251E"/>
    <w:rsid w:val="00C24C82"/>
    <w:rsid w:val="00C24F6F"/>
    <w:rsid w:val="00C25038"/>
    <w:rsid w:val="00C25125"/>
    <w:rsid w:val="00C2618D"/>
    <w:rsid w:val="00C267A4"/>
    <w:rsid w:val="00C26A57"/>
    <w:rsid w:val="00C26B70"/>
    <w:rsid w:val="00C27977"/>
    <w:rsid w:val="00C27CFC"/>
    <w:rsid w:val="00C27EC1"/>
    <w:rsid w:val="00C30C99"/>
    <w:rsid w:val="00C3206D"/>
    <w:rsid w:val="00C325EA"/>
    <w:rsid w:val="00C32755"/>
    <w:rsid w:val="00C33055"/>
    <w:rsid w:val="00C342C8"/>
    <w:rsid w:val="00C37B9B"/>
    <w:rsid w:val="00C37F01"/>
    <w:rsid w:val="00C37F4A"/>
    <w:rsid w:val="00C401D5"/>
    <w:rsid w:val="00C401E1"/>
    <w:rsid w:val="00C40F4E"/>
    <w:rsid w:val="00C40FC0"/>
    <w:rsid w:val="00C423B1"/>
    <w:rsid w:val="00C423C2"/>
    <w:rsid w:val="00C42FF8"/>
    <w:rsid w:val="00C43853"/>
    <w:rsid w:val="00C44095"/>
    <w:rsid w:val="00C44740"/>
    <w:rsid w:val="00C45248"/>
    <w:rsid w:val="00C46C55"/>
    <w:rsid w:val="00C50668"/>
    <w:rsid w:val="00C51970"/>
    <w:rsid w:val="00C52637"/>
    <w:rsid w:val="00C52C6F"/>
    <w:rsid w:val="00C5475C"/>
    <w:rsid w:val="00C54B89"/>
    <w:rsid w:val="00C54CF4"/>
    <w:rsid w:val="00C56849"/>
    <w:rsid w:val="00C57800"/>
    <w:rsid w:val="00C600FD"/>
    <w:rsid w:val="00C6269B"/>
    <w:rsid w:val="00C62F10"/>
    <w:rsid w:val="00C63415"/>
    <w:rsid w:val="00C6364F"/>
    <w:rsid w:val="00C63DDF"/>
    <w:rsid w:val="00C63DEB"/>
    <w:rsid w:val="00C659E3"/>
    <w:rsid w:val="00C66AF9"/>
    <w:rsid w:val="00C66E92"/>
    <w:rsid w:val="00C66F7C"/>
    <w:rsid w:val="00C7066E"/>
    <w:rsid w:val="00C70B24"/>
    <w:rsid w:val="00C7116C"/>
    <w:rsid w:val="00C716E3"/>
    <w:rsid w:val="00C7253B"/>
    <w:rsid w:val="00C737FA"/>
    <w:rsid w:val="00C74C4E"/>
    <w:rsid w:val="00C75BEC"/>
    <w:rsid w:val="00C763F2"/>
    <w:rsid w:val="00C76794"/>
    <w:rsid w:val="00C774D3"/>
    <w:rsid w:val="00C8094F"/>
    <w:rsid w:val="00C8291C"/>
    <w:rsid w:val="00C82C71"/>
    <w:rsid w:val="00C84313"/>
    <w:rsid w:val="00C85607"/>
    <w:rsid w:val="00C86556"/>
    <w:rsid w:val="00C86C54"/>
    <w:rsid w:val="00C8732E"/>
    <w:rsid w:val="00C87519"/>
    <w:rsid w:val="00C87C7E"/>
    <w:rsid w:val="00C90C78"/>
    <w:rsid w:val="00C914FB"/>
    <w:rsid w:val="00C92BD6"/>
    <w:rsid w:val="00C93090"/>
    <w:rsid w:val="00C93684"/>
    <w:rsid w:val="00C93EEC"/>
    <w:rsid w:val="00C945D8"/>
    <w:rsid w:val="00C963D9"/>
    <w:rsid w:val="00C964CC"/>
    <w:rsid w:val="00CA058C"/>
    <w:rsid w:val="00CA21BD"/>
    <w:rsid w:val="00CA2448"/>
    <w:rsid w:val="00CA24E7"/>
    <w:rsid w:val="00CA29EB"/>
    <w:rsid w:val="00CA2E26"/>
    <w:rsid w:val="00CA2E81"/>
    <w:rsid w:val="00CA740E"/>
    <w:rsid w:val="00CA7719"/>
    <w:rsid w:val="00CA7835"/>
    <w:rsid w:val="00CA7FE1"/>
    <w:rsid w:val="00CB10B0"/>
    <w:rsid w:val="00CB2D07"/>
    <w:rsid w:val="00CB36F9"/>
    <w:rsid w:val="00CB607D"/>
    <w:rsid w:val="00CB62C1"/>
    <w:rsid w:val="00CB6599"/>
    <w:rsid w:val="00CB7058"/>
    <w:rsid w:val="00CB7D98"/>
    <w:rsid w:val="00CC040E"/>
    <w:rsid w:val="00CC16F2"/>
    <w:rsid w:val="00CC1979"/>
    <w:rsid w:val="00CC2369"/>
    <w:rsid w:val="00CC315C"/>
    <w:rsid w:val="00CC3621"/>
    <w:rsid w:val="00CC3DD0"/>
    <w:rsid w:val="00CC57A8"/>
    <w:rsid w:val="00CC6730"/>
    <w:rsid w:val="00CC7071"/>
    <w:rsid w:val="00CD1069"/>
    <w:rsid w:val="00CD381F"/>
    <w:rsid w:val="00CD4113"/>
    <w:rsid w:val="00CD41E3"/>
    <w:rsid w:val="00CD497E"/>
    <w:rsid w:val="00CD5A34"/>
    <w:rsid w:val="00CD5CFC"/>
    <w:rsid w:val="00CD6DD8"/>
    <w:rsid w:val="00CD7DB6"/>
    <w:rsid w:val="00CE0398"/>
    <w:rsid w:val="00CE07F7"/>
    <w:rsid w:val="00CE1750"/>
    <w:rsid w:val="00CE1F52"/>
    <w:rsid w:val="00CE1F7B"/>
    <w:rsid w:val="00CE3F8A"/>
    <w:rsid w:val="00CE456D"/>
    <w:rsid w:val="00CE46B2"/>
    <w:rsid w:val="00CE5169"/>
    <w:rsid w:val="00CE6651"/>
    <w:rsid w:val="00CE709E"/>
    <w:rsid w:val="00CE775E"/>
    <w:rsid w:val="00CE7C12"/>
    <w:rsid w:val="00CF20C8"/>
    <w:rsid w:val="00CF21F7"/>
    <w:rsid w:val="00CF2842"/>
    <w:rsid w:val="00CF357A"/>
    <w:rsid w:val="00CF369B"/>
    <w:rsid w:val="00CF3F8F"/>
    <w:rsid w:val="00CF4C6E"/>
    <w:rsid w:val="00CF54B9"/>
    <w:rsid w:val="00CF56EF"/>
    <w:rsid w:val="00CF641B"/>
    <w:rsid w:val="00CF6A5C"/>
    <w:rsid w:val="00CF73E2"/>
    <w:rsid w:val="00CF775A"/>
    <w:rsid w:val="00D0281C"/>
    <w:rsid w:val="00D02DDD"/>
    <w:rsid w:val="00D0307B"/>
    <w:rsid w:val="00D03B6C"/>
    <w:rsid w:val="00D04625"/>
    <w:rsid w:val="00D053B5"/>
    <w:rsid w:val="00D05764"/>
    <w:rsid w:val="00D05A8B"/>
    <w:rsid w:val="00D0705A"/>
    <w:rsid w:val="00D117AD"/>
    <w:rsid w:val="00D1336B"/>
    <w:rsid w:val="00D13567"/>
    <w:rsid w:val="00D15475"/>
    <w:rsid w:val="00D154D1"/>
    <w:rsid w:val="00D16A53"/>
    <w:rsid w:val="00D17B94"/>
    <w:rsid w:val="00D17EEA"/>
    <w:rsid w:val="00D217D5"/>
    <w:rsid w:val="00D21A3F"/>
    <w:rsid w:val="00D222E9"/>
    <w:rsid w:val="00D22DED"/>
    <w:rsid w:val="00D2335F"/>
    <w:rsid w:val="00D2379B"/>
    <w:rsid w:val="00D245F0"/>
    <w:rsid w:val="00D24A7D"/>
    <w:rsid w:val="00D256DB"/>
    <w:rsid w:val="00D259E1"/>
    <w:rsid w:val="00D25D37"/>
    <w:rsid w:val="00D260EF"/>
    <w:rsid w:val="00D260F5"/>
    <w:rsid w:val="00D2716B"/>
    <w:rsid w:val="00D27833"/>
    <w:rsid w:val="00D304D0"/>
    <w:rsid w:val="00D30564"/>
    <w:rsid w:val="00D314A1"/>
    <w:rsid w:val="00D319E0"/>
    <w:rsid w:val="00D31E73"/>
    <w:rsid w:val="00D32493"/>
    <w:rsid w:val="00D33AE8"/>
    <w:rsid w:val="00D345F3"/>
    <w:rsid w:val="00D36753"/>
    <w:rsid w:val="00D36962"/>
    <w:rsid w:val="00D36988"/>
    <w:rsid w:val="00D406F6"/>
    <w:rsid w:val="00D419E9"/>
    <w:rsid w:val="00D42006"/>
    <w:rsid w:val="00D43654"/>
    <w:rsid w:val="00D45D41"/>
    <w:rsid w:val="00D45F6F"/>
    <w:rsid w:val="00D465BF"/>
    <w:rsid w:val="00D46D97"/>
    <w:rsid w:val="00D47D5F"/>
    <w:rsid w:val="00D508EE"/>
    <w:rsid w:val="00D51374"/>
    <w:rsid w:val="00D5283A"/>
    <w:rsid w:val="00D54545"/>
    <w:rsid w:val="00D54A82"/>
    <w:rsid w:val="00D5515C"/>
    <w:rsid w:val="00D552B6"/>
    <w:rsid w:val="00D55809"/>
    <w:rsid w:val="00D56AC6"/>
    <w:rsid w:val="00D56F36"/>
    <w:rsid w:val="00D60203"/>
    <w:rsid w:val="00D616C7"/>
    <w:rsid w:val="00D61BDF"/>
    <w:rsid w:val="00D62322"/>
    <w:rsid w:val="00D64302"/>
    <w:rsid w:val="00D64344"/>
    <w:rsid w:val="00D64A14"/>
    <w:rsid w:val="00D64CDC"/>
    <w:rsid w:val="00D67932"/>
    <w:rsid w:val="00D71715"/>
    <w:rsid w:val="00D71F72"/>
    <w:rsid w:val="00D723AF"/>
    <w:rsid w:val="00D72567"/>
    <w:rsid w:val="00D72708"/>
    <w:rsid w:val="00D72DF9"/>
    <w:rsid w:val="00D739AB"/>
    <w:rsid w:val="00D74CE8"/>
    <w:rsid w:val="00D75232"/>
    <w:rsid w:val="00D7573A"/>
    <w:rsid w:val="00D76036"/>
    <w:rsid w:val="00D80783"/>
    <w:rsid w:val="00D809C6"/>
    <w:rsid w:val="00D8197F"/>
    <w:rsid w:val="00D81B16"/>
    <w:rsid w:val="00D81FAD"/>
    <w:rsid w:val="00D824C5"/>
    <w:rsid w:val="00D83433"/>
    <w:rsid w:val="00D853A4"/>
    <w:rsid w:val="00D86FBA"/>
    <w:rsid w:val="00D87D24"/>
    <w:rsid w:val="00D90147"/>
    <w:rsid w:val="00D90CD5"/>
    <w:rsid w:val="00D915FB"/>
    <w:rsid w:val="00D91D8E"/>
    <w:rsid w:val="00D92CE8"/>
    <w:rsid w:val="00D92E94"/>
    <w:rsid w:val="00D94ED7"/>
    <w:rsid w:val="00D951FE"/>
    <w:rsid w:val="00D95B86"/>
    <w:rsid w:val="00D95BDC"/>
    <w:rsid w:val="00D9713E"/>
    <w:rsid w:val="00DA0340"/>
    <w:rsid w:val="00DA14E3"/>
    <w:rsid w:val="00DA1E3A"/>
    <w:rsid w:val="00DA32C0"/>
    <w:rsid w:val="00DA45F9"/>
    <w:rsid w:val="00DA48E0"/>
    <w:rsid w:val="00DA5F58"/>
    <w:rsid w:val="00DA6054"/>
    <w:rsid w:val="00DA7AE5"/>
    <w:rsid w:val="00DB0476"/>
    <w:rsid w:val="00DB0913"/>
    <w:rsid w:val="00DB1447"/>
    <w:rsid w:val="00DB1462"/>
    <w:rsid w:val="00DB2758"/>
    <w:rsid w:val="00DB4349"/>
    <w:rsid w:val="00DB4404"/>
    <w:rsid w:val="00DB550E"/>
    <w:rsid w:val="00DB5F59"/>
    <w:rsid w:val="00DB6167"/>
    <w:rsid w:val="00DB6413"/>
    <w:rsid w:val="00DB6664"/>
    <w:rsid w:val="00DC040C"/>
    <w:rsid w:val="00DC1F7C"/>
    <w:rsid w:val="00DC27C2"/>
    <w:rsid w:val="00DC360F"/>
    <w:rsid w:val="00DC368E"/>
    <w:rsid w:val="00DC4320"/>
    <w:rsid w:val="00DC45F0"/>
    <w:rsid w:val="00DC5FF5"/>
    <w:rsid w:val="00DC611C"/>
    <w:rsid w:val="00DC63DF"/>
    <w:rsid w:val="00DC64E1"/>
    <w:rsid w:val="00DC741C"/>
    <w:rsid w:val="00DD0C00"/>
    <w:rsid w:val="00DD0C82"/>
    <w:rsid w:val="00DD0D9E"/>
    <w:rsid w:val="00DD178E"/>
    <w:rsid w:val="00DD21F6"/>
    <w:rsid w:val="00DD32FB"/>
    <w:rsid w:val="00DD3E21"/>
    <w:rsid w:val="00DD478C"/>
    <w:rsid w:val="00DD6075"/>
    <w:rsid w:val="00DD78EA"/>
    <w:rsid w:val="00DD7C5F"/>
    <w:rsid w:val="00DE0C41"/>
    <w:rsid w:val="00DE21BB"/>
    <w:rsid w:val="00DE2BAB"/>
    <w:rsid w:val="00DE330F"/>
    <w:rsid w:val="00DE4ED0"/>
    <w:rsid w:val="00DE55C3"/>
    <w:rsid w:val="00DE563B"/>
    <w:rsid w:val="00DE7CA0"/>
    <w:rsid w:val="00DE7D9D"/>
    <w:rsid w:val="00DF0082"/>
    <w:rsid w:val="00DF1905"/>
    <w:rsid w:val="00DF1D88"/>
    <w:rsid w:val="00DF1FC7"/>
    <w:rsid w:val="00DF334A"/>
    <w:rsid w:val="00DF46A1"/>
    <w:rsid w:val="00DF5AE4"/>
    <w:rsid w:val="00DF5CC0"/>
    <w:rsid w:val="00E00564"/>
    <w:rsid w:val="00E01A42"/>
    <w:rsid w:val="00E02DDB"/>
    <w:rsid w:val="00E033A3"/>
    <w:rsid w:val="00E04375"/>
    <w:rsid w:val="00E0492D"/>
    <w:rsid w:val="00E05A8D"/>
    <w:rsid w:val="00E06C19"/>
    <w:rsid w:val="00E07CE4"/>
    <w:rsid w:val="00E10309"/>
    <w:rsid w:val="00E10B4C"/>
    <w:rsid w:val="00E10E82"/>
    <w:rsid w:val="00E115AC"/>
    <w:rsid w:val="00E125B9"/>
    <w:rsid w:val="00E1315E"/>
    <w:rsid w:val="00E13FB5"/>
    <w:rsid w:val="00E15C85"/>
    <w:rsid w:val="00E15E2B"/>
    <w:rsid w:val="00E163EB"/>
    <w:rsid w:val="00E17690"/>
    <w:rsid w:val="00E17930"/>
    <w:rsid w:val="00E2030D"/>
    <w:rsid w:val="00E212AC"/>
    <w:rsid w:val="00E2177D"/>
    <w:rsid w:val="00E23320"/>
    <w:rsid w:val="00E2436B"/>
    <w:rsid w:val="00E24BC9"/>
    <w:rsid w:val="00E25166"/>
    <w:rsid w:val="00E2767A"/>
    <w:rsid w:val="00E31127"/>
    <w:rsid w:val="00E316A3"/>
    <w:rsid w:val="00E34E7C"/>
    <w:rsid w:val="00E36165"/>
    <w:rsid w:val="00E3700C"/>
    <w:rsid w:val="00E372D4"/>
    <w:rsid w:val="00E40AD0"/>
    <w:rsid w:val="00E40F0D"/>
    <w:rsid w:val="00E436AB"/>
    <w:rsid w:val="00E44124"/>
    <w:rsid w:val="00E44E5B"/>
    <w:rsid w:val="00E46988"/>
    <w:rsid w:val="00E506CC"/>
    <w:rsid w:val="00E5095A"/>
    <w:rsid w:val="00E5138F"/>
    <w:rsid w:val="00E51C41"/>
    <w:rsid w:val="00E52B1D"/>
    <w:rsid w:val="00E53382"/>
    <w:rsid w:val="00E5389B"/>
    <w:rsid w:val="00E5413C"/>
    <w:rsid w:val="00E541C0"/>
    <w:rsid w:val="00E55A95"/>
    <w:rsid w:val="00E56754"/>
    <w:rsid w:val="00E56B93"/>
    <w:rsid w:val="00E57302"/>
    <w:rsid w:val="00E61D6E"/>
    <w:rsid w:val="00E629C5"/>
    <w:rsid w:val="00E62ABC"/>
    <w:rsid w:val="00E63124"/>
    <w:rsid w:val="00E633C9"/>
    <w:rsid w:val="00E651D0"/>
    <w:rsid w:val="00E65D1B"/>
    <w:rsid w:val="00E6640F"/>
    <w:rsid w:val="00E6647C"/>
    <w:rsid w:val="00E73769"/>
    <w:rsid w:val="00E73AE7"/>
    <w:rsid w:val="00E73CFD"/>
    <w:rsid w:val="00E74B0F"/>
    <w:rsid w:val="00E75133"/>
    <w:rsid w:val="00E7629F"/>
    <w:rsid w:val="00E76A46"/>
    <w:rsid w:val="00E76B07"/>
    <w:rsid w:val="00E7760C"/>
    <w:rsid w:val="00E81AEE"/>
    <w:rsid w:val="00E82586"/>
    <w:rsid w:val="00E82D49"/>
    <w:rsid w:val="00E83569"/>
    <w:rsid w:val="00E843C6"/>
    <w:rsid w:val="00E8515A"/>
    <w:rsid w:val="00E855B8"/>
    <w:rsid w:val="00E86E41"/>
    <w:rsid w:val="00E91159"/>
    <w:rsid w:val="00E92080"/>
    <w:rsid w:val="00E92601"/>
    <w:rsid w:val="00E92E72"/>
    <w:rsid w:val="00E93C1D"/>
    <w:rsid w:val="00E95267"/>
    <w:rsid w:val="00E96E69"/>
    <w:rsid w:val="00E97635"/>
    <w:rsid w:val="00EA3E10"/>
    <w:rsid w:val="00EA57DA"/>
    <w:rsid w:val="00EA63FF"/>
    <w:rsid w:val="00EA679F"/>
    <w:rsid w:val="00EA680A"/>
    <w:rsid w:val="00EA7366"/>
    <w:rsid w:val="00EB09F4"/>
    <w:rsid w:val="00EB0BFB"/>
    <w:rsid w:val="00EB0E60"/>
    <w:rsid w:val="00EB1196"/>
    <w:rsid w:val="00EB5928"/>
    <w:rsid w:val="00EB5EE1"/>
    <w:rsid w:val="00EB63E5"/>
    <w:rsid w:val="00EB677B"/>
    <w:rsid w:val="00EC102A"/>
    <w:rsid w:val="00EC1805"/>
    <w:rsid w:val="00EC1DC7"/>
    <w:rsid w:val="00EC1E55"/>
    <w:rsid w:val="00EC2C0D"/>
    <w:rsid w:val="00EC2F9B"/>
    <w:rsid w:val="00EC3558"/>
    <w:rsid w:val="00EC4E9B"/>
    <w:rsid w:val="00EC71C8"/>
    <w:rsid w:val="00ED1B2A"/>
    <w:rsid w:val="00ED2227"/>
    <w:rsid w:val="00ED226E"/>
    <w:rsid w:val="00ED3954"/>
    <w:rsid w:val="00ED41D4"/>
    <w:rsid w:val="00ED4FB4"/>
    <w:rsid w:val="00ED5328"/>
    <w:rsid w:val="00ED64A8"/>
    <w:rsid w:val="00ED7536"/>
    <w:rsid w:val="00EE3C99"/>
    <w:rsid w:val="00EE4479"/>
    <w:rsid w:val="00EE4559"/>
    <w:rsid w:val="00EE4E13"/>
    <w:rsid w:val="00EE5294"/>
    <w:rsid w:val="00EE5573"/>
    <w:rsid w:val="00EE59EA"/>
    <w:rsid w:val="00EE642C"/>
    <w:rsid w:val="00EE7B52"/>
    <w:rsid w:val="00EE7BCF"/>
    <w:rsid w:val="00EF0780"/>
    <w:rsid w:val="00EF1DE9"/>
    <w:rsid w:val="00EF252D"/>
    <w:rsid w:val="00EF2FA3"/>
    <w:rsid w:val="00EF3A02"/>
    <w:rsid w:val="00EF436C"/>
    <w:rsid w:val="00F00F8B"/>
    <w:rsid w:val="00F015CC"/>
    <w:rsid w:val="00F0481E"/>
    <w:rsid w:val="00F04B63"/>
    <w:rsid w:val="00F06BE7"/>
    <w:rsid w:val="00F07CB3"/>
    <w:rsid w:val="00F113F8"/>
    <w:rsid w:val="00F11B27"/>
    <w:rsid w:val="00F1261D"/>
    <w:rsid w:val="00F134DB"/>
    <w:rsid w:val="00F15677"/>
    <w:rsid w:val="00F17CE8"/>
    <w:rsid w:val="00F17DB1"/>
    <w:rsid w:val="00F20195"/>
    <w:rsid w:val="00F22898"/>
    <w:rsid w:val="00F24971"/>
    <w:rsid w:val="00F24FAE"/>
    <w:rsid w:val="00F254A4"/>
    <w:rsid w:val="00F26FCF"/>
    <w:rsid w:val="00F27CA4"/>
    <w:rsid w:val="00F30659"/>
    <w:rsid w:val="00F30E4C"/>
    <w:rsid w:val="00F314CD"/>
    <w:rsid w:val="00F33EF9"/>
    <w:rsid w:val="00F34E25"/>
    <w:rsid w:val="00F350E6"/>
    <w:rsid w:val="00F36449"/>
    <w:rsid w:val="00F3649A"/>
    <w:rsid w:val="00F37475"/>
    <w:rsid w:val="00F41C14"/>
    <w:rsid w:val="00F44220"/>
    <w:rsid w:val="00F44A8B"/>
    <w:rsid w:val="00F47748"/>
    <w:rsid w:val="00F47A87"/>
    <w:rsid w:val="00F515EF"/>
    <w:rsid w:val="00F51600"/>
    <w:rsid w:val="00F52B95"/>
    <w:rsid w:val="00F53024"/>
    <w:rsid w:val="00F535EB"/>
    <w:rsid w:val="00F53E85"/>
    <w:rsid w:val="00F53F2A"/>
    <w:rsid w:val="00F54439"/>
    <w:rsid w:val="00F54EA8"/>
    <w:rsid w:val="00F558C0"/>
    <w:rsid w:val="00F55ACA"/>
    <w:rsid w:val="00F564A1"/>
    <w:rsid w:val="00F57B68"/>
    <w:rsid w:val="00F60F0D"/>
    <w:rsid w:val="00F6360A"/>
    <w:rsid w:val="00F63823"/>
    <w:rsid w:val="00F64A29"/>
    <w:rsid w:val="00F64BD7"/>
    <w:rsid w:val="00F65766"/>
    <w:rsid w:val="00F67157"/>
    <w:rsid w:val="00F713B2"/>
    <w:rsid w:val="00F715FA"/>
    <w:rsid w:val="00F721D0"/>
    <w:rsid w:val="00F72547"/>
    <w:rsid w:val="00F72B33"/>
    <w:rsid w:val="00F73BE6"/>
    <w:rsid w:val="00F75026"/>
    <w:rsid w:val="00F7559E"/>
    <w:rsid w:val="00F76D6E"/>
    <w:rsid w:val="00F76DB8"/>
    <w:rsid w:val="00F801E9"/>
    <w:rsid w:val="00F80300"/>
    <w:rsid w:val="00F803AC"/>
    <w:rsid w:val="00F8209C"/>
    <w:rsid w:val="00F83004"/>
    <w:rsid w:val="00F83461"/>
    <w:rsid w:val="00F83A6C"/>
    <w:rsid w:val="00F83D97"/>
    <w:rsid w:val="00F8478C"/>
    <w:rsid w:val="00F84B16"/>
    <w:rsid w:val="00F86544"/>
    <w:rsid w:val="00F879E3"/>
    <w:rsid w:val="00F879EF"/>
    <w:rsid w:val="00F92E51"/>
    <w:rsid w:val="00F92E68"/>
    <w:rsid w:val="00F9331D"/>
    <w:rsid w:val="00F9644C"/>
    <w:rsid w:val="00F96E4B"/>
    <w:rsid w:val="00F97056"/>
    <w:rsid w:val="00F97681"/>
    <w:rsid w:val="00F97B5A"/>
    <w:rsid w:val="00FA1808"/>
    <w:rsid w:val="00FA185F"/>
    <w:rsid w:val="00FA18C0"/>
    <w:rsid w:val="00FA1C50"/>
    <w:rsid w:val="00FA33AD"/>
    <w:rsid w:val="00FA465D"/>
    <w:rsid w:val="00FA56BB"/>
    <w:rsid w:val="00FA6019"/>
    <w:rsid w:val="00FA6785"/>
    <w:rsid w:val="00FA7EBF"/>
    <w:rsid w:val="00FA7FB6"/>
    <w:rsid w:val="00FB0C9E"/>
    <w:rsid w:val="00FB1779"/>
    <w:rsid w:val="00FB1C5A"/>
    <w:rsid w:val="00FB4157"/>
    <w:rsid w:val="00FB4FD2"/>
    <w:rsid w:val="00FB552F"/>
    <w:rsid w:val="00FB5846"/>
    <w:rsid w:val="00FB78D0"/>
    <w:rsid w:val="00FC09AA"/>
    <w:rsid w:val="00FC1CF5"/>
    <w:rsid w:val="00FC2F2E"/>
    <w:rsid w:val="00FC3F50"/>
    <w:rsid w:val="00FC6415"/>
    <w:rsid w:val="00FC721B"/>
    <w:rsid w:val="00FC7EC2"/>
    <w:rsid w:val="00FD1324"/>
    <w:rsid w:val="00FD20DF"/>
    <w:rsid w:val="00FD2360"/>
    <w:rsid w:val="00FD2492"/>
    <w:rsid w:val="00FD2BD5"/>
    <w:rsid w:val="00FD4A9A"/>
    <w:rsid w:val="00FD4BE9"/>
    <w:rsid w:val="00FD4F66"/>
    <w:rsid w:val="00FE0D64"/>
    <w:rsid w:val="00FE2D44"/>
    <w:rsid w:val="00FE53C2"/>
    <w:rsid w:val="00FE579E"/>
    <w:rsid w:val="00FE6673"/>
    <w:rsid w:val="00FE6855"/>
    <w:rsid w:val="00FE753A"/>
    <w:rsid w:val="00FE78C1"/>
    <w:rsid w:val="00FE7AAC"/>
    <w:rsid w:val="00FE7EDF"/>
    <w:rsid w:val="00FF005A"/>
    <w:rsid w:val="00FF01A5"/>
    <w:rsid w:val="00FF028D"/>
    <w:rsid w:val="00FF029A"/>
    <w:rsid w:val="00FF170E"/>
    <w:rsid w:val="00FF1BEB"/>
    <w:rsid w:val="00FF3E4F"/>
    <w:rsid w:val="00FF5709"/>
    <w:rsid w:val="00FF59F9"/>
    <w:rsid w:val="00FF5E86"/>
    <w:rsid w:val="00FF6978"/>
    <w:rsid w:val="00FF6FB8"/>
    <w:rsid w:val="00FF76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258D"/>
  <w14:defaultImageDpi w14:val="96"/>
  <w15:chartTrackingRefBased/>
  <w15:docId w15:val="{2BC353B1-3521-4317-BF26-F16C595A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autoRedefine/>
    <w:uiPriority w:val="9"/>
    <w:unhideWhenUsed/>
    <w:qFormat/>
    <w:rsid w:val="005000C3"/>
    <w:pPr>
      <w:keepNext/>
      <w:keepLines/>
      <w:spacing w:before="160" w:after="24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5000C3"/>
    <w:rPr>
      <w:rFonts w:asciiTheme="majorHAnsi" w:eastAsiaTheme="majorEastAsia" w:hAnsiTheme="majorHAnsi"/>
      <w:bCs/>
      <w:noProof/>
      <w:color w:val="548DD4" w:themeColor="text2" w:themeTint="99"/>
      <w:sz w:val="26"/>
      <w:szCs w:val="26"/>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character" w:customStyle="1" w:styleId="af5">
    <w:name w:val="טקסט הערה תו"/>
    <w:basedOn w:val="a0"/>
    <w:link w:val="af6"/>
    <w:uiPriority w:val="99"/>
    <w:semiHidden/>
    <w:rsid w:val="002E5BAD"/>
    <w:rPr>
      <w:noProof/>
      <w:sz w:val="20"/>
      <w:szCs w:val="20"/>
    </w:rPr>
  </w:style>
  <w:style w:type="paragraph" w:styleId="af6">
    <w:name w:val="annotation text"/>
    <w:basedOn w:val="a"/>
    <w:link w:val="af5"/>
    <w:uiPriority w:val="99"/>
    <w:semiHidden/>
    <w:unhideWhenUsed/>
    <w:rsid w:val="002E5BAD"/>
    <w:pPr>
      <w:spacing w:line="240" w:lineRule="auto"/>
    </w:pPr>
    <w:rPr>
      <w:sz w:val="20"/>
      <w:szCs w:val="20"/>
    </w:rPr>
  </w:style>
  <w:style w:type="character" w:customStyle="1" w:styleId="af7">
    <w:name w:val="נושא הערה תו"/>
    <w:basedOn w:val="af5"/>
    <w:link w:val="af8"/>
    <w:uiPriority w:val="99"/>
    <w:semiHidden/>
    <w:rsid w:val="002E5BAD"/>
    <w:rPr>
      <w:b/>
      <w:bCs/>
      <w:noProof/>
      <w:sz w:val="20"/>
      <w:szCs w:val="20"/>
    </w:rPr>
  </w:style>
  <w:style w:type="paragraph" w:styleId="af8">
    <w:name w:val="annotation subject"/>
    <w:basedOn w:val="af6"/>
    <w:next w:val="af6"/>
    <w:link w:val="af7"/>
    <w:uiPriority w:val="99"/>
    <w:semiHidden/>
    <w:unhideWhenUsed/>
    <w:rsid w:val="002E5BAD"/>
    <w:rPr>
      <w:b/>
      <w:bCs/>
    </w:rPr>
  </w:style>
  <w:style w:type="character" w:styleId="Hyperlink">
    <w:name w:val="Hyperlink"/>
    <w:basedOn w:val="a0"/>
    <w:uiPriority w:val="99"/>
    <w:unhideWhenUsed/>
    <w:rsid w:val="00DF1F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footer" Target="footer1.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footer" Target="footer2.xml"/><Relationship Id="rId55" Type="http://schemas.openxmlformats.org/officeDocument/2006/relationships/header" Target="header43.xml"/><Relationship Id="rId63" Type="http://schemas.openxmlformats.org/officeDocument/2006/relationships/header" Target="header51.xml"/><Relationship Id="rId68" Type="http://schemas.openxmlformats.org/officeDocument/2006/relationships/header" Target="header56.xml"/><Relationship Id="rId76" Type="http://schemas.openxmlformats.org/officeDocument/2006/relationships/header" Target="header64.xml"/><Relationship Id="rId7" Type="http://schemas.openxmlformats.org/officeDocument/2006/relationships/endnotes" Target="endnotes.xml"/><Relationship Id="rId71" Type="http://schemas.openxmlformats.org/officeDocument/2006/relationships/header" Target="header59.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8.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1.xml"/><Relationship Id="rId58" Type="http://schemas.openxmlformats.org/officeDocument/2006/relationships/header" Target="header46.xml"/><Relationship Id="rId66" Type="http://schemas.openxmlformats.org/officeDocument/2006/relationships/header" Target="header54.xml"/><Relationship Id="rId74" Type="http://schemas.openxmlformats.org/officeDocument/2006/relationships/header" Target="header6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49.xml"/><Relationship Id="rId10" Type="http://schemas.openxmlformats.org/officeDocument/2006/relationships/hyperlink" Target="https://brit-itzak.com/%D7%A1%D7%99%D7%9B%D7%95%D7%9E%D7%99-%D7%A8%D7%91%D7%A0%D7%95%D7%AA/" TargetMode="External"/><Relationship Id="rId19" Type="http://schemas.openxmlformats.org/officeDocument/2006/relationships/header" Target="header9.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78" Type="http://schemas.openxmlformats.org/officeDocument/2006/relationships/header" Target="header65.xml"/><Relationship Id="rId4" Type="http://schemas.openxmlformats.org/officeDocument/2006/relationships/settings" Target="settings.xml"/><Relationship Id="rId9" Type="http://schemas.openxmlformats.org/officeDocument/2006/relationships/hyperlink" Target="https://brit-itzak.com/%d7%a1%d7%99%d7%9b%d7%95%d7%9e%d7%99-%d7%93%d7%99%d7%99%d7%a0%d7%95%d7%aa/" TargetMode="Externa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4.xml"/><Relationship Id="rId64" Type="http://schemas.openxmlformats.org/officeDocument/2006/relationships/header" Target="header52.xml"/><Relationship Id="rId69" Type="http://schemas.openxmlformats.org/officeDocument/2006/relationships/header" Target="header57.xml"/><Relationship Id="rId77" Type="http://schemas.openxmlformats.org/officeDocument/2006/relationships/footer" Target="footer3.xml"/><Relationship Id="rId8" Type="http://schemas.openxmlformats.org/officeDocument/2006/relationships/hyperlink" Target="mailto:itzakmaman@gmail.com" TargetMode="External"/><Relationship Id="rId51" Type="http://schemas.openxmlformats.org/officeDocument/2006/relationships/header" Target="header39.xml"/><Relationship Id="rId72" Type="http://schemas.openxmlformats.org/officeDocument/2006/relationships/header" Target="header6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7.xml"/><Relationship Id="rId67" Type="http://schemas.openxmlformats.org/officeDocument/2006/relationships/header" Target="header55.xml"/><Relationship Id="rId20" Type="http://schemas.openxmlformats.org/officeDocument/2006/relationships/header" Target="header10.xml"/><Relationship Id="rId41" Type="http://schemas.openxmlformats.org/officeDocument/2006/relationships/header" Target="header30.xml"/><Relationship Id="rId54" Type="http://schemas.openxmlformats.org/officeDocument/2006/relationships/header" Target="header42.xml"/><Relationship Id="rId62" Type="http://schemas.openxmlformats.org/officeDocument/2006/relationships/header" Target="header50.xml"/><Relationship Id="rId70" Type="http://schemas.openxmlformats.org/officeDocument/2006/relationships/header" Target="header58.xml"/><Relationship Id="rId75" Type="http://schemas.openxmlformats.org/officeDocument/2006/relationships/header" Target="header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0A8D-1BB7-4888-BE83-F6E73863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135585</TotalTime>
  <Pages>534</Pages>
  <Words>188735</Words>
  <Characters>943678</Characters>
  <Application>Microsoft Office Word</Application>
  <DocSecurity>0</DocSecurity>
  <Lines>7863</Lines>
  <Paragraphs>2260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1130153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267</cp:revision>
  <cp:lastPrinted>2018-12-25T09:08:00Z</cp:lastPrinted>
  <dcterms:created xsi:type="dcterms:W3CDTF">2018-11-08T16:12:00Z</dcterms:created>
  <dcterms:modified xsi:type="dcterms:W3CDTF">2021-06-17T14:11:00Z</dcterms:modified>
</cp:coreProperties>
</file>